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FB15D" w14:textId="5A4A9333" w:rsidR="00DE1478" w:rsidRDefault="00DE1478" w:rsidP="4C8BF507">
      <w:pPr>
        <w:jc w:val="both"/>
        <w:rPr>
          <w:rFonts w:ascii="Times New Roman" w:hAnsi="Times New Roman"/>
        </w:rPr>
      </w:pPr>
    </w:p>
    <w:p w14:paraId="0B9847DD" w14:textId="77777777" w:rsidR="00DE1478" w:rsidRDefault="00DE1478" w:rsidP="009F2F57">
      <w:pPr>
        <w:ind w:left="708" w:hanging="708"/>
        <w:jc w:val="both"/>
        <w:rPr>
          <w:rFonts w:ascii="Times New Roman" w:hAnsi="Times New Roman"/>
        </w:rPr>
      </w:pPr>
    </w:p>
    <w:p w14:paraId="6C09987D" w14:textId="2931C326" w:rsidR="009F2F57" w:rsidRPr="009A46BB" w:rsidRDefault="009F2F57" w:rsidP="009F2F57">
      <w:pPr>
        <w:jc w:val="both"/>
        <w:rPr>
          <w:rFonts w:ascii="Times New Roman" w:hAnsi="Times New Roman"/>
        </w:rPr>
      </w:pPr>
    </w:p>
    <w:sdt>
      <w:sdtPr>
        <w:rPr>
          <w:rFonts w:ascii="Times New Roman" w:hAnsi="Times New Roman"/>
        </w:rPr>
        <w:id w:val="-563871499"/>
        <w:docPartObj>
          <w:docPartGallery w:val="Cover Pages"/>
          <w:docPartUnique/>
        </w:docPartObj>
      </w:sdtPr>
      <w:sdtEndPr>
        <w:rPr>
          <w:b/>
          <w:bCs/>
          <w:color w:val="1F3864" w:themeColor="accent1" w:themeShade="80"/>
          <w:sz w:val="26"/>
          <w:szCs w:val="26"/>
        </w:rPr>
      </w:sdtEndPr>
      <w:sdtContent>
        <w:p w14:paraId="472BDDE2" w14:textId="77777777" w:rsidR="009F2F57" w:rsidRPr="009A46BB" w:rsidRDefault="009F2F57" w:rsidP="009F2F57">
          <w:pPr>
            <w:jc w:val="both"/>
            <w:rPr>
              <w:rFonts w:ascii="Times New Roman" w:hAnsi="Times New Roman"/>
            </w:rPr>
          </w:pPr>
          <w:r w:rsidRPr="009A46BB">
            <w:rPr>
              <w:rFonts w:ascii="Times New Roman" w:hAnsi="Times New Roman"/>
              <w:noProof/>
            </w:rPr>
            <mc:AlternateContent>
              <mc:Choice Requires="wpg">
                <w:drawing>
                  <wp:anchor distT="0" distB="0" distL="114300" distR="114300" simplePos="0" relativeHeight="251658240" behindDoc="0" locked="0" layoutInCell="1" allowOverlap="1" wp14:anchorId="1193A7BA" wp14:editId="689634C1">
                    <wp:simplePos x="0" y="0"/>
                    <wp:positionH relativeFrom="leftMargin">
                      <wp:posOffset>381663</wp:posOffset>
                    </wp:positionH>
                    <wp:positionV relativeFrom="page">
                      <wp:posOffset>461176</wp:posOffset>
                    </wp:positionV>
                    <wp:extent cx="516834" cy="8729980"/>
                    <wp:effectExtent l="0" t="0" r="0" b="0"/>
                    <wp:wrapNone/>
                    <wp:docPr id="114" name="Grupo 114"/>
                    <wp:cNvGraphicFramePr/>
                    <a:graphic xmlns:a="http://schemas.openxmlformats.org/drawingml/2006/main">
                      <a:graphicData uri="http://schemas.microsoft.com/office/word/2010/wordprocessingGroup">
                        <wpg:wgp>
                          <wpg:cNvGrpSpPr/>
                          <wpg:grpSpPr>
                            <a:xfrm>
                              <a:off x="0" y="0"/>
                              <a:ext cx="516834" cy="8729980"/>
                              <a:chOff x="0" y="0"/>
                              <a:chExt cx="228600" cy="9144000"/>
                            </a:xfrm>
                          </wpg:grpSpPr>
                          <wps:wsp>
                            <wps:cNvPr id="115" name="Rectángulo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ángulo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60D9421" id="Grupo 114" o:spid="_x0000_s1026" style="position:absolute;margin-left:30.05pt;margin-top:36.3pt;width:40.7pt;height:687.4pt;z-index:251658240;mso-position-horizontal-relative:left-margin-area;mso-position-vertical-relative:page"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zhOwMAAMkKAAAOAAAAZHJzL2Uyb0RvYy54bWzsVt1O2zAYvZ+0d7B8P9JkbUkjUlSVgSZV&#10;gICJa+M4TTTH9my3afc2e5a92D47P5RSoYlNkyZxk9rx93t8vtOcnG4qjtZMm1KKFIdHA4yYoDIr&#10;xTLFX+7OP8QYGUtERrgULMVbZvDp9P27k1olLJKF5BnTCIIIk9QqxYW1KgkCQwtWEXMkFRNwmEtd&#10;EQtbvQwyTWqIXvEgGgzGQS11prSkzBh4e9Yc4qmPn+eM2qs8N8winmKozfqn9s8H9wymJyRZaqKK&#10;krZlkFdUUZFSQNI+1BmxBK10+SxUVVItjcztEZVVIPO8pMz3AN2Eg71uLrRcKd/LMqmXqocJoN3D&#10;6dVh6eX6Qqtbda0BiVotAQu/c71scl25X6gSbTxk2x4ytrGIwstROI4/DjGicBQfR5NJ3GJKCwD+&#10;mRstPrWOURSPB3AjznESDocD2EAJQZc2eFJMrYAe5hEB82cI3BZEMQ+sSQCBa43KDNgbjjASpAKa&#10;3gBxfv4QyxWXyL324HjbHiqTGEDtd3HabTc+jqPB6Gm7JFHa2AsmK+QWKdZQgWcUWS+MbZDpTFxS&#10;I3mZnZec+40bFzbnGq0JEJ1QyoSNWjyfWHLh7IV0nk1Q9wbA7trxK7vlzNlxccNywAYuOvLF+Lnc&#10;TxQ2RwXJWJN/BJfZtdd7+Lv1AV3kHPL3sdsAh5oI2yZae+fK/Fj3zoOXCmta7D18Zils71yVQupD&#10;AbjtMzf2HUgNNA6lB5ltgTlaNqJiFD0v4eoWxNhrokFFgN2gjPYKHjmXdYplu8KokPr7offOHqgN&#10;pxjVoEopNt9WRDOM+GcBpPeTAjLmN8PRcQQ59O7Jw+6JWFVzCXwIQYMV9Utnb3m3zLWs7kFAZy4r&#10;HBFBIXeKqdXdZm4btQQJpmw282YgXYrYhbhV1AV3qDpq3m3uiVYtfy0oxKXsBo0kezRubJ2nkLOV&#10;lXnpOf6Ia4s3DL3TpX8y/ePD0z/em35XtFELSb8aJOS8IGLJZkbBvDowHONcvSArTiqa4l9UingS&#10;jkD+nCeQ+4A8ttrRcLkT5U4L/ppcdHx/k4s3ufi/5cJ/OsD3kv/Hab/t3AfZ7t5P6eMX6PQXAAAA&#10;//8DAFBLAwQUAAYACAAAACEAihiteOAAAAAKAQAADwAAAGRycy9kb3ducmV2LnhtbEyPwWrDMBBE&#10;74X+g9hCb42s1HGCYzmE0PYUCk0KpTfF2tgm1spYiu38feVTc5tlhpm32WY0Deuxc7UlCWIWAUMq&#10;rK6plPB9fH9ZAXNekVaNJZRwQweb/PEhU6m2A31hf/AlCyXkUiWh8r5NOXdFhUa5mW2Rgne2nVE+&#10;nF3JdaeGUG4aPo+ihBtVU1ioVIu7CovL4WokfAxq2L6Kt35/Oe9uv8fF589eoJTPT+N2Dczj6P/D&#10;MOEHdMgD08leSTvWSEgiEZISlvME2OTHYgHsNIl4GQPPM37/Qv4HAAD//wMAUEsBAi0AFAAGAAgA&#10;AAAhALaDOJL+AAAA4QEAABMAAAAAAAAAAAAAAAAAAAAAAFtDb250ZW50X1R5cGVzXS54bWxQSwEC&#10;LQAUAAYACAAAACEAOP0h/9YAAACUAQAACwAAAAAAAAAAAAAAAAAvAQAAX3JlbHMvLnJlbHNQSwEC&#10;LQAUAAYACAAAACEAW5k84TsDAADJCgAADgAAAAAAAAAAAAAAAAAuAgAAZHJzL2Uyb0RvYy54bWxQ&#10;SwECLQAUAAYACAAAACEAihiteOAAAAAKAQAADwAAAAAAAAAAAAAAAACVBQAAZHJzL2Rvd25yZXYu&#10;eG1sUEsFBgAAAAAEAAQA8wAAAKIGAAAAAA==&#10;">
                    <v:rect id="Rectángu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ed7d31 [3205]" stroked="f" strokeweight="1pt"/>
                    <v:rect id="Rectángu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4472c4 [3204]" stroked="f" strokeweight="1pt">
                      <o:lock v:ext="edit" aspectratio="t"/>
                    </v:rect>
                    <w10:wrap anchorx="margin" anchory="page"/>
                  </v:group>
                </w:pict>
              </mc:Fallback>
            </mc:AlternateContent>
          </w:r>
          <w:r w:rsidRPr="009A46BB">
            <w:rPr>
              <w:rFonts w:ascii="Times New Roman" w:hAnsi="Times New Roman"/>
              <w:noProof/>
              <w:lang w:eastAsia="es-CO"/>
            </w:rPr>
            <w:drawing>
              <wp:anchor distT="0" distB="0" distL="114300" distR="114300" simplePos="0" relativeHeight="251658245" behindDoc="1" locked="0" layoutInCell="1" allowOverlap="1" wp14:anchorId="6572B411" wp14:editId="7C72D5DA">
                <wp:simplePos x="0" y="0"/>
                <wp:positionH relativeFrom="margin">
                  <wp:posOffset>3693160</wp:posOffset>
                </wp:positionH>
                <wp:positionV relativeFrom="paragraph">
                  <wp:posOffset>-73246</wp:posOffset>
                </wp:positionV>
                <wp:extent cx="2148965" cy="1582310"/>
                <wp:effectExtent l="0" t="0" r="3810" b="0"/>
                <wp:wrapNone/>
                <wp:docPr id="121" name="Imagen 121" descr="C:\Users\nmorales\Pictures\IMAGENES PAO\LOGO 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morales\Pictures\IMAGENES PAO\LOGO AN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8965" cy="1582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46BB">
            <w:rPr>
              <w:rFonts w:ascii="Times New Roman" w:hAnsi="Times New Roman"/>
              <w:noProof/>
              <w:lang w:eastAsia="es-CO"/>
            </w:rPr>
            <mc:AlternateContent>
              <mc:Choice Requires="wps">
                <w:drawing>
                  <wp:anchor distT="0" distB="0" distL="114300" distR="114300" simplePos="0" relativeHeight="251658243" behindDoc="0" locked="0" layoutInCell="1" allowOverlap="1" wp14:anchorId="5C82F8B1" wp14:editId="278B78BE">
                    <wp:simplePos x="0" y="0"/>
                    <wp:positionH relativeFrom="column">
                      <wp:posOffset>-251115</wp:posOffset>
                    </wp:positionH>
                    <wp:positionV relativeFrom="paragraph">
                      <wp:posOffset>-287419</wp:posOffset>
                    </wp:positionV>
                    <wp:extent cx="1554065" cy="1860550"/>
                    <wp:effectExtent l="0" t="952" r="45402" b="45403"/>
                    <wp:wrapNone/>
                    <wp:docPr id="119" name="Triángulo rectángulo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54065" cy="1860550"/>
                            </a:xfrm>
                            <a:prstGeom prst="rtTriangle">
                              <a:avLst/>
                            </a:prstGeom>
                            <a:solidFill>
                              <a:schemeClr val="accent1">
                                <a:lumMod val="75000"/>
                                <a:lumOff val="0"/>
                              </a:schemeClr>
                            </a:solidFill>
                            <a:ln w="9525">
                              <a:solidFill>
                                <a:schemeClr val="accent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0C5BB7" id="_x0000_t6" coordsize="21600,21600" o:spt="6" path="m,l,21600r21600,xe">
                    <v:stroke joinstyle="miter"/>
                    <v:path gradientshapeok="t" o:connecttype="custom" o:connectlocs="0,0;0,10800;0,21600;10800,21600;21600,21600;10800,10800" textboxrect="1800,12600,12600,19800"/>
                  </v:shapetype>
                  <v:shape id="Triángulo rectángulo 119" o:spid="_x0000_s1026" type="#_x0000_t6" style="position:absolute;margin-left:-19.75pt;margin-top:-22.65pt;width:122.35pt;height:146.5pt;rotation:90;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RGcMgIAAJ8EAAAOAAAAZHJzL2Uyb0RvYy54bWy0VNtu2zAMfR+wfxD0vtgO4jQ14hRFug4D&#10;ugvQ7gMUWY6FyaJGKXGyrx8lZ0m2vQ1bHgSRtA4PD8ks7w69YXuFXoOteTHJOVNWQqPttuZfXh7f&#10;LDjzQdhGGLCq5kfl+d3q9avl4Co1hQ5Mo5ARiPXV4GreheCqLPOyU73wE3DKUrAF7EUgE7dZg2Ig&#10;9N5k0zyfZwNg4xCk8p68D2OQrxJ+2yoZPrWtV4GZmhO3kE5M5yae2Wopqi0K12l5oiH+gkUvtKWk&#10;Z6gHEQTbof4DqtcSwUMbJhL6DNpWS5VqoGqK/LdqnjvhVKqFxPHuLJP/d7Dy4/7ZfcZI3bsnkF89&#10;s7DuhN2qe0QYOiUaSldEobLB+er8IBqenrLN8AEaaq3YBUgaHFrsGQJpXc7y+EteqpUdkvDHs/Dq&#10;EJgkZ1HSl/OSM0mxYjHPyzK1JhNVBIvsHPrwTkHP4qXmGF5QE0sT9RGV2D/5EClePkwlgdHNozYm&#10;GXGm1Nog2wuaBiGlsqFIz82upxpG/00ZGae5IDdNz+j+ySdNZkRJyfx1AmPZUPPbclom0F9i52f/&#10;K3mvAy2S0X3NF6PoqYTYv7e2SfcgtBnvJJOxp4bGHsZ18dUGmiP1M3WOdoW2moTuAL9zNtCG1Nx/&#10;2wlUnJn3lmbitpjN4kolY1beTMnA68jmOiKsJKiaB87G6zqMa7hzqLcdZRpbYeGe5qjVqZsXViey&#10;tAVJ99PGxjW7ttNXl/+V1Q8AAAD//wMAUEsDBBQABgAIAAAAIQCQ6Xcr3QAAAAsBAAAPAAAAZHJz&#10;L2Rvd25yZXYueG1sTI/LTsMwEEX3SPyDNUjsWqduCCXEqSoEa0rJB7jxNInqR7DdNvw90xXd3dEc&#10;3Ue1nqxhZwxx8E7CYp4BQ9d6PbhOQvP9MVsBi0k5rYx3KOEXI6zr+7tKldpf3Beed6ljZOJiqST0&#10;KY0l57Ht0ao49yM6+h18sCrRGTqug7qQuTVcZFnBrRocJfRqxLce2+PuZCl3k+eHIcRt+lwdt+m5&#10;afDHvEv5+DBtXoElnNI/DNf6VB1q6rT3J6cjMxJmxbIglIRYCGBECPGSA9tfxfIJeF3x2w31HwAA&#10;AP//AwBQSwECLQAUAAYACAAAACEAtoM4kv4AAADhAQAAEwAAAAAAAAAAAAAAAAAAAAAAW0NvbnRl&#10;bnRfVHlwZXNdLnhtbFBLAQItABQABgAIAAAAIQA4/SH/1gAAAJQBAAALAAAAAAAAAAAAAAAAAC8B&#10;AABfcmVscy8ucmVsc1BLAQItABQABgAIAAAAIQB9wRGcMgIAAJ8EAAAOAAAAAAAAAAAAAAAAAC4C&#10;AABkcnMvZTJvRG9jLnhtbFBLAQItABQABgAIAAAAIQCQ6Xcr3QAAAAsBAAAPAAAAAAAAAAAAAAAA&#10;AIwEAABkcnMvZG93bnJldi54bWxQSwUGAAAAAAQABADzAAAAlgUAAAAA&#10;" fillcolor="#2f5496 [2404]" strokecolor="#2f5496 [2404]"/>
                </w:pict>
              </mc:Fallback>
            </mc:AlternateContent>
          </w:r>
        </w:p>
        <w:p w14:paraId="78EC0549" w14:textId="32F24F22" w:rsidR="009F2F57" w:rsidRPr="009A46BB" w:rsidRDefault="00256645" w:rsidP="009F2F57">
          <w:pPr>
            <w:spacing w:after="0" w:line="240" w:lineRule="auto"/>
            <w:ind w:left="708" w:hanging="708"/>
            <w:jc w:val="both"/>
            <w:rPr>
              <w:rFonts w:ascii="Times New Roman" w:eastAsiaTheme="majorEastAsia" w:hAnsi="Times New Roman"/>
              <w:b/>
              <w:color w:val="1F3864" w:themeColor="accent1" w:themeShade="80"/>
              <w:spacing w:val="-2"/>
              <w:sz w:val="26"/>
              <w:szCs w:val="32"/>
            </w:rPr>
          </w:pPr>
          <w:r w:rsidRPr="009A46BB">
            <w:rPr>
              <w:rFonts w:ascii="Times New Roman" w:hAnsi="Times New Roman"/>
              <w:noProof/>
              <w:lang w:eastAsia="es-CO"/>
            </w:rPr>
            <w:drawing>
              <wp:anchor distT="0" distB="0" distL="114300" distR="114300" simplePos="0" relativeHeight="251658241" behindDoc="1" locked="0" layoutInCell="1" allowOverlap="1" wp14:anchorId="50F18BD1" wp14:editId="378B3E27">
                <wp:simplePos x="0" y="0"/>
                <wp:positionH relativeFrom="column">
                  <wp:posOffset>-332105</wp:posOffset>
                </wp:positionH>
                <wp:positionV relativeFrom="paragraph">
                  <wp:posOffset>4075430</wp:posOffset>
                </wp:positionV>
                <wp:extent cx="643890" cy="699135"/>
                <wp:effectExtent l="0" t="0" r="3810" b="5715"/>
                <wp:wrapNone/>
                <wp:docPr id="117" name="Imagen 117"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n 117" descr="Interfaz de usuario gráfica, Aplicación, Word&#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l="18903" t="29750" r="73123" b="51837"/>
                        <a:stretch>
                          <a:fillRect/>
                        </a:stretch>
                      </pic:blipFill>
                      <pic:spPr bwMode="auto">
                        <a:xfrm>
                          <a:off x="0" y="0"/>
                          <a:ext cx="643890" cy="699135"/>
                        </a:xfrm>
                        <a:prstGeom prst="rect">
                          <a:avLst/>
                        </a:prstGeom>
                        <a:noFill/>
                        <a:ln>
                          <a:noFill/>
                        </a:ln>
                      </pic:spPr>
                    </pic:pic>
                  </a:graphicData>
                </a:graphic>
                <wp14:sizeRelH relativeFrom="page">
                  <wp14:pctWidth>0</wp14:pctWidth>
                </wp14:sizeRelH>
                <wp14:sizeRelV relativeFrom="page">
                  <wp14:pctHeight>0</wp14:pctHeight>
                </wp14:sizeRelV>
              </wp:anchor>
            </w:drawing>
          </w:r>
          <w:r w:rsidR="009F2F57" w:rsidRPr="009A46BB">
            <w:rPr>
              <w:rFonts w:ascii="Times New Roman" w:hAnsi="Times New Roman"/>
              <w:noProof/>
              <w:lang w:eastAsia="es-CO"/>
            </w:rPr>
            <mc:AlternateContent>
              <mc:Choice Requires="wps">
                <w:drawing>
                  <wp:anchor distT="0" distB="0" distL="114300" distR="114300" simplePos="0" relativeHeight="251658244" behindDoc="0" locked="0" layoutInCell="1" allowOverlap="1" wp14:anchorId="2CA3CDB8" wp14:editId="2317C444">
                    <wp:simplePos x="0" y="0"/>
                    <wp:positionH relativeFrom="column">
                      <wp:posOffset>4581842</wp:posOffset>
                    </wp:positionH>
                    <wp:positionV relativeFrom="paragraph">
                      <wp:posOffset>6586234</wp:posOffset>
                    </wp:positionV>
                    <wp:extent cx="1553845" cy="1860550"/>
                    <wp:effectExtent l="18098" t="20002" r="26352" b="26353"/>
                    <wp:wrapNone/>
                    <wp:docPr id="120" name="Triángulo rectángulo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553845" cy="1860550"/>
                            </a:xfrm>
                            <a:prstGeom prst="rtTriangle">
                              <a:avLst/>
                            </a:prstGeom>
                            <a:solidFill>
                              <a:schemeClr val="accent1">
                                <a:lumMod val="75000"/>
                                <a:lumOff val="0"/>
                              </a:schemeClr>
                            </a:solidFill>
                            <a:ln w="9525">
                              <a:solidFill>
                                <a:schemeClr val="accent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E7BEF" id="Triángulo rectángulo 120" o:spid="_x0000_s1026" type="#_x0000_t6" style="position:absolute;margin-left:360.75pt;margin-top:518.6pt;width:122.35pt;height:146.5pt;rotation:-9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bdENAIAAKAEAAAOAAAAZHJzL2Uyb0RvYy54bWy0VNtu2zAMfR+wfxD0vjrO4jY14hRFug4D&#10;um5Auw9QZDkWptsoJU739aPoLMm2t2HLgyCS1uHhIZnFzd4atlMQtXcNLy8mnCknfavdpuFfnu/f&#10;zDmLSbhWGO9Uw19U5DfL168WQ6jV1PfetAoYgrhYD6HhfUqhLoooe2VFvPBBOQx2HqxIaMKmaEEM&#10;iG5NMZ1MLovBQxvASxUjeu/GIF8SftcpmT51XVSJmYYjt0Qn0LnOZ7FciHoDIvRaHmiIv2BhhXaY&#10;9Ah1J5JgW9B/QFktwUffpQvpbeG7TktFNWA15eS3ap56ERTVguLEcJQp/jtY+bh7Cp8hU4/hwcuv&#10;kTm/6oXbqFsAP/RKtJiuzEIVQ4j18UE2Ij5l6+Gjb7G1Yps8abDvwDLwqHV5iT3CH7mxWLYn5V+O&#10;yqt9YhKdZVW9nc8qziTGyvnlpKqoN4WoM1qmFyCm98pbli8Nh/QMGmmaLJCoxe4hpszx9CHV5I1u&#10;77UxZOShUisDbCdwHISUyqWSnputxSJG/1WVGdNgoBvHZ3T/5EOjmVEoWTxPYBwbGn5dTSsC/SV2&#10;fPa/kludcJOMtg2fj6JTCbmB71xL9yS0Ge8ok3GHjuYm5n2J9dq3L9hQah0uC641Ct17+M7ZgCvS&#10;8PhtK0BxZj44HIrrcjbLO0XGrLqaogHnkfV5RDiJUA1PnI3XVRr3cBtAb/o8LaSa87c4SJ2mbp5Y&#10;HcjiGpDuh5XNe3Zu01enP5blDwAAAP//AwBQSwMEFAAGAAgAAAAhAIBfgCbgAAAADQEAAA8AAABk&#10;cnMvZG93bnJldi54bWxMj8FOwzAQRO9I/IO1SFwQtUtRSkKcigT1gDilRZzdZEki7HUUu234e5YT&#10;Pe7M0+xMvpmdFSecwuBJw3KhQCA1vh2o0/Cx394/gQjRUGusJ9TwgwE2xfVVbrLWn6nG0y52gkMo&#10;ZEZDH+OYSRmaHp0JCz8isfflJ2cin1Mn28mcOdxZ+aBUIp0ZiD/0ZsSqx+Z7d3QayrhWZVV/lvY9&#10;1Nu3yuLwur/T+vZmfnkGEXGO/zD81efqUHCngz9SG4TVkKTrR0bZUMlyBYKRNFUsHVhaqUSBLHJ5&#10;uaL4BQAA//8DAFBLAQItABQABgAIAAAAIQC2gziS/gAAAOEBAAATAAAAAAAAAAAAAAAAAAAAAABb&#10;Q29udGVudF9UeXBlc10ueG1sUEsBAi0AFAAGAAgAAAAhADj9If/WAAAAlAEAAAsAAAAAAAAAAAAA&#10;AAAALwEAAF9yZWxzLy5yZWxzUEsBAi0AFAAGAAgAAAAhANhFt0Q0AgAAoAQAAA4AAAAAAAAAAAAA&#10;AAAALgIAAGRycy9lMm9Eb2MueG1sUEsBAi0AFAAGAAgAAAAhAIBfgCbgAAAADQEAAA8AAAAAAAAA&#10;AAAAAAAAjgQAAGRycy9kb3ducmV2LnhtbFBLBQYAAAAABAAEAPMAAACbBQAAAAA=&#10;" fillcolor="#2f5496 [2404]" strokecolor="#2f5496 [2404]"/>
                </w:pict>
              </mc:Fallback>
            </mc:AlternateContent>
          </w:r>
          <w:r w:rsidR="009F2F57" w:rsidRPr="009A46BB">
            <w:rPr>
              <w:rFonts w:ascii="Times New Roman" w:hAnsi="Times New Roman"/>
              <w:noProof/>
              <w:lang w:eastAsia="es-CO"/>
            </w:rPr>
            <mc:AlternateContent>
              <mc:Choice Requires="wps">
                <w:drawing>
                  <wp:anchor distT="0" distB="0" distL="114300" distR="114300" simplePos="0" relativeHeight="251658246" behindDoc="0" locked="0" layoutInCell="1" allowOverlap="1" wp14:anchorId="61D135EC" wp14:editId="320E9B0B">
                    <wp:simplePos x="0" y="0"/>
                    <wp:positionH relativeFrom="page">
                      <wp:align>center</wp:align>
                    </wp:positionH>
                    <wp:positionV relativeFrom="margin">
                      <wp:align>bottom</wp:align>
                    </wp:positionV>
                    <wp:extent cx="2030730" cy="1216660"/>
                    <wp:effectExtent l="0" t="0" r="7620" b="2540"/>
                    <wp:wrapSquare wrapText="bothSides"/>
                    <wp:docPr id="122" name="Cuadro de texto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1216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549D97C" w14:textId="77777777" w:rsidR="009F2F57" w:rsidRDefault="009F2F57" w:rsidP="009F2F57">
                                <w:pPr>
                                  <w:pStyle w:val="Sinespaciado"/>
                                  <w:jc w:val="center"/>
                                  <w:rPr>
                                    <w:color w:val="2F5496"/>
                                    <w:sz w:val="36"/>
                                    <w:szCs w:val="36"/>
                                    <w:lang w:val="es-ES"/>
                                  </w:rPr>
                                </w:pPr>
                              </w:p>
                              <w:p w14:paraId="7D290E29" w14:textId="77777777" w:rsidR="009F2F57" w:rsidRPr="00EE399E" w:rsidRDefault="009F2F57" w:rsidP="009F2F57">
                                <w:pPr>
                                  <w:pStyle w:val="Sinespaciado"/>
                                  <w:jc w:val="center"/>
                                  <w:rPr>
                                    <w:rFonts w:ascii="Times New Roman" w:hAnsi="Times New Roman"/>
                                    <w:color w:val="2F5496"/>
                                    <w:sz w:val="36"/>
                                    <w:szCs w:val="36"/>
                                    <w:lang w:val="es-ES"/>
                                  </w:rPr>
                                </w:pPr>
                                <w:r w:rsidRPr="00EE399E">
                                  <w:rPr>
                                    <w:rFonts w:ascii="Times New Roman" w:hAnsi="Times New Roman"/>
                                    <w:color w:val="2F5496"/>
                                    <w:sz w:val="36"/>
                                    <w:szCs w:val="36"/>
                                    <w:lang w:val="es-ES"/>
                                  </w:rPr>
                                  <w:t>Bogotá – Colombia</w:t>
                                </w:r>
                              </w:p>
                              <w:p w14:paraId="2B11355D" w14:textId="561608B6" w:rsidR="009F2F57" w:rsidRPr="00EE399E" w:rsidRDefault="00E93852" w:rsidP="009F2F57">
                                <w:pPr>
                                  <w:pStyle w:val="Sinespaciado"/>
                                  <w:jc w:val="center"/>
                                  <w:rPr>
                                    <w:rFonts w:ascii="Times New Roman" w:hAnsi="Times New Roman"/>
                                    <w:color w:val="2F5496"/>
                                    <w:sz w:val="36"/>
                                    <w:szCs w:val="36"/>
                                    <w:lang w:val="es-ES"/>
                                  </w:rPr>
                                </w:pPr>
                                <w:r>
                                  <w:rPr>
                                    <w:rFonts w:ascii="Times New Roman" w:hAnsi="Times New Roman"/>
                                    <w:color w:val="2F5496"/>
                                    <w:sz w:val="36"/>
                                    <w:szCs w:val="36"/>
                                    <w:lang w:val="es-ES"/>
                                  </w:rPr>
                                  <w:t>Febrero</w:t>
                                </w:r>
                                <w:r w:rsidR="009F2F57" w:rsidRPr="00EE399E">
                                  <w:rPr>
                                    <w:rFonts w:ascii="Times New Roman" w:hAnsi="Times New Roman"/>
                                    <w:color w:val="2F5496"/>
                                    <w:sz w:val="36"/>
                                    <w:szCs w:val="36"/>
                                    <w:lang w:val="es-ES"/>
                                  </w:rPr>
                                  <w:t xml:space="preserve"> de </w:t>
                                </w:r>
                                <w:r w:rsidR="009F2F57" w:rsidRPr="00740F6C">
                                  <w:rPr>
                                    <w:rFonts w:ascii="Times New Roman" w:hAnsi="Times New Roman"/>
                                    <w:color w:val="2F5496"/>
                                    <w:sz w:val="36"/>
                                    <w:szCs w:val="36"/>
                                    <w:lang w:val="es-ES"/>
                                  </w:rPr>
                                  <w:t>2024</w:t>
                                </w:r>
                              </w:p>
                              <w:p w14:paraId="4E38EBC1" w14:textId="77777777" w:rsidR="009F2F57" w:rsidRPr="00C263DD" w:rsidRDefault="009F2F57" w:rsidP="009F2F57">
                                <w:pPr>
                                  <w:pStyle w:val="Sinespaciado"/>
                                  <w:jc w:val="center"/>
                                  <w:rPr>
                                    <w:rFonts w:ascii="Times New Roman" w:hAnsi="Times New Roman"/>
                                    <w:color w:val="2F5496"/>
                                    <w:sz w:val="48"/>
                                    <w:szCs w:val="48"/>
                                    <w:lang w:val="es-ES"/>
                                  </w:rPr>
                                </w:pPr>
                              </w:p>
                              <w:p w14:paraId="78B92313" w14:textId="77777777" w:rsidR="009F2F57" w:rsidRPr="002D2B9C" w:rsidRDefault="009F2F57" w:rsidP="009F2F57">
                                <w:pPr>
                                  <w:pStyle w:val="Sinespaciado"/>
                                  <w:jc w:val="center"/>
                                  <w:rPr>
                                    <w:smallCaps/>
                                    <w:color w:val="151D6D"/>
                                    <w:sz w:val="36"/>
                                    <w:szCs w:val="36"/>
                                  </w:rPr>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135EC" id="_x0000_t202" coordsize="21600,21600" o:spt="202" path="m,l,21600r21600,l21600,xe">
                    <v:stroke joinstyle="miter"/>
                    <v:path gradientshapeok="t" o:connecttype="rect"/>
                  </v:shapetype>
                  <v:shape id="Cuadro de texto 122" o:spid="_x0000_s1026" type="#_x0000_t202" style="position:absolute;left:0;text-align:left;margin-left:0;margin-top:0;width:159.9pt;height:95.8pt;z-index:251658246;visibility:visible;mso-wrap-style:square;mso-width-percent:0;mso-height-percent:0;mso-wrap-distance-left:9pt;mso-wrap-distance-top:0;mso-wrap-distance-right:9pt;mso-wrap-distance-bottom:0;mso-position-horizontal:center;mso-position-horizontal-relative:page;mso-position-vertical:bottom;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lni1wEAAJIDAAAOAAAAZHJzL2Uyb0RvYy54bWysU9tu2zAMfR+wfxD0vthOgWww4hRdiw4D&#10;ugvQ7QNkWYqN2aJGKrGzrx8lx+m2vhV7EWiSOjrnkN5eT0MvjgapA1fJYpVLYZyGpnP7Sn7/dv/m&#10;nRQUlGtUD85U8mRIXu9ev9qOvjRraKFvDAoGcVSOvpJtCL7MMtKtGRStwBvHRQs4qMCfuM8aVCOj&#10;D322zvNNNgI2HkEbIs7ezUW5S/jWGh2+WEsmiL6SzC2kE9NZxzPbbVW5R+XbTp9pqBewGFTn+NEL&#10;1J0KShywewY1dBqBwIaVhiEDazttkgZWU+T/qHlslTdJC5tD/mIT/T9Y/fn46L+iCNN7mHiASQT5&#10;B9A/SDi4bZXbmxtEGFujGn64iJZlo6fyfDVaTSVFkHr8BA0PWR0CJKDJ4hBdYZ2C0XkAp4vpZgpC&#10;c3KdX+Vvr7ikuVasi81mk8aSqXK57pHCBwODiEElkaea4NXxgUKko8qlJb7m4L7r+zTZ3v2V4MaY&#10;SfQj45l7mOqJu6OMGpoTC0GYF4UXm4MW8JcUIy9JJennQaGRov/o2Iy4UUuAS1AvgXKar1aylmIO&#10;b8O8eQeP3b5l5NluBzdsmO2SlCcWZ548+KTwvKRxs/78Tl1Pv9LuNwAAAP//AwBQSwMEFAAGAAgA&#10;AAAhAPQqXIncAAAABQEAAA8AAABkcnMvZG93bnJldi54bWxMj09Lw0AQxe+C32EZwZvdxGKwMZsi&#10;FhHBg6225012TEKzsyG7+VM/vWMvehl4vMeb38vWs23FiL1vHCmIFxEIpNKZhioFnx/PN/cgfNBk&#10;dOsIFZzQwzq/vMh0atxEWxx3oRJcQj7VCuoQulRKX9ZotV+4Dom9L9dbHVj2lTS9nrjctvI2ihJp&#10;dUP8odYdPtVYHneDVfD+XeyTt8Nwmjavm3GLx5fhLl4qdX01Pz6ACDiHvzD84jM65MxUuIGMF60C&#10;HhLOl71lvOIZBYdWcQIyz+R/+vwHAAD//wMAUEsBAi0AFAAGAAgAAAAhALaDOJL+AAAA4QEAABMA&#10;AAAAAAAAAAAAAAAAAAAAAFtDb250ZW50X1R5cGVzXS54bWxQSwECLQAUAAYACAAAACEAOP0h/9YA&#10;AACUAQAACwAAAAAAAAAAAAAAAAAvAQAAX3JlbHMvLnJlbHNQSwECLQAUAAYACAAAACEAXMZZ4tcB&#10;AACSAwAADgAAAAAAAAAAAAAAAAAuAgAAZHJzL2Uyb0RvYy54bWxQSwECLQAUAAYACAAAACEA9Cpc&#10;idwAAAAFAQAADwAAAAAAAAAAAAAAAAAxBAAAZHJzL2Rvd25yZXYueG1sUEsFBgAAAAAEAAQA8wAA&#10;ADoFAAAAAA==&#10;" filled="f" stroked="f" strokeweight=".5pt">
                    <v:textbox inset="0,0,0,0">
                      <w:txbxContent>
                        <w:p w14:paraId="0549D97C" w14:textId="77777777" w:rsidR="009F2F57" w:rsidRDefault="009F2F57" w:rsidP="009F2F57">
                          <w:pPr>
                            <w:pStyle w:val="Sinespaciado"/>
                            <w:jc w:val="center"/>
                            <w:rPr>
                              <w:color w:val="2F5496"/>
                              <w:sz w:val="36"/>
                              <w:szCs w:val="36"/>
                              <w:lang w:val="es-ES"/>
                            </w:rPr>
                          </w:pPr>
                        </w:p>
                        <w:p w14:paraId="7D290E29" w14:textId="77777777" w:rsidR="009F2F57" w:rsidRPr="00EE399E" w:rsidRDefault="009F2F57" w:rsidP="009F2F57">
                          <w:pPr>
                            <w:pStyle w:val="Sinespaciado"/>
                            <w:jc w:val="center"/>
                            <w:rPr>
                              <w:rFonts w:ascii="Times New Roman" w:hAnsi="Times New Roman"/>
                              <w:color w:val="2F5496"/>
                              <w:sz w:val="36"/>
                              <w:szCs w:val="36"/>
                              <w:lang w:val="es-ES"/>
                            </w:rPr>
                          </w:pPr>
                          <w:r w:rsidRPr="00EE399E">
                            <w:rPr>
                              <w:rFonts w:ascii="Times New Roman" w:hAnsi="Times New Roman"/>
                              <w:color w:val="2F5496"/>
                              <w:sz w:val="36"/>
                              <w:szCs w:val="36"/>
                              <w:lang w:val="es-ES"/>
                            </w:rPr>
                            <w:t>Bogotá – Colombia</w:t>
                          </w:r>
                        </w:p>
                        <w:p w14:paraId="2B11355D" w14:textId="561608B6" w:rsidR="009F2F57" w:rsidRPr="00EE399E" w:rsidRDefault="00E93852" w:rsidP="009F2F57">
                          <w:pPr>
                            <w:pStyle w:val="Sinespaciado"/>
                            <w:jc w:val="center"/>
                            <w:rPr>
                              <w:rFonts w:ascii="Times New Roman" w:hAnsi="Times New Roman"/>
                              <w:color w:val="2F5496"/>
                              <w:sz w:val="36"/>
                              <w:szCs w:val="36"/>
                              <w:lang w:val="es-ES"/>
                            </w:rPr>
                          </w:pPr>
                          <w:r>
                            <w:rPr>
                              <w:rFonts w:ascii="Times New Roman" w:hAnsi="Times New Roman"/>
                              <w:color w:val="2F5496"/>
                              <w:sz w:val="36"/>
                              <w:szCs w:val="36"/>
                              <w:lang w:val="es-ES"/>
                            </w:rPr>
                            <w:t>Febrero</w:t>
                          </w:r>
                          <w:r w:rsidR="009F2F57" w:rsidRPr="00EE399E">
                            <w:rPr>
                              <w:rFonts w:ascii="Times New Roman" w:hAnsi="Times New Roman"/>
                              <w:color w:val="2F5496"/>
                              <w:sz w:val="36"/>
                              <w:szCs w:val="36"/>
                              <w:lang w:val="es-ES"/>
                            </w:rPr>
                            <w:t xml:space="preserve"> de </w:t>
                          </w:r>
                          <w:r w:rsidR="009F2F57" w:rsidRPr="00740F6C">
                            <w:rPr>
                              <w:rFonts w:ascii="Times New Roman" w:hAnsi="Times New Roman"/>
                              <w:color w:val="2F5496"/>
                              <w:sz w:val="36"/>
                              <w:szCs w:val="36"/>
                              <w:lang w:val="es-ES"/>
                            </w:rPr>
                            <w:t>2024</w:t>
                          </w:r>
                        </w:p>
                        <w:p w14:paraId="4E38EBC1" w14:textId="77777777" w:rsidR="009F2F57" w:rsidRPr="00C263DD" w:rsidRDefault="009F2F57" w:rsidP="009F2F57">
                          <w:pPr>
                            <w:pStyle w:val="Sinespaciado"/>
                            <w:jc w:val="center"/>
                            <w:rPr>
                              <w:rFonts w:ascii="Times New Roman" w:hAnsi="Times New Roman"/>
                              <w:color w:val="2F5496"/>
                              <w:sz w:val="48"/>
                              <w:szCs w:val="48"/>
                              <w:lang w:val="es-ES"/>
                            </w:rPr>
                          </w:pPr>
                        </w:p>
                        <w:p w14:paraId="78B92313" w14:textId="77777777" w:rsidR="009F2F57" w:rsidRPr="002D2B9C" w:rsidRDefault="009F2F57" w:rsidP="009F2F57">
                          <w:pPr>
                            <w:pStyle w:val="Sinespaciado"/>
                            <w:jc w:val="center"/>
                            <w:rPr>
                              <w:smallCaps/>
                              <w:color w:val="151D6D"/>
                              <w:sz w:val="36"/>
                              <w:szCs w:val="36"/>
                            </w:rPr>
                          </w:pPr>
                        </w:p>
                      </w:txbxContent>
                    </v:textbox>
                    <w10:wrap type="square" anchorx="page" anchory="margin"/>
                  </v:shape>
                </w:pict>
              </mc:Fallback>
            </mc:AlternateContent>
          </w:r>
          <w:r w:rsidR="009F2F57" w:rsidRPr="009A46BB">
            <w:rPr>
              <w:rFonts w:ascii="Times New Roman" w:hAnsi="Times New Roman"/>
              <w:noProof/>
              <w:lang w:eastAsia="es-CO"/>
            </w:rPr>
            <mc:AlternateContent>
              <mc:Choice Requires="wps">
                <w:drawing>
                  <wp:anchor distT="0" distB="0" distL="114300" distR="114300" simplePos="0" relativeHeight="251658242" behindDoc="0" locked="0" layoutInCell="1" allowOverlap="1" wp14:anchorId="755EB595" wp14:editId="09816681">
                    <wp:simplePos x="0" y="0"/>
                    <wp:positionH relativeFrom="margin">
                      <wp:align>right</wp:align>
                    </wp:positionH>
                    <wp:positionV relativeFrom="margin">
                      <wp:posOffset>2567885</wp:posOffset>
                    </wp:positionV>
                    <wp:extent cx="4570095" cy="3267710"/>
                    <wp:effectExtent l="0" t="0" r="1905" b="8890"/>
                    <wp:wrapSquare wrapText="bothSides"/>
                    <wp:docPr id="118" name="Cuadro de texto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0095" cy="3267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183998B" w14:textId="77777777" w:rsidR="009F2F57" w:rsidRDefault="009F2F57" w:rsidP="009F2F57">
                                <w:pPr>
                                  <w:pStyle w:val="Sinespaciado"/>
                                  <w:jc w:val="left"/>
                                  <w:rPr>
                                    <w:color w:val="2F5496"/>
                                    <w:sz w:val="36"/>
                                    <w:szCs w:val="36"/>
                                    <w:lang w:val="es-ES"/>
                                  </w:rPr>
                                </w:pPr>
                              </w:p>
                              <w:p w14:paraId="60A65D42" w14:textId="77777777" w:rsidR="009F2F57" w:rsidRPr="00EE399E" w:rsidRDefault="009F2F57" w:rsidP="009F2F57">
                                <w:pPr>
                                  <w:pStyle w:val="Sinespaciado"/>
                                  <w:jc w:val="left"/>
                                  <w:rPr>
                                    <w:rFonts w:ascii="Times New Roman" w:hAnsi="Times New Roman"/>
                                    <w:color w:val="2F5496"/>
                                    <w:sz w:val="72"/>
                                    <w:szCs w:val="72"/>
                                    <w:lang w:val="es-ES"/>
                                  </w:rPr>
                                </w:pPr>
                                <w:r w:rsidRPr="00EE399E">
                                  <w:rPr>
                                    <w:rFonts w:ascii="Times New Roman" w:hAnsi="Times New Roman"/>
                                    <w:color w:val="2F5496"/>
                                    <w:sz w:val="72"/>
                                    <w:szCs w:val="72"/>
                                    <w:lang w:val="es-ES"/>
                                  </w:rPr>
                                  <w:t>Notas a los Estados Financieros</w:t>
                                </w:r>
                              </w:p>
                              <w:p w14:paraId="69549F3D" w14:textId="77777777" w:rsidR="009F2F57" w:rsidRPr="00EE399E" w:rsidRDefault="009F2F57" w:rsidP="009F2F57">
                                <w:pPr>
                                  <w:pStyle w:val="Sinespaciado"/>
                                  <w:jc w:val="left"/>
                                  <w:rPr>
                                    <w:rFonts w:ascii="Times New Roman" w:hAnsi="Times New Roman"/>
                                    <w:color w:val="2F5496"/>
                                    <w:sz w:val="72"/>
                                    <w:szCs w:val="72"/>
                                    <w:lang w:val="es-ES"/>
                                  </w:rPr>
                                </w:pPr>
                                <w:r w:rsidRPr="00EE399E">
                                  <w:rPr>
                                    <w:rFonts w:ascii="Times New Roman" w:hAnsi="Times New Roman"/>
                                    <w:color w:val="2F5496"/>
                                    <w:sz w:val="72"/>
                                    <w:szCs w:val="72"/>
                                    <w:lang w:val="es-ES"/>
                                  </w:rPr>
                                  <w:t>diciembre de 202</w:t>
                                </w:r>
                                <w:r>
                                  <w:rPr>
                                    <w:rFonts w:ascii="Times New Roman" w:hAnsi="Times New Roman"/>
                                    <w:color w:val="2F5496"/>
                                    <w:sz w:val="72"/>
                                    <w:szCs w:val="72"/>
                                    <w:lang w:val="es-ES"/>
                                  </w:rPr>
                                  <w:t>3</w:t>
                                </w:r>
                                <w:r w:rsidRPr="00EE399E">
                                  <w:rPr>
                                    <w:rFonts w:ascii="Times New Roman" w:hAnsi="Times New Roman"/>
                                    <w:color w:val="2F5496"/>
                                    <w:sz w:val="72"/>
                                    <w:szCs w:val="72"/>
                                    <w:lang w:val="es-ES"/>
                                  </w:rPr>
                                  <w:t xml:space="preserve"> </w:t>
                                </w:r>
                              </w:p>
                              <w:p w14:paraId="6E6DE76F" w14:textId="77777777" w:rsidR="009F2F57" w:rsidRPr="00C263DD" w:rsidRDefault="009F2F57" w:rsidP="009F2F57">
                                <w:pPr>
                                  <w:pStyle w:val="Sinespaciado"/>
                                  <w:jc w:val="left"/>
                                  <w:rPr>
                                    <w:rFonts w:ascii="Times New Roman" w:hAnsi="Times New Roman"/>
                                    <w:color w:val="2F5496"/>
                                    <w:sz w:val="48"/>
                                    <w:szCs w:val="48"/>
                                    <w:lang w:val="es-ES"/>
                                  </w:rPr>
                                </w:pPr>
                              </w:p>
                              <w:p w14:paraId="09548C55" w14:textId="77777777" w:rsidR="009F2F57" w:rsidRPr="002D2B9C" w:rsidRDefault="009F2F57" w:rsidP="009F2F57">
                                <w:pPr>
                                  <w:pStyle w:val="Sinespaciado"/>
                                  <w:jc w:val="left"/>
                                  <w:rPr>
                                    <w:smallCaps/>
                                    <w:color w:val="151D6D"/>
                                    <w:sz w:val="36"/>
                                    <w:szCs w:val="36"/>
                                  </w:rPr>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755EB595" id="Cuadro de texto 118" o:spid="_x0000_s1027" type="#_x0000_t202" style="position:absolute;left:0;text-align:left;margin-left:308.65pt;margin-top:202.2pt;width:359.85pt;height:257.3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bkE2wEAAJkDAAAOAAAAZHJzL2Uyb0RvYy54bWysU9tu3CAQfa/Uf0C8d+3dNpvEWm+UJkpV&#10;Kb1IaT8AY7BRbYYO7Nrbr++A7U0vb1Vf0DDAmXPODLubse/YUaE3YEu+XuWcKSuhNrYp+dcvD6+u&#10;OPNB2Fp0YFXJT8rzm/3LF7vBFWoDLXS1QkYg1heDK3kbgiuyzMtW9cKvwClLhxqwF4G22GQ1ioHQ&#10;+y7b5Pk2GwBrhyCV95S9nw75PuFrrWT4pLVXgXUlJ24hrZjWKq7ZfieKBoVrjZxpiH9g0QtjqegZ&#10;6l4EwQ5o/oLqjUTwoMNKQp+B1kaqpIHUrPM/1Dy1wqmkhczx7myT/3+w8uPxyX1GFsa3MFIDkwjv&#10;HkF+88zCXStso24RYWiVqKnwOlqWDc4X89NotS98BKmGD1BTk8UhQAIaNfbRFdLJCJ0acDqbrsbA&#10;JCXfXFzm+fUFZ5LOXm+2l9dX21RDFMtzhz68U9CzGJQcqasJXhwffYh0RLFcidUsPJiuS53t7G8J&#10;uhgziX5kPHEPYzUyU8/aopoK6hPpQZjmheabghbwB2cDzUrJ/feDQMVZ996SJ3GwlgCXoFoCYSU9&#10;LXnF2RTehWkADw5N0xLy5LqFW/JNm6TomcVMl/qfhM6zGgfs13269fyj9j8BAAD//wMAUEsDBBQA&#10;BgAIAAAAIQAuU5VL4AAAAAgBAAAPAAAAZHJzL2Rvd25yZXYueG1sTI/NTsMwEITvSLyDtUjcqB0I&#10;bROyqRAVQkg90FI4O/GSRI3tKHZ+ytNjTnAczWjmm2wz65aN1LvGGoRoIYCRKa1qTIVwfH++WQNz&#10;XholW2sI4UwONvnlRSZTZSezp/HgKxZKjEslQu19l3Luypq0dAvbkQnel+219EH2FVe9nEK5bvmt&#10;EEuuZWPCQi07eqqpPB0GjfD2XXwsd5/Dedq+bsc9nV6G++gO8fpqfnwA5mn2f2H4xQ/okAemwg5G&#10;OdYihCMeIRZxDCzYqyhZASsQkigRwPOM/z+Q/wAAAP//AwBQSwECLQAUAAYACAAAACEAtoM4kv4A&#10;AADhAQAAEwAAAAAAAAAAAAAAAAAAAAAAW0NvbnRlbnRfVHlwZXNdLnhtbFBLAQItABQABgAIAAAA&#10;IQA4/SH/1gAAAJQBAAALAAAAAAAAAAAAAAAAAC8BAABfcmVscy8ucmVsc1BLAQItABQABgAIAAAA&#10;IQBPZbkE2wEAAJkDAAAOAAAAAAAAAAAAAAAAAC4CAABkcnMvZTJvRG9jLnhtbFBLAQItABQABgAI&#10;AAAAIQAuU5VL4AAAAAgBAAAPAAAAAAAAAAAAAAAAADUEAABkcnMvZG93bnJldi54bWxQSwUGAAAA&#10;AAQABADzAAAAQgUAAAAA&#10;" filled="f" stroked="f" strokeweight=".5pt">
                    <v:textbox inset="0,0,0,0">
                      <w:txbxContent>
                        <w:p w14:paraId="7183998B" w14:textId="77777777" w:rsidR="009F2F57" w:rsidRDefault="009F2F57" w:rsidP="009F2F57">
                          <w:pPr>
                            <w:pStyle w:val="Sinespaciado"/>
                            <w:jc w:val="left"/>
                            <w:rPr>
                              <w:color w:val="2F5496"/>
                              <w:sz w:val="36"/>
                              <w:szCs w:val="36"/>
                              <w:lang w:val="es-ES"/>
                            </w:rPr>
                          </w:pPr>
                        </w:p>
                        <w:p w14:paraId="60A65D42" w14:textId="77777777" w:rsidR="009F2F57" w:rsidRPr="00EE399E" w:rsidRDefault="009F2F57" w:rsidP="009F2F57">
                          <w:pPr>
                            <w:pStyle w:val="Sinespaciado"/>
                            <w:jc w:val="left"/>
                            <w:rPr>
                              <w:rFonts w:ascii="Times New Roman" w:hAnsi="Times New Roman"/>
                              <w:color w:val="2F5496"/>
                              <w:sz w:val="72"/>
                              <w:szCs w:val="72"/>
                              <w:lang w:val="es-ES"/>
                            </w:rPr>
                          </w:pPr>
                          <w:r w:rsidRPr="00EE399E">
                            <w:rPr>
                              <w:rFonts w:ascii="Times New Roman" w:hAnsi="Times New Roman"/>
                              <w:color w:val="2F5496"/>
                              <w:sz w:val="72"/>
                              <w:szCs w:val="72"/>
                              <w:lang w:val="es-ES"/>
                            </w:rPr>
                            <w:t>Notas a los Estados Financieros</w:t>
                          </w:r>
                        </w:p>
                        <w:p w14:paraId="69549F3D" w14:textId="77777777" w:rsidR="009F2F57" w:rsidRPr="00EE399E" w:rsidRDefault="009F2F57" w:rsidP="009F2F57">
                          <w:pPr>
                            <w:pStyle w:val="Sinespaciado"/>
                            <w:jc w:val="left"/>
                            <w:rPr>
                              <w:rFonts w:ascii="Times New Roman" w:hAnsi="Times New Roman"/>
                              <w:color w:val="2F5496"/>
                              <w:sz w:val="72"/>
                              <w:szCs w:val="72"/>
                              <w:lang w:val="es-ES"/>
                            </w:rPr>
                          </w:pPr>
                          <w:r w:rsidRPr="00EE399E">
                            <w:rPr>
                              <w:rFonts w:ascii="Times New Roman" w:hAnsi="Times New Roman"/>
                              <w:color w:val="2F5496"/>
                              <w:sz w:val="72"/>
                              <w:szCs w:val="72"/>
                              <w:lang w:val="es-ES"/>
                            </w:rPr>
                            <w:t>diciembre de 202</w:t>
                          </w:r>
                          <w:r>
                            <w:rPr>
                              <w:rFonts w:ascii="Times New Roman" w:hAnsi="Times New Roman"/>
                              <w:color w:val="2F5496"/>
                              <w:sz w:val="72"/>
                              <w:szCs w:val="72"/>
                              <w:lang w:val="es-ES"/>
                            </w:rPr>
                            <w:t>3</w:t>
                          </w:r>
                          <w:r w:rsidRPr="00EE399E">
                            <w:rPr>
                              <w:rFonts w:ascii="Times New Roman" w:hAnsi="Times New Roman"/>
                              <w:color w:val="2F5496"/>
                              <w:sz w:val="72"/>
                              <w:szCs w:val="72"/>
                              <w:lang w:val="es-ES"/>
                            </w:rPr>
                            <w:t xml:space="preserve"> </w:t>
                          </w:r>
                        </w:p>
                        <w:p w14:paraId="6E6DE76F" w14:textId="77777777" w:rsidR="009F2F57" w:rsidRPr="00C263DD" w:rsidRDefault="009F2F57" w:rsidP="009F2F57">
                          <w:pPr>
                            <w:pStyle w:val="Sinespaciado"/>
                            <w:jc w:val="left"/>
                            <w:rPr>
                              <w:rFonts w:ascii="Times New Roman" w:hAnsi="Times New Roman"/>
                              <w:color w:val="2F5496"/>
                              <w:sz w:val="48"/>
                              <w:szCs w:val="48"/>
                              <w:lang w:val="es-ES"/>
                            </w:rPr>
                          </w:pPr>
                        </w:p>
                        <w:p w14:paraId="09548C55" w14:textId="77777777" w:rsidR="009F2F57" w:rsidRPr="002D2B9C" w:rsidRDefault="009F2F57" w:rsidP="009F2F57">
                          <w:pPr>
                            <w:pStyle w:val="Sinespaciado"/>
                            <w:jc w:val="left"/>
                            <w:rPr>
                              <w:smallCaps/>
                              <w:color w:val="151D6D"/>
                              <w:sz w:val="36"/>
                              <w:szCs w:val="36"/>
                            </w:rPr>
                          </w:pPr>
                        </w:p>
                      </w:txbxContent>
                    </v:textbox>
                    <w10:wrap type="square" anchorx="margin" anchory="margin"/>
                  </v:shape>
                </w:pict>
              </mc:Fallback>
            </mc:AlternateContent>
          </w:r>
          <w:r w:rsidR="009F2F57" w:rsidRPr="009A46BB">
            <w:rPr>
              <w:rFonts w:ascii="Times New Roman" w:hAnsi="Times New Roman"/>
              <w:b/>
              <w:color w:val="1F3864" w:themeColor="accent1" w:themeShade="80"/>
              <w:sz w:val="26"/>
            </w:rPr>
            <w:br w:type="page"/>
          </w:r>
        </w:p>
      </w:sdtContent>
    </w:sdt>
    <w:sdt>
      <w:sdtPr>
        <w:rPr>
          <w:rFonts w:ascii="Times New Roman" w:hAnsi="Times New Roman"/>
        </w:rPr>
        <w:id w:val="771984243"/>
        <w:docPartObj>
          <w:docPartGallery w:val="Cover Pages"/>
          <w:docPartUnique/>
        </w:docPartObj>
      </w:sdtPr>
      <w:sdtEndPr>
        <w:rPr>
          <w:b/>
          <w:bCs/>
          <w:color w:val="1F3864" w:themeColor="accent1" w:themeShade="80"/>
          <w:sz w:val="26"/>
          <w:szCs w:val="26"/>
        </w:rPr>
      </w:sdtEndPr>
      <w:sdtContent>
        <w:p w14:paraId="7BD8F251" w14:textId="6EC7F499" w:rsidR="00C263DD" w:rsidRPr="00931DCE" w:rsidRDefault="00C263DD" w:rsidP="004A000E">
          <w:pPr>
            <w:jc w:val="both"/>
            <w:rPr>
              <w:rFonts w:ascii="Times New Roman" w:hAnsi="Times New Roman"/>
            </w:rPr>
          </w:pPr>
        </w:p>
        <w:sdt>
          <w:sdtPr>
            <w:rPr>
              <w:rFonts w:ascii="Times New Roman" w:hAnsi="Times New Roman"/>
              <w:lang w:val="es-ES"/>
            </w:rPr>
            <w:id w:val="-337782563"/>
            <w:docPartObj>
              <w:docPartGallery w:val="Table of Contents"/>
              <w:docPartUnique/>
            </w:docPartObj>
          </w:sdtPr>
          <w:sdtEndPr>
            <w:rPr>
              <w:b/>
              <w:bCs/>
            </w:rPr>
          </w:sdtEndPr>
          <w:sdtContent>
            <w:p w14:paraId="3583B43B" w14:textId="022F1E3D" w:rsidR="006E283A" w:rsidRDefault="00CA0525">
              <w:pPr>
                <w:pStyle w:val="TDC1"/>
                <w:tabs>
                  <w:tab w:val="right" w:leader="dot" w:pos="8969"/>
                </w:tabs>
                <w:rPr>
                  <w:rFonts w:asciiTheme="minorHAnsi" w:eastAsiaTheme="minorEastAsia" w:hAnsiTheme="minorHAnsi" w:cstheme="minorBidi"/>
                  <w:noProof/>
                  <w:kern w:val="2"/>
                  <w:lang w:eastAsia="es-CO"/>
                  <w14:ligatures w14:val="standardContextual"/>
                </w:rPr>
              </w:pPr>
              <w:r w:rsidRPr="00931DCE">
                <w:rPr>
                  <w:rFonts w:ascii="Times New Roman" w:hAnsi="Times New Roman"/>
                  <w:sz w:val="24"/>
                  <w:szCs w:val="24"/>
                </w:rPr>
                <w:fldChar w:fldCharType="begin"/>
              </w:r>
              <w:r w:rsidRPr="226B1B92">
                <w:rPr>
                  <w:rFonts w:ascii="Times New Roman" w:hAnsi="Times New Roman"/>
                  <w:sz w:val="24"/>
                  <w:szCs w:val="24"/>
                </w:rPr>
                <w:instrText xml:space="preserve"> TOC \o "1-3" \h \z \u </w:instrText>
              </w:r>
              <w:r w:rsidRPr="00931DCE">
                <w:rPr>
                  <w:rFonts w:ascii="Times New Roman" w:hAnsi="Times New Roman"/>
                  <w:sz w:val="24"/>
                  <w:szCs w:val="24"/>
                </w:rPr>
                <w:fldChar w:fldCharType="separate"/>
              </w:r>
              <w:hyperlink w:anchor="_Toc159952345" w:history="1">
                <w:r w:rsidR="006E283A" w:rsidRPr="00D66931">
                  <w:rPr>
                    <w:rStyle w:val="Hipervnculo"/>
                    <w:noProof/>
                  </w:rPr>
                  <w:t>NOTA 1. AGENCIA NACIONAL DE INFRAESTRUCTURA</w:t>
                </w:r>
                <w:r w:rsidR="006E283A">
                  <w:rPr>
                    <w:noProof/>
                    <w:webHidden/>
                  </w:rPr>
                  <w:tab/>
                </w:r>
                <w:r w:rsidR="006E283A">
                  <w:rPr>
                    <w:noProof/>
                    <w:webHidden/>
                  </w:rPr>
                  <w:fldChar w:fldCharType="begin"/>
                </w:r>
                <w:r w:rsidR="006E283A">
                  <w:rPr>
                    <w:noProof/>
                    <w:webHidden/>
                  </w:rPr>
                  <w:instrText xml:space="preserve"> PAGEREF _Toc159952345 \h </w:instrText>
                </w:r>
                <w:r w:rsidR="006E283A">
                  <w:rPr>
                    <w:noProof/>
                    <w:webHidden/>
                  </w:rPr>
                </w:r>
                <w:r w:rsidR="006E283A">
                  <w:rPr>
                    <w:noProof/>
                    <w:webHidden/>
                  </w:rPr>
                  <w:fldChar w:fldCharType="separate"/>
                </w:r>
                <w:r w:rsidR="00987C8A">
                  <w:rPr>
                    <w:noProof/>
                    <w:webHidden/>
                  </w:rPr>
                  <w:t>5</w:t>
                </w:r>
                <w:r w:rsidR="006E283A">
                  <w:rPr>
                    <w:noProof/>
                    <w:webHidden/>
                  </w:rPr>
                  <w:fldChar w:fldCharType="end"/>
                </w:r>
              </w:hyperlink>
            </w:p>
            <w:p w14:paraId="18A60851" w14:textId="7AF981D7" w:rsidR="006E283A" w:rsidRDefault="006E283A">
              <w:pPr>
                <w:pStyle w:val="TDC2"/>
                <w:tabs>
                  <w:tab w:val="left" w:pos="880"/>
                  <w:tab w:val="right" w:leader="dot" w:pos="8969"/>
                </w:tabs>
                <w:rPr>
                  <w:rFonts w:cstheme="minorBidi"/>
                  <w:noProof/>
                  <w:kern w:val="2"/>
                  <w14:ligatures w14:val="standardContextual"/>
                </w:rPr>
              </w:pPr>
              <w:hyperlink w:anchor="_Toc159952346" w:history="1">
                <w:r w:rsidRPr="00D66931">
                  <w:rPr>
                    <w:rStyle w:val="Hipervnculo"/>
                    <w:noProof/>
                  </w:rPr>
                  <w:t>1.1.</w:t>
                </w:r>
                <w:r>
                  <w:rPr>
                    <w:rFonts w:cstheme="minorBidi"/>
                    <w:noProof/>
                    <w:kern w:val="2"/>
                    <w14:ligatures w14:val="standardContextual"/>
                  </w:rPr>
                  <w:tab/>
                </w:r>
                <w:r w:rsidRPr="00D66931">
                  <w:rPr>
                    <w:rStyle w:val="Hipervnculo"/>
                    <w:noProof/>
                  </w:rPr>
                  <w:t>Identificación y funciones</w:t>
                </w:r>
                <w:r>
                  <w:rPr>
                    <w:noProof/>
                    <w:webHidden/>
                  </w:rPr>
                  <w:tab/>
                </w:r>
                <w:r>
                  <w:rPr>
                    <w:noProof/>
                    <w:webHidden/>
                  </w:rPr>
                  <w:fldChar w:fldCharType="begin"/>
                </w:r>
                <w:r>
                  <w:rPr>
                    <w:noProof/>
                    <w:webHidden/>
                  </w:rPr>
                  <w:instrText xml:space="preserve"> PAGEREF _Toc159952346 \h </w:instrText>
                </w:r>
                <w:r>
                  <w:rPr>
                    <w:noProof/>
                    <w:webHidden/>
                  </w:rPr>
                </w:r>
                <w:r>
                  <w:rPr>
                    <w:noProof/>
                    <w:webHidden/>
                  </w:rPr>
                  <w:fldChar w:fldCharType="separate"/>
                </w:r>
                <w:r w:rsidR="00987C8A">
                  <w:rPr>
                    <w:noProof/>
                    <w:webHidden/>
                  </w:rPr>
                  <w:t>5</w:t>
                </w:r>
                <w:r>
                  <w:rPr>
                    <w:noProof/>
                    <w:webHidden/>
                  </w:rPr>
                  <w:fldChar w:fldCharType="end"/>
                </w:r>
              </w:hyperlink>
            </w:p>
            <w:p w14:paraId="3499BD7B" w14:textId="311ED347" w:rsidR="006E283A" w:rsidRDefault="006E283A">
              <w:pPr>
                <w:pStyle w:val="TDC2"/>
                <w:tabs>
                  <w:tab w:val="left" w:pos="880"/>
                  <w:tab w:val="right" w:leader="dot" w:pos="8969"/>
                </w:tabs>
                <w:rPr>
                  <w:rFonts w:cstheme="minorBidi"/>
                  <w:noProof/>
                  <w:kern w:val="2"/>
                  <w14:ligatures w14:val="standardContextual"/>
                </w:rPr>
              </w:pPr>
              <w:hyperlink w:anchor="_Toc159952347" w:history="1">
                <w:r w:rsidRPr="00D66931">
                  <w:rPr>
                    <w:rStyle w:val="Hipervnculo"/>
                    <w:noProof/>
                  </w:rPr>
                  <w:t>1.2.</w:t>
                </w:r>
                <w:r>
                  <w:rPr>
                    <w:rFonts w:cstheme="minorBidi"/>
                    <w:noProof/>
                    <w:kern w:val="2"/>
                    <w14:ligatures w14:val="standardContextual"/>
                  </w:rPr>
                  <w:tab/>
                </w:r>
                <w:r w:rsidRPr="00D66931">
                  <w:rPr>
                    <w:rStyle w:val="Hipervnculo"/>
                    <w:noProof/>
                  </w:rPr>
                  <w:t>Declaración de cumplimiento del marco normativo y limitaciones</w:t>
                </w:r>
                <w:r>
                  <w:rPr>
                    <w:noProof/>
                    <w:webHidden/>
                  </w:rPr>
                  <w:tab/>
                </w:r>
                <w:r>
                  <w:rPr>
                    <w:noProof/>
                    <w:webHidden/>
                  </w:rPr>
                  <w:fldChar w:fldCharType="begin"/>
                </w:r>
                <w:r>
                  <w:rPr>
                    <w:noProof/>
                    <w:webHidden/>
                  </w:rPr>
                  <w:instrText xml:space="preserve"> PAGEREF _Toc159952347 \h </w:instrText>
                </w:r>
                <w:r>
                  <w:rPr>
                    <w:noProof/>
                    <w:webHidden/>
                  </w:rPr>
                </w:r>
                <w:r>
                  <w:rPr>
                    <w:noProof/>
                    <w:webHidden/>
                  </w:rPr>
                  <w:fldChar w:fldCharType="separate"/>
                </w:r>
                <w:r w:rsidR="00987C8A">
                  <w:rPr>
                    <w:noProof/>
                    <w:webHidden/>
                  </w:rPr>
                  <w:t>6</w:t>
                </w:r>
                <w:r>
                  <w:rPr>
                    <w:noProof/>
                    <w:webHidden/>
                  </w:rPr>
                  <w:fldChar w:fldCharType="end"/>
                </w:r>
              </w:hyperlink>
            </w:p>
            <w:p w14:paraId="0906D80D" w14:textId="2B61F8A0" w:rsidR="006E283A" w:rsidRDefault="006E283A">
              <w:pPr>
                <w:pStyle w:val="TDC2"/>
                <w:tabs>
                  <w:tab w:val="right" w:leader="dot" w:pos="8969"/>
                </w:tabs>
                <w:rPr>
                  <w:rFonts w:cstheme="minorBidi"/>
                  <w:noProof/>
                  <w:kern w:val="2"/>
                  <w14:ligatures w14:val="standardContextual"/>
                </w:rPr>
              </w:pPr>
              <w:hyperlink w:anchor="_Toc159952348" w:history="1">
                <w:r w:rsidRPr="00D66931">
                  <w:rPr>
                    <w:rStyle w:val="Hipervnculo"/>
                    <w:rFonts w:eastAsia="Times New Roman"/>
                    <w:noProof/>
                  </w:rPr>
                  <w:t>1.1.       Base normativa y periodo cubierto</w:t>
                </w:r>
                <w:r>
                  <w:rPr>
                    <w:noProof/>
                    <w:webHidden/>
                  </w:rPr>
                  <w:tab/>
                </w:r>
                <w:r>
                  <w:rPr>
                    <w:noProof/>
                    <w:webHidden/>
                  </w:rPr>
                  <w:fldChar w:fldCharType="begin"/>
                </w:r>
                <w:r>
                  <w:rPr>
                    <w:noProof/>
                    <w:webHidden/>
                  </w:rPr>
                  <w:instrText xml:space="preserve"> PAGEREF _Toc159952348 \h </w:instrText>
                </w:r>
                <w:r>
                  <w:rPr>
                    <w:noProof/>
                    <w:webHidden/>
                  </w:rPr>
                </w:r>
                <w:r>
                  <w:rPr>
                    <w:noProof/>
                    <w:webHidden/>
                  </w:rPr>
                  <w:fldChar w:fldCharType="separate"/>
                </w:r>
                <w:r w:rsidR="00987C8A">
                  <w:rPr>
                    <w:noProof/>
                    <w:webHidden/>
                  </w:rPr>
                  <w:t>11</w:t>
                </w:r>
                <w:r>
                  <w:rPr>
                    <w:noProof/>
                    <w:webHidden/>
                  </w:rPr>
                  <w:fldChar w:fldCharType="end"/>
                </w:r>
              </w:hyperlink>
            </w:p>
            <w:p w14:paraId="669B1F52" w14:textId="58B7AD9F" w:rsidR="006E283A" w:rsidRDefault="006E283A">
              <w:pPr>
                <w:pStyle w:val="TDC2"/>
                <w:tabs>
                  <w:tab w:val="right" w:leader="dot" w:pos="8969"/>
                </w:tabs>
                <w:rPr>
                  <w:rFonts w:cstheme="minorBidi"/>
                  <w:noProof/>
                  <w:kern w:val="2"/>
                  <w14:ligatures w14:val="standardContextual"/>
                </w:rPr>
              </w:pPr>
              <w:hyperlink w:anchor="_Toc159952349" w:history="1">
                <w:r w:rsidRPr="00D66931">
                  <w:rPr>
                    <w:rStyle w:val="Hipervnculo"/>
                    <w:rFonts w:eastAsia="Times New Roman"/>
                    <w:noProof/>
                  </w:rPr>
                  <w:t>1.2.       Forma de Organización y/o Cobertura</w:t>
                </w:r>
                <w:r>
                  <w:rPr>
                    <w:noProof/>
                    <w:webHidden/>
                  </w:rPr>
                  <w:tab/>
                </w:r>
                <w:r>
                  <w:rPr>
                    <w:noProof/>
                    <w:webHidden/>
                  </w:rPr>
                  <w:fldChar w:fldCharType="begin"/>
                </w:r>
                <w:r>
                  <w:rPr>
                    <w:noProof/>
                    <w:webHidden/>
                  </w:rPr>
                  <w:instrText xml:space="preserve"> PAGEREF _Toc159952349 \h </w:instrText>
                </w:r>
                <w:r>
                  <w:rPr>
                    <w:noProof/>
                    <w:webHidden/>
                  </w:rPr>
                </w:r>
                <w:r>
                  <w:rPr>
                    <w:noProof/>
                    <w:webHidden/>
                  </w:rPr>
                  <w:fldChar w:fldCharType="separate"/>
                </w:r>
                <w:r w:rsidR="00987C8A">
                  <w:rPr>
                    <w:noProof/>
                    <w:webHidden/>
                  </w:rPr>
                  <w:t>12</w:t>
                </w:r>
                <w:r>
                  <w:rPr>
                    <w:noProof/>
                    <w:webHidden/>
                  </w:rPr>
                  <w:fldChar w:fldCharType="end"/>
                </w:r>
              </w:hyperlink>
            </w:p>
            <w:p w14:paraId="680D7A42" w14:textId="3EB5B7E3" w:rsidR="006E283A" w:rsidRDefault="006E283A">
              <w:pPr>
                <w:pStyle w:val="TDC1"/>
                <w:tabs>
                  <w:tab w:val="right" w:leader="dot" w:pos="8969"/>
                </w:tabs>
                <w:rPr>
                  <w:rFonts w:asciiTheme="minorHAnsi" w:eastAsiaTheme="minorEastAsia" w:hAnsiTheme="minorHAnsi" w:cstheme="minorBidi"/>
                  <w:noProof/>
                  <w:kern w:val="2"/>
                  <w:lang w:eastAsia="es-CO"/>
                  <w14:ligatures w14:val="standardContextual"/>
                </w:rPr>
              </w:pPr>
              <w:hyperlink w:anchor="_Toc159952350" w:history="1">
                <w:r w:rsidRPr="00D66931">
                  <w:rPr>
                    <w:rStyle w:val="Hipervnculo"/>
                    <w:rFonts w:eastAsia="Times New Roman"/>
                    <w:noProof/>
                  </w:rPr>
                  <w:t>NOTA 2. BASES DE MEDICIÓN Y PRESENTACIÓN UTILIZADAS</w:t>
                </w:r>
                <w:r>
                  <w:rPr>
                    <w:noProof/>
                    <w:webHidden/>
                  </w:rPr>
                  <w:tab/>
                </w:r>
                <w:r>
                  <w:rPr>
                    <w:noProof/>
                    <w:webHidden/>
                  </w:rPr>
                  <w:fldChar w:fldCharType="begin"/>
                </w:r>
                <w:r>
                  <w:rPr>
                    <w:noProof/>
                    <w:webHidden/>
                  </w:rPr>
                  <w:instrText xml:space="preserve"> PAGEREF _Toc159952350 \h </w:instrText>
                </w:r>
                <w:r>
                  <w:rPr>
                    <w:noProof/>
                    <w:webHidden/>
                  </w:rPr>
                </w:r>
                <w:r>
                  <w:rPr>
                    <w:noProof/>
                    <w:webHidden/>
                  </w:rPr>
                  <w:fldChar w:fldCharType="separate"/>
                </w:r>
                <w:r w:rsidR="00987C8A">
                  <w:rPr>
                    <w:noProof/>
                    <w:webHidden/>
                  </w:rPr>
                  <w:t>13</w:t>
                </w:r>
                <w:r>
                  <w:rPr>
                    <w:noProof/>
                    <w:webHidden/>
                  </w:rPr>
                  <w:fldChar w:fldCharType="end"/>
                </w:r>
              </w:hyperlink>
            </w:p>
            <w:p w14:paraId="68181E46" w14:textId="5B2BD5EA" w:rsidR="006E283A" w:rsidRDefault="006E283A">
              <w:pPr>
                <w:pStyle w:val="TDC2"/>
                <w:tabs>
                  <w:tab w:val="right" w:leader="dot" w:pos="8969"/>
                </w:tabs>
                <w:rPr>
                  <w:rFonts w:cstheme="minorBidi"/>
                  <w:noProof/>
                  <w:kern w:val="2"/>
                  <w14:ligatures w14:val="standardContextual"/>
                </w:rPr>
              </w:pPr>
              <w:hyperlink w:anchor="_Toc159952351" w:history="1">
                <w:r w:rsidRPr="00D66931">
                  <w:rPr>
                    <w:rStyle w:val="Hipervnculo"/>
                    <w:rFonts w:eastAsia="Times New Roman"/>
                    <w:noProof/>
                  </w:rPr>
                  <w:t>2.1.            Bases de medición</w:t>
                </w:r>
                <w:r>
                  <w:rPr>
                    <w:noProof/>
                    <w:webHidden/>
                  </w:rPr>
                  <w:tab/>
                </w:r>
                <w:r>
                  <w:rPr>
                    <w:noProof/>
                    <w:webHidden/>
                  </w:rPr>
                  <w:fldChar w:fldCharType="begin"/>
                </w:r>
                <w:r>
                  <w:rPr>
                    <w:noProof/>
                    <w:webHidden/>
                  </w:rPr>
                  <w:instrText xml:space="preserve"> PAGEREF _Toc159952351 \h </w:instrText>
                </w:r>
                <w:r>
                  <w:rPr>
                    <w:noProof/>
                    <w:webHidden/>
                  </w:rPr>
                </w:r>
                <w:r>
                  <w:rPr>
                    <w:noProof/>
                    <w:webHidden/>
                  </w:rPr>
                  <w:fldChar w:fldCharType="separate"/>
                </w:r>
                <w:r w:rsidR="00987C8A">
                  <w:rPr>
                    <w:noProof/>
                    <w:webHidden/>
                  </w:rPr>
                  <w:t>13</w:t>
                </w:r>
                <w:r>
                  <w:rPr>
                    <w:noProof/>
                    <w:webHidden/>
                  </w:rPr>
                  <w:fldChar w:fldCharType="end"/>
                </w:r>
              </w:hyperlink>
            </w:p>
            <w:p w14:paraId="004E5DA4" w14:textId="78CB09A9" w:rsidR="006E283A" w:rsidRDefault="006E283A">
              <w:pPr>
                <w:pStyle w:val="TDC2"/>
                <w:tabs>
                  <w:tab w:val="right" w:leader="dot" w:pos="8969"/>
                </w:tabs>
                <w:rPr>
                  <w:rFonts w:cstheme="minorBidi"/>
                  <w:noProof/>
                  <w:kern w:val="2"/>
                  <w14:ligatures w14:val="standardContextual"/>
                </w:rPr>
              </w:pPr>
              <w:hyperlink w:anchor="_Toc159952352" w:history="1">
                <w:r w:rsidRPr="00D66931">
                  <w:rPr>
                    <w:rStyle w:val="Hipervnculo"/>
                    <w:rFonts w:eastAsia="Times New Roman"/>
                    <w:noProof/>
                  </w:rPr>
                  <w:t>2.2.       Moneda funcional y de presentación, redondeo y materialidad</w:t>
                </w:r>
                <w:r>
                  <w:rPr>
                    <w:noProof/>
                    <w:webHidden/>
                  </w:rPr>
                  <w:tab/>
                </w:r>
                <w:r>
                  <w:rPr>
                    <w:noProof/>
                    <w:webHidden/>
                  </w:rPr>
                  <w:fldChar w:fldCharType="begin"/>
                </w:r>
                <w:r>
                  <w:rPr>
                    <w:noProof/>
                    <w:webHidden/>
                  </w:rPr>
                  <w:instrText xml:space="preserve"> PAGEREF _Toc159952352 \h </w:instrText>
                </w:r>
                <w:r>
                  <w:rPr>
                    <w:noProof/>
                    <w:webHidden/>
                  </w:rPr>
                </w:r>
                <w:r>
                  <w:rPr>
                    <w:noProof/>
                    <w:webHidden/>
                  </w:rPr>
                  <w:fldChar w:fldCharType="separate"/>
                </w:r>
                <w:r w:rsidR="00987C8A">
                  <w:rPr>
                    <w:noProof/>
                    <w:webHidden/>
                  </w:rPr>
                  <w:t>14</w:t>
                </w:r>
                <w:r>
                  <w:rPr>
                    <w:noProof/>
                    <w:webHidden/>
                  </w:rPr>
                  <w:fldChar w:fldCharType="end"/>
                </w:r>
              </w:hyperlink>
            </w:p>
            <w:p w14:paraId="596B19DE" w14:textId="19FB7394" w:rsidR="006E283A" w:rsidRDefault="006E283A">
              <w:pPr>
                <w:pStyle w:val="TDC2"/>
                <w:tabs>
                  <w:tab w:val="right" w:leader="dot" w:pos="8969"/>
                </w:tabs>
                <w:rPr>
                  <w:rFonts w:cstheme="minorBidi"/>
                  <w:noProof/>
                  <w:kern w:val="2"/>
                  <w14:ligatures w14:val="standardContextual"/>
                </w:rPr>
              </w:pPr>
              <w:hyperlink w:anchor="_Toc159952353" w:history="1">
                <w:r w:rsidRPr="00D66931">
                  <w:rPr>
                    <w:rStyle w:val="Hipervnculo"/>
                    <w:rFonts w:eastAsia="Times New Roman"/>
                    <w:noProof/>
                  </w:rPr>
                  <w:t>2.3.       Tratamiento de la moneda extranjera</w:t>
                </w:r>
                <w:r>
                  <w:rPr>
                    <w:noProof/>
                    <w:webHidden/>
                  </w:rPr>
                  <w:tab/>
                </w:r>
                <w:r>
                  <w:rPr>
                    <w:noProof/>
                    <w:webHidden/>
                  </w:rPr>
                  <w:fldChar w:fldCharType="begin"/>
                </w:r>
                <w:r>
                  <w:rPr>
                    <w:noProof/>
                    <w:webHidden/>
                  </w:rPr>
                  <w:instrText xml:space="preserve"> PAGEREF _Toc159952353 \h </w:instrText>
                </w:r>
                <w:r>
                  <w:rPr>
                    <w:noProof/>
                    <w:webHidden/>
                  </w:rPr>
                </w:r>
                <w:r>
                  <w:rPr>
                    <w:noProof/>
                    <w:webHidden/>
                  </w:rPr>
                  <w:fldChar w:fldCharType="separate"/>
                </w:r>
                <w:r w:rsidR="00987C8A">
                  <w:rPr>
                    <w:noProof/>
                    <w:webHidden/>
                  </w:rPr>
                  <w:t>14</w:t>
                </w:r>
                <w:r>
                  <w:rPr>
                    <w:noProof/>
                    <w:webHidden/>
                  </w:rPr>
                  <w:fldChar w:fldCharType="end"/>
                </w:r>
              </w:hyperlink>
            </w:p>
            <w:p w14:paraId="7CCC49D0" w14:textId="7E70222E" w:rsidR="006E283A" w:rsidRDefault="006E283A">
              <w:pPr>
                <w:pStyle w:val="TDC2"/>
                <w:tabs>
                  <w:tab w:val="right" w:leader="dot" w:pos="8969"/>
                </w:tabs>
                <w:rPr>
                  <w:rFonts w:cstheme="minorBidi"/>
                  <w:noProof/>
                  <w:kern w:val="2"/>
                  <w14:ligatures w14:val="standardContextual"/>
                </w:rPr>
              </w:pPr>
              <w:hyperlink w:anchor="_Toc159952354" w:history="1">
                <w:r w:rsidRPr="00D66931">
                  <w:rPr>
                    <w:rStyle w:val="Hipervnculo"/>
                    <w:rFonts w:eastAsia="Times New Roman"/>
                    <w:noProof/>
                  </w:rPr>
                  <w:t>2.4.       Hechos ocurridos después del periodo contable</w:t>
                </w:r>
                <w:r>
                  <w:rPr>
                    <w:noProof/>
                    <w:webHidden/>
                  </w:rPr>
                  <w:tab/>
                </w:r>
                <w:r>
                  <w:rPr>
                    <w:noProof/>
                    <w:webHidden/>
                  </w:rPr>
                  <w:fldChar w:fldCharType="begin"/>
                </w:r>
                <w:r>
                  <w:rPr>
                    <w:noProof/>
                    <w:webHidden/>
                  </w:rPr>
                  <w:instrText xml:space="preserve"> PAGEREF _Toc159952354 \h </w:instrText>
                </w:r>
                <w:r>
                  <w:rPr>
                    <w:noProof/>
                    <w:webHidden/>
                  </w:rPr>
                </w:r>
                <w:r>
                  <w:rPr>
                    <w:noProof/>
                    <w:webHidden/>
                  </w:rPr>
                  <w:fldChar w:fldCharType="separate"/>
                </w:r>
                <w:r w:rsidR="00987C8A">
                  <w:rPr>
                    <w:noProof/>
                    <w:webHidden/>
                  </w:rPr>
                  <w:t>14</w:t>
                </w:r>
                <w:r>
                  <w:rPr>
                    <w:noProof/>
                    <w:webHidden/>
                  </w:rPr>
                  <w:fldChar w:fldCharType="end"/>
                </w:r>
              </w:hyperlink>
            </w:p>
            <w:p w14:paraId="4438BBEE" w14:textId="50E25A23" w:rsidR="006E283A" w:rsidRDefault="006E283A">
              <w:pPr>
                <w:pStyle w:val="TDC2"/>
                <w:tabs>
                  <w:tab w:val="right" w:leader="dot" w:pos="8969"/>
                </w:tabs>
                <w:rPr>
                  <w:rFonts w:cstheme="minorBidi"/>
                  <w:noProof/>
                  <w:kern w:val="2"/>
                  <w14:ligatures w14:val="standardContextual"/>
                </w:rPr>
              </w:pPr>
              <w:hyperlink w:anchor="_Toc159952355" w:history="1">
                <w:r w:rsidRPr="00D66931">
                  <w:rPr>
                    <w:rStyle w:val="Hipervnculo"/>
                    <w:rFonts w:eastAsia="Times New Roman"/>
                    <w:noProof/>
                  </w:rPr>
                  <w:t>2.5.       Otros aspectos</w:t>
                </w:r>
                <w:r>
                  <w:rPr>
                    <w:noProof/>
                    <w:webHidden/>
                  </w:rPr>
                  <w:tab/>
                </w:r>
                <w:r>
                  <w:rPr>
                    <w:noProof/>
                    <w:webHidden/>
                  </w:rPr>
                  <w:fldChar w:fldCharType="begin"/>
                </w:r>
                <w:r>
                  <w:rPr>
                    <w:noProof/>
                    <w:webHidden/>
                  </w:rPr>
                  <w:instrText xml:space="preserve"> PAGEREF _Toc159952355 \h </w:instrText>
                </w:r>
                <w:r>
                  <w:rPr>
                    <w:noProof/>
                    <w:webHidden/>
                  </w:rPr>
                </w:r>
                <w:r>
                  <w:rPr>
                    <w:noProof/>
                    <w:webHidden/>
                  </w:rPr>
                  <w:fldChar w:fldCharType="separate"/>
                </w:r>
                <w:r w:rsidR="00987C8A">
                  <w:rPr>
                    <w:noProof/>
                    <w:webHidden/>
                  </w:rPr>
                  <w:t>15</w:t>
                </w:r>
                <w:r>
                  <w:rPr>
                    <w:noProof/>
                    <w:webHidden/>
                  </w:rPr>
                  <w:fldChar w:fldCharType="end"/>
                </w:r>
              </w:hyperlink>
            </w:p>
            <w:p w14:paraId="4F8E6D9B" w14:textId="6740FACB" w:rsidR="006E283A" w:rsidRDefault="006E283A">
              <w:pPr>
                <w:pStyle w:val="TDC1"/>
                <w:tabs>
                  <w:tab w:val="right" w:leader="dot" w:pos="8969"/>
                </w:tabs>
                <w:rPr>
                  <w:rFonts w:asciiTheme="minorHAnsi" w:eastAsiaTheme="minorEastAsia" w:hAnsiTheme="minorHAnsi" w:cstheme="minorBidi"/>
                  <w:noProof/>
                  <w:kern w:val="2"/>
                  <w:lang w:eastAsia="es-CO"/>
                  <w14:ligatures w14:val="standardContextual"/>
                </w:rPr>
              </w:pPr>
              <w:hyperlink w:anchor="_Toc159952356" w:history="1">
                <w:r w:rsidRPr="00D66931">
                  <w:rPr>
                    <w:rStyle w:val="Hipervnculo"/>
                    <w:rFonts w:eastAsia="Times New Roman"/>
                    <w:noProof/>
                  </w:rPr>
                  <w:t>NOTA 3. JUICIOS, ESTIMACIONES, RIESGOS Y CORRECCIÓN DE ERRORES CONTABLES</w:t>
                </w:r>
                <w:r>
                  <w:rPr>
                    <w:noProof/>
                    <w:webHidden/>
                  </w:rPr>
                  <w:tab/>
                </w:r>
                <w:r>
                  <w:rPr>
                    <w:noProof/>
                    <w:webHidden/>
                  </w:rPr>
                  <w:fldChar w:fldCharType="begin"/>
                </w:r>
                <w:r>
                  <w:rPr>
                    <w:noProof/>
                    <w:webHidden/>
                  </w:rPr>
                  <w:instrText xml:space="preserve"> PAGEREF _Toc159952356 \h </w:instrText>
                </w:r>
                <w:r>
                  <w:rPr>
                    <w:noProof/>
                    <w:webHidden/>
                  </w:rPr>
                </w:r>
                <w:r>
                  <w:rPr>
                    <w:noProof/>
                    <w:webHidden/>
                  </w:rPr>
                  <w:fldChar w:fldCharType="separate"/>
                </w:r>
                <w:r w:rsidR="00987C8A">
                  <w:rPr>
                    <w:noProof/>
                    <w:webHidden/>
                  </w:rPr>
                  <w:t>15</w:t>
                </w:r>
                <w:r>
                  <w:rPr>
                    <w:noProof/>
                    <w:webHidden/>
                  </w:rPr>
                  <w:fldChar w:fldCharType="end"/>
                </w:r>
              </w:hyperlink>
            </w:p>
            <w:p w14:paraId="260FAC7A" w14:textId="7C94C344" w:rsidR="006E283A" w:rsidRDefault="006E283A">
              <w:pPr>
                <w:pStyle w:val="TDC2"/>
                <w:tabs>
                  <w:tab w:val="right" w:leader="dot" w:pos="8969"/>
                </w:tabs>
                <w:rPr>
                  <w:rFonts w:cstheme="minorBidi"/>
                  <w:noProof/>
                  <w:kern w:val="2"/>
                  <w14:ligatures w14:val="standardContextual"/>
                </w:rPr>
              </w:pPr>
              <w:hyperlink w:anchor="_Toc159952357" w:history="1">
                <w:r w:rsidRPr="00D66931">
                  <w:rPr>
                    <w:rStyle w:val="Hipervnculo"/>
                    <w:rFonts w:eastAsia="Times New Roman"/>
                    <w:noProof/>
                  </w:rPr>
                  <w:t>3.1.       Juicios</w:t>
                </w:r>
                <w:r>
                  <w:rPr>
                    <w:noProof/>
                    <w:webHidden/>
                  </w:rPr>
                  <w:tab/>
                </w:r>
                <w:r>
                  <w:rPr>
                    <w:noProof/>
                    <w:webHidden/>
                  </w:rPr>
                  <w:fldChar w:fldCharType="begin"/>
                </w:r>
                <w:r>
                  <w:rPr>
                    <w:noProof/>
                    <w:webHidden/>
                  </w:rPr>
                  <w:instrText xml:space="preserve"> PAGEREF _Toc159952357 \h </w:instrText>
                </w:r>
                <w:r>
                  <w:rPr>
                    <w:noProof/>
                    <w:webHidden/>
                  </w:rPr>
                </w:r>
                <w:r>
                  <w:rPr>
                    <w:noProof/>
                    <w:webHidden/>
                  </w:rPr>
                  <w:fldChar w:fldCharType="separate"/>
                </w:r>
                <w:r w:rsidR="00987C8A">
                  <w:rPr>
                    <w:noProof/>
                    <w:webHidden/>
                  </w:rPr>
                  <w:t>15</w:t>
                </w:r>
                <w:r>
                  <w:rPr>
                    <w:noProof/>
                    <w:webHidden/>
                  </w:rPr>
                  <w:fldChar w:fldCharType="end"/>
                </w:r>
              </w:hyperlink>
            </w:p>
            <w:p w14:paraId="42587DA4" w14:textId="03275C23" w:rsidR="006E283A" w:rsidRDefault="006E283A">
              <w:pPr>
                <w:pStyle w:val="TDC2"/>
                <w:tabs>
                  <w:tab w:val="right" w:leader="dot" w:pos="8969"/>
                </w:tabs>
                <w:rPr>
                  <w:rFonts w:cstheme="minorBidi"/>
                  <w:noProof/>
                  <w:kern w:val="2"/>
                  <w14:ligatures w14:val="standardContextual"/>
                </w:rPr>
              </w:pPr>
              <w:hyperlink w:anchor="_Toc159952358" w:history="1">
                <w:r w:rsidRPr="00D66931">
                  <w:rPr>
                    <w:rStyle w:val="Hipervnculo"/>
                    <w:rFonts w:eastAsia="Times New Roman"/>
                    <w:noProof/>
                  </w:rPr>
                  <w:t>3.2.       Estimaciones y supuestos</w:t>
                </w:r>
                <w:r>
                  <w:rPr>
                    <w:noProof/>
                    <w:webHidden/>
                  </w:rPr>
                  <w:tab/>
                </w:r>
                <w:r>
                  <w:rPr>
                    <w:noProof/>
                    <w:webHidden/>
                  </w:rPr>
                  <w:fldChar w:fldCharType="begin"/>
                </w:r>
                <w:r>
                  <w:rPr>
                    <w:noProof/>
                    <w:webHidden/>
                  </w:rPr>
                  <w:instrText xml:space="preserve"> PAGEREF _Toc159952358 \h </w:instrText>
                </w:r>
                <w:r>
                  <w:rPr>
                    <w:noProof/>
                    <w:webHidden/>
                  </w:rPr>
                </w:r>
                <w:r>
                  <w:rPr>
                    <w:noProof/>
                    <w:webHidden/>
                  </w:rPr>
                  <w:fldChar w:fldCharType="separate"/>
                </w:r>
                <w:r w:rsidR="00987C8A">
                  <w:rPr>
                    <w:noProof/>
                    <w:webHidden/>
                  </w:rPr>
                  <w:t>15</w:t>
                </w:r>
                <w:r>
                  <w:rPr>
                    <w:noProof/>
                    <w:webHidden/>
                  </w:rPr>
                  <w:fldChar w:fldCharType="end"/>
                </w:r>
              </w:hyperlink>
            </w:p>
            <w:p w14:paraId="57D8D4B1" w14:textId="4638DC68" w:rsidR="006E283A" w:rsidRDefault="006E283A">
              <w:pPr>
                <w:pStyle w:val="TDC2"/>
                <w:tabs>
                  <w:tab w:val="right" w:leader="dot" w:pos="8969"/>
                </w:tabs>
                <w:rPr>
                  <w:rFonts w:cstheme="minorBidi"/>
                  <w:noProof/>
                  <w:kern w:val="2"/>
                  <w14:ligatures w14:val="standardContextual"/>
                </w:rPr>
              </w:pPr>
              <w:hyperlink w:anchor="_Toc159952359" w:history="1">
                <w:r w:rsidRPr="00D66931">
                  <w:rPr>
                    <w:rStyle w:val="Hipervnculo"/>
                    <w:rFonts w:eastAsia="Times New Roman"/>
                    <w:noProof/>
                  </w:rPr>
                  <w:t>3.3.       Correcciones contables</w:t>
                </w:r>
                <w:r>
                  <w:rPr>
                    <w:noProof/>
                    <w:webHidden/>
                  </w:rPr>
                  <w:tab/>
                </w:r>
                <w:r>
                  <w:rPr>
                    <w:noProof/>
                    <w:webHidden/>
                  </w:rPr>
                  <w:fldChar w:fldCharType="begin"/>
                </w:r>
                <w:r>
                  <w:rPr>
                    <w:noProof/>
                    <w:webHidden/>
                  </w:rPr>
                  <w:instrText xml:space="preserve"> PAGEREF _Toc159952359 \h </w:instrText>
                </w:r>
                <w:r>
                  <w:rPr>
                    <w:noProof/>
                    <w:webHidden/>
                  </w:rPr>
                </w:r>
                <w:r>
                  <w:rPr>
                    <w:noProof/>
                    <w:webHidden/>
                  </w:rPr>
                  <w:fldChar w:fldCharType="separate"/>
                </w:r>
                <w:r w:rsidR="00987C8A">
                  <w:rPr>
                    <w:noProof/>
                    <w:webHidden/>
                  </w:rPr>
                  <w:t>16</w:t>
                </w:r>
                <w:r>
                  <w:rPr>
                    <w:noProof/>
                    <w:webHidden/>
                  </w:rPr>
                  <w:fldChar w:fldCharType="end"/>
                </w:r>
              </w:hyperlink>
            </w:p>
            <w:p w14:paraId="34647B85" w14:textId="6FE97E93" w:rsidR="006E283A" w:rsidRDefault="006E283A">
              <w:pPr>
                <w:pStyle w:val="TDC2"/>
                <w:tabs>
                  <w:tab w:val="right" w:leader="dot" w:pos="8969"/>
                </w:tabs>
                <w:rPr>
                  <w:rFonts w:cstheme="minorBidi"/>
                  <w:noProof/>
                  <w:kern w:val="2"/>
                  <w14:ligatures w14:val="standardContextual"/>
                </w:rPr>
              </w:pPr>
              <w:hyperlink w:anchor="_Toc159952360" w:history="1">
                <w:r w:rsidRPr="00D66931">
                  <w:rPr>
                    <w:rStyle w:val="Hipervnculo"/>
                    <w:rFonts w:eastAsia="Times New Roman"/>
                    <w:noProof/>
                  </w:rPr>
                  <w:t>3.4.       Riesgos asociados a los instrumentos financieros</w:t>
                </w:r>
                <w:r>
                  <w:rPr>
                    <w:noProof/>
                    <w:webHidden/>
                  </w:rPr>
                  <w:tab/>
                </w:r>
                <w:r>
                  <w:rPr>
                    <w:noProof/>
                    <w:webHidden/>
                  </w:rPr>
                  <w:fldChar w:fldCharType="begin"/>
                </w:r>
                <w:r>
                  <w:rPr>
                    <w:noProof/>
                    <w:webHidden/>
                  </w:rPr>
                  <w:instrText xml:space="preserve"> PAGEREF _Toc159952360 \h </w:instrText>
                </w:r>
                <w:r>
                  <w:rPr>
                    <w:noProof/>
                    <w:webHidden/>
                  </w:rPr>
                </w:r>
                <w:r>
                  <w:rPr>
                    <w:noProof/>
                    <w:webHidden/>
                  </w:rPr>
                  <w:fldChar w:fldCharType="separate"/>
                </w:r>
                <w:r w:rsidR="00987C8A">
                  <w:rPr>
                    <w:noProof/>
                    <w:webHidden/>
                  </w:rPr>
                  <w:t>16</w:t>
                </w:r>
                <w:r>
                  <w:rPr>
                    <w:noProof/>
                    <w:webHidden/>
                  </w:rPr>
                  <w:fldChar w:fldCharType="end"/>
                </w:r>
              </w:hyperlink>
            </w:p>
            <w:p w14:paraId="0DE36267" w14:textId="6B4D301F" w:rsidR="006E283A" w:rsidRDefault="006E283A">
              <w:pPr>
                <w:pStyle w:val="TDC1"/>
                <w:tabs>
                  <w:tab w:val="right" w:leader="dot" w:pos="8969"/>
                </w:tabs>
                <w:rPr>
                  <w:rFonts w:asciiTheme="minorHAnsi" w:eastAsiaTheme="minorEastAsia" w:hAnsiTheme="minorHAnsi" w:cstheme="minorBidi"/>
                  <w:noProof/>
                  <w:kern w:val="2"/>
                  <w:lang w:eastAsia="es-CO"/>
                  <w14:ligatures w14:val="standardContextual"/>
                </w:rPr>
              </w:pPr>
              <w:hyperlink w:anchor="_Toc159952361" w:history="1">
                <w:r w:rsidRPr="00D66931">
                  <w:rPr>
                    <w:rStyle w:val="Hipervnculo"/>
                    <w:rFonts w:eastAsia="Times New Roman"/>
                    <w:noProof/>
                  </w:rPr>
                  <w:t>NOTA 4. RESUMEN DE POLÍTICAS CONTABLES</w:t>
                </w:r>
                <w:r>
                  <w:rPr>
                    <w:noProof/>
                    <w:webHidden/>
                  </w:rPr>
                  <w:tab/>
                </w:r>
                <w:r>
                  <w:rPr>
                    <w:noProof/>
                    <w:webHidden/>
                  </w:rPr>
                  <w:fldChar w:fldCharType="begin"/>
                </w:r>
                <w:r>
                  <w:rPr>
                    <w:noProof/>
                    <w:webHidden/>
                  </w:rPr>
                  <w:instrText xml:space="preserve"> PAGEREF _Toc159952361 \h </w:instrText>
                </w:r>
                <w:r>
                  <w:rPr>
                    <w:noProof/>
                    <w:webHidden/>
                  </w:rPr>
                </w:r>
                <w:r>
                  <w:rPr>
                    <w:noProof/>
                    <w:webHidden/>
                  </w:rPr>
                  <w:fldChar w:fldCharType="separate"/>
                </w:r>
                <w:r w:rsidR="00987C8A">
                  <w:rPr>
                    <w:noProof/>
                    <w:webHidden/>
                  </w:rPr>
                  <w:t>16</w:t>
                </w:r>
                <w:r>
                  <w:rPr>
                    <w:noProof/>
                    <w:webHidden/>
                  </w:rPr>
                  <w:fldChar w:fldCharType="end"/>
                </w:r>
              </w:hyperlink>
            </w:p>
            <w:p w14:paraId="6742CF06" w14:textId="18196A1F" w:rsidR="006E283A" w:rsidRDefault="006E283A">
              <w:pPr>
                <w:pStyle w:val="TDC1"/>
                <w:tabs>
                  <w:tab w:val="right" w:leader="dot" w:pos="8969"/>
                </w:tabs>
                <w:rPr>
                  <w:rFonts w:asciiTheme="minorHAnsi" w:eastAsiaTheme="minorEastAsia" w:hAnsiTheme="minorHAnsi" w:cstheme="minorBidi"/>
                  <w:noProof/>
                  <w:kern w:val="2"/>
                  <w:lang w:eastAsia="es-CO"/>
                  <w14:ligatures w14:val="standardContextual"/>
                </w:rPr>
              </w:pPr>
              <w:hyperlink w:anchor="_Toc159952362" w:history="1">
                <w:r w:rsidRPr="00D66931">
                  <w:rPr>
                    <w:rStyle w:val="Hipervnculo"/>
                    <w:noProof/>
                  </w:rPr>
                  <w:t>NOTA 5. EFECTIVO Y EQUIVALENTES AL EFECTIVO</w:t>
                </w:r>
                <w:r>
                  <w:rPr>
                    <w:noProof/>
                    <w:webHidden/>
                  </w:rPr>
                  <w:tab/>
                </w:r>
                <w:r>
                  <w:rPr>
                    <w:noProof/>
                    <w:webHidden/>
                  </w:rPr>
                  <w:fldChar w:fldCharType="begin"/>
                </w:r>
                <w:r>
                  <w:rPr>
                    <w:noProof/>
                    <w:webHidden/>
                  </w:rPr>
                  <w:instrText xml:space="preserve"> PAGEREF _Toc159952362 \h </w:instrText>
                </w:r>
                <w:r>
                  <w:rPr>
                    <w:noProof/>
                    <w:webHidden/>
                  </w:rPr>
                </w:r>
                <w:r>
                  <w:rPr>
                    <w:noProof/>
                    <w:webHidden/>
                  </w:rPr>
                  <w:fldChar w:fldCharType="separate"/>
                </w:r>
                <w:r w:rsidR="00987C8A">
                  <w:rPr>
                    <w:noProof/>
                    <w:webHidden/>
                  </w:rPr>
                  <w:t>17</w:t>
                </w:r>
                <w:r>
                  <w:rPr>
                    <w:noProof/>
                    <w:webHidden/>
                  </w:rPr>
                  <w:fldChar w:fldCharType="end"/>
                </w:r>
              </w:hyperlink>
            </w:p>
            <w:p w14:paraId="090D0F92" w14:textId="4BC75349" w:rsidR="006E283A" w:rsidRDefault="006E283A">
              <w:pPr>
                <w:pStyle w:val="TDC2"/>
                <w:tabs>
                  <w:tab w:val="right" w:leader="dot" w:pos="8969"/>
                </w:tabs>
                <w:rPr>
                  <w:rFonts w:cstheme="minorBidi"/>
                  <w:noProof/>
                  <w:kern w:val="2"/>
                  <w14:ligatures w14:val="standardContextual"/>
                </w:rPr>
              </w:pPr>
              <w:hyperlink w:anchor="_Toc159952363" w:history="1">
                <w:r w:rsidRPr="00D66931">
                  <w:rPr>
                    <w:rStyle w:val="Hipervnculo"/>
                    <w:noProof/>
                  </w:rPr>
                  <w:t>Composición</w:t>
                </w:r>
                <w:r>
                  <w:rPr>
                    <w:noProof/>
                    <w:webHidden/>
                  </w:rPr>
                  <w:tab/>
                </w:r>
                <w:r>
                  <w:rPr>
                    <w:noProof/>
                    <w:webHidden/>
                  </w:rPr>
                  <w:fldChar w:fldCharType="begin"/>
                </w:r>
                <w:r>
                  <w:rPr>
                    <w:noProof/>
                    <w:webHidden/>
                  </w:rPr>
                  <w:instrText xml:space="preserve"> PAGEREF _Toc159952363 \h </w:instrText>
                </w:r>
                <w:r>
                  <w:rPr>
                    <w:noProof/>
                    <w:webHidden/>
                  </w:rPr>
                </w:r>
                <w:r>
                  <w:rPr>
                    <w:noProof/>
                    <w:webHidden/>
                  </w:rPr>
                  <w:fldChar w:fldCharType="separate"/>
                </w:r>
                <w:r w:rsidR="00987C8A">
                  <w:rPr>
                    <w:noProof/>
                    <w:webHidden/>
                  </w:rPr>
                  <w:t>17</w:t>
                </w:r>
                <w:r>
                  <w:rPr>
                    <w:noProof/>
                    <w:webHidden/>
                  </w:rPr>
                  <w:fldChar w:fldCharType="end"/>
                </w:r>
              </w:hyperlink>
            </w:p>
            <w:p w14:paraId="551B0737" w14:textId="0ECD103F" w:rsidR="006E283A" w:rsidRDefault="006E283A">
              <w:pPr>
                <w:pStyle w:val="TDC2"/>
                <w:tabs>
                  <w:tab w:val="left" w:pos="880"/>
                  <w:tab w:val="right" w:leader="dot" w:pos="8969"/>
                </w:tabs>
                <w:rPr>
                  <w:rFonts w:cstheme="minorBidi"/>
                  <w:noProof/>
                  <w:kern w:val="2"/>
                  <w14:ligatures w14:val="standardContextual"/>
                </w:rPr>
              </w:pPr>
              <w:hyperlink w:anchor="_Toc159952364" w:history="1">
                <w:r w:rsidRPr="00D66931">
                  <w:rPr>
                    <w:rStyle w:val="Hipervnculo"/>
                    <w:noProof/>
                  </w:rPr>
                  <w:t>5.1.</w:t>
                </w:r>
                <w:r>
                  <w:rPr>
                    <w:rFonts w:cstheme="minorBidi"/>
                    <w:noProof/>
                    <w:kern w:val="2"/>
                    <w14:ligatures w14:val="standardContextual"/>
                  </w:rPr>
                  <w:tab/>
                </w:r>
                <w:r w:rsidRPr="00D66931">
                  <w:rPr>
                    <w:rStyle w:val="Hipervnculo"/>
                    <w:noProof/>
                  </w:rPr>
                  <w:t>Depósitos en instituciones financieras</w:t>
                </w:r>
                <w:r>
                  <w:rPr>
                    <w:noProof/>
                    <w:webHidden/>
                  </w:rPr>
                  <w:tab/>
                </w:r>
                <w:r>
                  <w:rPr>
                    <w:noProof/>
                    <w:webHidden/>
                  </w:rPr>
                  <w:fldChar w:fldCharType="begin"/>
                </w:r>
                <w:r>
                  <w:rPr>
                    <w:noProof/>
                    <w:webHidden/>
                  </w:rPr>
                  <w:instrText xml:space="preserve"> PAGEREF _Toc159952364 \h </w:instrText>
                </w:r>
                <w:r>
                  <w:rPr>
                    <w:noProof/>
                    <w:webHidden/>
                  </w:rPr>
                </w:r>
                <w:r>
                  <w:rPr>
                    <w:noProof/>
                    <w:webHidden/>
                  </w:rPr>
                  <w:fldChar w:fldCharType="separate"/>
                </w:r>
                <w:r w:rsidR="00987C8A">
                  <w:rPr>
                    <w:noProof/>
                    <w:webHidden/>
                  </w:rPr>
                  <w:t>18</w:t>
                </w:r>
                <w:r>
                  <w:rPr>
                    <w:noProof/>
                    <w:webHidden/>
                  </w:rPr>
                  <w:fldChar w:fldCharType="end"/>
                </w:r>
              </w:hyperlink>
            </w:p>
            <w:p w14:paraId="08F0A525" w14:textId="2DE815A0" w:rsidR="006E283A" w:rsidRDefault="006E283A">
              <w:pPr>
                <w:pStyle w:val="TDC2"/>
                <w:tabs>
                  <w:tab w:val="left" w:pos="880"/>
                  <w:tab w:val="right" w:leader="dot" w:pos="8969"/>
                </w:tabs>
                <w:rPr>
                  <w:rFonts w:cstheme="minorBidi"/>
                  <w:noProof/>
                  <w:kern w:val="2"/>
                  <w14:ligatures w14:val="standardContextual"/>
                </w:rPr>
              </w:pPr>
              <w:hyperlink w:anchor="_Toc159952365" w:history="1">
                <w:r w:rsidRPr="00D66931">
                  <w:rPr>
                    <w:rStyle w:val="Hipervnculo"/>
                    <w:noProof/>
                  </w:rPr>
                  <w:t>5.2.</w:t>
                </w:r>
                <w:r>
                  <w:rPr>
                    <w:rFonts w:cstheme="minorBidi"/>
                    <w:noProof/>
                    <w:kern w:val="2"/>
                    <w14:ligatures w14:val="standardContextual"/>
                  </w:rPr>
                  <w:tab/>
                </w:r>
                <w:r w:rsidRPr="00D66931">
                  <w:rPr>
                    <w:rStyle w:val="Hipervnculo"/>
                    <w:noProof/>
                  </w:rPr>
                  <w:t>Efectivo de uso restringido</w:t>
                </w:r>
                <w:r>
                  <w:rPr>
                    <w:noProof/>
                    <w:webHidden/>
                  </w:rPr>
                  <w:tab/>
                </w:r>
                <w:r>
                  <w:rPr>
                    <w:noProof/>
                    <w:webHidden/>
                  </w:rPr>
                  <w:fldChar w:fldCharType="begin"/>
                </w:r>
                <w:r>
                  <w:rPr>
                    <w:noProof/>
                    <w:webHidden/>
                  </w:rPr>
                  <w:instrText xml:space="preserve"> PAGEREF _Toc159952365 \h </w:instrText>
                </w:r>
                <w:r>
                  <w:rPr>
                    <w:noProof/>
                    <w:webHidden/>
                  </w:rPr>
                </w:r>
                <w:r>
                  <w:rPr>
                    <w:noProof/>
                    <w:webHidden/>
                  </w:rPr>
                  <w:fldChar w:fldCharType="separate"/>
                </w:r>
                <w:r w:rsidR="00987C8A">
                  <w:rPr>
                    <w:noProof/>
                    <w:webHidden/>
                  </w:rPr>
                  <w:t>19</w:t>
                </w:r>
                <w:r>
                  <w:rPr>
                    <w:noProof/>
                    <w:webHidden/>
                  </w:rPr>
                  <w:fldChar w:fldCharType="end"/>
                </w:r>
              </w:hyperlink>
            </w:p>
            <w:p w14:paraId="12FC3FF4" w14:textId="79455FF0" w:rsidR="006E283A" w:rsidRDefault="006E283A">
              <w:pPr>
                <w:pStyle w:val="TDC1"/>
                <w:tabs>
                  <w:tab w:val="right" w:leader="dot" w:pos="8969"/>
                </w:tabs>
                <w:rPr>
                  <w:rFonts w:asciiTheme="minorHAnsi" w:eastAsiaTheme="minorEastAsia" w:hAnsiTheme="minorHAnsi" w:cstheme="minorBidi"/>
                  <w:noProof/>
                  <w:kern w:val="2"/>
                  <w:lang w:eastAsia="es-CO"/>
                  <w14:ligatures w14:val="standardContextual"/>
                </w:rPr>
              </w:pPr>
              <w:hyperlink w:anchor="_Toc159952366" w:history="1">
                <w:r w:rsidRPr="00D66931">
                  <w:rPr>
                    <w:rStyle w:val="Hipervnculo"/>
                    <w:noProof/>
                  </w:rPr>
                  <w:t>NOTA 7. CUENTAS POR COBRAR</w:t>
                </w:r>
                <w:r>
                  <w:rPr>
                    <w:noProof/>
                    <w:webHidden/>
                  </w:rPr>
                  <w:tab/>
                </w:r>
                <w:r>
                  <w:rPr>
                    <w:noProof/>
                    <w:webHidden/>
                  </w:rPr>
                  <w:fldChar w:fldCharType="begin"/>
                </w:r>
                <w:r>
                  <w:rPr>
                    <w:noProof/>
                    <w:webHidden/>
                  </w:rPr>
                  <w:instrText xml:space="preserve"> PAGEREF _Toc159952366 \h </w:instrText>
                </w:r>
                <w:r>
                  <w:rPr>
                    <w:noProof/>
                    <w:webHidden/>
                  </w:rPr>
                </w:r>
                <w:r>
                  <w:rPr>
                    <w:noProof/>
                    <w:webHidden/>
                  </w:rPr>
                  <w:fldChar w:fldCharType="separate"/>
                </w:r>
                <w:r w:rsidR="00987C8A">
                  <w:rPr>
                    <w:noProof/>
                    <w:webHidden/>
                  </w:rPr>
                  <w:t>20</w:t>
                </w:r>
                <w:r>
                  <w:rPr>
                    <w:noProof/>
                    <w:webHidden/>
                  </w:rPr>
                  <w:fldChar w:fldCharType="end"/>
                </w:r>
              </w:hyperlink>
            </w:p>
            <w:p w14:paraId="722E405D" w14:textId="102A2014" w:rsidR="006E283A" w:rsidRDefault="006E283A">
              <w:pPr>
                <w:pStyle w:val="TDC2"/>
                <w:tabs>
                  <w:tab w:val="right" w:leader="dot" w:pos="8969"/>
                </w:tabs>
                <w:rPr>
                  <w:rFonts w:cstheme="minorBidi"/>
                  <w:noProof/>
                  <w:kern w:val="2"/>
                  <w14:ligatures w14:val="standardContextual"/>
                </w:rPr>
              </w:pPr>
              <w:hyperlink w:anchor="_Toc159952367" w:history="1">
                <w:r w:rsidRPr="00D66931">
                  <w:rPr>
                    <w:rStyle w:val="Hipervnculo"/>
                    <w:noProof/>
                  </w:rPr>
                  <w:t>Composición</w:t>
                </w:r>
                <w:r>
                  <w:rPr>
                    <w:noProof/>
                    <w:webHidden/>
                  </w:rPr>
                  <w:tab/>
                </w:r>
                <w:r>
                  <w:rPr>
                    <w:noProof/>
                    <w:webHidden/>
                  </w:rPr>
                  <w:fldChar w:fldCharType="begin"/>
                </w:r>
                <w:r>
                  <w:rPr>
                    <w:noProof/>
                    <w:webHidden/>
                  </w:rPr>
                  <w:instrText xml:space="preserve"> PAGEREF _Toc159952367 \h </w:instrText>
                </w:r>
                <w:r>
                  <w:rPr>
                    <w:noProof/>
                    <w:webHidden/>
                  </w:rPr>
                </w:r>
                <w:r>
                  <w:rPr>
                    <w:noProof/>
                    <w:webHidden/>
                  </w:rPr>
                  <w:fldChar w:fldCharType="separate"/>
                </w:r>
                <w:r w:rsidR="00987C8A">
                  <w:rPr>
                    <w:noProof/>
                    <w:webHidden/>
                  </w:rPr>
                  <w:t>20</w:t>
                </w:r>
                <w:r>
                  <w:rPr>
                    <w:noProof/>
                    <w:webHidden/>
                  </w:rPr>
                  <w:fldChar w:fldCharType="end"/>
                </w:r>
              </w:hyperlink>
            </w:p>
            <w:p w14:paraId="73682FFC" w14:textId="6FF90950" w:rsidR="006E283A" w:rsidRDefault="006E283A">
              <w:pPr>
                <w:pStyle w:val="TDC2"/>
                <w:tabs>
                  <w:tab w:val="left" w:pos="880"/>
                  <w:tab w:val="right" w:leader="dot" w:pos="8969"/>
                </w:tabs>
                <w:rPr>
                  <w:rFonts w:cstheme="minorBidi"/>
                  <w:noProof/>
                  <w:kern w:val="2"/>
                  <w14:ligatures w14:val="standardContextual"/>
                </w:rPr>
              </w:pPr>
              <w:hyperlink w:anchor="_Toc159952368" w:history="1">
                <w:r w:rsidRPr="00D66931">
                  <w:rPr>
                    <w:rStyle w:val="Hipervnculo"/>
                    <w:noProof/>
                  </w:rPr>
                  <w:t>7.1.</w:t>
                </w:r>
                <w:r>
                  <w:rPr>
                    <w:rFonts w:cstheme="minorBidi"/>
                    <w:noProof/>
                    <w:kern w:val="2"/>
                    <w14:ligatures w14:val="standardContextual"/>
                  </w:rPr>
                  <w:tab/>
                </w:r>
                <w:r w:rsidRPr="00D66931">
                  <w:rPr>
                    <w:rStyle w:val="Hipervnculo"/>
                    <w:noProof/>
                  </w:rPr>
                  <w:t>Impuestos retención en la fuente y anticipo de impuestos</w:t>
                </w:r>
                <w:r>
                  <w:rPr>
                    <w:noProof/>
                    <w:webHidden/>
                  </w:rPr>
                  <w:tab/>
                </w:r>
                <w:r>
                  <w:rPr>
                    <w:noProof/>
                    <w:webHidden/>
                  </w:rPr>
                  <w:fldChar w:fldCharType="begin"/>
                </w:r>
                <w:r>
                  <w:rPr>
                    <w:noProof/>
                    <w:webHidden/>
                  </w:rPr>
                  <w:instrText xml:space="preserve"> PAGEREF _Toc159952368 \h </w:instrText>
                </w:r>
                <w:r>
                  <w:rPr>
                    <w:noProof/>
                    <w:webHidden/>
                  </w:rPr>
                </w:r>
                <w:r>
                  <w:rPr>
                    <w:noProof/>
                    <w:webHidden/>
                  </w:rPr>
                  <w:fldChar w:fldCharType="separate"/>
                </w:r>
                <w:r w:rsidR="00987C8A">
                  <w:rPr>
                    <w:noProof/>
                    <w:webHidden/>
                  </w:rPr>
                  <w:t>21</w:t>
                </w:r>
                <w:r>
                  <w:rPr>
                    <w:noProof/>
                    <w:webHidden/>
                  </w:rPr>
                  <w:fldChar w:fldCharType="end"/>
                </w:r>
              </w:hyperlink>
            </w:p>
            <w:p w14:paraId="7F05CEA7" w14:textId="2339DB3B" w:rsidR="006E283A" w:rsidRDefault="006E283A">
              <w:pPr>
                <w:pStyle w:val="TDC2"/>
                <w:tabs>
                  <w:tab w:val="left" w:pos="880"/>
                  <w:tab w:val="right" w:leader="dot" w:pos="8969"/>
                </w:tabs>
                <w:rPr>
                  <w:rFonts w:cstheme="minorBidi"/>
                  <w:noProof/>
                  <w:kern w:val="2"/>
                  <w14:ligatures w14:val="standardContextual"/>
                </w:rPr>
              </w:pPr>
              <w:hyperlink w:anchor="_Toc159952369" w:history="1">
                <w:r w:rsidRPr="00D66931">
                  <w:rPr>
                    <w:rStyle w:val="Hipervnculo"/>
                    <w:noProof/>
                  </w:rPr>
                  <w:t>7.2.</w:t>
                </w:r>
                <w:r>
                  <w:rPr>
                    <w:rFonts w:cstheme="minorBidi"/>
                    <w:noProof/>
                    <w:kern w:val="2"/>
                    <w14:ligatures w14:val="standardContextual"/>
                  </w:rPr>
                  <w:tab/>
                </w:r>
                <w:r w:rsidRPr="00D66931">
                  <w:rPr>
                    <w:rStyle w:val="Hipervnculo"/>
                    <w:noProof/>
                  </w:rPr>
                  <w:t>Contribuciones tasas e ingresos no tributarios</w:t>
                </w:r>
                <w:r>
                  <w:rPr>
                    <w:noProof/>
                    <w:webHidden/>
                  </w:rPr>
                  <w:tab/>
                </w:r>
                <w:r>
                  <w:rPr>
                    <w:noProof/>
                    <w:webHidden/>
                  </w:rPr>
                  <w:fldChar w:fldCharType="begin"/>
                </w:r>
                <w:r>
                  <w:rPr>
                    <w:noProof/>
                    <w:webHidden/>
                  </w:rPr>
                  <w:instrText xml:space="preserve"> PAGEREF _Toc159952369 \h </w:instrText>
                </w:r>
                <w:r>
                  <w:rPr>
                    <w:noProof/>
                    <w:webHidden/>
                  </w:rPr>
                </w:r>
                <w:r>
                  <w:rPr>
                    <w:noProof/>
                    <w:webHidden/>
                  </w:rPr>
                  <w:fldChar w:fldCharType="separate"/>
                </w:r>
                <w:r w:rsidR="00987C8A">
                  <w:rPr>
                    <w:noProof/>
                    <w:webHidden/>
                  </w:rPr>
                  <w:t>21</w:t>
                </w:r>
                <w:r>
                  <w:rPr>
                    <w:noProof/>
                    <w:webHidden/>
                  </w:rPr>
                  <w:fldChar w:fldCharType="end"/>
                </w:r>
              </w:hyperlink>
            </w:p>
            <w:p w14:paraId="1CD5E377" w14:textId="6CD6808F" w:rsidR="006E283A" w:rsidRDefault="006E283A">
              <w:pPr>
                <w:pStyle w:val="TDC2"/>
                <w:tabs>
                  <w:tab w:val="left" w:pos="880"/>
                  <w:tab w:val="right" w:leader="dot" w:pos="8969"/>
                </w:tabs>
                <w:rPr>
                  <w:rFonts w:cstheme="minorBidi"/>
                  <w:noProof/>
                  <w:kern w:val="2"/>
                  <w14:ligatures w14:val="standardContextual"/>
                </w:rPr>
              </w:pPr>
              <w:hyperlink w:anchor="_Toc159952370" w:history="1">
                <w:r w:rsidRPr="00D66931">
                  <w:rPr>
                    <w:rStyle w:val="Hipervnculo"/>
                    <w:bCs/>
                    <w:noProof/>
                  </w:rPr>
                  <w:t>7.3.</w:t>
                </w:r>
                <w:r>
                  <w:rPr>
                    <w:rFonts w:cstheme="minorBidi"/>
                    <w:noProof/>
                    <w:kern w:val="2"/>
                    <w14:ligatures w14:val="standardContextual"/>
                  </w:rPr>
                  <w:tab/>
                </w:r>
                <w:r w:rsidRPr="00D66931">
                  <w:rPr>
                    <w:rStyle w:val="Hipervnculo"/>
                    <w:bCs/>
                    <w:noProof/>
                  </w:rPr>
                  <w:t>Sentencias, laudos arbitrales y conciliaciones extrajudiciales a favor de la entidad</w:t>
                </w:r>
                <w:r>
                  <w:rPr>
                    <w:noProof/>
                    <w:webHidden/>
                  </w:rPr>
                  <w:tab/>
                </w:r>
                <w:r>
                  <w:rPr>
                    <w:noProof/>
                    <w:webHidden/>
                  </w:rPr>
                  <w:fldChar w:fldCharType="begin"/>
                </w:r>
                <w:r>
                  <w:rPr>
                    <w:noProof/>
                    <w:webHidden/>
                  </w:rPr>
                  <w:instrText xml:space="preserve"> PAGEREF _Toc159952370 \h </w:instrText>
                </w:r>
                <w:r>
                  <w:rPr>
                    <w:noProof/>
                    <w:webHidden/>
                  </w:rPr>
                </w:r>
                <w:r>
                  <w:rPr>
                    <w:noProof/>
                    <w:webHidden/>
                  </w:rPr>
                  <w:fldChar w:fldCharType="separate"/>
                </w:r>
                <w:r w:rsidR="00987C8A">
                  <w:rPr>
                    <w:noProof/>
                    <w:webHidden/>
                  </w:rPr>
                  <w:t>25</w:t>
                </w:r>
                <w:r>
                  <w:rPr>
                    <w:noProof/>
                    <w:webHidden/>
                  </w:rPr>
                  <w:fldChar w:fldCharType="end"/>
                </w:r>
              </w:hyperlink>
            </w:p>
            <w:p w14:paraId="54841D60" w14:textId="60E7C18A" w:rsidR="006E283A" w:rsidRDefault="006E283A">
              <w:pPr>
                <w:pStyle w:val="TDC2"/>
                <w:tabs>
                  <w:tab w:val="right" w:leader="dot" w:pos="8969"/>
                </w:tabs>
                <w:rPr>
                  <w:rFonts w:cstheme="minorBidi"/>
                  <w:noProof/>
                  <w:kern w:val="2"/>
                  <w14:ligatures w14:val="standardContextual"/>
                </w:rPr>
              </w:pPr>
              <w:hyperlink w:anchor="_Toc159952371" w:history="1">
                <w:r w:rsidRPr="00D66931">
                  <w:rPr>
                    <w:rStyle w:val="Hipervnculo"/>
                    <w:noProof/>
                  </w:rPr>
                  <w:t>7.4 Otras cuentas por cobrar</w:t>
                </w:r>
                <w:r>
                  <w:rPr>
                    <w:noProof/>
                    <w:webHidden/>
                  </w:rPr>
                  <w:tab/>
                </w:r>
                <w:r>
                  <w:rPr>
                    <w:noProof/>
                    <w:webHidden/>
                  </w:rPr>
                  <w:fldChar w:fldCharType="begin"/>
                </w:r>
                <w:r>
                  <w:rPr>
                    <w:noProof/>
                    <w:webHidden/>
                  </w:rPr>
                  <w:instrText xml:space="preserve"> PAGEREF _Toc159952371 \h </w:instrText>
                </w:r>
                <w:r>
                  <w:rPr>
                    <w:noProof/>
                    <w:webHidden/>
                  </w:rPr>
                </w:r>
                <w:r>
                  <w:rPr>
                    <w:noProof/>
                    <w:webHidden/>
                  </w:rPr>
                  <w:fldChar w:fldCharType="separate"/>
                </w:r>
                <w:r w:rsidR="00987C8A">
                  <w:rPr>
                    <w:noProof/>
                    <w:webHidden/>
                  </w:rPr>
                  <w:t>27</w:t>
                </w:r>
                <w:r>
                  <w:rPr>
                    <w:noProof/>
                    <w:webHidden/>
                  </w:rPr>
                  <w:fldChar w:fldCharType="end"/>
                </w:r>
              </w:hyperlink>
            </w:p>
            <w:p w14:paraId="6B67E136" w14:textId="1F732F68" w:rsidR="006E283A" w:rsidRDefault="006E283A">
              <w:pPr>
                <w:pStyle w:val="TDC2"/>
                <w:tabs>
                  <w:tab w:val="right" w:leader="dot" w:pos="8969"/>
                </w:tabs>
                <w:rPr>
                  <w:rFonts w:cstheme="minorBidi"/>
                  <w:noProof/>
                  <w:kern w:val="2"/>
                  <w14:ligatures w14:val="standardContextual"/>
                </w:rPr>
              </w:pPr>
              <w:hyperlink w:anchor="_Toc159952372" w:history="1">
                <w:r w:rsidRPr="00D66931">
                  <w:rPr>
                    <w:rStyle w:val="Hipervnculo"/>
                    <w:noProof/>
                  </w:rPr>
                  <w:t>7.5 Cuentas por cobrar de difícil recaudo</w:t>
                </w:r>
                <w:r>
                  <w:rPr>
                    <w:noProof/>
                    <w:webHidden/>
                  </w:rPr>
                  <w:tab/>
                </w:r>
                <w:r>
                  <w:rPr>
                    <w:noProof/>
                    <w:webHidden/>
                  </w:rPr>
                  <w:fldChar w:fldCharType="begin"/>
                </w:r>
                <w:r>
                  <w:rPr>
                    <w:noProof/>
                    <w:webHidden/>
                  </w:rPr>
                  <w:instrText xml:space="preserve"> PAGEREF _Toc159952372 \h </w:instrText>
                </w:r>
                <w:r>
                  <w:rPr>
                    <w:noProof/>
                    <w:webHidden/>
                  </w:rPr>
                </w:r>
                <w:r>
                  <w:rPr>
                    <w:noProof/>
                    <w:webHidden/>
                  </w:rPr>
                  <w:fldChar w:fldCharType="separate"/>
                </w:r>
                <w:r w:rsidR="00987C8A">
                  <w:rPr>
                    <w:noProof/>
                    <w:webHidden/>
                  </w:rPr>
                  <w:t>29</w:t>
                </w:r>
                <w:r>
                  <w:rPr>
                    <w:noProof/>
                    <w:webHidden/>
                  </w:rPr>
                  <w:fldChar w:fldCharType="end"/>
                </w:r>
              </w:hyperlink>
            </w:p>
            <w:p w14:paraId="0B37BFB1" w14:textId="75A64701" w:rsidR="006E283A" w:rsidRDefault="006E283A">
              <w:pPr>
                <w:pStyle w:val="TDC2"/>
                <w:tabs>
                  <w:tab w:val="right" w:leader="dot" w:pos="8969"/>
                </w:tabs>
                <w:rPr>
                  <w:rFonts w:cstheme="minorBidi"/>
                  <w:noProof/>
                  <w:kern w:val="2"/>
                  <w14:ligatures w14:val="standardContextual"/>
                </w:rPr>
              </w:pPr>
              <w:hyperlink w:anchor="_Toc159952373" w:history="1">
                <w:r w:rsidRPr="00D66931">
                  <w:rPr>
                    <w:rStyle w:val="Hipervnculo"/>
                    <w:noProof/>
                  </w:rPr>
                  <w:t xml:space="preserve">7.6   </w:t>
                </w:r>
                <w:r w:rsidRPr="00D66931">
                  <w:rPr>
                    <w:rStyle w:val="Hipervnculo"/>
                    <w:bCs/>
                    <w:noProof/>
                  </w:rPr>
                  <w:t>Deterioro de las cuentas por cobrar estimadas de manera individual</w:t>
                </w:r>
                <w:r>
                  <w:rPr>
                    <w:noProof/>
                    <w:webHidden/>
                  </w:rPr>
                  <w:tab/>
                </w:r>
                <w:r>
                  <w:rPr>
                    <w:noProof/>
                    <w:webHidden/>
                  </w:rPr>
                  <w:fldChar w:fldCharType="begin"/>
                </w:r>
                <w:r>
                  <w:rPr>
                    <w:noProof/>
                    <w:webHidden/>
                  </w:rPr>
                  <w:instrText xml:space="preserve"> PAGEREF _Toc159952373 \h </w:instrText>
                </w:r>
                <w:r>
                  <w:rPr>
                    <w:noProof/>
                    <w:webHidden/>
                  </w:rPr>
                </w:r>
                <w:r>
                  <w:rPr>
                    <w:noProof/>
                    <w:webHidden/>
                  </w:rPr>
                  <w:fldChar w:fldCharType="separate"/>
                </w:r>
                <w:r w:rsidR="00987C8A">
                  <w:rPr>
                    <w:noProof/>
                    <w:webHidden/>
                  </w:rPr>
                  <w:t>30</w:t>
                </w:r>
                <w:r>
                  <w:rPr>
                    <w:noProof/>
                    <w:webHidden/>
                  </w:rPr>
                  <w:fldChar w:fldCharType="end"/>
                </w:r>
              </w:hyperlink>
            </w:p>
            <w:p w14:paraId="74C1B281" w14:textId="7CB722BB" w:rsidR="006E283A" w:rsidRDefault="006E283A">
              <w:pPr>
                <w:pStyle w:val="TDC2"/>
                <w:tabs>
                  <w:tab w:val="right" w:leader="dot" w:pos="8969"/>
                </w:tabs>
                <w:rPr>
                  <w:rFonts w:cstheme="minorBidi"/>
                  <w:noProof/>
                  <w:kern w:val="2"/>
                  <w14:ligatures w14:val="standardContextual"/>
                </w:rPr>
              </w:pPr>
              <w:hyperlink w:anchor="_Toc159952374" w:history="1">
                <w:r w:rsidRPr="00D66931">
                  <w:rPr>
                    <w:rStyle w:val="Hipervnculo"/>
                    <w:noProof/>
                  </w:rPr>
                  <w:t>7.7 Cuentas por cobrar vencidas no deterioradas</w:t>
                </w:r>
                <w:r>
                  <w:rPr>
                    <w:noProof/>
                    <w:webHidden/>
                  </w:rPr>
                  <w:tab/>
                </w:r>
                <w:r>
                  <w:rPr>
                    <w:noProof/>
                    <w:webHidden/>
                  </w:rPr>
                  <w:fldChar w:fldCharType="begin"/>
                </w:r>
                <w:r>
                  <w:rPr>
                    <w:noProof/>
                    <w:webHidden/>
                  </w:rPr>
                  <w:instrText xml:space="preserve"> PAGEREF _Toc159952374 \h </w:instrText>
                </w:r>
                <w:r>
                  <w:rPr>
                    <w:noProof/>
                    <w:webHidden/>
                  </w:rPr>
                </w:r>
                <w:r>
                  <w:rPr>
                    <w:noProof/>
                    <w:webHidden/>
                  </w:rPr>
                  <w:fldChar w:fldCharType="separate"/>
                </w:r>
                <w:r w:rsidR="00987C8A">
                  <w:rPr>
                    <w:noProof/>
                    <w:webHidden/>
                  </w:rPr>
                  <w:t>32</w:t>
                </w:r>
                <w:r>
                  <w:rPr>
                    <w:noProof/>
                    <w:webHidden/>
                  </w:rPr>
                  <w:fldChar w:fldCharType="end"/>
                </w:r>
              </w:hyperlink>
            </w:p>
            <w:p w14:paraId="45E9EA76" w14:textId="0D3416E0" w:rsidR="006E283A" w:rsidRDefault="006E283A">
              <w:pPr>
                <w:pStyle w:val="TDC1"/>
                <w:tabs>
                  <w:tab w:val="right" w:leader="dot" w:pos="8969"/>
                </w:tabs>
                <w:rPr>
                  <w:rFonts w:asciiTheme="minorHAnsi" w:eastAsiaTheme="minorEastAsia" w:hAnsiTheme="minorHAnsi" w:cstheme="minorBidi"/>
                  <w:noProof/>
                  <w:kern w:val="2"/>
                  <w:lang w:eastAsia="es-CO"/>
                  <w14:ligatures w14:val="standardContextual"/>
                </w:rPr>
              </w:pPr>
              <w:hyperlink w:anchor="_Toc159952375" w:history="1">
                <w:r w:rsidRPr="00D66931">
                  <w:rPr>
                    <w:rStyle w:val="Hipervnculo"/>
                    <w:noProof/>
                  </w:rPr>
                  <w:t>NOTA 10. PROPIEDADES, PLANTA Y EQUIPO</w:t>
                </w:r>
                <w:r>
                  <w:rPr>
                    <w:noProof/>
                    <w:webHidden/>
                  </w:rPr>
                  <w:tab/>
                </w:r>
                <w:r>
                  <w:rPr>
                    <w:noProof/>
                    <w:webHidden/>
                  </w:rPr>
                  <w:fldChar w:fldCharType="begin"/>
                </w:r>
                <w:r>
                  <w:rPr>
                    <w:noProof/>
                    <w:webHidden/>
                  </w:rPr>
                  <w:instrText xml:space="preserve"> PAGEREF _Toc159952375 \h </w:instrText>
                </w:r>
                <w:r>
                  <w:rPr>
                    <w:noProof/>
                    <w:webHidden/>
                  </w:rPr>
                </w:r>
                <w:r>
                  <w:rPr>
                    <w:noProof/>
                    <w:webHidden/>
                  </w:rPr>
                  <w:fldChar w:fldCharType="separate"/>
                </w:r>
                <w:r w:rsidR="00987C8A">
                  <w:rPr>
                    <w:noProof/>
                    <w:webHidden/>
                  </w:rPr>
                  <w:t>34</w:t>
                </w:r>
                <w:r>
                  <w:rPr>
                    <w:noProof/>
                    <w:webHidden/>
                  </w:rPr>
                  <w:fldChar w:fldCharType="end"/>
                </w:r>
              </w:hyperlink>
            </w:p>
            <w:p w14:paraId="39D4846A" w14:textId="18C0EE22" w:rsidR="006E283A" w:rsidRDefault="006E283A">
              <w:pPr>
                <w:pStyle w:val="TDC2"/>
                <w:tabs>
                  <w:tab w:val="right" w:leader="dot" w:pos="8969"/>
                </w:tabs>
                <w:rPr>
                  <w:rFonts w:cstheme="minorBidi"/>
                  <w:noProof/>
                  <w:kern w:val="2"/>
                  <w14:ligatures w14:val="standardContextual"/>
                </w:rPr>
              </w:pPr>
              <w:hyperlink w:anchor="_Toc159952376" w:history="1">
                <w:r w:rsidRPr="00D66931">
                  <w:rPr>
                    <w:rStyle w:val="Hipervnculo"/>
                    <w:noProof/>
                  </w:rPr>
                  <w:t>Composición</w:t>
                </w:r>
                <w:r>
                  <w:rPr>
                    <w:noProof/>
                    <w:webHidden/>
                  </w:rPr>
                  <w:tab/>
                </w:r>
                <w:r>
                  <w:rPr>
                    <w:noProof/>
                    <w:webHidden/>
                  </w:rPr>
                  <w:fldChar w:fldCharType="begin"/>
                </w:r>
                <w:r>
                  <w:rPr>
                    <w:noProof/>
                    <w:webHidden/>
                  </w:rPr>
                  <w:instrText xml:space="preserve"> PAGEREF _Toc159952376 \h </w:instrText>
                </w:r>
                <w:r>
                  <w:rPr>
                    <w:noProof/>
                    <w:webHidden/>
                  </w:rPr>
                </w:r>
                <w:r>
                  <w:rPr>
                    <w:noProof/>
                    <w:webHidden/>
                  </w:rPr>
                  <w:fldChar w:fldCharType="separate"/>
                </w:r>
                <w:r w:rsidR="00987C8A">
                  <w:rPr>
                    <w:noProof/>
                    <w:webHidden/>
                  </w:rPr>
                  <w:t>34</w:t>
                </w:r>
                <w:r>
                  <w:rPr>
                    <w:noProof/>
                    <w:webHidden/>
                  </w:rPr>
                  <w:fldChar w:fldCharType="end"/>
                </w:r>
              </w:hyperlink>
            </w:p>
            <w:p w14:paraId="28E89E4A" w14:textId="06D389BC" w:rsidR="006E283A" w:rsidRDefault="006E283A">
              <w:pPr>
                <w:pStyle w:val="TDC2"/>
                <w:tabs>
                  <w:tab w:val="left" w:pos="1100"/>
                  <w:tab w:val="right" w:leader="dot" w:pos="8969"/>
                </w:tabs>
                <w:rPr>
                  <w:rFonts w:cstheme="minorBidi"/>
                  <w:noProof/>
                  <w:kern w:val="2"/>
                  <w14:ligatures w14:val="standardContextual"/>
                </w:rPr>
              </w:pPr>
              <w:hyperlink w:anchor="_Toc159952377" w:history="1">
                <w:r w:rsidRPr="00D66931">
                  <w:rPr>
                    <w:rStyle w:val="Hipervnculo"/>
                    <w:noProof/>
                  </w:rPr>
                  <w:t>10.1.</w:t>
                </w:r>
                <w:r>
                  <w:rPr>
                    <w:rFonts w:cstheme="minorBidi"/>
                    <w:noProof/>
                    <w:kern w:val="2"/>
                    <w14:ligatures w14:val="standardContextual"/>
                  </w:rPr>
                  <w:tab/>
                </w:r>
                <w:r w:rsidRPr="00D66931">
                  <w:rPr>
                    <w:rStyle w:val="Hipervnculo"/>
                    <w:noProof/>
                  </w:rPr>
                  <w:t>Detalle saldos y movimientos PPE – Muebles</w:t>
                </w:r>
                <w:r>
                  <w:rPr>
                    <w:noProof/>
                    <w:webHidden/>
                  </w:rPr>
                  <w:tab/>
                </w:r>
                <w:r>
                  <w:rPr>
                    <w:noProof/>
                    <w:webHidden/>
                  </w:rPr>
                  <w:fldChar w:fldCharType="begin"/>
                </w:r>
                <w:r>
                  <w:rPr>
                    <w:noProof/>
                    <w:webHidden/>
                  </w:rPr>
                  <w:instrText xml:space="preserve"> PAGEREF _Toc159952377 \h </w:instrText>
                </w:r>
                <w:r>
                  <w:rPr>
                    <w:noProof/>
                    <w:webHidden/>
                  </w:rPr>
                </w:r>
                <w:r>
                  <w:rPr>
                    <w:noProof/>
                    <w:webHidden/>
                  </w:rPr>
                  <w:fldChar w:fldCharType="separate"/>
                </w:r>
                <w:r w:rsidR="00987C8A">
                  <w:rPr>
                    <w:noProof/>
                    <w:webHidden/>
                  </w:rPr>
                  <w:t>35</w:t>
                </w:r>
                <w:r>
                  <w:rPr>
                    <w:noProof/>
                    <w:webHidden/>
                  </w:rPr>
                  <w:fldChar w:fldCharType="end"/>
                </w:r>
              </w:hyperlink>
            </w:p>
            <w:p w14:paraId="7F0D572B" w14:textId="47B8445B" w:rsidR="006E283A" w:rsidRDefault="006E283A">
              <w:pPr>
                <w:pStyle w:val="TDC2"/>
                <w:tabs>
                  <w:tab w:val="left" w:pos="1100"/>
                  <w:tab w:val="right" w:leader="dot" w:pos="8969"/>
                </w:tabs>
                <w:rPr>
                  <w:rFonts w:cstheme="minorBidi"/>
                  <w:noProof/>
                  <w:kern w:val="2"/>
                  <w14:ligatures w14:val="standardContextual"/>
                </w:rPr>
              </w:pPr>
              <w:hyperlink w:anchor="_Toc159952378" w:history="1">
                <w:r w:rsidRPr="00D66931">
                  <w:rPr>
                    <w:rStyle w:val="Hipervnculo"/>
                    <w:noProof/>
                  </w:rPr>
                  <w:t>10.2.</w:t>
                </w:r>
                <w:r>
                  <w:rPr>
                    <w:rFonts w:cstheme="minorBidi"/>
                    <w:noProof/>
                    <w:kern w:val="2"/>
                    <w14:ligatures w14:val="standardContextual"/>
                  </w:rPr>
                  <w:tab/>
                </w:r>
                <w:r w:rsidRPr="00D66931">
                  <w:rPr>
                    <w:rStyle w:val="Hipervnculo"/>
                    <w:noProof/>
                  </w:rPr>
                  <w:t>Detalle saldos y movimientos PPE - Inmuebles</w:t>
                </w:r>
                <w:r>
                  <w:rPr>
                    <w:noProof/>
                    <w:webHidden/>
                  </w:rPr>
                  <w:tab/>
                </w:r>
                <w:r>
                  <w:rPr>
                    <w:noProof/>
                    <w:webHidden/>
                  </w:rPr>
                  <w:fldChar w:fldCharType="begin"/>
                </w:r>
                <w:r>
                  <w:rPr>
                    <w:noProof/>
                    <w:webHidden/>
                  </w:rPr>
                  <w:instrText xml:space="preserve"> PAGEREF _Toc159952378 \h </w:instrText>
                </w:r>
                <w:r>
                  <w:rPr>
                    <w:noProof/>
                    <w:webHidden/>
                  </w:rPr>
                </w:r>
                <w:r>
                  <w:rPr>
                    <w:noProof/>
                    <w:webHidden/>
                  </w:rPr>
                  <w:fldChar w:fldCharType="separate"/>
                </w:r>
                <w:r w:rsidR="00987C8A">
                  <w:rPr>
                    <w:noProof/>
                    <w:webHidden/>
                  </w:rPr>
                  <w:t>44</w:t>
                </w:r>
                <w:r>
                  <w:rPr>
                    <w:noProof/>
                    <w:webHidden/>
                  </w:rPr>
                  <w:fldChar w:fldCharType="end"/>
                </w:r>
              </w:hyperlink>
            </w:p>
            <w:p w14:paraId="3DD6081A" w14:textId="759995EF" w:rsidR="006E283A" w:rsidRDefault="006E283A">
              <w:pPr>
                <w:pStyle w:val="TDC2"/>
                <w:tabs>
                  <w:tab w:val="left" w:pos="1100"/>
                  <w:tab w:val="right" w:leader="dot" w:pos="8969"/>
                </w:tabs>
                <w:rPr>
                  <w:rFonts w:cstheme="minorBidi"/>
                  <w:noProof/>
                  <w:kern w:val="2"/>
                  <w14:ligatures w14:val="standardContextual"/>
                </w:rPr>
              </w:pPr>
              <w:hyperlink w:anchor="_Toc159952379" w:history="1">
                <w:r w:rsidRPr="00D66931">
                  <w:rPr>
                    <w:rStyle w:val="Hipervnculo"/>
                    <w:noProof/>
                  </w:rPr>
                  <w:t>10.3.</w:t>
                </w:r>
                <w:r>
                  <w:rPr>
                    <w:rFonts w:cstheme="minorBidi"/>
                    <w:noProof/>
                    <w:kern w:val="2"/>
                    <w14:ligatures w14:val="standardContextual"/>
                  </w:rPr>
                  <w:tab/>
                </w:r>
                <w:r w:rsidRPr="00D66931">
                  <w:rPr>
                    <w:rStyle w:val="Hipervnculo"/>
                    <w:noProof/>
                  </w:rPr>
                  <w:t>Construcciones en curso</w:t>
                </w:r>
                <w:r>
                  <w:rPr>
                    <w:noProof/>
                    <w:webHidden/>
                  </w:rPr>
                  <w:tab/>
                </w:r>
                <w:r>
                  <w:rPr>
                    <w:noProof/>
                    <w:webHidden/>
                  </w:rPr>
                  <w:fldChar w:fldCharType="begin"/>
                </w:r>
                <w:r>
                  <w:rPr>
                    <w:noProof/>
                    <w:webHidden/>
                  </w:rPr>
                  <w:instrText xml:space="preserve"> PAGEREF _Toc159952379 \h </w:instrText>
                </w:r>
                <w:r>
                  <w:rPr>
                    <w:noProof/>
                    <w:webHidden/>
                  </w:rPr>
                </w:r>
                <w:r>
                  <w:rPr>
                    <w:noProof/>
                    <w:webHidden/>
                  </w:rPr>
                  <w:fldChar w:fldCharType="separate"/>
                </w:r>
                <w:r w:rsidR="00987C8A">
                  <w:rPr>
                    <w:noProof/>
                    <w:webHidden/>
                  </w:rPr>
                  <w:t>46</w:t>
                </w:r>
                <w:r>
                  <w:rPr>
                    <w:noProof/>
                    <w:webHidden/>
                  </w:rPr>
                  <w:fldChar w:fldCharType="end"/>
                </w:r>
              </w:hyperlink>
            </w:p>
            <w:p w14:paraId="5701B478" w14:textId="1D756A15" w:rsidR="006E283A" w:rsidRDefault="006E283A">
              <w:pPr>
                <w:pStyle w:val="TDC2"/>
                <w:tabs>
                  <w:tab w:val="left" w:pos="1100"/>
                  <w:tab w:val="right" w:leader="dot" w:pos="8969"/>
                </w:tabs>
                <w:rPr>
                  <w:rFonts w:cstheme="minorBidi"/>
                  <w:noProof/>
                  <w:kern w:val="2"/>
                  <w14:ligatures w14:val="standardContextual"/>
                </w:rPr>
              </w:pPr>
              <w:hyperlink w:anchor="_Toc159952380" w:history="1">
                <w:r w:rsidRPr="00D66931">
                  <w:rPr>
                    <w:rStyle w:val="Hipervnculo"/>
                    <w:noProof/>
                  </w:rPr>
                  <w:t>10.4.</w:t>
                </w:r>
                <w:r>
                  <w:rPr>
                    <w:rFonts w:cstheme="minorBidi"/>
                    <w:noProof/>
                    <w:kern w:val="2"/>
                    <w14:ligatures w14:val="standardContextual"/>
                  </w:rPr>
                  <w:tab/>
                </w:r>
                <w:r w:rsidRPr="00D66931">
                  <w:rPr>
                    <w:rStyle w:val="Hipervnculo"/>
                    <w:noProof/>
                  </w:rPr>
                  <w:t>Estimaciones</w:t>
                </w:r>
                <w:r>
                  <w:rPr>
                    <w:noProof/>
                    <w:webHidden/>
                  </w:rPr>
                  <w:tab/>
                </w:r>
                <w:r>
                  <w:rPr>
                    <w:noProof/>
                    <w:webHidden/>
                  </w:rPr>
                  <w:fldChar w:fldCharType="begin"/>
                </w:r>
                <w:r>
                  <w:rPr>
                    <w:noProof/>
                    <w:webHidden/>
                  </w:rPr>
                  <w:instrText xml:space="preserve"> PAGEREF _Toc159952380 \h </w:instrText>
                </w:r>
                <w:r>
                  <w:rPr>
                    <w:noProof/>
                    <w:webHidden/>
                  </w:rPr>
                </w:r>
                <w:r>
                  <w:rPr>
                    <w:noProof/>
                    <w:webHidden/>
                  </w:rPr>
                  <w:fldChar w:fldCharType="separate"/>
                </w:r>
                <w:r w:rsidR="00987C8A">
                  <w:rPr>
                    <w:noProof/>
                    <w:webHidden/>
                  </w:rPr>
                  <w:t>46</w:t>
                </w:r>
                <w:r>
                  <w:rPr>
                    <w:noProof/>
                    <w:webHidden/>
                  </w:rPr>
                  <w:fldChar w:fldCharType="end"/>
                </w:r>
              </w:hyperlink>
            </w:p>
            <w:p w14:paraId="7775566D" w14:textId="34F01924" w:rsidR="006E283A" w:rsidRDefault="006E283A">
              <w:pPr>
                <w:pStyle w:val="TDC1"/>
                <w:tabs>
                  <w:tab w:val="right" w:leader="dot" w:pos="8969"/>
                </w:tabs>
                <w:rPr>
                  <w:rFonts w:asciiTheme="minorHAnsi" w:eastAsiaTheme="minorEastAsia" w:hAnsiTheme="minorHAnsi" w:cstheme="minorBidi"/>
                  <w:noProof/>
                  <w:kern w:val="2"/>
                  <w:lang w:eastAsia="es-CO"/>
                  <w14:ligatures w14:val="standardContextual"/>
                </w:rPr>
              </w:pPr>
              <w:hyperlink w:anchor="_Toc159952381" w:history="1">
                <w:r w:rsidRPr="00D66931">
                  <w:rPr>
                    <w:rStyle w:val="Hipervnculo"/>
                    <w:noProof/>
                  </w:rPr>
                  <w:t>NOTA 11. BIENES DE USO PÚBLICO E HISTÓRICOS Y CULTURALES</w:t>
                </w:r>
                <w:r>
                  <w:rPr>
                    <w:noProof/>
                    <w:webHidden/>
                  </w:rPr>
                  <w:tab/>
                </w:r>
                <w:r>
                  <w:rPr>
                    <w:noProof/>
                    <w:webHidden/>
                  </w:rPr>
                  <w:fldChar w:fldCharType="begin"/>
                </w:r>
                <w:r>
                  <w:rPr>
                    <w:noProof/>
                    <w:webHidden/>
                  </w:rPr>
                  <w:instrText xml:space="preserve"> PAGEREF _Toc159952381 \h </w:instrText>
                </w:r>
                <w:r>
                  <w:rPr>
                    <w:noProof/>
                    <w:webHidden/>
                  </w:rPr>
                </w:r>
                <w:r>
                  <w:rPr>
                    <w:noProof/>
                    <w:webHidden/>
                  </w:rPr>
                  <w:fldChar w:fldCharType="separate"/>
                </w:r>
                <w:r w:rsidR="00987C8A">
                  <w:rPr>
                    <w:noProof/>
                    <w:webHidden/>
                  </w:rPr>
                  <w:t>47</w:t>
                </w:r>
                <w:r>
                  <w:rPr>
                    <w:noProof/>
                    <w:webHidden/>
                  </w:rPr>
                  <w:fldChar w:fldCharType="end"/>
                </w:r>
              </w:hyperlink>
            </w:p>
            <w:p w14:paraId="6B8196F2" w14:textId="1C347BA1" w:rsidR="006E283A" w:rsidRDefault="006E283A">
              <w:pPr>
                <w:pStyle w:val="TDC2"/>
                <w:tabs>
                  <w:tab w:val="right" w:leader="dot" w:pos="8969"/>
                </w:tabs>
                <w:rPr>
                  <w:rFonts w:cstheme="minorBidi"/>
                  <w:noProof/>
                  <w:kern w:val="2"/>
                  <w14:ligatures w14:val="standardContextual"/>
                </w:rPr>
              </w:pPr>
              <w:hyperlink w:anchor="_Toc159952382" w:history="1">
                <w:r w:rsidRPr="00D66931">
                  <w:rPr>
                    <w:rStyle w:val="Hipervnculo"/>
                    <w:noProof/>
                  </w:rPr>
                  <w:t>Composición</w:t>
                </w:r>
                <w:r>
                  <w:rPr>
                    <w:noProof/>
                    <w:webHidden/>
                  </w:rPr>
                  <w:tab/>
                </w:r>
                <w:r>
                  <w:rPr>
                    <w:noProof/>
                    <w:webHidden/>
                  </w:rPr>
                  <w:fldChar w:fldCharType="begin"/>
                </w:r>
                <w:r>
                  <w:rPr>
                    <w:noProof/>
                    <w:webHidden/>
                  </w:rPr>
                  <w:instrText xml:space="preserve"> PAGEREF _Toc159952382 \h </w:instrText>
                </w:r>
                <w:r>
                  <w:rPr>
                    <w:noProof/>
                    <w:webHidden/>
                  </w:rPr>
                </w:r>
                <w:r>
                  <w:rPr>
                    <w:noProof/>
                    <w:webHidden/>
                  </w:rPr>
                  <w:fldChar w:fldCharType="separate"/>
                </w:r>
                <w:r w:rsidR="00987C8A">
                  <w:rPr>
                    <w:noProof/>
                    <w:webHidden/>
                  </w:rPr>
                  <w:t>47</w:t>
                </w:r>
                <w:r>
                  <w:rPr>
                    <w:noProof/>
                    <w:webHidden/>
                  </w:rPr>
                  <w:fldChar w:fldCharType="end"/>
                </w:r>
              </w:hyperlink>
            </w:p>
            <w:p w14:paraId="6588ABC9" w14:textId="1901C2BB" w:rsidR="006E283A" w:rsidRDefault="006E283A">
              <w:pPr>
                <w:pStyle w:val="TDC2"/>
                <w:tabs>
                  <w:tab w:val="left" w:pos="1100"/>
                  <w:tab w:val="right" w:leader="dot" w:pos="8969"/>
                </w:tabs>
                <w:rPr>
                  <w:rFonts w:cstheme="minorBidi"/>
                  <w:noProof/>
                  <w:kern w:val="2"/>
                  <w14:ligatures w14:val="standardContextual"/>
                </w:rPr>
              </w:pPr>
              <w:hyperlink w:anchor="_Toc159952383" w:history="1">
                <w:r w:rsidRPr="00D66931">
                  <w:rPr>
                    <w:rStyle w:val="Hipervnculo"/>
                    <w:noProof/>
                  </w:rPr>
                  <w:t>11.1.</w:t>
                </w:r>
                <w:r>
                  <w:rPr>
                    <w:rFonts w:cstheme="minorBidi"/>
                    <w:noProof/>
                    <w:kern w:val="2"/>
                    <w14:ligatures w14:val="standardContextual"/>
                  </w:rPr>
                  <w:tab/>
                </w:r>
                <w:r w:rsidRPr="00D66931">
                  <w:rPr>
                    <w:rStyle w:val="Hipervnculo"/>
                    <w:noProof/>
                  </w:rPr>
                  <w:t>Bienes de uso público (BUP)</w:t>
                </w:r>
                <w:r>
                  <w:rPr>
                    <w:noProof/>
                    <w:webHidden/>
                  </w:rPr>
                  <w:tab/>
                </w:r>
                <w:r>
                  <w:rPr>
                    <w:noProof/>
                    <w:webHidden/>
                  </w:rPr>
                  <w:fldChar w:fldCharType="begin"/>
                </w:r>
                <w:r>
                  <w:rPr>
                    <w:noProof/>
                    <w:webHidden/>
                  </w:rPr>
                  <w:instrText xml:space="preserve"> PAGEREF _Toc159952383 \h </w:instrText>
                </w:r>
                <w:r>
                  <w:rPr>
                    <w:noProof/>
                    <w:webHidden/>
                  </w:rPr>
                </w:r>
                <w:r>
                  <w:rPr>
                    <w:noProof/>
                    <w:webHidden/>
                  </w:rPr>
                  <w:fldChar w:fldCharType="separate"/>
                </w:r>
                <w:r w:rsidR="00987C8A">
                  <w:rPr>
                    <w:noProof/>
                    <w:webHidden/>
                  </w:rPr>
                  <w:t>49</w:t>
                </w:r>
                <w:r>
                  <w:rPr>
                    <w:noProof/>
                    <w:webHidden/>
                  </w:rPr>
                  <w:fldChar w:fldCharType="end"/>
                </w:r>
              </w:hyperlink>
            </w:p>
            <w:p w14:paraId="4733312F" w14:textId="339F764C" w:rsidR="006E283A" w:rsidRDefault="006E283A">
              <w:pPr>
                <w:pStyle w:val="TDC2"/>
                <w:tabs>
                  <w:tab w:val="right" w:leader="dot" w:pos="8969"/>
                </w:tabs>
                <w:rPr>
                  <w:rFonts w:cstheme="minorBidi"/>
                  <w:noProof/>
                  <w:kern w:val="2"/>
                  <w14:ligatures w14:val="standardContextual"/>
                </w:rPr>
              </w:pPr>
              <w:hyperlink w:anchor="_Toc159952384" w:history="1">
                <w:r w:rsidRPr="00D66931">
                  <w:rPr>
                    <w:rStyle w:val="Hipervnculo"/>
                    <w:noProof/>
                  </w:rPr>
                  <w:t>11.1.1. Bienes de uso público en servicio.</w:t>
                </w:r>
                <w:r>
                  <w:rPr>
                    <w:noProof/>
                    <w:webHidden/>
                  </w:rPr>
                  <w:tab/>
                </w:r>
                <w:r>
                  <w:rPr>
                    <w:noProof/>
                    <w:webHidden/>
                  </w:rPr>
                  <w:fldChar w:fldCharType="begin"/>
                </w:r>
                <w:r>
                  <w:rPr>
                    <w:noProof/>
                    <w:webHidden/>
                  </w:rPr>
                  <w:instrText xml:space="preserve"> PAGEREF _Toc159952384 \h </w:instrText>
                </w:r>
                <w:r>
                  <w:rPr>
                    <w:noProof/>
                    <w:webHidden/>
                  </w:rPr>
                </w:r>
                <w:r>
                  <w:rPr>
                    <w:noProof/>
                    <w:webHidden/>
                  </w:rPr>
                  <w:fldChar w:fldCharType="separate"/>
                </w:r>
                <w:r w:rsidR="00987C8A">
                  <w:rPr>
                    <w:noProof/>
                    <w:webHidden/>
                  </w:rPr>
                  <w:t>50</w:t>
                </w:r>
                <w:r>
                  <w:rPr>
                    <w:noProof/>
                    <w:webHidden/>
                  </w:rPr>
                  <w:fldChar w:fldCharType="end"/>
                </w:r>
              </w:hyperlink>
            </w:p>
            <w:p w14:paraId="11F2B8E2" w14:textId="563AF43E" w:rsidR="006E283A" w:rsidRDefault="006E283A">
              <w:pPr>
                <w:pStyle w:val="TDC2"/>
                <w:tabs>
                  <w:tab w:val="right" w:leader="dot" w:pos="8969"/>
                </w:tabs>
                <w:rPr>
                  <w:rFonts w:cstheme="minorBidi"/>
                  <w:noProof/>
                  <w:kern w:val="2"/>
                  <w14:ligatures w14:val="standardContextual"/>
                </w:rPr>
              </w:pPr>
              <w:hyperlink w:anchor="_Toc159952385" w:history="1">
                <w:r w:rsidRPr="00D66931">
                  <w:rPr>
                    <w:rStyle w:val="Hipervnculo"/>
                    <w:noProof/>
                  </w:rPr>
                  <w:t>11.1.2. Bienes de uso público en Concesión.</w:t>
                </w:r>
                <w:r>
                  <w:rPr>
                    <w:noProof/>
                    <w:webHidden/>
                  </w:rPr>
                  <w:tab/>
                </w:r>
                <w:r>
                  <w:rPr>
                    <w:noProof/>
                    <w:webHidden/>
                  </w:rPr>
                  <w:fldChar w:fldCharType="begin"/>
                </w:r>
                <w:r>
                  <w:rPr>
                    <w:noProof/>
                    <w:webHidden/>
                  </w:rPr>
                  <w:instrText xml:space="preserve"> PAGEREF _Toc159952385 \h </w:instrText>
                </w:r>
                <w:r>
                  <w:rPr>
                    <w:noProof/>
                    <w:webHidden/>
                  </w:rPr>
                </w:r>
                <w:r>
                  <w:rPr>
                    <w:noProof/>
                    <w:webHidden/>
                  </w:rPr>
                  <w:fldChar w:fldCharType="separate"/>
                </w:r>
                <w:r w:rsidR="00987C8A">
                  <w:rPr>
                    <w:noProof/>
                    <w:webHidden/>
                  </w:rPr>
                  <w:t>51</w:t>
                </w:r>
                <w:r>
                  <w:rPr>
                    <w:noProof/>
                    <w:webHidden/>
                  </w:rPr>
                  <w:fldChar w:fldCharType="end"/>
                </w:r>
              </w:hyperlink>
            </w:p>
            <w:p w14:paraId="27AB83A7" w14:textId="0640F78B" w:rsidR="006E283A" w:rsidRDefault="006E283A">
              <w:pPr>
                <w:pStyle w:val="TDC2"/>
                <w:tabs>
                  <w:tab w:val="right" w:leader="dot" w:pos="8969"/>
                </w:tabs>
                <w:rPr>
                  <w:rFonts w:cstheme="minorBidi"/>
                  <w:noProof/>
                  <w:kern w:val="2"/>
                  <w14:ligatures w14:val="standardContextual"/>
                </w:rPr>
              </w:pPr>
              <w:hyperlink w:anchor="_Toc159952386" w:history="1">
                <w:r w:rsidRPr="00D66931">
                  <w:rPr>
                    <w:rStyle w:val="Hipervnculo"/>
                    <w:noProof/>
                  </w:rPr>
                  <w:t>11.2. Revelaciones adicionales</w:t>
                </w:r>
                <w:r>
                  <w:rPr>
                    <w:noProof/>
                    <w:webHidden/>
                  </w:rPr>
                  <w:tab/>
                </w:r>
                <w:r>
                  <w:rPr>
                    <w:noProof/>
                    <w:webHidden/>
                  </w:rPr>
                  <w:fldChar w:fldCharType="begin"/>
                </w:r>
                <w:r>
                  <w:rPr>
                    <w:noProof/>
                    <w:webHidden/>
                  </w:rPr>
                  <w:instrText xml:space="preserve"> PAGEREF _Toc159952386 \h </w:instrText>
                </w:r>
                <w:r>
                  <w:rPr>
                    <w:noProof/>
                    <w:webHidden/>
                  </w:rPr>
                </w:r>
                <w:r>
                  <w:rPr>
                    <w:noProof/>
                    <w:webHidden/>
                  </w:rPr>
                  <w:fldChar w:fldCharType="separate"/>
                </w:r>
                <w:r w:rsidR="00987C8A">
                  <w:rPr>
                    <w:noProof/>
                    <w:webHidden/>
                  </w:rPr>
                  <w:t>57</w:t>
                </w:r>
                <w:r>
                  <w:rPr>
                    <w:noProof/>
                    <w:webHidden/>
                  </w:rPr>
                  <w:fldChar w:fldCharType="end"/>
                </w:r>
              </w:hyperlink>
            </w:p>
            <w:p w14:paraId="79E6776E" w14:textId="1609BBB0" w:rsidR="006E283A" w:rsidRDefault="006E283A">
              <w:pPr>
                <w:pStyle w:val="TDC1"/>
                <w:tabs>
                  <w:tab w:val="right" w:leader="dot" w:pos="8969"/>
                </w:tabs>
                <w:rPr>
                  <w:rFonts w:asciiTheme="minorHAnsi" w:eastAsiaTheme="minorEastAsia" w:hAnsiTheme="minorHAnsi" w:cstheme="minorBidi"/>
                  <w:noProof/>
                  <w:kern w:val="2"/>
                  <w:lang w:eastAsia="es-CO"/>
                  <w14:ligatures w14:val="standardContextual"/>
                </w:rPr>
              </w:pPr>
              <w:hyperlink w:anchor="_Toc159952387" w:history="1">
                <w:r w:rsidRPr="00D66931">
                  <w:rPr>
                    <w:rStyle w:val="Hipervnculo"/>
                    <w:noProof/>
                  </w:rPr>
                  <w:t>NOTA 14. ACTIVOS INTANGIBLES</w:t>
                </w:r>
                <w:r>
                  <w:rPr>
                    <w:noProof/>
                    <w:webHidden/>
                  </w:rPr>
                  <w:tab/>
                </w:r>
                <w:r>
                  <w:rPr>
                    <w:noProof/>
                    <w:webHidden/>
                  </w:rPr>
                  <w:fldChar w:fldCharType="begin"/>
                </w:r>
                <w:r>
                  <w:rPr>
                    <w:noProof/>
                    <w:webHidden/>
                  </w:rPr>
                  <w:instrText xml:space="preserve"> PAGEREF _Toc159952387 \h </w:instrText>
                </w:r>
                <w:r>
                  <w:rPr>
                    <w:noProof/>
                    <w:webHidden/>
                  </w:rPr>
                </w:r>
                <w:r>
                  <w:rPr>
                    <w:noProof/>
                    <w:webHidden/>
                  </w:rPr>
                  <w:fldChar w:fldCharType="separate"/>
                </w:r>
                <w:r w:rsidR="00987C8A">
                  <w:rPr>
                    <w:noProof/>
                    <w:webHidden/>
                  </w:rPr>
                  <w:t>57</w:t>
                </w:r>
                <w:r>
                  <w:rPr>
                    <w:noProof/>
                    <w:webHidden/>
                  </w:rPr>
                  <w:fldChar w:fldCharType="end"/>
                </w:r>
              </w:hyperlink>
            </w:p>
            <w:p w14:paraId="1980A808" w14:textId="47F8A0FD" w:rsidR="006E283A" w:rsidRDefault="006E283A">
              <w:pPr>
                <w:pStyle w:val="TDC2"/>
                <w:tabs>
                  <w:tab w:val="right" w:leader="dot" w:pos="8969"/>
                </w:tabs>
                <w:rPr>
                  <w:rFonts w:cstheme="minorBidi"/>
                  <w:noProof/>
                  <w:kern w:val="2"/>
                  <w14:ligatures w14:val="standardContextual"/>
                </w:rPr>
              </w:pPr>
              <w:hyperlink w:anchor="_Toc159952388" w:history="1">
                <w:r w:rsidRPr="00D66931">
                  <w:rPr>
                    <w:rStyle w:val="Hipervnculo"/>
                    <w:noProof/>
                  </w:rPr>
                  <w:t>Composición</w:t>
                </w:r>
                <w:r>
                  <w:rPr>
                    <w:noProof/>
                    <w:webHidden/>
                  </w:rPr>
                  <w:tab/>
                </w:r>
                <w:r>
                  <w:rPr>
                    <w:noProof/>
                    <w:webHidden/>
                  </w:rPr>
                  <w:fldChar w:fldCharType="begin"/>
                </w:r>
                <w:r>
                  <w:rPr>
                    <w:noProof/>
                    <w:webHidden/>
                  </w:rPr>
                  <w:instrText xml:space="preserve"> PAGEREF _Toc159952388 \h </w:instrText>
                </w:r>
                <w:r>
                  <w:rPr>
                    <w:noProof/>
                    <w:webHidden/>
                  </w:rPr>
                </w:r>
                <w:r>
                  <w:rPr>
                    <w:noProof/>
                    <w:webHidden/>
                  </w:rPr>
                  <w:fldChar w:fldCharType="separate"/>
                </w:r>
                <w:r w:rsidR="00987C8A">
                  <w:rPr>
                    <w:noProof/>
                    <w:webHidden/>
                  </w:rPr>
                  <w:t>57</w:t>
                </w:r>
                <w:r>
                  <w:rPr>
                    <w:noProof/>
                    <w:webHidden/>
                  </w:rPr>
                  <w:fldChar w:fldCharType="end"/>
                </w:r>
              </w:hyperlink>
            </w:p>
            <w:p w14:paraId="77BAF220" w14:textId="76100C5A" w:rsidR="006E283A" w:rsidRDefault="006E283A">
              <w:pPr>
                <w:pStyle w:val="TDC2"/>
                <w:tabs>
                  <w:tab w:val="left" w:pos="1100"/>
                  <w:tab w:val="right" w:leader="dot" w:pos="8969"/>
                </w:tabs>
                <w:rPr>
                  <w:rFonts w:cstheme="minorBidi"/>
                  <w:noProof/>
                  <w:kern w:val="2"/>
                  <w14:ligatures w14:val="standardContextual"/>
                </w:rPr>
              </w:pPr>
              <w:hyperlink w:anchor="_Toc159952389" w:history="1">
                <w:r w:rsidRPr="00D66931">
                  <w:rPr>
                    <w:rStyle w:val="Hipervnculo"/>
                    <w:noProof/>
                  </w:rPr>
                  <w:t>14.1.</w:t>
                </w:r>
                <w:r>
                  <w:rPr>
                    <w:rFonts w:cstheme="minorBidi"/>
                    <w:noProof/>
                    <w:kern w:val="2"/>
                    <w14:ligatures w14:val="standardContextual"/>
                  </w:rPr>
                  <w:tab/>
                </w:r>
                <w:r w:rsidRPr="00D66931">
                  <w:rPr>
                    <w:rStyle w:val="Hipervnculo"/>
                    <w:noProof/>
                  </w:rPr>
                  <w:t>Detalle saldos y movimientos</w:t>
                </w:r>
                <w:r>
                  <w:rPr>
                    <w:noProof/>
                    <w:webHidden/>
                  </w:rPr>
                  <w:tab/>
                </w:r>
                <w:r>
                  <w:rPr>
                    <w:noProof/>
                    <w:webHidden/>
                  </w:rPr>
                  <w:fldChar w:fldCharType="begin"/>
                </w:r>
                <w:r>
                  <w:rPr>
                    <w:noProof/>
                    <w:webHidden/>
                  </w:rPr>
                  <w:instrText xml:space="preserve"> PAGEREF _Toc159952389 \h </w:instrText>
                </w:r>
                <w:r>
                  <w:rPr>
                    <w:noProof/>
                    <w:webHidden/>
                  </w:rPr>
                </w:r>
                <w:r>
                  <w:rPr>
                    <w:noProof/>
                    <w:webHidden/>
                  </w:rPr>
                  <w:fldChar w:fldCharType="separate"/>
                </w:r>
                <w:r w:rsidR="00987C8A">
                  <w:rPr>
                    <w:noProof/>
                    <w:webHidden/>
                  </w:rPr>
                  <w:t>58</w:t>
                </w:r>
                <w:r>
                  <w:rPr>
                    <w:noProof/>
                    <w:webHidden/>
                  </w:rPr>
                  <w:fldChar w:fldCharType="end"/>
                </w:r>
              </w:hyperlink>
            </w:p>
            <w:p w14:paraId="59E7B0CE" w14:textId="5D78B1AB" w:rsidR="006E283A" w:rsidRDefault="006E283A">
              <w:pPr>
                <w:pStyle w:val="TDC2"/>
                <w:tabs>
                  <w:tab w:val="left" w:pos="1100"/>
                  <w:tab w:val="right" w:leader="dot" w:pos="8969"/>
                </w:tabs>
                <w:rPr>
                  <w:rFonts w:cstheme="minorBidi"/>
                  <w:noProof/>
                  <w:kern w:val="2"/>
                  <w14:ligatures w14:val="standardContextual"/>
                </w:rPr>
              </w:pPr>
              <w:hyperlink w:anchor="_Toc159952390" w:history="1">
                <w:r w:rsidRPr="00D66931">
                  <w:rPr>
                    <w:rStyle w:val="Hipervnculo"/>
                    <w:noProof/>
                  </w:rPr>
                  <w:t>14.2.</w:t>
                </w:r>
                <w:r>
                  <w:rPr>
                    <w:rFonts w:cstheme="minorBidi"/>
                    <w:noProof/>
                    <w:kern w:val="2"/>
                    <w14:ligatures w14:val="standardContextual"/>
                  </w:rPr>
                  <w:tab/>
                </w:r>
                <w:r w:rsidRPr="00D66931">
                  <w:rPr>
                    <w:rStyle w:val="Hipervnculo"/>
                    <w:noProof/>
                  </w:rPr>
                  <w:t>Revelaciones adicionales</w:t>
                </w:r>
                <w:r>
                  <w:rPr>
                    <w:noProof/>
                    <w:webHidden/>
                  </w:rPr>
                  <w:tab/>
                </w:r>
                <w:r>
                  <w:rPr>
                    <w:noProof/>
                    <w:webHidden/>
                  </w:rPr>
                  <w:fldChar w:fldCharType="begin"/>
                </w:r>
                <w:r>
                  <w:rPr>
                    <w:noProof/>
                    <w:webHidden/>
                  </w:rPr>
                  <w:instrText xml:space="preserve"> PAGEREF _Toc159952390 \h </w:instrText>
                </w:r>
                <w:r>
                  <w:rPr>
                    <w:noProof/>
                    <w:webHidden/>
                  </w:rPr>
                </w:r>
                <w:r>
                  <w:rPr>
                    <w:noProof/>
                    <w:webHidden/>
                  </w:rPr>
                  <w:fldChar w:fldCharType="separate"/>
                </w:r>
                <w:r w:rsidR="00987C8A">
                  <w:rPr>
                    <w:noProof/>
                    <w:webHidden/>
                  </w:rPr>
                  <w:t>61</w:t>
                </w:r>
                <w:r>
                  <w:rPr>
                    <w:noProof/>
                    <w:webHidden/>
                  </w:rPr>
                  <w:fldChar w:fldCharType="end"/>
                </w:r>
              </w:hyperlink>
            </w:p>
            <w:p w14:paraId="2876C05B" w14:textId="3D8E6626" w:rsidR="006E283A" w:rsidRDefault="006E283A">
              <w:pPr>
                <w:pStyle w:val="TDC1"/>
                <w:tabs>
                  <w:tab w:val="right" w:leader="dot" w:pos="8969"/>
                </w:tabs>
                <w:rPr>
                  <w:rFonts w:asciiTheme="minorHAnsi" w:eastAsiaTheme="minorEastAsia" w:hAnsiTheme="minorHAnsi" w:cstheme="minorBidi"/>
                  <w:noProof/>
                  <w:kern w:val="2"/>
                  <w:lang w:eastAsia="es-CO"/>
                  <w14:ligatures w14:val="standardContextual"/>
                </w:rPr>
              </w:pPr>
              <w:hyperlink w:anchor="_Toc159952391" w:history="1">
                <w:r w:rsidRPr="00D66931">
                  <w:rPr>
                    <w:rStyle w:val="Hipervnculo"/>
                    <w:noProof/>
                  </w:rPr>
                  <w:t>NOTA 16. OTROS DERECHOS Y GARANTÍAS</w:t>
                </w:r>
                <w:r>
                  <w:rPr>
                    <w:noProof/>
                    <w:webHidden/>
                  </w:rPr>
                  <w:tab/>
                </w:r>
                <w:r>
                  <w:rPr>
                    <w:noProof/>
                    <w:webHidden/>
                  </w:rPr>
                  <w:fldChar w:fldCharType="begin"/>
                </w:r>
                <w:r>
                  <w:rPr>
                    <w:noProof/>
                    <w:webHidden/>
                  </w:rPr>
                  <w:instrText xml:space="preserve"> PAGEREF _Toc159952391 \h </w:instrText>
                </w:r>
                <w:r>
                  <w:rPr>
                    <w:noProof/>
                    <w:webHidden/>
                  </w:rPr>
                </w:r>
                <w:r>
                  <w:rPr>
                    <w:noProof/>
                    <w:webHidden/>
                  </w:rPr>
                  <w:fldChar w:fldCharType="separate"/>
                </w:r>
                <w:r w:rsidR="00987C8A">
                  <w:rPr>
                    <w:noProof/>
                    <w:webHidden/>
                  </w:rPr>
                  <w:t>63</w:t>
                </w:r>
                <w:r>
                  <w:rPr>
                    <w:noProof/>
                    <w:webHidden/>
                  </w:rPr>
                  <w:fldChar w:fldCharType="end"/>
                </w:r>
              </w:hyperlink>
            </w:p>
            <w:p w14:paraId="6EBE1DA6" w14:textId="417DA22A" w:rsidR="006E283A" w:rsidRDefault="006E283A">
              <w:pPr>
                <w:pStyle w:val="TDC2"/>
                <w:tabs>
                  <w:tab w:val="right" w:leader="dot" w:pos="8969"/>
                </w:tabs>
                <w:rPr>
                  <w:rFonts w:cstheme="minorBidi"/>
                  <w:noProof/>
                  <w:kern w:val="2"/>
                  <w14:ligatures w14:val="standardContextual"/>
                </w:rPr>
              </w:pPr>
              <w:hyperlink w:anchor="_Toc159952392" w:history="1">
                <w:r w:rsidRPr="00D66931">
                  <w:rPr>
                    <w:rStyle w:val="Hipervnculo"/>
                    <w:noProof/>
                  </w:rPr>
                  <w:t>Composición</w:t>
                </w:r>
                <w:r>
                  <w:rPr>
                    <w:noProof/>
                    <w:webHidden/>
                  </w:rPr>
                  <w:tab/>
                </w:r>
                <w:r>
                  <w:rPr>
                    <w:noProof/>
                    <w:webHidden/>
                  </w:rPr>
                  <w:fldChar w:fldCharType="begin"/>
                </w:r>
                <w:r>
                  <w:rPr>
                    <w:noProof/>
                    <w:webHidden/>
                  </w:rPr>
                  <w:instrText xml:space="preserve"> PAGEREF _Toc159952392 \h </w:instrText>
                </w:r>
                <w:r>
                  <w:rPr>
                    <w:noProof/>
                    <w:webHidden/>
                  </w:rPr>
                </w:r>
                <w:r>
                  <w:rPr>
                    <w:noProof/>
                    <w:webHidden/>
                  </w:rPr>
                  <w:fldChar w:fldCharType="separate"/>
                </w:r>
                <w:r w:rsidR="00987C8A">
                  <w:rPr>
                    <w:noProof/>
                    <w:webHidden/>
                  </w:rPr>
                  <w:t>63</w:t>
                </w:r>
                <w:r>
                  <w:rPr>
                    <w:noProof/>
                    <w:webHidden/>
                  </w:rPr>
                  <w:fldChar w:fldCharType="end"/>
                </w:r>
              </w:hyperlink>
            </w:p>
            <w:p w14:paraId="0E846B29" w14:textId="54596164" w:rsidR="006E283A" w:rsidRDefault="006E283A">
              <w:pPr>
                <w:pStyle w:val="TDC1"/>
                <w:tabs>
                  <w:tab w:val="right" w:leader="dot" w:pos="8969"/>
                </w:tabs>
                <w:rPr>
                  <w:rFonts w:asciiTheme="minorHAnsi" w:eastAsiaTheme="minorEastAsia" w:hAnsiTheme="minorHAnsi" w:cstheme="minorBidi"/>
                  <w:noProof/>
                  <w:kern w:val="2"/>
                  <w:lang w:eastAsia="es-CO"/>
                  <w14:ligatures w14:val="standardContextual"/>
                </w:rPr>
              </w:pPr>
              <w:hyperlink w:anchor="_Toc159952393" w:history="1">
                <w:r w:rsidRPr="00D66931">
                  <w:rPr>
                    <w:rStyle w:val="Hipervnculo"/>
                    <w:noProof/>
                  </w:rPr>
                  <w:t>NOTA 20. PRÉSTAMOS POR PAGAR</w:t>
                </w:r>
                <w:r>
                  <w:rPr>
                    <w:noProof/>
                    <w:webHidden/>
                  </w:rPr>
                  <w:tab/>
                </w:r>
                <w:r>
                  <w:rPr>
                    <w:noProof/>
                    <w:webHidden/>
                  </w:rPr>
                  <w:fldChar w:fldCharType="begin"/>
                </w:r>
                <w:r>
                  <w:rPr>
                    <w:noProof/>
                    <w:webHidden/>
                  </w:rPr>
                  <w:instrText xml:space="preserve"> PAGEREF _Toc159952393 \h </w:instrText>
                </w:r>
                <w:r>
                  <w:rPr>
                    <w:noProof/>
                    <w:webHidden/>
                  </w:rPr>
                </w:r>
                <w:r>
                  <w:rPr>
                    <w:noProof/>
                    <w:webHidden/>
                  </w:rPr>
                  <w:fldChar w:fldCharType="separate"/>
                </w:r>
                <w:r w:rsidR="00987C8A">
                  <w:rPr>
                    <w:noProof/>
                    <w:webHidden/>
                  </w:rPr>
                  <w:t>81</w:t>
                </w:r>
                <w:r>
                  <w:rPr>
                    <w:noProof/>
                    <w:webHidden/>
                  </w:rPr>
                  <w:fldChar w:fldCharType="end"/>
                </w:r>
              </w:hyperlink>
            </w:p>
            <w:p w14:paraId="090FAF22" w14:textId="2A373BE2" w:rsidR="006E283A" w:rsidRDefault="006E283A">
              <w:pPr>
                <w:pStyle w:val="TDC2"/>
                <w:tabs>
                  <w:tab w:val="right" w:leader="dot" w:pos="8969"/>
                </w:tabs>
                <w:rPr>
                  <w:rFonts w:cstheme="minorBidi"/>
                  <w:noProof/>
                  <w:kern w:val="2"/>
                  <w14:ligatures w14:val="standardContextual"/>
                </w:rPr>
              </w:pPr>
              <w:hyperlink w:anchor="_Toc159952394" w:history="1">
                <w:r w:rsidRPr="00D66931">
                  <w:rPr>
                    <w:rStyle w:val="Hipervnculo"/>
                    <w:noProof/>
                  </w:rPr>
                  <w:t>Composición</w:t>
                </w:r>
                <w:r>
                  <w:rPr>
                    <w:noProof/>
                    <w:webHidden/>
                  </w:rPr>
                  <w:tab/>
                </w:r>
                <w:r>
                  <w:rPr>
                    <w:noProof/>
                    <w:webHidden/>
                  </w:rPr>
                  <w:fldChar w:fldCharType="begin"/>
                </w:r>
                <w:r>
                  <w:rPr>
                    <w:noProof/>
                    <w:webHidden/>
                  </w:rPr>
                  <w:instrText xml:space="preserve"> PAGEREF _Toc159952394 \h </w:instrText>
                </w:r>
                <w:r>
                  <w:rPr>
                    <w:noProof/>
                    <w:webHidden/>
                  </w:rPr>
                </w:r>
                <w:r>
                  <w:rPr>
                    <w:noProof/>
                    <w:webHidden/>
                  </w:rPr>
                  <w:fldChar w:fldCharType="separate"/>
                </w:r>
                <w:r w:rsidR="00987C8A">
                  <w:rPr>
                    <w:noProof/>
                    <w:webHidden/>
                  </w:rPr>
                  <w:t>81</w:t>
                </w:r>
                <w:r>
                  <w:rPr>
                    <w:noProof/>
                    <w:webHidden/>
                  </w:rPr>
                  <w:fldChar w:fldCharType="end"/>
                </w:r>
              </w:hyperlink>
            </w:p>
            <w:p w14:paraId="39BE5769" w14:textId="58EF97DD" w:rsidR="006E283A" w:rsidRDefault="006E283A">
              <w:pPr>
                <w:pStyle w:val="TDC2"/>
                <w:tabs>
                  <w:tab w:val="left" w:pos="1100"/>
                  <w:tab w:val="right" w:leader="dot" w:pos="8969"/>
                </w:tabs>
                <w:rPr>
                  <w:rFonts w:cstheme="minorBidi"/>
                  <w:noProof/>
                  <w:kern w:val="2"/>
                  <w14:ligatures w14:val="standardContextual"/>
                </w:rPr>
              </w:pPr>
              <w:hyperlink w:anchor="_Toc159952395" w:history="1">
                <w:r w:rsidRPr="00D66931">
                  <w:rPr>
                    <w:rStyle w:val="Hipervnculo"/>
                    <w:noProof/>
                  </w:rPr>
                  <w:t>20.1.</w:t>
                </w:r>
                <w:r>
                  <w:rPr>
                    <w:rFonts w:cstheme="minorBidi"/>
                    <w:noProof/>
                    <w:kern w:val="2"/>
                    <w14:ligatures w14:val="standardContextual"/>
                  </w:rPr>
                  <w:tab/>
                </w:r>
                <w:r w:rsidRPr="00D66931">
                  <w:rPr>
                    <w:rStyle w:val="Hipervnculo"/>
                    <w:noProof/>
                  </w:rPr>
                  <w:t>Revelaciones Generales</w:t>
                </w:r>
                <w:r>
                  <w:rPr>
                    <w:noProof/>
                    <w:webHidden/>
                  </w:rPr>
                  <w:tab/>
                </w:r>
                <w:r>
                  <w:rPr>
                    <w:noProof/>
                    <w:webHidden/>
                  </w:rPr>
                  <w:fldChar w:fldCharType="begin"/>
                </w:r>
                <w:r>
                  <w:rPr>
                    <w:noProof/>
                    <w:webHidden/>
                  </w:rPr>
                  <w:instrText xml:space="preserve"> PAGEREF _Toc159952395 \h </w:instrText>
                </w:r>
                <w:r>
                  <w:rPr>
                    <w:noProof/>
                    <w:webHidden/>
                  </w:rPr>
                </w:r>
                <w:r>
                  <w:rPr>
                    <w:noProof/>
                    <w:webHidden/>
                  </w:rPr>
                  <w:fldChar w:fldCharType="separate"/>
                </w:r>
                <w:r w:rsidR="00987C8A">
                  <w:rPr>
                    <w:noProof/>
                    <w:webHidden/>
                  </w:rPr>
                  <w:t>81</w:t>
                </w:r>
                <w:r>
                  <w:rPr>
                    <w:noProof/>
                    <w:webHidden/>
                  </w:rPr>
                  <w:fldChar w:fldCharType="end"/>
                </w:r>
              </w:hyperlink>
            </w:p>
            <w:p w14:paraId="562C297D" w14:textId="2DD9BC8A" w:rsidR="006E283A" w:rsidRDefault="006E283A">
              <w:pPr>
                <w:pStyle w:val="TDC3"/>
                <w:tabs>
                  <w:tab w:val="left" w:pos="1320"/>
                  <w:tab w:val="right" w:leader="dot" w:pos="8969"/>
                </w:tabs>
                <w:rPr>
                  <w:rFonts w:cstheme="minorBidi"/>
                  <w:noProof/>
                  <w:kern w:val="2"/>
                  <w14:ligatures w14:val="standardContextual"/>
                </w:rPr>
              </w:pPr>
              <w:hyperlink w:anchor="_Toc159952396" w:history="1">
                <w:r w:rsidRPr="00D66931">
                  <w:rPr>
                    <w:rStyle w:val="Hipervnculo"/>
                    <w:noProof/>
                  </w:rPr>
                  <w:t>20.1.1.</w:t>
                </w:r>
                <w:r>
                  <w:rPr>
                    <w:rFonts w:cstheme="minorBidi"/>
                    <w:noProof/>
                    <w:kern w:val="2"/>
                    <w14:ligatures w14:val="standardContextual"/>
                  </w:rPr>
                  <w:tab/>
                </w:r>
                <w:r w:rsidRPr="00D66931">
                  <w:rPr>
                    <w:rStyle w:val="Hipervnculo"/>
                    <w:noProof/>
                  </w:rPr>
                  <w:t>Financiamiento interno de largo plazo</w:t>
                </w:r>
                <w:r>
                  <w:rPr>
                    <w:noProof/>
                    <w:webHidden/>
                  </w:rPr>
                  <w:tab/>
                </w:r>
                <w:r>
                  <w:rPr>
                    <w:noProof/>
                    <w:webHidden/>
                  </w:rPr>
                  <w:fldChar w:fldCharType="begin"/>
                </w:r>
                <w:r>
                  <w:rPr>
                    <w:noProof/>
                    <w:webHidden/>
                  </w:rPr>
                  <w:instrText xml:space="preserve"> PAGEREF _Toc159952396 \h </w:instrText>
                </w:r>
                <w:r>
                  <w:rPr>
                    <w:noProof/>
                    <w:webHidden/>
                  </w:rPr>
                </w:r>
                <w:r>
                  <w:rPr>
                    <w:noProof/>
                    <w:webHidden/>
                  </w:rPr>
                  <w:fldChar w:fldCharType="separate"/>
                </w:r>
                <w:r w:rsidR="00987C8A">
                  <w:rPr>
                    <w:noProof/>
                    <w:webHidden/>
                  </w:rPr>
                  <w:t>82</w:t>
                </w:r>
                <w:r>
                  <w:rPr>
                    <w:noProof/>
                    <w:webHidden/>
                  </w:rPr>
                  <w:fldChar w:fldCharType="end"/>
                </w:r>
              </w:hyperlink>
            </w:p>
            <w:p w14:paraId="77409226" w14:textId="718FE721" w:rsidR="006E283A" w:rsidRDefault="006E283A">
              <w:pPr>
                <w:pStyle w:val="TDC1"/>
                <w:tabs>
                  <w:tab w:val="right" w:leader="dot" w:pos="8969"/>
                </w:tabs>
                <w:rPr>
                  <w:rFonts w:asciiTheme="minorHAnsi" w:eastAsiaTheme="minorEastAsia" w:hAnsiTheme="minorHAnsi" w:cstheme="minorBidi"/>
                  <w:noProof/>
                  <w:kern w:val="2"/>
                  <w:lang w:eastAsia="es-CO"/>
                  <w14:ligatures w14:val="standardContextual"/>
                </w:rPr>
              </w:pPr>
              <w:hyperlink w:anchor="_Toc159952397" w:history="1">
                <w:r w:rsidRPr="00D66931">
                  <w:rPr>
                    <w:rStyle w:val="Hipervnculo"/>
                    <w:noProof/>
                  </w:rPr>
                  <w:t>NOTA 21. CUENTAS POR PAGAR</w:t>
                </w:r>
                <w:r>
                  <w:rPr>
                    <w:noProof/>
                    <w:webHidden/>
                  </w:rPr>
                  <w:tab/>
                </w:r>
                <w:r>
                  <w:rPr>
                    <w:noProof/>
                    <w:webHidden/>
                  </w:rPr>
                  <w:fldChar w:fldCharType="begin"/>
                </w:r>
                <w:r>
                  <w:rPr>
                    <w:noProof/>
                    <w:webHidden/>
                  </w:rPr>
                  <w:instrText xml:space="preserve"> PAGEREF _Toc159952397 \h </w:instrText>
                </w:r>
                <w:r>
                  <w:rPr>
                    <w:noProof/>
                    <w:webHidden/>
                  </w:rPr>
                </w:r>
                <w:r>
                  <w:rPr>
                    <w:noProof/>
                    <w:webHidden/>
                  </w:rPr>
                  <w:fldChar w:fldCharType="separate"/>
                </w:r>
                <w:r w:rsidR="00987C8A">
                  <w:rPr>
                    <w:noProof/>
                    <w:webHidden/>
                  </w:rPr>
                  <w:t>86</w:t>
                </w:r>
                <w:r>
                  <w:rPr>
                    <w:noProof/>
                    <w:webHidden/>
                  </w:rPr>
                  <w:fldChar w:fldCharType="end"/>
                </w:r>
              </w:hyperlink>
            </w:p>
            <w:p w14:paraId="0333B1AC" w14:textId="5A88387F" w:rsidR="006E283A" w:rsidRDefault="006E283A">
              <w:pPr>
                <w:pStyle w:val="TDC2"/>
                <w:tabs>
                  <w:tab w:val="right" w:leader="dot" w:pos="8969"/>
                </w:tabs>
                <w:rPr>
                  <w:rFonts w:cstheme="minorBidi"/>
                  <w:noProof/>
                  <w:kern w:val="2"/>
                  <w14:ligatures w14:val="standardContextual"/>
                </w:rPr>
              </w:pPr>
              <w:hyperlink w:anchor="_Toc159952398" w:history="1">
                <w:r w:rsidRPr="00D66931">
                  <w:rPr>
                    <w:rStyle w:val="Hipervnculo"/>
                    <w:noProof/>
                  </w:rPr>
                  <w:t>Composición</w:t>
                </w:r>
                <w:r>
                  <w:rPr>
                    <w:noProof/>
                    <w:webHidden/>
                  </w:rPr>
                  <w:tab/>
                </w:r>
                <w:r>
                  <w:rPr>
                    <w:noProof/>
                    <w:webHidden/>
                  </w:rPr>
                  <w:fldChar w:fldCharType="begin"/>
                </w:r>
                <w:r>
                  <w:rPr>
                    <w:noProof/>
                    <w:webHidden/>
                  </w:rPr>
                  <w:instrText xml:space="preserve"> PAGEREF _Toc159952398 \h </w:instrText>
                </w:r>
                <w:r>
                  <w:rPr>
                    <w:noProof/>
                    <w:webHidden/>
                  </w:rPr>
                </w:r>
                <w:r>
                  <w:rPr>
                    <w:noProof/>
                    <w:webHidden/>
                  </w:rPr>
                  <w:fldChar w:fldCharType="separate"/>
                </w:r>
                <w:r w:rsidR="00987C8A">
                  <w:rPr>
                    <w:noProof/>
                    <w:webHidden/>
                  </w:rPr>
                  <w:t>86</w:t>
                </w:r>
                <w:r>
                  <w:rPr>
                    <w:noProof/>
                    <w:webHidden/>
                  </w:rPr>
                  <w:fldChar w:fldCharType="end"/>
                </w:r>
              </w:hyperlink>
            </w:p>
            <w:p w14:paraId="7133BC51" w14:textId="201CD61F" w:rsidR="006E283A" w:rsidRDefault="006E283A">
              <w:pPr>
                <w:pStyle w:val="TDC2"/>
                <w:tabs>
                  <w:tab w:val="left" w:pos="1100"/>
                  <w:tab w:val="right" w:leader="dot" w:pos="8969"/>
                </w:tabs>
                <w:rPr>
                  <w:rFonts w:cstheme="minorBidi"/>
                  <w:noProof/>
                  <w:kern w:val="2"/>
                  <w14:ligatures w14:val="standardContextual"/>
                </w:rPr>
              </w:pPr>
              <w:hyperlink w:anchor="_Toc159952399" w:history="1">
                <w:r w:rsidRPr="00D66931">
                  <w:rPr>
                    <w:rStyle w:val="Hipervnculo"/>
                    <w:noProof/>
                  </w:rPr>
                  <w:t>21.1.</w:t>
                </w:r>
                <w:r>
                  <w:rPr>
                    <w:rFonts w:cstheme="minorBidi"/>
                    <w:noProof/>
                    <w:kern w:val="2"/>
                    <w14:ligatures w14:val="standardContextual"/>
                  </w:rPr>
                  <w:tab/>
                </w:r>
                <w:r w:rsidRPr="00D66931">
                  <w:rPr>
                    <w:rStyle w:val="Hipervnculo"/>
                    <w:noProof/>
                  </w:rPr>
                  <w:t>Revelaciones generales</w:t>
                </w:r>
                <w:r>
                  <w:rPr>
                    <w:noProof/>
                    <w:webHidden/>
                  </w:rPr>
                  <w:tab/>
                </w:r>
                <w:r>
                  <w:rPr>
                    <w:noProof/>
                    <w:webHidden/>
                  </w:rPr>
                  <w:fldChar w:fldCharType="begin"/>
                </w:r>
                <w:r>
                  <w:rPr>
                    <w:noProof/>
                    <w:webHidden/>
                  </w:rPr>
                  <w:instrText xml:space="preserve"> PAGEREF _Toc159952399 \h </w:instrText>
                </w:r>
                <w:r>
                  <w:rPr>
                    <w:noProof/>
                    <w:webHidden/>
                  </w:rPr>
                </w:r>
                <w:r>
                  <w:rPr>
                    <w:noProof/>
                    <w:webHidden/>
                  </w:rPr>
                  <w:fldChar w:fldCharType="separate"/>
                </w:r>
                <w:r w:rsidR="00987C8A">
                  <w:rPr>
                    <w:noProof/>
                    <w:webHidden/>
                  </w:rPr>
                  <w:t>86</w:t>
                </w:r>
                <w:r>
                  <w:rPr>
                    <w:noProof/>
                    <w:webHidden/>
                  </w:rPr>
                  <w:fldChar w:fldCharType="end"/>
                </w:r>
              </w:hyperlink>
            </w:p>
            <w:p w14:paraId="68CC6F67" w14:textId="3321890B" w:rsidR="006E283A" w:rsidRDefault="006E283A">
              <w:pPr>
                <w:pStyle w:val="TDC3"/>
                <w:tabs>
                  <w:tab w:val="left" w:pos="1320"/>
                  <w:tab w:val="right" w:leader="dot" w:pos="8969"/>
                </w:tabs>
                <w:rPr>
                  <w:rFonts w:cstheme="minorBidi"/>
                  <w:noProof/>
                  <w:kern w:val="2"/>
                  <w14:ligatures w14:val="standardContextual"/>
                </w:rPr>
              </w:pPr>
              <w:hyperlink w:anchor="_Toc159952400" w:history="1">
                <w:r w:rsidRPr="00D66931">
                  <w:rPr>
                    <w:rStyle w:val="Hipervnculo"/>
                    <w:noProof/>
                  </w:rPr>
                  <w:t>21.1.1.</w:t>
                </w:r>
                <w:r>
                  <w:rPr>
                    <w:rFonts w:cstheme="minorBidi"/>
                    <w:noProof/>
                    <w:kern w:val="2"/>
                    <w14:ligatures w14:val="standardContextual"/>
                  </w:rPr>
                  <w:tab/>
                </w:r>
                <w:r w:rsidRPr="00D66931">
                  <w:rPr>
                    <w:rStyle w:val="Hipervnculo"/>
                    <w:noProof/>
                  </w:rPr>
                  <w:t>Adquisición de bienes y servicios nacionales</w:t>
                </w:r>
                <w:r>
                  <w:rPr>
                    <w:noProof/>
                    <w:webHidden/>
                  </w:rPr>
                  <w:tab/>
                </w:r>
                <w:r>
                  <w:rPr>
                    <w:noProof/>
                    <w:webHidden/>
                  </w:rPr>
                  <w:fldChar w:fldCharType="begin"/>
                </w:r>
                <w:r>
                  <w:rPr>
                    <w:noProof/>
                    <w:webHidden/>
                  </w:rPr>
                  <w:instrText xml:space="preserve"> PAGEREF _Toc159952400 \h </w:instrText>
                </w:r>
                <w:r>
                  <w:rPr>
                    <w:noProof/>
                    <w:webHidden/>
                  </w:rPr>
                </w:r>
                <w:r>
                  <w:rPr>
                    <w:noProof/>
                    <w:webHidden/>
                  </w:rPr>
                  <w:fldChar w:fldCharType="separate"/>
                </w:r>
                <w:r w:rsidR="00987C8A">
                  <w:rPr>
                    <w:noProof/>
                    <w:webHidden/>
                  </w:rPr>
                  <w:t>86</w:t>
                </w:r>
                <w:r>
                  <w:rPr>
                    <w:noProof/>
                    <w:webHidden/>
                  </w:rPr>
                  <w:fldChar w:fldCharType="end"/>
                </w:r>
              </w:hyperlink>
            </w:p>
            <w:p w14:paraId="05DABCA1" w14:textId="31521F1E" w:rsidR="006E283A" w:rsidRDefault="006E283A">
              <w:pPr>
                <w:pStyle w:val="TDC3"/>
                <w:tabs>
                  <w:tab w:val="left" w:pos="1320"/>
                  <w:tab w:val="right" w:leader="dot" w:pos="8969"/>
                </w:tabs>
                <w:rPr>
                  <w:rFonts w:cstheme="minorBidi"/>
                  <w:noProof/>
                  <w:kern w:val="2"/>
                  <w14:ligatures w14:val="standardContextual"/>
                </w:rPr>
              </w:pPr>
              <w:hyperlink w:anchor="_Toc159952401" w:history="1">
                <w:r w:rsidRPr="00D66931">
                  <w:rPr>
                    <w:rStyle w:val="Hipervnculo"/>
                    <w:noProof/>
                  </w:rPr>
                  <w:t>21.1.2.</w:t>
                </w:r>
                <w:r>
                  <w:rPr>
                    <w:rFonts w:cstheme="minorBidi"/>
                    <w:noProof/>
                    <w:kern w:val="2"/>
                    <w14:ligatures w14:val="standardContextual"/>
                  </w:rPr>
                  <w:tab/>
                </w:r>
                <w:r w:rsidRPr="00D66931">
                  <w:rPr>
                    <w:rStyle w:val="Hipervnculo"/>
                    <w:noProof/>
                  </w:rPr>
                  <w:t>Recursos a favor de terceros</w:t>
                </w:r>
                <w:r>
                  <w:rPr>
                    <w:noProof/>
                    <w:webHidden/>
                  </w:rPr>
                  <w:tab/>
                </w:r>
                <w:r>
                  <w:rPr>
                    <w:noProof/>
                    <w:webHidden/>
                  </w:rPr>
                  <w:fldChar w:fldCharType="begin"/>
                </w:r>
                <w:r>
                  <w:rPr>
                    <w:noProof/>
                    <w:webHidden/>
                  </w:rPr>
                  <w:instrText xml:space="preserve"> PAGEREF _Toc159952401 \h </w:instrText>
                </w:r>
                <w:r>
                  <w:rPr>
                    <w:noProof/>
                    <w:webHidden/>
                  </w:rPr>
                </w:r>
                <w:r>
                  <w:rPr>
                    <w:noProof/>
                    <w:webHidden/>
                  </w:rPr>
                  <w:fldChar w:fldCharType="separate"/>
                </w:r>
                <w:r w:rsidR="00987C8A">
                  <w:rPr>
                    <w:noProof/>
                    <w:webHidden/>
                  </w:rPr>
                  <w:t>91</w:t>
                </w:r>
                <w:r>
                  <w:rPr>
                    <w:noProof/>
                    <w:webHidden/>
                  </w:rPr>
                  <w:fldChar w:fldCharType="end"/>
                </w:r>
              </w:hyperlink>
            </w:p>
            <w:p w14:paraId="338329C8" w14:textId="7EB29587" w:rsidR="006E283A" w:rsidRDefault="006E283A">
              <w:pPr>
                <w:pStyle w:val="TDC3"/>
                <w:tabs>
                  <w:tab w:val="left" w:pos="1320"/>
                  <w:tab w:val="right" w:leader="dot" w:pos="8969"/>
                </w:tabs>
                <w:rPr>
                  <w:rFonts w:cstheme="minorBidi"/>
                  <w:noProof/>
                  <w:kern w:val="2"/>
                  <w14:ligatures w14:val="standardContextual"/>
                </w:rPr>
              </w:pPr>
              <w:hyperlink w:anchor="_Toc159952402" w:history="1">
                <w:r w:rsidRPr="00D66931">
                  <w:rPr>
                    <w:rStyle w:val="Hipervnculo"/>
                    <w:noProof/>
                  </w:rPr>
                  <w:t>21.1.3.</w:t>
                </w:r>
                <w:r>
                  <w:rPr>
                    <w:rFonts w:cstheme="minorBidi"/>
                    <w:noProof/>
                    <w:kern w:val="2"/>
                    <w14:ligatures w14:val="standardContextual"/>
                  </w:rPr>
                  <w:tab/>
                </w:r>
                <w:r w:rsidRPr="00D66931">
                  <w:rPr>
                    <w:rStyle w:val="Hipervnculo"/>
                    <w:noProof/>
                  </w:rPr>
                  <w:t>Descuentos de nomina</w:t>
                </w:r>
                <w:r>
                  <w:rPr>
                    <w:noProof/>
                    <w:webHidden/>
                  </w:rPr>
                  <w:tab/>
                </w:r>
                <w:r>
                  <w:rPr>
                    <w:noProof/>
                    <w:webHidden/>
                  </w:rPr>
                  <w:fldChar w:fldCharType="begin"/>
                </w:r>
                <w:r>
                  <w:rPr>
                    <w:noProof/>
                    <w:webHidden/>
                  </w:rPr>
                  <w:instrText xml:space="preserve"> PAGEREF _Toc159952402 \h </w:instrText>
                </w:r>
                <w:r>
                  <w:rPr>
                    <w:noProof/>
                    <w:webHidden/>
                  </w:rPr>
                </w:r>
                <w:r>
                  <w:rPr>
                    <w:noProof/>
                    <w:webHidden/>
                  </w:rPr>
                  <w:fldChar w:fldCharType="separate"/>
                </w:r>
                <w:r w:rsidR="00987C8A">
                  <w:rPr>
                    <w:noProof/>
                    <w:webHidden/>
                  </w:rPr>
                  <w:t>92</w:t>
                </w:r>
                <w:r>
                  <w:rPr>
                    <w:noProof/>
                    <w:webHidden/>
                  </w:rPr>
                  <w:fldChar w:fldCharType="end"/>
                </w:r>
              </w:hyperlink>
            </w:p>
            <w:p w14:paraId="49E6A776" w14:textId="61119AD8" w:rsidR="006E283A" w:rsidRDefault="006E283A">
              <w:pPr>
                <w:pStyle w:val="TDC3"/>
                <w:tabs>
                  <w:tab w:val="left" w:pos="1320"/>
                  <w:tab w:val="right" w:leader="dot" w:pos="8969"/>
                </w:tabs>
                <w:rPr>
                  <w:rFonts w:cstheme="minorBidi"/>
                  <w:noProof/>
                  <w:kern w:val="2"/>
                  <w14:ligatures w14:val="standardContextual"/>
                </w:rPr>
              </w:pPr>
              <w:hyperlink w:anchor="_Toc159952403" w:history="1">
                <w:r w:rsidRPr="00D66931">
                  <w:rPr>
                    <w:rStyle w:val="Hipervnculo"/>
                    <w:noProof/>
                  </w:rPr>
                  <w:t>21.1.4.</w:t>
                </w:r>
                <w:r>
                  <w:rPr>
                    <w:rFonts w:cstheme="minorBidi"/>
                    <w:noProof/>
                    <w:kern w:val="2"/>
                    <w14:ligatures w14:val="standardContextual"/>
                  </w:rPr>
                  <w:tab/>
                </w:r>
                <w:r w:rsidRPr="00D66931">
                  <w:rPr>
                    <w:rStyle w:val="Hipervnculo"/>
                    <w:noProof/>
                  </w:rPr>
                  <w:t>Impuestos, Contribuciones y Tasas</w:t>
                </w:r>
                <w:r>
                  <w:rPr>
                    <w:noProof/>
                    <w:webHidden/>
                  </w:rPr>
                  <w:tab/>
                </w:r>
                <w:r>
                  <w:rPr>
                    <w:noProof/>
                    <w:webHidden/>
                  </w:rPr>
                  <w:fldChar w:fldCharType="begin"/>
                </w:r>
                <w:r>
                  <w:rPr>
                    <w:noProof/>
                    <w:webHidden/>
                  </w:rPr>
                  <w:instrText xml:space="preserve"> PAGEREF _Toc159952403 \h </w:instrText>
                </w:r>
                <w:r>
                  <w:rPr>
                    <w:noProof/>
                    <w:webHidden/>
                  </w:rPr>
                </w:r>
                <w:r>
                  <w:rPr>
                    <w:noProof/>
                    <w:webHidden/>
                  </w:rPr>
                  <w:fldChar w:fldCharType="separate"/>
                </w:r>
                <w:r w:rsidR="00987C8A">
                  <w:rPr>
                    <w:noProof/>
                    <w:webHidden/>
                  </w:rPr>
                  <w:t>92</w:t>
                </w:r>
                <w:r>
                  <w:rPr>
                    <w:noProof/>
                    <w:webHidden/>
                  </w:rPr>
                  <w:fldChar w:fldCharType="end"/>
                </w:r>
              </w:hyperlink>
            </w:p>
            <w:p w14:paraId="30B3307C" w14:textId="4D767D91" w:rsidR="006E283A" w:rsidRDefault="006E283A">
              <w:pPr>
                <w:pStyle w:val="TDC3"/>
                <w:tabs>
                  <w:tab w:val="left" w:pos="1320"/>
                  <w:tab w:val="right" w:leader="dot" w:pos="8969"/>
                </w:tabs>
                <w:rPr>
                  <w:rFonts w:cstheme="minorBidi"/>
                  <w:noProof/>
                  <w:kern w:val="2"/>
                  <w14:ligatures w14:val="standardContextual"/>
                </w:rPr>
              </w:pPr>
              <w:hyperlink w:anchor="_Toc159952404" w:history="1">
                <w:r w:rsidRPr="00D66931">
                  <w:rPr>
                    <w:rStyle w:val="Hipervnculo"/>
                    <w:noProof/>
                  </w:rPr>
                  <w:t>21.1.5.</w:t>
                </w:r>
                <w:r>
                  <w:rPr>
                    <w:rFonts w:cstheme="minorBidi"/>
                    <w:noProof/>
                    <w:kern w:val="2"/>
                    <w14:ligatures w14:val="standardContextual"/>
                  </w:rPr>
                  <w:tab/>
                </w:r>
                <w:r w:rsidRPr="00D66931">
                  <w:rPr>
                    <w:rStyle w:val="Hipervnculo"/>
                    <w:noProof/>
                  </w:rPr>
                  <w:t>Créditos judiciales</w:t>
                </w:r>
                <w:r>
                  <w:rPr>
                    <w:noProof/>
                    <w:webHidden/>
                  </w:rPr>
                  <w:tab/>
                </w:r>
                <w:r>
                  <w:rPr>
                    <w:noProof/>
                    <w:webHidden/>
                  </w:rPr>
                  <w:fldChar w:fldCharType="begin"/>
                </w:r>
                <w:r>
                  <w:rPr>
                    <w:noProof/>
                    <w:webHidden/>
                  </w:rPr>
                  <w:instrText xml:space="preserve"> PAGEREF _Toc159952404 \h </w:instrText>
                </w:r>
                <w:r>
                  <w:rPr>
                    <w:noProof/>
                    <w:webHidden/>
                  </w:rPr>
                </w:r>
                <w:r>
                  <w:rPr>
                    <w:noProof/>
                    <w:webHidden/>
                  </w:rPr>
                  <w:fldChar w:fldCharType="separate"/>
                </w:r>
                <w:r w:rsidR="00987C8A">
                  <w:rPr>
                    <w:noProof/>
                    <w:webHidden/>
                  </w:rPr>
                  <w:t>93</w:t>
                </w:r>
                <w:r>
                  <w:rPr>
                    <w:noProof/>
                    <w:webHidden/>
                  </w:rPr>
                  <w:fldChar w:fldCharType="end"/>
                </w:r>
              </w:hyperlink>
            </w:p>
            <w:p w14:paraId="6557DDFC" w14:textId="2A04AB17" w:rsidR="006E283A" w:rsidRDefault="006E283A">
              <w:pPr>
                <w:pStyle w:val="TDC3"/>
                <w:tabs>
                  <w:tab w:val="left" w:pos="1320"/>
                  <w:tab w:val="right" w:leader="dot" w:pos="8969"/>
                </w:tabs>
                <w:rPr>
                  <w:rFonts w:cstheme="minorBidi"/>
                  <w:noProof/>
                  <w:kern w:val="2"/>
                  <w14:ligatures w14:val="standardContextual"/>
                </w:rPr>
              </w:pPr>
              <w:hyperlink w:anchor="_Toc159952405" w:history="1">
                <w:r w:rsidRPr="00D66931">
                  <w:rPr>
                    <w:rStyle w:val="Hipervnculo"/>
                    <w:noProof/>
                  </w:rPr>
                  <w:t>21.1.6.</w:t>
                </w:r>
                <w:r>
                  <w:rPr>
                    <w:rFonts w:cstheme="minorBidi"/>
                    <w:noProof/>
                    <w:kern w:val="2"/>
                    <w14:ligatures w14:val="standardContextual"/>
                  </w:rPr>
                  <w:tab/>
                </w:r>
                <w:r w:rsidRPr="00D66931">
                  <w:rPr>
                    <w:rStyle w:val="Hipervnculo"/>
                    <w:noProof/>
                  </w:rPr>
                  <w:t>Otras cuentas por pagar</w:t>
                </w:r>
                <w:r>
                  <w:rPr>
                    <w:noProof/>
                    <w:webHidden/>
                  </w:rPr>
                  <w:tab/>
                </w:r>
                <w:r>
                  <w:rPr>
                    <w:noProof/>
                    <w:webHidden/>
                  </w:rPr>
                  <w:fldChar w:fldCharType="begin"/>
                </w:r>
                <w:r>
                  <w:rPr>
                    <w:noProof/>
                    <w:webHidden/>
                  </w:rPr>
                  <w:instrText xml:space="preserve"> PAGEREF _Toc159952405 \h </w:instrText>
                </w:r>
                <w:r>
                  <w:rPr>
                    <w:noProof/>
                    <w:webHidden/>
                  </w:rPr>
                </w:r>
                <w:r>
                  <w:rPr>
                    <w:noProof/>
                    <w:webHidden/>
                  </w:rPr>
                  <w:fldChar w:fldCharType="separate"/>
                </w:r>
                <w:r w:rsidR="00987C8A">
                  <w:rPr>
                    <w:noProof/>
                    <w:webHidden/>
                  </w:rPr>
                  <w:t>110</w:t>
                </w:r>
                <w:r>
                  <w:rPr>
                    <w:noProof/>
                    <w:webHidden/>
                  </w:rPr>
                  <w:fldChar w:fldCharType="end"/>
                </w:r>
              </w:hyperlink>
            </w:p>
            <w:p w14:paraId="76EBFDB0" w14:textId="5CF55415" w:rsidR="006E283A" w:rsidRDefault="006E283A">
              <w:pPr>
                <w:pStyle w:val="TDC1"/>
                <w:tabs>
                  <w:tab w:val="right" w:leader="dot" w:pos="8969"/>
                </w:tabs>
                <w:rPr>
                  <w:rFonts w:asciiTheme="minorHAnsi" w:eastAsiaTheme="minorEastAsia" w:hAnsiTheme="minorHAnsi" w:cstheme="minorBidi"/>
                  <w:noProof/>
                  <w:kern w:val="2"/>
                  <w:lang w:eastAsia="es-CO"/>
                  <w14:ligatures w14:val="standardContextual"/>
                </w:rPr>
              </w:pPr>
              <w:hyperlink w:anchor="_Toc159952406" w:history="1">
                <w:r w:rsidRPr="00D66931">
                  <w:rPr>
                    <w:rStyle w:val="Hipervnculo"/>
                    <w:noProof/>
                  </w:rPr>
                  <w:t>NOTA 22. BENEFICIOS A LOS EMPLEADOS</w:t>
                </w:r>
                <w:r>
                  <w:rPr>
                    <w:noProof/>
                    <w:webHidden/>
                  </w:rPr>
                  <w:tab/>
                </w:r>
                <w:r>
                  <w:rPr>
                    <w:noProof/>
                    <w:webHidden/>
                  </w:rPr>
                  <w:fldChar w:fldCharType="begin"/>
                </w:r>
                <w:r>
                  <w:rPr>
                    <w:noProof/>
                    <w:webHidden/>
                  </w:rPr>
                  <w:instrText xml:space="preserve"> PAGEREF _Toc159952406 \h </w:instrText>
                </w:r>
                <w:r>
                  <w:rPr>
                    <w:noProof/>
                    <w:webHidden/>
                  </w:rPr>
                </w:r>
                <w:r>
                  <w:rPr>
                    <w:noProof/>
                    <w:webHidden/>
                  </w:rPr>
                  <w:fldChar w:fldCharType="separate"/>
                </w:r>
                <w:r w:rsidR="00987C8A">
                  <w:rPr>
                    <w:noProof/>
                    <w:webHidden/>
                  </w:rPr>
                  <w:t>112</w:t>
                </w:r>
                <w:r>
                  <w:rPr>
                    <w:noProof/>
                    <w:webHidden/>
                  </w:rPr>
                  <w:fldChar w:fldCharType="end"/>
                </w:r>
              </w:hyperlink>
            </w:p>
            <w:p w14:paraId="56702D6A" w14:textId="16FE292F" w:rsidR="006E283A" w:rsidRDefault="006E283A">
              <w:pPr>
                <w:pStyle w:val="TDC2"/>
                <w:tabs>
                  <w:tab w:val="right" w:leader="dot" w:pos="8969"/>
                </w:tabs>
                <w:rPr>
                  <w:rFonts w:cstheme="minorBidi"/>
                  <w:noProof/>
                  <w:kern w:val="2"/>
                  <w14:ligatures w14:val="standardContextual"/>
                </w:rPr>
              </w:pPr>
              <w:hyperlink w:anchor="_Toc159952407" w:history="1">
                <w:r w:rsidRPr="00D66931">
                  <w:rPr>
                    <w:rStyle w:val="Hipervnculo"/>
                    <w:noProof/>
                  </w:rPr>
                  <w:t>Composición</w:t>
                </w:r>
                <w:r>
                  <w:rPr>
                    <w:noProof/>
                    <w:webHidden/>
                  </w:rPr>
                  <w:tab/>
                </w:r>
                <w:r>
                  <w:rPr>
                    <w:noProof/>
                    <w:webHidden/>
                  </w:rPr>
                  <w:fldChar w:fldCharType="begin"/>
                </w:r>
                <w:r>
                  <w:rPr>
                    <w:noProof/>
                    <w:webHidden/>
                  </w:rPr>
                  <w:instrText xml:space="preserve"> PAGEREF _Toc159952407 \h </w:instrText>
                </w:r>
                <w:r>
                  <w:rPr>
                    <w:noProof/>
                    <w:webHidden/>
                  </w:rPr>
                </w:r>
                <w:r>
                  <w:rPr>
                    <w:noProof/>
                    <w:webHidden/>
                  </w:rPr>
                  <w:fldChar w:fldCharType="separate"/>
                </w:r>
                <w:r w:rsidR="00987C8A">
                  <w:rPr>
                    <w:noProof/>
                    <w:webHidden/>
                  </w:rPr>
                  <w:t>112</w:t>
                </w:r>
                <w:r>
                  <w:rPr>
                    <w:noProof/>
                    <w:webHidden/>
                  </w:rPr>
                  <w:fldChar w:fldCharType="end"/>
                </w:r>
              </w:hyperlink>
            </w:p>
            <w:p w14:paraId="288B2BAD" w14:textId="28BCA53E" w:rsidR="006E283A" w:rsidRDefault="006E283A">
              <w:pPr>
                <w:pStyle w:val="TDC2"/>
                <w:tabs>
                  <w:tab w:val="left" w:pos="1100"/>
                  <w:tab w:val="right" w:leader="dot" w:pos="8969"/>
                </w:tabs>
                <w:rPr>
                  <w:rFonts w:cstheme="minorBidi"/>
                  <w:noProof/>
                  <w:kern w:val="2"/>
                  <w14:ligatures w14:val="standardContextual"/>
                </w:rPr>
              </w:pPr>
              <w:hyperlink w:anchor="_Toc159952408" w:history="1">
                <w:r w:rsidRPr="00D66931">
                  <w:rPr>
                    <w:rStyle w:val="Hipervnculo"/>
                    <w:noProof/>
                  </w:rPr>
                  <w:t>22.1.</w:t>
                </w:r>
                <w:r>
                  <w:rPr>
                    <w:rFonts w:cstheme="minorBidi"/>
                    <w:noProof/>
                    <w:kern w:val="2"/>
                    <w14:ligatures w14:val="standardContextual"/>
                  </w:rPr>
                  <w:tab/>
                </w:r>
                <w:r w:rsidRPr="00D66931">
                  <w:rPr>
                    <w:rStyle w:val="Hipervnculo"/>
                    <w:noProof/>
                  </w:rPr>
                  <w:t>Beneficios a los empleados a corto plazo</w:t>
                </w:r>
                <w:r>
                  <w:rPr>
                    <w:noProof/>
                    <w:webHidden/>
                  </w:rPr>
                  <w:tab/>
                </w:r>
                <w:r>
                  <w:rPr>
                    <w:noProof/>
                    <w:webHidden/>
                  </w:rPr>
                  <w:fldChar w:fldCharType="begin"/>
                </w:r>
                <w:r>
                  <w:rPr>
                    <w:noProof/>
                    <w:webHidden/>
                  </w:rPr>
                  <w:instrText xml:space="preserve"> PAGEREF _Toc159952408 \h </w:instrText>
                </w:r>
                <w:r>
                  <w:rPr>
                    <w:noProof/>
                    <w:webHidden/>
                  </w:rPr>
                </w:r>
                <w:r>
                  <w:rPr>
                    <w:noProof/>
                    <w:webHidden/>
                  </w:rPr>
                  <w:fldChar w:fldCharType="separate"/>
                </w:r>
                <w:r w:rsidR="00987C8A">
                  <w:rPr>
                    <w:noProof/>
                    <w:webHidden/>
                  </w:rPr>
                  <w:t>112</w:t>
                </w:r>
                <w:r>
                  <w:rPr>
                    <w:noProof/>
                    <w:webHidden/>
                  </w:rPr>
                  <w:fldChar w:fldCharType="end"/>
                </w:r>
              </w:hyperlink>
            </w:p>
            <w:p w14:paraId="7E176276" w14:textId="135EDCA8" w:rsidR="006E283A" w:rsidRDefault="006E283A">
              <w:pPr>
                <w:pStyle w:val="TDC1"/>
                <w:tabs>
                  <w:tab w:val="right" w:leader="dot" w:pos="8969"/>
                </w:tabs>
                <w:rPr>
                  <w:rFonts w:asciiTheme="minorHAnsi" w:eastAsiaTheme="minorEastAsia" w:hAnsiTheme="minorHAnsi" w:cstheme="minorBidi"/>
                  <w:noProof/>
                  <w:kern w:val="2"/>
                  <w:lang w:eastAsia="es-CO"/>
                  <w14:ligatures w14:val="standardContextual"/>
                </w:rPr>
              </w:pPr>
              <w:hyperlink w:anchor="_Toc159952409" w:history="1">
                <w:r w:rsidRPr="00D66931">
                  <w:rPr>
                    <w:rStyle w:val="Hipervnculo"/>
                    <w:noProof/>
                  </w:rPr>
                  <w:t>NOTA 23. PROV</w:t>
                </w:r>
                <w:r w:rsidRPr="00D66931">
                  <w:rPr>
                    <w:rStyle w:val="Hipervnculo"/>
                    <w:noProof/>
                  </w:rPr>
                  <w:t>I</w:t>
                </w:r>
                <w:r w:rsidRPr="00D66931">
                  <w:rPr>
                    <w:rStyle w:val="Hipervnculo"/>
                    <w:noProof/>
                  </w:rPr>
                  <w:t>SION</w:t>
                </w:r>
                <w:r w:rsidRPr="00D66931">
                  <w:rPr>
                    <w:rStyle w:val="Hipervnculo"/>
                    <w:noProof/>
                  </w:rPr>
                  <w:t>E</w:t>
                </w:r>
                <w:r w:rsidRPr="00D66931">
                  <w:rPr>
                    <w:rStyle w:val="Hipervnculo"/>
                    <w:noProof/>
                  </w:rPr>
                  <w:t>S</w:t>
                </w:r>
                <w:r>
                  <w:rPr>
                    <w:noProof/>
                    <w:webHidden/>
                  </w:rPr>
                  <w:tab/>
                </w:r>
                <w:r>
                  <w:rPr>
                    <w:noProof/>
                    <w:webHidden/>
                  </w:rPr>
                  <w:fldChar w:fldCharType="begin"/>
                </w:r>
                <w:r>
                  <w:rPr>
                    <w:noProof/>
                    <w:webHidden/>
                  </w:rPr>
                  <w:instrText xml:space="preserve"> PAGEREF _Toc159952409 \h </w:instrText>
                </w:r>
                <w:r>
                  <w:rPr>
                    <w:noProof/>
                    <w:webHidden/>
                  </w:rPr>
                </w:r>
                <w:r>
                  <w:rPr>
                    <w:noProof/>
                    <w:webHidden/>
                  </w:rPr>
                  <w:fldChar w:fldCharType="separate"/>
                </w:r>
                <w:r w:rsidR="00987C8A">
                  <w:rPr>
                    <w:noProof/>
                    <w:webHidden/>
                  </w:rPr>
                  <w:t>117</w:t>
                </w:r>
                <w:r>
                  <w:rPr>
                    <w:noProof/>
                    <w:webHidden/>
                  </w:rPr>
                  <w:fldChar w:fldCharType="end"/>
                </w:r>
              </w:hyperlink>
            </w:p>
            <w:p w14:paraId="6229482B" w14:textId="7AEC532B" w:rsidR="006E283A" w:rsidRDefault="006E283A">
              <w:pPr>
                <w:pStyle w:val="TDC2"/>
                <w:tabs>
                  <w:tab w:val="right" w:leader="dot" w:pos="8969"/>
                </w:tabs>
                <w:rPr>
                  <w:rFonts w:cstheme="minorBidi"/>
                  <w:noProof/>
                  <w:kern w:val="2"/>
                  <w14:ligatures w14:val="standardContextual"/>
                </w:rPr>
              </w:pPr>
              <w:hyperlink w:anchor="_Toc159952410" w:history="1">
                <w:r w:rsidRPr="00D66931">
                  <w:rPr>
                    <w:rStyle w:val="Hipervnculo"/>
                    <w:noProof/>
                  </w:rPr>
                  <w:t>Composición</w:t>
                </w:r>
                <w:r>
                  <w:rPr>
                    <w:noProof/>
                    <w:webHidden/>
                  </w:rPr>
                  <w:tab/>
                </w:r>
                <w:r>
                  <w:rPr>
                    <w:noProof/>
                    <w:webHidden/>
                  </w:rPr>
                  <w:fldChar w:fldCharType="begin"/>
                </w:r>
                <w:r>
                  <w:rPr>
                    <w:noProof/>
                    <w:webHidden/>
                  </w:rPr>
                  <w:instrText xml:space="preserve"> PAGEREF _Toc159952410 \h </w:instrText>
                </w:r>
                <w:r>
                  <w:rPr>
                    <w:noProof/>
                    <w:webHidden/>
                  </w:rPr>
                </w:r>
                <w:r>
                  <w:rPr>
                    <w:noProof/>
                    <w:webHidden/>
                  </w:rPr>
                  <w:fldChar w:fldCharType="separate"/>
                </w:r>
                <w:r w:rsidR="00987C8A">
                  <w:rPr>
                    <w:noProof/>
                    <w:webHidden/>
                  </w:rPr>
                  <w:t>117</w:t>
                </w:r>
                <w:r>
                  <w:rPr>
                    <w:noProof/>
                    <w:webHidden/>
                  </w:rPr>
                  <w:fldChar w:fldCharType="end"/>
                </w:r>
              </w:hyperlink>
            </w:p>
            <w:p w14:paraId="64C28AD6" w14:textId="3D806C48" w:rsidR="006E283A" w:rsidRDefault="006E283A">
              <w:pPr>
                <w:pStyle w:val="TDC2"/>
                <w:tabs>
                  <w:tab w:val="left" w:pos="1100"/>
                  <w:tab w:val="right" w:leader="dot" w:pos="8969"/>
                </w:tabs>
                <w:rPr>
                  <w:rFonts w:cstheme="minorBidi"/>
                  <w:noProof/>
                  <w:kern w:val="2"/>
                  <w14:ligatures w14:val="standardContextual"/>
                </w:rPr>
              </w:pPr>
              <w:hyperlink w:anchor="_Toc159952411" w:history="1">
                <w:r w:rsidRPr="00D66931">
                  <w:rPr>
                    <w:rStyle w:val="Hipervnculo"/>
                    <w:noProof/>
                  </w:rPr>
                  <w:t>23.1.</w:t>
                </w:r>
                <w:r>
                  <w:rPr>
                    <w:rFonts w:cstheme="minorBidi"/>
                    <w:noProof/>
                    <w:kern w:val="2"/>
                    <w14:ligatures w14:val="standardContextual"/>
                  </w:rPr>
                  <w:tab/>
                </w:r>
                <w:r w:rsidRPr="00D66931">
                  <w:rPr>
                    <w:rStyle w:val="Hipervnculo"/>
                    <w:noProof/>
                  </w:rPr>
                  <w:t>Litigios y demandas</w:t>
                </w:r>
                <w:r>
                  <w:rPr>
                    <w:noProof/>
                    <w:webHidden/>
                  </w:rPr>
                  <w:tab/>
                </w:r>
                <w:r>
                  <w:rPr>
                    <w:noProof/>
                    <w:webHidden/>
                  </w:rPr>
                  <w:fldChar w:fldCharType="begin"/>
                </w:r>
                <w:r>
                  <w:rPr>
                    <w:noProof/>
                    <w:webHidden/>
                  </w:rPr>
                  <w:instrText xml:space="preserve"> PAGEREF _Toc159952411 \h </w:instrText>
                </w:r>
                <w:r>
                  <w:rPr>
                    <w:noProof/>
                    <w:webHidden/>
                  </w:rPr>
                </w:r>
                <w:r>
                  <w:rPr>
                    <w:noProof/>
                    <w:webHidden/>
                  </w:rPr>
                  <w:fldChar w:fldCharType="separate"/>
                </w:r>
                <w:r w:rsidR="00987C8A">
                  <w:rPr>
                    <w:noProof/>
                    <w:webHidden/>
                  </w:rPr>
                  <w:t>118</w:t>
                </w:r>
                <w:r>
                  <w:rPr>
                    <w:noProof/>
                    <w:webHidden/>
                  </w:rPr>
                  <w:fldChar w:fldCharType="end"/>
                </w:r>
              </w:hyperlink>
            </w:p>
            <w:p w14:paraId="16551F31" w14:textId="1F0E1388" w:rsidR="006E283A" w:rsidRDefault="006E283A">
              <w:pPr>
                <w:pStyle w:val="TDC2"/>
                <w:tabs>
                  <w:tab w:val="left" w:pos="1100"/>
                  <w:tab w:val="right" w:leader="dot" w:pos="8969"/>
                </w:tabs>
                <w:rPr>
                  <w:rFonts w:cstheme="minorBidi"/>
                  <w:noProof/>
                  <w:kern w:val="2"/>
                  <w14:ligatures w14:val="standardContextual"/>
                </w:rPr>
              </w:pPr>
              <w:hyperlink w:anchor="_Toc159952412" w:history="1">
                <w:r w:rsidRPr="00D66931">
                  <w:rPr>
                    <w:rStyle w:val="Hipervnculo"/>
                    <w:noProof/>
                  </w:rPr>
                  <w:t>23.2.</w:t>
                </w:r>
                <w:r>
                  <w:rPr>
                    <w:rFonts w:cstheme="minorBidi"/>
                    <w:noProof/>
                    <w:kern w:val="2"/>
                    <w14:ligatures w14:val="standardContextual"/>
                  </w:rPr>
                  <w:tab/>
                </w:r>
                <w:r w:rsidRPr="00D66931">
                  <w:rPr>
                    <w:rStyle w:val="Hipervnculo"/>
                    <w:noProof/>
                  </w:rPr>
                  <w:t>Provisiones diversas</w:t>
                </w:r>
                <w:r>
                  <w:rPr>
                    <w:noProof/>
                    <w:webHidden/>
                  </w:rPr>
                  <w:tab/>
                </w:r>
                <w:r>
                  <w:rPr>
                    <w:noProof/>
                    <w:webHidden/>
                  </w:rPr>
                  <w:fldChar w:fldCharType="begin"/>
                </w:r>
                <w:r>
                  <w:rPr>
                    <w:noProof/>
                    <w:webHidden/>
                  </w:rPr>
                  <w:instrText xml:space="preserve"> PAGEREF _Toc159952412 \h </w:instrText>
                </w:r>
                <w:r>
                  <w:rPr>
                    <w:noProof/>
                    <w:webHidden/>
                  </w:rPr>
                </w:r>
                <w:r>
                  <w:rPr>
                    <w:noProof/>
                    <w:webHidden/>
                  </w:rPr>
                  <w:fldChar w:fldCharType="separate"/>
                </w:r>
                <w:r w:rsidR="00987C8A">
                  <w:rPr>
                    <w:noProof/>
                    <w:webHidden/>
                  </w:rPr>
                  <w:t>124</w:t>
                </w:r>
                <w:r>
                  <w:rPr>
                    <w:noProof/>
                    <w:webHidden/>
                  </w:rPr>
                  <w:fldChar w:fldCharType="end"/>
                </w:r>
              </w:hyperlink>
            </w:p>
            <w:p w14:paraId="5A9A6068" w14:textId="54867B86" w:rsidR="006E283A" w:rsidRDefault="006E283A">
              <w:pPr>
                <w:pStyle w:val="TDC1"/>
                <w:tabs>
                  <w:tab w:val="right" w:leader="dot" w:pos="8969"/>
                </w:tabs>
                <w:rPr>
                  <w:rFonts w:asciiTheme="minorHAnsi" w:eastAsiaTheme="minorEastAsia" w:hAnsiTheme="minorHAnsi" w:cstheme="minorBidi"/>
                  <w:noProof/>
                  <w:kern w:val="2"/>
                  <w:lang w:eastAsia="es-CO"/>
                  <w14:ligatures w14:val="standardContextual"/>
                </w:rPr>
              </w:pPr>
              <w:hyperlink w:anchor="_Toc159952413" w:history="1">
                <w:r w:rsidRPr="00D66931">
                  <w:rPr>
                    <w:rStyle w:val="Hipervnculo"/>
                    <w:noProof/>
                  </w:rPr>
                  <w:t>NOTA 24. OTROS PASIVOS</w:t>
                </w:r>
                <w:r>
                  <w:rPr>
                    <w:noProof/>
                    <w:webHidden/>
                  </w:rPr>
                  <w:tab/>
                </w:r>
                <w:r>
                  <w:rPr>
                    <w:noProof/>
                    <w:webHidden/>
                  </w:rPr>
                  <w:fldChar w:fldCharType="begin"/>
                </w:r>
                <w:r>
                  <w:rPr>
                    <w:noProof/>
                    <w:webHidden/>
                  </w:rPr>
                  <w:instrText xml:space="preserve"> PAGEREF _Toc159952413 \h </w:instrText>
                </w:r>
                <w:r>
                  <w:rPr>
                    <w:noProof/>
                    <w:webHidden/>
                  </w:rPr>
                </w:r>
                <w:r>
                  <w:rPr>
                    <w:noProof/>
                    <w:webHidden/>
                  </w:rPr>
                  <w:fldChar w:fldCharType="separate"/>
                </w:r>
                <w:r w:rsidR="00987C8A">
                  <w:rPr>
                    <w:noProof/>
                    <w:webHidden/>
                  </w:rPr>
                  <w:t>125</w:t>
                </w:r>
                <w:r>
                  <w:rPr>
                    <w:noProof/>
                    <w:webHidden/>
                  </w:rPr>
                  <w:fldChar w:fldCharType="end"/>
                </w:r>
              </w:hyperlink>
            </w:p>
            <w:p w14:paraId="6F716C2A" w14:textId="44804C9C" w:rsidR="006E283A" w:rsidRDefault="006E283A">
              <w:pPr>
                <w:pStyle w:val="TDC2"/>
                <w:tabs>
                  <w:tab w:val="right" w:leader="dot" w:pos="8969"/>
                </w:tabs>
                <w:rPr>
                  <w:rFonts w:cstheme="minorBidi"/>
                  <w:noProof/>
                  <w:kern w:val="2"/>
                  <w14:ligatures w14:val="standardContextual"/>
                </w:rPr>
              </w:pPr>
              <w:hyperlink w:anchor="_Toc159952414" w:history="1">
                <w:r w:rsidRPr="00D66931">
                  <w:rPr>
                    <w:rStyle w:val="Hipervnculo"/>
                    <w:noProof/>
                  </w:rPr>
                  <w:t>Composición</w:t>
                </w:r>
                <w:r>
                  <w:rPr>
                    <w:noProof/>
                    <w:webHidden/>
                  </w:rPr>
                  <w:tab/>
                </w:r>
                <w:r>
                  <w:rPr>
                    <w:noProof/>
                    <w:webHidden/>
                  </w:rPr>
                  <w:fldChar w:fldCharType="begin"/>
                </w:r>
                <w:r>
                  <w:rPr>
                    <w:noProof/>
                    <w:webHidden/>
                  </w:rPr>
                  <w:instrText xml:space="preserve"> PAGEREF _Toc159952414 \h </w:instrText>
                </w:r>
                <w:r>
                  <w:rPr>
                    <w:noProof/>
                    <w:webHidden/>
                  </w:rPr>
                </w:r>
                <w:r>
                  <w:rPr>
                    <w:noProof/>
                    <w:webHidden/>
                  </w:rPr>
                  <w:fldChar w:fldCharType="separate"/>
                </w:r>
                <w:r w:rsidR="00987C8A">
                  <w:rPr>
                    <w:noProof/>
                    <w:webHidden/>
                  </w:rPr>
                  <w:t>125</w:t>
                </w:r>
                <w:r>
                  <w:rPr>
                    <w:noProof/>
                    <w:webHidden/>
                  </w:rPr>
                  <w:fldChar w:fldCharType="end"/>
                </w:r>
              </w:hyperlink>
            </w:p>
            <w:p w14:paraId="6D4F8728" w14:textId="0CB77186" w:rsidR="006E283A" w:rsidRDefault="006E283A">
              <w:pPr>
                <w:pStyle w:val="TDC2"/>
                <w:tabs>
                  <w:tab w:val="left" w:pos="1100"/>
                  <w:tab w:val="right" w:leader="dot" w:pos="8969"/>
                </w:tabs>
                <w:rPr>
                  <w:rFonts w:cstheme="minorBidi"/>
                  <w:noProof/>
                  <w:kern w:val="2"/>
                  <w14:ligatures w14:val="standardContextual"/>
                </w:rPr>
              </w:pPr>
              <w:hyperlink w:anchor="_Toc159952415" w:history="1">
                <w:r w:rsidRPr="00D66931">
                  <w:rPr>
                    <w:rStyle w:val="Hipervnculo"/>
                    <w:noProof/>
                  </w:rPr>
                  <w:t>24.1.</w:t>
                </w:r>
                <w:r>
                  <w:rPr>
                    <w:rFonts w:cstheme="minorBidi"/>
                    <w:noProof/>
                    <w:kern w:val="2"/>
                    <w14:ligatures w14:val="standardContextual"/>
                  </w:rPr>
                  <w:tab/>
                </w:r>
                <w:r w:rsidRPr="00D66931">
                  <w:rPr>
                    <w:rStyle w:val="Hipervnculo"/>
                    <w:noProof/>
                  </w:rPr>
                  <w:t>Desglose subcuentas otros.</w:t>
                </w:r>
                <w:r>
                  <w:rPr>
                    <w:noProof/>
                    <w:webHidden/>
                  </w:rPr>
                  <w:tab/>
                </w:r>
                <w:r>
                  <w:rPr>
                    <w:noProof/>
                    <w:webHidden/>
                  </w:rPr>
                  <w:fldChar w:fldCharType="begin"/>
                </w:r>
                <w:r>
                  <w:rPr>
                    <w:noProof/>
                    <w:webHidden/>
                  </w:rPr>
                  <w:instrText xml:space="preserve"> PAGEREF _Toc159952415 \h </w:instrText>
                </w:r>
                <w:r>
                  <w:rPr>
                    <w:noProof/>
                    <w:webHidden/>
                  </w:rPr>
                </w:r>
                <w:r>
                  <w:rPr>
                    <w:noProof/>
                    <w:webHidden/>
                  </w:rPr>
                  <w:fldChar w:fldCharType="separate"/>
                </w:r>
                <w:r w:rsidR="00987C8A">
                  <w:rPr>
                    <w:noProof/>
                    <w:webHidden/>
                  </w:rPr>
                  <w:t>126</w:t>
                </w:r>
                <w:r>
                  <w:rPr>
                    <w:noProof/>
                    <w:webHidden/>
                  </w:rPr>
                  <w:fldChar w:fldCharType="end"/>
                </w:r>
              </w:hyperlink>
            </w:p>
            <w:p w14:paraId="1F010C22" w14:textId="0E4B23C2" w:rsidR="006E283A" w:rsidRDefault="006E283A">
              <w:pPr>
                <w:pStyle w:val="TDC2"/>
                <w:tabs>
                  <w:tab w:val="left" w:pos="1100"/>
                  <w:tab w:val="right" w:leader="dot" w:pos="8969"/>
                </w:tabs>
                <w:rPr>
                  <w:rFonts w:cstheme="minorBidi"/>
                  <w:noProof/>
                  <w:kern w:val="2"/>
                  <w14:ligatures w14:val="standardContextual"/>
                </w:rPr>
              </w:pPr>
              <w:hyperlink w:anchor="_Toc159952416" w:history="1">
                <w:r w:rsidRPr="00D66931">
                  <w:rPr>
                    <w:rStyle w:val="Hipervnculo"/>
                    <w:noProof/>
                  </w:rPr>
                  <w:t>24.1.1.</w:t>
                </w:r>
                <w:r>
                  <w:rPr>
                    <w:rFonts w:cstheme="minorBidi"/>
                    <w:noProof/>
                    <w:kern w:val="2"/>
                    <w14:ligatures w14:val="standardContextual"/>
                  </w:rPr>
                  <w:tab/>
                </w:r>
                <w:r w:rsidRPr="00D66931">
                  <w:rPr>
                    <w:rStyle w:val="Hipervnculo"/>
                    <w:noProof/>
                  </w:rPr>
                  <w:t>Modo Carretero:</w:t>
                </w:r>
                <w:r>
                  <w:rPr>
                    <w:noProof/>
                    <w:webHidden/>
                  </w:rPr>
                  <w:tab/>
                </w:r>
                <w:r>
                  <w:rPr>
                    <w:noProof/>
                    <w:webHidden/>
                  </w:rPr>
                  <w:fldChar w:fldCharType="begin"/>
                </w:r>
                <w:r>
                  <w:rPr>
                    <w:noProof/>
                    <w:webHidden/>
                  </w:rPr>
                  <w:instrText xml:space="preserve"> PAGEREF _Toc159952416 \h </w:instrText>
                </w:r>
                <w:r>
                  <w:rPr>
                    <w:noProof/>
                    <w:webHidden/>
                  </w:rPr>
                </w:r>
                <w:r>
                  <w:rPr>
                    <w:noProof/>
                    <w:webHidden/>
                  </w:rPr>
                  <w:fldChar w:fldCharType="separate"/>
                </w:r>
                <w:r w:rsidR="00987C8A">
                  <w:rPr>
                    <w:noProof/>
                    <w:webHidden/>
                  </w:rPr>
                  <w:t>128</w:t>
                </w:r>
                <w:r>
                  <w:rPr>
                    <w:noProof/>
                    <w:webHidden/>
                  </w:rPr>
                  <w:fldChar w:fldCharType="end"/>
                </w:r>
              </w:hyperlink>
            </w:p>
            <w:p w14:paraId="063B3EE9" w14:textId="7A68FA35" w:rsidR="006E283A" w:rsidRDefault="006E283A">
              <w:pPr>
                <w:pStyle w:val="TDC2"/>
                <w:tabs>
                  <w:tab w:val="right" w:leader="dot" w:pos="8969"/>
                </w:tabs>
                <w:rPr>
                  <w:rFonts w:cstheme="minorBidi"/>
                  <w:noProof/>
                  <w:kern w:val="2"/>
                  <w14:ligatures w14:val="standardContextual"/>
                </w:rPr>
              </w:pPr>
              <w:hyperlink w:anchor="_Toc159952417" w:history="1">
                <w:r w:rsidRPr="00D66931">
                  <w:rPr>
                    <w:rStyle w:val="Hipervnculo"/>
                    <w:noProof/>
                  </w:rPr>
                  <w:t>24.1.2.  Modo Portuario:</w:t>
                </w:r>
                <w:r>
                  <w:rPr>
                    <w:noProof/>
                    <w:webHidden/>
                  </w:rPr>
                  <w:tab/>
                </w:r>
                <w:r>
                  <w:rPr>
                    <w:noProof/>
                    <w:webHidden/>
                  </w:rPr>
                  <w:fldChar w:fldCharType="begin"/>
                </w:r>
                <w:r>
                  <w:rPr>
                    <w:noProof/>
                    <w:webHidden/>
                  </w:rPr>
                  <w:instrText xml:space="preserve"> PAGEREF _Toc159952417 \h </w:instrText>
                </w:r>
                <w:r>
                  <w:rPr>
                    <w:noProof/>
                    <w:webHidden/>
                  </w:rPr>
                </w:r>
                <w:r>
                  <w:rPr>
                    <w:noProof/>
                    <w:webHidden/>
                  </w:rPr>
                  <w:fldChar w:fldCharType="separate"/>
                </w:r>
                <w:r w:rsidR="00987C8A">
                  <w:rPr>
                    <w:noProof/>
                    <w:webHidden/>
                  </w:rPr>
                  <w:t>129</w:t>
                </w:r>
                <w:r>
                  <w:rPr>
                    <w:noProof/>
                    <w:webHidden/>
                  </w:rPr>
                  <w:fldChar w:fldCharType="end"/>
                </w:r>
              </w:hyperlink>
            </w:p>
            <w:p w14:paraId="29E919DB" w14:textId="2FC63987" w:rsidR="006E283A" w:rsidRDefault="006E283A">
              <w:pPr>
                <w:pStyle w:val="TDC2"/>
                <w:tabs>
                  <w:tab w:val="right" w:leader="dot" w:pos="8969"/>
                </w:tabs>
                <w:rPr>
                  <w:rFonts w:cstheme="minorBidi"/>
                  <w:noProof/>
                  <w:kern w:val="2"/>
                  <w14:ligatures w14:val="standardContextual"/>
                </w:rPr>
              </w:pPr>
              <w:hyperlink w:anchor="_Toc159952418" w:history="1">
                <w:r w:rsidRPr="00D66931">
                  <w:rPr>
                    <w:rStyle w:val="Hipervnculo"/>
                    <w:noProof/>
                  </w:rPr>
                  <w:t>24.1.3.  Modo Férreo:</w:t>
                </w:r>
                <w:r>
                  <w:rPr>
                    <w:noProof/>
                    <w:webHidden/>
                  </w:rPr>
                  <w:tab/>
                </w:r>
                <w:r>
                  <w:rPr>
                    <w:noProof/>
                    <w:webHidden/>
                  </w:rPr>
                  <w:fldChar w:fldCharType="begin"/>
                </w:r>
                <w:r>
                  <w:rPr>
                    <w:noProof/>
                    <w:webHidden/>
                  </w:rPr>
                  <w:instrText xml:space="preserve"> PAGEREF _Toc159952418 \h </w:instrText>
                </w:r>
                <w:r>
                  <w:rPr>
                    <w:noProof/>
                    <w:webHidden/>
                  </w:rPr>
                </w:r>
                <w:r>
                  <w:rPr>
                    <w:noProof/>
                    <w:webHidden/>
                  </w:rPr>
                  <w:fldChar w:fldCharType="separate"/>
                </w:r>
                <w:r w:rsidR="00987C8A">
                  <w:rPr>
                    <w:noProof/>
                    <w:webHidden/>
                  </w:rPr>
                  <w:t>131</w:t>
                </w:r>
                <w:r>
                  <w:rPr>
                    <w:noProof/>
                    <w:webHidden/>
                  </w:rPr>
                  <w:fldChar w:fldCharType="end"/>
                </w:r>
              </w:hyperlink>
            </w:p>
            <w:p w14:paraId="6E91BCA6" w14:textId="4124D1CD" w:rsidR="006E283A" w:rsidRDefault="006E283A">
              <w:pPr>
                <w:pStyle w:val="TDC1"/>
                <w:tabs>
                  <w:tab w:val="right" w:leader="dot" w:pos="8969"/>
                </w:tabs>
                <w:rPr>
                  <w:rFonts w:asciiTheme="minorHAnsi" w:eastAsiaTheme="minorEastAsia" w:hAnsiTheme="minorHAnsi" w:cstheme="minorBidi"/>
                  <w:noProof/>
                  <w:kern w:val="2"/>
                  <w:lang w:eastAsia="es-CO"/>
                  <w14:ligatures w14:val="standardContextual"/>
                </w:rPr>
              </w:pPr>
              <w:hyperlink w:anchor="_Toc159952419" w:history="1">
                <w:r w:rsidRPr="00D66931">
                  <w:rPr>
                    <w:rStyle w:val="Hipervnculo"/>
                    <w:noProof/>
                  </w:rPr>
                  <w:t>NOTA 25. ACTIVOS Y PASIVOS CONTINGENTES</w:t>
                </w:r>
                <w:r>
                  <w:rPr>
                    <w:noProof/>
                    <w:webHidden/>
                  </w:rPr>
                  <w:tab/>
                </w:r>
                <w:r>
                  <w:rPr>
                    <w:noProof/>
                    <w:webHidden/>
                  </w:rPr>
                  <w:fldChar w:fldCharType="begin"/>
                </w:r>
                <w:r>
                  <w:rPr>
                    <w:noProof/>
                    <w:webHidden/>
                  </w:rPr>
                  <w:instrText xml:space="preserve"> PAGEREF _Toc159952419 \h </w:instrText>
                </w:r>
                <w:r>
                  <w:rPr>
                    <w:noProof/>
                    <w:webHidden/>
                  </w:rPr>
                </w:r>
                <w:r>
                  <w:rPr>
                    <w:noProof/>
                    <w:webHidden/>
                  </w:rPr>
                  <w:fldChar w:fldCharType="separate"/>
                </w:r>
                <w:r w:rsidR="00987C8A">
                  <w:rPr>
                    <w:noProof/>
                    <w:webHidden/>
                  </w:rPr>
                  <w:t>131</w:t>
                </w:r>
                <w:r>
                  <w:rPr>
                    <w:noProof/>
                    <w:webHidden/>
                  </w:rPr>
                  <w:fldChar w:fldCharType="end"/>
                </w:r>
              </w:hyperlink>
            </w:p>
            <w:p w14:paraId="67FF2131" w14:textId="3207F1AE" w:rsidR="006E283A" w:rsidRDefault="006E283A">
              <w:pPr>
                <w:pStyle w:val="TDC2"/>
                <w:tabs>
                  <w:tab w:val="left" w:pos="1100"/>
                  <w:tab w:val="right" w:leader="dot" w:pos="8969"/>
                </w:tabs>
                <w:rPr>
                  <w:rFonts w:cstheme="minorBidi"/>
                  <w:noProof/>
                  <w:kern w:val="2"/>
                  <w14:ligatures w14:val="standardContextual"/>
                </w:rPr>
              </w:pPr>
              <w:hyperlink w:anchor="_Toc159952420" w:history="1">
                <w:r w:rsidRPr="00D66931">
                  <w:rPr>
                    <w:rStyle w:val="Hipervnculo"/>
                    <w:noProof/>
                  </w:rPr>
                  <w:t>25.1.</w:t>
                </w:r>
                <w:r>
                  <w:rPr>
                    <w:rFonts w:cstheme="minorBidi"/>
                    <w:noProof/>
                    <w:kern w:val="2"/>
                    <w14:ligatures w14:val="standardContextual"/>
                  </w:rPr>
                  <w:tab/>
                </w:r>
                <w:r w:rsidRPr="00D66931">
                  <w:rPr>
                    <w:rStyle w:val="Hipervnculo"/>
                    <w:noProof/>
                  </w:rPr>
                  <w:t>Activos contingentes</w:t>
                </w:r>
                <w:r>
                  <w:rPr>
                    <w:noProof/>
                    <w:webHidden/>
                  </w:rPr>
                  <w:tab/>
                </w:r>
                <w:r>
                  <w:rPr>
                    <w:noProof/>
                    <w:webHidden/>
                  </w:rPr>
                  <w:fldChar w:fldCharType="begin"/>
                </w:r>
                <w:r>
                  <w:rPr>
                    <w:noProof/>
                    <w:webHidden/>
                  </w:rPr>
                  <w:instrText xml:space="preserve"> PAGEREF _Toc159952420 \h </w:instrText>
                </w:r>
                <w:r>
                  <w:rPr>
                    <w:noProof/>
                    <w:webHidden/>
                  </w:rPr>
                </w:r>
                <w:r>
                  <w:rPr>
                    <w:noProof/>
                    <w:webHidden/>
                  </w:rPr>
                  <w:fldChar w:fldCharType="separate"/>
                </w:r>
                <w:r w:rsidR="00987C8A">
                  <w:rPr>
                    <w:noProof/>
                    <w:webHidden/>
                  </w:rPr>
                  <w:t>131</w:t>
                </w:r>
                <w:r>
                  <w:rPr>
                    <w:noProof/>
                    <w:webHidden/>
                  </w:rPr>
                  <w:fldChar w:fldCharType="end"/>
                </w:r>
              </w:hyperlink>
            </w:p>
            <w:p w14:paraId="41A93C6D" w14:textId="30C9D615" w:rsidR="006E283A" w:rsidRDefault="006E283A">
              <w:pPr>
                <w:pStyle w:val="TDC3"/>
                <w:tabs>
                  <w:tab w:val="left" w:pos="1320"/>
                  <w:tab w:val="right" w:leader="dot" w:pos="8969"/>
                </w:tabs>
                <w:rPr>
                  <w:rFonts w:cstheme="minorBidi"/>
                  <w:noProof/>
                  <w:kern w:val="2"/>
                  <w14:ligatures w14:val="standardContextual"/>
                </w:rPr>
              </w:pPr>
              <w:hyperlink w:anchor="_Toc159952421" w:history="1">
                <w:r w:rsidRPr="00D66931">
                  <w:rPr>
                    <w:rStyle w:val="Hipervnculo"/>
                    <w:noProof/>
                  </w:rPr>
                  <w:t>25.1.1.</w:t>
                </w:r>
                <w:r>
                  <w:rPr>
                    <w:rFonts w:cstheme="minorBidi"/>
                    <w:noProof/>
                    <w:kern w:val="2"/>
                    <w14:ligatures w14:val="standardContextual"/>
                  </w:rPr>
                  <w:tab/>
                </w:r>
                <w:r w:rsidRPr="00D66931">
                  <w:rPr>
                    <w:rStyle w:val="Hipervnculo"/>
                    <w:noProof/>
                  </w:rPr>
                  <w:t>Revelaciones generales de activos contingentes</w:t>
                </w:r>
                <w:r>
                  <w:rPr>
                    <w:noProof/>
                    <w:webHidden/>
                  </w:rPr>
                  <w:tab/>
                </w:r>
                <w:r>
                  <w:rPr>
                    <w:noProof/>
                    <w:webHidden/>
                  </w:rPr>
                  <w:fldChar w:fldCharType="begin"/>
                </w:r>
                <w:r>
                  <w:rPr>
                    <w:noProof/>
                    <w:webHidden/>
                  </w:rPr>
                  <w:instrText xml:space="preserve"> PAGEREF _Toc159952421 \h </w:instrText>
                </w:r>
                <w:r>
                  <w:rPr>
                    <w:noProof/>
                    <w:webHidden/>
                  </w:rPr>
                </w:r>
                <w:r>
                  <w:rPr>
                    <w:noProof/>
                    <w:webHidden/>
                  </w:rPr>
                  <w:fldChar w:fldCharType="separate"/>
                </w:r>
                <w:r w:rsidR="00987C8A">
                  <w:rPr>
                    <w:noProof/>
                    <w:webHidden/>
                  </w:rPr>
                  <w:t>132</w:t>
                </w:r>
                <w:r>
                  <w:rPr>
                    <w:noProof/>
                    <w:webHidden/>
                  </w:rPr>
                  <w:fldChar w:fldCharType="end"/>
                </w:r>
              </w:hyperlink>
            </w:p>
            <w:p w14:paraId="14800375" w14:textId="4745E40C" w:rsidR="006E283A" w:rsidRDefault="006E283A">
              <w:pPr>
                <w:pStyle w:val="TDC2"/>
                <w:tabs>
                  <w:tab w:val="left" w:pos="1100"/>
                  <w:tab w:val="right" w:leader="dot" w:pos="8969"/>
                </w:tabs>
                <w:rPr>
                  <w:rFonts w:cstheme="minorBidi"/>
                  <w:noProof/>
                  <w:kern w:val="2"/>
                  <w14:ligatures w14:val="standardContextual"/>
                </w:rPr>
              </w:pPr>
              <w:hyperlink w:anchor="_Toc159952422" w:history="1">
                <w:r w:rsidRPr="00D66931">
                  <w:rPr>
                    <w:rStyle w:val="Hipervnculo"/>
                    <w:noProof/>
                  </w:rPr>
                  <w:t>25.2.</w:t>
                </w:r>
                <w:r>
                  <w:rPr>
                    <w:rFonts w:cstheme="minorBidi"/>
                    <w:noProof/>
                    <w:kern w:val="2"/>
                    <w14:ligatures w14:val="standardContextual"/>
                  </w:rPr>
                  <w:tab/>
                </w:r>
                <w:r w:rsidRPr="00D66931">
                  <w:rPr>
                    <w:rStyle w:val="Hipervnculo"/>
                    <w:noProof/>
                  </w:rPr>
                  <w:t>Pasivos contingentes</w:t>
                </w:r>
                <w:r>
                  <w:rPr>
                    <w:noProof/>
                    <w:webHidden/>
                  </w:rPr>
                  <w:tab/>
                </w:r>
                <w:r>
                  <w:rPr>
                    <w:noProof/>
                    <w:webHidden/>
                  </w:rPr>
                  <w:fldChar w:fldCharType="begin"/>
                </w:r>
                <w:r>
                  <w:rPr>
                    <w:noProof/>
                    <w:webHidden/>
                  </w:rPr>
                  <w:instrText xml:space="preserve"> PAGEREF _Toc159952422 \h </w:instrText>
                </w:r>
                <w:r>
                  <w:rPr>
                    <w:noProof/>
                    <w:webHidden/>
                  </w:rPr>
                </w:r>
                <w:r>
                  <w:rPr>
                    <w:noProof/>
                    <w:webHidden/>
                  </w:rPr>
                  <w:fldChar w:fldCharType="separate"/>
                </w:r>
                <w:r w:rsidR="00987C8A">
                  <w:rPr>
                    <w:noProof/>
                    <w:webHidden/>
                  </w:rPr>
                  <w:t>136</w:t>
                </w:r>
                <w:r>
                  <w:rPr>
                    <w:noProof/>
                    <w:webHidden/>
                  </w:rPr>
                  <w:fldChar w:fldCharType="end"/>
                </w:r>
              </w:hyperlink>
            </w:p>
            <w:p w14:paraId="0E115B86" w14:textId="4755C72A" w:rsidR="006E283A" w:rsidRDefault="006E283A">
              <w:pPr>
                <w:pStyle w:val="TDC3"/>
                <w:tabs>
                  <w:tab w:val="left" w:pos="1320"/>
                  <w:tab w:val="right" w:leader="dot" w:pos="8969"/>
                </w:tabs>
                <w:rPr>
                  <w:rFonts w:cstheme="minorBidi"/>
                  <w:noProof/>
                  <w:kern w:val="2"/>
                  <w14:ligatures w14:val="standardContextual"/>
                </w:rPr>
              </w:pPr>
              <w:hyperlink w:anchor="_Toc159952423" w:history="1">
                <w:r w:rsidRPr="00D66931">
                  <w:rPr>
                    <w:rStyle w:val="Hipervnculo"/>
                    <w:noProof/>
                  </w:rPr>
                  <w:t>25.2.1</w:t>
                </w:r>
                <w:r>
                  <w:rPr>
                    <w:rFonts w:cstheme="minorBidi"/>
                    <w:noProof/>
                    <w:kern w:val="2"/>
                    <w14:ligatures w14:val="standardContextual"/>
                  </w:rPr>
                  <w:tab/>
                </w:r>
                <w:r w:rsidRPr="00D66931">
                  <w:rPr>
                    <w:rStyle w:val="Hipervnculo"/>
                    <w:noProof/>
                  </w:rPr>
                  <w:t>Revelaciones generales de pasivos contingentes</w:t>
                </w:r>
                <w:r>
                  <w:rPr>
                    <w:noProof/>
                    <w:webHidden/>
                  </w:rPr>
                  <w:tab/>
                </w:r>
                <w:r>
                  <w:rPr>
                    <w:noProof/>
                    <w:webHidden/>
                  </w:rPr>
                  <w:fldChar w:fldCharType="begin"/>
                </w:r>
                <w:r>
                  <w:rPr>
                    <w:noProof/>
                    <w:webHidden/>
                  </w:rPr>
                  <w:instrText xml:space="preserve"> PAGEREF _Toc159952423 \h </w:instrText>
                </w:r>
                <w:r>
                  <w:rPr>
                    <w:noProof/>
                    <w:webHidden/>
                  </w:rPr>
                </w:r>
                <w:r>
                  <w:rPr>
                    <w:noProof/>
                    <w:webHidden/>
                  </w:rPr>
                  <w:fldChar w:fldCharType="separate"/>
                </w:r>
                <w:r w:rsidR="00987C8A">
                  <w:rPr>
                    <w:noProof/>
                    <w:webHidden/>
                  </w:rPr>
                  <w:t>137</w:t>
                </w:r>
                <w:r>
                  <w:rPr>
                    <w:noProof/>
                    <w:webHidden/>
                  </w:rPr>
                  <w:fldChar w:fldCharType="end"/>
                </w:r>
              </w:hyperlink>
            </w:p>
            <w:p w14:paraId="4AF0EA1D" w14:textId="1884F839" w:rsidR="006E283A" w:rsidRDefault="006E283A">
              <w:pPr>
                <w:pStyle w:val="TDC1"/>
                <w:tabs>
                  <w:tab w:val="right" w:leader="dot" w:pos="8969"/>
                </w:tabs>
                <w:rPr>
                  <w:rFonts w:asciiTheme="minorHAnsi" w:eastAsiaTheme="minorEastAsia" w:hAnsiTheme="minorHAnsi" w:cstheme="minorBidi"/>
                  <w:noProof/>
                  <w:kern w:val="2"/>
                  <w:lang w:eastAsia="es-CO"/>
                  <w14:ligatures w14:val="standardContextual"/>
                </w:rPr>
              </w:pPr>
              <w:hyperlink w:anchor="_Toc159952424" w:history="1">
                <w:r w:rsidRPr="00D66931">
                  <w:rPr>
                    <w:rStyle w:val="Hipervnculo"/>
                    <w:noProof/>
                  </w:rPr>
                  <w:t>NOTA 26. CUENTAS DE ORDEN</w:t>
                </w:r>
                <w:r>
                  <w:rPr>
                    <w:noProof/>
                    <w:webHidden/>
                  </w:rPr>
                  <w:tab/>
                </w:r>
                <w:r>
                  <w:rPr>
                    <w:noProof/>
                    <w:webHidden/>
                  </w:rPr>
                  <w:fldChar w:fldCharType="begin"/>
                </w:r>
                <w:r>
                  <w:rPr>
                    <w:noProof/>
                    <w:webHidden/>
                  </w:rPr>
                  <w:instrText xml:space="preserve"> PAGEREF _Toc159952424 \h </w:instrText>
                </w:r>
                <w:r>
                  <w:rPr>
                    <w:noProof/>
                    <w:webHidden/>
                  </w:rPr>
                </w:r>
                <w:r>
                  <w:rPr>
                    <w:noProof/>
                    <w:webHidden/>
                  </w:rPr>
                  <w:fldChar w:fldCharType="separate"/>
                </w:r>
                <w:r w:rsidR="00987C8A">
                  <w:rPr>
                    <w:noProof/>
                    <w:webHidden/>
                  </w:rPr>
                  <w:t>141</w:t>
                </w:r>
                <w:r>
                  <w:rPr>
                    <w:noProof/>
                    <w:webHidden/>
                  </w:rPr>
                  <w:fldChar w:fldCharType="end"/>
                </w:r>
              </w:hyperlink>
            </w:p>
            <w:p w14:paraId="17522A7D" w14:textId="0BE8A179" w:rsidR="006E283A" w:rsidRDefault="006E283A">
              <w:pPr>
                <w:pStyle w:val="TDC2"/>
                <w:tabs>
                  <w:tab w:val="left" w:pos="1100"/>
                  <w:tab w:val="right" w:leader="dot" w:pos="8969"/>
                </w:tabs>
                <w:rPr>
                  <w:rFonts w:cstheme="minorBidi"/>
                  <w:noProof/>
                  <w:kern w:val="2"/>
                  <w14:ligatures w14:val="standardContextual"/>
                </w:rPr>
              </w:pPr>
              <w:hyperlink w:anchor="_Toc159952425" w:history="1">
                <w:r w:rsidRPr="00D66931">
                  <w:rPr>
                    <w:rStyle w:val="Hipervnculo"/>
                    <w:noProof/>
                  </w:rPr>
                  <w:t>26.1.</w:t>
                </w:r>
                <w:r>
                  <w:rPr>
                    <w:rFonts w:cstheme="minorBidi"/>
                    <w:noProof/>
                    <w:kern w:val="2"/>
                    <w14:ligatures w14:val="standardContextual"/>
                  </w:rPr>
                  <w:tab/>
                </w:r>
                <w:r w:rsidRPr="00D66931">
                  <w:rPr>
                    <w:rStyle w:val="Hipervnculo"/>
                    <w:noProof/>
                  </w:rPr>
                  <w:t>Cuentas de orden deudoras</w:t>
                </w:r>
                <w:r>
                  <w:rPr>
                    <w:noProof/>
                    <w:webHidden/>
                  </w:rPr>
                  <w:tab/>
                </w:r>
                <w:r>
                  <w:rPr>
                    <w:noProof/>
                    <w:webHidden/>
                  </w:rPr>
                  <w:fldChar w:fldCharType="begin"/>
                </w:r>
                <w:r>
                  <w:rPr>
                    <w:noProof/>
                    <w:webHidden/>
                  </w:rPr>
                  <w:instrText xml:space="preserve"> PAGEREF _Toc159952425 \h </w:instrText>
                </w:r>
                <w:r>
                  <w:rPr>
                    <w:noProof/>
                    <w:webHidden/>
                  </w:rPr>
                </w:r>
                <w:r>
                  <w:rPr>
                    <w:noProof/>
                    <w:webHidden/>
                  </w:rPr>
                  <w:fldChar w:fldCharType="separate"/>
                </w:r>
                <w:r w:rsidR="00987C8A">
                  <w:rPr>
                    <w:noProof/>
                    <w:webHidden/>
                  </w:rPr>
                  <w:t>141</w:t>
                </w:r>
                <w:r>
                  <w:rPr>
                    <w:noProof/>
                    <w:webHidden/>
                  </w:rPr>
                  <w:fldChar w:fldCharType="end"/>
                </w:r>
              </w:hyperlink>
            </w:p>
            <w:p w14:paraId="4634A99E" w14:textId="43BF57F9" w:rsidR="006E283A" w:rsidRDefault="006E283A">
              <w:pPr>
                <w:pStyle w:val="TDC2"/>
                <w:tabs>
                  <w:tab w:val="left" w:pos="1100"/>
                  <w:tab w:val="right" w:leader="dot" w:pos="8969"/>
                </w:tabs>
                <w:rPr>
                  <w:rFonts w:cstheme="minorBidi"/>
                  <w:noProof/>
                  <w:kern w:val="2"/>
                  <w14:ligatures w14:val="standardContextual"/>
                </w:rPr>
              </w:pPr>
              <w:hyperlink w:anchor="_Toc159952426" w:history="1">
                <w:r w:rsidRPr="00D66931">
                  <w:rPr>
                    <w:rStyle w:val="Hipervnculo"/>
                    <w:noProof/>
                  </w:rPr>
                  <w:t>26.2.</w:t>
                </w:r>
                <w:r>
                  <w:rPr>
                    <w:rFonts w:cstheme="minorBidi"/>
                    <w:noProof/>
                    <w:kern w:val="2"/>
                    <w14:ligatures w14:val="standardContextual"/>
                  </w:rPr>
                  <w:tab/>
                </w:r>
                <w:r w:rsidRPr="00D66931">
                  <w:rPr>
                    <w:rStyle w:val="Hipervnculo"/>
                    <w:noProof/>
                  </w:rPr>
                  <w:t>Cuentas de ord</w:t>
                </w:r>
                <w:r w:rsidRPr="00D66931">
                  <w:rPr>
                    <w:rStyle w:val="Hipervnculo"/>
                    <w:noProof/>
                  </w:rPr>
                  <w:t>e</w:t>
                </w:r>
                <w:r w:rsidRPr="00D66931">
                  <w:rPr>
                    <w:rStyle w:val="Hipervnculo"/>
                    <w:noProof/>
                  </w:rPr>
                  <w:t>n acreedoras</w:t>
                </w:r>
                <w:r>
                  <w:rPr>
                    <w:noProof/>
                    <w:webHidden/>
                  </w:rPr>
                  <w:tab/>
                </w:r>
                <w:r>
                  <w:rPr>
                    <w:noProof/>
                    <w:webHidden/>
                  </w:rPr>
                  <w:fldChar w:fldCharType="begin"/>
                </w:r>
                <w:r>
                  <w:rPr>
                    <w:noProof/>
                    <w:webHidden/>
                  </w:rPr>
                  <w:instrText xml:space="preserve"> PAGEREF _Toc159952426 \h </w:instrText>
                </w:r>
                <w:r>
                  <w:rPr>
                    <w:noProof/>
                    <w:webHidden/>
                  </w:rPr>
                </w:r>
                <w:r>
                  <w:rPr>
                    <w:noProof/>
                    <w:webHidden/>
                  </w:rPr>
                  <w:fldChar w:fldCharType="separate"/>
                </w:r>
                <w:r w:rsidR="00987C8A">
                  <w:rPr>
                    <w:noProof/>
                    <w:webHidden/>
                  </w:rPr>
                  <w:t>142</w:t>
                </w:r>
                <w:r>
                  <w:rPr>
                    <w:noProof/>
                    <w:webHidden/>
                  </w:rPr>
                  <w:fldChar w:fldCharType="end"/>
                </w:r>
              </w:hyperlink>
            </w:p>
            <w:p w14:paraId="6D5BF2AE" w14:textId="4E59AB62" w:rsidR="006E283A" w:rsidRDefault="006E283A">
              <w:pPr>
                <w:pStyle w:val="TDC1"/>
                <w:tabs>
                  <w:tab w:val="right" w:leader="dot" w:pos="8969"/>
                </w:tabs>
                <w:rPr>
                  <w:rFonts w:asciiTheme="minorHAnsi" w:eastAsiaTheme="minorEastAsia" w:hAnsiTheme="minorHAnsi" w:cstheme="minorBidi"/>
                  <w:noProof/>
                  <w:kern w:val="2"/>
                  <w:lang w:eastAsia="es-CO"/>
                  <w14:ligatures w14:val="standardContextual"/>
                </w:rPr>
              </w:pPr>
              <w:hyperlink w:anchor="_Toc159952427" w:history="1">
                <w:r w:rsidRPr="00D66931">
                  <w:rPr>
                    <w:rStyle w:val="Hipervnculo"/>
                    <w:noProof/>
                  </w:rPr>
                  <w:t>NOTA 27. PATRIMONIO</w:t>
                </w:r>
                <w:r>
                  <w:rPr>
                    <w:noProof/>
                    <w:webHidden/>
                  </w:rPr>
                  <w:tab/>
                </w:r>
                <w:r>
                  <w:rPr>
                    <w:noProof/>
                    <w:webHidden/>
                  </w:rPr>
                  <w:fldChar w:fldCharType="begin"/>
                </w:r>
                <w:r>
                  <w:rPr>
                    <w:noProof/>
                    <w:webHidden/>
                  </w:rPr>
                  <w:instrText xml:space="preserve"> PAGEREF _Toc159952427 \h </w:instrText>
                </w:r>
                <w:r>
                  <w:rPr>
                    <w:noProof/>
                    <w:webHidden/>
                  </w:rPr>
                </w:r>
                <w:r>
                  <w:rPr>
                    <w:noProof/>
                    <w:webHidden/>
                  </w:rPr>
                  <w:fldChar w:fldCharType="separate"/>
                </w:r>
                <w:r w:rsidR="00987C8A">
                  <w:rPr>
                    <w:noProof/>
                    <w:webHidden/>
                  </w:rPr>
                  <w:t>142</w:t>
                </w:r>
                <w:r>
                  <w:rPr>
                    <w:noProof/>
                    <w:webHidden/>
                  </w:rPr>
                  <w:fldChar w:fldCharType="end"/>
                </w:r>
              </w:hyperlink>
            </w:p>
            <w:p w14:paraId="7B79E6B5" w14:textId="550FA042" w:rsidR="006E283A" w:rsidRDefault="006E283A">
              <w:pPr>
                <w:pStyle w:val="TDC2"/>
                <w:tabs>
                  <w:tab w:val="right" w:leader="dot" w:pos="8969"/>
                </w:tabs>
                <w:rPr>
                  <w:rFonts w:cstheme="minorBidi"/>
                  <w:noProof/>
                  <w:kern w:val="2"/>
                  <w14:ligatures w14:val="standardContextual"/>
                </w:rPr>
              </w:pPr>
              <w:hyperlink w:anchor="_Toc159952428" w:history="1">
                <w:r w:rsidRPr="00D66931">
                  <w:rPr>
                    <w:rStyle w:val="Hipervnculo"/>
                    <w:noProof/>
                  </w:rPr>
                  <w:t>Composición</w:t>
                </w:r>
                <w:r>
                  <w:rPr>
                    <w:noProof/>
                    <w:webHidden/>
                  </w:rPr>
                  <w:tab/>
                </w:r>
                <w:r>
                  <w:rPr>
                    <w:noProof/>
                    <w:webHidden/>
                  </w:rPr>
                  <w:fldChar w:fldCharType="begin"/>
                </w:r>
                <w:r>
                  <w:rPr>
                    <w:noProof/>
                    <w:webHidden/>
                  </w:rPr>
                  <w:instrText xml:space="preserve"> PAGEREF _Toc159952428 \h </w:instrText>
                </w:r>
                <w:r>
                  <w:rPr>
                    <w:noProof/>
                    <w:webHidden/>
                  </w:rPr>
                </w:r>
                <w:r>
                  <w:rPr>
                    <w:noProof/>
                    <w:webHidden/>
                  </w:rPr>
                  <w:fldChar w:fldCharType="separate"/>
                </w:r>
                <w:r w:rsidR="00987C8A">
                  <w:rPr>
                    <w:noProof/>
                    <w:webHidden/>
                  </w:rPr>
                  <w:t>142</w:t>
                </w:r>
                <w:r>
                  <w:rPr>
                    <w:noProof/>
                    <w:webHidden/>
                  </w:rPr>
                  <w:fldChar w:fldCharType="end"/>
                </w:r>
              </w:hyperlink>
            </w:p>
            <w:p w14:paraId="0E94A45E" w14:textId="07FAC8E8" w:rsidR="006E283A" w:rsidRDefault="006E283A">
              <w:pPr>
                <w:pStyle w:val="TDC2"/>
                <w:tabs>
                  <w:tab w:val="right" w:leader="dot" w:pos="8969"/>
                </w:tabs>
                <w:rPr>
                  <w:rFonts w:cstheme="minorBidi"/>
                  <w:noProof/>
                  <w:kern w:val="2"/>
                  <w14:ligatures w14:val="standardContextual"/>
                </w:rPr>
              </w:pPr>
              <w:hyperlink w:anchor="_Toc159952429" w:history="1">
                <w:r w:rsidRPr="00D66931">
                  <w:rPr>
                    <w:rStyle w:val="Hipervnculo"/>
                    <w:noProof/>
                  </w:rPr>
                  <w:t>27.1 Capital fiscal</w:t>
                </w:r>
                <w:r>
                  <w:rPr>
                    <w:noProof/>
                    <w:webHidden/>
                  </w:rPr>
                  <w:tab/>
                </w:r>
                <w:r>
                  <w:rPr>
                    <w:noProof/>
                    <w:webHidden/>
                  </w:rPr>
                  <w:fldChar w:fldCharType="begin"/>
                </w:r>
                <w:r>
                  <w:rPr>
                    <w:noProof/>
                    <w:webHidden/>
                  </w:rPr>
                  <w:instrText xml:space="preserve"> PAGEREF _Toc159952429 \h </w:instrText>
                </w:r>
                <w:r>
                  <w:rPr>
                    <w:noProof/>
                    <w:webHidden/>
                  </w:rPr>
                </w:r>
                <w:r>
                  <w:rPr>
                    <w:noProof/>
                    <w:webHidden/>
                  </w:rPr>
                  <w:fldChar w:fldCharType="separate"/>
                </w:r>
                <w:r w:rsidR="00987C8A">
                  <w:rPr>
                    <w:noProof/>
                    <w:webHidden/>
                  </w:rPr>
                  <w:t>143</w:t>
                </w:r>
                <w:r>
                  <w:rPr>
                    <w:noProof/>
                    <w:webHidden/>
                  </w:rPr>
                  <w:fldChar w:fldCharType="end"/>
                </w:r>
              </w:hyperlink>
            </w:p>
            <w:p w14:paraId="7772724D" w14:textId="2A9550A6" w:rsidR="006E283A" w:rsidRDefault="006E283A">
              <w:pPr>
                <w:pStyle w:val="TDC2"/>
                <w:tabs>
                  <w:tab w:val="right" w:leader="dot" w:pos="8969"/>
                </w:tabs>
                <w:rPr>
                  <w:rFonts w:cstheme="minorBidi"/>
                  <w:noProof/>
                  <w:kern w:val="2"/>
                  <w14:ligatures w14:val="standardContextual"/>
                </w:rPr>
              </w:pPr>
              <w:hyperlink w:anchor="_Toc159952430" w:history="1">
                <w:r w:rsidRPr="00D66931">
                  <w:rPr>
                    <w:rStyle w:val="Hipervnculo"/>
                    <w:noProof/>
                  </w:rPr>
                  <w:t>27.2 Resultado de ejercicios anteriores</w:t>
                </w:r>
                <w:r>
                  <w:rPr>
                    <w:noProof/>
                    <w:webHidden/>
                  </w:rPr>
                  <w:tab/>
                </w:r>
                <w:r>
                  <w:rPr>
                    <w:noProof/>
                    <w:webHidden/>
                  </w:rPr>
                  <w:fldChar w:fldCharType="begin"/>
                </w:r>
                <w:r>
                  <w:rPr>
                    <w:noProof/>
                    <w:webHidden/>
                  </w:rPr>
                  <w:instrText xml:space="preserve"> PAGEREF _Toc159952430 \h </w:instrText>
                </w:r>
                <w:r>
                  <w:rPr>
                    <w:noProof/>
                    <w:webHidden/>
                  </w:rPr>
                </w:r>
                <w:r>
                  <w:rPr>
                    <w:noProof/>
                    <w:webHidden/>
                  </w:rPr>
                  <w:fldChar w:fldCharType="separate"/>
                </w:r>
                <w:r w:rsidR="00987C8A">
                  <w:rPr>
                    <w:noProof/>
                    <w:webHidden/>
                  </w:rPr>
                  <w:t>143</w:t>
                </w:r>
                <w:r>
                  <w:rPr>
                    <w:noProof/>
                    <w:webHidden/>
                  </w:rPr>
                  <w:fldChar w:fldCharType="end"/>
                </w:r>
              </w:hyperlink>
            </w:p>
            <w:p w14:paraId="7C97F119" w14:textId="68A3EDAB" w:rsidR="006E283A" w:rsidRDefault="006E283A">
              <w:pPr>
                <w:pStyle w:val="TDC2"/>
                <w:tabs>
                  <w:tab w:val="right" w:leader="dot" w:pos="8969"/>
                </w:tabs>
                <w:rPr>
                  <w:rFonts w:cstheme="minorBidi"/>
                  <w:noProof/>
                  <w:kern w:val="2"/>
                  <w14:ligatures w14:val="standardContextual"/>
                </w:rPr>
              </w:pPr>
              <w:hyperlink w:anchor="_Toc159952431" w:history="1">
                <w:r w:rsidRPr="00D66931">
                  <w:rPr>
                    <w:rStyle w:val="Hipervnculo"/>
                    <w:noProof/>
                  </w:rPr>
                  <w:t>27.3 Resultado del ejercicio</w:t>
                </w:r>
                <w:r>
                  <w:rPr>
                    <w:noProof/>
                    <w:webHidden/>
                  </w:rPr>
                  <w:tab/>
                </w:r>
                <w:r>
                  <w:rPr>
                    <w:noProof/>
                    <w:webHidden/>
                  </w:rPr>
                  <w:fldChar w:fldCharType="begin"/>
                </w:r>
                <w:r>
                  <w:rPr>
                    <w:noProof/>
                    <w:webHidden/>
                  </w:rPr>
                  <w:instrText xml:space="preserve"> PAGEREF _Toc159952431 \h </w:instrText>
                </w:r>
                <w:r>
                  <w:rPr>
                    <w:noProof/>
                    <w:webHidden/>
                  </w:rPr>
                </w:r>
                <w:r>
                  <w:rPr>
                    <w:noProof/>
                    <w:webHidden/>
                  </w:rPr>
                  <w:fldChar w:fldCharType="separate"/>
                </w:r>
                <w:r w:rsidR="00987C8A">
                  <w:rPr>
                    <w:noProof/>
                    <w:webHidden/>
                  </w:rPr>
                  <w:t>144</w:t>
                </w:r>
                <w:r>
                  <w:rPr>
                    <w:noProof/>
                    <w:webHidden/>
                  </w:rPr>
                  <w:fldChar w:fldCharType="end"/>
                </w:r>
              </w:hyperlink>
            </w:p>
            <w:p w14:paraId="6C095978" w14:textId="339B4D54" w:rsidR="006E283A" w:rsidRDefault="006E283A">
              <w:pPr>
                <w:pStyle w:val="TDC1"/>
                <w:tabs>
                  <w:tab w:val="right" w:leader="dot" w:pos="8969"/>
                </w:tabs>
                <w:rPr>
                  <w:rFonts w:asciiTheme="minorHAnsi" w:eastAsiaTheme="minorEastAsia" w:hAnsiTheme="minorHAnsi" w:cstheme="minorBidi"/>
                  <w:noProof/>
                  <w:kern w:val="2"/>
                  <w:lang w:eastAsia="es-CO"/>
                  <w14:ligatures w14:val="standardContextual"/>
                </w:rPr>
              </w:pPr>
              <w:hyperlink w:anchor="_Toc159952432" w:history="1">
                <w:r w:rsidRPr="00D66931">
                  <w:rPr>
                    <w:rStyle w:val="Hipervnculo"/>
                    <w:noProof/>
                  </w:rPr>
                  <w:t>NOTA 28. INGRESOS</w:t>
                </w:r>
                <w:r>
                  <w:rPr>
                    <w:noProof/>
                    <w:webHidden/>
                  </w:rPr>
                  <w:tab/>
                </w:r>
                <w:r>
                  <w:rPr>
                    <w:noProof/>
                    <w:webHidden/>
                  </w:rPr>
                  <w:fldChar w:fldCharType="begin"/>
                </w:r>
                <w:r>
                  <w:rPr>
                    <w:noProof/>
                    <w:webHidden/>
                  </w:rPr>
                  <w:instrText xml:space="preserve"> PAGEREF _Toc159952432 \h </w:instrText>
                </w:r>
                <w:r>
                  <w:rPr>
                    <w:noProof/>
                    <w:webHidden/>
                  </w:rPr>
                </w:r>
                <w:r>
                  <w:rPr>
                    <w:noProof/>
                    <w:webHidden/>
                  </w:rPr>
                  <w:fldChar w:fldCharType="separate"/>
                </w:r>
                <w:r w:rsidR="00987C8A">
                  <w:rPr>
                    <w:noProof/>
                    <w:webHidden/>
                  </w:rPr>
                  <w:t>145</w:t>
                </w:r>
                <w:r>
                  <w:rPr>
                    <w:noProof/>
                    <w:webHidden/>
                  </w:rPr>
                  <w:fldChar w:fldCharType="end"/>
                </w:r>
              </w:hyperlink>
            </w:p>
            <w:p w14:paraId="3DBA4781" w14:textId="57E92EF0" w:rsidR="006E283A" w:rsidRDefault="006E283A">
              <w:pPr>
                <w:pStyle w:val="TDC2"/>
                <w:tabs>
                  <w:tab w:val="right" w:leader="dot" w:pos="8969"/>
                </w:tabs>
                <w:rPr>
                  <w:rFonts w:cstheme="minorBidi"/>
                  <w:noProof/>
                  <w:kern w:val="2"/>
                  <w14:ligatures w14:val="standardContextual"/>
                </w:rPr>
              </w:pPr>
              <w:hyperlink w:anchor="_Toc159952433" w:history="1">
                <w:r w:rsidRPr="00D66931">
                  <w:rPr>
                    <w:rStyle w:val="Hipervnculo"/>
                    <w:noProof/>
                  </w:rPr>
                  <w:t>Composición</w:t>
                </w:r>
                <w:r>
                  <w:rPr>
                    <w:noProof/>
                    <w:webHidden/>
                  </w:rPr>
                  <w:tab/>
                </w:r>
                <w:r>
                  <w:rPr>
                    <w:noProof/>
                    <w:webHidden/>
                  </w:rPr>
                  <w:fldChar w:fldCharType="begin"/>
                </w:r>
                <w:r>
                  <w:rPr>
                    <w:noProof/>
                    <w:webHidden/>
                  </w:rPr>
                  <w:instrText xml:space="preserve"> PAGEREF _Toc159952433 \h </w:instrText>
                </w:r>
                <w:r>
                  <w:rPr>
                    <w:noProof/>
                    <w:webHidden/>
                  </w:rPr>
                </w:r>
                <w:r>
                  <w:rPr>
                    <w:noProof/>
                    <w:webHidden/>
                  </w:rPr>
                  <w:fldChar w:fldCharType="separate"/>
                </w:r>
                <w:r w:rsidR="00987C8A">
                  <w:rPr>
                    <w:noProof/>
                    <w:webHidden/>
                  </w:rPr>
                  <w:t>145</w:t>
                </w:r>
                <w:r>
                  <w:rPr>
                    <w:noProof/>
                    <w:webHidden/>
                  </w:rPr>
                  <w:fldChar w:fldCharType="end"/>
                </w:r>
              </w:hyperlink>
            </w:p>
            <w:p w14:paraId="2E5603E5" w14:textId="3D560120" w:rsidR="006E283A" w:rsidRDefault="006E283A">
              <w:pPr>
                <w:pStyle w:val="TDC2"/>
                <w:tabs>
                  <w:tab w:val="left" w:pos="1100"/>
                  <w:tab w:val="right" w:leader="dot" w:pos="8969"/>
                </w:tabs>
                <w:rPr>
                  <w:rFonts w:cstheme="minorBidi"/>
                  <w:noProof/>
                  <w:kern w:val="2"/>
                  <w14:ligatures w14:val="standardContextual"/>
                </w:rPr>
              </w:pPr>
              <w:hyperlink w:anchor="_Toc159952434" w:history="1">
                <w:r w:rsidRPr="00D66931">
                  <w:rPr>
                    <w:rStyle w:val="Hipervnculo"/>
                    <w:noProof/>
                  </w:rPr>
                  <w:t>28.1.</w:t>
                </w:r>
                <w:r>
                  <w:rPr>
                    <w:rFonts w:cstheme="minorBidi"/>
                    <w:noProof/>
                    <w:kern w:val="2"/>
                    <w14:ligatures w14:val="standardContextual"/>
                  </w:rPr>
                  <w:tab/>
                </w:r>
                <w:r w:rsidRPr="00D66931">
                  <w:rPr>
                    <w:rStyle w:val="Hipervnculo"/>
                    <w:noProof/>
                  </w:rPr>
                  <w:t>Ingresos de transacciones sin contraprestación</w:t>
                </w:r>
                <w:r>
                  <w:rPr>
                    <w:noProof/>
                    <w:webHidden/>
                  </w:rPr>
                  <w:tab/>
                </w:r>
                <w:r>
                  <w:rPr>
                    <w:noProof/>
                    <w:webHidden/>
                  </w:rPr>
                  <w:fldChar w:fldCharType="begin"/>
                </w:r>
                <w:r>
                  <w:rPr>
                    <w:noProof/>
                    <w:webHidden/>
                  </w:rPr>
                  <w:instrText xml:space="preserve"> PAGEREF _Toc159952434 \h </w:instrText>
                </w:r>
                <w:r>
                  <w:rPr>
                    <w:noProof/>
                    <w:webHidden/>
                  </w:rPr>
                </w:r>
                <w:r>
                  <w:rPr>
                    <w:noProof/>
                    <w:webHidden/>
                  </w:rPr>
                  <w:fldChar w:fldCharType="separate"/>
                </w:r>
                <w:r w:rsidR="00987C8A">
                  <w:rPr>
                    <w:noProof/>
                    <w:webHidden/>
                  </w:rPr>
                  <w:t>145</w:t>
                </w:r>
                <w:r>
                  <w:rPr>
                    <w:noProof/>
                    <w:webHidden/>
                  </w:rPr>
                  <w:fldChar w:fldCharType="end"/>
                </w:r>
              </w:hyperlink>
            </w:p>
            <w:p w14:paraId="34E02E7A" w14:textId="737D7597" w:rsidR="006E283A" w:rsidRDefault="006E283A">
              <w:pPr>
                <w:pStyle w:val="TDC3"/>
                <w:tabs>
                  <w:tab w:val="left" w:pos="1320"/>
                  <w:tab w:val="right" w:leader="dot" w:pos="8969"/>
                </w:tabs>
                <w:rPr>
                  <w:rFonts w:cstheme="minorBidi"/>
                  <w:noProof/>
                  <w:kern w:val="2"/>
                  <w14:ligatures w14:val="standardContextual"/>
                </w:rPr>
              </w:pPr>
              <w:hyperlink w:anchor="_Toc159952435" w:history="1">
                <w:r w:rsidRPr="00D66931">
                  <w:rPr>
                    <w:rStyle w:val="Hipervnculo"/>
                    <w:noProof/>
                  </w:rPr>
                  <w:t>28.1.1.</w:t>
                </w:r>
                <w:r>
                  <w:rPr>
                    <w:rFonts w:cstheme="minorBidi"/>
                    <w:noProof/>
                    <w:kern w:val="2"/>
                    <w14:ligatures w14:val="standardContextual"/>
                  </w:rPr>
                  <w:tab/>
                </w:r>
                <w:r w:rsidRPr="00D66931">
                  <w:rPr>
                    <w:rStyle w:val="Hipervnculo"/>
                    <w:noProof/>
                  </w:rPr>
                  <w:t>Ingresos fiscales - Detallado</w:t>
                </w:r>
                <w:r>
                  <w:rPr>
                    <w:noProof/>
                    <w:webHidden/>
                  </w:rPr>
                  <w:tab/>
                </w:r>
                <w:r>
                  <w:rPr>
                    <w:noProof/>
                    <w:webHidden/>
                  </w:rPr>
                  <w:fldChar w:fldCharType="begin"/>
                </w:r>
                <w:r>
                  <w:rPr>
                    <w:noProof/>
                    <w:webHidden/>
                  </w:rPr>
                  <w:instrText xml:space="preserve"> PAGEREF _Toc159952435 \h </w:instrText>
                </w:r>
                <w:r>
                  <w:rPr>
                    <w:noProof/>
                    <w:webHidden/>
                  </w:rPr>
                </w:r>
                <w:r>
                  <w:rPr>
                    <w:noProof/>
                    <w:webHidden/>
                  </w:rPr>
                  <w:fldChar w:fldCharType="separate"/>
                </w:r>
                <w:r w:rsidR="00987C8A">
                  <w:rPr>
                    <w:noProof/>
                    <w:webHidden/>
                  </w:rPr>
                  <w:t>147</w:t>
                </w:r>
                <w:r>
                  <w:rPr>
                    <w:noProof/>
                    <w:webHidden/>
                  </w:rPr>
                  <w:fldChar w:fldCharType="end"/>
                </w:r>
              </w:hyperlink>
            </w:p>
            <w:p w14:paraId="1763C056" w14:textId="59CB1F8E" w:rsidR="006E283A" w:rsidRDefault="006E283A">
              <w:pPr>
                <w:pStyle w:val="TDC2"/>
                <w:tabs>
                  <w:tab w:val="left" w:pos="1100"/>
                  <w:tab w:val="right" w:leader="dot" w:pos="8969"/>
                </w:tabs>
                <w:rPr>
                  <w:rFonts w:cstheme="minorBidi"/>
                  <w:noProof/>
                  <w:kern w:val="2"/>
                  <w14:ligatures w14:val="standardContextual"/>
                </w:rPr>
              </w:pPr>
              <w:hyperlink w:anchor="_Toc159952436" w:history="1">
                <w:r w:rsidRPr="00D66931">
                  <w:rPr>
                    <w:rStyle w:val="Hipervnculo"/>
                    <w:noProof/>
                  </w:rPr>
                  <w:t>28.2.</w:t>
                </w:r>
                <w:r>
                  <w:rPr>
                    <w:rFonts w:cstheme="minorBidi"/>
                    <w:noProof/>
                    <w:kern w:val="2"/>
                    <w14:ligatures w14:val="standardContextual"/>
                  </w:rPr>
                  <w:tab/>
                </w:r>
                <w:r w:rsidRPr="00D66931">
                  <w:rPr>
                    <w:rStyle w:val="Hipervnculo"/>
                    <w:noProof/>
                  </w:rPr>
                  <w:t>Ingresos de transacciones con contraprestación</w:t>
                </w:r>
                <w:r>
                  <w:rPr>
                    <w:noProof/>
                    <w:webHidden/>
                  </w:rPr>
                  <w:tab/>
                </w:r>
                <w:r>
                  <w:rPr>
                    <w:noProof/>
                    <w:webHidden/>
                  </w:rPr>
                  <w:fldChar w:fldCharType="begin"/>
                </w:r>
                <w:r>
                  <w:rPr>
                    <w:noProof/>
                    <w:webHidden/>
                  </w:rPr>
                  <w:instrText xml:space="preserve"> PAGEREF _Toc159952436 \h </w:instrText>
                </w:r>
                <w:r>
                  <w:rPr>
                    <w:noProof/>
                    <w:webHidden/>
                  </w:rPr>
                </w:r>
                <w:r>
                  <w:rPr>
                    <w:noProof/>
                    <w:webHidden/>
                  </w:rPr>
                  <w:fldChar w:fldCharType="separate"/>
                </w:r>
                <w:r w:rsidR="00987C8A">
                  <w:rPr>
                    <w:noProof/>
                    <w:webHidden/>
                  </w:rPr>
                  <w:t>149</w:t>
                </w:r>
                <w:r>
                  <w:rPr>
                    <w:noProof/>
                    <w:webHidden/>
                  </w:rPr>
                  <w:fldChar w:fldCharType="end"/>
                </w:r>
              </w:hyperlink>
            </w:p>
            <w:p w14:paraId="68D657B1" w14:textId="21AA3A09" w:rsidR="006E283A" w:rsidRDefault="006E283A">
              <w:pPr>
                <w:pStyle w:val="TDC1"/>
                <w:tabs>
                  <w:tab w:val="right" w:leader="dot" w:pos="8969"/>
                </w:tabs>
                <w:rPr>
                  <w:rFonts w:asciiTheme="minorHAnsi" w:eastAsiaTheme="minorEastAsia" w:hAnsiTheme="minorHAnsi" w:cstheme="minorBidi"/>
                  <w:noProof/>
                  <w:kern w:val="2"/>
                  <w:lang w:eastAsia="es-CO"/>
                  <w14:ligatures w14:val="standardContextual"/>
                </w:rPr>
              </w:pPr>
              <w:hyperlink w:anchor="_Toc159952437" w:history="1">
                <w:r w:rsidRPr="00D66931">
                  <w:rPr>
                    <w:rStyle w:val="Hipervnculo"/>
                    <w:noProof/>
                  </w:rPr>
                  <w:t>NOTA 29. GASTOS</w:t>
                </w:r>
                <w:r>
                  <w:rPr>
                    <w:noProof/>
                    <w:webHidden/>
                  </w:rPr>
                  <w:tab/>
                </w:r>
                <w:r>
                  <w:rPr>
                    <w:noProof/>
                    <w:webHidden/>
                  </w:rPr>
                  <w:fldChar w:fldCharType="begin"/>
                </w:r>
                <w:r>
                  <w:rPr>
                    <w:noProof/>
                    <w:webHidden/>
                  </w:rPr>
                  <w:instrText xml:space="preserve"> PAGEREF _Toc159952437 \h </w:instrText>
                </w:r>
                <w:r>
                  <w:rPr>
                    <w:noProof/>
                    <w:webHidden/>
                  </w:rPr>
                </w:r>
                <w:r>
                  <w:rPr>
                    <w:noProof/>
                    <w:webHidden/>
                  </w:rPr>
                  <w:fldChar w:fldCharType="separate"/>
                </w:r>
                <w:r w:rsidR="00987C8A">
                  <w:rPr>
                    <w:noProof/>
                    <w:webHidden/>
                  </w:rPr>
                  <w:t>156</w:t>
                </w:r>
                <w:r>
                  <w:rPr>
                    <w:noProof/>
                    <w:webHidden/>
                  </w:rPr>
                  <w:fldChar w:fldCharType="end"/>
                </w:r>
              </w:hyperlink>
            </w:p>
            <w:p w14:paraId="01EF00D7" w14:textId="68B5DDD6" w:rsidR="006E283A" w:rsidRDefault="006E283A">
              <w:pPr>
                <w:pStyle w:val="TDC2"/>
                <w:tabs>
                  <w:tab w:val="right" w:leader="dot" w:pos="8969"/>
                </w:tabs>
                <w:rPr>
                  <w:rFonts w:cstheme="minorBidi"/>
                  <w:noProof/>
                  <w:kern w:val="2"/>
                  <w14:ligatures w14:val="standardContextual"/>
                </w:rPr>
              </w:pPr>
              <w:hyperlink w:anchor="_Toc159952438" w:history="1">
                <w:r w:rsidRPr="00D66931">
                  <w:rPr>
                    <w:rStyle w:val="Hipervnculo"/>
                    <w:noProof/>
                  </w:rPr>
                  <w:t>Composición</w:t>
                </w:r>
                <w:r>
                  <w:rPr>
                    <w:noProof/>
                    <w:webHidden/>
                  </w:rPr>
                  <w:tab/>
                </w:r>
                <w:r>
                  <w:rPr>
                    <w:noProof/>
                    <w:webHidden/>
                  </w:rPr>
                  <w:fldChar w:fldCharType="begin"/>
                </w:r>
                <w:r>
                  <w:rPr>
                    <w:noProof/>
                    <w:webHidden/>
                  </w:rPr>
                  <w:instrText xml:space="preserve"> PAGEREF _Toc159952438 \h </w:instrText>
                </w:r>
                <w:r>
                  <w:rPr>
                    <w:noProof/>
                    <w:webHidden/>
                  </w:rPr>
                </w:r>
                <w:r>
                  <w:rPr>
                    <w:noProof/>
                    <w:webHidden/>
                  </w:rPr>
                  <w:fldChar w:fldCharType="separate"/>
                </w:r>
                <w:r w:rsidR="00987C8A">
                  <w:rPr>
                    <w:noProof/>
                    <w:webHidden/>
                  </w:rPr>
                  <w:t>156</w:t>
                </w:r>
                <w:r>
                  <w:rPr>
                    <w:noProof/>
                    <w:webHidden/>
                  </w:rPr>
                  <w:fldChar w:fldCharType="end"/>
                </w:r>
              </w:hyperlink>
            </w:p>
            <w:p w14:paraId="48FFDBEC" w14:textId="094624E0" w:rsidR="006E283A" w:rsidRDefault="006E283A">
              <w:pPr>
                <w:pStyle w:val="TDC2"/>
                <w:tabs>
                  <w:tab w:val="right" w:leader="dot" w:pos="8969"/>
                </w:tabs>
                <w:rPr>
                  <w:rFonts w:cstheme="minorBidi"/>
                  <w:noProof/>
                  <w:kern w:val="2"/>
                  <w14:ligatures w14:val="standardContextual"/>
                </w:rPr>
              </w:pPr>
              <w:hyperlink w:anchor="_Toc159952439" w:history="1">
                <w:r w:rsidRPr="00D66931">
                  <w:rPr>
                    <w:rStyle w:val="Hipervnculo"/>
                    <w:rFonts w:eastAsia="Times New Roman"/>
                    <w:bCs/>
                    <w:noProof/>
                  </w:rPr>
                  <w:t>29.1.</w:t>
                </w:r>
                <w:r w:rsidRPr="00D66931">
                  <w:rPr>
                    <w:rStyle w:val="Hipervnculo"/>
                    <w:rFonts w:eastAsia="Times New Roman"/>
                    <w:noProof/>
                  </w:rPr>
                  <w:t xml:space="preserve">   </w:t>
                </w:r>
                <w:r w:rsidRPr="00D66931">
                  <w:rPr>
                    <w:rStyle w:val="Hipervnculo"/>
                    <w:rFonts w:eastAsia="Times New Roman"/>
                    <w:bCs/>
                    <w:noProof/>
                  </w:rPr>
                  <w:t>Gastos de administración, de operación y de ventas</w:t>
                </w:r>
                <w:r>
                  <w:rPr>
                    <w:noProof/>
                    <w:webHidden/>
                  </w:rPr>
                  <w:tab/>
                </w:r>
                <w:r>
                  <w:rPr>
                    <w:noProof/>
                    <w:webHidden/>
                  </w:rPr>
                  <w:fldChar w:fldCharType="begin"/>
                </w:r>
                <w:r>
                  <w:rPr>
                    <w:noProof/>
                    <w:webHidden/>
                  </w:rPr>
                  <w:instrText xml:space="preserve"> PAGEREF _Toc159952439 \h </w:instrText>
                </w:r>
                <w:r>
                  <w:rPr>
                    <w:noProof/>
                    <w:webHidden/>
                  </w:rPr>
                </w:r>
                <w:r>
                  <w:rPr>
                    <w:noProof/>
                    <w:webHidden/>
                  </w:rPr>
                  <w:fldChar w:fldCharType="separate"/>
                </w:r>
                <w:r w:rsidR="00987C8A">
                  <w:rPr>
                    <w:noProof/>
                    <w:webHidden/>
                  </w:rPr>
                  <w:t>157</w:t>
                </w:r>
                <w:r>
                  <w:rPr>
                    <w:noProof/>
                    <w:webHidden/>
                  </w:rPr>
                  <w:fldChar w:fldCharType="end"/>
                </w:r>
              </w:hyperlink>
            </w:p>
            <w:p w14:paraId="1AA4BFD6" w14:textId="4430A696" w:rsidR="006E283A" w:rsidRDefault="006E283A">
              <w:pPr>
                <w:pStyle w:val="TDC2"/>
                <w:tabs>
                  <w:tab w:val="right" w:leader="dot" w:pos="8969"/>
                </w:tabs>
                <w:rPr>
                  <w:rFonts w:cstheme="minorBidi"/>
                  <w:noProof/>
                  <w:kern w:val="2"/>
                  <w14:ligatures w14:val="standardContextual"/>
                </w:rPr>
              </w:pPr>
              <w:hyperlink w:anchor="_Toc159952440" w:history="1">
                <w:r w:rsidRPr="00D66931">
                  <w:rPr>
                    <w:rStyle w:val="Hipervnculo"/>
                    <w:rFonts w:eastAsia="Times New Roman"/>
                    <w:bCs/>
                    <w:noProof/>
                  </w:rPr>
                  <w:t>29.2.</w:t>
                </w:r>
                <w:r w:rsidRPr="00D66931">
                  <w:rPr>
                    <w:rStyle w:val="Hipervnculo"/>
                    <w:rFonts w:eastAsia="Times New Roman"/>
                    <w:noProof/>
                  </w:rPr>
                  <w:t xml:space="preserve">   </w:t>
                </w:r>
                <w:r w:rsidRPr="00D66931">
                  <w:rPr>
                    <w:rStyle w:val="Hipervnculo"/>
                    <w:rFonts w:eastAsia="Times New Roman"/>
                    <w:bCs/>
                    <w:noProof/>
                  </w:rPr>
                  <w:t>Deterioro, depreciaciones, amortizaciones y provisiones</w:t>
                </w:r>
                <w:r>
                  <w:rPr>
                    <w:noProof/>
                    <w:webHidden/>
                  </w:rPr>
                  <w:tab/>
                </w:r>
                <w:r>
                  <w:rPr>
                    <w:noProof/>
                    <w:webHidden/>
                  </w:rPr>
                  <w:fldChar w:fldCharType="begin"/>
                </w:r>
                <w:r>
                  <w:rPr>
                    <w:noProof/>
                    <w:webHidden/>
                  </w:rPr>
                  <w:instrText xml:space="preserve"> PAGEREF _Toc159952440 \h </w:instrText>
                </w:r>
                <w:r>
                  <w:rPr>
                    <w:noProof/>
                    <w:webHidden/>
                  </w:rPr>
                </w:r>
                <w:r>
                  <w:rPr>
                    <w:noProof/>
                    <w:webHidden/>
                  </w:rPr>
                  <w:fldChar w:fldCharType="separate"/>
                </w:r>
                <w:r w:rsidR="00987C8A">
                  <w:rPr>
                    <w:noProof/>
                    <w:webHidden/>
                  </w:rPr>
                  <w:t>161</w:t>
                </w:r>
                <w:r>
                  <w:rPr>
                    <w:noProof/>
                    <w:webHidden/>
                  </w:rPr>
                  <w:fldChar w:fldCharType="end"/>
                </w:r>
              </w:hyperlink>
            </w:p>
            <w:p w14:paraId="3D6029B8" w14:textId="02755C15" w:rsidR="006E283A" w:rsidRDefault="006E283A">
              <w:pPr>
                <w:pStyle w:val="TDC2"/>
                <w:tabs>
                  <w:tab w:val="right" w:leader="dot" w:pos="8969"/>
                </w:tabs>
                <w:rPr>
                  <w:rFonts w:cstheme="minorBidi"/>
                  <w:noProof/>
                  <w:kern w:val="2"/>
                  <w14:ligatures w14:val="standardContextual"/>
                </w:rPr>
              </w:pPr>
              <w:hyperlink w:anchor="_Toc159952441" w:history="1">
                <w:r w:rsidRPr="00D66931">
                  <w:rPr>
                    <w:rStyle w:val="Hipervnculo"/>
                    <w:rFonts w:eastAsia="Times New Roman"/>
                    <w:bCs/>
                    <w:noProof/>
                  </w:rPr>
                  <w:t>29.2.1</w:t>
                </w:r>
                <w:r w:rsidRPr="00D66931">
                  <w:rPr>
                    <w:rStyle w:val="Hipervnculo"/>
                    <w:rFonts w:eastAsia="Times New Roman"/>
                    <w:noProof/>
                  </w:rPr>
                  <w:t xml:space="preserve">    </w:t>
                </w:r>
                <w:r w:rsidRPr="00D66931">
                  <w:rPr>
                    <w:rStyle w:val="Hipervnculo"/>
                    <w:rFonts w:eastAsia="Times New Roman"/>
                    <w:bCs/>
                    <w:noProof/>
                  </w:rPr>
                  <w:t>Deterioro, Activos financieros y no financieros</w:t>
                </w:r>
                <w:r>
                  <w:rPr>
                    <w:noProof/>
                    <w:webHidden/>
                  </w:rPr>
                  <w:tab/>
                </w:r>
                <w:r>
                  <w:rPr>
                    <w:noProof/>
                    <w:webHidden/>
                  </w:rPr>
                  <w:fldChar w:fldCharType="begin"/>
                </w:r>
                <w:r>
                  <w:rPr>
                    <w:noProof/>
                    <w:webHidden/>
                  </w:rPr>
                  <w:instrText xml:space="preserve"> PAGEREF _Toc159952441 \h </w:instrText>
                </w:r>
                <w:r>
                  <w:rPr>
                    <w:noProof/>
                    <w:webHidden/>
                  </w:rPr>
                </w:r>
                <w:r>
                  <w:rPr>
                    <w:noProof/>
                    <w:webHidden/>
                  </w:rPr>
                  <w:fldChar w:fldCharType="separate"/>
                </w:r>
                <w:r w:rsidR="00987C8A">
                  <w:rPr>
                    <w:noProof/>
                    <w:webHidden/>
                  </w:rPr>
                  <w:t>162</w:t>
                </w:r>
                <w:r>
                  <w:rPr>
                    <w:noProof/>
                    <w:webHidden/>
                  </w:rPr>
                  <w:fldChar w:fldCharType="end"/>
                </w:r>
              </w:hyperlink>
            </w:p>
            <w:p w14:paraId="2D2D3B6E" w14:textId="024D80A6" w:rsidR="006E283A" w:rsidRDefault="006E283A">
              <w:pPr>
                <w:pStyle w:val="TDC2"/>
                <w:tabs>
                  <w:tab w:val="right" w:leader="dot" w:pos="8969"/>
                </w:tabs>
                <w:rPr>
                  <w:rFonts w:cstheme="minorBidi"/>
                  <w:noProof/>
                  <w:kern w:val="2"/>
                  <w14:ligatures w14:val="standardContextual"/>
                </w:rPr>
              </w:pPr>
              <w:hyperlink w:anchor="_Toc159952442" w:history="1">
                <w:r w:rsidRPr="00D66931">
                  <w:rPr>
                    <w:rStyle w:val="Hipervnculo"/>
                    <w:rFonts w:eastAsia="Times New Roman"/>
                    <w:bCs/>
                    <w:noProof/>
                  </w:rPr>
                  <w:t>29.3.</w:t>
                </w:r>
                <w:r w:rsidRPr="00D66931">
                  <w:rPr>
                    <w:rStyle w:val="Hipervnculo"/>
                    <w:rFonts w:eastAsia="Times New Roman"/>
                    <w:noProof/>
                  </w:rPr>
                  <w:t xml:space="preserve">   </w:t>
                </w:r>
                <w:r w:rsidRPr="00D66931">
                  <w:rPr>
                    <w:rStyle w:val="Hipervnculo"/>
                    <w:rFonts w:eastAsia="Times New Roman"/>
                    <w:bCs/>
                    <w:noProof/>
                  </w:rPr>
                  <w:t>Transferencias y subvenciones</w:t>
                </w:r>
                <w:r>
                  <w:rPr>
                    <w:noProof/>
                    <w:webHidden/>
                  </w:rPr>
                  <w:tab/>
                </w:r>
                <w:r>
                  <w:rPr>
                    <w:noProof/>
                    <w:webHidden/>
                  </w:rPr>
                  <w:fldChar w:fldCharType="begin"/>
                </w:r>
                <w:r>
                  <w:rPr>
                    <w:noProof/>
                    <w:webHidden/>
                  </w:rPr>
                  <w:instrText xml:space="preserve"> PAGEREF _Toc159952442 \h </w:instrText>
                </w:r>
                <w:r>
                  <w:rPr>
                    <w:noProof/>
                    <w:webHidden/>
                  </w:rPr>
                </w:r>
                <w:r>
                  <w:rPr>
                    <w:noProof/>
                    <w:webHidden/>
                  </w:rPr>
                  <w:fldChar w:fldCharType="separate"/>
                </w:r>
                <w:r w:rsidR="00987C8A">
                  <w:rPr>
                    <w:noProof/>
                    <w:webHidden/>
                  </w:rPr>
                  <w:t>163</w:t>
                </w:r>
                <w:r>
                  <w:rPr>
                    <w:noProof/>
                    <w:webHidden/>
                  </w:rPr>
                  <w:fldChar w:fldCharType="end"/>
                </w:r>
              </w:hyperlink>
            </w:p>
            <w:p w14:paraId="3B4DBEA8" w14:textId="1286AB20" w:rsidR="006E283A" w:rsidRDefault="006E283A">
              <w:pPr>
                <w:pStyle w:val="TDC2"/>
                <w:tabs>
                  <w:tab w:val="right" w:leader="dot" w:pos="8969"/>
                </w:tabs>
                <w:rPr>
                  <w:rFonts w:cstheme="minorBidi"/>
                  <w:noProof/>
                  <w:kern w:val="2"/>
                  <w14:ligatures w14:val="standardContextual"/>
                </w:rPr>
              </w:pPr>
              <w:hyperlink w:anchor="_Toc159952443" w:history="1">
                <w:r w:rsidRPr="00D66931">
                  <w:rPr>
                    <w:rStyle w:val="Hipervnculo"/>
                    <w:rFonts w:eastAsia="Times New Roman"/>
                    <w:bCs/>
                    <w:noProof/>
                  </w:rPr>
                  <w:t>29.4.</w:t>
                </w:r>
                <w:r w:rsidRPr="00D66931">
                  <w:rPr>
                    <w:rStyle w:val="Hipervnculo"/>
                    <w:rFonts w:eastAsia="Times New Roman"/>
                    <w:noProof/>
                  </w:rPr>
                  <w:t xml:space="preserve">    </w:t>
                </w:r>
                <w:r w:rsidRPr="00D66931">
                  <w:rPr>
                    <w:rStyle w:val="Hipervnculo"/>
                    <w:rFonts w:eastAsia="Times New Roman"/>
                    <w:bCs/>
                    <w:noProof/>
                  </w:rPr>
                  <w:t>Operaciones interinstitucionales</w:t>
                </w:r>
                <w:r>
                  <w:rPr>
                    <w:noProof/>
                    <w:webHidden/>
                  </w:rPr>
                  <w:tab/>
                </w:r>
                <w:r>
                  <w:rPr>
                    <w:noProof/>
                    <w:webHidden/>
                  </w:rPr>
                  <w:fldChar w:fldCharType="begin"/>
                </w:r>
                <w:r>
                  <w:rPr>
                    <w:noProof/>
                    <w:webHidden/>
                  </w:rPr>
                  <w:instrText xml:space="preserve"> PAGEREF _Toc159952443 \h </w:instrText>
                </w:r>
                <w:r>
                  <w:rPr>
                    <w:noProof/>
                    <w:webHidden/>
                  </w:rPr>
                </w:r>
                <w:r>
                  <w:rPr>
                    <w:noProof/>
                    <w:webHidden/>
                  </w:rPr>
                  <w:fldChar w:fldCharType="separate"/>
                </w:r>
                <w:r w:rsidR="00987C8A">
                  <w:rPr>
                    <w:noProof/>
                    <w:webHidden/>
                  </w:rPr>
                  <w:t>164</w:t>
                </w:r>
                <w:r>
                  <w:rPr>
                    <w:noProof/>
                    <w:webHidden/>
                  </w:rPr>
                  <w:fldChar w:fldCharType="end"/>
                </w:r>
              </w:hyperlink>
            </w:p>
            <w:p w14:paraId="309808C0" w14:textId="18BF4069" w:rsidR="006E283A" w:rsidRDefault="006E283A">
              <w:pPr>
                <w:pStyle w:val="TDC2"/>
                <w:tabs>
                  <w:tab w:val="right" w:leader="dot" w:pos="8969"/>
                </w:tabs>
                <w:rPr>
                  <w:rFonts w:cstheme="minorBidi"/>
                  <w:noProof/>
                  <w:kern w:val="2"/>
                  <w14:ligatures w14:val="standardContextual"/>
                </w:rPr>
              </w:pPr>
              <w:hyperlink w:anchor="_Toc159952444" w:history="1">
                <w:r w:rsidRPr="00D66931">
                  <w:rPr>
                    <w:rStyle w:val="Hipervnculo"/>
                    <w:rFonts w:eastAsia="Times New Roman"/>
                    <w:bCs/>
                    <w:noProof/>
                  </w:rPr>
                  <w:t>29.5.</w:t>
                </w:r>
                <w:r w:rsidRPr="00D66931">
                  <w:rPr>
                    <w:rStyle w:val="Hipervnculo"/>
                    <w:rFonts w:eastAsia="Times New Roman"/>
                    <w:noProof/>
                  </w:rPr>
                  <w:t xml:space="preserve">   </w:t>
                </w:r>
                <w:r w:rsidRPr="00D66931">
                  <w:rPr>
                    <w:rStyle w:val="Hipervnculo"/>
                    <w:rFonts w:eastAsia="Times New Roman"/>
                    <w:bCs/>
                    <w:noProof/>
                  </w:rPr>
                  <w:t>Otros gastos</w:t>
                </w:r>
                <w:r>
                  <w:rPr>
                    <w:noProof/>
                    <w:webHidden/>
                  </w:rPr>
                  <w:tab/>
                </w:r>
                <w:r>
                  <w:rPr>
                    <w:noProof/>
                    <w:webHidden/>
                  </w:rPr>
                  <w:fldChar w:fldCharType="begin"/>
                </w:r>
                <w:r>
                  <w:rPr>
                    <w:noProof/>
                    <w:webHidden/>
                  </w:rPr>
                  <w:instrText xml:space="preserve"> PAGEREF _Toc159952444 \h </w:instrText>
                </w:r>
                <w:r>
                  <w:rPr>
                    <w:noProof/>
                    <w:webHidden/>
                  </w:rPr>
                </w:r>
                <w:r>
                  <w:rPr>
                    <w:noProof/>
                    <w:webHidden/>
                  </w:rPr>
                  <w:fldChar w:fldCharType="separate"/>
                </w:r>
                <w:r w:rsidR="00987C8A">
                  <w:rPr>
                    <w:noProof/>
                    <w:webHidden/>
                  </w:rPr>
                  <w:t>164</w:t>
                </w:r>
                <w:r>
                  <w:rPr>
                    <w:noProof/>
                    <w:webHidden/>
                  </w:rPr>
                  <w:fldChar w:fldCharType="end"/>
                </w:r>
              </w:hyperlink>
            </w:p>
            <w:p w14:paraId="53947FCC" w14:textId="0E2B2F20" w:rsidR="006E283A" w:rsidRDefault="006E283A">
              <w:pPr>
                <w:pStyle w:val="TDC2"/>
                <w:tabs>
                  <w:tab w:val="right" w:leader="dot" w:pos="8969"/>
                </w:tabs>
                <w:rPr>
                  <w:rFonts w:cstheme="minorBidi"/>
                  <w:noProof/>
                  <w:kern w:val="2"/>
                  <w14:ligatures w14:val="standardContextual"/>
                </w:rPr>
              </w:pPr>
              <w:hyperlink w:anchor="_Toc159952445" w:history="1">
                <w:r w:rsidRPr="00D66931">
                  <w:rPr>
                    <w:rStyle w:val="Hipervnculo"/>
                    <w:noProof/>
                  </w:rPr>
                  <w:t>Composición</w:t>
                </w:r>
                <w:r>
                  <w:rPr>
                    <w:noProof/>
                    <w:webHidden/>
                  </w:rPr>
                  <w:tab/>
                </w:r>
                <w:r>
                  <w:rPr>
                    <w:noProof/>
                    <w:webHidden/>
                  </w:rPr>
                  <w:fldChar w:fldCharType="begin"/>
                </w:r>
                <w:r>
                  <w:rPr>
                    <w:noProof/>
                    <w:webHidden/>
                  </w:rPr>
                  <w:instrText xml:space="preserve"> PAGEREF _Toc159952445 \h </w:instrText>
                </w:r>
                <w:r>
                  <w:rPr>
                    <w:noProof/>
                    <w:webHidden/>
                  </w:rPr>
                </w:r>
                <w:r>
                  <w:rPr>
                    <w:noProof/>
                    <w:webHidden/>
                  </w:rPr>
                  <w:fldChar w:fldCharType="separate"/>
                </w:r>
                <w:r w:rsidR="00987C8A">
                  <w:rPr>
                    <w:noProof/>
                    <w:webHidden/>
                  </w:rPr>
                  <w:t>167</w:t>
                </w:r>
                <w:r>
                  <w:rPr>
                    <w:noProof/>
                    <w:webHidden/>
                  </w:rPr>
                  <w:fldChar w:fldCharType="end"/>
                </w:r>
              </w:hyperlink>
            </w:p>
            <w:p w14:paraId="02F78AFB" w14:textId="1D5C300C" w:rsidR="006E283A" w:rsidRDefault="006E283A">
              <w:pPr>
                <w:pStyle w:val="TDC2"/>
                <w:tabs>
                  <w:tab w:val="left" w:pos="1100"/>
                  <w:tab w:val="right" w:leader="dot" w:pos="8969"/>
                </w:tabs>
                <w:rPr>
                  <w:rFonts w:cstheme="minorBidi"/>
                  <w:noProof/>
                  <w:kern w:val="2"/>
                  <w14:ligatures w14:val="standardContextual"/>
                </w:rPr>
              </w:pPr>
              <w:hyperlink w:anchor="_Toc159952446" w:history="1">
                <w:r w:rsidRPr="00D66931">
                  <w:rPr>
                    <w:rStyle w:val="Hipervnculo"/>
                    <w:noProof/>
                  </w:rPr>
                  <w:t>32.1.</w:t>
                </w:r>
                <w:r>
                  <w:rPr>
                    <w:rFonts w:cstheme="minorBidi"/>
                    <w:noProof/>
                    <w:kern w:val="2"/>
                    <w14:ligatures w14:val="standardContextual"/>
                  </w:rPr>
                  <w:tab/>
                </w:r>
                <w:r w:rsidRPr="00D66931">
                  <w:rPr>
                    <w:rStyle w:val="Hipervnculo"/>
                    <w:noProof/>
                  </w:rPr>
                  <w:t>Detalle de los acuerdos de concesión</w:t>
                </w:r>
                <w:r>
                  <w:rPr>
                    <w:noProof/>
                    <w:webHidden/>
                  </w:rPr>
                  <w:tab/>
                </w:r>
                <w:r>
                  <w:rPr>
                    <w:noProof/>
                    <w:webHidden/>
                  </w:rPr>
                  <w:fldChar w:fldCharType="begin"/>
                </w:r>
                <w:r>
                  <w:rPr>
                    <w:noProof/>
                    <w:webHidden/>
                  </w:rPr>
                  <w:instrText xml:space="preserve"> PAGEREF _Toc159952446 \h </w:instrText>
                </w:r>
                <w:r>
                  <w:rPr>
                    <w:noProof/>
                    <w:webHidden/>
                  </w:rPr>
                </w:r>
                <w:r>
                  <w:rPr>
                    <w:noProof/>
                    <w:webHidden/>
                  </w:rPr>
                  <w:fldChar w:fldCharType="separate"/>
                </w:r>
                <w:r w:rsidR="00987C8A">
                  <w:rPr>
                    <w:noProof/>
                    <w:webHidden/>
                  </w:rPr>
                  <w:t>168</w:t>
                </w:r>
                <w:r>
                  <w:rPr>
                    <w:noProof/>
                    <w:webHidden/>
                  </w:rPr>
                  <w:fldChar w:fldCharType="end"/>
                </w:r>
              </w:hyperlink>
            </w:p>
            <w:p w14:paraId="6D9B78CD" w14:textId="07C2C0E0" w:rsidR="006E283A" w:rsidRDefault="006E283A">
              <w:pPr>
                <w:pStyle w:val="TDC2"/>
                <w:tabs>
                  <w:tab w:val="right" w:leader="dot" w:pos="8969"/>
                </w:tabs>
                <w:rPr>
                  <w:rFonts w:cstheme="minorBidi"/>
                  <w:noProof/>
                  <w:kern w:val="2"/>
                  <w14:ligatures w14:val="standardContextual"/>
                </w:rPr>
              </w:pPr>
              <w:hyperlink w:anchor="_Toc159952447" w:history="1">
                <w:r w:rsidRPr="00D66931">
                  <w:rPr>
                    <w:rStyle w:val="Hipervnculo"/>
                    <w:noProof/>
                  </w:rPr>
                  <w:t>Composición</w:t>
                </w:r>
                <w:r>
                  <w:rPr>
                    <w:noProof/>
                    <w:webHidden/>
                  </w:rPr>
                  <w:tab/>
                </w:r>
                <w:r>
                  <w:rPr>
                    <w:noProof/>
                    <w:webHidden/>
                  </w:rPr>
                  <w:fldChar w:fldCharType="begin"/>
                </w:r>
                <w:r>
                  <w:rPr>
                    <w:noProof/>
                    <w:webHidden/>
                  </w:rPr>
                  <w:instrText xml:space="preserve"> PAGEREF _Toc159952447 \h </w:instrText>
                </w:r>
                <w:r>
                  <w:rPr>
                    <w:noProof/>
                    <w:webHidden/>
                  </w:rPr>
                </w:r>
                <w:r>
                  <w:rPr>
                    <w:noProof/>
                    <w:webHidden/>
                  </w:rPr>
                  <w:fldChar w:fldCharType="separate"/>
                </w:r>
                <w:r w:rsidR="00987C8A">
                  <w:rPr>
                    <w:noProof/>
                    <w:webHidden/>
                  </w:rPr>
                  <w:t>168</w:t>
                </w:r>
                <w:r>
                  <w:rPr>
                    <w:noProof/>
                    <w:webHidden/>
                  </w:rPr>
                  <w:fldChar w:fldCharType="end"/>
                </w:r>
              </w:hyperlink>
            </w:p>
            <w:p w14:paraId="00764478" w14:textId="7BB3CEB9" w:rsidR="006E283A" w:rsidRDefault="006E283A">
              <w:pPr>
                <w:pStyle w:val="TDC3"/>
                <w:tabs>
                  <w:tab w:val="right" w:leader="dot" w:pos="8969"/>
                </w:tabs>
                <w:rPr>
                  <w:rFonts w:cstheme="minorBidi"/>
                  <w:noProof/>
                  <w:kern w:val="2"/>
                  <w14:ligatures w14:val="standardContextual"/>
                </w:rPr>
              </w:pPr>
              <w:hyperlink w:anchor="_Toc159952448" w:history="1">
                <w:r w:rsidRPr="00D66931">
                  <w:rPr>
                    <w:rStyle w:val="Hipervnculo"/>
                    <w:noProof/>
                  </w:rPr>
                  <w:t>32.1.1 Modo Carretero:</w:t>
                </w:r>
                <w:r>
                  <w:rPr>
                    <w:noProof/>
                    <w:webHidden/>
                  </w:rPr>
                  <w:tab/>
                </w:r>
                <w:r>
                  <w:rPr>
                    <w:noProof/>
                    <w:webHidden/>
                  </w:rPr>
                  <w:fldChar w:fldCharType="begin"/>
                </w:r>
                <w:r>
                  <w:rPr>
                    <w:noProof/>
                    <w:webHidden/>
                  </w:rPr>
                  <w:instrText xml:space="preserve"> PAGEREF _Toc159952448 \h </w:instrText>
                </w:r>
                <w:r>
                  <w:rPr>
                    <w:noProof/>
                    <w:webHidden/>
                  </w:rPr>
                </w:r>
                <w:r>
                  <w:rPr>
                    <w:noProof/>
                    <w:webHidden/>
                  </w:rPr>
                  <w:fldChar w:fldCharType="separate"/>
                </w:r>
                <w:r w:rsidR="00987C8A">
                  <w:rPr>
                    <w:noProof/>
                    <w:webHidden/>
                  </w:rPr>
                  <w:t>168</w:t>
                </w:r>
                <w:r>
                  <w:rPr>
                    <w:noProof/>
                    <w:webHidden/>
                  </w:rPr>
                  <w:fldChar w:fldCharType="end"/>
                </w:r>
              </w:hyperlink>
            </w:p>
            <w:p w14:paraId="542D5AAD" w14:textId="137E5977" w:rsidR="006E283A" w:rsidRDefault="006E283A">
              <w:pPr>
                <w:pStyle w:val="TDC2"/>
                <w:tabs>
                  <w:tab w:val="right" w:leader="dot" w:pos="8969"/>
                </w:tabs>
                <w:rPr>
                  <w:rFonts w:cstheme="minorBidi"/>
                  <w:noProof/>
                  <w:kern w:val="2"/>
                  <w14:ligatures w14:val="standardContextual"/>
                </w:rPr>
              </w:pPr>
              <w:hyperlink w:anchor="_Toc159952449" w:history="1">
                <w:r w:rsidRPr="00D66931">
                  <w:rPr>
                    <w:rStyle w:val="Hipervnculo"/>
                    <w:noProof/>
                  </w:rPr>
                  <w:t>Composición</w:t>
                </w:r>
                <w:r>
                  <w:rPr>
                    <w:noProof/>
                    <w:webHidden/>
                  </w:rPr>
                  <w:tab/>
                </w:r>
                <w:r>
                  <w:rPr>
                    <w:noProof/>
                    <w:webHidden/>
                  </w:rPr>
                  <w:fldChar w:fldCharType="begin"/>
                </w:r>
                <w:r>
                  <w:rPr>
                    <w:noProof/>
                    <w:webHidden/>
                  </w:rPr>
                  <w:instrText xml:space="preserve"> PAGEREF _Toc159952449 \h </w:instrText>
                </w:r>
                <w:r>
                  <w:rPr>
                    <w:noProof/>
                    <w:webHidden/>
                  </w:rPr>
                </w:r>
                <w:r>
                  <w:rPr>
                    <w:noProof/>
                    <w:webHidden/>
                  </w:rPr>
                  <w:fldChar w:fldCharType="separate"/>
                </w:r>
                <w:r w:rsidR="00987C8A">
                  <w:rPr>
                    <w:noProof/>
                    <w:webHidden/>
                  </w:rPr>
                  <w:t>168</w:t>
                </w:r>
                <w:r>
                  <w:rPr>
                    <w:noProof/>
                    <w:webHidden/>
                  </w:rPr>
                  <w:fldChar w:fldCharType="end"/>
                </w:r>
              </w:hyperlink>
            </w:p>
            <w:p w14:paraId="6AFC89B2" w14:textId="7DADF403" w:rsidR="006E283A" w:rsidRDefault="006E283A">
              <w:pPr>
                <w:pStyle w:val="TDC3"/>
                <w:tabs>
                  <w:tab w:val="right" w:leader="dot" w:pos="8969"/>
                </w:tabs>
                <w:rPr>
                  <w:rFonts w:cstheme="minorBidi"/>
                  <w:noProof/>
                  <w:kern w:val="2"/>
                  <w14:ligatures w14:val="standardContextual"/>
                </w:rPr>
              </w:pPr>
              <w:hyperlink w:anchor="_Toc159952450" w:history="1">
                <w:r w:rsidRPr="00D66931">
                  <w:rPr>
                    <w:rStyle w:val="Hipervnculo"/>
                    <w:noProof/>
                  </w:rPr>
                  <w:t>32.1.2 Modo portuario:</w:t>
                </w:r>
                <w:r>
                  <w:rPr>
                    <w:noProof/>
                    <w:webHidden/>
                  </w:rPr>
                  <w:tab/>
                </w:r>
                <w:r>
                  <w:rPr>
                    <w:noProof/>
                    <w:webHidden/>
                  </w:rPr>
                  <w:fldChar w:fldCharType="begin"/>
                </w:r>
                <w:r>
                  <w:rPr>
                    <w:noProof/>
                    <w:webHidden/>
                  </w:rPr>
                  <w:instrText xml:space="preserve"> PAGEREF _Toc159952450 \h </w:instrText>
                </w:r>
                <w:r>
                  <w:rPr>
                    <w:noProof/>
                    <w:webHidden/>
                  </w:rPr>
                </w:r>
                <w:r>
                  <w:rPr>
                    <w:noProof/>
                    <w:webHidden/>
                  </w:rPr>
                  <w:fldChar w:fldCharType="separate"/>
                </w:r>
                <w:r w:rsidR="00987C8A">
                  <w:rPr>
                    <w:noProof/>
                    <w:webHidden/>
                  </w:rPr>
                  <w:t>302</w:t>
                </w:r>
                <w:r>
                  <w:rPr>
                    <w:noProof/>
                    <w:webHidden/>
                  </w:rPr>
                  <w:fldChar w:fldCharType="end"/>
                </w:r>
              </w:hyperlink>
            </w:p>
            <w:p w14:paraId="753B57B7" w14:textId="1543E44E" w:rsidR="006E283A" w:rsidRDefault="006E283A">
              <w:pPr>
                <w:pStyle w:val="TDC2"/>
                <w:tabs>
                  <w:tab w:val="right" w:leader="dot" w:pos="8969"/>
                </w:tabs>
                <w:rPr>
                  <w:rFonts w:cstheme="minorBidi"/>
                  <w:noProof/>
                  <w:kern w:val="2"/>
                  <w14:ligatures w14:val="standardContextual"/>
                </w:rPr>
              </w:pPr>
              <w:hyperlink w:anchor="_Toc159952451" w:history="1">
                <w:r w:rsidRPr="00D66931">
                  <w:rPr>
                    <w:rStyle w:val="Hipervnculo"/>
                    <w:noProof/>
                  </w:rPr>
                  <w:t>Composición</w:t>
                </w:r>
                <w:r>
                  <w:rPr>
                    <w:noProof/>
                    <w:webHidden/>
                  </w:rPr>
                  <w:tab/>
                </w:r>
                <w:r>
                  <w:rPr>
                    <w:noProof/>
                    <w:webHidden/>
                  </w:rPr>
                  <w:fldChar w:fldCharType="begin"/>
                </w:r>
                <w:r>
                  <w:rPr>
                    <w:noProof/>
                    <w:webHidden/>
                  </w:rPr>
                  <w:instrText xml:space="preserve"> PAGEREF _Toc159952451 \h </w:instrText>
                </w:r>
                <w:r>
                  <w:rPr>
                    <w:noProof/>
                    <w:webHidden/>
                  </w:rPr>
                </w:r>
                <w:r>
                  <w:rPr>
                    <w:noProof/>
                    <w:webHidden/>
                  </w:rPr>
                  <w:fldChar w:fldCharType="separate"/>
                </w:r>
                <w:r w:rsidR="00987C8A">
                  <w:rPr>
                    <w:noProof/>
                    <w:webHidden/>
                  </w:rPr>
                  <w:t>302</w:t>
                </w:r>
                <w:r>
                  <w:rPr>
                    <w:noProof/>
                    <w:webHidden/>
                  </w:rPr>
                  <w:fldChar w:fldCharType="end"/>
                </w:r>
              </w:hyperlink>
            </w:p>
            <w:p w14:paraId="00A0F09C" w14:textId="01E87AE2" w:rsidR="006E283A" w:rsidRDefault="006E283A">
              <w:pPr>
                <w:pStyle w:val="TDC3"/>
                <w:tabs>
                  <w:tab w:val="right" w:leader="dot" w:pos="8969"/>
                </w:tabs>
                <w:rPr>
                  <w:rFonts w:cstheme="minorBidi"/>
                  <w:noProof/>
                  <w:kern w:val="2"/>
                  <w14:ligatures w14:val="standardContextual"/>
                </w:rPr>
              </w:pPr>
              <w:hyperlink w:anchor="_Toc159952452" w:history="1">
                <w:r w:rsidRPr="00D66931">
                  <w:rPr>
                    <w:rStyle w:val="Hipervnculo"/>
                    <w:rFonts w:eastAsia="Times New Roman"/>
                    <w:noProof/>
                  </w:rPr>
                  <w:t>32.1.3 Modo Férreo:</w:t>
                </w:r>
                <w:r>
                  <w:rPr>
                    <w:noProof/>
                    <w:webHidden/>
                  </w:rPr>
                  <w:tab/>
                </w:r>
                <w:r>
                  <w:rPr>
                    <w:noProof/>
                    <w:webHidden/>
                  </w:rPr>
                  <w:fldChar w:fldCharType="begin"/>
                </w:r>
                <w:r>
                  <w:rPr>
                    <w:noProof/>
                    <w:webHidden/>
                  </w:rPr>
                  <w:instrText xml:space="preserve"> PAGEREF _Toc159952452 \h </w:instrText>
                </w:r>
                <w:r>
                  <w:rPr>
                    <w:noProof/>
                    <w:webHidden/>
                  </w:rPr>
                </w:r>
                <w:r>
                  <w:rPr>
                    <w:noProof/>
                    <w:webHidden/>
                  </w:rPr>
                  <w:fldChar w:fldCharType="separate"/>
                </w:r>
                <w:r w:rsidR="00987C8A">
                  <w:rPr>
                    <w:noProof/>
                    <w:webHidden/>
                  </w:rPr>
                  <w:t>492</w:t>
                </w:r>
                <w:r>
                  <w:rPr>
                    <w:noProof/>
                    <w:webHidden/>
                  </w:rPr>
                  <w:fldChar w:fldCharType="end"/>
                </w:r>
              </w:hyperlink>
            </w:p>
            <w:p w14:paraId="393B3E27" w14:textId="09E5F0B2" w:rsidR="006E283A" w:rsidRDefault="006E283A">
              <w:pPr>
                <w:pStyle w:val="TDC2"/>
                <w:tabs>
                  <w:tab w:val="right" w:leader="dot" w:pos="8969"/>
                </w:tabs>
                <w:rPr>
                  <w:rFonts w:cstheme="minorBidi"/>
                  <w:noProof/>
                  <w:kern w:val="2"/>
                  <w14:ligatures w14:val="standardContextual"/>
                </w:rPr>
              </w:pPr>
              <w:hyperlink w:anchor="_Toc159952453" w:history="1">
                <w:r w:rsidRPr="00D66931">
                  <w:rPr>
                    <w:rStyle w:val="Hipervnculo"/>
                    <w:rFonts w:eastAsia="Times New Roman"/>
                    <w:noProof/>
                  </w:rPr>
                  <w:t>Composición</w:t>
                </w:r>
                <w:r>
                  <w:rPr>
                    <w:noProof/>
                    <w:webHidden/>
                  </w:rPr>
                  <w:tab/>
                </w:r>
                <w:r>
                  <w:rPr>
                    <w:noProof/>
                    <w:webHidden/>
                  </w:rPr>
                  <w:fldChar w:fldCharType="begin"/>
                </w:r>
                <w:r>
                  <w:rPr>
                    <w:noProof/>
                    <w:webHidden/>
                  </w:rPr>
                  <w:instrText xml:space="preserve"> PAGEREF _Toc159952453 \h </w:instrText>
                </w:r>
                <w:r>
                  <w:rPr>
                    <w:noProof/>
                    <w:webHidden/>
                  </w:rPr>
                </w:r>
                <w:r>
                  <w:rPr>
                    <w:noProof/>
                    <w:webHidden/>
                  </w:rPr>
                  <w:fldChar w:fldCharType="separate"/>
                </w:r>
                <w:r w:rsidR="00987C8A">
                  <w:rPr>
                    <w:noProof/>
                    <w:webHidden/>
                  </w:rPr>
                  <w:t>492</w:t>
                </w:r>
                <w:r>
                  <w:rPr>
                    <w:noProof/>
                    <w:webHidden/>
                  </w:rPr>
                  <w:fldChar w:fldCharType="end"/>
                </w:r>
              </w:hyperlink>
            </w:p>
            <w:p w14:paraId="30CC41D3" w14:textId="6A9E2CA0" w:rsidR="006E283A" w:rsidRDefault="006E283A">
              <w:pPr>
                <w:pStyle w:val="TDC3"/>
                <w:tabs>
                  <w:tab w:val="right" w:leader="dot" w:pos="8969"/>
                </w:tabs>
                <w:rPr>
                  <w:rFonts w:cstheme="minorBidi"/>
                  <w:noProof/>
                  <w:kern w:val="2"/>
                  <w14:ligatures w14:val="standardContextual"/>
                </w:rPr>
              </w:pPr>
              <w:hyperlink w:anchor="_Toc159952454" w:history="1">
                <w:r w:rsidRPr="00D66931">
                  <w:rPr>
                    <w:rStyle w:val="Hipervnculo"/>
                    <w:noProof/>
                  </w:rPr>
                  <w:t>32.1.4 Modo Fluvial:</w:t>
                </w:r>
                <w:r>
                  <w:rPr>
                    <w:noProof/>
                    <w:webHidden/>
                  </w:rPr>
                  <w:tab/>
                </w:r>
                <w:r>
                  <w:rPr>
                    <w:noProof/>
                    <w:webHidden/>
                  </w:rPr>
                  <w:fldChar w:fldCharType="begin"/>
                </w:r>
                <w:r>
                  <w:rPr>
                    <w:noProof/>
                    <w:webHidden/>
                  </w:rPr>
                  <w:instrText xml:space="preserve"> PAGEREF _Toc159952454 \h </w:instrText>
                </w:r>
                <w:r>
                  <w:rPr>
                    <w:noProof/>
                    <w:webHidden/>
                  </w:rPr>
                </w:r>
                <w:r>
                  <w:rPr>
                    <w:noProof/>
                    <w:webHidden/>
                  </w:rPr>
                  <w:fldChar w:fldCharType="separate"/>
                </w:r>
                <w:r w:rsidR="00987C8A">
                  <w:rPr>
                    <w:noProof/>
                    <w:webHidden/>
                  </w:rPr>
                  <w:t>506</w:t>
                </w:r>
                <w:r>
                  <w:rPr>
                    <w:noProof/>
                    <w:webHidden/>
                  </w:rPr>
                  <w:fldChar w:fldCharType="end"/>
                </w:r>
              </w:hyperlink>
            </w:p>
            <w:p w14:paraId="270610EC" w14:textId="413A7543" w:rsidR="006E283A" w:rsidRDefault="006E283A">
              <w:pPr>
                <w:pStyle w:val="TDC1"/>
                <w:tabs>
                  <w:tab w:val="right" w:leader="dot" w:pos="8969"/>
                </w:tabs>
                <w:rPr>
                  <w:rFonts w:asciiTheme="minorHAnsi" w:eastAsiaTheme="minorEastAsia" w:hAnsiTheme="minorHAnsi" w:cstheme="minorBidi"/>
                  <w:noProof/>
                  <w:kern w:val="2"/>
                  <w:lang w:eastAsia="es-CO"/>
                  <w14:ligatures w14:val="standardContextual"/>
                </w:rPr>
              </w:pPr>
              <w:hyperlink w:anchor="_Toc159952455" w:history="1">
                <w:r w:rsidRPr="00D66931">
                  <w:rPr>
                    <w:rStyle w:val="Hipervnculo"/>
                    <w:noProof/>
                  </w:rPr>
                  <w:t>NOTA 34. EFECTOS DE LAS VARIACIONES EN LAS TASAS DE CAMBIO DE LA MONEDA EXTRANJERA</w:t>
                </w:r>
                <w:r>
                  <w:rPr>
                    <w:noProof/>
                    <w:webHidden/>
                  </w:rPr>
                  <w:tab/>
                </w:r>
                <w:r>
                  <w:rPr>
                    <w:noProof/>
                    <w:webHidden/>
                  </w:rPr>
                  <w:fldChar w:fldCharType="begin"/>
                </w:r>
                <w:r>
                  <w:rPr>
                    <w:noProof/>
                    <w:webHidden/>
                  </w:rPr>
                  <w:instrText xml:space="preserve"> PAGEREF _Toc159952455 \h </w:instrText>
                </w:r>
                <w:r>
                  <w:rPr>
                    <w:noProof/>
                    <w:webHidden/>
                  </w:rPr>
                </w:r>
                <w:r>
                  <w:rPr>
                    <w:noProof/>
                    <w:webHidden/>
                  </w:rPr>
                  <w:fldChar w:fldCharType="separate"/>
                </w:r>
                <w:r w:rsidR="00987C8A">
                  <w:rPr>
                    <w:noProof/>
                    <w:webHidden/>
                  </w:rPr>
                  <w:t>508</w:t>
                </w:r>
                <w:r>
                  <w:rPr>
                    <w:noProof/>
                    <w:webHidden/>
                  </w:rPr>
                  <w:fldChar w:fldCharType="end"/>
                </w:r>
              </w:hyperlink>
            </w:p>
            <w:p w14:paraId="2EC3FC56" w14:textId="0307A170" w:rsidR="006E283A" w:rsidRDefault="006E283A">
              <w:pPr>
                <w:pStyle w:val="TDC2"/>
                <w:tabs>
                  <w:tab w:val="right" w:leader="dot" w:pos="8969"/>
                </w:tabs>
                <w:rPr>
                  <w:rFonts w:cstheme="minorBidi"/>
                  <w:noProof/>
                  <w:kern w:val="2"/>
                  <w14:ligatures w14:val="standardContextual"/>
                </w:rPr>
              </w:pPr>
              <w:hyperlink w:anchor="_Toc159952456" w:history="1">
                <w:r w:rsidRPr="00D66931">
                  <w:rPr>
                    <w:rStyle w:val="Hipervnculo"/>
                    <w:noProof/>
                  </w:rPr>
                  <w:t>Composición</w:t>
                </w:r>
                <w:r>
                  <w:rPr>
                    <w:noProof/>
                    <w:webHidden/>
                  </w:rPr>
                  <w:tab/>
                </w:r>
                <w:r>
                  <w:rPr>
                    <w:noProof/>
                    <w:webHidden/>
                  </w:rPr>
                  <w:fldChar w:fldCharType="begin"/>
                </w:r>
                <w:r>
                  <w:rPr>
                    <w:noProof/>
                    <w:webHidden/>
                  </w:rPr>
                  <w:instrText xml:space="preserve"> PAGEREF _Toc159952456 \h </w:instrText>
                </w:r>
                <w:r>
                  <w:rPr>
                    <w:noProof/>
                    <w:webHidden/>
                  </w:rPr>
                </w:r>
                <w:r>
                  <w:rPr>
                    <w:noProof/>
                    <w:webHidden/>
                  </w:rPr>
                  <w:fldChar w:fldCharType="separate"/>
                </w:r>
                <w:r w:rsidR="00987C8A">
                  <w:rPr>
                    <w:noProof/>
                    <w:webHidden/>
                  </w:rPr>
                  <w:t>508</w:t>
                </w:r>
                <w:r>
                  <w:rPr>
                    <w:noProof/>
                    <w:webHidden/>
                  </w:rPr>
                  <w:fldChar w:fldCharType="end"/>
                </w:r>
              </w:hyperlink>
            </w:p>
            <w:p w14:paraId="2FB43779" w14:textId="77508ED3" w:rsidR="006E283A" w:rsidRDefault="006E283A">
              <w:pPr>
                <w:pStyle w:val="TDC2"/>
                <w:tabs>
                  <w:tab w:val="left" w:pos="1100"/>
                  <w:tab w:val="right" w:leader="dot" w:pos="8969"/>
                </w:tabs>
                <w:rPr>
                  <w:rFonts w:cstheme="minorBidi"/>
                  <w:noProof/>
                  <w:kern w:val="2"/>
                  <w14:ligatures w14:val="standardContextual"/>
                </w:rPr>
              </w:pPr>
              <w:hyperlink w:anchor="_Toc159952457" w:history="1">
                <w:r w:rsidRPr="00D66931">
                  <w:rPr>
                    <w:rStyle w:val="Hipervnculo"/>
                    <w:noProof/>
                  </w:rPr>
                  <w:t>34.1.</w:t>
                </w:r>
                <w:r>
                  <w:rPr>
                    <w:rFonts w:cstheme="minorBidi"/>
                    <w:noProof/>
                    <w:kern w:val="2"/>
                    <w14:ligatures w14:val="standardContextual"/>
                  </w:rPr>
                  <w:tab/>
                </w:r>
                <w:r w:rsidRPr="00D66931">
                  <w:rPr>
                    <w:rStyle w:val="Hipervnculo"/>
                    <w:noProof/>
                  </w:rPr>
                  <w:t>Conciliación de ajustes por diferencia en cambio</w:t>
                </w:r>
                <w:r>
                  <w:rPr>
                    <w:noProof/>
                    <w:webHidden/>
                  </w:rPr>
                  <w:tab/>
                </w:r>
                <w:r>
                  <w:rPr>
                    <w:noProof/>
                    <w:webHidden/>
                  </w:rPr>
                  <w:fldChar w:fldCharType="begin"/>
                </w:r>
                <w:r>
                  <w:rPr>
                    <w:noProof/>
                    <w:webHidden/>
                  </w:rPr>
                  <w:instrText xml:space="preserve"> PAGEREF _Toc159952457 \h </w:instrText>
                </w:r>
                <w:r>
                  <w:rPr>
                    <w:noProof/>
                    <w:webHidden/>
                  </w:rPr>
                </w:r>
                <w:r>
                  <w:rPr>
                    <w:noProof/>
                    <w:webHidden/>
                  </w:rPr>
                  <w:fldChar w:fldCharType="separate"/>
                </w:r>
                <w:r w:rsidR="00987C8A">
                  <w:rPr>
                    <w:noProof/>
                    <w:webHidden/>
                  </w:rPr>
                  <w:t>508</w:t>
                </w:r>
                <w:r>
                  <w:rPr>
                    <w:noProof/>
                    <w:webHidden/>
                  </w:rPr>
                  <w:fldChar w:fldCharType="end"/>
                </w:r>
              </w:hyperlink>
            </w:p>
            <w:p w14:paraId="57DC67D3" w14:textId="2FC0FAB2" w:rsidR="00CA0525" w:rsidRPr="00931DCE" w:rsidRDefault="00CA0525" w:rsidP="004A000E">
              <w:pPr>
                <w:pStyle w:val="TDC1"/>
                <w:tabs>
                  <w:tab w:val="right" w:leader="dot" w:pos="9111"/>
                </w:tabs>
                <w:jc w:val="both"/>
                <w:rPr>
                  <w:rFonts w:ascii="Times New Roman" w:hAnsi="Times New Roman"/>
                </w:rPr>
              </w:pPr>
              <w:r w:rsidRPr="00931DCE">
                <w:rPr>
                  <w:rFonts w:ascii="Times New Roman" w:hAnsi="Times New Roman"/>
                  <w:b/>
                  <w:bCs/>
                  <w:sz w:val="24"/>
                  <w:szCs w:val="24"/>
                  <w:lang w:val="es-ES"/>
                </w:rPr>
                <w:fldChar w:fldCharType="end"/>
              </w:r>
            </w:p>
          </w:sdtContent>
        </w:sdt>
        <w:p w14:paraId="4EAFB2EA" w14:textId="77777777" w:rsidR="00123C8E" w:rsidRPr="00931DCE" w:rsidRDefault="00123C8E" w:rsidP="004A000E">
          <w:pPr>
            <w:jc w:val="both"/>
            <w:rPr>
              <w:rFonts w:ascii="Times New Roman" w:hAnsi="Times New Roman"/>
            </w:rPr>
          </w:pPr>
        </w:p>
        <w:p w14:paraId="667C16A8" w14:textId="691EC8CD" w:rsidR="007A1C17" w:rsidRPr="00931DCE" w:rsidRDefault="007A1C17" w:rsidP="004A000E">
          <w:pPr>
            <w:pStyle w:val="Ttulo1"/>
            <w:rPr>
              <w:rFonts w:cs="Times New Roman"/>
            </w:rPr>
          </w:pPr>
          <w:bookmarkStart w:id="0" w:name="_Toc159952345"/>
          <w:r w:rsidRPr="00931DCE">
            <w:rPr>
              <w:rFonts w:cs="Times New Roman"/>
            </w:rPr>
            <w:t xml:space="preserve">NOTA 1. </w:t>
          </w:r>
          <w:r w:rsidR="0078573F" w:rsidRPr="00931DCE">
            <w:rPr>
              <w:rFonts w:cs="Times New Roman"/>
            </w:rPr>
            <w:t>AGENCIA NACIONAL DE INFRAESTRUCTURA</w:t>
          </w:r>
          <w:bookmarkEnd w:id="0"/>
        </w:p>
        <w:p w14:paraId="417E125C" w14:textId="77777777" w:rsidR="00BB7BD6" w:rsidRPr="00931DCE" w:rsidRDefault="00BB7BD6" w:rsidP="004A000E">
          <w:pPr>
            <w:spacing w:after="0" w:line="240" w:lineRule="auto"/>
            <w:jc w:val="both"/>
            <w:rPr>
              <w:rFonts w:ascii="Times New Roman" w:hAnsi="Times New Roman"/>
              <w:sz w:val="24"/>
              <w:szCs w:val="24"/>
            </w:rPr>
          </w:pPr>
        </w:p>
        <w:p w14:paraId="61E58D90" w14:textId="169D0BA9" w:rsidR="000A24FA" w:rsidRPr="00931DCE" w:rsidRDefault="00F717BA">
          <w:pPr>
            <w:pStyle w:val="Ttulo2"/>
            <w:numPr>
              <w:ilvl w:val="1"/>
              <w:numId w:val="6"/>
            </w:numPr>
            <w:ind w:left="567" w:hanging="567"/>
            <w:rPr>
              <w:rFonts w:cs="Times New Roman"/>
            </w:rPr>
          </w:pPr>
          <w:bookmarkStart w:id="1" w:name="_Toc159952346"/>
          <w:r w:rsidRPr="00931DCE">
            <w:rPr>
              <w:rFonts w:cs="Times New Roman"/>
            </w:rPr>
            <w:t>Identificación y funciones</w:t>
          </w:r>
          <w:bookmarkEnd w:id="1"/>
        </w:p>
        <w:p w14:paraId="1E232A73" w14:textId="198A2D23" w:rsidR="000A24FA" w:rsidRPr="00931DCE" w:rsidRDefault="000A24FA" w:rsidP="004A000E">
          <w:pPr>
            <w:spacing w:after="0" w:line="240" w:lineRule="auto"/>
            <w:jc w:val="both"/>
            <w:rPr>
              <w:rFonts w:ascii="Times New Roman" w:hAnsi="Times New Roman"/>
              <w:sz w:val="24"/>
              <w:szCs w:val="24"/>
            </w:rPr>
          </w:pPr>
        </w:p>
        <w:p w14:paraId="4C2D20FC" w14:textId="17657983" w:rsidR="00326E63" w:rsidRDefault="00DF0379" w:rsidP="0E4E29E4">
          <w:pPr>
            <w:ind w:left="-20" w:right="-20"/>
            <w:jc w:val="both"/>
          </w:pPr>
          <w:r w:rsidRPr="0E4E29E4">
            <w:rPr>
              <w:rFonts w:ascii="Times New Roman" w:eastAsia="Times New Roman" w:hAnsi="Times New Roman"/>
              <w:sz w:val="24"/>
              <w:szCs w:val="24"/>
            </w:rPr>
            <w:t>Jurídica y administrativamente</w:t>
          </w:r>
          <w:r w:rsidR="00580400" w:rsidRPr="0E4E29E4">
            <w:rPr>
              <w:rFonts w:ascii="Times New Roman" w:eastAsia="Times New Roman" w:hAnsi="Times New Roman"/>
              <w:sz w:val="24"/>
              <w:szCs w:val="24"/>
            </w:rPr>
            <w:t xml:space="preserve">, </w:t>
          </w:r>
          <w:r w:rsidRPr="0E4E29E4">
            <w:rPr>
              <w:rFonts w:ascii="Times New Roman" w:eastAsia="Times New Roman" w:hAnsi="Times New Roman"/>
              <w:sz w:val="24"/>
              <w:szCs w:val="24"/>
            </w:rPr>
            <w:t>la Agencia</w:t>
          </w:r>
          <w:r w:rsidR="009A0C27" w:rsidRPr="0E4E29E4">
            <w:rPr>
              <w:rFonts w:ascii="Times New Roman" w:eastAsia="Times New Roman" w:hAnsi="Times New Roman"/>
              <w:sz w:val="24"/>
              <w:szCs w:val="24"/>
            </w:rPr>
            <w:t xml:space="preserve"> </w:t>
          </w:r>
          <w:r w:rsidR="00F97A20" w:rsidRPr="0E4E29E4">
            <w:rPr>
              <w:rFonts w:ascii="Times New Roman" w:eastAsia="Times New Roman" w:hAnsi="Times New Roman"/>
              <w:sz w:val="24"/>
              <w:szCs w:val="24"/>
            </w:rPr>
            <w:t>N</w:t>
          </w:r>
          <w:r w:rsidR="009A0C27" w:rsidRPr="0E4E29E4">
            <w:rPr>
              <w:rFonts w:ascii="Times New Roman" w:eastAsia="Times New Roman" w:hAnsi="Times New Roman"/>
              <w:sz w:val="24"/>
              <w:szCs w:val="24"/>
            </w:rPr>
            <w:t>acional de Infraestructura (ANI)</w:t>
          </w:r>
          <w:r w:rsidRPr="0E4E29E4">
            <w:rPr>
              <w:rFonts w:ascii="Times New Roman" w:eastAsia="Times New Roman" w:hAnsi="Times New Roman"/>
              <w:sz w:val="24"/>
              <w:szCs w:val="24"/>
            </w:rPr>
            <w:t xml:space="preserve"> es una entidad de </w:t>
          </w:r>
          <w:r w:rsidR="005C321A" w:rsidRPr="0E4E29E4">
            <w:rPr>
              <w:rFonts w:ascii="Times New Roman" w:eastAsia="Times New Roman" w:hAnsi="Times New Roman"/>
              <w:sz w:val="24"/>
              <w:szCs w:val="24"/>
            </w:rPr>
            <w:t>G</w:t>
          </w:r>
          <w:r w:rsidRPr="0E4E29E4">
            <w:rPr>
              <w:rFonts w:ascii="Times New Roman" w:eastAsia="Times New Roman" w:hAnsi="Times New Roman"/>
              <w:sz w:val="24"/>
              <w:szCs w:val="24"/>
            </w:rPr>
            <w:t>obierno</w:t>
          </w:r>
          <w:r w:rsidR="00E93852">
            <w:rPr>
              <w:rFonts w:ascii="Times New Roman" w:eastAsia="Times New Roman" w:hAnsi="Times New Roman"/>
              <w:sz w:val="24"/>
              <w:szCs w:val="24"/>
            </w:rPr>
            <w:t xml:space="preserve"> Nacional,</w:t>
          </w:r>
          <w:r w:rsidRPr="0E4E29E4">
            <w:rPr>
              <w:rFonts w:ascii="Times New Roman" w:eastAsia="Times New Roman" w:hAnsi="Times New Roman"/>
              <w:sz w:val="24"/>
              <w:szCs w:val="24"/>
            </w:rPr>
            <w:t xml:space="preserve"> de naturaleza especial del sector descentralizado de la Rama Ejecutiva del Orden Nacional, con personería jurídica, patrimonio propio y autonomía administrativa, financiera y técnica</w:t>
          </w:r>
          <w:r w:rsidR="002153EA" w:rsidRPr="0E4E29E4">
            <w:rPr>
              <w:rFonts w:ascii="Times New Roman" w:eastAsia="Times New Roman" w:hAnsi="Times New Roman"/>
              <w:sz w:val="24"/>
              <w:szCs w:val="24"/>
            </w:rPr>
            <w:t>;</w:t>
          </w:r>
          <w:r w:rsidRPr="0E4E29E4">
            <w:rPr>
              <w:rFonts w:ascii="Times New Roman" w:eastAsia="Times New Roman" w:hAnsi="Times New Roman"/>
              <w:sz w:val="24"/>
              <w:szCs w:val="24"/>
            </w:rPr>
            <w:t xml:space="preserve"> adscrita al Ministerio de Transporte, </w:t>
          </w:r>
          <w:r w:rsidR="00580400" w:rsidRPr="0E4E29E4">
            <w:rPr>
              <w:rFonts w:ascii="Times New Roman" w:eastAsia="Times New Roman" w:hAnsi="Times New Roman"/>
              <w:sz w:val="24"/>
              <w:szCs w:val="24"/>
            </w:rPr>
            <w:t xml:space="preserve">artículo 1º del </w:t>
          </w:r>
          <w:r w:rsidR="00326E63" w:rsidRPr="0E4E29E4">
            <w:rPr>
              <w:rFonts w:ascii="Times New Roman" w:eastAsia="Times New Roman" w:hAnsi="Times New Roman"/>
              <w:sz w:val="24"/>
              <w:szCs w:val="24"/>
            </w:rPr>
            <w:t>Decreto 4165 del 3 de noviembre de 2011</w:t>
          </w:r>
          <w:r w:rsidR="00580400" w:rsidRPr="0E4E29E4">
            <w:rPr>
              <w:rFonts w:ascii="Times New Roman" w:eastAsia="Times New Roman" w:hAnsi="Times New Roman"/>
              <w:sz w:val="24"/>
              <w:szCs w:val="24"/>
            </w:rPr>
            <w:t>.</w:t>
          </w:r>
        </w:p>
        <w:p w14:paraId="4F77289C" w14:textId="36138F1D" w:rsidR="00030332" w:rsidRDefault="001620BA" w:rsidP="0E4E29E4">
          <w:pPr>
            <w:ind w:left="-20" w:right="-20"/>
            <w:jc w:val="both"/>
          </w:pPr>
          <w:r w:rsidRPr="0E4E29E4">
            <w:rPr>
              <w:rFonts w:ascii="Times New Roman" w:eastAsia="Times New Roman" w:hAnsi="Times New Roman"/>
              <w:sz w:val="24"/>
              <w:szCs w:val="24"/>
            </w:rPr>
            <w:t>Así</w:t>
          </w:r>
          <w:r w:rsidR="00FB2462" w:rsidRPr="0E4E29E4">
            <w:rPr>
              <w:rFonts w:ascii="Times New Roman" w:eastAsia="Times New Roman" w:hAnsi="Times New Roman"/>
              <w:sz w:val="24"/>
              <w:szCs w:val="24"/>
            </w:rPr>
            <w:t xml:space="preserve"> mismo, en su</w:t>
          </w:r>
          <w:r w:rsidR="00030332" w:rsidRPr="0E4E29E4">
            <w:rPr>
              <w:rFonts w:ascii="Times New Roman" w:eastAsia="Times New Roman" w:hAnsi="Times New Roman"/>
              <w:sz w:val="24"/>
              <w:szCs w:val="24"/>
            </w:rPr>
            <w:t xml:space="preserve"> artículo 3, señaló</w:t>
          </w:r>
          <w:r w:rsidR="00FB2462" w:rsidRPr="0E4E29E4">
            <w:rPr>
              <w:rFonts w:ascii="Times New Roman" w:eastAsia="Times New Roman" w:hAnsi="Times New Roman"/>
              <w:sz w:val="24"/>
              <w:szCs w:val="24"/>
            </w:rPr>
            <w:t xml:space="preserve">: </w:t>
          </w:r>
          <w:r w:rsidR="00030332" w:rsidRPr="0E4E29E4">
            <w:rPr>
              <w:rFonts w:ascii="Times New Roman" w:eastAsia="Times New Roman" w:hAnsi="Times New Roman"/>
              <w:i/>
            </w:rPr>
            <w:t>“ARTÍCULO 3o. OBJETO. Como consecuencia del cambio de naturaleza, la Agencia Nacional de Infraestructura, tendrá por objeto planear, coordinar, estructurar, contratar, ejecutar, administrar y evaluar proyectos de concesiones y otras formas de Asociación Público Privada (APP), para el diseño, construcción, mantenimiento, operación, administración y/o explotación de la infraestructura pública de transporte en todos sus modos y de los servicios conexos o relacionados y el desarrollo de proyectos de asociación público privada para otro tipo de infraestructura pública cuando así lo determine expresamente el Gobierno Nacional respecto de infraestructuras semejantes a las enunciadas en este artículo, dentro del respeto a las normas que regulan la distribución de funciones y competencias y su asignación”.</w:t>
          </w:r>
        </w:p>
        <w:p w14:paraId="2DDB2BAB" w14:textId="37E3A5C9" w:rsidR="00326E63" w:rsidRDefault="00326E63" w:rsidP="0E4E29E4">
          <w:pPr>
            <w:spacing w:line="254" w:lineRule="auto"/>
            <w:ind w:left="-20" w:right="-20"/>
            <w:jc w:val="both"/>
          </w:pPr>
          <w:r w:rsidRPr="0E4E29E4">
            <w:rPr>
              <w:rFonts w:ascii="Times New Roman" w:eastAsia="Times New Roman" w:hAnsi="Times New Roman"/>
              <w:sz w:val="24"/>
              <w:szCs w:val="24"/>
            </w:rPr>
            <w:lastRenderedPageBreak/>
            <w:t>Para el desarrollo de sus funciones</w:t>
          </w:r>
          <w:r w:rsidR="00A74E3B" w:rsidRPr="0E4E29E4">
            <w:rPr>
              <w:rFonts w:ascii="Times New Roman" w:eastAsia="Times New Roman" w:hAnsi="Times New Roman"/>
              <w:sz w:val="24"/>
              <w:szCs w:val="24"/>
            </w:rPr>
            <w:t>,</w:t>
          </w:r>
          <w:r w:rsidRPr="0E4E29E4">
            <w:rPr>
              <w:rFonts w:ascii="Times New Roman" w:eastAsia="Times New Roman" w:hAnsi="Times New Roman"/>
              <w:sz w:val="24"/>
              <w:szCs w:val="24"/>
            </w:rPr>
            <w:t xml:space="preserve"> la ANI</w:t>
          </w:r>
          <w:r w:rsidR="00A74E3B" w:rsidRPr="0E4E29E4">
            <w:rPr>
              <w:rFonts w:ascii="Times New Roman" w:eastAsia="Times New Roman" w:hAnsi="Times New Roman"/>
              <w:sz w:val="24"/>
              <w:szCs w:val="24"/>
            </w:rPr>
            <w:t xml:space="preserve"> </w:t>
          </w:r>
          <w:r w:rsidRPr="0E4E29E4">
            <w:rPr>
              <w:rFonts w:ascii="Times New Roman" w:eastAsia="Times New Roman" w:hAnsi="Times New Roman"/>
              <w:sz w:val="24"/>
              <w:szCs w:val="24"/>
            </w:rPr>
            <w:t xml:space="preserve">tiene la siguiente estructura, de acuerdo con lo establecido en el artículo </w:t>
          </w:r>
          <w:r w:rsidR="007D6D15" w:rsidRPr="0E4E29E4">
            <w:rPr>
              <w:rFonts w:ascii="Times New Roman" w:eastAsia="Times New Roman" w:hAnsi="Times New Roman"/>
              <w:sz w:val="24"/>
              <w:szCs w:val="24"/>
            </w:rPr>
            <w:t>2</w:t>
          </w:r>
          <w:r w:rsidRPr="0E4E29E4">
            <w:rPr>
              <w:rFonts w:ascii="Times New Roman" w:eastAsia="Times New Roman" w:hAnsi="Times New Roman"/>
              <w:sz w:val="24"/>
              <w:szCs w:val="24"/>
            </w:rPr>
            <w:t xml:space="preserve"> del Decreto </w:t>
          </w:r>
          <w:r w:rsidR="007D6D15" w:rsidRPr="0E4E29E4">
            <w:rPr>
              <w:rFonts w:ascii="Times New Roman" w:eastAsia="Times New Roman" w:hAnsi="Times New Roman"/>
              <w:sz w:val="24"/>
              <w:szCs w:val="24"/>
            </w:rPr>
            <w:t xml:space="preserve">764 </w:t>
          </w:r>
          <w:r w:rsidRPr="0E4E29E4">
            <w:rPr>
              <w:rFonts w:ascii="Times New Roman" w:eastAsia="Times New Roman" w:hAnsi="Times New Roman"/>
              <w:sz w:val="24"/>
              <w:szCs w:val="24"/>
            </w:rPr>
            <w:t xml:space="preserve">del </w:t>
          </w:r>
          <w:r w:rsidR="007D6D15" w:rsidRPr="0E4E29E4">
            <w:rPr>
              <w:rFonts w:ascii="Times New Roman" w:eastAsia="Times New Roman" w:hAnsi="Times New Roman"/>
              <w:sz w:val="24"/>
              <w:szCs w:val="24"/>
            </w:rPr>
            <w:t>1</w:t>
          </w:r>
          <w:r w:rsidRPr="0E4E29E4">
            <w:rPr>
              <w:rFonts w:ascii="Times New Roman" w:eastAsia="Times New Roman" w:hAnsi="Times New Roman"/>
              <w:sz w:val="24"/>
              <w:szCs w:val="24"/>
            </w:rPr>
            <w:t xml:space="preserve">3 de </w:t>
          </w:r>
          <w:r w:rsidR="007D6D15" w:rsidRPr="0E4E29E4">
            <w:rPr>
              <w:rFonts w:ascii="Times New Roman" w:eastAsia="Times New Roman" w:hAnsi="Times New Roman"/>
              <w:sz w:val="24"/>
              <w:szCs w:val="24"/>
            </w:rPr>
            <w:t>mayo</w:t>
          </w:r>
          <w:r w:rsidRPr="0E4E29E4">
            <w:rPr>
              <w:rFonts w:ascii="Times New Roman" w:eastAsia="Times New Roman" w:hAnsi="Times New Roman"/>
              <w:sz w:val="24"/>
              <w:szCs w:val="24"/>
            </w:rPr>
            <w:t xml:space="preserve"> de </w:t>
          </w:r>
          <w:r w:rsidR="00EF6E05" w:rsidRPr="0E4E29E4">
            <w:rPr>
              <w:rFonts w:ascii="Times New Roman" w:eastAsia="Times New Roman" w:hAnsi="Times New Roman"/>
              <w:sz w:val="24"/>
              <w:szCs w:val="24"/>
            </w:rPr>
            <w:t>202</w:t>
          </w:r>
          <w:r w:rsidR="00B10DA9" w:rsidRPr="0E4E29E4">
            <w:rPr>
              <w:rFonts w:ascii="Times New Roman" w:eastAsia="Times New Roman" w:hAnsi="Times New Roman"/>
              <w:sz w:val="24"/>
              <w:szCs w:val="24"/>
            </w:rPr>
            <w:t>2</w:t>
          </w:r>
          <w:r w:rsidR="007D6D15" w:rsidRPr="0E4E29E4">
            <w:rPr>
              <w:rFonts w:ascii="Times New Roman" w:eastAsia="Times New Roman" w:hAnsi="Times New Roman"/>
              <w:sz w:val="24"/>
              <w:szCs w:val="24"/>
            </w:rPr>
            <w:t>, que modificó el artículo 7 del Decreto ley 4165 de 2011</w:t>
          </w:r>
          <w:r w:rsidRPr="0E4E29E4">
            <w:rPr>
              <w:rFonts w:ascii="Times New Roman" w:eastAsia="Times New Roman" w:hAnsi="Times New Roman"/>
              <w:sz w:val="24"/>
              <w:szCs w:val="24"/>
            </w:rPr>
            <w:t>.</w:t>
          </w:r>
        </w:p>
        <w:p w14:paraId="3874E029" w14:textId="64B76569" w:rsidR="1A0423B8" w:rsidRDefault="1A0423B8" w:rsidP="0E4E29E4">
          <w:pPr>
            <w:spacing w:after="0" w:line="254" w:lineRule="auto"/>
            <w:ind w:left="-20" w:right="-20"/>
            <w:jc w:val="both"/>
          </w:pPr>
          <w:r w:rsidRPr="0E4E29E4">
            <w:rPr>
              <w:rFonts w:ascii="Times New Roman" w:eastAsia="Times New Roman" w:hAnsi="Times New Roman"/>
              <w:sz w:val="24"/>
              <w:szCs w:val="24"/>
            </w:rPr>
            <w:t xml:space="preserve"> 1. Consejo Directivo  </w:t>
          </w:r>
        </w:p>
        <w:p w14:paraId="68AE6276" w14:textId="64E92768" w:rsidR="007D6D15" w:rsidRDefault="1A0423B8" w:rsidP="0E4E29E4">
          <w:pPr>
            <w:spacing w:after="0"/>
            <w:ind w:left="-20" w:right="-20" w:hanging="567"/>
            <w:jc w:val="both"/>
          </w:pPr>
          <w:r w:rsidRPr="0E4E29E4">
            <w:rPr>
              <w:rFonts w:ascii="Times New Roman" w:eastAsia="Times New Roman" w:hAnsi="Times New Roman"/>
              <w:sz w:val="24"/>
              <w:szCs w:val="24"/>
            </w:rPr>
            <w:t xml:space="preserve">         2.</w:t>
          </w:r>
          <w:r w:rsidR="007D6D15" w:rsidRPr="0E4E29E4">
            <w:rPr>
              <w:rFonts w:ascii="Times New Roman" w:eastAsia="Times New Roman" w:hAnsi="Times New Roman"/>
              <w:sz w:val="24"/>
              <w:szCs w:val="24"/>
            </w:rPr>
            <w:t xml:space="preserve"> Presidencia  </w:t>
          </w:r>
        </w:p>
        <w:p w14:paraId="18EE0142" w14:textId="53BDFC6C" w:rsidR="007D6D15" w:rsidRDefault="007D6D15" w:rsidP="0E4E29E4">
          <w:pPr>
            <w:spacing w:after="0"/>
            <w:ind w:left="426" w:right="-20" w:hanging="426"/>
            <w:jc w:val="both"/>
          </w:pPr>
          <w:r w:rsidRPr="0E4E29E4">
            <w:rPr>
              <w:rFonts w:ascii="Times New Roman" w:eastAsia="Times New Roman" w:hAnsi="Times New Roman"/>
              <w:sz w:val="24"/>
              <w:szCs w:val="24"/>
            </w:rPr>
            <w:t xml:space="preserve">2.1. Oficina de Comunicaciones  </w:t>
          </w:r>
        </w:p>
        <w:p w14:paraId="24E5F184" w14:textId="334464C7" w:rsidR="007D6D15" w:rsidRDefault="007D6D15" w:rsidP="0E4E29E4">
          <w:pPr>
            <w:spacing w:after="0"/>
            <w:ind w:left="-20" w:right="-20"/>
            <w:jc w:val="both"/>
          </w:pPr>
          <w:r w:rsidRPr="0E4E29E4">
            <w:rPr>
              <w:rFonts w:ascii="Times New Roman" w:eastAsia="Times New Roman" w:hAnsi="Times New Roman"/>
              <w:sz w:val="24"/>
              <w:szCs w:val="24"/>
            </w:rPr>
            <w:t xml:space="preserve">2.2. Oficina de Control Interno  </w:t>
          </w:r>
        </w:p>
        <w:p w14:paraId="30E0A6C6" w14:textId="4725F6BC" w:rsidR="007D6D15" w:rsidRDefault="007D6D15" w:rsidP="0E4E29E4">
          <w:pPr>
            <w:tabs>
              <w:tab w:val="left" w:pos="284"/>
            </w:tabs>
            <w:spacing w:after="0"/>
            <w:ind w:left="284" w:right="-20" w:hanging="284"/>
            <w:jc w:val="both"/>
          </w:pPr>
          <w:r w:rsidRPr="0E4E29E4">
            <w:rPr>
              <w:rFonts w:ascii="Times New Roman" w:eastAsia="Times New Roman" w:hAnsi="Times New Roman"/>
              <w:sz w:val="24"/>
              <w:szCs w:val="24"/>
            </w:rPr>
            <w:t xml:space="preserve">3. Vicepresidencia Ejecutiva  </w:t>
          </w:r>
        </w:p>
        <w:p w14:paraId="35738F77" w14:textId="7E2DE85E" w:rsidR="007D6D15" w:rsidRDefault="007D6D15" w:rsidP="0E4E29E4">
          <w:pPr>
            <w:spacing w:after="0"/>
            <w:ind w:left="-20" w:right="-20"/>
            <w:jc w:val="both"/>
          </w:pPr>
          <w:r w:rsidRPr="0E4E29E4">
            <w:rPr>
              <w:rFonts w:ascii="Times New Roman" w:eastAsia="Times New Roman" w:hAnsi="Times New Roman"/>
              <w:sz w:val="24"/>
              <w:szCs w:val="24"/>
            </w:rPr>
            <w:t xml:space="preserve">4. Vicepresidencia de Estructuración  </w:t>
          </w:r>
        </w:p>
        <w:p w14:paraId="3C85D498" w14:textId="63215537" w:rsidR="007D6D15" w:rsidRDefault="007D6D15" w:rsidP="0E4E29E4">
          <w:pPr>
            <w:spacing w:after="0"/>
            <w:ind w:left="-20" w:right="-20"/>
            <w:jc w:val="both"/>
          </w:pPr>
          <w:r w:rsidRPr="0E4E29E4">
            <w:rPr>
              <w:rFonts w:ascii="Times New Roman" w:eastAsia="Times New Roman" w:hAnsi="Times New Roman"/>
              <w:sz w:val="24"/>
              <w:szCs w:val="24"/>
            </w:rPr>
            <w:t xml:space="preserve">5. Vicepresidencia de Gestión Contractual  </w:t>
          </w:r>
        </w:p>
        <w:p w14:paraId="13FF70CF" w14:textId="780F78C2" w:rsidR="007D6D15" w:rsidRDefault="007D6D15" w:rsidP="0E4E29E4">
          <w:pPr>
            <w:spacing w:after="0"/>
            <w:ind w:left="-20" w:right="-20"/>
            <w:jc w:val="both"/>
          </w:pPr>
          <w:r w:rsidRPr="0E4E29E4">
            <w:rPr>
              <w:rFonts w:ascii="Times New Roman" w:eastAsia="Times New Roman" w:hAnsi="Times New Roman"/>
              <w:sz w:val="24"/>
              <w:szCs w:val="24"/>
            </w:rPr>
            <w:t xml:space="preserve">6. Vicepresidencia de Planeación, Riesgos y Entorno  </w:t>
          </w:r>
        </w:p>
        <w:p w14:paraId="3745181A" w14:textId="189EF6A5" w:rsidR="007D6D15" w:rsidRDefault="007D6D15" w:rsidP="0E4E29E4">
          <w:pPr>
            <w:spacing w:after="0"/>
            <w:ind w:left="-20" w:right="-20"/>
            <w:jc w:val="both"/>
          </w:pPr>
          <w:r w:rsidRPr="0E4E29E4">
            <w:rPr>
              <w:rFonts w:ascii="Times New Roman" w:eastAsia="Times New Roman" w:hAnsi="Times New Roman"/>
              <w:sz w:val="24"/>
              <w:szCs w:val="24"/>
            </w:rPr>
            <w:t xml:space="preserve">7. Vicepresidencia Jurídica  </w:t>
          </w:r>
        </w:p>
        <w:p w14:paraId="09FCC6B6" w14:textId="439F40FF" w:rsidR="007D6D15" w:rsidRDefault="007D6D15" w:rsidP="0E4E29E4">
          <w:pPr>
            <w:spacing w:after="0"/>
            <w:ind w:left="-20" w:right="-20"/>
            <w:jc w:val="both"/>
          </w:pPr>
          <w:r w:rsidRPr="0E4E29E4">
            <w:rPr>
              <w:rFonts w:ascii="Times New Roman" w:eastAsia="Times New Roman" w:hAnsi="Times New Roman"/>
              <w:sz w:val="24"/>
              <w:szCs w:val="24"/>
            </w:rPr>
            <w:t xml:space="preserve">8. Vicepresidencia de Gestión Corporativa  </w:t>
          </w:r>
        </w:p>
        <w:p w14:paraId="37640A7E" w14:textId="28B37C8E" w:rsidR="00FC0867" w:rsidRDefault="007D6D15" w:rsidP="0E4E29E4">
          <w:pPr>
            <w:spacing w:after="0"/>
            <w:ind w:left="284" w:right="-20" w:hanging="284"/>
            <w:jc w:val="both"/>
          </w:pPr>
          <w:r w:rsidRPr="0E4E29E4">
            <w:rPr>
              <w:rFonts w:ascii="Times New Roman" w:eastAsia="Times New Roman" w:hAnsi="Times New Roman"/>
              <w:sz w:val="24"/>
              <w:szCs w:val="24"/>
            </w:rPr>
            <w:t>9. Órganos de Asesoría, Coordinación y Control</w:t>
          </w:r>
          <w:r w:rsidR="1A0423B8" w:rsidRPr="0E4E29E4">
            <w:rPr>
              <w:rFonts w:ascii="Times New Roman" w:eastAsia="Times New Roman" w:hAnsi="Times New Roman"/>
              <w:sz w:val="24"/>
              <w:szCs w:val="24"/>
            </w:rPr>
            <w:t>.</w:t>
          </w:r>
          <w:r w:rsidRPr="0E4E29E4">
            <w:rPr>
              <w:rFonts w:ascii="Times New Roman" w:eastAsia="Times New Roman" w:hAnsi="Times New Roman"/>
              <w:sz w:val="24"/>
              <w:szCs w:val="24"/>
            </w:rPr>
            <w:t xml:space="preserve">  </w:t>
          </w:r>
        </w:p>
        <w:p w14:paraId="56D765E1" w14:textId="7FB51309" w:rsidR="1A0423B8" w:rsidRDefault="1A0423B8" w:rsidP="0E4E29E4">
          <w:pPr>
            <w:ind w:left="-20" w:right="-20"/>
            <w:jc w:val="both"/>
          </w:pPr>
          <w:r w:rsidRPr="0E4E29E4">
            <w:rPr>
              <w:rFonts w:ascii="Times New Roman" w:eastAsia="Times New Roman" w:hAnsi="Times New Roman"/>
              <w:sz w:val="24"/>
              <w:szCs w:val="24"/>
            </w:rPr>
            <w:t xml:space="preserve"> </w:t>
          </w:r>
        </w:p>
        <w:p w14:paraId="65263D8F" w14:textId="0CF0B8D1" w:rsidR="00FC0867" w:rsidRDefault="00FC0867" w:rsidP="0E4E29E4">
          <w:pPr>
            <w:ind w:left="-20" w:right="-20"/>
            <w:jc w:val="both"/>
          </w:pPr>
          <w:r w:rsidRPr="0E4E29E4">
            <w:rPr>
              <w:rFonts w:ascii="Times New Roman" w:eastAsia="Times New Roman" w:hAnsi="Times New Roman"/>
              <w:sz w:val="24"/>
              <w:szCs w:val="24"/>
            </w:rPr>
            <w:t xml:space="preserve">La Agencia Nacional de Infraestructura, tiene como domicilio principal la ciudad de Bogotá D.C., y </w:t>
          </w:r>
          <w:r w:rsidR="00171E85" w:rsidRPr="0E4E29E4">
            <w:rPr>
              <w:rFonts w:ascii="Times New Roman" w:eastAsia="Times New Roman" w:hAnsi="Times New Roman"/>
              <w:sz w:val="24"/>
              <w:szCs w:val="24"/>
            </w:rPr>
            <w:t>su sede administrativa</w:t>
          </w:r>
          <w:r w:rsidRPr="0E4E29E4">
            <w:rPr>
              <w:rFonts w:ascii="Times New Roman" w:eastAsia="Times New Roman" w:hAnsi="Times New Roman"/>
              <w:sz w:val="24"/>
              <w:szCs w:val="24"/>
            </w:rPr>
            <w:t xml:space="preserve"> </w:t>
          </w:r>
          <w:r w:rsidR="0040277E" w:rsidRPr="0E4E29E4">
            <w:rPr>
              <w:rFonts w:ascii="Times New Roman" w:eastAsia="Times New Roman" w:hAnsi="Times New Roman"/>
              <w:sz w:val="24"/>
              <w:szCs w:val="24"/>
            </w:rPr>
            <w:t>se encuentra</w:t>
          </w:r>
          <w:r w:rsidRPr="0E4E29E4">
            <w:rPr>
              <w:rFonts w:ascii="Times New Roman" w:eastAsia="Times New Roman" w:hAnsi="Times New Roman"/>
              <w:sz w:val="24"/>
              <w:szCs w:val="24"/>
            </w:rPr>
            <w:t xml:space="preserve"> ubicada en la </w:t>
          </w:r>
          <w:r w:rsidR="00503DED" w:rsidRPr="0E4E29E4">
            <w:rPr>
              <w:rFonts w:ascii="Times New Roman" w:eastAsia="Times New Roman" w:hAnsi="Times New Roman"/>
              <w:sz w:val="24"/>
              <w:szCs w:val="24"/>
            </w:rPr>
            <w:t>C</w:t>
          </w:r>
          <w:r w:rsidRPr="0E4E29E4">
            <w:rPr>
              <w:rFonts w:ascii="Times New Roman" w:eastAsia="Times New Roman" w:hAnsi="Times New Roman"/>
              <w:sz w:val="24"/>
              <w:szCs w:val="24"/>
            </w:rPr>
            <w:t>alle 24ª No. 59-42 Torre 4 Pisos 2-6-7 y Torre 3 Piso 8.</w:t>
          </w:r>
        </w:p>
        <w:p w14:paraId="6239071E" w14:textId="65A9526E" w:rsidR="00EA2233" w:rsidRDefault="00EA2233" w:rsidP="0E4E29E4">
          <w:pPr>
            <w:ind w:left="-20" w:right="-20"/>
            <w:jc w:val="both"/>
          </w:pPr>
          <w:r w:rsidRPr="0E4E29E4">
            <w:rPr>
              <w:rFonts w:ascii="Times New Roman" w:eastAsia="Times New Roman" w:hAnsi="Times New Roman"/>
              <w:sz w:val="24"/>
              <w:szCs w:val="24"/>
            </w:rPr>
            <w:t xml:space="preserve">Durante el año 2023 se </w:t>
          </w:r>
          <w:r w:rsidR="00963DB8" w:rsidRPr="0E4E29E4">
            <w:rPr>
              <w:rFonts w:ascii="Times New Roman" w:eastAsia="Times New Roman" w:hAnsi="Times New Roman"/>
              <w:sz w:val="24"/>
              <w:szCs w:val="24"/>
            </w:rPr>
            <w:t>produjo</w:t>
          </w:r>
          <w:r w:rsidRPr="0E4E29E4">
            <w:rPr>
              <w:rFonts w:ascii="Times New Roman" w:eastAsia="Times New Roman" w:hAnsi="Times New Roman"/>
              <w:sz w:val="24"/>
              <w:szCs w:val="24"/>
            </w:rPr>
            <w:t xml:space="preserve"> cambio </w:t>
          </w:r>
          <w:r w:rsidR="00C0265D" w:rsidRPr="0E4E29E4">
            <w:rPr>
              <w:rFonts w:ascii="Times New Roman" w:eastAsia="Times New Roman" w:hAnsi="Times New Roman"/>
              <w:sz w:val="24"/>
              <w:szCs w:val="24"/>
            </w:rPr>
            <w:t>d</w:t>
          </w:r>
          <w:r w:rsidRPr="0E4E29E4">
            <w:rPr>
              <w:rFonts w:ascii="Times New Roman" w:eastAsia="Times New Roman" w:hAnsi="Times New Roman"/>
              <w:sz w:val="24"/>
              <w:szCs w:val="24"/>
            </w:rPr>
            <w:t>el Contador</w:t>
          </w:r>
          <w:r w:rsidR="00C0265D" w:rsidRPr="0E4E29E4">
            <w:rPr>
              <w:rFonts w:ascii="Times New Roman" w:eastAsia="Times New Roman" w:hAnsi="Times New Roman"/>
              <w:sz w:val="24"/>
              <w:szCs w:val="24"/>
            </w:rPr>
            <w:t xml:space="preserve"> de la Agencia</w:t>
          </w:r>
          <w:r w:rsidRPr="0E4E29E4">
            <w:rPr>
              <w:rFonts w:ascii="Times New Roman" w:eastAsia="Times New Roman" w:hAnsi="Times New Roman"/>
              <w:sz w:val="24"/>
              <w:szCs w:val="24"/>
            </w:rPr>
            <w:t xml:space="preserve">, </w:t>
          </w:r>
          <w:r w:rsidR="00611884" w:rsidRPr="0E4E29E4">
            <w:rPr>
              <w:rFonts w:ascii="Times New Roman" w:eastAsia="Times New Roman" w:hAnsi="Times New Roman"/>
              <w:sz w:val="24"/>
              <w:szCs w:val="24"/>
            </w:rPr>
            <w:t>para lo cual</w:t>
          </w:r>
          <w:r w:rsidR="001A26CA" w:rsidRPr="0E4E29E4">
            <w:rPr>
              <w:rFonts w:ascii="Times New Roman" w:eastAsia="Times New Roman" w:hAnsi="Times New Roman"/>
              <w:sz w:val="24"/>
              <w:szCs w:val="24"/>
            </w:rPr>
            <w:t xml:space="preserve"> se</w:t>
          </w:r>
          <w:r w:rsidRPr="0E4E29E4">
            <w:rPr>
              <w:rFonts w:ascii="Times New Roman" w:eastAsia="Times New Roman" w:hAnsi="Times New Roman"/>
              <w:sz w:val="24"/>
              <w:szCs w:val="24"/>
            </w:rPr>
            <w:t xml:space="preserve"> radic</w:t>
          </w:r>
          <w:r w:rsidR="001A26CA" w:rsidRPr="0E4E29E4">
            <w:rPr>
              <w:rFonts w:ascii="Times New Roman" w:eastAsia="Times New Roman" w:hAnsi="Times New Roman"/>
              <w:sz w:val="24"/>
              <w:szCs w:val="24"/>
            </w:rPr>
            <w:t>ó</w:t>
          </w:r>
          <w:r w:rsidR="006D6E5A" w:rsidRPr="0E4E29E4">
            <w:rPr>
              <w:rFonts w:ascii="Times New Roman" w:eastAsia="Times New Roman" w:hAnsi="Times New Roman"/>
              <w:sz w:val="24"/>
              <w:szCs w:val="24"/>
            </w:rPr>
            <w:t xml:space="preserve"> el informe de empalme</w:t>
          </w:r>
          <w:r w:rsidRPr="0E4E29E4">
            <w:rPr>
              <w:rFonts w:ascii="Times New Roman" w:eastAsia="Times New Roman" w:hAnsi="Times New Roman"/>
              <w:sz w:val="24"/>
              <w:szCs w:val="24"/>
            </w:rPr>
            <w:t xml:space="preserve"> No. 20234090411112 del 14-04-2023. Así como, se present</w:t>
          </w:r>
          <w:r w:rsidR="006D6E5A" w:rsidRPr="0E4E29E4">
            <w:rPr>
              <w:rFonts w:ascii="Times New Roman" w:eastAsia="Times New Roman" w:hAnsi="Times New Roman"/>
              <w:sz w:val="24"/>
              <w:szCs w:val="24"/>
            </w:rPr>
            <w:t>aron</w:t>
          </w:r>
          <w:r w:rsidRPr="0E4E29E4">
            <w:rPr>
              <w:rFonts w:ascii="Times New Roman" w:eastAsia="Times New Roman" w:hAnsi="Times New Roman"/>
              <w:sz w:val="24"/>
              <w:szCs w:val="24"/>
            </w:rPr>
            <w:t xml:space="preserve"> dos </w:t>
          </w:r>
          <w:r w:rsidR="00213360" w:rsidRPr="0E4E29E4">
            <w:rPr>
              <w:rFonts w:ascii="Times New Roman" w:eastAsia="Times New Roman" w:hAnsi="Times New Roman"/>
              <w:sz w:val="24"/>
              <w:szCs w:val="24"/>
            </w:rPr>
            <w:t>nombramientos</w:t>
          </w:r>
          <w:r w:rsidR="00487E82" w:rsidRPr="0E4E29E4">
            <w:rPr>
              <w:rFonts w:ascii="Times New Roman" w:eastAsia="Times New Roman" w:hAnsi="Times New Roman"/>
              <w:sz w:val="24"/>
              <w:szCs w:val="24"/>
            </w:rPr>
            <w:t xml:space="preserve"> por encargo</w:t>
          </w:r>
          <w:r w:rsidRPr="0E4E29E4">
            <w:rPr>
              <w:rFonts w:ascii="Times New Roman" w:eastAsia="Times New Roman" w:hAnsi="Times New Roman"/>
              <w:sz w:val="24"/>
              <w:szCs w:val="24"/>
            </w:rPr>
            <w:t xml:space="preserve"> </w:t>
          </w:r>
          <w:r w:rsidR="00CD711D" w:rsidRPr="0E4E29E4">
            <w:rPr>
              <w:rFonts w:ascii="Times New Roman" w:eastAsia="Times New Roman" w:hAnsi="Times New Roman"/>
              <w:sz w:val="24"/>
              <w:szCs w:val="24"/>
            </w:rPr>
            <w:t>para la</w:t>
          </w:r>
          <w:r w:rsidRPr="0E4E29E4">
            <w:rPr>
              <w:rFonts w:ascii="Times New Roman" w:eastAsia="Times New Roman" w:hAnsi="Times New Roman"/>
              <w:sz w:val="24"/>
              <w:szCs w:val="24"/>
            </w:rPr>
            <w:t xml:space="preserve"> Representa</w:t>
          </w:r>
          <w:r w:rsidR="00CD711D" w:rsidRPr="0E4E29E4">
            <w:rPr>
              <w:rFonts w:ascii="Times New Roman" w:eastAsia="Times New Roman" w:hAnsi="Times New Roman"/>
              <w:sz w:val="24"/>
              <w:szCs w:val="24"/>
            </w:rPr>
            <w:t>ción</w:t>
          </w:r>
          <w:r w:rsidRPr="0E4E29E4">
            <w:rPr>
              <w:rFonts w:ascii="Times New Roman" w:eastAsia="Times New Roman" w:hAnsi="Times New Roman"/>
              <w:sz w:val="24"/>
              <w:szCs w:val="24"/>
            </w:rPr>
            <w:t xml:space="preserve"> Legal</w:t>
          </w:r>
          <w:r w:rsidR="00CD711D" w:rsidRPr="0E4E29E4">
            <w:rPr>
              <w:rFonts w:ascii="Times New Roman" w:eastAsia="Times New Roman" w:hAnsi="Times New Roman"/>
              <w:sz w:val="24"/>
              <w:szCs w:val="24"/>
            </w:rPr>
            <w:t xml:space="preserve"> de ANI</w:t>
          </w:r>
          <w:r w:rsidR="005F71EB" w:rsidRPr="0E4E29E4">
            <w:rPr>
              <w:rFonts w:ascii="Times New Roman" w:eastAsia="Times New Roman" w:hAnsi="Times New Roman"/>
              <w:sz w:val="24"/>
              <w:szCs w:val="24"/>
            </w:rPr>
            <w:t xml:space="preserve">. </w:t>
          </w:r>
          <w:r w:rsidR="00D34592" w:rsidRPr="0E4E29E4">
            <w:rPr>
              <w:rFonts w:ascii="Times New Roman" w:eastAsia="Times New Roman" w:hAnsi="Times New Roman"/>
              <w:sz w:val="24"/>
              <w:szCs w:val="24"/>
            </w:rPr>
            <w:t>El primero realizado</w:t>
          </w:r>
          <w:r w:rsidRPr="0E4E29E4">
            <w:rPr>
              <w:rFonts w:ascii="Times New Roman" w:eastAsia="Times New Roman" w:hAnsi="Times New Roman"/>
              <w:sz w:val="24"/>
              <w:szCs w:val="24"/>
            </w:rPr>
            <w:t xml:space="preserve"> el 2 de mayo</w:t>
          </w:r>
          <w:r w:rsidR="00035C47" w:rsidRPr="0E4E29E4">
            <w:rPr>
              <w:rFonts w:ascii="Times New Roman" w:eastAsia="Times New Roman" w:hAnsi="Times New Roman"/>
              <w:sz w:val="24"/>
              <w:szCs w:val="24"/>
            </w:rPr>
            <w:t xml:space="preserve"> asumiendo </w:t>
          </w:r>
          <w:r w:rsidR="00531DF4" w:rsidRPr="0E4E29E4">
            <w:rPr>
              <w:rFonts w:ascii="Times New Roman" w:eastAsia="Times New Roman" w:hAnsi="Times New Roman"/>
              <w:sz w:val="24"/>
              <w:szCs w:val="24"/>
            </w:rPr>
            <w:t>el Ingeniero Jonathan David Bernal González</w:t>
          </w:r>
          <w:r w:rsidR="000576C0" w:rsidRPr="0E4E29E4">
            <w:rPr>
              <w:rFonts w:ascii="Times New Roman" w:eastAsia="Times New Roman" w:hAnsi="Times New Roman"/>
              <w:sz w:val="24"/>
              <w:szCs w:val="24"/>
            </w:rPr>
            <w:t xml:space="preserve">, </w:t>
          </w:r>
          <w:r w:rsidR="003434C6" w:rsidRPr="0E4E29E4">
            <w:rPr>
              <w:rFonts w:ascii="Times New Roman" w:eastAsia="Times New Roman" w:hAnsi="Times New Roman"/>
              <w:sz w:val="24"/>
              <w:szCs w:val="24"/>
            </w:rPr>
            <w:t>con informe contable</w:t>
          </w:r>
          <w:r w:rsidRPr="0E4E29E4">
            <w:rPr>
              <w:rFonts w:ascii="Times New Roman" w:eastAsia="Times New Roman" w:hAnsi="Times New Roman"/>
              <w:sz w:val="24"/>
              <w:szCs w:val="24"/>
            </w:rPr>
            <w:t xml:space="preserve"> radicado No. 20234010070973 de</w:t>
          </w:r>
          <w:r w:rsidR="00D34190" w:rsidRPr="0E4E29E4">
            <w:rPr>
              <w:rFonts w:ascii="Times New Roman" w:eastAsia="Times New Roman" w:hAnsi="Times New Roman"/>
              <w:sz w:val="24"/>
              <w:szCs w:val="24"/>
            </w:rPr>
            <w:t>l</w:t>
          </w:r>
          <w:r w:rsidRPr="0E4E29E4">
            <w:rPr>
              <w:rFonts w:ascii="Times New Roman" w:eastAsia="Times New Roman" w:hAnsi="Times New Roman"/>
              <w:sz w:val="24"/>
              <w:szCs w:val="24"/>
            </w:rPr>
            <w:t xml:space="preserve"> 16</w:t>
          </w:r>
          <w:r w:rsidR="00E63B7F" w:rsidRPr="0E4E29E4">
            <w:rPr>
              <w:rFonts w:ascii="Times New Roman" w:eastAsia="Times New Roman" w:hAnsi="Times New Roman"/>
              <w:sz w:val="24"/>
              <w:szCs w:val="24"/>
            </w:rPr>
            <w:t xml:space="preserve"> de mayo de 2</w:t>
          </w:r>
          <w:r w:rsidRPr="0E4E29E4">
            <w:rPr>
              <w:rFonts w:ascii="Times New Roman" w:eastAsia="Times New Roman" w:hAnsi="Times New Roman"/>
              <w:sz w:val="24"/>
              <w:szCs w:val="24"/>
            </w:rPr>
            <w:t>023</w:t>
          </w:r>
          <w:r w:rsidR="00E63B7F" w:rsidRPr="0E4E29E4">
            <w:rPr>
              <w:rFonts w:ascii="Times New Roman" w:eastAsia="Times New Roman" w:hAnsi="Times New Roman"/>
              <w:sz w:val="24"/>
              <w:szCs w:val="24"/>
            </w:rPr>
            <w:t>,</w:t>
          </w:r>
          <w:r w:rsidRPr="0E4E29E4">
            <w:rPr>
              <w:rFonts w:ascii="Times New Roman" w:eastAsia="Times New Roman" w:hAnsi="Times New Roman"/>
              <w:sz w:val="24"/>
              <w:szCs w:val="24"/>
            </w:rPr>
            <w:t xml:space="preserve"> y el</w:t>
          </w:r>
          <w:r w:rsidR="00E63B7F" w:rsidRPr="0E4E29E4">
            <w:rPr>
              <w:rFonts w:ascii="Times New Roman" w:eastAsia="Times New Roman" w:hAnsi="Times New Roman"/>
              <w:sz w:val="24"/>
              <w:szCs w:val="24"/>
            </w:rPr>
            <w:t xml:space="preserve"> segundo, el día</w:t>
          </w:r>
          <w:r w:rsidRPr="0E4E29E4">
            <w:rPr>
              <w:rFonts w:ascii="Times New Roman" w:eastAsia="Times New Roman" w:hAnsi="Times New Roman"/>
              <w:sz w:val="24"/>
              <w:szCs w:val="24"/>
            </w:rPr>
            <w:t xml:space="preserve"> 2 de </w:t>
          </w:r>
          <w:r w:rsidR="00623374" w:rsidRPr="0E4E29E4">
            <w:rPr>
              <w:rFonts w:ascii="Times New Roman" w:eastAsia="Times New Roman" w:hAnsi="Times New Roman"/>
              <w:sz w:val="24"/>
              <w:szCs w:val="24"/>
            </w:rPr>
            <w:t xml:space="preserve">junio </w:t>
          </w:r>
          <w:r w:rsidR="005C5174" w:rsidRPr="0E4E29E4">
            <w:rPr>
              <w:rFonts w:ascii="Times New Roman" w:eastAsia="Times New Roman" w:hAnsi="Times New Roman"/>
              <w:sz w:val="24"/>
              <w:szCs w:val="24"/>
            </w:rPr>
            <w:t xml:space="preserve">por </w:t>
          </w:r>
          <w:r w:rsidR="00623374" w:rsidRPr="0E4E29E4">
            <w:rPr>
              <w:rFonts w:ascii="Times New Roman" w:eastAsia="Times New Roman" w:hAnsi="Times New Roman"/>
              <w:sz w:val="24"/>
              <w:szCs w:val="24"/>
            </w:rPr>
            <w:t>la Ingeniera Carolina Jackeline Barbanti Mansilla</w:t>
          </w:r>
          <w:r w:rsidR="005C5174" w:rsidRPr="0E4E29E4">
            <w:rPr>
              <w:rFonts w:ascii="Times New Roman" w:eastAsia="Times New Roman" w:hAnsi="Times New Roman"/>
              <w:sz w:val="24"/>
              <w:szCs w:val="24"/>
            </w:rPr>
            <w:t>, con informe contable</w:t>
          </w:r>
          <w:r w:rsidRPr="0E4E29E4">
            <w:rPr>
              <w:rFonts w:ascii="Times New Roman" w:eastAsia="Times New Roman" w:hAnsi="Times New Roman"/>
              <w:sz w:val="24"/>
              <w:szCs w:val="24"/>
            </w:rPr>
            <w:t xml:space="preserve"> radicado No. 20234010091823 de</w:t>
          </w:r>
          <w:r w:rsidR="00057523" w:rsidRPr="0E4E29E4">
            <w:rPr>
              <w:rFonts w:ascii="Times New Roman" w:eastAsia="Times New Roman" w:hAnsi="Times New Roman"/>
              <w:sz w:val="24"/>
              <w:szCs w:val="24"/>
            </w:rPr>
            <w:t>l</w:t>
          </w:r>
          <w:r w:rsidRPr="0E4E29E4">
            <w:rPr>
              <w:rFonts w:ascii="Times New Roman" w:eastAsia="Times New Roman" w:hAnsi="Times New Roman"/>
              <w:sz w:val="24"/>
              <w:szCs w:val="24"/>
            </w:rPr>
            <w:t xml:space="preserve"> 23</w:t>
          </w:r>
          <w:r w:rsidR="00057523" w:rsidRPr="0E4E29E4">
            <w:rPr>
              <w:rFonts w:ascii="Times New Roman" w:eastAsia="Times New Roman" w:hAnsi="Times New Roman"/>
              <w:sz w:val="24"/>
              <w:szCs w:val="24"/>
            </w:rPr>
            <w:t xml:space="preserve"> </w:t>
          </w:r>
          <w:r w:rsidRPr="0E4E29E4">
            <w:rPr>
              <w:rFonts w:ascii="Times New Roman" w:eastAsia="Times New Roman" w:hAnsi="Times New Roman"/>
              <w:sz w:val="24"/>
              <w:szCs w:val="24"/>
            </w:rPr>
            <w:t xml:space="preserve">de </w:t>
          </w:r>
          <w:r w:rsidR="00057523" w:rsidRPr="0E4E29E4">
            <w:rPr>
              <w:rFonts w:ascii="Times New Roman" w:eastAsia="Times New Roman" w:hAnsi="Times New Roman"/>
              <w:sz w:val="24"/>
              <w:szCs w:val="24"/>
            </w:rPr>
            <w:t>junio</w:t>
          </w:r>
          <w:r w:rsidR="00DB5A90" w:rsidRPr="0E4E29E4">
            <w:rPr>
              <w:rFonts w:ascii="Times New Roman" w:eastAsia="Times New Roman" w:hAnsi="Times New Roman"/>
              <w:sz w:val="24"/>
              <w:szCs w:val="24"/>
            </w:rPr>
            <w:t xml:space="preserve"> de </w:t>
          </w:r>
          <w:r w:rsidRPr="0E4E29E4">
            <w:rPr>
              <w:rFonts w:ascii="Times New Roman" w:eastAsia="Times New Roman" w:hAnsi="Times New Roman"/>
              <w:sz w:val="24"/>
              <w:szCs w:val="24"/>
            </w:rPr>
            <w:t>2023</w:t>
          </w:r>
          <w:r w:rsidR="007265E3" w:rsidRPr="0E4E29E4">
            <w:rPr>
              <w:rFonts w:ascii="Times New Roman" w:eastAsia="Times New Roman" w:hAnsi="Times New Roman"/>
              <w:sz w:val="24"/>
              <w:szCs w:val="24"/>
            </w:rPr>
            <w:t>; en cumplimiento de la Resolución CGN No. 172 de 2023</w:t>
          </w:r>
          <w:r w:rsidR="00F23B9E" w:rsidRPr="0E4E29E4">
            <w:rPr>
              <w:rFonts w:ascii="Times New Roman" w:eastAsia="Times New Roman" w:hAnsi="Times New Roman"/>
              <w:sz w:val="24"/>
              <w:szCs w:val="24"/>
            </w:rPr>
            <w:t>.</w:t>
          </w:r>
        </w:p>
        <w:p w14:paraId="64E57563" w14:textId="77777777" w:rsidR="00E50C86" w:rsidRPr="00931DCE" w:rsidRDefault="00E50C86" w:rsidP="004A000E">
          <w:pPr>
            <w:spacing w:after="0" w:line="240" w:lineRule="auto"/>
            <w:ind w:left="142" w:right="190"/>
            <w:jc w:val="both"/>
            <w:rPr>
              <w:rFonts w:ascii="Times New Roman" w:hAnsi="Times New Roman"/>
              <w:i/>
              <w:iCs/>
            </w:rPr>
          </w:pPr>
        </w:p>
        <w:p w14:paraId="1B8A49F0" w14:textId="77777777" w:rsidR="000A24FA" w:rsidRPr="00931DCE" w:rsidRDefault="00F717BA">
          <w:pPr>
            <w:pStyle w:val="Ttulo2"/>
            <w:numPr>
              <w:ilvl w:val="1"/>
              <w:numId w:val="6"/>
            </w:numPr>
            <w:ind w:left="567" w:hanging="567"/>
            <w:rPr>
              <w:rFonts w:cs="Times New Roman"/>
            </w:rPr>
          </w:pPr>
          <w:bookmarkStart w:id="2" w:name="_Toc159952347"/>
          <w:r w:rsidRPr="00931DCE">
            <w:rPr>
              <w:rFonts w:cs="Times New Roman"/>
            </w:rPr>
            <w:t>Declaración de cumplimiento del marco normativo y limitaciones</w:t>
          </w:r>
          <w:bookmarkEnd w:id="2"/>
        </w:p>
        <w:p w14:paraId="234337C2" w14:textId="77777777" w:rsidR="000A24FA" w:rsidRPr="00931DCE" w:rsidRDefault="000A24FA" w:rsidP="004A000E">
          <w:pPr>
            <w:spacing w:after="0" w:line="240" w:lineRule="auto"/>
            <w:jc w:val="both"/>
            <w:rPr>
              <w:rFonts w:ascii="Times New Roman" w:hAnsi="Times New Roman"/>
              <w:sz w:val="24"/>
              <w:szCs w:val="24"/>
            </w:rPr>
          </w:pPr>
        </w:p>
        <w:p w14:paraId="0D798EAE" w14:textId="77777777" w:rsidR="00C001CF" w:rsidRPr="00931DCE" w:rsidRDefault="00870040" w:rsidP="00C001CF">
          <w:pPr>
            <w:spacing w:after="0" w:line="240" w:lineRule="auto"/>
            <w:jc w:val="both"/>
            <w:rPr>
              <w:rFonts w:ascii="Times New Roman" w:hAnsi="Times New Roman"/>
              <w:color w:val="000000"/>
              <w:sz w:val="24"/>
              <w:szCs w:val="24"/>
              <w:bdr w:val="none" w:sz="0" w:space="0" w:color="auto" w:frame="1"/>
              <w:shd w:val="clear" w:color="auto" w:fill="FFFFFF"/>
            </w:rPr>
          </w:pPr>
          <w:r w:rsidRPr="00931DCE">
            <w:rPr>
              <w:rFonts w:ascii="Times New Roman" w:hAnsi="Times New Roman"/>
              <w:color w:val="000000"/>
              <w:sz w:val="24"/>
              <w:szCs w:val="24"/>
              <w:bdr w:val="none" w:sz="0" w:space="0" w:color="auto" w:frame="1"/>
              <w:shd w:val="clear" w:color="auto" w:fill="FFFFFF"/>
            </w:rPr>
            <w:t>De acuerdo con las metodologías enunciadas y documentadas, se remitió la información al área contable de la Agencia, para la realización de los registros contables de los proyectos del modo férreo al cierre de la vigencia 20</w:t>
          </w:r>
          <w:r w:rsidRPr="00920BE4">
            <w:rPr>
              <w:rFonts w:ascii="Times New Roman" w:hAnsi="Times New Roman"/>
              <w:color w:val="000000"/>
              <w:sz w:val="24"/>
              <w:szCs w:val="24"/>
              <w:bdr w:val="none" w:sz="0" w:space="0" w:color="auto" w:frame="1"/>
              <w:shd w:val="clear" w:color="auto" w:fill="FFFFFF"/>
            </w:rPr>
            <w:t>23</w:t>
          </w:r>
          <w:r w:rsidRPr="00931DCE">
            <w:rPr>
              <w:rFonts w:ascii="Times New Roman" w:hAnsi="Times New Roman"/>
              <w:color w:val="000000"/>
              <w:sz w:val="24"/>
              <w:szCs w:val="24"/>
              <w:bdr w:val="none" w:sz="0" w:space="0" w:color="auto" w:frame="1"/>
              <w:shd w:val="clear" w:color="auto" w:fill="FFFFFF"/>
            </w:rPr>
            <w:t xml:space="preserve">, información que fue avalada por las interventorías de los contratos de </w:t>
          </w:r>
          <w:r w:rsidR="00C001CF" w:rsidRPr="00931DCE">
            <w:rPr>
              <w:rFonts w:ascii="Times New Roman" w:hAnsi="Times New Roman"/>
              <w:color w:val="000000"/>
              <w:sz w:val="24"/>
              <w:szCs w:val="24"/>
              <w:bdr w:val="none" w:sz="0" w:space="0" w:color="auto" w:frame="1"/>
              <w:shd w:val="clear" w:color="auto" w:fill="FFFFFF"/>
            </w:rPr>
            <w:t>concesiones</w:t>
          </w:r>
          <w:r w:rsidR="00C001CF">
            <w:rPr>
              <w:rFonts w:ascii="Times New Roman" w:hAnsi="Times New Roman"/>
              <w:color w:val="000000"/>
              <w:sz w:val="24"/>
              <w:szCs w:val="24"/>
              <w:bdr w:val="none" w:sz="0" w:space="0" w:color="auto" w:frame="1"/>
              <w:shd w:val="clear" w:color="auto" w:fill="FFFFFF"/>
            </w:rPr>
            <w:t xml:space="preserve"> y/o el área misional</w:t>
          </w:r>
          <w:r w:rsidR="00C001CF" w:rsidRPr="00931DCE">
            <w:rPr>
              <w:rFonts w:ascii="Times New Roman" w:hAnsi="Times New Roman"/>
              <w:color w:val="000000"/>
              <w:sz w:val="24"/>
              <w:szCs w:val="24"/>
              <w:bdr w:val="none" w:sz="0" w:space="0" w:color="auto" w:frame="1"/>
              <w:shd w:val="clear" w:color="auto" w:fill="FFFFFF"/>
            </w:rPr>
            <w:t>.</w:t>
          </w:r>
        </w:p>
        <w:p w14:paraId="51B5124D" w14:textId="5AC41256" w:rsidR="00870040" w:rsidRDefault="00870040" w:rsidP="00870040">
          <w:pPr>
            <w:spacing w:after="0" w:line="240" w:lineRule="auto"/>
            <w:jc w:val="both"/>
            <w:rPr>
              <w:rFonts w:ascii="Times New Roman" w:hAnsi="Times New Roman"/>
              <w:color w:val="000000" w:themeColor="text1"/>
              <w:sz w:val="24"/>
              <w:szCs w:val="24"/>
            </w:rPr>
          </w:pPr>
        </w:p>
        <w:p w14:paraId="55B2F5BC" w14:textId="7C9B9CD4" w:rsidR="00AA39A5" w:rsidRPr="00931DCE" w:rsidRDefault="58569E78" w:rsidP="0E4E29E4">
          <w:pPr>
            <w:spacing w:after="0" w:line="240" w:lineRule="auto"/>
            <w:jc w:val="both"/>
            <w:rPr>
              <w:rFonts w:ascii="Times New Roman" w:hAnsi="Times New Roman"/>
              <w:color w:val="000000" w:themeColor="text1"/>
              <w:sz w:val="24"/>
              <w:szCs w:val="24"/>
            </w:rPr>
          </w:pPr>
          <w:r w:rsidRPr="0E4E29E4">
            <w:rPr>
              <w:rFonts w:ascii="Times New Roman" w:eastAsia="Times New Roman" w:hAnsi="Times New Roman"/>
              <w:sz w:val="24"/>
              <w:szCs w:val="24"/>
            </w:rPr>
            <w:t>Se declara de manera clara y sin reservas que los Estados Financieros se preparan de conformidad con el Régimen de Contabilidad Pública, del cual se cita a continuación la normatividad base aplicada:</w:t>
          </w:r>
        </w:p>
        <w:p w14:paraId="1D73D31F" w14:textId="08DE3E10" w:rsidR="00AA39A5" w:rsidRPr="00931DCE" w:rsidRDefault="58569E78" w:rsidP="0E4E29E4">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s>
            <w:spacing w:after="0" w:line="254" w:lineRule="auto"/>
            <w:ind w:left="-20" w:right="51"/>
            <w:jc w:val="both"/>
          </w:pPr>
          <w:r w:rsidRPr="0E4E29E4">
            <w:rPr>
              <w:rFonts w:ascii="Times New Roman" w:eastAsia="Times New Roman" w:hAnsi="Times New Roman"/>
              <w:sz w:val="24"/>
              <w:szCs w:val="24"/>
            </w:rPr>
            <w:t xml:space="preserve">La Contaduría General de la Nación (CGN) expidió la Resolución 156 del 29 de mayo de 2018, que derogó la Resolución 355 de 2017 la cual adoptó el Plan General de Contabilidad Pública y la Resolución 356 del 5 de septiembre de 2007, que adoptó el Manual de Procedimientos del Régimen de la Contabilidad Pública integrado por el Catálogo General de Cuentas, los Procedimientos Contables y los Instructivos Contables, y además modifica la </w:t>
          </w:r>
          <w:r w:rsidRPr="0E4E29E4">
            <w:rPr>
              <w:rFonts w:ascii="Times New Roman" w:eastAsia="Times New Roman" w:hAnsi="Times New Roman"/>
              <w:sz w:val="24"/>
              <w:szCs w:val="24"/>
            </w:rPr>
            <w:lastRenderedPageBreak/>
            <w:t>estructura y ámbito de aplicación del Régimen de Contabilidad Pública, consignada en la Resolución 354 de 2007.</w:t>
          </w:r>
        </w:p>
        <w:p w14:paraId="7E33CAB5" w14:textId="569B8E50" w:rsidR="00AA39A5" w:rsidRDefault="58569E78" w:rsidP="0E4E29E4">
          <w:pPr>
            <w:spacing w:after="0" w:line="240" w:lineRule="auto"/>
            <w:ind w:left="-20" w:right="-20"/>
            <w:jc w:val="both"/>
            <w:rPr>
              <w:rFonts w:ascii="Times New Roman" w:eastAsia="Times New Roman" w:hAnsi="Times New Roman"/>
              <w:sz w:val="24"/>
              <w:szCs w:val="24"/>
            </w:rPr>
          </w:pPr>
          <w:r w:rsidRPr="0E4E29E4">
            <w:rPr>
              <w:rFonts w:ascii="Times New Roman" w:eastAsia="Times New Roman" w:hAnsi="Times New Roman"/>
              <w:sz w:val="24"/>
              <w:szCs w:val="24"/>
            </w:rPr>
            <w:t>Como consecuencia de lo anterior, la Resolución 156 de 2018, adopta el Régimen de Contabilidad Pública conformada entre otros por el Marco Normativo para Entidades de Gobierno (Resolución 533 de 2015) y sus modificaciones con sus respectivos elementos, cuyo contenido normativo se encuentra en los actos administrativos mediante los cuales se incorporaron a dicho Régimen, entre ellos:</w:t>
          </w:r>
        </w:p>
        <w:p w14:paraId="54222C30" w14:textId="77777777" w:rsidR="00E93852" w:rsidRPr="00931DCE" w:rsidRDefault="00E93852" w:rsidP="0E4E29E4">
          <w:pPr>
            <w:spacing w:after="0" w:line="240" w:lineRule="auto"/>
            <w:ind w:left="-20" w:right="-20"/>
            <w:jc w:val="both"/>
          </w:pPr>
        </w:p>
        <w:p w14:paraId="68D084B2" w14:textId="32C1B868" w:rsidR="00AA39A5" w:rsidRPr="00931DCE" w:rsidRDefault="58569E78" w:rsidP="0E4E29E4">
          <w:pPr>
            <w:pStyle w:val="Prrafodelista"/>
            <w:numPr>
              <w:ilvl w:val="0"/>
              <w:numId w:val="200"/>
            </w:numPr>
            <w:spacing w:after="0" w:line="240" w:lineRule="auto"/>
            <w:ind w:left="-20" w:right="-20"/>
            <w:jc w:val="both"/>
            <w:rPr>
              <w:rFonts w:ascii="Times New Roman" w:eastAsia="Times New Roman" w:hAnsi="Times New Roman"/>
              <w:sz w:val="24"/>
              <w:szCs w:val="24"/>
            </w:rPr>
          </w:pPr>
          <w:r w:rsidRPr="0E4E29E4">
            <w:rPr>
              <w:rFonts w:ascii="Times New Roman" w:eastAsia="Times New Roman" w:hAnsi="Times New Roman"/>
              <w:sz w:val="24"/>
              <w:szCs w:val="24"/>
            </w:rPr>
            <w:t>Resolución No. 620 de 2015. Incorpora el Catálogo General de Cuentas al Marco Normativo para entidades de gobierno y sus modificaciones.</w:t>
          </w:r>
        </w:p>
        <w:p w14:paraId="63D944F8" w14:textId="15CD263D" w:rsidR="00AA39A5" w:rsidRPr="00931DCE" w:rsidRDefault="58569E78" w:rsidP="0E4E29E4">
          <w:pPr>
            <w:pStyle w:val="Prrafodelista"/>
            <w:numPr>
              <w:ilvl w:val="0"/>
              <w:numId w:val="200"/>
            </w:numPr>
            <w:spacing w:after="0" w:line="240" w:lineRule="auto"/>
            <w:ind w:left="-20" w:right="-20"/>
            <w:jc w:val="both"/>
            <w:rPr>
              <w:rFonts w:ascii="Times New Roman" w:eastAsia="Times New Roman" w:hAnsi="Times New Roman"/>
              <w:sz w:val="24"/>
              <w:szCs w:val="24"/>
            </w:rPr>
          </w:pPr>
          <w:r w:rsidRPr="0E4E29E4">
            <w:rPr>
              <w:rFonts w:ascii="Times New Roman" w:eastAsia="Times New Roman" w:hAnsi="Times New Roman"/>
              <w:sz w:val="24"/>
              <w:szCs w:val="24"/>
            </w:rPr>
            <w:t>Resolución No. 193 de 2016. Incorpora en los Procedimientos Transversales del Régimen de Contabilidad Pública, el Procedimiento para la evaluación del control interno contable y sus modificaciones.</w:t>
          </w:r>
        </w:p>
        <w:p w14:paraId="267D4233" w14:textId="2BBF3924" w:rsidR="00AA39A5" w:rsidRPr="00931DCE" w:rsidRDefault="58569E78" w:rsidP="0E4E29E4">
          <w:pPr>
            <w:pStyle w:val="Prrafodelista"/>
            <w:numPr>
              <w:ilvl w:val="0"/>
              <w:numId w:val="200"/>
            </w:numPr>
            <w:spacing w:after="0" w:line="240" w:lineRule="auto"/>
            <w:ind w:left="-20" w:right="-20"/>
            <w:jc w:val="both"/>
            <w:rPr>
              <w:rFonts w:ascii="Times New Roman" w:eastAsia="Times New Roman" w:hAnsi="Times New Roman"/>
              <w:sz w:val="24"/>
              <w:szCs w:val="24"/>
            </w:rPr>
          </w:pPr>
          <w:r w:rsidRPr="0E4E29E4">
            <w:rPr>
              <w:rFonts w:ascii="Times New Roman" w:eastAsia="Times New Roman" w:hAnsi="Times New Roman"/>
              <w:sz w:val="24"/>
              <w:szCs w:val="24"/>
            </w:rPr>
            <w:t>Resolución No. 525 de 2016. Incorpora al Régimen de Contabilidad Pública, la Norma de Proceso Contable y Sistema Documental Contable.</w:t>
          </w:r>
        </w:p>
        <w:p w14:paraId="3BC022A0" w14:textId="092BF603" w:rsidR="00AA39A5" w:rsidRPr="00931DCE" w:rsidRDefault="58569E78" w:rsidP="0E4E29E4">
          <w:pPr>
            <w:pStyle w:val="Prrafodelista"/>
            <w:numPr>
              <w:ilvl w:val="0"/>
              <w:numId w:val="200"/>
            </w:numPr>
            <w:spacing w:after="0" w:line="240" w:lineRule="auto"/>
            <w:ind w:left="-20" w:right="-20"/>
            <w:jc w:val="both"/>
            <w:rPr>
              <w:rFonts w:ascii="Times New Roman" w:eastAsia="Times New Roman" w:hAnsi="Times New Roman"/>
              <w:sz w:val="24"/>
              <w:szCs w:val="24"/>
            </w:rPr>
          </w:pPr>
          <w:r w:rsidRPr="0E4E29E4">
            <w:rPr>
              <w:rFonts w:ascii="Times New Roman" w:eastAsia="Times New Roman" w:hAnsi="Times New Roman"/>
              <w:sz w:val="24"/>
              <w:szCs w:val="24"/>
            </w:rPr>
            <w:t>Resolución No. 116 de 2017. Incorpora al Marco Normativo para Entidades de Gobierno, el procedimiento Contable para el registro de los procesos judiciales, arbitrajes, conciliaciones extrajudiciales y embargo sobre cuentas bancarias, y se modifica el Catálogo General de Cuentas de dicho Marco Normativo.</w:t>
          </w:r>
        </w:p>
        <w:p w14:paraId="5BCD0D7A" w14:textId="604ACDA7" w:rsidR="00AA39A5" w:rsidRPr="00931DCE" w:rsidRDefault="58569E78" w:rsidP="0E4E29E4">
          <w:pPr>
            <w:pStyle w:val="Prrafodelista"/>
            <w:numPr>
              <w:ilvl w:val="0"/>
              <w:numId w:val="196"/>
            </w:numPr>
            <w:spacing w:after="0" w:line="240" w:lineRule="auto"/>
            <w:ind w:left="-20" w:right="-20"/>
            <w:jc w:val="both"/>
            <w:rPr>
              <w:rFonts w:ascii="Times New Roman" w:eastAsia="Times New Roman" w:hAnsi="Times New Roman"/>
              <w:sz w:val="24"/>
              <w:szCs w:val="24"/>
            </w:rPr>
          </w:pPr>
          <w:r w:rsidRPr="0E4E29E4">
            <w:rPr>
              <w:rFonts w:ascii="Times New Roman" w:eastAsia="Times New Roman" w:hAnsi="Times New Roman"/>
              <w:sz w:val="24"/>
              <w:szCs w:val="24"/>
            </w:rPr>
            <w:t>Resolución 349 de 17 de septiembre de 2018, 'se incorpora, en los Procedimientos Transversales del Régimen de Contabilidad Pública, el Procedimiento para la elaboración del informe contable cuando se produzca cambio de representante legal'.</w:t>
          </w:r>
        </w:p>
        <w:p w14:paraId="0256043E" w14:textId="775F4AE4" w:rsidR="00AA39A5" w:rsidRPr="00931DCE" w:rsidRDefault="58569E78" w:rsidP="0E4E29E4">
          <w:pPr>
            <w:pStyle w:val="Prrafodelista"/>
            <w:numPr>
              <w:ilvl w:val="0"/>
              <w:numId w:val="196"/>
            </w:numPr>
            <w:spacing w:after="0" w:line="240" w:lineRule="auto"/>
            <w:ind w:left="-20" w:right="-20"/>
            <w:jc w:val="both"/>
            <w:rPr>
              <w:rFonts w:ascii="Times New Roman" w:eastAsia="Times New Roman" w:hAnsi="Times New Roman"/>
              <w:sz w:val="24"/>
              <w:szCs w:val="24"/>
            </w:rPr>
          </w:pPr>
          <w:r w:rsidRPr="0E4E29E4">
            <w:rPr>
              <w:rFonts w:ascii="Times New Roman" w:eastAsia="Times New Roman" w:hAnsi="Times New Roman"/>
              <w:sz w:val="24"/>
              <w:szCs w:val="24"/>
            </w:rPr>
            <w:t>Resolución No. 602 de 2018.  Por la cual se incorpora, al Marco Normativo para Entidades de Gobierno, el procedimiento contable para el registro de los hechos económicos relacionados con los acuerdos de concesión de Infraestructura de transporte y se modifica el Catálogo General de Cuentas de dicho Marco Normativo.</w:t>
          </w:r>
        </w:p>
        <w:p w14:paraId="659564A1" w14:textId="24B4767E" w:rsidR="00AA39A5" w:rsidRPr="00931DCE" w:rsidRDefault="58569E78" w:rsidP="0E4E29E4">
          <w:pPr>
            <w:pStyle w:val="Prrafodelista"/>
            <w:numPr>
              <w:ilvl w:val="0"/>
              <w:numId w:val="196"/>
            </w:numPr>
            <w:spacing w:after="0" w:line="240" w:lineRule="auto"/>
            <w:ind w:left="-20" w:right="-20"/>
            <w:jc w:val="both"/>
            <w:rPr>
              <w:rFonts w:ascii="Times New Roman" w:eastAsia="Times New Roman" w:hAnsi="Times New Roman"/>
              <w:sz w:val="24"/>
              <w:szCs w:val="24"/>
            </w:rPr>
          </w:pPr>
          <w:r w:rsidRPr="0E4E29E4">
            <w:rPr>
              <w:rFonts w:ascii="Times New Roman" w:eastAsia="Times New Roman" w:hAnsi="Times New Roman"/>
              <w:sz w:val="24"/>
              <w:szCs w:val="24"/>
            </w:rPr>
            <w:t>La Resolución No. 425 del 23 de diciembre de 2019, se modifican las Normas para el Reconocimiento, Medición, Revelación y Presentación de los Hechos Económicos del Marco Normativo para Entidades de Gobierno.</w:t>
          </w:r>
        </w:p>
        <w:p w14:paraId="5E560B77" w14:textId="26FBBE68" w:rsidR="00AA39A5" w:rsidRPr="00931DCE" w:rsidRDefault="58569E78" w:rsidP="0E4E29E4">
          <w:pPr>
            <w:pStyle w:val="Prrafodelista"/>
            <w:numPr>
              <w:ilvl w:val="0"/>
              <w:numId w:val="196"/>
            </w:numPr>
            <w:spacing w:after="0" w:line="240" w:lineRule="auto"/>
            <w:ind w:left="-20" w:right="-20"/>
            <w:jc w:val="both"/>
            <w:rPr>
              <w:rFonts w:ascii="Times New Roman" w:eastAsia="Times New Roman" w:hAnsi="Times New Roman"/>
              <w:sz w:val="24"/>
              <w:szCs w:val="24"/>
            </w:rPr>
          </w:pPr>
          <w:r w:rsidRPr="0E4E29E4">
            <w:rPr>
              <w:rFonts w:ascii="Times New Roman" w:eastAsia="Times New Roman" w:hAnsi="Times New Roman"/>
              <w:sz w:val="24"/>
              <w:szCs w:val="24"/>
            </w:rPr>
            <w:t>Resolución No. 080 del 2 de junio de 2021, Por la cual se modifica el Procedimiento contable para el registro de los procesos judiciales, arbitrajes, conciliaciones extrajudiciales y embargos sobre cuentas bancarias, del Marco Normativo para Entidades de Gobierno.</w:t>
          </w:r>
        </w:p>
        <w:p w14:paraId="7394DEE6" w14:textId="32BA31A0" w:rsidR="00AA39A5" w:rsidRPr="00931DCE" w:rsidRDefault="58569E78" w:rsidP="0E4E29E4">
          <w:pPr>
            <w:pStyle w:val="Prrafodelista"/>
            <w:numPr>
              <w:ilvl w:val="0"/>
              <w:numId w:val="196"/>
            </w:numPr>
            <w:spacing w:after="0" w:line="240" w:lineRule="auto"/>
            <w:ind w:left="-20" w:right="-20"/>
            <w:jc w:val="both"/>
            <w:rPr>
              <w:rFonts w:ascii="Times New Roman" w:eastAsia="Times New Roman" w:hAnsi="Times New Roman"/>
              <w:sz w:val="24"/>
              <w:szCs w:val="24"/>
            </w:rPr>
          </w:pPr>
          <w:r w:rsidRPr="0E4E29E4">
            <w:rPr>
              <w:rFonts w:ascii="Times New Roman" w:eastAsia="Times New Roman" w:hAnsi="Times New Roman"/>
              <w:sz w:val="24"/>
              <w:szCs w:val="24"/>
            </w:rPr>
            <w:t>Resolución No. 081 del 2 de junio de 2021, Por la cual se modifican los catálogos generales de cuentas de los marcos normativos del Régimen de Contabilidad Pública en lo relativo al registro contable de los procesos judiciales, arbitrajes y conciliaciones extrajudiciales.</w:t>
          </w:r>
        </w:p>
        <w:p w14:paraId="60214334" w14:textId="5C6BEB11" w:rsidR="00AA39A5" w:rsidRPr="00931DCE" w:rsidRDefault="58569E78" w:rsidP="0E4E29E4">
          <w:pPr>
            <w:pStyle w:val="Prrafodelista"/>
            <w:numPr>
              <w:ilvl w:val="0"/>
              <w:numId w:val="196"/>
            </w:numPr>
            <w:spacing w:after="0" w:line="240" w:lineRule="auto"/>
            <w:ind w:left="-20" w:right="-20"/>
            <w:jc w:val="both"/>
            <w:rPr>
              <w:rFonts w:ascii="Times New Roman" w:eastAsia="Times New Roman" w:hAnsi="Times New Roman"/>
              <w:sz w:val="24"/>
              <w:szCs w:val="24"/>
            </w:rPr>
          </w:pPr>
          <w:r w:rsidRPr="0E4E29E4">
            <w:rPr>
              <w:rFonts w:ascii="Times New Roman" w:eastAsia="Times New Roman" w:hAnsi="Times New Roman"/>
              <w:sz w:val="24"/>
              <w:szCs w:val="24"/>
            </w:rPr>
            <w:t>La Resolución No. 228 del 15 de diciembre de 2021, Por la cual se modifica el artículo 7º Transitorio de la Resolución 602 de 2018, que incorpora al Marco Normativo para Entidades de Gobierno el Procedimiento contable para el registro de los hechos económicos relacionados con los acuerdos de concesión de infraestructura de transporte, para ampliar los plazos establecidos en dicho artículo.</w:t>
          </w:r>
        </w:p>
        <w:p w14:paraId="3EB0E0A7" w14:textId="3A6681D8" w:rsidR="00AA39A5" w:rsidRPr="00931DCE" w:rsidRDefault="58569E78" w:rsidP="0E4E29E4">
          <w:pPr>
            <w:pStyle w:val="Prrafodelista"/>
            <w:numPr>
              <w:ilvl w:val="0"/>
              <w:numId w:val="196"/>
            </w:numPr>
            <w:spacing w:after="0" w:line="240" w:lineRule="auto"/>
            <w:ind w:left="-20" w:right="-20"/>
            <w:jc w:val="both"/>
            <w:rPr>
              <w:rFonts w:ascii="Times New Roman" w:eastAsia="Times New Roman" w:hAnsi="Times New Roman"/>
              <w:sz w:val="24"/>
              <w:szCs w:val="24"/>
            </w:rPr>
          </w:pPr>
          <w:r w:rsidRPr="0E4E29E4">
            <w:rPr>
              <w:rFonts w:ascii="Times New Roman" w:eastAsia="Times New Roman" w:hAnsi="Times New Roman"/>
              <w:sz w:val="24"/>
              <w:szCs w:val="24"/>
            </w:rPr>
            <w:t>Resolución No. 283 del 11 de octubre de 2022, se modificó el artículo 4º de la Resolución 533 de 2015, en lo relacionado con el plazo de presentación del Estado de Flujos de Efectivo de las Entidades de Gobierno.</w:t>
          </w:r>
        </w:p>
        <w:p w14:paraId="3E7F25D3" w14:textId="4A495DCC" w:rsidR="00AA39A5" w:rsidRPr="00931DCE" w:rsidRDefault="58569E78" w:rsidP="0E4E29E4">
          <w:pPr>
            <w:pStyle w:val="Prrafodelista"/>
            <w:numPr>
              <w:ilvl w:val="0"/>
              <w:numId w:val="196"/>
            </w:numPr>
            <w:spacing w:after="0" w:line="240" w:lineRule="auto"/>
            <w:ind w:left="-20" w:right="-20"/>
            <w:jc w:val="both"/>
            <w:rPr>
              <w:rFonts w:ascii="Times New Roman" w:eastAsia="Times New Roman" w:hAnsi="Times New Roman"/>
              <w:sz w:val="24"/>
              <w:szCs w:val="24"/>
            </w:rPr>
          </w:pPr>
          <w:r w:rsidRPr="0E4E29E4">
            <w:rPr>
              <w:rFonts w:ascii="Times New Roman" w:eastAsia="Times New Roman" w:hAnsi="Times New Roman"/>
              <w:sz w:val="24"/>
              <w:szCs w:val="24"/>
            </w:rPr>
            <w:t>Resolución No. 180 del 21 de junio de 2023, por la cual se incorpora la Norma de gastos de transferencias y subvenciones en las Normas para el Reconocimiento, Medición, Revelación y Presentación de los Hechos Económicos del Marco Normativo para Entidades de Gobierno.</w:t>
          </w:r>
        </w:p>
        <w:p w14:paraId="73BEAF7E" w14:textId="34BE17DA" w:rsidR="00AA39A5" w:rsidRPr="00931DCE" w:rsidRDefault="58569E78" w:rsidP="0E4E29E4">
          <w:pPr>
            <w:pStyle w:val="Prrafodelista"/>
            <w:numPr>
              <w:ilvl w:val="0"/>
              <w:numId w:val="196"/>
            </w:numPr>
            <w:spacing w:after="0" w:line="240" w:lineRule="auto"/>
            <w:ind w:left="-20" w:right="-20"/>
            <w:jc w:val="both"/>
            <w:rPr>
              <w:rFonts w:ascii="Times New Roman" w:eastAsia="Times New Roman" w:hAnsi="Times New Roman"/>
              <w:b/>
              <w:bCs/>
              <w:sz w:val="24"/>
              <w:szCs w:val="24"/>
            </w:rPr>
          </w:pPr>
          <w:r w:rsidRPr="0E4E29E4">
            <w:rPr>
              <w:rFonts w:ascii="Times New Roman" w:eastAsia="Times New Roman" w:hAnsi="Times New Roman"/>
              <w:sz w:val="24"/>
              <w:szCs w:val="24"/>
            </w:rPr>
            <w:lastRenderedPageBreak/>
            <w:t>Resolución No. 261 del 28 de agosto de 2023, Por la cual se modifica el procedimiento para la preparación y presentación de los informes financieros y contables de los procedimientos transversales</w:t>
          </w:r>
          <w:r w:rsidRPr="0E4E29E4">
            <w:rPr>
              <w:rFonts w:ascii="Times New Roman" w:eastAsia="Times New Roman" w:hAnsi="Times New Roman"/>
              <w:b/>
              <w:bCs/>
              <w:sz w:val="24"/>
              <w:szCs w:val="24"/>
            </w:rPr>
            <w:t xml:space="preserve"> </w:t>
          </w:r>
          <w:r w:rsidRPr="0E4E29E4">
            <w:rPr>
              <w:rFonts w:ascii="Times New Roman" w:eastAsia="Times New Roman" w:hAnsi="Times New Roman"/>
              <w:sz w:val="24"/>
              <w:szCs w:val="24"/>
            </w:rPr>
            <w:t>del Régimen de Contabilidad Pública</w:t>
          </w:r>
          <w:r w:rsidRPr="0E4E29E4">
            <w:rPr>
              <w:rFonts w:ascii="Times New Roman" w:eastAsia="Times New Roman" w:hAnsi="Times New Roman"/>
              <w:b/>
              <w:bCs/>
              <w:sz w:val="24"/>
              <w:szCs w:val="24"/>
            </w:rPr>
            <w:t>.</w:t>
          </w:r>
        </w:p>
        <w:p w14:paraId="74A22469" w14:textId="045A514B" w:rsidR="00AA39A5" w:rsidRPr="00931DCE" w:rsidRDefault="58569E78" w:rsidP="0E4E29E4">
          <w:pPr>
            <w:pStyle w:val="Prrafodelista"/>
            <w:numPr>
              <w:ilvl w:val="0"/>
              <w:numId w:val="196"/>
            </w:numPr>
            <w:spacing w:after="0" w:line="240" w:lineRule="auto"/>
            <w:ind w:left="-20" w:right="-20"/>
            <w:jc w:val="both"/>
            <w:rPr>
              <w:rFonts w:ascii="Times New Roman" w:eastAsia="Times New Roman" w:hAnsi="Times New Roman"/>
              <w:sz w:val="24"/>
              <w:szCs w:val="24"/>
            </w:rPr>
          </w:pPr>
          <w:r w:rsidRPr="0E4E29E4">
            <w:rPr>
              <w:rFonts w:ascii="Times New Roman" w:eastAsia="Times New Roman" w:hAnsi="Times New Roman"/>
              <w:sz w:val="24"/>
              <w:szCs w:val="24"/>
            </w:rPr>
            <w:t>Resolución No. 411 de 2023, Por la cual se establece la información a reportar, los requisitos, plazos y características de envío a la Contaduría General de la Nación y se deroga la Resolución 706 de 2016.</w:t>
          </w:r>
        </w:p>
        <w:p w14:paraId="4C153F26" w14:textId="718BCCF3" w:rsidR="00AA39A5" w:rsidRPr="00931DCE" w:rsidRDefault="58569E78" w:rsidP="0E4E29E4">
          <w:pPr>
            <w:pStyle w:val="Prrafodelista"/>
            <w:numPr>
              <w:ilvl w:val="0"/>
              <w:numId w:val="196"/>
            </w:numPr>
            <w:spacing w:after="0" w:line="240" w:lineRule="auto"/>
            <w:ind w:left="-20" w:right="-20"/>
            <w:jc w:val="both"/>
            <w:rPr>
              <w:rFonts w:ascii="Times New Roman" w:eastAsia="Times New Roman" w:hAnsi="Times New Roman"/>
              <w:sz w:val="24"/>
              <w:szCs w:val="24"/>
            </w:rPr>
          </w:pPr>
          <w:r w:rsidRPr="0E4E29E4">
            <w:rPr>
              <w:rFonts w:ascii="Times New Roman" w:eastAsia="Times New Roman" w:hAnsi="Times New Roman"/>
              <w:sz w:val="24"/>
              <w:szCs w:val="24"/>
            </w:rPr>
            <w:t>Resolución No. 038 de 2024, Por la cual se modifica el parágrafo 3 del artículo 6 de la Resolución No. 411 de 2023 y se derogan las Resoluciones 441 de 2019 y 193 de 2020.</w:t>
          </w:r>
        </w:p>
        <w:p w14:paraId="102FF620" w14:textId="324BC6C1" w:rsidR="00AA39A5" w:rsidRPr="00931DCE" w:rsidRDefault="58569E78" w:rsidP="0E4E29E4">
          <w:pPr>
            <w:pStyle w:val="Prrafodelista"/>
            <w:numPr>
              <w:ilvl w:val="0"/>
              <w:numId w:val="196"/>
            </w:numPr>
            <w:spacing w:after="0" w:line="240" w:lineRule="auto"/>
            <w:ind w:left="-20" w:right="-20"/>
            <w:jc w:val="both"/>
            <w:rPr>
              <w:rFonts w:ascii="Times New Roman" w:eastAsia="Times New Roman" w:hAnsi="Times New Roman"/>
              <w:sz w:val="24"/>
              <w:szCs w:val="24"/>
            </w:rPr>
          </w:pPr>
          <w:r w:rsidRPr="0E4E29E4">
            <w:rPr>
              <w:rFonts w:ascii="Times New Roman" w:eastAsia="Times New Roman" w:hAnsi="Times New Roman"/>
              <w:sz w:val="24"/>
              <w:szCs w:val="24"/>
            </w:rPr>
            <w:t>La Doctrina Contable Pública y demás normas, que para el efecto expida la Contaduría General de la Nación y que sean de aplicación de la Agencia Nacional de Infraestructura.</w:t>
          </w:r>
        </w:p>
        <w:p w14:paraId="74B58BCB" w14:textId="05CDD178" w:rsidR="00AA39A5" w:rsidRPr="00931DCE" w:rsidRDefault="58569E78" w:rsidP="0E4E29E4">
          <w:pPr>
            <w:spacing w:after="0" w:line="240" w:lineRule="auto"/>
            <w:ind w:left="-20" w:right="-20"/>
            <w:jc w:val="both"/>
          </w:pPr>
          <w:r w:rsidRPr="0E4E29E4">
            <w:rPr>
              <w:rFonts w:ascii="Times New Roman" w:eastAsia="Times New Roman" w:hAnsi="Times New Roman"/>
              <w:sz w:val="18"/>
              <w:szCs w:val="18"/>
            </w:rPr>
            <w:t xml:space="preserve"> </w:t>
          </w:r>
        </w:p>
        <w:p w14:paraId="25174404" w14:textId="65FD9E54" w:rsidR="00AA39A5" w:rsidRDefault="58569E78" w:rsidP="0E4E29E4">
          <w:pPr>
            <w:spacing w:after="0" w:line="240" w:lineRule="auto"/>
            <w:ind w:left="-20" w:right="-20"/>
            <w:jc w:val="both"/>
            <w:rPr>
              <w:rFonts w:ascii="Times New Roman" w:eastAsia="Times New Roman" w:hAnsi="Times New Roman"/>
              <w:sz w:val="24"/>
              <w:szCs w:val="24"/>
            </w:rPr>
          </w:pPr>
          <w:r w:rsidRPr="0E4E29E4">
            <w:rPr>
              <w:rFonts w:ascii="Times New Roman" w:eastAsia="Times New Roman" w:hAnsi="Times New Roman"/>
              <w:sz w:val="24"/>
              <w:szCs w:val="24"/>
            </w:rPr>
            <w:t>Normas aplicadas por la Entidad e incorporadas en el Manual de Políticas Contables para reconocer, registrar, medir, revelar y presentar sus hechos económicos, en los estados financieros con corte a diciembre 31 de 2023.</w:t>
          </w:r>
        </w:p>
        <w:p w14:paraId="0C1D94C2" w14:textId="77777777" w:rsidR="00E93852" w:rsidRPr="00931DCE" w:rsidRDefault="00E93852" w:rsidP="0E4E29E4">
          <w:pPr>
            <w:spacing w:after="0" w:line="240" w:lineRule="auto"/>
            <w:ind w:left="-20" w:right="-20"/>
            <w:jc w:val="both"/>
          </w:pPr>
        </w:p>
        <w:p w14:paraId="7517A856" w14:textId="1EF211E7" w:rsidR="00AA39A5" w:rsidRDefault="58569E78" w:rsidP="0E4E29E4">
          <w:pPr>
            <w:spacing w:after="0" w:line="240" w:lineRule="auto"/>
            <w:ind w:left="-20" w:right="-20"/>
            <w:jc w:val="both"/>
            <w:rPr>
              <w:rFonts w:ascii="Times New Roman" w:eastAsia="Times New Roman" w:hAnsi="Times New Roman"/>
              <w:sz w:val="24"/>
              <w:szCs w:val="24"/>
            </w:rPr>
          </w:pPr>
          <w:r w:rsidRPr="0E4E29E4">
            <w:rPr>
              <w:rFonts w:ascii="Times New Roman" w:eastAsia="Times New Roman" w:hAnsi="Times New Roman"/>
              <w:sz w:val="24"/>
              <w:szCs w:val="24"/>
            </w:rPr>
            <w:t>La ANI, cuenta con el Comité Técnico de Sostenibilidad del Sistema de Contabilidad, conformado mediante Resolución No. 334 de junio de 2012 y modificado mediante la Resolución 429 de 2014, como instancia asesora para determinar y fijar políticas de sostenibilidad del sistema de contabilidad de la entidad.</w:t>
          </w:r>
        </w:p>
        <w:p w14:paraId="7041BC85" w14:textId="77777777" w:rsidR="00E93852" w:rsidRPr="00931DCE" w:rsidRDefault="00E93852" w:rsidP="0E4E29E4">
          <w:pPr>
            <w:spacing w:after="0" w:line="240" w:lineRule="auto"/>
            <w:ind w:left="-20" w:right="-20"/>
            <w:jc w:val="both"/>
          </w:pPr>
        </w:p>
        <w:p w14:paraId="4AB3EECC" w14:textId="4F7AF39F" w:rsidR="00AA39A5" w:rsidRDefault="58569E78" w:rsidP="0E4E29E4">
          <w:pPr>
            <w:spacing w:after="0" w:line="240" w:lineRule="auto"/>
            <w:ind w:left="-20" w:right="-20"/>
            <w:jc w:val="both"/>
            <w:rPr>
              <w:rFonts w:ascii="Times New Roman" w:eastAsia="Times New Roman" w:hAnsi="Times New Roman"/>
              <w:sz w:val="24"/>
              <w:szCs w:val="24"/>
            </w:rPr>
          </w:pPr>
          <w:r w:rsidRPr="0E4E29E4">
            <w:rPr>
              <w:rFonts w:ascii="Times New Roman" w:eastAsia="Times New Roman" w:hAnsi="Times New Roman"/>
              <w:sz w:val="24"/>
              <w:szCs w:val="24"/>
            </w:rPr>
            <w:t>Para el cierre contable del período, la Agencia siguió las instrucciones indicadas en el Instructivo CGN No. 001 del 12 de diciembre de 2023, mediante el cual se impartieron instrucciones generales relacionadas con el cambio de periodo contable 2023-2024 y el reporte de información a la Contaduría General de la Nación y otros asuntos del proceso contable.</w:t>
          </w:r>
        </w:p>
        <w:p w14:paraId="468F2C30" w14:textId="77777777" w:rsidR="00E93852" w:rsidRPr="00931DCE" w:rsidRDefault="00E93852" w:rsidP="0E4E29E4">
          <w:pPr>
            <w:spacing w:after="0" w:line="240" w:lineRule="auto"/>
            <w:ind w:left="-20" w:right="-20"/>
            <w:jc w:val="both"/>
          </w:pPr>
        </w:p>
        <w:p w14:paraId="126E05AE" w14:textId="101E4C23" w:rsidR="00AA39A5" w:rsidRDefault="58569E78" w:rsidP="0E4E29E4">
          <w:pPr>
            <w:spacing w:after="0" w:line="240" w:lineRule="auto"/>
            <w:ind w:left="-20" w:right="-20"/>
            <w:jc w:val="both"/>
            <w:rPr>
              <w:rFonts w:ascii="Times New Roman" w:eastAsia="Times New Roman" w:hAnsi="Times New Roman"/>
              <w:sz w:val="24"/>
              <w:szCs w:val="24"/>
            </w:rPr>
          </w:pPr>
          <w:r w:rsidRPr="0E4E29E4">
            <w:rPr>
              <w:rFonts w:ascii="Times New Roman" w:eastAsia="Times New Roman" w:hAnsi="Times New Roman"/>
              <w:sz w:val="24"/>
              <w:szCs w:val="24"/>
            </w:rPr>
            <w:t>En la vigencia 2023, la Agencia adelantó las actividades del plan de trabajo suscrito con la Contaduría General de la Nación - CGN, para contrarrestar las limitaciones que se describen más adelante, relacionadas con la implementación de la norma de acuerdos de concesión desde la perspectiva de la entidad concedente en los correspondiente a: i) Reconocimiento por separado de los terrenos y los bienes de infraestructura; ii) Determinar los componentes de los activos para los bienes de uso público y propiedades, planta y equipo en concesión; iii) Determinar la vida útil de los activos concesionados y su posterior depreciación, evaluar los indicios de deterioro de valor y,  iv) la medición e incorporación de los activos de infraestructura que se encontraban concesionados antes del 01 de enero de 2018.</w:t>
          </w:r>
        </w:p>
        <w:p w14:paraId="58266921" w14:textId="77777777" w:rsidR="00E93852" w:rsidRPr="00931DCE" w:rsidRDefault="00E93852" w:rsidP="0E4E29E4">
          <w:pPr>
            <w:spacing w:after="0" w:line="240" w:lineRule="auto"/>
            <w:ind w:left="-20" w:right="-20"/>
            <w:jc w:val="both"/>
          </w:pPr>
        </w:p>
        <w:p w14:paraId="6D90C12D" w14:textId="549BF805" w:rsidR="00AA39A5" w:rsidRDefault="58569E78" w:rsidP="0E4E29E4">
          <w:pPr>
            <w:spacing w:after="0" w:line="240" w:lineRule="auto"/>
            <w:ind w:left="-20" w:right="-20"/>
            <w:jc w:val="both"/>
            <w:rPr>
              <w:rFonts w:ascii="Times New Roman" w:eastAsia="Times New Roman" w:hAnsi="Times New Roman"/>
              <w:sz w:val="24"/>
              <w:szCs w:val="24"/>
            </w:rPr>
          </w:pPr>
          <w:r w:rsidRPr="0E4E29E4">
            <w:rPr>
              <w:rFonts w:ascii="Times New Roman" w:eastAsia="Times New Roman" w:hAnsi="Times New Roman"/>
              <w:sz w:val="24"/>
              <w:szCs w:val="24"/>
            </w:rPr>
            <w:t>Frente al reconocimiento por separado de los terrenos, la Agencia ha adelantado actividades para el reconocimiento contable de los valores relacionados con la adquisición predial, presentado mayor avance en los proyectos carretero de cuarta generación, tercera, segunda y primera generación y modo férreo respectivamente.</w:t>
          </w:r>
        </w:p>
        <w:p w14:paraId="11A4DCD5" w14:textId="77777777" w:rsidR="00E93852" w:rsidRPr="00931DCE" w:rsidRDefault="00E93852" w:rsidP="0E4E29E4">
          <w:pPr>
            <w:spacing w:after="0" w:line="240" w:lineRule="auto"/>
            <w:ind w:left="-20" w:right="-20"/>
            <w:jc w:val="both"/>
          </w:pPr>
        </w:p>
        <w:p w14:paraId="16BE65EB" w14:textId="46803350" w:rsidR="00AA39A5" w:rsidRPr="00931DCE" w:rsidRDefault="58569E78" w:rsidP="0E4E29E4">
          <w:pPr>
            <w:spacing w:after="0" w:line="240" w:lineRule="auto"/>
            <w:ind w:left="-20" w:right="-20"/>
            <w:jc w:val="both"/>
          </w:pPr>
          <w:r w:rsidRPr="0E4E29E4">
            <w:rPr>
              <w:rFonts w:ascii="Times New Roman" w:eastAsia="Times New Roman" w:hAnsi="Times New Roman"/>
              <w:sz w:val="24"/>
              <w:szCs w:val="24"/>
            </w:rPr>
            <w:t xml:space="preserve">En lo relacionado con la determinación de los componentes de activos, para el modo de transporte carretero, se diseñó un formato para identificar y clasificar las propiedades, planta y equipo y los activos intangibles en concesión de los bienes de uso público. No obstante, se han identificado situaciones como bajas de activos y reemplazos que requieren de un análisis detallado y que implica ajustes al formato establecido, igualmente ocurre para los modos portuario y férreo. </w:t>
          </w:r>
        </w:p>
        <w:p w14:paraId="5D9F114E" w14:textId="41EB6AAD" w:rsidR="00AA39A5" w:rsidRPr="00931DCE" w:rsidRDefault="58569E78" w:rsidP="0E4E29E4">
          <w:pPr>
            <w:spacing w:after="0" w:line="240" w:lineRule="auto"/>
            <w:ind w:left="-20" w:right="-20"/>
            <w:jc w:val="both"/>
          </w:pPr>
          <w:r w:rsidRPr="0E4E29E4">
            <w:rPr>
              <w:rFonts w:ascii="Times New Roman" w:eastAsia="Times New Roman" w:hAnsi="Times New Roman"/>
              <w:sz w:val="24"/>
              <w:szCs w:val="24"/>
            </w:rPr>
            <w:t xml:space="preserve"> </w:t>
          </w:r>
        </w:p>
        <w:p w14:paraId="3208ECEA" w14:textId="7CB8A347" w:rsidR="00AA39A5" w:rsidRDefault="58569E78" w:rsidP="0E4E29E4">
          <w:pPr>
            <w:spacing w:after="0" w:line="240" w:lineRule="auto"/>
            <w:ind w:left="-20" w:right="-20"/>
            <w:jc w:val="both"/>
            <w:rPr>
              <w:rFonts w:ascii="Times New Roman" w:eastAsia="Times New Roman" w:hAnsi="Times New Roman"/>
              <w:sz w:val="24"/>
              <w:szCs w:val="24"/>
            </w:rPr>
          </w:pPr>
          <w:r w:rsidRPr="0E4E29E4">
            <w:rPr>
              <w:rFonts w:ascii="Times New Roman" w:eastAsia="Times New Roman" w:hAnsi="Times New Roman"/>
              <w:sz w:val="24"/>
              <w:szCs w:val="24"/>
            </w:rPr>
            <w:lastRenderedPageBreak/>
            <w:t>Respecto a la actividad de determinar las vidas útiles de los activos concesionados y su posterior depreciación, se han explorado alternativas como los son requerimientos de información a los concesionarios sobre los métodos adoptados y el desarrollo de una metodología de reconocido valor técnico que soporte la determinación de estos conceptos y que permita efectuar un adecuado reconocimiento contable de los mismos. Aun así, la implementación de un sistema de información geográfica detallado es un componente esencial para establecer un sistema de gestión de activos de infraestructura eficaz en el sector transporte.</w:t>
          </w:r>
        </w:p>
        <w:p w14:paraId="4F4D1A2E" w14:textId="77777777" w:rsidR="00E93852" w:rsidRPr="00931DCE" w:rsidRDefault="00E93852" w:rsidP="0E4E29E4">
          <w:pPr>
            <w:spacing w:after="0" w:line="240" w:lineRule="auto"/>
            <w:ind w:left="-20" w:right="-20"/>
            <w:jc w:val="both"/>
          </w:pPr>
        </w:p>
        <w:p w14:paraId="2869953C" w14:textId="4830810E" w:rsidR="00AA39A5" w:rsidRDefault="58569E78" w:rsidP="0E4E29E4">
          <w:pPr>
            <w:spacing w:after="0" w:line="240" w:lineRule="auto"/>
            <w:ind w:left="-20" w:right="-20"/>
            <w:jc w:val="both"/>
            <w:rPr>
              <w:rFonts w:ascii="Times New Roman" w:eastAsia="Times New Roman" w:hAnsi="Times New Roman"/>
              <w:sz w:val="24"/>
              <w:szCs w:val="24"/>
            </w:rPr>
          </w:pPr>
          <w:r w:rsidRPr="0E4E29E4">
            <w:rPr>
              <w:rFonts w:ascii="Times New Roman" w:eastAsia="Times New Roman" w:hAnsi="Times New Roman"/>
              <w:sz w:val="24"/>
              <w:szCs w:val="24"/>
            </w:rPr>
            <w:t>El "Sistema de Gestión de Activos de Infraestructura de Transporte" es un proyecto en el que se encuentran trabajando las entidades adscritas al sector transporte, lideradas por el Ministerio de Transporte, este tiene como objetivo principal realizar la identificación, inventario, diagnóstico y valoración de los activos de los modos de transporte como lo son: carretero, ferroviario, fluvial, marítimo y aeroportuario.</w:t>
          </w:r>
        </w:p>
        <w:p w14:paraId="748E0AC8" w14:textId="77777777" w:rsidR="00E93852" w:rsidRPr="00931DCE" w:rsidRDefault="00E93852" w:rsidP="0E4E29E4">
          <w:pPr>
            <w:spacing w:after="0" w:line="240" w:lineRule="auto"/>
            <w:ind w:left="-20" w:right="-20"/>
            <w:jc w:val="both"/>
          </w:pPr>
        </w:p>
        <w:p w14:paraId="61F6605C" w14:textId="3BDF5A90" w:rsidR="00AA39A5" w:rsidRPr="00931DCE" w:rsidRDefault="58569E78" w:rsidP="0E4E29E4">
          <w:pPr>
            <w:spacing w:line="254" w:lineRule="auto"/>
            <w:ind w:left="-20" w:right="-20"/>
            <w:jc w:val="both"/>
          </w:pPr>
          <w:r w:rsidRPr="0E4E29E4">
            <w:rPr>
              <w:rFonts w:ascii="Times New Roman" w:eastAsia="Times New Roman" w:hAnsi="Times New Roman"/>
              <w:sz w:val="24"/>
              <w:szCs w:val="24"/>
            </w:rPr>
            <w:t>Se han identificado entre otras, la necesidad de establecer un diccionario de datos unificado para el sector; modificar la Resolución 412 de 2020, que regula la clasificación de la red vial nacional; desarrollar una metodología específica de depreciación de activos de infraestructura para el sector transporte y no especifica para la Agencia.</w:t>
          </w:r>
        </w:p>
        <w:p w14:paraId="76B435AA" w14:textId="76DB5334" w:rsidR="00AA39A5" w:rsidRPr="00931DCE" w:rsidRDefault="58569E78" w:rsidP="0E4E29E4">
          <w:pPr>
            <w:spacing w:line="276" w:lineRule="auto"/>
            <w:ind w:left="-20" w:right="-20"/>
            <w:jc w:val="both"/>
          </w:pPr>
          <w:r w:rsidRPr="0E4E29E4">
            <w:rPr>
              <w:rFonts w:ascii="Times New Roman" w:eastAsia="Times New Roman" w:hAnsi="Times New Roman"/>
              <w:sz w:val="24"/>
              <w:szCs w:val="24"/>
            </w:rPr>
            <w:t>Aunado a lo anterior, los otros modos aeroportuario, ferroviario, fluvial y marítimo aún no cuentan con una normativa específica para clasificación y codificación de inventarios de activos, y de manera general no se identifican metodologías de depreciación para la infraestructura de transporte, temas que serán abordados en el desarrollo del mencionado proyecto.</w:t>
          </w:r>
        </w:p>
        <w:p w14:paraId="32D14F2F" w14:textId="0387C9D1" w:rsidR="00AA39A5" w:rsidRPr="00931DCE" w:rsidRDefault="58569E78" w:rsidP="0E4E29E4">
          <w:pPr>
            <w:spacing w:after="0" w:line="240" w:lineRule="auto"/>
            <w:ind w:left="-20" w:right="-20"/>
            <w:jc w:val="both"/>
          </w:pPr>
          <w:r w:rsidRPr="0E4E29E4">
            <w:rPr>
              <w:rFonts w:ascii="Times New Roman" w:eastAsia="Times New Roman" w:hAnsi="Times New Roman"/>
              <w:sz w:val="24"/>
              <w:szCs w:val="24"/>
            </w:rPr>
            <w:t>Dentro de las actividades realizadas en cumplimiento del plan de trabajo suscrito para dar aplicación a la Norma de Acuerdos de Concesión desde la perspectiva de la entidad concedente, encontramos:</w:t>
          </w:r>
        </w:p>
        <w:p w14:paraId="324C47DF" w14:textId="05163433" w:rsidR="00AA39A5" w:rsidRPr="00931DCE" w:rsidRDefault="58569E78" w:rsidP="0E4E29E4">
          <w:pPr>
            <w:pStyle w:val="Prrafodelista"/>
            <w:numPr>
              <w:ilvl w:val="0"/>
              <w:numId w:val="184"/>
            </w:numPr>
            <w:spacing w:after="0" w:line="240" w:lineRule="auto"/>
            <w:ind w:left="-20" w:right="-20"/>
            <w:jc w:val="both"/>
            <w:rPr>
              <w:rFonts w:ascii="Times New Roman" w:eastAsia="Times New Roman" w:hAnsi="Times New Roman"/>
              <w:sz w:val="24"/>
              <w:szCs w:val="24"/>
            </w:rPr>
          </w:pPr>
          <w:r w:rsidRPr="0E4E29E4">
            <w:rPr>
              <w:rFonts w:ascii="Times New Roman" w:eastAsia="Times New Roman" w:hAnsi="Times New Roman"/>
              <w:sz w:val="24"/>
              <w:szCs w:val="24"/>
            </w:rPr>
            <w:t>La conformación de un equipo de trabajo interdisciplinario, conformado por las áreas técnicas y financieras de todos los modos de transporte, el área contable de la Vicepresidencia de Gestión Corporativa y el grupo interno de trabajo predial de la Vicepresidencia de Planeación, Riesgos y Entorno, con el propósito de adelantar las gestiones y actividades necesarias en pro de cumplir la Norma.</w:t>
          </w:r>
        </w:p>
        <w:p w14:paraId="6527B1BC" w14:textId="5D994B6B" w:rsidR="00AA39A5" w:rsidRPr="00931DCE" w:rsidRDefault="58569E78" w:rsidP="0E4E29E4">
          <w:pPr>
            <w:pStyle w:val="Prrafodelista"/>
            <w:numPr>
              <w:ilvl w:val="0"/>
              <w:numId w:val="184"/>
            </w:numPr>
            <w:spacing w:after="0" w:line="240" w:lineRule="auto"/>
            <w:ind w:left="-20" w:right="-20"/>
            <w:jc w:val="both"/>
            <w:rPr>
              <w:rFonts w:ascii="Times New Roman" w:eastAsia="Times New Roman" w:hAnsi="Times New Roman"/>
              <w:sz w:val="24"/>
              <w:szCs w:val="24"/>
            </w:rPr>
          </w:pPr>
          <w:r w:rsidRPr="0E4E29E4">
            <w:rPr>
              <w:rFonts w:ascii="Times New Roman" w:eastAsia="Times New Roman" w:hAnsi="Times New Roman"/>
              <w:sz w:val="24"/>
              <w:szCs w:val="24"/>
            </w:rPr>
            <w:t>La implementación de sistemas de información a nivel sectorial.</w:t>
          </w:r>
        </w:p>
        <w:p w14:paraId="2E90E3CE" w14:textId="60107C4F" w:rsidR="00AA39A5" w:rsidRPr="00931DCE" w:rsidRDefault="58569E78" w:rsidP="0E4E29E4">
          <w:pPr>
            <w:spacing w:after="0" w:line="240" w:lineRule="auto"/>
            <w:ind w:left="-20" w:right="-20"/>
            <w:jc w:val="both"/>
          </w:pPr>
          <w:r w:rsidRPr="0E4E29E4">
            <w:rPr>
              <w:rFonts w:ascii="Times New Roman" w:eastAsia="Times New Roman" w:hAnsi="Times New Roman"/>
              <w:sz w:val="24"/>
              <w:szCs w:val="24"/>
            </w:rPr>
            <w:t xml:space="preserve"> </w:t>
          </w:r>
        </w:p>
        <w:p w14:paraId="6C52EAF8" w14:textId="52C80201" w:rsidR="00AA39A5" w:rsidRPr="00931DCE" w:rsidRDefault="58569E78" w:rsidP="0E4E29E4">
          <w:pPr>
            <w:spacing w:after="0" w:line="240" w:lineRule="auto"/>
            <w:ind w:left="-20" w:right="-20"/>
            <w:jc w:val="both"/>
          </w:pPr>
          <w:r w:rsidRPr="0E4E29E4">
            <w:rPr>
              <w:rFonts w:ascii="Times New Roman" w:eastAsia="Times New Roman" w:hAnsi="Times New Roman"/>
              <w:sz w:val="24"/>
              <w:szCs w:val="24"/>
            </w:rPr>
            <w:t>Gestiones adelantadas para el cierre de la vigencia.</w:t>
          </w:r>
        </w:p>
        <w:p w14:paraId="3BEB3480" w14:textId="494A1D78" w:rsidR="00AA39A5" w:rsidRPr="00931DCE" w:rsidRDefault="58569E78" w:rsidP="0E4E29E4">
          <w:pPr>
            <w:spacing w:after="0" w:line="240" w:lineRule="auto"/>
            <w:ind w:left="-20" w:right="-20"/>
            <w:jc w:val="both"/>
          </w:pPr>
          <w:r w:rsidRPr="0E4E29E4">
            <w:rPr>
              <w:rFonts w:ascii="Times New Roman" w:eastAsia="Times New Roman" w:hAnsi="Times New Roman"/>
              <w:sz w:val="24"/>
              <w:szCs w:val="24"/>
            </w:rPr>
            <w:t xml:space="preserve"> </w:t>
          </w:r>
        </w:p>
        <w:p w14:paraId="77E040D8" w14:textId="54E1461B" w:rsidR="00AA39A5" w:rsidRPr="00931DCE" w:rsidRDefault="58569E78" w:rsidP="0E4E29E4">
          <w:pPr>
            <w:spacing w:after="0" w:line="240" w:lineRule="auto"/>
            <w:ind w:left="-20" w:right="-20"/>
            <w:jc w:val="both"/>
          </w:pPr>
          <w:r w:rsidRPr="0E4E29E4">
            <w:rPr>
              <w:rFonts w:ascii="Times New Roman" w:eastAsia="Times New Roman" w:hAnsi="Times New Roman"/>
              <w:sz w:val="24"/>
              <w:szCs w:val="24"/>
              <w:u w:val="single"/>
            </w:rPr>
            <w:t xml:space="preserve">Modo Carretero:  </w:t>
          </w:r>
          <w:r w:rsidRPr="0E4E29E4">
            <w:rPr>
              <w:rFonts w:ascii="Times New Roman" w:eastAsia="Times New Roman" w:hAnsi="Times New Roman"/>
              <w:sz w:val="24"/>
              <w:szCs w:val="24"/>
            </w:rPr>
            <w:t xml:space="preserve">Para cumplir con la norma en los proyectos de concesión del modo carretero, la Agencia utiliza una técnica de estimación y para ello ha desarrollado un modelo financiero con fines contables para poder determinar los criterios a utilizar para la medición y adecuada revelación de los activos y pasivos desarrollados en la ejecución del contrato de concesión y cuyo resultado se verá reflejado en los estados financieros de la Agencia a 31 de diciembre de 2023. </w:t>
          </w:r>
        </w:p>
        <w:p w14:paraId="0B30846E" w14:textId="3BF75EAE" w:rsidR="00AA39A5" w:rsidRDefault="58569E78" w:rsidP="0E4E29E4">
          <w:pPr>
            <w:spacing w:after="0" w:line="240" w:lineRule="auto"/>
            <w:ind w:left="-20" w:right="-20"/>
            <w:jc w:val="both"/>
            <w:rPr>
              <w:rFonts w:ascii="Times New Roman" w:eastAsia="Times New Roman" w:hAnsi="Times New Roman"/>
              <w:sz w:val="24"/>
              <w:szCs w:val="24"/>
            </w:rPr>
          </w:pPr>
          <w:r w:rsidRPr="0E4E29E4">
            <w:rPr>
              <w:rFonts w:ascii="Times New Roman" w:eastAsia="Times New Roman" w:hAnsi="Times New Roman"/>
              <w:sz w:val="24"/>
              <w:szCs w:val="24"/>
            </w:rPr>
            <w:t xml:space="preserve">Para la medición y reconocimiento de los activos asociados al modo carretero, se cuenta con la guía GADF-I-010 –Implementación del modelo financiero con fines contables que describe la metodología para el diligenciamiento del modelo financiero. En él, las interventorías y la </w:t>
          </w:r>
          <w:r w:rsidRPr="0E4E29E4">
            <w:rPr>
              <w:rFonts w:ascii="Times New Roman" w:eastAsia="Times New Roman" w:hAnsi="Times New Roman"/>
              <w:sz w:val="24"/>
              <w:szCs w:val="24"/>
            </w:rPr>
            <w:lastRenderedPageBreak/>
            <w:t>entidad diligenciaran, revisaran y aprueban la información para el reconocimiento de los hechos económicos de los proyectos de concesión.</w:t>
          </w:r>
        </w:p>
        <w:p w14:paraId="2EDE39FD" w14:textId="77777777" w:rsidR="00E93852" w:rsidRPr="00931DCE" w:rsidRDefault="00E93852" w:rsidP="0E4E29E4">
          <w:pPr>
            <w:spacing w:after="0" w:line="240" w:lineRule="auto"/>
            <w:ind w:left="-20" w:right="-20"/>
            <w:jc w:val="both"/>
          </w:pPr>
        </w:p>
        <w:p w14:paraId="14B525FC" w14:textId="1E635B4E" w:rsidR="00AA39A5" w:rsidRDefault="58569E78" w:rsidP="0E4E29E4">
          <w:pPr>
            <w:spacing w:after="0" w:line="240" w:lineRule="auto"/>
            <w:ind w:left="-20" w:right="-20"/>
            <w:jc w:val="both"/>
            <w:rPr>
              <w:rFonts w:ascii="Times New Roman" w:eastAsia="Times New Roman" w:hAnsi="Times New Roman"/>
              <w:sz w:val="24"/>
              <w:szCs w:val="24"/>
            </w:rPr>
          </w:pPr>
          <w:r w:rsidRPr="0E4E29E4">
            <w:rPr>
              <w:rFonts w:ascii="Times New Roman" w:eastAsia="Times New Roman" w:hAnsi="Times New Roman"/>
              <w:sz w:val="24"/>
              <w:szCs w:val="24"/>
            </w:rPr>
            <w:t xml:space="preserve">Se diseñó e implementó la guía para la evaluación de indicios de deterioro de valor y su estimación sobre aquellos activos considerados materiales sin perjuicio de los cambios que se puedan presentar, una vez se adelanten las actividades previstas en los cronogramas del plan de trabajo suscritos. </w:t>
          </w:r>
        </w:p>
        <w:p w14:paraId="2F3B8C98" w14:textId="77777777" w:rsidR="00E93852" w:rsidRPr="00931DCE" w:rsidRDefault="00E93852" w:rsidP="0E4E29E4">
          <w:pPr>
            <w:spacing w:after="0" w:line="240" w:lineRule="auto"/>
            <w:ind w:left="-20" w:right="-20"/>
            <w:jc w:val="both"/>
          </w:pPr>
        </w:p>
        <w:p w14:paraId="415A99C6" w14:textId="38BC6578" w:rsidR="00AA39A5" w:rsidRDefault="58569E78" w:rsidP="0E4E29E4">
          <w:pPr>
            <w:spacing w:after="0" w:line="240" w:lineRule="auto"/>
            <w:ind w:left="-20" w:right="-20"/>
            <w:jc w:val="both"/>
            <w:rPr>
              <w:rFonts w:ascii="Times New Roman" w:eastAsia="Times New Roman" w:hAnsi="Times New Roman"/>
              <w:sz w:val="24"/>
              <w:szCs w:val="24"/>
            </w:rPr>
          </w:pPr>
          <w:r w:rsidRPr="0E4E29E4">
            <w:rPr>
              <w:rFonts w:ascii="Times New Roman" w:eastAsia="Times New Roman" w:hAnsi="Times New Roman"/>
              <w:sz w:val="24"/>
              <w:szCs w:val="24"/>
            </w:rPr>
            <w:t>Las técnicas de estimación desarrolladas para el modo carretero tienen el propósito de revelar los hechos económicos de los contratos de concesión en los estados financieros de la entidad y en ningún caso servirá como criterio de interpretación en el marco de un Tribunal de Arbitramento, Amigable Componedor o de ningún otro mecanismo de solución de controversias.</w:t>
          </w:r>
        </w:p>
        <w:p w14:paraId="502E4532" w14:textId="77777777" w:rsidR="00E93852" w:rsidRPr="00931DCE" w:rsidRDefault="00E93852" w:rsidP="0E4E29E4">
          <w:pPr>
            <w:spacing w:after="0" w:line="240" w:lineRule="auto"/>
            <w:ind w:left="-20" w:right="-20"/>
            <w:jc w:val="both"/>
          </w:pPr>
        </w:p>
        <w:p w14:paraId="681E6FD4" w14:textId="7956FE15" w:rsidR="00AA39A5" w:rsidRPr="00931DCE" w:rsidRDefault="58569E78" w:rsidP="0E4E29E4">
          <w:pPr>
            <w:tabs>
              <w:tab w:val="left" w:pos="426"/>
            </w:tabs>
            <w:spacing w:after="0" w:line="240" w:lineRule="auto"/>
            <w:ind w:left="-20" w:right="48"/>
            <w:jc w:val="both"/>
          </w:pPr>
          <w:r w:rsidRPr="0E4E29E4">
            <w:rPr>
              <w:rFonts w:ascii="Times New Roman" w:eastAsia="Times New Roman" w:hAnsi="Times New Roman"/>
              <w:sz w:val="24"/>
              <w:szCs w:val="24"/>
              <w:u w:val="single"/>
            </w:rPr>
            <w:t xml:space="preserve">Modo Férreo: </w:t>
          </w:r>
          <w:r w:rsidRPr="0E4E29E4">
            <w:rPr>
              <w:rFonts w:ascii="Times New Roman" w:eastAsia="Times New Roman" w:hAnsi="Times New Roman"/>
              <w:sz w:val="24"/>
              <w:szCs w:val="24"/>
            </w:rPr>
            <w:t xml:space="preserve">Para este modo, la Agencia diseñó dos formatos para obtener la información de bienes de uso público, propiedades planta y equipo y el formato Metodología, para la obtención de la información de bienes de uso público y propiedad planta y equipo. </w:t>
          </w:r>
        </w:p>
        <w:p w14:paraId="7D55404B" w14:textId="08A7E71F" w:rsidR="00AA39A5" w:rsidRDefault="58569E78" w:rsidP="0E4E29E4">
          <w:pPr>
            <w:spacing w:after="0" w:line="240" w:lineRule="auto"/>
            <w:ind w:left="-20" w:right="-20"/>
            <w:jc w:val="both"/>
            <w:rPr>
              <w:rFonts w:ascii="Times New Roman" w:eastAsia="Times New Roman" w:hAnsi="Times New Roman"/>
              <w:color w:val="000000" w:themeColor="text1"/>
              <w:sz w:val="24"/>
              <w:szCs w:val="24"/>
            </w:rPr>
          </w:pPr>
          <w:r w:rsidRPr="0E4E29E4">
            <w:rPr>
              <w:rFonts w:ascii="Times New Roman" w:eastAsia="Times New Roman" w:hAnsi="Times New Roman"/>
              <w:color w:val="000000" w:themeColor="text1"/>
              <w:sz w:val="24"/>
              <w:szCs w:val="24"/>
            </w:rPr>
            <w:t>De acuerdo con las metodologías enunciadas y documentadas, se remitió la información al área contable de la Agencia, para la realización de los registros contables de los proyectos del modo férreo al cierre de la vigencia 2023, información que fue avalada por las interventorías de los contratos de concesiones y/o el área misional.</w:t>
          </w:r>
        </w:p>
        <w:p w14:paraId="083563BE" w14:textId="77777777" w:rsidR="00E93852" w:rsidRPr="00931DCE" w:rsidRDefault="00E93852" w:rsidP="0E4E29E4">
          <w:pPr>
            <w:spacing w:after="0" w:line="240" w:lineRule="auto"/>
            <w:ind w:left="-20" w:right="-20"/>
            <w:jc w:val="both"/>
          </w:pPr>
        </w:p>
        <w:p w14:paraId="3B9A29CB" w14:textId="57106174" w:rsidR="00AA39A5" w:rsidRDefault="58569E78" w:rsidP="0E4E29E4">
          <w:pPr>
            <w:tabs>
              <w:tab w:val="left" w:pos="426"/>
            </w:tabs>
            <w:spacing w:after="0" w:line="240" w:lineRule="auto"/>
            <w:ind w:left="-20" w:right="333"/>
            <w:jc w:val="both"/>
            <w:rPr>
              <w:rFonts w:ascii="Times New Roman" w:eastAsia="Times New Roman" w:hAnsi="Times New Roman"/>
              <w:sz w:val="24"/>
              <w:szCs w:val="24"/>
              <w:lang w:val="es"/>
            </w:rPr>
          </w:pPr>
          <w:r w:rsidRPr="0E4E29E4">
            <w:rPr>
              <w:rFonts w:ascii="Times New Roman" w:eastAsia="Times New Roman" w:hAnsi="Times New Roman"/>
              <w:sz w:val="24"/>
              <w:szCs w:val="24"/>
              <w:u w:val="single"/>
            </w:rPr>
            <w:t xml:space="preserve">Modo Portuario: </w:t>
          </w:r>
          <w:r w:rsidRPr="0E4E29E4">
            <w:rPr>
              <w:rFonts w:ascii="Times New Roman" w:eastAsia="Times New Roman" w:hAnsi="Times New Roman"/>
              <w:sz w:val="24"/>
              <w:szCs w:val="24"/>
              <w:lang w:val="es"/>
            </w:rPr>
            <w:t>La Agencia cuenta con el formato GCSP-F-011- “</w:t>
          </w:r>
          <w:r w:rsidRPr="0E4E29E4">
            <w:rPr>
              <w:rFonts w:ascii="Times New Roman" w:eastAsia="Times New Roman" w:hAnsi="Times New Roman"/>
              <w:i/>
              <w:iCs/>
              <w:sz w:val="24"/>
              <w:szCs w:val="24"/>
              <w:lang w:val="es"/>
            </w:rPr>
            <w:t xml:space="preserve">Informe de inversión de capital privado en bienes de uso público del modo portuario según el marco normativo para entidades del gobierno”, </w:t>
          </w:r>
          <w:r w:rsidRPr="0E4E29E4">
            <w:rPr>
              <w:rFonts w:ascii="Times New Roman" w:eastAsia="Times New Roman" w:hAnsi="Times New Roman"/>
              <w:sz w:val="24"/>
              <w:szCs w:val="24"/>
              <w:lang w:val="es"/>
            </w:rPr>
            <w:t>en el cual los concesionarios reportan la información correspondiente al valor de las inversiones realizadas desde el inicio del proyecto, de acuerdo con los ítems de inversión y propiedad planta y equipo por unidades de activos debidamente certificada.</w:t>
          </w:r>
        </w:p>
        <w:p w14:paraId="6F4BDE60" w14:textId="77777777" w:rsidR="00E93852" w:rsidRPr="00931DCE" w:rsidRDefault="00E93852" w:rsidP="0E4E29E4">
          <w:pPr>
            <w:tabs>
              <w:tab w:val="left" w:pos="426"/>
            </w:tabs>
            <w:spacing w:after="0" w:line="240" w:lineRule="auto"/>
            <w:ind w:left="-20" w:right="333"/>
            <w:jc w:val="both"/>
          </w:pPr>
        </w:p>
        <w:p w14:paraId="23CC291C" w14:textId="06B726CA" w:rsidR="00870040" w:rsidRPr="00931DCE" w:rsidRDefault="00870040" w:rsidP="0E4E29E4">
          <w:pPr>
            <w:spacing w:line="254" w:lineRule="auto"/>
            <w:ind w:left="-20" w:right="49"/>
            <w:jc w:val="both"/>
          </w:pPr>
          <w:r w:rsidRPr="0E4E29E4">
            <w:rPr>
              <w:rFonts w:ascii="Times New Roman" w:eastAsia="Times New Roman" w:hAnsi="Times New Roman"/>
              <w:sz w:val="24"/>
              <w:szCs w:val="24"/>
              <w:lang w:val="es"/>
            </w:rPr>
            <w:t xml:space="preserve">De acuerdo con los formatos remitidos, se realizaron los registros contables a diciembre 31 de 2023, correspondiente a las inversiones realizadas en los proyectos del modo portuario </w:t>
          </w:r>
          <w:r w:rsidR="00FC09ED" w:rsidRPr="0E4E29E4">
            <w:rPr>
              <w:rFonts w:ascii="Times New Roman" w:eastAsia="Times New Roman" w:hAnsi="Times New Roman"/>
              <w:sz w:val="24"/>
              <w:szCs w:val="24"/>
              <w:lang w:val="es"/>
            </w:rPr>
            <w:t xml:space="preserve">tales como: </w:t>
          </w:r>
          <w:r w:rsidRPr="0E4E29E4">
            <w:rPr>
              <w:rFonts w:ascii="Times New Roman" w:eastAsia="Times New Roman" w:hAnsi="Times New Roman"/>
              <w:sz w:val="24"/>
              <w:szCs w:val="24"/>
            </w:rPr>
            <w:t>Infraestructura en construcción y en servicio</w:t>
          </w:r>
          <w:r w:rsidR="00FC09ED" w:rsidRPr="0E4E29E4">
            <w:rPr>
              <w:rFonts w:ascii="Times New Roman" w:eastAsia="Times New Roman" w:hAnsi="Times New Roman"/>
              <w:sz w:val="24"/>
              <w:szCs w:val="24"/>
            </w:rPr>
            <w:t>, d</w:t>
          </w:r>
          <w:r w:rsidRPr="0E4E29E4">
            <w:rPr>
              <w:rFonts w:ascii="Times New Roman" w:eastAsia="Times New Roman" w:hAnsi="Times New Roman"/>
              <w:sz w:val="24"/>
              <w:szCs w:val="24"/>
              <w:lang w:val="es"/>
            </w:rPr>
            <w:t>ragados capital</w:t>
          </w:r>
          <w:r w:rsidR="00FC09ED" w:rsidRPr="0E4E29E4">
            <w:rPr>
              <w:rFonts w:ascii="Times New Roman" w:eastAsia="Times New Roman" w:hAnsi="Times New Roman"/>
              <w:sz w:val="24"/>
              <w:szCs w:val="24"/>
              <w:lang w:val="es"/>
            </w:rPr>
            <w:t xml:space="preserve">, </w:t>
          </w:r>
          <w:r w:rsidRPr="0E4E29E4">
            <w:rPr>
              <w:rFonts w:ascii="Times New Roman" w:eastAsia="Times New Roman" w:hAnsi="Times New Roman"/>
              <w:sz w:val="24"/>
              <w:szCs w:val="24"/>
              <w:lang w:val="es"/>
            </w:rPr>
            <w:t>Propiedades, Planta y Equipo</w:t>
          </w:r>
          <w:r w:rsidR="00FC09ED" w:rsidRPr="0E4E29E4">
            <w:rPr>
              <w:rFonts w:ascii="Times New Roman" w:eastAsia="Times New Roman" w:hAnsi="Times New Roman"/>
              <w:sz w:val="24"/>
              <w:szCs w:val="24"/>
              <w:lang w:val="es"/>
            </w:rPr>
            <w:t xml:space="preserve"> e </w:t>
          </w:r>
          <w:r w:rsidRPr="0E4E29E4">
            <w:rPr>
              <w:rFonts w:ascii="Times New Roman" w:eastAsia="Times New Roman" w:hAnsi="Times New Roman"/>
              <w:sz w:val="24"/>
              <w:szCs w:val="24"/>
              <w:lang w:val="es"/>
            </w:rPr>
            <w:t>Intangibles</w:t>
          </w:r>
          <w:r w:rsidR="00FC09ED" w:rsidRPr="0E4E29E4">
            <w:rPr>
              <w:rFonts w:ascii="Times New Roman" w:eastAsia="Times New Roman" w:hAnsi="Times New Roman"/>
              <w:sz w:val="24"/>
              <w:szCs w:val="24"/>
              <w:lang w:val="es"/>
            </w:rPr>
            <w:t>.</w:t>
          </w:r>
        </w:p>
        <w:p w14:paraId="1FB9F108" w14:textId="1A8D77AA" w:rsidR="00870040" w:rsidRDefault="00FC09ED" w:rsidP="0E4E29E4">
          <w:pPr>
            <w:spacing w:after="0" w:line="240" w:lineRule="auto"/>
            <w:ind w:left="-20" w:right="-20"/>
            <w:jc w:val="both"/>
            <w:rPr>
              <w:rFonts w:ascii="Times New Roman" w:eastAsia="Times New Roman" w:hAnsi="Times New Roman"/>
              <w:sz w:val="24"/>
              <w:szCs w:val="24"/>
            </w:rPr>
          </w:pPr>
          <w:r w:rsidRPr="0E4E29E4">
            <w:rPr>
              <w:rFonts w:ascii="Times New Roman" w:eastAsia="Times New Roman" w:hAnsi="Times New Roman"/>
              <w:sz w:val="24"/>
              <w:szCs w:val="24"/>
            </w:rPr>
            <w:t>Igualmente, s</w:t>
          </w:r>
          <w:r w:rsidR="00870040" w:rsidRPr="0E4E29E4">
            <w:rPr>
              <w:rFonts w:ascii="Times New Roman" w:eastAsia="Times New Roman" w:hAnsi="Times New Roman"/>
              <w:sz w:val="24"/>
              <w:szCs w:val="24"/>
            </w:rPr>
            <w:t>e diseñó e implementó la guía para la evaluación de indicios de deterioro de valor y su estimación</w:t>
          </w:r>
          <w:r w:rsidRPr="0E4E29E4">
            <w:rPr>
              <w:rFonts w:ascii="Times New Roman" w:eastAsia="Times New Roman" w:hAnsi="Times New Roman"/>
              <w:sz w:val="24"/>
              <w:szCs w:val="24"/>
            </w:rPr>
            <w:t>.</w:t>
          </w:r>
        </w:p>
        <w:p w14:paraId="39A30886" w14:textId="77777777" w:rsidR="00E93852" w:rsidRPr="00931DCE" w:rsidRDefault="00E93852" w:rsidP="0E4E29E4">
          <w:pPr>
            <w:spacing w:after="0" w:line="240" w:lineRule="auto"/>
            <w:ind w:left="-20" w:right="-20"/>
            <w:jc w:val="both"/>
          </w:pPr>
        </w:p>
        <w:p w14:paraId="1D66A1C6" w14:textId="62695459" w:rsidR="00870040" w:rsidRDefault="00870040" w:rsidP="0E4E29E4">
          <w:pPr>
            <w:tabs>
              <w:tab w:val="left" w:pos="426"/>
            </w:tabs>
            <w:spacing w:after="0" w:line="240" w:lineRule="auto"/>
            <w:ind w:left="-20" w:right="333"/>
            <w:jc w:val="both"/>
            <w:rPr>
              <w:rFonts w:ascii="Times New Roman" w:eastAsia="Times New Roman" w:hAnsi="Times New Roman"/>
              <w:sz w:val="24"/>
              <w:szCs w:val="24"/>
            </w:rPr>
          </w:pPr>
          <w:r w:rsidRPr="0E4E29E4">
            <w:rPr>
              <w:rFonts w:ascii="Times New Roman" w:eastAsia="Times New Roman" w:hAnsi="Times New Roman"/>
              <w:sz w:val="24"/>
              <w:szCs w:val="24"/>
              <w:u w:val="single"/>
            </w:rPr>
            <w:t>Modo Aeroportuario</w:t>
          </w:r>
          <w:r w:rsidR="00CC1501" w:rsidRPr="0E4E29E4">
            <w:rPr>
              <w:rFonts w:ascii="Times New Roman" w:eastAsia="Times New Roman" w:hAnsi="Times New Roman"/>
              <w:sz w:val="24"/>
              <w:szCs w:val="24"/>
              <w:u w:val="single"/>
            </w:rPr>
            <w:t>:</w:t>
          </w:r>
          <w:r w:rsidR="00CC1501" w:rsidRPr="0E4E29E4">
            <w:rPr>
              <w:rFonts w:ascii="Times New Roman" w:eastAsia="Times New Roman" w:hAnsi="Times New Roman"/>
              <w:sz w:val="24"/>
              <w:szCs w:val="24"/>
            </w:rPr>
            <w:t xml:space="preserve"> </w:t>
          </w:r>
          <w:r w:rsidRPr="0E4E29E4">
            <w:rPr>
              <w:rFonts w:ascii="Times New Roman" w:eastAsia="Times New Roman" w:hAnsi="Times New Roman"/>
              <w:sz w:val="24"/>
              <w:szCs w:val="24"/>
            </w:rPr>
            <w:t xml:space="preserve">De acuerdo con lo conceptuado por la Contaduría General de la Nación, con radicado CGN 20201000049391 del 14 de octubre de 2020, para efectos contables la Aerocivil es la entidad concedente. Igualmente indicó que: </w:t>
          </w:r>
          <w:r w:rsidRPr="0E4E29E4">
            <w:rPr>
              <w:rFonts w:ascii="Times New Roman" w:eastAsia="Times New Roman" w:hAnsi="Times New Roman"/>
              <w:i/>
              <w:sz w:val="24"/>
              <w:szCs w:val="24"/>
            </w:rPr>
            <w:t>“… de manera conjunta la Aerocivil y la Agencia deben realizar un plan de trabajo, aprobado por la alta dirección, para incorporar y desincorporar gradualmente los activos y pasivos, priorizando los de mayor impacto…”</w:t>
          </w:r>
          <w:r w:rsidRPr="0E4E29E4">
            <w:rPr>
              <w:rFonts w:ascii="Times New Roman" w:eastAsia="Times New Roman" w:hAnsi="Times New Roman"/>
              <w:sz w:val="24"/>
              <w:szCs w:val="24"/>
            </w:rPr>
            <w:t>.</w:t>
          </w:r>
        </w:p>
        <w:p w14:paraId="0F19904A" w14:textId="77777777" w:rsidR="00E93852" w:rsidRPr="00931DCE" w:rsidRDefault="00E93852" w:rsidP="0E4E29E4">
          <w:pPr>
            <w:tabs>
              <w:tab w:val="left" w:pos="426"/>
            </w:tabs>
            <w:spacing w:after="0" w:line="240" w:lineRule="auto"/>
            <w:ind w:left="-20" w:right="333"/>
            <w:jc w:val="both"/>
          </w:pPr>
        </w:p>
        <w:p w14:paraId="1C490CE9" w14:textId="349D3C82" w:rsidR="00870040" w:rsidRDefault="00870040" w:rsidP="0E4E29E4">
          <w:pPr>
            <w:spacing w:after="0" w:line="240" w:lineRule="auto"/>
            <w:ind w:left="-20" w:right="-20"/>
            <w:jc w:val="both"/>
            <w:rPr>
              <w:rFonts w:ascii="Times New Roman" w:eastAsia="Times New Roman" w:hAnsi="Times New Roman"/>
              <w:sz w:val="24"/>
              <w:szCs w:val="24"/>
            </w:rPr>
          </w:pPr>
          <w:r w:rsidRPr="0E4E29E4">
            <w:rPr>
              <w:rFonts w:ascii="Times New Roman" w:eastAsia="Times New Roman" w:hAnsi="Times New Roman"/>
              <w:sz w:val="24"/>
              <w:szCs w:val="24"/>
            </w:rPr>
            <w:t xml:space="preserve">En este sentido, se firma entre las entidades el “CRONOGRAMA ENTREGA ENTIDAD CONCEDENTE (ANI - AEROCIVIL)”, en el año </w:t>
          </w:r>
          <w:r w:rsidR="00EF6E05" w:rsidRPr="0E4E29E4">
            <w:rPr>
              <w:rFonts w:ascii="Times New Roman" w:eastAsia="Times New Roman" w:hAnsi="Times New Roman"/>
              <w:sz w:val="24"/>
              <w:szCs w:val="24"/>
            </w:rPr>
            <w:t>202</w:t>
          </w:r>
          <w:r w:rsidR="00282632" w:rsidRPr="0E4E29E4">
            <w:rPr>
              <w:rFonts w:ascii="Times New Roman" w:eastAsia="Times New Roman" w:hAnsi="Times New Roman"/>
              <w:sz w:val="24"/>
              <w:szCs w:val="24"/>
            </w:rPr>
            <w:t>1</w:t>
          </w:r>
          <w:r w:rsidRPr="0E4E29E4">
            <w:rPr>
              <w:rFonts w:ascii="Times New Roman" w:eastAsia="Times New Roman" w:hAnsi="Times New Roman"/>
              <w:sz w:val="24"/>
              <w:szCs w:val="24"/>
            </w:rPr>
            <w:t xml:space="preserve">.  Es importante mencionar que mediante Resolución CGN No. 228 del 15 de diciembre </w:t>
          </w:r>
          <w:r w:rsidR="00EF6E05" w:rsidRPr="0E4E29E4">
            <w:rPr>
              <w:rFonts w:ascii="Times New Roman" w:eastAsia="Times New Roman" w:hAnsi="Times New Roman"/>
              <w:sz w:val="24"/>
              <w:szCs w:val="24"/>
            </w:rPr>
            <w:t>202</w:t>
          </w:r>
          <w:r w:rsidR="0078368E" w:rsidRPr="0E4E29E4">
            <w:rPr>
              <w:rFonts w:ascii="Times New Roman" w:eastAsia="Times New Roman" w:hAnsi="Times New Roman"/>
              <w:sz w:val="24"/>
              <w:szCs w:val="24"/>
            </w:rPr>
            <w:t>1</w:t>
          </w:r>
          <w:r w:rsidRPr="0E4E29E4">
            <w:rPr>
              <w:rFonts w:ascii="Times New Roman" w:eastAsia="Times New Roman" w:hAnsi="Times New Roman"/>
              <w:sz w:val="24"/>
              <w:szCs w:val="24"/>
            </w:rPr>
            <w:t xml:space="preserve">, se otorga plazo a la Entidad </w:t>
          </w:r>
          <w:r w:rsidRPr="0E4E29E4">
            <w:rPr>
              <w:rFonts w:ascii="Times New Roman" w:eastAsia="Times New Roman" w:hAnsi="Times New Roman"/>
              <w:sz w:val="24"/>
              <w:szCs w:val="24"/>
            </w:rPr>
            <w:lastRenderedPageBreak/>
            <w:t>concedente hasta el 31 de diciembre de 2024 para reconocer y medir los activos de infraestructura de transporte.</w:t>
          </w:r>
        </w:p>
        <w:p w14:paraId="28C622EF" w14:textId="77777777" w:rsidR="00E93852" w:rsidRPr="00931DCE" w:rsidRDefault="00E93852" w:rsidP="0E4E29E4">
          <w:pPr>
            <w:spacing w:after="0" w:line="240" w:lineRule="auto"/>
            <w:ind w:left="-20" w:right="-20"/>
            <w:jc w:val="both"/>
          </w:pPr>
        </w:p>
        <w:p w14:paraId="35F4188B" w14:textId="39E09563" w:rsidR="00870040" w:rsidRDefault="00870040" w:rsidP="0E4E29E4">
          <w:pPr>
            <w:spacing w:after="0" w:line="240" w:lineRule="auto"/>
            <w:ind w:left="-20" w:right="-20"/>
            <w:jc w:val="both"/>
            <w:rPr>
              <w:rFonts w:ascii="Times New Roman" w:eastAsia="Times New Roman" w:hAnsi="Times New Roman"/>
              <w:sz w:val="24"/>
              <w:szCs w:val="24"/>
            </w:rPr>
          </w:pPr>
          <w:r w:rsidRPr="0E4E29E4">
            <w:rPr>
              <w:rFonts w:ascii="Times New Roman" w:eastAsia="Times New Roman" w:hAnsi="Times New Roman"/>
              <w:sz w:val="24"/>
              <w:szCs w:val="24"/>
            </w:rPr>
            <w:t>El plan de trabajo realizado con la Aerocivil contempla dentro de los entregables: “Información Contable por Proyecto”, e inicia con los aeropuertos que poseen una mayor participación de activos y pasivos asociados al modo aeroportuario, en el siguiente orden: i) Aeropuerto el Dorado; ii) Aeropuertos de Centro Norte; iii) Aeropuertos de Nororiente; iv) Aeropuerto de Cartagena; v) Aeropuerto de Cali y vi) Aeropuerto de Barranquilla.</w:t>
          </w:r>
        </w:p>
        <w:p w14:paraId="5D8CC17F" w14:textId="77777777" w:rsidR="00E93852" w:rsidRPr="00931DCE" w:rsidRDefault="00E93852" w:rsidP="0E4E29E4">
          <w:pPr>
            <w:spacing w:after="0" w:line="240" w:lineRule="auto"/>
            <w:ind w:left="-20" w:right="-20"/>
            <w:jc w:val="both"/>
          </w:pPr>
        </w:p>
        <w:p w14:paraId="1D02F9F6" w14:textId="5A8E83CF" w:rsidR="00AA39A5" w:rsidRPr="00931DCE" w:rsidRDefault="00870040" w:rsidP="0E4E29E4">
          <w:pPr>
            <w:spacing w:after="0" w:line="240" w:lineRule="auto"/>
            <w:ind w:left="-20" w:right="-20"/>
            <w:jc w:val="both"/>
          </w:pPr>
          <w:r w:rsidRPr="0E4E29E4">
            <w:rPr>
              <w:rFonts w:ascii="Times New Roman" w:eastAsia="Times New Roman" w:hAnsi="Times New Roman"/>
              <w:sz w:val="24"/>
              <w:szCs w:val="24"/>
            </w:rPr>
            <w:t>De las actividades que contempla el cronograma, la Agencia dio cumplimiento con la entrega de los saldos contables, la información que la soporta, así como las políticas contables de la Agencia. Esto se evidencia con los oficios de entrega de saldos e información de procesos judiciales y la entrega de los formatos 282, 283 y 284 que manejaba la Agencia para el reporte de la información contable, y que soportaban los saldos.</w:t>
          </w:r>
        </w:p>
        <w:p w14:paraId="661F3079" w14:textId="3021ADF0" w:rsidR="00870040" w:rsidRPr="00931DCE" w:rsidRDefault="00870040" w:rsidP="0E4E29E4">
          <w:pPr>
            <w:spacing w:after="0" w:line="240" w:lineRule="auto"/>
            <w:ind w:left="-20" w:right="-20"/>
            <w:jc w:val="both"/>
          </w:pPr>
          <w:r w:rsidRPr="0E4E29E4">
            <w:rPr>
              <w:rFonts w:ascii="Times New Roman" w:eastAsia="Times New Roman" w:hAnsi="Times New Roman"/>
              <w:sz w:val="24"/>
              <w:szCs w:val="24"/>
            </w:rPr>
            <w:t xml:space="preserve"> </w:t>
          </w:r>
        </w:p>
        <w:p w14:paraId="4CF7FBA6" w14:textId="610035A6" w:rsidR="00870040" w:rsidRDefault="00870040" w:rsidP="0E4E29E4">
          <w:pPr>
            <w:spacing w:after="0" w:line="240" w:lineRule="auto"/>
            <w:ind w:left="-20" w:right="-20"/>
            <w:jc w:val="both"/>
            <w:rPr>
              <w:rFonts w:ascii="Times New Roman" w:eastAsia="Times New Roman" w:hAnsi="Times New Roman"/>
              <w:sz w:val="24"/>
              <w:szCs w:val="24"/>
            </w:rPr>
          </w:pPr>
          <w:r w:rsidRPr="0E4E29E4">
            <w:rPr>
              <w:rFonts w:ascii="Times New Roman" w:eastAsia="Times New Roman" w:hAnsi="Times New Roman"/>
              <w:sz w:val="24"/>
              <w:szCs w:val="24"/>
            </w:rPr>
            <w:t>Sin embargo, la Aeronáutica Civil para la depuración e incorporación de la información, en sus sistemas auxiliares, ha requerido información adicional y detallada a la que manejaba la Agencia. Dentro de esta, se ha remitido información contractual, información de fiducias, inversiones de los contratos de concesión, actas de verificación de obras suscritas, información predial, bases de datos suministradas por los concesionarios. Esto ha requerido cambios en los plazos para la consecución de la información, para su procesamiento y conciliación por parte de la Aerocivil.</w:t>
          </w:r>
        </w:p>
        <w:p w14:paraId="123E1FAE" w14:textId="77777777" w:rsidR="00E93852" w:rsidRPr="00931DCE" w:rsidRDefault="00E93852" w:rsidP="0E4E29E4">
          <w:pPr>
            <w:spacing w:after="0" w:line="240" w:lineRule="auto"/>
            <w:ind w:left="-20" w:right="-20"/>
            <w:jc w:val="both"/>
          </w:pPr>
        </w:p>
        <w:p w14:paraId="0849EF1E" w14:textId="2D6A9620" w:rsidR="002A7167" w:rsidRDefault="002A7167" w:rsidP="0E4E29E4">
          <w:pPr>
            <w:spacing w:after="0" w:line="240" w:lineRule="auto"/>
            <w:ind w:left="-20" w:right="-20"/>
            <w:jc w:val="both"/>
            <w:rPr>
              <w:rFonts w:ascii="Times New Roman" w:eastAsia="Times New Roman" w:hAnsi="Times New Roman"/>
              <w:sz w:val="24"/>
              <w:szCs w:val="24"/>
            </w:rPr>
          </w:pPr>
          <w:r w:rsidRPr="0E4E29E4">
            <w:rPr>
              <w:rFonts w:ascii="Times New Roman" w:eastAsia="Times New Roman" w:hAnsi="Times New Roman"/>
              <w:sz w:val="24"/>
              <w:szCs w:val="24"/>
            </w:rPr>
            <w:t xml:space="preserve">Por lo anterior y dando cumplimiento a las actividades del cronograma de trabajo suscrito con la Aerocivil, la Agencia a 31 de diciembre de 2021, en el 2023 se realizó la desincorporación de los </w:t>
          </w:r>
          <w:r w:rsidR="00C12FCA" w:rsidRPr="0E4E29E4">
            <w:rPr>
              <w:rFonts w:ascii="Times New Roman" w:eastAsia="Times New Roman" w:hAnsi="Times New Roman"/>
              <w:sz w:val="24"/>
              <w:szCs w:val="24"/>
            </w:rPr>
            <w:t>b</w:t>
          </w:r>
          <w:r w:rsidRPr="0E4E29E4">
            <w:rPr>
              <w:rFonts w:ascii="Times New Roman" w:eastAsia="Times New Roman" w:hAnsi="Times New Roman"/>
              <w:sz w:val="24"/>
              <w:szCs w:val="24"/>
            </w:rPr>
            <w:t>ienes de uso público en servicio – concesiones, Red aeroportuaria, por valor de $32.336.756.000 del Aeropuerto de Cartagena</w:t>
          </w:r>
          <w:r w:rsidR="00C12FCA" w:rsidRPr="0E4E29E4">
            <w:rPr>
              <w:rFonts w:ascii="Times New Roman" w:eastAsia="Times New Roman" w:hAnsi="Times New Roman"/>
              <w:sz w:val="24"/>
              <w:szCs w:val="24"/>
            </w:rPr>
            <w:t>.</w:t>
          </w:r>
        </w:p>
        <w:p w14:paraId="0ADFEFE3" w14:textId="77777777" w:rsidR="00E93852" w:rsidRPr="00931DCE" w:rsidRDefault="00E93852" w:rsidP="0E4E29E4">
          <w:pPr>
            <w:spacing w:after="0" w:line="240" w:lineRule="auto"/>
            <w:ind w:left="-20" w:right="-20"/>
            <w:jc w:val="both"/>
          </w:pPr>
        </w:p>
        <w:p w14:paraId="30B3B3B5" w14:textId="0B3E8E65" w:rsidR="00AA39A5" w:rsidRPr="00931DCE" w:rsidRDefault="00870040" w:rsidP="0E4E29E4">
          <w:pPr>
            <w:spacing w:after="0" w:line="240" w:lineRule="auto"/>
            <w:ind w:left="-20" w:right="-20"/>
            <w:jc w:val="both"/>
          </w:pPr>
          <w:r w:rsidRPr="7A314162">
            <w:rPr>
              <w:rFonts w:ascii="Times New Roman" w:eastAsia="Times New Roman" w:hAnsi="Times New Roman"/>
              <w:sz w:val="24"/>
              <w:szCs w:val="24"/>
            </w:rPr>
            <w:t>Aunado a lo anterior, para el cierre del año 202</w:t>
          </w:r>
          <w:r w:rsidR="003D79EA" w:rsidRPr="7A314162">
            <w:rPr>
              <w:rFonts w:ascii="Times New Roman" w:eastAsia="Times New Roman" w:hAnsi="Times New Roman"/>
              <w:sz w:val="24"/>
              <w:szCs w:val="24"/>
            </w:rPr>
            <w:t>3</w:t>
          </w:r>
          <w:r w:rsidRPr="7A314162">
            <w:rPr>
              <w:rFonts w:ascii="Times New Roman" w:eastAsia="Times New Roman" w:hAnsi="Times New Roman"/>
              <w:sz w:val="24"/>
              <w:szCs w:val="24"/>
            </w:rPr>
            <w:t>, se presentaron dificultades en la contratación del personal de apoyo en todas las áreas de la entidad, afectando el flujo de información hacia el área contable y el registro de los hechos económicos dentro de los plazos establecidos</w:t>
          </w:r>
          <w:r w:rsidR="0034306A" w:rsidRPr="7A314162">
            <w:rPr>
              <w:rFonts w:ascii="Times New Roman" w:eastAsia="Times New Roman" w:hAnsi="Times New Roman"/>
              <w:sz w:val="24"/>
              <w:szCs w:val="24"/>
            </w:rPr>
            <w:t>,</w:t>
          </w:r>
          <w:r w:rsidR="00395E4D" w:rsidRPr="7A314162">
            <w:rPr>
              <w:rFonts w:ascii="Times New Roman" w:eastAsia="Times New Roman" w:hAnsi="Times New Roman"/>
              <w:sz w:val="24"/>
              <w:szCs w:val="24"/>
            </w:rPr>
            <w:t xml:space="preserve"> situación </w:t>
          </w:r>
          <w:r w:rsidR="22634F2A" w:rsidRPr="7A314162">
            <w:rPr>
              <w:rFonts w:ascii="Times New Roman" w:eastAsia="Times New Roman" w:hAnsi="Times New Roman"/>
              <w:sz w:val="24"/>
              <w:szCs w:val="24"/>
            </w:rPr>
            <w:t>dada a conocer al</w:t>
          </w:r>
          <w:r w:rsidR="00A119FA" w:rsidRPr="7A314162">
            <w:rPr>
              <w:rFonts w:ascii="Times New Roman" w:eastAsia="Times New Roman" w:hAnsi="Times New Roman"/>
              <w:sz w:val="24"/>
              <w:szCs w:val="24"/>
            </w:rPr>
            <w:t xml:space="preserve"> ente rector en materia contable púb</w:t>
          </w:r>
          <w:r w:rsidR="002F7420" w:rsidRPr="7A314162">
            <w:rPr>
              <w:rFonts w:ascii="Times New Roman" w:eastAsia="Times New Roman" w:hAnsi="Times New Roman"/>
              <w:sz w:val="24"/>
              <w:szCs w:val="24"/>
            </w:rPr>
            <w:t>lica</w:t>
          </w:r>
          <w:r w:rsidR="22634F2A" w:rsidRPr="7A314162">
            <w:rPr>
              <w:rFonts w:ascii="Times New Roman" w:eastAsia="Times New Roman" w:hAnsi="Times New Roman"/>
              <w:sz w:val="24"/>
              <w:szCs w:val="24"/>
            </w:rPr>
            <w:t xml:space="preserve"> mediante radicado ANI No. 20244010021181 del 18 de enero 2024, en respuesta a esto se tienen los radicados ANI Nos. 20244090118012 del 30 de enero 2024, 20244090201262 del 14 de febrero 2024, y 20244090217042 del 16 de febrero 2024 mediante</w:t>
          </w:r>
          <w:r w:rsidR="002F7420" w:rsidRPr="7A314162">
            <w:rPr>
              <w:rFonts w:ascii="Times New Roman" w:eastAsia="Times New Roman" w:hAnsi="Times New Roman"/>
              <w:sz w:val="24"/>
              <w:szCs w:val="24"/>
            </w:rPr>
            <w:t xml:space="preserve"> el</w:t>
          </w:r>
          <w:r w:rsidR="00395E4D" w:rsidRPr="7A314162">
            <w:rPr>
              <w:rFonts w:ascii="Times New Roman" w:eastAsia="Times New Roman" w:hAnsi="Times New Roman"/>
              <w:sz w:val="24"/>
              <w:szCs w:val="24"/>
            </w:rPr>
            <w:t xml:space="preserve"> cual expidió la Resolución </w:t>
          </w:r>
          <w:r w:rsidR="002F7420" w:rsidRPr="7A314162">
            <w:rPr>
              <w:rFonts w:ascii="Times New Roman" w:eastAsia="Times New Roman" w:hAnsi="Times New Roman"/>
              <w:sz w:val="24"/>
              <w:szCs w:val="24"/>
            </w:rPr>
            <w:t xml:space="preserve">CGN </w:t>
          </w:r>
          <w:r w:rsidR="00395E4D" w:rsidRPr="7A314162">
            <w:rPr>
              <w:rFonts w:ascii="Times New Roman" w:eastAsia="Times New Roman" w:hAnsi="Times New Roman"/>
              <w:sz w:val="24"/>
              <w:szCs w:val="24"/>
            </w:rPr>
            <w:t xml:space="preserve">No. 043 de 2024 </w:t>
          </w:r>
          <w:r w:rsidR="22634F2A" w:rsidRPr="7A314162">
            <w:rPr>
              <w:rFonts w:ascii="Times New Roman" w:eastAsia="Times New Roman" w:hAnsi="Times New Roman"/>
              <w:sz w:val="24"/>
              <w:szCs w:val="24"/>
            </w:rPr>
            <w:t xml:space="preserve">por </w:t>
          </w:r>
          <w:r w:rsidR="00395E4D" w:rsidRPr="7A314162">
            <w:rPr>
              <w:rFonts w:ascii="Times New Roman" w:eastAsia="Times New Roman" w:hAnsi="Times New Roman"/>
              <w:sz w:val="24"/>
              <w:szCs w:val="24"/>
            </w:rPr>
            <w:t>la cual prorrogar el plazo indicado en el artículo ll de la Resolución No. 411 de 2023.</w:t>
          </w:r>
        </w:p>
        <w:p w14:paraId="64970700" w14:textId="7DA3B8EE" w:rsidR="00870040" w:rsidRPr="00931DCE" w:rsidRDefault="00870040" w:rsidP="0E4E29E4">
          <w:pPr>
            <w:spacing w:after="0" w:line="240" w:lineRule="auto"/>
            <w:ind w:left="-20" w:right="-20"/>
            <w:jc w:val="both"/>
            <w:rPr>
              <w:rFonts w:ascii="Times New Roman" w:eastAsia="Times New Roman" w:hAnsi="Times New Roman"/>
              <w:sz w:val="24"/>
              <w:szCs w:val="24"/>
            </w:rPr>
          </w:pPr>
        </w:p>
        <w:p w14:paraId="67D635B5" w14:textId="6E006CA6" w:rsidR="00870040" w:rsidRPr="00931DCE" w:rsidRDefault="1B836105" w:rsidP="0E4E29E4">
          <w:pPr>
            <w:pStyle w:val="Ttulo2"/>
            <w:numPr>
              <w:ilvl w:val="0"/>
              <w:numId w:val="0"/>
            </w:numPr>
            <w:spacing w:line="254" w:lineRule="auto"/>
            <w:ind w:right="-20"/>
            <w:rPr>
              <w:rFonts w:eastAsia="Times New Roman" w:cs="Times New Roman"/>
              <w:szCs w:val="24"/>
            </w:rPr>
          </w:pPr>
          <w:bookmarkStart w:id="3" w:name="_Toc159952348"/>
          <w:r w:rsidRPr="0E4E29E4">
            <w:rPr>
              <w:rFonts w:eastAsia="Times New Roman" w:cs="Times New Roman"/>
              <w:szCs w:val="24"/>
            </w:rPr>
            <w:t>1.1.</w:t>
          </w:r>
          <w:r w:rsidRPr="0E4E29E4">
            <w:rPr>
              <w:rFonts w:eastAsia="Times New Roman" w:cs="Times New Roman"/>
              <w:b w:val="0"/>
              <w:sz w:val="14"/>
              <w:szCs w:val="14"/>
            </w:rPr>
            <w:t xml:space="preserve">       </w:t>
          </w:r>
          <w:r w:rsidRPr="0E4E29E4">
            <w:rPr>
              <w:rFonts w:eastAsia="Times New Roman" w:cs="Times New Roman"/>
              <w:szCs w:val="24"/>
            </w:rPr>
            <w:t>Base normativa y periodo cubierto</w:t>
          </w:r>
          <w:bookmarkEnd w:id="3"/>
        </w:p>
        <w:p w14:paraId="20EBC0AA" w14:textId="63926E45" w:rsidR="00870040" w:rsidRPr="00931DCE" w:rsidRDefault="1B836105" w:rsidP="0E4E29E4">
          <w:pPr>
            <w:spacing w:after="0" w:line="240" w:lineRule="auto"/>
            <w:ind w:left="-20" w:right="-20"/>
            <w:jc w:val="both"/>
          </w:pPr>
          <w:r w:rsidRPr="0E4E29E4">
            <w:rPr>
              <w:rFonts w:ascii="Times New Roman" w:eastAsia="Times New Roman" w:hAnsi="Times New Roman"/>
              <w:b/>
              <w:bCs/>
              <w:sz w:val="18"/>
              <w:szCs w:val="18"/>
            </w:rPr>
            <w:t xml:space="preserve"> </w:t>
          </w:r>
        </w:p>
        <w:p w14:paraId="785BB4DD" w14:textId="4BBE1BE3"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 xml:space="preserve">El área de contabilidad hace parte del Grupo Interno de Trabajo Administrativo y Financiero de la Vicepresidencia de Gestión Corporativa y su función principal es efectuar el análisis, clasificación y registro de la información financiera con el fin de emitir los estados financieros de la Agencia.  </w:t>
          </w:r>
        </w:p>
        <w:p w14:paraId="4D237AA5" w14:textId="104C7D7F"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 xml:space="preserve"> </w:t>
          </w:r>
        </w:p>
        <w:p w14:paraId="3B0F594D" w14:textId="22CF9E8C"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 xml:space="preserve">Lo anterior con el objetivo de suministrar información que sea útil a una amplia variedad de usuarios, para la toma y evaluación de las decisiones económicas respecto a la asignación de </w:t>
          </w:r>
          <w:r w:rsidRPr="0E4E29E4">
            <w:rPr>
              <w:rFonts w:ascii="Times New Roman" w:eastAsia="Times New Roman" w:hAnsi="Times New Roman"/>
              <w:sz w:val="24"/>
              <w:szCs w:val="24"/>
            </w:rPr>
            <w:lastRenderedPageBreak/>
            <w:t xml:space="preserve">recursos. Adicionalmente, los Estados Financieros constituyen un medio para la rendición de cuentas de la Agencia por los recursos que le han sido confiados. </w:t>
          </w:r>
        </w:p>
        <w:p w14:paraId="471D7193" w14:textId="1DF6C5D6"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 xml:space="preserve"> </w:t>
          </w:r>
        </w:p>
        <w:p w14:paraId="001A7760" w14:textId="1CF80285"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 xml:space="preserve">Los Estados Financieros, presentados para la vigencia 2023, se expresan en pesos colombianos (COP) de forma comparativa con los del período inmediatamente anterior y comprenden: a) un estado de situación financiera al final del período contable, b) un estado de resultados del período contable, c) un estado de cambios en el patrimonio del período contable, y d) las notas a los Estados Financieros. </w:t>
          </w:r>
        </w:p>
        <w:p w14:paraId="31D30D3F" w14:textId="6BE0515A"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 xml:space="preserve">  </w:t>
          </w:r>
        </w:p>
        <w:p w14:paraId="2E29E6E5" w14:textId="3F5A12F5"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Respecto al estado de Flujos de Efectivo, se indica que de acuerdo con la Resolución CGN No. 283 de 2022, la presentación de este se aplaza de forma indefinida.</w:t>
          </w:r>
        </w:p>
        <w:p w14:paraId="354076E7" w14:textId="4E2343F6"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 xml:space="preserve"> </w:t>
          </w:r>
        </w:p>
        <w:p w14:paraId="1D6CAE05" w14:textId="4B1D0A7D"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 xml:space="preserve">La elaboración del juego completo de los Estados Financieros de la Agencia, se prepararon bajo los parámetros y directrices establecidos por la Contaduría General de la Nación, para las entidades de gobierno en las Resoluciones enunciadas en el numeral 1.2 -Declaración de cumplimiento del presente informe y, son empleadas como referente teórico garantizando la totalidad de los registros de las operaciones originadas en las diferentes áreas que integran la Agencia. </w:t>
          </w:r>
        </w:p>
        <w:p w14:paraId="43980499" w14:textId="07D0DAE4" w:rsidR="00870040" w:rsidRPr="00931DCE" w:rsidRDefault="1B836105" w:rsidP="0E4E29E4">
          <w:pPr>
            <w:spacing w:after="0" w:line="240" w:lineRule="auto"/>
            <w:ind w:left="-20" w:right="-20"/>
            <w:jc w:val="both"/>
          </w:pPr>
          <w:r w:rsidRPr="0E4E29E4">
            <w:rPr>
              <w:rFonts w:ascii="Times New Roman" w:eastAsia="Times New Roman" w:hAnsi="Times New Roman"/>
              <w:b/>
              <w:bCs/>
              <w:sz w:val="24"/>
              <w:szCs w:val="24"/>
            </w:rPr>
            <w:t xml:space="preserve"> </w:t>
          </w:r>
        </w:p>
        <w:p w14:paraId="6C03DD8A" w14:textId="39B2FCC8"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Los Estados Financieros son aprobados por el Consejo Directivo de la Entidad, en sesión que se realizará, entre los meses de marzo y abril de 2024.</w:t>
          </w:r>
        </w:p>
        <w:p w14:paraId="61832096" w14:textId="102EF8AB" w:rsidR="00870040" w:rsidRPr="00931DCE" w:rsidRDefault="1B836105" w:rsidP="0E4E29E4">
          <w:pPr>
            <w:spacing w:after="0" w:line="240" w:lineRule="auto"/>
            <w:ind w:left="-20" w:right="-20"/>
            <w:jc w:val="both"/>
          </w:pPr>
          <w:r w:rsidRPr="0E4E29E4">
            <w:rPr>
              <w:rFonts w:ascii="Times New Roman" w:eastAsia="Times New Roman" w:hAnsi="Times New Roman"/>
              <w:b/>
              <w:bCs/>
              <w:sz w:val="24"/>
              <w:szCs w:val="24"/>
            </w:rPr>
            <w:t xml:space="preserve"> </w:t>
          </w:r>
        </w:p>
        <w:p w14:paraId="1961048D" w14:textId="45EEA297" w:rsidR="00870040" w:rsidRPr="00931DCE" w:rsidRDefault="1B836105" w:rsidP="0E4E29E4">
          <w:pPr>
            <w:pStyle w:val="Ttulo2"/>
            <w:numPr>
              <w:ilvl w:val="0"/>
              <w:numId w:val="0"/>
            </w:numPr>
            <w:spacing w:line="254" w:lineRule="auto"/>
            <w:ind w:right="-20"/>
            <w:rPr>
              <w:rFonts w:eastAsia="Times New Roman" w:cs="Times New Roman"/>
              <w:szCs w:val="24"/>
            </w:rPr>
          </w:pPr>
          <w:bookmarkStart w:id="4" w:name="_Toc159952349"/>
          <w:r w:rsidRPr="0E4E29E4">
            <w:rPr>
              <w:rFonts w:eastAsia="Times New Roman" w:cs="Times New Roman"/>
              <w:szCs w:val="24"/>
            </w:rPr>
            <w:t>1.2.</w:t>
          </w:r>
          <w:r w:rsidRPr="0E4E29E4">
            <w:rPr>
              <w:rFonts w:eastAsia="Times New Roman" w:cs="Times New Roman"/>
              <w:b w:val="0"/>
              <w:sz w:val="14"/>
              <w:szCs w:val="14"/>
            </w:rPr>
            <w:t xml:space="preserve">       </w:t>
          </w:r>
          <w:r w:rsidRPr="0E4E29E4">
            <w:rPr>
              <w:rFonts w:eastAsia="Times New Roman" w:cs="Times New Roman"/>
              <w:szCs w:val="24"/>
            </w:rPr>
            <w:t>Forma de Organización y/o Cobertura</w:t>
          </w:r>
          <w:bookmarkEnd w:id="4"/>
        </w:p>
        <w:p w14:paraId="0CA5A9E8" w14:textId="62C7450A" w:rsidR="00870040" w:rsidRPr="00931DCE" w:rsidRDefault="1B836105" w:rsidP="0E4E29E4">
          <w:pPr>
            <w:spacing w:after="0" w:line="240" w:lineRule="auto"/>
            <w:ind w:left="-20" w:right="-20"/>
            <w:jc w:val="both"/>
          </w:pPr>
          <w:r w:rsidRPr="0E4E29E4">
            <w:rPr>
              <w:rFonts w:ascii="Times New Roman" w:eastAsia="Times New Roman" w:hAnsi="Times New Roman"/>
              <w:b/>
              <w:bCs/>
              <w:sz w:val="18"/>
              <w:szCs w:val="18"/>
            </w:rPr>
            <w:t xml:space="preserve"> </w:t>
          </w:r>
        </w:p>
        <w:p w14:paraId="29D27E31" w14:textId="0D356012"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En el área contable reposan todos los soportes y documentos fuentes para el registro de la información correspondiente a la vigencia 2023.</w:t>
          </w:r>
        </w:p>
        <w:p w14:paraId="76A1D144" w14:textId="694850C0" w:rsidR="00870040" w:rsidRPr="00931DCE" w:rsidRDefault="1B836105" w:rsidP="0E4E29E4">
          <w:pPr>
            <w:spacing w:after="0" w:line="240" w:lineRule="auto"/>
            <w:ind w:left="-20" w:right="-20"/>
            <w:jc w:val="both"/>
          </w:pPr>
          <w:r w:rsidRPr="0E4E29E4">
            <w:rPr>
              <w:rFonts w:ascii="Times New Roman" w:eastAsia="Times New Roman" w:hAnsi="Times New Roman"/>
              <w:sz w:val="18"/>
              <w:szCs w:val="18"/>
            </w:rPr>
            <w:t xml:space="preserve"> </w:t>
          </w:r>
        </w:p>
        <w:p w14:paraId="776D8B3A" w14:textId="4CCEC77D"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Adicionalmente en lo pertinente a la información contable se precisa que:</w:t>
          </w:r>
        </w:p>
        <w:p w14:paraId="665D8D03" w14:textId="1471032A" w:rsidR="00870040" w:rsidRPr="00931DCE" w:rsidRDefault="1B836105" w:rsidP="0E4E29E4">
          <w:pPr>
            <w:spacing w:after="0" w:line="240" w:lineRule="auto"/>
            <w:ind w:left="-20" w:right="-20"/>
            <w:jc w:val="both"/>
          </w:pPr>
          <w:r w:rsidRPr="0E4E29E4">
            <w:rPr>
              <w:rFonts w:ascii="Times New Roman" w:eastAsia="Times New Roman" w:hAnsi="Times New Roman"/>
              <w:sz w:val="18"/>
              <w:szCs w:val="18"/>
            </w:rPr>
            <w:t xml:space="preserve"> </w:t>
          </w:r>
        </w:p>
        <w:p w14:paraId="5D3C209B" w14:textId="31850B09" w:rsidR="00870040" w:rsidRPr="00931DCE" w:rsidRDefault="1B836105" w:rsidP="0E4E29E4">
          <w:pPr>
            <w:pStyle w:val="Prrafodelista"/>
            <w:numPr>
              <w:ilvl w:val="0"/>
              <w:numId w:val="182"/>
            </w:numPr>
            <w:spacing w:after="0" w:line="240" w:lineRule="auto"/>
            <w:ind w:left="-20" w:right="-20"/>
            <w:jc w:val="both"/>
            <w:rPr>
              <w:rFonts w:ascii="Times New Roman" w:eastAsia="Times New Roman" w:hAnsi="Times New Roman"/>
              <w:sz w:val="24"/>
              <w:szCs w:val="24"/>
            </w:rPr>
          </w:pPr>
          <w:r w:rsidRPr="0E4E29E4">
            <w:rPr>
              <w:rFonts w:ascii="Times New Roman" w:eastAsia="Times New Roman" w:hAnsi="Times New Roman"/>
              <w:sz w:val="24"/>
              <w:szCs w:val="24"/>
            </w:rPr>
            <w:t>Los órganos ejecutores del Presupuesto Nacional obligatoriamente deben registrar en línea sus transacciones en el en el Sistema Integrado de Información Financiera SIIF – Nación. La información allí registrada, es la fuente válida para la generación de información contable básica para la obtención de los informes y Estados Financieros requeridos por la Contaduría General de la Nación y otros entes de control.</w:t>
          </w:r>
        </w:p>
        <w:p w14:paraId="40843980" w14:textId="2637D60A"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 xml:space="preserve"> </w:t>
          </w:r>
        </w:p>
        <w:p w14:paraId="7FC81A30" w14:textId="4BD5691C" w:rsidR="00870040" w:rsidRPr="00931DCE" w:rsidRDefault="1B836105" w:rsidP="0E4E29E4">
          <w:pPr>
            <w:pStyle w:val="Prrafodelista"/>
            <w:numPr>
              <w:ilvl w:val="0"/>
              <w:numId w:val="181"/>
            </w:numPr>
            <w:spacing w:after="0" w:line="240" w:lineRule="auto"/>
            <w:ind w:left="-20" w:right="-20"/>
            <w:jc w:val="both"/>
            <w:rPr>
              <w:rFonts w:ascii="Times New Roman" w:eastAsia="Times New Roman" w:hAnsi="Times New Roman"/>
              <w:sz w:val="24"/>
              <w:szCs w:val="24"/>
            </w:rPr>
          </w:pPr>
          <w:r w:rsidRPr="0E4E29E4">
            <w:rPr>
              <w:rFonts w:ascii="Times New Roman" w:eastAsia="Times New Roman" w:hAnsi="Times New Roman"/>
              <w:sz w:val="24"/>
              <w:szCs w:val="24"/>
            </w:rPr>
            <w:t>Los Estados Financieros de la Agencia, se han generado través del aplicativo SIIF-Nación II de conformidad con la Circular Externa No. 028 del 30 de agosto de 2012 del Ministerio de Hacienda y Crédito Público, donde se estableció que la contabilidad oficial que se reporte al CHIP será la registrada en dicho aplicativo.</w:t>
          </w:r>
        </w:p>
        <w:p w14:paraId="197417A9" w14:textId="6B1A40FF"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 xml:space="preserve"> </w:t>
          </w:r>
        </w:p>
        <w:p w14:paraId="7C45E844" w14:textId="46C32608" w:rsidR="00870040" w:rsidRPr="00931DCE" w:rsidRDefault="1B836105" w:rsidP="0E4E29E4">
          <w:pPr>
            <w:pStyle w:val="Prrafodelista"/>
            <w:numPr>
              <w:ilvl w:val="0"/>
              <w:numId w:val="181"/>
            </w:numPr>
            <w:spacing w:after="0" w:line="240" w:lineRule="auto"/>
            <w:ind w:left="-20" w:right="-20"/>
            <w:jc w:val="both"/>
            <w:rPr>
              <w:rFonts w:ascii="Times New Roman" w:eastAsia="Times New Roman" w:hAnsi="Times New Roman"/>
              <w:sz w:val="24"/>
              <w:szCs w:val="24"/>
            </w:rPr>
          </w:pPr>
          <w:r w:rsidRPr="0E4E29E4">
            <w:rPr>
              <w:rFonts w:ascii="Times New Roman" w:eastAsia="Times New Roman" w:hAnsi="Times New Roman"/>
              <w:sz w:val="24"/>
              <w:szCs w:val="24"/>
            </w:rPr>
            <w:t xml:space="preserve">Con fundamento en lo dispuesto en el artículo 6 del Decreto 2674 de 2012, la Agencia utiliza el Sistema de Información Financiera -SINFAD, como auxiliar de los procesos contables de: nómina, almacén y depreciaciones. </w:t>
          </w:r>
        </w:p>
        <w:p w14:paraId="1E0BB309" w14:textId="68A539D5"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 xml:space="preserve"> </w:t>
          </w:r>
        </w:p>
        <w:p w14:paraId="734F2BDE" w14:textId="21C7CB9C"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 xml:space="preserve">Finalmente, se indica que la Agencia cuenta con un plan de contingencia para el reporte de información y definió como primera medida, para restablecer la información contable y transmitirla vía CHIP, dentro de los plazos y con los requisitos establecidos por la Contaduría </w:t>
          </w:r>
          <w:r w:rsidRPr="0E4E29E4">
            <w:rPr>
              <w:rFonts w:ascii="Times New Roman" w:eastAsia="Times New Roman" w:hAnsi="Times New Roman"/>
              <w:sz w:val="24"/>
              <w:szCs w:val="24"/>
            </w:rPr>
            <w:lastRenderedPageBreak/>
            <w:t>General de la Nación, que cuando el sistema SIIF no permita el acceso a la información del macroproceso contable, la Agencia generará dos días antes de cada cierre el libro diario del sistema SIIF y con este generará los informes a reportar. Como segunda medida de contingencia, se optó por asignar a los integrantes del Equipo de Contabilidad tareas específicas, que permitan mantener los saldos de las cuentas y subcuentas debidamente conciliados y controlados.</w:t>
          </w:r>
        </w:p>
        <w:p w14:paraId="5EBF8C8F" w14:textId="4C4E6D2D"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 xml:space="preserve"> </w:t>
          </w:r>
        </w:p>
        <w:p w14:paraId="1674429F" w14:textId="233A1347"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Para la vigencia 2023, la Agencia no agrego información, por lo tanto, sus Estados Financieros no contienen ni consolidan información de unidades diferentes y/o fondos sin personería jurídica.</w:t>
          </w:r>
        </w:p>
        <w:p w14:paraId="65D40A12" w14:textId="38F24E63"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 xml:space="preserve"> </w:t>
          </w:r>
        </w:p>
        <w:p w14:paraId="4E50F2C5" w14:textId="1FB7DF2C" w:rsidR="00870040" w:rsidRPr="00931DCE" w:rsidRDefault="1B836105" w:rsidP="0E4E29E4">
          <w:pPr>
            <w:pStyle w:val="Ttulo1"/>
            <w:ind w:left="-20" w:right="-20"/>
          </w:pPr>
          <w:bookmarkStart w:id="5" w:name="_Toc159952350"/>
          <w:r w:rsidRPr="0E4E29E4">
            <w:rPr>
              <w:rFonts w:eastAsia="Times New Roman" w:cs="Times New Roman"/>
              <w:szCs w:val="26"/>
            </w:rPr>
            <w:t>NOTA 2. BASES DE MEDICIÓN Y PRESENTACIÓN UTILIZADAS</w:t>
          </w:r>
          <w:bookmarkEnd w:id="5"/>
        </w:p>
        <w:p w14:paraId="4DA8FC20" w14:textId="0D73E758"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 xml:space="preserve"> </w:t>
          </w:r>
        </w:p>
        <w:p w14:paraId="13EAE1C5" w14:textId="6F690477"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Para obtener los estados financieros, se procesan los datos provenientes de los hechos económicos de acuerdo con lo indicado en el Marco Normativo para Entidades de Gobierno y las políticas contables de la Agencia. De esta manera, el proceso de transformación de los datos se lleva a cabo mediante el reconocimiento, la medición y la revelación de los hechos económicos.</w:t>
          </w:r>
        </w:p>
        <w:p w14:paraId="687E4AE3" w14:textId="4685F0E2"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 xml:space="preserve"> </w:t>
          </w:r>
        </w:p>
        <w:p w14:paraId="7710DA21" w14:textId="46E85CC0"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A continuación, se detallan las bases de medición y presentación utilizadas:</w:t>
          </w:r>
        </w:p>
        <w:p w14:paraId="0737B5FC" w14:textId="1393EF6B"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 xml:space="preserve"> </w:t>
          </w:r>
        </w:p>
        <w:p w14:paraId="1F5EDF6C" w14:textId="430FA9C7" w:rsidR="00870040" w:rsidRPr="00931DCE" w:rsidRDefault="1B836105" w:rsidP="0E4E29E4">
          <w:pPr>
            <w:pStyle w:val="Ttulo2"/>
            <w:numPr>
              <w:ilvl w:val="0"/>
              <w:numId w:val="0"/>
            </w:numPr>
            <w:spacing w:line="254" w:lineRule="auto"/>
            <w:ind w:right="-20"/>
            <w:rPr>
              <w:rFonts w:eastAsia="Times New Roman" w:cs="Times New Roman"/>
              <w:szCs w:val="24"/>
            </w:rPr>
          </w:pPr>
          <w:bookmarkStart w:id="6" w:name="_Toc159952351"/>
          <w:r w:rsidRPr="0E4E29E4">
            <w:rPr>
              <w:rFonts w:eastAsia="Times New Roman" w:cs="Times New Roman"/>
              <w:szCs w:val="24"/>
            </w:rPr>
            <w:t>2.1.</w:t>
          </w:r>
          <w:r w:rsidRPr="0E4E29E4">
            <w:rPr>
              <w:rFonts w:eastAsia="Times New Roman" w:cs="Times New Roman"/>
              <w:b w:val="0"/>
              <w:sz w:val="14"/>
              <w:szCs w:val="14"/>
            </w:rPr>
            <w:t xml:space="preserve">            </w:t>
          </w:r>
          <w:r w:rsidRPr="0E4E29E4">
            <w:rPr>
              <w:rFonts w:eastAsia="Times New Roman" w:cs="Times New Roman"/>
              <w:szCs w:val="24"/>
            </w:rPr>
            <w:t>Bases de medición</w:t>
          </w:r>
          <w:bookmarkEnd w:id="6"/>
        </w:p>
        <w:p w14:paraId="11F8CAC1" w14:textId="07F3826B" w:rsidR="00870040" w:rsidRPr="00931DCE" w:rsidRDefault="1B836105" w:rsidP="0E4E29E4">
          <w:pPr>
            <w:spacing w:after="0" w:line="240" w:lineRule="auto"/>
            <w:ind w:left="-20" w:right="-20"/>
            <w:jc w:val="both"/>
          </w:pPr>
          <w:r w:rsidRPr="0E4E29E4">
            <w:rPr>
              <w:rFonts w:ascii="Times New Roman" w:eastAsia="Times New Roman" w:hAnsi="Times New Roman"/>
              <w:sz w:val="18"/>
              <w:szCs w:val="18"/>
            </w:rPr>
            <w:t xml:space="preserve"> </w:t>
          </w:r>
        </w:p>
        <w:p w14:paraId="4BDA201F" w14:textId="7036A903" w:rsidR="00870040" w:rsidRPr="00931DCE" w:rsidRDefault="1B836105" w:rsidP="0E4E29E4">
          <w:pPr>
            <w:spacing w:after="0" w:line="254" w:lineRule="auto"/>
            <w:ind w:left="-20" w:right="-20"/>
            <w:jc w:val="both"/>
          </w:pPr>
          <w:r w:rsidRPr="0E4E29E4">
            <w:rPr>
              <w:rFonts w:ascii="Times New Roman" w:eastAsia="Times New Roman" w:hAnsi="Times New Roman"/>
              <w:sz w:val="24"/>
              <w:szCs w:val="24"/>
            </w:rPr>
            <w:t>Los activos y pasivos se medirán al costo, costo amortizado, costo de reposición y valor de mercado. Con respecto a los activos, pasivos y gastos correspondientes a acuerdos de concesión se emplearon técnicas de estimación para establecer el valor y se documentaron mediante guías e instructivo desarrollados para tal efecto.</w:t>
          </w:r>
        </w:p>
        <w:p w14:paraId="5FFB6585" w14:textId="383A06E0" w:rsidR="00870040" w:rsidRPr="00931DCE" w:rsidRDefault="1B836105" w:rsidP="0E4E29E4">
          <w:pPr>
            <w:spacing w:after="0" w:line="254" w:lineRule="auto"/>
            <w:ind w:left="-20" w:right="-20"/>
            <w:jc w:val="both"/>
          </w:pPr>
          <w:r w:rsidRPr="0E4E29E4">
            <w:rPr>
              <w:rFonts w:ascii="Times New Roman" w:eastAsia="Times New Roman" w:hAnsi="Times New Roman"/>
              <w:sz w:val="24"/>
              <w:szCs w:val="24"/>
            </w:rPr>
            <w:t xml:space="preserve"> </w:t>
          </w:r>
        </w:p>
        <w:p w14:paraId="51548E5A" w14:textId="0FBA86C7"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Los gastos, se contabilizan aplicando el principio de causación, es decir, cuando se han perfeccionado las transacciones con terceros y, en consecuencia, se han adquirido derechos y asumido obligaciones o cuando han ocurrido hechos económicos de origen interno o externo que puedan influir en la estructura de los recursos de la entidad. La fuente de registro de las obligaciones y los resultados económicos están clasificados y contabilizados en forma ordenada para que puedan ser verificables. El aplicativo SIIF - Nación cuenta con matrices contables que generan registros automáticos tanto en el momento de la obligación presupuestal de gasto como en el pago.</w:t>
          </w:r>
        </w:p>
        <w:p w14:paraId="4423B53A" w14:textId="38E91C64"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 xml:space="preserve"> </w:t>
          </w:r>
        </w:p>
        <w:p w14:paraId="5D9939EC" w14:textId="43369C52"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Los ingresos generados por la Agencia en desarrollo de su objeto social son contabilizados aplicando el principio de causación y generalmente se realiza el proceso de causación y recaudo simultáneo, a través del cual el aplicativo SIIF Nación, generará tanto el comprobante de causación como el del recaudo. La Agencia Nacional de Infraestructura gestiona sus recursos a través de la Cuenta Única Nacional administrada por la Dirección General de Crédito Público y Tesoro Nacional.</w:t>
          </w:r>
        </w:p>
        <w:p w14:paraId="2AC449F2" w14:textId="2D600D85"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 xml:space="preserve"> </w:t>
          </w:r>
        </w:p>
        <w:p w14:paraId="32F2EC8D" w14:textId="1F0BDD37"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 xml:space="preserve">Los ingresos que recibe la entidad son trasladados a la Dirección General de Crédito Público y Tesoro Nacional vía SEBRA, los pagos de las obligaciones a cargo de la Agencia se realizan </w:t>
          </w:r>
          <w:r w:rsidRPr="0E4E29E4">
            <w:rPr>
              <w:rFonts w:ascii="Times New Roman" w:eastAsia="Times New Roman" w:hAnsi="Times New Roman"/>
              <w:sz w:val="24"/>
              <w:szCs w:val="24"/>
            </w:rPr>
            <w:lastRenderedPageBreak/>
            <w:t>por parte del Tesoro Nacional al beneficiario final. Eventualmente, y para pagos del ICA y servicios públicos se solicita el traslado a pagaduría.</w:t>
          </w:r>
        </w:p>
        <w:p w14:paraId="3321F8A7" w14:textId="58BC3D66"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 xml:space="preserve"> </w:t>
          </w:r>
        </w:p>
        <w:p w14:paraId="36B98B61" w14:textId="6A927A80"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Al interior de la entidad, se adelanta el proceso de revisión permanente de los registros contables automáticos con el fin de establecer su correcta imputación y realizar los registros de ajuste necesarios. Esta revisión está a cargo de los funcionarios y/o contratistas que laboran en el área de contabilidad, debiendo hacer las verificaciones a partir del libro diario correspondiente, de tal forma que, se verifiquen todas las transacciones y registros de los hechos económicos adecuadamente.</w:t>
          </w:r>
        </w:p>
        <w:p w14:paraId="48CF6630" w14:textId="12DC0AAE"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 xml:space="preserve"> </w:t>
          </w:r>
        </w:p>
        <w:p w14:paraId="2CE2A305" w14:textId="563F7897" w:rsidR="00870040" w:rsidRPr="00931DCE" w:rsidRDefault="1B836105" w:rsidP="0E4E29E4">
          <w:pPr>
            <w:pStyle w:val="Ttulo2"/>
            <w:numPr>
              <w:ilvl w:val="0"/>
              <w:numId w:val="0"/>
            </w:numPr>
            <w:spacing w:line="254" w:lineRule="auto"/>
            <w:ind w:right="-20"/>
            <w:rPr>
              <w:rFonts w:eastAsia="Times New Roman" w:cs="Times New Roman"/>
              <w:szCs w:val="24"/>
            </w:rPr>
          </w:pPr>
          <w:bookmarkStart w:id="7" w:name="_Toc159952352"/>
          <w:r w:rsidRPr="0E4E29E4">
            <w:rPr>
              <w:rFonts w:eastAsia="Times New Roman" w:cs="Times New Roman"/>
              <w:szCs w:val="24"/>
            </w:rPr>
            <w:t>2.2.</w:t>
          </w:r>
          <w:r w:rsidRPr="0E4E29E4">
            <w:rPr>
              <w:rFonts w:eastAsia="Times New Roman" w:cs="Times New Roman"/>
              <w:b w:val="0"/>
              <w:sz w:val="14"/>
              <w:szCs w:val="14"/>
            </w:rPr>
            <w:t xml:space="preserve">       </w:t>
          </w:r>
          <w:r w:rsidRPr="0E4E29E4">
            <w:rPr>
              <w:rFonts w:eastAsia="Times New Roman" w:cs="Times New Roman"/>
              <w:szCs w:val="24"/>
            </w:rPr>
            <w:t>Moneda funcional y de presentación, redondeo y materialidad</w:t>
          </w:r>
          <w:bookmarkEnd w:id="7"/>
        </w:p>
        <w:p w14:paraId="48021C29" w14:textId="6A0E1DB7" w:rsidR="00870040" w:rsidRPr="00931DCE" w:rsidRDefault="1B836105" w:rsidP="0E4E29E4">
          <w:pPr>
            <w:spacing w:after="0" w:line="240" w:lineRule="auto"/>
            <w:ind w:left="-20" w:right="-20"/>
            <w:jc w:val="both"/>
          </w:pPr>
          <w:r w:rsidRPr="0E4E29E4">
            <w:rPr>
              <w:rFonts w:ascii="Times New Roman" w:eastAsia="Times New Roman" w:hAnsi="Times New Roman"/>
              <w:b/>
              <w:bCs/>
              <w:sz w:val="24"/>
              <w:szCs w:val="24"/>
            </w:rPr>
            <w:t xml:space="preserve"> </w:t>
          </w:r>
        </w:p>
        <w:p w14:paraId="5C550089" w14:textId="520D79AD"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El peso colombiano es la Moneda funcional utilizada para valorar y registrar las operaciones económicas, financieras y patrimoniales de la Agencia Nacional de Infraestructura.</w:t>
          </w:r>
        </w:p>
        <w:p w14:paraId="501825C8" w14:textId="0753F224"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 xml:space="preserve"> </w:t>
          </w:r>
        </w:p>
        <w:p w14:paraId="0F2AA038" w14:textId="4229C32A"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Para efectos de presentación, de los estados financieros no se visualizarán decimales al presentar las cifras, los cuales se encuentran en pesos colombianos (COP) de forma comparativa con los del período inmediatamente anterior.</w:t>
          </w:r>
        </w:p>
        <w:p w14:paraId="6214880B" w14:textId="7FCD34B3"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 xml:space="preserve"> </w:t>
          </w:r>
        </w:p>
        <w:p w14:paraId="1AC15894" w14:textId="624DE1BF"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 xml:space="preserve">En la elaboración de las notas a los Estados Financieros, la Agencia determinó el criterio de materialidad así: </w:t>
          </w:r>
        </w:p>
        <w:p w14:paraId="5EC92009" w14:textId="3ECCD113"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 xml:space="preserve"> </w:t>
          </w:r>
        </w:p>
        <w:p w14:paraId="74C6CC8A" w14:textId="3A0B0661" w:rsidR="00870040" w:rsidRPr="00931DCE" w:rsidRDefault="1B836105" w:rsidP="0E4E29E4">
          <w:pPr>
            <w:pStyle w:val="Prrafodelista"/>
            <w:numPr>
              <w:ilvl w:val="0"/>
              <w:numId w:val="179"/>
            </w:numPr>
            <w:spacing w:after="0" w:line="240" w:lineRule="auto"/>
            <w:ind w:left="-20" w:right="-20"/>
            <w:jc w:val="both"/>
            <w:rPr>
              <w:rFonts w:ascii="Times New Roman" w:eastAsia="Times New Roman" w:hAnsi="Times New Roman"/>
              <w:sz w:val="24"/>
              <w:szCs w:val="24"/>
            </w:rPr>
          </w:pPr>
          <w:r w:rsidRPr="0E4E29E4">
            <w:rPr>
              <w:rFonts w:ascii="Times New Roman" w:eastAsia="Times New Roman" w:hAnsi="Times New Roman"/>
              <w:sz w:val="24"/>
              <w:szCs w:val="24"/>
            </w:rPr>
            <w:t xml:space="preserve">Cuando la partida no sea significativa frente al valor total de la cuenta no requiere de detalle, puesto que no afectan significativamente la presentación de la situación financiera y el resultado de la Entidad originados durante el período contable 2023, y, </w:t>
          </w:r>
        </w:p>
        <w:p w14:paraId="3CDA3DDA" w14:textId="63319074" w:rsidR="00870040" w:rsidRPr="00931DCE" w:rsidRDefault="1B836105" w:rsidP="0E4E29E4">
          <w:pPr>
            <w:pStyle w:val="Prrafodelista"/>
            <w:numPr>
              <w:ilvl w:val="0"/>
              <w:numId w:val="179"/>
            </w:numPr>
            <w:spacing w:after="0" w:line="240" w:lineRule="auto"/>
            <w:ind w:left="-20" w:right="-20"/>
            <w:jc w:val="both"/>
            <w:rPr>
              <w:rFonts w:ascii="Times New Roman" w:eastAsia="Times New Roman" w:hAnsi="Times New Roman"/>
              <w:sz w:val="24"/>
              <w:szCs w:val="24"/>
            </w:rPr>
          </w:pPr>
          <w:r w:rsidRPr="0E4E29E4">
            <w:rPr>
              <w:rFonts w:ascii="Times New Roman" w:eastAsia="Times New Roman" w:hAnsi="Times New Roman"/>
              <w:sz w:val="24"/>
              <w:szCs w:val="24"/>
            </w:rPr>
            <w:t>Mientras la Agencia Nacional de Infraestructura se encuentre dentro del plazo otorgado por la Resolución CGN No. 602 de 2018 y sus modificaciones, y en cumplimiento al concepto CGN No. 20211100002041 del 10 de febrero 2021, no aplicará lo establecido en la Norma de políticas contables, cambios en las estimaciones contables y corrección de errores, y los ajustes que realice afectarán la cuenta 3109-Resultados de ejercicios anteriores, en la Tipología contable T77 establecida por la Contaduría para tal propósito.</w:t>
          </w:r>
        </w:p>
        <w:p w14:paraId="30281E51" w14:textId="355E7663" w:rsidR="00870040" w:rsidRPr="00931DCE" w:rsidRDefault="1B836105" w:rsidP="0E4E29E4">
          <w:pPr>
            <w:spacing w:after="0" w:line="240" w:lineRule="auto"/>
            <w:ind w:left="644" w:right="-20"/>
            <w:jc w:val="both"/>
          </w:pPr>
          <w:r w:rsidRPr="0E4E29E4">
            <w:rPr>
              <w:rFonts w:ascii="Times New Roman" w:eastAsia="Times New Roman" w:hAnsi="Times New Roman"/>
              <w:sz w:val="24"/>
              <w:szCs w:val="24"/>
            </w:rPr>
            <w:t xml:space="preserve"> </w:t>
          </w:r>
        </w:p>
        <w:p w14:paraId="0EA4A870" w14:textId="7A73186C" w:rsidR="00870040" w:rsidRPr="00931DCE" w:rsidRDefault="1B836105" w:rsidP="0E4E29E4">
          <w:pPr>
            <w:pStyle w:val="Ttulo2"/>
            <w:numPr>
              <w:ilvl w:val="0"/>
              <w:numId w:val="0"/>
            </w:numPr>
            <w:spacing w:line="254" w:lineRule="auto"/>
            <w:ind w:right="-20"/>
            <w:rPr>
              <w:rFonts w:eastAsia="Times New Roman" w:cs="Times New Roman"/>
              <w:szCs w:val="24"/>
            </w:rPr>
          </w:pPr>
          <w:bookmarkStart w:id="8" w:name="_Toc159952353"/>
          <w:r w:rsidRPr="0E4E29E4">
            <w:rPr>
              <w:rFonts w:eastAsia="Times New Roman" w:cs="Times New Roman"/>
              <w:szCs w:val="24"/>
            </w:rPr>
            <w:t>2.3.</w:t>
          </w:r>
          <w:r w:rsidRPr="0E4E29E4">
            <w:rPr>
              <w:rFonts w:eastAsia="Times New Roman" w:cs="Times New Roman"/>
              <w:b w:val="0"/>
              <w:sz w:val="14"/>
              <w:szCs w:val="14"/>
            </w:rPr>
            <w:t xml:space="preserve">       </w:t>
          </w:r>
          <w:r w:rsidRPr="0E4E29E4">
            <w:rPr>
              <w:rFonts w:eastAsia="Times New Roman" w:cs="Times New Roman"/>
              <w:szCs w:val="24"/>
            </w:rPr>
            <w:t>Tratamiento de la moneda extranjera</w:t>
          </w:r>
          <w:bookmarkEnd w:id="8"/>
        </w:p>
        <w:p w14:paraId="725C3DCC" w14:textId="47F28D15" w:rsidR="00870040" w:rsidRPr="00931DCE" w:rsidRDefault="1B836105" w:rsidP="0E4E29E4">
          <w:pPr>
            <w:spacing w:after="0" w:line="240" w:lineRule="auto"/>
            <w:ind w:left="-20" w:right="-20"/>
            <w:jc w:val="both"/>
          </w:pPr>
          <w:r w:rsidRPr="0E4E29E4">
            <w:rPr>
              <w:rFonts w:ascii="Times New Roman" w:eastAsia="Times New Roman" w:hAnsi="Times New Roman"/>
              <w:sz w:val="18"/>
              <w:szCs w:val="18"/>
            </w:rPr>
            <w:t xml:space="preserve"> </w:t>
          </w:r>
        </w:p>
        <w:p w14:paraId="46287215" w14:textId="1319B5E6"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Para el caso de los derechos adquiridos en moneda extranjera, se reconocen en la moneda legal colombiana utilizando la tasa de cambio en la fecha de la transacción y re expresan con la tasa de cambio en la fecha de cierre, afectando la respectiva cuenta de resultados según corresponda ingresos o gastos.</w:t>
          </w:r>
        </w:p>
        <w:p w14:paraId="63FBEF13" w14:textId="0EAAF0EB" w:rsidR="00870040" w:rsidRPr="00931DCE" w:rsidRDefault="1B836105" w:rsidP="0E4E29E4">
          <w:pPr>
            <w:spacing w:after="0" w:line="240" w:lineRule="auto"/>
            <w:ind w:left="-20" w:right="-20"/>
            <w:jc w:val="both"/>
          </w:pPr>
          <w:r w:rsidRPr="0E4E29E4">
            <w:rPr>
              <w:rFonts w:ascii="Times New Roman" w:eastAsia="Times New Roman" w:hAnsi="Times New Roman"/>
              <w:b/>
              <w:bCs/>
              <w:sz w:val="24"/>
              <w:szCs w:val="24"/>
            </w:rPr>
            <w:t xml:space="preserve"> </w:t>
          </w:r>
        </w:p>
        <w:p w14:paraId="2CCB7016" w14:textId="6CC10E28" w:rsidR="00870040" w:rsidRPr="00931DCE" w:rsidRDefault="1B836105" w:rsidP="0E4E29E4">
          <w:pPr>
            <w:pStyle w:val="Ttulo2"/>
            <w:numPr>
              <w:ilvl w:val="0"/>
              <w:numId w:val="0"/>
            </w:numPr>
            <w:spacing w:line="254" w:lineRule="auto"/>
            <w:ind w:right="-20"/>
            <w:rPr>
              <w:rFonts w:eastAsia="Times New Roman" w:cs="Times New Roman"/>
              <w:szCs w:val="24"/>
            </w:rPr>
          </w:pPr>
          <w:bookmarkStart w:id="9" w:name="_Toc159952354"/>
          <w:r w:rsidRPr="0E4E29E4">
            <w:rPr>
              <w:rFonts w:eastAsia="Times New Roman" w:cs="Times New Roman"/>
              <w:szCs w:val="24"/>
            </w:rPr>
            <w:t>2.4.</w:t>
          </w:r>
          <w:r w:rsidRPr="0E4E29E4">
            <w:rPr>
              <w:rFonts w:eastAsia="Times New Roman" w:cs="Times New Roman"/>
              <w:b w:val="0"/>
              <w:sz w:val="14"/>
              <w:szCs w:val="14"/>
            </w:rPr>
            <w:t xml:space="preserve">       </w:t>
          </w:r>
          <w:r w:rsidRPr="0E4E29E4">
            <w:rPr>
              <w:rFonts w:eastAsia="Times New Roman" w:cs="Times New Roman"/>
              <w:szCs w:val="24"/>
            </w:rPr>
            <w:t>Hechos ocurridos después del periodo contable</w:t>
          </w:r>
          <w:bookmarkEnd w:id="9"/>
        </w:p>
        <w:p w14:paraId="58B659A3" w14:textId="3CA6D2FA"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 xml:space="preserve"> </w:t>
          </w:r>
        </w:p>
        <w:p w14:paraId="3E9A583D" w14:textId="0DBE9185" w:rsidR="00870040" w:rsidRPr="00931DCE" w:rsidRDefault="00E93852" w:rsidP="0E4E29E4">
          <w:pPr>
            <w:spacing w:after="0" w:line="240" w:lineRule="auto"/>
            <w:ind w:left="-20" w:right="-20"/>
            <w:jc w:val="both"/>
          </w:pPr>
          <w:r>
            <w:rPr>
              <w:rFonts w:ascii="Times New Roman" w:eastAsia="Times New Roman" w:hAnsi="Times New Roman"/>
              <w:sz w:val="24"/>
              <w:szCs w:val="24"/>
            </w:rPr>
            <w:t xml:space="preserve">No se presentaron </w:t>
          </w:r>
          <w:r w:rsidR="1B836105" w:rsidRPr="0E4E29E4">
            <w:rPr>
              <w:rFonts w:ascii="Times New Roman" w:eastAsia="Times New Roman" w:hAnsi="Times New Roman"/>
              <w:sz w:val="24"/>
              <w:szCs w:val="24"/>
            </w:rPr>
            <w:t xml:space="preserve">hechos ocurridos después del periodo contable </w:t>
          </w:r>
          <w:r>
            <w:rPr>
              <w:rFonts w:ascii="Times New Roman" w:eastAsia="Times New Roman" w:hAnsi="Times New Roman"/>
              <w:sz w:val="24"/>
              <w:szCs w:val="24"/>
            </w:rPr>
            <w:t xml:space="preserve">que fueran notificados al área de Contabilidad por </w:t>
          </w:r>
          <w:r w:rsidR="1B836105" w:rsidRPr="0E4E29E4">
            <w:rPr>
              <w:rFonts w:ascii="Times New Roman" w:eastAsia="Times New Roman" w:hAnsi="Times New Roman"/>
              <w:sz w:val="24"/>
              <w:szCs w:val="24"/>
            </w:rPr>
            <w:t xml:space="preserve">eventos, favorables o desfavorables, que se </w:t>
          </w:r>
          <w:r>
            <w:rPr>
              <w:rFonts w:ascii="Times New Roman" w:eastAsia="Times New Roman" w:hAnsi="Times New Roman"/>
              <w:sz w:val="24"/>
              <w:szCs w:val="24"/>
            </w:rPr>
            <w:t xml:space="preserve">hayan </w:t>
          </w:r>
          <w:r w:rsidR="1B836105" w:rsidRPr="0E4E29E4">
            <w:rPr>
              <w:rFonts w:ascii="Times New Roman" w:eastAsia="Times New Roman" w:hAnsi="Times New Roman"/>
              <w:sz w:val="24"/>
              <w:szCs w:val="24"/>
            </w:rPr>
            <w:t>produc</w:t>
          </w:r>
          <w:r>
            <w:rPr>
              <w:rFonts w:ascii="Times New Roman" w:eastAsia="Times New Roman" w:hAnsi="Times New Roman"/>
              <w:sz w:val="24"/>
              <w:szCs w:val="24"/>
            </w:rPr>
            <w:t>ido</w:t>
          </w:r>
          <w:r w:rsidR="1B836105" w:rsidRPr="0E4E29E4">
            <w:rPr>
              <w:rFonts w:ascii="Times New Roman" w:eastAsia="Times New Roman" w:hAnsi="Times New Roman"/>
              <w:sz w:val="24"/>
              <w:szCs w:val="24"/>
            </w:rPr>
            <w:t xml:space="preserve"> entre el final del periodo contable</w:t>
          </w:r>
          <w:r>
            <w:rPr>
              <w:rFonts w:ascii="Times New Roman" w:eastAsia="Times New Roman" w:hAnsi="Times New Roman"/>
              <w:sz w:val="24"/>
              <w:szCs w:val="24"/>
            </w:rPr>
            <w:t xml:space="preserve"> </w:t>
          </w:r>
          <w:r w:rsidRPr="0E4E29E4">
            <w:rPr>
              <w:rFonts w:ascii="Times New Roman" w:eastAsia="Times New Roman" w:hAnsi="Times New Roman"/>
              <w:sz w:val="24"/>
              <w:szCs w:val="24"/>
            </w:rPr>
            <w:t>31 de diciembre</w:t>
          </w:r>
          <w:r w:rsidR="1B836105" w:rsidRPr="0E4E29E4">
            <w:rPr>
              <w:rFonts w:ascii="Times New Roman" w:eastAsia="Times New Roman" w:hAnsi="Times New Roman"/>
              <w:sz w:val="24"/>
              <w:szCs w:val="24"/>
            </w:rPr>
            <w:t xml:space="preserve"> y la fecha de autorización para la publicación de los estados financieros de la Agencia. </w:t>
          </w:r>
        </w:p>
        <w:p w14:paraId="61B8C2AB" w14:textId="504694FA"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 xml:space="preserve"> </w:t>
          </w:r>
        </w:p>
        <w:p w14:paraId="2E6E31E9" w14:textId="0FA9FC49"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lastRenderedPageBreak/>
            <w:t>Por su parte, la fecha de autorización para la publicación de los estados financieros corresponde</w:t>
          </w:r>
          <w:r w:rsidR="00E93852">
            <w:rPr>
              <w:rFonts w:ascii="Times New Roman" w:eastAsia="Times New Roman" w:hAnsi="Times New Roman"/>
              <w:sz w:val="24"/>
              <w:szCs w:val="24"/>
            </w:rPr>
            <w:t xml:space="preserve"> a</w:t>
          </w:r>
          <w:r w:rsidRPr="0E4E29E4">
            <w:rPr>
              <w:rFonts w:ascii="Times New Roman" w:eastAsia="Times New Roman" w:hAnsi="Times New Roman"/>
              <w:sz w:val="24"/>
              <w:szCs w:val="24"/>
            </w:rPr>
            <w:t>l cronograma establecidos por la CGN</w:t>
          </w:r>
          <w:r w:rsidR="00E93852">
            <w:rPr>
              <w:rFonts w:ascii="Times New Roman" w:eastAsia="Times New Roman" w:hAnsi="Times New Roman"/>
              <w:sz w:val="24"/>
              <w:szCs w:val="24"/>
            </w:rPr>
            <w:t>, que e</w:t>
          </w:r>
          <w:r w:rsidRPr="0E4E29E4">
            <w:rPr>
              <w:rFonts w:ascii="Times New Roman" w:eastAsia="Times New Roman" w:hAnsi="Times New Roman"/>
              <w:sz w:val="24"/>
              <w:szCs w:val="24"/>
            </w:rPr>
            <w:t>n todo caso, la fecha de autorización para la publicación de los Estados Financieros de la Agencia no superará el 28 de febrero del año 2024.</w:t>
          </w:r>
        </w:p>
        <w:p w14:paraId="31D7FE63" w14:textId="5EF49150"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 xml:space="preserve"> </w:t>
          </w:r>
        </w:p>
        <w:p w14:paraId="08D3CCAE" w14:textId="54B2526E" w:rsidR="00870040" w:rsidRPr="00931DCE" w:rsidRDefault="1B836105" w:rsidP="0E4E29E4">
          <w:pPr>
            <w:spacing w:after="0" w:line="240" w:lineRule="auto"/>
            <w:ind w:left="-20" w:right="-20"/>
            <w:jc w:val="both"/>
          </w:pPr>
          <w:r w:rsidRPr="0E4E29E4">
            <w:rPr>
              <w:rFonts w:ascii="Times New Roman" w:eastAsia="Times New Roman" w:hAnsi="Times New Roman"/>
              <w:color w:val="000000" w:themeColor="text1"/>
              <w:sz w:val="24"/>
              <w:szCs w:val="24"/>
            </w:rPr>
            <w:t>Con el numeral 5.2 Planeación del proceso de cierre del año 2023 e inicio del año 2024, del Instructivo CGN No. 001 del 12 de diciembre de 2023, se estableció la fecha límite para el registro contable de las operaciones del mes de diciembre de 2023, la cual correspondió al 09 de febrero de 2024</w:t>
          </w:r>
          <w:r w:rsidR="00E93852">
            <w:rPr>
              <w:rFonts w:ascii="Times New Roman" w:eastAsia="Times New Roman" w:hAnsi="Times New Roman"/>
              <w:color w:val="000000" w:themeColor="text1"/>
              <w:sz w:val="24"/>
              <w:szCs w:val="24"/>
            </w:rPr>
            <w:t>. N</w:t>
          </w:r>
          <w:r w:rsidRPr="0E4E29E4">
            <w:rPr>
              <w:rFonts w:ascii="Times New Roman" w:eastAsia="Times New Roman" w:hAnsi="Times New Roman"/>
              <w:color w:val="000000" w:themeColor="text1"/>
              <w:sz w:val="24"/>
              <w:szCs w:val="24"/>
            </w:rPr>
            <w:t>o obstante, la Agencia solicitó a la CGN la ampliación de dicho plazo, recibiendo como respuesta que podía registrar operaciones hasta el 23 de febrero 2024. En ese sentido, se extendió dicha fecha a las áreas proveedoras de información para que pudiesen remitir con más tiempo del fijado en las circulares internas para el cierre</w:t>
          </w:r>
          <w:r w:rsidR="00E93852">
            <w:rPr>
              <w:rFonts w:ascii="Times New Roman" w:eastAsia="Times New Roman" w:hAnsi="Times New Roman"/>
              <w:color w:val="000000" w:themeColor="text1"/>
              <w:sz w:val="24"/>
              <w:szCs w:val="24"/>
            </w:rPr>
            <w:t>,</w:t>
          </w:r>
          <w:r w:rsidRPr="0E4E29E4">
            <w:rPr>
              <w:rFonts w:ascii="Times New Roman" w:eastAsia="Times New Roman" w:hAnsi="Times New Roman"/>
              <w:color w:val="000000" w:themeColor="text1"/>
              <w:sz w:val="24"/>
              <w:szCs w:val="24"/>
            </w:rPr>
            <w:t xml:space="preserve"> </w:t>
          </w:r>
          <w:r w:rsidR="00E93852">
            <w:rPr>
              <w:rFonts w:ascii="Times New Roman" w:eastAsia="Times New Roman" w:hAnsi="Times New Roman"/>
              <w:color w:val="000000" w:themeColor="text1"/>
              <w:sz w:val="24"/>
              <w:szCs w:val="24"/>
            </w:rPr>
            <w:t xml:space="preserve">toda la </w:t>
          </w:r>
          <w:r w:rsidRPr="0E4E29E4">
            <w:rPr>
              <w:rFonts w:ascii="Times New Roman" w:eastAsia="Times New Roman" w:hAnsi="Times New Roman"/>
              <w:color w:val="000000" w:themeColor="text1"/>
              <w:sz w:val="24"/>
              <w:szCs w:val="24"/>
            </w:rPr>
            <w:t>información requerida con corte al 31 de diciembre de 2023.</w:t>
          </w:r>
        </w:p>
        <w:p w14:paraId="1596048A" w14:textId="750FC8D9"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 xml:space="preserve"> </w:t>
          </w:r>
        </w:p>
        <w:p w14:paraId="041041D9" w14:textId="19B61205"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 xml:space="preserve"> </w:t>
          </w:r>
        </w:p>
        <w:p w14:paraId="766227D9" w14:textId="1FBE3D6E" w:rsidR="00870040" w:rsidRPr="00931DCE" w:rsidRDefault="1B836105" w:rsidP="0E4E29E4">
          <w:pPr>
            <w:pStyle w:val="Ttulo2"/>
            <w:numPr>
              <w:ilvl w:val="0"/>
              <w:numId w:val="0"/>
            </w:numPr>
            <w:spacing w:line="254" w:lineRule="auto"/>
            <w:ind w:right="-20"/>
            <w:rPr>
              <w:rFonts w:eastAsia="Times New Roman" w:cs="Times New Roman"/>
              <w:szCs w:val="24"/>
            </w:rPr>
          </w:pPr>
          <w:bookmarkStart w:id="10" w:name="_Toc159952355"/>
          <w:r w:rsidRPr="0E4E29E4">
            <w:rPr>
              <w:rFonts w:eastAsia="Times New Roman" w:cs="Times New Roman"/>
              <w:szCs w:val="24"/>
            </w:rPr>
            <w:t>2.5.</w:t>
          </w:r>
          <w:r w:rsidRPr="0E4E29E4">
            <w:rPr>
              <w:rFonts w:eastAsia="Times New Roman" w:cs="Times New Roman"/>
              <w:b w:val="0"/>
              <w:sz w:val="14"/>
              <w:szCs w:val="14"/>
            </w:rPr>
            <w:t xml:space="preserve">       </w:t>
          </w:r>
          <w:r w:rsidRPr="0E4E29E4">
            <w:rPr>
              <w:rFonts w:eastAsia="Times New Roman" w:cs="Times New Roman"/>
              <w:szCs w:val="24"/>
            </w:rPr>
            <w:t>Otros aspectos</w:t>
          </w:r>
          <w:bookmarkEnd w:id="10"/>
        </w:p>
        <w:p w14:paraId="4C555046" w14:textId="1887EFAD" w:rsidR="00870040" w:rsidRPr="00931DCE" w:rsidRDefault="1B836105" w:rsidP="0E4E29E4">
          <w:pPr>
            <w:spacing w:after="0" w:line="240" w:lineRule="auto"/>
            <w:ind w:left="-20" w:right="-20"/>
            <w:jc w:val="both"/>
          </w:pPr>
          <w:r w:rsidRPr="0E4E29E4">
            <w:rPr>
              <w:rFonts w:ascii="Times New Roman" w:eastAsia="Times New Roman" w:hAnsi="Times New Roman"/>
              <w:b/>
              <w:bCs/>
              <w:sz w:val="24"/>
              <w:szCs w:val="24"/>
            </w:rPr>
            <w:t xml:space="preserve"> </w:t>
          </w:r>
        </w:p>
        <w:p w14:paraId="4B091BC7" w14:textId="239F7325"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La Agencia, dio cumplimiento al reporte de la información contable publica a la Contaduría General de la Nación en el Sistema Consolidador de Hacienda Pública CHIP y lo correspondiente a las operaciones recíprocas y Boletín de Deudores Morosos del Estado, en las fechas establecidas.</w:t>
          </w:r>
        </w:p>
        <w:p w14:paraId="192EFFEE" w14:textId="133B058D" w:rsidR="00870040" w:rsidRDefault="1B836105" w:rsidP="0E4E29E4">
          <w:pPr>
            <w:spacing w:after="0" w:line="240" w:lineRule="auto"/>
            <w:ind w:left="-20" w:right="-20"/>
            <w:jc w:val="both"/>
            <w:rPr>
              <w:rFonts w:ascii="Times New Roman" w:eastAsia="Times New Roman" w:hAnsi="Times New Roman"/>
              <w:sz w:val="24"/>
              <w:szCs w:val="24"/>
            </w:rPr>
          </w:pPr>
          <w:r w:rsidRPr="0E4E29E4">
            <w:rPr>
              <w:rFonts w:ascii="Times New Roman" w:eastAsia="Times New Roman" w:hAnsi="Times New Roman"/>
              <w:sz w:val="24"/>
              <w:szCs w:val="24"/>
            </w:rPr>
            <w:t xml:space="preserve"> </w:t>
          </w:r>
        </w:p>
        <w:p w14:paraId="1151AA34" w14:textId="77777777" w:rsidR="00FD08BB" w:rsidRPr="00931DCE" w:rsidRDefault="00FD08BB" w:rsidP="0E4E29E4">
          <w:pPr>
            <w:spacing w:after="0" w:line="240" w:lineRule="auto"/>
            <w:ind w:left="-20" w:right="-20"/>
            <w:jc w:val="both"/>
          </w:pPr>
        </w:p>
        <w:p w14:paraId="30B3F03F" w14:textId="1519F9FB" w:rsidR="00870040" w:rsidRPr="00931DCE" w:rsidRDefault="1B836105" w:rsidP="0E4E29E4">
          <w:pPr>
            <w:pStyle w:val="Ttulo1"/>
            <w:ind w:left="-20" w:right="-20"/>
          </w:pPr>
          <w:bookmarkStart w:id="11" w:name="_Toc159952356"/>
          <w:r w:rsidRPr="0E4E29E4">
            <w:rPr>
              <w:rFonts w:eastAsia="Times New Roman" w:cs="Times New Roman"/>
              <w:szCs w:val="26"/>
            </w:rPr>
            <w:t>NOTA 3. JUICIOS, ESTIMACIONES, RIESGOS Y CORRECCIÓN DE ERRORES CONTABLES</w:t>
          </w:r>
          <w:bookmarkEnd w:id="11"/>
        </w:p>
        <w:p w14:paraId="645BD149" w14:textId="52D35778" w:rsidR="00870040" w:rsidRPr="00931DCE" w:rsidRDefault="1B836105" w:rsidP="0E4E29E4">
          <w:pPr>
            <w:spacing w:after="0" w:line="240" w:lineRule="auto"/>
            <w:ind w:left="-20" w:right="-20"/>
            <w:jc w:val="both"/>
          </w:pPr>
          <w:r w:rsidRPr="0E4E29E4">
            <w:rPr>
              <w:rFonts w:ascii="Times New Roman" w:eastAsia="Times New Roman" w:hAnsi="Times New Roman"/>
              <w:b/>
              <w:bCs/>
              <w:sz w:val="24"/>
              <w:szCs w:val="24"/>
            </w:rPr>
            <w:t xml:space="preserve"> </w:t>
          </w:r>
        </w:p>
        <w:p w14:paraId="0D3FE262" w14:textId="08815478"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El proceso contable de la Agencia Nacional de Infraestructura puede presentar afectaciones por aspectos tanto internos como externos; no obstante, estas situaciones son atenuadas, con el desarrollo y aplicación de acciones de mejoramiento continuo en los procesos contables.</w:t>
          </w:r>
        </w:p>
        <w:p w14:paraId="1C2FB869" w14:textId="606B20D7"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 xml:space="preserve"> </w:t>
          </w:r>
        </w:p>
        <w:p w14:paraId="770ED0E0" w14:textId="742A394E" w:rsidR="00870040" w:rsidRPr="00931DCE" w:rsidRDefault="1B836105" w:rsidP="0E4E29E4">
          <w:pPr>
            <w:pStyle w:val="Ttulo2"/>
            <w:numPr>
              <w:ilvl w:val="0"/>
              <w:numId w:val="0"/>
            </w:numPr>
            <w:spacing w:line="254" w:lineRule="auto"/>
            <w:ind w:right="-20"/>
            <w:rPr>
              <w:rFonts w:eastAsia="Times New Roman" w:cs="Times New Roman"/>
              <w:szCs w:val="24"/>
            </w:rPr>
          </w:pPr>
          <w:bookmarkStart w:id="12" w:name="_Toc159952357"/>
          <w:r w:rsidRPr="0E4E29E4">
            <w:rPr>
              <w:rFonts w:eastAsia="Times New Roman" w:cs="Times New Roman"/>
              <w:szCs w:val="24"/>
            </w:rPr>
            <w:t>3.1.</w:t>
          </w:r>
          <w:r w:rsidRPr="0E4E29E4">
            <w:rPr>
              <w:rFonts w:eastAsia="Times New Roman" w:cs="Times New Roman"/>
              <w:b w:val="0"/>
              <w:sz w:val="14"/>
              <w:szCs w:val="14"/>
            </w:rPr>
            <w:t xml:space="preserve">       </w:t>
          </w:r>
          <w:r w:rsidRPr="0E4E29E4">
            <w:rPr>
              <w:rFonts w:eastAsia="Times New Roman" w:cs="Times New Roman"/>
              <w:szCs w:val="24"/>
            </w:rPr>
            <w:t>Juicios</w:t>
          </w:r>
          <w:bookmarkEnd w:id="12"/>
          <w:r w:rsidRPr="0E4E29E4">
            <w:rPr>
              <w:rFonts w:eastAsia="Times New Roman" w:cs="Times New Roman"/>
              <w:szCs w:val="24"/>
            </w:rPr>
            <w:t xml:space="preserve"> </w:t>
          </w:r>
        </w:p>
        <w:p w14:paraId="45E14027" w14:textId="3FBB66B1"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 xml:space="preserve"> </w:t>
          </w:r>
        </w:p>
        <w:p w14:paraId="75D36097" w14:textId="2E03FA8C"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La Agencia Nacional de Infraestructura, no consideró juicios diferentes de las políticas contables de la entidad bajo los preceptos normativos expedidos por la CGN para la elaboración de los estados financieros.</w:t>
          </w:r>
        </w:p>
        <w:p w14:paraId="2BBB9B0A" w14:textId="7FE1761B"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 xml:space="preserve"> </w:t>
          </w:r>
        </w:p>
        <w:p w14:paraId="2F6CAF54" w14:textId="13F71297"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 xml:space="preserve"> </w:t>
          </w:r>
        </w:p>
        <w:p w14:paraId="477C4317" w14:textId="16C4E081" w:rsidR="00870040" w:rsidRPr="00931DCE" w:rsidRDefault="1B836105" w:rsidP="0E4E29E4">
          <w:pPr>
            <w:pStyle w:val="Ttulo2"/>
            <w:numPr>
              <w:ilvl w:val="0"/>
              <w:numId w:val="0"/>
            </w:numPr>
            <w:spacing w:line="254" w:lineRule="auto"/>
            <w:ind w:right="-20"/>
            <w:rPr>
              <w:rFonts w:eastAsia="Times New Roman" w:cs="Times New Roman"/>
              <w:szCs w:val="24"/>
            </w:rPr>
          </w:pPr>
          <w:bookmarkStart w:id="13" w:name="_Toc159952358"/>
          <w:r w:rsidRPr="0E4E29E4">
            <w:rPr>
              <w:rFonts w:eastAsia="Times New Roman" w:cs="Times New Roman"/>
              <w:szCs w:val="24"/>
            </w:rPr>
            <w:t>3.2.</w:t>
          </w:r>
          <w:r w:rsidRPr="0E4E29E4">
            <w:rPr>
              <w:rFonts w:eastAsia="Times New Roman" w:cs="Times New Roman"/>
              <w:b w:val="0"/>
              <w:sz w:val="14"/>
              <w:szCs w:val="14"/>
            </w:rPr>
            <w:t xml:space="preserve">       </w:t>
          </w:r>
          <w:r w:rsidRPr="0E4E29E4">
            <w:rPr>
              <w:rFonts w:eastAsia="Times New Roman" w:cs="Times New Roman"/>
              <w:szCs w:val="24"/>
            </w:rPr>
            <w:t>Estimaciones y supuestos</w:t>
          </w:r>
          <w:bookmarkEnd w:id="13"/>
          <w:r w:rsidRPr="0E4E29E4">
            <w:rPr>
              <w:rFonts w:eastAsia="Times New Roman" w:cs="Times New Roman"/>
              <w:szCs w:val="24"/>
            </w:rPr>
            <w:t xml:space="preserve"> </w:t>
          </w:r>
        </w:p>
        <w:p w14:paraId="530577DB" w14:textId="19EB7D22"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 xml:space="preserve"> </w:t>
          </w:r>
        </w:p>
        <w:p w14:paraId="5603B67F" w14:textId="610F24D4"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 xml:space="preserve">La Agencia utiliza una técnica de estimación para la determinación de los activos y pasivos del modo carretero y para ello cuenta con una matriz en Excel denominada “Modelos Financieros para Propósitos Contables”, que se actualiza con el IPC y TRM, matriz que permite estimar acorde con la información suministrada por las áreas misionales, el comportamiento de los proyectos concesionados desde su inicio hasta el final del periodo contable a reportar. Información que contiene la ejecución del proyecto, y que fue incorporada en los Estados Financieros de la Agencia.  </w:t>
          </w:r>
        </w:p>
        <w:p w14:paraId="6D4E31B3" w14:textId="15F64DDF"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 xml:space="preserve"> </w:t>
          </w:r>
        </w:p>
        <w:p w14:paraId="1B5A933E" w14:textId="1EAD7248"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lastRenderedPageBreak/>
            <w:t xml:space="preserve">Para cumplir con la Norma de Acuerdos de Concesión para los proyectos del modo Férreo, la Agencia utiliza una técnica de estimación, y para ello diseñó dos formatos así: </w:t>
          </w:r>
        </w:p>
        <w:p w14:paraId="37CB2E68" w14:textId="59922D1A"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 xml:space="preserve"> </w:t>
          </w:r>
        </w:p>
        <w:p w14:paraId="488326B5" w14:textId="178CE9B5" w:rsidR="00870040" w:rsidRPr="00931DCE" w:rsidRDefault="1B836105" w:rsidP="0E4E29E4">
          <w:pPr>
            <w:pStyle w:val="Prrafodelista"/>
            <w:numPr>
              <w:ilvl w:val="1"/>
              <w:numId w:val="177"/>
            </w:numPr>
            <w:spacing w:after="0" w:line="240" w:lineRule="auto"/>
            <w:ind w:left="-20" w:right="-20"/>
            <w:jc w:val="both"/>
            <w:rPr>
              <w:rFonts w:ascii="Times New Roman" w:eastAsia="Times New Roman" w:hAnsi="Times New Roman"/>
              <w:sz w:val="24"/>
              <w:szCs w:val="24"/>
            </w:rPr>
          </w:pPr>
          <w:r w:rsidRPr="0E4E29E4">
            <w:rPr>
              <w:rFonts w:ascii="Times New Roman" w:eastAsia="Times New Roman" w:hAnsi="Times New Roman"/>
              <w:sz w:val="24"/>
              <w:szCs w:val="24"/>
            </w:rPr>
            <w:t>Formato para información de bienes de uso público y propiedad planta y equipo.</w:t>
          </w:r>
        </w:p>
        <w:p w14:paraId="5EFD3E51" w14:textId="7BD2C368" w:rsidR="00870040" w:rsidRPr="00931DCE" w:rsidRDefault="1B836105" w:rsidP="0E4E29E4">
          <w:pPr>
            <w:pStyle w:val="Prrafodelista"/>
            <w:numPr>
              <w:ilvl w:val="1"/>
              <w:numId w:val="177"/>
            </w:numPr>
            <w:spacing w:after="0" w:line="240" w:lineRule="auto"/>
            <w:ind w:left="-20" w:right="-20"/>
            <w:jc w:val="both"/>
            <w:rPr>
              <w:rFonts w:ascii="Times New Roman" w:eastAsia="Times New Roman" w:hAnsi="Times New Roman"/>
              <w:sz w:val="24"/>
              <w:szCs w:val="24"/>
            </w:rPr>
          </w:pPr>
          <w:r w:rsidRPr="0E4E29E4">
            <w:rPr>
              <w:rFonts w:ascii="Times New Roman" w:eastAsia="Times New Roman" w:hAnsi="Times New Roman"/>
              <w:sz w:val="24"/>
              <w:szCs w:val="24"/>
            </w:rPr>
            <w:t>Formato Metodología, para la obtención de la información de bienes de uso público y propiedad planta y equipo.</w:t>
          </w:r>
        </w:p>
        <w:p w14:paraId="62B23074" w14:textId="45351057"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 xml:space="preserve"> </w:t>
          </w:r>
        </w:p>
        <w:p w14:paraId="4DB01E03" w14:textId="1CF82D61"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El Grupo Interno de Trabajo de Defensa Judicial mediante el formato GEJU-F-010, aplicando la metodología de la Resolución ANI No. 521 de 2018, remite la información relacionada con los procesos judiciales a favor y en contra de la entidad y de conformidad con la calificación que cada abogado realiza, de forma semestral, con corte al 31 de mayo y 30 de noviembre y las novedades a 31 de diciembre.</w:t>
          </w:r>
        </w:p>
        <w:p w14:paraId="7C156199" w14:textId="57C3FAA1"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 xml:space="preserve"> </w:t>
          </w:r>
        </w:p>
        <w:p w14:paraId="0A74804C" w14:textId="22A603CA" w:rsidR="00870040" w:rsidRPr="00931DCE" w:rsidRDefault="1B836105" w:rsidP="0E4E29E4">
          <w:pPr>
            <w:pStyle w:val="Ttulo2"/>
            <w:numPr>
              <w:ilvl w:val="0"/>
              <w:numId w:val="0"/>
            </w:numPr>
            <w:spacing w:line="254" w:lineRule="auto"/>
            <w:ind w:right="-20"/>
            <w:rPr>
              <w:rFonts w:eastAsia="Times New Roman" w:cs="Times New Roman"/>
              <w:szCs w:val="24"/>
            </w:rPr>
          </w:pPr>
          <w:bookmarkStart w:id="14" w:name="_Toc159952359"/>
          <w:r w:rsidRPr="0E4E29E4">
            <w:rPr>
              <w:rFonts w:eastAsia="Times New Roman" w:cs="Times New Roman"/>
              <w:szCs w:val="24"/>
            </w:rPr>
            <w:t>3.3.</w:t>
          </w:r>
          <w:r w:rsidRPr="0E4E29E4">
            <w:rPr>
              <w:rFonts w:eastAsia="Times New Roman" w:cs="Times New Roman"/>
              <w:b w:val="0"/>
              <w:sz w:val="14"/>
              <w:szCs w:val="14"/>
            </w:rPr>
            <w:t xml:space="preserve">       </w:t>
          </w:r>
          <w:r w:rsidRPr="0E4E29E4">
            <w:rPr>
              <w:rFonts w:eastAsia="Times New Roman" w:cs="Times New Roman"/>
              <w:szCs w:val="24"/>
            </w:rPr>
            <w:t>Correcciones contables</w:t>
          </w:r>
          <w:bookmarkEnd w:id="14"/>
          <w:r w:rsidRPr="0E4E29E4">
            <w:rPr>
              <w:rFonts w:eastAsia="Times New Roman" w:cs="Times New Roman"/>
              <w:szCs w:val="24"/>
            </w:rPr>
            <w:t xml:space="preserve"> </w:t>
          </w:r>
        </w:p>
        <w:p w14:paraId="20C72CDB" w14:textId="3687959E"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 xml:space="preserve"> </w:t>
          </w:r>
        </w:p>
        <w:p w14:paraId="7B1C20C9" w14:textId="341D5B5D"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Para la preparación de la información contable, la entidad realiza las correcciones, cambios en políticas contables y estimaciones que consideren son justificadas, cuyos efectos están incorporados en las cifras presentadas en los diferentes elementos de los estados financieros, bien en el patrimonio para el caso de las correcciones de periodos anteriores, o en los resultados del periodo. Como medida preventiva la Agencia efectúa conciliación de cifras y registros con las demás áreas administrativas y misionales que suministran información para registros contables, con el fin de evitar inconsistencias y minimizar errores.</w:t>
          </w:r>
        </w:p>
        <w:p w14:paraId="0C182C28" w14:textId="00D59014"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 xml:space="preserve"> </w:t>
          </w:r>
        </w:p>
        <w:p w14:paraId="41F836A9" w14:textId="43268DF0"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Los principales movimientos realizados por correcciones contables se revelan en la nota 27.2. Resultados de Ejercicios anteriores.</w:t>
          </w:r>
        </w:p>
        <w:p w14:paraId="49B251CB" w14:textId="413773BD"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 xml:space="preserve"> </w:t>
          </w:r>
        </w:p>
        <w:p w14:paraId="7E2BB1AF" w14:textId="0B551C99" w:rsidR="00870040" w:rsidRPr="00931DCE" w:rsidRDefault="1B836105" w:rsidP="0E4E29E4">
          <w:pPr>
            <w:pStyle w:val="Ttulo2"/>
            <w:numPr>
              <w:ilvl w:val="0"/>
              <w:numId w:val="0"/>
            </w:numPr>
            <w:spacing w:line="254" w:lineRule="auto"/>
            <w:ind w:right="-20"/>
            <w:rPr>
              <w:rFonts w:eastAsia="Times New Roman" w:cs="Times New Roman"/>
              <w:szCs w:val="24"/>
            </w:rPr>
          </w:pPr>
          <w:bookmarkStart w:id="15" w:name="_Toc159952360"/>
          <w:r w:rsidRPr="0E4E29E4">
            <w:rPr>
              <w:rFonts w:eastAsia="Times New Roman" w:cs="Times New Roman"/>
              <w:szCs w:val="24"/>
            </w:rPr>
            <w:t>3.4.</w:t>
          </w:r>
          <w:r w:rsidRPr="0E4E29E4">
            <w:rPr>
              <w:rFonts w:eastAsia="Times New Roman" w:cs="Times New Roman"/>
              <w:b w:val="0"/>
              <w:sz w:val="14"/>
              <w:szCs w:val="14"/>
            </w:rPr>
            <w:t xml:space="preserve">       </w:t>
          </w:r>
          <w:r w:rsidRPr="0E4E29E4">
            <w:rPr>
              <w:rFonts w:eastAsia="Times New Roman" w:cs="Times New Roman"/>
              <w:szCs w:val="24"/>
            </w:rPr>
            <w:t>Riesgos asociados a los instrumentos financieros</w:t>
          </w:r>
          <w:bookmarkEnd w:id="15"/>
        </w:p>
        <w:p w14:paraId="1D8ED54E" w14:textId="02B0C204"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 xml:space="preserve"> </w:t>
          </w:r>
        </w:p>
        <w:p w14:paraId="644FB369" w14:textId="497B7B47" w:rsidR="00870040" w:rsidRPr="00931DCE" w:rsidRDefault="1B836105" w:rsidP="0E4E29E4">
          <w:pPr>
            <w:spacing w:after="0" w:line="240" w:lineRule="auto"/>
            <w:ind w:left="-20" w:right="-20" w:firstLine="8"/>
            <w:jc w:val="both"/>
          </w:pPr>
          <w:r w:rsidRPr="0E4E29E4">
            <w:rPr>
              <w:rFonts w:ascii="Times New Roman" w:eastAsia="Times New Roman" w:hAnsi="Times New Roman"/>
              <w:sz w:val="24"/>
              <w:szCs w:val="24"/>
            </w:rPr>
            <w:t>La Agencia Nacional de Infraestructura, a cierre de la vigencia 2023 no presenta riesgos asociados a instrumentos financieros.</w:t>
          </w:r>
        </w:p>
        <w:p w14:paraId="19C580FA" w14:textId="5D0D983B" w:rsidR="00870040" w:rsidRPr="00931DCE" w:rsidRDefault="1B836105" w:rsidP="0E4E29E4">
          <w:pPr>
            <w:spacing w:after="0" w:line="240" w:lineRule="auto"/>
            <w:ind w:left="-20" w:right="-20" w:firstLine="8"/>
            <w:jc w:val="both"/>
          </w:pPr>
          <w:r w:rsidRPr="0E4E29E4">
            <w:rPr>
              <w:rFonts w:ascii="Times New Roman" w:eastAsia="Times New Roman" w:hAnsi="Times New Roman"/>
              <w:sz w:val="24"/>
              <w:szCs w:val="24"/>
            </w:rPr>
            <w:t xml:space="preserve"> </w:t>
          </w:r>
        </w:p>
        <w:p w14:paraId="50404D7C" w14:textId="1CF97AB4" w:rsidR="00870040" w:rsidRPr="00931DCE" w:rsidRDefault="1B836105" w:rsidP="0E4E29E4">
          <w:pPr>
            <w:pStyle w:val="Ttulo1"/>
            <w:ind w:left="-20" w:right="-20"/>
          </w:pPr>
          <w:bookmarkStart w:id="16" w:name="_Toc159952361"/>
          <w:r w:rsidRPr="0E4E29E4">
            <w:rPr>
              <w:rFonts w:eastAsia="Times New Roman" w:cs="Times New Roman"/>
              <w:szCs w:val="26"/>
            </w:rPr>
            <w:t>NOTA 4. RESUMEN DE POLÍTICAS CONTABLES</w:t>
          </w:r>
          <w:bookmarkEnd w:id="16"/>
        </w:p>
        <w:p w14:paraId="08D293DB" w14:textId="74F8C141"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 xml:space="preserve"> </w:t>
          </w:r>
        </w:p>
        <w:p w14:paraId="6B145EFE" w14:textId="0BFC2532" w:rsidR="00870040" w:rsidRPr="00931DCE" w:rsidRDefault="1B836105" w:rsidP="0E4E29E4">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s>
            <w:spacing w:after="0" w:line="240" w:lineRule="auto"/>
            <w:ind w:left="-20" w:right="49"/>
            <w:jc w:val="both"/>
          </w:pPr>
          <w:r w:rsidRPr="0E4E29E4">
            <w:rPr>
              <w:rFonts w:ascii="Times New Roman" w:eastAsia="Times New Roman" w:hAnsi="Times New Roman"/>
              <w:color w:val="000000" w:themeColor="text1"/>
              <w:sz w:val="24"/>
              <w:szCs w:val="24"/>
            </w:rPr>
            <w:t>En el documento denominado “</w:t>
          </w:r>
          <w:r w:rsidRPr="0E4E29E4">
            <w:rPr>
              <w:rFonts w:ascii="Times New Roman" w:eastAsia="Times New Roman" w:hAnsi="Times New Roman"/>
              <w:i/>
              <w:iCs/>
              <w:color w:val="000000" w:themeColor="text1"/>
              <w:sz w:val="24"/>
              <w:szCs w:val="24"/>
            </w:rPr>
            <w:t>Manual de Políticas Contables”</w:t>
          </w:r>
          <w:r w:rsidRPr="0E4E29E4">
            <w:rPr>
              <w:rFonts w:ascii="Times New Roman" w:eastAsia="Times New Roman" w:hAnsi="Times New Roman"/>
              <w:color w:val="000000" w:themeColor="text1"/>
              <w:sz w:val="24"/>
              <w:szCs w:val="24"/>
            </w:rPr>
            <w:t>, GADF-M-008, se dan a conocer los lineamientos mínimos a seguir para lograr la uniformidad de la información contable y que deben ser aplicados para la preparación de los Estados Financieros.</w:t>
          </w:r>
        </w:p>
        <w:p w14:paraId="46D8A929" w14:textId="3417FDE7" w:rsidR="00870040" w:rsidRPr="00931DCE" w:rsidRDefault="1B836105" w:rsidP="0E4E29E4">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s>
            <w:spacing w:after="0" w:line="240" w:lineRule="auto"/>
            <w:ind w:left="-20" w:right="49"/>
            <w:jc w:val="both"/>
          </w:pPr>
          <w:r w:rsidRPr="0E4E29E4">
            <w:rPr>
              <w:rFonts w:ascii="Times New Roman" w:eastAsia="Times New Roman" w:hAnsi="Times New Roman"/>
              <w:color w:val="000000" w:themeColor="text1"/>
              <w:sz w:val="24"/>
              <w:szCs w:val="24"/>
            </w:rPr>
            <w:t xml:space="preserve"> </w:t>
          </w:r>
        </w:p>
        <w:p w14:paraId="64F1F62C" w14:textId="551D5BAC"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 xml:space="preserve">El proceso contable está diseñado por etapas, las cuales le permiten registrar los hechos económicos conforme a las políticas contables establecidas por la Agencia, en el manual contable, instructivos, formatos, guías, circulares y de acuerdo con los pronunciamientos y normas que emita la Contaduría General de la Nación. </w:t>
          </w:r>
        </w:p>
        <w:p w14:paraId="567A6396" w14:textId="753D275C"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 xml:space="preserve"> </w:t>
          </w:r>
        </w:p>
        <w:p w14:paraId="66A339EF" w14:textId="49D1B5BE"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 xml:space="preserve">La Agencia Nacional de Infraestructura reconocerá un ACTIVO en sus Estados Financieros cuando este represente un recurso controlado, producto de sucesos pasados de los cuales espera obtener beneficios económicos o potenciales de servicios futuros. </w:t>
          </w:r>
        </w:p>
        <w:p w14:paraId="50995E95" w14:textId="5B29E5B5"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 xml:space="preserve"> </w:t>
          </w:r>
        </w:p>
        <w:p w14:paraId="4935A6D2" w14:textId="1511FD82"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lastRenderedPageBreak/>
            <w:t>La Agencia Nacional de Infraestructura reconocerá un PASIVO cuando sea una obligación presente producto de sucesos pasados para cuya cancelación, una vez vencida, deberá desprenderse de recursos que incorporan beneficios económicos o un potencial de servicio.</w:t>
          </w:r>
        </w:p>
        <w:p w14:paraId="297DFF60" w14:textId="6D70FBB8"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 xml:space="preserve"> </w:t>
          </w:r>
        </w:p>
        <w:p w14:paraId="62CF07D8" w14:textId="5ACA8E3B"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Se reconocerá un INGRESO cuando éste represente un incremento en los beneficios económicos o potencial de servicio producidos a lo largo del periodo contable, se presentan en forma de entradas o incrementos de valor de los activos, o bien como salidas o decrementos de los pasivos que dan como resultado aumentos del patrimonio y no están relacionados con el incremento del capital fiscal.</w:t>
          </w:r>
        </w:p>
        <w:p w14:paraId="5EE58ECF" w14:textId="2D614ADC"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 xml:space="preserve"> </w:t>
          </w:r>
        </w:p>
        <w:p w14:paraId="74B4513E" w14:textId="08D2CA56" w:rsidR="00870040" w:rsidRPr="00931DCE" w:rsidRDefault="1B836105" w:rsidP="0E4E29E4">
          <w:pPr>
            <w:spacing w:after="0" w:line="240" w:lineRule="auto"/>
            <w:ind w:left="-20" w:right="-20"/>
            <w:jc w:val="both"/>
          </w:pPr>
          <w:r w:rsidRPr="0E4E29E4">
            <w:rPr>
              <w:rFonts w:ascii="Times New Roman" w:eastAsia="Times New Roman" w:hAnsi="Times New Roman"/>
              <w:sz w:val="24"/>
              <w:szCs w:val="24"/>
            </w:rPr>
            <w:t>Se reconocerá un GASTO cuando éste represente un decremento en los beneficios económicos o potencial de servicio producidos a lo largo del periodo contable, bien en forma de salidas o disminuciones del valor de los activos, o bien por la generación o aumento de los pasivos, que dan como resultado decrementos en el patrimonio y no están asociados con la adquisición o producción de bienes y la prestación de servicios vendidos.</w:t>
          </w:r>
        </w:p>
        <w:p w14:paraId="79020563" w14:textId="541498D0" w:rsidR="00870040" w:rsidRPr="00931DCE" w:rsidRDefault="00870040" w:rsidP="00870040">
          <w:pPr>
            <w:spacing w:after="0" w:line="240" w:lineRule="auto"/>
            <w:jc w:val="both"/>
            <w:rPr>
              <w:rFonts w:ascii="Times New Roman" w:hAnsi="Times New Roman"/>
              <w:sz w:val="24"/>
              <w:szCs w:val="24"/>
            </w:rPr>
          </w:pPr>
        </w:p>
        <w:p w14:paraId="547D7398" w14:textId="5D2AF8C8" w:rsidR="00003B5B" w:rsidRPr="00931DCE" w:rsidRDefault="003049CC" w:rsidP="00306A4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s>
            <w:spacing w:after="0" w:line="240" w:lineRule="auto"/>
            <w:ind w:right="49"/>
            <w:jc w:val="both"/>
            <w:rPr>
              <w:rFonts w:ascii="Times New Roman" w:hAnsi="Times New Roman"/>
              <w:i/>
              <w:iCs/>
              <w:sz w:val="20"/>
              <w:szCs w:val="20"/>
            </w:rPr>
          </w:pPr>
          <w:r w:rsidRPr="00931DCE">
            <w:rPr>
              <w:rFonts w:ascii="Times New Roman" w:hAnsi="Times New Roman"/>
              <w:sz w:val="24"/>
              <w:szCs w:val="24"/>
            </w:rPr>
            <w:t>E</w:t>
          </w:r>
          <w:r w:rsidR="00B13016" w:rsidRPr="00931DCE">
            <w:rPr>
              <w:rFonts w:ascii="Times New Roman" w:hAnsi="Times New Roman"/>
              <w:sz w:val="24"/>
              <w:szCs w:val="24"/>
            </w:rPr>
            <w:t xml:space="preserve">l Manual de Políticas Contables se encuentra publicado en la página web de la </w:t>
          </w:r>
          <w:r w:rsidR="00306A4E" w:rsidRPr="00931DCE">
            <w:rPr>
              <w:rFonts w:ascii="Times New Roman" w:hAnsi="Times New Roman"/>
              <w:sz w:val="24"/>
              <w:szCs w:val="24"/>
            </w:rPr>
            <w:t>entidad para su consulta.</w:t>
          </w:r>
        </w:p>
        <w:p w14:paraId="6166DE58" w14:textId="36461166" w:rsidR="00DA56D1" w:rsidRPr="00931DCE" w:rsidRDefault="00DA56D1" w:rsidP="004A000E">
          <w:pPr>
            <w:spacing w:after="0" w:line="240" w:lineRule="auto"/>
            <w:jc w:val="both"/>
            <w:rPr>
              <w:rFonts w:ascii="Times New Roman" w:hAnsi="Times New Roman"/>
              <w:sz w:val="24"/>
              <w:szCs w:val="24"/>
            </w:rPr>
          </w:pPr>
        </w:p>
        <w:p w14:paraId="083A1A2C" w14:textId="77777777" w:rsidR="00DA56D1" w:rsidRPr="00931DCE" w:rsidRDefault="00DA56D1">
          <w:pPr>
            <w:pStyle w:val="Prrafodelista"/>
            <w:numPr>
              <w:ilvl w:val="0"/>
              <w:numId w:val="1"/>
            </w:numPr>
            <w:spacing w:after="0" w:line="240" w:lineRule="auto"/>
            <w:jc w:val="both"/>
            <w:rPr>
              <w:rFonts w:ascii="Times New Roman" w:hAnsi="Times New Roman"/>
              <w:b/>
              <w:sz w:val="24"/>
              <w:szCs w:val="24"/>
            </w:rPr>
          </w:pPr>
          <w:r w:rsidRPr="00931DCE">
            <w:rPr>
              <w:rFonts w:ascii="Times New Roman" w:hAnsi="Times New Roman"/>
              <w:b/>
              <w:sz w:val="24"/>
              <w:szCs w:val="24"/>
            </w:rPr>
            <w:t>LISTADO DE NOTAS QUE NO LE APLICAN A LA ENTIDAD</w:t>
          </w:r>
        </w:p>
        <w:p w14:paraId="380ABA3D" w14:textId="77777777" w:rsidR="00DA56D1" w:rsidRPr="00931DCE" w:rsidRDefault="00DA56D1" w:rsidP="004A000E">
          <w:pPr>
            <w:spacing w:after="0" w:line="240" w:lineRule="auto"/>
            <w:ind w:left="709" w:hanging="2"/>
            <w:jc w:val="both"/>
            <w:rPr>
              <w:rFonts w:ascii="Times New Roman" w:hAnsi="Times New Roman"/>
              <w:b/>
              <w:sz w:val="24"/>
              <w:szCs w:val="24"/>
            </w:rPr>
          </w:pPr>
        </w:p>
        <w:p w14:paraId="7344D596" w14:textId="0E6B46D6" w:rsidR="00DA56D1" w:rsidRPr="00931DCE" w:rsidRDefault="00DA56D1" w:rsidP="004A000E">
          <w:pPr>
            <w:spacing w:after="0" w:line="240" w:lineRule="auto"/>
            <w:ind w:left="709" w:hanging="2"/>
            <w:jc w:val="both"/>
            <w:rPr>
              <w:rFonts w:ascii="Times New Roman" w:hAnsi="Times New Roman"/>
              <w:sz w:val="24"/>
              <w:szCs w:val="24"/>
            </w:rPr>
          </w:pPr>
          <w:r w:rsidRPr="00931DCE">
            <w:rPr>
              <w:rFonts w:ascii="Times New Roman" w:hAnsi="Times New Roman"/>
              <w:sz w:val="24"/>
              <w:szCs w:val="24"/>
            </w:rPr>
            <w:t xml:space="preserve">NOTA 6. </w:t>
          </w:r>
          <w:r w:rsidR="00CC4AA1" w:rsidRPr="00931DCE">
            <w:rPr>
              <w:rFonts w:ascii="Times New Roman" w:hAnsi="Times New Roman"/>
              <w:sz w:val="24"/>
              <w:szCs w:val="24"/>
            </w:rPr>
            <w:tab/>
          </w:r>
          <w:r w:rsidRPr="00931DCE">
            <w:rPr>
              <w:rFonts w:ascii="Times New Roman" w:hAnsi="Times New Roman"/>
              <w:sz w:val="24"/>
              <w:szCs w:val="24"/>
            </w:rPr>
            <w:t>INVERSIONES E INSTRUMENTOS DERIVADOS</w:t>
          </w:r>
        </w:p>
        <w:p w14:paraId="4ED09A44" w14:textId="2EE1A540" w:rsidR="00CC4AA1" w:rsidRPr="00931DCE" w:rsidRDefault="00CC4AA1" w:rsidP="004A000E">
          <w:pPr>
            <w:spacing w:after="0" w:line="240" w:lineRule="auto"/>
            <w:ind w:left="709" w:hanging="2"/>
            <w:jc w:val="both"/>
            <w:rPr>
              <w:rFonts w:ascii="Times New Roman" w:hAnsi="Times New Roman"/>
              <w:sz w:val="24"/>
              <w:szCs w:val="24"/>
            </w:rPr>
          </w:pPr>
          <w:r w:rsidRPr="00931DCE">
            <w:rPr>
              <w:rFonts w:ascii="Times New Roman" w:hAnsi="Times New Roman"/>
              <w:sz w:val="24"/>
              <w:szCs w:val="24"/>
            </w:rPr>
            <w:t xml:space="preserve">NOTA 8. </w:t>
          </w:r>
          <w:r w:rsidRPr="00931DCE">
            <w:rPr>
              <w:rFonts w:ascii="Times New Roman" w:hAnsi="Times New Roman"/>
              <w:sz w:val="24"/>
              <w:szCs w:val="24"/>
            </w:rPr>
            <w:tab/>
            <w:t>PR</w:t>
          </w:r>
          <w:r w:rsidR="00051188" w:rsidRPr="00931DCE">
            <w:rPr>
              <w:rFonts w:ascii="Times New Roman" w:hAnsi="Times New Roman"/>
              <w:sz w:val="24"/>
              <w:szCs w:val="24"/>
            </w:rPr>
            <w:t>E</w:t>
          </w:r>
          <w:r w:rsidRPr="00931DCE">
            <w:rPr>
              <w:rFonts w:ascii="Times New Roman" w:hAnsi="Times New Roman"/>
              <w:sz w:val="24"/>
              <w:szCs w:val="24"/>
            </w:rPr>
            <w:t>STAMOS POR COBRAR</w:t>
          </w:r>
        </w:p>
        <w:p w14:paraId="787D0078" w14:textId="51EB68EC" w:rsidR="00ED74C6" w:rsidRPr="00931DCE" w:rsidRDefault="00ED74C6" w:rsidP="002637B6">
          <w:pPr>
            <w:spacing w:after="0" w:line="240" w:lineRule="auto"/>
            <w:ind w:left="711" w:hanging="2"/>
            <w:jc w:val="both"/>
            <w:rPr>
              <w:rFonts w:ascii="Times New Roman" w:hAnsi="Times New Roman"/>
              <w:sz w:val="24"/>
              <w:szCs w:val="24"/>
            </w:rPr>
          </w:pPr>
          <w:r w:rsidRPr="00931DCE">
            <w:rPr>
              <w:rFonts w:ascii="Times New Roman" w:hAnsi="Times New Roman"/>
              <w:sz w:val="24"/>
              <w:szCs w:val="24"/>
            </w:rPr>
            <w:t>NOTA 9.</w:t>
          </w:r>
          <w:r w:rsidR="00DB7AB6">
            <w:rPr>
              <w:rFonts w:ascii="Times New Roman" w:hAnsi="Times New Roman"/>
              <w:sz w:val="24"/>
              <w:szCs w:val="24"/>
            </w:rPr>
            <w:tab/>
          </w:r>
          <w:r w:rsidRPr="00931DCE">
            <w:rPr>
              <w:rFonts w:ascii="Times New Roman" w:hAnsi="Times New Roman"/>
              <w:sz w:val="24"/>
              <w:szCs w:val="24"/>
            </w:rPr>
            <w:t>INVENTARIOS</w:t>
          </w:r>
        </w:p>
        <w:p w14:paraId="6759A339" w14:textId="5E1741AB" w:rsidR="00DA56D1" w:rsidRPr="00931DCE" w:rsidRDefault="00DA56D1" w:rsidP="004A000E">
          <w:pPr>
            <w:spacing w:after="0" w:line="240" w:lineRule="auto"/>
            <w:ind w:left="709"/>
            <w:jc w:val="both"/>
            <w:rPr>
              <w:rFonts w:ascii="Times New Roman" w:hAnsi="Times New Roman"/>
              <w:sz w:val="24"/>
              <w:szCs w:val="24"/>
            </w:rPr>
          </w:pPr>
          <w:r w:rsidRPr="00931DCE">
            <w:rPr>
              <w:rFonts w:ascii="Times New Roman" w:hAnsi="Times New Roman"/>
              <w:sz w:val="24"/>
              <w:szCs w:val="24"/>
            </w:rPr>
            <w:t xml:space="preserve">NOTA 12. </w:t>
          </w:r>
          <w:r w:rsidR="00CC4AA1" w:rsidRPr="00931DCE">
            <w:rPr>
              <w:rFonts w:ascii="Times New Roman" w:hAnsi="Times New Roman"/>
              <w:sz w:val="24"/>
              <w:szCs w:val="24"/>
            </w:rPr>
            <w:tab/>
          </w:r>
          <w:r w:rsidRPr="00931DCE">
            <w:rPr>
              <w:rFonts w:ascii="Times New Roman" w:hAnsi="Times New Roman"/>
              <w:sz w:val="24"/>
              <w:szCs w:val="24"/>
            </w:rPr>
            <w:t>RECURSOS NATURALES NO RENOVABLES</w:t>
          </w:r>
        </w:p>
        <w:p w14:paraId="3796DCFB" w14:textId="3D3F37C7" w:rsidR="00CC4AA1" w:rsidRPr="00931DCE" w:rsidRDefault="00CC4AA1" w:rsidP="004A000E">
          <w:pPr>
            <w:spacing w:after="0" w:line="240" w:lineRule="auto"/>
            <w:ind w:left="709"/>
            <w:jc w:val="both"/>
            <w:rPr>
              <w:rFonts w:ascii="Times New Roman" w:hAnsi="Times New Roman"/>
              <w:sz w:val="24"/>
              <w:szCs w:val="24"/>
            </w:rPr>
          </w:pPr>
          <w:r w:rsidRPr="00931DCE">
            <w:rPr>
              <w:rFonts w:ascii="Times New Roman" w:hAnsi="Times New Roman"/>
              <w:sz w:val="24"/>
              <w:szCs w:val="24"/>
            </w:rPr>
            <w:t xml:space="preserve">NOTA 13. </w:t>
          </w:r>
          <w:r w:rsidRPr="00931DCE">
            <w:rPr>
              <w:rFonts w:ascii="Times New Roman" w:hAnsi="Times New Roman"/>
              <w:sz w:val="24"/>
              <w:szCs w:val="24"/>
            </w:rPr>
            <w:tab/>
            <w:t>PROPIEDADES DE INVERSIÓN</w:t>
          </w:r>
        </w:p>
        <w:p w14:paraId="74D7A62F" w14:textId="3D4BB465" w:rsidR="00DA56D1" w:rsidRPr="00931DCE" w:rsidRDefault="00DA56D1" w:rsidP="004A000E">
          <w:pPr>
            <w:spacing w:after="0" w:line="240" w:lineRule="auto"/>
            <w:ind w:left="709"/>
            <w:jc w:val="both"/>
            <w:rPr>
              <w:rFonts w:ascii="Times New Roman" w:hAnsi="Times New Roman"/>
              <w:sz w:val="24"/>
              <w:szCs w:val="24"/>
            </w:rPr>
          </w:pPr>
          <w:r w:rsidRPr="00931DCE">
            <w:rPr>
              <w:rFonts w:ascii="Times New Roman" w:hAnsi="Times New Roman"/>
              <w:sz w:val="24"/>
              <w:szCs w:val="24"/>
            </w:rPr>
            <w:t>NOTA 1</w:t>
          </w:r>
          <w:r w:rsidR="00CC4AA1" w:rsidRPr="00931DCE">
            <w:rPr>
              <w:rFonts w:ascii="Times New Roman" w:hAnsi="Times New Roman"/>
              <w:sz w:val="24"/>
              <w:szCs w:val="24"/>
            </w:rPr>
            <w:t>5</w:t>
          </w:r>
          <w:r w:rsidRPr="00931DCE">
            <w:rPr>
              <w:rFonts w:ascii="Times New Roman" w:hAnsi="Times New Roman"/>
              <w:sz w:val="24"/>
              <w:szCs w:val="24"/>
            </w:rPr>
            <w:t xml:space="preserve">. </w:t>
          </w:r>
          <w:r w:rsidR="00CC4AA1" w:rsidRPr="00931DCE">
            <w:rPr>
              <w:rFonts w:ascii="Times New Roman" w:hAnsi="Times New Roman"/>
              <w:sz w:val="24"/>
              <w:szCs w:val="24"/>
            </w:rPr>
            <w:tab/>
          </w:r>
          <w:r w:rsidRPr="00931DCE">
            <w:rPr>
              <w:rFonts w:ascii="Times New Roman" w:hAnsi="Times New Roman"/>
              <w:sz w:val="24"/>
              <w:szCs w:val="24"/>
            </w:rPr>
            <w:t xml:space="preserve">ACTIVOS </w:t>
          </w:r>
          <w:r w:rsidR="00CC4AA1" w:rsidRPr="00931DCE">
            <w:rPr>
              <w:rFonts w:ascii="Times New Roman" w:hAnsi="Times New Roman"/>
              <w:sz w:val="24"/>
              <w:szCs w:val="24"/>
            </w:rPr>
            <w:t>BIOLOGICOS</w:t>
          </w:r>
        </w:p>
        <w:p w14:paraId="18D4FCF0" w14:textId="1C545E23" w:rsidR="00CC4AA1" w:rsidRPr="00931DCE" w:rsidRDefault="00CC4AA1" w:rsidP="004A000E">
          <w:pPr>
            <w:spacing w:after="0" w:line="240" w:lineRule="auto"/>
            <w:ind w:left="709"/>
            <w:jc w:val="both"/>
            <w:rPr>
              <w:rFonts w:ascii="Times New Roman" w:hAnsi="Times New Roman"/>
              <w:sz w:val="24"/>
              <w:szCs w:val="24"/>
            </w:rPr>
          </w:pPr>
          <w:r w:rsidRPr="00931DCE">
            <w:rPr>
              <w:rFonts w:ascii="Times New Roman" w:hAnsi="Times New Roman"/>
              <w:sz w:val="24"/>
              <w:szCs w:val="24"/>
            </w:rPr>
            <w:t xml:space="preserve">NOTA 17. </w:t>
          </w:r>
          <w:r w:rsidRPr="00931DCE">
            <w:rPr>
              <w:rFonts w:ascii="Times New Roman" w:hAnsi="Times New Roman"/>
              <w:sz w:val="24"/>
              <w:szCs w:val="24"/>
            </w:rPr>
            <w:tab/>
            <w:t>ARRENDAMIENTOS</w:t>
          </w:r>
        </w:p>
        <w:p w14:paraId="5B6487A3" w14:textId="6BAC1737" w:rsidR="00CC4AA1" w:rsidRPr="00931DCE" w:rsidRDefault="00CC4AA1" w:rsidP="004A000E">
          <w:pPr>
            <w:spacing w:after="0" w:line="240" w:lineRule="auto"/>
            <w:ind w:left="709"/>
            <w:jc w:val="both"/>
            <w:rPr>
              <w:rFonts w:ascii="Times New Roman" w:hAnsi="Times New Roman"/>
              <w:sz w:val="24"/>
              <w:szCs w:val="24"/>
            </w:rPr>
          </w:pPr>
          <w:r w:rsidRPr="00931DCE">
            <w:rPr>
              <w:rFonts w:ascii="Times New Roman" w:hAnsi="Times New Roman"/>
              <w:sz w:val="24"/>
              <w:szCs w:val="24"/>
            </w:rPr>
            <w:t xml:space="preserve">NOTA 18. </w:t>
          </w:r>
          <w:r w:rsidRPr="00931DCE">
            <w:rPr>
              <w:rFonts w:ascii="Times New Roman" w:hAnsi="Times New Roman"/>
              <w:sz w:val="24"/>
              <w:szCs w:val="24"/>
            </w:rPr>
            <w:tab/>
            <w:t>COSTOS DE FINANCIACIÓN</w:t>
          </w:r>
        </w:p>
        <w:p w14:paraId="5D100395" w14:textId="037EC26E" w:rsidR="00ED74C6" w:rsidRPr="00931DCE" w:rsidRDefault="00ED74C6" w:rsidP="004A000E">
          <w:pPr>
            <w:spacing w:after="0" w:line="240" w:lineRule="auto"/>
            <w:ind w:left="709"/>
            <w:jc w:val="both"/>
            <w:rPr>
              <w:rFonts w:ascii="Times New Roman" w:hAnsi="Times New Roman"/>
              <w:sz w:val="24"/>
              <w:szCs w:val="24"/>
            </w:rPr>
          </w:pPr>
          <w:r w:rsidRPr="00931DCE">
            <w:rPr>
              <w:rFonts w:ascii="Times New Roman" w:hAnsi="Times New Roman"/>
              <w:sz w:val="24"/>
              <w:szCs w:val="24"/>
            </w:rPr>
            <w:t>NOTA 19.</w:t>
          </w:r>
          <w:r w:rsidRPr="00931DCE">
            <w:rPr>
              <w:rFonts w:ascii="Times New Roman" w:hAnsi="Times New Roman"/>
              <w:sz w:val="24"/>
              <w:szCs w:val="24"/>
            </w:rPr>
            <w:tab/>
            <w:t>EMISIÓN Y COLOCACIÓN DE TÍTULOS DE DEUDA</w:t>
          </w:r>
        </w:p>
        <w:p w14:paraId="3AB4501B" w14:textId="795F6E1B" w:rsidR="00CC4AA1" w:rsidRPr="00931DCE" w:rsidRDefault="00CC4AA1" w:rsidP="004A000E">
          <w:pPr>
            <w:spacing w:after="0" w:line="240" w:lineRule="auto"/>
            <w:ind w:left="709"/>
            <w:jc w:val="both"/>
            <w:rPr>
              <w:rFonts w:ascii="Times New Roman" w:hAnsi="Times New Roman"/>
              <w:sz w:val="24"/>
              <w:szCs w:val="24"/>
            </w:rPr>
          </w:pPr>
          <w:r w:rsidRPr="00931DCE">
            <w:rPr>
              <w:rFonts w:ascii="Times New Roman" w:hAnsi="Times New Roman"/>
              <w:sz w:val="24"/>
              <w:szCs w:val="24"/>
            </w:rPr>
            <w:t>NOTA 30.</w:t>
          </w:r>
          <w:r w:rsidRPr="00931DCE">
            <w:rPr>
              <w:rFonts w:ascii="Times New Roman" w:hAnsi="Times New Roman"/>
              <w:sz w:val="24"/>
              <w:szCs w:val="24"/>
            </w:rPr>
            <w:tab/>
            <w:t>COSTO DE VENTAS</w:t>
          </w:r>
        </w:p>
        <w:p w14:paraId="3271F81F" w14:textId="144B3FCC" w:rsidR="00CC4AA1" w:rsidRPr="00931DCE" w:rsidRDefault="00CC4AA1" w:rsidP="004A000E">
          <w:pPr>
            <w:spacing w:after="0" w:line="240" w:lineRule="auto"/>
            <w:ind w:left="709"/>
            <w:jc w:val="both"/>
            <w:rPr>
              <w:rFonts w:ascii="Times New Roman" w:hAnsi="Times New Roman"/>
              <w:sz w:val="24"/>
              <w:szCs w:val="24"/>
            </w:rPr>
          </w:pPr>
          <w:r w:rsidRPr="00931DCE">
            <w:rPr>
              <w:rFonts w:ascii="Times New Roman" w:hAnsi="Times New Roman"/>
              <w:sz w:val="24"/>
              <w:szCs w:val="24"/>
            </w:rPr>
            <w:t>NOTA 31.</w:t>
          </w:r>
          <w:r w:rsidRPr="00931DCE">
            <w:rPr>
              <w:rFonts w:ascii="Times New Roman" w:hAnsi="Times New Roman"/>
              <w:sz w:val="24"/>
              <w:szCs w:val="24"/>
            </w:rPr>
            <w:tab/>
            <w:t>COSTOS DE TRANSFORMACION</w:t>
          </w:r>
        </w:p>
        <w:p w14:paraId="59488EB5" w14:textId="7FEE36EA" w:rsidR="00CC4AA1" w:rsidRPr="00931DCE" w:rsidRDefault="00CC4AA1" w:rsidP="004A000E">
          <w:pPr>
            <w:spacing w:after="0" w:line="240" w:lineRule="auto"/>
            <w:ind w:left="2127" w:hanging="1418"/>
            <w:jc w:val="both"/>
            <w:rPr>
              <w:rFonts w:ascii="Times New Roman" w:hAnsi="Times New Roman"/>
              <w:sz w:val="24"/>
              <w:szCs w:val="24"/>
            </w:rPr>
          </w:pPr>
          <w:r w:rsidRPr="00931DCE">
            <w:rPr>
              <w:rFonts w:ascii="Times New Roman" w:hAnsi="Times New Roman"/>
              <w:sz w:val="24"/>
              <w:szCs w:val="24"/>
            </w:rPr>
            <w:t xml:space="preserve">NOTA 33. </w:t>
          </w:r>
          <w:r w:rsidRPr="00931DCE">
            <w:rPr>
              <w:rFonts w:ascii="Times New Roman" w:hAnsi="Times New Roman"/>
              <w:sz w:val="24"/>
              <w:szCs w:val="24"/>
            </w:rPr>
            <w:tab/>
            <w:t>ADMINISTRACIÓN DE RECURSOS DE SEGURIDAD SOCIAL EN PENSIONES (Fondo de Colpensiones)</w:t>
          </w:r>
        </w:p>
        <w:p w14:paraId="06F90E8A" w14:textId="2C47BED9" w:rsidR="00CC4AA1" w:rsidRPr="00931DCE" w:rsidRDefault="00CC4AA1" w:rsidP="004A000E">
          <w:pPr>
            <w:spacing w:after="0" w:line="240" w:lineRule="auto"/>
            <w:ind w:left="709"/>
            <w:jc w:val="both"/>
            <w:rPr>
              <w:rFonts w:ascii="Times New Roman" w:hAnsi="Times New Roman"/>
              <w:sz w:val="24"/>
              <w:szCs w:val="24"/>
            </w:rPr>
          </w:pPr>
          <w:r w:rsidRPr="00931DCE">
            <w:rPr>
              <w:rFonts w:ascii="Times New Roman" w:hAnsi="Times New Roman"/>
              <w:sz w:val="24"/>
              <w:szCs w:val="24"/>
            </w:rPr>
            <w:t xml:space="preserve">NOTA 35. </w:t>
          </w:r>
          <w:r w:rsidR="00782B19" w:rsidRPr="00931DCE">
            <w:rPr>
              <w:rFonts w:ascii="Times New Roman" w:hAnsi="Times New Roman"/>
              <w:sz w:val="24"/>
              <w:szCs w:val="24"/>
            </w:rPr>
            <w:tab/>
            <w:t>IMPUESTO A LAS GANANCIAS</w:t>
          </w:r>
        </w:p>
        <w:p w14:paraId="1BAF6867" w14:textId="6A718FA0" w:rsidR="00CC4AA1" w:rsidRPr="00931DCE" w:rsidRDefault="00CC4AA1" w:rsidP="004A000E">
          <w:pPr>
            <w:spacing w:after="0" w:line="240" w:lineRule="auto"/>
            <w:ind w:left="709"/>
            <w:jc w:val="both"/>
            <w:rPr>
              <w:rFonts w:ascii="Times New Roman" w:hAnsi="Times New Roman"/>
              <w:sz w:val="24"/>
              <w:szCs w:val="24"/>
            </w:rPr>
          </w:pPr>
          <w:r w:rsidRPr="00931DCE">
            <w:rPr>
              <w:rFonts w:ascii="Times New Roman" w:hAnsi="Times New Roman"/>
              <w:sz w:val="24"/>
              <w:szCs w:val="24"/>
            </w:rPr>
            <w:t xml:space="preserve">NOTA 36. </w:t>
          </w:r>
          <w:r w:rsidR="00782B19" w:rsidRPr="00931DCE">
            <w:rPr>
              <w:rFonts w:ascii="Times New Roman" w:hAnsi="Times New Roman"/>
              <w:sz w:val="24"/>
              <w:szCs w:val="24"/>
            </w:rPr>
            <w:tab/>
            <w:t>COMBINACIÓN Y TRASLADO DE OPERACIONES</w:t>
          </w:r>
        </w:p>
        <w:p w14:paraId="3344E799" w14:textId="6FF1FB0B" w:rsidR="00CC4AA1" w:rsidRPr="00931DCE" w:rsidRDefault="00CC4AA1" w:rsidP="004A000E">
          <w:pPr>
            <w:spacing w:after="0" w:line="240" w:lineRule="auto"/>
            <w:ind w:left="709"/>
            <w:jc w:val="both"/>
            <w:rPr>
              <w:rFonts w:ascii="Times New Roman" w:hAnsi="Times New Roman"/>
              <w:sz w:val="24"/>
              <w:szCs w:val="24"/>
            </w:rPr>
          </w:pPr>
          <w:r w:rsidRPr="00931DCE">
            <w:rPr>
              <w:rFonts w:ascii="Times New Roman" w:hAnsi="Times New Roman"/>
              <w:sz w:val="24"/>
              <w:szCs w:val="24"/>
            </w:rPr>
            <w:t xml:space="preserve">NOTA 37. </w:t>
          </w:r>
          <w:r w:rsidR="00782B19" w:rsidRPr="00931DCE">
            <w:rPr>
              <w:rFonts w:ascii="Times New Roman" w:hAnsi="Times New Roman"/>
              <w:sz w:val="24"/>
              <w:szCs w:val="24"/>
            </w:rPr>
            <w:tab/>
            <w:t>REVELACION SOBRE EL ESTADO DE FLUJO DE EFECTIVO</w:t>
          </w:r>
        </w:p>
        <w:p w14:paraId="3B52C398" w14:textId="77777777" w:rsidR="00101302" w:rsidRPr="00931DCE" w:rsidRDefault="00101302" w:rsidP="004A000E">
          <w:pPr>
            <w:spacing w:after="0" w:line="240" w:lineRule="auto"/>
            <w:ind w:left="709"/>
            <w:jc w:val="both"/>
            <w:rPr>
              <w:rFonts w:ascii="Times New Roman" w:hAnsi="Times New Roman"/>
              <w:sz w:val="24"/>
              <w:szCs w:val="24"/>
            </w:rPr>
          </w:pPr>
        </w:p>
        <w:p w14:paraId="4D7BE7AC" w14:textId="77777777" w:rsidR="00A32FBC" w:rsidRDefault="00A32FBC" w:rsidP="004A000E">
          <w:pPr>
            <w:pStyle w:val="Ttulo1"/>
            <w:rPr>
              <w:rFonts w:cs="Times New Roman"/>
            </w:rPr>
          </w:pPr>
        </w:p>
        <w:p w14:paraId="087A17F5" w14:textId="77777777" w:rsidR="00F2570F" w:rsidRPr="00931DCE" w:rsidRDefault="00F2570F" w:rsidP="004A000E">
          <w:pPr>
            <w:pStyle w:val="Ttulo1"/>
            <w:rPr>
              <w:rFonts w:cs="Times New Roman"/>
            </w:rPr>
          </w:pPr>
          <w:bookmarkStart w:id="17" w:name="_Toc159952362"/>
          <w:r w:rsidRPr="00931DCE">
            <w:rPr>
              <w:rFonts w:cs="Times New Roman"/>
            </w:rPr>
            <w:t xml:space="preserve">NOTA 5. EFECTIVO Y EQUIVALENTES </w:t>
          </w:r>
          <w:r w:rsidR="00016FB7" w:rsidRPr="00931DCE">
            <w:rPr>
              <w:rFonts w:cs="Times New Roman"/>
            </w:rPr>
            <w:t>AL</w:t>
          </w:r>
          <w:r w:rsidRPr="00931DCE">
            <w:rPr>
              <w:rFonts w:cs="Times New Roman"/>
            </w:rPr>
            <w:t xml:space="preserve"> EFECTIVO</w:t>
          </w:r>
          <w:bookmarkEnd w:id="17"/>
          <w:r w:rsidRPr="00931DCE">
            <w:rPr>
              <w:rFonts w:cs="Times New Roman"/>
            </w:rPr>
            <w:t xml:space="preserve"> </w:t>
          </w:r>
        </w:p>
        <w:p w14:paraId="4EF5B572" w14:textId="77777777" w:rsidR="00114F87" w:rsidRPr="00931DCE" w:rsidRDefault="00114F87" w:rsidP="004A000E">
          <w:pPr>
            <w:spacing w:after="0" w:line="240" w:lineRule="auto"/>
            <w:jc w:val="both"/>
            <w:rPr>
              <w:rFonts w:ascii="Times New Roman" w:hAnsi="Times New Roman"/>
              <w:b/>
              <w:sz w:val="24"/>
              <w:szCs w:val="24"/>
            </w:rPr>
          </w:pPr>
        </w:p>
        <w:p w14:paraId="433EAD08" w14:textId="5AA784A4" w:rsidR="00E067B1" w:rsidRPr="00931DCE" w:rsidRDefault="00C8685E" w:rsidP="50DDF550">
          <w:pPr>
            <w:pStyle w:val="Ttulo2"/>
            <w:numPr>
              <w:ilvl w:val="0"/>
              <w:numId w:val="0"/>
            </w:numPr>
            <w:rPr>
              <w:rFonts w:cs="Times New Roman"/>
            </w:rPr>
          </w:pPr>
          <w:bookmarkStart w:id="18" w:name="_Toc159952363"/>
          <w:r w:rsidRPr="50DDF550">
            <w:rPr>
              <w:rFonts w:cs="Times New Roman"/>
            </w:rPr>
            <w:t>Composición</w:t>
          </w:r>
          <w:bookmarkEnd w:id="18"/>
        </w:p>
        <w:tbl>
          <w:tblPr>
            <w:tblW w:w="5000" w:type="pct"/>
            <w:tblCellMar>
              <w:left w:w="70" w:type="dxa"/>
              <w:right w:w="70" w:type="dxa"/>
            </w:tblCellMar>
            <w:tblLook w:val="04A0" w:firstRow="1" w:lastRow="0" w:firstColumn="1" w:lastColumn="0" w:noHBand="0" w:noVBand="1"/>
          </w:tblPr>
          <w:tblGrid>
            <w:gridCol w:w="1151"/>
            <w:gridCol w:w="521"/>
            <w:gridCol w:w="4011"/>
            <w:gridCol w:w="1040"/>
            <w:gridCol w:w="1045"/>
            <w:gridCol w:w="1201"/>
          </w:tblGrid>
          <w:tr w:rsidR="003E7B27" w:rsidRPr="003E7B27" w14:paraId="21DFA304" w14:textId="77777777" w:rsidTr="00232642">
            <w:trPr>
              <w:trHeight w:val="311"/>
            </w:trPr>
            <w:tc>
              <w:tcPr>
                <w:tcW w:w="3168" w:type="pct"/>
                <w:gridSpan w:val="3"/>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47D29B82" w14:textId="77777777" w:rsidR="003E7B27" w:rsidRPr="00290051" w:rsidRDefault="003E7B27" w:rsidP="003E7B27">
                <w:pPr>
                  <w:spacing w:after="0" w:line="240" w:lineRule="auto"/>
                  <w:jc w:val="center"/>
                  <w:rPr>
                    <w:rFonts w:ascii="Times New Roman" w:eastAsia="Times New Roman" w:hAnsi="Times New Roman"/>
                    <w:b/>
                    <w:sz w:val="18"/>
                    <w:szCs w:val="18"/>
                    <w:lang w:eastAsia="es-CO"/>
                  </w:rPr>
                </w:pPr>
                <w:r w:rsidRPr="00290051">
                  <w:rPr>
                    <w:rFonts w:ascii="Times New Roman" w:eastAsia="Times New Roman" w:hAnsi="Times New Roman"/>
                    <w:b/>
                    <w:sz w:val="18"/>
                    <w:szCs w:val="18"/>
                    <w:lang w:eastAsia="es-CO"/>
                  </w:rPr>
                  <w:t>DESCRIPCIÓN</w:t>
                </w:r>
              </w:p>
            </w:tc>
            <w:tc>
              <w:tcPr>
                <w:tcW w:w="1162" w:type="pct"/>
                <w:gridSpan w:val="2"/>
                <w:tcBorders>
                  <w:top w:val="single" w:sz="4" w:space="0" w:color="A6A6A6"/>
                  <w:left w:val="nil"/>
                  <w:bottom w:val="single" w:sz="4" w:space="0" w:color="A6A6A6"/>
                  <w:right w:val="single" w:sz="4" w:space="0" w:color="A6A6A6"/>
                </w:tcBorders>
                <w:shd w:val="clear" w:color="auto" w:fill="auto"/>
                <w:vAlign w:val="center"/>
                <w:hideMark/>
              </w:tcPr>
              <w:p w14:paraId="75A4B765" w14:textId="77777777" w:rsidR="003E7B27" w:rsidRPr="00290051" w:rsidRDefault="003E7B27" w:rsidP="003E7B27">
                <w:pPr>
                  <w:spacing w:after="0" w:line="240" w:lineRule="auto"/>
                  <w:jc w:val="center"/>
                  <w:rPr>
                    <w:rFonts w:ascii="Times New Roman" w:eastAsia="Times New Roman" w:hAnsi="Times New Roman"/>
                    <w:b/>
                    <w:sz w:val="18"/>
                    <w:szCs w:val="18"/>
                    <w:lang w:eastAsia="es-CO"/>
                  </w:rPr>
                </w:pPr>
                <w:r w:rsidRPr="00290051">
                  <w:rPr>
                    <w:rFonts w:ascii="Times New Roman" w:eastAsia="Times New Roman" w:hAnsi="Times New Roman"/>
                    <w:b/>
                    <w:sz w:val="18"/>
                    <w:szCs w:val="18"/>
                    <w:lang w:eastAsia="es-CO"/>
                  </w:rPr>
                  <w:t>SALDOS A CORTES DE VIGENCIA</w:t>
                </w:r>
              </w:p>
            </w:tc>
            <w:tc>
              <w:tcPr>
                <w:tcW w:w="670" w:type="pct"/>
                <w:tcBorders>
                  <w:top w:val="single" w:sz="4" w:space="0" w:color="A6A6A6"/>
                  <w:left w:val="nil"/>
                  <w:bottom w:val="single" w:sz="4" w:space="0" w:color="A6A6A6"/>
                  <w:right w:val="single" w:sz="4" w:space="0" w:color="A6A6A6"/>
                </w:tcBorders>
                <w:shd w:val="clear" w:color="auto" w:fill="auto"/>
                <w:vAlign w:val="center"/>
                <w:hideMark/>
              </w:tcPr>
              <w:p w14:paraId="4B1C907B" w14:textId="77777777" w:rsidR="003E7B27" w:rsidRPr="00290051" w:rsidRDefault="003E7B27" w:rsidP="003E7B27">
                <w:pPr>
                  <w:spacing w:after="0" w:line="240" w:lineRule="auto"/>
                  <w:jc w:val="center"/>
                  <w:rPr>
                    <w:rFonts w:ascii="Times New Roman" w:eastAsia="Times New Roman" w:hAnsi="Times New Roman"/>
                    <w:b/>
                    <w:sz w:val="18"/>
                    <w:szCs w:val="18"/>
                    <w:lang w:eastAsia="es-CO"/>
                  </w:rPr>
                </w:pPr>
                <w:r w:rsidRPr="00290051">
                  <w:rPr>
                    <w:rFonts w:ascii="Times New Roman" w:eastAsia="Times New Roman" w:hAnsi="Times New Roman"/>
                    <w:b/>
                    <w:sz w:val="18"/>
                    <w:szCs w:val="18"/>
                    <w:lang w:eastAsia="es-CO"/>
                  </w:rPr>
                  <w:t>VARIACIÓN</w:t>
                </w:r>
              </w:p>
            </w:tc>
          </w:tr>
          <w:tr w:rsidR="003E7B27" w:rsidRPr="003E7B27" w14:paraId="55320586" w14:textId="77777777" w:rsidTr="00232642">
            <w:trPr>
              <w:trHeight w:val="373"/>
            </w:trPr>
            <w:tc>
              <w:tcPr>
                <w:tcW w:w="642" w:type="pct"/>
                <w:tcBorders>
                  <w:top w:val="nil"/>
                  <w:left w:val="single" w:sz="4" w:space="0" w:color="A6A6A6"/>
                  <w:bottom w:val="single" w:sz="4" w:space="0" w:color="A6A6A6"/>
                  <w:right w:val="single" w:sz="4" w:space="0" w:color="A6A6A6"/>
                </w:tcBorders>
                <w:shd w:val="clear" w:color="auto" w:fill="auto"/>
                <w:vAlign w:val="center"/>
                <w:hideMark/>
              </w:tcPr>
              <w:p w14:paraId="1B7D8C40" w14:textId="77777777" w:rsidR="003E7B27" w:rsidRPr="00290051" w:rsidRDefault="003E7B27" w:rsidP="003E7B27">
                <w:pPr>
                  <w:spacing w:after="0" w:line="240" w:lineRule="auto"/>
                  <w:jc w:val="center"/>
                  <w:rPr>
                    <w:rFonts w:ascii="Times New Roman" w:eastAsia="Times New Roman" w:hAnsi="Times New Roman"/>
                    <w:b/>
                    <w:sz w:val="18"/>
                    <w:szCs w:val="18"/>
                    <w:lang w:eastAsia="es-CO"/>
                  </w:rPr>
                </w:pPr>
                <w:r w:rsidRPr="00290051">
                  <w:rPr>
                    <w:rFonts w:ascii="Times New Roman" w:eastAsia="Times New Roman" w:hAnsi="Times New Roman"/>
                    <w:b/>
                    <w:sz w:val="18"/>
                    <w:szCs w:val="18"/>
                    <w:lang w:eastAsia="es-CO"/>
                  </w:rPr>
                  <w:t>CÓDIGO CONTABLE</w:t>
                </w:r>
              </w:p>
            </w:tc>
            <w:tc>
              <w:tcPr>
                <w:tcW w:w="290" w:type="pct"/>
                <w:tcBorders>
                  <w:top w:val="nil"/>
                  <w:left w:val="nil"/>
                  <w:bottom w:val="single" w:sz="4" w:space="0" w:color="A6A6A6"/>
                  <w:right w:val="single" w:sz="4" w:space="0" w:color="A6A6A6"/>
                </w:tcBorders>
                <w:shd w:val="clear" w:color="auto" w:fill="auto"/>
                <w:vAlign w:val="center"/>
                <w:hideMark/>
              </w:tcPr>
              <w:p w14:paraId="3A7A24C7" w14:textId="77777777" w:rsidR="003E7B27" w:rsidRPr="00290051" w:rsidRDefault="003E7B27" w:rsidP="003E7B27">
                <w:pPr>
                  <w:spacing w:after="0" w:line="240" w:lineRule="auto"/>
                  <w:jc w:val="center"/>
                  <w:rPr>
                    <w:rFonts w:ascii="Times New Roman" w:eastAsia="Times New Roman" w:hAnsi="Times New Roman"/>
                    <w:b/>
                    <w:sz w:val="18"/>
                    <w:szCs w:val="18"/>
                    <w:lang w:eastAsia="es-CO"/>
                  </w:rPr>
                </w:pPr>
                <w:r w:rsidRPr="00290051">
                  <w:rPr>
                    <w:rFonts w:ascii="Times New Roman" w:eastAsia="Times New Roman" w:hAnsi="Times New Roman"/>
                    <w:b/>
                    <w:sz w:val="18"/>
                    <w:szCs w:val="18"/>
                    <w:lang w:eastAsia="es-CO"/>
                  </w:rPr>
                  <w:t>NAT</w:t>
                </w:r>
              </w:p>
            </w:tc>
            <w:tc>
              <w:tcPr>
                <w:tcW w:w="2236" w:type="pct"/>
                <w:tcBorders>
                  <w:top w:val="nil"/>
                  <w:left w:val="nil"/>
                  <w:bottom w:val="single" w:sz="4" w:space="0" w:color="A6A6A6"/>
                  <w:right w:val="single" w:sz="4" w:space="0" w:color="A6A6A6"/>
                </w:tcBorders>
                <w:shd w:val="clear" w:color="auto" w:fill="auto"/>
                <w:vAlign w:val="center"/>
                <w:hideMark/>
              </w:tcPr>
              <w:p w14:paraId="7AE1C29A" w14:textId="77777777" w:rsidR="003E7B27" w:rsidRPr="00290051" w:rsidRDefault="003E7B27" w:rsidP="003E7B27">
                <w:pPr>
                  <w:spacing w:after="0" w:line="240" w:lineRule="auto"/>
                  <w:jc w:val="center"/>
                  <w:rPr>
                    <w:rFonts w:ascii="Times New Roman" w:eastAsia="Times New Roman" w:hAnsi="Times New Roman"/>
                    <w:b/>
                    <w:sz w:val="18"/>
                    <w:szCs w:val="18"/>
                    <w:lang w:eastAsia="es-CO"/>
                  </w:rPr>
                </w:pPr>
                <w:r w:rsidRPr="00290051">
                  <w:rPr>
                    <w:rFonts w:ascii="Times New Roman" w:eastAsia="Times New Roman" w:hAnsi="Times New Roman"/>
                    <w:b/>
                    <w:sz w:val="18"/>
                    <w:szCs w:val="18"/>
                    <w:lang w:eastAsia="es-CO"/>
                  </w:rPr>
                  <w:t>CONCEPTO</w:t>
                </w:r>
              </w:p>
            </w:tc>
            <w:tc>
              <w:tcPr>
                <w:tcW w:w="580" w:type="pct"/>
                <w:tcBorders>
                  <w:top w:val="nil"/>
                  <w:left w:val="nil"/>
                  <w:bottom w:val="single" w:sz="4" w:space="0" w:color="A6A6A6"/>
                  <w:right w:val="single" w:sz="4" w:space="0" w:color="A6A6A6"/>
                </w:tcBorders>
                <w:shd w:val="clear" w:color="auto" w:fill="auto"/>
                <w:vAlign w:val="center"/>
                <w:hideMark/>
              </w:tcPr>
              <w:p w14:paraId="41F385C2" w14:textId="2CCFDF38" w:rsidR="003E7B27" w:rsidRPr="00290051" w:rsidRDefault="007D573B" w:rsidP="003E7B27">
                <w:pPr>
                  <w:spacing w:after="0" w:line="240" w:lineRule="auto"/>
                  <w:jc w:val="center"/>
                  <w:rPr>
                    <w:rFonts w:ascii="Times New Roman" w:eastAsia="Times New Roman" w:hAnsi="Times New Roman"/>
                    <w:b/>
                    <w:sz w:val="18"/>
                    <w:szCs w:val="18"/>
                    <w:lang w:eastAsia="es-CO"/>
                  </w:rPr>
                </w:pPr>
                <w:r w:rsidRPr="00290051">
                  <w:rPr>
                    <w:rFonts w:ascii="Times New Roman" w:eastAsia="Times New Roman" w:hAnsi="Times New Roman"/>
                    <w:b/>
                    <w:sz w:val="18"/>
                    <w:szCs w:val="18"/>
                    <w:lang w:eastAsia="es-CO"/>
                  </w:rPr>
                  <w:t xml:space="preserve"> </w:t>
                </w:r>
                <w:r w:rsidR="003E7B27" w:rsidRPr="00290051">
                  <w:rPr>
                    <w:rFonts w:ascii="Times New Roman" w:eastAsia="Times New Roman" w:hAnsi="Times New Roman"/>
                    <w:b/>
                    <w:sz w:val="18"/>
                    <w:szCs w:val="18"/>
                    <w:lang w:eastAsia="es-CO"/>
                  </w:rPr>
                  <w:t xml:space="preserve">2023 </w:t>
                </w:r>
              </w:p>
            </w:tc>
            <w:tc>
              <w:tcPr>
                <w:tcW w:w="583" w:type="pct"/>
                <w:tcBorders>
                  <w:top w:val="nil"/>
                  <w:left w:val="nil"/>
                  <w:bottom w:val="single" w:sz="4" w:space="0" w:color="A6A6A6"/>
                  <w:right w:val="single" w:sz="4" w:space="0" w:color="A6A6A6"/>
                </w:tcBorders>
                <w:shd w:val="clear" w:color="auto" w:fill="auto"/>
                <w:vAlign w:val="center"/>
                <w:hideMark/>
              </w:tcPr>
              <w:p w14:paraId="365F2809" w14:textId="3DB33053" w:rsidR="003E7B27" w:rsidRPr="00290051" w:rsidRDefault="007D573B" w:rsidP="003E7B27">
                <w:pPr>
                  <w:spacing w:after="0" w:line="240" w:lineRule="auto"/>
                  <w:jc w:val="center"/>
                  <w:rPr>
                    <w:rFonts w:ascii="Times New Roman" w:eastAsia="Times New Roman" w:hAnsi="Times New Roman"/>
                    <w:b/>
                    <w:sz w:val="18"/>
                    <w:szCs w:val="18"/>
                    <w:lang w:eastAsia="es-CO"/>
                  </w:rPr>
                </w:pPr>
                <w:r w:rsidRPr="00290051">
                  <w:rPr>
                    <w:rFonts w:ascii="Times New Roman" w:eastAsia="Times New Roman" w:hAnsi="Times New Roman"/>
                    <w:b/>
                    <w:sz w:val="18"/>
                    <w:szCs w:val="18"/>
                    <w:lang w:eastAsia="es-CO"/>
                  </w:rPr>
                  <w:t xml:space="preserve"> </w:t>
                </w:r>
                <w:r w:rsidR="003E7B27" w:rsidRPr="00290051">
                  <w:rPr>
                    <w:rFonts w:ascii="Times New Roman" w:eastAsia="Times New Roman" w:hAnsi="Times New Roman"/>
                    <w:b/>
                    <w:sz w:val="18"/>
                    <w:szCs w:val="18"/>
                    <w:lang w:eastAsia="es-CO"/>
                  </w:rPr>
                  <w:t xml:space="preserve">2022 </w:t>
                </w:r>
              </w:p>
            </w:tc>
            <w:tc>
              <w:tcPr>
                <w:tcW w:w="670" w:type="pct"/>
                <w:tcBorders>
                  <w:top w:val="nil"/>
                  <w:left w:val="nil"/>
                  <w:bottom w:val="single" w:sz="4" w:space="0" w:color="A6A6A6"/>
                  <w:right w:val="single" w:sz="4" w:space="0" w:color="A6A6A6"/>
                </w:tcBorders>
                <w:shd w:val="clear" w:color="auto" w:fill="auto"/>
                <w:vAlign w:val="center"/>
                <w:hideMark/>
              </w:tcPr>
              <w:p w14:paraId="7B8FC2D3" w14:textId="77777777" w:rsidR="003E7B27" w:rsidRPr="00290051" w:rsidRDefault="003E7B27" w:rsidP="003E7B27">
                <w:pPr>
                  <w:spacing w:after="0" w:line="240" w:lineRule="auto"/>
                  <w:jc w:val="center"/>
                  <w:rPr>
                    <w:rFonts w:ascii="Times New Roman" w:eastAsia="Times New Roman" w:hAnsi="Times New Roman"/>
                    <w:b/>
                    <w:sz w:val="18"/>
                    <w:szCs w:val="18"/>
                    <w:lang w:eastAsia="es-CO"/>
                  </w:rPr>
                </w:pPr>
                <w:r w:rsidRPr="00290051">
                  <w:rPr>
                    <w:rFonts w:ascii="Times New Roman" w:eastAsia="Times New Roman" w:hAnsi="Times New Roman"/>
                    <w:b/>
                    <w:sz w:val="18"/>
                    <w:szCs w:val="18"/>
                    <w:lang w:eastAsia="es-CO"/>
                  </w:rPr>
                  <w:t>VALOR VARIACIÓN</w:t>
                </w:r>
              </w:p>
            </w:tc>
          </w:tr>
          <w:tr w:rsidR="003E7B27" w:rsidRPr="003E7B27" w14:paraId="7F0D1A24" w14:textId="77777777" w:rsidTr="00232642">
            <w:trPr>
              <w:trHeight w:val="295"/>
            </w:trPr>
            <w:tc>
              <w:tcPr>
                <w:tcW w:w="642" w:type="pct"/>
                <w:tcBorders>
                  <w:top w:val="nil"/>
                  <w:left w:val="single" w:sz="4" w:space="0" w:color="A6A6A6"/>
                  <w:bottom w:val="single" w:sz="4" w:space="0" w:color="A6A6A6"/>
                  <w:right w:val="single" w:sz="4" w:space="0" w:color="A6A6A6"/>
                </w:tcBorders>
                <w:shd w:val="clear" w:color="auto" w:fill="auto"/>
                <w:noWrap/>
                <w:vAlign w:val="center"/>
                <w:hideMark/>
              </w:tcPr>
              <w:p w14:paraId="7B0ABCAB" w14:textId="77777777" w:rsidR="003E7B27" w:rsidRPr="00290051" w:rsidRDefault="003E7B27" w:rsidP="003E7B27">
                <w:pPr>
                  <w:spacing w:after="0" w:line="240" w:lineRule="auto"/>
                  <w:jc w:val="center"/>
                  <w:rPr>
                    <w:rFonts w:ascii="Times New Roman" w:eastAsia="Times New Roman" w:hAnsi="Times New Roman"/>
                    <w:b/>
                    <w:sz w:val="18"/>
                    <w:szCs w:val="18"/>
                    <w:lang w:eastAsia="es-CO"/>
                  </w:rPr>
                </w:pPr>
                <w:r w:rsidRPr="00290051">
                  <w:rPr>
                    <w:rFonts w:ascii="Times New Roman" w:eastAsia="Times New Roman" w:hAnsi="Times New Roman"/>
                    <w:b/>
                    <w:sz w:val="18"/>
                    <w:szCs w:val="18"/>
                    <w:lang w:eastAsia="es-CO"/>
                  </w:rPr>
                  <w:t>1.1</w:t>
                </w:r>
              </w:p>
            </w:tc>
            <w:tc>
              <w:tcPr>
                <w:tcW w:w="290" w:type="pct"/>
                <w:tcBorders>
                  <w:top w:val="nil"/>
                  <w:left w:val="nil"/>
                  <w:bottom w:val="single" w:sz="4" w:space="0" w:color="A6A6A6"/>
                  <w:right w:val="single" w:sz="4" w:space="0" w:color="A6A6A6"/>
                </w:tcBorders>
                <w:shd w:val="clear" w:color="auto" w:fill="auto"/>
                <w:noWrap/>
                <w:vAlign w:val="center"/>
                <w:hideMark/>
              </w:tcPr>
              <w:p w14:paraId="65F4E7E7" w14:textId="77777777" w:rsidR="003E7B27" w:rsidRPr="00290051" w:rsidRDefault="003E7B27" w:rsidP="003E7B27">
                <w:pPr>
                  <w:spacing w:after="0" w:line="240" w:lineRule="auto"/>
                  <w:jc w:val="center"/>
                  <w:rPr>
                    <w:rFonts w:ascii="Times New Roman" w:eastAsia="Times New Roman" w:hAnsi="Times New Roman"/>
                    <w:b/>
                    <w:sz w:val="18"/>
                    <w:szCs w:val="18"/>
                    <w:lang w:eastAsia="es-CO"/>
                  </w:rPr>
                </w:pPr>
                <w:r w:rsidRPr="00290051">
                  <w:rPr>
                    <w:rFonts w:ascii="Times New Roman" w:eastAsia="Times New Roman" w:hAnsi="Times New Roman"/>
                    <w:b/>
                    <w:sz w:val="18"/>
                    <w:szCs w:val="18"/>
                    <w:lang w:eastAsia="es-CO"/>
                  </w:rPr>
                  <w:t>Db</w:t>
                </w:r>
              </w:p>
            </w:tc>
            <w:tc>
              <w:tcPr>
                <w:tcW w:w="2236" w:type="pct"/>
                <w:tcBorders>
                  <w:top w:val="nil"/>
                  <w:left w:val="nil"/>
                  <w:bottom w:val="single" w:sz="4" w:space="0" w:color="A6A6A6"/>
                  <w:right w:val="single" w:sz="4" w:space="0" w:color="A6A6A6"/>
                </w:tcBorders>
                <w:shd w:val="clear" w:color="auto" w:fill="auto"/>
                <w:noWrap/>
                <w:vAlign w:val="center"/>
                <w:hideMark/>
              </w:tcPr>
              <w:p w14:paraId="7F716573" w14:textId="77777777" w:rsidR="003E7B27" w:rsidRPr="00290051" w:rsidRDefault="003E7B27" w:rsidP="003E7B27">
                <w:pPr>
                  <w:spacing w:after="0" w:line="240" w:lineRule="auto"/>
                  <w:rPr>
                    <w:rFonts w:ascii="Times New Roman" w:eastAsia="Times New Roman" w:hAnsi="Times New Roman"/>
                    <w:b/>
                    <w:sz w:val="18"/>
                    <w:szCs w:val="18"/>
                    <w:lang w:eastAsia="es-CO"/>
                  </w:rPr>
                </w:pPr>
                <w:r w:rsidRPr="00290051">
                  <w:rPr>
                    <w:rFonts w:ascii="Times New Roman" w:eastAsia="Times New Roman" w:hAnsi="Times New Roman"/>
                    <w:b/>
                    <w:sz w:val="18"/>
                    <w:szCs w:val="18"/>
                    <w:lang w:eastAsia="es-CO"/>
                  </w:rPr>
                  <w:t>EFECTIVO Y EQUIVALENTES AL EFECTIVO</w:t>
                </w:r>
              </w:p>
            </w:tc>
            <w:tc>
              <w:tcPr>
                <w:tcW w:w="580" w:type="pct"/>
                <w:tcBorders>
                  <w:top w:val="nil"/>
                  <w:left w:val="nil"/>
                  <w:bottom w:val="single" w:sz="4" w:space="0" w:color="A6A6A6"/>
                  <w:right w:val="single" w:sz="4" w:space="0" w:color="A6A6A6"/>
                </w:tcBorders>
                <w:shd w:val="clear" w:color="auto" w:fill="auto"/>
                <w:noWrap/>
                <w:vAlign w:val="center"/>
                <w:hideMark/>
              </w:tcPr>
              <w:p w14:paraId="3C4DF97E" w14:textId="77777777" w:rsidR="003E7B27" w:rsidRPr="00290051" w:rsidRDefault="003E7B27" w:rsidP="003E7B27">
                <w:pPr>
                  <w:spacing w:after="0" w:line="240" w:lineRule="auto"/>
                  <w:jc w:val="right"/>
                  <w:rPr>
                    <w:rFonts w:ascii="Times New Roman" w:eastAsia="Times New Roman" w:hAnsi="Times New Roman"/>
                    <w:b/>
                    <w:sz w:val="18"/>
                    <w:szCs w:val="18"/>
                    <w:lang w:eastAsia="es-CO"/>
                  </w:rPr>
                </w:pPr>
                <w:r w:rsidRPr="00290051">
                  <w:rPr>
                    <w:rFonts w:ascii="Times New Roman" w:eastAsia="Times New Roman" w:hAnsi="Times New Roman"/>
                    <w:b/>
                    <w:sz w:val="18"/>
                    <w:szCs w:val="18"/>
                    <w:lang w:eastAsia="es-CO"/>
                  </w:rPr>
                  <w:t>670.419.971</w:t>
                </w:r>
              </w:p>
            </w:tc>
            <w:tc>
              <w:tcPr>
                <w:tcW w:w="583" w:type="pct"/>
                <w:tcBorders>
                  <w:top w:val="nil"/>
                  <w:left w:val="nil"/>
                  <w:bottom w:val="single" w:sz="4" w:space="0" w:color="A6A6A6"/>
                  <w:right w:val="single" w:sz="4" w:space="0" w:color="A6A6A6"/>
                </w:tcBorders>
                <w:shd w:val="clear" w:color="auto" w:fill="auto"/>
                <w:noWrap/>
                <w:vAlign w:val="center"/>
                <w:hideMark/>
              </w:tcPr>
              <w:p w14:paraId="16693569" w14:textId="77777777" w:rsidR="003E7B27" w:rsidRPr="00290051" w:rsidRDefault="003E7B27" w:rsidP="003E7B27">
                <w:pPr>
                  <w:spacing w:after="0" w:line="240" w:lineRule="auto"/>
                  <w:jc w:val="right"/>
                  <w:rPr>
                    <w:rFonts w:ascii="Times New Roman" w:eastAsia="Times New Roman" w:hAnsi="Times New Roman"/>
                    <w:b/>
                    <w:sz w:val="18"/>
                    <w:szCs w:val="18"/>
                    <w:lang w:eastAsia="es-CO"/>
                  </w:rPr>
                </w:pPr>
                <w:r w:rsidRPr="00290051">
                  <w:rPr>
                    <w:rFonts w:ascii="Times New Roman" w:eastAsia="Times New Roman" w:hAnsi="Times New Roman"/>
                    <w:b/>
                    <w:sz w:val="18"/>
                    <w:szCs w:val="18"/>
                    <w:lang w:eastAsia="es-CO"/>
                  </w:rPr>
                  <w:t>704.580.095</w:t>
                </w:r>
              </w:p>
            </w:tc>
            <w:tc>
              <w:tcPr>
                <w:tcW w:w="670" w:type="pct"/>
                <w:tcBorders>
                  <w:top w:val="nil"/>
                  <w:left w:val="nil"/>
                  <w:bottom w:val="single" w:sz="4" w:space="0" w:color="A6A6A6"/>
                  <w:right w:val="single" w:sz="4" w:space="0" w:color="A6A6A6"/>
                </w:tcBorders>
                <w:shd w:val="clear" w:color="auto" w:fill="auto"/>
                <w:noWrap/>
                <w:vAlign w:val="center"/>
                <w:hideMark/>
              </w:tcPr>
              <w:p w14:paraId="5D32C06E" w14:textId="77777777" w:rsidR="003E7B27" w:rsidRPr="00290051" w:rsidRDefault="003E7B27" w:rsidP="003E7B27">
                <w:pPr>
                  <w:spacing w:after="0" w:line="240" w:lineRule="auto"/>
                  <w:jc w:val="right"/>
                  <w:rPr>
                    <w:rFonts w:ascii="Times New Roman" w:eastAsia="Times New Roman" w:hAnsi="Times New Roman"/>
                    <w:b/>
                    <w:sz w:val="18"/>
                    <w:szCs w:val="18"/>
                    <w:lang w:eastAsia="es-CO"/>
                  </w:rPr>
                </w:pPr>
                <w:r w:rsidRPr="00290051">
                  <w:rPr>
                    <w:rFonts w:ascii="Times New Roman" w:eastAsia="Times New Roman" w:hAnsi="Times New Roman"/>
                    <w:b/>
                    <w:sz w:val="18"/>
                    <w:szCs w:val="18"/>
                    <w:lang w:eastAsia="es-CO"/>
                  </w:rPr>
                  <w:t>-34.160.124</w:t>
                </w:r>
              </w:p>
            </w:tc>
          </w:tr>
          <w:tr w:rsidR="003E7B27" w:rsidRPr="003E7B27" w14:paraId="74E290E7" w14:textId="77777777" w:rsidTr="00232642">
            <w:trPr>
              <w:trHeight w:val="311"/>
            </w:trPr>
            <w:tc>
              <w:tcPr>
                <w:tcW w:w="642" w:type="pct"/>
                <w:tcBorders>
                  <w:top w:val="nil"/>
                  <w:left w:val="single" w:sz="4" w:space="0" w:color="A6A6A6"/>
                  <w:bottom w:val="single" w:sz="4" w:space="0" w:color="A6A6A6"/>
                  <w:right w:val="single" w:sz="4" w:space="0" w:color="A6A6A6"/>
                </w:tcBorders>
                <w:shd w:val="clear" w:color="auto" w:fill="auto"/>
                <w:noWrap/>
                <w:vAlign w:val="center"/>
                <w:hideMark/>
              </w:tcPr>
              <w:p w14:paraId="34B0E3A5" w14:textId="77777777" w:rsidR="003E7B27" w:rsidRPr="00290051" w:rsidRDefault="003E7B27" w:rsidP="003E7B27">
                <w:pPr>
                  <w:spacing w:after="0" w:line="240" w:lineRule="auto"/>
                  <w:jc w:val="center"/>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lastRenderedPageBreak/>
                  <w:t>1.1.10</w:t>
                </w:r>
              </w:p>
            </w:tc>
            <w:tc>
              <w:tcPr>
                <w:tcW w:w="290" w:type="pct"/>
                <w:tcBorders>
                  <w:top w:val="nil"/>
                  <w:left w:val="nil"/>
                  <w:bottom w:val="single" w:sz="4" w:space="0" w:color="A6A6A6"/>
                  <w:right w:val="single" w:sz="4" w:space="0" w:color="A6A6A6"/>
                </w:tcBorders>
                <w:shd w:val="clear" w:color="auto" w:fill="auto"/>
                <w:noWrap/>
                <w:vAlign w:val="center"/>
                <w:hideMark/>
              </w:tcPr>
              <w:p w14:paraId="011A017E" w14:textId="77777777" w:rsidR="003E7B27" w:rsidRPr="00290051" w:rsidRDefault="003E7B27" w:rsidP="003E7B27">
                <w:pPr>
                  <w:spacing w:after="0" w:line="240" w:lineRule="auto"/>
                  <w:jc w:val="center"/>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Db</w:t>
                </w:r>
              </w:p>
            </w:tc>
            <w:tc>
              <w:tcPr>
                <w:tcW w:w="2236" w:type="pct"/>
                <w:tcBorders>
                  <w:top w:val="nil"/>
                  <w:left w:val="nil"/>
                  <w:bottom w:val="single" w:sz="4" w:space="0" w:color="A6A6A6"/>
                  <w:right w:val="single" w:sz="4" w:space="0" w:color="A6A6A6"/>
                </w:tcBorders>
                <w:shd w:val="clear" w:color="auto" w:fill="auto"/>
                <w:vAlign w:val="center"/>
                <w:hideMark/>
              </w:tcPr>
              <w:p w14:paraId="5DB7FC5D" w14:textId="77777777" w:rsidR="003E7B27" w:rsidRPr="00290051" w:rsidRDefault="003E7B27" w:rsidP="003E7B27">
                <w:pPr>
                  <w:spacing w:after="0" w:line="240" w:lineRule="auto"/>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Depósitos en instituciones financieras</w:t>
                </w:r>
              </w:p>
            </w:tc>
            <w:tc>
              <w:tcPr>
                <w:tcW w:w="580" w:type="pct"/>
                <w:tcBorders>
                  <w:top w:val="nil"/>
                  <w:left w:val="nil"/>
                  <w:bottom w:val="single" w:sz="4" w:space="0" w:color="A6A6A6"/>
                  <w:right w:val="single" w:sz="4" w:space="0" w:color="A6A6A6"/>
                </w:tcBorders>
                <w:shd w:val="clear" w:color="auto" w:fill="auto"/>
                <w:noWrap/>
                <w:vAlign w:val="center"/>
                <w:hideMark/>
              </w:tcPr>
              <w:p w14:paraId="76596176" w14:textId="77777777" w:rsidR="003E7B27" w:rsidRPr="00290051" w:rsidRDefault="003E7B27" w:rsidP="003E7B27">
                <w:pPr>
                  <w:spacing w:after="0" w:line="240" w:lineRule="auto"/>
                  <w:jc w:val="right"/>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667.764.713</w:t>
                </w:r>
              </w:p>
            </w:tc>
            <w:tc>
              <w:tcPr>
                <w:tcW w:w="583" w:type="pct"/>
                <w:tcBorders>
                  <w:top w:val="nil"/>
                  <w:left w:val="nil"/>
                  <w:bottom w:val="single" w:sz="4" w:space="0" w:color="A6A6A6"/>
                  <w:right w:val="single" w:sz="4" w:space="0" w:color="A6A6A6"/>
                </w:tcBorders>
                <w:shd w:val="clear" w:color="auto" w:fill="auto"/>
                <w:noWrap/>
                <w:vAlign w:val="center"/>
                <w:hideMark/>
              </w:tcPr>
              <w:p w14:paraId="5DFCE3D3" w14:textId="77777777" w:rsidR="003E7B27" w:rsidRPr="00290051" w:rsidRDefault="003E7B27" w:rsidP="003E7B27">
                <w:pPr>
                  <w:spacing w:after="0" w:line="240" w:lineRule="auto"/>
                  <w:jc w:val="right"/>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592.019.939</w:t>
                </w:r>
              </w:p>
            </w:tc>
            <w:tc>
              <w:tcPr>
                <w:tcW w:w="670" w:type="pct"/>
                <w:tcBorders>
                  <w:top w:val="nil"/>
                  <w:left w:val="nil"/>
                  <w:bottom w:val="single" w:sz="4" w:space="0" w:color="A6A6A6"/>
                  <w:right w:val="single" w:sz="4" w:space="0" w:color="A6A6A6"/>
                </w:tcBorders>
                <w:shd w:val="clear" w:color="auto" w:fill="auto"/>
                <w:noWrap/>
                <w:vAlign w:val="center"/>
                <w:hideMark/>
              </w:tcPr>
              <w:p w14:paraId="49BD0E83" w14:textId="77777777" w:rsidR="003E7B27" w:rsidRPr="00290051" w:rsidRDefault="003E7B27" w:rsidP="003E7B27">
                <w:pPr>
                  <w:spacing w:after="0" w:line="240" w:lineRule="auto"/>
                  <w:jc w:val="right"/>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75.744.774</w:t>
                </w:r>
              </w:p>
            </w:tc>
          </w:tr>
          <w:tr w:rsidR="003E7B27" w:rsidRPr="003E7B27" w14:paraId="6B5F95DF" w14:textId="77777777" w:rsidTr="00232642">
            <w:trPr>
              <w:trHeight w:val="311"/>
            </w:trPr>
            <w:tc>
              <w:tcPr>
                <w:tcW w:w="642" w:type="pct"/>
                <w:tcBorders>
                  <w:top w:val="nil"/>
                  <w:left w:val="single" w:sz="4" w:space="0" w:color="A6A6A6"/>
                  <w:bottom w:val="single" w:sz="4" w:space="0" w:color="A6A6A6"/>
                  <w:right w:val="single" w:sz="4" w:space="0" w:color="A6A6A6"/>
                </w:tcBorders>
                <w:shd w:val="clear" w:color="auto" w:fill="auto"/>
                <w:noWrap/>
                <w:vAlign w:val="center"/>
                <w:hideMark/>
              </w:tcPr>
              <w:p w14:paraId="32DDDB8A" w14:textId="77777777" w:rsidR="003E7B27" w:rsidRPr="00290051" w:rsidRDefault="003E7B27" w:rsidP="003E7B27">
                <w:pPr>
                  <w:spacing w:after="0" w:line="240" w:lineRule="auto"/>
                  <w:jc w:val="center"/>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1.1.32</w:t>
                </w:r>
              </w:p>
            </w:tc>
            <w:tc>
              <w:tcPr>
                <w:tcW w:w="290" w:type="pct"/>
                <w:tcBorders>
                  <w:top w:val="nil"/>
                  <w:left w:val="nil"/>
                  <w:bottom w:val="single" w:sz="4" w:space="0" w:color="A6A6A6"/>
                  <w:right w:val="single" w:sz="4" w:space="0" w:color="A6A6A6"/>
                </w:tcBorders>
                <w:shd w:val="clear" w:color="auto" w:fill="auto"/>
                <w:noWrap/>
                <w:vAlign w:val="center"/>
                <w:hideMark/>
              </w:tcPr>
              <w:p w14:paraId="043C0D16" w14:textId="77777777" w:rsidR="003E7B27" w:rsidRPr="00290051" w:rsidRDefault="003E7B27" w:rsidP="003E7B27">
                <w:pPr>
                  <w:spacing w:after="0" w:line="240" w:lineRule="auto"/>
                  <w:jc w:val="center"/>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Db</w:t>
                </w:r>
              </w:p>
            </w:tc>
            <w:tc>
              <w:tcPr>
                <w:tcW w:w="2236" w:type="pct"/>
                <w:tcBorders>
                  <w:top w:val="nil"/>
                  <w:left w:val="nil"/>
                  <w:bottom w:val="single" w:sz="4" w:space="0" w:color="A6A6A6"/>
                  <w:right w:val="single" w:sz="4" w:space="0" w:color="A6A6A6"/>
                </w:tcBorders>
                <w:shd w:val="clear" w:color="auto" w:fill="auto"/>
                <w:vAlign w:val="center"/>
                <w:hideMark/>
              </w:tcPr>
              <w:p w14:paraId="0ECEB134" w14:textId="77777777" w:rsidR="003E7B27" w:rsidRPr="00290051" w:rsidRDefault="003E7B27" w:rsidP="003E7B27">
                <w:pPr>
                  <w:spacing w:after="0" w:line="240" w:lineRule="auto"/>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Efectivo de uso restringido</w:t>
                </w:r>
              </w:p>
            </w:tc>
            <w:tc>
              <w:tcPr>
                <w:tcW w:w="580" w:type="pct"/>
                <w:tcBorders>
                  <w:top w:val="nil"/>
                  <w:left w:val="nil"/>
                  <w:bottom w:val="single" w:sz="4" w:space="0" w:color="A6A6A6"/>
                  <w:right w:val="single" w:sz="4" w:space="0" w:color="A6A6A6"/>
                </w:tcBorders>
                <w:shd w:val="clear" w:color="auto" w:fill="auto"/>
                <w:noWrap/>
                <w:vAlign w:val="center"/>
                <w:hideMark/>
              </w:tcPr>
              <w:p w14:paraId="2A70D1D0" w14:textId="77777777" w:rsidR="003E7B27" w:rsidRPr="00290051" w:rsidRDefault="003E7B27" w:rsidP="003E7B27">
                <w:pPr>
                  <w:spacing w:after="0" w:line="240" w:lineRule="auto"/>
                  <w:jc w:val="right"/>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2.655.258</w:t>
                </w:r>
              </w:p>
            </w:tc>
            <w:tc>
              <w:tcPr>
                <w:tcW w:w="583" w:type="pct"/>
                <w:tcBorders>
                  <w:top w:val="nil"/>
                  <w:left w:val="nil"/>
                  <w:bottom w:val="single" w:sz="4" w:space="0" w:color="A6A6A6"/>
                  <w:right w:val="single" w:sz="4" w:space="0" w:color="A6A6A6"/>
                </w:tcBorders>
                <w:shd w:val="clear" w:color="auto" w:fill="auto"/>
                <w:noWrap/>
                <w:vAlign w:val="center"/>
                <w:hideMark/>
              </w:tcPr>
              <w:p w14:paraId="452DDBB3" w14:textId="77777777" w:rsidR="003E7B27" w:rsidRPr="00290051" w:rsidRDefault="003E7B27" w:rsidP="003E7B27">
                <w:pPr>
                  <w:spacing w:after="0" w:line="240" w:lineRule="auto"/>
                  <w:jc w:val="right"/>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112.560.156</w:t>
                </w:r>
              </w:p>
            </w:tc>
            <w:tc>
              <w:tcPr>
                <w:tcW w:w="670" w:type="pct"/>
                <w:tcBorders>
                  <w:top w:val="nil"/>
                  <w:left w:val="nil"/>
                  <w:bottom w:val="single" w:sz="4" w:space="0" w:color="A6A6A6"/>
                  <w:right w:val="single" w:sz="4" w:space="0" w:color="A6A6A6"/>
                </w:tcBorders>
                <w:shd w:val="clear" w:color="auto" w:fill="auto"/>
                <w:noWrap/>
                <w:vAlign w:val="center"/>
                <w:hideMark/>
              </w:tcPr>
              <w:p w14:paraId="0B523247" w14:textId="77777777" w:rsidR="003E7B27" w:rsidRPr="00290051" w:rsidRDefault="003E7B27" w:rsidP="003E7B27">
                <w:pPr>
                  <w:spacing w:after="0" w:line="240" w:lineRule="auto"/>
                  <w:jc w:val="right"/>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-109.904.898</w:t>
                </w:r>
              </w:p>
            </w:tc>
          </w:tr>
        </w:tbl>
        <w:p w14:paraId="5C4CE6FC" w14:textId="58B382B3" w:rsidR="00AD2E9E" w:rsidRPr="00931DCE" w:rsidRDefault="00AD2026" w:rsidP="00AD2E9E">
          <w:pPr>
            <w:spacing w:after="0" w:line="240" w:lineRule="auto"/>
            <w:jc w:val="both"/>
            <w:rPr>
              <w:rFonts w:ascii="Times New Roman" w:hAnsi="Times New Roman"/>
              <w:sz w:val="14"/>
              <w:szCs w:val="14"/>
            </w:rPr>
          </w:pPr>
          <w:r w:rsidRPr="00931DCE">
            <w:rPr>
              <w:rFonts w:ascii="Times New Roman" w:hAnsi="Times New Roman"/>
              <w:sz w:val="14"/>
              <w:szCs w:val="14"/>
            </w:rPr>
            <w:t>Cifras expresadas en pesos</w:t>
          </w:r>
        </w:p>
        <w:p w14:paraId="6E300A6A" w14:textId="031F6842" w:rsidR="000C3434" w:rsidRPr="00931DCE" w:rsidRDefault="000C3434" w:rsidP="004A000E">
          <w:pPr>
            <w:spacing w:after="0" w:line="240" w:lineRule="auto"/>
            <w:jc w:val="both"/>
            <w:rPr>
              <w:rFonts w:ascii="Times New Roman" w:hAnsi="Times New Roman"/>
              <w:sz w:val="24"/>
              <w:szCs w:val="24"/>
            </w:rPr>
          </w:pPr>
        </w:p>
        <w:p w14:paraId="6B5E4165" w14:textId="77777777" w:rsidR="00AD2E9E" w:rsidRPr="00931DCE" w:rsidRDefault="00AD2E9E" w:rsidP="00AD2E9E">
          <w:pPr>
            <w:spacing w:after="0" w:line="240" w:lineRule="auto"/>
            <w:jc w:val="both"/>
            <w:rPr>
              <w:rFonts w:ascii="Times New Roman" w:hAnsi="Times New Roman"/>
              <w:sz w:val="24"/>
              <w:szCs w:val="24"/>
            </w:rPr>
          </w:pPr>
          <w:r w:rsidRPr="00931DCE">
            <w:rPr>
              <w:rFonts w:ascii="Times New Roman" w:hAnsi="Times New Roman"/>
              <w:sz w:val="24"/>
              <w:szCs w:val="24"/>
            </w:rPr>
            <w:t>El efectivo y equivalentes al efectivo representan los recursos de liquidez inmediata en caja, cuentas corrientes, cuentas de ahorros que están disponibles para el desarrollo de las actividades de la Agencia. Así mismo, los fondos de efectivo y equivalentes al efectivo que no están disponibles para su uso inmediato ya sea por restricciones legales o económicas.</w:t>
          </w:r>
        </w:p>
        <w:p w14:paraId="02970FC5" w14:textId="4E0FEBDA" w:rsidR="00AD2E9E" w:rsidRPr="00931DCE" w:rsidRDefault="00AD71A6" w:rsidP="00AD2E9E">
          <w:pPr>
            <w:spacing w:after="0" w:line="240" w:lineRule="auto"/>
            <w:jc w:val="both"/>
            <w:rPr>
              <w:rFonts w:ascii="Times New Roman" w:hAnsi="Times New Roman"/>
              <w:sz w:val="24"/>
              <w:szCs w:val="24"/>
            </w:rPr>
          </w:pPr>
          <w:r w:rsidRPr="00931DCE">
            <w:rPr>
              <w:rFonts w:ascii="Times New Roman" w:hAnsi="Times New Roman"/>
              <w:sz w:val="24"/>
              <w:szCs w:val="24"/>
            </w:rPr>
            <w:t xml:space="preserve">Se </w:t>
          </w:r>
          <w:r w:rsidR="00AD2E9E" w:rsidRPr="00931DCE">
            <w:rPr>
              <w:rFonts w:ascii="Times New Roman" w:hAnsi="Times New Roman"/>
              <w:sz w:val="24"/>
              <w:szCs w:val="24"/>
            </w:rPr>
            <w:t>reconocen como depósitos en instituciones financieras, los valores en efectivo consignados en entidades bancarias, los cuales pueden estar en cuentas de ahorro y/o cuentas corrientes, cuyo titular es la Agencia Nacional de Infraestructura. En estas cuentas se reciben, entre otros los siguientes recursos:</w:t>
          </w:r>
        </w:p>
        <w:p w14:paraId="7844B8DA" w14:textId="77777777" w:rsidR="00AD2E9E" w:rsidRPr="00931DCE" w:rsidRDefault="00AD2E9E" w:rsidP="00AD2E9E">
          <w:pPr>
            <w:spacing w:after="0" w:line="240" w:lineRule="auto"/>
            <w:jc w:val="both"/>
            <w:rPr>
              <w:rFonts w:ascii="Times New Roman" w:hAnsi="Times New Roman"/>
              <w:sz w:val="24"/>
              <w:szCs w:val="24"/>
            </w:rPr>
          </w:pPr>
        </w:p>
        <w:p w14:paraId="7F747D8D" w14:textId="77777777" w:rsidR="00AD2E9E" w:rsidRPr="00931DCE" w:rsidRDefault="00AD2E9E" w:rsidP="00E60BAB">
          <w:pPr>
            <w:pStyle w:val="Prrafodelista"/>
            <w:numPr>
              <w:ilvl w:val="0"/>
              <w:numId w:val="38"/>
            </w:numPr>
            <w:spacing w:after="0" w:line="240" w:lineRule="auto"/>
            <w:jc w:val="both"/>
            <w:rPr>
              <w:rFonts w:ascii="Times New Roman" w:hAnsi="Times New Roman"/>
              <w:sz w:val="24"/>
              <w:szCs w:val="24"/>
            </w:rPr>
          </w:pPr>
          <w:r w:rsidRPr="00931DCE">
            <w:rPr>
              <w:rFonts w:ascii="Times New Roman" w:hAnsi="Times New Roman"/>
              <w:sz w:val="24"/>
              <w:szCs w:val="24"/>
            </w:rPr>
            <w:t>Recursos recibidos en administración de acuerdo con lo pactado en los contratos o convenios suscritos.</w:t>
          </w:r>
        </w:p>
        <w:p w14:paraId="330192D1" w14:textId="4FD2BFD6" w:rsidR="00AD2E9E" w:rsidRPr="00931DCE" w:rsidRDefault="004D2552" w:rsidP="00E60BAB">
          <w:pPr>
            <w:pStyle w:val="Prrafodelista"/>
            <w:numPr>
              <w:ilvl w:val="0"/>
              <w:numId w:val="38"/>
            </w:numPr>
            <w:spacing w:after="0" w:line="240" w:lineRule="auto"/>
            <w:jc w:val="both"/>
            <w:rPr>
              <w:rFonts w:ascii="Times New Roman" w:hAnsi="Times New Roman"/>
              <w:sz w:val="24"/>
              <w:szCs w:val="24"/>
            </w:rPr>
          </w:pPr>
          <w:r w:rsidRPr="00931DCE">
            <w:rPr>
              <w:rFonts w:ascii="Times New Roman" w:hAnsi="Times New Roman"/>
              <w:sz w:val="24"/>
              <w:szCs w:val="24"/>
            </w:rPr>
            <w:t>Recursos para el pago de las retenciones del impuesto de industria y comercio,</w:t>
          </w:r>
          <w:r w:rsidR="00AD2E9E" w:rsidRPr="00931DCE">
            <w:rPr>
              <w:rFonts w:ascii="Times New Roman" w:hAnsi="Times New Roman"/>
              <w:sz w:val="24"/>
              <w:szCs w:val="24"/>
            </w:rPr>
            <w:t xml:space="preserve"> </w:t>
          </w:r>
          <w:r w:rsidRPr="00931DCE">
            <w:rPr>
              <w:rFonts w:ascii="Times New Roman" w:hAnsi="Times New Roman"/>
              <w:sz w:val="24"/>
              <w:szCs w:val="24"/>
            </w:rPr>
            <w:t xml:space="preserve">los descuentos efectuados a funcionarios y contratistas a ser consignados en cuentas </w:t>
          </w:r>
          <w:r w:rsidR="00AD2E9E" w:rsidRPr="00931DCE">
            <w:rPr>
              <w:rFonts w:ascii="Times New Roman" w:hAnsi="Times New Roman"/>
              <w:sz w:val="24"/>
              <w:szCs w:val="24"/>
            </w:rPr>
            <w:t>AFC</w:t>
          </w:r>
          <w:r w:rsidR="007273CA" w:rsidRPr="00931DCE">
            <w:rPr>
              <w:rFonts w:ascii="Times New Roman" w:hAnsi="Times New Roman"/>
              <w:sz w:val="24"/>
              <w:szCs w:val="24"/>
            </w:rPr>
            <w:t xml:space="preserve"> </w:t>
          </w:r>
          <w:r w:rsidR="00D05EF4" w:rsidRPr="00931DCE">
            <w:rPr>
              <w:rFonts w:ascii="Times New Roman" w:hAnsi="Times New Roman"/>
              <w:sz w:val="24"/>
              <w:szCs w:val="24"/>
            </w:rPr>
            <w:t>y aportes</w:t>
          </w:r>
          <w:r w:rsidR="007273CA" w:rsidRPr="00931DCE">
            <w:rPr>
              <w:rFonts w:ascii="Times New Roman" w:hAnsi="Times New Roman"/>
              <w:sz w:val="24"/>
              <w:szCs w:val="24"/>
            </w:rPr>
            <w:t xml:space="preserve"> parafiscales</w:t>
          </w:r>
          <w:r w:rsidRPr="00931DCE">
            <w:rPr>
              <w:rFonts w:ascii="Times New Roman" w:hAnsi="Times New Roman"/>
              <w:sz w:val="24"/>
              <w:szCs w:val="24"/>
            </w:rPr>
            <w:t>.</w:t>
          </w:r>
        </w:p>
        <w:p w14:paraId="5E6A3ADC" w14:textId="77777777" w:rsidR="00AD2E9E" w:rsidRPr="00931DCE" w:rsidRDefault="00AD2E9E" w:rsidP="00E60BAB">
          <w:pPr>
            <w:pStyle w:val="Prrafodelista"/>
            <w:numPr>
              <w:ilvl w:val="0"/>
              <w:numId w:val="38"/>
            </w:numPr>
            <w:spacing w:after="0" w:line="240" w:lineRule="auto"/>
            <w:jc w:val="both"/>
            <w:rPr>
              <w:rFonts w:ascii="Times New Roman" w:hAnsi="Times New Roman"/>
              <w:sz w:val="24"/>
              <w:szCs w:val="24"/>
            </w:rPr>
          </w:pPr>
          <w:r w:rsidRPr="00931DCE">
            <w:rPr>
              <w:rFonts w:ascii="Times New Roman" w:hAnsi="Times New Roman"/>
              <w:sz w:val="24"/>
              <w:szCs w:val="24"/>
            </w:rPr>
            <w:t>Recursos recibidos por las EPS por pago de incapacidades.</w:t>
          </w:r>
        </w:p>
        <w:p w14:paraId="2C60E915" w14:textId="77777777" w:rsidR="00AD2E9E" w:rsidRPr="00931DCE" w:rsidRDefault="00AD2E9E" w:rsidP="00E60BAB">
          <w:pPr>
            <w:pStyle w:val="Prrafodelista"/>
            <w:numPr>
              <w:ilvl w:val="0"/>
              <w:numId w:val="38"/>
            </w:numPr>
            <w:spacing w:after="0" w:line="240" w:lineRule="auto"/>
            <w:jc w:val="both"/>
            <w:rPr>
              <w:rFonts w:ascii="Times New Roman" w:hAnsi="Times New Roman"/>
              <w:sz w:val="24"/>
              <w:szCs w:val="24"/>
            </w:rPr>
          </w:pPr>
          <w:r w:rsidRPr="00931DCE">
            <w:rPr>
              <w:rFonts w:ascii="Times New Roman" w:hAnsi="Times New Roman"/>
              <w:sz w:val="24"/>
              <w:szCs w:val="24"/>
            </w:rPr>
            <w:t>Recursos recibidos como contraprestación por contratos de la red férrea.</w:t>
          </w:r>
        </w:p>
        <w:p w14:paraId="1CDA9855" w14:textId="77777777" w:rsidR="00AD2E9E" w:rsidRPr="00931DCE" w:rsidRDefault="00AD2E9E" w:rsidP="00E60BAB">
          <w:pPr>
            <w:pStyle w:val="Prrafodelista"/>
            <w:numPr>
              <w:ilvl w:val="0"/>
              <w:numId w:val="38"/>
            </w:numPr>
            <w:spacing w:after="0" w:line="240" w:lineRule="auto"/>
            <w:jc w:val="both"/>
            <w:rPr>
              <w:rFonts w:ascii="Times New Roman" w:hAnsi="Times New Roman"/>
              <w:sz w:val="24"/>
              <w:szCs w:val="24"/>
            </w:rPr>
          </w:pPr>
          <w:r w:rsidRPr="00931DCE">
            <w:rPr>
              <w:rFonts w:ascii="Times New Roman" w:hAnsi="Times New Roman"/>
              <w:sz w:val="24"/>
              <w:szCs w:val="24"/>
            </w:rPr>
            <w:t>Recursos trasladados entre cuentas bancarias de la entidad.</w:t>
          </w:r>
        </w:p>
        <w:p w14:paraId="0912B638" w14:textId="77777777" w:rsidR="00AD2E9E" w:rsidRPr="00931DCE" w:rsidRDefault="00AD2E9E" w:rsidP="00E60BAB">
          <w:pPr>
            <w:pStyle w:val="Prrafodelista"/>
            <w:numPr>
              <w:ilvl w:val="0"/>
              <w:numId w:val="38"/>
            </w:numPr>
            <w:spacing w:after="0" w:line="240" w:lineRule="auto"/>
            <w:jc w:val="both"/>
            <w:rPr>
              <w:rFonts w:ascii="Times New Roman" w:hAnsi="Times New Roman"/>
              <w:sz w:val="24"/>
              <w:szCs w:val="24"/>
            </w:rPr>
          </w:pPr>
          <w:r w:rsidRPr="00931DCE">
            <w:rPr>
              <w:rFonts w:ascii="Times New Roman" w:hAnsi="Times New Roman"/>
              <w:sz w:val="24"/>
              <w:szCs w:val="24"/>
            </w:rPr>
            <w:t>Recursos recibidos por concepto de rendimientos financieros.</w:t>
          </w:r>
        </w:p>
        <w:p w14:paraId="2DE544CE" w14:textId="77777777" w:rsidR="00AD2E9E" w:rsidRPr="00931DCE" w:rsidRDefault="00AD2E9E" w:rsidP="00E60BAB">
          <w:pPr>
            <w:pStyle w:val="Prrafodelista"/>
            <w:numPr>
              <w:ilvl w:val="0"/>
              <w:numId w:val="38"/>
            </w:numPr>
            <w:spacing w:after="0" w:line="240" w:lineRule="auto"/>
            <w:jc w:val="both"/>
            <w:rPr>
              <w:rFonts w:ascii="Times New Roman" w:hAnsi="Times New Roman"/>
              <w:sz w:val="24"/>
              <w:szCs w:val="24"/>
            </w:rPr>
          </w:pPr>
          <w:r w:rsidRPr="00931DCE">
            <w:rPr>
              <w:rFonts w:ascii="Times New Roman" w:hAnsi="Times New Roman"/>
              <w:sz w:val="24"/>
              <w:szCs w:val="24"/>
            </w:rPr>
            <w:t>Recursos recibidos por la explotación de activos en concesión consignados en cuentas de la ANI.</w:t>
          </w:r>
        </w:p>
        <w:p w14:paraId="4F8D7118" w14:textId="77777777" w:rsidR="00AD2E9E" w:rsidRPr="00931DCE" w:rsidRDefault="00AD2E9E" w:rsidP="00AD2E9E">
          <w:pPr>
            <w:spacing w:after="0" w:line="240" w:lineRule="auto"/>
            <w:jc w:val="both"/>
            <w:rPr>
              <w:rFonts w:ascii="Times New Roman" w:hAnsi="Times New Roman"/>
              <w:sz w:val="24"/>
              <w:szCs w:val="24"/>
            </w:rPr>
          </w:pPr>
        </w:p>
        <w:p w14:paraId="003892E5" w14:textId="2E0FFCF0" w:rsidR="00AD2E9E" w:rsidRPr="00931DCE" w:rsidRDefault="00AD2E9E" w:rsidP="00AD2E9E">
          <w:pPr>
            <w:spacing w:after="0" w:line="240" w:lineRule="auto"/>
            <w:jc w:val="both"/>
            <w:rPr>
              <w:rFonts w:ascii="Times New Roman" w:hAnsi="Times New Roman"/>
              <w:sz w:val="24"/>
              <w:szCs w:val="24"/>
            </w:rPr>
          </w:pPr>
          <w:r w:rsidRPr="00931DCE">
            <w:rPr>
              <w:rFonts w:ascii="Times New Roman" w:hAnsi="Times New Roman"/>
              <w:sz w:val="24"/>
              <w:szCs w:val="24"/>
            </w:rPr>
            <w:t>Existen otros conceptos por los cuales la Agencia puede recibir recursos, tales como recuperaciones</w:t>
          </w:r>
          <w:r w:rsidR="007F33CB" w:rsidRPr="00931DCE">
            <w:rPr>
              <w:rFonts w:ascii="Times New Roman" w:hAnsi="Times New Roman"/>
              <w:sz w:val="24"/>
              <w:szCs w:val="24"/>
            </w:rPr>
            <w:t xml:space="preserve"> y</w:t>
          </w:r>
          <w:r w:rsidRPr="00931DCE">
            <w:rPr>
              <w:rFonts w:ascii="Times New Roman" w:hAnsi="Times New Roman"/>
              <w:sz w:val="24"/>
              <w:szCs w:val="24"/>
            </w:rPr>
            <w:t xml:space="preserve"> devolución de costos de estructuración</w:t>
          </w:r>
          <w:r w:rsidR="007F33CB" w:rsidRPr="00931DCE">
            <w:rPr>
              <w:rFonts w:ascii="Times New Roman" w:hAnsi="Times New Roman"/>
              <w:sz w:val="24"/>
              <w:szCs w:val="24"/>
            </w:rPr>
            <w:t>, entre otros</w:t>
          </w:r>
          <w:r w:rsidRPr="00931DCE">
            <w:rPr>
              <w:rFonts w:ascii="Times New Roman" w:hAnsi="Times New Roman"/>
              <w:sz w:val="24"/>
              <w:szCs w:val="24"/>
            </w:rPr>
            <w:t>.</w:t>
          </w:r>
        </w:p>
        <w:p w14:paraId="2FAEB4D0" w14:textId="77777777" w:rsidR="00290051" w:rsidRPr="00931DCE" w:rsidRDefault="00290051" w:rsidP="00AD2E9E">
          <w:pPr>
            <w:spacing w:after="0" w:line="240" w:lineRule="auto"/>
            <w:jc w:val="both"/>
            <w:rPr>
              <w:rFonts w:ascii="Times New Roman" w:hAnsi="Times New Roman"/>
              <w:sz w:val="24"/>
              <w:szCs w:val="24"/>
            </w:rPr>
          </w:pPr>
        </w:p>
        <w:p w14:paraId="2C8CDED4" w14:textId="334D3A97" w:rsidR="00B81E73" w:rsidRPr="00931DCE" w:rsidRDefault="00B81E73" w:rsidP="004A000E">
          <w:pPr>
            <w:spacing w:after="0" w:line="240" w:lineRule="auto"/>
            <w:jc w:val="both"/>
            <w:rPr>
              <w:rFonts w:ascii="Times New Roman" w:hAnsi="Times New Roman"/>
              <w:b/>
              <w:sz w:val="24"/>
              <w:szCs w:val="24"/>
            </w:rPr>
          </w:pPr>
        </w:p>
        <w:p w14:paraId="7A9F553B" w14:textId="6B19663A" w:rsidR="00C8685E" w:rsidRPr="00931DCE" w:rsidRDefault="008D49E8">
          <w:pPr>
            <w:pStyle w:val="Ttulo2"/>
            <w:numPr>
              <w:ilvl w:val="1"/>
              <w:numId w:val="9"/>
            </w:numPr>
            <w:ind w:left="567" w:hanging="567"/>
            <w:rPr>
              <w:rFonts w:cs="Times New Roman"/>
              <w:szCs w:val="22"/>
            </w:rPr>
          </w:pPr>
          <w:bookmarkStart w:id="19" w:name="_Toc159952364"/>
          <w:r w:rsidRPr="00931DCE">
            <w:rPr>
              <w:rFonts w:cs="Times New Roman"/>
              <w:szCs w:val="22"/>
            </w:rPr>
            <w:t>Depósitos en instituciones financieras</w:t>
          </w:r>
          <w:bookmarkEnd w:id="19"/>
        </w:p>
        <w:p w14:paraId="4D95A741" w14:textId="31D0F72F" w:rsidR="00247133" w:rsidRPr="00931DCE" w:rsidRDefault="00247133" w:rsidP="007E66D0">
          <w:pPr>
            <w:spacing w:after="0" w:line="240" w:lineRule="auto"/>
            <w:jc w:val="both"/>
            <w:rPr>
              <w:rFonts w:ascii="Times New Roman" w:hAnsi="Times New Roman"/>
              <w:sz w:val="24"/>
              <w:szCs w:val="24"/>
            </w:rPr>
          </w:pPr>
        </w:p>
        <w:tbl>
          <w:tblPr>
            <w:tblW w:w="5000" w:type="pct"/>
            <w:tblCellMar>
              <w:left w:w="70" w:type="dxa"/>
              <w:right w:w="70" w:type="dxa"/>
            </w:tblCellMar>
            <w:tblLook w:val="04A0" w:firstRow="1" w:lastRow="0" w:firstColumn="1" w:lastColumn="0" w:noHBand="0" w:noVBand="1"/>
          </w:tblPr>
          <w:tblGrid>
            <w:gridCol w:w="1038"/>
            <w:gridCol w:w="510"/>
            <w:gridCol w:w="1561"/>
            <w:gridCol w:w="1308"/>
            <w:gridCol w:w="1036"/>
            <w:gridCol w:w="1083"/>
            <w:gridCol w:w="1385"/>
            <w:gridCol w:w="1038"/>
          </w:tblGrid>
          <w:tr w:rsidR="00CB430B" w:rsidRPr="00CB430B" w14:paraId="3AB247E2" w14:textId="77777777" w:rsidTr="00CB430B">
            <w:trPr>
              <w:trHeight w:val="340"/>
            </w:trPr>
            <w:tc>
              <w:tcPr>
                <w:tcW w:w="1735" w:type="pct"/>
                <w:gridSpan w:val="3"/>
                <w:tcBorders>
                  <w:top w:val="single" w:sz="8" w:space="0" w:color="808080"/>
                  <w:left w:val="single" w:sz="8" w:space="0" w:color="808080"/>
                  <w:bottom w:val="single" w:sz="8" w:space="0" w:color="808080"/>
                  <w:right w:val="single" w:sz="8" w:space="0" w:color="808080"/>
                </w:tcBorders>
                <w:shd w:val="clear" w:color="auto" w:fill="auto"/>
                <w:vAlign w:val="center"/>
                <w:hideMark/>
              </w:tcPr>
              <w:p w14:paraId="5813B531" w14:textId="77777777" w:rsidR="00CB430B" w:rsidRPr="00CB430B" w:rsidRDefault="00CB430B" w:rsidP="00CB430B">
                <w:pPr>
                  <w:spacing w:after="0" w:line="240" w:lineRule="auto"/>
                  <w:jc w:val="center"/>
                  <w:rPr>
                    <w:rFonts w:ascii="Times New Roman" w:eastAsia="Times New Roman" w:hAnsi="Times New Roman"/>
                    <w:b/>
                    <w:bCs/>
                    <w:color w:val="000000"/>
                    <w:sz w:val="16"/>
                    <w:szCs w:val="16"/>
                    <w:lang w:eastAsia="es-CO"/>
                  </w:rPr>
                </w:pPr>
                <w:r w:rsidRPr="00CB430B">
                  <w:rPr>
                    <w:rFonts w:ascii="Times New Roman" w:eastAsia="Times New Roman" w:hAnsi="Times New Roman"/>
                    <w:b/>
                    <w:bCs/>
                    <w:color w:val="000000"/>
                    <w:sz w:val="16"/>
                    <w:szCs w:val="16"/>
                    <w:lang w:eastAsia="es-CO"/>
                  </w:rPr>
                  <w:t>DESCRIPCIÓN</w:t>
                </w:r>
              </w:p>
            </w:tc>
            <w:tc>
              <w:tcPr>
                <w:tcW w:w="1308" w:type="pct"/>
                <w:gridSpan w:val="2"/>
                <w:tcBorders>
                  <w:top w:val="single" w:sz="8" w:space="0" w:color="808080"/>
                  <w:left w:val="nil"/>
                  <w:bottom w:val="single" w:sz="8" w:space="0" w:color="808080"/>
                  <w:right w:val="single" w:sz="8" w:space="0" w:color="808080"/>
                </w:tcBorders>
                <w:shd w:val="clear" w:color="auto" w:fill="auto"/>
                <w:vAlign w:val="center"/>
                <w:hideMark/>
              </w:tcPr>
              <w:p w14:paraId="071B0FDE" w14:textId="77777777" w:rsidR="00CB430B" w:rsidRPr="00CB430B" w:rsidRDefault="00CB430B" w:rsidP="00CB430B">
                <w:pPr>
                  <w:spacing w:after="0" w:line="240" w:lineRule="auto"/>
                  <w:jc w:val="center"/>
                  <w:rPr>
                    <w:rFonts w:ascii="Times New Roman" w:eastAsia="Times New Roman" w:hAnsi="Times New Roman"/>
                    <w:b/>
                    <w:bCs/>
                    <w:color w:val="000000"/>
                    <w:sz w:val="16"/>
                    <w:szCs w:val="16"/>
                    <w:lang w:eastAsia="es-CO"/>
                  </w:rPr>
                </w:pPr>
                <w:r w:rsidRPr="00CB430B">
                  <w:rPr>
                    <w:rFonts w:ascii="Times New Roman" w:eastAsia="Times New Roman" w:hAnsi="Times New Roman"/>
                    <w:b/>
                    <w:bCs/>
                    <w:color w:val="000000"/>
                    <w:sz w:val="16"/>
                    <w:szCs w:val="16"/>
                    <w:lang w:eastAsia="es-CO"/>
                  </w:rPr>
                  <w:t>SALDOS A CORTES DE VIGENCIA</w:t>
                </w:r>
              </w:p>
            </w:tc>
            <w:tc>
              <w:tcPr>
                <w:tcW w:w="604" w:type="pct"/>
                <w:tcBorders>
                  <w:top w:val="single" w:sz="8" w:space="0" w:color="808080"/>
                  <w:left w:val="nil"/>
                  <w:bottom w:val="single" w:sz="8" w:space="0" w:color="808080"/>
                  <w:right w:val="single" w:sz="8" w:space="0" w:color="808080"/>
                </w:tcBorders>
                <w:shd w:val="clear" w:color="auto" w:fill="auto"/>
                <w:vAlign w:val="center"/>
                <w:hideMark/>
              </w:tcPr>
              <w:p w14:paraId="343C5CD0" w14:textId="77777777" w:rsidR="00CB430B" w:rsidRPr="00CB430B" w:rsidRDefault="00CB430B" w:rsidP="00CB430B">
                <w:pPr>
                  <w:spacing w:after="0" w:line="240" w:lineRule="auto"/>
                  <w:jc w:val="center"/>
                  <w:rPr>
                    <w:rFonts w:ascii="Times New Roman" w:eastAsia="Times New Roman" w:hAnsi="Times New Roman"/>
                    <w:b/>
                    <w:bCs/>
                    <w:color w:val="000000"/>
                    <w:sz w:val="16"/>
                    <w:szCs w:val="16"/>
                    <w:lang w:eastAsia="es-CO"/>
                  </w:rPr>
                </w:pPr>
                <w:r w:rsidRPr="00CB430B">
                  <w:rPr>
                    <w:rFonts w:ascii="Times New Roman" w:eastAsia="Times New Roman" w:hAnsi="Times New Roman"/>
                    <w:b/>
                    <w:bCs/>
                    <w:color w:val="000000"/>
                    <w:sz w:val="16"/>
                    <w:szCs w:val="16"/>
                    <w:lang w:eastAsia="es-CO"/>
                  </w:rPr>
                  <w:t>VARIACIÓN</w:t>
                </w:r>
              </w:p>
            </w:tc>
            <w:tc>
              <w:tcPr>
                <w:tcW w:w="1352" w:type="pct"/>
                <w:gridSpan w:val="2"/>
                <w:tcBorders>
                  <w:top w:val="single" w:sz="8" w:space="0" w:color="808080"/>
                  <w:left w:val="nil"/>
                  <w:bottom w:val="single" w:sz="8" w:space="0" w:color="808080"/>
                  <w:right w:val="single" w:sz="8" w:space="0" w:color="808080"/>
                </w:tcBorders>
                <w:shd w:val="clear" w:color="auto" w:fill="auto"/>
                <w:noWrap/>
                <w:vAlign w:val="center"/>
                <w:hideMark/>
              </w:tcPr>
              <w:p w14:paraId="0AC17500" w14:textId="77777777" w:rsidR="00CB430B" w:rsidRPr="00CB430B" w:rsidRDefault="00CB430B" w:rsidP="00CB430B">
                <w:pPr>
                  <w:spacing w:after="0" w:line="240" w:lineRule="auto"/>
                  <w:jc w:val="center"/>
                  <w:rPr>
                    <w:rFonts w:ascii="Times New Roman" w:eastAsia="Times New Roman" w:hAnsi="Times New Roman"/>
                    <w:b/>
                    <w:bCs/>
                    <w:color w:val="000000"/>
                    <w:sz w:val="16"/>
                    <w:szCs w:val="16"/>
                    <w:lang w:eastAsia="es-CO"/>
                  </w:rPr>
                </w:pPr>
                <w:r w:rsidRPr="00CB430B">
                  <w:rPr>
                    <w:rFonts w:ascii="Times New Roman" w:eastAsia="Times New Roman" w:hAnsi="Times New Roman"/>
                    <w:b/>
                    <w:bCs/>
                    <w:color w:val="000000"/>
                    <w:sz w:val="16"/>
                    <w:szCs w:val="16"/>
                    <w:lang w:eastAsia="es-CO"/>
                  </w:rPr>
                  <w:t>RENTABILIDAD</w:t>
                </w:r>
              </w:p>
            </w:tc>
          </w:tr>
          <w:tr w:rsidR="00CB430B" w:rsidRPr="00CB430B" w14:paraId="34684361" w14:textId="77777777" w:rsidTr="00CB430B">
            <w:trPr>
              <w:trHeight w:val="340"/>
            </w:trPr>
            <w:tc>
              <w:tcPr>
                <w:tcW w:w="579" w:type="pct"/>
                <w:vMerge w:val="restart"/>
                <w:tcBorders>
                  <w:top w:val="nil"/>
                  <w:left w:val="single" w:sz="8" w:space="0" w:color="808080"/>
                  <w:bottom w:val="single" w:sz="8" w:space="0" w:color="808080"/>
                  <w:right w:val="single" w:sz="8" w:space="0" w:color="808080"/>
                </w:tcBorders>
                <w:shd w:val="clear" w:color="auto" w:fill="auto"/>
                <w:vAlign w:val="center"/>
                <w:hideMark/>
              </w:tcPr>
              <w:p w14:paraId="647C7C7F" w14:textId="77777777" w:rsidR="00CB430B" w:rsidRPr="00CB430B" w:rsidRDefault="00CB430B" w:rsidP="00CB430B">
                <w:pPr>
                  <w:spacing w:after="0" w:line="240" w:lineRule="auto"/>
                  <w:jc w:val="center"/>
                  <w:rPr>
                    <w:rFonts w:ascii="Times New Roman" w:eastAsia="Times New Roman" w:hAnsi="Times New Roman"/>
                    <w:b/>
                    <w:bCs/>
                    <w:color w:val="000000"/>
                    <w:sz w:val="16"/>
                    <w:szCs w:val="16"/>
                    <w:lang w:eastAsia="es-CO"/>
                  </w:rPr>
                </w:pPr>
                <w:r w:rsidRPr="00CB430B">
                  <w:rPr>
                    <w:rFonts w:ascii="Times New Roman" w:eastAsia="Times New Roman" w:hAnsi="Times New Roman"/>
                    <w:b/>
                    <w:bCs/>
                    <w:color w:val="000000"/>
                    <w:sz w:val="16"/>
                    <w:szCs w:val="16"/>
                    <w:lang w:eastAsia="es-CO"/>
                  </w:rPr>
                  <w:t>CÓDIGO CONTABLE</w:t>
                </w:r>
              </w:p>
            </w:tc>
            <w:tc>
              <w:tcPr>
                <w:tcW w:w="285" w:type="pct"/>
                <w:vMerge w:val="restart"/>
                <w:tcBorders>
                  <w:top w:val="nil"/>
                  <w:left w:val="single" w:sz="8" w:space="0" w:color="808080"/>
                  <w:bottom w:val="single" w:sz="8" w:space="0" w:color="808080"/>
                  <w:right w:val="single" w:sz="8" w:space="0" w:color="808080"/>
                </w:tcBorders>
                <w:shd w:val="clear" w:color="auto" w:fill="auto"/>
                <w:vAlign w:val="center"/>
                <w:hideMark/>
              </w:tcPr>
              <w:p w14:paraId="16C0F459" w14:textId="77777777" w:rsidR="00CB430B" w:rsidRPr="00CB430B" w:rsidRDefault="00CB430B" w:rsidP="00CB430B">
                <w:pPr>
                  <w:spacing w:after="0" w:line="240" w:lineRule="auto"/>
                  <w:jc w:val="center"/>
                  <w:rPr>
                    <w:rFonts w:ascii="Times New Roman" w:eastAsia="Times New Roman" w:hAnsi="Times New Roman"/>
                    <w:b/>
                    <w:bCs/>
                    <w:color w:val="000000"/>
                    <w:sz w:val="16"/>
                    <w:szCs w:val="16"/>
                    <w:lang w:eastAsia="es-CO"/>
                  </w:rPr>
                </w:pPr>
                <w:r w:rsidRPr="00CB430B">
                  <w:rPr>
                    <w:rFonts w:ascii="Times New Roman" w:eastAsia="Times New Roman" w:hAnsi="Times New Roman"/>
                    <w:b/>
                    <w:bCs/>
                    <w:color w:val="000000"/>
                    <w:sz w:val="16"/>
                    <w:szCs w:val="16"/>
                    <w:lang w:eastAsia="es-CO"/>
                  </w:rPr>
                  <w:t>NAT</w:t>
                </w:r>
              </w:p>
            </w:tc>
            <w:tc>
              <w:tcPr>
                <w:tcW w:w="871" w:type="pct"/>
                <w:vMerge w:val="restart"/>
                <w:tcBorders>
                  <w:top w:val="nil"/>
                  <w:left w:val="single" w:sz="8" w:space="0" w:color="808080"/>
                  <w:bottom w:val="single" w:sz="8" w:space="0" w:color="808080"/>
                  <w:right w:val="single" w:sz="8" w:space="0" w:color="808080"/>
                </w:tcBorders>
                <w:shd w:val="clear" w:color="auto" w:fill="auto"/>
                <w:vAlign w:val="center"/>
                <w:hideMark/>
              </w:tcPr>
              <w:p w14:paraId="036AB681" w14:textId="77777777" w:rsidR="00CB430B" w:rsidRPr="00CB430B" w:rsidRDefault="00CB430B" w:rsidP="00CB430B">
                <w:pPr>
                  <w:spacing w:after="0" w:line="240" w:lineRule="auto"/>
                  <w:jc w:val="center"/>
                  <w:rPr>
                    <w:rFonts w:ascii="Times New Roman" w:eastAsia="Times New Roman" w:hAnsi="Times New Roman"/>
                    <w:b/>
                    <w:bCs/>
                    <w:color w:val="000000"/>
                    <w:sz w:val="16"/>
                    <w:szCs w:val="16"/>
                    <w:lang w:eastAsia="es-CO"/>
                  </w:rPr>
                </w:pPr>
                <w:r w:rsidRPr="00CB430B">
                  <w:rPr>
                    <w:rFonts w:ascii="Times New Roman" w:eastAsia="Times New Roman" w:hAnsi="Times New Roman"/>
                    <w:b/>
                    <w:bCs/>
                    <w:color w:val="000000"/>
                    <w:sz w:val="16"/>
                    <w:szCs w:val="16"/>
                    <w:lang w:eastAsia="es-CO"/>
                  </w:rPr>
                  <w:t>CONCEPTO</w:t>
                </w:r>
              </w:p>
            </w:tc>
            <w:tc>
              <w:tcPr>
                <w:tcW w:w="730" w:type="pct"/>
                <w:vMerge w:val="restart"/>
                <w:tcBorders>
                  <w:top w:val="nil"/>
                  <w:left w:val="single" w:sz="8" w:space="0" w:color="808080"/>
                  <w:bottom w:val="single" w:sz="8" w:space="0" w:color="808080"/>
                  <w:right w:val="single" w:sz="8" w:space="0" w:color="808080"/>
                </w:tcBorders>
                <w:shd w:val="clear" w:color="auto" w:fill="auto"/>
                <w:vAlign w:val="center"/>
                <w:hideMark/>
              </w:tcPr>
              <w:p w14:paraId="2FE820DF" w14:textId="77777777" w:rsidR="00CB430B" w:rsidRPr="00CB430B" w:rsidRDefault="00CB430B" w:rsidP="00CB430B">
                <w:pPr>
                  <w:spacing w:after="0" w:line="240" w:lineRule="auto"/>
                  <w:jc w:val="center"/>
                  <w:rPr>
                    <w:rFonts w:ascii="Times New Roman" w:eastAsia="Times New Roman" w:hAnsi="Times New Roman"/>
                    <w:b/>
                    <w:bCs/>
                    <w:color w:val="000000"/>
                    <w:sz w:val="16"/>
                    <w:szCs w:val="16"/>
                    <w:lang w:eastAsia="es-CO"/>
                  </w:rPr>
                </w:pPr>
                <w:r w:rsidRPr="00CB430B">
                  <w:rPr>
                    <w:rFonts w:ascii="Times New Roman" w:eastAsia="Times New Roman" w:hAnsi="Times New Roman"/>
                    <w:b/>
                    <w:bCs/>
                    <w:color w:val="000000"/>
                    <w:sz w:val="16"/>
                    <w:szCs w:val="16"/>
                    <w:lang w:eastAsia="es-CO"/>
                  </w:rPr>
                  <w:t>2023</w:t>
                </w:r>
              </w:p>
            </w:tc>
            <w:tc>
              <w:tcPr>
                <w:tcW w:w="578" w:type="pct"/>
                <w:vMerge w:val="restart"/>
                <w:tcBorders>
                  <w:top w:val="nil"/>
                  <w:left w:val="single" w:sz="8" w:space="0" w:color="808080"/>
                  <w:bottom w:val="single" w:sz="8" w:space="0" w:color="808080"/>
                  <w:right w:val="single" w:sz="8" w:space="0" w:color="808080"/>
                </w:tcBorders>
                <w:shd w:val="clear" w:color="auto" w:fill="auto"/>
                <w:vAlign w:val="center"/>
                <w:hideMark/>
              </w:tcPr>
              <w:p w14:paraId="7741D2B7" w14:textId="77777777" w:rsidR="00CB430B" w:rsidRPr="00CB430B" w:rsidRDefault="00CB430B" w:rsidP="00CB430B">
                <w:pPr>
                  <w:spacing w:after="0" w:line="240" w:lineRule="auto"/>
                  <w:jc w:val="center"/>
                  <w:rPr>
                    <w:rFonts w:ascii="Times New Roman" w:eastAsia="Times New Roman" w:hAnsi="Times New Roman"/>
                    <w:b/>
                    <w:bCs/>
                    <w:color w:val="000000"/>
                    <w:sz w:val="16"/>
                    <w:szCs w:val="16"/>
                    <w:lang w:eastAsia="es-CO"/>
                  </w:rPr>
                </w:pPr>
                <w:r w:rsidRPr="00CB430B">
                  <w:rPr>
                    <w:rFonts w:ascii="Times New Roman" w:eastAsia="Times New Roman" w:hAnsi="Times New Roman"/>
                    <w:b/>
                    <w:bCs/>
                    <w:color w:val="000000"/>
                    <w:sz w:val="16"/>
                    <w:szCs w:val="16"/>
                    <w:lang w:eastAsia="es-CO"/>
                  </w:rPr>
                  <w:t>2022</w:t>
                </w:r>
              </w:p>
            </w:tc>
            <w:tc>
              <w:tcPr>
                <w:tcW w:w="604" w:type="pct"/>
                <w:vMerge w:val="restart"/>
                <w:tcBorders>
                  <w:top w:val="nil"/>
                  <w:left w:val="single" w:sz="8" w:space="0" w:color="808080"/>
                  <w:bottom w:val="single" w:sz="8" w:space="0" w:color="808080"/>
                  <w:right w:val="single" w:sz="8" w:space="0" w:color="808080"/>
                </w:tcBorders>
                <w:shd w:val="clear" w:color="auto" w:fill="auto"/>
                <w:vAlign w:val="center"/>
                <w:hideMark/>
              </w:tcPr>
              <w:p w14:paraId="333DB02A" w14:textId="77777777" w:rsidR="00CB430B" w:rsidRPr="00CB430B" w:rsidRDefault="00CB430B" w:rsidP="00CB430B">
                <w:pPr>
                  <w:spacing w:after="0" w:line="240" w:lineRule="auto"/>
                  <w:jc w:val="center"/>
                  <w:rPr>
                    <w:rFonts w:ascii="Times New Roman" w:eastAsia="Times New Roman" w:hAnsi="Times New Roman"/>
                    <w:b/>
                    <w:bCs/>
                    <w:color w:val="000000"/>
                    <w:sz w:val="16"/>
                    <w:szCs w:val="16"/>
                    <w:lang w:eastAsia="es-CO"/>
                  </w:rPr>
                </w:pPr>
                <w:r w:rsidRPr="00CB430B">
                  <w:rPr>
                    <w:rFonts w:ascii="Times New Roman" w:eastAsia="Times New Roman" w:hAnsi="Times New Roman"/>
                    <w:b/>
                    <w:bCs/>
                    <w:color w:val="000000"/>
                    <w:sz w:val="16"/>
                    <w:szCs w:val="16"/>
                    <w:lang w:eastAsia="es-CO"/>
                  </w:rPr>
                  <w:t>VALOR VARIACIÓN</w:t>
                </w:r>
              </w:p>
            </w:tc>
            <w:tc>
              <w:tcPr>
                <w:tcW w:w="773" w:type="pct"/>
                <w:tcBorders>
                  <w:top w:val="nil"/>
                  <w:left w:val="nil"/>
                  <w:bottom w:val="nil"/>
                  <w:right w:val="single" w:sz="8" w:space="0" w:color="808080"/>
                </w:tcBorders>
                <w:shd w:val="clear" w:color="auto" w:fill="auto"/>
                <w:vAlign w:val="center"/>
                <w:hideMark/>
              </w:tcPr>
              <w:p w14:paraId="609C147F" w14:textId="77777777" w:rsidR="00CB430B" w:rsidRPr="00CB430B" w:rsidRDefault="00CB430B" w:rsidP="00CB430B">
                <w:pPr>
                  <w:spacing w:after="0" w:line="240" w:lineRule="auto"/>
                  <w:jc w:val="center"/>
                  <w:rPr>
                    <w:rFonts w:ascii="Times New Roman" w:eastAsia="Times New Roman" w:hAnsi="Times New Roman"/>
                    <w:b/>
                    <w:bCs/>
                    <w:color w:val="000000"/>
                    <w:sz w:val="16"/>
                    <w:szCs w:val="16"/>
                    <w:lang w:eastAsia="es-CO"/>
                  </w:rPr>
                </w:pPr>
                <w:r w:rsidRPr="00CB430B">
                  <w:rPr>
                    <w:rFonts w:ascii="Times New Roman" w:eastAsia="Times New Roman" w:hAnsi="Times New Roman"/>
                    <w:b/>
                    <w:bCs/>
                    <w:color w:val="000000"/>
                    <w:sz w:val="16"/>
                    <w:szCs w:val="16"/>
                    <w:lang w:eastAsia="es-CO"/>
                  </w:rPr>
                  <w:t>RENTABILIDAD</w:t>
                </w:r>
              </w:p>
            </w:tc>
            <w:tc>
              <w:tcPr>
                <w:tcW w:w="579" w:type="pct"/>
                <w:vMerge w:val="restart"/>
                <w:tcBorders>
                  <w:top w:val="nil"/>
                  <w:left w:val="single" w:sz="8" w:space="0" w:color="808080"/>
                  <w:bottom w:val="single" w:sz="8" w:space="0" w:color="808080"/>
                  <w:right w:val="single" w:sz="8" w:space="0" w:color="808080"/>
                </w:tcBorders>
                <w:shd w:val="clear" w:color="auto" w:fill="auto"/>
                <w:vAlign w:val="center"/>
                <w:hideMark/>
              </w:tcPr>
              <w:p w14:paraId="5ECB32C9" w14:textId="77777777" w:rsidR="00CB430B" w:rsidRPr="00CB430B" w:rsidRDefault="00CB430B" w:rsidP="00CB430B">
                <w:pPr>
                  <w:spacing w:after="0" w:line="240" w:lineRule="auto"/>
                  <w:jc w:val="center"/>
                  <w:rPr>
                    <w:rFonts w:ascii="Times New Roman" w:eastAsia="Times New Roman" w:hAnsi="Times New Roman"/>
                    <w:b/>
                    <w:bCs/>
                    <w:color w:val="000000"/>
                    <w:sz w:val="16"/>
                    <w:szCs w:val="16"/>
                    <w:lang w:eastAsia="es-CO"/>
                  </w:rPr>
                </w:pPr>
                <w:r w:rsidRPr="00CB430B">
                  <w:rPr>
                    <w:rFonts w:ascii="Times New Roman" w:eastAsia="Times New Roman" w:hAnsi="Times New Roman"/>
                    <w:b/>
                    <w:bCs/>
                    <w:color w:val="000000"/>
                    <w:sz w:val="16"/>
                    <w:szCs w:val="16"/>
                    <w:lang w:eastAsia="es-CO"/>
                  </w:rPr>
                  <w:t>% TASA PROMEDIO</w:t>
                </w:r>
              </w:p>
            </w:tc>
          </w:tr>
          <w:tr w:rsidR="00CB430B" w:rsidRPr="00CB430B" w14:paraId="04C4602C" w14:textId="77777777" w:rsidTr="00CB430B">
            <w:trPr>
              <w:trHeight w:val="340"/>
            </w:trPr>
            <w:tc>
              <w:tcPr>
                <w:tcW w:w="579" w:type="pct"/>
                <w:vMerge/>
                <w:tcBorders>
                  <w:top w:val="nil"/>
                  <w:left w:val="single" w:sz="8" w:space="0" w:color="808080"/>
                  <w:bottom w:val="single" w:sz="8" w:space="0" w:color="808080"/>
                  <w:right w:val="single" w:sz="8" w:space="0" w:color="808080"/>
                </w:tcBorders>
                <w:vAlign w:val="center"/>
                <w:hideMark/>
              </w:tcPr>
              <w:p w14:paraId="1EEDAB78" w14:textId="77777777" w:rsidR="00CB430B" w:rsidRPr="00CB430B" w:rsidRDefault="00CB430B" w:rsidP="00CB430B">
                <w:pPr>
                  <w:spacing w:after="0" w:line="240" w:lineRule="auto"/>
                  <w:rPr>
                    <w:rFonts w:ascii="Times New Roman" w:eastAsia="Times New Roman" w:hAnsi="Times New Roman"/>
                    <w:b/>
                    <w:bCs/>
                    <w:color w:val="000000"/>
                    <w:sz w:val="16"/>
                    <w:szCs w:val="16"/>
                    <w:lang w:eastAsia="es-CO"/>
                  </w:rPr>
                </w:pPr>
              </w:p>
            </w:tc>
            <w:tc>
              <w:tcPr>
                <w:tcW w:w="285" w:type="pct"/>
                <w:vMerge/>
                <w:tcBorders>
                  <w:top w:val="nil"/>
                  <w:left w:val="single" w:sz="8" w:space="0" w:color="808080"/>
                  <w:bottom w:val="single" w:sz="8" w:space="0" w:color="808080"/>
                  <w:right w:val="single" w:sz="8" w:space="0" w:color="808080"/>
                </w:tcBorders>
                <w:vAlign w:val="center"/>
                <w:hideMark/>
              </w:tcPr>
              <w:p w14:paraId="1ED7DC29" w14:textId="77777777" w:rsidR="00CB430B" w:rsidRPr="00CB430B" w:rsidRDefault="00CB430B" w:rsidP="00CB430B">
                <w:pPr>
                  <w:spacing w:after="0" w:line="240" w:lineRule="auto"/>
                  <w:rPr>
                    <w:rFonts w:ascii="Times New Roman" w:eastAsia="Times New Roman" w:hAnsi="Times New Roman"/>
                    <w:b/>
                    <w:bCs/>
                    <w:color w:val="000000"/>
                    <w:sz w:val="16"/>
                    <w:szCs w:val="16"/>
                    <w:lang w:eastAsia="es-CO"/>
                  </w:rPr>
                </w:pPr>
              </w:p>
            </w:tc>
            <w:tc>
              <w:tcPr>
                <w:tcW w:w="871" w:type="pct"/>
                <w:vMerge/>
                <w:tcBorders>
                  <w:top w:val="nil"/>
                  <w:left w:val="single" w:sz="8" w:space="0" w:color="808080"/>
                  <w:bottom w:val="single" w:sz="8" w:space="0" w:color="808080"/>
                  <w:right w:val="single" w:sz="8" w:space="0" w:color="808080"/>
                </w:tcBorders>
                <w:vAlign w:val="center"/>
                <w:hideMark/>
              </w:tcPr>
              <w:p w14:paraId="5A25C1E5" w14:textId="77777777" w:rsidR="00CB430B" w:rsidRPr="00CB430B" w:rsidRDefault="00CB430B" w:rsidP="00CB430B">
                <w:pPr>
                  <w:spacing w:after="0" w:line="240" w:lineRule="auto"/>
                  <w:rPr>
                    <w:rFonts w:ascii="Times New Roman" w:eastAsia="Times New Roman" w:hAnsi="Times New Roman"/>
                    <w:b/>
                    <w:bCs/>
                    <w:color w:val="000000"/>
                    <w:sz w:val="16"/>
                    <w:szCs w:val="16"/>
                    <w:lang w:eastAsia="es-CO"/>
                  </w:rPr>
                </w:pPr>
              </w:p>
            </w:tc>
            <w:tc>
              <w:tcPr>
                <w:tcW w:w="730" w:type="pct"/>
                <w:vMerge/>
                <w:tcBorders>
                  <w:top w:val="nil"/>
                  <w:left w:val="single" w:sz="8" w:space="0" w:color="808080"/>
                  <w:bottom w:val="single" w:sz="8" w:space="0" w:color="808080"/>
                  <w:right w:val="single" w:sz="8" w:space="0" w:color="808080"/>
                </w:tcBorders>
                <w:vAlign w:val="center"/>
                <w:hideMark/>
              </w:tcPr>
              <w:p w14:paraId="758C6673" w14:textId="77777777" w:rsidR="00CB430B" w:rsidRPr="00CB430B" w:rsidRDefault="00CB430B" w:rsidP="00CB430B">
                <w:pPr>
                  <w:spacing w:after="0" w:line="240" w:lineRule="auto"/>
                  <w:rPr>
                    <w:rFonts w:ascii="Times New Roman" w:eastAsia="Times New Roman" w:hAnsi="Times New Roman"/>
                    <w:b/>
                    <w:bCs/>
                    <w:color w:val="000000"/>
                    <w:sz w:val="16"/>
                    <w:szCs w:val="16"/>
                    <w:lang w:eastAsia="es-CO"/>
                  </w:rPr>
                </w:pPr>
              </w:p>
            </w:tc>
            <w:tc>
              <w:tcPr>
                <w:tcW w:w="578" w:type="pct"/>
                <w:vMerge/>
                <w:tcBorders>
                  <w:top w:val="nil"/>
                  <w:left w:val="single" w:sz="8" w:space="0" w:color="808080"/>
                  <w:bottom w:val="single" w:sz="8" w:space="0" w:color="808080"/>
                  <w:right w:val="single" w:sz="8" w:space="0" w:color="808080"/>
                </w:tcBorders>
                <w:vAlign w:val="center"/>
                <w:hideMark/>
              </w:tcPr>
              <w:p w14:paraId="26433813" w14:textId="77777777" w:rsidR="00CB430B" w:rsidRPr="00CB430B" w:rsidRDefault="00CB430B" w:rsidP="00CB430B">
                <w:pPr>
                  <w:spacing w:after="0" w:line="240" w:lineRule="auto"/>
                  <w:rPr>
                    <w:rFonts w:ascii="Times New Roman" w:eastAsia="Times New Roman" w:hAnsi="Times New Roman"/>
                    <w:b/>
                    <w:bCs/>
                    <w:color w:val="000000"/>
                    <w:sz w:val="16"/>
                    <w:szCs w:val="16"/>
                    <w:lang w:eastAsia="es-CO"/>
                  </w:rPr>
                </w:pPr>
              </w:p>
            </w:tc>
            <w:tc>
              <w:tcPr>
                <w:tcW w:w="604" w:type="pct"/>
                <w:vMerge/>
                <w:tcBorders>
                  <w:top w:val="nil"/>
                  <w:left w:val="single" w:sz="8" w:space="0" w:color="808080"/>
                  <w:bottom w:val="single" w:sz="8" w:space="0" w:color="808080"/>
                  <w:right w:val="single" w:sz="8" w:space="0" w:color="808080"/>
                </w:tcBorders>
                <w:vAlign w:val="center"/>
                <w:hideMark/>
              </w:tcPr>
              <w:p w14:paraId="7BCAF2C3" w14:textId="77777777" w:rsidR="00CB430B" w:rsidRPr="00CB430B" w:rsidRDefault="00CB430B" w:rsidP="00CB430B">
                <w:pPr>
                  <w:spacing w:after="0" w:line="240" w:lineRule="auto"/>
                  <w:rPr>
                    <w:rFonts w:ascii="Times New Roman" w:eastAsia="Times New Roman" w:hAnsi="Times New Roman"/>
                    <w:b/>
                    <w:bCs/>
                    <w:color w:val="000000"/>
                    <w:sz w:val="16"/>
                    <w:szCs w:val="16"/>
                    <w:lang w:eastAsia="es-CO"/>
                  </w:rPr>
                </w:pPr>
              </w:p>
            </w:tc>
            <w:tc>
              <w:tcPr>
                <w:tcW w:w="773" w:type="pct"/>
                <w:tcBorders>
                  <w:top w:val="nil"/>
                  <w:left w:val="nil"/>
                  <w:bottom w:val="nil"/>
                  <w:right w:val="single" w:sz="8" w:space="0" w:color="808080"/>
                </w:tcBorders>
                <w:shd w:val="clear" w:color="auto" w:fill="auto"/>
                <w:vAlign w:val="center"/>
                <w:hideMark/>
              </w:tcPr>
              <w:p w14:paraId="33D01615" w14:textId="77777777" w:rsidR="00CB430B" w:rsidRPr="00CB430B" w:rsidRDefault="00CB430B" w:rsidP="00CB430B">
                <w:pPr>
                  <w:spacing w:after="0" w:line="240" w:lineRule="auto"/>
                  <w:jc w:val="center"/>
                  <w:rPr>
                    <w:rFonts w:ascii="Times New Roman" w:eastAsia="Times New Roman" w:hAnsi="Times New Roman"/>
                    <w:b/>
                    <w:bCs/>
                    <w:color w:val="000000"/>
                    <w:sz w:val="16"/>
                    <w:szCs w:val="16"/>
                    <w:lang w:eastAsia="es-CO"/>
                  </w:rPr>
                </w:pPr>
                <w:r w:rsidRPr="00CB430B">
                  <w:rPr>
                    <w:rFonts w:ascii="Times New Roman" w:eastAsia="Times New Roman" w:hAnsi="Times New Roman"/>
                    <w:b/>
                    <w:bCs/>
                    <w:color w:val="000000"/>
                    <w:sz w:val="16"/>
                    <w:szCs w:val="16"/>
                    <w:lang w:eastAsia="es-CO"/>
                  </w:rPr>
                  <w:t>CIERRE 2023</w:t>
                </w:r>
              </w:p>
            </w:tc>
            <w:tc>
              <w:tcPr>
                <w:tcW w:w="579" w:type="pct"/>
                <w:vMerge/>
                <w:tcBorders>
                  <w:top w:val="nil"/>
                  <w:left w:val="single" w:sz="8" w:space="0" w:color="808080"/>
                  <w:bottom w:val="single" w:sz="8" w:space="0" w:color="808080"/>
                  <w:right w:val="single" w:sz="8" w:space="0" w:color="808080"/>
                </w:tcBorders>
                <w:vAlign w:val="center"/>
                <w:hideMark/>
              </w:tcPr>
              <w:p w14:paraId="50EBE531" w14:textId="77777777" w:rsidR="00CB430B" w:rsidRPr="00CB430B" w:rsidRDefault="00CB430B" w:rsidP="00CB430B">
                <w:pPr>
                  <w:spacing w:after="0" w:line="240" w:lineRule="auto"/>
                  <w:rPr>
                    <w:rFonts w:ascii="Times New Roman" w:eastAsia="Times New Roman" w:hAnsi="Times New Roman"/>
                    <w:b/>
                    <w:bCs/>
                    <w:color w:val="000000"/>
                    <w:sz w:val="16"/>
                    <w:szCs w:val="16"/>
                    <w:lang w:eastAsia="es-CO"/>
                  </w:rPr>
                </w:pPr>
              </w:p>
            </w:tc>
          </w:tr>
          <w:tr w:rsidR="00CB430B" w:rsidRPr="00CB430B" w14:paraId="468C31CE" w14:textId="77777777" w:rsidTr="00CB430B">
            <w:trPr>
              <w:trHeight w:val="340"/>
            </w:trPr>
            <w:tc>
              <w:tcPr>
                <w:tcW w:w="579" w:type="pct"/>
                <w:vMerge/>
                <w:tcBorders>
                  <w:top w:val="nil"/>
                  <w:left w:val="single" w:sz="8" w:space="0" w:color="808080"/>
                  <w:bottom w:val="single" w:sz="8" w:space="0" w:color="808080"/>
                  <w:right w:val="single" w:sz="8" w:space="0" w:color="808080"/>
                </w:tcBorders>
                <w:vAlign w:val="center"/>
                <w:hideMark/>
              </w:tcPr>
              <w:p w14:paraId="7CAA2384" w14:textId="77777777" w:rsidR="00CB430B" w:rsidRPr="00CB430B" w:rsidRDefault="00CB430B" w:rsidP="00CB430B">
                <w:pPr>
                  <w:spacing w:after="0" w:line="240" w:lineRule="auto"/>
                  <w:rPr>
                    <w:rFonts w:ascii="Times New Roman" w:eastAsia="Times New Roman" w:hAnsi="Times New Roman"/>
                    <w:b/>
                    <w:bCs/>
                    <w:color w:val="000000"/>
                    <w:sz w:val="16"/>
                    <w:szCs w:val="16"/>
                    <w:lang w:eastAsia="es-CO"/>
                  </w:rPr>
                </w:pPr>
              </w:p>
            </w:tc>
            <w:tc>
              <w:tcPr>
                <w:tcW w:w="285" w:type="pct"/>
                <w:vMerge/>
                <w:tcBorders>
                  <w:top w:val="nil"/>
                  <w:left w:val="single" w:sz="8" w:space="0" w:color="808080"/>
                  <w:bottom w:val="single" w:sz="8" w:space="0" w:color="808080"/>
                  <w:right w:val="single" w:sz="8" w:space="0" w:color="808080"/>
                </w:tcBorders>
                <w:vAlign w:val="center"/>
                <w:hideMark/>
              </w:tcPr>
              <w:p w14:paraId="26216D40" w14:textId="77777777" w:rsidR="00CB430B" w:rsidRPr="00CB430B" w:rsidRDefault="00CB430B" w:rsidP="00CB430B">
                <w:pPr>
                  <w:spacing w:after="0" w:line="240" w:lineRule="auto"/>
                  <w:rPr>
                    <w:rFonts w:ascii="Times New Roman" w:eastAsia="Times New Roman" w:hAnsi="Times New Roman"/>
                    <w:b/>
                    <w:bCs/>
                    <w:color w:val="000000"/>
                    <w:sz w:val="16"/>
                    <w:szCs w:val="16"/>
                    <w:lang w:eastAsia="es-CO"/>
                  </w:rPr>
                </w:pPr>
              </w:p>
            </w:tc>
            <w:tc>
              <w:tcPr>
                <w:tcW w:w="871" w:type="pct"/>
                <w:vMerge/>
                <w:tcBorders>
                  <w:top w:val="nil"/>
                  <w:left w:val="single" w:sz="8" w:space="0" w:color="808080"/>
                  <w:bottom w:val="single" w:sz="8" w:space="0" w:color="808080"/>
                  <w:right w:val="single" w:sz="8" w:space="0" w:color="808080"/>
                </w:tcBorders>
                <w:vAlign w:val="center"/>
                <w:hideMark/>
              </w:tcPr>
              <w:p w14:paraId="6B68F21C" w14:textId="77777777" w:rsidR="00CB430B" w:rsidRPr="00CB430B" w:rsidRDefault="00CB430B" w:rsidP="00CB430B">
                <w:pPr>
                  <w:spacing w:after="0" w:line="240" w:lineRule="auto"/>
                  <w:rPr>
                    <w:rFonts w:ascii="Times New Roman" w:eastAsia="Times New Roman" w:hAnsi="Times New Roman"/>
                    <w:b/>
                    <w:bCs/>
                    <w:color w:val="000000"/>
                    <w:sz w:val="16"/>
                    <w:szCs w:val="16"/>
                    <w:lang w:eastAsia="es-CO"/>
                  </w:rPr>
                </w:pPr>
              </w:p>
            </w:tc>
            <w:tc>
              <w:tcPr>
                <w:tcW w:w="730" w:type="pct"/>
                <w:vMerge/>
                <w:tcBorders>
                  <w:top w:val="nil"/>
                  <w:left w:val="single" w:sz="8" w:space="0" w:color="808080"/>
                  <w:bottom w:val="single" w:sz="8" w:space="0" w:color="808080"/>
                  <w:right w:val="single" w:sz="8" w:space="0" w:color="808080"/>
                </w:tcBorders>
                <w:vAlign w:val="center"/>
                <w:hideMark/>
              </w:tcPr>
              <w:p w14:paraId="341D0F6A" w14:textId="77777777" w:rsidR="00CB430B" w:rsidRPr="00CB430B" w:rsidRDefault="00CB430B" w:rsidP="00CB430B">
                <w:pPr>
                  <w:spacing w:after="0" w:line="240" w:lineRule="auto"/>
                  <w:rPr>
                    <w:rFonts w:ascii="Times New Roman" w:eastAsia="Times New Roman" w:hAnsi="Times New Roman"/>
                    <w:b/>
                    <w:bCs/>
                    <w:color w:val="000000"/>
                    <w:sz w:val="16"/>
                    <w:szCs w:val="16"/>
                    <w:lang w:eastAsia="es-CO"/>
                  </w:rPr>
                </w:pPr>
              </w:p>
            </w:tc>
            <w:tc>
              <w:tcPr>
                <w:tcW w:w="578" w:type="pct"/>
                <w:vMerge/>
                <w:tcBorders>
                  <w:top w:val="nil"/>
                  <w:left w:val="single" w:sz="8" w:space="0" w:color="808080"/>
                  <w:bottom w:val="single" w:sz="8" w:space="0" w:color="808080"/>
                  <w:right w:val="single" w:sz="8" w:space="0" w:color="808080"/>
                </w:tcBorders>
                <w:vAlign w:val="center"/>
                <w:hideMark/>
              </w:tcPr>
              <w:p w14:paraId="59E51712" w14:textId="77777777" w:rsidR="00CB430B" w:rsidRPr="00CB430B" w:rsidRDefault="00CB430B" w:rsidP="00CB430B">
                <w:pPr>
                  <w:spacing w:after="0" w:line="240" w:lineRule="auto"/>
                  <w:rPr>
                    <w:rFonts w:ascii="Times New Roman" w:eastAsia="Times New Roman" w:hAnsi="Times New Roman"/>
                    <w:b/>
                    <w:bCs/>
                    <w:color w:val="000000"/>
                    <w:sz w:val="16"/>
                    <w:szCs w:val="16"/>
                    <w:lang w:eastAsia="es-CO"/>
                  </w:rPr>
                </w:pPr>
              </w:p>
            </w:tc>
            <w:tc>
              <w:tcPr>
                <w:tcW w:w="604" w:type="pct"/>
                <w:vMerge/>
                <w:tcBorders>
                  <w:top w:val="nil"/>
                  <w:left w:val="single" w:sz="8" w:space="0" w:color="808080"/>
                  <w:bottom w:val="single" w:sz="8" w:space="0" w:color="808080"/>
                  <w:right w:val="single" w:sz="8" w:space="0" w:color="808080"/>
                </w:tcBorders>
                <w:vAlign w:val="center"/>
                <w:hideMark/>
              </w:tcPr>
              <w:p w14:paraId="44B2E4E8" w14:textId="77777777" w:rsidR="00CB430B" w:rsidRPr="00CB430B" w:rsidRDefault="00CB430B" w:rsidP="00CB430B">
                <w:pPr>
                  <w:spacing w:after="0" w:line="240" w:lineRule="auto"/>
                  <w:rPr>
                    <w:rFonts w:ascii="Times New Roman" w:eastAsia="Times New Roman" w:hAnsi="Times New Roman"/>
                    <w:b/>
                    <w:bCs/>
                    <w:color w:val="000000"/>
                    <w:sz w:val="16"/>
                    <w:szCs w:val="16"/>
                    <w:lang w:eastAsia="es-CO"/>
                  </w:rPr>
                </w:pPr>
              </w:p>
            </w:tc>
            <w:tc>
              <w:tcPr>
                <w:tcW w:w="773" w:type="pct"/>
                <w:tcBorders>
                  <w:top w:val="nil"/>
                  <w:left w:val="nil"/>
                  <w:bottom w:val="single" w:sz="8" w:space="0" w:color="808080"/>
                  <w:right w:val="single" w:sz="8" w:space="0" w:color="808080"/>
                </w:tcBorders>
                <w:shd w:val="clear" w:color="auto" w:fill="auto"/>
                <w:vAlign w:val="center"/>
                <w:hideMark/>
              </w:tcPr>
              <w:p w14:paraId="1E046A2E" w14:textId="77777777" w:rsidR="00CB430B" w:rsidRPr="00CB430B" w:rsidRDefault="00CB430B" w:rsidP="00CB430B">
                <w:pPr>
                  <w:spacing w:after="0" w:line="240" w:lineRule="auto"/>
                  <w:jc w:val="center"/>
                  <w:rPr>
                    <w:rFonts w:ascii="Times New Roman" w:eastAsia="Times New Roman" w:hAnsi="Times New Roman"/>
                    <w:b/>
                    <w:bCs/>
                    <w:color w:val="000000"/>
                    <w:sz w:val="16"/>
                    <w:szCs w:val="16"/>
                    <w:lang w:eastAsia="es-CO"/>
                  </w:rPr>
                </w:pPr>
                <w:r w:rsidRPr="00CB430B">
                  <w:rPr>
                    <w:rFonts w:ascii="Times New Roman" w:eastAsia="Times New Roman" w:hAnsi="Times New Roman"/>
                    <w:b/>
                    <w:bCs/>
                    <w:color w:val="000000"/>
                    <w:sz w:val="16"/>
                    <w:szCs w:val="16"/>
                    <w:lang w:eastAsia="es-CO"/>
                  </w:rPr>
                  <w:t>(Vr Inter_Recib)</w:t>
                </w:r>
              </w:p>
            </w:tc>
            <w:tc>
              <w:tcPr>
                <w:tcW w:w="579" w:type="pct"/>
                <w:vMerge/>
                <w:tcBorders>
                  <w:top w:val="nil"/>
                  <w:left w:val="single" w:sz="8" w:space="0" w:color="808080"/>
                  <w:bottom w:val="single" w:sz="8" w:space="0" w:color="808080"/>
                  <w:right w:val="single" w:sz="8" w:space="0" w:color="808080"/>
                </w:tcBorders>
                <w:vAlign w:val="center"/>
                <w:hideMark/>
              </w:tcPr>
              <w:p w14:paraId="2A6A2EA5" w14:textId="77777777" w:rsidR="00CB430B" w:rsidRPr="00CB430B" w:rsidRDefault="00CB430B" w:rsidP="00CB430B">
                <w:pPr>
                  <w:spacing w:after="0" w:line="240" w:lineRule="auto"/>
                  <w:rPr>
                    <w:rFonts w:ascii="Times New Roman" w:eastAsia="Times New Roman" w:hAnsi="Times New Roman"/>
                    <w:b/>
                    <w:bCs/>
                    <w:color w:val="000000"/>
                    <w:sz w:val="16"/>
                    <w:szCs w:val="16"/>
                    <w:lang w:eastAsia="es-CO"/>
                  </w:rPr>
                </w:pPr>
              </w:p>
            </w:tc>
          </w:tr>
          <w:tr w:rsidR="00CB430B" w:rsidRPr="00CB430B" w14:paraId="23458334" w14:textId="77777777" w:rsidTr="00CB430B">
            <w:trPr>
              <w:trHeight w:val="340"/>
            </w:trPr>
            <w:tc>
              <w:tcPr>
                <w:tcW w:w="579" w:type="pct"/>
                <w:tcBorders>
                  <w:top w:val="nil"/>
                  <w:left w:val="single" w:sz="8" w:space="0" w:color="808080"/>
                  <w:bottom w:val="single" w:sz="8" w:space="0" w:color="808080"/>
                  <w:right w:val="single" w:sz="8" w:space="0" w:color="808080"/>
                </w:tcBorders>
                <w:shd w:val="clear" w:color="auto" w:fill="auto"/>
                <w:noWrap/>
                <w:vAlign w:val="center"/>
                <w:hideMark/>
              </w:tcPr>
              <w:p w14:paraId="0B5F78B7" w14:textId="77777777" w:rsidR="00CB430B" w:rsidRPr="00CB430B" w:rsidRDefault="00CB430B" w:rsidP="00CB430B">
                <w:pPr>
                  <w:spacing w:after="0" w:line="240" w:lineRule="auto"/>
                  <w:rPr>
                    <w:rFonts w:ascii="Times New Roman" w:eastAsia="Times New Roman" w:hAnsi="Times New Roman"/>
                    <w:b/>
                    <w:bCs/>
                    <w:color w:val="000000"/>
                    <w:sz w:val="16"/>
                    <w:szCs w:val="16"/>
                    <w:lang w:eastAsia="es-CO"/>
                  </w:rPr>
                </w:pPr>
                <w:r w:rsidRPr="00CB430B">
                  <w:rPr>
                    <w:rFonts w:ascii="Times New Roman" w:eastAsia="Times New Roman" w:hAnsi="Times New Roman"/>
                    <w:b/>
                    <w:bCs/>
                    <w:color w:val="000000"/>
                    <w:sz w:val="16"/>
                    <w:szCs w:val="16"/>
                    <w:lang w:eastAsia="es-CO"/>
                  </w:rPr>
                  <w:t>1.1.10</w:t>
                </w:r>
              </w:p>
            </w:tc>
            <w:tc>
              <w:tcPr>
                <w:tcW w:w="285" w:type="pct"/>
                <w:tcBorders>
                  <w:top w:val="nil"/>
                  <w:left w:val="nil"/>
                  <w:bottom w:val="single" w:sz="8" w:space="0" w:color="808080"/>
                  <w:right w:val="single" w:sz="8" w:space="0" w:color="808080"/>
                </w:tcBorders>
                <w:shd w:val="clear" w:color="auto" w:fill="auto"/>
                <w:noWrap/>
                <w:vAlign w:val="center"/>
                <w:hideMark/>
              </w:tcPr>
              <w:p w14:paraId="68A6C5E4" w14:textId="77777777" w:rsidR="00CB430B" w:rsidRPr="00CB430B" w:rsidRDefault="00CB430B" w:rsidP="00CB430B">
                <w:pPr>
                  <w:spacing w:after="0" w:line="240" w:lineRule="auto"/>
                  <w:jc w:val="center"/>
                  <w:rPr>
                    <w:rFonts w:ascii="Times New Roman" w:eastAsia="Times New Roman" w:hAnsi="Times New Roman"/>
                    <w:b/>
                    <w:bCs/>
                    <w:color w:val="000000"/>
                    <w:sz w:val="16"/>
                    <w:szCs w:val="16"/>
                    <w:lang w:eastAsia="es-CO"/>
                  </w:rPr>
                </w:pPr>
                <w:r w:rsidRPr="00CB430B">
                  <w:rPr>
                    <w:rFonts w:ascii="Times New Roman" w:eastAsia="Times New Roman" w:hAnsi="Times New Roman"/>
                    <w:b/>
                    <w:bCs/>
                    <w:color w:val="000000"/>
                    <w:sz w:val="16"/>
                    <w:szCs w:val="16"/>
                    <w:lang w:eastAsia="es-CO"/>
                  </w:rPr>
                  <w:t>Db</w:t>
                </w:r>
              </w:p>
            </w:tc>
            <w:tc>
              <w:tcPr>
                <w:tcW w:w="871" w:type="pct"/>
                <w:tcBorders>
                  <w:top w:val="nil"/>
                  <w:left w:val="nil"/>
                  <w:bottom w:val="single" w:sz="8" w:space="0" w:color="808080"/>
                  <w:right w:val="single" w:sz="8" w:space="0" w:color="808080"/>
                </w:tcBorders>
                <w:shd w:val="clear" w:color="auto" w:fill="auto"/>
                <w:vAlign w:val="center"/>
                <w:hideMark/>
              </w:tcPr>
              <w:p w14:paraId="6102AB9F" w14:textId="77777777" w:rsidR="00CB430B" w:rsidRPr="00CB430B" w:rsidRDefault="00CB430B" w:rsidP="00CB430B">
                <w:pPr>
                  <w:spacing w:after="0" w:line="240" w:lineRule="auto"/>
                  <w:rPr>
                    <w:rFonts w:ascii="Times New Roman" w:eastAsia="Times New Roman" w:hAnsi="Times New Roman"/>
                    <w:b/>
                    <w:bCs/>
                    <w:color w:val="000000"/>
                    <w:sz w:val="16"/>
                    <w:szCs w:val="16"/>
                    <w:lang w:eastAsia="es-CO"/>
                  </w:rPr>
                </w:pPr>
                <w:r w:rsidRPr="00CB430B">
                  <w:rPr>
                    <w:rFonts w:ascii="Times New Roman" w:eastAsia="Times New Roman" w:hAnsi="Times New Roman"/>
                    <w:b/>
                    <w:bCs/>
                    <w:color w:val="000000"/>
                    <w:sz w:val="16"/>
                    <w:szCs w:val="16"/>
                    <w:lang w:eastAsia="es-CO"/>
                  </w:rPr>
                  <w:t>DEPÓSITOS EN INSTITUCIONES FINANCIERAS</w:t>
                </w:r>
              </w:p>
            </w:tc>
            <w:tc>
              <w:tcPr>
                <w:tcW w:w="730" w:type="pct"/>
                <w:tcBorders>
                  <w:top w:val="nil"/>
                  <w:left w:val="nil"/>
                  <w:bottom w:val="single" w:sz="8" w:space="0" w:color="808080"/>
                  <w:right w:val="single" w:sz="8" w:space="0" w:color="808080"/>
                </w:tcBorders>
                <w:shd w:val="clear" w:color="auto" w:fill="auto"/>
                <w:noWrap/>
                <w:vAlign w:val="center"/>
                <w:hideMark/>
              </w:tcPr>
              <w:p w14:paraId="3E7ECCE7" w14:textId="77777777" w:rsidR="00CB430B" w:rsidRPr="00CB430B" w:rsidRDefault="00CB430B" w:rsidP="00CB430B">
                <w:pPr>
                  <w:spacing w:after="0" w:line="240" w:lineRule="auto"/>
                  <w:jc w:val="right"/>
                  <w:rPr>
                    <w:rFonts w:ascii="Times New Roman" w:eastAsia="Times New Roman" w:hAnsi="Times New Roman"/>
                    <w:b/>
                    <w:bCs/>
                    <w:color w:val="000000"/>
                    <w:sz w:val="16"/>
                    <w:szCs w:val="16"/>
                    <w:lang w:eastAsia="es-CO"/>
                  </w:rPr>
                </w:pPr>
                <w:r w:rsidRPr="00CB430B">
                  <w:rPr>
                    <w:rFonts w:ascii="Times New Roman" w:eastAsia="Times New Roman" w:hAnsi="Times New Roman"/>
                    <w:b/>
                    <w:bCs/>
                    <w:color w:val="000000"/>
                    <w:sz w:val="16"/>
                    <w:szCs w:val="16"/>
                    <w:lang w:eastAsia="es-CO"/>
                  </w:rPr>
                  <w:t>667.764.713</w:t>
                </w:r>
              </w:p>
            </w:tc>
            <w:tc>
              <w:tcPr>
                <w:tcW w:w="578" w:type="pct"/>
                <w:tcBorders>
                  <w:top w:val="nil"/>
                  <w:left w:val="nil"/>
                  <w:bottom w:val="single" w:sz="8" w:space="0" w:color="808080"/>
                  <w:right w:val="single" w:sz="8" w:space="0" w:color="808080"/>
                </w:tcBorders>
                <w:shd w:val="clear" w:color="auto" w:fill="auto"/>
                <w:noWrap/>
                <w:vAlign w:val="center"/>
                <w:hideMark/>
              </w:tcPr>
              <w:p w14:paraId="2187811A" w14:textId="77777777" w:rsidR="00CB430B" w:rsidRPr="00CB430B" w:rsidRDefault="00CB430B" w:rsidP="00CB430B">
                <w:pPr>
                  <w:spacing w:after="0" w:line="240" w:lineRule="auto"/>
                  <w:jc w:val="right"/>
                  <w:rPr>
                    <w:rFonts w:ascii="Times New Roman" w:eastAsia="Times New Roman" w:hAnsi="Times New Roman"/>
                    <w:b/>
                    <w:bCs/>
                    <w:color w:val="000000"/>
                    <w:sz w:val="16"/>
                    <w:szCs w:val="16"/>
                    <w:lang w:eastAsia="es-CO"/>
                  </w:rPr>
                </w:pPr>
                <w:r w:rsidRPr="00CB430B">
                  <w:rPr>
                    <w:rFonts w:ascii="Times New Roman" w:eastAsia="Times New Roman" w:hAnsi="Times New Roman"/>
                    <w:b/>
                    <w:bCs/>
                    <w:color w:val="000000"/>
                    <w:sz w:val="16"/>
                    <w:szCs w:val="16"/>
                    <w:lang w:eastAsia="es-CO"/>
                  </w:rPr>
                  <w:t>592.019.939</w:t>
                </w:r>
              </w:p>
            </w:tc>
            <w:tc>
              <w:tcPr>
                <w:tcW w:w="604" w:type="pct"/>
                <w:tcBorders>
                  <w:top w:val="nil"/>
                  <w:left w:val="nil"/>
                  <w:bottom w:val="single" w:sz="8" w:space="0" w:color="808080"/>
                  <w:right w:val="single" w:sz="8" w:space="0" w:color="808080"/>
                </w:tcBorders>
                <w:shd w:val="clear" w:color="auto" w:fill="auto"/>
                <w:noWrap/>
                <w:vAlign w:val="center"/>
                <w:hideMark/>
              </w:tcPr>
              <w:p w14:paraId="66708B59" w14:textId="77777777" w:rsidR="00CB430B" w:rsidRPr="00CB430B" w:rsidRDefault="00CB430B" w:rsidP="00CB430B">
                <w:pPr>
                  <w:spacing w:after="0" w:line="240" w:lineRule="auto"/>
                  <w:jc w:val="right"/>
                  <w:rPr>
                    <w:rFonts w:ascii="Times New Roman" w:eastAsia="Times New Roman" w:hAnsi="Times New Roman"/>
                    <w:b/>
                    <w:bCs/>
                    <w:color w:val="000000"/>
                    <w:sz w:val="16"/>
                    <w:szCs w:val="16"/>
                    <w:lang w:eastAsia="es-CO"/>
                  </w:rPr>
                </w:pPr>
                <w:r w:rsidRPr="00CB430B">
                  <w:rPr>
                    <w:rFonts w:ascii="Times New Roman" w:eastAsia="Times New Roman" w:hAnsi="Times New Roman"/>
                    <w:b/>
                    <w:bCs/>
                    <w:color w:val="000000"/>
                    <w:sz w:val="16"/>
                    <w:szCs w:val="16"/>
                    <w:lang w:eastAsia="es-CO"/>
                  </w:rPr>
                  <w:t>75.744.775</w:t>
                </w:r>
              </w:p>
            </w:tc>
            <w:tc>
              <w:tcPr>
                <w:tcW w:w="773" w:type="pct"/>
                <w:tcBorders>
                  <w:top w:val="nil"/>
                  <w:left w:val="nil"/>
                  <w:bottom w:val="single" w:sz="8" w:space="0" w:color="808080"/>
                  <w:right w:val="single" w:sz="8" w:space="0" w:color="808080"/>
                </w:tcBorders>
                <w:shd w:val="clear" w:color="auto" w:fill="auto"/>
                <w:noWrap/>
                <w:vAlign w:val="center"/>
                <w:hideMark/>
              </w:tcPr>
              <w:p w14:paraId="069ECB6C" w14:textId="77777777" w:rsidR="00CB430B" w:rsidRPr="00CB430B" w:rsidRDefault="00CB430B" w:rsidP="00CB430B">
                <w:pPr>
                  <w:spacing w:after="0" w:line="240" w:lineRule="auto"/>
                  <w:jc w:val="right"/>
                  <w:rPr>
                    <w:rFonts w:ascii="Times New Roman" w:eastAsia="Times New Roman" w:hAnsi="Times New Roman"/>
                    <w:b/>
                    <w:bCs/>
                    <w:color w:val="000000"/>
                    <w:sz w:val="16"/>
                    <w:szCs w:val="16"/>
                    <w:lang w:eastAsia="es-CO"/>
                  </w:rPr>
                </w:pPr>
                <w:r w:rsidRPr="00CB430B">
                  <w:rPr>
                    <w:rFonts w:ascii="Times New Roman" w:eastAsia="Times New Roman" w:hAnsi="Times New Roman"/>
                    <w:b/>
                    <w:bCs/>
                    <w:color w:val="000000"/>
                    <w:sz w:val="16"/>
                    <w:szCs w:val="16"/>
                    <w:lang w:eastAsia="es-CO"/>
                  </w:rPr>
                  <w:t>21.819.957</w:t>
                </w:r>
              </w:p>
            </w:tc>
            <w:tc>
              <w:tcPr>
                <w:tcW w:w="579" w:type="pct"/>
                <w:tcBorders>
                  <w:top w:val="nil"/>
                  <w:left w:val="nil"/>
                  <w:bottom w:val="single" w:sz="8" w:space="0" w:color="808080"/>
                  <w:right w:val="single" w:sz="8" w:space="0" w:color="808080"/>
                </w:tcBorders>
                <w:shd w:val="clear" w:color="auto" w:fill="auto"/>
                <w:noWrap/>
                <w:vAlign w:val="center"/>
                <w:hideMark/>
              </w:tcPr>
              <w:p w14:paraId="14EEABE7" w14:textId="77777777" w:rsidR="00CB430B" w:rsidRPr="00CB430B" w:rsidRDefault="00CB430B" w:rsidP="00CB430B">
                <w:pPr>
                  <w:spacing w:after="0" w:line="240" w:lineRule="auto"/>
                  <w:jc w:val="center"/>
                  <w:rPr>
                    <w:rFonts w:ascii="Times New Roman" w:eastAsia="Times New Roman" w:hAnsi="Times New Roman"/>
                    <w:color w:val="000000"/>
                    <w:sz w:val="16"/>
                    <w:szCs w:val="16"/>
                    <w:lang w:eastAsia="es-CO"/>
                  </w:rPr>
                </w:pPr>
                <w:r w:rsidRPr="00CB430B">
                  <w:rPr>
                    <w:rFonts w:ascii="Times New Roman" w:eastAsia="Times New Roman" w:hAnsi="Times New Roman"/>
                    <w:color w:val="000000"/>
                    <w:sz w:val="16"/>
                    <w:szCs w:val="16"/>
                    <w:lang w:eastAsia="es-CO"/>
                  </w:rPr>
                  <w:t>1%</w:t>
                </w:r>
              </w:p>
            </w:tc>
          </w:tr>
          <w:tr w:rsidR="00CB430B" w:rsidRPr="00CB430B" w14:paraId="675AA951" w14:textId="77777777" w:rsidTr="00CB430B">
            <w:trPr>
              <w:trHeight w:val="340"/>
            </w:trPr>
            <w:tc>
              <w:tcPr>
                <w:tcW w:w="579" w:type="pct"/>
                <w:tcBorders>
                  <w:top w:val="nil"/>
                  <w:left w:val="single" w:sz="8" w:space="0" w:color="808080"/>
                  <w:bottom w:val="single" w:sz="8" w:space="0" w:color="808080"/>
                  <w:right w:val="single" w:sz="8" w:space="0" w:color="808080"/>
                </w:tcBorders>
                <w:shd w:val="clear" w:color="auto" w:fill="auto"/>
                <w:noWrap/>
                <w:vAlign w:val="center"/>
                <w:hideMark/>
              </w:tcPr>
              <w:p w14:paraId="3CC723E7" w14:textId="77777777" w:rsidR="00CB430B" w:rsidRPr="00CB430B" w:rsidRDefault="00CB430B" w:rsidP="00CB430B">
                <w:pPr>
                  <w:spacing w:after="0" w:line="240" w:lineRule="auto"/>
                  <w:rPr>
                    <w:rFonts w:ascii="Times New Roman" w:eastAsia="Times New Roman" w:hAnsi="Times New Roman"/>
                    <w:color w:val="000000"/>
                    <w:sz w:val="16"/>
                    <w:szCs w:val="16"/>
                    <w:lang w:eastAsia="es-CO"/>
                  </w:rPr>
                </w:pPr>
                <w:r w:rsidRPr="00CB430B">
                  <w:rPr>
                    <w:rFonts w:ascii="Times New Roman" w:eastAsia="Times New Roman" w:hAnsi="Times New Roman"/>
                    <w:color w:val="000000"/>
                    <w:sz w:val="16"/>
                    <w:szCs w:val="16"/>
                    <w:lang w:eastAsia="es-CO"/>
                  </w:rPr>
                  <w:t>1.1.10.05</w:t>
                </w:r>
              </w:p>
            </w:tc>
            <w:tc>
              <w:tcPr>
                <w:tcW w:w="285" w:type="pct"/>
                <w:tcBorders>
                  <w:top w:val="nil"/>
                  <w:left w:val="nil"/>
                  <w:bottom w:val="single" w:sz="8" w:space="0" w:color="808080"/>
                  <w:right w:val="single" w:sz="8" w:space="0" w:color="808080"/>
                </w:tcBorders>
                <w:shd w:val="clear" w:color="auto" w:fill="auto"/>
                <w:noWrap/>
                <w:vAlign w:val="center"/>
                <w:hideMark/>
              </w:tcPr>
              <w:p w14:paraId="3EB92FBB" w14:textId="77777777" w:rsidR="00CB430B" w:rsidRPr="00CB430B" w:rsidRDefault="00CB430B" w:rsidP="00CB430B">
                <w:pPr>
                  <w:spacing w:after="0" w:line="240" w:lineRule="auto"/>
                  <w:jc w:val="center"/>
                  <w:rPr>
                    <w:rFonts w:ascii="Times New Roman" w:eastAsia="Times New Roman" w:hAnsi="Times New Roman"/>
                    <w:color w:val="000000"/>
                    <w:sz w:val="16"/>
                    <w:szCs w:val="16"/>
                    <w:lang w:eastAsia="es-CO"/>
                  </w:rPr>
                </w:pPr>
                <w:r w:rsidRPr="00CB430B">
                  <w:rPr>
                    <w:rFonts w:ascii="Times New Roman" w:eastAsia="Times New Roman" w:hAnsi="Times New Roman"/>
                    <w:color w:val="000000"/>
                    <w:sz w:val="16"/>
                    <w:szCs w:val="16"/>
                    <w:lang w:eastAsia="es-CO"/>
                  </w:rPr>
                  <w:t>Db</w:t>
                </w:r>
              </w:p>
            </w:tc>
            <w:tc>
              <w:tcPr>
                <w:tcW w:w="871" w:type="pct"/>
                <w:tcBorders>
                  <w:top w:val="nil"/>
                  <w:left w:val="nil"/>
                  <w:bottom w:val="single" w:sz="8" w:space="0" w:color="808080"/>
                  <w:right w:val="single" w:sz="8" w:space="0" w:color="808080"/>
                </w:tcBorders>
                <w:shd w:val="clear" w:color="auto" w:fill="auto"/>
                <w:vAlign w:val="center"/>
                <w:hideMark/>
              </w:tcPr>
              <w:p w14:paraId="6168F877" w14:textId="77777777" w:rsidR="00CB430B" w:rsidRPr="00CB430B" w:rsidRDefault="00CB430B" w:rsidP="00CB430B">
                <w:pPr>
                  <w:spacing w:after="0" w:line="240" w:lineRule="auto"/>
                  <w:rPr>
                    <w:rFonts w:ascii="Times New Roman" w:eastAsia="Times New Roman" w:hAnsi="Times New Roman"/>
                    <w:color w:val="000000"/>
                    <w:sz w:val="16"/>
                    <w:szCs w:val="16"/>
                    <w:lang w:eastAsia="es-CO"/>
                  </w:rPr>
                </w:pPr>
                <w:r w:rsidRPr="00CB430B">
                  <w:rPr>
                    <w:rFonts w:ascii="Times New Roman" w:eastAsia="Times New Roman" w:hAnsi="Times New Roman"/>
                    <w:color w:val="000000"/>
                    <w:sz w:val="16"/>
                    <w:szCs w:val="16"/>
                    <w:lang w:eastAsia="es-CO"/>
                  </w:rPr>
                  <w:t>Cuenta corriente</w:t>
                </w:r>
              </w:p>
            </w:tc>
            <w:tc>
              <w:tcPr>
                <w:tcW w:w="730" w:type="pct"/>
                <w:tcBorders>
                  <w:top w:val="nil"/>
                  <w:left w:val="nil"/>
                  <w:bottom w:val="single" w:sz="8" w:space="0" w:color="808080"/>
                  <w:right w:val="single" w:sz="8" w:space="0" w:color="808080"/>
                </w:tcBorders>
                <w:shd w:val="clear" w:color="auto" w:fill="auto"/>
                <w:noWrap/>
                <w:vAlign w:val="center"/>
                <w:hideMark/>
              </w:tcPr>
              <w:p w14:paraId="1310DDC7" w14:textId="5DA617C9" w:rsidR="00CB430B" w:rsidRPr="00CB430B" w:rsidRDefault="00CB430B" w:rsidP="00CB430B">
                <w:pPr>
                  <w:spacing w:after="0" w:line="240" w:lineRule="auto"/>
                  <w:jc w:val="right"/>
                  <w:rPr>
                    <w:rFonts w:ascii="Times New Roman" w:eastAsia="Times New Roman" w:hAnsi="Times New Roman"/>
                    <w:color w:val="000000"/>
                    <w:sz w:val="16"/>
                    <w:szCs w:val="16"/>
                    <w:lang w:eastAsia="es-CO"/>
                  </w:rPr>
                </w:pPr>
                <w:r w:rsidRPr="00CB430B">
                  <w:rPr>
                    <w:rFonts w:ascii="Times New Roman" w:eastAsia="Times New Roman" w:hAnsi="Times New Roman"/>
                    <w:color w:val="000000"/>
                    <w:sz w:val="16"/>
                    <w:szCs w:val="16"/>
                    <w:lang w:eastAsia="es-CO"/>
                  </w:rPr>
                  <w:t>292.135.86</w:t>
                </w:r>
                <w:r w:rsidR="004E5925">
                  <w:rPr>
                    <w:rFonts w:ascii="Times New Roman" w:eastAsia="Times New Roman" w:hAnsi="Times New Roman"/>
                    <w:color w:val="000000"/>
                    <w:sz w:val="16"/>
                    <w:szCs w:val="16"/>
                    <w:lang w:eastAsia="es-CO"/>
                  </w:rPr>
                  <w:t>8</w:t>
                </w:r>
              </w:p>
            </w:tc>
            <w:tc>
              <w:tcPr>
                <w:tcW w:w="578" w:type="pct"/>
                <w:tcBorders>
                  <w:top w:val="nil"/>
                  <w:left w:val="nil"/>
                  <w:bottom w:val="single" w:sz="8" w:space="0" w:color="808080"/>
                  <w:right w:val="single" w:sz="8" w:space="0" w:color="808080"/>
                </w:tcBorders>
                <w:shd w:val="clear" w:color="auto" w:fill="auto"/>
                <w:noWrap/>
                <w:vAlign w:val="center"/>
                <w:hideMark/>
              </w:tcPr>
              <w:p w14:paraId="0918C807" w14:textId="2D1C0CA5" w:rsidR="00CB430B" w:rsidRPr="00CB430B" w:rsidRDefault="00CB430B" w:rsidP="00CB430B">
                <w:pPr>
                  <w:spacing w:after="0" w:line="240" w:lineRule="auto"/>
                  <w:jc w:val="right"/>
                  <w:rPr>
                    <w:rFonts w:ascii="Times New Roman" w:eastAsia="Times New Roman" w:hAnsi="Times New Roman"/>
                    <w:color w:val="000000"/>
                    <w:sz w:val="16"/>
                    <w:szCs w:val="16"/>
                    <w:lang w:eastAsia="es-CO"/>
                  </w:rPr>
                </w:pPr>
                <w:r w:rsidRPr="00CB430B">
                  <w:rPr>
                    <w:rFonts w:ascii="Times New Roman" w:eastAsia="Times New Roman" w:hAnsi="Times New Roman"/>
                    <w:color w:val="000000"/>
                    <w:sz w:val="16"/>
                    <w:szCs w:val="16"/>
                    <w:lang w:eastAsia="es-CO"/>
                  </w:rPr>
                  <w:t>295.522.10</w:t>
                </w:r>
                <w:r w:rsidR="004E5925">
                  <w:rPr>
                    <w:rFonts w:ascii="Times New Roman" w:eastAsia="Times New Roman" w:hAnsi="Times New Roman"/>
                    <w:color w:val="000000"/>
                    <w:sz w:val="16"/>
                    <w:szCs w:val="16"/>
                    <w:lang w:eastAsia="es-CO"/>
                  </w:rPr>
                  <w:t>8</w:t>
                </w:r>
              </w:p>
            </w:tc>
            <w:tc>
              <w:tcPr>
                <w:tcW w:w="604" w:type="pct"/>
                <w:tcBorders>
                  <w:top w:val="nil"/>
                  <w:left w:val="nil"/>
                  <w:bottom w:val="single" w:sz="8" w:space="0" w:color="808080"/>
                  <w:right w:val="single" w:sz="8" w:space="0" w:color="808080"/>
                </w:tcBorders>
                <w:shd w:val="clear" w:color="auto" w:fill="auto"/>
                <w:noWrap/>
                <w:vAlign w:val="center"/>
                <w:hideMark/>
              </w:tcPr>
              <w:p w14:paraId="16BE78E1" w14:textId="77777777" w:rsidR="00CB430B" w:rsidRPr="00CB430B" w:rsidRDefault="00CB430B" w:rsidP="00CB430B">
                <w:pPr>
                  <w:spacing w:after="0" w:line="240" w:lineRule="auto"/>
                  <w:jc w:val="right"/>
                  <w:rPr>
                    <w:rFonts w:ascii="Times New Roman" w:eastAsia="Times New Roman" w:hAnsi="Times New Roman"/>
                    <w:color w:val="000000"/>
                    <w:sz w:val="16"/>
                    <w:szCs w:val="16"/>
                    <w:lang w:eastAsia="es-CO"/>
                  </w:rPr>
                </w:pPr>
                <w:r w:rsidRPr="00CB430B">
                  <w:rPr>
                    <w:rFonts w:ascii="Times New Roman" w:eastAsia="Times New Roman" w:hAnsi="Times New Roman"/>
                    <w:color w:val="000000"/>
                    <w:sz w:val="16"/>
                    <w:szCs w:val="16"/>
                    <w:lang w:eastAsia="es-CO"/>
                  </w:rPr>
                  <w:t>-3.386.239</w:t>
                </w:r>
              </w:p>
            </w:tc>
            <w:tc>
              <w:tcPr>
                <w:tcW w:w="773" w:type="pct"/>
                <w:tcBorders>
                  <w:top w:val="nil"/>
                  <w:left w:val="nil"/>
                  <w:bottom w:val="single" w:sz="8" w:space="0" w:color="808080"/>
                  <w:right w:val="single" w:sz="8" w:space="0" w:color="808080"/>
                </w:tcBorders>
                <w:shd w:val="clear" w:color="auto" w:fill="auto"/>
                <w:noWrap/>
                <w:vAlign w:val="center"/>
                <w:hideMark/>
              </w:tcPr>
              <w:p w14:paraId="24301C64" w14:textId="77777777" w:rsidR="00CB430B" w:rsidRPr="00CB430B" w:rsidRDefault="00CB430B" w:rsidP="00CB430B">
                <w:pPr>
                  <w:spacing w:after="0" w:line="240" w:lineRule="auto"/>
                  <w:jc w:val="right"/>
                  <w:rPr>
                    <w:rFonts w:ascii="Times New Roman" w:eastAsia="Times New Roman" w:hAnsi="Times New Roman"/>
                    <w:color w:val="000000"/>
                    <w:sz w:val="16"/>
                    <w:szCs w:val="16"/>
                    <w:lang w:eastAsia="es-CO"/>
                  </w:rPr>
                </w:pPr>
                <w:r w:rsidRPr="00CB430B">
                  <w:rPr>
                    <w:rFonts w:ascii="Times New Roman" w:eastAsia="Times New Roman" w:hAnsi="Times New Roman"/>
                    <w:color w:val="000000"/>
                    <w:sz w:val="16"/>
                    <w:szCs w:val="16"/>
                    <w:lang w:eastAsia="es-CO"/>
                  </w:rPr>
                  <w:t>0</w:t>
                </w:r>
              </w:p>
            </w:tc>
            <w:tc>
              <w:tcPr>
                <w:tcW w:w="579" w:type="pct"/>
                <w:tcBorders>
                  <w:top w:val="nil"/>
                  <w:left w:val="nil"/>
                  <w:bottom w:val="single" w:sz="8" w:space="0" w:color="808080"/>
                  <w:right w:val="single" w:sz="8" w:space="0" w:color="808080"/>
                </w:tcBorders>
                <w:shd w:val="clear" w:color="auto" w:fill="auto"/>
                <w:noWrap/>
                <w:vAlign w:val="center"/>
                <w:hideMark/>
              </w:tcPr>
              <w:p w14:paraId="64BDFB32" w14:textId="77777777" w:rsidR="00CB430B" w:rsidRPr="00CB430B" w:rsidRDefault="00CB430B" w:rsidP="00CB430B">
                <w:pPr>
                  <w:spacing w:after="0" w:line="240" w:lineRule="auto"/>
                  <w:jc w:val="center"/>
                  <w:rPr>
                    <w:rFonts w:ascii="Times New Roman" w:eastAsia="Times New Roman" w:hAnsi="Times New Roman"/>
                    <w:color w:val="000000"/>
                    <w:sz w:val="16"/>
                    <w:szCs w:val="16"/>
                    <w:lang w:eastAsia="es-CO"/>
                  </w:rPr>
                </w:pPr>
                <w:r w:rsidRPr="00CB430B">
                  <w:rPr>
                    <w:rFonts w:ascii="Times New Roman" w:eastAsia="Times New Roman" w:hAnsi="Times New Roman"/>
                    <w:color w:val="000000"/>
                    <w:sz w:val="16"/>
                    <w:szCs w:val="16"/>
                    <w:lang w:eastAsia="es-CO"/>
                  </w:rPr>
                  <w:t>N/A</w:t>
                </w:r>
              </w:p>
            </w:tc>
          </w:tr>
          <w:tr w:rsidR="00CB430B" w:rsidRPr="00CB430B" w14:paraId="538769A4" w14:textId="77777777" w:rsidTr="00CB430B">
            <w:trPr>
              <w:trHeight w:val="340"/>
            </w:trPr>
            <w:tc>
              <w:tcPr>
                <w:tcW w:w="579" w:type="pct"/>
                <w:tcBorders>
                  <w:top w:val="nil"/>
                  <w:left w:val="single" w:sz="8" w:space="0" w:color="808080"/>
                  <w:bottom w:val="single" w:sz="8" w:space="0" w:color="808080"/>
                  <w:right w:val="single" w:sz="8" w:space="0" w:color="808080"/>
                </w:tcBorders>
                <w:shd w:val="clear" w:color="auto" w:fill="auto"/>
                <w:noWrap/>
                <w:vAlign w:val="center"/>
                <w:hideMark/>
              </w:tcPr>
              <w:p w14:paraId="1C1E87CE" w14:textId="77777777" w:rsidR="00CB430B" w:rsidRPr="00CB430B" w:rsidRDefault="00CB430B" w:rsidP="00CB430B">
                <w:pPr>
                  <w:spacing w:after="0" w:line="240" w:lineRule="auto"/>
                  <w:rPr>
                    <w:rFonts w:ascii="Times New Roman" w:eastAsia="Times New Roman" w:hAnsi="Times New Roman"/>
                    <w:color w:val="000000"/>
                    <w:sz w:val="16"/>
                    <w:szCs w:val="16"/>
                    <w:lang w:eastAsia="es-CO"/>
                  </w:rPr>
                </w:pPr>
                <w:r w:rsidRPr="00CB430B">
                  <w:rPr>
                    <w:rFonts w:ascii="Times New Roman" w:eastAsia="Times New Roman" w:hAnsi="Times New Roman"/>
                    <w:color w:val="000000"/>
                    <w:sz w:val="16"/>
                    <w:szCs w:val="16"/>
                    <w:lang w:eastAsia="es-CO"/>
                  </w:rPr>
                  <w:t>1.1.10.06</w:t>
                </w:r>
              </w:p>
            </w:tc>
            <w:tc>
              <w:tcPr>
                <w:tcW w:w="285" w:type="pct"/>
                <w:tcBorders>
                  <w:top w:val="nil"/>
                  <w:left w:val="nil"/>
                  <w:bottom w:val="single" w:sz="8" w:space="0" w:color="808080"/>
                  <w:right w:val="single" w:sz="8" w:space="0" w:color="808080"/>
                </w:tcBorders>
                <w:shd w:val="clear" w:color="auto" w:fill="auto"/>
                <w:noWrap/>
                <w:vAlign w:val="center"/>
                <w:hideMark/>
              </w:tcPr>
              <w:p w14:paraId="5A4CBB95" w14:textId="77777777" w:rsidR="00CB430B" w:rsidRPr="00CB430B" w:rsidRDefault="00CB430B" w:rsidP="00CB430B">
                <w:pPr>
                  <w:spacing w:after="0" w:line="240" w:lineRule="auto"/>
                  <w:jc w:val="center"/>
                  <w:rPr>
                    <w:rFonts w:ascii="Times New Roman" w:eastAsia="Times New Roman" w:hAnsi="Times New Roman"/>
                    <w:color w:val="000000"/>
                    <w:sz w:val="16"/>
                    <w:szCs w:val="16"/>
                    <w:lang w:eastAsia="es-CO"/>
                  </w:rPr>
                </w:pPr>
                <w:r w:rsidRPr="00CB430B">
                  <w:rPr>
                    <w:rFonts w:ascii="Times New Roman" w:eastAsia="Times New Roman" w:hAnsi="Times New Roman"/>
                    <w:color w:val="000000"/>
                    <w:sz w:val="16"/>
                    <w:szCs w:val="16"/>
                    <w:lang w:eastAsia="es-CO"/>
                  </w:rPr>
                  <w:t>Db</w:t>
                </w:r>
              </w:p>
            </w:tc>
            <w:tc>
              <w:tcPr>
                <w:tcW w:w="871" w:type="pct"/>
                <w:tcBorders>
                  <w:top w:val="nil"/>
                  <w:left w:val="nil"/>
                  <w:bottom w:val="single" w:sz="8" w:space="0" w:color="808080"/>
                  <w:right w:val="single" w:sz="8" w:space="0" w:color="808080"/>
                </w:tcBorders>
                <w:shd w:val="clear" w:color="auto" w:fill="auto"/>
                <w:vAlign w:val="center"/>
                <w:hideMark/>
              </w:tcPr>
              <w:p w14:paraId="4CC5237C" w14:textId="77777777" w:rsidR="00CB430B" w:rsidRPr="00CB430B" w:rsidRDefault="00CB430B" w:rsidP="00CB430B">
                <w:pPr>
                  <w:spacing w:after="0" w:line="240" w:lineRule="auto"/>
                  <w:rPr>
                    <w:rFonts w:ascii="Times New Roman" w:eastAsia="Times New Roman" w:hAnsi="Times New Roman"/>
                    <w:color w:val="000000"/>
                    <w:sz w:val="16"/>
                    <w:szCs w:val="16"/>
                    <w:lang w:eastAsia="es-CO"/>
                  </w:rPr>
                </w:pPr>
                <w:r w:rsidRPr="00CB430B">
                  <w:rPr>
                    <w:rFonts w:ascii="Times New Roman" w:eastAsia="Times New Roman" w:hAnsi="Times New Roman"/>
                    <w:color w:val="000000"/>
                    <w:sz w:val="16"/>
                    <w:szCs w:val="16"/>
                    <w:lang w:eastAsia="es-CO"/>
                  </w:rPr>
                  <w:t>Cuenta de ahorro</w:t>
                </w:r>
              </w:p>
            </w:tc>
            <w:tc>
              <w:tcPr>
                <w:tcW w:w="730" w:type="pct"/>
                <w:tcBorders>
                  <w:top w:val="nil"/>
                  <w:left w:val="nil"/>
                  <w:bottom w:val="single" w:sz="8" w:space="0" w:color="808080"/>
                  <w:right w:val="single" w:sz="8" w:space="0" w:color="808080"/>
                </w:tcBorders>
                <w:shd w:val="clear" w:color="auto" w:fill="auto"/>
                <w:noWrap/>
                <w:vAlign w:val="center"/>
                <w:hideMark/>
              </w:tcPr>
              <w:p w14:paraId="41EF3C84" w14:textId="77777777" w:rsidR="00CB430B" w:rsidRPr="00CB430B" w:rsidRDefault="00CB430B" w:rsidP="00CB430B">
                <w:pPr>
                  <w:spacing w:after="0" w:line="240" w:lineRule="auto"/>
                  <w:jc w:val="right"/>
                  <w:rPr>
                    <w:rFonts w:ascii="Times New Roman" w:eastAsia="Times New Roman" w:hAnsi="Times New Roman"/>
                    <w:color w:val="000000"/>
                    <w:sz w:val="16"/>
                    <w:szCs w:val="16"/>
                    <w:lang w:eastAsia="es-CO"/>
                  </w:rPr>
                </w:pPr>
                <w:r w:rsidRPr="00CB430B">
                  <w:rPr>
                    <w:rFonts w:ascii="Times New Roman" w:eastAsia="Times New Roman" w:hAnsi="Times New Roman"/>
                    <w:color w:val="000000"/>
                    <w:sz w:val="16"/>
                    <w:szCs w:val="16"/>
                    <w:lang w:eastAsia="es-CO"/>
                  </w:rPr>
                  <w:t>375.628.845</w:t>
                </w:r>
              </w:p>
            </w:tc>
            <w:tc>
              <w:tcPr>
                <w:tcW w:w="578" w:type="pct"/>
                <w:tcBorders>
                  <w:top w:val="nil"/>
                  <w:left w:val="nil"/>
                  <w:bottom w:val="single" w:sz="8" w:space="0" w:color="808080"/>
                  <w:right w:val="single" w:sz="8" w:space="0" w:color="808080"/>
                </w:tcBorders>
                <w:shd w:val="clear" w:color="auto" w:fill="auto"/>
                <w:noWrap/>
                <w:vAlign w:val="center"/>
                <w:hideMark/>
              </w:tcPr>
              <w:p w14:paraId="11F16015" w14:textId="77777777" w:rsidR="00CB430B" w:rsidRPr="00CB430B" w:rsidRDefault="00CB430B" w:rsidP="00CB430B">
                <w:pPr>
                  <w:spacing w:after="0" w:line="240" w:lineRule="auto"/>
                  <w:jc w:val="right"/>
                  <w:rPr>
                    <w:rFonts w:ascii="Times New Roman" w:eastAsia="Times New Roman" w:hAnsi="Times New Roman"/>
                    <w:color w:val="000000"/>
                    <w:sz w:val="16"/>
                    <w:szCs w:val="16"/>
                    <w:lang w:eastAsia="es-CO"/>
                  </w:rPr>
                </w:pPr>
                <w:r w:rsidRPr="00CB430B">
                  <w:rPr>
                    <w:rFonts w:ascii="Times New Roman" w:eastAsia="Times New Roman" w:hAnsi="Times New Roman"/>
                    <w:color w:val="000000"/>
                    <w:sz w:val="16"/>
                    <w:szCs w:val="16"/>
                    <w:lang w:eastAsia="es-CO"/>
                  </w:rPr>
                  <w:t>296.497.831</w:t>
                </w:r>
              </w:p>
            </w:tc>
            <w:tc>
              <w:tcPr>
                <w:tcW w:w="604" w:type="pct"/>
                <w:tcBorders>
                  <w:top w:val="nil"/>
                  <w:left w:val="nil"/>
                  <w:bottom w:val="single" w:sz="8" w:space="0" w:color="808080"/>
                  <w:right w:val="single" w:sz="8" w:space="0" w:color="808080"/>
                </w:tcBorders>
                <w:shd w:val="clear" w:color="auto" w:fill="auto"/>
                <w:noWrap/>
                <w:vAlign w:val="center"/>
                <w:hideMark/>
              </w:tcPr>
              <w:p w14:paraId="73FFCE15" w14:textId="77777777" w:rsidR="00CB430B" w:rsidRPr="00CB430B" w:rsidRDefault="00CB430B" w:rsidP="00CB430B">
                <w:pPr>
                  <w:spacing w:after="0" w:line="240" w:lineRule="auto"/>
                  <w:jc w:val="right"/>
                  <w:rPr>
                    <w:rFonts w:ascii="Times New Roman" w:eastAsia="Times New Roman" w:hAnsi="Times New Roman"/>
                    <w:color w:val="000000"/>
                    <w:sz w:val="16"/>
                    <w:szCs w:val="16"/>
                    <w:lang w:eastAsia="es-CO"/>
                  </w:rPr>
                </w:pPr>
                <w:r w:rsidRPr="00CB430B">
                  <w:rPr>
                    <w:rFonts w:ascii="Times New Roman" w:eastAsia="Times New Roman" w:hAnsi="Times New Roman"/>
                    <w:color w:val="000000"/>
                    <w:sz w:val="16"/>
                    <w:szCs w:val="16"/>
                    <w:lang w:eastAsia="es-CO"/>
                  </w:rPr>
                  <w:t>79.131.014</w:t>
                </w:r>
              </w:p>
            </w:tc>
            <w:tc>
              <w:tcPr>
                <w:tcW w:w="773" w:type="pct"/>
                <w:tcBorders>
                  <w:top w:val="nil"/>
                  <w:left w:val="nil"/>
                  <w:bottom w:val="single" w:sz="8" w:space="0" w:color="808080"/>
                  <w:right w:val="single" w:sz="8" w:space="0" w:color="808080"/>
                </w:tcBorders>
                <w:shd w:val="clear" w:color="auto" w:fill="auto"/>
                <w:noWrap/>
                <w:vAlign w:val="center"/>
                <w:hideMark/>
              </w:tcPr>
              <w:p w14:paraId="3791EE45" w14:textId="77777777" w:rsidR="00CB430B" w:rsidRPr="00CB430B" w:rsidRDefault="00CB430B" w:rsidP="00CB430B">
                <w:pPr>
                  <w:spacing w:after="0" w:line="240" w:lineRule="auto"/>
                  <w:jc w:val="right"/>
                  <w:rPr>
                    <w:rFonts w:ascii="Times New Roman" w:eastAsia="Times New Roman" w:hAnsi="Times New Roman"/>
                    <w:color w:val="000000"/>
                    <w:sz w:val="16"/>
                    <w:szCs w:val="16"/>
                    <w:lang w:eastAsia="es-CO"/>
                  </w:rPr>
                </w:pPr>
                <w:r w:rsidRPr="00CB430B">
                  <w:rPr>
                    <w:rFonts w:ascii="Times New Roman" w:eastAsia="Times New Roman" w:hAnsi="Times New Roman"/>
                    <w:color w:val="000000"/>
                    <w:sz w:val="16"/>
                    <w:szCs w:val="16"/>
                    <w:lang w:eastAsia="es-CO"/>
                  </w:rPr>
                  <w:t>21.819.957</w:t>
                </w:r>
              </w:p>
            </w:tc>
            <w:tc>
              <w:tcPr>
                <w:tcW w:w="579" w:type="pct"/>
                <w:tcBorders>
                  <w:top w:val="nil"/>
                  <w:left w:val="nil"/>
                  <w:bottom w:val="single" w:sz="8" w:space="0" w:color="808080"/>
                  <w:right w:val="single" w:sz="8" w:space="0" w:color="808080"/>
                </w:tcBorders>
                <w:shd w:val="clear" w:color="auto" w:fill="auto"/>
                <w:noWrap/>
                <w:vAlign w:val="center"/>
                <w:hideMark/>
              </w:tcPr>
              <w:p w14:paraId="746EA39B" w14:textId="77777777" w:rsidR="00CB430B" w:rsidRPr="00CB430B" w:rsidRDefault="00CB430B" w:rsidP="00CB430B">
                <w:pPr>
                  <w:spacing w:after="0" w:line="240" w:lineRule="auto"/>
                  <w:jc w:val="center"/>
                  <w:rPr>
                    <w:rFonts w:ascii="Times New Roman" w:eastAsia="Times New Roman" w:hAnsi="Times New Roman"/>
                    <w:color w:val="000000"/>
                    <w:sz w:val="16"/>
                    <w:szCs w:val="16"/>
                    <w:lang w:eastAsia="es-CO"/>
                  </w:rPr>
                </w:pPr>
                <w:r w:rsidRPr="00CB430B">
                  <w:rPr>
                    <w:rFonts w:ascii="Times New Roman" w:eastAsia="Times New Roman" w:hAnsi="Times New Roman"/>
                    <w:color w:val="000000"/>
                    <w:sz w:val="16"/>
                    <w:szCs w:val="16"/>
                    <w:lang w:eastAsia="es-CO"/>
                  </w:rPr>
                  <w:t>1%</w:t>
                </w:r>
              </w:p>
            </w:tc>
          </w:tr>
        </w:tbl>
        <w:p w14:paraId="1CD1F2F6" w14:textId="35F41DA3" w:rsidR="003D48AA" w:rsidRPr="00931DCE" w:rsidRDefault="00AD2026" w:rsidP="003D48AA">
          <w:pPr>
            <w:spacing w:after="0" w:line="240" w:lineRule="auto"/>
            <w:jc w:val="both"/>
            <w:rPr>
              <w:rFonts w:ascii="Times New Roman" w:hAnsi="Times New Roman"/>
              <w:sz w:val="24"/>
              <w:szCs w:val="24"/>
            </w:rPr>
          </w:pPr>
          <w:r w:rsidRPr="00931DCE">
            <w:rPr>
              <w:rFonts w:ascii="Times New Roman" w:hAnsi="Times New Roman"/>
              <w:sz w:val="14"/>
              <w:szCs w:val="14"/>
            </w:rPr>
            <w:t>Cifras expresadas en pesos</w:t>
          </w:r>
        </w:p>
        <w:p w14:paraId="38A784DD" w14:textId="0DA0F45F" w:rsidR="007E66D0" w:rsidRPr="00931DCE" w:rsidRDefault="007E66D0" w:rsidP="007E66D0">
          <w:pPr>
            <w:spacing w:after="0" w:line="240" w:lineRule="auto"/>
            <w:jc w:val="both"/>
            <w:rPr>
              <w:rFonts w:ascii="Times New Roman" w:hAnsi="Times New Roman"/>
              <w:sz w:val="24"/>
              <w:szCs w:val="24"/>
            </w:rPr>
          </w:pPr>
        </w:p>
        <w:p w14:paraId="3D5CA867" w14:textId="342C5EC0" w:rsidR="00683EF1" w:rsidRPr="00931DCE" w:rsidRDefault="00683EF1" w:rsidP="00683EF1">
          <w:pPr>
            <w:spacing w:after="0" w:line="240" w:lineRule="auto"/>
            <w:jc w:val="both"/>
            <w:rPr>
              <w:rFonts w:ascii="Times New Roman" w:hAnsi="Times New Roman"/>
              <w:sz w:val="24"/>
              <w:szCs w:val="24"/>
            </w:rPr>
          </w:pPr>
          <w:r w:rsidRPr="00931DCE">
            <w:rPr>
              <w:rFonts w:ascii="Times New Roman" w:hAnsi="Times New Roman"/>
              <w:sz w:val="24"/>
              <w:szCs w:val="24"/>
            </w:rPr>
            <w:t>Cuenta corriente: Esta cuenta es de tipo pagadora, el Ministerio de Hacienda y Crédito Público realiza los traspasos a pagaduría a efectos de realizar los pagos por concepto de deducciones de nómina y retenciones de industria y comercio.  Por su naturaleza, este tipo de cuenta bancaria no genera rentabilidad y por consiguiente no aplica tasa promedio.</w:t>
          </w:r>
        </w:p>
        <w:p w14:paraId="72CB8B11" w14:textId="425E6807" w:rsidR="007E66D0" w:rsidRPr="00931DCE" w:rsidRDefault="007E66D0" w:rsidP="007E66D0">
          <w:pPr>
            <w:spacing w:after="0" w:line="240" w:lineRule="auto"/>
            <w:jc w:val="both"/>
            <w:rPr>
              <w:rFonts w:ascii="Times New Roman" w:hAnsi="Times New Roman"/>
              <w:sz w:val="24"/>
              <w:szCs w:val="24"/>
            </w:rPr>
          </w:pPr>
        </w:p>
        <w:p w14:paraId="2D99725F" w14:textId="0E217B30" w:rsidR="00683EF1" w:rsidRPr="009A46BB" w:rsidRDefault="00683EF1" w:rsidP="00516C40">
          <w:pPr>
            <w:pStyle w:val="Default"/>
            <w:jc w:val="both"/>
            <w:rPr>
              <w:rFonts w:ascii="Times New Roman" w:hAnsi="Times New Roman" w:cs="Times New Roman"/>
            </w:rPr>
          </w:pPr>
          <w:r w:rsidRPr="009A46BB">
            <w:rPr>
              <w:rFonts w:ascii="Times New Roman" w:hAnsi="Times New Roman" w:cs="Times New Roman"/>
            </w:rPr>
            <w:t xml:space="preserve">Cuenta de ahorros: Esta cuenta es de tipo recaudadora, en ella la Agencia recibe sus ingresos propios. </w:t>
          </w:r>
          <w:r w:rsidR="00F272B6" w:rsidRPr="009A46BB">
            <w:rPr>
              <w:rFonts w:ascii="Times New Roman" w:hAnsi="Times New Roman" w:cs="Times New Roman"/>
            </w:rPr>
            <w:t>D</w:t>
          </w:r>
          <w:r w:rsidR="00B42467" w:rsidRPr="009A46BB">
            <w:rPr>
              <w:rFonts w:ascii="Times New Roman" w:hAnsi="Times New Roman" w:cs="Times New Roman"/>
            </w:rPr>
            <w:t xml:space="preserve">esde esta cuenta </w:t>
          </w:r>
          <w:r w:rsidRPr="009A46BB">
            <w:rPr>
              <w:rFonts w:ascii="Times New Roman" w:hAnsi="Times New Roman" w:cs="Times New Roman"/>
            </w:rPr>
            <w:t xml:space="preserve">se realizan traslados a la Cuenta Única Nacional (CUN) y pagos que se realizan por el giro normal de las transacciones de la Agencia. </w:t>
          </w:r>
          <w:r w:rsidR="00E51F4C" w:rsidRPr="009A46BB">
            <w:rPr>
              <w:rFonts w:ascii="Times New Roman" w:hAnsi="Times New Roman" w:cs="Times New Roman"/>
            </w:rPr>
            <w:t xml:space="preserve"> </w:t>
          </w:r>
          <w:r w:rsidRPr="009A46BB">
            <w:rPr>
              <w:rFonts w:ascii="Times New Roman" w:hAnsi="Times New Roman" w:cs="Times New Roman"/>
            </w:rPr>
            <w:t xml:space="preserve">Los rendimientos generados en esta cuenta bancaria, certificados por el banco, y que fueron reconocidos en </w:t>
          </w:r>
          <w:r w:rsidR="006C2677" w:rsidRPr="009A46BB">
            <w:rPr>
              <w:rFonts w:ascii="Times New Roman" w:hAnsi="Times New Roman" w:cs="Times New Roman"/>
            </w:rPr>
            <w:t>el resultado del ejercicio</w:t>
          </w:r>
          <w:r w:rsidRPr="009A46BB">
            <w:rPr>
              <w:rFonts w:ascii="Times New Roman" w:hAnsi="Times New Roman" w:cs="Times New Roman"/>
            </w:rPr>
            <w:t xml:space="preserve"> durante el año 202</w:t>
          </w:r>
          <w:r w:rsidR="005335B9" w:rsidRPr="009A46BB">
            <w:rPr>
              <w:rFonts w:ascii="Times New Roman" w:hAnsi="Times New Roman" w:cs="Times New Roman"/>
            </w:rPr>
            <w:t>3</w:t>
          </w:r>
          <w:r w:rsidRPr="009A46BB">
            <w:rPr>
              <w:rFonts w:ascii="Times New Roman" w:hAnsi="Times New Roman" w:cs="Times New Roman"/>
            </w:rPr>
            <w:t>, fueron de $</w:t>
          </w:r>
          <w:r w:rsidR="00773930" w:rsidRPr="009A46BB">
            <w:rPr>
              <w:rFonts w:ascii="Times New Roman" w:hAnsi="Times New Roman" w:cs="Times New Roman"/>
            </w:rPr>
            <w:t>21,819,956.67</w:t>
          </w:r>
          <w:r w:rsidRPr="009A46BB">
            <w:rPr>
              <w:rFonts w:ascii="Times New Roman" w:hAnsi="Times New Roman" w:cs="Times New Roman"/>
            </w:rPr>
            <w:t xml:space="preserve">, tasa promedio </w:t>
          </w:r>
          <w:r w:rsidR="00C37700" w:rsidRPr="009A46BB">
            <w:rPr>
              <w:rFonts w:ascii="Times New Roman" w:hAnsi="Times New Roman" w:cs="Times New Roman"/>
            </w:rPr>
            <w:t>1,00</w:t>
          </w:r>
          <w:r w:rsidRPr="009A46BB">
            <w:rPr>
              <w:rFonts w:ascii="Times New Roman" w:hAnsi="Times New Roman" w:cs="Times New Roman"/>
            </w:rPr>
            <w:t>% E.A.</w:t>
          </w:r>
          <w:r w:rsidR="00C67E74" w:rsidRPr="009A46BB">
            <w:rPr>
              <w:rFonts w:ascii="Times New Roman" w:hAnsi="Times New Roman" w:cs="Times New Roman"/>
            </w:rPr>
            <w:t xml:space="preserve"> </w:t>
          </w:r>
        </w:p>
        <w:p w14:paraId="6E667B63" w14:textId="77777777" w:rsidR="00C67E74" w:rsidRPr="00931DCE" w:rsidRDefault="00C67E74" w:rsidP="00683EF1">
          <w:pPr>
            <w:spacing w:after="0" w:line="240" w:lineRule="auto"/>
            <w:jc w:val="both"/>
            <w:rPr>
              <w:rFonts w:ascii="Times New Roman" w:hAnsi="Times New Roman"/>
              <w:sz w:val="24"/>
              <w:szCs w:val="24"/>
            </w:rPr>
          </w:pPr>
        </w:p>
        <w:p w14:paraId="3AC9A6AA" w14:textId="7B14DF6F" w:rsidR="00683EF1" w:rsidRPr="00931DCE" w:rsidRDefault="00C67E74" w:rsidP="007E66D0">
          <w:pPr>
            <w:spacing w:after="0" w:line="240" w:lineRule="auto"/>
            <w:jc w:val="both"/>
            <w:rPr>
              <w:rFonts w:ascii="Times New Roman" w:hAnsi="Times New Roman"/>
              <w:sz w:val="24"/>
              <w:szCs w:val="24"/>
            </w:rPr>
          </w:pPr>
          <w:r w:rsidRPr="00931DCE">
            <w:rPr>
              <w:rFonts w:ascii="Times New Roman" w:hAnsi="Times New Roman"/>
              <w:sz w:val="24"/>
              <w:szCs w:val="24"/>
            </w:rPr>
            <w:t xml:space="preserve">Al cierre de la vigencia </w:t>
          </w:r>
          <w:r w:rsidRPr="00EF0262">
            <w:rPr>
              <w:rFonts w:ascii="Times New Roman" w:hAnsi="Times New Roman"/>
              <w:sz w:val="24"/>
              <w:szCs w:val="24"/>
            </w:rPr>
            <w:t>20</w:t>
          </w:r>
          <w:r w:rsidR="00C37700" w:rsidRPr="00EF0262">
            <w:rPr>
              <w:rFonts w:ascii="Times New Roman" w:hAnsi="Times New Roman"/>
              <w:sz w:val="24"/>
              <w:szCs w:val="24"/>
            </w:rPr>
            <w:t>23</w:t>
          </w:r>
          <w:r w:rsidRPr="00EF0262">
            <w:rPr>
              <w:rFonts w:ascii="Times New Roman" w:hAnsi="Times New Roman"/>
              <w:sz w:val="24"/>
              <w:szCs w:val="24"/>
            </w:rPr>
            <w:t>,</w:t>
          </w:r>
          <w:r w:rsidRPr="00931DCE">
            <w:rPr>
              <w:rFonts w:ascii="Times New Roman" w:hAnsi="Times New Roman"/>
              <w:sz w:val="24"/>
              <w:szCs w:val="24"/>
            </w:rPr>
            <w:t xml:space="preserve"> estas cuentas se encuentran debidamente conciliadas </w:t>
          </w:r>
          <w:r w:rsidR="00683EF1" w:rsidRPr="00931DCE">
            <w:rPr>
              <w:rFonts w:ascii="Times New Roman" w:hAnsi="Times New Roman"/>
              <w:sz w:val="24"/>
              <w:szCs w:val="24"/>
            </w:rPr>
            <w:t>en el formato establecido para ello</w:t>
          </w:r>
          <w:r w:rsidR="001F70B2" w:rsidRPr="00931DCE">
            <w:rPr>
              <w:rFonts w:ascii="Times New Roman" w:hAnsi="Times New Roman"/>
              <w:sz w:val="24"/>
              <w:szCs w:val="24"/>
            </w:rPr>
            <w:t xml:space="preserve"> evidenciando las partidas conciliatorias respectivas</w:t>
          </w:r>
          <w:r w:rsidR="00474A29" w:rsidRPr="00931DCE">
            <w:rPr>
              <w:rFonts w:ascii="Times New Roman" w:hAnsi="Times New Roman"/>
              <w:sz w:val="24"/>
              <w:szCs w:val="24"/>
            </w:rPr>
            <w:t>,</w:t>
          </w:r>
          <w:r w:rsidR="001F70B2" w:rsidRPr="00931DCE">
            <w:rPr>
              <w:rFonts w:ascii="Times New Roman" w:hAnsi="Times New Roman"/>
              <w:sz w:val="24"/>
              <w:szCs w:val="24"/>
            </w:rPr>
            <w:t xml:space="preserve"> las cuales no superan 6 meses</w:t>
          </w:r>
          <w:r w:rsidR="00683EF1" w:rsidRPr="00931DCE">
            <w:rPr>
              <w:rFonts w:ascii="Times New Roman" w:hAnsi="Times New Roman"/>
              <w:sz w:val="24"/>
              <w:szCs w:val="24"/>
            </w:rPr>
            <w:t xml:space="preserve">. </w:t>
          </w:r>
        </w:p>
        <w:p w14:paraId="5B1179E2" w14:textId="080F8A4D" w:rsidR="247DEA76" w:rsidRDefault="247DEA76" w:rsidP="247DEA76">
          <w:pPr>
            <w:spacing w:after="0" w:line="240" w:lineRule="auto"/>
            <w:jc w:val="both"/>
            <w:rPr>
              <w:rFonts w:ascii="Times New Roman" w:hAnsi="Times New Roman"/>
              <w:sz w:val="24"/>
              <w:szCs w:val="24"/>
            </w:rPr>
          </w:pPr>
        </w:p>
        <w:p w14:paraId="6442CED4" w14:textId="77777777" w:rsidR="00C8685E" w:rsidRPr="00931DCE" w:rsidRDefault="008D49E8">
          <w:pPr>
            <w:pStyle w:val="Ttulo2"/>
            <w:numPr>
              <w:ilvl w:val="1"/>
              <w:numId w:val="9"/>
            </w:numPr>
            <w:ind w:left="567" w:hanging="567"/>
            <w:rPr>
              <w:rFonts w:cs="Times New Roman"/>
              <w:szCs w:val="22"/>
            </w:rPr>
          </w:pPr>
          <w:bookmarkStart w:id="20" w:name="_Toc159952365"/>
          <w:r w:rsidRPr="00931DCE">
            <w:rPr>
              <w:rFonts w:cs="Times New Roman"/>
              <w:szCs w:val="22"/>
            </w:rPr>
            <w:t>Efectivo de uso restringido</w:t>
          </w:r>
          <w:bookmarkEnd w:id="20"/>
        </w:p>
        <w:p w14:paraId="4B80F9AE" w14:textId="3501ADEE" w:rsidR="00E35506" w:rsidRPr="00931DCE" w:rsidRDefault="00E35506" w:rsidP="004B00B2">
          <w:pPr>
            <w:spacing w:after="0" w:line="240" w:lineRule="auto"/>
            <w:jc w:val="both"/>
            <w:rPr>
              <w:rFonts w:ascii="Times New Roman" w:hAnsi="Times New Roman"/>
              <w:sz w:val="24"/>
              <w:szCs w:val="24"/>
            </w:rPr>
          </w:pPr>
        </w:p>
        <w:tbl>
          <w:tblPr>
            <w:tblW w:w="8969"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70" w:type="dxa"/>
              <w:right w:w="70" w:type="dxa"/>
            </w:tblCellMar>
            <w:tblLook w:val="04A0" w:firstRow="1" w:lastRow="0" w:firstColumn="1" w:lastColumn="0" w:noHBand="0" w:noVBand="1"/>
          </w:tblPr>
          <w:tblGrid>
            <w:gridCol w:w="988"/>
            <w:gridCol w:w="567"/>
            <w:gridCol w:w="1559"/>
            <w:gridCol w:w="850"/>
            <w:gridCol w:w="993"/>
            <w:gridCol w:w="992"/>
            <w:gridCol w:w="992"/>
            <w:gridCol w:w="709"/>
            <w:gridCol w:w="1319"/>
          </w:tblGrid>
          <w:tr w:rsidR="00951A1F" w:rsidRPr="00DE0A54" w14:paraId="295A455D" w14:textId="77777777" w:rsidTr="00D97433">
            <w:trPr>
              <w:trHeight w:val="292"/>
            </w:trPr>
            <w:tc>
              <w:tcPr>
                <w:tcW w:w="3114" w:type="dxa"/>
                <w:gridSpan w:val="3"/>
                <w:shd w:val="clear" w:color="auto" w:fill="auto"/>
                <w:vAlign w:val="center"/>
                <w:hideMark/>
              </w:tcPr>
              <w:p w14:paraId="1DF517AF" w14:textId="77777777" w:rsidR="00DE0A54" w:rsidRPr="00DE0A54" w:rsidRDefault="00DE0A54" w:rsidP="00DE0A54">
                <w:pPr>
                  <w:spacing w:after="0" w:line="240" w:lineRule="auto"/>
                  <w:jc w:val="center"/>
                  <w:rPr>
                    <w:rFonts w:ascii="Times New Roman" w:eastAsia="Times New Roman" w:hAnsi="Times New Roman"/>
                    <w:b/>
                    <w:bCs/>
                    <w:sz w:val="14"/>
                    <w:szCs w:val="14"/>
                    <w:lang w:eastAsia="es-CO"/>
                  </w:rPr>
                </w:pPr>
                <w:r w:rsidRPr="00DE0A54">
                  <w:rPr>
                    <w:rFonts w:ascii="Times New Roman" w:eastAsia="Times New Roman" w:hAnsi="Times New Roman"/>
                    <w:b/>
                    <w:bCs/>
                    <w:sz w:val="14"/>
                    <w:szCs w:val="14"/>
                    <w:lang w:eastAsia="es-CO"/>
                  </w:rPr>
                  <w:t>DESCRIPCIÓN</w:t>
                </w:r>
              </w:p>
            </w:tc>
            <w:tc>
              <w:tcPr>
                <w:tcW w:w="1843" w:type="dxa"/>
                <w:gridSpan w:val="2"/>
                <w:shd w:val="clear" w:color="auto" w:fill="auto"/>
                <w:vAlign w:val="center"/>
                <w:hideMark/>
              </w:tcPr>
              <w:p w14:paraId="5E9A6379" w14:textId="77777777" w:rsidR="00DE0A54" w:rsidRPr="00DE0A54" w:rsidRDefault="00DE0A54" w:rsidP="00DE0A54">
                <w:pPr>
                  <w:spacing w:after="0" w:line="240" w:lineRule="auto"/>
                  <w:jc w:val="center"/>
                  <w:rPr>
                    <w:rFonts w:ascii="Times New Roman" w:eastAsia="Times New Roman" w:hAnsi="Times New Roman"/>
                    <w:b/>
                    <w:bCs/>
                    <w:sz w:val="14"/>
                    <w:szCs w:val="14"/>
                    <w:lang w:eastAsia="es-CO"/>
                  </w:rPr>
                </w:pPr>
                <w:r w:rsidRPr="00DE0A54">
                  <w:rPr>
                    <w:rFonts w:ascii="Times New Roman" w:eastAsia="Times New Roman" w:hAnsi="Times New Roman"/>
                    <w:b/>
                    <w:bCs/>
                    <w:sz w:val="14"/>
                    <w:szCs w:val="14"/>
                    <w:lang w:eastAsia="es-CO"/>
                  </w:rPr>
                  <w:t>SALDOS A CORTES DE VIGENCIA</w:t>
                </w:r>
              </w:p>
            </w:tc>
            <w:tc>
              <w:tcPr>
                <w:tcW w:w="992" w:type="dxa"/>
                <w:shd w:val="clear" w:color="auto" w:fill="auto"/>
                <w:vAlign w:val="center"/>
                <w:hideMark/>
              </w:tcPr>
              <w:p w14:paraId="63E6FD0F" w14:textId="77777777" w:rsidR="00DE0A54" w:rsidRPr="00DE0A54" w:rsidRDefault="00DE0A54" w:rsidP="00DE0A54">
                <w:pPr>
                  <w:spacing w:after="0" w:line="240" w:lineRule="auto"/>
                  <w:jc w:val="center"/>
                  <w:rPr>
                    <w:rFonts w:ascii="Times New Roman" w:eastAsia="Times New Roman" w:hAnsi="Times New Roman"/>
                    <w:b/>
                    <w:bCs/>
                    <w:sz w:val="14"/>
                    <w:szCs w:val="14"/>
                    <w:lang w:eastAsia="es-CO"/>
                  </w:rPr>
                </w:pPr>
                <w:r w:rsidRPr="00DE0A54">
                  <w:rPr>
                    <w:rFonts w:ascii="Times New Roman" w:eastAsia="Times New Roman" w:hAnsi="Times New Roman"/>
                    <w:b/>
                    <w:bCs/>
                    <w:sz w:val="14"/>
                    <w:szCs w:val="14"/>
                    <w:lang w:eastAsia="es-CO"/>
                  </w:rPr>
                  <w:t>VARIACIÓN</w:t>
                </w:r>
              </w:p>
            </w:tc>
            <w:tc>
              <w:tcPr>
                <w:tcW w:w="1701" w:type="dxa"/>
                <w:gridSpan w:val="2"/>
                <w:shd w:val="clear" w:color="auto" w:fill="auto"/>
                <w:noWrap/>
                <w:vAlign w:val="center"/>
                <w:hideMark/>
              </w:tcPr>
              <w:p w14:paraId="2F871C11" w14:textId="77777777" w:rsidR="00DE0A54" w:rsidRPr="00DE0A54" w:rsidRDefault="00DE0A54" w:rsidP="00DE0A54">
                <w:pPr>
                  <w:spacing w:after="0" w:line="240" w:lineRule="auto"/>
                  <w:jc w:val="center"/>
                  <w:rPr>
                    <w:rFonts w:ascii="Times New Roman" w:eastAsia="Times New Roman" w:hAnsi="Times New Roman"/>
                    <w:b/>
                    <w:bCs/>
                    <w:sz w:val="14"/>
                    <w:szCs w:val="14"/>
                    <w:lang w:eastAsia="es-CO"/>
                  </w:rPr>
                </w:pPr>
                <w:r w:rsidRPr="00DE0A54">
                  <w:rPr>
                    <w:rFonts w:ascii="Times New Roman" w:eastAsia="Times New Roman" w:hAnsi="Times New Roman"/>
                    <w:b/>
                    <w:bCs/>
                    <w:sz w:val="14"/>
                    <w:szCs w:val="14"/>
                    <w:lang w:eastAsia="es-CO"/>
                  </w:rPr>
                  <w:t>RENTABILIDAD</w:t>
                </w:r>
              </w:p>
            </w:tc>
            <w:tc>
              <w:tcPr>
                <w:tcW w:w="1319" w:type="dxa"/>
                <w:shd w:val="clear" w:color="auto" w:fill="auto"/>
                <w:vAlign w:val="center"/>
                <w:hideMark/>
              </w:tcPr>
              <w:p w14:paraId="6D4C7610" w14:textId="77777777" w:rsidR="00DE0A54" w:rsidRPr="00DE0A54" w:rsidRDefault="00DE0A54" w:rsidP="00DE0A54">
                <w:pPr>
                  <w:spacing w:after="0" w:line="240" w:lineRule="auto"/>
                  <w:jc w:val="center"/>
                  <w:rPr>
                    <w:rFonts w:ascii="Times New Roman" w:eastAsia="Times New Roman" w:hAnsi="Times New Roman"/>
                    <w:b/>
                    <w:bCs/>
                    <w:sz w:val="14"/>
                    <w:szCs w:val="14"/>
                    <w:lang w:eastAsia="es-CO"/>
                  </w:rPr>
                </w:pPr>
                <w:r w:rsidRPr="00DE0A54">
                  <w:rPr>
                    <w:rFonts w:ascii="Times New Roman" w:eastAsia="Times New Roman" w:hAnsi="Times New Roman"/>
                    <w:b/>
                    <w:bCs/>
                    <w:sz w:val="14"/>
                    <w:szCs w:val="14"/>
                    <w:lang w:eastAsia="es-CO"/>
                  </w:rPr>
                  <w:t>RESTRICCIONES</w:t>
                </w:r>
              </w:p>
            </w:tc>
          </w:tr>
          <w:tr w:rsidR="00DE0A54" w:rsidRPr="00DE0A54" w14:paraId="288349E4" w14:textId="77777777" w:rsidTr="00D97433">
            <w:trPr>
              <w:trHeight w:val="739"/>
            </w:trPr>
            <w:tc>
              <w:tcPr>
                <w:tcW w:w="988" w:type="dxa"/>
                <w:shd w:val="clear" w:color="auto" w:fill="auto"/>
                <w:vAlign w:val="center"/>
                <w:hideMark/>
              </w:tcPr>
              <w:p w14:paraId="0723DCE0" w14:textId="77777777" w:rsidR="00DE0A54" w:rsidRPr="00DE0A54" w:rsidRDefault="00DE0A54" w:rsidP="00DE0A54">
                <w:pPr>
                  <w:spacing w:after="0" w:line="240" w:lineRule="auto"/>
                  <w:jc w:val="center"/>
                  <w:rPr>
                    <w:rFonts w:ascii="Times New Roman" w:eastAsia="Times New Roman" w:hAnsi="Times New Roman"/>
                    <w:b/>
                    <w:bCs/>
                    <w:sz w:val="14"/>
                    <w:szCs w:val="14"/>
                    <w:lang w:eastAsia="es-CO"/>
                  </w:rPr>
                </w:pPr>
                <w:r w:rsidRPr="00DE0A54">
                  <w:rPr>
                    <w:rFonts w:ascii="Times New Roman" w:eastAsia="Times New Roman" w:hAnsi="Times New Roman"/>
                    <w:b/>
                    <w:bCs/>
                    <w:sz w:val="14"/>
                    <w:szCs w:val="14"/>
                    <w:lang w:eastAsia="es-CO"/>
                  </w:rPr>
                  <w:t>CÓDIGO CONTABLE</w:t>
                </w:r>
              </w:p>
            </w:tc>
            <w:tc>
              <w:tcPr>
                <w:tcW w:w="567" w:type="dxa"/>
                <w:shd w:val="clear" w:color="auto" w:fill="auto"/>
                <w:vAlign w:val="center"/>
                <w:hideMark/>
              </w:tcPr>
              <w:p w14:paraId="05DD39EC" w14:textId="77777777" w:rsidR="00DE0A54" w:rsidRPr="00DE0A54" w:rsidRDefault="00DE0A54" w:rsidP="00DE0A54">
                <w:pPr>
                  <w:spacing w:after="0" w:line="240" w:lineRule="auto"/>
                  <w:jc w:val="center"/>
                  <w:rPr>
                    <w:rFonts w:ascii="Times New Roman" w:eastAsia="Times New Roman" w:hAnsi="Times New Roman"/>
                    <w:b/>
                    <w:bCs/>
                    <w:sz w:val="14"/>
                    <w:szCs w:val="14"/>
                    <w:lang w:eastAsia="es-CO"/>
                  </w:rPr>
                </w:pPr>
                <w:r w:rsidRPr="00DE0A54">
                  <w:rPr>
                    <w:rFonts w:ascii="Times New Roman" w:eastAsia="Times New Roman" w:hAnsi="Times New Roman"/>
                    <w:b/>
                    <w:bCs/>
                    <w:sz w:val="14"/>
                    <w:szCs w:val="14"/>
                    <w:lang w:eastAsia="es-CO"/>
                  </w:rPr>
                  <w:t>NAT</w:t>
                </w:r>
              </w:p>
            </w:tc>
            <w:tc>
              <w:tcPr>
                <w:tcW w:w="1559" w:type="dxa"/>
                <w:shd w:val="clear" w:color="auto" w:fill="auto"/>
                <w:vAlign w:val="center"/>
                <w:hideMark/>
              </w:tcPr>
              <w:p w14:paraId="1303BD39" w14:textId="77777777" w:rsidR="00DE0A54" w:rsidRPr="00DE0A54" w:rsidRDefault="00DE0A54" w:rsidP="00DE0A54">
                <w:pPr>
                  <w:spacing w:after="0" w:line="240" w:lineRule="auto"/>
                  <w:jc w:val="center"/>
                  <w:rPr>
                    <w:rFonts w:ascii="Times New Roman" w:eastAsia="Times New Roman" w:hAnsi="Times New Roman"/>
                    <w:b/>
                    <w:bCs/>
                    <w:sz w:val="14"/>
                    <w:szCs w:val="14"/>
                    <w:lang w:eastAsia="es-CO"/>
                  </w:rPr>
                </w:pPr>
                <w:r w:rsidRPr="00DE0A54">
                  <w:rPr>
                    <w:rFonts w:ascii="Times New Roman" w:eastAsia="Times New Roman" w:hAnsi="Times New Roman"/>
                    <w:b/>
                    <w:bCs/>
                    <w:sz w:val="14"/>
                    <w:szCs w:val="14"/>
                    <w:lang w:eastAsia="es-CO"/>
                  </w:rPr>
                  <w:t>CONCEPTO</w:t>
                </w:r>
              </w:p>
            </w:tc>
            <w:tc>
              <w:tcPr>
                <w:tcW w:w="850" w:type="dxa"/>
                <w:shd w:val="clear" w:color="auto" w:fill="auto"/>
                <w:vAlign w:val="center"/>
                <w:hideMark/>
              </w:tcPr>
              <w:p w14:paraId="117EE6D0" w14:textId="77777777" w:rsidR="00DE0A54" w:rsidRPr="00DE0A54" w:rsidRDefault="00DE0A54" w:rsidP="00DE0A54">
                <w:pPr>
                  <w:spacing w:after="0" w:line="240" w:lineRule="auto"/>
                  <w:jc w:val="center"/>
                  <w:rPr>
                    <w:rFonts w:ascii="Times New Roman" w:eastAsia="Times New Roman" w:hAnsi="Times New Roman"/>
                    <w:b/>
                    <w:bCs/>
                    <w:sz w:val="14"/>
                    <w:szCs w:val="14"/>
                    <w:lang w:eastAsia="es-CO"/>
                  </w:rPr>
                </w:pPr>
                <w:r w:rsidRPr="00DE0A54">
                  <w:rPr>
                    <w:rFonts w:ascii="Times New Roman" w:eastAsia="Times New Roman" w:hAnsi="Times New Roman"/>
                    <w:b/>
                    <w:bCs/>
                    <w:sz w:val="14"/>
                    <w:szCs w:val="14"/>
                    <w:lang w:eastAsia="es-CO"/>
                  </w:rPr>
                  <w:t xml:space="preserve">2023 </w:t>
                </w:r>
              </w:p>
            </w:tc>
            <w:tc>
              <w:tcPr>
                <w:tcW w:w="993" w:type="dxa"/>
                <w:shd w:val="clear" w:color="auto" w:fill="auto"/>
                <w:vAlign w:val="center"/>
                <w:hideMark/>
              </w:tcPr>
              <w:p w14:paraId="4C696864" w14:textId="77777777" w:rsidR="00DE0A54" w:rsidRPr="00DE0A54" w:rsidRDefault="00DE0A54" w:rsidP="00DE0A54">
                <w:pPr>
                  <w:spacing w:after="0" w:line="240" w:lineRule="auto"/>
                  <w:jc w:val="center"/>
                  <w:rPr>
                    <w:rFonts w:ascii="Times New Roman" w:eastAsia="Times New Roman" w:hAnsi="Times New Roman"/>
                    <w:b/>
                    <w:bCs/>
                    <w:sz w:val="14"/>
                    <w:szCs w:val="14"/>
                    <w:lang w:eastAsia="es-CO"/>
                  </w:rPr>
                </w:pPr>
                <w:r w:rsidRPr="00DE0A54">
                  <w:rPr>
                    <w:rFonts w:ascii="Times New Roman" w:eastAsia="Times New Roman" w:hAnsi="Times New Roman"/>
                    <w:b/>
                    <w:bCs/>
                    <w:sz w:val="14"/>
                    <w:szCs w:val="14"/>
                    <w:lang w:eastAsia="es-CO"/>
                  </w:rPr>
                  <w:t xml:space="preserve">2022 </w:t>
                </w:r>
              </w:p>
            </w:tc>
            <w:tc>
              <w:tcPr>
                <w:tcW w:w="992" w:type="dxa"/>
                <w:shd w:val="clear" w:color="auto" w:fill="auto"/>
                <w:vAlign w:val="center"/>
                <w:hideMark/>
              </w:tcPr>
              <w:p w14:paraId="02D6B254" w14:textId="77777777" w:rsidR="00DE0A54" w:rsidRPr="00DE0A54" w:rsidRDefault="00DE0A54" w:rsidP="00DE0A54">
                <w:pPr>
                  <w:spacing w:after="0" w:line="240" w:lineRule="auto"/>
                  <w:jc w:val="center"/>
                  <w:rPr>
                    <w:rFonts w:ascii="Times New Roman" w:eastAsia="Times New Roman" w:hAnsi="Times New Roman"/>
                    <w:b/>
                    <w:bCs/>
                    <w:sz w:val="14"/>
                    <w:szCs w:val="14"/>
                    <w:lang w:eastAsia="es-CO"/>
                  </w:rPr>
                </w:pPr>
                <w:r w:rsidRPr="00DE0A54">
                  <w:rPr>
                    <w:rFonts w:ascii="Times New Roman" w:eastAsia="Times New Roman" w:hAnsi="Times New Roman"/>
                    <w:b/>
                    <w:bCs/>
                    <w:sz w:val="14"/>
                    <w:szCs w:val="14"/>
                    <w:lang w:eastAsia="es-CO"/>
                  </w:rPr>
                  <w:t>VALOR VARIACIÓN</w:t>
                </w:r>
              </w:p>
            </w:tc>
            <w:tc>
              <w:tcPr>
                <w:tcW w:w="992" w:type="dxa"/>
                <w:shd w:val="clear" w:color="auto" w:fill="auto"/>
                <w:vAlign w:val="center"/>
                <w:hideMark/>
              </w:tcPr>
              <w:p w14:paraId="0183E682" w14:textId="77777777" w:rsidR="00DE0A54" w:rsidRPr="00DE0A54" w:rsidRDefault="00DE0A54" w:rsidP="00DE0A54">
                <w:pPr>
                  <w:spacing w:after="0" w:line="240" w:lineRule="auto"/>
                  <w:jc w:val="center"/>
                  <w:rPr>
                    <w:rFonts w:ascii="Times New Roman" w:eastAsia="Times New Roman" w:hAnsi="Times New Roman"/>
                    <w:b/>
                    <w:bCs/>
                    <w:sz w:val="14"/>
                    <w:szCs w:val="14"/>
                    <w:lang w:eastAsia="es-CO"/>
                  </w:rPr>
                </w:pPr>
                <w:r w:rsidRPr="00DE0A54">
                  <w:rPr>
                    <w:rFonts w:ascii="Times New Roman" w:eastAsia="Times New Roman" w:hAnsi="Times New Roman"/>
                    <w:b/>
                    <w:bCs/>
                    <w:sz w:val="14"/>
                    <w:szCs w:val="14"/>
                    <w:lang w:eastAsia="es-CO"/>
                  </w:rPr>
                  <w:t>RENTABILIDAD</w:t>
                </w:r>
                <w:r w:rsidRPr="00DE0A54">
                  <w:rPr>
                    <w:rFonts w:ascii="Times New Roman" w:eastAsia="Times New Roman" w:hAnsi="Times New Roman"/>
                    <w:b/>
                    <w:bCs/>
                    <w:sz w:val="14"/>
                    <w:szCs w:val="14"/>
                    <w:lang w:eastAsia="es-CO"/>
                  </w:rPr>
                  <w:br/>
                  <w:t>CIERRE 2023</w:t>
                </w:r>
                <w:r w:rsidRPr="00DE0A54">
                  <w:rPr>
                    <w:rFonts w:ascii="Times New Roman" w:eastAsia="Times New Roman" w:hAnsi="Times New Roman"/>
                    <w:b/>
                    <w:bCs/>
                    <w:sz w:val="14"/>
                    <w:szCs w:val="14"/>
                    <w:lang w:eastAsia="es-CO"/>
                  </w:rPr>
                  <w:br/>
                  <w:t>(Vr Inter_Recib)</w:t>
                </w:r>
              </w:p>
            </w:tc>
            <w:tc>
              <w:tcPr>
                <w:tcW w:w="709" w:type="dxa"/>
                <w:shd w:val="clear" w:color="auto" w:fill="auto"/>
                <w:vAlign w:val="center"/>
                <w:hideMark/>
              </w:tcPr>
              <w:p w14:paraId="3C2EC03A" w14:textId="77777777" w:rsidR="00DE0A54" w:rsidRPr="00DE0A54" w:rsidRDefault="00DE0A54" w:rsidP="00DE0A54">
                <w:pPr>
                  <w:spacing w:after="0" w:line="240" w:lineRule="auto"/>
                  <w:jc w:val="center"/>
                  <w:rPr>
                    <w:rFonts w:ascii="Times New Roman" w:eastAsia="Times New Roman" w:hAnsi="Times New Roman"/>
                    <w:b/>
                    <w:bCs/>
                    <w:sz w:val="14"/>
                    <w:szCs w:val="14"/>
                    <w:lang w:eastAsia="es-CO"/>
                  </w:rPr>
                </w:pPr>
                <w:r w:rsidRPr="00DE0A54">
                  <w:rPr>
                    <w:rFonts w:ascii="Times New Roman" w:eastAsia="Times New Roman" w:hAnsi="Times New Roman"/>
                    <w:b/>
                    <w:bCs/>
                    <w:sz w:val="14"/>
                    <w:szCs w:val="14"/>
                    <w:lang w:eastAsia="es-CO"/>
                  </w:rPr>
                  <w:t>% TASA PROMEDIO</w:t>
                </w:r>
              </w:p>
            </w:tc>
            <w:tc>
              <w:tcPr>
                <w:tcW w:w="1319" w:type="dxa"/>
                <w:shd w:val="clear" w:color="auto" w:fill="auto"/>
                <w:vAlign w:val="center"/>
                <w:hideMark/>
              </w:tcPr>
              <w:p w14:paraId="689147FB" w14:textId="77777777" w:rsidR="00DE0A54" w:rsidRPr="00DE0A54" w:rsidRDefault="00DE0A54" w:rsidP="00DE0A54">
                <w:pPr>
                  <w:spacing w:after="0" w:line="240" w:lineRule="auto"/>
                  <w:jc w:val="center"/>
                  <w:rPr>
                    <w:rFonts w:ascii="Times New Roman" w:eastAsia="Times New Roman" w:hAnsi="Times New Roman"/>
                    <w:b/>
                    <w:bCs/>
                    <w:sz w:val="14"/>
                    <w:szCs w:val="14"/>
                    <w:lang w:eastAsia="es-CO"/>
                  </w:rPr>
                </w:pPr>
                <w:r w:rsidRPr="00DE0A54">
                  <w:rPr>
                    <w:rFonts w:ascii="Times New Roman" w:eastAsia="Times New Roman" w:hAnsi="Times New Roman"/>
                    <w:b/>
                    <w:bCs/>
                    <w:sz w:val="14"/>
                    <w:szCs w:val="14"/>
                    <w:lang w:eastAsia="es-CO"/>
                  </w:rPr>
                  <w:t>AMPLIACIÓN DETALLE DE LA RESTRICCIÓN</w:t>
                </w:r>
              </w:p>
            </w:tc>
          </w:tr>
          <w:tr w:rsidR="00951A1F" w:rsidRPr="00DE0A54" w14:paraId="23C492F2" w14:textId="77777777" w:rsidTr="00D97433">
            <w:trPr>
              <w:trHeight w:val="369"/>
            </w:trPr>
            <w:tc>
              <w:tcPr>
                <w:tcW w:w="988" w:type="dxa"/>
                <w:shd w:val="clear" w:color="auto" w:fill="auto"/>
                <w:noWrap/>
                <w:vAlign w:val="center"/>
                <w:hideMark/>
              </w:tcPr>
              <w:p w14:paraId="4FB68446" w14:textId="77777777" w:rsidR="00DE0A54" w:rsidRPr="00DE0A54" w:rsidRDefault="00DE0A54" w:rsidP="00DE0A54">
                <w:pPr>
                  <w:spacing w:after="0" w:line="240" w:lineRule="auto"/>
                  <w:rPr>
                    <w:rFonts w:ascii="Times New Roman" w:eastAsia="Times New Roman" w:hAnsi="Times New Roman"/>
                    <w:b/>
                    <w:bCs/>
                    <w:sz w:val="14"/>
                    <w:szCs w:val="14"/>
                    <w:lang w:eastAsia="es-CO"/>
                  </w:rPr>
                </w:pPr>
                <w:r w:rsidRPr="00DE0A54">
                  <w:rPr>
                    <w:rFonts w:ascii="Times New Roman" w:eastAsia="Times New Roman" w:hAnsi="Times New Roman"/>
                    <w:b/>
                    <w:bCs/>
                    <w:sz w:val="14"/>
                    <w:szCs w:val="14"/>
                    <w:lang w:eastAsia="es-CO"/>
                  </w:rPr>
                  <w:t>1.1.32</w:t>
                </w:r>
              </w:p>
            </w:tc>
            <w:tc>
              <w:tcPr>
                <w:tcW w:w="567" w:type="dxa"/>
                <w:shd w:val="clear" w:color="auto" w:fill="auto"/>
                <w:noWrap/>
                <w:vAlign w:val="center"/>
                <w:hideMark/>
              </w:tcPr>
              <w:p w14:paraId="27FD401B" w14:textId="77777777" w:rsidR="00DE0A54" w:rsidRPr="00DE0A54" w:rsidRDefault="00DE0A54" w:rsidP="00DE0A54">
                <w:pPr>
                  <w:spacing w:after="0" w:line="240" w:lineRule="auto"/>
                  <w:jc w:val="center"/>
                  <w:rPr>
                    <w:rFonts w:ascii="Times New Roman" w:eastAsia="Times New Roman" w:hAnsi="Times New Roman"/>
                    <w:b/>
                    <w:bCs/>
                    <w:sz w:val="14"/>
                    <w:szCs w:val="14"/>
                    <w:lang w:eastAsia="es-CO"/>
                  </w:rPr>
                </w:pPr>
                <w:r w:rsidRPr="00DE0A54">
                  <w:rPr>
                    <w:rFonts w:ascii="Times New Roman" w:eastAsia="Times New Roman" w:hAnsi="Times New Roman"/>
                    <w:b/>
                    <w:bCs/>
                    <w:sz w:val="14"/>
                    <w:szCs w:val="14"/>
                    <w:lang w:eastAsia="es-CO"/>
                  </w:rPr>
                  <w:t>Db</w:t>
                </w:r>
              </w:p>
            </w:tc>
            <w:tc>
              <w:tcPr>
                <w:tcW w:w="1559" w:type="dxa"/>
                <w:shd w:val="clear" w:color="auto" w:fill="auto"/>
                <w:vAlign w:val="center"/>
                <w:hideMark/>
              </w:tcPr>
              <w:p w14:paraId="39911B02" w14:textId="77777777" w:rsidR="00DE0A54" w:rsidRPr="00DE0A54" w:rsidRDefault="00DE0A54" w:rsidP="00B32E11">
                <w:pPr>
                  <w:spacing w:after="0" w:line="240" w:lineRule="auto"/>
                  <w:rPr>
                    <w:rFonts w:ascii="Times New Roman" w:eastAsia="Times New Roman" w:hAnsi="Times New Roman"/>
                    <w:b/>
                    <w:bCs/>
                    <w:sz w:val="14"/>
                    <w:szCs w:val="14"/>
                    <w:lang w:eastAsia="es-CO"/>
                  </w:rPr>
                </w:pPr>
                <w:r w:rsidRPr="00DE0A54">
                  <w:rPr>
                    <w:rFonts w:ascii="Times New Roman" w:eastAsia="Times New Roman" w:hAnsi="Times New Roman"/>
                    <w:b/>
                    <w:bCs/>
                    <w:sz w:val="14"/>
                    <w:szCs w:val="14"/>
                    <w:lang w:eastAsia="es-CO"/>
                  </w:rPr>
                  <w:t>EFECTIVO DE USO RESTRINGIDO</w:t>
                </w:r>
              </w:p>
            </w:tc>
            <w:tc>
              <w:tcPr>
                <w:tcW w:w="850" w:type="dxa"/>
                <w:shd w:val="clear" w:color="auto" w:fill="auto"/>
                <w:noWrap/>
                <w:vAlign w:val="center"/>
                <w:hideMark/>
              </w:tcPr>
              <w:p w14:paraId="0EC5F558" w14:textId="5229591E" w:rsidR="00DE0A54" w:rsidRPr="00DE0A54" w:rsidRDefault="00DE0A54" w:rsidP="00DE0A54">
                <w:pPr>
                  <w:spacing w:after="0" w:line="240" w:lineRule="auto"/>
                  <w:jc w:val="right"/>
                  <w:rPr>
                    <w:rFonts w:ascii="Times New Roman" w:eastAsia="Times New Roman" w:hAnsi="Times New Roman"/>
                    <w:b/>
                    <w:bCs/>
                    <w:sz w:val="14"/>
                    <w:szCs w:val="14"/>
                    <w:lang w:eastAsia="es-CO"/>
                  </w:rPr>
                </w:pPr>
                <w:r w:rsidRPr="00DE0A54">
                  <w:rPr>
                    <w:rFonts w:ascii="Times New Roman" w:eastAsia="Times New Roman" w:hAnsi="Times New Roman"/>
                    <w:b/>
                    <w:bCs/>
                    <w:sz w:val="14"/>
                    <w:szCs w:val="14"/>
                    <w:lang w:eastAsia="es-CO"/>
                  </w:rPr>
                  <w:t>2.655.258</w:t>
                </w:r>
              </w:p>
            </w:tc>
            <w:tc>
              <w:tcPr>
                <w:tcW w:w="993" w:type="dxa"/>
                <w:shd w:val="clear" w:color="auto" w:fill="auto"/>
                <w:noWrap/>
                <w:vAlign w:val="center"/>
                <w:hideMark/>
              </w:tcPr>
              <w:p w14:paraId="5B61EDBC" w14:textId="7348D181" w:rsidR="00DE0A54" w:rsidRPr="00DE0A54" w:rsidRDefault="00DE0A54" w:rsidP="00DE0A54">
                <w:pPr>
                  <w:spacing w:after="0" w:line="240" w:lineRule="auto"/>
                  <w:jc w:val="right"/>
                  <w:rPr>
                    <w:rFonts w:ascii="Times New Roman" w:eastAsia="Times New Roman" w:hAnsi="Times New Roman"/>
                    <w:b/>
                    <w:bCs/>
                    <w:sz w:val="14"/>
                    <w:szCs w:val="14"/>
                    <w:lang w:eastAsia="es-CO"/>
                  </w:rPr>
                </w:pPr>
                <w:r w:rsidRPr="00DE0A54">
                  <w:rPr>
                    <w:rFonts w:ascii="Times New Roman" w:eastAsia="Times New Roman" w:hAnsi="Times New Roman"/>
                    <w:b/>
                    <w:bCs/>
                    <w:sz w:val="14"/>
                    <w:szCs w:val="14"/>
                    <w:lang w:eastAsia="es-CO"/>
                  </w:rPr>
                  <w:t>112.560.156</w:t>
                </w:r>
              </w:p>
            </w:tc>
            <w:tc>
              <w:tcPr>
                <w:tcW w:w="992" w:type="dxa"/>
                <w:shd w:val="clear" w:color="auto" w:fill="auto"/>
                <w:noWrap/>
                <w:vAlign w:val="center"/>
                <w:hideMark/>
              </w:tcPr>
              <w:p w14:paraId="56EA2B0C" w14:textId="77777777" w:rsidR="00DE0A54" w:rsidRPr="00DE0A54" w:rsidRDefault="00DE0A54" w:rsidP="00DE0A54">
                <w:pPr>
                  <w:spacing w:after="0" w:line="240" w:lineRule="auto"/>
                  <w:jc w:val="right"/>
                  <w:rPr>
                    <w:rFonts w:ascii="Times New Roman" w:eastAsia="Times New Roman" w:hAnsi="Times New Roman"/>
                    <w:b/>
                    <w:bCs/>
                    <w:sz w:val="14"/>
                    <w:szCs w:val="14"/>
                    <w:lang w:eastAsia="es-CO"/>
                  </w:rPr>
                </w:pPr>
                <w:r w:rsidRPr="00DE0A54">
                  <w:rPr>
                    <w:rFonts w:ascii="Times New Roman" w:eastAsia="Times New Roman" w:hAnsi="Times New Roman"/>
                    <w:b/>
                    <w:bCs/>
                    <w:sz w:val="14"/>
                    <w:szCs w:val="14"/>
                    <w:lang w:eastAsia="es-CO"/>
                  </w:rPr>
                  <w:t>-109.904.898</w:t>
                </w:r>
              </w:p>
            </w:tc>
            <w:tc>
              <w:tcPr>
                <w:tcW w:w="992" w:type="dxa"/>
                <w:shd w:val="clear" w:color="auto" w:fill="auto"/>
                <w:noWrap/>
                <w:vAlign w:val="center"/>
                <w:hideMark/>
              </w:tcPr>
              <w:p w14:paraId="70825ED2" w14:textId="77777777" w:rsidR="00DE0A54" w:rsidRPr="00DE0A54" w:rsidRDefault="00DE0A54" w:rsidP="00DE0A54">
                <w:pPr>
                  <w:spacing w:after="0" w:line="240" w:lineRule="auto"/>
                  <w:jc w:val="right"/>
                  <w:rPr>
                    <w:rFonts w:ascii="Times New Roman" w:eastAsia="Times New Roman" w:hAnsi="Times New Roman"/>
                    <w:b/>
                    <w:bCs/>
                    <w:sz w:val="14"/>
                    <w:szCs w:val="14"/>
                    <w:lang w:eastAsia="es-CO"/>
                  </w:rPr>
                </w:pPr>
                <w:r w:rsidRPr="00DE0A54">
                  <w:rPr>
                    <w:rFonts w:ascii="Times New Roman" w:eastAsia="Times New Roman" w:hAnsi="Times New Roman"/>
                    <w:b/>
                    <w:bCs/>
                    <w:sz w:val="14"/>
                    <w:szCs w:val="14"/>
                    <w:lang w:eastAsia="es-CO"/>
                  </w:rPr>
                  <w:t>0</w:t>
                </w:r>
              </w:p>
            </w:tc>
            <w:tc>
              <w:tcPr>
                <w:tcW w:w="709" w:type="dxa"/>
                <w:shd w:val="clear" w:color="auto" w:fill="auto"/>
                <w:noWrap/>
                <w:vAlign w:val="center"/>
                <w:hideMark/>
              </w:tcPr>
              <w:p w14:paraId="547C9AF8" w14:textId="77777777" w:rsidR="00DE0A54" w:rsidRPr="00DE0A54" w:rsidRDefault="00DE0A54" w:rsidP="00DE0A54">
                <w:pPr>
                  <w:spacing w:after="0" w:line="240" w:lineRule="auto"/>
                  <w:jc w:val="center"/>
                  <w:rPr>
                    <w:rFonts w:ascii="Times New Roman" w:eastAsia="Times New Roman" w:hAnsi="Times New Roman"/>
                    <w:b/>
                    <w:bCs/>
                    <w:sz w:val="14"/>
                    <w:szCs w:val="14"/>
                    <w:lang w:eastAsia="es-CO"/>
                  </w:rPr>
                </w:pPr>
                <w:r w:rsidRPr="00DE0A54">
                  <w:rPr>
                    <w:rFonts w:ascii="Times New Roman" w:eastAsia="Times New Roman" w:hAnsi="Times New Roman"/>
                    <w:b/>
                    <w:bCs/>
                    <w:sz w:val="14"/>
                    <w:szCs w:val="14"/>
                    <w:lang w:eastAsia="es-CO"/>
                  </w:rPr>
                  <w:t>0</w:t>
                </w:r>
              </w:p>
            </w:tc>
            <w:tc>
              <w:tcPr>
                <w:tcW w:w="1319" w:type="dxa"/>
                <w:shd w:val="clear" w:color="auto" w:fill="auto"/>
                <w:noWrap/>
                <w:vAlign w:val="center"/>
                <w:hideMark/>
              </w:tcPr>
              <w:p w14:paraId="4B51FF86" w14:textId="77777777" w:rsidR="00DE0A54" w:rsidRPr="00DE0A54" w:rsidRDefault="00DE0A54" w:rsidP="00DE0A54">
                <w:pPr>
                  <w:spacing w:after="0" w:line="240" w:lineRule="auto"/>
                  <w:rPr>
                    <w:rFonts w:ascii="Times New Roman" w:eastAsia="Times New Roman" w:hAnsi="Times New Roman"/>
                    <w:b/>
                    <w:bCs/>
                    <w:sz w:val="14"/>
                    <w:szCs w:val="14"/>
                    <w:lang w:eastAsia="es-CO"/>
                  </w:rPr>
                </w:pPr>
                <w:r w:rsidRPr="00DE0A54">
                  <w:rPr>
                    <w:rFonts w:ascii="Times New Roman" w:eastAsia="Times New Roman" w:hAnsi="Times New Roman"/>
                    <w:b/>
                    <w:bCs/>
                    <w:sz w:val="14"/>
                    <w:szCs w:val="14"/>
                    <w:lang w:eastAsia="es-CO"/>
                  </w:rPr>
                  <w:t> </w:t>
                </w:r>
              </w:p>
            </w:tc>
          </w:tr>
          <w:tr w:rsidR="004E4586" w:rsidRPr="00DE0A54" w14:paraId="2EE8DD6C" w14:textId="77777777" w:rsidTr="00D97433">
            <w:trPr>
              <w:trHeight w:val="446"/>
            </w:trPr>
            <w:tc>
              <w:tcPr>
                <w:tcW w:w="988" w:type="dxa"/>
                <w:vMerge w:val="restart"/>
                <w:shd w:val="clear" w:color="auto" w:fill="auto"/>
                <w:noWrap/>
                <w:vAlign w:val="center"/>
                <w:hideMark/>
              </w:tcPr>
              <w:p w14:paraId="44225B6A" w14:textId="77777777" w:rsidR="00290051" w:rsidRPr="00DE0A54" w:rsidRDefault="00DE0A54" w:rsidP="00DE0A54">
                <w:pPr>
                  <w:spacing w:after="0" w:line="240" w:lineRule="auto"/>
                  <w:rPr>
                    <w:rFonts w:ascii="Times New Roman" w:eastAsia="Times New Roman" w:hAnsi="Times New Roman"/>
                    <w:b/>
                    <w:bCs/>
                    <w:sz w:val="14"/>
                    <w:szCs w:val="14"/>
                    <w:lang w:eastAsia="es-CO"/>
                  </w:rPr>
                </w:pPr>
                <w:r w:rsidRPr="00DE0A54">
                  <w:rPr>
                    <w:rFonts w:ascii="Times New Roman" w:eastAsia="Times New Roman" w:hAnsi="Times New Roman"/>
                    <w:b/>
                    <w:bCs/>
                    <w:sz w:val="14"/>
                    <w:szCs w:val="14"/>
                    <w:lang w:eastAsia="es-CO"/>
                  </w:rPr>
                  <w:t>1.1.32.10</w:t>
                </w:r>
              </w:p>
              <w:p w14:paraId="7519D443" w14:textId="77777777" w:rsidR="00290051" w:rsidRPr="00DE0A54" w:rsidRDefault="00290051" w:rsidP="00DE0A54">
                <w:pPr>
                  <w:spacing w:after="0" w:line="240" w:lineRule="auto"/>
                  <w:rPr>
                    <w:rFonts w:ascii="Times New Roman" w:eastAsia="Times New Roman" w:hAnsi="Times New Roman"/>
                    <w:sz w:val="14"/>
                    <w:szCs w:val="14"/>
                    <w:lang w:eastAsia="es-CO"/>
                  </w:rPr>
                </w:pPr>
                <w:r w:rsidRPr="00DE0A54">
                  <w:rPr>
                    <w:rFonts w:ascii="Times New Roman" w:eastAsia="Times New Roman" w:hAnsi="Times New Roman"/>
                    <w:sz w:val="14"/>
                    <w:szCs w:val="14"/>
                    <w:lang w:eastAsia="es-CO"/>
                  </w:rPr>
                  <w:t> </w:t>
                </w:r>
              </w:p>
              <w:p w14:paraId="0984339B" w14:textId="7AF0F79C" w:rsidR="00DE0A54" w:rsidRPr="00DE0A54" w:rsidRDefault="00290051" w:rsidP="00DE0A54">
                <w:pPr>
                  <w:spacing w:after="0" w:line="240" w:lineRule="auto"/>
                  <w:rPr>
                    <w:rFonts w:ascii="Times New Roman" w:eastAsia="Times New Roman" w:hAnsi="Times New Roman"/>
                    <w:b/>
                    <w:bCs/>
                    <w:sz w:val="14"/>
                    <w:szCs w:val="14"/>
                    <w:lang w:eastAsia="es-CO"/>
                  </w:rPr>
                </w:pPr>
                <w:r w:rsidRPr="00DE0A54">
                  <w:rPr>
                    <w:rFonts w:ascii="Times New Roman" w:eastAsia="Times New Roman" w:hAnsi="Times New Roman"/>
                    <w:sz w:val="14"/>
                    <w:szCs w:val="14"/>
                    <w:lang w:eastAsia="es-CO"/>
                  </w:rPr>
                  <w:t> </w:t>
                </w:r>
              </w:p>
            </w:tc>
            <w:tc>
              <w:tcPr>
                <w:tcW w:w="567" w:type="dxa"/>
                <w:vMerge w:val="restart"/>
                <w:shd w:val="clear" w:color="auto" w:fill="auto"/>
                <w:noWrap/>
                <w:vAlign w:val="center"/>
                <w:hideMark/>
              </w:tcPr>
              <w:p w14:paraId="62C1A36C" w14:textId="77777777" w:rsidR="00290051" w:rsidRPr="00DE0A54" w:rsidRDefault="00DE0A54" w:rsidP="00DE0A54">
                <w:pPr>
                  <w:spacing w:after="0" w:line="240" w:lineRule="auto"/>
                  <w:jc w:val="center"/>
                  <w:rPr>
                    <w:rFonts w:ascii="Times New Roman" w:eastAsia="Times New Roman" w:hAnsi="Times New Roman"/>
                    <w:b/>
                    <w:bCs/>
                    <w:sz w:val="14"/>
                    <w:szCs w:val="14"/>
                    <w:lang w:eastAsia="es-CO"/>
                  </w:rPr>
                </w:pPr>
                <w:r w:rsidRPr="00DE0A54">
                  <w:rPr>
                    <w:rFonts w:ascii="Times New Roman" w:eastAsia="Times New Roman" w:hAnsi="Times New Roman"/>
                    <w:b/>
                    <w:bCs/>
                    <w:sz w:val="14"/>
                    <w:szCs w:val="14"/>
                    <w:lang w:eastAsia="es-CO"/>
                  </w:rPr>
                  <w:t>Db</w:t>
                </w:r>
              </w:p>
              <w:p w14:paraId="39A753C8" w14:textId="77777777" w:rsidR="00290051" w:rsidRPr="00DE0A54" w:rsidRDefault="00290051" w:rsidP="00DE0A54">
                <w:pPr>
                  <w:spacing w:after="0" w:line="240" w:lineRule="auto"/>
                  <w:jc w:val="center"/>
                  <w:rPr>
                    <w:rFonts w:ascii="Times New Roman" w:eastAsia="Times New Roman" w:hAnsi="Times New Roman"/>
                    <w:sz w:val="14"/>
                    <w:szCs w:val="14"/>
                    <w:lang w:eastAsia="es-CO"/>
                  </w:rPr>
                </w:pPr>
                <w:r w:rsidRPr="00DE0A54">
                  <w:rPr>
                    <w:rFonts w:ascii="Times New Roman" w:eastAsia="Times New Roman" w:hAnsi="Times New Roman"/>
                    <w:sz w:val="14"/>
                    <w:szCs w:val="14"/>
                    <w:lang w:eastAsia="es-CO"/>
                  </w:rPr>
                  <w:t> </w:t>
                </w:r>
              </w:p>
              <w:p w14:paraId="2FBC7383" w14:textId="6345E88F" w:rsidR="00DE0A54" w:rsidRPr="00DE0A54" w:rsidRDefault="00290051" w:rsidP="00DE0A54">
                <w:pPr>
                  <w:spacing w:after="0" w:line="240" w:lineRule="auto"/>
                  <w:jc w:val="center"/>
                  <w:rPr>
                    <w:rFonts w:ascii="Times New Roman" w:eastAsia="Times New Roman" w:hAnsi="Times New Roman"/>
                    <w:b/>
                    <w:bCs/>
                    <w:sz w:val="14"/>
                    <w:szCs w:val="14"/>
                    <w:lang w:eastAsia="es-CO"/>
                  </w:rPr>
                </w:pPr>
                <w:r w:rsidRPr="00DE0A54">
                  <w:rPr>
                    <w:rFonts w:ascii="Times New Roman" w:eastAsia="Times New Roman" w:hAnsi="Times New Roman"/>
                    <w:sz w:val="14"/>
                    <w:szCs w:val="14"/>
                    <w:lang w:eastAsia="es-CO"/>
                  </w:rPr>
                  <w:t> </w:t>
                </w:r>
              </w:p>
            </w:tc>
            <w:tc>
              <w:tcPr>
                <w:tcW w:w="1559" w:type="dxa"/>
                <w:shd w:val="clear" w:color="auto" w:fill="auto"/>
                <w:vAlign w:val="center"/>
                <w:hideMark/>
              </w:tcPr>
              <w:p w14:paraId="6BA84264" w14:textId="77777777" w:rsidR="00DE0A54" w:rsidRPr="00DE0A54" w:rsidRDefault="00DE0A54" w:rsidP="00DE0A54">
                <w:pPr>
                  <w:spacing w:after="0" w:line="240" w:lineRule="auto"/>
                  <w:rPr>
                    <w:rFonts w:ascii="Times New Roman" w:eastAsia="Times New Roman" w:hAnsi="Times New Roman"/>
                    <w:b/>
                    <w:bCs/>
                    <w:sz w:val="14"/>
                    <w:szCs w:val="14"/>
                    <w:lang w:eastAsia="es-CO"/>
                  </w:rPr>
                </w:pPr>
                <w:r w:rsidRPr="00DE0A54">
                  <w:rPr>
                    <w:rFonts w:ascii="Times New Roman" w:eastAsia="Times New Roman" w:hAnsi="Times New Roman"/>
                    <w:b/>
                    <w:bCs/>
                    <w:sz w:val="14"/>
                    <w:szCs w:val="14"/>
                    <w:lang w:eastAsia="es-CO"/>
                  </w:rPr>
                  <w:t>Depósitos en instituciones financieras</w:t>
                </w:r>
              </w:p>
            </w:tc>
            <w:tc>
              <w:tcPr>
                <w:tcW w:w="850" w:type="dxa"/>
                <w:shd w:val="clear" w:color="auto" w:fill="auto"/>
                <w:noWrap/>
                <w:vAlign w:val="center"/>
                <w:hideMark/>
              </w:tcPr>
              <w:p w14:paraId="3107D7B3" w14:textId="77777777" w:rsidR="00DE0A54" w:rsidRPr="00DE0A54" w:rsidRDefault="00DE0A54" w:rsidP="00DE0A54">
                <w:pPr>
                  <w:spacing w:after="0" w:line="240" w:lineRule="auto"/>
                  <w:jc w:val="right"/>
                  <w:rPr>
                    <w:rFonts w:ascii="Times New Roman" w:eastAsia="Times New Roman" w:hAnsi="Times New Roman"/>
                    <w:b/>
                    <w:bCs/>
                    <w:sz w:val="14"/>
                    <w:szCs w:val="14"/>
                    <w:lang w:eastAsia="es-CO"/>
                  </w:rPr>
                </w:pPr>
                <w:r w:rsidRPr="00DE0A54">
                  <w:rPr>
                    <w:rFonts w:ascii="Times New Roman" w:eastAsia="Times New Roman" w:hAnsi="Times New Roman"/>
                    <w:b/>
                    <w:bCs/>
                    <w:sz w:val="14"/>
                    <w:szCs w:val="14"/>
                    <w:lang w:eastAsia="es-CO"/>
                  </w:rPr>
                  <w:t>2.655.258</w:t>
                </w:r>
              </w:p>
            </w:tc>
            <w:tc>
              <w:tcPr>
                <w:tcW w:w="993" w:type="dxa"/>
                <w:shd w:val="clear" w:color="auto" w:fill="auto"/>
                <w:noWrap/>
                <w:vAlign w:val="center"/>
                <w:hideMark/>
              </w:tcPr>
              <w:p w14:paraId="14EAB656" w14:textId="77777777" w:rsidR="00DE0A54" w:rsidRPr="00DE0A54" w:rsidRDefault="00DE0A54" w:rsidP="00DE0A54">
                <w:pPr>
                  <w:spacing w:after="0" w:line="240" w:lineRule="auto"/>
                  <w:jc w:val="right"/>
                  <w:rPr>
                    <w:rFonts w:ascii="Times New Roman" w:eastAsia="Times New Roman" w:hAnsi="Times New Roman"/>
                    <w:b/>
                    <w:bCs/>
                    <w:sz w:val="14"/>
                    <w:szCs w:val="14"/>
                    <w:lang w:eastAsia="es-CO"/>
                  </w:rPr>
                </w:pPr>
                <w:r w:rsidRPr="00DE0A54">
                  <w:rPr>
                    <w:rFonts w:ascii="Times New Roman" w:eastAsia="Times New Roman" w:hAnsi="Times New Roman"/>
                    <w:b/>
                    <w:bCs/>
                    <w:sz w:val="14"/>
                    <w:szCs w:val="14"/>
                    <w:lang w:eastAsia="es-CO"/>
                  </w:rPr>
                  <w:t>112.560.156</w:t>
                </w:r>
              </w:p>
            </w:tc>
            <w:tc>
              <w:tcPr>
                <w:tcW w:w="992" w:type="dxa"/>
                <w:shd w:val="clear" w:color="auto" w:fill="auto"/>
                <w:noWrap/>
                <w:vAlign w:val="center"/>
                <w:hideMark/>
              </w:tcPr>
              <w:p w14:paraId="0B61BF96" w14:textId="77777777" w:rsidR="00DE0A54" w:rsidRPr="00DE0A54" w:rsidRDefault="00DE0A54" w:rsidP="00DE0A54">
                <w:pPr>
                  <w:spacing w:after="0" w:line="240" w:lineRule="auto"/>
                  <w:jc w:val="right"/>
                  <w:rPr>
                    <w:rFonts w:ascii="Times New Roman" w:eastAsia="Times New Roman" w:hAnsi="Times New Roman"/>
                    <w:b/>
                    <w:bCs/>
                    <w:sz w:val="14"/>
                    <w:szCs w:val="14"/>
                    <w:lang w:eastAsia="es-CO"/>
                  </w:rPr>
                </w:pPr>
                <w:r w:rsidRPr="00DE0A54">
                  <w:rPr>
                    <w:rFonts w:ascii="Times New Roman" w:eastAsia="Times New Roman" w:hAnsi="Times New Roman"/>
                    <w:b/>
                    <w:bCs/>
                    <w:sz w:val="14"/>
                    <w:szCs w:val="14"/>
                    <w:lang w:eastAsia="es-CO"/>
                  </w:rPr>
                  <w:t>-109.904.898</w:t>
                </w:r>
              </w:p>
            </w:tc>
            <w:tc>
              <w:tcPr>
                <w:tcW w:w="992" w:type="dxa"/>
                <w:shd w:val="clear" w:color="auto" w:fill="auto"/>
                <w:noWrap/>
                <w:vAlign w:val="center"/>
                <w:hideMark/>
              </w:tcPr>
              <w:p w14:paraId="3FFF95C3" w14:textId="77777777" w:rsidR="00DE0A54" w:rsidRPr="00DE0A54" w:rsidRDefault="00DE0A54" w:rsidP="00DE0A54">
                <w:pPr>
                  <w:spacing w:after="0" w:line="240" w:lineRule="auto"/>
                  <w:jc w:val="right"/>
                  <w:rPr>
                    <w:rFonts w:ascii="Times New Roman" w:eastAsia="Times New Roman" w:hAnsi="Times New Roman"/>
                    <w:b/>
                    <w:bCs/>
                    <w:sz w:val="14"/>
                    <w:szCs w:val="14"/>
                    <w:lang w:eastAsia="es-CO"/>
                  </w:rPr>
                </w:pPr>
                <w:r w:rsidRPr="00DE0A54">
                  <w:rPr>
                    <w:rFonts w:ascii="Times New Roman" w:eastAsia="Times New Roman" w:hAnsi="Times New Roman"/>
                    <w:b/>
                    <w:bCs/>
                    <w:sz w:val="14"/>
                    <w:szCs w:val="14"/>
                    <w:lang w:eastAsia="es-CO"/>
                  </w:rPr>
                  <w:t>0</w:t>
                </w:r>
              </w:p>
            </w:tc>
            <w:tc>
              <w:tcPr>
                <w:tcW w:w="709" w:type="dxa"/>
                <w:shd w:val="clear" w:color="auto" w:fill="auto"/>
                <w:noWrap/>
                <w:vAlign w:val="center"/>
                <w:hideMark/>
              </w:tcPr>
              <w:p w14:paraId="4B21437D" w14:textId="77777777" w:rsidR="00DE0A54" w:rsidRPr="00DE0A54" w:rsidRDefault="00DE0A54" w:rsidP="00DE0A54">
                <w:pPr>
                  <w:spacing w:after="0" w:line="240" w:lineRule="auto"/>
                  <w:jc w:val="center"/>
                  <w:rPr>
                    <w:rFonts w:ascii="Times New Roman" w:eastAsia="Times New Roman" w:hAnsi="Times New Roman"/>
                    <w:b/>
                    <w:bCs/>
                    <w:sz w:val="14"/>
                    <w:szCs w:val="14"/>
                    <w:lang w:eastAsia="es-CO"/>
                  </w:rPr>
                </w:pPr>
                <w:r w:rsidRPr="00DE0A54">
                  <w:rPr>
                    <w:rFonts w:ascii="Times New Roman" w:eastAsia="Times New Roman" w:hAnsi="Times New Roman"/>
                    <w:b/>
                    <w:bCs/>
                    <w:sz w:val="14"/>
                    <w:szCs w:val="14"/>
                    <w:lang w:eastAsia="es-CO"/>
                  </w:rPr>
                  <w:t>0</w:t>
                </w:r>
              </w:p>
            </w:tc>
            <w:tc>
              <w:tcPr>
                <w:tcW w:w="1319" w:type="dxa"/>
                <w:shd w:val="clear" w:color="auto" w:fill="auto"/>
                <w:noWrap/>
                <w:vAlign w:val="center"/>
                <w:hideMark/>
              </w:tcPr>
              <w:p w14:paraId="5626F098" w14:textId="77777777" w:rsidR="00DE0A54" w:rsidRPr="00DE0A54" w:rsidRDefault="00DE0A54" w:rsidP="00DE0A54">
                <w:pPr>
                  <w:spacing w:after="0" w:line="240" w:lineRule="auto"/>
                  <w:rPr>
                    <w:rFonts w:ascii="Times New Roman" w:eastAsia="Times New Roman" w:hAnsi="Times New Roman"/>
                    <w:b/>
                    <w:bCs/>
                    <w:sz w:val="14"/>
                    <w:szCs w:val="14"/>
                    <w:lang w:eastAsia="es-CO"/>
                  </w:rPr>
                </w:pPr>
                <w:r w:rsidRPr="00DE0A54">
                  <w:rPr>
                    <w:rFonts w:ascii="Times New Roman" w:eastAsia="Times New Roman" w:hAnsi="Times New Roman"/>
                    <w:b/>
                    <w:bCs/>
                    <w:sz w:val="14"/>
                    <w:szCs w:val="14"/>
                    <w:lang w:eastAsia="es-CO"/>
                  </w:rPr>
                  <w:t> </w:t>
                </w:r>
              </w:p>
            </w:tc>
          </w:tr>
          <w:tr w:rsidR="004E4586" w:rsidRPr="00DE0A54" w14:paraId="3D337C60" w14:textId="77777777" w:rsidTr="00290051">
            <w:trPr>
              <w:trHeight w:val="347"/>
            </w:trPr>
            <w:tc>
              <w:tcPr>
                <w:tcW w:w="988" w:type="dxa"/>
                <w:vMerge/>
                <w:shd w:val="clear" w:color="auto" w:fill="auto"/>
                <w:noWrap/>
                <w:vAlign w:val="center"/>
                <w:hideMark/>
              </w:tcPr>
              <w:p w14:paraId="368348C8" w14:textId="66BB3A7A" w:rsidR="00DE0A54" w:rsidRPr="00DE0A54" w:rsidRDefault="00DE0A54" w:rsidP="00DE0A54">
                <w:pPr>
                  <w:spacing w:after="0" w:line="240" w:lineRule="auto"/>
                  <w:rPr>
                    <w:rFonts w:ascii="Times New Roman" w:eastAsia="Times New Roman" w:hAnsi="Times New Roman"/>
                    <w:sz w:val="14"/>
                    <w:szCs w:val="14"/>
                    <w:lang w:eastAsia="es-CO"/>
                  </w:rPr>
                </w:pPr>
              </w:p>
            </w:tc>
            <w:tc>
              <w:tcPr>
                <w:tcW w:w="567" w:type="dxa"/>
                <w:vMerge/>
                <w:shd w:val="clear" w:color="auto" w:fill="auto"/>
                <w:noWrap/>
                <w:vAlign w:val="center"/>
                <w:hideMark/>
              </w:tcPr>
              <w:p w14:paraId="658C049C" w14:textId="48C64C8E" w:rsidR="00DE0A54" w:rsidRPr="00DE0A54" w:rsidRDefault="00DE0A54" w:rsidP="00DE0A54">
                <w:pPr>
                  <w:spacing w:after="0" w:line="240" w:lineRule="auto"/>
                  <w:jc w:val="center"/>
                  <w:rPr>
                    <w:rFonts w:ascii="Times New Roman" w:eastAsia="Times New Roman" w:hAnsi="Times New Roman"/>
                    <w:sz w:val="14"/>
                    <w:szCs w:val="14"/>
                    <w:lang w:eastAsia="es-CO"/>
                  </w:rPr>
                </w:pPr>
              </w:p>
            </w:tc>
            <w:tc>
              <w:tcPr>
                <w:tcW w:w="1559" w:type="dxa"/>
                <w:shd w:val="clear" w:color="auto" w:fill="auto"/>
                <w:vAlign w:val="center"/>
                <w:hideMark/>
              </w:tcPr>
              <w:p w14:paraId="4799BA59" w14:textId="77777777" w:rsidR="00DE0A54" w:rsidRPr="00DE0A54" w:rsidRDefault="00DE0A54" w:rsidP="00DE0A54">
                <w:pPr>
                  <w:spacing w:after="0" w:line="240" w:lineRule="auto"/>
                  <w:rPr>
                    <w:rFonts w:ascii="Times New Roman" w:eastAsia="Times New Roman" w:hAnsi="Times New Roman"/>
                    <w:sz w:val="14"/>
                    <w:szCs w:val="14"/>
                    <w:lang w:eastAsia="es-CO"/>
                  </w:rPr>
                </w:pPr>
                <w:r w:rsidRPr="00DE0A54">
                  <w:rPr>
                    <w:rFonts w:ascii="Times New Roman" w:eastAsia="Times New Roman" w:hAnsi="Times New Roman"/>
                    <w:sz w:val="14"/>
                    <w:szCs w:val="14"/>
                    <w:lang w:eastAsia="es-CO"/>
                  </w:rPr>
                  <w:t>Cuenta corriente</w:t>
                </w:r>
              </w:p>
            </w:tc>
            <w:tc>
              <w:tcPr>
                <w:tcW w:w="850" w:type="dxa"/>
                <w:shd w:val="clear" w:color="auto" w:fill="auto"/>
                <w:noWrap/>
                <w:vAlign w:val="center"/>
                <w:hideMark/>
              </w:tcPr>
              <w:p w14:paraId="6F8ED4D3" w14:textId="77777777" w:rsidR="00DE0A54" w:rsidRPr="00DE0A54" w:rsidRDefault="00DE0A54" w:rsidP="00DE0A54">
                <w:pPr>
                  <w:spacing w:after="0" w:line="240" w:lineRule="auto"/>
                  <w:jc w:val="right"/>
                  <w:rPr>
                    <w:rFonts w:ascii="Times New Roman" w:eastAsia="Times New Roman" w:hAnsi="Times New Roman"/>
                    <w:sz w:val="14"/>
                    <w:szCs w:val="14"/>
                    <w:lang w:eastAsia="es-CO"/>
                  </w:rPr>
                </w:pPr>
                <w:r w:rsidRPr="00DE0A54">
                  <w:rPr>
                    <w:rFonts w:ascii="Times New Roman" w:eastAsia="Times New Roman" w:hAnsi="Times New Roman"/>
                    <w:sz w:val="14"/>
                    <w:szCs w:val="14"/>
                    <w:lang w:eastAsia="es-CO"/>
                  </w:rPr>
                  <w:t>0</w:t>
                </w:r>
              </w:p>
            </w:tc>
            <w:tc>
              <w:tcPr>
                <w:tcW w:w="993" w:type="dxa"/>
                <w:shd w:val="clear" w:color="auto" w:fill="auto"/>
                <w:noWrap/>
                <w:vAlign w:val="center"/>
                <w:hideMark/>
              </w:tcPr>
              <w:p w14:paraId="5587A374" w14:textId="77777777" w:rsidR="00DE0A54" w:rsidRPr="00DE0A54" w:rsidRDefault="00DE0A54" w:rsidP="00DE0A54">
                <w:pPr>
                  <w:spacing w:after="0" w:line="240" w:lineRule="auto"/>
                  <w:jc w:val="right"/>
                  <w:rPr>
                    <w:rFonts w:ascii="Times New Roman" w:eastAsia="Times New Roman" w:hAnsi="Times New Roman"/>
                    <w:sz w:val="14"/>
                    <w:szCs w:val="14"/>
                    <w:lang w:eastAsia="es-CO"/>
                  </w:rPr>
                </w:pPr>
                <w:r w:rsidRPr="00DE0A54">
                  <w:rPr>
                    <w:rFonts w:ascii="Times New Roman" w:eastAsia="Times New Roman" w:hAnsi="Times New Roman"/>
                    <w:sz w:val="14"/>
                    <w:szCs w:val="14"/>
                    <w:lang w:eastAsia="es-CO"/>
                  </w:rPr>
                  <w:t>13.059.593</w:t>
                </w:r>
              </w:p>
            </w:tc>
            <w:tc>
              <w:tcPr>
                <w:tcW w:w="992" w:type="dxa"/>
                <w:shd w:val="clear" w:color="auto" w:fill="auto"/>
                <w:noWrap/>
                <w:vAlign w:val="center"/>
                <w:hideMark/>
              </w:tcPr>
              <w:p w14:paraId="4F967C45" w14:textId="77777777" w:rsidR="00DE0A54" w:rsidRPr="00DE0A54" w:rsidRDefault="00DE0A54" w:rsidP="00DE0A54">
                <w:pPr>
                  <w:spacing w:after="0" w:line="240" w:lineRule="auto"/>
                  <w:jc w:val="right"/>
                  <w:rPr>
                    <w:rFonts w:ascii="Times New Roman" w:eastAsia="Times New Roman" w:hAnsi="Times New Roman"/>
                    <w:sz w:val="14"/>
                    <w:szCs w:val="14"/>
                    <w:lang w:eastAsia="es-CO"/>
                  </w:rPr>
                </w:pPr>
                <w:r w:rsidRPr="00DE0A54">
                  <w:rPr>
                    <w:rFonts w:ascii="Times New Roman" w:eastAsia="Times New Roman" w:hAnsi="Times New Roman"/>
                    <w:sz w:val="14"/>
                    <w:szCs w:val="14"/>
                    <w:lang w:eastAsia="es-CO"/>
                  </w:rPr>
                  <w:t>-13.059.593</w:t>
                </w:r>
              </w:p>
            </w:tc>
            <w:tc>
              <w:tcPr>
                <w:tcW w:w="992" w:type="dxa"/>
                <w:shd w:val="clear" w:color="auto" w:fill="auto"/>
                <w:noWrap/>
                <w:vAlign w:val="center"/>
                <w:hideMark/>
              </w:tcPr>
              <w:p w14:paraId="5B2A48D1" w14:textId="77777777" w:rsidR="00DE0A54" w:rsidRPr="00DE0A54" w:rsidRDefault="00DE0A54" w:rsidP="00DE0A54">
                <w:pPr>
                  <w:spacing w:after="0" w:line="240" w:lineRule="auto"/>
                  <w:jc w:val="right"/>
                  <w:rPr>
                    <w:rFonts w:ascii="Times New Roman" w:eastAsia="Times New Roman" w:hAnsi="Times New Roman"/>
                    <w:sz w:val="14"/>
                    <w:szCs w:val="14"/>
                    <w:lang w:eastAsia="es-CO"/>
                  </w:rPr>
                </w:pPr>
                <w:r w:rsidRPr="00DE0A54">
                  <w:rPr>
                    <w:rFonts w:ascii="Times New Roman" w:eastAsia="Times New Roman" w:hAnsi="Times New Roman"/>
                    <w:sz w:val="14"/>
                    <w:szCs w:val="14"/>
                    <w:lang w:eastAsia="es-CO"/>
                  </w:rPr>
                  <w:t>N/A</w:t>
                </w:r>
              </w:p>
            </w:tc>
            <w:tc>
              <w:tcPr>
                <w:tcW w:w="709" w:type="dxa"/>
                <w:shd w:val="clear" w:color="auto" w:fill="auto"/>
                <w:noWrap/>
                <w:vAlign w:val="center"/>
                <w:hideMark/>
              </w:tcPr>
              <w:p w14:paraId="00386D65" w14:textId="77777777" w:rsidR="00DE0A54" w:rsidRPr="00DE0A54" w:rsidRDefault="00DE0A54" w:rsidP="00DE0A54">
                <w:pPr>
                  <w:spacing w:after="0" w:line="240" w:lineRule="auto"/>
                  <w:jc w:val="center"/>
                  <w:rPr>
                    <w:rFonts w:ascii="Times New Roman" w:eastAsia="Times New Roman" w:hAnsi="Times New Roman"/>
                    <w:b/>
                    <w:bCs/>
                    <w:sz w:val="14"/>
                    <w:szCs w:val="14"/>
                    <w:lang w:eastAsia="es-CO"/>
                  </w:rPr>
                </w:pPr>
                <w:r w:rsidRPr="00DE0A54">
                  <w:rPr>
                    <w:rFonts w:ascii="Times New Roman" w:eastAsia="Times New Roman" w:hAnsi="Times New Roman"/>
                    <w:b/>
                    <w:bCs/>
                    <w:sz w:val="14"/>
                    <w:szCs w:val="14"/>
                    <w:lang w:eastAsia="es-CO"/>
                  </w:rPr>
                  <w:t>0</w:t>
                </w:r>
              </w:p>
            </w:tc>
            <w:tc>
              <w:tcPr>
                <w:tcW w:w="1319" w:type="dxa"/>
                <w:shd w:val="clear" w:color="auto" w:fill="auto"/>
                <w:noWrap/>
                <w:vAlign w:val="center"/>
                <w:hideMark/>
              </w:tcPr>
              <w:p w14:paraId="0FC96BA6" w14:textId="77777777" w:rsidR="00DE0A54" w:rsidRPr="00DE0A54" w:rsidRDefault="00DE0A54" w:rsidP="00250727">
                <w:pPr>
                  <w:spacing w:after="0" w:line="240" w:lineRule="auto"/>
                  <w:jc w:val="both"/>
                  <w:rPr>
                    <w:rFonts w:ascii="Times New Roman" w:eastAsia="Times New Roman" w:hAnsi="Times New Roman"/>
                    <w:sz w:val="14"/>
                    <w:szCs w:val="14"/>
                    <w:lang w:eastAsia="es-CO"/>
                  </w:rPr>
                </w:pPr>
                <w:r w:rsidRPr="00DE0A54">
                  <w:rPr>
                    <w:rFonts w:ascii="Times New Roman" w:eastAsia="Times New Roman" w:hAnsi="Times New Roman"/>
                    <w:sz w:val="14"/>
                    <w:szCs w:val="14"/>
                    <w:lang w:eastAsia="es-CO"/>
                  </w:rPr>
                  <w:t>Proceso Ejecutivo singular</w:t>
                </w:r>
              </w:p>
            </w:tc>
          </w:tr>
          <w:tr w:rsidR="00951A1F" w:rsidRPr="00DE0A54" w14:paraId="2C74355C" w14:textId="77777777" w:rsidTr="00D97433">
            <w:trPr>
              <w:trHeight w:val="310"/>
            </w:trPr>
            <w:tc>
              <w:tcPr>
                <w:tcW w:w="988" w:type="dxa"/>
                <w:vMerge/>
                <w:shd w:val="clear" w:color="auto" w:fill="auto"/>
                <w:noWrap/>
                <w:vAlign w:val="center"/>
                <w:hideMark/>
              </w:tcPr>
              <w:p w14:paraId="7B373223" w14:textId="69575A37" w:rsidR="00DE0A54" w:rsidRPr="00DE0A54" w:rsidRDefault="00DE0A54" w:rsidP="00DE0A54">
                <w:pPr>
                  <w:spacing w:after="0" w:line="240" w:lineRule="auto"/>
                  <w:rPr>
                    <w:rFonts w:ascii="Times New Roman" w:eastAsia="Times New Roman" w:hAnsi="Times New Roman"/>
                    <w:sz w:val="14"/>
                    <w:szCs w:val="14"/>
                    <w:lang w:eastAsia="es-CO"/>
                  </w:rPr>
                </w:pPr>
              </w:p>
            </w:tc>
            <w:tc>
              <w:tcPr>
                <w:tcW w:w="567" w:type="dxa"/>
                <w:vMerge/>
                <w:shd w:val="clear" w:color="auto" w:fill="auto"/>
                <w:noWrap/>
                <w:vAlign w:val="center"/>
                <w:hideMark/>
              </w:tcPr>
              <w:p w14:paraId="0F8B7522" w14:textId="7AB0813D" w:rsidR="00DE0A54" w:rsidRPr="00DE0A54" w:rsidRDefault="00DE0A54" w:rsidP="00DE0A54">
                <w:pPr>
                  <w:spacing w:after="0" w:line="240" w:lineRule="auto"/>
                  <w:jc w:val="center"/>
                  <w:rPr>
                    <w:rFonts w:ascii="Times New Roman" w:eastAsia="Times New Roman" w:hAnsi="Times New Roman"/>
                    <w:sz w:val="14"/>
                    <w:szCs w:val="14"/>
                    <w:lang w:eastAsia="es-CO"/>
                  </w:rPr>
                </w:pPr>
              </w:p>
            </w:tc>
            <w:tc>
              <w:tcPr>
                <w:tcW w:w="1559" w:type="dxa"/>
                <w:shd w:val="clear" w:color="auto" w:fill="auto"/>
                <w:vAlign w:val="center"/>
                <w:hideMark/>
              </w:tcPr>
              <w:p w14:paraId="74195C1C" w14:textId="77777777" w:rsidR="00DE0A54" w:rsidRPr="00DE0A54" w:rsidRDefault="00DE0A54" w:rsidP="00DE0A54">
                <w:pPr>
                  <w:spacing w:after="0" w:line="240" w:lineRule="auto"/>
                  <w:rPr>
                    <w:rFonts w:ascii="Times New Roman" w:eastAsia="Times New Roman" w:hAnsi="Times New Roman"/>
                    <w:sz w:val="14"/>
                    <w:szCs w:val="14"/>
                    <w:lang w:eastAsia="es-CO"/>
                  </w:rPr>
                </w:pPr>
                <w:r w:rsidRPr="00DE0A54">
                  <w:rPr>
                    <w:rFonts w:ascii="Times New Roman" w:eastAsia="Times New Roman" w:hAnsi="Times New Roman"/>
                    <w:sz w:val="14"/>
                    <w:szCs w:val="14"/>
                    <w:lang w:eastAsia="es-CO"/>
                  </w:rPr>
                  <w:t>Cuenta de ahorro</w:t>
                </w:r>
              </w:p>
            </w:tc>
            <w:tc>
              <w:tcPr>
                <w:tcW w:w="850" w:type="dxa"/>
                <w:shd w:val="clear" w:color="auto" w:fill="auto"/>
                <w:noWrap/>
                <w:vAlign w:val="center"/>
                <w:hideMark/>
              </w:tcPr>
              <w:p w14:paraId="0BEF984F" w14:textId="77777777" w:rsidR="00DE0A54" w:rsidRPr="00DE0A54" w:rsidRDefault="00DE0A54" w:rsidP="00DE0A54">
                <w:pPr>
                  <w:spacing w:after="0" w:line="240" w:lineRule="auto"/>
                  <w:jc w:val="right"/>
                  <w:rPr>
                    <w:rFonts w:ascii="Times New Roman" w:eastAsia="Times New Roman" w:hAnsi="Times New Roman"/>
                    <w:sz w:val="14"/>
                    <w:szCs w:val="14"/>
                    <w:lang w:eastAsia="es-CO"/>
                  </w:rPr>
                </w:pPr>
                <w:r w:rsidRPr="00DE0A54">
                  <w:rPr>
                    <w:rFonts w:ascii="Times New Roman" w:eastAsia="Times New Roman" w:hAnsi="Times New Roman"/>
                    <w:sz w:val="14"/>
                    <w:szCs w:val="14"/>
                    <w:lang w:eastAsia="es-CO"/>
                  </w:rPr>
                  <w:t>2.655.258</w:t>
                </w:r>
              </w:p>
            </w:tc>
            <w:tc>
              <w:tcPr>
                <w:tcW w:w="993" w:type="dxa"/>
                <w:shd w:val="clear" w:color="auto" w:fill="auto"/>
                <w:noWrap/>
                <w:vAlign w:val="center"/>
                <w:hideMark/>
              </w:tcPr>
              <w:p w14:paraId="01B2C52D" w14:textId="77777777" w:rsidR="00DE0A54" w:rsidRPr="00DE0A54" w:rsidRDefault="00DE0A54" w:rsidP="00DE0A54">
                <w:pPr>
                  <w:spacing w:after="0" w:line="240" w:lineRule="auto"/>
                  <w:jc w:val="right"/>
                  <w:rPr>
                    <w:rFonts w:ascii="Times New Roman" w:eastAsia="Times New Roman" w:hAnsi="Times New Roman"/>
                    <w:sz w:val="14"/>
                    <w:szCs w:val="14"/>
                    <w:lang w:eastAsia="es-CO"/>
                  </w:rPr>
                </w:pPr>
                <w:r w:rsidRPr="00DE0A54">
                  <w:rPr>
                    <w:rFonts w:ascii="Times New Roman" w:eastAsia="Times New Roman" w:hAnsi="Times New Roman"/>
                    <w:sz w:val="14"/>
                    <w:szCs w:val="14"/>
                    <w:lang w:eastAsia="es-CO"/>
                  </w:rPr>
                  <w:t>99.500.563</w:t>
                </w:r>
              </w:p>
            </w:tc>
            <w:tc>
              <w:tcPr>
                <w:tcW w:w="992" w:type="dxa"/>
                <w:shd w:val="clear" w:color="auto" w:fill="auto"/>
                <w:noWrap/>
                <w:vAlign w:val="center"/>
                <w:hideMark/>
              </w:tcPr>
              <w:p w14:paraId="424304D9" w14:textId="77777777" w:rsidR="00DE0A54" w:rsidRPr="00DE0A54" w:rsidRDefault="00DE0A54" w:rsidP="00DE0A54">
                <w:pPr>
                  <w:spacing w:after="0" w:line="240" w:lineRule="auto"/>
                  <w:jc w:val="right"/>
                  <w:rPr>
                    <w:rFonts w:ascii="Times New Roman" w:eastAsia="Times New Roman" w:hAnsi="Times New Roman"/>
                    <w:sz w:val="14"/>
                    <w:szCs w:val="14"/>
                    <w:lang w:eastAsia="es-CO"/>
                  </w:rPr>
                </w:pPr>
                <w:r w:rsidRPr="00DE0A54">
                  <w:rPr>
                    <w:rFonts w:ascii="Times New Roman" w:eastAsia="Times New Roman" w:hAnsi="Times New Roman"/>
                    <w:sz w:val="14"/>
                    <w:szCs w:val="14"/>
                    <w:lang w:eastAsia="es-CO"/>
                  </w:rPr>
                  <w:t>-96.845.305</w:t>
                </w:r>
              </w:p>
            </w:tc>
            <w:tc>
              <w:tcPr>
                <w:tcW w:w="992" w:type="dxa"/>
                <w:shd w:val="clear" w:color="auto" w:fill="auto"/>
                <w:noWrap/>
                <w:vAlign w:val="center"/>
                <w:hideMark/>
              </w:tcPr>
              <w:p w14:paraId="201DC6D6" w14:textId="77777777" w:rsidR="00DE0A54" w:rsidRPr="00DE0A54" w:rsidRDefault="00DE0A54" w:rsidP="00DE0A54">
                <w:pPr>
                  <w:spacing w:after="0" w:line="240" w:lineRule="auto"/>
                  <w:jc w:val="right"/>
                  <w:rPr>
                    <w:rFonts w:ascii="Times New Roman" w:eastAsia="Times New Roman" w:hAnsi="Times New Roman"/>
                    <w:sz w:val="14"/>
                    <w:szCs w:val="14"/>
                    <w:lang w:eastAsia="es-CO"/>
                  </w:rPr>
                </w:pPr>
                <w:r w:rsidRPr="00DE0A54">
                  <w:rPr>
                    <w:rFonts w:ascii="Times New Roman" w:eastAsia="Times New Roman" w:hAnsi="Times New Roman"/>
                    <w:sz w:val="14"/>
                    <w:szCs w:val="14"/>
                    <w:lang w:eastAsia="es-CO"/>
                  </w:rPr>
                  <w:t>N/A</w:t>
                </w:r>
              </w:p>
            </w:tc>
            <w:tc>
              <w:tcPr>
                <w:tcW w:w="709" w:type="dxa"/>
                <w:shd w:val="clear" w:color="auto" w:fill="auto"/>
                <w:noWrap/>
                <w:vAlign w:val="center"/>
                <w:hideMark/>
              </w:tcPr>
              <w:p w14:paraId="3161CD98" w14:textId="77777777" w:rsidR="00DE0A54" w:rsidRPr="00DE0A54" w:rsidRDefault="00DE0A54" w:rsidP="00DE0A54">
                <w:pPr>
                  <w:spacing w:after="0" w:line="240" w:lineRule="auto"/>
                  <w:jc w:val="center"/>
                  <w:rPr>
                    <w:rFonts w:ascii="Times New Roman" w:eastAsia="Times New Roman" w:hAnsi="Times New Roman"/>
                    <w:b/>
                    <w:bCs/>
                    <w:sz w:val="14"/>
                    <w:szCs w:val="14"/>
                    <w:lang w:eastAsia="es-CO"/>
                  </w:rPr>
                </w:pPr>
                <w:r w:rsidRPr="00DE0A54">
                  <w:rPr>
                    <w:rFonts w:ascii="Times New Roman" w:eastAsia="Times New Roman" w:hAnsi="Times New Roman"/>
                    <w:b/>
                    <w:bCs/>
                    <w:sz w:val="14"/>
                    <w:szCs w:val="14"/>
                    <w:lang w:eastAsia="es-CO"/>
                  </w:rPr>
                  <w:t>0</w:t>
                </w:r>
              </w:p>
            </w:tc>
            <w:tc>
              <w:tcPr>
                <w:tcW w:w="1319" w:type="dxa"/>
                <w:shd w:val="clear" w:color="auto" w:fill="auto"/>
                <w:vAlign w:val="center"/>
                <w:hideMark/>
              </w:tcPr>
              <w:p w14:paraId="10190F7F" w14:textId="77777777" w:rsidR="00DE0A54" w:rsidRPr="00DE0A54" w:rsidRDefault="00DE0A54" w:rsidP="00250727">
                <w:pPr>
                  <w:spacing w:after="0" w:line="240" w:lineRule="auto"/>
                  <w:jc w:val="both"/>
                  <w:rPr>
                    <w:rFonts w:ascii="Times New Roman" w:eastAsia="Times New Roman" w:hAnsi="Times New Roman"/>
                    <w:sz w:val="14"/>
                    <w:szCs w:val="14"/>
                    <w:lang w:eastAsia="es-CO"/>
                  </w:rPr>
                </w:pPr>
                <w:r w:rsidRPr="00DE0A54">
                  <w:rPr>
                    <w:rFonts w:ascii="Times New Roman" w:eastAsia="Times New Roman" w:hAnsi="Times New Roman"/>
                    <w:sz w:val="14"/>
                    <w:szCs w:val="14"/>
                    <w:lang w:eastAsia="es-CO"/>
                  </w:rPr>
                  <w:t xml:space="preserve">Proceso de expropiación y proceso ejecutivo laboral </w:t>
                </w:r>
              </w:p>
            </w:tc>
          </w:tr>
        </w:tbl>
        <w:p w14:paraId="1C7A47A6" w14:textId="6870C91F" w:rsidR="004B00B2" w:rsidRPr="00931DCE" w:rsidRDefault="00AD2026" w:rsidP="004B00B2">
          <w:pPr>
            <w:spacing w:after="0" w:line="240" w:lineRule="auto"/>
            <w:jc w:val="both"/>
            <w:rPr>
              <w:rFonts w:ascii="Times New Roman" w:hAnsi="Times New Roman"/>
              <w:sz w:val="24"/>
              <w:szCs w:val="24"/>
            </w:rPr>
          </w:pPr>
          <w:r w:rsidRPr="00931DCE">
            <w:rPr>
              <w:rFonts w:ascii="Times New Roman" w:hAnsi="Times New Roman"/>
              <w:sz w:val="14"/>
              <w:szCs w:val="14"/>
            </w:rPr>
            <w:t>Cifras expresadas en pesos</w:t>
          </w:r>
        </w:p>
        <w:p w14:paraId="50C5AB22" w14:textId="77777777" w:rsidR="00817DE5" w:rsidRPr="00931DCE" w:rsidRDefault="00817DE5" w:rsidP="00755FB8">
          <w:pPr>
            <w:spacing w:after="0" w:line="240" w:lineRule="auto"/>
            <w:jc w:val="both"/>
            <w:rPr>
              <w:rFonts w:ascii="Times New Roman" w:hAnsi="Times New Roman"/>
              <w:sz w:val="24"/>
              <w:szCs w:val="24"/>
            </w:rPr>
          </w:pPr>
        </w:p>
        <w:p w14:paraId="0C5A9F9F" w14:textId="540E3503" w:rsidR="00153D8D" w:rsidRDefault="00FD7F07" w:rsidP="00D772C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La variación de $1</w:t>
          </w:r>
          <w:r w:rsidR="0004241C">
            <w:rPr>
              <w:rFonts w:ascii="Times New Roman" w:hAnsi="Times New Roman"/>
              <w:sz w:val="24"/>
              <w:szCs w:val="24"/>
            </w:rPr>
            <w:t>3.</w:t>
          </w:r>
          <w:r w:rsidR="00534725">
            <w:rPr>
              <w:rFonts w:ascii="Times New Roman" w:hAnsi="Times New Roman"/>
              <w:sz w:val="24"/>
              <w:szCs w:val="24"/>
            </w:rPr>
            <w:t>0</w:t>
          </w:r>
          <w:r w:rsidR="0004241C">
            <w:rPr>
              <w:rFonts w:ascii="Times New Roman" w:hAnsi="Times New Roman"/>
              <w:sz w:val="24"/>
              <w:szCs w:val="24"/>
            </w:rPr>
            <w:t xml:space="preserve">59.593 </w:t>
          </w:r>
          <w:r w:rsidR="006C1D52">
            <w:rPr>
              <w:rFonts w:ascii="Times New Roman" w:hAnsi="Times New Roman"/>
              <w:sz w:val="24"/>
              <w:szCs w:val="24"/>
            </w:rPr>
            <w:t xml:space="preserve">en la cuenta corriente de uso </w:t>
          </w:r>
          <w:r w:rsidR="00B36ADA">
            <w:rPr>
              <w:rFonts w:ascii="Times New Roman" w:hAnsi="Times New Roman"/>
              <w:sz w:val="24"/>
              <w:szCs w:val="24"/>
            </w:rPr>
            <w:t>restringido y</w:t>
          </w:r>
          <w:r w:rsidR="00AF313E">
            <w:rPr>
              <w:rFonts w:ascii="Times New Roman" w:hAnsi="Times New Roman"/>
              <w:sz w:val="24"/>
              <w:szCs w:val="24"/>
            </w:rPr>
            <w:t xml:space="preserve"> </w:t>
          </w:r>
          <w:r w:rsidR="0087454D">
            <w:rPr>
              <w:rFonts w:ascii="Times New Roman" w:hAnsi="Times New Roman"/>
              <w:sz w:val="24"/>
              <w:szCs w:val="24"/>
            </w:rPr>
            <w:t>de $</w:t>
          </w:r>
          <w:r w:rsidR="0002633B">
            <w:rPr>
              <w:rFonts w:ascii="Times New Roman" w:hAnsi="Times New Roman"/>
              <w:sz w:val="24"/>
              <w:szCs w:val="24"/>
            </w:rPr>
            <w:t>99.500.563</w:t>
          </w:r>
          <w:r w:rsidR="009150E3">
            <w:rPr>
              <w:rFonts w:ascii="Times New Roman" w:hAnsi="Times New Roman"/>
              <w:sz w:val="24"/>
              <w:szCs w:val="24"/>
            </w:rPr>
            <w:t xml:space="preserve"> </w:t>
          </w:r>
          <w:r w:rsidR="00CA4AC1">
            <w:rPr>
              <w:rFonts w:ascii="Times New Roman" w:hAnsi="Times New Roman"/>
              <w:sz w:val="24"/>
              <w:szCs w:val="24"/>
            </w:rPr>
            <w:t>corresponde a reclasificaci</w:t>
          </w:r>
          <w:r w:rsidR="009B797E">
            <w:rPr>
              <w:rFonts w:ascii="Times New Roman" w:hAnsi="Times New Roman"/>
              <w:sz w:val="24"/>
              <w:szCs w:val="24"/>
            </w:rPr>
            <w:t>ones</w:t>
          </w:r>
          <w:r w:rsidR="005A1201">
            <w:rPr>
              <w:rFonts w:ascii="Times New Roman" w:hAnsi="Times New Roman"/>
              <w:sz w:val="24"/>
              <w:szCs w:val="24"/>
            </w:rPr>
            <w:t xml:space="preserve"> de subcuentas contables</w:t>
          </w:r>
          <w:r w:rsidR="0087454D">
            <w:rPr>
              <w:rFonts w:ascii="Times New Roman" w:hAnsi="Times New Roman"/>
              <w:sz w:val="24"/>
              <w:szCs w:val="24"/>
            </w:rPr>
            <w:t xml:space="preserve"> </w:t>
          </w:r>
          <w:r w:rsidR="00C80361">
            <w:rPr>
              <w:rFonts w:ascii="Times New Roman" w:hAnsi="Times New Roman"/>
              <w:sz w:val="24"/>
              <w:szCs w:val="24"/>
            </w:rPr>
            <w:t xml:space="preserve">del efectivo de uso restringido </w:t>
          </w:r>
          <w:r w:rsidR="00BB799C">
            <w:rPr>
              <w:rFonts w:ascii="Times New Roman" w:hAnsi="Times New Roman"/>
              <w:sz w:val="24"/>
              <w:szCs w:val="24"/>
            </w:rPr>
            <w:t xml:space="preserve">a depósitos judiciales </w:t>
          </w:r>
          <w:r w:rsidR="005A1201">
            <w:rPr>
              <w:rFonts w:ascii="Times New Roman" w:hAnsi="Times New Roman"/>
              <w:sz w:val="24"/>
              <w:szCs w:val="24"/>
            </w:rPr>
            <w:t xml:space="preserve"> </w:t>
          </w:r>
          <w:r w:rsidR="00BF1536">
            <w:rPr>
              <w:rFonts w:ascii="Times New Roman" w:hAnsi="Times New Roman"/>
              <w:sz w:val="24"/>
              <w:szCs w:val="24"/>
            </w:rPr>
            <w:t xml:space="preserve"> </w:t>
          </w:r>
          <w:r w:rsidR="00D772C4">
            <w:rPr>
              <w:rFonts w:ascii="Times New Roman" w:hAnsi="Times New Roman"/>
              <w:sz w:val="24"/>
              <w:szCs w:val="24"/>
            </w:rPr>
            <w:t>atendiendo</w:t>
          </w:r>
          <w:r w:rsidR="006872ED">
            <w:rPr>
              <w:rFonts w:ascii="Times New Roman" w:hAnsi="Times New Roman"/>
              <w:sz w:val="24"/>
              <w:szCs w:val="24"/>
            </w:rPr>
            <w:t xml:space="preserve"> lo </w:t>
          </w:r>
          <w:r w:rsidR="00C7389A">
            <w:rPr>
              <w:rFonts w:ascii="Times New Roman" w:hAnsi="Times New Roman"/>
              <w:sz w:val="24"/>
              <w:szCs w:val="24"/>
            </w:rPr>
            <w:t>R</w:t>
          </w:r>
          <w:r w:rsidR="00AE6BA9" w:rsidRPr="00D772C4">
            <w:rPr>
              <w:rFonts w:ascii="Times New Roman" w:hAnsi="Times New Roman"/>
              <w:sz w:val="24"/>
              <w:szCs w:val="24"/>
            </w:rPr>
            <w:t xml:space="preserve">esolución </w:t>
          </w:r>
          <w:r w:rsidR="00C7389A">
            <w:rPr>
              <w:rFonts w:ascii="Times New Roman" w:hAnsi="Times New Roman"/>
              <w:sz w:val="24"/>
              <w:szCs w:val="24"/>
            </w:rPr>
            <w:t>CGN No. R</w:t>
          </w:r>
          <w:r w:rsidR="00AE6BA9" w:rsidRPr="00D772C4">
            <w:rPr>
              <w:rFonts w:ascii="Times New Roman" w:hAnsi="Times New Roman"/>
              <w:sz w:val="24"/>
              <w:szCs w:val="24"/>
            </w:rPr>
            <w:t>80 de 2021 y el origen de cada uno de</w:t>
          </w:r>
          <w:r w:rsidR="00D772C4">
            <w:rPr>
              <w:rFonts w:ascii="Times New Roman" w:hAnsi="Times New Roman"/>
              <w:sz w:val="24"/>
              <w:szCs w:val="24"/>
            </w:rPr>
            <w:t xml:space="preserve"> </w:t>
          </w:r>
          <w:r w:rsidR="00AE6BA9" w:rsidRPr="00255EEF">
            <w:rPr>
              <w:rFonts w:ascii="Times New Roman" w:hAnsi="Times New Roman"/>
              <w:sz w:val="24"/>
              <w:szCs w:val="24"/>
            </w:rPr>
            <w:t>procesos que conforman el efectivo de uso restringido</w:t>
          </w:r>
          <w:r w:rsidR="00780EB7">
            <w:rPr>
              <w:rFonts w:ascii="Times New Roman" w:hAnsi="Times New Roman"/>
              <w:sz w:val="24"/>
              <w:szCs w:val="24"/>
            </w:rPr>
            <w:t>.</w:t>
          </w:r>
        </w:p>
        <w:p w14:paraId="4A71FB1B" w14:textId="77777777" w:rsidR="00780EB7" w:rsidRDefault="00780EB7" w:rsidP="00D772C4">
          <w:pPr>
            <w:autoSpaceDE w:val="0"/>
            <w:autoSpaceDN w:val="0"/>
            <w:adjustRightInd w:val="0"/>
            <w:spacing w:after="0" w:line="240" w:lineRule="auto"/>
            <w:jc w:val="both"/>
            <w:rPr>
              <w:rFonts w:ascii="Times New Roman" w:hAnsi="Times New Roman"/>
              <w:sz w:val="24"/>
              <w:szCs w:val="24"/>
            </w:rPr>
          </w:pPr>
        </w:p>
        <w:p w14:paraId="20D1C21C" w14:textId="480F638F" w:rsidR="00153D8D" w:rsidRDefault="00153D8D" w:rsidP="00D772C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w:t>
          </w:r>
          <w:r w:rsidR="005A71F7">
            <w:rPr>
              <w:rFonts w:ascii="Times New Roman" w:hAnsi="Times New Roman"/>
              <w:sz w:val="24"/>
              <w:szCs w:val="24"/>
            </w:rPr>
            <w:t>l valor de $</w:t>
          </w:r>
          <w:r w:rsidR="00FB60E8">
            <w:rPr>
              <w:rFonts w:ascii="Times New Roman" w:hAnsi="Times New Roman"/>
              <w:sz w:val="24"/>
              <w:szCs w:val="24"/>
            </w:rPr>
            <w:t xml:space="preserve">2.622.258 </w:t>
          </w:r>
          <w:r w:rsidR="008F0BB4">
            <w:rPr>
              <w:rFonts w:ascii="Times New Roman" w:hAnsi="Times New Roman"/>
              <w:sz w:val="24"/>
              <w:szCs w:val="24"/>
            </w:rPr>
            <w:t xml:space="preserve">que se </w:t>
          </w:r>
          <w:r w:rsidR="00780EB7">
            <w:rPr>
              <w:rFonts w:ascii="Times New Roman" w:hAnsi="Times New Roman"/>
              <w:sz w:val="24"/>
              <w:szCs w:val="24"/>
            </w:rPr>
            <w:t xml:space="preserve">refleja en la cuenta de ahorros de </w:t>
          </w:r>
          <w:r w:rsidR="00DA5C21">
            <w:rPr>
              <w:rFonts w:ascii="Times New Roman" w:hAnsi="Times New Roman"/>
              <w:sz w:val="24"/>
              <w:szCs w:val="24"/>
            </w:rPr>
            <w:t xml:space="preserve">efectivo de uso restringido </w:t>
          </w:r>
          <w:r w:rsidR="00E2305E">
            <w:rPr>
              <w:rFonts w:ascii="Times New Roman" w:hAnsi="Times New Roman"/>
              <w:sz w:val="24"/>
              <w:szCs w:val="24"/>
            </w:rPr>
            <w:t xml:space="preserve">corresponde a </w:t>
          </w:r>
          <w:r w:rsidR="003F1A1F">
            <w:rPr>
              <w:rFonts w:ascii="Times New Roman" w:hAnsi="Times New Roman"/>
              <w:sz w:val="24"/>
              <w:szCs w:val="24"/>
            </w:rPr>
            <w:t>un proceso ejecutivo</w:t>
          </w:r>
          <w:r w:rsidR="00AE7230">
            <w:rPr>
              <w:rFonts w:ascii="Times New Roman" w:hAnsi="Times New Roman"/>
              <w:sz w:val="24"/>
              <w:szCs w:val="24"/>
            </w:rPr>
            <w:t xml:space="preserve"> en el cual se espera la recuperación </w:t>
          </w:r>
          <w:r w:rsidR="00DC4318">
            <w:rPr>
              <w:rFonts w:ascii="Times New Roman" w:hAnsi="Times New Roman"/>
              <w:sz w:val="24"/>
              <w:szCs w:val="24"/>
            </w:rPr>
            <w:t xml:space="preserve">de estos recursos por parte de </w:t>
          </w:r>
          <w:r w:rsidR="00F42534">
            <w:rPr>
              <w:rFonts w:ascii="Times New Roman" w:hAnsi="Times New Roman"/>
              <w:sz w:val="24"/>
              <w:szCs w:val="24"/>
            </w:rPr>
            <w:t>la Agencia.</w:t>
          </w:r>
        </w:p>
        <w:p w14:paraId="4E218B79" w14:textId="77777777" w:rsidR="00B36ADA" w:rsidRDefault="00B36ADA" w:rsidP="00D772C4">
          <w:pPr>
            <w:autoSpaceDE w:val="0"/>
            <w:autoSpaceDN w:val="0"/>
            <w:adjustRightInd w:val="0"/>
            <w:spacing w:after="0" w:line="240" w:lineRule="auto"/>
            <w:jc w:val="both"/>
            <w:rPr>
              <w:rFonts w:ascii="Times New Roman" w:hAnsi="Times New Roman"/>
              <w:sz w:val="24"/>
              <w:szCs w:val="24"/>
            </w:rPr>
          </w:pPr>
        </w:p>
        <w:p w14:paraId="78AB16A9" w14:textId="0B22B90B" w:rsidR="00755FB8" w:rsidRPr="00931DCE" w:rsidRDefault="00755FB8" w:rsidP="00F42534">
          <w:pPr>
            <w:autoSpaceDE w:val="0"/>
            <w:autoSpaceDN w:val="0"/>
            <w:adjustRightInd w:val="0"/>
            <w:spacing w:after="0" w:line="240" w:lineRule="auto"/>
            <w:jc w:val="both"/>
            <w:rPr>
              <w:rFonts w:ascii="Times New Roman" w:hAnsi="Times New Roman"/>
              <w:sz w:val="24"/>
              <w:szCs w:val="24"/>
            </w:rPr>
          </w:pPr>
          <w:r w:rsidRPr="00931DCE">
            <w:rPr>
              <w:rFonts w:ascii="Times New Roman" w:hAnsi="Times New Roman"/>
              <w:sz w:val="24"/>
              <w:szCs w:val="24"/>
            </w:rPr>
            <w:t xml:space="preserve">Por la naturaleza del activo (restringido), no </w:t>
          </w:r>
          <w:r w:rsidR="00F20FB7">
            <w:rPr>
              <w:rFonts w:ascii="Times New Roman" w:hAnsi="Times New Roman"/>
              <w:sz w:val="24"/>
              <w:szCs w:val="24"/>
            </w:rPr>
            <w:t xml:space="preserve">hay lugar a </w:t>
          </w:r>
          <w:r w:rsidRPr="00931DCE">
            <w:rPr>
              <w:rFonts w:ascii="Times New Roman" w:hAnsi="Times New Roman"/>
              <w:sz w:val="24"/>
              <w:szCs w:val="24"/>
            </w:rPr>
            <w:t>rentabilidad y no aplica tasa promedio.</w:t>
          </w:r>
        </w:p>
        <w:p w14:paraId="56914BC0" w14:textId="77777777" w:rsidR="00755FB8" w:rsidRPr="00931DCE" w:rsidRDefault="00755FB8" w:rsidP="00755FB8">
          <w:pPr>
            <w:spacing w:after="0" w:line="240" w:lineRule="auto"/>
            <w:jc w:val="both"/>
            <w:rPr>
              <w:rFonts w:ascii="Times New Roman" w:hAnsi="Times New Roman"/>
              <w:sz w:val="24"/>
              <w:szCs w:val="24"/>
            </w:rPr>
          </w:pPr>
        </w:p>
        <w:p w14:paraId="73E5EDDC" w14:textId="25A4A9D6" w:rsidR="4DB104C3" w:rsidRDefault="00755FB8" w:rsidP="4DB104C3">
          <w:pPr>
            <w:spacing w:after="0" w:line="240" w:lineRule="auto"/>
            <w:jc w:val="both"/>
            <w:rPr>
              <w:rFonts w:ascii="Times New Roman" w:hAnsi="Times New Roman"/>
              <w:sz w:val="24"/>
              <w:szCs w:val="24"/>
            </w:rPr>
          </w:pPr>
          <w:r w:rsidRPr="00931DCE">
            <w:rPr>
              <w:rFonts w:ascii="Times New Roman" w:hAnsi="Times New Roman"/>
              <w:sz w:val="24"/>
              <w:szCs w:val="24"/>
            </w:rPr>
            <w:t xml:space="preserve">A continuación, y detallan </w:t>
          </w:r>
          <w:r w:rsidR="00E65AA7">
            <w:rPr>
              <w:rFonts w:ascii="Times New Roman" w:hAnsi="Times New Roman"/>
              <w:sz w:val="24"/>
              <w:szCs w:val="24"/>
            </w:rPr>
            <w:t xml:space="preserve">cada una de </w:t>
          </w:r>
          <w:r w:rsidRPr="00931DCE">
            <w:rPr>
              <w:rFonts w:ascii="Times New Roman" w:hAnsi="Times New Roman"/>
              <w:sz w:val="24"/>
              <w:szCs w:val="24"/>
            </w:rPr>
            <w:t>las partidas</w:t>
          </w:r>
          <w:r w:rsidR="00E65AA7">
            <w:rPr>
              <w:rFonts w:ascii="Times New Roman" w:hAnsi="Times New Roman"/>
              <w:sz w:val="24"/>
              <w:szCs w:val="24"/>
            </w:rPr>
            <w:t xml:space="preserve"> embargadas</w:t>
          </w:r>
        </w:p>
        <w:p w14:paraId="4F338B3D" w14:textId="6C2B86D1" w:rsidR="4DB104C3" w:rsidRDefault="4DB104C3" w:rsidP="4DB104C3">
          <w:pPr>
            <w:spacing w:after="0" w:line="240" w:lineRule="auto"/>
            <w:jc w:val="both"/>
            <w:rPr>
              <w:rFonts w:ascii="Times New Roman" w:hAnsi="Times New Roman"/>
              <w:sz w:val="24"/>
              <w:szCs w:val="24"/>
            </w:rPr>
          </w:pPr>
        </w:p>
        <w:tbl>
          <w:tblPr>
            <w:tblW w:w="9073" w:type="dxa"/>
            <w:jc w:val="center"/>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blBorders>
            <w:tblCellMar>
              <w:left w:w="70" w:type="dxa"/>
              <w:right w:w="70" w:type="dxa"/>
            </w:tblCellMar>
            <w:tblLook w:val="04A0" w:firstRow="1" w:lastRow="0" w:firstColumn="1" w:lastColumn="0" w:noHBand="0" w:noVBand="1"/>
          </w:tblPr>
          <w:tblGrid>
            <w:gridCol w:w="779"/>
            <w:gridCol w:w="770"/>
            <w:gridCol w:w="825"/>
            <w:gridCol w:w="933"/>
            <w:gridCol w:w="849"/>
            <w:gridCol w:w="1128"/>
            <w:gridCol w:w="2606"/>
            <w:gridCol w:w="1183"/>
          </w:tblGrid>
          <w:tr w:rsidR="00E65AA7" w:rsidRPr="00E35506" w14:paraId="55969FF1" w14:textId="77777777" w:rsidTr="00D90A20">
            <w:trPr>
              <w:trHeight w:val="556"/>
              <w:tblHeader/>
              <w:jc w:val="center"/>
            </w:trPr>
            <w:tc>
              <w:tcPr>
                <w:tcW w:w="779" w:type="dxa"/>
                <w:shd w:val="clear" w:color="000000" w:fill="FFFFFF"/>
                <w:vAlign w:val="center"/>
                <w:hideMark/>
              </w:tcPr>
              <w:p w14:paraId="79F87802" w14:textId="77777777" w:rsidR="00E65AA7" w:rsidRPr="0015616F" w:rsidRDefault="00E65AA7">
                <w:pPr>
                  <w:spacing w:after="0" w:line="240" w:lineRule="auto"/>
                  <w:jc w:val="both"/>
                  <w:rPr>
                    <w:rFonts w:ascii="Times New Roman" w:eastAsia="Times New Roman" w:hAnsi="Times New Roman"/>
                    <w:b/>
                    <w:sz w:val="14"/>
                    <w:szCs w:val="14"/>
                    <w:lang w:eastAsia="es-CO"/>
                  </w:rPr>
                </w:pPr>
                <w:r w:rsidRPr="0015616F">
                  <w:rPr>
                    <w:rFonts w:ascii="Times New Roman" w:eastAsia="Times New Roman" w:hAnsi="Times New Roman"/>
                    <w:b/>
                    <w:sz w:val="14"/>
                    <w:szCs w:val="14"/>
                    <w:lang w:eastAsia="es-CO"/>
                  </w:rPr>
                  <w:t>Fecha del embargo</w:t>
                </w:r>
              </w:p>
            </w:tc>
            <w:tc>
              <w:tcPr>
                <w:tcW w:w="772" w:type="dxa"/>
                <w:shd w:val="clear" w:color="000000" w:fill="FFFFFF"/>
                <w:vAlign w:val="center"/>
                <w:hideMark/>
              </w:tcPr>
              <w:p w14:paraId="4C20D498" w14:textId="77777777" w:rsidR="00E65AA7" w:rsidRPr="0015616F" w:rsidRDefault="00E65AA7">
                <w:pPr>
                  <w:spacing w:after="0" w:line="240" w:lineRule="auto"/>
                  <w:ind w:left="-12"/>
                  <w:jc w:val="both"/>
                  <w:rPr>
                    <w:rFonts w:ascii="Times New Roman" w:eastAsia="Times New Roman" w:hAnsi="Times New Roman"/>
                    <w:b/>
                    <w:sz w:val="14"/>
                    <w:szCs w:val="14"/>
                    <w:lang w:eastAsia="es-CO"/>
                  </w:rPr>
                </w:pPr>
                <w:r w:rsidRPr="0015616F">
                  <w:rPr>
                    <w:rFonts w:ascii="Times New Roman" w:eastAsia="Times New Roman" w:hAnsi="Times New Roman"/>
                    <w:b/>
                    <w:sz w:val="14"/>
                    <w:szCs w:val="14"/>
                    <w:lang w:eastAsia="es-CO"/>
                  </w:rPr>
                  <w:t>Valor del Embargo</w:t>
                </w:r>
              </w:p>
            </w:tc>
            <w:tc>
              <w:tcPr>
                <w:tcW w:w="762" w:type="dxa"/>
                <w:shd w:val="clear" w:color="000000" w:fill="FFFFFF"/>
                <w:vAlign w:val="center"/>
                <w:hideMark/>
              </w:tcPr>
              <w:p w14:paraId="2288AC67" w14:textId="77777777" w:rsidR="00E65AA7" w:rsidRPr="0015616F" w:rsidRDefault="00E65AA7">
                <w:pPr>
                  <w:spacing w:after="0" w:line="240" w:lineRule="auto"/>
                  <w:jc w:val="both"/>
                  <w:rPr>
                    <w:rFonts w:ascii="Times New Roman" w:eastAsia="Times New Roman" w:hAnsi="Times New Roman"/>
                    <w:b/>
                    <w:sz w:val="14"/>
                    <w:szCs w:val="14"/>
                    <w:lang w:eastAsia="es-CO"/>
                  </w:rPr>
                </w:pPr>
                <w:r w:rsidRPr="0015616F">
                  <w:rPr>
                    <w:rFonts w:ascii="Times New Roman" w:eastAsia="Times New Roman" w:hAnsi="Times New Roman"/>
                    <w:b/>
                    <w:sz w:val="14"/>
                    <w:szCs w:val="14"/>
                    <w:lang w:eastAsia="es-CO"/>
                  </w:rPr>
                  <w:t>Valor recuperado</w:t>
                </w:r>
              </w:p>
            </w:tc>
            <w:tc>
              <w:tcPr>
                <w:tcW w:w="938" w:type="dxa"/>
                <w:shd w:val="clear" w:color="000000" w:fill="FFFFFF"/>
                <w:vAlign w:val="center"/>
                <w:hideMark/>
              </w:tcPr>
              <w:p w14:paraId="704AB572" w14:textId="77777777" w:rsidR="00E65AA7" w:rsidRPr="0015616F" w:rsidRDefault="00E65AA7">
                <w:pPr>
                  <w:spacing w:after="0" w:line="240" w:lineRule="auto"/>
                  <w:jc w:val="both"/>
                  <w:rPr>
                    <w:rFonts w:ascii="Times New Roman" w:eastAsia="Times New Roman" w:hAnsi="Times New Roman"/>
                    <w:b/>
                    <w:sz w:val="14"/>
                    <w:szCs w:val="14"/>
                    <w:lang w:eastAsia="es-CO"/>
                  </w:rPr>
                </w:pPr>
                <w:r w:rsidRPr="0015616F">
                  <w:rPr>
                    <w:rFonts w:ascii="Times New Roman" w:eastAsia="Times New Roman" w:hAnsi="Times New Roman"/>
                    <w:b/>
                    <w:sz w:val="14"/>
                    <w:szCs w:val="14"/>
                    <w:lang w:eastAsia="es-CO"/>
                  </w:rPr>
                  <w:t>Valor Pendiente de recuperar</w:t>
                </w:r>
              </w:p>
            </w:tc>
            <w:tc>
              <w:tcPr>
                <w:tcW w:w="850" w:type="dxa"/>
                <w:shd w:val="clear" w:color="000000" w:fill="FFFFFF"/>
                <w:vAlign w:val="center"/>
                <w:hideMark/>
              </w:tcPr>
              <w:p w14:paraId="7D1FC1EF" w14:textId="77777777" w:rsidR="00E65AA7" w:rsidRPr="0015616F" w:rsidRDefault="00E65AA7">
                <w:pPr>
                  <w:spacing w:after="0" w:line="240" w:lineRule="auto"/>
                  <w:jc w:val="both"/>
                  <w:rPr>
                    <w:rFonts w:ascii="Times New Roman" w:eastAsia="Times New Roman" w:hAnsi="Times New Roman"/>
                    <w:b/>
                    <w:sz w:val="14"/>
                    <w:szCs w:val="14"/>
                    <w:lang w:eastAsia="es-CO"/>
                  </w:rPr>
                </w:pPr>
                <w:r w:rsidRPr="0015616F">
                  <w:rPr>
                    <w:rFonts w:ascii="Times New Roman" w:eastAsia="Times New Roman" w:hAnsi="Times New Roman"/>
                    <w:b/>
                    <w:sz w:val="14"/>
                    <w:szCs w:val="14"/>
                    <w:lang w:eastAsia="es-CO"/>
                  </w:rPr>
                  <w:t>Tipo de Restricción</w:t>
                </w:r>
              </w:p>
            </w:tc>
            <w:tc>
              <w:tcPr>
                <w:tcW w:w="1134" w:type="dxa"/>
                <w:shd w:val="clear" w:color="000000" w:fill="FFFFFF"/>
                <w:vAlign w:val="center"/>
                <w:hideMark/>
              </w:tcPr>
              <w:p w14:paraId="465FE0D7" w14:textId="77777777" w:rsidR="00E65AA7" w:rsidRPr="0015616F" w:rsidRDefault="00E65AA7">
                <w:pPr>
                  <w:spacing w:after="0" w:line="240" w:lineRule="auto"/>
                  <w:jc w:val="both"/>
                  <w:rPr>
                    <w:rFonts w:ascii="Times New Roman" w:eastAsia="Times New Roman" w:hAnsi="Times New Roman"/>
                    <w:b/>
                    <w:sz w:val="14"/>
                    <w:szCs w:val="14"/>
                    <w:lang w:eastAsia="es-CO"/>
                  </w:rPr>
                </w:pPr>
                <w:r w:rsidRPr="0015616F">
                  <w:rPr>
                    <w:rFonts w:ascii="Times New Roman" w:eastAsia="Times New Roman" w:hAnsi="Times New Roman"/>
                    <w:b/>
                    <w:sz w:val="14"/>
                    <w:szCs w:val="14"/>
                    <w:lang w:eastAsia="es-CO"/>
                  </w:rPr>
                  <w:t>Origen</w:t>
                </w:r>
              </w:p>
            </w:tc>
            <w:tc>
              <w:tcPr>
                <w:tcW w:w="2645" w:type="dxa"/>
                <w:shd w:val="clear" w:color="000000" w:fill="FFFFFF"/>
                <w:vAlign w:val="center"/>
                <w:hideMark/>
              </w:tcPr>
              <w:p w14:paraId="67416B0D" w14:textId="77777777" w:rsidR="00E65AA7" w:rsidRPr="0015616F" w:rsidRDefault="00E65AA7">
                <w:pPr>
                  <w:spacing w:after="0" w:line="240" w:lineRule="auto"/>
                  <w:jc w:val="both"/>
                  <w:rPr>
                    <w:rFonts w:ascii="Times New Roman" w:eastAsia="Times New Roman" w:hAnsi="Times New Roman"/>
                    <w:b/>
                    <w:sz w:val="14"/>
                    <w:szCs w:val="14"/>
                    <w:lang w:eastAsia="es-CO"/>
                  </w:rPr>
                </w:pPr>
                <w:r w:rsidRPr="0015616F">
                  <w:rPr>
                    <w:rFonts w:ascii="Times New Roman" w:eastAsia="Times New Roman" w:hAnsi="Times New Roman"/>
                    <w:b/>
                    <w:sz w:val="14"/>
                    <w:szCs w:val="14"/>
                    <w:lang w:eastAsia="es-CO"/>
                  </w:rPr>
                  <w:t>Situación que lo identifica</w:t>
                </w:r>
              </w:p>
            </w:tc>
            <w:tc>
              <w:tcPr>
                <w:tcW w:w="1193" w:type="dxa"/>
                <w:shd w:val="clear" w:color="000000" w:fill="FFFFFF"/>
                <w:vAlign w:val="center"/>
                <w:hideMark/>
              </w:tcPr>
              <w:p w14:paraId="53B4AE7C" w14:textId="77777777" w:rsidR="00E65AA7" w:rsidRPr="0015616F" w:rsidRDefault="00E65AA7">
                <w:pPr>
                  <w:spacing w:after="0" w:line="240" w:lineRule="auto"/>
                  <w:jc w:val="center"/>
                  <w:rPr>
                    <w:rFonts w:ascii="Times New Roman" w:eastAsia="Times New Roman" w:hAnsi="Times New Roman"/>
                    <w:b/>
                    <w:sz w:val="14"/>
                    <w:szCs w:val="14"/>
                    <w:lang w:eastAsia="es-CO"/>
                  </w:rPr>
                </w:pPr>
                <w:r w:rsidRPr="0015616F">
                  <w:rPr>
                    <w:rFonts w:ascii="Times New Roman" w:eastAsia="Times New Roman" w:hAnsi="Times New Roman"/>
                    <w:b/>
                    <w:sz w:val="14"/>
                    <w:szCs w:val="14"/>
                    <w:lang w:eastAsia="es-CO"/>
                  </w:rPr>
                  <w:t>Entidad</w:t>
                </w:r>
              </w:p>
            </w:tc>
          </w:tr>
          <w:tr w:rsidR="00E65AA7" w:rsidRPr="00E35506" w14:paraId="76E9E823" w14:textId="77777777" w:rsidTr="00D90A20">
            <w:trPr>
              <w:trHeight w:val="110"/>
              <w:jc w:val="center"/>
            </w:trPr>
            <w:tc>
              <w:tcPr>
                <w:tcW w:w="779" w:type="dxa"/>
                <w:shd w:val="clear" w:color="000000" w:fill="FFFFFF"/>
                <w:vAlign w:val="center"/>
                <w:hideMark/>
              </w:tcPr>
              <w:p w14:paraId="0E82B2AD" w14:textId="77777777" w:rsidR="00E65AA7" w:rsidRPr="0015616F" w:rsidRDefault="00E65AA7">
                <w:pPr>
                  <w:spacing w:after="0" w:line="240" w:lineRule="auto"/>
                  <w:jc w:val="both"/>
                  <w:rPr>
                    <w:rFonts w:ascii="Times New Roman" w:eastAsia="Times New Roman" w:hAnsi="Times New Roman"/>
                    <w:sz w:val="14"/>
                    <w:szCs w:val="14"/>
                    <w:lang w:eastAsia="es-CO"/>
                  </w:rPr>
                </w:pPr>
                <w:r w:rsidRPr="0015616F">
                  <w:rPr>
                    <w:rFonts w:ascii="Times New Roman" w:eastAsia="Times New Roman" w:hAnsi="Times New Roman"/>
                    <w:sz w:val="14"/>
                    <w:szCs w:val="14"/>
                    <w:lang w:eastAsia="es-CO"/>
                  </w:rPr>
                  <w:t>10/08/2017</w:t>
                </w:r>
              </w:p>
            </w:tc>
            <w:tc>
              <w:tcPr>
                <w:tcW w:w="772" w:type="dxa"/>
                <w:shd w:val="clear" w:color="000000" w:fill="FFFFFF"/>
                <w:vAlign w:val="center"/>
                <w:hideMark/>
              </w:tcPr>
              <w:p w14:paraId="470D4D52" w14:textId="77777777" w:rsidR="00E65AA7" w:rsidRPr="0015616F" w:rsidRDefault="00E65AA7">
                <w:pPr>
                  <w:spacing w:after="0" w:line="240" w:lineRule="auto"/>
                  <w:jc w:val="center"/>
                  <w:rPr>
                    <w:rFonts w:ascii="Times New Roman" w:eastAsia="Times New Roman" w:hAnsi="Times New Roman"/>
                    <w:sz w:val="14"/>
                    <w:szCs w:val="14"/>
                    <w:lang w:eastAsia="es-CO"/>
                  </w:rPr>
                </w:pPr>
                <w:r w:rsidRPr="0015616F">
                  <w:rPr>
                    <w:rFonts w:ascii="Times New Roman" w:eastAsia="Times New Roman" w:hAnsi="Times New Roman"/>
                    <w:sz w:val="14"/>
                    <w:szCs w:val="14"/>
                    <w:lang w:eastAsia="es-CO"/>
                  </w:rPr>
                  <w:t>110.000</w:t>
                </w:r>
              </w:p>
            </w:tc>
            <w:tc>
              <w:tcPr>
                <w:tcW w:w="762" w:type="dxa"/>
                <w:shd w:val="clear" w:color="000000" w:fill="FFFFFF"/>
                <w:vAlign w:val="center"/>
                <w:hideMark/>
              </w:tcPr>
              <w:p w14:paraId="645C1EA6" w14:textId="77777777" w:rsidR="00E65AA7" w:rsidRPr="0015616F" w:rsidRDefault="00E65AA7">
                <w:pPr>
                  <w:spacing w:after="0" w:line="240" w:lineRule="auto"/>
                  <w:jc w:val="center"/>
                  <w:rPr>
                    <w:rFonts w:ascii="Times New Roman" w:eastAsia="Times New Roman" w:hAnsi="Times New Roman"/>
                    <w:sz w:val="14"/>
                    <w:szCs w:val="14"/>
                    <w:lang w:eastAsia="es-CO"/>
                  </w:rPr>
                </w:pPr>
                <w:r w:rsidRPr="0015616F">
                  <w:rPr>
                    <w:rFonts w:ascii="Times New Roman" w:eastAsia="Times New Roman" w:hAnsi="Times New Roman"/>
                    <w:sz w:val="14"/>
                    <w:szCs w:val="14"/>
                    <w:lang w:eastAsia="es-CO"/>
                  </w:rPr>
                  <w:t>23.355</w:t>
                </w:r>
              </w:p>
            </w:tc>
            <w:tc>
              <w:tcPr>
                <w:tcW w:w="938" w:type="dxa"/>
                <w:shd w:val="clear" w:color="000000" w:fill="FFFFFF"/>
                <w:vAlign w:val="center"/>
                <w:hideMark/>
              </w:tcPr>
              <w:p w14:paraId="3D10BAAB" w14:textId="77777777" w:rsidR="00E65AA7" w:rsidRPr="0015616F" w:rsidRDefault="00E65AA7">
                <w:pPr>
                  <w:spacing w:after="0" w:line="240" w:lineRule="auto"/>
                  <w:jc w:val="center"/>
                  <w:rPr>
                    <w:rFonts w:ascii="Times New Roman" w:eastAsia="Times New Roman" w:hAnsi="Times New Roman"/>
                    <w:sz w:val="14"/>
                    <w:szCs w:val="14"/>
                    <w:lang w:eastAsia="es-CO"/>
                  </w:rPr>
                </w:pPr>
                <w:r w:rsidRPr="0015616F">
                  <w:rPr>
                    <w:rFonts w:ascii="Times New Roman" w:eastAsia="Times New Roman" w:hAnsi="Times New Roman"/>
                    <w:sz w:val="14"/>
                    <w:szCs w:val="14"/>
                    <w:lang w:eastAsia="es-CO"/>
                  </w:rPr>
                  <w:t>86.645</w:t>
                </w:r>
              </w:p>
            </w:tc>
            <w:tc>
              <w:tcPr>
                <w:tcW w:w="850" w:type="dxa"/>
                <w:vMerge w:val="restart"/>
                <w:shd w:val="clear" w:color="000000" w:fill="FFFFFF"/>
                <w:vAlign w:val="center"/>
                <w:hideMark/>
              </w:tcPr>
              <w:p w14:paraId="45D60F55" w14:textId="77777777" w:rsidR="00E65AA7" w:rsidRPr="0015616F" w:rsidRDefault="00E65AA7">
                <w:pPr>
                  <w:spacing w:after="0" w:line="240" w:lineRule="auto"/>
                  <w:jc w:val="both"/>
                  <w:rPr>
                    <w:rFonts w:ascii="Times New Roman" w:eastAsia="Times New Roman" w:hAnsi="Times New Roman"/>
                    <w:sz w:val="14"/>
                    <w:szCs w:val="14"/>
                    <w:lang w:eastAsia="es-CO"/>
                  </w:rPr>
                </w:pPr>
                <w:r w:rsidRPr="0015616F">
                  <w:rPr>
                    <w:rFonts w:ascii="Times New Roman" w:eastAsia="Times New Roman" w:hAnsi="Times New Roman"/>
                    <w:sz w:val="14"/>
                    <w:szCs w:val="14"/>
                    <w:lang w:eastAsia="es-CO"/>
                  </w:rPr>
                  <w:t xml:space="preserve"> Embargo </w:t>
                </w:r>
              </w:p>
            </w:tc>
            <w:tc>
              <w:tcPr>
                <w:tcW w:w="1134" w:type="dxa"/>
                <w:shd w:val="clear" w:color="000000" w:fill="FFFFFF"/>
                <w:vAlign w:val="center"/>
                <w:hideMark/>
              </w:tcPr>
              <w:p w14:paraId="40170838" w14:textId="77777777" w:rsidR="00E65AA7" w:rsidRPr="0015616F" w:rsidRDefault="00E65AA7">
                <w:pPr>
                  <w:spacing w:after="0" w:line="240" w:lineRule="auto"/>
                  <w:jc w:val="both"/>
                  <w:rPr>
                    <w:rFonts w:ascii="Times New Roman" w:eastAsia="Times New Roman" w:hAnsi="Times New Roman"/>
                    <w:sz w:val="14"/>
                    <w:szCs w:val="14"/>
                    <w:lang w:eastAsia="es-CO"/>
                  </w:rPr>
                </w:pPr>
                <w:r w:rsidRPr="0015616F">
                  <w:rPr>
                    <w:rFonts w:ascii="Times New Roman" w:eastAsia="Times New Roman" w:hAnsi="Times New Roman"/>
                    <w:sz w:val="14"/>
                    <w:szCs w:val="14"/>
                    <w:lang w:eastAsia="es-CO"/>
                  </w:rPr>
                  <w:t xml:space="preserve"> Proceso de Expropiación de la Sociedad Vukonic Hermanos &amp; Cia S en C </w:t>
                </w:r>
              </w:p>
            </w:tc>
            <w:tc>
              <w:tcPr>
                <w:tcW w:w="2645" w:type="dxa"/>
                <w:shd w:val="clear" w:color="000000" w:fill="FFFFFF"/>
                <w:vAlign w:val="center"/>
                <w:hideMark/>
              </w:tcPr>
              <w:p w14:paraId="4EA32C1A" w14:textId="4939EFD8" w:rsidR="00E65AA7" w:rsidRPr="0015616F" w:rsidRDefault="00E65AA7">
                <w:pPr>
                  <w:spacing w:after="0" w:line="240" w:lineRule="auto"/>
                  <w:jc w:val="both"/>
                  <w:rPr>
                    <w:rFonts w:ascii="Times New Roman" w:eastAsia="Times New Roman" w:hAnsi="Times New Roman"/>
                    <w:sz w:val="14"/>
                    <w:szCs w:val="14"/>
                    <w:lang w:eastAsia="es-CO"/>
                  </w:rPr>
                </w:pPr>
                <w:r w:rsidRPr="0015616F">
                  <w:rPr>
                    <w:rFonts w:ascii="Times New Roman" w:eastAsia="Times New Roman" w:hAnsi="Times New Roman"/>
                    <w:sz w:val="14"/>
                    <w:szCs w:val="14"/>
                    <w:lang w:eastAsia="es-CO"/>
                  </w:rPr>
                  <w:t xml:space="preserve"> A la fecha </w:t>
                </w:r>
                <w:r w:rsidR="005E03E6" w:rsidRPr="0015616F">
                  <w:rPr>
                    <w:rFonts w:ascii="Times New Roman" w:eastAsia="Times New Roman" w:hAnsi="Times New Roman"/>
                    <w:sz w:val="14"/>
                    <w:szCs w:val="14"/>
                    <w:lang w:eastAsia="es-CO"/>
                  </w:rPr>
                  <w:t>se encuentra</w:t>
                </w:r>
                <w:r w:rsidRPr="0015616F">
                  <w:rPr>
                    <w:rFonts w:ascii="Times New Roman" w:eastAsia="Times New Roman" w:hAnsi="Times New Roman"/>
                    <w:sz w:val="14"/>
                    <w:szCs w:val="14"/>
                    <w:lang w:eastAsia="es-CO"/>
                  </w:rPr>
                  <w:t xml:space="preserve"> pendiente</w:t>
                </w:r>
                <w:r w:rsidR="00DF54F6" w:rsidRPr="0015616F">
                  <w:rPr>
                    <w:rFonts w:ascii="Times New Roman" w:eastAsia="Times New Roman" w:hAnsi="Times New Roman"/>
                    <w:sz w:val="14"/>
                    <w:szCs w:val="14"/>
                    <w:lang w:eastAsia="es-CO"/>
                  </w:rPr>
                  <w:t xml:space="preserve"> de </w:t>
                </w:r>
                <w:r w:rsidR="00DC293E" w:rsidRPr="0015616F">
                  <w:rPr>
                    <w:rFonts w:ascii="Times New Roman" w:eastAsia="Times New Roman" w:hAnsi="Times New Roman"/>
                    <w:sz w:val="14"/>
                    <w:szCs w:val="14"/>
                    <w:lang w:eastAsia="es-CO"/>
                  </w:rPr>
                  <w:t>definir interna</w:t>
                </w:r>
                <w:r w:rsidR="00B56C21" w:rsidRPr="0015616F">
                  <w:rPr>
                    <w:rFonts w:ascii="Times New Roman" w:eastAsia="Times New Roman" w:hAnsi="Times New Roman"/>
                    <w:sz w:val="14"/>
                    <w:szCs w:val="14"/>
                    <w:lang w:eastAsia="es-CO"/>
                  </w:rPr>
                  <w:t xml:space="preserve">mente </w:t>
                </w:r>
                <w:r w:rsidR="00524267" w:rsidRPr="0015616F">
                  <w:rPr>
                    <w:rFonts w:ascii="Times New Roman" w:eastAsia="Times New Roman" w:hAnsi="Times New Roman"/>
                    <w:sz w:val="14"/>
                    <w:szCs w:val="14"/>
                    <w:lang w:eastAsia="es-CO"/>
                  </w:rPr>
                  <w:t>si</w:t>
                </w:r>
                <w:r w:rsidR="00AD1CD4" w:rsidRPr="0015616F">
                  <w:rPr>
                    <w:rFonts w:ascii="Times New Roman" w:eastAsia="Times New Roman" w:hAnsi="Times New Roman"/>
                    <w:sz w:val="14"/>
                    <w:szCs w:val="14"/>
                    <w:lang w:eastAsia="es-CO"/>
                  </w:rPr>
                  <w:t xml:space="preserve"> se solicita baja de</w:t>
                </w:r>
                <w:r w:rsidR="00F4645F" w:rsidRPr="0015616F">
                  <w:rPr>
                    <w:rFonts w:ascii="Times New Roman" w:eastAsia="Times New Roman" w:hAnsi="Times New Roman"/>
                    <w:sz w:val="14"/>
                    <w:szCs w:val="14"/>
                    <w:lang w:eastAsia="es-CO"/>
                  </w:rPr>
                  <w:t xml:space="preserve"> estos recursos en comité de sostenibilidad de acuerdo con el memorando </w:t>
                </w:r>
                <w:r w:rsidR="00903186" w:rsidRPr="0015616F">
                  <w:rPr>
                    <w:rFonts w:ascii="Times New Roman" w:eastAsia="Times New Roman" w:hAnsi="Times New Roman"/>
                    <w:sz w:val="14"/>
                    <w:szCs w:val="14"/>
                    <w:lang w:eastAsia="es-CO"/>
                  </w:rPr>
                  <w:t>2023602018</w:t>
                </w:r>
                <w:r w:rsidR="00D44197" w:rsidRPr="0015616F">
                  <w:rPr>
                    <w:rFonts w:ascii="Times New Roman" w:eastAsia="Times New Roman" w:hAnsi="Times New Roman"/>
                    <w:sz w:val="14"/>
                    <w:szCs w:val="14"/>
                    <w:lang w:eastAsia="es-CO"/>
                  </w:rPr>
                  <w:t xml:space="preserve">4383 del 6 de diciembre de 2023 </w:t>
                </w:r>
                <w:r w:rsidR="003549C9" w:rsidRPr="0015616F">
                  <w:rPr>
                    <w:rFonts w:ascii="Times New Roman" w:eastAsia="Times New Roman" w:hAnsi="Times New Roman"/>
                    <w:sz w:val="14"/>
                    <w:szCs w:val="14"/>
                    <w:lang w:eastAsia="es-CO"/>
                  </w:rPr>
                  <w:t xml:space="preserve">donde argumenta el área de riesgos </w:t>
                </w:r>
                <w:r w:rsidR="003340E1" w:rsidRPr="0015616F">
                  <w:rPr>
                    <w:rFonts w:ascii="Times New Roman" w:eastAsia="Times New Roman" w:hAnsi="Times New Roman"/>
                    <w:sz w:val="14"/>
                    <w:szCs w:val="14"/>
                    <w:lang w:eastAsia="es-CO"/>
                  </w:rPr>
                  <w:t xml:space="preserve">que </w:t>
                </w:r>
                <w:r w:rsidR="003340E1" w:rsidRPr="0015616F">
                  <w:rPr>
                    <w:rFonts w:ascii="Times New Roman" w:eastAsia="Times New Roman" w:hAnsi="Times New Roman"/>
                    <w:sz w:val="14"/>
                    <w:szCs w:val="14"/>
                    <w:lang w:eastAsia="es-CO"/>
                  </w:rPr>
                  <w:lastRenderedPageBreak/>
                  <w:t xml:space="preserve">no es posible recuperar los recursos a través de contingencias </w:t>
                </w:r>
                <w:r w:rsidR="00E55EE2" w:rsidRPr="0015616F">
                  <w:rPr>
                    <w:rFonts w:ascii="Times New Roman" w:eastAsia="Times New Roman" w:hAnsi="Times New Roman"/>
                    <w:sz w:val="14"/>
                    <w:szCs w:val="14"/>
                    <w:lang w:eastAsia="es-CO"/>
                  </w:rPr>
                  <w:t>p</w:t>
                </w:r>
                <w:r w:rsidR="003340E1" w:rsidRPr="0015616F">
                  <w:rPr>
                    <w:rFonts w:ascii="Times New Roman" w:eastAsia="Times New Roman" w:hAnsi="Times New Roman"/>
                    <w:sz w:val="14"/>
                    <w:szCs w:val="14"/>
                    <w:lang w:eastAsia="es-CO"/>
                  </w:rPr>
                  <w:t>re</w:t>
                </w:r>
                <w:r w:rsidR="00102271" w:rsidRPr="0015616F">
                  <w:rPr>
                    <w:rFonts w:ascii="Times New Roman" w:eastAsia="Times New Roman" w:hAnsi="Times New Roman"/>
                    <w:sz w:val="14"/>
                    <w:szCs w:val="14"/>
                    <w:lang w:eastAsia="es-CO"/>
                  </w:rPr>
                  <w:t>diales</w:t>
                </w:r>
                <w:r w:rsidR="00524267" w:rsidRPr="0015616F">
                  <w:rPr>
                    <w:rFonts w:ascii="Times New Roman" w:eastAsia="Times New Roman" w:hAnsi="Times New Roman"/>
                    <w:sz w:val="14"/>
                    <w:szCs w:val="14"/>
                    <w:lang w:eastAsia="es-CO"/>
                  </w:rPr>
                  <w:t xml:space="preserve">  </w:t>
                </w:r>
              </w:p>
            </w:tc>
            <w:tc>
              <w:tcPr>
                <w:tcW w:w="1193" w:type="dxa"/>
                <w:shd w:val="clear" w:color="000000" w:fill="FFFFFF"/>
                <w:vAlign w:val="center"/>
                <w:hideMark/>
              </w:tcPr>
              <w:p w14:paraId="64DFC087" w14:textId="77777777" w:rsidR="00E65AA7" w:rsidRPr="0015616F" w:rsidRDefault="00E65AA7">
                <w:pPr>
                  <w:spacing w:after="0" w:line="240" w:lineRule="auto"/>
                  <w:jc w:val="both"/>
                  <w:rPr>
                    <w:rFonts w:ascii="Times New Roman" w:eastAsia="Times New Roman" w:hAnsi="Times New Roman"/>
                    <w:sz w:val="14"/>
                    <w:szCs w:val="14"/>
                    <w:lang w:eastAsia="es-CO"/>
                  </w:rPr>
                </w:pPr>
                <w:r w:rsidRPr="0015616F">
                  <w:rPr>
                    <w:rFonts w:ascii="Times New Roman" w:eastAsia="Times New Roman" w:hAnsi="Times New Roman"/>
                    <w:sz w:val="14"/>
                    <w:szCs w:val="14"/>
                    <w:lang w:eastAsia="es-CO"/>
                  </w:rPr>
                  <w:lastRenderedPageBreak/>
                  <w:t>Juzgado Civil del Circuito de Puerto Tejada.</w:t>
                </w:r>
              </w:p>
            </w:tc>
          </w:tr>
          <w:tr w:rsidR="00E65AA7" w:rsidRPr="00E35506" w14:paraId="6EE5D405" w14:textId="77777777" w:rsidTr="00D90A20">
            <w:trPr>
              <w:trHeight w:val="876"/>
              <w:jc w:val="center"/>
            </w:trPr>
            <w:tc>
              <w:tcPr>
                <w:tcW w:w="779" w:type="dxa"/>
                <w:shd w:val="clear" w:color="000000" w:fill="FFFFFF"/>
                <w:noWrap/>
                <w:vAlign w:val="center"/>
                <w:hideMark/>
              </w:tcPr>
              <w:p w14:paraId="067B728A" w14:textId="77777777" w:rsidR="00E65AA7" w:rsidRPr="0015616F" w:rsidRDefault="00E65AA7">
                <w:pPr>
                  <w:spacing w:after="0" w:line="240" w:lineRule="auto"/>
                  <w:jc w:val="both"/>
                  <w:rPr>
                    <w:rFonts w:ascii="Times New Roman" w:eastAsia="Times New Roman" w:hAnsi="Times New Roman"/>
                    <w:sz w:val="14"/>
                    <w:szCs w:val="14"/>
                    <w:lang w:eastAsia="es-CO"/>
                  </w:rPr>
                </w:pPr>
                <w:r w:rsidRPr="0015616F">
                  <w:rPr>
                    <w:rFonts w:ascii="Times New Roman" w:eastAsia="Times New Roman" w:hAnsi="Times New Roman"/>
                    <w:sz w:val="14"/>
                    <w:szCs w:val="14"/>
                    <w:lang w:eastAsia="es-CO"/>
                  </w:rPr>
                  <w:t>24/05/2017</w:t>
                </w:r>
              </w:p>
            </w:tc>
            <w:tc>
              <w:tcPr>
                <w:tcW w:w="772" w:type="dxa"/>
                <w:shd w:val="clear" w:color="000000" w:fill="FFFFFF"/>
                <w:vAlign w:val="center"/>
                <w:hideMark/>
              </w:tcPr>
              <w:p w14:paraId="48E5DA4B" w14:textId="77777777" w:rsidR="00E65AA7" w:rsidRPr="0015616F" w:rsidRDefault="00E65AA7">
                <w:pPr>
                  <w:spacing w:after="0" w:line="240" w:lineRule="auto"/>
                  <w:jc w:val="center"/>
                  <w:rPr>
                    <w:rFonts w:ascii="Times New Roman" w:eastAsia="Times New Roman" w:hAnsi="Times New Roman"/>
                    <w:sz w:val="14"/>
                    <w:szCs w:val="14"/>
                    <w:lang w:eastAsia="es-CO"/>
                  </w:rPr>
                </w:pPr>
                <w:r w:rsidRPr="0015616F">
                  <w:rPr>
                    <w:rFonts w:ascii="Times New Roman" w:eastAsia="Times New Roman" w:hAnsi="Times New Roman"/>
                    <w:sz w:val="14"/>
                    <w:szCs w:val="14"/>
                    <w:lang w:eastAsia="es-CO"/>
                  </w:rPr>
                  <w:t>29.703</w:t>
                </w:r>
              </w:p>
            </w:tc>
            <w:tc>
              <w:tcPr>
                <w:tcW w:w="762" w:type="dxa"/>
                <w:shd w:val="clear" w:color="000000" w:fill="FFFFFF"/>
                <w:vAlign w:val="center"/>
                <w:hideMark/>
              </w:tcPr>
              <w:p w14:paraId="34F457FF" w14:textId="77777777" w:rsidR="00E65AA7" w:rsidRPr="0015616F" w:rsidRDefault="00E65AA7">
                <w:pPr>
                  <w:spacing w:after="0" w:line="240" w:lineRule="auto"/>
                  <w:jc w:val="center"/>
                  <w:rPr>
                    <w:rFonts w:ascii="Times New Roman" w:eastAsia="Times New Roman" w:hAnsi="Times New Roman"/>
                    <w:sz w:val="14"/>
                    <w:szCs w:val="14"/>
                    <w:lang w:eastAsia="es-CO"/>
                  </w:rPr>
                </w:pPr>
                <w:r w:rsidRPr="0015616F">
                  <w:rPr>
                    <w:rFonts w:ascii="Times New Roman" w:eastAsia="Times New Roman" w:hAnsi="Times New Roman"/>
                    <w:sz w:val="14"/>
                    <w:szCs w:val="14"/>
                    <w:lang w:eastAsia="es-CO"/>
                  </w:rPr>
                  <w:t>16.643</w:t>
                </w:r>
              </w:p>
            </w:tc>
            <w:tc>
              <w:tcPr>
                <w:tcW w:w="938" w:type="dxa"/>
                <w:shd w:val="clear" w:color="000000" w:fill="FFFFFF"/>
                <w:vAlign w:val="center"/>
                <w:hideMark/>
              </w:tcPr>
              <w:p w14:paraId="1CE0A8EE" w14:textId="77777777" w:rsidR="00E65AA7" w:rsidRPr="0015616F" w:rsidRDefault="00E65AA7">
                <w:pPr>
                  <w:spacing w:after="0" w:line="240" w:lineRule="auto"/>
                  <w:jc w:val="center"/>
                  <w:rPr>
                    <w:rFonts w:ascii="Times New Roman" w:eastAsia="Times New Roman" w:hAnsi="Times New Roman"/>
                    <w:sz w:val="14"/>
                    <w:szCs w:val="14"/>
                    <w:lang w:eastAsia="es-CO"/>
                  </w:rPr>
                </w:pPr>
                <w:r w:rsidRPr="0015616F">
                  <w:rPr>
                    <w:rFonts w:ascii="Times New Roman" w:eastAsia="Times New Roman" w:hAnsi="Times New Roman"/>
                    <w:sz w:val="14"/>
                    <w:szCs w:val="14"/>
                    <w:lang w:eastAsia="es-CO"/>
                  </w:rPr>
                  <w:t>13.060</w:t>
                </w:r>
              </w:p>
            </w:tc>
            <w:tc>
              <w:tcPr>
                <w:tcW w:w="850" w:type="dxa"/>
                <w:vMerge/>
                <w:vAlign w:val="center"/>
                <w:hideMark/>
              </w:tcPr>
              <w:p w14:paraId="71BD7D63" w14:textId="77777777" w:rsidR="00E65AA7" w:rsidRPr="0015616F" w:rsidRDefault="00E65AA7">
                <w:pPr>
                  <w:spacing w:after="0" w:line="240" w:lineRule="auto"/>
                  <w:jc w:val="both"/>
                  <w:rPr>
                    <w:rFonts w:ascii="Times New Roman" w:eastAsia="Times New Roman" w:hAnsi="Times New Roman"/>
                    <w:sz w:val="14"/>
                    <w:szCs w:val="14"/>
                    <w:lang w:eastAsia="es-CO"/>
                  </w:rPr>
                </w:pPr>
              </w:p>
            </w:tc>
            <w:tc>
              <w:tcPr>
                <w:tcW w:w="1134" w:type="dxa"/>
                <w:shd w:val="clear" w:color="000000" w:fill="FFFFFF"/>
                <w:vAlign w:val="center"/>
                <w:hideMark/>
              </w:tcPr>
              <w:p w14:paraId="0D803162" w14:textId="77777777" w:rsidR="00E65AA7" w:rsidRPr="0015616F" w:rsidRDefault="00E65AA7">
                <w:pPr>
                  <w:spacing w:after="0" w:line="240" w:lineRule="auto"/>
                  <w:jc w:val="both"/>
                  <w:rPr>
                    <w:rFonts w:ascii="Times New Roman" w:eastAsia="Times New Roman" w:hAnsi="Times New Roman"/>
                    <w:sz w:val="14"/>
                    <w:szCs w:val="14"/>
                    <w:lang w:eastAsia="es-CO"/>
                  </w:rPr>
                </w:pPr>
                <w:r w:rsidRPr="0015616F">
                  <w:rPr>
                    <w:rFonts w:ascii="Times New Roman" w:eastAsia="Times New Roman" w:hAnsi="Times New Roman"/>
                    <w:sz w:val="14"/>
                    <w:szCs w:val="14"/>
                    <w:lang w:eastAsia="es-CO"/>
                  </w:rPr>
                  <w:t xml:space="preserve"> Proceso Ejecutivo singular Luis Fernando Cucalón </w:t>
                </w:r>
              </w:p>
            </w:tc>
            <w:tc>
              <w:tcPr>
                <w:tcW w:w="2645" w:type="dxa"/>
                <w:shd w:val="clear" w:color="000000" w:fill="FFFFFF"/>
                <w:vAlign w:val="center"/>
                <w:hideMark/>
              </w:tcPr>
              <w:p w14:paraId="09F33E2B" w14:textId="4F1A01AF" w:rsidR="00E65AA7" w:rsidRPr="0015616F" w:rsidRDefault="00E65AA7">
                <w:pPr>
                  <w:spacing w:after="0" w:line="240" w:lineRule="auto"/>
                  <w:jc w:val="both"/>
                  <w:rPr>
                    <w:rFonts w:ascii="Times New Roman" w:eastAsia="Times New Roman" w:hAnsi="Times New Roman"/>
                    <w:sz w:val="14"/>
                    <w:szCs w:val="14"/>
                    <w:lang w:eastAsia="es-CO"/>
                  </w:rPr>
                </w:pPr>
                <w:r w:rsidRPr="0015616F">
                  <w:rPr>
                    <w:rFonts w:ascii="Times New Roman" w:eastAsia="Times New Roman" w:hAnsi="Times New Roman"/>
                    <w:sz w:val="14"/>
                    <w:szCs w:val="14"/>
                    <w:lang w:eastAsia="es-CO"/>
                  </w:rPr>
                  <w:t xml:space="preserve"> </w:t>
                </w:r>
                <w:r w:rsidR="00B04502" w:rsidRPr="0015616F">
                  <w:rPr>
                    <w:rFonts w:ascii="Times New Roman" w:eastAsia="Times New Roman" w:hAnsi="Times New Roman"/>
                    <w:sz w:val="14"/>
                    <w:szCs w:val="14"/>
                    <w:lang w:eastAsia="es-CO"/>
                  </w:rPr>
                  <w:t xml:space="preserve">A la fecha se encuentra pendiente de definir internamente si se solicita baja de estos recursos en comité de sostenibilidad de acuerdo con el memorando 20236020184383 del 6 de diciembre de 2023 donde argumenta el área de riesgos que no es posible recuperar los recursos a través de contingencias </w:t>
                </w:r>
                <w:r w:rsidR="00E55EE2" w:rsidRPr="0015616F">
                  <w:rPr>
                    <w:rFonts w:ascii="Times New Roman" w:eastAsia="Times New Roman" w:hAnsi="Times New Roman"/>
                    <w:sz w:val="14"/>
                    <w:szCs w:val="14"/>
                    <w:lang w:eastAsia="es-CO"/>
                  </w:rPr>
                  <w:t xml:space="preserve"> </w:t>
                </w:r>
                <w:r w:rsidR="00B04502" w:rsidRPr="0015616F">
                  <w:rPr>
                    <w:rFonts w:ascii="Times New Roman" w:eastAsia="Times New Roman" w:hAnsi="Times New Roman"/>
                    <w:sz w:val="14"/>
                    <w:szCs w:val="14"/>
                    <w:lang w:eastAsia="es-CO"/>
                  </w:rPr>
                  <w:t xml:space="preserve"> </w:t>
                </w:r>
                <w:r w:rsidR="00E55EE2" w:rsidRPr="0015616F">
                  <w:rPr>
                    <w:rFonts w:ascii="Times New Roman" w:eastAsia="Times New Roman" w:hAnsi="Times New Roman"/>
                    <w:sz w:val="14"/>
                    <w:szCs w:val="14"/>
                    <w:lang w:eastAsia="es-CO"/>
                  </w:rPr>
                  <w:t>p</w:t>
                </w:r>
                <w:r w:rsidR="00B04502" w:rsidRPr="0015616F">
                  <w:rPr>
                    <w:rFonts w:ascii="Times New Roman" w:eastAsia="Times New Roman" w:hAnsi="Times New Roman"/>
                    <w:sz w:val="14"/>
                    <w:szCs w:val="14"/>
                    <w:lang w:eastAsia="es-CO"/>
                  </w:rPr>
                  <w:t xml:space="preserve">rediales  </w:t>
                </w:r>
              </w:p>
            </w:tc>
            <w:tc>
              <w:tcPr>
                <w:tcW w:w="1193" w:type="dxa"/>
                <w:shd w:val="clear" w:color="000000" w:fill="FFFFFF"/>
                <w:vAlign w:val="center"/>
                <w:hideMark/>
              </w:tcPr>
              <w:p w14:paraId="53A4A8A0" w14:textId="77777777" w:rsidR="00E65AA7" w:rsidRPr="0015616F" w:rsidRDefault="00E65AA7">
                <w:pPr>
                  <w:spacing w:after="0" w:line="240" w:lineRule="auto"/>
                  <w:jc w:val="both"/>
                  <w:rPr>
                    <w:rFonts w:ascii="Times New Roman" w:eastAsia="Times New Roman" w:hAnsi="Times New Roman"/>
                    <w:sz w:val="14"/>
                    <w:szCs w:val="14"/>
                    <w:lang w:eastAsia="es-CO"/>
                  </w:rPr>
                </w:pPr>
                <w:r w:rsidRPr="0015616F">
                  <w:rPr>
                    <w:rFonts w:ascii="Times New Roman" w:eastAsia="Times New Roman" w:hAnsi="Times New Roman"/>
                    <w:sz w:val="14"/>
                    <w:szCs w:val="14"/>
                    <w:lang w:eastAsia="es-CO"/>
                  </w:rPr>
                  <w:t>Juzgado Civil del Circuito del Palmira Valle.</w:t>
                </w:r>
              </w:p>
            </w:tc>
          </w:tr>
          <w:tr w:rsidR="00E65AA7" w:rsidRPr="00E35506" w14:paraId="3471F62B" w14:textId="77777777" w:rsidTr="00D90A20">
            <w:trPr>
              <w:trHeight w:val="991"/>
              <w:jc w:val="center"/>
            </w:trPr>
            <w:tc>
              <w:tcPr>
                <w:tcW w:w="779" w:type="dxa"/>
                <w:shd w:val="clear" w:color="000000" w:fill="FFFFFF"/>
                <w:vAlign w:val="center"/>
                <w:hideMark/>
              </w:tcPr>
              <w:p w14:paraId="0203B21D" w14:textId="77777777" w:rsidR="00E65AA7" w:rsidRPr="0015616F" w:rsidRDefault="00E65AA7">
                <w:pPr>
                  <w:spacing w:after="0" w:line="240" w:lineRule="auto"/>
                  <w:jc w:val="both"/>
                  <w:rPr>
                    <w:rFonts w:ascii="Times New Roman" w:eastAsia="Times New Roman" w:hAnsi="Times New Roman"/>
                    <w:sz w:val="14"/>
                    <w:szCs w:val="14"/>
                    <w:lang w:eastAsia="es-CO"/>
                  </w:rPr>
                </w:pPr>
                <w:r w:rsidRPr="0015616F">
                  <w:rPr>
                    <w:rFonts w:ascii="Times New Roman" w:eastAsia="Times New Roman" w:hAnsi="Times New Roman"/>
                    <w:sz w:val="14"/>
                    <w:szCs w:val="14"/>
                    <w:lang w:eastAsia="es-CO"/>
                  </w:rPr>
                  <w:t>14/01/2011</w:t>
                </w:r>
              </w:p>
            </w:tc>
            <w:tc>
              <w:tcPr>
                <w:tcW w:w="772" w:type="dxa"/>
                <w:shd w:val="clear" w:color="000000" w:fill="FFFFFF"/>
                <w:vAlign w:val="center"/>
                <w:hideMark/>
              </w:tcPr>
              <w:p w14:paraId="62D4C465" w14:textId="77777777" w:rsidR="00E65AA7" w:rsidRPr="0015616F" w:rsidRDefault="00E65AA7">
                <w:pPr>
                  <w:spacing w:after="0" w:line="240" w:lineRule="auto"/>
                  <w:jc w:val="center"/>
                  <w:rPr>
                    <w:rFonts w:ascii="Times New Roman" w:eastAsia="Times New Roman" w:hAnsi="Times New Roman"/>
                    <w:sz w:val="14"/>
                    <w:szCs w:val="14"/>
                    <w:lang w:eastAsia="es-CO"/>
                  </w:rPr>
                </w:pPr>
                <w:r w:rsidRPr="0015616F">
                  <w:rPr>
                    <w:rFonts w:ascii="Times New Roman" w:eastAsia="Times New Roman" w:hAnsi="Times New Roman"/>
                    <w:sz w:val="14"/>
                    <w:szCs w:val="14"/>
                    <w:lang w:eastAsia="es-CO"/>
                  </w:rPr>
                  <w:t>10.200</w:t>
                </w:r>
              </w:p>
            </w:tc>
            <w:tc>
              <w:tcPr>
                <w:tcW w:w="762" w:type="dxa"/>
                <w:shd w:val="clear" w:color="000000" w:fill="FFFFFF"/>
                <w:vAlign w:val="center"/>
                <w:hideMark/>
              </w:tcPr>
              <w:p w14:paraId="177F49F0" w14:textId="77777777" w:rsidR="00E65AA7" w:rsidRPr="0015616F" w:rsidRDefault="00E65AA7">
                <w:pPr>
                  <w:spacing w:after="0" w:line="240" w:lineRule="auto"/>
                  <w:jc w:val="center"/>
                  <w:rPr>
                    <w:rFonts w:ascii="Times New Roman" w:eastAsia="Times New Roman" w:hAnsi="Times New Roman"/>
                    <w:sz w:val="14"/>
                    <w:szCs w:val="14"/>
                    <w:lang w:eastAsia="es-CO"/>
                  </w:rPr>
                </w:pPr>
                <w:r w:rsidRPr="0015616F">
                  <w:rPr>
                    <w:rFonts w:ascii="Times New Roman" w:eastAsia="Times New Roman" w:hAnsi="Times New Roman"/>
                    <w:sz w:val="14"/>
                    <w:szCs w:val="14"/>
                    <w:lang w:eastAsia="es-CO"/>
                  </w:rPr>
                  <w:t>-</w:t>
                </w:r>
              </w:p>
            </w:tc>
            <w:tc>
              <w:tcPr>
                <w:tcW w:w="938" w:type="dxa"/>
                <w:shd w:val="clear" w:color="000000" w:fill="FFFFFF"/>
                <w:vAlign w:val="center"/>
                <w:hideMark/>
              </w:tcPr>
              <w:p w14:paraId="09442E3E" w14:textId="77777777" w:rsidR="00E65AA7" w:rsidRPr="0015616F" w:rsidRDefault="00E65AA7">
                <w:pPr>
                  <w:spacing w:after="0" w:line="240" w:lineRule="auto"/>
                  <w:jc w:val="center"/>
                  <w:rPr>
                    <w:rFonts w:ascii="Times New Roman" w:eastAsia="Times New Roman" w:hAnsi="Times New Roman"/>
                    <w:sz w:val="14"/>
                    <w:szCs w:val="14"/>
                    <w:lang w:eastAsia="es-CO"/>
                  </w:rPr>
                </w:pPr>
                <w:r w:rsidRPr="0015616F">
                  <w:rPr>
                    <w:rFonts w:ascii="Times New Roman" w:eastAsia="Times New Roman" w:hAnsi="Times New Roman"/>
                    <w:sz w:val="14"/>
                    <w:szCs w:val="14"/>
                    <w:lang w:eastAsia="es-CO"/>
                  </w:rPr>
                  <w:t>10.200</w:t>
                </w:r>
              </w:p>
            </w:tc>
            <w:tc>
              <w:tcPr>
                <w:tcW w:w="850" w:type="dxa"/>
                <w:vMerge/>
                <w:vAlign w:val="center"/>
                <w:hideMark/>
              </w:tcPr>
              <w:p w14:paraId="17AEC0E4" w14:textId="77777777" w:rsidR="00E65AA7" w:rsidRPr="0015616F" w:rsidRDefault="00E65AA7">
                <w:pPr>
                  <w:spacing w:after="0" w:line="240" w:lineRule="auto"/>
                  <w:jc w:val="both"/>
                  <w:rPr>
                    <w:rFonts w:ascii="Times New Roman" w:eastAsia="Times New Roman" w:hAnsi="Times New Roman"/>
                    <w:sz w:val="14"/>
                    <w:szCs w:val="14"/>
                    <w:lang w:eastAsia="es-CO"/>
                  </w:rPr>
                </w:pPr>
              </w:p>
            </w:tc>
            <w:tc>
              <w:tcPr>
                <w:tcW w:w="1134" w:type="dxa"/>
                <w:shd w:val="clear" w:color="000000" w:fill="FFFFFF"/>
                <w:vAlign w:val="center"/>
                <w:hideMark/>
              </w:tcPr>
              <w:p w14:paraId="262A9F6E" w14:textId="77777777" w:rsidR="00E65AA7" w:rsidRPr="0015616F" w:rsidRDefault="00E65AA7">
                <w:pPr>
                  <w:spacing w:after="0" w:line="240" w:lineRule="auto"/>
                  <w:jc w:val="both"/>
                  <w:rPr>
                    <w:rFonts w:ascii="Times New Roman" w:eastAsia="Times New Roman" w:hAnsi="Times New Roman"/>
                    <w:sz w:val="14"/>
                    <w:szCs w:val="14"/>
                    <w:lang w:eastAsia="es-CO"/>
                  </w:rPr>
                </w:pPr>
                <w:r w:rsidRPr="0015616F">
                  <w:rPr>
                    <w:rFonts w:ascii="Times New Roman" w:eastAsia="Times New Roman" w:hAnsi="Times New Roman"/>
                    <w:sz w:val="14"/>
                    <w:szCs w:val="14"/>
                    <w:lang w:eastAsia="es-CO"/>
                  </w:rPr>
                  <w:t xml:space="preserve"> Proceso ejecutivo Laboral de Primera Instancia Ricardo Andrés Betancourt </w:t>
                </w:r>
              </w:p>
            </w:tc>
            <w:tc>
              <w:tcPr>
                <w:tcW w:w="2645" w:type="dxa"/>
                <w:shd w:val="clear" w:color="000000" w:fill="FFFFFF"/>
                <w:vAlign w:val="center"/>
                <w:hideMark/>
              </w:tcPr>
              <w:p w14:paraId="4C330611" w14:textId="71E882B8" w:rsidR="00E65AA7" w:rsidRPr="0015616F" w:rsidRDefault="00E65AA7">
                <w:pPr>
                  <w:spacing w:after="0" w:line="240" w:lineRule="auto"/>
                  <w:jc w:val="both"/>
                  <w:rPr>
                    <w:rFonts w:ascii="Times New Roman" w:eastAsia="Times New Roman" w:hAnsi="Times New Roman"/>
                    <w:sz w:val="14"/>
                    <w:szCs w:val="14"/>
                    <w:lang w:eastAsia="es-CO"/>
                  </w:rPr>
                </w:pPr>
                <w:r w:rsidRPr="0015616F">
                  <w:rPr>
                    <w:rFonts w:ascii="Times New Roman" w:eastAsia="Times New Roman" w:hAnsi="Times New Roman"/>
                    <w:sz w:val="14"/>
                    <w:szCs w:val="14"/>
                    <w:lang w:eastAsia="es-CO"/>
                  </w:rPr>
                  <w:t xml:space="preserve"> A la fecha está pendiente de que GIT Asesoría Jurídica Predial, informe donde se encuentran estos recursos. </w:t>
                </w:r>
              </w:p>
            </w:tc>
            <w:tc>
              <w:tcPr>
                <w:tcW w:w="1193" w:type="dxa"/>
                <w:shd w:val="clear" w:color="000000" w:fill="FFFFFF"/>
                <w:vAlign w:val="center"/>
                <w:hideMark/>
              </w:tcPr>
              <w:p w14:paraId="5C7CA279" w14:textId="77777777" w:rsidR="00E65AA7" w:rsidRPr="0015616F" w:rsidRDefault="00E65AA7">
                <w:pPr>
                  <w:spacing w:after="0" w:line="240" w:lineRule="auto"/>
                  <w:jc w:val="both"/>
                  <w:rPr>
                    <w:rFonts w:ascii="Times New Roman" w:eastAsia="Times New Roman" w:hAnsi="Times New Roman"/>
                    <w:sz w:val="14"/>
                    <w:szCs w:val="14"/>
                    <w:lang w:eastAsia="es-CO"/>
                  </w:rPr>
                </w:pPr>
                <w:r w:rsidRPr="0015616F">
                  <w:rPr>
                    <w:rFonts w:ascii="Times New Roman" w:eastAsia="Times New Roman" w:hAnsi="Times New Roman"/>
                    <w:sz w:val="14"/>
                    <w:szCs w:val="14"/>
                    <w:lang w:eastAsia="es-CO"/>
                  </w:rPr>
                  <w:t>Juzgado Primero Laboral del Circuito de Guadalajara Buga.</w:t>
                </w:r>
              </w:p>
            </w:tc>
          </w:tr>
          <w:tr w:rsidR="00E65AA7" w:rsidRPr="00E35506" w14:paraId="5851E6A9" w14:textId="77777777" w:rsidTr="00D90A20">
            <w:trPr>
              <w:trHeight w:val="54"/>
              <w:jc w:val="center"/>
            </w:trPr>
            <w:tc>
              <w:tcPr>
                <w:tcW w:w="779" w:type="dxa"/>
                <w:shd w:val="clear" w:color="000000" w:fill="FFFFFF"/>
                <w:noWrap/>
                <w:vAlign w:val="center"/>
                <w:hideMark/>
              </w:tcPr>
              <w:p w14:paraId="12FD8CEA" w14:textId="77777777" w:rsidR="00E65AA7" w:rsidRPr="0015616F" w:rsidRDefault="00E65AA7">
                <w:pPr>
                  <w:spacing w:after="0" w:line="240" w:lineRule="auto"/>
                  <w:jc w:val="both"/>
                  <w:rPr>
                    <w:rFonts w:ascii="Times New Roman" w:eastAsia="Times New Roman" w:hAnsi="Times New Roman"/>
                    <w:sz w:val="14"/>
                    <w:szCs w:val="14"/>
                    <w:lang w:eastAsia="es-CO"/>
                  </w:rPr>
                </w:pPr>
                <w:r w:rsidRPr="0015616F">
                  <w:rPr>
                    <w:rFonts w:ascii="Times New Roman" w:eastAsia="Times New Roman" w:hAnsi="Times New Roman"/>
                    <w:sz w:val="14"/>
                    <w:szCs w:val="14"/>
                    <w:lang w:eastAsia="es-CO"/>
                  </w:rPr>
                  <w:t>19/12/2014</w:t>
                </w:r>
              </w:p>
            </w:tc>
            <w:tc>
              <w:tcPr>
                <w:tcW w:w="772" w:type="dxa"/>
                <w:shd w:val="clear" w:color="000000" w:fill="FFFFFF"/>
                <w:vAlign w:val="center"/>
                <w:hideMark/>
              </w:tcPr>
              <w:p w14:paraId="2413B6D0" w14:textId="77777777" w:rsidR="00E65AA7" w:rsidRPr="0015616F" w:rsidRDefault="00E65AA7">
                <w:pPr>
                  <w:spacing w:after="0" w:line="240" w:lineRule="auto"/>
                  <w:jc w:val="center"/>
                  <w:rPr>
                    <w:rFonts w:ascii="Times New Roman" w:eastAsia="Times New Roman" w:hAnsi="Times New Roman"/>
                    <w:sz w:val="14"/>
                    <w:szCs w:val="14"/>
                    <w:lang w:eastAsia="es-CO"/>
                  </w:rPr>
                </w:pPr>
                <w:r w:rsidRPr="0015616F">
                  <w:rPr>
                    <w:rFonts w:ascii="Times New Roman" w:eastAsia="Times New Roman" w:hAnsi="Times New Roman"/>
                    <w:sz w:val="14"/>
                    <w:szCs w:val="14"/>
                    <w:lang w:eastAsia="es-CO"/>
                  </w:rPr>
                  <w:t>2.655</w:t>
                </w:r>
              </w:p>
            </w:tc>
            <w:tc>
              <w:tcPr>
                <w:tcW w:w="762" w:type="dxa"/>
                <w:shd w:val="clear" w:color="000000" w:fill="FFFFFF"/>
                <w:vAlign w:val="center"/>
                <w:hideMark/>
              </w:tcPr>
              <w:p w14:paraId="2359202F" w14:textId="77777777" w:rsidR="00E65AA7" w:rsidRPr="0015616F" w:rsidRDefault="00E65AA7">
                <w:pPr>
                  <w:spacing w:after="0" w:line="240" w:lineRule="auto"/>
                  <w:jc w:val="center"/>
                  <w:rPr>
                    <w:rFonts w:ascii="Times New Roman" w:eastAsia="Times New Roman" w:hAnsi="Times New Roman"/>
                    <w:sz w:val="14"/>
                    <w:szCs w:val="14"/>
                    <w:lang w:eastAsia="es-CO"/>
                  </w:rPr>
                </w:pPr>
                <w:r w:rsidRPr="0015616F">
                  <w:rPr>
                    <w:rFonts w:ascii="Times New Roman" w:eastAsia="Times New Roman" w:hAnsi="Times New Roman"/>
                    <w:sz w:val="14"/>
                    <w:szCs w:val="14"/>
                    <w:lang w:eastAsia="es-CO"/>
                  </w:rPr>
                  <w:t>-</w:t>
                </w:r>
              </w:p>
            </w:tc>
            <w:tc>
              <w:tcPr>
                <w:tcW w:w="938" w:type="dxa"/>
                <w:shd w:val="clear" w:color="000000" w:fill="FFFFFF"/>
                <w:vAlign w:val="center"/>
                <w:hideMark/>
              </w:tcPr>
              <w:p w14:paraId="2D345DA7" w14:textId="77777777" w:rsidR="00E65AA7" w:rsidRPr="0015616F" w:rsidRDefault="00E65AA7">
                <w:pPr>
                  <w:spacing w:after="0" w:line="240" w:lineRule="auto"/>
                  <w:jc w:val="center"/>
                  <w:rPr>
                    <w:rFonts w:ascii="Times New Roman" w:eastAsia="Times New Roman" w:hAnsi="Times New Roman"/>
                    <w:sz w:val="14"/>
                    <w:szCs w:val="14"/>
                    <w:lang w:eastAsia="es-CO"/>
                  </w:rPr>
                </w:pPr>
                <w:r w:rsidRPr="0015616F">
                  <w:rPr>
                    <w:rFonts w:ascii="Times New Roman" w:eastAsia="Times New Roman" w:hAnsi="Times New Roman"/>
                    <w:sz w:val="14"/>
                    <w:szCs w:val="14"/>
                    <w:lang w:eastAsia="es-CO"/>
                  </w:rPr>
                  <w:t>2.655</w:t>
                </w:r>
              </w:p>
            </w:tc>
            <w:tc>
              <w:tcPr>
                <w:tcW w:w="850" w:type="dxa"/>
                <w:vMerge/>
                <w:vAlign w:val="center"/>
                <w:hideMark/>
              </w:tcPr>
              <w:p w14:paraId="4CF99A72" w14:textId="77777777" w:rsidR="00E65AA7" w:rsidRPr="0015616F" w:rsidRDefault="00E65AA7">
                <w:pPr>
                  <w:spacing w:after="0" w:line="240" w:lineRule="auto"/>
                  <w:jc w:val="both"/>
                  <w:rPr>
                    <w:rFonts w:ascii="Times New Roman" w:eastAsia="Times New Roman" w:hAnsi="Times New Roman"/>
                    <w:sz w:val="14"/>
                    <w:szCs w:val="14"/>
                    <w:lang w:eastAsia="es-CO"/>
                  </w:rPr>
                </w:pPr>
              </w:p>
            </w:tc>
            <w:tc>
              <w:tcPr>
                <w:tcW w:w="1134" w:type="dxa"/>
                <w:shd w:val="clear" w:color="000000" w:fill="FFFFFF"/>
                <w:vAlign w:val="center"/>
                <w:hideMark/>
              </w:tcPr>
              <w:p w14:paraId="1EA6EBE5" w14:textId="77777777" w:rsidR="00E65AA7" w:rsidRPr="0015616F" w:rsidRDefault="00E65AA7">
                <w:pPr>
                  <w:spacing w:after="0" w:line="240" w:lineRule="auto"/>
                  <w:jc w:val="both"/>
                  <w:rPr>
                    <w:rFonts w:ascii="Times New Roman" w:eastAsia="Times New Roman" w:hAnsi="Times New Roman"/>
                    <w:sz w:val="14"/>
                    <w:szCs w:val="14"/>
                    <w:lang w:eastAsia="es-CO"/>
                  </w:rPr>
                </w:pPr>
                <w:r w:rsidRPr="0015616F">
                  <w:rPr>
                    <w:rFonts w:ascii="Times New Roman" w:eastAsia="Times New Roman" w:hAnsi="Times New Roman"/>
                    <w:sz w:val="14"/>
                    <w:szCs w:val="14"/>
                    <w:lang w:eastAsia="es-CO"/>
                  </w:rPr>
                  <w:t xml:space="preserve"> Proceso Ejecutivo- Manuel Alfonso Gutiérrez Silva </w:t>
                </w:r>
              </w:p>
            </w:tc>
            <w:tc>
              <w:tcPr>
                <w:tcW w:w="2645" w:type="dxa"/>
                <w:shd w:val="clear" w:color="000000" w:fill="FFFFFF"/>
                <w:vAlign w:val="center"/>
                <w:hideMark/>
              </w:tcPr>
              <w:p w14:paraId="04B479ED" w14:textId="520D8F29" w:rsidR="00E65AA7" w:rsidRPr="0015616F" w:rsidRDefault="00E65AA7">
                <w:pPr>
                  <w:spacing w:after="0" w:line="240" w:lineRule="auto"/>
                  <w:jc w:val="both"/>
                  <w:rPr>
                    <w:rFonts w:ascii="Times New Roman" w:eastAsia="Times New Roman" w:hAnsi="Times New Roman"/>
                    <w:sz w:val="14"/>
                    <w:szCs w:val="14"/>
                    <w:lang w:eastAsia="es-CO"/>
                  </w:rPr>
                </w:pPr>
                <w:r w:rsidRPr="0015616F">
                  <w:rPr>
                    <w:rFonts w:ascii="Times New Roman" w:eastAsia="Times New Roman" w:hAnsi="Times New Roman"/>
                    <w:sz w:val="14"/>
                    <w:szCs w:val="14"/>
                    <w:lang w:eastAsia="es-CO"/>
                  </w:rPr>
                  <w:t xml:space="preserve"> </w:t>
                </w:r>
                <w:r w:rsidR="00B243AB" w:rsidRPr="0015616F">
                  <w:rPr>
                    <w:rFonts w:ascii="Times New Roman" w:eastAsia="Times New Roman" w:hAnsi="Times New Roman"/>
                    <w:sz w:val="14"/>
                    <w:szCs w:val="14"/>
                    <w:lang w:eastAsia="es-CO"/>
                  </w:rPr>
                  <w:t xml:space="preserve">Mediante memorando No. </w:t>
                </w:r>
                <w:r w:rsidR="00C83F26" w:rsidRPr="0015616F">
                  <w:rPr>
                    <w:rFonts w:ascii="Times New Roman" w:eastAsia="Times New Roman" w:hAnsi="Times New Roman"/>
                    <w:sz w:val="14"/>
                    <w:szCs w:val="14"/>
                    <w:lang w:eastAsia="es-CO"/>
                  </w:rPr>
                  <w:t>202340100</w:t>
                </w:r>
                <w:r w:rsidR="00B06F4D" w:rsidRPr="0015616F">
                  <w:rPr>
                    <w:rFonts w:ascii="Times New Roman" w:eastAsia="Times New Roman" w:hAnsi="Times New Roman"/>
                    <w:sz w:val="14"/>
                    <w:szCs w:val="14"/>
                    <w:lang w:eastAsia="es-CO"/>
                  </w:rPr>
                  <w:t xml:space="preserve">80833 del 2-6-23 </w:t>
                </w:r>
                <w:r w:rsidR="00250E10" w:rsidRPr="0015616F">
                  <w:rPr>
                    <w:rFonts w:ascii="Times New Roman" w:eastAsia="Times New Roman" w:hAnsi="Times New Roman"/>
                    <w:sz w:val="14"/>
                    <w:szCs w:val="14"/>
                    <w:lang w:eastAsia="es-CO"/>
                  </w:rPr>
                  <w:t xml:space="preserve">se solicitó al GIT de Defensa Judicial </w:t>
                </w:r>
                <w:r w:rsidR="00505A25" w:rsidRPr="0015616F">
                  <w:rPr>
                    <w:rFonts w:ascii="Times New Roman" w:eastAsia="Times New Roman" w:hAnsi="Times New Roman"/>
                    <w:sz w:val="14"/>
                    <w:szCs w:val="14"/>
                    <w:lang w:eastAsia="es-CO"/>
                  </w:rPr>
                  <w:t xml:space="preserve">realizar las gestiones de oficio de </w:t>
                </w:r>
                <w:r w:rsidR="008B6652" w:rsidRPr="0015616F">
                  <w:rPr>
                    <w:rFonts w:ascii="Times New Roman" w:eastAsia="Times New Roman" w:hAnsi="Times New Roman"/>
                    <w:sz w:val="14"/>
                    <w:szCs w:val="14"/>
                    <w:lang w:eastAsia="es-CO"/>
                  </w:rPr>
                  <w:t>desembargo</w:t>
                </w:r>
                <w:r w:rsidR="00505A25" w:rsidRPr="0015616F">
                  <w:rPr>
                    <w:rFonts w:ascii="Times New Roman" w:eastAsia="Times New Roman" w:hAnsi="Times New Roman"/>
                    <w:sz w:val="14"/>
                    <w:szCs w:val="14"/>
                    <w:lang w:eastAsia="es-CO"/>
                  </w:rPr>
                  <w:t xml:space="preserve"> a</w:t>
                </w:r>
                <w:r w:rsidR="00B834D9" w:rsidRPr="0015616F">
                  <w:rPr>
                    <w:rFonts w:ascii="Times New Roman" w:eastAsia="Times New Roman" w:hAnsi="Times New Roman"/>
                    <w:sz w:val="14"/>
                    <w:szCs w:val="14"/>
                    <w:lang w:eastAsia="es-CO"/>
                  </w:rPr>
                  <w:t>l</w:t>
                </w:r>
                <w:r w:rsidR="00505A25" w:rsidRPr="0015616F">
                  <w:rPr>
                    <w:rFonts w:ascii="Times New Roman" w:eastAsia="Times New Roman" w:hAnsi="Times New Roman"/>
                    <w:sz w:val="14"/>
                    <w:szCs w:val="14"/>
                    <w:lang w:eastAsia="es-CO"/>
                  </w:rPr>
                  <w:t xml:space="preserve"> </w:t>
                </w:r>
                <w:r w:rsidR="008B6652" w:rsidRPr="0015616F">
                  <w:rPr>
                    <w:rFonts w:ascii="Times New Roman" w:eastAsia="Times New Roman" w:hAnsi="Times New Roman"/>
                    <w:sz w:val="14"/>
                    <w:szCs w:val="14"/>
                    <w:lang w:eastAsia="es-CO"/>
                  </w:rPr>
                  <w:t>Juzgado</w:t>
                </w:r>
                <w:r w:rsidR="00505A25" w:rsidRPr="0015616F">
                  <w:rPr>
                    <w:rFonts w:ascii="Times New Roman" w:eastAsia="Times New Roman" w:hAnsi="Times New Roman"/>
                    <w:sz w:val="14"/>
                    <w:szCs w:val="14"/>
                    <w:lang w:eastAsia="es-CO"/>
                  </w:rPr>
                  <w:t xml:space="preserve"> </w:t>
                </w:r>
                <w:r w:rsidR="008B6652" w:rsidRPr="0015616F">
                  <w:rPr>
                    <w:rFonts w:ascii="Times New Roman" w:eastAsia="Times New Roman" w:hAnsi="Times New Roman"/>
                    <w:sz w:val="14"/>
                    <w:szCs w:val="14"/>
                    <w:lang w:eastAsia="es-CO"/>
                  </w:rPr>
                  <w:t>por</w:t>
                </w:r>
                <w:r w:rsidR="00505A25" w:rsidRPr="0015616F">
                  <w:rPr>
                    <w:rFonts w:ascii="Times New Roman" w:eastAsia="Times New Roman" w:hAnsi="Times New Roman"/>
                    <w:sz w:val="14"/>
                    <w:szCs w:val="14"/>
                    <w:lang w:eastAsia="es-CO"/>
                  </w:rPr>
                  <w:t xml:space="preserve"> la </w:t>
                </w:r>
                <w:r w:rsidR="008B6652" w:rsidRPr="0015616F">
                  <w:rPr>
                    <w:rFonts w:ascii="Times New Roman" w:eastAsia="Times New Roman" w:hAnsi="Times New Roman"/>
                    <w:sz w:val="14"/>
                    <w:szCs w:val="14"/>
                    <w:lang w:eastAsia="es-CO"/>
                  </w:rPr>
                  <w:t>suma retenida.</w:t>
                </w:r>
              </w:p>
            </w:tc>
            <w:tc>
              <w:tcPr>
                <w:tcW w:w="1193" w:type="dxa"/>
                <w:shd w:val="clear" w:color="000000" w:fill="FFFFFF"/>
                <w:vAlign w:val="center"/>
                <w:hideMark/>
              </w:tcPr>
              <w:p w14:paraId="1AB62263" w14:textId="77777777" w:rsidR="00E65AA7" w:rsidRPr="0015616F" w:rsidRDefault="00E65AA7">
                <w:pPr>
                  <w:spacing w:after="0" w:line="240" w:lineRule="auto"/>
                  <w:jc w:val="both"/>
                  <w:rPr>
                    <w:rFonts w:ascii="Times New Roman" w:eastAsia="Times New Roman" w:hAnsi="Times New Roman"/>
                    <w:sz w:val="14"/>
                    <w:szCs w:val="14"/>
                    <w:lang w:eastAsia="es-CO"/>
                  </w:rPr>
                </w:pPr>
                <w:r w:rsidRPr="0015616F">
                  <w:rPr>
                    <w:rFonts w:ascii="Times New Roman" w:eastAsia="Times New Roman" w:hAnsi="Times New Roman"/>
                    <w:sz w:val="14"/>
                    <w:szCs w:val="14"/>
                    <w:lang w:eastAsia="es-CO"/>
                  </w:rPr>
                  <w:t>Juzgado Civil del Circuito de los Patios.</w:t>
                </w:r>
              </w:p>
            </w:tc>
          </w:tr>
        </w:tbl>
        <w:p w14:paraId="3EDC88BA" w14:textId="72D1FF0B" w:rsidR="00755FB8" w:rsidRPr="00931DCE" w:rsidRDefault="00AD2026" w:rsidP="00755FB8">
          <w:pPr>
            <w:spacing w:after="0" w:line="240" w:lineRule="auto"/>
            <w:jc w:val="both"/>
            <w:rPr>
              <w:rFonts w:ascii="Times New Roman" w:hAnsi="Times New Roman"/>
              <w:sz w:val="14"/>
              <w:szCs w:val="14"/>
            </w:rPr>
          </w:pPr>
          <w:r w:rsidRPr="00931DCE">
            <w:rPr>
              <w:rFonts w:ascii="Times New Roman" w:hAnsi="Times New Roman"/>
              <w:sz w:val="14"/>
              <w:szCs w:val="14"/>
            </w:rPr>
            <w:t>Cifras expresadas en pesos</w:t>
          </w:r>
          <w:r w:rsidR="00755FB8" w:rsidRPr="00931DCE">
            <w:rPr>
              <w:rFonts w:ascii="Times New Roman" w:hAnsi="Times New Roman"/>
              <w:sz w:val="14"/>
              <w:szCs w:val="14"/>
            </w:rPr>
            <w:t xml:space="preserve"> </w:t>
          </w:r>
        </w:p>
        <w:p w14:paraId="494FF8BD" w14:textId="77777777" w:rsidR="0004538C" w:rsidRDefault="0004538C" w:rsidP="00755FB8">
          <w:pPr>
            <w:spacing w:after="0" w:line="240" w:lineRule="auto"/>
            <w:jc w:val="both"/>
            <w:rPr>
              <w:rFonts w:ascii="Times New Roman" w:hAnsi="Times New Roman"/>
              <w:sz w:val="24"/>
              <w:szCs w:val="24"/>
            </w:rPr>
          </w:pPr>
        </w:p>
        <w:p w14:paraId="53002D3B" w14:textId="5E5A4D2F" w:rsidR="00755FB8" w:rsidRPr="00931DCE" w:rsidRDefault="00E7399D" w:rsidP="00755FB8">
          <w:pPr>
            <w:spacing w:after="0" w:line="240" w:lineRule="auto"/>
            <w:jc w:val="both"/>
            <w:rPr>
              <w:rFonts w:ascii="Times New Roman" w:hAnsi="Times New Roman"/>
              <w:sz w:val="24"/>
              <w:szCs w:val="24"/>
            </w:rPr>
          </w:pPr>
          <w:r>
            <w:rPr>
              <w:rFonts w:ascii="Times New Roman" w:hAnsi="Times New Roman"/>
              <w:sz w:val="24"/>
              <w:szCs w:val="24"/>
            </w:rPr>
            <w:t xml:space="preserve">Las </w:t>
          </w:r>
          <w:r w:rsidR="00084CD9">
            <w:rPr>
              <w:rFonts w:ascii="Times New Roman" w:hAnsi="Times New Roman"/>
              <w:sz w:val="24"/>
              <w:szCs w:val="24"/>
            </w:rPr>
            <w:t>áreas</w:t>
          </w:r>
          <w:r>
            <w:rPr>
              <w:rFonts w:ascii="Times New Roman" w:hAnsi="Times New Roman"/>
              <w:sz w:val="24"/>
              <w:szCs w:val="24"/>
            </w:rPr>
            <w:t xml:space="preserve"> competentes de la Agencia</w:t>
          </w:r>
          <w:r w:rsidR="00C61584" w:rsidRPr="00931DCE">
            <w:rPr>
              <w:rFonts w:ascii="Times New Roman" w:hAnsi="Times New Roman"/>
              <w:sz w:val="24"/>
              <w:szCs w:val="24"/>
            </w:rPr>
            <w:t xml:space="preserve"> ha</w:t>
          </w:r>
          <w:r w:rsidR="00572119">
            <w:rPr>
              <w:rFonts w:ascii="Times New Roman" w:hAnsi="Times New Roman"/>
              <w:sz w:val="24"/>
              <w:szCs w:val="24"/>
            </w:rPr>
            <w:t>n</w:t>
          </w:r>
          <w:r w:rsidR="00C61584" w:rsidRPr="00931DCE">
            <w:rPr>
              <w:rFonts w:ascii="Times New Roman" w:hAnsi="Times New Roman"/>
              <w:sz w:val="24"/>
              <w:szCs w:val="24"/>
            </w:rPr>
            <w:t xml:space="preserve"> realizado las</w:t>
          </w:r>
          <w:r w:rsidR="00755FB8" w:rsidRPr="00931DCE">
            <w:rPr>
              <w:rFonts w:ascii="Times New Roman" w:hAnsi="Times New Roman"/>
              <w:sz w:val="24"/>
              <w:szCs w:val="24"/>
            </w:rPr>
            <w:t xml:space="preserve"> gestiones pertinentes para </w:t>
          </w:r>
          <w:r w:rsidR="00E17875" w:rsidRPr="00931DCE">
            <w:rPr>
              <w:rFonts w:ascii="Times New Roman" w:hAnsi="Times New Roman"/>
              <w:sz w:val="24"/>
              <w:szCs w:val="24"/>
            </w:rPr>
            <w:t>el reintegro</w:t>
          </w:r>
          <w:r w:rsidR="00755FB8" w:rsidRPr="00931DCE">
            <w:rPr>
              <w:rFonts w:ascii="Times New Roman" w:hAnsi="Times New Roman"/>
              <w:sz w:val="24"/>
              <w:szCs w:val="24"/>
            </w:rPr>
            <w:t xml:space="preserve"> de los recursos embargados</w:t>
          </w:r>
          <w:r w:rsidR="00C61584" w:rsidRPr="00931DCE">
            <w:rPr>
              <w:rFonts w:ascii="Times New Roman" w:hAnsi="Times New Roman"/>
              <w:sz w:val="24"/>
              <w:szCs w:val="24"/>
            </w:rPr>
            <w:t xml:space="preserve">, </w:t>
          </w:r>
          <w:r w:rsidR="00C61584" w:rsidRPr="00255FDC">
            <w:rPr>
              <w:rFonts w:ascii="Times New Roman" w:hAnsi="Times New Roman"/>
              <w:sz w:val="24"/>
              <w:szCs w:val="24"/>
            </w:rPr>
            <w:t xml:space="preserve">no </w:t>
          </w:r>
          <w:r w:rsidR="0000216A" w:rsidRPr="00255FDC">
            <w:rPr>
              <w:rFonts w:ascii="Times New Roman" w:hAnsi="Times New Roman"/>
              <w:sz w:val="24"/>
              <w:szCs w:val="24"/>
            </w:rPr>
            <w:t>obstante,</w:t>
          </w:r>
          <w:r w:rsidR="00C61584" w:rsidRPr="00255FDC">
            <w:rPr>
              <w:rFonts w:ascii="Times New Roman" w:hAnsi="Times New Roman"/>
              <w:sz w:val="24"/>
              <w:szCs w:val="24"/>
            </w:rPr>
            <w:t xml:space="preserve"> al cierre de</w:t>
          </w:r>
          <w:r w:rsidR="007702DB" w:rsidRPr="00255FDC">
            <w:rPr>
              <w:rFonts w:ascii="Times New Roman" w:hAnsi="Times New Roman"/>
              <w:sz w:val="24"/>
              <w:szCs w:val="24"/>
            </w:rPr>
            <w:t xml:space="preserve">l período </w:t>
          </w:r>
          <w:r w:rsidR="00C61584" w:rsidRPr="00255FDC">
            <w:rPr>
              <w:rFonts w:ascii="Times New Roman" w:hAnsi="Times New Roman"/>
              <w:sz w:val="24"/>
              <w:szCs w:val="24"/>
            </w:rPr>
            <w:t xml:space="preserve">no ha sido posible </w:t>
          </w:r>
          <w:r w:rsidR="0000216A" w:rsidRPr="00255FDC">
            <w:rPr>
              <w:rFonts w:ascii="Times New Roman" w:hAnsi="Times New Roman"/>
              <w:sz w:val="24"/>
              <w:szCs w:val="24"/>
            </w:rPr>
            <w:t>su</w:t>
          </w:r>
          <w:r w:rsidR="00C61584" w:rsidRPr="00255FDC">
            <w:rPr>
              <w:rFonts w:ascii="Times New Roman" w:hAnsi="Times New Roman"/>
              <w:sz w:val="24"/>
              <w:szCs w:val="24"/>
            </w:rPr>
            <w:t xml:space="preserve"> </w:t>
          </w:r>
          <w:r w:rsidR="00E17875" w:rsidRPr="00255FDC">
            <w:rPr>
              <w:rFonts w:ascii="Times New Roman" w:hAnsi="Times New Roman"/>
              <w:sz w:val="24"/>
              <w:szCs w:val="24"/>
            </w:rPr>
            <w:t>devolución a las cuentas bancarias</w:t>
          </w:r>
          <w:r w:rsidR="00E17875">
            <w:rPr>
              <w:rFonts w:ascii="Times New Roman" w:hAnsi="Times New Roman"/>
              <w:sz w:val="24"/>
              <w:szCs w:val="24"/>
            </w:rPr>
            <w:t xml:space="preserve"> </w:t>
          </w:r>
          <w:r w:rsidR="000B14D8">
            <w:rPr>
              <w:rFonts w:ascii="Times New Roman" w:hAnsi="Times New Roman"/>
              <w:sz w:val="24"/>
              <w:szCs w:val="24"/>
            </w:rPr>
            <w:t xml:space="preserve">por las razones </w:t>
          </w:r>
          <w:r w:rsidR="00B44EE3">
            <w:rPr>
              <w:rFonts w:ascii="Times New Roman" w:hAnsi="Times New Roman"/>
              <w:sz w:val="24"/>
              <w:szCs w:val="24"/>
            </w:rPr>
            <w:t>ind</w:t>
          </w:r>
          <w:r w:rsidR="00FC4885">
            <w:rPr>
              <w:rFonts w:ascii="Times New Roman" w:hAnsi="Times New Roman"/>
              <w:sz w:val="24"/>
              <w:szCs w:val="24"/>
            </w:rPr>
            <w:t>icadas en el recuadro anterior.</w:t>
          </w:r>
        </w:p>
        <w:p w14:paraId="194CD041" w14:textId="77777777" w:rsidR="00B9633B" w:rsidRPr="00931DCE" w:rsidRDefault="00B9633B" w:rsidP="00755FB8">
          <w:pPr>
            <w:spacing w:after="0" w:line="240" w:lineRule="auto"/>
            <w:jc w:val="both"/>
            <w:rPr>
              <w:rFonts w:ascii="Times New Roman" w:hAnsi="Times New Roman"/>
              <w:sz w:val="24"/>
              <w:szCs w:val="24"/>
            </w:rPr>
          </w:pPr>
        </w:p>
        <w:p w14:paraId="48D418F5" w14:textId="2AA68D3E" w:rsidR="00755FB8" w:rsidRPr="00931DCE" w:rsidRDefault="00755FB8" w:rsidP="00755FB8">
          <w:pPr>
            <w:spacing w:after="0" w:line="240" w:lineRule="auto"/>
            <w:jc w:val="both"/>
            <w:rPr>
              <w:rFonts w:ascii="Times New Roman" w:hAnsi="Times New Roman"/>
              <w:sz w:val="24"/>
              <w:szCs w:val="24"/>
            </w:rPr>
          </w:pPr>
          <w:r w:rsidRPr="00931DCE">
            <w:rPr>
              <w:rFonts w:ascii="Times New Roman" w:hAnsi="Times New Roman"/>
              <w:sz w:val="24"/>
              <w:szCs w:val="24"/>
            </w:rPr>
            <w:t>Por último, se presenta un comparativo de los años 202</w:t>
          </w:r>
          <w:r w:rsidR="00040F55">
            <w:rPr>
              <w:rFonts w:ascii="Times New Roman" w:hAnsi="Times New Roman"/>
              <w:sz w:val="24"/>
              <w:szCs w:val="24"/>
            </w:rPr>
            <w:t>3</w:t>
          </w:r>
          <w:r w:rsidRPr="00931DCE">
            <w:rPr>
              <w:rFonts w:ascii="Times New Roman" w:hAnsi="Times New Roman"/>
              <w:sz w:val="24"/>
              <w:szCs w:val="24"/>
            </w:rPr>
            <w:t xml:space="preserve"> y 202</w:t>
          </w:r>
          <w:r w:rsidR="00040F55">
            <w:rPr>
              <w:rFonts w:ascii="Times New Roman" w:hAnsi="Times New Roman"/>
              <w:sz w:val="24"/>
              <w:szCs w:val="24"/>
            </w:rPr>
            <w:t>2</w:t>
          </w:r>
          <w:r w:rsidRPr="00931DCE">
            <w:rPr>
              <w:rFonts w:ascii="Times New Roman" w:hAnsi="Times New Roman"/>
              <w:sz w:val="24"/>
              <w:szCs w:val="24"/>
            </w:rPr>
            <w:t xml:space="preserve"> de los saldos de efectivo y equivalentes al efectivo disponibles</w:t>
          </w:r>
          <w:r w:rsidR="00474A29" w:rsidRPr="00931DCE">
            <w:rPr>
              <w:rFonts w:ascii="Times New Roman" w:hAnsi="Times New Roman"/>
              <w:sz w:val="24"/>
              <w:szCs w:val="24"/>
            </w:rPr>
            <w:t xml:space="preserve"> y,</w:t>
          </w:r>
          <w:r w:rsidRPr="00931DCE">
            <w:rPr>
              <w:rFonts w:ascii="Times New Roman" w:hAnsi="Times New Roman"/>
              <w:sz w:val="24"/>
              <w:szCs w:val="24"/>
            </w:rPr>
            <w:t xml:space="preserve"> </w:t>
          </w:r>
          <w:r w:rsidR="00474A29" w:rsidRPr="00931DCE">
            <w:rPr>
              <w:rFonts w:ascii="Times New Roman" w:hAnsi="Times New Roman"/>
              <w:sz w:val="24"/>
              <w:szCs w:val="24"/>
            </w:rPr>
            <w:t>de uso restringido</w:t>
          </w:r>
          <w:r w:rsidRPr="00931DCE">
            <w:rPr>
              <w:rFonts w:ascii="Times New Roman" w:hAnsi="Times New Roman"/>
              <w:sz w:val="24"/>
              <w:szCs w:val="24"/>
            </w:rPr>
            <w:t>, identificando las cuentas bancarias correspondientes:</w:t>
          </w:r>
        </w:p>
        <w:p w14:paraId="515FF9D9" w14:textId="77777777" w:rsidR="00535F1F" w:rsidRDefault="00535F1F" w:rsidP="00755FB8">
          <w:pPr>
            <w:spacing w:after="0" w:line="240" w:lineRule="auto"/>
            <w:jc w:val="both"/>
            <w:rPr>
              <w:rFonts w:ascii="Times New Roman" w:hAnsi="Times New Roman"/>
              <w:sz w:val="24"/>
              <w:szCs w:val="24"/>
            </w:rPr>
          </w:pPr>
        </w:p>
        <w:tbl>
          <w:tblPr>
            <w:tblW w:w="5000" w:type="pct"/>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70" w:type="dxa"/>
              <w:right w:w="70" w:type="dxa"/>
            </w:tblCellMar>
            <w:tblLook w:val="04A0" w:firstRow="1" w:lastRow="0" w:firstColumn="1" w:lastColumn="0" w:noHBand="0" w:noVBand="1"/>
          </w:tblPr>
          <w:tblGrid>
            <w:gridCol w:w="986"/>
            <w:gridCol w:w="708"/>
            <w:gridCol w:w="1132"/>
            <w:gridCol w:w="993"/>
            <w:gridCol w:w="849"/>
            <w:gridCol w:w="851"/>
            <w:gridCol w:w="833"/>
            <w:gridCol w:w="910"/>
            <w:gridCol w:w="808"/>
            <w:gridCol w:w="889"/>
          </w:tblGrid>
          <w:tr w:rsidR="005930B8" w:rsidRPr="005930B8" w14:paraId="4B16F9EB" w14:textId="77777777" w:rsidTr="0004538C">
            <w:trPr>
              <w:trHeight w:val="485"/>
            </w:trPr>
            <w:tc>
              <w:tcPr>
                <w:tcW w:w="550" w:type="pct"/>
                <w:vMerge w:val="restart"/>
                <w:shd w:val="clear" w:color="auto" w:fill="auto"/>
                <w:noWrap/>
                <w:vAlign w:val="center"/>
                <w:hideMark/>
              </w:tcPr>
              <w:p w14:paraId="7B2634D1" w14:textId="227263CA" w:rsidR="00E72C5A" w:rsidRPr="0004538C" w:rsidRDefault="00E72C5A" w:rsidP="00F45A07">
                <w:pPr>
                  <w:spacing w:after="0" w:line="240" w:lineRule="auto"/>
                  <w:jc w:val="center"/>
                  <w:rPr>
                    <w:rFonts w:ascii="Times New Roman" w:eastAsia="Times New Roman" w:hAnsi="Times New Roman"/>
                    <w:b/>
                    <w:color w:val="000000"/>
                    <w:sz w:val="14"/>
                    <w:szCs w:val="14"/>
                    <w:lang w:eastAsia="es-CO"/>
                  </w:rPr>
                </w:pPr>
              </w:p>
              <w:p w14:paraId="541D8DEB" w14:textId="03C53515" w:rsidR="005930B8" w:rsidRPr="0004538C" w:rsidRDefault="00E72C5A" w:rsidP="00F45A07">
                <w:pPr>
                  <w:spacing w:after="0" w:line="240" w:lineRule="auto"/>
                  <w:jc w:val="center"/>
                  <w:rPr>
                    <w:rFonts w:ascii="Times New Roman" w:eastAsia="Times New Roman" w:hAnsi="Times New Roman"/>
                    <w:b/>
                    <w:color w:val="000000"/>
                    <w:sz w:val="14"/>
                    <w:szCs w:val="14"/>
                    <w:lang w:eastAsia="es-CO"/>
                  </w:rPr>
                </w:pPr>
                <w:r w:rsidRPr="009A46BB">
                  <w:rPr>
                    <w:rFonts w:ascii="Times New Roman" w:eastAsia="Times New Roman" w:hAnsi="Times New Roman"/>
                    <w:b/>
                    <w:bCs/>
                    <w:sz w:val="14"/>
                    <w:szCs w:val="14"/>
                    <w:lang w:eastAsia="es-CO"/>
                  </w:rPr>
                  <w:t>CÓDIGO CONTABLE</w:t>
                </w:r>
              </w:p>
            </w:tc>
            <w:tc>
              <w:tcPr>
                <w:tcW w:w="395" w:type="pct"/>
                <w:vMerge w:val="restart"/>
                <w:shd w:val="clear" w:color="auto" w:fill="auto"/>
                <w:noWrap/>
                <w:vAlign w:val="center"/>
                <w:hideMark/>
              </w:tcPr>
              <w:p w14:paraId="25BCA171" w14:textId="196AF7A7" w:rsidR="00E72C5A" w:rsidRPr="0004538C" w:rsidRDefault="00E72C5A" w:rsidP="00F45A07">
                <w:pPr>
                  <w:spacing w:after="0" w:line="240" w:lineRule="auto"/>
                  <w:jc w:val="center"/>
                  <w:rPr>
                    <w:rFonts w:ascii="Times New Roman" w:eastAsia="Times New Roman" w:hAnsi="Times New Roman"/>
                    <w:b/>
                    <w:color w:val="000000"/>
                    <w:sz w:val="14"/>
                    <w:szCs w:val="14"/>
                    <w:lang w:eastAsia="es-CO"/>
                  </w:rPr>
                </w:pPr>
              </w:p>
              <w:p w14:paraId="0CDA44AB" w14:textId="508A3F4C" w:rsidR="005930B8" w:rsidRPr="0004538C" w:rsidRDefault="00E72C5A" w:rsidP="00F45A07">
                <w:pPr>
                  <w:spacing w:after="0" w:line="240" w:lineRule="auto"/>
                  <w:jc w:val="center"/>
                  <w:rPr>
                    <w:rFonts w:ascii="Times New Roman" w:eastAsia="Times New Roman" w:hAnsi="Times New Roman"/>
                    <w:b/>
                    <w:color w:val="000000"/>
                    <w:sz w:val="14"/>
                    <w:szCs w:val="14"/>
                    <w:lang w:eastAsia="es-CO"/>
                  </w:rPr>
                </w:pPr>
                <w:r w:rsidRPr="009A46BB">
                  <w:rPr>
                    <w:rFonts w:ascii="Times New Roman" w:eastAsia="Times New Roman" w:hAnsi="Times New Roman"/>
                    <w:b/>
                    <w:bCs/>
                    <w:sz w:val="14"/>
                    <w:szCs w:val="14"/>
                    <w:lang w:eastAsia="es-CO"/>
                  </w:rPr>
                  <w:t>NAT</w:t>
                </w:r>
              </w:p>
            </w:tc>
            <w:tc>
              <w:tcPr>
                <w:tcW w:w="632" w:type="pct"/>
                <w:shd w:val="clear" w:color="000000" w:fill="FFFFFF"/>
                <w:vAlign w:val="center"/>
                <w:hideMark/>
              </w:tcPr>
              <w:p w14:paraId="61377D24" w14:textId="77777777" w:rsidR="00E72C5A" w:rsidRPr="009A46BB" w:rsidRDefault="00E72C5A" w:rsidP="005930B8">
                <w:pPr>
                  <w:spacing w:after="0" w:line="240" w:lineRule="auto"/>
                  <w:jc w:val="center"/>
                  <w:rPr>
                    <w:rFonts w:ascii="Times New Roman" w:eastAsia="Times New Roman" w:hAnsi="Times New Roman"/>
                    <w:b/>
                    <w:bCs/>
                    <w:color w:val="000000"/>
                    <w:sz w:val="14"/>
                    <w:szCs w:val="14"/>
                    <w:lang w:eastAsia="es-CO"/>
                  </w:rPr>
                </w:pPr>
                <w:r w:rsidRPr="009A46BB">
                  <w:rPr>
                    <w:rFonts w:ascii="Times New Roman" w:eastAsia="Times New Roman" w:hAnsi="Times New Roman"/>
                    <w:b/>
                    <w:bCs/>
                    <w:color w:val="000000"/>
                    <w:sz w:val="14"/>
                    <w:szCs w:val="14"/>
                    <w:lang w:eastAsia="es-CO"/>
                  </w:rPr>
                  <w:t> </w:t>
                </w:r>
              </w:p>
              <w:p w14:paraId="23373B9A" w14:textId="28C8AA51" w:rsidR="00E72C5A" w:rsidRPr="009A46BB" w:rsidRDefault="00E72C5A" w:rsidP="005930B8">
                <w:pPr>
                  <w:spacing w:after="0" w:line="240" w:lineRule="auto"/>
                  <w:jc w:val="center"/>
                  <w:rPr>
                    <w:rFonts w:ascii="Times New Roman" w:eastAsia="Times New Roman" w:hAnsi="Times New Roman"/>
                    <w:b/>
                    <w:bCs/>
                    <w:color w:val="000000"/>
                    <w:sz w:val="14"/>
                    <w:szCs w:val="14"/>
                    <w:lang w:eastAsia="es-CO"/>
                  </w:rPr>
                </w:pPr>
                <w:r w:rsidRPr="009A46BB">
                  <w:rPr>
                    <w:rFonts w:ascii="Times New Roman" w:eastAsia="Times New Roman" w:hAnsi="Times New Roman"/>
                    <w:b/>
                    <w:bCs/>
                    <w:color w:val="000000"/>
                    <w:sz w:val="14"/>
                    <w:szCs w:val="14"/>
                    <w:lang w:eastAsia="es-CO"/>
                  </w:rPr>
                  <w:t>Tipo de cuenta</w:t>
                </w:r>
              </w:p>
            </w:tc>
            <w:tc>
              <w:tcPr>
                <w:tcW w:w="554" w:type="pct"/>
                <w:shd w:val="clear" w:color="000000" w:fill="FFFFFF"/>
                <w:vAlign w:val="center"/>
              </w:tcPr>
              <w:p w14:paraId="2C8914DC" w14:textId="4E7914B5" w:rsidR="005930B8" w:rsidRPr="005930B8" w:rsidRDefault="00E72C5A" w:rsidP="005930B8">
                <w:pPr>
                  <w:spacing w:after="0" w:line="240" w:lineRule="auto"/>
                  <w:jc w:val="center"/>
                  <w:rPr>
                    <w:rFonts w:ascii="Times New Roman" w:eastAsia="Times New Roman" w:hAnsi="Times New Roman"/>
                    <w:b/>
                    <w:bCs/>
                    <w:color w:val="000000"/>
                    <w:sz w:val="14"/>
                    <w:szCs w:val="14"/>
                    <w:lang w:eastAsia="es-CO"/>
                  </w:rPr>
                </w:pPr>
                <w:r w:rsidRPr="009A46BB">
                  <w:rPr>
                    <w:rFonts w:ascii="Times New Roman" w:eastAsia="Times New Roman" w:hAnsi="Times New Roman"/>
                    <w:b/>
                    <w:bCs/>
                    <w:color w:val="000000"/>
                    <w:sz w:val="14"/>
                    <w:szCs w:val="14"/>
                    <w:lang w:eastAsia="es-CO"/>
                  </w:rPr>
                  <w:t>Número de cuenta</w:t>
                </w:r>
              </w:p>
            </w:tc>
            <w:tc>
              <w:tcPr>
                <w:tcW w:w="949" w:type="pct"/>
                <w:gridSpan w:val="2"/>
                <w:shd w:val="clear" w:color="000000" w:fill="FFFFFF"/>
                <w:vAlign w:val="center"/>
                <w:hideMark/>
              </w:tcPr>
              <w:p w14:paraId="21F2135E" w14:textId="77777777" w:rsidR="005930B8" w:rsidRPr="005930B8" w:rsidRDefault="005930B8" w:rsidP="005930B8">
                <w:pPr>
                  <w:spacing w:after="0" w:line="240" w:lineRule="auto"/>
                  <w:jc w:val="center"/>
                  <w:rPr>
                    <w:rFonts w:ascii="Times New Roman" w:eastAsia="Times New Roman" w:hAnsi="Times New Roman"/>
                    <w:b/>
                    <w:bCs/>
                    <w:color w:val="000000"/>
                    <w:sz w:val="14"/>
                    <w:szCs w:val="14"/>
                    <w:lang w:eastAsia="es-CO"/>
                  </w:rPr>
                </w:pPr>
                <w:r w:rsidRPr="005930B8">
                  <w:rPr>
                    <w:rFonts w:ascii="Times New Roman" w:eastAsia="Times New Roman" w:hAnsi="Times New Roman"/>
                    <w:b/>
                    <w:bCs/>
                    <w:color w:val="000000"/>
                    <w:sz w:val="14"/>
                    <w:szCs w:val="14"/>
                    <w:lang w:eastAsia="es-CO"/>
                  </w:rPr>
                  <w:t>SALDOS A CORTES DE VIGENCIA</w:t>
                </w:r>
              </w:p>
            </w:tc>
            <w:tc>
              <w:tcPr>
                <w:tcW w:w="973" w:type="pct"/>
                <w:gridSpan w:val="2"/>
                <w:shd w:val="clear" w:color="000000" w:fill="FFFFFF"/>
                <w:vAlign w:val="center"/>
                <w:hideMark/>
              </w:tcPr>
              <w:p w14:paraId="5EDDAFA6" w14:textId="77777777" w:rsidR="005930B8" w:rsidRPr="005930B8" w:rsidRDefault="005930B8" w:rsidP="005930B8">
                <w:pPr>
                  <w:spacing w:after="0" w:line="240" w:lineRule="auto"/>
                  <w:jc w:val="center"/>
                  <w:rPr>
                    <w:rFonts w:ascii="Times New Roman" w:eastAsia="Times New Roman" w:hAnsi="Times New Roman"/>
                    <w:b/>
                    <w:bCs/>
                    <w:color w:val="000000"/>
                    <w:sz w:val="14"/>
                    <w:szCs w:val="14"/>
                    <w:lang w:eastAsia="es-CO"/>
                  </w:rPr>
                </w:pPr>
                <w:r w:rsidRPr="005930B8">
                  <w:rPr>
                    <w:rFonts w:ascii="Times New Roman" w:eastAsia="Times New Roman" w:hAnsi="Times New Roman"/>
                    <w:b/>
                    <w:bCs/>
                    <w:color w:val="000000"/>
                    <w:sz w:val="14"/>
                    <w:szCs w:val="14"/>
                    <w:lang w:eastAsia="es-CO"/>
                  </w:rPr>
                  <w:t> </w:t>
                </w:r>
              </w:p>
            </w:tc>
            <w:tc>
              <w:tcPr>
                <w:tcW w:w="947" w:type="pct"/>
                <w:gridSpan w:val="2"/>
                <w:shd w:val="clear" w:color="000000" w:fill="FFFFFF"/>
                <w:vAlign w:val="center"/>
                <w:hideMark/>
              </w:tcPr>
              <w:p w14:paraId="79A85D7A" w14:textId="77777777" w:rsidR="005930B8" w:rsidRPr="005930B8" w:rsidRDefault="005930B8" w:rsidP="005930B8">
                <w:pPr>
                  <w:spacing w:after="0" w:line="240" w:lineRule="auto"/>
                  <w:jc w:val="center"/>
                  <w:rPr>
                    <w:rFonts w:ascii="Times New Roman" w:eastAsia="Times New Roman" w:hAnsi="Times New Roman"/>
                    <w:b/>
                    <w:bCs/>
                    <w:color w:val="000000"/>
                    <w:sz w:val="14"/>
                    <w:szCs w:val="14"/>
                    <w:lang w:eastAsia="es-CO"/>
                  </w:rPr>
                </w:pPr>
                <w:r w:rsidRPr="005930B8">
                  <w:rPr>
                    <w:rFonts w:ascii="Times New Roman" w:eastAsia="Times New Roman" w:hAnsi="Times New Roman"/>
                    <w:b/>
                    <w:bCs/>
                    <w:color w:val="000000"/>
                    <w:sz w:val="14"/>
                    <w:szCs w:val="14"/>
                    <w:lang w:eastAsia="es-CO"/>
                  </w:rPr>
                  <w:t>SALDOS A CORTES DE VIGENCIA</w:t>
                </w:r>
              </w:p>
            </w:tc>
          </w:tr>
          <w:tr w:rsidR="009E562B" w:rsidRPr="005930B8" w14:paraId="6D91FEA6" w14:textId="77777777" w:rsidTr="0004538C">
            <w:trPr>
              <w:trHeight w:val="391"/>
            </w:trPr>
            <w:tc>
              <w:tcPr>
                <w:tcW w:w="550" w:type="pct"/>
                <w:vMerge/>
                <w:shd w:val="clear" w:color="auto" w:fill="auto"/>
                <w:vAlign w:val="center"/>
                <w:hideMark/>
              </w:tcPr>
              <w:p w14:paraId="4B7E9C17" w14:textId="3940CBBA" w:rsidR="005930B8" w:rsidRPr="005930B8" w:rsidRDefault="005930B8" w:rsidP="005930B8">
                <w:pPr>
                  <w:spacing w:after="0" w:line="240" w:lineRule="auto"/>
                  <w:jc w:val="center"/>
                  <w:rPr>
                    <w:rFonts w:ascii="Times New Roman" w:eastAsia="Times New Roman" w:hAnsi="Times New Roman"/>
                    <w:b/>
                    <w:bCs/>
                    <w:sz w:val="14"/>
                    <w:szCs w:val="14"/>
                    <w:lang w:eastAsia="es-CO"/>
                  </w:rPr>
                </w:pPr>
              </w:p>
            </w:tc>
            <w:tc>
              <w:tcPr>
                <w:tcW w:w="395" w:type="pct"/>
                <w:vMerge/>
                <w:shd w:val="clear" w:color="auto" w:fill="auto"/>
                <w:vAlign w:val="center"/>
                <w:hideMark/>
              </w:tcPr>
              <w:p w14:paraId="5336F186" w14:textId="548CBFD6" w:rsidR="005930B8" w:rsidRPr="005930B8" w:rsidRDefault="005930B8" w:rsidP="005930B8">
                <w:pPr>
                  <w:spacing w:after="0" w:line="240" w:lineRule="auto"/>
                  <w:jc w:val="center"/>
                  <w:rPr>
                    <w:rFonts w:ascii="Times New Roman" w:eastAsia="Times New Roman" w:hAnsi="Times New Roman"/>
                    <w:b/>
                    <w:bCs/>
                    <w:sz w:val="14"/>
                    <w:szCs w:val="14"/>
                    <w:lang w:eastAsia="es-CO"/>
                  </w:rPr>
                </w:pPr>
              </w:p>
            </w:tc>
            <w:tc>
              <w:tcPr>
                <w:tcW w:w="632" w:type="pct"/>
                <w:shd w:val="clear" w:color="000000" w:fill="FFFFFF"/>
                <w:vAlign w:val="center"/>
                <w:hideMark/>
              </w:tcPr>
              <w:p w14:paraId="7DDC9358" w14:textId="26126612" w:rsidR="005930B8" w:rsidRPr="005930B8" w:rsidRDefault="005930B8" w:rsidP="005930B8">
                <w:pPr>
                  <w:spacing w:after="0" w:line="240" w:lineRule="auto"/>
                  <w:jc w:val="center"/>
                  <w:rPr>
                    <w:rFonts w:ascii="Times New Roman" w:eastAsia="Times New Roman" w:hAnsi="Times New Roman"/>
                    <w:b/>
                    <w:bCs/>
                    <w:color w:val="000000"/>
                    <w:sz w:val="14"/>
                    <w:szCs w:val="14"/>
                    <w:lang w:eastAsia="es-CO"/>
                  </w:rPr>
                </w:pPr>
              </w:p>
            </w:tc>
            <w:tc>
              <w:tcPr>
                <w:tcW w:w="554" w:type="pct"/>
                <w:shd w:val="clear" w:color="000000" w:fill="FFFFFF"/>
                <w:vAlign w:val="center"/>
                <w:hideMark/>
              </w:tcPr>
              <w:p w14:paraId="120D85DE" w14:textId="32890A29" w:rsidR="005930B8" w:rsidRPr="005930B8" w:rsidRDefault="005930B8" w:rsidP="005930B8">
                <w:pPr>
                  <w:spacing w:after="0" w:line="240" w:lineRule="auto"/>
                  <w:jc w:val="center"/>
                  <w:rPr>
                    <w:rFonts w:ascii="Times New Roman" w:eastAsia="Times New Roman" w:hAnsi="Times New Roman"/>
                    <w:b/>
                    <w:bCs/>
                    <w:color w:val="000000"/>
                    <w:sz w:val="14"/>
                    <w:szCs w:val="14"/>
                    <w:lang w:eastAsia="es-CO"/>
                  </w:rPr>
                </w:pPr>
              </w:p>
            </w:tc>
            <w:tc>
              <w:tcPr>
                <w:tcW w:w="474" w:type="pct"/>
                <w:shd w:val="clear" w:color="000000" w:fill="FFFFFF"/>
                <w:vAlign w:val="center"/>
                <w:hideMark/>
              </w:tcPr>
              <w:p w14:paraId="2BD54288" w14:textId="77777777" w:rsidR="005930B8" w:rsidRPr="005930B8" w:rsidRDefault="005930B8" w:rsidP="005930B8">
                <w:pPr>
                  <w:spacing w:after="0" w:line="240" w:lineRule="auto"/>
                  <w:jc w:val="center"/>
                  <w:rPr>
                    <w:rFonts w:ascii="Times New Roman" w:eastAsia="Times New Roman" w:hAnsi="Times New Roman"/>
                    <w:b/>
                    <w:bCs/>
                    <w:color w:val="000000"/>
                    <w:sz w:val="14"/>
                    <w:szCs w:val="14"/>
                    <w:lang w:eastAsia="es-CO"/>
                  </w:rPr>
                </w:pPr>
                <w:r w:rsidRPr="005930B8">
                  <w:rPr>
                    <w:rFonts w:ascii="Times New Roman" w:eastAsia="Times New Roman" w:hAnsi="Times New Roman"/>
                    <w:b/>
                    <w:bCs/>
                    <w:color w:val="000000"/>
                    <w:sz w:val="14"/>
                    <w:szCs w:val="14"/>
                    <w:lang w:eastAsia="es-CO"/>
                  </w:rPr>
                  <w:t>2023</w:t>
                </w:r>
              </w:p>
            </w:tc>
            <w:tc>
              <w:tcPr>
                <w:tcW w:w="475" w:type="pct"/>
                <w:shd w:val="clear" w:color="000000" w:fill="FFFFFF"/>
                <w:vAlign w:val="center"/>
                <w:hideMark/>
              </w:tcPr>
              <w:p w14:paraId="2F662DAE" w14:textId="77777777" w:rsidR="005930B8" w:rsidRPr="005930B8" w:rsidRDefault="005930B8" w:rsidP="005930B8">
                <w:pPr>
                  <w:spacing w:after="0" w:line="240" w:lineRule="auto"/>
                  <w:jc w:val="center"/>
                  <w:rPr>
                    <w:rFonts w:ascii="Times New Roman" w:eastAsia="Times New Roman" w:hAnsi="Times New Roman"/>
                    <w:b/>
                    <w:bCs/>
                    <w:color w:val="000000"/>
                    <w:sz w:val="14"/>
                    <w:szCs w:val="14"/>
                    <w:lang w:eastAsia="es-CO"/>
                  </w:rPr>
                </w:pPr>
                <w:r w:rsidRPr="005930B8">
                  <w:rPr>
                    <w:rFonts w:ascii="Times New Roman" w:eastAsia="Times New Roman" w:hAnsi="Times New Roman"/>
                    <w:b/>
                    <w:bCs/>
                    <w:color w:val="000000"/>
                    <w:sz w:val="14"/>
                    <w:szCs w:val="14"/>
                    <w:lang w:eastAsia="es-CO"/>
                  </w:rPr>
                  <w:t>2022</w:t>
                </w:r>
              </w:p>
            </w:tc>
            <w:tc>
              <w:tcPr>
                <w:tcW w:w="465" w:type="pct"/>
                <w:shd w:val="clear" w:color="000000" w:fill="FFFFFF"/>
                <w:vAlign w:val="center"/>
                <w:hideMark/>
              </w:tcPr>
              <w:p w14:paraId="7DF3309E" w14:textId="77777777" w:rsidR="005930B8" w:rsidRPr="005930B8" w:rsidRDefault="005930B8" w:rsidP="005930B8">
                <w:pPr>
                  <w:spacing w:after="0" w:line="240" w:lineRule="auto"/>
                  <w:jc w:val="center"/>
                  <w:rPr>
                    <w:rFonts w:ascii="Times New Roman" w:eastAsia="Times New Roman" w:hAnsi="Times New Roman"/>
                    <w:b/>
                    <w:bCs/>
                    <w:color w:val="000000"/>
                    <w:sz w:val="14"/>
                    <w:szCs w:val="14"/>
                    <w:lang w:eastAsia="es-CO"/>
                  </w:rPr>
                </w:pPr>
                <w:r w:rsidRPr="005930B8">
                  <w:rPr>
                    <w:rFonts w:ascii="Times New Roman" w:eastAsia="Times New Roman" w:hAnsi="Times New Roman"/>
                    <w:b/>
                    <w:bCs/>
                    <w:color w:val="000000"/>
                    <w:sz w:val="14"/>
                    <w:szCs w:val="14"/>
                    <w:lang w:eastAsia="es-CO"/>
                  </w:rPr>
                  <w:t>Tipo de cuenta</w:t>
                </w:r>
              </w:p>
            </w:tc>
            <w:tc>
              <w:tcPr>
                <w:tcW w:w="508" w:type="pct"/>
                <w:shd w:val="clear" w:color="000000" w:fill="FFFFFF"/>
                <w:vAlign w:val="center"/>
                <w:hideMark/>
              </w:tcPr>
              <w:p w14:paraId="759D1761" w14:textId="77777777" w:rsidR="005930B8" w:rsidRPr="005930B8" w:rsidRDefault="005930B8" w:rsidP="005930B8">
                <w:pPr>
                  <w:spacing w:after="0" w:line="240" w:lineRule="auto"/>
                  <w:jc w:val="center"/>
                  <w:rPr>
                    <w:rFonts w:ascii="Times New Roman" w:eastAsia="Times New Roman" w:hAnsi="Times New Roman"/>
                    <w:b/>
                    <w:bCs/>
                    <w:color w:val="000000"/>
                    <w:sz w:val="14"/>
                    <w:szCs w:val="14"/>
                    <w:lang w:eastAsia="es-CO"/>
                  </w:rPr>
                </w:pPr>
                <w:r w:rsidRPr="005930B8">
                  <w:rPr>
                    <w:rFonts w:ascii="Times New Roman" w:eastAsia="Times New Roman" w:hAnsi="Times New Roman"/>
                    <w:b/>
                    <w:bCs/>
                    <w:color w:val="000000"/>
                    <w:sz w:val="14"/>
                    <w:szCs w:val="14"/>
                    <w:lang w:eastAsia="es-CO"/>
                  </w:rPr>
                  <w:t>Número de cuenta</w:t>
                </w:r>
              </w:p>
            </w:tc>
            <w:tc>
              <w:tcPr>
                <w:tcW w:w="451" w:type="pct"/>
                <w:shd w:val="clear" w:color="000000" w:fill="FFFFFF"/>
                <w:vAlign w:val="center"/>
                <w:hideMark/>
              </w:tcPr>
              <w:p w14:paraId="2696D95A" w14:textId="77777777" w:rsidR="005930B8" w:rsidRPr="005930B8" w:rsidRDefault="005930B8" w:rsidP="005930B8">
                <w:pPr>
                  <w:spacing w:after="0" w:line="240" w:lineRule="auto"/>
                  <w:jc w:val="center"/>
                  <w:rPr>
                    <w:rFonts w:ascii="Times New Roman" w:eastAsia="Times New Roman" w:hAnsi="Times New Roman"/>
                    <w:b/>
                    <w:bCs/>
                    <w:color w:val="000000"/>
                    <w:sz w:val="14"/>
                    <w:szCs w:val="14"/>
                    <w:lang w:eastAsia="es-CO"/>
                  </w:rPr>
                </w:pPr>
                <w:r w:rsidRPr="005930B8">
                  <w:rPr>
                    <w:rFonts w:ascii="Times New Roman" w:eastAsia="Times New Roman" w:hAnsi="Times New Roman"/>
                    <w:b/>
                    <w:bCs/>
                    <w:color w:val="000000"/>
                    <w:sz w:val="14"/>
                    <w:szCs w:val="14"/>
                    <w:lang w:eastAsia="es-CO"/>
                  </w:rPr>
                  <w:t>2023</w:t>
                </w:r>
              </w:p>
            </w:tc>
            <w:tc>
              <w:tcPr>
                <w:tcW w:w="496" w:type="pct"/>
                <w:shd w:val="clear" w:color="000000" w:fill="FFFFFF"/>
                <w:vAlign w:val="center"/>
                <w:hideMark/>
              </w:tcPr>
              <w:p w14:paraId="041D27F1" w14:textId="77777777" w:rsidR="005930B8" w:rsidRPr="005930B8" w:rsidRDefault="005930B8" w:rsidP="005930B8">
                <w:pPr>
                  <w:spacing w:after="0" w:line="240" w:lineRule="auto"/>
                  <w:jc w:val="center"/>
                  <w:rPr>
                    <w:rFonts w:ascii="Times New Roman" w:eastAsia="Times New Roman" w:hAnsi="Times New Roman"/>
                    <w:b/>
                    <w:bCs/>
                    <w:color w:val="000000"/>
                    <w:sz w:val="14"/>
                    <w:szCs w:val="14"/>
                    <w:lang w:eastAsia="es-CO"/>
                  </w:rPr>
                </w:pPr>
                <w:r w:rsidRPr="005930B8">
                  <w:rPr>
                    <w:rFonts w:ascii="Times New Roman" w:eastAsia="Times New Roman" w:hAnsi="Times New Roman"/>
                    <w:b/>
                    <w:bCs/>
                    <w:color w:val="000000"/>
                    <w:sz w:val="14"/>
                    <w:szCs w:val="14"/>
                    <w:lang w:eastAsia="es-CO"/>
                  </w:rPr>
                  <w:t>2022</w:t>
                </w:r>
              </w:p>
            </w:tc>
          </w:tr>
          <w:tr w:rsidR="009E562B" w:rsidRPr="005930B8" w14:paraId="64FA978C" w14:textId="77777777" w:rsidTr="0004538C">
            <w:trPr>
              <w:trHeight w:val="541"/>
            </w:trPr>
            <w:tc>
              <w:tcPr>
                <w:tcW w:w="550" w:type="pct"/>
                <w:vMerge w:val="restart"/>
                <w:shd w:val="clear" w:color="auto" w:fill="auto"/>
                <w:noWrap/>
                <w:vAlign w:val="center"/>
                <w:hideMark/>
              </w:tcPr>
              <w:p w14:paraId="63D348B5" w14:textId="77777777" w:rsidR="00F45A07" w:rsidRPr="0004538C" w:rsidRDefault="005930B8" w:rsidP="005930B8">
                <w:pPr>
                  <w:spacing w:after="0" w:line="240" w:lineRule="auto"/>
                  <w:rPr>
                    <w:rFonts w:ascii="Times New Roman" w:eastAsia="Times New Roman" w:hAnsi="Times New Roman"/>
                    <w:sz w:val="14"/>
                    <w:szCs w:val="14"/>
                    <w:lang w:eastAsia="es-CO"/>
                  </w:rPr>
                </w:pPr>
                <w:r w:rsidRPr="0004538C">
                  <w:rPr>
                    <w:rFonts w:ascii="Times New Roman" w:eastAsia="Times New Roman" w:hAnsi="Times New Roman"/>
                    <w:sz w:val="14"/>
                    <w:szCs w:val="14"/>
                    <w:lang w:eastAsia="es-CO"/>
                  </w:rPr>
                  <w:t> </w:t>
                </w:r>
              </w:p>
              <w:p w14:paraId="14E305B1" w14:textId="3B993D64" w:rsidR="005930B8" w:rsidRPr="0004538C" w:rsidRDefault="00F45A07" w:rsidP="005930B8">
                <w:pPr>
                  <w:spacing w:after="0" w:line="240" w:lineRule="auto"/>
                  <w:jc w:val="center"/>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1.1.10.05</w:t>
                </w:r>
              </w:p>
            </w:tc>
            <w:tc>
              <w:tcPr>
                <w:tcW w:w="395" w:type="pct"/>
                <w:shd w:val="clear" w:color="auto" w:fill="auto"/>
                <w:noWrap/>
                <w:vAlign w:val="center"/>
                <w:hideMark/>
              </w:tcPr>
              <w:p w14:paraId="645E139E" w14:textId="77777777" w:rsidR="005930B8" w:rsidRPr="0004538C" w:rsidRDefault="005930B8" w:rsidP="005930B8">
                <w:pPr>
                  <w:spacing w:after="0" w:line="240" w:lineRule="auto"/>
                  <w:jc w:val="center"/>
                  <w:rPr>
                    <w:rFonts w:ascii="Times New Roman" w:eastAsia="Times New Roman" w:hAnsi="Times New Roman"/>
                    <w:sz w:val="14"/>
                    <w:szCs w:val="14"/>
                    <w:lang w:eastAsia="es-CO"/>
                  </w:rPr>
                </w:pPr>
                <w:r w:rsidRPr="0004538C">
                  <w:rPr>
                    <w:rFonts w:ascii="Times New Roman" w:eastAsia="Times New Roman" w:hAnsi="Times New Roman"/>
                    <w:sz w:val="14"/>
                    <w:szCs w:val="14"/>
                    <w:lang w:eastAsia="es-CO"/>
                  </w:rPr>
                  <w:t>Db</w:t>
                </w:r>
              </w:p>
            </w:tc>
            <w:tc>
              <w:tcPr>
                <w:tcW w:w="1186" w:type="pct"/>
                <w:gridSpan w:val="2"/>
                <w:shd w:val="clear" w:color="000000" w:fill="FFFFFF"/>
                <w:vAlign w:val="center"/>
                <w:hideMark/>
              </w:tcPr>
              <w:p w14:paraId="082376B5" w14:textId="5108281D" w:rsidR="005930B8" w:rsidRPr="0004538C" w:rsidRDefault="005930B8" w:rsidP="001904E8">
                <w:pPr>
                  <w:spacing w:after="0" w:line="240" w:lineRule="auto"/>
                  <w:jc w:val="both"/>
                  <w:rPr>
                    <w:rFonts w:ascii="Times New Roman" w:eastAsia="Times New Roman" w:hAnsi="Times New Roman"/>
                    <w:sz w:val="14"/>
                    <w:szCs w:val="14"/>
                    <w:lang w:eastAsia="es-CO"/>
                  </w:rPr>
                </w:pPr>
                <w:r w:rsidRPr="0004538C">
                  <w:rPr>
                    <w:rFonts w:ascii="Times New Roman" w:eastAsia="Times New Roman" w:hAnsi="Times New Roman"/>
                    <w:sz w:val="14"/>
                    <w:szCs w:val="14"/>
                    <w:lang w:eastAsia="es-CO"/>
                  </w:rPr>
                  <w:t>DEPÓSITOS EN INSTITUCIONES FINANCIERAS</w:t>
                </w:r>
              </w:p>
            </w:tc>
            <w:tc>
              <w:tcPr>
                <w:tcW w:w="474" w:type="pct"/>
                <w:shd w:val="clear" w:color="000000" w:fill="FFFFFF"/>
                <w:vAlign w:val="center"/>
                <w:hideMark/>
              </w:tcPr>
              <w:p w14:paraId="538DBD38" w14:textId="77777777" w:rsidR="005930B8" w:rsidRPr="0004538C" w:rsidRDefault="005930B8" w:rsidP="005930B8">
                <w:pPr>
                  <w:spacing w:after="0" w:line="240" w:lineRule="auto"/>
                  <w:jc w:val="right"/>
                  <w:rPr>
                    <w:rFonts w:ascii="Times New Roman" w:eastAsia="Times New Roman" w:hAnsi="Times New Roman"/>
                    <w:sz w:val="14"/>
                    <w:szCs w:val="14"/>
                    <w:lang w:eastAsia="es-CO"/>
                  </w:rPr>
                </w:pPr>
                <w:r w:rsidRPr="0004538C">
                  <w:rPr>
                    <w:rFonts w:ascii="Times New Roman" w:eastAsia="Times New Roman" w:hAnsi="Times New Roman"/>
                    <w:sz w:val="14"/>
                    <w:szCs w:val="14"/>
                    <w:lang w:eastAsia="es-CO"/>
                  </w:rPr>
                  <w:t>292.135.869</w:t>
                </w:r>
              </w:p>
            </w:tc>
            <w:tc>
              <w:tcPr>
                <w:tcW w:w="475" w:type="pct"/>
                <w:shd w:val="clear" w:color="000000" w:fill="FFFFFF"/>
                <w:vAlign w:val="center"/>
                <w:hideMark/>
              </w:tcPr>
              <w:p w14:paraId="7FA0E169" w14:textId="77777777" w:rsidR="005930B8" w:rsidRPr="0004538C" w:rsidRDefault="005930B8" w:rsidP="005930B8">
                <w:pPr>
                  <w:spacing w:after="0" w:line="240" w:lineRule="auto"/>
                  <w:jc w:val="right"/>
                  <w:rPr>
                    <w:rFonts w:ascii="Times New Roman" w:eastAsia="Times New Roman" w:hAnsi="Times New Roman"/>
                    <w:sz w:val="14"/>
                    <w:szCs w:val="14"/>
                    <w:lang w:eastAsia="es-CO"/>
                  </w:rPr>
                </w:pPr>
                <w:r w:rsidRPr="0004538C">
                  <w:rPr>
                    <w:rFonts w:ascii="Times New Roman" w:eastAsia="Times New Roman" w:hAnsi="Times New Roman"/>
                    <w:sz w:val="14"/>
                    <w:szCs w:val="14"/>
                    <w:lang w:eastAsia="es-CO"/>
                  </w:rPr>
                  <w:t>295.522.107</w:t>
                </w:r>
              </w:p>
            </w:tc>
            <w:tc>
              <w:tcPr>
                <w:tcW w:w="973" w:type="pct"/>
                <w:gridSpan w:val="2"/>
                <w:shd w:val="clear" w:color="000000" w:fill="FFFFFF"/>
                <w:vAlign w:val="center"/>
                <w:hideMark/>
              </w:tcPr>
              <w:p w14:paraId="59F471B4" w14:textId="77777777" w:rsidR="005930B8" w:rsidRPr="0004538C" w:rsidRDefault="005930B8" w:rsidP="005930B8">
                <w:pPr>
                  <w:spacing w:after="0" w:line="240" w:lineRule="auto"/>
                  <w:jc w:val="center"/>
                  <w:rPr>
                    <w:rFonts w:ascii="Times New Roman" w:eastAsia="Times New Roman" w:hAnsi="Times New Roman"/>
                    <w:sz w:val="14"/>
                    <w:szCs w:val="14"/>
                    <w:lang w:eastAsia="es-CO"/>
                  </w:rPr>
                </w:pPr>
                <w:r w:rsidRPr="0004538C">
                  <w:rPr>
                    <w:rFonts w:ascii="Times New Roman" w:eastAsia="Times New Roman" w:hAnsi="Times New Roman"/>
                    <w:sz w:val="14"/>
                    <w:szCs w:val="14"/>
                    <w:lang w:eastAsia="es-CO"/>
                  </w:rPr>
                  <w:t>EFECTIVO DE USO RESTRINGIDO</w:t>
                </w:r>
              </w:p>
            </w:tc>
            <w:tc>
              <w:tcPr>
                <w:tcW w:w="451" w:type="pct"/>
                <w:shd w:val="clear" w:color="000000" w:fill="FFFFFF"/>
                <w:noWrap/>
                <w:vAlign w:val="center"/>
                <w:hideMark/>
              </w:tcPr>
              <w:p w14:paraId="11BAEA46" w14:textId="77777777" w:rsidR="005930B8" w:rsidRPr="0004538C" w:rsidRDefault="005930B8" w:rsidP="005930B8">
                <w:pPr>
                  <w:spacing w:after="0" w:line="240" w:lineRule="auto"/>
                  <w:jc w:val="right"/>
                  <w:rPr>
                    <w:rFonts w:ascii="Times New Roman" w:eastAsia="Times New Roman" w:hAnsi="Times New Roman"/>
                    <w:sz w:val="14"/>
                    <w:szCs w:val="14"/>
                    <w:lang w:eastAsia="es-CO"/>
                  </w:rPr>
                </w:pPr>
                <w:r w:rsidRPr="0004538C">
                  <w:rPr>
                    <w:rFonts w:ascii="Times New Roman" w:eastAsia="Times New Roman" w:hAnsi="Times New Roman"/>
                    <w:sz w:val="14"/>
                    <w:szCs w:val="14"/>
                    <w:lang w:eastAsia="es-CO"/>
                  </w:rPr>
                  <w:t>2.655.258</w:t>
                </w:r>
              </w:p>
            </w:tc>
            <w:tc>
              <w:tcPr>
                <w:tcW w:w="496" w:type="pct"/>
                <w:shd w:val="clear" w:color="000000" w:fill="FFFFFF"/>
                <w:noWrap/>
                <w:vAlign w:val="center"/>
                <w:hideMark/>
              </w:tcPr>
              <w:p w14:paraId="4ABA37C7" w14:textId="77777777" w:rsidR="005930B8" w:rsidRPr="0004538C" w:rsidRDefault="005930B8" w:rsidP="005930B8">
                <w:pPr>
                  <w:spacing w:after="0" w:line="240" w:lineRule="auto"/>
                  <w:jc w:val="right"/>
                  <w:rPr>
                    <w:rFonts w:ascii="Times New Roman" w:eastAsia="Times New Roman" w:hAnsi="Times New Roman"/>
                    <w:sz w:val="14"/>
                    <w:szCs w:val="14"/>
                    <w:lang w:eastAsia="es-CO"/>
                  </w:rPr>
                </w:pPr>
                <w:r w:rsidRPr="0004538C">
                  <w:rPr>
                    <w:rFonts w:ascii="Times New Roman" w:eastAsia="Times New Roman" w:hAnsi="Times New Roman"/>
                    <w:sz w:val="14"/>
                    <w:szCs w:val="14"/>
                    <w:lang w:eastAsia="es-CO"/>
                  </w:rPr>
                  <w:t>112.560.156</w:t>
                </w:r>
              </w:p>
            </w:tc>
          </w:tr>
          <w:tr w:rsidR="005930B8" w:rsidRPr="005930B8" w14:paraId="38B4E1FF" w14:textId="77777777" w:rsidTr="0004538C">
            <w:trPr>
              <w:trHeight w:val="303"/>
            </w:trPr>
            <w:tc>
              <w:tcPr>
                <w:tcW w:w="550" w:type="pct"/>
                <w:vMerge/>
                <w:shd w:val="clear" w:color="auto" w:fill="auto"/>
                <w:noWrap/>
                <w:vAlign w:val="center"/>
                <w:hideMark/>
              </w:tcPr>
              <w:p w14:paraId="7C94AFEB" w14:textId="620EDE10" w:rsidR="005930B8" w:rsidRPr="005930B8" w:rsidRDefault="005930B8" w:rsidP="0004538C">
                <w:pPr>
                  <w:spacing w:after="0" w:line="240" w:lineRule="auto"/>
                  <w:rPr>
                    <w:rFonts w:ascii="Times New Roman" w:eastAsia="Times New Roman" w:hAnsi="Times New Roman"/>
                    <w:sz w:val="14"/>
                    <w:szCs w:val="14"/>
                    <w:lang w:eastAsia="es-CO"/>
                  </w:rPr>
                </w:pPr>
              </w:p>
            </w:tc>
            <w:tc>
              <w:tcPr>
                <w:tcW w:w="395" w:type="pct"/>
                <w:shd w:val="clear" w:color="auto" w:fill="auto"/>
                <w:noWrap/>
                <w:vAlign w:val="center"/>
                <w:hideMark/>
              </w:tcPr>
              <w:p w14:paraId="6F2DD74F" w14:textId="77777777" w:rsidR="005930B8" w:rsidRPr="005930B8" w:rsidRDefault="005930B8" w:rsidP="0004538C">
                <w:pPr>
                  <w:spacing w:after="0" w:line="240" w:lineRule="auto"/>
                  <w:rPr>
                    <w:rFonts w:ascii="Times New Roman" w:eastAsia="Times New Roman" w:hAnsi="Times New Roman"/>
                    <w:sz w:val="14"/>
                    <w:szCs w:val="14"/>
                    <w:lang w:eastAsia="es-CO"/>
                  </w:rPr>
                </w:pPr>
                <w:r w:rsidRPr="005930B8">
                  <w:rPr>
                    <w:rFonts w:ascii="Times New Roman" w:eastAsia="Times New Roman" w:hAnsi="Times New Roman"/>
                    <w:sz w:val="14"/>
                    <w:szCs w:val="14"/>
                    <w:lang w:eastAsia="es-CO"/>
                  </w:rPr>
                  <w:t>Db</w:t>
                </w:r>
              </w:p>
            </w:tc>
            <w:tc>
              <w:tcPr>
                <w:tcW w:w="632" w:type="pct"/>
                <w:shd w:val="clear" w:color="000000" w:fill="FFFFFF"/>
                <w:vAlign w:val="center"/>
                <w:hideMark/>
              </w:tcPr>
              <w:p w14:paraId="4CA9E52A" w14:textId="77777777" w:rsidR="005930B8" w:rsidRPr="0004538C" w:rsidRDefault="005930B8" w:rsidP="001904E8">
                <w:pPr>
                  <w:spacing w:after="0" w:line="240" w:lineRule="auto"/>
                  <w:rPr>
                    <w:rFonts w:ascii="Times New Roman" w:eastAsia="Times New Roman" w:hAnsi="Times New Roman"/>
                    <w:sz w:val="14"/>
                    <w:szCs w:val="14"/>
                    <w:lang w:eastAsia="es-CO"/>
                  </w:rPr>
                </w:pPr>
                <w:r w:rsidRPr="0004538C">
                  <w:rPr>
                    <w:rFonts w:ascii="Times New Roman" w:eastAsia="Times New Roman" w:hAnsi="Times New Roman"/>
                    <w:sz w:val="14"/>
                    <w:szCs w:val="14"/>
                    <w:lang w:eastAsia="es-CO"/>
                  </w:rPr>
                  <w:t>Cuenta corriente</w:t>
                </w:r>
              </w:p>
            </w:tc>
            <w:tc>
              <w:tcPr>
                <w:tcW w:w="554" w:type="pct"/>
                <w:shd w:val="clear" w:color="000000" w:fill="FFFFFF"/>
                <w:vAlign w:val="center"/>
                <w:hideMark/>
              </w:tcPr>
              <w:p w14:paraId="2CC952A7" w14:textId="77777777" w:rsidR="005930B8" w:rsidRPr="0004538C" w:rsidRDefault="005930B8" w:rsidP="0004538C">
                <w:pPr>
                  <w:spacing w:after="0" w:line="240" w:lineRule="auto"/>
                  <w:rPr>
                    <w:rFonts w:ascii="Times New Roman" w:eastAsia="Times New Roman" w:hAnsi="Times New Roman"/>
                    <w:sz w:val="14"/>
                    <w:szCs w:val="14"/>
                    <w:lang w:eastAsia="es-CO"/>
                  </w:rPr>
                </w:pPr>
                <w:r w:rsidRPr="0004538C">
                  <w:rPr>
                    <w:rFonts w:ascii="Times New Roman" w:eastAsia="Times New Roman" w:hAnsi="Times New Roman"/>
                    <w:sz w:val="14"/>
                    <w:szCs w:val="14"/>
                    <w:lang w:eastAsia="es-CO"/>
                  </w:rPr>
                  <w:t>18815273624</w:t>
                </w:r>
              </w:p>
            </w:tc>
            <w:tc>
              <w:tcPr>
                <w:tcW w:w="474" w:type="pct"/>
                <w:shd w:val="clear" w:color="auto" w:fill="auto"/>
                <w:noWrap/>
                <w:vAlign w:val="bottom"/>
                <w:hideMark/>
              </w:tcPr>
              <w:p w14:paraId="427494B4" w14:textId="77777777" w:rsidR="005930B8" w:rsidRPr="0004538C" w:rsidRDefault="005930B8" w:rsidP="0004538C">
                <w:pPr>
                  <w:spacing w:after="0" w:line="240" w:lineRule="auto"/>
                  <w:rPr>
                    <w:rFonts w:ascii="Times New Roman" w:eastAsia="Times New Roman" w:hAnsi="Times New Roman"/>
                    <w:sz w:val="14"/>
                    <w:szCs w:val="14"/>
                    <w:lang w:eastAsia="es-CO"/>
                  </w:rPr>
                </w:pPr>
                <w:r w:rsidRPr="0004538C">
                  <w:rPr>
                    <w:rFonts w:ascii="Times New Roman" w:eastAsia="Times New Roman" w:hAnsi="Times New Roman"/>
                    <w:sz w:val="14"/>
                    <w:szCs w:val="14"/>
                    <w:lang w:eastAsia="es-CO"/>
                  </w:rPr>
                  <w:t>292.135.869</w:t>
                </w:r>
              </w:p>
            </w:tc>
            <w:tc>
              <w:tcPr>
                <w:tcW w:w="475" w:type="pct"/>
                <w:shd w:val="clear" w:color="auto" w:fill="auto"/>
                <w:noWrap/>
                <w:vAlign w:val="bottom"/>
                <w:hideMark/>
              </w:tcPr>
              <w:p w14:paraId="0D799489" w14:textId="77777777" w:rsidR="005930B8" w:rsidRPr="0004538C" w:rsidRDefault="005930B8" w:rsidP="0004538C">
                <w:pPr>
                  <w:spacing w:after="0" w:line="240" w:lineRule="auto"/>
                  <w:rPr>
                    <w:rFonts w:ascii="Times New Roman" w:eastAsia="Times New Roman" w:hAnsi="Times New Roman"/>
                    <w:sz w:val="14"/>
                    <w:szCs w:val="14"/>
                    <w:lang w:eastAsia="es-CO"/>
                  </w:rPr>
                </w:pPr>
                <w:r w:rsidRPr="0004538C">
                  <w:rPr>
                    <w:rFonts w:ascii="Times New Roman" w:eastAsia="Times New Roman" w:hAnsi="Times New Roman"/>
                    <w:sz w:val="14"/>
                    <w:szCs w:val="14"/>
                    <w:lang w:eastAsia="es-CO"/>
                  </w:rPr>
                  <w:t>295.522.107</w:t>
                </w:r>
              </w:p>
            </w:tc>
            <w:tc>
              <w:tcPr>
                <w:tcW w:w="465" w:type="pct"/>
                <w:shd w:val="clear" w:color="000000" w:fill="FFFFFF"/>
                <w:vAlign w:val="center"/>
                <w:hideMark/>
              </w:tcPr>
              <w:p w14:paraId="0C4408C4" w14:textId="77777777" w:rsidR="005930B8" w:rsidRPr="0004538C" w:rsidRDefault="005930B8" w:rsidP="00F45A07">
                <w:pPr>
                  <w:spacing w:after="0" w:line="240" w:lineRule="auto"/>
                  <w:rPr>
                    <w:rFonts w:ascii="Times New Roman" w:eastAsia="Times New Roman" w:hAnsi="Times New Roman"/>
                    <w:sz w:val="14"/>
                    <w:szCs w:val="14"/>
                    <w:lang w:eastAsia="es-CO"/>
                  </w:rPr>
                </w:pPr>
                <w:r w:rsidRPr="0004538C">
                  <w:rPr>
                    <w:rFonts w:ascii="Times New Roman" w:eastAsia="Times New Roman" w:hAnsi="Times New Roman"/>
                    <w:sz w:val="14"/>
                    <w:szCs w:val="14"/>
                    <w:lang w:eastAsia="es-CO"/>
                  </w:rPr>
                  <w:t>Cuenta corriente</w:t>
                </w:r>
              </w:p>
            </w:tc>
            <w:tc>
              <w:tcPr>
                <w:tcW w:w="508" w:type="pct"/>
                <w:shd w:val="clear" w:color="000000" w:fill="FFFFFF"/>
                <w:vAlign w:val="center"/>
                <w:hideMark/>
              </w:tcPr>
              <w:p w14:paraId="2910F523" w14:textId="77777777" w:rsidR="005930B8" w:rsidRPr="0004538C" w:rsidRDefault="005930B8" w:rsidP="0004538C">
                <w:pPr>
                  <w:spacing w:after="0" w:line="240" w:lineRule="auto"/>
                  <w:rPr>
                    <w:rFonts w:ascii="Times New Roman" w:eastAsia="Times New Roman" w:hAnsi="Times New Roman"/>
                    <w:sz w:val="14"/>
                    <w:szCs w:val="14"/>
                    <w:lang w:eastAsia="es-CO"/>
                  </w:rPr>
                </w:pPr>
                <w:r w:rsidRPr="0004538C">
                  <w:rPr>
                    <w:rFonts w:ascii="Times New Roman" w:eastAsia="Times New Roman" w:hAnsi="Times New Roman"/>
                    <w:sz w:val="14"/>
                    <w:szCs w:val="14"/>
                    <w:lang w:eastAsia="es-CO"/>
                  </w:rPr>
                  <w:t>18815273624</w:t>
                </w:r>
              </w:p>
            </w:tc>
            <w:tc>
              <w:tcPr>
                <w:tcW w:w="451" w:type="pct"/>
                <w:shd w:val="clear" w:color="000000" w:fill="FFFFFF"/>
                <w:vAlign w:val="center"/>
                <w:hideMark/>
              </w:tcPr>
              <w:p w14:paraId="0A990075" w14:textId="77777777" w:rsidR="005930B8" w:rsidRPr="0004538C" w:rsidRDefault="005930B8" w:rsidP="0004538C">
                <w:pPr>
                  <w:spacing w:after="0" w:line="240" w:lineRule="auto"/>
                  <w:rPr>
                    <w:rFonts w:ascii="Times New Roman" w:eastAsia="Times New Roman" w:hAnsi="Times New Roman"/>
                    <w:sz w:val="14"/>
                    <w:szCs w:val="14"/>
                    <w:lang w:eastAsia="es-CO"/>
                  </w:rPr>
                </w:pPr>
                <w:r w:rsidRPr="0004538C">
                  <w:rPr>
                    <w:rFonts w:ascii="Times New Roman" w:eastAsia="Times New Roman" w:hAnsi="Times New Roman"/>
                    <w:sz w:val="14"/>
                    <w:szCs w:val="14"/>
                    <w:lang w:eastAsia="es-CO"/>
                  </w:rPr>
                  <w:t>0</w:t>
                </w:r>
              </w:p>
            </w:tc>
            <w:tc>
              <w:tcPr>
                <w:tcW w:w="496" w:type="pct"/>
                <w:shd w:val="clear" w:color="000000" w:fill="FFFFFF"/>
                <w:vAlign w:val="center"/>
                <w:hideMark/>
              </w:tcPr>
              <w:p w14:paraId="2AB33995" w14:textId="77777777" w:rsidR="005930B8" w:rsidRPr="0004538C" w:rsidRDefault="005930B8" w:rsidP="0004538C">
                <w:pPr>
                  <w:spacing w:after="0" w:line="240" w:lineRule="auto"/>
                  <w:rPr>
                    <w:rFonts w:ascii="Times New Roman" w:eastAsia="Times New Roman" w:hAnsi="Times New Roman"/>
                    <w:sz w:val="14"/>
                    <w:szCs w:val="14"/>
                    <w:lang w:eastAsia="es-CO"/>
                  </w:rPr>
                </w:pPr>
                <w:r w:rsidRPr="0004538C">
                  <w:rPr>
                    <w:rFonts w:ascii="Times New Roman" w:eastAsia="Times New Roman" w:hAnsi="Times New Roman"/>
                    <w:sz w:val="14"/>
                    <w:szCs w:val="14"/>
                    <w:lang w:eastAsia="es-CO"/>
                  </w:rPr>
                  <w:t>0</w:t>
                </w:r>
              </w:p>
            </w:tc>
          </w:tr>
          <w:tr w:rsidR="005930B8" w:rsidRPr="005930B8" w14:paraId="15545AE2" w14:textId="77777777" w:rsidTr="0004538C">
            <w:trPr>
              <w:trHeight w:val="303"/>
            </w:trPr>
            <w:tc>
              <w:tcPr>
                <w:tcW w:w="550" w:type="pct"/>
                <w:shd w:val="clear" w:color="auto" w:fill="auto"/>
                <w:noWrap/>
                <w:vAlign w:val="center"/>
                <w:hideMark/>
              </w:tcPr>
              <w:p w14:paraId="0E4EB773" w14:textId="77777777" w:rsidR="005930B8" w:rsidRPr="005930B8" w:rsidRDefault="005930B8" w:rsidP="0004538C">
                <w:pPr>
                  <w:spacing w:after="0" w:line="240" w:lineRule="auto"/>
                  <w:rPr>
                    <w:rFonts w:ascii="Times New Roman" w:eastAsia="Times New Roman" w:hAnsi="Times New Roman"/>
                    <w:sz w:val="14"/>
                    <w:szCs w:val="14"/>
                    <w:lang w:eastAsia="es-CO"/>
                  </w:rPr>
                </w:pPr>
                <w:r w:rsidRPr="005930B8">
                  <w:rPr>
                    <w:rFonts w:ascii="Times New Roman" w:eastAsia="Times New Roman" w:hAnsi="Times New Roman"/>
                    <w:sz w:val="14"/>
                    <w:szCs w:val="14"/>
                    <w:lang w:eastAsia="es-CO"/>
                  </w:rPr>
                  <w:t>1.1.10.06</w:t>
                </w:r>
              </w:p>
            </w:tc>
            <w:tc>
              <w:tcPr>
                <w:tcW w:w="395" w:type="pct"/>
                <w:shd w:val="clear" w:color="auto" w:fill="auto"/>
                <w:noWrap/>
                <w:vAlign w:val="center"/>
                <w:hideMark/>
              </w:tcPr>
              <w:p w14:paraId="7CE07903" w14:textId="77777777" w:rsidR="005930B8" w:rsidRPr="005930B8" w:rsidRDefault="005930B8" w:rsidP="0004538C">
                <w:pPr>
                  <w:spacing w:after="0" w:line="240" w:lineRule="auto"/>
                  <w:rPr>
                    <w:rFonts w:ascii="Times New Roman" w:eastAsia="Times New Roman" w:hAnsi="Times New Roman"/>
                    <w:sz w:val="14"/>
                    <w:szCs w:val="14"/>
                    <w:lang w:eastAsia="es-CO"/>
                  </w:rPr>
                </w:pPr>
                <w:r w:rsidRPr="005930B8">
                  <w:rPr>
                    <w:rFonts w:ascii="Times New Roman" w:eastAsia="Times New Roman" w:hAnsi="Times New Roman"/>
                    <w:sz w:val="14"/>
                    <w:szCs w:val="14"/>
                    <w:lang w:eastAsia="es-CO"/>
                  </w:rPr>
                  <w:t>Db</w:t>
                </w:r>
              </w:p>
            </w:tc>
            <w:tc>
              <w:tcPr>
                <w:tcW w:w="632" w:type="pct"/>
                <w:shd w:val="clear" w:color="000000" w:fill="FFFFFF"/>
                <w:vAlign w:val="center"/>
                <w:hideMark/>
              </w:tcPr>
              <w:p w14:paraId="4A8F57CF" w14:textId="77777777" w:rsidR="005930B8" w:rsidRPr="0004538C" w:rsidRDefault="005930B8" w:rsidP="005930B8">
                <w:pPr>
                  <w:spacing w:after="0" w:line="240" w:lineRule="auto"/>
                  <w:rPr>
                    <w:rFonts w:ascii="Times New Roman" w:eastAsia="Times New Roman" w:hAnsi="Times New Roman"/>
                    <w:sz w:val="14"/>
                    <w:szCs w:val="14"/>
                    <w:lang w:eastAsia="es-CO"/>
                  </w:rPr>
                </w:pPr>
                <w:r w:rsidRPr="0004538C">
                  <w:rPr>
                    <w:rFonts w:ascii="Times New Roman" w:eastAsia="Times New Roman" w:hAnsi="Times New Roman"/>
                    <w:sz w:val="14"/>
                    <w:szCs w:val="14"/>
                    <w:lang w:eastAsia="es-CO"/>
                  </w:rPr>
                  <w:t>Cuenta de ahorro</w:t>
                </w:r>
              </w:p>
            </w:tc>
            <w:tc>
              <w:tcPr>
                <w:tcW w:w="554" w:type="pct"/>
                <w:shd w:val="clear" w:color="000000" w:fill="FFFFFF"/>
                <w:vAlign w:val="center"/>
                <w:hideMark/>
              </w:tcPr>
              <w:p w14:paraId="78287371" w14:textId="77777777" w:rsidR="005930B8" w:rsidRPr="0004538C" w:rsidRDefault="005930B8" w:rsidP="0004538C">
                <w:pPr>
                  <w:spacing w:after="0" w:line="240" w:lineRule="auto"/>
                  <w:rPr>
                    <w:rFonts w:ascii="Times New Roman" w:eastAsia="Times New Roman" w:hAnsi="Times New Roman"/>
                    <w:sz w:val="14"/>
                    <w:szCs w:val="14"/>
                    <w:lang w:eastAsia="es-CO"/>
                  </w:rPr>
                </w:pPr>
                <w:r w:rsidRPr="0004538C">
                  <w:rPr>
                    <w:rFonts w:ascii="Times New Roman" w:eastAsia="Times New Roman" w:hAnsi="Times New Roman"/>
                    <w:sz w:val="14"/>
                    <w:szCs w:val="14"/>
                    <w:lang w:eastAsia="es-CO"/>
                  </w:rPr>
                  <w:t>18816489667</w:t>
                </w:r>
              </w:p>
            </w:tc>
            <w:tc>
              <w:tcPr>
                <w:tcW w:w="474" w:type="pct"/>
                <w:shd w:val="clear" w:color="000000" w:fill="FFFFFF"/>
                <w:vAlign w:val="center"/>
                <w:hideMark/>
              </w:tcPr>
              <w:p w14:paraId="42E1AEAF" w14:textId="77777777" w:rsidR="005930B8" w:rsidRPr="0004538C" w:rsidRDefault="005930B8" w:rsidP="0004538C">
                <w:pPr>
                  <w:spacing w:after="0" w:line="240" w:lineRule="auto"/>
                  <w:rPr>
                    <w:rFonts w:ascii="Times New Roman" w:eastAsia="Times New Roman" w:hAnsi="Times New Roman"/>
                    <w:sz w:val="14"/>
                    <w:szCs w:val="14"/>
                    <w:lang w:eastAsia="es-CO"/>
                  </w:rPr>
                </w:pPr>
                <w:r w:rsidRPr="0004538C">
                  <w:rPr>
                    <w:rFonts w:ascii="Times New Roman" w:eastAsia="Times New Roman" w:hAnsi="Times New Roman"/>
                    <w:sz w:val="14"/>
                    <w:szCs w:val="14"/>
                    <w:lang w:eastAsia="es-CO"/>
                  </w:rPr>
                  <w:t>375.628.845</w:t>
                </w:r>
              </w:p>
            </w:tc>
            <w:tc>
              <w:tcPr>
                <w:tcW w:w="475" w:type="pct"/>
                <w:shd w:val="clear" w:color="000000" w:fill="FFFFFF"/>
                <w:vAlign w:val="center"/>
                <w:hideMark/>
              </w:tcPr>
              <w:p w14:paraId="66F75A7F" w14:textId="77777777" w:rsidR="005930B8" w:rsidRPr="0004538C" w:rsidRDefault="005930B8" w:rsidP="0004538C">
                <w:pPr>
                  <w:spacing w:after="0" w:line="240" w:lineRule="auto"/>
                  <w:rPr>
                    <w:rFonts w:ascii="Times New Roman" w:eastAsia="Times New Roman" w:hAnsi="Times New Roman"/>
                    <w:sz w:val="14"/>
                    <w:szCs w:val="14"/>
                    <w:lang w:eastAsia="es-CO"/>
                  </w:rPr>
                </w:pPr>
                <w:r w:rsidRPr="0004538C">
                  <w:rPr>
                    <w:rFonts w:ascii="Times New Roman" w:eastAsia="Times New Roman" w:hAnsi="Times New Roman"/>
                    <w:sz w:val="14"/>
                    <w:szCs w:val="14"/>
                    <w:lang w:eastAsia="es-CO"/>
                  </w:rPr>
                  <w:t>296.497.831</w:t>
                </w:r>
              </w:p>
            </w:tc>
            <w:tc>
              <w:tcPr>
                <w:tcW w:w="465" w:type="pct"/>
                <w:shd w:val="clear" w:color="000000" w:fill="FFFFFF"/>
                <w:vAlign w:val="center"/>
                <w:hideMark/>
              </w:tcPr>
              <w:p w14:paraId="3A579BB2" w14:textId="77777777" w:rsidR="005930B8" w:rsidRPr="0004538C" w:rsidRDefault="005930B8" w:rsidP="005930B8">
                <w:pPr>
                  <w:spacing w:after="0" w:line="240" w:lineRule="auto"/>
                  <w:rPr>
                    <w:rFonts w:ascii="Times New Roman" w:eastAsia="Times New Roman" w:hAnsi="Times New Roman"/>
                    <w:sz w:val="14"/>
                    <w:szCs w:val="14"/>
                    <w:lang w:eastAsia="es-CO"/>
                  </w:rPr>
                </w:pPr>
                <w:r w:rsidRPr="0004538C">
                  <w:rPr>
                    <w:rFonts w:ascii="Times New Roman" w:eastAsia="Times New Roman" w:hAnsi="Times New Roman"/>
                    <w:sz w:val="14"/>
                    <w:szCs w:val="14"/>
                    <w:lang w:eastAsia="es-CO"/>
                  </w:rPr>
                  <w:t>Cuenta de ahorro</w:t>
                </w:r>
              </w:p>
            </w:tc>
            <w:tc>
              <w:tcPr>
                <w:tcW w:w="508" w:type="pct"/>
                <w:shd w:val="clear" w:color="000000" w:fill="FFFFFF"/>
                <w:vAlign w:val="center"/>
                <w:hideMark/>
              </w:tcPr>
              <w:p w14:paraId="4DFCC22C" w14:textId="77777777" w:rsidR="005930B8" w:rsidRPr="0004538C" w:rsidRDefault="005930B8" w:rsidP="0004538C">
                <w:pPr>
                  <w:spacing w:after="0" w:line="240" w:lineRule="auto"/>
                  <w:rPr>
                    <w:rFonts w:ascii="Times New Roman" w:eastAsia="Times New Roman" w:hAnsi="Times New Roman"/>
                    <w:sz w:val="14"/>
                    <w:szCs w:val="14"/>
                    <w:lang w:eastAsia="es-CO"/>
                  </w:rPr>
                </w:pPr>
                <w:r w:rsidRPr="0004538C">
                  <w:rPr>
                    <w:rFonts w:ascii="Times New Roman" w:eastAsia="Times New Roman" w:hAnsi="Times New Roman"/>
                    <w:sz w:val="14"/>
                    <w:szCs w:val="14"/>
                    <w:lang w:eastAsia="es-CO"/>
                  </w:rPr>
                  <w:t>18816489667</w:t>
                </w:r>
              </w:p>
            </w:tc>
            <w:tc>
              <w:tcPr>
                <w:tcW w:w="451" w:type="pct"/>
                <w:shd w:val="clear" w:color="000000" w:fill="FFFFFF"/>
                <w:vAlign w:val="center"/>
                <w:hideMark/>
              </w:tcPr>
              <w:p w14:paraId="74B1E8E6" w14:textId="77777777" w:rsidR="005930B8" w:rsidRPr="0004538C" w:rsidRDefault="005930B8" w:rsidP="0004538C">
                <w:pPr>
                  <w:spacing w:after="0" w:line="240" w:lineRule="auto"/>
                  <w:rPr>
                    <w:rFonts w:ascii="Times New Roman" w:eastAsia="Times New Roman" w:hAnsi="Times New Roman"/>
                    <w:sz w:val="14"/>
                    <w:szCs w:val="14"/>
                    <w:lang w:eastAsia="es-CO"/>
                  </w:rPr>
                </w:pPr>
                <w:r w:rsidRPr="0004538C">
                  <w:rPr>
                    <w:rFonts w:ascii="Times New Roman" w:eastAsia="Times New Roman" w:hAnsi="Times New Roman"/>
                    <w:sz w:val="14"/>
                    <w:szCs w:val="14"/>
                    <w:lang w:eastAsia="es-CO"/>
                  </w:rPr>
                  <w:t>0</w:t>
                </w:r>
              </w:p>
            </w:tc>
            <w:tc>
              <w:tcPr>
                <w:tcW w:w="496" w:type="pct"/>
                <w:shd w:val="clear" w:color="000000" w:fill="FFFFFF"/>
                <w:vAlign w:val="center"/>
                <w:hideMark/>
              </w:tcPr>
              <w:p w14:paraId="6840B45E" w14:textId="77777777" w:rsidR="005930B8" w:rsidRPr="0004538C" w:rsidRDefault="005930B8" w:rsidP="0004538C">
                <w:pPr>
                  <w:spacing w:after="0" w:line="240" w:lineRule="auto"/>
                  <w:rPr>
                    <w:rFonts w:ascii="Times New Roman" w:eastAsia="Times New Roman" w:hAnsi="Times New Roman"/>
                    <w:sz w:val="14"/>
                    <w:szCs w:val="14"/>
                    <w:lang w:eastAsia="es-CO"/>
                  </w:rPr>
                </w:pPr>
                <w:r w:rsidRPr="0004538C">
                  <w:rPr>
                    <w:rFonts w:ascii="Times New Roman" w:eastAsia="Times New Roman" w:hAnsi="Times New Roman"/>
                    <w:sz w:val="14"/>
                    <w:szCs w:val="14"/>
                    <w:lang w:eastAsia="es-CO"/>
                  </w:rPr>
                  <w:t>0</w:t>
                </w:r>
              </w:p>
            </w:tc>
          </w:tr>
          <w:tr w:rsidR="009E562B" w:rsidRPr="005930B8" w14:paraId="2531272F" w14:textId="77777777" w:rsidTr="0004538C">
            <w:trPr>
              <w:trHeight w:val="303"/>
            </w:trPr>
            <w:tc>
              <w:tcPr>
                <w:tcW w:w="550" w:type="pct"/>
                <w:vMerge w:val="restart"/>
                <w:shd w:val="clear" w:color="auto" w:fill="auto"/>
                <w:noWrap/>
                <w:vAlign w:val="center"/>
                <w:hideMark/>
              </w:tcPr>
              <w:p w14:paraId="602F56AF" w14:textId="77777777" w:rsidR="005930B8" w:rsidRPr="005930B8" w:rsidRDefault="005930B8" w:rsidP="0004538C">
                <w:pPr>
                  <w:spacing w:after="0" w:line="240" w:lineRule="auto"/>
                  <w:rPr>
                    <w:rFonts w:ascii="Times New Roman" w:eastAsia="Times New Roman" w:hAnsi="Times New Roman"/>
                    <w:sz w:val="14"/>
                    <w:szCs w:val="14"/>
                    <w:lang w:eastAsia="es-CO"/>
                  </w:rPr>
                </w:pPr>
                <w:r w:rsidRPr="005930B8">
                  <w:rPr>
                    <w:rFonts w:ascii="Times New Roman" w:eastAsia="Times New Roman" w:hAnsi="Times New Roman"/>
                    <w:sz w:val="14"/>
                    <w:szCs w:val="14"/>
                    <w:lang w:eastAsia="es-CO"/>
                  </w:rPr>
                  <w:t>11.32.10</w:t>
                </w:r>
              </w:p>
            </w:tc>
            <w:tc>
              <w:tcPr>
                <w:tcW w:w="395" w:type="pct"/>
                <w:vMerge w:val="restart"/>
                <w:shd w:val="clear" w:color="auto" w:fill="auto"/>
                <w:noWrap/>
                <w:vAlign w:val="center"/>
                <w:hideMark/>
              </w:tcPr>
              <w:p w14:paraId="131D5576" w14:textId="77777777" w:rsidR="005930B8" w:rsidRPr="005930B8" w:rsidRDefault="005930B8" w:rsidP="0004538C">
                <w:pPr>
                  <w:spacing w:after="0" w:line="240" w:lineRule="auto"/>
                  <w:rPr>
                    <w:rFonts w:ascii="Times New Roman" w:eastAsia="Times New Roman" w:hAnsi="Times New Roman"/>
                    <w:sz w:val="14"/>
                    <w:szCs w:val="14"/>
                    <w:lang w:eastAsia="es-CO"/>
                  </w:rPr>
                </w:pPr>
                <w:r w:rsidRPr="005930B8">
                  <w:rPr>
                    <w:rFonts w:ascii="Times New Roman" w:eastAsia="Times New Roman" w:hAnsi="Times New Roman"/>
                    <w:sz w:val="14"/>
                    <w:szCs w:val="14"/>
                    <w:lang w:eastAsia="es-CO"/>
                  </w:rPr>
                  <w:t>Db</w:t>
                </w:r>
              </w:p>
            </w:tc>
            <w:tc>
              <w:tcPr>
                <w:tcW w:w="632" w:type="pct"/>
                <w:shd w:val="clear" w:color="000000" w:fill="FFFFFF"/>
                <w:vAlign w:val="center"/>
                <w:hideMark/>
              </w:tcPr>
              <w:p w14:paraId="67645A32" w14:textId="77777777" w:rsidR="005930B8" w:rsidRPr="0004538C" w:rsidRDefault="005930B8" w:rsidP="0004538C">
                <w:pPr>
                  <w:spacing w:after="0" w:line="240" w:lineRule="auto"/>
                  <w:rPr>
                    <w:rFonts w:ascii="Times New Roman" w:eastAsia="Times New Roman" w:hAnsi="Times New Roman"/>
                    <w:sz w:val="14"/>
                    <w:szCs w:val="14"/>
                    <w:lang w:eastAsia="es-CO"/>
                  </w:rPr>
                </w:pPr>
                <w:r w:rsidRPr="0004538C">
                  <w:rPr>
                    <w:rFonts w:ascii="Times New Roman" w:eastAsia="Times New Roman" w:hAnsi="Times New Roman"/>
                    <w:sz w:val="14"/>
                    <w:szCs w:val="14"/>
                    <w:lang w:eastAsia="es-CO"/>
                  </w:rPr>
                  <w:t>Cuenta corriente</w:t>
                </w:r>
              </w:p>
            </w:tc>
            <w:tc>
              <w:tcPr>
                <w:tcW w:w="554" w:type="pct"/>
                <w:shd w:val="clear" w:color="000000" w:fill="FFFFFF"/>
                <w:vAlign w:val="center"/>
                <w:hideMark/>
              </w:tcPr>
              <w:p w14:paraId="0FE51133" w14:textId="77777777" w:rsidR="005930B8" w:rsidRPr="0004538C" w:rsidRDefault="005930B8" w:rsidP="0004538C">
                <w:pPr>
                  <w:spacing w:after="0" w:line="240" w:lineRule="auto"/>
                  <w:rPr>
                    <w:rFonts w:ascii="Times New Roman" w:eastAsia="Times New Roman" w:hAnsi="Times New Roman"/>
                    <w:sz w:val="14"/>
                    <w:szCs w:val="14"/>
                    <w:lang w:eastAsia="es-CO"/>
                  </w:rPr>
                </w:pPr>
                <w:r w:rsidRPr="0004538C">
                  <w:rPr>
                    <w:rFonts w:ascii="Times New Roman" w:eastAsia="Times New Roman" w:hAnsi="Times New Roman"/>
                    <w:sz w:val="14"/>
                    <w:szCs w:val="14"/>
                    <w:lang w:eastAsia="es-CO"/>
                  </w:rPr>
                  <w:t>268006640</w:t>
                </w:r>
              </w:p>
            </w:tc>
            <w:tc>
              <w:tcPr>
                <w:tcW w:w="474" w:type="pct"/>
                <w:shd w:val="clear" w:color="000000" w:fill="FFFFFF"/>
                <w:vAlign w:val="center"/>
                <w:hideMark/>
              </w:tcPr>
              <w:p w14:paraId="61D18D9E" w14:textId="77777777" w:rsidR="005930B8" w:rsidRPr="0004538C" w:rsidRDefault="005930B8" w:rsidP="0004538C">
                <w:pPr>
                  <w:spacing w:after="0" w:line="240" w:lineRule="auto"/>
                  <w:rPr>
                    <w:rFonts w:ascii="Times New Roman" w:eastAsia="Times New Roman" w:hAnsi="Times New Roman"/>
                    <w:sz w:val="14"/>
                    <w:szCs w:val="14"/>
                    <w:lang w:eastAsia="es-CO"/>
                  </w:rPr>
                </w:pPr>
                <w:r w:rsidRPr="0004538C">
                  <w:rPr>
                    <w:rFonts w:ascii="Times New Roman" w:eastAsia="Times New Roman" w:hAnsi="Times New Roman"/>
                    <w:sz w:val="14"/>
                    <w:szCs w:val="14"/>
                    <w:lang w:eastAsia="es-CO"/>
                  </w:rPr>
                  <w:t>0</w:t>
                </w:r>
              </w:p>
            </w:tc>
            <w:tc>
              <w:tcPr>
                <w:tcW w:w="475" w:type="pct"/>
                <w:shd w:val="clear" w:color="000000" w:fill="FFFFFF"/>
                <w:vAlign w:val="center"/>
                <w:hideMark/>
              </w:tcPr>
              <w:p w14:paraId="3F32DA2A" w14:textId="77777777" w:rsidR="005930B8" w:rsidRPr="0004538C" w:rsidRDefault="005930B8" w:rsidP="0004538C">
                <w:pPr>
                  <w:spacing w:after="0" w:line="240" w:lineRule="auto"/>
                  <w:rPr>
                    <w:rFonts w:ascii="Times New Roman" w:eastAsia="Times New Roman" w:hAnsi="Times New Roman"/>
                    <w:sz w:val="14"/>
                    <w:szCs w:val="14"/>
                    <w:lang w:eastAsia="es-CO"/>
                  </w:rPr>
                </w:pPr>
                <w:r w:rsidRPr="0004538C">
                  <w:rPr>
                    <w:rFonts w:ascii="Times New Roman" w:eastAsia="Times New Roman" w:hAnsi="Times New Roman"/>
                    <w:sz w:val="14"/>
                    <w:szCs w:val="14"/>
                    <w:lang w:eastAsia="es-CO"/>
                  </w:rPr>
                  <w:t>0</w:t>
                </w:r>
              </w:p>
            </w:tc>
            <w:tc>
              <w:tcPr>
                <w:tcW w:w="465" w:type="pct"/>
                <w:shd w:val="clear" w:color="000000" w:fill="FFFFFF"/>
                <w:vAlign w:val="center"/>
                <w:hideMark/>
              </w:tcPr>
              <w:p w14:paraId="1CE84916" w14:textId="77777777" w:rsidR="005930B8" w:rsidRPr="0004538C" w:rsidRDefault="005930B8" w:rsidP="00F45A07">
                <w:pPr>
                  <w:spacing w:after="0" w:line="240" w:lineRule="auto"/>
                  <w:rPr>
                    <w:rFonts w:ascii="Times New Roman" w:eastAsia="Times New Roman" w:hAnsi="Times New Roman"/>
                    <w:sz w:val="14"/>
                    <w:szCs w:val="14"/>
                    <w:lang w:eastAsia="es-CO"/>
                  </w:rPr>
                </w:pPr>
                <w:r w:rsidRPr="0004538C">
                  <w:rPr>
                    <w:rFonts w:ascii="Times New Roman" w:eastAsia="Times New Roman" w:hAnsi="Times New Roman"/>
                    <w:sz w:val="14"/>
                    <w:szCs w:val="14"/>
                    <w:lang w:eastAsia="es-CO"/>
                  </w:rPr>
                  <w:t>Cuenta corriente</w:t>
                </w:r>
              </w:p>
            </w:tc>
            <w:tc>
              <w:tcPr>
                <w:tcW w:w="508" w:type="pct"/>
                <w:shd w:val="clear" w:color="000000" w:fill="FFFFFF"/>
                <w:vAlign w:val="center"/>
                <w:hideMark/>
              </w:tcPr>
              <w:p w14:paraId="1648A3F1" w14:textId="77777777" w:rsidR="005930B8" w:rsidRPr="0004538C" w:rsidRDefault="005930B8" w:rsidP="0004538C">
                <w:pPr>
                  <w:spacing w:after="0" w:line="240" w:lineRule="auto"/>
                  <w:rPr>
                    <w:rFonts w:ascii="Times New Roman" w:eastAsia="Times New Roman" w:hAnsi="Times New Roman"/>
                    <w:sz w:val="14"/>
                    <w:szCs w:val="14"/>
                    <w:lang w:eastAsia="es-CO"/>
                  </w:rPr>
                </w:pPr>
                <w:r w:rsidRPr="0004538C">
                  <w:rPr>
                    <w:rFonts w:ascii="Times New Roman" w:eastAsia="Times New Roman" w:hAnsi="Times New Roman"/>
                    <w:sz w:val="14"/>
                    <w:szCs w:val="14"/>
                    <w:lang w:eastAsia="es-CO"/>
                  </w:rPr>
                  <w:t>268006640</w:t>
                </w:r>
              </w:p>
            </w:tc>
            <w:tc>
              <w:tcPr>
                <w:tcW w:w="451" w:type="pct"/>
                <w:shd w:val="clear" w:color="000000" w:fill="FFFFFF"/>
                <w:noWrap/>
                <w:vAlign w:val="center"/>
                <w:hideMark/>
              </w:tcPr>
              <w:p w14:paraId="7BC60AF2" w14:textId="77777777" w:rsidR="005930B8" w:rsidRPr="0004538C" w:rsidRDefault="005930B8" w:rsidP="0004538C">
                <w:pPr>
                  <w:spacing w:after="0" w:line="240" w:lineRule="auto"/>
                  <w:rPr>
                    <w:rFonts w:ascii="Times New Roman" w:eastAsia="Times New Roman" w:hAnsi="Times New Roman"/>
                    <w:sz w:val="14"/>
                    <w:szCs w:val="14"/>
                    <w:lang w:eastAsia="es-CO"/>
                  </w:rPr>
                </w:pPr>
                <w:r w:rsidRPr="0004538C">
                  <w:rPr>
                    <w:rFonts w:ascii="Times New Roman" w:eastAsia="Times New Roman" w:hAnsi="Times New Roman"/>
                    <w:sz w:val="14"/>
                    <w:szCs w:val="14"/>
                    <w:lang w:eastAsia="es-CO"/>
                  </w:rPr>
                  <w:t>0</w:t>
                </w:r>
              </w:p>
            </w:tc>
            <w:tc>
              <w:tcPr>
                <w:tcW w:w="496" w:type="pct"/>
                <w:shd w:val="clear" w:color="auto" w:fill="auto"/>
                <w:hideMark/>
              </w:tcPr>
              <w:p w14:paraId="779EE12B" w14:textId="77777777" w:rsidR="005930B8" w:rsidRPr="0004538C" w:rsidRDefault="005930B8" w:rsidP="0004538C">
                <w:pPr>
                  <w:spacing w:after="0" w:line="240" w:lineRule="auto"/>
                  <w:rPr>
                    <w:rFonts w:ascii="Times New Roman" w:eastAsia="Times New Roman" w:hAnsi="Times New Roman"/>
                    <w:sz w:val="14"/>
                    <w:szCs w:val="14"/>
                    <w:lang w:eastAsia="es-CO"/>
                  </w:rPr>
                </w:pPr>
                <w:r w:rsidRPr="0004538C">
                  <w:rPr>
                    <w:rFonts w:ascii="Times New Roman" w:eastAsia="Times New Roman" w:hAnsi="Times New Roman"/>
                    <w:sz w:val="14"/>
                    <w:szCs w:val="14"/>
                    <w:lang w:eastAsia="es-CO"/>
                  </w:rPr>
                  <w:t>13.059.593</w:t>
                </w:r>
              </w:p>
            </w:tc>
          </w:tr>
          <w:tr w:rsidR="009E562B" w:rsidRPr="005930B8" w14:paraId="0C7507CA" w14:textId="77777777" w:rsidTr="0004538C">
            <w:trPr>
              <w:trHeight w:val="303"/>
            </w:trPr>
            <w:tc>
              <w:tcPr>
                <w:tcW w:w="550" w:type="pct"/>
                <w:vMerge/>
                <w:vAlign w:val="center"/>
                <w:hideMark/>
              </w:tcPr>
              <w:p w14:paraId="69B8F397" w14:textId="77777777" w:rsidR="005930B8" w:rsidRPr="005930B8" w:rsidRDefault="005930B8" w:rsidP="005930B8">
                <w:pPr>
                  <w:spacing w:after="0" w:line="240" w:lineRule="auto"/>
                  <w:rPr>
                    <w:rFonts w:ascii="Times New Roman" w:eastAsia="Times New Roman" w:hAnsi="Times New Roman"/>
                    <w:sz w:val="14"/>
                    <w:szCs w:val="14"/>
                    <w:lang w:eastAsia="es-CO"/>
                  </w:rPr>
                </w:pPr>
              </w:p>
            </w:tc>
            <w:tc>
              <w:tcPr>
                <w:tcW w:w="395" w:type="pct"/>
                <w:vMerge/>
                <w:vAlign w:val="center"/>
                <w:hideMark/>
              </w:tcPr>
              <w:p w14:paraId="7765C690" w14:textId="77777777" w:rsidR="005930B8" w:rsidRPr="005930B8" w:rsidRDefault="005930B8" w:rsidP="005930B8">
                <w:pPr>
                  <w:spacing w:after="0" w:line="240" w:lineRule="auto"/>
                  <w:rPr>
                    <w:rFonts w:ascii="Times New Roman" w:eastAsia="Times New Roman" w:hAnsi="Times New Roman"/>
                    <w:sz w:val="14"/>
                    <w:szCs w:val="14"/>
                    <w:lang w:eastAsia="es-CO"/>
                  </w:rPr>
                </w:pPr>
              </w:p>
            </w:tc>
            <w:tc>
              <w:tcPr>
                <w:tcW w:w="632" w:type="pct"/>
                <w:vMerge w:val="restart"/>
                <w:shd w:val="clear" w:color="000000" w:fill="FFFFFF"/>
                <w:vAlign w:val="center"/>
                <w:hideMark/>
              </w:tcPr>
              <w:p w14:paraId="167F72EF" w14:textId="77777777" w:rsidR="005930B8" w:rsidRPr="0004538C" w:rsidRDefault="005930B8" w:rsidP="005930B8">
                <w:pPr>
                  <w:spacing w:after="0" w:line="240" w:lineRule="auto"/>
                  <w:jc w:val="center"/>
                  <w:rPr>
                    <w:rFonts w:ascii="Times New Roman" w:eastAsia="Times New Roman" w:hAnsi="Times New Roman"/>
                    <w:sz w:val="14"/>
                    <w:szCs w:val="14"/>
                    <w:lang w:eastAsia="es-CO"/>
                  </w:rPr>
                </w:pPr>
                <w:r w:rsidRPr="0004538C">
                  <w:rPr>
                    <w:rFonts w:ascii="Times New Roman" w:eastAsia="Times New Roman" w:hAnsi="Times New Roman"/>
                    <w:sz w:val="14"/>
                    <w:szCs w:val="14"/>
                    <w:lang w:eastAsia="es-CO"/>
                  </w:rPr>
                  <w:t>Cuenta de ahorro</w:t>
                </w:r>
              </w:p>
            </w:tc>
            <w:tc>
              <w:tcPr>
                <w:tcW w:w="554" w:type="pct"/>
                <w:shd w:val="clear" w:color="000000" w:fill="FFFFFF"/>
                <w:vAlign w:val="center"/>
                <w:hideMark/>
              </w:tcPr>
              <w:p w14:paraId="3268EE9A" w14:textId="77777777" w:rsidR="005930B8" w:rsidRPr="0004538C" w:rsidRDefault="005930B8" w:rsidP="005930B8">
                <w:pPr>
                  <w:spacing w:after="0" w:line="240" w:lineRule="auto"/>
                  <w:jc w:val="center"/>
                  <w:rPr>
                    <w:rFonts w:ascii="Times New Roman" w:eastAsia="Times New Roman" w:hAnsi="Times New Roman"/>
                    <w:sz w:val="14"/>
                    <w:szCs w:val="14"/>
                    <w:lang w:eastAsia="es-CO"/>
                  </w:rPr>
                </w:pPr>
                <w:r w:rsidRPr="0004538C">
                  <w:rPr>
                    <w:rFonts w:ascii="Times New Roman" w:eastAsia="Times New Roman" w:hAnsi="Times New Roman"/>
                    <w:sz w:val="14"/>
                    <w:szCs w:val="14"/>
                    <w:lang w:eastAsia="es-CO"/>
                  </w:rPr>
                  <w:t>18816489667</w:t>
                </w:r>
              </w:p>
            </w:tc>
            <w:tc>
              <w:tcPr>
                <w:tcW w:w="474" w:type="pct"/>
                <w:shd w:val="clear" w:color="000000" w:fill="FFFFFF"/>
                <w:vAlign w:val="center"/>
                <w:hideMark/>
              </w:tcPr>
              <w:p w14:paraId="7E965120" w14:textId="77777777" w:rsidR="005930B8" w:rsidRPr="0004538C" w:rsidRDefault="005930B8" w:rsidP="005930B8">
                <w:pPr>
                  <w:spacing w:after="0" w:line="240" w:lineRule="auto"/>
                  <w:jc w:val="right"/>
                  <w:rPr>
                    <w:rFonts w:ascii="Times New Roman" w:eastAsia="Times New Roman" w:hAnsi="Times New Roman"/>
                    <w:sz w:val="14"/>
                    <w:szCs w:val="14"/>
                    <w:lang w:eastAsia="es-CO"/>
                  </w:rPr>
                </w:pPr>
                <w:r w:rsidRPr="0004538C">
                  <w:rPr>
                    <w:rFonts w:ascii="Times New Roman" w:eastAsia="Times New Roman" w:hAnsi="Times New Roman"/>
                    <w:sz w:val="14"/>
                    <w:szCs w:val="14"/>
                    <w:lang w:eastAsia="es-CO"/>
                  </w:rPr>
                  <w:t>0</w:t>
                </w:r>
              </w:p>
            </w:tc>
            <w:tc>
              <w:tcPr>
                <w:tcW w:w="475" w:type="pct"/>
                <w:shd w:val="clear" w:color="000000" w:fill="FFFFFF"/>
                <w:vAlign w:val="center"/>
                <w:hideMark/>
              </w:tcPr>
              <w:p w14:paraId="67B327E4" w14:textId="77777777" w:rsidR="005930B8" w:rsidRPr="0004538C" w:rsidRDefault="005930B8" w:rsidP="005930B8">
                <w:pPr>
                  <w:spacing w:after="0" w:line="240" w:lineRule="auto"/>
                  <w:jc w:val="right"/>
                  <w:rPr>
                    <w:rFonts w:ascii="Times New Roman" w:eastAsia="Times New Roman" w:hAnsi="Times New Roman"/>
                    <w:sz w:val="14"/>
                    <w:szCs w:val="14"/>
                    <w:lang w:eastAsia="es-CO"/>
                  </w:rPr>
                </w:pPr>
                <w:r w:rsidRPr="0004538C">
                  <w:rPr>
                    <w:rFonts w:ascii="Times New Roman" w:eastAsia="Times New Roman" w:hAnsi="Times New Roman"/>
                    <w:sz w:val="14"/>
                    <w:szCs w:val="14"/>
                    <w:lang w:eastAsia="es-CO"/>
                  </w:rPr>
                  <w:t>0</w:t>
                </w:r>
              </w:p>
            </w:tc>
            <w:tc>
              <w:tcPr>
                <w:tcW w:w="465" w:type="pct"/>
                <w:vMerge w:val="restart"/>
                <w:shd w:val="clear" w:color="000000" w:fill="FFFFFF"/>
                <w:vAlign w:val="center"/>
                <w:hideMark/>
              </w:tcPr>
              <w:p w14:paraId="5F0E4BFD" w14:textId="77777777" w:rsidR="005930B8" w:rsidRPr="0004538C" w:rsidRDefault="005930B8" w:rsidP="00F45A07">
                <w:pPr>
                  <w:spacing w:after="0" w:line="240" w:lineRule="auto"/>
                  <w:rPr>
                    <w:rFonts w:ascii="Times New Roman" w:eastAsia="Times New Roman" w:hAnsi="Times New Roman"/>
                    <w:sz w:val="14"/>
                    <w:szCs w:val="14"/>
                    <w:lang w:eastAsia="es-CO"/>
                  </w:rPr>
                </w:pPr>
                <w:r w:rsidRPr="0004538C">
                  <w:rPr>
                    <w:rFonts w:ascii="Times New Roman" w:eastAsia="Times New Roman" w:hAnsi="Times New Roman"/>
                    <w:sz w:val="14"/>
                    <w:szCs w:val="14"/>
                    <w:lang w:eastAsia="es-CO"/>
                  </w:rPr>
                  <w:t>Cuenta de ahorro</w:t>
                </w:r>
              </w:p>
            </w:tc>
            <w:tc>
              <w:tcPr>
                <w:tcW w:w="508" w:type="pct"/>
                <w:shd w:val="clear" w:color="000000" w:fill="FFFFFF"/>
                <w:vAlign w:val="center"/>
                <w:hideMark/>
              </w:tcPr>
              <w:p w14:paraId="428613E8" w14:textId="77777777" w:rsidR="005930B8" w:rsidRPr="0004538C" w:rsidRDefault="005930B8" w:rsidP="005930B8">
                <w:pPr>
                  <w:spacing w:after="0" w:line="240" w:lineRule="auto"/>
                  <w:jc w:val="center"/>
                  <w:rPr>
                    <w:rFonts w:ascii="Times New Roman" w:eastAsia="Times New Roman" w:hAnsi="Times New Roman"/>
                    <w:sz w:val="14"/>
                    <w:szCs w:val="14"/>
                    <w:lang w:eastAsia="es-CO"/>
                  </w:rPr>
                </w:pPr>
                <w:r w:rsidRPr="0004538C">
                  <w:rPr>
                    <w:rFonts w:ascii="Times New Roman" w:eastAsia="Times New Roman" w:hAnsi="Times New Roman"/>
                    <w:sz w:val="14"/>
                    <w:szCs w:val="14"/>
                    <w:lang w:eastAsia="es-CO"/>
                  </w:rPr>
                  <w:t>18816489667</w:t>
                </w:r>
              </w:p>
            </w:tc>
            <w:tc>
              <w:tcPr>
                <w:tcW w:w="451" w:type="pct"/>
                <w:shd w:val="clear" w:color="000000" w:fill="FFFFFF"/>
                <w:noWrap/>
                <w:vAlign w:val="center"/>
                <w:hideMark/>
              </w:tcPr>
              <w:p w14:paraId="2CB693CF" w14:textId="77777777" w:rsidR="005930B8" w:rsidRPr="0004538C" w:rsidRDefault="005930B8" w:rsidP="005930B8">
                <w:pPr>
                  <w:spacing w:after="0" w:line="240" w:lineRule="auto"/>
                  <w:jc w:val="right"/>
                  <w:rPr>
                    <w:rFonts w:ascii="Times New Roman" w:eastAsia="Times New Roman" w:hAnsi="Times New Roman"/>
                    <w:sz w:val="14"/>
                    <w:szCs w:val="14"/>
                    <w:lang w:eastAsia="es-CO"/>
                  </w:rPr>
                </w:pPr>
                <w:r w:rsidRPr="0004538C">
                  <w:rPr>
                    <w:rFonts w:ascii="Times New Roman" w:eastAsia="Times New Roman" w:hAnsi="Times New Roman"/>
                    <w:sz w:val="14"/>
                    <w:szCs w:val="14"/>
                    <w:lang w:eastAsia="es-CO"/>
                  </w:rPr>
                  <w:t>2.655.258</w:t>
                </w:r>
              </w:p>
            </w:tc>
            <w:tc>
              <w:tcPr>
                <w:tcW w:w="496" w:type="pct"/>
                <w:shd w:val="clear" w:color="000000" w:fill="FFFFFF"/>
                <w:noWrap/>
                <w:vAlign w:val="center"/>
                <w:hideMark/>
              </w:tcPr>
              <w:p w14:paraId="73512E95" w14:textId="77777777" w:rsidR="005930B8" w:rsidRPr="0004538C" w:rsidRDefault="005930B8" w:rsidP="005930B8">
                <w:pPr>
                  <w:spacing w:after="0" w:line="240" w:lineRule="auto"/>
                  <w:jc w:val="right"/>
                  <w:rPr>
                    <w:rFonts w:ascii="Times New Roman" w:eastAsia="Times New Roman" w:hAnsi="Times New Roman"/>
                    <w:sz w:val="14"/>
                    <w:szCs w:val="14"/>
                    <w:lang w:eastAsia="es-CO"/>
                  </w:rPr>
                </w:pPr>
                <w:r w:rsidRPr="0004538C">
                  <w:rPr>
                    <w:rFonts w:ascii="Times New Roman" w:eastAsia="Times New Roman" w:hAnsi="Times New Roman"/>
                    <w:sz w:val="14"/>
                    <w:szCs w:val="14"/>
                    <w:lang w:eastAsia="es-CO"/>
                  </w:rPr>
                  <w:t>2.655.258</w:t>
                </w:r>
              </w:p>
            </w:tc>
          </w:tr>
          <w:tr w:rsidR="009E562B" w:rsidRPr="005930B8" w14:paraId="01CB355A" w14:textId="77777777" w:rsidTr="0004538C">
            <w:trPr>
              <w:trHeight w:val="318"/>
            </w:trPr>
            <w:tc>
              <w:tcPr>
                <w:tcW w:w="550" w:type="pct"/>
                <w:vMerge/>
                <w:vAlign w:val="center"/>
                <w:hideMark/>
              </w:tcPr>
              <w:p w14:paraId="00B87507" w14:textId="77777777" w:rsidR="005930B8" w:rsidRPr="005930B8" w:rsidRDefault="005930B8" w:rsidP="005930B8">
                <w:pPr>
                  <w:spacing w:after="0" w:line="240" w:lineRule="auto"/>
                  <w:rPr>
                    <w:rFonts w:ascii="Times New Roman" w:eastAsia="Times New Roman" w:hAnsi="Times New Roman"/>
                    <w:sz w:val="14"/>
                    <w:szCs w:val="14"/>
                    <w:lang w:eastAsia="es-CO"/>
                  </w:rPr>
                </w:pPr>
              </w:p>
            </w:tc>
            <w:tc>
              <w:tcPr>
                <w:tcW w:w="395" w:type="pct"/>
                <w:vMerge/>
                <w:vAlign w:val="center"/>
                <w:hideMark/>
              </w:tcPr>
              <w:p w14:paraId="3F6E3A33" w14:textId="77777777" w:rsidR="005930B8" w:rsidRPr="005930B8" w:rsidRDefault="005930B8" w:rsidP="005930B8">
                <w:pPr>
                  <w:spacing w:after="0" w:line="240" w:lineRule="auto"/>
                  <w:rPr>
                    <w:rFonts w:ascii="Times New Roman" w:eastAsia="Times New Roman" w:hAnsi="Times New Roman"/>
                    <w:sz w:val="14"/>
                    <w:szCs w:val="14"/>
                    <w:lang w:eastAsia="es-CO"/>
                  </w:rPr>
                </w:pPr>
              </w:p>
            </w:tc>
            <w:tc>
              <w:tcPr>
                <w:tcW w:w="632" w:type="pct"/>
                <w:vMerge/>
                <w:vAlign w:val="center"/>
                <w:hideMark/>
              </w:tcPr>
              <w:p w14:paraId="02BB9A43" w14:textId="77777777" w:rsidR="005930B8" w:rsidRPr="0004538C" w:rsidRDefault="005930B8" w:rsidP="005930B8">
                <w:pPr>
                  <w:spacing w:after="0" w:line="240" w:lineRule="auto"/>
                  <w:rPr>
                    <w:rFonts w:ascii="Times New Roman" w:eastAsia="Times New Roman" w:hAnsi="Times New Roman"/>
                    <w:sz w:val="14"/>
                    <w:szCs w:val="14"/>
                    <w:lang w:eastAsia="es-CO"/>
                  </w:rPr>
                </w:pPr>
              </w:p>
            </w:tc>
            <w:tc>
              <w:tcPr>
                <w:tcW w:w="554" w:type="pct"/>
                <w:shd w:val="clear" w:color="000000" w:fill="FFFFFF"/>
                <w:vAlign w:val="center"/>
                <w:hideMark/>
              </w:tcPr>
              <w:p w14:paraId="7219B236" w14:textId="77777777" w:rsidR="005930B8" w:rsidRPr="0004538C" w:rsidRDefault="005930B8" w:rsidP="005930B8">
                <w:pPr>
                  <w:spacing w:after="0" w:line="240" w:lineRule="auto"/>
                  <w:jc w:val="center"/>
                  <w:rPr>
                    <w:rFonts w:ascii="Times New Roman" w:eastAsia="Times New Roman" w:hAnsi="Times New Roman"/>
                    <w:sz w:val="14"/>
                    <w:szCs w:val="14"/>
                    <w:lang w:eastAsia="es-CO"/>
                  </w:rPr>
                </w:pPr>
                <w:r w:rsidRPr="0004538C">
                  <w:rPr>
                    <w:rFonts w:ascii="Times New Roman" w:eastAsia="Times New Roman" w:hAnsi="Times New Roman"/>
                    <w:sz w:val="14"/>
                    <w:szCs w:val="14"/>
                    <w:lang w:eastAsia="es-CO"/>
                  </w:rPr>
                  <w:t>268809068</w:t>
                </w:r>
              </w:p>
            </w:tc>
            <w:tc>
              <w:tcPr>
                <w:tcW w:w="474" w:type="pct"/>
                <w:shd w:val="clear" w:color="000000" w:fill="FFFFFF"/>
                <w:vAlign w:val="center"/>
                <w:hideMark/>
              </w:tcPr>
              <w:p w14:paraId="5ED6B276" w14:textId="77777777" w:rsidR="005930B8" w:rsidRPr="0004538C" w:rsidRDefault="005930B8" w:rsidP="005930B8">
                <w:pPr>
                  <w:spacing w:after="0" w:line="240" w:lineRule="auto"/>
                  <w:jc w:val="right"/>
                  <w:rPr>
                    <w:rFonts w:ascii="Times New Roman" w:eastAsia="Times New Roman" w:hAnsi="Times New Roman"/>
                    <w:sz w:val="14"/>
                    <w:szCs w:val="14"/>
                    <w:lang w:eastAsia="es-CO"/>
                  </w:rPr>
                </w:pPr>
                <w:r w:rsidRPr="0004538C">
                  <w:rPr>
                    <w:rFonts w:ascii="Times New Roman" w:eastAsia="Times New Roman" w:hAnsi="Times New Roman"/>
                    <w:sz w:val="14"/>
                    <w:szCs w:val="14"/>
                    <w:lang w:eastAsia="es-CO"/>
                  </w:rPr>
                  <w:t>0</w:t>
                </w:r>
              </w:p>
            </w:tc>
            <w:tc>
              <w:tcPr>
                <w:tcW w:w="475" w:type="pct"/>
                <w:shd w:val="clear" w:color="000000" w:fill="FFFFFF"/>
                <w:vAlign w:val="center"/>
                <w:hideMark/>
              </w:tcPr>
              <w:p w14:paraId="6D89388C" w14:textId="77777777" w:rsidR="005930B8" w:rsidRPr="0004538C" w:rsidRDefault="005930B8" w:rsidP="005930B8">
                <w:pPr>
                  <w:spacing w:after="0" w:line="240" w:lineRule="auto"/>
                  <w:jc w:val="right"/>
                  <w:rPr>
                    <w:rFonts w:ascii="Times New Roman" w:eastAsia="Times New Roman" w:hAnsi="Times New Roman"/>
                    <w:sz w:val="14"/>
                    <w:szCs w:val="14"/>
                    <w:lang w:eastAsia="es-CO"/>
                  </w:rPr>
                </w:pPr>
                <w:r w:rsidRPr="0004538C">
                  <w:rPr>
                    <w:rFonts w:ascii="Times New Roman" w:eastAsia="Times New Roman" w:hAnsi="Times New Roman"/>
                    <w:sz w:val="14"/>
                    <w:szCs w:val="14"/>
                    <w:lang w:eastAsia="es-CO"/>
                  </w:rPr>
                  <w:t>0</w:t>
                </w:r>
              </w:p>
            </w:tc>
            <w:tc>
              <w:tcPr>
                <w:tcW w:w="465" w:type="pct"/>
                <w:vMerge/>
                <w:vAlign w:val="center"/>
                <w:hideMark/>
              </w:tcPr>
              <w:p w14:paraId="444B5157" w14:textId="77777777" w:rsidR="005930B8" w:rsidRPr="0004538C" w:rsidRDefault="005930B8" w:rsidP="005930B8">
                <w:pPr>
                  <w:spacing w:after="0" w:line="240" w:lineRule="auto"/>
                  <w:rPr>
                    <w:rFonts w:ascii="Times New Roman" w:eastAsia="Times New Roman" w:hAnsi="Times New Roman"/>
                    <w:sz w:val="14"/>
                    <w:szCs w:val="14"/>
                    <w:lang w:eastAsia="es-CO"/>
                  </w:rPr>
                </w:pPr>
              </w:p>
            </w:tc>
            <w:tc>
              <w:tcPr>
                <w:tcW w:w="508" w:type="pct"/>
                <w:shd w:val="clear" w:color="000000" w:fill="FFFFFF"/>
                <w:vAlign w:val="center"/>
                <w:hideMark/>
              </w:tcPr>
              <w:p w14:paraId="187C4176" w14:textId="77777777" w:rsidR="005930B8" w:rsidRPr="0004538C" w:rsidRDefault="005930B8" w:rsidP="005930B8">
                <w:pPr>
                  <w:spacing w:after="0" w:line="240" w:lineRule="auto"/>
                  <w:jc w:val="center"/>
                  <w:rPr>
                    <w:rFonts w:ascii="Times New Roman" w:eastAsia="Times New Roman" w:hAnsi="Times New Roman"/>
                    <w:sz w:val="14"/>
                    <w:szCs w:val="14"/>
                    <w:lang w:eastAsia="es-CO"/>
                  </w:rPr>
                </w:pPr>
                <w:r w:rsidRPr="0004538C">
                  <w:rPr>
                    <w:rFonts w:ascii="Times New Roman" w:eastAsia="Times New Roman" w:hAnsi="Times New Roman"/>
                    <w:sz w:val="14"/>
                    <w:szCs w:val="14"/>
                    <w:lang w:eastAsia="es-CO"/>
                  </w:rPr>
                  <w:t>268809068</w:t>
                </w:r>
              </w:p>
            </w:tc>
            <w:tc>
              <w:tcPr>
                <w:tcW w:w="451" w:type="pct"/>
                <w:shd w:val="clear" w:color="000000" w:fill="FFFFFF"/>
                <w:noWrap/>
                <w:vAlign w:val="center"/>
                <w:hideMark/>
              </w:tcPr>
              <w:p w14:paraId="71E810F3" w14:textId="77777777" w:rsidR="005930B8" w:rsidRPr="0004538C" w:rsidRDefault="005930B8" w:rsidP="005930B8">
                <w:pPr>
                  <w:spacing w:after="0" w:line="240" w:lineRule="auto"/>
                  <w:jc w:val="right"/>
                  <w:rPr>
                    <w:rFonts w:ascii="Times New Roman" w:eastAsia="Times New Roman" w:hAnsi="Times New Roman"/>
                    <w:sz w:val="14"/>
                    <w:szCs w:val="14"/>
                    <w:lang w:eastAsia="es-CO"/>
                  </w:rPr>
                </w:pPr>
                <w:r w:rsidRPr="0004538C">
                  <w:rPr>
                    <w:rFonts w:ascii="Times New Roman" w:eastAsia="Times New Roman" w:hAnsi="Times New Roman"/>
                    <w:sz w:val="14"/>
                    <w:szCs w:val="14"/>
                    <w:lang w:eastAsia="es-CO"/>
                  </w:rPr>
                  <w:t>0</w:t>
                </w:r>
              </w:p>
            </w:tc>
            <w:tc>
              <w:tcPr>
                <w:tcW w:w="496" w:type="pct"/>
                <w:shd w:val="clear" w:color="auto" w:fill="auto"/>
                <w:hideMark/>
              </w:tcPr>
              <w:p w14:paraId="6EDF263F" w14:textId="110B9A7D" w:rsidR="005930B8" w:rsidRPr="0004538C" w:rsidRDefault="005930B8" w:rsidP="005930B8">
                <w:pPr>
                  <w:spacing w:after="0" w:line="240" w:lineRule="auto"/>
                  <w:jc w:val="right"/>
                  <w:rPr>
                    <w:rFonts w:ascii="Times New Roman" w:eastAsia="Times New Roman" w:hAnsi="Times New Roman"/>
                    <w:sz w:val="14"/>
                    <w:szCs w:val="14"/>
                    <w:lang w:eastAsia="es-CO"/>
                  </w:rPr>
                </w:pPr>
                <w:r w:rsidRPr="0004538C">
                  <w:rPr>
                    <w:rFonts w:ascii="Times New Roman" w:eastAsia="Times New Roman" w:hAnsi="Times New Roman"/>
                    <w:sz w:val="14"/>
                    <w:szCs w:val="14"/>
                    <w:lang w:eastAsia="es-CO"/>
                  </w:rPr>
                  <w:t>96.845.305</w:t>
                </w:r>
              </w:p>
            </w:tc>
          </w:tr>
        </w:tbl>
        <w:p w14:paraId="50B65D36" w14:textId="56CC0993" w:rsidR="00755FB8" w:rsidRPr="00931DCE" w:rsidRDefault="5D8FC4CD" w:rsidP="00755FB8">
          <w:pPr>
            <w:spacing w:after="0" w:line="240" w:lineRule="auto"/>
            <w:jc w:val="both"/>
            <w:rPr>
              <w:rFonts w:ascii="Times New Roman" w:hAnsi="Times New Roman"/>
              <w:sz w:val="14"/>
              <w:szCs w:val="14"/>
            </w:rPr>
          </w:pPr>
          <w:r w:rsidRPr="2C92833B">
            <w:rPr>
              <w:rFonts w:ascii="Times New Roman" w:hAnsi="Times New Roman"/>
              <w:sz w:val="14"/>
              <w:szCs w:val="14"/>
            </w:rPr>
            <w:t xml:space="preserve"> </w:t>
          </w:r>
          <w:r w:rsidR="00AD2026" w:rsidRPr="00931DCE">
            <w:rPr>
              <w:rFonts w:ascii="Times New Roman" w:hAnsi="Times New Roman"/>
              <w:sz w:val="14"/>
              <w:szCs w:val="14"/>
            </w:rPr>
            <w:t>Cifras expresadas en pesos</w:t>
          </w:r>
        </w:p>
        <w:p w14:paraId="19791A08" w14:textId="77777777" w:rsidR="001D0112" w:rsidRPr="00931DCE" w:rsidRDefault="001D0112" w:rsidP="00C3428B">
          <w:pPr>
            <w:spacing w:after="0" w:line="240" w:lineRule="auto"/>
            <w:jc w:val="both"/>
            <w:rPr>
              <w:rFonts w:ascii="Times New Roman" w:hAnsi="Times New Roman"/>
              <w:sz w:val="24"/>
              <w:szCs w:val="24"/>
            </w:rPr>
          </w:pPr>
        </w:p>
        <w:p w14:paraId="59B0FA28" w14:textId="77777777" w:rsidR="00290051" w:rsidRDefault="00290051" w:rsidP="004A000E">
          <w:pPr>
            <w:pStyle w:val="Ttulo1"/>
            <w:rPr>
              <w:rFonts w:cs="Times New Roman"/>
            </w:rPr>
          </w:pPr>
        </w:p>
        <w:p w14:paraId="3408D639" w14:textId="77777777" w:rsidR="00140F0C" w:rsidRPr="00931DCE" w:rsidRDefault="00140F0C" w:rsidP="004A000E">
          <w:pPr>
            <w:pStyle w:val="Ttulo1"/>
          </w:pPr>
        </w:p>
        <w:p w14:paraId="5308040F" w14:textId="5FC56D8E" w:rsidR="000C20E0" w:rsidRPr="00931DCE" w:rsidRDefault="00572CDA" w:rsidP="004A000E">
          <w:pPr>
            <w:pStyle w:val="Ttulo1"/>
            <w:rPr>
              <w:rFonts w:cs="Times New Roman"/>
            </w:rPr>
          </w:pPr>
          <w:bookmarkStart w:id="21" w:name="_Toc159952366"/>
          <w:r w:rsidRPr="00931DCE">
            <w:rPr>
              <w:rFonts w:cs="Times New Roman"/>
            </w:rPr>
            <w:t>NOTA 7. CUENTAS POR COBRAR</w:t>
          </w:r>
          <w:bookmarkEnd w:id="21"/>
        </w:p>
        <w:p w14:paraId="759094EE" w14:textId="77777777" w:rsidR="00A72395" w:rsidRPr="00931DCE" w:rsidRDefault="00A72395" w:rsidP="004A000E">
          <w:pPr>
            <w:spacing w:after="0" w:line="240" w:lineRule="auto"/>
            <w:jc w:val="both"/>
            <w:rPr>
              <w:rFonts w:ascii="Times New Roman" w:hAnsi="Times New Roman"/>
              <w:b/>
              <w:sz w:val="18"/>
              <w:szCs w:val="18"/>
            </w:rPr>
          </w:pPr>
        </w:p>
        <w:p w14:paraId="46AE545D" w14:textId="77777777" w:rsidR="00572CDA" w:rsidRPr="00931DCE" w:rsidRDefault="00E067B1" w:rsidP="004A000E">
          <w:pPr>
            <w:pStyle w:val="Ttulo2"/>
            <w:numPr>
              <w:ilvl w:val="0"/>
              <w:numId w:val="0"/>
            </w:numPr>
            <w:rPr>
              <w:rFonts w:cs="Times New Roman"/>
              <w:szCs w:val="22"/>
            </w:rPr>
          </w:pPr>
          <w:bookmarkStart w:id="22" w:name="_Toc159952367"/>
          <w:r w:rsidRPr="00931DCE">
            <w:rPr>
              <w:rFonts w:cs="Times New Roman"/>
              <w:szCs w:val="22"/>
            </w:rPr>
            <w:t>Composición</w:t>
          </w:r>
          <w:bookmarkEnd w:id="22"/>
        </w:p>
        <w:p w14:paraId="08600EF8" w14:textId="310348D4" w:rsidR="00C30DA4" w:rsidRPr="00931DCE" w:rsidRDefault="00C30DA4" w:rsidP="004A000E">
          <w:pPr>
            <w:spacing w:after="0" w:line="240" w:lineRule="auto"/>
            <w:jc w:val="both"/>
            <w:rPr>
              <w:rFonts w:ascii="Times New Roman" w:hAnsi="Times New Roman"/>
              <w:sz w:val="24"/>
              <w:szCs w:val="24"/>
            </w:rPr>
          </w:pPr>
        </w:p>
        <w:p w14:paraId="0CDCE3B5" w14:textId="281DCE37" w:rsidR="00DC324A" w:rsidRPr="00931DCE" w:rsidRDefault="00474A29" w:rsidP="00DC324A">
          <w:pPr>
            <w:autoSpaceDE w:val="0"/>
            <w:autoSpaceDN w:val="0"/>
            <w:adjustRightInd w:val="0"/>
            <w:spacing w:after="0" w:line="240" w:lineRule="auto"/>
            <w:jc w:val="both"/>
            <w:rPr>
              <w:rFonts w:ascii="Times New Roman" w:eastAsiaTheme="minorHAnsi" w:hAnsi="Times New Roman"/>
              <w:sz w:val="24"/>
              <w:szCs w:val="24"/>
            </w:rPr>
          </w:pPr>
          <w:r w:rsidRPr="00931DCE">
            <w:rPr>
              <w:rFonts w:ascii="Times New Roman" w:eastAsiaTheme="minorHAnsi" w:hAnsi="Times New Roman"/>
              <w:sz w:val="24"/>
              <w:szCs w:val="24"/>
            </w:rPr>
            <w:t xml:space="preserve">Se </w:t>
          </w:r>
          <w:r w:rsidR="00DC324A" w:rsidRPr="00931DCE">
            <w:rPr>
              <w:rFonts w:ascii="Times New Roman" w:eastAsiaTheme="minorHAnsi" w:hAnsi="Times New Roman"/>
              <w:sz w:val="24"/>
              <w:szCs w:val="24"/>
            </w:rPr>
            <w:t>reconoce</w:t>
          </w:r>
          <w:r w:rsidRPr="00931DCE">
            <w:rPr>
              <w:rFonts w:ascii="Times New Roman" w:eastAsiaTheme="minorHAnsi" w:hAnsi="Times New Roman"/>
              <w:sz w:val="24"/>
              <w:szCs w:val="24"/>
            </w:rPr>
            <w:t>n</w:t>
          </w:r>
          <w:r w:rsidR="00DC324A" w:rsidRPr="00931DCE">
            <w:rPr>
              <w:rFonts w:ascii="Times New Roman" w:eastAsiaTheme="minorHAnsi" w:hAnsi="Times New Roman"/>
              <w:sz w:val="24"/>
              <w:szCs w:val="24"/>
            </w:rPr>
            <w:t xml:space="preserve"> como cuentas por cobrar, los derechos a favor de la entidad adquiridos en desarrollo de sus actividades, de l</w:t>
          </w:r>
          <w:r w:rsidRPr="00931DCE">
            <w:rPr>
              <w:rFonts w:ascii="Times New Roman" w:eastAsiaTheme="minorHAnsi" w:hAnsi="Times New Roman"/>
              <w:sz w:val="24"/>
              <w:szCs w:val="24"/>
            </w:rPr>
            <w:t>o</w:t>
          </w:r>
          <w:r w:rsidR="00DC324A" w:rsidRPr="00931DCE">
            <w:rPr>
              <w:rFonts w:ascii="Times New Roman" w:eastAsiaTheme="minorHAnsi" w:hAnsi="Times New Roman"/>
              <w:sz w:val="24"/>
              <w:szCs w:val="24"/>
            </w:rPr>
            <w:t xml:space="preserve">s cuales se espera, a futuro, la entrada de un flujo financiero </w:t>
          </w:r>
          <w:r w:rsidR="00DC324A" w:rsidRPr="00931DCE">
            <w:rPr>
              <w:rFonts w:ascii="Times New Roman" w:eastAsiaTheme="minorHAnsi" w:hAnsi="Times New Roman"/>
              <w:sz w:val="24"/>
              <w:szCs w:val="24"/>
            </w:rPr>
            <w:lastRenderedPageBreak/>
            <w:t>fijo o determinable, a través de efectivo, equivalentes al efectivo u otro instrumento. Estas partidas incluyen los derechos originados en transacciones con y sin contraprestación</w:t>
          </w:r>
          <w:r w:rsidR="004E5925">
            <w:rPr>
              <w:rFonts w:ascii="Times New Roman" w:eastAsiaTheme="minorHAnsi" w:hAnsi="Times New Roman"/>
              <w:sz w:val="24"/>
              <w:szCs w:val="24"/>
            </w:rPr>
            <w:t>.</w:t>
          </w:r>
        </w:p>
        <w:p w14:paraId="1118570C" w14:textId="77777777" w:rsidR="00DC324A" w:rsidRPr="00931DCE" w:rsidRDefault="00DC324A" w:rsidP="00DC324A">
          <w:pPr>
            <w:autoSpaceDE w:val="0"/>
            <w:autoSpaceDN w:val="0"/>
            <w:adjustRightInd w:val="0"/>
            <w:spacing w:after="0" w:line="240" w:lineRule="auto"/>
            <w:jc w:val="both"/>
            <w:rPr>
              <w:rFonts w:ascii="Times New Roman" w:eastAsiaTheme="minorHAnsi" w:hAnsi="Times New Roman"/>
              <w:sz w:val="24"/>
              <w:szCs w:val="24"/>
            </w:rPr>
          </w:pPr>
        </w:p>
        <w:p w14:paraId="64889C9F" w14:textId="77777777" w:rsidR="00474A29" w:rsidRPr="00931DCE" w:rsidRDefault="00DC324A" w:rsidP="00DC324A">
          <w:pPr>
            <w:autoSpaceDE w:val="0"/>
            <w:autoSpaceDN w:val="0"/>
            <w:adjustRightInd w:val="0"/>
            <w:spacing w:after="0" w:line="240" w:lineRule="auto"/>
            <w:jc w:val="both"/>
            <w:rPr>
              <w:rFonts w:ascii="Times New Roman" w:eastAsiaTheme="minorHAnsi" w:hAnsi="Times New Roman"/>
              <w:sz w:val="24"/>
              <w:szCs w:val="24"/>
            </w:rPr>
          </w:pPr>
          <w:r w:rsidRPr="00931DCE">
            <w:rPr>
              <w:rFonts w:ascii="Times New Roman" w:eastAsiaTheme="minorHAnsi" w:hAnsi="Times New Roman"/>
              <w:sz w:val="24"/>
              <w:szCs w:val="24"/>
            </w:rPr>
            <w:t>Las cuentas por cobrar se clasifican al costo y se m</w:t>
          </w:r>
          <w:r w:rsidR="00474A29" w:rsidRPr="00931DCE">
            <w:rPr>
              <w:rFonts w:ascii="Times New Roman" w:eastAsiaTheme="minorHAnsi" w:hAnsi="Times New Roman"/>
              <w:sz w:val="24"/>
              <w:szCs w:val="24"/>
            </w:rPr>
            <w:t>ide</w:t>
          </w:r>
          <w:r w:rsidRPr="00931DCE">
            <w:rPr>
              <w:rFonts w:ascii="Times New Roman" w:eastAsiaTheme="minorHAnsi" w:hAnsi="Times New Roman"/>
              <w:sz w:val="24"/>
              <w:szCs w:val="24"/>
            </w:rPr>
            <w:t xml:space="preserve">n por el valor de la transacción, determinado en los soportes documentales correspondientes. </w:t>
          </w:r>
        </w:p>
        <w:p w14:paraId="187090A9" w14:textId="77777777" w:rsidR="00474A29" w:rsidRPr="00931DCE" w:rsidRDefault="00474A29" w:rsidP="00DC324A">
          <w:pPr>
            <w:autoSpaceDE w:val="0"/>
            <w:autoSpaceDN w:val="0"/>
            <w:adjustRightInd w:val="0"/>
            <w:spacing w:after="0" w:line="240" w:lineRule="auto"/>
            <w:jc w:val="both"/>
            <w:rPr>
              <w:rFonts w:ascii="Times New Roman" w:eastAsiaTheme="minorHAnsi" w:hAnsi="Times New Roman"/>
              <w:sz w:val="24"/>
              <w:szCs w:val="24"/>
            </w:rPr>
          </w:pPr>
        </w:p>
        <w:p w14:paraId="4C3F596D" w14:textId="1A7CD745" w:rsidR="00DC324A" w:rsidRPr="00931DCE" w:rsidRDefault="00DC324A" w:rsidP="003D6EBB">
          <w:pPr>
            <w:autoSpaceDE w:val="0"/>
            <w:autoSpaceDN w:val="0"/>
            <w:adjustRightInd w:val="0"/>
            <w:spacing w:after="0" w:line="240" w:lineRule="auto"/>
            <w:jc w:val="both"/>
            <w:rPr>
              <w:rFonts w:ascii="Times New Roman" w:eastAsiaTheme="minorHAnsi" w:hAnsi="Times New Roman"/>
              <w:sz w:val="24"/>
              <w:szCs w:val="24"/>
            </w:rPr>
          </w:pPr>
          <w:r w:rsidRPr="00931DCE">
            <w:rPr>
              <w:rFonts w:ascii="Times New Roman" w:eastAsiaTheme="minorHAnsi" w:hAnsi="Times New Roman"/>
              <w:sz w:val="24"/>
              <w:szCs w:val="24"/>
            </w:rPr>
            <w:t xml:space="preserve">Cuando existan operaciones en moneda extranjera, las transacciones se reconocerán utilizando la tasa de cambio </w:t>
          </w:r>
          <w:r w:rsidR="003D6EBB" w:rsidRPr="00931DCE">
            <w:rPr>
              <w:rFonts w:ascii="Times New Roman" w:eastAsiaTheme="minorHAnsi" w:hAnsi="Times New Roman"/>
              <w:sz w:val="24"/>
              <w:szCs w:val="24"/>
            </w:rPr>
            <w:t>a</w:t>
          </w:r>
          <w:r w:rsidRPr="00931DCE">
            <w:rPr>
              <w:rFonts w:ascii="Times New Roman" w:eastAsiaTheme="minorHAnsi" w:hAnsi="Times New Roman"/>
              <w:sz w:val="24"/>
              <w:szCs w:val="24"/>
            </w:rPr>
            <w:t xml:space="preserve"> el peso colombiano en la fecha de transacción.</w:t>
          </w:r>
          <w:r w:rsidR="003D6EBB" w:rsidRPr="00931DCE">
            <w:rPr>
              <w:rFonts w:ascii="Times New Roman" w:eastAsiaTheme="minorHAnsi" w:hAnsi="Times New Roman"/>
              <w:sz w:val="24"/>
              <w:szCs w:val="24"/>
            </w:rPr>
            <w:t xml:space="preserve"> </w:t>
          </w:r>
          <w:r w:rsidRPr="00931DCE">
            <w:rPr>
              <w:rFonts w:ascii="Times New Roman" w:eastAsiaTheme="minorHAnsi" w:hAnsi="Times New Roman"/>
              <w:sz w:val="24"/>
              <w:szCs w:val="24"/>
            </w:rPr>
            <w:t>A continuación, se presenta la composición de las cuentas por cobrar comparando los años 202</w:t>
          </w:r>
          <w:r w:rsidR="00A23BE7">
            <w:rPr>
              <w:rFonts w:ascii="Times New Roman" w:eastAsiaTheme="minorHAnsi" w:hAnsi="Times New Roman"/>
              <w:sz w:val="24"/>
              <w:szCs w:val="24"/>
            </w:rPr>
            <w:t>2</w:t>
          </w:r>
          <w:r w:rsidRPr="00931DCE">
            <w:rPr>
              <w:rFonts w:ascii="Times New Roman" w:eastAsiaTheme="minorHAnsi" w:hAnsi="Times New Roman"/>
              <w:sz w:val="24"/>
              <w:szCs w:val="24"/>
            </w:rPr>
            <w:t xml:space="preserve"> y 202</w:t>
          </w:r>
          <w:r w:rsidR="00A23BE7">
            <w:rPr>
              <w:rFonts w:ascii="Times New Roman" w:eastAsiaTheme="minorHAnsi" w:hAnsi="Times New Roman"/>
              <w:sz w:val="24"/>
              <w:szCs w:val="24"/>
            </w:rPr>
            <w:t>3</w:t>
          </w:r>
          <w:r w:rsidR="004E5925">
            <w:rPr>
              <w:rFonts w:ascii="Times New Roman" w:eastAsiaTheme="minorHAnsi" w:hAnsi="Times New Roman"/>
              <w:sz w:val="24"/>
              <w:szCs w:val="24"/>
            </w:rPr>
            <w:t>:</w:t>
          </w:r>
        </w:p>
        <w:p w14:paraId="32D2BFF9" w14:textId="77777777" w:rsidR="00DC324A" w:rsidRPr="00931DCE" w:rsidRDefault="00DC324A" w:rsidP="00DC324A">
          <w:pPr>
            <w:spacing w:after="0" w:line="240" w:lineRule="auto"/>
            <w:jc w:val="both"/>
            <w:rPr>
              <w:rFonts w:ascii="Times New Roman" w:eastAsiaTheme="minorHAnsi" w:hAnsi="Times New Roman"/>
              <w:sz w:val="24"/>
              <w:szCs w:val="24"/>
            </w:rPr>
          </w:pPr>
        </w:p>
        <w:tbl>
          <w:tblPr>
            <w:tblW w:w="8969" w:type="dxa"/>
            <w:tblCellMar>
              <w:left w:w="70" w:type="dxa"/>
              <w:right w:w="70" w:type="dxa"/>
            </w:tblCellMar>
            <w:tblLook w:val="04A0" w:firstRow="1" w:lastRow="0" w:firstColumn="1" w:lastColumn="0" w:noHBand="0" w:noVBand="1"/>
          </w:tblPr>
          <w:tblGrid>
            <w:gridCol w:w="815"/>
            <w:gridCol w:w="521"/>
            <w:gridCol w:w="3337"/>
            <w:gridCol w:w="1508"/>
            <w:gridCol w:w="1355"/>
            <w:gridCol w:w="1433"/>
          </w:tblGrid>
          <w:tr w:rsidR="00306F75" w:rsidRPr="00306F75" w14:paraId="47BC2752" w14:textId="77777777" w:rsidTr="00290051">
            <w:trPr>
              <w:trHeight w:val="300"/>
            </w:trPr>
            <w:tc>
              <w:tcPr>
                <w:tcW w:w="467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0043060D" w14:textId="77777777" w:rsidR="00306F75" w:rsidRPr="00290051" w:rsidRDefault="00306F75" w:rsidP="00306F75">
                <w:pPr>
                  <w:spacing w:after="0" w:line="240" w:lineRule="auto"/>
                  <w:jc w:val="center"/>
                  <w:rPr>
                    <w:rFonts w:ascii="Times New Roman" w:eastAsia="Times New Roman" w:hAnsi="Times New Roman"/>
                    <w:b/>
                    <w:sz w:val="18"/>
                    <w:szCs w:val="18"/>
                    <w:lang w:eastAsia="es-CO"/>
                  </w:rPr>
                </w:pPr>
                <w:r w:rsidRPr="00290051">
                  <w:rPr>
                    <w:rFonts w:ascii="Times New Roman" w:eastAsia="Times New Roman" w:hAnsi="Times New Roman"/>
                    <w:b/>
                    <w:sz w:val="18"/>
                    <w:szCs w:val="18"/>
                    <w:lang w:eastAsia="es-CO"/>
                  </w:rPr>
                  <w:t>DESCRIPCIÓN</w:t>
                </w:r>
              </w:p>
            </w:tc>
            <w:tc>
              <w:tcPr>
                <w:tcW w:w="4296" w:type="dxa"/>
                <w:gridSpan w:val="3"/>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vAlign w:val="center"/>
                <w:hideMark/>
              </w:tcPr>
              <w:p w14:paraId="264BDF24" w14:textId="77777777" w:rsidR="00306F75" w:rsidRPr="00290051" w:rsidRDefault="00306F75" w:rsidP="00306F75">
                <w:pPr>
                  <w:spacing w:after="0" w:line="240" w:lineRule="auto"/>
                  <w:jc w:val="center"/>
                  <w:rPr>
                    <w:rFonts w:ascii="Times New Roman" w:eastAsia="Times New Roman" w:hAnsi="Times New Roman"/>
                    <w:b/>
                    <w:sz w:val="18"/>
                    <w:szCs w:val="18"/>
                    <w:lang w:eastAsia="es-CO"/>
                  </w:rPr>
                </w:pPr>
                <w:r w:rsidRPr="00290051">
                  <w:rPr>
                    <w:rFonts w:ascii="Times New Roman" w:eastAsia="Times New Roman" w:hAnsi="Times New Roman"/>
                    <w:b/>
                    <w:sz w:val="18"/>
                    <w:szCs w:val="18"/>
                    <w:lang w:eastAsia="es-CO"/>
                  </w:rPr>
                  <w:t>SALDOS</w:t>
                </w:r>
              </w:p>
            </w:tc>
          </w:tr>
          <w:tr w:rsidR="00306F75" w:rsidRPr="00306F75" w14:paraId="0E21B5E9" w14:textId="77777777" w:rsidTr="00290051">
            <w:trPr>
              <w:trHeight w:val="300"/>
            </w:trPr>
            <w:tc>
              <w:tcPr>
                <w:tcW w:w="815"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183D4258" w14:textId="77777777" w:rsidR="00306F75" w:rsidRPr="00290051" w:rsidRDefault="00306F75" w:rsidP="00306F75">
                <w:pPr>
                  <w:spacing w:after="0" w:line="240" w:lineRule="auto"/>
                  <w:jc w:val="center"/>
                  <w:rPr>
                    <w:rFonts w:ascii="Times New Roman" w:eastAsia="Times New Roman" w:hAnsi="Times New Roman"/>
                    <w:b/>
                    <w:sz w:val="18"/>
                    <w:szCs w:val="18"/>
                    <w:lang w:eastAsia="es-CO"/>
                  </w:rPr>
                </w:pPr>
                <w:r w:rsidRPr="00290051">
                  <w:rPr>
                    <w:rFonts w:ascii="Times New Roman" w:eastAsia="Times New Roman" w:hAnsi="Times New Roman"/>
                    <w:b/>
                    <w:sz w:val="18"/>
                    <w:szCs w:val="18"/>
                    <w:lang w:eastAsia="es-CO"/>
                  </w:rPr>
                  <w:t>CÓD</w:t>
                </w:r>
              </w:p>
            </w:tc>
            <w:tc>
              <w:tcPr>
                <w:tcW w:w="521" w:type="dxa"/>
                <w:tcBorders>
                  <w:top w:val="nil"/>
                  <w:left w:val="nil"/>
                  <w:bottom w:val="single" w:sz="4" w:space="0" w:color="A6A6A6" w:themeColor="background1" w:themeShade="A6"/>
                  <w:right w:val="single" w:sz="4" w:space="0" w:color="A6A6A6" w:themeColor="background1" w:themeShade="A6"/>
                </w:tcBorders>
                <w:shd w:val="clear" w:color="auto" w:fill="auto"/>
                <w:vAlign w:val="center"/>
                <w:hideMark/>
              </w:tcPr>
              <w:p w14:paraId="0126DD60" w14:textId="77777777" w:rsidR="00306F75" w:rsidRPr="00290051" w:rsidRDefault="00306F75" w:rsidP="00306F75">
                <w:pPr>
                  <w:spacing w:after="0" w:line="240" w:lineRule="auto"/>
                  <w:jc w:val="center"/>
                  <w:rPr>
                    <w:rFonts w:ascii="Times New Roman" w:eastAsia="Times New Roman" w:hAnsi="Times New Roman"/>
                    <w:b/>
                    <w:sz w:val="18"/>
                    <w:szCs w:val="18"/>
                    <w:lang w:eastAsia="es-CO"/>
                  </w:rPr>
                </w:pPr>
                <w:r w:rsidRPr="00290051">
                  <w:rPr>
                    <w:rFonts w:ascii="Times New Roman" w:eastAsia="Times New Roman" w:hAnsi="Times New Roman"/>
                    <w:b/>
                    <w:sz w:val="18"/>
                    <w:szCs w:val="18"/>
                    <w:lang w:eastAsia="es-CO"/>
                  </w:rPr>
                  <w:t>NAT</w:t>
                </w:r>
              </w:p>
            </w:tc>
            <w:tc>
              <w:tcPr>
                <w:tcW w:w="3337" w:type="dxa"/>
                <w:tcBorders>
                  <w:top w:val="nil"/>
                  <w:left w:val="nil"/>
                  <w:bottom w:val="single" w:sz="4" w:space="0" w:color="A6A6A6" w:themeColor="background1" w:themeShade="A6"/>
                  <w:right w:val="single" w:sz="4" w:space="0" w:color="A6A6A6" w:themeColor="background1" w:themeShade="A6"/>
                </w:tcBorders>
                <w:shd w:val="clear" w:color="auto" w:fill="auto"/>
                <w:vAlign w:val="center"/>
                <w:hideMark/>
              </w:tcPr>
              <w:p w14:paraId="4B075037" w14:textId="77777777" w:rsidR="00306F75" w:rsidRPr="00290051" w:rsidRDefault="00306F75" w:rsidP="00306F75">
                <w:pPr>
                  <w:spacing w:after="0" w:line="240" w:lineRule="auto"/>
                  <w:jc w:val="center"/>
                  <w:rPr>
                    <w:rFonts w:ascii="Times New Roman" w:eastAsia="Times New Roman" w:hAnsi="Times New Roman"/>
                    <w:b/>
                    <w:sz w:val="18"/>
                    <w:szCs w:val="18"/>
                    <w:lang w:eastAsia="es-CO"/>
                  </w:rPr>
                </w:pPr>
                <w:r w:rsidRPr="00290051">
                  <w:rPr>
                    <w:rFonts w:ascii="Times New Roman" w:eastAsia="Times New Roman" w:hAnsi="Times New Roman"/>
                    <w:b/>
                    <w:sz w:val="18"/>
                    <w:szCs w:val="18"/>
                    <w:lang w:eastAsia="es-CO"/>
                  </w:rPr>
                  <w:t>CONCEPTO</w:t>
                </w:r>
              </w:p>
            </w:tc>
            <w:tc>
              <w:tcPr>
                <w:tcW w:w="1508" w:type="dxa"/>
                <w:tcBorders>
                  <w:top w:val="nil"/>
                  <w:left w:val="nil"/>
                  <w:bottom w:val="single" w:sz="4" w:space="0" w:color="A6A6A6" w:themeColor="background1" w:themeShade="A6"/>
                  <w:right w:val="single" w:sz="4" w:space="0" w:color="A6A6A6" w:themeColor="background1" w:themeShade="A6"/>
                </w:tcBorders>
                <w:shd w:val="clear" w:color="auto" w:fill="auto"/>
                <w:vAlign w:val="center"/>
                <w:hideMark/>
              </w:tcPr>
              <w:p w14:paraId="729D2B7D" w14:textId="77777777" w:rsidR="00306F75" w:rsidRPr="00290051" w:rsidRDefault="00306F75" w:rsidP="00306F75">
                <w:pPr>
                  <w:spacing w:after="0" w:line="240" w:lineRule="auto"/>
                  <w:jc w:val="center"/>
                  <w:rPr>
                    <w:rFonts w:ascii="Times New Roman" w:eastAsia="Times New Roman" w:hAnsi="Times New Roman"/>
                    <w:b/>
                    <w:sz w:val="18"/>
                    <w:szCs w:val="18"/>
                    <w:lang w:eastAsia="es-CO"/>
                  </w:rPr>
                </w:pPr>
                <w:r w:rsidRPr="00290051">
                  <w:rPr>
                    <w:rFonts w:ascii="Times New Roman" w:eastAsia="Times New Roman" w:hAnsi="Times New Roman"/>
                    <w:b/>
                    <w:sz w:val="18"/>
                    <w:szCs w:val="18"/>
                    <w:lang w:eastAsia="es-CO"/>
                  </w:rPr>
                  <w:t xml:space="preserve">2023 </w:t>
                </w:r>
              </w:p>
            </w:tc>
            <w:tc>
              <w:tcPr>
                <w:tcW w:w="1355" w:type="dxa"/>
                <w:tcBorders>
                  <w:top w:val="nil"/>
                  <w:left w:val="nil"/>
                  <w:bottom w:val="single" w:sz="4" w:space="0" w:color="A6A6A6" w:themeColor="background1" w:themeShade="A6"/>
                  <w:right w:val="single" w:sz="4" w:space="0" w:color="A6A6A6" w:themeColor="background1" w:themeShade="A6"/>
                </w:tcBorders>
                <w:shd w:val="clear" w:color="auto" w:fill="auto"/>
                <w:vAlign w:val="center"/>
                <w:hideMark/>
              </w:tcPr>
              <w:p w14:paraId="129A5A17" w14:textId="77777777" w:rsidR="00306F75" w:rsidRPr="00290051" w:rsidRDefault="00306F75" w:rsidP="00306F75">
                <w:pPr>
                  <w:spacing w:after="0" w:line="240" w:lineRule="auto"/>
                  <w:jc w:val="center"/>
                  <w:rPr>
                    <w:rFonts w:ascii="Times New Roman" w:eastAsia="Times New Roman" w:hAnsi="Times New Roman"/>
                    <w:b/>
                    <w:sz w:val="18"/>
                    <w:szCs w:val="18"/>
                    <w:lang w:eastAsia="es-CO"/>
                  </w:rPr>
                </w:pPr>
                <w:r w:rsidRPr="00290051">
                  <w:rPr>
                    <w:rFonts w:ascii="Times New Roman" w:eastAsia="Times New Roman" w:hAnsi="Times New Roman"/>
                    <w:b/>
                    <w:sz w:val="18"/>
                    <w:szCs w:val="18"/>
                    <w:lang w:eastAsia="es-CO"/>
                  </w:rPr>
                  <w:t xml:space="preserve">2022 </w:t>
                </w:r>
              </w:p>
            </w:tc>
            <w:tc>
              <w:tcPr>
                <w:tcW w:w="1433" w:type="dxa"/>
                <w:tcBorders>
                  <w:top w:val="nil"/>
                  <w:left w:val="nil"/>
                  <w:bottom w:val="single" w:sz="4" w:space="0" w:color="A6A6A6" w:themeColor="background1" w:themeShade="A6"/>
                  <w:right w:val="single" w:sz="4" w:space="0" w:color="A6A6A6" w:themeColor="background1" w:themeShade="A6"/>
                </w:tcBorders>
                <w:shd w:val="clear" w:color="auto" w:fill="auto"/>
                <w:vAlign w:val="center"/>
                <w:hideMark/>
              </w:tcPr>
              <w:p w14:paraId="467EEB9D" w14:textId="77777777" w:rsidR="00306F75" w:rsidRPr="00290051" w:rsidRDefault="00306F75" w:rsidP="00306F75">
                <w:pPr>
                  <w:spacing w:after="0" w:line="240" w:lineRule="auto"/>
                  <w:jc w:val="center"/>
                  <w:rPr>
                    <w:rFonts w:ascii="Times New Roman" w:eastAsia="Times New Roman" w:hAnsi="Times New Roman"/>
                    <w:b/>
                    <w:sz w:val="18"/>
                    <w:szCs w:val="18"/>
                    <w:lang w:eastAsia="es-CO"/>
                  </w:rPr>
                </w:pPr>
                <w:r w:rsidRPr="00290051">
                  <w:rPr>
                    <w:rFonts w:ascii="Times New Roman" w:eastAsia="Times New Roman" w:hAnsi="Times New Roman"/>
                    <w:b/>
                    <w:sz w:val="18"/>
                    <w:szCs w:val="18"/>
                    <w:lang w:eastAsia="es-CO"/>
                  </w:rPr>
                  <w:t>VARIACIÓN</w:t>
                </w:r>
              </w:p>
            </w:tc>
          </w:tr>
          <w:tr w:rsidR="00306F75" w:rsidRPr="00306F75" w14:paraId="3DC63402" w14:textId="77777777" w:rsidTr="00290051">
            <w:trPr>
              <w:trHeight w:val="285"/>
            </w:trPr>
            <w:tc>
              <w:tcPr>
                <w:tcW w:w="815"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E4C773F" w14:textId="77777777" w:rsidR="00306F75" w:rsidRPr="00290051" w:rsidRDefault="00306F75" w:rsidP="00306F75">
                <w:pPr>
                  <w:spacing w:after="0" w:line="240" w:lineRule="auto"/>
                  <w:rPr>
                    <w:rFonts w:ascii="Times New Roman" w:eastAsia="Times New Roman" w:hAnsi="Times New Roman"/>
                    <w:b/>
                    <w:sz w:val="18"/>
                    <w:szCs w:val="18"/>
                    <w:lang w:eastAsia="es-CO"/>
                  </w:rPr>
                </w:pPr>
                <w:r w:rsidRPr="00290051">
                  <w:rPr>
                    <w:rFonts w:ascii="Times New Roman" w:eastAsia="Times New Roman" w:hAnsi="Times New Roman"/>
                    <w:b/>
                    <w:sz w:val="18"/>
                    <w:szCs w:val="18"/>
                    <w:lang w:eastAsia="es-CO"/>
                  </w:rPr>
                  <w:t>1.3</w:t>
                </w:r>
              </w:p>
            </w:tc>
            <w:tc>
              <w:tcPr>
                <w:tcW w:w="521" w:type="dxa"/>
                <w:tcBorders>
                  <w:top w:val="nil"/>
                  <w:left w:val="nil"/>
                  <w:bottom w:val="single" w:sz="4" w:space="0" w:color="A6A6A6" w:themeColor="background1" w:themeShade="A6"/>
                  <w:right w:val="nil"/>
                </w:tcBorders>
                <w:shd w:val="clear" w:color="auto" w:fill="auto"/>
                <w:noWrap/>
                <w:vAlign w:val="center"/>
                <w:hideMark/>
              </w:tcPr>
              <w:p w14:paraId="1687904B" w14:textId="77777777" w:rsidR="00306F75" w:rsidRPr="00290051" w:rsidRDefault="00306F75" w:rsidP="00306F75">
                <w:pPr>
                  <w:spacing w:after="0" w:line="240" w:lineRule="auto"/>
                  <w:jc w:val="center"/>
                  <w:rPr>
                    <w:rFonts w:ascii="Times New Roman" w:eastAsia="Times New Roman" w:hAnsi="Times New Roman"/>
                    <w:b/>
                    <w:sz w:val="18"/>
                    <w:szCs w:val="18"/>
                    <w:lang w:eastAsia="es-CO"/>
                  </w:rPr>
                </w:pPr>
                <w:r w:rsidRPr="00290051">
                  <w:rPr>
                    <w:rFonts w:ascii="Times New Roman" w:eastAsia="Times New Roman" w:hAnsi="Times New Roman"/>
                    <w:b/>
                    <w:sz w:val="18"/>
                    <w:szCs w:val="18"/>
                    <w:lang w:eastAsia="es-CO"/>
                  </w:rPr>
                  <w:t>Db</w:t>
                </w:r>
              </w:p>
            </w:tc>
            <w:tc>
              <w:tcPr>
                <w:tcW w:w="3337" w:type="dxa"/>
                <w:tcBorders>
                  <w:top w:val="nil"/>
                  <w:left w:val="single" w:sz="4" w:space="0" w:color="A6A6A6" w:themeColor="background1" w:themeShade="A6"/>
                  <w:bottom w:val="single" w:sz="4" w:space="0" w:color="A6A6A6" w:themeColor="background1" w:themeShade="A6"/>
                  <w:right w:val="nil"/>
                </w:tcBorders>
                <w:shd w:val="clear" w:color="auto" w:fill="auto"/>
                <w:vAlign w:val="center"/>
                <w:hideMark/>
              </w:tcPr>
              <w:p w14:paraId="69B75001" w14:textId="77777777" w:rsidR="00306F75" w:rsidRPr="00290051" w:rsidRDefault="00306F75" w:rsidP="00306F75">
                <w:pPr>
                  <w:spacing w:after="0" w:line="240" w:lineRule="auto"/>
                  <w:jc w:val="center"/>
                  <w:rPr>
                    <w:rFonts w:ascii="Times New Roman" w:eastAsia="Times New Roman" w:hAnsi="Times New Roman"/>
                    <w:b/>
                    <w:sz w:val="18"/>
                    <w:szCs w:val="18"/>
                    <w:lang w:eastAsia="es-CO"/>
                  </w:rPr>
                </w:pPr>
                <w:r w:rsidRPr="00290051">
                  <w:rPr>
                    <w:rFonts w:ascii="Times New Roman" w:eastAsia="Times New Roman" w:hAnsi="Times New Roman"/>
                    <w:b/>
                    <w:sz w:val="18"/>
                    <w:szCs w:val="18"/>
                    <w:lang w:eastAsia="es-CO"/>
                  </w:rPr>
                  <w:t>CUENTAS POR COBRAR</w:t>
                </w:r>
              </w:p>
            </w:tc>
            <w:tc>
              <w:tcPr>
                <w:tcW w:w="1508"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885307F" w14:textId="77777777" w:rsidR="00306F75" w:rsidRPr="00290051" w:rsidRDefault="00306F75" w:rsidP="00306F75">
                <w:pPr>
                  <w:spacing w:after="0" w:line="240" w:lineRule="auto"/>
                  <w:jc w:val="right"/>
                  <w:rPr>
                    <w:rFonts w:ascii="Times New Roman" w:eastAsia="Times New Roman" w:hAnsi="Times New Roman"/>
                    <w:b/>
                    <w:sz w:val="18"/>
                    <w:szCs w:val="18"/>
                    <w:lang w:eastAsia="es-CO"/>
                  </w:rPr>
                </w:pPr>
                <w:r w:rsidRPr="00290051">
                  <w:rPr>
                    <w:rFonts w:ascii="Times New Roman" w:eastAsia="Times New Roman" w:hAnsi="Times New Roman"/>
                    <w:b/>
                    <w:sz w:val="18"/>
                    <w:szCs w:val="18"/>
                    <w:lang w:eastAsia="es-CO"/>
                  </w:rPr>
                  <w:t>141.976.777.799</w:t>
                </w:r>
              </w:p>
            </w:tc>
            <w:tc>
              <w:tcPr>
                <w:tcW w:w="1355" w:type="dxa"/>
                <w:tcBorders>
                  <w:top w:val="nil"/>
                  <w:left w:val="nil"/>
                  <w:bottom w:val="single" w:sz="4" w:space="0" w:color="A6A6A6" w:themeColor="background1" w:themeShade="A6"/>
                  <w:right w:val="single" w:sz="4" w:space="0" w:color="A6A6A6" w:themeColor="background1" w:themeShade="A6"/>
                </w:tcBorders>
                <w:shd w:val="clear" w:color="auto" w:fill="auto"/>
                <w:noWrap/>
                <w:vAlign w:val="center"/>
                <w:hideMark/>
              </w:tcPr>
              <w:p w14:paraId="68A254D2" w14:textId="3E62CFAB" w:rsidR="00306F75" w:rsidRPr="00290051" w:rsidRDefault="00306F75" w:rsidP="00306F75">
                <w:pPr>
                  <w:spacing w:after="0" w:line="240" w:lineRule="auto"/>
                  <w:jc w:val="right"/>
                  <w:rPr>
                    <w:rFonts w:ascii="Times New Roman" w:eastAsia="Times New Roman" w:hAnsi="Times New Roman"/>
                    <w:b/>
                    <w:sz w:val="18"/>
                    <w:szCs w:val="18"/>
                    <w:lang w:eastAsia="es-CO"/>
                  </w:rPr>
                </w:pPr>
                <w:r w:rsidRPr="00290051">
                  <w:rPr>
                    <w:rFonts w:ascii="Times New Roman" w:eastAsia="Times New Roman" w:hAnsi="Times New Roman"/>
                    <w:b/>
                    <w:sz w:val="18"/>
                    <w:szCs w:val="18"/>
                    <w:lang w:eastAsia="es-CO"/>
                  </w:rPr>
                  <w:t>446.653.955.05</w:t>
                </w:r>
                <w:r w:rsidR="004E5925">
                  <w:rPr>
                    <w:rFonts w:ascii="Times New Roman" w:eastAsia="Times New Roman" w:hAnsi="Times New Roman"/>
                    <w:b/>
                    <w:sz w:val="18"/>
                    <w:szCs w:val="18"/>
                    <w:lang w:eastAsia="es-CO"/>
                  </w:rPr>
                  <w:t>8</w:t>
                </w:r>
              </w:p>
            </w:tc>
            <w:tc>
              <w:tcPr>
                <w:tcW w:w="1433" w:type="dxa"/>
                <w:tcBorders>
                  <w:top w:val="nil"/>
                  <w:left w:val="nil"/>
                  <w:bottom w:val="single" w:sz="4" w:space="0" w:color="A6A6A6" w:themeColor="background1" w:themeShade="A6"/>
                  <w:right w:val="single" w:sz="4" w:space="0" w:color="A6A6A6" w:themeColor="background1" w:themeShade="A6"/>
                </w:tcBorders>
                <w:shd w:val="clear" w:color="auto" w:fill="auto"/>
                <w:noWrap/>
                <w:vAlign w:val="center"/>
                <w:hideMark/>
              </w:tcPr>
              <w:p w14:paraId="369CF094" w14:textId="0C24BB14" w:rsidR="00306F75" w:rsidRPr="00290051" w:rsidRDefault="00306F75" w:rsidP="00306F75">
                <w:pPr>
                  <w:spacing w:after="0" w:line="240" w:lineRule="auto"/>
                  <w:jc w:val="right"/>
                  <w:rPr>
                    <w:rFonts w:ascii="Times New Roman" w:eastAsia="Times New Roman" w:hAnsi="Times New Roman"/>
                    <w:b/>
                    <w:sz w:val="18"/>
                    <w:szCs w:val="18"/>
                    <w:lang w:eastAsia="es-CO"/>
                  </w:rPr>
                </w:pPr>
                <w:r w:rsidRPr="00290051">
                  <w:rPr>
                    <w:rFonts w:ascii="Times New Roman" w:eastAsia="Times New Roman" w:hAnsi="Times New Roman"/>
                    <w:b/>
                    <w:sz w:val="18"/>
                    <w:szCs w:val="18"/>
                    <w:lang w:eastAsia="es-CO"/>
                  </w:rPr>
                  <w:t>-304.677.177.25</w:t>
                </w:r>
                <w:r w:rsidR="004E5925">
                  <w:rPr>
                    <w:rFonts w:ascii="Times New Roman" w:eastAsia="Times New Roman" w:hAnsi="Times New Roman"/>
                    <w:b/>
                    <w:sz w:val="18"/>
                    <w:szCs w:val="18"/>
                    <w:lang w:eastAsia="es-CO"/>
                  </w:rPr>
                  <w:t>9</w:t>
                </w:r>
              </w:p>
            </w:tc>
          </w:tr>
          <w:tr w:rsidR="00306F75" w:rsidRPr="00306F75" w14:paraId="2A8BFD2F" w14:textId="77777777" w:rsidTr="00290051">
            <w:trPr>
              <w:trHeight w:val="300"/>
            </w:trPr>
            <w:tc>
              <w:tcPr>
                <w:tcW w:w="815"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7C60D2F" w14:textId="77777777" w:rsidR="00306F75" w:rsidRPr="00290051" w:rsidRDefault="00306F75" w:rsidP="00306F75">
                <w:pPr>
                  <w:spacing w:after="0" w:line="240" w:lineRule="auto"/>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1.3.11</w:t>
                </w:r>
              </w:p>
            </w:tc>
            <w:tc>
              <w:tcPr>
                <w:tcW w:w="521" w:type="dxa"/>
                <w:tcBorders>
                  <w:top w:val="nil"/>
                  <w:left w:val="nil"/>
                  <w:bottom w:val="single" w:sz="4" w:space="0" w:color="A6A6A6" w:themeColor="background1" w:themeShade="A6"/>
                  <w:right w:val="nil"/>
                </w:tcBorders>
                <w:shd w:val="clear" w:color="auto" w:fill="auto"/>
                <w:noWrap/>
                <w:vAlign w:val="center"/>
                <w:hideMark/>
              </w:tcPr>
              <w:p w14:paraId="03F4C9D3" w14:textId="77777777" w:rsidR="00306F75" w:rsidRPr="00290051" w:rsidRDefault="00306F75" w:rsidP="00306F75">
                <w:pPr>
                  <w:spacing w:after="0" w:line="240" w:lineRule="auto"/>
                  <w:jc w:val="center"/>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Db</w:t>
                </w:r>
              </w:p>
            </w:tc>
            <w:tc>
              <w:tcPr>
                <w:tcW w:w="3337" w:type="dxa"/>
                <w:tcBorders>
                  <w:top w:val="nil"/>
                  <w:left w:val="single" w:sz="4" w:space="0" w:color="A6A6A6" w:themeColor="background1" w:themeShade="A6"/>
                  <w:bottom w:val="single" w:sz="4" w:space="0" w:color="A6A6A6" w:themeColor="background1" w:themeShade="A6"/>
                  <w:right w:val="nil"/>
                </w:tcBorders>
                <w:shd w:val="clear" w:color="auto" w:fill="auto"/>
                <w:vAlign w:val="center"/>
                <w:hideMark/>
              </w:tcPr>
              <w:p w14:paraId="60EF5FF8" w14:textId="77777777" w:rsidR="00306F75" w:rsidRPr="00290051" w:rsidRDefault="00306F75" w:rsidP="00306F75">
                <w:pPr>
                  <w:spacing w:after="0" w:line="240" w:lineRule="auto"/>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Contribuciones tasas e ingresos no tributarios</w:t>
                </w:r>
              </w:p>
            </w:tc>
            <w:tc>
              <w:tcPr>
                <w:tcW w:w="1508"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5A418F66" w14:textId="77777777" w:rsidR="00306F75" w:rsidRPr="00290051" w:rsidRDefault="00306F75" w:rsidP="00306F75">
                <w:pPr>
                  <w:spacing w:after="0" w:line="240" w:lineRule="auto"/>
                  <w:jc w:val="right"/>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86.373.366.391</w:t>
                </w:r>
              </w:p>
            </w:tc>
            <w:tc>
              <w:tcPr>
                <w:tcW w:w="1355" w:type="dxa"/>
                <w:tcBorders>
                  <w:top w:val="nil"/>
                  <w:left w:val="nil"/>
                  <w:bottom w:val="single" w:sz="4" w:space="0" w:color="A6A6A6" w:themeColor="background1" w:themeShade="A6"/>
                  <w:right w:val="single" w:sz="4" w:space="0" w:color="A6A6A6" w:themeColor="background1" w:themeShade="A6"/>
                </w:tcBorders>
                <w:shd w:val="clear" w:color="auto" w:fill="auto"/>
                <w:noWrap/>
                <w:vAlign w:val="center"/>
                <w:hideMark/>
              </w:tcPr>
              <w:p w14:paraId="202721E2" w14:textId="77777777" w:rsidR="00306F75" w:rsidRPr="00290051" w:rsidRDefault="00306F75" w:rsidP="00306F75">
                <w:pPr>
                  <w:spacing w:after="0" w:line="240" w:lineRule="auto"/>
                  <w:jc w:val="right"/>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94.942.031.625</w:t>
                </w:r>
              </w:p>
            </w:tc>
            <w:tc>
              <w:tcPr>
                <w:tcW w:w="1433" w:type="dxa"/>
                <w:tcBorders>
                  <w:top w:val="nil"/>
                  <w:left w:val="nil"/>
                  <w:bottom w:val="single" w:sz="4" w:space="0" w:color="A6A6A6" w:themeColor="background1" w:themeShade="A6"/>
                  <w:right w:val="single" w:sz="4" w:space="0" w:color="A6A6A6" w:themeColor="background1" w:themeShade="A6"/>
                </w:tcBorders>
                <w:shd w:val="clear" w:color="auto" w:fill="auto"/>
                <w:noWrap/>
                <w:vAlign w:val="center"/>
                <w:hideMark/>
              </w:tcPr>
              <w:p w14:paraId="184BAF2D" w14:textId="77777777" w:rsidR="00306F75" w:rsidRPr="00290051" w:rsidRDefault="00306F75" w:rsidP="00306F75">
                <w:pPr>
                  <w:spacing w:after="0" w:line="240" w:lineRule="auto"/>
                  <w:jc w:val="right"/>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-8.568.665.234</w:t>
                </w:r>
              </w:p>
            </w:tc>
          </w:tr>
          <w:tr w:rsidR="00306F75" w:rsidRPr="00306F75" w14:paraId="592AC98F" w14:textId="77777777" w:rsidTr="00290051">
            <w:trPr>
              <w:trHeight w:val="360"/>
            </w:trPr>
            <w:tc>
              <w:tcPr>
                <w:tcW w:w="815"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577CB184" w14:textId="77777777" w:rsidR="00306F75" w:rsidRPr="00290051" w:rsidRDefault="00306F75" w:rsidP="00306F75">
                <w:pPr>
                  <w:spacing w:after="0" w:line="240" w:lineRule="auto"/>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1.3.38</w:t>
                </w:r>
              </w:p>
            </w:tc>
            <w:tc>
              <w:tcPr>
                <w:tcW w:w="521" w:type="dxa"/>
                <w:tcBorders>
                  <w:top w:val="nil"/>
                  <w:left w:val="nil"/>
                  <w:bottom w:val="single" w:sz="4" w:space="0" w:color="A6A6A6" w:themeColor="background1" w:themeShade="A6"/>
                  <w:right w:val="nil"/>
                </w:tcBorders>
                <w:shd w:val="clear" w:color="auto" w:fill="auto"/>
                <w:noWrap/>
                <w:vAlign w:val="center"/>
                <w:hideMark/>
              </w:tcPr>
              <w:p w14:paraId="65B2ECB1" w14:textId="77777777" w:rsidR="00306F75" w:rsidRPr="00290051" w:rsidRDefault="00306F75" w:rsidP="00306F75">
                <w:pPr>
                  <w:spacing w:after="0" w:line="240" w:lineRule="auto"/>
                  <w:jc w:val="center"/>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Db</w:t>
                </w:r>
              </w:p>
            </w:tc>
            <w:tc>
              <w:tcPr>
                <w:tcW w:w="3337" w:type="dxa"/>
                <w:tcBorders>
                  <w:top w:val="nil"/>
                  <w:left w:val="single" w:sz="4" w:space="0" w:color="A6A6A6" w:themeColor="background1" w:themeShade="A6"/>
                  <w:bottom w:val="single" w:sz="4" w:space="0" w:color="A6A6A6" w:themeColor="background1" w:themeShade="A6"/>
                  <w:right w:val="nil"/>
                </w:tcBorders>
                <w:shd w:val="clear" w:color="auto" w:fill="auto"/>
                <w:vAlign w:val="center"/>
                <w:hideMark/>
              </w:tcPr>
              <w:p w14:paraId="1C2F370B" w14:textId="77777777" w:rsidR="00306F75" w:rsidRPr="00290051" w:rsidRDefault="00306F75" w:rsidP="00306F75">
                <w:pPr>
                  <w:spacing w:after="0" w:line="240" w:lineRule="auto"/>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Sentencias, laudos arbitrales y conciliaciones extrajudiciales a favor de la entidad</w:t>
                </w:r>
              </w:p>
            </w:tc>
            <w:tc>
              <w:tcPr>
                <w:tcW w:w="1508"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5A5F5452" w14:textId="77777777" w:rsidR="00306F75" w:rsidRPr="00290051" w:rsidRDefault="00306F75" w:rsidP="00306F75">
                <w:pPr>
                  <w:spacing w:after="0" w:line="240" w:lineRule="auto"/>
                  <w:jc w:val="right"/>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96.503.809</w:t>
                </w:r>
              </w:p>
            </w:tc>
            <w:tc>
              <w:tcPr>
                <w:tcW w:w="1355" w:type="dxa"/>
                <w:tcBorders>
                  <w:top w:val="nil"/>
                  <w:left w:val="nil"/>
                  <w:bottom w:val="single" w:sz="4" w:space="0" w:color="A6A6A6" w:themeColor="background1" w:themeShade="A6"/>
                  <w:right w:val="single" w:sz="4" w:space="0" w:color="A6A6A6" w:themeColor="background1" w:themeShade="A6"/>
                </w:tcBorders>
                <w:shd w:val="clear" w:color="auto" w:fill="auto"/>
                <w:noWrap/>
                <w:vAlign w:val="center"/>
                <w:hideMark/>
              </w:tcPr>
              <w:p w14:paraId="1632B7E4" w14:textId="77777777" w:rsidR="00306F75" w:rsidRPr="00290051" w:rsidRDefault="00306F75" w:rsidP="00306F75">
                <w:pPr>
                  <w:spacing w:after="0" w:line="240" w:lineRule="auto"/>
                  <w:jc w:val="right"/>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96.503.809</w:t>
                </w:r>
              </w:p>
            </w:tc>
            <w:tc>
              <w:tcPr>
                <w:tcW w:w="1433" w:type="dxa"/>
                <w:tcBorders>
                  <w:top w:val="nil"/>
                  <w:left w:val="nil"/>
                  <w:bottom w:val="single" w:sz="4" w:space="0" w:color="A6A6A6" w:themeColor="background1" w:themeShade="A6"/>
                  <w:right w:val="single" w:sz="4" w:space="0" w:color="A6A6A6" w:themeColor="background1" w:themeShade="A6"/>
                </w:tcBorders>
                <w:shd w:val="clear" w:color="auto" w:fill="auto"/>
                <w:noWrap/>
                <w:vAlign w:val="center"/>
                <w:hideMark/>
              </w:tcPr>
              <w:p w14:paraId="32C56119" w14:textId="77777777" w:rsidR="00306F75" w:rsidRPr="00290051" w:rsidRDefault="00306F75" w:rsidP="00306F75">
                <w:pPr>
                  <w:spacing w:after="0" w:line="240" w:lineRule="auto"/>
                  <w:jc w:val="right"/>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0</w:t>
                </w:r>
              </w:p>
            </w:tc>
          </w:tr>
          <w:tr w:rsidR="00306F75" w:rsidRPr="00306F75" w14:paraId="435D1974" w14:textId="77777777" w:rsidTr="00290051">
            <w:trPr>
              <w:trHeight w:val="300"/>
            </w:trPr>
            <w:tc>
              <w:tcPr>
                <w:tcW w:w="815"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598345BE" w14:textId="77777777" w:rsidR="00306F75" w:rsidRPr="00290051" w:rsidRDefault="00306F75" w:rsidP="00306F75">
                <w:pPr>
                  <w:spacing w:after="0" w:line="240" w:lineRule="auto"/>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1.3.84</w:t>
                </w:r>
              </w:p>
            </w:tc>
            <w:tc>
              <w:tcPr>
                <w:tcW w:w="521" w:type="dxa"/>
                <w:tcBorders>
                  <w:top w:val="nil"/>
                  <w:left w:val="nil"/>
                  <w:bottom w:val="single" w:sz="4" w:space="0" w:color="A6A6A6" w:themeColor="background1" w:themeShade="A6"/>
                  <w:right w:val="nil"/>
                </w:tcBorders>
                <w:shd w:val="clear" w:color="auto" w:fill="auto"/>
                <w:noWrap/>
                <w:vAlign w:val="center"/>
                <w:hideMark/>
              </w:tcPr>
              <w:p w14:paraId="1C177F37" w14:textId="77777777" w:rsidR="00306F75" w:rsidRPr="00290051" w:rsidRDefault="00306F75" w:rsidP="00306F75">
                <w:pPr>
                  <w:spacing w:after="0" w:line="240" w:lineRule="auto"/>
                  <w:jc w:val="center"/>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Db</w:t>
                </w:r>
              </w:p>
            </w:tc>
            <w:tc>
              <w:tcPr>
                <w:tcW w:w="3337" w:type="dxa"/>
                <w:tcBorders>
                  <w:top w:val="nil"/>
                  <w:left w:val="single" w:sz="4" w:space="0" w:color="A6A6A6" w:themeColor="background1" w:themeShade="A6"/>
                  <w:bottom w:val="single" w:sz="4" w:space="0" w:color="A6A6A6" w:themeColor="background1" w:themeShade="A6"/>
                  <w:right w:val="nil"/>
                </w:tcBorders>
                <w:shd w:val="clear" w:color="auto" w:fill="auto"/>
                <w:vAlign w:val="center"/>
                <w:hideMark/>
              </w:tcPr>
              <w:p w14:paraId="4C7817C1" w14:textId="77777777" w:rsidR="00306F75" w:rsidRPr="00290051" w:rsidRDefault="00306F75" w:rsidP="00306F75">
                <w:pPr>
                  <w:spacing w:after="0" w:line="240" w:lineRule="auto"/>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Otras cuentas por cobrar</w:t>
                </w:r>
              </w:p>
            </w:tc>
            <w:tc>
              <w:tcPr>
                <w:tcW w:w="1508"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634187D" w14:textId="77777777" w:rsidR="00306F75" w:rsidRPr="00290051" w:rsidRDefault="00306F75" w:rsidP="00306F75">
                <w:pPr>
                  <w:spacing w:after="0" w:line="240" w:lineRule="auto"/>
                  <w:jc w:val="right"/>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9.422.733.838</w:t>
                </w:r>
              </w:p>
            </w:tc>
            <w:tc>
              <w:tcPr>
                <w:tcW w:w="1355" w:type="dxa"/>
                <w:tcBorders>
                  <w:top w:val="nil"/>
                  <w:left w:val="nil"/>
                  <w:bottom w:val="single" w:sz="4" w:space="0" w:color="A6A6A6" w:themeColor="background1" w:themeShade="A6"/>
                  <w:right w:val="single" w:sz="4" w:space="0" w:color="A6A6A6" w:themeColor="background1" w:themeShade="A6"/>
                </w:tcBorders>
                <w:shd w:val="clear" w:color="auto" w:fill="auto"/>
                <w:noWrap/>
                <w:vAlign w:val="center"/>
                <w:hideMark/>
              </w:tcPr>
              <w:p w14:paraId="079C30EE" w14:textId="77777777" w:rsidR="00306F75" w:rsidRPr="00290051" w:rsidRDefault="00306F75" w:rsidP="00306F75">
                <w:pPr>
                  <w:spacing w:after="0" w:line="240" w:lineRule="auto"/>
                  <w:jc w:val="right"/>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9.370.229.616</w:t>
                </w:r>
              </w:p>
            </w:tc>
            <w:tc>
              <w:tcPr>
                <w:tcW w:w="1433" w:type="dxa"/>
                <w:tcBorders>
                  <w:top w:val="nil"/>
                  <w:left w:val="nil"/>
                  <w:bottom w:val="single" w:sz="4" w:space="0" w:color="A6A6A6" w:themeColor="background1" w:themeShade="A6"/>
                  <w:right w:val="single" w:sz="4" w:space="0" w:color="A6A6A6" w:themeColor="background1" w:themeShade="A6"/>
                </w:tcBorders>
                <w:shd w:val="clear" w:color="auto" w:fill="auto"/>
                <w:noWrap/>
                <w:vAlign w:val="center"/>
                <w:hideMark/>
              </w:tcPr>
              <w:p w14:paraId="0E0DD2CF" w14:textId="77777777" w:rsidR="00306F75" w:rsidRPr="00290051" w:rsidRDefault="00306F75" w:rsidP="00306F75">
                <w:pPr>
                  <w:spacing w:after="0" w:line="240" w:lineRule="auto"/>
                  <w:jc w:val="right"/>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52.504.222</w:t>
                </w:r>
              </w:p>
            </w:tc>
          </w:tr>
          <w:tr w:rsidR="00306F75" w:rsidRPr="00306F75" w14:paraId="42822139" w14:textId="77777777" w:rsidTr="00290051">
            <w:trPr>
              <w:trHeight w:val="300"/>
            </w:trPr>
            <w:tc>
              <w:tcPr>
                <w:tcW w:w="815"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5A65134" w14:textId="77777777" w:rsidR="00306F75" w:rsidRPr="00290051" w:rsidRDefault="00306F75" w:rsidP="00306F75">
                <w:pPr>
                  <w:spacing w:after="0" w:line="240" w:lineRule="auto"/>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1.3.85</w:t>
                </w:r>
              </w:p>
            </w:tc>
            <w:tc>
              <w:tcPr>
                <w:tcW w:w="521" w:type="dxa"/>
                <w:tcBorders>
                  <w:top w:val="nil"/>
                  <w:left w:val="nil"/>
                  <w:bottom w:val="single" w:sz="4" w:space="0" w:color="A6A6A6" w:themeColor="background1" w:themeShade="A6"/>
                  <w:right w:val="nil"/>
                </w:tcBorders>
                <w:shd w:val="clear" w:color="auto" w:fill="auto"/>
                <w:noWrap/>
                <w:vAlign w:val="center"/>
                <w:hideMark/>
              </w:tcPr>
              <w:p w14:paraId="38861E78" w14:textId="77777777" w:rsidR="00306F75" w:rsidRPr="00290051" w:rsidRDefault="00306F75" w:rsidP="00306F75">
                <w:pPr>
                  <w:spacing w:after="0" w:line="240" w:lineRule="auto"/>
                  <w:jc w:val="center"/>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Db</w:t>
                </w:r>
              </w:p>
            </w:tc>
            <w:tc>
              <w:tcPr>
                <w:tcW w:w="3337" w:type="dxa"/>
                <w:tcBorders>
                  <w:top w:val="nil"/>
                  <w:left w:val="single" w:sz="4" w:space="0" w:color="A6A6A6" w:themeColor="background1" w:themeShade="A6"/>
                  <w:bottom w:val="single" w:sz="4" w:space="0" w:color="A6A6A6" w:themeColor="background1" w:themeShade="A6"/>
                  <w:right w:val="nil"/>
                </w:tcBorders>
                <w:shd w:val="clear" w:color="auto" w:fill="auto"/>
                <w:vAlign w:val="center"/>
                <w:hideMark/>
              </w:tcPr>
              <w:p w14:paraId="0C4BAEA0" w14:textId="77777777" w:rsidR="00306F75" w:rsidRPr="00290051" w:rsidRDefault="00306F75" w:rsidP="00306F75">
                <w:pPr>
                  <w:spacing w:after="0" w:line="240" w:lineRule="auto"/>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Cuentas por cobrar de difícil recaudo</w:t>
                </w:r>
              </w:p>
            </w:tc>
            <w:tc>
              <w:tcPr>
                <w:tcW w:w="1508"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4E76D91C" w14:textId="77777777" w:rsidR="00306F75" w:rsidRPr="00290051" w:rsidRDefault="00306F75" w:rsidP="00306F75">
                <w:pPr>
                  <w:spacing w:after="0" w:line="240" w:lineRule="auto"/>
                  <w:jc w:val="right"/>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387.305.028.594</w:t>
                </w:r>
              </w:p>
            </w:tc>
            <w:tc>
              <w:tcPr>
                <w:tcW w:w="1355" w:type="dxa"/>
                <w:tcBorders>
                  <w:top w:val="nil"/>
                  <w:left w:val="nil"/>
                  <w:bottom w:val="single" w:sz="4" w:space="0" w:color="A6A6A6" w:themeColor="background1" w:themeShade="A6"/>
                  <w:right w:val="single" w:sz="4" w:space="0" w:color="A6A6A6" w:themeColor="background1" w:themeShade="A6"/>
                </w:tcBorders>
                <w:shd w:val="clear" w:color="auto" w:fill="auto"/>
                <w:noWrap/>
                <w:vAlign w:val="center"/>
                <w:hideMark/>
              </w:tcPr>
              <w:p w14:paraId="4073EEB9" w14:textId="77777777" w:rsidR="00306F75" w:rsidRPr="00290051" w:rsidRDefault="00306F75" w:rsidP="00306F75">
                <w:pPr>
                  <w:spacing w:after="0" w:line="240" w:lineRule="auto"/>
                  <w:jc w:val="right"/>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387.305.028.594</w:t>
                </w:r>
              </w:p>
            </w:tc>
            <w:tc>
              <w:tcPr>
                <w:tcW w:w="1433" w:type="dxa"/>
                <w:tcBorders>
                  <w:top w:val="nil"/>
                  <w:left w:val="nil"/>
                  <w:bottom w:val="single" w:sz="4" w:space="0" w:color="A6A6A6" w:themeColor="background1" w:themeShade="A6"/>
                  <w:right w:val="single" w:sz="4" w:space="0" w:color="A6A6A6" w:themeColor="background1" w:themeShade="A6"/>
                </w:tcBorders>
                <w:shd w:val="clear" w:color="auto" w:fill="auto"/>
                <w:noWrap/>
                <w:vAlign w:val="center"/>
                <w:hideMark/>
              </w:tcPr>
              <w:p w14:paraId="3A9A0A19" w14:textId="77777777" w:rsidR="00306F75" w:rsidRPr="00290051" w:rsidRDefault="00306F75" w:rsidP="00306F75">
                <w:pPr>
                  <w:spacing w:after="0" w:line="240" w:lineRule="auto"/>
                  <w:jc w:val="right"/>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0</w:t>
                </w:r>
              </w:p>
            </w:tc>
          </w:tr>
          <w:tr w:rsidR="00306F75" w:rsidRPr="00306F75" w14:paraId="2ECD2624" w14:textId="77777777" w:rsidTr="00290051">
            <w:trPr>
              <w:trHeight w:val="300"/>
            </w:trPr>
            <w:tc>
              <w:tcPr>
                <w:tcW w:w="815"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15414DC5" w14:textId="77777777" w:rsidR="00306F75" w:rsidRPr="00290051" w:rsidRDefault="00306F75" w:rsidP="00306F75">
                <w:pPr>
                  <w:spacing w:after="0" w:line="240" w:lineRule="auto"/>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1.3.86</w:t>
                </w:r>
              </w:p>
            </w:tc>
            <w:tc>
              <w:tcPr>
                <w:tcW w:w="521" w:type="dxa"/>
                <w:tcBorders>
                  <w:top w:val="nil"/>
                  <w:left w:val="nil"/>
                  <w:bottom w:val="single" w:sz="4" w:space="0" w:color="A6A6A6" w:themeColor="background1" w:themeShade="A6"/>
                  <w:right w:val="nil"/>
                </w:tcBorders>
                <w:shd w:val="clear" w:color="auto" w:fill="auto"/>
                <w:noWrap/>
                <w:vAlign w:val="center"/>
                <w:hideMark/>
              </w:tcPr>
              <w:p w14:paraId="05512BAD" w14:textId="77777777" w:rsidR="00306F75" w:rsidRPr="00290051" w:rsidRDefault="00306F75" w:rsidP="00306F75">
                <w:pPr>
                  <w:spacing w:after="0" w:line="240" w:lineRule="auto"/>
                  <w:jc w:val="center"/>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Cr</w:t>
                </w:r>
              </w:p>
            </w:tc>
            <w:tc>
              <w:tcPr>
                <w:tcW w:w="3337" w:type="dxa"/>
                <w:tcBorders>
                  <w:top w:val="nil"/>
                  <w:left w:val="single" w:sz="4" w:space="0" w:color="A6A6A6" w:themeColor="background1" w:themeShade="A6"/>
                  <w:bottom w:val="single" w:sz="4" w:space="0" w:color="A6A6A6" w:themeColor="background1" w:themeShade="A6"/>
                  <w:right w:val="nil"/>
                </w:tcBorders>
                <w:shd w:val="clear" w:color="auto" w:fill="auto"/>
                <w:vAlign w:val="center"/>
                <w:hideMark/>
              </w:tcPr>
              <w:p w14:paraId="16054CAA" w14:textId="77777777" w:rsidR="00306F75" w:rsidRPr="00290051" w:rsidRDefault="00306F75" w:rsidP="00306F75">
                <w:pPr>
                  <w:spacing w:after="0" w:line="240" w:lineRule="auto"/>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Deterioro acumulado de cuentas por cobrar (cr)</w:t>
                </w:r>
              </w:p>
            </w:tc>
            <w:tc>
              <w:tcPr>
                <w:tcW w:w="1508"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45ACDCD" w14:textId="77777777" w:rsidR="00306F75" w:rsidRPr="00290051" w:rsidRDefault="00306F75" w:rsidP="00306F75">
                <w:pPr>
                  <w:spacing w:after="0" w:line="240" w:lineRule="auto"/>
                  <w:jc w:val="right"/>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-341.220.854.833</w:t>
                </w:r>
              </w:p>
            </w:tc>
            <w:tc>
              <w:tcPr>
                <w:tcW w:w="1355" w:type="dxa"/>
                <w:tcBorders>
                  <w:top w:val="nil"/>
                  <w:left w:val="nil"/>
                  <w:bottom w:val="single" w:sz="4" w:space="0" w:color="A6A6A6" w:themeColor="background1" w:themeShade="A6"/>
                  <w:right w:val="single" w:sz="4" w:space="0" w:color="A6A6A6" w:themeColor="background1" w:themeShade="A6"/>
                </w:tcBorders>
                <w:shd w:val="clear" w:color="auto" w:fill="auto"/>
                <w:noWrap/>
                <w:vAlign w:val="center"/>
                <w:hideMark/>
              </w:tcPr>
              <w:p w14:paraId="0A962C95" w14:textId="77777777" w:rsidR="00306F75" w:rsidRPr="00290051" w:rsidRDefault="00306F75" w:rsidP="00306F75">
                <w:pPr>
                  <w:spacing w:after="0" w:line="240" w:lineRule="auto"/>
                  <w:jc w:val="right"/>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-45.059.838.587</w:t>
                </w:r>
              </w:p>
            </w:tc>
            <w:tc>
              <w:tcPr>
                <w:tcW w:w="1433" w:type="dxa"/>
                <w:tcBorders>
                  <w:top w:val="nil"/>
                  <w:left w:val="nil"/>
                  <w:bottom w:val="single" w:sz="4" w:space="0" w:color="A6A6A6" w:themeColor="background1" w:themeShade="A6"/>
                  <w:right w:val="single" w:sz="4" w:space="0" w:color="A6A6A6" w:themeColor="background1" w:themeShade="A6"/>
                </w:tcBorders>
                <w:shd w:val="clear" w:color="auto" w:fill="auto"/>
                <w:noWrap/>
                <w:vAlign w:val="center"/>
                <w:hideMark/>
              </w:tcPr>
              <w:p w14:paraId="3E391450" w14:textId="77777777" w:rsidR="00306F75" w:rsidRPr="00290051" w:rsidRDefault="00306F75" w:rsidP="00306F75">
                <w:pPr>
                  <w:spacing w:after="0" w:line="240" w:lineRule="auto"/>
                  <w:jc w:val="right"/>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-296.161.016.246</w:t>
                </w:r>
              </w:p>
            </w:tc>
          </w:tr>
          <w:tr w:rsidR="00306F75" w:rsidRPr="00306F75" w14:paraId="580667B6" w14:textId="77777777" w:rsidTr="00290051">
            <w:trPr>
              <w:trHeight w:val="102"/>
            </w:trPr>
            <w:tc>
              <w:tcPr>
                <w:tcW w:w="815" w:type="dxa"/>
                <w:tcBorders>
                  <w:top w:val="nil"/>
                  <w:left w:val="nil"/>
                  <w:bottom w:val="nil"/>
                  <w:right w:val="nil"/>
                </w:tcBorders>
                <w:shd w:val="clear" w:color="auto" w:fill="auto"/>
                <w:noWrap/>
                <w:vAlign w:val="center"/>
                <w:hideMark/>
              </w:tcPr>
              <w:p w14:paraId="0F3D0E32" w14:textId="77777777" w:rsidR="00306F75" w:rsidRPr="00290051" w:rsidRDefault="00306F75" w:rsidP="00306F75">
                <w:pPr>
                  <w:spacing w:after="0" w:line="240" w:lineRule="auto"/>
                  <w:jc w:val="right"/>
                  <w:rPr>
                    <w:rFonts w:ascii="Times New Roman" w:eastAsia="Times New Roman" w:hAnsi="Times New Roman"/>
                    <w:sz w:val="18"/>
                    <w:szCs w:val="18"/>
                    <w:lang w:eastAsia="es-CO"/>
                  </w:rPr>
                </w:pPr>
              </w:p>
            </w:tc>
            <w:tc>
              <w:tcPr>
                <w:tcW w:w="521" w:type="dxa"/>
                <w:tcBorders>
                  <w:top w:val="nil"/>
                  <w:left w:val="nil"/>
                  <w:bottom w:val="nil"/>
                  <w:right w:val="nil"/>
                </w:tcBorders>
                <w:shd w:val="clear" w:color="auto" w:fill="auto"/>
                <w:noWrap/>
                <w:vAlign w:val="center"/>
                <w:hideMark/>
              </w:tcPr>
              <w:p w14:paraId="345642D8" w14:textId="77777777" w:rsidR="00306F75" w:rsidRPr="00290051" w:rsidRDefault="00306F75" w:rsidP="00306F75">
                <w:pPr>
                  <w:spacing w:after="0" w:line="240" w:lineRule="auto"/>
                  <w:rPr>
                    <w:rFonts w:ascii="Times New Roman" w:eastAsia="Times New Roman" w:hAnsi="Times New Roman"/>
                    <w:sz w:val="18"/>
                    <w:szCs w:val="18"/>
                    <w:lang w:eastAsia="es-CO"/>
                  </w:rPr>
                </w:pPr>
              </w:p>
            </w:tc>
            <w:tc>
              <w:tcPr>
                <w:tcW w:w="3337" w:type="dxa"/>
                <w:tcBorders>
                  <w:top w:val="nil"/>
                  <w:left w:val="nil"/>
                  <w:bottom w:val="nil"/>
                  <w:right w:val="nil"/>
                </w:tcBorders>
                <w:shd w:val="clear" w:color="auto" w:fill="auto"/>
                <w:vAlign w:val="center"/>
                <w:hideMark/>
              </w:tcPr>
              <w:p w14:paraId="6C4F3886" w14:textId="77777777" w:rsidR="00306F75" w:rsidRPr="00290051" w:rsidRDefault="00306F75" w:rsidP="00306F75">
                <w:pPr>
                  <w:spacing w:after="0" w:line="240" w:lineRule="auto"/>
                  <w:jc w:val="center"/>
                  <w:rPr>
                    <w:rFonts w:ascii="Times New Roman" w:eastAsia="Times New Roman" w:hAnsi="Times New Roman"/>
                    <w:sz w:val="18"/>
                    <w:szCs w:val="18"/>
                    <w:lang w:eastAsia="es-CO"/>
                  </w:rPr>
                </w:pPr>
              </w:p>
            </w:tc>
            <w:tc>
              <w:tcPr>
                <w:tcW w:w="1508" w:type="dxa"/>
                <w:tcBorders>
                  <w:top w:val="nil"/>
                  <w:left w:val="nil"/>
                  <w:bottom w:val="nil"/>
                  <w:right w:val="nil"/>
                </w:tcBorders>
                <w:shd w:val="clear" w:color="auto" w:fill="auto"/>
                <w:noWrap/>
                <w:vAlign w:val="center"/>
                <w:hideMark/>
              </w:tcPr>
              <w:p w14:paraId="363867A3" w14:textId="77777777" w:rsidR="00306F75" w:rsidRPr="00290051" w:rsidRDefault="00306F75" w:rsidP="0132C4DB">
                <w:pPr>
                  <w:spacing w:after="0" w:line="240" w:lineRule="auto"/>
                  <w:jc w:val="right"/>
                  <w:rPr>
                    <w:rFonts w:ascii="Times New Roman" w:eastAsia="Times New Roman" w:hAnsi="Times New Roman"/>
                    <w:sz w:val="18"/>
                    <w:szCs w:val="18"/>
                    <w:lang w:eastAsia="es-CO"/>
                  </w:rPr>
                </w:pPr>
              </w:p>
            </w:tc>
            <w:tc>
              <w:tcPr>
                <w:tcW w:w="1355" w:type="dxa"/>
                <w:tcBorders>
                  <w:top w:val="nil"/>
                  <w:left w:val="nil"/>
                  <w:bottom w:val="nil"/>
                  <w:right w:val="nil"/>
                </w:tcBorders>
                <w:shd w:val="clear" w:color="auto" w:fill="auto"/>
                <w:noWrap/>
                <w:vAlign w:val="center"/>
                <w:hideMark/>
              </w:tcPr>
              <w:p w14:paraId="2CECB4E7" w14:textId="77777777" w:rsidR="00306F75" w:rsidRPr="00290051" w:rsidRDefault="00306F75" w:rsidP="0132C4DB">
                <w:pPr>
                  <w:spacing w:after="0" w:line="240" w:lineRule="auto"/>
                  <w:jc w:val="right"/>
                  <w:rPr>
                    <w:rFonts w:ascii="Times New Roman" w:eastAsia="Times New Roman" w:hAnsi="Times New Roman"/>
                    <w:sz w:val="18"/>
                    <w:szCs w:val="18"/>
                    <w:lang w:eastAsia="es-CO"/>
                  </w:rPr>
                </w:pPr>
              </w:p>
            </w:tc>
            <w:tc>
              <w:tcPr>
                <w:tcW w:w="1433" w:type="dxa"/>
                <w:tcBorders>
                  <w:top w:val="nil"/>
                  <w:left w:val="nil"/>
                  <w:bottom w:val="nil"/>
                  <w:right w:val="nil"/>
                </w:tcBorders>
                <w:shd w:val="clear" w:color="auto" w:fill="auto"/>
                <w:noWrap/>
                <w:vAlign w:val="center"/>
                <w:hideMark/>
              </w:tcPr>
              <w:p w14:paraId="0FE4CFD9" w14:textId="77777777" w:rsidR="00306F75" w:rsidRPr="00290051" w:rsidRDefault="00306F75" w:rsidP="0132C4DB">
                <w:pPr>
                  <w:spacing w:after="0" w:line="240" w:lineRule="auto"/>
                  <w:jc w:val="right"/>
                  <w:rPr>
                    <w:rFonts w:ascii="Times New Roman" w:eastAsia="Times New Roman" w:hAnsi="Times New Roman"/>
                    <w:sz w:val="18"/>
                    <w:szCs w:val="18"/>
                    <w:lang w:eastAsia="es-CO"/>
                  </w:rPr>
                </w:pPr>
              </w:p>
            </w:tc>
          </w:tr>
          <w:tr w:rsidR="00306F75" w:rsidRPr="00306F75" w14:paraId="650C7A8E" w14:textId="77777777" w:rsidTr="00290051">
            <w:trPr>
              <w:trHeight w:val="300"/>
            </w:trPr>
            <w:tc>
              <w:tcPr>
                <w:tcW w:w="8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7114716" w14:textId="77777777" w:rsidR="00306F75" w:rsidRPr="00290051" w:rsidRDefault="00306F75" w:rsidP="00306F75">
                <w:pPr>
                  <w:spacing w:after="0" w:line="240" w:lineRule="auto"/>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1.3.86.14</w:t>
                </w:r>
              </w:p>
            </w:tc>
            <w:tc>
              <w:tcPr>
                <w:tcW w:w="521" w:type="dxa"/>
                <w:tcBorders>
                  <w:top w:val="single" w:sz="4" w:space="0" w:color="A6A6A6" w:themeColor="background1" w:themeShade="A6"/>
                  <w:left w:val="nil"/>
                  <w:bottom w:val="single" w:sz="4" w:space="0" w:color="A6A6A6" w:themeColor="background1" w:themeShade="A6"/>
                  <w:right w:val="nil"/>
                </w:tcBorders>
                <w:shd w:val="clear" w:color="auto" w:fill="auto"/>
                <w:noWrap/>
                <w:vAlign w:val="center"/>
                <w:hideMark/>
              </w:tcPr>
              <w:p w14:paraId="1CE105E3" w14:textId="77777777" w:rsidR="00306F75" w:rsidRPr="00290051" w:rsidRDefault="00306F75" w:rsidP="00306F75">
                <w:pPr>
                  <w:spacing w:after="0" w:line="240" w:lineRule="auto"/>
                  <w:jc w:val="center"/>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Cr</w:t>
                </w:r>
              </w:p>
            </w:tc>
            <w:tc>
              <w:tcPr>
                <w:tcW w:w="3337"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uto"/>
                <w:vAlign w:val="center"/>
                <w:hideMark/>
              </w:tcPr>
              <w:p w14:paraId="7FABA8B5" w14:textId="77777777" w:rsidR="00306F75" w:rsidRPr="00290051" w:rsidRDefault="00306F75" w:rsidP="00306F75">
                <w:pPr>
                  <w:spacing w:after="0" w:line="240" w:lineRule="auto"/>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Deterioro: Contribuciones, tasas e ingresos no tributarios</w:t>
                </w:r>
              </w:p>
            </w:tc>
            <w:tc>
              <w:tcPr>
                <w:tcW w:w="15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7742063" w14:textId="77777777" w:rsidR="00306F75" w:rsidRPr="00290051" w:rsidRDefault="00306F75" w:rsidP="00306F75">
                <w:pPr>
                  <w:spacing w:after="0" w:line="240" w:lineRule="auto"/>
                  <w:jc w:val="right"/>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-23.672.926.616</w:t>
                </w:r>
              </w:p>
            </w:tc>
            <w:tc>
              <w:tcPr>
                <w:tcW w:w="1355"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noWrap/>
                <w:vAlign w:val="center"/>
                <w:hideMark/>
              </w:tcPr>
              <w:p w14:paraId="3D0B60E3" w14:textId="77777777" w:rsidR="00306F75" w:rsidRPr="00290051" w:rsidRDefault="00306F75" w:rsidP="0132C4DB">
                <w:pPr>
                  <w:spacing w:after="0" w:line="240" w:lineRule="auto"/>
                  <w:jc w:val="right"/>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 </w:t>
                </w:r>
              </w:p>
            </w:tc>
            <w:tc>
              <w:tcPr>
                <w:tcW w:w="1433"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uto"/>
                <w:noWrap/>
                <w:vAlign w:val="center"/>
                <w:hideMark/>
              </w:tcPr>
              <w:p w14:paraId="7890C618" w14:textId="77777777" w:rsidR="00306F75" w:rsidRPr="00290051" w:rsidRDefault="00306F75" w:rsidP="00306F75">
                <w:pPr>
                  <w:spacing w:after="0" w:line="240" w:lineRule="auto"/>
                  <w:jc w:val="right"/>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-23.672.926.616</w:t>
                </w:r>
              </w:p>
            </w:tc>
          </w:tr>
          <w:tr w:rsidR="00306F75" w:rsidRPr="00306F75" w14:paraId="58A91EC3" w14:textId="77777777" w:rsidTr="00290051">
            <w:trPr>
              <w:trHeight w:val="360"/>
            </w:trPr>
            <w:tc>
              <w:tcPr>
                <w:tcW w:w="815"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2AC692E5" w14:textId="77777777" w:rsidR="00306F75" w:rsidRPr="00290051" w:rsidRDefault="00306F75" w:rsidP="00306F75">
                <w:pPr>
                  <w:spacing w:after="0" w:line="240" w:lineRule="auto"/>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1.3.86.19</w:t>
                </w:r>
              </w:p>
            </w:tc>
            <w:tc>
              <w:tcPr>
                <w:tcW w:w="521" w:type="dxa"/>
                <w:tcBorders>
                  <w:top w:val="nil"/>
                  <w:left w:val="nil"/>
                  <w:bottom w:val="single" w:sz="4" w:space="0" w:color="A6A6A6" w:themeColor="background1" w:themeShade="A6"/>
                  <w:right w:val="nil"/>
                </w:tcBorders>
                <w:shd w:val="clear" w:color="auto" w:fill="auto"/>
                <w:noWrap/>
                <w:vAlign w:val="center"/>
                <w:hideMark/>
              </w:tcPr>
              <w:p w14:paraId="1EFE37F4" w14:textId="77777777" w:rsidR="00306F75" w:rsidRPr="00290051" w:rsidRDefault="00306F75" w:rsidP="00306F75">
                <w:pPr>
                  <w:spacing w:after="0" w:line="240" w:lineRule="auto"/>
                  <w:jc w:val="center"/>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Cr</w:t>
                </w:r>
              </w:p>
            </w:tc>
            <w:tc>
              <w:tcPr>
                <w:tcW w:w="3337" w:type="dxa"/>
                <w:tcBorders>
                  <w:top w:val="nil"/>
                  <w:left w:val="single" w:sz="4" w:space="0" w:color="A6A6A6" w:themeColor="background1" w:themeShade="A6"/>
                  <w:bottom w:val="single" w:sz="4" w:space="0" w:color="A6A6A6" w:themeColor="background1" w:themeShade="A6"/>
                  <w:right w:val="nil"/>
                </w:tcBorders>
                <w:shd w:val="clear" w:color="auto" w:fill="auto"/>
                <w:vAlign w:val="center"/>
                <w:hideMark/>
              </w:tcPr>
              <w:p w14:paraId="19B56089" w14:textId="77777777" w:rsidR="00306F75" w:rsidRPr="00290051" w:rsidRDefault="00306F75" w:rsidP="00306F75">
                <w:pPr>
                  <w:spacing w:after="0" w:line="240" w:lineRule="auto"/>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Deterioro: Sentencias, laudos arbitrales y conciliaciones extrajudiciales a favor</w:t>
                </w:r>
              </w:p>
            </w:tc>
            <w:tc>
              <w:tcPr>
                <w:tcW w:w="1508"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5E4539E4" w14:textId="77777777" w:rsidR="00306F75" w:rsidRPr="00290051" w:rsidRDefault="00306F75" w:rsidP="00306F75">
                <w:pPr>
                  <w:spacing w:after="0" w:line="240" w:lineRule="auto"/>
                  <w:jc w:val="right"/>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-315.336.296.319</w:t>
                </w:r>
              </w:p>
            </w:tc>
            <w:tc>
              <w:tcPr>
                <w:tcW w:w="1355" w:type="dxa"/>
                <w:tcBorders>
                  <w:top w:val="nil"/>
                  <w:left w:val="nil"/>
                  <w:bottom w:val="single" w:sz="4" w:space="0" w:color="A6A6A6" w:themeColor="background1" w:themeShade="A6"/>
                  <w:right w:val="single" w:sz="4" w:space="0" w:color="A6A6A6" w:themeColor="background1" w:themeShade="A6"/>
                </w:tcBorders>
                <w:shd w:val="clear" w:color="auto" w:fill="auto"/>
                <w:noWrap/>
                <w:vAlign w:val="center"/>
                <w:hideMark/>
              </w:tcPr>
              <w:p w14:paraId="20CABCAB" w14:textId="77777777" w:rsidR="00306F75" w:rsidRPr="00290051" w:rsidRDefault="00306F75" w:rsidP="0132C4DB">
                <w:pPr>
                  <w:spacing w:after="0" w:line="240" w:lineRule="auto"/>
                  <w:jc w:val="right"/>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 </w:t>
                </w:r>
              </w:p>
            </w:tc>
            <w:tc>
              <w:tcPr>
                <w:tcW w:w="1433" w:type="dxa"/>
                <w:tcBorders>
                  <w:top w:val="nil"/>
                  <w:left w:val="nil"/>
                  <w:bottom w:val="single" w:sz="4" w:space="0" w:color="A6A6A6" w:themeColor="background1" w:themeShade="A6"/>
                  <w:right w:val="single" w:sz="4" w:space="0" w:color="A6A6A6" w:themeColor="background1" w:themeShade="A6"/>
                </w:tcBorders>
                <w:shd w:val="clear" w:color="auto" w:fill="auto"/>
                <w:noWrap/>
                <w:vAlign w:val="center"/>
                <w:hideMark/>
              </w:tcPr>
              <w:p w14:paraId="1CB4A19F" w14:textId="77777777" w:rsidR="00306F75" w:rsidRPr="00290051" w:rsidRDefault="00306F75" w:rsidP="00306F75">
                <w:pPr>
                  <w:spacing w:after="0" w:line="240" w:lineRule="auto"/>
                  <w:jc w:val="right"/>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-315.336.296.319</w:t>
                </w:r>
              </w:p>
            </w:tc>
          </w:tr>
          <w:tr w:rsidR="00306F75" w:rsidRPr="00306F75" w14:paraId="7DEA4F8E" w14:textId="77777777" w:rsidTr="00290051">
            <w:trPr>
              <w:trHeight w:val="300"/>
            </w:trPr>
            <w:tc>
              <w:tcPr>
                <w:tcW w:w="815"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B0DFC0C" w14:textId="77777777" w:rsidR="00306F75" w:rsidRPr="00290051" w:rsidRDefault="00306F75" w:rsidP="00306F75">
                <w:pPr>
                  <w:spacing w:after="0" w:line="240" w:lineRule="auto"/>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1.3.86.90</w:t>
                </w:r>
              </w:p>
            </w:tc>
            <w:tc>
              <w:tcPr>
                <w:tcW w:w="521" w:type="dxa"/>
                <w:tcBorders>
                  <w:top w:val="nil"/>
                  <w:left w:val="nil"/>
                  <w:bottom w:val="single" w:sz="4" w:space="0" w:color="A6A6A6" w:themeColor="background1" w:themeShade="A6"/>
                  <w:right w:val="nil"/>
                </w:tcBorders>
                <w:shd w:val="clear" w:color="auto" w:fill="auto"/>
                <w:noWrap/>
                <w:vAlign w:val="center"/>
                <w:hideMark/>
              </w:tcPr>
              <w:p w14:paraId="128B5711" w14:textId="77777777" w:rsidR="00306F75" w:rsidRPr="00290051" w:rsidRDefault="00306F75" w:rsidP="00306F75">
                <w:pPr>
                  <w:spacing w:after="0" w:line="240" w:lineRule="auto"/>
                  <w:jc w:val="center"/>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Cr</w:t>
                </w:r>
              </w:p>
            </w:tc>
            <w:tc>
              <w:tcPr>
                <w:tcW w:w="3337" w:type="dxa"/>
                <w:tcBorders>
                  <w:top w:val="nil"/>
                  <w:left w:val="single" w:sz="4" w:space="0" w:color="A6A6A6" w:themeColor="background1" w:themeShade="A6"/>
                  <w:bottom w:val="single" w:sz="4" w:space="0" w:color="A6A6A6" w:themeColor="background1" w:themeShade="A6"/>
                  <w:right w:val="nil"/>
                </w:tcBorders>
                <w:shd w:val="clear" w:color="auto" w:fill="auto"/>
                <w:vAlign w:val="center"/>
                <w:hideMark/>
              </w:tcPr>
              <w:p w14:paraId="0697E0A6" w14:textId="77777777" w:rsidR="00306F75" w:rsidRPr="00290051" w:rsidRDefault="00306F75" w:rsidP="00306F75">
                <w:pPr>
                  <w:spacing w:after="0" w:line="240" w:lineRule="auto"/>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Deterioro: Otras cuentas por cobrar</w:t>
                </w:r>
              </w:p>
            </w:tc>
            <w:tc>
              <w:tcPr>
                <w:tcW w:w="1508"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B91FFFF" w14:textId="77777777" w:rsidR="00306F75" w:rsidRPr="00290051" w:rsidRDefault="00306F75" w:rsidP="00306F75">
                <w:pPr>
                  <w:spacing w:after="0" w:line="240" w:lineRule="auto"/>
                  <w:jc w:val="right"/>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-2.211.631.898</w:t>
                </w:r>
              </w:p>
            </w:tc>
            <w:tc>
              <w:tcPr>
                <w:tcW w:w="1355" w:type="dxa"/>
                <w:tcBorders>
                  <w:top w:val="nil"/>
                  <w:left w:val="nil"/>
                  <w:bottom w:val="single" w:sz="4" w:space="0" w:color="A6A6A6" w:themeColor="background1" w:themeShade="A6"/>
                  <w:right w:val="single" w:sz="4" w:space="0" w:color="A6A6A6" w:themeColor="background1" w:themeShade="A6"/>
                </w:tcBorders>
                <w:shd w:val="clear" w:color="auto" w:fill="auto"/>
                <w:noWrap/>
                <w:vAlign w:val="center"/>
                <w:hideMark/>
              </w:tcPr>
              <w:p w14:paraId="7B169C3F" w14:textId="77777777" w:rsidR="00306F75" w:rsidRPr="00290051" w:rsidRDefault="00306F75" w:rsidP="00306F75">
                <w:pPr>
                  <w:spacing w:after="0" w:line="240" w:lineRule="auto"/>
                  <w:jc w:val="right"/>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-45.059.838.587</w:t>
                </w:r>
              </w:p>
            </w:tc>
            <w:tc>
              <w:tcPr>
                <w:tcW w:w="1433" w:type="dxa"/>
                <w:tcBorders>
                  <w:top w:val="nil"/>
                  <w:left w:val="nil"/>
                  <w:bottom w:val="single" w:sz="4" w:space="0" w:color="A6A6A6" w:themeColor="background1" w:themeShade="A6"/>
                  <w:right w:val="single" w:sz="4" w:space="0" w:color="A6A6A6" w:themeColor="background1" w:themeShade="A6"/>
                </w:tcBorders>
                <w:shd w:val="clear" w:color="auto" w:fill="auto"/>
                <w:noWrap/>
                <w:vAlign w:val="center"/>
                <w:hideMark/>
              </w:tcPr>
              <w:p w14:paraId="2D750916" w14:textId="77777777" w:rsidR="00306F75" w:rsidRPr="00290051" w:rsidRDefault="00306F75" w:rsidP="00306F75">
                <w:pPr>
                  <w:spacing w:after="0" w:line="240" w:lineRule="auto"/>
                  <w:jc w:val="right"/>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42.848.206.689</w:t>
                </w:r>
              </w:p>
            </w:tc>
          </w:tr>
        </w:tbl>
        <w:p w14:paraId="7DFD7F2F" w14:textId="61B2DA91" w:rsidR="00DC324A" w:rsidRPr="00931DCE" w:rsidRDefault="00AD2026" w:rsidP="00DC324A">
          <w:pPr>
            <w:spacing w:after="0" w:line="240" w:lineRule="auto"/>
            <w:jc w:val="both"/>
            <w:rPr>
              <w:rFonts w:ascii="Times New Roman" w:hAnsi="Times New Roman"/>
              <w:sz w:val="14"/>
              <w:szCs w:val="14"/>
              <w:lang w:bidi="es-ES"/>
            </w:rPr>
          </w:pPr>
          <w:r w:rsidRPr="00931DCE">
            <w:rPr>
              <w:rFonts w:ascii="Times New Roman" w:eastAsia="Times New Roman" w:hAnsi="Times New Roman"/>
              <w:sz w:val="14"/>
              <w:szCs w:val="14"/>
              <w:lang w:eastAsia="es-CO"/>
            </w:rPr>
            <w:t>Cifras expresadas en pesos</w:t>
          </w:r>
        </w:p>
        <w:p w14:paraId="660DA91B" w14:textId="24F5D562" w:rsidR="00663D19" w:rsidRPr="00931DCE" w:rsidRDefault="00663D19" w:rsidP="00DC324A">
          <w:pPr>
            <w:spacing w:after="0" w:line="240" w:lineRule="auto"/>
            <w:jc w:val="both"/>
            <w:rPr>
              <w:rFonts w:ascii="Times New Roman" w:hAnsi="Times New Roman"/>
              <w:sz w:val="24"/>
              <w:szCs w:val="24"/>
            </w:rPr>
          </w:pPr>
        </w:p>
        <w:p w14:paraId="3EF08EF1" w14:textId="77777777" w:rsidR="00651DD0" w:rsidRPr="00931DCE" w:rsidRDefault="00651DD0" w:rsidP="00DC324A">
          <w:pPr>
            <w:spacing w:after="0" w:line="240" w:lineRule="auto"/>
            <w:jc w:val="both"/>
            <w:rPr>
              <w:rFonts w:ascii="Times New Roman" w:hAnsi="Times New Roman"/>
              <w:sz w:val="24"/>
              <w:szCs w:val="24"/>
            </w:rPr>
          </w:pPr>
        </w:p>
        <w:p w14:paraId="0CDD2B10" w14:textId="25428F6B" w:rsidR="00663ED8" w:rsidRPr="00931DCE" w:rsidRDefault="00D21616" w:rsidP="00FC76D7">
          <w:pPr>
            <w:pStyle w:val="Ttulo2"/>
            <w:numPr>
              <w:ilvl w:val="1"/>
              <w:numId w:val="10"/>
            </w:numPr>
            <w:spacing w:line="240" w:lineRule="auto"/>
            <w:ind w:left="567" w:hanging="567"/>
            <w:rPr>
              <w:rFonts w:cs="Times New Roman"/>
              <w:szCs w:val="22"/>
            </w:rPr>
          </w:pPr>
          <w:bookmarkStart w:id="23" w:name="_Toc159952368"/>
          <w:r w:rsidRPr="00931DCE">
            <w:rPr>
              <w:rFonts w:cs="Times New Roman"/>
              <w:szCs w:val="22"/>
            </w:rPr>
            <w:t>Impuestos retención en la fuente y anticipo de impuestos</w:t>
          </w:r>
          <w:bookmarkEnd w:id="23"/>
          <w:r w:rsidRPr="00931DCE">
            <w:rPr>
              <w:rFonts w:cs="Times New Roman"/>
              <w:szCs w:val="22"/>
            </w:rPr>
            <w:t xml:space="preserve"> </w:t>
          </w:r>
        </w:p>
        <w:p w14:paraId="643BF13A" w14:textId="77777777" w:rsidR="00FC57FC" w:rsidRDefault="00FC57FC" w:rsidP="00FC57FC">
          <w:pPr>
            <w:spacing w:after="0" w:line="240" w:lineRule="auto"/>
            <w:jc w:val="both"/>
            <w:rPr>
              <w:rFonts w:ascii="Times New Roman" w:eastAsiaTheme="minorHAnsi" w:hAnsi="Times New Roman"/>
              <w:sz w:val="24"/>
              <w:szCs w:val="24"/>
            </w:rPr>
          </w:pPr>
        </w:p>
        <w:p w14:paraId="38720C70" w14:textId="78F6271E" w:rsidR="00FC57FC" w:rsidRPr="00931DCE" w:rsidRDefault="00FC57FC" w:rsidP="00FC57FC">
          <w:pPr>
            <w:spacing w:after="0" w:line="240" w:lineRule="auto"/>
            <w:jc w:val="both"/>
            <w:rPr>
              <w:rFonts w:ascii="Times New Roman" w:eastAsiaTheme="minorHAnsi" w:hAnsi="Times New Roman"/>
              <w:sz w:val="24"/>
              <w:szCs w:val="24"/>
            </w:rPr>
          </w:pPr>
          <w:r w:rsidRPr="00931DCE">
            <w:rPr>
              <w:rFonts w:ascii="Times New Roman" w:eastAsiaTheme="minorHAnsi" w:hAnsi="Times New Roman"/>
              <w:sz w:val="24"/>
              <w:szCs w:val="24"/>
            </w:rPr>
            <w:t>La ANI es una entidad pública no contribuyentes del impuesto a la renta según el artículo 23 del Estatuto Tributario</w:t>
          </w:r>
          <w:r w:rsidR="00651DD0">
            <w:rPr>
              <w:rFonts w:ascii="Times New Roman" w:eastAsiaTheme="minorHAnsi" w:hAnsi="Times New Roman"/>
              <w:sz w:val="24"/>
              <w:szCs w:val="24"/>
            </w:rPr>
            <w:t>;</w:t>
          </w:r>
          <w:r w:rsidRPr="00931DCE">
            <w:rPr>
              <w:rFonts w:ascii="Times New Roman" w:eastAsiaTheme="minorHAnsi" w:hAnsi="Times New Roman"/>
              <w:sz w:val="24"/>
              <w:szCs w:val="24"/>
            </w:rPr>
            <w:t xml:space="preserve"> </w:t>
          </w:r>
          <w:r w:rsidR="00651DD0">
            <w:rPr>
              <w:rFonts w:ascii="Times New Roman" w:eastAsiaTheme="minorHAnsi" w:hAnsi="Times New Roman"/>
              <w:sz w:val="24"/>
              <w:szCs w:val="24"/>
            </w:rPr>
            <w:t>e</w:t>
          </w:r>
          <w:r w:rsidRPr="00931DCE">
            <w:rPr>
              <w:rFonts w:ascii="Times New Roman" w:eastAsiaTheme="minorHAnsi" w:hAnsi="Times New Roman"/>
              <w:sz w:val="24"/>
              <w:szCs w:val="24"/>
            </w:rPr>
            <w:t>n consecuencia, no está sometida a retención en la fuente a título de renta ni de ICA, de modo que no se presentan saldo de cuantas por cobrar por estos conceptos.</w:t>
          </w:r>
        </w:p>
        <w:p w14:paraId="40F9C391" w14:textId="77777777" w:rsidR="00FC57FC" w:rsidRPr="00931DCE" w:rsidRDefault="00FC57FC" w:rsidP="00FC57FC">
          <w:pPr>
            <w:spacing w:after="0" w:line="240" w:lineRule="auto"/>
            <w:jc w:val="both"/>
            <w:rPr>
              <w:rFonts w:ascii="Times New Roman" w:eastAsiaTheme="minorHAnsi" w:hAnsi="Times New Roman"/>
              <w:sz w:val="24"/>
              <w:szCs w:val="24"/>
            </w:rPr>
          </w:pPr>
        </w:p>
        <w:p w14:paraId="73706888" w14:textId="427CE307" w:rsidR="00663888" w:rsidRPr="00931DCE" w:rsidRDefault="00844484">
          <w:pPr>
            <w:pStyle w:val="Ttulo2"/>
            <w:numPr>
              <w:ilvl w:val="1"/>
              <w:numId w:val="10"/>
            </w:numPr>
            <w:spacing w:line="240" w:lineRule="auto"/>
            <w:ind w:left="567" w:hanging="567"/>
            <w:rPr>
              <w:rFonts w:cs="Times New Roman"/>
              <w:szCs w:val="22"/>
            </w:rPr>
          </w:pPr>
          <w:bookmarkStart w:id="24" w:name="_Toc159952369"/>
          <w:r w:rsidRPr="00931DCE">
            <w:rPr>
              <w:rFonts w:cs="Times New Roman"/>
              <w:szCs w:val="22"/>
            </w:rPr>
            <w:t>Contribuciones tasas e ingresos no tributarios</w:t>
          </w:r>
          <w:bookmarkEnd w:id="24"/>
        </w:p>
        <w:p w14:paraId="3A671681" w14:textId="3C184851" w:rsidR="001E6220" w:rsidRPr="00931DCE" w:rsidRDefault="001E6220" w:rsidP="00663ED8">
          <w:pPr>
            <w:pStyle w:val="Textoindependiente"/>
            <w:jc w:val="both"/>
          </w:pPr>
        </w:p>
        <w:p w14:paraId="11110653" w14:textId="0E138463" w:rsidR="00021FD7" w:rsidRPr="00931DCE" w:rsidRDefault="003D6EBB" w:rsidP="00021FD7">
          <w:pPr>
            <w:pStyle w:val="2"/>
            <w:rPr>
              <w:rFonts w:ascii="Times New Roman" w:hAnsi="Times New Roman"/>
              <w:sz w:val="24"/>
              <w:szCs w:val="24"/>
              <w:lang w:bidi="es-ES"/>
            </w:rPr>
          </w:pPr>
          <w:r w:rsidRPr="00931DCE">
            <w:rPr>
              <w:rFonts w:ascii="Times New Roman" w:hAnsi="Times New Roman"/>
              <w:sz w:val="24"/>
              <w:szCs w:val="24"/>
              <w:lang w:bidi="es-ES"/>
            </w:rPr>
            <w:t>R</w:t>
          </w:r>
          <w:r w:rsidR="00021FD7" w:rsidRPr="00931DCE">
            <w:rPr>
              <w:rFonts w:ascii="Times New Roman" w:hAnsi="Times New Roman"/>
              <w:sz w:val="24"/>
              <w:szCs w:val="24"/>
              <w:lang w:bidi="es-ES"/>
            </w:rPr>
            <w:t>epresentan el valor de los derechos a favor de la entidad que se originan por conceptos tales como sanciones contractuales y derechos de tránsito; su composición es la siguiente:</w:t>
          </w:r>
        </w:p>
        <w:p w14:paraId="1AA3C76A" w14:textId="77777777" w:rsidR="003D6EBB" w:rsidRPr="009A46BB" w:rsidRDefault="003D6EBB" w:rsidP="003D6EBB">
          <w:pPr>
            <w:rPr>
              <w:rFonts w:ascii="Times New Roman" w:hAnsi="Times New Roman"/>
              <w:lang w:bidi="es-ES"/>
            </w:rPr>
          </w:pP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4A0" w:firstRow="1" w:lastRow="0" w:firstColumn="1" w:lastColumn="0" w:noHBand="0" w:noVBand="1"/>
          </w:tblPr>
          <w:tblGrid>
            <w:gridCol w:w="968"/>
            <w:gridCol w:w="4098"/>
            <w:gridCol w:w="1403"/>
            <w:gridCol w:w="1265"/>
            <w:gridCol w:w="1235"/>
          </w:tblGrid>
          <w:tr w:rsidR="00F67AE2" w:rsidRPr="00F67AE2" w14:paraId="69675CD8" w14:textId="77777777" w:rsidTr="00174634">
            <w:trPr>
              <w:trHeight w:val="300"/>
            </w:trPr>
            <w:tc>
              <w:tcPr>
                <w:tcW w:w="549" w:type="pct"/>
                <w:shd w:val="clear" w:color="auto" w:fill="auto"/>
                <w:vAlign w:val="center"/>
                <w:hideMark/>
              </w:tcPr>
              <w:p w14:paraId="01629DA6" w14:textId="77777777" w:rsidR="00F67AE2" w:rsidRPr="00290051" w:rsidRDefault="00F67AE2" w:rsidP="00F67AE2">
                <w:pPr>
                  <w:spacing w:after="0" w:line="240" w:lineRule="auto"/>
                  <w:jc w:val="center"/>
                  <w:rPr>
                    <w:rFonts w:ascii="Times New Roman" w:eastAsia="Times New Roman" w:hAnsi="Times New Roman"/>
                    <w:b/>
                    <w:sz w:val="18"/>
                    <w:szCs w:val="18"/>
                    <w:lang w:eastAsia="es-CO"/>
                  </w:rPr>
                </w:pPr>
                <w:r w:rsidRPr="00290051">
                  <w:rPr>
                    <w:rFonts w:ascii="Times New Roman" w:eastAsia="Times New Roman" w:hAnsi="Times New Roman"/>
                    <w:b/>
                    <w:sz w:val="18"/>
                    <w:szCs w:val="18"/>
                    <w:lang w:eastAsia="es-CO"/>
                  </w:rPr>
                  <w:t>CÓD</w:t>
                </w:r>
              </w:p>
            </w:tc>
            <w:tc>
              <w:tcPr>
                <w:tcW w:w="2294" w:type="pct"/>
                <w:shd w:val="clear" w:color="auto" w:fill="auto"/>
                <w:noWrap/>
                <w:vAlign w:val="center"/>
                <w:hideMark/>
              </w:tcPr>
              <w:p w14:paraId="3F46A2C6" w14:textId="77777777" w:rsidR="00F67AE2" w:rsidRPr="00290051" w:rsidRDefault="00F67AE2" w:rsidP="00F67AE2">
                <w:pPr>
                  <w:spacing w:after="0" w:line="240" w:lineRule="auto"/>
                  <w:jc w:val="center"/>
                  <w:rPr>
                    <w:rFonts w:ascii="Times New Roman" w:eastAsia="Times New Roman" w:hAnsi="Times New Roman"/>
                    <w:b/>
                    <w:color w:val="000000"/>
                    <w:sz w:val="18"/>
                    <w:szCs w:val="18"/>
                    <w:lang w:eastAsia="es-CO"/>
                  </w:rPr>
                </w:pPr>
                <w:r w:rsidRPr="00290051">
                  <w:rPr>
                    <w:rFonts w:ascii="Times New Roman" w:eastAsia="Times New Roman" w:hAnsi="Times New Roman"/>
                    <w:b/>
                    <w:color w:val="000000"/>
                    <w:sz w:val="18"/>
                    <w:szCs w:val="18"/>
                    <w:lang w:eastAsia="es-CO"/>
                  </w:rPr>
                  <w:t>CONCEPTO</w:t>
                </w:r>
              </w:p>
            </w:tc>
            <w:tc>
              <w:tcPr>
                <w:tcW w:w="791" w:type="pct"/>
                <w:shd w:val="clear" w:color="auto" w:fill="auto"/>
                <w:noWrap/>
                <w:vAlign w:val="center"/>
                <w:hideMark/>
              </w:tcPr>
              <w:p w14:paraId="13DF6BFC" w14:textId="77777777" w:rsidR="00F67AE2" w:rsidRPr="00290051" w:rsidRDefault="00F67AE2" w:rsidP="00F67AE2">
                <w:pPr>
                  <w:spacing w:after="0" w:line="240" w:lineRule="auto"/>
                  <w:jc w:val="center"/>
                  <w:rPr>
                    <w:rFonts w:ascii="Times New Roman" w:eastAsia="Times New Roman" w:hAnsi="Times New Roman"/>
                    <w:b/>
                    <w:color w:val="000000"/>
                    <w:sz w:val="18"/>
                    <w:szCs w:val="18"/>
                    <w:lang w:eastAsia="es-CO"/>
                  </w:rPr>
                </w:pPr>
                <w:r w:rsidRPr="00290051">
                  <w:rPr>
                    <w:rFonts w:ascii="Times New Roman" w:eastAsia="Times New Roman" w:hAnsi="Times New Roman"/>
                    <w:b/>
                    <w:color w:val="000000"/>
                    <w:sz w:val="18"/>
                    <w:szCs w:val="18"/>
                    <w:lang w:eastAsia="es-CO"/>
                  </w:rPr>
                  <w:t>2023</w:t>
                </w:r>
              </w:p>
            </w:tc>
            <w:tc>
              <w:tcPr>
                <w:tcW w:w="712" w:type="pct"/>
                <w:shd w:val="clear" w:color="auto" w:fill="auto"/>
                <w:noWrap/>
                <w:vAlign w:val="center"/>
                <w:hideMark/>
              </w:tcPr>
              <w:p w14:paraId="7D3E709E" w14:textId="77777777" w:rsidR="00F67AE2" w:rsidRPr="00290051" w:rsidRDefault="00F67AE2" w:rsidP="00F67AE2">
                <w:pPr>
                  <w:spacing w:after="0" w:line="240" w:lineRule="auto"/>
                  <w:jc w:val="center"/>
                  <w:rPr>
                    <w:rFonts w:ascii="Times New Roman" w:eastAsia="Times New Roman" w:hAnsi="Times New Roman"/>
                    <w:b/>
                    <w:color w:val="000000"/>
                    <w:sz w:val="18"/>
                    <w:szCs w:val="18"/>
                    <w:lang w:eastAsia="es-CO"/>
                  </w:rPr>
                </w:pPr>
                <w:r w:rsidRPr="00290051">
                  <w:rPr>
                    <w:rFonts w:ascii="Times New Roman" w:eastAsia="Times New Roman" w:hAnsi="Times New Roman"/>
                    <w:b/>
                    <w:color w:val="000000"/>
                    <w:sz w:val="18"/>
                    <w:szCs w:val="18"/>
                    <w:lang w:eastAsia="es-CO"/>
                  </w:rPr>
                  <w:t>2022</w:t>
                </w:r>
              </w:p>
            </w:tc>
            <w:tc>
              <w:tcPr>
                <w:tcW w:w="654" w:type="pct"/>
                <w:shd w:val="clear" w:color="auto" w:fill="auto"/>
                <w:noWrap/>
                <w:vAlign w:val="center"/>
                <w:hideMark/>
              </w:tcPr>
              <w:p w14:paraId="5F7367F0" w14:textId="77777777" w:rsidR="00F67AE2" w:rsidRPr="00290051" w:rsidRDefault="00F67AE2" w:rsidP="00F67AE2">
                <w:pPr>
                  <w:spacing w:after="0" w:line="240" w:lineRule="auto"/>
                  <w:jc w:val="center"/>
                  <w:rPr>
                    <w:rFonts w:ascii="Times New Roman" w:eastAsia="Times New Roman" w:hAnsi="Times New Roman"/>
                    <w:b/>
                    <w:color w:val="000000"/>
                    <w:sz w:val="18"/>
                    <w:szCs w:val="18"/>
                    <w:lang w:eastAsia="es-CO"/>
                  </w:rPr>
                </w:pPr>
                <w:r w:rsidRPr="00290051">
                  <w:rPr>
                    <w:rFonts w:ascii="Times New Roman" w:eastAsia="Times New Roman" w:hAnsi="Times New Roman"/>
                    <w:b/>
                    <w:color w:val="000000"/>
                    <w:sz w:val="18"/>
                    <w:szCs w:val="18"/>
                    <w:lang w:eastAsia="es-CO"/>
                  </w:rPr>
                  <w:t>VARIACIÓN</w:t>
                </w:r>
              </w:p>
            </w:tc>
          </w:tr>
          <w:tr w:rsidR="00F67AE2" w:rsidRPr="00F67AE2" w14:paraId="30D43874" w14:textId="77777777" w:rsidTr="00174634">
            <w:trPr>
              <w:trHeight w:val="360"/>
            </w:trPr>
            <w:tc>
              <w:tcPr>
                <w:tcW w:w="549" w:type="pct"/>
                <w:shd w:val="clear" w:color="auto" w:fill="auto"/>
                <w:noWrap/>
                <w:vAlign w:val="center"/>
                <w:hideMark/>
              </w:tcPr>
              <w:p w14:paraId="3D61B192" w14:textId="77777777" w:rsidR="00F67AE2" w:rsidRPr="00290051" w:rsidRDefault="00F67AE2" w:rsidP="00F67AE2">
                <w:pPr>
                  <w:spacing w:after="0" w:line="240" w:lineRule="auto"/>
                  <w:rPr>
                    <w:rFonts w:ascii="Times New Roman" w:eastAsia="Times New Roman" w:hAnsi="Times New Roman"/>
                    <w:b/>
                    <w:sz w:val="18"/>
                    <w:szCs w:val="18"/>
                    <w:lang w:eastAsia="es-CO"/>
                  </w:rPr>
                </w:pPr>
                <w:r w:rsidRPr="00290051">
                  <w:rPr>
                    <w:rFonts w:ascii="Times New Roman" w:eastAsia="Times New Roman" w:hAnsi="Times New Roman"/>
                    <w:b/>
                    <w:sz w:val="18"/>
                    <w:szCs w:val="18"/>
                    <w:lang w:eastAsia="es-CO"/>
                  </w:rPr>
                  <w:t>1.3.11</w:t>
                </w:r>
              </w:p>
            </w:tc>
            <w:tc>
              <w:tcPr>
                <w:tcW w:w="2294" w:type="pct"/>
                <w:shd w:val="clear" w:color="auto" w:fill="auto"/>
                <w:vAlign w:val="center"/>
                <w:hideMark/>
              </w:tcPr>
              <w:p w14:paraId="67E6057A" w14:textId="77777777" w:rsidR="00F67AE2" w:rsidRPr="00290051" w:rsidRDefault="00F67AE2" w:rsidP="00F67AE2">
                <w:pPr>
                  <w:spacing w:after="0" w:line="240" w:lineRule="auto"/>
                  <w:rPr>
                    <w:rFonts w:ascii="Times New Roman" w:eastAsia="Times New Roman" w:hAnsi="Times New Roman"/>
                    <w:b/>
                    <w:color w:val="000000"/>
                    <w:sz w:val="18"/>
                    <w:szCs w:val="18"/>
                    <w:lang w:eastAsia="es-CO"/>
                  </w:rPr>
                </w:pPr>
                <w:r w:rsidRPr="00290051">
                  <w:rPr>
                    <w:rFonts w:ascii="Times New Roman" w:eastAsia="Times New Roman" w:hAnsi="Times New Roman"/>
                    <w:b/>
                    <w:color w:val="000000"/>
                    <w:sz w:val="18"/>
                    <w:szCs w:val="18"/>
                    <w:lang w:eastAsia="es-CO"/>
                  </w:rPr>
                  <w:t>CONTRIBUCIONES TASAS E INGRESOS NO TRIBUTARIOS</w:t>
                </w:r>
              </w:p>
            </w:tc>
            <w:tc>
              <w:tcPr>
                <w:tcW w:w="791" w:type="pct"/>
                <w:shd w:val="clear" w:color="auto" w:fill="auto"/>
                <w:noWrap/>
                <w:vAlign w:val="center"/>
                <w:hideMark/>
              </w:tcPr>
              <w:p w14:paraId="7E6D188C" w14:textId="77777777" w:rsidR="00F67AE2" w:rsidRPr="00290051" w:rsidRDefault="00F67AE2" w:rsidP="00F67AE2">
                <w:pPr>
                  <w:spacing w:after="0" w:line="240" w:lineRule="auto"/>
                  <w:jc w:val="right"/>
                  <w:rPr>
                    <w:rFonts w:ascii="Times New Roman" w:eastAsia="Times New Roman" w:hAnsi="Times New Roman"/>
                    <w:b/>
                    <w:color w:val="000000"/>
                    <w:sz w:val="18"/>
                    <w:szCs w:val="18"/>
                    <w:lang w:eastAsia="es-CO"/>
                  </w:rPr>
                </w:pPr>
                <w:r w:rsidRPr="00290051">
                  <w:rPr>
                    <w:rFonts w:ascii="Times New Roman" w:eastAsia="Times New Roman" w:hAnsi="Times New Roman"/>
                    <w:b/>
                    <w:color w:val="000000"/>
                    <w:sz w:val="18"/>
                    <w:szCs w:val="18"/>
                    <w:lang w:eastAsia="es-CO"/>
                  </w:rPr>
                  <w:t>86.373.366.391</w:t>
                </w:r>
              </w:p>
            </w:tc>
            <w:tc>
              <w:tcPr>
                <w:tcW w:w="712" w:type="pct"/>
                <w:shd w:val="clear" w:color="auto" w:fill="auto"/>
                <w:noWrap/>
                <w:vAlign w:val="center"/>
                <w:hideMark/>
              </w:tcPr>
              <w:p w14:paraId="3A539D09" w14:textId="77777777" w:rsidR="00F67AE2" w:rsidRPr="00290051" w:rsidRDefault="00F67AE2" w:rsidP="00F67AE2">
                <w:pPr>
                  <w:spacing w:after="0" w:line="240" w:lineRule="auto"/>
                  <w:jc w:val="right"/>
                  <w:rPr>
                    <w:rFonts w:ascii="Times New Roman" w:eastAsia="Times New Roman" w:hAnsi="Times New Roman"/>
                    <w:b/>
                    <w:color w:val="000000"/>
                    <w:sz w:val="18"/>
                    <w:szCs w:val="18"/>
                    <w:lang w:eastAsia="es-CO"/>
                  </w:rPr>
                </w:pPr>
                <w:r w:rsidRPr="00290051">
                  <w:rPr>
                    <w:rFonts w:ascii="Times New Roman" w:eastAsia="Times New Roman" w:hAnsi="Times New Roman"/>
                    <w:b/>
                    <w:color w:val="000000"/>
                    <w:sz w:val="18"/>
                    <w:szCs w:val="18"/>
                    <w:lang w:eastAsia="es-CO"/>
                  </w:rPr>
                  <w:t>94.942.031.625</w:t>
                </w:r>
              </w:p>
            </w:tc>
            <w:tc>
              <w:tcPr>
                <w:tcW w:w="654" w:type="pct"/>
                <w:shd w:val="clear" w:color="auto" w:fill="auto"/>
                <w:noWrap/>
                <w:vAlign w:val="center"/>
                <w:hideMark/>
              </w:tcPr>
              <w:p w14:paraId="34BC2495" w14:textId="77777777" w:rsidR="00F67AE2" w:rsidRPr="00290051" w:rsidRDefault="00F67AE2" w:rsidP="00F67AE2">
                <w:pPr>
                  <w:spacing w:after="0" w:line="240" w:lineRule="auto"/>
                  <w:jc w:val="right"/>
                  <w:rPr>
                    <w:rFonts w:ascii="Times New Roman" w:eastAsia="Times New Roman" w:hAnsi="Times New Roman"/>
                    <w:b/>
                    <w:color w:val="000000"/>
                    <w:sz w:val="18"/>
                    <w:szCs w:val="18"/>
                    <w:lang w:eastAsia="es-CO"/>
                  </w:rPr>
                </w:pPr>
                <w:r w:rsidRPr="00290051">
                  <w:rPr>
                    <w:rFonts w:ascii="Times New Roman" w:eastAsia="Times New Roman" w:hAnsi="Times New Roman"/>
                    <w:b/>
                    <w:color w:val="000000"/>
                    <w:sz w:val="18"/>
                    <w:szCs w:val="18"/>
                    <w:lang w:eastAsia="es-CO"/>
                  </w:rPr>
                  <w:t>-8.568.665.234</w:t>
                </w:r>
              </w:p>
            </w:tc>
          </w:tr>
          <w:tr w:rsidR="00F67AE2" w:rsidRPr="00F67AE2" w14:paraId="3CB3A5D9" w14:textId="77777777" w:rsidTr="00174634">
            <w:trPr>
              <w:trHeight w:val="300"/>
            </w:trPr>
            <w:tc>
              <w:tcPr>
                <w:tcW w:w="549" w:type="pct"/>
                <w:shd w:val="clear" w:color="auto" w:fill="auto"/>
                <w:noWrap/>
                <w:vAlign w:val="center"/>
                <w:hideMark/>
              </w:tcPr>
              <w:p w14:paraId="58868930" w14:textId="77777777" w:rsidR="00F67AE2" w:rsidRPr="00290051" w:rsidRDefault="00F67AE2" w:rsidP="00F67AE2">
                <w:pPr>
                  <w:spacing w:after="0" w:line="240" w:lineRule="auto"/>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1.3.11.02</w:t>
                </w:r>
              </w:p>
            </w:tc>
            <w:tc>
              <w:tcPr>
                <w:tcW w:w="2294" w:type="pct"/>
                <w:shd w:val="clear" w:color="auto" w:fill="auto"/>
                <w:noWrap/>
                <w:vAlign w:val="center"/>
                <w:hideMark/>
              </w:tcPr>
              <w:p w14:paraId="3C49E87B" w14:textId="77777777" w:rsidR="00F67AE2" w:rsidRPr="00290051" w:rsidRDefault="00F67AE2" w:rsidP="00F67AE2">
                <w:pPr>
                  <w:spacing w:after="0" w:line="240" w:lineRule="auto"/>
                  <w:rPr>
                    <w:rFonts w:ascii="Times New Roman" w:eastAsia="Times New Roman" w:hAnsi="Times New Roman"/>
                    <w:color w:val="000000"/>
                    <w:sz w:val="18"/>
                    <w:szCs w:val="18"/>
                    <w:lang w:eastAsia="es-CO"/>
                  </w:rPr>
                </w:pPr>
                <w:r w:rsidRPr="00290051">
                  <w:rPr>
                    <w:rFonts w:ascii="Times New Roman" w:eastAsia="Times New Roman" w:hAnsi="Times New Roman"/>
                    <w:color w:val="000000"/>
                    <w:sz w:val="18"/>
                    <w:szCs w:val="18"/>
                    <w:lang w:eastAsia="es-CO"/>
                  </w:rPr>
                  <w:t>Multas y Sanciones</w:t>
                </w:r>
              </w:p>
            </w:tc>
            <w:tc>
              <w:tcPr>
                <w:tcW w:w="791" w:type="pct"/>
                <w:shd w:val="clear" w:color="auto" w:fill="auto"/>
                <w:noWrap/>
                <w:vAlign w:val="center"/>
                <w:hideMark/>
              </w:tcPr>
              <w:p w14:paraId="7A687BB0" w14:textId="77777777" w:rsidR="00F67AE2" w:rsidRPr="00290051" w:rsidRDefault="00F67AE2" w:rsidP="00F67AE2">
                <w:pPr>
                  <w:spacing w:after="0" w:line="240" w:lineRule="auto"/>
                  <w:jc w:val="right"/>
                  <w:rPr>
                    <w:rFonts w:ascii="Times New Roman" w:eastAsia="Times New Roman" w:hAnsi="Times New Roman"/>
                    <w:color w:val="000000"/>
                    <w:sz w:val="18"/>
                    <w:szCs w:val="18"/>
                    <w:lang w:eastAsia="es-CO"/>
                  </w:rPr>
                </w:pPr>
                <w:r w:rsidRPr="00290051">
                  <w:rPr>
                    <w:rFonts w:ascii="Times New Roman" w:eastAsia="Times New Roman" w:hAnsi="Times New Roman"/>
                    <w:color w:val="000000"/>
                    <w:sz w:val="18"/>
                    <w:szCs w:val="18"/>
                    <w:lang w:eastAsia="es-CO"/>
                  </w:rPr>
                  <w:t>70.498.081.963</w:t>
                </w:r>
              </w:p>
            </w:tc>
            <w:tc>
              <w:tcPr>
                <w:tcW w:w="712" w:type="pct"/>
                <w:shd w:val="clear" w:color="auto" w:fill="auto"/>
                <w:noWrap/>
                <w:vAlign w:val="center"/>
                <w:hideMark/>
              </w:tcPr>
              <w:p w14:paraId="155E1A4F" w14:textId="77777777" w:rsidR="00F67AE2" w:rsidRPr="00290051" w:rsidRDefault="00F67AE2" w:rsidP="00F67AE2">
                <w:pPr>
                  <w:spacing w:after="0" w:line="240" w:lineRule="auto"/>
                  <w:jc w:val="right"/>
                  <w:rPr>
                    <w:rFonts w:ascii="Times New Roman" w:eastAsia="Times New Roman" w:hAnsi="Times New Roman"/>
                    <w:color w:val="000000"/>
                    <w:sz w:val="18"/>
                    <w:szCs w:val="18"/>
                    <w:lang w:eastAsia="es-CO"/>
                  </w:rPr>
                </w:pPr>
                <w:r w:rsidRPr="00290051">
                  <w:rPr>
                    <w:rFonts w:ascii="Times New Roman" w:eastAsia="Times New Roman" w:hAnsi="Times New Roman"/>
                    <w:color w:val="000000"/>
                    <w:sz w:val="18"/>
                    <w:szCs w:val="18"/>
                    <w:lang w:eastAsia="es-CO"/>
                  </w:rPr>
                  <w:t>75.862.849.756</w:t>
                </w:r>
              </w:p>
            </w:tc>
            <w:tc>
              <w:tcPr>
                <w:tcW w:w="654" w:type="pct"/>
                <w:shd w:val="clear" w:color="auto" w:fill="auto"/>
                <w:noWrap/>
                <w:vAlign w:val="center"/>
                <w:hideMark/>
              </w:tcPr>
              <w:p w14:paraId="5623F67B" w14:textId="77777777" w:rsidR="00F67AE2" w:rsidRPr="00290051" w:rsidRDefault="00F67AE2" w:rsidP="00F67AE2">
                <w:pPr>
                  <w:spacing w:after="0" w:line="240" w:lineRule="auto"/>
                  <w:jc w:val="right"/>
                  <w:rPr>
                    <w:rFonts w:ascii="Times New Roman" w:eastAsia="Times New Roman" w:hAnsi="Times New Roman"/>
                    <w:color w:val="000000"/>
                    <w:sz w:val="18"/>
                    <w:szCs w:val="18"/>
                    <w:lang w:eastAsia="es-CO"/>
                  </w:rPr>
                </w:pPr>
                <w:r w:rsidRPr="00290051">
                  <w:rPr>
                    <w:rFonts w:ascii="Times New Roman" w:eastAsia="Times New Roman" w:hAnsi="Times New Roman"/>
                    <w:color w:val="000000"/>
                    <w:sz w:val="18"/>
                    <w:szCs w:val="18"/>
                    <w:lang w:eastAsia="es-CO"/>
                  </w:rPr>
                  <w:t>-5.364.767.793</w:t>
                </w:r>
              </w:p>
            </w:tc>
          </w:tr>
          <w:tr w:rsidR="00F67AE2" w:rsidRPr="00F67AE2" w14:paraId="088E69F2" w14:textId="77777777" w:rsidTr="00174634">
            <w:trPr>
              <w:trHeight w:val="315"/>
            </w:trPr>
            <w:tc>
              <w:tcPr>
                <w:tcW w:w="549" w:type="pct"/>
                <w:shd w:val="clear" w:color="auto" w:fill="auto"/>
                <w:noWrap/>
                <w:vAlign w:val="center"/>
                <w:hideMark/>
              </w:tcPr>
              <w:p w14:paraId="52EE5584" w14:textId="77777777" w:rsidR="00F67AE2" w:rsidRPr="00290051" w:rsidRDefault="00F67AE2" w:rsidP="00F67AE2">
                <w:pPr>
                  <w:spacing w:after="0" w:line="240" w:lineRule="auto"/>
                  <w:rPr>
                    <w:rFonts w:ascii="Times New Roman" w:eastAsia="Times New Roman" w:hAnsi="Times New Roman"/>
                    <w:sz w:val="18"/>
                    <w:szCs w:val="18"/>
                    <w:lang w:eastAsia="es-CO"/>
                  </w:rPr>
                </w:pPr>
                <w:r w:rsidRPr="00290051">
                  <w:rPr>
                    <w:rFonts w:ascii="Times New Roman" w:eastAsia="Times New Roman" w:hAnsi="Times New Roman"/>
                    <w:sz w:val="18"/>
                    <w:szCs w:val="18"/>
                    <w:lang w:eastAsia="es-CO"/>
                  </w:rPr>
                  <w:t>1.3.11.16</w:t>
                </w:r>
              </w:p>
            </w:tc>
            <w:tc>
              <w:tcPr>
                <w:tcW w:w="2294" w:type="pct"/>
                <w:shd w:val="clear" w:color="auto" w:fill="auto"/>
                <w:vAlign w:val="center"/>
                <w:hideMark/>
              </w:tcPr>
              <w:p w14:paraId="1C538112" w14:textId="77777777" w:rsidR="00F67AE2" w:rsidRPr="00290051" w:rsidRDefault="00F67AE2" w:rsidP="00F67AE2">
                <w:pPr>
                  <w:spacing w:after="0" w:line="240" w:lineRule="auto"/>
                  <w:rPr>
                    <w:rFonts w:ascii="Times New Roman" w:eastAsia="Times New Roman" w:hAnsi="Times New Roman"/>
                    <w:color w:val="000000"/>
                    <w:sz w:val="18"/>
                    <w:szCs w:val="18"/>
                    <w:lang w:eastAsia="es-CO"/>
                  </w:rPr>
                </w:pPr>
                <w:r w:rsidRPr="00290051">
                  <w:rPr>
                    <w:rFonts w:ascii="Times New Roman" w:eastAsia="Times New Roman" w:hAnsi="Times New Roman"/>
                    <w:color w:val="000000"/>
                    <w:sz w:val="18"/>
                    <w:szCs w:val="18"/>
                    <w:lang w:eastAsia="es-CO"/>
                  </w:rPr>
                  <w:t>Derechos de Transito</w:t>
                </w:r>
              </w:p>
            </w:tc>
            <w:tc>
              <w:tcPr>
                <w:tcW w:w="791" w:type="pct"/>
                <w:shd w:val="clear" w:color="auto" w:fill="auto"/>
                <w:noWrap/>
                <w:vAlign w:val="center"/>
                <w:hideMark/>
              </w:tcPr>
              <w:p w14:paraId="4A8B5A64" w14:textId="77777777" w:rsidR="00F67AE2" w:rsidRPr="00290051" w:rsidRDefault="00F67AE2" w:rsidP="00F67AE2">
                <w:pPr>
                  <w:spacing w:after="0" w:line="240" w:lineRule="auto"/>
                  <w:jc w:val="right"/>
                  <w:rPr>
                    <w:rFonts w:ascii="Times New Roman" w:eastAsia="Times New Roman" w:hAnsi="Times New Roman"/>
                    <w:color w:val="000000"/>
                    <w:sz w:val="18"/>
                    <w:szCs w:val="18"/>
                    <w:lang w:eastAsia="es-CO"/>
                  </w:rPr>
                </w:pPr>
                <w:r w:rsidRPr="00290051">
                  <w:rPr>
                    <w:rFonts w:ascii="Times New Roman" w:eastAsia="Times New Roman" w:hAnsi="Times New Roman"/>
                    <w:color w:val="000000"/>
                    <w:sz w:val="18"/>
                    <w:szCs w:val="18"/>
                    <w:lang w:eastAsia="es-CO"/>
                  </w:rPr>
                  <w:t>15.875.284.429</w:t>
                </w:r>
              </w:p>
            </w:tc>
            <w:tc>
              <w:tcPr>
                <w:tcW w:w="712" w:type="pct"/>
                <w:shd w:val="clear" w:color="auto" w:fill="auto"/>
                <w:noWrap/>
                <w:vAlign w:val="center"/>
                <w:hideMark/>
              </w:tcPr>
              <w:p w14:paraId="5F1799C6" w14:textId="77777777" w:rsidR="00F67AE2" w:rsidRPr="00290051" w:rsidRDefault="00F67AE2" w:rsidP="00F67AE2">
                <w:pPr>
                  <w:spacing w:after="0" w:line="240" w:lineRule="auto"/>
                  <w:jc w:val="right"/>
                  <w:rPr>
                    <w:rFonts w:ascii="Times New Roman" w:eastAsia="Times New Roman" w:hAnsi="Times New Roman"/>
                    <w:color w:val="000000"/>
                    <w:sz w:val="18"/>
                    <w:szCs w:val="18"/>
                    <w:lang w:eastAsia="es-CO"/>
                  </w:rPr>
                </w:pPr>
                <w:r w:rsidRPr="00290051">
                  <w:rPr>
                    <w:rFonts w:ascii="Times New Roman" w:eastAsia="Times New Roman" w:hAnsi="Times New Roman"/>
                    <w:color w:val="000000"/>
                    <w:sz w:val="18"/>
                    <w:szCs w:val="18"/>
                    <w:lang w:eastAsia="es-CO"/>
                  </w:rPr>
                  <w:t>19.079.181.870</w:t>
                </w:r>
              </w:p>
            </w:tc>
            <w:tc>
              <w:tcPr>
                <w:tcW w:w="654" w:type="pct"/>
                <w:shd w:val="clear" w:color="auto" w:fill="auto"/>
                <w:noWrap/>
                <w:vAlign w:val="center"/>
                <w:hideMark/>
              </w:tcPr>
              <w:p w14:paraId="27732CE7" w14:textId="77777777" w:rsidR="00F67AE2" w:rsidRPr="00290051" w:rsidRDefault="00F67AE2" w:rsidP="00F67AE2">
                <w:pPr>
                  <w:spacing w:after="0" w:line="240" w:lineRule="auto"/>
                  <w:jc w:val="right"/>
                  <w:rPr>
                    <w:rFonts w:ascii="Times New Roman" w:eastAsia="Times New Roman" w:hAnsi="Times New Roman"/>
                    <w:color w:val="000000"/>
                    <w:sz w:val="18"/>
                    <w:szCs w:val="18"/>
                    <w:lang w:eastAsia="es-CO"/>
                  </w:rPr>
                </w:pPr>
                <w:r w:rsidRPr="00290051">
                  <w:rPr>
                    <w:rFonts w:ascii="Times New Roman" w:eastAsia="Times New Roman" w:hAnsi="Times New Roman"/>
                    <w:color w:val="000000"/>
                    <w:sz w:val="18"/>
                    <w:szCs w:val="18"/>
                    <w:lang w:eastAsia="es-CO"/>
                  </w:rPr>
                  <w:t>-3.203.897.441</w:t>
                </w:r>
              </w:p>
            </w:tc>
          </w:tr>
        </w:tbl>
        <w:p w14:paraId="6E10980E" w14:textId="52509224" w:rsidR="00BE4DF9" w:rsidRPr="00931DCE" w:rsidRDefault="00AD2026" w:rsidP="001275EC">
          <w:pPr>
            <w:spacing w:after="0" w:line="240" w:lineRule="auto"/>
            <w:rPr>
              <w:rFonts w:ascii="Times New Roman" w:hAnsi="Times New Roman"/>
              <w:sz w:val="24"/>
              <w:szCs w:val="24"/>
              <w:lang w:bidi="es-ES"/>
            </w:rPr>
          </w:pPr>
          <w:r w:rsidRPr="00931DCE">
            <w:rPr>
              <w:rFonts w:ascii="Times New Roman" w:eastAsia="Times New Roman" w:hAnsi="Times New Roman"/>
              <w:sz w:val="14"/>
              <w:szCs w:val="14"/>
              <w:lang w:eastAsia="es-CO"/>
            </w:rPr>
            <w:t>Cifras expresadas en pesos</w:t>
          </w:r>
        </w:p>
        <w:p w14:paraId="57716149" w14:textId="77777777" w:rsidR="00585869" w:rsidRDefault="00585869" w:rsidP="00BE4DF9">
          <w:pPr>
            <w:spacing w:after="0" w:line="240" w:lineRule="auto"/>
            <w:jc w:val="both"/>
            <w:rPr>
              <w:rFonts w:ascii="Times New Roman" w:hAnsi="Times New Roman"/>
              <w:sz w:val="24"/>
              <w:szCs w:val="24"/>
              <w:lang w:bidi="es-ES"/>
            </w:rPr>
          </w:pPr>
        </w:p>
        <w:p w14:paraId="20BA41A7" w14:textId="12847453" w:rsidR="00021FD7" w:rsidRPr="00931DCE" w:rsidRDefault="00021FD7" w:rsidP="00BE4DF9">
          <w:pPr>
            <w:spacing w:after="0" w:line="240" w:lineRule="auto"/>
            <w:jc w:val="both"/>
            <w:rPr>
              <w:rFonts w:ascii="Times New Roman" w:hAnsi="Times New Roman"/>
              <w:sz w:val="24"/>
              <w:szCs w:val="24"/>
              <w:lang w:bidi="es-ES"/>
            </w:rPr>
          </w:pPr>
          <w:r w:rsidRPr="00931DCE">
            <w:rPr>
              <w:rFonts w:ascii="Times New Roman" w:hAnsi="Times New Roman"/>
              <w:sz w:val="24"/>
              <w:szCs w:val="24"/>
              <w:lang w:bidi="es-ES"/>
            </w:rPr>
            <w:lastRenderedPageBreak/>
            <w:t xml:space="preserve">A continuación, se detallan los </w:t>
          </w:r>
          <w:r w:rsidR="00DF4E72" w:rsidRPr="00931DCE">
            <w:rPr>
              <w:rFonts w:ascii="Times New Roman" w:hAnsi="Times New Roman"/>
              <w:sz w:val="24"/>
              <w:szCs w:val="24"/>
              <w:lang w:bidi="es-ES"/>
            </w:rPr>
            <w:t>saldos corrientes</w:t>
          </w:r>
          <w:r w:rsidRPr="00931DCE">
            <w:rPr>
              <w:rFonts w:ascii="Times New Roman" w:hAnsi="Times New Roman"/>
              <w:sz w:val="24"/>
              <w:szCs w:val="24"/>
              <w:lang w:bidi="es-ES"/>
            </w:rPr>
            <w:t>, no corriente</w:t>
          </w:r>
          <w:r w:rsidR="00DF4E72" w:rsidRPr="00931DCE">
            <w:rPr>
              <w:rFonts w:ascii="Times New Roman" w:hAnsi="Times New Roman"/>
              <w:sz w:val="24"/>
              <w:szCs w:val="24"/>
              <w:lang w:bidi="es-ES"/>
            </w:rPr>
            <w:t>s</w:t>
          </w:r>
          <w:r w:rsidRPr="00931DCE">
            <w:rPr>
              <w:rFonts w:ascii="Times New Roman" w:hAnsi="Times New Roman"/>
              <w:sz w:val="24"/>
              <w:szCs w:val="24"/>
              <w:lang w:bidi="es-ES"/>
            </w:rPr>
            <w:t xml:space="preserve"> y el deterioro </w:t>
          </w:r>
          <w:r w:rsidR="003D6EBB" w:rsidRPr="00931DCE">
            <w:rPr>
              <w:rFonts w:ascii="Times New Roman" w:hAnsi="Times New Roman"/>
              <w:sz w:val="24"/>
              <w:szCs w:val="24"/>
              <w:lang w:bidi="es-ES"/>
            </w:rPr>
            <w:t xml:space="preserve">acumulado, </w:t>
          </w:r>
          <w:r w:rsidRPr="00931DCE">
            <w:rPr>
              <w:rFonts w:ascii="Times New Roman" w:hAnsi="Times New Roman"/>
              <w:sz w:val="24"/>
              <w:szCs w:val="24"/>
              <w:lang w:bidi="es-ES"/>
            </w:rPr>
            <w:t>con corte al 31 de diciembre de 202</w:t>
          </w:r>
          <w:r w:rsidR="00585869">
            <w:rPr>
              <w:rFonts w:ascii="Times New Roman" w:hAnsi="Times New Roman"/>
              <w:sz w:val="24"/>
              <w:szCs w:val="24"/>
              <w:lang w:bidi="es-ES"/>
            </w:rPr>
            <w:t>3</w:t>
          </w:r>
          <w:r w:rsidRPr="00931DCE">
            <w:rPr>
              <w:rFonts w:ascii="Times New Roman" w:hAnsi="Times New Roman"/>
              <w:sz w:val="24"/>
              <w:szCs w:val="24"/>
              <w:lang w:bidi="es-ES"/>
            </w:rPr>
            <w:t>:</w:t>
          </w:r>
        </w:p>
        <w:p w14:paraId="3E980C14" w14:textId="77777777" w:rsidR="00BE4DF9" w:rsidRPr="00931DCE" w:rsidRDefault="00BE4DF9" w:rsidP="00BE4DF9">
          <w:pPr>
            <w:spacing w:after="0" w:line="240" w:lineRule="auto"/>
            <w:jc w:val="both"/>
            <w:rPr>
              <w:rFonts w:ascii="Times New Roman" w:hAnsi="Times New Roman"/>
              <w:sz w:val="24"/>
              <w:szCs w:val="24"/>
              <w:lang w:bidi="es-ES"/>
            </w:rPr>
          </w:pPr>
        </w:p>
        <w:tbl>
          <w:tblPr>
            <w:tblW w:w="0" w:type="auto"/>
            <w:tblCellMar>
              <w:left w:w="70" w:type="dxa"/>
              <w:right w:w="70" w:type="dxa"/>
            </w:tblCellMar>
            <w:tblLook w:val="04A0" w:firstRow="1" w:lastRow="0" w:firstColumn="1" w:lastColumn="0" w:noHBand="0" w:noVBand="1"/>
          </w:tblPr>
          <w:tblGrid>
            <w:gridCol w:w="1482"/>
            <w:gridCol w:w="1015"/>
            <w:gridCol w:w="1015"/>
            <w:gridCol w:w="1015"/>
            <w:gridCol w:w="312"/>
            <w:gridCol w:w="1015"/>
            <w:gridCol w:w="700"/>
            <w:gridCol w:w="1015"/>
            <w:gridCol w:w="385"/>
            <w:gridCol w:w="1015"/>
          </w:tblGrid>
          <w:tr w:rsidR="001D6A04" w:rsidRPr="001D6A04" w14:paraId="5903C58D" w14:textId="77777777" w:rsidTr="00B91013">
            <w:trPr>
              <w:cantSplit/>
              <w:trHeight w:val="1461"/>
            </w:trPr>
            <w:tc>
              <w:tcPr>
                <w:tcW w:w="0" w:type="auto"/>
                <w:tcBorders>
                  <w:top w:val="single" w:sz="4" w:space="0" w:color="A6A6A6"/>
                  <w:left w:val="single" w:sz="4" w:space="0" w:color="A6A6A6"/>
                  <w:bottom w:val="single" w:sz="4" w:space="0" w:color="A6A6A6"/>
                  <w:right w:val="single" w:sz="4" w:space="0" w:color="A6A6A6"/>
                </w:tcBorders>
                <w:shd w:val="clear" w:color="auto" w:fill="auto"/>
                <w:textDirection w:val="btLr"/>
                <w:vAlign w:val="center"/>
                <w:hideMark/>
              </w:tcPr>
              <w:p w14:paraId="32C51815" w14:textId="77777777" w:rsidR="001D6A04" w:rsidRPr="001D6A04" w:rsidRDefault="001D6A04" w:rsidP="00B91013">
                <w:pPr>
                  <w:spacing w:after="0" w:line="240" w:lineRule="auto"/>
                  <w:ind w:left="113" w:right="113"/>
                  <w:jc w:val="center"/>
                  <w:rPr>
                    <w:rFonts w:ascii="Times New Roman" w:eastAsia="Times New Roman" w:hAnsi="Times New Roman"/>
                    <w:b/>
                    <w:bCs/>
                    <w:sz w:val="14"/>
                    <w:szCs w:val="14"/>
                    <w:lang w:eastAsia="es-CO"/>
                  </w:rPr>
                </w:pPr>
                <w:r w:rsidRPr="001D6A04">
                  <w:rPr>
                    <w:rFonts w:ascii="Times New Roman" w:eastAsia="Times New Roman" w:hAnsi="Times New Roman"/>
                    <w:b/>
                    <w:bCs/>
                    <w:sz w:val="14"/>
                    <w:szCs w:val="14"/>
                    <w:lang w:eastAsia="es-CO"/>
                  </w:rPr>
                  <w:t>CONCEPTO</w:t>
                </w:r>
              </w:p>
            </w:tc>
            <w:tc>
              <w:tcPr>
                <w:tcW w:w="0" w:type="auto"/>
                <w:tcBorders>
                  <w:top w:val="single" w:sz="4" w:space="0" w:color="A6A6A6"/>
                  <w:left w:val="nil"/>
                  <w:bottom w:val="single" w:sz="4" w:space="0" w:color="A6A6A6"/>
                  <w:right w:val="single" w:sz="4" w:space="0" w:color="A6A6A6"/>
                </w:tcBorders>
                <w:shd w:val="clear" w:color="auto" w:fill="auto"/>
                <w:textDirection w:val="btLr"/>
                <w:vAlign w:val="center"/>
                <w:hideMark/>
              </w:tcPr>
              <w:p w14:paraId="4E39B7D5" w14:textId="77777777" w:rsidR="001D6A04" w:rsidRPr="001D6A04" w:rsidRDefault="001D6A04" w:rsidP="00B91013">
                <w:pPr>
                  <w:spacing w:after="0" w:line="240" w:lineRule="auto"/>
                  <w:ind w:left="113" w:right="113"/>
                  <w:jc w:val="center"/>
                  <w:rPr>
                    <w:rFonts w:ascii="Times New Roman" w:eastAsia="Times New Roman" w:hAnsi="Times New Roman"/>
                    <w:b/>
                    <w:bCs/>
                    <w:sz w:val="14"/>
                    <w:szCs w:val="14"/>
                    <w:lang w:eastAsia="es-CO"/>
                  </w:rPr>
                </w:pPr>
                <w:r w:rsidRPr="001D6A04">
                  <w:rPr>
                    <w:rFonts w:ascii="Times New Roman" w:eastAsia="Times New Roman" w:hAnsi="Times New Roman"/>
                    <w:b/>
                    <w:bCs/>
                    <w:sz w:val="14"/>
                    <w:szCs w:val="14"/>
                    <w:lang w:eastAsia="es-CO"/>
                  </w:rPr>
                  <w:t>SALDO CORRIENTE</w:t>
                </w:r>
              </w:p>
            </w:tc>
            <w:tc>
              <w:tcPr>
                <w:tcW w:w="0" w:type="auto"/>
                <w:tcBorders>
                  <w:top w:val="single" w:sz="4" w:space="0" w:color="A6A6A6"/>
                  <w:left w:val="nil"/>
                  <w:bottom w:val="single" w:sz="4" w:space="0" w:color="A6A6A6"/>
                  <w:right w:val="single" w:sz="4" w:space="0" w:color="A6A6A6"/>
                </w:tcBorders>
                <w:shd w:val="clear" w:color="auto" w:fill="auto"/>
                <w:textDirection w:val="btLr"/>
                <w:vAlign w:val="center"/>
                <w:hideMark/>
              </w:tcPr>
              <w:p w14:paraId="174E4BA6" w14:textId="77777777" w:rsidR="001D6A04" w:rsidRPr="001D6A04" w:rsidRDefault="001D6A04" w:rsidP="00B91013">
                <w:pPr>
                  <w:spacing w:after="0" w:line="240" w:lineRule="auto"/>
                  <w:ind w:left="113" w:right="113"/>
                  <w:jc w:val="center"/>
                  <w:rPr>
                    <w:rFonts w:ascii="Times New Roman" w:eastAsia="Times New Roman" w:hAnsi="Times New Roman"/>
                    <w:b/>
                    <w:bCs/>
                    <w:sz w:val="14"/>
                    <w:szCs w:val="14"/>
                    <w:lang w:eastAsia="es-CO"/>
                  </w:rPr>
                </w:pPr>
                <w:r w:rsidRPr="001D6A04">
                  <w:rPr>
                    <w:rFonts w:ascii="Times New Roman" w:eastAsia="Times New Roman" w:hAnsi="Times New Roman"/>
                    <w:b/>
                    <w:bCs/>
                    <w:sz w:val="14"/>
                    <w:szCs w:val="14"/>
                    <w:lang w:eastAsia="es-CO"/>
                  </w:rPr>
                  <w:t>SALDO NO CORRIENTE</w:t>
                </w:r>
              </w:p>
            </w:tc>
            <w:tc>
              <w:tcPr>
                <w:tcW w:w="0" w:type="auto"/>
                <w:tcBorders>
                  <w:top w:val="single" w:sz="4" w:space="0" w:color="A6A6A6"/>
                  <w:left w:val="nil"/>
                  <w:bottom w:val="single" w:sz="4" w:space="0" w:color="A6A6A6"/>
                  <w:right w:val="single" w:sz="4" w:space="0" w:color="A6A6A6"/>
                </w:tcBorders>
                <w:shd w:val="clear" w:color="auto" w:fill="auto"/>
                <w:textDirection w:val="btLr"/>
                <w:vAlign w:val="center"/>
                <w:hideMark/>
              </w:tcPr>
              <w:p w14:paraId="31B8D242" w14:textId="77777777" w:rsidR="001D6A04" w:rsidRPr="001D6A04" w:rsidRDefault="001D6A04" w:rsidP="00B91013">
                <w:pPr>
                  <w:spacing w:after="0" w:line="240" w:lineRule="auto"/>
                  <w:ind w:left="113" w:right="113"/>
                  <w:jc w:val="center"/>
                  <w:rPr>
                    <w:rFonts w:ascii="Times New Roman" w:eastAsia="Times New Roman" w:hAnsi="Times New Roman"/>
                    <w:b/>
                    <w:bCs/>
                    <w:sz w:val="14"/>
                    <w:szCs w:val="14"/>
                    <w:lang w:eastAsia="es-CO"/>
                  </w:rPr>
                </w:pPr>
                <w:r w:rsidRPr="001D6A04">
                  <w:rPr>
                    <w:rFonts w:ascii="Times New Roman" w:eastAsia="Times New Roman" w:hAnsi="Times New Roman"/>
                    <w:b/>
                    <w:bCs/>
                    <w:sz w:val="14"/>
                    <w:szCs w:val="14"/>
                    <w:lang w:eastAsia="es-CO"/>
                  </w:rPr>
                  <w:t>SALDO FINAL</w:t>
                </w:r>
              </w:p>
            </w:tc>
            <w:tc>
              <w:tcPr>
                <w:tcW w:w="0" w:type="auto"/>
                <w:tcBorders>
                  <w:top w:val="single" w:sz="4" w:space="0" w:color="A6A6A6"/>
                  <w:left w:val="nil"/>
                  <w:bottom w:val="single" w:sz="4" w:space="0" w:color="A6A6A6"/>
                  <w:right w:val="single" w:sz="4" w:space="0" w:color="A6A6A6"/>
                </w:tcBorders>
                <w:shd w:val="clear" w:color="auto" w:fill="auto"/>
                <w:textDirection w:val="btLr"/>
                <w:vAlign w:val="center"/>
                <w:hideMark/>
              </w:tcPr>
              <w:p w14:paraId="1A66F53C" w14:textId="77777777" w:rsidR="001D6A04" w:rsidRPr="001D6A04" w:rsidRDefault="001D6A04" w:rsidP="00B91013">
                <w:pPr>
                  <w:spacing w:after="0" w:line="240" w:lineRule="auto"/>
                  <w:ind w:left="113" w:right="113"/>
                  <w:jc w:val="center"/>
                  <w:rPr>
                    <w:rFonts w:ascii="Times New Roman" w:eastAsia="Times New Roman" w:hAnsi="Times New Roman"/>
                    <w:b/>
                    <w:bCs/>
                    <w:sz w:val="14"/>
                    <w:szCs w:val="14"/>
                    <w:lang w:eastAsia="es-CO"/>
                  </w:rPr>
                </w:pPr>
                <w:r w:rsidRPr="001D6A04">
                  <w:rPr>
                    <w:rFonts w:ascii="Times New Roman" w:eastAsia="Times New Roman" w:hAnsi="Times New Roman"/>
                    <w:b/>
                    <w:bCs/>
                    <w:sz w:val="14"/>
                    <w:szCs w:val="14"/>
                    <w:lang w:eastAsia="es-CO"/>
                  </w:rPr>
                  <w:t>SALDO INICIAL</w:t>
                </w:r>
              </w:p>
            </w:tc>
            <w:tc>
              <w:tcPr>
                <w:tcW w:w="0" w:type="auto"/>
                <w:tcBorders>
                  <w:top w:val="single" w:sz="4" w:space="0" w:color="A6A6A6"/>
                  <w:left w:val="nil"/>
                  <w:bottom w:val="single" w:sz="4" w:space="0" w:color="A6A6A6"/>
                  <w:right w:val="single" w:sz="4" w:space="0" w:color="A6A6A6"/>
                </w:tcBorders>
                <w:shd w:val="clear" w:color="auto" w:fill="auto"/>
                <w:textDirection w:val="btLr"/>
                <w:vAlign w:val="center"/>
                <w:hideMark/>
              </w:tcPr>
              <w:p w14:paraId="7ADACEAB" w14:textId="77777777" w:rsidR="001D6A04" w:rsidRPr="001D6A04" w:rsidRDefault="001D6A04" w:rsidP="00B91013">
                <w:pPr>
                  <w:spacing w:after="0" w:line="240" w:lineRule="auto"/>
                  <w:ind w:left="113" w:right="113"/>
                  <w:jc w:val="center"/>
                  <w:rPr>
                    <w:rFonts w:ascii="Times New Roman" w:eastAsia="Times New Roman" w:hAnsi="Times New Roman"/>
                    <w:b/>
                    <w:bCs/>
                    <w:sz w:val="14"/>
                    <w:szCs w:val="14"/>
                    <w:lang w:eastAsia="es-CO"/>
                  </w:rPr>
                </w:pPr>
                <w:r w:rsidRPr="001D6A04">
                  <w:rPr>
                    <w:rFonts w:ascii="Times New Roman" w:eastAsia="Times New Roman" w:hAnsi="Times New Roman"/>
                    <w:b/>
                    <w:bCs/>
                    <w:sz w:val="14"/>
                    <w:szCs w:val="14"/>
                    <w:lang w:eastAsia="es-CO"/>
                  </w:rPr>
                  <w:t>(+) DETERIORO APLICADO EN LA VIGENCIA</w:t>
                </w:r>
              </w:p>
            </w:tc>
            <w:tc>
              <w:tcPr>
                <w:tcW w:w="0" w:type="auto"/>
                <w:tcBorders>
                  <w:top w:val="single" w:sz="4" w:space="0" w:color="A6A6A6"/>
                  <w:left w:val="nil"/>
                  <w:bottom w:val="single" w:sz="4" w:space="0" w:color="A6A6A6"/>
                  <w:right w:val="single" w:sz="4" w:space="0" w:color="A6A6A6"/>
                </w:tcBorders>
                <w:shd w:val="clear" w:color="auto" w:fill="auto"/>
                <w:textDirection w:val="btLr"/>
                <w:vAlign w:val="center"/>
                <w:hideMark/>
              </w:tcPr>
              <w:p w14:paraId="37376817" w14:textId="77777777" w:rsidR="001D6A04" w:rsidRPr="001D6A04" w:rsidRDefault="001D6A04" w:rsidP="00B91013">
                <w:pPr>
                  <w:spacing w:after="0" w:line="240" w:lineRule="auto"/>
                  <w:ind w:left="113" w:right="113"/>
                  <w:jc w:val="center"/>
                  <w:rPr>
                    <w:rFonts w:ascii="Times New Roman" w:eastAsia="Times New Roman" w:hAnsi="Times New Roman"/>
                    <w:b/>
                    <w:bCs/>
                    <w:sz w:val="14"/>
                    <w:szCs w:val="14"/>
                    <w:lang w:eastAsia="es-CO"/>
                  </w:rPr>
                </w:pPr>
                <w:r w:rsidRPr="001D6A04">
                  <w:rPr>
                    <w:rFonts w:ascii="Times New Roman" w:eastAsia="Times New Roman" w:hAnsi="Times New Roman"/>
                    <w:b/>
                    <w:bCs/>
                    <w:sz w:val="14"/>
                    <w:szCs w:val="14"/>
                    <w:lang w:eastAsia="es-CO"/>
                  </w:rPr>
                  <w:t>(-) REVERSIÓN DE DETERIORO EN LA VIGENCIA</w:t>
                </w:r>
              </w:p>
            </w:tc>
            <w:tc>
              <w:tcPr>
                <w:tcW w:w="0" w:type="auto"/>
                <w:tcBorders>
                  <w:top w:val="single" w:sz="4" w:space="0" w:color="A6A6A6"/>
                  <w:left w:val="nil"/>
                  <w:bottom w:val="single" w:sz="4" w:space="0" w:color="A6A6A6"/>
                  <w:right w:val="single" w:sz="4" w:space="0" w:color="A6A6A6"/>
                </w:tcBorders>
                <w:shd w:val="clear" w:color="auto" w:fill="auto"/>
                <w:textDirection w:val="btLr"/>
                <w:vAlign w:val="center"/>
                <w:hideMark/>
              </w:tcPr>
              <w:p w14:paraId="63A0F878" w14:textId="77777777" w:rsidR="001D6A04" w:rsidRPr="001D6A04" w:rsidRDefault="001D6A04" w:rsidP="00B91013">
                <w:pPr>
                  <w:spacing w:after="0" w:line="240" w:lineRule="auto"/>
                  <w:ind w:left="113" w:right="113"/>
                  <w:jc w:val="center"/>
                  <w:rPr>
                    <w:rFonts w:ascii="Times New Roman" w:eastAsia="Times New Roman" w:hAnsi="Times New Roman"/>
                    <w:b/>
                    <w:bCs/>
                    <w:sz w:val="14"/>
                    <w:szCs w:val="14"/>
                    <w:lang w:eastAsia="es-CO"/>
                  </w:rPr>
                </w:pPr>
                <w:r w:rsidRPr="001D6A04">
                  <w:rPr>
                    <w:rFonts w:ascii="Times New Roman" w:eastAsia="Times New Roman" w:hAnsi="Times New Roman"/>
                    <w:b/>
                    <w:bCs/>
                    <w:sz w:val="14"/>
                    <w:szCs w:val="14"/>
                    <w:lang w:eastAsia="es-CO"/>
                  </w:rPr>
                  <w:t>SALDO FINAL</w:t>
                </w:r>
              </w:p>
            </w:tc>
            <w:tc>
              <w:tcPr>
                <w:tcW w:w="0" w:type="auto"/>
                <w:tcBorders>
                  <w:top w:val="single" w:sz="4" w:space="0" w:color="A6A6A6"/>
                  <w:left w:val="nil"/>
                  <w:bottom w:val="single" w:sz="4" w:space="0" w:color="A6A6A6"/>
                  <w:right w:val="single" w:sz="4" w:space="0" w:color="A6A6A6"/>
                </w:tcBorders>
                <w:shd w:val="clear" w:color="auto" w:fill="auto"/>
                <w:vAlign w:val="center"/>
                <w:hideMark/>
              </w:tcPr>
              <w:p w14:paraId="316903B0" w14:textId="77777777" w:rsidR="001D6A04" w:rsidRPr="001D6A04" w:rsidRDefault="001D6A04" w:rsidP="001D6A04">
                <w:pPr>
                  <w:spacing w:after="0" w:line="240" w:lineRule="auto"/>
                  <w:jc w:val="center"/>
                  <w:rPr>
                    <w:rFonts w:ascii="Times New Roman" w:eastAsia="Times New Roman" w:hAnsi="Times New Roman"/>
                    <w:b/>
                    <w:bCs/>
                    <w:sz w:val="14"/>
                    <w:szCs w:val="14"/>
                    <w:lang w:eastAsia="es-CO"/>
                  </w:rPr>
                </w:pPr>
                <w:r w:rsidRPr="001D6A04">
                  <w:rPr>
                    <w:rFonts w:ascii="Times New Roman" w:eastAsia="Times New Roman" w:hAnsi="Times New Roman"/>
                    <w:b/>
                    <w:bCs/>
                    <w:sz w:val="14"/>
                    <w:szCs w:val="14"/>
                    <w:lang w:eastAsia="es-CO"/>
                  </w:rPr>
                  <w:t>%</w:t>
                </w:r>
              </w:p>
            </w:tc>
            <w:tc>
              <w:tcPr>
                <w:tcW w:w="0" w:type="auto"/>
                <w:tcBorders>
                  <w:top w:val="single" w:sz="4" w:space="0" w:color="A6A6A6"/>
                  <w:left w:val="nil"/>
                  <w:bottom w:val="single" w:sz="4" w:space="0" w:color="A6A6A6"/>
                  <w:right w:val="single" w:sz="4" w:space="0" w:color="A6A6A6"/>
                </w:tcBorders>
                <w:shd w:val="clear" w:color="auto" w:fill="auto"/>
                <w:textDirection w:val="btLr"/>
                <w:vAlign w:val="center"/>
                <w:hideMark/>
              </w:tcPr>
              <w:p w14:paraId="24BF4697" w14:textId="77777777" w:rsidR="001D6A04" w:rsidRPr="001D6A04" w:rsidRDefault="001D6A04" w:rsidP="00B91013">
                <w:pPr>
                  <w:spacing w:after="0" w:line="240" w:lineRule="auto"/>
                  <w:ind w:left="113" w:right="113"/>
                  <w:jc w:val="center"/>
                  <w:rPr>
                    <w:rFonts w:ascii="Times New Roman" w:eastAsia="Times New Roman" w:hAnsi="Times New Roman"/>
                    <w:b/>
                    <w:bCs/>
                    <w:sz w:val="14"/>
                    <w:szCs w:val="14"/>
                    <w:lang w:eastAsia="es-CO"/>
                  </w:rPr>
                </w:pPr>
                <w:r w:rsidRPr="001D6A04">
                  <w:rPr>
                    <w:rFonts w:ascii="Times New Roman" w:eastAsia="Times New Roman" w:hAnsi="Times New Roman"/>
                    <w:b/>
                    <w:bCs/>
                    <w:sz w:val="14"/>
                    <w:szCs w:val="14"/>
                    <w:lang w:eastAsia="es-CO"/>
                  </w:rPr>
                  <w:t>SALDO DESPUÉS DE DETERIORO</w:t>
                </w:r>
              </w:p>
            </w:tc>
          </w:tr>
          <w:tr w:rsidR="001D6A04" w:rsidRPr="001D6A04" w14:paraId="02FA20E7" w14:textId="77777777" w:rsidTr="00B91013">
            <w:trPr>
              <w:trHeight w:val="324"/>
            </w:trPr>
            <w:tc>
              <w:tcPr>
                <w:tcW w:w="0" w:type="auto"/>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00BEA2FE" w14:textId="77777777" w:rsidR="001D6A04" w:rsidRPr="001D6A04" w:rsidRDefault="001D6A04" w:rsidP="001D6A04">
                <w:pPr>
                  <w:spacing w:after="0" w:line="240" w:lineRule="auto"/>
                  <w:rPr>
                    <w:rFonts w:ascii="Times New Roman" w:eastAsia="Times New Roman" w:hAnsi="Times New Roman"/>
                    <w:b/>
                    <w:bCs/>
                    <w:sz w:val="14"/>
                    <w:szCs w:val="14"/>
                    <w:lang w:eastAsia="es-CO"/>
                  </w:rPr>
                </w:pPr>
                <w:r w:rsidRPr="001D6A04">
                  <w:rPr>
                    <w:rFonts w:ascii="Times New Roman" w:eastAsia="Times New Roman" w:hAnsi="Times New Roman"/>
                    <w:b/>
                    <w:bCs/>
                    <w:sz w:val="14"/>
                    <w:szCs w:val="14"/>
                    <w:lang w:eastAsia="es-CO"/>
                  </w:rPr>
                  <w:t>CONTRIBUCIONES TASAS E INGRESOS NO TRIBUTARIOS</w:t>
                </w:r>
              </w:p>
            </w:tc>
            <w:tc>
              <w:tcPr>
                <w:tcW w:w="0" w:type="auto"/>
                <w:tcBorders>
                  <w:top w:val="single" w:sz="4" w:space="0" w:color="A6A6A6"/>
                  <w:left w:val="nil"/>
                  <w:bottom w:val="single" w:sz="4" w:space="0" w:color="A6A6A6"/>
                  <w:right w:val="single" w:sz="4" w:space="0" w:color="A6A6A6"/>
                </w:tcBorders>
                <w:shd w:val="clear" w:color="auto" w:fill="auto"/>
                <w:noWrap/>
                <w:vAlign w:val="center"/>
                <w:hideMark/>
              </w:tcPr>
              <w:p w14:paraId="2C7FABEA" w14:textId="77777777" w:rsidR="001D6A04" w:rsidRPr="001D6A04" w:rsidRDefault="001D6A04" w:rsidP="001D6A04">
                <w:pPr>
                  <w:spacing w:after="0" w:line="240" w:lineRule="auto"/>
                  <w:jc w:val="right"/>
                  <w:rPr>
                    <w:rFonts w:ascii="Times New Roman" w:eastAsia="Times New Roman" w:hAnsi="Times New Roman"/>
                    <w:b/>
                    <w:bCs/>
                    <w:sz w:val="14"/>
                    <w:szCs w:val="14"/>
                    <w:lang w:eastAsia="es-CO"/>
                  </w:rPr>
                </w:pPr>
                <w:r w:rsidRPr="001D6A04">
                  <w:rPr>
                    <w:rFonts w:ascii="Times New Roman" w:eastAsia="Times New Roman" w:hAnsi="Times New Roman"/>
                    <w:b/>
                    <w:bCs/>
                    <w:sz w:val="14"/>
                    <w:szCs w:val="14"/>
                    <w:lang w:eastAsia="es-CO"/>
                  </w:rPr>
                  <w:t>18.740.060.032</w:t>
                </w:r>
              </w:p>
            </w:tc>
            <w:tc>
              <w:tcPr>
                <w:tcW w:w="0" w:type="auto"/>
                <w:tcBorders>
                  <w:top w:val="single" w:sz="4" w:space="0" w:color="A6A6A6"/>
                  <w:left w:val="nil"/>
                  <w:bottom w:val="single" w:sz="4" w:space="0" w:color="A6A6A6"/>
                  <w:right w:val="single" w:sz="4" w:space="0" w:color="A6A6A6"/>
                </w:tcBorders>
                <w:shd w:val="clear" w:color="auto" w:fill="auto"/>
                <w:noWrap/>
                <w:vAlign w:val="center"/>
                <w:hideMark/>
              </w:tcPr>
              <w:p w14:paraId="38F2E7FB" w14:textId="77777777" w:rsidR="001D6A04" w:rsidRPr="001D6A04" w:rsidRDefault="001D6A04" w:rsidP="001D6A04">
                <w:pPr>
                  <w:spacing w:after="0" w:line="240" w:lineRule="auto"/>
                  <w:jc w:val="right"/>
                  <w:rPr>
                    <w:rFonts w:ascii="Times New Roman" w:eastAsia="Times New Roman" w:hAnsi="Times New Roman"/>
                    <w:b/>
                    <w:bCs/>
                    <w:sz w:val="14"/>
                    <w:szCs w:val="14"/>
                    <w:lang w:eastAsia="es-CO"/>
                  </w:rPr>
                </w:pPr>
                <w:r w:rsidRPr="001D6A04">
                  <w:rPr>
                    <w:rFonts w:ascii="Times New Roman" w:eastAsia="Times New Roman" w:hAnsi="Times New Roman"/>
                    <w:b/>
                    <w:bCs/>
                    <w:sz w:val="14"/>
                    <w:szCs w:val="14"/>
                    <w:lang w:eastAsia="es-CO"/>
                  </w:rPr>
                  <w:t>67.633.306.359</w:t>
                </w:r>
              </w:p>
            </w:tc>
            <w:tc>
              <w:tcPr>
                <w:tcW w:w="0" w:type="auto"/>
                <w:tcBorders>
                  <w:top w:val="single" w:sz="4" w:space="0" w:color="A6A6A6"/>
                  <w:left w:val="nil"/>
                  <w:bottom w:val="single" w:sz="4" w:space="0" w:color="A6A6A6"/>
                  <w:right w:val="single" w:sz="4" w:space="0" w:color="A6A6A6"/>
                </w:tcBorders>
                <w:shd w:val="clear" w:color="auto" w:fill="auto"/>
                <w:noWrap/>
                <w:vAlign w:val="center"/>
                <w:hideMark/>
              </w:tcPr>
              <w:p w14:paraId="59BA6176" w14:textId="77777777" w:rsidR="001D6A04" w:rsidRPr="001D6A04" w:rsidRDefault="001D6A04" w:rsidP="001D6A04">
                <w:pPr>
                  <w:spacing w:after="0" w:line="240" w:lineRule="auto"/>
                  <w:jc w:val="right"/>
                  <w:rPr>
                    <w:rFonts w:ascii="Times New Roman" w:eastAsia="Times New Roman" w:hAnsi="Times New Roman"/>
                    <w:b/>
                    <w:bCs/>
                    <w:sz w:val="14"/>
                    <w:szCs w:val="14"/>
                    <w:lang w:eastAsia="es-CO"/>
                  </w:rPr>
                </w:pPr>
                <w:r w:rsidRPr="001D6A04">
                  <w:rPr>
                    <w:rFonts w:ascii="Times New Roman" w:eastAsia="Times New Roman" w:hAnsi="Times New Roman"/>
                    <w:b/>
                    <w:bCs/>
                    <w:sz w:val="14"/>
                    <w:szCs w:val="14"/>
                    <w:lang w:eastAsia="es-CO"/>
                  </w:rPr>
                  <w:t>86.373.366.391</w:t>
                </w:r>
              </w:p>
            </w:tc>
            <w:tc>
              <w:tcPr>
                <w:tcW w:w="0" w:type="auto"/>
                <w:tcBorders>
                  <w:top w:val="single" w:sz="4" w:space="0" w:color="A6A6A6"/>
                  <w:left w:val="nil"/>
                  <w:bottom w:val="single" w:sz="4" w:space="0" w:color="A6A6A6"/>
                  <w:right w:val="single" w:sz="4" w:space="0" w:color="A6A6A6"/>
                </w:tcBorders>
                <w:shd w:val="clear" w:color="auto" w:fill="auto"/>
                <w:noWrap/>
                <w:vAlign w:val="center"/>
                <w:hideMark/>
              </w:tcPr>
              <w:p w14:paraId="5E39C2C8" w14:textId="77777777" w:rsidR="001D6A04" w:rsidRPr="001D6A04" w:rsidRDefault="001D6A04" w:rsidP="001D6A04">
                <w:pPr>
                  <w:spacing w:after="0" w:line="240" w:lineRule="auto"/>
                  <w:jc w:val="right"/>
                  <w:rPr>
                    <w:rFonts w:ascii="Times New Roman" w:eastAsia="Times New Roman" w:hAnsi="Times New Roman"/>
                    <w:b/>
                    <w:bCs/>
                    <w:sz w:val="14"/>
                    <w:szCs w:val="14"/>
                    <w:lang w:eastAsia="es-CO"/>
                  </w:rPr>
                </w:pPr>
                <w:r w:rsidRPr="001D6A04">
                  <w:rPr>
                    <w:rFonts w:ascii="Times New Roman" w:eastAsia="Times New Roman" w:hAnsi="Times New Roman"/>
                    <w:b/>
                    <w:bCs/>
                    <w:sz w:val="14"/>
                    <w:szCs w:val="14"/>
                    <w:lang w:eastAsia="es-CO"/>
                  </w:rPr>
                  <w:t>0</w:t>
                </w:r>
              </w:p>
            </w:tc>
            <w:tc>
              <w:tcPr>
                <w:tcW w:w="0" w:type="auto"/>
                <w:tcBorders>
                  <w:top w:val="single" w:sz="4" w:space="0" w:color="A6A6A6"/>
                  <w:left w:val="nil"/>
                  <w:bottom w:val="single" w:sz="4" w:space="0" w:color="A6A6A6"/>
                  <w:right w:val="single" w:sz="4" w:space="0" w:color="A6A6A6"/>
                </w:tcBorders>
                <w:shd w:val="clear" w:color="auto" w:fill="auto"/>
                <w:noWrap/>
                <w:vAlign w:val="center"/>
                <w:hideMark/>
              </w:tcPr>
              <w:p w14:paraId="68F26778" w14:textId="77777777" w:rsidR="001D6A04" w:rsidRPr="001D6A04" w:rsidRDefault="001D6A04" w:rsidP="001D6A04">
                <w:pPr>
                  <w:spacing w:after="0" w:line="240" w:lineRule="auto"/>
                  <w:jc w:val="right"/>
                  <w:rPr>
                    <w:rFonts w:ascii="Times New Roman" w:eastAsia="Times New Roman" w:hAnsi="Times New Roman"/>
                    <w:b/>
                    <w:bCs/>
                    <w:sz w:val="14"/>
                    <w:szCs w:val="14"/>
                    <w:lang w:eastAsia="es-CO"/>
                  </w:rPr>
                </w:pPr>
                <w:r w:rsidRPr="001D6A04">
                  <w:rPr>
                    <w:rFonts w:ascii="Times New Roman" w:eastAsia="Times New Roman" w:hAnsi="Times New Roman"/>
                    <w:b/>
                    <w:bCs/>
                    <w:sz w:val="14"/>
                    <w:szCs w:val="14"/>
                    <w:lang w:eastAsia="es-CO"/>
                  </w:rPr>
                  <w:t>23.676.601.252</w:t>
                </w:r>
              </w:p>
            </w:tc>
            <w:tc>
              <w:tcPr>
                <w:tcW w:w="0" w:type="auto"/>
                <w:tcBorders>
                  <w:top w:val="single" w:sz="4" w:space="0" w:color="A6A6A6"/>
                  <w:left w:val="nil"/>
                  <w:bottom w:val="single" w:sz="4" w:space="0" w:color="A6A6A6"/>
                  <w:right w:val="single" w:sz="4" w:space="0" w:color="A6A6A6"/>
                </w:tcBorders>
                <w:shd w:val="clear" w:color="auto" w:fill="auto"/>
                <w:noWrap/>
                <w:vAlign w:val="center"/>
                <w:hideMark/>
              </w:tcPr>
              <w:p w14:paraId="36784741" w14:textId="77777777" w:rsidR="001D6A04" w:rsidRPr="001D6A04" w:rsidRDefault="001D6A04" w:rsidP="001D6A04">
                <w:pPr>
                  <w:spacing w:after="0" w:line="240" w:lineRule="auto"/>
                  <w:jc w:val="right"/>
                  <w:rPr>
                    <w:rFonts w:ascii="Times New Roman" w:eastAsia="Times New Roman" w:hAnsi="Times New Roman"/>
                    <w:b/>
                    <w:bCs/>
                    <w:sz w:val="14"/>
                    <w:szCs w:val="14"/>
                    <w:lang w:eastAsia="es-CO"/>
                  </w:rPr>
                </w:pPr>
                <w:r w:rsidRPr="001D6A04">
                  <w:rPr>
                    <w:rFonts w:ascii="Times New Roman" w:eastAsia="Times New Roman" w:hAnsi="Times New Roman"/>
                    <w:b/>
                    <w:bCs/>
                    <w:sz w:val="14"/>
                    <w:szCs w:val="14"/>
                    <w:lang w:eastAsia="es-CO"/>
                  </w:rPr>
                  <w:t>3.674.636</w:t>
                </w:r>
              </w:p>
            </w:tc>
            <w:tc>
              <w:tcPr>
                <w:tcW w:w="0" w:type="auto"/>
                <w:tcBorders>
                  <w:top w:val="single" w:sz="4" w:space="0" w:color="A6A6A6"/>
                  <w:left w:val="nil"/>
                  <w:bottom w:val="single" w:sz="4" w:space="0" w:color="A6A6A6"/>
                  <w:right w:val="single" w:sz="4" w:space="0" w:color="A6A6A6"/>
                </w:tcBorders>
                <w:shd w:val="clear" w:color="auto" w:fill="auto"/>
                <w:noWrap/>
                <w:vAlign w:val="center"/>
                <w:hideMark/>
              </w:tcPr>
              <w:p w14:paraId="3F52483A" w14:textId="77777777" w:rsidR="001D6A04" w:rsidRPr="001D6A04" w:rsidRDefault="001D6A04" w:rsidP="001D6A04">
                <w:pPr>
                  <w:spacing w:after="0" w:line="240" w:lineRule="auto"/>
                  <w:jc w:val="right"/>
                  <w:rPr>
                    <w:rFonts w:ascii="Times New Roman" w:eastAsia="Times New Roman" w:hAnsi="Times New Roman"/>
                    <w:b/>
                    <w:bCs/>
                    <w:sz w:val="14"/>
                    <w:szCs w:val="14"/>
                    <w:lang w:eastAsia="es-CO"/>
                  </w:rPr>
                </w:pPr>
                <w:r w:rsidRPr="001D6A04">
                  <w:rPr>
                    <w:rFonts w:ascii="Times New Roman" w:eastAsia="Times New Roman" w:hAnsi="Times New Roman"/>
                    <w:b/>
                    <w:bCs/>
                    <w:sz w:val="14"/>
                    <w:szCs w:val="14"/>
                    <w:lang w:eastAsia="es-CO"/>
                  </w:rPr>
                  <w:t>23.672.926.616</w:t>
                </w:r>
              </w:p>
            </w:tc>
            <w:tc>
              <w:tcPr>
                <w:tcW w:w="0" w:type="auto"/>
                <w:tcBorders>
                  <w:top w:val="single" w:sz="4" w:space="0" w:color="A6A6A6"/>
                  <w:left w:val="nil"/>
                  <w:bottom w:val="single" w:sz="4" w:space="0" w:color="A6A6A6"/>
                  <w:right w:val="single" w:sz="4" w:space="0" w:color="A6A6A6"/>
                </w:tcBorders>
                <w:shd w:val="clear" w:color="auto" w:fill="auto"/>
                <w:noWrap/>
                <w:vAlign w:val="center"/>
                <w:hideMark/>
              </w:tcPr>
              <w:p w14:paraId="52A9BB13" w14:textId="77777777" w:rsidR="001D6A04" w:rsidRPr="001D6A04" w:rsidRDefault="001D6A04" w:rsidP="001D6A04">
                <w:pPr>
                  <w:spacing w:after="0" w:line="240" w:lineRule="auto"/>
                  <w:jc w:val="center"/>
                  <w:rPr>
                    <w:rFonts w:ascii="Times New Roman" w:eastAsia="Times New Roman" w:hAnsi="Times New Roman"/>
                    <w:b/>
                    <w:bCs/>
                    <w:sz w:val="14"/>
                    <w:szCs w:val="14"/>
                    <w:lang w:eastAsia="es-CO"/>
                  </w:rPr>
                </w:pPr>
                <w:r w:rsidRPr="001D6A04">
                  <w:rPr>
                    <w:rFonts w:ascii="Times New Roman" w:eastAsia="Times New Roman" w:hAnsi="Times New Roman"/>
                    <w:b/>
                    <w:bCs/>
                    <w:sz w:val="14"/>
                    <w:szCs w:val="14"/>
                    <w:lang w:eastAsia="es-CO"/>
                  </w:rPr>
                  <w:t xml:space="preserve">27,4 </w:t>
                </w:r>
              </w:p>
            </w:tc>
            <w:tc>
              <w:tcPr>
                <w:tcW w:w="0" w:type="auto"/>
                <w:tcBorders>
                  <w:top w:val="single" w:sz="4" w:space="0" w:color="A6A6A6"/>
                  <w:left w:val="nil"/>
                  <w:bottom w:val="single" w:sz="4" w:space="0" w:color="A6A6A6"/>
                  <w:right w:val="single" w:sz="4" w:space="0" w:color="A6A6A6"/>
                </w:tcBorders>
                <w:shd w:val="clear" w:color="auto" w:fill="auto"/>
                <w:noWrap/>
                <w:vAlign w:val="center"/>
                <w:hideMark/>
              </w:tcPr>
              <w:p w14:paraId="547AB838" w14:textId="7F5C73E2" w:rsidR="001D6A04" w:rsidRPr="001D6A04" w:rsidRDefault="001D6A04" w:rsidP="001D6A04">
                <w:pPr>
                  <w:spacing w:after="0" w:line="240" w:lineRule="auto"/>
                  <w:jc w:val="right"/>
                  <w:rPr>
                    <w:rFonts w:ascii="Times New Roman" w:eastAsia="Times New Roman" w:hAnsi="Times New Roman"/>
                    <w:b/>
                    <w:bCs/>
                    <w:sz w:val="14"/>
                    <w:szCs w:val="14"/>
                    <w:lang w:eastAsia="es-CO"/>
                  </w:rPr>
                </w:pPr>
                <w:r w:rsidRPr="001D6A04">
                  <w:rPr>
                    <w:rFonts w:ascii="Times New Roman" w:eastAsia="Times New Roman" w:hAnsi="Times New Roman"/>
                    <w:b/>
                    <w:bCs/>
                    <w:sz w:val="14"/>
                    <w:szCs w:val="14"/>
                    <w:lang w:eastAsia="es-CO"/>
                  </w:rPr>
                  <w:t xml:space="preserve">62.700.439.775 </w:t>
                </w:r>
              </w:p>
            </w:tc>
          </w:tr>
          <w:tr w:rsidR="001D6A04" w:rsidRPr="001D6A04" w14:paraId="205D2CD1" w14:textId="77777777" w:rsidTr="00941266">
            <w:trPr>
              <w:trHeight w:val="341"/>
            </w:trPr>
            <w:tc>
              <w:tcPr>
                <w:tcW w:w="0" w:type="auto"/>
                <w:tcBorders>
                  <w:top w:val="nil"/>
                  <w:left w:val="single" w:sz="4" w:space="0" w:color="A6A6A6"/>
                  <w:bottom w:val="single" w:sz="4" w:space="0" w:color="A6A6A6"/>
                  <w:right w:val="single" w:sz="4" w:space="0" w:color="A6A6A6"/>
                </w:tcBorders>
                <w:shd w:val="clear" w:color="auto" w:fill="auto"/>
                <w:vAlign w:val="center"/>
                <w:hideMark/>
              </w:tcPr>
              <w:p w14:paraId="50CCE840" w14:textId="77777777" w:rsidR="001D6A04" w:rsidRPr="001D6A04" w:rsidRDefault="001D6A04" w:rsidP="001D6A04">
                <w:pPr>
                  <w:spacing w:after="0" w:line="240" w:lineRule="auto"/>
                  <w:rPr>
                    <w:rFonts w:ascii="Times New Roman" w:eastAsia="Times New Roman" w:hAnsi="Times New Roman"/>
                    <w:sz w:val="14"/>
                    <w:szCs w:val="14"/>
                    <w:lang w:eastAsia="es-CO"/>
                  </w:rPr>
                </w:pPr>
                <w:r w:rsidRPr="001D6A04">
                  <w:rPr>
                    <w:rFonts w:ascii="Times New Roman" w:eastAsia="Times New Roman" w:hAnsi="Times New Roman"/>
                    <w:sz w:val="14"/>
                    <w:szCs w:val="14"/>
                    <w:lang w:eastAsia="es-CO"/>
                  </w:rPr>
                  <w:t>Multas</w:t>
                </w:r>
              </w:p>
            </w:tc>
            <w:tc>
              <w:tcPr>
                <w:tcW w:w="0" w:type="auto"/>
                <w:tcBorders>
                  <w:top w:val="nil"/>
                  <w:left w:val="nil"/>
                  <w:bottom w:val="single" w:sz="4" w:space="0" w:color="A6A6A6"/>
                  <w:right w:val="single" w:sz="4" w:space="0" w:color="A6A6A6"/>
                </w:tcBorders>
                <w:shd w:val="clear" w:color="auto" w:fill="auto"/>
                <w:noWrap/>
                <w:vAlign w:val="center"/>
                <w:hideMark/>
              </w:tcPr>
              <w:p w14:paraId="5FF6D124" w14:textId="77777777" w:rsidR="001D6A04" w:rsidRPr="001D6A04" w:rsidRDefault="001D6A04" w:rsidP="001D6A04">
                <w:pPr>
                  <w:spacing w:after="0" w:line="240" w:lineRule="auto"/>
                  <w:jc w:val="right"/>
                  <w:rPr>
                    <w:rFonts w:ascii="Times New Roman" w:eastAsia="Times New Roman" w:hAnsi="Times New Roman"/>
                    <w:sz w:val="14"/>
                    <w:szCs w:val="14"/>
                    <w:lang w:eastAsia="es-CO"/>
                  </w:rPr>
                </w:pPr>
                <w:r w:rsidRPr="001D6A04">
                  <w:rPr>
                    <w:rFonts w:ascii="Times New Roman" w:eastAsia="Times New Roman" w:hAnsi="Times New Roman"/>
                    <w:sz w:val="14"/>
                    <w:szCs w:val="14"/>
                    <w:lang w:eastAsia="es-CO"/>
                  </w:rPr>
                  <w:t>2.864.775.603</w:t>
                </w:r>
              </w:p>
            </w:tc>
            <w:tc>
              <w:tcPr>
                <w:tcW w:w="0" w:type="auto"/>
                <w:tcBorders>
                  <w:top w:val="nil"/>
                  <w:left w:val="nil"/>
                  <w:bottom w:val="single" w:sz="4" w:space="0" w:color="A6A6A6"/>
                  <w:right w:val="single" w:sz="4" w:space="0" w:color="A6A6A6"/>
                </w:tcBorders>
                <w:shd w:val="clear" w:color="auto" w:fill="auto"/>
                <w:noWrap/>
                <w:vAlign w:val="center"/>
                <w:hideMark/>
              </w:tcPr>
              <w:p w14:paraId="1AC24685" w14:textId="77777777" w:rsidR="001D6A04" w:rsidRPr="001D6A04" w:rsidRDefault="001D6A04" w:rsidP="001D6A04">
                <w:pPr>
                  <w:spacing w:after="0" w:line="240" w:lineRule="auto"/>
                  <w:jc w:val="right"/>
                  <w:rPr>
                    <w:rFonts w:ascii="Times New Roman" w:eastAsia="Times New Roman" w:hAnsi="Times New Roman"/>
                    <w:sz w:val="14"/>
                    <w:szCs w:val="14"/>
                    <w:lang w:eastAsia="es-CO"/>
                  </w:rPr>
                </w:pPr>
                <w:r w:rsidRPr="001D6A04">
                  <w:rPr>
                    <w:rFonts w:ascii="Times New Roman" w:eastAsia="Times New Roman" w:hAnsi="Times New Roman"/>
                    <w:sz w:val="14"/>
                    <w:szCs w:val="14"/>
                    <w:lang w:eastAsia="es-CO"/>
                  </w:rPr>
                  <w:t>67.633.306.359</w:t>
                </w:r>
              </w:p>
            </w:tc>
            <w:tc>
              <w:tcPr>
                <w:tcW w:w="0" w:type="auto"/>
                <w:tcBorders>
                  <w:top w:val="nil"/>
                  <w:left w:val="nil"/>
                  <w:bottom w:val="single" w:sz="4" w:space="0" w:color="A6A6A6"/>
                  <w:right w:val="single" w:sz="4" w:space="0" w:color="A6A6A6"/>
                </w:tcBorders>
                <w:shd w:val="clear" w:color="auto" w:fill="auto"/>
                <w:noWrap/>
                <w:vAlign w:val="center"/>
                <w:hideMark/>
              </w:tcPr>
              <w:p w14:paraId="2A181A22" w14:textId="77777777" w:rsidR="001D6A04" w:rsidRPr="001D6A04" w:rsidRDefault="001D6A04" w:rsidP="001D6A04">
                <w:pPr>
                  <w:spacing w:after="0" w:line="240" w:lineRule="auto"/>
                  <w:jc w:val="right"/>
                  <w:rPr>
                    <w:rFonts w:ascii="Times New Roman" w:eastAsia="Times New Roman" w:hAnsi="Times New Roman"/>
                    <w:sz w:val="14"/>
                    <w:szCs w:val="14"/>
                    <w:lang w:eastAsia="es-CO"/>
                  </w:rPr>
                </w:pPr>
                <w:r w:rsidRPr="001D6A04">
                  <w:rPr>
                    <w:rFonts w:ascii="Times New Roman" w:eastAsia="Times New Roman" w:hAnsi="Times New Roman"/>
                    <w:sz w:val="14"/>
                    <w:szCs w:val="14"/>
                    <w:lang w:eastAsia="es-CO"/>
                  </w:rPr>
                  <w:t>70.498.081.962</w:t>
                </w:r>
              </w:p>
            </w:tc>
            <w:tc>
              <w:tcPr>
                <w:tcW w:w="0" w:type="auto"/>
                <w:tcBorders>
                  <w:top w:val="nil"/>
                  <w:left w:val="nil"/>
                  <w:bottom w:val="single" w:sz="4" w:space="0" w:color="A6A6A6"/>
                  <w:right w:val="single" w:sz="4" w:space="0" w:color="A6A6A6"/>
                </w:tcBorders>
                <w:shd w:val="clear" w:color="auto" w:fill="auto"/>
                <w:noWrap/>
                <w:vAlign w:val="center"/>
                <w:hideMark/>
              </w:tcPr>
              <w:p w14:paraId="79AF5E91" w14:textId="77777777" w:rsidR="001D6A04" w:rsidRPr="001D6A04" w:rsidRDefault="001D6A04" w:rsidP="001D6A04">
                <w:pPr>
                  <w:spacing w:after="0" w:line="240" w:lineRule="auto"/>
                  <w:jc w:val="right"/>
                  <w:rPr>
                    <w:rFonts w:ascii="Times New Roman" w:eastAsia="Times New Roman" w:hAnsi="Times New Roman"/>
                    <w:sz w:val="14"/>
                    <w:szCs w:val="14"/>
                    <w:lang w:eastAsia="es-CO"/>
                  </w:rPr>
                </w:pPr>
                <w:r w:rsidRPr="001D6A04">
                  <w:rPr>
                    <w:rFonts w:ascii="Times New Roman" w:eastAsia="Times New Roman" w:hAnsi="Times New Roman"/>
                    <w:sz w:val="14"/>
                    <w:szCs w:val="14"/>
                    <w:lang w:eastAsia="es-CO"/>
                  </w:rPr>
                  <w:t>0</w:t>
                </w:r>
              </w:p>
            </w:tc>
            <w:tc>
              <w:tcPr>
                <w:tcW w:w="0" w:type="auto"/>
                <w:tcBorders>
                  <w:top w:val="nil"/>
                  <w:left w:val="nil"/>
                  <w:bottom w:val="single" w:sz="4" w:space="0" w:color="A6A6A6"/>
                  <w:right w:val="single" w:sz="4" w:space="0" w:color="A6A6A6"/>
                </w:tcBorders>
                <w:shd w:val="clear" w:color="auto" w:fill="auto"/>
                <w:noWrap/>
                <w:vAlign w:val="center"/>
                <w:hideMark/>
              </w:tcPr>
              <w:p w14:paraId="57CBE72C" w14:textId="77777777" w:rsidR="001D6A04" w:rsidRPr="001D6A04" w:rsidRDefault="001D6A04" w:rsidP="001D6A04">
                <w:pPr>
                  <w:spacing w:after="0" w:line="240" w:lineRule="auto"/>
                  <w:jc w:val="right"/>
                  <w:rPr>
                    <w:rFonts w:ascii="Times New Roman" w:eastAsia="Times New Roman" w:hAnsi="Times New Roman"/>
                    <w:sz w:val="14"/>
                    <w:szCs w:val="14"/>
                    <w:lang w:eastAsia="es-CO"/>
                  </w:rPr>
                </w:pPr>
                <w:r w:rsidRPr="001D6A04">
                  <w:rPr>
                    <w:rFonts w:ascii="Times New Roman" w:eastAsia="Times New Roman" w:hAnsi="Times New Roman"/>
                    <w:sz w:val="14"/>
                    <w:szCs w:val="14"/>
                    <w:lang w:eastAsia="es-CO"/>
                  </w:rPr>
                  <w:t>23.676.601.252</w:t>
                </w:r>
              </w:p>
            </w:tc>
            <w:tc>
              <w:tcPr>
                <w:tcW w:w="0" w:type="auto"/>
                <w:tcBorders>
                  <w:top w:val="nil"/>
                  <w:left w:val="nil"/>
                  <w:bottom w:val="single" w:sz="4" w:space="0" w:color="A6A6A6"/>
                  <w:right w:val="single" w:sz="4" w:space="0" w:color="A6A6A6"/>
                </w:tcBorders>
                <w:shd w:val="clear" w:color="auto" w:fill="auto"/>
                <w:noWrap/>
                <w:vAlign w:val="center"/>
                <w:hideMark/>
              </w:tcPr>
              <w:p w14:paraId="44705E9F" w14:textId="77777777" w:rsidR="001D6A04" w:rsidRPr="001D6A04" w:rsidRDefault="001D6A04" w:rsidP="001D6A04">
                <w:pPr>
                  <w:spacing w:after="0" w:line="240" w:lineRule="auto"/>
                  <w:jc w:val="right"/>
                  <w:rPr>
                    <w:rFonts w:ascii="Times New Roman" w:eastAsia="Times New Roman" w:hAnsi="Times New Roman"/>
                    <w:sz w:val="14"/>
                    <w:szCs w:val="14"/>
                    <w:lang w:eastAsia="es-CO"/>
                  </w:rPr>
                </w:pPr>
                <w:r w:rsidRPr="001D6A04">
                  <w:rPr>
                    <w:rFonts w:ascii="Times New Roman" w:eastAsia="Times New Roman" w:hAnsi="Times New Roman"/>
                    <w:sz w:val="14"/>
                    <w:szCs w:val="14"/>
                    <w:lang w:eastAsia="es-CO"/>
                  </w:rPr>
                  <w:t>3.674.636</w:t>
                </w:r>
              </w:p>
            </w:tc>
            <w:tc>
              <w:tcPr>
                <w:tcW w:w="0" w:type="auto"/>
                <w:tcBorders>
                  <w:top w:val="nil"/>
                  <w:left w:val="nil"/>
                  <w:bottom w:val="single" w:sz="4" w:space="0" w:color="A6A6A6"/>
                  <w:right w:val="single" w:sz="4" w:space="0" w:color="A6A6A6"/>
                </w:tcBorders>
                <w:shd w:val="clear" w:color="auto" w:fill="auto"/>
                <w:noWrap/>
                <w:vAlign w:val="center"/>
                <w:hideMark/>
              </w:tcPr>
              <w:p w14:paraId="25EAD939" w14:textId="77777777" w:rsidR="001D6A04" w:rsidRPr="001D6A04" w:rsidRDefault="001D6A04" w:rsidP="001D6A04">
                <w:pPr>
                  <w:spacing w:after="0" w:line="240" w:lineRule="auto"/>
                  <w:jc w:val="right"/>
                  <w:rPr>
                    <w:rFonts w:ascii="Times New Roman" w:eastAsia="Times New Roman" w:hAnsi="Times New Roman"/>
                    <w:sz w:val="14"/>
                    <w:szCs w:val="14"/>
                    <w:lang w:eastAsia="es-CO"/>
                  </w:rPr>
                </w:pPr>
                <w:r w:rsidRPr="001D6A04">
                  <w:rPr>
                    <w:rFonts w:ascii="Times New Roman" w:eastAsia="Times New Roman" w:hAnsi="Times New Roman"/>
                    <w:sz w:val="14"/>
                    <w:szCs w:val="14"/>
                    <w:lang w:eastAsia="es-CO"/>
                  </w:rPr>
                  <w:t>23.672.926.616</w:t>
                </w:r>
              </w:p>
            </w:tc>
            <w:tc>
              <w:tcPr>
                <w:tcW w:w="0" w:type="auto"/>
                <w:tcBorders>
                  <w:top w:val="nil"/>
                  <w:left w:val="nil"/>
                  <w:bottom w:val="single" w:sz="4" w:space="0" w:color="A6A6A6"/>
                  <w:right w:val="single" w:sz="4" w:space="0" w:color="A6A6A6"/>
                </w:tcBorders>
                <w:shd w:val="clear" w:color="auto" w:fill="auto"/>
                <w:noWrap/>
                <w:vAlign w:val="center"/>
                <w:hideMark/>
              </w:tcPr>
              <w:p w14:paraId="3D9C22EB" w14:textId="77777777" w:rsidR="001D6A04" w:rsidRPr="001D6A04" w:rsidRDefault="001D6A04" w:rsidP="001D6A04">
                <w:pPr>
                  <w:spacing w:after="0" w:line="240" w:lineRule="auto"/>
                  <w:jc w:val="center"/>
                  <w:rPr>
                    <w:rFonts w:ascii="Times New Roman" w:eastAsia="Times New Roman" w:hAnsi="Times New Roman"/>
                    <w:sz w:val="14"/>
                    <w:szCs w:val="14"/>
                    <w:lang w:eastAsia="es-CO"/>
                  </w:rPr>
                </w:pPr>
                <w:r w:rsidRPr="001D6A04">
                  <w:rPr>
                    <w:rFonts w:ascii="Times New Roman" w:eastAsia="Times New Roman" w:hAnsi="Times New Roman"/>
                    <w:sz w:val="14"/>
                    <w:szCs w:val="14"/>
                    <w:lang w:eastAsia="es-CO"/>
                  </w:rPr>
                  <w:t xml:space="preserve">33,6 </w:t>
                </w:r>
              </w:p>
            </w:tc>
            <w:tc>
              <w:tcPr>
                <w:tcW w:w="0" w:type="auto"/>
                <w:tcBorders>
                  <w:top w:val="nil"/>
                  <w:left w:val="nil"/>
                  <w:bottom w:val="single" w:sz="4" w:space="0" w:color="A6A6A6"/>
                  <w:right w:val="single" w:sz="4" w:space="0" w:color="A6A6A6"/>
                </w:tcBorders>
                <w:shd w:val="clear" w:color="auto" w:fill="auto"/>
                <w:noWrap/>
                <w:vAlign w:val="center"/>
                <w:hideMark/>
              </w:tcPr>
              <w:p w14:paraId="29F46897" w14:textId="7B93AA0C" w:rsidR="001D6A04" w:rsidRPr="001D6A04" w:rsidRDefault="001D6A04" w:rsidP="001D6A04">
                <w:pPr>
                  <w:spacing w:after="0" w:line="240" w:lineRule="auto"/>
                  <w:jc w:val="right"/>
                  <w:rPr>
                    <w:rFonts w:ascii="Times New Roman" w:eastAsia="Times New Roman" w:hAnsi="Times New Roman"/>
                    <w:sz w:val="14"/>
                    <w:szCs w:val="14"/>
                    <w:lang w:eastAsia="es-CO"/>
                  </w:rPr>
                </w:pPr>
                <w:r w:rsidRPr="001D6A04">
                  <w:rPr>
                    <w:rFonts w:ascii="Times New Roman" w:eastAsia="Times New Roman" w:hAnsi="Times New Roman"/>
                    <w:sz w:val="14"/>
                    <w:szCs w:val="14"/>
                    <w:lang w:eastAsia="es-CO"/>
                  </w:rPr>
                  <w:t xml:space="preserve">46.825.155.346 </w:t>
                </w:r>
              </w:p>
            </w:tc>
          </w:tr>
          <w:tr w:rsidR="001D6A04" w:rsidRPr="001D6A04" w14:paraId="23CD8C41" w14:textId="77777777" w:rsidTr="00941266">
            <w:trPr>
              <w:trHeight w:val="341"/>
            </w:trPr>
            <w:tc>
              <w:tcPr>
                <w:tcW w:w="0" w:type="auto"/>
                <w:tcBorders>
                  <w:top w:val="nil"/>
                  <w:left w:val="single" w:sz="4" w:space="0" w:color="A6A6A6"/>
                  <w:bottom w:val="single" w:sz="4" w:space="0" w:color="A6A6A6"/>
                  <w:right w:val="single" w:sz="4" w:space="0" w:color="A6A6A6"/>
                </w:tcBorders>
                <w:shd w:val="clear" w:color="auto" w:fill="auto"/>
                <w:vAlign w:val="center"/>
                <w:hideMark/>
              </w:tcPr>
              <w:p w14:paraId="318D1E1A" w14:textId="77777777" w:rsidR="001D6A04" w:rsidRPr="001D6A04" w:rsidRDefault="001D6A04" w:rsidP="001D6A04">
                <w:pPr>
                  <w:spacing w:after="0" w:line="240" w:lineRule="auto"/>
                  <w:rPr>
                    <w:rFonts w:ascii="Times New Roman" w:eastAsia="Times New Roman" w:hAnsi="Times New Roman"/>
                    <w:sz w:val="14"/>
                    <w:szCs w:val="14"/>
                    <w:lang w:eastAsia="es-CO"/>
                  </w:rPr>
                </w:pPr>
                <w:r w:rsidRPr="001D6A04">
                  <w:rPr>
                    <w:rFonts w:ascii="Times New Roman" w:eastAsia="Times New Roman" w:hAnsi="Times New Roman"/>
                    <w:sz w:val="14"/>
                    <w:szCs w:val="14"/>
                    <w:lang w:eastAsia="es-CO"/>
                  </w:rPr>
                  <w:t>Derechos de tránsito</w:t>
                </w:r>
              </w:p>
            </w:tc>
            <w:tc>
              <w:tcPr>
                <w:tcW w:w="0" w:type="auto"/>
                <w:tcBorders>
                  <w:top w:val="nil"/>
                  <w:left w:val="nil"/>
                  <w:bottom w:val="single" w:sz="4" w:space="0" w:color="A6A6A6"/>
                  <w:right w:val="single" w:sz="4" w:space="0" w:color="A6A6A6"/>
                </w:tcBorders>
                <w:shd w:val="clear" w:color="auto" w:fill="auto"/>
                <w:noWrap/>
                <w:vAlign w:val="center"/>
                <w:hideMark/>
              </w:tcPr>
              <w:p w14:paraId="0DC88C90" w14:textId="77777777" w:rsidR="001D6A04" w:rsidRPr="001D6A04" w:rsidRDefault="001D6A04" w:rsidP="001D6A04">
                <w:pPr>
                  <w:spacing w:after="0" w:line="240" w:lineRule="auto"/>
                  <w:jc w:val="right"/>
                  <w:rPr>
                    <w:rFonts w:ascii="Times New Roman" w:eastAsia="Times New Roman" w:hAnsi="Times New Roman"/>
                    <w:sz w:val="14"/>
                    <w:szCs w:val="14"/>
                    <w:lang w:eastAsia="es-CO"/>
                  </w:rPr>
                </w:pPr>
                <w:r w:rsidRPr="001D6A04">
                  <w:rPr>
                    <w:rFonts w:ascii="Times New Roman" w:eastAsia="Times New Roman" w:hAnsi="Times New Roman"/>
                    <w:sz w:val="14"/>
                    <w:szCs w:val="14"/>
                    <w:lang w:eastAsia="es-CO"/>
                  </w:rPr>
                  <w:t>15.875.284.429</w:t>
                </w:r>
              </w:p>
            </w:tc>
            <w:tc>
              <w:tcPr>
                <w:tcW w:w="0" w:type="auto"/>
                <w:tcBorders>
                  <w:top w:val="nil"/>
                  <w:left w:val="nil"/>
                  <w:bottom w:val="single" w:sz="4" w:space="0" w:color="A6A6A6"/>
                  <w:right w:val="single" w:sz="4" w:space="0" w:color="A6A6A6"/>
                </w:tcBorders>
                <w:shd w:val="clear" w:color="auto" w:fill="auto"/>
                <w:noWrap/>
                <w:vAlign w:val="center"/>
                <w:hideMark/>
              </w:tcPr>
              <w:p w14:paraId="61C51DDE" w14:textId="77777777" w:rsidR="001D6A04" w:rsidRPr="001D6A04" w:rsidRDefault="001D6A04" w:rsidP="001D6A04">
                <w:pPr>
                  <w:spacing w:after="0" w:line="240" w:lineRule="auto"/>
                  <w:jc w:val="right"/>
                  <w:rPr>
                    <w:rFonts w:ascii="Times New Roman" w:eastAsia="Times New Roman" w:hAnsi="Times New Roman"/>
                    <w:sz w:val="14"/>
                    <w:szCs w:val="14"/>
                    <w:lang w:eastAsia="es-CO"/>
                  </w:rPr>
                </w:pPr>
                <w:r w:rsidRPr="001D6A04">
                  <w:rPr>
                    <w:rFonts w:ascii="Times New Roman" w:eastAsia="Times New Roman" w:hAnsi="Times New Roman"/>
                    <w:sz w:val="14"/>
                    <w:szCs w:val="14"/>
                    <w:lang w:eastAsia="es-CO"/>
                  </w:rPr>
                  <w:t>0</w:t>
                </w:r>
              </w:p>
            </w:tc>
            <w:tc>
              <w:tcPr>
                <w:tcW w:w="0" w:type="auto"/>
                <w:tcBorders>
                  <w:top w:val="nil"/>
                  <w:left w:val="nil"/>
                  <w:bottom w:val="single" w:sz="4" w:space="0" w:color="A6A6A6"/>
                  <w:right w:val="single" w:sz="4" w:space="0" w:color="A6A6A6"/>
                </w:tcBorders>
                <w:shd w:val="clear" w:color="auto" w:fill="auto"/>
                <w:noWrap/>
                <w:vAlign w:val="center"/>
                <w:hideMark/>
              </w:tcPr>
              <w:p w14:paraId="6217B845" w14:textId="77777777" w:rsidR="001D6A04" w:rsidRPr="001D6A04" w:rsidRDefault="001D6A04" w:rsidP="001D6A04">
                <w:pPr>
                  <w:spacing w:after="0" w:line="240" w:lineRule="auto"/>
                  <w:jc w:val="right"/>
                  <w:rPr>
                    <w:rFonts w:ascii="Times New Roman" w:eastAsia="Times New Roman" w:hAnsi="Times New Roman"/>
                    <w:sz w:val="14"/>
                    <w:szCs w:val="14"/>
                    <w:lang w:eastAsia="es-CO"/>
                  </w:rPr>
                </w:pPr>
                <w:r w:rsidRPr="001D6A04">
                  <w:rPr>
                    <w:rFonts w:ascii="Times New Roman" w:eastAsia="Times New Roman" w:hAnsi="Times New Roman"/>
                    <w:sz w:val="14"/>
                    <w:szCs w:val="14"/>
                    <w:lang w:eastAsia="es-CO"/>
                  </w:rPr>
                  <w:t>15.875.284.429</w:t>
                </w:r>
              </w:p>
            </w:tc>
            <w:tc>
              <w:tcPr>
                <w:tcW w:w="0" w:type="auto"/>
                <w:tcBorders>
                  <w:top w:val="nil"/>
                  <w:left w:val="nil"/>
                  <w:bottom w:val="single" w:sz="4" w:space="0" w:color="A6A6A6"/>
                  <w:right w:val="single" w:sz="4" w:space="0" w:color="A6A6A6"/>
                </w:tcBorders>
                <w:shd w:val="clear" w:color="auto" w:fill="auto"/>
                <w:noWrap/>
                <w:vAlign w:val="center"/>
                <w:hideMark/>
              </w:tcPr>
              <w:p w14:paraId="43051B1D" w14:textId="77777777" w:rsidR="001D6A04" w:rsidRPr="001D6A04" w:rsidRDefault="001D6A04" w:rsidP="001D6A04">
                <w:pPr>
                  <w:spacing w:after="0" w:line="240" w:lineRule="auto"/>
                  <w:rPr>
                    <w:rFonts w:ascii="Times New Roman" w:eastAsia="Times New Roman" w:hAnsi="Times New Roman"/>
                    <w:sz w:val="14"/>
                    <w:szCs w:val="14"/>
                    <w:lang w:eastAsia="es-CO"/>
                  </w:rPr>
                </w:pPr>
                <w:r w:rsidRPr="001D6A04">
                  <w:rPr>
                    <w:rFonts w:ascii="Times New Roman" w:eastAsia="Times New Roman" w:hAnsi="Times New Roman"/>
                    <w:sz w:val="14"/>
                    <w:szCs w:val="14"/>
                    <w:lang w:eastAsia="es-CO"/>
                  </w:rPr>
                  <w:t> </w:t>
                </w:r>
              </w:p>
            </w:tc>
            <w:tc>
              <w:tcPr>
                <w:tcW w:w="0" w:type="auto"/>
                <w:tcBorders>
                  <w:top w:val="nil"/>
                  <w:left w:val="nil"/>
                  <w:bottom w:val="single" w:sz="4" w:space="0" w:color="A6A6A6"/>
                  <w:right w:val="single" w:sz="4" w:space="0" w:color="A6A6A6"/>
                </w:tcBorders>
                <w:shd w:val="clear" w:color="auto" w:fill="auto"/>
                <w:noWrap/>
                <w:vAlign w:val="center"/>
                <w:hideMark/>
              </w:tcPr>
              <w:p w14:paraId="35EDFE87" w14:textId="77777777" w:rsidR="001D6A04" w:rsidRPr="001D6A04" w:rsidRDefault="001D6A04" w:rsidP="001D6A04">
                <w:pPr>
                  <w:spacing w:after="0" w:line="240" w:lineRule="auto"/>
                  <w:rPr>
                    <w:rFonts w:ascii="Times New Roman" w:eastAsia="Times New Roman" w:hAnsi="Times New Roman"/>
                    <w:sz w:val="14"/>
                    <w:szCs w:val="14"/>
                    <w:lang w:eastAsia="es-CO"/>
                  </w:rPr>
                </w:pPr>
                <w:r w:rsidRPr="001D6A04">
                  <w:rPr>
                    <w:rFonts w:ascii="Times New Roman" w:eastAsia="Times New Roman" w:hAnsi="Times New Roman"/>
                    <w:sz w:val="14"/>
                    <w:szCs w:val="14"/>
                    <w:lang w:eastAsia="es-CO"/>
                  </w:rPr>
                  <w:t> </w:t>
                </w:r>
              </w:p>
            </w:tc>
            <w:tc>
              <w:tcPr>
                <w:tcW w:w="0" w:type="auto"/>
                <w:tcBorders>
                  <w:top w:val="nil"/>
                  <w:left w:val="nil"/>
                  <w:bottom w:val="single" w:sz="4" w:space="0" w:color="A6A6A6"/>
                  <w:right w:val="single" w:sz="4" w:space="0" w:color="A6A6A6"/>
                </w:tcBorders>
                <w:shd w:val="clear" w:color="auto" w:fill="auto"/>
                <w:noWrap/>
                <w:vAlign w:val="center"/>
                <w:hideMark/>
              </w:tcPr>
              <w:p w14:paraId="064A5677" w14:textId="77777777" w:rsidR="001D6A04" w:rsidRPr="001D6A04" w:rsidRDefault="001D6A04" w:rsidP="001D6A04">
                <w:pPr>
                  <w:spacing w:after="0" w:line="240" w:lineRule="auto"/>
                  <w:rPr>
                    <w:rFonts w:ascii="Times New Roman" w:eastAsia="Times New Roman" w:hAnsi="Times New Roman"/>
                    <w:sz w:val="14"/>
                    <w:szCs w:val="14"/>
                    <w:lang w:eastAsia="es-CO"/>
                  </w:rPr>
                </w:pPr>
                <w:r w:rsidRPr="001D6A04">
                  <w:rPr>
                    <w:rFonts w:ascii="Times New Roman" w:eastAsia="Times New Roman" w:hAnsi="Times New Roman"/>
                    <w:sz w:val="14"/>
                    <w:szCs w:val="14"/>
                    <w:lang w:eastAsia="es-CO"/>
                  </w:rPr>
                  <w:t> </w:t>
                </w:r>
              </w:p>
            </w:tc>
            <w:tc>
              <w:tcPr>
                <w:tcW w:w="0" w:type="auto"/>
                <w:tcBorders>
                  <w:top w:val="nil"/>
                  <w:left w:val="nil"/>
                  <w:bottom w:val="single" w:sz="4" w:space="0" w:color="A6A6A6"/>
                  <w:right w:val="single" w:sz="4" w:space="0" w:color="A6A6A6"/>
                </w:tcBorders>
                <w:shd w:val="clear" w:color="auto" w:fill="auto"/>
                <w:noWrap/>
                <w:vAlign w:val="center"/>
                <w:hideMark/>
              </w:tcPr>
              <w:p w14:paraId="6CE3C967" w14:textId="77777777" w:rsidR="001D6A04" w:rsidRPr="001D6A04" w:rsidRDefault="001D6A04" w:rsidP="001D6A04">
                <w:pPr>
                  <w:spacing w:after="0" w:line="240" w:lineRule="auto"/>
                  <w:jc w:val="right"/>
                  <w:rPr>
                    <w:rFonts w:ascii="Times New Roman" w:eastAsia="Times New Roman" w:hAnsi="Times New Roman"/>
                    <w:sz w:val="14"/>
                    <w:szCs w:val="14"/>
                    <w:lang w:eastAsia="es-CO"/>
                  </w:rPr>
                </w:pPr>
                <w:r w:rsidRPr="001D6A04">
                  <w:rPr>
                    <w:rFonts w:ascii="Times New Roman" w:eastAsia="Times New Roman" w:hAnsi="Times New Roman"/>
                    <w:sz w:val="14"/>
                    <w:szCs w:val="14"/>
                    <w:lang w:eastAsia="es-CO"/>
                  </w:rPr>
                  <w:t>0</w:t>
                </w:r>
              </w:p>
            </w:tc>
            <w:tc>
              <w:tcPr>
                <w:tcW w:w="0" w:type="auto"/>
                <w:tcBorders>
                  <w:top w:val="nil"/>
                  <w:left w:val="nil"/>
                  <w:bottom w:val="single" w:sz="4" w:space="0" w:color="A6A6A6"/>
                  <w:right w:val="single" w:sz="4" w:space="0" w:color="A6A6A6"/>
                </w:tcBorders>
                <w:shd w:val="clear" w:color="auto" w:fill="auto"/>
                <w:noWrap/>
                <w:vAlign w:val="center"/>
                <w:hideMark/>
              </w:tcPr>
              <w:p w14:paraId="79B25AC4" w14:textId="77777777" w:rsidR="001D6A04" w:rsidRPr="001D6A04" w:rsidRDefault="001D6A04" w:rsidP="001D6A04">
                <w:pPr>
                  <w:spacing w:after="0" w:line="240" w:lineRule="auto"/>
                  <w:jc w:val="center"/>
                  <w:rPr>
                    <w:rFonts w:ascii="Times New Roman" w:eastAsia="Times New Roman" w:hAnsi="Times New Roman"/>
                    <w:sz w:val="14"/>
                    <w:szCs w:val="14"/>
                    <w:lang w:eastAsia="es-CO"/>
                  </w:rPr>
                </w:pPr>
                <w:r w:rsidRPr="001D6A04">
                  <w:rPr>
                    <w:rFonts w:ascii="Times New Roman" w:eastAsia="Times New Roman" w:hAnsi="Times New Roman"/>
                    <w:sz w:val="14"/>
                    <w:szCs w:val="14"/>
                    <w:lang w:eastAsia="es-CO"/>
                  </w:rPr>
                  <w:t xml:space="preserve">0,0 </w:t>
                </w:r>
              </w:p>
            </w:tc>
            <w:tc>
              <w:tcPr>
                <w:tcW w:w="0" w:type="auto"/>
                <w:tcBorders>
                  <w:top w:val="nil"/>
                  <w:left w:val="nil"/>
                  <w:bottom w:val="single" w:sz="4" w:space="0" w:color="A6A6A6"/>
                  <w:right w:val="single" w:sz="4" w:space="0" w:color="A6A6A6"/>
                </w:tcBorders>
                <w:shd w:val="clear" w:color="auto" w:fill="auto"/>
                <w:noWrap/>
                <w:vAlign w:val="center"/>
                <w:hideMark/>
              </w:tcPr>
              <w:p w14:paraId="4A511633" w14:textId="7F96C629" w:rsidR="001D6A04" w:rsidRPr="001D6A04" w:rsidRDefault="001D6A04" w:rsidP="001D6A04">
                <w:pPr>
                  <w:spacing w:after="0" w:line="240" w:lineRule="auto"/>
                  <w:jc w:val="right"/>
                  <w:rPr>
                    <w:rFonts w:ascii="Times New Roman" w:eastAsia="Times New Roman" w:hAnsi="Times New Roman"/>
                    <w:sz w:val="14"/>
                    <w:szCs w:val="14"/>
                    <w:lang w:eastAsia="es-CO"/>
                  </w:rPr>
                </w:pPr>
                <w:r w:rsidRPr="001D6A04">
                  <w:rPr>
                    <w:rFonts w:ascii="Times New Roman" w:eastAsia="Times New Roman" w:hAnsi="Times New Roman"/>
                    <w:sz w:val="14"/>
                    <w:szCs w:val="14"/>
                    <w:lang w:eastAsia="es-CO"/>
                  </w:rPr>
                  <w:t xml:space="preserve">15.875.284.429 </w:t>
                </w:r>
              </w:p>
            </w:tc>
          </w:tr>
        </w:tbl>
        <w:p w14:paraId="5FA95B7D" w14:textId="1D5B4D9F" w:rsidR="00021FD7" w:rsidRPr="00931DCE" w:rsidRDefault="008E7564" w:rsidP="00021FD7">
          <w:pPr>
            <w:rPr>
              <w:rFonts w:ascii="Times New Roman" w:eastAsia="Times New Roman" w:hAnsi="Times New Roman"/>
              <w:sz w:val="14"/>
              <w:szCs w:val="14"/>
              <w:lang w:eastAsia="es-CO"/>
            </w:rPr>
          </w:pPr>
          <w:r w:rsidRPr="00931DCE">
            <w:rPr>
              <w:rFonts w:ascii="Times New Roman" w:eastAsia="Times New Roman" w:hAnsi="Times New Roman"/>
              <w:sz w:val="14"/>
              <w:szCs w:val="14"/>
              <w:lang w:eastAsia="es-CO"/>
            </w:rPr>
            <w:t xml:space="preserve"> </w:t>
          </w:r>
          <w:r w:rsidR="00AD2026" w:rsidRPr="00931DCE">
            <w:rPr>
              <w:rFonts w:ascii="Times New Roman" w:eastAsia="Times New Roman" w:hAnsi="Times New Roman"/>
              <w:sz w:val="14"/>
              <w:szCs w:val="14"/>
              <w:lang w:eastAsia="es-CO"/>
            </w:rPr>
            <w:t>Cifras expresadas en pesos</w:t>
          </w:r>
        </w:p>
        <w:p w14:paraId="10407EEB" w14:textId="1CAE715D" w:rsidR="00DF4E72" w:rsidRPr="00931DCE" w:rsidRDefault="00DF4E72" w:rsidP="00021FD7">
          <w:pPr>
            <w:rPr>
              <w:rFonts w:ascii="Times New Roman" w:eastAsia="Times New Roman" w:hAnsi="Times New Roman"/>
              <w:sz w:val="14"/>
              <w:szCs w:val="14"/>
              <w:lang w:eastAsia="es-CO"/>
            </w:rPr>
          </w:pPr>
        </w:p>
        <w:p w14:paraId="7F27C4FD" w14:textId="77777777" w:rsidR="00021FD7" w:rsidRPr="00931DCE" w:rsidRDefault="00021FD7" w:rsidP="00021FD7">
          <w:pPr>
            <w:jc w:val="both"/>
            <w:rPr>
              <w:rFonts w:ascii="Times New Roman" w:hAnsi="Times New Roman"/>
              <w:sz w:val="24"/>
              <w:szCs w:val="24"/>
              <w:lang w:bidi="es-ES"/>
            </w:rPr>
          </w:pPr>
          <w:r w:rsidRPr="00931DCE">
            <w:rPr>
              <w:rFonts w:ascii="Times New Roman" w:hAnsi="Times New Roman"/>
              <w:sz w:val="24"/>
              <w:szCs w:val="24"/>
              <w:u w:val="single"/>
              <w:lang w:bidi="es-ES"/>
            </w:rPr>
            <w:t>Multas y sanciones</w:t>
          </w:r>
          <w:r w:rsidRPr="00931DCE">
            <w:rPr>
              <w:rFonts w:ascii="Times New Roman" w:hAnsi="Times New Roman"/>
              <w:sz w:val="24"/>
              <w:szCs w:val="24"/>
              <w:lang w:bidi="es-ES"/>
            </w:rPr>
            <w:t>: son imposiciones efectuadas por la entidad, en el ejercicio de la potestad sancionatoria, de una multa pecuniaria al responsable de un incumplimiento contractual.</w:t>
          </w:r>
        </w:p>
        <w:p w14:paraId="33BD2468" w14:textId="4B38299A" w:rsidR="00021FD7" w:rsidRPr="00931DCE" w:rsidRDefault="00021FD7" w:rsidP="00265B5F">
          <w:pPr>
            <w:spacing w:after="0" w:line="240" w:lineRule="auto"/>
            <w:jc w:val="both"/>
            <w:rPr>
              <w:rFonts w:ascii="Times New Roman" w:hAnsi="Times New Roman"/>
              <w:sz w:val="24"/>
              <w:szCs w:val="24"/>
              <w:lang w:bidi="es-ES"/>
            </w:rPr>
          </w:pPr>
          <w:r w:rsidRPr="00931DCE">
            <w:rPr>
              <w:rFonts w:ascii="Times New Roman" w:hAnsi="Times New Roman"/>
              <w:sz w:val="24"/>
              <w:szCs w:val="24"/>
              <w:lang w:bidi="es-ES"/>
            </w:rPr>
            <w:t xml:space="preserve">El Grupo Interno de Trabajo de Defensa Judicial, tiene la competencia funcional para adelantar el cobro persuasivo y coactivo de las obligaciones </w:t>
          </w:r>
          <w:r w:rsidR="00D77548" w:rsidRPr="00931DCE">
            <w:rPr>
              <w:rFonts w:ascii="Times New Roman" w:hAnsi="Times New Roman"/>
              <w:sz w:val="24"/>
              <w:szCs w:val="24"/>
              <w:lang w:bidi="es-ES"/>
            </w:rPr>
            <w:t>que les sean remitidas para la</w:t>
          </w:r>
          <w:r w:rsidRPr="00931DCE">
            <w:rPr>
              <w:rFonts w:ascii="Times New Roman" w:hAnsi="Times New Roman"/>
              <w:sz w:val="24"/>
              <w:szCs w:val="24"/>
              <w:lang w:bidi="es-ES"/>
            </w:rPr>
            <w:t xml:space="preserve"> gestión de cobro corresponde a la Agencia, con el fin de lograr el recaudo efectivo de la cartera por estos conceptos.</w:t>
          </w:r>
        </w:p>
        <w:p w14:paraId="2E0DF0EC" w14:textId="77777777" w:rsidR="00265B5F" w:rsidRPr="00931DCE" w:rsidRDefault="00265B5F" w:rsidP="00265B5F">
          <w:pPr>
            <w:spacing w:after="0" w:line="240" w:lineRule="auto"/>
            <w:jc w:val="both"/>
            <w:rPr>
              <w:rFonts w:ascii="Times New Roman" w:hAnsi="Times New Roman"/>
              <w:sz w:val="24"/>
              <w:szCs w:val="24"/>
              <w:lang w:bidi="es-ES"/>
            </w:rPr>
          </w:pPr>
        </w:p>
        <w:p w14:paraId="2E742162" w14:textId="0FF20875" w:rsidR="00D77548" w:rsidRPr="00931DCE" w:rsidRDefault="00D77548" w:rsidP="00265B5F">
          <w:pPr>
            <w:spacing w:after="0" w:line="240" w:lineRule="auto"/>
            <w:jc w:val="both"/>
            <w:rPr>
              <w:rFonts w:ascii="Times New Roman" w:hAnsi="Times New Roman"/>
              <w:sz w:val="24"/>
              <w:szCs w:val="24"/>
              <w:lang w:bidi="es-ES"/>
            </w:rPr>
          </w:pPr>
          <w:r w:rsidRPr="00931DCE">
            <w:rPr>
              <w:rFonts w:ascii="Times New Roman" w:hAnsi="Times New Roman"/>
              <w:sz w:val="24"/>
              <w:szCs w:val="24"/>
              <w:lang w:bidi="es-ES"/>
            </w:rPr>
            <w:t>A continuación, se detallan las sanciones reconocidas:</w:t>
          </w:r>
        </w:p>
        <w:p w14:paraId="62A7BDA7" w14:textId="77777777" w:rsidR="00494C97" w:rsidRDefault="00494C97" w:rsidP="00265B5F">
          <w:pPr>
            <w:spacing w:after="0" w:line="240" w:lineRule="auto"/>
            <w:jc w:val="both"/>
            <w:rPr>
              <w:rFonts w:ascii="Times New Roman" w:hAnsi="Times New Roman"/>
              <w:sz w:val="24"/>
              <w:szCs w:val="24"/>
              <w:lang w:bidi="es-ES"/>
            </w:rPr>
          </w:pPr>
        </w:p>
        <w:p w14:paraId="3E9A311B" w14:textId="4F1D5B3C" w:rsidR="00494C97" w:rsidRPr="00931DCE" w:rsidRDefault="00494C97" w:rsidP="00494C97">
          <w:pPr>
            <w:spacing w:after="0" w:line="240" w:lineRule="auto"/>
            <w:jc w:val="both"/>
            <w:rPr>
              <w:rFonts w:ascii="Times New Roman" w:hAnsi="Times New Roman"/>
              <w:sz w:val="24"/>
              <w:szCs w:val="24"/>
              <w:lang w:bidi="es-ES"/>
            </w:rPr>
          </w:pPr>
          <w:r w:rsidRPr="00931DCE">
            <w:rPr>
              <w:rFonts w:ascii="Times New Roman" w:hAnsi="Times New Roman"/>
              <w:sz w:val="24"/>
              <w:szCs w:val="24"/>
              <w:u w:val="single"/>
              <w:lang w:bidi="es-ES"/>
            </w:rPr>
            <w:t>Concesionaria Vial de los Andes S.A. - Coviandes S.A:</w:t>
          </w:r>
          <w:r w:rsidRPr="00931DCE">
            <w:rPr>
              <w:rFonts w:ascii="Times New Roman" w:hAnsi="Times New Roman"/>
              <w:sz w:val="24"/>
              <w:szCs w:val="24"/>
              <w:lang w:bidi="es-ES"/>
            </w:rPr>
            <w:t xml:space="preserve"> corresponde al incumplimiento de obligaciones contractuales declaradas de la Resolución ANI No. 1956 del 20 de diciembre de 2019 y, Resolución ANI No. 202</w:t>
          </w:r>
          <w:r w:rsidR="00FD32D2">
            <w:rPr>
              <w:rFonts w:ascii="Times New Roman" w:hAnsi="Times New Roman"/>
              <w:sz w:val="24"/>
              <w:szCs w:val="24"/>
              <w:lang w:bidi="es-ES"/>
            </w:rPr>
            <w:t>1</w:t>
          </w:r>
          <w:r w:rsidRPr="00931DCE">
            <w:rPr>
              <w:rFonts w:ascii="Times New Roman" w:hAnsi="Times New Roman"/>
              <w:sz w:val="24"/>
              <w:szCs w:val="24"/>
              <w:lang w:bidi="es-ES"/>
            </w:rPr>
            <w:t>7070000535 del 14 de enero de 202</w:t>
          </w:r>
          <w:r w:rsidR="0084430C">
            <w:rPr>
              <w:rFonts w:ascii="Times New Roman" w:hAnsi="Times New Roman"/>
              <w:sz w:val="24"/>
              <w:szCs w:val="24"/>
              <w:lang w:bidi="es-ES"/>
            </w:rPr>
            <w:t>1</w:t>
          </w:r>
          <w:r w:rsidRPr="00931DCE">
            <w:rPr>
              <w:rFonts w:ascii="Times New Roman" w:hAnsi="Times New Roman"/>
              <w:sz w:val="24"/>
              <w:szCs w:val="24"/>
              <w:lang w:bidi="es-ES"/>
            </w:rPr>
            <w:t>.</w:t>
          </w:r>
        </w:p>
        <w:p w14:paraId="0898050A" w14:textId="77777777" w:rsidR="000E7205" w:rsidRDefault="000E7205" w:rsidP="00494C97">
          <w:pPr>
            <w:spacing w:after="0" w:line="240" w:lineRule="auto"/>
            <w:jc w:val="both"/>
            <w:rPr>
              <w:rFonts w:ascii="Times New Roman" w:hAnsi="Times New Roman"/>
              <w:sz w:val="24"/>
              <w:szCs w:val="24"/>
              <w:lang w:bidi="es-ES"/>
            </w:rPr>
          </w:pPr>
        </w:p>
        <w:p w14:paraId="562B1FC0" w14:textId="23778985" w:rsidR="000E7205" w:rsidRPr="000E7205" w:rsidRDefault="000E7205" w:rsidP="000E7205">
          <w:pPr>
            <w:spacing w:after="0" w:line="240" w:lineRule="auto"/>
            <w:jc w:val="both"/>
            <w:rPr>
              <w:rFonts w:ascii="Times New Roman" w:hAnsi="Times New Roman"/>
              <w:sz w:val="24"/>
              <w:szCs w:val="24"/>
              <w:lang w:bidi="es-ES"/>
            </w:rPr>
          </w:pPr>
          <w:r w:rsidRPr="000E7205">
            <w:rPr>
              <w:rFonts w:ascii="Times New Roman" w:hAnsi="Times New Roman"/>
              <w:sz w:val="24"/>
              <w:szCs w:val="24"/>
              <w:lang w:bidi="es-ES"/>
            </w:rPr>
            <w:t xml:space="preserve">Las Resoluciones No. 1956 del 20/12/2019 y 20217070000535 del 14/01/2021 que contienen la obligación a cargo de COVIANDES, fueron anuladas el 10 de noviembre de 2023 mediante Laudo proferido por el Tribunal arbitral convocado por la Concesión Vial de los Andes S.A.S. contra la Agencia Nacional de Infraestructura - 128517, no obstante, conforme a lo establecido en el artículo 40 y siguientes de la Ley 1563 de 2012, el 12 de enero de 2024, la Agencia Nacional de Infraestructura presentó Recurso de anulación en contra del precitado Laudo, con solicitud de suspensión de cumplimiento de los efectos de este, el cual a la fecha </w:t>
          </w:r>
          <w:r w:rsidR="0001000A" w:rsidRPr="000E7205">
            <w:rPr>
              <w:rFonts w:ascii="Times New Roman" w:hAnsi="Times New Roman"/>
              <w:sz w:val="24"/>
              <w:szCs w:val="24"/>
              <w:lang w:bidi="es-ES"/>
            </w:rPr>
            <w:t>está</w:t>
          </w:r>
          <w:r w:rsidRPr="000E7205">
            <w:rPr>
              <w:rFonts w:ascii="Times New Roman" w:hAnsi="Times New Roman"/>
              <w:sz w:val="24"/>
              <w:szCs w:val="24"/>
              <w:lang w:bidi="es-ES"/>
            </w:rPr>
            <w:t xml:space="preserve"> en trámite de ser remitido por parte de la secretaria del Tribunal arbitral para lo pertinente.</w:t>
          </w:r>
        </w:p>
        <w:p w14:paraId="6BC90847" w14:textId="77777777" w:rsidR="00F85687" w:rsidRDefault="00F85687" w:rsidP="00494C97">
          <w:pPr>
            <w:spacing w:after="0" w:line="240" w:lineRule="auto"/>
            <w:jc w:val="both"/>
            <w:rPr>
              <w:rFonts w:ascii="Times New Roman" w:hAnsi="Times New Roman"/>
              <w:sz w:val="24"/>
              <w:szCs w:val="24"/>
              <w:lang w:bidi="es-ES"/>
            </w:rPr>
          </w:pPr>
        </w:p>
        <w:p w14:paraId="393DC29B" w14:textId="7AC09B00" w:rsidR="00F85687" w:rsidRPr="00931DCE" w:rsidRDefault="00F85687" w:rsidP="00F85687">
          <w:pPr>
            <w:spacing w:after="0" w:line="240" w:lineRule="auto"/>
            <w:ind w:right="-3"/>
            <w:jc w:val="both"/>
            <w:rPr>
              <w:rFonts w:ascii="Times New Roman" w:hAnsi="Times New Roman"/>
              <w:sz w:val="24"/>
              <w:szCs w:val="24"/>
              <w:lang w:bidi="es-ES"/>
            </w:rPr>
          </w:pPr>
          <w:r w:rsidRPr="00931DCE">
            <w:rPr>
              <w:rFonts w:ascii="Times New Roman" w:hAnsi="Times New Roman"/>
              <w:sz w:val="24"/>
              <w:szCs w:val="24"/>
              <w:u w:val="single"/>
              <w:lang w:bidi="es-ES"/>
            </w:rPr>
            <w:t>Sociedad Portuaria de la Península:</w:t>
          </w:r>
          <w:r w:rsidRPr="00931DCE">
            <w:rPr>
              <w:rFonts w:ascii="Times New Roman" w:hAnsi="Times New Roman"/>
              <w:sz w:val="24"/>
              <w:szCs w:val="24"/>
              <w:lang w:bidi="es-ES"/>
            </w:rPr>
            <w:t xml:space="preserve"> corresponde las sanciones contractuales determinadas mediante las Resoluciones ANI No.1482 del 10 de octubre 2016, 1409 del 12 de octubre de 2017 y 20207070017545 de 30-11-2020, las cuales fueron impuestas en dólares de los Estados Unidos de Norte América (USD) y que, fueron reexpresada a la TRM del 31 de diciembre de 202</w:t>
          </w:r>
          <w:r>
            <w:rPr>
              <w:rFonts w:ascii="Times New Roman" w:hAnsi="Times New Roman"/>
              <w:sz w:val="24"/>
              <w:szCs w:val="24"/>
              <w:lang w:bidi="es-ES"/>
            </w:rPr>
            <w:t>3</w:t>
          </w:r>
        </w:p>
        <w:p w14:paraId="7511718A" w14:textId="77777777" w:rsidR="00F85687" w:rsidRPr="00931DCE" w:rsidRDefault="00F85687" w:rsidP="00494C97">
          <w:pPr>
            <w:spacing w:after="0" w:line="240" w:lineRule="auto"/>
            <w:jc w:val="both"/>
            <w:rPr>
              <w:rFonts w:ascii="Times New Roman" w:hAnsi="Times New Roman"/>
              <w:sz w:val="24"/>
              <w:szCs w:val="24"/>
              <w:lang w:bidi="es-ES"/>
            </w:rPr>
          </w:pPr>
        </w:p>
        <w:p w14:paraId="1787CD6A" w14:textId="3CDD6040" w:rsidR="00BC120E" w:rsidRPr="00931DCE" w:rsidRDefault="00BC120E" w:rsidP="00BC120E">
          <w:pPr>
            <w:spacing w:after="0" w:line="240" w:lineRule="auto"/>
            <w:ind w:right="-3"/>
            <w:jc w:val="both"/>
            <w:rPr>
              <w:rFonts w:ascii="Times New Roman" w:hAnsi="Times New Roman"/>
              <w:sz w:val="24"/>
              <w:szCs w:val="24"/>
              <w:lang w:bidi="es-ES"/>
            </w:rPr>
          </w:pPr>
          <w:r w:rsidRPr="00931DCE">
            <w:rPr>
              <w:rFonts w:ascii="Times New Roman" w:hAnsi="Times New Roman"/>
              <w:sz w:val="24"/>
              <w:szCs w:val="24"/>
              <w:u w:val="single"/>
              <w:lang w:bidi="es-ES"/>
            </w:rPr>
            <w:t>Sociedad Portuaria Rio Córdoba S.A:</w:t>
          </w:r>
          <w:r w:rsidRPr="00931DCE">
            <w:rPr>
              <w:rFonts w:ascii="Times New Roman" w:hAnsi="Times New Roman"/>
              <w:sz w:val="24"/>
              <w:szCs w:val="24"/>
              <w:lang w:bidi="es-ES"/>
            </w:rPr>
            <w:t xml:space="preserve">  corresponde la sanción contractual impuesta mediante la Resolución ANI No. 20207070010805 del 6 de agosto de 2020, en dólares de los Estados Unidos de Norte América (USD). Dicha sanción fue actualizada conforme lo informado en </w:t>
          </w:r>
          <w:r w:rsidRPr="00931DCE">
            <w:rPr>
              <w:rFonts w:ascii="Times New Roman" w:hAnsi="Times New Roman"/>
              <w:sz w:val="24"/>
              <w:szCs w:val="24"/>
              <w:lang w:bidi="es-ES"/>
            </w:rPr>
            <w:lastRenderedPageBreak/>
            <w:t xml:space="preserve">memorando ANI No. </w:t>
          </w:r>
          <w:r w:rsidR="0040054D" w:rsidRPr="0040054D">
            <w:rPr>
              <w:rFonts w:ascii="Times New Roman" w:hAnsi="Times New Roman"/>
              <w:sz w:val="24"/>
              <w:szCs w:val="24"/>
              <w:lang w:bidi="es-ES"/>
            </w:rPr>
            <w:t>23/12/2019 Resolución No. 1961</w:t>
          </w:r>
          <w:r w:rsidRPr="00931DCE">
            <w:rPr>
              <w:rFonts w:ascii="Times New Roman" w:hAnsi="Times New Roman"/>
              <w:sz w:val="24"/>
              <w:szCs w:val="24"/>
              <w:lang w:bidi="es-ES"/>
            </w:rPr>
            <w:t xml:space="preserve"> y reexpresada a la TRM del 31 de diciembre de 202</w:t>
          </w:r>
          <w:r w:rsidR="00BF3484">
            <w:rPr>
              <w:rFonts w:ascii="Times New Roman" w:hAnsi="Times New Roman"/>
              <w:sz w:val="24"/>
              <w:szCs w:val="24"/>
              <w:lang w:bidi="es-ES"/>
            </w:rPr>
            <w:t>3</w:t>
          </w:r>
        </w:p>
        <w:p w14:paraId="6BCFC4B6" w14:textId="77777777" w:rsidR="00BF3484" w:rsidRDefault="00BF3484" w:rsidP="00BC120E">
          <w:pPr>
            <w:spacing w:after="0" w:line="240" w:lineRule="auto"/>
            <w:ind w:right="-3"/>
            <w:jc w:val="both"/>
            <w:rPr>
              <w:rFonts w:ascii="Times New Roman" w:hAnsi="Times New Roman"/>
              <w:sz w:val="24"/>
              <w:szCs w:val="24"/>
              <w:lang w:bidi="es-ES"/>
            </w:rPr>
          </w:pPr>
        </w:p>
        <w:p w14:paraId="6819BDFB" w14:textId="68EB4F42" w:rsidR="00494C97" w:rsidRPr="00931DCE" w:rsidRDefault="00533681" w:rsidP="00B74801">
          <w:pPr>
            <w:spacing w:after="0" w:line="240" w:lineRule="auto"/>
            <w:ind w:right="-3"/>
            <w:jc w:val="both"/>
            <w:rPr>
              <w:rFonts w:ascii="Times New Roman" w:hAnsi="Times New Roman"/>
              <w:sz w:val="24"/>
              <w:szCs w:val="24"/>
              <w:lang w:bidi="es-ES"/>
            </w:rPr>
          </w:pPr>
          <w:r w:rsidRPr="00533681">
            <w:rPr>
              <w:rFonts w:ascii="Times New Roman" w:hAnsi="Times New Roman"/>
              <w:sz w:val="24"/>
              <w:szCs w:val="24"/>
              <w:u w:val="single"/>
              <w:lang w:bidi="es-ES"/>
            </w:rPr>
            <w:t>Digicom System Corporation S</w:t>
          </w:r>
          <w:r>
            <w:rPr>
              <w:rFonts w:ascii="Times New Roman" w:hAnsi="Times New Roman"/>
              <w:sz w:val="24"/>
              <w:szCs w:val="24"/>
              <w:u w:val="single"/>
              <w:lang w:bidi="es-ES"/>
            </w:rPr>
            <w:t>A</w:t>
          </w:r>
          <w:r w:rsidR="00F32A62" w:rsidRPr="00931DCE">
            <w:rPr>
              <w:rFonts w:ascii="Times New Roman" w:hAnsi="Times New Roman"/>
              <w:sz w:val="24"/>
              <w:szCs w:val="24"/>
              <w:u w:val="single"/>
              <w:lang w:bidi="es-ES"/>
            </w:rPr>
            <w:t>:</w:t>
          </w:r>
          <w:r w:rsidR="00F32A62" w:rsidRPr="00931DCE">
            <w:rPr>
              <w:rFonts w:ascii="Times New Roman" w:hAnsi="Times New Roman"/>
              <w:sz w:val="24"/>
              <w:szCs w:val="24"/>
              <w:lang w:bidi="es-ES"/>
            </w:rPr>
            <w:t xml:space="preserve">  corresponde la sanción contractual impuesta mediante la Resolución ANI No. </w:t>
          </w:r>
          <w:r w:rsidR="00E1734B" w:rsidRPr="00ED6C79">
            <w:rPr>
              <w:rFonts w:ascii="Times New Roman" w:hAnsi="Times New Roman"/>
              <w:sz w:val="24"/>
              <w:szCs w:val="24"/>
              <w:lang w:bidi="es-ES"/>
            </w:rPr>
            <w:t xml:space="preserve">20227070021345 del 23 de diciembre de 2022 y </w:t>
          </w:r>
          <w:r w:rsidR="00ED6C79" w:rsidRPr="00ED6C79">
            <w:rPr>
              <w:rFonts w:ascii="Times New Roman" w:hAnsi="Times New Roman"/>
              <w:sz w:val="24"/>
              <w:szCs w:val="24"/>
              <w:lang w:bidi="es-ES"/>
            </w:rPr>
            <w:t>20237070002395 del 02 de marzo de 2023</w:t>
          </w:r>
          <w:r w:rsidR="00B74801">
            <w:rPr>
              <w:rFonts w:ascii="Times New Roman" w:hAnsi="Times New Roman"/>
              <w:sz w:val="24"/>
              <w:szCs w:val="24"/>
              <w:lang w:bidi="es-ES"/>
            </w:rPr>
            <w:t xml:space="preserve">. </w:t>
          </w:r>
        </w:p>
        <w:p w14:paraId="1A78063E" w14:textId="77777777" w:rsidR="008C46F9" w:rsidRDefault="008C46F9" w:rsidP="00B74801">
          <w:pPr>
            <w:spacing w:after="0" w:line="240" w:lineRule="auto"/>
            <w:ind w:right="-3"/>
            <w:jc w:val="both"/>
            <w:rPr>
              <w:rFonts w:ascii="Times New Roman" w:hAnsi="Times New Roman"/>
              <w:sz w:val="24"/>
              <w:szCs w:val="24"/>
              <w:lang w:bidi="es-ES"/>
            </w:rPr>
          </w:pPr>
        </w:p>
        <w:p w14:paraId="2F386093" w14:textId="1722347E" w:rsidR="008C46F9" w:rsidRPr="00931DCE" w:rsidRDefault="008C46F9" w:rsidP="008C46F9">
          <w:pPr>
            <w:spacing w:after="0" w:line="240" w:lineRule="auto"/>
            <w:ind w:right="-3"/>
            <w:jc w:val="both"/>
            <w:rPr>
              <w:rFonts w:ascii="Times New Roman" w:hAnsi="Times New Roman"/>
              <w:sz w:val="24"/>
              <w:szCs w:val="24"/>
              <w:lang w:bidi="es-ES"/>
            </w:rPr>
          </w:pPr>
          <w:r w:rsidRPr="00931DCE">
            <w:rPr>
              <w:rFonts w:ascii="Times New Roman" w:hAnsi="Times New Roman"/>
              <w:sz w:val="24"/>
              <w:szCs w:val="24"/>
              <w:u w:val="single"/>
              <w:lang w:bidi="es-ES"/>
            </w:rPr>
            <w:t>Sociedad Portuaria Puerto Hondo S.A:</w:t>
          </w:r>
          <w:r w:rsidRPr="00931DCE">
            <w:rPr>
              <w:rFonts w:ascii="Times New Roman" w:hAnsi="Times New Roman"/>
              <w:sz w:val="24"/>
              <w:szCs w:val="24"/>
              <w:lang w:bidi="es-ES"/>
            </w:rPr>
            <w:t xml:space="preserve"> corresponde las sanciones contractuales determinadas mediante las Resoluciones ANI No. 1023 del 10 de julio de 2019 confirmada por la Resolución No. 158 de 5 de febrero de 2020 y la Resolución No. 20207070005975 del 18 de mayo del 2020 que deja en firma la 1290 del 29 de agosto del 2019. Ambas, impuestas en dólares de los Estados Unidos de Norte América (USD) y reexpresadas a la TRM del 31 de diciembre de 202</w:t>
          </w:r>
          <w:r>
            <w:rPr>
              <w:rFonts w:ascii="Times New Roman" w:hAnsi="Times New Roman"/>
              <w:sz w:val="24"/>
              <w:szCs w:val="24"/>
              <w:lang w:bidi="es-ES"/>
            </w:rPr>
            <w:t>3.</w:t>
          </w:r>
        </w:p>
        <w:p w14:paraId="396649CD" w14:textId="77777777" w:rsidR="00F2456A" w:rsidRDefault="00F2456A" w:rsidP="008C46F9">
          <w:pPr>
            <w:spacing w:after="0" w:line="240" w:lineRule="auto"/>
            <w:ind w:right="-3"/>
            <w:jc w:val="both"/>
            <w:rPr>
              <w:rFonts w:ascii="Times New Roman" w:hAnsi="Times New Roman"/>
              <w:sz w:val="24"/>
              <w:szCs w:val="24"/>
              <w:lang w:bidi="es-ES"/>
            </w:rPr>
          </w:pPr>
        </w:p>
        <w:p w14:paraId="044674D6" w14:textId="32CA9887" w:rsidR="00F2456A" w:rsidRPr="00931DCE" w:rsidRDefault="00F2456A" w:rsidP="00F2456A">
          <w:pPr>
            <w:spacing w:after="0" w:line="240" w:lineRule="auto"/>
            <w:jc w:val="both"/>
            <w:rPr>
              <w:rFonts w:ascii="Times New Roman" w:hAnsi="Times New Roman"/>
              <w:sz w:val="24"/>
              <w:szCs w:val="24"/>
              <w:lang w:bidi="es-ES"/>
            </w:rPr>
          </w:pPr>
          <w:r w:rsidRPr="00931DCE">
            <w:rPr>
              <w:rFonts w:ascii="Times New Roman" w:hAnsi="Times New Roman"/>
              <w:sz w:val="24"/>
              <w:szCs w:val="24"/>
              <w:u w:val="single"/>
              <w:lang w:bidi="es-ES"/>
            </w:rPr>
            <w:t>Sociedad Portuaria Terminal de IFO'S S.A:</w:t>
          </w:r>
          <w:r w:rsidRPr="00931DCE">
            <w:rPr>
              <w:rFonts w:ascii="Times New Roman" w:hAnsi="Times New Roman"/>
              <w:sz w:val="24"/>
              <w:szCs w:val="24"/>
              <w:lang w:bidi="es-ES"/>
            </w:rPr>
            <w:t xml:space="preserve"> corresponde las sanciones contractuales determinadas mediante las Resoluciones ANI No</w:t>
          </w:r>
          <w:r w:rsidR="009D1C0E">
            <w:rPr>
              <w:rFonts w:ascii="Times New Roman" w:hAnsi="Times New Roman"/>
              <w:sz w:val="24"/>
              <w:szCs w:val="24"/>
              <w:lang w:bidi="es-ES"/>
            </w:rPr>
            <w:t xml:space="preserve"> </w:t>
          </w:r>
          <w:r w:rsidR="009D1C0E" w:rsidRPr="009D1C0E">
            <w:rPr>
              <w:rFonts w:ascii="Times New Roman" w:hAnsi="Times New Roman"/>
              <w:sz w:val="24"/>
              <w:szCs w:val="24"/>
              <w:lang w:bidi="es-ES"/>
            </w:rPr>
            <w:t>20217070012395</w:t>
          </w:r>
          <w:r w:rsidR="009D1C0E">
            <w:rPr>
              <w:rFonts w:ascii="Times New Roman" w:hAnsi="Times New Roman"/>
              <w:sz w:val="24"/>
              <w:szCs w:val="24"/>
              <w:lang w:bidi="es-ES"/>
            </w:rPr>
            <w:t xml:space="preserve"> del 27/07/202, </w:t>
          </w:r>
          <w:r w:rsidR="009D1C0E" w:rsidRPr="009D1C0E">
            <w:rPr>
              <w:rFonts w:ascii="Times New Roman" w:hAnsi="Times New Roman"/>
              <w:sz w:val="24"/>
              <w:szCs w:val="24"/>
              <w:lang w:bidi="es-ES"/>
            </w:rPr>
            <w:t>20217070010005</w:t>
          </w:r>
          <w:r w:rsidRPr="00931DCE">
            <w:rPr>
              <w:rFonts w:ascii="Times New Roman" w:hAnsi="Times New Roman"/>
              <w:sz w:val="24"/>
              <w:szCs w:val="24"/>
              <w:lang w:bidi="es-ES"/>
            </w:rPr>
            <w:t xml:space="preserve"> del 23</w:t>
          </w:r>
          <w:r w:rsidR="009D1C0E">
            <w:rPr>
              <w:rFonts w:ascii="Times New Roman" w:hAnsi="Times New Roman"/>
              <w:sz w:val="24"/>
              <w:szCs w:val="24"/>
              <w:lang w:bidi="es-ES"/>
            </w:rPr>
            <w:t>/06/201</w:t>
          </w:r>
          <w:r w:rsidRPr="00931DCE">
            <w:rPr>
              <w:rFonts w:ascii="Times New Roman" w:hAnsi="Times New Roman"/>
              <w:sz w:val="24"/>
              <w:szCs w:val="24"/>
              <w:lang w:bidi="es-ES"/>
            </w:rPr>
            <w:t xml:space="preserve"> y </w:t>
          </w:r>
          <w:r w:rsidR="00330486" w:rsidRPr="00330486">
            <w:rPr>
              <w:rFonts w:ascii="Times New Roman" w:hAnsi="Times New Roman"/>
              <w:sz w:val="24"/>
              <w:szCs w:val="24"/>
              <w:lang w:bidi="es-ES"/>
            </w:rPr>
            <w:t>20227070004605</w:t>
          </w:r>
          <w:r w:rsidR="00330486">
            <w:rPr>
              <w:rFonts w:ascii="Times New Roman" w:hAnsi="Times New Roman"/>
              <w:sz w:val="24"/>
              <w:szCs w:val="24"/>
              <w:lang w:bidi="es-ES"/>
            </w:rPr>
            <w:t xml:space="preserve"> del 06/04/2022</w:t>
          </w:r>
          <w:r w:rsidRPr="00931DCE">
            <w:rPr>
              <w:rFonts w:ascii="Times New Roman" w:hAnsi="Times New Roman"/>
              <w:sz w:val="24"/>
              <w:szCs w:val="24"/>
              <w:lang w:bidi="es-ES"/>
            </w:rPr>
            <w:t>; las cuales fueron impuestas en dólares de los Estados Unidos de Norte América (USD) y que, fueron reexpresada a la TRM del 31 de diciembre de 20</w:t>
          </w:r>
          <w:r w:rsidR="00892CA8">
            <w:rPr>
              <w:rFonts w:ascii="Times New Roman" w:hAnsi="Times New Roman"/>
              <w:sz w:val="24"/>
              <w:szCs w:val="24"/>
              <w:lang w:bidi="es-ES"/>
            </w:rPr>
            <w:t>23</w:t>
          </w:r>
          <w:r w:rsidRPr="00931DCE">
            <w:rPr>
              <w:rFonts w:ascii="Times New Roman" w:hAnsi="Times New Roman"/>
              <w:sz w:val="24"/>
              <w:szCs w:val="24"/>
              <w:lang w:bidi="es-ES"/>
            </w:rPr>
            <w:t xml:space="preserve">. </w:t>
          </w:r>
        </w:p>
        <w:p w14:paraId="1CBFC71D" w14:textId="77777777" w:rsidR="00F2456A" w:rsidRDefault="00F2456A" w:rsidP="008C46F9">
          <w:pPr>
            <w:spacing w:after="0" w:line="240" w:lineRule="auto"/>
            <w:ind w:right="-3"/>
            <w:jc w:val="both"/>
            <w:rPr>
              <w:rFonts w:ascii="Times New Roman" w:hAnsi="Times New Roman"/>
              <w:sz w:val="24"/>
              <w:szCs w:val="24"/>
              <w:lang w:bidi="es-ES"/>
            </w:rPr>
          </w:pPr>
        </w:p>
        <w:p w14:paraId="794581B5" w14:textId="224F9F1D" w:rsidR="00B21272" w:rsidRPr="000D2C75" w:rsidRDefault="000D2C75" w:rsidP="008C46F9">
          <w:pPr>
            <w:spacing w:after="0" w:line="240" w:lineRule="auto"/>
            <w:ind w:right="-3"/>
            <w:jc w:val="both"/>
            <w:rPr>
              <w:rFonts w:ascii="Times New Roman" w:hAnsi="Times New Roman"/>
              <w:sz w:val="24"/>
              <w:szCs w:val="24"/>
              <w:lang w:bidi="es-ES"/>
            </w:rPr>
          </w:pPr>
          <w:r w:rsidRPr="000D2C75">
            <w:rPr>
              <w:rFonts w:ascii="Times New Roman" w:hAnsi="Times New Roman"/>
              <w:sz w:val="24"/>
              <w:szCs w:val="24"/>
              <w:u w:val="single"/>
              <w:lang w:bidi="es-ES"/>
            </w:rPr>
            <w:t>APP GICA S.A.</w:t>
          </w:r>
          <w:r>
            <w:rPr>
              <w:rFonts w:ascii="Times New Roman" w:hAnsi="Times New Roman"/>
              <w:sz w:val="24"/>
              <w:szCs w:val="24"/>
              <w:u w:val="single"/>
              <w:lang w:bidi="es-ES"/>
            </w:rPr>
            <w:t>:</w:t>
          </w:r>
          <w:r w:rsidRPr="003B40EF">
            <w:rPr>
              <w:rFonts w:ascii="Times New Roman" w:hAnsi="Times New Roman"/>
              <w:sz w:val="24"/>
              <w:szCs w:val="24"/>
              <w:lang w:bidi="es-ES"/>
            </w:rPr>
            <w:t xml:space="preserve"> </w:t>
          </w:r>
          <w:r>
            <w:rPr>
              <w:rFonts w:ascii="Times New Roman" w:hAnsi="Times New Roman"/>
              <w:sz w:val="24"/>
              <w:szCs w:val="24"/>
              <w:lang w:bidi="es-ES"/>
            </w:rPr>
            <w:t xml:space="preserve">Corresponde a la sanción contractual determinada mediante la Resolución ANI No </w:t>
          </w:r>
          <w:r w:rsidR="004E651F" w:rsidRPr="00AA2026">
            <w:rPr>
              <w:rFonts w:ascii="Times New Roman" w:hAnsi="Times New Roman"/>
              <w:sz w:val="24"/>
              <w:szCs w:val="24"/>
              <w:lang w:bidi="es-ES"/>
            </w:rPr>
            <w:t>20237070006835 del 07 de junio de 2023</w:t>
          </w:r>
          <w:r w:rsidR="00AA2026" w:rsidRPr="009A46BB">
            <w:rPr>
              <w:rFonts w:ascii="Times New Roman" w:hAnsi="Times New Roman"/>
              <w:lang w:eastAsia="es-CO"/>
            </w:rPr>
            <w:t xml:space="preserve">. </w:t>
          </w:r>
        </w:p>
        <w:p w14:paraId="247F7589" w14:textId="77777777" w:rsidR="00D77548" w:rsidRPr="007E3E1C" w:rsidRDefault="00D77548" w:rsidP="008C46F9">
          <w:pPr>
            <w:spacing w:after="0" w:line="240" w:lineRule="auto"/>
            <w:ind w:right="-3"/>
            <w:jc w:val="both"/>
            <w:rPr>
              <w:rFonts w:ascii="Times New Roman" w:hAnsi="Times New Roman"/>
              <w:sz w:val="24"/>
              <w:szCs w:val="24"/>
              <w:lang w:bidi="es-ES"/>
            </w:rPr>
          </w:pPr>
        </w:p>
        <w:p w14:paraId="3CBFC7B5" w14:textId="44B68F61" w:rsidR="00021FD7" w:rsidRPr="00931DCE" w:rsidRDefault="00021FD7" w:rsidP="00D30C02">
          <w:pPr>
            <w:spacing w:after="0" w:line="240" w:lineRule="auto"/>
            <w:ind w:right="48"/>
            <w:jc w:val="both"/>
            <w:rPr>
              <w:rFonts w:ascii="Times New Roman" w:hAnsi="Times New Roman"/>
              <w:sz w:val="24"/>
              <w:szCs w:val="24"/>
              <w:lang w:bidi="es-ES"/>
            </w:rPr>
          </w:pPr>
          <w:r w:rsidRPr="00931DCE">
            <w:rPr>
              <w:rFonts w:ascii="Times New Roman" w:eastAsiaTheme="minorHAnsi" w:hAnsi="Times New Roman"/>
              <w:sz w:val="24"/>
              <w:szCs w:val="24"/>
              <w:u w:val="single"/>
            </w:rPr>
            <w:t>Sociedad Portuaria Bullpesa S.A:</w:t>
          </w:r>
          <w:r w:rsidRPr="00931DCE">
            <w:rPr>
              <w:rFonts w:ascii="Times New Roman" w:eastAsiaTheme="minorHAnsi" w:hAnsi="Times New Roman"/>
              <w:sz w:val="24"/>
              <w:szCs w:val="24"/>
            </w:rPr>
            <w:t xml:space="preserve"> </w:t>
          </w:r>
          <w:r w:rsidRPr="00931DCE">
            <w:rPr>
              <w:rFonts w:ascii="Times New Roman" w:hAnsi="Times New Roman"/>
              <w:sz w:val="24"/>
              <w:szCs w:val="24"/>
              <w:lang w:bidi="es-ES"/>
            </w:rPr>
            <w:t>corresponde las sanciones contractuales determinadas mediante las Resoluciones ANI No.</w:t>
          </w:r>
          <w:r w:rsidRPr="00931DCE">
            <w:rPr>
              <w:rFonts w:ascii="Times New Roman" w:eastAsiaTheme="minorHAnsi" w:hAnsi="Times New Roman"/>
              <w:sz w:val="24"/>
              <w:szCs w:val="24"/>
              <w:lang w:bidi="es-ES"/>
            </w:rPr>
            <w:t xml:space="preserve"> 1904 de 17 de diciembre de 2019 y </w:t>
          </w:r>
          <w:r w:rsidR="000253FC" w:rsidRPr="000253FC">
            <w:rPr>
              <w:rFonts w:ascii="Times New Roman" w:hAnsi="Times New Roman"/>
              <w:sz w:val="24"/>
              <w:szCs w:val="24"/>
              <w:lang w:bidi="es-ES"/>
            </w:rPr>
            <w:t xml:space="preserve">Resolución No. 20227070004345 del 31 de </w:t>
          </w:r>
          <w:r w:rsidRPr="00931DCE">
            <w:rPr>
              <w:rFonts w:ascii="Times New Roman" w:hAnsi="Times New Roman"/>
              <w:sz w:val="24"/>
              <w:szCs w:val="24"/>
              <w:lang w:bidi="es-ES"/>
            </w:rPr>
            <w:t xml:space="preserve">marzo de </w:t>
          </w:r>
          <w:r w:rsidR="000253FC" w:rsidRPr="000253FC">
            <w:rPr>
              <w:rFonts w:ascii="Times New Roman" w:hAnsi="Times New Roman"/>
              <w:sz w:val="24"/>
              <w:szCs w:val="24"/>
              <w:lang w:bidi="es-ES"/>
            </w:rPr>
            <w:t>2022</w:t>
          </w:r>
          <w:r w:rsidRPr="00931DCE">
            <w:rPr>
              <w:rFonts w:ascii="Times New Roman" w:hAnsi="Times New Roman"/>
              <w:sz w:val="24"/>
              <w:szCs w:val="24"/>
              <w:lang w:bidi="es-ES"/>
            </w:rPr>
            <w:t>, las cuales fueron impuestas en dólares de los Estados Unidos de Norte América (USD) y reexpresadas a la TRM del 31 de diciembre de 202</w:t>
          </w:r>
          <w:r w:rsidR="00AE6B92">
            <w:rPr>
              <w:rFonts w:ascii="Times New Roman" w:hAnsi="Times New Roman"/>
              <w:sz w:val="24"/>
              <w:szCs w:val="24"/>
              <w:lang w:bidi="es-ES"/>
            </w:rPr>
            <w:t>3</w:t>
          </w:r>
          <w:r w:rsidR="00A445F3" w:rsidRPr="00931DCE">
            <w:rPr>
              <w:rFonts w:ascii="Times New Roman" w:hAnsi="Times New Roman"/>
              <w:sz w:val="24"/>
              <w:szCs w:val="24"/>
              <w:lang w:bidi="es-ES"/>
            </w:rPr>
            <w:t>.</w:t>
          </w:r>
          <w:r w:rsidRPr="00931DCE">
            <w:rPr>
              <w:rFonts w:ascii="Times New Roman" w:hAnsi="Times New Roman"/>
              <w:sz w:val="24"/>
              <w:szCs w:val="24"/>
              <w:lang w:bidi="es-ES"/>
            </w:rPr>
            <w:t xml:space="preserve"> </w:t>
          </w:r>
        </w:p>
        <w:p w14:paraId="020E2EEA" w14:textId="77777777" w:rsidR="00A445F3" w:rsidRDefault="00A445F3" w:rsidP="00D30C02">
          <w:pPr>
            <w:spacing w:after="0" w:line="240" w:lineRule="auto"/>
            <w:ind w:right="48"/>
            <w:jc w:val="both"/>
            <w:rPr>
              <w:rFonts w:ascii="Times New Roman" w:hAnsi="Times New Roman"/>
              <w:sz w:val="24"/>
              <w:szCs w:val="24"/>
              <w:lang w:bidi="es-ES"/>
            </w:rPr>
          </w:pPr>
        </w:p>
        <w:p w14:paraId="0CAD6B29" w14:textId="6B16788C" w:rsidR="00AE6B92" w:rsidRDefault="00CB0596" w:rsidP="00D30C02">
          <w:pPr>
            <w:spacing w:after="0" w:line="240" w:lineRule="auto"/>
            <w:ind w:right="48"/>
            <w:jc w:val="both"/>
            <w:rPr>
              <w:rFonts w:ascii="Times New Roman" w:hAnsi="Times New Roman"/>
              <w:sz w:val="24"/>
              <w:szCs w:val="24"/>
              <w:lang w:bidi="es-ES"/>
            </w:rPr>
          </w:pPr>
          <w:r w:rsidRPr="00CB0596">
            <w:rPr>
              <w:rFonts w:ascii="Times New Roman" w:eastAsiaTheme="minorHAnsi" w:hAnsi="Times New Roman"/>
              <w:sz w:val="24"/>
              <w:szCs w:val="24"/>
              <w:u w:val="single"/>
            </w:rPr>
            <w:t xml:space="preserve">Sociedad Portuaria Las </w:t>
          </w:r>
          <w:r w:rsidR="006A0BC5" w:rsidRPr="00CB0596">
            <w:rPr>
              <w:rFonts w:ascii="Times New Roman" w:eastAsiaTheme="minorHAnsi" w:hAnsi="Times New Roman"/>
              <w:sz w:val="24"/>
              <w:szCs w:val="24"/>
              <w:u w:val="single"/>
            </w:rPr>
            <w:t>Américas</w:t>
          </w:r>
          <w:r w:rsidRPr="00CB0596">
            <w:rPr>
              <w:rFonts w:ascii="Times New Roman" w:eastAsiaTheme="minorHAnsi" w:hAnsi="Times New Roman"/>
              <w:sz w:val="24"/>
              <w:szCs w:val="24"/>
              <w:u w:val="single"/>
            </w:rPr>
            <w:t xml:space="preserve"> S.A</w:t>
          </w:r>
          <w:r w:rsidR="009F1677">
            <w:rPr>
              <w:rFonts w:ascii="Times New Roman" w:eastAsiaTheme="minorHAnsi" w:hAnsi="Times New Roman"/>
              <w:sz w:val="24"/>
              <w:szCs w:val="24"/>
              <w:u w:val="single"/>
            </w:rPr>
            <w:t xml:space="preserve">: </w:t>
          </w:r>
          <w:r>
            <w:rPr>
              <w:rFonts w:ascii="Times New Roman" w:eastAsiaTheme="minorHAnsi" w:hAnsi="Times New Roman"/>
              <w:sz w:val="24"/>
              <w:szCs w:val="24"/>
            </w:rPr>
            <w:t xml:space="preserve">Corresponde a las sanciones </w:t>
          </w:r>
          <w:r w:rsidR="006A0BC5">
            <w:rPr>
              <w:rFonts w:ascii="Times New Roman" w:eastAsiaTheme="minorHAnsi" w:hAnsi="Times New Roman"/>
              <w:sz w:val="24"/>
              <w:szCs w:val="24"/>
            </w:rPr>
            <w:t>contractuales</w:t>
          </w:r>
          <w:r>
            <w:rPr>
              <w:rFonts w:ascii="Times New Roman" w:eastAsiaTheme="minorHAnsi" w:hAnsi="Times New Roman"/>
              <w:sz w:val="24"/>
              <w:szCs w:val="24"/>
            </w:rPr>
            <w:t xml:space="preserve"> determinadas mediante las Resoluciones </w:t>
          </w:r>
          <w:r w:rsidR="00251AF6" w:rsidRPr="006A0BC5">
            <w:rPr>
              <w:rFonts w:ascii="Times New Roman" w:eastAsiaTheme="minorHAnsi" w:hAnsi="Times New Roman"/>
              <w:sz w:val="24"/>
              <w:szCs w:val="24"/>
            </w:rPr>
            <w:t xml:space="preserve">20227070015105 del 22 de </w:t>
          </w:r>
          <w:r w:rsidR="006A0BC5" w:rsidRPr="006A0BC5">
            <w:rPr>
              <w:rFonts w:ascii="Times New Roman" w:eastAsiaTheme="minorHAnsi" w:hAnsi="Times New Roman"/>
              <w:sz w:val="24"/>
              <w:szCs w:val="24"/>
            </w:rPr>
            <w:t>septiembre</w:t>
          </w:r>
          <w:r w:rsidR="00251AF6" w:rsidRPr="006A0BC5">
            <w:rPr>
              <w:rFonts w:ascii="Times New Roman" w:eastAsiaTheme="minorHAnsi" w:hAnsi="Times New Roman"/>
              <w:sz w:val="24"/>
              <w:szCs w:val="24"/>
            </w:rPr>
            <w:t xml:space="preserve"> de 2022 y 20237070001545 </w:t>
          </w:r>
          <w:r w:rsidR="004F1939" w:rsidRPr="006A0BC5">
            <w:rPr>
              <w:rFonts w:ascii="Times New Roman" w:eastAsiaTheme="minorHAnsi" w:hAnsi="Times New Roman"/>
              <w:sz w:val="24"/>
              <w:szCs w:val="24"/>
            </w:rPr>
            <w:t>y 08 de febrero de 2023</w:t>
          </w:r>
          <w:r w:rsidR="00BA048F">
            <w:rPr>
              <w:rFonts w:ascii="Times New Roman" w:eastAsiaTheme="minorHAnsi" w:hAnsi="Times New Roman"/>
              <w:sz w:val="24"/>
              <w:szCs w:val="24"/>
            </w:rPr>
            <w:t xml:space="preserve">, las cuales fueron impuestas en dólares de los </w:t>
          </w:r>
          <w:r w:rsidR="00BA048F" w:rsidRPr="00931DCE">
            <w:rPr>
              <w:rFonts w:ascii="Times New Roman" w:hAnsi="Times New Roman"/>
              <w:sz w:val="24"/>
              <w:szCs w:val="24"/>
              <w:lang w:bidi="es-ES"/>
            </w:rPr>
            <w:t>Estados Unidos de Norte América (USD) y reexpresadas a la TRM del 31 de diciembre de 202</w:t>
          </w:r>
          <w:r w:rsidR="00BA048F">
            <w:rPr>
              <w:rFonts w:ascii="Times New Roman" w:hAnsi="Times New Roman"/>
              <w:sz w:val="24"/>
              <w:szCs w:val="24"/>
              <w:lang w:bidi="es-ES"/>
            </w:rPr>
            <w:t>3.</w:t>
          </w:r>
        </w:p>
        <w:p w14:paraId="116A5ACE" w14:textId="77777777" w:rsidR="00AE6B92" w:rsidRPr="00931DCE" w:rsidRDefault="00AE6B92" w:rsidP="00D30C02">
          <w:pPr>
            <w:spacing w:after="0" w:line="240" w:lineRule="auto"/>
            <w:ind w:right="48"/>
            <w:jc w:val="both"/>
            <w:rPr>
              <w:rFonts w:ascii="Times New Roman" w:hAnsi="Times New Roman"/>
              <w:sz w:val="24"/>
              <w:szCs w:val="24"/>
              <w:lang w:bidi="es-ES"/>
            </w:rPr>
          </w:pPr>
        </w:p>
        <w:p w14:paraId="73332889" w14:textId="6BBB6187" w:rsidR="006262DB" w:rsidRDefault="00CA2FF3" w:rsidP="006262DB">
          <w:pPr>
            <w:spacing w:after="0" w:line="240" w:lineRule="auto"/>
            <w:ind w:right="48"/>
            <w:jc w:val="both"/>
            <w:rPr>
              <w:rFonts w:ascii="Times New Roman" w:hAnsi="Times New Roman"/>
              <w:sz w:val="24"/>
              <w:szCs w:val="24"/>
              <w:lang w:bidi="es-ES"/>
            </w:rPr>
          </w:pPr>
          <w:r w:rsidRPr="00AF4EC8">
            <w:rPr>
              <w:rFonts w:ascii="Times New Roman" w:eastAsiaTheme="minorHAnsi" w:hAnsi="Times New Roman"/>
              <w:sz w:val="24"/>
              <w:szCs w:val="24"/>
              <w:u w:val="single"/>
            </w:rPr>
            <w:t>Sociedad Portuaria Regional Tumaco Pacific Port</w:t>
          </w:r>
          <w:r w:rsidR="00AF4EC8" w:rsidRPr="00AF4EC8">
            <w:rPr>
              <w:rFonts w:ascii="Times New Roman" w:eastAsiaTheme="minorHAnsi" w:hAnsi="Times New Roman"/>
              <w:sz w:val="24"/>
              <w:szCs w:val="24"/>
              <w:u w:val="single"/>
            </w:rPr>
            <w:t xml:space="preserve"> S.A</w:t>
          </w:r>
          <w:r w:rsidR="006262DB">
            <w:rPr>
              <w:rFonts w:ascii="Times New Roman" w:eastAsiaTheme="minorHAnsi" w:hAnsi="Times New Roman"/>
              <w:sz w:val="24"/>
              <w:szCs w:val="24"/>
              <w:u w:val="single"/>
            </w:rPr>
            <w:t xml:space="preserve">: </w:t>
          </w:r>
          <w:r w:rsidR="006262DB">
            <w:rPr>
              <w:rFonts w:ascii="Times New Roman" w:eastAsiaTheme="minorHAnsi" w:hAnsi="Times New Roman"/>
              <w:sz w:val="24"/>
              <w:szCs w:val="24"/>
            </w:rPr>
            <w:t xml:space="preserve">Corresponde a las sanciones contractuales determinadas mediante las Resoluciones </w:t>
          </w:r>
          <w:r w:rsidR="007075F2">
            <w:rPr>
              <w:rFonts w:ascii="Times New Roman" w:eastAsiaTheme="minorHAnsi" w:hAnsi="Times New Roman"/>
              <w:sz w:val="24"/>
              <w:szCs w:val="24"/>
            </w:rPr>
            <w:t xml:space="preserve">ANI No </w:t>
          </w:r>
          <w:r w:rsidR="00352C7C">
            <w:rPr>
              <w:rFonts w:ascii="Times New Roman" w:eastAsiaTheme="minorHAnsi" w:hAnsi="Times New Roman"/>
              <w:sz w:val="24"/>
              <w:szCs w:val="24"/>
            </w:rPr>
            <w:t>2023707</w:t>
          </w:r>
          <w:r w:rsidR="00975C8B">
            <w:rPr>
              <w:rFonts w:ascii="Times New Roman" w:eastAsiaTheme="minorHAnsi" w:hAnsi="Times New Roman"/>
              <w:sz w:val="24"/>
              <w:szCs w:val="24"/>
            </w:rPr>
            <w:t xml:space="preserve">0005845 del 23 de mayo de 2023 y </w:t>
          </w:r>
          <w:r w:rsidR="00ED2494">
            <w:rPr>
              <w:rFonts w:ascii="Times New Roman" w:eastAsiaTheme="minorHAnsi" w:hAnsi="Times New Roman"/>
              <w:sz w:val="24"/>
              <w:szCs w:val="24"/>
            </w:rPr>
            <w:t>20237070014</w:t>
          </w:r>
          <w:r w:rsidR="00521CA1">
            <w:rPr>
              <w:rFonts w:ascii="Times New Roman" w:eastAsiaTheme="minorHAnsi" w:hAnsi="Times New Roman"/>
              <w:sz w:val="24"/>
              <w:szCs w:val="24"/>
            </w:rPr>
            <w:t>435 del 26 de octubre de 2023</w:t>
          </w:r>
          <w:r w:rsidR="006262DB">
            <w:rPr>
              <w:rFonts w:ascii="Times New Roman" w:eastAsiaTheme="minorHAnsi" w:hAnsi="Times New Roman"/>
              <w:sz w:val="24"/>
              <w:szCs w:val="24"/>
            </w:rPr>
            <w:t xml:space="preserve"> las cuales fueron impuestas en dólares de los </w:t>
          </w:r>
          <w:r w:rsidR="006262DB" w:rsidRPr="00931DCE">
            <w:rPr>
              <w:rFonts w:ascii="Times New Roman" w:hAnsi="Times New Roman"/>
              <w:sz w:val="24"/>
              <w:szCs w:val="24"/>
              <w:lang w:bidi="es-ES"/>
            </w:rPr>
            <w:t>Estados Unidos de Norte América (USD) y reexpresadas a la TRM del 31 de diciembre de 202</w:t>
          </w:r>
          <w:r w:rsidR="006262DB">
            <w:rPr>
              <w:rFonts w:ascii="Times New Roman" w:hAnsi="Times New Roman"/>
              <w:sz w:val="24"/>
              <w:szCs w:val="24"/>
              <w:lang w:bidi="es-ES"/>
            </w:rPr>
            <w:t>3.</w:t>
          </w:r>
        </w:p>
        <w:p w14:paraId="09FB19FB" w14:textId="77777777" w:rsidR="00D046E3" w:rsidRPr="00931DCE" w:rsidRDefault="00D046E3" w:rsidP="00A445F3">
          <w:pPr>
            <w:spacing w:after="0" w:line="240" w:lineRule="auto"/>
            <w:ind w:right="-3"/>
            <w:jc w:val="both"/>
            <w:rPr>
              <w:rFonts w:ascii="Times New Roman" w:hAnsi="Times New Roman"/>
              <w:sz w:val="24"/>
              <w:szCs w:val="24"/>
              <w:lang w:bidi="es-ES"/>
            </w:rPr>
          </w:pPr>
        </w:p>
        <w:p w14:paraId="2CD93E3E" w14:textId="12842DEE" w:rsidR="00996F07" w:rsidRPr="000373B4" w:rsidRDefault="00791C28" w:rsidP="00A445F3">
          <w:pPr>
            <w:spacing w:after="0" w:line="240" w:lineRule="auto"/>
            <w:ind w:right="-3"/>
            <w:jc w:val="both"/>
            <w:rPr>
              <w:rFonts w:ascii="Times New Roman" w:eastAsiaTheme="minorHAnsi" w:hAnsi="Times New Roman"/>
              <w:sz w:val="24"/>
              <w:szCs w:val="24"/>
            </w:rPr>
          </w:pPr>
          <w:r w:rsidRPr="00791C28">
            <w:rPr>
              <w:rFonts w:ascii="Times New Roman" w:eastAsiaTheme="minorHAnsi" w:hAnsi="Times New Roman"/>
              <w:sz w:val="24"/>
              <w:szCs w:val="24"/>
              <w:u w:val="single"/>
            </w:rPr>
            <w:t>M P S Importaciones Y Exportacion</w:t>
          </w:r>
          <w:r>
            <w:rPr>
              <w:rFonts w:ascii="Times New Roman" w:eastAsiaTheme="minorHAnsi" w:hAnsi="Times New Roman"/>
              <w:sz w:val="24"/>
              <w:szCs w:val="24"/>
              <w:u w:val="single"/>
            </w:rPr>
            <w:t>es</w:t>
          </w:r>
          <w:r w:rsidRPr="00791C28">
            <w:rPr>
              <w:rFonts w:ascii="Times New Roman" w:eastAsiaTheme="minorHAnsi" w:hAnsi="Times New Roman"/>
              <w:sz w:val="24"/>
              <w:szCs w:val="24"/>
              <w:u w:val="single"/>
            </w:rPr>
            <w:t xml:space="preserve"> S.A.S</w:t>
          </w:r>
          <w:r w:rsidR="00996F07">
            <w:rPr>
              <w:rFonts w:ascii="Times New Roman" w:eastAsiaTheme="minorHAnsi" w:hAnsi="Times New Roman"/>
              <w:sz w:val="24"/>
              <w:szCs w:val="24"/>
              <w:u w:val="single"/>
            </w:rPr>
            <w:t xml:space="preserve">: </w:t>
          </w:r>
          <w:r w:rsidR="00996F07">
            <w:rPr>
              <w:rFonts w:ascii="Times New Roman" w:eastAsiaTheme="minorHAnsi" w:hAnsi="Times New Roman"/>
              <w:sz w:val="24"/>
              <w:szCs w:val="24"/>
            </w:rPr>
            <w:t xml:space="preserve">Corresponde a las sanciones contractuales determinadas mediante las Resoluciones ANI No </w:t>
          </w:r>
          <w:r w:rsidR="000648BA" w:rsidRPr="000373B4">
            <w:rPr>
              <w:rFonts w:ascii="Times New Roman" w:eastAsiaTheme="minorHAnsi" w:hAnsi="Times New Roman"/>
              <w:sz w:val="24"/>
              <w:szCs w:val="24"/>
            </w:rPr>
            <w:t xml:space="preserve">20227070020375 del 14 de </w:t>
          </w:r>
          <w:r w:rsidR="000373B4" w:rsidRPr="000373B4">
            <w:rPr>
              <w:rFonts w:ascii="Times New Roman" w:eastAsiaTheme="minorHAnsi" w:hAnsi="Times New Roman"/>
              <w:sz w:val="24"/>
              <w:szCs w:val="24"/>
            </w:rPr>
            <w:t>diciembre</w:t>
          </w:r>
          <w:r w:rsidR="000648BA" w:rsidRPr="000373B4">
            <w:rPr>
              <w:rFonts w:ascii="Times New Roman" w:eastAsiaTheme="minorHAnsi" w:hAnsi="Times New Roman"/>
              <w:sz w:val="24"/>
              <w:szCs w:val="24"/>
            </w:rPr>
            <w:t xml:space="preserve"> de 2022 y </w:t>
          </w:r>
          <w:r w:rsidR="00DA1937" w:rsidRPr="000373B4">
            <w:rPr>
              <w:rFonts w:ascii="Times New Roman" w:eastAsiaTheme="minorHAnsi" w:hAnsi="Times New Roman"/>
              <w:sz w:val="24"/>
              <w:szCs w:val="24"/>
            </w:rPr>
            <w:t xml:space="preserve">20237070005125 del 04 de mayo de </w:t>
          </w:r>
          <w:r w:rsidR="000373B4" w:rsidRPr="000373B4">
            <w:rPr>
              <w:rFonts w:ascii="Times New Roman" w:eastAsiaTheme="minorHAnsi" w:hAnsi="Times New Roman"/>
              <w:sz w:val="24"/>
              <w:szCs w:val="24"/>
            </w:rPr>
            <w:t>2023</w:t>
          </w:r>
          <w:r w:rsidR="00C66748">
            <w:rPr>
              <w:rFonts w:ascii="Times New Roman" w:eastAsiaTheme="minorHAnsi" w:hAnsi="Times New Roman"/>
              <w:sz w:val="24"/>
              <w:szCs w:val="24"/>
            </w:rPr>
            <w:t>.</w:t>
          </w:r>
        </w:p>
        <w:p w14:paraId="47318007" w14:textId="77777777" w:rsidR="00C429A2" w:rsidRDefault="00C429A2" w:rsidP="00A445F3">
          <w:pPr>
            <w:spacing w:after="0" w:line="240" w:lineRule="auto"/>
            <w:ind w:right="-3"/>
            <w:jc w:val="both"/>
            <w:rPr>
              <w:rFonts w:ascii="Times New Roman" w:eastAsiaTheme="minorHAnsi" w:hAnsi="Times New Roman"/>
              <w:sz w:val="24"/>
              <w:szCs w:val="24"/>
            </w:rPr>
          </w:pPr>
        </w:p>
        <w:p w14:paraId="13FFEB9D" w14:textId="77777777" w:rsidR="00553B35" w:rsidRDefault="00553B35" w:rsidP="00A445F3">
          <w:pPr>
            <w:spacing w:after="0" w:line="240" w:lineRule="auto"/>
            <w:ind w:right="-3"/>
            <w:jc w:val="both"/>
            <w:rPr>
              <w:rFonts w:ascii="Times New Roman" w:eastAsiaTheme="minorHAnsi" w:hAnsi="Times New Roman"/>
              <w:sz w:val="24"/>
              <w:szCs w:val="24"/>
            </w:rPr>
          </w:pPr>
        </w:p>
        <w:p w14:paraId="71FAB300" w14:textId="77777777" w:rsidR="004E5925" w:rsidRDefault="004E5925" w:rsidP="00A445F3">
          <w:pPr>
            <w:spacing w:after="0" w:line="240" w:lineRule="auto"/>
            <w:ind w:right="-3"/>
            <w:jc w:val="both"/>
            <w:rPr>
              <w:rFonts w:ascii="Times New Roman" w:eastAsiaTheme="minorHAnsi" w:hAnsi="Times New Roman"/>
              <w:sz w:val="24"/>
              <w:szCs w:val="24"/>
            </w:rPr>
          </w:pPr>
        </w:p>
        <w:tbl>
          <w:tblPr>
            <w:tblW w:w="5000" w:type="pct"/>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blBorders>
            <w:tblCellMar>
              <w:left w:w="70" w:type="dxa"/>
              <w:right w:w="70" w:type="dxa"/>
            </w:tblCellMar>
            <w:tblLook w:val="04A0" w:firstRow="1" w:lastRow="0" w:firstColumn="1" w:lastColumn="0" w:noHBand="0" w:noVBand="1"/>
          </w:tblPr>
          <w:tblGrid>
            <w:gridCol w:w="1121"/>
            <w:gridCol w:w="848"/>
            <w:gridCol w:w="1991"/>
            <w:gridCol w:w="1134"/>
            <w:gridCol w:w="1915"/>
            <w:gridCol w:w="982"/>
            <w:gridCol w:w="968"/>
          </w:tblGrid>
          <w:tr w:rsidR="00C429A2" w:rsidRPr="00C429A2" w14:paraId="2B50FD27" w14:textId="77777777" w:rsidTr="0001000A">
            <w:trPr>
              <w:trHeight w:val="720"/>
            </w:trPr>
            <w:tc>
              <w:tcPr>
                <w:tcW w:w="626" w:type="pct"/>
                <w:shd w:val="clear" w:color="auto" w:fill="auto"/>
                <w:vAlign w:val="center"/>
                <w:hideMark/>
              </w:tcPr>
              <w:p w14:paraId="3F75074B" w14:textId="77777777" w:rsidR="00C429A2" w:rsidRPr="00C429A2" w:rsidRDefault="00C429A2" w:rsidP="00C429A2">
                <w:pPr>
                  <w:spacing w:after="0" w:line="240" w:lineRule="auto"/>
                  <w:jc w:val="center"/>
                  <w:rPr>
                    <w:rFonts w:ascii="Times New Roman" w:eastAsia="Times New Roman" w:hAnsi="Times New Roman"/>
                    <w:b/>
                    <w:bCs/>
                    <w:color w:val="000000"/>
                    <w:sz w:val="14"/>
                    <w:szCs w:val="14"/>
                    <w:lang w:eastAsia="es-CO"/>
                  </w:rPr>
                </w:pPr>
                <w:r w:rsidRPr="00C429A2">
                  <w:rPr>
                    <w:rFonts w:ascii="Times New Roman" w:eastAsia="Times New Roman" w:hAnsi="Times New Roman"/>
                    <w:b/>
                    <w:bCs/>
                    <w:color w:val="000000"/>
                    <w:sz w:val="14"/>
                    <w:szCs w:val="14"/>
                    <w:lang w:eastAsia="es-CO"/>
                  </w:rPr>
                  <w:lastRenderedPageBreak/>
                  <w:t>DESCRIPCIÓN</w:t>
                </w:r>
              </w:p>
            </w:tc>
            <w:tc>
              <w:tcPr>
                <w:tcW w:w="473" w:type="pct"/>
                <w:shd w:val="clear" w:color="auto" w:fill="auto"/>
                <w:vAlign w:val="center"/>
                <w:hideMark/>
              </w:tcPr>
              <w:p w14:paraId="07A59A99" w14:textId="77777777" w:rsidR="00C429A2" w:rsidRPr="00C429A2" w:rsidRDefault="00C429A2" w:rsidP="00C429A2">
                <w:pPr>
                  <w:spacing w:after="0" w:line="240" w:lineRule="auto"/>
                  <w:jc w:val="center"/>
                  <w:rPr>
                    <w:rFonts w:ascii="Times New Roman" w:eastAsia="Times New Roman" w:hAnsi="Times New Roman"/>
                    <w:b/>
                    <w:bCs/>
                    <w:color w:val="000000"/>
                    <w:sz w:val="14"/>
                    <w:szCs w:val="14"/>
                    <w:lang w:eastAsia="es-CO"/>
                  </w:rPr>
                </w:pPr>
                <w:r w:rsidRPr="00C429A2">
                  <w:rPr>
                    <w:rFonts w:ascii="Times New Roman" w:eastAsia="Times New Roman" w:hAnsi="Times New Roman"/>
                    <w:b/>
                    <w:bCs/>
                    <w:color w:val="000000"/>
                    <w:sz w:val="14"/>
                    <w:szCs w:val="14"/>
                    <w:lang w:eastAsia="es-CO"/>
                  </w:rPr>
                  <w:t>CODIGO AUXILIAR</w:t>
                </w:r>
              </w:p>
            </w:tc>
            <w:tc>
              <w:tcPr>
                <w:tcW w:w="1111" w:type="pct"/>
                <w:shd w:val="clear" w:color="auto" w:fill="auto"/>
                <w:vAlign w:val="center"/>
                <w:hideMark/>
              </w:tcPr>
              <w:p w14:paraId="77288498" w14:textId="77777777" w:rsidR="00C429A2" w:rsidRPr="00C429A2" w:rsidRDefault="00C429A2" w:rsidP="00C429A2">
                <w:pPr>
                  <w:spacing w:after="0" w:line="240" w:lineRule="auto"/>
                  <w:jc w:val="center"/>
                  <w:rPr>
                    <w:rFonts w:ascii="Times New Roman" w:eastAsia="Times New Roman" w:hAnsi="Times New Roman"/>
                    <w:b/>
                    <w:bCs/>
                    <w:color w:val="000000"/>
                    <w:sz w:val="14"/>
                    <w:szCs w:val="14"/>
                    <w:lang w:eastAsia="es-CO"/>
                  </w:rPr>
                </w:pPr>
                <w:r w:rsidRPr="00C429A2">
                  <w:rPr>
                    <w:rFonts w:ascii="Times New Roman" w:eastAsia="Times New Roman" w:hAnsi="Times New Roman"/>
                    <w:b/>
                    <w:bCs/>
                    <w:color w:val="000000"/>
                    <w:sz w:val="14"/>
                    <w:szCs w:val="14"/>
                    <w:lang w:eastAsia="es-CO"/>
                  </w:rPr>
                  <w:t>DESCRIPCIÓN AUXILIAR</w:t>
                </w:r>
              </w:p>
            </w:tc>
            <w:tc>
              <w:tcPr>
                <w:tcW w:w="633" w:type="pct"/>
                <w:shd w:val="clear" w:color="auto" w:fill="auto"/>
                <w:vAlign w:val="center"/>
                <w:hideMark/>
              </w:tcPr>
              <w:p w14:paraId="3DC8B081" w14:textId="77777777" w:rsidR="0001000A" w:rsidRDefault="00C429A2" w:rsidP="00C429A2">
                <w:pPr>
                  <w:spacing w:after="0" w:line="240" w:lineRule="auto"/>
                  <w:jc w:val="center"/>
                  <w:rPr>
                    <w:rFonts w:ascii="Times New Roman" w:eastAsia="Times New Roman" w:hAnsi="Times New Roman"/>
                    <w:b/>
                    <w:bCs/>
                    <w:color w:val="000000"/>
                    <w:sz w:val="14"/>
                    <w:szCs w:val="14"/>
                    <w:lang w:eastAsia="es-CO"/>
                  </w:rPr>
                </w:pPr>
                <w:r w:rsidRPr="00C429A2">
                  <w:rPr>
                    <w:rFonts w:ascii="Times New Roman" w:eastAsia="Times New Roman" w:hAnsi="Times New Roman"/>
                    <w:b/>
                    <w:bCs/>
                    <w:color w:val="000000"/>
                    <w:sz w:val="14"/>
                    <w:szCs w:val="14"/>
                    <w:lang w:eastAsia="es-CO"/>
                  </w:rPr>
                  <w:t xml:space="preserve">VALOR </w:t>
                </w:r>
              </w:p>
              <w:p w14:paraId="6873B114" w14:textId="7F676CDF" w:rsidR="00C429A2" w:rsidRPr="00C429A2" w:rsidRDefault="00C429A2" w:rsidP="00C429A2">
                <w:pPr>
                  <w:spacing w:after="0" w:line="240" w:lineRule="auto"/>
                  <w:jc w:val="center"/>
                  <w:rPr>
                    <w:rFonts w:ascii="Times New Roman" w:eastAsia="Times New Roman" w:hAnsi="Times New Roman"/>
                    <w:b/>
                    <w:bCs/>
                    <w:color w:val="000000"/>
                    <w:sz w:val="14"/>
                    <w:szCs w:val="14"/>
                    <w:lang w:eastAsia="es-CO"/>
                  </w:rPr>
                </w:pPr>
                <w:r w:rsidRPr="00C429A2">
                  <w:rPr>
                    <w:rFonts w:ascii="Times New Roman" w:eastAsia="Times New Roman" w:hAnsi="Times New Roman"/>
                    <w:b/>
                    <w:bCs/>
                    <w:color w:val="000000"/>
                    <w:sz w:val="14"/>
                    <w:szCs w:val="14"/>
                    <w:lang w:eastAsia="es-CO"/>
                  </w:rPr>
                  <w:t>31-12-2023</w:t>
                </w:r>
              </w:p>
            </w:tc>
            <w:tc>
              <w:tcPr>
                <w:tcW w:w="1069" w:type="pct"/>
                <w:shd w:val="clear" w:color="auto" w:fill="auto"/>
                <w:vAlign w:val="center"/>
                <w:hideMark/>
              </w:tcPr>
              <w:p w14:paraId="395D41D4" w14:textId="77777777" w:rsidR="00C429A2" w:rsidRPr="00C429A2" w:rsidRDefault="00C429A2" w:rsidP="00C429A2">
                <w:pPr>
                  <w:spacing w:after="0" w:line="240" w:lineRule="auto"/>
                  <w:jc w:val="center"/>
                  <w:rPr>
                    <w:rFonts w:ascii="Times New Roman" w:eastAsia="Times New Roman" w:hAnsi="Times New Roman"/>
                    <w:b/>
                    <w:bCs/>
                    <w:color w:val="000000"/>
                    <w:sz w:val="14"/>
                    <w:szCs w:val="14"/>
                    <w:lang w:eastAsia="es-CO"/>
                  </w:rPr>
                </w:pPr>
                <w:r w:rsidRPr="00C429A2">
                  <w:rPr>
                    <w:rFonts w:ascii="Times New Roman" w:eastAsia="Times New Roman" w:hAnsi="Times New Roman"/>
                    <w:b/>
                    <w:bCs/>
                    <w:color w:val="000000"/>
                    <w:sz w:val="14"/>
                    <w:szCs w:val="14"/>
                    <w:lang w:eastAsia="es-CO"/>
                  </w:rPr>
                  <w:t xml:space="preserve">FECHA DE RESOLUCION </w:t>
                </w:r>
              </w:p>
            </w:tc>
            <w:tc>
              <w:tcPr>
                <w:tcW w:w="548" w:type="pct"/>
                <w:shd w:val="clear" w:color="auto" w:fill="auto"/>
                <w:vAlign w:val="center"/>
                <w:hideMark/>
              </w:tcPr>
              <w:p w14:paraId="49B33BA1" w14:textId="77777777" w:rsidR="00C429A2" w:rsidRPr="00C429A2" w:rsidRDefault="00C429A2" w:rsidP="00C429A2">
                <w:pPr>
                  <w:spacing w:after="0" w:line="240" w:lineRule="auto"/>
                  <w:jc w:val="center"/>
                  <w:rPr>
                    <w:rFonts w:ascii="Times New Roman" w:eastAsia="Times New Roman" w:hAnsi="Times New Roman"/>
                    <w:b/>
                    <w:bCs/>
                    <w:color w:val="000000"/>
                    <w:sz w:val="14"/>
                    <w:szCs w:val="14"/>
                    <w:lang w:eastAsia="es-CO"/>
                  </w:rPr>
                </w:pPr>
                <w:r w:rsidRPr="00C429A2">
                  <w:rPr>
                    <w:rFonts w:ascii="Times New Roman" w:eastAsia="Times New Roman" w:hAnsi="Times New Roman"/>
                    <w:b/>
                    <w:bCs/>
                    <w:color w:val="000000"/>
                    <w:sz w:val="14"/>
                    <w:szCs w:val="14"/>
                    <w:lang w:eastAsia="es-CO"/>
                  </w:rPr>
                  <w:t>Fecha de Ejecutoria</w:t>
                </w:r>
              </w:p>
            </w:tc>
            <w:tc>
              <w:tcPr>
                <w:tcW w:w="540" w:type="pct"/>
                <w:shd w:val="clear" w:color="auto" w:fill="auto"/>
                <w:vAlign w:val="center"/>
                <w:hideMark/>
              </w:tcPr>
              <w:p w14:paraId="7C03729D" w14:textId="5FA158F2" w:rsidR="00C429A2" w:rsidRPr="00C429A2" w:rsidRDefault="00C429A2" w:rsidP="00C429A2">
                <w:pPr>
                  <w:spacing w:after="0" w:line="240" w:lineRule="auto"/>
                  <w:jc w:val="center"/>
                  <w:rPr>
                    <w:rFonts w:ascii="Times New Roman" w:eastAsia="Times New Roman" w:hAnsi="Times New Roman"/>
                    <w:b/>
                    <w:bCs/>
                    <w:color w:val="000000"/>
                    <w:sz w:val="14"/>
                    <w:szCs w:val="14"/>
                    <w:lang w:eastAsia="es-CO"/>
                  </w:rPr>
                </w:pPr>
                <w:r w:rsidRPr="00C429A2">
                  <w:rPr>
                    <w:rFonts w:ascii="Times New Roman" w:eastAsia="Times New Roman" w:hAnsi="Times New Roman"/>
                    <w:b/>
                    <w:bCs/>
                    <w:color w:val="000000"/>
                    <w:sz w:val="14"/>
                    <w:szCs w:val="14"/>
                    <w:lang w:eastAsia="es-CO"/>
                  </w:rPr>
                  <w:t>Fecha para realizar el pago sin intereses de mora (plazo)</w:t>
                </w:r>
              </w:p>
            </w:tc>
          </w:tr>
          <w:tr w:rsidR="00C429A2" w:rsidRPr="00C429A2" w14:paraId="7085077C" w14:textId="77777777" w:rsidTr="0001000A">
            <w:trPr>
              <w:trHeight w:val="555"/>
            </w:trPr>
            <w:tc>
              <w:tcPr>
                <w:tcW w:w="626" w:type="pct"/>
                <w:shd w:val="clear" w:color="auto" w:fill="auto"/>
                <w:vAlign w:val="center"/>
                <w:hideMark/>
              </w:tcPr>
              <w:p w14:paraId="5D0C8E6B"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Sanciones contractuales</w:t>
                </w:r>
              </w:p>
            </w:tc>
            <w:tc>
              <w:tcPr>
                <w:tcW w:w="473" w:type="pct"/>
                <w:shd w:val="clear" w:color="auto" w:fill="auto"/>
                <w:vAlign w:val="center"/>
                <w:hideMark/>
              </w:tcPr>
              <w:p w14:paraId="45C08320"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800235872</w:t>
                </w:r>
              </w:p>
            </w:tc>
            <w:tc>
              <w:tcPr>
                <w:tcW w:w="1111" w:type="pct"/>
                <w:shd w:val="clear" w:color="auto" w:fill="auto"/>
                <w:vAlign w:val="center"/>
                <w:hideMark/>
              </w:tcPr>
              <w:p w14:paraId="05733DD1" w14:textId="77777777" w:rsidR="00C429A2" w:rsidRPr="00C429A2" w:rsidRDefault="00C429A2" w:rsidP="0001000A">
                <w:pPr>
                  <w:spacing w:after="0" w:line="240" w:lineRule="auto"/>
                  <w:jc w:val="both"/>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CONCESIONARIA VIAL DE LOS ANDES S.A.S. COVIANDES S.A.S.</w:t>
                </w:r>
              </w:p>
            </w:tc>
            <w:tc>
              <w:tcPr>
                <w:tcW w:w="633" w:type="pct"/>
                <w:shd w:val="clear" w:color="auto" w:fill="auto"/>
                <w:vAlign w:val="center"/>
                <w:hideMark/>
              </w:tcPr>
              <w:p w14:paraId="31173093"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23.506.994.882</w:t>
                </w:r>
              </w:p>
            </w:tc>
            <w:tc>
              <w:tcPr>
                <w:tcW w:w="1069" w:type="pct"/>
                <w:shd w:val="clear" w:color="auto" w:fill="auto"/>
                <w:vAlign w:val="center"/>
                <w:hideMark/>
              </w:tcPr>
              <w:p w14:paraId="61AF5356" w14:textId="77777777" w:rsidR="00C429A2" w:rsidRPr="00C429A2" w:rsidRDefault="00C429A2" w:rsidP="0001000A">
                <w:pPr>
                  <w:spacing w:after="0" w:line="240" w:lineRule="auto"/>
                  <w:jc w:val="both"/>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20/12/2019 (Resolución No. 1956 Perjuicios: $33.359.652.082)</w:t>
                </w:r>
              </w:p>
            </w:tc>
            <w:tc>
              <w:tcPr>
                <w:tcW w:w="548" w:type="pct"/>
                <w:shd w:val="clear" w:color="auto" w:fill="auto"/>
                <w:noWrap/>
                <w:vAlign w:val="center"/>
                <w:hideMark/>
              </w:tcPr>
              <w:p w14:paraId="1E1D0594"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15/01/2021</w:t>
                </w:r>
              </w:p>
            </w:tc>
            <w:tc>
              <w:tcPr>
                <w:tcW w:w="540" w:type="pct"/>
                <w:shd w:val="clear" w:color="auto" w:fill="auto"/>
                <w:noWrap/>
                <w:vAlign w:val="center"/>
                <w:hideMark/>
              </w:tcPr>
              <w:p w14:paraId="5A6BB17E"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15/01/2021</w:t>
                </w:r>
              </w:p>
            </w:tc>
          </w:tr>
          <w:tr w:rsidR="00C429A2" w:rsidRPr="00C429A2" w14:paraId="0D739F18" w14:textId="77777777" w:rsidTr="0001000A">
            <w:trPr>
              <w:trHeight w:val="375"/>
            </w:trPr>
            <w:tc>
              <w:tcPr>
                <w:tcW w:w="626" w:type="pct"/>
                <w:shd w:val="clear" w:color="auto" w:fill="auto"/>
                <w:vAlign w:val="center"/>
                <w:hideMark/>
              </w:tcPr>
              <w:p w14:paraId="3A7D22A6"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Sanciones contractuales</w:t>
                </w:r>
              </w:p>
            </w:tc>
            <w:tc>
              <w:tcPr>
                <w:tcW w:w="473" w:type="pct"/>
                <w:shd w:val="clear" w:color="auto" w:fill="auto"/>
                <w:vAlign w:val="center"/>
                <w:hideMark/>
              </w:tcPr>
              <w:p w14:paraId="6DA704DB"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819005181</w:t>
                </w:r>
              </w:p>
            </w:tc>
            <w:tc>
              <w:tcPr>
                <w:tcW w:w="1111" w:type="pct"/>
                <w:shd w:val="clear" w:color="auto" w:fill="auto"/>
                <w:vAlign w:val="center"/>
                <w:hideMark/>
              </w:tcPr>
              <w:p w14:paraId="3B723B7F" w14:textId="654E4BFF" w:rsidR="00C429A2" w:rsidRPr="00C429A2" w:rsidRDefault="00C429A2" w:rsidP="0001000A">
                <w:pPr>
                  <w:spacing w:after="0" w:line="240" w:lineRule="auto"/>
                  <w:jc w:val="both"/>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SOCIEDAD PORTUARIA RIO CORDOBA S A</w:t>
                </w:r>
              </w:p>
            </w:tc>
            <w:tc>
              <w:tcPr>
                <w:tcW w:w="633" w:type="pct"/>
                <w:shd w:val="clear" w:color="auto" w:fill="auto"/>
                <w:vAlign w:val="center"/>
                <w:hideMark/>
              </w:tcPr>
              <w:p w14:paraId="28614D62"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6.829.909</w:t>
                </w:r>
              </w:p>
            </w:tc>
            <w:tc>
              <w:tcPr>
                <w:tcW w:w="1069" w:type="pct"/>
                <w:shd w:val="clear" w:color="auto" w:fill="auto"/>
                <w:vAlign w:val="center"/>
                <w:hideMark/>
              </w:tcPr>
              <w:p w14:paraId="37E25EB3" w14:textId="77777777" w:rsidR="00C429A2" w:rsidRPr="00C429A2" w:rsidRDefault="00C429A2" w:rsidP="0001000A">
                <w:pPr>
                  <w:spacing w:after="0" w:line="240" w:lineRule="auto"/>
                  <w:jc w:val="both"/>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 xml:space="preserve">23/12/2019 (Resolución No. 1961) </w:t>
                </w:r>
              </w:p>
            </w:tc>
            <w:tc>
              <w:tcPr>
                <w:tcW w:w="548" w:type="pct"/>
                <w:shd w:val="clear" w:color="auto" w:fill="auto"/>
                <w:noWrap/>
                <w:vAlign w:val="center"/>
                <w:hideMark/>
              </w:tcPr>
              <w:p w14:paraId="0257D86A"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10/08/2020</w:t>
                </w:r>
              </w:p>
            </w:tc>
            <w:tc>
              <w:tcPr>
                <w:tcW w:w="540" w:type="pct"/>
                <w:shd w:val="clear" w:color="auto" w:fill="auto"/>
                <w:noWrap/>
                <w:vAlign w:val="center"/>
                <w:hideMark/>
              </w:tcPr>
              <w:p w14:paraId="7F1616BF"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10/08/2020</w:t>
                </w:r>
              </w:p>
            </w:tc>
          </w:tr>
          <w:tr w:rsidR="00C429A2" w:rsidRPr="00C429A2" w14:paraId="6E459BBC" w14:textId="77777777" w:rsidTr="0001000A">
            <w:trPr>
              <w:trHeight w:val="360"/>
            </w:trPr>
            <w:tc>
              <w:tcPr>
                <w:tcW w:w="626" w:type="pct"/>
                <w:shd w:val="clear" w:color="auto" w:fill="auto"/>
                <w:vAlign w:val="center"/>
                <w:hideMark/>
              </w:tcPr>
              <w:p w14:paraId="27AB0FF2"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Sanciones contractuales</w:t>
                </w:r>
              </w:p>
            </w:tc>
            <w:tc>
              <w:tcPr>
                <w:tcW w:w="473" w:type="pct"/>
                <w:shd w:val="clear" w:color="auto" w:fill="auto"/>
                <w:vAlign w:val="center"/>
                <w:hideMark/>
              </w:tcPr>
              <w:p w14:paraId="688F818A"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830081100</w:t>
                </w:r>
              </w:p>
            </w:tc>
            <w:tc>
              <w:tcPr>
                <w:tcW w:w="1111" w:type="pct"/>
                <w:shd w:val="clear" w:color="auto" w:fill="auto"/>
                <w:vAlign w:val="center"/>
                <w:hideMark/>
              </w:tcPr>
              <w:p w14:paraId="64698809" w14:textId="77777777" w:rsidR="00C429A2" w:rsidRPr="00C429A2" w:rsidRDefault="00C429A2" w:rsidP="0001000A">
                <w:pPr>
                  <w:spacing w:after="0" w:line="240" w:lineRule="auto"/>
                  <w:jc w:val="both"/>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M P S IMPORTACIONES Y EXPORTACIONES S.A.S</w:t>
                </w:r>
              </w:p>
            </w:tc>
            <w:tc>
              <w:tcPr>
                <w:tcW w:w="633" w:type="pct"/>
                <w:shd w:val="clear" w:color="auto" w:fill="auto"/>
                <w:vAlign w:val="center"/>
                <w:hideMark/>
              </w:tcPr>
              <w:p w14:paraId="3F94B99B"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4.680.000</w:t>
                </w:r>
              </w:p>
            </w:tc>
            <w:tc>
              <w:tcPr>
                <w:tcW w:w="1069" w:type="pct"/>
                <w:shd w:val="clear" w:color="auto" w:fill="auto"/>
                <w:vAlign w:val="center"/>
                <w:hideMark/>
              </w:tcPr>
              <w:p w14:paraId="47A13E35" w14:textId="77777777" w:rsidR="00C429A2" w:rsidRPr="00C429A2" w:rsidRDefault="00C429A2" w:rsidP="0001000A">
                <w:pPr>
                  <w:spacing w:after="0" w:line="240" w:lineRule="auto"/>
                  <w:jc w:val="both"/>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 xml:space="preserve">14/12/2022 (Resolución No. 20227070020375) </w:t>
                </w:r>
              </w:p>
            </w:tc>
            <w:tc>
              <w:tcPr>
                <w:tcW w:w="548" w:type="pct"/>
                <w:shd w:val="clear" w:color="auto" w:fill="auto"/>
                <w:noWrap/>
                <w:vAlign w:val="center"/>
                <w:hideMark/>
              </w:tcPr>
              <w:p w14:paraId="0FDC5B5D"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5/05/2023</w:t>
                </w:r>
              </w:p>
            </w:tc>
            <w:tc>
              <w:tcPr>
                <w:tcW w:w="540" w:type="pct"/>
                <w:shd w:val="clear" w:color="auto" w:fill="auto"/>
                <w:noWrap/>
                <w:vAlign w:val="center"/>
                <w:hideMark/>
              </w:tcPr>
              <w:p w14:paraId="13A9A5AD"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18/05/2023</w:t>
                </w:r>
              </w:p>
            </w:tc>
          </w:tr>
          <w:tr w:rsidR="00C429A2" w:rsidRPr="00C429A2" w14:paraId="0B2FFAA9" w14:textId="77777777" w:rsidTr="0001000A">
            <w:trPr>
              <w:trHeight w:val="360"/>
            </w:trPr>
            <w:tc>
              <w:tcPr>
                <w:tcW w:w="626" w:type="pct"/>
                <w:shd w:val="clear" w:color="auto" w:fill="auto"/>
                <w:vAlign w:val="center"/>
                <w:hideMark/>
              </w:tcPr>
              <w:p w14:paraId="7F747CD8"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Sanciones contractuales</w:t>
                </w:r>
              </w:p>
            </w:tc>
            <w:tc>
              <w:tcPr>
                <w:tcW w:w="473" w:type="pct"/>
                <w:shd w:val="clear" w:color="auto" w:fill="auto"/>
                <w:vAlign w:val="center"/>
                <w:hideMark/>
              </w:tcPr>
              <w:p w14:paraId="32E66CEC"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830146124</w:t>
                </w:r>
              </w:p>
            </w:tc>
            <w:tc>
              <w:tcPr>
                <w:tcW w:w="1111" w:type="pct"/>
                <w:shd w:val="clear" w:color="auto" w:fill="auto"/>
                <w:vAlign w:val="center"/>
                <w:hideMark/>
              </w:tcPr>
              <w:p w14:paraId="4CED565A" w14:textId="77777777" w:rsidR="00C429A2" w:rsidRPr="00C429A2" w:rsidRDefault="00C429A2" w:rsidP="0001000A">
                <w:pPr>
                  <w:spacing w:after="0" w:line="240" w:lineRule="auto"/>
                  <w:jc w:val="both"/>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DIGICOM SYSTEM CORPORATION SA</w:t>
                </w:r>
              </w:p>
            </w:tc>
            <w:tc>
              <w:tcPr>
                <w:tcW w:w="633" w:type="pct"/>
                <w:shd w:val="clear" w:color="auto" w:fill="auto"/>
                <w:vAlign w:val="center"/>
                <w:hideMark/>
              </w:tcPr>
              <w:p w14:paraId="48169283"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262.867.895</w:t>
                </w:r>
              </w:p>
            </w:tc>
            <w:tc>
              <w:tcPr>
                <w:tcW w:w="1069" w:type="pct"/>
                <w:shd w:val="clear" w:color="auto" w:fill="auto"/>
                <w:vAlign w:val="center"/>
                <w:hideMark/>
              </w:tcPr>
              <w:p w14:paraId="24FF80EF" w14:textId="77777777" w:rsidR="00C429A2" w:rsidRPr="00C429A2" w:rsidRDefault="00C429A2" w:rsidP="0001000A">
                <w:pPr>
                  <w:spacing w:after="0" w:line="240" w:lineRule="auto"/>
                  <w:jc w:val="both"/>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23/12/2022 (Resolución No. 20227070021345)</w:t>
                </w:r>
              </w:p>
            </w:tc>
            <w:tc>
              <w:tcPr>
                <w:tcW w:w="548" w:type="pct"/>
                <w:shd w:val="clear" w:color="auto" w:fill="auto"/>
                <w:noWrap/>
                <w:vAlign w:val="center"/>
                <w:hideMark/>
              </w:tcPr>
              <w:p w14:paraId="79022664"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3/03/2023</w:t>
                </w:r>
              </w:p>
            </w:tc>
            <w:tc>
              <w:tcPr>
                <w:tcW w:w="540" w:type="pct"/>
                <w:shd w:val="clear" w:color="auto" w:fill="auto"/>
                <w:noWrap/>
                <w:vAlign w:val="center"/>
                <w:hideMark/>
              </w:tcPr>
              <w:p w14:paraId="6287B4CD"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16/03/2023</w:t>
                </w:r>
              </w:p>
            </w:tc>
          </w:tr>
          <w:tr w:rsidR="00C429A2" w:rsidRPr="00C429A2" w14:paraId="479D791F" w14:textId="77777777" w:rsidTr="0001000A">
            <w:trPr>
              <w:trHeight w:val="540"/>
            </w:trPr>
            <w:tc>
              <w:tcPr>
                <w:tcW w:w="626" w:type="pct"/>
                <w:vMerge w:val="restart"/>
                <w:shd w:val="clear" w:color="000000" w:fill="FFFFFF"/>
                <w:vAlign w:val="center"/>
                <w:hideMark/>
              </w:tcPr>
              <w:p w14:paraId="4AAFE53C"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Sanciones contractuales</w:t>
                </w:r>
              </w:p>
            </w:tc>
            <w:tc>
              <w:tcPr>
                <w:tcW w:w="473" w:type="pct"/>
                <w:vMerge w:val="restart"/>
                <w:shd w:val="clear" w:color="000000" w:fill="FFFFFF"/>
                <w:vAlign w:val="center"/>
                <w:hideMark/>
              </w:tcPr>
              <w:p w14:paraId="58F9FF58"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839000348</w:t>
                </w:r>
              </w:p>
            </w:tc>
            <w:tc>
              <w:tcPr>
                <w:tcW w:w="1111" w:type="pct"/>
                <w:vMerge w:val="restart"/>
                <w:shd w:val="clear" w:color="000000" w:fill="FFFFFF"/>
                <w:vAlign w:val="center"/>
                <w:hideMark/>
              </w:tcPr>
              <w:p w14:paraId="09C5B6ED" w14:textId="77777777" w:rsidR="00C429A2" w:rsidRPr="00C429A2" w:rsidRDefault="00C429A2" w:rsidP="0001000A">
                <w:pPr>
                  <w:spacing w:after="0" w:line="240" w:lineRule="auto"/>
                  <w:jc w:val="both"/>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SOCIEDAD PORTUARIA DE LA PENINSULA</w:t>
                </w:r>
              </w:p>
            </w:tc>
            <w:tc>
              <w:tcPr>
                <w:tcW w:w="633" w:type="pct"/>
                <w:vMerge w:val="restart"/>
                <w:shd w:val="clear" w:color="auto" w:fill="auto"/>
                <w:vAlign w:val="center"/>
                <w:hideMark/>
              </w:tcPr>
              <w:p w14:paraId="0107616B"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79.280.490</w:t>
                </w:r>
              </w:p>
            </w:tc>
            <w:tc>
              <w:tcPr>
                <w:tcW w:w="1069" w:type="pct"/>
                <w:shd w:val="clear" w:color="auto" w:fill="auto"/>
                <w:vAlign w:val="center"/>
                <w:hideMark/>
              </w:tcPr>
              <w:p w14:paraId="1330E5A5" w14:textId="2DA09A94" w:rsidR="00C429A2" w:rsidRPr="00C429A2" w:rsidRDefault="00C429A2" w:rsidP="0001000A">
                <w:pPr>
                  <w:spacing w:after="0" w:line="240" w:lineRule="auto"/>
                  <w:jc w:val="both"/>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30/11/2020 (Resolución No. 20207070017545 Multa: USD$67.081,57)</w:t>
                </w:r>
              </w:p>
            </w:tc>
            <w:tc>
              <w:tcPr>
                <w:tcW w:w="548" w:type="pct"/>
                <w:shd w:val="clear" w:color="auto" w:fill="auto"/>
                <w:noWrap/>
                <w:vAlign w:val="center"/>
                <w:hideMark/>
              </w:tcPr>
              <w:p w14:paraId="55E69F04"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13/05/2021</w:t>
                </w:r>
              </w:p>
            </w:tc>
            <w:tc>
              <w:tcPr>
                <w:tcW w:w="540" w:type="pct"/>
                <w:shd w:val="clear" w:color="auto" w:fill="auto"/>
                <w:noWrap/>
                <w:vAlign w:val="center"/>
                <w:hideMark/>
              </w:tcPr>
              <w:p w14:paraId="0B6F4B03"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27/05/2021</w:t>
                </w:r>
              </w:p>
            </w:tc>
          </w:tr>
          <w:tr w:rsidR="00C429A2" w:rsidRPr="00C429A2" w14:paraId="0BA5CBAA" w14:textId="77777777" w:rsidTr="0001000A">
            <w:trPr>
              <w:trHeight w:val="540"/>
            </w:trPr>
            <w:tc>
              <w:tcPr>
                <w:tcW w:w="626" w:type="pct"/>
                <w:vMerge/>
                <w:vAlign w:val="center"/>
                <w:hideMark/>
              </w:tcPr>
              <w:p w14:paraId="7F3C7B97" w14:textId="77777777" w:rsidR="00C429A2" w:rsidRPr="00C429A2" w:rsidRDefault="00C429A2" w:rsidP="00C429A2">
                <w:pPr>
                  <w:spacing w:after="0" w:line="240" w:lineRule="auto"/>
                  <w:rPr>
                    <w:rFonts w:ascii="Times New Roman" w:eastAsia="Times New Roman" w:hAnsi="Times New Roman"/>
                    <w:color w:val="000000"/>
                    <w:sz w:val="14"/>
                    <w:szCs w:val="14"/>
                    <w:lang w:eastAsia="es-CO"/>
                  </w:rPr>
                </w:pPr>
              </w:p>
            </w:tc>
            <w:tc>
              <w:tcPr>
                <w:tcW w:w="473" w:type="pct"/>
                <w:vMerge/>
                <w:vAlign w:val="center"/>
                <w:hideMark/>
              </w:tcPr>
              <w:p w14:paraId="4E5E4E2F" w14:textId="77777777" w:rsidR="00C429A2" w:rsidRPr="00C429A2" w:rsidRDefault="00C429A2" w:rsidP="00C429A2">
                <w:pPr>
                  <w:spacing w:after="0" w:line="240" w:lineRule="auto"/>
                  <w:rPr>
                    <w:rFonts w:ascii="Times New Roman" w:eastAsia="Times New Roman" w:hAnsi="Times New Roman"/>
                    <w:color w:val="000000"/>
                    <w:sz w:val="14"/>
                    <w:szCs w:val="14"/>
                    <w:lang w:eastAsia="es-CO"/>
                  </w:rPr>
                </w:pPr>
              </w:p>
            </w:tc>
            <w:tc>
              <w:tcPr>
                <w:tcW w:w="1111" w:type="pct"/>
                <w:vMerge/>
                <w:vAlign w:val="center"/>
                <w:hideMark/>
              </w:tcPr>
              <w:p w14:paraId="12EA4482" w14:textId="77777777" w:rsidR="00C429A2" w:rsidRPr="00C429A2" w:rsidRDefault="00C429A2" w:rsidP="0001000A">
                <w:pPr>
                  <w:spacing w:after="0" w:line="240" w:lineRule="auto"/>
                  <w:jc w:val="both"/>
                  <w:rPr>
                    <w:rFonts w:ascii="Times New Roman" w:eastAsia="Times New Roman" w:hAnsi="Times New Roman"/>
                    <w:color w:val="000000"/>
                    <w:sz w:val="14"/>
                    <w:szCs w:val="14"/>
                    <w:lang w:eastAsia="es-CO"/>
                  </w:rPr>
                </w:pPr>
              </w:p>
            </w:tc>
            <w:tc>
              <w:tcPr>
                <w:tcW w:w="633" w:type="pct"/>
                <w:vMerge/>
                <w:vAlign w:val="center"/>
                <w:hideMark/>
              </w:tcPr>
              <w:p w14:paraId="4052E420" w14:textId="77777777" w:rsidR="00C429A2" w:rsidRPr="00C429A2" w:rsidRDefault="00C429A2" w:rsidP="00C429A2">
                <w:pPr>
                  <w:spacing w:after="0" w:line="240" w:lineRule="auto"/>
                  <w:rPr>
                    <w:rFonts w:ascii="Times New Roman" w:eastAsia="Times New Roman" w:hAnsi="Times New Roman"/>
                    <w:color w:val="000000"/>
                    <w:sz w:val="14"/>
                    <w:szCs w:val="14"/>
                    <w:lang w:eastAsia="es-CO"/>
                  </w:rPr>
                </w:pPr>
              </w:p>
            </w:tc>
            <w:tc>
              <w:tcPr>
                <w:tcW w:w="1069" w:type="pct"/>
                <w:shd w:val="clear" w:color="auto" w:fill="auto"/>
                <w:vAlign w:val="center"/>
                <w:hideMark/>
              </w:tcPr>
              <w:p w14:paraId="4706829B" w14:textId="77777777" w:rsidR="00C429A2" w:rsidRPr="00C429A2" w:rsidRDefault="00C429A2" w:rsidP="0001000A">
                <w:pPr>
                  <w:spacing w:after="0" w:line="240" w:lineRule="auto"/>
                  <w:jc w:val="both"/>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26/09/2022 (Resolución No. 20227070015165 Perjuicios: $1.049.674.163)</w:t>
                </w:r>
              </w:p>
            </w:tc>
            <w:tc>
              <w:tcPr>
                <w:tcW w:w="548" w:type="pct"/>
                <w:shd w:val="clear" w:color="auto" w:fill="auto"/>
                <w:noWrap/>
                <w:vAlign w:val="center"/>
                <w:hideMark/>
              </w:tcPr>
              <w:p w14:paraId="5FCD4C1F"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19/12/2022</w:t>
                </w:r>
              </w:p>
            </w:tc>
            <w:tc>
              <w:tcPr>
                <w:tcW w:w="540" w:type="pct"/>
                <w:shd w:val="clear" w:color="auto" w:fill="auto"/>
                <w:noWrap/>
                <w:vAlign w:val="center"/>
                <w:hideMark/>
              </w:tcPr>
              <w:p w14:paraId="61EE3CF7"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30/12/2022</w:t>
                </w:r>
              </w:p>
            </w:tc>
          </w:tr>
          <w:tr w:rsidR="00C429A2" w:rsidRPr="00C429A2" w14:paraId="7DC4A7A9" w14:textId="77777777" w:rsidTr="0001000A">
            <w:trPr>
              <w:trHeight w:val="540"/>
            </w:trPr>
            <w:tc>
              <w:tcPr>
                <w:tcW w:w="626" w:type="pct"/>
                <w:vMerge/>
                <w:vAlign w:val="center"/>
                <w:hideMark/>
              </w:tcPr>
              <w:p w14:paraId="7282FCDD" w14:textId="77777777" w:rsidR="00C429A2" w:rsidRPr="00C429A2" w:rsidRDefault="00C429A2" w:rsidP="00C429A2">
                <w:pPr>
                  <w:spacing w:after="0" w:line="240" w:lineRule="auto"/>
                  <w:rPr>
                    <w:rFonts w:ascii="Times New Roman" w:eastAsia="Times New Roman" w:hAnsi="Times New Roman"/>
                    <w:color w:val="000000"/>
                    <w:sz w:val="14"/>
                    <w:szCs w:val="14"/>
                    <w:lang w:eastAsia="es-CO"/>
                  </w:rPr>
                </w:pPr>
              </w:p>
            </w:tc>
            <w:tc>
              <w:tcPr>
                <w:tcW w:w="473" w:type="pct"/>
                <w:vMerge/>
                <w:vAlign w:val="center"/>
                <w:hideMark/>
              </w:tcPr>
              <w:p w14:paraId="262BAEC3" w14:textId="77777777" w:rsidR="00C429A2" w:rsidRPr="00C429A2" w:rsidRDefault="00C429A2" w:rsidP="00C429A2">
                <w:pPr>
                  <w:spacing w:after="0" w:line="240" w:lineRule="auto"/>
                  <w:rPr>
                    <w:rFonts w:ascii="Times New Roman" w:eastAsia="Times New Roman" w:hAnsi="Times New Roman"/>
                    <w:color w:val="000000"/>
                    <w:sz w:val="14"/>
                    <w:szCs w:val="14"/>
                    <w:lang w:eastAsia="es-CO"/>
                  </w:rPr>
                </w:pPr>
              </w:p>
            </w:tc>
            <w:tc>
              <w:tcPr>
                <w:tcW w:w="1111" w:type="pct"/>
                <w:vMerge/>
                <w:vAlign w:val="center"/>
                <w:hideMark/>
              </w:tcPr>
              <w:p w14:paraId="74DC27B5" w14:textId="77777777" w:rsidR="00C429A2" w:rsidRPr="00C429A2" w:rsidRDefault="00C429A2" w:rsidP="0001000A">
                <w:pPr>
                  <w:spacing w:after="0" w:line="240" w:lineRule="auto"/>
                  <w:jc w:val="both"/>
                  <w:rPr>
                    <w:rFonts w:ascii="Times New Roman" w:eastAsia="Times New Roman" w:hAnsi="Times New Roman"/>
                    <w:color w:val="000000"/>
                    <w:sz w:val="14"/>
                    <w:szCs w:val="14"/>
                    <w:lang w:eastAsia="es-CO"/>
                  </w:rPr>
                </w:pPr>
              </w:p>
            </w:tc>
            <w:tc>
              <w:tcPr>
                <w:tcW w:w="633" w:type="pct"/>
                <w:vMerge/>
                <w:vAlign w:val="center"/>
                <w:hideMark/>
              </w:tcPr>
              <w:p w14:paraId="3CEC45C9" w14:textId="77777777" w:rsidR="00C429A2" w:rsidRPr="00C429A2" w:rsidRDefault="00C429A2" w:rsidP="00C429A2">
                <w:pPr>
                  <w:spacing w:after="0" w:line="240" w:lineRule="auto"/>
                  <w:rPr>
                    <w:rFonts w:ascii="Times New Roman" w:eastAsia="Times New Roman" w:hAnsi="Times New Roman"/>
                    <w:color w:val="000000"/>
                    <w:sz w:val="14"/>
                    <w:szCs w:val="14"/>
                    <w:lang w:eastAsia="es-CO"/>
                  </w:rPr>
                </w:pPr>
              </w:p>
            </w:tc>
            <w:tc>
              <w:tcPr>
                <w:tcW w:w="1069" w:type="pct"/>
                <w:shd w:val="clear" w:color="auto" w:fill="auto"/>
                <w:vAlign w:val="center"/>
                <w:hideMark/>
              </w:tcPr>
              <w:p w14:paraId="4F3E13C0" w14:textId="744545E4" w:rsidR="00C429A2" w:rsidRPr="00C429A2" w:rsidRDefault="00C429A2" w:rsidP="0001000A">
                <w:pPr>
                  <w:spacing w:after="0" w:line="240" w:lineRule="auto"/>
                  <w:jc w:val="both"/>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06/06/2022 (Resolución No. 20227070007315 Multa: USD$6.978,39)</w:t>
                </w:r>
              </w:p>
            </w:tc>
            <w:tc>
              <w:tcPr>
                <w:tcW w:w="548" w:type="pct"/>
                <w:shd w:val="clear" w:color="000000" w:fill="FFFFFF"/>
                <w:noWrap/>
                <w:vAlign w:val="center"/>
                <w:hideMark/>
              </w:tcPr>
              <w:p w14:paraId="1B887D86"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20/09/2022</w:t>
                </w:r>
              </w:p>
            </w:tc>
            <w:tc>
              <w:tcPr>
                <w:tcW w:w="540" w:type="pct"/>
                <w:shd w:val="clear" w:color="000000" w:fill="FFFFFF"/>
                <w:noWrap/>
                <w:vAlign w:val="center"/>
                <w:hideMark/>
              </w:tcPr>
              <w:p w14:paraId="5E44502D"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3/10/2022</w:t>
                </w:r>
              </w:p>
            </w:tc>
          </w:tr>
          <w:tr w:rsidR="00C429A2" w:rsidRPr="00C429A2" w14:paraId="5641C516" w14:textId="77777777" w:rsidTr="0001000A">
            <w:trPr>
              <w:trHeight w:val="360"/>
            </w:trPr>
            <w:tc>
              <w:tcPr>
                <w:tcW w:w="626" w:type="pct"/>
                <w:vMerge w:val="restart"/>
                <w:shd w:val="clear" w:color="000000" w:fill="FFFFFF"/>
                <w:vAlign w:val="center"/>
                <w:hideMark/>
              </w:tcPr>
              <w:p w14:paraId="7C60EC03"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Sanciones contractuales</w:t>
                </w:r>
              </w:p>
            </w:tc>
            <w:tc>
              <w:tcPr>
                <w:tcW w:w="473" w:type="pct"/>
                <w:vMerge w:val="restart"/>
                <w:shd w:val="clear" w:color="000000" w:fill="FFFFFF"/>
                <w:vAlign w:val="center"/>
                <w:hideMark/>
              </w:tcPr>
              <w:p w14:paraId="2D4B2567"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900243279</w:t>
                </w:r>
              </w:p>
            </w:tc>
            <w:tc>
              <w:tcPr>
                <w:tcW w:w="1111" w:type="pct"/>
                <w:vMerge w:val="restart"/>
                <w:shd w:val="clear" w:color="000000" w:fill="FFFFFF"/>
                <w:vAlign w:val="center"/>
                <w:hideMark/>
              </w:tcPr>
              <w:p w14:paraId="36E6B311" w14:textId="77777777" w:rsidR="00C429A2" w:rsidRPr="00C429A2" w:rsidRDefault="00C429A2" w:rsidP="0001000A">
                <w:pPr>
                  <w:spacing w:after="0" w:line="240" w:lineRule="auto"/>
                  <w:jc w:val="both"/>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SOCIEDAD PORTUARIA PUERTO HONDO S.A.</w:t>
                </w:r>
              </w:p>
            </w:tc>
            <w:tc>
              <w:tcPr>
                <w:tcW w:w="633" w:type="pct"/>
                <w:vMerge w:val="restart"/>
                <w:shd w:val="clear" w:color="auto" w:fill="auto"/>
                <w:vAlign w:val="center"/>
                <w:hideMark/>
              </w:tcPr>
              <w:p w14:paraId="4B705410"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52.896.637</w:t>
                </w:r>
              </w:p>
            </w:tc>
            <w:tc>
              <w:tcPr>
                <w:tcW w:w="1069" w:type="pct"/>
                <w:shd w:val="clear" w:color="auto" w:fill="auto"/>
                <w:vAlign w:val="center"/>
                <w:hideMark/>
              </w:tcPr>
              <w:p w14:paraId="2F55CF31" w14:textId="77777777" w:rsidR="00C429A2" w:rsidRPr="00C429A2" w:rsidRDefault="00C429A2" w:rsidP="0001000A">
                <w:pPr>
                  <w:spacing w:after="0" w:line="240" w:lineRule="auto"/>
                  <w:jc w:val="both"/>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06/06/2019 (Resolución No. 803 Multa: USD$4.544)</w:t>
                </w:r>
              </w:p>
            </w:tc>
            <w:tc>
              <w:tcPr>
                <w:tcW w:w="548" w:type="pct"/>
                <w:shd w:val="clear" w:color="000000" w:fill="FFFFFF"/>
                <w:noWrap/>
                <w:vAlign w:val="center"/>
                <w:hideMark/>
              </w:tcPr>
              <w:p w14:paraId="09FA5B6D"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27/08/2019</w:t>
                </w:r>
              </w:p>
            </w:tc>
            <w:tc>
              <w:tcPr>
                <w:tcW w:w="540" w:type="pct"/>
                <w:shd w:val="clear" w:color="000000" w:fill="FFFFFF"/>
                <w:noWrap/>
                <w:vAlign w:val="center"/>
                <w:hideMark/>
              </w:tcPr>
              <w:p w14:paraId="64922928"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27/08/2019</w:t>
                </w:r>
              </w:p>
            </w:tc>
          </w:tr>
          <w:tr w:rsidR="00C429A2" w:rsidRPr="00C429A2" w14:paraId="37DBC41C" w14:textId="77777777" w:rsidTr="0001000A">
            <w:trPr>
              <w:trHeight w:val="360"/>
            </w:trPr>
            <w:tc>
              <w:tcPr>
                <w:tcW w:w="626" w:type="pct"/>
                <w:vMerge/>
                <w:vAlign w:val="center"/>
                <w:hideMark/>
              </w:tcPr>
              <w:p w14:paraId="3432C9DD" w14:textId="77777777" w:rsidR="00C429A2" w:rsidRPr="00C429A2" w:rsidRDefault="00C429A2" w:rsidP="00C429A2">
                <w:pPr>
                  <w:spacing w:after="0" w:line="240" w:lineRule="auto"/>
                  <w:rPr>
                    <w:rFonts w:ascii="Times New Roman" w:eastAsia="Times New Roman" w:hAnsi="Times New Roman"/>
                    <w:color w:val="000000"/>
                    <w:sz w:val="14"/>
                    <w:szCs w:val="14"/>
                    <w:lang w:eastAsia="es-CO"/>
                  </w:rPr>
                </w:pPr>
              </w:p>
            </w:tc>
            <w:tc>
              <w:tcPr>
                <w:tcW w:w="473" w:type="pct"/>
                <w:vMerge/>
                <w:vAlign w:val="center"/>
                <w:hideMark/>
              </w:tcPr>
              <w:p w14:paraId="1B76FA34" w14:textId="77777777" w:rsidR="00C429A2" w:rsidRPr="00C429A2" w:rsidRDefault="00C429A2" w:rsidP="00C429A2">
                <w:pPr>
                  <w:spacing w:after="0" w:line="240" w:lineRule="auto"/>
                  <w:rPr>
                    <w:rFonts w:ascii="Times New Roman" w:eastAsia="Times New Roman" w:hAnsi="Times New Roman"/>
                    <w:color w:val="000000"/>
                    <w:sz w:val="14"/>
                    <w:szCs w:val="14"/>
                    <w:lang w:eastAsia="es-CO"/>
                  </w:rPr>
                </w:pPr>
              </w:p>
            </w:tc>
            <w:tc>
              <w:tcPr>
                <w:tcW w:w="1111" w:type="pct"/>
                <w:vMerge/>
                <w:vAlign w:val="center"/>
                <w:hideMark/>
              </w:tcPr>
              <w:p w14:paraId="3E696B57" w14:textId="77777777" w:rsidR="00C429A2" w:rsidRPr="00C429A2" w:rsidRDefault="00C429A2" w:rsidP="00C429A2">
                <w:pPr>
                  <w:spacing w:after="0" w:line="240" w:lineRule="auto"/>
                  <w:rPr>
                    <w:rFonts w:ascii="Times New Roman" w:eastAsia="Times New Roman" w:hAnsi="Times New Roman"/>
                    <w:color w:val="000000"/>
                    <w:sz w:val="14"/>
                    <w:szCs w:val="14"/>
                    <w:lang w:eastAsia="es-CO"/>
                  </w:rPr>
                </w:pPr>
              </w:p>
            </w:tc>
            <w:tc>
              <w:tcPr>
                <w:tcW w:w="633" w:type="pct"/>
                <w:vMerge/>
                <w:vAlign w:val="center"/>
                <w:hideMark/>
              </w:tcPr>
              <w:p w14:paraId="6D47C943" w14:textId="77777777" w:rsidR="00C429A2" w:rsidRPr="00C429A2" w:rsidRDefault="00C429A2" w:rsidP="00C429A2">
                <w:pPr>
                  <w:spacing w:after="0" w:line="240" w:lineRule="auto"/>
                  <w:rPr>
                    <w:rFonts w:ascii="Times New Roman" w:eastAsia="Times New Roman" w:hAnsi="Times New Roman"/>
                    <w:color w:val="000000"/>
                    <w:sz w:val="14"/>
                    <w:szCs w:val="14"/>
                    <w:lang w:eastAsia="es-CO"/>
                  </w:rPr>
                </w:pPr>
              </w:p>
            </w:tc>
            <w:tc>
              <w:tcPr>
                <w:tcW w:w="1069" w:type="pct"/>
                <w:shd w:val="clear" w:color="000000" w:fill="FFFFFF"/>
                <w:vAlign w:val="center"/>
                <w:hideMark/>
              </w:tcPr>
              <w:p w14:paraId="7600F550" w14:textId="77777777" w:rsidR="00C429A2" w:rsidRPr="00C429A2" w:rsidRDefault="00C429A2" w:rsidP="0001000A">
                <w:pPr>
                  <w:spacing w:after="0" w:line="240" w:lineRule="auto"/>
                  <w:jc w:val="both"/>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29/08/2019 (Resolución No. 803 Multa: USD$6.919,93)</w:t>
                </w:r>
              </w:p>
            </w:tc>
            <w:tc>
              <w:tcPr>
                <w:tcW w:w="548" w:type="pct"/>
                <w:shd w:val="clear" w:color="000000" w:fill="FFFFFF"/>
                <w:noWrap/>
                <w:vAlign w:val="center"/>
                <w:hideMark/>
              </w:tcPr>
              <w:p w14:paraId="1DD00682"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19/05/2020</w:t>
                </w:r>
              </w:p>
            </w:tc>
            <w:tc>
              <w:tcPr>
                <w:tcW w:w="540" w:type="pct"/>
                <w:shd w:val="clear" w:color="000000" w:fill="FFFFFF"/>
                <w:noWrap/>
                <w:vAlign w:val="center"/>
                <w:hideMark/>
              </w:tcPr>
              <w:p w14:paraId="50967A39"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19/05/2020</w:t>
                </w:r>
              </w:p>
            </w:tc>
          </w:tr>
          <w:tr w:rsidR="00C429A2" w:rsidRPr="00C429A2" w14:paraId="15992BE2" w14:textId="77777777" w:rsidTr="0001000A">
            <w:trPr>
              <w:trHeight w:val="1260"/>
            </w:trPr>
            <w:tc>
              <w:tcPr>
                <w:tcW w:w="626" w:type="pct"/>
                <w:vMerge/>
                <w:vAlign w:val="center"/>
                <w:hideMark/>
              </w:tcPr>
              <w:p w14:paraId="04FF3321" w14:textId="77777777" w:rsidR="00C429A2" w:rsidRPr="00C429A2" w:rsidRDefault="00C429A2" w:rsidP="00C429A2">
                <w:pPr>
                  <w:spacing w:after="0" w:line="240" w:lineRule="auto"/>
                  <w:rPr>
                    <w:rFonts w:ascii="Times New Roman" w:eastAsia="Times New Roman" w:hAnsi="Times New Roman"/>
                    <w:color w:val="000000"/>
                    <w:sz w:val="14"/>
                    <w:szCs w:val="14"/>
                    <w:lang w:eastAsia="es-CO"/>
                  </w:rPr>
                </w:pPr>
              </w:p>
            </w:tc>
            <w:tc>
              <w:tcPr>
                <w:tcW w:w="473" w:type="pct"/>
                <w:vMerge/>
                <w:vAlign w:val="center"/>
                <w:hideMark/>
              </w:tcPr>
              <w:p w14:paraId="4D591B01" w14:textId="77777777" w:rsidR="00C429A2" w:rsidRPr="00C429A2" w:rsidRDefault="00C429A2" w:rsidP="00C429A2">
                <w:pPr>
                  <w:spacing w:after="0" w:line="240" w:lineRule="auto"/>
                  <w:rPr>
                    <w:rFonts w:ascii="Times New Roman" w:eastAsia="Times New Roman" w:hAnsi="Times New Roman"/>
                    <w:color w:val="000000"/>
                    <w:sz w:val="14"/>
                    <w:szCs w:val="14"/>
                    <w:lang w:eastAsia="es-CO"/>
                  </w:rPr>
                </w:pPr>
              </w:p>
            </w:tc>
            <w:tc>
              <w:tcPr>
                <w:tcW w:w="1111" w:type="pct"/>
                <w:vMerge/>
                <w:vAlign w:val="center"/>
                <w:hideMark/>
              </w:tcPr>
              <w:p w14:paraId="6E6DE108" w14:textId="77777777" w:rsidR="00C429A2" w:rsidRPr="00C429A2" w:rsidRDefault="00C429A2" w:rsidP="00C429A2">
                <w:pPr>
                  <w:spacing w:after="0" w:line="240" w:lineRule="auto"/>
                  <w:rPr>
                    <w:rFonts w:ascii="Times New Roman" w:eastAsia="Times New Roman" w:hAnsi="Times New Roman"/>
                    <w:color w:val="000000"/>
                    <w:sz w:val="14"/>
                    <w:szCs w:val="14"/>
                    <w:lang w:eastAsia="es-CO"/>
                  </w:rPr>
                </w:pPr>
              </w:p>
            </w:tc>
            <w:tc>
              <w:tcPr>
                <w:tcW w:w="633" w:type="pct"/>
                <w:vMerge/>
                <w:vAlign w:val="center"/>
                <w:hideMark/>
              </w:tcPr>
              <w:p w14:paraId="085EF0C9" w14:textId="77777777" w:rsidR="00C429A2" w:rsidRPr="00C429A2" w:rsidRDefault="00C429A2" w:rsidP="00C429A2">
                <w:pPr>
                  <w:spacing w:after="0" w:line="240" w:lineRule="auto"/>
                  <w:rPr>
                    <w:rFonts w:ascii="Times New Roman" w:eastAsia="Times New Roman" w:hAnsi="Times New Roman"/>
                    <w:color w:val="000000"/>
                    <w:sz w:val="14"/>
                    <w:szCs w:val="14"/>
                    <w:lang w:eastAsia="es-CO"/>
                  </w:rPr>
                </w:pPr>
              </w:p>
            </w:tc>
            <w:tc>
              <w:tcPr>
                <w:tcW w:w="1069" w:type="pct"/>
                <w:shd w:val="clear" w:color="auto" w:fill="auto"/>
                <w:vAlign w:val="center"/>
                <w:hideMark/>
              </w:tcPr>
              <w:p w14:paraId="3D4812AE" w14:textId="378DB399" w:rsidR="00C429A2" w:rsidRPr="00C429A2" w:rsidRDefault="00C429A2" w:rsidP="0001000A">
                <w:pPr>
                  <w:spacing w:after="0" w:line="240" w:lineRule="auto"/>
                  <w:jc w:val="both"/>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30/11/2023 (Resolución No. 20237070016695 Perjuicios: Plan de Inversión - USD$561.639, Contraprestación: USD$4.084.961 e Intereses COP $ 20.312.409.105)</w:t>
                </w:r>
              </w:p>
            </w:tc>
            <w:tc>
              <w:tcPr>
                <w:tcW w:w="548" w:type="pct"/>
                <w:shd w:val="clear" w:color="000000" w:fill="FFFFFF"/>
                <w:noWrap/>
                <w:vAlign w:val="center"/>
                <w:hideMark/>
              </w:tcPr>
              <w:p w14:paraId="110177E1"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15/12/2023</w:t>
                </w:r>
              </w:p>
            </w:tc>
            <w:tc>
              <w:tcPr>
                <w:tcW w:w="540" w:type="pct"/>
                <w:shd w:val="clear" w:color="000000" w:fill="FFFFFF"/>
                <w:noWrap/>
                <w:vAlign w:val="center"/>
                <w:hideMark/>
              </w:tcPr>
              <w:p w14:paraId="00609DFA"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29/12/2023</w:t>
                </w:r>
              </w:p>
            </w:tc>
          </w:tr>
          <w:tr w:rsidR="00C429A2" w:rsidRPr="00C429A2" w14:paraId="18F788D9" w14:textId="77777777" w:rsidTr="0001000A">
            <w:trPr>
              <w:trHeight w:val="540"/>
            </w:trPr>
            <w:tc>
              <w:tcPr>
                <w:tcW w:w="626" w:type="pct"/>
                <w:vMerge w:val="restart"/>
                <w:shd w:val="clear" w:color="auto" w:fill="auto"/>
                <w:vAlign w:val="center"/>
                <w:hideMark/>
              </w:tcPr>
              <w:p w14:paraId="30352916"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Sanciones contractuales</w:t>
                </w:r>
              </w:p>
            </w:tc>
            <w:tc>
              <w:tcPr>
                <w:tcW w:w="473" w:type="pct"/>
                <w:vMerge w:val="restart"/>
                <w:shd w:val="clear" w:color="auto" w:fill="auto"/>
                <w:vAlign w:val="center"/>
                <w:hideMark/>
              </w:tcPr>
              <w:p w14:paraId="02760ABE"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900677144</w:t>
                </w:r>
              </w:p>
            </w:tc>
            <w:tc>
              <w:tcPr>
                <w:tcW w:w="1111" w:type="pct"/>
                <w:vMerge w:val="restart"/>
                <w:shd w:val="clear" w:color="000000" w:fill="FFFFFF"/>
                <w:vAlign w:val="center"/>
                <w:hideMark/>
              </w:tcPr>
              <w:p w14:paraId="0586C73C" w14:textId="77777777" w:rsidR="00C429A2" w:rsidRPr="00C429A2" w:rsidRDefault="00C429A2" w:rsidP="0001000A">
                <w:pPr>
                  <w:spacing w:after="0" w:line="240" w:lineRule="auto"/>
                  <w:jc w:val="both"/>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SOCIEDAD PORTUARIA TERMINAL DE IFO'S S.A.</w:t>
                </w:r>
              </w:p>
            </w:tc>
            <w:tc>
              <w:tcPr>
                <w:tcW w:w="633" w:type="pct"/>
                <w:vMerge w:val="restart"/>
                <w:shd w:val="clear" w:color="auto" w:fill="auto"/>
                <w:vAlign w:val="center"/>
                <w:hideMark/>
              </w:tcPr>
              <w:p w14:paraId="1E9602B9"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2.526.683.802</w:t>
                </w:r>
              </w:p>
            </w:tc>
            <w:tc>
              <w:tcPr>
                <w:tcW w:w="1069" w:type="pct"/>
                <w:shd w:val="clear" w:color="auto" w:fill="auto"/>
                <w:vAlign w:val="center"/>
                <w:hideMark/>
              </w:tcPr>
              <w:p w14:paraId="7BF326F8" w14:textId="77777777" w:rsidR="00C429A2" w:rsidRPr="00C429A2" w:rsidRDefault="00C429A2" w:rsidP="0001000A">
                <w:pPr>
                  <w:spacing w:after="0" w:line="240" w:lineRule="auto"/>
                  <w:jc w:val="both"/>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26/07/2021 (Resolución No. 20217070012395 Multa: USD$63.605.73)</w:t>
                </w:r>
              </w:p>
            </w:tc>
            <w:tc>
              <w:tcPr>
                <w:tcW w:w="548" w:type="pct"/>
                <w:shd w:val="clear" w:color="auto" w:fill="auto"/>
                <w:noWrap/>
                <w:vAlign w:val="center"/>
                <w:hideMark/>
              </w:tcPr>
              <w:p w14:paraId="3A2AFCC1"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11/10/2021</w:t>
                </w:r>
              </w:p>
            </w:tc>
            <w:tc>
              <w:tcPr>
                <w:tcW w:w="540" w:type="pct"/>
                <w:shd w:val="clear" w:color="auto" w:fill="auto"/>
                <w:noWrap/>
                <w:vAlign w:val="center"/>
                <w:hideMark/>
              </w:tcPr>
              <w:p w14:paraId="1E2F55B3"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25/10/2021</w:t>
                </w:r>
              </w:p>
            </w:tc>
          </w:tr>
          <w:tr w:rsidR="00C429A2" w:rsidRPr="00C429A2" w14:paraId="6618AE66" w14:textId="77777777" w:rsidTr="0001000A">
            <w:trPr>
              <w:trHeight w:val="540"/>
            </w:trPr>
            <w:tc>
              <w:tcPr>
                <w:tcW w:w="626" w:type="pct"/>
                <w:vMerge/>
                <w:vAlign w:val="center"/>
                <w:hideMark/>
              </w:tcPr>
              <w:p w14:paraId="6B49B7FC" w14:textId="77777777" w:rsidR="00C429A2" w:rsidRPr="00C429A2" w:rsidRDefault="00C429A2" w:rsidP="00C429A2">
                <w:pPr>
                  <w:spacing w:after="0" w:line="240" w:lineRule="auto"/>
                  <w:rPr>
                    <w:rFonts w:ascii="Times New Roman" w:eastAsia="Times New Roman" w:hAnsi="Times New Roman"/>
                    <w:color w:val="000000"/>
                    <w:sz w:val="14"/>
                    <w:szCs w:val="14"/>
                    <w:lang w:eastAsia="es-CO"/>
                  </w:rPr>
                </w:pPr>
              </w:p>
            </w:tc>
            <w:tc>
              <w:tcPr>
                <w:tcW w:w="473" w:type="pct"/>
                <w:vMerge/>
                <w:vAlign w:val="center"/>
                <w:hideMark/>
              </w:tcPr>
              <w:p w14:paraId="06241F82" w14:textId="77777777" w:rsidR="00C429A2" w:rsidRPr="00C429A2" w:rsidRDefault="00C429A2" w:rsidP="00C429A2">
                <w:pPr>
                  <w:spacing w:after="0" w:line="240" w:lineRule="auto"/>
                  <w:rPr>
                    <w:rFonts w:ascii="Times New Roman" w:eastAsia="Times New Roman" w:hAnsi="Times New Roman"/>
                    <w:color w:val="000000"/>
                    <w:sz w:val="14"/>
                    <w:szCs w:val="14"/>
                    <w:lang w:eastAsia="es-CO"/>
                  </w:rPr>
                </w:pPr>
              </w:p>
            </w:tc>
            <w:tc>
              <w:tcPr>
                <w:tcW w:w="1111" w:type="pct"/>
                <w:vMerge/>
                <w:vAlign w:val="center"/>
                <w:hideMark/>
              </w:tcPr>
              <w:p w14:paraId="32D97380" w14:textId="77777777" w:rsidR="00C429A2" w:rsidRPr="00C429A2" w:rsidRDefault="00C429A2" w:rsidP="00C429A2">
                <w:pPr>
                  <w:spacing w:after="0" w:line="240" w:lineRule="auto"/>
                  <w:rPr>
                    <w:rFonts w:ascii="Times New Roman" w:eastAsia="Times New Roman" w:hAnsi="Times New Roman"/>
                    <w:color w:val="000000"/>
                    <w:sz w:val="14"/>
                    <w:szCs w:val="14"/>
                    <w:lang w:eastAsia="es-CO"/>
                  </w:rPr>
                </w:pPr>
              </w:p>
            </w:tc>
            <w:tc>
              <w:tcPr>
                <w:tcW w:w="633" w:type="pct"/>
                <w:vMerge/>
                <w:vAlign w:val="center"/>
                <w:hideMark/>
              </w:tcPr>
              <w:p w14:paraId="5B30D4F5" w14:textId="77777777" w:rsidR="00C429A2" w:rsidRPr="00C429A2" w:rsidRDefault="00C429A2" w:rsidP="00C429A2">
                <w:pPr>
                  <w:spacing w:after="0" w:line="240" w:lineRule="auto"/>
                  <w:rPr>
                    <w:rFonts w:ascii="Times New Roman" w:eastAsia="Times New Roman" w:hAnsi="Times New Roman"/>
                    <w:color w:val="000000"/>
                    <w:sz w:val="14"/>
                    <w:szCs w:val="14"/>
                    <w:lang w:eastAsia="es-CO"/>
                  </w:rPr>
                </w:pPr>
              </w:p>
            </w:tc>
            <w:tc>
              <w:tcPr>
                <w:tcW w:w="1069" w:type="pct"/>
                <w:shd w:val="clear" w:color="auto" w:fill="auto"/>
                <w:vAlign w:val="center"/>
                <w:hideMark/>
              </w:tcPr>
              <w:p w14:paraId="7B66A493" w14:textId="77777777" w:rsidR="00C429A2" w:rsidRPr="00C429A2" w:rsidRDefault="00C429A2" w:rsidP="0001000A">
                <w:pPr>
                  <w:spacing w:after="0" w:line="240" w:lineRule="auto"/>
                  <w:jc w:val="both"/>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23/06/2021 (Resolución No. 20217070010005 Multa: USD$768,524)</w:t>
                </w:r>
              </w:p>
            </w:tc>
            <w:tc>
              <w:tcPr>
                <w:tcW w:w="548" w:type="pct"/>
                <w:shd w:val="clear" w:color="auto" w:fill="auto"/>
                <w:noWrap/>
                <w:vAlign w:val="center"/>
                <w:hideMark/>
              </w:tcPr>
              <w:p w14:paraId="2BC498FC"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6/05/2022</w:t>
                </w:r>
              </w:p>
            </w:tc>
            <w:tc>
              <w:tcPr>
                <w:tcW w:w="540" w:type="pct"/>
                <w:shd w:val="clear" w:color="auto" w:fill="auto"/>
                <w:noWrap/>
                <w:vAlign w:val="center"/>
                <w:hideMark/>
              </w:tcPr>
              <w:p w14:paraId="302DBF82" w14:textId="77777777" w:rsidR="00C429A2" w:rsidRPr="00C429A2" w:rsidRDefault="00C429A2" w:rsidP="00C429A2">
                <w:pPr>
                  <w:spacing w:after="0" w:line="240" w:lineRule="auto"/>
                  <w:jc w:val="center"/>
                  <w:rPr>
                    <w:rFonts w:ascii="Times New Roman" w:eastAsia="Times New Roman" w:hAnsi="Times New Roman"/>
                    <w:color w:val="FF0000"/>
                    <w:sz w:val="14"/>
                    <w:szCs w:val="14"/>
                    <w:lang w:eastAsia="es-CO"/>
                  </w:rPr>
                </w:pPr>
                <w:r w:rsidRPr="00C429A2">
                  <w:rPr>
                    <w:rFonts w:ascii="Times New Roman" w:eastAsia="Times New Roman" w:hAnsi="Times New Roman"/>
                    <w:color w:val="FF0000"/>
                    <w:sz w:val="14"/>
                    <w:szCs w:val="14"/>
                    <w:lang w:eastAsia="es-CO"/>
                  </w:rPr>
                  <w:t> </w:t>
                </w:r>
              </w:p>
            </w:tc>
          </w:tr>
          <w:tr w:rsidR="00C429A2" w:rsidRPr="00C429A2" w14:paraId="4B9C7358" w14:textId="77777777" w:rsidTr="0001000A">
            <w:trPr>
              <w:trHeight w:val="720"/>
            </w:trPr>
            <w:tc>
              <w:tcPr>
                <w:tcW w:w="626" w:type="pct"/>
                <w:vMerge/>
                <w:vAlign w:val="center"/>
                <w:hideMark/>
              </w:tcPr>
              <w:p w14:paraId="5BE76687" w14:textId="77777777" w:rsidR="00C429A2" w:rsidRPr="00C429A2" w:rsidRDefault="00C429A2" w:rsidP="00C429A2">
                <w:pPr>
                  <w:spacing w:after="0" w:line="240" w:lineRule="auto"/>
                  <w:rPr>
                    <w:rFonts w:ascii="Times New Roman" w:eastAsia="Times New Roman" w:hAnsi="Times New Roman"/>
                    <w:color w:val="000000"/>
                    <w:sz w:val="14"/>
                    <w:szCs w:val="14"/>
                    <w:lang w:eastAsia="es-CO"/>
                  </w:rPr>
                </w:pPr>
              </w:p>
            </w:tc>
            <w:tc>
              <w:tcPr>
                <w:tcW w:w="473" w:type="pct"/>
                <w:vMerge/>
                <w:vAlign w:val="center"/>
                <w:hideMark/>
              </w:tcPr>
              <w:p w14:paraId="57554353" w14:textId="77777777" w:rsidR="00C429A2" w:rsidRPr="00C429A2" w:rsidRDefault="00C429A2" w:rsidP="00C429A2">
                <w:pPr>
                  <w:spacing w:after="0" w:line="240" w:lineRule="auto"/>
                  <w:rPr>
                    <w:rFonts w:ascii="Times New Roman" w:eastAsia="Times New Roman" w:hAnsi="Times New Roman"/>
                    <w:color w:val="000000"/>
                    <w:sz w:val="14"/>
                    <w:szCs w:val="14"/>
                    <w:lang w:eastAsia="es-CO"/>
                  </w:rPr>
                </w:pPr>
              </w:p>
            </w:tc>
            <w:tc>
              <w:tcPr>
                <w:tcW w:w="1111" w:type="pct"/>
                <w:vMerge/>
                <w:vAlign w:val="center"/>
                <w:hideMark/>
              </w:tcPr>
              <w:p w14:paraId="7D04B1C6" w14:textId="77777777" w:rsidR="00C429A2" w:rsidRPr="00C429A2" w:rsidRDefault="00C429A2" w:rsidP="00C429A2">
                <w:pPr>
                  <w:spacing w:after="0" w:line="240" w:lineRule="auto"/>
                  <w:rPr>
                    <w:rFonts w:ascii="Times New Roman" w:eastAsia="Times New Roman" w:hAnsi="Times New Roman"/>
                    <w:color w:val="000000"/>
                    <w:sz w:val="14"/>
                    <w:szCs w:val="14"/>
                    <w:lang w:eastAsia="es-CO"/>
                  </w:rPr>
                </w:pPr>
              </w:p>
            </w:tc>
            <w:tc>
              <w:tcPr>
                <w:tcW w:w="633" w:type="pct"/>
                <w:vMerge/>
                <w:vAlign w:val="center"/>
                <w:hideMark/>
              </w:tcPr>
              <w:p w14:paraId="3824E4FA" w14:textId="77777777" w:rsidR="00C429A2" w:rsidRPr="00C429A2" w:rsidRDefault="00C429A2" w:rsidP="00C429A2">
                <w:pPr>
                  <w:spacing w:after="0" w:line="240" w:lineRule="auto"/>
                  <w:rPr>
                    <w:rFonts w:ascii="Times New Roman" w:eastAsia="Times New Roman" w:hAnsi="Times New Roman"/>
                    <w:color w:val="000000"/>
                    <w:sz w:val="14"/>
                    <w:szCs w:val="14"/>
                    <w:lang w:eastAsia="es-CO"/>
                  </w:rPr>
                </w:pPr>
              </w:p>
            </w:tc>
            <w:tc>
              <w:tcPr>
                <w:tcW w:w="1069" w:type="pct"/>
                <w:shd w:val="clear" w:color="auto" w:fill="auto"/>
                <w:vAlign w:val="center"/>
                <w:hideMark/>
              </w:tcPr>
              <w:p w14:paraId="7A7121F5" w14:textId="77777777" w:rsidR="00C429A2" w:rsidRPr="00C429A2" w:rsidRDefault="00C429A2" w:rsidP="0001000A">
                <w:pPr>
                  <w:spacing w:after="0" w:line="240" w:lineRule="auto"/>
                  <w:jc w:val="both"/>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06/04/2022 (Resolución No. 20227070004605 Multa: USD$3.607 y Perjuicios: $226.207.274)</w:t>
                </w:r>
              </w:p>
            </w:tc>
            <w:tc>
              <w:tcPr>
                <w:tcW w:w="548" w:type="pct"/>
                <w:shd w:val="clear" w:color="auto" w:fill="auto"/>
                <w:noWrap/>
                <w:vAlign w:val="center"/>
                <w:hideMark/>
              </w:tcPr>
              <w:p w14:paraId="6130BDB8"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15/09/2022</w:t>
                </w:r>
              </w:p>
            </w:tc>
            <w:tc>
              <w:tcPr>
                <w:tcW w:w="540" w:type="pct"/>
                <w:shd w:val="clear" w:color="auto" w:fill="auto"/>
                <w:noWrap/>
                <w:vAlign w:val="center"/>
                <w:hideMark/>
              </w:tcPr>
              <w:p w14:paraId="25EB36A7"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28/09/2022</w:t>
                </w:r>
              </w:p>
            </w:tc>
          </w:tr>
          <w:tr w:rsidR="00C429A2" w:rsidRPr="00C429A2" w14:paraId="17F51BAD" w14:textId="77777777" w:rsidTr="0001000A">
            <w:trPr>
              <w:trHeight w:val="360"/>
            </w:trPr>
            <w:tc>
              <w:tcPr>
                <w:tcW w:w="626" w:type="pct"/>
                <w:shd w:val="clear" w:color="auto" w:fill="auto"/>
                <w:vAlign w:val="center"/>
                <w:hideMark/>
              </w:tcPr>
              <w:p w14:paraId="4C01C62B"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Sanciones contractuales</w:t>
                </w:r>
              </w:p>
            </w:tc>
            <w:tc>
              <w:tcPr>
                <w:tcW w:w="473" w:type="pct"/>
                <w:shd w:val="clear" w:color="auto" w:fill="auto"/>
                <w:vAlign w:val="center"/>
                <w:hideMark/>
              </w:tcPr>
              <w:p w14:paraId="7B1C393B"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900732683</w:t>
                </w:r>
              </w:p>
            </w:tc>
            <w:tc>
              <w:tcPr>
                <w:tcW w:w="1111" w:type="pct"/>
                <w:shd w:val="clear" w:color="auto" w:fill="auto"/>
                <w:vAlign w:val="center"/>
                <w:hideMark/>
              </w:tcPr>
              <w:p w14:paraId="04CC95EE" w14:textId="76EE8EE9" w:rsidR="00C429A2" w:rsidRPr="00C429A2" w:rsidRDefault="00C429A2" w:rsidP="0001000A">
                <w:pPr>
                  <w:spacing w:after="0" w:line="240" w:lineRule="auto"/>
                  <w:jc w:val="both"/>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SOCIEDAD PORTUARIA BULLPESA S.</w:t>
                </w:r>
                <w:r w:rsidR="00D90A20" w:rsidRPr="00C429A2">
                  <w:rPr>
                    <w:rFonts w:ascii="Times New Roman" w:eastAsia="Times New Roman" w:hAnsi="Times New Roman"/>
                    <w:color w:val="000000"/>
                    <w:sz w:val="14"/>
                    <w:szCs w:val="14"/>
                    <w:lang w:eastAsia="es-CO"/>
                  </w:rPr>
                  <w:t xml:space="preserve"> </w:t>
                </w:r>
                <w:r w:rsidRPr="00C429A2">
                  <w:rPr>
                    <w:rFonts w:ascii="Times New Roman" w:eastAsia="Times New Roman" w:hAnsi="Times New Roman"/>
                    <w:color w:val="000000"/>
                    <w:sz w:val="14"/>
                    <w:szCs w:val="14"/>
                    <w:lang w:eastAsia="es-CO"/>
                  </w:rPr>
                  <w:t>A</w:t>
                </w:r>
              </w:p>
            </w:tc>
            <w:tc>
              <w:tcPr>
                <w:tcW w:w="633" w:type="pct"/>
                <w:shd w:val="clear" w:color="auto" w:fill="auto"/>
                <w:vAlign w:val="center"/>
                <w:hideMark/>
              </w:tcPr>
              <w:p w14:paraId="37A08AED"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38.942.567.725</w:t>
                </w:r>
              </w:p>
            </w:tc>
            <w:tc>
              <w:tcPr>
                <w:tcW w:w="1069" w:type="pct"/>
                <w:shd w:val="clear" w:color="auto" w:fill="auto"/>
                <w:vAlign w:val="center"/>
                <w:hideMark/>
              </w:tcPr>
              <w:p w14:paraId="24FE7A2B" w14:textId="77777777" w:rsidR="00C429A2" w:rsidRPr="00C429A2" w:rsidRDefault="00C429A2" w:rsidP="0001000A">
                <w:pPr>
                  <w:spacing w:after="0" w:line="240" w:lineRule="auto"/>
                  <w:jc w:val="both"/>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31/03/2022 (Resolución No. 20227070004345)</w:t>
                </w:r>
              </w:p>
            </w:tc>
            <w:tc>
              <w:tcPr>
                <w:tcW w:w="548" w:type="pct"/>
                <w:shd w:val="clear" w:color="auto" w:fill="auto"/>
                <w:noWrap/>
                <w:vAlign w:val="center"/>
                <w:hideMark/>
              </w:tcPr>
              <w:p w14:paraId="51A195D1"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9/11/2022</w:t>
                </w:r>
              </w:p>
            </w:tc>
            <w:tc>
              <w:tcPr>
                <w:tcW w:w="540" w:type="pct"/>
                <w:shd w:val="clear" w:color="auto" w:fill="auto"/>
                <w:noWrap/>
                <w:vAlign w:val="center"/>
                <w:hideMark/>
              </w:tcPr>
              <w:p w14:paraId="3EFD56BB"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23/11/2022</w:t>
                </w:r>
              </w:p>
            </w:tc>
          </w:tr>
          <w:tr w:rsidR="00C429A2" w:rsidRPr="00C429A2" w14:paraId="79FE6B9B" w14:textId="77777777" w:rsidTr="0001000A">
            <w:trPr>
              <w:trHeight w:val="360"/>
            </w:trPr>
            <w:tc>
              <w:tcPr>
                <w:tcW w:w="626" w:type="pct"/>
                <w:shd w:val="clear" w:color="auto" w:fill="auto"/>
                <w:vAlign w:val="center"/>
                <w:hideMark/>
              </w:tcPr>
              <w:p w14:paraId="31338A39"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Sanciones contractuales</w:t>
                </w:r>
              </w:p>
            </w:tc>
            <w:tc>
              <w:tcPr>
                <w:tcW w:w="473" w:type="pct"/>
                <w:shd w:val="clear" w:color="auto" w:fill="auto"/>
                <w:vAlign w:val="center"/>
                <w:hideMark/>
              </w:tcPr>
              <w:p w14:paraId="214A8666"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900816750</w:t>
                </w:r>
              </w:p>
            </w:tc>
            <w:tc>
              <w:tcPr>
                <w:tcW w:w="1111" w:type="pct"/>
                <w:shd w:val="clear" w:color="auto" w:fill="auto"/>
                <w:vAlign w:val="center"/>
                <w:hideMark/>
              </w:tcPr>
              <w:p w14:paraId="4312BACA" w14:textId="77777777" w:rsidR="00C429A2" w:rsidRPr="00C429A2" w:rsidRDefault="00C429A2" w:rsidP="0001000A">
                <w:pPr>
                  <w:spacing w:after="0" w:line="240" w:lineRule="auto"/>
                  <w:jc w:val="both"/>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APP GICA S.A.</w:t>
                </w:r>
              </w:p>
            </w:tc>
            <w:tc>
              <w:tcPr>
                <w:tcW w:w="633" w:type="pct"/>
                <w:shd w:val="clear" w:color="auto" w:fill="auto"/>
                <w:vAlign w:val="center"/>
                <w:hideMark/>
              </w:tcPr>
              <w:p w14:paraId="4094B904"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5.040.000.000</w:t>
                </w:r>
              </w:p>
            </w:tc>
            <w:tc>
              <w:tcPr>
                <w:tcW w:w="1069" w:type="pct"/>
                <w:shd w:val="clear" w:color="auto" w:fill="auto"/>
                <w:vAlign w:val="center"/>
                <w:hideMark/>
              </w:tcPr>
              <w:p w14:paraId="248A9BEE" w14:textId="77777777" w:rsidR="00C429A2" w:rsidRPr="00C429A2" w:rsidRDefault="00C429A2" w:rsidP="0001000A">
                <w:pPr>
                  <w:spacing w:after="0" w:line="240" w:lineRule="auto"/>
                  <w:jc w:val="both"/>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07/06/2023 (Resolución No. 20237070006835)</w:t>
                </w:r>
              </w:p>
            </w:tc>
            <w:tc>
              <w:tcPr>
                <w:tcW w:w="548" w:type="pct"/>
                <w:shd w:val="clear" w:color="auto" w:fill="auto"/>
                <w:noWrap/>
                <w:vAlign w:val="center"/>
                <w:hideMark/>
              </w:tcPr>
              <w:p w14:paraId="748CCC41"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7/09/2023</w:t>
                </w:r>
              </w:p>
            </w:tc>
            <w:tc>
              <w:tcPr>
                <w:tcW w:w="540" w:type="pct"/>
                <w:shd w:val="clear" w:color="auto" w:fill="auto"/>
                <w:noWrap/>
                <w:vAlign w:val="center"/>
                <w:hideMark/>
              </w:tcPr>
              <w:p w14:paraId="5884CECD" w14:textId="77777777" w:rsidR="00C429A2" w:rsidRPr="00C429A2" w:rsidRDefault="00C429A2" w:rsidP="00C429A2">
                <w:pPr>
                  <w:spacing w:after="0" w:line="240" w:lineRule="auto"/>
                  <w:jc w:val="center"/>
                  <w:rPr>
                    <w:rFonts w:ascii="Times New Roman" w:eastAsia="Times New Roman" w:hAnsi="Times New Roman"/>
                    <w:color w:val="000000"/>
                    <w:sz w:val="14"/>
                    <w:szCs w:val="14"/>
                    <w:lang w:eastAsia="es-CO"/>
                  </w:rPr>
                </w:pPr>
                <w:r w:rsidRPr="00C429A2">
                  <w:rPr>
                    <w:rFonts w:ascii="Times New Roman" w:eastAsia="Times New Roman" w:hAnsi="Times New Roman"/>
                    <w:color w:val="000000"/>
                    <w:sz w:val="14"/>
                    <w:szCs w:val="14"/>
                    <w:lang w:eastAsia="es-CO"/>
                  </w:rPr>
                  <w:t>20/09/2023</w:t>
                </w:r>
              </w:p>
            </w:tc>
          </w:tr>
        </w:tbl>
        <w:p w14:paraId="52903A09" w14:textId="77777777" w:rsidR="00553B35" w:rsidRDefault="00553B35" w:rsidP="00A445F3">
          <w:pPr>
            <w:spacing w:after="0" w:line="240" w:lineRule="auto"/>
            <w:ind w:right="-3"/>
            <w:jc w:val="both"/>
            <w:rPr>
              <w:rFonts w:ascii="Times New Roman" w:eastAsiaTheme="minorHAnsi" w:hAnsi="Times New Roman"/>
              <w:sz w:val="24"/>
              <w:szCs w:val="24"/>
            </w:rPr>
          </w:pPr>
        </w:p>
        <w:p w14:paraId="2F413A5B" w14:textId="0A5537EE" w:rsidR="00553B35" w:rsidRPr="00C473FD" w:rsidRDefault="00C34D8C" w:rsidP="00A445F3">
          <w:pPr>
            <w:spacing w:after="0" w:line="240" w:lineRule="auto"/>
            <w:ind w:right="-3"/>
            <w:jc w:val="both"/>
            <w:rPr>
              <w:rFonts w:ascii="Times New Roman" w:eastAsia="Times New Roman" w:hAnsi="Times New Roman"/>
              <w:sz w:val="24"/>
              <w:szCs w:val="24"/>
              <w:lang w:val="es"/>
            </w:rPr>
          </w:pPr>
          <w:r w:rsidRPr="00C473FD">
            <w:rPr>
              <w:rFonts w:ascii="Times New Roman" w:eastAsia="Times New Roman" w:hAnsi="Times New Roman"/>
              <w:sz w:val="24"/>
              <w:szCs w:val="24"/>
              <w:lang w:val="es"/>
            </w:rPr>
            <w:t xml:space="preserve">La tasa de interés se toma de acuerdo al </w:t>
          </w:r>
          <w:r w:rsidR="00D90A20" w:rsidRPr="00C473FD">
            <w:rPr>
              <w:rFonts w:ascii="Times New Roman" w:eastAsia="Times New Roman" w:hAnsi="Times New Roman"/>
              <w:sz w:val="24"/>
              <w:szCs w:val="24"/>
              <w:lang w:val="es"/>
            </w:rPr>
            <w:t>artículo</w:t>
          </w:r>
          <w:r w:rsidRPr="00C473FD">
            <w:rPr>
              <w:rFonts w:ascii="Times New Roman" w:eastAsia="Times New Roman" w:hAnsi="Times New Roman"/>
              <w:sz w:val="24"/>
              <w:szCs w:val="24"/>
              <w:lang w:val="es"/>
            </w:rPr>
            <w:t xml:space="preserve"> 9 de la ley 68 de 1923 que señala</w:t>
          </w:r>
          <w:r w:rsidR="007F7811" w:rsidRPr="00C473FD">
            <w:rPr>
              <w:rFonts w:ascii="Times New Roman" w:eastAsia="Times New Roman" w:hAnsi="Times New Roman"/>
              <w:sz w:val="24"/>
              <w:szCs w:val="24"/>
              <w:lang w:val="es"/>
            </w:rPr>
            <w:t xml:space="preserve">: </w:t>
          </w:r>
        </w:p>
        <w:p w14:paraId="03CAE37D" w14:textId="77777777" w:rsidR="007F7811" w:rsidRPr="00C473FD" w:rsidRDefault="007F7811" w:rsidP="00A445F3">
          <w:pPr>
            <w:spacing w:after="0" w:line="240" w:lineRule="auto"/>
            <w:ind w:right="-3"/>
            <w:jc w:val="both"/>
            <w:rPr>
              <w:rFonts w:ascii="Times New Roman" w:eastAsia="Times New Roman" w:hAnsi="Times New Roman"/>
              <w:sz w:val="24"/>
              <w:szCs w:val="24"/>
              <w:lang w:val="es"/>
            </w:rPr>
          </w:pPr>
        </w:p>
        <w:p w14:paraId="1749BD0A" w14:textId="4C0E1A61" w:rsidR="007F7811" w:rsidRPr="00C473FD" w:rsidRDefault="007F7811" w:rsidP="00A445F3">
          <w:pPr>
            <w:spacing w:after="0" w:line="240" w:lineRule="auto"/>
            <w:ind w:right="-3"/>
            <w:jc w:val="both"/>
            <w:rPr>
              <w:rFonts w:ascii="Times New Roman" w:eastAsia="Times New Roman" w:hAnsi="Times New Roman"/>
              <w:sz w:val="24"/>
              <w:szCs w:val="24"/>
              <w:lang w:val="es"/>
            </w:rPr>
          </w:pPr>
          <w:r w:rsidRPr="00C473FD">
            <w:rPr>
              <w:rFonts w:ascii="Times New Roman" w:eastAsia="Times New Roman" w:hAnsi="Times New Roman"/>
              <w:b/>
              <w:sz w:val="24"/>
              <w:szCs w:val="24"/>
              <w:lang w:val="es"/>
            </w:rPr>
            <w:t>“Artículo 9º. </w:t>
          </w:r>
          <w:r w:rsidRPr="00C473FD">
            <w:rPr>
              <w:rFonts w:ascii="Times New Roman" w:eastAsia="Times New Roman" w:hAnsi="Times New Roman"/>
              <w:sz w:val="24"/>
              <w:szCs w:val="24"/>
              <w:lang w:val="es"/>
            </w:rPr>
            <w:t>Los créditos a favor del Tesoro devengan intereses a la rata del doce por ciento (12 por 100) anual, desde el día en que se hagan exigibles hasta aquel en que se verifique el pago.”</w:t>
          </w:r>
          <w:r w:rsidR="004E5925">
            <w:rPr>
              <w:rFonts w:ascii="Times New Roman" w:eastAsia="Times New Roman" w:hAnsi="Times New Roman"/>
              <w:sz w:val="24"/>
              <w:szCs w:val="24"/>
              <w:lang w:val="es"/>
            </w:rPr>
            <w:t xml:space="preserve"> </w:t>
          </w:r>
          <w:r w:rsidRPr="00C473FD">
            <w:rPr>
              <w:rFonts w:ascii="Times New Roman" w:eastAsia="Times New Roman" w:hAnsi="Times New Roman"/>
              <w:sz w:val="24"/>
              <w:szCs w:val="24"/>
              <w:lang w:val="es"/>
            </w:rPr>
            <w:t>No obstante s</w:t>
          </w:r>
          <w:r w:rsidR="00A01C18" w:rsidRPr="00C473FD">
            <w:rPr>
              <w:rFonts w:ascii="Times New Roman" w:eastAsia="Times New Roman" w:hAnsi="Times New Roman"/>
              <w:sz w:val="24"/>
              <w:szCs w:val="24"/>
              <w:lang w:val="es"/>
            </w:rPr>
            <w:t xml:space="preserve">e aclara que el Grupo de Contabilidad </w:t>
          </w:r>
          <w:r w:rsidR="0005494D" w:rsidRPr="00C473FD">
            <w:rPr>
              <w:rFonts w:ascii="Times New Roman" w:eastAsia="Times New Roman" w:hAnsi="Times New Roman"/>
              <w:sz w:val="24"/>
              <w:szCs w:val="24"/>
              <w:lang w:val="es"/>
            </w:rPr>
            <w:t xml:space="preserve">carece de competencia para liquidar, los intereses por lo cual dependerá de lo que disponga </w:t>
          </w:r>
          <w:r w:rsidR="004E5925">
            <w:rPr>
              <w:rFonts w:ascii="Times New Roman" w:eastAsia="Times New Roman" w:hAnsi="Times New Roman"/>
              <w:sz w:val="24"/>
              <w:szCs w:val="24"/>
              <w:lang w:val="es"/>
            </w:rPr>
            <w:t xml:space="preserve">cada supervisor o </w:t>
          </w:r>
          <w:r w:rsidR="0005494D" w:rsidRPr="00C473FD">
            <w:rPr>
              <w:rFonts w:ascii="Times New Roman" w:eastAsia="Times New Roman" w:hAnsi="Times New Roman"/>
              <w:sz w:val="24"/>
              <w:szCs w:val="24"/>
              <w:lang w:val="es"/>
            </w:rPr>
            <w:t>área correspondiente.</w:t>
          </w:r>
        </w:p>
        <w:p w14:paraId="60FEB0E6" w14:textId="77777777" w:rsidR="00B3012D" w:rsidRPr="000373B4" w:rsidRDefault="00B3012D" w:rsidP="00A445F3">
          <w:pPr>
            <w:spacing w:after="0" w:line="240" w:lineRule="auto"/>
            <w:ind w:right="-3"/>
            <w:jc w:val="both"/>
            <w:rPr>
              <w:rFonts w:ascii="Times New Roman" w:eastAsiaTheme="minorHAnsi" w:hAnsi="Times New Roman"/>
              <w:sz w:val="24"/>
              <w:szCs w:val="24"/>
            </w:rPr>
          </w:pPr>
        </w:p>
        <w:p w14:paraId="0BC0FEFC" w14:textId="08C80145" w:rsidR="06B6BC7E" w:rsidRDefault="06B6BC7E" w:rsidP="7555230D">
          <w:pPr>
            <w:ind w:left="-20" w:right="-20"/>
            <w:jc w:val="both"/>
            <w:rPr>
              <w:rFonts w:ascii="Times New Roman" w:eastAsia="Times New Roman" w:hAnsi="Times New Roman"/>
              <w:sz w:val="24"/>
              <w:szCs w:val="24"/>
              <w:lang w:val="es"/>
            </w:rPr>
          </w:pPr>
          <w:r w:rsidRPr="00A92E85">
            <w:rPr>
              <w:rFonts w:ascii="Times New Roman" w:eastAsia="Times New Roman" w:hAnsi="Times New Roman"/>
              <w:sz w:val="24"/>
              <w:szCs w:val="24"/>
              <w:lang w:val="es"/>
            </w:rPr>
            <w:t>Por su parte, los “</w:t>
          </w:r>
          <w:r w:rsidRPr="00A92E85">
            <w:rPr>
              <w:rFonts w:ascii="Times New Roman" w:eastAsia="Times New Roman" w:hAnsi="Times New Roman"/>
              <w:sz w:val="24"/>
              <w:szCs w:val="24"/>
              <w:u w:val="single"/>
              <w:lang w:val="es"/>
            </w:rPr>
            <w:t>Derechos de tránsito</w:t>
          </w:r>
          <w:r w:rsidRPr="00A92E85">
            <w:rPr>
              <w:rFonts w:ascii="Times New Roman" w:eastAsia="Times New Roman" w:hAnsi="Times New Roman"/>
              <w:sz w:val="24"/>
              <w:szCs w:val="24"/>
              <w:lang w:val="es"/>
            </w:rPr>
            <w:t>” por valor total de $ 15.875.284.429, corresponden a los ingresos propios percibidos por la Agencia, de los operadores Drummond, Prodeco, Comercializadora Internacional Colombian Natural Resources I (CNR), Consorcio San Felipe</w:t>
          </w:r>
          <w:r w:rsidR="1AEDECE4" w:rsidRPr="00A92E85">
            <w:rPr>
              <w:rFonts w:ascii="Times New Roman" w:eastAsia="Times New Roman" w:hAnsi="Times New Roman"/>
              <w:sz w:val="24"/>
              <w:szCs w:val="24"/>
              <w:lang w:val="es"/>
            </w:rPr>
            <w:t>,</w:t>
          </w:r>
          <w:r w:rsidRPr="00A92E85">
            <w:rPr>
              <w:rFonts w:ascii="Times New Roman" w:eastAsia="Times New Roman" w:hAnsi="Times New Roman"/>
              <w:sz w:val="24"/>
              <w:szCs w:val="24"/>
              <w:lang w:val="es"/>
            </w:rPr>
            <w:t xml:space="preserve"> Consorcio CTSA Ingeral</w:t>
          </w:r>
          <w:r w:rsidR="61A4C4E1" w:rsidRPr="00A92E85">
            <w:rPr>
              <w:rFonts w:ascii="Times New Roman" w:eastAsia="Times New Roman" w:hAnsi="Times New Roman"/>
              <w:sz w:val="24"/>
              <w:szCs w:val="24"/>
              <w:lang w:val="es"/>
            </w:rPr>
            <w:t xml:space="preserve"> y Consorcio San Felipe </w:t>
          </w:r>
          <w:r w:rsidR="00F16E41" w:rsidRPr="00A92E85">
            <w:rPr>
              <w:rFonts w:ascii="Times New Roman" w:eastAsia="Times New Roman" w:hAnsi="Times New Roman"/>
              <w:sz w:val="24"/>
              <w:szCs w:val="24"/>
              <w:lang w:val="es"/>
            </w:rPr>
            <w:t>Férreo</w:t>
          </w:r>
          <w:r w:rsidRPr="00A92E85">
            <w:rPr>
              <w:rFonts w:ascii="Times New Roman" w:eastAsia="Times New Roman" w:hAnsi="Times New Roman"/>
              <w:sz w:val="24"/>
              <w:szCs w:val="24"/>
              <w:lang w:val="es"/>
            </w:rPr>
            <w:t>, que se relacionan con las tarifas definidas para el uso de las vías férreas para el transporte de cargas de carbón.</w:t>
          </w:r>
          <w:r w:rsidRPr="7555230D">
            <w:rPr>
              <w:rFonts w:ascii="Times New Roman" w:eastAsia="Times New Roman" w:hAnsi="Times New Roman"/>
              <w:sz w:val="24"/>
              <w:szCs w:val="24"/>
              <w:lang w:val="es"/>
            </w:rPr>
            <w:t xml:space="preserve"> </w:t>
          </w:r>
        </w:p>
        <w:p w14:paraId="513C8DC0" w14:textId="5CEF7271" w:rsidR="06B6BC7E" w:rsidRDefault="06B6BC7E" w:rsidP="7555230D">
          <w:pPr>
            <w:ind w:left="-20" w:right="-20"/>
            <w:jc w:val="both"/>
            <w:rPr>
              <w:rFonts w:ascii="Times New Roman" w:eastAsia="Times New Roman" w:hAnsi="Times New Roman"/>
              <w:sz w:val="24"/>
              <w:szCs w:val="24"/>
            </w:rPr>
          </w:pPr>
          <w:r w:rsidRPr="7555230D">
            <w:rPr>
              <w:rFonts w:ascii="Times New Roman" w:eastAsia="Times New Roman" w:hAnsi="Times New Roman"/>
              <w:sz w:val="24"/>
              <w:szCs w:val="24"/>
            </w:rPr>
            <w:lastRenderedPageBreak/>
            <w:t xml:space="preserve">A continuación, se detalla la composición de </w:t>
          </w:r>
          <w:r w:rsidRPr="00290D58">
            <w:rPr>
              <w:rFonts w:ascii="Times New Roman" w:eastAsia="Times New Roman" w:hAnsi="Times New Roman"/>
              <w:sz w:val="24"/>
              <w:szCs w:val="24"/>
            </w:rPr>
            <w:t>los ingresos</w:t>
          </w:r>
          <w:r w:rsidRPr="7555230D">
            <w:rPr>
              <w:rFonts w:ascii="Times New Roman" w:eastAsia="Times New Roman" w:hAnsi="Times New Roman"/>
              <w:color w:val="FF0000"/>
              <w:sz w:val="24"/>
              <w:szCs w:val="24"/>
            </w:rPr>
            <w:t xml:space="preserve"> </w:t>
          </w:r>
          <w:r w:rsidRPr="7555230D">
            <w:rPr>
              <w:rFonts w:ascii="Times New Roman" w:eastAsia="Times New Roman" w:hAnsi="Times New Roman"/>
              <w:sz w:val="24"/>
              <w:szCs w:val="24"/>
            </w:rPr>
            <w:t>por concepto de “Derechos de tránsito” percibidos durante la vigencia 2023, en virtud de la información suministrada por la Gerencia de Proyectos Férreos de la Vicepresidencia Gestión Contractual, a nivel de terceros:</w:t>
          </w:r>
        </w:p>
        <w:tbl>
          <w:tblPr>
            <w:tblW w:w="5000" w:type="pct"/>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3557"/>
            <w:gridCol w:w="1795"/>
            <w:gridCol w:w="1795"/>
            <w:gridCol w:w="1812"/>
          </w:tblGrid>
          <w:tr w:rsidR="1C0C6ED1" w14:paraId="7D7B4580" w14:textId="77777777" w:rsidTr="004E5925">
            <w:trPr>
              <w:trHeight w:val="300"/>
            </w:trPr>
            <w:tc>
              <w:tcPr>
                <w:tcW w:w="1985" w:type="pct"/>
                <w:shd w:val="clear" w:color="auto" w:fill="FFFFFF" w:themeFill="background1"/>
                <w:tcMar>
                  <w:left w:w="70" w:type="dxa"/>
                  <w:right w:w="70" w:type="dxa"/>
                </w:tcMar>
                <w:vAlign w:val="center"/>
              </w:tcPr>
              <w:p w14:paraId="4B0E7782" w14:textId="0F4B8D1A" w:rsidR="1C0C6ED1" w:rsidRPr="009A46BB" w:rsidRDefault="1C0C6ED1" w:rsidP="1C0C6ED1">
                <w:pPr>
                  <w:spacing w:after="0"/>
                  <w:ind w:left="-20" w:right="-20"/>
                  <w:rPr>
                    <w:rFonts w:ascii="Times New Roman" w:hAnsi="Times New Roman"/>
                  </w:rPr>
                </w:pPr>
                <w:r w:rsidRPr="1C0C6ED1">
                  <w:rPr>
                    <w:rFonts w:ascii="Times New Roman" w:eastAsia="Times New Roman" w:hAnsi="Times New Roman"/>
                    <w:b/>
                    <w:bCs/>
                    <w:color w:val="000000" w:themeColor="text1"/>
                    <w:sz w:val="18"/>
                    <w:szCs w:val="18"/>
                  </w:rPr>
                  <w:t>TERCERO</w:t>
                </w:r>
              </w:p>
            </w:tc>
            <w:tc>
              <w:tcPr>
                <w:tcW w:w="1002" w:type="pct"/>
                <w:shd w:val="clear" w:color="auto" w:fill="FFFFFF" w:themeFill="background1"/>
                <w:tcMar>
                  <w:left w:w="70" w:type="dxa"/>
                  <w:right w:w="70" w:type="dxa"/>
                </w:tcMar>
                <w:vAlign w:val="center"/>
              </w:tcPr>
              <w:p w14:paraId="139D8973" w14:textId="08FB6CF5" w:rsidR="1C0C6ED1" w:rsidRPr="009A46BB" w:rsidRDefault="1C0C6ED1" w:rsidP="1C0C6ED1">
                <w:pPr>
                  <w:spacing w:after="0"/>
                  <w:ind w:left="-20" w:right="-20"/>
                  <w:jc w:val="center"/>
                  <w:rPr>
                    <w:rFonts w:ascii="Times New Roman" w:hAnsi="Times New Roman"/>
                  </w:rPr>
                </w:pPr>
                <w:r w:rsidRPr="1C0C6ED1">
                  <w:rPr>
                    <w:rFonts w:ascii="Times New Roman" w:eastAsia="Times New Roman" w:hAnsi="Times New Roman"/>
                    <w:b/>
                    <w:bCs/>
                    <w:color w:val="000000" w:themeColor="text1"/>
                    <w:sz w:val="18"/>
                    <w:szCs w:val="18"/>
                  </w:rPr>
                  <w:t>2023</w:t>
                </w:r>
              </w:p>
            </w:tc>
            <w:tc>
              <w:tcPr>
                <w:tcW w:w="1002" w:type="pct"/>
                <w:shd w:val="clear" w:color="auto" w:fill="FFFFFF" w:themeFill="background1"/>
                <w:tcMar>
                  <w:left w:w="70" w:type="dxa"/>
                  <w:right w:w="70" w:type="dxa"/>
                </w:tcMar>
                <w:vAlign w:val="center"/>
              </w:tcPr>
              <w:p w14:paraId="44B8D425" w14:textId="04EB75FB" w:rsidR="1C0C6ED1" w:rsidRPr="009A46BB" w:rsidRDefault="1C0C6ED1" w:rsidP="1C0C6ED1">
                <w:pPr>
                  <w:spacing w:after="0"/>
                  <w:ind w:left="-20" w:right="-20"/>
                  <w:jc w:val="center"/>
                  <w:rPr>
                    <w:rFonts w:ascii="Times New Roman" w:hAnsi="Times New Roman"/>
                  </w:rPr>
                </w:pPr>
                <w:r w:rsidRPr="1C0C6ED1">
                  <w:rPr>
                    <w:rFonts w:ascii="Times New Roman" w:eastAsia="Times New Roman" w:hAnsi="Times New Roman"/>
                    <w:b/>
                    <w:bCs/>
                    <w:color w:val="000000" w:themeColor="text1"/>
                    <w:sz w:val="18"/>
                    <w:szCs w:val="18"/>
                  </w:rPr>
                  <w:t>2022</w:t>
                </w:r>
              </w:p>
            </w:tc>
            <w:tc>
              <w:tcPr>
                <w:tcW w:w="1011" w:type="pct"/>
                <w:shd w:val="clear" w:color="auto" w:fill="FFFFFF" w:themeFill="background1"/>
                <w:tcMar>
                  <w:left w:w="70" w:type="dxa"/>
                  <w:right w:w="70" w:type="dxa"/>
                </w:tcMar>
                <w:vAlign w:val="center"/>
              </w:tcPr>
              <w:p w14:paraId="3794E420" w14:textId="784CE9F9" w:rsidR="1C0C6ED1" w:rsidRPr="009A46BB" w:rsidRDefault="1C0C6ED1" w:rsidP="1C0C6ED1">
                <w:pPr>
                  <w:spacing w:after="0"/>
                  <w:ind w:left="-20" w:right="-20"/>
                  <w:jc w:val="center"/>
                  <w:rPr>
                    <w:rFonts w:ascii="Times New Roman" w:hAnsi="Times New Roman"/>
                  </w:rPr>
                </w:pPr>
                <w:r w:rsidRPr="1C0C6ED1">
                  <w:rPr>
                    <w:rFonts w:ascii="Times New Roman" w:eastAsia="Times New Roman" w:hAnsi="Times New Roman"/>
                    <w:b/>
                    <w:bCs/>
                    <w:color w:val="000000" w:themeColor="text1"/>
                    <w:sz w:val="18"/>
                    <w:szCs w:val="18"/>
                  </w:rPr>
                  <w:t>VARIACION</w:t>
                </w:r>
              </w:p>
            </w:tc>
          </w:tr>
          <w:tr w:rsidR="1C0C6ED1" w14:paraId="54B7CF78" w14:textId="77777777" w:rsidTr="004E5925">
            <w:trPr>
              <w:trHeight w:val="300"/>
            </w:trPr>
            <w:tc>
              <w:tcPr>
                <w:tcW w:w="1985" w:type="pct"/>
                <w:shd w:val="clear" w:color="auto" w:fill="FFFFFF" w:themeFill="background1"/>
                <w:tcMar>
                  <w:left w:w="70" w:type="dxa"/>
                  <w:right w:w="70" w:type="dxa"/>
                </w:tcMar>
                <w:vAlign w:val="center"/>
              </w:tcPr>
              <w:p w14:paraId="56BFF1ED" w14:textId="506547D6" w:rsidR="1C0C6ED1" w:rsidRPr="009A46BB" w:rsidRDefault="1C0C6ED1" w:rsidP="1C0C6ED1">
                <w:pPr>
                  <w:spacing w:after="0"/>
                  <w:ind w:left="-20" w:right="-20"/>
                  <w:rPr>
                    <w:rFonts w:ascii="Times New Roman" w:hAnsi="Times New Roman"/>
                  </w:rPr>
                </w:pPr>
                <w:r w:rsidRPr="1C0C6ED1">
                  <w:rPr>
                    <w:rFonts w:ascii="Times New Roman" w:eastAsia="Times New Roman" w:hAnsi="Times New Roman"/>
                    <w:color w:val="000000" w:themeColor="text1"/>
                    <w:sz w:val="18"/>
                    <w:szCs w:val="18"/>
                  </w:rPr>
                  <w:t>Drummond LTDA</w:t>
                </w:r>
              </w:p>
            </w:tc>
            <w:tc>
              <w:tcPr>
                <w:tcW w:w="1002" w:type="pct"/>
                <w:shd w:val="clear" w:color="auto" w:fill="FFFFFF" w:themeFill="background1"/>
                <w:tcMar>
                  <w:left w:w="70" w:type="dxa"/>
                  <w:right w:w="70" w:type="dxa"/>
                </w:tcMar>
                <w:vAlign w:val="center"/>
              </w:tcPr>
              <w:p w14:paraId="307A57E8" w14:textId="0AE8CE6F" w:rsidR="1C0C6ED1" w:rsidRPr="009A46BB" w:rsidRDefault="1C0C6ED1" w:rsidP="1C0C6ED1">
                <w:pPr>
                  <w:spacing w:after="0"/>
                  <w:ind w:left="-20" w:right="-20"/>
                  <w:jc w:val="right"/>
                  <w:rPr>
                    <w:rFonts w:ascii="Times New Roman" w:hAnsi="Times New Roman"/>
                  </w:rPr>
                </w:pPr>
                <w:r w:rsidRPr="1C0C6ED1">
                  <w:rPr>
                    <w:rFonts w:ascii="Times New Roman" w:eastAsia="Times New Roman" w:hAnsi="Times New Roman"/>
                    <w:color w:val="000000" w:themeColor="text1"/>
                    <w:sz w:val="18"/>
                    <w:szCs w:val="18"/>
                  </w:rPr>
                  <w:t>14.618.919.743</w:t>
                </w:r>
              </w:p>
            </w:tc>
            <w:tc>
              <w:tcPr>
                <w:tcW w:w="1002" w:type="pct"/>
                <w:shd w:val="clear" w:color="auto" w:fill="FFFFFF" w:themeFill="background1"/>
                <w:tcMar>
                  <w:left w:w="70" w:type="dxa"/>
                  <w:right w:w="70" w:type="dxa"/>
                </w:tcMar>
                <w:vAlign w:val="center"/>
              </w:tcPr>
              <w:p w14:paraId="62873CB3" w14:textId="26C7C5D5" w:rsidR="1C0C6ED1" w:rsidRPr="009A46BB" w:rsidRDefault="1C0C6ED1" w:rsidP="1C0C6ED1">
                <w:pPr>
                  <w:spacing w:after="0"/>
                  <w:ind w:left="-20" w:right="-20"/>
                  <w:jc w:val="right"/>
                  <w:rPr>
                    <w:rFonts w:ascii="Times New Roman" w:hAnsi="Times New Roman"/>
                  </w:rPr>
                </w:pPr>
                <w:r w:rsidRPr="1C0C6ED1">
                  <w:rPr>
                    <w:rFonts w:ascii="Times New Roman" w:eastAsia="Times New Roman" w:hAnsi="Times New Roman"/>
                    <w:color w:val="000000" w:themeColor="text1"/>
                    <w:sz w:val="18"/>
                    <w:szCs w:val="18"/>
                  </w:rPr>
                  <w:t>16.367.334.292</w:t>
                </w:r>
              </w:p>
            </w:tc>
            <w:tc>
              <w:tcPr>
                <w:tcW w:w="1011" w:type="pct"/>
                <w:shd w:val="clear" w:color="auto" w:fill="FFFFFF" w:themeFill="background1"/>
                <w:tcMar>
                  <w:left w:w="70" w:type="dxa"/>
                  <w:right w:w="70" w:type="dxa"/>
                </w:tcMar>
                <w:vAlign w:val="center"/>
              </w:tcPr>
              <w:p w14:paraId="7CDE301B" w14:textId="39CFF092" w:rsidR="1C0C6ED1" w:rsidRPr="009A46BB" w:rsidRDefault="1C0C6ED1" w:rsidP="1C0C6ED1">
                <w:pPr>
                  <w:spacing w:after="0"/>
                  <w:ind w:left="-20" w:right="-20"/>
                  <w:jc w:val="right"/>
                  <w:rPr>
                    <w:rFonts w:ascii="Times New Roman" w:hAnsi="Times New Roman"/>
                  </w:rPr>
                </w:pPr>
                <w:r w:rsidRPr="1C0C6ED1">
                  <w:rPr>
                    <w:rFonts w:ascii="Times New Roman" w:eastAsia="Times New Roman" w:hAnsi="Times New Roman"/>
                    <w:color w:val="000000" w:themeColor="text1"/>
                    <w:sz w:val="18"/>
                    <w:szCs w:val="18"/>
                  </w:rPr>
                  <w:t>-1.748.414.549</w:t>
                </w:r>
              </w:p>
            </w:tc>
          </w:tr>
          <w:tr w:rsidR="1C0C6ED1" w14:paraId="6A7B2E87" w14:textId="77777777" w:rsidTr="004E5925">
            <w:trPr>
              <w:trHeight w:val="300"/>
            </w:trPr>
            <w:tc>
              <w:tcPr>
                <w:tcW w:w="1985" w:type="pct"/>
                <w:shd w:val="clear" w:color="auto" w:fill="FFFFFF" w:themeFill="background1"/>
                <w:tcMar>
                  <w:left w:w="70" w:type="dxa"/>
                  <w:right w:w="70" w:type="dxa"/>
                </w:tcMar>
                <w:vAlign w:val="center"/>
              </w:tcPr>
              <w:p w14:paraId="1663FBCE" w14:textId="16D6B503" w:rsidR="1C0C6ED1" w:rsidRPr="009A46BB" w:rsidRDefault="1C0C6ED1" w:rsidP="1C0C6ED1">
                <w:pPr>
                  <w:spacing w:after="0"/>
                  <w:ind w:left="-20" w:right="-20"/>
                  <w:rPr>
                    <w:rFonts w:ascii="Times New Roman" w:hAnsi="Times New Roman"/>
                  </w:rPr>
                </w:pPr>
                <w:r w:rsidRPr="1C0C6ED1">
                  <w:rPr>
                    <w:rFonts w:ascii="Times New Roman" w:eastAsia="Times New Roman" w:hAnsi="Times New Roman"/>
                    <w:color w:val="000000" w:themeColor="text1"/>
                    <w:sz w:val="18"/>
                    <w:szCs w:val="18"/>
                  </w:rPr>
                  <w:t>C.I. Prodeco S.A.</w:t>
                </w:r>
              </w:p>
            </w:tc>
            <w:tc>
              <w:tcPr>
                <w:tcW w:w="1002" w:type="pct"/>
                <w:shd w:val="clear" w:color="auto" w:fill="FFFFFF" w:themeFill="background1"/>
                <w:tcMar>
                  <w:left w:w="70" w:type="dxa"/>
                  <w:right w:w="70" w:type="dxa"/>
                </w:tcMar>
                <w:vAlign w:val="center"/>
              </w:tcPr>
              <w:p w14:paraId="45F8C407" w14:textId="4F94B52F" w:rsidR="1C0C6ED1" w:rsidRPr="009A46BB" w:rsidRDefault="1C0C6ED1" w:rsidP="1C0C6ED1">
                <w:pPr>
                  <w:spacing w:after="0"/>
                  <w:ind w:left="-20" w:right="-20"/>
                  <w:jc w:val="right"/>
                  <w:rPr>
                    <w:rFonts w:ascii="Times New Roman" w:hAnsi="Times New Roman"/>
                  </w:rPr>
                </w:pPr>
                <w:r w:rsidRPr="1C0C6ED1">
                  <w:rPr>
                    <w:rFonts w:ascii="Times New Roman" w:eastAsia="Times New Roman" w:hAnsi="Times New Roman"/>
                    <w:color w:val="000000" w:themeColor="text1"/>
                    <w:sz w:val="18"/>
                    <w:szCs w:val="18"/>
                  </w:rPr>
                  <w:t>289.502.523</w:t>
                </w:r>
              </w:p>
            </w:tc>
            <w:tc>
              <w:tcPr>
                <w:tcW w:w="1002" w:type="pct"/>
                <w:shd w:val="clear" w:color="auto" w:fill="FFFFFF" w:themeFill="background1"/>
                <w:tcMar>
                  <w:left w:w="70" w:type="dxa"/>
                  <w:right w:w="70" w:type="dxa"/>
                </w:tcMar>
                <w:vAlign w:val="center"/>
              </w:tcPr>
              <w:p w14:paraId="594C44FD" w14:textId="7F0220C5" w:rsidR="1C0C6ED1" w:rsidRPr="009A46BB" w:rsidRDefault="1C0C6ED1" w:rsidP="1C0C6ED1">
                <w:pPr>
                  <w:spacing w:after="0"/>
                  <w:ind w:left="-20" w:right="-20"/>
                  <w:jc w:val="right"/>
                  <w:rPr>
                    <w:rFonts w:ascii="Times New Roman" w:hAnsi="Times New Roman"/>
                  </w:rPr>
                </w:pPr>
                <w:r w:rsidRPr="1C0C6ED1">
                  <w:rPr>
                    <w:rFonts w:ascii="Times New Roman" w:eastAsia="Times New Roman" w:hAnsi="Times New Roman"/>
                    <w:color w:val="000000" w:themeColor="text1"/>
                    <w:sz w:val="18"/>
                    <w:szCs w:val="18"/>
                  </w:rPr>
                  <w:t>837.187.821</w:t>
                </w:r>
              </w:p>
            </w:tc>
            <w:tc>
              <w:tcPr>
                <w:tcW w:w="1011" w:type="pct"/>
                <w:shd w:val="clear" w:color="auto" w:fill="FFFFFF" w:themeFill="background1"/>
                <w:tcMar>
                  <w:left w:w="70" w:type="dxa"/>
                  <w:right w:w="70" w:type="dxa"/>
                </w:tcMar>
                <w:vAlign w:val="center"/>
              </w:tcPr>
              <w:p w14:paraId="5A23F2BB" w14:textId="0DEB74C9" w:rsidR="1C0C6ED1" w:rsidRPr="009A46BB" w:rsidRDefault="1C0C6ED1" w:rsidP="1C0C6ED1">
                <w:pPr>
                  <w:spacing w:after="0"/>
                  <w:ind w:left="-20" w:right="-20"/>
                  <w:jc w:val="right"/>
                  <w:rPr>
                    <w:rFonts w:ascii="Times New Roman" w:hAnsi="Times New Roman"/>
                  </w:rPr>
                </w:pPr>
                <w:r w:rsidRPr="1C0C6ED1">
                  <w:rPr>
                    <w:rFonts w:ascii="Times New Roman" w:eastAsia="Times New Roman" w:hAnsi="Times New Roman"/>
                    <w:color w:val="000000" w:themeColor="text1"/>
                    <w:sz w:val="18"/>
                    <w:szCs w:val="18"/>
                  </w:rPr>
                  <w:t>-547.685.298</w:t>
                </w:r>
              </w:p>
            </w:tc>
          </w:tr>
          <w:tr w:rsidR="1C0C6ED1" w14:paraId="05B26D77" w14:textId="77777777" w:rsidTr="004E5925">
            <w:trPr>
              <w:trHeight w:val="300"/>
            </w:trPr>
            <w:tc>
              <w:tcPr>
                <w:tcW w:w="1985" w:type="pct"/>
                <w:shd w:val="clear" w:color="auto" w:fill="FFFFFF" w:themeFill="background1"/>
                <w:tcMar>
                  <w:left w:w="70" w:type="dxa"/>
                  <w:right w:w="70" w:type="dxa"/>
                </w:tcMar>
                <w:vAlign w:val="center"/>
              </w:tcPr>
              <w:p w14:paraId="6DDB7F80" w14:textId="13B2883F" w:rsidR="1C0C6ED1" w:rsidRPr="009A46BB" w:rsidRDefault="1C0C6ED1" w:rsidP="1C0C6ED1">
                <w:pPr>
                  <w:spacing w:after="0"/>
                  <w:ind w:left="-20" w:right="-20"/>
                  <w:rPr>
                    <w:rFonts w:ascii="Times New Roman" w:hAnsi="Times New Roman"/>
                    <w:lang w:val="en-US"/>
                  </w:rPr>
                </w:pPr>
                <w:r w:rsidRPr="1C0C6ED1">
                  <w:rPr>
                    <w:rFonts w:ascii="Times New Roman" w:eastAsia="Times New Roman" w:hAnsi="Times New Roman"/>
                    <w:color w:val="000000" w:themeColor="text1"/>
                    <w:sz w:val="18"/>
                    <w:szCs w:val="18"/>
                    <w:lang w:val="en-US"/>
                  </w:rPr>
                  <w:t>C I Colombian Natural Resources I S.A.S.</w:t>
                </w:r>
              </w:p>
            </w:tc>
            <w:tc>
              <w:tcPr>
                <w:tcW w:w="1002" w:type="pct"/>
                <w:shd w:val="clear" w:color="auto" w:fill="FFFFFF" w:themeFill="background1"/>
                <w:tcMar>
                  <w:left w:w="70" w:type="dxa"/>
                  <w:right w:w="70" w:type="dxa"/>
                </w:tcMar>
                <w:vAlign w:val="center"/>
              </w:tcPr>
              <w:p w14:paraId="2051CF96" w14:textId="56FB7CE1" w:rsidR="1C0C6ED1" w:rsidRPr="009A46BB" w:rsidRDefault="1C0C6ED1" w:rsidP="1C0C6ED1">
                <w:pPr>
                  <w:spacing w:after="0"/>
                  <w:ind w:left="-20" w:right="-20"/>
                  <w:jc w:val="right"/>
                  <w:rPr>
                    <w:rFonts w:ascii="Times New Roman" w:hAnsi="Times New Roman"/>
                  </w:rPr>
                </w:pPr>
                <w:r w:rsidRPr="1C0C6ED1">
                  <w:rPr>
                    <w:rFonts w:ascii="Times New Roman" w:eastAsia="Times New Roman" w:hAnsi="Times New Roman"/>
                    <w:color w:val="000000" w:themeColor="text1"/>
                    <w:sz w:val="18"/>
                    <w:szCs w:val="18"/>
                  </w:rPr>
                  <w:t>707.279.482</w:t>
                </w:r>
              </w:p>
            </w:tc>
            <w:tc>
              <w:tcPr>
                <w:tcW w:w="1002" w:type="pct"/>
                <w:shd w:val="clear" w:color="auto" w:fill="FFFFFF" w:themeFill="background1"/>
                <w:tcMar>
                  <w:left w:w="70" w:type="dxa"/>
                  <w:right w:w="70" w:type="dxa"/>
                </w:tcMar>
                <w:vAlign w:val="center"/>
              </w:tcPr>
              <w:p w14:paraId="0354411C" w14:textId="0B2FD695" w:rsidR="1C0C6ED1" w:rsidRPr="009A46BB" w:rsidRDefault="1C0C6ED1" w:rsidP="1C0C6ED1">
                <w:pPr>
                  <w:spacing w:after="0"/>
                  <w:ind w:left="-20" w:right="-20"/>
                  <w:jc w:val="right"/>
                  <w:rPr>
                    <w:rFonts w:ascii="Times New Roman" w:hAnsi="Times New Roman"/>
                  </w:rPr>
                </w:pPr>
                <w:r w:rsidRPr="1C0C6ED1">
                  <w:rPr>
                    <w:rFonts w:ascii="Times New Roman" w:eastAsia="Times New Roman" w:hAnsi="Times New Roman"/>
                    <w:color w:val="000000" w:themeColor="text1"/>
                    <w:sz w:val="18"/>
                    <w:szCs w:val="18"/>
                  </w:rPr>
                  <w:t>1.669.201.598</w:t>
                </w:r>
              </w:p>
            </w:tc>
            <w:tc>
              <w:tcPr>
                <w:tcW w:w="1011" w:type="pct"/>
                <w:shd w:val="clear" w:color="auto" w:fill="FFFFFF" w:themeFill="background1"/>
                <w:tcMar>
                  <w:left w:w="70" w:type="dxa"/>
                  <w:right w:w="70" w:type="dxa"/>
                </w:tcMar>
                <w:vAlign w:val="center"/>
              </w:tcPr>
              <w:p w14:paraId="090620A1" w14:textId="2BC32EA7" w:rsidR="1C0C6ED1" w:rsidRPr="009A46BB" w:rsidRDefault="1C0C6ED1" w:rsidP="1C0C6ED1">
                <w:pPr>
                  <w:spacing w:after="0"/>
                  <w:ind w:left="-20" w:right="-20"/>
                  <w:jc w:val="right"/>
                  <w:rPr>
                    <w:rFonts w:ascii="Times New Roman" w:hAnsi="Times New Roman"/>
                  </w:rPr>
                </w:pPr>
                <w:r w:rsidRPr="1C0C6ED1">
                  <w:rPr>
                    <w:rFonts w:ascii="Times New Roman" w:eastAsia="Times New Roman" w:hAnsi="Times New Roman"/>
                    <w:color w:val="000000" w:themeColor="text1"/>
                    <w:sz w:val="18"/>
                    <w:szCs w:val="18"/>
                  </w:rPr>
                  <w:t>-961.922.116</w:t>
                </w:r>
              </w:p>
            </w:tc>
          </w:tr>
          <w:tr w:rsidR="1C0C6ED1" w14:paraId="06E2BFD3" w14:textId="77777777" w:rsidTr="004E5925">
            <w:trPr>
              <w:trHeight w:val="300"/>
            </w:trPr>
            <w:tc>
              <w:tcPr>
                <w:tcW w:w="1985" w:type="pct"/>
                <w:shd w:val="clear" w:color="auto" w:fill="FFFFFF" w:themeFill="background1"/>
                <w:tcMar>
                  <w:left w:w="70" w:type="dxa"/>
                  <w:right w:w="70" w:type="dxa"/>
                </w:tcMar>
                <w:vAlign w:val="center"/>
              </w:tcPr>
              <w:p w14:paraId="300C8676" w14:textId="56EFD3A4" w:rsidR="1C0C6ED1" w:rsidRPr="009A46BB" w:rsidRDefault="1C0C6ED1" w:rsidP="1C0C6ED1">
                <w:pPr>
                  <w:spacing w:after="0"/>
                  <w:ind w:left="-20" w:right="-20"/>
                  <w:rPr>
                    <w:rFonts w:ascii="Times New Roman" w:hAnsi="Times New Roman"/>
                  </w:rPr>
                </w:pPr>
                <w:r w:rsidRPr="1C0C6ED1">
                  <w:rPr>
                    <w:rFonts w:ascii="Times New Roman" w:eastAsia="Times New Roman" w:hAnsi="Times New Roman"/>
                    <w:color w:val="000000" w:themeColor="text1"/>
                    <w:sz w:val="18"/>
                    <w:szCs w:val="18"/>
                  </w:rPr>
                  <w:t>Consorcio San Felipe</w:t>
                </w:r>
              </w:p>
            </w:tc>
            <w:tc>
              <w:tcPr>
                <w:tcW w:w="1002" w:type="pct"/>
                <w:shd w:val="clear" w:color="auto" w:fill="FFFFFF" w:themeFill="background1"/>
                <w:tcMar>
                  <w:left w:w="70" w:type="dxa"/>
                  <w:right w:w="70" w:type="dxa"/>
                </w:tcMar>
                <w:vAlign w:val="center"/>
              </w:tcPr>
              <w:p w14:paraId="5FADBB09" w14:textId="325910E5" w:rsidR="1C0C6ED1" w:rsidRPr="009A46BB" w:rsidRDefault="1C0C6ED1" w:rsidP="1C0C6ED1">
                <w:pPr>
                  <w:spacing w:after="0"/>
                  <w:ind w:left="-20" w:right="-20"/>
                  <w:jc w:val="right"/>
                  <w:rPr>
                    <w:rFonts w:ascii="Times New Roman" w:hAnsi="Times New Roman"/>
                  </w:rPr>
                </w:pPr>
                <w:r w:rsidRPr="1C0C6ED1">
                  <w:rPr>
                    <w:rFonts w:ascii="Times New Roman" w:eastAsia="Times New Roman" w:hAnsi="Times New Roman"/>
                    <w:color w:val="000000" w:themeColor="text1"/>
                    <w:sz w:val="18"/>
                    <w:szCs w:val="18"/>
                  </w:rPr>
                  <w:t>69.836.516</w:t>
                </w:r>
              </w:p>
            </w:tc>
            <w:tc>
              <w:tcPr>
                <w:tcW w:w="1002" w:type="pct"/>
                <w:shd w:val="clear" w:color="auto" w:fill="FFFFFF" w:themeFill="background1"/>
                <w:tcMar>
                  <w:left w:w="70" w:type="dxa"/>
                  <w:right w:w="70" w:type="dxa"/>
                </w:tcMar>
                <w:vAlign w:val="center"/>
              </w:tcPr>
              <w:p w14:paraId="2243EBE6" w14:textId="28AC67FE" w:rsidR="1C0C6ED1" w:rsidRPr="009A46BB" w:rsidRDefault="1C0C6ED1" w:rsidP="1C0C6ED1">
                <w:pPr>
                  <w:spacing w:after="0"/>
                  <w:ind w:left="-20" w:right="-20"/>
                  <w:jc w:val="right"/>
                  <w:rPr>
                    <w:rFonts w:ascii="Times New Roman" w:hAnsi="Times New Roman"/>
                  </w:rPr>
                </w:pPr>
                <w:r w:rsidRPr="1C0C6ED1">
                  <w:rPr>
                    <w:rFonts w:ascii="Times New Roman" w:eastAsia="Times New Roman" w:hAnsi="Times New Roman"/>
                    <w:color w:val="000000" w:themeColor="text1"/>
                    <w:sz w:val="18"/>
                    <w:szCs w:val="18"/>
                  </w:rPr>
                  <w:t>181.158.120</w:t>
                </w:r>
              </w:p>
            </w:tc>
            <w:tc>
              <w:tcPr>
                <w:tcW w:w="1011" w:type="pct"/>
                <w:shd w:val="clear" w:color="auto" w:fill="FFFFFF" w:themeFill="background1"/>
                <w:tcMar>
                  <w:left w:w="70" w:type="dxa"/>
                  <w:right w:w="70" w:type="dxa"/>
                </w:tcMar>
                <w:vAlign w:val="center"/>
              </w:tcPr>
              <w:p w14:paraId="63DCFBB3" w14:textId="6EB3AD4E" w:rsidR="1C0C6ED1" w:rsidRPr="009A46BB" w:rsidRDefault="1C0C6ED1" w:rsidP="1C0C6ED1">
                <w:pPr>
                  <w:spacing w:after="0"/>
                  <w:ind w:left="-20" w:right="-20"/>
                  <w:jc w:val="right"/>
                  <w:rPr>
                    <w:rFonts w:ascii="Times New Roman" w:hAnsi="Times New Roman"/>
                  </w:rPr>
                </w:pPr>
                <w:r w:rsidRPr="1C0C6ED1">
                  <w:rPr>
                    <w:rFonts w:ascii="Times New Roman" w:eastAsia="Times New Roman" w:hAnsi="Times New Roman"/>
                    <w:color w:val="000000" w:themeColor="text1"/>
                    <w:sz w:val="18"/>
                    <w:szCs w:val="18"/>
                  </w:rPr>
                  <w:t>-111.321.604</w:t>
                </w:r>
              </w:p>
            </w:tc>
          </w:tr>
          <w:tr w:rsidR="1C0C6ED1" w14:paraId="49F19F95" w14:textId="77777777" w:rsidTr="004E5925">
            <w:trPr>
              <w:trHeight w:val="300"/>
            </w:trPr>
            <w:tc>
              <w:tcPr>
                <w:tcW w:w="1985" w:type="pct"/>
                <w:shd w:val="clear" w:color="auto" w:fill="FFFFFF" w:themeFill="background1"/>
                <w:tcMar>
                  <w:left w:w="70" w:type="dxa"/>
                  <w:right w:w="70" w:type="dxa"/>
                </w:tcMar>
                <w:vAlign w:val="center"/>
              </w:tcPr>
              <w:p w14:paraId="4E42095A" w14:textId="3B398F9F" w:rsidR="1C0C6ED1" w:rsidRPr="009A46BB" w:rsidRDefault="1C0C6ED1" w:rsidP="1C0C6ED1">
                <w:pPr>
                  <w:spacing w:after="0"/>
                  <w:ind w:left="-20" w:right="-20"/>
                  <w:rPr>
                    <w:rFonts w:ascii="Times New Roman" w:hAnsi="Times New Roman"/>
                  </w:rPr>
                </w:pPr>
                <w:r w:rsidRPr="1C0C6ED1">
                  <w:rPr>
                    <w:rFonts w:ascii="Times New Roman" w:eastAsia="Times New Roman" w:hAnsi="Times New Roman"/>
                    <w:color w:val="000000" w:themeColor="text1"/>
                    <w:sz w:val="18"/>
                    <w:szCs w:val="18"/>
                  </w:rPr>
                  <w:t>Consorcio Infrarover Férreo</w:t>
                </w:r>
              </w:p>
            </w:tc>
            <w:tc>
              <w:tcPr>
                <w:tcW w:w="1002" w:type="pct"/>
                <w:shd w:val="clear" w:color="auto" w:fill="FFFFFF" w:themeFill="background1"/>
                <w:tcMar>
                  <w:left w:w="70" w:type="dxa"/>
                  <w:right w:w="70" w:type="dxa"/>
                </w:tcMar>
                <w:vAlign w:val="center"/>
              </w:tcPr>
              <w:p w14:paraId="0CF85C65" w14:textId="4E7DC716" w:rsidR="1C0C6ED1" w:rsidRPr="009A46BB" w:rsidRDefault="1C0C6ED1" w:rsidP="1C0C6ED1">
                <w:pPr>
                  <w:spacing w:after="0"/>
                  <w:ind w:left="-20" w:right="-20"/>
                  <w:jc w:val="right"/>
                  <w:rPr>
                    <w:rFonts w:ascii="Times New Roman" w:hAnsi="Times New Roman"/>
                  </w:rPr>
                </w:pPr>
                <w:r w:rsidRPr="1C0C6ED1">
                  <w:rPr>
                    <w:rFonts w:ascii="Times New Roman" w:eastAsia="Times New Roman" w:hAnsi="Times New Roman"/>
                    <w:color w:val="000000" w:themeColor="text1"/>
                    <w:sz w:val="18"/>
                    <w:szCs w:val="18"/>
                  </w:rPr>
                  <w:t>0</w:t>
                </w:r>
              </w:p>
            </w:tc>
            <w:tc>
              <w:tcPr>
                <w:tcW w:w="1002" w:type="pct"/>
                <w:shd w:val="clear" w:color="auto" w:fill="FFFFFF" w:themeFill="background1"/>
                <w:tcMar>
                  <w:left w:w="70" w:type="dxa"/>
                  <w:right w:w="70" w:type="dxa"/>
                </w:tcMar>
                <w:vAlign w:val="center"/>
              </w:tcPr>
              <w:p w14:paraId="31D19F51" w14:textId="31A8F66D" w:rsidR="1C0C6ED1" w:rsidRPr="009A46BB" w:rsidRDefault="1C0C6ED1" w:rsidP="1C0C6ED1">
                <w:pPr>
                  <w:spacing w:after="0"/>
                  <w:ind w:left="-20" w:right="-20"/>
                  <w:jc w:val="right"/>
                  <w:rPr>
                    <w:rFonts w:ascii="Times New Roman" w:hAnsi="Times New Roman"/>
                  </w:rPr>
                </w:pPr>
                <w:r w:rsidRPr="1C0C6ED1">
                  <w:rPr>
                    <w:rFonts w:ascii="Times New Roman" w:eastAsia="Times New Roman" w:hAnsi="Times New Roman"/>
                    <w:color w:val="000000" w:themeColor="text1"/>
                    <w:sz w:val="18"/>
                    <w:szCs w:val="18"/>
                  </w:rPr>
                  <w:t>24.300.039</w:t>
                </w:r>
              </w:p>
            </w:tc>
            <w:tc>
              <w:tcPr>
                <w:tcW w:w="1011" w:type="pct"/>
                <w:shd w:val="clear" w:color="auto" w:fill="FFFFFF" w:themeFill="background1"/>
                <w:tcMar>
                  <w:left w:w="70" w:type="dxa"/>
                  <w:right w:w="70" w:type="dxa"/>
                </w:tcMar>
                <w:vAlign w:val="center"/>
              </w:tcPr>
              <w:p w14:paraId="09B86AAE" w14:textId="5C49AE1D" w:rsidR="1C0C6ED1" w:rsidRPr="009A46BB" w:rsidRDefault="1C0C6ED1" w:rsidP="1C0C6ED1">
                <w:pPr>
                  <w:spacing w:after="0"/>
                  <w:ind w:left="-20" w:right="-20"/>
                  <w:jc w:val="right"/>
                  <w:rPr>
                    <w:rFonts w:ascii="Times New Roman" w:hAnsi="Times New Roman"/>
                  </w:rPr>
                </w:pPr>
                <w:r w:rsidRPr="1C0C6ED1">
                  <w:rPr>
                    <w:rFonts w:ascii="Times New Roman" w:eastAsia="Times New Roman" w:hAnsi="Times New Roman"/>
                    <w:color w:val="000000" w:themeColor="text1"/>
                    <w:sz w:val="18"/>
                    <w:szCs w:val="18"/>
                  </w:rPr>
                  <w:t>-24.300.039</w:t>
                </w:r>
              </w:p>
            </w:tc>
          </w:tr>
          <w:tr w:rsidR="1C0C6ED1" w14:paraId="6A77A44A" w14:textId="77777777" w:rsidTr="004E5925">
            <w:trPr>
              <w:trHeight w:val="300"/>
            </w:trPr>
            <w:tc>
              <w:tcPr>
                <w:tcW w:w="1985" w:type="pct"/>
                <w:shd w:val="clear" w:color="auto" w:fill="FFFFFF" w:themeFill="background1"/>
                <w:tcMar>
                  <w:left w:w="70" w:type="dxa"/>
                  <w:right w:w="70" w:type="dxa"/>
                </w:tcMar>
                <w:vAlign w:val="center"/>
              </w:tcPr>
              <w:p w14:paraId="000B33E8" w14:textId="292A1683" w:rsidR="1C0C6ED1" w:rsidRPr="009A46BB" w:rsidRDefault="1C0C6ED1" w:rsidP="1C0C6ED1">
                <w:pPr>
                  <w:spacing w:after="0"/>
                  <w:ind w:left="-20" w:right="-20"/>
                  <w:rPr>
                    <w:rFonts w:ascii="Times New Roman" w:hAnsi="Times New Roman"/>
                  </w:rPr>
                </w:pPr>
                <w:r w:rsidRPr="1C0C6ED1">
                  <w:rPr>
                    <w:rFonts w:ascii="Times New Roman" w:eastAsia="Times New Roman" w:hAnsi="Times New Roman"/>
                    <w:color w:val="000000" w:themeColor="text1"/>
                    <w:sz w:val="18"/>
                    <w:szCs w:val="18"/>
                  </w:rPr>
                  <w:t>Consorcio CTSA Ingeral</w:t>
                </w:r>
              </w:p>
            </w:tc>
            <w:tc>
              <w:tcPr>
                <w:tcW w:w="1002" w:type="pct"/>
                <w:shd w:val="clear" w:color="auto" w:fill="FFFFFF" w:themeFill="background1"/>
                <w:tcMar>
                  <w:left w:w="70" w:type="dxa"/>
                  <w:right w:w="70" w:type="dxa"/>
                </w:tcMar>
                <w:vAlign w:val="center"/>
              </w:tcPr>
              <w:p w14:paraId="03051F9E" w14:textId="22A53D01" w:rsidR="1C0C6ED1" w:rsidRPr="009A46BB" w:rsidRDefault="1C0C6ED1" w:rsidP="1C0C6ED1">
                <w:pPr>
                  <w:spacing w:after="0"/>
                  <w:ind w:left="-20" w:right="-20"/>
                  <w:jc w:val="right"/>
                  <w:rPr>
                    <w:rFonts w:ascii="Times New Roman" w:hAnsi="Times New Roman"/>
                  </w:rPr>
                </w:pPr>
                <w:r w:rsidRPr="1C0C6ED1">
                  <w:rPr>
                    <w:rFonts w:ascii="Times New Roman" w:eastAsia="Times New Roman" w:hAnsi="Times New Roman"/>
                    <w:color w:val="000000" w:themeColor="text1"/>
                    <w:sz w:val="18"/>
                    <w:szCs w:val="18"/>
                  </w:rPr>
                  <w:t>80.868.880</w:t>
                </w:r>
              </w:p>
            </w:tc>
            <w:tc>
              <w:tcPr>
                <w:tcW w:w="1002" w:type="pct"/>
                <w:shd w:val="clear" w:color="auto" w:fill="FFFFFF" w:themeFill="background1"/>
                <w:tcMar>
                  <w:left w:w="70" w:type="dxa"/>
                  <w:right w:w="70" w:type="dxa"/>
                </w:tcMar>
                <w:vAlign w:val="center"/>
              </w:tcPr>
              <w:p w14:paraId="547AC8ED" w14:textId="6BA788F9" w:rsidR="1C0C6ED1" w:rsidRPr="009A46BB" w:rsidRDefault="1C0C6ED1" w:rsidP="1C0C6ED1">
                <w:pPr>
                  <w:spacing w:after="0"/>
                  <w:ind w:left="-20" w:right="-20"/>
                  <w:jc w:val="right"/>
                  <w:rPr>
                    <w:rFonts w:ascii="Times New Roman" w:hAnsi="Times New Roman"/>
                  </w:rPr>
                </w:pPr>
                <w:r w:rsidRPr="1C0C6ED1">
                  <w:rPr>
                    <w:rFonts w:ascii="Times New Roman" w:eastAsia="Times New Roman" w:hAnsi="Times New Roman"/>
                    <w:color w:val="000000" w:themeColor="text1"/>
                    <w:sz w:val="18"/>
                    <w:szCs w:val="18"/>
                  </w:rPr>
                  <w:t>0</w:t>
                </w:r>
              </w:p>
            </w:tc>
            <w:tc>
              <w:tcPr>
                <w:tcW w:w="1011" w:type="pct"/>
                <w:shd w:val="clear" w:color="auto" w:fill="FFFFFF" w:themeFill="background1"/>
                <w:tcMar>
                  <w:left w:w="70" w:type="dxa"/>
                  <w:right w:w="70" w:type="dxa"/>
                </w:tcMar>
                <w:vAlign w:val="center"/>
              </w:tcPr>
              <w:p w14:paraId="4D54B1B2" w14:textId="4108DB82" w:rsidR="1C0C6ED1" w:rsidRPr="009A46BB" w:rsidRDefault="1C0C6ED1" w:rsidP="1C0C6ED1">
                <w:pPr>
                  <w:spacing w:after="0"/>
                  <w:ind w:left="-20" w:right="-20"/>
                  <w:jc w:val="right"/>
                  <w:rPr>
                    <w:rFonts w:ascii="Times New Roman" w:hAnsi="Times New Roman"/>
                  </w:rPr>
                </w:pPr>
                <w:r w:rsidRPr="1C0C6ED1">
                  <w:rPr>
                    <w:rFonts w:ascii="Times New Roman" w:eastAsia="Times New Roman" w:hAnsi="Times New Roman"/>
                    <w:color w:val="000000" w:themeColor="text1"/>
                    <w:sz w:val="18"/>
                    <w:szCs w:val="18"/>
                  </w:rPr>
                  <w:t>80.868.880</w:t>
                </w:r>
              </w:p>
            </w:tc>
          </w:tr>
          <w:tr w:rsidR="1C0C6ED1" w14:paraId="2340D002" w14:textId="77777777" w:rsidTr="004E5925">
            <w:trPr>
              <w:trHeight w:val="300"/>
            </w:trPr>
            <w:tc>
              <w:tcPr>
                <w:tcW w:w="1985" w:type="pct"/>
                <w:shd w:val="clear" w:color="auto" w:fill="FFFFFF" w:themeFill="background1"/>
                <w:tcMar>
                  <w:left w:w="70" w:type="dxa"/>
                  <w:right w:w="70" w:type="dxa"/>
                </w:tcMar>
                <w:vAlign w:val="center"/>
              </w:tcPr>
              <w:p w14:paraId="11388687" w14:textId="20F59A5B" w:rsidR="1C0C6ED1" w:rsidRPr="009A46BB" w:rsidRDefault="004B4319" w:rsidP="1C0C6ED1">
                <w:pPr>
                  <w:spacing w:after="0"/>
                  <w:ind w:left="-20" w:right="-20"/>
                  <w:rPr>
                    <w:rFonts w:ascii="Times New Roman" w:hAnsi="Times New Roman"/>
                  </w:rPr>
                </w:pPr>
                <w:r w:rsidRPr="1C0C6ED1">
                  <w:rPr>
                    <w:rFonts w:ascii="Times New Roman" w:eastAsia="Times New Roman" w:hAnsi="Times New Roman"/>
                    <w:color w:val="000000" w:themeColor="text1"/>
                    <w:sz w:val="18"/>
                    <w:szCs w:val="18"/>
                  </w:rPr>
                  <w:t>Consorcio</w:t>
                </w:r>
                <w:r w:rsidR="1C0C6ED1" w:rsidRPr="1C0C6ED1">
                  <w:rPr>
                    <w:rFonts w:ascii="Times New Roman" w:eastAsia="Times New Roman" w:hAnsi="Times New Roman"/>
                    <w:color w:val="000000" w:themeColor="text1"/>
                    <w:sz w:val="18"/>
                    <w:szCs w:val="18"/>
                  </w:rPr>
                  <w:t xml:space="preserve"> San Felipe </w:t>
                </w:r>
                <w:r w:rsidR="00290D58" w:rsidRPr="1C0C6ED1">
                  <w:rPr>
                    <w:rFonts w:ascii="Times New Roman" w:eastAsia="Times New Roman" w:hAnsi="Times New Roman"/>
                    <w:color w:val="000000" w:themeColor="text1"/>
                    <w:sz w:val="18"/>
                    <w:szCs w:val="18"/>
                  </w:rPr>
                  <w:t>Férreo</w:t>
                </w:r>
              </w:p>
            </w:tc>
            <w:tc>
              <w:tcPr>
                <w:tcW w:w="1002" w:type="pct"/>
                <w:shd w:val="clear" w:color="auto" w:fill="FFFFFF" w:themeFill="background1"/>
                <w:tcMar>
                  <w:left w:w="70" w:type="dxa"/>
                  <w:right w:w="70" w:type="dxa"/>
                </w:tcMar>
                <w:vAlign w:val="center"/>
              </w:tcPr>
              <w:p w14:paraId="3FB4645B" w14:textId="6507AEB7" w:rsidR="1C0C6ED1" w:rsidRPr="009A46BB" w:rsidRDefault="1C0C6ED1" w:rsidP="1C0C6ED1">
                <w:pPr>
                  <w:spacing w:after="0"/>
                  <w:ind w:left="-20" w:right="-20"/>
                  <w:jc w:val="right"/>
                  <w:rPr>
                    <w:rFonts w:ascii="Times New Roman" w:hAnsi="Times New Roman"/>
                  </w:rPr>
                </w:pPr>
                <w:r w:rsidRPr="1C0C6ED1">
                  <w:rPr>
                    <w:rFonts w:ascii="Times New Roman" w:eastAsia="Times New Roman" w:hAnsi="Times New Roman"/>
                    <w:color w:val="000000" w:themeColor="text1"/>
                    <w:sz w:val="18"/>
                    <w:szCs w:val="18"/>
                  </w:rPr>
                  <w:t>108.877.285</w:t>
                </w:r>
              </w:p>
            </w:tc>
            <w:tc>
              <w:tcPr>
                <w:tcW w:w="1002" w:type="pct"/>
                <w:shd w:val="clear" w:color="auto" w:fill="FFFFFF" w:themeFill="background1"/>
                <w:tcMar>
                  <w:left w:w="70" w:type="dxa"/>
                  <w:right w:w="70" w:type="dxa"/>
                </w:tcMar>
                <w:vAlign w:val="center"/>
              </w:tcPr>
              <w:p w14:paraId="1E60A444" w14:textId="5A8E746C" w:rsidR="1C0C6ED1" w:rsidRPr="009A46BB" w:rsidRDefault="1C0C6ED1" w:rsidP="1C0C6ED1">
                <w:pPr>
                  <w:spacing w:after="0"/>
                  <w:ind w:left="-20" w:right="-20"/>
                  <w:jc w:val="right"/>
                  <w:rPr>
                    <w:rFonts w:ascii="Times New Roman" w:hAnsi="Times New Roman"/>
                  </w:rPr>
                </w:pPr>
                <w:r w:rsidRPr="1C0C6ED1">
                  <w:rPr>
                    <w:rFonts w:ascii="Times New Roman" w:eastAsia="Times New Roman" w:hAnsi="Times New Roman"/>
                    <w:color w:val="000000" w:themeColor="text1"/>
                    <w:sz w:val="18"/>
                    <w:szCs w:val="18"/>
                  </w:rPr>
                  <w:t>0</w:t>
                </w:r>
              </w:p>
            </w:tc>
            <w:tc>
              <w:tcPr>
                <w:tcW w:w="1011" w:type="pct"/>
                <w:shd w:val="clear" w:color="auto" w:fill="FFFFFF" w:themeFill="background1"/>
                <w:tcMar>
                  <w:left w:w="70" w:type="dxa"/>
                  <w:right w:w="70" w:type="dxa"/>
                </w:tcMar>
                <w:vAlign w:val="center"/>
              </w:tcPr>
              <w:p w14:paraId="61D6E660" w14:textId="4207D009" w:rsidR="1C0C6ED1" w:rsidRPr="009A46BB" w:rsidRDefault="1C0C6ED1" w:rsidP="1C0C6ED1">
                <w:pPr>
                  <w:spacing w:after="0"/>
                  <w:ind w:left="-20" w:right="-20"/>
                  <w:jc w:val="right"/>
                  <w:rPr>
                    <w:rFonts w:ascii="Times New Roman" w:hAnsi="Times New Roman"/>
                  </w:rPr>
                </w:pPr>
                <w:r w:rsidRPr="1C0C6ED1">
                  <w:rPr>
                    <w:rFonts w:ascii="Times New Roman" w:eastAsia="Times New Roman" w:hAnsi="Times New Roman"/>
                    <w:color w:val="000000" w:themeColor="text1"/>
                    <w:sz w:val="18"/>
                    <w:szCs w:val="18"/>
                  </w:rPr>
                  <w:t>108.877.285</w:t>
                </w:r>
              </w:p>
            </w:tc>
          </w:tr>
          <w:tr w:rsidR="1C0C6ED1" w14:paraId="6A7A0546" w14:textId="77777777" w:rsidTr="004E5925">
            <w:trPr>
              <w:trHeight w:val="300"/>
            </w:trPr>
            <w:tc>
              <w:tcPr>
                <w:tcW w:w="1985" w:type="pct"/>
                <w:shd w:val="clear" w:color="auto" w:fill="FFFFFF" w:themeFill="background1"/>
                <w:tcMar>
                  <w:left w:w="70" w:type="dxa"/>
                  <w:right w:w="70" w:type="dxa"/>
                </w:tcMar>
                <w:vAlign w:val="center"/>
              </w:tcPr>
              <w:p w14:paraId="29BF89B5" w14:textId="58A3AAB7" w:rsidR="1C0C6ED1" w:rsidRPr="009A46BB" w:rsidRDefault="1C0C6ED1" w:rsidP="1C0C6ED1">
                <w:pPr>
                  <w:spacing w:after="0"/>
                  <w:ind w:left="-20" w:right="-20"/>
                  <w:rPr>
                    <w:rFonts w:ascii="Times New Roman" w:hAnsi="Times New Roman"/>
                  </w:rPr>
                </w:pPr>
                <w:r w:rsidRPr="1C0C6ED1">
                  <w:rPr>
                    <w:rFonts w:ascii="Times New Roman" w:eastAsia="Times New Roman" w:hAnsi="Times New Roman"/>
                    <w:b/>
                    <w:bCs/>
                    <w:color w:val="000000" w:themeColor="text1"/>
                    <w:sz w:val="18"/>
                    <w:szCs w:val="18"/>
                  </w:rPr>
                  <w:t>TOTAL</w:t>
                </w:r>
              </w:p>
            </w:tc>
            <w:tc>
              <w:tcPr>
                <w:tcW w:w="1002" w:type="pct"/>
                <w:shd w:val="clear" w:color="auto" w:fill="FFFFFF" w:themeFill="background1"/>
                <w:tcMar>
                  <w:left w:w="70" w:type="dxa"/>
                  <w:right w:w="70" w:type="dxa"/>
                </w:tcMar>
                <w:vAlign w:val="center"/>
              </w:tcPr>
              <w:p w14:paraId="57BBBBE9" w14:textId="1E51B6D9" w:rsidR="1C0C6ED1" w:rsidRPr="009A46BB" w:rsidRDefault="1C0C6ED1" w:rsidP="00433FEA">
                <w:pPr>
                  <w:spacing w:after="0"/>
                  <w:ind w:left="-20" w:right="-20"/>
                  <w:jc w:val="right"/>
                  <w:rPr>
                    <w:rFonts w:ascii="Times New Roman" w:hAnsi="Times New Roman"/>
                  </w:rPr>
                </w:pPr>
                <w:r w:rsidRPr="1C0C6ED1">
                  <w:rPr>
                    <w:rFonts w:ascii="Times New Roman" w:eastAsia="Times New Roman" w:hAnsi="Times New Roman"/>
                    <w:b/>
                    <w:bCs/>
                    <w:color w:val="000000" w:themeColor="text1"/>
                    <w:sz w:val="18"/>
                    <w:szCs w:val="18"/>
                  </w:rPr>
                  <w:t xml:space="preserve">  15.875.284.429 </w:t>
                </w:r>
              </w:p>
            </w:tc>
            <w:tc>
              <w:tcPr>
                <w:tcW w:w="1002" w:type="pct"/>
                <w:shd w:val="clear" w:color="auto" w:fill="FFFFFF" w:themeFill="background1"/>
                <w:tcMar>
                  <w:left w:w="70" w:type="dxa"/>
                  <w:right w:w="70" w:type="dxa"/>
                </w:tcMar>
                <w:vAlign w:val="center"/>
              </w:tcPr>
              <w:p w14:paraId="6F5B9E50" w14:textId="3FE05C61" w:rsidR="1C0C6ED1" w:rsidRPr="009A46BB" w:rsidRDefault="1C0C6ED1" w:rsidP="00433FEA">
                <w:pPr>
                  <w:spacing w:after="0"/>
                  <w:ind w:left="-20" w:right="-20"/>
                  <w:jc w:val="right"/>
                  <w:rPr>
                    <w:rFonts w:ascii="Times New Roman" w:hAnsi="Times New Roman"/>
                  </w:rPr>
                </w:pPr>
                <w:r w:rsidRPr="1C0C6ED1">
                  <w:rPr>
                    <w:rFonts w:ascii="Times New Roman" w:eastAsia="Times New Roman" w:hAnsi="Times New Roman"/>
                    <w:b/>
                    <w:bCs/>
                    <w:color w:val="000000" w:themeColor="text1"/>
                    <w:sz w:val="18"/>
                    <w:szCs w:val="18"/>
                  </w:rPr>
                  <w:t xml:space="preserve">  19.079.181.870 </w:t>
                </w:r>
              </w:p>
            </w:tc>
            <w:tc>
              <w:tcPr>
                <w:tcW w:w="1011" w:type="pct"/>
                <w:shd w:val="clear" w:color="auto" w:fill="FFFFFF" w:themeFill="background1"/>
                <w:tcMar>
                  <w:left w:w="70" w:type="dxa"/>
                  <w:right w:w="70" w:type="dxa"/>
                </w:tcMar>
                <w:vAlign w:val="center"/>
              </w:tcPr>
              <w:p w14:paraId="4F548E5D" w14:textId="1D44BBE6" w:rsidR="1C0C6ED1" w:rsidRPr="009A46BB" w:rsidRDefault="1C0C6ED1" w:rsidP="00433FEA">
                <w:pPr>
                  <w:spacing w:after="0"/>
                  <w:ind w:left="-20" w:right="-20"/>
                  <w:jc w:val="right"/>
                  <w:rPr>
                    <w:rFonts w:ascii="Times New Roman" w:hAnsi="Times New Roman"/>
                  </w:rPr>
                </w:pPr>
                <w:r w:rsidRPr="1C0C6ED1">
                  <w:rPr>
                    <w:rFonts w:ascii="Times New Roman" w:eastAsia="Times New Roman" w:hAnsi="Times New Roman"/>
                    <w:b/>
                    <w:bCs/>
                    <w:color w:val="000000" w:themeColor="text1"/>
                    <w:sz w:val="18"/>
                    <w:szCs w:val="18"/>
                  </w:rPr>
                  <w:t xml:space="preserve">-   3.203.897.441 </w:t>
                </w:r>
              </w:p>
            </w:tc>
          </w:tr>
        </w:tbl>
        <w:p w14:paraId="09F4D9A8" w14:textId="1D858677" w:rsidR="5D70EB4E" w:rsidRPr="009A46BB" w:rsidRDefault="5D70EB4E" w:rsidP="1C0C6ED1">
          <w:pPr>
            <w:ind w:left="-20" w:right="-20"/>
            <w:jc w:val="both"/>
            <w:rPr>
              <w:rFonts w:ascii="Times New Roman" w:hAnsi="Times New Roman"/>
            </w:rPr>
          </w:pPr>
          <w:r w:rsidRPr="1C0C6ED1">
            <w:rPr>
              <w:rFonts w:ascii="Times New Roman" w:eastAsia="Times New Roman" w:hAnsi="Times New Roman"/>
              <w:b/>
              <w:bCs/>
              <w:color w:val="FF0000"/>
              <w:sz w:val="14"/>
              <w:szCs w:val="14"/>
            </w:rPr>
            <w:t xml:space="preserve"> </w:t>
          </w:r>
          <w:r w:rsidRPr="1C0C6ED1">
            <w:rPr>
              <w:rFonts w:ascii="Times New Roman" w:eastAsia="Times New Roman" w:hAnsi="Times New Roman"/>
              <w:sz w:val="14"/>
              <w:szCs w:val="14"/>
            </w:rPr>
            <w:t>Cifras expresadas en pesos</w:t>
          </w:r>
        </w:p>
        <w:p w14:paraId="00E19D55" w14:textId="35AB000F" w:rsidR="00021FD7" w:rsidRPr="00931DCE" w:rsidRDefault="00021FD7" w:rsidP="00021FD7">
          <w:pPr>
            <w:spacing w:after="0" w:line="240" w:lineRule="auto"/>
            <w:contextualSpacing/>
            <w:jc w:val="both"/>
            <w:rPr>
              <w:rFonts w:ascii="Times New Roman" w:hAnsi="Times New Roman"/>
              <w:sz w:val="24"/>
              <w:szCs w:val="24"/>
            </w:rPr>
          </w:pPr>
        </w:p>
        <w:p w14:paraId="6A5D7395" w14:textId="77777777" w:rsidR="00021FD7" w:rsidRPr="00931DCE" w:rsidRDefault="00021FD7" w:rsidP="00021FD7">
          <w:pPr>
            <w:widowControl w:val="0"/>
            <w:autoSpaceDE w:val="0"/>
            <w:autoSpaceDN w:val="0"/>
            <w:spacing w:after="0" w:line="240" w:lineRule="auto"/>
            <w:contextualSpacing/>
            <w:jc w:val="both"/>
            <w:rPr>
              <w:rFonts w:ascii="Times New Roman" w:eastAsia="Times New Roman" w:hAnsi="Times New Roman"/>
              <w:sz w:val="24"/>
              <w:szCs w:val="24"/>
              <w:lang w:val="es-ES" w:eastAsia="es-ES" w:bidi="es-ES"/>
            </w:rPr>
          </w:pPr>
          <w:r w:rsidRPr="00A92E85">
            <w:rPr>
              <w:rFonts w:ascii="Times New Roman" w:eastAsia="Times New Roman" w:hAnsi="Times New Roman"/>
              <w:sz w:val="24"/>
              <w:szCs w:val="24"/>
              <w:lang w:val="es-ES" w:eastAsia="es-ES" w:bidi="es-ES"/>
            </w:rPr>
            <w:t>Las cuentas por cobrar por concepto de derechos de tránsito no son objeto de deterioro por cuanto la antigüedad de estas no supera los tres (3) meses, no se consideran criterios de plazo ni tasas de interés debido a que el registro del derecho y el recaudo se generan dentro del mes corriente, adicionalmente, estas cuentas por cobrar no tienen pignoraciones ni generan transferencias de riesgos a terceros.</w:t>
          </w:r>
        </w:p>
        <w:p w14:paraId="30EF8253" w14:textId="77777777" w:rsidR="00663ED8" w:rsidRPr="00931DCE" w:rsidRDefault="00663ED8" w:rsidP="00663ED8">
          <w:pPr>
            <w:pStyle w:val="Textoindependiente"/>
            <w:jc w:val="both"/>
          </w:pPr>
        </w:p>
        <w:p w14:paraId="5DB175E0" w14:textId="144DA218" w:rsidR="000F133F" w:rsidRPr="00931DCE" w:rsidRDefault="005A0D22" w:rsidP="000F133F">
          <w:pPr>
            <w:pStyle w:val="Ttulo2"/>
            <w:numPr>
              <w:ilvl w:val="1"/>
              <w:numId w:val="10"/>
            </w:numPr>
            <w:spacing w:line="240" w:lineRule="auto"/>
            <w:ind w:left="567" w:hanging="567"/>
            <w:rPr>
              <w:rFonts w:cs="Times New Roman"/>
              <w:bCs/>
              <w:szCs w:val="24"/>
            </w:rPr>
          </w:pPr>
          <w:r w:rsidRPr="00931DCE">
            <w:rPr>
              <w:rFonts w:cs="Times New Roman"/>
              <w:bCs/>
              <w:szCs w:val="24"/>
            </w:rPr>
            <w:t xml:space="preserve"> </w:t>
          </w:r>
          <w:bookmarkStart w:id="25" w:name="_Toc159952370"/>
          <w:r w:rsidR="000F133F" w:rsidRPr="00931DCE">
            <w:rPr>
              <w:rFonts w:cs="Times New Roman"/>
              <w:bCs/>
              <w:szCs w:val="24"/>
            </w:rPr>
            <w:t>Sentencias, laudos arbitrales y conciliaciones extrajudiciales a favor de la entidad</w:t>
          </w:r>
          <w:bookmarkEnd w:id="25"/>
        </w:p>
        <w:p w14:paraId="2B3FB12D" w14:textId="77777777" w:rsidR="00911CC2" w:rsidRPr="00931DCE" w:rsidRDefault="00911CC2" w:rsidP="00911CC2">
          <w:pPr>
            <w:rPr>
              <w:rFonts w:ascii="Times New Roman" w:hAnsi="Times New Roman"/>
            </w:rPr>
          </w:pPr>
        </w:p>
        <w:p w14:paraId="7C040AC8" w14:textId="54C04DF9" w:rsidR="000F133F" w:rsidRPr="00931DCE" w:rsidRDefault="000F133F" w:rsidP="000F133F">
          <w:pPr>
            <w:pStyle w:val="2"/>
            <w:rPr>
              <w:rFonts w:ascii="Times New Roman" w:hAnsi="Times New Roman"/>
            </w:rPr>
          </w:pPr>
          <w:r w:rsidRPr="00931DCE">
            <w:rPr>
              <w:rFonts w:ascii="Times New Roman" w:hAnsi="Times New Roman"/>
              <w:sz w:val="24"/>
              <w:szCs w:val="24"/>
              <w:lang w:bidi="es-ES"/>
            </w:rPr>
            <w:t xml:space="preserve">La cuenta de </w:t>
          </w:r>
          <w:r w:rsidRPr="00931DCE">
            <w:rPr>
              <w:rFonts w:ascii="Times New Roman" w:hAnsi="Times New Roman"/>
            </w:rPr>
            <w:t>sentencias, laudos arbitrales y conciliaciones extrajudiciales a favor de la entidad representa el valor de los derechos a favor de la entidad que se originan por conceptos tales, como Costas Procesales; su composición es la siguiente:</w:t>
          </w:r>
        </w:p>
        <w:p w14:paraId="421E96E3" w14:textId="77777777" w:rsidR="000F133F" w:rsidRPr="00931DCE" w:rsidRDefault="000F133F" w:rsidP="000F133F">
          <w:pPr>
            <w:pStyle w:val="2"/>
            <w:rPr>
              <w:rFonts w:ascii="Times New Roman" w:hAnsi="Times New Roman"/>
              <w:sz w:val="24"/>
              <w:szCs w:val="24"/>
            </w:rPr>
          </w:pP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4A0" w:firstRow="1" w:lastRow="0" w:firstColumn="1" w:lastColumn="0" w:noHBand="0" w:noVBand="1"/>
          </w:tblPr>
          <w:tblGrid>
            <w:gridCol w:w="1124"/>
            <w:gridCol w:w="4402"/>
            <w:gridCol w:w="1135"/>
            <w:gridCol w:w="1135"/>
            <w:gridCol w:w="1173"/>
          </w:tblGrid>
          <w:tr w:rsidR="00247B5D" w:rsidRPr="004E5925" w14:paraId="4359247C" w14:textId="77777777" w:rsidTr="004E5925">
            <w:trPr>
              <w:trHeight w:val="139"/>
            </w:trPr>
            <w:tc>
              <w:tcPr>
                <w:tcW w:w="626" w:type="pct"/>
                <w:shd w:val="clear" w:color="auto" w:fill="auto"/>
                <w:vAlign w:val="center"/>
                <w:hideMark/>
              </w:tcPr>
              <w:p w14:paraId="6D6E7BC1" w14:textId="77777777" w:rsidR="00247B5D" w:rsidRPr="004E5925" w:rsidRDefault="00247B5D" w:rsidP="00247B5D">
                <w:pPr>
                  <w:spacing w:after="0" w:line="240" w:lineRule="auto"/>
                  <w:jc w:val="center"/>
                  <w:rPr>
                    <w:rFonts w:ascii="Times New Roman" w:eastAsia="Times New Roman" w:hAnsi="Times New Roman"/>
                    <w:b/>
                    <w:sz w:val="14"/>
                    <w:szCs w:val="14"/>
                    <w:lang w:eastAsia="es-CO"/>
                  </w:rPr>
                </w:pPr>
                <w:r w:rsidRPr="004E5925">
                  <w:rPr>
                    <w:rFonts w:ascii="Times New Roman" w:eastAsia="Times New Roman" w:hAnsi="Times New Roman"/>
                    <w:b/>
                    <w:sz w:val="14"/>
                    <w:szCs w:val="14"/>
                    <w:lang w:eastAsia="es-CO"/>
                  </w:rPr>
                  <w:t>CÓD</w:t>
                </w:r>
              </w:p>
            </w:tc>
            <w:tc>
              <w:tcPr>
                <w:tcW w:w="2454" w:type="pct"/>
                <w:shd w:val="clear" w:color="auto" w:fill="auto"/>
                <w:vAlign w:val="center"/>
                <w:hideMark/>
              </w:tcPr>
              <w:p w14:paraId="428E9EEA" w14:textId="77777777" w:rsidR="00247B5D" w:rsidRPr="004E5925" w:rsidRDefault="00247B5D" w:rsidP="00247B5D">
                <w:pPr>
                  <w:spacing w:after="0" w:line="240" w:lineRule="auto"/>
                  <w:jc w:val="center"/>
                  <w:rPr>
                    <w:rFonts w:ascii="Times New Roman" w:eastAsia="Times New Roman" w:hAnsi="Times New Roman"/>
                    <w:b/>
                    <w:color w:val="000000"/>
                    <w:sz w:val="14"/>
                    <w:szCs w:val="14"/>
                    <w:lang w:eastAsia="es-CO"/>
                  </w:rPr>
                </w:pPr>
                <w:r w:rsidRPr="004E5925">
                  <w:rPr>
                    <w:rFonts w:ascii="Times New Roman" w:eastAsia="Times New Roman" w:hAnsi="Times New Roman"/>
                    <w:b/>
                    <w:color w:val="000000"/>
                    <w:sz w:val="14"/>
                    <w:szCs w:val="14"/>
                    <w:lang w:eastAsia="es-CO"/>
                  </w:rPr>
                  <w:t>CONCEPTO</w:t>
                </w:r>
              </w:p>
            </w:tc>
            <w:tc>
              <w:tcPr>
                <w:tcW w:w="633" w:type="pct"/>
                <w:shd w:val="clear" w:color="auto" w:fill="auto"/>
                <w:vAlign w:val="center"/>
                <w:hideMark/>
              </w:tcPr>
              <w:p w14:paraId="74733DF6" w14:textId="77777777" w:rsidR="00247B5D" w:rsidRPr="004E5925" w:rsidRDefault="00247B5D" w:rsidP="00247B5D">
                <w:pPr>
                  <w:spacing w:after="0" w:line="240" w:lineRule="auto"/>
                  <w:jc w:val="center"/>
                  <w:rPr>
                    <w:rFonts w:ascii="Times New Roman" w:eastAsia="Times New Roman" w:hAnsi="Times New Roman"/>
                    <w:b/>
                    <w:color w:val="000000"/>
                    <w:sz w:val="14"/>
                    <w:szCs w:val="14"/>
                    <w:lang w:eastAsia="es-CO"/>
                  </w:rPr>
                </w:pPr>
                <w:r w:rsidRPr="004E5925">
                  <w:rPr>
                    <w:rFonts w:ascii="Times New Roman" w:eastAsia="Times New Roman" w:hAnsi="Times New Roman"/>
                    <w:b/>
                    <w:color w:val="000000"/>
                    <w:sz w:val="14"/>
                    <w:szCs w:val="14"/>
                    <w:lang w:eastAsia="es-CO"/>
                  </w:rPr>
                  <w:t>2023</w:t>
                </w:r>
              </w:p>
            </w:tc>
            <w:tc>
              <w:tcPr>
                <w:tcW w:w="633" w:type="pct"/>
                <w:shd w:val="clear" w:color="auto" w:fill="auto"/>
                <w:vAlign w:val="center"/>
                <w:hideMark/>
              </w:tcPr>
              <w:p w14:paraId="041D0719" w14:textId="77777777" w:rsidR="00247B5D" w:rsidRPr="004E5925" w:rsidRDefault="00247B5D" w:rsidP="00247B5D">
                <w:pPr>
                  <w:spacing w:after="0" w:line="240" w:lineRule="auto"/>
                  <w:jc w:val="center"/>
                  <w:rPr>
                    <w:rFonts w:ascii="Times New Roman" w:eastAsia="Times New Roman" w:hAnsi="Times New Roman"/>
                    <w:b/>
                    <w:color w:val="000000"/>
                    <w:sz w:val="14"/>
                    <w:szCs w:val="14"/>
                    <w:lang w:eastAsia="es-CO"/>
                  </w:rPr>
                </w:pPr>
                <w:r w:rsidRPr="004E5925">
                  <w:rPr>
                    <w:rFonts w:ascii="Times New Roman" w:eastAsia="Times New Roman" w:hAnsi="Times New Roman"/>
                    <w:b/>
                    <w:color w:val="000000"/>
                    <w:sz w:val="14"/>
                    <w:szCs w:val="14"/>
                    <w:lang w:eastAsia="es-CO"/>
                  </w:rPr>
                  <w:t>2022</w:t>
                </w:r>
              </w:p>
            </w:tc>
            <w:tc>
              <w:tcPr>
                <w:tcW w:w="654" w:type="pct"/>
                <w:shd w:val="clear" w:color="auto" w:fill="auto"/>
                <w:vAlign w:val="center"/>
                <w:hideMark/>
              </w:tcPr>
              <w:p w14:paraId="68A5FFF4" w14:textId="77777777" w:rsidR="00247B5D" w:rsidRPr="004E5925" w:rsidRDefault="00247B5D" w:rsidP="00247B5D">
                <w:pPr>
                  <w:spacing w:after="0" w:line="240" w:lineRule="auto"/>
                  <w:jc w:val="center"/>
                  <w:rPr>
                    <w:rFonts w:ascii="Times New Roman" w:eastAsia="Times New Roman" w:hAnsi="Times New Roman"/>
                    <w:b/>
                    <w:color w:val="000000"/>
                    <w:sz w:val="14"/>
                    <w:szCs w:val="14"/>
                    <w:lang w:eastAsia="es-CO"/>
                  </w:rPr>
                </w:pPr>
                <w:r w:rsidRPr="004E5925">
                  <w:rPr>
                    <w:rFonts w:ascii="Times New Roman" w:eastAsia="Times New Roman" w:hAnsi="Times New Roman"/>
                    <w:b/>
                    <w:color w:val="000000"/>
                    <w:sz w:val="14"/>
                    <w:szCs w:val="14"/>
                    <w:lang w:eastAsia="es-CO"/>
                  </w:rPr>
                  <w:t>VARIACIÓN</w:t>
                </w:r>
              </w:p>
            </w:tc>
          </w:tr>
          <w:tr w:rsidR="00247B5D" w:rsidRPr="004E5925" w14:paraId="3942B8AD" w14:textId="77777777" w:rsidTr="004E5925">
            <w:trPr>
              <w:trHeight w:val="397"/>
            </w:trPr>
            <w:tc>
              <w:tcPr>
                <w:tcW w:w="626" w:type="pct"/>
                <w:shd w:val="clear" w:color="auto" w:fill="auto"/>
                <w:noWrap/>
                <w:vAlign w:val="bottom"/>
                <w:hideMark/>
              </w:tcPr>
              <w:p w14:paraId="4DD971A7" w14:textId="77777777" w:rsidR="00247B5D" w:rsidRPr="004E5925" w:rsidRDefault="00247B5D" w:rsidP="00247B5D">
                <w:pPr>
                  <w:spacing w:after="0" w:line="240" w:lineRule="auto"/>
                  <w:rPr>
                    <w:rFonts w:ascii="Times New Roman" w:eastAsia="Times New Roman" w:hAnsi="Times New Roman"/>
                    <w:sz w:val="14"/>
                    <w:szCs w:val="14"/>
                    <w:lang w:eastAsia="es-CO"/>
                  </w:rPr>
                </w:pPr>
                <w:r w:rsidRPr="004E5925">
                  <w:rPr>
                    <w:rFonts w:ascii="Times New Roman" w:eastAsia="Times New Roman" w:hAnsi="Times New Roman"/>
                    <w:sz w:val="14"/>
                    <w:szCs w:val="14"/>
                    <w:lang w:eastAsia="es-CO"/>
                  </w:rPr>
                  <w:t>1.3.38</w:t>
                </w:r>
              </w:p>
            </w:tc>
            <w:tc>
              <w:tcPr>
                <w:tcW w:w="2454" w:type="pct"/>
                <w:shd w:val="clear" w:color="auto" w:fill="auto"/>
                <w:vAlign w:val="center"/>
                <w:hideMark/>
              </w:tcPr>
              <w:p w14:paraId="29E9EDE2" w14:textId="77777777" w:rsidR="00247B5D" w:rsidRPr="004E5925" w:rsidRDefault="00247B5D" w:rsidP="00247B5D">
                <w:pPr>
                  <w:spacing w:after="0" w:line="240" w:lineRule="auto"/>
                  <w:rPr>
                    <w:rFonts w:ascii="Times New Roman" w:eastAsia="Times New Roman" w:hAnsi="Times New Roman"/>
                    <w:b/>
                    <w:color w:val="000000"/>
                    <w:sz w:val="14"/>
                    <w:szCs w:val="14"/>
                    <w:lang w:eastAsia="es-CO"/>
                  </w:rPr>
                </w:pPr>
                <w:r w:rsidRPr="004E5925">
                  <w:rPr>
                    <w:rFonts w:ascii="Times New Roman" w:eastAsia="Times New Roman" w:hAnsi="Times New Roman"/>
                    <w:b/>
                    <w:color w:val="000000"/>
                    <w:sz w:val="14"/>
                    <w:szCs w:val="14"/>
                    <w:lang w:eastAsia="es-CO"/>
                  </w:rPr>
                  <w:t>SENTENCIAS, LAUDOS ARBITRALES Y CONCILIACIONES EXTRAJUDICIALES A FAVOR DE LA ENTIDAD</w:t>
                </w:r>
              </w:p>
            </w:tc>
            <w:tc>
              <w:tcPr>
                <w:tcW w:w="633" w:type="pct"/>
                <w:shd w:val="clear" w:color="auto" w:fill="auto"/>
                <w:noWrap/>
                <w:vAlign w:val="center"/>
                <w:hideMark/>
              </w:tcPr>
              <w:p w14:paraId="0E57C541" w14:textId="77777777" w:rsidR="00247B5D" w:rsidRPr="004E5925" w:rsidRDefault="00247B5D" w:rsidP="006D3FDA">
                <w:pPr>
                  <w:spacing w:after="0" w:line="240" w:lineRule="auto"/>
                  <w:jc w:val="right"/>
                  <w:rPr>
                    <w:rFonts w:ascii="Times New Roman" w:eastAsia="Times New Roman" w:hAnsi="Times New Roman"/>
                    <w:b/>
                    <w:color w:val="000000"/>
                    <w:sz w:val="14"/>
                    <w:szCs w:val="14"/>
                    <w:lang w:eastAsia="es-CO"/>
                  </w:rPr>
                </w:pPr>
                <w:r w:rsidRPr="004E5925">
                  <w:rPr>
                    <w:rFonts w:ascii="Times New Roman" w:eastAsia="Times New Roman" w:hAnsi="Times New Roman"/>
                    <w:b/>
                    <w:color w:val="000000"/>
                    <w:sz w:val="14"/>
                    <w:szCs w:val="14"/>
                    <w:lang w:eastAsia="es-CO"/>
                  </w:rPr>
                  <w:t xml:space="preserve">  96.503.809 </w:t>
                </w:r>
              </w:p>
            </w:tc>
            <w:tc>
              <w:tcPr>
                <w:tcW w:w="633" w:type="pct"/>
                <w:shd w:val="clear" w:color="auto" w:fill="auto"/>
                <w:noWrap/>
                <w:vAlign w:val="center"/>
                <w:hideMark/>
              </w:tcPr>
              <w:p w14:paraId="58371365" w14:textId="77777777" w:rsidR="00247B5D" w:rsidRPr="004E5925" w:rsidRDefault="00247B5D" w:rsidP="006D3FDA">
                <w:pPr>
                  <w:spacing w:after="0" w:line="240" w:lineRule="auto"/>
                  <w:jc w:val="right"/>
                  <w:rPr>
                    <w:rFonts w:ascii="Times New Roman" w:eastAsia="Times New Roman" w:hAnsi="Times New Roman"/>
                    <w:b/>
                    <w:color w:val="000000"/>
                    <w:sz w:val="14"/>
                    <w:szCs w:val="14"/>
                    <w:lang w:eastAsia="es-CO"/>
                  </w:rPr>
                </w:pPr>
                <w:r w:rsidRPr="004E5925">
                  <w:rPr>
                    <w:rFonts w:ascii="Times New Roman" w:eastAsia="Times New Roman" w:hAnsi="Times New Roman"/>
                    <w:b/>
                    <w:color w:val="000000"/>
                    <w:sz w:val="14"/>
                    <w:szCs w:val="14"/>
                    <w:lang w:eastAsia="es-CO"/>
                  </w:rPr>
                  <w:t xml:space="preserve">  96.503.809 </w:t>
                </w:r>
              </w:p>
            </w:tc>
            <w:tc>
              <w:tcPr>
                <w:tcW w:w="654" w:type="pct"/>
                <w:shd w:val="clear" w:color="auto" w:fill="auto"/>
                <w:noWrap/>
                <w:vAlign w:val="center"/>
                <w:hideMark/>
              </w:tcPr>
              <w:p w14:paraId="53F00027" w14:textId="51E553E5" w:rsidR="00247B5D" w:rsidRPr="004E5925" w:rsidRDefault="00247B5D" w:rsidP="006D3FDA">
                <w:pPr>
                  <w:spacing w:after="0" w:line="240" w:lineRule="auto"/>
                  <w:jc w:val="right"/>
                  <w:rPr>
                    <w:rFonts w:ascii="Times New Roman" w:eastAsia="Times New Roman" w:hAnsi="Times New Roman"/>
                    <w:b/>
                    <w:color w:val="000000"/>
                    <w:sz w:val="14"/>
                    <w:szCs w:val="14"/>
                    <w:lang w:eastAsia="es-CO"/>
                  </w:rPr>
                </w:pPr>
                <w:r w:rsidRPr="004E5925">
                  <w:rPr>
                    <w:rFonts w:ascii="Times New Roman" w:eastAsia="Times New Roman" w:hAnsi="Times New Roman"/>
                    <w:b/>
                    <w:color w:val="000000"/>
                    <w:sz w:val="14"/>
                    <w:szCs w:val="14"/>
                    <w:lang w:eastAsia="es-CO"/>
                  </w:rPr>
                  <w:t xml:space="preserve">- </w:t>
                </w:r>
              </w:p>
            </w:tc>
          </w:tr>
          <w:tr w:rsidR="00247B5D" w:rsidRPr="004E5925" w14:paraId="5138D843" w14:textId="77777777" w:rsidTr="004E5925">
            <w:trPr>
              <w:trHeight w:val="163"/>
            </w:trPr>
            <w:tc>
              <w:tcPr>
                <w:tcW w:w="626" w:type="pct"/>
                <w:shd w:val="clear" w:color="auto" w:fill="auto"/>
                <w:noWrap/>
                <w:vAlign w:val="bottom"/>
                <w:hideMark/>
              </w:tcPr>
              <w:p w14:paraId="4FB39CE3" w14:textId="77777777" w:rsidR="00247B5D" w:rsidRPr="004E5925" w:rsidRDefault="00247B5D" w:rsidP="00247B5D">
                <w:pPr>
                  <w:spacing w:after="0" w:line="240" w:lineRule="auto"/>
                  <w:rPr>
                    <w:rFonts w:ascii="Times New Roman" w:eastAsia="Times New Roman" w:hAnsi="Times New Roman"/>
                    <w:sz w:val="14"/>
                    <w:szCs w:val="14"/>
                    <w:lang w:eastAsia="es-CO"/>
                  </w:rPr>
                </w:pPr>
                <w:r w:rsidRPr="004E5925">
                  <w:rPr>
                    <w:rFonts w:ascii="Times New Roman" w:eastAsia="Times New Roman" w:hAnsi="Times New Roman"/>
                    <w:sz w:val="14"/>
                    <w:szCs w:val="14"/>
                    <w:lang w:eastAsia="es-CO"/>
                  </w:rPr>
                  <w:t>1.3.38.05</w:t>
                </w:r>
              </w:p>
            </w:tc>
            <w:tc>
              <w:tcPr>
                <w:tcW w:w="2454" w:type="pct"/>
                <w:shd w:val="clear" w:color="auto" w:fill="auto"/>
                <w:vAlign w:val="center"/>
                <w:hideMark/>
              </w:tcPr>
              <w:p w14:paraId="38969AB7" w14:textId="77777777" w:rsidR="00247B5D" w:rsidRPr="004E5925" w:rsidRDefault="00247B5D" w:rsidP="00247B5D">
                <w:pPr>
                  <w:spacing w:after="0" w:line="240" w:lineRule="auto"/>
                  <w:rPr>
                    <w:rFonts w:ascii="Times New Roman" w:eastAsia="Times New Roman" w:hAnsi="Times New Roman"/>
                    <w:color w:val="000000"/>
                    <w:sz w:val="14"/>
                    <w:szCs w:val="14"/>
                    <w:lang w:eastAsia="es-CO"/>
                  </w:rPr>
                </w:pPr>
                <w:r w:rsidRPr="004E5925">
                  <w:rPr>
                    <w:rFonts w:ascii="Times New Roman" w:eastAsia="Times New Roman" w:hAnsi="Times New Roman"/>
                    <w:color w:val="000000"/>
                    <w:sz w:val="14"/>
                    <w:szCs w:val="14"/>
                    <w:lang w:eastAsia="es-CO"/>
                  </w:rPr>
                  <w:t>Costas Procesales</w:t>
                </w:r>
              </w:p>
            </w:tc>
            <w:tc>
              <w:tcPr>
                <w:tcW w:w="633" w:type="pct"/>
                <w:shd w:val="clear" w:color="auto" w:fill="auto"/>
                <w:noWrap/>
                <w:vAlign w:val="center"/>
                <w:hideMark/>
              </w:tcPr>
              <w:p w14:paraId="04BA27B0" w14:textId="77777777" w:rsidR="00247B5D" w:rsidRPr="004E5925" w:rsidRDefault="00247B5D" w:rsidP="006D3FDA">
                <w:pPr>
                  <w:spacing w:after="0" w:line="240" w:lineRule="auto"/>
                  <w:jc w:val="right"/>
                  <w:rPr>
                    <w:rFonts w:ascii="Times New Roman" w:eastAsia="Times New Roman" w:hAnsi="Times New Roman"/>
                    <w:color w:val="000000"/>
                    <w:sz w:val="14"/>
                    <w:szCs w:val="14"/>
                    <w:lang w:eastAsia="es-CO"/>
                  </w:rPr>
                </w:pPr>
                <w:r w:rsidRPr="004E5925">
                  <w:rPr>
                    <w:rFonts w:ascii="Times New Roman" w:eastAsia="Times New Roman" w:hAnsi="Times New Roman"/>
                    <w:color w:val="000000"/>
                    <w:sz w:val="14"/>
                    <w:szCs w:val="14"/>
                    <w:lang w:eastAsia="es-CO"/>
                  </w:rPr>
                  <w:t xml:space="preserve">  96.503.809 </w:t>
                </w:r>
              </w:p>
            </w:tc>
            <w:tc>
              <w:tcPr>
                <w:tcW w:w="633" w:type="pct"/>
                <w:shd w:val="clear" w:color="auto" w:fill="auto"/>
                <w:noWrap/>
                <w:vAlign w:val="center"/>
                <w:hideMark/>
              </w:tcPr>
              <w:p w14:paraId="7491502B" w14:textId="77777777" w:rsidR="00247B5D" w:rsidRPr="004E5925" w:rsidRDefault="00247B5D" w:rsidP="006D3FDA">
                <w:pPr>
                  <w:spacing w:after="0" w:line="240" w:lineRule="auto"/>
                  <w:jc w:val="right"/>
                  <w:rPr>
                    <w:rFonts w:ascii="Times New Roman" w:eastAsia="Times New Roman" w:hAnsi="Times New Roman"/>
                    <w:color w:val="000000"/>
                    <w:sz w:val="14"/>
                    <w:szCs w:val="14"/>
                    <w:lang w:eastAsia="es-CO"/>
                  </w:rPr>
                </w:pPr>
                <w:r w:rsidRPr="004E5925">
                  <w:rPr>
                    <w:rFonts w:ascii="Times New Roman" w:eastAsia="Times New Roman" w:hAnsi="Times New Roman"/>
                    <w:color w:val="000000"/>
                    <w:sz w:val="14"/>
                    <w:szCs w:val="14"/>
                    <w:lang w:eastAsia="es-CO"/>
                  </w:rPr>
                  <w:t xml:space="preserve">  96.503.809 </w:t>
                </w:r>
              </w:p>
            </w:tc>
            <w:tc>
              <w:tcPr>
                <w:tcW w:w="654" w:type="pct"/>
                <w:shd w:val="clear" w:color="auto" w:fill="auto"/>
                <w:noWrap/>
                <w:vAlign w:val="center"/>
                <w:hideMark/>
              </w:tcPr>
              <w:p w14:paraId="05BD7B89" w14:textId="3AF4520E" w:rsidR="00247B5D" w:rsidRPr="004E5925" w:rsidRDefault="00247B5D" w:rsidP="006D3FDA">
                <w:pPr>
                  <w:spacing w:after="0" w:line="240" w:lineRule="auto"/>
                  <w:jc w:val="right"/>
                  <w:rPr>
                    <w:rFonts w:ascii="Times New Roman" w:eastAsia="Times New Roman" w:hAnsi="Times New Roman"/>
                    <w:sz w:val="14"/>
                    <w:szCs w:val="14"/>
                    <w:lang w:eastAsia="es-CO"/>
                  </w:rPr>
                </w:pPr>
                <w:r w:rsidRPr="004E5925">
                  <w:rPr>
                    <w:rFonts w:ascii="Times New Roman" w:eastAsia="Times New Roman" w:hAnsi="Times New Roman"/>
                    <w:sz w:val="14"/>
                    <w:szCs w:val="14"/>
                    <w:lang w:eastAsia="es-CO"/>
                  </w:rPr>
                  <w:t xml:space="preserve">- </w:t>
                </w:r>
              </w:p>
            </w:tc>
          </w:tr>
        </w:tbl>
        <w:p w14:paraId="43D13322" w14:textId="4F76CB17" w:rsidR="000F133F" w:rsidRPr="00931DCE" w:rsidRDefault="00AD2026" w:rsidP="000F133F">
          <w:pPr>
            <w:spacing w:after="0" w:line="240" w:lineRule="auto"/>
            <w:jc w:val="both"/>
            <w:rPr>
              <w:rFonts w:ascii="Times New Roman" w:hAnsi="Times New Roman"/>
              <w:sz w:val="14"/>
              <w:szCs w:val="14"/>
            </w:rPr>
          </w:pPr>
          <w:r w:rsidRPr="00931DCE">
            <w:rPr>
              <w:rFonts w:ascii="Times New Roman" w:hAnsi="Times New Roman"/>
              <w:sz w:val="14"/>
              <w:szCs w:val="14"/>
            </w:rPr>
            <w:t>Cifras expresadas en pesos</w:t>
          </w:r>
        </w:p>
        <w:p w14:paraId="0D43B0B5" w14:textId="77777777" w:rsidR="000F133F" w:rsidRPr="00931DCE" w:rsidRDefault="000F133F" w:rsidP="000F133F">
          <w:pPr>
            <w:spacing w:after="0" w:line="240" w:lineRule="auto"/>
            <w:rPr>
              <w:rFonts w:ascii="Times New Roman" w:hAnsi="Times New Roman"/>
              <w:sz w:val="24"/>
              <w:szCs w:val="24"/>
              <w:lang w:bidi="es-ES"/>
            </w:rPr>
          </w:pPr>
        </w:p>
        <w:p w14:paraId="5BFC80FC" w14:textId="3DC579F6" w:rsidR="000F133F" w:rsidRPr="00931DCE" w:rsidRDefault="000F133F" w:rsidP="00EC4C4A">
          <w:pPr>
            <w:spacing w:after="0" w:line="240" w:lineRule="auto"/>
            <w:jc w:val="both"/>
            <w:rPr>
              <w:rFonts w:ascii="Times New Roman" w:hAnsi="Times New Roman"/>
              <w:sz w:val="24"/>
              <w:szCs w:val="24"/>
              <w:lang w:bidi="es-ES"/>
            </w:rPr>
          </w:pPr>
          <w:r w:rsidRPr="00931DCE">
            <w:rPr>
              <w:rFonts w:ascii="Times New Roman" w:hAnsi="Times New Roman"/>
              <w:sz w:val="24"/>
              <w:szCs w:val="24"/>
              <w:lang w:bidi="es-ES"/>
            </w:rPr>
            <w:t>A continuación, se detallan los saldos corrientes, no corriente y el deterioro relacionado a esta cuenta con corte al 31 de diciembre de 202</w:t>
          </w:r>
          <w:r w:rsidR="001159D3">
            <w:rPr>
              <w:rFonts w:ascii="Times New Roman" w:hAnsi="Times New Roman"/>
              <w:sz w:val="24"/>
              <w:szCs w:val="24"/>
              <w:lang w:bidi="es-ES"/>
            </w:rPr>
            <w:t>3</w:t>
          </w:r>
          <w:r w:rsidRPr="00931DCE">
            <w:rPr>
              <w:rFonts w:ascii="Times New Roman" w:hAnsi="Times New Roman"/>
              <w:sz w:val="24"/>
              <w:szCs w:val="24"/>
              <w:lang w:bidi="es-ES"/>
            </w:rPr>
            <w:t>:</w:t>
          </w:r>
        </w:p>
        <w:p w14:paraId="24126F04" w14:textId="77777777" w:rsidR="004E5925" w:rsidRDefault="004E5925" w:rsidP="00EC4C4A">
          <w:pPr>
            <w:spacing w:after="0" w:line="240" w:lineRule="auto"/>
            <w:jc w:val="both"/>
            <w:rPr>
              <w:rFonts w:ascii="Times New Roman" w:hAnsi="Times New Roman"/>
              <w:sz w:val="14"/>
              <w:szCs w:val="14"/>
            </w:rPr>
          </w:pPr>
        </w:p>
        <w:p w14:paraId="286B771E" w14:textId="77777777" w:rsidR="004E5925" w:rsidRPr="00931DCE" w:rsidRDefault="004E5925" w:rsidP="00EC4C4A">
          <w:pPr>
            <w:spacing w:after="0" w:line="240" w:lineRule="auto"/>
            <w:jc w:val="both"/>
            <w:rPr>
              <w:rFonts w:ascii="Times New Roman" w:hAnsi="Times New Roman"/>
              <w:sz w:val="14"/>
              <w:szCs w:val="14"/>
            </w:rPr>
          </w:pPr>
        </w:p>
        <w:tbl>
          <w:tblPr>
            <w:tblW w:w="5000" w:type="pct"/>
            <w:tblCellMar>
              <w:left w:w="70" w:type="dxa"/>
              <w:right w:w="70" w:type="dxa"/>
            </w:tblCellMar>
            <w:tblLook w:val="04A0" w:firstRow="1" w:lastRow="0" w:firstColumn="1" w:lastColumn="0" w:noHBand="0" w:noVBand="1"/>
          </w:tblPr>
          <w:tblGrid>
            <w:gridCol w:w="1725"/>
            <w:gridCol w:w="865"/>
            <w:gridCol w:w="574"/>
            <w:gridCol w:w="866"/>
            <w:gridCol w:w="865"/>
            <w:gridCol w:w="863"/>
            <w:gridCol w:w="787"/>
            <w:gridCol w:w="798"/>
            <w:gridCol w:w="578"/>
            <w:gridCol w:w="1048"/>
          </w:tblGrid>
          <w:tr w:rsidR="00AD73FE" w:rsidRPr="00AD73FE" w14:paraId="696DF787" w14:textId="77777777" w:rsidTr="00F16E41">
            <w:trPr>
              <w:trHeight w:val="300"/>
            </w:trPr>
            <w:tc>
              <w:tcPr>
                <w:tcW w:w="962" w:type="pct"/>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25697D17" w14:textId="77777777" w:rsidR="00AD73FE" w:rsidRPr="009821DD" w:rsidRDefault="00AD73FE" w:rsidP="00AD73FE">
                <w:pPr>
                  <w:spacing w:after="0" w:line="240" w:lineRule="auto"/>
                  <w:jc w:val="center"/>
                  <w:rPr>
                    <w:rFonts w:ascii="Times New Roman" w:eastAsia="Times New Roman" w:hAnsi="Times New Roman"/>
                    <w:b/>
                    <w:sz w:val="14"/>
                    <w:szCs w:val="14"/>
                    <w:lang w:eastAsia="es-CO"/>
                  </w:rPr>
                </w:pPr>
                <w:r w:rsidRPr="009821DD">
                  <w:rPr>
                    <w:rFonts w:ascii="Times New Roman" w:eastAsia="Times New Roman" w:hAnsi="Times New Roman"/>
                    <w:b/>
                    <w:sz w:val="14"/>
                    <w:szCs w:val="14"/>
                    <w:lang w:eastAsia="es-CO"/>
                  </w:rPr>
                  <w:t>DESCRIPCIÓN</w:t>
                </w:r>
              </w:p>
            </w:tc>
            <w:tc>
              <w:tcPr>
                <w:tcW w:w="1285" w:type="pct"/>
                <w:gridSpan w:val="3"/>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5AF09E44" w14:textId="77777777" w:rsidR="00AD73FE" w:rsidRPr="009821DD" w:rsidRDefault="00AD73FE" w:rsidP="00AD73FE">
                <w:pPr>
                  <w:spacing w:after="0" w:line="240" w:lineRule="auto"/>
                  <w:jc w:val="center"/>
                  <w:rPr>
                    <w:rFonts w:ascii="Times New Roman" w:eastAsia="Times New Roman" w:hAnsi="Times New Roman"/>
                    <w:b/>
                    <w:sz w:val="14"/>
                    <w:szCs w:val="14"/>
                    <w:lang w:eastAsia="es-CO"/>
                  </w:rPr>
                </w:pPr>
                <w:r w:rsidRPr="009821DD">
                  <w:rPr>
                    <w:rFonts w:ascii="Times New Roman" w:eastAsia="Times New Roman" w:hAnsi="Times New Roman"/>
                    <w:b/>
                    <w:sz w:val="14"/>
                    <w:szCs w:val="14"/>
                    <w:lang w:eastAsia="es-CO"/>
                  </w:rPr>
                  <w:t>CORTE VIGENCIA 2023</w:t>
                </w:r>
              </w:p>
            </w:tc>
            <w:tc>
              <w:tcPr>
                <w:tcW w:w="2169" w:type="pct"/>
                <w:gridSpan w:val="5"/>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5BF47869" w14:textId="77777777" w:rsidR="00AD73FE" w:rsidRPr="009821DD" w:rsidRDefault="00AD73FE" w:rsidP="00AD73FE">
                <w:pPr>
                  <w:spacing w:after="0" w:line="240" w:lineRule="auto"/>
                  <w:jc w:val="center"/>
                  <w:rPr>
                    <w:rFonts w:ascii="Times New Roman" w:eastAsia="Times New Roman" w:hAnsi="Times New Roman"/>
                    <w:b/>
                    <w:sz w:val="14"/>
                    <w:szCs w:val="14"/>
                    <w:lang w:eastAsia="es-CO"/>
                  </w:rPr>
                </w:pPr>
                <w:r w:rsidRPr="009821DD">
                  <w:rPr>
                    <w:rFonts w:ascii="Times New Roman" w:eastAsia="Times New Roman" w:hAnsi="Times New Roman"/>
                    <w:b/>
                    <w:sz w:val="14"/>
                    <w:szCs w:val="14"/>
                    <w:lang w:eastAsia="es-CO"/>
                  </w:rPr>
                  <w:t>DETERIORO ACUMULADO 2023</w:t>
                </w:r>
              </w:p>
            </w:tc>
            <w:tc>
              <w:tcPr>
                <w:tcW w:w="584" w:type="pct"/>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4CBC2897" w14:textId="77777777" w:rsidR="00AD73FE" w:rsidRPr="009821DD" w:rsidRDefault="00AD73FE" w:rsidP="00AD73FE">
                <w:pPr>
                  <w:spacing w:after="0" w:line="240" w:lineRule="auto"/>
                  <w:jc w:val="center"/>
                  <w:rPr>
                    <w:rFonts w:ascii="Times New Roman" w:eastAsia="Times New Roman" w:hAnsi="Times New Roman"/>
                    <w:b/>
                    <w:sz w:val="14"/>
                    <w:szCs w:val="14"/>
                    <w:lang w:eastAsia="es-CO"/>
                  </w:rPr>
                </w:pPr>
                <w:r w:rsidRPr="009821DD">
                  <w:rPr>
                    <w:rFonts w:ascii="Times New Roman" w:eastAsia="Times New Roman" w:hAnsi="Times New Roman"/>
                    <w:b/>
                    <w:sz w:val="14"/>
                    <w:szCs w:val="14"/>
                    <w:lang w:eastAsia="es-CO"/>
                  </w:rPr>
                  <w:t>DEFINITIVO</w:t>
                </w:r>
              </w:p>
            </w:tc>
          </w:tr>
          <w:tr w:rsidR="00AD73FE" w:rsidRPr="00B857EF" w14:paraId="694E7669" w14:textId="77777777" w:rsidTr="00F16E41">
            <w:trPr>
              <w:trHeight w:val="1200"/>
            </w:trPr>
            <w:tc>
              <w:tcPr>
                <w:tcW w:w="962" w:type="pct"/>
                <w:tcBorders>
                  <w:top w:val="nil"/>
                  <w:left w:val="single" w:sz="4" w:space="0" w:color="A6A6A6"/>
                  <w:right w:val="single" w:sz="4" w:space="0" w:color="A6A6A6"/>
                </w:tcBorders>
                <w:shd w:val="clear" w:color="auto" w:fill="auto"/>
                <w:textDirection w:val="btLr"/>
                <w:vAlign w:val="center"/>
                <w:hideMark/>
              </w:tcPr>
              <w:p w14:paraId="2A0FF674" w14:textId="77777777" w:rsidR="00AD73FE" w:rsidRPr="009821DD" w:rsidRDefault="00AD73FE" w:rsidP="007F06F7">
                <w:pPr>
                  <w:spacing w:after="0" w:line="240" w:lineRule="auto"/>
                  <w:ind w:left="113" w:right="113"/>
                  <w:jc w:val="center"/>
                  <w:rPr>
                    <w:rFonts w:ascii="Times New Roman" w:eastAsia="Times New Roman" w:hAnsi="Times New Roman"/>
                    <w:b/>
                    <w:sz w:val="14"/>
                    <w:szCs w:val="14"/>
                    <w:lang w:eastAsia="es-CO"/>
                  </w:rPr>
                </w:pPr>
                <w:r w:rsidRPr="009821DD">
                  <w:rPr>
                    <w:rFonts w:ascii="Times New Roman" w:eastAsia="Times New Roman" w:hAnsi="Times New Roman"/>
                    <w:b/>
                    <w:sz w:val="14"/>
                    <w:szCs w:val="14"/>
                    <w:lang w:eastAsia="es-CO"/>
                  </w:rPr>
                  <w:t>CONCEPTO</w:t>
                </w:r>
              </w:p>
            </w:tc>
            <w:tc>
              <w:tcPr>
                <w:tcW w:w="482" w:type="pct"/>
                <w:tcBorders>
                  <w:top w:val="nil"/>
                  <w:left w:val="nil"/>
                  <w:right w:val="single" w:sz="4" w:space="0" w:color="A6A6A6"/>
                </w:tcBorders>
                <w:shd w:val="clear" w:color="auto" w:fill="auto"/>
                <w:textDirection w:val="btLr"/>
                <w:vAlign w:val="center"/>
                <w:hideMark/>
              </w:tcPr>
              <w:p w14:paraId="416E847A" w14:textId="77777777" w:rsidR="00AD73FE" w:rsidRPr="009821DD" w:rsidRDefault="00AD73FE" w:rsidP="007F06F7">
                <w:pPr>
                  <w:spacing w:after="0" w:line="240" w:lineRule="auto"/>
                  <w:ind w:left="113" w:right="113"/>
                  <w:jc w:val="center"/>
                  <w:rPr>
                    <w:rFonts w:ascii="Times New Roman" w:eastAsia="Times New Roman" w:hAnsi="Times New Roman"/>
                    <w:b/>
                    <w:sz w:val="14"/>
                    <w:szCs w:val="14"/>
                    <w:lang w:eastAsia="es-CO"/>
                  </w:rPr>
                </w:pPr>
                <w:r w:rsidRPr="009821DD">
                  <w:rPr>
                    <w:rFonts w:ascii="Times New Roman" w:eastAsia="Times New Roman" w:hAnsi="Times New Roman"/>
                    <w:b/>
                    <w:sz w:val="14"/>
                    <w:szCs w:val="14"/>
                    <w:lang w:eastAsia="es-CO"/>
                  </w:rPr>
                  <w:t>SALDO CORRIENTE</w:t>
                </w:r>
              </w:p>
            </w:tc>
            <w:tc>
              <w:tcPr>
                <w:tcW w:w="320" w:type="pct"/>
                <w:tcBorders>
                  <w:top w:val="nil"/>
                  <w:left w:val="nil"/>
                  <w:right w:val="single" w:sz="4" w:space="0" w:color="A6A6A6"/>
                </w:tcBorders>
                <w:shd w:val="clear" w:color="auto" w:fill="auto"/>
                <w:textDirection w:val="btLr"/>
                <w:vAlign w:val="center"/>
                <w:hideMark/>
              </w:tcPr>
              <w:p w14:paraId="47DD08F9" w14:textId="77777777" w:rsidR="00AD73FE" w:rsidRPr="009821DD" w:rsidRDefault="00AD73FE" w:rsidP="007F06F7">
                <w:pPr>
                  <w:spacing w:after="0" w:line="240" w:lineRule="auto"/>
                  <w:ind w:left="113" w:right="113"/>
                  <w:jc w:val="center"/>
                  <w:rPr>
                    <w:rFonts w:ascii="Times New Roman" w:eastAsia="Times New Roman" w:hAnsi="Times New Roman"/>
                    <w:b/>
                    <w:sz w:val="14"/>
                    <w:szCs w:val="14"/>
                    <w:lang w:eastAsia="es-CO"/>
                  </w:rPr>
                </w:pPr>
                <w:r w:rsidRPr="009821DD">
                  <w:rPr>
                    <w:rFonts w:ascii="Times New Roman" w:eastAsia="Times New Roman" w:hAnsi="Times New Roman"/>
                    <w:b/>
                    <w:sz w:val="14"/>
                    <w:szCs w:val="14"/>
                    <w:lang w:eastAsia="es-CO"/>
                  </w:rPr>
                  <w:t>SALDO NO CORRIENTE</w:t>
                </w:r>
              </w:p>
            </w:tc>
            <w:tc>
              <w:tcPr>
                <w:tcW w:w="483" w:type="pct"/>
                <w:tcBorders>
                  <w:top w:val="nil"/>
                  <w:left w:val="nil"/>
                  <w:right w:val="single" w:sz="4" w:space="0" w:color="A6A6A6"/>
                </w:tcBorders>
                <w:shd w:val="clear" w:color="auto" w:fill="auto"/>
                <w:textDirection w:val="btLr"/>
                <w:vAlign w:val="center"/>
                <w:hideMark/>
              </w:tcPr>
              <w:p w14:paraId="05AE0B55" w14:textId="77777777" w:rsidR="00AD73FE" w:rsidRPr="009821DD" w:rsidRDefault="00AD73FE" w:rsidP="007F06F7">
                <w:pPr>
                  <w:spacing w:after="0" w:line="240" w:lineRule="auto"/>
                  <w:ind w:left="113" w:right="113"/>
                  <w:jc w:val="center"/>
                  <w:rPr>
                    <w:rFonts w:ascii="Times New Roman" w:eastAsia="Times New Roman" w:hAnsi="Times New Roman"/>
                    <w:b/>
                    <w:sz w:val="14"/>
                    <w:szCs w:val="14"/>
                    <w:lang w:eastAsia="es-CO"/>
                  </w:rPr>
                </w:pPr>
                <w:r w:rsidRPr="009821DD">
                  <w:rPr>
                    <w:rFonts w:ascii="Times New Roman" w:eastAsia="Times New Roman" w:hAnsi="Times New Roman"/>
                    <w:b/>
                    <w:sz w:val="14"/>
                    <w:szCs w:val="14"/>
                    <w:lang w:eastAsia="es-CO"/>
                  </w:rPr>
                  <w:t>SALDO FINAL</w:t>
                </w:r>
              </w:p>
            </w:tc>
            <w:tc>
              <w:tcPr>
                <w:tcW w:w="482" w:type="pct"/>
                <w:tcBorders>
                  <w:top w:val="nil"/>
                  <w:left w:val="nil"/>
                  <w:right w:val="single" w:sz="4" w:space="0" w:color="A6A6A6"/>
                </w:tcBorders>
                <w:shd w:val="clear" w:color="auto" w:fill="auto"/>
                <w:textDirection w:val="btLr"/>
                <w:vAlign w:val="center"/>
                <w:hideMark/>
              </w:tcPr>
              <w:p w14:paraId="00F56B50" w14:textId="77777777" w:rsidR="00AD73FE" w:rsidRPr="009821DD" w:rsidRDefault="00AD73FE" w:rsidP="007F06F7">
                <w:pPr>
                  <w:spacing w:after="0" w:line="240" w:lineRule="auto"/>
                  <w:ind w:left="113" w:right="113"/>
                  <w:jc w:val="center"/>
                  <w:rPr>
                    <w:rFonts w:ascii="Times New Roman" w:eastAsia="Times New Roman" w:hAnsi="Times New Roman"/>
                    <w:b/>
                    <w:sz w:val="14"/>
                    <w:szCs w:val="14"/>
                    <w:lang w:eastAsia="es-CO"/>
                  </w:rPr>
                </w:pPr>
                <w:r w:rsidRPr="009821DD">
                  <w:rPr>
                    <w:rFonts w:ascii="Times New Roman" w:eastAsia="Times New Roman" w:hAnsi="Times New Roman"/>
                    <w:b/>
                    <w:sz w:val="14"/>
                    <w:szCs w:val="14"/>
                    <w:lang w:eastAsia="es-CO"/>
                  </w:rPr>
                  <w:t>SALDO INICIAL</w:t>
                </w:r>
              </w:p>
            </w:tc>
            <w:tc>
              <w:tcPr>
                <w:tcW w:w="481" w:type="pct"/>
                <w:tcBorders>
                  <w:top w:val="nil"/>
                  <w:left w:val="nil"/>
                  <w:right w:val="single" w:sz="4" w:space="0" w:color="A6A6A6"/>
                </w:tcBorders>
                <w:shd w:val="clear" w:color="auto" w:fill="auto"/>
                <w:textDirection w:val="btLr"/>
                <w:vAlign w:val="center"/>
                <w:hideMark/>
              </w:tcPr>
              <w:p w14:paraId="62228EB6" w14:textId="77777777" w:rsidR="00AD73FE" w:rsidRPr="009821DD" w:rsidRDefault="00AD73FE" w:rsidP="007F06F7">
                <w:pPr>
                  <w:spacing w:after="0" w:line="240" w:lineRule="auto"/>
                  <w:ind w:left="113" w:right="113"/>
                  <w:jc w:val="center"/>
                  <w:rPr>
                    <w:rFonts w:ascii="Times New Roman" w:eastAsia="Times New Roman" w:hAnsi="Times New Roman"/>
                    <w:b/>
                    <w:sz w:val="14"/>
                    <w:szCs w:val="14"/>
                    <w:lang w:eastAsia="es-CO"/>
                  </w:rPr>
                </w:pPr>
                <w:r w:rsidRPr="009821DD">
                  <w:rPr>
                    <w:rFonts w:ascii="Times New Roman" w:eastAsia="Times New Roman" w:hAnsi="Times New Roman"/>
                    <w:b/>
                    <w:sz w:val="14"/>
                    <w:szCs w:val="14"/>
                    <w:lang w:eastAsia="es-CO"/>
                  </w:rPr>
                  <w:t>(+) DETERIORO APLICADO EN LA VIGENCIA</w:t>
                </w:r>
              </w:p>
            </w:tc>
            <w:tc>
              <w:tcPr>
                <w:tcW w:w="439" w:type="pct"/>
                <w:tcBorders>
                  <w:top w:val="nil"/>
                  <w:left w:val="nil"/>
                  <w:right w:val="single" w:sz="4" w:space="0" w:color="A6A6A6"/>
                </w:tcBorders>
                <w:shd w:val="clear" w:color="auto" w:fill="auto"/>
                <w:textDirection w:val="btLr"/>
                <w:vAlign w:val="center"/>
                <w:hideMark/>
              </w:tcPr>
              <w:p w14:paraId="62C9D43A" w14:textId="77777777" w:rsidR="00AD73FE" w:rsidRPr="009821DD" w:rsidRDefault="00AD73FE" w:rsidP="007F06F7">
                <w:pPr>
                  <w:spacing w:after="0" w:line="240" w:lineRule="auto"/>
                  <w:ind w:left="113" w:right="113"/>
                  <w:jc w:val="center"/>
                  <w:rPr>
                    <w:rFonts w:ascii="Times New Roman" w:eastAsia="Times New Roman" w:hAnsi="Times New Roman"/>
                    <w:b/>
                    <w:sz w:val="14"/>
                    <w:szCs w:val="14"/>
                    <w:lang w:eastAsia="es-CO"/>
                  </w:rPr>
                </w:pPr>
                <w:r w:rsidRPr="009821DD">
                  <w:rPr>
                    <w:rFonts w:ascii="Times New Roman" w:eastAsia="Times New Roman" w:hAnsi="Times New Roman"/>
                    <w:b/>
                    <w:sz w:val="14"/>
                    <w:szCs w:val="14"/>
                    <w:lang w:eastAsia="es-CO"/>
                  </w:rPr>
                  <w:t>(-) REVERSIÓN DE DETERIORO EN LA VIGENCIA</w:t>
                </w:r>
              </w:p>
            </w:tc>
            <w:tc>
              <w:tcPr>
                <w:tcW w:w="445" w:type="pct"/>
                <w:tcBorders>
                  <w:top w:val="nil"/>
                  <w:left w:val="nil"/>
                  <w:right w:val="single" w:sz="4" w:space="0" w:color="A6A6A6"/>
                </w:tcBorders>
                <w:shd w:val="clear" w:color="auto" w:fill="auto"/>
                <w:textDirection w:val="btLr"/>
                <w:vAlign w:val="center"/>
                <w:hideMark/>
              </w:tcPr>
              <w:p w14:paraId="73DFA0E4" w14:textId="77777777" w:rsidR="00AD73FE" w:rsidRPr="009821DD" w:rsidRDefault="00AD73FE" w:rsidP="007F06F7">
                <w:pPr>
                  <w:spacing w:after="0" w:line="240" w:lineRule="auto"/>
                  <w:ind w:left="113" w:right="113"/>
                  <w:jc w:val="center"/>
                  <w:rPr>
                    <w:rFonts w:ascii="Times New Roman" w:eastAsia="Times New Roman" w:hAnsi="Times New Roman"/>
                    <w:b/>
                    <w:sz w:val="14"/>
                    <w:szCs w:val="14"/>
                    <w:lang w:eastAsia="es-CO"/>
                  </w:rPr>
                </w:pPr>
                <w:r w:rsidRPr="009821DD">
                  <w:rPr>
                    <w:rFonts w:ascii="Times New Roman" w:eastAsia="Times New Roman" w:hAnsi="Times New Roman"/>
                    <w:b/>
                    <w:sz w:val="14"/>
                    <w:szCs w:val="14"/>
                    <w:lang w:eastAsia="es-CO"/>
                  </w:rPr>
                  <w:t>SALDO FINAL</w:t>
                </w:r>
              </w:p>
            </w:tc>
            <w:tc>
              <w:tcPr>
                <w:tcW w:w="322" w:type="pct"/>
                <w:tcBorders>
                  <w:top w:val="nil"/>
                  <w:left w:val="nil"/>
                  <w:right w:val="single" w:sz="4" w:space="0" w:color="A6A6A6"/>
                </w:tcBorders>
                <w:shd w:val="clear" w:color="auto" w:fill="auto"/>
                <w:textDirection w:val="btLr"/>
                <w:vAlign w:val="center"/>
                <w:hideMark/>
              </w:tcPr>
              <w:p w14:paraId="652C3347" w14:textId="77777777" w:rsidR="00AD73FE" w:rsidRPr="009821DD" w:rsidRDefault="00AD73FE" w:rsidP="007F06F7">
                <w:pPr>
                  <w:spacing w:after="0" w:line="240" w:lineRule="auto"/>
                  <w:ind w:left="113" w:right="113"/>
                  <w:jc w:val="center"/>
                  <w:rPr>
                    <w:rFonts w:ascii="Times New Roman" w:eastAsia="Times New Roman" w:hAnsi="Times New Roman"/>
                    <w:b/>
                    <w:sz w:val="14"/>
                    <w:szCs w:val="14"/>
                    <w:lang w:eastAsia="es-CO"/>
                  </w:rPr>
                </w:pPr>
                <w:r w:rsidRPr="009821DD">
                  <w:rPr>
                    <w:rFonts w:ascii="Times New Roman" w:eastAsia="Times New Roman" w:hAnsi="Times New Roman"/>
                    <w:b/>
                    <w:sz w:val="14"/>
                    <w:szCs w:val="14"/>
                    <w:lang w:eastAsia="es-CO"/>
                  </w:rPr>
                  <w:t>%</w:t>
                </w:r>
              </w:p>
            </w:tc>
            <w:tc>
              <w:tcPr>
                <w:tcW w:w="584" w:type="pct"/>
                <w:tcBorders>
                  <w:top w:val="nil"/>
                  <w:left w:val="nil"/>
                  <w:right w:val="single" w:sz="4" w:space="0" w:color="A6A6A6"/>
                </w:tcBorders>
                <w:shd w:val="clear" w:color="auto" w:fill="auto"/>
                <w:textDirection w:val="btLr"/>
                <w:vAlign w:val="center"/>
                <w:hideMark/>
              </w:tcPr>
              <w:p w14:paraId="6BB80CB9" w14:textId="77777777" w:rsidR="00AD73FE" w:rsidRPr="009821DD" w:rsidRDefault="00AD73FE" w:rsidP="007F06F7">
                <w:pPr>
                  <w:spacing w:after="0" w:line="240" w:lineRule="auto"/>
                  <w:ind w:left="113" w:right="113"/>
                  <w:jc w:val="center"/>
                  <w:rPr>
                    <w:rFonts w:ascii="Times New Roman" w:eastAsia="Times New Roman" w:hAnsi="Times New Roman"/>
                    <w:b/>
                    <w:sz w:val="14"/>
                    <w:szCs w:val="14"/>
                    <w:lang w:eastAsia="es-CO"/>
                  </w:rPr>
                </w:pPr>
                <w:r w:rsidRPr="009821DD">
                  <w:rPr>
                    <w:rFonts w:ascii="Times New Roman" w:eastAsia="Times New Roman" w:hAnsi="Times New Roman"/>
                    <w:b/>
                    <w:sz w:val="14"/>
                    <w:szCs w:val="14"/>
                    <w:lang w:eastAsia="es-CO"/>
                  </w:rPr>
                  <w:t>SALDO DESPUÉS DE DETERIORO</w:t>
                </w:r>
              </w:p>
            </w:tc>
          </w:tr>
          <w:tr w:rsidR="00AD73FE" w:rsidRPr="00B857EF" w14:paraId="533BA6B8" w14:textId="77777777" w:rsidTr="00F16E41">
            <w:trPr>
              <w:trHeight w:val="360"/>
            </w:trPr>
            <w:tc>
              <w:tcPr>
                <w:tcW w:w="962" w:type="pct"/>
                <w:tcBorders>
                  <w:top w:val="single" w:sz="4" w:space="0" w:color="A6A6A6"/>
                  <w:left w:val="single" w:sz="4" w:space="0" w:color="A6A6A6"/>
                  <w:bottom w:val="single" w:sz="4" w:space="0" w:color="A6A6A6"/>
                  <w:right w:val="nil"/>
                </w:tcBorders>
                <w:shd w:val="clear" w:color="auto" w:fill="auto"/>
                <w:vAlign w:val="center"/>
                <w:hideMark/>
              </w:tcPr>
              <w:p w14:paraId="02217869" w14:textId="77777777" w:rsidR="00AD73FE" w:rsidRPr="009A46BB" w:rsidRDefault="00AD73FE" w:rsidP="00AD73FE">
                <w:pPr>
                  <w:spacing w:after="0" w:line="240" w:lineRule="auto"/>
                  <w:rPr>
                    <w:rFonts w:ascii="Times New Roman" w:eastAsia="Times New Roman" w:hAnsi="Times New Roman"/>
                    <w:b/>
                    <w:color w:val="000000"/>
                    <w:sz w:val="14"/>
                    <w:szCs w:val="14"/>
                    <w:lang w:eastAsia="es-CO"/>
                  </w:rPr>
                </w:pPr>
                <w:r w:rsidRPr="009A46BB">
                  <w:rPr>
                    <w:rFonts w:ascii="Times New Roman" w:eastAsia="Times New Roman" w:hAnsi="Times New Roman"/>
                    <w:b/>
                    <w:color w:val="000000"/>
                    <w:sz w:val="14"/>
                    <w:szCs w:val="14"/>
                    <w:lang w:eastAsia="es-CO"/>
                  </w:rPr>
                  <w:t xml:space="preserve">SENTENCIAS, LAUDOS ARBITRALES Y </w:t>
                </w:r>
                <w:r w:rsidRPr="009A46BB">
                  <w:rPr>
                    <w:rFonts w:ascii="Times New Roman" w:eastAsia="Times New Roman" w:hAnsi="Times New Roman"/>
                    <w:b/>
                    <w:color w:val="000000"/>
                    <w:sz w:val="14"/>
                    <w:szCs w:val="14"/>
                    <w:lang w:eastAsia="es-CO"/>
                  </w:rPr>
                  <w:br/>
                  <w:t>CONCILIACIONES EXTRAJUDICIALES A FAVOR DE LA ENTIDAD</w:t>
                </w:r>
              </w:p>
            </w:tc>
            <w:tc>
              <w:tcPr>
                <w:tcW w:w="482" w:type="pct"/>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5914F496" w14:textId="2958AA20" w:rsidR="00AD73FE" w:rsidRPr="009821DD" w:rsidRDefault="00AD73FE" w:rsidP="00AD73FE">
                <w:pPr>
                  <w:spacing w:after="0" w:line="240" w:lineRule="auto"/>
                  <w:jc w:val="right"/>
                  <w:rPr>
                    <w:rFonts w:ascii="Times New Roman" w:eastAsia="Times New Roman" w:hAnsi="Times New Roman"/>
                    <w:b/>
                    <w:sz w:val="14"/>
                    <w:szCs w:val="14"/>
                    <w:lang w:eastAsia="es-CO"/>
                  </w:rPr>
                </w:pPr>
                <w:r w:rsidRPr="009821DD">
                  <w:rPr>
                    <w:rFonts w:ascii="Times New Roman" w:eastAsia="Times New Roman" w:hAnsi="Times New Roman"/>
                    <w:b/>
                    <w:sz w:val="14"/>
                    <w:szCs w:val="14"/>
                    <w:lang w:eastAsia="es-CO"/>
                  </w:rPr>
                  <w:t xml:space="preserve">96.503.809 </w:t>
                </w:r>
              </w:p>
            </w:tc>
            <w:tc>
              <w:tcPr>
                <w:tcW w:w="320" w:type="pct"/>
                <w:tcBorders>
                  <w:top w:val="single" w:sz="4" w:space="0" w:color="A6A6A6"/>
                  <w:left w:val="nil"/>
                  <w:bottom w:val="single" w:sz="4" w:space="0" w:color="A6A6A6"/>
                  <w:right w:val="single" w:sz="4" w:space="0" w:color="A6A6A6"/>
                </w:tcBorders>
                <w:shd w:val="clear" w:color="auto" w:fill="auto"/>
                <w:noWrap/>
                <w:vAlign w:val="center"/>
                <w:hideMark/>
              </w:tcPr>
              <w:p w14:paraId="13F8114A" w14:textId="287916E6" w:rsidR="00AD73FE" w:rsidRPr="009821DD" w:rsidRDefault="00AD73FE" w:rsidP="00AD73FE">
                <w:pPr>
                  <w:spacing w:after="0" w:line="240" w:lineRule="auto"/>
                  <w:jc w:val="right"/>
                  <w:rPr>
                    <w:rFonts w:ascii="Times New Roman" w:eastAsia="Times New Roman" w:hAnsi="Times New Roman"/>
                    <w:b/>
                    <w:sz w:val="14"/>
                    <w:szCs w:val="14"/>
                    <w:lang w:eastAsia="es-CO"/>
                  </w:rPr>
                </w:pPr>
                <w:r w:rsidRPr="009821DD">
                  <w:rPr>
                    <w:rFonts w:ascii="Times New Roman" w:eastAsia="Times New Roman" w:hAnsi="Times New Roman"/>
                    <w:b/>
                    <w:sz w:val="14"/>
                    <w:szCs w:val="14"/>
                    <w:lang w:eastAsia="es-CO"/>
                  </w:rPr>
                  <w:t xml:space="preserve">0 </w:t>
                </w:r>
              </w:p>
            </w:tc>
            <w:tc>
              <w:tcPr>
                <w:tcW w:w="483" w:type="pct"/>
                <w:tcBorders>
                  <w:top w:val="single" w:sz="4" w:space="0" w:color="A6A6A6"/>
                  <w:left w:val="nil"/>
                  <w:bottom w:val="single" w:sz="4" w:space="0" w:color="A6A6A6"/>
                  <w:right w:val="single" w:sz="4" w:space="0" w:color="A6A6A6"/>
                </w:tcBorders>
                <w:shd w:val="clear" w:color="auto" w:fill="auto"/>
                <w:noWrap/>
                <w:vAlign w:val="center"/>
                <w:hideMark/>
              </w:tcPr>
              <w:p w14:paraId="2EBBF27D" w14:textId="51616F30" w:rsidR="00AD73FE" w:rsidRPr="009821DD" w:rsidRDefault="00AD73FE" w:rsidP="00AD73FE">
                <w:pPr>
                  <w:spacing w:after="0" w:line="240" w:lineRule="auto"/>
                  <w:jc w:val="right"/>
                  <w:rPr>
                    <w:rFonts w:ascii="Times New Roman" w:eastAsia="Times New Roman" w:hAnsi="Times New Roman"/>
                    <w:b/>
                    <w:sz w:val="14"/>
                    <w:szCs w:val="14"/>
                    <w:lang w:eastAsia="es-CO"/>
                  </w:rPr>
                </w:pPr>
                <w:r w:rsidRPr="009821DD">
                  <w:rPr>
                    <w:rFonts w:ascii="Times New Roman" w:eastAsia="Times New Roman" w:hAnsi="Times New Roman"/>
                    <w:b/>
                    <w:sz w:val="14"/>
                    <w:szCs w:val="14"/>
                    <w:lang w:eastAsia="es-CO"/>
                  </w:rPr>
                  <w:t xml:space="preserve">96.503.809 </w:t>
                </w:r>
              </w:p>
            </w:tc>
            <w:tc>
              <w:tcPr>
                <w:tcW w:w="482" w:type="pct"/>
                <w:tcBorders>
                  <w:top w:val="single" w:sz="4" w:space="0" w:color="A6A6A6"/>
                  <w:left w:val="nil"/>
                  <w:bottom w:val="single" w:sz="4" w:space="0" w:color="A6A6A6"/>
                  <w:right w:val="single" w:sz="4" w:space="0" w:color="A6A6A6"/>
                </w:tcBorders>
                <w:shd w:val="clear" w:color="auto" w:fill="auto"/>
                <w:noWrap/>
                <w:vAlign w:val="center"/>
                <w:hideMark/>
              </w:tcPr>
              <w:p w14:paraId="7B527E7F" w14:textId="0EEACD30" w:rsidR="00AD73FE" w:rsidRPr="009821DD" w:rsidRDefault="00AD73FE" w:rsidP="00AD73FE">
                <w:pPr>
                  <w:spacing w:after="0" w:line="240" w:lineRule="auto"/>
                  <w:jc w:val="right"/>
                  <w:rPr>
                    <w:rFonts w:ascii="Times New Roman" w:eastAsia="Times New Roman" w:hAnsi="Times New Roman"/>
                    <w:b/>
                    <w:sz w:val="14"/>
                    <w:szCs w:val="14"/>
                    <w:lang w:eastAsia="es-CO"/>
                  </w:rPr>
                </w:pPr>
                <w:r w:rsidRPr="009821DD">
                  <w:rPr>
                    <w:rFonts w:ascii="Times New Roman" w:eastAsia="Times New Roman" w:hAnsi="Times New Roman"/>
                    <w:b/>
                    <w:sz w:val="14"/>
                    <w:szCs w:val="14"/>
                    <w:lang w:eastAsia="es-CO"/>
                  </w:rPr>
                  <w:t xml:space="preserve">54.125.501 </w:t>
                </w:r>
              </w:p>
            </w:tc>
            <w:tc>
              <w:tcPr>
                <w:tcW w:w="481" w:type="pct"/>
                <w:tcBorders>
                  <w:top w:val="single" w:sz="4" w:space="0" w:color="A6A6A6"/>
                  <w:left w:val="nil"/>
                  <w:bottom w:val="single" w:sz="4" w:space="0" w:color="A6A6A6"/>
                  <w:right w:val="single" w:sz="4" w:space="0" w:color="A6A6A6"/>
                </w:tcBorders>
                <w:shd w:val="clear" w:color="auto" w:fill="auto"/>
                <w:noWrap/>
                <w:vAlign w:val="center"/>
                <w:hideMark/>
              </w:tcPr>
              <w:p w14:paraId="26CBCD38" w14:textId="66439F35" w:rsidR="00AD73FE" w:rsidRPr="009821DD" w:rsidRDefault="00AD73FE" w:rsidP="00AD73FE">
                <w:pPr>
                  <w:spacing w:after="0" w:line="240" w:lineRule="auto"/>
                  <w:jc w:val="right"/>
                  <w:rPr>
                    <w:rFonts w:ascii="Times New Roman" w:eastAsia="Times New Roman" w:hAnsi="Times New Roman"/>
                    <w:b/>
                    <w:sz w:val="14"/>
                    <w:szCs w:val="14"/>
                    <w:lang w:eastAsia="es-CO"/>
                  </w:rPr>
                </w:pPr>
                <w:r w:rsidRPr="009821DD">
                  <w:rPr>
                    <w:rFonts w:ascii="Times New Roman" w:eastAsia="Times New Roman" w:hAnsi="Times New Roman"/>
                    <w:b/>
                    <w:sz w:val="14"/>
                    <w:szCs w:val="14"/>
                    <w:lang w:eastAsia="es-CO"/>
                  </w:rPr>
                  <w:t xml:space="preserve">20.486.890 </w:t>
                </w:r>
              </w:p>
            </w:tc>
            <w:tc>
              <w:tcPr>
                <w:tcW w:w="439" w:type="pct"/>
                <w:tcBorders>
                  <w:top w:val="single" w:sz="4" w:space="0" w:color="A6A6A6"/>
                  <w:left w:val="nil"/>
                  <w:bottom w:val="single" w:sz="4" w:space="0" w:color="A6A6A6"/>
                  <w:right w:val="single" w:sz="4" w:space="0" w:color="A6A6A6"/>
                </w:tcBorders>
                <w:shd w:val="clear" w:color="auto" w:fill="auto"/>
                <w:noWrap/>
                <w:vAlign w:val="center"/>
                <w:hideMark/>
              </w:tcPr>
              <w:p w14:paraId="738C9337" w14:textId="616E928D" w:rsidR="00AD73FE" w:rsidRPr="009821DD" w:rsidRDefault="00AD73FE" w:rsidP="00AD73FE">
                <w:pPr>
                  <w:spacing w:after="0" w:line="240" w:lineRule="auto"/>
                  <w:jc w:val="right"/>
                  <w:rPr>
                    <w:rFonts w:ascii="Times New Roman" w:eastAsia="Times New Roman" w:hAnsi="Times New Roman"/>
                    <w:b/>
                    <w:sz w:val="14"/>
                    <w:szCs w:val="14"/>
                    <w:lang w:eastAsia="es-CO"/>
                  </w:rPr>
                </w:pPr>
                <w:r w:rsidRPr="009821DD">
                  <w:rPr>
                    <w:rFonts w:ascii="Times New Roman" w:eastAsia="Times New Roman" w:hAnsi="Times New Roman"/>
                    <w:b/>
                    <w:sz w:val="14"/>
                    <w:szCs w:val="14"/>
                    <w:lang w:eastAsia="es-CO"/>
                  </w:rPr>
                  <w:t xml:space="preserve">83.180 </w:t>
                </w:r>
              </w:p>
            </w:tc>
            <w:tc>
              <w:tcPr>
                <w:tcW w:w="445" w:type="pct"/>
                <w:tcBorders>
                  <w:top w:val="single" w:sz="4" w:space="0" w:color="A6A6A6"/>
                  <w:left w:val="nil"/>
                  <w:bottom w:val="single" w:sz="4" w:space="0" w:color="A6A6A6"/>
                  <w:right w:val="single" w:sz="4" w:space="0" w:color="A6A6A6"/>
                </w:tcBorders>
                <w:shd w:val="clear" w:color="auto" w:fill="auto"/>
                <w:noWrap/>
                <w:vAlign w:val="center"/>
                <w:hideMark/>
              </w:tcPr>
              <w:p w14:paraId="72F895D2" w14:textId="141B47C5" w:rsidR="00AD73FE" w:rsidRPr="009821DD" w:rsidRDefault="00AD73FE" w:rsidP="00AD73FE">
                <w:pPr>
                  <w:spacing w:after="0" w:line="240" w:lineRule="auto"/>
                  <w:jc w:val="right"/>
                  <w:rPr>
                    <w:rFonts w:ascii="Times New Roman" w:eastAsia="Times New Roman" w:hAnsi="Times New Roman"/>
                    <w:b/>
                    <w:sz w:val="14"/>
                    <w:szCs w:val="14"/>
                    <w:lang w:eastAsia="es-CO"/>
                  </w:rPr>
                </w:pPr>
                <w:r w:rsidRPr="009821DD">
                  <w:rPr>
                    <w:rFonts w:ascii="Times New Roman" w:eastAsia="Times New Roman" w:hAnsi="Times New Roman"/>
                    <w:b/>
                    <w:sz w:val="14"/>
                    <w:szCs w:val="14"/>
                    <w:lang w:eastAsia="es-CO"/>
                  </w:rPr>
                  <w:t xml:space="preserve">74.529.211 </w:t>
                </w:r>
              </w:p>
            </w:tc>
            <w:tc>
              <w:tcPr>
                <w:tcW w:w="322" w:type="pct"/>
                <w:tcBorders>
                  <w:top w:val="single" w:sz="4" w:space="0" w:color="A6A6A6"/>
                  <w:left w:val="nil"/>
                  <w:bottom w:val="single" w:sz="4" w:space="0" w:color="A6A6A6"/>
                  <w:right w:val="single" w:sz="4" w:space="0" w:color="A6A6A6"/>
                </w:tcBorders>
                <w:shd w:val="clear" w:color="auto" w:fill="auto"/>
                <w:noWrap/>
                <w:vAlign w:val="center"/>
                <w:hideMark/>
              </w:tcPr>
              <w:p w14:paraId="45988868" w14:textId="77777777" w:rsidR="00AD73FE" w:rsidRPr="009821DD" w:rsidRDefault="00AD73FE" w:rsidP="00AD73FE">
                <w:pPr>
                  <w:spacing w:after="0" w:line="240" w:lineRule="auto"/>
                  <w:jc w:val="center"/>
                  <w:rPr>
                    <w:rFonts w:ascii="Times New Roman" w:eastAsia="Times New Roman" w:hAnsi="Times New Roman"/>
                    <w:b/>
                    <w:sz w:val="14"/>
                    <w:szCs w:val="14"/>
                    <w:lang w:eastAsia="es-CO"/>
                  </w:rPr>
                </w:pPr>
                <w:r w:rsidRPr="009821DD">
                  <w:rPr>
                    <w:rFonts w:ascii="Times New Roman" w:eastAsia="Times New Roman" w:hAnsi="Times New Roman"/>
                    <w:b/>
                    <w:sz w:val="14"/>
                    <w:szCs w:val="14"/>
                    <w:lang w:eastAsia="es-CO"/>
                  </w:rPr>
                  <w:t xml:space="preserve">77,2 </w:t>
                </w:r>
              </w:p>
            </w:tc>
            <w:tc>
              <w:tcPr>
                <w:tcW w:w="584" w:type="pct"/>
                <w:tcBorders>
                  <w:top w:val="single" w:sz="4" w:space="0" w:color="A6A6A6"/>
                  <w:left w:val="nil"/>
                  <w:bottom w:val="single" w:sz="4" w:space="0" w:color="A6A6A6"/>
                  <w:right w:val="single" w:sz="4" w:space="0" w:color="A6A6A6"/>
                </w:tcBorders>
                <w:shd w:val="clear" w:color="auto" w:fill="auto"/>
                <w:noWrap/>
                <w:vAlign w:val="center"/>
                <w:hideMark/>
              </w:tcPr>
              <w:p w14:paraId="07B5E603" w14:textId="229A1837" w:rsidR="00AD73FE" w:rsidRPr="009821DD" w:rsidRDefault="00AD73FE" w:rsidP="00AD73FE">
                <w:pPr>
                  <w:spacing w:after="0" w:line="240" w:lineRule="auto"/>
                  <w:jc w:val="right"/>
                  <w:rPr>
                    <w:rFonts w:ascii="Times New Roman" w:eastAsia="Times New Roman" w:hAnsi="Times New Roman"/>
                    <w:b/>
                    <w:sz w:val="14"/>
                    <w:szCs w:val="14"/>
                    <w:lang w:eastAsia="es-CO"/>
                  </w:rPr>
                </w:pPr>
                <w:r w:rsidRPr="009821DD">
                  <w:rPr>
                    <w:rFonts w:ascii="Times New Roman" w:eastAsia="Times New Roman" w:hAnsi="Times New Roman"/>
                    <w:b/>
                    <w:sz w:val="14"/>
                    <w:szCs w:val="14"/>
                    <w:lang w:eastAsia="es-CO"/>
                  </w:rPr>
                  <w:t xml:space="preserve">21.974.598 </w:t>
                </w:r>
              </w:p>
            </w:tc>
          </w:tr>
          <w:tr w:rsidR="00AD73FE" w:rsidRPr="00B857EF" w14:paraId="033E2DC2" w14:textId="77777777" w:rsidTr="00F16E41">
            <w:trPr>
              <w:trHeight w:val="300"/>
            </w:trPr>
            <w:tc>
              <w:tcPr>
                <w:tcW w:w="962" w:type="pct"/>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3277D0A3" w14:textId="77777777" w:rsidR="00AD73FE" w:rsidRPr="009821DD" w:rsidRDefault="00AD73FE" w:rsidP="00AD73FE">
                <w:pPr>
                  <w:spacing w:after="0" w:line="240" w:lineRule="auto"/>
                  <w:rPr>
                    <w:rFonts w:ascii="Times New Roman" w:eastAsia="Times New Roman" w:hAnsi="Times New Roman"/>
                    <w:sz w:val="14"/>
                    <w:szCs w:val="14"/>
                    <w:lang w:eastAsia="es-CO"/>
                  </w:rPr>
                </w:pPr>
                <w:r w:rsidRPr="009821DD">
                  <w:rPr>
                    <w:rFonts w:ascii="Times New Roman" w:eastAsia="Times New Roman" w:hAnsi="Times New Roman"/>
                    <w:sz w:val="14"/>
                    <w:szCs w:val="14"/>
                    <w:lang w:eastAsia="es-CO"/>
                  </w:rPr>
                  <w:t>Costas procesales</w:t>
                </w:r>
              </w:p>
            </w:tc>
            <w:tc>
              <w:tcPr>
                <w:tcW w:w="482" w:type="pct"/>
                <w:tcBorders>
                  <w:top w:val="single" w:sz="4" w:space="0" w:color="A6A6A6"/>
                  <w:left w:val="nil"/>
                  <w:bottom w:val="single" w:sz="4" w:space="0" w:color="A6A6A6"/>
                  <w:right w:val="single" w:sz="4" w:space="0" w:color="A6A6A6"/>
                </w:tcBorders>
                <w:shd w:val="clear" w:color="auto" w:fill="auto"/>
                <w:noWrap/>
                <w:vAlign w:val="center"/>
                <w:hideMark/>
              </w:tcPr>
              <w:p w14:paraId="398BD75B" w14:textId="7F99F995" w:rsidR="00AD73FE" w:rsidRPr="009821DD" w:rsidRDefault="00AD73FE" w:rsidP="00AD73FE">
                <w:pPr>
                  <w:spacing w:after="0" w:line="240" w:lineRule="auto"/>
                  <w:jc w:val="right"/>
                  <w:rPr>
                    <w:rFonts w:ascii="Times New Roman" w:eastAsia="Times New Roman" w:hAnsi="Times New Roman"/>
                    <w:sz w:val="14"/>
                    <w:szCs w:val="14"/>
                    <w:lang w:eastAsia="es-CO"/>
                  </w:rPr>
                </w:pPr>
                <w:r w:rsidRPr="009821DD">
                  <w:rPr>
                    <w:rFonts w:ascii="Times New Roman" w:eastAsia="Times New Roman" w:hAnsi="Times New Roman"/>
                    <w:sz w:val="14"/>
                    <w:szCs w:val="14"/>
                    <w:lang w:eastAsia="es-CO"/>
                  </w:rPr>
                  <w:t xml:space="preserve">96.503.809 </w:t>
                </w:r>
              </w:p>
            </w:tc>
            <w:tc>
              <w:tcPr>
                <w:tcW w:w="320" w:type="pct"/>
                <w:tcBorders>
                  <w:top w:val="single" w:sz="4" w:space="0" w:color="A6A6A6"/>
                  <w:left w:val="nil"/>
                  <w:bottom w:val="single" w:sz="4" w:space="0" w:color="A6A6A6"/>
                  <w:right w:val="single" w:sz="4" w:space="0" w:color="A6A6A6"/>
                </w:tcBorders>
                <w:shd w:val="clear" w:color="auto" w:fill="auto"/>
                <w:noWrap/>
                <w:vAlign w:val="center"/>
                <w:hideMark/>
              </w:tcPr>
              <w:p w14:paraId="2AB9E962" w14:textId="393B2274" w:rsidR="00AD73FE" w:rsidRPr="009821DD" w:rsidRDefault="00411F0F" w:rsidP="00C93EF3">
                <w:pPr>
                  <w:spacing w:after="0" w:line="240" w:lineRule="auto"/>
                  <w:jc w:val="right"/>
                  <w:rPr>
                    <w:rFonts w:ascii="Times New Roman" w:eastAsia="Times New Roman" w:hAnsi="Times New Roman"/>
                    <w:sz w:val="14"/>
                    <w:szCs w:val="14"/>
                    <w:lang w:eastAsia="es-CO"/>
                  </w:rPr>
                </w:pPr>
                <w:r w:rsidRPr="009821DD">
                  <w:rPr>
                    <w:rFonts w:ascii="Times New Roman" w:eastAsia="Times New Roman" w:hAnsi="Times New Roman"/>
                    <w:sz w:val="14"/>
                    <w:szCs w:val="14"/>
                    <w:lang w:eastAsia="es-CO"/>
                  </w:rPr>
                  <w:t>0</w:t>
                </w:r>
              </w:p>
              <w:p w14:paraId="44D1853E" w14:textId="0AF2CE24" w:rsidR="00AD73FE" w:rsidRPr="009821DD" w:rsidRDefault="00AD73FE" w:rsidP="00AD73FE">
                <w:pPr>
                  <w:spacing w:after="0" w:line="240" w:lineRule="auto"/>
                  <w:rPr>
                    <w:rFonts w:ascii="Times New Roman" w:eastAsia="Times New Roman" w:hAnsi="Times New Roman"/>
                    <w:sz w:val="14"/>
                    <w:szCs w:val="14"/>
                    <w:lang w:eastAsia="es-CO"/>
                  </w:rPr>
                </w:pPr>
              </w:p>
            </w:tc>
            <w:tc>
              <w:tcPr>
                <w:tcW w:w="483" w:type="pct"/>
                <w:tcBorders>
                  <w:top w:val="single" w:sz="4" w:space="0" w:color="A6A6A6"/>
                  <w:left w:val="nil"/>
                  <w:bottom w:val="single" w:sz="4" w:space="0" w:color="A6A6A6"/>
                  <w:right w:val="single" w:sz="4" w:space="0" w:color="A6A6A6"/>
                </w:tcBorders>
                <w:shd w:val="clear" w:color="auto" w:fill="auto"/>
                <w:noWrap/>
                <w:vAlign w:val="center"/>
                <w:hideMark/>
              </w:tcPr>
              <w:p w14:paraId="34F1646E" w14:textId="58519CF0" w:rsidR="00AD73FE" w:rsidRPr="009821DD" w:rsidRDefault="00AD73FE" w:rsidP="00AD73FE">
                <w:pPr>
                  <w:spacing w:after="0" w:line="240" w:lineRule="auto"/>
                  <w:jc w:val="right"/>
                  <w:rPr>
                    <w:rFonts w:ascii="Times New Roman" w:eastAsia="Times New Roman" w:hAnsi="Times New Roman"/>
                    <w:sz w:val="14"/>
                    <w:szCs w:val="14"/>
                    <w:lang w:eastAsia="es-CO"/>
                  </w:rPr>
                </w:pPr>
                <w:r w:rsidRPr="009821DD">
                  <w:rPr>
                    <w:rFonts w:ascii="Times New Roman" w:eastAsia="Times New Roman" w:hAnsi="Times New Roman"/>
                    <w:sz w:val="14"/>
                    <w:szCs w:val="14"/>
                    <w:lang w:eastAsia="es-CO"/>
                  </w:rPr>
                  <w:t xml:space="preserve">96.503.809 </w:t>
                </w:r>
              </w:p>
            </w:tc>
            <w:tc>
              <w:tcPr>
                <w:tcW w:w="482" w:type="pct"/>
                <w:tcBorders>
                  <w:top w:val="single" w:sz="4" w:space="0" w:color="A6A6A6"/>
                  <w:left w:val="nil"/>
                  <w:bottom w:val="single" w:sz="4" w:space="0" w:color="A6A6A6"/>
                  <w:right w:val="single" w:sz="4" w:space="0" w:color="A6A6A6"/>
                </w:tcBorders>
                <w:shd w:val="clear" w:color="auto" w:fill="auto"/>
                <w:noWrap/>
                <w:vAlign w:val="center"/>
                <w:hideMark/>
              </w:tcPr>
              <w:p w14:paraId="2BA69FB0" w14:textId="36826D8D" w:rsidR="00AD73FE" w:rsidRPr="009821DD" w:rsidRDefault="00AD73FE" w:rsidP="00AD73FE">
                <w:pPr>
                  <w:spacing w:after="0" w:line="240" w:lineRule="auto"/>
                  <w:jc w:val="right"/>
                  <w:rPr>
                    <w:rFonts w:ascii="Times New Roman" w:eastAsia="Times New Roman" w:hAnsi="Times New Roman"/>
                    <w:sz w:val="14"/>
                    <w:szCs w:val="14"/>
                    <w:lang w:eastAsia="es-CO"/>
                  </w:rPr>
                </w:pPr>
                <w:r w:rsidRPr="009821DD">
                  <w:rPr>
                    <w:rFonts w:ascii="Times New Roman" w:eastAsia="Times New Roman" w:hAnsi="Times New Roman"/>
                    <w:sz w:val="14"/>
                    <w:szCs w:val="14"/>
                    <w:lang w:eastAsia="es-CO"/>
                  </w:rPr>
                  <w:t xml:space="preserve">54.125.501 </w:t>
                </w:r>
              </w:p>
            </w:tc>
            <w:tc>
              <w:tcPr>
                <w:tcW w:w="481" w:type="pct"/>
                <w:tcBorders>
                  <w:top w:val="single" w:sz="4" w:space="0" w:color="A6A6A6"/>
                  <w:left w:val="nil"/>
                  <w:bottom w:val="single" w:sz="4" w:space="0" w:color="A6A6A6"/>
                  <w:right w:val="single" w:sz="4" w:space="0" w:color="A6A6A6"/>
                </w:tcBorders>
                <w:shd w:val="clear" w:color="auto" w:fill="auto"/>
                <w:noWrap/>
                <w:vAlign w:val="center"/>
                <w:hideMark/>
              </w:tcPr>
              <w:p w14:paraId="3248E09B" w14:textId="6CFCCACD" w:rsidR="00AD73FE" w:rsidRPr="009821DD" w:rsidRDefault="00AD73FE" w:rsidP="00AD73FE">
                <w:pPr>
                  <w:spacing w:after="0" w:line="240" w:lineRule="auto"/>
                  <w:jc w:val="right"/>
                  <w:rPr>
                    <w:rFonts w:ascii="Times New Roman" w:eastAsia="Times New Roman" w:hAnsi="Times New Roman"/>
                    <w:sz w:val="14"/>
                    <w:szCs w:val="14"/>
                    <w:lang w:eastAsia="es-CO"/>
                  </w:rPr>
                </w:pPr>
                <w:r w:rsidRPr="009821DD">
                  <w:rPr>
                    <w:rFonts w:ascii="Times New Roman" w:eastAsia="Times New Roman" w:hAnsi="Times New Roman"/>
                    <w:sz w:val="14"/>
                    <w:szCs w:val="14"/>
                    <w:lang w:eastAsia="es-CO"/>
                  </w:rPr>
                  <w:t xml:space="preserve">20.486.890 </w:t>
                </w:r>
              </w:p>
            </w:tc>
            <w:tc>
              <w:tcPr>
                <w:tcW w:w="439" w:type="pct"/>
                <w:tcBorders>
                  <w:top w:val="single" w:sz="4" w:space="0" w:color="A6A6A6"/>
                  <w:left w:val="nil"/>
                  <w:bottom w:val="single" w:sz="4" w:space="0" w:color="A6A6A6"/>
                  <w:right w:val="single" w:sz="4" w:space="0" w:color="A6A6A6"/>
                </w:tcBorders>
                <w:shd w:val="clear" w:color="auto" w:fill="auto"/>
                <w:noWrap/>
                <w:vAlign w:val="center"/>
                <w:hideMark/>
              </w:tcPr>
              <w:p w14:paraId="30DD6098" w14:textId="5BF60A38" w:rsidR="00AD73FE" w:rsidRPr="009821DD" w:rsidRDefault="00AD73FE" w:rsidP="00AD73FE">
                <w:pPr>
                  <w:spacing w:after="0" w:line="240" w:lineRule="auto"/>
                  <w:jc w:val="right"/>
                  <w:rPr>
                    <w:rFonts w:ascii="Times New Roman" w:eastAsia="Times New Roman" w:hAnsi="Times New Roman"/>
                    <w:sz w:val="14"/>
                    <w:szCs w:val="14"/>
                    <w:lang w:eastAsia="es-CO"/>
                  </w:rPr>
                </w:pPr>
                <w:r w:rsidRPr="009821DD">
                  <w:rPr>
                    <w:rFonts w:ascii="Times New Roman" w:eastAsia="Times New Roman" w:hAnsi="Times New Roman"/>
                    <w:sz w:val="14"/>
                    <w:szCs w:val="14"/>
                    <w:lang w:eastAsia="es-CO"/>
                  </w:rPr>
                  <w:t xml:space="preserve">83.180 </w:t>
                </w:r>
              </w:p>
            </w:tc>
            <w:tc>
              <w:tcPr>
                <w:tcW w:w="445" w:type="pct"/>
                <w:tcBorders>
                  <w:top w:val="single" w:sz="4" w:space="0" w:color="A6A6A6"/>
                  <w:left w:val="nil"/>
                  <w:bottom w:val="single" w:sz="4" w:space="0" w:color="A6A6A6"/>
                  <w:right w:val="single" w:sz="4" w:space="0" w:color="A6A6A6"/>
                </w:tcBorders>
                <w:shd w:val="clear" w:color="auto" w:fill="auto"/>
                <w:noWrap/>
                <w:vAlign w:val="center"/>
                <w:hideMark/>
              </w:tcPr>
              <w:p w14:paraId="37CF693B" w14:textId="69725287" w:rsidR="00AD73FE" w:rsidRPr="009821DD" w:rsidRDefault="00AD73FE" w:rsidP="00AD73FE">
                <w:pPr>
                  <w:spacing w:after="0" w:line="240" w:lineRule="auto"/>
                  <w:jc w:val="right"/>
                  <w:rPr>
                    <w:rFonts w:ascii="Times New Roman" w:eastAsia="Times New Roman" w:hAnsi="Times New Roman"/>
                    <w:sz w:val="14"/>
                    <w:szCs w:val="14"/>
                    <w:lang w:eastAsia="es-CO"/>
                  </w:rPr>
                </w:pPr>
                <w:r w:rsidRPr="009821DD">
                  <w:rPr>
                    <w:rFonts w:ascii="Times New Roman" w:eastAsia="Times New Roman" w:hAnsi="Times New Roman"/>
                    <w:sz w:val="14"/>
                    <w:szCs w:val="14"/>
                    <w:lang w:eastAsia="es-CO"/>
                  </w:rPr>
                  <w:t xml:space="preserve">74.529.211 </w:t>
                </w:r>
              </w:p>
            </w:tc>
            <w:tc>
              <w:tcPr>
                <w:tcW w:w="322" w:type="pct"/>
                <w:tcBorders>
                  <w:top w:val="single" w:sz="4" w:space="0" w:color="A6A6A6"/>
                  <w:left w:val="nil"/>
                  <w:bottom w:val="single" w:sz="4" w:space="0" w:color="A6A6A6"/>
                  <w:right w:val="single" w:sz="4" w:space="0" w:color="A6A6A6"/>
                </w:tcBorders>
                <w:shd w:val="clear" w:color="auto" w:fill="auto"/>
                <w:noWrap/>
                <w:vAlign w:val="center"/>
                <w:hideMark/>
              </w:tcPr>
              <w:p w14:paraId="2B04D740" w14:textId="77777777" w:rsidR="00AD73FE" w:rsidRPr="009821DD" w:rsidRDefault="00AD73FE" w:rsidP="00AD73FE">
                <w:pPr>
                  <w:spacing w:after="0" w:line="240" w:lineRule="auto"/>
                  <w:jc w:val="center"/>
                  <w:rPr>
                    <w:rFonts w:ascii="Times New Roman" w:eastAsia="Times New Roman" w:hAnsi="Times New Roman"/>
                    <w:sz w:val="14"/>
                    <w:szCs w:val="14"/>
                    <w:lang w:eastAsia="es-CO"/>
                  </w:rPr>
                </w:pPr>
                <w:r w:rsidRPr="009821DD">
                  <w:rPr>
                    <w:rFonts w:ascii="Times New Roman" w:eastAsia="Times New Roman" w:hAnsi="Times New Roman"/>
                    <w:sz w:val="14"/>
                    <w:szCs w:val="14"/>
                    <w:lang w:eastAsia="es-CO"/>
                  </w:rPr>
                  <w:t xml:space="preserve">77,2 </w:t>
                </w:r>
              </w:p>
            </w:tc>
            <w:tc>
              <w:tcPr>
                <w:tcW w:w="584" w:type="pct"/>
                <w:tcBorders>
                  <w:top w:val="single" w:sz="4" w:space="0" w:color="A6A6A6"/>
                  <w:left w:val="nil"/>
                  <w:bottom w:val="single" w:sz="4" w:space="0" w:color="A6A6A6"/>
                  <w:right w:val="single" w:sz="4" w:space="0" w:color="A6A6A6"/>
                </w:tcBorders>
                <w:shd w:val="clear" w:color="auto" w:fill="auto"/>
                <w:noWrap/>
                <w:vAlign w:val="center"/>
                <w:hideMark/>
              </w:tcPr>
              <w:p w14:paraId="73C26B6B" w14:textId="415A1489" w:rsidR="00AD73FE" w:rsidRPr="009821DD" w:rsidRDefault="00AD73FE" w:rsidP="00AD73FE">
                <w:pPr>
                  <w:spacing w:after="0" w:line="240" w:lineRule="auto"/>
                  <w:jc w:val="right"/>
                  <w:rPr>
                    <w:rFonts w:ascii="Times New Roman" w:eastAsia="Times New Roman" w:hAnsi="Times New Roman"/>
                    <w:sz w:val="14"/>
                    <w:szCs w:val="14"/>
                    <w:lang w:eastAsia="es-CO"/>
                  </w:rPr>
                </w:pPr>
                <w:r w:rsidRPr="009821DD">
                  <w:rPr>
                    <w:rFonts w:ascii="Times New Roman" w:eastAsia="Times New Roman" w:hAnsi="Times New Roman"/>
                    <w:sz w:val="14"/>
                    <w:szCs w:val="14"/>
                    <w:lang w:eastAsia="es-CO"/>
                  </w:rPr>
                  <w:t xml:space="preserve">21.974.598 </w:t>
                </w:r>
              </w:p>
            </w:tc>
          </w:tr>
        </w:tbl>
        <w:p w14:paraId="498F0231" w14:textId="3709F2F5" w:rsidR="000F133F" w:rsidRPr="00931DCE" w:rsidRDefault="00AD2026" w:rsidP="00B74F1A">
          <w:pPr>
            <w:spacing w:after="0" w:line="240" w:lineRule="auto"/>
            <w:rPr>
              <w:rFonts w:ascii="Times New Roman" w:hAnsi="Times New Roman"/>
              <w:sz w:val="14"/>
              <w:szCs w:val="14"/>
            </w:rPr>
          </w:pPr>
          <w:r w:rsidRPr="00931DCE">
            <w:rPr>
              <w:rFonts w:ascii="Times New Roman" w:hAnsi="Times New Roman"/>
              <w:sz w:val="14"/>
              <w:szCs w:val="14"/>
            </w:rPr>
            <w:t>Cifras expresadas en pesos</w:t>
          </w:r>
        </w:p>
        <w:p w14:paraId="462C4F72" w14:textId="77777777" w:rsidR="00EC4C4A" w:rsidRPr="00931DCE" w:rsidRDefault="00EC4C4A" w:rsidP="00B74F1A">
          <w:pPr>
            <w:spacing w:after="0" w:line="240" w:lineRule="auto"/>
            <w:rPr>
              <w:rFonts w:ascii="Times New Roman" w:hAnsi="Times New Roman"/>
              <w:sz w:val="14"/>
              <w:szCs w:val="14"/>
            </w:rPr>
          </w:pPr>
        </w:p>
        <w:p w14:paraId="64A954C6" w14:textId="77777777" w:rsidR="00B74F1A" w:rsidRPr="00931DCE" w:rsidRDefault="00B74F1A" w:rsidP="00B74F1A">
          <w:pPr>
            <w:spacing w:after="0" w:line="240" w:lineRule="auto"/>
            <w:rPr>
              <w:rFonts w:ascii="Times New Roman" w:hAnsi="Times New Roman"/>
              <w:sz w:val="24"/>
              <w:szCs w:val="24"/>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CellMar>
              <w:left w:w="70" w:type="dxa"/>
              <w:right w:w="70" w:type="dxa"/>
            </w:tblCellMar>
            <w:tblLook w:val="04A0" w:firstRow="1" w:lastRow="0" w:firstColumn="1" w:lastColumn="0" w:noHBand="0" w:noVBand="1"/>
          </w:tblPr>
          <w:tblGrid>
            <w:gridCol w:w="849"/>
            <w:gridCol w:w="1815"/>
            <w:gridCol w:w="970"/>
            <w:gridCol w:w="1082"/>
            <w:gridCol w:w="807"/>
            <w:gridCol w:w="2481"/>
            <w:gridCol w:w="965"/>
          </w:tblGrid>
          <w:tr w:rsidR="00891BDE" w:rsidRPr="00891BDE" w14:paraId="693C6A64" w14:textId="77777777" w:rsidTr="004E5925">
            <w:trPr>
              <w:trHeight w:val="369"/>
              <w:tblHeader/>
            </w:trPr>
            <w:tc>
              <w:tcPr>
                <w:tcW w:w="473" w:type="pct"/>
                <w:shd w:val="clear" w:color="auto" w:fill="auto"/>
                <w:vAlign w:val="center"/>
                <w:hideMark/>
              </w:tcPr>
              <w:p w14:paraId="3FFDF246" w14:textId="77777777" w:rsidR="00891BDE" w:rsidRPr="00891BDE" w:rsidRDefault="00891BDE" w:rsidP="00891BDE">
                <w:pPr>
                  <w:spacing w:after="0" w:line="240" w:lineRule="auto"/>
                  <w:jc w:val="center"/>
                  <w:rPr>
                    <w:rFonts w:ascii="Times New Roman" w:eastAsia="Times New Roman" w:hAnsi="Times New Roman"/>
                    <w:b/>
                    <w:bCs/>
                    <w:color w:val="000000"/>
                    <w:sz w:val="14"/>
                    <w:szCs w:val="14"/>
                    <w:lang w:eastAsia="es-CO"/>
                  </w:rPr>
                </w:pPr>
                <w:r w:rsidRPr="00891BDE">
                  <w:rPr>
                    <w:rFonts w:ascii="Times New Roman" w:eastAsia="Times New Roman" w:hAnsi="Times New Roman"/>
                    <w:b/>
                    <w:bCs/>
                    <w:color w:val="000000"/>
                    <w:sz w:val="14"/>
                    <w:szCs w:val="14"/>
                    <w:lang w:eastAsia="es-CO"/>
                  </w:rPr>
                  <w:t>CODIGO AUXILIAR</w:t>
                </w:r>
              </w:p>
            </w:tc>
            <w:tc>
              <w:tcPr>
                <w:tcW w:w="1012" w:type="pct"/>
                <w:shd w:val="clear" w:color="auto" w:fill="auto"/>
                <w:vAlign w:val="center"/>
                <w:hideMark/>
              </w:tcPr>
              <w:p w14:paraId="0C443AAE" w14:textId="77777777" w:rsidR="00891BDE" w:rsidRPr="00891BDE" w:rsidRDefault="00891BDE" w:rsidP="00891BDE">
                <w:pPr>
                  <w:spacing w:after="0" w:line="240" w:lineRule="auto"/>
                  <w:jc w:val="center"/>
                  <w:rPr>
                    <w:rFonts w:ascii="Times New Roman" w:eastAsia="Times New Roman" w:hAnsi="Times New Roman"/>
                    <w:b/>
                    <w:bCs/>
                    <w:color w:val="000000"/>
                    <w:sz w:val="14"/>
                    <w:szCs w:val="14"/>
                    <w:lang w:eastAsia="es-CO"/>
                  </w:rPr>
                </w:pPr>
                <w:r w:rsidRPr="00891BDE">
                  <w:rPr>
                    <w:rFonts w:ascii="Times New Roman" w:eastAsia="Times New Roman" w:hAnsi="Times New Roman"/>
                    <w:b/>
                    <w:bCs/>
                    <w:color w:val="000000"/>
                    <w:sz w:val="14"/>
                    <w:szCs w:val="14"/>
                    <w:lang w:eastAsia="es-CO"/>
                  </w:rPr>
                  <w:t>DESCRIPCIÓN AUXILIAR</w:t>
                </w:r>
              </w:p>
            </w:tc>
            <w:tc>
              <w:tcPr>
                <w:tcW w:w="541" w:type="pct"/>
                <w:shd w:val="clear" w:color="auto" w:fill="auto"/>
                <w:vAlign w:val="center"/>
                <w:hideMark/>
              </w:tcPr>
              <w:p w14:paraId="308BD11F" w14:textId="77777777" w:rsidR="00891BDE" w:rsidRPr="00891BDE" w:rsidRDefault="00891BDE" w:rsidP="00891BDE">
                <w:pPr>
                  <w:spacing w:after="0" w:line="240" w:lineRule="auto"/>
                  <w:jc w:val="center"/>
                  <w:rPr>
                    <w:rFonts w:ascii="Times New Roman" w:eastAsia="Times New Roman" w:hAnsi="Times New Roman"/>
                    <w:b/>
                    <w:bCs/>
                    <w:color w:val="000000"/>
                    <w:sz w:val="14"/>
                    <w:szCs w:val="14"/>
                    <w:lang w:eastAsia="es-CO"/>
                  </w:rPr>
                </w:pPr>
                <w:r w:rsidRPr="00891BDE">
                  <w:rPr>
                    <w:rFonts w:ascii="Times New Roman" w:eastAsia="Times New Roman" w:hAnsi="Times New Roman"/>
                    <w:b/>
                    <w:bCs/>
                    <w:color w:val="000000"/>
                    <w:sz w:val="14"/>
                    <w:szCs w:val="14"/>
                    <w:lang w:eastAsia="es-CO"/>
                  </w:rPr>
                  <w:t>VALOR AUXILIAR 31-12-2023</w:t>
                </w:r>
              </w:p>
            </w:tc>
            <w:tc>
              <w:tcPr>
                <w:tcW w:w="603" w:type="pct"/>
                <w:shd w:val="clear" w:color="auto" w:fill="auto"/>
                <w:vAlign w:val="center"/>
                <w:hideMark/>
              </w:tcPr>
              <w:p w14:paraId="7EE256AB" w14:textId="77777777" w:rsidR="00891BDE" w:rsidRPr="00891BDE" w:rsidRDefault="00891BDE" w:rsidP="00891BDE">
                <w:pPr>
                  <w:spacing w:after="0" w:line="240" w:lineRule="auto"/>
                  <w:jc w:val="center"/>
                  <w:rPr>
                    <w:rFonts w:ascii="Times New Roman" w:eastAsia="Times New Roman" w:hAnsi="Times New Roman"/>
                    <w:b/>
                    <w:bCs/>
                    <w:color w:val="000000"/>
                    <w:sz w:val="14"/>
                    <w:szCs w:val="14"/>
                    <w:lang w:eastAsia="es-CO"/>
                  </w:rPr>
                </w:pPr>
                <w:r w:rsidRPr="00891BDE">
                  <w:rPr>
                    <w:rFonts w:ascii="Times New Roman" w:eastAsia="Times New Roman" w:hAnsi="Times New Roman"/>
                    <w:b/>
                    <w:bCs/>
                    <w:color w:val="000000"/>
                    <w:sz w:val="14"/>
                    <w:szCs w:val="14"/>
                    <w:lang w:eastAsia="es-CO"/>
                  </w:rPr>
                  <w:t xml:space="preserve">FECHA DE RESOLUCION </w:t>
                </w:r>
              </w:p>
            </w:tc>
            <w:tc>
              <w:tcPr>
                <w:tcW w:w="450" w:type="pct"/>
                <w:shd w:val="clear" w:color="auto" w:fill="auto"/>
                <w:vAlign w:val="center"/>
                <w:hideMark/>
              </w:tcPr>
              <w:p w14:paraId="4C23D81B" w14:textId="77777777" w:rsidR="00891BDE" w:rsidRPr="00891BDE" w:rsidRDefault="00891BDE" w:rsidP="00891BDE">
                <w:pPr>
                  <w:spacing w:after="0" w:line="240" w:lineRule="auto"/>
                  <w:jc w:val="center"/>
                  <w:rPr>
                    <w:rFonts w:ascii="Times New Roman" w:eastAsia="Times New Roman" w:hAnsi="Times New Roman"/>
                    <w:b/>
                    <w:bCs/>
                    <w:color w:val="000000"/>
                    <w:sz w:val="14"/>
                    <w:szCs w:val="14"/>
                    <w:lang w:eastAsia="es-CO"/>
                  </w:rPr>
                </w:pPr>
                <w:r w:rsidRPr="00891BDE">
                  <w:rPr>
                    <w:rFonts w:ascii="Times New Roman" w:eastAsia="Times New Roman" w:hAnsi="Times New Roman"/>
                    <w:b/>
                    <w:bCs/>
                    <w:color w:val="000000"/>
                    <w:sz w:val="14"/>
                    <w:szCs w:val="14"/>
                    <w:lang w:eastAsia="es-CO"/>
                  </w:rPr>
                  <w:t>Fecha de Ejecutoria</w:t>
                </w:r>
              </w:p>
            </w:tc>
            <w:tc>
              <w:tcPr>
                <w:tcW w:w="1383" w:type="pct"/>
                <w:shd w:val="clear" w:color="auto" w:fill="auto"/>
                <w:vAlign w:val="center"/>
                <w:hideMark/>
              </w:tcPr>
              <w:p w14:paraId="16265290" w14:textId="1F46A848" w:rsidR="00891BDE" w:rsidRPr="00891BDE" w:rsidRDefault="00891BDE" w:rsidP="00891BDE">
                <w:pPr>
                  <w:spacing w:after="0" w:line="240" w:lineRule="auto"/>
                  <w:jc w:val="center"/>
                  <w:rPr>
                    <w:rFonts w:ascii="Times New Roman" w:eastAsia="Times New Roman" w:hAnsi="Times New Roman"/>
                    <w:b/>
                    <w:bCs/>
                    <w:color w:val="000000"/>
                    <w:sz w:val="14"/>
                    <w:szCs w:val="14"/>
                    <w:lang w:eastAsia="es-CO"/>
                  </w:rPr>
                </w:pPr>
                <w:r w:rsidRPr="00891BDE">
                  <w:rPr>
                    <w:rFonts w:ascii="Times New Roman" w:eastAsia="Times New Roman" w:hAnsi="Times New Roman"/>
                    <w:b/>
                    <w:bCs/>
                    <w:color w:val="000000"/>
                    <w:sz w:val="14"/>
                    <w:szCs w:val="14"/>
                    <w:lang w:eastAsia="es-CO"/>
                  </w:rPr>
                  <w:t>Fecha para realizar el pago sin intereses de mora (plazo)</w:t>
                </w:r>
              </w:p>
            </w:tc>
            <w:tc>
              <w:tcPr>
                <w:tcW w:w="538" w:type="pct"/>
                <w:shd w:val="clear" w:color="auto" w:fill="auto"/>
                <w:noWrap/>
                <w:vAlign w:val="center"/>
                <w:hideMark/>
              </w:tcPr>
              <w:p w14:paraId="573A0E1E" w14:textId="4322BBBD" w:rsidR="00891BDE" w:rsidRPr="00891BDE" w:rsidRDefault="00891BDE" w:rsidP="00F16E41">
                <w:pPr>
                  <w:spacing w:after="0" w:line="240" w:lineRule="auto"/>
                  <w:jc w:val="center"/>
                  <w:rPr>
                    <w:rFonts w:ascii="Times New Roman" w:eastAsia="Times New Roman" w:hAnsi="Times New Roman"/>
                    <w:b/>
                    <w:bCs/>
                    <w:color w:val="000000"/>
                    <w:sz w:val="14"/>
                    <w:szCs w:val="14"/>
                    <w:lang w:eastAsia="es-CO"/>
                  </w:rPr>
                </w:pPr>
                <w:r w:rsidRPr="00891BDE">
                  <w:rPr>
                    <w:rFonts w:ascii="Times New Roman" w:eastAsia="Times New Roman" w:hAnsi="Times New Roman"/>
                    <w:b/>
                    <w:bCs/>
                    <w:color w:val="000000"/>
                    <w:sz w:val="14"/>
                    <w:szCs w:val="14"/>
                    <w:lang w:eastAsia="es-CO"/>
                  </w:rPr>
                  <w:t xml:space="preserve">% </w:t>
                </w:r>
                <w:r w:rsidR="00F16E41" w:rsidRPr="00891BDE">
                  <w:rPr>
                    <w:rFonts w:ascii="Times New Roman" w:eastAsia="Times New Roman" w:hAnsi="Times New Roman"/>
                    <w:b/>
                    <w:bCs/>
                    <w:color w:val="000000"/>
                    <w:sz w:val="14"/>
                    <w:szCs w:val="14"/>
                    <w:lang w:eastAsia="es-CO"/>
                  </w:rPr>
                  <w:t>Interés</w:t>
                </w:r>
                <w:r w:rsidRPr="00891BDE">
                  <w:rPr>
                    <w:rFonts w:ascii="Times New Roman" w:eastAsia="Times New Roman" w:hAnsi="Times New Roman"/>
                    <w:b/>
                    <w:bCs/>
                    <w:color w:val="000000"/>
                    <w:sz w:val="14"/>
                    <w:szCs w:val="14"/>
                    <w:lang w:eastAsia="es-CO"/>
                  </w:rPr>
                  <w:t xml:space="preserve"> EA</w:t>
                </w:r>
              </w:p>
            </w:tc>
          </w:tr>
          <w:tr w:rsidR="00891BDE" w:rsidRPr="00891BDE" w14:paraId="7B712137" w14:textId="77777777" w:rsidTr="00F16E41">
            <w:trPr>
              <w:trHeight w:val="720"/>
            </w:trPr>
            <w:tc>
              <w:tcPr>
                <w:tcW w:w="473" w:type="pct"/>
                <w:shd w:val="clear" w:color="auto" w:fill="auto"/>
                <w:vAlign w:val="center"/>
                <w:hideMark/>
              </w:tcPr>
              <w:p w14:paraId="4DCA61D5" w14:textId="77777777" w:rsidR="00891BDE" w:rsidRPr="00891BDE" w:rsidRDefault="00891BDE" w:rsidP="00891BDE">
                <w:pPr>
                  <w:spacing w:after="0" w:line="240" w:lineRule="auto"/>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1128449710</w:t>
                </w:r>
              </w:p>
            </w:tc>
            <w:tc>
              <w:tcPr>
                <w:tcW w:w="1012" w:type="pct"/>
                <w:shd w:val="clear" w:color="auto" w:fill="auto"/>
                <w:vAlign w:val="center"/>
                <w:hideMark/>
              </w:tcPr>
              <w:p w14:paraId="68180A9C" w14:textId="77777777" w:rsidR="00891BDE" w:rsidRPr="00891BDE" w:rsidRDefault="00891BDE" w:rsidP="00891BDE">
                <w:pPr>
                  <w:spacing w:after="0" w:line="240" w:lineRule="auto"/>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MARIA VICTORIA SOLARTE DAZA</w:t>
                </w:r>
              </w:p>
            </w:tc>
            <w:tc>
              <w:tcPr>
                <w:tcW w:w="541" w:type="pct"/>
                <w:shd w:val="clear" w:color="auto" w:fill="auto"/>
                <w:vAlign w:val="center"/>
                <w:hideMark/>
              </w:tcPr>
              <w:p w14:paraId="7D5BE187" w14:textId="77777777" w:rsidR="00891BDE" w:rsidRPr="00891BDE" w:rsidRDefault="00891BDE" w:rsidP="00891BDE">
                <w:pPr>
                  <w:spacing w:after="0" w:line="240" w:lineRule="auto"/>
                  <w:jc w:val="right"/>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16.624.840</w:t>
                </w:r>
              </w:p>
            </w:tc>
            <w:tc>
              <w:tcPr>
                <w:tcW w:w="603" w:type="pct"/>
                <w:shd w:val="clear" w:color="auto" w:fill="auto"/>
                <w:noWrap/>
                <w:vAlign w:val="center"/>
                <w:hideMark/>
              </w:tcPr>
              <w:p w14:paraId="48E7F699" w14:textId="77777777" w:rsidR="00891BDE" w:rsidRPr="00891BDE" w:rsidRDefault="00891BDE" w:rsidP="00891BDE">
                <w:pPr>
                  <w:spacing w:after="0" w:line="240" w:lineRule="auto"/>
                  <w:jc w:val="right"/>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16/11/2018</w:t>
                </w:r>
              </w:p>
            </w:tc>
            <w:tc>
              <w:tcPr>
                <w:tcW w:w="450" w:type="pct"/>
                <w:shd w:val="clear" w:color="auto" w:fill="auto"/>
                <w:noWrap/>
                <w:vAlign w:val="center"/>
                <w:hideMark/>
              </w:tcPr>
              <w:p w14:paraId="05EC1D7C" w14:textId="77777777" w:rsidR="00891BDE" w:rsidRPr="00891BDE" w:rsidRDefault="00891BDE" w:rsidP="00891BDE">
                <w:pPr>
                  <w:spacing w:after="0" w:line="240" w:lineRule="auto"/>
                  <w:jc w:val="right"/>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7/06/2019</w:t>
                </w:r>
              </w:p>
            </w:tc>
            <w:tc>
              <w:tcPr>
                <w:tcW w:w="1383" w:type="pct"/>
                <w:shd w:val="clear" w:color="auto" w:fill="auto"/>
                <w:vAlign w:val="center"/>
                <w:hideMark/>
              </w:tcPr>
              <w:p w14:paraId="4E33BF9D" w14:textId="77777777" w:rsidR="00891BDE" w:rsidRPr="00891BDE" w:rsidRDefault="00891BDE" w:rsidP="00F16E41">
                <w:pPr>
                  <w:spacing w:after="0" w:line="240" w:lineRule="auto"/>
                  <w:jc w:val="both"/>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Debido a que el GIT de Defensa Judicial carece de competencia para liquidar, la determinación de esta fecha dependerá de lo que disponga el área financiera correspondiente.</w:t>
                </w:r>
              </w:p>
            </w:tc>
            <w:tc>
              <w:tcPr>
                <w:tcW w:w="538" w:type="pct"/>
                <w:shd w:val="clear" w:color="auto" w:fill="auto"/>
                <w:vAlign w:val="center"/>
                <w:hideMark/>
              </w:tcPr>
              <w:p w14:paraId="324AD243" w14:textId="77777777" w:rsidR="00891BDE" w:rsidRPr="00891BDE" w:rsidRDefault="00891BDE" w:rsidP="00F16E41">
                <w:pPr>
                  <w:spacing w:after="0" w:line="240" w:lineRule="auto"/>
                  <w:jc w:val="center"/>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12%</w:t>
                </w:r>
              </w:p>
            </w:tc>
          </w:tr>
          <w:tr w:rsidR="00891BDE" w:rsidRPr="00891BDE" w14:paraId="337B147C" w14:textId="77777777" w:rsidTr="00F16E41">
            <w:trPr>
              <w:trHeight w:val="720"/>
            </w:trPr>
            <w:tc>
              <w:tcPr>
                <w:tcW w:w="473" w:type="pct"/>
                <w:shd w:val="clear" w:color="auto" w:fill="auto"/>
                <w:vAlign w:val="center"/>
                <w:hideMark/>
              </w:tcPr>
              <w:p w14:paraId="3E1422C2" w14:textId="77777777" w:rsidR="00891BDE" w:rsidRPr="00891BDE" w:rsidRDefault="00891BDE" w:rsidP="00891BDE">
                <w:pPr>
                  <w:spacing w:after="0" w:line="240" w:lineRule="auto"/>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11407347</w:t>
                </w:r>
              </w:p>
            </w:tc>
            <w:tc>
              <w:tcPr>
                <w:tcW w:w="1012" w:type="pct"/>
                <w:shd w:val="clear" w:color="auto" w:fill="auto"/>
                <w:vAlign w:val="center"/>
                <w:hideMark/>
              </w:tcPr>
              <w:p w14:paraId="258635FC" w14:textId="77777777" w:rsidR="00891BDE" w:rsidRPr="00891BDE" w:rsidRDefault="00891BDE" w:rsidP="00891BDE">
                <w:pPr>
                  <w:spacing w:after="0" w:line="240" w:lineRule="auto"/>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 xml:space="preserve">GERMAN FRANCISCO ROJAS BAQUERO </w:t>
                </w:r>
              </w:p>
            </w:tc>
            <w:tc>
              <w:tcPr>
                <w:tcW w:w="541" w:type="pct"/>
                <w:shd w:val="clear" w:color="auto" w:fill="auto"/>
                <w:vAlign w:val="center"/>
                <w:hideMark/>
              </w:tcPr>
              <w:p w14:paraId="28D1BF4B" w14:textId="77777777" w:rsidR="00891BDE" w:rsidRPr="00891BDE" w:rsidRDefault="00891BDE" w:rsidP="00891BDE">
                <w:pPr>
                  <w:spacing w:after="0" w:line="240" w:lineRule="auto"/>
                  <w:jc w:val="right"/>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300.000</w:t>
                </w:r>
              </w:p>
            </w:tc>
            <w:tc>
              <w:tcPr>
                <w:tcW w:w="603" w:type="pct"/>
                <w:shd w:val="clear" w:color="auto" w:fill="auto"/>
                <w:noWrap/>
                <w:vAlign w:val="center"/>
                <w:hideMark/>
              </w:tcPr>
              <w:p w14:paraId="11A4634F" w14:textId="77777777" w:rsidR="00891BDE" w:rsidRPr="00891BDE" w:rsidRDefault="00891BDE" w:rsidP="00891BDE">
                <w:pPr>
                  <w:spacing w:after="0" w:line="240" w:lineRule="auto"/>
                  <w:jc w:val="right"/>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10/02/2021</w:t>
                </w:r>
              </w:p>
            </w:tc>
            <w:tc>
              <w:tcPr>
                <w:tcW w:w="450" w:type="pct"/>
                <w:shd w:val="clear" w:color="auto" w:fill="auto"/>
                <w:noWrap/>
                <w:vAlign w:val="center"/>
                <w:hideMark/>
              </w:tcPr>
              <w:p w14:paraId="6A8296FA" w14:textId="77777777" w:rsidR="00891BDE" w:rsidRPr="00891BDE" w:rsidRDefault="00891BDE" w:rsidP="00891BDE">
                <w:pPr>
                  <w:spacing w:after="0" w:line="240" w:lineRule="auto"/>
                  <w:jc w:val="right"/>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12/03/2021</w:t>
                </w:r>
              </w:p>
            </w:tc>
            <w:tc>
              <w:tcPr>
                <w:tcW w:w="1383" w:type="pct"/>
                <w:shd w:val="clear" w:color="auto" w:fill="auto"/>
                <w:vAlign w:val="center"/>
                <w:hideMark/>
              </w:tcPr>
              <w:p w14:paraId="2EE6E763" w14:textId="77777777" w:rsidR="00891BDE" w:rsidRPr="00891BDE" w:rsidRDefault="00891BDE" w:rsidP="00F16E41">
                <w:pPr>
                  <w:spacing w:after="0" w:line="240" w:lineRule="auto"/>
                  <w:jc w:val="both"/>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Debido a que el GIT de Defensa Judicial carece de competencia para liquidar, la determinación de esta fecha dependerá de lo que disponga el área financiera correspondiente.</w:t>
                </w:r>
              </w:p>
            </w:tc>
            <w:tc>
              <w:tcPr>
                <w:tcW w:w="538" w:type="pct"/>
                <w:shd w:val="clear" w:color="auto" w:fill="auto"/>
                <w:vAlign w:val="center"/>
                <w:hideMark/>
              </w:tcPr>
              <w:p w14:paraId="6B479063" w14:textId="77777777" w:rsidR="00891BDE" w:rsidRPr="00891BDE" w:rsidRDefault="00891BDE" w:rsidP="00F16E41">
                <w:pPr>
                  <w:spacing w:after="0" w:line="240" w:lineRule="auto"/>
                  <w:jc w:val="center"/>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12%</w:t>
                </w:r>
              </w:p>
            </w:tc>
          </w:tr>
          <w:tr w:rsidR="00891BDE" w:rsidRPr="00891BDE" w14:paraId="74574BFE" w14:textId="77777777" w:rsidTr="00F16E41">
            <w:trPr>
              <w:trHeight w:val="720"/>
            </w:trPr>
            <w:tc>
              <w:tcPr>
                <w:tcW w:w="473" w:type="pct"/>
                <w:shd w:val="clear" w:color="auto" w:fill="auto"/>
                <w:vAlign w:val="center"/>
                <w:hideMark/>
              </w:tcPr>
              <w:p w14:paraId="13CDAFE4" w14:textId="77777777" w:rsidR="00891BDE" w:rsidRPr="00891BDE" w:rsidRDefault="00891BDE" w:rsidP="00891BDE">
                <w:pPr>
                  <w:spacing w:after="0" w:line="240" w:lineRule="auto"/>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13072894</w:t>
                </w:r>
              </w:p>
            </w:tc>
            <w:tc>
              <w:tcPr>
                <w:tcW w:w="1012" w:type="pct"/>
                <w:shd w:val="clear" w:color="auto" w:fill="auto"/>
                <w:vAlign w:val="center"/>
                <w:hideMark/>
              </w:tcPr>
              <w:p w14:paraId="54E1854F" w14:textId="0273447D" w:rsidR="00891BDE" w:rsidRPr="00891BDE" w:rsidRDefault="00891BDE" w:rsidP="00891BDE">
                <w:pPr>
                  <w:spacing w:after="0" w:line="240" w:lineRule="auto"/>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 xml:space="preserve">LUIS SOLARTE </w:t>
                </w:r>
              </w:p>
            </w:tc>
            <w:tc>
              <w:tcPr>
                <w:tcW w:w="541" w:type="pct"/>
                <w:shd w:val="clear" w:color="auto" w:fill="auto"/>
                <w:vAlign w:val="center"/>
                <w:hideMark/>
              </w:tcPr>
              <w:p w14:paraId="6AC40C7A" w14:textId="77777777" w:rsidR="00891BDE" w:rsidRPr="00891BDE" w:rsidRDefault="00891BDE" w:rsidP="00891BDE">
                <w:pPr>
                  <w:spacing w:after="0" w:line="240" w:lineRule="auto"/>
                  <w:jc w:val="right"/>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16.624.840</w:t>
                </w:r>
              </w:p>
            </w:tc>
            <w:tc>
              <w:tcPr>
                <w:tcW w:w="603" w:type="pct"/>
                <w:shd w:val="clear" w:color="auto" w:fill="auto"/>
                <w:noWrap/>
                <w:vAlign w:val="center"/>
                <w:hideMark/>
              </w:tcPr>
              <w:p w14:paraId="7E1F89EB" w14:textId="77777777" w:rsidR="00891BDE" w:rsidRPr="00891BDE" w:rsidRDefault="00891BDE" w:rsidP="00891BDE">
                <w:pPr>
                  <w:spacing w:after="0" w:line="240" w:lineRule="auto"/>
                  <w:jc w:val="right"/>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16/11/2018</w:t>
                </w:r>
              </w:p>
            </w:tc>
            <w:tc>
              <w:tcPr>
                <w:tcW w:w="450" w:type="pct"/>
                <w:shd w:val="clear" w:color="auto" w:fill="auto"/>
                <w:noWrap/>
                <w:vAlign w:val="center"/>
                <w:hideMark/>
              </w:tcPr>
              <w:p w14:paraId="1AFB0844" w14:textId="77777777" w:rsidR="00891BDE" w:rsidRPr="00891BDE" w:rsidRDefault="00891BDE" w:rsidP="00891BDE">
                <w:pPr>
                  <w:spacing w:after="0" w:line="240" w:lineRule="auto"/>
                  <w:jc w:val="right"/>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7/06/2019</w:t>
                </w:r>
              </w:p>
            </w:tc>
            <w:tc>
              <w:tcPr>
                <w:tcW w:w="1383" w:type="pct"/>
                <w:shd w:val="clear" w:color="auto" w:fill="auto"/>
                <w:vAlign w:val="center"/>
                <w:hideMark/>
              </w:tcPr>
              <w:p w14:paraId="2B78D0FA" w14:textId="77777777" w:rsidR="00891BDE" w:rsidRPr="00891BDE" w:rsidRDefault="00891BDE" w:rsidP="00F16E41">
                <w:pPr>
                  <w:spacing w:after="0" w:line="240" w:lineRule="auto"/>
                  <w:jc w:val="both"/>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Debido a que el GIT de Defensa Judicial carece de competencia para liquidar, la determinación de esta fecha dependerá de lo que disponga el área financiera correspondiente.</w:t>
                </w:r>
              </w:p>
            </w:tc>
            <w:tc>
              <w:tcPr>
                <w:tcW w:w="538" w:type="pct"/>
                <w:shd w:val="clear" w:color="auto" w:fill="auto"/>
                <w:vAlign w:val="center"/>
                <w:hideMark/>
              </w:tcPr>
              <w:p w14:paraId="54F5CA1B" w14:textId="77777777" w:rsidR="00891BDE" w:rsidRPr="00891BDE" w:rsidRDefault="00891BDE" w:rsidP="00F16E41">
                <w:pPr>
                  <w:spacing w:after="0" w:line="240" w:lineRule="auto"/>
                  <w:jc w:val="center"/>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12%</w:t>
                </w:r>
              </w:p>
            </w:tc>
          </w:tr>
          <w:tr w:rsidR="00891BDE" w:rsidRPr="00891BDE" w14:paraId="4527D3F8" w14:textId="77777777" w:rsidTr="00F16E41">
            <w:trPr>
              <w:trHeight w:val="720"/>
            </w:trPr>
            <w:tc>
              <w:tcPr>
                <w:tcW w:w="473" w:type="pct"/>
                <w:shd w:val="clear" w:color="auto" w:fill="auto"/>
                <w:vAlign w:val="center"/>
                <w:hideMark/>
              </w:tcPr>
              <w:p w14:paraId="540B357A" w14:textId="77777777" w:rsidR="00891BDE" w:rsidRPr="00891BDE" w:rsidRDefault="00891BDE" w:rsidP="00891BDE">
                <w:pPr>
                  <w:spacing w:after="0" w:line="240" w:lineRule="auto"/>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17585342</w:t>
                </w:r>
              </w:p>
            </w:tc>
            <w:tc>
              <w:tcPr>
                <w:tcW w:w="1012" w:type="pct"/>
                <w:shd w:val="clear" w:color="auto" w:fill="auto"/>
                <w:vAlign w:val="center"/>
                <w:hideMark/>
              </w:tcPr>
              <w:p w14:paraId="4D0F59DE" w14:textId="77777777" w:rsidR="00891BDE" w:rsidRPr="00891BDE" w:rsidRDefault="00891BDE" w:rsidP="00891BDE">
                <w:pPr>
                  <w:spacing w:after="0" w:line="240" w:lineRule="auto"/>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EDGAR ARTURO LEON BENAVIDES</w:t>
                </w:r>
              </w:p>
            </w:tc>
            <w:tc>
              <w:tcPr>
                <w:tcW w:w="541" w:type="pct"/>
                <w:shd w:val="clear" w:color="auto" w:fill="auto"/>
                <w:vAlign w:val="center"/>
                <w:hideMark/>
              </w:tcPr>
              <w:p w14:paraId="60F77D9A" w14:textId="77777777" w:rsidR="00891BDE" w:rsidRPr="00891BDE" w:rsidRDefault="00891BDE" w:rsidP="00891BDE">
                <w:pPr>
                  <w:spacing w:after="0" w:line="240" w:lineRule="auto"/>
                  <w:jc w:val="right"/>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16.624.840</w:t>
                </w:r>
              </w:p>
            </w:tc>
            <w:tc>
              <w:tcPr>
                <w:tcW w:w="603" w:type="pct"/>
                <w:shd w:val="clear" w:color="auto" w:fill="auto"/>
                <w:noWrap/>
                <w:vAlign w:val="center"/>
                <w:hideMark/>
              </w:tcPr>
              <w:p w14:paraId="119A62A0" w14:textId="77777777" w:rsidR="00891BDE" w:rsidRPr="00891BDE" w:rsidRDefault="00891BDE" w:rsidP="00891BDE">
                <w:pPr>
                  <w:spacing w:after="0" w:line="240" w:lineRule="auto"/>
                  <w:jc w:val="right"/>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16/11/2018</w:t>
                </w:r>
              </w:p>
            </w:tc>
            <w:tc>
              <w:tcPr>
                <w:tcW w:w="450" w:type="pct"/>
                <w:shd w:val="clear" w:color="auto" w:fill="auto"/>
                <w:noWrap/>
                <w:vAlign w:val="center"/>
                <w:hideMark/>
              </w:tcPr>
              <w:p w14:paraId="6AC65A41" w14:textId="77777777" w:rsidR="00891BDE" w:rsidRPr="00891BDE" w:rsidRDefault="00891BDE" w:rsidP="00891BDE">
                <w:pPr>
                  <w:spacing w:after="0" w:line="240" w:lineRule="auto"/>
                  <w:jc w:val="right"/>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7/06/2019</w:t>
                </w:r>
              </w:p>
            </w:tc>
            <w:tc>
              <w:tcPr>
                <w:tcW w:w="1383" w:type="pct"/>
                <w:shd w:val="clear" w:color="auto" w:fill="auto"/>
                <w:vAlign w:val="center"/>
                <w:hideMark/>
              </w:tcPr>
              <w:p w14:paraId="5681706A" w14:textId="77777777" w:rsidR="00891BDE" w:rsidRPr="00891BDE" w:rsidRDefault="00891BDE" w:rsidP="00F16E41">
                <w:pPr>
                  <w:spacing w:after="0" w:line="240" w:lineRule="auto"/>
                  <w:jc w:val="both"/>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Debido a que el GIT de Defensa Judicial carece de competencia para liquidar, la determinación de esta fecha dependerá de lo que disponga el área financiera correspondiente.</w:t>
                </w:r>
              </w:p>
            </w:tc>
            <w:tc>
              <w:tcPr>
                <w:tcW w:w="538" w:type="pct"/>
                <w:shd w:val="clear" w:color="auto" w:fill="auto"/>
                <w:vAlign w:val="center"/>
                <w:hideMark/>
              </w:tcPr>
              <w:p w14:paraId="3EC275A3" w14:textId="77777777" w:rsidR="00891BDE" w:rsidRPr="00891BDE" w:rsidRDefault="00891BDE" w:rsidP="00F16E41">
                <w:pPr>
                  <w:spacing w:after="0" w:line="240" w:lineRule="auto"/>
                  <w:jc w:val="center"/>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12%</w:t>
                </w:r>
              </w:p>
            </w:tc>
          </w:tr>
          <w:tr w:rsidR="00891BDE" w:rsidRPr="00891BDE" w14:paraId="5D6C1F15" w14:textId="77777777" w:rsidTr="00F16E41">
            <w:trPr>
              <w:trHeight w:val="405"/>
            </w:trPr>
            <w:tc>
              <w:tcPr>
                <w:tcW w:w="473" w:type="pct"/>
                <w:shd w:val="clear" w:color="auto" w:fill="auto"/>
                <w:vAlign w:val="center"/>
                <w:hideMark/>
              </w:tcPr>
              <w:p w14:paraId="23FB9E32" w14:textId="77777777" w:rsidR="00891BDE" w:rsidRPr="00891BDE" w:rsidRDefault="00891BDE" w:rsidP="00891BDE">
                <w:pPr>
                  <w:spacing w:after="0" w:line="240" w:lineRule="auto"/>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18618090</w:t>
                </w:r>
              </w:p>
            </w:tc>
            <w:tc>
              <w:tcPr>
                <w:tcW w:w="1012" w:type="pct"/>
                <w:shd w:val="clear" w:color="auto" w:fill="auto"/>
                <w:vAlign w:val="center"/>
                <w:hideMark/>
              </w:tcPr>
              <w:p w14:paraId="06F0BA7C" w14:textId="0BF4D0EF" w:rsidR="00891BDE" w:rsidRPr="00891BDE" w:rsidRDefault="00891BDE" w:rsidP="00891BDE">
                <w:pPr>
                  <w:spacing w:after="0" w:line="240" w:lineRule="auto"/>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 xml:space="preserve">MAURICIO LOPEZ GALVIS </w:t>
                </w:r>
              </w:p>
            </w:tc>
            <w:tc>
              <w:tcPr>
                <w:tcW w:w="541" w:type="pct"/>
                <w:shd w:val="clear" w:color="auto" w:fill="auto"/>
                <w:vAlign w:val="center"/>
                <w:hideMark/>
              </w:tcPr>
              <w:p w14:paraId="5C2EE41D" w14:textId="77777777" w:rsidR="00891BDE" w:rsidRPr="00891BDE" w:rsidRDefault="00891BDE" w:rsidP="00891BDE">
                <w:pPr>
                  <w:spacing w:after="0" w:line="240" w:lineRule="auto"/>
                  <w:jc w:val="right"/>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207.029</w:t>
                </w:r>
              </w:p>
            </w:tc>
            <w:tc>
              <w:tcPr>
                <w:tcW w:w="603" w:type="pct"/>
                <w:shd w:val="clear" w:color="auto" w:fill="auto"/>
                <w:noWrap/>
                <w:vAlign w:val="center"/>
                <w:hideMark/>
              </w:tcPr>
              <w:p w14:paraId="0DF207CD" w14:textId="77777777" w:rsidR="00891BDE" w:rsidRPr="00891BDE" w:rsidRDefault="00891BDE" w:rsidP="00891BDE">
                <w:pPr>
                  <w:spacing w:after="0" w:line="240" w:lineRule="auto"/>
                  <w:jc w:val="right"/>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5/11/2019</w:t>
                </w:r>
              </w:p>
            </w:tc>
            <w:tc>
              <w:tcPr>
                <w:tcW w:w="450" w:type="pct"/>
                <w:shd w:val="clear" w:color="auto" w:fill="auto"/>
                <w:noWrap/>
                <w:vAlign w:val="center"/>
                <w:hideMark/>
              </w:tcPr>
              <w:p w14:paraId="19220018" w14:textId="77777777" w:rsidR="00891BDE" w:rsidRPr="00891BDE" w:rsidRDefault="00891BDE" w:rsidP="00891BDE">
                <w:pPr>
                  <w:spacing w:after="0" w:line="240" w:lineRule="auto"/>
                  <w:jc w:val="right"/>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28/11/2019</w:t>
                </w:r>
              </w:p>
            </w:tc>
            <w:tc>
              <w:tcPr>
                <w:tcW w:w="1383" w:type="pct"/>
                <w:shd w:val="clear" w:color="auto" w:fill="auto"/>
                <w:vAlign w:val="center"/>
                <w:hideMark/>
              </w:tcPr>
              <w:p w14:paraId="486A4A2C" w14:textId="77777777" w:rsidR="00891BDE" w:rsidRPr="00891BDE" w:rsidRDefault="00891BDE" w:rsidP="00F16E41">
                <w:pPr>
                  <w:spacing w:after="0" w:line="240" w:lineRule="auto"/>
                  <w:jc w:val="both"/>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Debido a que el GIT de Defensa Judicial carece de competencia para liquidar, la determinación de esta fecha dependerá de lo que disponga el área financiera correspondiente.</w:t>
                </w:r>
              </w:p>
            </w:tc>
            <w:tc>
              <w:tcPr>
                <w:tcW w:w="538" w:type="pct"/>
                <w:shd w:val="clear" w:color="auto" w:fill="auto"/>
                <w:vAlign w:val="center"/>
                <w:hideMark/>
              </w:tcPr>
              <w:p w14:paraId="30AC4F54" w14:textId="77777777" w:rsidR="00891BDE" w:rsidRPr="00891BDE" w:rsidRDefault="00891BDE" w:rsidP="00F16E41">
                <w:pPr>
                  <w:spacing w:after="0" w:line="240" w:lineRule="auto"/>
                  <w:jc w:val="center"/>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12%</w:t>
                </w:r>
              </w:p>
            </w:tc>
          </w:tr>
          <w:tr w:rsidR="00891BDE" w:rsidRPr="00891BDE" w14:paraId="4FD59E2E" w14:textId="77777777" w:rsidTr="00F16E41">
            <w:trPr>
              <w:trHeight w:val="720"/>
            </w:trPr>
            <w:tc>
              <w:tcPr>
                <w:tcW w:w="473" w:type="pct"/>
                <w:shd w:val="clear" w:color="auto" w:fill="auto"/>
                <w:vAlign w:val="center"/>
                <w:hideMark/>
              </w:tcPr>
              <w:p w14:paraId="17F1531B" w14:textId="77777777" w:rsidR="00891BDE" w:rsidRPr="00891BDE" w:rsidRDefault="00891BDE" w:rsidP="00891BDE">
                <w:pPr>
                  <w:spacing w:after="0" w:line="240" w:lineRule="auto"/>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27071192</w:t>
                </w:r>
              </w:p>
            </w:tc>
            <w:tc>
              <w:tcPr>
                <w:tcW w:w="1012" w:type="pct"/>
                <w:shd w:val="clear" w:color="auto" w:fill="auto"/>
                <w:vAlign w:val="center"/>
                <w:hideMark/>
              </w:tcPr>
              <w:p w14:paraId="200DEA8F" w14:textId="77777777" w:rsidR="00891BDE" w:rsidRPr="00891BDE" w:rsidRDefault="00891BDE" w:rsidP="00891BDE">
                <w:pPr>
                  <w:spacing w:after="0" w:line="240" w:lineRule="auto"/>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NELLY BEATRIZ DAZA SOLARTE</w:t>
                </w:r>
              </w:p>
            </w:tc>
            <w:tc>
              <w:tcPr>
                <w:tcW w:w="541" w:type="pct"/>
                <w:shd w:val="clear" w:color="auto" w:fill="auto"/>
                <w:vAlign w:val="center"/>
                <w:hideMark/>
              </w:tcPr>
              <w:p w14:paraId="50EC28D2" w14:textId="77777777" w:rsidR="00891BDE" w:rsidRPr="00891BDE" w:rsidRDefault="00891BDE" w:rsidP="00891BDE">
                <w:pPr>
                  <w:spacing w:after="0" w:line="240" w:lineRule="auto"/>
                  <w:jc w:val="right"/>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16.624.840</w:t>
                </w:r>
              </w:p>
            </w:tc>
            <w:tc>
              <w:tcPr>
                <w:tcW w:w="603" w:type="pct"/>
                <w:shd w:val="clear" w:color="auto" w:fill="auto"/>
                <w:noWrap/>
                <w:vAlign w:val="center"/>
                <w:hideMark/>
              </w:tcPr>
              <w:p w14:paraId="0EE6D4F6" w14:textId="77777777" w:rsidR="00891BDE" w:rsidRPr="00891BDE" w:rsidRDefault="00891BDE" w:rsidP="00891BDE">
                <w:pPr>
                  <w:spacing w:after="0" w:line="240" w:lineRule="auto"/>
                  <w:jc w:val="right"/>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16/11/2018</w:t>
                </w:r>
              </w:p>
            </w:tc>
            <w:tc>
              <w:tcPr>
                <w:tcW w:w="450" w:type="pct"/>
                <w:shd w:val="clear" w:color="auto" w:fill="auto"/>
                <w:noWrap/>
                <w:vAlign w:val="center"/>
                <w:hideMark/>
              </w:tcPr>
              <w:p w14:paraId="48849E95" w14:textId="77777777" w:rsidR="00891BDE" w:rsidRPr="00891BDE" w:rsidRDefault="00891BDE" w:rsidP="00891BDE">
                <w:pPr>
                  <w:spacing w:after="0" w:line="240" w:lineRule="auto"/>
                  <w:jc w:val="right"/>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7/06/2019</w:t>
                </w:r>
              </w:p>
            </w:tc>
            <w:tc>
              <w:tcPr>
                <w:tcW w:w="1383" w:type="pct"/>
                <w:shd w:val="clear" w:color="auto" w:fill="auto"/>
                <w:vAlign w:val="center"/>
                <w:hideMark/>
              </w:tcPr>
              <w:p w14:paraId="22C4A355" w14:textId="77777777" w:rsidR="00891BDE" w:rsidRPr="00891BDE" w:rsidRDefault="00891BDE" w:rsidP="00891BDE">
                <w:pPr>
                  <w:spacing w:after="0" w:line="240" w:lineRule="auto"/>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Debido a que el GIT de Defensa Judicial carece de competencia para liquidar, la determinación de esta fecha dependerá de lo que disponga el área financiera correspondiente.</w:t>
                </w:r>
              </w:p>
            </w:tc>
            <w:tc>
              <w:tcPr>
                <w:tcW w:w="538" w:type="pct"/>
                <w:shd w:val="clear" w:color="auto" w:fill="auto"/>
                <w:vAlign w:val="center"/>
                <w:hideMark/>
              </w:tcPr>
              <w:p w14:paraId="6CBAA840" w14:textId="77777777" w:rsidR="00891BDE" w:rsidRPr="00891BDE" w:rsidRDefault="00891BDE" w:rsidP="00F16E41">
                <w:pPr>
                  <w:spacing w:after="0" w:line="240" w:lineRule="auto"/>
                  <w:jc w:val="center"/>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12%</w:t>
                </w:r>
              </w:p>
            </w:tc>
          </w:tr>
          <w:tr w:rsidR="00891BDE" w:rsidRPr="00891BDE" w14:paraId="553603A9" w14:textId="77777777" w:rsidTr="00F16E41">
            <w:trPr>
              <w:trHeight w:val="720"/>
            </w:trPr>
            <w:tc>
              <w:tcPr>
                <w:tcW w:w="473" w:type="pct"/>
                <w:shd w:val="clear" w:color="auto" w:fill="auto"/>
                <w:vAlign w:val="center"/>
                <w:hideMark/>
              </w:tcPr>
              <w:p w14:paraId="51221929" w14:textId="77777777" w:rsidR="00891BDE" w:rsidRPr="00891BDE" w:rsidRDefault="00891BDE" w:rsidP="00891BDE">
                <w:pPr>
                  <w:spacing w:after="0" w:line="240" w:lineRule="auto"/>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43755767</w:t>
                </w:r>
              </w:p>
            </w:tc>
            <w:tc>
              <w:tcPr>
                <w:tcW w:w="1012" w:type="pct"/>
                <w:shd w:val="clear" w:color="auto" w:fill="auto"/>
                <w:vAlign w:val="center"/>
                <w:hideMark/>
              </w:tcPr>
              <w:p w14:paraId="242C1A8E" w14:textId="77777777" w:rsidR="00891BDE" w:rsidRPr="00891BDE" w:rsidRDefault="00891BDE" w:rsidP="00891BDE">
                <w:pPr>
                  <w:spacing w:after="0" w:line="240" w:lineRule="auto"/>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 xml:space="preserve">PAULA ANDREA LOPEZ ORTIZ </w:t>
                </w:r>
              </w:p>
            </w:tc>
            <w:tc>
              <w:tcPr>
                <w:tcW w:w="541" w:type="pct"/>
                <w:shd w:val="clear" w:color="auto" w:fill="auto"/>
                <w:vAlign w:val="center"/>
                <w:hideMark/>
              </w:tcPr>
              <w:p w14:paraId="4B037933" w14:textId="77777777" w:rsidR="00891BDE" w:rsidRPr="00891BDE" w:rsidRDefault="00891BDE" w:rsidP="00891BDE">
                <w:pPr>
                  <w:spacing w:after="0" w:line="240" w:lineRule="auto"/>
                  <w:jc w:val="right"/>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1.166.630</w:t>
                </w:r>
              </w:p>
            </w:tc>
            <w:tc>
              <w:tcPr>
                <w:tcW w:w="603" w:type="pct"/>
                <w:shd w:val="clear" w:color="auto" w:fill="auto"/>
                <w:noWrap/>
                <w:vAlign w:val="center"/>
                <w:hideMark/>
              </w:tcPr>
              <w:p w14:paraId="5F4D7B88" w14:textId="77777777" w:rsidR="00891BDE" w:rsidRPr="00891BDE" w:rsidRDefault="00891BDE" w:rsidP="00891BDE">
                <w:pPr>
                  <w:spacing w:after="0" w:line="240" w:lineRule="auto"/>
                  <w:jc w:val="right"/>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2/05/2019</w:t>
                </w:r>
              </w:p>
            </w:tc>
            <w:tc>
              <w:tcPr>
                <w:tcW w:w="450" w:type="pct"/>
                <w:shd w:val="clear" w:color="auto" w:fill="auto"/>
                <w:noWrap/>
                <w:vAlign w:val="center"/>
                <w:hideMark/>
              </w:tcPr>
              <w:p w14:paraId="3A8900B9" w14:textId="77777777" w:rsidR="00891BDE" w:rsidRPr="00891BDE" w:rsidRDefault="00891BDE" w:rsidP="00891BDE">
                <w:pPr>
                  <w:spacing w:after="0" w:line="240" w:lineRule="auto"/>
                  <w:jc w:val="right"/>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13/05/2021</w:t>
                </w:r>
              </w:p>
            </w:tc>
            <w:tc>
              <w:tcPr>
                <w:tcW w:w="1383" w:type="pct"/>
                <w:shd w:val="clear" w:color="auto" w:fill="auto"/>
                <w:vAlign w:val="center"/>
                <w:hideMark/>
              </w:tcPr>
              <w:p w14:paraId="34ED9DC3" w14:textId="77777777" w:rsidR="00891BDE" w:rsidRPr="00891BDE" w:rsidRDefault="00891BDE" w:rsidP="00891BDE">
                <w:pPr>
                  <w:spacing w:after="0" w:line="240" w:lineRule="auto"/>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Debido a que el GIT de Defensa Judicial carece de competencia para liquidar, la determinación de esta fecha dependerá de lo que disponga el área financiera correspondiente.</w:t>
                </w:r>
              </w:p>
            </w:tc>
            <w:tc>
              <w:tcPr>
                <w:tcW w:w="538" w:type="pct"/>
                <w:shd w:val="clear" w:color="auto" w:fill="auto"/>
                <w:vAlign w:val="center"/>
                <w:hideMark/>
              </w:tcPr>
              <w:p w14:paraId="1ACA128A" w14:textId="77777777" w:rsidR="00891BDE" w:rsidRPr="00891BDE" w:rsidRDefault="00891BDE" w:rsidP="00F16E41">
                <w:pPr>
                  <w:spacing w:after="0" w:line="240" w:lineRule="auto"/>
                  <w:jc w:val="center"/>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12%</w:t>
                </w:r>
              </w:p>
            </w:tc>
          </w:tr>
          <w:tr w:rsidR="00891BDE" w:rsidRPr="00891BDE" w14:paraId="5D77B6A3" w14:textId="77777777" w:rsidTr="00F16E41">
            <w:trPr>
              <w:trHeight w:val="720"/>
            </w:trPr>
            <w:tc>
              <w:tcPr>
                <w:tcW w:w="473" w:type="pct"/>
                <w:shd w:val="clear" w:color="auto" w:fill="auto"/>
                <w:vAlign w:val="center"/>
                <w:hideMark/>
              </w:tcPr>
              <w:p w14:paraId="143747D5" w14:textId="77777777" w:rsidR="00891BDE" w:rsidRPr="00891BDE" w:rsidRDefault="00891BDE" w:rsidP="00891BDE">
                <w:pPr>
                  <w:spacing w:after="0" w:line="240" w:lineRule="auto"/>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56067765</w:t>
                </w:r>
              </w:p>
            </w:tc>
            <w:tc>
              <w:tcPr>
                <w:tcW w:w="1012" w:type="pct"/>
                <w:shd w:val="clear" w:color="auto" w:fill="auto"/>
                <w:vAlign w:val="center"/>
                <w:hideMark/>
              </w:tcPr>
              <w:p w14:paraId="27CB7D43" w14:textId="77777777" w:rsidR="00891BDE" w:rsidRPr="00891BDE" w:rsidRDefault="00891BDE" w:rsidP="00891BDE">
                <w:pPr>
                  <w:spacing w:after="0" w:line="240" w:lineRule="auto"/>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 xml:space="preserve">NELVIS BEATRIZ AMAYA ROBLES </w:t>
                </w:r>
              </w:p>
            </w:tc>
            <w:tc>
              <w:tcPr>
                <w:tcW w:w="541" w:type="pct"/>
                <w:shd w:val="clear" w:color="auto" w:fill="auto"/>
                <w:vAlign w:val="center"/>
                <w:hideMark/>
              </w:tcPr>
              <w:p w14:paraId="449146BC" w14:textId="77777777" w:rsidR="00891BDE" w:rsidRPr="00891BDE" w:rsidRDefault="00891BDE" w:rsidP="00891BDE">
                <w:pPr>
                  <w:spacing w:after="0" w:line="240" w:lineRule="auto"/>
                  <w:jc w:val="right"/>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908.526</w:t>
                </w:r>
              </w:p>
            </w:tc>
            <w:tc>
              <w:tcPr>
                <w:tcW w:w="603" w:type="pct"/>
                <w:shd w:val="clear" w:color="auto" w:fill="auto"/>
                <w:noWrap/>
                <w:vAlign w:val="center"/>
                <w:hideMark/>
              </w:tcPr>
              <w:p w14:paraId="14537A82" w14:textId="77777777" w:rsidR="00891BDE" w:rsidRPr="00891BDE" w:rsidRDefault="00891BDE" w:rsidP="00891BDE">
                <w:pPr>
                  <w:spacing w:after="0" w:line="240" w:lineRule="auto"/>
                  <w:jc w:val="right"/>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22/04/2021</w:t>
                </w:r>
              </w:p>
            </w:tc>
            <w:tc>
              <w:tcPr>
                <w:tcW w:w="450" w:type="pct"/>
                <w:shd w:val="clear" w:color="auto" w:fill="auto"/>
                <w:noWrap/>
                <w:vAlign w:val="center"/>
                <w:hideMark/>
              </w:tcPr>
              <w:p w14:paraId="618F8964" w14:textId="77777777" w:rsidR="00891BDE" w:rsidRPr="00891BDE" w:rsidRDefault="00891BDE" w:rsidP="00891BDE">
                <w:pPr>
                  <w:spacing w:after="0" w:line="240" w:lineRule="auto"/>
                  <w:jc w:val="right"/>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25/06/2021</w:t>
                </w:r>
              </w:p>
            </w:tc>
            <w:tc>
              <w:tcPr>
                <w:tcW w:w="1383" w:type="pct"/>
                <w:shd w:val="clear" w:color="auto" w:fill="auto"/>
                <w:vAlign w:val="center"/>
                <w:hideMark/>
              </w:tcPr>
              <w:p w14:paraId="5A96BC0F" w14:textId="77777777" w:rsidR="00891BDE" w:rsidRPr="00891BDE" w:rsidRDefault="00891BDE" w:rsidP="00891BDE">
                <w:pPr>
                  <w:spacing w:after="0" w:line="240" w:lineRule="auto"/>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Debido a que el GIT de Defensa Judicial carece de competencia para liquidar, la determinación de esta fecha dependerá de lo que disponga el área financiera correspondiente.</w:t>
                </w:r>
              </w:p>
            </w:tc>
            <w:tc>
              <w:tcPr>
                <w:tcW w:w="538" w:type="pct"/>
                <w:shd w:val="clear" w:color="auto" w:fill="auto"/>
                <w:vAlign w:val="center"/>
                <w:hideMark/>
              </w:tcPr>
              <w:p w14:paraId="63B97984" w14:textId="77777777" w:rsidR="00891BDE" w:rsidRPr="00891BDE" w:rsidRDefault="00891BDE" w:rsidP="00F16E41">
                <w:pPr>
                  <w:spacing w:after="0" w:line="240" w:lineRule="auto"/>
                  <w:jc w:val="center"/>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12%</w:t>
                </w:r>
              </w:p>
            </w:tc>
          </w:tr>
          <w:tr w:rsidR="00891BDE" w:rsidRPr="00891BDE" w14:paraId="114E21EA" w14:textId="77777777" w:rsidTr="00F16E41">
            <w:trPr>
              <w:trHeight w:val="720"/>
            </w:trPr>
            <w:tc>
              <w:tcPr>
                <w:tcW w:w="473" w:type="pct"/>
                <w:shd w:val="clear" w:color="auto" w:fill="auto"/>
                <w:vAlign w:val="center"/>
                <w:hideMark/>
              </w:tcPr>
              <w:p w14:paraId="54A66474" w14:textId="77777777" w:rsidR="00891BDE" w:rsidRPr="00891BDE" w:rsidRDefault="00891BDE" w:rsidP="00891BDE">
                <w:pPr>
                  <w:spacing w:after="0" w:line="240" w:lineRule="auto"/>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7555742</w:t>
                </w:r>
              </w:p>
            </w:tc>
            <w:tc>
              <w:tcPr>
                <w:tcW w:w="1012" w:type="pct"/>
                <w:shd w:val="clear" w:color="auto" w:fill="auto"/>
                <w:vAlign w:val="center"/>
                <w:hideMark/>
              </w:tcPr>
              <w:p w14:paraId="0E689CCC" w14:textId="77777777" w:rsidR="00891BDE" w:rsidRPr="00891BDE" w:rsidRDefault="00891BDE" w:rsidP="00891BDE">
                <w:pPr>
                  <w:spacing w:after="0" w:line="240" w:lineRule="auto"/>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 xml:space="preserve">JAIRO MAURICIO MERCHAN ACOSTA </w:t>
                </w:r>
              </w:p>
            </w:tc>
            <w:tc>
              <w:tcPr>
                <w:tcW w:w="541" w:type="pct"/>
                <w:shd w:val="clear" w:color="auto" w:fill="auto"/>
                <w:vAlign w:val="center"/>
                <w:hideMark/>
              </w:tcPr>
              <w:p w14:paraId="5E53EBBD" w14:textId="77777777" w:rsidR="00891BDE" w:rsidRPr="00891BDE" w:rsidRDefault="00891BDE" w:rsidP="00891BDE">
                <w:pPr>
                  <w:spacing w:after="0" w:line="240" w:lineRule="auto"/>
                  <w:jc w:val="right"/>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826.116</w:t>
                </w:r>
              </w:p>
            </w:tc>
            <w:tc>
              <w:tcPr>
                <w:tcW w:w="603" w:type="pct"/>
                <w:shd w:val="clear" w:color="auto" w:fill="auto"/>
                <w:noWrap/>
                <w:vAlign w:val="center"/>
                <w:hideMark/>
              </w:tcPr>
              <w:p w14:paraId="5487A340" w14:textId="77777777" w:rsidR="00891BDE" w:rsidRPr="00891BDE" w:rsidRDefault="00891BDE" w:rsidP="00891BDE">
                <w:pPr>
                  <w:spacing w:after="0" w:line="240" w:lineRule="auto"/>
                  <w:jc w:val="right"/>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1/09/2020</w:t>
                </w:r>
              </w:p>
            </w:tc>
            <w:tc>
              <w:tcPr>
                <w:tcW w:w="450" w:type="pct"/>
                <w:shd w:val="clear" w:color="auto" w:fill="auto"/>
                <w:noWrap/>
                <w:vAlign w:val="center"/>
                <w:hideMark/>
              </w:tcPr>
              <w:p w14:paraId="728EB62C" w14:textId="77777777" w:rsidR="00891BDE" w:rsidRPr="00891BDE" w:rsidRDefault="00891BDE" w:rsidP="00891BDE">
                <w:pPr>
                  <w:spacing w:after="0" w:line="240" w:lineRule="auto"/>
                  <w:jc w:val="right"/>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3/12/2020</w:t>
                </w:r>
              </w:p>
            </w:tc>
            <w:tc>
              <w:tcPr>
                <w:tcW w:w="1383" w:type="pct"/>
                <w:shd w:val="clear" w:color="auto" w:fill="auto"/>
                <w:vAlign w:val="center"/>
                <w:hideMark/>
              </w:tcPr>
              <w:p w14:paraId="67EFB3B6" w14:textId="77777777" w:rsidR="00891BDE" w:rsidRPr="00891BDE" w:rsidRDefault="00891BDE" w:rsidP="00891BDE">
                <w:pPr>
                  <w:spacing w:after="0" w:line="240" w:lineRule="auto"/>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Debido a que el GIT de Defensa Judicial carece de competencia para liquidar, la determinación de esta fecha dependerá de lo que disponga el área financiera correspondiente.</w:t>
                </w:r>
              </w:p>
            </w:tc>
            <w:tc>
              <w:tcPr>
                <w:tcW w:w="538" w:type="pct"/>
                <w:shd w:val="clear" w:color="auto" w:fill="auto"/>
                <w:vAlign w:val="center"/>
                <w:hideMark/>
              </w:tcPr>
              <w:p w14:paraId="71CE4586" w14:textId="77777777" w:rsidR="00891BDE" w:rsidRPr="00891BDE" w:rsidRDefault="00891BDE" w:rsidP="00F16E41">
                <w:pPr>
                  <w:spacing w:after="0" w:line="240" w:lineRule="auto"/>
                  <w:jc w:val="center"/>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12%</w:t>
                </w:r>
              </w:p>
            </w:tc>
          </w:tr>
          <w:tr w:rsidR="00891BDE" w:rsidRPr="00891BDE" w14:paraId="6C0A6B4C" w14:textId="77777777" w:rsidTr="00F16E41">
            <w:trPr>
              <w:trHeight w:val="720"/>
            </w:trPr>
            <w:tc>
              <w:tcPr>
                <w:tcW w:w="473" w:type="pct"/>
                <w:shd w:val="clear" w:color="auto" w:fill="auto"/>
                <w:vAlign w:val="center"/>
                <w:hideMark/>
              </w:tcPr>
              <w:p w14:paraId="7D77C7C6" w14:textId="77777777" w:rsidR="00891BDE" w:rsidRPr="00891BDE" w:rsidRDefault="00891BDE" w:rsidP="00891BDE">
                <w:pPr>
                  <w:spacing w:after="0" w:line="240" w:lineRule="auto"/>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79541706</w:t>
                </w:r>
              </w:p>
            </w:tc>
            <w:tc>
              <w:tcPr>
                <w:tcW w:w="1012" w:type="pct"/>
                <w:shd w:val="clear" w:color="auto" w:fill="auto"/>
                <w:vAlign w:val="center"/>
                <w:hideMark/>
              </w:tcPr>
              <w:p w14:paraId="7737F8DA" w14:textId="77777777" w:rsidR="00891BDE" w:rsidRPr="00891BDE" w:rsidRDefault="00891BDE" w:rsidP="00891BDE">
                <w:pPr>
                  <w:spacing w:after="0" w:line="240" w:lineRule="auto"/>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 xml:space="preserve">PEDRO HERNAN CRUZ SUAREZ </w:t>
                </w:r>
              </w:p>
            </w:tc>
            <w:tc>
              <w:tcPr>
                <w:tcW w:w="541" w:type="pct"/>
                <w:shd w:val="clear" w:color="auto" w:fill="auto"/>
                <w:vAlign w:val="center"/>
                <w:hideMark/>
              </w:tcPr>
              <w:p w14:paraId="3952C233" w14:textId="77777777" w:rsidR="00891BDE" w:rsidRPr="00891BDE" w:rsidRDefault="00891BDE" w:rsidP="00891BDE">
                <w:pPr>
                  <w:spacing w:after="0" w:line="240" w:lineRule="auto"/>
                  <w:jc w:val="right"/>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643.335</w:t>
                </w:r>
              </w:p>
            </w:tc>
            <w:tc>
              <w:tcPr>
                <w:tcW w:w="603" w:type="pct"/>
                <w:shd w:val="clear" w:color="auto" w:fill="auto"/>
                <w:noWrap/>
                <w:vAlign w:val="center"/>
                <w:hideMark/>
              </w:tcPr>
              <w:p w14:paraId="36F0F3DF" w14:textId="77777777" w:rsidR="00891BDE" w:rsidRPr="00891BDE" w:rsidRDefault="00891BDE" w:rsidP="00891BDE">
                <w:pPr>
                  <w:spacing w:after="0" w:line="240" w:lineRule="auto"/>
                  <w:jc w:val="right"/>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31/07/2019</w:t>
                </w:r>
              </w:p>
            </w:tc>
            <w:tc>
              <w:tcPr>
                <w:tcW w:w="450" w:type="pct"/>
                <w:shd w:val="clear" w:color="auto" w:fill="auto"/>
                <w:noWrap/>
                <w:vAlign w:val="center"/>
                <w:hideMark/>
              </w:tcPr>
              <w:p w14:paraId="54C88794" w14:textId="77777777" w:rsidR="00891BDE" w:rsidRPr="00891BDE" w:rsidRDefault="00891BDE" w:rsidP="00891BDE">
                <w:pPr>
                  <w:spacing w:after="0" w:line="240" w:lineRule="auto"/>
                  <w:jc w:val="right"/>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21/09/2020</w:t>
                </w:r>
              </w:p>
            </w:tc>
            <w:tc>
              <w:tcPr>
                <w:tcW w:w="1383" w:type="pct"/>
                <w:shd w:val="clear" w:color="auto" w:fill="auto"/>
                <w:vAlign w:val="center"/>
                <w:hideMark/>
              </w:tcPr>
              <w:p w14:paraId="2C06233E" w14:textId="77777777" w:rsidR="00891BDE" w:rsidRPr="00891BDE" w:rsidRDefault="00891BDE" w:rsidP="00891BDE">
                <w:pPr>
                  <w:spacing w:after="0" w:line="240" w:lineRule="auto"/>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Debido a que el GIT de Defensa Judicial carece de competencia para liquidar, la determinación de esta fecha dependerá de lo que disponga el área financiera correspondiente.</w:t>
                </w:r>
              </w:p>
            </w:tc>
            <w:tc>
              <w:tcPr>
                <w:tcW w:w="538" w:type="pct"/>
                <w:shd w:val="clear" w:color="auto" w:fill="auto"/>
                <w:vAlign w:val="center"/>
                <w:hideMark/>
              </w:tcPr>
              <w:p w14:paraId="0282B946" w14:textId="77777777" w:rsidR="00891BDE" w:rsidRPr="00891BDE" w:rsidRDefault="00891BDE" w:rsidP="00F16E41">
                <w:pPr>
                  <w:spacing w:after="0" w:line="240" w:lineRule="auto"/>
                  <w:jc w:val="center"/>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12%</w:t>
                </w:r>
              </w:p>
            </w:tc>
          </w:tr>
          <w:tr w:rsidR="00891BDE" w:rsidRPr="00891BDE" w14:paraId="77DD4020" w14:textId="77777777" w:rsidTr="00F16E41">
            <w:trPr>
              <w:trHeight w:val="720"/>
            </w:trPr>
            <w:tc>
              <w:tcPr>
                <w:tcW w:w="473" w:type="pct"/>
                <w:shd w:val="clear" w:color="auto" w:fill="auto"/>
                <w:vAlign w:val="center"/>
                <w:hideMark/>
              </w:tcPr>
              <w:p w14:paraId="66C33DA4" w14:textId="77777777" w:rsidR="00891BDE" w:rsidRPr="00891BDE" w:rsidRDefault="00891BDE" w:rsidP="00891BDE">
                <w:pPr>
                  <w:spacing w:after="0" w:line="240" w:lineRule="auto"/>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86054345</w:t>
                </w:r>
              </w:p>
            </w:tc>
            <w:tc>
              <w:tcPr>
                <w:tcW w:w="1012" w:type="pct"/>
                <w:shd w:val="clear" w:color="auto" w:fill="auto"/>
                <w:vAlign w:val="center"/>
                <w:hideMark/>
              </w:tcPr>
              <w:p w14:paraId="6B20B73C" w14:textId="77777777" w:rsidR="00891BDE" w:rsidRPr="00891BDE" w:rsidRDefault="00891BDE" w:rsidP="00891BDE">
                <w:pPr>
                  <w:spacing w:after="0" w:line="240" w:lineRule="auto"/>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 xml:space="preserve">DUMAR ALEXANDER NEIRA AYA </w:t>
                </w:r>
              </w:p>
            </w:tc>
            <w:tc>
              <w:tcPr>
                <w:tcW w:w="541" w:type="pct"/>
                <w:shd w:val="clear" w:color="auto" w:fill="auto"/>
                <w:vAlign w:val="center"/>
                <w:hideMark/>
              </w:tcPr>
              <w:p w14:paraId="61225FE6" w14:textId="77777777" w:rsidR="00891BDE" w:rsidRPr="00891BDE" w:rsidRDefault="00891BDE" w:rsidP="00891BDE">
                <w:pPr>
                  <w:spacing w:after="0" w:line="240" w:lineRule="auto"/>
                  <w:jc w:val="right"/>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828.116</w:t>
                </w:r>
              </w:p>
            </w:tc>
            <w:tc>
              <w:tcPr>
                <w:tcW w:w="603" w:type="pct"/>
                <w:shd w:val="clear" w:color="auto" w:fill="auto"/>
                <w:noWrap/>
                <w:vAlign w:val="center"/>
                <w:hideMark/>
              </w:tcPr>
              <w:p w14:paraId="7EC5D1FE" w14:textId="77777777" w:rsidR="00891BDE" w:rsidRPr="00891BDE" w:rsidRDefault="00891BDE" w:rsidP="00891BDE">
                <w:pPr>
                  <w:spacing w:after="0" w:line="240" w:lineRule="auto"/>
                  <w:jc w:val="right"/>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8/04/2019</w:t>
                </w:r>
              </w:p>
            </w:tc>
            <w:tc>
              <w:tcPr>
                <w:tcW w:w="450" w:type="pct"/>
                <w:shd w:val="clear" w:color="auto" w:fill="auto"/>
                <w:noWrap/>
                <w:vAlign w:val="center"/>
                <w:hideMark/>
              </w:tcPr>
              <w:p w14:paraId="0615FC81" w14:textId="77777777" w:rsidR="00891BDE" w:rsidRPr="00891BDE" w:rsidRDefault="00891BDE" w:rsidP="00891BDE">
                <w:pPr>
                  <w:spacing w:after="0" w:line="240" w:lineRule="auto"/>
                  <w:jc w:val="right"/>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11/07/2019</w:t>
                </w:r>
              </w:p>
            </w:tc>
            <w:tc>
              <w:tcPr>
                <w:tcW w:w="1383" w:type="pct"/>
                <w:shd w:val="clear" w:color="auto" w:fill="auto"/>
                <w:vAlign w:val="center"/>
                <w:hideMark/>
              </w:tcPr>
              <w:p w14:paraId="1484A4D4" w14:textId="77777777" w:rsidR="00891BDE" w:rsidRPr="00891BDE" w:rsidRDefault="00891BDE" w:rsidP="00891BDE">
                <w:pPr>
                  <w:spacing w:after="0" w:line="240" w:lineRule="auto"/>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Debido a que el GIT de Defensa Judicial carece de competencia para liquidar, la determinación de esta fecha dependerá de lo que disponga el área financiera correspondiente.</w:t>
                </w:r>
              </w:p>
            </w:tc>
            <w:tc>
              <w:tcPr>
                <w:tcW w:w="538" w:type="pct"/>
                <w:shd w:val="clear" w:color="auto" w:fill="auto"/>
                <w:vAlign w:val="center"/>
                <w:hideMark/>
              </w:tcPr>
              <w:p w14:paraId="3FB402D3" w14:textId="77777777" w:rsidR="00891BDE" w:rsidRPr="00891BDE" w:rsidRDefault="00891BDE" w:rsidP="00F16E41">
                <w:pPr>
                  <w:spacing w:after="0" w:line="240" w:lineRule="auto"/>
                  <w:jc w:val="center"/>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12%</w:t>
                </w:r>
              </w:p>
            </w:tc>
          </w:tr>
          <w:tr w:rsidR="00891BDE" w:rsidRPr="00891BDE" w14:paraId="5D0177C7" w14:textId="77777777" w:rsidTr="00F16E41">
            <w:trPr>
              <w:trHeight w:val="720"/>
            </w:trPr>
            <w:tc>
              <w:tcPr>
                <w:tcW w:w="473" w:type="pct"/>
                <w:shd w:val="clear" w:color="auto" w:fill="auto"/>
                <w:vAlign w:val="center"/>
                <w:hideMark/>
              </w:tcPr>
              <w:p w14:paraId="7DF205E8" w14:textId="77777777" w:rsidR="00891BDE" w:rsidRPr="00891BDE" w:rsidRDefault="00891BDE" w:rsidP="00891BDE">
                <w:pPr>
                  <w:spacing w:after="0" w:line="240" w:lineRule="auto"/>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87246159</w:t>
                </w:r>
              </w:p>
            </w:tc>
            <w:tc>
              <w:tcPr>
                <w:tcW w:w="1012" w:type="pct"/>
                <w:shd w:val="clear" w:color="auto" w:fill="auto"/>
                <w:vAlign w:val="center"/>
                <w:hideMark/>
              </w:tcPr>
              <w:p w14:paraId="48D97FE7" w14:textId="77777777" w:rsidR="00891BDE" w:rsidRPr="00891BDE" w:rsidRDefault="00891BDE" w:rsidP="00891BDE">
                <w:pPr>
                  <w:spacing w:after="0" w:line="240" w:lineRule="auto"/>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 xml:space="preserve">DIEGO MARIA LOPEZ GOMEZ </w:t>
                </w:r>
              </w:p>
            </w:tc>
            <w:tc>
              <w:tcPr>
                <w:tcW w:w="541" w:type="pct"/>
                <w:shd w:val="clear" w:color="auto" w:fill="auto"/>
                <w:vAlign w:val="center"/>
                <w:hideMark/>
              </w:tcPr>
              <w:p w14:paraId="5B0CAD0A" w14:textId="77777777" w:rsidR="00891BDE" w:rsidRPr="00891BDE" w:rsidRDefault="00891BDE" w:rsidP="00891BDE">
                <w:pPr>
                  <w:spacing w:after="0" w:line="240" w:lineRule="auto"/>
                  <w:jc w:val="right"/>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8.027.737</w:t>
                </w:r>
              </w:p>
            </w:tc>
            <w:tc>
              <w:tcPr>
                <w:tcW w:w="603" w:type="pct"/>
                <w:shd w:val="clear" w:color="auto" w:fill="auto"/>
                <w:noWrap/>
                <w:vAlign w:val="center"/>
                <w:hideMark/>
              </w:tcPr>
              <w:p w14:paraId="10573699" w14:textId="77777777" w:rsidR="00891BDE" w:rsidRPr="00891BDE" w:rsidRDefault="00891BDE" w:rsidP="00891BDE">
                <w:pPr>
                  <w:spacing w:after="0" w:line="240" w:lineRule="auto"/>
                  <w:jc w:val="right"/>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9/06/2021</w:t>
                </w:r>
              </w:p>
            </w:tc>
            <w:tc>
              <w:tcPr>
                <w:tcW w:w="450" w:type="pct"/>
                <w:shd w:val="clear" w:color="auto" w:fill="auto"/>
                <w:noWrap/>
                <w:vAlign w:val="center"/>
                <w:hideMark/>
              </w:tcPr>
              <w:p w14:paraId="7CD63683" w14:textId="77777777" w:rsidR="00891BDE" w:rsidRPr="00891BDE" w:rsidRDefault="00891BDE" w:rsidP="00891BDE">
                <w:pPr>
                  <w:spacing w:after="0" w:line="240" w:lineRule="auto"/>
                  <w:jc w:val="right"/>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25/06/2021</w:t>
                </w:r>
              </w:p>
            </w:tc>
            <w:tc>
              <w:tcPr>
                <w:tcW w:w="1383" w:type="pct"/>
                <w:shd w:val="clear" w:color="auto" w:fill="auto"/>
                <w:vAlign w:val="center"/>
                <w:hideMark/>
              </w:tcPr>
              <w:p w14:paraId="40F642DD" w14:textId="77777777" w:rsidR="00891BDE" w:rsidRPr="00891BDE" w:rsidRDefault="00891BDE" w:rsidP="00891BDE">
                <w:pPr>
                  <w:spacing w:after="0" w:line="240" w:lineRule="auto"/>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Debido a que el GIT de Defensa Judicial carece de competencia para liquidar, la determinación de esta fecha dependerá de lo que disponga el área financiera correspondiente.</w:t>
                </w:r>
              </w:p>
            </w:tc>
            <w:tc>
              <w:tcPr>
                <w:tcW w:w="538" w:type="pct"/>
                <w:shd w:val="clear" w:color="auto" w:fill="auto"/>
                <w:vAlign w:val="center"/>
                <w:hideMark/>
              </w:tcPr>
              <w:p w14:paraId="426FFB1E" w14:textId="77777777" w:rsidR="00891BDE" w:rsidRPr="00891BDE" w:rsidRDefault="00891BDE" w:rsidP="00F16E41">
                <w:pPr>
                  <w:spacing w:after="0" w:line="240" w:lineRule="auto"/>
                  <w:jc w:val="center"/>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12%</w:t>
                </w:r>
              </w:p>
            </w:tc>
          </w:tr>
          <w:tr w:rsidR="00891BDE" w:rsidRPr="00891BDE" w14:paraId="04F2675B" w14:textId="77777777" w:rsidTr="00F16E41">
            <w:trPr>
              <w:trHeight w:val="720"/>
            </w:trPr>
            <w:tc>
              <w:tcPr>
                <w:tcW w:w="473" w:type="pct"/>
                <w:shd w:val="clear" w:color="auto" w:fill="auto"/>
                <w:vAlign w:val="center"/>
                <w:hideMark/>
              </w:tcPr>
              <w:p w14:paraId="1C5CEAE2" w14:textId="77777777" w:rsidR="00891BDE" w:rsidRPr="00891BDE" w:rsidRDefault="00891BDE" w:rsidP="00891BDE">
                <w:pPr>
                  <w:spacing w:after="0" w:line="240" w:lineRule="auto"/>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900135168</w:t>
                </w:r>
              </w:p>
            </w:tc>
            <w:tc>
              <w:tcPr>
                <w:tcW w:w="1012" w:type="pct"/>
                <w:shd w:val="clear" w:color="auto" w:fill="auto"/>
                <w:vAlign w:val="center"/>
                <w:hideMark/>
              </w:tcPr>
              <w:p w14:paraId="33AB8E8F" w14:textId="77777777" w:rsidR="00891BDE" w:rsidRPr="00891BDE" w:rsidRDefault="00891BDE" w:rsidP="00891BDE">
                <w:pPr>
                  <w:spacing w:after="0" w:line="240" w:lineRule="auto"/>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AUTOPISTAS DE LA SABANA S.A.S</w:t>
                </w:r>
              </w:p>
            </w:tc>
            <w:tc>
              <w:tcPr>
                <w:tcW w:w="541" w:type="pct"/>
                <w:shd w:val="clear" w:color="auto" w:fill="auto"/>
                <w:vAlign w:val="center"/>
                <w:hideMark/>
              </w:tcPr>
              <w:p w14:paraId="5788CF1A" w14:textId="77777777" w:rsidR="00891BDE" w:rsidRPr="00891BDE" w:rsidRDefault="00891BDE" w:rsidP="00891BDE">
                <w:pPr>
                  <w:spacing w:after="0" w:line="240" w:lineRule="auto"/>
                  <w:jc w:val="right"/>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9.085.260</w:t>
                </w:r>
              </w:p>
            </w:tc>
            <w:tc>
              <w:tcPr>
                <w:tcW w:w="603" w:type="pct"/>
                <w:shd w:val="clear" w:color="auto" w:fill="auto"/>
                <w:noWrap/>
                <w:vAlign w:val="center"/>
                <w:hideMark/>
              </w:tcPr>
              <w:p w14:paraId="367DF967" w14:textId="77777777" w:rsidR="00891BDE" w:rsidRPr="00891BDE" w:rsidRDefault="00891BDE" w:rsidP="00891BDE">
                <w:pPr>
                  <w:spacing w:after="0" w:line="240" w:lineRule="auto"/>
                  <w:jc w:val="right"/>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11/11/2021</w:t>
                </w:r>
              </w:p>
            </w:tc>
            <w:tc>
              <w:tcPr>
                <w:tcW w:w="450" w:type="pct"/>
                <w:shd w:val="clear" w:color="auto" w:fill="auto"/>
                <w:noWrap/>
                <w:vAlign w:val="center"/>
                <w:hideMark/>
              </w:tcPr>
              <w:p w14:paraId="19D5BFE8" w14:textId="77777777" w:rsidR="00891BDE" w:rsidRPr="00891BDE" w:rsidRDefault="00891BDE" w:rsidP="00891BDE">
                <w:pPr>
                  <w:spacing w:after="0" w:line="240" w:lineRule="auto"/>
                  <w:jc w:val="right"/>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21/02/2022</w:t>
                </w:r>
              </w:p>
            </w:tc>
            <w:tc>
              <w:tcPr>
                <w:tcW w:w="1383" w:type="pct"/>
                <w:shd w:val="clear" w:color="auto" w:fill="auto"/>
                <w:vAlign w:val="center"/>
                <w:hideMark/>
              </w:tcPr>
              <w:p w14:paraId="382FF8CE" w14:textId="77777777" w:rsidR="00891BDE" w:rsidRPr="00891BDE" w:rsidRDefault="00891BDE" w:rsidP="00891BDE">
                <w:pPr>
                  <w:spacing w:after="0" w:line="240" w:lineRule="auto"/>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Debido a que el GIT de Defensa Judicial carece de competencia para liquidar, la determinación de esta fecha dependerá de lo que disponga el área financiera correspondiente.</w:t>
                </w:r>
              </w:p>
            </w:tc>
            <w:tc>
              <w:tcPr>
                <w:tcW w:w="538" w:type="pct"/>
                <w:shd w:val="clear" w:color="auto" w:fill="auto"/>
                <w:vAlign w:val="center"/>
                <w:hideMark/>
              </w:tcPr>
              <w:p w14:paraId="2368C24A" w14:textId="77777777" w:rsidR="00891BDE" w:rsidRPr="00891BDE" w:rsidRDefault="00891BDE" w:rsidP="00F16E41">
                <w:pPr>
                  <w:spacing w:after="0" w:line="240" w:lineRule="auto"/>
                  <w:jc w:val="center"/>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12%</w:t>
                </w:r>
              </w:p>
            </w:tc>
          </w:tr>
          <w:tr w:rsidR="00891BDE" w:rsidRPr="00891BDE" w14:paraId="4D8895DF" w14:textId="77777777" w:rsidTr="00F16E41">
            <w:trPr>
              <w:trHeight w:val="300"/>
            </w:trPr>
            <w:tc>
              <w:tcPr>
                <w:tcW w:w="473" w:type="pct"/>
                <w:shd w:val="clear" w:color="auto" w:fill="auto"/>
                <w:vAlign w:val="center"/>
                <w:hideMark/>
              </w:tcPr>
              <w:p w14:paraId="6273B2B2" w14:textId="77777777" w:rsidR="00891BDE" w:rsidRPr="00891BDE" w:rsidRDefault="00891BDE" w:rsidP="00891BDE">
                <w:pPr>
                  <w:spacing w:after="0" w:line="240" w:lineRule="auto"/>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92510484</w:t>
                </w:r>
              </w:p>
            </w:tc>
            <w:tc>
              <w:tcPr>
                <w:tcW w:w="1012" w:type="pct"/>
                <w:shd w:val="clear" w:color="auto" w:fill="auto"/>
                <w:vAlign w:val="center"/>
                <w:hideMark/>
              </w:tcPr>
              <w:p w14:paraId="0B9B500D" w14:textId="77777777" w:rsidR="00891BDE" w:rsidRPr="00891BDE" w:rsidRDefault="00891BDE" w:rsidP="00891BDE">
                <w:pPr>
                  <w:spacing w:after="0" w:line="240" w:lineRule="auto"/>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 xml:space="preserve">JOSE MARIA HERNANDEZ SOLARTE </w:t>
                </w:r>
              </w:p>
            </w:tc>
            <w:tc>
              <w:tcPr>
                <w:tcW w:w="541" w:type="pct"/>
                <w:shd w:val="clear" w:color="auto" w:fill="auto"/>
                <w:vAlign w:val="center"/>
                <w:hideMark/>
              </w:tcPr>
              <w:p w14:paraId="605AC016" w14:textId="77777777" w:rsidR="00891BDE" w:rsidRPr="00891BDE" w:rsidRDefault="00891BDE" w:rsidP="00891BDE">
                <w:pPr>
                  <w:spacing w:after="0" w:line="240" w:lineRule="auto"/>
                  <w:jc w:val="right"/>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811.700</w:t>
                </w:r>
              </w:p>
            </w:tc>
            <w:tc>
              <w:tcPr>
                <w:tcW w:w="603" w:type="pct"/>
                <w:shd w:val="clear" w:color="auto" w:fill="auto"/>
                <w:noWrap/>
                <w:vAlign w:val="center"/>
                <w:hideMark/>
              </w:tcPr>
              <w:p w14:paraId="14880322" w14:textId="77777777" w:rsidR="00891BDE" w:rsidRPr="00891BDE" w:rsidRDefault="00891BDE" w:rsidP="00891BDE">
                <w:pPr>
                  <w:spacing w:after="0" w:line="240" w:lineRule="auto"/>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Sin T.E.</w:t>
                </w:r>
              </w:p>
            </w:tc>
            <w:tc>
              <w:tcPr>
                <w:tcW w:w="450" w:type="pct"/>
                <w:shd w:val="clear" w:color="auto" w:fill="auto"/>
                <w:noWrap/>
                <w:vAlign w:val="center"/>
                <w:hideMark/>
              </w:tcPr>
              <w:p w14:paraId="40ECDB7C" w14:textId="77777777" w:rsidR="00891BDE" w:rsidRPr="00891BDE" w:rsidRDefault="00891BDE" w:rsidP="00891BDE">
                <w:pPr>
                  <w:spacing w:after="0" w:line="240" w:lineRule="auto"/>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Sin T.E.</w:t>
                </w:r>
              </w:p>
            </w:tc>
            <w:tc>
              <w:tcPr>
                <w:tcW w:w="1383" w:type="pct"/>
                <w:shd w:val="clear" w:color="auto" w:fill="auto"/>
                <w:noWrap/>
                <w:vAlign w:val="center"/>
                <w:hideMark/>
              </w:tcPr>
              <w:p w14:paraId="59ACFD5C" w14:textId="77777777" w:rsidR="00891BDE" w:rsidRPr="00891BDE" w:rsidRDefault="00891BDE" w:rsidP="00891BDE">
                <w:pPr>
                  <w:spacing w:after="0" w:line="240" w:lineRule="auto"/>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 </w:t>
                </w:r>
              </w:p>
            </w:tc>
            <w:tc>
              <w:tcPr>
                <w:tcW w:w="538" w:type="pct"/>
                <w:shd w:val="clear" w:color="auto" w:fill="auto"/>
                <w:vAlign w:val="center"/>
                <w:hideMark/>
              </w:tcPr>
              <w:p w14:paraId="5C80A00A" w14:textId="77777777" w:rsidR="00891BDE" w:rsidRPr="00891BDE" w:rsidRDefault="00891BDE" w:rsidP="00F16E41">
                <w:pPr>
                  <w:spacing w:after="0" w:line="240" w:lineRule="auto"/>
                  <w:jc w:val="center"/>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12%</w:t>
                </w:r>
              </w:p>
            </w:tc>
          </w:tr>
          <w:tr w:rsidR="00891BDE" w:rsidRPr="00891BDE" w14:paraId="4AF676E6" w14:textId="77777777" w:rsidTr="00F16E41">
            <w:trPr>
              <w:trHeight w:val="720"/>
            </w:trPr>
            <w:tc>
              <w:tcPr>
                <w:tcW w:w="473" w:type="pct"/>
                <w:shd w:val="clear" w:color="auto" w:fill="auto"/>
                <w:vAlign w:val="center"/>
                <w:hideMark/>
              </w:tcPr>
              <w:p w14:paraId="0BEA579E" w14:textId="77777777" w:rsidR="00891BDE" w:rsidRPr="00891BDE" w:rsidRDefault="00891BDE" w:rsidP="00891BDE">
                <w:pPr>
                  <w:spacing w:after="0" w:line="240" w:lineRule="auto"/>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92540802</w:t>
                </w:r>
              </w:p>
            </w:tc>
            <w:tc>
              <w:tcPr>
                <w:tcW w:w="1012" w:type="pct"/>
                <w:shd w:val="clear" w:color="auto" w:fill="auto"/>
                <w:vAlign w:val="center"/>
                <w:hideMark/>
              </w:tcPr>
              <w:p w14:paraId="38300671" w14:textId="3A0DD59C" w:rsidR="00891BDE" w:rsidRPr="00891BDE" w:rsidRDefault="00891BDE" w:rsidP="00891BDE">
                <w:pPr>
                  <w:spacing w:after="0" w:line="240" w:lineRule="auto"/>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 xml:space="preserve">ALVARO MONTES SEVILLA </w:t>
                </w:r>
              </w:p>
            </w:tc>
            <w:tc>
              <w:tcPr>
                <w:tcW w:w="541" w:type="pct"/>
                <w:shd w:val="clear" w:color="auto" w:fill="auto"/>
                <w:vAlign w:val="center"/>
                <w:hideMark/>
              </w:tcPr>
              <w:p w14:paraId="2573DFD0" w14:textId="77777777" w:rsidR="00891BDE" w:rsidRPr="00891BDE" w:rsidRDefault="00891BDE" w:rsidP="00891BDE">
                <w:pPr>
                  <w:spacing w:after="0" w:line="240" w:lineRule="auto"/>
                  <w:jc w:val="right"/>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7.200.000</w:t>
                </w:r>
              </w:p>
            </w:tc>
            <w:tc>
              <w:tcPr>
                <w:tcW w:w="603" w:type="pct"/>
                <w:shd w:val="clear" w:color="auto" w:fill="auto"/>
                <w:noWrap/>
                <w:vAlign w:val="center"/>
                <w:hideMark/>
              </w:tcPr>
              <w:p w14:paraId="695E0255" w14:textId="77777777" w:rsidR="00891BDE" w:rsidRPr="00891BDE" w:rsidRDefault="00891BDE" w:rsidP="00891BDE">
                <w:pPr>
                  <w:spacing w:after="0" w:line="240" w:lineRule="auto"/>
                  <w:jc w:val="right"/>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2/04/2019</w:t>
                </w:r>
              </w:p>
            </w:tc>
            <w:tc>
              <w:tcPr>
                <w:tcW w:w="450" w:type="pct"/>
                <w:shd w:val="clear" w:color="auto" w:fill="auto"/>
                <w:noWrap/>
                <w:vAlign w:val="center"/>
                <w:hideMark/>
              </w:tcPr>
              <w:p w14:paraId="568C5390" w14:textId="77777777" w:rsidR="00891BDE" w:rsidRPr="00891BDE" w:rsidRDefault="00891BDE" w:rsidP="00891BDE">
                <w:pPr>
                  <w:spacing w:after="0" w:line="240" w:lineRule="auto"/>
                  <w:jc w:val="right"/>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28/06/2019</w:t>
                </w:r>
              </w:p>
            </w:tc>
            <w:tc>
              <w:tcPr>
                <w:tcW w:w="1383" w:type="pct"/>
                <w:shd w:val="clear" w:color="auto" w:fill="auto"/>
                <w:vAlign w:val="center"/>
                <w:hideMark/>
              </w:tcPr>
              <w:p w14:paraId="606EAF99" w14:textId="77777777" w:rsidR="00891BDE" w:rsidRPr="00891BDE" w:rsidRDefault="00891BDE" w:rsidP="00891BDE">
                <w:pPr>
                  <w:spacing w:after="0" w:line="240" w:lineRule="auto"/>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Debido a que el GIT de Defensa Judicial carece de competencia para liquidar, la determinación de esta fecha dependerá de lo que disponga el área financiera correspondiente.</w:t>
                </w:r>
              </w:p>
            </w:tc>
            <w:tc>
              <w:tcPr>
                <w:tcW w:w="538" w:type="pct"/>
                <w:shd w:val="clear" w:color="auto" w:fill="auto"/>
                <w:vAlign w:val="center"/>
                <w:hideMark/>
              </w:tcPr>
              <w:p w14:paraId="11537D31" w14:textId="77777777" w:rsidR="00891BDE" w:rsidRPr="00891BDE" w:rsidRDefault="00891BDE" w:rsidP="00F16E41">
                <w:pPr>
                  <w:spacing w:after="0" w:line="240" w:lineRule="auto"/>
                  <w:jc w:val="center"/>
                  <w:rPr>
                    <w:rFonts w:ascii="Times New Roman" w:eastAsia="Times New Roman" w:hAnsi="Times New Roman"/>
                    <w:color w:val="000000"/>
                    <w:sz w:val="14"/>
                    <w:szCs w:val="14"/>
                    <w:lang w:eastAsia="es-CO"/>
                  </w:rPr>
                </w:pPr>
                <w:r w:rsidRPr="00891BDE">
                  <w:rPr>
                    <w:rFonts w:ascii="Times New Roman" w:eastAsia="Times New Roman" w:hAnsi="Times New Roman"/>
                    <w:color w:val="000000"/>
                    <w:sz w:val="14"/>
                    <w:szCs w:val="14"/>
                    <w:lang w:eastAsia="es-CO"/>
                  </w:rPr>
                  <w:t>12%</w:t>
                </w:r>
              </w:p>
            </w:tc>
          </w:tr>
        </w:tbl>
        <w:p w14:paraId="1D9DFD80" w14:textId="76A53DEF" w:rsidR="000F133F" w:rsidRPr="00931DCE" w:rsidRDefault="00AD2026" w:rsidP="00AB09F7">
          <w:pPr>
            <w:spacing w:after="0" w:line="240" w:lineRule="auto"/>
            <w:rPr>
              <w:rFonts w:ascii="Times New Roman" w:hAnsi="Times New Roman"/>
              <w:sz w:val="14"/>
              <w:szCs w:val="14"/>
            </w:rPr>
          </w:pPr>
          <w:r w:rsidRPr="00931DCE">
            <w:rPr>
              <w:rFonts w:ascii="Times New Roman" w:hAnsi="Times New Roman"/>
              <w:sz w:val="14"/>
              <w:szCs w:val="14"/>
            </w:rPr>
            <w:t>Cifras expresadas en pesos</w:t>
          </w:r>
        </w:p>
        <w:p w14:paraId="335125D3" w14:textId="4B24E419" w:rsidR="000F133F" w:rsidRPr="00931DCE" w:rsidRDefault="000F133F" w:rsidP="00AB09F7">
          <w:pPr>
            <w:spacing w:after="0" w:line="240" w:lineRule="auto"/>
            <w:rPr>
              <w:rFonts w:ascii="Times New Roman" w:hAnsi="Times New Roman"/>
            </w:rPr>
          </w:pPr>
        </w:p>
        <w:p w14:paraId="2A684B06" w14:textId="4D5DA9EA" w:rsidR="00C473FD" w:rsidRPr="00C473FD" w:rsidRDefault="00C473FD" w:rsidP="00C473FD">
          <w:pPr>
            <w:spacing w:after="0" w:line="240" w:lineRule="auto"/>
            <w:ind w:right="-3"/>
            <w:jc w:val="both"/>
            <w:rPr>
              <w:rFonts w:ascii="Times New Roman" w:eastAsia="Times New Roman" w:hAnsi="Times New Roman"/>
              <w:sz w:val="24"/>
              <w:szCs w:val="24"/>
              <w:lang w:val="es"/>
            </w:rPr>
          </w:pPr>
          <w:r w:rsidRPr="00C473FD">
            <w:rPr>
              <w:rFonts w:ascii="Times New Roman" w:eastAsia="Times New Roman" w:hAnsi="Times New Roman"/>
              <w:sz w:val="24"/>
              <w:szCs w:val="24"/>
              <w:lang w:val="es"/>
            </w:rPr>
            <w:t xml:space="preserve">La tasa de interés se toma de acuerdo </w:t>
          </w:r>
          <w:r w:rsidR="00F16E41" w:rsidRPr="00C473FD">
            <w:rPr>
              <w:rFonts w:ascii="Times New Roman" w:eastAsia="Times New Roman" w:hAnsi="Times New Roman"/>
              <w:sz w:val="24"/>
              <w:szCs w:val="24"/>
              <w:lang w:val="es"/>
            </w:rPr>
            <w:t>con el</w:t>
          </w:r>
          <w:r w:rsidRPr="00C473FD">
            <w:rPr>
              <w:rFonts w:ascii="Times New Roman" w:eastAsia="Times New Roman" w:hAnsi="Times New Roman"/>
              <w:sz w:val="24"/>
              <w:szCs w:val="24"/>
              <w:lang w:val="es"/>
            </w:rPr>
            <w:t xml:space="preserve"> </w:t>
          </w:r>
          <w:r w:rsidR="00010FC0" w:rsidRPr="00C473FD">
            <w:rPr>
              <w:rFonts w:ascii="Times New Roman" w:eastAsia="Times New Roman" w:hAnsi="Times New Roman"/>
              <w:sz w:val="24"/>
              <w:szCs w:val="24"/>
              <w:lang w:val="es"/>
            </w:rPr>
            <w:t>artículo</w:t>
          </w:r>
          <w:r w:rsidRPr="00C473FD">
            <w:rPr>
              <w:rFonts w:ascii="Times New Roman" w:eastAsia="Times New Roman" w:hAnsi="Times New Roman"/>
              <w:sz w:val="24"/>
              <w:szCs w:val="24"/>
              <w:lang w:val="es"/>
            </w:rPr>
            <w:t xml:space="preserve"> 9 de la ley 68 de 1923 que señala: </w:t>
          </w:r>
        </w:p>
        <w:p w14:paraId="7E12F19A" w14:textId="77777777" w:rsidR="00C473FD" w:rsidRPr="00C473FD" w:rsidRDefault="00C473FD" w:rsidP="00C473FD">
          <w:pPr>
            <w:spacing w:after="0" w:line="240" w:lineRule="auto"/>
            <w:ind w:right="-3"/>
            <w:jc w:val="both"/>
            <w:rPr>
              <w:rFonts w:ascii="Times New Roman" w:eastAsia="Times New Roman" w:hAnsi="Times New Roman"/>
              <w:sz w:val="24"/>
              <w:szCs w:val="24"/>
              <w:lang w:val="es"/>
            </w:rPr>
          </w:pPr>
        </w:p>
        <w:p w14:paraId="1B846E73" w14:textId="6690E37B" w:rsidR="00C473FD" w:rsidRPr="00C473FD" w:rsidRDefault="00C473FD" w:rsidP="00C473FD">
          <w:pPr>
            <w:spacing w:after="0" w:line="240" w:lineRule="auto"/>
            <w:ind w:right="-3"/>
            <w:jc w:val="both"/>
            <w:rPr>
              <w:rFonts w:ascii="Times New Roman" w:eastAsia="Times New Roman" w:hAnsi="Times New Roman"/>
              <w:sz w:val="24"/>
              <w:szCs w:val="24"/>
              <w:lang w:val="es"/>
            </w:rPr>
          </w:pPr>
          <w:r w:rsidRPr="00C473FD">
            <w:rPr>
              <w:rFonts w:ascii="Times New Roman" w:eastAsia="Times New Roman" w:hAnsi="Times New Roman"/>
              <w:b/>
              <w:bCs/>
              <w:sz w:val="24"/>
              <w:szCs w:val="24"/>
              <w:lang w:val="es"/>
            </w:rPr>
            <w:t>“Artículo 9º. </w:t>
          </w:r>
          <w:r w:rsidRPr="00C473FD">
            <w:rPr>
              <w:rFonts w:ascii="Times New Roman" w:eastAsia="Times New Roman" w:hAnsi="Times New Roman"/>
              <w:sz w:val="24"/>
              <w:szCs w:val="24"/>
              <w:lang w:val="es"/>
            </w:rPr>
            <w:t>Los créditos a favor del Tesoro devengan intereses a la rata del doce por ciento (12 por 100) anual, desde el día en que se hagan exigibles hasta aquel en que se verifique el pago.”</w:t>
          </w:r>
          <w:r w:rsidR="004E5925">
            <w:rPr>
              <w:rFonts w:ascii="Times New Roman" w:eastAsia="Times New Roman" w:hAnsi="Times New Roman"/>
              <w:sz w:val="24"/>
              <w:szCs w:val="24"/>
              <w:lang w:val="es"/>
            </w:rPr>
            <w:t xml:space="preserve"> </w:t>
          </w:r>
          <w:r w:rsidRPr="00C473FD">
            <w:rPr>
              <w:rFonts w:ascii="Times New Roman" w:eastAsia="Times New Roman" w:hAnsi="Times New Roman"/>
              <w:sz w:val="24"/>
              <w:szCs w:val="24"/>
              <w:lang w:val="es"/>
            </w:rPr>
            <w:t xml:space="preserve">No obstante se aclara que el Grupo de Contabilidad carece de competencia para liquidar, los intereses por lo cual dependerá de lo que disponga </w:t>
          </w:r>
          <w:r w:rsidR="004E5925">
            <w:rPr>
              <w:rFonts w:ascii="Times New Roman" w:eastAsia="Times New Roman" w:hAnsi="Times New Roman"/>
              <w:sz w:val="24"/>
              <w:szCs w:val="24"/>
              <w:lang w:val="es"/>
            </w:rPr>
            <w:t xml:space="preserve">cada supervisor o </w:t>
          </w:r>
          <w:r w:rsidRPr="00C473FD">
            <w:rPr>
              <w:rFonts w:ascii="Times New Roman" w:eastAsia="Times New Roman" w:hAnsi="Times New Roman"/>
              <w:sz w:val="24"/>
              <w:szCs w:val="24"/>
              <w:lang w:val="es"/>
            </w:rPr>
            <w:t>el área correspondiente.</w:t>
          </w:r>
        </w:p>
        <w:p w14:paraId="3D1003A3" w14:textId="77777777" w:rsidR="00C473FD" w:rsidRPr="00931DCE" w:rsidRDefault="00C473FD" w:rsidP="00AB09F7">
          <w:pPr>
            <w:spacing w:after="0" w:line="240" w:lineRule="auto"/>
            <w:rPr>
              <w:rFonts w:ascii="Times New Roman" w:hAnsi="Times New Roman"/>
            </w:rPr>
          </w:pPr>
        </w:p>
        <w:p w14:paraId="4327F6C1" w14:textId="1D4C6308" w:rsidR="00C818D4" w:rsidRPr="00931DCE" w:rsidRDefault="00CB6471" w:rsidP="00663ED8">
          <w:pPr>
            <w:pStyle w:val="Ttulo2"/>
            <w:numPr>
              <w:ilvl w:val="0"/>
              <w:numId w:val="0"/>
            </w:numPr>
            <w:spacing w:line="240" w:lineRule="auto"/>
            <w:rPr>
              <w:rFonts w:cs="Times New Roman"/>
              <w:szCs w:val="24"/>
            </w:rPr>
          </w:pPr>
          <w:bookmarkStart w:id="26" w:name="_Toc159952371"/>
          <w:r w:rsidRPr="00931DCE">
            <w:rPr>
              <w:rFonts w:cs="Times New Roman"/>
              <w:szCs w:val="24"/>
            </w:rPr>
            <w:t>7.</w:t>
          </w:r>
          <w:r w:rsidR="00911CC2" w:rsidRPr="00931DCE">
            <w:rPr>
              <w:rFonts w:cs="Times New Roman"/>
              <w:szCs w:val="24"/>
            </w:rPr>
            <w:t>4</w:t>
          </w:r>
          <w:r w:rsidR="00F16E41">
            <w:rPr>
              <w:rFonts w:cs="Times New Roman"/>
              <w:szCs w:val="24"/>
            </w:rPr>
            <w:t xml:space="preserve"> </w:t>
          </w:r>
          <w:r w:rsidR="006C1D75" w:rsidRPr="00931DCE">
            <w:rPr>
              <w:rFonts w:cs="Times New Roman"/>
              <w:szCs w:val="24"/>
            </w:rPr>
            <w:t>Otras cuentas</w:t>
          </w:r>
          <w:r w:rsidR="00C818D4" w:rsidRPr="00931DCE">
            <w:rPr>
              <w:rFonts w:cs="Times New Roman"/>
              <w:szCs w:val="24"/>
            </w:rPr>
            <w:t xml:space="preserve"> por cobrar</w:t>
          </w:r>
          <w:bookmarkEnd w:id="26"/>
        </w:p>
        <w:p w14:paraId="760AA63B" w14:textId="7229FA51" w:rsidR="006C1D75" w:rsidRPr="00931DCE" w:rsidRDefault="006C1D75" w:rsidP="00663ED8">
          <w:pPr>
            <w:spacing w:after="0" w:line="240" w:lineRule="auto"/>
            <w:rPr>
              <w:rFonts w:ascii="Times New Roman" w:hAnsi="Times New Roman"/>
              <w:sz w:val="24"/>
              <w:szCs w:val="24"/>
            </w:rPr>
          </w:pPr>
        </w:p>
        <w:p w14:paraId="19DC66DC" w14:textId="3B3F0391" w:rsidR="00EC4C4A" w:rsidRPr="00931DCE" w:rsidRDefault="00B0616F" w:rsidP="00C65C6A">
          <w:pPr>
            <w:spacing w:after="0" w:line="240" w:lineRule="auto"/>
            <w:rPr>
              <w:rFonts w:ascii="Times New Roman" w:hAnsi="Times New Roman"/>
              <w:sz w:val="14"/>
              <w:szCs w:val="14"/>
            </w:rPr>
          </w:pPr>
          <w:r w:rsidRPr="00931DCE">
            <w:rPr>
              <w:rFonts w:ascii="Times New Roman" w:hAnsi="Times New Roman"/>
              <w:sz w:val="14"/>
              <w:szCs w:val="14"/>
            </w:rPr>
            <w:t xml:space="preserve">  </w:t>
          </w: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4A0" w:firstRow="1" w:lastRow="0" w:firstColumn="1" w:lastColumn="0" w:noHBand="0" w:noVBand="1"/>
          </w:tblPr>
          <w:tblGrid>
            <w:gridCol w:w="968"/>
            <w:gridCol w:w="3710"/>
            <w:gridCol w:w="1496"/>
            <w:gridCol w:w="1496"/>
            <w:gridCol w:w="1299"/>
          </w:tblGrid>
          <w:tr w:rsidR="005B4562" w:rsidRPr="005B4562" w14:paraId="10DF9445" w14:textId="77777777" w:rsidTr="00CA06D2">
            <w:trPr>
              <w:trHeight w:val="300"/>
              <w:tblHeader/>
            </w:trPr>
            <w:tc>
              <w:tcPr>
                <w:tcW w:w="540" w:type="pct"/>
                <w:shd w:val="clear" w:color="auto" w:fill="auto"/>
                <w:noWrap/>
                <w:vAlign w:val="center"/>
                <w:hideMark/>
              </w:tcPr>
              <w:p w14:paraId="6D7BA8A1" w14:textId="77777777" w:rsidR="005B4562" w:rsidRPr="00BC7EC5" w:rsidRDefault="005B4562" w:rsidP="005B4562">
                <w:pPr>
                  <w:spacing w:after="0" w:line="240" w:lineRule="auto"/>
                  <w:rPr>
                    <w:rFonts w:ascii="Times New Roman" w:eastAsia="Times New Roman" w:hAnsi="Times New Roman"/>
                    <w:b/>
                    <w:sz w:val="16"/>
                    <w:szCs w:val="16"/>
                    <w:lang w:eastAsia="es-CO"/>
                  </w:rPr>
                </w:pPr>
                <w:r w:rsidRPr="00BC7EC5">
                  <w:rPr>
                    <w:rFonts w:ascii="Times New Roman" w:eastAsia="Times New Roman" w:hAnsi="Times New Roman"/>
                    <w:b/>
                    <w:sz w:val="16"/>
                    <w:szCs w:val="16"/>
                    <w:lang w:eastAsia="es-CO"/>
                  </w:rPr>
                  <w:t>CÓD</w:t>
                </w:r>
              </w:p>
            </w:tc>
            <w:tc>
              <w:tcPr>
                <w:tcW w:w="2068" w:type="pct"/>
                <w:shd w:val="clear" w:color="auto" w:fill="auto"/>
                <w:noWrap/>
                <w:vAlign w:val="center"/>
                <w:hideMark/>
              </w:tcPr>
              <w:p w14:paraId="3C012432" w14:textId="77777777" w:rsidR="005B4562" w:rsidRPr="00BC7EC5" w:rsidRDefault="005B4562" w:rsidP="005B4562">
                <w:pPr>
                  <w:spacing w:after="0" w:line="240" w:lineRule="auto"/>
                  <w:rPr>
                    <w:rFonts w:ascii="Times New Roman" w:eastAsia="Times New Roman" w:hAnsi="Times New Roman"/>
                    <w:b/>
                    <w:sz w:val="16"/>
                    <w:szCs w:val="16"/>
                    <w:lang w:eastAsia="es-CO"/>
                  </w:rPr>
                </w:pPr>
                <w:r w:rsidRPr="00BC7EC5">
                  <w:rPr>
                    <w:rFonts w:ascii="Times New Roman" w:eastAsia="Times New Roman" w:hAnsi="Times New Roman"/>
                    <w:b/>
                    <w:sz w:val="16"/>
                    <w:szCs w:val="16"/>
                    <w:lang w:eastAsia="es-CO"/>
                  </w:rPr>
                  <w:t>CONCEPTO</w:t>
                </w:r>
              </w:p>
            </w:tc>
            <w:tc>
              <w:tcPr>
                <w:tcW w:w="834" w:type="pct"/>
                <w:shd w:val="clear" w:color="auto" w:fill="auto"/>
                <w:noWrap/>
                <w:vAlign w:val="center"/>
                <w:hideMark/>
              </w:tcPr>
              <w:p w14:paraId="12D667CF" w14:textId="77777777" w:rsidR="005B4562" w:rsidRPr="00BC7EC5" w:rsidRDefault="005B4562" w:rsidP="005B4562">
                <w:pPr>
                  <w:spacing w:after="0" w:line="240" w:lineRule="auto"/>
                  <w:jc w:val="right"/>
                  <w:rPr>
                    <w:rFonts w:ascii="Times New Roman" w:eastAsia="Times New Roman" w:hAnsi="Times New Roman"/>
                    <w:b/>
                    <w:sz w:val="16"/>
                    <w:szCs w:val="16"/>
                    <w:lang w:eastAsia="es-CO"/>
                  </w:rPr>
                </w:pPr>
                <w:r w:rsidRPr="00BC7EC5">
                  <w:rPr>
                    <w:rFonts w:ascii="Times New Roman" w:eastAsia="Times New Roman" w:hAnsi="Times New Roman"/>
                    <w:b/>
                    <w:sz w:val="16"/>
                    <w:szCs w:val="16"/>
                    <w:lang w:eastAsia="es-CO"/>
                  </w:rPr>
                  <w:t>2023</w:t>
                </w:r>
              </w:p>
            </w:tc>
            <w:tc>
              <w:tcPr>
                <w:tcW w:w="834" w:type="pct"/>
                <w:shd w:val="clear" w:color="auto" w:fill="auto"/>
                <w:noWrap/>
                <w:vAlign w:val="center"/>
                <w:hideMark/>
              </w:tcPr>
              <w:p w14:paraId="46593B47" w14:textId="77777777" w:rsidR="005B4562" w:rsidRPr="00BC7EC5" w:rsidRDefault="005B4562" w:rsidP="005B4562">
                <w:pPr>
                  <w:spacing w:after="0" w:line="240" w:lineRule="auto"/>
                  <w:jc w:val="right"/>
                  <w:rPr>
                    <w:rFonts w:ascii="Times New Roman" w:eastAsia="Times New Roman" w:hAnsi="Times New Roman"/>
                    <w:b/>
                    <w:sz w:val="16"/>
                    <w:szCs w:val="16"/>
                    <w:lang w:eastAsia="es-CO"/>
                  </w:rPr>
                </w:pPr>
                <w:r w:rsidRPr="00BC7EC5">
                  <w:rPr>
                    <w:rFonts w:ascii="Times New Roman" w:eastAsia="Times New Roman" w:hAnsi="Times New Roman"/>
                    <w:b/>
                    <w:sz w:val="16"/>
                    <w:szCs w:val="16"/>
                    <w:lang w:eastAsia="es-CO"/>
                  </w:rPr>
                  <w:t>2022</w:t>
                </w:r>
              </w:p>
            </w:tc>
            <w:tc>
              <w:tcPr>
                <w:tcW w:w="724" w:type="pct"/>
                <w:shd w:val="clear" w:color="auto" w:fill="auto"/>
                <w:noWrap/>
                <w:vAlign w:val="center"/>
                <w:hideMark/>
              </w:tcPr>
              <w:p w14:paraId="6843ECC8" w14:textId="77777777" w:rsidR="005B4562" w:rsidRPr="00BC7EC5" w:rsidRDefault="005B4562" w:rsidP="00BC7EC5">
                <w:pPr>
                  <w:spacing w:after="0" w:line="240" w:lineRule="auto"/>
                  <w:jc w:val="right"/>
                  <w:rPr>
                    <w:rFonts w:ascii="Times New Roman" w:eastAsia="Times New Roman" w:hAnsi="Times New Roman"/>
                    <w:b/>
                    <w:sz w:val="16"/>
                    <w:szCs w:val="16"/>
                    <w:lang w:eastAsia="es-CO"/>
                  </w:rPr>
                </w:pPr>
                <w:r w:rsidRPr="00BC7EC5">
                  <w:rPr>
                    <w:rFonts w:ascii="Times New Roman" w:eastAsia="Times New Roman" w:hAnsi="Times New Roman"/>
                    <w:b/>
                    <w:sz w:val="16"/>
                    <w:szCs w:val="16"/>
                    <w:lang w:eastAsia="es-CO"/>
                  </w:rPr>
                  <w:t>VARIACIÓN</w:t>
                </w:r>
              </w:p>
            </w:tc>
          </w:tr>
          <w:tr w:rsidR="005B4562" w:rsidRPr="005B4562" w14:paraId="3D408EF2" w14:textId="77777777" w:rsidTr="00CA06D2">
            <w:trPr>
              <w:trHeight w:val="300"/>
            </w:trPr>
            <w:tc>
              <w:tcPr>
                <w:tcW w:w="540" w:type="pct"/>
                <w:shd w:val="clear" w:color="auto" w:fill="auto"/>
                <w:noWrap/>
                <w:vAlign w:val="center"/>
                <w:hideMark/>
              </w:tcPr>
              <w:p w14:paraId="6C47C5D9" w14:textId="77777777" w:rsidR="005B4562" w:rsidRPr="00BC7EC5" w:rsidRDefault="005B4562" w:rsidP="005B4562">
                <w:pPr>
                  <w:spacing w:after="0" w:line="240" w:lineRule="auto"/>
                  <w:rPr>
                    <w:rFonts w:ascii="Times New Roman" w:eastAsia="Times New Roman" w:hAnsi="Times New Roman"/>
                    <w:sz w:val="16"/>
                    <w:szCs w:val="16"/>
                    <w:lang w:eastAsia="es-CO"/>
                  </w:rPr>
                </w:pPr>
                <w:r w:rsidRPr="00BC7EC5">
                  <w:rPr>
                    <w:rFonts w:ascii="Times New Roman" w:eastAsia="Times New Roman" w:hAnsi="Times New Roman"/>
                    <w:sz w:val="16"/>
                    <w:szCs w:val="16"/>
                    <w:lang w:eastAsia="es-CO"/>
                  </w:rPr>
                  <w:t>1.3.84</w:t>
                </w:r>
              </w:p>
            </w:tc>
            <w:tc>
              <w:tcPr>
                <w:tcW w:w="2068" w:type="pct"/>
                <w:shd w:val="clear" w:color="auto" w:fill="auto"/>
                <w:noWrap/>
                <w:vAlign w:val="center"/>
                <w:hideMark/>
              </w:tcPr>
              <w:p w14:paraId="187E0B2C" w14:textId="77777777" w:rsidR="005B4562" w:rsidRPr="00BC7EC5" w:rsidRDefault="005B4562" w:rsidP="005B4562">
                <w:pPr>
                  <w:spacing w:after="0" w:line="240" w:lineRule="auto"/>
                  <w:rPr>
                    <w:rFonts w:ascii="Times New Roman" w:eastAsia="Times New Roman" w:hAnsi="Times New Roman"/>
                    <w:sz w:val="16"/>
                    <w:szCs w:val="16"/>
                    <w:lang w:eastAsia="es-CO"/>
                  </w:rPr>
                </w:pPr>
                <w:r w:rsidRPr="00BC7EC5">
                  <w:rPr>
                    <w:rFonts w:ascii="Times New Roman" w:eastAsia="Times New Roman" w:hAnsi="Times New Roman"/>
                    <w:sz w:val="16"/>
                    <w:szCs w:val="16"/>
                    <w:lang w:eastAsia="es-CO"/>
                  </w:rPr>
                  <w:t>OTRAS CUENTAS POR COBRAR</w:t>
                </w:r>
              </w:p>
            </w:tc>
            <w:tc>
              <w:tcPr>
                <w:tcW w:w="834" w:type="pct"/>
                <w:shd w:val="clear" w:color="auto" w:fill="auto"/>
                <w:noWrap/>
                <w:vAlign w:val="center"/>
                <w:hideMark/>
              </w:tcPr>
              <w:p w14:paraId="367F5BD8" w14:textId="59A5B0FD" w:rsidR="005B4562" w:rsidRPr="00BC7EC5" w:rsidRDefault="005B4562" w:rsidP="00BC7EC5">
                <w:pPr>
                  <w:spacing w:after="0" w:line="240" w:lineRule="auto"/>
                  <w:jc w:val="right"/>
                  <w:rPr>
                    <w:rFonts w:ascii="Times New Roman" w:eastAsia="Times New Roman" w:hAnsi="Times New Roman"/>
                    <w:b/>
                    <w:color w:val="000000"/>
                    <w:sz w:val="16"/>
                    <w:szCs w:val="16"/>
                    <w:lang w:eastAsia="es-CO"/>
                  </w:rPr>
                </w:pPr>
                <w:r w:rsidRPr="00BC7EC5">
                  <w:rPr>
                    <w:rFonts w:ascii="Times New Roman" w:eastAsia="Times New Roman" w:hAnsi="Times New Roman"/>
                    <w:b/>
                    <w:color w:val="000000"/>
                    <w:sz w:val="16"/>
                    <w:szCs w:val="16"/>
                    <w:lang w:eastAsia="es-CO"/>
                  </w:rPr>
                  <w:t>9.422.733.83</w:t>
                </w:r>
                <w:r w:rsidR="007964AC">
                  <w:rPr>
                    <w:rFonts w:ascii="Times New Roman" w:eastAsia="Times New Roman" w:hAnsi="Times New Roman"/>
                    <w:b/>
                    <w:color w:val="000000"/>
                    <w:sz w:val="16"/>
                    <w:szCs w:val="16"/>
                    <w:lang w:eastAsia="es-CO"/>
                  </w:rPr>
                  <w:t>8</w:t>
                </w:r>
              </w:p>
            </w:tc>
            <w:tc>
              <w:tcPr>
                <w:tcW w:w="834" w:type="pct"/>
                <w:shd w:val="clear" w:color="auto" w:fill="auto"/>
                <w:noWrap/>
                <w:vAlign w:val="center"/>
                <w:hideMark/>
              </w:tcPr>
              <w:p w14:paraId="4EF34489" w14:textId="2618C013" w:rsidR="005B4562" w:rsidRPr="00BC7EC5" w:rsidRDefault="005B4562" w:rsidP="00BC7EC5">
                <w:pPr>
                  <w:spacing w:after="0" w:line="240" w:lineRule="auto"/>
                  <w:jc w:val="right"/>
                  <w:rPr>
                    <w:rFonts w:ascii="Times New Roman" w:eastAsia="Times New Roman" w:hAnsi="Times New Roman"/>
                    <w:b/>
                    <w:color w:val="000000"/>
                    <w:sz w:val="16"/>
                    <w:szCs w:val="16"/>
                    <w:lang w:eastAsia="es-CO"/>
                  </w:rPr>
                </w:pPr>
                <w:r w:rsidRPr="00BC7EC5">
                  <w:rPr>
                    <w:rFonts w:ascii="Times New Roman" w:eastAsia="Times New Roman" w:hAnsi="Times New Roman"/>
                    <w:b/>
                    <w:color w:val="000000"/>
                    <w:sz w:val="16"/>
                    <w:szCs w:val="16"/>
                    <w:lang w:eastAsia="es-CO"/>
                  </w:rPr>
                  <w:t>9.370.229.616</w:t>
                </w:r>
              </w:p>
            </w:tc>
            <w:tc>
              <w:tcPr>
                <w:tcW w:w="724" w:type="pct"/>
                <w:shd w:val="clear" w:color="auto" w:fill="auto"/>
                <w:noWrap/>
                <w:vAlign w:val="center"/>
                <w:hideMark/>
              </w:tcPr>
              <w:p w14:paraId="65991827" w14:textId="2539F101" w:rsidR="005B4562" w:rsidRPr="00BC7EC5" w:rsidRDefault="005B4562" w:rsidP="00BC7EC5">
                <w:pPr>
                  <w:spacing w:after="0" w:line="240" w:lineRule="auto"/>
                  <w:jc w:val="right"/>
                  <w:rPr>
                    <w:rFonts w:ascii="Times New Roman" w:eastAsia="Times New Roman" w:hAnsi="Times New Roman"/>
                    <w:b/>
                    <w:color w:val="000000"/>
                    <w:sz w:val="16"/>
                    <w:szCs w:val="16"/>
                    <w:lang w:eastAsia="es-CO"/>
                  </w:rPr>
                </w:pPr>
                <w:r w:rsidRPr="00BC7EC5">
                  <w:rPr>
                    <w:rFonts w:ascii="Times New Roman" w:eastAsia="Times New Roman" w:hAnsi="Times New Roman"/>
                    <w:b/>
                    <w:color w:val="000000"/>
                    <w:sz w:val="16"/>
                    <w:szCs w:val="16"/>
                    <w:lang w:eastAsia="es-CO"/>
                  </w:rPr>
                  <w:t>52.504.22</w:t>
                </w:r>
                <w:r w:rsidR="00DD26B0">
                  <w:rPr>
                    <w:rFonts w:ascii="Times New Roman" w:eastAsia="Times New Roman" w:hAnsi="Times New Roman"/>
                    <w:b/>
                    <w:color w:val="000000"/>
                    <w:sz w:val="16"/>
                    <w:szCs w:val="16"/>
                    <w:lang w:eastAsia="es-CO"/>
                  </w:rPr>
                  <w:t>2</w:t>
                </w:r>
              </w:p>
            </w:tc>
          </w:tr>
          <w:tr w:rsidR="005B4562" w:rsidRPr="005B4562" w14:paraId="241E18E3" w14:textId="77777777" w:rsidTr="00CA06D2">
            <w:trPr>
              <w:trHeight w:val="300"/>
            </w:trPr>
            <w:tc>
              <w:tcPr>
                <w:tcW w:w="540" w:type="pct"/>
                <w:shd w:val="clear" w:color="auto" w:fill="auto"/>
                <w:noWrap/>
                <w:vAlign w:val="center"/>
                <w:hideMark/>
              </w:tcPr>
              <w:p w14:paraId="70B8C0A3" w14:textId="77777777" w:rsidR="005B4562" w:rsidRPr="00BC7EC5" w:rsidRDefault="005B4562" w:rsidP="005B4562">
                <w:pPr>
                  <w:spacing w:after="0" w:line="240" w:lineRule="auto"/>
                  <w:rPr>
                    <w:rFonts w:ascii="Times New Roman" w:eastAsia="Times New Roman" w:hAnsi="Times New Roman"/>
                    <w:sz w:val="16"/>
                    <w:szCs w:val="16"/>
                    <w:lang w:eastAsia="es-CO"/>
                  </w:rPr>
                </w:pPr>
                <w:r w:rsidRPr="00BC7EC5">
                  <w:rPr>
                    <w:rFonts w:ascii="Times New Roman" w:eastAsia="Times New Roman" w:hAnsi="Times New Roman"/>
                    <w:sz w:val="16"/>
                    <w:szCs w:val="16"/>
                    <w:lang w:eastAsia="es-CO"/>
                  </w:rPr>
                  <w:t>1.3.84.10</w:t>
                </w:r>
              </w:p>
            </w:tc>
            <w:tc>
              <w:tcPr>
                <w:tcW w:w="2068" w:type="pct"/>
                <w:shd w:val="clear" w:color="auto" w:fill="auto"/>
                <w:noWrap/>
                <w:vAlign w:val="center"/>
                <w:hideMark/>
              </w:tcPr>
              <w:p w14:paraId="7AC32E8A" w14:textId="77777777" w:rsidR="005B4562" w:rsidRPr="00BC7EC5" w:rsidRDefault="005B4562" w:rsidP="005B4562">
                <w:pPr>
                  <w:spacing w:after="0" w:line="240" w:lineRule="auto"/>
                  <w:rPr>
                    <w:rFonts w:ascii="Times New Roman" w:eastAsia="Times New Roman" w:hAnsi="Times New Roman"/>
                    <w:sz w:val="16"/>
                    <w:szCs w:val="16"/>
                    <w:lang w:eastAsia="es-CO"/>
                  </w:rPr>
                </w:pPr>
                <w:r w:rsidRPr="00BC7EC5">
                  <w:rPr>
                    <w:rFonts w:ascii="Times New Roman" w:eastAsia="Times New Roman" w:hAnsi="Times New Roman"/>
                    <w:sz w:val="16"/>
                    <w:szCs w:val="16"/>
                    <w:lang w:eastAsia="es-CO"/>
                  </w:rPr>
                  <w:t>Derechos cobrados por terceros</w:t>
                </w:r>
              </w:p>
            </w:tc>
            <w:tc>
              <w:tcPr>
                <w:tcW w:w="834" w:type="pct"/>
                <w:shd w:val="clear" w:color="auto" w:fill="auto"/>
                <w:noWrap/>
                <w:vAlign w:val="center"/>
                <w:hideMark/>
              </w:tcPr>
              <w:p w14:paraId="2CDD51C1" w14:textId="77777777" w:rsidR="005B4562" w:rsidRPr="00BC7EC5" w:rsidRDefault="005B4562" w:rsidP="005B4562">
                <w:pPr>
                  <w:spacing w:after="0" w:line="240" w:lineRule="auto"/>
                  <w:jc w:val="right"/>
                  <w:rPr>
                    <w:rFonts w:ascii="Times New Roman" w:eastAsia="Times New Roman" w:hAnsi="Times New Roman"/>
                    <w:sz w:val="16"/>
                    <w:szCs w:val="16"/>
                    <w:lang w:eastAsia="es-CO"/>
                  </w:rPr>
                </w:pPr>
                <w:r w:rsidRPr="00BC7EC5">
                  <w:rPr>
                    <w:rFonts w:ascii="Times New Roman" w:eastAsia="Times New Roman" w:hAnsi="Times New Roman"/>
                    <w:sz w:val="16"/>
                    <w:szCs w:val="16"/>
                    <w:lang w:eastAsia="es-CO"/>
                  </w:rPr>
                  <w:t>123.065.699</w:t>
                </w:r>
              </w:p>
            </w:tc>
            <w:tc>
              <w:tcPr>
                <w:tcW w:w="834" w:type="pct"/>
                <w:shd w:val="clear" w:color="auto" w:fill="auto"/>
                <w:noWrap/>
                <w:vAlign w:val="center"/>
                <w:hideMark/>
              </w:tcPr>
              <w:p w14:paraId="41962910" w14:textId="77777777" w:rsidR="005B4562" w:rsidRPr="00BC7EC5" w:rsidRDefault="005B4562" w:rsidP="005B4562">
                <w:pPr>
                  <w:spacing w:after="0" w:line="240" w:lineRule="auto"/>
                  <w:jc w:val="right"/>
                  <w:rPr>
                    <w:rFonts w:ascii="Times New Roman" w:eastAsia="Times New Roman" w:hAnsi="Times New Roman"/>
                    <w:sz w:val="16"/>
                    <w:szCs w:val="16"/>
                    <w:lang w:eastAsia="es-CO"/>
                  </w:rPr>
                </w:pPr>
                <w:r w:rsidRPr="00BC7EC5">
                  <w:rPr>
                    <w:rFonts w:ascii="Times New Roman" w:eastAsia="Times New Roman" w:hAnsi="Times New Roman"/>
                    <w:sz w:val="16"/>
                    <w:szCs w:val="16"/>
                    <w:lang w:eastAsia="es-CO"/>
                  </w:rPr>
                  <w:t>89.741.610</w:t>
                </w:r>
              </w:p>
            </w:tc>
            <w:tc>
              <w:tcPr>
                <w:tcW w:w="724" w:type="pct"/>
                <w:shd w:val="clear" w:color="auto" w:fill="auto"/>
                <w:noWrap/>
                <w:vAlign w:val="center"/>
                <w:hideMark/>
              </w:tcPr>
              <w:p w14:paraId="38B21D62" w14:textId="71FE99AD" w:rsidR="005B4562" w:rsidRPr="00BC7EC5" w:rsidRDefault="005B4562" w:rsidP="00BC7EC5">
                <w:pPr>
                  <w:spacing w:after="0" w:line="240" w:lineRule="auto"/>
                  <w:jc w:val="right"/>
                  <w:rPr>
                    <w:rFonts w:ascii="Times New Roman" w:eastAsia="Times New Roman" w:hAnsi="Times New Roman"/>
                    <w:sz w:val="16"/>
                    <w:szCs w:val="16"/>
                    <w:lang w:eastAsia="es-CO"/>
                  </w:rPr>
                </w:pPr>
                <w:r w:rsidRPr="00BC7EC5">
                  <w:rPr>
                    <w:rFonts w:ascii="Times New Roman" w:eastAsia="Times New Roman" w:hAnsi="Times New Roman"/>
                    <w:sz w:val="16"/>
                    <w:szCs w:val="16"/>
                    <w:lang w:eastAsia="es-CO"/>
                  </w:rPr>
                  <w:t>33.324.08</w:t>
                </w:r>
                <w:r w:rsidR="00EA7E0A">
                  <w:rPr>
                    <w:rFonts w:ascii="Times New Roman" w:eastAsia="Times New Roman" w:hAnsi="Times New Roman"/>
                    <w:sz w:val="16"/>
                    <w:szCs w:val="16"/>
                    <w:lang w:eastAsia="es-CO"/>
                  </w:rPr>
                  <w:t>8</w:t>
                </w:r>
              </w:p>
            </w:tc>
          </w:tr>
          <w:tr w:rsidR="005B4562" w:rsidRPr="005B4562" w14:paraId="1B6C3291" w14:textId="77777777" w:rsidTr="00CA06D2">
            <w:trPr>
              <w:trHeight w:val="300"/>
            </w:trPr>
            <w:tc>
              <w:tcPr>
                <w:tcW w:w="540" w:type="pct"/>
                <w:shd w:val="clear" w:color="auto" w:fill="auto"/>
                <w:noWrap/>
                <w:vAlign w:val="center"/>
                <w:hideMark/>
              </w:tcPr>
              <w:p w14:paraId="31AD7F9A" w14:textId="77777777" w:rsidR="005B4562" w:rsidRPr="00BC7EC5" w:rsidRDefault="005B4562" w:rsidP="005B4562">
                <w:pPr>
                  <w:spacing w:after="0" w:line="240" w:lineRule="auto"/>
                  <w:rPr>
                    <w:rFonts w:ascii="Times New Roman" w:eastAsia="Times New Roman" w:hAnsi="Times New Roman"/>
                    <w:sz w:val="16"/>
                    <w:szCs w:val="16"/>
                    <w:lang w:eastAsia="es-CO"/>
                  </w:rPr>
                </w:pPr>
                <w:r w:rsidRPr="00BC7EC5">
                  <w:rPr>
                    <w:rFonts w:ascii="Times New Roman" w:eastAsia="Times New Roman" w:hAnsi="Times New Roman"/>
                    <w:sz w:val="16"/>
                    <w:szCs w:val="16"/>
                    <w:lang w:eastAsia="es-CO"/>
                  </w:rPr>
                  <w:t>1.3.84.26</w:t>
                </w:r>
              </w:p>
            </w:tc>
            <w:tc>
              <w:tcPr>
                <w:tcW w:w="2068" w:type="pct"/>
                <w:shd w:val="clear" w:color="auto" w:fill="auto"/>
                <w:noWrap/>
                <w:vAlign w:val="center"/>
                <w:hideMark/>
              </w:tcPr>
              <w:p w14:paraId="68050731" w14:textId="77777777" w:rsidR="005B4562" w:rsidRPr="00BC7EC5" w:rsidRDefault="005B4562" w:rsidP="005B4562">
                <w:pPr>
                  <w:spacing w:after="0" w:line="240" w:lineRule="auto"/>
                  <w:rPr>
                    <w:rFonts w:ascii="Times New Roman" w:eastAsia="Times New Roman" w:hAnsi="Times New Roman"/>
                    <w:sz w:val="16"/>
                    <w:szCs w:val="16"/>
                    <w:lang w:eastAsia="es-CO"/>
                  </w:rPr>
                </w:pPr>
                <w:r w:rsidRPr="00BC7EC5">
                  <w:rPr>
                    <w:rFonts w:ascii="Times New Roman" w:eastAsia="Times New Roman" w:hAnsi="Times New Roman"/>
                    <w:sz w:val="16"/>
                    <w:szCs w:val="16"/>
                    <w:lang w:eastAsia="es-CO"/>
                  </w:rPr>
                  <w:t>Pago por cuenta de terceros</w:t>
                </w:r>
              </w:p>
            </w:tc>
            <w:tc>
              <w:tcPr>
                <w:tcW w:w="834" w:type="pct"/>
                <w:shd w:val="clear" w:color="auto" w:fill="auto"/>
                <w:noWrap/>
                <w:vAlign w:val="center"/>
                <w:hideMark/>
              </w:tcPr>
              <w:p w14:paraId="23F1D13F" w14:textId="77777777" w:rsidR="005B4562" w:rsidRPr="00BC7EC5" w:rsidRDefault="005B4562" w:rsidP="005B4562">
                <w:pPr>
                  <w:spacing w:after="0" w:line="240" w:lineRule="auto"/>
                  <w:jc w:val="right"/>
                  <w:rPr>
                    <w:rFonts w:ascii="Times New Roman" w:eastAsia="Times New Roman" w:hAnsi="Times New Roman"/>
                    <w:sz w:val="16"/>
                    <w:szCs w:val="16"/>
                    <w:lang w:eastAsia="es-CO"/>
                  </w:rPr>
                </w:pPr>
                <w:r w:rsidRPr="00BC7EC5">
                  <w:rPr>
                    <w:rFonts w:ascii="Times New Roman" w:eastAsia="Times New Roman" w:hAnsi="Times New Roman"/>
                    <w:sz w:val="16"/>
                    <w:szCs w:val="16"/>
                    <w:lang w:eastAsia="es-CO"/>
                  </w:rPr>
                  <w:t>76.422.735</w:t>
                </w:r>
              </w:p>
            </w:tc>
            <w:tc>
              <w:tcPr>
                <w:tcW w:w="834" w:type="pct"/>
                <w:shd w:val="clear" w:color="auto" w:fill="auto"/>
                <w:noWrap/>
                <w:vAlign w:val="center"/>
                <w:hideMark/>
              </w:tcPr>
              <w:p w14:paraId="0EF52DB0" w14:textId="77777777" w:rsidR="005B4562" w:rsidRPr="00BC7EC5" w:rsidRDefault="005B4562" w:rsidP="005B4562">
                <w:pPr>
                  <w:spacing w:after="0" w:line="240" w:lineRule="auto"/>
                  <w:jc w:val="right"/>
                  <w:rPr>
                    <w:rFonts w:ascii="Times New Roman" w:eastAsia="Times New Roman" w:hAnsi="Times New Roman"/>
                    <w:sz w:val="16"/>
                    <w:szCs w:val="16"/>
                    <w:lang w:eastAsia="es-CO"/>
                  </w:rPr>
                </w:pPr>
                <w:r w:rsidRPr="00BC7EC5">
                  <w:rPr>
                    <w:rFonts w:ascii="Times New Roman" w:eastAsia="Times New Roman" w:hAnsi="Times New Roman"/>
                    <w:sz w:val="16"/>
                    <w:szCs w:val="16"/>
                    <w:lang w:eastAsia="es-CO"/>
                  </w:rPr>
                  <w:t>57.242.601</w:t>
                </w:r>
              </w:p>
            </w:tc>
            <w:tc>
              <w:tcPr>
                <w:tcW w:w="724" w:type="pct"/>
                <w:shd w:val="clear" w:color="auto" w:fill="auto"/>
                <w:noWrap/>
                <w:vAlign w:val="center"/>
                <w:hideMark/>
              </w:tcPr>
              <w:p w14:paraId="6EE67D92" w14:textId="186DED92" w:rsidR="005B4562" w:rsidRPr="00BC7EC5" w:rsidRDefault="005B4562" w:rsidP="00BC7EC5">
                <w:pPr>
                  <w:spacing w:after="0" w:line="240" w:lineRule="auto"/>
                  <w:jc w:val="right"/>
                  <w:rPr>
                    <w:rFonts w:ascii="Times New Roman" w:eastAsia="Times New Roman" w:hAnsi="Times New Roman"/>
                    <w:sz w:val="16"/>
                    <w:szCs w:val="16"/>
                    <w:lang w:eastAsia="es-CO"/>
                  </w:rPr>
                </w:pPr>
                <w:r w:rsidRPr="00BC7EC5">
                  <w:rPr>
                    <w:rFonts w:ascii="Times New Roman" w:eastAsia="Times New Roman" w:hAnsi="Times New Roman"/>
                    <w:sz w:val="16"/>
                    <w:szCs w:val="16"/>
                    <w:lang w:eastAsia="es-CO"/>
                  </w:rPr>
                  <w:t>19.180.134</w:t>
                </w:r>
              </w:p>
            </w:tc>
          </w:tr>
          <w:tr w:rsidR="005B4562" w:rsidRPr="005B4562" w14:paraId="2AB7BA66" w14:textId="77777777" w:rsidTr="00CA06D2">
            <w:trPr>
              <w:trHeight w:val="300"/>
            </w:trPr>
            <w:tc>
              <w:tcPr>
                <w:tcW w:w="540" w:type="pct"/>
                <w:shd w:val="clear" w:color="auto" w:fill="auto"/>
                <w:vAlign w:val="center"/>
                <w:hideMark/>
              </w:tcPr>
              <w:p w14:paraId="20DCA724" w14:textId="77777777" w:rsidR="005B4562" w:rsidRPr="00BC7EC5" w:rsidRDefault="005B4562" w:rsidP="005B4562">
                <w:pPr>
                  <w:spacing w:after="0" w:line="240" w:lineRule="auto"/>
                  <w:rPr>
                    <w:rFonts w:ascii="Times New Roman" w:eastAsia="Times New Roman" w:hAnsi="Times New Roman"/>
                    <w:color w:val="000000"/>
                    <w:sz w:val="16"/>
                    <w:szCs w:val="16"/>
                    <w:lang w:eastAsia="es-CO"/>
                  </w:rPr>
                </w:pPr>
                <w:r w:rsidRPr="00BC7EC5">
                  <w:rPr>
                    <w:rFonts w:ascii="Times New Roman" w:eastAsia="Times New Roman" w:hAnsi="Times New Roman"/>
                    <w:color w:val="000000"/>
                    <w:sz w:val="16"/>
                    <w:szCs w:val="16"/>
                    <w:lang w:eastAsia="es-CO"/>
                  </w:rPr>
                  <w:t>1.3.84.90</w:t>
                </w:r>
              </w:p>
            </w:tc>
            <w:tc>
              <w:tcPr>
                <w:tcW w:w="2068" w:type="pct"/>
                <w:shd w:val="clear" w:color="auto" w:fill="auto"/>
                <w:noWrap/>
                <w:vAlign w:val="center"/>
                <w:hideMark/>
              </w:tcPr>
              <w:p w14:paraId="4C04C7F9" w14:textId="77777777" w:rsidR="005B4562" w:rsidRPr="00BC7EC5" w:rsidRDefault="005B4562" w:rsidP="005B4562">
                <w:pPr>
                  <w:spacing w:after="0" w:line="240" w:lineRule="auto"/>
                  <w:rPr>
                    <w:rFonts w:ascii="Times New Roman" w:eastAsia="Times New Roman" w:hAnsi="Times New Roman"/>
                    <w:sz w:val="16"/>
                    <w:szCs w:val="16"/>
                    <w:lang w:eastAsia="es-CO"/>
                  </w:rPr>
                </w:pPr>
                <w:r w:rsidRPr="00BC7EC5">
                  <w:rPr>
                    <w:rFonts w:ascii="Times New Roman" w:eastAsia="Times New Roman" w:hAnsi="Times New Roman"/>
                    <w:sz w:val="16"/>
                    <w:szCs w:val="16"/>
                    <w:lang w:eastAsia="es-CO"/>
                  </w:rPr>
                  <w:t>Otras cuentas por cobrar</w:t>
                </w:r>
              </w:p>
            </w:tc>
            <w:tc>
              <w:tcPr>
                <w:tcW w:w="834" w:type="pct"/>
                <w:shd w:val="clear" w:color="auto" w:fill="auto"/>
                <w:noWrap/>
                <w:vAlign w:val="center"/>
                <w:hideMark/>
              </w:tcPr>
              <w:p w14:paraId="6E7888A0" w14:textId="3FFFC704" w:rsidR="005B4562" w:rsidRPr="00BC7EC5" w:rsidRDefault="00891AB3" w:rsidP="005B4562">
                <w:pPr>
                  <w:spacing w:after="0" w:line="240" w:lineRule="auto"/>
                  <w:jc w:val="right"/>
                  <w:rPr>
                    <w:rFonts w:ascii="Times New Roman" w:eastAsia="Times New Roman" w:hAnsi="Times New Roman"/>
                    <w:sz w:val="16"/>
                    <w:szCs w:val="16"/>
                    <w:lang w:eastAsia="es-CO"/>
                  </w:rPr>
                </w:pPr>
                <w:r w:rsidRPr="00891AB3">
                  <w:rPr>
                    <w:rFonts w:ascii="Times New Roman" w:eastAsia="Times New Roman" w:hAnsi="Times New Roman"/>
                    <w:sz w:val="16"/>
                    <w:szCs w:val="16"/>
                    <w:lang w:eastAsia="es-CO"/>
                  </w:rPr>
                  <w:t>9.223.245.405</w:t>
                </w:r>
              </w:p>
            </w:tc>
            <w:tc>
              <w:tcPr>
                <w:tcW w:w="834" w:type="pct"/>
                <w:shd w:val="clear" w:color="auto" w:fill="auto"/>
                <w:noWrap/>
                <w:vAlign w:val="center"/>
                <w:hideMark/>
              </w:tcPr>
              <w:p w14:paraId="211E54EB" w14:textId="0F62DFE0" w:rsidR="005B4562" w:rsidRPr="00BC7EC5" w:rsidRDefault="00891AB3" w:rsidP="005B4562">
                <w:pPr>
                  <w:spacing w:after="0" w:line="240" w:lineRule="auto"/>
                  <w:jc w:val="right"/>
                  <w:rPr>
                    <w:rFonts w:ascii="Times New Roman" w:eastAsia="Times New Roman" w:hAnsi="Times New Roman"/>
                    <w:sz w:val="16"/>
                    <w:szCs w:val="16"/>
                    <w:lang w:eastAsia="es-CO"/>
                  </w:rPr>
                </w:pPr>
                <w:r w:rsidRPr="00891AB3">
                  <w:rPr>
                    <w:rFonts w:ascii="Times New Roman" w:eastAsia="Times New Roman" w:hAnsi="Times New Roman"/>
                    <w:sz w:val="16"/>
                    <w:szCs w:val="16"/>
                    <w:lang w:eastAsia="es-CO"/>
                  </w:rPr>
                  <w:t>9.223.245.405</w:t>
                </w:r>
              </w:p>
            </w:tc>
            <w:tc>
              <w:tcPr>
                <w:tcW w:w="724" w:type="pct"/>
                <w:shd w:val="clear" w:color="auto" w:fill="auto"/>
                <w:noWrap/>
                <w:vAlign w:val="center"/>
                <w:hideMark/>
              </w:tcPr>
              <w:p w14:paraId="23AC7957" w14:textId="4C3FA7AC" w:rsidR="005B4562" w:rsidRPr="00BC7EC5" w:rsidRDefault="005B4562" w:rsidP="00BC7EC5">
                <w:pPr>
                  <w:spacing w:after="0" w:line="240" w:lineRule="auto"/>
                  <w:jc w:val="right"/>
                  <w:rPr>
                    <w:rFonts w:ascii="Times New Roman" w:eastAsia="Times New Roman" w:hAnsi="Times New Roman"/>
                    <w:sz w:val="16"/>
                    <w:szCs w:val="16"/>
                    <w:lang w:eastAsia="es-CO"/>
                  </w:rPr>
                </w:pPr>
                <w:r w:rsidRPr="00BC7EC5">
                  <w:rPr>
                    <w:rFonts w:ascii="Times New Roman" w:eastAsia="Times New Roman" w:hAnsi="Times New Roman"/>
                    <w:sz w:val="16"/>
                    <w:szCs w:val="16"/>
                    <w:lang w:eastAsia="es-CO"/>
                  </w:rPr>
                  <w:t>-</w:t>
                </w:r>
              </w:p>
            </w:tc>
          </w:tr>
        </w:tbl>
        <w:p w14:paraId="2885F2EF" w14:textId="4C8CB892" w:rsidR="00B0616F" w:rsidRPr="00931DCE" w:rsidRDefault="00AD2026" w:rsidP="00C65C6A">
          <w:pPr>
            <w:spacing w:after="0" w:line="240" w:lineRule="auto"/>
            <w:rPr>
              <w:rFonts w:ascii="Times New Roman" w:hAnsi="Times New Roman"/>
              <w:b/>
              <w:bCs/>
            </w:rPr>
          </w:pPr>
          <w:r w:rsidRPr="00931DCE">
            <w:rPr>
              <w:rFonts w:ascii="Times New Roman" w:hAnsi="Times New Roman"/>
              <w:sz w:val="14"/>
              <w:szCs w:val="14"/>
            </w:rPr>
            <w:t>Cifras expresadas en pesos</w:t>
          </w:r>
        </w:p>
        <w:p w14:paraId="4CCFADC3" w14:textId="77777777" w:rsidR="00C65C6A" w:rsidRPr="00931DCE" w:rsidRDefault="00C65C6A" w:rsidP="00C65C6A">
          <w:pPr>
            <w:spacing w:after="0" w:line="240" w:lineRule="auto"/>
            <w:jc w:val="both"/>
            <w:rPr>
              <w:rFonts w:ascii="Times New Roman" w:hAnsi="Times New Roman"/>
              <w:sz w:val="24"/>
              <w:szCs w:val="24"/>
            </w:rPr>
          </w:pPr>
        </w:p>
        <w:p w14:paraId="35C57724" w14:textId="029B3404" w:rsidR="00B0616F" w:rsidRPr="00931DCE" w:rsidRDefault="00B0616F" w:rsidP="00C65C6A">
          <w:pPr>
            <w:spacing w:after="0" w:line="240" w:lineRule="auto"/>
            <w:jc w:val="both"/>
            <w:rPr>
              <w:rFonts w:ascii="Times New Roman" w:hAnsi="Times New Roman"/>
              <w:sz w:val="24"/>
              <w:szCs w:val="24"/>
            </w:rPr>
          </w:pPr>
          <w:r w:rsidRPr="00931DCE">
            <w:rPr>
              <w:rFonts w:ascii="Times New Roman" w:hAnsi="Times New Roman"/>
              <w:sz w:val="24"/>
              <w:szCs w:val="24"/>
            </w:rPr>
            <w:t>A continuación, se detallan los saldos corrientes, no corriente y el deterioro relacionado con esta cuenta, con corte al 31 de diciembre de 202</w:t>
          </w:r>
          <w:r w:rsidR="000D64CC">
            <w:rPr>
              <w:rFonts w:ascii="Times New Roman" w:hAnsi="Times New Roman"/>
              <w:sz w:val="24"/>
              <w:szCs w:val="24"/>
            </w:rPr>
            <w:t>3</w:t>
          </w:r>
          <w:r w:rsidRPr="00931DCE">
            <w:rPr>
              <w:rFonts w:ascii="Times New Roman" w:hAnsi="Times New Roman"/>
              <w:sz w:val="24"/>
              <w:szCs w:val="24"/>
            </w:rPr>
            <w:t>:</w:t>
          </w:r>
        </w:p>
        <w:p w14:paraId="7A2B3D9A" w14:textId="77777777" w:rsidR="00FB501A" w:rsidRDefault="00FB501A" w:rsidP="00C65C6A">
          <w:pPr>
            <w:spacing w:after="0" w:line="240" w:lineRule="auto"/>
            <w:jc w:val="both"/>
            <w:rPr>
              <w:rFonts w:ascii="Times New Roman" w:hAnsi="Times New Roman"/>
              <w:sz w:val="24"/>
              <w:szCs w:val="24"/>
            </w:rPr>
          </w:pP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4A0" w:firstRow="1" w:lastRow="0" w:firstColumn="1" w:lastColumn="0" w:noHBand="0" w:noVBand="1"/>
          </w:tblPr>
          <w:tblGrid>
            <w:gridCol w:w="2299"/>
            <w:gridCol w:w="840"/>
            <w:gridCol w:w="945"/>
            <w:gridCol w:w="945"/>
            <w:gridCol w:w="700"/>
            <w:gridCol w:w="700"/>
            <w:gridCol w:w="583"/>
            <w:gridCol w:w="700"/>
            <w:gridCol w:w="312"/>
            <w:gridCol w:w="945"/>
          </w:tblGrid>
          <w:tr w:rsidR="00FB501A" w:rsidRPr="00FB501A" w14:paraId="7C6E0E80" w14:textId="77777777" w:rsidTr="004E5925">
            <w:trPr>
              <w:cantSplit/>
              <w:trHeight w:val="1423"/>
            </w:trPr>
            <w:tc>
              <w:tcPr>
                <w:tcW w:w="1282" w:type="pct"/>
                <w:shd w:val="clear" w:color="auto" w:fill="auto"/>
                <w:textDirection w:val="btLr"/>
                <w:vAlign w:val="center"/>
                <w:hideMark/>
              </w:tcPr>
              <w:p w14:paraId="2CFF3DDC" w14:textId="77777777" w:rsidR="00FB501A" w:rsidRPr="004411C6" w:rsidRDefault="00FB501A" w:rsidP="00CA06D2">
                <w:pPr>
                  <w:spacing w:after="0" w:line="240" w:lineRule="auto"/>
                  <w:ind w:left="113" w:right="113"/>
                  <w:jc w:val="center"/>
                  <w:rPr>
                    <w:rFonts w:ascii="Times New Roman" w:eastAsia="Times New Roman" w:hAnsi="Times New Roman"/>
                    <w:b/>
                    <w:sz w:val="14"/>
                    <w:szCs w:val="14"/>
                    <w:lang w:eastAsia="es-CO"/>
                  </w:rPr>
                </w:pPr>
                <w:r w:rsidRPr="004411C6">
                  <w:rPr>
                    <w:rFonts w:ascii="Times New Roman" w:eastAsia="Times New Roman" w:hAnsi="Times New Roman"/>
                    <w:b/>
                    <w:sz w:val="14"/>
                    <w:szCs w:val="14"/>
                    <w:lang w:eastAsia="es-CO"/>
                  </w:rPr>
                  <w:t>CONCEPTO</w:t>
                </w:r>
              </w:p>
            </w:tc>
            <w:tc>
              <w:tcPr>
                <w:tcW w:w="468" w:type="pct"/>
                <w:shd w:val="clear" w:color="auto" w:fill="auto"/>
                <w:textDirection w:val="btLr"/>
                <w:vAlign w:val="center"/>
                <w:hideMark/>
              </w:tcPr>
              <w:p w14:paraId="56F4F584" w14:textId="77777777" w:rsidR="00FB501A" w:rsidRPr="004411C6" w:rsidRDefault="00FB501A" w:rsidP="00CA06D2">
                <w:pPr>
                  <w:spacing w:after="0" w:line="240" w:lineRule="auto"/>
                  <w:ind w:left="113" w:right="113"/>
                  <w:jc w:val="center"/>
                  <w:rPr>
                    <w:rFonts w:ascii="Times New Roman" w:eastAsia="Times New Roman" w:hAnsi="Times New Roman"/>
                    <w:b/>
                    <w:sz w:val="14"/>
                    <w:szCs w:val="14"/>
                    <w:lang w:eastAsia="es-CO"/>
                  </w:rPr>
                </w:pPr>
                <w:r w:rsidRPr="004411C6">
                  <w:rPr>
                    <w:rFonts w:ascii="Times New Roman" w:eastAsia="Times New Roman" w:hAnsi="Times New Roman"/>
                    <w:b/>
                    <w:sz w:val="14"/>
                    <w:szCs w:val="14"/>
                    <w:lang w:eastAsia="es-CO"/>
                  </w:rPr>
                  <w:t>SALDO CORRIENTE</w:t>
                </w:r>
              </w:p>
            </w:tc>
            <w:tc>
              <w:tcPr>
                <w:tcW w:w="527" w:type="pct"/>
                <w:shd w:val="clear" w:color="auto" w:fill="auto"/>
                <w:textDirection w:val="btLr"/>
                <w:vAlign w:val="center"/>
                <w:hideMark/>
              </w:tcPr>
              <w:p w14:paraId="0E7BA591" w14:textId="77777777" w:rsidR="00FB501A" w:rsidRPr="004411C6" w:rsidRDefault="00FB501A" w:rsidP="00CA06D2">
                <w:pPr>
                  <w:spacing w:after="0" w:line="240" w:lineRule="auto"/>
                  <w:ind w:left="113" w:right="113"/>
                  <w:jc w:val="center"/>
                  <w:rPr>
                    <w:rFonts w:ascii="Times New Roman" w:eastAsia="Times New Roman" w:hAnsi="Times New Roman"/>
                    <w:b/>
                    <w:sz w:val="14"/>
                    <w:szCs w:val="14"/>
                    <w:lang w:eastAsia="es-CO"/>
                  </w:rPr>
                </w:pPr>
                <w:r w:rsidRPr="004411C6">
                  <w:rPr>
                    <w:rFonts w:ascii="Times New Roman" w:eastAsia="Times New Roman" w:hAnsi="Times New Roman"/>
                    <w:b/>
                    <w:sz w:val="14"/>
                    <w:szCs w:val="14"/>
                    <w:lang w:eastAsia="es-CO"/>
                  </w:rPr>
                  <w:t>SALDO NO CORRIENTE</w:t>
                </w:r>
              </w:p>
            </w:tc>
            <w:tc>
              <w:tcPr>
                <w:tcW w:w="527" w:type="pct"/>
                <w:shd w:val="clear" w:color="auto" w:fill="auto"/>
                <w:textDirection w:val="btLr"/>
                <w:vAlign w:val="center"/>
                <w:hideMark/>
              </w:tcPr>
              <w:p w14:paraId="388B72A2" w14:textId="77777777" w:rsidR="00FB501A" w:rsidRPr="004411C6" w:rsidRDefault="00FB501A" w:rsidP="00CA06D2">
                <w:pPr>
                  <w:spacing w:after="0" w:line="240" w:lineRule="auto"/>
                  <w:ind w:left="113" w:right="113"/>
                  <w:jc w:val="center"/>
                  <w:rPr>
                    <w:rFonts w:ascii="Times New Roman" w:eastAsia="Times New Roman" w:hAnsi="Times New Roman"/>
                    <w:b/>
                    <w:sz w:val="14"/>
                    <w:szCs w:val="14"/>
                    <w:lang w:eastAsia="es-CO"/>
                  </w:rPr>
                </w:pPr>
                <w:r w:rsidRPr="004411C6">
                  <w:rPr>
                    <w:rFonts w:ascii="Times New Roman" w:eastAsia="Times New Roman" w:hAnsi="Times New Roman"/>
                    <w:b/>
                    <w:sz w:val="14"/>
                    <w:szCs w:val="14"/>
                    <w:lang w:eastAsia="es-CO"/>
                  </w:rPr>
                  <w:t>SALDO FINAL</w:t>
                </w:r>
              </w:p>
            </w:tc>
            <w:tc>
              <w:tcPr>
                <w:tcW w:w="390" w:type="pct"/>
                <w:shd w:val="clear" w:color="auto" w:fill="auto"/>
                <w:textDirection w:val="btLr"/>
                <w:vAlign w:val="center"/>
                <w:hideMark/>
              </w:tcPr>
              <w:p w14:paraId="58B98B37" w14:textId="77777777" w:rsidR="00FB501A" w:rsidRPr="004411C6" w:rsidRDefault="00FB501A" w:rsidP="00CA06D2">
                <w:pPr>
                  <w:spacing w:after="0" w:line="240" w:lineRule="auto"/>
                  <w:ind w:left="113" w:right="113"/>
                  <w:jc w:val="center"/>
                  <w:rPr>
                    <w:rFonts w:ascii="Times New Roman" w:eastAsia="Times New Roman" w:hAnsi="Times New Roman"/>
                    <w:b/>
                    <w:sz w:val="14"/>
                    <w:szCs w:val="14"/>
                    <w:lang w:eastAsia="es-CO"/>
                  </w:rPr>
                </w:pPr>
                <w:r w:rsidRPr="004411C6">
                  <w:rPr>
                    <w:rFonts w:ascii="Times New Roman" w:eastAsia="Times New Roman" w:hAnsi="Times New Roman"/>
                    <w:b/>
                    <w:sz w:val="14"/>
                    <w:szCs w:val="14"/>
                    <w:lang w:eastAsia="es-CO"/>
                  </w:rPr>
                  <w:t>SALDO INICIAL</w:t>
                </w:r>
              </w:p>
            </w:tc>
            <w:tc>
              <w:tcPr>
                <w:tcW w:w="390" w:type="pct"/>
                <w:shd w:val="clear" w:color="auto" w:fill="auto"/>
                <w:textDirection w:val="btLr"/>
                <w:vAlign w:val="center"/>
                <w:hideMark/>
              </w:tcPr>
              <w:p w14:paraId="611E9911" w14:textId="77777777" w:rsidR="00FB501A" w:rsidRPr="004411C6" w:rsidRDefault="00FB501A" w:rsidP="00CA06D2">
                <w:pPr>
                  <w:spacing w:after="0" w:line="240" w:lineRule="auto"/>
                  <w:ind w:left="113" w:right="113"/>
                  <w:jc w:val="center"/>
                  <w:rPr>
                    <w:rFonts w:ascii="Times New Roman" w:eastAsia="Times New Roman" w:hAnsi="Times New Roman"/>
                    <w:b/>
                    <w:sz w:val="14"/>
                    <w:szCs w:val="14"/>
                    <w:lang w:eastAsia="es-CO"/>
                  </w:rPr>
                </w:pPr>
                <w:r w:rsidRPr="004411C6">
                  <w:rPr>
                    <w:rFonts w:ascii="Times New Roman" w:eastAsia="Times New Roman" w:hAnsi="Times New Roman"/>
                    <w:b/>
                    <w:sz w:val="14"/>
                    <w:szCs w:val="14"/>
                    <w:lang w:eastAsia="es-CO"/>
                  </w:rPr>
                  <w:t>(+) DETERIORO APLICADO EN LA VIGENCIA</w:t>
                </w:r>
              </w:p>
            </w:tc>
            <w:tc>
              <w:tcPr>
                <w:tcW w:w="365" w:type="pct"/>
                <w:shd w:val="clear" w:color="auto" w:fill="auto"/>
                <w:textDirection w:val="btLr"/>
                <w:vAlign w:val="center"/>
                <w:hideMark/>
              </w:tcPr>
              <w:p w14:paraId="6DE30414" w14:textId="77777777" w:rsidR="00FB501A" w:rsidRPr="004411C6" w:rsidRDefault="00FB501A" w:rsidP="00CA06D2">
                <w:pPr>
                  <w:spacing w:after="0" w:line="240" w:lineRule="auto"/>
                  <w:ind w:left="113" w:right="113"/>
                  <w:jc w:val="center"/>
                  <w:rPr>
                    <w:rFonts w:ascii="Times New Roman" w:eastAsia="Times New Roman" w:hAnsi="Times New Roman"/>
                    <w:b/>
                    <w:sz w:val="14"/>
                    <w:szCs w:val="14"/>
                    <w:lang w:eastAsia="es-CO"/>
                  </w:rPr>
                </w:pPr>
                <w:r w:rsidRPr="004411C6">
                  <w:rPr>
                    <w:rFonts w:ascii="Times New Roman" w:eastAsia="Times New Roman" w:hAnsi="Times New Roman"/>
                    <w:b/>
                    <w:sz w:val="14"/>
                    <w:szCs w:val="14"/>
                    <w:lang w:eastAsia="es-CO"/>
                  </w:rPr>
                  <w:t>(-) REVERSIÓN DE DETERIORO EN LA VIGENCIA</w:t>
                </w:r>
              </w:p>
            </w:tc>
            <w:tc>
              <w:tcPr>
                <w:tcW w:w="336" w:type="pct"/>
                <w:shd w:val="clear" w:color="auto" w:fill="auto"/>
                <w:textDirection w:val="btLr"/>
                <w:vAlign w:val="center"/>
                <w:hideMark/>
              </w:tcPr>
              <w:p w14:paraId="39206A7A" w14:textId="77777777" w:rsidR="00FB501A" w:rsidRPr="004411C6" w:rsidRDefault="00FB501A" w:rsidP="00CA06D2">
                <w:pPr>
                  <w:spacing w:after="0" w:line="240" w:lineRule="auto"/>
                  <w:ind w:left="113" w:right="113"/>
                  <w:jc w:val="center"/>
                  <w:rPr>
                    <w:rFonts w:ascii="Times New Roman" w:eastAsia="Times New Roman" w:hAnsi="Times New Roman"/>
                    <w:b/>
                    <w:sz w:val="14"/>
                    <w:szCs w:val="14"/>
                    <w:lang w:eastAsia="es-CO"/>
                  </w:rPr>
                </w:pPr>
                <w:r w:rsidRPr="004411C6">
                  <w:rPr>
                    <w:rFonts w:ascii="Times New Roman" w:eastAsia="Times New Roman" w:hAnsi="Times New Roman"/>
                    <w:b/>
                    <w:sz w:val="14"/>
                    <w:szCs w:val="14"/>
                    <w:lang w:eastAsia="es-CO"/>
                  </w:rPr>
                  <w:t>SALDO FINAL</w:t>
                </w:r>
              </w:p>
            </w:tc>
            <w:tc>
              <w:tcPr>
                <w:tcW w:w="188" w:type="pct"/>
                <w:shd w:val="clear" w:color="auto" w:fill="auto"/>
                <w:textDirection w:val="btLr"/>
                <w:vAlign w:val="center"/>
                <w:hideMark/>
              </w:tcPr>
              <w:p w14:paraId="2BA1A3DC" w14:textId="77777777" w:rsidR="00FB501A" w:rsidRPr="004411C6" w:rsidRDefault="00FB501A" w:rsidP="00CA06D2">
                <w:pPr>
                  <w:spacing w:after="0" w:line="240" w:lineRule="auto"/>
                  <w:ind w:left="113" w:right="113"/>
                  <w:jc w:val="center"/>
                  <w:rPr>
                    <w:rFonts w:ascii="Times New Roman" w:eastAsia="Times New Roman" w:hAnsi="Times New Roman"/>
                    <w:b/>
                    <w:sz w:val="14"/>
                    <w:szCs w:val="14"/>
                    <w:lang w:eastAsia="es-CO"/>
                  </w:rPr>
                </w:pPr>
                <w:r w:rsidRPr="004411C6">
                  <w:rPr>
                    <w:rFonts w:ascii="Times New Roman" w:eastAsia="Times New Roman" w:hAnsi="Times New Roman"/>
                    <w:b/>
                    <w:sz w:val="14"/>
                    <w:szCs w:val="14"/>
                    <w:lang w:eastAsia="es-CO"/>
                  </w:rPr>
                  <w:t>%</w:t>
                </w:r>
              </w:p>
            </w:tc>
            <w:tc>
              <w:tcPr>
                <w:tcW w:w="527" w:type="pct"/>
                <w:shd w:val="clear" w:color="auto" w:fill="auto"/>
                <w:textDirection w:val="btLr"/>
                <w:vAlign w:val="center"/>
                <w:hideMark/>
              </w:tcPr>
              <w:p w14:paraId="73180B15" w14:textId="77777777" w:rsidR="00FB501A" w:rsidRPr="004411C6" w:rsidRDefault="00FB501A" w:rsidP="00CA06D2">
                <w:pPr>
                  <w:spacing w:after="0" w:line="240" w:lineRule="auto"/>
                  <w:ind w:left="113" w:right="113"/>
                  <w:jc w:val="center"/>
                  <w:rPr>
                    <w:rFonts w:ascii="Times New Roman" w:eastAsia="Times New Roman" w:hAnsi="Times New Roman"/>
                    <w:b/>
                    <w:sz w:val="14"/>
                    <w:szCs w:val="14"/>
                    <w:lang w:eastAsia="es-CO"/>
                  </w:rPr>
                </w:pPr>
                <w:r w:rsidRPr="004411C6">
                  <w:rPr>
                    <w:rFonts w:ascii="Times New Roman" w:eastAsia="Times New Roman" w:hAnsi="Times New Roman"/>
                    <w:b/>
                    <w:sz w:val="14"/>
                    <w:szCs w:val="14"/>
                    <w:lang w:eastAsia="es-CO"/>
                  </w:rPr>
                  <w:t>SALDO DESPUÉS DE DETERIORO</w:t>
                </w:r>
              </w:p>
            </w:tc>
          </w:tr>
          <w:tr w:rsidR="00FB501A" w:rsidRPr="00FB501A" w14:paraId="5F590BF6" w14:textId="77777777" w:rsidTr="00934FB1">
            <w:trPr>
              <w:trHeight w:val="285"/>
            </w:trPr>
            <w:tc>
              <w:tcPr>
                <w:tcW w:w="1282" w:type="pct"/>
                <w:shd w:val="clear" w:color="auto" w:fill="auto"/>
                <w:noWrap/>
                <w:vAlign w:val="center"/>
                <w:hideMark/>
              </w:tcPr>
              <w:p w14:paraId="252F37AB" w14:textId="77777777" w:rsidR="00FB501A" w:rsidRPr="004411C6" w:rsidRDefault="00FB501A" w:rsidP="00FB501A">
                <w:pPr>
                  <w:spacing w:after="0" w:line="240" w:lineRule="auto"/>
                  <w:rPr>
                    <w:rFonts w:ascii="Times New Roman" w:eastAsia="Times New Roman" w:hAnsi="Times New Roman"/>
                    <w:b/>
                    <w:color w:val="000000"/>
                    <w:sz w:val="14"/>
                    <w:szCs w:val="14"/>
                    <w:lang w:eastAsia="es-CO"/>
                  </w:rPr>
                </w:pPr>
                <w:r w:rsidRPr="004411C6">
                  <w:rPr>
                    <w:rFonts w:ascii="Times New Roman" w:eastAsia="Times New Roman" w:hAnsi="Times New Roman"/>
                    <w:b/>
                    <w:color w:val="000000"/>
                    <w:sz w:val="14"/>
                    <w:szCs w:val="14"/>
                    <w:lang w:eastAsia="es-CO"/>
                  </w:rPr>
                  <w:t>OTRAS CUENTAS POR COBRAR</w:t>
                </w:r>
              </w:p>
            </w:tc>
            <w:tc>
              <w:tcPr>
                <w:tcW w:w="468" w:type="pct"/>
                <w:shd w:val="clear" w:color="auto" w:fill="auto"/>
                <w:noWrap/>
                <w:vAlign w:val="center"/>
                <w:hideMark/>
              </w:tcPr>
              <w:p w14:paraId="1F7755A4" w14:textId="77777777" w:rsidR="00FB501A" w:rsidRPr="004411C6" w:rsidRDefault="00FB501A" w:rsidP="00FB501A">
                <w:pPr>
                  <w:spacing w:after="0" w:line="240" w:lineRule="auto"/>
                  <w:jc w:val="right"/>
                  <w:rPr>
                    <w:rFonts w:ascii="Times New Roman" w:eastAsia="Times New Roman" w:hAnsi="Times New Roman"/>
                    <w:b/>
                    <w:sz w:val="14"/>
                    <w:szCs w:val="14"/>
                    <w:lang w:eastAsia="es-CO"/>
                  </w:rPr>
                </w:pPr>
                <w:r w:rsidRPr="004411C6">
                  <w:rPr>
                    <w:rFonts w:ascii="Times New Roman" w:eastAsia="Times New Roman" w:hAnsi="Times New Roman"/>
                    <w:b/>
                    <w:sz w:val="14"/>
                    <w:szCs w:val="14"/>
                    <w:lang w:eastAsia="es-CO"/>
                  </w:rPr>
                  <w:t xml:space="preserve">158.882.422 </w:t>
                </w:r>
              </w:p>
            </w:tc>
            <w:tc>
              <w:tcPr>
                <w:tcW w:w="527" w:type="pct"/>
                <w:shd w:val="clear" w:color="auto" w:fill="auto"/>
                <w:noWrap/>
                <w:vAlign w:val="center"/>
                <w:hideMark/>
              </w:tcPr>
              <w:p w14:paraId="401D4919" w14:textId="77777777" w:rsidR="00FB501A" w:rsidRPr="004411C6" w:rsidRDefault="00FB501A" w:rsidP="00FB501A">
                <w:pPr>
                  <w:spacing w:after="0" w:line="240" w:lineRule="auto"/>
                  <w:jc w:val="right"/>
                  <w:rPr>
                    <w:rFonts w:ascii="Times New Roman" w:eastAsia="Times New Roman" w:hAnsi="Times New Roman"/>
                    <w:b/>
                    <w:sz w:val="14"/>
                    <w:szCs w:val="14"/>
                    <w:lang w:eastAsia="es-CO"/>
                  </w:rPr>
                </w:pPr>
                <w:r w:rsidRPr="004411C6">
                  <w:rPr>
                    <w:rFonts w:ascii="Times New Roman" w:eastAsia="Times New Roman" w:hAnsi="Times New Roman"/>
                    <w:b/>
                    <w:sz w:val="14"/>
                    <w:szCs w:val="14"/>
                    <w:lang w:eastAsia="es-CO"/>
                  </w:rPr>
                  <w:t xml:space="preserve">9.263.851.417 </w:t>
                </w:r>
              </w:p>
            </w:tc>
            <w:tc>
              <w:tcPr>
                <w:tcW w:w="527" w:type="pct"/>
                <w:shd w:val="clear" w:color="auto" w:fill="auto"/>
                <w:noWrap/>
                <w:vAlign w:val="center"/>
                <w:hideMark/>
              </w:tcPr>
              <w:p w14:paraId="3E8A19BA" w14:textId="56FD1CAA" w:rsidR="00FB501A" w:rsidRPr="004411C6" w:rsidRDefault="00FB501A" w:rsidP="00FB501A">
                <w:pPr>
                  <w:spacing w:after="0" w:line="240" w:lineRule="auto"/>
                  <w:jc w:val="right"/>
                  <w:rPr>
                    <w:rFonts w:ascii="Times New Roman" w:eastAsia="Times New Roman" w:hAnsi="Times New Roman"/>
                    <w:b/>
                    <w:sz w:val="14"/>
                    <w:szCs w:val="14"/>
                    <w:lang w:eastAsia="es-CO"/>
                  </w:rPr>
                </w:pPr>
                <w:r w:rsidRPr="004411C6">
                  <w:rPr>
                    <w:rFonts w:ascii="Times New Roman" w:eastAsia="Times New Roman" w:hAnsi="Times New Roman"/>
                    <w:b/>
                    <w:sz w:val="14"/>
                    <w:szCs w:val="14"/>
                    <w:lang w:eastAsia="es-CO"/>
                  </w:rPr>
                  <w:t>9.422.733.83</w:t>
                </w:r>
                <w:r w:rsidR="008C624A">
                  <w:rPr>
                    <w:rFonts w:ascii="Times New Roman" w:eastAsia="Times New Roman" w:hAnsi="Times New Roman"/>
                    <w:b/>
                    <w:sz w:val="14"/>
                    <w:szCs w:val="14"/>
                    <w:lang w:eastAsia="es-CO"/>
                  </w:rPr>
                  <w:t>8</w:t>
                </w:r>
                <w:r w:rsidRPr="004411C6">
                  <w:rPr>
                    <w:rFonts w:ascii="Times New Roman" w:eastAsia="Times New Roman" w:hAnsi="Times New Roman"/>
                    <w:b/>
                    <w:sz w:val="14"/>
                    <w:szCs w:val="14"/>
                    <w:lang w:eastAsia="es-CO"/>
                  </w:rPr>
                  <w:t xml:space="preserve"> </w:t>
                </w:r>
              </w:p>
            </w:tc>
            <w:tc>
              <w:tcPr>
                <w:tcW w:w="390" w:type="pct"/>
                <w:shd w:val="clear" w:color="auto" w:fill="auto"/>
                <w:noWrap/>
                <w:vAlign w:val="center"/>
                <w:hideMark/>
              </w:tcPr>
              <w:p w14:paraId="5309BFA6" w14:textId="77777777" w:rsidR="00FB501A" w:rsidRPr="004411C6" w:rsidRDefault="00FB501A" w:rsidP="00FB501A">
                <w:pPr>
                  <w:spacing w:after="0" w:line="240" w:lineRule="auto"/>
                  <w:jc w:val="right"/>
                  <w:rPr>
                    <w:rFonts w:ascii="Times New Roman" w:eastAsia="Times New Roman" w:hAnsi="Times New Roman"/>
                    <w:b/>
                    <w:sz w:val="14"/>
                    <w:szCs w:val="14"/>
                    <w:lang w:eastAsia="es-CO"/>
                  </w:rPr>
                </w:pPr>
                <w:r w:rsidRPr="004411C6">
                  <w:rPr>
                    <w:rFonts w:ascii="Times New Roman" w:eastAsia="Times New Roman" w:hAnsi="Times New Roman"/>
                    <w:b/>
                    <w:sz w:val="14"/>
                    <w:szCs w:val="14"/>
                    <w:lang w:eastAsia="es-CO"/>
                  </w:rPr>
                  <w:t xml:space="preserve">0 </w:t>
                </w:r>
              </w:p>
            </w:tc>
            <w:tc>
              <w:tcPr>
                <w:tcW w:w="390" w:type="pct"/>
                <w:shd w:val="clear" w:color="auto" w:fill="auto"/>
                <w:noWrap/>
                <w:vAlign w:val="center"/>
                <w:hideMark/>
              </w:tcPr>
              <w:p w14:paraId="380A1D4B" w14:textId="77777777" w:rsidR="00FB501A" w:rsidRPr="004411C6" w:rsidRDefault="00FB501A" w:rsidP="00FB501A">
                <w:pPr>
                  <w:spacing w:after="0" w:line="240" w:lineRule="auto"/>
                  <w:jc w:val="right"/>
                  <w:rPr>
                    <w:rFonts w:ascii="Times New Roman" w:eastAsia="Times New Roman" w:hAnsi="Times New Roman"/>
                    <w:b/>
                    <w:sz w:val="14"/>
                    <w:szCs w:val="14"/>
                    <w:lang w:eastAsia="es-CO"/>
                  </w:rPr>
                </w:pPr>
                <w:r w:rsidRPr="004411C6">
                  <w:rPr>
                    <w:rFonts w:ascii="Times New Roman" w:eastAsia="Times New Roman" w:hAnsi="Times New Roman"/>
                    <w:b/>
                    <w:sz w:val="14"/>
                    <w:szCs w:val="14"/>
                    <w:lang w:eastAsia="es-CO"/>
                  </w:rPr>
                  <w:t xml:space="preserve">0 </w:t>
                </w:r>
              </w:p>
            </w:tc>
            <w:tc>
              <w:tcPr>
                <w:tcW w:w="365" w:type="pct"/>
                <w:shd w:val="clear" w:color="auto" w:fill="auto"/>
                <w:noWrap/>
                <w:vAlign w:val="center"/>
                <w:hideMark/>
              </w:tcPr>
              <w:p w14:paraId="7712A5DA" w14:textId="77777777" w:rsidR="00FB501A" w:rsidRPr="004411C6" w:rsidRDefault="00FB501A" w:rsidP="00FB501A">
                <w:pPr>
                  <w:spacing w:after="0" w:line="240" w:lineRule="auto"/>
                  <w:jc w:val="right"/>
                  <w:rPr>
                    <w:rFonts w:ascii="Times New Roman" w:eastAsia="Times New Roman" w:hAnsi="Times New Roman"/>
                    <w:b/>
                    <w:sz w:val="14"/>
                    <w:szCs w:val="14"/>
                    <w:lang w:eastAsia="es-CO"/>
                  </w:rPr>
                </w:pPr>
                <w:r w:rsidRPr="004411C6">
                  <w:rPr>
                    <w:rFonts w:ascii="Times New Roman" w:eastAsia="Times New Roman" w:hAnsi="Times New Roman"/>
                    <w:b/>
                    <w:sz w:val="14"/>
                    <w:szCs w:val="14"/>
                    <w:lang w:eastAsia="es-CO"/>
                  </w:rPr>
                  <w:t xml:space="preserve">0 </w:t>
                </w:r>
              </w:p>
            </w:tc>
            <w:tc>
              <w:tcPr>
                <w:tcW w:w="336" w:type="pct"/>
                <w:shd w:val="clear" w:color="auto" w:fill="auto"/>
                <w:noWrap/>
                <w:vAlign w:val="center"/>
                <w:hideMark/>
              </w:tcPr>
              <w:p w14:paraId="217193B5" w14:textId="77777777" w:rsidR="00FB501A" w:rsidRPr="004411C6" w:rsidRDefault="00FB501A" w:rsidP="00FB501A">
                <w:pPr>
                  <w:spacing w:after="0" w:line="240" w:lineRule="auto"/>
                  <w:jc w:val="right"/>
                  <w:rPr>
                    <w:rFonts w:ascii="Times New Roman" w:eastAsia="Times New Roman" w:hAnsi="Times New Roman"/>
                    <w:b/>
                    <w:sz w:val="14"/>
                    <w:szCs w:val="14"/>
                    <w:lang w:eastAsia="es-CO"/>
                  </w:rPr>
                </w:pPr>
                <w:r w:rsidRPr="004411C6">
                  <w:rPr>
                    <w:rFonts w:ascii="Times New Roman" w:eastAsia="Times New Roman" w:hAnsi="Times New Roman"/>
                    <w:b/>
                    <w:sz w:val="14"/>
                    <w:szCs w:val="14"/>
                    <w:lang w:eastAsia="es-CO"/>
                  </w:rPr>
                  <w:t xml:space="preserve">0 </w:t>
                </w:r>
              </w:p>
            </w:tc>
            <w:tc>
              <w:tcPr>
                <w:tcW w:w="188" w:type="pct"/>
                <w:shd w:val="clear" w:color="auto" w:fill="auto"/>
                <w:noWrap/>
                <w:vAlign w:val="center"/>
                <w:hideMark/>
              </w:tcPr>
              <w:p w14:paraId="1D3C55CE" w14:textId="77777777" w:rsidR="00FB501A" w:rsidRPr="004411C6" w:rsidRDefault="00FB501A" w:rsidP="00934FB1">
                <w:pPr>
                  <w:spacing w:after="0" w:line="240" w:lineRule="auto"/>
                  <w:jc w:val="right"/>
                  <w:rPr>
                    <w:rFonts w:ascii="Times New Roman" w:eastAsia="Times New Roman" w:hAnsi="Times New Roman"/>
                    <w:b/>
                    <w:sz w:val="14"/>
                    <w:szCs w:val="14"/>
                    <w:lang w:eastAsia="es-CO"/>
                  </w:rPr>
                </w:pPr>
                <w:r w:rsidRPr="004411C6">
                  <w:rPr>
                    <w:rFonts w:ascii="Times New Roman" w:eastAsia="Times New Roman" w:hAnsi="Times New Roman"/>
                    <w:b/>
                    <w:sz w:val="14"/>
                    <w:szCs w:val="14"/>
                    <w:lang w:eastAsia="es-CO"/>
                  </w:rPr>
                  <w:t xml:space="preserve">0 </w:t>
                </w:r>
              </w:p>
            </w:tc>
            <w:tc>
              <w:tcPr>
                <w:tcW w:w="527" w:type="pct"/>
                <w:shd w:val="clear" w:color="auto" w:fill="auto"/>
                <w:noWrap/>
                <w:vAlign w:val="center"/>
                <w:hideMark/>
              </w:tcPr>
              <w:p w14:paraId="2EB48B84" w14:textId="77777777" w:rsidR="00FB501A" w:rsidRPr="004411C6" w:rsidRDefault="00FB501A" w:rsidP="00FB501A">
                <w:pPr>
                  <w:spacing w:after="0" w:line="240" w:lineRule="auto"/>
                  <w:jc w:val="right"/>
                  <w:rPr>
                    <w:rFonts w:ascii="Times New Roman" w:eastAsia="Times New Roman" w:hAnsi="Times New Roman"/>
                    <w:b/>
                    <w:sz w:val="14"/>
                    <w:szCs w:val="14"/>
                    <w:lang w:eastAsia="es-CO"/>
                  </w:rPr>
                </w:pPr>
                <w:r w:rsidRPr="004411C6">
                  <w:rPr>
                    <w:rFonts w:ascii="Times New Roman" w:eastAsia="Times New Roman" w:hAnsi="Times New Roman"/>
                    <w:b/>
                    <w:sz w:val="14"/>
                    <w:szCs w:val="14"/>
                    <w:lang w:eastAsia="es-CO"/>
                  </w:rPr>
                  <w:t xml:space="preserve">9.422.733.839 </w:t>
                </w:r>
              </w:p>
            </w:tc>
          </w:tr>
          <w:tr w:rsidR="00FB501A" w:rsidRPr="00FB501A" w14:paraId="41A6094A" w14:textId="77777777" w:rsidTr="00934FB1">
            <w:trPr>
              <w:trHeight w:val="300"/>
            </w:trPr>
            <w:tc>
              <w:tcPr>
                <w:tcW w:w="1282" w:type="pct"/>
                <w:shd w:val="clear" w:color="auto" w:fill="auto"/>
                <w:vAlign w:val="center"/>
                <w:hideMark/>
              </w:tcPr>
              <w:p w14:paraId="762CC15E" w14:textId="77777777" w:rsidR="00FB501A" w:rsidRPr="004411C6" w:rsidRDefault="00FB501A" w:rsidP="00FB501A">
                <w:pPr>
                  <w:spacing w:after="0" w:line="240" w:lineRule="auto"/>
                  <w:rPr>
                    <w:rFonts w:ascii="Times New Roman" w:eastAsia="Times New Roman" w:hAnsi="Times New Roman"/>
                    <w:sz w:val="14"/>
                    <w:szCs w:val="14"/>
                    <w:lang w:eastAsia="es-CO"/>
                  </w:rPr>
                </w:pPr>
                <w:r w:rsidRPr="004411C6">
                  <w:rPr>
                    <w:rFonts w:ascii="Times New Roman" w:eastAsia="Times New Roman" w:hAnsi="Times New Roman"/>
                    <w:sz w:val="14"/>
                    <w:szCs w:val="14"/>
                    <w:lang w:eastAsia="es-CO"/>
                  </w:rPr>
                  <w:t>Derechos cobrados por terceros</w:t>
                </w:r>
              </w:p>
            </w:tc>
            <w:tc>
              <w:tcPr>
                <w:tcW w:w="468" w:type="pct"/>
                <w:shd w:val="clear" w:color="auto" w:fill="auto"/>
                <w:noWrap/>
                <w:vAlign w:val="center"/>
                <w:hideMark/>
              </w:tcPr>
              <w:p w14:paraId="2E032DA8" w14:textId="77777777" w:rsidR="00FB501A" w:rsidRPr="004411C6" w:rsidRDefault="00FB501A" w:rsidP="00FB501A">
                <w:pPr>
                  <w:spacing w:after="0" w:line="240" w:lineRule="auto"/>
                  <w:jc w:val="right"/>
                  <w:rPr>
                    <w:rFonts w:ascii="Times New Roman" w:eastAsia="Times New Roman" w:hAnsi="Times New Roman"/>
                    <w:sz w:val="14"/>
                    <w:szCs w:val="14"/>
                    <w:lang w:eastAsia="es-CO"/>
                  </w:rPr>
                </w:pPr>
                <w:r w:rsidRPr="004411C6">
                  <w:rPr>
                    <w:rFonts w:ascii="Times New Roman" w:eastAsia="Times New Roman" w:hAnsi="Times New Roman"/>
                    <w:sz w:val="14"/>
                    <w:szCs w:val="14"/>
                    <w:lang w:eastAsia="es-CO"/>
                  </w:rPr>
                  <w:t xml:space="preserve">123.065.699 </w:t>
                </w:r>
              </w:p>
            </w:tc>
            <w:tc>
              <w:tcPr>
                <w:tcW w:w="527" w:type="pct"/>
                <w:shd w:val="clear" w:color="auto" w:fill="auto"/>
                <w:noWrap/>
                <w:vAlign w:val="center"/>
                <w:hideMark/>
              </w:tcPr>
              <w:p w14:paraId="4AFB5F45" w14:textId="77777777" w:rsidR="00FB501A" w:rsidRPr="004411C6" w:rsidRDefault="00FB501A" w:rsidP="00FB501A">
                <w:pPr>
                  <w:spacing w:after="0" w:line="240" w:lineRule="auto"/>
                  <w:rPr>
                    <w:rFonts w:ascii="Times New Roman" w:eastAsia="Times New Roman" w:hAnsi="Times New Roman"/>
                    <w:sz w:val="14"/>
                    <w:szCs w:val="14"/>
                    <w:lang w:eastAsia="es-CO"/>
                  </w:rPr>
                </w:pPr>
                <w:r w:rsidRPr="004411C6">
                  <w:rPr>
                    <w:rFonts w:ascii="Times New Roman" w:eastAsia="Times New Roman" w:hAnsi="Times New Roman"/>
                    <w:sz w:val="14"/>
                    <w:szCs w:val="14"/>
                    <w:lang w:eastAsia="es-CO"/>
                  </w:rPr>
                  <w:t> </w:t>
                </w:r>
              </w:p>
            </w:tc>
            <w:tc>
              <w:tcPr>
                <w:tcW w:w="527" w:type="pct"/>
                <w:shd w:val="clear" w:color="auto" w:fill="auto"/>
                <w:noWrap/>
                <w:vAlign w:val="center"/>
                <w:hideMark/>
              </w:tcPr>
              <w:p w14:paraId="2882C0B8" w14:textId="77777777" w:rsidR="00FB501A" w:rsidRPr="004411C6" w:rsidRDefault="00FB501A" w:rsidP="00FB501A">
                <w:pPr>
                  <w:spacing w:after="0" w:line="240" w:lineRule="auto"/>
                  <w:jc w:val="right"/>
                  <w:rPr>
                    <w:rFonts w:ascii="Times New Roman" w:eastAsia="Times New Roman" w:hAnsi="Times New Roman"/>
                    <w:sz w:val="14"/>
                    <w:szCs w:val="14"/>
                    <w:lang w:eastAsia="es-CO"/>
                  </w:rPr>
                </w:pPr>
                <w:r w:rsidRPr="004411C6">
                  <w:rPr>
                    <w:rFonts w:ascii="Times New Roman" w:eastAsia="Times New Roman" w:hAnsi="Times New Roman"/>
                    <w:sz w:val="14"/>
                    <w:szCs w:val="14"/>
                    <w:lang w:eastAsia="es-CO"/>
                  </w:rPr>
                  <w:t xml:space="preserve">123.065.699 </w:t>
                </w:r>
              </w:p>
            </w:tc>
            <w:tc>
              <w:tcPr>
                <w:tcW w:w="390" w:type="pct"/>
                <w:shd w:val="clear" w:color="auto" w:fill="auto"/>
                <w:noWrap/>
                <w:vAlign w:val="center"/>
                <w:hideMark/>
              </w:tcPr>
              <w:p w14:paraId="3B2826D7" w14:textId="77777777" w:rsidR="00FB501A" w:rsidRPr="004411C6" w:rsidRDefault="00FB501A" w:rsidP="00FB501A">
                <w:pPr>
                  <w:spacing w:after="0" w:line="240" w:lineRule="auto"/>
                  <w:jc w:val="right"/>
                  <w:rPr>
                    <w:rFonts w:ascii="Times New Roman" w:eastAsia="Times New Roman" w:hAnsi="Times New Roman"/>
                    <w:sz w:val="14"/>
                    <w:szCs w:val="14"/>
                    <w:lang w:eastAsia="es-CO"/>
                  </w:rPr>
                </w:pPr>
                <w:r w:rsidRPr="004411C6">
                  <w:rPr>
                    <w:rFonts w:ascii="Times New Roman" w:eastAsia="Times New Roman" w:hAnsi="Times New Roman"/>
                    <w:sz w:val="14"/>
                    <w:szCs w:val="14"/>
                    <w:lang w:eastAsia="es-CO"/>
                  </w:rPr>
                  <w:t xml:space="preserve">0 </w:t>
                </w:r>
              </w:p>
            </w:tc>
            <w:tc>
              <w:tcPr>
                <w:tcW w:w="390" w:type="pct"/>
                <w:shd w:val="clear" w:color="auto" w:fill="auto"/>
                <w:noWrap/>
                <w:vAlign w:val="center"/>
                <w:hideMark/>
              </w:tcPr>
              <w:p w14:paraId="0E66D156" w14:textId="77777777" w:rsidR="00FB501A" w:rsidRPr="004411C6" w:rsidRDefault="00FB501A" w:rsidP="00FB501A">
                <w:pPr>
                  <w:spacing w:after="0" w:line="240" w:lineRule="auto"/>
                  <w:jc w:val="right"/>
                  <w:rPr>
                    <w:rFonts w:ascii="Times New Roman" w:eastAsia="Times New Roman" w:hAnsi="Times New Roman"/>
                    <w:sz w:val="14"/>
                    <w:szCs w:val="14"/>
                    <w:lang w:eastAsia="es-CO"/>
                  </w:rPr>
                </w:pPr>
                <w:r w:rsidRPr="004411C6">
                  <w:rPr>
                    <w:rFonts w:ascii="Times New Roman" w:eastAsia="Times New Roman" w:hAnsi="Times New Roman"/>
                    <w:sz w:val="14"/>
                    <w:szCs w:val="14"/>
                    <w:lang w:eastAsia="es-CO"/>
                  </w:rPr>
                  <w:t xml:space="preserve">0 </w:t>
                </w:r>
              </w:p>
            </w:tc>
            <w:tc>
              <w:tcPr>
                <w:tcW w:w="365" w:type="pct"/>
                <w:shd w:val="clear" w:color="auto" w:fill="auto"/>
                <w:noWrap/>
                <w:vAlign w:val="center"/>
                <w:hideMark/>
              </w:tcPr>
              <w:p w14:paraId="197991CF" w14:textId="77777777" w:rsidR="00FB501A" w:rsidRPr="004411C6" w:rsidRDefault="00FB501A" w:rsidP="00FB501A">
                <w:pPr>
                  <w:spacing w:after="0" w:line="240" w:lineRule="auto"/>
                  <w:jc w:val="right"/>
                  <w:rPr>
                    <w:rFonts w:ascii="Times New Roman" w:eastAsia="Times New Roman" w:hAnsi="Times New Roman"/>
                    <w:sz w:val="14"/>
                    <w:szCs w:val="14"/>
                    <w:lang w:eastAsia="es-CO"/>
                  </w:rPr>
                </w:pPr>
                <w:r w:rsidRPr="004411C6">
                  <w:rPr>
                    <w:rFonts w:ascii="Times New Roman" w:eastAsia="Times New Roman" w:hAnsi="Times New Roman"/>
                    <w:sz w:val="14"/>
                    <w:szCs w:val="14"/>
                    <w:lang w:eastAsia="es-CO"/>
                  </w:rPr>
                  <w:t xml:space="preserve">0 </w:t>
                </w:r>
              </w:p>
            </w:tc>
            <w:tc>
              <w:tcPr>
                <w:tcW w:w="336" w:type="pct"/>
                <w:shd w:val="clear" w:color="auto" w:fill="auto"/>
                <w:noWrap/>
                <w:vAlign w:val="center"/>
                <w:hideMark/>
              </w:tcPr>
              <w:p w14:paraId="67DB6333" w14:textId="77777777" w:rsidR="00FB501A" w:rsidRPr="004411C6" w:rsidRDefault="00FB501A" w:rsidP="00FB501A">
                <w:pPr>
                  <w:spacing w:after="0" w:line="240" w:lineRule="auto"/>
                  <w:jc w:val="right"/>
                  <w:rPr>
                    <w:rFonts w:ascii="Times New Roman" w:eastAsia="Times New Roman" w:hAnsi="Times New Roman"/>
                    <w:sz w:val="14"/>
                    <w:szCs w:val="14"/>
                    <w:lang w:eastAsia="es-CO"/>
                  </w:rPr>
                </w:pPr>
                <w:r w:rsidRPr="004411C6">
                  <w:rPr>
                    <w:rFonts w:ascii="Times New Roman" w:eastAsia="Times New Roman" w:hAnsi="Times New Roman"/>
                    <w:sz w:val="14"/>
                    <w:szCs w:val="14"/>
                    <w:lang w:eastAsia="es-CO"/>
                  </w:rPr>
                  <w:t xml:space="preserve">0 </w:t>
                </w:r>
              </w:p>
            </w:tc>
            <w:tc>
              <w:tcPr>
                <w:tcW w:w="188" w:type="pct"/>
                <w:shd w:val="clear" w:color="auto" w:fill="auto"/>
                <w:noWrap/>
                <w:vAlign w:val="center"/>
                <w:hideMark/>
              </w:tcPr>
              <w:p w14:paraId="667993C9" w14:textId="77777777" w:rsidR="00FB501A" w:rsidRPr="004411C6" w:rsidRDefault="00FB501A" w:rsidP="00934FB1">
                <w:pPr>
                  <w:spacing w:after="0" w:line="240" w:lineRule="auto"/>
                  <w:jc w:val="right"/>
                  <w:rPr>
                    <w:rFonts w:ascii="Times New Roman" w:eastAsia="Times New Roman" w:hAnsi="Times New Roman"/>
                    <w:sz w:val="14"/>
                    <w:szCs w:val="14"/>
                    <w:lang w:eastAsia="es-CO"/>
                  </w:rPr>
                </w:pPr>
                <w:r w:rsidRPr="004411C6">
                  <w:rPr>
                    <w:rFonts w:ascii="Times New Roman" w:eastAsia="Times New Roman" w:hAnsi="Times New Roman"/>
                    <w:sz w:val="14"/>
                    <w:szCs w:val="14"/>
                    <w:lang w:eastAsia="es-CO"/>
                  </w:rPr>
                  <w:t xml:space="preserve">0 </w:t>
                </w:r>
              </w:p>
            </w:tc>
            <w:tc>
              <w:tcPr>
                <w:tcW w:w="527" w:type="pct"/>
                <w:shd w:val="clear" w:color="auto" w:fill="auto"/>
                <w:noWrap/>
                <w:vAlign w:val="center"/>
                <w:hideMark/>
              </w:tcPr>
              <w:p w14:paraId="61277450" w14:textId="77777777" w:rsidR="00FB501A" w:rsidRPr="004411C6" w:rsidRDefault="00FB501A" w:rsidP="00FB501A">
                <w:pPr>
                  <w:spacing w:after="0" w:line="240" w:lineRule="auto"/>
                  <w:jc w:val="right"/>
                  <w:rPr>
                    <w:rFonts w:ascii="Times New Roman" w:eastAsia="Times New Roman" w:hAnsi="Times New Roman"/>
                    <w:sz w:val="14"/>
                    <w:szCs w:val="14"/>
                    <w:lang w:eastAsia="es-CO"/>
                  </w:rPr>
                </w:pPr>
                <w:r w:rsidRPr="004411C6">
                  <w:rPr>
                    <w:rFonts w:ascii="Times New Roman" w:eastAsia="Times New Roman" w:hAnsi="Times New Roman"/>
                    <w:sz w:val="14"/>
                    <w:szCs w:val="14"/>
                    <w:lang w:eastAsia="es-CO"/>
                  </w:rPr>
                  <w:t xml:space="preserve">123.065.699 </w:t>
                </w:r>
              </w:p>
            </w:tc>
          </w:tr>
          <w:tr w:rsidR="00FB501A" w:rsidRPr="00FB501A" w14:paraId="24004E78" w14:textId="77777777" w:rsidTr="00934FB1">
            <w:trPr>
              <w:trHeight w:val="300"/>
            </w:trPr>
            <w:tc>
              <w:tcPr>
                <w:tcW w:w="1282" w:type="pct"/>
                <w:shd w:val="clear" w:color="auto" w:fill="auto"/>
                <w:vAlign w:val="center"/>
                <w:hideMark/>
              </w:tcPr>
              <w:p w14:paraId="19BF28C3" w14:textId="77777777" w:rsidR="00FB501A" w:rsidRPr="004411C6" w:rsidRDefault="00FB501A" w:rsidP="00FB501A">
                <w:pPr>
                  <w:spacing w:after="0" w:line="240" w:lineRule="auto"/>
                  <w:rPr>
                    <w:rFonts w:ascii="Times New Roman" w:eastAsia="Times New Roman" w:hAnsi="Times New Roman"/>
                    <w:sz w:val="14"/>
                    <w:szCs w:val="14"/>
                    <w:lang w:eastAsia="es-CO"/>
                  </w:rPr>
                </w:pPr>
                <w:r w:rsidRPr="004411C6">
                  <w:rPr>
                    <w:rFonts w:ascii="Times New Roman" w:eastAsia="Times New Roman" w:hAnsi="Times New Roman"/>
                    <w:sz w:val="14"/>
                    <w:szCs w:val="14"/>
                    <w:lang w:eastAsia="es-CO"/>
                  </w:rPr>
                  <w:t>Pago por cuenta de terceros</w:t>
                </w:r>
              </w:p>
            </w:tc>
            <w:tc>
              <w:tcPr>
                <w:tcW w:w="468" w:type="pct"/>
                <w:shd w:val="clear" w:color="auto" w:fill="auto"/>
                <w:noWrap/>
                <w:vAlign w:val="center"/>
                <w:hideMark/>
              </w:tcPr>
              <w:p w14:paraId="558B8240" w14:textId="77777777" w:rsidR="00FB501A" w:rsidRPr="004411C6" w:rsidRDefault="00FB501A" w:rsidP="00FB501A">
                <w:pPr>
                  <w:spacing w:after="0" w:line="240" w:lineRule="auto"/>
                  <w:jc w:val="right"/>
                  <w:rPr>
                    <w:rFonts w:ascii="Times New Roman" w:eastAsia="Times New Roman" w:hAnsi="Times New Roman"/>
                    <w:sz w:val="14"/>
                    <w:szCs w:val="14"/>
                    <w:lang w:eastAsia="es-CO"/>
                  </w:rPr>
                </w:pPr>
                <w:r w:rsidRPr="004411C6">
                  <w:rPr>
                    <w:rFonts w:ascii="Times New Roman" w:eastAsia="Times New Roman" w:hAnsi="Times New Roman"/>
                    <w:sz w:val="14"/>
                    <w:szCs w:val="14"/>
                    <w:lang w:eastAsia="es-CO"/>
                  </w:rPr>
                  <w:t xml:space="preserve">35.816.723 </w:t>
                </w:r>
              </w:p>
            </w:tc>
            <w:tc>
              <w:tcPr>
                <w:tcW w:w="527" w:type="pct"/>
                <w:shd w:val="clear" w:color="auto" w:fill="auto"/>
                <w:noWrap/>
                <w:vAlign w:val="center"/>
                <w:hideMark/>
              </w:tcPr>
              <w:p w14:paraId="6410C10B" w14:textId="77777777" w:rsidR="00FB501A" w:rsidRPr="004411C6" w:rsidRDefault="00FB501A" w:rsidP="00FB501A">
                <w:pPr>
                  <w:spacing w:after="0" w:line="240" w:lineRule="auto"/>
                  <w:jc w:val="right"/>
                  <w:rPr>
                    <w:rFonts w:ascii="Times New Roman" w:eastAsia="Times New Roman" w:hAnsi="Times New Roman"/>
                    <w:sz w:val="14"/>
                    <w:szCs w:val="14"/>
                    <w:lang w:eastAsia="es-CO"/>
                  </w:rPr>
                </w:pPr>
                <w:r w:rsidRPr="004411C6">
                  <w:rPr>
                    <w:rFonts w:ascii="Times New Roman" w:eastAsia="Times New Roman" w:hAnsi="Times New Roman"/>
                    <w:sz w:val="14"/>
                    <w:szCs w:val="14"/>
                    <w:lang w:eastAsia="es-CO"/>
                  </w:rPr>
                  <w:t xml:space="preserve">40.606.012 </w:t>
                </w:r>
              </w:p>
            </w:tc>
            <w:tc>
              <w:tcPr>
                <w:tcW w:w="527" w:type="pct"/>
                <w:shd w:val="clear" w:color="auto" w:fill="auto"/>
                <w:noWrap/>
                <w:vAlign w:val="center"/>
                <w:hideMark/>
              </w:tcPr>
              <w:p w14:paraId="71CA9D22" w14:textId="77777777" w:rsidR="00FB501A" w:rsidRPr="004411C6" w:rsidRDefault="00FB501A" w:rsidP="00FB501A">
                <w:pPr>
                  <w:spacing w:after="0" w:line="240" w:lineRule="auto"/>
                  <w:jc w:val="right"/>
                  <w:rPr>
                    <w:rFonts w:ascii="Times New Roman" w:eastAsia="Times New Roman" w:hAnsi="Times New Roman"/>
                    <w:sz w:val="14"/>
                    <w:szCs w:val="14"/>
                    <w:lang w:eastAsia="es-CO"/>
                  </w:rPr>
                </w:pPr>
                <w:r w:rsidRPr="004411C6">
                  <w:rPr>
                    <w:rFonts w:ascii="Times New Roman" w:eastAsia="Times New Roman" w:hAnsi="Times New Roman"/>
                    <w:sz w:val="14"/>
                    <w:szCs w:val="14"/>
                    <w:lang w:eastAsia="es-CO"/>
                  </w:rPr>
                  <w:t xml:space="preserve">76.422.735 </w:t>
                </w:r>
              </w:p>
            </w:tc>
            <w:tc>
              <w:tcPr>
                <w:tcW w:w="390" w:type="pct"/>
                <w:shd w:val="clear" w:color="auto" w:fill="auto"/>
                <w:noWrap/>
                <w:vAlign w:val="center"/>
                <w:hideMark/>
              </w:tcPr>
              <w:p w14:paraId="04FB0EE7" w14:textId="77777777" w:rsidR="00FB501A" w:rsidRPr="004411C6" w:rsidRDefault="00FB501A" w:rsidP="00FB501A">
                <w:pPr>
                  <w:spacing w:after="0" w:line="240" w:lineRule="auto"/>
                  <w:jc w:val="right"/>
                  <w:rPr>
                    <w:rFonts w:ascii="Times New Roman" w:eastAsia="Times New Roman" w:hAnsi="Times New Roman"/>
                    <w:sz w:val="14"/>
                    <w:szCs w:val="14"/>
                    <w:lang w:eastAsia="es-CO"/>
                  </w:rPr>
                </w:pPr>
                <w:r w:rsidRPr="004411C6">
                  <w:rPr>
                    <w:rFonts w:ascii="Times New Roman" w:eastAsia="Times New Roman" w:hAnsi="Times New Roman"/>
                    <w:sz w:val="14"/>
                    <w:szCs w:val="14"/>
                    <w:lang w:eastAsia="es-CO"/>
                  </w:rPr>
                  <w:t xml:space="preserve">0 </w:t>
                </w:r>
              </w:p>
            </w:tc>
            <w:tc>
              <w:tcPr>
                <w:tcW w:w="390" w:type="pct"/>
                <w:shd w:val="clear" w:color="auto" w:fill="auto"/>
                <w:noWrap/>
                <w:vAlign w:val="center"/>
                <w:hideMark/>
              </w:tcPr>
              <w:p w14:paraId="2E77569C" w14:textId="77777777" w:rsidR="00FB501A" w:rsidRPr="004411C6" w:rsidRDefault="00FB501A" w:rsidP="00FB501A">
                <w:pPr>
                  <w:spacing w:after="0" w:line="240" w:lineRule="auto"/>
                  <w:jc w:val="right"/>
                  <w:rPr>
                    <w:rFonts w:ascii="Times New Roman" w:eastAsia="Times New Roman" w:hAnsi="Times New Roman"/>
                    <w:sz w:val="14"/>
                    <w:szCs w:val="14"/>
                    <w:lang w:eastAsia="es-CO"/>
                  </w:rPr>
                </w:pPr>
                <w:r w:rsidRPr="004411C6">
                  <w:rPr>
                    <w:rFonts w:ascii="Times New Roman" w:eastAsia="Times New Roman" w:hAnsi="Times New Roman"/>
                    <w:sz w:val="14"/>
                    <w:szCs w:val="14"/>
                    <w:lang w:eastAsia="es-CO"/>
                  </w:rPr>
                  <w:t xml:space="preserve">0 </w:t>
                </w:r>
              </w:p>
            </w:tc>
            <w:tc>
              <w:tcPr>
                <w:tcW w:w="365" w:type="pct"/>
                <w:shd w:val="clear" w:color="auto" w:fill="auto"/>
                <w:noWrap/>
                <w:vAlign w:val="center"/>
                <w:hideMark/>
              </w:tcPr>
              <w:p w14:paraId="33427C55" w14:textId="77777777" w:rsidR="00FB501A" w:rsidRPr="004411C6" w:rsidRDefault="00FB501A" w:rsidP="00FB501A">
                <w:pPr>
                  <w:spacing w:after="0" w:line="240" w:lineRule="auto"/>
                  <w:jc w:val="right"/>
                  <w:rPr>
                    <w:rFonts w:ascii="Times New Roman" w:eastAsia="Times New Roman" w:hAnsi="Times New Roman"/>
                    <w:sz w:val="14"/>
                    <w:szCs w:val="14"/>
                    <w:lang w:eastAsia="es-CO"/>
                  </w:rPr>
                </w:pPr>
                <w:r w:rsidRPr="004411C6">
                  <w:rPr>
                    <w:rFonts w:ascii="Times New Roman" w:eastAsia="Times New Roman" w:hAnsi="Times New Roman"/>
                    <w:sz w:val="14"/>
                    <w:szCs w:val="14"/>
                    <w:lang w:eastAsia="es-CO"/>
                  </w:rPr>
                  <w:t xml:space="preserve">0 </w:t>
                </w:r>
              </w:p>
            </w:tc>
            <w:tc>
              <w:tcPr>
                <w:tcW w:w="336" w:type="pct"/>
                <w:shd w:val="clear" w:color="auto" w:fill="auto"/>
                <w:noWrap/>
                <w:vAlign w:val="center"/>
                <w:hideMark/>
              </w:tcPr>
              <w:p w14:paraId="18A8A4AB" w14:textId="77777777" w:rsidR="00FB501A" w:rsidRPr="004411C6" w:rsidRDefault="00FB501A" w:rsidP="00FB501A">
                <w:pPr>
                  <w:spacing w:after="0" w:line="240" w:lineRule="auto"/>
                  <w:jc w:val="right"/>
                  <w:rPr>
                    <w:rFonts w:ascii="Times New Roman" w:eastAsia="Times New Roman" w:hAnsi="Times New Roman"/>
                    <w:sz w:val="14"/>
                    <w:szCs w:val="14"/>
                    <w:lang w:eastAsia="es-CO"/>
                  </w:rPr>
                </w:pPr>
                <w:r w:rsidRPr="004411C6">
                  <w:rPr>
                    <w:rFonts w:ascii="Times New Roman" w:eastAsia="Times New Roman" w:hAnsi="Times New Roman"/>
                    <w:sz w:val="14"/>
                    <w:szCs w:val="14"/>
                    <w:lang w:eastAsia="es-CO"/>
                  </w:rPr>
                  <w:t xml:space="preserve">0 </w:t>
                </w:r>
              </w:p>
            </w:tc>
            <w:tc>
              <w:tcPr>
                <w:tcW w:w="188" w:type="pct"/>
                <w:shd w:val="clear" w:color="auto" w:fill="auto"/>
                <w:noWrap/>
                <w:vAlign w:val="center"/>
                <w:hideMark/>
              </w:tcPr>
              <w:p w14:paraId="18C1FB28" w14:textId="77777777" w:rsidR="00FB501A" w:rsidRPr="004411C6" w:rsidRDefault="00FB501A" w:rsidP="00934FB1">
                <w:pPr>
                  <w:spacing w:after="0" w:line="240" w:lineRule="auto"/>
                  <w:jc w:val="right"/>
                  <w:rPr>
                    <w:rFonts w:ascii="Times New Roman" w:eastAsia="Times New Roman" w:hAnsi="Times New Roman"/>
                    <w:sz w:val="14"/>
                    <w:szCs w:val="14"/>
                    <w:lang w:eastAsia="es-CO"/>
                  </w:rPr>
                </w:pPr>
                <w:r w:rsidRPr="004411C6">
                  <w:rPr>
                    <w:rFonts w:ascii="Times New Roman" w:eastAsia="Times New Roman" w:hAnsi="Times New Roman"/>
                    <w:sz w:val="14"/>
                    <w:szCs w:val="14"/>
                    <w:lang w:eastAsia="es-CO"/>
                  </w:rPr>
                  <w:t xml:space="preserve">0 </w:t>
                </w:r>
              </w:p>
            </w:tc>
            <w:tc>
              <w:tcPr>
                <w:tcW w:w="527" w:type="pct"/>
                <w:shd w:val="clear" w:color="auto" w:fill="auto"/>
                <w:noWrap/>
                <w:vAlign w:val="center"/>
                <w:hideMark/>
              </w:tcPr>
              <w:p w14:paraId="64CCE87F" w14:textId="77777777" w:rsidR="00FB501A" w:rsidRPr="004411C6" w:rsidRDefault="00FB501A" w:rsidP="00FB501A">
                <w:pPr>
                  <w:spacing w:after="0" w:line="240" w:lineRule="auto"/>
                  <w:jc w:val="right"/>
                  <w:rPr>
                    <w:rFonts w:ascii="Times New Roman" w:eastAsia="Times New Roman" w:hAnsi="Times New Roman"/>
                    <w:sz w:val="14"/>
                    <w:szCs w:val="14"/>
                    <w:lang w:eastAsia="es-CO"/>
                  </w:rPr>
                </w:pPr>
                <w:r w:rsidRPr="004411C6">
                  <w:rPr>
                    <w:rFonts w:ascii="Times New Roman" w:eastAsia="Times New Roman" w:hAnsi="Times New Roman"/>
                    <w:sz w:val="14"/>
                    <w:szCs w:val="14"/>
                    <w:lang w:eastAsia="es-CO"/>
                  </w:rPr>
                  <w:t xml:space="preserve">76.422.735 </w:t>
                </w:r>
              </w:p>
            </w:tc>
          </w:tr>
          <w:tr w:rsidR="00FB501A" w:rsidRPr="00FB501A" w14:paraId="2CA453F0" w14:textId="77777777" w:rsidTr="00934FB1">
            <w:trPr>
              <w:trHeight w:val="300"/>
            </w:trPr>
            <w:tc>
              <w:tcPr>
                <w:tcW w:w="1282" w:type="pct"/>
                <w:shd w:val="clear" w:color="auto" w:fill="auto"/>
                <w:vAlign w:val="center"/>
                <w:hideMark/>
              </w:tcPr>
              <w:p w14:paraId="3ACF0E83" w14:textId="77777777" w:rsidR="00FB501A" w:rsidRPr="004411C6" w:rsidRDefault="00FB501A" w:rsidP="00FB501A">
                <w:pPr>
                  <w:spacing w:after="0" w:line="240" w:lineRule="auto"/>
                  <w:rPr>
                    <w:rFonts w:ascii="Times New Roman" w:eastAsia="Times New Roman" w:hAnsi="Times New Roman"/>
                    <w:sz w:val="14"/>
                    <w:szCs w:val="14"/>
                    <w:lang w:eastAsia="es-CO"/>
                  </w:rPr>
                </w:pPr>
                <w:r w:rsidRPr="004411C6">
                  <w:rPr>
                    <w:rFonts w:ascii="Times New Roman" w:eastAsia="Times New Roman" w:hAnsi="Times New Roman"/>
                    <w:sz w:val="14"/>
                    <w:szCs w:val="14"/>
                    <w:lang w:eastAsia="es-CO"/>
                  </w:rPr>
                  <w:t>Otras cuentas por cobrar</w:t>
                </w:r>
              </w:p>
            </w:tc>
            <w:tc>
              <w:tcPr>
                <w:tcW w:w="468" w:type="pct"/>
                <w:shd w:val="clear" w:color="auto" w:fill="auto"/>
                <w:noWrap/>
                <w:vAlign w:val="center"/>
                <w:hideMark/>
              </w:tcPr>
              <w:p w14:paraId="346C84EB" w14:textId="6A4B69E1" w:rsidR="00FB501A" w:rsidRPr="004411C6" w:rsidRDefault="00CA06D2" w:rsidP="00CA06D2">
                <w:pPr>
                  <w:spacing w:after="0" w:line="240" w:lineRule="auto"/>
                  <w:jc w:val="right"/>
                  <w:rPr>
                    <w:rFonts w:ascii="Times New Roman" w:eastAsia="Times New Roman" w:hAnsi="Times New Roman"/>
                    <w:sz w:val="14"/>
                    <w:szCs w:val="14"/>
                    <w:lang w:eastAsia="es-CO"/>
                  </w:rPr>
                </w:pPr>
                <w:r w:rsidRPr="004411C6">
                  <w:rPr>
                    <w:rFonts w:ascii="Times New Roman" w:eastAsia="Times New Roman" w:hAnsi="Times New Roman"/>
                    <w:sz w:val="14"/>
                    <w:szCs w:val="14"/>
                    <w:lang w:eastAsia="es-CO"/>
                  </w:rPr>
                  <w:t>0</w:t>
                </w:r>
              </w:p>
            </w:tc>
            <w:tc>
              <w:tcPr>
                <w:tcW w:w="527" w:type="pct"/>
                <w:shd w:val="clear" w:color="auto" w:fill="auto"/>
                <w:noWrap/>
                <w:vAlign w:val="center"/>
                <w:hideMark/>
              </w:tcPr>
              <w:p w14:paraId="4233F03B" w14:textId="77777777" w:rsidR="00FB501A" w:rsidRPr="004411C6" w:rsidRDefault="00FB501A" w:rsidP="00FB501A">
                <w:pPr>
                  <w:spacing w:after="0" w:line="240" w:lineRule="auto"/>
                  <w:jc w:val="right"/>
                  <w:rPr>
                    <w:rFonts w:ascii="Times New Roman" w:eastAsia="Times New Roman" w:hAnsi="Times New Roman"/>
                    <w:sz w:val="14"/>
                    <w:szCs w:val="14"/>
                    <w:lang w:eastAsia="es-CO"/>
                  </w:rPr>
                </w:pPr>
                <w:r w:rsidRPr="004411C6">
                  <w:rPr>
                    <w:rFonts w:ascii="Times New Roman" w:eastAsia="Times New Roman" w:hAnsi="Times New Roman"/>
                    <w:sz w:val="14"/>
                    <w:szCs w:val="14"/>
                    <w:lang w:eastAsia="es-CO"/>
                  </w:rPr>
                  <w:t xml:space="preserve">9.223.245.405 </w:t>
                </w:r>
              </w:p>
            </w:tc>
            <w:tc>
              <w:tcPr>
                <w:tcW w:w="527" w:type="pct"/>
                <w:shd w:val="clear" w:color="auto" w:fill="auto"/>
                <w:noWrap/>
                <w:vAlign w:val="center"/>
                <w:hideMark/>
              </w:tcPr>
              <w:p w14:paraId="5D93DE80" w14:textId="77777777" w:rsidR="00FB501A" w:rsidRPr="004411C6" w:rsidRDefault="00FB501A" w:rsidP="00FB501A">
                <w:pPr>
                  <w:spacing w:after="0" w:line="240" w:lineRule="auto"/>
                  <w:jc w:val="right"/>
                  <w:rPr>
                    <w:rFonts w:ascii="Times New Roman" w:eastAsia="Times New Roman" w:hAnsi="Times New Roman"/>
                    <w:sz w:val="14"/>
                    <w:szCs w:val="14"/>
                    <w:lang w:eastAsia="es-CO"/>
                  </w:rPr>
                </w:pPr>
                <w:r w:rsidRPr="004411C6">
                  <w:rPr>
                    <w:rFonts w:ascii="Times New Roman" w:eastAsia="Times New Roman" w:hAnsi="Times New Roman"/>
                    <w:sz w:val="14"/>
                    <w:szCs w:val="14"/>
                    <w:lang w:eastAsia="es-CO"/>
                  </w:rPr>
                  <w:t xml:space="preserve">9.223.245.405 </w:t>
                </w:r>
              </w:p>
            </w:tc>
            <w:tc>
              <w:tcPr>
                <w:tcW w:w="390" w:type="pct"/>
                <w:shd w:val="clear" w:color="auto" w:fill="auto"/>
                <w:noWrap/>
                <w:vAlign w:val="center"/>
                <w:hideMark/>
              </w:tcPr>
              <w:p w14:paraId="0CCBB0E4" w14:textId="77777777" w:rsidR="00FB501A" w:rsidRPr="004411C6" w:rsidRDefault="00FB501A" w:rsidP="00FB501A">
                <w:pPr>
                  <w:spacing w:after="0" w:line="240" w:lineRule="auto"/>
                  <w:jc w:val="right"/>
                  <w:rPr>
                    <w:rFonts w:ascii="Times New Roman" w:eastAsia="Times New Roman" w:hAnsi="Times New Roman"/>
                    <w:sz w:val="14"/>
                    <w:szCs w:val="14"/>
                    <w:lang w:eastAsia="es-CO"/>
                  </w:rPr>
                </w:pPr>
                <w:r w:rsidRPr="004411C6">
                  <w:rPr>
                    <w:rFonts w:ascii="Times New Roman" w:eastAsia="Times New Roman" w:hAnsi="Times New Roman"/>
                    <w:sz w:val="14"/>
                    <w:szCs w:val="14"/>
                    <w:lang w:eastAsia="es-CO"/>
                  </w:rPr>
                  <w:t xml:space="preserve">4.472.337 </w:t>
                </w:r>
              </w:p>
            </w:tc>
            <w:tc>
              <w:tcPr>
                <w:tcW w:w="390" w:type="pct"/>
                <w:shd w:val="clear" w:color="auto" w:fill="auto"/>
                <w:noWrap/>
                <w:vAlign w:val="center"/>
                <w:hideMark/>
              </w:tcPr>
              <w:p w14:paraId="7D4DCCE0" w14:textId="77777777" w:rsidR="00FB501A" w:rsidRPr="004411C6" w:rsidRDefault="00FB501A" w:rsidP="00FB501A">
                <w:pPr>
                  <w:spacing w:after="0" w:line="240" w:lineRule="auto"/>
                  <w:jc w:val="right"/>
                  <w:rPr>
                    <w:rFonts w:ascii="Times New Roman" w:eastAsia="Times New Roman" w:hAnsi="Times New Roman"/>
                    <w:sz w:val="14"/>
                    <w:szCs w:val="14"/>
                    <w:lang w:eastAsia="es-CO"/>
                  </w:rPr>
                </w:pPr>
                <w:r w:rsidRPr="004411C6">
                  <w:rPr>
                    <w:rFonts w:ascii="Times New Roman" w:eastAsia="Times New Roman" w:hAnsi="Times New Roman"/>
                    <w:sz w:val="14"/>
                    <w:szCs w:val="14"/>
                    <w:lang w:eastAsia="es-CO"/>
                  </w:rPr>
                  <w:t xml:space="preserve">2.138.676 </w:t>
                </w:r>
              </w:p>
            </w:tc>
            <w:tc>
              <w:tcPr>
                <w:tcW w:w="365" w:type="pct"/>
                <w:shd w:val="clear" w:color="auto" w:fill="auto"/>
                <w:noWrap/>
                <w:vAlign w:val="center"/>
                <w:hideMark/>
              </w:tcPr>
              <w:p w14:paraId="2CB9BA77" w14:textId="6A29DD2A" w:rsidR="00FB501A" w:rsidRPr="004411C6" w:rsidRDefault="00FB501A" w:rsidP="00CA06D2">
                <w:pPr>
                  <w:spacing w:after="0" w:line="240" w:lineRule="auto"/>
                  <w:jc w:val="right"/>
                  <w:rPr>
                    <w:rFonts w:ascii="Times New Roman" w:eastAsia="Times New Roman" w:hAnsi="Times New Roman"/>
                    <w:sz w:val="14"/>
                    <w:szCs w:val="14"/>
                    <w:lang w:eastAsia="es-CO"/>
                  </w:rPr>
                </w:pPr>
                <w:r w:rsidRPr="004411C6">
                  <w:rPr>
                    <w:rFonts w:ascii="Times New Roman" w:eastAsia="Times New Roman" w:hAnsi="Times New Roman"/>
                    <w:sz w:val="14"/>
                    <w:szCs w:val="14"/>
                    <w:lang w:eastAsia="es-CO"/>
                  </w:rPr>
                  <w:t> </w:t>
                </w:r>
                <w:r w:rsidR="00CA06D2" w:rsidRPr="004411C6">
                  <w:rPr>
                    <w:rFonts w:ascii="Times New Roman" w:eastAsia="Times New Roman" w:hAnsi="Times New Roman"/>
                    <w:sz w:val="14"/>
                    <w:szCs w:val="14"/>
                    <w:lang w:eastAsia="es-CO"/>
                  </w:rPr>
                  <w:t>0</w:t>
                </w:r>
              </w:p>
            </w:tc>
            <w:tc>
              <w:tcPr>
                <w:tcW w:w="336" w:type="pct"/>
                <w:shd w:val="clear" w:color="auto" w:fill="auto"/>
                <w:noWrap/>
                <w:vAlign w:val="center"/>
                <w:hideMark/>
              </w:tcPr>
              <w:p w14:paraId="6C334244" w14:textId="77777777" w:rsidR="00FB501A" w:rsidRPr="004411C6" w:rsidRDefault="00FB501A" w:rsidP="00FB501A">
                <w:pPr>
                  <w:spacing w:after="0" w:line="240" w:lineRule="auto"/>
                  <w:jc w:val="right"/>
                  <w:rPr>
                    <w:rFonts w:ascii="Times New Roman" w:eastAsia="Times New Roman" w:hAnsi="Times New Roman"/>
                    <w:sz w:val="14"/>
                    <w:szCs w:val="14"/>
                    <w:lang w:eastAsia="es-CO"/>
                  </w:rPr>
                </w:pPr>
                <w:r w:rsidRPr="004411C6">
                  <w:rPr>
                    <w:rFonts w:ascii="Times New Roman" w:eastAsia="Times New Roman" w:hAnsi="Times New Roman"/>
                    <w:sz w:val="14"/>
                    <w:szCs w:val="14"/>
                    <w:lang w:eastAsia="es-CO"/>
                  </w:rPr>
                  <w:t xml:space="preserve">6.611.013 </w:t>
                </w:r>
              </w:p>
            </w:tc>
            <w:tc>
              <w:tcPr>
                <w:tcW w:w="188" w:type="pct"/>
                <w:shd w:val="clear" w:color="auto" w:fill="auto"/>
                <w:noWrap/>
                <w:vAlign w:val="center"/>
                <w:hideMark/>
              </w:tcPr>
              <w:p w14:paraId="05821F25" w14:textId="63167AD5" w:rsidR="00FB501A" w:rsidRPr="004411C6" w:rsidRDefault="00FB501A" w:rsidP="00934FB1">
                <w:pPr>
                  <w:spacing w:after="0" w:line="240" w:lineRule="auto"/>
                  <w:jc w:val="right"/>
                  <w:rPr>
                    <w:rFonts w:ascii="Times New Roman" w:eastAsia="Times New Roman" w:hAnsi="Times New Roman"/>
                    <w:sz w:val="14"/>
                    <w:szCs w:val="14"/>
                    <w:lang w:eastAsia="es-CO"/>
                  </w:rPr>
                </w:pPr>
                <w:r w:rsidRPr="004411C6">
                  <w:rPr>
                    <w:rFonts w:ascii="Times New Roman" w:eastAsia="Times New Roman" w:hAnsi="Times New Roman"/>
                    <w:sz w:val="14"/>
                    <w:szCs w:val="14"/>
                    <w:lang w:eastAsia="es-CO"/>
                  </w:rPr>
                  <w:t> </w:t>
                </w:r>
                <w:r w:rsidR="00CA06D2" w:rsidRPr="004411C6">
                  <w:rPr>
                    <w:rFonts w:ascii="Times New Roman" w:eastAsia="Times New Roman" w:hAnsi="Times New Roman"/>
                    <w:sz w:val="14"/>
                    <w:szCs w:val="14"/>
                    <w:lang w:eastAsia="es-CO"/>
                  </w:rPr>
                  <w:t>0</w:t>
                </w:r>
              </w:p>
            </w:tc>
            <w:tc>
              <w:tcPr>
                <w:tcW w:w="527" w:type="pct"/>
                <w:shd w:val="clear" w:color="auto" w:fill="auto"/>
                <w:noWrap/>
                <w:vAlign w:val="center"/>
                <w:hideMark/>
              </w:tcPr>
              <w:p w14:paraId="6BF18C68" w14:textId="77777777" w:rsidR="00FB501A" w:rsidRPr="004411C6" w:rsidRDefault="00FB501A" w:rsidP="00FB501A">
                <w:pPr>
                  <w:spacing w:after="0" w:line="240" w:lineRule="auto"/>
                  <w:jc w:val="right"/>
                  <w:rPr>
                    <w:rFonts w:ascii="Times New Roman" w:eastAsia="Times New Roman" w:hAnsi="Times New Roman"/>
                    <w:sz w:val="14"/>
                    <w:szCs w:val="14"/>
                    <w:lang w:eastAsia="es-CO"/>
                  </w:rPr>
                </w:pPr>
                <w:r w:rsidRPr="004411C6">
                  <w:rPr>
                    <w:rFonts w:ascii="Times New Roman" w:eastAsia="Times New Roman" w:hAnsi="Times New Roman"/>
                    <w:sz w:val="14"/>
                    <w:szCs w:val="14"/>
                    <w:lang w:eastAsia="es-CO"/>
                  </w:rPr>
                  <w:t xml:space="preserve">9.216.634.392 </w:t>
                </w:r>
              </w:p>
            </w:tc>
          </w:tr>
        </w:tbl>
        <w:p w14:paraId="6C7B47CC" w14:textId="0903C068" w:rsidR="00B0616F" w:rsidRPr="00931DCE" w:rsidRDefault="00AD2026" w:rsidP="00C65C6A">
          <w:pPr>
            <w:spacing w:after="0" w:line="240" w:lineRule="auto"/>
            <w:rPr>
              <w:rFonts w:ascii="Times New Roman" w:hAnsi="Times New Roman"/>
              <w:b/>
              <w:bCs/>
            </w:rPr>
          </w:pPr>
          <w:r w:rsidRPr="00931DCE">
            <w:rPr>
              <w:rFonts w:ascii="Times New Roman" w:hAnsi="Times New Roman"/>
              <w:sz w:val="14"/>
              <w:szCs w:val="14"/>
            </w:rPr>
            <w:t>Cifras expresadas en pesos</w:t>
          </w:r>
        </w:p>
        <w:p w14:paraId="2722248A" w14:textId="77777777" w:rsidR="00C65C6A" w:rsidRPr="00931DCE" w:rsidRDefault="00C65C6A" w:rsidP="00C65C6A">
          <w:pPr>
            <w:spacing w:after="0" w:line="240" w:lineRule="auto"/>
            <w:jc w:val="both"/>
            <w:rPr>
              <w:rFonts w:ascii="Times New Roman" w:hAnsi="Times New Roman"/>
              <w:sz w:val="24"/>
              <w:szCs w:val="24"/>
            </w:rPr>
          </w:pPr>
        </w:p>
        <w:p w14:paraId="7F94EE83" w14:textId="4317871E" w:rsidR="00C65C6A" w:rsidRPr="00931DCE" w:rsidRDefault="00B0616F" w:rsidP="00C65C6A">
          <w:pPr>
            <w:spacing w:after="0" w:line="240" w:lineRule="auto"/>
            <w:jc w:val="both"/>
            <w:rPr>
              <w:rFonts w:ascii="Times New Roman" w:hAnsi="Times New Roman"/>
              <w:sz w:val="24"/>
              <w:szCs w:val="24"/>
            </w:rPr>
          </w:pPr>
          <w:r w:rsidRPr="00891BDE">
            <w:rPr>
              <w:rFonts w:ascii="Times New Roman" w:hAnsi="Times New Roman"/>
              <w:sz w:val="24"/>
              <w:szCs w:val="24"/>
            </w:rPr>
            <w:t>Derechos cobrados por terceros: representa el valor de las cuentas por cobrar derivad</w:t>
          </w:r>
          <w:r w:rsidR="004D0B26">
            <w:rPr>
              <w:rFonts w:ascii="Times New Roman" w:hAnsi="Times New Roman"/>
              <w:sz w:val="24"/>
              <w:szCs w:val="24"/>
            </w:rPr>
            <w:t>a</w:t>
          </w:r>
          <w:r w:rsidRPr="00891BDE">
            <w:rPr>
              <w:rFonts w:ascii="Times New Roman" w:hAnsi="Times New Roman"/>
              <w:sz w:val="24"/>
              <w:szCs w:val="24"/>
            </w:rPr>
            <w:t xml:space="preserve">s de los arrendamientos a lo largo de los corredores férreos desafectados que tienen su origen en el Contrato de </w:t>
          </w:r>
          <w:r w:rsidR="003D231E">
            <w:rPr>
              <w:rFonts w:ascii="Times New Roman" w:hAnsi="Times New Roman"/>
              <w:sz w:val="24"/>
              <w:szCs w:val="24"/>
            </w:rPr>
            <w:t>o</w:t>
          </w:r>
          <w:r w:rsidRPr="00891BDE">
            <w:rPr>
              <w:rFonts w:ascii="Times New Roman" w:hAnsi="Times New Roman"/>
              <w:sz w:val="24"/>
              <w:szCs w:val="24"/>
            </w:rPr>
            <w:t>bra suscrito</w:t>
          </w:r>
          <w:r w:rsidR="003D231E">
            <w:rPr>
              <w:rFonts w:ascii="Times New Roman" w:hAnsi="Times New Roman"/>
              <w:sz w:val="24"/>
              <w:szCs w:val="24"/>
            </w:rPr>
            <w:t>s</w:t>
          </w:r>
          <w:r w:rsidRPr="00891BDE">
            <w:rPr>
              <w:rFonts w:ascii="Times New Roman" w:hAnsi="Times New Roman"/>
              <w:sz w:val="24"/>
              <w:szCs w:val="24"/>
            </w:rPr>
            <w:t xml:space="preserve"> con el Consorcio San Felipe y Consorcio Infrarover Férreo</w:t>
          </w:r>
          <w:r w:rsidR="00C65C6A" w:rsidRPr="00891BDE">
            <w:rPr>
              <w:rFonts w:ascii="Times New Roman" w:hAnsi="Times New Roman"/>
              <w:sz w:val="24"/>
              <w:szCs w:val="24"/>
            </w:rPr>
            <w:t>.</w:t>
          </w:r>
        </w:p>
        <w:p w14:paraId="507E615B" w14:textId="398D5F7C" w:rsidR="00B0616F" w:rsidRPr="00931DCE" w:rsidRDefault="00B0616F" w:rsidP="00C65C6A">
          <w:pPr>
            <w:spacing w:after="0" w:line="240" w:lineRule="auto"/>
            <w:jc w:val="both"/>
            <w:rPr>
              <w:rFonts w:ascii="Times New Roman" w:hAnsi="Times New Roman"/>
              <w:sz w:val="24"/>
              <w:szCs w:val="24"/>
            </w:rPr>
          </w:pPr>
          <w:r w:rsidRPr="00931DCE">
            <w:rPr>
              <w:rFonts w:ascii="Times New Roman" w:hAnsi="Times New Roman"/>
              <w:sz w:val="24"/>
              <w:szCs w:val="24"/>
            </w:rPr>
            <w:t xml:space="preserve"> </w:t>
          </w:r>
        </w:p>
        <w:p w14:paraId="1B69D0D4" w14:textId="75621747" w:rsidR="00B0616F" w:rsidRPr="00891BDE" w:rsidRDefault="00B0616F" w:rsidP="00C65C6A">
          <w:pPr>
            <w:spacing w:after="0" w:line="240" w:lineRule="auto"/>
            <w:jc w:val="both"/>
            <w:rPr>
              <w:rFonts w:ascii="Times New Roman" w:hAnsi="Times New Roman"/>
              <w:sz w:val="24"/>
              <w:szCs w:val="24"/>
            </w:rPr>
          </w:pPr>
          <w:r w:rsidRPr="00891BDE">
            <w:rPr>
              <w:rFonts w:ascii="Times New Roman" w:hAnsi="Times New Roman"/>
              <w:sz w:val="24"/>
              <w:szCs w:val="24"/>
            </w:rPr>
            <w:t>En consecuencia, con corte 31 de diciembre de 202</w:t>
          </w:r>
          <w:r w:rsidR="00431EFD" w:rsidRPr="00891BDE">
            <w:rPr>
              <w:rFonts w:ascii="Times New Roman" w:hAnsi="Times New Roman"/>
              <w:sz w:val="24"/>
              <w:szCs w:val="24"/>
            </w:rPr>
            <w:t>3</w:t>
          </w:r>
          <w:r w:rsidRPr="00891BDE">
            <w:rPr>
              <w:rFonts w:ascii="Times New Roman" w:hAnsi="Times New Roman"/>
              <w:sz w:val="24"/>
              <w:szCs w:val="24"/>
            </w:rPr>
            <w:t xml:space="preserve">, se presentan los saldos por terceros que conforman el concepto </w:t>
          </w:r>
          <w:r w:rsidR="00465C68" w:rsidRPr="00891BDE">
            <w:rPr>
              <w:rFonts w:ascii="Times New Roman" w:hAnsi="Times New Roman"/>
              <w:sz w:val="24"/>
              <w:szCs w:val="24"/>
            </w:rPr>
            <w:t>“</w:t>
          </w:r>
          <w:r w:rsidRPr="00891BDE">
            <w:rPr>
              <w:rFonts w:ascii="Times New Roman" w:hAnsi="Times New Roman"/>
              <w:sz w:val="24"/>
              <w:szCs w:val="24"/>
            </w:rPr>
            <w:t>Derechos cobrados por terceros</w:t>
          </w:r>
          <w:r w:rsidR="00465C68" w:rsidRPr="00891BDE">
            <w:rPr>
              <w:rFonts w:ascii="Times New Roman" w:hAnsi="Times New Roman"/>
              <w:sz w:val="24"/>
              <w:szCs w:val="24"/>
            </w:rPr>
            <w:t>”</w:t>
          </w:r>
          <w:r w:rsidRPr="00891BDE">
            <w:rPr>
              <w:rFonts w:ascii="Times New Roman" w:hAnsi="Times New Roman"/>
              <w:sz w:val="24"/>
              <w:szCs w:val="24"/>
            </w:rPr>
            <w:t xml:space="preserve"> los cuales quedaron pendientes de transferir a la ANI por parte de los siguientes consorcios:</w:t>
          </w:r>
        </w:p>
        <w:p w14:paraId="13F78772" w14:textId="77777777" w:rsidR="00C65C6A" w:rsidRPr="00891BDE" w:rsidRDefault="00C65C6A" w:rsidP="00C65C6A">
          <w:pPr>
            <w:spacing w:after="0" w:line="240" w:lineRule="auto"/>
            <w:jc w:val="both"/>
            <w:rPr>
              <w:rFonts w:ascii="Times New Roman" w:hAnsi="Times New Roman"/>
              <w:sz w:val="24"/>
              <w:szCs w:val="24"/>
            </w:rPr>
          </w:pPr>
        </w:p>
        <w:p w14:paraId="4AD653E9" w14:textId="4D5489B2" w:rsidR="00465C68" w:rsidRPr="00931DCE" w:rsidRDefault="00B84CB7" w:rsidP="00465C68">
          <w:pPr>
            <w:spacing w:after="0" w:line="240" w:lineRule="auto"/>
            <w:jc w:val="both"/>
            <w:rPr>
              <w:rFonts w:ascii="Times New Roman" w:hAnsi="Times New Roman"/>
              <w:sz w:val="16"/>
              <w:szCs w:val="16"/>
            </w:rPr>
          </w:pPr>
          <w:r w:rsidRPr="00931DCE">
            <w:rPr>
              <w:rFonts w:ascii="Times New Roman" w:hAnsi="Times New Roman"/>
              <w:sz w:val="16"/>
              <w:szCs w:val="16"/>
            </w:rPr>
            <w:t xml:space="preserve">  </w:t>
          </w:r>
        </w:p>
        <w:tbl>
          <w:tblPr>
            <w:tblW w:w="5000" w:type="pct"/>
            <w:tblCellMar>
              <w:left w:w="70" w:type="dxa"/>
              <w:right w:w="70" w:type="dxa"/>
            </w:tblCellMar>
            <w:tblLook w:val="04A0" w:firstRow="1" w:lastRow="0" w:firstColumn="1" w:lastColumn="0" w:noHBand="0" w:noVBand="1"/>
          </w:tblPr>
          <w:tblGrid>
            <w:gridCol w:w="1509"/>
            <w:gridCol w:w="3720"/>
            <w:gridCol w:w="1308"/>
            <w:gridCol w:w="1227"/>
            <w:gridCol w:w="1195"/>
          </w:tblGrid>
          <w:tr w:rsidR="00BA2CBA" w:rsidRPr="00BA2CBA" w14:paraId="7D5D4AA2" w14:textId="77777777" w:rsidTr="004E5925">
            <w:trPr>
              <w:trHeight w:val="137"/>
            </w:trPr>
            <w:tc>
              <w:tcPr>
                <w:tcW w:w="842" w:type="pct"/>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160ADB2D" w14:textId="77777777" w:rsidR="00BA2CBA" w:rsidRPr="00BA2CBA" w:rsidRDefault="00BA2CBA" w:rsidP="00BA2CBA">
                <w:pPr>
                  <w:spacing w:after="0" w:line="240" w:lineRule="auto"/>
                  <w:rPr>
                    <w:rFonts w:ascii="Times New Roman" w:eastAsia="Times New Roman" w:hAnsi="Times New Roman"/>
                    <w:b/>
                    <w:bCs/>
                    <w:color w:val="000000"/>
                    <w:sz w:val="18"/>
                    <w:szCs w:val="18"/>
                    <w:lang w:eastAsia="es-CO"/>
                  </w:rPr>
                </w:pPr>
                <w:r w:rsidRPr="00BA2CBA">
                  <w:rPr>
                    <w:rFonts w:ascii="Times New Roman" w:eastAsia="Times New Roman" w:hAnsi="Times New Roman"/>
                    <w:b/>
                    <w:bCs/>
                    <w:color w:val="000000"/>
                    <w:sz w:val="18"/>
                    <w:szCs w:val="18"/>
                    <w:lang w:eastAsia="es-CO"/>
                  </w:rPr>
                  <w:t>Identificación</w:t>
                </w:r>
              </w:p>
            </w:tc>
            <w:tc>
              <w:tcPr>
                <w:tcW w:w="2075" w:type="pct"/>
                <w:tcBorders>
                  <w:top w:val="single" w:sz="8" w:space="0" w:color="A6A6A6"/>
                  <w:left w:val="nil"/>
                  <w:bottom w:val="single" w:sz="8" w:space="0" w:color="A6A6A6"/>
                  <w:right w:val="single" w:sz="8" w:space="0" w:color="A6A6A6"/>
                </w:tcBorders>
                <w:shd w:val="clear" w:color="auto" w:fill="auto"/>
                <w:vAlign w:val="center"/>
                <w:hideMark/>
              </w:tcPr>
              <w:p w14:paraId="39871475" w14:textId="77777777" w:rsidR="00BA2CBA" w:rsidRPr="00BA2CBA" w:rsidRDefault="00BA2CBA" w:rsidP="00BA2CBA">
                <w:pPr>
                  <w:spacing w:after="0" w:line="240" w:lineRule="auto"/>
                  <w:rPr>
                    <w:rFonts w:ascii="Times New Roman" w:eastAsia="Times New Roman" w:hAnsi="Times New Roman"/>
                    <w:b/>
                    <w:bCs/>
                    <w:color w:val="000000"/>
                    <w:sz w:val="18"/>
                    <w:szCs w:val="18"/>
                    <w:lang w:eastAsia="es-CO"/>
                  </w:rPr>
                </w:pPr>
                <w:r w:rsidRPr="00BA2CBA">
                  <w:rPr>
                    <w:rFonts w:ascii="Times New Roman" w:eastAsia="Times New Roman" w:hAnsi="Times New Roman"/>
                    <w:b/>
                    <w:bCs/>
                    <w:color w:val="000000"/>
                    <w:sz w:val="18"/>
                    <w:szCs w:val="18"/>
                    <w:lang w:eastAsia="es-CO"/>
                  </w:rPr>
                  <w:t>Descripción</w:t>
                </w:r>
              </w:p>
            </w:tc>
            <w:tc>
              <w:tcPr>
                <w:tcW w:w="730" w:type="pct"/>
                <w:tcBorders>
                  <w:top w:val="single" w:sz="8" w:space="0" w:color="A6A6A6"/>
                  <w:left w:val="nil"/>
                  <w:bottom w:val="single" w:sz="8" w:space="0" w:color="A6A6A6"/>
                  <w:right w:val="single" w:sz="8" w:space="0" w:color="A6A6A6"/>
                </w:tcBorders>
                <w:shd w:val="clear" w:color="auto" w:fill="auto"/>
                <w:vAlign w:val="center"/>
                <w:hideMark/>
              </w:tcPr>
              <w:p w14:paraId="0E288E72" w14:textId="77777777" w:rsidR="00BA2CBA" w:rsidRPr="00BA2CBA" w:rsidRDefault="00BA2CBA" w:rsidP="00BA2CBA">
                <w:pPr>
                  <w:spacing w:after="0" w:line="240" w:lineRule="auto"/>
                  <w:jc w:val="right"/>
                  <w:rPr>
                    <w:rFonts w:ascii="Times New Roman" w:eastAsia="Times New Roman" w:hAnsi="Times New Roman"/>
                    <w:b/>
                    <w:bCs/>
                    <w:color w:val="000000"/>
                    <w:sz w:val="18"/>
                    <w:szCs w:val="18"/>
                    <w:lang w:eastAsia="es-CO"/>
                  </w:rPr>
                </w:pPr>
                <w:r w:rsidRPr="00BA2CBA">
                  <w:rPr>
                    <w:rFonts w:ascii="Times New Roman" w:eastAsia="Times New Roman" w:hAnsi="Times New Roman"/>
                    <w:b/>
                    <w:bCs/>
                    <w:color w:val="000000"/>
                    <w:sz w:val="18"/>
                    <w:szCs w:val="18"/>
                    <w:lang w:eastAsia="es-CO"/>
                  </w:rPr>
                  <w:t>Saldo 2023</w:t>
                </w:r>
              </w:p>
            </w:tc>
            <w:tc>
              <w:tcPr>
                <w:tcW w:w="685" w:type="pct"/>
                <w:tcBorders>
                  <w:top w:val="single" w:sz="8" w:space="0" w:color="A6A6A6"/>
                  <w:left w:val="nil"/>
                  <w:bottom w:val="single" w:sz="8" w:space="0" w:color="A6A6A6"/>
                  <w:right w:val="single" w:sz="8" w:space="0" w:color="A6A6A6"/>
                </w:tcBorders>
                <w:shd w:val="clear" w:color="auto" w:fill="auto"/>
                <w:vAlign w:val="center"/>
                <w:hideMark/>
              </w:tcPr>
              <w:p w14:paraId="44ED58E5" w14:textId="77777777" w:rsidR="00BA2CBA" w:rsidRPr="00BA2CBA" w:rsidRDefault="00BA2CBA" w:rsidP="00BA2CBA">
                <w:pPr>
                  <w:spacing w:after="0" w:line="240" w:lineRule="auto"/>
                  <w:jc w:val="right"/>
                  <w:rPr>
                    <w:rFonts w:ascii="Times New Roman" w:eastAsia="Times New Roman" w:hAnsi="Times New Roman"/>
                    <w:b/>
                    <w:bCs/>
                    <w:color w:val="000000"/>
                    <w:sz w:val="18"/>
                    <w:szCs w:val="18"/>
                    <w:lang w:eastAsia="es-CO"/>
                  </w:rPr>
                </w:pPr>
                <w:r w:rsidRPr="00BA2CBA">
                  <w:rPr>
                    <w:rFonts w:ascii="Times New Roman" w:eastAsia="Times New Roman" w:hAnsi="Times New Roman"/>
                    <w:b/>
                    <w:bCs/>
                    <w:color w:val="000000"/>
                    <w:sz w:val="18"/>
                    <w:szCs w:val="18"/>
                    <w:lang w:eastAsia="es-CO"/>
                  </w:rPr>
                  <w:t>Saldo 2022</w:t>
                </w:r>
              </w:p>
            </w:tc>
            <w:tc>
              <w:tcPr>
                <w:tcW w:w="667" w:type="pct"/>
                <w:tcBorders>
                  <w:top w:val="single" w:sz="8" w:space="0" w:color="A6A6A6"/>
                  <w:left w:val="nil"/>
                  <w:bottom w:val="single" w:sz="8" w:space="0" w:color="A6A6A6"/>
                  <w:right w:val="single" w:sz="8" w:space="0" w:color="A6A6A6"/>
                </w:tcBorders>
                <w:shd w:val="clear" w:color="auto" w:fill="auto"/>
                <w:noWrap/>
                <w:vAlign w:val="center"/>
                <w:hideMark/>
              </w:tcPr>
              <w:p w14:paraId="60782CD8" w14:textId="77777777" w:rsidR="00BA2CBA" w:rsidRPr="00BA2CBA" w:rsidRDefault="00BA2CBA" w:rsidP="00BA2CBA">
                <w:pPr>
                  <w:spacing w:after="0" w:line="240" w:lineRule="auto"/>
                  <w:jc w:val="right"/>
                  <w:rPr>
                    <w:rFonts w:ascii="Times New Roman" w:eastAsia="Times New Roman" w:hAnsi="Times New Roman"/>
                    <w:b/>
                    <w:bCs/>
                    <w:color w:val="000000"/>
                    <w:sz w:val="18"/>
                    <w:szCs w:val="18"/>
                    <w:lang w:eastAsia="es-CO"/>
                  </w:rPr>
                </w:pPr>
                <w:r w:rsidRPr="00BA2CBA">
                  <w:rPr>
                    <w:rFonts w:ascii="Times New Roman" w:eastAsia="Times New Roman" w:hAnsi="Times New Roman"/>
                    <w:b/>
                    <w:bCs/>
                    <w:color w:val="000000"/>
                    <w:sz w:val="18"/>
                    <w:szCs w:val="18"/>
                    <w:lang w:eastAsia="es-CO"/>
                  </w:rPr>
                  <w:t>Diferencia</w:t>
                </w:r>
              </w:p>
            </w:tc>
          </w:tr>
          <w:tr w:rsidR="00BA2CBA" w:rsidRPr="00BA2CBA" w14:paraId="0EEC5232" w14:textId="77777777" w:rsidTr="00E87C6C">
            <w:trPr>
              <w:trHeight w:val="340"/>
            </w:trPr>
            <w:tc>
              <w:tcPr>
                <w:tcW w:w="842" w:type="pct"/>
                <w:tcBorders>
                  <w:top w:val="nil"/>
                  <w:left w:val="single" w:sz="8" w:space="0" w:color="A6A6A6"/>
                  <w:bottom w:val="single" w:sz="8" w:space="0" w:color="A6A6A6"/>
                  <w:right w:val="single" w:sz="8" w:space="0" w:color="A6A6A6"/>
                </w:tcBorders>
                <w:shd w:val="clear" w:color="auto" w:fill="auto"/>
                <w:vAlign w:val="center"/>
                <w:hideMark/>
              </w:tcPr>
              <w:p w14:paraId="7F0525D4" w14:textId="77777777" w:rsidR="00BA2CBA" w:rsidRPr="00BA2CBA" w:rsidRDefault="00BA2CBA" w:rsidP="00163036">
                <w:pPr>
                  <w:spacing w:after="0" w:line="240" w:lineRule="auto"/>
                  <w:rPr>
                    <w:rFonts w:ascii="Times New Roman" w:eastAsia="Times New Roman" w:hAnsi="Times New Roman"/>
                    <w:color w:val="000000"/>
                    <w:sz w:val="18"/>
                    <w:szCs w:val="18"/>
                    <w:lang w:eastAsia="es-CO"/>
                  </w:rPr>
                </w:pPr>
                <w:r w:rsidRPr="00BA2CBA">
                  <w:rPr>
                    <w:rFonts w:ascii="Times New Roman" w:eastAsia="Times New Roman" w:hAnsi="Times New Roman"/>
                    <w:color w:val="000000"/>
                    <w:sz w:val="18"/>
                    <w:szCs w:val="18"/>
                    <w:lang w:eastAsia="es-CO"/>
                  </w:rPr>
                  <w:t>901686436</w:t>
                </w:r>
              </w:p>
            </w:tc>
            <w:tc>
              <w:tcPr>
                <w:tcW w:w="2075" w:type="pct"/>
                <w:tcBorders>
                  <w:top w:val="nil"/>
                  <w:left w:val="nil"/>
                  <w:bottom w:val="single" w:sz="8" w:space="0" w:color="A6A6A6"/>
                  <w:right w:val="single" w:sz="8" w:space="0" w:color="A6A6A6"/>
                </w:tcBorders>
                <w:shd w:val="clear" w:color="auto" w:fill="auto"/>
                <w:vAlign w:val="center"/>
                <w:hideMark/>
              </w:tcPr>
              <w:p w14:paraId="03893553" w14:textId="77777777" w:rsidR="00BA2CBA" w:rsidRPr="00BA2CBA" w:rsidRDefault="00BA2CBA" w:rsidP="00BA2CBA">
                <w:pPr>
                  <w:spacing w:after="0" w:line="240" w:lineRule="auto"/>
                  <w:rPr>
                    <w:rFonts w:ascii="Times New Roman" w:eastAsia="Times New Roman" w:hAnsi="Times New Roman"/>
                    <w:color w:val="000000"/>
                    <w:sz w:val="18"/>
                    <w:szCs w:val="18"/>
                    <w:lang w:eastAsia="es-CO"/>
                  </w:rPr>
                </w:pPr>
                <w:r w:rsidRPr="00BA2CBA">
                  <w:rPr>
                    <w:rFonts w:ascii="Times New Roman" w:eastAsia="Times New Roman" w:hAnsi="Times New Roman"/>
                    <w:color w:val="000000"/>
                    <w:sz w:val="18"/>
                    <w:szCs w:val="18"/>
                    <w:lang w:eastAsia="es-CO"/>
                  </w:rPr>
                  <w:t>CONSORCIO CTSA - INGERAL</w:t>
                </w:r>
              </w:p>
            </w:tc>
            <w:tc>
              <w:tcPr>
                <w:tcW w:w="730" w:type="pct"/>
                <w:tcBorders>
                  <w:top w:val="nil"/>
                  <w:left w:val="nil"/>
                  <w:bottom w:val="single" w:sz="8" w:space="0" w:color="A6A6A6"/>
                  <w:right w:val="single" w:sz="8" w:space="0" w:color="A6A6A6"/>
                </w:tcBorders>
                <w:shd w:val="clear" w:color="auto" w:fill="auto"/>
                <w:vAlign w:val="center"/>
                <w:hideMark/>
              </w:tcPr>
              <w:p w14:paraId="41CF55A5" w14:textId="77777777" w:rsidR="00BA2CBA" w:rsidRPr="00BA2CBA" w:rsidRDefault="00BA2CBA" w:rsidP="00BA2CBA">
                <w:pPr>
                  <w:spacing w:after="0" w:line="240" w:lineRule="auto"/>
                  <w:jc w:val="right"/>
                  <w:rPr>
                    <w:rFonts w:ascii="Times New Roman" w:eastAsia="Times New Roman" w:hAnsi="Times New Roman"/>
                    <w:color w:val="000000"/>
                    <w:sz w:val="18"/>
                    <w:szCs w:val="18"/>
                    <w:lang w:eastAsia="es-CO"/>
                  </w:rPr>
                </w:pPr>
                <w:r w:rsidRPr="00BA2CBA">
                  <w:rPr>
                    <w:rFonts w:ascii="Times New Roman" w:eastAsia="Times New Roman" w:hAnsi="Times New Roman"/>
                    <w:color w:val="000000"/>
                    <w:sz w:val="18"/>
                    <w:szCs w:val="18"/>
                    <w:lang w:eastAsia="es-CO"/>
                  </w:rPr>
                  <w:t>82.265.229</w:t>
                </w:r>
              </w:p>
            </w:tc>
            <w:tc>
              <w:tcPr>
                <w:tcW w:w="685" w:type="pct"/>
                <w:tcBorders>
                  <w:top w:val="nil"/>
                  <w:left w:val="nil"/>
                  <w:bottom w:val="single" w:sz="8" w:space="0" w:color="A6A6A6"/>
                  <w:right w:val="single" w:sz="8" w:space="0" w:color="A6A6A6"/>
                </w:tcBorders>
                <w:shd w:val="clear" w:color="auto" w:fill="auto"/>
                <w:vAlign w:val="center"/>
                <w:hideMark/>
              </w:tcPr>
              <w:p w14:paraId="4A156006" w14:textId="77777777" w:rsidR="00BA2CBA" w:rsidRPr="00BA2CBA" w:rsidRDefault="00BA2CBA" w:rsidP="00BA2CBA">
                <w:pPr>
                  <w:spacing w:after="0" w:line="240" w:lineRule="auto"/>
                  <w:jc w:val="right"/>
                  <w:rPr>
                    <w:rFonts w:ascii="Times New Roman" w:eastAsia="Times New Roman" w:hAnsi="Times New Roman"/>
                    <w:color w:val="000000"/>
                    <w:sz w:val="18"/>
                    <w:szCs w:val="18"/>
                    <w:lang w:eastAsia="es-CO"/>
                  </w:rPr>
                </w:pPr>
                <w:r w:rsidRPr="00BA2CBA">
                  <w:rPr>
                    <w:rFonts w:ascii="Times New Roman" w:eastAsia="Times New Roman" w:hAnsi="Times New Roman"/>
                    <w:color w:val="000000"/>
                    <w:sz w:val="18"/>
                    <w:szCs w:val="18"/>
                    <w:lang w:eastAsia="es-CO"/>
                  </w:rPr>
                  <w:t>52.223.440</w:t>
                </w:r>
              </w:p>
            </w:tc>
            <w:tc>
              <w:tcPr>
                <w:tcW w:w="667" w:type="pct"/>
                <w:tcBorders>
                  <w:top w:val="nil"/>
                  <w:left w:val="nil"/>
                  <w:bottom w:val="single" w:sz="8" w:space="0" w:color="A6A6A6"/>
                  <w:right w:val="single" w:sz="8" w:space="0" w:color="A6A6A6"/>
                </w:tcBorders>
                <w:shd w:val="clear" w:color="auto" w:fill="auto"/>
                <w:noWrap/>
                <w:vAlign w:val="center"/>
                <w:hideMark/>
              </w:tcPr>
              <w:p w14:paraId="3111B227" w14:textId="77777777" w:rsidR="00BA2CBA" w:rsidRPr="00BA2CBA" w:rsidRDefault="00BA2CBA" w:rsidP="00BA2CBA">
                <w:pPr>
                  <w:spacing w:after="0" w:line="240" w:lineRule="auto"/>
                  <w:jc w:val="right"/>
                  <w:rPr>
                    <w:rFonts w:ascii="Times New Roman" w:eastAsia="Times New Roman" w:hAnsi="Times New Roman"/>
                    <w:color w:val="000000"/>
                    <w:sz w:val="18"/>
                    <w:szCs w:val="18"/>
                    <w:lang w:eastAsia="es-CO"/>
                  </w:rPr>
                </w:pPr>
                <w:r w:rsidRPr="00BA2CBA">
                  <w:rPr>
                    <w:rFonts w:ascii="Times New Roman" w:eastAsia="Times New Roman" w:hAnsi="Times New Roman"/>
                    <w:color w:val="000000"/>
                    <w:sz w:val="18"/>
                    <w:szCs w:val="18"/>
                    <w:lang w:eastAsia="es-CO"/>
                  </w:rPr>
                  <w:t>30.041.789</w:t>
                </w:r>
              </w:p>
            </w:tc>
          </w:tr>
          <w:tr w:rsidR="00BA2CBA" w:rsidRPr="00BA2CBA" w14:paraId="15155036" w14:textId="77777777" w:rsidTr="00E87C6C">
            <w:trPr>
              <w:trHeight w:val="340"/>
            </w:trPr>
            <w:tc>
              <w:tcPr>
                <w:tcW w:w="842" w:type="pct"/>
                <w:tcBorders>
                  <w:top w:val="nil"/>
                  <w:left w:val="single" w:sz="8" w:space="0" w:color="A6A6A6"/>
                  <w:bottom w:val="single" w:sz="8" w:space="0" w:color="A6A6A6"/>
                  <w:right w:val="single" w:sz="8" w:space="0" w:color="A6A6A6"/>
                </w:tcBorders>
                <w:shd w:val="clear" w:color="auto" w:fill="auto"/>
                <w:vAlign w:val="center"/>
                <w:hideMark/>
              </w:tcPr>
              <w:p w14:paraId="1B19FB58" w14:textId="77777777" w:rsidR="00BA2CBA" w:rsidRPr="00BA2CBA" w:rsidRDefault="00BA2CBA" w:rsidP="00163036">
                <w:pPr>
                  <w:spacing w:after="0" w:line="240" w:lineRule="auto"/>
                  <w:rPr>
                    <w:rFonts w:ascii="Times New Roman" w:eastAsia="Times New Roman" w:hAnsi="Times New Roman"/>
                    <w:color w:val="000000"/>
                    <w:sz w:val="18"/>
                    <w:szCs w:val="18"/>
                    <w:lang w:eastAsia="es-CO"/>
                  </w:rPr>
                </w:pPr>
                <w:r w:rsidRPr="00BA2CBA">
                  <w:rPr>
                    <w:rFonts w:ascii="Times New Roman" w:eastAsia="Times New Roman" w:hAnsi="Times New Roman"/>
                    <w:color w:val="000000"/>
                    <w:sz w:val="18"/>
                    <w:szCs w:val="18"/>
                    <w:lang w:eastAsia="es-CO"/>
                  </w:rPr>
                  <w:t>901732725</w:t>
                </w:r>
              </w:p>
            </w:tc>
            <w:tc>
              <w:tcPr>
                <w:tcW w:w="2075" w:type="pct"/>
                <w:tcBorders>
                  <w:top w:val="nil"/>
                  <w:left w:val="nil"/>
                  <w:bottom w:val="single" w:sz="8" w:space="0" w:color="A6A6A6"/>
                  <w:right w:val="single" w:sz="8" w:space="0" w:color="A6A6A6"/>
                </w:tcBorders>
                <w:shd w:val="clear" w:color="auto" w:fill="auto"/>
                <w:vAlign w:val="center"/>
                <w:hideMark/>
              </w:tcPr>
              <w:p w14:paraId="4ECC14C4" w14:textId="77777777" w:rsidR="00BA2CBA" w:rsidRPr="00BA2CBA" w:rsidRDefault="00BA2CBA" w:rsidP="00BA2CBA">
                <w:pPr>
                  <w:spacing w:after="0" w:line="240" w:lineRule="auto"/>
                  <w:rPr>
                    <w:rFonts w:ascii="Times New Roman" w:eastAsia="Times New Roman" w:hAnsi="Times New Roman"/>
                    <w:color w:val="000000"/>
                    <w:sz w:val="18"/>
                    <w:szCs w:val="18"/>
                    <w:lang w:eastAsia="es-CO"/>
                  </w:rPr>
                </w:pPr>
                <w:r w:rsidRPr="00BA2CBA">
                  <w:rPr>
                    <w:rFonts w:ascii="Times New Roman" w:eastAsia="Times New Roman" w:hAnsi="Times New Roman"/>
                    <w:color w:val="000000"/>
                    <w:sz w:val="18"/>
                    <w:szCs w:val="18"/>
                    <w:lang w:eastAsia="es-CO"/>
                  </w:rPr>
                  <w:t>CONSORCIO SAN FELIPE FERREO</w:t>
                </w:r>
              </w:p>
            </w:tc>
            <w:tc>
              <w:tcPr>
                <w:tcW w:w="730" w:type="pct"/>
                <w:tcBorders>
                  <w:top w:val="nil"/>
                  <w:left w:val="nil"/>
                  <w:bottom w:val="single" w:sz="8" w:space="0" w:color="A6A6A6"/>
                  <w:right w:val="single" w:sz="8" w:space="0" w:color="A6A6A6"/>
                </w:tcBorders>
                <w:shd w:val="clear" w:color="auto" w:fill="auto"/>
                <w:vAlign w:val="center"/>
                <w:hideMark/>
              </w:tcPr>
              <w:p w14:paraId="06458D15" w14:textId="77777777" w:rsidR="00BA2CBA" w:rsidRPr="00BA2CBA" w:rsidRDefault="00BA2CBA" w:rsidP="00BA2CBA">
                <w:pPr>
                  <w:spacing w:after="0" w:line="240" w:lineRule="auto"/>
                  <w:jc w:val="right"/>
                  <w:rPr>
                    <w:rFonts w:ascii="Times New Roman" w:eastAsia="Times New Roman" w:hAnsi="Times New Roman"/>
                    <w:color w:val="000000"/>
                    <w:sz w:val="18"/>
                    <w:szCs w:val="18"/>
                    <w:lang w:eastAsia="es-CO"/>
                  </w:rPr>
                </w:pPr>
                <w:r w:rsidRPr="00BA2CBA">
                  <w:rPr>
                    <w:rFonts w:ascii="Times New Roman" w:eastAsia="Times New Roman" w:hAnsi="Times New Roman"/>
                    <w:color w:val="000000"/>
                    <w:sz w:val="18"/>
                    <w:szCs w:val="18"/>
                    <w:lang w:eastAsia="es-CO"/>
                  </w:rPr>
                  <w:t>40.800.470</w:t>
                </w:r>
              </w:p>
            </w:tc>
            <w:tc>
              <w:tcPr>
                <w:tcW w:w="685" w:type="pct"/>
                <w:tcBorders>
                  <w:top w:val="nil"/>
                  <w:left w:val="nil"/>
                  <w:bottom w:val="single" w:sz="8" w:space="0" w:color="A6A6A6"/>
                  <w:right w:val="single" w:sz="8" w:space="0" w:color="A6A6A6"/>
                </w:tcBorders>
                <w:shd w:val="clear" w:color="auto" w:fill="auto"/>
                <w:vAlign w:val="center"/>
                <w:hideMark/>
              </w:tcPr>
              <w:p w14:paraId="354204FE" w14:textId="77777777" w:rsidR="00BA2CBA" w:rsidRPr="00BA2CBA" w:rsidRDefault="00BA2CBA" w:rsidP="00BA2CBA">
                <w:pPr>
                  <w:spacing w:after="0" w:line="240" w:lineRule="auto"/>
                  <w:jc w:val="right"/>
                  <w:rPr>
                    <w:rFonts w:ascii="Times New Roman" w:eastAsia="Times New Roman" w:hAnsi="Times New Roman"/>
                    <w:color w:val="000000"/>
                    <w:sz w:val="18"/>
                    <w:szCs w:val="18"/>
                    <w:lang w:eastAsia="es-CO"/>
                  </w:rPr>
                </w:pPr>
                <w:r w:rsidRPr="00BA2CBA">
                  <w:rPr>
                    <w:rFonts w:ascii="Times New Roman" w:eastAsia="Times New Roman" w:hAnsi="Times New Roman"/>
                    <w:color w:val="000000"/>
                    <w:sz w:val="18"/>
                    <w:szCs w:val="18"/>
                    <w:lang w:eastAsia="es-CO"/>
                  </w:rPr>
                  <w:t>37.518.170</w:t>
                </w:r>
              </w:p>
            </w:tc>
            <w:tc>
              <w:tcPr>
                <w:tcW w:w="667" w:type="pct"/>
                <w:tcBorders>
                  <w:top w:val="nil"/>
                  <w:left w:val="nil"/>
                  <w:bottom w:val="single" w:sz="8" w:space="0" w:color="A6A6A6"/>
                  <w:right w:val="single" w:sz="8" w:space="0" w:color="A6A6A6"/>
                </w:tcBorders>
                <w:shd w:val="clear" w:color="auto" w:fill="auto"/>
                <w:noWrap/>
                <w:vAlign w:val="center"/>
                <w:hideMark/>
              </w:tcPr>
              <w:p w14:paraId="40C65E1D" w14:textId="77777777" w:rsidR="00BA2CBA" w:rsidRPr="00BA2CBA" w:rsidRDefault="00BA2CBA" w:rsidP="00BA2CBA">
                <w:pPr>
                  <w:spacing w:after="0" w:line="240" w:lineRule="auto"/>
                  <w:jc w:val="right"/>
                  <w:rPr>
                    <w:rFonts w:ascii="Times New Roman" w:eastAsia="Times New Roman" w:hAnsi="Times New Roman"/>
                    <w:color w:val="000000"/>
                    <w:sz w:val="18"/>
                    <w:szCs w:val="18"/>
                    <w:lang w:eastAsia="es-CO"/>
                  </w:rPr>
                </w:pPr>
                <w:r w:rsidRPr="00BA2CBA">
                  <w:rPr>
                    <w:rFonts w:ascii="Times New Roman" w:eastAsia="Times New Roman" w:hAnsi="Times New Roman"/>
                    <w:color w:val="000000"/>
                    <w:sz w:val="18"/>
                    <w:szCs w:val="18"/>
                    <w:lang w:eastAsia="es-CO"/>
                  </w:rPr>
                  <w:t>3.282.300</w:t>
                </w:r>
              </w:p>
            </w:tc>
          </w:tr>
          <w:tr w:rsidR="00BA2CBA" w:rsidRPr="00BA2CBA" w14:paraId="2CBAD48B" w14:textId="77777777" w:rsidTr="00E87C6C">
            <w:trPr>
              <w:trHeight w:val="340"/>
            </w:trPr>
            <w:tc>
              <w:tcPr>
                <w:tcW w:w="2918" w:type="pct"/>
                <w:gridSpan w:val="2"/>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6DB2DAA4" w14:textId="77777777" w:rsidR="00BA2CBA" w:rsidRPr="00BA2CBA" w:rsidRDefault="00BA2CBA" w:rsidP="00BA2CBA">
                <w:pPr>
                  <w:spacing w:after="0" w:line="240" w:lineRule="auto"/>
                  <w:rPr>
                    <w:rFonts w:ascii="Times New Roman" w:eastAsia="Times New Roman" w:hAnsi="Times New Roman"/>
                    <w:color w:val="000000"/>
                    <w:sz w:val="18"/>
                    <w:szCs w:val="18"/>
                    <w:lang w:eastAsia="es-CO"/>
                  </w:rPr>
                </w:pPr>
                <w:r w:rsidRPr="00BA2CBA">
                  <w:rPr>
                    <w:rFonts w:ascii="Times New Roman" w:eastAsia="Times New Roman" w:hAnsi="Times New Roman"/>
                    <w:color w:val="000000"/>
                    <w:sz w:val="18"/>
                    <w:szCs w:val="18"/>
                    <w:lang w:eastAsia="es-CO"/>
                  </w:rPr>
                  <w:t>TOTALES</w:t>
                </w:r>
              </w:p>
            </w:tc>
            <w:tc>
              <w:tcPr>
                <w:tcW w:w="730" w:type="pct"/>
                <w:tcBorders>
                  <w:top w:val="nil"/>
                  <w:left w:val="nil"/>
                  <w:bottom w:val="single" w:sz="8" w:space="0" w:color="A6A6A6"/>
                  <w:right w:val="single" w:sz="8" w:space="0" w:color="A6A6A6"/>
                </w:tcBorders>
                <w:shd w:val="clear" w:color="auto" w:fill="auto"/>
                <w:vAlign w:val="center"/>
                <w:hideMark/>
              </w:tcPr>
              <w:p w14:paraId="017ABA2C" w14:textId="77777777" w:rsidR="00BA2CBA" w:rsidRPr="00BA2CBA" w:rsidRDefault="00BA2CBA" w:rsidP="00BA2CBA">
                <w:pPr>
                  <w:spacing w:after="0" w:line="240" w:lineRule="auto"/>
                  <w:jc w:val="right"/>
                  <w:rPr>
                    <w:rFonts w:ascii="Times New Roman" w:eastAsia="Times New Roman" w:hAnsi="Times New Roman"/>
                    <w:color w:val="000000"/>
                    <w:sz w:val="18"/>
                    <w:szCs w:val="18"/>
                    <w:lang w:eastAsia="es-CO"/>
                  </w:rPr>
                </w:pPr>
                <w:r w:rsidRPr="00BA2CBA">
                  <w:rPr>
                    <w:rFonts w:ascii="Times New Roman" w:eastAsia="Times New Roman" w:hAnsi="Times New Roman"/>
                    <w:color w:val="000000"/>
                    <w:sz w:val="18"/>
                    <w:szCs w:val="18"/>
                    <w:lang w:eastAsia="es-CO"/>
                  </w:rPr>
                  <w:t>123.065.699</w:t>
                </w:r>
              </w:p>
            </w:tc>
            <w:tc>
              <w:tcPr>
                <w:tcW w:w="685" w:type="pct"/>
                <w:tcBorders>
                  <w:top w:val="nil"/>
                  <w:left w:val="nil"/>
                  <w:bottom w:val="single" w:sz="8" w:space="0" w:color="A6A6A6"/>
                  <w:right w:val="single" w:sz="8" w:space="0" w:color="A6A6A6"/>
                </w:tcBorders>
                <w:shd w:val="clear" w:color="auto" w:fill="auto"/>
                <w:vAlign w:val="center"/>
                <w:hideMark/>
              </w:tcPr>
              <w:p w14:paraId="5C44CF5F" w14:textId="77777777" w:rsidR="00BA2CBA" w:rsidRPr="00BA2CBA" w:rsidRDefault="00BA2CBA" w:rsidP="00BA2CBA">
                <w:pPr>
                  <w:spacing w:after="0" w:line="240" w:lineRule="auto"/>
                  <w:jc w:val="right"/>
                  <w:rPr>
                    <w:rFonts w:ascii="Times New Roman" w:eastAsia="Times New Roman" w:hAnsi="Times New Roman"/>
                    <w:color w:val="000000"/>
                    <w:sz w:val="18"/>
                    <w:szCs w:val="18"/>
                    <w:lang w:eastAsia="es-CO"/>
                  </w:rPr>
                </w:pPr>
                <w:r w:rsidRPr="00BA2CBA">
                  <w:rPr>
                    <w:rFonts w:ascii="Times New Roman" w:eastAsia="Times New Roman" w:hAnsi="Times New Roman"/>
                    <w:color w:val="000000"/>
                    <w:sz w:val="18"/>
                    <w:szCs w:val="18"/>
                    <w:lang w:eastAsia="es-CO"/>
                  </w:rPr>
                  <w:t>89.741.610</w:t>
                </w:r>
              </w:p>
            </w:tc>
            <w:tc>
              <w:tcPr>
                <w:tcW w:w="667" w:type="pct"/>
                <w:tcBorders>
                  <w:top w:val="nil"/>
                  <w:left w:val="nil"/>
                  <w:bottom w:val="single" w:sz="8" w:space="0" w:color="A6A6A6"/>
                  <w:right w:val="single" w:sz="8" w:space="0" w:color="A6A6A6"/>
                </w:tcBorders>
                <w:shd w:val="clear" w:color="auto" w:fill="auto"/>
                <w:vAlign w:val="center"/>
                <w:hideMark/>
              </w:tcPr>
              <w:p w14:paraId="56D461DA" w14:textId="77777777" w:rsidR="00BA2CBA" w:rsidRPr="00BA2CBA" w:rsidRDefault="00BA2CBA" w:rsidP="00BA2CBA">
                <w:pPr>
                  <w:spacing w:after="0" w:line="240" w:lineRule="auto"/>
                  <w:jc w:val="right"/>
                  <w:rPr>
                    <w:rFonts w:ascii="Times New Roman" w:eastAsia="Times New Roman" w:hAnsi="Times New Roman"/>
                    <w:color w:val="000000"/>
                    <w:sz w:val="18"/>
                    <w:szCs w:val="18"/>
                    <w:lang w:eastAsia="es-CO"/>
                  </w:rPr>
                </w:pPr>
                <w:r w:rsidRPr="00BA2CBA">
                  <w:rPr>
                    <w:rFonts w:ascii="Times New Roman" w:eastAsia="Times New Roman" w:hAnsi="Times New Roman"/>
                    <w:color w:val="000000"/>
                    <w:sz w:val="18"/>
                    <w:szCs w:val="18"/>
                    <w:lang w:eastAsia="es-CO"/>
                  </w:rPr>
                  <w:t>33.324.089</w:t>
                </w:r>
              </w:p>
            </w:tc>
          </w:tr>
        </w:tbl>
        <w:p w14:paraId="6A325078" w14:textId="5A5EA9C9" w:rsidR="00B0616F" w:rsidRPr="00931DCE" w:rsidRDefault="00AD2026" w:rsidP="00465C68">
          <w:pPr>
            <w:spacing w:after="0" w:line="240" w:lineRule="auto"/>
            <w:jc w:val="both"/>
            <w:rPr>
              <w:rFonts w:ascii="Times New Roman" w:hAnsi="Times New Roman"/>
              <w:sz w:val="24"/>
              <w:szCs w:val="24"/>
            </w:rPr>
          </w:pPr>
          <w:r w:rsidRPr="00931DCE">
            <w:rPr>
              <w:rFonts w:ascii="Times New Roman" w:hAnsi="Times New Roman"/>
              <w:sz w:val="14"/>
              <w:szCs w:val="14"/>
            </w:rPr>
            <w:t>Cifras expresadas en pesos</w:t>
          </w:r>
        </w:p>
        <w:p w14:paraId="443F8E4B" w14:textId="12246630" w:rsidR="00B0616F" w:rsidRPr="00931DCE" w:rsidRDefault="00B0616F" w:rsidP="00F65CCD">
          <w:pPr>
            <w:spacing w:after="0" w:line="240" w:lineRule="auto"/>
            <w:jc w:val="both"/>
            <w:rPr>
              <w:rFonts w:ascii="Times New Roman" w:hAnsi="Times New Roman"/>
              <w:sz w:val="24"/>
              <w:szCs w:val="24"/>
            </w:rPr>
          </w:pPr>
          <w:r w:rsidRPr="00931DCE">
            <w:rPr>
              <w:rFonts w:ascii="Times New Roman" w:hAnsi="Times New Roman"/>
              <w:sz w:val="24"/>
              <w:szCs w:val="24"/>
            </w:rPr>
            <w:lastRenderedPageBreak/>
            <w:t>Pago por cuenta de terceros:</w:t>
          </w:r>
          <w:r w:rsidRPr="00931DCE">
            <w:rPr>
              <w:rFonts w:ascii="Times New Roman" w:hAnsi="Times New Roman"/>
            </w:rPr>
            <w:t xml:space="preserve"> </w:t>
          </w:r>
          <w:r w:rsidRPr="00931DCE">
            <w:rPr>
              <w:rFonts w:ascii="Times New Roman" w:hAnsi="Times New Roman"/>
              <w:sz w:val="24"/>
              <w:szCs w:val="24"/>
            </w:rPr>
            <w:t>corresponden a las incapacidades reconocidas en las nóminas de sueldos de los funcionarios de la entidad, que a 31 de diciembre 202</w:t>
          </w:r>
          <w:r w:rsidR="00031617">
            <w:rPr>
              <w:rFonts w:ascii="Times New Roman" w:hAnsi="Times New Roman"/>
              <w:sz w:val="24"/>
              <w:szCs w:val="24"/>
            </w:rPr>
            <w:t>3</w:t>
          </w:r>
          <w:r w:rsidRPr="00931DCE">
            <w:rPr>
              <w:rFonts w:ascii="Times New Roman" w:hAnsi="Times New Roman"/>
              <w:sz w:val="24"/>
              <w:szCs w:val="24"/>
            </w:rPr>
            <w:t xml:space="preserve"> se encontraban pendientes de pago por valor de $</w:t>
          </w:r>
          <w:r w:rsidR="00302B29">
            <w:rPr>
              <w:rFonts w:ascii="Times New Roman" w:hAnsi="Times New Roman"/>
              <w:sz w:val="24"/>
              <w:szCs w:val="24"/>
            </w:rPr>
            <w:t>76</w:t>
          </w:r>
          <w:r w:rsidR="00066D9B">
            <w:rPr>
              <w:rFonts w:ascii="Times New Roman" w:hAnsi="Times New Roman"/>
              <w:sz w:val="24"/>
              <w:szCs w:val="24"/>
            </w:rPr>
            <w:t>.422.735</w:t>
          </w:r>
          <w:r w:rsidRPr="00931DCE">
            <w:rPr>
              <w:rFonts w:ascii="Times New Roman" w:hAnsi="Times New Roman"/>
              <w:sz w:val="24"/>
              <w:szCs w:val="24"/>
            </w:rPr>
            <w:t xml:space="preserve"> </w:t>
          </w:r>
          <w:r w:rsidR="005856C4">
            <w:rPr>
              <w:rFonts w:ascii="Times New Roman" w:hAnsi="Times New Roman"/>
              <w:sz w:val="24"/>
              <w:szCs w:val="24"/>
            </w:rPr>
            <w:t>pesos</w:t>
          </w:r>
          <w:r w:rsidRPr="00931DCE">
            <w:rPr>
              <w:rFonts w:ascii="Times New Roman" w:hAnsi="Times New Roman"/>
              <w:sz w:val="24"/>
              <w:szCs w:val="24"/>
            </w:rPr>
            <w:t xml:space="preserve"> y que fueron conciliados con GIT de Talento Humano. </w:t>
          </w:r>
        </w:p>
        <w:p w14:paraId="7FF40C57" w14:textId="77777777" w:rsidR="00F65CCD" w:rsidRPr="00931DCE" w:rsidRDefault="00F65CCD" w:rsidP="00F65CCD">
          <w:pPr>
            <w:spacing w:after="0" w:line="240" w:lineRule="auto"/>
            <w:jc w:val="both"/>
            <w:rPr>
              <w:rFonts w:ascii="Times New Roman" w:hAnsi="Times New Roman"/>
              <w:sz w:val="24"/>
              <w:szCs w:val="24"/>
            </w:rPr>
          </w:pPr>
        </w:p>
        <w:p w14:paraId="55429BC7" w14:textId="508A6775" w:rsidR="00B0616F" w:rsidRDefault="00B0616F" w:rsidP="00F65CCD">
          <w:pPr>
            <w:spacing w:after="0" w:line="240" w:lineRule="auto"/>
            <w:jc w:val="both"/>
            <w:rPr>
              <w:rFonts w:ascii="Times New Roman" w:hAnsi="Times New Roman"/>
              <w:sz w:val="24"/>
              <w:szCs w:val="24"/>
            </w:rPr>
          </w:pPr>
          <w:r w:rsidRPr="00931DCE">
            <w:rPr>
              <w:rFonts w:ascii="Times New Roman" w:hAnsi="Times New Roman"/>
              <w:sz w:val="24"/>
              <w:szCs w:val="24"/>
            </w:rPr>
            <w:t>Composición a nivel de terceros:</w:t>
          </w:r>
        </w:p>
        <w:tbl>
          <w:tblPr>
            <w:tblW w:w="5000" w:type="pct"/>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CellMar>
              <w:left w:w="70" w:type="dxa"/>
              <w:right w:w="70" w:type="dxa"/>
            </w:tblCellMar>
            <w:tblLook w:val="04A0" w:firstRow="1" w:lastRow="0" w:firstColumn="1" w:lastColumn="0" w:noHBand="0" w:noVBand="1"/>
          </w:tblPr>
          <w:tblGrid>
            <w:gridCol w:w="4497"/>
            <w:gridCol w:w="4462"/>
          </w:tblGrid>
          <w:tr w:rsidR="00C86FF7" w:rsidRPr="00C86FF7" w14:paraId="1565204A" w14:textId="77777777" w:rsidTr="00C86FF7">
            <w:trPr>
              <w:trHeight w:val="340"/>
            </w:trPr>
            <w:tc>
              <w:tcPr>
                <w:tcW w:w="2510" w:type="pct"/>
                <w:shd w:val="clear" w:color="auto" w:fill="auto"/>
                <w:noWrap/>
                <w:vAlign w:val="center"/>
                <w:hideMark/>
              </w:tcPr>
              <w:p w14:paraId="17C731F4" w14:textId="77777777" w:rsidR="00C86FF7" w:rsidRPr="00C86FF7" w:rsidRDefault="00C86FF7" w:rsidP="00C86FF7">
                <w:pPr>
                  <w:spacing w:after="0" w:line="240" w:lineRule="auto"/>
                  <w:rPr>
                    <w:rFonts w:ascii="Times New Roman" w:eastAsia="Times New Roman" w:hAnsi="Times New Roman"/>
                    <w:b/>
                    <w:bCs/>
                    <w:color w:val="000000"/>
                    <w:sz w:val="18"/>
                    <w:szCs w:val="18"/>
                    <w:lang w:eastAsia="es-CO"/>
                  </w:rPr>
                </w:pPr>
                <w:r w:rsidRPr="00C86FF7">
                  <w:rPr>
                    <w:rFonts w:ascii="Times New Roman" w:eastAsia="Times New Roman" w:hAnsi="Times New Roman"/>
                    <w:b/>
                    <w:bCs/>
                    <w:color w:val="000000"/>
                    <w:sz w:val="18"/>
                    <w:szCs w:val="18"/>
                    <w:lang w:eastAsia="es-CO"/>
                  </w:rPr>
                  <w:t xml:space="preserve">Tercero </w:t>
                </w:r>
              </w:p>
            </w:tc>
            <w:tc>
              <w:tcPr>
                <w:tcW w:w="2490" w:type="pct"/>
                <w:shd w:val="clear" w:color="auto" w:fill="auto"/>
                <w:noWrap/>
                <w:vAlign w:val="center"/>
                <w:hideMark/>
              </w:tcPr>
              <w:p w14:paraId="4FD40F8B" w14:textId="77777777" w:rsidR="00C86FF7" w:rsidRPr="00C86FF7" w:rsidRDefault="00C86FF7" w:rsidP="00C86FF7">
                <w:pPr>
                  <w:spacing w:after="0" w:line="240" w:lineRule="auto"/>
                  <w:jc w:val="right"/>
                  <w:rPr>
                    <w:rFonts w:ascii="Times New Roman" w:eastAsia="Times New Roman" w:hAnsi="Times New Roman"/>
                    <w:b/>
                    <w:bCs/>
                    <w:color w:val="000000"/>
                    <w:sz w:val="18"/>
                    <w:szCs w:val="18"/>
                    <w:lang w:eastAsia="es-CO"/>
                  </w:rPr>
                </w:pPr>
                <w:r w:rsidRPr="00C86FF7">
                  <w:rPr>
                    <w:rFonts w:ascii="Times New Roman" w:eastAsia="Times New Roman" w:hAnsi="Times New Roman"/>
                    <w:b/>
                    <w:bCs/>
                    <w:color w:val="000000"/>
                    <w:sz w:val="18"/>
                    <w:szCs w:val="18"/>
                    <w:lang w:eastAsia="es-CO"/>
                  </w:rPr>
                  <w:t>Saldo 2023</w:t>
                </w:r>
              </w:p>
            </w:tc>
          </w:tr>
          <w:tr w:rsidR="00C86FF7" w:rsidRPr="00C86FF7" w14:paraId="16E7AF72" w14:textId="77777777" w:rsidTr="00C86FF7">
            <w:trPr>
              <w:trHeight w:val="340"/>
            </w:trPr>
            <w:tc>
              <w:tcPr>
                <w:tcW w:w="2510" w:type="pct"/>
                <w:shd w:val="clear" w:color="auto" w:fill="auto"/>
                <w:vAlign w:val="center"/>
                <w:hideMark/>
              </w:tcPr>
              <w:p w14:paraId="639473B9" w14:textId="77777777" w:rsidR="00C86FF7" w:rsidRPr="00C86FF7" w:rsidRDefault="00C86FF7" w:rsidP="00C86FF7">
                <w:pPr>
                  <w:spacing w:after="0" w:line="240" w:lineRule="auto"/>
                  <w:rPr>
                    <w:rFonts w:ascii="Times New Roman" w:eastAsia="Times New Roman" w:hAnsi="Times New Roman"/>
                    <w:color w:val="000000"/>
                    <w:sz w:val="18"/>
                    <w:szCs w:val="18"/>
                    <w:lang w:eastAsia="es-CO"/>
                  </w:rPr>
                </w:pPr>
                <w:r w:rsidRPr="00C86FF7">
                  <w:rPr>
                    <w:rFonts w:ascii="Times New Roman" w:eastAsia="Times New Roman" w:hAnsi="Times New Roman"/>
                    <w:color w:val="000000"/>
                    <w:sz w:val="18"/>
                    <w:szCs w:val="18"/>
                    <w:lang w:eastAsia="es-CO"/>
                  </w:rPr>
                  <w:t>Entidad Promotora de Salud Sanitas S A S</w:t>
                </w:r>
              </w:p>
            </w:tc>
            <w:tc>
              <w:tcPr>
                <w:tcW w:w="2490" w:type="pct"/>
                <w:shd w:val="clear" w:color="auto" w:fill="auto"/>
                <w:vAlign w:val="center"/>
                <w:hideMark/>
              </w:tcPr>
              <w:p w14:paraId="51286CED" w14:textId="77777777" w:rsidR="00C86FF7" w:rsidRPr="00C86FF7" w:rsidRDefault="00C86FF7" w:rsidP="00C86FF7">
                <w:pPr>
                  <w:spacing w:after="0" w:line="240" w:lineRule="auto"/>
                  <w:jc w:val="right"/>
                  <w:rPr>
                    <w:rFonts w:ascii="Times New Roman" w:eastAsia="Times New Roman" w:hAnsi="Times New Roman"/>
                    <w:color w:val="000000"/>
                    <w:sz w:val="18"/>
                    <w:szCs w:val="18"/>
                    <w:lang w:eastAsia="es-CO"/>
                  </w:rPr>
                </w:pPr>
                <w:r w:rsidRPr="00C86FF7">
                  <w:rPr>
                    <w:rFonts w:ascii="Times New Roman" w:eastAsia="Times New Roman" w:hAnsi="Times New Roman"/>
                    <w:color w:val="000000"/>
                    <w:sz w:val="18"/>
                    <w:szCs w:val="18"/>
                    <w:lang w:eastAsia="es-CO"/>
                  </w:rPr>
                  <w:t>49.319.635</w:t>
                </w:r>
              </w:p>
            </w:tc>
          </w:tr>
          <w:tr w:rsidR="00C86FF7" w:rsidRPr="00C86FF7" w14:paraId="0C54A77C" w14:textId="77777777" w:rsidTr="00C86FF7">
            <w:trPr>
              <w:trHeight w:val="340"/>
            </w:trPr>
            <w:tc>
              <w:tcPr>
                <w:tcW w:w="2510" w:type="pct"/>
                <w:shd w:val="clear" w:color="auto" w:fill="auto"/>
                <w:vAlign w:val="center"/>
                <w:hideMark/>
              </w:tcPr>
              <w:p w14:paraId="514258BE" w14:textId="77777777" w:rsidR="00C86FF7" w:rsidRPr="00C86FF7" w:rsidRDefault="00C86FF7" w:rsidP="00C86FF7">
                <w:pPr>
                  <w:spacing w:after="0" w:line="240" w:lineRule="auto"/>
                  <w:rPr>
                    <w:rFonts w:ascii="Times New Roman" w:eastAsia="Times New Roman" w:hAnsi="Times New Roman"/>
                    <w:color w:val="000000"/>
                    <w:sz w:val="18"/>
                    <w:szCs w:val="18"/>
                    <w:lang w:eastAsia="es-CO"/>
                  </w:rPr>
                </w:pPr>
                <w:r w:rsidRPr="00C86FF7">
                  <w:rPr>
                    <w:rFonts w:ascii="Times New Roman" w:eastAsia="Times New Roman" w:hAnsi="Times New Roman"/>
                    <w:color w:val="000000"/>
                    <w:sz w:val="18"/>
                    <w:szCs w:val="18"/>
                    <w:lang w:eastAsia="es-CO"/>
                  </w:rPr>
                  <w:t xml:space="preserve">Aliansalud Entidad Promotora de Salud S.A. </w:t>
                </w:r>
              </w:p>
            </w:tc>
            <w:tc>
              <w:tcPr>
                <w:tcW w:w="2490" w:type="pct"/>
                <w:shd w:val="clear" w:color="auto" w:fill="auto"/>
                <w:vAlign w:val="center"/>
                <w:hideMark/>
              </w:tcPr>
              <w:p w14:paraId="795350EE" w14:textId="77777777" w:rsidR="00C86FF7" w:rsidRPr="00C86FF7" w:rsidRDefault="00C86FF7" w:rsidP="00C86FF7">
                <w:pPr>
                  <w:spacing w:after="0" w:line="240" w:lineRule="auto"/>
                  <w:jc w:val="right"/>
                  <w:rPr>
                    <w:rFonts w:ascii="Times New Roman" w:eastAsia="Times New Roman" w:hAnsi="Times New Roman"/>
                    <w:color w:val="000000"/>
                    <w:sz w:val="18"/>
                    <w:szCs w:val="18"/>
                    <w:lang w:eastAsia="es-CO"/>
                  </w:rPr>
                </w:pPr>
                <w:r w:rsidRPr="00C86FF7">
                  <w:rPr>
                    <w:rFonts w:ascii="Times New Roman" w:eastAsia="Times New Roman" w:hAnsi="Times New Roman"/>
                    <w:color w:val="000000"/>
                    <w:sz w:val="18"/>
                    <w:szCs w:val="18"/>
                    <w:lang w:eastAsia="es-CO"/>
                  </w:rPr>
                  <w:t>13.152.275</w:t>
                </w:r>
              </w:p>
            </w:tc>
          </w:tr>
          <w:tr w:rsidR="00C86FF7" w:rsidRPr="00C86FF7" w14:paraId="39BDE6E7" w14:textId="77777777" w:rsidTr="00C86FF7">
            <w:trPr>
              <w:trHeight w:val="340"/>
            </w:trPr>
            <w:tc>
              <w:tcPr>
                <w:tcW w:w="2510" w:type="pct"/>
                <w:shd w:val="clear" w:color="auto" w:fill="auto"/>
                <w:vAlign w:val="center"/>
                <w:hideMark/>
              </w:tcPr>
              <w:p w14:paraId="26A9FE9D" w14:textId="77777777" w:rsidR="00C86FF7" w:rsidRPr="00C86FF7" w:rsidRDefault="00C86FF7" w:rsidP="00C86FF7">
                <w:pPr>
                  <w:spacing w:after="0" w:line="240" w:lineRule="auto"/>
                  <w:rPr>
                    <w:rFonts w:ascii="Times New Roman" w:eastAsia="Times New Roman" w:hAnsi="Times New Roman"/>
                    <w:color w:val="000000"/>
                    <w:sz w:val="18"/>
                    <w:szCs w:val="18"/>
                    <w:lang w:eastAsia="es-CO"/>
                  </w:rPr>
                </w:pPr>
                <w:r w:rsidRPr="00C86FF7">
                  <w:rPr>
                    <w:rFonts w:ascii="Times New Roman" w:eastAsia="Times New Roman" w:hAnsi="Times New Roman"/>
                    <w:color w:val="000000"/>
                    <w:sz w:val="18"/>
                    <w:szCs w:val="18"/>
                    <w:lang w:eastAsia="es-CO"/>
                  </w:rPr>
                  <w:t>Salud Total Entidad Promotora de Salud del Régimen Contributivo Y del Régimen Subsidiado S A</w:t>
                </w:r>
              </w:p>
            </w:tc>
            <w:tc>
              <w:tcPr>
                <w:tcW w:w="2490" w:type="pct"/>
                <w:shd w:val="clear" w:color="auto" w:fill="auto"/>
                <w:vAlign w:val="center"/>
                <w:hideMark/>
              </w:tcPr>
              <w:p w14:paraId="62999A36" w14:textId="77777777" w:rsidR="00C86FF7" w:rsidRPr="00C86FF7" w:rsidRDefault="00C86FF7" w:rsidP="00C86FF7">
                <w:pPr>
                  <w:spacing w:after="0" w:line="240" w:lineRule="auto"/>
                  <w:jc w:val="right"/>
                  <w:rPr>
                    <w:rFonts w:ascii="Times New Roman" w:eastAsia="Times New Roman" w:hAnsi="Times New Roman"/>
                    <w:color w:val="000000"/>
                    <w:sz w:val="18"/>
                    <w:szCs w:val="18"/>
                    <w:lang w:eastAsia="es-CO"/>
                  </w:rPr>
                </w:pPr>
                <w:r w:rsidRPr="00C86FF7">
                  <w:rPr>
                    <w:rFonts w:ascii="Times New Roman" w:eastAsia="Times New Roman" w:hAnsi="Times New Roman"/>
                    <w:color w:val="000000"/>
                    <w:sz w:val="18"/>
                    <w:szCs w:val="18"/>
                    <w:lang w:eastAsia="es-CO"/>
                  </w:rPr>
                  <w:t>12.312.513</w:t>
                </w:r>
              </w:p>
            </w:tc>
          </w:tr>
          <w:tr w:rsidR="00C86FF7" w:rsidRPr="00C86FF7" w14:paraId="5DBB7E36" w14:textId="77777777" w:rsidTr="00C86FF7">
            <w:trPr>
              <w:trHeight w:val="340"/>
            </w:trPr>
            <w:tc>
              <w:tcPr>
                <w:tcW w:w="2510" w:type="pct"/>
                <w:shd w:val="clear" w:color="auto" w:fill="auto"/>
                <w:vAlign w:val="center"/>
                <w:hideMark/>
              </w:tcPr>
              <w:p w14:paraId="45500B3A" w14:textId="77777777" w:rsidR="00C86FF7" w:rsidRPr="00C86FF7" w:rsidRDefault="00C86FF7" w:rsidP="00C86FF7">
                <w:pPr>
                  <w:spacing w:after="0" w:line="240" w:lineRule="auto"/>
                  <w:rPr>
                    <w:rFonts w:ascii="Times New Roman" w:eastAsia="Times New Roman" w:hAnsi="Times New Roman"/>
                    <w:color w:val="000000"/>
                    <w:sz w:val="18"/>
                    <w:szCs w:val="18"/>
                    <w:lang w:eastAsia="es-CO"/>
                  </w:rPr>
                </w:pPr>
                <w:r w:rsidRPr="00C86FF7">
                  <w:rPr>
                    <w:rFonts w:ascii="Times New Roman" w:eastAsia="Times New Roman" w:hAnsi="Times New Roman"/>
                    <w:color w:val="000000"/>
                    <w:sz w:val="18"/>
                    <w:szCs w:val="18"/>
                    <w:lang w:eastAsia="es-CO"/>
                  </w:rPr>
                  <w:t>Caja de Compensación Familiar Compensar</w:t>
                </w:r>
              </w:p>
            </w:tc>
            <w:tc>
              <w:tcPr>
                <w:tcW w:w="2490" w:type="pct"/>
                <w:shd w:val="clear" w:color="auto" w:fill="auto"/>
                <w:vAlign w:val="center"/>
                <w:hideMark/>
              </w:tcPr>
              <w:p w14:paraId="2ACB8BB6" w14:textId="77777777" w:rsidR="00C86FF7" w:rsidRPr="00C86FF7" w:rsidRDefault="00C86FF7" w:rsidP="00C86FF7">
                <w:pPr>
                  <w:spacing w:after="0" w:line="240" w:lineRule="auto"/>
                  <w:jc w:val="right"/>
                  <w:rPr>
                    <w:rFonts w:ascii="Times New Roman" w:eastAsia="Times New Roman" w:hAnsi="Times New Roman"/>
                    <w:color w:val="000000"/>
                    <w:sz w:val="18"/>
                    <w:szCs w:val="18"/>
                    <w:lang w:eastAsia="es-CO"/>
                  </w:rPr>
                </w:pPr>
                <w:r w:rsidRPr="00C86FF7">
                  <w:rPr>
                    <w:rFonts w:ascii="Times New Roman" w:eastAsia="Times New Roman" w:hAnsi="Times New Roman"/>
                    <w:color w:val="000000"/>
                    <w:sz w:val="18"/>
                    <w:szCs w:val="18"/>
                    <w:lang w:eastAsia="es-CO"/>
                  </w:rPr>
                  <w:t>849.401</w:t>
                </w:r>
              </w:p>
            </w:tc>
          </w:tr>
          <w:tr w:rsidR="00C86FF7" w:rsidRPr="00C86FF7" w14:paraId="1DB0D5C7" w14:textId="77777777" w:rsidTr="00C86FF7">
            <w:trPr>
              <w:trHeight w:val="340"/>
            </w:trPr>
            <w:tc>
              <w:tcPr>
                <w:tcW w:w="2510" w:type="pct"/>
                <w:shd w:val="clear" w:color="auto" w:fill="auto"/>
                <w:vAlign w:val="center"/>
                <w:hideMark/>
              </w:tcPr>
              <w:p w14:paraId="7CE5C730" w14:textId="77777777" w:rsidR="00C86FF7" w:rsidRPr="00C86FF7" w:rsidRDefault="00C86FF7" w:rsidP="00C86FF7">
                <w:pPr>
                  <w:spacing w:after="0" w:line="240" w:lineRule="auto"/>
                  <w:rPr>
                    <w:rFonts w:ascii="Times New Roman" w:eastAsia="Times New Roman" w:hAnsi="Times New Roman"/>
                    <w:color w:val="000000"/>
                    <w:sz w:val="18"/>
                    <w:szCs w:val="18"/>
                    <w:lang w:eastAsia="es-CO"/>
                  </w:rPr>
                </w:pPr>
                <w:r w:rsidRPr="00C86FF7">
                  <w:rPr>
                    <w:rFonts w:ascii="Times New Roman" w:eastAsia="Times New Roman" w:hAnsi="Times New Roman"/>
                    <w:color w:val="000000"/>
                    <w:sz w:val="18"/>
                    <w:szCs w:val="18"/>
                    <w:lang w:eastAsia="es-CO"/>
                  </w:rPr>
                  <w:t xml:space="preserve">Entidad Promotora de Salud Famisanar S A S </w:t>
                </w:r>
              </w:p>
            </w:tc>
            <w:tc>
              <w:tcPr>
                <w:tcW w:w="2490" w:type="pct"/>
                <w:shd w:val="clear" w:color="auto" w:fill="auto"/>
                <w:vAlign w:val="center"/>
                <w:hideMark/>
              </w:tcPr>
              <w:p w14:paraId="16177A05" w14:textId="77777777" w:rsidR="00C86FF7" w:rsidRPr="00C86FF7" w:rsidRDefault="00C86FF7" w:rsidP="00C86FF7">
                <w:pPr>
                  <w:spacing w:after="0" w:line="240" w:lineRule="auto"/>
                  <w:jc w:val="right"/>
                  <w:rPr>
                    <w:rFonts w:ascii="Times New Roman" w:eastAsia="Times New Roman" w:hAnsi="Times New Roman"/>
                    <w:color w:val="000000"/>
                    <w:sz w:val="18"/>
                    <w:szCs w:val="18"/>
                    <w:lang w:eastAsia="es-CO"/>
                  </w:rPr>
                </w:pPr>
                <w:r w:rsidRPr="00C86FF7">
                  <w:rPr>
                    <w:rFonts w:ascii="Times New Roman" w:eastAsia="Times New Roman" w:hAnsi="Times New Roman"/>
                    <w:color w:val="000000"/>
                    <w:sz w:val="18"/>
                    <w:szCs w:val="18"/>
                    <w:lang w:eastAsia="es-CO"/>
                  </w:rPr>
                  <w:t>788.911</w:t>
                </w:r>
              </w:p>
            </w:tc>
          </w:tr>
          <w:tr w:rsidR="005C1525" w:rsidRPr="00C86FF7" w14:paraId="58C0E966" w14:textId="77777777" w:rsidTr="00C86FF7">
            <w:trPr>
              <w:trHeight w:val="340"/>
            </w:trPr>
            <w:tc>
              <w:tcPr>
                <w:tcW w:w="2510" w:type="pct"/>
                <w:shd w:val="clear" w:color="auto" w:fill="auto"/>
                <w:vAlign w:val="center"/>
              </w:tcPr>
              <w:p w14:paraId="71D716AE" w14:textId="3FBA36C7" w:rsidR="005C1525" w:rsidRPr="000B4EC7" w:rsidRDefault="000951D0" w:rsidP="000951D0">
                <w:pPr>
                  <w:spacing w:after="0" w:line="240" w:lineRule="auto"/>
                  <w:jc w:val="center"/>
                  <w:rPr>
                    <w:rFonts w:ascii="Times New Roman" w:eastAsia="Times New Roman" w:hAnsi="Times New Roman"/>
                    <w:b/>
                    <w:bCs/>
                    <w:color w:val="000000"/>
                    <w:sz w:val="18"/>
                    <w:szCs w:val="18"/>
                    <w:lang w:eastAsia="es-CO"/>
                  </w:rPr>
                </w:pPr>
                <w:r w:rsidRPr="000B4EC7">
                  <w:rPr>
                    <w:rFonts w:ascii="Times New Roman" w:eastAsia="Times New Roman" w:hAnsi="Times New Roman"/>
                    <w:b/>
                    <w:bCs/>
                    <w:color w:val="000000"/>
                    <w:sz w:val="18"/>
                    <w:szCs w:val="18"/>
                    <w:lang w:eastAsia="es-CO"/>
                  </w:rPr>
                  <w:t>Total</w:t>
                </w:r>
              </w:p>
            </w:tc>
            <w:tc>
              <w:tcPr>
                <w:tcW w:w="2490" w:type="pct"/>
                <w:shd w:val="clear" w:color="auto" w:fill="auto"/>
                <w:vAlign w:val="center"/>
              </w:tcPr>
              <w:p w14:paraId="638DFA1C" w14:textId="4F45A0EC" w:rsidR="005C1525" w:rsidRPr="000B4EC7" w:rsidRDefault="00082A74" w:rsidP="00C86FF7">
                <w:pPr>
                  <w:spacing w:after="0" w:line="240" w:lineRule="auto"/>
                  <w:jc w:val="right"/>
                  <w:rPr>
                    <w:rFonts w:ascii="Times New Roman" w:eastAsia="Times New Roman" w:hAnsi="Times New Roman"/>
                    <w:b/>
                    <w:bCs/>
                    <w:color w:val="000000"/>
                    <w:sz w:val="18"/>
                    <w:szCs w:val="18"/>
                    <w:lang w:eastAsia="es-CO"/>
                  </w:rPr>
                </w:pPr>
                <w:r w:rsidRPr="000B4EC7">
                  <w:rPr>
                    <w:rFonts w:ascii="Times New Roman" w:eastAsia="Times New Roman" w:hAnsi="Times New Roman"/>
                    <w:b/>
                    <w:bCs/>
                    <w:color w:val="000000"/>
                    <w:sz w:val="18"/>
                    <w:szCs w:val="18"/>
                    <w:lang w:eastAsia="es-CO"/>
                  </w:rPr>
                  <w:t>76.422.735</w:t>
                </w:r>
              </w:p>
            </w:tc>
          </w:tr>
        </w:tbl>
        <w:p w14:paraId="47F3581C" w14:textId="34E9BA48" w:rsidR="00B0616F" w:rsidRPr="00C86FF7" w:rsidRDefault="00AD2026" w:rsidP="008739FB">
          <w:pPr>
            <w:spacing w:after="0" w:line="240" w:lineRule="auto"/>
            <w:rPr>
              <w:rFonts w:ascii="Times New Roman" w:eastAsia="Times New Roman" w:hAnsi="Times New Roman"/>
              <w:color w:val="000000"/>
              <w:sz w:val="18"/>
              <w:szCs w:val="18"/>
              <w:lang w:eastAsia="es-CO"/>
            </w:rPr>
          </w:pPr>
          <w:r w:rsidRPr="00C86FF7">
            <w:rPr>
              <w:rFonts w:ascii="Times New Roman" w:eastAsia="Times New Roman" w:hAnsi="Times New Roman"/>
              <w:color w:val="000000"/>
              <w:sz w:val="18"/>
              <w:szCs w:val="18"/>
              <w:lang w:eastAsia="es-CO"/>
            </w:rPr>
            <w:t>Cifras expresadas en pesos</w:t>
          </w:r>
        </w:p>
        <w:p w14:paraId="1F63BAC4" w14:textId="77777777" w:rsidR="00F65CCD" w:rsidRPr="008739FB" w:rsidRDefault="00F65CCD" w:rsidP="008739FB">
          <w:pPr>
            <w:spacing w:after="0" w:line="240" w:lineRule="auto"/>
            <w:rPr>
              <w:rFonts w:ascii="Times New Roman" w:eastAsia="Times New Roman" w:hAnsi="Times New Roman"/>
              <w:b/>
              <w:color w:val="000000"/>
              <w:sz w:val="18"/>
              <w:szCs w:val="18"/>
              <w:lang w:eastAsia="es-CO"/>
            </w:rPr>
          </w:pPr>
        </w:p>
        <w:p w14:paraId="6927B5E1" w14:textId="168C2136" w:rsidR="00B74DFB" w:rsidRDefault="00B74DFB" w:rsidP="00B74DFB">
          <w:pPr>
            <w:spacing w:after="0" w:line="240" w:lineRule="auto"/>
            <w:rPr>
              <w:rFonts w:ascii="Times New Roman" w:hAnsi="Times New Roman"/>
              <w:sz w:val="24"/>
              <w:szCs w:val="24"/>
            </w:rPr>
          </w:pPr>
          <w:r w:rsidRPr="00631CFC">
            <w:rPr>
              <w:rFonts w:ascii="Times New Roman" w:hAnsi="Times New Roman"/>
              <w:sz w:val="24"/>
              <w:szCs w:val="24"/>
            </w:rPr>
            <w:t>Otras cuentas por cobrar:</w:t>
          </w:r>
          <w:r w:rsidRPr="009A46BB">
            <w:rPr>
              <w:rFonts w:ascii="Times New Roman" w:hAnsi="Times New Roman"/>
            </w:rPr>
            <w:t xml:space="preserve"> </w:t>
          </w:r>
          <w:r w:rsidR="004E5925">
            <w:rPr>
              <w:rFonts w:ascii="Times New Roman" w:hAnsi="Times New Roman"/>
            </w:rPr>
            <w:t xml:space="preserve">esta subcuenta </w:t>
          </w:r>
          <w:r w:rsidR="004E5925" w:rsidRPr="009A46BB">
            <w:rPr>
              <w:rFonts w:ascii="Times New Roman" w:hAnsi="Times New Roman"/>
            </w:rPr>
            <w:t>presenta</w:t>
          </w:r>
          <w:r w:rsidRPr="009A46BB">
            <w:rPr>
              <w:rFonts w:ascii="Times New Roman" w:hAnsi="Times New Roman"/>
            </w:rPr>
            <w:t xml:space="preserve"> la </w:t>
          </w:r>
          <w:r w:rsidRPr="00631CFC">
            <w:rPr>
              <w:rFonts w:ascii="Times New Roman" w:hAnsi="Times New Roman"/>
              <w:sz w:val="24"/>
              <w:szCs w:val="24"/>
            </w:rPr>
            <w:t>siguiente composición a 31 de diciembre de 202</w:t>
          </w:r>
          <w:r>
            <w:rPr>
              <w:rFonts w:ascii="Times New Roman" w:hAnsi="Times New Roman"/>
              <w:sz w:val="24"/>
              <w:szCs w:val="24"/>
            </w:rPr>
            <w:t>3</w:t>
          </w:r>
          <w:r w:rsidRPr="00631CFC">
            <w:rPr>
              <w:rFonts w:ascii="Times New Roman" w:hAnsi="Times New Roman"/>
              <w:sz w:val="24"/>
              <w:szCs w:val="24"/>
            </w:rPr>
            <w:t>:</w:t>
          </w:r>
        </w:p>
        <w:p w14:paraId="1F739D15" w14:textId="77777777" w:rsidR="00504701" w:rsidRPr="009A46BB" w:rsidRDefault="00504701" w:rsidP="00B74DFB">
          <w:pPr>
            <w:spacing w:after="0" w:line="240" w:lineRule="auto"/>
            <w:rPr>
              <w:rFonts w:ascii="Times New Roman" w:hAnsi="Times New Roman"/>
              <w:sz w:val="24"/>
              <w:szCs w:val="24"/>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CellMar>
              <w:left w:w="70" w:type="dxa"/>
              <w:right w:w="70" w:type="dxa"/>
            </w:tblCellMar>
            <w:tblLook w:val="04A0" w:firstRow="1" w:lastRow="0" w:firstColumn="1" w:lastColumn="0" w:noHBand="0" w:noVBand="1"/>
          </w:tblPr>
          <w:tblGrid>
            <w:gridCol w:w="1051"/>
            <w:gridCol w:w="2442"/>
            <w:gridCol w:w="1175"/>
            <w:gridCol w:w="1373"/>
            <w:gridCol w:w="950"/>
            <w:gridCol w:w="1978"/>
          </w:tblGrid>
          <w:tr w:rsidR="00367C7D" w:rsidRPr="00367C7D" w14:paraId="04C5E039" w14:textId="77777777" w:rsidTr="004A0440">
            <w:trPr>
              <w:trHeight w:val="649"/>
            </w:trPr>
            <w:tc>
              <w:tcPr>
                <w:tcW w:w="586" w:type="pct"/>
                <w:shd w:val="clear" w:color="auto" w:fill="auto"/>
                <w:vAlign w:val="center"/>
                <w:hideMark/>
              </w:tcPr>
              <w:p w14:paraId="32FC4C48" w14:textId="77777777" w:rsidR="00367C7D" w:rsidRPr="00C86FF7" w:rsidRDefault="00367C7D" w:rsidP="00367C7D">
                <w:pPr>
                  <w:spacing w:after="0" w:line="240" w:lineRule="auto"/>
                  <w:jc w:val="center"/>
                  <w:rPr>
                    <w:rFonts w:ascii="Times New Roman" w:eastAsia="Times New Roman" w:hAnsi="Times New Roman"/>
                    <w:b/>
                    <w:color w:val="000000"/>
                    <w:sz w:val="18"/>
                    <w:szCs w:val="18"/>
                    <w:lang w:eastAsia="es-CO"/>
                  </w:rPr>
                </w:pPr>
                <w:r w:rsidRPr="00C86FF7">
                  <w:rPr>
                    <w:rFonts w:ascii="Times New Roman" w:eastAsia="Times New Roman" w:hAnsi="Times New Roman"/>
                    <w:b/>
                    <w:color w:val="000000"/>
                    <w:sz w:val="18"/>
                    <w:szCs w:val="18"/>
                    <w:lang w:eastAsia="es-CO"/>
                  </w:rPr>
                  <w:t>CODIGO AUXILIAR</w:t>
                </w:r>
              </w:p>
            </w:tc>
            <w:tc>
              <w:tcPr>
                <w:tcW w:w="1387" w:type="pct"/>
                <w:shd w:val="clear" w:color="auto" w:fill="auto"/>
                <w:vAlign w:val="center"/>
                <w:hideMark/>
              </w:tcPr>
              <w:p w14:paraId="14073B47" w14:textId="77777777" w:rsidR="00367C7D" w:rsidRPr="00C86FF7" w:rsidRDefault="00367C7D" w:rsidP="00367C7D">
                <w:pPr>
                  <w:spacing w:after="0" w:line="240" w:lineRule="auto"/>
                  <w:jc w:val="center"/>
                  <w:rPr>
                    <w:rFonts w:ascii="Times New Roman" w:eastAsia="Times New Roman" w:hAnsi="Times New Roman"/>
                    <w:b/>
                    <w:color w:val="000000"/>
                    <w:sz w:val="18"/>
                    <w:szCs w:val="18"/>
                    <w:lang w:eastAsia="es-CO"/>
                  </w:rPr>
                </w:pPr>
                <w:r w:rsidRPr="00C86FF7">
                  <w:rPr>
                    <w:rFonts w:ascii="Times New Roman" w:eastAsia="Times New Roman" w:hAnsi="Times New Roman"/>
                    <w:b/>
                    <w:color w:val="000000"/>
                    <w:sz w:val="18"/>
                    <w:szCs w:val="18"/>
                    <w:lang w:eastAsia="es-CO"/>
                  </w:rPr>
                  <w:t>DESCRIPCIÓN AUXILIAR</w:t>
                </w:r>
              </w:p>
            </w:tc>
            <w:tc>
              <w:tcPr>
                <w:tcW w:w="553" w:type="pct"/>
                <w:shd w:val="clear" w:color="auto" w:fill="auto"/>
                <w:vAlign w:val="center"/>
                <w:hideMark/>
              </w:tcPr>
              <w:p w14:paraId="79B4B37E" w14:textId="2DCBBF37" w:rsidR="00C86FF7" w:rsidRDefault="00367C7D" w:rsidP="00367C7D">
                <w:pPr>
                  <w:spacing w:after="0" w:line="240" w:lineRule="auto"/>
                  <w:jc w:val="center"/>
                  <w:rPr>
                    <w:rFonts w:ascii="Times New Roman" w:eastAsia="Times New Roman" w:hAnsi="Times New Roman"/>
                    <w:b/>
                    <w:bCs/>
                    <w:color w:val="000000"/>
                    <w:sz w:val="18"/>
                    <w:szCs w:val="18"/>
                    <w:lang w:eastAsia="es-CO"/>
                  </w:rPr>
                </w:pPr>
                <w:r w:rsidRPr="11FCA23F">
                  <w:rPr>
                    <w:rFonts w:ascii="Times New Roman" w:eastAsia="Times New Roman" w:hAnsi="Times New Roman"/>
                    <w:b/>
                    <w:color w:val="000000" w:themeColor="text1"/>
                    <w:sz w:val="18"/>
                    <w:szCs w:val="18"/>
                    <w:lang w:eastAsia="es-CO"/>
                  </w:rPr>
                  <w:t xml:space="preserve">VALOR </w:t>
                </w:r>
              </w:p>
              <w:p w14:paraId="7479D374" w14:textId="1CCE495A" w:rsidR="00367C7D" w:rsidRPr="00C86FF7" w:rsidRDefault="00367C7D" w:rsidP="00367C7D">
                <w:pPr>
                  <w:spacing w:after="0" w:line="240" w:lineRule="auto"/>
                  <w:jc w:val="center"/>
                  <w:rPr>
                    <w:rFonts w:ascii="Times New Roman" w:eastAsia="Times New Roman" w:hAnsi="Times New Roman"/>
                    <w:b/>
                    <w:color w:val="000000"/>
                    <w:sz w:val="18"/>
                    <w:szCs w:val="18"/>
                    <w:lang w:eastAsia="es-CO"/>
                  </w:rPr>
                </w:pPr>
                <w:r w:rsidRPr="11FCA23F">
                  <w:rPr>
                    <w:rFonts w:ascii="Times New Roman" w:eastAsia="Times New Roman" w:hAnsi="Times New Roman"/>
                    <w:b/>
                    <w:color w:val="000000" w:themeColor="text1"/>
                    <w:sz w:val="18"/>
                    <w:szCs w:val="18"/>
                    <w:lang w:eastAsia="es-CO"/>
                  </w:rPr>
                  <w:t>31-12-2023</w:t>
                </w:r>
              </w:p>
            </w:tc>
            <w:tc>
              <w:tcPr>
                <w:tcW w:w="791" w:type="pct"/>
                <w:shd w:val="clear" w:color="auto" w:fill="auto"/>
                <w:vAlign w:val="center"/>
                <w:hideMark/>
              </w:tcPr>
              <w:p w14:paraId="00B1FFFB" w14:textId="77777777" w:rsidR="00367C7D" w:rsidRPr="00C86FF7" w:rsidRDefault="00367C7D" w:rsidP="00367C7D">
                <w:pPr>
                  <w:spacing w:after="0" w:line="240" w:lineRule="auto"/>
                  <w:jc w:val="center"/>
                  <w:rPr>
                    <w:rFonts w:ascii="Times New Roman" w:eastAsia="Times New Roman" w:hAnsi="Times New Roman"/>
                    <w:b/>
                    <w:color w:val="000000"/>
                    <w:sz w:val="18"/>
                    <w:szCs w:val="18"/>
                    <w:lang w:eastAsia="es-CO"/>
                  </w:rPr>
                </w:pPr>
                <w:r w:rsidRPr="00C86FF7">
                  <w:rPr>
                    <w:rFonts w:ascii="Times New Roman" w:eastAsia="Times New Roman" w:hAnsi="Times New Roman"/>
                    <w:b/>
                    <w:color w:val="000000"/>
                    <w:sz w:val="18"/>
                    <w:szCs w:val="18"/>
                    <w:lang w:eastAsia="es-CO"/>
                  </w:rPr>
                  <w:t xml:space="preserve">FECHA DE RESOLUCION </w:t>
                </w:r>
              </w:p>
            </w:tc>
            <w:tc>
              <w:tcPr>
                <w:tcW w:w="552" w:type="pct"/>
                <w:shd w:val="clear" w:color="auto" w:fill="auto"/>
                <w:vAlign w:val="center"/>
                <w:hideMark/>
              </w:tcPr>
              <w:p w14:paraId="47B5F6F5" w14:textId="77777777" w:rsidR="00367C7D" w:rsidRPr="00C86FF7" w:rsidRDefault="00367C7D" w:rsidP="00367C7D">
                <w:pPr>
                  <w:spacing w:after="0" w:line="240" w:lineRule="auto"/>
                  <w:jc w:val="center"/>
                  <w:rPr>
                    <w:rFonts w:ascii="Times New Roman" w:eastAsia="Times New Roman" w:hAnsi="Times New Roman"/>
                    <w:b/>
                    <w:color w:val="000000"/>
                    <w:sz w:val="18"/>
                    <w:szCs w:val="18"/>
                    <w:lang w:eastAsia="es-CO"/>
                  </w:rPr>
                </w:pPr>
                <w:r w:rsidRPr="00C86FF7">
                  <w:rPr>
                    <w:rFonts w:ascii="Times New Roman" w:eastAsia="Times New Roman" w:hAnsi="Times New Roman"/>
                    <w:b/>
                    <w:color w:val="000000"/>
                    <w:sz w:val="18"/>
                    <w:szCs w:val="18"/>
                    <w:lang w:eastAsia="es-CO"/>
                  </w:rPr>
                  <w:t>Fecha de Ejecutoria</w:t>
                </w:r>
              </w:p>
            </w:tc>
            <w:tc>
              <w:tcPr>
                <w:tcW w:w="1131" w:type="pct"/>
                <w:shd w:val="clear" w:color="auto" w:fill="auto"/>
                <w:vAlign w:val="center"/>
                <w:hideMark/>
              </w:tcPr>
              <w:p w14:paraId="2ACFE661" w14:textId="3340F949" w:rsidR="00367C7D" w:rsidRPr="00C86FF7" w:rsidRDefault="00367C7D" w:rsidP="00367C7D">
                <w:pPr>
                  <w:spacing w:after="0" w:line="240" w:lineRule="auto"/>
                  <w:jc w:val="center"/>
                  <w:rPr>
                    <w:rFonts w:ascii="Times New Roman" w:eastAsia="Times New Roman" w:hAnsi="Times New Roman"/>
                    <w:b/>
                    <w:color w:val="000000"/>
                    <w:sz w:val="18"/>
                    <w:szCs w:val="18"/>
                    <w:lang w:eastAsia="es-CO"/>
                  </w:rPr>
                </w:pPr>
                <w:r w:rsidRPr="00C86FF7">
                  <w:rPr>
                    <w:rFonts w:ascii="Times New Roman" w:eastAsia="Times New Roman" w:hAnsi="Times New Roman"/>
                    <w:b/>
                    <w:color w:val="000000"/>
                    <w:sz w:val="18"/>
                    <w:szCs w:val="18"/>
                    <w:lang w:eastAsia="es-CO"/>
                  </w:rPr>
                  <w:t>Fecha para realizar el pago sin intereses de mora (plazo)</w:t>
                </w:r>
              </w:p>
            </w:tc>
          </w:tr>
          <w:tr w:rsidR="004A0440" w:rsidRPr="00C86FF7" w14:paraId="6E6F2631" w14:textId="77777777" w:rsidTr="004A0440">
            <w:trPr>
              <w:trHeight w:val="723"/>
            </w:trPr>
            <w:tc>
              <w:tcPr>
                <w:tcW w:w="586" w:type="pct"/>
                <w:shd w:val="clear" w:color="auto" w:fill="auto"/>
                <w:vAlign w:val="center"/>
                <w:hideMark/>
              </w:tcPr>
              <w:p w14:paraId="64074A70" w14:textId="77777777" w:rsidR="004A0440" w:rsidRPr="00C86FF7" w:rsidRDefault="004A0440" w:rsidP="00A73409">
                <w:pPr>
                  <w:spacing w:after="0" w:line="240" w:lineRule="auto"/>
                  <w:jc w:val="center"/>
                  <w:rPr>
                    <w:rFonts w:ascii="Times New Roman" w:eastAsia="Times New Roman" w:hAnsi="Times New Roman"/>
                    <w:sz w:val="18"/>
                    <w:szCs w:val="18"/>
                    <w:lang w:eastAsia="es-CO"/>
                  </w:rPr>
                </w:pPr>
                <w:r w:rsidRPr="00C86FF7">
                  <w:rPr>
                    <w:rFonts w:ascii="Times New Roman" w:eastAsia="Times New Roman" w:hAnsi="Times New Roman"/>
                    <w:sz w:val="18"/>
                    <w:szCs w:val="18"/>
                    <w:lang w:eastAsia="es-CO"/>
                  </w:rPr>
                  <w:t>830052596</w:t>
                </w:r>
              </w:p>
            </w:tc>
            <w:tc>
              <w:tcPr>
                <w:tcW w:w="1387" w:type="pct"/>
                <w:shd w:val="clear" w:color="auto" w:fill="auto"/>
                <w:vAlign w:val="center"/>
                <w:hideMark/>
              </w:tcPr>
              <w:p w14:paraId="06BF8CFF" w14:textId="77777777" w:rsidR="004A0440" w:rsidRPr="00C86FF7" w:rsidRDefault="004A0440" w:rsidP="00A73409">
                <w:pPr>
                  <w:spacing w:after="0" w:line="240" w:lineRule="auto"/>
                  <w:rPr>
                    <w:rFonts w:ascii="Times New Roman" w:eastAsia="Times New Roman" w:hAnsi="Times New Roman"/>
                    <w:sz w:val="18"/>
                    <w:szCs w:val="18"/>
                    <w:lang w:eastAsia="es-CO"/>
                  </w:rPr>
                </w:pPr>
                <w:r w:rsidRPr="00C86FF7">
                  <w:rPr>
                    <w:rFonts w:ascii="Times New Roman" w:eastAsia="Times New Roman" w:hAnsi="Times New Roman"/>
                    <w:sz w:val="18"/>
                    <w:szCs w:val="18"/>
                    <w:lang w:eastAsia="es-CO"/>
                  </w:rPr>
                  <w:t>TREN DE OCCIDENTE SA</w:t>
                </w:r>
              </w:p>
            </w:tc>
            <w:tc>
              <w:tcPr>
                <w:tcW w:w="553" w:type="pct"/>
                <w:shd w:val="clear" w:color="auto" w:fill="auto"/>
                <w:vAlign w:val="center"/>
                <w:hideMark/>
              </w:tcPr>
              <w:p w14:paraId="7D90D219" w14:textId="77777777" w:rsidR="004A0440" w:rsidRPr="00C86FF7" w:rsidRDefault="004A0440" w:rsidP="00A73409">
                <w:pPr>
                  <w:spacing w:after="0" w:line="240" w:lineRule="auto"/>
                  <w:jc w:val="center"/>
                  <w:rPr>
                    <w:rFonts w:ascii="Times New Roman" w:eastAsia="Times New Roman" w:hAnsi="Times New Roman"/>
                    <w:sz w:val="18"/>
                    <w:szCs w:val="18"/>
                    <w:lang w:eastAsia="es-CO"/>
                  </w:rPr>
                </w:pPr>
                <w:r w:rsidRPr="00C86FF7">
                  <w:rPr>
                    <w:rFonts w:ascii="Times New Roman" w:eastAsia="Times New Roman" w:hAnsi="Times New Roman"/>
                    <w:sz w:val="18"/>
                    <w:szCs w:val="18"/>
                    <w:lang w:eastAsia="es-CO"/>
                  </w:rPr>
                  <w:t>9.216.322.405</w:t>
                </w:r>
              </w:p>
            </w:tc>
            <w:tc>
              <w:tcPr>
                <w:tcW w:w="791" w:type="pct"/>
                <w:shd w:val="clear" w:color="auto" w:fill="auto"/>
                <w:noWrap/>
                <w:vAlign w:val="center"/>
                <w:hideMark/>
              </w:tcPr>
              <w:p w14:paraId="37D90384" w14:textId="77777777" w:rsidR="004A0440" w:rsidRPr="00C86FF7" w:rsidRDefault="004A0440" w:rsidP="00A73409">
                <w:pPr>
                  <w:spacing w:after="0" w:line="240" w:lineRule="auto"/>
                  <w:jc w:val="center"/>
                  <w:rPr>
                    <w:rFonts w:ascii="Times New Roman" w:eastAsia="Times New Roman" w:hAnsi="Times New Roman"/>
                    <w:color w:val="000000"/>
                    <w:sz w:val="18"/>
                    <w:szCs w:val="18"/>
                    <w:lang w:eastAsia="es-CO"/>
                  </w:rPr>
                </w:pPr>
                <w:r w:rsidRPr="00C86FF7">
                  <w:rPr>
                    <w:rFonts w:ascii="Times New Roman" w:eastAsia="Times New Roman" w:hAnsi="Times New Roman"/>
                    <w:color w:val="000000"/>
                    <w:sz w:val="18"/>
                    <w:szCs w:val="18"/>
                    <w:lang w:eastAsia="es-CO"/>
                  </w:rPr>
                  <w:t>N/A</w:t>
                </w:r>
              </w:p>
            </w:tc>
            <w:tc>
              <w:tcPr>
                <w:tcW w:w="552" w:type="pct"/>
                <w:shd w:val="clear" w:color="auto" w:fill="auto"/>
                <w:noWrap/>
                <w:vAlign w:val="center"/>
                <w:hideMark/>
              </w:tcPr>
              <w:p w14:paraId="1B68B14D" w14:textId="77777777" w:rsidR="004A0440" w:rsidRPr="00C86FF7" w:rsidRDefault="004A0440" w:rsidP="00A73409">
                <w:pPr>
                  <w:spacing w:after="0" w:line="240" w:lineRule="auto"/>
                  <w:jc w:val="center"/>
                  <w:rPr>
                    <w:rFonts w:ascii="Times New Roman" w:eastAsia="Times New Roman" w:hAnsi="Times New Roman"/>
                    <w:color w:val="000000"/>
                    <w:sz w:val="18"/>
                    <w:szCs w:val="18"/>
                    <w:lang w:eastAsia="es-CO"/>
                  </w:rPr>
                </w:pPr>
                <w:r w:rsidRPr="00C86FF7">
                  <w:rPr>
                    <w:rFonts w:ascii="Times New Roman" w:eastAsia="Times New Roman" w:hAnsi="Times New Roman"/>
                    <w:color w:val="000000"/>
                    <w:sz w:val="18"/>
                    <w:szCs w:val="18"/>
                    <w:lang w:eastAsia="es-CO"/>
                  </w:rPr>
                  <w:t>N/A</w:t>
                </w:r>
              </w:p>
            </w:tc>
            <w:tc>
              <w:tcPr>
                <w:tcW w:w="1131" w:type="pct"/>
                <w:shd w:val="clear" w:color="auto" w:fill="auto"/>
                <w:noWrap/>
                <w:vAlign w:val="center"/>
                <w:hideMark/>
              </w:tcPr>
              <w:p w14:paraId="1A66A25A" w14:textId="77777777" w:rsidR="004A0440" w:rsidRPr="00C86FF7" w:rsidRDefault="004A0440" w:rsidP="00A73409">
                <w:pPr>
                  <w:spacing w:after="0" w:line="240" w:lineRule="auto"/>
                  <w:jc w:val="both"/>
                  <w:rPr>
                    <w:rFonts w:ascii="Times New Roman" w:eastAsia="Times New Roman" w:hAnsi="Times New Roman"/>
                    <w:color w:val="000000"/>
                    <w:sz w:val="18"/>
                    <w:szCs w:val="18"/>
                    <w:lang w:eastAsia="es-CO"/>
                  </w:rPr>
                </w:pPr>
                <w:r w:rsidRPr="00C86FF7">
                  <w:rPr>
                    <w:rFonts w:ascii="Times New Roman" w:eastAsia="Times New Roman" w:hAnsi="Times New Roman"/>
                    <w:color w:val="000000"/>
                    <w:sz w:val="18"/>
                    <w:szCs w:val="18"/>
                    <w:lang w:eastAsia="es-CO"/>
                  </w:rPr>
                  <w:t>N/A</w:t>
                </w:r>
              </w:p>
            </w:tc>
          </w:tr>
          <w:tr w:rsidR="00367C7D" w:rsidRPr="00367C7D" w14:paraId="18CB245A" w14:textId="77777777" w:rsidTr="004A0440">
            <w:trPr>
              <w:trHeight w:val="465"/>
            </w:trPr>
            <w:tc>
              <w:tcPr>
                <w:tcW w:w="586" w:type="pct"/>
                <w:shd w:val="clear" w:color="auto" w:fill="auto"/>
                <w:vAlign w:val="center"/>
                <w:hideMark/>
              </w:tcPr>
              <w:p w14:paraId="36379B09" w14:textId="77777777" w:rsidR="00367C7D" w:rsidRPr="00C86FF7" w:rsidRDefault="00367C7D" w:rsidP="00367C7D">
                <w:pPr>
                  <w:spacing w:after="0" w:line="240" w:lineRule="auto"/>
                  <w:rPr>
                    <w:rFonts w:ascii="Times New Roman" w:eastAsia="Times New Roman" w:hAnsi="Times New Roman"/>
                    <w:color w:val="000000"/>
                    <w:sz w:val="18"/>
                    <w:szCs w:val="18"/>
                    <w:lang w:eastAsia="es-CO"/>
                  </w:rPr>
                </w:pPr>
                <w:r w:rsidRPr="00C86FF7">
                  <w:rPr>
                    <w:rFonts w:ascii="Times New Roman" w:eastAsia="Times New Roman" w:hAnsi="Times New Roman"/>
                    <w:color w:val="000000"/>
                    <w:sz w:val="18"/>
                    <w:szCs w:val="18"/>
                    <w:lang w:eastAsia="es-CO"/>
                  </w:rPr>
                  <w:t>79455033</w:t>
                </w:r>
              </w:p>
            </w:tc>
            <w:tc>
              <w:tcPr>
                <w:tcW w:w="1387" w:type="pct"/>
                <w:shd w:val="clear" w:color="auto" w:fill="auto"/>
                <w:vAlign w:val="center"/>
                <w:hideMark/>
              </w:tcPr>
              <w:p w14:paraId="0E43882E" w14:textId="77777777" w:rsidR="00367C7D" w:rsidRPr="00C86FF7" w:rsidRDefault="00367C7D" w:rsidP="00367C7D">
                <w:pPr>
                  <w:spacing w:after="0" w:line="240" w:lineRule="auto"/>
                  <w:rPr>
                    <w:rFonts w:ascii="Times New Roman" w:eastAsia="Times New Roman" w:hAnsi="Times New Roman"/>
                    <w:color w:val="000000"/>
                    <w:sz w:val="18"/>
                    <w:szCs w:val="18"/>
                    <w:lang w:eastAsia="es-CO"/>
                  </w:rPr>
                </w:pPr>
                <w:r w:rsidRPr="00C86FF7">
                  <w:rPr>
                    <w:rFonts w:ascii="Times New Roman" w:eastAsia="Times New Roman" w:hAnsi="Times New Roman"/>
                    <w:color w:val="000000"/>
                    <w:sz w:val="18"/>
                    <w:szCs w:val="18"/>
                    <w:lang w:eastAsia="es-CO"/>
                  </w:rPr>
                  <w:t>DIEGO ORLANDO BUSTOS FORERO</w:t>
                </w:r>
              </w:p>
            </w:tc>
            <w:tc>
              <w:tcPr>
                <w:tcW w:w="553" w:type="pct"/>
                <w:shd w:val="clear" w:color="auto" w:fill="auto"/>
                <w:vAlign w:val="center"/>
                <w:hideMark/>
              </w:tcPr>
              <w:p w14:paraId="4FCC135E" w14:textId="24271414" w:rsidR="00367C7D" w:rsidRPr="00C86FF7" w:rsidRDefault="00367C7D" w:rsidP="00504701">
                <w:pPr>
                  <w:spacing w:after="0" w:line="240" w:lineRule="auto"/>
                  <w:jc w:val="center"/>
                  <w:rPr>
                    <w:rFonts w:ascii="Times New Roman" w:eastAsia="Times New Roman" w:hAnsi="Times New Roman"/>
                    <w:color w:val="000000"/>
                    <w:sz w:val="18"/>
                    <w:szCs w:val="18"/>
                    <w:lang w:eastAsia="es-CO"/>
                  </w:rPr>
                </w:pPr>
                <w:r w:rsidRPr="00C86FF7">
                  <w:rPr>
                    <w:rFonts w:ascii="Times New Roman" w:eastAsia="Times New Roman" w:hAnsi="Times New Roman"/>
                    <w:color w:val="000000"/>
                    <w:sz w:val="18"/>
                    <w:szCs w:val="18"/>
                    <w:lang w:eastAsia="es-CO"/>
                  </w:rPr>
                  <w:t>6.923.000</w:t>
                </w:r>
              </w:p>
            </w:tc>
            <w:tc>
              <w:tcPr>
                <w:tcW w:w="791" w:type="pct"/>
                <w:shd w:val="clear" w:color="auto" w:fill="auto"/>
                <w:noWrap/>
                <w:vAlign w:val="center"/>
                <w:hideMark/>
              </w:tcPr>
              <w:p w14:paraId="630FE200" w14:textId="77777777" w:rsidR="00367C7D" w:rsidRPr="00C86FF7" w:rsidRDefault="00367C7D" w:rsidP="00504701">
                <w:pPr>
                  <w:spacing w:after="0" w:line="240" w:lineRule="auto"/>
                  <w:jc w:val="center"/>
                  <w:rPr>
                    <w:rFonts w:ascii="Times New Roman" w:eastAsia="Times New Roman" w:hAnsi="Times New Roman"/>
                    <w:color w:val="000000"/>
                    <w:sz w:val="18"/>
                    <w:szCs w:val="18"/>
                    <w:lang w:eastAsia="es-CO"/>
                  </w:rPr>
                </w:pPr>
                <w:r w:rsidRPr="00C86FF7">
                  <w:rPr>
                    <w:rFonts w:ascii="Times New Roman" w:eastAsia="Times New Roman" w:hAnsi="Times New Roman"/>
                    <w:color w:val="000000"/>
                    <w:sz w:val="18"/>
                    <w:szCs w:val="18"/>
                    <w:lang w:eastAsia="es-CO"/>
                  </w:rPr>
                  <w:t>Sin T.E.</w:t>
                </w:r>
              </w:p>
            </w:tc>
            <w:tc>
              <w:tcPr>
                <w:tcW w:w="552" w:type="pct"/>
                <w:shd w:val="clear" w:color="auto" w:fill="auto"/>
                <w:noWrap/>
                <w:vAlign w:val="center"/>
                <w:hideMark/>
              </w:tcPr>
              <w:p w14:paraId="735E0691" w14:textId="77777777" w:rsidR="00367C7D" w:rsidRPr="00C86FF7" w:rsidRDefault="00367C7D" w:rsidP="00504701">
                <w:pPr>
                  <w:spacing w:after="0" w:line="240" w:lineRule="auto"/>
                  <w:jc w:val="center"/>
                  <w:rPr>
                    <w:rFonts w:ascii="Times New Roman" w:eastAsia="Times New Roman" w:hAnsi="Times New Roman"/>
                    <w:color w:val="000000"/>
                    <w:sz w:val="18"/>
                    <w:szCs w:val="18"/>
                    <w:lang w:eastAsia="es-CO"/>
                  </w:rPr>
                </w:pPr>
                <w:r w:rsidRPr="00C86FF7">
                  <w:rPr>
                    <w:rFonts w:ascii="Times New Roman" w:eastAsia="Times New Roman" w:hAnsi="Times New Roman"/>
                    <w:color w:val="000000"/>
                    <w:sz w:val="18"/>
                    <w:szCs w:val="18"/>
                    <w:lang w:eastAsia="es-CO"/>
                  </w:rPr>
                  <w:t>Sin T.E.</w:t>
                </w:r>
              </w:p>
            </w:tc>
            <w:tc>
              <w:tcPr>
                <w:tcW w:w="1131" w:type="pct"/>
                <w:shd w:val="clear" w:color="auto" w:fill="auto"/>
                <w:vAlign w:val="center"/>
                <w:hideMark/>
              </w:tcPr>
              <w:p w14:paraId="792EF071" w14:textId="77777777" w:rsidR="00367C7D" w:rsidRPr="00C86FF7" w:rsidRDefault="00367C7D" w:rsidP="00C86FF7">
                <w:pPr>
                  <w:spacing w:after="0" w:line="240" w:lineRule="auto"/>
                  <w:jc w:val="both"/>
                  <w:rPr>
                    <w:rFonts w:ascii="Times New Roman" w:eastAsia="Times New Roman" w:hAnsi="Times New Roman"/>
                    <w:color w:val="000000"/>
                    <w:sz w:val="18"/>
                    <w:szCs w:val="18"/>
                    <w:lang w:eastAsia="es-CO"/>
                  </w:rPr>
                </w:pPr>
                <w:r w:rsidRPr="00C86FF7">
                  <w:rPr>
                    <w:rFonts w:ascii="Times New Roman" w:eastAsia="Times New Roman" w:hAnsi="Times New Roman"/>
                    <w:color w:val="000000"/>
                    <w:sz w:val="18"/>
                    <w:szCs w:val="18"/>
                    <w:lang w:eastAsia="es-CO"/>
                  </w:rPr>
                  <w:t>Debido a que el GIT de Defensa Judicial carece de competencia para liquidar, la determinación de esta fecha dependerá de lo que disponga el área financiera correspondiente.</w:t>
                </w:r>
              </w:p>
            </w:tc>
          </w:tr>
        </w:tbl>
        <w:p w14:paraId="24CC3BE3" w14:textId="77777777" w:rsidR="00B74DFB" w:rsidRPr="002923F9" w:rsidRDefault="00B74DFB" w:rsidP="00B74DFB">
          <w:pPr>
            <w:spacing w:after="0" w:line="240" w:lineRule="auto"/>
            <w:jc w:val="both"/>
            <w:rPr>
              <w:rFonts w:ascii="Times New Roman" w:hAnsi="Times New Roman"/>
            </w:rPr>
          </w:pPr>
          <w:r w:rsidRPr="002923F9">
            <w:rPr>
              <w:rFonts w:ascii="Times New Roman" w:hAnsi="Times New Roman"/>
              <w:sz w:val="14"/>
              <w:szCs w:val="14"/>
            </w:rPr>
            <w:t>Cifras expresadas en miles de pesos</w:t>
          </w:r>
        </w:p>
        <w:p w14:paraId="4A2238A0" w14:textId="77777777" w:rsidR="00B74DFB" w:rsidRDefault="00B74DFB" w:rsidP="00B74DFB">
          <w:pPr>
            <w:autoSpaceDE w:val="0"/>
            <w:autoSpaceDN w:val="0"/>
            <w:adjustRightInd w:val="0"/>
            <w:spacing w:after="0" w:line="240" w:lineRule="auto"/>
            <w:jc w:val="both"/>
            <w:rPr>
              <w:rFonts w:ascii="Times New Roman" w:eastAsiaTheme="minorHAnsi" w:hAnsi="Times New Roman"/>
              <w:sz w:val="24"/>
              <w:szCs w:val="24"/>
            </w:rPr>
          </w:pPr>
        </w:p>
        <w:p w14:paraId="7F868B62" w14:textId="3E38C6EE" w:rsidR="00C7476A" w:rsidRDefault="00C7476A" w:rsidP="00E17639">
          <w:pPr>
            <w:spacing w:after="0" w:line="240" w:lineRule="auto"/>
            <w:jc w:val="both"/>
            <w:rPr>
              <w:rFonts w:ascii="Times New Roman" w:eastAsiaTheme="minorHAnsi" w:hAnsi="Times New Roman"/>
              <w:sz w:val="24"/>
              <w:szCs w:val="24"/>
            </w:rPr>
          </w:pPr>
          <w:r w:rsidRPr="002923F9">
            <w:rPr>
              <w:rFonts w:ascii="Times New Roman" w:eastAsiaTheme="minorHAnsi" w:hAnsi="Times New Roman"/>
              <w:sz w:val="24"/>
              <w:szCs w:val="24"/>
            </w:rPr>
            <w:t xml:space="preserve">En esta </w:t>
          </w:r>
          <w:r w:rsidR="00B33584">
            <w:rPr>
              <w:rFonts w:ascii="Times New Roman" w:eastAsiaTheme="minorHAnsi" w:hAnsi="Times New Roman"/>
              <w:sz w:val="24"/>
              <w:szCs w:val="24"/>
            </w:rPr>
            <w:t>sub</w:t>
          </w:r>
          <w:r w:rsidRPr="002923F9">
            <w:rPr>
              <w:rFonts w:ascii="Times New Roman" w:eastAsiaTheme="minorHAnsi" w:hAnsi="Times New Roman"/>
              <w:sz w:val="24"/>
              <w:szCs w:val="24"/>
            </w:rPr>
            <w:t xml:space="preserve">cuenta se refleja derechos a favor </w:t>
          </w:r>
          <w:r w:rsidR="00276D2C">
            <w:rPr>
              <w:rFonts w:ascii="Times New Roman" w:eastAsiaTheme="minorHAnsi" w:hAnsi="Times New Roman"/>
              <w:sz w:val="24"/>
              <w:szCs w:val="24"/>
            </w:rPr>
            <w:t>de la ANI</w:t>
          </w:r>
          <w:r w:rsidR="004E71F9">
            <w:rPr>
              <w:rFonts w:ascii="Times New Roman" w:eastAsiaTheme="minorHAnsi" w:hAnsi="Times New Roman"/>
              <w:sz w:val="24"/>
              <w:szCs w:val="24"/>
            </w:rPr>
            <w:t>,</w:t>
          </w:r>
          <w:r w:rsidR="00276D2C">
            <w:rPr>
              <w:rFonts w:ascii="Times New Roman" w:eastAsiaTheme="minorHAnsi" w:hAnsi="Times New Roman"/>
              <w:sz w:val="24"/>
              <w:szCs w:val="24"/>
            </w:rPr>
            <w:t xml:space="preserve"> </w:t>
          </w:r>
          <w:r w:rsidRPr="002923F9">
            <w:rPr>
              <w:rFonts w:ascii="Times New Roman" w:eastAsiaTheme="minorHAnsi" w:hAnsi="Times New Roman"/>
              <w:sz w:val="24"/>
              <w:szCs w:val="24"/>
            </w:rPr>
            <w:t>del concesionario</w:t>
          </w:r>
          <w:r w:rsidR="003E6E3A">
            <w:rPr>
              <w:rFonts w:ascii="Times New Roman" w:eastAsiaTheme="minorHAnsi" w:hAnsi="Times New Roman"/>
              <w:sz w:val="24"/>
              <w:szCs w:val="24"/>
            </w:rPr>
            <w:t xml:space="preserve"> </w:t>
          </w:r>
          <w:r w:rsidRPr="002923F9">
            <w:rPr>
              <w:rFonts w:ascii="Times New Roman" w:eastAsiaTheme="minorHAnsi" w:hAnsi="Times New Roman"/>
              <w:sz w:val="24"/>
              <w:szCs w:val="24"/>
            </w:rPr>
            <w:t>Tren De Occidente S</w:t>
          </w:r>
          <w:r>
            <w:rPr>
              <w:rFonts w:ascii="Times New Roman" w:eastAsiaTheme="minorHAnsi" w:hAnsi="Times New Roman"/>
              <w:sz w:val="24"/>
              <w:szCs w:val="24"/>
            </w:rPr>
            <w:t>.</w:t>
          </w:r>
          <w:r w:rsidRPr="002923F9">
            <w:rPr>
              <w:rFonts w:ascii="Times New Roman" w:eastAsiaTheme="minorHAnsi" w:hAnsi="Times New Roman"/>
              <w:sz w:val="24"/>
              <w:szCs w:val="24"/>
            </w:rPr>
            <w:t xml:space="preserve">A, </w:t>
          </w:r>
          <w:r>
            <w:rPr>
              <w:rFonts w:ascii="Times New Roman" w:eastAsiaTheme="minorHAnsi" w:hAnsi="Times New Roman"/>
              <w:sz w:val="24"/>
              <w:szCs w:val="24"/>
            </w:rPr>
            <w:t xml:space="preserve">por el </w:t>
          </w:r>
          <w:r w:rsidRPr="002923F9">
            <w:rPr>
              <w:rFonts w:ascii="Times New Roman" w:eastAsiaTheme="minorHAnsi" w:hAnsi="Times New Roman"/>
              <w:sz w:val="24"/>
              <w:szCs w:val="24"/>
            </w:rPr>
            <w:t xml:space="preserve">proyecto de concesión </w:t>
          </w:r>
          <w:r w:rsidRPr="00FD130F">
            <w:rPr>
              <w:rFonts w:ascii="Times New Roman" w:eastAsiaTheme="minorHAnsi" w:hAnsi="Times New Roman"/>
              <w:sz w:val="24"/>
              <w:szCs w:val="24"/>
            </w:rPr>
            <w:t xml:space="preserve">revertido </w:t>
          </w:r>
          <w:r w:rsidRPr="00FD130F">
            <w:rPr>
              <w:rFonts w:ascii="Times New Roman" w:eastAsiaTheme="minorHAnsi" w:hAnsi="Times New Roman"/>
              <w:i/>
              <w:iCs/>
              <w:sz w:val="24"/>
              <w:szCs w:val="24"/>
            </w:rPr>
            <w:t>“Red férrea del Pacifico”</w:t>
          </w:r>
          <w:r w:rsidRPr="00FD130F">
            <w:rPr>
              <w:rFonts w:ascii="Times New Roman" w:eastAsiaTheme="minorHAnsi" w:hAnsi="Times New Roman"/>
              <w:sz w:val="24"/>
              <w:szCs w:val="24"/>
            </w:rPr>
            <w:t xml:space="preserve"> </w:t>
          </w:r>
          <w:r w:rsidRPr="002923F9">
            <w:rPr>
              <w:rFonts w:ascii="Times New Roman" w:eastAsiaTheme="minorHAnsi" w:hAnsi="Times New Roman"/>
              <w:sz w:val="24"/>
              <w:szCs w:val="24"/>
            </w:rPr>
            <w:t>cuyo contrato está en proceso de liquidación</w:t>
          </w:r>
          <w:r>
            <w:rPr>
              <w:rFonts w:ascii="Times New Roman" w:eastAsiaTheme="minorHAnsi" w:hAnsi="Times New Roman"/>
              <w:sz w:val="24"/>
              <w:szCs w:val="24"/>
            </w:rPr>
            <w:t>. P</w:t>
          </w:r>
          <w:r w:rsidRPr="002923F9">
            <w:rPr>
              <w:rFonts w:ascii="Times New Roman" w:eastAsiaTheme="minorHAnsi" w:hAnsi="Times New Roman"/>
              <w:sz w:val="24"/>
              <w:szCs w:val="24"/>
            </w:rPr>
            <w:t>or la naturaleza de la operación, no aplica fecha de vencimiento, plazo de la obligación, pago de intereses, ni deterioro.</w:t>
          </w:r>
          <w:r w:rsidR="004E71F9">
            <w:rPr>
              <w:rFonts w:ascii="Times New Roman" w:eastAsiaTheme="minorHAnsi" w:hAnsi="Times New Roman"/>
              <w:sz w:val="24"/>
              <w:szCs w:val="24"/>
            </w:rPr>
            <w:t xml:space="preserve">  También, se </w:t>
          </w:r>
          <w:r w:rsidR="006572ED">
            <w:rPr>
              <w:rFonts w:ascii="Times New Roman" w:eastAsiaTheme="minorHAnsi" w:hAnsi="Times New Roman"/>
              <w:sz w:val="24"/>
              <w:szCs w:val="24"/>
            </w:rPr>
            <w:t xml:space="preserve">refleja una cuenta por cobrar a </w:t>
          </w:r>
        </w:p>
        <w:p w14:paraId="1DE31EB4" w14:textId="2D16046B" w:rsidR="00B74DFB" w:rsidRPr="002923F9" w:rsidRDefault="00B74DFB" w:rsidP="00B74DFB">
          <w:pPr>
            <w:autoSpaceDE w:val="0"/>
            <w:autoSpaceDN w:val="0"/>
            <w:adjustRightInd w:val="0"/>
            <w:spacing w:after="0" w:line="240" w:lineRule="auto"/>
            <w:jc w:val="both"/>
            <w:rPr>
              <w:rFonts w:ascii="Times New Roman" w:eastAsiaTheme="minorHAnsi" w:hAnsi="Times New Roman"/>
              <w:sz w:val="24"/>
              <w:szCs w:val="24"/>
            </w:rPr>
          </w:pPr>
          <w:r w:rsidRPr="00C44475">
            <w:rPr>
              <w:rFonts w:ascii="Times New Roman" w:eastAsiaTheme="minorHAnsi" w:hAnsi="Times New Roman"/>
              <w:sz w:val="24"/>
              <w:szCs w:val="24"/>
            </w:rPr>
            <w:t>Diego Orlando Bustos Forero</w:t>
          </w:r>
          <w:r w:rsidR="00E17639">
            <w:rPr>
              <w:rFonts w:ascii="Times New Roman" w:eastAsiaTheme="minorHAnsi" w:hAnsi="Times New Roman"/>
              <w:sz w:val="24"/>
              <w:szCs w:val="24"/>
            </w:rPr>
            <w:t xml:space="preserve"> </w:t>
          </w:r>
          <w:r w:rsidR="00502DBD">
            <w:rPr>
              <w:rFonts w:ascii="Times New Roman" w:eastAsiaTheme="minorHAnsi" w:hAnsi="Times New Roman"/>
              <w:sz w:val="24"/>
              <w:szCs w:val="24"/>
            </w:rPr>
            <w:t>con un</w:t>
          </w:r>
          <w:r w:rsidRPr="002923F9">
            <w:rPr>
              <w:rFonts w:ascii="Times New Roman" w:eastAsiaTheme="minorHAnsi" w:hAnsi="Times New Roman"/>
              <w:sz w:val="24"/>
              <w:szCs w:val="24"/>
            </w:rPr>
            <w:t xml:space="preserve"> saldo por </w:t>
          </w:r>
          <w:r>
            <w:rPr>
              <w:rFonts w:ascii="Times New Roman" w:eastAsiaTheme="minorHAnsi" w:hAnsi="Times New Roman"/>
              <w:sz w:val="24"/>
              <w:szCs w:val="24"/>
            </w:rPr>
            <w:t>$</w:t>
          </w:r>
          <w:r w:rsidRPr="002923F9">
            <w:rPr>
              <w:rFonts w:ascii="Times New Roman" w:eastAsiaTheme="minorHAnsi" w:hAnsi="Times New Roman"/>
              <w:sz w:val="24"/>
              <w:szCs w:val="24"/>
            </w:rPr>
            <w:t>6.923</w:t>
          </w:r>
          <w:r w:rsidR="00176F04">
            <w:rPr>
              <w:rFonts w:ascii="Times New Roman" w:eastAsiaTheme="minorHAnsi" w:hAnsi="Times New Roman"/>
              <w:sz w:val="24"/>
              <w:szCs w:val="24"/>
            </w:rPr>
            <w:t>.000</w:t>
          </w:r>
          <w:r>
            <w:rPr>
              <w:rFonts w:ascii="Times New Roman" w:eastAsiaTheme="minorHAnsi" w:hAnsi="Times New Roman"/>
              <w:sz w:val="24"/>
              <w:szCs w:val="24"/>
            </w:rPr>
            <w:t xml:space="preserve">, </w:t>
          </w:r>
          <w:r w:rsidR="002052DB">
            <w:rPr>
              <w:rFonts w:ascii="Times New Roman" w:eastAsiaTheme="minorHAnsi" w:hAnsi="Times New Roman"/>
              <w:sz w:val="24"/>
              <w:szCs w:val="24"/>
            </w:rPr>
            <w:t xml:space="preserve">que </w:t>
          </w:r>
          <w:r w:rsidRPr="002923F9">
            <w:rPr>
              <w:rFonts w:ascii="Times New Roman" w:eastAsiaTheme="minorHAnsi" w:hAnsi="Times New Roman"/>
              <w:sz w:val="24"/>
              <w:szCs w:val="24"/>
            </w:rPr>
            <w:t xml:space="preserve">corresponde a financiación </w:t>
          </w:r>
          <w:r>
            <w:rPr>
              <w:rFonts w:ascii="Times New Roman" w:eastAsiaTheme="minorHAnsi" w:hAnsi="Times New Roman"/>
              <w:sz w:val="24"/>
              <w:szCs w:val="24"/>
            </w:rPr>
            <w:t xml:space="preserve">de una </w:t>
          </w:r>
          <w:r w:rsidRPr="002923F9">
            <w:rPr>
              <w:rFonts w:ascii="Times New Roman" w:eastAsiaTheme="minorHAnsi" w:hAnsi="Times New Roman"/>
              <w:sz w:val="24"/>
              <w:szCs w:val="24"/>
            </w:rPr>
            <w:t xml:space="preserve">maestría según </w:t>
          </w:r>
          <w:r>
            <w:rPr>
              <w:rFonts w:ascii="Times New Roman" w:eastAsiaTheme="minorHAnsi" w:hAnsi="Times New Roman"/>
              <w:sz w:val="24"/>
              <w:szCs w:val="24"/>
            </w:rPr>
            <w:t>R</w:t>
          </w:r>
          <w:r w:rsidRPr="002923F9">
            <w:rPr>
              <w:rFonts w:ascii="Times New Roman" w:eastAsiaTheme="minorHAnsi" w:hAnsi="Times New Roman"/>
              <w:sz w:val="24"/>
              <w:szCs w:val="24"/>
            </w:rPr>
            <w:t xml:space="preserve">esoluciones </w:t>
          </w:r>
          <w:r>
            <w:rPr>
              <w:rFonts w:ascii="Times New Roman" w:eastAsiaTheme="minorHAnsi" w:hAnsi="Times New Roman"/>
              <w:sz w:val="24"/>
              <w:szCs w:val="24"/>
            </w:rPr>
            <w:t xml:space="preserve">ANI </w:t>
          </w:r>
          <w:r w:rsidRPr="002923F9">
            <w:rPr>
              <w:rFonts w:ascii="Times New Roman" w:eastAsiaTheme="minorHAnsi" w:hAnsi="Times New Roman"/>
              <w:sz w:val="24"/>
              <w:szCs w:val="24"/>
            </w:rPr>
            <w:t>Nos. 624 del 30</w:t>
          </w:r>
          <w:r>
            <w:rPr>
              <w:rFonts w:ascii="Times New Roman" w:eastAsiaTheme="minorHAnsi" w:hAnsi="Times New Roman"/>
              <w:sz w:val="24"/>
              <w:szCs w:val="24"/>
            </w:rPr>
            <w:t xml:space="preserve"> de abril de </w:t>
          </w:r>
          <w:r w:rsidRPr="002923F9">
            <w:rPr>
              <w:rFonts w:ascii="Times New Roman" w:eastAsiaTheme="minorHAnsi" w:hAnsi="Times New Roman"/>
              <w:sz w:val="24"/>
              <w:szCs w:val="24"/>
            </w:rPr>
            <w:t>2014 y 847 25</w:t>
          </w:r>
          <w:r>
            <w:rPr>
              <w:rFonts w:ascii="Times New Roman" w:eastAsiaTheme="minorHAnsi" w:hAnsi="Times New Roman"/>
              <w:sz w:val="24"/>
              <w:szCs w:val="24"/>
            </w:rPr>
            <w:t xml:space="preserve"> de junio </w:t>
          </w:r>
          <w:r w:rsidRPr="002923F9">
            <w:rPr>
              <w:rFonts w:ascii="Times New Roman" w:eastAsiaTheme="minorHAnsi" w:hAnsi="Times New Roman"/>
              <w:sz w:val="24"/>
              <w:szCs w:val="24"/>
            </w:rPr>
            <w:t>2014</w:t>
          </w:r>
          <w:r>
            <w:rPr>
              <w:rFonts w:ascii="Times New Roman" w:eastAsiaTheme="minorHAnsi" w:hAnsi="Times New Roman"/>
              <w:sz w:val="24"/>
              <w:szCs w:val="24"/>
            </w:rPr>
            <w:t xml:space="preserve"> y </w:t>
          </w:r>
          <w:r w:rsidRPr="002923F9">
            <w:rPr>
              <w:rFonts w:ascii="Times New Roman" w:eastAsiaTheme="minorHAnsi" w:hAnsi="Times New Roman"/>
              <w:sz w:val="24"/>
              <w:szCs w:val="24"/>
            </w:rPr>
            <w:t>proceso coactivo No. 005-2018</w:t>
          </w:r>
          <w:r>
            <w:rPr>
              <w:rFonts w:ascii="Times New Roman" w:eastAsiaTheme="minorHAnsi" w:hAnsi="Times New Roman"/>
              <w:sz w:val="24"/>
              <w:szCs w:val="24"/>
            </w:rPr>
            <w:t>. Se</w:t>
          </w:r>
          <w:r w:rsidRPr="002923F9">
            <w:rPr>
              <w:rFonts w:ascii="Times New Roman" w:eastAsiaTheme="minorHAnsi" w:hAnsi="Times New Roman"/>
              <w:sz w:val="24"/>
              <w:szCs w:val="24"/>
            </w:rPr>
            <w:t xml:space="preserve"> libró mandamiento de pago y decret</w:t>
          </w:r>
          <w:r>
            <w:rPr>
              <w:rFonts w:ascii="Times New Roman" w:eastAsiaTheme="minorHAnsi" w:hAnsi="Times New Roman"/>
              <w:sz w:val="24"/>
              <w:szCs w:val="24"/>
            </w:rPr>
            <w:t>ó</w:t>
          </w:r>
          <w:r w:rsidRPr="002923F9">
            <w:rPr>
              <w:rFonts w:ascii="Times New Roman" w:eastAsiaTheme="minorHAnsi" w:hAnsi="Times New Roman"/>
              <w:sz w:val="24"/>
              <w:szCs w:val="24"/>
            </w:rPr>
            <w:t xml:space="preserve"> medidas cautelares, el Coordinador del Grupo Interno de Trabajo de Defensa Judicial, le notificó a este deudor que actualmente se encuentra en situación de deudor moroso con el Estado toda vez que tiene una acreencia cuya cuantía supera los cinco (05) S</w:t>
          </w:r>
          <w:r>
            <w:rPr>
              <w:rFonts w:ascii="Times New Roman" w:eastAsiaTheme="minorHAnsi" w:hAnsi="Times New Roman"/>
              <w:sz w:val="24"/>
              <w:szCs w:val="24"/>
            </w:rPr>
            <w:t xml:space="preserve">alarios Mínimos </w:t>
          </w:r>
          <w:r w:rsidRPr="002923F9">
            <w:rPr>
              <w:rFonts w:ascii="Times New Roman" w:eastAsiaTheme="minorHAnsi" w:hAnsi="Times New Roman"/>
              <w:sz w:val="24"/>
              <w:szCs w:val="24"/>
            </w:rPr>
            <w:t>M</w:t>
          </w:r>
          <w:r>
            <w:rPr>
              <w:rFonts w:ascii="Times New Roman" w:eastAsiaTheme="minorHAnsi" w:hAnsi="Times New Roman"/>
              <w:sz w:val="24"/>
              <w:szCs w:val="24"/>
            </w:rPr>
            <w:t xml:space="preserve">ensuales </w:t>
          </w:r>
          <w:r w:rsidRPr="002923F9">
            <w:rPr>
              <w:rFonts w:ascii="Times New Roman" w:eastAsiaTheme="minorHAnsi" w:hAnsi="Times New Roman"/>
              <w:sz w:val="24"/>
              <w:szCs w:val="24"/>
            </w:rPr>
            <w:t>L</w:t>
          </w:r>
          <w:r>
            <w:rPr>
              <w:rFonts w:ascii="Times New Roman" w:eastAsiaTheme="minorHAnsi" w:hAnsi="Times New Roman"/>
              <w:sz w:val="24"/>
              <w:szCs w:val="24"/>
            </w:rPr>
            <w:t xml:space="preserve">egales </w:t>
          </w:r>
          <w:r w:rsidRPr="002923F9">
            <w:rPr>
              <w:rFonts w:ascii="Times New Roman" w:eastAsiaTheme="minorHAnsi" w:hAnsi="Times New Roman"/>
              <w:sz w:val="24"/>
              <w:szCs w:val="24"/>
            </w:rPr>
            <w:t>V</w:t>
          </w:r>
          <w:r>
            <w:rPr>
              <w:rFonts w:ascii="Times New Roman" w:eastAsiaTheme="minorHAnsi" w:hAnsi="Times New Roman"/>
              <w:sz w:val="24"/>
              <w:szCs w:val="24"/>
            </w:rPr>
            <w:t>igentes</w:t>
          </w:r>
          <w:r w:rsidRPr="002923F9">
            <w:rPr>
              <w:rFonts w:ascii="Times New Roman" w:eastAsiaTheme="minorHAnsi" w:hAnsi="Times New Roman"/>
              <w:sz w:val="24"/>
              <w:szCs w:val="24"/>
            </w:rPr>
            <w:t xml:space="preserve"> </w:t>
          </w:r>
          <w:r>
            <w:rPr>
              <w:rFonts w:ascii="Times New Roman" w:eastAsiaTheme="minorHAnsi" w:hAnsi="Times New Roman"/>
              <w:sz w:val="24"/>
              <w:szCs w:val="24"/>
            </w:rPr>
            <w:t xml:space="preserve">(SMMLV) </w:t>
          </w:r>
          <w:r w:rsidRPr="002923F9">
            <w:rPr>
              <w:rFonts w:ascii="Times New Roman" w:eastAsiaTheme="minorHAnsi" w:hAnsi="Times New Roman"/>
              <w:sz w:val="24"/>
              <w:szCs w:val="24"/>
            </w:rPr>
            <w:t xml:space="preserve">y una mora mayor a seis (06) meses. </w:t>
          </w:r>
        </w:p>
        <w:p w14:paraId="2D1DAB4B" w14:textId="77777777" w:rsidR="00B74DFB" w:rsidRPr="002923F9" w:rsidRDefault="00B74DFB" w:rsidP="00B74DFB">
          <w:pPr>
            <w:autoSpaceDE w:val="0"/>
            <w:autoSpaceDN w:val="0"/>
            <w:adjustRightInd w:val="0"/>
            <w:spacing w:after="0" w:line="240" w:lineRule="auto"/>
            <w:jc w:val="both"/>
            <w:rPr>
              <w:rFonts w:ascii="Times New Roman" w:eastAsiaTheme="minorHAnsi" w:hAnsi="Times New Roman"/>
              <w:sz w:val="24"/>
              <w:szCs w:val="24"/>
            </w:rPr>
          </w:pPr>
        </w:p>
        <w:p w14:paraId="451D43A0" w14:textId="77777777" w:rsidR="00B0616F" w:rsidRPr="00931DCE" w:rsidRDefault="00B0616F" w:rsidP="00911CC2">
          <w:pPr>
            <w:shd w:val="clear" w:color="auto" w:fill="FFFFFF"/>
            <w:spacing w:after="0" w:line="240" w:lineRule="auto"/>
            <w:jc w:val="both"/>
            <w:textAlignment w:val="baseline"/>
            <w:rPr>
              <w:rFonts w:ascii="Times New Roman" w:eastAsia="Times New Roman" w:hAnsi="Times New Roman"/>
              <w:sz w:val="24"/>
              <w:bdr w:val="none" w:sz="0" w:space="0" w:color="auto" w:frame="1"/>
            </w:rPr>
          </w:pPr>
        </w:p>
        <w:p w14:paraId="38A8E377" w14:textId="4B87B217" w:rsidR="006C1D75" w:rsidRPr="00931DCE" w:rsidRDefault="006C1D75" w:rsidP="00663ED8">
          <w:pPr>
            <w:pStyle w:val="Ttulo2"/>
            <w:numPr>
              <w:ilvl w:val="0"/>
              <w:numId w:val="0"/>
            </w:numPr>
            <w:spacing w:line="240" w:lineRule="auto"/>
            <w:rPr>
              <w:rFonts w:cs="Times New Roman"/>
              <w:szCs w:val="24"/>
            </w:rPr>
          </w:pPr>
          <w:bookmarkStart w:id="27" w:name="_Toc159952372"/>
          <w:r w:rsidRPr="00931DCE">
            <w:rPr>
              <w:rFonts w:cs="Times New Roman"/>
              <w:szCs w:val="24"/>
            </w:rPr>
            <w:lastRenderedPageBreak/>
            <w:t>7.</w:t>
          </w:r>
          <w:r w:rsidR="00911CC2" w:rsidRPr="00931DCE">
            <w:rPr>
              <w:rFonts w:cs="Times New Roman"/>
              <w:szCs w:val="24"/>
            </w:rPr>
            <w:t>5</w:t>
          </w:r>
          <w:r w:rsidR="004A0440">
            <w:rPr>
              <w:rFonts w:cs="Times New Roman"/>
              <w:szCs w:val="24"/>
            </w:rPr>
            <w:t xml:space="preserve"> </w:t>
          </w:r>
          <w:r w:rsidRPr="00931DCE">
            <w:rPr>
              <w:rFonts w:cs="Times New Roman"/>
              <w:szCs w:val="24"/>
            </w:rPr>
            <w:t>Cuentas por cobrar de difícil recaudo</w:t>
          </w:r>
          <w:bookmarkEnd w:id="27"/>
        </w:p>
        <w:p w14:paraId="1264CCEF" w14:textId="60DA4071" w:rsidR="006C1D75" w:rsidRPr="00931DCE" w:rsidRDefault="006C1D75" w:rsidP="00663ED8">
          <w:pPr>
            <w:spacing w:after="0" w:line="240" w:lineRule="auto"/>
            <w:rPr>
              <w:rFonts w:ascii="Times New Roman" w:hAnsi="Times New Roman"/>
              <w:sz w:val="24"/>
              <w:szCs w:val="24"/>
            </w:rPr>
          </w:pPr>
        </w:p>
        <w:p w14:paraId="43311FDD" w14:textId="665E5E5A" w:rsidR="00153ACC" w:rsidRPr="00931DCE" w:rsidRDefault="00153ACC" w:rsidP="00C71527">
          <w:pPr>
            <w:spacing w:after="0" w:line="240" w:lineRule="auto"/>
            <w:jc w:val="both"/>
            <w:rPr>
              <w:rFonts w:ascii="Times New Roman" w:hAnsi="Times New Roman"/>
              <w:sz w:val="24"/>
              <w:szCs w:val="24"/>
            </w:rPr>
          </w:pPr>
          <w:r w:rsidRPr="00931DCE">
            <w:rPr>
              <w:rFonts w:ascii="Times New Roman" w:hAnsi="Times New Roman"/>
              <w:sz w:val="24"/>
              <w:szCs w:val="24"/>
            </w:rPr>
            <w:t>Representa el valor de las cuentas por cobrar a favor de la entidad pendientes de recaudo, que por su antigüedad y morosidad han sido reclasificadas desde la cuenta principal.</w:t>
          </w:r>
        </w:p>
        <w:p w14:paraId="1638923A" w14:textId="77777777" w:rsidR="00C71527" w:rsidRDefault="00C71527" w:rsidP="00C71527">
          <w:pPr>
            <w:spacing w:after="0" w:line="240" w:lineRule="auto"/>
            <w:jc w:val="both"/>
            <w:rPr>
              <w:rFonts w:ascii="Times New Roman" w:hAnsi="Times New Roman"/>
              <w:sz w:val="24"/>
              <w:szCs w:val="24"/>
            </w:rPr>
          </w:pPr>
        </w:p>
        <w:p w14:paraId="727910A2" w14:textId="77777777" w:rsidR="00153ACC" w:rsidRPr="00931DCE" w:rsidRDefault="00153ACC" w:rsidP="00C71527">
          <w:pPr>
            <w:spacing w:after="0" w:line="240" w:lineRule="auto"/>
            <w:rPr>
              <w:rFonts w:ascii="Times New Roman" w:hAnsi="Times New Roman"/>
              <w:sz w:val="24"/>
              <w:szCs w:val="24"/>
            </w:rPr>
          </w:pPr>
          <w:r w:rsidRPr="00931DCE">
            <w:rPr>
              <w:rFonts w:ascii="Times New Roman" w:hAnsi="Times New Roman"/>
              <w:sz w:val="24"/>
              <w:szCs w:val="24"/>
            </w:rPr>
            <w:t>Composición de las cuentas por cobrar de difícil recaudo</w:t>
          </w:r>
          <w:r w:rsidR="003A2FB3" w:rsidRPr="00931DCE">
            <w:rPr>
              <w:rFonts w:ascii="Times New Roman" w:hAnsi="Times New Roman"/>
              <w:sz w:val="24"/>
              <w:szCs w:val="24"/>
            </w:rPr>
            <w:t>:</w:t>
          </w:r>
        </w:p>
        <w:p w14:paraId="60036C11" w14:textId="77777777" w:rsidR="00823F48" w:rsidRPr="00931DCE" w:rsidRDefault="00823F48" w:rsidP="00C71527">
          <w:pPr>
            <w:spacing w:after="0" w:line="240" w:lineRule="auto"/>
            <w:rPr>
              <w:rFonts w:ascii="Times New Roman" w:hAnsi="Times New Roman"/>
              <w:sz w:val="24"/>
              <w:szCs w:val="24"/>
            </w:rPr>
          </w:pPr>
        </w:p>
        <w:tbl>
          <w:tblPr>
            <w:tblW w:w="5347" w:type="pct"/>
            <w:tblCellMar>
              <w:left w:w="70" w:type="dxa"/>
              <w:right w:w="70" w:type="dxa"/>
            </w:tblCellMar>
            <w:tblLook w:val="04A0" w:firstRow="1" w:lastRow="0" w:firstColumn="1" w:lastColumn="0" w:noHBand="0" w:noVBand="1"/>
          </w:tblPr>
          <w:tblGrid>
            <w:gridCol w:w="1555"/>
            <w:gridCol w:w="530"/>
            <w:gridCol w:w="1085"/>
            <w:gridCol w:w="1098"/>
            <w:gridCol w:w="1015"/>
            <w:gridCol w:w="1111"/>
            <w:gridCol w:w="783"/>
            <w:gridCol w:w="1086"/>
            <w:gridCol w:w="313"/>
            <w:gridCol w:w="1015"/>
          </w:tblGrid>
          <w:tr w:rsidR="00272876" w:rsidRPr="00272876" w14:paraId="0A74BBCB" w14:textId="77777777" w:rsidTr="004E5925">
            <w:trPr>
              <w:cantSplit/>
              <w:trHeight w:val="1187"/>
            </w:trPr>
            <w:tc>
              <w:tcPr>
                <w:tcW w:w="811" w:type="pct"/>
                <w:tcBorders>
                  <w:top w:val="single" w:sz="4" w:space="0" w:color="A6A6A6"/>
                  <w:left w:val="single" w:sz="4" w:space="0" w:color="A6A6A6"/>
                  <w:bottom w:val="single" w:sz="4" w:space="0" w:color="A6A6A6"/>
                  <w:right w:val="single" w:sz="4" w:space="0" w:color="A6A6A6"/>
                </w:tcBorders>
                <w:shd w:val="clear" w:color="auto" w:fill="auto"/>
                <w:textDirection w:val="btLr"/>
                <w:vAlign w:val="center"/>
                <w:hideMark/>
              </w:tcPr>
              <w:p w14:paraId="1C7604E4" w14:textId="77777777" w:rsidR="00272876" w:rsidRPr="00272876" w:rsidRDefault="00272876" w:rsidP="00823F48">
                <w:pPr>
                  <w:spacing w:after="0" w:line="240" w:lineRule="auto"/>
                  <w:ind w:left="113" w:right="113"/>
                  <w:jc w:val="center"/>
                  <w:rPr>
                    <w:rFonts w:ascii="Times New Roman" w:eastAsia="Times New Roman" w:hAnsi="Times New Roman"/>
                    <w:b/>
                    <w:bCs/>
                    <w:sz w:val="14"/>
                    <w:szCs w:val="14"/>
                    <w:lang w:eastAsia="es-CO"/>
                  </w:rPr>
                </w:pPr>
                <w:r w:rsidRPr="00272876">
                  <w:rPr>
                    <w:rFonts w:ascii="Times New Roman" w:eastAsia="Times New Roman" w:hAnsi="Times New Roman"/>
                    <w:b/>
                    <w:bCs/>
                    <w:sz w:val="14"/>
                    <w:szCs w:val="14"/>
                    <w:lang w:eastAsia="es-CO"/>
                  </w:rPr>
                  <w:t>CONCEPTO</w:t>
                </w:r>
              </w:p>
            </w:tc>
            <w:tc>
              <w:tcPr>
                <w:tcW w:w="277" w:type="pct"/>
                <w:tcBorders>
                  <w:top w:val="single" w:sz="4" w:space="0" w:color="A6A6A6"/>
                  <w:left w:val="single" w:sz="4" w:space="0" w:color="A6A6A6"/>
                  <w:bottom w:val="single" w:sz="4" w:space="0" w:color="A6A6A6"/>
                  <w:right w:val="single" w:sz="4" w:space="0" w:color="A6A6A6"/>
                </w:tcBorders>
                <w:shd w:val="clear" w:color="auto" w:fill="auto"/>
                <w:textDirection w:val="btLr"/>
                <w:vAlign w:val="center"/>
                <w:hideMark/>
              </w:tcPr>
              <w:p w14:paraId="76A660FD" w14:textId="77777777" w:rsidR="00272876" w:rsidRPr="00272876" w:rsidRDefault="00272876" w:rsidP="00823F48">
                <w:pPr>
                  <w:spacing w:after="0" w:line="240" w:lineRule="auto"/>
                  <w:ind w:left="113" w:right="113"/>
                  <w:jc w:val="center"/>
                  <w:rPr>
                    <w:rFonts w:ascii="Times New Roman" w:eastAsia="Times New Roman" w:hAnsi="Times New Roman"/>
                    <w:b/>
                    <w:bCs/>
                    <w:sz w:val="14"/>
                    <w:szCs w:val="14"/>
                    <w:lang w:eastAsia="es-CO"/>
                  </w:rPr>
                </w:pPr>
                <w:r w:rsidRPr="00272876">
                  <w:rPr>
                    <w:rFonts w:ascii="Times New Roman" w:eastAsia="Times New Roman" w:hAnsi="Times New Roman"/>
                    <w:b/>
                    <w:bCs/>
                    <w:sz w:val="14"/>
                    <w:szCs w:val="14"/>
                    <w:lang w:eastAsia="es-CO"/>
                  </w:rPr>
                  <w:t>SALDO CORRIENTE</w:t>
                </w:r>
              </w:p>
            </w:tc>
            <w:tc>
              <w:tcPr>
                <w:tcW w:w="566" w:type="pct"/>
                <w:tcBorders>
                  <w:top w:val="single" w:sz="4" w:space="0" w:color="A6A6A6"/>
                  <w:left w:val="single" w:sz="4" w:space="0" w:color="A6A6A6"/>
                  <w:bottom w:val="single" w:sz="4" w:space="0" w:color="A6A6A6"/>
                  <w:right w:val="single" w:sz="4" w:space="0" w:color="A6A6A6"/>
                </w:tcBorders>
                <w:shd w:val="clear" w:color="auto" w:fill="auto"/>
                <w:textDirection w:val="btLr"/>
                <w:vAlign w:val="center"/>
                <w:hideMark/>
              </w:tcPr>
              <w:p w14:paraId="67E3B2A8" w14:textId="77777777" w:rsidR="00272876" w:rsidRPr="00272876" w:rsidRDefault="00272876" w:rsidP="00823F48">
                <w:pPr>
                  <w:spacing w:after="0" w:line="240" w:lineRule="auto"/>
                  <w:ind w:left="113" w:right="113"/>
                  <w:jc w:val="center"/>
                  <w:rPr>
                    <w:rFonts w:ascii="Times New Roman" w:eastAsia="Times New Roman" w:hAnsi="Times New Roman"/>
                    <w:b/>
                    <w:bCs/>
                    <w:sz w:val="14"/>
                    <w:szCs w:val="14"/>
                    <w:lang w:eastAsia="es-CO"/>
                  </w:rPr>
                </w:pPr>
                <w:r w:rsidRPr="00272876">
                  <w:rPr>
                    <w:rFonts w:ascii="Times New Roman" w:eastAsia="Times New Roman" w:hAnsi="Times New Roman"/>
                    <w:b/>
                    <w:bCs/>
                    <w:sz w:val="14"/>
                    <w:szCs w:val="14"/>
                    <w:lang w:eastAsia="es-CO"/>
                  </w:rPr>
                  <w:t>SALDO NO CORRIENTE</w:t>
                </w:r>
              </w:p>
            </w:tc>
            <w:tc>
              <w:tcPr>
                <w:tcW w:w="573" w:type="pct"/>
                <w:tcBorders>
                  <w:top w:val="single" w:sz="4" w:space="0" w:color="A6A6A6"/>
                  <w:left w:val="single" w:sz="4" w:space="0" w:color="A6A6A6"/>
                  <w:bottom w:val="single" w:sz="4" w:space="0" w:color="A6A6A6"/>
                  <w:right w:val="single" w:sz="4" w:space="0" w:color="A6A6A6"/>
                </w:tcBorders>
                <w:shd w:val="clear" w:color="auto" w:fill="auto"/>
                <w:textDirection w:val="btLr"/>
                <w:vAlign w:val="center"/>
                <w:hideMark/>
              </w:tcPr>
              <w:p w14:paraId="2549D4D6" w14:textId="77777777" w:rsidR="00272876" w:rsidRPr="00272876" w:rsidRDefault="00272876" w:rsidP="00823F48">
                <w:pPr>
                  <w:spacing w:after="0" w:line="240" w:lineRule="auto"/>
                  <w:ind w:left="113" w:right="113"/>
                  <w:jc w:val="center"/>
                  <w:rPr>
                    <w:rFonts w:ascii="Times New Roman" w:eastAsia="Times New Roman" w:hAnsi="Times New Roman"/>
                    <w:b/>
                    <w:bCs/>
                    <w:sz w:val="14"/>
                    <w:szCs w:val="14"/>
                    <w:lang w:eastAsia="es-CO"/>
                  </w:rPr>
                </w:pPr>
                <w:r w:rsidRPr="00272876">
                  <w:rPr>
                    <w:rFonts w:ascii="Times New Roman" w:eastAsia="Times New Roman" w:hAnsi="Times New Roman"/>
                    <w:b/>
                    <w:bCs/>
                    <w:sz w:val="14"/>
                    <w:szCs w:val="14"/>
                    <w:lang w:eastAsia="es-CO"/>
                  </w:rPr>
                  <w:t>SALDO FINAL</w:t>
                </w:r>
              </w:p>
            </w:tc>
            <w:tc>
              <w:tcPr>
                <w:tcW w:w="529" w:type="pct"/>
                <w:tcBorders>
                  <w:top w:val="single" w:sz="4" w:space="0" w:color="A6A6A6"/>
                  <w:left w:val="single" w:sz="4" w:space="0" w:color="A6A6A6"/>
                  <w:bottom w:val="single" w:sz="4" w:space="0" w:color="A6A6A6"/>
                  <w:right w:val="single" w:sz="4" w:space="0" w:color="A6A6A6"/>
                </w:tcBorders>
                <w:shd w:val="clear" w:color="auto" w:fill="auto"/>
                <w:textDirection w:val="btLr"/>
                <w:vAlign w:val="center"/>
                <w:hideMark/>
              </w:tcPr>
              <w:p w14:paraId="1C76EE9C" w14:textId="77777777" w:rsidR="00272876" w:rsidRPr="00272876" w:rsidRDefault="00272876" w:rsidP="00823F48">
                <w:pPr>
                  <w:spacing w:after="0" w:line="240" w:lineRule="auto"/>
                  <w:ind w:left="113" w:right="113"/>
                  <w:jc w:val="center"/>
                  <w:rPr>
                    <w:rFonts w:ascii="Times New Roman" w:eastAsia="Times New Roman" w:hAnsi="Times New Roman"/>
                    <w:b/>
                    <w:bCs/>
                    <w:sz w:val="14"/>
                    <w:szCs w:val="14"/>
                    <w:lang w:eastAsia="es-CO"/>
                  </w:rPr>
                </w:pPr>
                <w:r w:rsidRPr="00272876">
                  <w:rPr>
                    <w:rFonts w:ascii="Times New Roman" w:eastAsia="Times New Roman" w:hAnsi="Times New Roman"/>
                    <w:b/>
                    <w:bCs/>
                    <w:sz w:val="14"/>
                    <w:szCs w:val="14"/>
                    <w:lang w:eastAsia="es-CO"/>
                  </w:rPr>
                  <w:t>SALDO INICIAL</w:t>
                </w:r>
              </w:p>
            </w:tc>
            <w:tc>
              <w:tcPr>
                <w:tcW w:w="579" w:type="pct"/>
                <w:tcBorders>
                  <w:top w:val="single" w:sz="4" w:space="0" w:color="A6A6A6"/>
                  <w:left w:val="single" w:sz="4" w:space="0" w:color="A6A6A6"/>
                  <w:bottom w:val="single" w:sz="4" w:space="0" w:color="A6A6A6"/>
                  <w:right w:val="single" w:sz="4" w:space="0" w:color="A6A6A6"/>
                </w:tcBorders>
                <w:shd w:val="clear" w:color="auto" w:fill="auto"/>
                <w:textDirection w:val="btLr"/>
                <w:vAlign w:val="center"/>
                <w:hideMark/>
              </w:tcPr>
              <w:p w14:paraId="19AC9A7C" w14:textId="77777777" w:rsidR="00272876" w:rsidRPr="00272876" w:rsidRDefault="00272876" w:rsidP="00823F48">
                <w:pPr>
                  <w:spacing w:after="0" w:line="240" w:lineRule="auto"/>
                  <w:ind w:left="113" w:right="113"/>
                  <w:jc w:val="center"/>
                  <w:rPr>
                    <w:rFonts w:ascii="Times New Roman" w:eastAsia="Times New Roman" w:hAnsi="Times New Roman"/>
                    <w:b/>
                    <w:bCs/>
                    <w:sz w:val="14"/>
                    <w:szCs w:val="14"/>
                    <w:lang w:eastAsia="es-CO"/>
                  </w:rPr>
                </w:pPr>
                <w:r w:rsidRPr="00272876">
                  <w:rPr>
                    <w:rFonts w:ascii="Times New Roman" w:eastAsia="Times New Roman" w:hAnsi="Times New Roman"/>
                    <w:b/>
                    <w:bCs/>
                    <w:sz w:val="14"/>
                    <w:szCs w:val="14"/>
                    <w:lang w:eastAsia="es-CO"/>
                  </w:rPr>
                  <w:t>(+) DETERIORO APLICADO EN LA VIGENCIA</w:t>
                </w:r>
              </w:p>
            </w:tc>
            <w:tc>
              <w:tcPr>
                <w:tcW w:w="408" w:type="pct"/>
                <w:tcBorders>
                  <w:top w:val="single" w:sz="4" w:space="0" w:color="A6A6A6"/>
                  <w:left w:val="single" w:sz="4" w:space="0" w:color="A6A6A6"/>
                  <w:bottom w:val="single" w:sz="4" w:space="0" w:color="A6A6A6"/>
                  <w:right w:val="single" w:sz="4" w:space="0" w:color="A6A6A6"/>
                </w:tcBorders>
                <w:shd w:val="clear" w:color="auto" w:fill="auto"/>
                <w:textDirection w:val="btLr"/>
                <w:vAlign w:val="center"/>
                <w:hideMark/>
              </w:tcPr>
              <w:p w14:paraId="0DAF4949" w14:textId="77777777" w:rsidR="00272876" w:rsidRPr="00272876" w:rsidRDefault="00272876" w:rsidP="00823F48">
                <w:pPr>
                  <w:spacing w:after="0" w:line="240" w:lineRule="auto"/>
                  <w:ind w:left="113" w:right="113"/>
                  <w:jc w:val="center"/>
                  <w:rPr>
                    <w:rFonts w:ascii="Times New Roman" w:eastAsia="Times New Roman" w:hAnsi="Times New Roman"/>
                    <w:b/>
                    <w:bCs/>
                    <w:sz w:val="14"/>
                    <w:szCs w:val="14"/>
                    <w:lang w:eastAsia="es-CO"/>
                  </w:rPr>
                </w:pPr>
                <w:r w:rsidRPr="00272876">
                  <w:rPr>
                    <w:rFonts w:ascii="Times New Roman" w:eastAsia="Times New Roman" w:hAnsi="Times New Roman"/>
                    <w:b/>
                    <w:bCs/>
                    <w:sz w:val="14"/>
                    <w:szCs w:val="14"/>
                    <w:lang w:eastAsia="es-CO"/>
                  </w:rPr>
                  <w:t>(-) REVERSIÓN DE DETERIORO EN LA VIGENCIA</w:t>
                </w:r>
              </w:p>
            </w:tc>
            <w:tc>
              <w:tcPr>
                <w:tcW w:w="566" w:type="pct"/>
                <w:tcBorders>
                  <w:top w:val="single" w:sz="4" w:space="0" w:color="A6A6A6"/>
                  <w:left w:val="single" w:sz="4" w:space="0" w:color="A6A6A6"/>
                  <w:bottom w:val="single" w:sz="4" w:space="0" w:color="A6A6A6"/>
                  <w:right w:val="single" w:sz="4" w:space="0" w:color="A6A6A6"/>
                </w:tcBorders>
                <w:shd w:val="clear" w:color="auto" w:fill="auto"/>
                <w:textDirection w:val="btLr"/>
                <w:vAlign w:val="center"/>
                <w:hideMark/>
              </w:tcPr>
              <w:p w14:paraId="189B3EE1" w14:textId="77777777" w:rsidR="00272876" w:rsidRPr="00272876" w:rsidRDefault="00272876" w:rsidP="00823F48">
                <w:pPr>
                  <w:spacing w:after="0" w:line="240" w:lineRule="auto"/>
                  <w:ind w:left="113" w:right="113"/>
                  <w:jc w:val="center"/>
                  <w:rPr>
                    <w:rFonts w:ascii="Times New Roman" w:eastAsia="Times New Roman" w:hAnsi="Times New Roman"/>
                    <w:b/>
                    <w:bCs/>
                    <w:sz w:val="14"/>
                    <w:szCs w:val="14"/>
                    <w:lang w:eastAsia="es-CO"/>
                  </w:rPr>
                </w:pPr>
                <w:r w:rsidRPr="00272876">
                  <w:rPr>
                    <w:rFonts w:ascii="Times New Roman" w:eastAsia="Times New Roman" w:hAnsi="Times New Roman"/>
                    <w:b/>
                    <w:bCs/>
                    <w:sz w:val="14"/>
                    <w:szCs w:val="14"/>
                    <w:lang w:eastAsia="es-CO"/>
                  </w:rPr>
                  <w:t>SALDO FINAL</w:t>
                </w:r>
              </w:p>
            </w:tc>
            <w:tc>
              <w:tcPr>
                <w:tcW w:w="163" w:type="pct"/>
                <w:tcBorders>
                  <w:top w:val="single" w:sz="4" w:space="0" w:color="A6A6A6"/>
                  <w:left w:val="single" w:sz="4" w:space="0" w:color="A6A6A6"/>
                  <w:bottom w:val="single" w:sz="4" w:space="0" w:color="A6A6A6"/>
                  <w:right w:val="single" w:sz="4" w:space="0" w:color="A6A6A6"/>
                </w:tcBorders>
                <w:shd w:val="clear" w:color="auto" w:fill="auto"/>
                <w:textDirection w:val="btLr"/>
                <w:vAlign w:val="center"/>
                <w:hideMark/>
              </w:tcPr>
              <w:p w14:paraId="16C7EA8C" w14:textId="77777777" w:rsidR="00272876" w:rsidRPr="00272876" w:rsidRDefault="00272876" w:rsidP="00823F48">
                <w:pPr>
                  <w:spacing w:after="0" w:line="240" w:lineRule="auto"/>
                  <w:ind w:left="113" w:right="113"/>
                  <w:jc w:val="center"/>
                  <w:rPr>
                    <w:rFonts w:ascii="Times New Roman" w:eastAsia="Times New Roman" w:hAnsi="Times New Roman"/>
                    <w:b/>
                    <w:bCs/>
                    <w:sz w:val="14"/>
                    <w:szCs w:val="14"/>
                    <w:lang w:eastAsia="es-CO"/>
                  </w:rPr>
                </w:pPr>
                <w:r w:rsidRPr="00272876">
                  <w:rPr>
                    <w:rFonts w:ascii="Times New Roman" w:eastAsia="Times New Roman" w:hAnsi="Times New Roman"/>
                    <w:b/>
                    <w:bCs/>
                    <w:sz w:val="14"/>
                    <w:szCs w:val="14"/>
                    <w:lang w:eastAsia="es-CO"/>
                  </w:rPr>
                  <w:t>%</w:t>
                </w:r>
              </w:p>
            </w:tc>
            <w:tc>
              <w:tcPr>
                <w:tcW w:w="529" w:type="pct"/>
                <w:tcBorders>
                  <w:top w:val="single" w:sz="4" w:space="0" w:color="A6A6A6"/>
                  <w:left w:val="single" w:sz="4" w:space="0" w:color="A6A6A6"/>
                  <w:bottom w:val="single" w:sz="4" w:space="0" w:color="A6A6A6"/>
                  <w:right w:val="single" w:sz="4" w:space="0" w:color="A6A6A6"/>
                </w:tcBorders>
                <w:shd w:val="clear" w:color="auto" w:fill="auto"/>
                <w:textDirection w:val="btLr"/>
                <w:vAlign w:val="center"/>
                <w:hideMark/>
              </w:tcPr>
              <w:p w14:paraId="0E7DC82A" w14:textId="77777777" w:rsidR="00272876" w:rsidRPr="00272876" w:rsidRDefault="00272876" w:rsidP="00823F48">
                <w:pPr>
                  <w:spacing w:after="0" w:line="240" w:lineRule="auto"/>
                  <w:ind w:left="113" w:right="113"/>
                  <w:jc w:val="center"/>
                  <w:rPr>
                    <w:rFonts w:ascii="Times New Roman" w:eastAsia="Times New Roman" w:hAnsi="Times New Roman"/>
                    <w:b/>
                    <w:bCs/>
                    <w:sz w:val="14"/>
                    <w:szCs w:val="14"/>
                    <w:lang w:eastAsia="es-CO"/>
                  </w:rPr>
                </w:pPr>
                <w:r w:rsidRPr="00272876">
                  <w:rPr>
                    <w:rFonts w:ascii="Times New Roman" w:eastAsia="Times New Roman" w:hAnsi="Times New Roman"/>
                    <w:b/>
                    <w:bCs/>
                    <w:sz w:val="14"/>
                    <w:szCs w:val="14"/>
                    <w:lang w:eastAsia="es-CO"/>
                  </w:rPr>
                  <w:t>SALDO DESPUÉS DE DETERIORO</w:t>
                </w:r>
              </w:p>
            </w:tc>
          </w:tr>
          <w:tr w:rsidR="00AB2819" w:rsidRPr="00272876" w14:paraId="64A89F2E" w14:textId="77777777" w:rsidTr="00823F48">
            <w:trPr>
              <w:trHeight w:val="295"/>
            </w:trPr>
            <w:tc>
              <w:tcPr>
                <w:tcW w:w="811" w:type="pct"/>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3B5507A1" w14:textId="77777777" w:rsidR="00272876" w:rsidRPr="00272876" w:rsidRDefault="00272876" w:rsidP="00272876">
                <w:pPr>
                  <w:spacing w:after="0" w:line="240" w:lineRule="auto"/>
                  <w:rPr>
                    <w:rFonts w:ascii="Times New Roman" w:eastAsia="Times New Roman" w:hAnsi="Times New Roman"/>
                    <w:b/>
                    <w:bCs/>
                    <w:sz w:val="14"/>
                    <w:szCs w:val="14"/>
                    <w:lang w:eastAsia="es-CO"/>
                  </w:rPr>
                </w:pPr>
                <w:r w:rsidRPr="00272876">
                  <w:rPr>
                    <w:rFonts w:ascii="Times New Roman" w:eastAsia="Times New Roman" w:hAnsi="Times New Roman"/>
                    <w:b/>
                    <w:bCs/>
                    <w:sz w:val="14"/>
                    <w:szCs w:val="14"/>
                    <w:lang w:eastAsia="es-CO"/>
                  </w:rPr>
                  <w:t>CUENTAS POR COBRAR DE DIFÍCIL RECAUDO</w:t>
                </w:r>
              </w:p>
            </w:tc>
            <w:tc>
              <w:tcPr>
                <w:tcW w:w="277" w:type="pct"/>
                <w:tcBorders>
                  <w:top w:val="single" w:sz="4" w:space="0" w:color="A6A6A6"/>
                  <w:left w:val="nil"/>
                  <w:bottom w:val="single" w:sz="4" w:space="0" w:color="A6A6A6"/>
                  <w:right w:val="single" w:sz="4" w:space="0" w:color="A6A6A6"/>
                </w:tcBorders>
                <w:shd w:val="clear" w:color="auto" w:fill="auto"/>
                <w:noWrap/>
                <w:vAlign w:val="center"/>
                <w:hideMark/>
              </w:tcPr>
              <w:p w14:paraId="48127DC2" w14:textId="77777777" w:rsidR="00272876" w:rsidRPr="00272876" w:rsidRDefault="00272876" w:rsidP="00272876">
                <w:pPr>
                  <w:spacing w:after="0" w:line="240" w:lineRule="auto"/>
                  <w:jc w:val="right"/>
                  <w:rPr>
                    <w:rFonts w:ascii="Times New Roman" w:eastAsia="Times New Roman" w:hAnsi="Times New Roman"/>
                    <w:b/>
                    <w:bCs/>
                    <w:sz w:val="14"/>
                    <w:szCs w:val="14"/>
                    <w:lang w:eastAsia="es-CO"/>
                  </w:rPr>
                </w:pPr>
                <w:r w:rsidRPr="00272876">
                  <w:rPr>
                    <w:rFonts w:ascii="Times New Roman" w:eastAsia="Times New Roman" w:hAnsi="Times New Roman"/>
                    <w:b/>
                    <w:bCs/>
                    <w:sz w:val="14"/>
                    <w:szCs w:val="14"/>
                    <w:lang w:eastAsia="es-CO"/>
                  </w:rPr>
                  <w:t xml:space="preserve">0 </w:t>
                </w:r>
              </w:p>
            </w:tc>
            <w:tc>
              <w:tcPr>
                <w:tcW w:w="566" w:type="pct"/>
                <w:tcBorders>
                  <w:top w:val="single" w:sz="4" w:space="0" w:color="A6A6A6"/>
                  <w:left w:val="nil"/>
                  <w:bottom w:val="single" w:sz="4" w:space="0" w:color="A6A6A6"/>
                  <w:right w:val="single" w:sz="4" w:space="0" w:color="A6A6A6"/>
                </w:tcBorders>
                <w:shd w:val="clear" w:color="auto" w:fill="auto"/>
                <w:noWrap/>
                <w:vAlign w:val="center"/>
                <w:hideMark/>
              </w:tcPr>
              <w:p w14:paraId="086F6641" w14:textId="77777777" w:rsidR="00272876" w:rsidRPr="00272876" w:rsidRDefault="00272876" w:rsidP="00272876">
                <w:pPr>
                  <w:spacing w:after="0" w:line="240" w:lineRule="auto"/>
                  <w:jc w:val="right"/>
                  <w:rPr>
                    <w:rFonts w:ascii="Times New Roman" w:eastAsia="Times New Roman" w:hAnsi="Times New Roman"/>
                    <w:b/>
                    <w:bCs/>
                    <w:sz w:val="14"/>
                    <w:szCs w:val="14"/>
                    <w:lang w:eastAsia="es-CO"/>
                  </w:rPr>
                </w:pPr>
                <w:r w:rsidRPr="00272876">
                  <w:rPr>
                    <w:rFonts w:ascii="Times New Roman" w:eastAsia="Times New Roman" w:hAnsi="Times New Roman"/>
                    <w:b/>
                    <w:bCs/>
                    <w:sz w:val="14"/>
                    <w:szCs w:val="14"/>
                    <w:lang w:eastAsia="es-CO"/>
                  </w:rPr>
                  <w:t xml:space="preserve">387.305.028.594 </w:t>
                </w:r>
              </w:p>
            </w:tc>
            <w:tc>
              <w:tcPr>
                <w:tcW w:w="573" w:type="pct"/>
                <w:tcBorders>
                  <w:top w:val="single" w:sz="4" w:space="0" w:color="A6A6A6"/>
                  <w:left w:val="nil"/>
                  <w:bottom w:val="single" w:sz="4" w:space="0" w:color="A6A6A6"/>
                  <w:right w:val="single" w:sz="4" w:space="0" w:color="A6A6A6"/>
                </w:tcBorders>
                <w:shd w:val="clear" w:color="auto" w:fill="auto"/>
                <w:noWrap/>
                <w:vAlign w:val="center"/>
                <w:hideMark/>
              </w:tcPr>
              <w:p w14:paraId="34B278DF" w14:textId="77777777" w:rsidR="00272876" w:rsidRPr="00272876" w:rsidRDefault="00272876" w:rsidP="00272876">
                <w:pPr>
                  <w:spacing w:after="0" w:line="240" w:lineRule="auto"/>
                  <w:jc w:val="right"/>
                  <w:rPr>
                    <w:rFonts w:ascii="Times New Roman" w:eastAsia="Times New Roman" w:hAnsi="Times New Roman"/>
                    <w:b/>
                    <w:bCs/>
                    <w:sz w:val="14"/>
                    <w:szCs w:val="14"/>
                    <w:lang w:eastAsia="es-CO"/>
                  </w:rPr>
                </w:pPr>
                <w:r w:rsidRPr="00272876">
                  <w:rPr>
                    <w:rFonts w:ascii="Times New Roman" w:eastAsia="Times New Roman" w:hAnsi="Times New Roman"/>
                    <w:b/>
                    <w:bCs/>
                    <w:sz w:val="14"/>
                    <w:szCs w:val="14"/>
                    <w:lang w:eastAsia="es-CO"/>
                  </w:rPr>
                  <w:t xml:space="preserve">387.305.028.594 </w:t>
                </w:r>
              </w:p>
            </w:tc>
            <w:tc>
              <w:tcPr>
                <w:tcW w:w="529" w:type="pct"/>
                <w:tcBorders>
                  <w:top w:val="single" w:sz="4" w:space="0" w:color="A6A6A6"/>
                  <w:left w:val="nil"/>
                  <w:bottom w:val="single" w:sz="4" w:space="0" w:color="A6A6A6"/>
                  <w:right w:val="single" w:sz="4" w:space="0" w:color="A6A6A6"/>
                </w:tcBorders>
                <w:shd w:val="clear" w:color="auto" w:fill="auto"/>
                <w:noWrap/>
                <w:vAlign w:val="center"/>
                <w:hideMark/>
              </w:tcPr>
              <w:p w14:paraId="3DD3D1C3" w14:textId="77777777" w:rsidR="00272876" w:rsidRPr="00272876" w:rsidRDefault="00272876" w:rsidP="00272876">
                <w:pPr>
                  <w:spacing w:after="0" w:line="240" w:lineRule="auto"/>
                  <w:jc w:val="right"/>
                  <w:rPr>
                    <w:rFonts w:ascii="Times New Roman" w:eastAsia="Times New Roman" w:hAnsi="Times New Roman"/>
                    <w:b/>
                    <w:bCs/>
                    <w:sz w:val="14"/>
                    <w:szCs w:val="14"/>
                    <w:lang w:eastAsia="es-CO"/>
                  </w:rPr>
                </w:pPr>
                <w:r w:rsidRPr="00272876">
                  <w:rPr>
                    <w:rFonts w:ascii="Times New Roman" w:eastAsia="Times New Roman" w:hAnsi="Times New Roman"/>
                    <w:b/>
                    <w:bCs/>
                    <w:sz w:val="14"/>
                    <w:szCs w:val="14"/>
                    <w:lang w:eastAsia="es-CO"/>
                  </w:rPr>
                  <w:t xml:space="preserve">31.827.091.219 </w:t>
                </w:r>
              </w:p>
            </w:tc>
            <w:tc>
              <w:tcPr>
                <w:tcW w:w="579" w:type="pct"/>
                <w:tcBorders>
                  <w:top w:val="single" w:sz="4" w:space="0" w:color="A6A6A6"/>
                  <w:left w:val="nil"/>
                  <w:bottom w:val="single" w:sz="4" w:space="0" w:color="A6A6A6"/>
                  <w:right w:val="single" w:sz="4" w:space="0" w:color="A6A6A6"/>
                </w:tcBorders>
                <w:shd w:val="clear" w:color="auto" w:fill="auto"/>
                <w:noWrap/>
                <w:vAlign w:val="center"/>
                <w:hideMark/>
              </w:tcPr>
              <w:p w14:paraId="0222FC03" w14:textId="77777777" w:rsidR="00272876" w:rsidRPr="00272876" w:rsidRDefault="00272876" w:rsidP="00272876">
                <w:pPr>
                  <w:spacing w:after="0" w:line="240" w:lineRule="auto"/>
                  <w:jc w:val="right"/>
                  <w:rPr>
                    <w:rFonts w:ascii="Times New Roman" w:eastAsia="Times New Roman" w:hAnsi="Times New Roman"/>
                    <w:b/>
                    <w:bCs/>
                    <w:sz w:val="14"/>
                    <w:szCs w:val="14"/>
                    <w:lang w:eastAsia="es-CO"/>
                  </w:rPr>
                </w:pPr>
                <w:r w:rsidRPr="00272876">
                  <w:rPr>
                    <w:rFonts w:ascii="Times New Roman" w:eastAsia="Times New Roman" w:hAnsi="Times New Roman"/>
                    <w:b/>
                    <w:bCs/>
                    <w:sz w:val="14"/>
                    <w:szCs w:val="14"/>
                    <w:lang w:eastAsia="es-CO"/>
                  </w:rPr>
                  <w:t xml:space="preserve">285.685.647.000 </w:t>
                </w:r>
              </w:p>
            </w:tc>
            <w:tc>
              <w:tcPr>
                <w:tcW w:w="408" w:type="pct"/>
                <w:tcBorders>
                  <w:top w:val="single" w:sz="4" w:space="0" w:color="A6A6A6"/>
                  <w:left w:val="nil"/>
                  <w:bottom w:val="single" w:sz="4" w:space="0" w:color="A6A6A6"/>
                  <w:right w:val="single" w:sz="4" w:space="0" w:color="A6A6A6"/>
                </w:tcBorders>
                <w:shd w:val="clear" w:color="auto" w:fill="auto"/>
                <w:noWrap/>
                <w:vAlign w:val="center"/>
                <w:hideMark/>
              </w:tcPr>
              <w:p w14:paraId="132AAE39" w14:textId="77777777" w:rsidR="00272876" w:rsidRPr="00272876" w:rsidRDefault="00272876" w:rsidP="00272876">
                <w:pPr>
                  <w:spacing w:after="0" w:line="240" w:lineRule="auto"/>
                  <w:jc w:val="right"/>
                  <w:rPr>
                    <w:rFonts w:ascii="Times New Roman" w:eastAsia="Times New Roman" w:hAnsi="Times New Roman"/>
                    <w:b/>
                    <w:bCs/>
                    <w:sz w:val="14"/>
                    <w:szCs w:val="14"/>
                    <w:lang w:eastAsia="es-CO"/>
                  </w:rPr>
                </w:pPr>
                <w:r w:rsidRPr="00272876">
                  <w:rPr>
                    <w:rFonts w:ascii="Times New Roman" w:eastAsia="Times New Roman" w:hAnsi="Times New Roman"/>
                    <w:b/>
                    <w:bCs/>
                    <w:sz w:val="14"/>
                    <w:szCs w:val="14"/>
                    <w:lang w:eastAsia="es-CO"/>
                  </w:rPr>
                  <w:t xml:space="preserve">45.950.225 </w:t>
                </w:r>
              </w:p>
            </w:tc>
            <w:tc>
              <w:tcPr>
                <w:tcW w:w="566" w:type="pct"/>
                <w:tcBorders>
                  <w:top w:val="single" w:sz="4" w:space="0" w:color="A6A6A6"/>
                  <w:left w:val="nil"/>
                  <w:bottom w:val="single" w:sz="4" w:space="0" w:color="A6A6A6"/>
                  <w:right w:val="single" w:sz="4" w:space="0" w:color="A6A6A6"/>
                </w:tcBorders>
                <w:shd w:val="clear" w:color="auto" w:fill="auto"/>
                <w:noWrap/>
                <w:vAlign w:val="center"/>
                <w:hideMark/>
              </w:tcPr>
              <w:p w14:paraId="676A7DD9" w14:textId="77777777" w:rsidR="00272876" w:rsidRPr="00272876" w:rsidRDefault="00272876" w:rsidP="00272876">
                <w:pPr>
                  <w:spacing w:after="0" w:line="240" w:lineRule="auto"/>
                  <w:jc w:val="right"/>
                  <w:rPr>
                    <w:rFonts w:ascii="Times New Roman" w:eastAsia="Times New Roman" w:hAnsi="Times New Roman"/>
                    <w:b/>
                    <w:bCs/>
                    <w:sz w:val="14"/>
                    <w:szCs w:val="14"/>
                    <w:lang w:eastAsia="es-CO"/>
                  </w:rPr>
                </w:pPr>
                <w:r w:rsidRPr="00272876">
                  <w:rPr>
                    <w:rFonts w:ascii="Times New Roman" w:eastAsia="Times New Roman" w:hAnsi="Times New Roman"/>
                    <w:b/>
                    <w:bCs/>
                    <w:sz w:val="14"/>
                    <w:szCs w:val="14"/>
                    <w:lang w:eastAsia="es-CO"/>
                  </w:rPr>
                  <w:t xml:space="preserve">317.466.787.994 </w:t>
                </w:r>
              </w:p>
            </w:tc>
            <w:tc>
              <w:tcPr>
                <w:tcW w:w="163" w:type="pct"/>
                <w:tcBorders>
                  <w:top w:val="single" w:sz="4" w:space="0" w:color="A6A6A6"/>
                  <w:left w:val="nil"/>
                  <w:bottom w:val="single" w:sz="4" w:space="0" w:color="A6A6A6"/>
                  <w:right w:val="single" w:sz="4" w:space="0" w:color="A6A6A6"/>
                </w:tcBorders>
                <w:shd w:val="clear" w:color="auto" w:fill="auto"/>
                <w:noWrap/>
                <w:vAlign w:val="center"/>
                <w:hideMark/>
              </w:tcPr>
              <w:p w14:paraId="7B6AE710" w14:textId="77777777" w:rsidR="00272876" w:rsidRPr="00272876" w:rsidRDefault="00272876" w:rsidP="00272876">
                <w:pPr>
                  <w:spacing w:after="0" w:line="240" w:lineRule="auto"/>
                  <w:jc w:val="center"/>
                  <w:rPr>
                    <w:rFonts w:ascii="Times New Roman" w:eastAsia="Times New Roman" w:hAnsi="Times New Roman"/>
                    <w:b/>
                    <w:bCs/>
                    <w:sz w:val="14"/>
                    <w:szCs w:val="14"/>
                    <w:lang w:eastAsia="es-CO"/>
                  </w:rPr>
                </w:pPr>
                <w:r w:rsidRPr="00272876">
                  <w:rPr>
                    <w:rFonts w:ascii="Times New Roman" w:eastAsia="Times New Roman" w:hAnsi="Times New Roman"/>
                    <w:b/>
                    <w:bCs/>
                    <w:sz w:val="14"/>
                    <w:szCs w:val="14"/>
                    <w:lang w:eastAsia="es-CO"/>
                  </w:rPr>
                  <w:t xml:space="preserve">82 </w:t>
                </w:r>
              </w:p>
            </w:tc>
            <w:tc>
              <w:tcPr>
                <w:tcW w:w="529" w:type="pct"/>
                <w:tcBorders>
                  <w:top w:val="single" w:sz="4" w:space="0" w:color="A6A6A6"/>
                  <w:left w:val="nil"/>
                  <w:bottom w:val="single" w:sz="4" w:space="0" w:color="A6A6A6"/>
                  <w:right w:val="single" w:sz="4" w:space="0" w:color="A6A6A6"/>
                </w:tcBorders>
                <w:shd w:val="clear" w:color="auto" w:fill="auto"/>
                <w:noWrap/>
                <w:vAlign w:val="center"/>
                <w:hideMark/>
              </w:tcPr>
              <w:p w14:paraId="4F2F4CF8" w14:textId="77777777" w:rsidR="00272876" w:rsidRPr="00272876" w:rsidRDefault="00272876" w:rsidP="00272876">
                <w:pPr>
                  <w:spacing w:after="0" w:line="240" w:lineRule="auto"/>
                  <w:jc w:val="right"/>
                  <w:rPr>
                    <w:rFonts w:ascii="Times New Roman" w:eastAsia="Times New Roman" w:hAnsi="Times New Roman"/>
                    <w:b/>
                    <w:bCs/>
                    <w:sz w:val="14"/>
                    <w:szCs w:val="14"/>
                    <w:lang w:eastAsia="es-CO"/>
                  </w:rPr>
                </w:pPr>
                <w:r w:rsidRPr="00272876">
                  <w:rPr>
                    <w:rFonts w:ascii="Times New Roman" w:eastAsia="Times New Roman" w:hAnsi="Times New Roman"/>
                    <w:b/>
                    <w:bCs/>
                    <w:sz w:val="14"/>
                    <w:szCs w:val="14"/>
                    <w:lang w:eastAsia="es-CO"/>
                  </w:rPr>
                  <w:t xml:space="preserve">69.838.240.600 </w:t>
                </w:r>
              </w:p>
            </w:tc>
          </w:tr>
          <w:tr w:rsidR="00AB2819" w:rsidRPr="00272876" w14:paraId="4E54D0E0" w14:textId="77777777" w:rsidTr="00823F48">
            <w:trPr>
              <w:trHeight w:val="310"/>
            </w:trPr>
            <w:tc>
              <w:tcPr>
                <w:tcW w:w="811" w:type="pct"/>
                <w:tcBorders>
                  <w:top w:val="nil"/>
                  <w:left w:val="single" w:sz="4" w:space="0" w:color="A6A6A6"/>
                  <w:bottom w:val="single" w:sz="4" w:space="0" w:color="A6A6A6"/>
                  <w:right w:val="single" w:sz="4" w:space="0" w:color="A6A6A6"/>
                </w:tcBorders>
                <w:shd w:val="clear" w:color="auto" w:fill="auto"/>
                <w:vAlign w:val="center"/>
                <w:hideMark/>
              </w:tcPr>
              <w:p w14:paraId="33EFA6CA" w14:textId="77777777" w:rsidR="00272876" w:rsidRPr="00272876" w:rsidRDefault="00272876" w:rsidP="00272876">
                <w:pPr>
                  <w:spacing w:after="0" w:line="240" w:lineRule="auto"/>
                  <w:rPr>
                    <w:rFonts w:ascii="Times New Roman" w:eastAsia="Times New Roman" w:hAnsi="Times New Roman"/>
                    <w:sz w:val="14"/>
                    <w:szCs w:val="14"/>
                    <w:lang w:eastAsia="es-CO"/>
                  </w:rPr>
                </w:pPr>
                <w:r w:rsidRPr="00272876">
                  <w:rPr>
                    <w:rFonts w:ascii="Times New Roman" w:eastAsia="Times New Roman" w:hAnsi="Times New Roman"/>
                    <w:sz w:val="14"/>
                    <w:szCs w:val="14"/>
                    <w:lang w:eastAsia="es-CO"/>
                  </w:rPr>
                  <w:t>Sentencias, laudos arbitrales y conciliaciones extrajudiciales a favor</w:t>
                </w:r>
              </w:p>
            </w:tc>
            <w:tc>
              <w:tcPr>
                <w:tcW w:w="277" w:type="pct"/>
                <w:tcBorders>
                  <w:top w:val="nil"/>
                  <w:left w:val="nil"/>
                  <w:bottom w:val="single" w:sz="4" w:space="0" w:color="A6A6A6"/>
                  <w:right w:val="single" w:sz="4" w:space="0" w:color="A6A6A6"/>
                </w:tcBorders>
                <w:shd w:val="clear" w:color="auto" w:fill="auto"/>
                <w:noWrap/>
                <w:vAlign w:val="center"/>
                <w:hideMark/>
              </w:tcPr>
              <w:p w14:paraId="0BDE6FA0" w14:textId="77777777" w:rsidR="00272876" w:rsidRPr="00272876" w:rsidRDefault="00272876" w:rsidP="00272876">
                <w:pPr>
                  <w:spacing w:after="0" w:line="240" w:lineRule="auto"/>
                  <w:jc w:val="right"/>
                  <w:rPr>
                    <w:rFonts w:ascii="Times New Roman" w:eastAsia="Times New Roman" w:hAnsi="Times New Roman"/>
                    <w:sz w:val="14"/>
                    <w:szCs w:val="14"/>
                    <w:lang w:eastAsia="es-CO"/>
                  </w:rPr>
                </w:pPr>
                <w:r w:rsidRPr="00272876">
                  <w:rPr>
                    <w:rFonts w:ascii="Times New Roman" w:eastAsia="Times New Roman" w:hAnsi="Times New Roman"/>
                    <w:sz w:val="14"/>
                    <w:szCs w:val="14"/>
                    <w:lang w:eastAsia="es-CO"/>
                  </w:rPr>
                  <w:t xml:space="preserve">0 </w:t>
                </w:r>
              </w:p>
            </w:tc>
            <w:tc>
              <w:tcPr>
                <w:tcW w:w="566" w:type="pct"/>
                <w:tcBorders>
                  <w:top w:val="nil"/>
                  <w:left w:val="nil"/>
                  <w:bottom w:val="single" w:sz="4" w:space="0" w:color="A6A6A6"/>
                  <w:right w:val="single" w:sz="4" w:space="0" w:color="A6A6A6"/>
                </w:tcBorders>
                <w:shd w:val="clear" w:color="auto" w:fill="auto"/>
                <w:noWrap/>
                <w:vAlign w:val="center"/>
                <w:hideMark/>
              </w:tcPr>
              <w:p w14:paraId="6F6CF13D" w14:textId="77777777" w:rsidR="00272876" w:rsidRPr="00272876" w:rsidRDefault="00272876" w:rsidP="00272876">
                <w:pPr>
                  <w:spacing w:after="0" w:line="240" w:lineRule="auto"/>
                  <w:jc w:val="right"/>
                  <w:rPr>
                    <w:rFonts w:ascii="Times New Roman" w:eastAsia="Times New Roman" w:hAnsi="Times New Roman"/>
                    <w:sz w:val="14"/>
                    <w:szCs w:val="14"/>
                    <w:lang w:eastAsia="es-CO"/>
                  </w:rPr>
                </w:pPr>
                <w:r w:rsidRPr="00272876">
                  <w:rPr>
                    <w:rFonts w:ascii="Times New Roman" w:eastAsia="Times New Roman" w:hAnsi="Times New Roman"/>
                    <w:sz w:val="14"/>
                    <w:szCs w:val="14"/>
                    <w:lang w:eastAsia="es-CO"/>
                  </w:rPr>
                  <w:t xml:space="preserve">384.588.158.996 </w:t>
                </w:r>
              </w:p>
            </w:tc>
            <w:tc>
              <w:tcPr>
                <w:tcW w:w="573" w:type="pct"/>
                <w:tcBorders>
                  <w:top w:val="nil"/>
                  <w:left w:val="nil"/>
                  <w:bottom w:val="single" w:sz="4" w:space="0" w:color="A6A6A6"/>
                  <w:right w:val="single" w:sz="4" w:space="0" w:color="A6A6A6"/>
                </w:tcBorders>
                <w:shd w:val="clear" w:color="auto" w:fill="auto"/>
                <w:noWrap/>
                <w:vAlign w:val="center"/>
                <w:hideMark/>
              </w:tcPr>
              <w:p w14:paraId="416FA021" w14:textId="77777777" w:rsidR="00272876" w:rsidRPr="00272876" w:rsidRDefault="00272876" w:rsidP="00272876">
                <w:pPr>
                  <w:spacing w:after="0" w:line="240" w:lineRule="auto"/>
                  <w:jc w:val="right"/>
                  <w:rPr>
                    <w:rFonts w:ascii="Times New Roman" w:eastAsia="Times New Roman" w:hAnsi="Times New Roman"/>
                    <w:sz w:val="14"/>
                    <w:szCs w:val="14"/>
                    <w:lang w:eastAsia="es-CO"/>
                  </w:rPr>
                </w:pPr>
                <w:r w:rsidRPr="00272876">
                  <w:rPr>
                    <w:rFonts w:ascii="Times New Roman" w:eastAsia="Times New Roman" w:hAnsi="Times New Roman"/>
                    <w:sz w:val="14"/>
                    <w:szCs w:val="14"/>
                    <w:lang w:eastAsia="es-CO"/>
                  </w:rPr>
                  <w:t xml:space="preserve">384.588.158.996 </w:t>
                </w:r>
              </w:p>
            </w:tc>
            <w:tc>
              <w:tcPr>
                <w:tcW w:w="529" w:type="pct"/>
                <w:tcBorders>
                  <w:top w:val="nil"/>
                  <w:left w:val="nil"/>
                  <w:bottom w:val="single" w:sz="4" w:space="0" w:color="A6A6A6"/>
                  <w:right w:val="single" w:sz="4" w:space="0" w:color="A6A6A6"/>
                </w:tcBorders>
                <w:shd w:val="clear" w:color="auto" w:fill="auto"/>
                <w:noWrap/>
                <w:vAlign w:val="center"/>
                <w:hideMark/>
              </w:tcPr>
              <w:p w14:paraId="725EEC46" w14:textId="77777777" w:rsidR="00272876" w:rsidRPr="00272876" w:rsidRDefault="00272876" w:rsidP="00272876">
                <w:pPr>
                  <w:spacing w:after="0" w:line="240" w:lineRule="auto"/>
                  <w:jc w:val="right"/>
                  <w:rPr>
                    <w:rFonts w:ascii="Times New Roman" w:eastAsia="Times New Roman" w:hAnsi="Times New Roman"/>
                    <w:sz w:val="14"/>
                    <w:szCs w:val="14"/>
                    <w:lang w:eastAsia="es-CO"/>
                  </w:rPr>
                </w:pPr>
                <w:r w:rsidRPr="00272876">
                  <w:rPr>
                    <w:rFonts w:ascii="Times New Roman" w:eastAsia="Times New Roman" w:hAnsi="Times New Roman"/>
                    <w:sz w:val="14"/>
                    <w:szCs w:val="14"/>
                    <w:lang w:eastAsia="es-CO"/>
                  </w:rPr>
                  <w:t xml:space="preserve">29.576.120.108 </w:t>
                </w:r>
              </w:p>
            </w:tc>
            <w:tc>
              <w:tcPr>
                <w:tcW w:w="579" w:type="pct"/>
                <w:tcBorders>
                  <w:top w:val="nil"/>
                  <w:left w:val="nil"/>
                  <w:bottom w:val="single" w:sz="4" w:space="0" w:color="A6A6A6"/>
                  <w:right w:val="single" w:sz="4" w:space="0" w:color="A6A6A6"/>
                </w:tcBorders>
                <w:shd w:val="clear" w:color="auto" w:fill="auto"/>
                <w:noWrap/>
                <w:vAlign w:val="center"/>
                <w:hideMark/>
              </w:tcPr>
              <w:p w14:paraId="3E9B34E9" w14:textId="77777777" w:rsidR="00272876" w:rsidRPr="00272876" w:rsidRDefault="00272876" w:rsidP="00272876">
                <w:pPr>
                  <w:spacing w:after="0" w:line="240" w:lineRule="auto"/>
                  <w:jc w:val="right"/>
                  <w:rPr>
                    <w:rFonts w:ascii="Times New Roman" w:eastAsia="Times New Roman" w:hAnsi="Times New Roman"/>
                    <w:sz w:val="14"/>
                    <w:szCs w:val="14"/>
                    <w:lang w:eastAsia="es-CO"/>
                  </w:rPr>
                </w:pPr>
                <w:r w:rsidRPr="00272876">
                  <w:rPr>
                    <w:rFonts w:ascii="Times New Roman" w:eastAsia="Times New Roman" w:hAnsi="Times New Roman"/>
                    <w:sz w:val="14"/>
                    <w:szCs w:val="14"/>
                    <w:lang w:eastAsia="es-CO"/>
                  </w:rPr>
                  <w:t xml:space="preserve">285.685.647.000 </w:t>
                </w:r>
              </w:p>
            </w:tc>
            <w:tc>
              <w:tcPr>
                <w:tcW w:w="408" w:type="pct"/>
                <w:tcBorders>
                  <w:top w:val="nil"/>
                  <w:left w:val="nil"/>
                  <w:bottom w:val="single" w:sz="4" w:space="0" w:color="A6A6A6"/>
                  <w:right w:val="single" w:sz="4" w:space="0" w:color="A6A6A6"/>
                </w:tcBorders>
                <w:shd w:val="clear" w:color="auto" w:fill="auto"/>
                <w:noWrap/>
                <w:vAlign w:val="center"/>
                <w:hideMark/>
              </w:tcPr>
              <w:p w14:paraId="6349B5AB" w14:textId="77777777" w:rsidR="00272876" w:rsidRPr="00272876" w:rsidRDefault="00272876" w:rsidP="00272876">
                <w:pPr>
                  <w:spacing w:after="0" w:line="240" w:lineRule="auto"/>
                  <w:jc w:val="right"/>
                  <w:rPr>
                    <w:rFonts w:ascii="Times New Roman" w:eastAsia="Times New Roman" w:hAnsi="Times New Roman"/>
                    <w:sz w:val="14"/>
                    <w:szCs w:val="14"/>
                    <w:lang w:eastAsia="es-CO"/>
                  </w:rPr>
                </w:pPr>
                <w:r w:rsidRPr="00272876">
                  <w:rPr>
                    <w:rFonts w:ascii="Times New Roman" w:eastAsia="Times New Roman" w:hAnsi="Times New Roman"/>
                    <w:sz w:val="14"/>
                    <w:szCs w:val="14"/>
                    <w:lang w:eastAsia="es-CO"/>
                  </w:rPr>
                  <w:t xml:space="preserve">0 </w:t>
                </w:r>
              </w:p>
            </w:tc>
            <w:tc>
              <w:tcPr>
                <w:tcW w:w="566" w:type="pct"/>
                <w:tcBorders>
                  <w:top w:val="nil"/>
                  <w:left w:val="nil"/>
                  <w:bottom w:val="single" w:sz="4" w:space="0" w:color="A6A6A6"/>
                  <w:right w:val="single" w:sz="4" w:space="0" w:color="A6A6A6"/>
                </w:tcBorders>
                <w:shd w:val="clear" w:color="auto" w:fill="auto"/>
                <w:noWrap/>
                <w:vAlign w:val="center"/>
                <w:hideMark/>
              </w:tcPr>
              <w:p w14:paraId="1DCB57F6" w14:textId="77777777" w:rsidR="00272876" w:rsidRPr="00272876" w:rsidRDefault="00272876" w:rsidP="00272876">
                <w:pPr>
                  <w:spacing w:after="0" w:line="240" w:lineRule="auto"/>
                  <w:jc w:val="right"/>
                  <w:rPr>
                    <w:rFonts w:ascii="Times New Roman" w:eastAsia="Times New Roman" w:hAnsi="Times New Roman"/>
                    <w:sz w:val="14"/>
                    <w:szCs w:val="14"/>
                    <w:lang w:eastAsia="es-CO"/>
                  </w:rPr>
                </w:pPr>
                <w:r w:rsidRPr="00272876">
                  <w:rPr>
                    <w:rFonts w:ascii="Times New Roman" w:eastAsia="Times New Roman" w:hAnsi="Times New Roman"/>
                    <w:sz w:val="14"/>
                    <w:szCs w:val="14"/>
                    <w:lang w:eastAsia="es-CO"/>
                  </w:rPr>
                  <w:t xml:space="preserve">315.261.767.108 </w:t>
                </w:r>
              </w:p>
            </w:tc>
            <w:tc>
              <w:tcPr>
                <w:tcW w:w="163" w:type="pct"/>
                <w:tcBorders>
                  <w:top w:val="nil"/>
                  <w:left w:val="nil"/>
                  <w:bottom w:val="single" w:sz="4" w:space="0" w:color="A6A6A6"/>
                  <w:right w:val="single" w:sz="4" w:space="0" w:color="A6A6A6"/>
                </w:tcBorders>
                <w:shd w:val="clear" w:color="auto" w:fill="auto"/>
                <w:noWrap/>
                <w:vAlign w:val="center"/>
                <w:hideMark/>
              </w:tcPr>
              <w:p w14:paraId="1CFA2EFE" w14:textId="77777777" w:rsidR="00272876" w:rsidRPr="00272876" w:rsidRDefault="00272876" w:rsidP="00272876">
                <w:pPr>
                  <w:spacing w:after="0" w:line="240" w:lineRule="auto"/>
                  <w:jc w:val="center"/>
                  <w:rPr>
                    <w:rFonts w:ascii="Times New Roman" w:eastAsia="Times New Roman" w:hAnsi="Times New Roman"/>
                    <w:sz w:val="14"/>
                    <w:szCs w:val="14"/>
                    <w:lang w:eastAsia="es-CO"/>
                  </w:rPr>
                </w:pPr>
                <w:r w:rsidRPr="00272876">
                  <w:rPr>
                    <w:rFonts w:ascii="Times New Roman" w:eastAsia="Times New Roman" w:hAnsi="Times New Roman"/>
                    <w:sz w:val="14"/>
                    <w:szCs w:val="14"/>
                    <w:lang w:eastAsia="es-CO"/>
                  </w:rPr>
                  <w:t xml:space="preserve">82 </w:t>
                </w:r>
              </w:p>
            </w:tc>
            <w:tc>
              <w:tcPr>
                <w:tcW w:w="529" w:type="pct"/>
                <w:tcBorders>
                  <w:top w:val="nil"/>
                  <w:left w:val="nil"/>
                  <w:bottom w:val="single" w:sz="4" w:space="0" w:color="A6A6A6"/>
                  <w:right w:val="single" w:sz="4" w:space="0" w:color="A6A6A6"/>
                </w:tcBorders>
                <w:shd w:val="clear" w:color="auto" w:fill="auto"/>
                <w:noWrap/>
                <w:vAlign w:val="center"/>
                <w:hideMark/>
              </w:tcPr>
              <w:p w14:paraId="44E989B5" w14:textId="77777777" w:rsidR="00272876" w:rsidRPr="00272876" w:rsidRDefault="00272876" w:rsidP="00272876">
                <w:pPr>
                  <w:spacing w:after="0" w:line="240" w:lineRule="auto"/>
                  <w:jc w:val="right"/>
                  <w:rPr>
                    <w:rFonts w:ascii="Times New Roman" w:eastAsia="Times New Roman" w:hAnsi="Times New Roman"/>
                    <w:sz w:val="14"/>
                    <w:szCs w:val="14"/>
                    <w:lang w:eastAsia="es-CO"/>
                  </w:rPr>
                </w:pPr>
                <w:r w:rsidRPr="00272876">
                  <w:rPr>
                    <w:rFonts w:ascii="Times New Roman" w:eastAsia="Times New Roman" w:hAnsi="Times New Roman"/>
                    <w:sz w:val="14"/>
                    <w:szCs w:val="14"/>
                    <w:lang w:eastAsia="es-CO"/>
                  </w:rPr>
                  <w:t xml:space="preserve">69.326.391.888 </w:t>
                </w:r>
              </w:p>
            </w:tc>
          </w:tr>
          <w:tr w:rsidR="00AB2819" w:rsidRPr="00272876" w14:paraId="63E96909" w14:textId="77777777" w:rsidTr="00823F48">
            <w:trPr>
              <w:trHeight w:val="310"/>
            </w:trPr>
            <w:tc>
              <w:tcPr>
                <w:tcW w:w="811" w:type="pct"/>
                <w:tcBorders>
                  <w:top w:val="single" w:sz="4" w:space="0" w:color="A6A6A6"/>
                  <w:left w:val="single" w:sz="4" w:space="0" w:color="A6A6A6"/>
                  <w:bottom w:val="single" w:sz="4" w:space="0" w:color="A6A6A6"/>
                  <w:right w:val="nil"/>
                </w:tcBorders>
                <w:shd w:val="clear" w:color="auto" w:fill="auto"/>
                <w:vAlign w:val="center"/>
                <w:hideMark/>
              </w:tcPr>
              <w:p w14:paraId="26DDFF56" w14:textId="77777777" w:rsidR="00272876" w:rsidRPr="00272876" w:rsidRDefault="00272876" w:rsidP="00272876">
                <w:pPr>
                  <w:spacing w:after="0" w:line="240" w:lineRule="auto"/>
                  <w:rPr>
                    <w:rFonts w:ascii="Times New Roman" w:eastAsia="Times New Roman" w:hAnsi="Times New Roman"/>
                    <w:sz w:val="14"/>
                    <w:szCs w:val="14"/>
                    <w:lang w:eastAsia="es-CO"/>
                  </w:rPr>
                </w:pPr>
                <w:r w:rsidRPr="00272876">
                  <w:rPr>
                    <w:rFonts w:ascii="Times New Roman" w:eastAsia="Times New Roman" w:hAnsi="Times New Roman"/>
                    <w:sz w:val="14"/>
                    <w:szCs w:val="14"/>
                    <w:lang w:eastAsia="es-CO"/>
                  </w:rPr>
                  <w:t>Otras cuentas por cobrar de difícil recaudo</w:t>
                </w:r>
              </w:p>
            </w:tc>
            <w:tc>
              <w:tcPr>
                <w:tcW w:w="277" w:type="pct"/>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2D99578A" w14:textId="77777777" w:rsidR="00272876" w:rsidRPr="00272876" w:rsidRDefault="00272876" w:rsidP="00272876">
                <w:pPr>
                  <w:spacing w:after="0" w:line="240" w:lineRule="auto"/>
                  <w:jc w:val="right"/>
                  <w:rPr>
                    <w:rFonts w:ascii="Times New Roman" w:eastAsia="Times New Roman" w:hAnsi="Times New Roman"/>
                    <w:sz w:val="14"/>
                    <w:szCs w:val="14"/>
                    <w:lang w:eastAsia="es-CO"/>
                  </w:rPr>
                </w:pPr>
                <w:r w:rsidRPr="00272876">
                  <w:rPr>
                    <w:rFonts w:ascii="Times New Roman" w:eastAsia="Times New Roman" w:hAnsi="Times New Roman"/>
                    <w:sz w:val="14"/>
                    <w:szCs w:val="14"/>
                    <w:lang w:eastAsia="es-CO"/>
                  </w:rPr>
                  <w:t xml:space="preserve">0 </w:t>
                </w:r>
              </w:p>
            </w:tc>
            <w:tc>
              <w:tcPr>
                <w:tcW w:w="566" w:type="pct"/>
                <w:tcBorders>
                  <w:top w:val="single" w:sz="4" w:space="0" w:color="A6A6A6"/>
                  <w:left w:val="nil"/>
                  <w:bottom w:val="single" w:sz="4" w:space="0" w:color="A6A6A6"/>
                  <w:right w:val="single" w:sz="4" w:space="0" w:color="A6A6A6"/>
                </w:tcBorders>
                <w:shd w:val="clear" w:color="auto" w:fill="auto"/>
                <w:noWrap/>
                <w:vAlign w:val="center"/>
                <w:hideMark/>
              </w:tcPr>
              <w:p w14:paraId="6EC0260B" w14:textId="77777777" w:rsidR="00272876" w:rsidRPr="00272876" w:rsidRDefault="00272876" w:rsidP="00272876">
                <w:pPr>
                  <w:spacing w:after="0" w:line="240" w:lineRule="auto"/>
                  <w:jc w:val="right"/>
                  <w:rPr>
                    <w:rFonts w:ascii="Times New Roman" w:eastAsia="Times New Roman" w:hAnsi="Times New Roman"/>
                    <w:sz w:val="14"/>
                    <w:szCs w:val="14"/>
                    <w:lang w:eastAsia="es-CO"/>
                  </w:rPr>
                </w:pPr>
                <w:r w:rsidRPr="00272876">
                  <w:rPr>
                    <w:rFonts w:ascii="Times New Roman" w:eastAsia="Times New Roman" w:hAnsi="Times New Roman"/>
                    <w:sz w:val="14"/>
                    <w:szCs w:val="14"/>
                    <w:lang w:eastAsia="es-CO"/>
                  </w:rPr>
                  <w:t xml:space="preserve">2.716.869.598 </w:t>
                </w:r>
              </w:p>
            </w:tc>
            <w:tc>
              <w:tcPr>
                <w:tcW w:w="573" w:type="pct"/>
                <w:tcBorders>
                  <w:top w:val="single" w:sz="4" w:space="0" w:color="A6A6A6"/>
                  <w:left w:val="nil"/>
                  <w:bottom w:val="single" w:sz="4" w:space="0" w:color="A6A6A6"/>
                  <w:right w:val="single" w:sz="4" w:space="0" w:color="A6A6A6"/>
                </w:tcBorders>
                <w:shd w:val="clear" w:color="auto" w:fill="auto"/>
                <w:noWrap/>
                <w:vAlign w:val="center"/>
                <w:hideMark/>
              </w:tcPr>
              <w:p w14:paraId="5C8056D3" w14:textId="77777777" w:rsidR="00272876" w:rsidRPr="00272876" w:rsidRDefault="00272876" w:rsidP="00272876">
                <w:pPr>
                  <w:spacing w:after="0" w:line="240" w:lineRule="auto"/>
                  <w:jc w:val="right"/>
                  <w:rPr>
                    <w:rFonts w:ascii="Times New Roman" w:eastAsia="Times New Roman" w:hAnsi="Times New Roman"/>
                    <w:sz w:val="14"/>
                    <w:szCs w:val="14"/>
                    <w:lang w:eastAsia="es-CO"/>
                  </w:rPr>
                </w:pPr>
                <w:r w:rsidRPr="00272876">
                  <w:rPr>
                    <w:rFonts w:ascii="Times New Roman" w:eastAsia="Times New Roman" w:hAnsi="Times New Roman"/>
                    <w:sz w:val="14"/>
                    <w:szCs w:val="14"/>
                    <w:lang w:eastAsia="es-CO"/>
                  </w:rPr>
                  <w:t xml:space="preserve">2.716.869.598 </w:t>
                </w:r>
              </w:p>
            </w:tc>
            <w:tc>
              <w:tcPr>
                <w:tcW w:w="529" w:type="pct"/>
                <w:tcBorders>
                  <w:top w:val="single" w:sz="4" w:space="0" w:color="A6A6A6"/>
                  <w:left w:val="nil"/>
                  <w:bottom w:val="single" w:sz="4" w:space="0" w:color="A6A6A6"/>
                  <w:right w:val="single" w:sz="4" w:space="0" w:color="A6A6A6"/>
                </w:tcBorders>
                <w:shd w:val="clear" w:color="auto" w:fill="auto"/>
                <w:noWrap/>
                <w:vAlign w:val="center"/>
                <w:hideMark/>
              </w:tcPr>
              <w:p w14:paraId="428FCCF8" w14:textId="77777777" w:rsidR="00272876" w:rsidRPr="00272876" w:rsidRDefault="00272876" w:rsidP="00272876">
                <w:pPr>
                  <w:spacing w:after="0" w:line="240" w:lineRule="auto"/>
                  <w:jc w:val="right"/>
                  <w:rPr>
                    <w:rFonts w:ascii="Times New Roman" w:eastAsia="Times New Roman" w:hAnsi="Times New Roman"/>
                    <w:sz w:val="14"/>
                    <w:szCs w:val="14"/>
                    <w:lang w:eastAsia="es-CO"/>
                  </w:rPr>
                </w:pPr>
                <w:r w:rsidRPr="00272876">
                  <w:rPr>
                    <w:rFonts w:ascii="Times New Roman" w:eastAsia="Times New Roman" w:hAnsi="Times New Roman"/>
                    <w:sz w:val="14"/>
                    <w:szCs w:val="14"/>
                    <w:lang w:eastAsia="es-CO"/>
                  </w:rPr>
                  <w:t xml:space="preserve">2.250.971.111 </w:t>
                </w:r>
              </w:p>
            </w:tc>
            <w:tc>
              <w:tcPr>
                <w:tcW w:w="579" w:type="pct"/>
                <w:tcBorders>
                  <w:top w:val="single" w:sz="4" w:space="0" w:color="A6A6A6"/>
                  <w:left w:val="nil"/>
                  <w:bottom w:val="single" w:sz="4" w:space="0" w:color="A6A6A6"/>
                  <w:right w:val="single" w:sz="4" w:space="0" w:color="A6A6A6"/>
                </w:tcBorders>
                <w:shd w:val="clear" w:color="auto" w:fill="auto"/>
                <w:noWrap/>
                <w:vAlign w:val="center"/>
                <w:hideMark/>
              </w:tcPr>
              <w:p w14:paraId="21B72AA6" w14:textId="77777777" w:rsidR="00272876" w:rsidRPr="00272876" w:rsidRDefault="00272876" w:rsidP="00272876">
                <w:pPr>
                  <w:spacing w:after="0" w:line="240" w:lineRule="auto"/>
                  <w:jc w:val="right"/>
                  <w:rPr>
                    <w:rFonts w:ascii="Times New Roman" w:eastAsia="Times New Roman" w:hAnsi="Times New Roman"/>
                    <w:sz w:val="14"/>
                    <w:szCs w:val="14"/>
                    <w:lang w:eastAsia="es-CO"/>
                  </w:rPr>
                </w:pPr>
                <w:r w:rsidRPr="00272876">
                  <w:rPr>
                    <w:rFonts w:ascii="Times New Roman" w:eastAsia="Times New Roman" w:hAnsi="Times New Roman"/>
                    <w:sz w:val="14"/>
                    <w:szCs w:val="14"/>
                    <w:lang w:eastAsia="es-CO"/>
                  </w:rPr>
                  <w:t xml:space="preserve">0 </w:t>
                </w:r>
              </w:p>
            </w:tc>
            <w:tc>
              <w:tcPr>
                <w:tcW w:w="408" w:type="pct"/>
                <w:tcBorders>
                  <w:top w:val="single" w:sz="4" w:space="0" w:color="A6A6A6"/>
                  <w:left w:val="nil"/>
                  <w:bottom w:val="single" w:sz="4" w:space="0" w:color="A6A6A6"/>
                  <w:right w:val="single" w:sz="4" w:space="0" w:color="A6A6A6"/>
                </w:tcBorders>
                <w:shd w:val="clear" w:color="auto" w:fill="auto"/>
                <w:noWrap/>
                <w:vAlign w:val="center"/>
                <w:hideMark/>
              </w:tcPr>
              <w:p w14:paraId="0AEBF302" w14:textId="77777777" w:rsidR="00272876" w:rsidRPr="00272876" w:rsidRDefault="00272876" w:rsidP="00272876">
                <w:pPr>
                  <w:spacing w:after="0" w:line="240" w:lineRule="auto"/>
                  <w:jc w:val="right"/>
                  <w:rPr>
                    <w:rFonts w:ascii="Times New Roman" w:eastAsia="Times New Roman" w:hAnsi="Times New Roman"/>
                    <w:sz w:val="14"/>
                    <w:szCs w:val="14"/>
                    <w:lang w:eastAsia="es-CO"/>
                  </w:rPr>
                </w:pPr>
                <w:r w:rsidRPr="00272876">
                  <w:rPr>
                    <w:rFonts w:ascii="Times New Roman" w:eastAsia="Times New Roman" w:hAnsi="Times New Roman"/>
                    <w:sz w:val="14"/>
                    <w:szCs w:val="14"/>
                    <w:lang w:eastAsia="es-CO"/>
                  </w:rPr>
                  <w:t xml:space="preserve">45.950.225 </w:t>
                </w:r>
              </w:p>
            </w:tc>
            <w:tc>
              <w:tcPr>
                <w:tcW w:w="566" w:type="pct"/>
                <w:tcBorders>
                  <w:top w:val="single" w:sz="4" w:space="0" w:color="A6A6A6"/>
                  <w:left w:val="nil"/>
                  <w:bottom w:val="single" w:sz="4" w:space="0" w:color="A6A6A6"/>
                  <w:right w:val="single" w:sz="4" w:space="0" w:color="A6A6A6"/>
                </w:tcBorders>
                <w:shd w:val="clear" w:color="auto" w:fill="auto"/>
                <w:noWrap/>
                <w:vAlign w:val="center"/>
                <w:hideMark/>
              </w:tcPr>
              <w:p w14:paraId="18D638E5" w14:textId="77777777" w:rsidR="00272876" w:rsidRPr="00272876" w:rsidRDefault="00272876" w:rsidP="00272876">
                <w:pPr>
                  <w:spacing w:after="0" w:line="240" w:lineRule="auto"/>
                  <w:jc w:val="right"/>
                  <w:rPr>
                    <w:rFonts w:ascii="Times New Roman" w:eastAsia="Times New Roman" w:hAnsi="Times New Roman"/>
                    <w:sz w:val="14"/>
                    <w:szCs w:val="14"/>
                    <w:lang w:eastAsia="es-CO"/>
                  </w:rPr>
                </w:pPr>
                <w:r w:rsidRPr="00272876">
                  <w:rPr>
                    <w:rFonts w:ascii="Times New Roman" w:eastAsia="Times New Roman" w:hAnsi="Times New Roman"/>
                    <w:sz w:val="14"/>
                    <w:szCs w:val="14"/>
                    <w:lang w:eastAsia="es-CO"/>
                  </w:rPr>
                  <w:t xml:space="preserve">2.205.020.886 </w:t>
                </w:r>
              </w:p>
            </w:tc>
            <w:tc>
              <w:tcPr>
                <w:tcW w:w="163" w:type="pct"/>
                <w:tcBorders>
                  <w:top w:val="single" w:sz="4" w:space="0" w:color="A6A6A6"/>
                  <w:left w:val="nil"/>
                  <w:bottom w:val="single" w:sz="4" w:space="0" w:color="A6A6A6"/>
                  <w:right w:val="single" w:sz="4" w:space="0" w:color="A6A6A6"/>
                </w:tcBorders>
                <w:shd w:val="clear" w:color="auto" w:fill="auto"/>
                <w:noWrap/>
                <w:vAlign w:val="center"/>
                <w:hideMark/>
              </w:tcPr>
              <w:p w14:paraId="6D516043" w14:textId="77777777" w:rsidR="00272876" w:rsidRPr="00272876" w:rsidRDefault="00272876" w:rsidP="00272876">
                <w:pPr>
                  <w:spacing w:after="0" w:line="240" w:lineRule="auto"/>
                  <w:jc w:val="center"/>
                  <w:rPr>
                    <w:rFonts w:ascii="Times New Roman" w:eastAsia="Times New Roman" w:hAnsi="Times New Roman"/>
                    <w:sz w:val="14"/>
                    <w:szCs w:val="14"/>
                    <w:lang w:eastAsia="es-CO"/>
                  </w:rPr>
                </w:pPr>
                <w:r w:rsidRPr="00272876">
                  <w:rPr>
                    <w:rFonts w:ascii="Times New Roman" w:eastAsia="Times New Roman" w:hAnsi="Times New Roman"/>
                    <w:sz w:val="14"/>
                    <w:szCs w:val="14"/>
                    <w:lang w:eastAsia="es-CO"/>
                  </w:rPr>
                  <w:t xml:space="preserve">81 </w:t>
                </w:r>
              </w:p>
            </w:tc>
            <w:tc>
              <w:tcPr>
                <w:tcW w:w="529" w:type="pct"/>
                <w:tcBorders>
                  <w:top w:val="single" w:sz="4" w:space="0" w:color="A6A6A6"/>
                  <w:left w:val="nil"/>
                  <w:bottom w:val="single" w:sz="4" w:space="0" w:color="A6A6A6"/>
                  <w:right w:val="single" w:sz="4" w:space="0" w:color="A6A6A6"/>
                </w:tcBorders>
                <w:shd w:val="clear" w:color="auto" w:fill="auto"/>
                <w:noWrap/>
                <w:vAlign w:val="center"/>
                <w:hideMark/>
              </w:tcPr>
              <w:p w14:paraId="65E6D795" w14:textId="77777777" w:rsidR="00272876" w:rsidRPr="00272876" w:rsidRDefault="00272876" w:rsidP="00272876">
                <w:pPr>
                  <w:spacing w:after="0" w:line="240" w:lineRule="auto"/>
                  <w:jc w:val="right"/>
                  <w:rPr>
                    <w:rFonts w:ascii="Times New Roman" w:eastAsia="Times New Roman" w:hAnsi="Times New Roman"/>
                    <w:sz w:val="14"/>
                    <w:szCs w:val="14"/>
                    <w:lang w:eastAsia="es-CO"/>
                  </w:rPr>
                </w:pPr>
                <w:r w:rsidRPr="00272876">
                  <w:rPr>
                    <w:rFonts w:ascii="Times New Roman" w:eastAsia="Times New Roman" w:hAnsi="Times New Roman"/>
                    <w:sz w:val="14"/>
                    <w:szCs w:val="14"/>
                    <w:lang w:eastAsia="es-CO"/>
                  </w:rPr>
                  <w:t xml:space="preserve">511.848.712 </w:t>
                </w:r>
              </w:p>
            </w:tc>
          </w:tr>
        </w:tbl>
        <w:p w14:paraId="650194F3" w14:textId="03BF65CE" w:rsidR="00153ACC" w:rsidRPr="00931DCE" w:rsidRDefault="00AD2026" w:rsidP="00153ACC">
          <w:pPr>
            <w:pStyle w:val="2"/>
            <w:rPr>
              <w:rFonts w:ascii="Times New Roman" w:hAnsi="Times New Roman"/>
              <w:sz w:val="14"/>
              <w:szCs w:val="14"/>
            </w:rPr>
          </w:pPr>
          <w:r w:rsidRPr="00931DCE">
            <w:rPr>
              <w:rFonts w:ascii="Times New Roman" w:hAnsi="Times New Roman"/>
              <w:sz w:val="14"/>
              <w:szCs w:val="14"/>
            </w:rPr>
            <w:t>Cifras expresadas en pesos</w:t>
          </w:r>
        </w:p>
        <w:p w14:paraId="4A7114AC" w14:textId="77777777" w:rsidR="008C4B3F" w:rsidRDefault="008C4B3F" w:rsidP="00663ED8">
          <w:pPr>
            <w:spacing w:after="0" w:line="240" w:lineRule="auto"/>
            <w:rPr>
              <w:rFonts w:ascii="Times New Roman" w:hAnsi="Times New Roman"/>
              <w:sz w:val="24"/>
              <w:szCs w:val="24"/>
              <w:highlight w:val="darkGreen"/>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847"/>
            <w:gridCol w:w="994"/>
            <w:gridCol w:w="988"/>
            <w:gridCol w:w="996"/>
            <w:gridCol w:w="850"/>
            <w:gridCol w:w="1419"/>
            <w:gridCol w:w="1275"/>
            <w:gridCol w:w="1600"/>
          </w:tblGrid>
          <w:tr w:rsidR="00667C9A" w14:paraId="6635B7DF" w14:textId="77777777" w:rsidTr="00674E9E">
            <w:trPr>
              <w:trHeight w:val="437"/>
            </w:trPr>
            <w:tc>
              <w:tcPr>
                <w:tcW w:w="1026" w:type="pct"/>
                <w:gridSpan w:val="2"/>
                <w:shd w:val="clear" w:color="auto" w:fill="auto"/>
                <w:vAlign w:val="center"/>
                <w:hideMark/>
              </w:tcPr>
              <w:p w14:paraId="2302201C" w14:textId="225AD1BD" w:rsidR="00667C9A" w:rsidRDefault="00504701">
                <w:pPr>
                  <w:spacing w:after="0" w:line="240" w:lineRule="auto"/>
                  <w:jc w:val="center"/>
                  <w:rPr>
                    <w:rFonts w:ascii="Times New Roman" w:eastAsia="Times New Roman" w:hAnsi="Times New Roman"/>
                    <w:b/>
                    <w:bCs/>
                    <w:color w:val="000000"/>
                    <w:sz w:val="14"/>
                    <w:szCs w:val="14"/>
                    <w:lang w:eastAsia="es-CO"/>
                  </w:rPr>
                </w:pPr>
                <w:r w:rsidRPr="009A46BB">
                  <w:rPr>
                    <w:rFonts w:ascii="Times New Roman" w:eastAsia="Times New Roman" w:hAnsi="Times New Roman"/>
                    <w:b/>
                    <w:bCs/>
                    <w:color w:val="000000"/>
                    <w:sz w:val="14"/>
                    <w:szCs w:val="14"/>
                    <w:lang w:eastAsia="es-CO"/>
                  </w:rPr>
                  <w:t>TTERCERO</w:t>
                </w:r>
              </w:p>
            </w:tc>
            <w:tc>
              <w:tcPr>
                <w:tcW w:w="551" w:type="pct"/>
                <w:shd w:val="clear" w:color="auto" w:fill="auto"/>
                <w:vAlign w:val="center"/>
                <w:hideMark/>
              </w:tcPr>
              <w:p w14:paraId="39E7C6BA" w14:textId="77777777" w:rsidR="00504701" w:rsidRPr="009A46BB" w:rsidRDefault="00876054">
                <w:pPr>
                  <w:spacing w:after="0" w:line="240" w:lineRule="auto"/>
                  <w:jc w:val="center"/>
                  <w:rPr>
                    <w:rFonts w:ascii="Times New Roman" w:eastAsia="Times New Roman" w:hAnsi="Times New Roman"/>
                    <w:b/>
                    <w:bCs/>
                    <w:color w:val="000000"/>
                    <w:sz w:val="14"/>
                    <w:szCs w:val="14"/>
                    <w:lang w:eastAsia="es-CO"/>
                  </w:rPr>
                </w:pPr>
                <w:r>
                  <w:rPr>
                    <w:rFonts w:ascii="Times New Roman" w:eastAsia="Times New Roman" w:hAnsi="Times New Roman"/>
                    <w:b/>
                    <w:bCs/>
                    <w:color w:val="000000"/>
                    <w:sz w:val="14"/>
                    <w:szCs w:val="14"/>
                    <w:lang w:eastAsia="es-CO"/>
                  </w:rPr>
                  <w:t xml:space="preserve">VALOR </w:t>
                </w:r>
              </w:p>
              <w:p w14:paraId="2396A5DE" w14:textId="515B62BD" w:rsidR="00667C9A" w:rsidRDefault="00876054">
                <w:pPr>
                  <w:spacing w:after="0" w:line="240" w:lineRule="auto"/>
                  <w:jc w:val="center"/>
                  <w:rPr>
                    <w:rFonts w:ascii="Times New Roman" w:eastAsia="Times New Roman" w:hAnsi="Times New Roman"/>
                    <w:b/>
                    <w:bCs/>
                    <w:color w:val="000000"/>
                    <w:sz w:val="14"/>
                    <w:szCs w:val="14"/>
                    <w:lang w:eastAsia="es-CO"/>
                  </w:rPr>
                </w:pPr>
                <w:r>
                  <w:rPr>
                    <w:rFonts w:ascii="Times New Roman" w:eastAsia="Times New Roman" w:hAnsi="Times New Roman"/>
                    <w:b/>
                    <w:bCs/>
                    <w:color w:val="000000"/>
                    <w:sz w:val="14"/>
                    <w:szCs w:val="14"/>
                    <w:lang w:eastAsia="es-CO"/>
                  </w:rPr>
                  <w:t>31-12-2023</w:t>
                </w:r>
              </w:p>
            </w:tc>
            <w:tc>
              <w:tcPr>
                <w:tcW w:w="555" w:type="pct"/>
                <w:shd w:val="clear" w:color="auto" w:fill="auto"/>
                <w:vAlign w:val="center"/>
                <w:hideMark/>
              </w:tcPr>
              <w:p w14:paraId="65660B5D" w14:textId="7DD04C80" w:rsidR="00667C9A" w:rsidRDefault="00876054">
                <w:pPr>
                  <w:spacing w:after="0" w:line="240" w:lineRule="auto"/>
                  <w:jc w:val="center"/>
                  <w:rPr>
                    <w:rFonts w:ascii="Times New Roman" w:eastAsia="Times New Roman" w:hAnsi="Times New Roman"/>
                    <w:b/>
                    <w:bCs/>
                    <w:color w:val="000000"/>
                    <w:sz w:val="14"/>
                    <w:szCs w:val="14"/>
                    <w:lang w:eastAsia="es-CO"/>
                  </w:rPr>
                </w:pPr>
                <w:r>
                  <w:rPr>
                    <w:rFonts w:ascii="Times New Roman" w:eastAsia="Times New Roman" w:hAnsi="Times New Roman"/>
                    <w:b/>
                    <w:bCs/>
                    <w:color w:val="000000"/>
                    <w:sz w:val="14"/>
                    <w:szCs w:val="14"/>
                    <w:lang w:eastAsia="es-CO"/>
                  </w:rPr>
                  <w:t xml:space="preserve">FECHA RESOLUCION </w:t>
                </w:r>
              </w:p>
            </w:tc>
            <w:tc>
              <w:tcPr>
                <w:tcW w:w="474" w:type="pct"/>
                <w:shd w:val="clear" w:color="auto" w:fill="auto"/>
                <w:vAlign w:val="center"/>
                <w:hideMark/>
              </w:tcPr>
              <w:p w14:paraId="16CEE733" w14:textId="72D3B992" w:rsidR="00667C9A" w:rsidRDefault="00876054">
                <w:pPr>
                  <w:spacing w:after="0" w:line="240" w:lineRule="auto"/>
                  <w:jc w:val="center"/>
                  <w:rPr>
                    <w:rFonts w:ascii="Times New Roman" w:eastAsia="Times New Roman" w:hAnsi="Times New Roman"/>
                    <w:b/>
                    <w:bCs/>
                    <w:color w:val="000000"/>
                    <w:sz w:val="14"/>
                    <w:szCs w:val="14"/>
                    <w:lang w:eastAsia="es-CO"/>
                  </w:rPr>
                </w:pPr>
                <w:r>
                  <w:rPr>
                    <w:rFonts w:ascii="Times New Roman" w:eastAsia="Times New Roman" w:hAnsi="Times New Roman"/>
                    <w:b/>
                    <w:bCs/>
                    <w:color w:val="000000"/>
                    <w:sz w:val="14"/>
                    <w:szCs w:val="14"/>
                    <w:lang w:eastAsia="es-CO"/>
                  </w:rPr>
                  <w:t>Fecha Ejecutoria</w:t>
                </w:r>
              </w:p>
            </w:tc>
            <w:tc>
              <w:tcPr>
                <w:tcW w:w="791" w:type="pct"/>
                <w:shd w:val="clear" w:color="auto" w:fill="auto"/>
                <w:vAlign w:val="center"/>
                <w:hideMark/>
              </w:tcPr>
              <w:p w14:paraId="1A883F09" w14:textId="56ABE564" w:rsidR="00667C9A" w:rsidRDefault="00876054">
                <w:pPr>
                  <w:spacing w:after="0" w:line="240" w:lineRule="auto"/>
                  <w:jc w:val="center"/>
                  <w:rPr>
                    <w:rFonts w:ascii="Times New Roman" w:eastAsia="Times New Roman" w:hAnsi="Times New Roman"/>
                    <w:b/>
                    <w:bCs/>
                    <w:color w:val="000000"/>
                    <w:sz w:val="14"/>
                    <w:szCs w:val="14"/>
                    <w:lang w:eastAsia="es-CO"/>
                  </w:rPr>
                </w:pPr>
                <w:r>
                  <w:rPr>
                    <w:rFonts w:ascii="Times New Roman" w:eastAsia="Times New Roman" w:hAnsi="Times New Roman"/>
                    <w:b/>
                    <w:bCs/>
                    <w:color w:val="000000"/>
                    <w:sz w:val="14"/>
                    <w:szCs w:val="14"/>
                    <w:lang w:eastAsia="es-CO"/>
                  </w:rPr>
                  <w:t>Fecha para realizar el pago sin intereses de mora (plazo)</w:t>
                </w:r>
              </w:p>
            </w:tc>
            <w:tc>
              <w:tcPr>
                <w:tcW w:w="711" w:type="pct"/>
                <w:shd w:val="clear" w:color="auto" w:fill="auto"/>
                <w:noWrap/>
                <w:vAlign w:val="center"/>
                <w:hideMark/>
              </w:tcPr>
              <w:p w14:paraId="77E6F5E3" w14:textId="670A0222" w:rsidR="00667C9A" w:rsidRDefault="00876054">
                <w:pPr>
                  <w:spacing w:after="0" w:line="240" w:lineRule="auto"/>
                  <w:rPr>
                    <w:rFonts w:ascii="Times New Roman" w:eastAsia="Times New Roman" w:hAnsi="Times New Roman"/>
                    <w:b/>
                    <w:bCs/>
                    <w:color w:val="000000"/>
                    <w:sz w:val="14"/>
                    <w:szCs w:val="14"/>
                    <w:lang w:eastAsia="es-CO"/>
                  </w:rPr>
                </w:pPr>
                <w:r>
                  <w:rPr>
                    <w:rFonts w:ascii="Times New Roman" w:eastAsia="Times New Roman" w:hAnsi="Times New Roman"/>
                    <w:b/>
                    <w:bCs/>
                    <w:color w:val="000000"/>
                    <w:sz w:val="14"/>
                    <w:szCs w:val="14"/>
                    <w:lang w:eastAsia="es-CO"/>
                  </w:rPr>
                  <w:t xml:space="preserve">% </w:t>
                </w:r>
                <w:r w:rsidR="00504701" w:rsidRPr="009A46BB">
                  <w:rPr>
                    <w:rFonts w:ascii="Times New Roman" w:eastAsia="Times New Roman" w:hAnsi="Times New Roman"/>
                    <w:b/>
                    <w:bCs/>
                    <w:color w:val="000000"/>
                    <w:sz w:val="14"/>
                    <w:szCs w:val="14"/>
                    <w:lang w:eastAsia="es-CO"/>
                  </w:rPr>
                  <w:t>Interés</w:t>
                </w:r>
                <w:r>
                  <w:rPr>
                    <w:rFonts w:ascii="Times New Roman" w:eastAsia="Times New Roman" w:hAnsi="Times New Roman"/>
                    <w:b/>
                    <w:bCs/>
                    <w:color w:val="000000"/>
                    <w:sz w:val="14"/>
                    <w:szCs w:val="14"/>
                    <w:lang w:eastAsia="es-CO"/>
                  </w:rPr>
                  <w:t xml:space="preserve"> EA </w:t>
                </w:r>
              </w:p>
            </w:tc>
            <w:tc>
              <w:tcPr>
                <w:tcW w:w="892" w:type="pct"/>
                <w:shd w:val="clear" w:color="auto" w:fill="auto"/>
                <w:vAlign w:val="center"/>
                <w:hideMark/>
              </w:tcPr>
              <w:p w14:paraId="7273F973" w14:textId="77777777" w:rsidR="00667C9A" w:rsidRDefault="00876054">
                <w:pPr>
                  <w:spacing w:after="0" w:line="240" w:lineRule="auto"/>
                  <w:jc w:val="center"/>
                  <w:rPr>
                    <w:rFonts w:ascii="Times New Roman" w:eastAsia="Times New Roman" w:hAnsi="Times New Roman"/>
                    <w:b/>
                    <w:bCs/>
                    <w:color w:val="000000"/>
                    <w:sz w:val="14"/>
                    <w:szCs w:val="14"/>
                    <w:lang w:eastAsia="es-CO"/>
                  </w:rPr>
                </w:pPr>
                <w:r>
                  <w:rPr>
                    <w:rFonts w:ascii="Times New Roman" w:eastAsia="Times New Roman" w:hAnsi="Times New Roman"/>
                    <w:b/>
                    <w:bCs/>
                    <w:color w:val="000000"/>
                    <w:sz w:val="14"/>
                    <w:szCs w:val="14"/>
                    <w:lang w:eastAsia="es-CO"/>
                  </w:rPr>
                  <w:t>Observaciones</w:t>
                </w:r>
              </w:p>
            </w:tc>
          </w:tr>
          <w:tr w:rsidR="00667C9A" w14:paraId="095AFCB4" w14:textId="77777777" w:rsidTr="00674E9E">
            <w:trPr>
              <w:trHeight w:val="1082"/>
            </w:trPr>
            <w:tc>
              <w:tcPr>
                <w:tcW w:w="472" w:type="pct"/>
                <w:shd w:val="clear" w:color="auto" w:fill="auto"/>
                <w:vAlign w:val="center"/>
                <w:hideMark/>
              </w:tcPr>
              <w:p w14:paraId="35DBD309" w14:textId="77777777" w:rsidR="00667C9A" w:rsidRDefault="00876054">
                <w:pPr>
                  <w:spacing w:after="0" w:line="240" w:lineRule="auto"/>
                  <w:rPr>
                    <w:rFonts w:ascii="Times New Roman" w:eastAsia="Times New Roman" w:hAnsi="Times New Roman"/>
                    <w:color w:val="000000"/>
                    <w:sz w:val="14"/>
                    <w:szCs w:val="14"/>
                    <w:lang w:eastAsia="es-CO"/>
                  </w:rPr>
                </w:pPr>
                <w:r>
                  <w:rPr>
                    <w:rFonts w:ascii="Times New Roman" w:eastAsia="Times New Roman" w:hAnsi="Times New Roman"/>
                    <w:color w:val="000000"/>
                    <w:sz w:val="14"/>
                    <w:szCs w:val="14"/>
                    <w:lang w:eastAsia="es-CO"/>
                  </w:rPr>
                  <w:t>13811422</w:t>
                </w:r>
              </w:p>
            </w:tc>
            <w:tc>
              <w:tcPr>
                <w:tcW w:w="554" w:type="pct"/>
                <w:shd w:val="clear" w:color="auto" w:fill="auto"/>
                <w:vAlign w:val="center"/>
                <w:hideMark/>
              </w:tcPr>
              <w:p w14:paraId="4D3BBEC2" w14:textId="3D9F1E65" w:rsidR="00667C9A" w:rsidRDefault="00876054">
                <w:pPr>
                  <w:spacing w:after="0" w:line="240" w:lineRule="auto"/>
                  <w:rPr>
                    <w:rFonts w:ascii="Times New Roman" w:eastAsia="Times New Roman" w:hAnsi="Times New Roman"/>
                    <w:color w:val="000000"/>
                    <w:sz w:val="14"/>
                    <w:szCs w:val="14"/>
                    <w:lang w:eastAsia="es-CO"/>
                  </w:rPr>
                </w:pPr>
                <w:r>
                  <w:rPr>
                    <w:rFonts w:ascii="Times New Roman" w:eastAsia="Times New Roman" w:hAnsi="Times New Roman"/>
                    <w:color w:val="000000"/>
                    <w:sz w:val="14"/>
                    <w:szCs w:val="14"/>
                    <w:lang w:eastAsia="es-CO"/>
                  </w:rPr>
                  <w:t>EDGAR CHACON HARTMANN</w:t>
                </w:r>
              </w:p>
            </w:tc>
            <w:tc>
              <w:tcPr>
                <w:tcW w:w="551" w:type="pct"/>
                <w:shd w:val="clear" w:color="auto" w:fill="auto"/>
                <w:vAlign w:val="center"/>
                <w:hideMark/>
              </w:tcPr>
              <w:p w14:paraId="0812050D" w14:textId="77777777" w:rsidR="00667C9A" w:rsidRDefault="00876054" w:rsidP="00674E9E">
                <w:pPr>
                  <w:spacing w:after="0" w:line="240" w:lineRule="auto"/>
                  <w:jc w:val="right"/>
                  <w:rPr>
                    <w:rFonts w:ascii="Times New Roman" w:eastAsia="Times New Roman" w:hAnsi="Times New Roman"/>
                    <w:color w:val="000000"/>
                    <w:sz w:val="14"/>
                    <w:szCs w:val="14"/>
                    <w:lang w:eastAsia="es-CO"/>
                  </w:rPr>
                </w:pPr>
                <w:r>
                  <w:rPr>
                    <w:rFonts w:ascii="Times New Roman" w:eastAsia="Times New Roman" w:hAnsi="Times New Roman"/>
                    <w:color w:val="000000"/>
                    <w:sz w:val="14"/>
                    <w:szCs w:val="14"/>
                    <w:lang w:eastAsia="es-CO"/>
                  </w:rPr>
                  <w:t>57.016.638</w:t>
                </w:r>
              </w:p>
            </w:tc>
            <w:tc>
              <w:tcPr>
                <w:tcW w:w="555" w:type="pct"/>
                <w:shd w:val="clear" w:color="auto" w:fill="auto"/>
                <w:noWrap/>
                <w:vAlign w:val="center"/>
                <w:hideMark/>
              </w:tcPr>
              <w:p w14:paraId="36587EC4" w14:textId="77777777" w:rsidR="00667C9A" w:rsidRDefault="00876054" w:rsidP="00504701">
                <w:pPr>
                  <w:spacing w:after="0" w:line="240" w:lineRule="auto"/>
                  <w:rPr>
                    <w:rFonts w:ascii="Times New Roman" w:eastAsia="Times New Roman" w:hAnsi="Times New Roman"/>
                    <w:color w:val="000000"/>
                    <w:sz w:val="14"/>
                    <w:szCs w:val="14"/>
                    <w:lang w:eastAsia="es-CO"/>
                  </w:rPr>
                </w:pPr>
                <w:r>
                  <w:rPr>
                    <w:rFonts w:ascii="Times New Roman" w:eastAsia="Times New Roman" w:hAnsi="Times New Roman"/>
                    <w:color w:val="000000"/>
                    <w:sz w:val="14"/>
                    <w:szCs w:val="14"/>
                    <w:lang w:eastAsia="es-CO"/>
                  </w:rPr>
                  <w:t>13/05/2020</w:t>
                </w:r>
              </w:p>
            </w:tc>
            <w:tc>
              <w:tcPr>
                <w:tcW w:w="474" w:type="pct"/>
                <w:shd w:val="clear" w:color="auto" w:fill="auto"/>
                <w:noWrap/>
                <w:vAlign w:val="center"/>
                <w:hideMark/>
              </w:tcPr>
              <w:p w14:paraId="7C040422" w14:textId="77777777" w:rsidR="00667C9A" w:rsidRDefault="00876054">
                <w:pPr>
                  <w:spacing w:after="0" w:line="240" w:lineRule="auto"/>
                  <w:rPr>
                    <w:rFonts w:ascii="Times New Roman" w:eastAsia="Times New Roman" w:hAnsi="Times New Roman"/>
                    <w:color w:val="000000"/>
                    <w:sz w:val="14"/>
                    <w:szCs w:val="14"/>
                    <w:lang w:eastAsia="es-CO"/>
                  </w:rPr>
                </w:pPr>
                <w:r>
                  <w:rPr>
                    <w:rFonts w:ascii="Times New Roman" w:eastAsia="Times New Roman" w:hAnsi="Times New Roman"/>
                    <w:color w:val="000000"/>
                    <w:sz w:val="14"/>
                    <w:szCs w:val="14"/>
                    <w:lang w:eastAsia="es-CO"/>
                  </w:rPr>
                  <w:t>Pendiente-demanda en curso</w:t>
                </w:r>
              </w:p>
            </w:tc>
            <w:tc>
              <w:tcPr>
                <w:tcW w:w="791" w:type="pct"/>
                <w:shd w:val="clear" w:color="auto" w:fill="auto"/>
                <w:vAlign w:val="center"/>
                <w:hideMark/>
              </w:tcPr>
              <w:p w14:paraId="411F91E0" w14:textId="77777777" w:rsidR="00667C9A" w:rsidRDefault="00876054" w:rsidP="00504701">
                <w:pPr>
                  <w:spacing w:after="0" w:line="240" w:lineRule="auto"/>
                  <w:jc w:val="both"/>
                  <w:rPr>
                    <w:rFonts w:ascii="Times New Roman" w:eastAsia="Times New Roman" w:hAnsi="Times New Roman"/>
                    <w:color w:val="000000"/>
                    <w:sz w:val="14"/>
                    <w:szCs w:val="14"/>
                    <w:lang w:eastAsia="es-CO"/>
                  </w:rPr>
                </w:pPr>
                <w:r>
                  <w:rPr>
                    <w:rFonts w:ascii="Times New Roman" w:eastAsia="Times New Roman" w:hAnsi="Times New Roman"/>
                    <w:color w:val="000000"/>
                    <w:sz w:val="14"/>
                    <w:szCs w:val="14"/>
                    <w:lang w:eastAsia="es-CO"/>
                  </w:rPr>
                  <w:t>Debido a que el GIT de Defensa Judicial carece de competencia para liquidar, la determinación de esta fecha dependerá de lo que disponga el área financiera correspondiente.</w:t>
                </w:r>
              </w:p>
            </w:tc>
            <w:tc>
              <w:tcPr>
                <w:tcW w:w="711" w:type="pct"/>
                <w:shd w:val="clear" w:color="auto" w:fill="auto"/>
                <w:vAlign w:val="center"/>
                <w:hideMark/>
              </w:tcPr>
              <w:p w14:paraId="732C0C39" w14:textId="77777777" w:rsidR="00667C9A" w:rsidRDefault="00876054" w:rsidP="00504701">
                <w:pPr>
                  <w:spacing w:after="0" w:line="240" w:lineRule="auto"/>
                  <w:jc w:val="both"/>
                  <w:rPr>
                    <w:rFonts w:ascii="Times New Roman" w:eastAsia="Times New Roman" w:hAnsi="Times New Roman"/>
                    <w:color w:val="000000"/>
                    <w:sz w:val="14"/>
                    <w:szCs w:val="14"/>
                    <w:lang w:eastAsia="es-CO"/>
                  </w:rPr>
                </w:pPr>
                <w:r>
                  <w:rPr>
                    <w:rFonts w:ascii="Times New Roman" w:eastAsia="Times New Roman" w:hAnsi="Times New Roman"/>
                    <w:color w:val="000000"/>
                    <w:sz w:val="14"/>
                    <w:szCs w:val="14"/>
                    <w:lang w:eastAsia="es-CO"/>
                  </w:rPr>
                  <w:t xml:space="preserve">El GIT de Defensa Judicial carece de competencia para su determinación. </w:t>
                </w:r>
              </w:p>
            </w:tc>
            <w:tc>
              <w:tcPr>
                <w:tcW w:w="892" w:type="pct"/>
                <w:shd w:val="clear" w:color="auto" w:fill="auto"/>
                <w:vAlign w:val="center"/>
                <w:hideMark/>
              </w:tcPr>
              <w:p w14:paraId="7BDDDC57" w14:textId="77777777" w:rsidR="00667C9A" w:rsidRDefault="00876054" w:rsidP="00504701">
                <w:pPr>
                  <w:spacing w:after="0" w:line="240" w:lineRule="auto"/>
                  <w:jc w:val="both"/>
                  <w:rPr>
                    <w:rFonts w:ascii="Times New Roman" w:eastAsia="Times New Roman" w:hAnsi="Times New Roman"/>
                    <w:color w:val="000000"/>
                    <w:sz w:val="14"/>
                    <w:szCs w:val="14"/>
                    <w:lang w:eastAsia="es-CO"/>
                  </w:rPr>
                </w:pPr>
                <w:r>
                  <w:rPr>
                    <w:rFonts w:ascii="Times New Roman" w:eastAsia="Times New Roman" w:hAnsi="Times New Roman"/>
                    <w:color w:val="000000"/>
                    <w:sz w:val="14"/>
                    <w:szCs w:val="14"/>
                    <w:lang w:eastAsia="es-CO"/>
                  </w:rPr>
                  <w:t>Demanda de NyRD contra título ejecutivo, rad. 25000234200020210053500, en apelación de sentencia de primera instancia.</w:t>
                </w:r>
              </w:p>
            </w:tc>
          </w:tr>
          <w:tr w:rsidR="00667C9A" w14:paraId="0AD9077F" w14:textId="77777777" w:rsidTr="00674E9E">
            <w:trPr>
              <w:trHeight w:val="1046"/>
            </w:trPr>
            <w:tc>
              <w:tcPr>
                <w:tcW w:w="472" w:type="pct"/>
                <w:shd w:val="clear" w:color="auto" w:fill="auto"/>
                <w:vAlign w:val="center"/>
                <w:hideMark/>
              </w:tcPr>
              <w:p w14:paraId="029D4C0D" w14:textId="77777777" w:rsidR="00667C9A" w:rsidRDefault="00876054">
                <w:pPr>
                  <w:spacing w:after="0" w:line="240" w:lineRule="auto"/>
                  <w:rPr>
                    <w:rFonts w:ascii="Times New Roman" w:eastAsia="Times New Roman" w:hAnsi="Times New Roman"/>
                    <w:color w:val="000000"/>
                    <w:sz w:val="14"/>
                    <w:szCs w:val="14"/>
                    <w:lang w:eastAsia="es-CO"/>
                  </w:rPr>
                </w:pPr>
                <w:r>
                  <w:rPr>
                    <w:rFonts w:ascii="Times New Roman" w:eastAsia="Times New Roman" w:hAnsi="Times New Roman"/>
                    <w:color w:val="000000"/>
                    <w:sz w:val="14"/>
                    <w:szCs w:val="14"/>
                    <w:lang w:eastAsia="es-CO"/>
                  </w:rPr>
                  <w:t>53000990</w:t>
                </w:r>
              </w:p>
            </w:tc>
            <w:tc>
              <w:tcPr>
                <w:tcW w:w="554" w:type="pct"/>
                <w:shd w:val="clear" w:color="auto" w:fill="auto"/>
                <w:vAlign w:val="center"/>
                <w:hideMark/>
              </w:tcPr>
              <w:p w14:paraId="677B4D36" w14:textId="77777777" w:rsidR="00667C9A" w:rsidRDefault="00876054">
                <w:pPr>
                  <w:spacing w:after="0" w:line="240" w:lineRule="auto"/>
                  <w:rPr>
                    <w:rFonts w:ascii="Times New Roman" w:eastAsia="Times New Roman" w:hAnsi="Times New Roman"/>
                    <w:color w:val="000000"/>
                    <w:sz w:val="14"/>
                    <w:szCs w:val="14"/>
                    <w:lang w:eastAsia="es-CO"/>
                  </w:rPr>
                </w:pPr>
                <w:r>
                  <w:rPr>
                    <w:rFonts w:ascii="Times New Roman" w:eastAsia="Times New Roman" w:hAnsi="Times New Roman"/>
                    <w:color w:val="000000"/>
                    <w:sz w:val="14"/>
                    <w:szCs w:val="14"/>
                    <w:lang w:eastAsia="es-CO"/>
                  </w:rPr>
                  <w:t>IVONNE DE LA CARIDAD PRADA MEDINA</w:t>
                </w:r>
              </w:p>
            </w:tc>
            <w:tc>
              <w:tcPr>
                <w:tcW w:w="551" w:type="pct"/>
                <w:shd w:val="clear" w:color="auto" w:fill="auto"/>
                <w:vAlign w:val="center"/>
                <w:hideMark/>
              </w:tcPr>
              <w:p w14:paraId="004DFD32" w14:textId="77777777" w:rsidR="00667C9A" w:rsidRDefault="00876054" w:rsidP="00674E9E">
                <w:pPr>
                  <w:spacing w:after="0" w:line="240" w:lineRule="auto"/>
                  <w:jc w:val="right"/>
                  <w:rPr>
                    <w:rFonts w:ascii="Times New Roman" w:eastAsia="Times New Roman" w:hAnsi="Times New Roman"/>
                    <w:color w:val="000000"/>
                    <w:sz w:val="14"/>
                    <w:szCs w:val="14"/>
                    <w:lang w:eastAsia="es-CO"/>
                  </w:rPr>
                </w:pPr>
                <w:r>
                  <w:rPr>
                    <w:rFonts w:ascii="Times New Roman" w:eastAsia="Times New Roman" w:hAnsi="Times New Roman"/>
                    <w:color w:val="000000"/>
                    <w:sz w:val="14"/>
                    <w:szCs w:val="14"/>
                    <w:lang w:eastAsia="es-CO"/>
                  </w:rPr>
                  <w:t>32.797.248</w:t>
                </w:r>
              </w:p>
            </w:tc>
            <w:tc>
              <w:tcPr>
                <w:tcW w:w="555" w:type="pct"/>
                <w:shd w:val="clear" w:color="auto" w:fill="auto"/>
                <w:noWrap/>
                <w:vAlign w:val="center"/>
                <w:hideMark/>
              </w:tcPr>
              <w:p w14:paraId="4AF712D9" w14:textId="77777777" w:rsidR="00667C9A" w:rsidRDefault="00876054" w:rsidP="00504701">
                <w:pPr>
                  <w:spacing w:after="0" w:line="240" w:lineRule="auto"/>
                  <w:rPr>
                    <w:rFonts w:ascii="Times New Roman" w:eastAsia="Times New Roman" w:hAnsi="Times New Roman"/>
                    <w:color w:val="000000"/>
                    <w:sz w:val="14"/>
                    <w:szCs w:val="14"/>
                    <w:lang w:eastAsia="es-CO"/>
                  </w:rPr>
                </w:pPr>
                <w:r>
                  <w:rPr>
                    <w:rFonts w:ascii="Times New Roman" w:eastAsia="Times New Roman" w:hAnsi="Times New Roman"/>
                    <w:color w:val="000000"/>
                    <w:sz w:val="14"/>
                    <w:szCs w:val="14"/>
                    <w:lang w:eastAsia="es-CO"/>
                  </w:rPr>
                  <w:t>8/04/2021</w:t>
                </w:r>
              </w:p>
            </w:tc>
            <w:tc>
              <w:tcPr>
                <w:tcW w:w="474" w:type="pct"/>
                <w:shd w:val="clear" w:color="auto" w:fill="auto"/>
                <w:noWrap/>
                <w:vAlign w:val="center"/>
                <w:hideMark/>
              </w:tcPr>
              <w:p w14:paraId="039AE4B5" w14:textId="77777777" w:rsidR="00667C9A" w:rsidRDefault="00876054" w:rsidP="00504701">
                <w:pPr>
                  <w:spacing w:after="0" w:line="240" w:lineRule="auto"/>
                  <w:rPr>
                    <w:rFonts w:ascii="Times New Roman" w:eastAsia="Times New Roman" w:hAnsi="Times New Roman"/>
                    <w:color w:val="000000"/>
                    <w:sz w:val="14"/>
                    <w:szCs w:val="14"/>
                    <w:lang w:eastAsia="es-CO"/>
                  </w:rPr>
                </w:pPr>
                <w:r>
                  <w:rPr>
                    <w:rFonts w:ascii="Times New Roman" w:eastAsia="Times New Roman" w:hAnsi="Times New Roman"/>
                    <w:color w:val="000000"/>
                    <w:sz w:val="14"/>
                    <w:szCs w:val="14"/>
                    <w:lang w:eastAsia="es-CO"/>
                  </w:rPr>
                  <w:t>8/04/2021</w:t>
                </w:r>
              </w:p>
            </w:tc>
            <w:tc>
              <w:tcPr>
                <w:tcW w:w="791" w:type="pct"/>
                <w:shd w:val="clear" w:color="auto" w:fill="auto"/>
                <w:vAlign w:val="center"/>
                <w:hideMark/>
              </w:tcPr>
              <w:p w14:paraId="68449565" w14:textId="77777777" w:rsidR="00667C9A" w:rsidRDefault="00876054" w:rsidP="00504701">
                <w:pPr>
                  <w:spacing w:after="0" w:line="240" w:lineRule="auto"/>
                  <w:jc w:val="both"/>
                  <w:rPr>
                    <w:rFonts w:ascii="Times New Roman" w:eastAsia="Times New Roman" w:hAnsi="Times New Roman"/>
                    <w:color w:val="000000"/>
                    <w:sz w:val="14"/>
                    <w:szCs w:val="14"/>
                    <w:lang w:eastAsia="es-CO"/>
                  </w:rPr>
                </w:pPr>
                <w:r>
                  <w:rPr>
                    <w:rFonts w:ascii="Times New Roman" w:eastAsia="Times New Roman" w:hAnsi="Times New Roman"/>
                    <w:color w:val="000000"/>
                    <w:sz w:val="14"/>
                    <w:szCs w:val="14"/>
                    <w:lang w:eastAsia="es-CO"/>
                  </w:rPr>
                  <w:t>Debido a que el GIT de Defensa Judicial carece de competencia para liquidar, la determinación de esta fecha dependerá de lo que disponga el área financiera correspondiente.</w:t>
                </w:r>
              </w:p>
            </w:tc>
            <w:tc>
              <w:tcPr>
                <w:tcW w:w="711" w:type="pct"/>
                <w:shd w:val="clear" w:color="auto" w:fill="auto"/>
                <w:vAlign w:val="center"/>
                <w:hideMark/>
              </w:tcPr>
              <w:p w14:paraId="2A2432E3" w14:textId="77777777" w:rsidR="00667C9A" w:rsidRDefault="00876054" w:rsidP="00504701">
                <w:pPr>
                  <w:spacing w:after="0" w:line="240" w:lineRule="auto"/>
                  <w:jc w:val="both"/>
                  <w:rPr>
                    <w:rFonts w:ascii="Times New Roman" w:eastAsia="Times New Roman" w:hAnsi="Times New Roman"/>
                    <w:color w:val="000000"/>
                    <w:sz w:val="14"/>
                    <w:szCs w:val="14"/>
                    <w:lang w:eastAsia="es-CO"/>
                  </w:rPr>
                </w:pPr>
                <w:r>
                  <w:rPr>
                    <w:rFonts w:ascii="Times New Roman" w:eastAsia="Times New Roman" w:hAnsi="Times New Roman"/>
                    <w:color w:val="000000"/>
                    <w:sz w:val="14"/>
                    <w:szCs w:val="14"/>
                    <w:lang w:eastAsia="es-CO"/>
                  </w:rPr>
                  <w:t xml:space="preserve">El GIT de Defensa Judicial carece de competencia para su determinación. </w:t>
                </w:r>
              </w:p>
            </w:tc>
            <w:tc>
              <w:tcPr>
                <w:tcW w:w="892" w:type="pct"/>
                <w:shd w:val="clear" w:color="auto" w:fill="auto"/>
                <w:vAlign w:val="center"/>
                <w:hideMark/>
              </w:tcPr>
              <w:p w14:paraId="49C0F738" w14:textId="77777777" w:rsidR="00667C9A" w:rsidRDefault="00876054" w:rsidP="00504701">
                <w:pPr>
                  <w:spacing w:after="0" w:line="240" w:lineRule="auto"/>
                  <w:jc w:val="both"/>
                  <w:rPr>
                    <w:rFonts w:ascii="Times New Roman" w:eastAsia="Times New Roman" w:hAnsi="Times New Roman"/>
                    <w:color w:val="000000"/>
                    <w:sz w:val="14"/>
                    <w:szCs w:val="14"/>
                    <w:lang w:eastAsia="es-CO"/>
                  </w:rPr>
                </w:pPr>
                <w:r>
                  <w:rPr>
                    <w:rFonts w:ascii="Times New Roman" w:eastAsia="Times New Roman" w:hAnsi="Times New Roman"/>
                    <w:color w:val="000000"/>
                    <w:sz w:val="14"/>
                    <w:szCs w:val="14"/>
                    <w:lang w:eastAsia="es-CO"/>
                  </w:rPr>
                  <w:t> </w:t>
                </w:r>
              </w:p>
            </w:tc>
          </w:tr>
          <w:tr w:rsidR="00667C9A" w14:paraId="1E46776E" w14:textId="77777777" w:rsidTr="00674E9E">
            <w:trPr>
              <w:trHeight w:val="1402"/>
            </w:trPr>
            <w:tc>
              <w:tcPr>
                <w:tcW w:w="472" w:type="pct"/>
                <w:shd w:val="clear" w:color="auto" w:fill="auto"/>
                <w:vAlign w:val="center"/>
                <w:hideMark/>
              </w:tcPr>
              <w:p w14:paraId="4301590C" w14:textId="77777777" w:rsidR="00667C9A" w:rsidRDefault="00876054">
                <w:pPr>
                  <w:spacing w:after="0" w:line="240" w:lineRule="auto"/>
                  <w:rPr>
                    <w:rFonts w:ascii="Times New Roman" w:eastAsia="Times New Roman" w:hAnsi="Times New Roman"/>
                    <w:color w:val="000000"/>
                    <w:sz w:val="14"/>
                    <w:szCs w:val="14"/>
                    <w:lang w:eastAsia="es-CO"/>
                  </w:rPr>
                </w:pPr>
                <w:r>
                  <w:rPr>
                    <w:rFonts w:ascii="Times New Roman" w:eastAsia="Times New Roman" w:hAnsi="Times New Roman"/>
                    <w:color w:val="000000"/>
                    <w:sz w:val="14"/>
                    <w:szCs w:val="14"/>
                    <w:lang w:eastAsia="es-CO"/>
                  </w:rPr>
                  <w:t>891900887</w:t>
                </w:r>
              </w:p>
            </w:tc>
            <w:tc>
              <w:tcPr>
                <w:tcW w:w="554" w:type="pct"/>
                <w:shd w:val="clear" w:color="auto" w:fill="auto"/>
                <w:vAlign w:val="center"/>
                <w:hideMark/>
              </w:tcPr>
              <w:p w14:paraId="25C1E6E5" w14:textId="77777777" w:rsidR="00667C9A" w:rsidRDefault="00876054">
                <w:pPr>
                  <w:spacing w:after="0" w:line="240" w:lineRule="auto"/>
                  <w:rPr>
                    <w:rFonts w:ascii="Times New Roman" w:eastAsia="Times New Roman" w:hAnsi="Times New Roman"/>
                    <w:color w:val="000000"/>
                    <w:sz w:val="14"/>
                    <w:szCs w:val="14"/>
                    <w:lang w:eastAsia="es-CO"/>
                  </w:rPr>
                </w:pPr>
                <w:r>
                  <w:rPr>
                    <w:rFonts w:ascii="Times New Roman" w:eastAsia="Times New Roman" w:hAnsi="Times New Roman"/>
                    <w:color w:val="000000"/>
                    <w:sz w:val="14"/>
                    <w:szCs w:val="14"/>
                    <w:lang w:eastAsia="es-CO"/>
                  </w:rPr>
                  <w:t>HOSPITAL SANTA CATALINA E.S.E.</w:t>
                </w:r>
              </w:p>
            </w:tc>
            <w:tc>
              <w:tcPr>
                <w:tcW w:w="551" w:type="pct"/>
                <w:shd w:val="clear" w:color="auto" w:fill="auto"/>
                <w:vAlign w:val="center"/>
                <w:hideMark/>
              </w:tcPr>
              <w:p w14:paraId="1AC3A840" w14:textId="77777777" w:rsidR="00667C9A" w:rsidRDefault="00876054" w:rsidP="00674E9E">
                <w:pPr>
                  <w:spacing w:after="0" w:line="240" w:lineRule="auto"/>
                  <w:jc w:val="right"/>
                  <w:rPr>
                    <w:rFonts w:ascii="Times New Roman" w:eastAsia="Times New Roman" w:hAnsi="Times New Roman"/>
                    <w:color w:val="000000"/>
                    <w:sz w:val="14"/>
                    <w:szCs w:val="14"/>
                    <w:lang w:eastAsia="es-CO"/>
                  </w:rPr>
                </w:pPr>
                <w:r>
                  <w:rPr>
                    <w:rFonts w:ascii="Times New Roman" w:eastAsia="Times New Roman" w:hAnsi="Times New Roman"/>
                    <w:color w:val="000000"/>
                    <w:sz w:val="14"/>
                    <w:szCs w:val="14"/>
                    <w:lang w:eastAsia="es-CO"/>
                  </w:rPr>
                  <w:t>232.538.162</w:t>
                </w:r>
              </w:p>
            </w:tc>
            <w:tc>
              <w:tcPr>
                <w:tcW w:w="555" w:type="pct"/>
                <w:shd w:val="clear" w:color="auto" w:fill="auto"/>
                <w:noWrap/>
                <w:vAlign w:val="center"/>
                <w:hideMark/>
              </w:tcPr>
              <w:p w14:paraId="5F1A568C" w14:textId="77777777" w:rsidR="00667C9A" w:rsidRDefault="00876054">
                <w:pPr>
                  <w:spacing w:after="0" w:line="240" w:lineRule="auto"/>
                  <w:rPr>
                    <w:rFonts w:ascii="Times New Roman" w:eastAsia="Times New Roman" w:hAnsi="Times New Roman"/>
                    <w:color w:val="000000"/>
                    <w:sz w:val="14"/>
                    <w:szCs w:val="14"/>
                    <w:lang w:eastAsia="es-CO"/>
                  </w:rPr>
                </w:pPr>
                <w:r>
                  <w:rPr>
                    <w:rFonts w:ascii="Times New Roman" w:eastAsia="Times New Roman" w:hAnsi="Times New Roman"/>
                    <w:color w:val="000000"/>
                    <w:sz w:val="14"/>
                    <w:szCs w:val="14"/>
                    <w:lang w:eastAsia="es-CO"/>
                  </w:rPr>
                  <w:t xml:space="preserve">Pendiente </w:t>
                </w:r>
              </w:p>
            </w:tc>
            <w:tc>
              <w:tcPr>
                <w:tcW w:w="474" w:type="pct"/>
                <w:shd w:val="clear" w:color="auto" w:fill="auto"/>
                <w:noWrap/>
                <w:vAlign w:val="center"/>
                <w:hideMark/>
              </w:tcPr>
              <w:p w14:paraId="107714A6" w14:textId="77777777" w:rsidR="00667C9A" w:rsidRDefault="00876054">
                <w:pPr>
                  <w:spacing w:after="0" w:line="240" w:lineRule="auto"/>
                  <w:rPr>
                    <w:rFonts w:ascii="Times New Roman" w:eastAsia="Times New Roman" w:hAnsi="Times New Roman"/>
                    <w:color w:val="000000"/>
                    <w:sz w:val="14"/>
                    <w:szCs w:val="14"/>
                    <w:lang w:eastAsia="es-CO"/>
                  </w:rPr>
                </w:pPr>
                <w:r>
                  <w:rPr>
                    <w:rFonts w:ascii="Times New Roman" w:eastAsia="Times New Roman" w:hAnsi="Times New Roman"/>
                    <w:color w:val="000000"/>
                    <w:sz w:val="14"/>
                    <w:szCs w:val="14"/>
                    <w:lang w:eastAsia="es-CO"/>
                  </w:rPr>
                  <w:t>Pendiente</w:t>
                </w:r>
              </w:p>
            </w:tc>
            <w:tc>
              <w:tcPr>
                <w:tcW w:w="791" w:type="pct"/>
                <w:shd w:val="clear" w:color="auto" w:fill="auto"/>
                <w:noWrap/>
                <w:vAlign w:val="center"/>
                <w:hideMark/>
              </w:tcPr>
              <w:p w14:paraId="435FEB56" w14:textId="77777777" w:rsidR="00667C9A" w:rsidRDefault="00876054">
                <w:pPr>
                  <w:spacing w:after="0" w:line="240" w:lineRule="auto"/>
                  <w:rPr>
                    <w:rFonts w:ascii="Times New Roman" w:eastAsia="Times New Roman" w:hAnsi="Times New Roman"/>
                    <w:color w:val="000000"/>
                    <w:sz w:val="14"/>
                    <w:szCs w:val="14"/>
                    <w:lang w:eastAsia="es-CO"/>
                  </w:rPr>
                </w:pPr>
                <w:r>
                  <w:rPr>
                    <w:rFonts w:ascii="Times New Roman" w:eastAsia="Times New Roman" w:hAnsi="Times New Roman"/>
                    <w:color w:val="000000"/>
                    <w:sz w:val="14"/>
                    <w:szCs w:val="14"/>
                    <w:lang w:eastAsia="es-CO"/>
                  </w:rPr>
                  <w:t> </w:t>
                </w:r>
              </w:p>
            </w:tc>
            <w:tc>
              <w:tcPr>
                <w:tcW w:w="711" w:type="pct"/>
                <w:shd w:val="clear" w:color="auto" w:fill="auto"/>
                <w:vAlign w:val="center"/>
                <w:hideMark/>
              </w:tcPr>
              <w:p w14:paraId="51D42393" w14:textId="77777777" w:rsidR="00667C9A" w:rsidRDefault="00876054">
                <w:pPr>
                  <w:spacing w:after="0" w:line="240" w:lineRule="auto"/>
                  <w:rPr>
                    <w:rFonts w:ascii="Times New Roman" w:eastAsia="Times New Roman" w:hAnsi="Times New Roman"/>
                    <w:color w:val="000000"/>
                    <w:sz w:val="14"/>
                    <w:szCs w:val="14"/>
                    <w:lang w:eastAsia="es-CO"/>
                  </w:rPr>
                </w:pPr>
                <w:r>
                  <w:rPr>
                    <w:rFonts w:ascii="Times New Roman" w:eastAsia="Times New Roman" w:hAnsi="Times New Roman"/>
                    <w:color w:val="000000"/>
                    <w:sz w:val="14"/>
                    <w:szCs w:val="14"/>
                    <w:lang w:eastAsia="es-CO"/>
                  </w:rPr>
                  <w:t xml:space="preserve">El GIT de Defensa Judicial carece de competencia para su determinación. </w:t>
                </w:r>
              </w:p>
            </w:tc>
            <w:tc>
              <w:tcPr>
                <w:tcW w:w="892" w:type="pct"/>
                <w:shd w:val="clear" w:color="auto" w:fill="auto"/>
                <w:vAlign w:val="center"/>
                <w:hideMark/>
              </w:tcPr>
              <w:p w14:paraId="5265965E" w14:textId="7EB52FEA" w:rsidR="00667C9A" w:rsidRDefault="00876054">
                <w:pPr>
                  <w:spacing w:after="0" w:line="240" w:lineRule="auto"/>
                  <w:rPr>
                    <w:rFonts w:ascii="Times New Roman" w:eastAsia="Times New Roman" w:hAnsi="Times New Roman"/>
                    <w:color w:val="000000"/>
                    <w:sz w:val="14"/>
                    <w:szCs w:val="14"/>
                    <w:lang w:eastAsia="es-CO"/>
                  </w:rPr>
                </w:pPr>
                <w:r>
                  <w:rPr>
                    <w:rFonts w:ascii="Times New Roman" w:eastAsia="Times New Roman" w:hAnsi="Times New Roman"/>
                    <w:color w:val="000000"/>
                    <w:sz w:val="14"/>
                    <w:szCs w:val="14"/>
                    <w:lang w:eastAsia="es-CO"/>
                  </w:rPr>
                  <w:t xml:space="preserve">Cursa demanda ejecutiva bajo el Radicado 76147333300120200015601, la cual se encuentra pendiente de resolver apelación contra la decisión de falta de T.E. proferida en primera instanciaandaejecutiva con radicado </w:t>
                </w:r>
              </w:p>
            </w:tc>
          </w:tr>
          <w:tr w:rsidR="00667C9A" w14:paraId="7A9DE51C" w14:textId="77777777" w:rsidTr="00674E9E">
            <w:trPr>
              <w:trHeight w:val="1119"/>
            </w:trPr>
            <w:tc>
              <w:tcPr>
                <w:tcW w:w="472" w:type="pct"/>
                <w:shd w:val="clear" w:color="auto" w:fill="auto"/>
                <w:vAlign w:val="center"/>
                <w:hideMark/>
              </w:tcPr>
              <w:p w14:paraId="1060844A" w14:textId="77777777" w:rsidR="00667C9A" w:rsidRDefault="00876054">
                <w:pPr>
                  <w:spacing w:after="0" w:line="240" w:lineRule="auto"/>
                  <w:rPr>
                    <w:rFonts w:ascii="Times New Roman" w:eastAsia="Times New Roman" w:hAnsi="Times New Roman"/>
                    <w:color w:val="000000"/>
                    <w:sz w:val="14"/>
                    <w:szCs w:val="14"/>
                    <w:lang w:eastAsia="es-CO"/>
                  </w:rPr>
                </w:pPr>
                <w:r>
                  <w:rPr>
                    <w:rFonts w:ascii="Times New Roman" w:eastAsia="Times New Roman" w:hAnsi="Times New Roman"/>
                    <w:color w:val="000000"/>
                    <w:sz w:val="14"/>
                    <w:szCs w:val="14"/>
                    <w:lang w:eastAsia="es-CO"/>
                  </w:rPr>
                  <w:t>900225133</w:t>
                </w:r>
              </w:p>
            </w:tc>
            <w:tc>
              <w:tcPr>
                <w:tcW w:w="554" w:type="pct"/>
                <w:shd w:val="clear" w:color="auto" w:fill="auto"/>
                <w:vAlign w:val="center"/>
                <w:hideMark/>
              </w:tcPr>
              <w:p w14:paraId="61BFCFBD" w14:textId="77777777" w:rsidR="00667C9A" w:rsidRDefault="00876054">
                <w:pPr>
                  <w:spacing w:after="0" w:line="240" w:lineRule="auto"/>
                  <w:rPr>
                    <w:rFonts w:ascii="Times New Roman" w:eastAsia="Times New Roman" w:hAnsi="Times New Roman"/>
                    <w:color w:val="000000"/>
                    <w:sz w:val="14"/>
                    <w:szCs w:val="14"/>
                    <w:lang w:eastAsia="es-CO"/>
                  </w:rPr>
                </w:pPr>
                <w:r>
                  <w:rPr>
                    <w:rFonts w:ascii="Times New Roman" w:eastAsia="Times New Roman" w:hAnsi="Times New Roman"/>
                    <w:color w:val="000000"/>
                    <w:sz w:val="14"/>
                    <w:szCs w:val="14"/>
                    <w:lang w:eastAsia="es-CO"/>
                  </w:rPr>
                  <w:t>FERROCARRIL DEL PACIFICO SAS</w:t>
                </w:r>
              </w:p>
            </w:tc>
            <w:tc>
              <w:tcPr>
                <w:tcW w:w="551" w:type="pct"/>
                <w:shd w:val="clear" w:color="auto" w:fill="auto"/>
                <w:vAlign w:val="center"/>
                <w:hideMark/>
              </w:tcPr>
              <w:p w14:paraId="16918318" w14:textId="77777777" w:rsidR="00667C9A" w:rsidRDefault="00876054" w:rsidP="00674E9E">
                <w:pPr>
                  <w:spacing w:after="0" w:line="240" w:lineRule="auto"/>
                  <w:jc w:val="right"/>
                  <w:rPr>
                    <w:rFonts w:ascii="Times New Roman" w:eastAsia="Times New Roman" w:hAnsi="Times New Roman"/>
                    <w:color w:val="000000"/>
                    <w:sz w:val="14"/>
                    <w:szCs w:val="14"/>
                    <w:lang w:eastAsia="es-CO"/>
                  </w:rPr>
                </w:pPr>
                <w:r>
                  <w:rPr>
                    <w:rFonts w:ascii="Times New Roman" w:eastAsia="Times New Roman" w:hAnsi="Times New Roman"/>
                    <w:color w:val="000000"/>
                    <w:sz w:val="14"/>
                    <w:szCs w:val="14"/>
                    <w:lang w:eastAsia="es-CO"/>
                  </w:rPr>
                  <w:t>2.394.517.550</w:t>
                </w:r>
              </w:p>
            </w:tc>
            <w:tc>
              <w:tcPr>
                <w:tcW w:w="555" w:type="pct"/>
                <w:shd w:val="clear" w:color="auto" w:fill="auto"/>
                <w:noWrap/>
                <w:vAlign w:val="center"/>
                <w:hideMark/>
              </w:tcPr>
              <w:p w14:paraId="675EE5BD" w14:textId="77777777" w:rsidR="00667C9A" w:rsidRDefault="00876054">
                <w:pPr>
                  <w:spacing w:after="0" w:line="240" w:lineRule="auto"/>
                  <w:jc w:val="right"/>
                  <w:rPr>
                    <w:rFonts w:ascii="Times New Roman" w:eastAsia="Times New Roman" w:hAnsi="Times New Roman"/>
                    <w:color w:val="000000"/>
                    <w:sz w:val="14"/>
                    <w:szCs w:val="14"/>
                    <w:lang w:eastAsia="es-CO"/>
                  </w:rPr>
                </w:pPr>
                <w:r>
                  <w:rPr>
                    <w:rFonts w:ascii="Times New Roman" w:eastAsia="Times New Roman" w:hAnsi="Times New Roman"/>
                    <w:color w:val="000000"/>
                    <w:sz w:val="14"/>
                    <w:szCs w:val="14"/>
                    <w:lang w:eastAsia="es-CO"/>
                  </w:rPr>
                  <w:t>15/05/2020</w:t>
                </w:r>
              </w:p>
            </w:tc>
            <w:tc>
              <w:tcPr>
                <w:tcW w:w="474" w:type="pct"/>
                <w:shd w:val="clear" w:color="auto" w:fill="auto"/>
                <w:noWrap/>
                <w:vAlign w:val="center"/>
                <w:hideMark/>
              </w:tcPr>
              <w:p w14:paraId="3EA08270" w14:textId="77777777" w:rsidR="00667C9A" w:rsidRDefault="00876054">
                <w:pPr>
                  <w:spacing w:after="0" w:line="240" w:lineRule="auto"/>
                  <w:jc w:val="right"/>
                  <w:rPr>
                    <w:rFonts w:ascii="Times New Roman" w:eastAsia="Times New Roman" w:hAnsi="Times New Roman"/>
                    <w:color w:val="000000"/>
                    <w:sz w:val="14"/>
                    <w:szCs w:val="14"/>
                    <w:lang w:eastAsia="es-CO"/>
                  </w:rPr>
                </w:pPr>
                <w:r>
                  <w:rPr>
                    <w:rFonts w:ascii="Times New Roman" w:eastAsia="Times New Roman" w:hAnsi="Times New Roman"/>
                    <w:color w:val="000000"/>
                    <w:sz w:val="14"/>
                    <w:szCs w:val="14"/>
                    <w:lang w:eastAsia="es-CO"/>
                  </w:rPr>
                  <w:t>16/05/2020</w:t>
                </w:r>
              </w:p>
            </w:tc>
            <w:tc>
              <w:tcPr>
                <w:tcW w:w="791" w:type="pct"/>
                <w:shd w:val="clear" w:color="auto" w:fill="auto"/>
                <w:vAlign w:val="center"/>
                <w:hideMark/>
              </w:tcPr>
              <w:p w14:paraId="2EB8E96A" w14:textId="77777777" w:rsidR="00667C9A" w:rsidRDefault="00876054">
                <w:pPr>
                  <w:spacing w:after="0" w:line="240" w:lineRule="auto"/>
                  <w:rPr>
                    <w:rFonts w:ascii="Times New Roman" w:eastAsia="Times New Roman" w:hAnsi="Times New Roman"/>
                    <w:color w:val="000000"/>
                    <w:sz w:val="14"/>
                    <w:szCs w:val="14"/>
                    <w:lang w:eastAsia="es-CO"/>
                  </w:rPr>
                </w:pPr>
                <w:r>
                  <w:rPr>
                    <w:rFonts w:ascii="Times New Roman" w:eastAsia="Times New Roman" w:hAnsi="Times New Roman"/>
                    <w:color w:val="000000"/>
                    <w:sz w:val="14"/>
                    <w:szCs w:val="14"/>
                    <w:lang w:eastAsia="es-CO"/>
                  </w:rPr>
                  <w:t>Debido a que el GIT de Defensa Judicial carece de competencia para liquidar, la determinación de esta fecha dependerá de lo que disponga el agente liquidador.</w:t>
                </w:r>
              </w:p>
            </w:tc>
            <w:tc>
              <w:tcPr>
                <w:tcW w:w="711" w:type="pct"/>
                <w:shd w:val="clear" w:color="auto" w:fill="auto"/>
                <w:vAlign w:val="center"/>
                <w:hideMark/>
              </w:tcPr>
              <w:p w14:paraId="06DF6279" w14:textId="77777777" w:rsidR="00667C9A" w:rsidRDefault="00876054">
                <w:pPr>
                  <w:spacing w:after="0" w:line="240" w:lineRule="auto"/>
                  <w:rPr>
                    <w:rFonts w:ascii="Times New Roman" w:eastAsia="Times New Roman" w:hAnsi="Times New Roman"/>
                    <w:color w:val="000000"/>
                    <w:sz w:val="14"/>
                    <w:szCs w:val="14"/>
                    <w:lang w:eastAsia="es-CO"/>
                  </w:rPr>
                </w:pPr>
                <w:r>
                  <w:rPr>
                    <w:rFonts w:ascii="Times New Roman" w:eastAsia="Times New Roman" w:hAnsi="Times New Roman"/>
                    <w:color w:val="000000"/>
                    <w:sz w:val="14"/>
                    <w:szCs w:val="14"/>
                    <w:lang w:eastAsia="es-CO"/>
                  </w:rPr>
                  <w:t xml:space="preserve">El GIT de Defensa Judicial carece de competencia para su determinación. </w:t>
                </w:r>
              </w:p>
            </w:tc>
            <w:tc>
              <w:tcPr>
                <w:tcW w:w="892" w:type="pct"/>
                <w:shd w:val="clear" w:color="auto" w:fill="auto"/>
                <w:vAlign w:val="center"/>
                <w:hideMark/>
              </w:tcPr>
              <w:p w14:paraId="42D18310" w14:textId="77777777" w:rsidR="00667C9A" w:rsidRDefault="00876054">
                <w:pPr>
                  <w:spacing w:after="0" w:line="240" w:lineRule="auto"/>
                  <w:rPr>
                    <w:rFonts w:ascii="Times New Roman" w:eastAsia="Times New Roman" w:hAnsi="Times New Roman"/>
                    <w:color w:val="000000"/>
                    <w:sz w:val="14"/>
                    <w:szCs w:val="14"/>
                    <w:lang w:eastAsia="es-CO"/>
                  </w:rPr>
                </w:pPr>
                <w:r>
                  <w:rPr>
                    <w:rFonts w:ascii="Times New Roman" w:eastAsia="Times New Roman" w:hAnsi="Times New Roman"/>
                    <w:color w:val="000000"/>
                    <w:sz w:val="14"/>
                    <w:szCs w:val="14"/>
                    <w:lang w:eastAsia="es-CO"/>
                  </w:rPr>
                  <w:t>Inicialmente el término de prescripción es del 16/05/2025, pero se encuentra suspendido por el proceso de liquidación.</w:t>
                </w:r>
              </w:p>
            </w:tc>
          </w:tr>
        </w:tbl>
        <w:p w14:paraId="7F045315" w14:textId="77777777" w:rsidR="0072117C" w:rsidRDefault="0072117C" w:rsidP="00663ED8">
          <w:pPr>
            <w:spacing w:after="0" w:line="240" w:lineRule="auto"/>
            <w:rPr>
              <w:rFonts w:ascii="Times New Roman" w:hAnsi="Times New Roman"/>
              <w:sz w:val="24"/>
              <w:szCs w:val="24"/>
              <w:highlight w:val="darkGreen"/>
            </w:rPr>
          </w:pPr>
        </w:p>
        <w:p w14:paraId="10FA9878" w14:textId="77777777" w:rsidR="009F40C4" w:rsidRDefault="009F40C4" w:rsidP="00663ED8">
          <w:pPr>
            <w:spacing w:after="0" w:line="240" w:lineRule="auto"/>
            <w:rPr>
              <w:rFonts w:ascii="Times New Roman" w:hAnsi="Times New Roman"/>
              <w:sz w:val="24"/>
              <w:szCs w:val="24"/>
              <w:highlight w:val="darkGreen"/>
            </w:rPr>
          </w:pPr>
        </w:p>
        <w:p w14:paraId="11C20311" w14:textId="77777777" w:rsidR="004E5925" w:rsidRDefault="004E5925" w:rsidP="00663ED8">
          <w:pPr>
            <w:spacing w:after="0" w:line="240" w:lineRule="auto"/>
            <w:rPr>
              <w:rFonts w:ascii="Times New Roman" w:hAnsi="Times New Roman"/>
              <w:sz w:val="24"/>
              <w:szCs w:val="24"/>
              <w:highlight w:val="darkGreen"/>
            </w:rPr>
          </w:pPr>
        </w:p>
        <w:p w14:paraId="21272D37" w14:textId="77777777" w:rsidR="004E5925" w:rsidRDefault="004E5925" w:rsidP="00663ED8">
          <w:pPr>
            <w:spacing w:after="0" w:line="240" w:lineRule="auto"/>
            <w:rPr>
              <w:rFonts w:ascii="Times New Roman" w:hAnsi="Times New Roman"/>
              <w:sz w:val="24"/>
              <w:szCs w:val="24"/>
              <w:highlight w:val="darkGreen"/>
            </w:rPr>
          </w:pPr>
        </w:p>
        <w:p w14:paraId="482E072A" w14:textId="199D714A" w:rsidR="00421643" w:rsidRPr="00931DCE" w:rsidRDefault="006C1D75" w:rsidP="002B4ACD">
          <w:pPr>
            <w:pStyle w:val="Ttulo2"/>
            <w:numPr>
              <w:ilvl w:val="0"/>
              <w:numId w:val="0"/>
            </w:numPr>
            <w:spacing w:line="240" w:lineRule="auto"/>
            <w:rPr>
              <w:rFonts w:cs="Times New Roman"/>
              <w:bCs/>
              <w:szCs w:val="24"/>
            </w:rPr>
          </w:pPr>
          <w:bookmarkStart w:id="28" w:name="_Toc159952373"/>
          <w:r w:rsidRPr="00931DCE">
            <w:rPr>
              <w:rFonts w:cs="Times New Roman"/>
              <w:szCs w:val="24"/>
            </w:rPr>
            <w:lastRenderedPageBreak/>
            <w:t>7.</w:t>
          </w:r>
          <w:r w:rsidR="002B4ACD" w:rsidRPr="00931DCE">
            <w:rPr>
              <w:rFonts w:cs="Times New Roman"/>
              <w:szCs w:val="24"/>
            </w:rPr>
            <w:t>6</w:t>
          </w:r>
          <w:r w:rsidRPr="00931DCE">
            <w:rPr>
              <w:rFonts w:cs="Times New Roman"/>
              <w:szCs w:val="24"/>
            </w:rPr>
            <w:t xml:space="preserve">   </w:t>
          </w:r>
          <w:r w:rsidR="00B53C1C" w:rsidRPr="00931DCE">
            <w:rPr>
              <w:rFonts w:cs="Times New Roman"/>
              <w:bCs/>
              <w:szCs w:val="24"/>
            </w:rPr>
            <w:t>Deterioro de las cuentas por cobrar estimadas de manera individual</w:t>
          </w:r>
          <w:bookmarkEnd w:id="28"/>
        </w:p>
        <w:p w14:paraId="0D6B15CF" w14:textId="77777777" w:rsidR="002B4ACD" w:rsidRPr="00931DCE" w:rsidRDefault="002B4ACD" w:rsidP="002B4ACD">
          <w:pPr>
            <w:rPr>
              <w:rFonts w:ascii="Times New Roman" w:hAnsi="Times New Roman"/>
            </w:rPr>
          </w:pPr>
        </w:p>
        <w:p w14:paraId="28D5C408" w14:textId="0BC1EB58" w:rsidR="00421643" w:rsidRPr="00931DCE" w:rsidRDefault="00421643" w:rsidP="00D26FA8">
          <w:pPr>
            <w:spacing w:after="0" w:line="240" w:lineRule="auto"/>
            <w:jc w:val="both"/>
            <w:rPr>
              <w:rFonts w:ascii="Times New Roman" w:hAnsi="Times New Roman"/>
              <w:sz w:val="24"/>
              <w:szCs w:val="24"/>
            </w:rPr>
          </w:pPr>
          <w:r w:rsidRPr="00931DCE">
            <w:rPr>
              <w:rFonts w:ascii="Times New Roman" w:hAnsi="Times New Roman"/>
              <w:sz w:val="24"/>
              <w:szCs w:val="24"/>
              <w:lang w:bidi="es-ES"/>
            </w:rPr>
            <w:t>El G.I.T. de Defensa Judicial de la Vicepresidencia Jurídica</w:t>
          </w:r>
          <w:r w:rsidRPr="00931DCE">
            <w:rPr>
              <w:rFonts w:ascii="Times New Roman" w:hAnsi="Times New Roman"/>
              <w:sz w:val="24"/>
              <w:szCs w:val="24"/>
            </w:rPr>
            <w:t xml:space="preserve"> realizó la evaluación y estimación del deterioro de las cuentas por cobrar de conformidad con el Instructivo/Guía “</w:t>
          </w:r>
          <w:r w:rsidRPr="00931DCE">
            <w:rPr>
              <w:rFonts w:ascii="Times New Roman" w:hAnsi="Times New Roman"/>
              <w:i/>
              <w:iCs/>
              <w:sz w:val="24"/>
              <w:szCs w:val="24"/>
            </w:rPr>
            <w:t>GADF-I-012 Guía para la Estimación del Deterioro de las Cuentas por Cobrar</w:t>
          </w:r>
          <w:r w:rsidRPr="00931DCE">
            <w:rPr>
              <w:rFonts w:ascii="Times New Roman" w:hAnsi="Times New Roman"/>
              <w:sz w:val="24"/>
              <w:szCs w:val="24"/>
            </w:rPr>
            <w:t>” y el “</w:t>
          </w:r>
          <w:r w:rsidRPr="00931DCE">
            <w:rPr>
              <w:rFonts w:ascii="Times New Roman" w:hAnsi="Times New Roman"/>
              <w:i/>
              <w:iCs/>
              <w:sz w:val="24"/>
              <w:szCs w:val="24"/>
            </w:rPr>
            <w:t>Test de Comprobación de Indicios de Deterioro de las Cuentas por Cobrar</w:t>
          </w:r>
          <w:r w:rsidRPr="00931DCE">
            <w:rPr>
              <w:rFonts w:ascii="Times New Roman" w:hAnsi="Times New Roman"/>
              <w:sz w:val="24"/>
              <w:szCs w:val="24"/>
            </w:rPr>
            <w:t>”.</w:t>
          </w:r>
        </w:p>
        <w:p w14:paraId="296E5507" w14:textId="77777777" w:rsidR="00D26FA8" w:rsidRPr="00931DCE" w:rsidRDefault="00D26FA8" w:rsidP="00D26FA8">
          <w:pPr>
            <w:spacing w:after="0" w:line="240" w:lineRule="auto"/>
            <w:jc w:val="both"/>
            <w:rPr>
              <w:rFonts w:ascii="Times New Roman" w:hAnsi="Times New Roman"/>
              <w:sz w:val="24"/>
              <w:szCs w:val="24"/>
            </w:rPr>
          </w:pPr>
        </w:p>
        <w:p w14:paraId="2BCE1E5B" w14:textId="08C0C104" w:rsidR="00421643" w:rsidRPr="00931DCE" w:rsidRDefault="00421643" w:rsidP="00D26FA8">
          <w:pPr>
            <w:spacing w:after="0" w:line="240" w:lineRule="auto"/>
            <w:jc w:val="both"/>
            <w:rPr>
              <w:rFonts w:ascii="Times New Roman" w:hAnsi="Times New Roman"/>
              <w:sz w:val="24"/>
              <w:szCs w:val="24"/>
            </w:rPr>
          </w:pPr>
          <w:r w:rsidRPr="00931DCE">
            <w:rPr>
              <w:rFonts w:ascii="Times New Roman" w:hAnsi="Times New Roman"/>
              <w:sz w:val="24"/>
              <w:szCs w:val="24"/>
            </w:rPr>
            <w:t>A continuación, se detallan los deudores objeto de deterioro:</w:t>
          </w:r>
        </w:p>
        <w:p w14:paraId="65B97744" w14:textId="77777777" w:rsidR="00D26FA8" w:rsidRPr="00931DCE" w:rsidRDefault="00D26FA8" w:rsidP="00D26FA8">
          <w:pPr>
            <w:spacing w:after="0" w:line="240" w:lineRule="auto"/>
            <w:jc w:val="both"/>
            <w:rPr>
              <w:rFonts w:ascii="Times New Roman" w:hAnsi="Times New Roman"/>
              <w:sz w:val="24"/>
              <w:szCs w:val="24"/>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70" w:type="dxa"/>
              <w:right w:w="70" w:type="dxa"/>
            </w:tblCellMar>
            <w:tblLook w:val="04A0" w:firstRow="1" w:lastRow="0" w:firstColumn="1" w:lastColumn="0" w:noHBand="0" w:noVBand="1"/>
          </w:tblPr>
          <w:tblGrid>
            <w:gridCol w:w="988"/>
            <w:gridCol w:w="1134"/>
            <w:gridCol w:w="2551"/>
            <w:gridCol w:w="1134"/>
            <w:gridCol w:w="851"/>
            <w:gridCol w:w="1134"/>
            <w:gridCol w:w="1177"/>
          </w:tblGrid>
          <w:tr w:rsidR="008A3BF1" w:rsidRPr="008A3BF1" w14:paraId="12521282" w14:textId="77777777" w:rsidTr="004E5925">
            <w:trPr>
              <w:cantSplit/>
              <w:trHeight w:val="1042"/>
              <w:tblHeader/>
            </w:trPr>
            <w:tc>
              <w:tcPr>
                <w:tcW w:w="988" w:type="dxa"/>
                <w:shd w:val="clear" w:color="auto" w:fill="auto"/>
                <w:textDirection w:val="btLr"/>
                <w:vAlign w:val="center"/>
                <w:hideMark/>
              </w:tcPr>
              <w:p w14:paraId="4B96B522" w14:textId="77777777" w:rsidR="008A3BF1" w:rsidRPr="008A3BF1" w:rsidRDefault="008A3BF1" w:rsidP="008C3183">
                <w:pPr>
                  <w:spacing w:after="0" w:line="240" w:lineRule="auto"/>
                  <w:ind w:left="113" w:right="113"/>
                  <w:jc w:val="center"/>
                  <w:rPr>
                    <w:rFonts w:ascii="Times New Roman" w:eastAsia="Times New Roman" w:hAnsi="Times New Roman"/>
                    <w:b/>
                    <w:bCs/>
                    <w:color w:val="000000"/>
                    <w:sz w:val="14"/>
                    <w:szCs w:val="14"/>
                    <w:lang w:eastAsia="es-CO"/>
                  </w:rPr>
                </w:pPr>
                <w:r w:rsidRPr="008A3BF1">
                  <w:rPr>
                    <w:rFonts w:ascii="Times New Roman" w:eastAsia="Times New Roman" w:hAnsi="Times New Roman"/>
                    <w:b/>
                    <w:bCs/>
                    <w:color w:val="000000"/>
                    <w:sz w:val="14"/>
                    <w:szCs w:val="14"/>
                    <w:lang w:eastAsia="es-CO"/>
                  </w:rPr>
                  <w:t>CUENTA</w:t>
                </w:r>
              </w:p>
            </w:tc>
            <w:tc>
              <w:tcPr>
                <w:tcW w:w="1134" w:type="dxa"/>
                <w:shd w:val="clear" w:color="auto" w:fill="auto"/>
                <w:textDirection w:val="btLr"/>
                <w:vAlign w:val="center"/>
                <w:hideMark/>
              </w:tcPr>
              <w:p w14:paraId="6FAFC878" w14:textId="77777777" w:rsidR="008A3BF1" w:rsidRPr="008A3BF1" w:rsidRDefault="008A3BF1" w:rsidP="008C3183">
                <w:pPr>
                  <w:spacing w:after="0" w:line="240" w:lineRule="auto"/>
                  <w:ind w:left="113" w:right="113"/>
                  <w:jc w:val="center"/>
                  <w:rPr>
                    <w:rFonts w:ascii="Times New Roman" w:eastAsia="Times New Roman" w:hAnsi="Times New Roman"/>
                    <w:b/>
                    <w:bCs/>
                    <w:color w:val="000000"/>
                    <w:sz w:val="14"/>
                    <w:szCs w:val="14"/>
                    <w:lang w:eastAsia="es-CO"/>
                  </w:rPr>
                </w:pPr>
                <w:r w:rsidRPr="008A3BF1">
                  <w:rPr>
                    <w:rFonts w:ascii="Times New Roman" w:eastAsia="Times New Roman" w:hAnsi="Times New Roman"/>
                    <w:b/>
                    <w:bCs/>
                    <w:color w:val="000000"/>
                    <w:sz w:val="14"/>
                    <w:szCs w:val="14"/>
                    <w:lang w:eastAsia="es-CO"/>
                  </w:rPr>
                  <w:t>Fecha de la Obligación</w:t>
                </w:r>
              </w:p>
            </w:tc>
            <w:tc>
              <w:tcPr>
                <w:tcW w:w="2551" w:type="dxa"/>
                <w:shd w:val="clear" w:color="auto" w:fill="auto"/>
                <w:noWrap/>
                <w:textDirection w:val="btLr"/>
                <w:vAlign w:val="center"/>
                <w:hideMark/>
              </w:tcPr>
              <w:p w14:paraId="45AA8BBE" w14:textId="77777777" w:rsidR="008A3BF1" w:rsidRPr="008A3BF1" w:rsidRDefault="008A3BF1" w:rsidP="008C3183">
                <w:pPr>
                  <w:spacing w:after="0" w:line="240" w:lineRule="auto"/>
                  <w:ind w:left="113" w:right="113"/>
                  <w:jc w:val="center"/>
                  <w:rPr>
                    <w:rFonts w:ascii="Times New Roman" w:eastAsia="Times New Roman" w:hAnsi="Times New Roman"/>
                    <w:b/>
                    <w:bCs/>
                    <w:color w:val="000000"/>
                    <w:sz w:val="14"/>
                    <w:szCs w:val="14"/>
                    <w:lang w:eastAsia="es-CO"/>
                  </w:rPr>
                </w:pPr>
                <w:r w:rsidRPr="008A3BF1">
                  <w:rPr>
                    <w:rFonts w:ascii="Times New Roman" w:eastAsia="Times New Roman" w:hAnsi="Times New Roman"/>
                    <w:b/>
                    <w:bCs/>
                    <w:color w:val="000000"/>
                    <w:sz w:val="14"/>
                    <w:szCs w:val="14"/>
                    <w:lang w:eastAsia="es-CO"/>
                  </w:rPr>
                  <w:t>Tercero</w:t>
                </w:r>
              </w:p>
            </w:tc>
            <w:tc>
              <w:tcPr>
                <w:tcW w:w="1134" w:type="dxa"/>
                <w:shd w:val="clear" w:color="auto" w:fill="auto"/>
                <w:noWrap/>
                <w:textDirection w:val="btLr"/>
                <w:vAlign w:val="center"/>
                <w:hideMark/>
              </w:tcPr>
              <w:p w14:paraId="3ABFE472" w14:textId="77777777" w:rsidR="008A3BF1" w:rsidRPr="008A3BF1" w:rsidRDefault="008A3BF1" w:rsidP="008C3183">
                <w:pPr>
                  <w:spacing w:after="0" w:line="240" w:lineRule="auto"/>
                  <w:ind w:left="113" w:right="113"/>
                  <w:jc w:val="center"/>
                  <w:rPr>
                    <w:rFonts w:ascii="Times New Roman" w:eastAsia="Times New Roman" w:hAnsi="Times New Roman"/>
                    <w:b/>
                    <w:bCs/>
                    <w:color w:val="000000"/>
                    <w:sz w:val="14"/>
                    <w:szCs w:val="14"/>
                    <w:lang w:eastAsia="es-CO"/>
                  </w:rPr>
                </w:pPr>
                <w:r w:rsidRPr="008A3BF1">
                  <w:rPr>
                    <w:rFonts w:ascii="Times New Roman" w:eastAsia="Times New Roman" w:hAnsi="Times New Roman"/>
                    <w:b/>
                    <w:bCs/>
                    <w:color w:val="000000"/>
                    <w:sz w:val="14"/>
                    <w:szCs w:val="14"/>
                    <w:lang w:eastAsia="es-CO"/>
                  </w:rPr>
                  <w:t>Valor</w:t>
                </w:r>
              </w:p>
            </w:tc>
            <w:tc>
              <w:tcPr>
                <w:tcW w:w="851" w:type="dxa"/>
                <w:shd w:val="clear" w:color="auto" w:fill="auto"/>
                <w:textDirection w:val="btLr"/>
                <w:vAlign w:val="center"/>
                <w:hideMark/>
              </w:tcPr>
              <w:p w14:paraId="6EABBCE2" w14:textId="77777777" w:rsidR="008A3BF1" w:rsidRPr="008A3BF1" w:rsidRDefault="008A3BF1" w:rsidP="008C3183">
                <w:pPr>
                  <w:spacing w:after="0" w:line="240" w:lineRule="auto"/>
                  <w:ind w:left="113" w:right="113"/>
                  <w:jc w:val="center"/>
                  <w:rPr>
                    <w:rFonts w:ascii="Times New Roman" w:eastAsia="Times New Roman" w:hAnsi="Times New Roman"/>
                    <w:b/>
                    <w:bCs/>
                    <w:color w:val="000000"/>
                    <w:sz w:val="14"/>
                    <w:szCs w:val="14"/>
                    <w:lang w:eastAsia="es-CO"/>
                  </w:rPr>
                </w:pPr>
                <w:r w:rsidRPr="008A3BF1">
                  <w:rPr>
                    <w:rFonts w:ascii="Times New Roman" w:eastAsia="Times New Roman" w:hAnsi="Times New Roman"/>
                    <w:b/>
                    <w:bCs/>
                    <w:color w:val="000000"/>
                    <w:sz w:val="14"/>
                    <w:szCs w:val="14"/>
                    <w:lang w:eastAsia="es-CO"/>
                  </w:rPr>
                  <w:t>&gt; 3 MESES HASTA 12 MESES</w:t>
                </w:r>
              </w:p>
            </w:tc>
            <w:tc>
              <w:tcPr>
                <w:tcW w:w="1134" w:type="dxa"/>
                <w:shd w:val="clear" w:color="auto" w:fill="auto"/>
                <w:textDirection w:val="btLr"/>
                <w:vAlign w:val="center"/>
                <w:hideMark/>
              </w:tcPr>
              <w:p w14:paraId="4D7A1147" w14:textId="77777777" w:rsidR="008A3BF1" w:rsidRPr="008A3BF1" w:rsidRDefault="008A3BF1" w:rsidP="008C3183">
                <w:pPr>
                  <w:spacing w:after="0" w:line="240" w:lineRule="auto"/>
                  <w:ind w:left="113" w:right="113"/>
                  <w:jc w:val="center"/>
                  <w:rPr>
                    <w:rFonts w:ascii="Times New Roman" w:eastAsia="Times New Roman" w:hAnsi="Times New Roman"/>
                    <w:b/>
                    <w:bCs/>
                    <w:color w:val="000000"/>
                    <w:sz w:val="14"/>
                    <w:szCs w:val="14"/>
                    <w:lang w:eastAsia="es-CO"/>
                  </w:rPr>
                </w:pPr>
                <w:r w:rsidRPr="008A3BF1">
                  <w:rPr>
                    <w:rFonts w:ascii="Times New Roman" w:eastAsia="Times New Roman" w:hAnsi="Times New Roman"/>
                    <w:b/>
                    <w:bCs/>
                    <w:color w:val="000000"/>
                    <w:sz w:val="14"/>
                    <w:szCs w:val="14"/>
                    <w:lang w:eastAsia="es-CO"/>
                  </w:rPr>
                  <w:t xml:space="preserve">&gt; 1 AÑO Y HASTA 3 AÑOS </w:t>
                </w:r>
              </w:p>
            </w:tc>
            <w:tc>
              <w:tcPr>
                <w:tcW w:w="1177" w:type="dxa"/>
                <w:shd w:val="clear" w:color="auto" w:fill="auto"/>
                <w:textDirection w:val="btLr"/>
                <w:vAlign w:val="center"/>
                <w:hideMark/>
              </w:tcPr>
              <w:p w14:paraId="5EF5AF47" w14:textId="77777777" w:rsidR="008A3BF1" w:rsidRPr="008A3BF1" w:rsidRDefault="008A3BF1" w:rsidP="008C3183">
                <w:pPr>
                  <w:spacing w:after="0" w:line="240" w:lineRule="auto"/>
                  <w:ind w:left="113" w:right="113"/>
                  <w:jc w:val="center"/>
                  <w:rPr>
                    <w:rFonts w:ascii="Times New Roman" w:eastAsia="Times New Roman" w:hAnsi="Times New Roman"/>
                    <w:b/>
                    <w:bCs/>
                    <w:color w:val="000000"/>
                    <w:sz w:val="14"/>
                    <w:szCs w:val="14"/>
                    <w:lang w:eastAsia="es-CO"/>
                  </w:rPr>
                </w:pPr>
                <w:r w:rsidRPr="008A3BF1">
                  <w:rPr>
                    <w:rFonts w:ascii="Times New Roman" w:eastAsia="Times New Roman" w:hAnsi="Times New Roman"/>
                    <w:b/>
                    <w:bCs/>
                    <w:color w:val="000000"/>
                    <w:sz w:val="14"/>
                    <w:szCs w:val="14"/>
                    <w:lang w:eastAsia="es-CO"/>
                  </w:rPr>
                  <w:t xml:space="preserve">&gt; 3 AÑOS </w:t>
                </w:r>
              </w:p>
            </w:tc>
          </w:tr>
          <w:tr w:rsidR="008A3BF1" w:rsidRPr="008A3BF1" w14:paraId="107F414A" w14:textId="77777777" w:rsidTr="00BD0D27">
            <w:trPr>
              <w:trHeight w:val="225"/>
            </w:trPr>
            <w:tc>
              <w:tcPr>
                <w:tcW w:w="988" w:type="dxa"/>
                <w:shd w:val="clear" w:color="auto" w:fill="auto"/>
                <w:noWrap/>
                <w:vAlign w:val="center"/>
                <w:hideMark/>
              </w:tcPr>
              <w:p w14:paraId="719CC54A"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Costas procesales</w:t>
                </w:r>
              </w:p>
            </w:tc>
            <w:tc>
              <w:tcPr>
                <w:tcW w:w="1134" w:type="dxa"/>
                <w:shd w:val="clear" w:color="auto" w:fill="auto"/>
                <w:noWrap/>
                <w:vAlign w:val="center"/>
                <w:hideMark/>
              </w:tcPr>
              <w:p w14:paraId="26498D56" w14:textId="77777777" w:rsidR="008A3BF1" w:rsidRPr="008A3BF1" w:rsidRDefault="008A3BF1" w:rsidP="008A3BF1">
                <w:pPr>
                  <w:spacing w:after="0" w:line="240" w:lineRule="auto"/>
                  <w:jc w:val="center"/>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7/06/2019</w:t>
                </w:r>
              </w:p>
            </w:tc>
            <w:tc>
              <w:tcPr>
                <w:tcW w:w="2551" w:type="dxa"/>
                <w:shd w:val="clear" w:color="auto" w:fill="auto"/>
                <w:noWrap/>
                <w:vAlign w:val="center"/>
                <w:hideMark/>
              </w:tcPr>
              <w:p w14:paraId="6EBFF3FB"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MARIA VICTORIA SOLARTE DAZA</w:t>
                </w:r>
              </w:p>
            </w:tc>
            <w:tc>
              <w:tcPr>
                <w:tcW w:w="1134" w:type="dxa"/>
                <w:shd w:val="clear" w:color="auto" w:fill="auto"/>
                <w:noWrap/>
                <w:vAlign w:val="center"/>
                <w:hideMark/>
              </w:tcPr>
              <w:p w14:paraId="54FFD8EC" w14:textId="6EB580FC"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xml:space="preserve">   16.624.840 </w:t>
                </w:r>
              </w:p>
            </w:tc>
            <w:tc>
              <w:tcPr>
                <w:tcW w:w="851" w:type="dxa"/>
                <w:shd w:val="clear" w:color="auto" w:fill="auto"/>
                <w:noWrap/>
                <w:vAlign w:val="center"/>
                <w:hideMark/>
              </w:tcPr>
              <w:p w14:paraId="7631AF92" w14:textId="77777777"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w:t>
                </w:r>
              </w:p>
            </w:tc>
            <w:tc>
              <w:tcPr>
                <w:tcW w:w="1134" w:type="dxa"/>
                <w:shd w:val="clear" w:color="auto" w:fill="auto"/>
                <w:noWrap/>
                <w:vAlign w:val="center"/>
                <w:hideMark/>
              </w:tcPr>
              <w:p w14:paraId="6B296C12" w14:textId="6CD3C504"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xml:space="preserve">   16.624.840 </w:t>
                </w:r>
              </w:p>
            </w:tc>
            <w:tc>
              <w:tcPr>
                <w:tcW w:w="1177" w:type="dxa"/>
                <w:shd w:val="clear" w:color="auto" w:fill="auto"/>
                <w:noWrap/>
                <w:vAlign w:val="center"/>
                <w:hideMark/>
              </w:tcPr>
              <w:p w14:paraId="2F23EE71" w14:textId="77777777"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w:t>
                </w:r>
              </w:p>
            </w:tc>
          </w:tr>
          <w:tr w:rsidR="008A3BF1" w:rsidRPr="008A3BF1" w14:paraId="607DF7AC" w14:textId="77777777" w:rsidTr="00BD0D27">
            <w:trPr>
              <w:trHeight w:val="225"/>
            </w:trPr>
            <w:tc>
              <w:tcPr>
                <w:tcW w:w="988" w:type="dxa"/>
                <w:shd w:val="clear" w:color="auto" w:fill="auto"/>
                <w:noWrap/>
                <w:vAlign w:val="center"/>
                <w:hideMark/>
              </w:tcPr>
              <w:p w14:paraId="7CF87E5C"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Costas procesales</w:t>
                </w:r>
              </w:p>
            </w:tc>
            <w:tc>
              <w:tcPr>
                <w:tcW w:w="1134" w:type="dxa"/>
                <w:shd w:val="clear" w:color="auto" w:fill="auto"/>
                <w:noWrap/>
                <w:vAlign w:val="center"/>
                <w:hideMark/>
              </w:tcPr>
              <w:p w14:paraId="64147E64" w14:textId="77777777" w:rsidR="008A3BF1" w:rsidRPr="008A3BF1" w:rsidRDefault="008A3BF1" w:rsidP="008A3BF1">
                <w:pPr>
                  <w:spacing w:after="0" w:line="240" w:lineRule="auto"/>
                  <w:jc w:val="center"/>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7/06/2019</w:t>
                </w:r>
              </w:p>
            </w:tc>
            <w:tc>
              <w:tcPr>
                <w:tcW w:w="2551" w:type="dxa"/>
                <w:shd w:val="clear" w:color="auto" w:fill="auto"/>
                <w:noWrap/>
                <w:vAlign w:val="center"/>
                <w:hideMark/>
              </w:tcPr>
              <w:p w14:paraId="01419C9F" w14:textId="6D11378E"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xml:space="preserve">LUIS SOLARTE </w:t>
                </w:r>
              </w:p>
            </w:tc>
            <w:tc>
              <w:tcPr>
                <w:tcW w:w="1134" w:type="dxa"/>
                <w:shd w:val="clear" w:color="auto" w:fill="auto"/>
                <w:noWrap/>
                <w:vAlign w:val="center"/>
                <w:hideMark/>
              </w:tcPr>
              <w:p w14:paraId="4D222E84" w14:textId="37137CEB"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xml:space="preserve">   16.624.840 </w:t>
                </w:r>
              </w:p>
            </w:tc>
            <w:tc>
              <w:tcPr>
                <w:tcW w:w="851" w:type="dxa"/>
                <w:shd w:val="clear" w:color="auto" w:fill="auto"/>
                <w:noWrap/>
                <w:vAlign w:val="center"/>
                <w:hideMark/>
              </w:tcPr>
              <w:p w14:paraId="335F64FB" w14:textId="77777777"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w:t>
                </w:r>
              </w:p>
            </w:tc>
            <w:tc>
              <w:tcPr>
                <w:tcW w:w="1134" w:type="dxa"/>
                <w:shd w:val="clear" w:color="auto" w:fill="auto"/>
                <w:noWrap/>
                <w:vAlign w:val="center"/>
                <w:hideMark/>
              </w:tcPr>
              <w:p w14:paraId="6DB1CD1E" w14:textId="40F828AA"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xml:space="preserve">   16.624.840 </w:t>
                </w:r>
              </w:p>
            </w:tc>
            <w:tc>
              <w:tcPr>
                <w:tcW w:w="1177" w:type="dxa"/>
                <w:shd w:val="clear" w:color="auto" w:fill="auto"/>
                <w:noWrap/>
                <w:vAlign w:val="center"/>
                <w:hideMark/>
              </w:tcPr>
              <w:p w14:paraId="5916F33B" w14:textId="77777777"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w:t>
                </w:r>
              </w:p>
            </w:tc>
          </w:tr>
          <w:tr w:rsidR="008A3BF1" w:rsidRPr="008A3BF1" w14:paraId="717FDA02" w14:textId="77777777" w:rsidTr="00BD0D27">
            <w:trPr>
              <w:trHeight w:val="225"/>
            </w:trPr>
            <w:tc>
              <w:tcPr>
                <w:tcW w:w="988" w:type="dxa"/>
                <w:shd w:val="clear" w:color="auto" w:fill="auto"/>
                <w:noWrap/>
                <w:vAlign w:val="center"/>
                <w:hideMark/>
              </w:tcPr>
              <w:p w14:paraId="5B936823"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Costas procesales</w:t>
                </w:r>
              </w:p>
            </w:tc>
            <w:tc>
              <w:tcPr>
                <w:tcW w:w="1134" w:type="dxa"/>
                <w:shd w:val="clear" w:color="auto" w:fill="auto"/>
                <w:noWrap/>
                <w:vAlign w:val="center"/>
                <w:hideMark/>
              </w:tcPr>
              <w:p w14:paraId="410EDAB6" w14:textId="77777777" w:rsidR="008A3BF1" w:rsidRPr="008A3BF1" w:rsidRDefault="008A3BF1" w:rsidP="008A3BF1">
                <w:pPr>
                  <w:spacing w:after="0" w:line="240" w:lineRule="auto"/>
                  <w:jc w:val="center"/>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7/06/2019</w:t>
                </w:r>
              </w:p>
            </w:tc>
            <w:tc>
              <w:tcPr>
                <w:tcW w:w="2551" w:type="dxa"/>
                <w:shd w:val="clear" w:color="auto" w:fill="auto"/>
                <w:noWrap/>
                <w:vAlign w:val="center"/>
                <w:hideMark/>
              </w:tcPr>
              <w:p w14:paraId="71E94358"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EDGAR ARTURO LEON BENAVIDES</w:t>
                </w:r>
              </w:p>
            </w:tc>
            <w:tc>
              <w:tcPr>
                <w:tcW w:w="1134" w:type="dxa"/>
                <w:shd w:val="clear" w:color="auto" w:fill="auto"/>
                <w:noWrap/>
                <w:vAlign w:val="center"/>
                <w:hideMark/>
              </w:tcPr>
              <w:p w14:paraId="1CC96EE6" w14:textId="364BE195"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xml:space="preserve">   16.624.840 </w:t>
                </w:r>
              </w:p>
            </w:tc>
            <w:tc>
              <w:tcPr>
                <w:tcW w:w="851" w:type="dxa"/>
                <w:shd w:val="clear" w:color="auto" w:fill="auto"/>
                <w:noWrap/>
                <w:vAlign w:val="center"/>
                <w:hideMark/>
              </w:tcPr>
              <w:p w14:paraId="76B01EA1" w14:textId="77777777"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w:t>
                </w:r>
              </w:p>
            </w:tc>
            <w:tc>
              <w:tcPr>
                <w:tcW w:w="1134" w:type="dxa"/>
                <w:shd w:val="clear" w:color="auto" w:fill="auto"/>
                <w:noWrap/>
                <w:vAlign w:val="center"/>
                <w:hideMark/>
              </w:tcPr>
              <w:p w14:paraId="5D9405B7" w14:textId="31306D9E"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xml:space="preserve">   16.624.840 </w:t>
                </w:r>
              </w:p>
            </w:tc>
            <w:tc>
              <w:tcPr>
                <w:tcW w:w="1177" w:type="dxa"/>
                <w:shd w:val="clear" w:color="auto" w:fill="auto"/>
                <w:noWrap/>
                <w:vAlign w:val="center"/>
                <w:hideMark/>
              </w:tcPr>
              <w:p w14:paraId="12AC27CF" w14:textId="77777777"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w:t>
                </w:r>
              </w:p>
            </w:tc>
          </w:tr>
          <w:tr w:rsidR="008A3BF1" w:rsidRPr="008A3BF1" w14:paraId="05FCE077" w14:textId="77777777" w:rsidTr="00BD0D27">
            <w:trPr>
              <w:trHeight w:val="225"/>
            </w:trPr>
            <w:tc>
              <w:tcPr>
                <w:tcW w:w="988" w:type="dxa"/>
                <w:shd w:val="clear" w:color="auto" w:fill="auto"/>
                <w:noWrap/>
                <w:vAlign w:val="center"/>
                <w:hideMark/>
              </w:tcPr>
              <w:p w14:paraId="50DB6634"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Costas procesales</w:t>
                </w:r>
              </w:p>
            </w:tc>
            <w:tc>
              <w:tcPr>
                <w:tcW w:w="1134" w:type="dxa"/>
                <w:shd w:val="clear" w:color="auto" w:fill="auto"/>
                <w:noWrap/>
                <w:vAlign w:val="center"/>
                <w:hideMark/>
              </w:tcPr>
              <w:p w14:paraId="0BECACE4" w14:textId="77777777" w:rsidR="008A3BF1" w:rsidRPr="008A3BF1" w:rsidRDefault="008A3BF1" w:rsidP="008A3BF1">
                <w:pPr>
                  <w:spacing w:after="0" w:line="240" w:lineRule="auto"/>
                  <w:jc w:val="center"/>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7/06/2019</w:t>
                </w:r>
              </w:p>
            </w:tc>
            <w:tc>
              <w:tcPr>
                <w:tcW w:w="2551" w:type="dxa"/>
                <w:shd w:val="clear" w:color="auto" w:fill="auto"/>
                <w:noWrap/>
                <w:vAlign w:val="center"/>
                <w:hideMark/>
              </w:tcPr>
              <w:p w14:paraId="11B14BB2"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NELLY BEATRIZ DAZA SOLARTE</w:t>
                </w:r>
              </w:p>
            </w:tc>
            <w:tc>
              <w:tcPr>
                <w:tcW w:w="1134" w:type="dxa"/>
                <w:shd w:val="clear" w:color="auto" w:fill="auto"/>
                <w:noWrap/>
                <w:vAlign w:val="center"/>
                <w:hideMark/>
              </w:tcPr>
              <w:p w14:paraId="59B1AD3A" w14:textId="145CA76C"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xml:space="preserve">   16.624.840 </w:t>
                </w:r>
              </w:p>
            </w:tc>
            <w:tc>
              <w:tcPr>
                <w:tcW w:w="851" w:type="dxa"/>
                <w:shd w:val="clear" w:color="auto" w:fill="auto"/>
                <w:noWrap/>
                <w:vAlign w:val="center"/>
                <w:hideMark/>
              </w:tcPr>
              <w:p w14:paraId="104F6171" w14:textId="77777777"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w:t>
                </w:r>
              </w:p>
            </w:tc>
            <w:tc>
              <w:tcPr>
                <w:tcW w:w="1134" w:type="dxa"/>
                <w:shd w:val="clear" w:color="auto" w:fill="auto"/>
                <w:noWrap/>
                <w:vAlign w:val="center"/>
                <w:hideMark/>
              </w:tcPr>
              <w:p w14:paraId="5059D795" w14:textId="3EABE937"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xml:space="preserve">   16.624.840 </w:t>
                </w:r>
              </w:p>
            </w:tc>
            <w:tc>
              <w:tcPr>
                <w:tcW w:w="1177" w:type="dxa"/>
                <w:shd w:val="clear" w:color="auto" w:fill="auto"/>
                <w:noWrap/>
                <w:vAlign w:val="center"/>
                <w:hideMark/>
              </w:tcPr>
              <w:p w14:paraId="21B05D6D" w14:textId="77777777"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w:t>
                </w:r>
              </w:p>
            </w:tc>
          </w:tr>
          <w:tr w:rsidR="008A3BF1" w:rsidRPr="008A3BF1" w14:paraId="1B207A6F" w14:textId="77777777" w:rsidTr="00BD0D27">
            <w:trPr>
              <w:trHeight w:val="225"/>
            </w:trPr>
            <w:tc>
              <w:tcPr>
                <w:tcW w:w="988" w:type="dxa"/>
                <w:shd w:val="clear" w:color="auto" w:fill="auto"/>
                <w:noWrap/>
                <w:vAlign w:val="center"/>
                <w:hideMark/>
              </w:tcPr>
              <w:p w14:paraId="513BDBBE"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Costas procesales</w:t>
                </w:r>
              </w:p>
            </w:tc>
            <w:tc>
              <w:tcPr>
                <w:tcW w:w="1134" w:type="dxa"/>
                <w:shd w:val="clear" w:color="auto" w:fill="auto"/>
                <w:noWrap/>
                <w:vAlign w:val="center"/>
                <w:hideMark/>
              </w:tcPr>
              <w:p w14:paraId="0069EFCE" w14:textId="77777777" w:rsidR="008A3BF1" w:rsidRPr="008A3BF1" w:rsidRDefault="008A3BF1" w:rsidP="008A3BF1">
                <w:pPr>
                  <w:spacing w:after="0" w:line="240" w:lineRule="auto"/>
                  <w:jc w:val="center"/>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23/02/2022</w:t>
                </w:r>
              </w:p>
            </w:tc>
            <w:tc>
              <w:tcPr>
                <w:tcW w:w="2551" w:type="dxa"/>
                <w:shd w:val="clear" w:color="auto" w:fill="auto"/>
                <w:noWrap/>
                <w:vAlign w:val="center"/>
                <w:hideMark/>
              </w:tcPr>
              <w:p w14:paraId="7B2154E6"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AUTOPISTAS DE LA SABANA S.A.S</w:t>
                </w:r>
              </w:p>
            </w:tc>
            <w:tc>
              <w:tcPr>
                <w:tcW w:w="1134" w:type="dxa"/>
                <w:shd w:val="clear" w:color="auto" w:fill="auto"/>
                <w:noWrap/>
                <w:vAlign w:val="center"/>
                <w:hideMark/>
              </w:tcPr>
              <w:p w14:paraId="48C2FC0F" w14:textId="768CA932"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xml:space="preserve"> 9.085.260 </w:t>
                </w:r>
              </w:p>
            </w:tc>
            <w:tc>
              <w:tcPr>
                <w:tcW w:w="851" w:type="dxa"/>
                <w:shd w:val="clear" w:color="auto" w:fill="auto"/>
                <w:noWrap/>
                <w:vAlign w:val="center"/>
                <w:hideMark/>
              </w:tcPr>
              <w:p w14:paraId="7B4CA117" w14:textId="77777777"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w:t>
                </w:r>
              </w:p>
            </w:tc>
            <w:tc>
              <w:tcPr>
                <w:tcW w:w="1134" w:type="dxa"/>
                <w:shd w:val="clear" w:color="auto" w:fill="auto"/>
                <w:noWrap/>
                <w:vAlign w:val="center"/>
                <w:hideMark/>
              </w:tcPr>
              <w:p w14:paraId="45CCE0CC" w14:textId="412EA9CE"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xml:space="preserve"> 9.085.260 </w:t>
                </w:r>
              </w:p>
            </w:tc>
            <w:tc>
              <w:tcPr>
                <w:tcW w:w="1177" w:type="dxa"/>
                <w:shd w:val="clear" w:color="auto" w:fill="auto"/>
                <w:noWrap/>
                <w:vAlign w:val="bottom"/>
                <w:hideMark/>
              </w:tcPr>
              <w:p w14:paraId="5FD8CC3F"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w:t>
                </w:r>
              </w:p>
            </w:tc>
          </w:tr>
          <w:tr w:rsidR="008A3BF1" w:rsidRPr="008A3BF1" w14:paraId="1ECB04A3" w14:textId="77777777" w:rsidTr="00BD0D27">
            <w:trPr>
              <w:trHeight w:val="225"/>
            </w:trPr>
            <w:tc>
              <w:tcPr>
                <w:tcW w:w="988" w:type="dxa"/>
                <w:shd w:val="clear" w:color="auto" w:fill="auto"/>
                <w:noWrap/>
                <w:vAlign w:val="center"/>
                <w:hideMark/>
              </w:tcPr>
              <w:p w14:paraId="4805BD3B"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Costas procesales</w:t>
                </w:r>
              </w:p>
            </w:tc>
            <w:tc>
              <w:tcPr>
                <w:tcW w:w="1134" w:type="dxa"/>
                <w:shd w:val="clear" w:color="auto" w:fill="auto"/>
                <w:noWrap/>
                <w:vAlign w:val="center"/>
                <w:hideMark/>
              </w:tcPr>
              <w:p w14:paraId="1F395029" w14:textId="77777777" w:rsidR="008A3BF1" w:rsidRPr="008A3BF1" w:rsidRDefault="008A3BF1" w:rsidP="008A3BF1">
                <w:pPr>
                  <w:spacing w:after="0" w:line="240" w:lineRule="auto"/>
                  <w:jc w:val="center"/>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31/07/2021</w:t>
                </w:r>
              </w:p>
            </w:tc>
            <w:tc>
              <w:tcPr>
                <w:tcW w:w="2551" w:type="dxa"/>
                <w:shd w:val="clear" w:color="auto" w:fill="auto"/>
                <w:noWrap/>
                <w:vAlign w:val="center"/>
                <w:hideMark/>
              </w:tcPr>
              <w:p w14:paraId="74C4F28F"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DIEGO MARIA LOPEZ GOMEZ</w:t>
                </w:r>
              </w:p>
            </w:tc>
            <w:tc>
              <w:tcPr>
                <w:tcW w:w="1134" w:type="dxa"/>
                <w:shd w:val="clear" w:color="auto" w:fill="auto"/>
                <w:noWrap/>
                <w:vAlign w:val="center"/>
                <w:hideMark/>
              </w:tcPr>
              <w:p w14:paraId="429A4498" w14:textId="7A056424"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xml:space="preserve"> 8.027.737 </w:t>
                </w:r>
              </w:p>
            </w:tc>
            <w:tc>
              <w:tcPr>
                <w:tcW w:w="851" w:type="dxa"/>
                <w:shd w:val="clear" w:color="auto" w:fill="auto"/>
                <w:noWrap/>
                <w:vAlign w:val="bottom"/>
                <w:hideMark/>
              </w:tcPr>
              <w:p w14:paraId="334663BF"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w:t>
                </w:r>
              </w:p>
            </w:tc>
            <w:tc>
              <w:tcPr>
                <w:tcW w:w="1134" w:type="dxa"/>
                <w:shd w:val="clear" w:color="auto" w:fill="auto"/>
                <w:noWrap/>
                <w:vAlign w:val="center"/>
                <w:hideMark/>
              </w:tcPr>
              <w:p w14:paraId="2E6D58C6" w14:textId="1EE1288E"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xml:space="preserve"> 8.027.737 </w:t>
                </w:r>
              </w:p>
            </w:tc>
            <w:tc>
              <w:tcPr>
                <w:tcW w:w="1177" w:type="dxa"/>
                <w:shd w:val="clear" w:color="auto" w:fill="auto"/>
                <w:noWrap/>
                <w:vAlign w:val="bottom"/>
                <w:hideMark/>
              </w:tcPr>
              <w:p w14:paraId="33F37B39"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w:t>
                </w:r>
              </w:p>
            </w:tc>
          </w:tr>
          <w:tr w:rsidR="008A3BF1" w:rsidRPr="008A3BF1" w14:paraId="04821385" w14:textId="77777777" w:rsidTr="00BD0D27">
            <w:trPr>
              <w:trHeight w:val="225"/>
            </w:trPr>
            <w:tc>
              <w:tcPr>
                <w:tcW w:w="988" w:type="dxa"/>
                <w:shd w:val="clear" w:color="auto" w:fill="auto"/>
                <w:noWrap/>
                <w:vAlign w:val="center"/>
                <w:hideMark/>
              </w:tcPr>
              <w:p w14:paraId="6D7DAD44"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Costas procesales</w:t>
                </w:r>
              </w:p>
            </w:tc>
            <w:tc>
              <w:tcPr>
                <w:tcW w:w="1134" w:type="dxa"/>
                <w:shd w:val="clear" w:color="auto" w:fill="auto"/>
                <w:noWrap/>
                <w:vAlign w:val="center"/>
                <w:hideMark/>
              </w:tcPr>
              <w:p w14:paraId="096CF18F" w14:textId="77777777" w:rsidR="008A3BF1" w:rsidRPr="008A3BF1" w:rsidRDefault="008A3BF1" w:rsidP="008A3BF1">
                <w:pPr>
                  <w:spacing w:after="0" w:line="240" w:lineRule="auto"/>
                  <w:jc w:val="center"/>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31/07/2021</w:t>
                </w:r>
              </w:p>
            </w:tc>
            <w:tc>
              <w:tcPr>
                <w:tcW w:w="2551" w:type="dxa"/>
                <w:shd w:val="clear" w:color="auto" w:fill="auto"/>
                <w:noWrap/>
                <w:vAlign w:val="center"/>
                <w:hideMark/>
              </w:tcPr>
              <w:p w14:paraId="337BA523" w14:textId="6BC42E19"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ALVARO MONTES SEVILLA</w:t>
                </w:r>
              </w:p>
            </w:tc>
            <w:tc>
              <w:tcPr>
                <w:tcW w:w="1134" w:type="dxa"/>
                <w:shd w:val="clear" w:color="auto" w:fill="auto"/>
                <w:noWrap/>
                <w:vAlign w:val="center"/>
                <w:hideMark/>
              </w:tcPr>
              <w:p w14:paraId="297AED4F" w14:textId="50674218"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xml:space="preserve"> 7.200.000 </w:t>
                </w:r>
              </w:p>
            </w:tc>
            <w:tc>
              <w:tcPr>
                <w:tcW w:w="851" w:type="dxa"/>
                <w:shd w:val="clear" w:color="auto" w:fill="auto"/>
                <w:noWrap/>
                <w:vAlign w:val="center"/>
                <w:hideMark/>
              </w:tcPr>
              <w:p w14:paraId="6BEEAF03" w14:textId="77777777" w:rsidR="008A3BF1" w:rsidRPr="008A3BF1" w:rsidRDefault="008A3BF1" w:rsidP="008A3BF1">
                <w:pPr>
                  <w:spacing w:after="0" w:line="240" w:lineRule="auto"/>
                  <w:jc w:val="right"/>
                  <w:rPr>
                    <w:rFonts w:ascii="Times New Roman" w:eastAsia="Times New Roman" w:hAnsi="Times New Roman"/>
                    <w:b/>
                    <w:bCs/>
                    <w:color w:val="000000"/>
                    <w:sz w:val="14"/>
                    <w:szCs w:val="14"/>
                    <w:lang w:eastAsia="es-CO"/>
                  </w:rPr>
                </w:pPr>
                <w:r w:rsidRPr="008A3BF1">
                  <w:rPr>
                    <w:rFonts w:ascii="Times New Roman" w:eastAsia="Times New Roman" w:hAnsi="Times New Roman"/>
                    <w:b/>
                    <w:bCs/>
                    <w:color w:val="000000"/>
                    <w:sz w:val="14"/>
                    <w:szCs w:val="14"/>
                    <w:lang w:eastAsia="es-CO"/>
                  </w:rPr>
                  <w:t> </w:t>
                </w:r>
              </w:p>
            </w:tc>
            <w:tc>
              <w:tcPr>
                <w:tcW w:w="1134" w:type="dxa"/>
                <w:shd w:val="clear" w:color="auto" w:fill="auto"/>
                <w:noWrap/>
                <w:vAlign w:val="center"/>
                <w:hideMark/>
              </w:tcPr>
              <w:p w14:paraId="3EBCF296" w14:textId="48B93364"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xml:space="preserve"> 7.200.000 </w:t>
                </w:r>
              </w:p>
            </w:tc>
            <w:tc>
              <w:tcPr>
                <w:tcW w:w="1177" w:type="dxa"/>
                <w:shd w:val="clear" w:color="auto" w:fill="auto"/>
                <w:noWrap/>
                <w:vAlign w:val="center"/>
                <w:hideMark/>
              </w:tcPr>
              <w:p w14:paraId="71B33EEE" w14:textId="77777777" w:rsidR="008A3BF1" w:rsidRPr="008A3BF1" w:rsidRDefault="008A3BF1" w:rsidP="008A3BF1">
                <w:pPr>
                  <w:spacing w:after="0" w:line="240" w:lineRule="auto"/>
                  <w:jc w:val="right"/>
                  <w:rPr>
                    <w:rFonts w:ascii="Times New Roman" w:eastAsia="Times New Roman" w:hAnsi="Times New Roman"/>
                    <w:b/>
                    <w:bCs/>
                    <w:color w:val="000000"/>
                    <w:sz w:val="14"/>
                    <w:szCs w:val="14"/>
                    <w:lang w:eastAsia="es-CO"/>
                  </w:rPr>
                </w:pPr>
                <w:r w:rsidRPr="008A3BF1">
                  <w:rPr>
                    <w:rFonts w:ascii="Times New Roman" w:eastAsia="Times New Roman" w:hAnsi="Times New Roman"/>
                    <w:b/>
                    <w:bCs/>
                    <w:color w:val="000000"/>
                    <w:sz w:val="14"/>
                    <w:szCs w:val="14"/>
                    <w:lang w:eastAsia="es-CO"/>
                  </w:rPr>
                  <w:t> </w:t>
                </w:r>
              </w:p>
            </w:tc>
          </w:tr>
          <w:tr w:rsidR="008A3BF1" w:rsidRPr="008A3BF1" w14:paraId="1D544398" w14:textId="77777777" w:rsidTr="00BD0D27">
            <w:trPr>
              <w:trHeight w:val="225"/>
            </w:trPr>
            <w:tc>
              <w:tcPr>
                <w:tcW w:w="988" w:type="dxa"/>
                <w:shd w:val="clear" w:color="auto" w:fill="auto"/>
                <w:noWrap/>
                <w:vAlign w:val="center"/>
                <w:hideMark/>
              </w:tcPr>
              <w:p w14:paraId="0D338DE4"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Costas procesales</w:t>
                </w:r>
              </w:p>
            </w:tc>
            <w:tc>
              <w:tcPr>
                <w:tcW w:w="1134" w:type="dxa"/>
                <w:shd w:val="clear" w:color="auto" w:fill="auto"/>
                <w:noWrap/>
                <w:vAlign w:val="center"/>
                <w:hideMark/>
              </w:tcPr>
              <w:p w14:paraId="0DD71CA1" w14:textId="77777777" w:rsidR="008A3BF1" w:rsidRPr="008A3BF1" w:rsidRDefault="008A3BF1" w:rsidP="008A3BF1">
                <w:pPr>
                  <w:spacing w:after="0" w:line="240" w:lineRule="auto"/>
                  <w:jc w:val="center"/>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31/07/2021</w:t>
                </w:r>
              </w:p>
            </w:tc>
            <w:tc>
              <w:tcPr>
                <w:tcW w:w="2551" w:type="dxa"/>
                <w:shd w:val="clear" w:color="auto" w:fill="auto"/>
                <w:noWrap/>
                <w:vAlign w:val="center"/>
                <w:hideMark/>
              </w:tcPr>
              <w:p w14:paraId="1071F3D4"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JOSE MARIA HERNANDEZ SOLARTE</w:t>
                </w:r>
              </w:p>
            </w:tc>
            <w:tc>
              <w:tcPr>
                <w:tcW w:w="1134" w:type="dxa"/>
                <w:shd w:val="clear" w:color="auto" w:fill="auto"/>
                <w:noWrap/>
                <w:vAlign w:val="center"/>
                <w:hideMark/>
              </w:tcPr>
              <w:p w14:paraId="7EA3CD59" w14:textId="03952724"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xml:space="preserve">811.700 </w:t>
                </w:r>
              </w:p>
            </w:tc>
            <w:tc>
              <w:tcPr>
                <w:tcW w:w="851" w:type="dxa"/>
                <w:shd w:val="clear" w:color="auto" w:fill="auto"/>
                <w:noWrap/>
                <w:vAlign w:val="bottom"/>
                <w:hideMark/>
              </w:tcPr>
              <w:p w14:paraId="6D09DE84"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w:t>
                </w:r>
              </w:p>
            </w:tc>
            <w:tc>
              <w:tcPr>
                <w:tcW w:w="1134" w:type="dxa"/>
                <w:shd w:val="clear" w:color="auto" w:fill="auto"/>
                <w:noWrap/>
                <w:vAlign w:val="center"/>
                <w:hideMark/>
              </w:tcPr>
              <w:p w14:paraId="2EAA72A7" w14:textId="3C6F55B0"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xml:space="preserve">811.700 </w:t>
                </w:r>
              </w:p>
            </w:tc>
            <w:tc>
              <w:tcPr>
                <w:tcW w:w="1177" w:type="dxa"/>
                <w:shd w:val="clear" w:color="auto" w:fill="auto"/>
                <w:noWrap/>
                <w:vAlign w:val="bottom"/>
                <w:hideMark/>
              </w:tcPr>
              <w:p w14:paraId="5BFD3E84"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w:t>
                </w:r>
              </w:p>
            </w:tc>
          </w:tr>
          <w:tr w:rsidR="008A3BF1" w:rsidRPr="008A3BF1" w14:paraId="7DECC53C" w14:textId="77777777" w:rsidTr="00BD0D27">
            <w:trPr>
              <w:trHeight w:val="225"/>
            </w:trPr>
            <w:tc>
              <w:tcPr>
                <w:tcW w:w="988" w:type="dxa"/>
                <w:shd w:val="clear" w:color="auto" w:fill="auto"/>
                <w:noWrap/>
                <w:vAlign w:val="center"/>
                <w:hideMark/>
              </w:tcPr>
              <w:p w14:paraId="44B1D870"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Costas procesales</w:t>
                </w:r>
              </w:p>
            </w:tc>
            <w:tc>
              <w:tcPr>
                <w:tcW w:w="1134" w:type="dxa"/>
                <w:shd w:val="clear" w:color="auto" w:fill="auto"/>
                <w:noWrap/>
                <w:vAlign w:val="center"/>
                <w:hideMark/>
              </w:tcPr>
              <w:p w14:paraId="75C91FB2" w14:textId="77777777" w:rsidR="008A3BF1" w:rsidRPr="008A3BF1" w:rsidRDefault="008A3BF1" w:rsidP="008A3BF1">
                <w:pPr>
                  <w:spacing w:after="0" w:line="240" w:lineRule="auto"/>
                  <w:jc w:val="center"/>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31/07/2021</w:t>
                </w:r>
              </w:p>
            </w:tc>
            <w:tc>
              <w:tcPr>
                <w:tcW w:w="2551" w:type="dxa"/>
                <w:shd w:val="clear" w:color="auto" w:fill="auto"/>
                <w:noWrap/>
                <w:vAlign w:val="center"/>
                <w:hideMark/>
              </w:tcPr>
              <w:p w14:paraId="3FD1D5CB"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PAULA ANDREA LOPEZ ORTIZ</w:t>
                </w:r>
              </w:p>
            </w:tc>
            <w:tc>
              <w:tcPr>
                <w:tcW w:w="1134" w:type="dxa"/>
                <w:shd w:val="clear" w:color="auto" w:fill="auto"/>
                <w:noWrap/>
                <w:vAlign w:val="center"/>
                <w:hideMark/>
              </w:tcPr>
              <w:p w14:paraId="70039666" w14:textId="652F3156"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xml:space="preserve"> 1.166.630 </w:t>
                </w:r>
              </w:p>
            </w:tc>
            <w:tc>
              <w:tcPr>
                <w:tcW w:w="851" w:type="dxa"/>
                <w:shd w:val="clear" w:color="auto" w:fill="auto"/>
                <w:noWrap/>
                <w:vAlign w:val="center"/>
                <w:hideMark/>
              </w:tcPr>
              <w:p w14:paraId="54ADB619" w14:textId="77777777"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w:t>
                </w:r>
              </w:p>
            </w:tc>
            <w:tc>
              <w:tcPr>
                <w:tcW w:w="1134" w:type="dxa"/>
                <w:shd w:val="clear" w:color="auto" w:fill="auto"/>
                <w:noWrap/>
                <w:vAlign w:val="center"/>
                <w:hideMark/>
              </w:tcPr>
              <w:p w14:paraId="272FBE6A" w14:textId="75EEA368"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xml:space="preserve"> 1.166.630 </w:t>
                </w:r>
              </w:p>
            </w:tc>
            <w:tc>
              <w:tcPr>
                <w:tcW w:w="1177" w:type="dxa"/>
                <w:shd w:val="clear" w:color="auto" w:fill="auto"/>
                <w:noWrap/>
                <w:vAlign w:val="center"/>
                <w:hideMark/>
              </w:tcPr>
              <w:p w14:paraId="6DA8C079" w14:textId="77777777"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w:t>
                </w:r>
              </w:p>
            </w:tc>
          </w:tr>
          <w:tr w:rsidR="008A3BF1" w:rsidRPr="008A3BF1" w14:paraId="6890CA3B" w14:textId="77777777" w:rsidTr="00BD0D27">
            <w:trPr>
              <w:trHeight w:val="225"/>
            </w:trPr>
            <w:tc>
              <w:tcPr>
                <w:tcW w:w="988" w:type="dxa"/>
                <w:shd w:val="clear" w:color="auto" w:fill="auto"/>
                <w:noWrap/>
                <w:vAlign w:val="center"/>
                <w:hideMark/>
              </w:tcPr>
              <w:p w14:paraId="7F57828F"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Costas procesales</w:t>
                </w:r>
              </w:p>
            </w:tc>
            <w:tc>
              <w:tcPr>
                <w:tcW w:w="1134" w:type="dxa"/>
                <w:shd w:val="clear" w:color="auto" w:fill="auto"/>
                <w:noWrap/>
                <w:vAlign w:val="center"/>
                <w:hideMark/>
              </w:tcPr>
              <w:p w14:paraId="5B389A37" w14:textId="77777777" w:rsidR="008A3BF1" w:rsidRPr="008A3BF1" w:rsidRDefault="008A3BF1" w:rsidP="008A3BF1">
                <w:pPr>
                  <w:spacing w:after="0" w:line="240" w:lineRule="auto"/>
                  <w:jc w:val="center"/>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31/07/2021</w:t>
                </w:r>
              </w:p>
            </w:tc>
            <w:tc>
              <w:tcPr>
                <w:tcW w:w="2551" w:type="dxa"/>
                <w:shd w:val="clear" w:color="auto" w:fill="auto"/>
                <w:noWrap/>
                <w:vAlign w:val="center"/>
                <w:hideMark/>
              </w:tcPr>
              <w:p w14:paraId="258109F9"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NELVIS BEATRIZ AMAYA ROBLES</w:t>
                </w:r>
              </w:p>
            </w:tc>
            <w:tc>
              <w:tcPr>
                <w:tcW w:w="1134" w:type="dxa"/>
                <w:shd w:val="clear" w:color="auto" w:fill="auto"/>
                <w:noWrap/>
                <w:vAlign w:val="center"/>
                <w:hideMark/>
              </w:tcPr>
              <w:p w14:paraId="62684EB3" w14:textId="7955425B"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xml:space="preserve">908.526 </w:t>
                </w:r>
              </w:p>
            </w:tc>
            <w:tc>
              <w:tcPr>
                <w:tcW w:w="851" w:type="dxa"/>
                <w:shd w:val="clear" w:color="auto" w:fill="auto"/>
                <w:noWrap/>
                <w:vAlign w:val="center"/>
                <w:hideMark/>
              </w:tcPr>
              <w:p w14:paraId="56A02089" w14:textId="77777777"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w:t>
                </w:r>
              </w:p>
            </w:tc>
            <w:tc>
              <w:tcPr>
                <w:tcW w:w="1134" w:type="dxa"/>
                <w:shd w:val="clear" w:color="auto" w:fill="auto"/>
                <w:noWrap/>
                <w:vAlign w:val="center"/>
                <w:hideMark/>
              </w:tcPr>
              <w:p w14:paraId="580D1D1B" w14:textId="0D08FFC6"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xml:space="preserve">908.526 </w:t>
                </w:r>
              </w:p>
            </w:tc>
            <w:tc>
              <w:tcPr>
                <w:tcW w:w="1177" w:type="dxa"/>
                <w:shd w:val="clear" w:color="auto" w:fill="auto"/>
                <w:noWrap/>
                <w:vAlign w:val="center"/>
                <w:hideMark/>
              </w:tcPr>
              <w:p w14:paraId="0A227FE2" w14:textId="77777777"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w:t>
                </w:r>
              </w:p>
            </w:tc>
          </w:tr>
          <w:tr w:rsidR="008A3BF1" w:rsidRPr="008A3BF1" w14:paraId="6C05EAD5" w14:textId="77777777" w:rsidTr="00BD0D27">
            <w:trPr>
              <w:trHeight w:val="225"/>
            </w:trPr>
            <w:tc>
              <w:tcPr>
                <w:tcW w:w="988" w:type="dxa"/>
                <w:shd w:val="clear" w:color="auto" w:fill="auto"/>
                <w:noWrap/>
                <w:vAlign w:val="center"/>
                <w:hideMark/>
              </w:tcPr>
              <w:p w14:paraId="15AB1E11"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Costas procesales</w:t>
                </w:r>
              </w:p>
            </w:tc>
            <w:tc>
              <w:tcPr>
                <w:tcW w:w="1134" w:type="dxa"/>
                <w:shd w:val="clear" w:color="auto" w:fill="auto"/>
                <w:noWrap/>
                <w:vAlign w:val="center"/>
                <w:hideMark/>
              </w:tcPr>
              <w:p w14:paraId="60AD237A" w14:textId="77777777" w:rsidR="008A3BF1" w:rsidRPr="008A3BF1" w:rsidRDefault="008A3BF1" w:rsidP="008A3BF1">
                <w:pPr>
                  <w:spacing w:after="0" w:line="240" w:lineRule="auto"/>
                  <w:jc w:val="center"/>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31/07/2021</w:t>
                </w:r>
              </w:p>
            </w:tc>
            <w:tc>
              <w:tcPr>
                <w:tcW w:w="2551" w:type="dxa"/>
                <w:shd w:val="clear" w:color="auto" w:fill="auto"/>
                <w:noWrap/>
                <w:vAlign w:val="center"/>
                <w:hideMark/>
              </w:tcPr>
              <w:p w14:paraId="6D36ED16"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DUMAR ALEXANDER NEIRA AYA</w:t>
                </w:r>
              </w:p>
            </w:tc>
            <w:tc>
              <w:tcPr>
                <w:tcW w:w="1134" w:type="dxa"/>
                <w:shd w:val="clear" w:color="auto" w:fill="auto"/>
                <w:noWrap/>
                <w:vAlign w:val="center"/>
                <w:hideMark/>
              </w:tcPr>
              <w:p w14:paraId="6F32692A" w14:textId="0EF66670"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xml:space="preserve">828.116 </w:t>
                </w:r>
              </w:p>
            </w:tc>
            <w:tc>
              <w:tcPr>
                <w:tcW w:w="851" w:type="dxa"/>
                <w:shd w:val="clear" w:color="auto" w:fill="auto"/>
                <w:noWrap/>
                <w:vAlign w:val="bottom"/>
                <w:hideMark/>
              </w:tcPr>
              <w:p w14:paraId="7BF959FA"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w:t>
                </w:r>
              </w:p>
            </w:tc>
            <w:tc>
              <w:tcPr>
                <w:tcW w:w="1134" w:type="dxa"/>
                <w:shd w:val="clear" w:color="auto" w:fill="auto"/>
                <w:noWrap/>
                <w:vAlign w:val="center"/>
                <w:hideMark/>
              </w:tcPr>
              <w:p w14:paraId="27FDD76A" w14:textId="5C23C752"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xml:space="preserve">828.116 </w:t>
                </w:r>
              </w:p>
            </w:tc>
            <w:tc>
              <w:tcPr>
                <w:tcW w:w="1177" w:type="dxa"/>
                <w:shd w:val="clear" w:color="auto" w:fill="auto"/>
                <w:noWrap/>
                <w:vAlign w:val="bottom"/>
                <w:hideMark/>
              </w:tcPr>
              <w:p w14:paraId="503DC045"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w:t>
                </w:r>
              </w:p>
            </w:tc>
          </w:tr>
          <w:tr w:rsidR="008A3BF1" w:rsidRPr="008A3BF1" w14:paraId="02B520CF" w14:textId="77777777" w:rsidTr="00BD0D27">
            <w:trPr>
              <w:trHeight w:val="225"/>
            </w:trPr>
            <w:tc>
              <w:tcPr>
                <w:tcW w:w="988" w:type="dxa"/>
                <w:shd w:val="clear" w:color="auto" w:fill="auto"/>
                <w:noWrap/>
                <w:vAlign w:val="center"/>
                <w:hideMark/>
              </w:tcPr>
              <w:p w14:paraId="3A0EF06E"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Costas procesales</w:t>
                </w:r>
              </w:p>
            </w:tc>
            <w:tc>
              <w:tcPr>
                <w:tcW w:w="1134" w:type="dxa"/>
                <w:shd w:val="clear" w:color="auto" w:fill="auto"/>
                <w:noWrap/>
                <w:vAlign w:val="center"/>
                <w:hideMark/>
              </w:tcPr>
              <w:p w14:paraId="6A2A79F6" w14:textId="77777777" w:rsidR="008A3BF1" w:rsidRPr="008A3BF1" w:rsidRDefault="008A3BF1" w:rsidP="008A3BF1">
                <w:pPr>
                  <w:spacing w:after="0" w:line="240" w:lineRule="auto"/>
                  <w:jc w:val="center"/>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31/07/2021</w:t>
                </w:r>
              </w:p>
            </w:tc>
            <w:tc>
              <w:tcPr>
                <w:tcW w:w="2551" w:type="dxa"/>
                <w:shd w:val="clear" w:color="auto" w:fill="auto"/>
                <w:noWrap/>
                <w:vAlign w:val="center"/>
                <w:hideMark/>
              </w:tcPr>
              <w:p w14:paraId="7A95AF93"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JAIRO MAURICIO MERCHAN ACOSTA</w:t>
                </w:r>
              </w:p>
            </w:tc>
            <w:tc>
              <w:tcPr>
                <w:tcW w:w="1134" w:type="dxa"/>
                <w:shd w:val="clear" w:color="auto" w:fill="auto"/>
                <w:noWrap/>
                <w:vAlign w:val="center"/>
                <w:hideMark/>
              </w:tcPr>
              <w:p w14:paraId="5B7D991B" w14:textId="7D8DD4B0"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xml:space="preserve">826.116 </w:t>
                </w:r>
              </w:p>
            </w:tc>
            <w:tc>
              <w:tcPr>
                <w:tcW w:w="851" w:type="dxa"/>
                <w:shd w:val="clear" w:color="auto" w:fill="auto"/>
                <w:noWrap/>
                <w:vAlign w:val="center"/>
                <w:hideMark/>
              </w:tcPr>
              <w:p w14:paraId="7C6780A3" w14:textId="77777777"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w:t>
                </w:r>
              </w:p>
            </w:tc>
            <w:tc>
              <w:tcPr>
                <w:tcW w:w="1134" w:type="dxa"/>
                <w:shd w:val="clear" w:color="auto" w:fill="auto"/>
                <w:noWrap/>
                <w:vAlign w:val="center"/>
                <w:hideMark/>
              </w:tcPr>
              <w:p w14:paraId="29BEF9A2" w14:textId="1F38EDD7"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xml:space="preserve">826.116 </w:t>
                </w:r>
              </w:p>
            </w:tc>
            <w:tc>
              <w:tcPr>
                <w:tcW w:w="1177" w:type="dxa"/>
                <w:shd w:val="clear" w:color="auto" w:fill="auto"/>
                <w:noWrap/>
                <w:vAlign w:val="center"/>
                <w:hideMark/>
              </w:tcPr>
              <w:p w14:paraId="1E7B7E9D" w14:textId="77777777"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w:t>
                </w:r>
              </w:p>
            </w:tc>
          </w:tr>
          <w:tr w:rsidR="008A3BF1" w:rsidRPr="008A3BF1" w14:paraId="72924A9E" w14:textId="77777777" w:rsidTr="00BD0D27">
            <w:trPr>
              <w:trHeight w:val="225"/>
            </w:trPr>
            <w:tc>
              <w:tcPr>
                <w:tcW w:w="988" w:type="dxa"/>
                <w:shd w:val="clear" w:color="auto" w:fill="auto"/>
                <w:noWrap/>
                <w:vAlign w:val="center"/>
                <w:hideMark/>
              </w:tcPr>
              <w:p w14:paraId="79B85B85"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Costas procesales</w:t>
                </w:r>
              </w:p>
            </w:tc>
            <w:tc>
              <w:tcPr>
                <w:tcW w:w="1134" w:type="dxa"/>
                <w:shd w:val="clear" w:color="auto" w:fill="auto"/>
                <w:noWrap/>
                <w:vAlign w:val="center"/>
                <w:hideMark/>
              </w:tcPr>
              <w:p w14:paraId="309BF19C" w14:textId="77777777" w:rsidR="008A3BF1" w:rsidRPr="008A3BF1" w:rsidRDefault="008A3BF1" w:rsidP="008A3BF1">
                <w:pPr>
                  <w:spacing w:after="0" w:line="240" w:lineRule="auto"/>
                  <w:jc w:val="center"/>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31/07/2021</w:t>
                </w:r>
              </w:p>
            </w:tc>
            <w:tc>
              <w:tcPr>
                <w:tcW w:w="2551" w:type="dxa"/>
                <w:shd w:val="clear" w:color="auto" w:fill="auto"/>
                <w:noWrap/>
                <w:vAlign w:val="center"/>
                <w:hideMark/>
              </w:tcPr>
              <w:p w14:paraId="6990B4A0"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PEDRO HERNAN CRUZ SUAREZ</w:t>
                </w:r>
              </w:p>
            </w:tc>
            <w:tc>
              <w:tcPr>
                <w:tcW w:w="1134" w:type="dxa"/>
                <w:shd w:val="clear" w:color="auto" w:fill="auto"/>
                <w:noWrap/>
                <w:vAlign w:val="center"/>
                <w:hideMark/>
              </w:tcPr>
              <w:p w14:paraId="6F6E5ED9" w14:textId="18D8C9E8"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xml:space="preserve">643.335 </w:t>
                </w:r>
              </w:p>
            </w:tc>
            <w:tc>
              <w:tcPr>
                <w:tcW w:w="851" w:type="dxa"/>
                <w:shd w:val="clear" w:color="auto" w:fill="auto"/>
                <w:noWrap/>
                <w:vAlign w:val="center"/>
                <w:hideMark/>
              </w:tcPr>
              <w:p w14:paraId="7839AD47" w14:textId="77777777"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w:t>
                </w:r>
              </w:p>
            </w:tc>
            <w:tc>
              <w:tcPr>
                <w:tcW w:w="1134" w:type="dxa"/>
                <w:shd w:val="clear" w:color="auto" w:fill="auto"/>
                <w:noWrap/>
                <w:vAlign w:val="center"/>
                <w:hideMark/>
              </w:tcPr>
              <w:p w14:paraId="57B98623" w14:textId="3BECB01C"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xml:space="preserve">643.335 </w:t>
                </w:r>
              </w:p>
            </w:tc>
            <w:tc>
              <w:tcPr>
                <w:tcW w:w="1177" w:type="dxa"/>
                <w:shd w:val="clear" w:color="auto" w:fill="auto"/>
                <w:noWrap/>
                <w:vAlign w:val="center"/>
                <w:hideMark/>
              </w:tcPr>
              <w:p w14:paraId="035BC49C" w14:textId="77777777"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w:t>
                </w:r>
              </w:p>
            </w:tc>
          </w:tr>
          <w:tr w:rsidR="008A3BF1" w:rsidRPr="008A3BF1" w14:paraId="6DDB409A" w14:textId="77777777" w:rsidTr="00BD0D27">
            <w:trPr>
              <w:trHeight w:val="225"/>
            </w:trPr>
            <w:tc>
              <w:tcPr>
                <w:tcW w:w="988" w:type="dxa"/>
                <w:shd w:val="clear" w:color="auto" w:fill="auto"/>
                <w:noWrap/>
                <w:vAlign w:val="center"/>
                <w:hideMark/>
              </w:tcPr>
              <w:p w14:paraId="71458735"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Costas procesales</w:t>
                </w:r>
              </w:p>
            </w:tc>
            <w:tc>
              <w:tcPr>
                <w:tcW w:w="1134" w:type="dxa"/>
                <w:shd w:val="clear" w:color="auto" w:fill="auto"/>
                <w:noWrap/>
                <w:vAlign w:val="center"/>
                <w:hideMark/>
              </w:tcPr>
              <w:p w14:paraId="1360E72E" w14:textId="77777777" w:rsidR="008A3BF1" w:rsidRPr="008A3BF1" w:rsidRDefault="008A3BF1" w:rsidP="008A3BF1">
                <w:pPr>
                  <w:spacing w:after="0" w:line="240" w:lineRule="auto"/>
                  <w:jc w:val="center"/>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31/07/2021</w:t>
                </w:r>
              </w:p>
            </w:tc>
            <w:tc>
              <w:tcPr>
                <w:tcW w:w="2551" w:type="dxa"/>
                <w:shd w:val="clear" w:color="auto" w:fill="auto"/>
                <w:noWrap/>
                <w:vAlign w:val="center"/>
                <w:hideMark/>
              </w:tcPr>
              <w:p w14:paraId="07918AFC"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GERMAN FRANCISCO ROJAS BAQUERO</w:t>
                </w:r>
              </w:p>
            </w:tc>
            <w:tc>
              <w:tcPr>
                <w:tcW w:w="1134" w:type="dxa"/>
                <w:shd w:val="clear" w:color="auto" w:fill="auto"/>
                <w:noWrap/>
                <w:vAlign w:val="center"/>
                <w:hideMark/>
              </w:tcPr>
              <w:p w14:paraId="758D8CA8" w14:textId="54A3FE54"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xml:space="preserve">300.000 </w:t>
                </w:r>
              </w:p>
            </w:tc>
            <w:tc>
              <w:tcPr>
                <w:tcW w:w="851" w:type="dxa"/>
                <w:shd w:val="clear" w:color="auto" w:fill="auto"/>
                <w:noWrap/>
                <w:vAlign w:val="center"/>
                <w:hideMark/>
              </w:tcPr>
              <w:p w14:paraId="525A0231" w14:textId="77777777"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w:t>
                </w:r>
              </w:p>
            </w:tc>
            <w:tc>
              <w:tcPr>
                <w:tcW w:w="1134" w:type="dxa"/>
                <w:shd w:val="clear" w:color="auto" w:fill="auto"/>
                <w:noWrap/>
                <w:vAlign w:val="center"/>
                <w:hideMark/>
              </w:tcPr>
              <w:p w14:paraId="6212E0B3" w14:textId="296EFE2A"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xml:space="preserve">300.000 </w:t>
                </w:r>
              </w:p>
            </w:tc>
            <w:tc>
              <w:tcPr>
                <w:tcW w:w="1177" w:type="dxa"/>
                <w:shd w:val="clear" w:color="auto" w:fill="auto"/>
                <w:noWrap/>
                <w:vAlign w:val="center"/>
                <w:hideMark/>
              </w:tcPr>
              <w:p w14:paraId="09431723" w14:textId="77777777"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w:t>
                </w:r>
              </w:p>
            </w:tc>
          </w:tr>
          <w:tr w:rsidR="008A3BF1" w:rsidRPr="008A3BF1" w14:paraId="4C535A84" w14:textId="77777777" w:rsidTr="00BD0D27">
            <w:trPr>
              <w:trHeight w:val="225"/>
            </w:trPr>
            <w:tc>
              <w:tcPr>
                <w:tcW w:w="988" w:type="dxa"/>
                <w:shd w:val="clear" w:color="auto" w:fill="auto"/>
                <w:noWrap/>
                <w:vAlign w:val="center"/>
                <w:hideMark/>
              </w:tcPr>
              <w:p w14:paraId="0F4A3834"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Costas procesales</w:t>
                </w:r>
              </w:p>
            </w:tc>
            <w:tc>
              <w:tcPr>
                <w:tcW w:w="1134" w:type="dxa"/>
                <w:shd w:val="clear" w:color="auto" w:fill="auto"/>
                <w:noWrap/>
                <w:vAlign w:val="center"/>
                <w:hideMark/>
              </w:tcPr>
              <w:p w14:paraId="2D5AD7DE" w14:textId="77777777" w:rsidR="008A3BF1" w:rsidRPr="008A3BF1" w:rsidRDefault="008A3BF1" w:rsidP="008A3BF1">
                <w:pPr>
                  <w:spacing w:after="0" w:line="240" w:lineRule="auto"/>
                  <w:jc w:val="center"/>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31/07/2021</w:t>
                </w:r>
              </w:p>
            </w:tc>
            <w:tc>
              <w:tcPr>
                <w:tcW w:w="2551" w:type="dxa"/>
                <w:shd w:val="clear" w:color="auto" w:fill="auto"/>
                <w:noWrap/>
                <w:vAlign w:val="center"/>
                <w:hideMark/>
              </w:tcPr>
              <w:p w14:paraId="1118233D" w14:textId="3B91EA39"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MAURICIO LOPEZ GALVIS</w:t>
                </w:r>
              </w:p>
            </w:tc>
            <w:tc>
              <w:tcPr>
                <w:tcW w:w="1134" w:type="dxa"/>
                <w:shd w:val="clear" w:color="auto" w:fill="auto"/>
                <w:noWrap/>
                <w:vAlign w:val="center"/>
                <w:hideMark/>
              </w:tcPr>
              <w:p w14:paraId="660C887D" w14:textId="3101BB15"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xml:space="preserve">207.029 </w:t>
                </w:r>
              </w:p>
            </w:tc>
            <w:tc>
              <w:tcPr>
                <w:tcW w:w="851" w:type="dxa"/>
                <w:shd w:val="clear" w:color="auto" w:fill="auto"/>
                <w:noWrap/>
                <w:vAlign w:val="center"/>
                <w:hideMark/>
              </w:tcPr>
              <w:p w14:paraId="09DD1F7F" w14:textId="77777777"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w:t>
                </w:r>
              </w:p>
            </w:tc>
            <w:tc>
              <w:tcPr>
                <w:tcW w:w="1134" w:type="dxa"/>
                <w:shd w:val="clear" w:color="auto" w:fill="auto"/>
                <w:noWrap/>
                <w:vAlign w:val="center"/>
                <w:hideMark/>
              </w:tcPr>
              <w:p w14:paraId="030DF6D3" w14:textId="1B5F74DE"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xml:space="preserve">207.029 </w:t>
                </w:r>
              </w:p>
            </w:tc>
            <w:tc>
              <w:tcPr>
                <w:tcW w:w="1177" w:type="dxa"/>
                <w:shd w:val="clear" w:color="auto" w:fill="auto"/>
                <w:noWrap/>
                <w:vAlign w:val="center"/>
                <w:hideMark/>
              </w:tcPr>
              <w:p w14:paraId="49C2AC28" w14:textId="77777777"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w:t>
                </w:r>
              </w:p>
            </w:tc>
          </w:tr>
          <w:tr w:rsidR="008A3BF1" w:rsidRPr="008A3BF1" w14:paraId="6BD8CE5A" w14:textId="77777777" w:rsidTr="00BD0D27">
            <w:trPr>
              <w:trHeight w:val="225"/>
            </w:trPr>
            <w:tc>
              <w:tcPr>
                <w:tcW w:w="988" w:type="dxa"/>
                <w:shd w:val="clear" w:color="auto" w:fill="auto"/>
                <w:noWrap/>
                <w:vAlign w:val="center"/>
                <w:hideMark/>
              </w:tcPr>
              <w:p w14:paraId="34C45E95"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Otras cuentas por cobrar</w:t>
                </w:r>
              </w:p>
            </w:tc>
            <w:tc>
              <w:tcPr>
                <w:tcW w:w="1134" w:type="dxa"/>
                <w:shd w:val="clear" w:color="auto" w:fill="auto"/>
                <w:noWrap/>
                <w:vAlign w:val="center"/>
                <w:hideMark/>
              </w:tcPr>
              <w:p w14:paraId="6C6D51CB" w14:textId="77777777" w:rsidR="008A3BF1" w:rsidRPr="008A3BF1" w:rsidRDefault="008A3BF1" w:rsidP="008A3BF1">
                <w:pPr>
                  <w:spacing w:after="0" w:line="240" w:lineRule="auto"/>
                  <w:jc w:val="center"/>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8/08/2018</w:t>
                </w:r>
              </w:p>
            </w:tc>
            <w:tc>
              <w:tcPr>
                <w:tcW w:w="2551" w:type="dxa"/>
                <w:shd w:val="clear" w:color="auto" w:fill="auto"/>
                <w:noWrap/>
                <w:vAlign w:val="center"/>
                <w:hideMark/>
              </w:tcPr>
              <w:p w14:paraId="38E7C684"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DIEGO ORLANDO BUSTOS FORERO</w:t>
                </w:r>
              </w:p>
            </w:tc>
            <w:tc>
              <w:tcPr>
                <w:tcW w:w="1134" w:type="dxa"/>
                <w:shd w:val="clear" w:color="auto" w:fill="auto"/>
                <w:noWrap/>
                <w:vAlign w:val="center"/>
                <w:hideMark/>
              </w:tcPr>
              <w:p w14:paraId="2EB793D7" w14:textId="358915BA"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xml:space="preserve"> 6.923.000 </w:t>
                </w:r>
              </w:p>
            </w:tc>
            <w:tc>
              <w:tcPr>
                <w:tcW w:w="851" w:type="dxa"/>
                <w:shd w:val="clear" w:color="auto" w:fill="auto"/>
                <w:noWrap/>
                <w:vAlign w:val="center"/>
                <w:hideMark/>
              </w:tcPr>
              <w:p w14:paraId="53AF696F" w14:textId="77777777"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w:t>
                </w:r>
              </w:p>
            </w:tc>
            <w:tc>
              <w:tcPr>
                <w:tcW w:w="1134" w:type="dxa"/>
                <w:shd w:val="clear" w:color="auto" w:fill="auto"/>
                <w:noWrap/>
                <w:vAlign w:val="center"/>
                <w:hideMark/>
              </w:tcPr>
              <w:p w14:paraId="0B6CA85C" w14:textId="77777777"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w:t>
                </w:r>
              </w:p>
            </w:tc>
            <w:tc>
              <w:tcPr>
                <w:tcW w:w="1177" w:type="dxa"/>
                <w:shd w:val="clear" w:color="auto" w:fill="auto"/>
                <w:noWrap/>
                <w:vAlign w:val="center"/>
                <w:hideMark/>
              </w:tcPr>
              <w:p w14:paraId="62838D83" w14:textId="562283DC"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xml:space="preserve"> 6.923.000 </w:t>
                </w:r>
              </w:p>
            </w:tc>
          </w:tr>
          <w:tr w:rsidR="008A3BF1" w:rsidRPr="008A3BF1" w14:paraId="5BC3E68F" w14:textId="77777777" w:rsidTr="00BD0D27">
            <w:trPr>
              <w:trHeight w:val="225"/>
            </w:trPr>
            <w:tc>
              <w:tcPr>
                <w:tcW w:w="988" w:type="dxa"/>
                <w:shd w:val="clear" w:color="auto" w:fill="auto"/>
                <w:noWrap/>
                <w:vAlign w:val="center"/>
                <w:hideMark/>
              </w:tcPr>
              <w:p w14:paraId="777144E2"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Otras cuentas por cobrar de difícil recaudo</w:t>
                </w:r>
              </w:p>
            </w:tc>
            <w:tc>
              <w:tcPr>
                <w:tcW w:w="1134" w:type="dxa"/>
                <w:shd w:val="clear" w:color="auto" w:fill="auto"/>
                <w:noWrap/>
                <w:vAlign w:val="center"/>
                <w:hideMark/>
              </w:tcPr>
              <w:p w14:paraId="4F6C8B69" w14:textId="77777777" w:rsidR="008A3BF1" w:rsidRPr="008A3BF1" w:rsidRDefault="008A3BF1" w:rsidP="008A3BF1">
                <w:pPr>
                  <w:spacing w:after="0" w:line="240" w:lineRule="auto"/>
                  <w:jc w:val="center"/>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31/05/2020</w:t>
                </w:r>
              </w:p>
            </w:tc>
            <w:tc>
              <w:tcPr>
                <w:tcW w:w="2551" w:type="dxa"/>
                <w:shd w:val="clear" w:color="auto" w:fill="auto"/>
                <w:noWrap/>
                <w:vAlign w:val="center"/>
                <w:hideMark/>
              </w:tcPr>
              <w:p w14:paraId="122D17FC"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CONCESION AUTOPISTA BOGOTA GIRARDOT S.A.</w:t>
                </w:r>
              </w:p>
            </w:tc>
            <w:tc>
              <w:tcPr>
                <w:tcW w:w="1134" w:type="dxa"/>
                <w:shd w:val="clear" w:color="auto" w:fill="auto"/>
                <w:noWrap/>
                <w:vAlign w:val="center"/>
                <w:hideMark/>
              </w:tcPr>
              <w:p w14:paraId="66FDD40B" w14:textId="77777777"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xml:space="preserve">  384.588.158.996 </w:t>
                </w:r>
              </w:p>
            </w:tc>
            <w:tc>
              <w:tcPr>
                <w:tcW w:w="851" w:type="dxa"/>
                <w:shd w:val="clear" w:color="auto" w:fill="auto"/>
                <w:noWrap/>
                <w:vAlign w:val="bottom"/>
                <w:hideMark/>
              </w:tcPr>
              <w:p w14:paraId="32BC9E5C"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w:t>
                </w:r>
              </w:p>
            </w:tc>
            <w:tc>
              <w:tcPr>
                <w:tcW w:w="1134" w:type="dxa"/>
                <w:shd w:val="clear" w:color="auto" w:fill="auto"/>
                <w:noWrap/>
                <w:vAlign w:val="center"/>
                <w:hideMark/>
              </w:tcPr>
              <w:p w14:paraId="09140CA3" w14:textId="77777777"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w:t>
                </w:r>
              </w:p>
            </w:tc>
            <w:tc>
              <w:tcPr>
                <w:tcW w:w="1177" w:type="dxa"/>
                <w:shd w:val="clear" w:color="auto" w:fill="auto"/>
                <w:noWrap/>
                <w:vAlign w:val="bottom"/>
                <w:hideMark/>
              </w:tcPr>
              <w:p w14:paraId="61357B31" w14:textId="1775E5FE" w:rsidR="008A3BF1" w:rsidRPr="008A3BF1" w:rsidRDefault="008A3BF1" w:rsidP="00BD0D27">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xml:space="preserve">  384.588.158.996</w:t>
                </w:r>
              </w:p>
            </w:tc>
          </w:tr>
          <w:tr w:rsidR="008A3BF1" w:rsidRPr="008A3BF1" w14:paraId="63745597" w14:textId="77777777" w:rsidTr="00BD0D27">
            <w:trPr>
              <w:trHeight w:val="225"/>
            </w:trPr>
            <w:tc>
              <w:tcPr>
                <w:tcW w:w="988" w:type="dxa"/>
                <w:shd w:val="clear" w:color="auto" w:fill="auto"/>
                <w:noWrap/>
                <w:vAlign w:val="center"/>
                <w:hideMark/>
              </w:tcPr>
              <w:p w14:paraId="0570DB0A"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Otras cuentas por cobrar de difícil recaudo</w:t>
                </w:r>
              </w:p>
            </w:tc>
            <w:tc>
              <w:tcPr>
                <w:tcW w:w="1134" w:type="dxa"/>
                <w:shd w:val="clear" w:color="auto" w:fill="auto"/>
                <w:noWrap/>
                <w:vAlign w:val="center"/>
                <w:hideMark/>
              </w:tcPr>
              <w:p w14:paraId="558FAF00" w14:textId="77777777" w:rsidR="008A3BF1" w:rsidRPr="008A3BF1" w:rsidRDefault="008A3BF1" w:rsidP="008A3BF1">
                <w:pPr>
                  <w:spacing w:after="0" w:line="240" w:lineRule="auto"/>
                  <w:jc w:val="center"/>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15/05/2020</w:t>
                </w:r>
              </w:p>
            </w:tc>
            <w:tc>
              <w:tcPr>
                <w:tcW w:w="2551" w:type="dxa"/>
                <w:shd w:val="clear" w:color="auto" w:fill="auto"/>
                <w:noWrap/>
                <w:vAlign w:val="center"/>
                <w:hideMark/>
              </w:tcPr>
              <w:p w14:paraId="04397ED3"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FERROCARRIL DEL PACIFICO SAS</w:t>
                </w:r>
              </w:p>
            </w:tc>
            <w:tc>
              <w:tcPr>
                <w:tcW w:w="1134" w:type="dxa"/>
                <w:shd w:val="clear" w:color="auto" w:fill="auto"/>
                <w:noWrap/>
                <w:vAlign w:val="center"/>
                <w:hideMark/>
              </w:tcPr>
              <w:p w14:paraId="2CC326BE" w14:textId="052969AA"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xml:space="preserve">  2.394.517.550 </w:t>
                </w:r>
              </w:p>
            </w:tc>
            <w:tc>
              <w:tcPr>
                <w:tcW w:w="851" w:type="dxa"/>
                <w:shd w:val="clear" w:color="auto" w:fill="auto"/>
                <w:noWrap/>
                <w:vAlign w:val="bottom"/>
                <w:hideMark/>
              </w:tcPr>
              <w:p w14:paraId="55B20271"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w:t>
                </w:r>
              </w:p>
            </w:tc>
            <w:tc>
              <w:tcPr>
                <w:tcW w:w="1134" w:type="dxa"/>
                <w:shd w:val="clear" w:color="auto" w:fill="auto"/>
                <w:noWrap/>
                <w:vAlign w:val="center"/>
                <w:hideMark/>
              </w:tcPr>
              <w:p w14:paraId="29148477" w14:textId="77777777"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w:t>
                </w:r>
              </w:p>
            </w:tc>
            <w:tc>
              <w:tcPr>
                <w:tcW w:w="1177" w:type="dxa"/>
                <w:shd w:val="clear" w:color="auto" w:fill="auto"/>
                <w:noWrap/>
                <w:vAlign w:val="bottom"/>
                <w:hideMark/>
              </w:tcPr>
              <w:p w14:paraId="132A93CA" w14:textId="20C750F6" w:rsidR="008A3BF1" w:rsidRPr="008A3BF1" w:rsidRDefault="008A3BF1" w:rsidP="00BD0D27">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xml:space="preserve">  2.394.517.550 </w:t>
                </w:r>
              </w:p>
            </w:tc>
          </w:tr>
          <w:tr w:rsidR="008A3BF1" w:rsidRPr="008A3BF1" w14:paraId="50ACAE85" w14:textId="77777777" w:rsidTr="00BD0D27">
            <w:trPr>
              <w:trHeight w:val="225"/>
            </w:trPr>
            <w:tc>
              <w:tcPr>
                <w:tcW w:w="988" w:type="dxa"/>
                <w:shd w:val="clear" w:color="auto" w:fill="auto"/>
                <w:noWrap/>
                <w:vAlign w:val="center"/>
                <w:hideMark/>
              </w:tcPr>
              <w:p w14:paraId="01047E51"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Otras cuentas por cobrar de difícil recaudo</w:t>
                </w:r>
              </w:p>
            </w:tc>
            <w:tc>
              <w:tcPr>
                <w:tcW w:w="1134" w:type="dxa"/>
                <w:shd w:val="clear" w:color="auto" w:fill="auto"/>
                <w:noWrap/>
                <w:vAlign w:val="center"/>
                <w:hideMark/>
              </w:tcPr>
              <w:p w14:paraId="246E9197" w14:textId="77777777" w:rsidR="008A3BF1" w:rsidRPr="008A3BF1" w:rsidRDefault="008A3BF1" w:rsidP="008A3BF1">
                <w:pPr>
                  <w:spacing w:after="0" w:line="240" w:lineRule="auto"/>
                  <w:jc w:val="center"/>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15/12/2015</w:t>
                </w:r>
              </w:p>
            </w:tc>
            <w:tc>
              <w:tcPr>
                <w:tcW w:w="2551" w:type="dxa"/>
                <w:shd w:val="clear" w:color="auto" w:fill="auto"/>
                <w:noWrap/>
                <w:vAlign w:val="center"/>
                <w:hideMark/>
              </w:tcPr>
              <w:p w14:paraId="40D40F1F"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HOSPITAL SANTA CATALINA E.S.E.</w:t>
                </w:r>
              </w:p>
            </w:tc>
            <w:tc>
              <w:tcPr>
                <w:tcW w:w="1134" w:type="dxa"/>
                <w:shd w:val="clear" w:color="auto" w:fill="auto"/>
                <w:noWrap/>
                <w:vAlign w:val="center"/>
                <w:hideMark/>
              </w:tcPr>
              <w:p w14:paraId="2254DF42" w14:textId="6E2161D7"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xml:space="preserve"> 232.538.162 </w:t>
                </w:r>
              </w:p>
            </w:tc>
            <w:tc>
              <w:tcPr>
                <w:tcW w:w="851" w:type="dxa"/>
                <w:shd w:val="clear" w:color="auto" w:fill="auto"/>
                <w:noWrap/>
                <w:vAlign w:val="bottom"/>
                <w:hideMark/>
              </w:tcPr>
              <w:p w14:paraId="2D05B19B"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w:t>
                </w:r>
              </w:p>
            </w:tc>
            <w:tc>
              <w:tcPr>
                <w:tcW w:w="1134" w:type="dxa"/>
                <w:shd w:val="clear" w:color="auto" w:fill="auto"/>
                <w:noWrap/>
                <w:vAlign w:val="bottom"/>
                <w:hideMark/>
              </w:tcPr>
              <w:p w14:paraId="4E7B5DDA"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w:t>
                </w:r>
              </w:p>
            </w:tc>
            <w:tc>
              <w:tcPr>
                <w:tcW w:w="1177" w:type="dxa"/>
                <w:shd w:val="clear" w:color="auto" w:fill="auto"/>
                <w:noWrap/>
                <w:vAlign w:val="center"/>
                <w:hideMark/>
              </w:tcPr>
              <w:p w14:paraId="6DCC462A" w14:textId="29F6487C"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xml:space="preserve"> 232.538.162 </w:t>
                </w:r>
              </w:p>
            </w:tc>
          </w:tr>
          <w:tr w:rsidR="008A3BF1" w:rsidRPr="008A3BF1" w14:paraId="17E26D72" w14:textId="77777777" w:rsidTr="00BD0D27">
            <w:trPr>
              <w:trHeight w:val="225"/>
            </w:trPr>
            <w:tc>
              <w:tcPr>
                <w:tcW w:w="988" w:type="dxa"/>
                <w:shd w:val="clear" w:color="auto" w:fill="auto"/>
                <w:noWrap/>
                <w:vAlign w:val="center"/>
                <w:hideMark/>
              </w:tcPr>
              <w:p w14:paraId="0BB00880"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Otras cuentas por cobrar de difícil recaudo</w:t>
                </w:r>
              </w:p>
            </w:tc>
            <w:tc>
              <w:tcPr>
                <w:tcW w:w="1134" w:type="dxa"/>
                <w:shd w:val="clear" w:color="auto" w:fill="auto"/>
                <w:noWrap/>
                <w:vAlign w:val="center"/>
                <w:hideMark/>
              </w:tcPr>
              <w:p w14:paraId="7B42C45A" w14:textId="77777777" w:rsidR="008A3BF1" w:rsidRPr="008A3BF1" w:rsidRDefault="008A3BF1" w:rsidP="008A3BF1">
                <w:pPr>
                  <w:spacing w:after="0" w:line="240" w:lineRule="auto"/>
                  <w:jc w:val="center"/>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13/05/2020</w:t>
                </w:r>
              </w:p>
            </w:tc>
            <w:tc>
              <w:tcPr>
                <w:tcW w:w="2551" w:type="dxa"/>
                <w:shd w:val="clear" w:color="auto" w:fill="auto"/>
                <w:noWrap/>
                <w:vAlign w:val="center"/>
                <w:hideMark/>
              </w:tcPr>
              <w:p w14:paraId="4B73B731" w14:textId="100B3859"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EDGAR CHACON HARTMANN</w:t>
                </w:r>
              </w:p>
            </w:tc>
            <w:tc>
              <w:tcPr>
                <w:tcW w:w="1134" w:type="dxa"/>
                <w:shd w:val="clear" w:color="auto" w:fill="auto"/>
                <w:noWrap/>
                <w:vAlign w:val="center"/>
                <w:hideMark/>
              </w:tcPr>
              <w:p w14:paraId="3147AE70" w14:textId="1D2C775F"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xml:space="preserve">   57.016.638 </w:t>
                </w:r>
              </w:p>
            </w:tc>
            <w:tc>
              <w:tcPr>
                <w:tcW w:w="851" w:type="dxa"/>
                <w:shd w:val="clear" w:color="auto" w:fill="auto"/>
                <w:noWrap/>
                <w:vAlign w:val="center"/>
                <w:hideMark/>
              </w:tcPr>
              <w:p w14:paraId="25FBDE26" w14:textId="77777777"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w:t>
                </w:r>
              </w:p>
            </w:tc>
            <w:tc>
              <w:tcPr>
                <w:tcW w:w="1134" w:type="dxa"/>
                <w:shd w:val="clear" w:color="auto" w:fill="auto"/>
                <w:noWrap/>
                <w:vAlign w:val="center"/>
                <w:hideMark/>
              </w:tcPr>
              <w:p w14:paraId="4A861B04" w14:textId="77777777"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w:t>
                </w:r>
              </w:p>
            </w:tc>
            <w:tc>
              <w:tcPr>
                <w:tcW w:w="1177" w:type="dxa"/>
                <w:shd w:val="clear" w:color="auto" w:fill="auto"/>
                <w:noWrap/>
                <w:vAlign w:val="center"/>
                <w:hideMark/>
              </w:tcPr>
              <w:p w14:paraId="15C73FAC" w14:textId="7C19B0F6"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xml:space="preserve">   57.016.638 </w:t>
                </w:r>
              </w:p>
            </w:tc>
          </w:tr>
          <w:tr w:rsidR="008A3BF1" w:rsidRPr="008A3BF1" w14:paraId="7D3246A7" w14:textId="77777777" w:rsidTr="00BD0D27">
            <w:trPr>
              <w:trHeight w:val="225"/>
            </w:trPr>
            <w:tc>
              <w:tcPr>
                <w:tcW w:w="988" w:type="dxa"/>
                <w:shd w:val="clear" w:color="auto" w:fill="auto"/>
                <w:noWrap/>
                <w:vAlign w:val="center"/>
                <w:hideMark/>
              </w:tcPr>
              <w:p w14:paraId="648D7E96"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Otras cuentas por cobrar de difícil recaudo</w:t>
                </w:r>
              </w:p>
            </w:tc>
            <w:tc>
              <w:tcPr>
                <w:tcW w:w="1134" w:type="dxa"/>
                <w:shd w:val="clear" w:color="auto" w:fill="auto"/>
                <w:noWrap/>
                <w:vAlign w:val="center"/>
                <w:hideMark/>
              </w:tcPr>
              <w:p w14:paraId="233E27F8" w14:textId="77777777" w:rsidR="008A3BF1" w:rsidRPr="008A3BF1" w:rsidRDefault="008A3BF1" w:rsidP="008A3BF1">
                <w:pPr>
                  <w:spacing w:after="0" w:line="240" w:lineRule="auto"/>
                  <w:jc w:val="center"/>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31/07/2021</w:t>
                </w:r>
              </w:p>
            </w:tc>
            <w:tc>
              <w:tcPr>
                <w:tcW w:w="2551" w:type="dxa"/>
                <w:shd w:val="clear" w:color="auto" w:fill="auto"/>
                <w:noWrap/>
                <w:vAlign w:val="center"/>
                <w:hideMark/>
              </w:tcPr>
              <w:p w14:paraId="22902904"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IVONNE DE LA CARIDAD PRADA MEDINA</w:t>
                </w:r>
              </w:p>
            </w:tc>
            <w:tc>
              <w:tcPr>
                <w:tcW w:w="1134" w:type="dxa"/>
                <w:shd w:val="clear" w:color="auto" w:fill="auto"/>
                <w:noWrap/>
                <w:vAlign w:val="center"/>
                <w:hideMark/>
              </w:tcPr>
              <w:p w14:paraId="0F8242B7" w14:textId="19BED0A6"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xml:space="preserve">   32.797.248 </w:t>
                </w:r>
              </w:p>
            </w:tc>
            <w:tc>
              <w:tcPr>
                <w:tcW w:w="851" w:type="dxa"/>
                <w:shd w:val="clear" w:color="auto" w:fill="auto"/>
                <w:noWrap/>
                <w:vAlign w:val="center"/>
                <w:hideMark/>
              </w:tcPr>
              <w:p w14:paraId="13462C2B" w14:textId="77777777"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w:t>
                </w:r>
              </w:p>
            </w:tc>
            <w:tc>
              <w:tcPr>
                <w:tcW w:w="1134" w:type="dxa"/>
                <w:shd w:val="clear" w:color="auto" w:fill="auto"/>
                <w:noWrap/>
                <w:vAlign w:val="center"/>
                <w:hideMark/>
              </w:tcPr>
              <w:p w14:paraId="06191E41" w14:textId="53E4973B"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xml:space="preserve">   32.797.248 </w:t>
                </w:r>
              </w:p>
            </w:tc>
            <w:tc>
              <w:tcPr>
                <w:tcW w:w="1177" w:type="dxa"/>
                <w:shd w:val="clear" w:color="auto" w:fill="auto"/>
                <w:noWrap/>
                <w:vAlign w:val="center"/>
                <w:hideMark/>
              </w:tcPr>
              <w:p w14:paraId="0CAA52AC" w14:textId="77777777"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w:t>
                </w:r>
              </w:p>
            </w:tc>
          </w:tr>
          <w:tr w:rsidR="008A3BF1" w:rsidRPr="008A3BF1" w14:paraId="61BEE350" w14:textId="77777777" w:rsidTr="009857FC">
            <w:trPr>
              <w:trHeight w:val="443"/>
            </w:trPr>
            <w:tc>
              <w:tcPr>
                <w:tcW w:w="988" w:type="dxa"/>
                <w:shd w:val="clear" w:color="auto" w:fill="auto"/>
                <w:noWrap/>
                <w:vAlign w:val="center"/>
                <w:hideMark/>
              </w:tcPr>
              <w:p w14:paraId="0CCD8163"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Sanciones contractuales</w:t>
                </w:r>
              </w:p>
            </w:tc>
            <w:tc>
              <w:tcPr>
                <w:tcW w:w="1134" w:type="dxa"/>
                <w:shd w:val="clear" w:color="auto" w:fill="auto"/>
                <w:noWrap/>
                <w:vAlign w:val="center"/>
                <w:hideMark/>
              </w:tcPr>
              <w:p w14:paraId="42E96B3C" w14:textId="77777777" w:rsidR="008A3BF1" w:rsidRPr="008A3BF1" w:rsidRDefault="008A3BF1" w:rsidP="008A3BF1">
                <w:pPr>
                  <w:spacing w:after="0" w:line="240" w:lineRule="auto"/>
                  <w:jc w:val="center"/>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31/05/2021</w:t>
                </w:r>
              </w:p>
            </w:tc>
            <w:tc>
              <w:tcPr>
                <w:tcW w:w="2551" w:type="dxa"/>
                <w:shd w:val="clear" w:color="auto" w:fill="auto"/>
                <w:noWrap/>
                <w:vAlign w:val="center"/>
                <w:hideMark/>
              </w:tcPr>
              <w:p w14:paraId="0FC3C673"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CONCESIONARIA VIAL DE LOS ANDES S.A.S. COVIANDES S.A.S.</w:t>
                </w:r>
              </w:p>
            </w:tc>
            <w:tc>
              <w:tcPr>
                <w:tcW w:w="1134" w:type="dxa"/>
                <w:shd w:val="clear" w:color="auto" w:fill="auto"/>
                <w:noWrap/>
                <w:vAlign w:val="center"/>
                <w:hideMark/>
              </w:tcPr>
              <w:p w14:paraId="64A0E199" w14:textId="038A9CD6"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xml:space="preserve">23.506.994.882 </w:t>
                </w:r>
              </w:p>
            </w:tc>
            <w:tc>
              <w:tcPr>
                <w:tcW w:w="851" w:type="dxa"/>
                <w:shd w:val="clear" w:color="auto" w:fill="auto"/>
                <w:noWrap/>
                <w:vAlign w:val="center"/>
                <w:hideMark/>
              </w:tcPr>
              <w:p w14:paraId="0AFB90CA" w14:textId="77777777"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w:t>
                </w:r>
              </w:p>
            </w:tc>
            <w:tc>
              <w:tcPr>
                <w:tcW w:w="1134" w:type="dxa"/>
                <w:shd w:val="clear" w:color="auto" w:fill="auto"/>
                <w:noWrap/>
                <w:vAlign w:val="center"/>
                <w:hideMark/>
              </w:tcPr>
              <w:p w14:paraId="6FEE3F91" w14:textId="77AF6E84"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xml:space="preserve">23.506.994.882 </w:t>
                </w:r>
              </w:p>
            </w:tc>
            <w:tc>
              <w:tcPr>
                <w:tcW w:w="1177" w:type="dxa"/>
                <w:shd w:val="clear" w:color="auto" w:fill="auto"/>
                <w:noWrap/>
                <w:vAlign w:val="center"/>
                <w:hideMark/>
              </w:tcPr>
              <w:p w14:paraId="220981A2" w14:textId="77777777"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w:t>
                </w:r>
              </w:p>
            </w:tc>
          </w:tr>
          <w:tr w:rsidR="008A3BF1" w:rsidRPr="008A3BF1" w14:paraId="7768F2CF" w14:textId="77777777" w:rsidTr="009857FC">
            <w:trPr>
              <w:trHeight w:val="410"/>
            </w:trPr>
            <w:tc>
              <w:tcPr>
                <w:tcW w:w="988" w:type="dxa"/>
                <w:shd w:val="clear" w:color="auto" w:fill="auto"/>
                <w:noWrap/>
                <w:vAlign w:val="center"/>
                <w:hideMark/>
              </w:tcPr>
              <w:p w14:paraId="73236E7E"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Sanciones contractuales</w:t>
                </w:r>
              </w:p>
            </w:tc>
            <w:tc>
              <w:tcPr>
                <w:tcW w:w="1134" w:type="dxa"/>
                <w:shd w:val="clear" w:color="auto" w:fill="auto"/>
                <w:noWrap/>
                <w:vAlign w:val="center"/>
                <w:hideMark/>
              </w:tcPr>
              <w:p w14:paraId="3152D056" w14:textId="77777777" w:rsidR="008A3BF1" w:rsidRPr="008A3BF1" w:rsidRDefault="008A3BF1" w:rsidP="008A3BF1">
                <w:pPr>
                  <w:spacing w:after="0" w:line="240" w:lineRule="auto"/>
                  <w:jc w:val="center"/>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30/06/2021</w:t>
                </w:r>
              </w:p>
            </w:tc>
            <w:tc>
              <w:tcPr>
                <w:tcW w:w="2551" w:type="dxa"/>
                <w:shd w:val="clear" w:color="auto" w:fill="auto"/>
                <w:noWrap/>
                <w:vAlign w:val="center"/>
                <w:hideMark/>
              </w:tcPr>
              <w:p w14:paraId="510F30C2"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SOCIEDAD PORTUARIA DE LA PENINSULA</w:t>
                </w:r>
              </w:p>
            </w:tc>
            <w:tc>
              <w:tcPr>
                <w:tcW w:w="1134" w:type="dxa"/>
                <w:shd w:val="clear" w:color="auto" w:fill="auto"/>
                <w:noWrap/>
                <w:vAlign w:val="center"/>
                <w:hideMark/>
              </w:tcPr>
              <w:p w14:paraId="4ECE612F" w14:textId="640BE5ED"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xml:space="preserve">   79.280.490 </w:t>
                </w:r>
              </w:p>
            </w:tc>
            <w:tc>
              <w:tcPr>
                <w:tcW w:w="851" w:type="dxa"/>
                <w:shd w:val="clear" w:color="auto" w:fill="auto"/>
                <w:noWrap/>
                <w:vAlign w:val="bottom"/>
                <w:hideMark/>
              </w:tcPr>
              <w:p w14:paraId="5E7338B1"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w:t>
                </w:r>
              </w:p>
            </w:tc>
            <w:tc>
              <w:tcPr>
                <w:tcW w:w="1134" w:type="dxa"/>
                <w:shd w:val="clear" w:color="auto" w:fill="auto"/>
                <w:noWrap/>
                <w:vAlign w:val="center"/>
                <w:hideMark/>
              </w:tcPr>
              <w:p w14:paraId="0552B85E" w14:textId="5E0BCFEA"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xml:space="preserve">   79.280.490 </w:t>
                </w:r>
              </w:p>
            </w:tc>
            <w:tc>
              <w:tcPr>
                <w:tcW w:w="1177" w:type="dxa"/>
                <w:shd w:val="clear" w:color="auto" w:fill="auto"/>
                <w:noWrap/>
                <w:vAlign w:val="bottom"/>
                <w:hideMark/>
              </w:tcPr>
              <w:p w14:paraId="5177AE5C"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w:t>
                </w:r>
              </w:p>
            </w:tc>
          </w:tr>
          <w:tr w:rsidR="008A3BF1" w:rsidRPr="008A3BF1" w14:paraId="1269C8C7" w14:textId="77777777" w:rsidTr="007353FF">
            <w:trPr>
              <w:trHeight w:val="416"/>
            </w:trPr>
            <w:tc>
              <w:tcPr>
                <w:tcW w:w="988" w:type="dxa"/>
                <w:shd w:val="clear" w:color="auto" w:fill="auto"/>
                <w:noWrap/>
                <w:vAlign w:val="center"/>
                <w:hideMark/>
              </w:tcPr>
              <w:p w14:paraId="1037E4EA"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Sanciones contractuales</w:t>
                </w:r>
              </w:p>
            </w:tc>
            <w:tc>
              <w:tcPr>
                <w:tcW w:w="1134" w:type="dxa"/>
                <w:shd w:val="clear" w:color="auto" w:fill="auto"/>
                <w:noWrap/>
                <w:vAlign w:val="center"/>
                <w:hideMark/>
              </w:tcPr>
              <w:p w14:paraId="4B55A645" w14:textId="77777777" w:rsidR="008A3BF1" w:rsidRPr="008A3BF1" w:rsidRDefault="008A3BF1" w:rsidP="008A3BF1">
                <w:pPr>
                  <w:spacing w:after="0" w:line="240" w:lineRule="auto"/>
                  <w:jc w:val="center"/>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6/05/2022</w:t>
                </w:r>
              </w:p>
            </w:tc>
            <w:tc>
              <w:tcPr>
                <w:tcW w:w="2551" w:type="dxa"/>
                <w:shd w:val="clear" w:color="auto" w:fill="auto"/>
                <w:noWrap/>
                <w:vAlign w:val="center"/>
                <w:hideMark/>
              </w:tcPr>
              <w:p w14:paraId="2FD886ED"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SOCIEDAD PORTUARIA TERMINAL DE IFO'S S.A.</w:t>
                </w:r>
              </w:p>
            </w:tc>
            <w:tc>
              <w:tcPr>
                <w:tcW w:w="1134" w:type="dxa"/>
                <w:shd w:val="clear" w:color="auto" w:fill="auto"/>
                <w:noWrap/>
                <w:vAlign w:val="center"/>
                <w:hideMark/>
              </w:tcPr>
              <w:p w14:paraId="20BCEE1E" w14:textId="06341DA0"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xml:space="preserve">  2.526.683.802 </w:t>
                </w:r>
              </w:p>
            </w:tc>
            <w:tc>
              <w:tcPr>
                <w:tcW w:w="851" w:type="dxa"/>
                <w:shd w:val="clear" w:color="auto" w:fill="auto"/>
                <w:noWrap/>
                <w:vAlign w:val="center"/>
                <w:hideMark/>
              </w:tcPr>
              <w:p w14:paraId="0B07BB56"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w:t>
                </w:r>
              </w:p>
            </w:tc>
            <w:tc>
              <w:tcPr>
                <w:tcW w:w="1134" w:type="dxa"/>
                <w:shd w:val="clear" w:color="auto" w:fill="auto"/>
                <w:noWrap/>
                <w:vAlign w:val="center"/>
                <w:hideMark/>
              </w:tcPr>
              <w:p w14:paraId="42AA7BD4" w14:textId="18613FE5" w:rsidR="008A3BF1" w:rsidRPr="008A3BF1" w:rsidRDefault="008A3BF1" w:rsidP="008A3BF1">
                <w:pPr>
                  <w:spacing w:after="0" w:line="240" w:lineRule="auto"/>
                  <w:jc w:val="right"/>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xml:space="preserve">  2.526.683.802 </w:t>
                </w:r>
              </w:p>
            </w:tc>
            <w:tc>
              <w:tcPr>
                <w:tcW w:w="1177" w:type="dxa"/>
                <w:shd w:val="clear" w:color="auto" w:fill="auto"/>
                <w:noWrap/>
                <w:vAlign w:val="center"/>
                <w:hideMark/>
              </w:tcPr>
              <w:p w14:paraId="215D4697" w14:textId="77777777" w:rsidR="008A3BF1" w:rsidRPr="008A3BF1" w:rsidRDefault="008A3BF1" w:rsidP="008A3BF1">
                <w:pPr>
                  <w:spacing w:after="0" w:line="240" w:lineRule="auto"/>
                  <w:rPr>
                    <w:rFonts w:ascii="Times New Roman" w:eastAsia="Times New Roman" w:hAnsi="Times New Roman"/>
                    <w:color w:val="000000"/>
                    <w:sz w:val="14"/>
                    <w:szCs w:val="14"/>
                    <w:lang w:eastAsia="es-CO"/>
                  </w:rPr>
                </w:pPr>
                <w:r w:rsidRPr="008A3BF1">
                  <w:rPr>
                    <w:rFonts w:ascii="Times New Roman" w:eastAsia="Times New Roman" w:hAnsi="Times New Roman"/>
                    <w:color w:val="000000"/>
                    <w:sz w:val="14"/>
                    <w:szCs w:val="14"/>
                    <w:lang w:eastAsia="es-CO"/>
                  </w:rPr>
                  <w:t> </w:t>
                </w:r>
              </w:p>
            </w:tc>
          </w:tr>
        </w:tbl>
        <w:p w14:paraId="0BCDD6F1" w14:textId="2B286459" w:rsidR="00421643" w:rsidRPr="00931DCE" w:rsidRDefault="00AD2026" w:rsidP="00D26FA8">
          <w:pPr>
            <w:spacing w:after="0" w:line="240" w:lineRule="auto"/>
            <w:jc w:val="both"/>
            <w:rPr>
              <w:rFonts w:ascii="Times New Roman" w:hAnsi="Times New Roman"/>
            </w:rPr>
          </w:pPr>
          <w:r w:rsidRPr="00931DCE">
            <w:rPr>
              <w:rFonts w:ascii="Times New Roman" w:hAnsi="Times New Roman"/>
              <w:sz w:val="14"/>
              <w:szCs w:val="14"/>
            </w:rPr>
            <w:t>Cifras expresadas en pesos</w:t>
          </w:r>
        </w:p>
        <w:p w14:paraId="1D62BD77" w14:textId="4EA67C9B" w:rsidR="00421643" w:rsidRPr="00931DCE" w:rsidRDefault="00421643" w:rsidP="00D26FA8">
          <w:pPr>
            <w:spacing w:after="0" w:line="240" w:lineRule="auto"/>
            <w:jc w:val="both"/>
            <w:rPr>
              <w:rFonts w:ascii="Times New Roman" w:hAnsi="Times New Roman"/>
              <w:sz w:val="24"/>
              <w:szCs w:val="24"/>
              <w:lang w:bidi="es-ES"/>
            </w:rPr>
          </w:pPr>
          <w:r w:rsidRPr="00931DCE">
            <w:rPr>
              <w:rFonts w:ascii="Times New Roman" w:hAnsi="Times New Roman"/>
              <w:sz w:val="24"/>
              <w:szCs w:val="24"/>
              <w:lang w:bidi="es-ES"/>
            </w:rPr>
            <w:lastRenderedPageBreak/>
            <w:t>Los factores considerados para determinar el deterioro:</w:t>
          </w:r>
          <w:r w:rsidR="00D26FA8" w:rsidRPr="00931DCE">
            <w:rPr>
              <w:rFonts w:ascii="Times New Roman" w:hAnsi="Times New Roman"/>
              <w:sz w:val="24"/>
              <w:szCs w:val="24"/>
              <w:lang w:bidi="es-ES"/>
            </w:rPr>
            <w:t xml:space="preserve"> P</w:t>
          </w:r>
          <w:r w:rsidRPr="00931DCE">
            <w:rPr>
              <w:rFonts w:ascii="Times New Roman" w:hAnsi="Times New Roman"/>
              <w:sz w:val="24"/>
              <w:szCs w:val="24"/>
              <w:lang w:bidi="es-ES"/>
            </w:rPr>
            <w:t>ara el caso de la subcuenta otras cuentas por cobrar de difícil recaudo los factores considerados corresponden a los establecidos en el “</w:t>
          </w:r>
          <w:r w:rsidRPr="00931DCE">
            <w:rPr>
              <w:rFonts w:ascii="Times New Roman" w:hAnsi="Times New Roman"/>
              <w:i/>
              <w:iCs/>
              <w:sz w:val="24"/>
              <w:szCs w:val="24"/>
              <w:lang w:bidi="es-ES"/>
            </w:rPr>
            <w:t xml:space="preserve">test” </w:t>
          </w:r>
          <w:r w:rsidRPr="00931DCE">
            <w:rPr>
              <w:rFonts w:ascii="Times New Roman" w:hAnsi="Times New Roman"/>
              <w:sz w:val="24"/>
              <w:szCs w:val="24"/>
              <w:lang w:bidi="es-ES"/>
            </w:rPr>
            <w:t>como riesgo externo</w:t>
          </w:r>
          <w:r w:rsidRPr="00931DCE">
            <w:rPr>
              <w:rFonts w:ascii="Times New Roman" w:hAnsi="Times New Roman"/>
              <w:i/>
              <w:iCs/>
              <w:sz w:val="24"/>
              <w:szCs w:val="24"/>
              <w:lang w:bidi="es-ES"/>
            </w:rPr>
            <w:t>,</w:t>
          </w:r>
          <w:r w:rsidRPr="00931DCE">
            <w:rPr>
              <w:rFonts w:ascii="Times New Roman" w:hAnsi="Times New Roman"/>
              <w:sz w:val="24"/>
              <w:szCs w:val="24"/>
              <w:lang w:bidi="es-ES"/>
            </w:rPr>
            <w:t xml:space="preserve"> adicionalmente los deudores Edgar Chacón, Ivonne Prada y Concesión Autopista Bogotá Girardot, se encuentran en proceso de la verificación del título ejecutivo y, dada la antigüedad y la falta de localización de los obligados, se catalogan como deudas de difícil cobro, factores particulares que conllevaron a realizar el deterioro.</w:t>
          </w:r>
        </w:p>
        <w:p w14:paraId="64072577" w14:textId="77777777" w:rsidR="00D26FA8" w:rsidRPr="00931DCE" w:rsidRDefault="00D26FA8" w:rsidP="00D26FA8">
          <w:pPr>
            <w:spacing w:after="0" w:line="240" w:lineRule="auto"/>
            <w:jc w:val="both"/>
            <w:rPr>
              <w:rFonts w:ascii="Times New Roman" w:hAnsi="Times New Roman"/>
              <w:sz w:val="24"/>
              <w:szCs w:val="24"/>
              <w:lang w:bidi="es-ES"/>
            </w:rPr>
          </w:pPr>
        </w:p>
        <w:p w14:paraId="700B306E" w14:textId="01353A4C" w:rsidR="00421643" w:rsidRPr="00931DCE" w:rsidRDefault="00421643" w:rsidP="00D26FA8">
          <w:pPr>
            <w:spacing w:after="0" w:line="240" w:lineRule="auto"/>
            <w:jc w:val="both"/>
            <w:rPr>
              <w:rFonts w:ascii="Times New Roman" w:hAnsi="Times New Roman"/>
              <w:sz w:val="24"/>
              <w:szCs w:val="24"/>
              <w:lang w:bidi="es-ES"/>
            </w:rPr>
          </w:pPr>
          <w:r w:rsidRPr="00931DCE">
            <w:rPr>
              <w:rFonts w:ascii="Times New Roman" w:hAnsi="Times New Roman"/>
              <w:sz w:val="24"/>
              <w:szCs w:val="24"/>
              <w:lang w:bidi="es-ES"/>
            </w:rPr>
            <w:t>Para aplicar el deterioro a los deudores Concesionaria Vial De Los Andes S.A. Coviandes S.A, Sociedad Portuaria de la Península - Pensoport S.A y Diego Bustos, los factores considerados corresponden a los establecidos en el “</w:t>
          </w:r>
          <w:r w:rsidRPr="00931DCE">
            <w:rPr>
              <w:rFonts w:ascii="Times New Roman" w:hAnsi="Times New Roman"/>
              <w:i/>
              <w:iCs/>
              <w:sz w:val="24"/>
              <w:szCs w:val="24"/>
              <w:lang w:bidi="es-ES"/>
            </w:rPr>
            <w:t xml:space="preserve">test” </w:t>
          </w:r>
          <w:r w:rsidRPr="00931DCE">
            <w:rPr>
              <w:rFonts w:ascii="Times New Roman" w:hAnsi="Times New Roman"/>
              <w:sz w:val="24"/>
              <w:szCs w:val="24"/>
              <w:lang w:bidi="es-ES"/>
            </w:rPr>
            <w:t>como riesgo externo</w:t>
          </w:r>
          <w:r w:rsidRPr="00931DCE">
            <w:rPr>
              <w:rFonts w:ascii="Times New Roman" w:hAnsi="Times New Roman"/>
              <w:i/>
              <w:iCs/>
              <w:sz w:val="24"/>
              <w:szCs w:val="24"/>
              <w:lang w:bidi="es-ES"/>
            </w:rPr>
            <w:t>,</w:t>
          </w:r>
          <w:r w:rsidRPr="00931DCE">
            <w:rPr>
              <w:rFonts w:ascii="Times New Roman" w:hAnsi="Times New Roman"/>
              <w:sz w:val="24"/>
              <w:szCs w:val="24"/>
              <w:lang w:bidi="es-ES"/>
            </w:rPr>
            <w:t xml:space="preserve"> así como los siguientes factores individuales:  </w:t>
          </w:r>
        </w:p>
        <w:p w14:paraId="720A36F2" w14:textId="77777777" w:rsidR="00D26FA8" w:rsidRPr="00931DCE" w:rsidRDefault="00D26FA8" w:rsidP="00D26FA8">
          <w:pPr>
            <w:spacing w:after="0" w:line="240" w:lineRule="auto"/>
            <w:jc w:val="both"/>
            <w:rPr>
              <w:rFonts w:ascii="Times New Roman" w:hAnsi="Times New Roman"/>
              <w:sz w:val="24"/>
              <w:szCs w:val="24"/>
              <w:lang w:bidi="es-ES"/>
            </w:rPr>
          </w:pPr>
        </w:p>
        <w:p w14:paraId="784DE09F" w14:textId="0CEACABE" w:rsidR="00421643" w:rsidRPr="00931DCE" w:rsidRDefault="00421643" w:rsidP="00D26FA8">
          <w:pPr>
            <w:spacing w:after="0" w:line="240" w:lineRule="auto"/>
            <w:jc w:val="both"/>
            <w:rPr>
              <w:rFonts w:ascii="Times New Roman" w:hAnsi="Times New Roman"/>
              <w:sz w:val="24"/>
              <w:szCs w:val="24"/>
              <w:lang w:bidi="es-ES"/>
            </w:rPr>
          </w:pPr>
          <w:r w:rsidRPr="00931DCE">
            <w:rPr>
              <w:rFonts w:ascii="Times New Roman" w:hAnsi="Times New Roman"/>
              <w:sz w:val="24"/>
              <w:szCs w:val="24"/>
              <w:lang w:bidi="es-ES"/>
            </w:rPr>
            <w:t>Para Coviandes: se tuvo en cuenta además de los factores de riesgo externo la siguiente información relevante:</w:t>
          </w:r>
        </w:p>
        <w:p w14:paraId="26709E89" w14:textId="77777777" w:rsidR="00D26FA8" w:rsidRPr="00931DCE" w:rsidRDefault="00D26FA8" w:rsidP="00D26FA8">
          <w:pPr>
            <w:spacing w:after="0" w:line="240" w:lineRule="auto"/>
            <w:jc w:val="both"/>
            <w:rPr>
              <w:rFonts w:ascii="Times New Roman" w:hAnsi="Times New Roman"/>
              <w:sz w:val="24"/>
              <w:szCs w:val="24"/>
              <w:lang w:bidi="es-ES"/>
            </w:rPr>
          </w:pPr>
        </w:p>
        <w:p w14:paraId="5EAF2CEB" w14:textId="00E8BDBD" w:rsidR="00421643" w:rsidRPr="00C16733" w:rsidRDefault="00421643" w:rsidP="00D26FA8">
          <w:pPr>
            <w:pStyle w:val="Prrafodelista"/>
            <w:spacing w:after="0" w:line="240" w:lineRule="auto"/>
            <w:ind w:left="142" w:right="190"/>
            <w:jc w:val="both"/>
            <w:rPr>
              <w:rFonts w:ascii="Times New Roman" w:hAnsi="Times New Roman"/>
              <w:i/>
              <w:lang w:bidi="es-ES"/>
            </w:rPr>
          </w:pPr>
          <w:r w:rsidRPr="00C16733">
            <w:rPr>
              <w:rFonts w:ascii="Times New Roman" w:hAnsi="Times New Roman"/>
              <w:i/>
              <w:lang w:bidi="es-ES"/>
            </w:rPr>
            <w:t>“Tiene demanda por parte de la aseguradora y Coviandes se encuentra como litisconsorte necesario. expediente 250002336000</w:t>
          </w:r>
          <w:r w:rsidR="00EF6E05" w:rsidRPr="00C16733">
            <w:rPr>
              <w:rFonts w:ascii="Times New Roman" w:hAnsi="Times New Roman"/>
              <w:i/>
              <w:lang w:bidi="es-ES"/>
            </w:rPr>
            <w:t>202X</w:t>
          </w:r>
          <w:r w:rsidRPr="00C16733">
            <w:rPr>
              <w:rFonts w:ascii="Times New Roman" w:hAnsi="Times New Roman"/>
              <w:i/>
              <w:lang w:bidi="es-ES"/>
            </w:rPr>
            <w:t xml:space="preserve">0025200, medio de control acción contractual. el 10 de noviembre de </w:t>
          </w:r>
          <w:r w:rsidR="00EF6E05" w:rsidRPr="00C16733">
            <w:rPr>
              <w:rFonts w:ascii="Times New Roman" w:hAnsi="Times New Roman"/>
              <w:i/>
              <w:lang w:bidi="es-ES"/>
            </w:rPr>
            <w:t>202X</w:t>
          </w:r>
          <w:r w:rsidRPr="00C16733">
            <w:rPr>
              <w:rFonts w:ascii="Times New Roman" w:hAnsi="Times New Roman"/>
              <w:i/>
              <w:lang w:bidi="es-ES"/>
            </w:rPr>
            <w:t xml:space="preserve"> se radicó la contestación de la demanda por parte de la ANI. se encuentra en tribunal de arbitramento no. 128517, convocado por Coviandes para la nulidad de las resoluciones que constituyen título ejecutivo. estado actual: continuación audiencia primera de trámite - decreto de pruebas / partes suspenden de común acuerdo proceso desde el 25 de enero a 14 de febrero de 2023”</w:t>
          </w:r>
        </w:p>
        <w:p w14:paraId="1DC573FA" w14:textId="77777777" w:rsidR="00D26FA8" w:rsidRPr="00931DCE" w:rsidRDefault="00D26FA8" w:rsidP="00D26FA8">
          <w:pPr>
            <w:pStyle w:val="Prrafodelista"/>
            <w:spacing w:after="0" w:line="240" w:lineRule="auto"/>
            <w:ind w:left="0" w:right="141"/>
            <w:jc w:val="both"/>
            <w:rPr>
              <w:rFonts w:ascii="Times New Roman" w:hAnsi="Times New Roman"/>
              <w:sz w:val="24"/>
              <w:szCs w:val="24"/>
              <w:lang w:bidi="es-ES"/>
            </w:rPr>
          </w:pPr>
        </w:p>
        <w:p w14:paraId="015B28A3" w14:textId="224B5170" w:rsidR="00421643" w:rsidRPr="00931DCE" w:rsidRDefault="00421643" w:rsidP="00D26FA8">
          <w:pPr>
            <w:spacing w:after="0" w:line="240" w:lineRule="auto"/>
            <w:jc w:val="both"/>
            <w:rPr>
              <w:rFonts w:ascii="Times New Roman" w:hAnsi="Times New Roman"/>
              <w:sz w:val="24"/>
              <w:szCs w:val="24"/>
              <w:lang w:bidi="es-ES"/>
            </w:rPr>
          </w:pPr>
          <w:r w:rsidRPr="00931DCE">
            <w:rPr>
              <w:rFonts w:ascii="Times New Roman" w:hAnsi="Times New Roman"/>
              <w:sz w:val="24"/>
              <w:szCs w:val="24"/>
              <w:lang w:bidi="es-ES"/>
            </w:rPr>
            <w:t>Para Diego Bustos: el proceso se encuentra en verificación de título ejecutivo y la antigüedad de la obligación</w:t>
          </w:r>
          <w:r w:rsidR="00D26FA8" w:rsidRPr="00931DCE">
            <w:rPr>
              <w:rFonts w:ascii="Times New Roman" w:hAnsi="Times New Roman"/>
              <w:sz w:val="24"/>
              <w:szCs w:val="24"/>
              <w:lang w:bidi="es-ES"/>
            </w:rPr>
            <w:t>.</w:t>
          </w:r>
        </w:p>
        <w:p w14:paraId="3E7FEBC9" w14:textId="77777777" w:rsidR="00D26FA8" w:rsidRPr="00931DCE" w:rsidRDefault="00D26FA8" w:rsidP="00D26FA8">
          <w:pPr>
            <w:spacing w:after="0" w:line="240" w:lineRule="auto"/>
            <w:jc w:val="both"/>
            <w:rPr>
              <w:rFonts w:ascii="Times New Roman" w:hAnsi="Times New Roman"/>
              <w:sz w:val="24"/>
              <w:szCs w:val="24"/>
              <w:lang w:bidi="es-ES"/>
            </w:rPr>
          </w:pPr>
        </w:p>
        <w:p w14:paraId="2132B2F5" w14:textId="1487C587" w:rsidR="00421643" w:rsidRPr="00931DCE" w:rsidRDefault="00421643" w:rsidP="00D26FA8">
          <w:pPr>
            <w:spacing w:after="0" w:line="240" w:lineRule="auto"/>
            <w:jc w:val="both"/>
            <w:rPr>
              <w:rFonts w:ascii="Times New Roman" w:hAnsi="Times New Roman"/>
              <w:sz w:val="24"/>
              <w:szCs w:val="24"/>
              <w:lang w:bidi="es-ES"/>
            </w:rPr>
          </w:pPr>
          <w:r w:rsidRPr="00931DCE">
            <w:rPr>
              <w:rFonts w:ascii="Times New Roman" w:hAnsi="Times New Roman"/>
              <w:sz w:val="24"/>
              <w:szCs w:val="24"/>
              <w:lang w:bidi="es-ES"/>
            </w:rPr>
            <w:t xml:space="preserve">Para la sociedad Portuaria de la Península - Pensoport S.A: se mantuvo la información relevante tomada como criterio en el año </w:t>
          </w:r>
          <w:r w:rsidR="00EF6E05" w:rsidRPr="00931DCE">
            <w:rPr>
              <w:rFonts w:ascii="Times New Roman" w:hAnsi="Times New Roman"/>
              <w:sz w:val="24"/>
              <w:szCs w:val="24"/>
              <w:lang w:bidi="es-ES"/>
            </w:rPr>
            <w:t>202X</w:t>
          </w:r>
          <w:r w:rsidRPr="00931DCE">
            <w:rPr>
              <w:rFonts w:ascii="Times New Roman" w:hAnsi="Times New Roman"/>
              <w:sz w:val="24"/>
              <w:szCs w:val="24"/>
              <w:lang w:bidi="es-ES"/>
            </w:rPr>
            <w:t xml:space="preserve">: </w:t>
          </w:r>
        </w:p>
        <w:p w14:paraId="335D1B06" w14:textId="77777777" w:rsidR="00D26FA8" w:rsidRPr="00C16733" w:rsidRDefault="00D26FA8" w:rsidP="00D26FA8">
          <w:pPr>
            <w:spacing w:after="0" w:line="240" w:lineRule="auto"/>
            <w:jc w:val="both"/>
            <w:rPr>
              <w:rFonts w:ascii="Times New Roman" w:hAnsi="Times New Roman"/>
              <w:lang w:bidi="es-ES"/>
            </w:rPr>
          </w:pPr>
        </w:p>
        <w:p w14:paraId="31082E42" w14:textId="0089A5F2" w:rsidR="00421643" w:rsidRPr="00C16733" w:rsidRDefault="00421643" w:rsidP="00D26FA8">
          <w:pPr>
            <w:spacing w:after="0" w:line="240" w:lineRule="auto"/>
            <w:ind w:left="284" w:right="190"/>
            <w:jc w:val="both"/>
            <w:rPr>
              <w:rFonts w:ascii="Times New Roman" w:hAnsi="Times New Roman"/>
              <w:i/>
              <w:lang w:bidi="es-ES"/>
            </w:rPr>
          </w:pPr>
          <w:r w:rsidRPr="00C16733">
            <w:rPr>
              <w:rFonts w:ascii="Times New Roman" w:hAnsi="Times New Roman"/>
              <w:lang w:bidi="es-ES"/>
            </w:rPr>
            <w:t>“</w:t>
          </w:r>
          <w:r w:rsidRPr="00C16733">
            <w:rPr>
              <w:rFonts w:ascii="Times New Roman" w:hAnsi="Times New Roman"/>
              <w:i/>
              <w:lang w:bidi="es-ES"/>
            </w:rPr>
            <w:t>El GIT de Defensa Judicial ante el incumplimiento del acuerdo de pago le envío a la sociedad portuaria deudora requerimiento de pago, hasta el día de hoy no se ha obtenido respuesta alguna.</w:t>
          </w:r>
        </w:p>
        <w:p w14:paraId="3BAFF4FA" w14:textId="77777777" w:rsidR="000939DD" w:rsidRPr="00C16733" w:rsidRDefault="000939DD" w:rsidP="00D26FA8">
          <w:pPr>
            <w:spacing w:after="0" w:line="240" w:lineRule="auto"/>
            <w:ind w:left="284" w:right="190"/>
            <w:jc w:val="both"/>
            <w:rPr>
              <w:rFonts w:ascii="Times New Roman" w:hAnsi="Times New Roman"/>
              <w:i/>
              <w:lang w:bidi="es-ES"/>
            </w:rPr>
          </w:pPr>
        </w:p>
        <w:p w14:paraId="21E3635F" w14:textId="55CE45F4" w:rsidR="00421643" w:rsidRPr="00C16733" w:rsidRDefault="00421643" w:rsidP="00D26FA8">
          <w:pPr>
            <w:spacing w:after="0" w:line="240" w:lineRule="auto"/>
            <w:ind w:left="284" w:right="190"/>
            <w:jc w:val="both"/>
            <w:rPr>
              <w:rFonts w:ascii="Times New Roman" w:hAnsi="Times New Roman"/>
              <w:i/>
              <w:lang w:bidi="es-ES"/>
            </w:rPr>
          </w:pPr>
          <w:r w:rsidRPr="00C16733">
            <w:rPr>
              <w:rFonts w:ascii="Times New Roman" w:hAnsi="Times New Roman"/>
              <w:i/>
              <w:lang w:bidi="es-ES"/>
            </w:rPr>
            <w:t xml:space="preserve">Culminada la etapa persuasiva, sin que la deudora haya efectuado el pago, se inició la etapa de investigación de bienes, de conformidad con lo previsto en el artículo 825-1 del Estatuto Tributario, “(…) Dentro del procedimiento administrativo de cobro los funcionarios de cobranzas, para efectos de la investigación de bienes, tienen las mismas facultades de investigación que los funcionarios de fiscalización. (…)” Hoy se establece que la sociedad portuaria deudora carece de bienes muebles e inmuebles para embargar. </w:t>
          </w:r>
        </w:p>
        <w:p w14:paraId="655E8A77" w14:textId="77777777" w:rsidR="000939DD" w:rsidRPr="00C16733" w:rsidRDefault="000939DD" w:rsidP="00D26FA8">
          <w:pPr>
            <w:spacing w:after="0" w:line="240" w:lineRule="auto"/>
            <w:ind w:left="284" w:right="190"/>
            <w:jc w:val="both"/>
            <w:rPr>
              <w:rFonts w:ascii="Times New Roman" w:hAnsi="Times New Roman"/>
              <w:i/>
              <w:lang w:bidi="es-ES"/>
            </w:rPr>
          </w:pPr>
        </w:p>
        <w:p w14:paraId="2B67F6FC" w14:textId="0E00D87B" w:rsidR="00421643" w:rsidRPr="00C16733" w:rsidRDefault="00421643" w:rsidP="00D26FA8">
          <w:pPr>
            <w:spacing w:after="0" w:line="240" w:lineRule="auto"/>
            <w:ind w:left="284" w:right="190"/>
            <w:jc w:val="both"/>
            <w:rPr>
              <w:rFonts w:ascii="Times New Roman" w:hAnsi="Times New Roman"/>
              <w:i/>
              <w:lang w:bidi="es-ES"/>
            </w:rPr>
          </w:pPr>
          <w:r w:rsidRPr="00C16733">
            <w:rPr>
              <w:rFonts w:ascii="Times New Roman" w:hAnsi="Times New Roman"/>
              <w:i/>
              <w:lang w:bidi="es-ES"/>
            </w:rPr>
            <w:t>Luego, se aplicará la cláusula aceleratoria establecida en el acuerdo de pago suscrito y así dar inició formalmente la etapa de cobro coactivo, a efectos de obtener el recaudo del total adeudado. A la fecha el título ejecutivo base de recaudo es exigible, por lo cual existe mérito para dar curso a la ejecución del título base de cobro.</w:t>
          </w:r>
        </w:p>
        <w:p w14:paraId="517DACAA" w14:textId="77777777" w:rsidR="000939DD" w:rsidRPr="00C16733" w:rsidRDefault="000939DD" w:rsidP="00D26FA8">
          <w:pPr>
            <w:spacing w:after="0" w:line="240" w:lineRule="auto"/>
            <w:ind w:left="284" w:right="190"/>
            <w:jc w:val="both"/>
            <w:rPr>
              <w:rFonts w:ascii="Times New Roman" w:hAnsi="Times New Roman"/>
              <w:i/>
              <w:lang w:bidi="es-ES"/>
            </w:rPr>
          </w:pPr>
        </w:p>
        <w:p w14:paraId="4E7AFDF8" w14:textId="039EF0DB" w:rsidR="00421643" w:rsidRPr="00C16733" w:rsidRDefault="00421643" w:rsidP="00D26FA8">
          <w:pPr>
            <w:pStyle w:val="Prrafodelista"/>
            <w:spacing w:after="0" w:line="240" w:lineRule="auto"/>
            <w:ind w:left="284" w:right="190"/>
            <w:jc w:val="both"/>
            <w:rPr>
              <w:rFonts w:ascii="Times New Roman" w:hAnsi="Times New Roman"/>
              <w:lang w:bidi="es-ES"/>
            </w:rPr>
          </w:pPr>
          <w:r w:rsidRPr="00C16733">
            <w:rPr>
              <w:rFonts w:ascii="Times New Roman" w:hAnsi="Times New Roman"/>
              <w:i/>
              <w:lang w:bidi="es-ES"/>
            </w:rPr>
            <w:t>Que encontrándose en el presente caso una obligación clara, expresa y exigible, es procedente librar mandamiento de pago en contra de la sociedad deudora por la vía Coactiva Administrativa a favor de la</w:t>
          </w:r>
          <w:r w:rsidRPr="00931DCE">
            <w:rPr>
              <w:rFonts w:ascii="Times New Roman" w:hAnsi="Times New Roman"/>
              <w:i/>
              <w:iCs/>
              <w:sz w:val="20"/>
              <w:szCs w:val="20"/>
              <w:lang w:bidi="es-ES"/>
            </w:rPr>
            <w:t xml:space="preserve"> </w:t>
          </w:r>
          <w:r w:rsidRPr="00C16733">
            <w:rPr>
              <w:rFonts w:ascii="Times New Roman" w:hAnsi="Times New Roman"/>
              <w:i/>
              <w:lang w:bidi="es-ES"/>
            </w:rPr>
            <w:t xml:space="preserve">Agencia Nacional de Infraestructura - ANI, y en contra de la Sociedad Portuaria de la Península PENSOPORT S.A., identificada con NIT. </w:t>
          </w:r>
          <w:r w:rsidRPr="00C16733">
            <w:rPr>
              <w:rFonts w:ascii="Times New Roman" w:hAnsi="Times New Roman"/>
              <w:i/>
              <w:iCs/>
              <w:lang w:bidi="es-ES"/>
            </w:rPr>
            <w:t>839</w:t>
          </w:r>
          <w:r w:rsidR="00E80570">
            <w:rPr>
              <w:rFonts w:ascii="Times New Roman" w:hAnsi="Times New Roman"/>
              <w:i/>
              <w:iCs/>
              <w:lang w:bidi="es-ES"/>
            </w:rPr>
            <w:t>.</w:t>
          </w:r>
          <w:r w:rsidRPr="00C16733">
            <w:rPr>
              <w:rFonts w:ascii="Times New Roman" w:hAnsi="Times New Roman"/>
              <w:i/>
              <w:iCs/>
              <w:lang w:bidi="es-ES"/>
            </w:rPr>
            <w:t>000</w:t>
          </w:r>
          <w:r w:rsidR="00E80570">
            <w:rPr>
              <w:rFonts w:ascii="Times New Roman" w:hAnsi="Times New Roman"/>
              <w:i/>
              <w:iCs/>
              <w:lang w:bidi="es-ES"/>
            </w:rPr>
            <w:t>.</w:t>
          </w:r>
          <w:r w:rsidRPr="00C16733">
            <w:rPr>
              <w:rFonts w:ascii="Times New Roman" w:hAnsi="Times New Roman"/>
              <w:i/>
              <w:iCs/>
              <w:lang w:bidi="es-ES"/>
            </w:rPr>
            <w:t>348</w:t>
          </w:r>
          <w:r w:rsidRPr="00C16733">
            <w:rPr>
              <w:rFonts w:ascii="Times New Roman" w:hAnsi="Times New Roman"/>
              <w:i/>
              <w:lang w:bidi="es-ES"/>
            </w:rPr>
            <w:t xml:space="preserve">, para que cancele en el </w:t>
          </w:r>
          <w:r w:rsidRPr="00C16733">
            <w:rPr>
              <w:rFonts w:ascii="Times New Roman" w:hAnsi="Times New Roman"/>
              <w:i/>
              <w:lang w:bidi="es-ES"/>
            </w:rPr>
            <w:lastRenderedPageBreak/>
            <w:t>término de quince (15) días contados a partir de la notificación de la providencia la suma de dinero.”</w:t>
          </w:r>
        </w:p>
        <w:p w14:paraId="1A7B577F" w14:textId="77777777" w:rsidR="00D26FA8" w:rsidRPr="00931DCE" w:rsidRDefault="00D26FA8" w:rsidP="00D26FA8">
          <w:pPr>
            <w:spacing w:after="0" w:line="240" w:lineRule="auto"/>
            <w:jc w:val="both"/>
            <w:rPr>
              <w:rFonts w:ascii="Times New Roman" w:hAnsi="Times New Roman"/>
              <w:sz w:val="24"/>
              <w:szCs w:val="24"/>
              <w:lang w:bidi="es-ES"/>
            </w:rPr>
          </w:pPr>
        </w:p>
        <w:p w14:paraId="5F6E022C" w14:textId="43226B4E" w:rsidR="00421643" w:rsidRPr="00931DCE" w:rsidRDefault="00421643" w:rsidP="00D26FA8">
          <w:pPr>
            <w:spacing w:after="0" w:line="240" w:lineRule="auto"/>
            <w:jc w:val="both"/>
            <w:rPr>
              <w:rFonts w:ascii="Times New Roman" w:hAnsi="Times New Roman"/>
              <w:sz w:val="24"/>
              <w:szCs w:val="24"/>
              <w:lang w:bidi="es-ES"/>
            </w:rPr>
          </w:pPr>
          <w:r w:rsidRPr="00931DCE">
            <w:rPr>
              <w:rFonts w:ascii="Times New Roman" w:hAnsi="Times New Roman"/>
              <w:sz w:val="24"/>
              <w:szCs w:val="24"/>
              <w:lang w:bidi="es-ES"/>
            </w:rPr>
            <w:t>Así mismo, para el tercero Ferrocarril del Pacifico S.A. además de los factores de riesgos externos indicados en el “</w:t>
          </w:r>
          <w:r w:rsidRPr="00931DCE">
            <w:rPr>
              <w:rFonts w:ascii="Times New Roman" w:hAnsi="Times New Roman"/>
              <w:i/>
              <w:iCs/>
              <w:sz w:val="24"/>
              <w:szCs w:val="24"/>
              <w:lang w:bidi="es-ES"/>
            </w:rPr>
            <w:t>test”</w:t>
          </w:r>
          <w:r w:rsidRPr="00931DCE">
            <w:rPr>
              <w:rFonts w:ascii="Times New Roman" w:hAnsi="Times New Roman"/>
              <w:sz w:val="24"/>
              <w:szCs w:val="24"/>
              <w:lang w:bidi="es-ES"/>
            </w:rPr>
            <w:t>, el factor particular es que, pese a que los procedimientos administrativos de cobro coactivo que se adelantaban contra la deudora cesaron, se ordenó por parte de la Superintendencia de Sociedades, la liquidación obligatoria de la sociedad deudora.</w:t>
          </w:r>
        </w:p>
        <w:p w14:paraId="35E4A733" w14:textId="77777777" w:rsidR="00B24894" w:rsidRPr="00931DCE" w:rsidRDefault="00B24894" w:rsidP="00D26FA8">
          <w:pPr>
            <w:spacing w:after="0" w:line="240" w:lineRule="auto"/>
            <w:jc w:val="both"/>
            <w:rPr>
              <w:rFonts w:ascii="Times New Roman" w:hAnsi="Times New Roman"/>
              <w:sz w:val="24"/>
              <w:szCs w:val="24"/>
              <w:lang w:bidi="es-ES"/>
            </w:rPr>
          </w:pPr>
        </w:p>
        <w:p w14:paraId="1A5649DF" w14:textId="24463ED1" w:rsidR="00421643" w:rsidRPr="00931DCE" w:rsidRDefault="00421643" w:rsidP="00D26FA8">
          <w:pPr>
            <w:spacing w:after="0" w:line="240" w:lineRule="auto"/>
            <w:jc w:val="both"/>
            <w:rPr>
              <w:rFonts w:ascii="Times New Roman" w:hAnsi="Times New Roman"/>
              <w:sz w:val="24"/>
              <w:szCs w:val="24"/>
              <w:lang w:bidi="es-ES"/>
            </w:rPr>
          </w:pPr>
          <w:r w:rsidRPr="00931DCE">
            <w:rPr>
              <w:rFonts w:ascii="Times New Roman" w:hAnsi="Times New Roman"/>
              <w:sz w:val="24"/>
              <w:szCs w:val="24"/>
              <w:lang w:bidi="es-ES"/>
            </w:rPr>
            <w:t>Para el caso del Hospital Santa Catalina E.S.E: se deterioró teniendo en cuenta los factores particulares de la antigüedad de la obligación y la respuesta del recurso de apelación en el Tribunal Administrativo del Valle del Cauca contra el auto que negó librar mandamiento de pago.</w:t>
          </w:r>
        </w:p>
        <w:p w14:paraId="72585B1C" w14:textId="77777777" w:rsidR="00575849" w:rsidRPr="00931DCE" w:rsidRDefault="00575849" w:rsidP="00D26FA8">
          <w:pPr>
            <w:spacing w:after="0" w:line="240" w:lineRule="auto"/>
            <w:jc w:val="both"/>
            <w:rPr>
              <w:rFonts w:ascii="Times New Roman" w:hAnsi="Times New Roman"/>
              <w:sz w:val="24"/>
              <w:szCs w:val="24"/>
              <w:lang w:bidi="es-ES"/>
            </w:rPr>
          </w:pPr>
        </w:p>
        <w:p w14:paraId="7B5CBB76" w14:textId="77777777" w:rsidR="00421643" w:rsidRPr="00931DCE" w:rsidRDefault="00421643" w:rsidP="00D26FA8">
          <w:pPr>
            <w:spacing w:after="0" w:line="240" w:lineRule="auto"/>
            <w:jc w:val="both"/>
            <w:rPr>
              <w:rFonts w:ascii="Times New Roman" w:hAnsi="Times New Roman"/>
              <w:sz w:val="24"/>
              <w:szCs w:val="24"/>
              <w:lang w:bidi="es-ES"/>
            </w:rPr>
          </w:pPr>
          <w:r w:rsidRPr="00931DCE">
            <w:rPr>
              <w:rFonts w:ascii="Times New Roman" w:hAnsi="Times New Roman"/>
              <w:sz w:val="24"/>
              <w:szCs w:val="24"/>
              <w:lang w:bidi="es-ES"/>
            </w:rPr>
            <w:t>Para los deudores clasificados en la subcuenta costas procesales: los factores considerados corresponden a los establecidos en el “</w:t>
          </w:r>
          <w:r w:rsidRPr="00931DCE">
            <w:rPr>
              <w:rFonts w:ascii="Times New Roman" w:hAnsi="Times New Roman"/>
              <w:i/>
              <w:iCs/>
              <w:sz w:val="24"/>
              <w:szCs w:val="24"/>
              <w:lang w:bidi="es-ES"/>
            </w:rPr>
            <w:t xml:space="preserve">test” </w:t>
          </w:r>
          <w:r w:rsidRPr="00931DCE">
            <w:rPr>
              <w:rFonts w:ascii="Times New Roman" w:hAnsi="Times New Roman"/>
              <w:sz w:val="24"/>
              <w:szCs w:val="24"/>
              <w:lang w:bidi="es-ES"/>
            </w:rPr>
            <w:t>como</w:t>
          </w:r>
          <w:r w:rsidRPr="00931DCE">
            <w:rPr>
              <w:rFonts w:ascii="Times New Roman" w:hAnsi="Times New Roman"/>
              <w:i/>
              <w:iCs/>
              <w:sz w:val="24"/>
              <w:szCs w:val="24"/>
              <w:lang w:bidi="es-ES"/>
            </w:rPr>
            <w:t xml:space="preserve"> </w:t>
          </w:r>
          <w:r w:rsidRPr="00931DCE">
            <w:rPr>
              <w:rFonts w:ascii="Times New Roman" w:hAnsi="Times New Roman"/>
              <w:sz w:val="24"/>
              <w:szCs w:val="24"/>
              <w:lang w:bidi="es-ES"/>
            </w:rPr>
            <w:t xml:space="preserve">riesgos externos además se informó: </w:t>
          </w:r>
          <w:r w:rsidRPr="00931DCE">
            <w:rPr>
              <w:rFonts w:ascii="Times New Roman" w:hAnsi="Times New Roman"/>
              <w:i/>
              <w:iCs/>
              <w:sz w:val="24"/>
              <w:szCs w:val="24"/>
              <w:lang w:bidi="es-ES"/>
            </w:rPr>
            <w:t>“en proceso de verificación de título ejecutivo y dada la antigüedad de la obligación y la falta de localización de los obligados se requiere deterioro”.</w:t>
          </w:r>
        </w:p>
        <w:p w14:paraId="2F909AB3" w14:textId="77777777" w:rsidR="00421643" w:rsidRPr="00931DCE" w:rsidRDefault="00421643" w:rsidP="00D26FA8">
          <w:pPr>
            <w:autoSpaceDE w:val="0"/>
            <w:autoSpaceDN w:val="0"/>
            <w:adjustRightInd w:val="0"/>
            <w:spacing w:after="0" w:line="240" w:lineRule="auto"/>
            <w:jc w:val="both"/>
            <w:rPr>
              <w:rFonts w:ascii="Times New Roman" w:eastAsiaTheme="minorHAnsi" w:hAnsi="Times New Roman"/>
              <w:color w:val="000000"/>
              <w:sz w:val="24"/>
              <w:szCs w:val="24"/>
            </w:rPr>
          </w:pPr>
        </w:p>
        <w:p w14:paraId="0919FED9" w14:textId="5D9A8012" w:rsidR="006C1D75" w:rsidRPr="00931DCE" w:rsidRDefault="006C1D75" w:rsidP="00663ED8">
          <w:pPr>
            <w:pStyle w:val="Ttulo2"/>
            <w:numPr>
              <w:ilvl w:val="0"/>
              <w:numId w:val="0"/>
            </w:numPr>
            <w:spacing w:line="240" w:lineRule="auto"/>
            <w:rPr>
              <w:rFonts w:cs="Times New Roman"/>
              <w:szCs w:val="24"/>
            </w:rPr>
          </w:pPr>
          <w:bookmarkStart w:id="29" w:name="_Toc159952374"/>
          <w:r w:rsidRPr="00785DD9">
            <w:rPr>
              <w:rFonts w:cs="Times New Roman"/>
              <w:szCs w:val="24"/>
            </w:rPr>
            <w:t>7.</w:t>
          </w:r>
          <w:r w:rsidR="00EB785C" w:rsidRPr="00785DD9">
            <w:rPr>
              <w:rFonts w:cs="Times New Roman"/>
              <w:szCs w:val="24"/>
            </w:rPr>
            <w:t>7</w:t>
          </w:r>
          <w:r w:rsidR="004A0440">
            <w:rPr>
              <w:rFonts w:cs="Times New Roman"/>
              <w:szCs w:val="24"/>
            </w:rPr>
            <w:t xml:space="preserve"> </w:t>
          </w:r>
          <w:r w:rsidRPr="00785DD9">
            <w:rPr>
              <w:rFonts w:cs="Times New Roman"/>
              <w:szCs w:val="24"/>
            </w:rPr>
            <w:t>Cuentas por cobrar vencidas no deterioradas</w:t>
          </w:r>
          <w:bookmarkEnd w:id="29"/>
        </w:p>
        <w:p w14:paraId="27B10640" w14:textId="64E5CB12" w:rsidR="006C1D75" w:rsidRPr="00931DCE" w:rsidRDefault="006C1D75" w:rsidP="00663ED8">
          <w:pPr>
            <w:spacing w:after="0" w:line="240" w:lineRule="auto"/>
            <w:rPr>
              <w:rFonts w:ascii="Times New Roman" w:hAnsi="Times New Roman"/>
              <w:sz w:val="24"/>
              <w:szCs w:val="24"/>
            </w:rPr>
          </w:pPr>
        </w:p>
        <w:p w14:paraId="0932ACDB" w14:textId="3D080C42" w:rsidR="001D41C5" w:rsidRPr="00931DCE" w:rsidRDefault="001D41C5" w:rsidP="001D41C5">
          <w:pPr>
            <w:spacing w:after="0" w:line="240" w:lineRule="auto"/>
            <w:jc w:val="both"/>
            <w:rPr>
              <w:rFonts w:ascii="Times New Roman" w:hAnsi="Times New Roman"/>
              <w:sz w:val="24"/>
              <w:szCs w:val="24"/>
              <w:lang w:bidi="es-ES"/>
            </w:rPr>
          </w:pPr>
          <w:r w:rsidRPr="00931DCE">
            <w:rPr>
              <w:rFonts w:ascii="Times New Roman" w:hAnsi="Times New Roman"/>
              <w:sz w:val="24"/>
              <w:szCs w:val="24"/>
              <w:lang w:bidi="es-ES"/>
            </w:rPr>
            <w:t xml:space="preserve">Los terceros registrados en la subcuenta sanciones contractuales y otras cuentas por cobrar, reflejados en el siguiente cuadro, no fueron objeto de deterioro por la calificación suministrada por el GIT de Defensa Judicial, ya que el porcentaje de complejidad de recuperación de la cartera para cada tercero no se encuentra dentro del rango establecido en la guía correspondiente (75% al 100%) </w:t>
          </w:r>
        </w:p>
        <w:p w14:paraId="057D5BA7" w14:textId="77777777" w:rsidR="001D41C5" w:rsidRPr="00931DCE" w:rsidRDefault="001D41C5" w:rsidP="001D41C5">
          <w:pPr>
            <w:spacing w:after="0" w:line="240" w:lineRule="auto"/>
            <w:jc w:val="both"/>
            <w:rPr>
              <w:rFonts w:ascii="Times New Roman" w:hAnsi="Times New Roman"/>
              <w:sz w:val="24"/>
              <w:szCs w:val="24"/>
              <w:lang w:bidi="es-ES"/>
            </w:rPr>
          </w:pPr>
        </w:p>
        <w:p w14:paraId="781E1051" w14:textId="3531CB18" w:rsidR="001D41C5" w:rsidRPr="00931DCE" w:rsidRDefault="001D41C5" w:rsidP="001D41C5">
          <w:pPr>
            <w:spacing w:after="0" w:line="240" w:lineRule="auto"/>
            <w:jc w:val="both"/>
            <w:rPr>
              <w:rFonts w:ascii="Times New Roman" w:hAnsi="Times New Roman"/>
              <w:sz w:val="24"/>
              <w:szCs w:val="24"/>
              <w:lang w:bidi="es-ES"/>
            </w:rPr>
          </w:pPr>
          <w:r w:rsidRPr="00931DCE">
            <w:rPr>
              <w:rFonts w:ascii="Times New Roman" w:hAnsi="Times New Roman"/>
              <w:sz w:val="24"/>
              <w:szCs w:val="24"/>
              <w:lang w:bidi="es-ES"/>
            </w:rPr>
            <w:t>De acuerdo con su origen y características, las cuentas por cobrar por concepto de derechos de tránsito (Contraprestaciones férreas) y derechos cobrados por terceros (Arrendamientos), no son objeto de deterioro; por cuanto los derechos reconocidos no tienen antecedentes de riesgo de no pago y con la gestión de cobro que realiza la entidad, se recuperan y recaudan en el corto plazo.</w:t>
          </w:r>
        </w:p>
        <w:p w14:paraId="52491EC0" w14:textId="77777777" w:rsidR="001D41C5" w:rsidRPr="00931DCE" w:rsidRDefault="001D41C5" w:rsidP="001D41C5">
          <w:pPr>
            <w:spacing w:after="0" w:line="240" w:lineRule="auto"/>
            <w:jc w:val="both"/>
            <w:rPr>
              <w:rFonts w:ascii="Times New Roman" w:hAnsi="Times New Roman"/>
              <w:sz w:val="24"/>
              <w:szCs w:val="24"/>
              <w:lang w:bidi="es-ES"/>
            </w:rPr>
          </w:pPr>
        </w:p>
        <w:p w14:paraId="3464ED8F" w14:textId="3552A0A8" w:rsidR="001D41C5" w:rsidRPr="00931DCE" w:rsidRDefault="001D41C5" w:rsidP="001D41C5">
          <w:pPr>
            <w:spacing w:after="0" w:line="240" w:lineRule="auto"/>
            <w:rPr>
              <w:rFonts w:ascii="Times New Roman" w:hAnsi="Times New Roman"/>
              <w:sz w:val="24"/>
              <w:szCs w:val="24"/>
              <w:lang w:bidi="es-ES"/>
            </w:rPr>
          </w:pPr>
          <w:r w:rsidRPr="00931DCE">
            <w:rPr>
              <w:rFonts w:ascii="Times New Roman" w:hAnsi="Times New Roman"/>
              <w:sz w:val="24"/>
              <w:szCs w:val="24"/>
              <w:lang w:bidi="es-ES"/>
            </w:rPr>
            <w:t>Terceros que no fueron objeto de deterioro al cierre de la vigencia 202</w:t>
          </w:r>
          <w:r w:rsidR="00B71022">
            <w:rPr>
              <w:rFonts w:ascii="Times New Roman" w:hAnsi="Times New Roman"/>
              <w:sz w:val="24"/>
              <w:szCs w:val="24"/>
              <w:lang w:bidi="es-ES"/>
            </w:rPr>
            <w:t>3</w:t>
          </w:r>
          <w:r w:rsidRPr="00931DCE">
            <w:rPr>
              <w:rFonts w:ascii="Times New Roman" w:hAnsi="Times New Roman"/>
              <w:sz w:val="24"/>
              <w:szCs w:val="24"/>
              <w:lang w:bidi="es-ES"/>
            </w:rPr>
            <w:t>:</w:t>
          </w:r>
        </w:p>
        <w:p w14:paraId="2B5B93C8" w14:textId="77777777" w:rsidR="00AC10B1" w:rsidRPr="00931DCE" w:rsidRDefault="00AC10B1" w:rsidP="001D41C5">
          <w:pPr>
            <w:spacing w:after="0" w:line="240" w:lineRule="auto"/>
            <w:rPr>
              <w:rFonts w:ascii="Times New Roman" w:hAnsi="Times New Roman"/>
              <w:sz w:val="24"/>
              <w:szCs w:val="24"/>
              <w:lang w:bidi="es-ES"/>
            </w:rPr>
          </w:pPr>
        </w:p>
        <w:p w14:paraId="0A07B668" w14:textId="77777777" w:rsidR="00214C6B" w:rsidRPr="00931DCE" w:rsidRDefault="00214C6B" w:rsidP="00AE433A">
          <w:pPr>
            <w:spacing w:after="0" w:line="240" w:lineRule="auto"/>
            <w:rPr>
              <w:rFonts w:ascii="Times New Roman" w:hAnsi="Times New Roman"/>
              <w:sz w:val="14"/>
              <w:szCs w:val="14"/>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70" w:type="dxa"/>
              <w:right w:w="70" w:type="dxa"/>
            </w:tblCellMar>
            <w:tblLook w:val="04A0" w:firstRow="1" w:lastRow="0" w:firstColumn="1" w:lastColumn="0" w:noHBand="0" w:noVBand="1"/>
          </w:tblPr>
          <w:tblGrid>
            <w:gridCol w:w="1644"/>
            <w:gridCol w:w="903"/>
            <w:gridCol w:w="2268"/>
            <w:gridCol w:w="1276"/>
            <w:gridCol w:w="1066"/>
            <w:gridCol w:w="1031"/>
            <w:gridCol w:w="781"/>
          </w:tblGrid>
          <w:tr w:rsidR="00F11715" w:rsidRPr="00F11715" w14:paraId="660E5517" w14:textId="77777777" w:rsidTr="00186522">
            <w:trPr>
              <w:cantSplit/>
              <w:trHeight w:val="1134"/>
              <w:tblHeader/>
            </w:trPr>
            <w:tc>
              <w:tcPr>
                <w:tcW w:w="1644" w:type="dxa"/>
                <w:shd w:val="clear" w:color="auto" w:fill="auto"/>
                <w:textDirection w:val="btLr"/>
                <w:vAlign w:val="center"/>
                <w:hideMark/>
              </w:tcPr>
              <w:p w14:paraId="3B175D9B" w14:textId="77777777" w:rsidR="00F11715" w:rsidRPr="00F11715" w:rsidRDefault="00F11715" w:rsidP="008C0B2E">
                <w:pPr>
                  <w:spacing w:after="0" w:line="240" w:lineRule="auto"/>
                  <w:ind w:left="113" w:right="113"/>
                  <w:jc w:val="center"/>
                  <w:rPr>
                    <w:rFonts w:ascii="Times New Roman" w:eastAsia="Times New Roman" w:hAnsi="Times New Roman"/>
                    <w:b/>
                    <w:bCs/>
                    <w:sz w:val="14"/>
                    <w:szCs w:val="14"/>
                    <w:lang w:eastAsia="es-CO"/>
                  </w:rPr>
                </w:pPr>
                <w:r w:rsidRPr="00F11715">
                  <w:rPr>
                    <w:rFonts w:ascii="Times New Roman" w:eastAsia="Times New Roman" w:hAnsi="Times New Roman"/>
                    <w:b/>
                    <w:bCs/>
                    <w:sz w:val="14"/>
                    <w:szCs w:val="14"/>
                    <w:lang w:eastAsia="es-CO"/>
                  </w:rPr>
                  <w:t>CUENTA</w:t>
                </w:r>
              </w:p>
            </w:tc>
            <w:tc>
              <w:tcPr>
                <w:tcW w:w="903" w:type="dxa"/>
                <w:shd w:val="clear" w:color="auto" w:fill="auto"/>
                <w:textDirection w:val="btLr"/>
                <w:vAlign w:val="center"/>
                <w:hideMark/>
              </w:tcPr>
              <w:p w14:paraId="0A6EC7DF" w14:textId="77777777" w:rsidR="00F11715" w:rsidRPr="00F11715" w:rsidRDefault="00F11715" w:rsidP="008C0B2E">
                <w:pPr>
                  <w:spacing w:after="0" w:line="240" w:lineRule="auto"/>
                  <w:ind w:left="113" w:right="113"/>
                  <w:jc w:val="center"/>
                  <w:rPr>
                    <w:rFonts w:ascii="Times New Roman" w:eastAsia="Times New Roman" w:hAnsi="Times New Roman"/>
                    <w:b/>
                    <w:bCs/>
                    <w:sz w:val="14"/>
                    <w:szCs w:val="14"/>
                    <w:lang w:eastAsia="es-CO"/>
                  </w:rPr>
                </w:pPr>
                <w:r w:rsidRPr="00F11715">
                  <w:rPr>
                    <w:rFonts w:ascii="Times New Roman" w:eastAsia="Times New Roman" w:hAnsi="Times New Roman"/>
                    <w:b/>
                    <w:bCs/>
                    <w:sz w:val="14"/>
                    <w:szCs w:val="14"/>
                    <w:lang w:eastAsia="es-CO"/>
                  </w:rPr>
                  <w:t>Fecha de la Obligación</w:t>
                </w:r>
              </w:p>
            </w:tc>
            <w:tc>
              <w:tcPr>
                <w:tcW w:w="2268" w:type="dxa"/>
                <w:shd w:val="clear" w:color="auto" w:fill="auto"/>
                <w:noWrap/>
                <w:textDirection w:val="btLr"/>
                <w:vAlign w:val="center"/>
                <w:hideMark/>
              </w:tcPr>
              <w:p w14:paraId="56F67134" w14:textId="77777777" w:rsidR="00F11715" w:rsidRPr="00F11715" w:rsidRDefault="00F11715" w:rsidP="008C0B2E">
                <w:pPr>
                  <w:spacing w:after="0" w:line="240" w:lineRule="auto"/>
                  <w:ind w:left="113" w:right="113"/>
                  <w:jc w:val="center"/>
                  <w:rPr>
                    <w:rFonts w:ascii="Times New Roman" w:eastAsia="Times New Roman" w:hAnsi="Times New Roman"/>
                    <w:b/>
                    <w:bCs/>
                    <w:sz w:val="14"/>
                    <w:szCs w:val="14"/>
                    <w:lang w:eastAsia="es-CO"/>
                  </w:rPr>
                </w:pPr>
                <w:r w:rsidRPr="00F11715">
                  <w:rPr>
                    <w:rFonts w:ascii="Times New Roman" w:eastAsia="Times New Roman" w:hAnsi="Times New Roman"/>
                    <w:b/>
                    <w:bCs/>
                    <w:sz w:val="14"/>
                    <w:szCs w:val="14"/>
                    <w:lang w:eastAsia="es-CO"/>
                  </w:rPr>
                  <w:t>Tercero</w:t>
                </w:r>
              </w:p>
            </w:tc>
            <w:tc>
              <w:tcPr>
                <w:tcW w:w="1276" w:type="dxa"/>
                <w:shd w:val="clear" w:color="auto" w:fill="auto"/>
                <w:noWrap/>
                <w:textDirection w:val="btLr"/>
                <w:vAlign w:val="center"/>
                <w:hideMark/>
              </w:tcPr>
              <w:p w14:paraId="4761C4C3" w14:textId="77777777" w:rsidR="00F11715" w:rsidRPr="00F11715" w:rsidRDefault="00F11715" w:rsidP="008C0B2E">
                <w:pPr>
                  <w:spacing w:after="0" w:line="240" w:lineRule="auto"/>
                  <w:ind w:left="113" w:right="113"/>
                  <w:jc w:val="center"/>
                  <w:rPr>
                    <w:rFonts w:ascii="Times New Roman" w:eastAsia="Times New Roman" w:hAnsi="Times New Roman"/>
                    <w:b/>
                    <w:bCs/>
                    <w:sz w:val="14"/>
                    <w:szCs w:val="14"/>
                    <w:lang w:eastAsia="es-CO"/>
                  </w:rPr>
                </w:pPr>
                <w:r w:rsidRPr="00F11715">
                  <w:rPr>
                    <w:rFonts w:ascii="Times New Roman" w:eastAsia="Times New Roman" w:hAnsi="Times New Roman"/>
                    <w:b/>
                    <w:bCs/>
                    <w:sz w:val="14"/>
                    <w:szCs w:val="14"/>
                    <w:lang w:eastAsia="es-CO"/>
                  </w:rPr>
                  <w:t>Valor</w:t>
                </w:r>
              </w:p>
            </w:tc>
            <w:tc>
              <w:tcPr>
                <w:tcW w:w="1066" w:type="dxa"/>
                <w:shd w:val="clear" w:color="auto" w:fill="auto"/>
                <w:textDirection w:val="btLr"/>
                <w:vAlign w:val="center"/>
                <w:hideMark/>
              </w:tcPr>
              <w:p w14:paraId="0CC643C3" w14:textId="77777777" w:rsidR="00F11715" w:rsidRPr="00F11715" w:rsidRDefault="00F11715" w:rsidP="008C0B2E">
                <w:pPr>
                  <w:spacing w:after="0" w:line="240" w:lineRule="auto"/>
                  <w:ind w:left="113" w:right="113"/>
                  <w:jc w:val="center"/>
                  <w:rPr>
                    <w:rFonts w:ascii="Times New Roman" w:eastAsia="Times New Roman" w:hAnsi="Times New Roman"/>
                    <w:b/>
                    <w:bCs/>
                    <w:sz w:val="14"/>
                    <w:szCs w:val="14"/>
                    <w:lang w:eastAsia="es-CO"/>
                  </w:rPr>
                </w:pPr>
                <w:r w:rsidRPr="00F11715">
                  <w:rPr>
                    <w:rFonts w:ascii="Times New Roman" w:eastAsia="Times New Roman" w:hAnsi="Times New Roman"/>
                    <w:b/>
                    <w:bCs/>
                    <w:sz w:val="14"/>
                    <w:szCs w:val="14"/>
                    <w:lang w:eastAsia="es-CO"/>
                  </w:rPr>
                  <w:t>&gt; 3 MESES HASTA 12 MESES</w:t>
                </w:r>
              </w:p>
            </w:tc>
            <w:tc>
              <w:tcPr>
                <w:tcW w:w="1031" w:type="dxa"/>
                <w:shd w:val="clear" w:color="auto" w:fill="auto"/>
                <w:textDirection w:val="btLr"/>
                <w:vAlign w:val="center"/>
                <w:hideMark/>
              </w:tcPr>
              <w:p w14:paraId="2D2237EE" w14:textId="77777777" w:rsidR="00F11715" w:rsidRPr="00F11715" w:rsidRDefault="00F11715" w:rsidP="008C0B2E">
                <w:pPr>
                  <w:spacing w:after="0" w:line="240" w:lineRule="auto"/>
                  <w:ind w:left="113" w:right="113"/>
                  <w:jc w:val="center"/>
                  <w:rPr>
                    <w:rFonts w:ascii="Times New Roman" w:eastAsia="Times New Roman" w:hAnsi="Times New Roman"/>
                    <w:b/>
                    <w:bCs/>
                    <w:sz w:val="14"/>
                    <w:szCs w:val="14"/>
                    <w:lang w:eastAsia="es-CO"/>
                  </w:rPr>
                </w:pPr>
                <w:r w:rsidRPr="00F11715">
                  <w:rPr>
                    <w:rFonts w:ascii="Times New Roman" w:eastAsia="Times New Roman" w:hAnsi="Times New Roman"/>
                    <w:b/>
                    <w:bCs/>
                    <w:sz w:val="14"/>
                    <w:szCs w:val="14"/>
                    <w:lang w:eastAsia="es-CO"/>
                  </w:rPr>
                  <w:t xml:space="preserve">&gt; 1 AÑO Y HASTA 3 AÑOS </w:t>
                </w:r>
              </w:p>
            </w:tc>
            <w:tc>
              <w:tcPr>
                <w:tcW w:w="781" w:type="dxa"/>
                <w:shd w:val="clear" w:color="auto" w:fill="auto"/>
                <w:textDirection w:val="btLr"/>
                <w:vAlign w:val="center"/>
                <w:hideMark/>
              </w:tcPr>
              <w:p w14:paraId="14C85FC2" w14:textId="77777777" w:rsidR="00F11715" w:rsidRPr="00F11715" w:rsidRDefault="00F11715" w:rsidP="008C0B2E">
                <w:pPr>
                  <w:spacing w:after="0" w:line="240" w:lineRule="auto"/>
                  <w:ind w:left="113" w:right="113"/>
                  <w:jc w:val="center"/>
                  <w:rPr>
                    <w:rFonts w:ascii="Times New Roman" w:eastAsia="Times New Roman" w:hAnsi="Times New Roman"/>
                    <w:b/>
                    <w:bCs/>
                    <w:sz w:val="14"/>
                    <w:szCs w:val="14"/>
                    <w:lang w:eastAsia="es-CO"/>
                  </w:rPr>
                </w:pPr>
                <w:r w:rsidRPr="00F11715">
                  <w:rPr>
                    <w:rFonts w:ascii="Times New Roman" w:eastAsia="Times New Roman" w:hAnsi="Times New Roman"/>
                    <w:b/>
                    <w:bCs/>
                    <w:sz w:val="14"/>
                    <w:szCs w:val="14"/>
                    <w:lang w:eastAsia="es-CO"/>
                  </w:rPr>
                  <w:t xml:space="preserve">&gt; 3 AÑOS </w:t>
                </w:r>
              </w:p>
            </w:tc>
          </w:tr>
          <w:tr w:rsidR="00F11715" w:rsidRPr="00F11715" w14:paraId="0B739FDE" w14:textId="77777777" w:rsidTr="008C0B2E">
            <w:trPr>
              <w:trHeight w:val="315"/>
            </w:trPr>
            <w:tc>
              <w:tcPr>
                <w:tcW w:w="1644" w:type="dxa"/>
                <w:shd w:val="clear" w:color="auto" w:fill="auto"/>
                <w:noWrap/>
                <w:vAlign w:val="center"/>
                <w:hideMark/>
              </w:tcPr>
              <w:p w14:paraId="4EE3355C" w14:textId="77777777" w:rsidR="00F11715" w:rsidRPr="00F11715" w:rsidRDefault="00F11715" w:rsidP="00F11715">
                <w:pPr>
                  <w:spacing w:after="0" w:line="240" w:lineRule="auto"/>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Sanciones contractuales</w:t>
                </w:r>
              </w:p>
            </w:tc>
            <w:tc>
              <w:tcPr>
                <w:tcW w:w="903" w:type="dxa"/>
                <w:shd w:val="clear" w:color="auto" w:fill="auto"/>
                <w:noWrap/>
                <w:vAlign w:val="center"/>
                <w:hideMark/>
              </w:tcPr>
              <w:p w14:paraId="7D82FABC" w14:textId="77777777" w:rsidR="00F11715" w:rsidRPr="00F11715" w:rsidRDefault="00F11715" w:rsidP="00F11715">
                <w:pPr>
                  <w:spacing w:after="0" w:line="240" w:lineRule="auto"/>
                  <w:jc w:val="center"/>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6/08/2020</w:t>
                </w:r>
              </w:p>
            </w:tc>
            <w:tc>
              <w:tcPr>
                <w:tcW w:w="2268" w:type="dxa"/>
                <w:shd w:val="clear" w:color="auto" w:fill="auto"/>
                <w:noWrap/>
                <w:vAlign w:val="center"/>
                <w:hideMark/>
              </w:tcPr>
              <w:p w14:paraId="24DA0937" w14:textId="77777777" w:rsidR="00F11715" w:rsidRPr="00F11715" w:rsidRDefault="00F11715" w:rsidP="00F11715">
                <w:pPr>
                  <w:spacing w:after="0" w:line="240" w:lineRule="auto"/>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Sociedad Portuaria Rio Córdoba S A</w:t>
                </w:r>
              </w:p>
            </w:tc>
            <w:tc>
              <w:tcPr>
                <w:tcW w:w="1276" w:type="dxa"/>
                <w:shd w:val="clear" w:color="auto" w:fill="auto"/>
                <w:noWrap/>
                <w:vAlign w:val="center"/>
                <w:hideMark/>
              </w:tcPr>
              <w:p w14:paraId="5BA053D4" w14:textId="101FE0F8" w:rsidR="00F11715" w:rsidRPr="00F11715" w:rsidRDefault="00F11715" w:rsidP="008C0B2E">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6.829.909</w:t>
                </w:r>
              </w:p>
            </w:tc>
            <w:tc>
              <w:tcPr>
                <w:tcW w:w="1066" w:type="dxa"/>
                <w:shd w:val="clear" w:color="auto" w:fill="auto"/>
                <w:noWrap/>
                <w:vAlign w:val="center"/>
                <w:hideMark/>
              </w:tcPr>
              <w:p w14:paraId="30BCC57B" w14:textId="2EE7A980"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   </w:t>
                </w:r>
              </w:p>
            </w:tc>
            <w:tc>
              <w:tcPr>
                <w:tcW w:w="1031" w:type="dxa"/>
                <w:shd w:val="clear" w:color="auto" w:fill="auto"/>
                <w:noWrap/>
                <w:vAlign w:val="center"/>
                <w:hideMark/>
              </w:tcPr>
              <w:p w14:paraId="54F0D4E0" w14:textId="27196831"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   </w:t>
                </w:r>
              </w:p>
            </w:tc>
            <w:tc>
              <w:tcPr>
                <w:tcW w:w="781" w:type="dxa"/>
                <w:shd w:val="clear" w:color="auto" w:fill="auto"/>
                <w:noWrap/>
                <w:vAlign w:val="center"/>
                <w:hideMark/>
              </w:tcPr>
              <w:p w14:paraId="3623835F" w14:textId="0A51EF7B"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6.829.909 </w:t>
                </w:r>
              </w:p>
            </w:tc>
          </w:tr>
          <w:tr w:rsidR="00F11715" w:rsidRPr="00F11715" w14:paraId="0D6D6954" w14:textId="77777777" w:rsidTr="008C0B2E">
            <w:trPr>
              <w:trHeight w:val="315"/>
            </w:trPr>
            <w:tc>
              <w:tcPr>
                <w:tcW w:w="1644" w:type="dxa"/>
                <w:shd w:val="clear" w:color="auto" w:fill="auto"/>
                <w:noWrap/>
                <w:vAlign w:val="center"/>
                <w:hideMark/>
              </w:tcPr>
              <w:p w14:paraId="6DC8BEA5" w14:textId="77777777" w:rsidR="00F11715" w:rsidRPr="00F11715" w:rsidRDefault="00F11715" w:rsidP="00F11715">
                <w:pPr>
                  <w:spacing w:after="0" w:line="240" w:lineRule="auto"/>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Sanciones contractuales</w:t>
                </w:r>
              </w:p>
            </w:tc>
            <w:tc>
              <w:tcPr>
                <w:tcW w:w="903" w:type="dxa"/>
                <w:shd w:val="clear" w:color="auto" w:fill="auto"/>
                <w:noWrap/>
                <w:vAlign w:val="center"/>
                <w:hideMark/>
              </w:tcPr>
              <w:p w14:paraId="4946A638" w14:textId="77777777" w:rsidR="00F11715" w:rsidRPr="00F11715" w:rsidRDefault="00F11715" w:rsidP="00F11715">
                <w:pPr>
                  <w:spacing w:after="0" w:line="240" w:lineRule="auto"/>
                  <w:jc w:val="center"/>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5/04/2023</w:t>
                </w:r>
              </w:p>
            </w:tc>
            <w:tc>
              <w:tcPr>
                <w:tcW w:w="2268" w:type="dxa"/>
                <w:shd w:val="clear" w:color="auto" w:fill="auto"/>
                <w:noWrap/>
                <w:vAlign w:val="center"/>
                <w:hideMark/>
              </w:tcPr>
              <w:p w14:paraId="366389F0" w14:textId="0FF4744B" w:rsidR="00F11715" w:rsidRPr="00F11715" w:rsidRDefault="00785DD9" w:rsidP="00F11715">
                <w:pPr>
                  <w:spacing w:after="0" w:line="240" w:lineRule="auto"/>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M P S Importaciones Y Exportaciones S.A.S</w:t>
                </w:r>
              </w:p>
            </w:tc>
            <w:tc>
              <w:tcPr>
                <w:tcW w:w="1276" w:type="dxa"/>
                <w:shd w:val="clear" w:color="auto" w:fill="auto"/>
                <w:noWrap/>
                <w:vAlign w:val="center"/>
                <w:hideMark/>
              </w:tcPr>
              <w:p w14:paraId="23AF7CA1" w14:textId="3837D063" w:rsidR="00F11715" w:rsidRPr="00F11715" w:rsidRDefault="00F11715" w:rsidP="008C0B2E">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4.680.000</w:t>
                </w:r>
              </w:p>
            </w:tc>
            <w:tc>
              <w:tcPr>
                <w:tcW w:w="1066" w:type="dxa"/>
                <w:shd w:val="clear" w:color="auto" w:fill="auto"/>
                <w:noWrap/>
                <w:vAlign w:val="center"/>
                <w:hideMark/>
              </w:tcPr>
              <w:p w14:paraId="1E4CE80F" w14:textId="5DF65A65"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4.680.000 </w:t>
                </w:r>
              </w:p>
            </w:tc>
            <w:tc>
              <w:tcPr>
                <w:tcW w:w="1031" w:type="dxa"/>
                <w:shd w:val="clear" w:color="auto" w:fill="auto"/>
                <w:noWrap/>
                <w:vAlign w:val="center"/>
                <w:hideMark/>
              </w:tcPr>
              <w:p w14:paraId="076F4A70" w14:textId="6C38AA33"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   </w:t>
                </w:r>
              </w:p>
            </w:tc>
            <w:tc>
              <w:tcPr>
                <w:tcW w:w="781" w:type="dxa"/>
                <w:shd w:val="clear" w:color="auto" w:fill="auto"/>
                <w:noWrap/>
                <w:vAlign w:val="center"/>
                <w:hideMark/>
              </w:tcPr>
              <w:p w14:paraId="53876D00" w14:textId="2DA7411B"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   </w:t>
                </w:r>
              </w:p>
            </w:tc>
          </w:tr>
          <w:tr w:rsidR="00F11715" w:rsidRPr="00F11715" w14:paraId="186E6551" w14:textId="77777777" w:rsidTr="008C0B2E">
            <w:trPr>
              <w:trHeight w:val="315"/>
            </w:trPr>
            <w:tc>
              <w:tcPr>
                <w:tcW w:w="1644" w:type="dxa"/>
                <w:shd w:val="clear" w:color="auto" w:fill="auto"/>
                <w:noWrap/>
                <w:vAlign w:val="center"/>
                <w:hideMark/>
              </w:tcPr>
              <w:p w14:paraId="396E6434" w14:textId="77777777" w:rsidR="00F11715" w:rsidRPr="00F11715" w:rsidRDefault="00F11715" w:rsidP="00F11715">
                <w:pPr>
                  <w:spacing w:after="0" w:line="240" w:lineRule="auto"/>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Sanciones contractuales</w:t>
                </w:r>
              </w:p>
            </w:tc>
            <w:tc>
              <w:tcPr>
                <w:tcW w:w="903" w:type="dxa"/>
                <w:shd w:val="clear" w:color="auto" w:fill="auto"/>
                <w:noWrap/>
                <w:vAlign w:val="center"/>
                <w:hideMark/>
              </w:tcPr>
              <w:p w14:paraId="5B06EA91" w14:textId="77777777" w:rsidR="00F11715" w:rsidRPr="00F11715" w:rsidRDefault="00F11715" w:rsidP="00F11715">
                <w:pPr>
                  <w:spacing w:after="0" w:line="240" w:lineRule="auto"/>
                  <w:jc w:val="center"/>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2/03/2023</w:t>
                </w:r>
              </w:p>
            </w:tc>
            <w:tc>
              <w:tcPr>
                <w:tcW w:w="2268" w:type="dxa"/>
                <w:shd w:val="clear" w:color="auto" w:fill="auto"/>
                <w:noWrap/>
                <w:vAlign w:val="center"/>
                <w:hideMark/>
              </w:tcPr>
              <w:p w14:paraId="3361A80D" w14:textId="10D3A36E" w:rsidR="00F11715" w:rsidRPr="00F11715" w:rsidRDefault="00785DD9" w:rsidP="00F11715">
                <w:pPr>
                  <w:spacing w:after="0" w:line="240" w:lineRule="auto"/>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Digicom System Corporation Sa</w:t>
                </w:r>
              </w:p>
            </w:tc>
            <w:tc>
              <w:tcPr>
                <w:tcW w:w="1276" w:type="dxa"/>
                <w:shd w:val="clear" w:color="auto" w:fill="auto"/>
                <w:noWrap/>
                <w:hideMark/>
              </w:tcPr>
              <w:p w14:paraId="4478B95D" w14:textId="18997362" w:rsidR="00F11715" w:rsidRPr="009A46BB" w:rsidRDefault="00F11715" w:rsidP="008C0B2E">
                <w:pPr>
                  <w:spacing w:after="0" w:line="240" w:lineRule="auto"/>
                  <w:jc w:val="right"/>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262.867.895,00</w:t>
                </w:r>
              </w:p>
            </w:tc>
            <w:tc>
              <w:tcPr>
                <w:tcW w:w="1066" w:type="dxa"/>
                <w:shd w:val="clear" w:color="auto" w:fill="auto"/>
                <w:noWrap/>
                <w:vAlign w:val="center"/>
                <w:hideMark/>
              </w:tcPr>
              <w:p w14:paraId="666BF8ED" w14:textId="3DD1D04A"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262.867.895 </w:t>
                </w:r>
              </w:p>
            </w:tc>
            <w:tc>
              <w:tcPr>
                <w:tcW w:w="1031" w:type="dxa"/>
                <w:shd w:val="clear" w:color="auto" w:fill="auto"/>
                <w:noWrap/>
                <w:vAlign w:val="center"/>
                <w:hideMark/>
              </w:tcPr>
              <w:p w14:paraId="57399BA0" w14:textId="175189C9"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   </w:t>
                </w:r>
              </w:p>
            </w:tc>
            <w:tc>
              <w:tcPr>
                <w:tcW w:w="781" w:type="dxa"/>
                <w:shd w:val="clear" w:color="auto" w:fill="auto"/>
                <w:noWrap/>
                <w:vAlign w:val="center"/>
                <w:hideMark/>
              </w:tcPr>
              <w:p w14:paraId="581428CF" w14:textId="497E8AB0"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   </w:t>
                </w:r>
              </w:p>
            </w:tc>
          </w:tr>
          <w:tr w:rsidR="00F11715" w:rsidRPr="00F11715" w14:paraId="4A8B5C5D" w14:textId="77777777" w:rsidTr="008C0B2E">
            <w:trPr>
              <w:trHeight w:val="315"/>
            </w:trPr>
            <w:tc>
              <w:tcPr>
                <w:tcW w:w="1644" w:type="dxa"/>
                <w:shd w:val="clear" w:color="auto" w:fill="auto"/>
                <w:noWrap/>
                <w:vAlign w:val="center"/>
                <w:hideMark/>
              </w:tcPr>
              <w:p w14:paraId="5E319F47" w14:textId="77777777" w:rsidR="00F11715" w:rsidRPr="00F11715" w:rsidRDefault="00F11715" w:rsidP="00F11715">
                <w:pPr>
                  <w:spacing w:after="0" w:line="240" w:lineRule="auto"/>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Sanciones contractuales</w:t>
                </w:r>
              </w:p>
            </w:tc>
            <w:tc>
              <w:tcPr>
                <w:tcW w:w="903" w:type="dxa"/>
                <w:shd w:val="clear" w:color="auto" w:fill="auto"/>
                <w:noWrap/>
                <w:vAlign w:val="center"/>
                <w:hideMark/>
              </w:tcPr>
              <w:p w14:paraId="30B8523E" w14:textId="77777777" w:rsidR="00F11715" w:rsidRPr="00F11715" w:rsidRDefault="00F11715" w:rsidP="00F11715">
                <w:pPr>
                  <w:spacing w:after="0" w:line="240" w:lineRule="auto"/>
                  <w:jc w:val="center"/>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5/02/2020</w:t>
                </w:r>
              </w:p>
            </w:tc>
            <w:tc>
              <w:tcPr>
                <w:tcW w:w="2268" w:type="dxa"/>
                <w:shd w:val="clear" w:color="auto" w:fill="auto"/>
                <w:noWrap/>
                <w:vAlign w:val="center"/>
                <w:hideMark/>
              </w:tcPr>
              <w:p w14:paraId="2A37DA22" w14:textId="77777777" w:rsidR="00F11715" w:rsidRPr="00F11715" w:rsidRDefault="00F11715" w:rsidP="00F11715">
                <w:pPr>
                  <w:spacing w:after="0" w:line="240" w:lineRule="auto"/>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Sociedad Portuaria Puerto Hondo S.A.</w:t>
                </w:r>
              </w:p>
            </w:tc>
            <w:tc>
              <w:tcPr>
                <w:tcW w:w="1276" w:type="dxa"/>
                <w:shd w:val="clear" w:color="auto" w:fill="auto"/>
                <w:noWrap/>
                <w:vAlign w:val="center"/>
                <w:hideMark/>
              </w:tcPr>
              <w:p w14:paraId="3BB81A60" w14:textId="6B67BAD3" w:rsidR="00F11715" w:rsidRPr="00F11715" w:rsidRDefault="00F11715" w:rsidP="008C0B2E">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52.896.637</w:t>
                </w:r>
              </w:p>
            </w:tc>
            <w:tc>
              <w:tcPr>
                <w:tcW w:w="1066" w:type="dxa"/>
                <w:shd w:val="clear" w:color="auto" w:fill="auto"/>
                <w:noWrap/>
                <w:vAlign w:val="center"/>
                <w:hideMark/>
              </w:tcPr>
              <w:p w14:paraId="20D8AE6B" w14:textId="063F599D"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   </w:t>
                </w:r>
              </w:p>
            </w:tc>
            <w:tc>
              <w:tcPr>
                <w:tcW w:w="1031" w:type="dxa"/>
                <w:shd w:val="clear" w:color="auto" w:fill="auto"/>
                <w:noWrap/>
                <w:vAlign w:val="center"/>
                <w:hideMark/>
              </w:tcPr>
              <w:p w14:paraId="33A7F4AC" w14:textId="5303DF7E"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   </w:t>
                </w:r>
              </w:p>
            </w:tc>
            <w:tc>
              <w:tcPr>
                <w:tcW w:w="781" w:type="dxa"/>
                <w:shd w:val="clear" w:color="auto" w:fill="auto"/>
                <w:noWrap/>
                <w:vAlign w:val="center"/>
                <w:hideMark/>
              </w:tcPr>
              <w:p w14:paraId="4D622DFF" w14:textId="6827DF88"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52.896.637 </w:t>
                </w:r>
              </w:p>
            </w:tc>
          </w:tr>
          <w:tr w:rsidR="00F11715" w:rsidRPr="00F11715" w14:paraId="4143AAC5" w14:textId="77777777" w:rsidTr="008C0B2E">
            <w:trPr>
              <w:trHeight w:val="315"/>
            </w:trPr>
            <w:tc>
              <w:tcPr>
                <w:tcW w:w="1644" w:type="dxa"/>
                <w:shd w:val="clear" w:color="auto" w:fill="auto"/>
                <w:noWrap/>
                <w:vAlign w:val="center"/>
                <w:hideMark/>
              </w:tcPr>
              <w:p w14:paraId="5F63359F" w14:textId="77777777" w:rsidR="00F11715" w:rsidRPr="00F11715" w:rsidRDefault="00F11715" w:rsidP="00F11715">
                <w:pPr>
                  <w:spacing w:after="0" w:line="240" w:lineRule="auto"/>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Sanciones contractuales</w:t>
                </w:r>
              </w:p>
            </w:tc>
            <w:tc>
              <w:tcPr>
                <w:tcW w:w="903" w:type="dxa"/>
                <w:shd w:val="clear" w:color="auto" w:fill="auto"/>
                <w:noWrap/>
                <w:vAlign w:val="center"/>
                <w:hideMark/>
              </w:tcPr>
              <w:p w14:paraId="7C0D0CCB" w14:textId="77777777" w:rsidR="00F11715" w:rsidRPr="00F11715" w:rsidRDefault="00F11715" w:rsidP="00F11715">
                <w:pPr>
                  <w:spacing w:after="0" w:line="240" w:lineRule="auto"/>
                  <w:jc w:val="center"/>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8/02/2023</w:t>
                </w:r>
              </w:p>
            </w:tc>
            <w:tc>
              <w:tcPr>
                <w:tcW w:w="2268" w:type="dxa"/>
                <w:shd w:val="clear" w:color="auto" w:fill="auto"/>
                <w:noWrap/>
                <w:vAlign w:val="center"/>
                <w:hideMark/>
              </w:tcPr>
              <w:p w14:paraId="1BB0C780" w14:textId="68EBDDD5" w:rsidR="00F11715" w:rsidRPr="00F11715" w:rsidRDefault="00785DD9" w:rsidP="00F11715">
                <w:pPr>
                  <w:spacing w:after="0" w:line="240" w:lineRule="auto"/>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Sociedad Portuaria Las </w:t>
                </w:r>
                <w:r w:rsidR="008C0B2E" w:rsidRPr="00F11715">
                  <w:rPr>
                    <w:rFonts w:ascii="Times New Roman" w:eastAsia="Times New Roman" w:hAnsi="Times New Roman"/>
                    <w:sz w:val="14"/>
                    <w:szCs w:val="14"/>
                    <w:lang w:eastAsia="es-CO"/>
                  </w:rPr>
                  <w:t>Américas</w:t>
                </w:r>
                <w:r w:rsidRPr="00F11715">
                  <w:rPr>
                    <w:rFonts w:ascii="Times New Roman" w:eastAsia="Times New Roman" w:hAnsi="Times New Roman"/>
                    <w:sz w:val="14"/>
                    <w:szCs w:val="14"/>
                    <w:lang w:eastAsia="es-CO"/>
                  </w:rPr>
                  <w:t xml:space="preserve"> S.</w:t>
                </w:r>
                <w:r w:rsidR="008C0B2E" w:rsidRPr="00F11715">
                  <w:rPr>
                    <w:rFonts w:ascii="Times New Roman" w:eastAsia="Times New Roman" w:hAnsi="Times New Roman"/>
                    <w:sz w:val="14"/>
                    <w:szCs w:val="14"/>
                    <w:lang w:eastAsia="es-CO"/>
                  </w:rPr>
                  <w:t xml:space="preserve"> </w:t>
                </w:r>
                <w:r w:rsidRPr="00F11715">
                  <w:rPr>
                    <w:rFonts w:ascii="Times New Roman" w:eastAsia="Times New Roman" w:hAnsi="Times New Roman"/>
                    <w:sz w:val="14"/>
                    <w:szCs w:val="14"/>
                    <w:lang w:eastAsia="es-CO"/>
                  </w:rPr>
                  <w:t>A</w:t>
                </w:r>
              </w:p>
            </w:tc>
            <w:tc>
              <w:tcPr>
                <w:tcW w:w="1276" w:type="dxa"/>
                <w:shd w:val="clear" w:color="auto" w:fill="auto"/>
                <w:noWrap/>
                <w:hideMark/>
              </w:tcPr>
              <w:p w14:paraId="67E247CC" w14:textId="45F6919F" w:rsidR="00F11715" w:rsidRPr="009A46BB" w:rsidRDefault="00F11715" w:rsidP="008C0B2E">
                <w:pPr>
                  <w:spacing w:after="0" w:line="240" w:lineRule="auto"/>
                  <w:jc w:val="right"/>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198.373.551,00</w:t>
                </w:r>
              </w:p>
            </w:tc>
            <w:tc>
              <w:tcPr>
                <w:tcW w:w="1066" w:type="dxa"/>
                <w:shd w:val="clear" w:color="auto" w:fill="auto"/>
                <w:noWrap/>
                <w:vAlign w:val="center"/>
                <w:hideMark/>
              </w:tcPr>
              <w:p w14:paraId="6EE95631" w14:textId="3BF871E5"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198.373.551 </w:t>
                </w:r>
              </w:p>
            </w:tc>
            <w:tc>
              <w:tcPr>
                <w:tcW w:w="1031" w:type="dxa"/>
                <w:shd w:val="clear" w:color="auto" w:fill="auto"/>
                <w:noWrap/>
                <w:vAlign w:val="center"/>
                <w:hideMark/>
              </w:tcPr>
              <w:p w14:paraId="089C8406" w14:textId="4F7E5259"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   </w:t>
                </w:r>
              </w:p>
            </w:tc>
            <w:tc>
              <w:tcPr>
                <w:tcW w:w="781" w:type="dxa"/>
                <w:shd w:val="clear" w:color="auto" w:fill="auto"/>
                <w:noWrap/>
                <w:vAlign w:val="center"/>
                <w:hideMark/>
              </w:tcPr>
              <w:p w14:paraId="77819525" w14:textId="3C00909B"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   </w:t>
                </w:r>
              </w:p>
            </w:tc>
          </w:tr>
          <w:tr w:rsidR="00F11715" w:rsidRPr="00F11715" w14:paraId="48AF7918" w14:textId="77777777" w:rsidTr="008C0B2E">
            <w:trPr>
              <w:trHeight w:val="315"/>
            </w:trPr>
            <w:tc>
              <w:tcPr>
                <w:tcW w:w="1644" w:type="dxa"/>
                <w:shd w:val="clear" w:color="auto" w:fill="auto"/>
                <w:noWrap/>
                <w:vAlign w:val="center"/>
                <w:hideMark/>
              </w:tcPr>
              <w:p w14:paraId="5BFB2AFF" w14:textId="77777777" w:rsidR="00F11715" w:rsidRPr="00F11715" w:rsidRDefault="00F11715" w:rsidP="00F11715">
                <w:pPr>
                  <w:spacing w:after="0" w:line="240" w:lineRule="auto"/>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Sanciones contractuales</w:t>
                </w:r>
              </w:p>
            </w:tc>
            <w:tc>
              <w:tcPr>
                <w:tcW w:w="903" w:type="dxa"/>
                <w:shd w:val="clear" w:color="auto" w:fill="auto"/>
                <w:noWrap/>
                <w:vAlign w:val="center"/>
                <w:hideMark/>
              </w:tcPr>
              <w:p w14:paraId="4DAD53E6" w14:textId="77777777" w:rsidR="00F11715" w:rsidRPr="00F11715" w:rsidRDefault="00F11715" w:rsidP="00F11715">
                <w:pPr>
                  <w:spacing w:after="0" w:line="240" w:lineRule="auto"/>
                  <w:jc w:val="center"/>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1/11/2022</w:t>
                </w:r>
              </w:p>
            </w:tc>
            <w:tc>
              <w:tcPr>
                <w:tcW w:w="2268" w:type="dxa"/>
                <w:shd w:val="clear" w:color="auto" w:fill="auto"/>
                <w:noWrap/>
                <w:vAlign w:val="center"/>
                <w:hideMark/>
              </w:tcPr>
              <w:p w14:paraId="0D78818A" w14:textId="77777777" w:rsidR="00F11715" w:rsidRPr="00F11715" w:rsidRDefault="00F11715" w:rsidP="00F11715">
                <w:pPr>
                  <w:spacing w:after="0" w:line="240" w:lineRule="auto"/>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Sociedad Portuaria Terminal De Ifo's S.A.</w:t>
                </w:r>
              </w:p>
            </w:tc>
            <w:tc>
              <w:tcPr>
                <w:tcW w:w="1276" w:type="dxa"/>
                <w:shd w:val="clear" w:color="auto" w:fill="auto"/>
                <w:noWrap/>
                <w:vAlign w:val="center"/>
                <w:hideMark/>
              </w:tcPr>
              <w:p w14:paraId="630E3C95" w14:textId="111FA83B" w:rsidR="00F11715" w:rsidRPr="00F11715" w:rsidRDefault="00F11715" w:rsidP="008C0B2E">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17.350</w:t>
                </w:r>
              </w:p>
            </w:tc>
            <w:tc>
              <w:tcPr>
                <w:tcW w:w="1066" w:type="dxa"/>
                <w:shd w:val="clear" w:color="auto" w:fill="auto"/>
                <w:noWrap/>
                <w:vAlign w:val="center"/>
                <w:hideMark/>
              </w:tcPr>
              <w:p w14:paraId="34371BD6" w14:textId="7262B7B9"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17.350 </w:t>
                </w:r>
              </w:p>
            </w:tc>
            <w:tc>
              <w:tcPr>
                <w:tcW w:w="1031" w:type="dxa"/>
                <w:shd w:val="clear" w:color="auto" w:fill="auto"/>
                <w:noWrap/>
                <w:vAlign w:val="center"/>
                <w:hideMark/>
              </w:tcPr>
              <w:p w14:paraId="4133B650" w14:textId="0A974B2E"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   </w:t>
                </w:r>
              </w:p>
            </w:tc>
            <w:tc>
              <w:tcPr>
                <w:tcW w:w="781" w:type="dxa"/>
                <w:shd w:val="clear" w:color="auto" w:fill="auto"/>
                <w:noWrap/>
                <w:vAlign w:val="center"/>
                <w:hideMark/>
              </w:tcPr>
              <w:p w14:paraId="77E5DF2B" w14:textId="1DE8DC6A"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   </w:t>
                </w:r>
              </w:p>
            </w:tc>
          </w:tr>
          <w:tr w:rsidR="00F11715" w:rsidRPr="00F11715" w14:paraId="45FF6F9A" w14:textId="77777777" w:rsidTr="008C0B2E">
            <w:trPr>
              <w:trHeight w:val="315"/>
            </w:trPr>
            <w:tc>
              <w:tcPr>
                <w:tcW w:w="1644" w:type="dxa"/>
                <w:shd w:val="clear" w:color="auto" w:fill="auto"/>
                <w:noWrap/>
                <w:vAlign w:val="center"/>
                <w:hideMark/>
              </w:tcPr>
              <w:p w14:paraId="0EC56CF5" w14:textId="77777777" w:rsidR="00F11715" w:rsidRPr="00F11715" w:rsidRDefault="00F11715" w:rsidP="00F11715">
                <w:pPr>
                  <w:spacing w:after="0" w:line="240" w:lineRule="auto"/>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Sanciones contractuales</w:t>
                </w:r>
              </w:p>
            </w:tc>
            <w:tc>
              <w:tcPr>
                <w:tcW w:w="903" w:type="dxa"/>
                <w:shd w:val="clear" w:color="auto" w:fill="auto"/>
                <w:noWrap/>
                <w:vAlign w:val="center"/>
                <w:hideMark/>
              </w:tcPr>
              <w:p w14:paraId="46F1A14F" w14:textId="77777777" w:rsidR="00F11715" w:rsidRPr="00F11715" w:rsidRDefault="00F11715" w:rsidP="00F11715">
                <w:pPr>
                  <w:spacing w:after="0" w:line="240" w:lineRule="auto"/>
                  <w:jc w:val="center"/>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6/05/2022</w:t>
                </w:r>
              </w:p>
            </w:tc>
            <w:tc>
              <w:tcPr>
                <w:tcW w:w="2268" w:type="dxa"/>
                <w:shd w:val="clear" w:color="auto" w:fill="auto"/>
                <w:noWrap/>
                <w:vAlign w:val="center"/>
                <w:hideMark/>
              </w:tcPr>
              <w:p w14:paraId="3EC63748" w14:textId="77777777" w:rsidR="00F11715" w:rsidRPr="00F11715" w:rsidRDefault="00F11715" w:rsidP="00F11715">
                <w:pPr>
                  <w:spacing w:after="0" w:line="240" w:lineRule="auto"/>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Sociedad Portuaria Terminal De Ifo's S.A.</w:t>
                </w:r>
              </w:p>
            </w:tc>
            <w:tc>
              <w:tcPr>
                <w:tcW w:w="1276" w:type="dxa"/>
                <w:shd w:val="clear" w:color="auto" w:fill="auto"/>
                <w:noWrap/>
                <w:vAlign w:val="center"/>
                <w:hideMark/>
              </w:tcPr>
              <w:p w14:paraId="554387FE" w14:textId="4E8F98BD" w:rsidR="00F11715" w:rsidRPr="00F11715" w:rsidRDefault="00F11715" w:rsidP="008C0B2E">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3.162.580</w:t>
                </w:r>
              </w:p>
            </w:tc>
            <w:tc>
              <w:tcPr>
                <w:tcW w:w="1066" w:type="dxa"/>
                <w:shd w:val="clear" w:color="auto" w:fill="auto"/>
                <w:noWrap/>
                <w:vAlign w:val="center"/>
                <w:hideMark/>
              </w:tcPr>
              <w:p w14:paraId="1AC4F604" w14:textId="15B32302"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3.162.580 </w:t>
                </w:r>
              </w:p>
            </w:tc>
            <w:tc>
              <w:tcPr>
                <w:tcW w:w="1031" w:type="dxa"/>
                <w:shd w:val="clear" w:color="auto" w:fill="auto"/>
                <w:noWrap/>
                <w:vAlign w:val="center"/>
                <w:hideMark/>
              </w:tcPr>
              <w:p w14:paraId="111EA9A9" w14:textId="2D562C23"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   </w:t>
                </w:r>
              </w:p>
            </w:tc>
            <w:tc>
              <w:tcPr>
                <w:tcW w:w="781" w:type="dxa"/>
                <w:shd w:val="clear" w:color="auto" w:fill="auto"/>
                <w:noWrap/>
                <w:vAlign w:val="center"/>
                <w:hideMark/>
              </w:tcPr>
              <w:p w14:paraId="605F6054" w14:textId="0463EE20"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   </w:t>
                </w:r>
              </w:p>
            </w:tc>
          </w:tr>
          <w:tr w:rsidR="00F11715" w:rsidRPr="00F11715" w14:paraId="142AED2A" w14:textId="77777777" w:rsidTr="008C0B2E">
            <w:trPr>
              <w:trHeight w:val="315"/>
            </w:trPr>
            <w:tc>
              <w:tcPr>
                <w:tcW w:w="1644" w:type="dxa"/>
                <w:shd w:val="clear" w:color="auto" w:fill="auto"/>
                <w:noWrap/>
                <w:vAlign w:val="center"/>
                <w:hideMark/>
              </w:tcPr>
              <w:p w14:paraId="73692ECC" w14:textId="77777777" w:rsidR="00F11715" w:rsidRPr="00F11715" w:rsidRDefault="00F11715" w:rsidP="00F11715">
                <w:pPr>
                  <w:spacing w:after="0" w:line="240" w:lineRule="auto"/>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lastRenderedPageBreak/>
                  <w:t>Sanciones contractuales</w:t>
                </w:r>
              </w:p>
            </w:tc>
            <w:tc>
              <w:tcPr>
                <w:tcW w:w="903" w:type="dxa"/>
                <w:shd w:val="clear" w:color="auto" w:fill="auto"/>
                <w:noWrap/>
                <w:vAlign w:val="center"/>
                <w:hideMark/>
              </w:tcPr>
              <w:p w14:paraId="25354FBB" w14:textId="77777777" w:rsidR="00F11715" w:rsidRPr="00F11715" w:rsidRDefault="00F11715" w:rsidP="00F11715">
                <w:pPr>
                  <w:spacing w:after="0" w:line="240" w:lineRule="auto"/>
                  <w:jc w:val="center"/>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9/11/2022</w:t>
                </w:r>
              </w:p>
            </w:tc>
            <w:tc>
              <w:tcPr>
                <w:tcW w:w="2268" w:type="dxa"/>
                <w:shd w:val="clear" w:color="auto" w:fill="auto"/>
                <w:noWrap/>
                <w:vAlign w:val="center"/>
                <w:hideMark/>
              </w:tcPr>
              <w:p w14:paraId="09408A16" w14:textId="237070A0" w:rsidR="00F11715" w:rsidRPr="00F11715" w:rsidRDefault="00F11715" w:rsidP="00F11715">
                <w:pPr>
                  <w:spacing w:after="0" w:line="240" w:lineRule="auto"/>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Sociedad Portuaria Bullpesa S.</w:t>
                </w:r>
                <w:r w:rsidR="008C0B2E" w:rsidRPr="00F11715">
                  <w:rPr>
                    <w:rFonts w:ascii="Times New Roman" w:eastAsia="Times New Roman" w:hAnsi="Times New Roman"/>
                    <w:sz w:val="14"/>
                    <w:szCs w:val="14"/>
                    <w:lang w:eastAsia="es-CO"/>
                  </w:rPr>
                  <w:t xml:space="preserve"> </w:t>
                </w:r>
                <w:r w:rsidRPr="00F11715">
                  <w:rPr>
                    <w:rFonts w:ascii="Times New Roman" w:eastAsia="Times New Roman" w:hAnsi="Times New Roman"/>
                    <w:sz w:val="14"/>
                    <w:szCs w:val="14"/>
                    <w:lang w:eastAsia="es-CO"/>
                  </w:rPr>
                  <w:t>A</w:t>
                </w:r>
              </w:p>
            </w:tc>
            <w:tc>
              <w:tcPr>
                <w:tcW w:w="1276" w:type="dxa"/>
                <w:shd w:val="clear" w:color="auto" w:fill="auto"/>
                <w:noWrap/>
                <w:vAlign w:val="center"/>
                <w:hideMark/>
              </w:tcPr>
              <w:p w14:paraId="0BFE169B" w14:textId="2DE70771" w:rsidR="00F11715" w:rsidRPr="00F11715" w:rsidRDefault="00F11715" w:rsidP="008C0B2E">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38.911.561.879</w:t>
                </w:r>
              </w:p>
            </w:tc>
            <w:tc>
              <w:tcPr>
                <w:tcW w:w="1066" w:type="dxa"/>
                <w:shd w:val="clear" w:color="auto" w:fill="auto"/>
                <w:noWrap/>
                <w:vAlign w:val="center"/>
                <w:hideMark/>
              </w:tcPr>
              <w:p w14:paraId="2DB5FD05" w14:textId="1A618FD6"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   </w:t>
                </w:r>
              </w:p>
            </w:tc>
            <w:tc>
              <w:tcPr>
                <w:tcW w:w="1031" w:type="dxa"/>
                <w:shd w:val="clear" w:color="auto" w:fill="auto"/>
                <w:noWrap/>
                <w:vAlign w:val="center"/>
                <w:hideMark/>
              </w:tcPr>
              <w:p w14:paraId="39B871F2" w14:textId="0AB34C4A"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38.911.561.879 </w:t>
                </w:r>
              </w:p>
            </w:tc>
            <w:tc>
              <w:tcPr>
                <w:tcW w:w="781" w:type="dxa"/>
                <w:shd w:val="clear" w:color="auto" w:fill="auto"/>
                <w:noWrap/>
                <w:vAlign w:val="center"/>
                <w:hideMark/>
              </w:tcPr>
              <w:p w14:paraId="73F8358A" w14:textId="1131807B"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   </w:t>
                </w:r>
              </w:p>
            </w:tc>
          </w:tr>
          <w:tr w:rsidR="00F11715" w:rsidRPr="00F11715" w14:paraId="4980EAF6" w14:textId="77777777" w:rsidTr="008C0B2E">
            <w:trPr>
              <w:trHeight w:val="315"/>
            </w:trPr>
            <w:tc>
              <w:tcPr>
                <w:tcW w:w="1644" w:type="dxa"/>
                <w:shd w:val="clear" w:color="auto" w:fill="auto"/>
                <w:noWrap/>
                <w:vAlign w:val="center"/>
                <w:hideMark/>
              </w:tcPr>
              <w:p w14:paraId="4DD92BD0" w14:textId="77777777" w:rsidR="00F11715" w:rsidRPr="00F11715" w:rsidRDefault="00F11715" w:rsidP="00F11715">
                <w:pPr>
                  <w:spacing w:after="0" w:line="240" w:lineRule="auto"/>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Sanciones contractuales</w:t>
                </w:r>
              </w:p>
            </w:tc>
            <w:tc>
              <w:tcPr>
                <w:tcW w:w="903" w:type="dxa"/>
                <w:shd w:val="clear" w:color="auto" w:fill="auto"/>
                <w:noWrap/>
                <w:vAlign w:val="center"/>
                <w:hideMark/>
              </w:tcPr>
              <w:p w14:paraId="1F72B650" w14:textId="77777777" w:rsidR="00F11715" w:rsidRPr="00F11715" w:rsidRDefault="00F11715" w:rsidP="00F11715">
                <w:pPr>
                  <w:spacing w:after="0" w:line="240" w:lineRule="auto"/>
                  <w:jc w:val="center"/>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10/02/2020</w:t>
                </w:r>
              </w:p>
            </w:tc>
            <w:tc>
              <w:tcPr>
                <w:tcW w:w="2268" w:type="dxa"/>
                <w:shd w:val="clear" w:color="auto" w:fill="auto"/>
                <w:noWrap/>
                <w:vAlign w:val="center"/>
                <w:hideMark/>
              </w:tcPr>
              <w:p w14:paraId="0EC8D62F" w14:textId="51584612" w:rsidR="00F11715" w:rsidRPr="00F11715" w:rsidRDefault="00F11715" w:rsidP="00F11715">
                <w:pPr>
                  <w:spacing w:after="0" w:line="240" w:lineRule="auto"/>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Sociedad Portuaria Bullpesa S.</w:t>
                </w:r>
                <w:r w:rsidR="008C0B2E" w:rsidRPr="00F11715">
                  <w:rPr>
                    <w:rFonts w:ascii="Times New Roman" w:eastAsia="Times New Roman" w:hAnsi="Times New Roman"/>
                    <w:sz w:val="14"/>
                    <w:szCs w:val="14"/>
                    <w:lang w:eastAsia="es-CO"/>
                  </w:rPr>
                  <w:t xml:space="preserve"> </w:t>
                </w:r>
                <w:r w:rsidRPr="00F11715">
                  <w:rPr>
                    <w:rFonts w:ascii="Times New Roman" w:eastAsia="Times New Roman" w:hAnsi="Times New Roman"/>
                    <w:sz w:val="14"/>
                    <w:szCs w:val="14"/>
                    <w:lang w:eastAsia="es-CO"/>
                  </w:rPr>
                  <w:t>A</w:t>
                </w:r>
              </w:p>
            </w:tc>
            <w:tc>
              <w:tcPr>
                <w:tcW w:w="1276" w:type="dxa"/>
                <w:shd w:val="clear" w:color="auto" w:fill="auto"/>
                <w:noWrap/>
                <w:vAlign w:val="center"/>
                <w:hideMark/>
              </w:tcPr>
              <w:p w14:paraId="49CD889D" w14:textId="343A63C2" w:rsidR="00F11715" w:rsidRPr="00F11715" w:rsidRDefault="00F11715" w:rsidP="008C0B2E">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31.005.846</w:t>
                </w:r>
              </w:p>
            </w:tc>
            <w:tc>
              <w:tcPr>
                <w:tcW w:w="1066" w:type="dxa"/>
                <w:shd w:val="clear" w:color="auto" w:fill="auto"/>
                <w:noWrap/>
                <w:vAlign w:val="center"/>
                <w:hideMark/>
              </w:tcPr>
              <w:p w14:paraId="6CFECA12" w14:textId="2E84781F"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   </w:t>
                </w:r>
              </w:p>
            </w:tc>
            <w:tc>
              <w:tcPr>
                <w:tcW w:w="1031" w:type="dxa"/>
                <w:shd w:val="clear" w:color="auto" w:fill="auto"/>
                <w:noWrap/>
                <w:vAlign w:val="center"/>
                <w:hideMark/>
              </w:tcPr>
              <w:p w14:paraId="059B08FB" w14:textId="7498B3E2"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   </w:t>
                </w:r>
              </w:p>
            </w:tc>
            <w:tc>
              <w:tcPr>
                <w:tcW w:w="781" w:type="dxa"/>
                <w:shd w:val="clear" w:color="auto" w:fill="auto"/>
                <w:noWrap/>
                <w:vAlign w:val="center"/>
                <w:hideMark/>
              </w:tcPr>
              <w:p w14:paraId="27B44327" w14:textId="4988FC41"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31.005.846 </w:t>
                </w:r>
              </w:p>
            </w:tc>
          </w:tr>
          <w:tr w:rsidR="00F11715" w:rsidRPr="00F11715" w14:paraId="32D8340D" w14:textId="77777777" w:rsidTr="008C0B2E">
            <w:trPr>
              <w:trHeight w:val="315"/>
            </w:trPr>
            <w:tc>
              <w:tcPr>
                <w:tcW w:w="1644" w:type="dxa"/>
                <w:shd w:val="clear" w:color="auto" w:fill="auto"/>
                <w:noWrap/>
                <w:vAlign w:val="center"/>
                <w:hideMark/>
              </w:tcPr>
              <w:p w14:paraId="71C2B741" w14:textId="77777777" w:rsidR="00F11715" w:rsidRPr="00F11715" w:rsidRDefault="00F11715" w:rsidP="00F11715">
                <w:pPr>
                  <w:spacing w:after="0" w:line="240" w:lineRule="auto"/>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Sanciones contractuales</w:t>
                </w:r>
              </w:p>
            </w:tc>
            <w:tc>
              <w:tcPr>
                <w:tcW w:w="903" w:type="dxa"/>
                <w:shd w:val="clear" w:color="auto" w:fill="auto"/>
                <w:noWrap/>
                <w:vAlign w:val="center"/>
                <w:hideMark/>
              </w:tcPr>
              <w:p w14:paraId="55FD3B4A" w14:textId="77777777" w:rsidR="00F11715" w:rsidRPr="00F11715" w:rsidRDefault="00F11715" w:rsidP="00F11715">
                <w:pPr>
                  <w:spacing w:after="0" w:line="240" w:lineRule="auto"/>
                  <w:jc w:val="center"/>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7/09/2023</w:t>
                </w:r>
              </w:p>
            </w:tc>
            <w:tc>
              <w:tcPr>
                <w:tcW w:w="2268" w:type="dxa"/>
                <w:shd w:val="clear" w:color="auto" w:fill="auto"/>
                <w:noWrap/>
                <w:vAlign w:val="center"/>
                <w:hideMark/>
              </w:tcPr>
              <w:p w14:paraId="6ED85754" w14:textId="77777777" w:rsidR="00F11715" w:rsidRPr="00F11715" w:rsidRDefault="00F11715" w:rsidP="00F11715">
                <w:pPr>
                  <w:spacing w:after="0" w:line="240" w:lineRule="auto"/>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APP GICA S.A.</w:t>
                </w:r>
              </w:p>
            </w:tc>
            <w:tc>
              <w:tcPr>
                <w:tcW w:w="1276" w:type="dxa"/>
                <w:shd w:val="clear" w:color="auto" w:fill="auto"/>
                <w:noWrap/>
                <w:vAlign w:val="center"/>
                <w:hideMark/>
              </w:tcPr>
              <w:p w14:paraId="7C9B1C5C" w14:textId="2D755EA6" w:rsidR="00F11715" w:rsidRPr="00F11715" w:rsidRDefault="00F11715" w:rsidP="008C0B2E">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5.040.000.000</w:t>
                </w:r>
              </w:p>
            </w:tc>
            <w:tc>
              <w:tcPr>
                <w:tcW w:w="1066" w:type="dxa"/>
                <w:shd w:val="clear" w:color="auto" w:fill="auto"/>
                <w:noWrap/>
                <w:vAlign w:val="center"/>
                <w:hideMark/>
              </w:tcPr>
              <w:p w14:paraId="659BF685" w14:textId="3AAC2792"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5.040.000.000 </w:t>
                </w:r>
              </w:p>
            </w:tc>
            <w:tc>
              <w:tcPr>
                <w:tcW w:w="1031" w:type="dxa"/>
                <w:shd w:val="clear" w:color="auto" w:fill="auto"/>
                <w:noWrap/>
                <w:vAlign w:val="center"/>
                <w:hideMark/>
              </w:tcPr>
              <w:p w14:paraId="2B4D4B52" w14:textId="28A2C70C"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   </w:t>
                </w:r>
              </w:p>
            </w:tc>
            <w:tc>
              <w:tcPr>
                <w:tcW w:w="781" w:type="dxa"/>
                <w:shd w:val="clear" w:color="auto" w:fill="auto"/>
                <w:noWrap/>
                <w:vAlign w:val="center"/>
                <w:hideMark/>
              </w:tcPr>
              <w:p w14:paraId="4F4F5E0F" w14:textId="3AABAB8F"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   </w:t>
                </w:r>
              </w:p>
            </w:tc>
          </w:tr>
          <w:tr w:rsidR="00F11715" w:rsidRPr="00F11715" w14:paraId="1E4A5B4F" w14:textId="77777777" w:rsidTr="008C0B2E">
            <w:trPr>
              <w:trHeight w:val="315"/>
            </w:trPr>
            <w:tc>
              <w:tcPr>
                <w:tcW w:w="1644" w:type="dxa"/>
                <w:shd w:val="clear" w:color="auto" w:fill="auto"/>
                <w:noWrap/>
                <w:vAlign w:val="center"/>
                <w:hideMark/>
              </w:tcPr>
              <w:p w14:paraId="2B519EF5" w14:textId="77777777" w:rsidR="00F11715" w:rsidRPr="00F11715" w:rsidRDefault="00F11715" w:rsidP="00F11715">
                <w:pPr>
                  <w:spacing w:after="0" w:line="240" w:lineRule="auto"/>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Sanciones contractuales</w:t>
                </w:r>
              </w:p>
            </w:tc>
            <w:tc>
              <w:tcPr>
                <w:tcW w:w="903" w:type="dxa"/>
                <w:shd w:val="clear" w:color="auto" w:fill="auto"/>
                <w:noWrap/>
                <w:vAlign w:val="center"/>
                <w:hideMark/>
              </w:tcPr>
              <w:p w14:paraId="754BD45F" w14:textId="77777777" w:rsidR="00F11715" w:rsidRPr="00F11715" w:rsidRDefault="00F11715" w:rsidP="00F11715">
                <w:pPr>
                  <w:spacing w:after="0" w:line="240" w:lineRule="auto"/>
                  <w:jc w:val="center"/>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23/05/2023</w:t>
                </w:r>
              </w:p>
            </w:tc>
            <w:tc>
              <w:tcPr>
                <w:tcW w:w="2268" w:type="dxa"/>
                <w:shd w:val="clear" w:color="auto" w:fill="auto"/>
                <w:noWrap/>
                <w:vAlign w:val="center"/>
                <w:hideMark/>
              </w:tcPr>
              <w:p w14:paraId="791F49A1" w14:textId="7F632410" w:rsidR="00F11715" w:rsidRPr="00F11715" w:rsidRDefault="00785DD9" w:rsidP="00F11715">
                <w:pPr>
                  <w:spacing w:after="0" w:line="240" w:lineRule="auto"/>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Sociedad Portuaria Regional Tumaco Pacific Port S.</w:t>
                </w:r>
                <w:r w:rsidR="008C0B2E" w:rsidRPr="00F11715">
                  <w:rPr>
                    <w:rFonts w:ascii="Times New Roman" w:eastAsia="Times New Roman" w:hAnsi="Times New Roman"/>
                    <w:sz w:val="14"/>
                    <w:szCs w:val="14"/>
                    <w:lang w:eastAsia="es-CO"/>
                  </w:rPr>
                  <w:t xml:space="preserve"> </w:t>
                </w:r>
                <w:r w:rsidRPr="00F11715">
                  <w:rPr>
                    <w:rFonts w:ascii="Times New Roman" w:eastAsia="Times New Roman" w:hAnsi="Times New Roman"/>
                    <w:sz w:val="14"/>
                    <w:szCs w:val="14"/>
                    <w:lang w:eastAsia="es-CO"/>
                  </w:rPr>
                  <w:t>A</w:t>
                </w:r>
              </w:p>
            </w:tc>
            <w:tc>
              <w:tcPr>
                <w:tcW w:w="1276" w:type="dxa"/>
                <w:shd w:val="clear" w:color="auto" w:fill="auto"/>
                <w:noWrap/>
                <w:hideMark/>
              </w:tcPr>
              <w:p w14:paraId="40588EEA" w14:textId="09E18946" w:rsidR="00F11715" w:rsidRPr="009A46BB" w:rsidRDefault="00F11715" w:rsidP="008C0B2E">
                <w:pPr>
                  <w:spacing w:after="0" w:line="240" w:lineRule="auto"/>
                  <w:jc w:val="right"/>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56.716,00</w:t>
                </w:r>
              </w:p>
            </w:tc>
            <w:tc>
              <w:tcPr>
                <w:tcW w:w="1066" w:type="dxa"/>
                <w:shd w:val="clear" w:color="auto" w:fill="auto"/>
                <w:noWrap/>
                <w:vAlign w:val="center"/>
                <w:hideMark/>
              </w:tcPr>
              <w:p w14:paraId="206F705D" w14:textId="0B705F94"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56.716 </w:t>
                </w:r>
              </w:p>
            </w:tc>
            <w:tc>
              <w:tcPr>
                <w:tcW w:w="1031" w:type="dxa"/>
                <w:shd w:val="clear" w:color="auto" w:fill="auto"/>
                <w:noWrap/>
                <w:vAlign w:val="center"/>
                <w:hideMark/>
              </w:tcPr>
              <w:p w14:paraId="6E3672F4" w14:textId="0C03424D"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   </w:t>
                </w:r>
              </w:p>
            </w:tc>
            <w:tc>
              <w:tcPr>
                <w:tcW w:w="781" w:type="dxa"/>
                <w:shd w:val="clear" w:color="auto" w:fill="auto"/>
                <w:noWrap/>
                <w:vAlign w:val="center"/>
                <w:hideMark/>
              </w:tcPr>
              <w:p w14:paraId="39E4EC4F" w14:textId="215CC0F4"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   </w:t>
                </w:r>
              </w:p>
            </w:tc>
          </w:tr>
          <w:tr w:rsidR="00F11715" w:rsidRPr="00F11715" w14:paraId="54F101B6" w14:textId="77777777" w:rsidTr="008C0B2E">
            <w:trPr>
              <w:trHeight w:val="315"/>
            </w:trPr>
            <w:tc>
              <w:tcPr>
                <w:tcW w:w="1644" w:type="dxa"/>
                <w:shd w:val="clear" w:color="auto" w:fill="auto"/>
                <w:noWrap/>
                <w:vAlign w:val="center"/>
                <w:hideMark/>
              </w:tcPr>
              <w:p w14:paraId="259D998D" w14:textId="77777777" w:rsidR="00F11715" w:rsidRPr="00F11715" w:rsidRDefault="00F11715" w:rsidP="00F11715">
                <w:pPr>
                  <w:spacing w:after="0" w:line="240" w:lineRule="auto"/>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Derechos de tránsito</w:t>
                </w:r>
              </w:p>
            </w:tc>
            <w:tc>
              <w:tcPr>
                <w:tcW w:w="903" w:type="dxa"/>
                <w:shd w:val="clear" w:color="auto" w:fill="auto"/>
                <w:noWrap/>
                <w:vAlign w:val="center"/>
                <w:hideMark/>
              </w:tcPr>
              <w:p w14:paraId="2A188460" w14:textId="77777777" w:rsidR="00F11715" w:rsidRPr="00F11715" w:rsidRDefault="00F11715" w:rsidP="00F11715">
                <w:pPr>
                  <w:spacing w:after="0" w:line="240" w:lineRule="auto"/>
                  <w:jc w:val="center"/>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15/12/2023</w:t>
                </w:r>
              </w:p>
            </w:tc>
            <w:tc>
              <w:tcPr>
                <w:tcW w:w="2268" w:type="dxa"/>
                <w:shd w:val="clear" w:color="auto" w:fill="auto"/>
                <w:noWrap/>
                <w:vAlign w:val="center"/>
                <w:hideMark/>
              </w:tcPr>
              <w:p w14:paraId="099B1BAA" w14:textId="2105E453" w:rsidR="00F11715" w:rsidRPr="00F11715" w:rsidRDefault="00F11715" w:rsidP="00F11715">
                <w:pPr>
                  <w:spacing w:after="0" w:line="240" w:lineRule="auto"/>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Drummond Ltd</w:t>
                </w:r>
                <w:r w:rsidR="008C0B2E" w:rsidRPr="00F11715">
                  <w:rPr>
                    <w:rFonts w:ascii="Times New Roman" w:eastAsia="Times New Roman" w:hAnsi="Times New Roman"/>
                    <w:sz w:val="14"/>
                    <w:szCs w:val="14"/>
                    <w:lang w:eastAsia="es-CO"/>
                  </w:rPr>
                  <w:t>.</w:t>
                </w:r>
              </w:p>
            </w:tc>
            <w:tc>
              <w:tcPr>
                <w:tcW w:w="1276" w:type="dxa"/>
                <w:shd w:val="clear" w:color="auto" w:fill="auto"/>
                <w:noWrap/>
                <w:hideMark/>
              </w:tcPr>
              <w:p w14:paraId="1E80F27F" w14:textId="5F741143" w:rsidR="00F11715" w:rsidRPr="009A46BB" w:rsidRDefault="00F11715" w:rsidP="008C0B2E">
                <w:pPr>
                  <w:spacing w:after="0" w:line="240" w:lineRule="auto"/>
                  <w:jc w:val="right"/>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14.618.919.743,00</w:t>
                </w:r>
              </w:p>
            </w:tc>
            <w:tc>
              <w:tcPr>
                <w:tcW w:w="1066" w:type="dxa"/>
                <w:shd w:val="clear" w:color="auto" w:fill="auto"/>
                <w:noWrap/>
                <w:vAlign w:val="center"/>
                <w:hideMark/>
              </w:tcPr>
              <w:p w14:paraId="53E3AC48" w14:textId="67804BA5"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14.618.919.743 </w:t>
                </w:r>
              </w:p>
            </w:tc>
            <w:tc>
              <w:tcPr>
                <w:tcW w:w="1031" w:type="dxa"/>
                <w:shd w:val="clear" w:color="auto" w:fill="auto"/>
                <w:noWrap/>
                <w:vAlign w:val="center"/>
                <w:hideMark/>
              </w:tcPr>
              <w:p w14:paraId="60551E32" w14:textId="4BF72DD4"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   </w:t>
                </w:r>
              </w:p>
            </w:tc>
            <w:tc>
              <w:tcPr>
                <w:tcW w:w="781" w:type="dxa"/>
                <w:shd w:val="clear" w:color="auto" w:fill="auto"/>
                <w:noWrap/>
                <w:vAlign w:val="center"/>
                <w:hideMark/>
              </w:tcPr>
              <w:p w14:paraId="3C744E6A" w14:textId="2AA8F783"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   </w:t>
                </w:r>
              </w:p>
            </w:tc>
          </w:tr>
          <w:tr w:rsidR="00F11715" w:rsidRPr="00F11715" w14:paraId="48841F47" w14:textId="77777777" w:rsidTr="008C0B2E">
            <w:trPr>
              <w:trHeight w:val="315"/>
            </w:trPr>
            <w:tc>
              <w:tcPr>
                <w:tcW w:w="1644" w:type="dxa"/>
                <w:shd w:val="clear" w:color="auto" w:fill="auto"/>
                <w:noWrap/>
                <w:vAlign w:val="center"/>
                <w:hideMark/>
              </w:tcPr>
              <w:p w14:paraId="3CDB8EB7" w14:textId="77777777" w:rsidR="00F11715" w:rsidRPr="00F11715" w:rsidRDefault="00F11715" w:rsidP="00F11715">
                <w:pPr>
                  <w:spacing w:after="0" w:line="240" w:lineRule="auto"/>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Derechos de tránsito</w:t>
                </w:r>
              </w:p>
            </w:tc>
            <w:tc>
              <w:tcPr>
                <w:tcW w:w="903" w:type="dxa"/>
                <w:shd w:val="clear" w:color="auto" w:fill="auto"/>
                <w:noWrap/>
                <w:vAlign w:val="center"/>
                <w:hideMark/>
              </w:tcPr>
              <w:p w14:paraId="4DFED606" w14:textId="77777777" w:rsidR="00F11715" w:rsidRPr="00F11715" w:rsidRDefault="00F11715" w:rsidP="00F11715">
                <w:pPr>
                  <w:spacing w:after="0" w:line="240" w:lineRule="auto"/>
                  <w:jc w:val="center"/>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15/12/2023</w:t>
                </w:r>
              </w:p>
            </w:tc>
            <w:tc>
              <w:tcPr>
                <w:tcW w:w="2268" w:type="dxa"/>
                <w:shd w:val="clear" w:color="auto" w:fill="auto"/>
                <w:noWrap/>
                <w:vAlign w:val="center"/>
                <w:hideMark/>
              </w:tcPr>
              <w:p w14:paraId="44659253" w14:textId="77777777" w:rsidR="00F11715" w:rsidRPr="00F11715" w:rsidRDefault="00F11715" w:rsidP="00F11715">
                <w:pPr>
                  <w:spacing w:after="0" w:line="240" w:lineRule="auto"/>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C.I. Prodeco S.A.</w:t>
                </w:r>
              </w:p>
            </w:tc>
            <w:tc>
              <w:tcPr>
                <w:tcW w:w="1276" w:type="dxa"/>
                <w:shd w:val="clear" w:color="auto" w:fill="auto"/>
                <w:noWrap/>
                <w:hideMark/>
              </w:tcPr>
              <w:p w14:paraId="07AB5472" w14:textId="2B6C120E" w:rsidR="00F11715" w:rsidRPr="009A46BB" w:rsidRDefault="00F11715" w:rsidP="008C0B2E">
                <w:pPr>
                  <w:spacing w:after="0" w:line="240" w:lineRule="auto"/>
                  <w:jc w:val="right"/>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289.502.523,00</w:t>
                </w:r>
              </w:p>
            </w:tc>
            <w:tc>
              <w:tcPr>
                <w:tcW w:w="1066" w:type="dxa"/>
                <w:shd w:val="clear" w:color="auto" w:fill="auto"/>
                <w:noWrap/>
                <w:vAlign w:val="center"/>
                <w:hideMark/>
              </w:tcPr>
              <w:p w14:paraId="52D3482B" w14:textId="2E5E7200"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289.502.523 </w:t>
                </w:r>
              </w:p>
            </w:tc>
            <w:tc>
              <w:tcPr>
                <w:tcW w:w="1031" w:type="dxa"/>
                <w:shd w:val="clear" w:color="auto" w:fill="auto"/>
                <w:noWrap/>
                <w:vAlign w:val="center"/>
                <w:hideMark/>
              </w:tcPr>
              <w:p w14:paraId="0E8480A7" w14:textId="7BFD6E80"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   </w:t>
                </w:r>
              </w:p>
            </w:tc>
            <w:tc>
              <w:tcPr>
                <w:tcW w:w="781" w:type="dxa"/>
                <w:shd w:val="clear" w:color="auto" w:fill="auto"/>
                <w:noWrap/>
                <w:vAlign w:val="center"/>
                <w:hideMark/>
              </w:tcPr>
              <w:p w14:paraId="0C4830C8" w14:textId="2BFC5C23"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   </w:t>
                </w:r>
              </w:p>
            </w:tc>
          </w:tr>
          <w:tr w:rsidR="00F11715" w:rsidRPr="00F11715" w14:paraId="65ECD977" w14:textId="77777777" w:rsidTr="008C0B2E">
            <w:trPr>
              <w:trHeight w:val="315"/>
            </w:trPr>
            <w:tc>
              <w:tcPr>
                <w:tcW w:w="1644" w:type="dxa"/>
                <w:shd w:val="clear" w:color="auto" w:fill="auto"/>
                <w:noWrap/>
                <w:vAlign w:val="center"/>
                <w:hideMark/>
              </w:tcPr>
              <w:p w14:paraId="0FB0D098" w14:textId="77777777" w:rsidR="00F11715" w:rsidRPr="00F11715" w:rsidRDefault="00F11715" w:rsidP="00F11715">
                <w:pPr>
                  <w:spacing w:after="0" w:line="240" w:lineRule="auto"/>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Derechos de tránsito</w:t>
                </w:r>
              </w:p>
            </w:tc>
            <w:tc>
              <w:tcPr>
                <w:tcW w:w="903" w:type="dxa"/>
                <w:shd w:val="clear" w:color="auto" w:fill="auto"/>
                <w:noWrap/>
                <w:vAlign w:val="center"/>
                <w:hideMark/>
              </w:tcPr>
              <w:p w14:paraId="0D3F1CFB" w14:textId="77777777" w:rsidR="00F11715" w:rsidRPr="00F11715" w:rsidRDefault="00F11715" w:rsidP="00F11715">
                <w:pPr>
                  <w:spacing w:after="0" w:line="240" w:lineRule="auto"/>
                  <w:jc w:val="center"/>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15/12/2023</w:t>
                </w:r>
              </w:p>
            </w:tc>
            <w:tc>
              <w:tcPr>
                <w:tcW w:w="2268" w:type="dxa"/>
                <w:shd w:val="clear" w:color="auto" w:fill="auto"/>
                <w:noWrap/>
                <w:vAlign w:val="center"/>
                <w:hideMark/>
              </w:tcPr>
              <w:p w14:paraId="494780C8" w14:textId="77777777" w:rsidR="00F11715" w:rsidRPr="007803E3" w:rsidRDefault="00F11715" w:rsidP="00F11715">
                <w:pPr>
                  <w:spacing w:after="0" w:line="240" w:lineRule="auto"/>
                  <w:rPr>
                    <w:rFonts w:ascii="Times New Roman" w:eastAsia="Times New Roman" w:hAnsi="Times New Roman"/>
                    <w:sz w:val="14"/>
                    <w:szCs w:val="14"/>
                    <w:lang w:val="en-US" w:eastAsia="es-CO"/>
                  </w:rPr>
                </w:pPr>
                <w:r w:rsidRPr="007803E3">
                  <w:rPr>
                    <w:rFonts w:ascii="Times New Roman" w:eastAsia="Times New Roman" w:hAnsi="Times New Roman"/>
                    <w:sz w:val="14"/>
                    <w:szCs w:val="14"/>
                    <w:lang w:val="en-US" w:eastAsia="es-CO"/>
                  </w:rPr>
                  <w:t>C I Colombian Natural Resources I SAS</w:t>
                </w:r>
              </w:p>
            </w:tc>
            <w:tc>
              <w:tcPr>
                <w:tcW w:w="1276" w:type="dxa"/>
                <w:shd w:val="clear" w:color="auto" w:fill="auto"/>
                <w:noWrap/>
                <w:hideMark/>
              </w:tcPr>
              <w:p w14:paraId="572449F4" w14:textId="745893AB" w:rsidR="00F11715" w:rsidRPr="009A46BB" w:rsidRDefault="00F11715" w:rsidP="008C0B2E">
                <w:pPr>
                  <w:spacing w:after="0" w:line="240" w:lineRule="auto"/>
                  <w:jc w:val="right"/>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707.279.482,00</w:t>
                </w:r>
              </w:p>
            </w:tc>
            <w:tc>
              <w:tcPr>
                <w:tcW w:w="1066" w:type="dxa"/>
                <w:shd w:val="clear" w:color="auto" w:fill="auto"/>
                <w:noWrap/>
                <w:vAlign w:val="center"/>
                <w:hideMark/>
              </w:tcPr>
              <w:p w14:paraId="2635F28E" w14:textId="22BCF88D"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707.279.482 </w:t>
                </w:r>
              </w:p>
            </w:tc>
            <w:tc>
              <w:tcPr>
                <w:tcW w:w="1031" w:type="dxa"/>
                <w:shd w:val="clear" w:color="auto" w:fill="auto"/>
                <w:noWrap/>
                <w:vAlign w:val="center"/>
                <w:hideMark/>
              </w:tcPr>
              <w:p w14:paraId="7EA6EE0D" w14:textId="10AED770"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   </w:t>
                </w:r>
              </w:p>
            </w:tc>
            <w:tc>
              <w:tcPr>
                <w:tcW w:w="781" w:type="dxa"/>
                <w:shd w:val="clear" w:color="auto" w:fill="auto"/>
                <w:noWrap/>
                <w:vAlign w:val="center"/>
                <w:hideMark/>
              </w:tcPr>
              <w:p w14:paraId="650758F7" w14:textId="27F92CF9"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   </w:t>
                </w:r>
              </w:p>
            </w:tc>
          </w:tr>
          <w:tr w:rsidR="00F11715" w:rsidRPr="00F11715" w14:paraId="3CD0F2BB" w14:textId="77777777" w:rsidTr="008C0B2E">
            <w:trPr>
              <w:trHeight w:val="315"/>
            </w:trPr>
            <w:tc>
              <w:tcPr>
                <w:tcW w:w="1644" w:type="dxa"/>
                <w:shd w:val="clear" w:color="auto" w:fill="auto"/>
                <w:noWrap/>
                <w:vAlign w:val="center"/>
                <w:hideMark/>
              </w:tcPr>
              <w:p w14:paraId="4A5F8CFC" w14:textId="77777777" w:rsidR="00F11715" w:rsidRPr="00F11715" w:rsidRDefault="00F11715" w:rsidP="00F11715">
                <w:pPr>
                  <w:spacing w:after="0" w:line="240" w:lineRule="auto"/>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Derechos de tránsito</w:t>
                </w:r>
              </w:p>
            </w:tc>
            <w:tc>
              <w:tcPr>
                <w:tcW w:w="903" w:type="dxa"/>
                <w:shd w:val="clear" w:color="auto" w:fill="auto"/>
                <w:noWrap/>
                <w:vAlign w:val="center"/>
                <w:hideMark/>
              </w:tcPr>
              <w:p w14:paraId="4EB088D2" w14:textId="77777777" w:rsidR="00F11715" w:rsidRPr="00F11715" w:rsidRDefault="00F11715" w:rsidP="00F11715">
                <w:pPr>
                  <w:spacing w:after="0" w:line="240" w:lineRule="auto"/>
                  <w:jc w:val="center"/>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15/12/2023</w:t>
                </w:r>
              </w:p>
            </w:tc>
            <w:tc>
              <w:tcPr>
                <w:tcW w:w="2268" w:type="dxa"/>
                <w:shd w:val="clear" w:color="auto" w:fill="auto"/>
                <w:noWrap/>
                <w:vAlign w:val="center"/>
                <w:hideMark/>
              </w:tcPr>
              <w:p w14:paraId="657DC1FE" w14:textId="77777777" w:rsidR="00F11715" w:rsidRPr="00F11715" w:rsidRDefault="00F11715" w:rsidP="00F11715">
                <w:pPr>
                  <w:spacing w:after="0" w:line="240" w:lineRule="auto"/>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Consorcio San Felipe </w:t>
                </w:r>
              </w:p>
            </w:tc>
            <w:tc>
              <w:tcPr>
                <w:tcW w:w="1276" w:type="dxa"/>
                <w:shd w:val="clear" w:color="auto" w:fill="auto"/>
                <w:noWrap/>
                <w:hideMark/>
              </w:tcPr>
              <w:p w14:paraId="24882815" w14:textId="1F83866F" w:rsidR="00F11715" w:rsidRPr="009A46BB" w:rsidRDefault="00F11715" w:rsidP="008C0B2E">
                <w:pPr>
                  <w:spacing w:after="0" w:line="240" w:lineRule="auto"/>
                  <w:jc w:val="right"/>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69.836.516,00</w:t>
                </w:r>
              </w:p>
            </w:tc>
            <w:tc>
              <w:tcPr>
                <w:tcW w:w="1066" w:type="dxa"/>
                <w:shd w:val="clear" w:color="auto" w:fill="auto"/>
                <w:noWrap/>
                <w:vAlign w:val="center"/>
                <w:hideMark/>
              </w:tcPr>
              <w:p w14:paraId="16767C4E" w14:textId="11FC2205"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69.836.516 </w:t>
                </w:r>
              </w:p>
            </w:tc>
            <w:tc>
              <w:tcPr>
                <w:tcW w:w="1031" w:type="dxa"/>
                <w:shd w:val="clear" w:color="auto" w:fill="auto"/>
                <w:noWrap/>
                <w:vAlign w:val="center"/>
                <w:hideMark/>
              </w:tcPr>
              <w:p w14:paraId="5A8B8B89" w14:textId="43A155F1"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   </w:t>
                </w:r>
              </w:p>
            </w:tc>
            <w:tc>
              <w:tcPr>
                <w:tcW w:w="781" w:type="dxa"/>
                <w:shd w:val="clear" w:color="auto" w:fill="auto"/>
                <w:noWrap/>
                <w:vAlign w:val="center"/>
                <w:hideMark/>
              </w:tcPr>
              <w:p w14:paraId="3674E062" w14:textId="4BC07DE1"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   </w:t>
                </w:r>
              </w:p>
            </w:tc>
          </w:tr>
          <w:tr w:rsidR="00F11715" w:rsidRPr="00F11715" w14:paraId="16AD3B6D" w14:textId="77777777" w:rsidTr="008C0B2E">
            <w:trPr>
              <w:trHeight w:val="315"/>
            </w:trPr>
            <w:tc>
              <w:tcPr>
                <w:tcW w:w="1644" w:type="dxa"/>
                <w:shd w:val="clear" w:color="auto" w:fill="auto"/>
                <w:noWrap/>
                <w:vAlign w:val="center"/>
                <w:hideMark/>
              </w:tcPr>
              <w:p w14:paraId="36FCD5B0" w14:textId="77777777" w:rsidR="00F11715" w:rsidRPr="00F11715" w:rsidRDefault="00F11715" w:rsidP="00F11715">
                <w:pPr>
                  <w:spacing w:after="0" w:line="240" w:lineRule="auto"/>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Derechos de tránsito</w:t>
                </w:r>
              </w:p>
            </w:tc>
            <w:tc>
              <w:tcPr>
                <w:tcW w:w="903" w:type="dxa"/>
                <w:shd w:val="clear" w:color="auto" w:fill="auto"/>
                <w:noWrap/>
                <w:vAlign w:val="center"/>
                <w:hideMark/>
              </w:tcPr>
              <w:p w14:paraId="1C9E8E0B" w14:textId="77777777" w:rsidR="00F11715" w:rsidRPr="00F11715" w:rsidRDefault="00F11715" w:rsidP="00F11715">
                <w:pPr>
                  <w:spacing w:after="0" w:line="240" w:lineRule="auto"/>
                  <w:jc w:val="center"/>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15/12/2023</w:t>
                </w:r>
              </w:p>
            </w:tc>
            <w:tc>
              <w:tcPr>
                <w:tcW w:w="2268" w:type="dxa"/>
                <w:shd w:val="clear" w:color="auto" w:fill="auto"/>
                <w:noWrap/>
                <w:vAlign w:val="center"/>
                <w:hideMark/>
              </w:tcPr>
              <w:p w14:paraId="09BBEBF4" w14:textId="01752C5A" w:rsidR="00F11715" w:rsidRPr="00F11715" w:rsidRDefault="00785DD9" w:rsidP="00F11715">
                <w:pPr>
                  <w:spacing w:after="0" w:line="240" w:lineRule="auto"/>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Consorcio Ctsa - Ingeral</w:t>
                </w:r>
              </w:p>
            </w:tc>
            <w:tc>
              <w:tcPr>
                <w:tcW w:w="1276" w:type="dxa"/>
                <w:shd w:val="clear" w:color="auto" w:fill="auto"/>
                <w:noWrap/>
                <w:hideMark/>
              </w:tcPr>
              <w:p w14:paraId="0957ACB6" w14:textId="263B4C41" w:rsidR="00F11715" w:rsidRPr="009A46BB" w:rsidRDefault="00F11715" w:rsidP="008C0B2E">
                <w:pPr>
                  <w:spacing w:after="0" w:line="240" w:lineRule="auto"/>
                  <w:jc w:val="right"/>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80.868.880,00</w:t>
                </w:r>
              </w:p>
            </w:tc>
            <w:tc>
              <w:tcPr>
                <w:tcW w:w="1066" w:type="dxa"/>
                <w:shd w:val="clear" w:color="auto" w:fill="auto"/>
                <w:noWrap/>
                <w:vAlign w:val="center"/>
                <w:hideMark/>
              </w:tcPr>
              <w:p w14:paraId="03897705" w14:textId="4206793F"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80.868.880 </w:t>
                </w:r>
              </w:p>
            </w:tc>
            <w:tc>
              <w:tcPr>
                <w:tcW w:w="1031" w:type="dxa"/>
                <w:shd w:val="clear" w:color="auto" w:fill="auto"/>
                <w:noWrap/>
                <w:vAlign w:val="center"/>
                <w:hideMark/>
              </w:tcPr>
              <w:p w14:paraId="4BA7B76F" w14:textId="47D5F8F9"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   </w:t>
                </w:r>
              </w:p>
            </w:tc>
            <w:tc>
              <w:tcPr>
                <w:tcW w:w="781" w:type="dxa"/>
                <w:shd w:val="clear" w:color="auto" w:fill="auto"/>
                <w:noWrap/>
                <w:vAlign w:val="center"/>
                <w:hideMark/>
              </w:tcPr>
              <w:p w14:paraId="7C34F523" w14:textId="5464C23A"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   </w:t>
                </w:r>
              </w:p>
            </w:tc>
          </w:tr>
          <w:tr w:rsidR="00F11715" w:rsidRPr="00F11715" w14:paraId="2BD837EB" w14:textId="77777777" w:rsidTr="008C0B2E">
            <w:trPr>
              <w:trHeight w:val="315"/>
            </w:trPr>
            <w:tc>
              <w:tcPr>
                <w:tcW w:w="1644" w:type="dxa"/>
                <w:shd w:val="clear" w:color="auto" w:fill="auto"/>
                <w:noWrap/>
                <w:vAlign w:val="center"/>
                <w:hideMark/>
              </w:tcPr>
              <w:p w14:paraId="0ECD73E1" w14:textId="77777777" w:rsidR="00F11715" w:rsidRPr="00F11715" w:rsidRDefault="00F11715" w:rsidP="00F11715">
                <w:pPr>
                  <w:spacing w:after="0" w:line="240" w:lineRule="auto"/>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Derechos de tránsito</w:t>
                </w:r>
              </w:p>
            </w:tc>
            <w:tc>
              <w:tcPr>
                <w:tcW w:w="903" w:type="dxa"/>
                <w:shd w:val="clear" w:color="auto" w:fill="auto"/>
                <w:noWrap/>
                <w:vAlign w:val="center"/>
                <w:hideMark/>
              </w:tcPr>
              <w:p w14:paraId="7AE349D0" w14:textId="77777777" w:rsidR="00F11715" w:rsidRPr="00F11715" w:rsidRDefault="00F11715" w:rsidP="00F11715">
                <w:pPr>
                  <w:spacing w:after="0" w:line="240" w:lineRule="auto"/>
                  <w:jc w:val="center"/>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15/12/2023</w:t>
                </w:r>
              </w:p>
            </w:tc>
            <w:tc>
              <w:tcPr>
                <w:tcW w:w="2268" w:type="dxa"/>
                <w:shd w:val="clear" w:color="auto" w:fill="auto"/>
                <w:noWrap/>
                <w:vAlign w:val="center"/>
                <w:hideMark/>
              </w:tcPr>
              <w:p w14:paraId="7C93B0E9" w14:textId="39A89BFA" w:rsidR="00F11715" w:rsidRPr="00F11715" w:rsidRDefault="00785DD9" w:rsidP="00F11715">
                <w:pPr>
                  <w:spacing w:after="0" w:line="240" w:lineRule="auto"/>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Consorcio San Felipe </w:t>
                </w:r>
                <w:r w:rsidR="008C0B2E" w:rsidRPr="00F11715">
                  <w:rPr>
                    <w:rFonts w:ascii="Times New Roman" w:eastAsia="Times New Roman" w:hAnsi="Times New Roman"/>
                    <w:sz w:val="14"/>
                    <w:szCs w:val="14"/>
                    <w:lang w:eastAsia="es-CO"/>
                  </w:rPr>
                  <w:t>Férreo</w:t>
                </w:r>
              </w:p>
            </w:tc>
            <w:tc>
              <w:tcPr>
                <w:tcW w:w="1276" w:type="dxa"/>
                <w:shd w:val="clear" w:color="auto" w:fill="auto"/>
                <w:noWrap/>
                <w:hideMark/>
              </w:tcPr>
              <w:p w14:paraId="48F6E0B1" w14:textId="46F59989" w:rsidR="00F11715" w:rsidRPr="009A46BB" w:rsidRDefault="00F11715" w:rsidP="008C0B2E">
                <w:pPr>
                  <w:spacing w:after="0" w:line="240" w:lineRule="auto"/>
                  <w:jc w:val="right"/>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108.877.285,00</w:t>
                </w:r>
              </w:p>
            </w:tc>
            <w:tc>
              <w:tcPr>
                <w:tcW w:w="1066" w:type="dxa"/>
                <w:shd w:val="clear" w:color="auto" w:fill="auto"/>
                <w:noWrap/>
                <w:vAlign w:val="center"/>
                <w:hideMark/>
              </w:tcPr>
              <w:p w14:paraId="4216BE7E" w14:textId="7FFEEF93"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108.877.285 </w:t>
                </w:r>
              </w:p>
            </w:tc>
            <w:tc>
              <w:tcPr>
                <w:tcW w:w="1031" w:type="dxa"/>
                <w:shd w:val="clear" w:color="auto" w:fill="auto"/>
                <w:noWrap/>
                <w:vAlign w:val="center"/>
                <w:hideMark/>
              </w:tcPr>
              <w:p w14:paraId="7D96B997" w14:textId="6C24776B"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   </w:t>
                </w:r>
              </w:p>
            </w:tc>
            <w:tc>
              <w:tcPr>
                <w:tcW w:w="781" w:type="dxa"/>
                <w:shd w:val="clear" w:color="auto" w:fill="auto"/>
                <w:noWrap/>
                <w:vAlign w:val="center"/>
                <w:hideMark/>
              </w:tcPr>
              <w:p w14:paraId="1A5AE38C" w14:textId="4569E7CA"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   </w:t>
                </w:r>
              </w:p>
            </w:tc>
          </w:tr>
          <w:tr w:rsidR="00F11715" w:rsidRPr="00F11715" w14:paraId="5F5F6D5F" w14:textId="77777777" w:rsidTr="008C0B2E">
            <w:trPr>
              <w:trHeight w:val="315"/>
            </w:trPr>
            <w:tc>
              <w:tcPr>
                <w:tcW w:w="1644" w:type="dxa"/>
                <w:shd w:val="clear" w:color="auto" w:fill="auto"/>
                <w:noWrap/>
                <w:vAlign w:val="center"/>
                <w:hideMark/>
              </w:tcPr>
              <w:p w14:paraId="20E605D8" w14:textId="77777777" w:rsidR="00F11715" w:rsidRPr="00F11715" w:rsidRDefault="00F11715" w:rsidP="00F11715">
                <w:pPr>
                  <w:spacing w:after="0" w:line="240" w:lineRule="auto"/>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Derechos cobrados por terceros </w:t>
                </w:r>
              </w:p>
            </w:tc>
            <w:tc>
              <w:tcPr>
                <w:tcW w:w="903" w:type="dxa"/>
                <w:shd w:val="clear" w:color="auto" w:fill="auto"/>
                <w:noWrap/>
                <w:vAlign w:val="center"/>
                <w:hideMark/>
              </w:tcPr>
              <w:p w14:paraId="337AF048" w14:textId="77777777" w:rsidR="00F11715" w:rsidRPr="00F11715" w:rsidRDefault="00F11715" w:rsidP="00F11715">
                <w:pPr>
                  <w:spacing w:after="0" w:line="240" w:lineRule="auto"/>
                  <w:jc w:val="center"/>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15/12/2023</w:t>
                </w:r>
              </w:p>
            </w:tc>
            <w:tc>
              <w:tcPr>
                <w:tcW w:w="2268" w:type="dxa"/>
                <w:shd w:val="clear" w:color="auto" w:fill="auto"/>
                <w:noWrap/>
                <w:vAlign w:val="center"/>
                <w:hideMark/>
              </w:tcPr>
              <w:p w14:paraId="0E60D892" w14:textId="2C8B37EE" w:rsidR="00F11715" w:rsidRPr="00F11715" w:rsidRDefault="00785DD9" w:rsidP="00F11715">
                <w:pPr>
                  <w:spacing w:after="0" w:line="240" w:lineRule="auto"/>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Consorcio Ctsa - Ingeral</w:t>
                </w:r>
              </w:p>
            </w:tc>
            <w:tc>
              <w:tcPr>
                <w:tcW w:w="1276" w:type="dxa"/>
                <w:shd w:val="clear" w:color="auto" w:fill="auto"/>
                <w:noWrap/>
                <w:hideMark/>
              </w:tcPr>
              <w:p w14:paraId="3461076C" w14:textId="1AF5EA87" w:rsidR="00F11715" w:rsidRPr="009A46BB" w:rsidRDefault="00F11715" w:rsidP="008C0B2E">
                <w:pPr>
                  <w:spacing w:after="0" w:line="240" w:lineRule="auto"/>
                  <w:jc w:val="right"/>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82.265.229,00</w:t>
                </w:r>
              </w:p>
            </w:tc>
            <w:tc>
              <w:tcPr>
                <w:tcW w:w="1066" w:type="dxa"/>
                <w:shd w:val="clear" w:color="auto" w:fill="auto"/>
                <w:noWrap/>
                <w:vAlign w:val="center"/>
                <w:hideMark/>
              </w:tcPr>
              <w:p w14:paraId="09667E6C" w14:textId="37F2B000"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82.265.229 </w:t>
                </w:r>
              </w:p>
            </w:tc>
            <w:tc>
              <w:tcPr>
                <w:tcW w:w="1031" w:type="dxa"/>
                <w:shd w:val="clear" w:color="auto" w:fill="auto"/>
                <w:noWrap/>
                <w:vAlign w:val="center"/>
                <w:hideMark/>
              </w:tcPr>
              <w:p w14:paraId="3C0CB3F3" w14:textId="349E1B21"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   </w:t>
                </w:r>
              </w:p>
            </w:tc>
            <w:tc>
              <w:tcPr>
                <w:tcW w:w="781" w:type="dxa"/>
                <w:shd w:val="clear" w:color="auto" w:fill="auto"/>
                <w:noWrap/>
                <w:vAlign w:val="center"/>
                <w:hideMark/>
              </w:tcPr>
              <w:p w14:paraId="4E604C64" w14:textId="32B47FC5"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   </w:t>
                </w:r>
              </w:p>
            </w:tc>
          </w:tr>
          <w:tr w:rsidR="00F11715" w:rsidRPr="00F11715" w14:paraId="0885A951" w14:textId="77777777" w:rsidTr="008C0B2E">
            <w:trPr>
              <w:trHeight w:val="315"/>
            </w:trPr>
            <w:tc>
              <w:tcPr>
                <w:tcW w:w="1644" w:type="dxa"/>
                <w:shd w:val="clear" w:color="auto" w:fill="auto"/>
                <w:noWrap/>
                <w:vAlign w:val="center"/>
                <w:hideMark/>
              </w:tcPr>
              <w:p w14:paraId="6AF3B591" w14:textId="77777777" w:rsidR="00F11715" w:rsidRPr="00F11715" w:rsidRDefault="00F11715" w:rsidP="00F11715">
                <w:pPr>
                  <w:spacing w:after="0" w:line="240" w:lineRule="auto"/>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Derechos cobrados por terceros </w:t>
                </w:r>
              </w:p>
            </w:tc>
            <w:tc>
              <w:tcPr>
                <w:tcW w:w="903" w:type="dxa"/>
                <w:shd w:val="clear" w:color="auto" w:fill="auto"/>
                <w:noWrap/>
                <w:vAlign w:val="center"/>
                <w:hideMark/>
              </w:tcPr>
              <w:p w14:paraId="228976A3" w14:textId="77777777" w:rsidR="00F11715" w:rsidRPr="00F11715" w:rsidRDefault="00F11715" w:rsidP="00F11715">
                <w:pPr>
                  <w:spacing w:after="0" w:line="240" w:lineRule="auto"/>
                  <w:jc w:val="center"/>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15/12/2023</w:t>
                </w:r>
              </w:p>
            </w:tc>
            <w:tc>
              <w:tcPr>
                <w:tcW w:w="2268" w:type="dxa"/>
                <w:shd w:val="clear" w:color="auto" w:fill="auto"/>
                <w:noWrap/>
                <w:vAlign w:val="center"/>
                <w:hideMark/>
              </w:tcPr>
              <w:p w14:paraId="0E99018B" w14:textId="21CB6D69" w:rsidR="00F11715" w:rsidRPr="00F11715" w:rsidRDefault="00785DD9" w:rsidP="00F11715">
                <w:pPr>
                  <w:spacing w:after="0" w:line="240" w:lineRule="auto"/>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Consorcio San Felipe </w:t>
                </w:r>
                <w:r w:rsidR="008C0B2E" w:rsidRPr="00F11715">
                  <w:rPr>
                    <w:rFonts w:ascii="Times New Roman" w:eastAsia="Times New Roman" w:hAnsi="Times New Roman"/>
                    <w:sz w:val="14"/>
                    <w:szCs w:val="14"/>
                    <w:lang w:eastAsia="es-CO"/>
                  </w:rPr>
                  <w:t>Férreo</w:t>
                </w:r>
              </w:p>
            </w:tc>
            <w:tc>
              <w:tcPr>
                <w:tcW w:w="1276" w:type="dxa"/>
                <w:shd w:val="clear" w:color="auto" w:fill="auto"/>
                <w:noWrap/>
                <w:hideMark/>
              </w:tcPr>
              <w:p w14:paraId="1EDCD910" w14:textId="292505C6" w:rsidR="00F11715" w:rsidRPr="009A46BB" w:rsidRDefault="00F11715" w:rsidP="008C0B2E">
                <w:pPr>
                  <w:spacing w:after="0" w:line="240" w:lineRule="auto"/>
                  <w:jc w:val="right"/>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40.800.470,00</w:t>
                </w:r>
              </w:p>
            </w:tc>
            <w:tc>
              <w:tcPr>
                <w:tcW w:w="1066" w:type="dxa"/>
                <w:shd w:val="clear" w:color="auto" w:fill="auto"/>
                <w:noWrap/>
                <w:vAlign w:val="center"/>
                <w:hideMark/>
              </w:tcPr>
              <w:p w14:paraId="197FEAB2" w14:textId="233E604A"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40.800.470 </w:t>
                </w:r>
              </w:p>
            </w:tc>
            <w:tc>
              <w:tcPr>
                <w:tcW w:w="1031" w:type="dxa"/>
                <w:shd w:val="clear" w:color="auto" w:fill="auto"/>
                <w:noWrap/>
                <w:vAlign w:val="center"/>
                <w:hideMark/>
              </w:tcPr>
              <w:p w14:paraId="5B5B64C3" w14:textId="24C69F61"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   </w:t>
                </w:r>
              </w:p>
            </w:tc>
            <w:tc>
              <w:tcPr>
                <w:tcW w:w="781" w:type="dxa"/>
                <w:shd w:val="clear" w:color="auto" w:fill="auto"/>
                <w:noWrap/>
                <w:vAlign w:val="center"/>
                <w:hideMark/>
              </w:tcPr>
              <w:p w14:paraId="5C356C39" w14:textId="393A7727"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   </w:t>
                </w:r>
              </w:p>
            </w:tc>
          </w:tr>
          <w:tr w:rsidR="00F11715" w:rsidRPr="00F11715" w14:paraId="70ABE2D1" w14:textId="77777777" w:rsidTr="008C0B2E">
            <w:trPr>
              <w:trHeight w:val="315"/>
            </w:trPr>
            <w:tc>
              <w:tcPr>
                <w:tcW w:w="1644" w:type="dxa"/>
                <w:shd w:val="clear" w:color="auto" w:fill="auto"/>
                <w:noWrap/>
                <w:vAlign w:val="center"/>
                <w:hideMark/>
              </w:tcPr>
              <w:p w14:paraId="0ABD3D67" w14:textId="77777777" w:rsidR="00F11715" w:rsidRPr="00F11715" w:rsidRDefault="00F11715" w:rsidP="00F11715">
                <w:pPr>
                  <w:spacing w:after="0" w:line="240" w:lineRule="auto"/>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Otras cuentas por cobrar</w:t>
                </w:r>
              </w:p>
            </w:tc>
            <w:tc>
              <w:tcPr>
                <w:tcW w:w="903" w:type="dxa"/>
                <w:shd w:val="clear" w:color="auto" w:fill="auto"/>
                <w:noWrap/>
                <w:vAlign w:val="center"/>
                <w:hideMark/>
              </w:tcPr>
              <w:p w14:paraId="18E95C02" w14:textId="77777777" w:rsidR="00F11715" w:rsidRPr="00F11715" w:rsidRDefault="00F11715" w:rsidP="00F11715">
                <w:pPr>
                  <w:spacing w:after="0" w:line="240" w:lineRule="auto"/>
                  <w:jc w:val="center"/>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N/A</w:t>
                </w:r>
              </w:p>
            </w:tc>
            <w:tc>
              <w:tcPr>
                <w:tcW w:w="2268" w:type="dxa"/>
                <w:shd w:val="clear" w:color="auto" w:fill="auto"/>
                <w:noWrap/>
                <w:vAlign w:val="center"/>
                <w:hideMark/>
              </w:tcPr>
              <w:p w14:paraId="4B7B660F" w14:textId="77777777" w:rsidR="00F11715" w:rsidRPr="00F11715" w:rsidRDefault="00F11715" w:rsidP="00F11715">
                <w:pPr>
                  <w:spacing w:after="0" w:line="240" w:lineRule="auto"/>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Tren De Occidente Sa</w:t>
                </w:r>
              </w:p>
            </w:tc>
            <w:tc>
              <w:tcPr>
                <w:tcW w:w="1276" w:type="dxa"/>
                <w:shd w:val="clear" w:color="auto" w:fill="auto"/>
                <w:noWrap/>
                <w:vAlign w:val="center"/>
                <w:hideMark/>
              </w:tcPr>
              <w:p w14:paraId="5807232B" w14:textId="243F9638" w:rsidR="00F11715" w:rsidRPr="00F11715" w:rsidRDefault="00F11715" w:rsidP="008C0B2E">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9.216.322.405</w:t>
                </w:r>
              </w:p>
            </w:tc>
            <w:tc>
              <w:tcPr>
                <w:tcW w:w="1066" w:type="dxa"/>
                <w:shd w:val="clear" w:color="auto" w:fill="auto"/>
                <w:noWrap/>
                <w:vAlign w:val="center"/>
                <w:hideMark/>
              </w:tcPr>
              <w:p w14:paraId="24DCFAAB" w14:textId="63EDB4A5"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   </w:t>
                </w:r>
              </w:p>
            </w:tc>
            <w:tc>
              <w:tcPr>
                <w:tcW w:w="1031" w:type="dxa"/>
                <w:shd w:val="clear" w:color="auto" w:fill="auto"/>
                <w:noWrap/>
                <w:vAlign w:val="center"/>
                <w:hideMark/>
              </w:tcPr>
              <w:p w14:paraId="4C8947FD" w14:textId="2F3DED24"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   </w:t>
                </w:r>
              </w:p>
            </w:tc>
            <w:tc>
              <w:tcPr>
                <w:tcW w:w="781" w:type="dxa"/>
                <w:shd w:val="clear" w:color="auto" w:fill="auto"/>
                <w:noWrap/>
                <w:vAlign w:val="center"/>
                <w:hideMark/>
              </w:tcPr>
              <w:p w14:paraId="499B94E5" w14:textId="52B31019" w:rsidR="00F11715" w:rsidRPr="00F11715" w:rsidRDefault="00F11715" w:rsidP="00F11715">
                <w:pPr>
                  <w:spacing w:after="0" w:line="240" w:lineRule="auto"/>
                  <w:jc w:val="right"/>
                  <w:rPr>
                    <w:rFonts w:ascii="Times New Roman" w:eastAsia="Times New Roman" w:hAnsi="Times New Roman"/>
                    <w:sz w:val="14"/>
                    <w:szCs w:val="14"/>
                    <w:lang w:eastAsia="es-CO"/>
                  </w:rPr>
                </w:pPr>
                <w:r w:rsidRPr="00F11715">
                  <w:rPr>
                    <w:rFonts w:ascii="Times New Roman" w:eastAsia="Times New Roman" w:hAnsi="Times New Roman"/>
                    <w:sz w:val="14"/>
                    <w:szCs w:val="14"/>
                    <w:lang w:eastAsia="es-CO"/>
                  </w:rPr>
                  <w:t xml:space="preserve">   -   </w:t>
                </w:r>
              </w:p>
            </w:tc>
          </w:tr>
          <w:tr w:rsidR="00F11715" w:rsidRPr="00F11715" w14:paraId="65914790" w14:textId="77777777" w:rsidTr="00E2413F">
            <w:trPr>
              <w:trHeight w:val="315"/>
            </w:trPr>
            <w:tc>
              <w:tcPr>
                <w:tcW w:w="4815" w:type="dxa"/>
                <w:gridSpan w:val="3"/>
                <w:shd w:val="clear" w:color="auto" w:fill="auto"/>
                <w:noWrap/>
                <w:vAlign w:val="center"/>
                <w:hideMark/>
              </w:tcPr>
              <w:p w14:paraId="264AF594" w14:textId="56643257" w:rsidR="00F11715" w:rsidRPr="009A46BB" w:rsidRDefault="00F11715" w:rsidP="00F11715">
                <w:pPr>
                  <w:spacing w:after="0" w:line="240" w:lineRule="auto"/>
                  <w:rPr>
                    <w:rFonts w:ascii="Times New Roman" w:eastAsia="Times New Roman" w:hAnsi="Times New Roman"/>
                    <w:sz w:val="14"/>
                    <w:szCs w:val="14"/>
                    <w:lang w:eastAsia="es-CO"/>
                  </w:rPr>
                </w:pPr>
                <w:r w:rsidRPr="00F11715">
                  <w:rPr>
                    <w:rFonts w:ascii="Times New Roman" w:eastAsia="Times New Roman" w:hAnsi="Times New Roman"/>
                    <w:b/>
                    <w:bCs/>
                    <w:sz w:val="14"/>
                    <w:szCs w:val="14"/>
                    <w:lang w:eastAsia="es-CO"/>
                  </w:rPr>
                  <w:t>Totales</w:t>
                </w:r>
              </w:p>
            </w:tc>
            <w:tc>
              <w:tcPr>
                <w:tcW w:w="1276" w:type="dxa"/>
                <w:shd w:val="clear" w:color="auto" w:fill="auto"/>
                <w:noWrap/>
                <w:vAlign w:val="center"/>
                <w:hideMark/>
              </w:tcPr>
              <w:p w14:paraId="24BBF4FA" w14:textId="77777777" w:rsidR="00F11715" w:rsidRPr="00F11715" w:rsidRDefault="00F11715" w:rsidP="008C0B2E">
                <w:pPr>
                  <w:spacing w:after="0" w:line="240" w:lineRule="auto"/>
                  <w:jc w:val="right"/>
                  <w:rPr>
                    <w:rFonts w:ascii="Times New Roman" w:eastAsia="Times New Roman" w:hAnsi="Times New Roman"/>
                    <w:b/>
                    <w:bCs/>
                    <w:sz w:val="14"/>
                    <w:szCs w:val="14"/>
                    <w:lang w:eastAsia="es-CO"/>
                  </w:rPr>
                </w:pPr>
                <w:r w:rsidRPr="00F11715">
                  <w:rPr>
                    <w:rFonts w:ascii="Times New Roman" w:eastAsia="Times New Roman" w:hAnsi="Times New Roman"/>
                    <w:b/>
                    <w:bCs/>
                    <w:sz w:val="14"/>
                    <w:szCs w:val="14"/>
                    <w:lang w:eastAsia="es-CO"/>
                  </w:rPr>
                  <w:t>69.726.124.896</w:t>
                </w:r>
              </w:p>
            </w:tc>
            <w:tc>
              <w:tcPr>
                <w:tcW w:w="1066" w:type="dxa"/>
                <w:shd w:val="clear" w:color="auto" w:fill="auto"/>
                <w:noWrap/>
                <w:vAlign w:val="center"/>
                <w:hideMark/>
              </w:tcPr>
              <w:p w14:paraId="59B1D5DD" w14:textId="77777777" w:rsidR="00F11715" w:rsidRPr="00F11715" w:rsidRDefault="00F11715" w:rsidP="00F11715">
                <w:pPr>
                  <w:spacing w:after="0" w:line="240" w:lineRule="auto"/>
                  <w:jc w:val="right"/>
                  <w:rPr>
                    <w:rFonts w:ascii="Times New Roman" w:eastAsia="Times New Roman" w:hAnsi="Times New Roman"/>
                    <w:b/>
                    <w:bCs/>
                    <w:sz w:val="14"/>
                    <w:szCs w:val="14"/>
                    <w:lang w:eastAsia="es-CO"/>
                  </w:rPr>
                </w:pPr>
                <w:r w:rsidRPr="00F11715">
                  <w:rPr>
                    <w:rFonts w:ascii="Times New Roman" w:eastAsia="Times New Roman" w:hAnsi="Times New Roman"/>
                    <w:b/>
                    <w:bCs/>
                    <w:sz w:val="14"/>
                    <w:szCs w:val="14"/>
                    <w:lang w:eastAsia="es-CO"/>
                  </w:rPr>
                  <w:t>21.507.508.220</w:t>
                </w:r>
              </w:p>
            </w:tc>
            <w:tc>
              <w:tcPr>
                <w:tcW w:w="1031" w:type="dxa"/>
                <w:shd w:val="clear" w:color="auto" w:fill="auto"/>
                <w:noWrap/>
                <w:vAlign w:val="center"/>
                <w:hideMark/>
              </w:tcPr>
              <w:p w14:paraId="16665E39" w14:textId="77777777" w:rsidR="00F11715" w:rsidRPr="00F11715" w:rsidRDefault="00F11715" w:rsidP="00F11715">
                <w:pPr>
                  <w:spacing w:after="0" w:line="240" w:lineRule="auto"/>
                  <w:jc w:val="right"/>
                  <w:rPr>
                    <w:rFonts w:ascii="Times New Roman" w:eastAsia="Times New Roman" w:hAnsi="Times New Roman"/>
                    <w:b/>
                    <w:bCs/>
                    <w:sz w:val="14"/>
                    <w:szCs w:val="14"/>
                    <w:lang w:eastAsia="es-CO"/>
                  </w:rPr>
                </w:pPr>
                <w:r w:rsidRPr="00F11715">
                  <w:rPr>
                    <w:rFonts w:ascii="Times New Roman" w:eastAsia="Times New Roman" w:hAnsi="Times New Roman"/>
                    <w:b/>
                    <w:bCs/>
                    <w:sz w:val="14"/>
                    <w:szCs w:val="14"/>
                    <w:lang w:eastAsia="es-CO"/>
                  </w:rPr>
                  <w:t>38.911.561.879</w:t>
                </w:r>
              </w:p>
            </w:tc>
            <w:tc>
              <w:tcPr>
                <w:tcW w:w="781" w:type="dxa"/>
                <w:shd w:val="clear" w:color="auto" w:fill="auto"/>
                <w:noWrap/>
                <w:vAlign w:val="center"/>
                <w:hideMark/>
              </w:tcPr>
              <w:p w14:paraId="70396980" w14:textId="77777777" w:rsidR="00F11715" w:rsidRPr="00F11715" w:rsidRDefault="00F11715" w:rsidP="00F11715">
                <w:pPr>
                  <w:spacing w:after="0" w:line="240" w:lineRule="auto"/>
                  <w:jc w:val="right"/>
                  <w:rPr>
                    <w:rFonts w:ascii="Times New Roman" w:eastAsia="Times New Roman" w:hAnsi="Times New Roman"/>
                    <w:b/>
                    <w:bCs/>
                    <w:sz w:val="14"/>
                    <w:szCs w:val="14"/>
                    <w:lang w:eastAsia="es-CO"/>
                  </w:rPr>
                </w:pPr>
                <w:r w:rsidRPr="00F11715">
                  <w:rPr>
                    <w:rFonts w:ascii="Times New Roman" w:eastAsia="Times New Roman" w:hAnsi="Times New Roman"/>
                    <w:b/>
                    <w:bCs/>
                    <w:sz w:val="14"/>
                    <w:szCs w:val="14"/>
                    <w:lang w:eastAsia="es-CO"/>
                  </w:rPr>
                  <w:t>90.732.392</w:t>
                </w:r>
              </w:p>
            </w:tc>
          </w:tr>
        </w:tbl>
        <w:p w14:paraId="13D46F0D" w14:textId="64ED5E6A" w:rsidR="001D41C5" w:rsidRPr="00931DCE" w:rsidRDefault="00AD2026" w:rsidP="00AE433A">
          <w:pPr>
            <w:spacing w:after="0" w:line="240" w:lineRule="auto"/>
            <w:rPr>
              <w:rFonts w:ascii="Times New Roman" w:hAnsi="Times New Roman"/>
              <w:lang w:bidi="es-ES"/>
            </w:rPr>
          </w:pPr>
          <w:r w:rsidRPr="00931DCE">
            <w:rPr>
              <w:rFonts w:ascii="Times New Roman" w:hAnsi="Times New Roman"/>
              <w:sz w:val="14"/>
              <w:szCs w:val="14"/>
            </w:rPr>
            <w:t>Cifras expresadas en pesos</w:t>
          </w:r>
        </w:p>
        <w:p w14:paraId="1F2F58EB" w14:textId="77777777" w:rsidR="00AE433A" w:rsidRPr="00931DCE" w:rsidRDefault="00AE433A" w:rsidP="00AE433A">
          <w:pPr>
            <w:spacing w:after="0" w:line="240" w:lineRule="auto"/>
            <w:jc w:val="both"/>
            <w:rPr>
              <w:rFonts w:ascii="Times New Roman" w:hAnsi="Times New Roman"/>
              <w:sz w:val="24"/>
              <w:szCs w:val="24"/>
            </w:rPr>
          </w:pPr>
        </w:p>
        <w:p w14:paraId="57B5038A" w14:textId="4D8C6C9B" w:rsidR="001D41C5" w:rsidRPr="008C0B2E" w:rsidRDefault="001D41C5" w:rsidP="00AE433A">
          <w:pPr>
            <w:spacing w:after="0" w:line="240" w:lineRule="auto"/>
            <w:jc w:val="both"/>
            <w:rPr>
              <w:rFonts w:ascii="Times New Roman" w:hAnsi="Times New Roman"/>
            </w:rPr>
          </w:pPr>
          <w:r w:rsidRPr="00931DCE">
            <w:rPr>
              <w:rFonts w:ascii="Times New Roman" w:hAnsi="Times New Roman"/>
              <w:sz w:val="24"/>
              <w:szCs w:val="24"/>
            </w:rPr>
            <w:t>De otra parte, las cuentas por cobrar por concepto de incapacidades no son objeto de deterioro, conforme lo estable el concepto con radicado CGN No 20202000001151 de fecha 23 de enero de 2020, el cual indica:</w:t>
          </w:r>
          <w:r w:rsidRPr="00931DCE">
            <w:rPr>
              <w:rFonts w:ascii="Times New Roman" w:hAnsi="Times New Roman"/>
            </w:rPr>
            <w:t xml:space="preserve"> </w:t>
          </w:r>
          <w:r w:rsidRPr="008C0B2E">
            <w:rPr>
              <w:rFonts w:ascii="Times New Roman" w:hAnsi="Times New Roman"/>
            </w:rPr>
            <w:t xml:space="preserve">..., </w:t>
          </w:r>
          <w:r w:rsidRPr="008C0B2E">
            <w:rPr>
              <w:rFonts w:ascii="Times New Roman" w:hAnsi="Times New Roman"/>
              <w:i/>
            </w:rPr>
            <w:t>“si el atraso por parte de la EPS obedece a circunstancias de insolvencia del deudor o desmejoramiento de las condiciones crediticias, procede el reconocimiento del deterioro, en caso contrario, no es viable”.</w:t>
          </w:r>
          <w:r w:rsidRPr="008C0B2E">
            <w:rPr>
              <w:rFonts w:ascii="Times New Roman" w:hAnsi="Times New Roman"/>
            </w:rPr>
            <w:t xml:space="preserve"> </w:t>
          </w:r>
        </w:p>
        <w:p w14:paraId="5655995A" w14:textId="77777777" w:rsidR="001D41C5" w:rsidRPr="00931DCE" w:rsidRDefault="001D41C5" w:rsidP="00AE433A">
          <w:pPr>
            <w:spacing w:after="0" w:line="240" w:lineRule="auto"/>
            <w:jc w:val="both"/>
            <w:rPr>
              <w:rFonts w:ascii="Times New Roman" w:hAnsi="Times New Roman"/>
              <w:sz w:val="24"/>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70" w:type="dxa"/>
              <w:right w:w="70" w:type="dxa"/>
            </w:tblCellMar>
            <w:tblLook w:val="04A0" w:firstRow="1" w:lastRow="0" w:firstColumn="1" w:lastColumn="0" w:noHBand="0" w:noVBand="1"/>
          </w:tblPr>
          <w:tblGrid>
            <w:gridCol w:w="1271"/>
            <w:gridCol w:w="958"/>
            <w:gridCol w:w="2625"/>
            <w:gridCol w:w="1169"/>
            <w:gridCol w:w="1138"/>
            <w:gridCol w:w="951"/>
            <w:gridCol w:w="857"/>
          </w:tblGrid>
          <w:tr w:rsidR="00316062" w:rsidRPr="00316062" w14:paraId="0F439433" w14:textId="77777777" w:rsidTr="00F8312B">
            <w:trPr>
              <w:cantSplit/>
              <w:trHeight w:val="1086"/>
            </w:trPr>
            <w:tc>
              <w:tcPr>
                <w:tcW w:w="1271" w:type="dxa"/>
                <w:shd w:val="clear" w:color="auto" w:fill="auto"/>
                <w:textDirection w:val="btLr"/>
                <w:vAlign w:val="center"/>
                <w:hideMark/>
              </w:tcPr>
              <w:p w14:paraId="514159C0" w14:textId="77777777" w:rsidR="00316062" w:rsidRPr="00316062" w:rsidRDefault="00316062" w:rsidP="00F8312B">
                <w:pPr>
                  <w:spacing w:after="0" w:line="240" w:lineRule="auto"/>
                  <w:ind w:left="113" w:right="113"/>
                  <w:jc w:val="center"/>
                  <w:rPr>
                    <w:rFonts w:ascii="Times New Roman" w:eastAsia="Times New Roman" w:hAnsi="Times New Roman"/>
                    <w:b/>
                    <w:bCs/>
                    <w:color w:val="000000"/>
                    <w:sz w:val="14"/>
                    <w:szCs w:val="14"/>
                    <w:lang w:eastAsia="es-CO"/>
                  </w:rPr>
                </w:pPr>
                <w:r w:rsidRPr="00316062">
                  <w:rPr>
                    <w:rFonts w:ascii="Times New Roman" w:eastAsia="Times New Roman" w:hAnsi="Times New Roman"/>
                    <w:b/>
                    <w:bCs/>
                    <w:color w:val="000000"/>
                    <w:sz w:val="14"/>
                    <w:szCs w:val="14"/>
                    <w:lang w:eastAsia="es-CO"/>
                  </w:rPr>
                  <w:t>CUENTA</w:t>
                </w:r>
              </w:p>
            </w:tc>
            <w:tc>
              <w:tcPr>
                <w:tcW w:w="958" w:type="dxa"/>
                <w:shd w:val="clear" w:color="auto" w:fill="auto"/>
                <w:textDirection w:val="btLr"/>
                <w:vAlign w:val="center"/>
                <w:hideMark/>
              </w:tcPr>
              <w:p w14:paraId="531CF14B" w14:textId="77777777" w:rsidR="00316062" w:rsidRPr="00316062" w:rsidRDefault="00316062" w:rsidP="00F8312B">
                <w:pPr>
                  <w:spacing w:after="0" w:line="240" w:lineRule="auto"/>
                  <w:ind w:left="113" w:right="113"/>
                  <w:jc w:val="center"/>
                  <w:rPr>
                    <w:rFonts w:ascii="Times New Roman" w:eastAsia="Times New Roman" w:hAnsi="Times New Roman"/>
                    <w:b/>
                    <w:bCs/>
                    <w:color w:val="000000"/>
                    <w:sz w:val="14"/>
                    <w:szCs w:val="14"/>
                    <w:lang w:eastAsia="es-CO"/>
                  </w:rPr>
                </w:pPr>
                <w:r w:rsidRPr="00316062">
                  <w:rPr>
                    <w:rFonts w:ascii="Times New Roman" w:eastAsia="Times New Roman" w:hAnsi="Times New Roman"/>
                    <w:b/>
                    <w:bCs/>
                    <w:color w:val="000000"/>
                    <w:sz w:val="14"/>
                    <w:szCs w:val="14"/>
                    <w:lang w:eastAsia="es-CO"/>
                  </w:rPr>
                  <w:t>Fecha de la Obligación</w:t>
                </w:r>
              </w:p>
            </w:tc>
            <w:tc>
              <w:tcPr>
                <w:tcW w:w="2625" w:type="dxa"/>
                <w:shd w:val="clear" w:color="auto" w:fill="auto"/>
                <w:noWrap/>
                <w:textDirection w:val="btLr"/>
                <w:vAlign w:val="center"/>
                <w:hideMark/>
              </w:tcPr>
              <w:p w14:paraId="18619C38" w14:textId="77777777" w:rsidR="00316062" w:rsidRPr="00316062" w:rsidRDefault="00316062" w:rsidP="00F8312B">
                <w:pPr>
                  <w:spacing w:after="0" w:line="240" w:lineRule="auto"/>
                  <w:ind w:left="113" w:right="113"/>
                  <w:jc w:val="center"/>
                  <w:rPr>
                    <w:rFonts w:ascii="Times New Roman" w:eastAsia="Times New Roman" w:hAnsi="Times New Roman"/>
                    <w:b/>
                    <w:bCs/>
                    <w:color w:val="000000"/>
                    <w:sz w:val="14"/>
                    <w:szCs w:val="14"/>
                    <w:lang w:eastAsia="es-CO"/>
                  </w:rPr>
                </w:pPr>
                <w:r w:rsidRPr="00316062">
                  <w:rPr>
                    <w:rFonts w:ascii="Times New Roman" w:eastAsia="Times New Roman" w:hAnsi="Times New Roman"/>
                    <w:b/>
                    <w:bCs/>
                    <w:color w:val="000000"/>
                    <w:sz w:val="14"/>
                    <w:szCs w:val="14"/>
                    <w:lang w:eastAsia="es-CO"/>
                  </w:rPr>
                  <w:t>Tercero</w:t>
                </w:r>
              </w:p>
            </w:tc>
            <w:tc>
              <w:tcPr>
                <w:tcW w:w="1169" w:type="dxa"/>
                <w:shd w:val="clear" w:color="auto" w:fill="auto"/>
                <w:noWrap/>
                <w:textDirection w:val="btLr"/>
                <w:vAlign w:val="center"/>
                <w:hideMark/>
              </w:tcPr>
              <w:p w14:paraId="73B2DF3E" w14:textId="77777777" w:rsidR="00316062" w:rsidRPr="00316062" w:rsidRDefault="00316062" w:rsidP="00F8312B">
                <w:pPr>
                  <w:spacing w:after="0" w:line="240" w:lineRule="auto"/>
                  <w:ind w:left="113" w:right="113"/>
                  <w:jc w:val="center"/>
                  <w:rPr>
                    <w:rFonts w:ascii="Times New Roman" w:eastAsia="Times New Roman" w:hAnsi="Times New Roman"/>
                    <w:b/>
                    <w:bCs/>
                    <w:color w:val="000000"/>
                    <w:sz w:val="14"/>
                    <w:szCs w:val="14"/>
                    <w:lang w:eastAsia="es-CO"/>
                  </w:rPr>
                </w:pPr>
                <w:r w:rsidRPr="00316062">
                  <w:rPr>
                    <w:rFonts w:ascii="Times New Roman" w:eastAsia="Times New Roman" w:hAnsi="Times New Roman"/>
                    <w:b/>
                    <w:bCs/>
                    <w:color w:val="000000"/>
                    <w:sz w:val="14"/>
                    <w:szCs w:val="14"/>
                    <w:lang w:eastAsia="es-CO"/>
                  </w:rPr>
                  <w:t>Valor</w:t>
                </w:r>
              </w:p>
            </w:tc>
            <w:tc>
              <w:tcPr>
                <w:tcW w:w="1138" w:type="dxa"/>
                <w:shd w:val="clear" w:color="auto" w:fill="auto"/>
                <w:textDirection w:val="btLr"/>
                <w:vAlign w:val="center"/>
                <w:hideMark/>
              </w:tcPr>
              <w:p w14:paraId="302B31A1" w14:textId="77777777" w:rsidR="00316062" w:rsidRPr="00316062" w:rsidRDefault="00316062" w:rsidP="00F8312B">
                <w:pPr>
                  <w:spacing w:after="0" w:line="240" w:lineRule="auto"/>
                  <w:ind w:left="113" w:right="113"/>
                  <w:jc w:val="center"/>
                  <w:rPr>
                    <w:rFonts w:ascii="Times New Roman" w:eastAsia="Times New Roman" w:hAnsi="Times New Roman"/>
                    <w:b/>
                    <w:bCs/>
                    <w:color w:val="000000"/>
                    <w:sz w:val="14"/>
                    <w:szCs w:val="14"/>
                    <w:lang w:eastAsia="es-CO"/>
                  </w:rPr>
                </w:pPr>
                <w:r w:rsidRPr="00316062">
                  <w:rPr>
                    <w:rFonts w:ascii="Times New Roman" w:eastAsia="Times New Roman" w:hAnsi="Times New Roman"/>
                    <w:b/>
                    <w:bCs/>
                    <w:color w:val="000000"/>
                    <w:sz w:val="14"/>
                    <w:szCs w:val="14"/>
                    <w:lang w:eastAsia="es-CO"/>
                  </w:rPr>
                  <w:t>&gt; 3 MESES HASTA 12 MESES</w:t>
                </w:r>
              </w:p>
            </w:tc>
            <w:tc>
              <w:tcPr>
                <w:tcW w:w="951" w:type="dxa"/>
                <w:shd w:val="clear" w:color="auto" w:fill="auto"/>
                <w:textDirection w:val="btLr"/>
                <w:vAlign w:val="center"/>
                <w:hideMark/>
              </w:tcPr>
              <w:p w14:paraId="041BBABE" w14:textId="77777777" w:rsidR="00316062" w:rsidRPr="00316062" w:rsidRDefault="00316062" w:rsidP="00F8312B">
                <w:pPr>
                  <w:spacing w:after="0" w:line="240" w:lineRule="auto"/>
                  <w:ind w:left="113" w:right="113"/>
                  <w:jc w:val="center"/>
                  <w:rPr>
                    <w:rFonts w:ascii="Times New Roman" w:eastAsia="Times New Roman" w:hAnsi="Times New Roman"/>
                    <w:b/>
                    <w:bCs/>
                    <w:color w:val="000000"/>
                    <w:sz w:val="14"/>
                    <w:szCs w:val="14"/>
                    <w:lang w:eastAsia="es-CO"/>
                  </w:rPr>
                </w:pPr>
                <w:r w:rsidRPr="00316062">
                  <w:rPr>
                    <w:rFonts w:ascii="Times New Roman" w:eastAsia="Times New Roman" w:hAnsi="Times New Roman"/>
                    <w:b/>
                    <w:bCs/>
                    <w:color w:val="000000"/>
                    <w:sz w:val="14"/>
                    <w:szCs w:val="14"/>
                    <w:lang w:eastAsia="es-CO"/>
                  </w:rPr>
                  <w:t xml:space="preserve">&gt; 1 AÑO Y HASTA 3 AÑOS </w:t>
                </w:r>
              </w:p>
            </w:tc>
            <w:tc>
              <w:tcPr>
                <w:tcW w:w="857" w:type="dxa"/>
                <w:shd w:val="clear" w:color="auto" w:fill="auto"/>
                <w:textDirection w:val="btLr"/>
                <w:vAlign w:val="center"/>
                <w:hideMark/>
              </w:tcPr>
              <w:p w14:paraId="36D7C8EA" w14:textId="77777777" w:rsidR="00316062" w:rsidRPr="00316062" w:rsidRDefault="00316062" w:rsidP="00F8312B">
                <w:pPr>
                  <w:spacing w:after="0" w:line="240" w:lineRule="auto"/>
                  <w:ind w:left="113" w:right="113"/>
                  <w:jc w:val="center"/>
                  <w:rPr>
                    <w:rFonts w:ascii="Times New Roman" w:eastAsia="Times New Roman" w:hAnsi="Times New Roman"/>
                    <w:b/>
                    <w:bCs/>
                    <w:color w:val="000000"/>
                    <w:sz w:val="14"/>
                    <w:szCs w:val="14"/>
                    <w:lang w:eastAsia="es-CO"/>
                  </w:rPr>
                </w:pPr>
                <w:r w:rsidRPr="00316062">
                  <w:rPr>
                    <w:rFonts w:ascii="Times New Roman" w:eastAsia="Times New Roman" w:hAnsi="Times New Roman"/>
                    <w:b/>
                    <w:bCs/>
                    <w:color w:val="000000"/>
                    <w:sz w:val="14"/>
                    <w:szCs w:val="14"/>
                    <w:lang w:eastAsia="es-CO"/>
                  </w:rPr>
                  <w:t xml:space="preserve">&gt; 3 AÑOS </w:t>
                </w:r>
              </w:p>
            </w:tc>
          </w:tr>
          <w:tr w:rsidR="00316062" w:rsidRPr="00316062" w14:paraId="166A5F69" w14:textId="77777777" w:rsidTr="00F8312B">
            <w:trPr>
              <w:trHeight w:val="315"/>
            </w:trPr>
            <w:tc>
              <w:tcPr>
                <w:tcW w:w="1271" w:type="dxa"/>
                <w:vMerge w:val="restart"/>
                <w:shd w:val="clear" w:color="auto" w:fill="auto"/>
                <w:noWrap/>
                <w:vAlign w:val="center"/>
                <w:hideMark/>
              </w:tcPr>
              <w:p w14:paraId="49D865C1" w14:textId="77777777" w:rsidR="00C60121" w:rsidRPr="00316062" w:rsidRDefault="00316062" w:rsidP="00316062">
                <w:pPr>
                  <w:spacing w:after="0" w:line="240" w:lineRule="auto"/>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xml:space="preserve">Pago por cuenta de terceros </w:t>
                </w:r>
              </w:p>
              <w:p w14:paraId="0DC474DC" w14:textId="77777777" w:rsidR="00C60121" w:rsidRPr="00316062" w:rsidRDefault="00C60121" w:rsidP="00316062">
                <w:pPr>
                  <w:spacing w:after="0" w:line="240" w:lineRule="auto"/>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w:t>
                </w:r>
              </w:p>
              <w:p w14:paraId="44C3C3EF" w14:textId="77777777" w:rsidR="00C60121" w:rsidRPr="00316062" w:rsidRDefault="00C60121" w:rsidP="00316062">
                <w:pPr>
                  <w:spacing w:after="0" w:line="240" w:lineRule="auto"/>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w:t>
                </w:r>
              </w:p>
              <w:p w14:paraId="2E991E2D" w14:textId="25408184" w:rsidR="00316062" w:rsidRPr="00316062" w:rsidRDefault="00C60121" w:rsidP="00316062">
                <w:pPr>
                  <w:spacing w:after="0" w:line="240" w:lineRule="auto"/>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w:t>
                </w:r>
              </w:p>
            </w:tc>
            <w:tc>
              <w:tcPr>
                <w:tcW w:w="958" w:type="dxa"/>
                <w:shd w:val="clear" w:color="auto" w:fill="auto"/>
                <w:noWrap/>
                <w:vAlign w:val="center"/>
                <w:hideMark/>
              </w:tcPr>
              <w:p w14:paraId="43278049" w14:textId="77777777" w:rsidR="00316062" w:rsidRPr="00316062" w:rsidRDefault="00316062" w:rsidP="00316062">
                <w:pPr>
                  <w:spacing w:after="0" w:line="240" w:lineRule="auto"/>
                  <w:jc w:val="center"/>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w:t>
                </w:r>
              </w:p>
            </w:tc>
            <w:tc>
              <w:tcPr>
                <w:tcW w:w="2625" w:type="dxa"/>
                <w:shd w:val="clear" w:color="auto" w:fill="auto"/>
                <w:noWrap/>
                <w:vAlign w:val="center"/>
                <w:hideMark/>
              </w:tcPr>
              <w:p w14:paraId="5D71457D" w14:textId="77777777" w:rsidR="00316062" w:rsidRPr="00316062" w:rsidRDefault="00316062" w:rsidP="00316062">
                <w:pPr>
                  <w:spacing w:after="0" w:line="240" w:lineRule="auto"/>
                  <w:rPr>
                    <w:rFonts w:ascii="Times New Roman" w:eastAsia="Times New Roman" w:hAnsi="Times New Roman"/>
                    <w:b/>
                    <w:bCs/>
                    <w:color w:val="000000"/>
                    <w:sz w:val="14"/>
                    <w:szCs w:val="14"/>
                    <w:lang w:eastAsia="es-CO"/>
                  </w:rPr>
                </w:pPr>
                <w:r w:rsidRPr="00316062">
                  <w:rPr>
                    <w:rFonts w:ascii="Times New Roman" w:eastAsia="Times New Roman" w:hAnsi="Times New Roman"/>
                    <w:b/>
                    <w:bCs/>
                    <w:color w:val="000000"/>
                    <w:sz w:val="14"/>
                    <w:szCs w:val="14"/>
                    <w:lang w:eastAsia="es-CO"/>
                  </w:rPr>
                  <w:t>Entidad Promotora De Salud Sanitas S A S</w:t>
                </w:r>
              </w:p>
            </w:tc>
            <w:tc>
              <w:tcPr>
                <w:tcW w:w="1169" w:type="dxa"/>
                <w:shd w:val="clear" w:color="auto" w:fill="auto"/>
                <w:noWrap/>
                <w:vAlign w:val="center"/>
                <w:hideMark/>
              </w:tcPr>
              <w:p w14:paraId="5D83A580" w14:textId="098B34AA" w:rsidR="00316062" w:rsidRPr="00316062" w:rsidRDefault="00316062" w:rsidP="00F8312B">
                <w:pPr>
                  <w:spacing w:after="0" w:line="240" w:lineRule="auto"/>
                  <w:jc w:val="right"/>
                  <w:rPr>
                    <w:rFonts w:ascii="Times New Roman" w:eastAsia="Times New Roman" w:hAnsi="Times New Roman"/>
                    <w:b/>
                    <w:bCs/>
                    <w:color w:val="000000"/>
                    <w:sz w:val="14"/>
                    <w:szCs w:val="14"/>
                    <w:lang w:eastAsia="es-CO"/>
                  </w:rPr>
                </w:pPr>
                <w:r w:rsidRPr="00316062">
                  <w:rPr>
                    <w:rFonts w:ascii="Times New Roman" w:eastAsia="Times New Roman" w:hAnsi="Times New Roman"/>
                    <w:b/>
                    <w:bCs/>
                    <w:color w:val="000000"/>
                    <w:sz w:val="14"/>
                    <w:szCs w:val="14"/>
                    <w:lang w:eastAsia="es-CO"/>
                  </w:rPr>
                  <w:t xml:space="preserve">49.319.635 </w:t>
                </w:r>
              </w:p>
            </w:tc>
            <w:tc>
              <w:tcPr>
                <w:tcW w:w="1138" w:type="dxa"/>
                <w:shd w:val="clear" w:color="auto" w:fill="auto"/>
                <w:noWrap/>
                <w:vAlign w:val="center"/>
                <w:hideMark/>
              </w:tcPr>
              <w:p w14:paraId="1E70F838" w14:textId="77777777" w:rsidR="00316062" w:rsidRPr="00316062" w:rsidRDefault="00316062" w:rsidP="00316062">
                <w:pPr>
                  <w:spacing w:after="0" w:line="240" w:lineRule="auto"/>
                  <w:jc w:val="right"/>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w:t>
                </w:r>
              </w:p>
            </w:tc>
            <w:tc>
              <w:tcPr>
                <w:tcW w:w="951" w:type="dxa"/>
                <w:shd w:val="clear" w:color="auto" w:fill="auto"/>
                <w:noWrap/>
                <w:vAlign w:val="center"/>
              </w:tcPr>
              <w:p w14:paraId="6EEF3237" w14:textId="7A861405" w:rsidR="00316062" w:rsidRPr="00316062" w:rsidRDefault="00316062" w:rsidP="00316062">
                <w:pPr>
                  <w:spacing w:after="0" w:line="240" w:lineRule="auto"/>
                  <w:jc w:val="right"/>
                  <w:rPr>
                    <w:rFonts w:ascii="Times New Roman" w:eastAsia="Times New Roman" w:hAnsi="Times New Roman"/>
                    <w:color w:val="000000"/>
                    <w:sz w:val="14"/>
                    <w:szCs w:val="14"/>
                    <w:lang w:eastAsia="es-CO"/>
                  </w:rPr>
                </w:pPr>
              </w:p>
            </w:tc>
            <w:tc>
              <w:tcPr>
                <w:tcW w:w="857" w:type="dxa"/>
                <w:shd w:val="clear" w:color="auto" w:fill="auto"/>
                <w:noWrap/>
                <w:vAlign w:val="center"/>
                <w:hideMark/>
              </w:tcPr>
              <w:p w14:paraId="696658D2" w14:textId="2F6C92B2" w:rsidR="00316062" w:rsidRPr="00316062" w:rsidRDefault="00C60121" w:rsidP="00316062">
                <w:pPr>
                  <w:spacing w:after="0" w:line="240" w:lineRule="auto"/>
                  <w:jc w:val="right"/>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xml:space="preserve">  </w:t>
                </w:r>
              </w:p>
            </w:tc>
          </w:tr>
          <w:tr w:rsidR="00316062" w:rsidRPr="00316062" w14:paraId="5D83FD8B" w14:textId="77777777" w:rsidTr="00F8312B">
            <w:trPr>
              <w:trHeight w:val="315"/>
            </w:trPr>
            <w:tc>
              <w:tcPr>
                <w:tcW w:w="1271" w:type="dxa"/>
                <w:vMerge/>
                <w:shd w:val="clear" w:color="auto" w:fill="auto"/>
                <w:noWrap/>
                <w:vAlign w:val="center"/>
                <w:hideMark/>
              </w:tcPr>
              <w:p w14:paraId="09DB00EF" w14:textId="19122ABC" w:rsidR="00316062" w:rsidRPr="00316062" w:rsidRDefault="00316062" w:rsidP="00316062">
                <w:pPr>
                  <w:spacing w:after="0" w:line="240" w:lineRule="auto"/>
                  <w:rPr>
                    <w:rFonts w:ascii="Times New Roman" w:eastAsia="Times New Roman" w:hAnsi="Times New Roman"/>
                    <w:color w:val="000000"/>
                    <w:sz w:val="14"/>
                    <w:szCs w:val="14"/>
                    <w:lang w:eastAsia="es-CO"/>
                  </w:rPr>
                </w:pPr>
              </w:p>
            </w:tc>
            <w:tc>
              <w:tcPr>
                <w:tcW w:w="958" w:type="dxa"/>
                <w:shd w:val="clear" w:color="auto" w:fill="auto"/>
                <w:noWrap/>
                <w:vAlign w:val="center"/>
                <w:hideMark/>
              </w:tcPr>
              <w:p w14:paraId="31BF96BC" w14:textId="77777777" w:rsidR="00316062" w:rsidRPr="00316062" w:rsidRDefault="00316062" w:rsidP="00316062">
                <w:pPr>
                  <w:spacing w:after="0" w:line="240" w:lineRule="auto"/>
                  <w:jc w:val="center"/>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25/08/2015</w:t>
                </w:r>
              </w:p>
            </w:tc>
            <w:tc>
              <w:tcPr>
                <w:tcW w:w="2625" w:type="dxa"/>
                <w:shd w:val="clear" w:color="auto" w:fill="auto"/>
                <w:noWrap/>
                <w:vAlign w:val="center"/>
                <w:hideMark/>
              </w:tcPr>
              <w:p w14:paraId="1E066FD5" w14:textId="4164CE70" w:rsidR="00316062" w:rsidRPr="00316062" w:rsidRDefault="00785DD9" w:rsidP="00316062">
                <w:pPr>
                  <w:spacing w:after="0" w:line="240" w:lineRule="auto"/>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Erika Patricia Dulcey</w:t>
                </w:r>
              </w:p>
            </w:tc>
            <w:tc>
              <w:tcPr>
                <w:tcW w:w="1169" w:type="dxa"/>
                <w:shd w:val="clear" w:color="auto" w:fill="auto"/>
                <w:noWrap/>
                <w:vAlign w:val="center"/>
                <w:hideMark/>
              </w:tcPr>
              <w:p w14:paraId="77FD076E" w14:textId="3C702251" w:rsidR="00316062" w:rsidRPr="00316062" w:rsidRDefault="00316062" w:rsidP="00316062">
                <w:pPr>
                  <w:spacing w:after="0" w:line="240" w:lineRule="auto"/>
                  <w:jc w:val="right"/>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xml:space="preserve">28.405.900 </w:t>
                </w:r>
              </w:p>
            </w:tc>
            <w:tc>
              <w:tcPr>
                <w:tcW w:w="1138" w:type="dxa"/>
                <w:shd w:val="clear" w:color="auto" w:fill="auto"/>
                <w:noWrap/>
                <w:vAlign w:val="center"/>
                <w:hideMark/>
              </w:tcPr>
              <w:p w14:paraId="41130AFC" w14:textId="77777777" w:rsidR="00316062" w:rsidRPr="00316062" w:rsidRDefault="00316062" w:rsidP="00316062">
                <w:pPr>
                  <w:spacing w:after="0" w:line="240" w:lineRule="auto"/>
                  <w:jc w:val="right"/>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w:t>
                </w:r>
              </w:p>
            </w:tc>
            <w:tc>
              <w:tcPr>
                <w:tcW w:w="951" w:type="dxa"/>
                <w:shd w:val="clear" w:color="auto" w:fill="auto"/>
                <w:noWrap/>
                <w:vAlign w:val="center"/>
              </w:tcPr>
              <w:p w14:paraId="1299417D" w14:textId="04BB006D" w:rsidR="00316062" w:rsidRPr="00316062" w:rsidRDefault="00316062" w:rsidP="00316062">
                <w:pPr>
                  <w:spacing w:after="0" w:line="240" w:lineRule="auto"/>
                  <w:jc w:val="right"/>
                  <w:rPr>
                    <w:rFonts w:ascii="Times New Roman" w:eastAsia="Times New Roman" w:hAnsi="Times New Roman"/>
                    <w:color w:val="000000"/>
                    <w:sz w:val="14"/>
                    <w:szCs w:val="14"/>
                    <w:lang w:eastAsia="es-CO"/>
                  </w:rPr>
                </w:pPr>
              </w:p>
            </w:tc>
            <w:tc>
              <w:tcPr>
                <w:tcW w:w="857" w:type="dxa"/>
                <w:shd w:val="clear" w:color="auto" w:fill="auto"/>
                <w:noWrap/>
                <w:vAlign w:val="center"/>
                <w:hideMark/>
              </w:tcPr>
              <w:p w14:paraId="1C720705" w14:textId="285C05E3" w:rsidR="00316062" w:rsidRPr="00316062" w:rsidRDefault="00C60121" w:rsidP="00316062">
                <w:pPr>
                  <w:spacing w:after="0" w:line="240" w:lineRule="auto"/>
                  <w:jc w:val="right"/>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xml:space="preserve"> 28.406 </w:t>
                </w:r>
              </w:p>
            </w:tc>
          </w:tr>
          <w:tr w:rsidR="00316062" w:rsidRPr="00316062" w14:paraId="2611DF7D" w14:textId="77777777" w:rsidTr="00F8312B">
            <w:trPr>
              <w:trHeight w:val="315"/>
            </w:trPr>
            <w:tc>
              <w:tcPr>
                <w:tcW w:w="1271" w:type="dxa"/>
                <w:vMerge/>
                <w:shd w:val="clear" w:color="auto" w:fill="auto"/>
                <w:noWrap/>
                <w:vAlign w:val="center"/>
                <w:hideMark/>
              </w:tcPr>
              <w:p w14:paraId="2BA29636" w14:textId="70A87A7F" w:rsidR="00316062" w:rsidRPr="00316062" w:rsidRDefault="00316062" w:rsidP="00316062">
                <w:pPr>
                  <w:spacing w:after="0" w:line="240" w:lineRule="auto"/>
                  <w:rPr>
                    <w:rFonts w:ascii="Times New Roman" w:eastAsia="Times New Roman" w:hAnsi="Times New Roman"/>
                    <w:color w:val="000000"/>
                    <w:sz w:val="14"/>
                    <w:szCs w:val="14"/>
                    <w:lang w:eastAsia="es-CO"/>
                  </w:rPr>
                </w:pPr>
              </w:p>
            </w:tc>
            <w:tc>
              <w:tcPr>
                <w:tcW w:w="958" w:type="dxa"/>
                <w:shd w:val="clear" w:color="auto" w:fill="auto"/>
                <w:noWrap/>
                <w:vAlign w:val="center"/>
                <w:hideMark/>
              </w:tcPr>
              <w:p w14:paraId="176971DB" w14:textId="77777777" w:rsidR="00316062" w:rsidRPr="00316062" w:rsidRDefault="00316062" w:rsidP="00316062">
                <w:pPr>
                  <w:spacing w:after="0" w:line="240" w:lineRule="auto"/>
                  <w:jc w:val="center"/>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21/03/2023</w:t>
                </w:r>
              </w:p>
            </w:tc>
            <w:tc>
              <w:tcPr>
                <w:tcW w:w="2625" w:type="dxa"/>
                <w:shd w:val="clear" w:color="auto" w:fill="auto"/>
                <w:noWrap/>
                <w:vAlign w:val="center"/>
                <w:hideMark/>
              </w:tcPr>
              <w:p w14:paraId="4341A90A" w14:textId="1F1D4FE1" w:rsidR="00316062" w:rsidRPr="00316062" w:rsidRDefault="00785DD9" w:rsidP="00316062">
                <w:pPr>
                  <w:spacing w:after="0" w:line="240" w:lineRule="auto"/>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Mahecha Galindo Ingrid Natalia</w:t>
                </w:r>
              </w:p>
            </w:tc>
            <w:tc>
              <w:tcPr>
                <w:tcW w:w="1169" w:type="dxa"/>
                <w:shd w:val="clear" w:color="auto" w:fill="auto"/>
                <w:noWrap/>
                <w:vAlign w:val="center"/>
                <w:hideMark/>
              </w:tcPr>
              <w:p w14:paraId="48FEAD3D" w14:textId="34E15EFC" w:rsidR="00316062" w:rsidRPr="00316062" w:rsidRDefault="00316062" w:rsidP="00316062">
                <w:pPr>
                  <w:spacing w:after="0" w:line="240" w:lineRule="auto"/>
                  <w:jc w:val="right"/>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xml:space="preserve">1.095.677 </w:t>
                </w:r>
              </w:p>
            </w:tc>
            <w:tc>
              <w:tcPr>
                <w:tcW w:w="1138" w:type="dxa"/>
                <w:shd w:val="clear" w:color="auto" w:fill="auto"/>
                <w:noWrap/>
                <w:vAlign w:val="center"/>
                <w:hideMark/>
              </w:tcPr>
              <w:p w14:paraId="6D48D75F" w14:textId="5ECF825C" w:rsidR="00316062" w:rsidRPr="00316062" w:rsidRDefault="00316062" w:rsidP="00316062">
                <w:pPr>
                  <w:spacing w:after="0" w:line="240" w:lineRule="auto"/>
                  <w:jc w:val="right"/>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xml:space="preserve">1.095.677 </w:t>
                </w:r>
              </w:p>
            </w:tc>
            <w:tc>
              <w:tcPr>
                <w:tcW w:w="951" w:type="dxa"/>
                <w:shd w:val="clear" w:color="auto" w:fill="auto"/>
                <w:noWrap/>
                <w:vAlign w:val="center"/>
              </w:tcPr>
              <w:p w14:paraId="1E7B4C07" w14:textId="150C0BC6" w:rsidR="00316062" w:rsidRPr="00316062" w:rsidRDefault="00316062" w:rsidP="00316062">
                <w:pPr>
                  <w:spacing w:after="0" w:line="240" w:lineRule="auto"/>
                  <w:jc w:val="right"/>
                  <w:rPr>
                    <w:rFonts w:ascii="Times New Roman" w:eastAsia="Times New Roman" w:hAnsi="Times New Roman"/>
                    <w:color w:val="000000"/>
                    <w:sz w:val="14"/>
                    <w:szCs w:val="14"/>
                    <w:lang w:eastAsia="es-CO"/>
                  </w:rPr>
                </w:pPr>
              </w:p>
            </w:tc>
            <w:tc>
              <w:tcPr>
                <w:tcW w:w="857" w:type="dxa"/>
                <w:shd w:val="clear" w:color="auto" w:fill="auto"/>
                <w:noWrap/>
                <w:vAlign w:val="center"/>
                <w:hideMark/>
              </w:tcPr>
              <w:p w14:paraId="7B206D66" w14:textId="77777777" w:rsidR="00316062" w:rsidRPr="00316062" w:rsidRDefault="00316062" w:rsidP="00316062">
                <w:pPr>
                  <w:spacing w:after="0" w:line="240" w:lineRule="auto"/>
                  <w:jc w:val="right"/>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w:t>
                </w:r>
              </w:p>
            </w:tc>
          </w:tr>
          <w:tr w:rsidR="00316062" w:rsidRPr="00316062" w14:paraId="2DD5E343" w14:textId="77777777" w:rsidTr="00F8312B">
            <w:trPr>
              <w:trHeight w:val="315"/>
            </w:trPr>
            <w:tc>
              <w:tcPr>
                <w:tcW w:w="1271" w:type="dxa"/>
                <w:vMerge/>
                <w:shd w:val="clear" w:color="auto" w:fill="auto"/>
                <w:noWrap/>
                <w:vAlign w:val="center"/>
                <w:hideMark/>
              </w:tcPr>
              <w:p w14:paraId="16B77496" w14:textId="5DF3DF90" w:rsidR="00316062" w:rsidRPr="00316062" w:rsidRDefault="00316062" w:rsidP="00316062">
                <w:pPr>
                  <w:spacing w:after="0" w:line="240" w:lineRule="auto"/>
                  <w:rPr>
                    <w:rFonts w:ascii="Times New Roman" w:eastAsia="Times New Roman" w:hAnsi="Times New Roman"/>
                    <w:color w:val="000000"/>
                    <w:sz w:val="14"/>
                    <w:szCs w:val="14"/>
                    <w:lang w:eastAsia="es-CO"/>
                  </w:rPr>
                </w:pPr>
              </w:p>
            </w:tc>
            <w:tc>
              <w:tcPr>
                <w:tcW w:w="958" w:type="dxa"/>
                <w:shd w:val="clear" w:color="auto" w:fill="auto"/>
                <w:noWrap/>
                <w:vAlign w:val="center"/>
                <w:hideMark/>
              </w:tcPr>
              <w:p w14:paraId="17005E7C" w14:textId="77777777" w:rsidR="00316062" w:rsidRPr="00316062" w:rsidRDefault="00316062" w:rsidP="00316062">
                <w:pPr>
                  <w:spacing w:after="0" w:line="240" w:lineRule="auto"/>
                  <w:jc w:val="center"/>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19/12/2023</w:t>
                </w:r>
              </w:p>
            </w:tc>
            <w:tc>
              <w:tcPr>
                <w:tcW w:w="2625" w:type="dxa"/>
                <w:shd w:val="clear" w:color="auto" w:fill="auto"/>
                <w:noWrap/>
                <w:vAlign w:val="center"/>
                <w:hideMark/>
              </w:tcPr>
              <w:p w14:paraId="0435732C" w14:textId="64E16AD8" w:rsidR="00316062" w:rsidRPr="00316062" w:rsidRDefault="00785DD9" w:rsidP="00316062">
                <w:pPr>
                  <w:spacing w:after="0" w:line="240" w:lineRule="auto"/>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Sandra Maria Santos Andrade</w:t>
                </w:r>
              </w:p>
            </w:tc>
            <w:tc>
              <w:tcPr>
                <w:tcW w:w="1169" w:type="dxa"/>
                <w:shd w:val="clear" w:color="auto" w:fill="auto"/>
                <w:noWrap/>
                <w:vAlign w:val="center"/>
                <w:hideMark/>
              </w:tcPr>
              <w:p w14:paraId="11901456" w14:textId="4505B00E" w:rsidR="00316062" w:rsidRPr="00316062" w:rsidRDefault="00316062" w:rsidP="00316062">
                <w:pPr>
                  <w:spacing w:after="0" w:line="240" w:lineRule="auto"/>
                  <w:jc w:val="right"/>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xml:space="preserve">19.818.057 </w:t>
                </w:r>
              </w:p>
            </w:tc>
            <w:tc>
              <w:tcPr>
                <w:tcW w:w="1138" w:type="dxa"/>
                <w:shd w:val="clear" w:color="auto" w:fill="auto"/>
                <w:noWrap/>
                <w:vAlign w:val="center"/>
                <w:hideMark/>
              </w:tcPr>
              <w:p w14:paraId="5F68E74E" w14:textId="5865AEF0" w:rsidR="00316062" w:rsidRPr="00316062" w:rsidRDefault="00316062" w:rsidP="00316062">
                <w:pPr>
                  <w:spacing w:after="0" w:line="240" w:lineRule="auto"/>
                  <w:jc w:val="right"/>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xml:space="preserve"> 19.818.057 </w:t>
                </w:r>
              </w:p>
            </w:tc>
            <w:tc>
              <w:tcPr>
                <w:tcW w:w="951" w:type="dxa"/>
                <w:shd w:val="clear" w:color="auto" w:fill="auto"/>
                <w:noWrap/>
                <w:vAlign w:val="center"/>
              </w:tcPr>
              <w:p w14:paraId="567E80CA" w14:textId="0A2C6AEC" w:rsidR="00316062" w:rsidRPr="00316062" w:rsidRDefault="00316062" w:rsidP="00316062">
                <w:pPr>
                  <w:spacing w:after="0" w:line="240" w:lineRule="auto"/>
                  <w:jc w:val="right"/>
                  <w:rPr>
                    <w:rFonts w:ascii="Times New Roman" w:eastAsia="Times New Roman" w:hAnsi="Times New Roman"/>
                    <w:color w:val="000000"/>
                    <w:sz w:val="14"/>
                    <w:szCs w:val="14"/>
                    <w:lang w:eastAsia="es-CO"/>
                  </w:rPr>
                </w:pPr>
              </w:p>
            </w:tc>
            <w:tc>
              <w:tcPr>
                <w:tcW w:w="857" w:type="dxa"/>
                <w:shd w:val="clear" w:color="auto" w:fill="auto"/>
                <w:noWrap/>
                <w:vAlign w:val="center"/>
                <w:hideMark/>
              </w:tcPr>
              <w:p w14:paraId="4E1F9CF9" w14:textId="77777777" w:rsidR="00316062" w:rsidRPr="00316062" w:rsidRDefault="00316062" w:rsidP="00316062">
                <w:pPr>
                  <w:spacing w:after="0" w:line="240" w:lineRule="auto"/>
                  <w:jc w:val="right"/>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w:t>
                </w:r>
              </w:p>
            </w:tc>
          </w:tr>
          <w:tr w:rsidR="00316062" w:rsidRPr="00316062" w14:paraId="1154F04A" w14:textId="77777777" w:rsidTr="00F8312B">
            <w:trPr>
              <w:trHeight w:val="315"/>
            </w:trPr>
            <w:tc>
              <w:tcPr>
                <w:tcW w:w="1271" w:type="dxa"/>
                <w:vMerge w:val="restart"/>
                <w:shd w:val="clear" w:color="auto" w:fill="auto"/>
                <w:noWrap/>
                <w:vAlign w:val="center"/>
                <w:hideMark/>
              </w:tcPr>
              <w:p w14:paraId="4F2C3343" w14:textId="77777777" w:rsidR="00C60121" w:rsidRPr="00316062" w:rsidRDefault="00316062" w:rsidP="00316062">
                <w:pPr>
                  <w:spacing w:after="0" w:line="240" w:lineRule="auto"/>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xml:space="preserve">Pago por cuenta de terceros </w:t>
                </w:r>
              </w:p>
              <w:p w14:paraId="017C3CE9" w14:textId="6DB77571" w:rsidR="00316062" w:rsidRPr="00316062" w:rsidRDefault="00C60121" w:rsidP="00316062">
                <w:pPr>
                  <w:spacing w:after="0" w:line="240" w:lineRule="auto"/>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w:t>
                </w:r>
              </w:p>
            </w:tc>
            <w:tc>
              <w:tcPr>
                <w:tcW w:w="958" w:type="dxa"/>
                <w:shd w:val="clear" w:color="auto" w:fill="auto"/>
                <w:noWrap/>
                <w:vAlign w:val="center"/>
                <w:hideMark/>
              </w:tcPr>
              <w:p w14:paraId="163979A2" w14:textId="77777777" w:rsidR="00316062" w:rsidRPr="00316062" w:rsidRDefault="00316062" w:rsidP="00316062">
                <w:pPr>
                  <w:spacing w:after="0" w:line="240" w:lineRule="auto"/>
                  <w:jc w:val="center"/>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w:t>
                </w:r>
              </w:p>
            </w:tc>
            <w:tc>
              <w:tcPr>
                <w:tcW w:w="2625" w:type="dxa"/>
                <w:shd w:val="clear" w:color="auto" w:fill="auto"/>
                <w:noWrap/>
                <w:vAlign w:val="center"/>
                <w:hideMark/>
              </w:tcPr>
              <w:p w14:paraId="35FBFE2A" w14:textId="77777777" w:rsidR="00316062" w:rsidRPr="00316062" w:rsidRDefault="00316062" w:rsidP="00316062">
                <w:pPr>
                  <w:spacing w:after="0" w:line="240" w:lineRule="auto"/>
                  <w:rPr>
                    <w:rFonts w:ascii="Times New Roman" w:eastAsia="Times New Roman" w:hAnsi="Times New Roman"/>
                    <w:b/>
                    <w:bCs/>
                    <w:color w:val="000000"/>
                    <w:sz w:val="14"/>
                    <w:szCs w:val="14"/>
                    <w:lang w:eastAsia="es-CO"/>
                  </w:rPr>
                </w:pPr>
                <w:r w:rsidRPr="00316062">
                  <w:rPr>
                    <w:rFonts w:ascii="Times New Roman" w:eastAsia="Times New Roman" w:hAnsi="Times New Roman"/>
                    <w:b/>
                    <w:bCs/>
                    <w:color w:val="000000"/>
                    <w:sz w:val="14"/>
                    <w:szCs w:val="14"/>
                    <w:lang w:eastAsia="es-CO"/>
                  </w:rPr>
                  <w:t xml:space="preserve">Entidad Promotora De Salud Famisanar S A S </w:t>
                </w:r>
              </w:p>
            </w:tc>
            <w:tc>
              <w:tcPr>
                <w:tcW w:w="1169" w:type="dxa"/>
                <w:shd w:val="clear" w:color="auto" w:fill="auto"/>
                <w:noWrap/>
                <w:vAlign w:val="center"/>
                <w:hideMark/>
              </w:tcPr>
              <w:p w14:paraId="1F526D16" w14:textId="063FE002" w:rsidR="00316062" w:rsidRPr="00316062" w:rsidRDefault="00316062" w:rsidP="00F8312B">
                <w:pPr>
                  <w:spacing w:after="0" w:line="240" w:lineRule="auto"/>
                  <w:jc w:val="right"/>
                  <w:rPr>
                    <w:rFonts w:ascii="Times New Roman" w:eastAsia="Times New Roman" w:hAnsi="Times New Roman"/>
                    <w:b/>
                    <w:bCs/>
                    <w:color w:val="000000"/>
                    <w:sz w:val="14"/>
                    <w:szCs w:val="14"/>
                    <w:lang w:eastAsia="es-CO"/>
                  </w:rPr>
                </w:pPr>
                <w:r w:rsidRPr="00316062">
                  <w:rPr>
                    <w:rFonts w:ascii="Times New Roman" w:eastAsia="Times New Roman" w:hAnsi="Times New Roman"/>
                    <w:b/>
                    <w:bCs/>
                    <w:color w:val="000000"/>
                    <w:sz w:val="14"/>
                    <w:szCs w:val="14"/>
                    <w:lang w:eastAsia="es-CO"/>
                  </w:rPr>
                  <w:t xml:space="preserve">788.911 </w:t>
                </w:r>
              </w:p>
            </w:tc>
            <w:tc>
              <w:tcPr>
                <w:tcW w:w="1138" w:type="dxa"/>
                <w:shd w:val="clear" w:color="auto" w:fill="auto"/>
                <w:noWrap/>
                <w:vAlign w:val="center"/>
                <w:hideMark/>
              </w:tcPr>
              <w:p w14:paraId="382F9C4A" w14:textId="77777777" w:rsidR="00316062" w:rsidRPr="00316062" w:rsidRDefault="00316062" w:rsidP="00316062">
                <w:pPr>
                  <w:spacing w:after="0" w:line="240" w:lineRule="auto"/>
                  <w:jc w:val="right"/>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w:t>
                </w:r>
              </w:p>
            </w:tc>
            <w:tc>
              <w:tcPr>
                <w:tcW w:w="951" w:type="dxa"/>
                <w:shd w:val="clear" w:color="auto" w:fill="auto"/>
                <w:noWrap/>
                <w:vAlign w:val="center"/>
              </w:tcPr>
              <w:p w14:paraId="158B9EAC" w14:textId="650E97DB" w:rsidR="00316062" w:rsidRPr="00316062" w:rsidRDefault="00316062" w:rsidP="00316062">
                <w:pPr>
                  <w:spacing w:after="0" w:line="240" w:lineRule="auto"/>
                  <w:jc w:val="right"/>
                  <w:rPr>
                    <w:rFonts w:ascii="Times New Roman" w:eastAsia="Times New Roman" w:hAnsi="Times New Roman"/>
                    <w:color w:val="000000"/>
                    <w:sz w:val="14"/>
                    <w:szCs w:val="14"/>
                    <w:lang w:eastAsia="es-CO"/>
                  </w:rPr>
                </w:pPr>
              </w:p>
            </w:tc>
            <w:tc>
              <w:tcPr>
                <w:tcW w:w="857" w:type="dxa"/>
                <w:shd w:val="clear" w:color="auto" w:fill="auto"/>
                <w:noWrap/>
                <w:vAlign w:val="center"/>
              </w:tcPr>
              <w:p w14:paraId="2852F385" w14:textId="3510903C" w:rsidR="00316062" w:rsidRPr="00316062" w:rsidRDefault="00316062" w:rsidP="00316062">
                <w:pPr>
                  <w:spacing w:after="0" w:line="240" w:lineRule="auto"/>
                  <w:jc w:val="right"/>
                  <w:rPr>
                    <w:rFonts w:ascii="Times New Roman" w:eastAsia="Times New Roman" w:hAnsi="Times New Roman"/>
                    <w:color w:val="000000"/>
                    <w:sz w:val="14"/>
                    <w:szCs w:val="14"/>
                    <w:lang w:eastAsia="es-CO"/>
                  </w:rPr>
                </w:pPr>
              </w:p>
            </w:tc>
          </w:tr>
          <w:tr w:rsidR="00316062" w:rsidRPr="00316062" w14:paraId="739B7E27" w14:textId="77777777" w:rsidTr="00F8312B">
            <w:trPr>
              <w:trHeight w:val="315"/>
            </w:trPr>
            <w:tc>
              <w:tcPr>
                <w:tcW w:w="1271" w:type="dxa"/>
                <w:vMerge/>
                <w:shd w:val="clear" w:color="auto" w:fill="auto"/>
                <w:noWrap/>
                <w:vAlign w:val="center"/>
                <w:hideMark/>
              </w:tcPr>
              <w:p w14:paraId="0292F87D" w14:textId="170275C2" w:rsidR="00316062" w:rsidRPr="00316062" w:rsidRDefault="00316062" w:rsidP="00316062">
                <w:pPr>
                  <w:spacing w:after="0" w:line="240" w:lineRule="auto"/>
                  <w:rPr>
                    <w:rFonts w:ascii="Times New Roman" w:eastAsia="Times New Roman" w:hAnsi="Times New Roman"/>
                    <w:color w:val="000000"/>
                    <w:sz w:val="14"/>
                    <w:szCs w:val="14"/>
                    <w:lang w:eastAsia="es-CO"/>
                  </w:rPr>
                </w:pPr>
              </w:p>
            </w:tc>
            <w:tc>
              <w:tcPr>
                <w:tcW w:w="958" w:type="dxa"/>
                <w:shd w:val="clear" w:color="auto" w:fill="auto"/>
                <w:noWrap/>
                <w:vAlign w:val="center"/>
                <w:hideMark/>
              </w:tcPr>
              <w:p w14:paraId="5B539053" w14:textId="77777777" w:rsidR="00316062" w:rsidRPr="00316062" w:rsidRDefault="00316062" w:rsidP="00316062">
                <w:pPr>
                  <w:spacing w:after="0" w:line="240" w:lineRule="auto"/>
                  <w:jc w:val="center"/>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18/05/2022</w:t>
                </w:r>
              </w:p>
            </w:tc>
            <w:tc>
              <w:tcPr>
                <w:tcW w:w="2625" w:type="dxa"/>
                <w:shd w:val="clear" w:color="auto" w:fill="auto"/>
                <w:noWrap/>
                <w:vAlign w:val="center"/>
                <w:hideMark/>
              </w:tcPr>
              <w:p w14:paraId="2FD4B3D8" w14:textId="77777777" w:rsidR="00316062" w:rsidRPr="00316062" w:rsidRDefault="00316062" w:rsidP="00316062">
                <w:pPr>
                  <w:spacing w:after="0" w:line="240" w:lineRule="auto"/>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Patiño Chacón Andrea</w:t>
                </w:r>
              </w:p>
            </w:tc>
            <w:tc>
              <w:tcPr>
                <w:tcW w:w="1169" w:type="dxa"/>
                <w:shd w:val="clear" w:color="auto" w:fill="auto"/>
                <w:noWrap/>
                <w:vAlign w:val="center"/>
                <w:hideMark/>
              </w:tcPr>
              <w:p w14:paraId="0E044156" w14:textId="036C9A53" w:rsidR="00316062" w:rsidRPr="00316062" w:rsidRDefault="00C60121" w:rsidP="00316062">
                <w:pPr>
                  <w:spacing w:after="0" w:line="240" w:lineRule="auto"/>
                  <w:jc w:val="right"/>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xml:space="preserve">788.911 </w:t>
                </w:r>
              </w:p>
            </w:tc>
            <w:tc>
              <w:tcPr>
                <w:tcW w:w="1138" w:type="dxa"/>
                <w:shd w:val="clear" w:color="auto" w:fill="auto"/>
                <w:noWrap/>
                <w:vAlign w:val="center"/>
                <w:hideMark/>
              </w:tcPr>
              <w:p w14:paraId="544B27E1" w14:textId="77777777" w:rsidR="00316062" w:rsidRPr="00316062" w:rsidRDefault="00316062" w:rsidP="00316062">
                <w:pPr>
                  <w:spacing w:after="0" w:line="240" w:lineRule="auto"/>
                  <w:jc w:val="right"/>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w:t>
                </w:r>
              </w:p>
            </w:tc>
            <w:tc>
              <w:tcPr>
                <w:tcW w:w="951" w:type="dxa"/>
                <w:shd w:val="clear" w:color="auto" w:fill="auto"/>
                <w:noWrap/>
                <w:vAlign w:val="center"/>
                <w:hideMark/>
              </w:tcPr>
              <w:p w14:paraId="6245BFF3" w14:textId="250ABF5C" w:rsidR="00316062" w:rsidRPr="00316062" w:rsidRDefault="00C60121" w:rsidP="00316062">
                <w:pPr>
                  <w:spacing w:after="0" w:line="240" w:lineRule="auto"/>
                  <w:jc w:val="right"/>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788.911</w:t>
                </w:r>
              </w:p>
            </w:tc>
            <w:tc>
              <w:tcPr>
                <w:tcW w:w="857" w:type="dxa"/>
                <w:shd w:val="clear" w:color="auto" w:fill="auto"/>
                <w:noWrap/>
                <w:vAlign w:val="center"/>
              </w:tcPr>
              <w:p w14:paraId="28E1A59F" w14:textId="577A15BA" w:rsidR="00316062" w:rsidRPr="00316062" w:rsidRDefault="00316062" w:rsidP="00316062">
                <w:pPr>
                  <w:spacing w:after="0" w:line="240" w:lineRule="auto"/>
                  <w:jc w:val="right"/>
                  <w:rPr>
                    <w:rFonts w:ascii="Times New Roman" w:eastAsia="Times New Roman" w:hAnsi="Times New Roman"/>
                    <w:color w:val="000000"/>
                    <w:sz w:val="14"/>
                    <w:szCs w:val="14"/>
                    <w:lang w:eastAsia="es-CO"/>
                  </w:rPr>
                </w:pPr>
              </w:p>
            </w:tc>
          </w:tr>
          <w:tr w:rsidR="00316062" w:rsidRPr="00316062" w14:paraId="003984FA" w14:textId="77777777" w:rsidTr="00F8312B">
            <w:trPr>
              <w:trHeight w:val="315"/>
            </w:trPr>
            <w:tc>
              <w:tcPr>
                <w:tcW w:w="1271" w:type="dxa"/>
                <w:vMerge w:val="restart"/>
                <w:shd w:val="clear" w:color="auto" w:fill="auto"/>
                <w:noWrap/>
                <w:vAlign w:val="center"/>
                <w:hideMark/>
              </w:tcPr>
              <w:p w14:paraId="094551AE" w14:textId="77777777" w:rsidR="00C60121" w:rsidRPr="00316062" w:rsidRDefault="00316062" w:rsidP="00316062">
                <w:pPr>
                  <w:spacing w:after="0" w:line="240" w:lineRule="auto"/>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xml:space="preserve">Pago por cuenta de terceros </w:t>
                </w:r>
              </w:p>
              <w:p w14:paraId="435B3064" w14:textId="77777777" w:rsidR="00C60121" w:rsidRPr="00316062" w:rsidRDefault="00C60121" w:rsidP="00316062">
                <w:pPr>
                  <w:spacing w:after="0" w:line="240" w:lineRule="auto"/>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w:t>
                </w:r>
              </w:p>
              <w:p w14:paraId="2F43A39E" w14:textId="1C5C3E4D" w:rsidR="00316062" w:rsidRPr="00316062" w:rsidRDefault="00C60121" w:rsidP="00316062">
                <w:pPr>
                  <w:spacing w:after="0" w:line="240" w:lineRule="auto"/>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w:t>
                </w:r>
              </w:p>
            </w:tc>
            <w:tc>
              <w:tcPr>
                <w:tcW w:w="958" w:type="dxa"/>
                <w:shd w:val="clear" w:color="auto" w:fill="auto"/>
                <w:noWrap/>
                <w:vAlign w:val="center"/>
                <w:hideMark/>
              </w:tcPr>
              <w:p w14:paraId="50E8AB34" w14:textId="77777777" w:rsidR="00316062" w:rsidRPr="00316062" w:rsidRDefault="00316062" w:rsidP="00316062">
                <w:pPr>
                  <w:spacing w:after="0" w:line="240" w:lineRule="auto"/>
                  <w:jc w:val="center"/>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w:t>
                </w:r>
              </w:p>
            </w:tc>
            <w:tc>
              <w:tcPr>
                <w:tcW w:w="2625" w:type="dxa"/>
                <w:shd w:val="clear" w:color="auto" w:fill="auto"/>
                <w:noWrap/>
                <w:vAlign w:val="center"/>
                <w:hideMark/>
              </w:tcPr>
              <w:p w14:paraId="08FCDCAF" w14:textId="77777777" w:rsidR="00316062" w:rsidRPr="00316062" w:rsidRDefault="00316062" w:rsidP="00316062">
                <w:pPr>
                  <w:spacing w:after="0" w:line="240" w:lineRule="auto"/>
                  <w:rPr>
                    <w:rFonts w:ascii="Times New Roman" w:eastAsia="Times New Roman" w:hAnsi="Times New Roman"/>
                    <w:b/>
                    <w:bCs/>
                    <w:color w:val="000000"/>
                    <w:sz w:val="14"/>
                    <w:szCs w:val="14"/>
                    <w:lang w:eastAsia="es-CO"/>
                  </w:rPr>
                </w:pPr>
                <w:r w:rsidRPr="00316062">
                  <w:rPr>
                    <w:rFonts w:ascii="Times New Roman" w:eastAsia="Times New Roman" w:hAnsi="Times New Roman"/>
                    <w:b/>
                    <w:bCs/>
                    <w:color w:val="000000"/>
                    <w:sz w:val="14"/>
                    <w:szCs w:val="14"/>
                    <w:lang w:eastAsia="es-CO"/>
                  </w:rPr>
                  <w:t>Aliansalud Entidad Promotora De Salud S.A.</w:t>
                </w:r>
              </w:p>
            </w:tc>
            <w:tc>
              <w:tcPr>
                <w:tcW w:w="1169" w:type="dxa"/>
                <w:shd w:val="clear" w:color="auto" w:fill="auto"/>
                <w:noWrap/>
                <w:vAlign w:val="center"/>
                <w:hideMark/>
              </w:tcPr>
              <w:p w14:paraId="67AAE38A" w14:textId="78691DCB" w:rsidR="00316062" w:rsidRPr="00316062" w:rsidRDefault="00316062" w:rsidP="00F8312B">
                <w:pPr>
                  <w:spacing w:after="0" w:line="240" w:lineRule="auto"/>
                  <w:jc w:val="right"/>
                  <w:rPr>
                    <w:rFonts w:ascii="Times New Roman" w:eastAsia="Times New Roman" w:hAnsi="Times New Roman"/>
                    <w:b/>
                    <w:bCs/>
                    <w:color w:val="000000"/>
                    <w:sz w:val="14"/>
                    <w:szCs w:val="14"/>
                    <w:lang w:eastAsia="es-CO"/>
                  </w:rPr>
                </w:pPr>
                <w:r w:rsidRPr="00316062">
                  <w:rPr>
                    <w:rFonts w:ascii="Times New Roman" w:eastAsia="Times New Roman" w:hAnsi="Times New Roman"/>
                    <w:b/>
                    <w:bCs/>
                    <w:color w:val="000000"/>
                    <w:sz w:val="14"/>
                    <w:szCs w:val="14"/>
                    <w:lang w:eastAsia="es-CO"/>
                  </w:rPr>
                  <w:t xml:space="preserve">13.152.275 </w:t>
                </w:r>
              </w:p>
            </w:tc>
            <w:tc>
              <w:tcPr>
                <w:tcW w:w="1138" w:type="dxa"/>
                <w:shd w:val="clear" w:color="auto" w:fill="auto"/>
                <w:noWrap/>
                <w:vAlign w:val="center"/>
                <w:hideMark/>
              </w:tcPr>
              <w:p w14:paraId="21E8074B" w14:textId="77777777" w:rsidR="00316062" w:rsidRPr="00316062" w:rsidRDefault="00316062" w:rsidP="00316062">
                <w:pPr>
                  <w:spacing w:after="0" w:line="240" w:lineRule="auto"/>
                  <w:jc w:val="right"/>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w:t>
                </w:r>
              </w:p>
            </w:tc>
            <w:tc>
              <w:tcPr>
                <w:tcW w:w="951" w:type="dxa"/>
                <w:shd w:val="clear" w:color="auto" w:fill="auto"/>
                <w:noWrap/>
                <w:vAlign w:val="center"/>
              </w:tcPr>
              <w:p w14:paraId="5D6C79C6" w14:textId="7BE48844" w:rsidR="00316062" w:rsidRPr="00316062" w:rsidRDefault="00316062" w:rsidP="00316062">
                <w:pPr>
                  <w:spacing w:after="0" w:line="240" w:lineRule="auto"/>
                  <w:jc w:val="right"/>
                  <w:rPr>
                    <w:rFonts w:ascii="Times New Roman" w:eastAsia="Times New Roman" w:hAnsi="Times New Roman"/>
                    <w:color w:val="000000"/>
                    <w:sz w:val="14"/>
                    <w:szCs w:val="14"/>
                    <w:lang w:eastAsia="es-CO"/>
                  </w:rPr>
                </w:pPr>
              </w:p>
            </w:tc>
            <w:tc>
              <w:tcPr>
                <w:tcW w:w="857" w:type="dxa"/>
                <w:shd w:val="clear" w:color="auto" w:fill="auto"/>
                <w:noWrap/>
                <w:vAlign w:val="center"/>
              </w:tcPr>
              <w:p w14:paraId="25887D3E" w14:textId="01A068CD" w:rsidR="00316062" w:rsidRPr="00316062" w:rsidRDefault="00316062" w:rsidP="00316062">
                <w:pPr>
                  <w:spacing w:after="0" w:line="240" w:lineRule="auto"/>
                  <w:jc w:val="right"/>
                  <w:rPr>
                    <w:rFonts w:ascii="Times New Roman" w:eastAsia="Times New Roman" w:hAnsi="Times New Roman"/>
                    <w:color w:val="000000"/>
                    <w:sz w:val="14"/>
                    <w:szCs w:val="14"/>
                    <w:lang w:eastAsia="es-CO"/>
                  </w:rPr>
                </w:pPr>
              </w:p>
            </w:tc>
          </w:tr>
          <w:tr w:rsidR="00316062" w:rsidRPr="00316062" w14:paraId="2DE5C898" w14:textId="77777777" w:rsidTr="00F8312B">
            <w:trPr>
              <w:trHeight w:val="315"/>
            </w:trPr>
            <w:tc>
              <w:tcPr>
                <w:tcW w:w="1271" w:type="dxa"/>
                <w:vMerge/>
                <w:shd w:val="clear" w:color="auto" w:fill="auto"/>
                <w:noWrap/>
                <w:vAlign w:val="center"/>
                <w:hideMark/>
              </w:tcPr>
              <w:p w14:paraId="39AF08F1" w14:textId="00047E20" w:rsidR="00316062" w:rsidRPr="00316062" w:rsidRDefault="00316062" w:rsidP="00316062">
                <w:pPr>
                  <w:spacing w:after="0" w:line="240" w:lineRule="auto"/>
                  <w:rPr>
                    <w:rFonts w:ascii="Times New Roman" w:eastAsia="Times New Roman" w:hAnsi="Times New Roman"/>
                    <w:color w:val="000000"/>
                    <w:sz w:val="14"/>
                    <w:szCs w:val="14"/>
                    <w:lang w:eastAsia="es-CO"/>
                  </w:rPr>
                </w:pPr>
              </w:p>
            </w:tc>
            <w:tc>
              <w:tcPr>
                <w:tcW w:w="958" w:type="dxa"/>
                <w:shd w:val="clear" w:color="auto" w:fill="auto"/>
                <w:noWrap/>
                <w:vAlign w:val="center"/>
                <w:hideMark/>
              </w:tcPr>
              <w:p w14:paraId="0AF6E025" w14:textId="77777777" w:rsidR="00316062" w:rsidRPr="00316062" w:rsidRDefault="00316062" w:rsidP="00316062">
                <w:pPr>
                  <w:spacing w:after="0" w:line="240" w:lineRule="auto"/>
                  <w:jc w:val="center"/>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29/05/2018</w:t>
                </w:r>
              </w:p>
            </w:tc>
            <w:tc>
              <w:tcPr>
                <w:tcW w:w="2625" w:type="dxa"/>
                <w:shd w:val="clear" w:color="auto" w:fill="auto"/>
                <w:noWrap/>
                <w:vAlign w:val="center"/>
                <w:hideMark/>
              </w:tcPr>
              <w:p w14:paraId="3C019E18" w14:textId="77777777" w:rsidR="00316062" w:rsidRPr="00316062" w:rsidRDefault="00316062" w:rsidP="00316062">
                <w:pPr>
                  <w:spacing w:after="0" w:line="240" w:lineRule="auto"/>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Cesar Augusto Garcia Montoya</w:t>
                </w:r>
              </w:p>
            </w:tc>
            <w:tc>
              <w:tcPr>
                <w:tcW w:w="1169" w:type="dxa"/>
                <w:shd w:val="clear" w:color="auto" w:fill="auto"/>
                <w:noWrap/>
                <w:vAlign w:val="center"/>
                <w:hideMark/>
              </w:tcPr>
              <w:p w14:paraId="251AD078" w14:textId="73A8E510" w:rsidR="00316062" w:rsidRPr="00316062" w:rsidRDefault="00316062" w:rsidP="00316062">
                <w:pPr>
                  <w:spacing w:after="0" w:line="240" w:lineRule="auto"/>
                  <w:jc w:val="right"/>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xml:space="preserve">10.700.659 </w:t>
                </w:r>
              </w:p>
            </w:tc>
            <w:tc>
              <w:tcPr>
                <w:tcW w:w="1138" w:type="dxa"/>
                <w:shd w:val="clear" w:color="auto" w:fill="auto"/>
                <w:noWrap/>
                <w:vAlign w:val="center"/>
                <w:hideMark/>
              </w:tcPr>
              <w:p w14:paraId="10BC4597" w14:textId="77777777" w:rsidR="00316062" w:rsidRPr="00316062" w:rsidRDefault="00316062" w:rsidP="00316062">
                <w:pPr>
                  <w:spacing w:after="0" w:line="240" w:lineRule="auto"/>
                  <w:jc w:val="right"/>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w:t>
                </w:r>
              </w:p>
            </w:tc>
            <w:tc>
              <w:tcPr>
                <w:tcW w:w="951" w:type="dxa"/>
                <w:shd w:val="clear" w:color="auto" w:fill="auto"/>
                <w:noWrap/>
                <w:vAlign w:val="center"/>
              </w:tcPr>
              <w:p w14:paraId="21C67BF6" w14:textId="094CA57F" w:rsidR="00316062" w:rsidRPr="00316062" w:rsidRDefault="00316062" w:rsidP="00316062">
                <w:pPr>
                  <w:spacing w:after="0" w:line="240" w:lineRule="auto"/>
                  <w:jc w:val="right"/>
                  <w:rPr>
                    <w:rFonts w:ascii="Times New Roman" w:eastAsia="Times New Roman" w:hAnsi="Times New Roman"/>
                    <w:color w:val="000000"/>
                    <w:sz w:val="14"/>
                    <w:szCs w:val="14"/>
                    <w:lang w:eastAsia="es-CO"/>
                  </w:rPr>
                </w:pPr>
              </w:p>
            </w:tc>
            <w:tc>
              <w:tcPr>
                <w:tcW w:w="857" w:type="dxa"/>
                <w:shd w:val="clear" w:color="auto" w:fill="auto"/>
                <w:noWrap/>
                <w:vAlign w:val="center"/>
                <w:hideMark/>
              </w:tcPr>
              <w:p w14:paraId="568E587E" w14:textId="6D5AAAA8" w:rsidR="00316062" w:rsidRPr="00316062" w:rsidRDefault="00316062" w:rsidP="00316062">
                <w:pPr>
                  <w:spacing w:after="0" w:line="240" w:lineRule="auto"/>
                  <w:jc w:val="right"/>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xml:space="preserve"> 10.700.659 </w:t>
                </w:r>
              </w:p>
            </w:tc>
          </w:tr>
          <w:tr w:rsidR="00316062" w:rsidRPr="00316062" w14:paraId="353D898E" w14:textId="77777777" w:rsidTr="00F8312B">
            <w:trPr>
              <w:trHeight w:val="315"/>
            </w:trPr>
            <w:tc>
              <w:tcPr>
                <w:tcW w:w="1271" w:type="dxa"/>
                <w:vMerge/>
                <w:shd w:val="clear" w:color="auto" w:fill="auto"/>
                <w:noWrap/>
                <w:vAlign w:val="center"/>
                <w:hideMark/>
              </w:tcPr>
              <w:p w14:paraId="634D3B7E" w14:textId="130EC28C" w:rsidR="00316062" w:rsidRPr="00316062" w:rsidRDefault="00316062" w:rsidP="00316062">
                <w:pPr>
                  <w:spacing w:after="0" w:line="240" w:lineRule="auto"/>
                  <w:rPr>
                    <w:rFonts w:ascii="Times New Roman" w:eastAsia="Times New Roman" w:hAnsi="Times New Roman"/>
                    <w:color w:val="000000"/>
                    <w:sz w:val="14"/>
                    <w:szCs w:val="14"/>
                    <w:lang w:eastAsia="es-CO"/>
                  </w:rPr>
                </w:pPr>
              </w:p>
            </w:tc>
            <w:tc>
              <w:tcPr>
                <w:tcW w:w="958" w:type="dxa"/>
                <w:shd w:val="clear" w:color="auto" w:fill="auto"/>
                <w:noWrap/>
                <w:vAlign w:val="center"/>
                <w:hideMark/>
              </w:tcPr>
              <w:p w14:paraId="24F04D88" w14:textId="77777777" w:rsidR="00316062" w:rsidRPr="00316062" w:rsidRDefault="00316062" w:rsidP="00316062">
                <w:pPr>
                  <w:spacing w:after="0" w:line="240" w:lineRule="auto"/>
                  <w:jc w:val="center"/>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20/11/2023</w:t>
                </w:r>
              </w:p>
            </w:tc>
            <w:tc>
              <w:tcPr>
                <w:tcW w:w="2625" w:type="dxa"/>
                <w:shd w:val="clear" w:color="auto" w:fill="auto"/>
                <w:noWrap/>
                <w:vAlign w:val="center"/>
                <w:hideMark/>
              </w:tcPr>
              <w:p w14:paraId="31DB1E71" w14:textId="698F7DCA" w:rsidR="00316062" w:rsidRPr="009A46BB" w:rsidRDefault="00785DD9" w:rsidP="00316062">
                <w:pPr>
                  <w:spacing w:after="0" w:line="240" w:lineRule="auto"/>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Buelvas Dickson Olga Isabel</w:t>
                </w:r>
              </w:p>
            </w:tc>
            <w:tc>
              <w:tcPr>
                <w:tcW w:w="1169" w:type="dxa"/>
                <w:shd w:val="clear" w:color="auto" w:fill="auto"/>
                <w:noWrap/>
                <w:vAlign w:val="center"/>
                <w:hideMark/>
              </w:tcPr>
              <w:p w14:paraId="3E2BAC31" w14:textId="31687B71" w:rsidR="00316062" w:rsidRPr="00316062" w:rsidRDefault="00316062" w:rsidP="00316062">
                <w:pPr>
                  <w:spacing w:after="0" w:line="240" w:lineRule="auto"/>
                  <w:jc w:val="right"/>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xml:space="preserve">2.451.616 </w:t>
                </w:r>
              </w:p>
            </w:tc>
            <w:tc>
              <w:tcPr>
                <w:tcW w:w="1138" w:type="dxa"/>
                <w:shd w:val="clear" w:color="auto" w:fill="auto"/>
                <w:noWrap/>
                <w:vAlign w:val="center"/>
                <w:hideMark/>
              </w:tcPr>
              <w:p w14:paraId="2C79B728" w14:textId="4FF52572" w:rsidR="00316062" w:rsidRPr="00316062" w:rsidRDefault="00316062" w:rsidP="00316062">
                <w:pPr>
                  <w:spacing w:after="0" w:line="240" w:lineRule="auto"/>
                  <w:jc w:val="right"/>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xml:space="preserve">2.451.616 </w:t>
                </w:r>
              </w:p>
            </w:tc>
            <w:tc>
              <w:tcPr>
                <w:tcW w:w="951" w:type="dxa"/>
                <w:shd w:val="clear" w:color="auto" w:fill="auto"/>
                <w:noWrap/>
                <w:vAlign w:val="center"/>
              </w:tcPr>
              <w:p w14:paraId="54744DD3" w14:textId="5C75B84D" w:rsidR="00316062" w:rsidRPr="00316062" w:rsidRDefault="00316062" w:rsidP="00316062">
                <w:pPr>
                  <w:spacing w:after="0" w:line="240" w:lineRule="auto"/>
                  <w:jc w:val="right"/>
                  <w:rPr>
                    <w:rFonts w:ascii="Times New Roman" w:eastAsia="Times New Roman" w:hAnsi="Times New Roman"/>
                    <w:color w:val="000000"/>
                    <w:sz w:val="14"/>
                    <w:szCs w:val="14"/>
                    <w:lang w:eastAsia="es-CO"/>
                  </w:rPr>
                </w:pPr>
              </w:p>
            </w:tc>
            <w:tc>
              <w:tcPr>
                <w:tcW w:w="857" w:type="dxa"/>
                <w:shd w:val="clear" w:color="auto" w:fill="auto"/>
                <w:noWrap/>
                <w:vAlign w:val="center"/>
                <w:hideMark/>
              </w:tcPr>
              <w:p w14:paraId="0CDA7EC2" w14:textId="77777777" w:rsidR="00316062" w:rsidRPr="00316062" w:rsidRDefault="00316062" w:rsidP="00316062">
                <w:pPr>
                  <w:spacing w:after="0" w:line="240" w:lineRule="auto"/>
                  <w:jc w:val="right"/>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w:t>
                </w:r>
              </w:p>
            </w:tc>
          </w:tr>
          <w:tr w:rsidR="00316062" w:rsidRPr="00316062" w14:paraId="000CEF5A" w14:textId="77777777" w:rsidTr="00F8312B">
            <w:trPr>
              <w:trHeight w:val="315"/>
            </w:trPr>
            <w:tc>
              <w:tcPr>
                <w:tcW w:w="1271" w:type="dxa"/>
                <w:vMerge w:val="restart"/>
                <w:shd w:val="clear" w:color="auto" w:fill="auto"/>
                <w:noWrap/>
                <w:vAlign w:val="center"/>
                <w:hideMark/>
              </w:tcPr>
              <w:p w14:paraId="47321599" w14:textId="77777777" w:rsidR="00C60121" w:rsidRPr="00316062" w:rsidRDefault="00316062" w:rsidP="00316062">
                <w:pPr>
                  <w:spacing w:after="0" w:line="240" w:lineRule="auto"/>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xml:space="preserve">Pago por cuenta de terceros </w:t>
                </w:r>
              </w:p>
              <w:p w14:paraId="677358C2" w14:textId="77777777" w:rsidR="00C60121" w:rsidRPr="00316062" w:rsidRDefault="00C60121" w:rsidP="00316062">
                <w:pPr>
                  <w:spacing w:after="0" w:line="240" w:lineRule="auto"/>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w:t>
                </w:r>
              </w:p>
              <w:p w14:paraId="14D2E574" w14:textId="4F2103EF" w:rsidR="00316062" w:rsidRPr="00316062" w:rsidRDefault="00C60121" w:rsidP="00316062">
                <w:pPr>
                  <w:spacing w:after="0" w:line="240" w:lineRule="auto"/>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w:t>
                </w:r>
              </w:p>
            </w:tc>
            <w:tc>
              <w:tcPr>
                <w:tcW w:w="958" w:type="dxa"/>
                <w:shd w:val="clear" w:color="auto" w:fill="auto"/>
                <w:noWrap/>
                <w:vAlign w:val="center"/>
                <w:hideMark/>
              </w:tcPr>
              <w:p w14:paraId="79B956F3" w14:textId="77777777" w:rsidR="00316062" w:rsidRPr="00316062" w:rsidRDefault="00316062" w:rsidP="00316062">
                <w:pPr>
                  <w:spacing w:after="0" w:line="240" w:lineRule="auto"/>
                  <w:jc w:val="center"/>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w:t>
                </w:r>
              </w:p>
            </w:tc>
            <w:tc>
              <w:tcPr>
                <w:tcW w:w="2625" w:type="dxa"/>
                <w:shd w:val="clear" w:color="auto" w:fill="auto"/>
                <w:noWrap/>
                <w:vAlign w:val="center"/>
                <w:hideMark/>
              </w:tcPr>
              <w:p w14:paraId="564990E0" w14:textId="77777777" w:rsidR="00316062" w:rsidRPr="00316062" w:rsidRDefault="00316062" w:rsidP="00316062">
                <w:pPr>
                  <w:spacing w:after="0" w:line="240" w:lineRule="auto"/>
                  <w:rPr>
                    <w:rFonts w:ascii="Times New Roman" w:eastAsia="Times New Roman" w:hAnsi="Times New Roman"/>
                    <w:b/>
                    <w:bCs/>
                    <w:color w:val="000000"/>
                    <w:sz w:val="14"/>
                    <w:szCs w:val="14"/>
                    <w:lang w:eastAsia="es-CO"/>
                  </w:rPr>
                </w:pPr>
                <w:r w:rsidRPr="00316062">
                  <w:rPr>
                    <w:rFonts w:ascii="Times New Roman" w:eastAsia="Times New Roman" w:hAnsi="Times New Roman"/>
                    <w:b/>
                    <w:bCs/>
                    <w:color w:val="000000"/>
                    <w:sz w:val="14"/>
                    <w:szCs w:val="14"/>
                    <w:lang w:eastAsia="es-CO"/>
                  </w:rPr>
                  <w:t>Caja De Compensación Familiar Compensar</w:t>
                </w:r>
              </w:p>
            </w:tc>
            <w:tc>
              <w:tcPr>
                <w:tcW w:w="1169" w:type="dxa"/>
                <w:shd w:val="clear" w:color="auto" w:fill="auto"/>
                <w:noWrap/>
                <w:vAlign w:val="center"/>
                <w:hideMark/>
              </w:tcPr>
              <w:p w14:paraId="5F47D117" w14:textId="105475CC" w:rsidR="00316062" w:rsidRPr="00316062" w:rsidRDefault="00316062" w:rsidP="00F8312B">
                <w:pPr>
                  <w:spacing w:after="0" w:line="240" w:lineRule="auto"/>
                  <w:jc w:val="right"/>
                  <w:rPr>
                    <w:rFonts w:ascii="Times New Roman" w:eastAsia="Times New Roman" w:hAnsi="Times New Roman"/>
                    <w:b/>
                    <w:bCs/>
                    <w:color w:val="000000"/>
                    <w:sz w:val="14"/>
                    <w:szCs w:val="14"/>
                    <w:lang w:eastAsia="es-CO"/>
                  </w:rPr>
                </w:pPr>
                <w:r w:rsidRPr="00316062">
                  <w:rPr>
                    <w:rFonts w:ascii="Times New Roman" w:eastAsia="Times New Roman" w:hAnsi="Times New Roman"/>
                    <w:b/>
                    <w:bCs/>
                    <w:color w:val="000000"/>
                    <w:sz w:val="14"/>
                    <w:szCs w:val="14"/>
                    <w:lang w:eastAsia="es-CO"/>
                  </w:rPr>
                  <w:t xml:space="preserve">849.401 </w:t>
                </w:r>
              </w:p>
            </w:tc>
            <w:tc>
              <w:tcPr>
                <w:tcW w:w="1138" w:type="dxa"/>
                <w:shd w:val="clear" w:color="auto" w:fill="auto"/>
                <w:noWrap/>
                <w:vAlign w:val="center"/>
                <w:hideMark/>
              </w:tcPr>
              <w:p w14:paraId="612D58E3" w14:textId="77777777" w:rsidR="00316062" w:rsidRPr="00316062" w:rsidRDefault="00316062" w:rsidP="00316062">
                <w:pPr>
                  <w:spacing w:after="0" w:line="240" w:lineRule="auto"/>
                  <w:jc w:val="right"/>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w:t>
                </w:r>
              </w:p>
            </w:tc>
            <w:tc>
              <w:tcPr>
                <w:tcW w:w="951" w:type="dxa"/>
                <w:shd w:val="clear" w:color="auto" w:fill="auto"/>
                <w:noWrap/>
                <w:vAlign w:val="center"/>
              </w:tcPr>
              <w:p w14:paraId="23B7EE22" w14:textId="2B2C4089" w:rsidR="00316062" w:rsidRPr="00316062" w:rsidRDefault="00316062" w:rsidP="00316062">
                <w:pPr>
                  <w:spacing w:after="0" w:line="240" w:lineRule="auto"/>
                  <w:jc w:val="right"/>
                  <w:rPr>
                    <w:rFonts w:ascii="Times New Roman" w:eastAsia="Times New Roman" w:hAnsi="Times New Roman"/>
                    <w:color w:val="000000"/>
                    <w:sz w:val="14"/>
                    <w:szCs w:val="14"/>
                    <w:lang w:eastAsia="es-CO"/>
                  </w:rPr>
                </w:pPr>
              </w:p>
            </w:tc>
            <w:tc>
              <w:tcPr>
                <w:tcW w:w="857" w:type="dxa"/>
                <w:shd w:val="clear" w:color="auto" w:fill="auto"/>
                <w:noWrap/>
                <w:vAlign w:val="center"/>
              </w:tcPr>
              <w:p w14:paraId="623756E1" w14:textId="4C990973" w:rsidR="00316062" w:rsidRPr="00316062" w:rsidRDefault="00316062" w:rsidP="00316062">
                <w:pPr>
                  <w:spacing w:after="0" w:line="240" w:lineRule="auto"/>
                  <w:jc w:val="right"/>
                  <w:rPr>
                    <w:rFonts w:ascii="Times New Roman" w:eastAsia="Times New Roman" w:hAnsi="Times New Roman"/>
                    <w:color w:val="000000"/>
                    <w:sz w:val="14"/>
                    <w:szCs w:val="14"/>
                    <w:lang w:eastAsia="es-CO"/>
                  </w:rPr>
                </w:pPr>
              </w:p>
            </w:tc>
          </w:tr>
          <w:tr w:rsidR="00316062" w:rsidRPr="00316062" w14:paraId="2CFA2088" w14:textId="77777777" w:rsidTr="00F8312B">
            <w:trPr>
              <w:trHeight w:val="315"/>
            </w:trPr>
            <w:tc>
              <w:tcPr>
                <w:tcW w:w="1271" w:type="dxa"/>
                <w:vMerge/>
                <w:shd w:val="clear" w:color="auto" w:fill="auto"/>
                <w:noWrap/>
                <w:vAlign w:val="center"/>
                <w:hideMark/>
              </w:tcPr>
              <w:p w14:paraId="0B46FB9B" w14:textId="61001AA0" w:rsidR="00316062" w:rsidRPr="00316062" w:rsidRDefault="00316062" w:rsidP="00316062">
                <w:pPr>
                  <w:spacing w:after="0" w:line="240" w:lineRule="auto"/>
                  <w:rPr>
                    <w:rFonts w:ascii="Times New Roman" w:eastAsia="Times New Roman" w:hAnsi="Times New Roman"/>
                    <w:color w:val="000000"/>
                    <w:sz w:val="14"/>
                    <w:szCs w:val="14"/>
                    <w:lang w:eastAsia="es-CO"/>
                  </w:rPr>
                </w:pPr>
              </w:p>
            </w:tc>
            <w:tc>
              <w:tcPr>
                <w:tcW w:w="958" w:type="dxa"/>
                <w:shd w:val="clear" w:color="auto" w:fill="auto"/>
                <w:noWrap/>
                <w:vAlign w:val="center"/>
                <w:hideMark/>
              </w:tcPr>
              <w:p w14:paraId="3D2F2DB8" w14:textId="77777777" w:rsidR="00316062" w:rsidRPr="00316062" w:rsidRDefault="00316062" w:rsidP="00316062">
                <w:pPr>
                  <w:spacing w:after="0" w:line="240" w:lineRule="auto"/>
                  <w:jc w:val="center"/>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29/06/2022</w:t>
                </w:r>
              </w:p>
            </w:tc>
            <w:tc>
              <w:tcPr>
                <w:tcW w:w="2625" w:type="dxa"/>
                <w:shd w:val="clear" w:color="auto" w:fill="auto"/>
                <w:noWrap/>
                <w:vAlign w:val="center"/>
                <w:hideMark/>
              </w:tcPr>
              <w:p w14:paraId="55F9CD1E" w14:textId="75B8D3F4" w:rsidR="00316062" w:rsidRPr="009A46BB" w:rsidRDefault="00785DD9" w:rsidP="00316062">
                <w:pPr>
                  <w:spacing w:after="0" w:line="240" w:lineRule="auto"/>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Romero Palacio Luis Ariel</w:t>
                </w:r>
              </w:p>
            </w:tc>
            <w:tc>
              <w:tcPr>
                <w:tcW w:w="1169" w:type="dxa"/>
                <w:shd w:val="clear" w:color="auto" w:fill="auto"/>
                <w:noWrap/>
                <w:vAlign w:val="center"/>
                <w:hideMark/>
              </w:tcPr>
              <w:p w14:paraId="6B3EE764" w14:textId="1337BB20" w:rsidR="00316062" w:rsidRPr="00316062" w:rsidRDefault="00C60121" w:rsidP="00316062">
                <w:pPr>
                  <w:spacing w:after="0" w:line="240" w:lineRule="auto"/>
                  <w:jc w:val="right"/>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xml:space="preserve">710.542 </w:t>
                </w:r>
              </w:p>
            </w:tc>
            <w:tc>
              <w:tcPr>
                <w:tcW w:w="1138" w:type="dxa"/>
                <w:shd w:val="clear" w:color="auto" w:fill="auto"/>
                <w:noWrap/>
                <w:vAlign w:val="center"/>
                <w:hideMark/>
              </w:tcPr>
              <w:p w14:paraId="673FCBF4" w14:textId="77777777" w:rsidR="00316062" w:rsidRPr="00316062" w:rsidRDefault="00316062" w:rsidP="00316062">
                <w:pPr>
                  <w:spacing w:after="0" w:line="240" w:lineRule="auto"/>
                  <w:jc w:val="right"/>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w:t>
                </w:r>
              </w:p>
            </w:tc>
            <w:tc>
              <w:tcPr>
                <w:tcW w:w="951" w:type="dxa"/>
                <w:shd w:val="clear" w:color="auto" w:fill="auto"/>
                <w:noWrap/>
                <w:vAlign w:val="center"/>
                <w:hideMark/>
              </w:tcPr>
              <w:p w14:paraId="15804DBF" w14:textId="4A51DD07" w:rsidR="00316062" w:rsidRPr="00316062" w:rsidRDefault="00F8312B" w:rsidP="00316062">
                <w:pPr>
                  <w:spacing w:after="0" w:line="240" w:lineRule="auto"/>
                  <w:jc w:val="right"/>
                  <w:rPr>
                    <w:rFonts w:ascii="Times New Roman" w:eastAsia="Times New Roman" w:hAnsi="Times New Roman"/>
                    <w:color w:val="000000"/>
                    <w:sz w:val="14"/>
                    <w:szCs w:val="14"/>
                    <w:lang w:eastAsia="es-CO"/>
                  </w:rPr>
                </w:pPr>
                <w:r>
                  <w:rPr>
                    <w:rFonts w:ascii="Times New Roman" w:eastAsia="Times New Roman" w:hAnsi="Times New Roman"/>
                    <w:color w:val="000000"/>
                    <w:sz w:val="14"/>
                    <w:szCs w:val="14"/>
                    <w:lang w:eastAsia="es-CO"/>
                  </w:rPr>
                  <w:t xml:space="preserve"> </w:t>
                </w:r>
                <w:r w:rsidR="00C60121" w:rsidRPr="00316062">
                  <w:rPr>
                    <w:rFonts w:ascii="Times New Roman" w:eastAsia="Times New Roman" w:hAnsi="Times New Roman"/>
                    <w:color w:val="000000"/>
                    <w:sz w:val="14"/>
                    <w:szCs w:val="14"/>
                    <w:lang w:eastAsia="es-CO"/>
                  </w:rPr>
                  <w:t xml:space="preserve">710.542 </w:t>
                </w:r>
              </w:p>
            </w:tc>
            <w:tc>
              <w:tcPr>
                <w:tcW w:w="857" w:type="dxa"/>
                <w:shd w:val="clear" w:color="auto" w:fill="auto"/>
                <w:noWrap/>
                <w:vAlign w:val="center"/>
              </w:tcPr>
              <w:p w14:paraId="763366C2" w14:textId="260C681B" w:rsidR="00316062" w:rsidRPr="00316062" w:rsidRDefault="00316062" w:rsidP="00316062">
                <w:pPr>
                  <w:spacing w:after="0" w:line="240" w:lineRule="auto"/>
                  <w:jc w:val="right"/>
                  <w:rPr>
                    <w:rFonts w:ascii="Times New Roman" w:eastAsia="Times New Roman" w:hAnsi="Times New Roman"/>
                    <w:color w:val="000000"/>
                    <w:sz w:val="14"/>
                    <w:szCs w:val="14"/>
                    <w:lang w:eastAsia="es-CO"/>
                  </w:rPr>
                </w:pPr>
              </w:p>
            </w:tc>
          </w:tr>
          <w:tr w:rsidR="00316062" w:rsidRPr="00316062" w14:paraId="4BC0032E" w14:textId="77777777" w:rsidTr="00F8312B">
            <w:trPr>
              <w:trHeight w:val="315"/>
            </w:trPr>
            <w:tc>
              <w:tcPr>
                <w:tcW w:w="1271" w:type="dxa"/>
                <w:vMerge/>
                <w:shd w:val="clear" w:color="auto" w:fill="auto"/>
                <w:noWrap/>
                <w:vAlign w:val="center"/>
                <w:hideMark/>
              </w:tcPr>
              <w:p w14:paraId="12BEC538" w14:textId="785BE7A3" w:rsidR="00316062" w:rsidRPr="00316062" w:rsidRDefault="00316062" w:rsidP="00316062">
                <w:pPr>
                  <w:spacing w:after="0" w:line="240" w:lineRule="auto"/>
                  <w:rPr>
                    <w:rFonts w:ascii="Times New Roman" w:eastAsia="Times New Roman" w:hAnsi="Times New Roman"/>
                    <w:color w:val="000000"/>
                    <w:sz w:val="14"/>
                    <w:szCs w:val="14"/>
                    <w:lang w:eastAsia="es-CO"/>
                  </w:rPr>
                </w:pPr>
              </w:p>
            </w:tc>
            <w:tc>
              <w:tcPr>
                <w:tcW w:w="958" w:type="dxa"/>
                <w:shd w:val="clear" w:color="auto" w:fill="auto"/>
                <w:noWrap/>
                <w:vAlign w:val="center"/>
                <w:hideMark/>
              </w:tcPr>
              <w:p w14:paraId="3BA0B795" w14:textId="77777777" w:rsidR="00316062" w:rsidRPr="00316062" w:rsidRDefault="00316062" w:rsidP="00316062">
                <w:pPr>
                  <w:spacing w:after="0" w:line="240" w:lineRule="auto"/>
                  <w:jc w:val="center"/>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19/12/2023</w:t>
                </w:r>
              </w:p>
            </w:tc>
            <w:tc>
              <w:tcPr>
                <w:tcW w:w="2625" w:type="dxa"/>
                <w:shd w:val="clear" w:color="auto" w:fill="auto"/>
                <w:vAlign w:val="center"/>
                <w:hideMark/>
              </w:tcPr>
              <w:p w14:paraId="1FAF987C" w14:textId="21B95609" w:rsidR="00316062" w:rsidRPr="009A46BB" w:rsidRDefault="00785DD9" w:rsidP="00316062">
                <w:pPr>
                  <w:spacing w:after="0" w:line="240" w:lineRule="auto"/>
                  <w:rPr>
                    <w:rFonts w:ascii="Times New Roman" w:eastAsia="Times New Roman" w:hAnsi="Times New Roman"/>
                    <w:color w:val="000000"/>
                    <w:sz w:val="14"/>
                    <w:szCs w:val="14"/>
                    <w:lang w:eastAsia="es-CO"/>
                  </w:rPr>
                </w:pPr>
                <w:r w:rsidRPr="009A46BB">
                  <w:rPr>
                    <w:rFonts w:ascii="Times New Roman" w:eastAsia="Times New Roman" w:hAnsi="Times New Roman"/>
                    <w:color w:val="000000"/>
                    <w:sz w:val="14"/>
                    <w:szCs w:val="14"/>
                    <w:lang w:eastAsia="es-CO"/>
                  </w:rPr>
                  <w:t xml:space="preserve">Castaño </w:t>
                </w:r>
                <w:r w:rsidR="00C60121" w:rsidRPr="009A46BB">
                  <w:rPr>
                    <w:rFonts w:ascii="Times New Roman" w:eastAsia="Times New Roman" w:hAnsi="Times New Roman"/>
                    <w:color w:val="000000"/>
                    <w:sz w:val="14"/>
                    <w:szCs w:val="14"/>
                    <w:lang w:eastAsia="es-CO"/>
                  </w:rPr>
                  <w:t>Ríos</w:t>
                </w:r>
                <w:r w:rsidRPr="009A46BB">
                  <w:rPr>
                    <w:rFonts w:ascii="Times New Roman" w:eastAsia="Times New Roman" w:hAnsi="Times New Roman"/>
                    <w:color w:val="000000"/>
                    <w:sz w:val="14"/>
                    <w:szCs w:val="14"/>
                    <w:lang w:eastAsia="es-CO"/>
                  </w:rPr>
                  <w:t xml:space="preserve"> Angelica Maria</w:t>
                </w:r>
              </w:p>
            </w:tc>
            <w:tc>
              <w:tcPr>
                <w:tcW w:w="1169" w:type="dxa"/>
                <w:shd w:val="clear" w:color="auto" w:fill="auto"/>
                <w:noWrap/>
                <w:vAlign w:val="center"/>
                <w:hideMark/>
              </w:tcPr>
              <w:p w14:paraId="2E79A038" w14:textId="657BA8EC" w:rsidR="00316062" w:rsidRPr="00316062" w:rsidRDefault="00C60121" w:rsidP="00316062">
                <w:pPr>
                  <w:spacing w:after="0" w:line="240" w:lineRule="auto"/>
                  <w:jc w:val="right"/>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xml:space="preserve">138.858 </w:t>
                </w:r>
              </w:p>
            </w:tc>
            <w:tc>
              <w:tcPr>
                <w:tcW w:w="1138" w:type="dxa"/>
                <w:shd w:val="clear" w:color="auto" w:fill="auto"/>
                <w:noWrap/>
                <w:vAlign w:val="center"/>
                <w:hideMark/>
              </w:tcPr>
              <w:p w14:paraId="0B044FA6" w14:textId="484C2BFB" w:rsidR="00316062" w:rsidRPr="00316062" w:rsidRDefault="00C60121" w:rsidP="00316062">
                <w:pPr>
                  <w:spacing w:after="0" w:line="240" w:lineRule="auto"/>
                  <w:jc w:val="right"/>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xml:space="preserve">138.858 </w:t>
                </w:r>
              </w:p>
            </w:tc>
            <w:tc>
              <w:tcPr>
                <w:tcW w:w="951" w:type="dxa"/>
                <w:shd w:val="clear" w:color="auto" w:fill="auto"/>
                <w:noWrap/>
                <w:vAlign w:val="center"/>
                <w:hideMark/>
              </w:tcPr>
              <w:p w14:paraId="3F705BD6" w14:textId="77777777" w:rsidR="00316062" w:rsidRPr="00316062" w:rsidRDefault="00316062" w:rsidP="00316062">
                <w:pPr>
                  <w:spacing w:after="0" w:line="240" w:lineRule="auto"/>
                  <w:jc w:val="right"/>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w:t>
                </w:r>
              </w:p>
            </w:tc>
            <w:tc>
              <w:tcPr>
                <w:tcW w:w="857" w:type="dxa"/>
                <w:shd w:val="clear" w:color="auto" w:fill="auto"/>
                <w:noWrap/>
                <w:vAlign w:val="center"/>
              </w:tcPr>
              <w:p w14:paraId="547FF3FD" w14:textId="450299CB" w:rsidR="00316062" w:rsidRPr="00316062" w:rsidRDefault="00316062" w:rsidP="00316062">
                <w:pPr>
                  <w:spacing w:after="0" w:line="240" w:lineRule="auto"/>
                  <w:jc w:val="right"/>
                  <w:rPr>
                    <w:rFonts w:ascii="Times New Roman" w:eastAsia="Times New Roman" w:hAnsi="Times New Roman"/>
                    <w:color w:val="000000"/>
                    <w:sz w:val="14"/>
                    <w:szCs w:val="14"/>
                    <w:lang w:eastAsia="es-CO"/>
                  </w:rPr>
                </w:pPr>
              </w:p>
            </w:tc>
          </w:tr>
          <w:tr w:rsidR="00316062" w:rsidRPr="00316062" w14:paraId="7AFCDD97" w14:textId="77777777" w:rsidTr="00F8312B">
            <w:trPr>
              <w:trHeight w:val="540"/>
            </w:trPr>
            <w:tc>
              <w:tcPr>
                <w:tcW w:w="1271" w:type="dxa"/>
                <w:vMerge w:val="restart"/>
                <w:shd w:val="clear" w:color="auto" w:fill="auto"/>
                <w:noWrap/>
                <w:vAlign w:val="center"/>
                <w:hideMark/>
              </w:tcPr>
              <w:p w14:paraId="429909B3" w14:textId="4EF49417" w:rsidR="00F8312B" w:rsidRPr="00316062" w:rsidRDefault="00316062" w:rsidP="00316062">
                <w:pPr>
                  <w:spacing w:after="0" w:line="240" w:lineRule="auto"/>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lastRenderedPageBreak/>
                  <w:t>Pago por cuenta de terceros</w:t>
                </w:r>
              </w:p>
              <w:p w14:paraId="0415DE04" w14:textId="77777777" w:rsidR="00F8312B" w:rsidRPr="00316062" w:rsidRDefault="00F8312B" w:rsidP="00316062">
                <w:pPr>
                  <w:spacing w:after="0" w:line="240" w:lineRule="auto"/>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w:t>
                </w:r>
              </w:p>
              <w:p w14:paraId="2046E67C" w14:textId="55F2E597" w:rsidR="00316062" w:rsidRPr="00316062" w:rsidRDefault="00F8312B" w:rsidP="00316062">
                <w:pPr>
                  <w:spacing w:after="0" w:line="240" w:lineRule="auto"/>
                  <w:rPr>
                    <w:rFonts w:ascii="Times New Roman" w:eastAsia="Times New Roman" w:hAnsi="Times New Roman"/>
                    <w:color w:val="000000"/>
                    <w:sz w:val="14"/>
                    <w:szCs w:val="14"/>
                    <w:lang w:eastAsia="es-CO"/>
                  </w:rPr>
                </w:pPr>
                <w:r w:rsidRPr="009A46BB">
                  <w:rPr>
                    <w:rFonts w:ascii="Times New Roman" w:eastAsia="Times New Roman" w:hAnsi="Times New Roman"/>
                    <w:color w:val="000000"/>
                    <w:sz w:val="14"/>
                    <w:szCs w:val="14"/>
                    <w:lang w:eastAsia="es-CO"/>
                  </w:rPr>
                  <w:t> </w:t>
                </w:r>
              </w:p>
            </w:tc>
            <w:tc>
              <w:tcPr>
                <w:tcW w:w="958" w:type="dxa"/>
                <w:shd w:val="clear" w:color="auto" w:fill="auto"/>
                <w:noWrap/>
                <w:vAlign w:val="center"/>
                <w:hideMark/>
              </w:tcPr>
              <w:p w14:paraId="5B04F6AA" w14:textId="77777777" w:rsidR="00316062" w:rsidRPr="00316062" w:rsidRDefault="00316062" w:rsidP="00316062">
                <w:pPr>
                  <w:spacing w:after="0" w:line="240" w:lineRule="auto"/>
                  <w:jc w:val="center"/>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w:t>
                </w:r>
              </w:p>
            </w:tc>
            <w:tc>
              <w:tcPr>
                <w:tcW w:w="2625" w:type="dxa"/>
                <w:shd w:val="clear" w:color="auto" w:fill="auto"/>
                <w:vAlign w:val="center"/>
                <w:hideMark/>
              </w:tcPr>
              <w:p w14:paraId="6877CCDE" w14:textId="24ACFB90" w:rsidR="00316062" w:rsidRPr="00316062" w:rsidRDefault="00316062" w:rsidP="00316062">
                <w:pPr>
                  <w:spacing w:after="0" w:line="240" w:lineRule="auto"/>
                  <w:rPr>
                    <w:rFonts w:ascii="Times New Roman" w:eastAsia="Times New Roman" w:hAnsi="Times New Roman"/>
                    <w:b/>
                    <w:bCs/>
                    <w:color w:val="000000"/>
                    <w:sz w:val="14"/>
                    <w:szCs w:val="14"/>
                    <w:lang w:eastAsia="es-CO"/>
                  </w:rPr>
                </w:pPr>
                <w:r w:rsidRPr="00316062">
                  <w:rPr>
                    <w:rFonts w:ascii="Times New Roman" w:eastAsia="Times New Roman" w:hAnsi="Times New Roman"/>
                    <w:b/>
                    <w:bCs/>
                    <w:color w:val="000000"/>
                    <w:sz w:val="14"/>
                    <w:szCs w:val="14"/>
                    <w:lang w:eastAsia="es-CO"/>
                  </w:rPr>
                  <w:t xml:space="preserve">Salud Total Entidad Promotora De Salud Del </w:t>
                </w:r>
                <w:r w:rsidR="00F8312B" w:rsidRPr="00316062">
                  <w:rPr>
                    <w:rFonts w:ascii="Times New Roman" w:eastAsia="Times New Roman" w:hAnsi="Times New Roman"/>
                    <w:b/>
                    <w:bCs/>
                    <w:color w:val="000000"/>
                    <w:sz w:val="14"/>
                    <w:szCs w:val="14"/>
                    <w:lang w:eastAsia="es-CO"/>
                  </w:rPr>
                  <w:t>Régimen</w:t>
                </w:r>
                <w:r w:rsidRPr="00316062">
                  <w:rPr>
                    <w:rFonts w:ascii="Times New Roman" w:eastAsia="Times New Roman" w:hAnsi="Times New Roman"/>
                    <w:b/>
                    <w:bCs/>
                    <w:color w:val="000000"/>
                    <w:sz w:val="14"/>
                    <w:szCs w:val="14"/>
                    <w:lang w:eastAsia="es-CO"/>
                  </w:rPr>
                  <w:t xml:space="preserve"> </w:t>
                </w:r>
                <w:r w:rsidRPr="00316062">
                  <w:rPr>
                    <w:rFonts w:ascii="Times New Roman" w:eastAsia="Times New Roman" w:hAnsi="Times New Roman"/>
                    <w:b/>
                    <w:bCs/>
                    <w:color w:val="000000"/>
                    <w:sz w:val="14"/>
                    <w:szCs w:val="14"/>
                    <w:lang w:eastAsia="es-CO"/>
                  </w:rPr>
                  <w:br/>
                  <w:t xml:space="preserve">Contributivo Y Del </w:t>
                </w:r>
                <w:r w:rsidR="00F8312B" w:rsidRPr="00316062">
                  <w:rPr>
                    <w:rFonts w:ascii="Times New Roman" w:eastAsia="Times New Roman" w:hAnsi="Times New Roman"/>
                    <w:b/>
                    <w:bCs/>
                    <w:color w:val="000000"/>
                    <w:sz w:val="14"/>
                    <w:szCs w:val="14"/>
                    <w:lang w:eastAsia="es-CO"/>
                  </w:rPr>
                  <w:t>régimen</w:t>
                </w:r>
                <w:r w:rsidRPr="00316062">
                  <w:rPr>
                    <w:rFonts w:ascii="Times New Roman" w:eastAsia="Times New Roman" w:hAnsi="Times New Roman"/>
                    <w:b/>
                    <w:bCs/>
                    <w:color w:val="000000"/>
                    <w:sz w:val="14"/>
                    <w:szCs w:val="14"/>
                    <w:lang w:eastAsia="es-CO"/>
                  </w:rPr>
                  <w:t xml:space="preserve"> Subsidiado S A</w:t>
                </w:r>
              </w:p>
            </w:tc>
            <w:tc>
              <w:tcPr>
                <w:tcW w:w="1169" w:type="dxa"/>
                <w:shd w:val="clear" w:color="auto" w:fill="auto"/>
                <w:noWrap/>
                <w:vAlign w:val="center"/>
                <w:hideMark/>
              </w:tcPr>
              <w:p w14:paraId="56FB5D2E" w14:textId="33270393" w:rsidR="00316062" w:rsidRPr="00316062" w:rsidRDefault="00316062" w:rsidP="00F8312B">
                <w:pPr>
                  <w:spacing w:after="0" w:line="240" w:lineRule="auto"/>
                  <w:jc w:val="right"/>
                  <w:rPr>
                    <w:rFonts w:ascii="Times New Roman" w:eastAsia="Times New Roman" w:hAnsi="Times New Roman"/>
                    <w:b/>
                    <w:bCs/>
                    <w:color w:val="000000"/>
                    <w:sz w:val="14"/>
                    <w:szCs w:val="14"/>
                    <w:lang w:eastAsia="es-CO"/>
                  </w:rPr>
                </w:pPr>
                <w:r w:rsidRPr="00316062">
                  <w:rPr>
                    <w:rFonts w:ascii="Times New Roman" w:eastAsia="Times New Roman" w:hAnsi="Times New Roman"/>
                    <w:b/>
                    <w:bCs/>
                    <w:color w:val="000000"/>
                    <w:sz w:val="14"/>
                    <w:szCs w:val="14"/>
                    <w:lang w:eastAsia="es-CO"/>
                  </w:rPr>
                  <w:t xml:space="preserve">12.312.513 </w:t>
                </w:r>
              </w:p>
            </w:tc>
            <w:tc>
              <w:tcPr>
                <w:tcW w:w="1138" w:type="dxa"/>
                <w:shd w:val="clear" w:color="auto" w:fill="auto"/>
                <w:noWrap/>
                <w:vAlign w:val="center"/>
                <w:hideMark/>
              </w:tcPr>
              <w:p w14:paraId="04328335" w14:textId="77777777" w:rsidR="00316062" w:rsidRPr="00316062" w:rsidRDefault="00316062" w:rsidP="00316062">
                <w:pPr>
                  <w:spacing w:after="0" w:line="240" w:lineRule="auto"/>
                  <w:jc w:val="right"/>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w:t>
                </w:r>
              </w:p>
            </w:tc>
            <w:tc>
              <w:tcPr>
                <w:tcW w:w="951" w:type="dxa"/>
                <w:shd w:val="clear" w:color="auto" w:fill="auto"/>
                <w:noWrap/>
                <w:vAlign w:val="center"/>
                <w:hideMark/>
              </w:tcPr>
              <w:p w14:paraId="20E04566" w14:textId="0C84A567" w:rsidR="00316062" w:rsidRPr="00316062" w:rsidRDefault="00F8312B" w:rsidP="00316062">
                <w:pPr>
                  <w:spacing w:after="0" w:line="240" w:lineRule="auto"/>
                  <w:jc w:val="right"/>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xml:space="preserve">  </w:t>
                </w:r>
              </w:p>
            </w:tc>
            <w:tc>
              <w:tcPr>
                <w:tcW w:w="857" w:type="dxa"/>
                <w:shd w:val="clear" w:color="auto" w:fill="auto"/>
                <w:noWrap/>
                <w:vAlign w:val="center"/>
              </w:tcPr>
              <w:p w14:paraId="56D315EC" w14:textId="46A2EC70" w:rsidR="00316062" w:rsidRPr="00316062" w:rsidRDefault="00316062" w:rsidP="00316062">
                <w:pPr>
                  <w:spacing w:after="0" w:line="240" w:lineRule="auto"/>
                  <w:jc w:val="right"/>
                  <w:rPr>
                    <w:rFonts w:ascii="Times New Roman" w:eastAsia="Times New Roman" w:hAnsi="Times New Roman"/>
                    <w:color w:val="000000"/>
                    <w:sz w:val="14"/>
                    <w:szCs w:val="14"/>
                    <w:lang w:eastAsia="es-CO"/>
                  </w:rPr>
                </w:pPr>
              </w:p>
            </w:tc>
          </w:tr>
          <w:tr w:rsidR="00316062" w:rsidRPr="00316062" w14:paraId="114AE57C" w14:textId="77777777" w:rsidTr="00F8312B">
            <w:trPr>
              <w:trHeight w:val="315"/>
            </w:trPr>
            <w:tc>
              <w:tcPr>
                <w:tcW w:w="1271" w:type="dxa"/>
                <w:vMerge/>
                <w:shd w:val="clear" w:color="auto" w:fill="auto"/>
                <w:noWrap/>
                <w:vAlign w:val="center"/>
                <w:hideMark/>
              </w:tcPr>
              <w:p w14:paraId="51CDE869" w14:textId="1B4E048C" w:rsidR="00316062" w:rsidRPr="00316062" w:rsidRDefault="00316062" w:rsidP="00316062">
                <w:pPr>
                  <w:spacing w:after="0" w:line="240" w:lineRule="auto"/>
                  <w:rPr>
                    <w:rFonts w:ascii="Times New Roman" w:eastAsia="Times New Roman" w:hAnsi="Times New Roman"/>
                    <w:color w:val="000000"/>
                    <w:sz w:val="14"/>
                    <w:szCs w:val="14"/>
                    <w:lang w:eastAsia="es-CO"/>
                  </w:rPr>
                </w:pPr>
              </w:p>
            </w:tc>
            <w:tc>
              <w:tcPr>
                <w:tcW w:w="958" w:type="dxa"/>
                <w:shd w:val="clear" w:color="auto" w:fill="auto"/>
                <w:noWrap/>
                <w:vAlign w:val="center"/>
                <w:hideMark/>
              </w:tcPr>
              <w:p w14:paraId="6359D60A" w14:textId="77777777" w:rsidR="00316062" w:rsidRPr="00316062" w:rsidRDefault="00316062" w:rsidP="00316062">
                <w:pPr>
                  <w:spacing w:after="0" w:line="240" w:lineRule="auto"/>
                  <w:jc w:val="center"/>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30/10/2023</w:t>
                </w:r>
              </w:p>
            </w:tc>
            <w:tc>
              <w:tcPr>
                <w:tcW w:w="2625" w:type="dxa"/>
                <w:shd w:val="clear" w:color="auto" w:fill="auto"/>
                <w:vAlign w:val="center"/>
                <w:hideMark/>
              </w:tcPr>
              <w:p w14:paraId="08752BEE" w14:textId="21421EE5" w:rsidR="00316062" w:rsidRPr="009A46BB" w:rsidRDefault="00785DD9" w:rsidP="00316062">
                <w:pPr>
                  <w:spacing w:after="0" w:line="240" w:lineRule="auto"/>
                  <w:rPr>
                    <w:rFonts w:ascii="Times New Roman" w:eastAsia="Times New Roman" w:hAnsi="Times New Roman"/>
                    <w:color w:val="000000"/>
                    <w:sz w:val="14"/>
                    <w:szCs w:val="14"/>
                    <w:lang w:eastAsia="es-CO"/>
                  </w:rPr>
                </w:pPr>
                <w:r w:rsidRPr="009A46BB">
                  <w:rPr>
                    <w:rFonts w:ascii="Times New Roman" w:eastAsia="Times New Roman" w:hAnsi="Times New Roman"/>
                    <w:color w:val="000000"/>
                    <w:sz w:val="14"/>
                    <w:szCs w:val="14"/>
                    <w:lang w:eastAsia="es-CO"/>
                  </w:rPr>
                  <w:t>Rodriguez Devia Hector Fabio</w:t>
                </w:r>
              </w:p>
            </w:tc>
            <w:tc>
              <w:tcPr>
                <w:tcW w:w="1169" w:type="dxa"/>
                <w:shd w:val="clear" w:color="auto" w:fill="auto"/>
                <w:noWrap/>
                <w:vAlign w:val="center"/>
                <w:hideMark/>
              </w:tcPr>
              <w:p w14:paraId="12230B53" w14:textId="34DEDCF6" w:rsidR="00316062" w:rsidRPr="00316062" w:rsidRDefault="00316062" w:rsidP="00316062">
                <w:pPr>
                  <w:spacing w:after="0" w:line="240" w:lineRule="auto"/>
                  <w:jc w:val="right"/>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xml:space="preserve">3.934.316 </w:t>
                </w:r>
              </w:p>
            </w:tc>
            <w:tc>
              <w:tcPr>
                <w:tcW w:w="1138" w:type="dxa"/>
                <w:shd w:val="clear" w:color="auto" w:fill="auto"/>
                <w:noWrap/>
                <w:vAlign w:val="center"/>
                <w:hideMark/>
              </w:tcPr>
              <w:p w14:paraId="65763C07" w14:textId="16F9A255" w:rsidR="00316062" w:rsidRPr="00316062" w:rsidRDefault="00316062" w:rsidP="00316062">
                <w:pPr>
                  <w:spacing w:after="0" w:line="240" w:lineRule="auto"/>
                  <w:jc w:val="right"/>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xml:space="preserve">3.934.316 </w:t>
                </w:r>
              </w:p>
            </w:tc>
            <w:tc>
              <w:tcPr>
                <w:tcW w:w="951" w:type="dxa"/>
                <w:shd w:val="clear" w:color="auto" w:fill="auto"/>
                <w:noWrap/>
                <w:vAlign w:val="center"/>
                <w:hideMark/>
              </w:tcPr>
              <w:p w14:paraId="03E9C053" w14:textId="77777777" w:rsidR="00316062" w:rsidRPr="00316062" w:rsidRDefault="00316062" w:rsidP="00316062">
                <w:pPr>
                  <w:spacing w:after="0" w:line="240" w:lineRule="auto"/>
                  <w:jc w:val="right"/>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w:t>
                </w:r>
              </w:p>
            </w:tc>
            <w:tc>
              <w:tcPr>
                <w:tcW w:w="857" w:type="dxa"/>
                <w:shd w:val="clear" w:color="auto" w:fill="auto"/>
                <w:noWrap/>
                <w:vAlign w:val="center"/>
                <w:hideMark/>
              </w:tcPr>
              <w:p w14:paraId="3983D338" w14:textId="77777777" w:rsidR="00316062" w:rsidRPr="00316062" w:rsidRDefault="00316062" w:rsidP="00316062">
                <w:pPr>
                  <w:spacing w:after="0" w:line="240" w:lineRule="auto"/>
                  <w:jc w:val="right"/>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w:t>
                </w:r>
              </w:p>
            </w:tc>
          </w:tr>
          <w:tr w:rsidR="00316062" w:rsidRPr="00316062" w14:paraId="356FDDA2" w14:textId="77777777" w:rsidTr="00F8312B">
            <w:trPr>
              <w:trHeight w:val="315"/>
            </w:trPr>
            <w:tc>
              <w:tcPr>
                <w:tcW w:w="1271" w:type="dxa"/>
                <w:vMerge/>
                <w:shd w:val="clear" w:color="auto" w:fill="auto"/>
                <w:noWrap/>
                <w:vAlign w:val="center"/>
                <w:hideMark/>
              </w:tcPr>
              <w:p w14:paraId="01528D3C" w14:textId="5751C087" w:rsidR="00316062" w:rsidRPr="00316062" w:rsidRDefault="00316062" w:rsidP="00316062">
                <w:pPr>
                  <w:spacing w:after="0" w:line="240" w:lineRule="auto"/>
                  <w:rPr>
                    <w:rFonts w:ascii="Times New Roman" w:eastAsia="Times New Roman" w:hAnsi="Times New Roman"/>
                    <w:color w:val="000000"/>
                    <w:sz w:val="14"/>
                    <w:szCs w:val="14"/>
                    <w:lang w:eastAsia="es-CO"/>
                  </w:rPr>
                </w:pPr>
              </w:p>
            </w:tc>
            <w:tc>
              <w:tcPr>
                <w:tcW w:w="958" w:type="dxa"/>
                <w:shd w:val="clear" w:color="auto" w:fill="auto"/>
                <w:noWrap/>
                <w:vAlign w:val="center"/>
                <w:hideMark/>
              </w:tcPr>
              <w:p w14:paraId="5700D956" w14:textId="77777777" w:rsidR="00316062" w:rsidRPr="00316062" w:rsidRDefault="00316062" w:rsidP="00316062">
                <w:pPr>
                  <w:spacing w:after="0" w:line="240" w:lineRule="auto"/>
                  <w:jc w:val="center"/>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17/11/2023</w:t>
                </w:r>
              </w:p>
            </w:tc>
            <w:tc>
              <w:tcPr>
                <w:tcW w:w="2625" w:type="dxa"/>
                <w:shd w:val="clear" w:color="auto" w:fill="auto"/>
                <w:vAlign w:val="center"/>
                <w:hideMark/>
              </w:tcPr>
              <w:p w14:paraId="569EAE54" w14:textId="09456181" w:rsidR="00316062" w:rsidRPr="009A46BB" w:rsidRDefault="00785DD9" w:rsidP="00316062">
                <w:pPr>
                  <w:spacing w:after="0" w:line="240" w:lineRule="auto"/>
                  <w:rPr>
                    <w:rFonts w:ascii="Times New Roman" w:eastAsia="Times New Roman" w:hAnsi="Times New Roman"/>
                    <w:color w:val="000000"/>
                    <w:sz w:val="14"/>
                    <w:szCs w:val="14"/>
                    <w:lang w:eastAsia="es-CO"/>
                  </w:rPr>
                </w:pPr>
                <w:r w:rsidRPr="009A46BB">
                  <w:rPr>
                    <w:rFonts w:ascii="Times New Roman" w:eastAsia="Times New Roman" w:hAnsi="Times New Roman"/>
                    <w:color w:val="000000"/>
                    <w:sz w:val="14"/>
                    <w:szCs w:val="14"/>
                    <w:lang w:eastAsia="es-CO"/>
                  </w:rPr>
                  <w:t xml:space="preserve">Luz Adriana </w:t>
                </w:r>
                <w:r w:rsidR="00F8312B" w:rsidRPr="009A46BB">
                  <w:rPr>
                    <w:rFonts w:ascii="Times New Roman" w:eastAsia="Times New Roman" w:hAnsi="Times New Roman"/>
                    <w:color w:val="000000"/>
                    <w:sz w:val="14"/>
                    <w:szCs w:val="14"/>
                    <w:lang w:eastAsia="es-CO"/>
                  </w:rPr>
                  <w:t>Vásquez</w:t>
                </w:r>
                <w:r w:rsidRPr="009A46BB">
                  <w:rPr>
                    <w:rFonts w:ascii="Times New Roman" w:eastAsia="Times New Roman" w:hAnsi="Times New Roman"/>
                    <w:color w:val="000000"/>
                    <w:sz w:val="14"/>
                    <w:szCs w:val="14"/>
                    <w:lang w:eastAsia="es-CO"/>
                  </w:rPr>
                  <w:t xml:space="preserve"> Trujillo</w:t>
                </w:r>
              </w:p>
            </w:tc>
            <w:tc>
              <w:tcPr>
                <w:tcW w:w="1169" w:type="dxa"/>
                <w:shd w:val="clear" w:color="auto" w:fill="auto"/>
                <w:noWrap/>
                <w:vAlign w:val="center"/>
                <w:hideMark/>
              </w:tcPr>
              <w:p w14:paraId="2092BC03" w14:textId="269FD93F" w:rsidR="00316062" w:rsidRPr="00316062" w:rsidRDefault="00316062" w:rsidP="00316062">
                <w:pPr>
                  <w:spacing w:after="0" w:line="240" w:lineRule="auto"/>
                  <w:jc w:val="right"/>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xml:space="preserve">8.378.197 </w:t>
                </w:r>
              </w:p>
            </w:tc>
            <w:tc>
              <w:tcPr>
                <w:tcW w:w="1138" w:type="dxa"/>
                <w:shd w:val="clear" w:color="auto" w:fill="auto"/>
                <w:noWrap/>
                <w:vAlign w:val="center"/>
                <w:hideMark/>
              </w:tcPr>
              <w:p w14:paraId="38437D5B" w14:textId="56DD4847" w:rsidR="00316062" w:rsidRPr="00316062" w:rsidRDefault="00316062" w:rsidP="00316062">
                <w:pPr>
                  <w:spacing w:after="0" w:line="240" w:lineRule="auto"/>
                  <w:jc w:val="right"/>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xml:space="preserve">8.378.197 </w:t>
                </w:r>
              </w:p>
            </w:tc>
            <w:tc>
              <w:tcPr>
                <w:tcW w:w="951" w:type="dxa"/>
                <w:shd w:val="clear" w:color="auto" w:fill="auto"/>
                <w:noWrap/>
                <w:vAlign w:val="center"/>
                <w:hideMark/>
              </w:tcPr>
              <w:p w14:paraId="102CE3BA" w14:textId="77777777" w:rsidR="00316062" w:rsidRPr="00316062" w:rsidRDefault="00316062" w:rsidP="00316062">
                <w:pPr>
                  <w:spacing w:after="0" w:line="240" w:lineRule="auto"/>
                  <w:jc w:val="right"/>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w:t>
                </w:r>
              </w:p>
            </w:tc>
            <w:tc>
              <w:tcPr>
                <w:tcW w:w="857" w:type="dxa"/>
                <w:shd w:val="clear" w:color="auto" w:fill="auto"/>
                <w:noWrap/>
                <w:vAlign w:val="center"/>
                <w:hideMark/>
              </w:tcPr>
              <w:p w14:paraId="25291DFB" w14:textId="77777777" w:rsidR="00316062" w:rsidRPr="00316062" w:rsidRDefault="00316062" w:rsidP="00316062">
                <w:pPr>
                  <w:spacing w:after="0" w:line="240" w:lineRule="auto"/>
                  <w:jc w:val="right"/>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w:t>
                </w:r>
              </w:p>
            </w:tc>
          </w:tr>
          <w:tr w:rsidR="00316062" w:rsidRPr="00316062" w14:paraId="1A784B4C" w14:textId="77777777" w:rsidTr="00F8312B">
            <w:trPr>
              <w:trHeight w:val="315"/>
            </w:trPr>
            <w:tc>
              <w:tcPr>
                <w:tcW w:w="1271" w:type="dxa"/>
                <w:vMerge/>
                <w:shd w:val="clear" w:color="auto" w:fill="auto"/>
                <w:noWrap/>
                <w:vAlign w:val="center"/>
                <w:hideMark/>
              </w:tcPr>
              <w:p w14:paraId="1F965337" w14:textId="0FB772A0" w:rsidR="00316062" w:rsidRPr="009A46BB" w:rsidRDefault="00316062" w:rsidP="00316062">
                <w:pPr>
                  <w:spacing w:after="0" w:line="240" w:lineRule="auto"/>
                  <w:rPr>
                    <w:rFonts w:ascii="Times New Roman" w:eastAsia="Times New Roman" w:hAnsi="Times New Roman"/>
                    <w:color w:val="000000"/>
                    <w:sz w:val="14"/>
                    <w:szCs w:val="14"/>
                    <w:lang w:eastAsia="es-CO"/>
                  </w:rPr>
                </w:pPr>
              </w:p>
            </w:tc>
            <w:tc>
              <w:tcPr>
                <w:tcW w:w="958" w:type="dxa"/>
                <w:shd w:val="clear" w:color="auto" w:fill="auto"/>
                <w:noWrap/>
                <w:vAlign w:val="center"/>
                <w:hideMark/>
              </w:tcPr>
              <w:p w14:paraId="650323C5" w14:textId="77777777" w:rsidR="00316062" w:rsidRPr="00316062" w:rsidRDefault="00316062" w:rsidP="00316062">
                <w:pPr>
                  <w:spacing w:after="0" w:line="240" w:lineRule="auto"/>
                  <w:jc w:val="center"/>
                  <w:rPr>
                    <w:rFonts w:ascii="Times New Roman" w:eastAsia="Times New Roman" w:hAnsi="Times New Roman"/>
                    <w:color w:val="000000"/>
                    <w:sz w:val="14"/>
                    <w:szCs w:val="14"/>
                    <w:lang w:eastAsia="es-CO"/>
                  </w:rPr>
                </w:pPr>
                <w:r w:rsidRPr="00316062">
                  <w:rPr>
                    <w:rFonts w:ascii="Times New Roman" w:eastAsia="Times New Roman" w:hAnsi="Times New Roman"/>
                    <w:color w:val="000000"/>
                    <w:sz w:val="14"/>
                    <w:szCs w:val="14"/>
                    <w:lang w:eastAsia="es-CO"/>
                  </w:rPr>
                  <w:t> </w:t>
                </w:r>
              </w:p>
            </w:tc>
            <w:tc>
              <w:tcPr>
                <w:tcW w:w="2625" w:type="dxa"/>
                <w:shd w:val="clear" w:color="auto" w:fill="auto"/>
                <w:noWrap/>
                <w:vAlign w:val="center"/>
                <w:hideMark/>
              </w:tcPr>
              <w:p w14:paraId="44801EA6" w14:textId="77777777" w:rsidR="00316062" w:rsidRPr="00316062" w:rsidRDefault="00316062" w:rsidP="00316062">
                <w:pPr>
                  <w:spacing w:after="0" w:line="240" w:lineRule="auto"/>
                  <w:rPr>
                    <w:rFonts w:ascii="Times New Roman" w:eastAsia="Times New Roman" w:hAnsi="Times New Roman"/>
                    <w:b/>
                    <w:bCs/>
                    <w:color w:val="000000"/>
                    <w:sz w:val="14"/>
                    <w:szCs w:val="14"/>
                    <w:lang w:eastAsia="es-CO"/>
                  </w:rPr>
                </w:pPr>
                <w:r w:rsidRPr="00316062">
                  <w:rPr>
                    <w:rFonts w:ascii="Times New Roman" w:eastAsia="Times New Roman" w:hAnsi="Times New Roman"/>
                    <w:b/>
                    <w:bCs/>
                    <w:color w:val="000000"/>
                    <w:sz w:val="14"/>
                    <w:szCs w:val="14"/>
                    <w:lang w:eastAsia="es-CO"/>
                  </w:rPr>
                  <w:t>Totales</w:t>
                </w:r>
              </w:p>
            </w:tc>
            <w:tc>
              <w:tcPr>
                <w:tcW w:w="1169" w:type="dxa"/>
                <w:shd w:val="clear" w:color="auto" w:fill="auto"/>
                <w:noWrap/>
                <w:vAlign w:val="center"/>
                <w:hideMark/>
              </w:tcPr>
              <w:p w14:paraId="0224973B" w14:textId="74D8FA5D" w:rsidR="00316062" w:rsidRPr="00316062" w:rsidRDefault="00316062" w:rsidP="00316062">
                <w:pPr>
                  <w:spacing w:after="0" w:line="240" w:lineRule="auto"/>
                  <w:jc w:val="right"/>
                  <w:rPr>
                    <w:rFonts w:ascii="Times New Roman" w:eastAsia="Times New Roman" w:hAnsi="Times New Roman"/>
                    <w:b/>
                    <w:bCs/>
                    <w:color w:val="000000"/>
                    <w:sz w:val="14"/>
                    <w:szCs w:val="14"/>
                    <w:lang w:eastAsia="es-CO"/>
                  </w:rPr>
                </w:pPr>
                <w:r w:rsidRPr="00316062">
                  <w:rPr>
                    <w:rFonts w:ascii="Times New Roman" w:eastAsia="Times New Roman" w:hAnsi="Times New Roman"/>
                    <w:b/>
                    <w:bCs/>
                    <w:color w:val="000000"/>
                    <w:sz w:val="14"/>
                    <w:szCs w:val="14"/>
                    <w:lang w:eastAsia="es-CO"/>
                  </w:rPr>
                  <w:t xml:space="preserve">76.422.735 </w:t>
                </w:r>
              </w:p>
            </w:tc>
            <w:tc>
              <w:tcPr>
                <w:tcW w:w="1138" w:type="dxa"/>
                <w:shd w:val="clear" w:color="auto" w:fill="auto"/>
                <w:noWrap/>
                <w:vAlign w:val="center"/>
                <w:hideMark/>
              </w:tcPr>
              <w:p w14:paraId="50CA6C81" w14:textId="41F718FF" w:rsidR="00316062" w:rsidRPr="00316062" w:rsidRDefault="00316062" w:rsidP="00316062">
                <w:pPr>
                  <w:spacing w:after="0" w:line="240" w:lineRule="auto"/>
                  <w:jc w:val="right"/>
                  <w:rPr>
                    <w:rFonts w:ascii="Times New Roman" w:eastAsia="Times New Roman" w:hAnsi="Times New Roman"/>
                    <w:b/>
                    <w:bCs/>
                    <w:color w:val="000000"/>
                    <w:sz w:val="14"/>
                    <w:szCs w:val="14"/>
                    <w:lang w:eastAsia="es-CO"/>
                  </w:rPr>
                </w:pPr>
                <w:r w:rsidRPr="00316062">
                  <w:rPr>
                    <w:rFonts w:ascii="Times New Roman" w:eastAsia="Times New Roman" w:hAnsi="Times New Roman"/>
                    <w:b/>
                    <w:bCs/>
                    <w:color w:val="000000"/>
                    <w:sz w:val="14"/>
                    <w:szCs w:val="14"/>
                    <w:lang w:eastAsia="es-CO"/>
                  </w:rPr>
                  <w:t xml:space="preserve"> 23.365.351 </w:t>
                </w:r>
              </w:p>
            </w:tc>
            <w:tc>
              <w:tcPr>
                <w:tcW w:w="951" w:type="dxa"/>
                <w:shd w:val="clear" w:color="auto" w:fill="auto"/>
                <w:noWrap/>
                <w:vAlign w:val="center"/>
                <w:hideMark/>
              </w:tcPr>
              <w:p w14:paraId="00B161F1" w14:textId="216453BD" w:rsidR="00316062" w:rsidRPr="00316062" w:rsidRDefault="00316062" w:rsidP="00316062">
                <w:pPr>
                  <w:spacing w:after="0" w:line="240" w:lineRule="auto"/>
                  <w:jc w:val="right"/>
                  <w:rPr>
                    <w:rFonts w:ascii="Times New Roman" w:eastAsia="Times New Roman" w:hAnsi="Times New Roman"/>
                    <w:b/>
                    <w:bCs/>
                    <w:color w:val="000000"/>
                    <w:sz w:val="14"/>
                    <w:szCs w:val="14"/>
                    <w:lang w:eastAsia="es-CO"/>
                  </w:rPr>
                </w:pPr>
                <w:r w:rsidRPr="00316062">
                  <w:rPr>
                    <w:rFonts w:ascii="Times New Roman" w:eastAsia="Times New Roman" w:hAnsi="Times New Roman"/>
                    <w:b/>
                    <w:bCs/>
                    <w:color w:val="000000"/>
                    <w:sz w:val="14"/>
                    <w:szCs w:val="14"/>
                    <w:lang w:eastAsia="es-CO"/>
                  </w:rPr>
                  <w:t xml:space="preserve">1.499.453 </w:t>
                </w:r>
              </w:p>
            </w:tc>
            <w:tc>
              <w:tcPr>
                <w:tcW w:w="857" w:type="dxa"/>
                <w:shd w:val="clear" w:color="auto" w:fill="auto"/>
                <w:noWrap/>
                <w:vAlign w:val="center"/>
                <w:hideMark/>
              </w:tcPr>
              <w:p w14:paraId="30071333" w14:textId="36A88D52" w:rsidR="00316062" w:rsidRPr="00316062" w:rsidRDefault="00316062" w:rsidP="00316062">
                <w:pPr>
                  <w:spacing w:after="0" w:line="240" w:lineRule="auto"/>
                  <w:jc w:val="right"/>
                  <w:rPr>
                    <w:rFonts w:ascii="Times New Roman" w:eastAsia="Times New Roman" w:hAnsi="Times New Roman"/>
                    <w:b/>
                    <w:bCs/>
                    <w:color w:val="000000"/>
                    <w:sz w:val="14"/>
                    <w:szCs w:val="14"/>
                    <w:lang w:eastAsia="es-CO"/>
                  </w:rPr>
                </w:pPr>
                <w:r w:rsidRPr="00316062">
                  <w:rPr>
                    <w:rFonts w:ascii="Times New Roman" w:eastAsia="Times New Roman" w:hAnsi="Times New Roman"/>
                    <w:b/>
                    <w:bCs/>
                    <w:color w:val="000000"/>
                    <w:sz w:val="14"/>
                    <w:szCs w:val="14"/>
                    <w:lang w:eastAsia="es-CO"/>
                  </w:rPr>
                  <w:t xml:space="preserve">10.729.065 </w:t>
                </w:r>
              </w:p>
            </w:tc>
          </w:tr>
        </w:tbl>
        <w:p w14:paraId="5656E5F9" w14:textId="77777777" w:rsidR="00214C6B" w:rsidRPr="00931DCE" w:rsidRDefault="00214C6B" w:rsidP="001D41C5">
          <w:pPr>
            <w:autoSpaceDE w:val="0"/>
            <w:autoSpaceDN w:val="0"/>
            <w:adjustRightInd w:val="0"/>
            <w:spacing w:after="0" w:line="240" w:lineRule="auto"/>
            <w:jc w:val="both"/>
            <w:rPr>
              <w:rFonts w:ascii="Times New Roman" w:eastAsiaTheme="minorHAnsi" w:hAnsi="Times New Roman"/>
              <w:color w:val="000000"/>
              <w:sz w:val="24"/>
              <w:szCs w:val="24"/>
            </w:rPr>
          </w:pPr>
        </w:p>
        <w:p w14:paraId="4E4AEFC4" w14:textId="31894B5E" w:rsidR="00C31396" w:rsidRPr="00931DCE" w:rsidRDefault="001D41C5" w:rsidP="001D41C5">
          <w:pPr>
            <w:autoSpaceDE w:val="0"/>
            <w:autoSpaceDN w:val="0"/>
            <w:adjustRightInd w:val="0"/>
            <w:spacing w:after="0" w:line="240" w:lineRule="auto"/>
            <w:jc w:val="both"/>
            <w:rPr>
              <w:rFonts w:ascii="Times New Roman" w:eastAsiaTheme="minorHAnsi" w:hAnsi="Times New Roman"/>
              <w:color w:val="000000"/>
              <w:sz w:val="24"/>
              <w:szCs w:val="24"/>
            </w:rPr>
          </w:pPr>
          <w:r w:rsidRPr="00931DCE">
            <w:rPr>
              <w:rFonts w:ascii="Times New Roman" w:eastAsiaTheme="minorHAnsi" w:hAnsi="Times New Roman"/>
              <w:color w:val="000000"/>
              <w:sz w:val="24"/>
              <w:szCs w:val="24"/>
            </w:rPr>
            <w:t xml:space="preserve">Finalmente, se informa que la entidad no pignoró cuentas por cobrar como garantía por pasivos o pasivos contingentes, no ha transferido cuentas por cobrar a terceros en transacciones que no cumplan las condiciones para la baja en cuentas y tampoco realizó baja en cuentas de cuentas por cobrar durante el período. </w:t>
          </w:r>
        </w:p>
        <w:p w14:paraId="7453F452" w14:textId="77777777" w:rsidR="00D62AAD" w:rsidRPr="00931DCE" w:rsidRDefault="00D62AAD" w:rsidP="004A000E">
          <w:pPr>
            <w:spacing w:after="0" w:line="240" w:lineRule="auto"/>
            <w:jc w:val="both"/>
            <w:rPr>
              <w:rFonts w:ascii="Times New Roman" w:hAnsi="Times New Roman"/>
              <w:sz w:val="24"/>
              <w:szCs w:val="24"/>
            </w:rPr>
          </w:pPr>
        </w:p>
        <w:p w14:paraId="3CA87B9B" w14:textId="77777777" w:rsidR="00D62AAD" w:rsidRPr="00931DCE" w:rsidRDefault="00D62AAD" w:rsidP="004A000E">
          <w:pPr>
            <w:spacing w:after="0" w:line="240" w:lineRule="auto"/>
            <w:jc w:val="both"/>
            <w:rPr>
              <w:rFonts w:ascii="Times New Roman" w:hAnsi="Times New Roman"/>
              <w:b/>
              <w:sz w:val="24"/>
              <w:szCs w:val="24"/>
            </w:rPr>
          </w:pPr>
        </w:p>
        <w:p w14:paraId="1BCF6428" w14:textId="77777777" w:rsidR="00187C9F" w:rsidRPr="00931DCE" w:rsidRDefault="00187C9F" w:rsidP="004A000E">
          <w:pPr>
            <w:pStyle w:val="Ttulo1"/>
            <w:rPr>
              <w:rFonts w:cs="Times New Roman"/>
            </w:rPr>
          </w:pPr>
          <w:bookmarkStart w:id="30" w:name="_Toc159952375"/>
          <w:r w:rsidRPr="00931DCE">
            <w:rPr>
              <w:rFonts w:cs="Times New Roman"/>
            </w:rPr>
            <w:t>NOTA 10. PROPIEDADES, PLANTA Y EQUIPO</w:t>
          </w:r>
          <w:bookmarkEnd w:id="30"/>
        </w:p>
        <w:p w14:paraId="3226F578" w14:textId="77777777" w:rsidR="00644B59" w:rsidRPr="00931DCE" w:rsidRDefault="00644B59" w:rsidP="004A000E">
          <w:pPr>
            <w:spacing w:after="0" w:line="240" w:lineRule="auto"/>
            <w:jc w:val="both"/>
            <w:rPr>
              <w:rFonts w:ascii="Times New Roman" w:hAnsi="Times New Roman"/>
              <w:b/>
              <w:sz w:val="28"/>
              <w:szCs w:val="28"/>
            </w:rPr>
          </w:pPr>
        </w:p>
        <w:p w14:paraId="14F1003F" w14:textId="2AD96EDA" w:rsidR="006877C5" w:rsidRPr="00931DCE" w:rsidRDefault="006877C5" w:rsidP="008138F6">
          <w:pPr>
            <w:spacing w:after="0" w:line="240" w:lineRule="auto"/>
            <w:jc w:val="both"/>
            <w:rPr>
              <w:rFonts w:ascii="Times New Roman" w:hAnsi="Times New Roman"/>
              <w:sz w:val="24"/>
              <w:szCs w:val="24"/>
            </w:rPr>
          </w:pPr>
          <w:r w:rsidRPr="00931DCE">
            <w:rPr>
              <w:rFonts w:ascii="Times New Roman" w:hAnsi="Times New Roman"/>
              <w:sz w:val="24"/>
              <w:szCs w:val="24"/>
            </w:rPr>
            <w:t xml:space="preserve">La Propiedad Planta y Equipo, son los activos tangibles con los que cuenta la Agencia, con el fin de cumplir con su misionalidad tanto administrativa como operativa, no se espera venderlos, y son para el uso en las actividades diarias de la entidad, teniendo en cuenta las limitaciones del SIIF- Nación para el cálculo de las depreciaciones, amortizaciones y o provisiones, control de los activos e inventario de bienes de consumo y devolutivos, la Agencia Nacional de Infraestructura cuenta con un aplicativo complementario SINFAD (Sistema Integrado de Información Financiera y Administrativa) para el manejo y control de los mismos. </w:t>
          </w:r>
        </w:p>
        <w:p w14:paraId="727E587D" w14:textId="77777777" w:rsidR="008138F6" w:rsidRPr="00931DCE" w:rsidRDefault="008138F6" w:rsidP="008138F6">
          <w:pPr>
            <w:spacing w:after="0" w:line="240" w:lineRule="auto"/>
            <w:jc w:val="both"/>
            <w:rPr>
              <w:rFonts w:ascii="Times New Roman" w:hAnsi="Times New Roman"/>
              <w:sz w:val="24"/>
              <w:szCs w:val="24"/>
            </w:rPr>
          </w:pPr>
        </w:p>
        <w:p w14:paraId="2D6FBBAA" w14:textId="7415B58F" w:rsidR="00A476D4" w:rsidRPr="00931DCE" w:rsidRDefault="00A476D4" w:rsidP="008138F6">
          <w:pPr>
            <w:spacing w:after="0" w:line="240" w:lineRule="auto"/>
            <w:jc w:val="both"/>
            <w:rPr>
              <w:rFonts w:ascii="Times New Roman" w:hAnsi="Times New Roman"/>
              <w:sz w:val="24"/>
              <w:szCs w:val="24"/>
            </w:rPr>
          </w:pPr>
          <w:r w:rsidRPr="00931DCE">
            <w:rPr>
              <w:rFonts w:ascii="Times New Roman" w:hAnsi="Times New Roman"/>
              <w:sz w:val="24"/>
              <w:szCs w:val="24"/>
            </w:rPr>
            <w:t>Igualmente, en las propiedades, planta y equipo se reconocen los activos adquiridos en virtud de los contratos de concesión de los modos carretero, férreo, portuario y aeroportuario, lo anterior en cumplimiento a la norma de concesiones desde la perspectiva de la entidad concedente.</w:t>
          </w:r>
        </w:p>
        <w:p w14:paraId="7FE31C6A" w14:textId="77777777" w:rsidR="008138F6" w:rsidRPr="00931DCE" w:rsidRDefault="008138F6" w:rsidP="008138F6">
          <w:pPr>
            <w:spacing w:after="0" w:line="240" w:lineRule="auto"/>
            <w:jc w:val="both"/>
            <w:rPr>
              <w:rFonts w:ascii="Times New Roman" w:hAnsi="Times New Roman"/>
              <w:sz w:val="24"/>
              <w:szCs w:val="24"/>
            </w:rPr>
          </w:pPr>
        </w:p>
        <w:p w14:paraId="4AB5D54E" w14:textId="77777777" w:rsidR="00E12C9E" w:rsidRPr="00931DCE" w:rsidRDefault="00E12C9E" w:rsidP="008138F6">
          <w:pPr>
            <w:pStyle w:val="Ttulo2"/>
            <w:numPr>
              <w:ilvl w:val="0"/>
              <w:numId w:val="0"/>
            </w:numPr>
            <w:spacing w:line="240" w:lineRule="auto"/>
            <w:rPr>
              <w:rFonts w:cs="Times New Roman"/>
              <w:szCs w:val="24"/>
            </w:rPr>
          </w:pPr>
          <w:bookmarkStart w:id="31" w:name="_Toc159952376"/>
          <w:r w:rsidRPr="00931DCE">
            <w:rPr>
              <w:rFonts w:cs="Times New Roman"/>
              <w:szCs w:val="24"/>
            </w:rPr>
            <w:t>Composición</w:t>
          </w:r>
          <w:bookmarkEnd w:id="31"/>
        </w:p>
        <w:p w14:paraId="3D8C6786" w14:textId="7CA326C2" w:rsidR="00E12C9E" w:rsidRPr="00931DCE" w:rsidRDefault="00E12C9E" w:rsidP="008138F6">
          <w:pPr>
            <w:spacing w:after="0" w:line="240" w:lineRule="auto"/>
            <w:jc w:val="both"/>
            <w:rPr>
              <w:rFonts w:ascii="Times New Roman" w:hAnsi="Times New Roman"/>
              <w:sz w:val="24"/>
              <w:szCs w:val="24"/>
            </w:rPr>
          </w:pPr>
        </w:p>
        <w:p w14:paraId="25260A54" w14:textId="13179527" w:rsidR="00FD5560" w:rsidRPr="00931DCE" w:rsidRDefault="006877C5" w:rsidP="008138F6">
          <w:pPr>
            <w:spacing w:after="0" w:line="240" w:lineRule="auto"/>
            <w:jc w:val="both"/>
            <w:rPr>
              <w:rFonts w:ascii="Times New Roman" w:hAnsi="Times New Roman"/>
              <w:sz w:val="24"/>
              <w:szCs w:val="24"/>
            </w:rPr>
          </w:pPr>
          <w:r w:rsidRPr="00931DCE">
            <w:rPr>
              <w:rFonts w:ascii="Times New Roman" w:hAnsi="Times New Roman"/>
              <w:sz w:val="24"/>
              <w:szCs w:val="24"/>
            </w:rPr>
            <w:t>A 31 de diciembre de 202</w:t>
          </w:r>
          <w:r w:rsidR="00DF5F13">
            <w:rPr>
              <w:rFonts w:ascii="Times New Roman" w:hAnsi="Times New Roman"/>
              <w:sz w:val="24"/>
              <w:szCs w:val="24"/>
            </w:rPr>
            <w:t>3</w:t>
          </w:r>
          <w:r w:rsidRPr="00931DCE">
            <w:rPr>
              <w:rFonts w:ascii="Times New Roman" w:hAnsi="Times New Roman"/>
              <w:sz w:val="24"/>
              <w:szCs w:val="24"/>
            </w:rPr>
            <w:t>, la Cuenta Propiedades</w:t>
          </w:r>
          <w:r w:rsidR="00742A43" w:rsidRPr="00931DCE">
            <w:rPr>
              <w:rFonts w:ascii="Times New Roman" w:hAnsi="Times New Roman"/>
              <w:sz w:val="24"/>
              <w:szCs w:val="24"/>
            </w:rPr>
            <w:t>,</w:t>
          </w:r>
          <w:r w:rsidRPr="00931DCE">
            <w:rPr>
              <w:rFonts w:ascii="Times New Roman" w:hAnsi="Times New Roman"/>
              <w:sz w:val="24"/>
              <w:szCs w:val="24"/>
            </w:rPr>
            <w:t xml:space="preserve"> </w:t>
          </w:r>
          <w:r w:rsidR="00FC4C1D">
            <w:rPr>
              <w:rFonts w:ascii="Times New Roman" w:hAnsi="Times New Roman"/>
              <w:sz w:val="24"/>
              <w:szCs w:val="24"/>
            </w:rPr>
            <w:t>p</w:t>
          </w:r>
          <w:r w:rsidRPr="00931DCE">
            <w:rPr>
              <w:rFonts w:ascii="Times New Roman" w:hAnsi="Times New Roman"/>
              <w:sz w:val="24"/>
              <w:szCs w:val="24"/>
            </w:rPr>
            <w:t xml:space="preserve">lanta y </w:t>
          </w:r>
          <w:r w:rsidR="00FC4C1D">
            <w:rPr>
              <w:rFonts w:ascii="Times New Roman" w:hAnsi="Times New Roman"/>
              <w:sz w:val="24"/>
              <w:szCs w:val="24"/>
            </w:rPr>
            <w:t>e</w:t>
          </w:r>
          <w:r w:rsidRPr="00931DCE">
            <w:rPr>
              <w:rFonts w:ascii="Times New Roman" w:hAnsi="Times New Roman"/>
              <w:sz w:val="24"/>
              <w:szCs w:val="24"/>
            </w:rPr>
            <w:t>quipo presenta un saldo de $</w:t>
          </w:r>
          <w:r w:rsidR="005255AB" w:rsidRPr="005255AB">
            <w:rPr>
              <w:rFonts w:ascii="Times New Roman" w:hAnsi="Times New Roman"/>
              <w:sz w:val="24"/>
              <w:szCs w:val="24"/>
            </w:rPr>
            <w:t>189.953.822.439</w:t>
          </w:r>
          <w:r w:rsidRPr="00931DCE">
            <w:rPr>
              <w:rFonts w:ascii="Times New Roman" w:hAnsi="Times New Roman"/>
              <w:sz w:val="24"/>
              <w:szCs w:val="24"/>
            </w:rPr>
            <w:t xml:space="preserve">, correspondiente a los bienes </w:t>
          </w:r>
          <w:r w:rsidR="004D6B11" w:rsidRPr="00931DCE">
            <w:rPr>
              <w:rFonts w:ascii="Times New Roman" w:hAnsi="Times New Roman"/>
              <w:sz w:val="24"/>
              <w:szCs w:val="24"/>
            </w:rPr>
            <w:t>para uso administrativo</w:t>
          </w:r>
          <w:r w:rsidR="00742A43" w:rsidRPr="00931DCE">
            <w:rPr>
              <w:rFonts w:ascii="Times New Roman" w:hAnsi="Times New Roman"/>
              <w:sz w:val="24"/>
              <w:szCs w:val="24"/>
            </w:rPr>
            <w:t xml:space="preserve">, así como los </w:t>
          </w:r>
          <w:r w:rsidR="004D6B11" w:rsidRPr="00931DCE">
            <w:rPr>
              <w:rFonts w:ascii="Times New Roman" w:hAnsi="Times New Roman"/>
              <w:sz w:val="24"/>
              <w:szCs w:val="24"/>
            </w:rPr>
            <w:t>bienes</w:t>
          </w:r>
          <w:r w:rsidR="00742A43" w:rsidRPr="00931DCE">
            <w:rPr>
              <w:rFonts w:ascii="Times New Roman" w:hAnsi="Times New Roman"/>
              <w:sz w:val="24"/>
              <w:szCs w:val="24"/>
            </w:rPr>
            <w:t xml:space="preserve"> en concesión</w:t>
          </w:r>
          <w:r w:rsidRPr="00931DCE">
            <w:rPr>
              <w:rFonts w:ascii="Times New Roman" w:hAnsi="Times New Roman"/>
              <w:sz w:val="24"/>
              <w:szCs w:val="24"/>
            </w:rPr>
            <w:t>, los cuales se detallan a continuación de acuerdo con su composición:</w:t>
          </w:r>
        </w:p>
        <w:p w14:paraId="60569836" w14:textId="6FDDAF46" w:rsidR="00FD5716" w:rsidRDefault="00FD5716" w:rsidP="004A000E">
          <w:pPr>
            <w:spacing w:after="0" w:line="240" w:lineRule="auto"/>
            <w:jc w:val="both"/>
            <w:rPr>
              <w:rFonts w:ascii="Times New Roman" w:hAnsi="Times New Roman"/>
              <w:sz w:val="24"/>
              <w:szCs w:val="24"/>
            </w:rPr>
          </w:pPr>
        </w:p>
        <w:p w14:paraId="6EE37724" w14:textId="77777777" w:rsidR="009A7447" w:rsidRDefault="009A7447" w:rsidP="0043313B">
          <w:pPr>
            <w:spacing w:after="0"/>
            <w:jc w:val="both"/>
            <w:rPr>
              <w:rFonts w:ascii="Times New Roman" w:hAnsi="Times New Roman"/>
              <w:sz w:val="14"/>
              <w:szCs w:val="14"/>
            </w:rPr>
          </w:pPr>
        </w:p>
        <w:tbl>
          <w:tblPr>
            <w:tblW w:w="5000" w:type="pct"/>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CellMar>
              <w:left w:w="70" w:type="dxa"/>
              <w:right w:w="70" w:type="dxa"/>
            </w:tblCellMar>
            <w:tblLook w:val="04A0" w:firstRow="1" w:lastRow="0" w:firstColumn="1" w:lastColumn="0" w:noHBand="0" w:noVBand="1"/>
          </w:tblPr>
          <w:tblGrid>
            <w:gridCol w:w="1038"/>
            <w:gridCol w:w="478"/>
            <w:gridCol w:w="2315"/>
            <w:gridCol w:w="1754"/>
            <w:gridCol w:w="1754"/>
            <w:gridCol w:w="1620"/>
          </w:tblGrid>
          <w:tr w:rsidR="009A7447" w:rsidRPr="009A7447" w14:paraId="36D97805" w14:textId="77777777" w:rsidTr="004E5925">
            <w:trPr>
              <w:trHeight w:val="300"/>
              <w:tblHeader/>
            </w:trPr>
            <w:tc>
              <w:tcPr>
                <w:tcW w:w="2475" w:type="pct"/>
                <w:gridSpan w:val="3"/>
                <w:shd w:val="clear" w:color="auto" w:fill="auto"/>
                <w:vAlign w:val="center"/>
                <w:hideMark/>
              </w:tcPr>
              <w:p w14:paraId="1D5EA018" w14:textId="77777777" w:rsidR="009A7447" w:rsidRPr="009A7447" w:rsidRDefault="009A7447" w:rsidP="009A7447">
                <w:pPr>
                  <w:spacing w:after="0" w:line="240" w:lineRule="auto"/>
                  <w:jc w:val="center"/>
                  <w:rPr>
                    <w:rFonts w:ascii="Times New Roman" w:eastAsia="Times New Roman" w:hAnsi="Times New Roman"/>
                    <w:b/>
                    <w:bCs/>
                    <w:sz w:val="16"/>
                    <w:szCs w:val="16"/>
                    <w:lang w:eastAsia="es-CO"/>
                  </w:rPr>
                </w:pPr>
                <w:r w:rsidRPr="009A7447">
                  <w:rPr>
                    <w:rFonts w:ascii="Times New Roman" w:eastAsia="Times New Roman" w:hAnsi="Times New Roman"/>
                    <w:b/>
                    <w:bCs/>
                    <w:sz w:val="16"/>
                    <w:szCs w:val="16"/>
                    <w:lang w:eastAsia="es-CO"/>
                  </w:rPr>
                  <w:t xml:space="preserve">DESCRIPCIÓN </w:t>
                </w:r>
              </w:p>
            </w:tc>
            <w:tc>
              <w:tcPr>
                <w:tcW w:w="1727" w:type="pct"/>
                <w:gridSpan w:val="2"/>
                <w:shd w:val="clear" w:color="auto" w:fill="auto"/>
                <w:vAlign w:val="center"/>
                <w:hideMark/>
              </w:tcPr>
              <w:p w14:paraId="52308392" w14:textId="77777777" w:rsidR="009A7447" w:rsidRPr="009A7447" w:rsidRDefault="009A7447" w:rsidP="009A7447">
                <w:pPr>
                  <w:spacing w:after="0" w:line="240" w:lineRule="auto"/>
                  <w:jc w:val="center"/>
                  <w:rPr>
                    <w:rFonts w:ascii="Times New Roman" w:eastAsia="Times New Roman" w:hAnsi="Times New Roman"/>
                    <w:b/>
                    <w:bCs/>
                    <w:sz w:val="16"/>
                    <w:szCs w:val="16"/>
                    <w:lang w:eastAsia="es-CO"/>
                  </w:rPr>
                </w:pPr>
                <w:r w:rsidRPr="009A7447">
                  <w:rPr>
                    <w:rFonts w:ascii="Times New Roman" w:eastAsia="Times New Roman" w:hAnsi="Times New Roman"/>
                    <w:b/>
                    <w:bCs/>
                    <w:sz w:val="16"/>
                    <w:szCs w:val="16"/>
                    <w:lang w:eastAsia="es-CO"/>
                  </w:rPr>
                  <w:t xml:space="preserve"> SALDOS A CORTES DE VIGENCIA </w:t>
                </w:r>
              </w:p>
            </w:tc>
            <w:tc>
              <w:tcPr>
                <w:tcW w:w="798" w:type="pct"/>
                <w:shd w:val="clear" w:color="auto" w:fill="auto"/>
                <w:vAlign w:val="center"/>
                <w:hideMark/>
              </w:tcPr>
              <w:p w14:paraId="2A34637D" w14:textId="77777777" w:rsidR="009A7447" w:rsidRPr="009A7447" w:rsidRDefault="009A7447" w:rsidP="009A7447">
                <w:pPr>
                  <w:spacing w:after="0" w:line="240" w:lineRule="auto"/>
                  <w:jc w:val="center"/>
                  <w:rPr>
                    <w:rFonts w:ascii="Times New Roman" w:eastAsia="Times New Roman" w:hAnsi="Times New Roman"/>
                    <w:b/>
                    <w:bCs/>
                    <w:sz w:val="16"/>
                    <w:szCs w:val="16"/>
                    <w:lang w:eastAsia="es-CO"/>
                  </w:rPr>
                </w:pPr>
                <w:r w:rsidRPr="009A7447">
                  <w:rPr>
                    <w:rFonts w:ascii="Times New Roman" w:eastAsia="Times New Roman" w:hAnsi="Times New Roman"/>
                    <w:b/>
                    <w:bCs/>
                    <w:sz w:val="16"/>
                    <w:szCs w:val="16"/>
                    <w:lang w:eastAsia="es-CO"/>
                  </w:rPr>
                  <w:t xml:space="preserve"> VARIACIÓN </w:t>
                </w:r>
              </w:p>
            </w:tc>
          </w:tr>
          <w:tr w:rsidR="009A7447" w:rsidRPr="009A7447" w14:paraId="1FCE7750" w14:textId="77777777" w:rsidTr="004E5925">
            <w:trPr>
              <w:trHeight w:val="570"/>
              <w:tblHeader/>
            </w:trPr>
            <w:tc>
              <w:tcPr>
                <w:tcW w:w="522" w:type="pct"/>
                <w:shd w:val="clear" w:color="auto" w:fill="auto"/>
                <w:vAlign w:val="center"/>
                <w:hideMark/>
              </w:tcPr>
              <w:p w14:paraId="4FDE27D7" w14:textId="77777777" w:rsidR="009A7447" w:rsidRPr="009A7447" w:rsidRDefault="009A7447" w:rsidP="009A7447">
                <w:pPr>
                  <w:spacing w:after="0" w:line="240" w:lineRule="auto"/>
                  <w:jc w:val="center"/>
                  <w:rPr>
                    <w:rFonts w:ascii="Times New Roman" w:eastAsia="Times New Roman" w:hAnsi="Times New Roman"/>
                    <w:b/>
                    <w:bCs/>
                    <w:sz w:val="16"/>
                    <w:szCs w:val="16"/>
                    <w:lang w:eastAsia="es-CO"/>
                  </w:rPr>
                </w:pPr>
                <w:r w:rsidRPr="009A7447">
                  <w:rPr>
                    <w:rFonts w:ascii="Times New Roman" w:eastAsia="Times New Roman" w:hAnsi="Times New Roman"/>
                    <w:b/>
                    <w:bCs/>
                    <w:sz w:val="16"/>
                    <w:szCs w:val="16"/>
                    <w:lang w:eastAsia="es-CO"/>
                  </w:rPr>
                  <w:t xml:space="preserve"> CÓDIGO CONTABLE </w:t>
                </w:r>
              </w:p>
            </w:tc>
            <w:tc>
              <w:tcPr>
                <w:tcW w:w="210" w:type="pct"/>
                <w:shd w:val="clear" w:color="auto" w:fill="auto"/>
                <w:vAlign w:val="center"/>
                <w:hideMark/>
              </w:tcPr>
              <w:p w14:paraId="18AB3CA6" w14:textId="77777777" w:rsidR="009A7447" w:rsidRPr="009A7447" w:rsidRDefault="009A7447" w:rsidP="009A7447">
                <w:pPr>
                  <w:spacing w:after="0" w:line="240" w:lineRule="auto"/>
                  <w:jc w:val="center"/>
                  <w:rPr>
                    <w:rFonts w:ascii="Times New Roman" w:eastAsia="Times New Roman" w:hAnsi="Times New Roman"/>
                    <w:b/>
                    <w:bCs/>
                    <w:sz w:val="16"/>
                    <w:szCs w:val="16"/>
                    <w:lang w:eastAsia="es-CO"/>
                  </w:rPr>
                </w:pPr>
                <w:r w:rsidRPr="009A7447">
                  <w:rPr>
                    <w:rFonts w:ascii="Times New Roman" w:eastAsia="Times New Roman" w:hAnsi="Times New Roman"/>
                    <w:b/>
                    <w:bCs/>
                    <w:sz w:val="16"/>
                    <w:szCs w:val="16"/>
                    <w:lang w:eastAsia="es-CO"/>
                  </w:rPr>
                  <w:t xml:space="preserve"> NAT </w:t>
                </w:r>
              </w:p>
            </w:tc>
            <w:tc>
              <w:tcPr>
                <w:tcW w:w="1742" w:type="pct"/>
                <w:shd w:val="clear" w:color="auto" w:fill="auto"/>
                <w:vAlign w:val="center"/>
                <w:hideMark/>
              </w:tcPr>
              <w:p w14:paraId="7C42621A" w14:textId="77777777" w:rsidR="009A7447" w:rsidRPr="009A7447" w:rsidRDefault="009A7447" w:rsidP="009A7447">
                <w:pPr>
                  <w:spacing w:after="0" w:line="240" w:lineRule="auto"/>
                  <w:jc w:val="center"/>
                  <w:rPr>
                    <w:rFonts w:ascii="Times New Roman" w:eastAsia="Times New Roman" w:hAnsi="Times New Roman"/>
                    <w:b/>
                    <w:bCs/>
                    <w:sz w:val="16"/>
                    <w:szCs w:val="16"/>
                    <w:lang w:eastAsia="es-CO"/>
                  </w:rPr>
                </w:pPr>
                <w:r w:rsidRPr="009A7447">
                  <w:rPr>
                    <w:rFonts w:ascii="Times New Roman" w:eastAsia="Times New Roman" w:hAnsi="Times New Roman"/>
                    <w:b/>
                    <w:bCs/>
                    <w:sz w:val="16"/>
                    <w:szCs w:val="16"/>
                    <w:lang w:eastAsia="es-CO"/>
                  </w:rPr>
                  <w:t xml:space="preserve"> CONCEPTO </w:t>
                </w:r>
              </w:p>
            </w:tc>
            <w:tc>
              <w:tcPr>
                <w:tcW w:w="864" w:type="pct"/>
                <w:shd w:val="clear" w:color="auto" w:fill="auto"/>
                <w:vAlign w:val="center"/>
                <w:hideMark/>
              </w:tcPr>
              <w:p w14:paraId="7CB5D747" w14:textId="77777777" w:rsidR="00313FEE" w:rsidRDefault="009A7447" w:rsidP="009A7447">
                <w:pPr>
                  <w:spacing w:after="0" w:line="240" w:lineRule="auto"/>
                  <w:jc w:val="center"/>
                  <w:rPr>
                    <w:rFonts w:ascii="Times New Roman" w:eastAsia="Times New Roman" w:hAnsi="Times New Roman"/>
                    <w:b/>
                    <w:bCs/>
                    <w:sz w:val="16"/>
                    <w:szCs w:val="16"/>
                    <w:lang w:eastAsia="es-CO"/>
                  </w:rPr>
                </w:pPr>
                <w:r w:rsidRPr="009A46BB">
                  <w:rPr>
                    <w:rFonts w:ascii="Times New Roman" w:eastAsia="Times New Roman" w:hAnsi="Times New Roman"/>
                    <w:b/>
                    <w:bCs/>
                    <w:sz w:val="16"/>
                    <w:szCs w:val="16"/>
                    <w:lang w:eastAsia="es-CO"/>
                  </w:rPr>
                  <w:t>2023</w:t>
                </w:r>
              </w:p>
              <w:p w14:paraId="19BA6952" w14:textId="09D0AEE2" w:rsidR="009A7447" w:rsidRPr="009A7447" w:rsidRDefault="009A7447" w:rsidP="009A7447">
                <w:pPr>
                  <w:spacing w:after="0" w:line="240" w:lineRule="auto"/>
                  <w:jc w:val="center"/>
                  <w:rPr>
                    <w:rFonts w:ascii="Times New Roman" w:eastAsia="Times New Roman" w:hAnsi="Times New Roman"/>
                    <w:b/>
                    <w:bCs/>
                    <w:sz w:val="16"/>
                    <w:szCs w:val="16"/>
                    <w:lang w:eastAsia="es-CO"/>
                  </w:rPr>
                </w:pPr>
                <w:r w:rsidRPr="009A7447">
                  <w:rPr>
                    <w:rFonts w:ascii="Times New Roman" w:eastAsia="Times New Roman" w:hAnsi="Times New Roman"/>
                    <w:b/>
                    <w:bCs/>
                    <w:sz w:val="16"/>
                    <w:szCs w:val="16"/>
                    <w:lang w:eastAsia="es-CO"/>
                  </w:rPr>
                  <w:t xml:space="preserve">                            </w:t>
                </w:r>
              </w:p>
            </w:tc>
            <w:tc>
              <w:tcPr>
                <w:tcW w:w="864" w:type="pct"/>
                <w:shd w:val="clear" w:color="auto" w:fill="auto"/>
                <w:vAlign w:val="center"/>
                <w:hideMark/>
              </w:tcPr>
              <w:p w14:paraId="0A5EF8A9" w14:textId="77777777" w:rsidR="00313FEE" w:rsidRDefault="009A7447" w:rsidP="009A7447">
                <w:pPr>
                  <w:spacing w:after="0" w:line="240" w:lineRule="auto"/>
                  <w:jc w:val="center"/>
                  <w:rPr>
                    <w:rFonts w:ascii="Times New Roman" w:eastAsia="Times New Roman" w:hAnsi="Times New Roman"/>
                    <w:b/>
                    <w:bCs/>
                    <w:sz w:val="16"/>
                    <w:szCs w:val="16"/>
                    <w:lang w:eastAsia="es-CO"/>
                  </w:rPr>
                </w:pPr>
                <w:r w:rsidRPr="009A46BB">
                  <w:rPr>
                    <w:rFonts w:ascii="Times New Roman" w:eastAsia="Times New Roman" w:hAnsi="Times New Roman"/>
                    <w:b/>
                    <w:bCs/>
                    <w:sz w:val="16"/>
                    <w:szCs w:val="16"/>
                    <w:lang w:eastAsia="es-CO"/>
                  </w:rPr>
                  <w:t>2022</w:t>
                </w:r>
              </w:p>
              <w:p w14:paraId="1F673B98" w14:textId="4B36A124" w:rsidR="009A7447" w:rsidRPr="009A7447" w:rsidRDefault="009A7447" w:rsidP="009A7447">
                <w:pPr>
                  <w:spacing w:after="0" w:line="240" w:lineRule="auto"/>
                  <w:jc w:val="center"/>
                  <w:rPr>
                    <w:rFonts w:ascii="Times New Roman" w:eastAsia="Times New Roman" w:hAnsi="Times New Roman"/>
                    <w:b/>
                    <w:bCs/>
                    <w:sz w:val="16"/>
                    <w:szCs w:val="16"/>
                    <w:lang w:eastAsia="es-CO"/>
                  </w:rPr>
                </w:pPr>
                <w:r w:rsidRPr="009A7447">
                  <w:rPr>
                    <w:rFonts w:ascii="Times New Roman" w:eastAsia="Times New Roman" w:hAnsi="Times New Roman"/>
                    <w:b/>
                    <w:bCs/>
                    <w:sz w:val="16"/>
                    <w:szCs w:val="16"/>
                    <w:lang w:eastAsia="es-CO"/>
                  </w:rPr>
                  <w:t xml:space="preserve">                            </w:t>
                </w:r>
              </w:p>
            </w:tc>
            <w:tc>
              <w:tcPr>
                <w:tcW w:w="798" w:type="pct"/>
                <w:shd w:val="clear" w:color="auto" w:fill="auto"/>
                <w:vAlign w:val="center"/>
                <w:hideMark/>
              </w:tcPr>
              <w:p w14:paraId="5665F0A9" w14:textId="77777777" w:rsidR="009A7447" w:rsidRPr="009A7447" w:rsidRDefault="009A7447" w:rsidP="009A7447">
                <w:pPr>
                  <w:spacing w:after="0" w:line="240" w:lineRule="auto"/>
                  <w:jc w:val="center"/>
                  <w:rPr>
                    <w:rFonts w:ascii="Times New Roman" w:eastAsia="Times New Roman" w:hAnsi="Times New Roman"/>
                    <w:b/>
                    <w:bCs/>
                    <w:sz w:val="16"/>
                    <w:szCs w:val="16"/>
                    <w:lang w:eastAsia="es-CO"/>
                  </w:rPr>
                </w:pPr>
                <w:r w:rsidRPr="009A7447">
                  <w:rPr>
                    <w:rFonts w:ascii="Times New Roman" w:eastAsia="Times New Roman" w:hAnsi="Times New Roman"/>
                    <w:b/>
                    <w:bCs/>
                    <w:sz w:val="16"/>
                    <w:szCs w:val="16"/>
                    <w:lang w:eastAsia="es-CO"/>
                  </w:rPr>
                  <w:t xml:space="preserve"> VALOR VARIACIÓN </w:t>
                </w:r>
              </w:p>
            </w:tc>
          </w:tr>
          <w:tr w:rsidR="009A7447" w:rsidRPr="009A7447" w14:paraId="67F26891" w14:textId="77777777" w:rsidTr="00186522">
            <w:trPr>
              <w:trHeight w:val="285"/>
            </w:trPr>
            <w:tc>
              <w:tcPr>
                <w:tcW w:w="522" w:type="pct"/>
                <w:shd w:val="clear" w:color="auto" w:fill="auto"/>
                <w:noWrap/>
                <w:vAlign w:val="center"/>
                <w:hideMark/>
              </w:tcPr>
              <w:p w14:paraId="4EC3EB76" w14:textId="77777777" w:rsidR="009A7447" w:rsidRPr="009A7447" w:rsidRDefault="009A7447" w:rsidP="009A7447">
                <w:pPr>
                  <w:spacing w:after="0" w:line="240" w:lineRule="auto"/>
                  <w:rPr>
                    <w:rFonts w:ascii="Times New Roman" w:eastAsia="Times New Roman" w:hAnsi="Times New Roman"/>
                    <w:b/>
                    <w:bCs/>
                    <w:sz w:val="16"/>
                    <w:szCs w:val="16"/>
                    <w:lang w:eastAsia="es-CO"/>
                  </w:rPr>
                </w:pPr>
                <w:r w:rsidRPr="009A7447">
                  <w:rPr>
                    <w:rFonts w:ascii="Times New Roman" w:eastAsia="Times New Roman" w:hAnsi="Times New Roman"/>
                    <w:b/>
                    <w:bCs/>
                    <w:sz w:val="16"/>
                    <w:szCs w:val="16"/>
                    <w:lang w:eastAsia="es-CO"/>
                  </w:rPr>
                  <w:t xml:space="preserve"> 1.6 </w:t>
                </w:r>
              </w:p>
            </w:tc>
            <w:tc>
              <w:tcPr>
                <w:tcW w:w="210" w:type="pct"/>
                <w:shd w:val="clear" w:color="auto" w:fill="auto"/>
                <w:noWrap/>
                <w:vAlign w:val="center"/>
                <w:hideMark/>
              </w:tcPr>
              <w:p w14:paraId="4D2CFEEF" w14:textId="77777777" w:rsidR="009A7447" w:rsidRPr="009A7447" w:rsidRDefault="009A7447" w:rsidP="009A7447">
                <w:pPr>
                  <w:spacing w:after="0" w:line="240" w:lineRule="auto"/>
                  <w:jc w:val="center"/>
                  <w:rPr>
                    <w:rFonts w:ascii="Times New Roman" w:eastAsia="Times New Roman" w:hAnsi="Times New Roman"/>
                    <w:b/>
                    <w:bCs/>
                    <w:sz w:val="16"/>
                    <w:szCs w:val="16"/>
                    <w:lang w:eastAsia="es-CO"/>
                  </w:rPr>
                </w:pPr>
                <w:r w:rsidRPr="009A7447">
                  <w:rPr>
                    <w:rFonts w:ascii="Times New Roman" w:eastAsia="Times New Roman" w:hAnsi="Times New Roman"/>
                    <w:b/>
                    <w:bCs/>
                    <w:sz w:val="16"/>
                    <w:szCs w:val="16"/>
                    <w:lang w:eastAsia="es-CO"/>
                  </w:rPr>
                  <w:t xml:space="preserve"> Db </w:t>
                </w:r>
              </w:p>
            </w:tc>
            <w:tc>
              <w:tcPr>
                <w:tcW w:w="1742" w:type="pct"/>
                <w:shd w:val="clear" w:color="auto" w:fill="auto"/>
                <w:vAlign w:val="center"/>
                <w:hideMark/>
              </w:tcPr>
              <w:p w14:paraId="523CF455" w14:textId="77777777" w:rsidR="009A7447" w:rsidRPr="009A7447" w:rsidRDefault="009A7447" w:rsidP="009A7447">
                <w:pPr>
                  <w:spacing w:after="0" w:line="240" w:lineRule="auto"/>
                  <w:jc w:val="center"/>
                  <w:rPr>
                    <w:rFonts w:ascii="Times New Roman" w:eastAsia="Times New Roman" w:hAnsi="Times New Roman"/>
                    <w:b/>
                    <w:bCs/>
                    <w:sz w:val="16"/>
                    <w:szCs w:val="16"/>
                    <w:lang w:eastAsia="es-CO"/>
                  </w:rPr>
                </w:pPr>
                <w:r w:rsidRPr="009A7447">
                  <w:rPr>
                    <w:rFonts w:ascii="Times New Roman" w:eastAsia="Times New Roman" w:hAnsi="Times New Roman"/>
                    <w:b/>
                    <w:bCs/>
                    <w:sz w:val="16"/>
                    <w:szCs w:val="16"/>
                    <w:lang w:eastAsia="es-CO"/>
                  </w:rPr>
                  <w:t xml:space="preserve"> PROPIEDADES, PLANTA Y EQUIPO </w:t>
                </w:r>
              </w:p>
            </w:tc>
            <w:tc>
              <w:tcPr>
                <w:tcW w:w="864" w:type="pct"/>
                <w:shd w:val="clear" w:color="auto" w:fill="auto"/>
                <w:noWrap/>
                <w:vAlign w:val="center"/>
                <w:hideMark/>
              </w:tcPr>
              <w:p w14:paraId="07765519" w14:textId="77777777" w:rsidR="009A7447" w:rsidRPr="009A7447" w:rsidRDefault="009A7447" w:rsidP="009A7447">
                <w:pPr>
                  <w:spacing w:after="0" w:line="240" w:lineRule="auto"/>
                  <w:rPr>
                    <w:rFonts w:ascii="Times New Roman" w:eastAsia="Times New Roman" w:hAnsi="Times New Roman"/>
                    <w:b/>
                    <w:bCs/>
                    <w:sz w:val="16"/>
                    <w:szCs w:val="16"/>
                    <w:lang w:eastAsia="es-CO"/>
                  </w:rPr>
                </w:pPr>
                <w:r w:rsidRPr="009A7447">
                  <w:rPr>
                    <w:rFonts w:ascii="Times New Roman" w:eastAsia="Times New Roman" w:hAnsi="Times New Roman"/>
                    <w:b/>
                    <w:bCs/>
                    <w:sz w:val="16"/>
                    <w:szCs w:val="16"/>
                    <w:lang w:eastAsia="es-CO"/>
                  </w:rPr>
                  <w:t xml:space="preserve">       3.062.274.351.609 </w:t>
                </w:r>
              </w:p>
            </w:tc>
            <w:tc>
              <w:tcPr>
                <w:tcW w:w="864" w:type="pct"/>
                <w:shd w:val="clear" w:color="auto" w:fill="auto"/>
                <w:noWrap/>
                <w:vAlign w:val="center"/>
                <w:hideMark/>
              </w:tcPr>
              <w:p w14:paraId="61AB48FE" w14:textId="054828F2" w:rsidR="009A7447" w:rsidRPr="009A7447" w:rsidRDefault="009A7447" w:rsidP="009A7447">
                <w:pPr>
                  <w:spacing w:after="0" w:line="240" w:lineRule="auto"/>
                  <w:rPr>
                    <w:rFonts w:ascii="Times New Roman" w:eastAsia="Times New Roman" w:hAnsi="Times New Roman"/>
                    <w:b/>
                    <w:bCs/>
                    <w:sz w:val="16"/>
                    <w:szCs w:val="16"/>
                    <w:lang w:eastAsia="es-CO"/>
                  </w:rPr>
                </w:pPr>
                <w:r w:rsidRPr="009A7447">
                  <w:rPr>
                    <w:rFonts w:ascii="Times New Roman" w:eastAsia="Times New Roman" w:hAnsi="Times New Roman"/>
                    <w:b/>
                    <w:bCs/>
                    <w:sz w:val="16"/>
                    <w:szCs w:val="16"/>
                    <w:lang w:eastAsia="es-CO"/>
                  </w:rPr>
                  <w:t xml:space="preserve">       2.872.636.232.04</w:t>
                </w:r>
                <w:r w:rsidR="004E5925">
                  <w:rPr>
                    <w:rFonts w:ascii="Times New Roman" w:eastAsia="Times New Roman" w:hAnsi="Times New Roman"/>
                    <w:b/>
                    <w:bCs/>
                    <w:sz w:val="16"/>
                    <w:szCs w:val="16"/>
                    <w:lang w:eastAsia="es-CO"/>
                  </w:rPr>
                  <w:t>5</w:t>
                </w:r>
                <w:r w:rsidRPr="009A7447">
                  <w:rPr>
                    <w:rFonts w:ascii="Times New Roman" w:eastAsia="Times New Roman" w:hAnsi="Times New Roman"/>
                    <w:b/>
                    <w:bCs/>
                    <w:sz w:val="16"/>
                    <w:szCs w:val="16"/>
                    <w:lang w:eastAsia="es-CO"/>
                  </w:rPr>
                  <w:t xml:space="preserve"> </w:t>
                </w:r>
              </w:p>
            </w:tc>
            <w:tc>
              <w:tcPr>
                <w:tcW w:w="798" w:type="pct"/>
                <w:shd w:val="clear" w:color="auto" w:fill="auto"/>
                <w:noWrap/>
                <w:vAlign w:val="center"/>
                <w:hideMark/>
              </w:tcPr>
              <w:p w14:paraId="031C18DC" w14:textId="04C7651B" w:rsidR="009A7447" w:rsidRPr="009A7447" w:rsidRDefault="009A7447" w:rsidP="009A7447">
                <w:pPr>
                  <w:spacing w:after="0" w:line="240" w:lineRule="auto"/>
                  <w:rPr>
                    <w:rFonts w:ascii="Times New Roman" w:eastAsia="Times New Roman" w:hAnsi="Times New Roman"/>
                    <w:b/>
                    <w:bCs/>
                    <w:sz w:val="16"/>
                    <w:szCs w:val="16"/>
                    <w:lang w:eastAsia="es-CO"/>
                  </w:rPr>
                </w:pPr>
                <w:r w:rsidRPr="009A7447">
                  <w:rPr>
                    <w:rFonts w:ascii="Times New Roman" w:eastAsia="Times New Roman" w:hAnsi="Times New Roman"/>
                    <w:b/>
                    <w:bCs/>
                    <w:sz w:val="16"/>
                    <w:szCs w:val="16"/>
                    <w:lang w:eastAsia="es-CO"/>
                  </w:rPr>
                  <w:t xml:space="preserve">       189.638.119.56</w:t>
                </w:r>
                <w:r w:rsidR="004E5925">
                  <w:rPr>
                    <w:rFonts w:ascii="Times New Roman" w:eastAsia="Times New Roman" w:hAnsi="Times New Roman"/>
                    <w:b/>
                    <w:bCs/>
                    <w:sz w:val="16"/>
                    <w:szCs w:val="16"/>
                    <w:lang w:eastAsia="es-CO"/>
                  </w:rPr>
                  <w:t>4</w:t>
                </w:r>
                <w:r w:rsidRPr="009A7447">
                  <w:rPr>
                    <w:rFonts w:ascii="Times New Roman" w:eastAsia="Times New Roman" w:hAnsi="Times New Roman"/>
                    <w:b/>
                    <w:bCs/>
                    <w:sz w:val="16"/>
                    <w:szCs w:val="16"/>
                    <w:lang w:eastAsia="es-CO"/>
                  </w:rPr>
                  <w:t xml:space="preserve"> </w:t>
                </w:r>
              </w:p>
            </w:tc>
          </w:tr>
          <w:tr w:rsidR="009A7447" w:rsidRPr="009A7447" w14:paraId="445AA6BF" w14:textId="77777777" w:rsidTr="00186522">
            <w:trPr>
              <w:trHeight w:val="300"/>
            </w:trPr>
            <w:tc>
              <w:tcPr>
                <w:tcW w:w="522" w:type="pct"/>
                <w:shd w:val="clear" w:color="auto" w:fill="auto"/>
                <w:noWrap/>
                <w:vAlign w:val="center"/>
                <w:hideMark/>
              </w:tcPr>
              <w:p w14:paraId="59A268CE"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1.6.35 </w:t>
                </w:r>
              </w:p>
            </w:tc>
            <w:tc>
              <w:tcPr>
                <w:tcW w:w="210" w:type="pct"/>
                <w:shd w:val="clear" w:color="auto" w:fill="auto"/>
                <w:noWrap/>
                <w:vAlign w:val="center"/>
                <w:hideMark/>
              </w:tcPr>
              <w:p w14:paraId="469B876B" w14:textId="77777777" w:rsidR="009A7447" w:rsidRPr="009A7447" w:rsidRDefault="009A7447" w:rsidP="009A7447">
                <w:pPr>
                  <w:spacing w:after="0" w:line="240" w:lineRule="auto"/>
                  <w:jc w:val="center"/>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Db </w:t>
                </w:r>
              </w:p>
            </w:tc>
            <w:tc>
              <w:tcPr>
                <w:tcW w:w="1742" w:type="pct"/>
                <w:shd w:val="clear" w:color="auto" w:fill="auto"/>
                <w:vAlign w:val="center"/>
                <w:hideMark/>
              </w:tcPr>
              <w:p w14:paraId="57A6F2E1"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Bienes muebles en bodega </w:t>
                </w:r>
              </w:p>
            </w:tc>
            <w:tc>
              <w:tcPr>
                <w:tcW w:w="864" w:type="pct"/>
                <w:shd w:val="clear" w:color="auto" w:fill="auto"/>
                <w:noWrap/>
                <w:vAlign w:val="center"/>
                <w:hideMark/>
              </w:tcPr>
              <w:p w14:paraId="3AC087DE"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188.805.388 </w:t>
                </w:r>
              </w:p>
            </w:tc>
            <w:tc>
              <w:tcPr>
                <w:tcW w:w="864" w:type="pct"/>
                <w:shd w:val="clear" w:color="auto" w:fill="auto"/>
                <w:noWrap/>
                <w:vAlign w:val="center"/>
                <w:hideMark/>
              </w:tcPr>
              <w:p w14:paraId="0729193B"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81.582.830 </w:t>
                </w:r>
              </w:p>
            </w:tc>
            <w:tc>
              <w:tcPr>
                <w:tcW w:w="798" w:type="pct"/>
                <w:shd w:val="clear" w:color="auto" w:fill="auto"/>
                <w:noWrap/>
                <w:vAlign w:val="center"/>
                <w:hideMark/>
              </w:tcPr>
              <w:p w14:paraId="4EB9AE25"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107.222.558 </w:t>
                </w:r>
              </w:p>
            </w:tc>
          </w:tr>
          <w:tr w:rsidR="009A7447" w:rsidRPr="009A7447" w14:paraId="73A87B8B" w14:textId="77777777" w:rsidTr="00186522">
            <w:trPr>
              <w:trHeight w:val="300"/>
            </w:trPr>
            <w:tc>
              <w:tcPr>
                <w:tcW w:w="522" w:type="pct"/>
                <w:shd w:val="clear" w:color="auto" w:fill="auto"/>
                <w:noWrap/>
                <w:vAlign w:val="center"/>
                <w:hideMark/>
              </w:tcPr>
              <w:p w14:paraId="64BBB70A"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1.6.37 </w:t>
                </w:r>
              </w:p>
            </w:tc>
            <w:tc>
              <w:tcPr>
                <w:tcW w:w="210" w:type="pct"/>
                <w:shd w:val="clear" w:color="auto" w:fill="auto"/>
                <w:noWrap/>
                <w:vAlign w:val="center"/>
                <w:hideMark/>
              </w:tcPr>
              <w:p w14:paraId="1069E9AE" w14:textId="77777777" w:rsidR="009A7447" w:rsidRPr="009A7447" w:rsidRDefault="009A7447" w:rsidP="009A7447">
                <w:pPr>
                  <w:spacing w:after="0" w:line="240" w:lineRule="auto"/>
                  <w:jc w:val="center"/>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Db </w:t>
                </w:r>
              </w:p>
            </w:tc>
            <w:tc>
              <w:tcPr>
                <w:tcW w:w="1742" w:type="pct"/>
                <w:shd w:val="clear" w:color="auto" w:fill="auto"/>
                <w:vAlign w:val="center"/>
                <w:hideMark/>
              </w:tcPr>
              <w:p w14:paraId="4A367308"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Propiedades, planta y equipo no explotados </w:t>
                </w:r>
              </w:p>
            </w:tc>
            <w:tc>
              <w:tcPr>
                <w:tcW w:w="864" w:type="pct"/>
                <w:shd w:val="clear" w:color="auto" w:fill="auto"/>
                <w:noWrap/>
                <w:vAlign w:val="center"/>
                <w:hideMark/>
              </w:tcPr>
              <w:p w14:paraId="25E7C3F0"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30.514.351 </w:t>
                </w:r>
              </w:p>
            </w:tc>
            <w:tc>
              <w:tcPr>
                <w:tcW w:w="864" w:type="pct"/>
                <w:shd w:val="clear" w:color="auto" w:fill="auto"/>
                <w:noWrap/>
                <w:vAlign w:val="center"/>
                <w:hideMark/>
              </w:tcPr>
              <w:p w14:paraId="47549359"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116.475.338 </w:t>
                </w:r>
              </w:p>
            </w:tc>
            <w:tc>
              <w:tcPr>
                <w:tcW w:w="798" w:type="pct"/>
                <w:shd w:val="clear" w:color="auto" w:fill="auto"/>
                <w:noWrap/>
                <w:vAlign w:val="center"/>
                <w:hideMark/>
              </w:tcPr>
              <w:p w14:paraId="12A589E9"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85.960.988 </w:t>
                </w:r>
              </w:p>
            </w:tc>
          </w:tr>
          <w:tr w:rsidR="009A7447" w:rsidRPr="009A7447" w14:paraId="5EAC1F2D" w14:textId="77777777" w:rsidTr="00186522">
            <w:trPr>
              <w:trHeight w:val="300"/>
            </w:trPr>
            <w:tc>
              <w:tcPr>
                <w:tcW w:w="522" w:type="pct"/>
                <w:shd w:val="clear" w:color="auto" w:fill="auto"/>
                <w:noWrap/>
                <w:vAlign w:val="center"/>
                <w:hideMark/>
              </w:tcPr>
              <w:p w14:paraId="219883C7"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1.6.50 </w:t>
                </w:r>
              </w:p>
            </w:tc>
            <w:tc>
              <w:tcPr>
                <w:tcW w:w="210" w:type="pct"/>
                <w:shd w:val="clear" w:color="auto" w:fill="auto"/>
                <w:noWrap/>
                <w:vAlign w:val="center"/>
                <w:hideMark/>
              </w:tcPr>
              <w:p w14:paraId="73041B91" w14:textId="77777777" w:rsidR="009A7447" w:rsidRPr="009A7447" w:rsidRDefault="009A7447" w:rsidP="009A7447">
                <w:pPr>
                  <w:spacing w:after="0" w:line="240" w:lineRule="auto"/>
                  <w:jc w:val="center"/>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Db </w:t>
                </w:r>
              </w:p>
            </w:tc>
            <w:tc>
              <w:tcPr>
                <w:tcW w:w="1742" w:type="pct"/>
                <w:shd w:val="clear" w:color="auto" w:fill="auto"/>
                <w:vAlign w:val="center"/>
                <w:hideMark/>
              </w:tcPr>
              <w:p w14:paraId="7FA2854E"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Redes, líneas y cables </w:t>
                </w:r>
              </w:p>
            </w:tc>
            <w:tc>
              <w:tcPr>
                <w:tcW w:w="864" w:type="pct"/>
                <w:shd w:val="clear" w:color="auto" w:fill="auto"/>
                <w:noWrap/>
                <w:vAlign w:val="center"/>
                <w:hideMark/>
              </w:tcPr>
              <w:p w14:paraId="18E0F674"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323.732.673 </w:t>
                </w:r>
              </w:p>
            </w:tc>
            <w:tc>
              <w:tcPr>
                <w:tcW w:w="864" w:type="pct"/>
                <w:shd w:val="clear" w:color="auto" w:fill="auto"/>
                <w:noWrap/>
                <w:vAlign w:val="center"/>
                <w:hideMark/>
              </w:tcPr>
              <w:p w14:paraId="095B7006"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323.732.673 </w:t>
                </w:r>
              </w:p>
            </w:tc>
            <w:tc>
              <w:tcPr>
                <w:tcW w:w="798" w:type="pct"/>
                <w:shd w:val="clear" w:color="auto" w:fill="auto"/>
                <w:noWrap/>
                <w:vAlign w:val="center"/>
                <w:hideMark/>
              </w:tcPr>
              <w:p w14:paraId="13E54C48"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   </w:t>
                </w:r>
              </w:p>
            </w:tc>
          </w:tr>
          <w:tr w:rsidR="009A7447" w:rsidRPr="009A7447" w14:paraId="2F7F4202" w14:textId="77777777" w:rsidTr="00186522">
            <w:trPr>
              <w:trHeight w:val="300"/>
            </w:trPr>
            <w:tc>
              <w:tcPr>
                <w:tcW w:w="522" w:type="pct"/>
                <w:shd w:val="clear" w:color="auto" w:fill="auto"/>
                <w:noWrap/>
                <w:vAlign w:val="center"/>
                <w:hideMark/>
              </w:tcPr>
              <w:p w14:paraId="0C34E3F5"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1.6.55 </w:t>
                </w:r>
              </w:p>
            </w:tc>
            <w:tc>
              <w:tcPr>
                <w:tcW w:w="210" w:type="pct"/>
                <w:shd w:val="clear" w:color="auto" w:fill="auto"/>
                <w:noWrap/>
                <w:vAlign w:val="center"/>
                <w:hideMark/>
              </w:tcPr>
              <w:p w14:paraId="6419E2FA" w14:textId="77777777" w:rsidR="009A7447" w:rsidRPr="009A7447" w:rsidRDefault="009A7447" w:rsidP="009A7447">
                <w:pPr>
                  <w:spacing w:after="0" w:line="240" w:lineRule="auto"/>
                  <w:jc w:val="center"/>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Db </w:t>
                </w:r>
              </w:p>
            </w:tc>
            <w:tc>
              <w:tcPr>
                <w:tcW w:w="1742" w:type="pct"/>
                <w:shd w:val="clear" w:color="auto" w:fill="auto"/>
                <w:vAlign w:val="center"/>
                <w:hideMark/>
              </w:tcPr>
              <w:p w14:paraId="50257AC5"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Maquinaria y equipo </w:t>
                </w:r>
              </w:p>
            </w:tc>
            <w:tc>
              <w:tcPr>
                <w:tcW w:w="864" w:type="pct"/>
                <w:shd w:val="clear" w:color="auto" w:fill="auto"/>
                <w:noWrap/>
                <w:vAlign w:val="center"/>
                <w:hideMark/>
              </w:tcPr>
              <w:p w14:paraId="48E3AB43"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679.700.034 </w:t>
                </w:r>
              </w:p>
            </w:tc>
            <w:tc>
              <w:tcPr>
                <w:tcW w:w="864" w:type="pct"/>
                <w:shd w:val="clear" w:color="auto" w:fill="auto"/>
                <w:noWrap/>
                <w:vAlign w:val="center"/>
                <w:hideMark/>
              </w:tcPr>
              <w:p w14:paraId="612DFF0E"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757.569.697 </w:t>
                </w:r>
              </w:p>
            </w:tc>
            <w:tc>
              <w:tcPr>
                <w:tcW w:w="798" w:type="pct"/>
                <w:shd w:val="clear" w:color="auto" w:fill="auto"/>
                <w:noWrap/>
                <w:vAlign w:val="center"/>
                <w:hideMark/>
              </w:tcPr>
              <w:p w14:paraId="3C9EB47F"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77.869.663 </w:t>
                </w:r>
              </w:p>
            </w:tc>
          </w:tr>
          <w:tr w:rsidR="009A7447" w:rsidRPr="009A7447" w14:paraId="02BA43FE" w14:textId="77777777" w:rsidTr="00186522">
            <w:trPr>
              <w:trHeight w:val="300"/>
            </w:trPr>
            <w:tc>
              <w:tcPr>
                <w:tcW w:w="522" w:type="pct"/>
                <w:shd w:val="clear" w:color="auto" w:fill="auto"/>
                <w:noWrap/>
                <w:vAlign w:val="center"/>
                <w:hideMark/>
              </w:tcPr>
              <w:p w14:paraId="40140059"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1.6.60 </w:t>
                </w:r>
              </w:p>
            </w:tc>
            <w:tc>
              <w:tcPr>
                <w:tcW w:w="210" w:type="pct"/>
                <w:shd w:val="clear" w:color="auto" w:fill="auto"/>
                <w:noWrap/>
                <w:vAlign w:val="center"/>
                <w:hideMark/>
              </w:tcPr>
              <w:p w14:paraId="5A5E23F5" w14:textId="77777777" w:rsidR="009A7447" w:rsidRPr="009A7447" w:rsidRDefault="009A7447" w:rsidP="009A7447">
                <w:pPr>
                  <w:spacing w:after="0" w:line="240" w:lineRule="auto"/>
                  <w:jc w:val="center"/>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Db </w:t>
                </w:r>
              </w:p>
            </w:tc>
            <w:tc>
              <w:tcPr>
                <w:tcW w:w="1742" w:type="pct"/>
                <w:shd w:val="clear" w:color="auto" w:fill="auto"/>
                <w:vAlign w:val="center"/>
                <w:hideMark/>
              </w:tcPr>
              <w:p w14:paraId="68964EBC"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Equipo médico y científico </w:t>
                </w:r>
              </w:p>
            </w:tc>
            <w:tc>
              <w:tcPr>
                <w:tcW w:w="864" w:type="pct"/>
                <w:shd w:val="clear" w:color="auto" w:fill="auto"/>
                <w:noWrap/>
                <w:vAlign w:val="center"/>
                <w:hideMark/>
              </w:tcPr>
              <w:p w14:paraId="69576F3E"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843.400 </w:t>
                </w:r>
              </w:p>
            </w:tc>
            <w:tc>
              <w:tcPr>
                <w:tcW w:w="864" w:type="pct"/>
                <w:shd w:val="clear" w:color="auto" w:fill="auto"/>
                <w:noWrap/>
                <w:vAlign w:val="center"/>
                <w:hideMark/>
              </w:tcPr>
              <w:p w14:paraId="5A537B68"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843.400 </w:t>
                </w:r>
              </w:p>
            </w:tc>
            <w:tc>
              <w:tcPr>
                <w:tcW w:w="798" w:type="pct"/>
                <w:shd w:val="clear" w:color="auto" w:fill="auto"/>
                <w:noWrap/>
                <w:vAlign w:val="center"/>
                <w:hideMark/>
              </w:tcPr>
              <w:p w14:paraId="4FB23579"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   </w:t>
                </w:r>
              </w:p>
            </w:tc>
          </w:tr>
          <w:tr w:rsidR="009A7447" w:rsidRPr="009A7447" w14:paraId="36BD3D0A" w14:textId="77777777" w:rsidTr="00186522">
            <w:trPr>
              <w:trHeight w:val="300"/>
            </w:trPr>
            <w:tc>
              <w:tcPr>
                <w:tcW w:w="522" w:type="pct"/>
                <w:shd w:val="clear" w:color="auto" w:fill="auto"/>
                <w:noWrap/>
                <w:vAlign w:val="center"/>
                <w:hideMark/>
              </w:tcPr>
              <w:p w14:paraId="3ECF235E"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1.6.65 </w:t>
                </w:r>
              </w:p>
            </w:tc>
            <w:tc>
              <w:tcPr>
                <w:tcW w:w="210" w:type="pct"/>
                <w:shd w:val="clear" w:color="auto" w:fill="auto"/>
                <w:noWrap/>
                <w:vAlign w:val="center"/>
                <w:hideMark/>
              </w:tcPr>
              <w:p w14:paraId="2B8C9A8E" w14:textId="77777777" w:rsidR="009A7447" w:rsidRPr="009A7447" w:rsidRDefault="009A7447" w:rsidP="009A7447">
                <w:pPr>
                  <w:spacing w:after="0" w:line="240" w:lineRule="auto"/>
                  <w:jc w:val="center"/>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Db </w:t>
                </w:r>
              </w:p>
            </w:tc>
            <w:tc>
              <w:tcPr>
                <w:tcW w:w="1742" w:type="pct"/>
                <w:shd w:val="clear" w:color="auto" w:fill="auto"/>
                <w:vAlign w:val="center"/>
                <w:hideMark/>
              </w:tcPr>
              <w:p w14:paraId="4C11F60D"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Muebles, enseres y equipo de oficina </w:t>
                </w:r>
              </w:p>
            </w:tc>
            <w:tc>
              <w:tcPr>
                <w:tcW w:w="864" w:type="pct"/>
                <w:shd w:val="clear" w:color="auto" w:fill="auto"/>
                <w:noWrap/>
                <w:vAlign w:val="center"/>
                <w:hideMark/>
              </w:tcPr>
              <w:p w14:paraId="681940F7"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7.060.486.970 </w:t>
                </w:r>
              </w:p>
            </w:tc>
            <w:tc>
              <w:tcPr>
                <w:tcW w:w="864" w:type="pct"/>
                <w:shd w:val="clear" w:color="auto" w:fill="auto"/>
                <w:noWrap/>
                <w:vAlign w:val="center"/>
                <w:hideMark/>
              </w:tcPr>
              <w:p w14:paraId="2BDE2151"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7.160.232.820 </w:t>
                </w:r>
              </w:p>
            </w:tc>
            <w:tc>
              <w:tcPr>
                <w:tcW w:w="798" w:type="pct"/>
                <w:shd w:val="clear" w:color="auto" w:fill="auto"/>
                <w:noWrap/>
                <w:vAlign w:val="center"/>
                <w:hideMark/>
              </w:tcPr>
              <w:p w14:paraId="03B0F540"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99.745.850 </w:t>
                </w:r>
              </w:p>
            </w:tc>
          </w:tr>
          <w:tr w:rsidR="009A7447" w:rsidRPr="009A7447" w14:paraId="70D564BC" w14:textId="77777777" w:rsidTr="00186522">
            <w:trPr>
              <w:trHeight w:val="300"/>
            </w:trPr>
            <w:tc>
              <w:tcPr>
                <w:tcW w:w="522" w:type="pct"/>
                <w:shd w:val="clear" w:color="auto" w:fill="auto"/>
                <w:noWrap/>
                <w:vAlign w:val="center"/>
                <w:hideMark/>
              </w:tcPr>
              <w:p w14:paraId="14DB8998"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lastRenderedPageBreak/>
                  <w:t xml:space="preserve"> 1.6.70 </w:t>
                </w:r>
              </w:p>
            </w:tc>
            <w:tc>
              <w:tcPr>
                <w:tcW w:w="210" w:type="pct"/>
                <w:shd w:val="clear" w:color="auto" w:fill="auto"/>
                <w:noWrap/>
                <w:vAlign w:val="center"/>
                <w:hideMark/>
              </w:tcPr>
              <w:p w14:paraId="453A4158" w14:textId="77777777" w:rsidR="009A7447" w:rsidRPr="009A7447" w:rsidRDefault="009A7447" w:rsidP="009A7447">
                <w:pPr>
                  <w:spacing w:after="0" w:line="240" w:lineRule="auto"/>
                  <w:jc w:val="center"/>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Db </w:t>
                </w:r>
              </w:p>
            </w:tc>
            <w:tc>
              <w:tcPr>
                <w:tcW w:w="1742" w:type="pct"/>
                <w:shd w:val="clear" w:color="auto" w:fill="auto"/>
                <w:vAlign w:val="center"/>
                <w:hideMark/>
              </w:tcPr>
              <w:p w14:paraId="66E99E7D"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Equipos de comunicación y computación </w:t>
                </w:r>
              </w:p>
            </w:tc>
            <w:tc>
              <w:tcPr>
                <w:tcW w:w="864" w:type="pct"/>
                <w:shd w:val="clear" w:color="auto" w:fill="auto"/>
                <w:noWrap/>
                <w:vAlign w:val="center"/>
                <w:hideMark/>
              </w:tcPr>
              <w:p w14:paraId="2B72133A"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5.816.924.793 </w:t>
                </w:r>
              </w:p>
            </w:tc>
            <w:tc>
              <w:tcPr>
                <w:tcW w:w="864" w:type="pct"/>
                <w:shd w:val="clear" w:color="auto" w:fill="auto"/>
                <w:noWrap/>
                <w:vAlign w:val="center"/>
                <w:hideMark/>
              </w:tcPr>
              <w:p w14:paraId="52586E89"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5.841.359.050 </w:t>
                </w:r>
              </w:p>
            </w:tc>
            <w:tc>
              <w:tcPr>
                <w:tcW w:w="798" w:type="pct"/>
                <w:shd w:val="clear" w:color="auto" w:fill="auto"/>
                <w:noWrap/>
                <w:vAlign w:val="center"/>
                <w:hideMark/>
              </w:tcPr>
              <w:p w14:paraId="25956F23"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24.434.257 </w:t>
                </w:r>
              </w:p>
            </w:tc>
          </w:tr>
          <w:tr w:rsidR="009A7447" w:rsidRPr="009A7447" w14:paraId="16769D09" w14:textId="77777777" w:rsidTr="00186522">
            <w:trPr>
              <w:trHeight w:val="300"/>
            </w:trPr>
            <w:tc>
              <w:tcPr>
                <w:tcW w:w="522" w:type="pct"/>
                <w:shd w:val="clear" w:color="auto" w:fill="auto"/>
                <w:noWrap/>
                <w:vAlign w:val="center"/>
                <w:hideMark/>
              </w:tcPr>
              <w:p w14:paraId="45866407"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1.6.75 </w:t>
                </w:r>
              </w:p>
            </w:tc>
            <w:tc>
              <w:tcPr>
                <w:tcW w:w="210" w:type="pct"/>
                <w:shd w:val="clear" w:color="auto" w:fill="auto"/>
                <w:noWrap/>
                <w:vAlign w:val="center"/>
                <w:hideMark/>
              </w:tcPr>
              <w:p w14:paraId="4FB83164" w14:textId="77777777" w:rsidR="009A7447" w:rsidRPr="009A7447" w:rsidRDefault="009A7447" w:rsidP="009A7447">
                <w:pPr>
                  <w:spacing w:after="0" w:line="240" w:lineRule="auto"/>
                  <w:jc w:val="center"/>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Db </w:t>
                </w:r>
              </w:p>
            </w:tc>
            <w:tc>
              <w:tcPr>
                <w:tcW w:w="1742" w:type="pct"/>
                <w:shd w:val="clear" w:color="auto" w:fill="auto"/>
                <w:vAlign w:val="center"/>
                <w:hideMark/>
              </w:tcPr>
              <w:p w14:paraId="684BA2CA"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Equipo de transporte, tracción y elevación </w:t>
                </w:r>
              </w:p>
            </w:tc>
            <w:tc>
              <w:tcPr>
                <w:tcW w:w="864" w:type="pct"/>
                <w:shd w:val="clear" w:color="auto" w:fill="auto"/>
                <w:noWrap/>
                <w:vAlign w:val="center"/>
                <w:hideMark/>
              </w:tcPr>
              <w:p w14:paraId="38B11AF1"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826.082.828 </w:t>
                </w:r>
              </w:p>
            </w:tc>
            <w:tc>
              <w:tcPr>
                <w:tcW w:w="864" w:type="pct"/>
                <w:shd w:val="clear" w:color="auto" w:fill="auto"/>
                <w:noWrap/>
                <w:vAlign w:val="center"/>
                <w:hideMark/>
              </w:tcPr>
              <w:p w14:paraId="7D63572E"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1.282.929.148 </w:t>
                </w:r>
              </w:p>
            </w:tc>
            <w:tc>
              <w:tcPr>
                <w:tcW w:w="798" w:type="pct"/>
                <w:shd w:val="clear" w:color="auto" w:fill="auto"/>
                <w:noWrap/>
                <w:vAlign w:val="center"/>
                <w:hideMark/>
              </w:tcPr>
              <w:p w14:paraId="6714726D"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456.846.320 </w:t>
                </w:r>
              </w:p>
            </w:tc>
          </w:tr>
          <w:tr w:rsidR="009A7447" w:rsidRPr="009A7447" w14:paraId="05F4BFE8" w14:textId="77777777" w:rsidTr="00186522">
            <w:trPr>
              <w:trHeight w:val="300"/>
            </w:trPr>
            <w:tc>
              <w:tcPr>
                <w:tcW w:w="522" w:type="pct"/>
                <w:shd w:val="clear" w:color="auto" w:fill="auto"/>
                <w:noWrap/>
                <w:vAlign w:val="center"/>
                <w:hideMark/>
              </w:tcPr>
              <w:p w14:paraId="5F732926"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1.6.80 </w:t>
                </w:r>
              </w:p>
            </w:tc>
            <w:tc>
              <w:tcPr>
                <w:tcW w:w="210" w:type="pct"/>
                <w:shd w:val="clear" w:color="auto" w:fill="auto"/>
                <w:noWrap/>
                <w:vAlign w:val="center"/>
                <w:hideMark/>
              </w:tcPr>
              <w:p w14:paraId="5FFE9090" w14:textId="77777777" w:rsidR="009A7447" w:rsidRPr="009A7447" w:rsidRDefault="009A7447" w:rsidP="009A7447">
                <w:pPr>
                  <w:spacing w:after="0" w:line="240" w:lineRule="auto"/>
                  <w:jc w:val="center"/>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Db </w:t>
                </w:r>
              </w:p>
            </w:tc>
            <w:tc>
              <w:tcPr>
                <w:tcW w:w="1742" w:type="pct"/>
                <w:shd w:val="clear" w:color="auto" w:fill="auto"/>
                <w:vAlign w:val="center"/>
                <w:hideMark/>
              </w:tcPr>
              <w:p w14:paraId="43FCC485" w14:textId="0B301EBD"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Equipo</w:t>
                </w:r>
                <w:r w:rsidR="004A0440">
                  <w:rPr>
                    <w:rFonts w:ascii="Times New Roman" w:eastAsia="Times New Roman" w:hAnsi="Times New Roman"/>
                    <w:sz w:val="16"/>
                    <w:szCs w:val="16"/>
                    <w:lang w:eastAsia="es-CO"/>
                  </w:rPr>
                  <w:t xml:space="preserve"> </w:t>
                </w:r>
                <w:r w:rsidRPr="009A7447">
                  <w:rPr>
                    <w:rFonts w:ascii="Times New Roman" w:eastAsia="Times New Roman" w:hAnsi="Times New Roman"/>
                    <w:sz w:val="16"/>
                    <w:szCs w:val="16"/>
                    <w:lang w:eastAsia="es-CO"/>
                  </w:rPr>
                  <w:t xml:space="preserve">de comedor, cocina, despensa y hotelería </w:t>
                </w:r>
              </w:p>
            </w:tc>
            <w:tc>
              <w:tcPr>
                <w:tcW w:w="864" w:type="pct"/>
                <w:shd w:val="clear" w:color="auto" w:fill="auto"/>
                <w:noWrap/>
                <w:vAlign w:val="center"/>
                <w:hideMark/>
              </w:tcPr>
              <w:p w14:paraId="530C04D9"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9.576.520 </w:t>
                </w:r>
              </w:p>
            </w:tc>
            <w:tc>
              <w:tcPr>
                <w:tcW w:w="864" w:type="pct"/>
                <w:shd w:val="clear" w:color="auto" w:fill="auto"/>
                <w:noWrap/>
                <w:vAlign w:val="center"/>
                <w:hideMark/>
              </w:tcPr>
              <w:p w14:paraId="0F22CD34"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9.576.520 </w:t>
                </w:r>
              </w:p>
            </w:tc>
            <w:tc>
              <w:tcPr>
                <w:tcW w:w="798" w:type="pct"/>
                <w:shd w:val="clear" w:color="auto" w:fill="auto"/>
                <w:noWrap/>
                <w:vAlign w:val="center"/>
                <w:hideMark/>
              </w:tcPr>
              <w:p w14:paraId="45270B99"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   </w:t>
                </w:r>
              </w:p>
            </w:tc>
          </w:tr>
          <w:tr w:rsidR="009A7447" w:rsidRPr="009A7447" w14:paraId="5FEC03F4" w14:textId="77777777" w:rsidTr="00186522">
            <w:trPr>
              <w:trHeight w:val="300"/>
            </w:trPr>
            <w:tc>
              <w:tcPr>
                <w:tcW w:w="522" w:type="pct"/>
                <w:shd w:val="clear" w:color="auto" w:fill="auto"/>
                <w:noWrap/>
                <w:vAlign w:val="center"/>
                <w:hideMark/>
              </w:tcPr>
              <w:p w14:paraId="1972DA29"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1.6.83 </w:t>
                </w:r>
              </w:p>
            </w:tc>
            <w:tc>
              <w:tcPr>
                <w:tcW w:w="210" w:type="pct"/>
                <w:shd w:val="clear" w:color="auto" w:fill="auto"/>
                <w:noWrap/>
                <w:vAlign w:val="center"/>
                <w:hideMark/>
              </w:tcPr>
              <w:p w14:paraId="6628172E" w14:textId="77777777" w:rsidR="009A7447" w:rsidRPr="009A7447" w:rsidRDefault="009A7447" w:rsidP="009A7447">
                <w:pPr>
                  <w:spacing w:after="0" w:line="240" w:lineRule="auto"/>
                  <w:jc w:val="center"/>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Db </w:t>
                </w:r>
              </w:p>
            </w:tc>
            <w:tc>
              <w:tcPr>
                <w:tcW w:w="1742" w:type="pct"/>
                <w:shd w:val="clear" w:color="auto" w:fill="auto"/>
                <w:vAlign w:val="center"/>
                <w:hideMark/>
              </w:tcPr>
              <w:p w14:paraId="2B0E3A12"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Propiedades, Planta Y Equipo En Concesión </w:t>
                </w:r>
              </w:p>
            </w:tc>
            <w:tc>
              <w:tcPr>
                <w:tcW w:w="864" w:type="pct"/>
                <w:shd w:val="clear" w:color="auto" w:fill="auto"/>
                <w:noWrap/>
                <w:vAlign w:val="center"/>
                <w:hideMark/>
              </w:tcPr>
              <w:p w14:paraId="5BD68FC4"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3.066.866.697.595 </w:t>
                </w:r>
              </w:p>
            </w:tc>
            <w:tc>
              <w:tcPr>
                <w:tcW w:w="864" w:type="pct"/>
                <w:shd w:val="clear" w:color="auto" w:fill="auto"/>
                <w:noWrap/>
                <w:vAlign w:val="center"/>
                <w:hideMark/>
              </w:tcPr>
              <w:p w14:paraId="51563A21"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2.876.190.428.129 </w:t>
                </w:r>
              </w:p>
            </w:tc>
            <w:tc>
              <w:tcPr>
                <w:tcW w:w="798" w:type="pct"/>
                <w:shd w:val="clear" w:color="auto" w:fill="auto"/>
                <w:noWrap/>
                <w:vAlign w:val="center"/>
                <w:hideMark/>
              </w:tcPr>
              <w:p w14:paraId="7400DB5A"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190.676.269.466 </w:t>
                </w:r>
              </w:p>
            </w:tc>
          </w:tr>
          <w:tr w:rsidR="009A7447" w:rsidRPr="009A7447" w14:paraId="3F904794" w14:textId="77777777" w:rsidTr="00186522">
            <w:trPr>
              <w:trHeight w:val="300"/>
            </w:trPr>
            <w:tc>
              <w:tcPr>
                <w:tcW w:w="522" w:type="pct"/>
                <w:shd w:val="clear" w:color="auto" w:fill="auto"/>
                <w:noWrap/>
                <w:vAlign w:val="center"/>
                <w:hideMark/>
              </w:tcPr>
              <w:p w14:paraId="7C609602"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w:t>
                </w:r>
              </w:p>
            </w:tc>
            <w:tc>
              <w:tcPr>
                <w:tcW w:w="210" w:type="pct"/>
                <w:shd w:val="clear" w:color="auto" w:fill="auto"/>
                <w:noWrap/>
                <w:vAlign w:val="center"/>
                <w:hideMark/>
              </w:tcPr>
              <w:p w14:paraId="2067B9EC" w14:textId="77777777" w:rsidR="009A7447" w:rsidRPr="009A7447" w:rsidRDefault="009A7447" w:rsidP="009A7447">
                <w:pPr>
                  <w:spacing w:after="0" w:line="240" w:lineRule="auto"/>
                  <w:jc w:val="center"/>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w:t>
                </w:r>
              </w:p>
            </w:tc>
            <w:tc>
              <w:tcPr>
                <w:tcW w:w="1742" w:type="pct"/>
                <w:shd w:val="clear" w:color="auto" w:fill="auto"/>
                <w:vAlign w:val="center"/>
                <w:hideMark/>
              </w:tcPr>
              <w:p w14:paraId="46545B7D"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w:t>
                </w:r>
              </w:p>
            </w:tc>
            <w:tc>
              <w:tcPr>
                <w:tcW w:w="864" w:type="pct"/>
                <w:shd w:val="clear" w:color="auto" w:fill="auto"/>
                <w:noWrap/>
                <w:vAlign w:val="center"/>
                <w:hideMark/>
              </w:tcPr>
              <w:p w14:paraId="2D46B290"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w:t>
                </w:r>
              </w:p>
            </w:tc>
            <w:tc>
              <w:tcPr>
                <w:tcW w:w="864" w:type="pct"/>
                <w:shd w:val="clear" w:color="auto" w:fill="auto"/>
                <w:noWrap/>
                <w:vAlign w:val="center"/>
                <w:hideMark/>
              </w:tcPr>
              <w:p w14:paraId="0C3D0439"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w:t>
                </w:r>
              </w:p>
            </w:tc>
            <w:tc>
              <w:tcPr>
                <w:tcW w:w="798" w:type="pct"/>
                <w:shd w:val="clear" w:color="auto" w:fill="auto"/>
                <w:noWrap/>
                <w:vAlign w:val="center"/>
                <w:hideMark/>
              </w:tcPr>
              <w:p w14:paraId="1BD7C43E"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w:t>
                </w:r>
              </w:p>
            </w:tc>
          </w:tr>
          <w:tr w:rsidR="009A7447" w:rsidRPr="009A7447" w14:paraId="01D4D144" w14:textId="77777777" w:rsidTr="00186522">
            <w:trPr>
              <w:trHeight w:val="300"/>
            </w:trPr>
            <w:tc>
              <w:tcPr>
                <w:tcW w:w="522" w:type="pct"/>
                <w:shd w:val="clear" w:color="auto" w:fill="auto"/>
                <w:noWrap/>
                <w:vAlign w:val="center"/>
                <w:hideMark/>
              </w:tcPr>
              <w:p w14:paraId="1D16D66E"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1.6.85 </w:t>
                </w:r>
              </w:p>
            </w:tc>
            <w:tc>
              <w:tcPr>
                <w:tcW w:w="210" w:type="pct"/>
                <w:shd w:val="clear" w:color="auto" w:fill="auto"/>
                <w:noWrap/>
                <w:vAlign w:val="center"/>
                <w:hideMark/>
              </w:tcPr>
              <w:p w14:paraId="102CEF63" w14:textId="77777777" w:rsidR="009A7447" w:rsidRPr="009A7447" w:rsidRDefault="009A7447" w:rsidP="009A7447">
                <w:pPr>
                  <w:spacing w:after="0" w:line="240" w:lineRule="auto"/>
                  <w:jc w:val="center"/>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Cr </w:t>
                </w:r>
              </w:p>
            </w:tc>
            <w:tc>
              <w:tcPr>
                <w:tcW w:w="1742" w:type="pct"/>
                <w:shd w:val="clear" w:color="auto" w:fill="auto"/>
                <w:vAlign w:val="center"/>
                <w:hideMark/>
              </w:tcPr>
              <w:p w14:paraId="26E87000"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Depreciación acumulada de PPE (cr) </w:t>
                </w:r>
              </w:p>
            </w:tc>
            <w:tc>
              <w:tcPr>
                <w:tcW w:w="864" w:type="pct"/>
                <w:shd w:val="clear" w:color="auto" w:fill="auto"/>
                <w:noWrap/>
                <w:vAlign w:val="center"/>
                <w:hideMark/>
              </w:tcPr>
              <w:p w14:paraId="3E1D6AF8"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19.529.012.943 </w:t>
                </w:r>
              </w:p>
            </w:tc>
            <w:tc>
              <w:tcPr>
                <w:tcW w:w="864" w:type="pct"/>
                <w:shd w:val="clear" w:color="auto" w:fill="auto"/>
                <w:noWrap/>
                <w:vAlign w:val="center"/>
                <w:hideMark/>
              </w:tcPr>
              <w:p w14:paraId="099D8410"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19.128.497.560 </w:t>
                </w:r>
              </w:p>
            </w:tc>
            <w:tc>
              <w:tcPr>
                <w:tcW w:w="798" w:type="pct"/>
                <w:shd w:val="clear" w:color="auto" w:fill="auto"/>
                <w:noWrap/>
                <w:vAlign w:val="center"/>
                <w:hideMark/>
              </w:tcPr>
              <w:p w14:paraId="7AE016BA"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400.515.383 </w:t>
                </w:r>
              </w:p>
            </w:tc>
          </w:tr>
          <w:tr w:rsidR="009A7447" w:rsidRPr="009A7447" w14:paraId="457EF0C5" w14:textId="77777777" w:rsidTr="00186522">
            <w:trPr>
              <w:trHeight w:val="300"/>
            </w:trPr>
            <w:tc>
              <w:tcPr>
                <w:tcW w:w="522" w:type="pct"/>
                <w:shd w:val="clear" w:color="auto" w:fill="auto"/>
                <w:noWrap/>
                <w:vAlign w:val="center"/>
                <w:hideMark/>
              </w:tcPr>
              <w:p w14:paraId="5C6CBC33"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1.6.95 </w:t>
                </w:r>
              </w:p>
            </w:tc>
            <w:tc>
              <w:tcPr>
                <w:tcW w:w="210" w:type="pct"/>
                <w:shd w:val="clear" w:color="auto" w:fill="auto"/>
                <w:noWrap/>
                <w:vAlign w:val="center"/>
                <w:hideMark/>
              </w:tcPr>
              <w:p w14:paraId="527CC798" w14:textId="77777777" w:rsidR="009A7447" w:rsidRPr="009A7447" w:rsidRDefault="009A7447" w:rsidP="009A7447">
                <w:pPr>
                  <w:spacing w:after="0" w:line="240" w:lineRule="auto"/>
                  <w:jc w:val="center"/>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Cr </w:t>
                </w:r>
              </w:p>
            </w:tc>
            <w:tc>
              <w:tcPr>
                <w:tcW w:w="1742" w:type="pct"/>
                <w:shd w:val="clear" w:color="auto" w:fill="auto"/>
                <w:vAlign w:val="center"/>
                <w:hideMark/>
              </w:tcPr>
              <w:p w14:paraId="1802059C"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Deterioro acumulado de PPE (cr) </w:t>
                </w:r>
              </w:p>
            </w:tc>
            <w:tc>
              <w:tcPr>
                <w:tcW w:w="864" w:type="pct"/>
                <w:shd w:val="clear" w:color="auto" w:fill="auto"/>
                <w:noWrap/>
                <w:vAlign w:val="center"/>
                <w:hideMark/>
              </w:tcPr>
              <w:p w14:paraId="209E0106"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   </w:t>
                </w:r>
              </w:p>
            </w:tc>
            <w:tc>
              <w:tcPr>
                <w:tcW w:w="864" w:type="pct"/>
                <w:shd w:val="clear" w:color="auto" w:fill="auto"/>
                <w:noWrap/>
                <w:vAlign w:val="center"/>
                <w:hideMark/>
              </w:tcPr>
              <w:p w14:paraId="689A045D"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   </w:t>
                </w:r>
              </w:p>
            </w:tc>
            <w:tc>
              <w:tcPr>
                <w:tcW w:w="798" w:type="pct"/>
                <w:shd w:val="clear" w:color="auto" w:fill="auto"/>
                <w:noWrap/>
                <w:vAlign w:val="center"/>
                <w:hideMark/>
              </w:tcPr>
              <w:p w14:paraId="77A66509" w14:textId="77777777" w:rsidR="009A7447" w:rsidRPr="009A7447" w:rsidRDefault="009A7447" w:rsidP="009A7447">
                <w:pPr>
                  <w:spacing w:after="0" w:line="240" w:lineRule="auto"/>
                  <w:rPr>
                    <w:rFonts w:ascii="Times New Roman" w:eastAsia="Times New Roman" w:hAnsi="Times New Roman"/>
                    <w:sz w:val="16"/>
                    <w:szCs w:val="16"/>
                    <w:lang w:eastAsia="es-CO"/>
                  </w:rPr>
                </w:pPr>
                <w:r w:rsidRPr="009A7447">
                  <w:rPr>
                    <w:rFonts w:ascii="Times New Roman" w:eastAsia="Times New Roman" w:hAnsi="Times New Roman"/>
                    <w:sz w:val="16"/>
                    <w:szCs w:val="16"/>
                    <w:lang w:eastAsia="es-CO"/>
                  </w:rPr>
                  <w:t xml:space="preserve">                               -   </w:t>
                </w:r>
              </w:p>
            </w:tc>
          </w:tr>
        </w:tbl>
        <w:p w14:paraId="402BCD0B" w14:textId="4170B034" w:rsidR="00FD5560" w:rsidRPr="00931DCE" w:rsidRDefault="00AD2026" w:rsidP="0043313B">
          <w:pPr>
            <w:spacing w:after="0"/>
            <w:jc w:val="both"/>
            <w:rPr>
              <w:rFonts w:ascii="Times New Roman" w:hAnsi="Times New Roman"/>
              <w:sz w:val="14"/>
              <w:szCs w:val="14"/>
            </w:rPr>
          </w:pPr>
          <w:r w:rsidRPr="00931DCE">
            <w:rPr>
              <w:rFonts w:ascii="Times New Roman" w:hAnsi="Times New Roman"/>
              <w:sz w:val="14"/>
              <w:szCs w:val="14"/>
            </w:rPr>
            <w:t>Cifras expresadas en pesos</w:t>
          </w:r>
        </w:p>
        <w:p w14:paraId="1A23FAD2" w14:textId="77777777" w:rsidR="0043313B" w:rsidRPr="00931DCE" w:rsidRDefault="0043313B" w:rsidP="0043313B">
          <w:pPr>
            <w:spacing w:after="0" w:line="240" w:lineRule="auto"/>
            <w:jc w:val="both"/>
            <w:rPr>
              <w:rFonts w:ascii="Times New Roman" w:hAnsi="Times New Roman"/>
              <w:sz w:val="24"/>
              <w:szCs w:val="24"/>
            </w:rPr>
          </w:pPr>
        </w:p>
        <w:p w14:paraId="039A4AF0" w14:textId="244D18D5" w:rsidR="00644B59" w:rsidRPr="00931DCE" w:rsidRDefault="0066344C" w:rsidP="0043313B">
          <w:pPr>
            <w:spacing w:after="0" w:line="240" w:lineRule="auto"/>
            <w:jc w:val="both"/>
            <w:rPr>
              <w:rFonts w:ascii="Times New Roman" w:hAnsi="Times New Roman"/>
              <w:sz w:val="24"/>
              <w:szCs w:val="24"/>
            </w:rPr>
          </w:pPr>
          <w:r w:rsidRPr="00931DCE">
            <w:rPr>
              <w:rFonts w:ascii="Times New Roman" w:hAnsi="Times New Roman"/>
              <w:sz w:val="24"/>
              <w:szCs w:val="24"/>
            </w:rPr>
            <w:t>A 31 de diciembre de 202</w:t>
          </w:r>
          <w:r w:rsidR="0097500B">
            <w:rPr>
              <w:rFonts w:ascii="Times New Roman" w:hAnsi="Times New Roman"/>
              <w:sz w:val="24"/>
              <w:szCs w:val="24"/>
            </w:rPr>
            <w:t>3</w:t>
          </w:r>
          <w:r w:rsidRPr="00931DCE">
            <w:rPr>
              <w:rFonts w:ascii="Times New Roman" w:hAnsi="Times New Roman"/>
              <w:sz w:val="24"/>
              <w:szCs w:val="24"/>
            </w:rPr>
            <w:t xml:space="preserve">, los bienes que conforman las </w:t>
          </w:r>
          <w:r w:rsidR="00022337" w:rsidRPr="00931DCE">
            <w:rPr>
              <w:rFonts w:ascii="Times New Roman" w:hAnsi="Times New Roman"/>
              <w:sz w:val="24"/>
              <w:szCs w:val="24"/>
            </w:rPr>
            <w:t>p</w:t>
          </w:r>
          <w:r w:rsidRPr="00931DCE">
            <w:rPr>
              <w:rFonts w:ascii="Times New Roman" w:hAnsi="Times New Roman"/>
              <w:sz w:val="24"/>
              <w:szCs w:val="24"/>
            </w:rPr>
            <w:t xml:space="preserve">ropiedades, </w:t>
          </w:r>
          <w:r w:rsidR="00022337" w:rsidRPr="00931DCE">
            <w:rPr>
              <w:rFonts w:ascii="Times New Roman" w:hAnsi="Times New Roman"/>
              <w:sz w:val="24"/>
              <w:szCs w:val="24"/>
            </w:rPr>
            <w:t>p</w:t>
          </w:r>
          <w:r w:rsidRPr="00931DCE">
            <w:rPr>
              <w:rFonts w:ascii="Times New Roman" w:hAnsi="Times New Roman"/>
              <w:sz w:val="24"/>
              <w:szCs w:val="24"/>
            </w:rPr>
            <w:t xml:space="preserve">lanta y </w:t>
          </w:r>
          <w:r w:rsidR="00022337" w:rsidRPr="00931DCE">
            <w:rPr>
              <w:rFonts w:ascii="Times New Roman" w:hAnsi="Times New Roman"/>
              <w:sz w:val="24"/>
              <w:szCs w:val="24"/>
            </w:rPr>
            <w:t>e</w:t>
          </w:r>
          <w:r w:rsidRPr="00931DCE">
            <w:rPr>
              <w:rFonts w:ascii="Times New Roman" w:hAnsi="Times New Roman"/>
              <w:sz w:val="24"/>
              <w:szCs w:val="24"/>
            </w:rPr>
            <w:t xml:space="preserve">quipo, no presentan </w:t>
          </w:r>
          <w:r w:rsidR="00022337" w:rsidRPr="00931DCE">
            <w:rPr>
              <w:rFonts w:ascii="Times New Roman" w:hAnsi="Times New Roman"/>
              <w:sz w:val="24"/>
              <w:szCs w:val="24"/>
            </w:rPr>
            <w:t>restricciones</w:t>
          </w:r>
          <w:r w:rsidRPr="00931DCE">
            <w:rPr>
              <w:rFonts w:ascii="Times New Roman" w:hAnsi="Times New Roman"/>
              <w:sz w:val="24"/>
              <w:szCs w:val="24"/>
            </w:rPr>
            <w:t xml:space="preserve"> de dominio ni son garantía para el cumplimiento de pasivos del Sector Nación.</w:t>
          </w:r>
        </w:p>
        <w:p w14:paraId="290B2E7F" w14:textId="77777777" w:rsidR="0066344C" w:rsidRPr="00931DCE" w:rsidRDefault="0066344C" w:rsidP="004A000E">
          <w:pPr>
            <w:spacing w:after="0" w:line="240" w:lineRule="auto"/>
            <w:jc w:val="both"/>
            <w:rPr>
              <w:rFonts w:ascii="Times New Roman" w:hAnsi="Times New Roman"/>
              <w:sz w:val="24"/>
              <w:szCs w:val="24"/>
            </w:rPr>
          </w:pPr>
        </w:p>
        <w:p w14:paraId="10FD6994" w14:textId="5B013B17" w:rsidR="003B1A6B" w:rsidRDefault="004A2AB0" w:rsidP="004A000E">
          <w:pPr>
            <w:spacing w:after="0" w:line="240" w:lineRule="auto"/>
            <w:jc w:val="both"/>
            <w:rPr>
              <w:rFonts w:ascii="Times New Roman" w:hAnsi="Times New Roman"/>
              <w:sz w:val="24"/>
              <w:szCs w:val="24"/>
            </w:rPr>
          </w:pPr>
          <w:r w:rsidRPr="00931DCE">
            <w:rPr>
              <w:rFonts w:ascii="Times New Roman" w:hAnsi="Times New Roman"/>
              <w:sz w:val="24"/>
              <w:szCs w:val="24"/>
            </w:rPr>
            <w:t>Los</w:t>
          </w:r>
          <w:r w:rsidR="00183136" w:rsidRPr="00931DCE">
            <w:rPr>
              <w:rFonts w:ascii="Times New Roman" w:hAnsi="Times New Roman"/>
              <w:sz w:val="24"/>
              <w:szCs w:val="24"/>
            </w:rPr>
            <w:t xml:space="preserve"> bienes de propiedad </w:t>
          </w:r>
          <w:r w:rsidR="00A05FF3" w:rsidRPr="00931DCE">
            <w:rPr>
              <w:rFonts w:ascii="Times New Roman" w:hAnsi="Times New Roman"/>
              <w:sz w:val="24"/>
              <w:szCs w:val="24"/>
            </w:rPr>
            <w:t xml:space="preserve">y para uso administrativo </w:t>
          </w:r>
          <w:r w:rsidR="00183136" w:rsidRPr="00931DCE">
            <w:rPr>
              <w:rFonts w:ascii="Times New Roman" w:hAnsi="Times New Roman"/>
              <w:sz w:val="24"/>
              <w:szCs w:val="24"/>
            </w:rPr>
            <w:t>se encuentran debidamente amparados bajo pólizas de garantía.</w:t>
          </w:r>
          <w:r w:rsidR="0023384C">
            <w:rPr>
              <w:rFonts w:ascii="Times New Roman" w:hAnsi="Times New Roman"/>
              <w:sz w:val="24"/>
              <w:szCs w:val="24"/>
            </w:rPr>
            <w:t xml:space="preserve"> </w:t>
          </w:r>
          <w:r w:rsidR="002A1989" w:rsidRPr="00931DCE">
            <w:rPr>
              <w:rFonts w:ascii="Times New Roman" w:hAnsi="Times New Roman"/>
              <w:sz w:val="24"/>
              <w:szCs w:val="24"/>
            </w:rPr>
            <w:t xml:space="preserve">De igual forma se </w:t>
          </w:r>
          <w:r w:rsidR="0024154D" w:rsidRPr="00931DCE">
            <w:rPr>
              <w:rFonts w:ascii="Times New Roman" w:hAnsi="Times New Roman"/>
              <w:sz w:val="24"/>
              <w:szCs w:val="24"/>
            </w:rPr>
            <w:t xml:space="preserve">incluyen </w:t>
          </w:r>
          <w:r w:rsidR="002A1989" w:rsidRPr="00931DCE">
            <w:rPr>
              <w:rFonts w:ascii="Times New Roman" w:hAnsi="Times New Roman"/>
              <w:sz w:val="24"/>
              <w:szCs w:val="24"/>
            </w:rPr>
            <w:t xml:space="preserve">los bienes </w:t>
          </w:r>
          <w:r w:rsidR="001544F8" w:rsidRPr="00931DCE">
            <w:rPr>
              <w:rFonts w:ascii="Times New Roman" w:hAnsi="Times New Roman"/>
              <w:sz w:val="24"/>
              <w:szCs w:val="24"/>
            </w:rPr>
            <w:t>que hacen parte en la ejecución</w:t>
          </w:r>
          <w:r w:rsidR="003B1A6B" w:rsidRPr="00931DCE">
            <w:rPr>
              <w:rFonts w:ascii="Times New Roman" w:hAnsi="Times New Roman"/>
              <w:sz w:val="24"/>
              <w:szCs w:val="24"/>
            </w:rPr>
            <w:t xml:space="preserve"> </w:t>
          </w:r>
          <w:r w:rsidR="001544F8" w:rsidRPr="00931DCE">
            <w:rPr>
              <w:rFonts w:ascii="Times New Roman" w:hAnsi="Times New Roman"/>
              <w:sz w:val="24"/>
              <w:szCs w:val="24"/>
            </w:rPr>
            <w:t xml:space="preserve">de los proyectos de </w:t>
          </w:r>
          <w:r w:rsidR="0024154D" w:rsidRPr="00931DCE">
            <w:rPr>
              <w:rFonts w:ascii="Times New Roman" w:hAnsi="Times New Roman"/>
              <w:sz w:val="24"/>
              <w:szCs w:val="24"/>
            </w:rPr>
            <w:t>concesión de los modos carretero, férreo</w:t>
          </w:r>
          <w:r w:rsidR="00EB593A">
            <w:rPr>
              <w:rFonts w:ascii="Times New Roman" w:hAnsi="Times New Roman"/>
              <w:sz w:val="24"/>
              <w:szCs w:val="24"/>
            </w:rPr>
            <w:t>,</w:t>
          </w:r>
          <w:r w:rsidR="0024154D" w:rsidRPr="00931DCE">
            <w:rPr>
              <w:rFonts w:ascii="Times New Roman" w:hAnsi="Times New Roman"/>
              <w:sz w:val="24"/>
              <w:szCs w:val="24"/>
            </w:rPr>
            <w:t xml:space="preserve"> portuario</w:t>
          </w:r>
          <w:r w:rsidR="00EB593A">
            <w:rPr>
              <w:rFonts w:ascii="Times New Roman" w:hAnsi="Times New Roman"/>
              <w:sz w:val="24"/>
              <w:szCs w:val="24"/>
            </w:rPr>
            <w:t xml:space="preserve"> y aeroportuario</w:t>
          </w:r>
          <w:r w:rsidR="00630A67" w:rsidRPr="00931DCE">
            <w:rPr>
              <w:rFonts w:ascii="Times New Roman" w:hAnsi="Times New Roman"/>
              <w:sz w:val="24"/>
              <w:szCs w:val="24"/>
            </w:rPr>
            <w:t>.</w:t>
          </w:r>
        </w:p>
        <w:p w14:paraId="3F6EF794" w14:textId="77777777" w:rsidR="00940347" w:rsidRPr="00931DCE" w:rsidRDefault="00940347" w:rsidP="004A000E">
          <w:pPr>
            <w:spacing w:after="0" w:line="240" w:lineRule="auto"/>
            <w:jc w:val="both"/>
            <w:rPr>
              <w:rFonts w:ascii="Times New Roman" w:hAnsi="Times New Roman"/>
              <w:sz w:val="24"/>
              <w:szCs w:val="24"/>
            </w:rPr>
          </w:pPr>
        </w:p>
        <w:p w14:paraId="6A04BE44" w14:textId="45C6CFC6" w:rsidR="00E12C9E" w:rsidRPr="00931DCE" w:rsidRDefault="000B2FBE">
          <w:pPr>
            <w:pStyle w:val="Ttulo2"/>
            <w:numPr>
              <w:ilvl w:val="1"/>
              <w:numId w:val="11"/>
            </w:numPr>
            <w:spacing w:line="240" w:lineRule="auto"/>
            <w:ind w:left="567" w:hanging="567"/>
            <w:rPr>
              <w:rFonts w:cs="Times New Roman"/>
              <w:szCs w:val="22"/>
            </w:rPr>
          </w:pPr>
          <w:bookmarkStart w:id="32" w:name="_Toc159952377"/>
          <w:r w:rsidRPr="00931DCE">
            <w:rPr>
              <w:rFonts w:cs="Times New Roman"/>
              <w:szCs w:val="22"/>
            </w:rPr>
            <w:t xml:space="preserve">Detalle saldos y movimientos </w:t>
          </w:r>
          <w:r w:rsidR="00983E40" w:rsidRPr="00931DCE">
            <w:rPr>
              <w:rFonts w:cs="Times New Roman"/>
              <w:szCs w:val="22"/>
            </w:rPr>
            <w:t xml:space="preserve">PPE </w:t>
          </w:r>
          <w:r w:rsidR="00347487" w:rsidRPr="00931DCE">
            <w:rPr>
              <w:rFonts w:cs="Times New Roman"/>
              <w:szCs w:val="22"/>
            </w:rPr>
            <w:t>–</w:t>
          </w:r>
          <w:r w:rsidR="00983E40" w:rsidRPr="00931DCE">
            <w:rPr>
              <w:rFonts w:cs="Times New Roman"/>
              <w:szCs w:val="22"/>
            </w:rPr>
            <w:t xml:space="preserve"> Muebles</w:t>
          </w:r>
          <w:bookmarkEnd w:id="32"/>
        </w:p>
        <w:p w14:paraId="13EC4B81" w14:textId="4A1A3274" w:rsidR="00347487" w:rsidRPr="00931DCE" w:rsidRDefault="00347487" w:rsidP="004A000E">
          <w:pPr>
            <w:spacing w:after="0" w:line="240" w:lineRule="auto"/>
            <w:jc w:val="both"/>
            <w:rPr>
              <w:rFonts w:ascii="Times New Roman" w:hAnsi="Times New Roman"/>
            </w:rPr>
          </w:pPr>
        </w:p>
        <w:p w14:paraId="7588D61F" w14:textId="711930CA" w:rsidR="008772AA" w:rsidRPr="00931DCE" w:rsidRDefault="00E66D78" w:rsidP="004A000E">
          <w:pPr>
            <w:spacing w:after="0" w:line="240" w:lineRule="auto"/>
            <w:jc w:val="both"/>
            <w:rPr>
              <w:rFonts w:ascii="Times New Roman" w:hAnsi="Times New Roman"/>
              <w:sz w:val="24"/>
              <w:szCs w:val="24"/>
            </w:rPr>
          </w:pPr>
          <w:r w:rsidRPr="00931DCE">
            <w:rPr>
              <w:rFonts w:ascii="Times New Roman" w:hAnsi="Times New Roman"/>
              <w:sz w:val="24"/>
              <w:szCs w:val="24"/>
            </w:rPr>
            <w:t>Al cierre de la vigencia 202</w:t>
          </w:r>
          <w:r w:rsidR="00A612D2">
            <w:rPr>
              <w:rFonts w:ascii="Times New Roman" w:hAnsi="Times New Roman"/>
              <w:sz w:val="24"/>
              <w:szCs w:val="24"/>
            </w:rPr>
            <w:t>3</w:t>
          </w:r>
          <w:r w:rsidRPr="00931DCE">
            <w:rPr>
              <w:rFonts w:ascii="Times New Roman" w:hAnsi="Times New Roman"/>
              <w:sz w:val="24"/>
              <w:szCs w:val="24"/>
            </w:rPr>
            <w:t xml:space="preserve">, los bienes reconocidos como activos, </w:t>
          </w:r>
          <w:r w:rsidR="00A7297B" w:rsidRPr="00931DCE">
            <w:rPr>
              <w:rFonts w:ascii="Times New Roman" w:hAnsi="Times New Roman"/>
              <w:sz w:val="24"/>
              <w:szCs w:val="24"/>
            </w:rPr>
            <w:t xml:space="preserve">están </w:t>
          </w:r>
          <w:r w:rsidR="00751157" w:rsidRPr="00931DCE">
            <w:rPr>
              <w:rFonts w:ascii="Times New Roman" w:hAnsi="Times New Roman"/>
              <w:sz w:val="24"/>
              <w:szCs w:val="24"/>
            </w:rPr>
            <w:t xml:space="preserve">discriminados así: 1) bienes muebles por valor en libros de </w:t>
          </w:r>
          <w:r w:rsidR="00751157" w:rsidRPr="006D5165">
            <w:rPr>
              <w:rFonts w:ascii="Times New Roman" w:hAnsi="Times New Roman"/>
              <w:sz w:val="24"/>
              <w:szCs w:val="24"/>
            </w:rPr>
            <w:t xml:space="preserve">$ </w:t>
          </w:r>
          <w:r w:rsidR="006D5165" w:rsidRPr="006D5165">
            <w:rPr>
              <w:rFonts w:ascii="Times New Roman" w:hAnsi="Times New Roman"/>
              <w:sz w:val="24"/>
              <w:szCs w:val="24"/>
            </w:rPr>
            <w:t>2.843.093.897.660,00</w:t>
          </w:r>
          <w:r w:rsidR="00751157" w:rsidRPr="00931DCE">
            <w:rPr>
              <w:rFonts w:ascii="Times New Roman" w:hAnsi="Times New Roman"/>
              <w:sz w:val="24"/>
              <w:szCs w:val="24"/>
            </w:rPr>
            <w:t>, este valor incluye los activos en concesión y 2) bienes inmuebles en concesión por valor de $</w:t>
          </w:r>
          <w:r w:rsidR="00087D86" w:rsidRPr="00087D86">
            <w:rPr>
              <w:rFonts w:ascii="Times New Roman" w:hAnsi="Times New Roman"/>
              <w:sz w:val="24"/>
              <w:szCs w:val="24"/>
            </w:rPr>
            <w:t>160.065.758.504</w:t>
          </w:r>
          <w:r w:rsidR="00751157" w:rsidRPr="00931DCE">
            <w:rPr>
              <w:rFonts w:ascii="Times New Roman" w:hAnsi="Times New Roman"/>
              <w:sz w:val="24"/>
              <w:szCs w:val="24"/>
            </w:rPr>
            <w:t xml:space="preserve"> </w:t>
          </w:r>
          <w:r w:rsidR="008772AA" w:rsidRPr="00931DCE">
            <w:rPr>
              <w:rFonts w:ascii="Times New Roman" w:hAnsi="Times New Roman"/>
              <w:sz w:val="24"/>
              <w:szCs w:val="24"/>
            </w:rPr>
            <w:t>(nota 10.2)</w:t>
          </w:r>
          <w:r w:rsidRPr="00931DCE">
            <w:rPr>
              <w:rFonts w:ascii="Times New Roman" w:hAnsi="Times New Roman"/>
              <w:sz w:val="24"/>
              <w:szCs w:val="24"/>
            </w:rPr>
            <w:t xml:space="preserve">, y son bienes de trascendencia sustancial en la información financiera al ser partidas de carácter estratégico, fundamentales en </w:t>
          </w:r>
          <w:r w:rsidR="00751157" w:rsidRPr="00931DCE">
            <w:rPr>
              <w:rFonts w:ascii="Times New Roman" w:hAnsi="Times New Roman"/>
              <w:sz w:val="24"/>
              <w:szCs w:val="24"/>
            </w:rPr>
            <w:t>la función social de la Agencia</w:t>
          </w:r>
          <w:r w:rsidRPr="00931DCE">
            <w:rPr>
              <w:rFonts w:ascii="Times New Roman" w:hAnsi="Times New Roman"/>
              <w:sz w:val="24"/>
              <w:szCs w:val="24"/>
            </w:rPr>
            <w:t>,</w:t>
          </w:r>
          <w:r w:rsidR="00751157" w:rsidRPr="00931DCE">
            <w:rPr>
              <w:rFonts w:ascii="Times New Roman" w:hAnsi="Times New Roman"/>
              <w:sz w:val="24"/>
              <w:szCs w:val="24"/>
            </w:rPr>
            <w:t xml:space="preserve"> en especial los activos que se encuentran en concesión</w:t>
          </w:r>
          <w:r w:rsidRPr="00931DCE">
            <w:rPr>
              <w:rFonts w:ascii="Times New Roman" w:hAnsi="Times New Roman"/>
              <w:sz w:val="24"/>
              <w:szCs w:val="24"/>
            </w:rPr>
            <w:t>.</w:t>
          </w:r>
        </w:p>
        <w:p w14:paraId="786408C7" w14:textId="77777777" w:rsidR="001239B7" w:rsidRPr="00931DCE" w:rsidRDefault="001239B7" w:rsidP="004A000E">
          <w:pPr>
            <w:spacing w:after="0" w:line="240" w:lineRule="auto"/>
            <w:jc w:val="both"/>
            <w:rPr>
              <w:rFonts w:ascii="Times New Roman" w:hAnsi="Times New Roman"/>
              <w:sz w:val="24"/>
              <w:szCs w:val="24"/>
            </w:rPr>
          </w:pPr>
        </w:p>
        <w:p w14:paraId="483F9C2A" w14:textId="77777777" w:rsidR="00177C52" w:rsidRPr="00931DCE" w:rsidRDefault="00177C52" w:rsidP="004A000E">
          <w:pPr>
            <w:spacing w:after="0" w:line="240" w:lineRule="auto"/>
            <w:jc w:val="both"/>
            <w:rPr>
              <w:rFonts w:ascii="Times New Roman" w:hAnsi="Times New Roman"/>
              <w:sz w:val="24"/>
              <w:szCs w:val="24"/>
            </w:rPr>
          </w:pPr>
        </w:p>
        <w:p w14:paraId="0B6E412F" w14:textId="77777777" w:rsidR="00A218B1" w:rsidRPr="005B7DDA" w:rsidRDefault="00A218B1" w:rsidP="00A218B1">
          <w:pPr>
            <w:autoSpaceDE w:val="0"/>
            <w:autoSpaceDN w:val="0"/>
            <w:adjustRightInd w:val="0"/>
            <w:spacing w:after="0" w:line="240" w:lineRule="auto"/>
            <w:rPr>
              <w:rFonts w:ascii="Times New Roman" w:hAnsi="Times New Roman"/>
              <w:b/>
              <w:color w:val="1F3864" w:themeColor="accent1" w:themeShade="80"/>
              <w:sz w:val="24"/>
              <w:szCs w:val="24"/>
              <w:lang w:eastAsia="es-CO"/>
            </w:rPr>
          </w:pPr>
          <w:r w:rsidRPr="005B7DDA">
            <w:rPr>
              <w:rFonts w:ascii="Times New Roman" w:hAnsi="Times New Roman"/>
              <w:b/>
              <w:color w:val="1F3864" w:themeColor="accent1" w:themeShade="80"/>
              <w:sz w:val="24"/>
              <w:szCs w:val="24"/>
              <w:lang w:eastAsia="es-CO"/>
            </w:rPr>
            <w:t>Bienes al Servicio Administrativo</w:t>
          </w:r>
        </w:p>
        <w:p w14:paraId="25C807AF" w14:textId="77777777" w:rsidR="00F33333" w:rsidRDefault="00F33333" w:rsidP="00A218B1">
          <w:pPr>
            <w:autoSpaceDE w:val="0"/>
            <w:autoSpaceDN w:val="0"/>
            <w:adjustRightInd w:val="0"/>
            <w:spacing w:after="0" w:line="240" w:lineRule="auto"/>
            <w:rPr>
              <w:rFonts w:ascii="Times New Roman" w:hAnsi="Times New Roman"/>
              <w:b/>
              <w:bCs/>
              <w:sz w:val="24"/>
              <w:szCs w:val="24"/>
              <w:lang w:eastAsia="es-CO"/>
            </w:rPr>
          </w:pPr>
        </w:p>
        <w:p w14:paraId="3DA5A6AE" w14:textId="2FDDD6A4" w:rsidR="00A218B1" w:rsidRDefault="00A218B1" w:rsidP="00F33333">
          <w:pPr>
            <w:autoSpaceDE w:val="0"/>
            <w:autoSpaceDN w:val="0"/>
            <w:adjustRightInd w:val="0"/>
            <w:spacing w:after="0" w:line="240" w:lineRule="auto"/>
            <w:jc w:val="both"/>
            <w:rPr>
              <w:rFonts w:ascii="Times New Roman" w:hAnsi="Times New Roman"/>
              <w:sz w:val="24"/>
              <w:szCs w:val="24"/>
              <w:lang w:eastAsia="es-CO"/>
            </w:rPr>
          </w:pPr>
          <w:r>
            <w:rPr>
              <w:rFonts w:ascii="Times New Roman" w:hAnsi="Times New Roman"/>
              <w:sz w:val="24"/>
              <w:szCs w:val="24"/>
              <w:lang w:eastAsia="es-CO"/>
            </w:rPr>
            <w:t xml:space="preserve">Para la vigencia </w:t>
          </w:r>
          <w:r w:rsidR="00F33333">
            <w:rPr>
              <w:rFonts w:ascii="Times New Roman" w:hAnsi="Times New Roman"/>
              <w:sz w:val="24"/>
              <w:szCs w:val="24"/>
              <w:lang w:eastAsia="es-CO"/>
            </w:rPr>
            <w:t>2023</w:t>
          </w:r>
          <w:r>
            <w:rPr>
              <w:rFonts w:ascii="Times New Roman" w:hAnsi="Times New Roman"/>
              <w:sz w:val="24"/>
              <w:szCs w:val="24"/>
              <w:lang w:eastAsia="es-CO"/>
            </w:rPr>
            <w:t>, los activos que se encuentran en servicio para uso administrativo y de</w:t>
          </w:r>
          <w:r w:rsidR="00F33333">
            <w:rPr>
              <w:rFonts w:ascii="Times New Roman" w:hAnsi="Times New Roman"/>
              <w:sz w:val="24"/>
              <w:szCs w:val="24"/>
              <w:lang w:eastAsia="es-CO"/>
            </w:rPr>
            <w:t xml:space="preserve"> </w:t>
          </w:r>
          <w:r>
            <w:rPr>
              <w:rFonts w:ascii="Times New Roman" w:hAnsi="Times New Roman"/>
              <w:sz w:val="24"/>
              <w:szCs w:val="24"/>
              <w:lang w:eastAsia="es-CO"/>
            </w:rPr>
            <w:t>gestión, están clasificadas en Redes, Líneas y Cables, Maquinaria y equipo, Equipo médico y</w:t>
          </w:r>
        </w:p>
        <w:p w14:paraId="40359700" w14:textId="6AA95B0B" w:rsidR="00A218B1" w:rsidRDefault="00A218B1" w:rsidP="00F33333">
          <w:pPr>
            <w:autoSpaceDE w:val="0"/>
            <w:autoSpaceDN w:val="0"/>
            <w:adjustRightInd w:val="0"/>
            <w:spacing w:after="0" w:line="240" w:lineRule="auto"/>
            <w:jc w:val="both"/>
            <w:rPr>
              <w:rFonts w:ascii="Times New Roman" w:hAnsi="Times New Roman"/>
              <w:sz w:val="24"/>
              <w:szCs w:val="24"/>
              <w:lang w:eastAsia="es-CO"/>
            </w:rPr>
          </w:pPr>
          <w:r>
            <w:rPr>
              <w:rFonts w:ascii="Times New Roman" w:hAnsi="Times New Roman"/>
              <w:sz w:val="24"/>
              <w:szCs w:val="24"/>
              <w:lang w:eastAsia="es-CO"/>
            </w:rPr>
            <w:t>científico, Muebles y enseres y equipos de oficina, Equipo de comunicación, Equipo de</w:t>
          </w:r>
          <w:r w:rsidR="00F33333">
            <w:rPr>
              <w:rFonts w:ascii="Times New Roman" w:hAnsi="Times New Roman"/>
              <w:sz w:val="24"/>
              <w:szCs w:val="24"/>
              <w:lang w:eastAsia="es-CO"/>
            </w:rPr>
            <w:t xml:space="preserve"> </w:t>
          </w:r>
          <w:r>
            <w:rPr>
              <w:rFonts w:ascii="Times New Roman" w:hAnsi="Times New Roman"/>
              <w:sz w:val="24"/>
              <w:szCs w:val="24"/>
              <w:lang w:eastAsia="es-CO"/>
            </w:rPr>
            <w:t>transporte tracción y elevación, y Equipo de comedor, cocina despensa y hotelería, los</w:t>
          </w:r>
          <w:r w:rsidR="00F33333">
            <w:rPr>
              <w:rFonts w:ascii="Times New Roman" w:hAnsi="Times New Roman"/>
              <w:sz w:val="24"/>
              <w:szCs w:val="24"/>
              <w:lang w:eastAsia="es-CO"/>
            </w:rPr>
            <w:t xml:space="preserve"> </w:t>
          </w:r>
          <w:r>
            <w:rPr>
              <w:rFonts w:ascii="Times New Roman" w:hAnsi="Times New Roman"/>
              <w:sz w:val="24"/>
              <w:szCs w:val="24"/>
              <w:lang w:eastAsia="es-CO"/>
            </w:rPr>
            <w:t>incrementos en la Propiedad, Planta y Equipo corresponden a bienes entregados al servicio y</w:t>
          </w:r>
        </w:p>
        <w:p w14:paraId="21A9630A" w14:textId="730F4F15" w:rsidR="00A218B1" w:rsidRDefault="00A218B1" w:rsidP="00B0467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eastAsia="es-CO"/>
            </w:rPr>
            <w:t>las disminuciones a reintegros de elementos y bajas teniendo en cuenta las diferentes</w:t>
          </w:r>
          <w:r w:rsidR="00B04677">
            <w:rPr>
              <w:rFonts w:ascii="Times New Roman" w:hAnsi="Times New Roman"/>
              <w:sz w:val="24"/>
              <w:szCs w:val="24"/>
              <w:lang w:eastAsia="es-CO"/>
            </w:rPr>
            <w:t xml:space="preserve"> </w:t>
          </w:r>
          <w:r>
            <w:rPr>
              <w:rFonts w:ascii="Times New Roman" w:hAnsi="Times New Roman"/>
              <w:sz w:val="24"/>
              <w:szCs w:val="24"/>
              <w:lang w:eastAsia="es-CO"/>
            </w:rPr>
            <w:t>situaciones administrativas y de logística para el adecuado funcionamiento de la entidad.</w:t>
          </w:r>
        </w:p>
        <w:p w14:paraId="4F2D4B29" w14:textId="77777777" w:rsidR="006A7192" w:rsidRDefault="006A7192" w:rsidP="00B04677">
          <w:pPr>
            <w:autoSpaceDE w:val="0"/>
            <w:autoSpaceDN w:val="0"/>
            <w:adjustRightInd w:val="0"/>
            <w:spacing w:after="0" w:line="240" w:lineRule="auto"/>
            <w:jc w:val="both"/>
            <w:rPr>
              <w:rFonts w:ascii="Times New Roman" w:hAnsi="Times New Roman"/>
              <w:sz w:val="24"/>
              <w:szCs w:val="24"/>
            </w:rPr>
          </w:pPr>
        </w:p>
        <w:p w14:paraId="5B198F57" w14:textId="77777777" w:rsidR="00E12C9E" w:rsidRDefault="00E12C9E" w:rsidP="004A000E">
          <w:pPr>
            <w:spacing w:after="0" w:line="240" w:lineRule="auto"/>
            <w:jc w:val="both"/>
            <w:rPr>
              <w:rFonts w:ascii="Times New Roman" w:hAnsi="Times New Roman"/>
              <w:sz w:val="24"/>
              <w:szCs w:val="24"/>
            </w:rPr>
          </w:pPr>
        </w:p>
        <w:p w14:paraId="5FF459DF" w14:textId="77777777" w:rsidR="00177C52" w:rsidRPr="009934F3" w:rsidRDefault="00177C52" w:rsidP="009934F3">
          <w:pPr>
            <w:spacing w:after="0" w:line="240" w:lineRule="auto"/>
            <w:ind w:left="113" w:right="113"/>
            <w:jc w:val="center"/>
            <w:rPr>
              <w:rFonts w:ascii="Times New Roman" w:eastAsia="Times New Roman" w:hAnsi="Times New Roman"/>
              <w:b/>
              <w:sz w:val="14"/>
              <w:szCs w:val="14"/>
              <w:lang w:eastAsia="es-CO"/>
            </w:rPr>
          </w:pPr>
        </w:p>
        <w:tbl>
          <w:tblPr>
            <w:tblW w:w="5562" w:type="pct"/>
            <w:tblInd w:w="-572" w:type="dxa"/>
            <w:tblLayout w:type="fixed"/>
            <w:tblCellMar>
              <w:top w:w="15" w:type="dxa"/>
              <w:left w:w="70" w:type="dxa"/>
              <w:bottom w:w="15" w:type="dxa"/>
              <w:right w:w="70" w:type="dxa"/>
            </w:tblCellMar>
            <w:tblLook w:val="04A0" w:firstRow="1" w:lastRow="0" w:firstColumn="1" w:lastColumn="0" w:noHBand="0" w:noVBand="1"/>
          </w:tblPr>
          <w:tblGrid>
            <w:gridCol w:w="1177"/>
            <w:gridCol w:w="884"/>
            <w:gridCol w:w="878"/>
            <w:gridCol w:w="1030"/>
            <w:gridCol w:w="736"/>
            <w:gridCol w:w="880"/>
            <w:gridCol w:w="736"/>
            <w:gridCol w:w="880"/>
            <w:gridCol w:w="884"/>
            <w:gridCol w:w="878"/>
            <w:gridCol w:w="1014"/>
          </w:tblGrid>
          <w:tr w:rsidR="002B1A6C" w:rsidRPr="00A55913" w14:paraId="7683AD0A" w14:textId="77777777" w:rsidTr="002B1A6C">
            <w:trPr>
              <w:cantSplit/>
              <w:trHeight w:val="1192"/>
              <w:tblHeader/>
            </w:trPr>
            <w:tc>
              <w:tcPr>
                <w:tcW w:w="590" w:type="pct"/>
                <w:tcBorders>
                  <w:top w:val="single" w:sz="4" w:space="0" w:color="A6A6A6"/>
                  <w:left w:val="single" w:sz="4" w:space="0" w:color="A6A6A6"/>
                  <w:bottom w:val="single" w:sz="4" w:space="0" w:color="A6A6A6"/>
                  <w:right w:val="single" w:sz="4" w:space="0" w:color="A6A6A6"/>
                </w:tcBorders>
                <w:vAlign w:val="center"/>
                <w:hideMark/>
              </w:tcPr>
              <w:p w14:paraId="57BEBD55" w14:textId="77777777" w:rsidR="00F54474" w:rsidRPr="00F54474" w:rsidRDefault="00F54474" w:rsidP="00F54474">
                <w:pPr>
                  <w:spacing w:after="0" w:line="240" w:lineRule="auto"/>
                  <w:jc w:val="center"/>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lastRenderedPageBreak/>
                  <w:t>CONCEPTOS Y TRANSACCIONES</w:t>
                </w:r>
              </w:p>
            </w:tc>
            <w:tc>
              <w:tcPr>
                <w:tcW w:w="443" w:type="pct"/>
                <w:tcBorders>
                  <w:top w:val="single" w:sz="4" w:space="0" w:color="A6A6A6"/>
                  <w:left w:val="single" w:sz="4" w:space="0" w:color="A6A6A6"/>
                  <w:bottom w:val="single" w:sz="4" w:space="0" w:color="A6A6A6"/>
                  <w:right w:val="single" w:sz="4" w:space="0" w:color="A6A6A6"/>
                </w:tcBorders>
                <w:vAlign w:val="center"/>
                <w:hideMark/>
              </w:tcPr>
              <w:p w14:paraId="4B725D17" w14:textId="77777777" w:rsidR="00F54474" w:rsidRPr="00F54474" w:rsidRDefault="00F54474" w:rsidP="00F54474">
                <w:pPr>
                  <w:spacing w:after="0" w:line="240" w:lineRule="auto"/>
                  <w:jc w:val="center"/>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MAQUINARIA Y EQUIPO</w:t>
                </w:r>
              </w:p>
            </w:tc>
            <w:tc>
              <w:tcPr>
                <w:tcW w:w="440" w:type="pct"/>
                <w:tcBorders>
                  <w:top w:val="single" w:sz="4" w:space="0" w:color="A6A6A6"/>
                  <w:left w:val="single" w:sz="4" w:space="0" w:color="A6A6A6"/>
                  <w:bottom w:val="single" w:sz="4" w:space="0" w:color="A6A6A6"/>
                  <w:right w:val="single" w:sz="4" w:space="0" w:color="A6A6A6"/>
                </w:tcBorders>
                <w:vAlign w:val="center"/>
                <w:hideMark/>
              </w:tcPr>
              <w:p w14:paraId="7D6A14D1" w14:textId="77777777" w:rsidR="00F54474" w:rsidRPr="00F54474" w:rsidRDefault="00F54474" w:rsidP="00F54474">
                <w:pPr>
                  <w:spacing w:after="0" w:line="240" w:lineRule="auto"/>
                  <w:jc w:val="center"/>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EQUIPOS DE COMUNIC. Y COMPUTAC.</w:t>
                </w:r>
              </w:p>
            </w:tc>
            <w:tc>
              <w:tcPr>
                <w:tcW w:w="516" w:type="pct"/>
                <w:tcBorders>
                  <w:top w:val="single" w:sz="4" w:space="0" w:color="A6A6A6"/>
                  <w:left w:val="single" w:sz="4" w:space="0" w:color="A6A6A6"/>
                  <w:bottom w:val="single" w:sz="4" w:space="0" w:color="A6A6A6"/>
                  <w:right w:val="single" w:sz="4" w:space="0" w:color="A6A6A6"/>
                </w:tcBorders>
                <w:vAlign w:val="center"/>
                <w:hideMark/>
              </w:tcPr>
              <w:p w14:paraId="69AD917B" w14:textId="77777777" w:rsidR="00F54474" w:rsidRPr="00F54474" w:rsidRDefault="00F54474" w:rsidP="00F54474">
                <w:pPr>
                  <w:spacing w:after="0" w:line="240" w:lineRule="auto"/>
                  <w:jc w:val="center"/>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EQUIPOS DE TRANSPORTE, TRACCIÓN Y ELEVACIÓN</w:t>
                </w:r>
              </w:p>
            </w:tc>
            <w:tc>
              <w:tcPr>
                <w:tcW w:w="369" w:type="pct"/>
                <w:tcBorders>
                  <w:top w:val="single" w:sz="4" w:space="0" w:color="A6A6A6"/>
                  <w:left w:val="single" w:sz="4" w:space="0" w:color="A6A6A6"/>
                  <w:bottom w:val="single" w:sz="4" w:space="0" w:color="A6A6A6"/>
                  <w:right w:val="single" w:sz="4" w:space="0" w:color="A6A6A6"/>
                </w:tcBorders>
                <w:vAlign w:val="center"/>
                <w:hideMark/>
              </w:tcPr>
              <w:p w14:paraId="42B309C1" w14:textId="77777777" w:rsidR="00F54474" w:rsidRPr="00F54474" w:rsidRDefault="00F54474" w:rsidP="00F54474">
                <w:pPr>
                  <w:spacing w:after="0" w:line="240" w:lineRule="auto"/>
                  <w:jc w:val="center"/>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EQUIPO MÉDICO Y CIENTÍFICO</w:t>
                </w:r>
              </w:p>
            </w:tc>
            <w:tc>
              <w:tcPr>
                <w:tcW w:w="441" w:type="pct"/>
                <w:tcBorders>
                  <w:top w:val="single" w:sz="4" w:space="0" w:color="A6A6A6"/>
                  <w:left w:val="single" w:sz="4" w:space="0" w:color="A6A6A6"/>
                  <w:bottom w:val="single" w:sz="4" w:space="0" w:color="A6A6A6"/>
                  <w:right w:val="single" w:sz="4" w:space="0" w:color="A6A6A6"/>
                </w:tcBorders>
                <w:vAlign w:val="center"/>
                <w:hideMark/>
              </w:tcPr>
              <w:p w14:paraId="698A046E" w14:textId="77777777" w:rsidR="00F54474" w:rsidRPr="00F54474" w:rsidRDefault="00F54474" w:rsidP="00F54474">
                <w:pPr>
                  <w:spacing w:after="0" w:line="240" w:lineRule="auto"/>
                  <w:jc w:val="center"/>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MUEBLES, ENSERES Y EQUIPO DE OFICINA</w:t>
                </w:r>
              </w:p>
            </w:tc>
            <w:tc>
              <w:tcPr>
                <w:tcW w:w="369" w:type="pct"/>
                <w:tcBorders>
                  <w:top w:val="single" w:sz="4" w:space="0" w:color="A6A6A6"/>
                  <w:left w:val="single" w:sz="4" w:space="0" w:color="A6A6A6"/>
                  <w:bottom w:val="single" w:sz="4" w:space="0" w:color="A6A6A6"/>
                  <w:right w:val="single" w:sz="4" w:space="0" w:color="A6A6A6"/>
                </w:tcBorders>
                <w:vAlign w:val="center"/>
                <w:hideMark/>
              </w:tcPr>
              <w:p w14:paraId="6ED8EF90" w14:textId="77777777" w:rsidR="00F54474" w:rsidRPr="00F54474" w:rsidRDefault="00F54474" w:rsidP="00F54474">
                <w:pPr>
                  <w:spacing w:after="0" w:line="240" w:lineRule="auto"/>
                  <w:jc w:val="center"/>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EQUIPOS DE COMEDOR, COCINA, DESPENSA Y HOTELERÍA</w:t>
                </w:r>
              </w:p>
            </w:tc>
            <w:tc>
              <w:tcPr>
                <w:tcW w:w="441" w:type="pct"/>
                <w:tcBorders>
                  <w:top w:val="single" w:sz="4" w:space="0" w:color="A6A6A6"/>
                  <w:left w:val="single" w:sz="4" w:space="0" w:color="A6A6A6"/>
                  <w:bottom w:val="single" w:sz="4" w:space="0" w:color="A6A6A6"/>
                  <w:right w:val="single" w:sz="4" w:space="0" w:color="A6A6A6"/>
                </w:tcBorders>
                <w:vAlign w:val="center"/>
                <w:hideMark/>
              </w:tcPr>
              <w:p w14:paraId="136B4DF8" w14:textId="5FB198ED" w:rsidR="00F54474" w:rsidRPr="00F54474" w:rsidRDefault="00F54474" w:rsidP="00F54474">
                <w:pPr>
                  <w:spacing w:after="0" w:line="240" w:lineRule="auto"/>
                  <w:jc w:val="center"/>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BIENES </w:t>
                </w:r>
                <w:r w:rsidRPr="00A55913">
                  <w:rPr>
                    <w:rFonts w:ascii="Times New Roman" w:eastAsia="Times New Roman" w:hAnsi="Times New Roman"/>
                    <w:b/>
                    <w:bCs/>
                    <w:sz w:val="12"/>
                    <w:szCs w:val="12"/>
                    <w:lang w:eastAsia="es-CO"/>
                  </w:rPr>
                  <w:t>MUEBLES EN</w:t>
                </w:r>
                <w:r w:rsidRPr="00F54474">
                  <w:rPr>
                    <w:rFonts w:ascii="Times New Roman" w:eastAsia="Times New Roman" w:hAnsi="Times New Roman"/>
                    <w:b/>
                    <w:bCs/>
                    <w:sz w:val="12"/>
                    <w:szCs w:val="12"/>
                    <w:lang w:eastAsia="es-CO"/>
                  </w:rPr>
                  <w:t xml:space="preserve"> BODEGA</w:t>
                </w:r>
              </w:p>
            </w:tc>
            <w:tc>
              <w:tcPr>
                <w:tcW w:w="443" w:type="pct"/>
                <w:tcBorders>
                  <w:top w:val="single" w:sz="4" w:space="0" w:color="A6A6A6"/>
                  <w:left w:val="single" w:sz="4" w:space="0" w:color="A6A6A6"/>
                  <w:bottom w:val="single" w:sz="4" w:space="0" w:color="A6A6A6"/>
                  <w:right w:val="single" w:sz="4" w:space="0" w:color="A6A6A6"/>
                </w:tcBorders>
                <w:vAlign w:val="center"/>
                <w:hideMark/>
              </w:tcPr>
              <w:p w14:paraId="169AD0E1" w14:textId="77777777" w:rsidR="00F54474" w:rsidRPr="00F54474" w:rsidRDefault="00F54474" w:rsidP="00F54474">
                <w:pPr>
                  <w:spacing w:after="0" w:line="240" w:lineRule="auto"/>
                  <w:jc w:val="center"/>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BIENES NO EXPLOTADOS</w:t>
                </w:r>
              </w:p>
            </w:tc>
            <w:tc>
              <w:tcPr>
                <w:tcW w:w="440" w:type="pct"/>
                <w:tcBorders>
                  <w:top w:val="single" w:sz="4" w:space="0" w:color="A6A6A6"/>
                  <w:left w:val="single" w:sz="4" w:space="0" w:color="A6A6A6"/>
                  <w:bottom w:val="single" w:sz="4" w:space="0" w:color="A6A6A6"/>
                  <w:right w:val="single" w:sz="4" w:space="0" w:color="A6A6A6"/>
                </w:tcBorders>
                <w:vAlign w:val="center"/>
                <w:hideMark/>
              </w:tcPr>
              <w:p w14:paraId="4C4BFA8A" w14:textId="77777777" w:rsidR="00F54474" w:rsidRPr="00F54474" w:rsidRDefault="00F54474" w:rsidP="00F54474">
                <w:pPr>
                  <w:spacing w:after="0" w:line="240" w:lineRule="auto"/>
                  <w:jc w:val="center"/>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REDES, LÍNEAS Y CABLES</w:t>
                </w:r>
              </w:p>
            </w:tc>
            <w:tc>
              <w:tcPr>
                <w:tcW w:w="509" w:type="pct"/>
                <w:tcBorders>
                  <w:top w:val="single" w:sz="4" w:space="0" w:color="A6A6A6"/>
                  <w:left w:val="single" w:sz="4" w:space="0" w:color="A6A6A6"/>
                  <w:bottom w:val="single" w:sz="4" w:space="0" w:color="A6A6A6"/>
                  <w:right w:val="single" w:sz="4" w:space="0" w:color="A6A6A6"/>
                </w:tcBorders>
                <w:vAlign w:val="center"/>
                <w:hideMark/>
              </w:tcPr>
              <w:p w14:paraId="19D75FD2" w14:textId="77777777" w:rsidR="00F54474" w:rsidRPr="00F54474" w:rsidRDefault="00F54474" w:rsidP="00F54474">
                <w:pPr>
                  <w:spacing w:after="0" w:line="240" w:lineRule="auto"/>
                  <w:jc w:val="center"/>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TOTAL</w:t>
                </w:r>
              </w:p>
            </w:tc>
          </w:tr>
          <w:tr w:rsidR="0059176A" w:rsidRPr="00A55913" w14:paraId="5CA1E03E" w14:textId="77777777" w:rsidTr="002B1A6C">
            <w:trPr>
              <w:trHeight w:val="296"/>
            </w:trPr>
            <w:tc>
              <w:tcPr>
                <w:tcW w:w="590" w:type="pct"/>
                <w:tcBorders>
                  <w:top w:val="single" w:sz="4" w:space="0" w:color="A6A6A6"/>
                  <w:left w:val="single" w:sz="4" w:space="0" w:color="A6A6A6"/>
                  <w:bottom w:val="single" w:sz="4" w:space="0" w:color="A6A6A6"/>
                  <w:right w:val="nil"/>
                </w:tcBorders>
                <w:vAlign w:val="center"/>
                <w:hideMark/>
              </w:tcPr>
              <w:p w14:paraId="349249DA" w14:textId="77777777" w:rsidR="00F54474" w:rsidRPr="00F54474" w:rsidRDefault="00F54474" w:rsidP="00F54474">
                <w:pPr>
                  <w:spacing w:after="0" w:line="240" w:lineRule="auto"/>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SALDO INICIAL (01-ene)</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6B27F55A"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757.569.697 </w:t>
                </w: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76FC70A2"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5.841.359.050 </w:t>
                </w:r>
              </w:p>
            </w:tc>
            <w:tc>
              <w:tcPr>
                <w:tcW w:w="516" w:type="pct"/>
                <w:tcBorders>
                  <w:top w:val="single" w:sz="4" w:space="0" w:color="A6A6A6"/>
                  <w:left w:val="single" w:sz="4" w:space="0" w:color="A6A6A6"/>
                  <w:bottom w:val="single" w:sz="4" w:space="0" w:color="A6A6A6"/>
                  <w:right w:val="single" w:sz="4" w:space="0" w:color="A6A6A6"/>
                </w:tcBorders>
                <w:noWrap/>
                <w:vAlign w:val="center"/>
                <w:hideMark/>
              </w:tcPr>
              <w:p w14:paraId="4D79E944"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1.282.929.148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58F6BDA1"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843.400 </w:t>
                </w: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0CD5A0DC"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7.160.232.820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7A88C374"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9.576.520 </w:t>
                </w: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6BBF276F"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81.582.830 </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1F58B58D"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116.475.338 </w:t>
                </w: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2939AF2D"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323.732.673 </w:t>
                </w:r>
              </w:p>
            </w:tc>
            <w:tc>
              <w:tcPr>
                <w:tcW w:w="509" w:type="pct"/>
                <w:tcBorders>
                  <w:top w:val="single" w:sz="4" w:space="0" w:color="A6A6A6"/>
                  <w:left w:val="single" w:sz="4" w:space="0" w:color="A6A6A6"/>
                  <w:bottom w:val="single" w:sz="4" w:space="0" w:color="A6A6A6"/>
                  <w:right w:val="single" w:sz="4" w:space="0" w:color="A6A6A6"/>
                </w:tcBorders>
                <w:noWrap/>
                <w:vAlign w:val="center"/>
                <w:hideMark/>
              </w:tcPr>
              <w:p w14:paraId="250219BB"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15.574.301.476 </w:t>
                </w:r>
              </w:p>
            </w:tc>
          </w:tr>
          <w:tr w:rsidR="0059176A" w:rsidRPr="00A55913" w14:paraId="2ED4E78B" w14:textId="77777777" w:rsidTr="002B1A6C">
            <w:trPr>
              <w:trHeight w:val="296"/>
            </w:trPr>
            <w:tc>
              <w:tcPr>
                <w:tcW w:w="590" w:type="pct"/>
                <w:tcBorders>
                  <w:top w:val="single" w:sz="4" w:space="0" w:color="A6A6A6"/>
                  <w:left w:val="single" w:sz="4" w:space="0" w:color="A6A6A6"/>
                  <w:bottom w:val="single" w:sz="4" w:space="0" w:color="A6A6A6"/>
                  <w:right w:val="nil"/>
                </w:tcBorders>
                <w:noWrap/>
                <w:vAlign w:val="center"/>
                <w:hideMark/>
              </w:tcPr>
              <w:p w14:paraId="1910944C" w14:textId="6AD0B2AD" w:rsidR="00F54474" w:rsidRPr="00F54474" w:rsidRDefault="00F54474" w:rsidP="00F54474">
                <w:pPr>
                  <w:spacing w:after="0" w:line="240" w:lineRule="auto"/>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w:t>
                </w:r>
                <w:r w:rsidRPr="00A55913">
                  <w:rPr>
                    <w:rFonts w:ascii="Times New Roman" w:eastAsia="Times New Roman" w:hAnsi="Times New Roman"/>
                    <w:b/>
                    <w:bCs/>
                    <w:sz w:val="12"/>
                    <w:szCs w:val="12"/>
                    <w:lang w:eastAsia="es-CO"/>
                  </w:rPr>
                  <w:t xml:space="preserve"> </w:t>
                </w:r>
                <w:r w:rsidRPr="00F54474">
                  <w:rPr>
                    <w:rFonts w:ascii="Times New Roman" w:eastAsia="Times New Roman" w:hAnsi="Times New Roman"/>
                    <w:b/>
                    <w:bCs/>
                    <w:sz w:val="12"/>
                    <w:szCs w:val="12"/>
                    <w:lang w:eastAsia="es-CO"/>
                  </w:rPr>
                  <w:t>ENTRADAS (DB):</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2C15DBE9"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73.592.337 </w:t>
                </w: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5DA24B3D"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52.521.493 </w:t>
                </w:r>
              </w:p>
            </w:tc>
            <w:tc>
              <w:tcPr>
                <w:tcW w:w="516" w:type="pct"/>
                <w:tcBorders>
                  <w:top w:val="single" w:sz="4" w:space="0" w:color="A6A6A6"/>
                  <w:left w:val="single" w:sz="4" w:space="0" w:color="A6A6A6"/>
                  <w:bottom w:val="single" w:sz="4" w:space="0" w:color="A6A6A6"/>
                  <w:right w:val="single" w:sz="4" w:space="0" w:color="A6A6A6"/>
                </w:tcBorders>
                <w:noWrap/>
                <w:vAlign w:val="center"/>
                <w:hideMark/>
              </w:tcPr>
              <w:p w14:paraId="362D5BF2"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052D2544"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   </w:t>
                </w: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2FFB46B8"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8.899.068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55D4D057"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   </w:t>
                </w: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60498F17"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188.805.388 </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01035E5E"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   </w:t>
                </w: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7947FD08"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   </w:t>
                </w:r>
              </w:p>
            </w:tc>
            <w:tc>
              <w:tcPr>
                <w:tcW w:w="509" w:type="pct"/>
                <w:tcBorders>
                  <w:top w:val="single" w:sz="4" w:space="0" w:color="A6A6A6"/>
                  <w:left w:val="single" w:sz="4" w:space="0" w:color="A6A6A6"/>
                  <w:bottom w:val="single" w:sz="4" w:space="0" w:color="A6A6A6"/>
                  <w:right w:val="single" w:sz="4" w:space="0" w:color="A6A6A6"/>
                </w:tcBorders>
                <w:noWrap/>
                <w:vAlign w:val="center"/>
                <w:hideMark/>
              </w:tcPr>
              <w:p w14:paraId="59C327A6"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323.818.286 </w:t>
                </w:r>
              </w:p>
            </w:tc>
          </w:tr>
          <w:tr w:rsidR="0059176A" w:rsidRPr="00A55913" w14:paraId="7E2560E0" w14:textId="77777777" w:rsidTr="002B1A6C">
            <w:trPr>
              <w:trHeight w:val="296"/>
            </w:trPr>
            <w:tc>
              <w:tcPr>
                <w:tcW w:w="590" w:type="pct"/>
                <w:tcBorders>
                  <w:top w:val="single" w:sz="4" w:space="0" w:color="A6A6A6"/>
                  <w:left w:val="single" w:sz="4" w:space="0" w:color="A6A6A6"/>
                  <w:bottom w:val="single" w:sz="4" w:space="0" w:color="A6A6A6"/>
                  <w:right w:val="nil"/>
                </w:tcBorders>
                <w:noWrap/>
                <w:vAlign w:val="center"/>
                <w:hideMark/>
              </w:tcPr>
              <w:p w14:paraId="4091046D" w14:textId="77777777" w:rsidR="00F54474" w:rsidRPr="00F54474" w:rsidRDefault="00F54474" w:rsidP="00F54474">
                <w:pPr>
                  <w:spacing w:after="0" w:line="240" w:lineRule="auto"/>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Adquisiciones en compras</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1663A3D0"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w:t>
                </w: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079030B7"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12.495.000 </w:t>
                </w:r>
              </w:p>
            </w:tc>
            <w:tc>
              <w:tcPr>
                <w:tcW w:w="516" w:type="pct"/>
                <w:tcBorders>
                  <w:top w:val="single" w:sz="4" w:space="0" w:color="A6A6A6"/>
                  <w:left w:val="single" w:sz="4" w:space="0" w:color="A6A6A6"/>
                  <w:bottom w:val="single" w:sz="4" w:space="0" w:color="A6A6A6"/>
                  <w:right w:val="single" w:sz="4" w:space="0" w:color="A6A6A6"/>
                </w:tcBorders>
                <w:noWrap/>
                <w:vAlign w:val="center"/>
                <w:hideMark/>
              </w:tcPr>
              <w:p w14:paraId="41A9A144"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239C7DCE"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459301FB"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8.899.068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33BFD23A"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60F0BEF4"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188.805.388 </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0EDA8636"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705B8AD9"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509" w:type="pct"/>
                <w:tcBorders>
                  <w:top w:val="single" w:sz="4" w:space="0" w:color="A6A6A6"/>
                  <w:left w:val="single" w:sz="4" w:space="0" w:color="A6A6A6"/>
                  <w:bottom w:val="single" w:sz="4" w:space="0" w:color="A6A6A6"/>
                  <w:right w:val="single" w:sz="4" w:space="0" w:color="A6A6A6"/>
                </w:tcBorders>
                <w:noWrap/>
                <w:vAlign w:val="center"/>
                <w:hideMark/>
              </w:tcPr>
              <w:p w14:paraId="02EAA0BF"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210.199.456 </w:t>
                </w:r>
              </w:p>
            </w:tc>
          </w:tr>
          <w:tr w:rsidR="0059176A" w:rsidRPr="00A55913" w14:paraId="69A0978D" w14:textId="77777777" w:rsidTr="002B1A6C">
            <w:trPr>
              <w:trHeight w:val="296"/>
            </w:trPr>
            <w:tc>
              <w:tcPr>
                <w:tcW w:w="590" w:type="pct"/>
                <w:tcBorders>
                  <w:top w:val="single" w:sz="4" w:space="0" w:color="A6A6A6"/>
                  <w:left w:val="single" w:sz="4" w:space="0" w:color="A6A6A6"/>
                  <w:bottom w:val="single" w:sz="4" w:space="0" w:color="A6A6A6"/>
                  <w:right w:val="nil"/>
                </w:tcBorders>
                <w:noWrap/>
                <w:vAlign w:val="center"/>
                <w:hideMark/>
              </w:tcPr>
              <w:p w14:paraId="28E8B6B7" w14:textId="77777777" w:rsidR="00F54474" w:rsidRPr="00F54474" w:rsidRDefault="00F54474" w:rsidP="00F54474">
                <w:pPr>
                  <w:spacing w:after="0" w:line="240" w:lineRule="auto"/>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Otras entradas de bienes muebles</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02B64980"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73.592.337 </w:t>
                </w: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262E5DC3"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40.026.493 </w:t>
                </w:r>
              </w:p>
            </w:tc>
            <w:tc>
              <w:tcPr>
                <w:tcW w:w="516" w:type="pct"/>
                <w:tcBorders>
                  <w:top w:val="single" w:sz="4" w:space="0" w:color="A6A6A6"/>
                  <w:left w:val="single" w:sz="4" w:space="0" w:color="A6A6A6"/>
                  <w:bottom w:val="single" w:sz="4" w:space="0" w:color="A6A6A6"/>
                  <w:right w:val="single" w:sz="4" w:space="0" w:color="A6A6A6"/>
                </w:tcBorders>
                <w:noWrap/>
                <w:vAlign w:val="center"/>
                <w:hideMark/>
              </w:tcPr>
              <w:p w14:paraId="5BCFC666"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4CFB2F9D"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5B5E7DD7"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530E78D8"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6D3EEB34"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21D229F2"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169FECBA"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509" w:type="pct"/>
                <w:tcBorders>
                  <w:top w:val="single" w:sz="4" w:space="0" w:color="A6A6A6"/>
                  <w:left w:val="single" w:sz="4" w:space="0" w:color="A6A6A6"/>
                  <w:bottom w:val="single" w:sz="4" w:space="0" w:color="A6A6A6"/>
                  <w:right w:val="single" w:sz="4" w:space="0" w:color="A6A6A6"/>
                </w:tcBorders>
                <w:noWrap/>
                <w:vAlign w:val="center"/>
                <w:hideMark/>
              </w:tcPr>
              <w:p w14:paraId="10495DCF"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113.618.830 </w:t>
                </w:r>
              </w:p>
            </w:tc>
          </w:tr>
          <w:tr w:rsidR="0059176A" w:rsidRPr="00A55913" w14:paraId="7DF0F381" w14:textId="77777777" w:rsidTr="002B1A6C">
            <w:trPr>
              <w:trHeight w:val="296"/>
            </w:trPr>
            <w:tc>
              <w:tcPr>
                <w:tcW w:w="590" w:type="pct"/>
                <w:tcBorders>
                  <w:top w:val="single" w:sz="4" w:space="0" w:color="A6A6A6"/>
                  <w:left w:val="single" w:sz="4" w:space="0" w:color="A6A6A6"/>
                  <w:bottom w:val="single" w:sz="4" w:space="0" w:color="A6A6A6"/>
                  <w:right w:val="single" w:sz="4" w:space="0" w:color="A6A6A6"/>
                </w:tcBorders>
                <w:noWrap/>
                <w:vAlign w:val="center"/>
                <w:hideMark/>
              </w:tcPr>
              <w:p w14:paraId="2DFADEC8" w14:textId="77777777" w:rsidR="00F54474" w:rsidRPr="00F54474" w:rsidRDefault="00F54474" w:rsidP="00F54474">
                <w:pPr>
                  <w:spacing w:after="0" w:line="240" w:lineRule="auto"/>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Asignación al servicio</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0C416731"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73.592.337 </w:t>
                </w: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44206FAF"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7.990.493 </w:t>
                </w:r>
              </w:p>
            </w:tc>
            <w:tc>
              <w:tcPr>
                <w:tcW w:w="516" w:type="pct"/>
                <w:tcBorders>
                  <w:top w:val="single" w:sz="4" w:space="0" w:color="A6A6A6"/>
                  <w:left w:val="single" w:sz="4" w:space="0" w:color="A6A6A6"/>
                  <w:bottom w:val="single" w:sz="4" w:space="0" w:color="A6A6A6"/>
                  <w:right w:val="single" w:sz="4" w:space="0" w:color="A6A6A6"/>
                </w:tcBorders>
                <w:noWrap/>
                <w:vAlign w:val="center"/>
                <w:hideMark/>
              </w:tcPr>
              <w:p w14:paraId="2B695ED9"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04686F3F"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35807125"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1B816732"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4E6098F8"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6AD93796" w14:textId="77777777" w:rsidR="00F54474" w:rsidRPr="00F54474" w:rsidRDefault="00F54474" w:rsidP="00F54474">
                <w:pPr>
                  <w:spacing w:after="0" w:line="240" w:lineRule="auto"/>
                  <w:rPr>
                    <w:rFonts w:ascii="Times New Roman" w:eastAsia="Times New Roman" w:hAnsi="Times New Roman"/>
                    <w:sz w:val="12"/>
                    <w:szCs w:val="12"/>
                    <w:lang w:eastAsia="es-CO"/>
                  </w:rPr>
                </w:pP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2A365900"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509" w:type="pct"/>
                <w:tcBorders>
                  <w:top w:val="single" w:sz="4" w:space="0" w:color="A6A6A6"/>
                  <w:left w:val="single" w:sz="4" w:space="0" w:color="A6A6A6"/>
                  <w:bottom w:val="single" w:sz="4" w:space="0" w:color="A6A6A6"/>
                  <w:right w:val="single" w:sz="4" w:space="0" w:color="A6A6A6"/>
                </w:tcBorders>
                <w:noWrap/>
                <w:vAlign w:val="center"/>
                <w:hideMark/>
              </w:tcPr>
              <w:p w14:paraId="020110DF"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81.582.830 </w:t>
                </w:r>
              </w:p>
            </w:tc>
          </w:tr>
          <w:tr w:rsidR="0059176A" w:rsidRPr="00A55913" w14:paraId="7FC73B2E" w14:textId="77777777" w:rsidTr="002B1A6C">
            <w:trPr>
              <w:trHeight w:val="296"/>
            </w:trPr>
            <w:tc>
              <w:tcPr>
                <w:tcW w:w="590" w:type="pct"/>
                <w:tcBorders>
                  <w:top w:val="single" w:sz="4" w:space="0" w:color="A6A6A6"/>
                  <w:left w:val="single" w:sz="4" w:space="0" w:color="A6A6A6"/>
                  <w:bottom w:val="single" w:sz="4" w:space="0" w:color="A6A6A6"/>
                  <w:right w:val="single" w:sz="4" w:space="0" w:color="A6A6A6"/>
                </w:tcBorders>
                <w:noWrap/>
                <w:vAlign w:val="center"/>
                <w:hideMark/>
              </w:tcPr>
              <w:p w14:paraId="54C2E3B2" w14:textId="77777777" w:rsidR="00F54474" w:rsidRPr="00F54474" w:rsidRDefault="00F54474" w:rsidP="00F54474">
                <w:pPr>
                  <w:spacing w:after="0" w:line="240" w:lineRule="auto"/>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Reposición </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53A601EC" w14:textId="77777777" w:rsidR="00F54474" w:rsidRPr="00F54474" w:rsidRDefault="00F54474" w:rsidP="00F54474">
                <w:pPr>
                  <w:spacing w:after="0" w:line="240" w:lineRule="auto"/>
                  <w:rPr>
                    <w:rFonts w:ascii="Times New Roman" w:eastAsia="Times New Roman" w:hAnsi="Times New Roman"/>
                    <w:sz w:val="12"/>
                    <w:szCs w:val="12"/>
                    <w:lang w:eastAsia="es-CO"/>
                  </w:rPr>
                </w:pP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22A4A7E8"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32.036.000 </w:t>
                </w:r>
              </w:p>
            </w:tc>
            <w:tc>
              <w:tcPr>
                <w:tcW w:w="516" w:type="pct"/>
                <w:tcBorders>
                  <w:top w:val="single" w:sz="4" w:space="0" w:color="A6A6A6"/>
                  <w:left w:val="single" w:sz="4" w:space="0" w:color="A6A6A6"/>
                  <w:bottom w:val="single" w:sz="4" w:space="0" w:color="A6A6A6"/>
                  <w:right w:val="single" w:sz="4" w:space="0" w:color="A6A6A6"/>
                </w:tcBorders>
                <w:noWrap/>
                <w:vAlign w:val="center"/>
                <w:hideMark/>
              </w:tcPr>
              <w:p w14:paraId="21CA3BB6"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66617315"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4388CEC9"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7271CCE8"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12CEE2F6"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25E5A274" w14:textId="77777777" w:rsidR="00F54474" w:rsidRPr="00F54474" w:rsidRDefault="00F54474" w:rsidP="00F54474">
                <w:pPr>
                  <w:spacing w:after="0" w:line="240" w:lineRule="auto"/>
                  <w:rPr>
                    <w:rFonts w:ascii="Times New Roman" w:eastAsia="Times New Roman" w:hAnsi="Times New Roman"/>
                    <w:sz w:val="12"/>
                    <w:szCs w:val="12"/>
                    <w:lang w:eastAsia="es-CO"/>
                  </w:rPr>
                </w:pP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7596009F"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509" w:type="pct"/>
                <w:tcBorders>
                  <w:top w:val="single" w:sz="4" w:space="0" w:color="A6A6A6"/>
                  <w:left w:val="single" w:sz="4" w:space="0" w:color="A6A6A6"/>
                  <w:bottom w:val="single" w:sz="4" w:space="0" w:color="A6A6A6"/>
                  <w:right w:val="single" w:sz="4" w:space="0" w:color="A6A6A6"/>
                </w:tcBorders>
                <w:noWrap/>
                <w:vAlign w:val="center"/>
                <w:hideMark/>
              </w:tcPr>
              <w:p w14:paraId="16A2D4B7"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32.036.000 </w:t>
                </w:r>
              </w:p>
            </w:tc>
          </w:tr>
          <w:tr w:rsidR="0059176A" w:rsidRPr="00A55913" w14:paraId="5E3C96DF" w14:textId="77777777" w:rsidTr="002B1A6C">
            <w:trPr>
              <w:trHeight w:val="296"/>
            </w:trPr>
            <w:tc>
              <w:tcPr>
                <w:tcW w:w="590" w:type="pct"/>
                <w:tcBorders>
                  <w:top w:val="single" w:sz="4" w:space="0" w:color="A6A6A6"/>
                  <w:left w:val="single" w:sz="4" w:space="0" w:color="A6A6A6"/>
                  <w:bottom w:val="single" w:sz="4" w:space="0" w:color="A6A6A6"/>
                  <w:right w:val="nil"/>
                </w:tcBorders>
                <w:noWrap/>
                <w:vAlign w:val="center"/>
                <w:hideMark/>
              </w:tcPr>
              <w:p w14:paraId="54CAE357" w14:textId="7ACCE1D0" w:rsidR="00F54474" w:rsidRPr="00F54474" w:rsidRDefault="00F54474" w:rsidP="00F54474">
                <w:pPr>
                  <w:spacing w:after="0" w:line="240" w:lineRule="auto"/>
                  <w:rPr>
                    <w:rFonts w:ascii="Times New Roman" w:eastAsia="Times New Roman" w:hAnsi="Times New Roman"/>
                    <w:b/>
                    <w:bCs/>
                    <w:sz w:val="12"/>
                    <w:szCs w:val="12"/>
                    <w:lang w:eastAsia="es-CO"/>
                  </w:rPr>
                </w:pPr>
                <w:r w:rsidRPr="00A55913">
                  <w:rPr>
                    <w:rFonts w:ascii="Times New Roman" w:eastAsia="Times New Roman" w:hAnsi="Times New Roman"/>
                    <w:b/>
                    <w:bCs/>
                    <w:sz w:val="12"/>
                    <w:szCs w:val="12"/>
                    <w:lang w:eastAsia="es-CO"/>
                  </w:rPr>
                  <w:t>(</w:t>
                </w:r>
                <w:r w:rsidRPr="00F54474">
                  <w:rPr>
                    <w:rFonts w:ascii="Times New Roman" w:eastAsia="Times New Roman" w:hAnsi="Times New Roman"/>
                    <w:b/>
                    <w:bCs/>
                    <w:sz w:val="12"/>
                    <w:szCs w:val="12"/>
                    <w:lang w:eastAsia="es-CO"/>
                  </w:rPr>
                  <w:t>-</w:t>
                </w:r>
                <w:r w:rsidRPr="00A55913">
                  <w:rPr>
                    <w:rFonts w:ascii="Times New Roman" w:eastAsia="Times New Roman" w:hAnsi="Times New Roman"/>
                    <w:b/>
                    <w:bCs/>
                    <w:sz w:val="12"/>
                    <w:szCs w:val="12"/>
                    <w:lang w:eastAsia="es-CO"/>
                  </w:rPr>
                  <w:t xml:space="preserve">) </w:t>
                </w:r>
                <w:r w:rsidRPr="00F54474">
                  <w:rPr>
                    <w:rFonts w:ascii="Times New Roman" w:eastAsia="Times New Roman" w:hAnsi="Times New Roman"/>
                    <w:b/>
                    <w:bCs/>
                    <w:sz w:val="12"/>
                    <w:szCs w:val="12"/>
                    <w:lang w:eastAsia="es-CO"/>
                  </w:rPr>
                  <w:t>SALIDAS (CR):</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0680763F"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151.462.000 </w:t>
                </w: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0945091C"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76.955.750 </w:t>
                </w:r>
              </w:p>
            </w:tc>
            <w:tc>
              <w:tcPr>
                <w:tcW w:w="516" w:type="pct"/>
                <w:tcBorders>
                  <w:top w:val="single" w:sz="4" w:space="0" w:color="A6A6A6"/>
                  <w:left w:val="single" w:sz="4" w:space="0" w:color="A6A6A6"/>
                  <w:bottom w:val="single" w:sz="4" w:space="0" w:color="A6A6A6"/>
                  <w:right w:val="single" w:sz="4" w:space="0" w:color="A6A6A6"/>
                </w:tcBorders>
                <w:noWrap/>
                <w:vAlign w:val="center"/>
                <w:hideMark/>
              </w:tcPr>
              <w:p w14:paraId="387B2FD2"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456.846.320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68E64B0D"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   </w:t>
                </w: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65DA21AA"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108.644.918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7C4A5ED4"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   </w:t>
                </w: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4C24F6AE"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81.582.830 </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4118613B"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85.960.988 </w:t>
                </w: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5F56DD1D"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   </w:t>
                </w:r>
              </w:p>
            </w:tc>
            <w:tc>
              <w:tcPr>
                <w:tcW w:w="509" w:type="pct"/>
                <w:tcBorders>
                  <w:top w:val="single" w:sz="4" w:space="0" w:color="A6A6A6"/>
                  <w:left w:val="single" w:sz="4" w:space="0" w:color="A6A6A6"/>
                  <w:bottom w:val="single" w:sz="4" w:space="0" w:color="A6A6A6"/>
                  <w:right w:val="single" w:sz="4" w:space="0" w:color="A6A6A6"/>
                </w:tcBorders>
                <w:noWrap/>
                <w:vAlign w:val="center"/>
                <w:hideMark/>
              </w:tcPr>
              <w:p w14:paraId="226D82B8"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961.452.806 </w:t>
                </w:r>
              </w:p>
            </w:tc>
          </w:tr>
          <w:tr w:rsidR="0059176A" w:rsidRPr="00A55913" w14:paraId="2EF7E038" w14:textId="77777777" w:rsidTr="002B1A6C">
            <w:trPr>
              <w:trHeight w:val="296"/>
            </w:trPr>
            <w:tc>
              <w:tcPr>
                <w:tcW w:w="590" w:type="pct"/>
                <w:tcBorders>
                  <w:top w:val="single" w:sz="4" w:space="0" w:color="A6A6A6"/>
                  <w:left w:val="single" w:sz="4" w:space="0" w:color="A6A6A6"/>
                  <w:bottom w:val="single" w:sz="4" w:space="0" w:color="A6A6A6"/>
                  <w:right w:val="nil"/>
                </w:tcBorders>
                <w:noWrap/>
                <w:vAlign w:val="center"/>
                <w:hideMark/>
              </w:tcPr>
              <w:p w14:paraId="7E0A5858" w14:textId="77777777" w:rsidR="00F54474" w:rsidRPr="00F54474" w:rsidRDefault="00F54474" w:rsidP="00F54474">
                <w:pPr>
                  <w:spacing w:after="0" w:line="240" w:lineRule="auto"/>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Baja en cuentas</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6DEC1A3B"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151.462.000 </w:t>
                </w: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15B749CA"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76.955.750 </w:t>
                </w:r>
              </w:p>
            </w:tc>
            <w:tc>
              <w:tcPr>
                <w:tcW w:w="516" w:type="pct"/>
                <w:tcBorders>
                  <w:top w:val="single" w:sz="4" w:space="0" w:color="A6A6A6"/>
                  <w:left w:val="single" w:sz="4" w:space="0" w:color="A6A6A6"/>
                  <w:bottom w:val="single" w:sz="4" w:space="0" w:color="A6A6A6"/>
                  <w:right w:val="single" w:sz="4" w:space="0" w:color="A6A6A6"/>
                </w:tcBorders>
                <w:noWrap/>
                <w:vAlign w:val="center"/>
                <w:hideMark/>
              </w:tcPr>
              <w:p w14:paraId="339683B4"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30476882"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3E810E15"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108.644.918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780600B6"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19563217" w14:textId="77777777" w:rsidR="00F54474" w:rsidRPr="00F54474" w:rsidRDefault="00F54474" w:rsidP="00F54474">
                <w:pPr>
                  <w:spacing w:after="0" w:line="240" w:lineRule="auto"/>
                  <w:rPr>
                    <w:rFonts w:ascii="Times New Roman" w:eastAsia="Times New Roman" w:hAnsi="Times New Roman"/>
                    <w:sz w:val="12"/>
                    <w:szCs w:val="12"/>
                    <w:lang w:eastAsia="es-CO"/>
                  </w:rPr>
                </w:pP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1ACC6C75"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85.960.988 </w:t>
                </w: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2F697EA6"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509" w:type="pct"/>
                <w:tcBorders>
                  <w:top w:val="single" w:sz="4" w:space="0" w:color="A6A6A6"/>
                  <w:left w:val="single" w:sz="4" w:space="0" w:color="A6A6A6"/>
                  <w:bottom w:val="single" w:sz="4" w:space="0" w:color="A6A6A6"/>
                  <w:right w:val="single" w:sz="4" w:space="0" w:color="A6A6A6"/>
                </w:tcBorders>
                <w:noWrap/>
                <w:vAlign w:val="center"/>
                <w:hideMark/>
              </w:tcPr>
              <w:p w14:paraId="7D2C7E58"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423.023.656 </w:t>
                </w:r>
              </w:p>
            </w:tc>
          </w:tr>
          <w:tr w:rsidR="0059176A" w:rsidRPr="00A55913" w14:paraId="2F1055E2" w14:textId="77777777" w:rsidTr="002B1A6C">
            <w:trPr>
              <w:trHeight w:val="296"/>
            </w:trPr>
            <w:tc>
              <w:tcPr>
                <w:tcW w:w="590" w:type="pct"/>
                <w:tcBorders>
                  <w:top w:val="single" w:sz="4" w:space="0" w:color="A6A6A6"/>
                  <w:left w:val="single" w:sz="4" w:space="0" w:color="A6A6A6"/>
                  <w:bottom w:val="single" w:sz="4" w:space="0" w:color="A6A6A6"/>
                  <w:right w:val="nil"/>
                </w:tcBorders>
                <w:noWrap/>
                <w:vAlign w:val="center"/>
                <w:hideMark/>
              </w:tcPr>
              <w:p w14:paraId="1785DF33" w14:textId="77777777" w:rsidR="00F54474" w:rsidRPr="00F54474" w:rsidRDefault="00F54474" w:rsidP="00F54474">
                <w:pPr>
                  <w:spacing w:after="0" w:line="240" w:lineRule="auto"/>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Otras salidas de bienes muebles</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05D072FC"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w:t>
                </w: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28D7DDA7"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516" w:type="pct"/>
                <w:tcBorders>
                  <w:top w:val="single" w:sz="4" w:space="0" w:color="A6A6A6"/>
                  <w:left w:val="single" w:sz="4" w:space="0" w:color="A6A6A6"/>
                  <w:bottom w:val="single" w:sz="4" w:space="0" w:color="A6A6A6"/>
                  <w:right w:val="single" w:sz="4" w:space="0" w:color="A6A6A6"/>
                </w:tcBorders>
                <w:noWrap/>
                <w:vAlign w:val="center"/>
                <w:hideMark/>
              </w:tcPr>
              <w:p w14:paraId="7C5F1AAB"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678F0B81"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75B93797"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5D9692FD"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7491ECEB"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1D3ADAA0"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75E1EB49"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509" w:type="pct"/>
                <w:tcBorders>
                  <w:top w:val="single" w:sz="4" w:space="0" w:color="A6A6A6"/>
                  <w:left w:val="single" w:sz="4" w:space="0" w:color="A6A6A6"/>
                  <w:bottom w:val="single" w:sz="4" w:space="0" w:color="A6A6A6"/>
                  <w:right w:val="single" w:sz="4" w:space="0" w:color="A6A6A6"/>
                </w:tcBorders>
                <w:noWrap/>
                <w:vAlign w:val="center"/>
                <w:hideMark/>
              </w:tcPr>
              <w:p w14:paraId="770C5470"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   </w:t>
                </w:r>
              </w:p>
            </w:tc>
          </w:tr>
          <w:tr w:rsidR="0059176A" w:rsidRPr="00A55913" w14:paraId="7A112FE7" w14:textId="77777777" w:rsidTr="002B1A6C">
            <w:trPr>
              <w:trHeight w:val="296"/>
            </w:trPr>
            <w:tc>
              <w:tcPr>
                <w:tcW w:w="590" w:type="pct"/>
                <w:tcBorders>
                  <w:top w:val="single" w:sz="4" w:space="0" w:color="A6A6A6"/>
                  <w:left w:val="single" w:sz="4" w:space="0" w:color="A6A6A6"/>
                  <w:bottom w:val="single" w:sz="4" w:space="0" w:color="A6A6A6"/>
                  <w:right w:val="single" w:sz="4" w:space="0" w:color="A6A6A6"/>
                </w:tcBorders>
                <w:noWrap/>
                <w:vAlign w:val="center"/>
                <w:hideMark/>
              </w:tcPr>
              <w:p w14:paraId="5585C2A4" w14:textId="77777777" w:rsidR="00F54474" w:rsidRPr="00F54474" w:rsidRDefault="00F54474" w:rsidP="00F54474">
                <w:pPr>
                  <w:spacing w:after="0" w:line="240" w:lineRule="auto"/>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Bienes entregados en comodato</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0788DE48" w14:textId="77777777" w:rsidR="00F54474" w:rsidRPr="00F54474" w:rsidRDefault="00F54474" w:rsidP="00F54474">
                <w:pPr>
                  <w:spacing w:after="0" w:line="240" w:lineRule="auto"/>
                  <w:rPr>
                    <w:rFonts w:ascii="Times New Roman" w:eastAsia="Times New Roman" w:hAnsi="Times New Roman"/>
                    <w:sz w:val="12"/>
                    <w:szCs w:val="12"/>
                    <w:lang w:eastAsia="es-CO"/>
                  </w:rPr>
                </w:pP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28C41553"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w:t>
                </w:r>
              </w:p>
            </w:tc>
            <w:tc>
              <w:tcPr>
                <w:tcW w:w="516" w:type="pct"/>
                <w:tcBorders>
                  <w:top w:val="single" w:sz="4" w:space="0" w:color="A6A6A6"/>
                  <w:left w:val="single" w:sz="4" w:space="0" w:color="A6A6A6"/>
                  <w:bottom w:val="single" w:sz="4" w:space="0" w:color="A6A6A6"/>
                  <w:right w:val="single" w:sz="4" w:space="0" w:color="A6A6A6"/>
                </w:tcBorders>
                <w:noWrap/>
                <w:vAlign w:val="center"/>
                <w:hideMark/>
              </w:tcPr>
              <w:p w14:paraId="0572C83B"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456.846.320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1F781FF4"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5E6EA709"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560AE47A"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7AEBFED9"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4A9CC590"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7B541387"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509" w:type="pct"/>
                <w:tcBorders>
                  <w:top w:val="single" w:sz="4" w:space="0" w:color="A6A6A6"/>
                  <w:left w:val="single" w:sz="4" w:space="0" w:color="A6A6A6"/>
                  <w:bottom w:val="single" w:sz="4" w:space="0" w:color="A6A6A6"/>
                  <w:right w:val="single" w:sz="4" w:space="0" w:color="A6A6A6"/>
                </w:tcBorders>
                <w:noWrap/>
                <w:vAlign w:val="center"/>
                <w:hideMark/>
              </w:tcPr>
              <w:p w14:paraId="637E29A9"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456.846.320 </w:t>
                </w:r>
              </w:p>
            </w:tc>
          </w:tr>
          <w:tr w:rsidR="0059176A" w:rsidRPr="00A55913" w14:paraId="5E65D70D" w14:textId="77777777" w:rsidTr="002B1A6C">
            <w:trPr>
              <w:trHeight w:val="296"/>
            </w:trPr>
            <w:tc>
              <w:tcPr>
                <w:tcW w:w="590" w:type="pct"/>
                <w:tcBorders>
                  <w:top w:val="single" w:sz="4" w:space="0" w:color="A6A6A6"/>
                  <w:left w:val="single" w:sz="4" w:space="0" w:color="A6A6A6"/>
                  <w:bottom w:val="single" w:sz="4" w:space="0" w:color="A6A6A6"/>
                  <w:right w:val="single" w:sz="4" w:space="0" w:color="A6A6A6"/>
                </w:tcBorders>
                <w:noWrap/>
                <w:vAlign w:val="center"/>
                <w:hideMark/>
              </w:tcPr>
              <w:p w14:paraId="2361F6D6" w14:textId="77777777" w:rsidR="00F54474" w:rsidRPr="00F54474" w:rsidRDefault="00F54474" w:rsidP="00F54474">
                <w:pPr>
                  <w:spacing w:after="0" w:line="240" w:lineRule="auto"/>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Salida al servicio</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004746D1"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w:t>
                </w: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49745DF9"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516" w:type="pct"/>
                <w:tcBorders>
                  <w:top w:val="single" w:sz="4" w:space="0" w:color="A6A6A6"/>
                  <w:left w:val="single" w:sz="4" w:space="0" w:color="A6A6A6"/>
                  <w:bottom w:val="single" w:sz="4" w:space="0" w:color="A6A6A6"/>
                  <w:right w:val="single" w:sz="4" w:space="0" w:color="A6A6A6"/>
                </w:tcBorders>
                <w:noWrap/>
                <w:vAlign w:val="center"/>
                <w:hideMark/>
              </w:tcPr>
              <w:p w14:paraId="1045ED15"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65A4F566"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046741CB"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0853C644"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10E9D70D"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81.582.830 </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75EBD7F9"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73C96BE2" w14:textId="77777777" w:rsidR="00F54474" w:rsidRPr="00F54474" w:rsidRDefault="00F54474"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509" w:type="pct"/>
                <w:tcBorders>
                  <w:top w:val="single" w:sz="4" w:space="0" w:color="A6A6A6"/>
                  <w:left w:val="single" w:sz="4" w:space="0" w:color="A6A6A6"/>
                  <w:bottom w:val="single" w:sz="4" w:space="0" w:color="A6A6A6"/>
                  <w:right w:val="single" w:sz="4" w:space="0" w:color="A6A6A6"/>
                </w:tcBorders>
                <w:noWrap/>
                <w:vAlign w:val="center"/>
                <w:hideMark/>
              </w:tcPr>
              <w:p w14:paraId="113CA3D5"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81.582.830 </w:t>
                </w:r>
              </w:p>
            </w:tc>
          </w:tr>
          <w:tr w:rsidR="0059176A" w:rsidRPr="00A55913" w14:paraId="0EE3F8C1" w14:textId="77777777" w:rsidTr="002B1A6C">
            <w:trPr>
              <w:trHeight w:val="595"/>
            </w:trPr>
            <w:tc>
              <w:tcPr>
                <w:tcW w:w="590" w:type="pct"/>
                <w:tcBorders>
                  <w:top w:val="single" w:sz="4" w:space="0" w:color="A6A6A6"/>
                  <w:left w:val="single" w:sz="4" w:space="0" w:color="A6A6A6"/>
                  <w:bottom w:val="single" w:sz="4" w:space="0" w:color="A6A6A6"/>
                  <w:right w:val="nil"/>
                </w:tcBorders>
                <w:noWrap/>
                <w:vAlign w:val="center"/>
                <w:hideMark/>
              </w:tcPr>
              <w:p w14:paraId="5C77C312" w14:textId="4B98759A" w:rsidR="00F54474" w:rsidRPr="00F54474" w:rsidRDefault="00023673" w:rsidP="00F54474">
                <w:pPr>
                  <w:spacing w:after="0" w:line="240" w:lineRule="auto"/>
                  <w:rPr>
                    <w:rFonts w:ascii="Times New Roman" w:eastAsia="Times New Roman" w:hAnsi="Times New Roman"/>
                    <w:b/>
                    <w:bCs/>
                    <w:sz w:val="12"/>
                    <w:szCs w:val="12"/>
                    <w:lang w:eastAsia="es-CO"/>
                  </w:rPr>
                </w:pPr>
                <w:r w:rsidRPr="00A55913">
                  <w:rPr>
                    <w:rFonts w:ascii="Times New Roman" w:eastAsia="Times New Roman" w:hAnsi="Times New Roman"/>
                    <w:b/>
                    <w:bCs/>
                    <w:sz w:val="12"/>
                    <w:szCs w:val="12"/>
                    <w:lang w:eastAsia="es-CO"/>
                  </w:rPr>
                  <w:t>= SUBTOTAL</w:t>
                </w:r>
                <w:r w:rsidR="00F54474" w:rsidRPr="00A55913">
                  <w:rPr>
                    <w:rFonts w:ascii="Times New Roman" w:eastAsia="Times New Roman" w:hAnsi="Times New Roman"/>
                    <w:b/>
                    <w:bCs/>
                    <w:sz w:val="12"/>
                    <w:szCs w:val="12"/>
                    <w:lang w:eastAsia="es-CO"/>
                  </w:rPr>
                  <w:t xml:space="preserve"> </w:t>
                </w:r>
                <w:r w:rsidR="00F54474" w:rsidRPr="00F54474">
                  <w:rPr>
                    <w:rFonts w:ascii="Times New Roman" w:eastAsia="Times New Roman" w:hAnsi="Times New Roman"/>
                    <w:b/>
                    <w:bCs/>
                    <w:sz w:val="12"/>
                    <w:szCs w:val="12"/>
                    <w:lang w:eastAsia="es-CO"/>
                  </w:rPr>
                  <w:t>(Saldo inicial + Entradas - Salidas)</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7983841E"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679.700.034 </w:t>
                </w: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45707965"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5.816.924.793 </w:t>
                </w:r>
              </w:p>
            </w:tc>
            <w:tc>
              <w:tcPr>
                <w:tcW w:w="516" w:type="pct"/>
                <w:tcBorders>
                  <w:top w:val="single" w:sz="4" w:space="0" w:color="A6A6A6"/>
                  <w:left w:val="single" w:sz="4" w:space="0" w:color="A6A6A6"/>
                  <w:bottom w:val="single" w:sz="4" w:space="0" w:color="A6A6A6"/>
                  <w:right w:val="single" w:sz="4" w:space="0" w:color="A6A6A6"/>
                </w:tcBorders>
                <w:noWrap/>
                <w:vAlign w:val="center"/>
                <w:hideMark/>
              </w:tcPr>
              <w:p w14:paraId="06EDF355"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826.082.828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719CBCF9"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843.400 </w:t>
                </w: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250A8608"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7.060.486.970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1FC4B833"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9.576.520 </w:t>
                </w: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58DB4774"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188.805.388 </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6F511F8E"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30.514.350 </w:t>
                </w: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16347270"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323.732.673 </w:t>
                </w:r>
              </w:p>
            </w:tc>
            <w:tc>
              <w:tcPr>
                <w:tcW w:w="509" w:type="pct"/>
                <w:tcBorders>
                  <w:top w:val="single" w:sz="4" w:space="0" w:color="A6A6A6"/>
                  <w:left w:val="single" w:sz="4" w:space="0" w:color="A6A6A6"/>
                  <w:bottom w:val="single" w:sz="4" w:space="0" w:color="A6A6A6"/>
                  <w:right w:val="single" w:sz="4" w:space="0" w:color="A6A6A6"/>
                </w:tcBorders>
                <w:noWrap/>
                <w:vAlign w:val="center"/>
                <w:hideMark/>
              </w:tcPr>
              <w:p w14:paraId="7517033C"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14.936.666.956 </w:t>
                </w:r>
              </w:p>
            </w:tc>
          </w:tr>
          <w:tr w:rsidR="0059176A" w:rsidRPr="00A55913" w14:paraId="73FF3222" w14:textId="77777777" w:rsidTr="002B1A6C">
            <w:trPr>
              <w:trHeight w:val="296"/>
            </w:trPr>
            <w:tc>
              <w:tcPr>
                <w:tcW w:w="590" w:type="pct"/>
                <w:tcBorders>
                  <w:top w:val="single" w:sz="4" w:space="0" w:color="A6A6A6"/>
                  <w:left w:val="single" w:sz="4" w:space="0" w:color="A6A6A6"/>
                  <w:bottom w:val="single" w:sz="4" w:space="0" w:color="A6A6A6"/>
                  <w:right w:val="nil"/>
                </w:tcBorders>
                <w:noWrap/>
                <w:vAlign w:val="center"/>
                <w:hideMark/>
              </w:tcPr>
              <w:p w14:paraId="2FBDD8D6" w14:textId="79DC121E" w:rsidR="00F54474" w:rsidRPr="00F54474" w:rsidRDefault="00F54474" w:rsidP="00F54474">
                <w:pPr>
                  <w:spacing w:after="0" w:line="240" w:lineRule="auto"/>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w:t>
                </w:r>
                <w:r w:rsidRPr="00A55913">
                  <w:rPr>
                    <w:rFonts w:ascii="Times New Roman" w:eastAsia="Times New Roman" w:hAnsi="Times New Roman"/>
                    <w:b/>
                    <w:bCs/>
                    <w:sz w:val="12"/>
                    <w:szCs w:val="12"/>
                    <w:lang w:eastAsia="es-CO"/>
                  </w:rPr>
                  <w:t xml:space="preserve"> </w:t>
                </w:r>
                <w:r w:rsidRPr="00F54474">
                  <w:rPr>
                    <w:rFonts w:ascii="Times New Roman" w:eastAsia="Times New Roman" w:hAnsi="Times New Roman"/>
                    <w:b/>
                    <w:bCs/>
                    <w:sz w:val="12"/>
                    <w:szCs w:val="12"/>
                    <w:lang w:eastAsia="es-CO"/>
                  </w:rPr>
                  <w:t>CAMBIOS Y MEDICIÓN POSTERIOR</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21345BF1"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w:t>
                </w: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70B7E9FD"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   </w:t>
                </w:r>
              </w:p>
            </w:tc>
            <w:tc>
              <w:tcPr>
                <w:tcW w:w="516" w:type="pct"/>
                <w:tcBorders>
                  <w:top w:val="single" w:sz="4" w:space="0" w:color="A6A6A6"/>
                  <w:left w:val="single" w:sz="4" w:space="0" w:color="A6A6A6"/>
                  <w:bottom w:val="single" w:sz="4" w:space="0" w:color="A6A6A6"/>
                  <w:right w:val="single" w:sz="4" w:space="0" w:color="A6A6A6"/>
                </w:tcBorders>
                <w:noWrap/>
                <w:vAlign w:val="center"/>
                <w:hideMark/>
              </w:tcPr>
              <w:p w14:paraId="5A988D03"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2966A0E8"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   </w:t>
                </w: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61379E93"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2DCB5362"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   </w:t>
                </w: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6C4A923E"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   </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03D944D8"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   </w:t>
                </w: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4132D0BC"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p>
            </w:tc>
            <w:tc>
              <w:tcPr>
                <w:tcW w:w="509" w:type="pct"/>
                <w:tcBorders>
                  <w:top w:val="single" w:sz="4" w:space="0" w:color="A6A6A6"/>
                  <w:left w:val="single" w:sz="4" w:space="0" w:color="A6A6A6"/>
                  <w:bottom w:val="single" w:sz="4" w:space="0" w:color="A6A6A6"/>
                  <w:right w:val="single" w:sz="4" w:space="0" w:color="A6A6A6"/>
                </w:tcBorders>
                <w:noWrap/>
                <w:vAlign w:val="center"/>
                <w:hideMark/>
              </w:tcPr>
              <w:p w14:paraId="557E93F6" w14:textId="77777777" w:rsidR="00F54474" w:rsidRPr="00F54474" w:rsidRDefault="00F54474"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   </w:t>
                </w:r>
              </w:p>
            </w:tc>
          </w:tr>
          <w:tr w:rsidR="0059176A" w:rsidRPr="00A55913" w14:paraId="00ED18D7" w14:textId="77777777" w:rsidTr="002B1A6C">
            <w:trPr>
              <w:trHeight w:val="595"/>
            </w:trPr>
            <w:tc>
              <w:tcPr>
                <w:tcW w:w="590" w:type="pct"/>
                <w:tcBorders>
                  <w:top w:val="single" w:sz="4" w:space="0" w:color="A6A6A6"/>
                  <w:left w:val="single" w:sz="4" w:space="0" w:color="A6A6A6"/>
                  <w:bottom w:val="single" w:sz="4" w:space="0" w:color="A6A6A6"/>
                  <w:right w:val="nil"/>
                </w:tcBorders>
                <w:noWrap/>
                <w:vAlign w:val="center"/>
                <w:hideMark/>
              </w:tcPr>
              <w:p w14:paraId="6A256C67" w14:textId="4FAA9ED3" w:rsidR="00023673" w:rsidRPr="00F54474" w:rsidRDefault="00023673" w:rsidP="00023673">
                <w:pPr>
                  <w:spacing w:after="0" w:line="240" w:lineRule="auto"/>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w:t>
                </w:r>
                <w:r w:rsidRPr="00A55913">
                  <w:rPr>
                    <w:rFonts w:ascii="Times New Roman" w:eastAsia="Times New Roman" w:hAnsi="Times New Roman"/>
                    <w:b/>
                    <w:bCs/>
                    <w:sz w:val="12"/>
                    <w:szCs w:val="12"/>
                    <w:lang w:eastAsia="es-CO"/>
                  </w:rPr>
                  <w:t xml:space="preserve"> </w:t>
                </w:r>
                <w:r w:rsidRPr="00F54474">
                  <w:rPr>
                    <w:rFonts w:ascii="Times New Roman" w:eastAsia="Times New Roman" w:hAnsi="Times New Roman"/>
                    <w:b/>
                    <w:bCs/>
                    <w:sz w:val="12"/>
                    <w:szCs w:val="12"/>
                    <w:lang w:eastAsia="es-CO"/>
                  </w:rPr>
                  <w:t>SALDO FINAL (31-dic)</w:t>
                </w:r>
                <w:r w:rsidRPr="00F54474">
                  <w:rPr>
                    <w:rFonts w:ascii="Times New Roman" w:eastAsia="Times New Roman" w:hAnsi="Times New Roman"/>
                    <w:b/>
                    <w:bCs/>
                    <w:sz w:val="12"/>
                    <w:szCs w:val="12"/>
                    <w:lang w:eastAsia="es-CO"/>
                  </w:rPr>
                  <w:br/>
                  <w:t>(Subtotal + Cambios)</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38BC9092"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679.700.034 </w:t>
                </w: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3503131F"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5.816.924.793 </w:t>
                </w:r>
              </w:p>
            </w:tc>
            <w:tc>
              <w:tcPr>
                <w:tcW w:w="516" w:type="pct"/>
                <w:tcBorders>
                  <w:top w:val="single" w:sz="4" w:space="0" w:color="A6A6A6"/>
                  <w:left w:val="single" w:sz="4" w:space="0" w:color="A6A6A6"/>
                  <w:bottom w:val="single" w:sz="4" w:space="0" w:color="A6A6A6"/>
                  <w:right w:val="single" w:sz="4" w:space="0" w:color="A6A6A6"/>
                </w:tcBorders>
                <w:noWrap/>
                <w:vAlign w:val="center"/>
                <w:hideMark/>
              </w:tcPr>
              <w:p w14:paraId="52015D2F"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826.082.828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1960B482"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843.400 </w:t>
                </w: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2DF9B04D"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7.060.486.970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5EED41FA"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9.576.520 </w:t>
                </w: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4F090303"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188.805.388 </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27C57936"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30.514.350 </w:t>
                </w: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5DC7CE67"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p>
            </w:tc>
            <w:tc>
              <w:tcPr>
                <w:tcW w:w="509" w:type="pct"/>
                <w:tcBorders>
                  <w:top w:val="single" w:sz="4" w:space="0" w:color="A6A6A6"/>
                  <w:left w:val="single" w:sz="4" w:space="0" w:color="A6A6A6"/>
                  <w:bottom w:val="single" w:sz="4" w:space="0" w:color="A6A6A6"/>
                  <w:right w:val="single" w:sz="4" w:space="0" w:color="A6A6A6"/>
                </w:tcBorders>
                <w:noWrap/>
                <w:vAlign w:val="center"/>
                <w:hideMark/>
              </w:tcPr>
              <w:p w14:paraId="554631B0"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14.612.934.283 </w:t>
                </w:r>
              </w:p>
            </w:tc>
          </w:tr>
          <w:tr w:rsidR="0059176A" w:rsidRPr="00A55913" w14:paraId="43F97055" w14:textId="77777777" w:rsidTr="002B1A6C">
            <w:trPr>
              <w:trHeight w:val="296"/>
            </w:trPr>
            <w:tc>
              <w:tcPr>
                <w:tcW w:w="590" w:type="pct"/>
                <w:tcBorders>
                  <w:top w:val="single" w:sz="4" w:space="0" w:color="A6A6A6"/>
                  <w:left w:val="single" w:sz="4" w:space="0" w:color="A6A6A6"/>
                  <w:bottom w:val="single" w:sz="4" w:space="0" w:color="A6A6A6"/>
                  <w:right w:val="nil"/>
                </w:tcBorders>
                <w:noWrap/>
                <w:vAlign w:val="center"/>
                <w:hideMark/>
              </w:tcPr>
              <w:p w14:paraId="4FB279C5" w14:textId="4F5E5F49" w:rsidR="00023673" w:rsidRPr="00F54474" w:rsidRDefault="00023673" w:rsidP="00023673">
                <w:pPr>
                  <w:spacing w:after="0" w:line="240" w:lineRule="auto"/>
                  <w:rPr>
                    <w:rFonts w:ascii="Times New Roman" w:eastAsia="Times New Roman" w:hAnsi="Times New Roman"/>
                    <w:b/>
                    <w:bCs/>
                    <w:sz w:val="12"/>
                    <w:szCs w:val="12"/>
                    <w:lang w:eastAsia="es-CO"/>
                  </w:rPr>
                </w:pPr>
                <w:r w:rsidRPr="00A55913">
                  <w:rPr>
                    <w:rFonts w:ascii="Times New Roman" w:eastAsia="Times New Roman" w:hAnsi="Times New Roman"/>
                    <w:b/>
                    <w:bCs/>
                    <w:sz w:val="12"/>
                    <w:szCs w:val="12"/>
                    <w:lang w:eastAsia="es-CO"/>
                  </w:rPr>
                  <w:t>(</w:t>
                </w:r>
                <w:r w:rsidRPr="00F54474">
                  <w:rPr>
                    <w:rFonts w:ascii="Times New Roman" w:eastAsia="Times New Roman" w:hAnsi="Times New Roman"/>
                    <w:b/>
                    <w:bCs/>
                    <w:sz w:val="12"/>
                    <w:szCs w:val="12"/>
                    <w:lang w:eastAsia="es-CO"/>
                  </w:rPr>
                  <w:t>-</w:t>
                </w:r>
                <w:r w:rsidRPr="00A55913">
                  <w:rPr>
                    <w:rFonts w:ascii="Times New Roman" w:eastAsia="Times New Roman" w:hAnsi="Times New Roman"/>
                    <w:b/>
                    <w:bCs/>
                    <w:sz w:val="12"/>
                    <w:szCs w:val="12"/>
                    <w:lang w:eastAsia="es-CO"/>
                  </w:rPr>
                  <w:t xml:space="preserve">) </w:t>
                </w:r>
                <w:r w:rsidRPr="00F54474">
                  <w:rPr>
                    <w:rFonts w:ascii="Times New Roman" w:eastAsia="Times New Roman" w:hAnsi="Times New Roman"/>
                    <w:b/>
                    <w:bCs/>
                    <w:sz w:val="12"/>
                    <w:szCs w:val="12"/>
                    <w:lang w:eastAsia="es-CO"/>
                  </w:rPr>
                  <w:t>DEPRECIACIÓN ACUMULADA (DA)</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0CF661DC"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541.791.186 </w:t>
                </w: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6314E446"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4.665.582.154 </w:t>
                </w:r>
              </w:p>
            </w:tc>
            <w:tc>
              <w:tcPr>
                <w:tcW w:w="516" w:type="pct"/>
                <w:tcBorders>
                  <w:top w:val="single" w:sz="4" w:space="0" w:color="A6A6A6"/>
                  <w:left w:val="single" w:sz="4" w:space="0" w:color="A6A6A6"/>
                  <w:bottom w:val="single" w:sz="4" w:space="0" w:color="A6A6A6"/>
                  <w:right w:val="single" w:sz="4" w:space="0" w:color="A6A6A6"/>
                </w:tcBorders>
                <w:noWrap/>
                <w:vAlign w:val="center"/>
                <w:hideMark/>
              </w:tcPr>
              <w:p w14:paraId="338649D7"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782.558.498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41CB92F9"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843.400 </w:t>
                </w: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39D23A71"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6.429.119.090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5118CEAD"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8.637.798 </w:t>
                </w: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3FBDA395"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30.514.350 </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693951B6"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733.332 </w:t>
                </w: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57009100"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323.732.673 </w:t>
                </w:r>
              </w:p>
            </w:tc>
            <w:tc>
              <w:tcPr>
                <w:tcW w:w="509" w:type="pct"/>
                <w:tcBorders>
                  <w:top w:val="single" w:sz="4" w:space="0" w:color="A6A6A6"/>
                  <w:left w:val="single" w:sz="4" w:space="0" w:color="A6A6A6"/>
                  <w:bottom w:val="single" w:sz="4" w:space="0" w:color="A6A6A6"/>
                  <w:right w:val="single" w:sz="4" w:space="0" w:color="A6A6A6"/>
                </w:tcBorders>
                <w:noWrap/>
                <w:vAlign w:val="center"/>
                <w:hideMark/>
              </w:tcPr>
              <w:p w14:paraId="4BC79DB1"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12.783.512.481 </w:t>
                </w:r>
              </w:p>
            </w:tc>
          </w:tr>
          <w:tr w:rsidR="0059176A" w:rsidRPr="00A55913" w14:paraId="770813ED" w14:textId="77777777" w:rsidTr="002B1A6C">
            <w:trPr>
              <w:trHeight w:val="595"/>
            </w:trPr>
            <w:tc>
              <w:tcPr>
                <w:tcW w:w="590" w:type="pct"/>
                <w:tcBorders>
                  <w:top w:val="single" w:sz="4" w:space="0" w:color="A6A6A6"/>
                  <w:left w:val="single" w:sz="4" w:space="0" w:color="A6A6A6"/>
                  <w:bottom w:val="single" w:sz="4" w:space="0" w:color="A6A6A6"/>
                  <w:right w:val="single" w:sz="4" w:space="0" w:color="A6A6A6"/>
                </w:tcBorders>
                <w:noWrap/>
                <w:vAlign w:val="center"/>
                <w:hideMark/>
              </w:tcPr>
              <w:p w14:paraId="197A7CC6" w14:textId="77777777" w:rsidR="00023673" w:rsidRPr="00F54474" w:rsidRDefault="00023673" w:rsidP="00F54474">
                <w:pPr>
                  <w:spacing w:after="0" w:line="240" w:lineRule="auto"/>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Saldo inicial de la Depreciación acumulada</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0B116484" w14:textId="77777777" w:rsidR="00023673" w:rsidRPr="00F54474" w:rsidRDefault="00023673"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655.900.031 </w:t>
                </w: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3549D25A" w14:textId="77777777" w:rsidR="00023673" w:rsidRPr="00F54474" w:rsidRDefault="00023673"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4.205.243.431 </w:t>
                </w:r>
              </w:p>
            </w:tc>
            <w:tc>
              <w:tcPr>
                <w:tcW w:w="516" w:type="pct"/>
                <w:tcBorders>
                  <w:top w:val="single" w:sz="4" w:space="0" w:color="A6A6A6"/>
                  <w:left w:val="single" w:sz="4" w:space="0" w:color="A6A6A6"/>
                  <w:bottom w:val="single" w:sz="4" w:space="0" w:color="A6A6A6"/>
                  <w:right w:val="single" w:sz="4" w:space="0" w:color="A6A6A6"/>
                </w:tcBorders>
                <w:noWrap/>
                <w:vAlign w:val="center"/>
                <w:hideMark/>
              </w:tcPr>
              <w:p w14:paraId="6C179B96" w14:textId="77777777" w:rsidR="00023673" w:rsidRPr="00F54474" w:rsidRDefault="00023673"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1.191.144.238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60B8C1FA" w14:textId="77777777" w:rsidR="00023673" w:rsidRPr="00F54474" w:rsidRDefault="00023673"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839.900 </w:t>
                </w: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2AF670A8" w14:textId="77777777" w:rsidR="00023673" w:rsidRPr="00F54474" w:rsidRDefault="00023673"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6.243.867.058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4B4CB8E5" w14:textId="77777777" w:rsidR="00023673" w:rsidRPr="00F54474" w:rsidRDefault="00023673"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8.277.986 </w:t>
                </w: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595DF731" w14:textId="77777777" w:rsidR="00023673" w:rsidRPr="00F54474" w:rsidRDefault="00023673"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115.535.338 </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04E0F004" w14:textId="77777777" w:rsidR="00023673" w:rsidRPr="00F54474" w:rsidRDefault="00023673"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665.874 </w:t>
                </w: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44647B6E" w14:textId="77777777" w:rsidR="00023673" w:rsidRPr="00F54474" w:rsidRDefault="00023673"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323.732.673 </w:t>
                </w:r>
              </w:p>
            </w:tc>
            <w:tc>
              <w:tcPr>
                <w:tcW w:w="509" w:type="pct"/>
                <w:tcBorders>
                  <w:top w:val="single" w:sz="4" w:space="0" w:color="A6A6A6"/>
                  <w:left w:val="single" w:sz="4" w:space="0" w:color="A6A6A6"/>
                  <w:bottom w:val="single" w:sz="4" w:space="0" w:color="A6A6A6"/>
                  <w:right w:val="single" w:sz="4" w:space="0" w:color="A6A6A6"/>
                </w:tcBorders>
                <w:noWrap/>
                <w:vAlign w:val="center"/>
                <w:hideMark/>
              </w:tcPr>
              <w:p w14:paraId="5DE00AB8"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12.745.206.529 </w:t>
                </w:r>
              </w:p>
            </w:tc>
          </w:tr>
          <w:tr w:rsidR="006841EE" w:rsidRPr="00A55913" w14:paraId="5BA4FF0B" w14:textId="77777777" w:rsidTr="002B1A6C">
            <w:trPr>
              <w:trHeight w:val="296"/>
            </w:trPr>
            <w:tc>
              <w:tcPr>
                <w:tcW w:w="590" w:type="pct"/>
                <w:tcBorders>
                  <w:top w:val="single" w:sz="4" w:space="0" w:color="A6A6A6"/>
                  <w:left w:val="single" w:sz="4" w:space="0" w:color="A6A6A6"/>
                  <w:bottom w:val="single" w:sz="4" w:space="0" w:color="A6A6A6"/>
                  <w:right w:val="single" w:sz="4" w:space="0" w:color="A6A6A6"/>
                </w:tcBorders>
                <w:noWrap/>
                <w:vAlign w:val="center"/>
                <w:hideMark/>
              </w:tcPr>
              <w:p w14:paraId="712B9865" w14:textId="571E3EFD" w:rsidR="00023673" w:rsidRPr="00F54474" w:rsidRDefault="00023673" w:rsidP="00023673">
                <w:pPr>
                  <w:spacing w:after="0" w:line="240" w:lineRule="auto"/>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w:t>
                </w:r>
                <w:r w:rsidRPr="00A55913">
                  <w:rPr>
                    <w:rFonts w:ascii="Times New Roman" w:eastAsia="Times New Roman" w:hAnsi="Times New Roman"/>
                    <w:sz w:val="12"/>
                    <w:szCs w:val="12"/>
                    <w:lang w:eastAsia="es-CO"/>
                  </w:rPr>
                  <w:t xml:space="preserve"> </w:t>
                </w:r>
                <w:r w:rsidRPr="00F54474">
                  <w:rPr>
                    <w:rFonts w:ascii="Times New Roman" w:eastAsia="Times New Roman" w:hAnsi="Times New Roman"/>
                    <w:sz w:val="12"/>
                    <w:szCs w:val="12"/>
                    <w:lang w:eastAsia="es-CO"/>
                  </w:rPr>
                  <w:t>Depreciación aplicada vigencia actual</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30825C78" w14:textId="77777777" w:rsidR="00023673" w:rsidRPr="00F54474" w:rsidRDefault="00023673"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w:t>
                </w: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14223227" w14:textId="77777777" w:rsidR="00023673" w:rsidRPr="00F54474" w:rsidRDefault="00023673"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460.338.723 </w:t>
                </w:r>
              </w:p>
            </w:tc>
            <w:tc>
              <w:tcPr>
                <w:tcW w:w="516" w:type="pct"/>
                <w:tcBorders>
                  <w:top w:val="single" w:sz="4" w:space="0" w:color="A6A6A6"/>
                  <w:left w:val="single" w:sz="4" w:space="0" w:color="A6A6A6"/>
                  <w:bottom w:val="single" w:sz="4" w:space="0" w:color="A6A6A6"/>
                  <w:right w:val="single" w:sz="4" w:space="0" w:color="A6A6A6"/>
                </w:tcBorders>
                <w:noWrap/>
                <w:vAlign w:val="center"/>
                <w:hideMark/>
              </w:tcPr>
              <w:p w14:paraId="7EEAAB60" w14:textId="77777777" w:rsidR="00023673" w:rsidRPr="00F54474" w:rsidRDefault="00023673"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0BBD7E56" w14:textId="77777777" w:rsidR="00023673" w:rsidRPr="00F54474" w:rsidRDefault="00023673"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3.500 </w:t>
                </w: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7FA4517A" w14:textId="77777777" w:rsidR="00023673" w:rsidRPr="00F54474" w:rsidRDefault="00023673"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185.252.032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5DD6A3EA" w14:textId="77777777" w:rsidR="00023673" w:rsidRPr="00F54474" w:rsidRDefault="00023673"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359.812 </w:t>
                </w:r>
              </w:p>
            </w:tc>
            <w:tc>
              <w:tcPr>
                <w:tcW w:w="441" w:type="pct"/>
                <w:tcBorders>
                  <w:top w:val="nil"/>
                  <w:left w:val="nil"/>
                  <w:bottom w:val="nil"/>
                  <w:right w:val="nil"/>
                </w:tcBorders>
                <w:noWrap/>
                <w:vAlign w:val="center"/>
                <w:hideMark/>
              </w:tcPr>
              <w:p w14:paraId="0E5B25BF" w14:textId="77777777" w:rsidR="00023673" w:rsidRPr="00F54474" w:rsidRDefault="00023673" w:rsidP="00F54474">
                <w:pPr>
                  <w:spacing w:after="0" w:line="240" w:lineRule="auto"/>
                  <w:jc w:val="right"/>
                  <w:rPr>
                    <w:rFonts w:ascii="Times New Roman" w:eastAsia="Times New Roman" w:hAnsi="Times New Roman"/>
                    <w:sz w:val="12"/>
                    <w:szCs w:val="12"/>
                    <w:lang w:eastAsia="es-CO"/>
                  </w:rPr>
                </w:pP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59C3CCC7" w14:textId="77777777" w:rsidR="00023673" w:rsidRPr="00F54474" w:rsidRDefault="00023673"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67.458 </w:t>
                </w: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4793D791" w14:textId="77777777" w:rsidR="00023673" w:rsidRPr="00F54474" w:rsidRDefault="00023673" w:rsidP="00F54474">
                <w:pPr>
                  <w:spacing w:after="0" w:line="240" w:lineRule="auto"/>
                  <w:jc w:val="right"/>
                  <w:rPr>
                    <w:rFonts w:ascii="Times New Roman" w:eastAsia="Times New Roman" w:hAnsi="Times New Roman"/>
                    <w:sz w:val="12"/>
                    <w:szCs w:val="12"/>
                    <w:lang w:eastAsia="es-CO"/>
                  </w:rPr>
                </w:pPr>
              </w:p>
            </w:tc>
            <w:tc>
              <w:tcPr>
                <w:tcW w:w="509" w:type="pct"/>
                <w:tcBorders>
                  <w:top w:val="single" w:sz="4" w:space="0" w:color="A6A6A6"/>
                  <w:left w:val="single" w:sz="4" w:space="0" w:color="A6A6A6"/>
                  <w:bottom w:val="single" w:sz="4" w:space="0" w:color="A6A6A6"/>
                  <w:right w:val="single" w:sz="4" w:space="0" w:color="A6A6A6"/>
                </w:tcBorders>
                <w:noWrap/>
                <w:vAlign w:val="center"/>
                <w:hideMark/>
              </w:tcPr>
              <w:p w14:paraId="0DC1B763"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646.021.525 </w:t>
                </w:r>
              </w:p>
            </w:tc>
          </w:tr>
          <w:tr w:rsidR="0059176A" w:rsidRPr="00A55913" w14:paraId="777F03BE" w14:textId="77777777" w:rsidTr="002B1A6C">
            <w:trPr>
              <w:trHeight w:val="595"/>
            </w:trPr>
            <w:tc>
              <w:tcPr>
                <w:tcW w:w="590" w:type="pct"/>
                <w:tcBorders>
                  <w:top w:val="single" w:sz="4" w:space="0" w:color="A6A6A6"/>
                  <w:left w:val="single" w:sz="4" w:space="0" w:color="A6A6A6"/>
                  <w:bottom w:val="single" w:sz="4" w:space="0" w:color="A6A6A6"/>
                  <w:right w:val="single" w:sz="4" w:space="0" w:color="A6A6A6"/>
                </w:tcBorders>
                <w:noWrap/>
                <w:vAlign w:val="center"/>
                <w:hideMark/>
              </w:tcPr>
              <w:p w14:paraId="5839D362" w14:textId="55EABECC" w:rsidR="00023673" w:rsidRPr="00F54474" w:rsidRDefault="00023673" w:rsidP="00023673">
                <w:pPr>
                  <w:spacing w:after="0" w:line="240" w:lineRule="auto"/>
                  <w:rPr>
                    <w:rFonts w:ascii="Times New Roman" w:eastAsia="Times New Roman" w:hAnsi="Times New Roman"/>
                    <w:sz w:val="12"/>
                    <w:szCs w:val="12"/>
                    <w:lang w:eastAsia="es-CO"/>
                  </w:rPr>
                </w:pPr>
                <w:r w:rsidRPr="00A55913">
                  <w:rPr>
                    <w:rFonts w:ascii="Times New Roman" w:eastAsia="Times New Roman" w:hAnsi="Times New Roman"/>
                    <w:sz w:val="12"/>
                    <w:szCs w:val="12"/>
                    <w:lang w:eastAsia="es-CO"/>
                  </w:rPr>
                  <w:t>(</w:t>
                </w:r>
                <w:r w:rsidRPr="00F54474">
                  <w:rPr>
                    <w:rFonts w:ascii="Times New Roman" w:eastAsia="Times New Roman" w:hAnsi="Times New Roman"/>
                    <w:sz w:val="12"/>
                    <w:szCs w:val="12"/>
                    <w:lang w:eastAsia="es-CO"/>
                  </w:rPr>
                  <w:t>-</w:t>
                </w:r>
                <w:r w:rsidRPr="00A55913">
                  <w:rPr>
                    <w:rFonts w:ascii="Times New Roman" w:eastAsia="Times New Roman" w:hAnsi="Times New Roman"/>
                    <w:sz w:val="12"/>
                    <w:szCs w:val="12"/>
                    <w:lang w:eastAsia="es-CO"/>
                  </w:rPr>
                  <w:t xml:space="preserve">) </w:t>
                </w:r>
                <w:r w:rsidRPr="00F54474">
                  <w:rPr>
                    <w:rFonts w:ascii="Times New Roman" w:eastAsia="Times New Roman" w:hAnsi="Times New Roman"/>
                    <w:sz w:val="12"/>
                    <w:szCs w:val="12"/>
                    <w:lang w:eastAsia="es-CO"/>
                  </w:rPr>
                  <w:t>Depreciación ajustada por traslado a otros conceptos</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3D6F3C5B" w14:textId="77777777" w:rsidR="00023673" w:rsidRPr="00F54474" w:rsidRDefault="00023673"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114.108.845 </w:t>
                </w: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6F6B3C28" w14:textId="77777777" w:rsidR="00023673" w:rsidRPr="00F54474" w:rsidRDefault="00023673" w:rsidP="00F54474">
                <w:pPr>
                  <w:spacing w:after="0" w:line="240" w:lineRule="auto"/>
                  <w:jc w:val="right"/>
                  <w:rPr>
                    <w:rFonts w:ascii="Times New Roman" w:eastAsia="Times New Roman" w:hAnsi="Times New Roman"/>
                    <w:sz w:val="12"/>
                    <w:szCs w:val="12"/>
                    <w:lang w:eastAsia="es-CO"/>
                  </w:rPr>
                </w:pPr>
              </w:p>
            </w:tc>
            <w:tc>
              <w:tcPr>
                <w:tcW w:w="516" w:type="pct"/>
                <w:tcBorders>
                  <w:top w:val="single" w:sz="4" w:space="0" w:color="A6A6A6"/>
                  <w:left w:val="single" w:sz="4" w:space="0" w:color="A6A6A6"/>
                  <w:bottom w:val="single" w:sz="4" w:space="0" w:color="A6A6A6"/>
                  <w:right w:val="single" w:sz="4" w:space="0" w:color="A6A6A6"/>
                </w:tcBorders>
                <w:noWrap/>
                <w:vAlign w:val="center"/>
                <w:hideMark/>
              </w:tcPr>
              <w:p w14:paraId="7FEFC735" w14:textId="77777777" w:rsidR="00023673" w:rsidRPr="00F54474" w:rsidRDefault="00023673"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408.585.740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2CBA460C" w14:textId="77777777" w:rsidR="00023673" w:rsidRPr="00F54474" w:rsidRDefault="00023673" w:rsidP="00F54474">
                <w:pPr>
                  <w:spacing w:after="0" w:line="240" w:lineRule="auto"/>
                  <w:jc w:val="right"/>
                  <w:rPr>
                    <w:rFonts w:ascii="Times New Roman" w:eastAsia="Times New Roman" w:hAnsi="Times New Roman"/>
                    <w:sz w:val="12"/>
                    <w:szCs w:val="12"/>
                    <w:lang w:eastAsia="es-CO"/>
                  </w:rPr>
                </w:pP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011E15B3" w14:textId="77777777" w:rsidR="00023673" w:rsidRPr="00F54474" w:rsidRDefault="00023673" w:rsidP="00F54474">
                <w:pPr>
                  <w:spacing w:after="0" w:line="240" w:lineRule="auto"/>
                  <w:rPr>
                    <w:rFonts w:ascii="Times New Roman" w:eastAsia="Times New Roman" w:hAnsi="Times New Roman"/>
                    <w:sz w:val="12"/>
                    <w:szCs w:val="12"/>
                    <w:lang w:eastAsia="es-CO"/>
                  </w:rPr>
                </w:pP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7A33379C" w14:textId="77777777" w:rsidR="00023673" w:rsidRPr="00F54474" w:rsidRDefault="00023673" w:rsidP="00F54474">
                <w:pPr>
                  <w:spacing w:after="0" w:line="240" w:lineRule="auto"/>
                  <w:rPr>
                    <w:rFonts w:ascii="Times New Roman" w:eastAsia="Times New Roman" w:hAnsi="Times New Roman"/>
                    <w:sz w:val="12"/>
                    <w:szCs w:val="12"/>
                    <w:lang w:eastAsia="es-CO"/>
                  </w:rPr>
                </w:pP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19E955BC" w14:textId="77777777" w:rsidR="00023673" w:rsidRPr="00F54474" w:rsidRDefault="00023673"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85.020.988 </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278AC844" w14:textId="77777777" w:rsidR="00023673" w:rsidRPr="00F54474" w:rsidRDefault="00023673" w:rsidP="00F54474">
                <w:pPr>
                  <w:spacing w:after="0" w:line="240" w:lineRule="auto"/>
                  <w:jc w:val="right"/>
                  <w:rPr>
                    <w:rFonts w:ascii="Times New Roman" w:eastAsia="Times New Roman" w:hAnsi="Times New Roman"/>
                    <w:sz w:val="12"/>
                    <w:szCs w:val="12"/>
                    <w:lang w:eastAsia="es-CO"/>
                  </w:rPr>
                </w:pP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1231B0AC" w14:textId="77777777" w:rsidR="00023673" w:rsidRPr="00F54474" w:rsidRDefault="00023673" w:rsidP="00F54474">
                <w:pPr>
                  <w:spacing w:after="0" w:line="240" w:lineRule="auto"/>
                  <w:rPr>
                    <w:rFonts w:ascii="Times New Roman" w:eastAsia="Times New Roman" w:hAnsi="Times New Roman"/>
                    <w:sz w:val="12"/>
                    <w:szCs w:val="12"/>
                    <w:lang w:eastAsia="es-CO"/>
                  </w:rPr>
                </w:pPr>
              </w:p>
            </w:tc>
            <w:tc>
              <w:tcPr>
                <w:tcW w:w="509" w:type="pct"/>
                <w:tcBorders>
                  <w:top w:val="single" w:sz="4" w:space="0" w:color="A6A6A6"/>
                  <w:left w:val="single" w:sz="4" w:space="0" w:color="A6A6A6"/>
                  <w:bottom w:val="single" w:sz="4" w:space="0" w:color="A6A6A6"/>
                  <w:right w:val="single" w:sz="4" w:space="0" w:color="A6A6A6"/>
                </w:tcBorders>
                <w:noWrap/>
                <w:vAlign w:val="center"/>
                <w:hideMark/>
              </w:tcPr>
              <w:p w14:paraId="17537367"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607.715.573 </w:t>
                </w:r>
              </w:p>
            </w:tc>
          </w:tr>
          <w:tr w:rsidR="0059176A" w:rsidRPr="00A55913" w14:paraId="4AD242C3" w14:textId="77777777" w:rsidTr="002B1A6C">
            <w:trPr>
              <w:trHeight w:val="296"/>
            </w:trPr>
            <w:tc>
              <w:tcPr>
                <w:tcW w:w="590" w:type="pct"/>
                <w:tcBorders>
                  <w:top w:val="single" w:sz="4" w:space="0" w:color="A6A6A6"/>
                  <w:left w:val="single" w:sz="4" w:space="0" w:color="A6A6A6"/>
                  <w:bottom w:val="single" w:sz="4" w:space="0" w:color="A6A6A6"/>
                  <w:right w:val="nil"/>
                </w:tcBorders>
                <w:noWrap/>
                <w:vAlign w:val="center"/>
                <w:hideMark/>
              </w:tcPr>
              <w:p w14:paraId="72E7F707" w14:textId="27D73DFE" w:rsidR="00023673" w:rsidRPr="00F54474" w:rsidRDefault="00023673" w:rsidP="00023673">
                <w:pPr>
                  <w:spacing w:after="0" w:line="240" w:lineRule="auto"/>
                  <w:rPr>
                    <w:rFonts w:ascii="Times New Roman" w:eastAsia="Times New Roman" w:hAnsi="Times New Roman"/>
                    <w:b/>
                    <w:bCs/>
                    <w:sz w:val="12"/>
                    <w:szCs w:val="12"/>
                    <w:lang w:eastAsia="es-CO"/>
                  </w:rPr>
                </w:pPr>
                <w:r w:rsidRPr="00A55913">
                  <w:rPr>
                    <w:rFonts w:ascii="Times New Roman" w:eastAsia="Times New Roman" w:hAnsi="Times New Roman"/>
                    <w:b/>
                    <w:bCs/>
                    <w:sz w:val="12"/>
                    <w:szCs w:val="12"/>
                    <w:lang w:eastAsia="es-CO"/>
                  </w:rPr>
                  <w:t>(</w:t>
                </w:r>
                <w:r w:rsidRPr="00F54474">
                  <w:rPr>
                    <w:rFonts w:ascii="Times New Roman" w:eastAsia="Times New Roman" w:hAnsi="Times New Roman"/>
                    <w:b/>
                    <w:bCs/>
                    <w:sz w:val="12"/>
                    <w:szCs w:val="12"/>
                    <w:lang w:eastAsia="es-CO"/>
                  </w:rPr>
                  <w:t>-</w:t>
                </w:r>
                <w:r w:rsidRPr="00A55913">
                  <w:rPr>
                    <w:rFonts w:ascii="Times New Roman" w:eastAsia="Times New Roman" w:hAnsi="Times New Roman"/>
                    <w:b/>
                    <w:bCs/>
                    <w:sz w:val="12"/>
                    <w:szCs w:val="12"/>
                    <w:lang w:eastAsia="es-CO"/>
                  </w:rPr>
                  <w:t xml:space="preserve">) </w:t>
                </w:r>
                <w:r w:rsidRPr="00F54474">
                  <w:rPr>
                    <w:rFonts w:ascii="Times New Roman" w:eastAsia="Times New Roman" w:hAnsi="Times New Roman"/>
                    <w:b/>
                    <w:bCs/>
                    <w:sz w:val="12"/>
                    <w:szCs w:val="12"/>
                    <w:lang w:eastAsia="es-CO"/>
                  </w:rPr>
                  <w:t>DETERIORO ACUMULADO DE PPE (DE)</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47FCAAE6"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w:t>
                </w: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43350E00"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   </w:t>
                </w:r>
              </w:p>
            </w:tc>
            <w:tc>
              <w:tcPr>
                <w:tcW w:w="516" w:type="pct"/>
                <w:tcBorders>
                  <w:top w:val="single" w:sz="4" w:space="0" w:color="A6A6A6"/>
                  <w:left w:val="single" w:sz="4" w:space="0" w:color="A6A6A6"/>
                  <w:bottom w:val="single" w:sz="4" w:space="0" w:color="A6A6A6"/>
                  <w:right w:val="single" w:sz="4" w:space="0" w:color="A6A6A6"/>
                </w:tcBorders>
                <w:noWrap/>
                <w:vAlign w:val="center"/>
                <w:hideMark/>
              </w:tcPr>
              <w:p w14:paraId="6566E4AC"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375F900C"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   </w:t>
                </w: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6825F5F9"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135A3497"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   </w:t>
                </w: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06A04440"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   </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4D66F1FD"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   </w:t>
                </w: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015E4D3B"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p>
            </w:tc>
            <w:tc>
              <w:tcPr>
                <w:tcW w:w="509" w:type="pct"/>
                <w:tcBorders>
                  <w:top w:val="single" w:sz="4" w:space="0" w:color="A6A6A6"/>
                  <w:left w:val="single" w:sz="4" w:space="0" w:color="A6A6A6"/>
                  <w:bottom w:val="single" w:sz="4" w:space="0" w:color="A6A6A6"/>
                  <w:right w:val="single" w:sz="4" w:space="0" w:color="A6A6A6"/>
                </w:tcBorders>
                <w:noWrap/>
                <w:vAlign w:val="center"/>
                <w:hideMark/>
              </w:tcPr>
              <w:p w14:paraId="19C58D81"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   </w:t>
                </w:r>
              </w:p>
            </w:tc>
          </w:tr>
          <w:tr w:rsidR="0059176A" w:rsidRPr="00A55913" w14:paraId="6C4B67F0" w14:textId="77777777" w:rsidTr="002B1A6C">
            <w:trPr>
              <w:trHeight w:val="595"/>
            </w:trPr>
            <w:tc>
              <w:tcPr>
                <w:tcW w:w="590" w:type="pct"/>
                <w:tcBorders>
                  <w:top w:val="single" w:sz="4" w:space="0" w:color="A6A6A6"/>
                  <w:left w:val="single" w:sz="4" w:space="0" w:color="A6A6A6"/>
                  <w:bottom w:val="single" w:sz="4" w:space="0" w:color="A6A6A6"/>
                  <w:right w:val="nil"/>
                </w:tcBorders>
                <w:noWrap/>
                <w:vAlign w:val="center"/>
                <w:hideMark/>
              </w:tcPr>
              <w:p w14:paraId="73032D4A" w14:textId="006EC5C4" w:rsidR="00023673" w:rsidRPr="00F54474" w:rsidRDefault="00023673" w:rsidP="00F54474">
                <w:pPr>
                  <w:spacing w:after="0" w:line="240" w:lineRule="auto"/>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w:t>
                </w:r>
                <w:r w:rsidRPr="00A55913">
                  <w:rPr>
                    <w:rFonts w:ascii="Times New Roman" w:eastAsia="Times New Roman" w:hAnsi="Times New Roman"/>
                    <w:b/>
                    <w:bCs/>
                    <w:sz w:val="12"/>
                    <w:szCs w:val="12"/>
                    <w:lang w:eastAsia="es-CO"/>
                  </w:rPr>
                  <w:t xml:space="preserve"> </w:t>
                </w:r>
                <w:r w:rsidRPr="00F54474">
                  <w:rPr>
                    <w:rFonts w:ascii="Times New Roman" w:eastAsia="Times New Roman" w:hAnsi="Times New Roman"/>
                    <w:b/>
                    <w:bCs/>
                    <w:sz w:val="12"/>
                    <w:szCs w:val="12"/>
                    <w:lang w:eastAsia="es-CO"/>
                  </w:rPr>
                  <w:t>VALOR EN LIBROS</w:t>
                </w:r>
                <w:r w:rsidRPr="00A55913">
                  <w:rPr>
                    <w:rFonts w:ascii="Times New Roman" w:eastAsia="Times New Roman" w:hAnsi="Times New Roman"/>
                    <w:b/>
                    <w:bCs/>
                    <w:sz w:val="12"/>
                    <w:szCs w:val="12"/>
                    <w:lang w:eastAsia="es-CO"/>
                  </w:rPr>
                  <w:t xml:space="preserve"> </w:t>
                </w:r>
                <w:r w:rsidRPr="00F54474">
                  <w:rPr>
                    <w:rFonts w:ascii="Times New Roman" w:eastAsia="Times New Roman" w:hAnsi="Times New Roman"/>
                    <w:b/>
                    <w:bCs/>
                    <w:sz w:val="12"/>
                    <w:szCs w:val="12"/>
                    <w:lang w:eastAsia="es-CO"/>
                  </w:rPr>
                  <w:t>(Saldo final - DA - DE)</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5BED5C4D"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137.908.848 </w:t>
                </w: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3BFAEFE2"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1.151.342.639 </w:t>
                </w:r>
              </w:p>
            </w:tc>
            <w:tc>
              <w:tcPr>
                <w:tcW w:w="516" w:type="pct"/>
                <w:tcBorders>
                  <w:top w:val="single" w:sz="4" w:space="0" w:color="A6A6A6"/>
                  <w:left w:val="single" w:sz="4" w:space="0" w:color="A6A6A6"/>
                  <w:bottom w:val="single" w:sz="4" w:space="0" w:color="A6A6A6"/>
                  <w:right w:val="single" w:sz="4" w:space="0" w:color="A6A6A6"/>
                </w:tcBorders>
                <w:noWrap/>
                <w:vAlign w:val="center"/>
                <w:hideMark/>
              </w:tcPr>
              <w:p w14:paraId="24D178E3"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43.524.330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13175065"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   </w:t>
                </w: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0073E173"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631.367.880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789CB970"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938.722 </w:t>
                </w: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2F82F487"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158.291.038 </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4DEBA134"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29.781.018 </w:t>
                </w: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639430A3"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p>
            </w:tc>
            <w:tc>
              <w:tcPr>
                <w:tcW w:w="509" w:type="pct"/>
                <w:tcBorders>
                  <w:top w:val="single" w:sz="4" w:space="0" w:color="A6A6A6"/>
                  <w:left w:val="single" w:sz="4" w:space="0" w:color="A6A6A6"/>
                  <w:bottom w:val="single" w:sz="4" w:space="0" w:color="A6A6A6"/>
                  <w:right w:val="single" w:sz="4" w:space="0" w:color="A6A6A6"/>
                </w:tcBorders>
                <w:noWrap/>
                <w:vAlign w:val="center"/>
                <w:hideMark/>
              </w:tcPr>
              <w:p w14:paraId="471ADADF"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2.153.154.475 </w:t>
                </w:r>
              </w:p>
            </w:tc>
          </w:tr>
          <w:tr w:rsidR="0059176A" w:rsidRPr="00A55913" w14:paraId="6AE9131C" w14:textId="77777777" w:rsidTr="002B1A6C">
            <w:trPr>
              <w:trHeight w:val="296"/>
            </w:trPr>
            <w:tc>
              <w:tcPr>
                <w:tcW w:w="590" w:type="pct"/>
                <w:tcBorders>
                  <w:top w:val="single" w:sz="4" w:space="0" w:color="A6A6A6"/>
                  <w:left w:val="single" w:sz="4" w:space="0" w:color="A6A6A6"/>
                  <w:bottom w:val="single" w:sz="4" w:space="0" w:color="A6A6A6"/>
                  <w:right w:val="nil"/>
                </w:tcBorders>
                <w:noWrap/>
                <w:vAlign w:val="center"/>
                <w:hideMark/>
              </w:tcPr>
              <w:p w14:paraId="451B3360" w14:textId="77777777" w:rsidR="00023673" w:rsidRPr="00F54474" w:rsidRDefault="00023673" w:rsidP="00F54474">
                <w:pPr>
                  <w:spacing w:after="0" w:line="240" w:lineRule="auto"/>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DEPRECIACIÓN ACUMULADA (seguimiento)</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3F8EB3D4" w14:textId="77777777" w:rsidR="00023673" w:rsidRPr="00F54474" w:rsidRDefault="00023673" w:rsidP="00F54474">
                <w:pPr>
                  <w:spacing w:after="0" w:line="240" w:lineRule="auto"/>
                  <w:jc w:val="center"/>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80 </w:t>
                </w: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6095B091" w14:textId="77777777" w:rsidR="00023673" w:rsidRPr="00F54474" w:rsidRDefault="00023673" w:rsidP="00F54474">
                <w:pPr>
                  <w:spacing w:after="0" w:line="240" w:lineRule="auto"/>
                  <w:jc w:val="center"/>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80 </w:t>
                </w:r>
              </w:p>
            </w:tc>
            <w:tc>
              <w:tcPr>
                <w:tcW w:w="516" w:type="pct"/>
                <w:tcBorders>
                  <w:top w:val="single" w:sz="4" w:space="0" w:color="A6A6A6"/>
                  <w:left w:val="single" w:sz="4" w:space="0" w:color="A6A6A6"/>
                  <w:bottom w:val="single" w:sz="4" w:space="0" w:color="A6A6A6"/>
                  <w:right w:val="single" w:sz="4" w:space="0" w:color="A6A6A6"/>
                </w:tcBorders>
                <w:noWrap/>
                <w:vAlign w:val="center"/>
                <w:hideMark/>
              </w:tcPr>
              <w:p w14:paraId="69A3A1BC" w14:textId="77777777" w:rsidR="00023673" w:rsidRPr="00F54474" w:rsidRDefault="00023673" w:rsidP="00F54474">
                <w:pPr>
                  <w:spacing w:after="0" w:line="240" w:lineRule="auto"/>
                  <w:jc w:val="center"/>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95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45809B30" w14:textId="77777777" w:rsidR="00023673" w:rsidRPr="00F54474" w:rsidRDefault="00023673" w:rsidP="00F54474">
                <w:pPr>
                  <w:spacing w:after="0" w:line="240" w:lineRule="auto"/>
                  <w:jc w:val="center"/>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100 </w:t>
                </w: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71CE5DDF" w14:textId="77777777" w:rsidR="00023673" w:rsidRPr="00F54474" w:rsidRDefault="00023673" w:rsidP="00F54474">
                <w:pPr>
                  <w:spacing w:after="0" w:line="240" w:lineRule="auto"/>
                  <w:jc w:val="center"/>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91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14F42143" w14:textId="77777777" w:rsidR="00023673" w:rsidRPr="00F54474" w:rsidRDefault="00023673" w:rsidP="00F54474">
                <w:pPr>
                  <w:spacing w:after="0" w:line="240" w:lineRule="auto"/>
                  <w:jc w:val="center"/>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90 </w:t>
                </w: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74ACB485" w14:textId="77777777" w:rsidR="00023673" w:rsidRPr="00F54474" w:rsidRDefault="00023673" w:rsidP="00F54474">
                <w:pPr>
                  <w:spacing w:after="0" w:line="240" w:lineRule="auto"/>
                  <w:jc w:val="center"/>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16 </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20964077" w14:textId="77777777" w:rsidR="00023673" w:rsidRPr="00F54474" w:rsidRDefault="00023673" w:rsidP="00F54474">
                <w:pPr>
                  <w:spacing w:after="0" w:line="240" w:lineRule="auto"/>
                  <w:jc w:val="center"/>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2 </w:t>
                </w: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3F33C94E" w14:textId="77777777" w:rsidR="00023673" w:rsidRPr="00F54474" w:rsidRDefault="00023673" w:rsidP="00F54474">
                <w:pPr>
                  <w:spacing w:after="0" w:line="240" w:lineRule="auto"/>
                  <w:jc w:val="center"/>
                  <w:rPr>
                    <w:rFonts w:ascii="Times New Roman" w:eastAsia="Times New Roman" w:hAnsi="Times New Roman"/>
                    <w:b/>
                    <w:bCs/>
                    <w:sz w:val="12"/>
                    <w:szCs w:val="12"/>
                    <w:lang w:eastAsia="es-CO"/>
                  </w:rPr>
                </w:pPr>
              </w:p>
            </w:tc>
            <w:tc>
              <w:tcPr>
                <w:tcW w:w="509" w:type="pct"/>
                <w:tcBorders>
                  <w:top w:val="single" w:sz="4" w:space="0" w:color="A6A6A6"/>
                  <w:left w:val="single" w:sz="4" w:space="0" w:color="A6A6A6"/>
                  <w:bottom w:val="single" w:sz="4" w:space="0" w:color="A6A6A6"/>
                  <w:right w:val="single" w:sz="4" w:space="0" w:color="A6A6A6"/>
                </w:tcBorders>
                <w:noWrap/>
                <w:vAlign w:val="center"/>
                <w:hideMark/>
              </w:tcPr>
              <w:p w14:paraId="40BE9864" w14:textId="77777777" w:rsidR="00023673" w:rsidRPr="00F54474" w:rsidRDefault="00023673" w:rsidP="00F54474">
                <w:pPr>
                  <w:spacing w:after="0" w:line="240" w:lineRule="auto"/>
                  <w:jc w:val="center"/>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87 </w:t>
                </w:r>
              </w:p>
            </w:tc>
          </w:tr>
          <w:tr w:rsidR="0059176A" w:rsidRPr="00A55913" w14:paraId="74E5798F" w14:textId="77777777" w:rsidTr="002B1A6C">
            <w:trPr>
              <w:trHeight w:val="296"/>
            </w:trPr>
            <w:tc>
              <w:tcPr>
                <w:tcW w:w="590" w:type="pct"/>
                <w:tcBorders>
                  <w:top w:val="single" w:sz="4" w:space="0" w:color="A6A6A6"/>
                  <w:left w:val="single" w:sz="4" w:space="0" w:color="A6A6A6"/>
                  <w:bottom w:val="single" w:sz="4" w:space="0" w:color="A6A6A6"/>
                  <w:right w:val="nil"/>
                </w:tcBorders>
                <w:noWrap/>
                <w:vAlign w:val="center"/>
                <w:hideMark/>
              </w:tcPr>
              <w:p w14:paraId="2D82B86C" w14:textId="77777777" w:rsidR="00023673" w:rsidRPr="00F54474" w:rsidRDefault="00023673" w:rsidP="00F54474">
                <w:pPr>
                  <w:spacing w:after="0" w:line="240" w:lineRule="auto"/>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DETERIORO ACUMULADO (seguimiento)</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0AE9C7D3" w14:textId="77777777" w:rsidR="00023673" w:rsidRPr="00F54474" w:rsidRDefault="00023673" w:rsidP="00F54474">
                <w:pPr>
                  <w:spacing w:after="0" w:line="240" w:lineRule="auto"/>
                  <w:jc w:val="center"/>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w:t>
                </w: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45A3B328" w14:textId="77777777" w:rsidR="00023673" w:rsidRPr="00F54474" w:rsidRDefault="00023673" w:rsidP="00F54474">
                <w:pPr>
                  <w:spacing w:after="0" w:line="240" w:lineRule="auto"/>
                  <w:jc w:val="center"/>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   </w:t>
                </w:r>
              </w:p>
            </w:tc>
            <w:tc>
              <w:tcPr>
                <w:tcW w:w="516" w:type="pct"/>
                <w:tcBorders>
                  <w:top w:val="single" w:sz="4" w:space="0" w:color="A6A6A6"/>
                  <w:left w:val="single" w:sz="4" w:space="0" w:color="A6A6A6"/>
                  <w:bottom w:val="single" w:sz="4" w:space="0" w:color="A6A6A6"/>
                  <w:right w:val="single" w:sz="4" w:space="0" w:color="A6A6A6"/>
                </w:tcBorders>
                <w:noWrap/>
                <w:vAlign w:val="center"/>
                <w:hideMark/>
              </w:tcPr>
              <w:p w14:paraId="341CE6A4" w14:textId="77777777" w:rsidR="00023673" w:rsidRPr="00F54474" w:rsidRDefault="00023673" w:rsidP="00F54474">
                <w:pPr>
                  <w:spacing w:after="0" w:line="240" w:lineRule="auto"/>
                  <w:jc w:val="center"/>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53C8E4A3" w14:textId="77777777" w:rsidR="00023673" w:rsidRPr="00F54474" w:rsidRDefault="00023673" w:rsidP="00F54474">
                <w:pPr>
                  <w:spacing w:after="0" w:line="240" w:lineRule="auto"/>
                  <w:jc w:val="center"/>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   </w:t>
                </w: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5CF830DB" w14:textId="77777777" w:rsidR="00023673" w:rsidRPr="00F54474" w:rsidRDefault="00023673" w:rsidP="00F54474">
                <w:pPr>
                  <w:spacing w:after="0" w:line="240" w:lineRule="auto"/>
                  <w:jc w:val="center"/>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38773420" w14:textId="77777777" w:rsidR="00023673" w:rsidRPr="00F54474" w:rsidRDefault="00023673" w:rsidP="00F54474">
                <w:pPr>
                  <w:spacing w:after="0" w:line="240" w:lineRule="auto"/>
                  <w:jc w:val="center"/>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   </w:t>
                </w: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50177F0C" w14:textId="77777777" w:rsidR="00023673" w:rsidRPr="00F54474" w:rsidRDefault="00023673" w:rsidP="00F54474">
                <w:pPr>
                  <w:spacing w:after="0" w:line="240" w:lineRule="auto"/>
                  <w:jc w:val="center"/>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   </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3071DDE1" w14:textId="77777777" w:rsidR="00023673" w:rsidRPr="00F54474" w:rsidRDefault="00023673" w:rsidP="00F54474">
                <w:pPr>
                  <w:spacing w:after="0" w:line="240" w:lineRule="auto"/>
                  <w:jc w:val="center"/>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   </w:t>
                </w: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1B59D782" w14:textId="77777777" w:rsidR="00023673" w:rsidRPr="00F54474" w:rsidRDefault="00023673" w:rsidP="00F54474">
                <w:pPr>
                  <w:spacing w:after="0" w:line="240" w:lineRule="auto"/>
                  <w:jc w:val="center"/>
                  <w:rPr>
                    <w:rFonts w:ascii="Times New Roman" w:eastAsia="Times New Roman" w:hAnsi="Times New Roman"/>
                    <w:b/>
                    <w:bCs/>
                    <w:sz w:val="12"/>
                    <w:szCs w:val="12"/>
                    <w:lang w:eastAsia="es-CO"/>
                  </w:rPr>
                </w:pPr>
              </w:p>
            </w:tc>
            <w:tc>
              <w:tcPr>
                <w:tcW w:w="509" w:type="pct"/>
                <w:tcBorders>
                  <w:top w:val="single" w:sz="4" w:space="0" w:color="A6A6A6"/>
                  <w:left w:val="single" w:sz="4" w:space="0" w:color="A6A6A6"/>
                  <w:bottom w:val="single" w:sz="4" w:space="0" w:color="A6A6A6"/>
                  <w:right w:val="single" w:sz="4" w:space="0" w:color="A6A6A6"/>
                </w:tcBorders>
                <w:noWrap/>
                <w:vAlign w:val="center"/>
                <w:hideMark/>
              </w:tcPr>
              <w:p w14:paraId="60AD56BD" w14:textId="77777777" w:rsidR="00023673" w:rsidRPr="00F54474" w:rsidRDefault="00023673" w:rsidP="00F54474">
                <w:pPr>
                  <w:spacing w:after="0" w:line="240" w:lineRule="auto"/>
                  <w:jc w:val="center"/>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   </w:t>
                </w:r>
              </w:p>
            </w:tc>
          </w:tr>
          <w:tr w:rsidR="0059176A" w:rsidRPr="00A55913" w14:paraId="59FED458" w14:textId="77777777" w:rsidTr="002B1A6C">
            <w:trPr>
              <w:trHeight w:val="296"/>
            </w:trPr>
            <w:tc>
              <w:tcPr>
                <w:tcW w:w="590" w:type="pct"/>
                <w:tcBorders>
                  <w:top w:val="single" w:sz="4" w:space="0" w:color="A6A6A6"/>
                  <w:left w:val="single" w:sz="4" w:space="0" w:color="A6A6A6"/>
                  <w:bottom w:val="single" w:sz="4" w:space="0" w:color="A6A6A6"/>
                  <w:right w:val="nil"/>
                </w:tcBorders>
                <w:noWrap/>
                <w:vAlign w:val="center"/>
                <w:hideMark/>
              </w:tcPr>
              <w:p w14:paraId="2DC2BB79" w14:textId="77777777" w:rsidR="00023673" w:rsidRPr="00F54474" w:rsidRDefault="00023673" w:rsidP="00F54474">
                <w:pPr>
                  <w:spacing w:after="0" w:line="240" w:lineRule="auto"/>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USO O DESTINACIÓN</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229EE448"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679.700.034 </w:t>
                </w: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44A85108"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5.849.639.143 </w:t>
                </w:r>
              </w:p>
            </w:tc>
            <w:tc>
              <w:tcPr>
                <w:tcW w:w="516" w:type="pct"/>
                <w:tcBorders>
                  <w:top w:val="single" w:sz="4" w:space="0" w:color="A6A6A6"/>
                  <w:left w:val="single" w:sz="4" w:space="0" w:color="A6A6A6"/>
                  <w:bottom w:val="single" w:sz="4" w:space="0" w:color="A6A6A6"/>
                  <w:right w:val="single" w:sz="4" w:space="0" w:color="A6A6A6"/>
                </w:tcBorders>
                <w:noWrap/>
                <w:vAlign w:val="center"/>
                <w:hideMark/>
              </w:tcPr>
              <w:p w14:paraId="08398690"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826.082.828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21EBEFF2"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843.400 </w:t>
                </w: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7360E224"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7.247.092.358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66D06700"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9.576.520 </w:t>
                </w: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640C68CD"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   </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4B1D7FB3"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   </w:t>
                </w: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45B8E033"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p>
            </w:tc>
            <w:tc>
              <w:tcPr>
                <w:tcW w:w="509" w:type="pct"/>
                <w:tcBorders>
                  <w:top w:val="single" w:sz="4" w:space="0" w:color="A6A6A6"/>
                  <w:left w:val="single" w:sz="4" w:space="0" w:color="A6A6A6"/>
                  <w:bottom w:val="single" w:sz="4" w:space="0" w:color="A6A6A6"/>
                  <w:right w:val="single" w:sz="4" w:space="0" w:color="A6A6A6"/>
                </w:tcBorders>
                <w:noWrap/>
                <w:vAlign w:val="center"/>
                <w:hideMark/>
              </w:tcPr>
              <w:p w14:paraId="607DED20"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14.612.934.283 </w:t>
                </w:r>
              </w:p>
            </w:tc>
          </w:tr>
          <w:tr w:rsidR="0059176A" w:rsidRPr="00A55913" w14:paraId="263BAA4A" w14:textId="77777777" w:rsidTr="002B1A6C">
            <w:trPr>
              <w:trHeight w:val="296"/>
            </w:trPr>
            <w:tc>
              <w:tcPr>
                <w:tcW w:w="590" w:type="pct"/>
                <w:tcBorders>
                  <w:top w:val="single" w:sz="4" w:space="0" w:color="A6A6A6"/>
                  <w:left w:val="single" w:sz="4" w:space="0" w:color="A6A6A6"/>
                  <w:bottom w:val="single" w:sz="4" w:space="0" w:color="A6A6A6"/>
                  <w:right w:val="nil"/>
                </w:tcBorders>
                <w:noWrap/>
                <w:vAlign w:val="center"/>
                <w:hideMark/>
              </w:tcPr>
              <w:p w14:paraId="70146721" w14:textId="39C90A97" w:rsidR="00023673" w:rsidRPr="00F54474" w:rsidRDefault="00023673" w:rsidP="00023673">
                <w:pPr>
                  <w:spacing w:after="0" w:line="240" w:lineRule="auto"/>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w:t>
                </w:r>
                <w:r w:rsidRPr="00A55913">
                  <w:rPr>
                    <w:rFonts w:ascii="Times New Roman" w:eastAsia="Times New Roman" w:hAnsi="Times New Roman"/>
                    <w:sz w:val="12"/>
                    <w:szCs w:val="12"/>
                    <w:lang w:eastAsia="es-CO"/>
                  </w:rPr>
                  <w:t xml:space="preserve">  </w:t>
                </w:r>
                <w:r w:rsidRPr="00F54474">
                  <w:rPr>
                    <w:rFonts w:ascii="Times New Roman" w:eastAsia="Times New Roman" w:hAnsi="Times New Roman"/>
                    <w:sz w:val="12"/>
                    <w:szCs w:val="12"/>
                    <w:lang w:eastAsia="es-CO"/>
                  </w:rPr>
                  <w:t>En servicio</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59C55698" w14:textId="77777777" w:rsidR="00023673" w:rsidRPr="00F54474" w:rsidRDefault="00023673"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679.700.034 </w:t>
                </w: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0297FDEF" w14:textId="77777777" w:rsidR="00023673" w:rsidRPr="00F54474" w:rsidRDefault="00023673"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5.816.924.793 </w:t>
                </w:r>
              </w:p>
            </w:tc>
            <w:tc>
              <w:tcPr>
                <w:tcW w:w="516" w:type="pct"/>
                <w:tcBorders>
                  <w:top w:val="single" w:sz="4" w:space="0" w:color="A6A6A6"/>
                  <w:left w:val="single" w:sz="4" w:space="0" w:color="A6A6A6"/>
                  <w:bottom w:val="single" w:sz="4" w:space="0" w:color="A6A6A6"/>
                  <w:right w:val="single" w:sz="4" w:space="0" w:color="A6A6A6"/>
                </w:tcBorders>
                <w:noWrap/>
                <w:vAlign w:val="center"/>
                <w:hideMark/>
              </w:tcPr>
              <w:p w14:paraId="1BF55ED7" w14:textId="77777777" w:rsidR="00023673" w:rsidRPr="00F54474" w:rsidRDefault="00023673"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826.082.828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2F442D9C" w14:textId="77777777" w:rsidR="00023673" w:rsidRPr="00F54474" w:rsidRDefault="00023673"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843.400 </w:t>
                </w: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6596796F" w14:textId="77777777" w:rsidR="00023673" w:rsidRPr="00F54474" w:rsidRDefault="00023673"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7.060.486.970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58BD8744" w14:textId="77777777" w:rsidR="00023673" w:rsidRPr="00F54474" w:rsidRDefault="00023673"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9.576.520 </w:t>
                </w: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79FB23C6" w14:textId="77777777" w:rsidR="00023673" w:rsidRPr="00F54474" w:rsidRDefault="00023673"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32986E99" w14:textId="77777777" w:rsidR="00023673" w:rsidRPr="00F54474" w:rsidRDefault="00023673"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1CD7AD3D" w14:textId="77777777" w:rsidR="00023673" w:rsidRPr="00F54474" w:rsidRDefault="00023673" w:rsidP="00F54474">
                <w:pPr>
                  <w:spacing w:after="0" w:line="240" w:lineRule="auto"/>
                  <w:jc w:val="right"/>
                  <w:rPr>
                    <w:rFonts w:ascii="Times New Roman" w:eastAsia="Times New Roman" w:hAnsi="Times New Roman"/>
                    <w:sz w:val="12"/>
                    <w:szCs w:val="12"/>
                    <w:lang w:eastAsia="es-CO"/>
                  </w:rPr>
                </w:pPr>
              </w:p>
            </w:tc>
            <w:tc>
              <w:tcPr>
                <w:tcW w:w="509" w:type="pct"/>
                <w:tcBorders>
                  <w:top w:val="single" w:sz="4" w:space="0" w:color="A6A6A6"/>
                  <w:left w:val="single" w:sz="4" w:space="0" w:color="A6A6A6"/>
                  <w:bottom w:val="single" w:sz="4" w:space="0" w:color="A6A6A6"/>
                  <w:right w:val="single" w:sz="4" w:space="0" w:color="A6A6A6"/>
                </w:tcBorders>
                <w:noWrap/>
                <w:vAlign w:val="center"/>
                <w:hideMark/>
              </w:tcPr>
              <w:p w14:paraId="191DC5D8"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14.393.614.545 </w:t>
                </w:r>
              </w:p>
            </w:tc>
          </w:tr>
          <w:tr w:rsidR="0059176A" w:rsidRPr="00A55913" w14:paraId="335ABDC3" w14:textId="77777777" w:rsidTr="002B1A6C">
            <w:trPr>
              <w:trHeight w:val="296"/>
            </w:trPr>
            <w:tc>
              <w:tcPr>
                <w:tcW w:w="590" w:type="pct"/>
                <w:tcBorders>
                  <w:top w:val="single" w:sz="4" w:space="0" w:color="A6A6A6"/>
                  <w:left w:val="single" w:sz="4" w:space="0" w:color="A6A6A6"/>
                  <w:bottom w:val="single" w:sz="4" w:space="0" w:color="A6A6A6"/>
                  <w:right w:val="nil"/>
                </w:tcBorders>
                <w:noWrap/>
                <w:vAlign w:val="center"/>
                <w:hideMark/>
              </w:tcPr>
              <w:p w14:paraId="15512E33" w14:textId="428F79EE" w:rsidR="00023673" w:rsidRPr="00F54474" w:rsidRDefault="00023673" w:rsidP="00023673">
                <w:pPr>
                  <w:spacing w:after="0" w:line="240" w:lineRule="auto"/>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w:t>
                </w:r>
                <w:r w:rsidRPr="00A55913">
                  <w:rPr>
                    <w:rFonts w:ascii="Times New Roman" w:eastAsia="Times New Roman" w:hAnsi="Times New Roman"/>
                    <w:sz w:val="12"/>
                    <w:szCs w:val="12"/>
                    <w:lang w:eastAsia="es-CO"/>
                  </w:rPr>
                  <w:t xml:space="preserve"> </w:t>
                </w:r>
                <w:r w:rsidRPr="00F54474">
                  <w:rPr>
                    <w:rFonts w:ascii="Times New Roman" w:eastAsia="Times New Roman" w:hAnsi="Times New Roman"/>
                    <w:sz w:val="12"/>
                    <w:szCs w:val="12"/>
                    <w:lang w:eastAsia="es-CO"/>
                  </w:rPr>
                  <w:t>No explotados</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6666266D" w14:textId="77777777" w:rsidR="00023673" w:rsidRPr="00F54474" w:rsidRDefault="00023673"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w:t>
                </w: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77DD23DF" w14:textId="77777777" w:rsidR="00023673" w:rsidRPr="00F54474" w:rsidRDefault="00023673"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30.514.350 </w:t>
                </w:r>
              </w:p>
            </w:tc>
            <w:tc>
              <w:tcPr>
                <w:tcW w:w="516" w:type="pct"/>
                <w:tcBorders>
                  <w:top w:val="single" w:sz="4" w:space="0" w:color="A6A6A6"/>
                  <w:left w:val="single" w:sz="4" w:space="0" w:color="A6A6A6"/>
                  <w:bottom w:val="single" w:sz="4" w:space="0" w:color="A6A6A6"/>
                  <w:right w:val="single" w:sz="4" w:space="0" w:color="A6A6A6"/>
                </w:tcBorders>
                <w:noWrap/>
                <w:vAlign w:val="center"/>
                <w:hideMark/>
              </w:tcPr>
              <w:p w14:paraId="79B62103" w14:textId="77777777" w:rsidR="00023673" w:rsidRPr="00F54474" w:rsidRDefault="00023673"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5B1D6BCC" w14:textId="77777777" w:rsidR="00023673" w:rsidRPr="00F54474" w:rsidRDefault="00023673"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12BD46C1" w14:textId="77777777" w:rsidR="00023673" w:rsidRPr="00F54474" w:rsidRDefault="00023673"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02502532" w14:textId="77777777" w:rsidR="00023673" w:rsidRPr="00F54474" w:rsidRDefault="00023673"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57AFA2CA" w14:textId="77777777" w:rsidR="00023673" w:rsidRPr="00F54474" w:rsidRDefault="00023673"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0804FEFF" w14:textId="77777777" w:rsidR="00023673" w:rsidRPr="00F54474" w:rsidRDefault="00023673"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42B73E6D" w14:textId="77777777" w:rsidR="00023673" w:rsidRPr="00F54474" w:rsidRDefault="00023673" w:rsidP="00F54474">
                <w:pPr>
                  <w:spacing w:after="0" w:line="240" w:lineRule="auto"/>
                  <w:jc w:val="right"/>
                  <w:rPr>
                    <w:rFonts w:ascii="Times New Roman" w:eastAsia="Times New Roman" w:hAnsi="Times New Roman"/>
                    <w:sz w:val="12"/>
                    <w:szCs w:val="12"/>
                    <w:lang w:eastAsia="es-CO"/>
                  </w:rPr>
                </w:pPr>
              </w:p>
            </w:tc>
            <w:tc>
              <w:tcPr>
                <w:tcW w:w="509" w:type="pct"/>
                <w:tcBorders>
                  <w:top w:val="single" w:sz="4" w:space="0" w:color="A6A6A6"/>
                  <w:left w:val="single" w:sz="4" w:space="0" w:color="A6A6A6"/>
                  <w:bottom w:val="single" w:sz="4" w:space="0" w:color="A6A6A6"/>
                  <w:right w:val="single" w:sz="4" w:space="0" w:color="A6A6A6"/>
                </w:tcBorders>
                <w:noWrap/>
                <w:vAlign w:val="center"/>
                <w:hideMark/>
              </w:tcPr>
              <w:p w14:paraId="0AE2A182"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30.514.350 </w:t>
                </w:r>
              </w:p>
            </w:tc>
          </w:tr>
          <w:tr w:rsidR="0059176A" w:rsidRPr="00A55913" w14:paraId="3885C0B3" w14:textId="77777777" w:rsidTr="002B1A6C">
            <w:trPr>
              <w:trHeight w:val="296"/>
            </w:trPr>
            <w:tc>
              <w:tcPr>
                <w:tcW w:w="590" w:type="pct"/>
                <w:tcBorders>
                  <w:top w:val="single" w:sz="4" w:space="0" w:color="A6A6A6"/>
                  <w:left w:val="single" w:sz="4" w:space="0" w:color="A6A6A6"/>
                  <w:bottom w:val="single" w:sz="4" w:space="0" w:color="A6A6A6"/>
                  <w:right w:val="nil"/>
                </w:tcBorders>
                <w:noWrap/>
                <w:vAlign w:val="center"/>
                <w:hideMark/>
              </w:tcPr>
              <w:p w14:paraId="3D4AB6FC" w14:textId="6F850072" w:rsidR="00023673" w:rsidRPr="00F54474" w:rsidRDefault="00023673" w:rsidP="00F54474">
                <w:pPr>
                  <w:spacing w:after="0" w:line="240" w:lineRule="auto"/>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w:t>
                </w:r>
                <w:r w:rsidRPr="00A55913">
                  <w:rPr>
                    <w:rFonts w:ascii="Times New Roman" w:eastAsia="Times New Roman" w:hAnsi="Times New Roman"/>
                    <w:sz w:val="12"/>
                    <w:szCs w:val="12"/>
                    <w:lang w:eastAsia="es-CO"/>
                  </w:rPr>
                  <w:t xml:space="preserve"> </w:t>
                </w:r>
                <w:r w:rsidRPr="00F54474">
                  <w:rPr>
                    <w:rFonts w:ascii="Times New Roman" w:eastAsia="Times New Roman" w:hAnsi="Times New Roman"/>
                    <w:sz w:val="12"/>
                    <w:szCs w:val="12"/>
                    <w:lang w:eastAsia="es-CO"/>
                  </w:rPr>
                  <w:t>En bodega</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765AA893" w14:textId="77777777" w:rsidR="00023673" w:rsidRPr="00F54474" w:rsidRDefault="00023673"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w:t>
                </w: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0F02171A" w14:textId="77777777" w:rsidR="00023673" w:rsidRPr="00F54474" w:rsidRDefault="00023673"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2.200.000 </w:t>
                </w:r>
              </w:p>
            </w:tc>
            <w:tc>
              <w:tcPr>
                <w:tcW w:w="516" w:type="pct"/>
                <w:tcBorders>
                  <w:top w:val="single" w:sz="4" w:space="0" w:color="A6A6A6"/>
                  <w:left w:val="single" w:sz="4" w:space="0" w:color="A6A6A6"/>
                  <w:bottom w:val="single" w:sz="4" w:space="0" w:color="A6A6A6"/>
                  <w:right w:val="single" w:sz="4" w:space="0" w:color="A6A6A6"/>
                </w:tcBorders>
                <w:noWrap/>
                <w:vAlign w:val="center"/>
                <w:hideMark/>
              </w:tcPr>
              <w:p w14:paraId="5E3CF21F" w14:textId="77777777" w:rsidR="00023673" w:rsidRPr="00F54474" w:rsidRDefault="00023673"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63217982" w14:textId="77777777" w:rsidR="00023673" w:rsidRPr="00F54474" w:rsidRDefault="00023673"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163F5FCC" w14:textId="77777777" w:rsidR="00023673" w:rsidRPr="00F54474" w:rsidRDefault="00023673"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186.605.388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184ADA59" w14:textId="77777777" w:rsidR="00023673" w:rsidRPr="00F54474" w:rsidRDefault="00023673"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0AA73584" w14:textId="77777777" w:rsidR="00023673" w:rsidRPr="00F54474" w:rsidRDefault="00023673"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4BBCD0BC" w14:textId="77777777" w:rsidR="00023673" w:rsidRPr="00F54474" w:rsidRDefault="00023673"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25A09696" w14:textId="77777777" w:rsidR="00023673" w:rsidRPr="00F54474" w:rsidRDefault="00023673" w:rsidP="00F54474">
                <w:pPr>
                  <w:spacing w:after="0" w:line="240" w:lineRule="auto"/>
                  <w:jc w:val="right"/>
                  <w:rPr>
                    <w:rFonts w:ascii="Times New Roman" w:eastAsia="Times New Roman" w:hAnsi="Times New Roman"/>
                    <w:sz w:val="12"/>
                    <w:szCs w:val="12"/>
                    <w:lang w:eastAsia="es-CO"/>
                  </w:rPr>
                </w:pPr>
              </w:p>
            </w:tc>
            <w:tc>
              <w:tcPr>
                <w:tcW w:w="509" w:type="pct"/>
                <w:tcBorders>
                  <w:top w:val="single" w:sz="4" w:space="0" w:color="A6A6A6"/>
                  <w:left w:val="single" w:sz="4" w:space="0" w:color="A6A6A6"/>
                  <w:bottom w:val="single" w:sz="4" w:space="0" w:color="A6A6A6"/>
                  <w:right w:val="single" w:sz="4" w:space="0" w:color="A6A6A6"/>
                </w:tcBorders>
                <w:noWrap/>
                <w:vAlign w:val="center"/>
                <w:hideMark/>
              </w:tcPr>
              <w:p w14:paraId="1CBDCD9D" w14:textId="77777777" w:rsidR="00023673" w:rsidRPr="00F54474" w:rsidRDefault="00023673"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188.805.388 </w:t>
                </w:r>
              </w:p>
            </w:tc>
          </w:tr>
          <w:tr w:rsidR="0059176A" w:rsidRPr="00A55913" w14:paraId="7F72D020" w14:textId="77777777" w:rsidTr="002B1A6C">
            <w:trPr>
              <w:trHeight w:val="296"/>
            </w:trPr>
            <w:tc>
              <w:tcPr>
                <w:tcW w:w="590" w:type="pct"/>
                <w:tcBorders>
                  <w:top w:val="single" w:sz="4" w:space="0" w:color="A6A6A6"/>
                  <w:left w:val="single" w:sz="4" w:space="0" w:color="A6A6A6"/>
                  <w:bottom w:val="single" w:sz="4" w:space="0" w:color="A6A6A6"/>
                  <w:right w:val="single" w:sz="4" w:space="0" w:color="A6A6A6"/>
                </w:tcBorders>
                <w:noWrap/>
                <w:vAlign w:val="center"/>
                <w:hideMark/>
              </w:tcPr>
              <w:p w14:paraId="3A7C027D" w14:textId="7495DA0D" w:rsidR="005924DF" w:rsidRPr="00F54474" w:rsidRDefault="005924DF" w:rsidP="00F54474">
                <w:pPr>
                  <w:spacing w:after="0" w:line="240" w:lineRule="auto"/>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REVELACIONES DICIONALES</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427838EC" w14:textId="77777777" w:rsidR="005924DF" w:rsidRPr="00F54474" w:rsidRDefault="005924DF" w:rsidP="00F54474">
                <w:pPr>
                  <w:spacing w:after="0" w:line="240" w:lineRule="auto"/>
                  <w:rPr>
                    <w:rFonts w:ascii="Times New Roman" w:eastAsia="Times New Roman" w:hAnsi="Times New Roman"/>
                    <w:sz w:val="12"/>
                    <w:szCs w:val="12"/>
                    <w:lang w:eastAsia="es-CO"/>
                  </w:rPr>
                </w:pP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192C8277" w14:textId="77777777" w:rsidR="005924DF" w:rsidRPr="00F54474" w:rsidRDefault="005924DF" w:rsidP="00F54474">
                <w:pPr>
                  <w:spacing w:after="0" w:line="240" w:lineRule="auto"/>
                  <w:rPr>
                    <w:rFonts w:ascii="Times New Roman" w:eastAsia="Times New Roman" w:hAnsi="Times New Roman"/>
                    <w:sz w:val="12"/>
                    <w:szCs w:val="12"/>
                    <w:lang w:eastAsia="es-CO"/>
                  </w:rPr>
                </w:pPr>
              </w:p>
            </w:tc>
            <w:tc>
              <w:tcPr>
                <w:tcW w:w="516" w:type="pct"/>
                <w:tcBorders>
                  <w:top w:val="single" w:sz="4" w:space="0" w:color="A6A6A6"/>
                  <w:left w:val="single" w:sz="4" w:space="0" w:color="A6A6A6"/>
                  <w:bottom w:val="single" w:sz="4" w:space="0" w:color="A6A6A6"/>
                  <w:right w:val="single" w:sz="4" w:space="0" w:color="A6A6A6"/>
                </w:tcBorders>
                <w:noWrap/>
                <w:vAlign w:val="center"/>
                <w:hideMark/>
              </w:tcPr>
              <w:p w14:paraId="5B95C2B4" w14:textId="77777777" w:rsidR="005924DF" w:rsidRPr="00F54474" w:rsidRDefault="005924DF" w:rsidP="00F54474">
                <w:pPr>
                  <w:spacing w:after="0" w:line="240" w:lineRule="auto"/>
                  <w:rPr>
                    <w:rFonts w:ascii="Times New Roman" w:eastAsia="Times New Roman" w:hAnsi="Times New Roman"/>
                    <w:sz w:val="12"/>
                    <w:szCs w:val="12"/>
                    <w:lang w:eastAsia="es-CO"/>
                  </w:rPr>
                </w:pP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1B5B6B6E" w14:textId="77777777" w:rsidR="005924DF" w:rsidRPr="00F54474" w:rsidRDefault="005924DF" w:rsidP="00F54474">
                <w:pPr>
                  <w:spacing w:after="0" w:line="240" w:lineRule="auto"/>
                  <w:rPr>
                    <w:rFonts w:ascii="Times New Roman" w:eastAsia="Times New Roman" w:hAnsi="Times New Roman"/>
                    <w:sz w:val="12"/>
                    <w:szCs w:val="12"/>
                    <w:lang w:eastAsia="es-CO"/>
                  </w:rPr>
                </w:pP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1D350DFD" w14:textId="77777777" w:rsidR="005924DF" w:rsidRPr="00F54474" w:rsidRDefault="005924DF" w:rsidP="00F54474">
                <w:pPr>
                  <w:spacing w:after="0" w:line="240" w:lineRule="auto"/>
                  <w:rPr>
                    <w:rFonts w:ascii="Times New Roman" w:eastAsia="Times New Roman" w:hAnsi="Times New Roman"/>
                    <w:sz w:val="12"/>
                    <w:szCs w:val="12"/>
                    <w:lang w:eastAsia="es-CO"/>
                  </w:rPr>
                </w:pP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17667123" w14:textId="77777777" w:rsidR="005924DF" w:rsidRPr="00F54474" w:rsidRDefault="005924DF" w:rsidP="00F54474">
                <w:pPr>
                  <w:spacing w:after="0" w:line="240" w:lineRule="auto"/>
                  <w:rPr>
                    <w:rFonts w:ascii="Times New Roman" w:eastAsia="Times New Roman" w:hAnsi="Times New Roman"/>
                    <w:sz w:val="12"/>
                    <w:szCs w:val="12"/>
                    <w:lang w:eastAsia="es-CO"/>
                  </w:rPr>
                </w:pP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500F1777" w14:textId="77777777" w:rsidR="005924DF" w:rsidRPr="00F54474" w:rsidRDefault="005924DF" w:rsidP="00F54474">
                <w:pPr>
                  <w:spacing w:after="0" w:line="240" w:lineRule="auto"/>
                  <w:rPr>
                    <w:rFonts w:ascii="Times New Roman" w:eastAsia="Times New Roman" w:hAnsi="Times New Roman"/>
                    <w:sz w:val="12"/>
                    <w:szCs w:val="12"/>
                    <w:lang w:eastAsia="es-CO"/>
                  </w:rPr>
                </w:pP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6E042292" w14:textId="77777777" w:rsidR="005924DF" w:rsidRPr="00F54474" w:rsidRDefault="005924DF" w:rsidP="00F54474">
                <w:pPr>
                  <w:spacing w:after="0" w:line="240" w:lineRule="auto"/>
                  <w:rPr>
                    <w:rFonts w:ascii="Times New Roman" w:eastAsia="Times New Roman" w:hAnsi="Times New Roman"/>
                    <w:sz w:val="12"/>
                    <w:szCs w:val="12"/>
                    <w:lang w:eastAsia="es-CO"/>
                  </w:rPr>
                </w:pP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2FAF1BEC" w14:textId="77777777" w:rsidR="005924DF" w:rsidRPr="00F54474" w:rsidRDefault="005924DF" w:rsidP="00F54474">
                <w:pPr>
                  <w:spacing w:after="0" w:line="240" w:lineRule="auto"/>
                  <w:rPr>
                    <w:rFonts w:ascii="Times New Roman" w:eastAsia="Times New Roman" w:hAnsi="Times New Roman"/>
                    <w:sz w:val="12"/>
                    <w:szCs w:val="12"/>
                    <w:lang w:eastAsia="es-CO"/>
                  </w:rPr>
                </w:pPr>
              </w:p>
            </w:tc>
            <w:tc>
              <w:tcPr>
                <w:tcW w:w="509" w:type="pct"/>
                <w:tcBorders>
                  <w:top w:val="single" w:sz="4" w:space="0" w:color="A6A6A6"/>
                  <w:left w:val="single" w:sz="4" w:space="0" w:color="A6A6A6"/>
                  <w:bottom w:val="single" w:sz="4" w:space="0" w:color="A6A6A6"/>
                  <w:right w:val="single" w:sz="4" w:space="0" w:color="A6A6A6"/>
                </w:tcBorders>
                <w:noWrap/>
                <w:vAlign w:val="center"/>
                <w:hideMark/>
              </w:tcPr>
              <w:p w14:paraId="6BCF0153" w14:textId="77777777" w:rsidR="005924DF" w:rsidRPr="00F54474" w:rsidRDefault="005924DF" w:rsidP="00F54474">
                <w:pPr>
                  <w:spacing w:after="0" w:line="240" w:lineRule="auto"/>
                  <w:rPr>
                    <w:rFonts w:ascii="Times New Roman" w:eastAsia="Times New Roman" w:hAnsi="Times New Roman"/>
                    <w:sz w:val="12"/>
                    <w:szCs w:val="12"/>
                    <w:lang w:eastAsia="es-CO"/>
                  </w:rPr>
                </w:pPr>
              </w:p>
            </w:tc>
          </w:tr>
          <w:tr w:rsidR="0059176A" w:rsidRPr="00A55913" w14:paraId="750C51C5" w14:textId="77777777" w:rsidTr="002B1A6C">
            <w:trPr>
              <w:trHeight w:val="296"/>
            </w:trPr>
            <w:tc>
              <w:tcPr>
                <w:tcW w:w="590" w:type="pct"/>
                <w:tcBorders>
                  <w:top w:val="single" w:sz="4" w:space="0" w:color="A6A6A6"/>
                  <w:left w:val="single" w:sz="4" w:space="0" w:color="A6A6A6"/>
                  <w:bottom w:val="single" w:sz="4" w:space="0" w:color="A6A6A6"/>
                  <w:right w:val="nil"/>
                </w:tcBorders>
                <w:noWrap/>
                <w:vAlign w:val="center"/>
                <w:hideMark/>
              </w:tcPr>
              <w:p w14:paraId="16A6465B" w14:textId="77777777" w:rsidR="005924DF" w:rsidRPr="00F54474" w:rsidRDefault="005924DF" w:rsidP="00F54474">
                <w:pPr>
                  <w:spacing w:after="0" w:line="240" w:lineRule="auto"/>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lastRenderedPageBreak/>
                  <w:t>GARANTIA DE PASIVOS</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03E5CDD4" w14:textId="77777777" w:rsidR="005924DF" w:rsidRPr="00F54474" w:rsidRDefault="005924DF"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w:t>
                </w: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2215FD68" w14:textId="77777777" w:rsidR="005924DF" w:rsidRPr="00F54474" w:rsidRDefault="005924DF"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   </w:t>
                </w:r>
              </w:p>
            </w:tc>
            <w:tc>
              <w:tcPr>
                <w:tcW w:w="516" w:type="pct"/>
                <w:tcBorders>
                  <w:top w:val="single" w:sz="4" w:space="0" w:color="A6A6A6"/>
                  <w:left w:val="single" w:sz="4" w:space="0" w:color="A6A6A6"/>
                  <w:bottom w:val="single" w:sz="4" w:space="0" w:color="A6A6A6"/>
                  <w:right w:val="single" w:sz="4" w:space="0" w:color="A6A6A6"/>
                </w:tcBorders>
                <w:noWrap/>
                <w:vAlign w:val="center"/>
                <w:hideMark/>
              </w:tcPr>
              <w:p w14:paraId="40A74BE2" w14:textId="77777777" w:rsidR="005924DF" w:rsidRPr="00F54474" w:rsidRDefault="005924DF"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6D16F36B" w14:textId="77777777" w:rsidR="005924DF" w:rsidRPr="00F54474" w:rsidRDefault="005924DF"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   </w:t>
                </w: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2485334E" w14:textId="77777777" w:rsidR="005924DF" w:rsidRPr="00F54474" w:rsidRDefault="005924DF"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250DEC50" w14:textId="77777777" w:rsidR="005924DF" w:rsidRPr="00F54474" w:rsidRDefault="005924DF"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   </w:t>
                </w: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222F7CA6" w14:textId="77777777" w:rsidR="005924DF" w:rsidRPr="00F54474" w:rsidRDefault="005924DF"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   </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12CDC001" w14:textId="77777777" w:rsidR="005924DF" w:rsidRPr="00F54474" w:rsidRDefault="005924DF"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   </w:t>
                </w: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7A4B95B7" w14:textId="77777777" w:rsidR="005924DF" w:rsidRPr="00F54474" w:rsidRDefault="005924DF" w:rsidP="00F54474">
                <w:pPr>
                  <w:spacing w:after="0" w:line="240" w:lineRule="auto"/>
                  <w:jc w:val="right"/>
                  <w:rPr>
                    <w:rFonts w:ascii="Times New Roman" w:eastAsia="Times New Roman" w:hAnsi="Times New Roman"/>
                    <w:b/>
                    <w:bCs/>
                    <w:sz w:val="12"/>
                    <w:szCs w:val="12"/>
                    <w:lang w:eastAsia="es-CO"/>
                  </w:rPr>
                </w:pPr>
              </w:p>
            </w:tc>
            <w:tc>
              <w:tcPr>
                <w:tcW w:w="509" w:type="pct"/>
                <w:tcBorders>
                  <w:top w:val="single" w:sz="4" w:space="0" w:color="A6A6A6"/>
                  <w:left w:val="single" w:sz="4" w:space="0" w:color="A6A6A6"/>
                  <w:bottom w:val="single" w:sz="4" w:space="0" w:color="A6A6A6"/>
                  <w:right w:val="single" w:sz="4" w:space="0" w:color="A6A6A6"/>
                </w:tcBorders>
                <w:noWrap/>
                <w:vAlign w:val="center"/>
                <w:hideMark/>
              </w:tcPr>
              <w:p w14:paraId="40BB85E4" w14:textId="77777777" w:rsidR="005924DF" w:rsidRPr="00F54474" w:rsidRDefault="005924DF"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   </w:t>
                </w:r>
              </w:p>
            </w:tc>
          </w:tr>
          <w:tr w:rsidR="0059176A" w:rsidRPr="00A55913" w14:paraId="38986B68" w14:textId="77777777" w:rsidTr="002B1A6C">
            <w:trPr>
              <w:trHeight w:val="296"/>
            </w:trPr>
            <w:tc>
              <w:tcPr>
                <w:tcW w:w="590" w:type="pct"/>
                <w:tcBorders>
                  <w:top w:val="single" w:sz="4" w:space="0" w:color="A6A6A6"/>
                  <w:left w:val="single" w:sz="4" w:space="0" w:color="A6A6A6"/>
                  <w:bottom w:val="single" w:sz="4" w:space="0" w:color="A6A6A6"/>
                  <w:right w:val="nil"/>
                </w:tcBorders>
                <w:noWrap/>
                <w:vAlign w:val="center"/>
                <w:hideMark/>
              </w:tcPr>
              <w:p w14:paraId="330A8CF9" w14:textId="77777777" w:rsidR="005924DF" w:rsidRPr="00F54474" w:rsidRDefault="005924DF" w:rsidP="00F54474">
                <w:pPr>
                  <w:spacing w:after="0" w:line="240" w:lineRule="auto"/>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BAJA EN CUENTAS - EFECTO EN EL RESULTADO</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36CEF537" w14:textId="77777777" w:rsidR="005924DF" w:rsidRPr="00F54474" w:rsidRDefault="005924DF"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w:t>
                </w: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3CA200C5" w14:textId="77777777" w:rsidR="005924DF" w:rsidRPr="00F54474" w:rsidRDefault="005924DF"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-10.536.987 </w:t>
                </w:r>
              </w:p>
            </w:tc>
            <w:tc>
              <w:tcPr>
                <w:tcW w:w="516" w:type="pct"/>
                <w:tcBorders>
                  <w:top w:val="single" w:sz="4" w:space="0" w:color="A6A6A6"/>
                  <w:left w:val="single" w:sz="4" w:space="0" w:color="A6A6A6"/>
                  <w:bottom w:val="single" w:sz="4" w:space="0" w:color="A6A6A6"/>
                  <w:right w:val="single" w:sz="4" w:space="0" w:color="A6A6A6"/>
                </w:tcBorders>
                <w:noWrap/>
                <w:vAlign w:val="center"/>
                <w:hideMark/>
              </w:tcPr>
              <w:p w14:paraId="2E044B7A" w14:textId="77777777" w:rsidR="005924DF" w:rsidRPr="00F54474" w:rsidRDefault="005924DF"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75D04CDA" w14:textId="77777777" w:rsidR="005924DF" w:rsidRPr="00F54474" w:rsidRDefault="005924DF"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   </w:t>
                </w: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5321369D" w14:textId="77777777" w:rsidR="005924DF" w:rsidRPr="00F54474" w:rsidRDefault="005924DF"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3C3902C5" w14:textId="77777777" w:rsidR="005924DF" w:rsidRPr="00F54474" w:rsidRDefault="005924DF"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   </w:t>
                </w: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722C2252" w14:textId="77777777" w:rsidR="005924DF" w:rsidRPr="00F54474" w:rsidRDefault="005924DF"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   </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222D8D11" w14:textId="77777777" w:rsidR="005924DF" w:rsidRPr="00F54474" w:rsidRDefault="005924DF"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   </w:t>
                </w: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48898098" w14:textId="77777777" w:rsidR="005924DF" w:rsidRPr="00F54474" w:rsidRDefault="005924DF" w:rsidP="00F54474">
                <w:pPr>
                  <w:spacing w:after="0" w:line="240" w:lineRule="auto"/>
                  <w:jc w:val="right"/>
                  <w:rPr>
                    <w:rFonts w:ascii="Times New Roman" w:eastAsia="Times New Roman" w:hAnsi="Times New Roman"/>
                    <w:b/>
                    <w:bCs/>
                    <w:sz w:val="12"/>
                    <w:szCs w:val="12"/>
                    <w:lang w:eastAsia="es-CO"/>
                  </w:rPr>
                </w:pPr>
              </w:p>
            </w:tc>
            <w:tc>
              <w:tcPr>
                <w:tcW w:w="509" w:type="pct"/>
                <w:tcBorders>
                  <w:top w:val="single" w:sz="4" w:space="0" w:color="A6A6A6"/>
                  <w:left w:val="single" w:sz="4" w:space="0" w:color="A6A6A6"/>
                  <w:bottom w:val="single" w:sz="4" w:space="0" w:color="A6A6A6"/>
                  <w:right w:val="single" w:sz="4" w:space="0" w:color="A6A6A6"/>
                </w:tcBorders>
                <w:noWrap/>
                <w:vAlign w:val="center"/>
                <w:hideMark/>
              </w:tcPr>
              <w:p w14:paraId="5E1722A1" w14:textId="77777777" w:rsidR="005924DF" w:rsidRPr="00F54474" w:rsidRDefault="005924DF"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-10.536.987 </w:t>
                </w:r>
              </w:p>
            </w:tc>
          </w:tr>
          <w:tr w:rsidR="0059176A" w:rsidRPr="00A55913" w14:paraId="779F06EF" w14:textId="77777777" w:rsidTr="002B1A6C">
            <w:trPr>
              <w:trHeight w:val="296"/>
            </w:trPr>
            <w:tc>
              <w:tcPr>
                <w:tcW w:w="590" w:type="pct"/>
                <w:tcBorders>
                  <w:top w:val="single" w:sz="4" w:space="0" w:color="A6A6A6"/>
                  <w:left w:val="single" w:sz="4" w:space="0" w:color="A6A6A6"/>
                  <w:bottom w:val="single" w:sz="4" w:space="0" w:color="A6A6A6"/>
                  <w:right w:val="nil"/>
                </w:tcBorders>
                <w:noWrap/>
                <w:vAlign w:val="center"/>
                <w:hideMark/>
              </w:tcPr>
              <w:p w14:paraId="5C14FFB1" w14:textId="6B8B7739" w:rsidR="005924DF" w:rsidRPr="00F54474" w:rsidRDefault="005924DF" w:rsidP="005924DF">
                <w:pPr>
                  <w:spacing w:after="0" w:line="240" w:lineRule="auto"/>
                  <w:rPr>
                    <w:rFonts w:ascii="Times New Roman" w:eastAsia="Times New Roman" w:hAnsi="Times New Roman"/>
                    <w:sz w:val="12"/>
                    <w:szCs w:val="12"/>
                    <w:lang w:eastAsia="es-CO"/>
                  </w:rPr>
                </w:pPr>
                <w:r w:rsidRPr="00A55913">
                  <w:rPr>
                    <w:rFonts w:ascii="Times New Roman" w:eastAsia="Times New Roman" w:hAnsi="Times New Roman"/>
                    <w:sz w:val="12"/>
                    <w:szCs w:val="12"/>
                    <w:lang w:eastAsia="es-CO"/>
                  </w:rPr>
                  <w:t>(</w:t>
                </w:r>
                <w:r w:rsidRPr="00F54474">
                  <w:rPr>
                    <w:rFonts w:ascii="Times New Roman" w:eastAsia="Times New Roman" w:hAnsi="Times New Roman"/>
                    <w:sz w:val="12"/>
                    <w:szCs w:val="12"/>
                    <w:lang w:eastAsia="es-CO"/>
                  </w:rPr>
                  <w:t>-</w:t>
                </w:r>
                <w:r w:rsidRPr="00A55913">
                  <w:rPr>
                    <w:rFonts w:ascii="Times New Roman" w:eastAsia="Times New Roman" w:hAnsi="Times New Roman"/>
                    <w:sz w:val="12"/>
                    <w:szCs w:val="12"/>
                    <w:lang w:eastAsia="es-CO"/>
                  </w:rPr>
                  <w:t xml:space="preserve">) </w:t>
                </w:r>
                <w:r w:rsidRPr="00F54474">
                  <w:rPr>
                    <w:rFonts w:ascii="Times New Roman" w:eastAsia="Times New Roman" w:hAnsi="Times New Roman"/>
                    <w:sz w:val="12"/>
                    <w:szCs w:val="12"/>
                    <w:lang w:eastAsia="es-CO"/>
                  </w:rPr>
                  <w:t>Gastos (pérdida)</w:t>
                </w: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2CA210EE" w14:textId="77777777" w:rsidR="005924DF" w:rsidRPr="00F54474" w:rsidRDefault="005924DF"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w:t>
                </w: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607035F4" w14:textId="77777777" w:rsidR="005924DF" w:rsidRPr="00F54474" w:rsidRDefault="005924DF"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10.536.987 </w:t>
                </w:r>
              </w:p>
            </w:tc>
            <w:tc>
              <w:tcPr>
                <w:tcW w:w="516" w:type="pct"/>
                <w:tcBorders>
                  <w:top w:val="single" w:sz="4" w:space="0" w:color="A6A6A6"/>
                  <w:left w:val="single" w:sz="4" w:space="0" w:color="A6A6A6"/>
                  <w:bottom w:val="single" w:sz="4" w:space="0" w:color="A6A6A6"/>
                  <w:right w:val="single" w:sz="4" w:space="0" w:color="A6A6A6"/>
                </w:tcBorders>
                <w:noWrap/>
                <w:vAlign w:val="center"/>
                <w:hideMark/>
              </w:tcPr>
              <w:p w14:paraId="4BD2B405" w14:textId="77777777" w:rsidR="005924DF" w:rsidRPr="00F54474" w:rsidRDefault="005924DF"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6D51109C" w14:textId="77777777" w:rsidR="005924DF" w:rsidRPr="00F54474" w:rsidRDefault="005924DF"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59F726FB" w14:textId="77777777" w:rsidR="005924DF" w:rsidRPr="00F54474" w:rsidRDefault="005924DF"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369" w:type="pct"/>
                <w:tcBorders>
                  <w:top w:val="single" w:sz="4" w:space="0" w:color="A6A6A6"/>
                  <w:left w:val="single" w:sz="4" w:space="0" w:color="A6A6A6"/>
                  <w:bottom w:val="single" w:sz="4" w:space="0" w:color="A6A6A6"/>
                  <w:right w:val="single" w:sz="4" w:space="0" w:color="A6A6A6"/>
                </w:tcBorders>
                <w:noWrap/>
                <w:vAlign w:val="center"/>
                <w:hideMark/>
              </w:tcPr>
              <w:p w14:paraId="799F6431" w14:textId="77777777" w:rsidR="005924DF" w:rsidRPr="00F54474" w:rsidRDefault="005924DF" w:rsidP="00F54474">
                <w:pPr>
                  <w:spacing w:after="0" w:line="240" w:lineRule="auto"/>
                  <w:jc w:val="right"/>
                  <w:rPr>
                    <w:rFonts w:ascii="Times New Roman" w:eastAsia="Times New Roman" w:hAnsi="Times New Roman"/>
                    <w:sz w:val="12"/>
                    <w:szCs w:val="12"/>
                    <w:lang w:eastAsia="es-CO"/>
                  </w:rPr>
                </w:pPr>
                <w:r w:rsidRPr="00F54474">
                  <w:rPr>
                    <w:rFonts w:ascii="Times New Roman" w:eastAsia="Times New Roman" w:hAnsi="Times New Roman"/>
                    <w:sz w:val="12"/>
                    <w:szCs w:val="12"/>
                    <w:lang w:eastAsia="es-CO"/>
                  </w:rPr>
                  <w:t xml:space="preserve"> -   </w:t>
                </w:r>
              </w:p>
            </w:tc>
            <w:tc>
              <w:tcPr>
                <w:tcW w:w="441" w:type="pct"/>
                <w:tcBorders>
                  <w:top w:val="single" w:sz="4" w:space="0" w:color="A6A6A6"/>
                  <w:left w:val="single" w:sz="4" w:space="0" w:color="A6A6A6"/>
                  <w:bottom w:val="single" w:sz="4" w:space="0" w:color="A6A6A6"/>
                  <w:right w:val="single" w:sz="4" w:space="0" w:color="A6A6A6"/>
                </w:tcBorders>
                <w:noWrap/>
                <w:vAlign w:val="center"/>
                <w:hideMark/>
              </w:tcPr>
              <w:p w14:paraId="72D3930D" w14:textId="77777777" w:rsidR="005924DF" w:rsidRPr="00F54474" w:rsidRDefault="005924DF" w:rsidP="00F54474">
                <w:pPr>
                  <w:spacing w:after="0" w:line="240" w:lineRule="auto"/>
                  <w:jc w:val="right"/>
                  <w:rPr>
                    <w:rFonts w:ascii="Times New Roman" w:eastAsia="Times New Roman" w:hAnsi="Times New Roman"/>
                    <w:sz w:val="12"/>
                    <w:szCs w:val="12"/>
                    <w:lang w:eastAsia="es-CO"/>
                  </w:rPr>
                </w:pPr>
              </w:p>
            </w:tc>
            <w:tc>
              <w:tcPr>
                <w:tcW w:w="443" w:type="pct"/>
                <w:tcBorders>
                  <w:top w:val="single" w:sz="4" w:space="0" w:color="A6A6A6"/>
                  <w:left w:val="single" w:sz="4" w:space="0" w:color="A6A6A6"/>
                  <w:bottom w:val="single" w:sz="4" w:space="0" w:color="A6A6A6"/>
                  <w:right w:val="single" w:sz="4" w:space="0" w:color="A6A6A6"/>
                </w:tcBorders>
                <w:noWrap/>
                <w:vAlign w:val="center"/>
                <w:hideMark/>
              </w:tcPr>
              <w:p w14:paraId="39BD3F40" w14:textId="77777777" w:rsidR="005924DF" w:rsidRPr="00F54474" w:rsidRDefault="005924DF" w:rsidP="00F54474">
                <w:pPr>
                  <w:spacing w:after="0" w:line="240" w:lineRule="auto"/>
                  <w:rPr>
                    <w:rFonts w:ascii="Times New Roman" w:eastAsia="Times New Roman" w:hAnsi="Times New Roman"/>
                    <w:sz w:val="12"/>
                    <w:szCs w:val="12"/>
                    <w:lang w:eastAsia="es-CO"/>
                  </w:rPr>
                </w:pPr>
              </w:p>
            </w:tc>
            <w:tc>
              <w:tcPr>
                <w:tcW w:w="440" w:type="pct"/>
                <w:tcBorders>
                  <w:top w:val="single" w:sz="4" w:space="0" w:color="A6A6A6"/>
                  <w:left w:val="single" w:sz="4" w:space="0" w:color="A6A6A6"/>
                  <w:bottom w:val="single" w:sz="4" w:space="0" w:color="A6A6A6"/>
                  <w:right w:val="single" w:sz="4" w:space="0" w:color="A6A6A6"/>
                </w:tcBorders>
                <w:noWrap/>
                <w:vAlign w:val="center"/>
                <w:hideMark/>
              </w:tcPr>
              <w:p w14:paraId="2C3058E3" w14:textId="77777777" w:rsidR="005924DF" w:rsidRPr="00F54474" w:rsidRDefault="005924DF" w:rsidP="00F54474">
                <w:pPr>
                  <w:spacing w:after="0" w:line="240" w:lineRule="auto"/>
                  <w:rPr>
                    <w:rFonts w:ascii="Times New Roman" w:eastAsia="Times New Roman" w:hAnsi="Times New Roman"/>
                    <w:sz w:val="12"/>
                    <w:szCs w:val="12"/>
                    <w:lang w:eastAsia="es-CO"/>
                  </w:rPr>
                </w:pPr>
              </w:p>
            </w:tc>
            <w:tc>
              <w:tcPr>
                <w:tcW w:w="509" w:type="pct"/>
                <w:tcBorders>
                  <w:top w:val="single" w:sz="4" w:space="0" w:color="A6A6A6"/>
                  <w:left w:val="single" w:sz="4" w:space="0" w:color="A6A6A6"/>
                  <w:bottom w:val="single" w:sz="4" w:space="0" w:color="A6A6A6"/>
                  <w:right w:val="single" w:sz="4" w:space="0" w:color="A6A6A6"/>
                </w:tcBorders>
                <w:noWrap/>
                <w:vAlign w:val="center"/>
                <w:hideMark/>
              </w:tcPr>
              <w:p w14:paraId="55CEBFC0" w14:textId="77777777" w:rsidR="005924DF" w:rsidRPr="00F54474" w:rsidRDefault="005924DF" w:rsidP="00F54474">
                <w:pPr>
                  <w:spacing w:after="0" w:line="240" w:lineRule="auto"/>
                  <w:jc w:val="right"/>
                  <w:rPr>
                    <w:rFonts w:ascii="Times New Roman" w:eastAsia="Times New Roman" w:hAnsi="Times New Roman"/>
                    <w:b/>
                    <w:bCs/>
                    <w:sz w:val="12"/>
                    <w:szCs w:val="12"/>
                    <w:lang w:eastAsia="es-CO"/>
                  </w:rPr>
                </w:pPr>
                <w:r w:rsidRPr="00F54474">
                  <w:rPr>
                    <w:rFonts w:ascii="Times New Roman" w:eastAsia="Times New Roman" w:hAnsi="Times New Roman"/>
                    <w:b/>
                    <w:bCs/>
                    <w:sz w:val="12"/>
                    <w:szCs w:val="12"/>
                    <w:lang w:eastAsia="es-CO"/>
                  </w:rPr>
                  <w:t xml:space="preserve"> 10.536.987 </w:t>
                </w:r>
              </w:p>
            </w:tc>
          </w:tr>
        </w:tbl>
        <w:p w14:paraId="3691B331" w14:textId="65E7BD9A" w:rsidR="009B59C2" w:rsidRPr="00931DCE" w:rsidRDefault="00AD2026" w:rsidP="004A000E">
          <w:pPr>
            <w:pStyle w:val="Textoindependiente"/>
            <w:jc w:val="both"/>
            <w:rPr>
              <w:bCs/>
              <w:sz w:val="14"/>
              <w:szCs w:val="14"/>
            </w:rPr>
          </w:pPr>
          <w:r w:rsidRPr="00931DCE">
            <w:rPr>
              <w:bCs/>
              <w:sz w:val="14"/>
              <w:szCs w:val="14"/>
            </w:rPr>
            <w:t>Cifras expresadas en pesos</w:t>
          </w:r>
        </w:p>
        <w:p w14:paraId="06AF01F2" w14:textId="65A48BA9" w:rsidR="00F246B8" w:rsidRPr="00931DCE" w:rsidRDefault="00F246B8" w:rsidP="004A000E">
          <w:pPr>
            <w:pStyle w:val="Textoindependiente"/>
            <w:jc w:val="both"/>
            <w:rPr>
              <w:bCs/>
            </w:rPr>
          </w:pPr>
        </w:p>
        <w:p w14:paraId="0FC4D714" w14:textId="004020B8" w:rsidR="00FD76F6" w:rsidRPr="00931DCE" w:rsidRDefault="00ED4E7B" w:rsidP="004A000E">
          <w:pPr>
            <w:pStyle w:val="Textoindependiente"/>
            <w:jc w:val="both"/>
            <w:rPr>
              <w:bCs/>
            </w:rPr>
          </w:pPr>
          <w:r w:rsidRPr="00931DCE">
            <w:rPr>
              <w:bCs/>
            </w:rPr>
            <w:t>Para la vigencia 202</w:t>
          </w:r>
          <w:r w:rsidR="002516A4">
            <w:rPr>
              <w:bCs/>
            </w:rPr>
            <w:t>3</w:t>
          </w:r>
          <w:r w:rsidRPr="00931DCE">
            <w:rPr>
              <w:bCs/>
            </w:rPr>
            <w:t xml:space="preserve">, la Agencia </w:t>
          </w:r>
          <w:r w:rsidR="00CA04F5" w:rsidRPr="00931DCE">
            <w:rPr>
              <w:bCs/>
            </w:rPr>
            <w:t>adquirió elementos de propiedad planta y equipo por valor de $</w:t>
          </w:r>
          <w:r w:rsidR="0041540E" w:rsidRPr="0041540E">
            <w:rPr>
              <w:bCs/>
            </w:rPr>
            <w:t>21.394.068</w:t>
          </w:r>
          <w:r w:rsidR="00CA04F5" w:rsidRPr="00931DCE">
            <w:rPr>
              <w:bCs/>
            </w:rPr>
            <w:t xml:space="preserve">, los cuales </w:t>
          </w:r>
          <w:r w:rsidR="00FD76F6" w:rsidRPr="00931DCE">
            <w:rPr>
              <w:bCs/>
            </w:rPr>
            <w:t>corresponden a:</w:t>
          </w:r>
        </w:p>
        <w:p w14:paraId="64458487" w14:textId="19CE6CA9" w:rsidR="00FD76F6" w:rsidRPr="00931DCE" w:rsidRDefault="00FD76F6" w:rsidP="004A000E">
          <w:pPr>
            <w:pStyle w:val="Textoindependiente"/>
            <w:jc w:val="both"/>
            <w:rPr>
              <w:bCs/>
            </w:rPr>
          </w:pPr>
        </w:p>
        <w:p w14:paraId="437F00D9" w14:textId="3C0EC5DE" w:rsidR="00FD76F6" w:rsidRPr="00931DCE" w:rsidRDefault="00FD76F6" w:rsidP="00E60BAB">
          <w:pPr>
            <w:pStyle w:val="Textoindependiente"/>
            <w:numPr>
              <w:ilvl w:val="0"/>
              <w:numId w:val="34"/>
            </w:numPr>
            <w:jc w:val="both"/>
            <w:rPr>
              <w:bCs/>
            </w:rPr>
          </w:pPr>
          <w:r w:rsidRPr="00931DCE">
            <w:rPr>
              <w:bCs/>
            </w:rPr>
            <w:t>Muebles y enseres por valor de $</w:t>
          </w:r>
          <w:r w:rsidR="00CF5320" w:rsidRPr="00CF5320">
            <w:rPr>
              <w:bCs/>
            </w:rPr>
            <w:t xml:space="preserve"> 8.899.068</w:t>
          </w:r>
          <w:r w:rsidR="009D3757" w:rsidRPr="006E21C3">
            <w:t>.</w:t>
          </w:r>
        </w:p>
        <w:p w14:paraId="2AB09BB5" w14:textId="5F4E45A6" w:rsidR="00C2710A" w:rsidRPr="00931DCE" w:rsidRDefault="00FD76F6" w:rsidP="00E60BAB">
          <w:pPr>
            <w:pStyle w:val="Textoindependiente"/>
            <w:numPr>
              <w:ilvl w:val="0"/>
              <w:numId w:val="34"/>
            </w:numPr>
            <w:jc w:val="both"/>
            <w:rPr>
              <w:bCs/>
            </w:rPr>
          </w:pPr>
          <w:r w:rsidRPr="00931DCE">
            <w:rPr>
              <w:bCs/>
            </w:rPr>
            <w:t>Equipos de comunicación por valor de $</w:t>
          </w:r>
          <w:r w:rsidR="009B59A9">
            <w:rPr>
              <w:bCs/>
            </w:rPr>
            <w:t>12.495.000</w:t>
          </w:r>
        </w:p>
        <w:p w14:paraId="42CAADF1" w14:textId="77777777" w:rsidR="00CB16A9" w:rsidRDefault="00CB16A9" w:rsidP="00CB16A9">
          <w:pPr>
            <w:pStyle w:val="Textoindependiente"/>
            <w:ind w:left="720"/>
            <w:jc w:val="both"/>
            <w:rPr>
              <w:bCs/>
            </w:rPr>
          </w:pPr>
        </w:p>
        <w:p w14:paraId="585A6EE5" w14:textId="089DC83F" w:rsidR="009F7F94" w:rsidRDefault="00CB16A9" w:rsidP="00E1599C">
          <w:pPr>
            <w:pStyle w:val="Textoindependiente"/>
            <w:jc w:val="both"/>
          </w:pPr>
          <w:r w:rsidRPr="00CB16A9">
            <w:rPr>
              <w:bCs/>
            </w:rPr>
            <w:t>A continuación, se detalla las adquisiciones efectuadas:</w:t>
          </w:r>
        </w:p>
        <w:p w14:paraId="66F928CD" w14:textId="77777777" w:rsidR="00986DF2" w:rsidRDefault="00986DF2" w:rsidP="00E1599C">
          <w:pPr>
            <w:pStyle w:val="Textoindependiente"/>
            <w:jc w:val="both"/>
          </w:pP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4A0" w:firstRow="1" w:lastRow="0" w:firstColumn="1" w:lastColumn="0" w:noHBand="0" w:noVBand="1"/>
          </w:tblPr>
          <w:tblGrid>
            <w:gridCol w:w="869"/>
            <w:gridCol w:w="1092"/>
            <w:gridCol w:w="994"/>
            <w:gridCol w:w="2427"/>
            <w:gridCol w:w="1586"/>
            <w:gridCol w:w="781"/>
            <w:gridCol w:w="1220"/>
          </w:tblGrid>
          <w:tr w:rsidR="009F7F94" w:rsidRPr="00A42E4E" w14:paraId="0FF2E4C7" w14:textId="77777777" w:rsidTr="00D7390A">
            <w:trPr>
              <w:trHeight w:val="540"/>
            </w:trPr>
            <w:tc>
              <w:tcPr>
                <w:tcW w:w="484" w:type="pct"/>
                <w:shd w:val="clear" w:color="auto" w:fill="auto"/>
                <w:noWrap/>
                <w:vAlign w:val="center"/>
                <w:hideMark/>
              </w:tcPr>
              <w:p w14:paraId="4168DC53" w14:textId="77777777" w:rsidR="009F7F94" w:rsidRPr="00E1599C" w:rsidRDefault="009F7F94" w:rsidP="009F7F94">
                <w:pPr>
                  <w:spacing w:after="0" w:line="240" w:lineRule="auto"/>
                  <w:jc w:val="center"/>
                  <w:rPr>
                    <w:rFonts w:ascii="Times New Roman" w:eastAsia="Times New Roman" w:hAnsi="Times New Roman"/>
                    <w:b/>
                    <w:color w:val="000000"/>
                    <w:sz w:val="16"/>
                    <w:szCs w:val="16"/>
                    <w:lang w:eastAsia="es-CO"/>
                  </w:rPr>
                </w:pPr>
                <w:r w:rsidRPr="00E1599C">
                  <w:rPr>
                    <w:rFonts w:ascii="Times New Roman" w:eastAsia="Times New Roman" w:hAnsi="Times New Roman"/>
                    <w:b/>
                    <w:color w:val="000000"/>
                    <w:sz w:val="16"/>
                    <w:szCs w:val="16"/>
                    <w:lang w:eastAsia="es-CO"/>
                  </w:rPr>
                  <w:t>Fecha</w:t>
                </w:r>
              </w:p>
            </w:tc>
            <w:tc>
              <w:tcPr>
                <w:tcW w:w="609" w:type="pct"/>
                <w:shd w:val="clear" w:color="auto" w:fill="auto"/>
                <w:noWrap/>
                <w:vAlign w:val="center"/>
                <w:hideMark/>
              </w:tcPr>
              <w:p w14:paraId="6ED94533" w14:textId="77777777" w:rsidR="009F7F94" w:rsidRPr="00E1599C" w:rsidRDefault="009F7F94" w:rsidP="009F7F94">
                <w:pPr>
                  <w:spacing w:after="0" w:line="240" w:lineRule="auto"/>
                  <w:jc w:val="center"/>
                  <w:rPr>
                    <w:rFonts w:ascii="Times New Roman" w:eastAsia="Times New Roman" w:hAnsi="Times New Roman"/>
                    <w:b/>
                    <w:color w:val="000000"/>
                    <w:sz w:val="16"/>
                    <w:szCs w:val="16"/>
                    <w:lang w:eastAsia="es-CO"/>
                  </w:rPr>
                </w:pPr>
                <w:r w:rsidRPr="00E1599C">
                  <w:rPr>
                    <w:rFonts w:ascii="Times New Roman" w:eastAsia="Times New Roman" w:hAnsi="Times New Roman"/>
                    <w:b/>
                    <w:color w:val="000000"/>
                    <w:sz w:val="16"/>
                    <w:szCs w:val="16"/>
                    <w:lang w:eastAsia="es-CO"/>
                  </w:rPr>
                  <w:t>Comprobante</w:t>
                </w:r>
              </w:p>
            </w:tc>
            <w:tc>
              <w:tcPr>
                <w:tcW w:w="554" w:type="pct"/>
                <w:shd w:val="clear" w:color="auto" w:fill="auto"/>
                <w:vAlign w:val="center"/>
                <w:hideMark/>
              </w:tcPr>
              <w:p w14:paraId="2040A8B2" w14:textId="5ECB4C4C" w:rsidR="009F7F94" w:rsidRPr="00E1599C" w:rsidRDefault="009F7F94" w:rsidP="009F7F94">
                <w:pPr>
                  <w:spacing w:after="0" w:line="240" w:lineRule="auto"/>
                  <w:jc w:val="center"/>
                  <w:rPr>
                    <w:rFonts w:ascii="Times New Roman" w:eastAsia="Times New Roman" w:hAnsi="Times New Roman"/>
                    <w:b/>
                    <w:color w:val="000000"/>
                    <w:sz w:val="16"/>
                    <w:szCs w:val="16"/>
                    <w:lang w:eastAsia="es-CO"/>
                  </w:rPr>
                </w:pPr>
                <w:r w:rsidRPr="00E1599C">
                  <w:rPr>
                    <w:rFonts w:ascii="Times New Roman" w:eastAsia="Times New Roman" w:hAnsi="Times New Roman"/>
                    <w:b/>
                    <w:color w:val="000000"/>
                    <w:sz w:val="16"/>
                    <w:szCs w:val="16"/>
                    <w:lang w:eastAsia="es-CO"/>
                  </w:rPr>
                  <w:t>Tipo movimiento</w:t>
                </w:r>
              </w:p>
            </w:tc>
            <w:tc>
              <w:tcPr>
                <w:tcW w:w="1353" w:type="pct"/>
                <w:shd w:val="clear" w:color="auto" w:fill="auto"/>
                <w:noWrap/>
                <w:vAlign w:val="center"/>
                <w:hideMark/>
              </w:tcPr>
              <w:p w14:paraId="6B946F2E" w14:textId="77777777" w:rsidR="009F7F94" w:rsidRPr="00E1599C" w:rsidRDefault="009F7F94" w:rsidP="009F7F94">
                <w:pPr>
                  <w:spacing w:after="0" w:line="240" w:lineRule="auto"/>
                  <w:jc w:val="center"/>
                  <w:rPr>
                    <w:rFonts w:ascii="Times New Roman" w:eastAsia="Times New Roman" w:hAnsi="Times New Roman"/>
                    <w:b/>
                    <w:color w:val="000000"/>
                    <w:sz w:val="16"/>
                    <w:szCs w:val="16"/>
                    <w:lang w:eastAsia="es-CO"/>
                  </w:rPr>
                </w:pPr>
                <w:r w:rsidRPr="00E1599C">
                  <w:rPr>
                    <w:rFonts w:ascii="Times New Roman" w:eastAsia="Times New Roman" w:hAnsi="Times New Roman"/>
                    <w:b/>
                    <w:color w:val="000000"/>
                    <w:sz w:val="16"/>
                    <w:szCs w:val="16"/>
                    <w:lang w:eastAsia="es-CO"/>
                  </w:rPr>
                  <w:t>Elemento</w:t>
                </w:r>
              </w:p>
            </w:tc>
            <w:tc>
              <w:tcPr>
                <w:tcW w:w="884" w:type="pct"/>
                <w:shd w:val="clear" w:color="auto" w:fill="auto"/>
                <w:noWrap/>
                <w:vAlign w:val="center"/>
                <w:hideMark/>
              </w:tcPr>
              <w:p w14:paraId="387A3298" w14:textId="77777777" w:rsidR="009F7F94" w:rsidRPr="00E1599C" w:rsidRDefault="009F7F94" w:rsidP="009F7F94">
                <w:pPr>
                  <w:spacing w:after="0" w:line="240" w:lineRule="auto"/>
                  <w:jc w:val="center"/>
                  <w:rPr>
                    <w:rFonts w:ascii="Times New Roman" w:eastAsia="Times New Roman" w:hAnsi="Times New Roman"/>
                    <w:b/>
                    <w:color w:val="000000"/>
                    <w:sz w:val="16"/>
                    <w:szCs w:val="16"/>
                    <w:lang w:eastAsia="es-CO"/>
                  </w:rPr>
                </w:pPr>
                <w:r w:rsidRPr="00E1599C">
                  <w:rPr>
                    <w:rFonts w:ascii="Times New Roman" w:eastAsia="Times New Roman" w:hAnsi="Times New Roman"/>
                    <w:b/>
                    <w:color w:val="000000"/>
                    <w:sz w:val="16"/>
                    <w:szCs w:val="16"/>
                    <w:lang w:eastAsia="es-CO"/>
                  </w:rPr>
                  <w:t>PROVEDOR</w:t>
                </w:r>
              </w:p>
            </w:tc>
            <w:tc>
              <w:tcPr>
                <w:tcW w:w="435" w:type="pct"/>
                <w:shd w:val="clear" w:color="auto" w:fill="auto"/>
                <w:noWrap/>
                <w:vAlign w:val="center"/>
                <w:hideMark/>
              </w:tcPr>
              <w:p w14:paraId="42F3C6DD" w14:textId="77777777" w:rsidR="009F7F94" w:rsidRPr="00E1599C" w:rsidRDefault="009F7F94" w:rsidP="009F7F94">
                <w:pPr>
                  <w:spacing w:after="0" w:line="240" w:lineRule="auto"/>
                  <w:jc w:val="center"/>
                  <w:rPr>
                    <w:rFonts w:ascii="Times New Roman" w:eastAsia="Times New Roman" w:hAnsi="Times New Roman"/>
                    <w:b/>
                    <w:color w:val="000000"/>
                    <w:sz w:val="16"/>
                    <w:szCs w:val="16"/>
                    <w:lang w:eastAsia="es-CO"/>
                  </w:rPr>
                </w:pPr>
                <w:r w:rsidRPr="00E1599C">
                  <w:rPr>
                    <w:rFonts w:ascii="Times New Roman" w:eastAsia="Times New Roman" w:hAnsi="Times New Roman"/>
                    <w:b/>
                    <w:color w:val="000000"/>
                    <w:sz w:val="16"/>
                    <w:szCs w:val="16"/>
                    <w:lang w:eastAsia="es-CO"/>
                  </w:rPr>
                  <w:t>Cantidad</w:t>
                </w:r>
              </w:p>
            </w:tc>
            <w:tc>
              <w:tcPr>
                <w:tcW w:w="680" w:type="pct"/>
                <w:shd w:val="clear" w:color="auto" w:fill="auto"/>
                <w:noWrap/>
                <w:vAlign w:val="center"/>
                <w:hideMark/>
              </w:tcPr>
              <w:p w14:paraId="1D20D75E" w14:textId="4638F0FD" w:rsidR="009F7F94" w:rsidRPr="00E1599C" w:rsidRDefault="009F7F94" w:rsidP="009F7F94">
                <w:pPr>
                  <w:spacing w:after="0" w:line="240" w:lineRule="auto"/>
                  <w:jc w:val="center"/>
                  <w:rPr>
                    <w:rFonts w:ascii="Times New Roman" w:eastAsia="Times New Roman" w:hAnsi="Times New Roman"/>
                    <w:b/>
                    <w:color w:val="000000"/>
                    <w:sz w:val="16"/>
                    <w:szCs w:val="16"/>
                    <w:lang w:eastAsia="es-CO"/>
                  </w:rPr>
                </w:pPr>
                <w:r w:rsidRPr="00E1599C">
                  <w:rPr>
                    <w:rFonts w:ascii="Times New Roman" w:eastAsia="Times New Roman" w:hAnsi="Times New Roman"/>
                    <w:b/>
                    <w:color w:val="000000"/>
                    <w:sz w:val="16"/>
                    <w:szCs w:val="16"/>
                    <w:lang w:eastAsia="es-CO"/>
                  </w:rPr>
                  <w:t>Valor Total</w:t>
                </w:r>
              </w:p>
            </w:tc>
          </w:tr>
          <w:tr w:rsidR="009F7F94" w:rsidRPr="00A42E4E" w14:paraId="3B739B8D" w14:textId="77777777" w:rsidTr="00E1599C">
            <w:trPr>
              <w:trHeight w:val="480"/>
            </w:trPr>
            <w:tc>
              <w:tcPr>
                <w:tcW w:w="484" w:type="pct"/>
                <w:shd w:val="clear" w:color="auto" w:fill="auto"/>
                <w:noWrap/>
                <w:vAlign w:val="center"/>
                <w:hideMark/>
              </w:tcPr>
              <w:p w14:paraId="743F5F89" w14:textId="77777777" w:rsidR="009F7F94" w:rsidRPr="00E1599C" w:rsidRDefault="009F7F94" w:rsidP="00E1599C">
                <w:pPr>
                  <w:spacing w:after="0" w:line="240" w:lineRule="auto"/>
                  <w:jc w:val="center"/>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26/06/2023</w:t>
                </w:r>
              </w:p>
            </w:tc>
            <w:tc>
              <w:tcPr>
                <w:tcW w:w="609" w:type="pct"/>
                <w:shd w:val="clear" w:color="auto" w:fill="auto"/>
                <w:noWrap/>
                <w:vAlign w:val="center"/>
                <w:hideMark/>
              </w:tcPr>
              <w:p w14:paraId="3E410248" w14:textId="77777777" w:rsidR="009F7F94" w:rsidRPr="00E1599C" w:rsidRDefault="009F7F94" w:rsidP="009F7F94">
                <w:pPr>
                  <w:spacing w:after="0" w:line="240" w:lineRule="auto"/>
                  <w:jc w:val="center"/>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01-00914</w:t>
                </w:r>
              </w:p>
            </w:tc>
            <w:tc>
              <w:tcPr>
                <w:tcW w:w="554" w:type="pct"/>
                <w:shd w:val="clear" w:color="auto" w:fill="auto"/>
                <w:vAlign w:val="center"/>
                <w:hideMark/>
              </w:tcPr>
              <w:p w14:paraId="5F015334" w14:textId="77777777" w:rsidR="009F7F94" w:rsidRPr="00E1599C" w:rsidRDefault="009F7F94" w:rsidP="00D7390A">
                <w:pPr>
                  <w:spacing w:after="0" w:line="240" w:lineRule="auto"/>
                  <w:jc w:val="both"/>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ENTRADAS</w:t>
                </w:r>
                <w:r w:rsidRPr="00E1599C">
                  <w:rPr>
                    <w:rFonts w:ascii="Times New Roman" w:eastAsia="Times New Roman" w:hAnsi="Times New Roman"/>
                    <w:color w:val="000000"/>
                    <w:sz w:val="16"/>
                    <w:szCs w:val="16"/>
                    <w:lang w:eastAsia="es-CO"/>
                  </w:rPr>
                  <w:br/>
                  <w:t>COMPRAS</w:t>
                </w:r>
              </w:p>
            </w:tc>
            <w:tc>
              <w:tcPr>
                <w:tcW w:w="1353" w:type="pct"/>
                <w:shd w:val="clear" w:color="auto" w:fill="auto"/>
                <w:vAlign w:val="center"/>
                <w:hideMark/>
              </w:tcPr>
              <w:p w14:paraId="50E1E3EE" w14:textId="11820669" w:rsidR="009F7F94" w:rsidRPr="00E1599C" w:rsidRDefault="009F7F94" w:rsidP="00D7390A">
                <w:pPr>
                  <w:spacing w:after="0" w:line="240" w:lineRule="auto"/>
                  <w:jc w:val="both"/>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MESA PING PONG PROFESIONAL MESA DE PING PONG PROFESIONAL</w:t>
                </w:r>
              </w:p>
            </w:tc>
            <w:tc>
              <w:tcPr>
                <w:tcW w:w="884" w:type="pct"/>
                <w:shd w:val="clear" w:color="auto" w:fill="auto"/>
                <w:vAlign w:val="center"/>
                <w:hideMark/>
              </w:tcPr>
              <w:p w14:paraId="04F20CD6" w14:textId="77777777" w:rsidR="009F7F94" w:rsidRPr="00E1599C" w:rsidRDefault="009F7F94" w:rsidP="00D7390A">
                <w:pPr>
                  <w:spacing w:after="0" w:line="240" w:lineRule="auto"/>
                  <w:jc w:val="both"/>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INVERSIONES CUATRO CAMINOS SAS</w:t>
                </w:r>
              </w:p>
            </w:tc>
            <w:tc>
              <w:tcPr>
                <w:tcW w:w="435" w:type="pct"/>
                <w:shd w:val="clear" w:color="auto" w:fill="auto"/>
                <w:vAlign w:val="center"/>
                <w:hideMark/>
              </w:tcPr>
              <w:p w14:paraId="54E32C62" w14:textId="77777777" w:rsidR="009F7F94" w:rsidRPr="00E1599C" w:rsidRDefault="009F7F94" w:rsidP="009F7F94">
                <w:pPr>
                  <w:spacing w:after="0" w:line="240" w:lineRule="auto"/>
                  <w:jc w:val="center"/>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1</w:t>
                </w:r>
              </w:p>
            </w:tc>
            <w:tc>
              <w:tcPr>
                <w:tcW w:w="680" w:type="pct"/>
                <w:shd w:val="clear" w:color="auto" w:fill="auto"/>
                <w:vAlign w:val="center"/>
                <w:hideMark/>
              </w:tcPr>
              <w:p w14:paraId="2A2A7FBF" w14:textId="7581FE47" w:rsidR="009F7F94" w:rsidRPr="00E1599C" w:rsidRDefault="009F7F94" w:rsidP="00E1599C">
                <w:pPr>
                  <w:spacing w:after="0" w:line="240" w:lineRule="auto"/>
                  <w:jc w:val="center"/>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$ 2.699.068</w:t>
                </w:r>
              </w:p>
            </w:tc>
          </w:tr>
          <w:tr w:rsidR="009F7F94" w:rsidRPr="00A42E4E" w14:paraId="5876E0CB" w14:textId="77777777" w:rsidTr="00E1599C">
            <w:trPr>
              <w:trHeight w:val="480"/>
            </w:trPr>
            <w:tc>
              <w:tcPr>
                <w:tcW w:w="484" w:type="pct"/>
                <w:shd w:val="clear" w:color="auto" w:fill="auto"/>
                <w:noWrap/>
                <w:vAlign w:val="center"/>
                <w:hideMark/>
              </w:tcPr>
              <w:p w14:paraId="5D234FE8" w14:textId="77777777" w:rsidR="009F7F94" w:rsidRPr="00E1599C" w:rsidRDefault="009F7F94" w:rsidP="00E1599C">
                <w:pPr>
                  <w:spacing w:after="0" w:line="240" w:lineRule="auto"/>
                  <w:jc w:val="center"/>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18/09/2023</w:t>
                </w:r>
              </w:p>
            </w:tc>
            <w:tc>
              <w:tcPr>
                <w:tcW w:w="609" w:type="pct"/>
                <w:shd w:val="clear" w:color="auto" w:fill="auto"/>
                <w:noWrap/>
                <w:vAlign w:val="center"/>
                <w:hideMark/>
              </w:tcPr>
              <w:p w14:paraId="2EBD4F66" w14:textId="77777777" w:rsidR="009F7F94" w:rsidRPr="00E1599C" w:rsidRDefault="009F7F94" w:rsidP="009F7F94">
                <w:pPr>
                  <w:spacing w:after="0" w:line="240" w:lineRule="auto"/>
                  <w:jc w:val="center"/>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01-00945</w:t>
                </w:r>
              </w:p>
            </w:tc>
            <w:tc>
              <w:tcPr>
                <w:tcW w:w="554" w:type="pct"/>
                <w:shd w:val="clear" w:color="auto" w:fill="auto"/>
                <w:vAlign w:val="center"/>
                <w:hideMark/>
              </w:tcPr>
              <w:p w14:paraId="2F9BC6E9" w14:textId="77777777" w:rsidR="009F7F94" w:rsidRPr="00E1599C" w:rsidRDefault="009F7F94" w:rsidP="00D7390A">
                <w:pPr>
                  <w:spacing w:after="0" w:line="240" w:lineRule="auto"/>
                  <w:jc w:val="both"/>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ENTRADAS</w:t>
                </w:r>
                <w:r w:rsidRPr="00E1599C">
                  <w:rPr>
                    <w:rFonts w:ascii="Times New Roman" w:eastAsia="Times New Roman" w:hAnsi="Times New Roman"/>
                    <w:color w:val="000000"/>
                    <w:sz w:val="16"/>
                    <w:szCs w:val="16"/>
                    <w:lang w:eastAsia="es-CO"/>
                  </w:rPr>
                  <w:br/>
                  <w:t>COMPRAS</w:t>
                </w:r>
              </w:p>
            </w:tc>
            <w:tc>
              <w:tcPr>
                <w:tcW w:w="1353" w:type="pct"/>
                <w:shd w:val="clear" w:color="auto" w:fill="auto"/>
                <w:vAlign w:val="center"/>
                <w:hideMark/>
              </w:tcPr>
              <w:p w14:paraId="062A9DBB" w14:textId="77777777" w:rsidR="009F7F94" w:rsidRPr="00E1599C" w:rsidRDefault="009F7F94" w:rsidP="00D7390A">
                <w:pPr>
                  <w:spacing w:after="0" w:line="240" w:lineRule="auto"/>
                  <w:jc w:val="both"/>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ESTABILIZADOR DE CAMARA DJI RONIN RS 3 PRO</w:t>
                </w:r>
              </w:p>
            </w:tc>
            <w:tc>
              <w:tcPr>
                <w:tcW w:w="884" w:type="pct"/>
                <w:shd w:val="clear" w:color="auto" w:fill="auto"/>
                <w:vAlign w:val="center"/>
                <w:hideMark/>
              </w:tcPr>
              <w:p w14:paraId="2BF1D48B" w14:textId="77777777" w:rsidR="009F7F94" w:rsidRPr="00E1599C" w:rsidRDefault="009F7F94" w:rsidP="00D7390A">
                <w:pPr>
                  <w:spacing w:after="0" w:line="240" w:lineRule="auto"/>
                  <w:jc w:val="both"/>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BRAYAN ALBERTO CAMACHO OYOLA</w:t>
                </w:r>
              </w:p>
            </w:tc>
            <w:tc>
              <w:tcPr>
                <w:tcW w:w="435" w:type="pct"/>
                <w:shd w:val="clear" w:color="000000" w:fill="FFFFFF"/>
                <w:vAlign w:val="center"/>
                <w:hideMark/>
              </w:tcPr>
              <w:p w14:paraId="7773A884" w14:textId="77777777" w:rsidR="009F7F94" w:rsidRPr="00E1599C" w:rsidRDefault="009F7F94" w:rsidP="009F7F94">
                <w:pPr>
                  <w:spacing w:after="0" w:line="240" w:lineRule="auto"/>
                  <w:jc w:val="center"/>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1</w:t>
                </w:r>
              </w:p>
            </w:tc>
            <w:tc>
              <w:tcPr>
                <w:tcW w:w="680" w:type="pct"/>
                <w:shd w:val="clear" w:color="auto" w:fill="auto"/>
                <w:vAlign w:val="center"/>
                <w:hideMark/>
              </w:tcPr>
              <w:p w14:paraId="2B14CFDB" w14:textId="2EB4D9DF" w:rsidR="009F7F94" w:rsidRPr="00E1599C" w:rsidRDefault="009F7F94" w:rsidP="00E1599C">
                <w:pPr>
                  <w:spacing w:after="0" w:line="240" w:lineRule="auto"/>
                  <w:jc w:val="center"/>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$ 6.200.000</w:t>
                </w:r>
              </w:p>
            </w:tc>
          </w:tr>
          <w:tr w:rsidR="009F7F94" w:rsidRPr="00A42E4E" w14:paraId="16D1BC4F" w14:textId="77777777" w:rsidTr="00E1599C">
            <w:trPr>
              <w:trHeight w:val="960"/>
            </w:trPr>
            <w:tc>
              <w:tcPr>
                <w:tcW w:w="484" w:type="pct"/>
                <w:shd w:val="clear" w:color="auto" w:fill="auto"/>
                <w:noWrap/>
                <w:vAlign w:val="center"/>
                <w:hideMark/>
              </w:tcPr>
              <w:p w14:paraId="639ABC96" w14:textId="77777777" w:rsidR="009F7F94" w:rsidRPr="00E1599C" w:rsidRDefault="009F7F94" w:rsidP="00E1599C">
                <w:pPr>
                  <w:spacing w:after="0" w:line="240" w:lineRule="auto"/>
                  <w:jc w:val="center"/>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23/11/2023</w:t>
                </w:r>
              </w:p>
            </w:tc>
            <w:tc>
              <w:tcPr>
                <w:tcW w:w="609" w:type="pct"/>
                <w:shd w:val="clear" w:color="auto" w:fill="auto"/>
                <w:noWrap/>
                <w:vAlign w:val="center"/>
                <w:hideMark/>
              </w:tcPr>
              <w:p w14:paraId="4241B576" w14:textId="77777777" w:rsidR="009F7F94" w:rsidRPr="00E1599C" w:rsidRDefault="009F7F94" w:rsidP="009F7F94">
                <w:pPr>
                  <w:spacing w:after="0" w:line="240" w:lineRule="auto"/>
                  <w:jc w:val="center"/>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01-00951</w:t>
                </w:r>
              </w:p>
            </w:tc>
            <w:tc>
              <w:tcPr>
                <w:tcW w:w="554" w:type="pct"/>
                <w:shd w:val="clear" w:color="auto" w:fill="auto"/>
                <w:vAlign w:val="center"/>
                <w:hideMark/>
              </w:tcPr>
              <w:p w14:paraId="6DDB4A14" w14:textId="77777777" w:rsidR="009F7F94" w:rsidRPr="00E1599C" w:rsidRDefault="009F7F94" w:rsidP="00D7390A">
                <w:pPr>
                  <w:spacing w:after="0" w:line="240" w:lineRule="auto"/>
                  <w:jc w:val="both"/>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ENTRADAS</w:t>
                </w:r>
                <w:r w:rsidRPr="00E1599C">
                  <w:rPr>
                    <w:rFonts w:ascii="Times New Roman" w:eastAsia="Times New Roman" w:hAnsi="Times New Roman"/>
                    <w:color w:val="000000"/>
                    <w:sz w:val="16"/>
                    <w:szCs w:val="16"/>
                    <w:lang w:eastAsia="es-CO"/>
                  </w:rPr>
                  <w:br/>
                  <w:t>COMPRAS</w:t>
                </w:r>
              </w:p>
            </w:tc>
            <w:tc>
              <w:tcPr>
                <w:tcW w:w="1353" w:type="pct"/>
                <w:shd w:val="clear" w:color="auto" w:fill="auto"/>
                <w:vAlign w:val="center"/>
                <w:hideMark/>
              </w:tcPr>
              <w:p w14:paraId="10B5D5C8" w14:textId="4E48A541" w:rsidR="009F7F94" w:rsidRPr="00E1599C" w:rsidRDefault="009F7F94" w:rsidP="00D7390A">
                <w:pPr>
                  <w:spacing w:after="0" w:line="240" w:lineRule="auto"/>
                  <w:jc w:val="both"/>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COMPUTADOR PORTATIL COMPUTADOR PORTATIL CORI 9, RAM DE 32 GB HD 1 TB SSD, 16 FECHA: 23/11/2023 ESTADO: N MARCA: HP MODELO: HP ENVY LAPTOP SERIE: CND3190LMW</w:t>
                </w:r>
              </w:p>
            </w:tc>
            <w:tc>
              <w:tcPr>
                <w:tcW w:w="884" w:type="pct"/>
                <w:shd w:val="clear" w:color="auto" w:fill="auto"/>
                <w:vAlign w:val="center"/>
                <w:hideMark/>
              </w:tcPr>
              <w:p w14:paraId="2AD71E84" w14:textId="77777777" w:rsidR="009F7F94" w:rsidRPr="00E1599C" w:rsidRDefault="009F7F94" w:rsidP="00D7390A">
                <w:pPr>
                  <w:spacing w:after="0" w:line="240" w:lineRule="auto"/>
                  <w:jc w:val="both"/>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BRAYAN ALBERTO CAMACHO OYOLA</w:t>
                </w:r>
              </w:p>
            </w:tc>
            <w:tc>
              <w:tcPr>
                <w:tcW w:w="435" w:type="pct"/>
                <w:shd w:val="clear" w:color="000000" w:fill="FFFFFF"/>
                <w:vAlign w:val="center"/>
                <w:hideMark/>
              </w:tcPr>
              <w:p w14:paraId="19BA8506" w14:textId="77777777" w:rsidR="009F7F94" w:rsidRPr="00E1599C" w:rsidRDefault="009F7F94" w:rsidP="009F7F94">
                <w:pPr>
                  <w:spacing w:after="0" w:line="240" w:lineRule="auto"/>
                  <w:jc w:val="center"/>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1</w:t>
                </w:r>
              </w:p>
            </w:tc>
            <w:tc>
              <w:tcPr>
                <w:tcW w:w="680" w:type="pct"/>
                <w:shd w:val="clear" w:color="auto" w:fill="auto"/>
                <w:vAlign w:val="center"/>
                <w:hideMark/>
              </w:tcPr>
              <w:p w14:paraId="238DED34" w14:textId="6B171E92" w:rsidR="009F7F94" w:rsidRPr="00E1599C" w:rsidRDefault="009F7F94" w:rsidP="00E1599C">
                <w:pPr>
                  <w:spacing w:after="0" w:line="240" w:lineRule="auto"/>
                  <w:jc w:val="center"/>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   12.495.000</w:t>
                </w:r>
              </w:p>
            </w:tc>
          </w:tr>
          <w:tr w:rsidR="009F7F94" w:rsidRPr="009F7F94" w14:paraId="6227CE36" w14:textId="77777777" w:rsidTr="00E1599C">
            <w:trPr>
              <w:trHeight w:val="240"/>
            </w:trPr>
            <w:tc>
              <w:tcPr>
                <w:tcW w:w="3884" w:type="pct"/>
                <w:gridSpan w:val="5"/>
                <w:shd w:val="clear" w:color="auto" w:fill="auto"/>
                <w:noWrap/>
                <w:vAlign w:val="center"/>
                <w:hideMark/>
              </w:tcPr>
              <w:p w14:paraId="3832B23F" w14:textId="36FE17E5" w:rsidR="009F7F94" w:rsidRPr="00E1599C" w:rsidRDefault="009F7F94" w:rsidP="00E1599C">
                <w:pPr>
                  <w:spacing w:after="0" w:line="240" w:lineRule="auto"/>
                  <w:jc w:val="center"/>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Total</w:t>
                </w:r>
                <w:r w:rsidR="00A42E4E" w:rsidRPr="00E1599C">
                  <w:rPr>
                    <w:rFonts w:ascii="Times New Roman" w:eastAsia="Times New Roman" w:hAnsi="Times New Roman"/>
                    <w:color w:val="000000"/>
                    <w:sz w:val="16"/>
                    <w:szCs w:val="16"/>
                    <w:lang w:eastAsia="es-CO"/>
                  </w:rPr>
                  <w:t>,</w:t>
                </w:r>
                <w:r w:rsidRPr="00E1599C">
                  <w:rPr>
                    <w:rFonts w:ascii="Times New Roman" w:eastAsia="Times New Roman" w:hAnsi="Times New Roman"/>
                    <w:color w:val="000000"/>
                    <w:sz w:val="16"/>
                    <w:szCs w:val="16"/>
                    <w:lang w:eastAsia="es-CO"/>
                  </w:rPr>
                  <w:t xml:space="preserve"> adquisiciones</w:t>
                </w:r>
              </w:p>
            </w:tc>
            <w:tc>
              <w:tcPr>
                <w:tcW w:w="435" w:type="pct"/>
                <w:shd w:val="clear" w:color="auto" w:fill="auto"/>
                <w:noWrap/>
                <w:vAlign w:val="center"/>
                <w:hideMark/>
              </w:tcPr>
              <w:p w14:paraId="0BECF7F3" w14:textId="77777777" w:rsidR="009F7F94" w:rsidRPr="00E1599C" w:rsidRDefault="009F7F94" w:rsidP="00E1599C">
                <w:pPr>
                  <w:spacing w:after="0" w:line="240" w:lineRule="auto"/>
                  <w:jc w:val="center"/>
                  <w:rPr>
                    <w:rFonts w:ascii="Times New Roman" w:eastAsia="Times New Roman" w:hAnsi="Times New Roman"/>
                    <w:color w:val="000000"/>
                    <w:sz w:val="16"/>
                    <w:szCs w:val="16"/>
                    <w:lang w:eastAsia="es-CO"/>
                  </w:rPr>
                </w:pPr>
              </w:p>
            </w:tc>
            <w:tc>
              <w:tcPr>
                <w:tcW w:w="680" w:type="pct"/>
                <w:shd w:val="clear" w:color="auto" w:fill="auto"/>
                <w:noWrap/>
                <w:vAlign w:val="center"/>
                <w:hideMark/>
              </w:tcPr>
              <w:p w14:paraId="1CF0EFAF" w14:textId="70FCA9B8" w:rsidR="009F7F94" w:rsidRPr="00E1599C" w:rsidRDefault="009F7F94" w:rsidP="00E1599C">
                <w:pPr>
                  <w:spacing w:after="0" w:line="240" w:lineRule="auto"/>
                  <w:jc w:val="center"/>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   21.394.068</w:t>
                </w:r>
              </w:p>
            </w:tc>
          </w:tr>
        </w:tbl>
        <w:p w14:paraId="2C71963C" w14:textId="3CB3FAE5" w:rsidR="009F7F94" w:rsidRPr="009A46BB" w:rsidRDefault="009F7F94" w:rsidP="007D15C4">
          <w:pPr>
            <w:pStyle w:val="Default"/>
            <w:rPr>
              <w:rFonts w:ascii="Times New Roman" w:hAnsi="Times New Roman" w:cs="Times New Roman"/>
            </w:rPr>
          </w:pPr>
        </w:p>
        <w:p w14:paraId="561157C1" w14:textId="59F0FCD7" w:rsidR="009F7F94" w:rsidRPr="00FF226B" w:rsidRDefault="00FF226B" w:rsidP="007D15C4">
          <w:pPr>
            <w:pStyle w:val="Default"/>
            <w:rPr>
              <w:rFonts w:ascii="Times New Roman" w:eastAsia="Times New Roman" w:hAnsi="Times New Roman" w:cs="Times New Roman"/>
              <w:bCs/>
              <w:color w:val="auto"/>
              <w:lang w:val="es-ES" w:eastAsia="es-ES" w:bidi="es-ES"/>
            </w:rPr>
          </w:pPr>
          <w:r w:rsidRPr="00FF226B">
            <w:rPr>
              <w:rFonts w:ascii="Times New Roman" w:eastAsia="Times New Roman" w:hAnsi="Times New Roman" w:cs="Times New Roman"/>
              <w:bCs/>
              <w:color w:val="auto"/>
              <w:lang w:val="es-ES" w:eastAsia="es-ES" w:bidi="es-ES"/>
            </w:rPr>
            <w:t>Adicionalmente, se realizaron entradas de bienes</w:t>
          </w:r>
          <w:r>
            <w:rPr>
              <w:rFonts w:ascii="Times New Roman" w:eastAsia="Times New Roman" w:hAnsi="Times New Roman" w:cs="Times New Roman"/>
              <w:bCs/>
              <w:color w:val="auto"/>
              <w:lang w:val="es-ES" w:eastAsia="es-ES" w:bidi="es-ES"/>
            </w:rPr>
            <w:t xml:space="preserve"> correspondientes a </w:t>
          </w:r>
          <w:r w:rsidR="00DA12E4">
            <w:rPr>
              <w:rFonts w:ascii="Times New Roman" w:eastAsia="Times New Roman" w:hAnsi="Times New Roman" w:cs="Times New Roman"/>
              <w:bCs/>
              <w:color w:val="auto"/>
              <w:lang w:val="es-ES" w:eastAsia="es-ES" w:bidi="es-ES"/>
            </w:rPr>
            <w:t xml:space="preserve">reposiciones de </w:t>
          </w:r>
          <w:r w:rsidR="00B61105">
            <w:rPr>
              <w:rFonts w:ascii="Times New Roman" w:eastAsia="Times New Roman" w:hAnsi="Times New Roman" w:cs="Times New Roman"/>
              <w:bCs/>
              <w:color w:val="auto"/>
              <w:lang w:val="es-ES" w:eastAsia="es-ES" w:bidi="es-ES"/>
            </w:rPr>
            <w:t xml:space="preserve">seguros por daño </w:t>
          </w:r>
          <w:r w:rsidR="00CB16A9">
            <w:rPr>
              <w:rFonts w:ascii="Times New Roman" w:eastAsia="Times New Roman" w:hAnsi="Times New Roman" w:cs="Times New Roman"/>
              <w:bCs/>
              <w:color w:val="auto"/>
              <w:lang w:val="es-ES" w:eastAsia="es-ES" w:bidi="es-ES"/>
            </w:rPr>
            <w:t xml:space="preserve">o </w:t>
          </w:r>
          <w:r w:rsidR="00B61105">
            <w:rPr>
              <w:rFonts w:ascii="Times New Roman" w:eastAsia="Times New Roman" w:hAnsi="Times New Roman" w:cs="Times New Roman"/>
              <w:bCs/>
              <w:color w:val="auto"/>
              <w:lang w:val="es-ES" w:eastAsia="es-ES" w:bidi="es-ES"/>
            </w:rPr>
            <w:t xml:space="preserve">perdida </w:t>
          </w:r>
          <w:r w:rsidR="00CB16A9">
            <w:rPr>
              <w:rFonts w:ascii="Times New Roman" w:eastAsia="Times New Roman" w:hAnsi="Times New Roman" w:cs="Times New Roman"/>
              <w:bCs/>
              <w:color w:val="auto"/>
              <w:lang w:val="es-ES" w:eastAsia="es-ES" w:bidi="es-ES"/>
            </w:rPr>
            <w:t>como se muestra en el siguiente cuadro:</w:t>
          </w:r>
        </w:p>
        <w:p w14:paraId="3A493CB4" w14:textId="77777777" w:rsidR="00CB16A9" w:rsidRPr="00FF226B" w:rsidRDefault="00CB16A9" w:rsidP="007D15C4">
          <w:pPr>
            <w:pStyle w:val="Default"/>
            <w:rPr>
              <w:rFonts w:ascii="Times New Roman" w:eastAsia="Times New Roman" w:hAnsi="Times New Roman" w:cs="Times New Roman"/>
              <w:bCs/>
              <w:color w:val="auto"/>
              <w:lang w:val="es-ES" w:eastAsia="es-ES" w:bidi="es-ES"/>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4A0" w:firstRow="1" w:lastRow="0" w:firstColumn="1" w:lastColumn="0" w:noHBand="0" w:noVBand="1"/>
          </w:tblPr>
          <w:tblGrid>
            <w:gridCol w:w="982"/>
            <w:gridCol w:w="1127"/>
            <w:gridCol w:w="1529"/>
            <w:gridCol w:w="3303"/>
            <w:gridCol w:w="851"/>
            <w:gridCol w:w="1177"/>
          </w:tblGrid>
          <w:tr w:rsidR="008112FD" w:rsidRPr="00A42E4E" w14:paraId="3F6A0A0C" w14:textId="77777777" w:rsidTr="00310215">
            <w:trPr>
              <w:trHeight w:val="397"/>
              <w:tblHeader/>
            </w:trPr>
            <w:tc>
              <w:tcPr>
                <w:tcW w:w="982" w:type="dxa"/>
                <w:shd w:val="clear" w:color="auto" w:fill="auto"/>
                <w:noWrap/>
                <w:vAlign w:val="center"/>
                <w:hideMark/>
              </w:tcPr>
              <w:p w14:paraId="3014FDD8" w14:textId="77777777" w:rsidR="008112FD" w:rsidRPr="00E1599C" w:rsidRDefault="008112FD" w:rsidP="008112FD">
                <w:pPr>
                  <w:spacing w:after="0" w:line="240" w:lineRule="auto"/>
                  <w:rPr>
                    <w:rFonts w:ascii="Times New Roman" w:eastAsia="Times New Roman" w:hAnsi="Times New Roman"/>
                    <w:b/>
                    <w:color w:val="000000"/>
                    <w:sz w:val="16"/>
                    <w:szCs w:val="16"/>
                    <w:lang w:eastAsia="es-CO"/>
                  </w:rPr>
                </w:pPr>
                <w:r w:rsidRPr="00E1599C">
                  <w:rPr>
                    <w:rFonts w:ascii="Times New Roman" w:eastAsia="Times New Roman" w:hAnsi="Times New Roman"/>
                    <w:b/>
                    <w:color w:val="000000"/>
                    <w:sz w:val="16"/>
                    <w:szCs w:val="16"/>
                    <w:lang w:eastAsia="es-CO"/>
                  </w:rPr>
                  <w:t>Fecha</w:t>
                </w:r>
              </w:p>
            </w:tc>
            <w:tc>
              <w:tcPr>
                <w:tcW w:w="1127" w:type="dxa"/>
                <w:shd w:val="clear" w:color="auto" w:fill="auto"/>
                <w:noWrap/>
                <w:vAlign w:val="center"/>
                <w:hideMark/>
              </w:tcPr>
              <w:p w14:paraId="305B0F07" w14:textId="61CADFE3" w:rsidR="008112FD" w:rsidRPr="00E1599C" w:rsidRDefault="008112FD" w:rsidP="008112FD">
                <w:pPr>
                  <w:spacing w:after="0" w:line="240" w:lineRule="auto"/>
                  <w:rPr>
                    <w:rFonts w:ascii="Times New Roman" w:eastAsia="Times New Roman" w:hAnsi="Times New Roman"/>
                    <w:b/>
                    <w:color w:val="000000"/>
                    <w:sz w:val="16"/>
                    <w:szCs w:val="16"/>
                    <w:lang w:eastAsia="es-CO"/>
                  </w:rPr>
                </w:pPr>
                <w:r w:rsidRPr="00E1599C">
                  <w:rPr>
                    <w:rFonts w:ascii="Times New Roman" w:eastAsia="Times New Roman" w:hAnsi="Times New Roman"/>
                    <w:b/>
                    <w:color w:val="000000"/>
                    <w:sz w:val="16"/>
                    <w:szCs w:val="16"/>
                    <w:lang w:eastAsia="es-CO"/>
                  </w:rPr>
                  <w:t>Comprobante</w:t>
                </w:r>
              </w:p>
            </w:tc>
            <w:tc>
              <w:tcPr>
                <w:tcW w:w="1529" w:type="dxa"/>
                <w:shd w:val="clear" w:color="auto" w:fill="auto"/>
                <w:noWrap/>
                <w:vAlign w:val="center"/>
                <w:hideMark/>
              </w:tcPr>
              <w:p w14:paraId="305C44EE" w14:textId="77777777" w:rsidR="008112FD" w:rsidRPr="00E1599C" w:rsidRDefault="008112FD" w:rsidP="008112FD">
                <w:pPr>
                  <w:spacing w:after="0" w:line="240" w:lineRule="auto"/>
                  <w:rPr>
                    <w:rFonts w:ascii="Times New Roman" w:eastAsia="Times New Roman" w:hAnsi="Times New Roman"/>
                    <w:b/>
                    <w:color w:val="000000"/>
                    <w:sz w:val="16"/>
                    <w:szCs w:val="16"/>
                    <w:lang w:eastAsia="es-CO"/>
                  </w:rPr>
                </w:pPr>
                <w:r w:rsidRPr="00E1599C">
                  <w:rPr>
                    <w:rFonts w:ascii="Times New Roman" w:eastAsia="Times New Roman" w:hAnsi="Times New Roman"/>
                    <w:b/>
                    <w:color w:val="000000"/>
                    <w:sz w:val="16"/>
                    <w:szCs w:val="16"/>
                    <w:lang w:eastAsia="es-CO"/>
                  </w:rPr>
                  <w:t>Tipo de movimiento</w:t>
                </w:r>
              </w:p>
            </w:tc>
            <w:tc>
              <w:tcPr>
                <w:tcW w:w="3303" w:type="dxa"/>
                <w:shd w:val="clear" w:color="auto" w:fill="auto"/>
                <w:noWrap/>
                <w:vAlign w:val="center"/>
                <w:hideMark/>
              </w:tcPr>
              <w:p w14:paraId="5ECD1994" w14:textId="77777777" w:rsidR="008112FD" w:rsidRPr="00E1599C" w:rsidRDefault="008112FD" w:rsidP="008112FD">
                <w:pPr>
                  <w:spacing w:after="0" w:line="240" w:lineRule="auto"/>
                  <w:rPr>
                    <w:rFonts w:ascii="Times New Roman" w:eastAsia="Times New Roman" w:hAnsi="Times New Roman"/>
                    <w:b/>
                    <w:color w:val="000000"/>
                    <w:sz w:val="16"/>
                    <w:szCs w:val="16"/>
                    <w:lang w:eastAsia="es-CO"/>
                  </w:rPr>
                </w:pPr>
                <w:r w:rsidRPr="00E1599C">
                  <w:rPr>
                    <w:rFonts w:ascii="Times New Roman" w:eastAsia="Times New Roman" w:hAnsi="Times New Roman"/>
                    <w:b/>
                    <w:color w:val="000000"/>
                    <w:sz w:val="16"/>
                    <w:szCs w:val="16"/>
                    <w:lang w:eastAsia="es-CO"/>
                  </w:rPr>
                  <w:t>Elemento</w:t>
                </w:r>
              </w:p>
            </w:tc>
            <w:tc>
              <w:tcPr>
                <w:tcW w:w="851" w:type="dxa"/>
                <w:shd w:val="clear" w:color="auto" w:fill="auto"/>
                <w:noWrap/>
                <w:vAlign w:val="center"/>
                <w:hideMark/>
              </w:tcPr>
              <w:p w14:paraId="7D5B28AA" w14:textId="77777777" w:rsidR="008112FD" w:rsidRPr="00E1599C" w:rsidRDefault="008112FD" w:rsidP="008112FD">
                <w:pPr>
                  <w:spacing w:after="0" w:line="240" w:lineRule="auto"/>
                  <w:rPr>
                    <w:rFonts w:ascii="Times New Roman" w:eastAsia="Times New Roman" w:hAnsi="Times New Roman"/>
                    <w:b/>
                    <w:color w:val="000000"/>
                    <w:sz w:val="16"/>
                    <w:szCs w:val="16"/>
                    <w:lang w:eastAsia="es-CO"/>
                  </w:rPr>
                </w:pPr>
                <w:r w:rsidRPr="00E1599C">
                  <w:rPr>
                    <w:rFonts w:ascii="Times New Roman" w:eastAsia="Times New Roman" w:hAnsi="Times New Roman"/>
                    <w:b/>
                    <w:color w:val="000000"/>
                    <w:sz w:val="16"/>
                    <w:szCs w:val="16"/>
                    <w:lang w:eastAsia="es-CO"/>
                  </w:rPr>
                  <w:t>Cantidad</w:t>
                </w:r>
              </w:p>
            </w:tc>
            <w:tc>
              <w:tcPr>
                <w:tcW w:w="1177" w:type="dxa"/>
                <w:shd w:val="clear" w:color="auto" w:fill="auto"/>
                <w:noWrap/>
                <w:vAlign w:val="center"/>
                <w:hideMark/>
              </w:tcPr>
              <w:p w14:paraId="2D340329" w14:textId="77777777" w:rsidR="008112FD" w:rsidRPr="00E1599C" w:rsidRDefault="008112FD" w:rsidP="008112FD">
                <w:pPr>
                  <w:spacing w:after="0" w:line="240" w:lineRule="auto"/>
                  <w:rPr>
                    <w:rFonts w:ascii="Times New Roman" w:eastAsia="Times New Roman" w:hAnsi="Times New Roman"/>
                    <w:b/>
                    <w:color w:val="000000"/>
                    <w:sz w:val="16"/>
                    <w:szCs w:val="16"/>
                    <w:lang w:eastAsia="es-CO"/>
                  </w:rPr>
                </w:pPr>
                <w:r w:rsidRPr="00E1599C">
                  <w:rPr>
                    <w:rFonts w:ascii="Times New Roman" w:eastAsia="Times New Roman" w:hAnsi="Times New Roman"/>
                    <w:b/>
                    <w:color w:val="000000"/>
                    <w:sz w:val="16"/>
                    <w:szCs w:val="16"/>
                    <w:lang w:eastAsia="es-CO"/>
                  </w:rPr>
                  <w:t xml:space="preserve"> Valor Total </w:t>
                </w:r>
              </w:p>
            </w:tc>
          </w:tr>
          <w:tr w:rsidR="008112FD" w:rsidRPr="00A42E4E" w14:paraId="06CB99D4" w14:textId="77777777" w:rsidTr="00310215">
            <w:trPr>
              <w:trHeight w:val="397"/>
            </w:trPr>
            <w:tc>
              <w:tcPr>
                <w:tcW w:w="982" w:type="dxa"/>
                <w:shd w:val="clear" w:color="auto" w:fill="auto"/>
                <w:noWrap/>
                <w:vAlign w:val="center"/>
                <w:hideMark/>
              </w:tcPr>
              <w:p w14:paraId="62103324" w14:textId="77777777" w:rsidR="008112FD" w:rsidRPr="00E1599C" w:rsidRDefault="008112FD" w:rsidP="008112FD">
                <w:pPr>
                  <w:spacing w:after="0" w:line="240" w:lineRule="auto"/>
                  <w:jc w:val="right"/>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17/02/2023</w:t>
                </w:r>
              </w:p>
            </w:tc>
            <w:tc>
              <w:tcPr>
                <w:tcW w:w="1127" w:type="dxa"/>
                <w:shd w:val="clear" w:color="auto" w:fill="auto"/>
                <w:noWrap/>
                <w:vAlign w:val="center"/>
                <w:hideMark/>
              </w:tcPr>
              <w:p w14:paraId="2286E28B" w14:textId="77777777" w:rsidR="008112FD" w:rsidRPr="00E1599C" w:rsidRDefault="008112FD" w:rsidP="008112FD">
                <w:pPr>
                  <w:spacing w:after="0" w:line="240" w:lineRule="auto"/>
                  <w:jc w:val="center"/>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01-00908</w:t>
                </w:r>
              </w:p>
            </w:tc>
            <w:tc>
              <w:tcPr>
                <w:tcW w:w="1529" w:type="dxa"/>
                <w:shd w:val="clear" w:color="auto" w:fill="auto"/>
                <w:noWrap/>
                <w:vAlign w:val="center"/>
                <w:hideMark/>
              </w:tcPr>
              <w:p w14:paraId="2BADA8A4" w14:textId="77777777" w:rsidR="008112FD" w:rsidRPr="00E1599C" w:rsidRDefault="008112FD" w:rsidP="00862AB7">
                <w:pPr>
                  <w:spacing w:after="0" w:line="240" w:lineRule="auto"/>
                  <w:jc w:val="both"/>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ENTRADA POR REPOSICIÓN</w:t>
                </w:r>
              </w:p>
            </w:tc>
            <w:tc>
              <w:tcPr>
                <w:tcW w:w="3303" w:type="dxa"/>
                <w:shd w:val="clear" w:color="auto" w:fill="auto"/>
                <w:vAlign w:val="center"/>
                <w:hideMark/>
              </w:tcPr>
              <w:p w14:paraId="402B739F" w14:textId="4A909977" w:rsidR="008112FD" w:rsidRPr="00E1599C" w:rsidRDefault="008112FD" w:rsidP="00E1599C">
                <w:pPr>
                  <w:spacing w:after="0" w:line="240" w:lineRule="auto"/>
                  <w:jc w:val="both"/>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 xml:space="preserve">COMPUTADOR PORTATIL HP PROBOOK 445 G8 FECHA: 08/02/2023 ESTADO: N MARCA: HP MODELO: 2023 SERIE: 5CD1442M37 </w:t>
                </w:r>
              </w:p>
            </w:tc>
            <w:tc>
              <w:tcPr>
                <w:tcW w:w="851" w:type="dxa"/>
                <w:shd w:val="clear" w:color="000000" w:fill="FFFFFF"/>
                <w:vAlign w:val="center"/>
                <w:hideMark/>
              </w:tcPr>
              <w:p w14:paraId="5DFF5EA5" w14:textId="77777777" w:rsidR="008112FD" w:rsidRPr="00E1599C" w:rsidRDefault="008112FD" w:rsidP="008112FD">
                <w:pPr>
                  <w:spacing w:after="0" w:line="240" w:lineRule="auto"/>
                  <w:jc w:val="center"/>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1</w:t>
                </w:r>
              </w:p>
            </w:tc>
            <w:tc>
              <w:tcPr>
                <w:tcW w:w="1177" w:type="dxa"/>
                <w:shd w:val="clear" w:color="auto" w:fill="auto"/>
                <w:noWrap/>
                <w:vAlign w:val="center"/>
                <w:hideMark/>
              </w:tcPr>
              <w:p w14:paraId="28DECF83" w14:textId="7E4DA671" w:rsidR="008112FD" w:rsidRPr="00E1599C" w:rsidRDefault="008112FD" w:rsidP="00322EC1">
                <w:pPr>
                  <w:spacing w:after="0" w:line="240" w:lineRule="auto"/>
                  <w:jc w:val="right"/>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 xml:space="preserve">3.800.000 </w:t>
                </w:r>
              </w:p>
            </w:tc>
          </w:tr>
          <w:tr w:rsidR="008112FD" w:rsidRPr="00A42E4E" w14:paraId="76A2ACB9" w14:textId="77777777" w:rsidTr="00310215">
            <w:trPr>
              <w:trHeight w:val="397"/>
            </w:trPr>
            <w:tc>
              <w:tcPr>
                <w:tcW w:w="982" w:type="dxa"/>
                <w:shd w:val="clear" w:color="auto" w:fill="auto"/>
                <w:noWrap/>
                <w:vAlign w:val="center"/>
                <w:hideMark/>
              </w:tcPr>
              <w:p w14:paraId="4BD90732" w14:textId="77777777" w:rsidR="008112FD" w:rsidRPr="00E1599C" w:rsidRDefault="008112FD" w:rsidP="008112FD">
                <w:pPr>
                  <w:spacing w:after="0" w:line="240" w:lineRule="auto"/>
                  <w:jc w:val="right"/>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17/02/2023</w:t>
                </w:r>
              </w:p>
            </w:tc>
            <w:tc>
              <w:tcPr>
                <w:tcW w:w="1127" w:type="dxa"/>
                <w:shd w:val="clear" w:color="auto" w:fill="auto"/>
                <w:noWrap/>
                <w:vAlign w:val="center"/>
                <w:hideMark/>
              </w:tcPr>
              <w:p w14:paraId="5FF5F74F" w14:textId="77777777" w:rsidR="008112FD" w:rsidRPr="00E1599C" w:rsidRDefault="008112FD" w:rsidP="008112FD">
                <w:pPr>
                  <w:spacing w:after="0" w:line="240" w:lineRule="auto"/>
                  <w:jc w:val="center"/>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01-00910</w:t>
                </w:r>
              </w:p>
            </w:tc>
            <w:tc>
              <w:tcPr>
                <w:tcW w:w="1529" w:type="dxa"/>
                <w:shd w:val="clear" w:color="auto" w:fill="auto"/>
                <w:noWrap/>
                <w:vAlign w:val="center"/>
                <w:hideMark/>
              </w:tcPr>
              <w:p w14:paraId="7A1D6BFC" w14:textId="77777777" w:rsidR="008112FD" w:rsidRPr="00E1599C" w:rsidRDefault="008112FD" w:rsidP="00862AB7">
                <w:pPr>
                  <w:spacing w:after="0" w:line="240" w:lineRule="auto"/>
                  <w:jc w:val="both"/>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ENTRADA POR REPOSICIÓN</w:t>
                </w:r>
              </w:p>
            </w:tc>
            <w:tc>
              <w:tcPr>
                <w:tcW w:w="3303" w:type="dxa"/>
                <w:shd w:val="clear" w:color="auto" w:fill="auto"/>
                <w:vAlign w:val="center"/>
                <w:hideMark/>
              </w:tcPr>
              <w:p w14:paraId="55C49E07" w14:textId="77777777" w:rsidR="008112FD" w:rsidRPr="00E1599C" w:rsidRDefault="008112FD" w:rsidP="00E1599C">
                <w:pPr>
                  <w:spacing w:after="0" w:line="240" w:lineRule="auto"/>
                  <w:jc w:val="both"/>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COMPUTADOR PORTATIL</w:t>
                </w:r>
              </w:p>
            </w:tc>
            <w:tc>
              <w:tcPr>
                <w:tcW w:w="851" w:type="dxa"/>
                <w:shd w:val="clear" w:color="000000" w:fill="FFFFFF"/>
                <w:vAlign w:val="center"/>
                <w:hideMark/>
              </w:tcPr>
              <w:p w14:paraId="72EF5991" w14:textId="77777777" w:rsidR="008112FD" w:rsidRPr="00E1599C" w:rsidRDefault="008112FD" w:rsidP="008112FD">
                <w:pPr>
                  <w:spacing w:after="0" w:line="240" w:lineRule="auto"/>
                  <w:jc w:val="center"/>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1</w:t>
                </w:r>
              </w:p>
            </w:tc>
            <w:tc>
              <w:tcPr>
                <w:tcW w:w="1177" w:type="dxa"/>
                <w:shd w:val="clear" w:color="auto" w:fill="auto"/>
                <w:noWrap/>
                <w:vAlign w:val="center"/>
                <w:hideMark/>
              </w:tcPr>
              <w:p w14:paraId="634C0683" w14:textId="25D330FF" w:rsidR="008112FD" w:rsidRPr="00E1599C" w:rsidRDefault="008112FD" w:rsidP="00322EC1">
                <w:pPr>
                  <w:spacing w:after="0" w:line="240" w:lineRule="auto"/>
                  <w:jc w:val="right"/>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3.800.000</w:t>
                </w:r>
              </w:p>
            </w:tc>
          </w:tr>
          <w:tr w:rsidR="008112FD" w:rsidRPr="00A42E4E" w14:paraId="140F43DD" w14:textId="77777777" w:rsidTr="00310215">
            <w:trPr>
              <w:trHeight w:val="397"/>
            </w:trPr>
            <w:tc>
              <w:tcPr>
                <w:tcW w:w="982" w:type="dxa"/>
                <w:shd w:val="clear" w:color="auto" w:fill="auto"/>
                <w:noWrap/>
                <w:vAlign w:val="center"/>
                <w:hideMark/>
              </w:tcPr>
              <w:p w14:paraId="59C92CF1" w14:textId="77777777" w:rsidR="008112FD" w:rsidRPr="00E1599C" w:rsidRDefault="008112FD" w:rsidP="008112FD">
                <w:pPr>
                  <w:spacing w:after="0" w:line="240" w:lineRule="auto"/>
                  <w:jc w:val="right"/>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31/08/2023</w:t>
                </w:r>
              </w:p>
            </w:tc>
            <w:tc>
              <w:tcPr>
                <w:tcW w:w="1127" w:type="dxa"/>
                <w:shd w:val="clear" w:color="auto" w:fill="auto"/>
                <w:noWrap/>
                <w:vAlign w:val="center"/>
                <w:hideMark/>
              </w:tcPr>
              <w:p w14:paraId="15CDFD95" w14:textId="77777777" w:rsidR="008112FD" w:rsidRPr="00E1599C" w:rsidRDefault="008112FD" w:rsidP="008112FD">
                <w:pPr>
                  <w:spacing w:after="0" w:line="240" w:lineRule="auto"/>
                  <w:jc w:val="center"/>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01-00944</w:t>
                </w:r>
              </w:p>
            </w:tc>
            <w:tc>
              <w:tcPr>
                <w:tcW w:w="1529" w:type="dxa"/>
                <w:shd w:val="clear" w:color="auto" w:fill="auto"/>
                <w:noWrap/>
                <w:vAlign w:val="center"/>
                <w:hideMark/>
              </w:tcPr>
              <w:p w14:paraId="1A86036A" w14:textId="77777777" w:rsidR="008112FD" w:rsidRPr="00E1599C" w:rsidRDefault="008112FD" w:rsidP="00862AB7">
                <w:pPr>
                  <w:spacing w:after="0" w:line="240" w:lineRule="auto"/>
                  <w:jc w:val="both"/>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ENTRADA POR REPOSICIÓN</w:t>
                </w:r>
              </w:p>
            </w:tc>
            <w:tc>
              <w:tcPr>
                <w:tcW w:w="3303" w:type="dxa"/>
                <w:shd w:val="clear" w:color="auto" w:fill="auto"/>
                <w:vAlign w:val="center"/>
                <w:hideMark/>
              </w:tcPr>
              <w:p w14:paraId="223DBB86" w14:textId="285C475E" w:rsidR="008112FD" w:rsidRPr="00E1599C" w:rsidRDefault="008112FD" w:rsidP="00E1599C">
                <w:pPr>
                  <w:spacing w:after="0" w:line="240" w:lineRule="auto"/>
                  <w:jc w:val="both"/>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 xml:space="preserve">ACCESS POINT ACCESS POINT FECHA: 29/08/2023 ESTADO: N MARCA: MODELO:C9115 SERIE: FJC3631K1S </w:t>
                </w:r>
              </w:p>
            </w:tc>
            <w:tc>
              <w:tcPr>
                <w:tcW w:w="851" w:type="dxa"/>
                <w:shd w:val="clear" w:color="000000" w:fill="FFFFFF"/>
                <w:vAlign w:val="center"/>
                <w:hideMark/>
              </w:tcPr>
              <w:p w14:paraId="354FB821" w14:textId="77777777" w:rsidR="008112FD" w:rsidRPr="00E1599C" w:rsidRDefault="008112FD" w:rsidP="008112FD">
                <w:pPr>
                  <w:spacing w:after="0" w:line="240" w:lineRule="auto"/>
                  <w:jc w:val="center"/>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1</w:t>
                </w:r>
              </w:p>
            </w:tc>
            <w:tc>
              <w:tcPr>
                <w:tcW w:w="1177" w:type="dxa"/>
                <w:shd w:val="clear" w:color="auto" w:fill="auto"/>
                <w:noWrap/>
                <w:vAlign w:val="center"/>
                <w:hideMark/>
              </w:tcPr>
              <w:p w14:paraId="4E57A985" w14:textId="5E046DC8" w:rsidR="008112FD" w:rsidRPr="00E1599C" w:rsidRDefault="008112FD" w:rsidP="00322EC1">
                <w:pPr>
                  <w:spacing w:after="0" w:line="240" w:lineRule="auto"/>
                  <w:jc w:val="right"/>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4.500.000</w:t>
                </w:r>
              </w:p>
            </w:tc>
          </w:tr>
          <w:tr w:rsidR="008112FD" w:rsidRPr="00A42E4E" w14:paraId="01AEC543" w14:textId="77777777" w:rsidTr="00310215">
            <w:trPr>
              <w:trHeight w:val="397"/>
            </w:trPr>
            <w:tc>
              <w:tcPr>
                <w:tcW w:w="982" w:type="dxa"/>
                <w:shd w:val="clear" w:color="auto" w:fill="auto"/>
                <w:noWrap/>
                <w:vAlign w:val="center"/>
                <w:hideMark/>
              </w:tcPr>
              <w:p w14:paraId="28AB2205" w14:textId="77777777" w:rsidR="008112FD" w:rsidRPr="00E1599C" w:rsidRDefault="008112FD" w:rsidP="008112FD">
                <w:pPr>
                  <w:spacing w:after="0" w:line="240" w:lineRule="auto"/>
                  <w:jc w:val="right"/>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28/11/2023</w:t>
                </w:r>
              </w:p>
            </w:tc>
            <w:tc>
              <w:tcPr>
                <w:tcW w:w="1127" w:type="dxa"/>
                <w:shd w:val="clear" w:color="auto" w:fill="auto"/>
                <w:noWrap/>
                <w:vAlign w:val="center"/>
                <w:hideMark/>
              </w:tcPr>
              <w:p w14:paraId="4844DE27" w14:textId="77777777" w:rsidR="008112FD" w:rsidRPr="00E1599C" w:rsidRDefault="008112FD" w:rsidP="008112FD">
                <w:pPr>
                  <w:spacing w:after="0" w:line="240" w:lineRule="auto"/>
                  <w:jc w:val="center"/>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01-00953</w:t>
                </w:r>
              </w:p>
            </w:tc>
            <w:tc>
              <w:tcPr>
                <w:tcW w:w="1529" w:type="dxa"/>
                <w:shd w:val="clear" w:color="auto" w:fill="auto"/>
                <w:noWrap/>
                <w:vAlign w:val="center"/>
                <w:hideMark/>
              </w:tcPr>
              <w:p w14:paraId="150B4AD3" w14:textId="77777777" w:rsidR="008112FD" w:rsidRPr="00E1599C" w:rsidRDefault="008112FD" w:rsidP="00862AB7">
                <w:pPr>
                  <w:spacing w:after="0" w:line="240" w:lineRule="auto"/>
                  <w:jc w:val="both"/>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ENTRADA POR REPOSICIÓN SEGUROS</w:t>
                </w:r>
              </w:p>
            </w:tc>
            <w:tc>
              <w:tcPr>
                <w:tcW w:w="3303" w:type="dxa"/>
                <w:shd w:val="clear" w:color="auto" w:fill="auto"/>
                <w:vAlign w:val="center"/>
                <w:hideMark/>
              </w:tcPr>
              <w:p w14:paraId="6D422D28" w14:textId="772AB284" w:rsidR="008112FD" w:rsidRPr="00E1599C" w:rsidRDefault="008112FD" w:rsidP="00E1599C">
                <w:pPr>
                  <w:spacing w:after="0" w:line="240" w:lineRule="auto"/>
                  <w:jc w:val="both"/>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COMPUTADOR PORTATIL COMPUTADOR PORTATIL HPE PROBOOK FECHA:01/11/2023 ESTADO: N MARCA: HP</w:t>
                </w:r>
                <w:r w:rsidRPr="00E1599C">
                  <w:rPr>
                    <w:rFonts w:ascii="Times New Roman" w:eastAsia="Times New Roman" w:hAnsi="Times New Roman"/>
                    <w:color w:val="000000"/>
                    <w:sz w:val="16"/>
                    <w:szCs w:val="16"/>
                    <w:lang w:eastAsia="es-CO"/>
                  </w:rPr>
                  <w:br/>
                  <w:t xml:space="preserve">MODELO: 445 G9 SERIE: 5CD3126KL6 </w:t>
                </w:r>
              </w:p>
            </w:tc>
            <w:tc>
              <w:tcPr>
                <w:tcW w:w="851" w:type="dxa"/>
                <w:shd w:val="clear" w:color="000000" w:fill="FFFFFF"/>
                <w:vAlign w:val="center"/>
                <w:hideMark/>
              </w:tcPr>
              <w:p w14:paraId="1ECB53B1" w14:textId="77777777" w:rsidR="008112FD" w:rsidRPr="00E1599C" w:rsidRDefault="008112FD" w:rsidP="008112FD">
                <w:pPr>
                  <w:spacing w:after="0" w:line="240" w:lineRule="auto"/>
                  <w:jc w:val="center"/>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1</w:t>
                </w:r>
              </w:p>
            </w:tc>
            <w:tc>
              <w:tcPr>
                <w:tcW w:w="1177" w:type="dxa"/>
                <w:shd w:val="clear" w:color="auto" w:fill="auto"/>
                <w:noWrap/>
                <w:vAlign w:val="center"/>
                <w:hideMark/>
              </w:tcPr>
              <w:p w14:paraId="79566006" w14:textId="5A1131D9" w:rsidR="008112FD" w:rsidRPr="00E1599C" w:rsidRDefault="008112FD" w:rsidP="00322EC1">
                <w:pPr>
                  <w:spacing w:after="0" w:line="240" w:lineRule="auto"/>
                  <w:jc w:val="right"/>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4.999.000</w:t>
                </w:r>
              </w:p>
            </w:tc>
          </w:tr>
          <w:tr w:rsidR="008112FD" w:rsidRPr="00A42E4E" w14:paraId="5C75D5F4" w14:textId="77777777" w:rsidTr="00310215">
            <w:trPr>
              <w:trHeight w:val="397"/>
            </w:trPr>
            <w:tc>
              <w:tcPr>
                <w:tcW w:w="982" w:type="dxa"/>
                <w:shd w:val="clear" w:color="auto" w:fill="auto"/>
                <w:noWrap/>
                <w:vAlign w:val="center"/>
                <w:hideMark/>
              </w:tcPr>
              <w:p w14:paraId="28D25137" w14:textId="77777777" w:rsidR="008112FD" w:rsidRPr="00E1599C" w:rsidRDefault="008112FD" w:rsidP="008112FD">
                <w:pPr>
                  <w:spacing w:after="0" w:line="240" w:lineRule="auto"/>
                  <w:jc w:val="right"/>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28/11/2023</w:t>
                </w:r>
              </w:p>
            </w:tc>
            <w:tc>
              <w:tcPr>
                <w:tcW w:w="1127" w:type="dxa"/>
                <w:shd w:val="clear" w:color="auto" w:fill="auto"/>
                <w:noWrap/>
                <w:vAlign w:val="center"/>
                <w:hideMark/>
              </w:tcPr>
              <w:p w14:paraId="27827577" w14:textId="77777777" w:rsidR="008112FD" w:rsidRPr="00E1599C" w:rsidRDefault="008112FD" w:rsidP="008112FD">
                <w:pPr>
                  <w:spacing w:after="0" w:line="240" w:lineRule="auto"/>
                  <w:jc w:val="center"/>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01-00953</w:t>
                </w:r>
              </w:p>
            </w:tc>
            <w:tc>
              <w:tcPr>
                <w:tcW w:w="1529" w:type="dxa"/>
                <w:shd w:val="clear" w:color="auto" w:fill="auto"/>
                <w:noWrap/>
                <w:vAlign w:val="center"/>
                <w:hideMark/>
              </w:tcPr>
              <w:p w14:paraId="52E10F7A" w14:textId="77777777" w:rsidR="008112FD" w:rsidRPr="00E1599C" w:rsidRDefault="008112FD" w:rsidP="00862AB7">
                <w:pPr>
                  <w:spacing w:after="0" w:line="240" w:lineRule="auto"/>
                  <w:jc w:val="both"/>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ENTRADA POR REPOSICIÓN SEGUROS</w:t>
                </w:r>
              </w:p>
            </w:tc>
            <w:tc>
              <w:tcPr>
                <w:tcW w:w="3303" w:type="dxa"/>
                <w:shd w:val="clear" w:color="auto" w:fill="auto"/>
                <w:vAlign w:val="center"/>
                <w:hideMark/>
              </w:tcPr>
              <w:p w14:paraId="1F1B8C78" w14:textId="3C0F7C32" w:rsidR="008112FD" w:rsidRPr="00E1599C" w:rsidRDefault="008112FD" w:rsidP="00E1599C">
                <w:pPr>
                  <w:spacing w:after="0" w:line="240" w:lineRule="auto"/>
                  <w:jc w:val="both"/>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 xml:space="preserve">COMPUTADOR PORTATIL COMPUTADOR PORTATIL HPE PROBOOK FECHA: </w:t>
                </w:r>
                <w:r w:rsidRPr="00E1599C">
                  <w:rPr>
                    <w:rFonts w:ascii="Times New Roman" w:eastAsia="Times New Roman" w:hAnsi="Times New Roman"/>
                    <w:color w:val="000000"/>
                    <w:sz w:val="16"/>
                    <w:szCs w:val="16"/>
                    <w:lang w:eastAsia="es-CO"/>
                  </w:rPr>
                  <w:lastRenderedPageBreak/>
                  <w:t>07/11/2023 ESTADO: N MARCA: HP</w:t>
                </w:r>
                <w:r w:rsidRPr="00E1599C">
                  <w:rPr>
                    <w:rFonts w:ascii="Times New Roman" w:eastAsia="Times New Roman" w:hAnsi="Times New Roman"/>
                    <w:color w:val="000000"/>
                    <w:sz w:val="16"/>
                    <w:szCs w:val="16"/>
                    <w:lang w:eastAsia="es-CO"/>
                  </w:rPr>
                  <w:br/>
                  <w:t xml:space="preserve">MODELO: 445 G9 SERIE: 5CD3126KQJ </w:t>
                </w:r>
              </w:p>
            </w:tc>
            <w:tc>
              <w:tcPr>
                <w:tcW w:w="851" w:type="dxa"/>
                <w:shd w:val="clear" w:color="000000" w:fill="FFFFFF"/>
                <w:vAlign w:val="center"/>
                <w:hideMark/>
              </w:tcPr>
              <w:p w14:paraId="7EE8A691" w14:textId="77777777" w:rsidR="008112FD" w:rsidRPr="00E1599C" w:rsidRDefault="008112FD" w:rsidP="008112FD">
                <w:pPr>
                  <w:spacing w:after="0" w:line="240" w:lineRule="auto"/>
                  <w:jc w:val="center"/>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lastRenderedPageBreak/>
                  <w:t>1</w:t>
                </w:r>
              </w:p>
            </w:tc>
            <w:tc>
              <w:tcPr>
                <w:tcW w:w="1177" w:type="dxa"/>
                <w:shd w:val="clear" w:color="auto" w:fill="auto"/>
                <w:noWrap/>
                <w:vAlign w:val="center"/>
                <w:hideMark/>
              </w:tcPr>
              <w:p w14:paraId="3E4AF3C0" w14:textId="38C25C27" w:rsidR="008112FD" w:rsidRPr="00E1599C" w:rsidRDefault="008112FD" w:rsidP="00322EC1">
                <w:pPr>
                  <w:spacing w:after="0" w:line="240" w:lineRule="auto"/>
                  <w:jc w:val="right"/>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 xml:space="preserve">4.979.000 </w:t>
                </w:r>
              </w:p>
            </w:tc>
          </w:tr>
          <w:tr w:rsidR="008112FD" w:rsidRPr="00A42E4E" w14:paraId="34ACBBDD" w14:textId="77777777" w:rsidTr="00310215">
            <w:trPr>
              <w:trHeight w:val="397"/>
            </w:trPr>
            <w:tc>
              <w:tcPr>
                <w:tcW w:w="982" w:type="dxa"/>
                <w:shd w:val="clear" w:color="auto" w:fill="auto"/>
                <w:noWrap/>
                <w:vAlign w:val="center"/>
                <w:hideMark/>
              </w:tcPr>
              <w:p w14:paraId="2F9DDD3D" w14:textId="77777777" w:rsidR="008112FD" w:rsidRPr="00E1599C" w:rsidRDefault="008112FD" w:rsidP="008112FD">
                <w:pPr>
                  <w:spacing w:after="0" w:line="240" w:lineRule="auto"/>
                  <w:jc w:val="right"/>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28/11/2023</w:t>
                </w:r>
              </w:p>
            </w:tc>
            <w:tc>
              <w:tcPr>
                <w:tcW w:w="1127" w:type="dxa"/>
                <w:shd w:val="clear" w:color="auto" w:fill="auto"/>
                <w:noWrap/>
                <w:vAlign w:val="center"/>
                <w:hideMark/>
              </w:tcPr>
              <w:p w14:paraId="563D40B4" w14:textId="77777777" w:rsidR="008112FD" w:rsidRPr="00E1599C" w:rsidRDefault="008112FD" w:rsidP="008112FD">
                <w:pPr>
                  <w:spacing w:after="0" w:line="240" w:lineRule="auto"/>
                  <w:jc w:val="center"/>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01-00953</w:t>
                </w:r>
              </w:p>
            </w:tc>
            <w:tc>
              <w:tcPr>
                <w:tcW w:w="1529" w:type="dxa"/>
                <w:shd w:val="clear" w:color="auto" w:fill="auto"/>
                <w:noWrap/>
                <w:vAlign w:val="center"/>
                <w:hideMark/>
              </w:tcPr>
              <w:p w14:paraId="06E8278A" w14:textId="77777777" w:rsidR="008112FD" w:rsidRPr="00E1599C" w:rsidRDefault="008112FD" w:rsidP="00862AB7">
                <w:pPr>
                  <w:spacing w:after="0" w:line="240" w:lineRule="auto"/>
                  <w:jc w:val="both"/>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ENTRADA POR REPOSICIÓN SEGUROS</w:t>
                </w:r>
              </w:p>
            </w:tc>
            <w:tc>
              <w:tcPr>
                <w:tcW w:w="3303" w:type="dxa"/>
                <w:shd w:val="clear" w:color="auto" w:fill="auto"/>
                <w:vAlign w:val="center"/>
                <w:hideMark/>
              </w:tcPr>
              <w:p w14:paraId="13418D10" w14:textId="3FCF6926" w:rsidR="008112FD" w:rsidRPr="00E1599C" w:rsidRDefault="008112FD" w:rsidP="00E1599C">
                <w:pPr>
                  <w:spacing w:after="0" w:line="240" w:lineRule="auto"/>
                  <w:jc w:val="both"/>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COMPUTADOR PORTATIL COMPUTADOR PORTATIL HPE PROBOOK FECHA: 14/11/2023 ESTADO: N MARCA: HP</w:t>
                </w:r>
                <w:r w:rsidRPr="00E1599C">
                  <w:rPr>
                    <w:rFonts w:ascii="Times New Roman" w:eastAsia="Times New Roman" w:hAnsi="Times New Roman"/>
                    <w:color w:val="000000"/>
                    <w:sz w:val="16"/>
                    <w:szCs w:val="16"/>
                    <w:lang w:eastAsia="es-CO"/>
                  </w:rPr>
                  <w:br/>
                  <w:t xml:space="preserve">MODELO: 445 G9 SERIE: 5CD3126KQL </w:t>
                </w:r>
              </w:p>
            </w:tc>
            <w:tc>
              <w:tcPr>
                <w:tcW w:w="851" w:type="dxa"/>
                <w:shd w:val="clear" w:color="000000" w:fill="FFFFFF"/>
                <w:vAlign w:val="center"/>
                <w:hideMark/>
              </w:tcPr>
              <w:p w14:paraId="54CD4D91" w14:textId="77777777" w:rsidR="008112FD" w:rsidRPr="00E1599C" w:rsidRDefault="008112FD" w:rsidP="008112FD">
                <w:pPr>
                  <w:spacing w:after="0" w:line="240" w:lineRule="auto"/>
                  <w:jc w:val="center"/>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1</w:t>
                </w:r>
              </w:p>
            </w:tc>
            <w:tc>
              <w:tcPr>
                <w:tcW w:w="1177" w:type="dxa"/>
                <w:shd w:val="clear" w:color="auto" w:fill="auto"/>
                <w:noWrap/>
                <w:vAlign w:val="center"/>
                <w:hideMark/>
              </w:tcPr>
              <w:p w14:paraId="63259AB3" w14:textId="044FCF7E" w:rsidR="008112FD" w:rsidRPr="00E1599C" w:rsidRDefault="008112FD" w:rsidP="00322EC1">
                <w:pPr>
                  <w:spacing w:after="0" w:line="240" w:lineRule="auto"/>
                  <w:jc w:val="right"/>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4.979.000</w:t>
                </w:r>
              </w:p>
            </w:tc>
          </w:tr>
          <w:tr w:rsidR="008112FD" w:rsidRPr="00A42E4E" w14:paraId="66D220DB" w14:textId="77777777" w:rsidTr="00310215">
            <w:trPr>
              <w:trHeight w:val="397"/>
            </w:trPr>
            <w:tc>
              <w:tcPr>
                <w:tcW w:w="982" w:type="dxa"/>
                <w:shd w:val="clear" w:color="auto" w:fill="auto"/>
                <w:noWrap/>
                <w:vAlign w:val="center"/>
                <w:hideMark/>
              </w:tcPr>
              <w:p w14:paraId="61AFEA45" w14:textId="77777777" w:rsidR="008112FD" w:rsidRPr="00E1599C" w:rsidRDefault="008112FD" w:rsidP="008112FD">
                <w:pPr>
                  <w:spacing w:after="0" w:line="240" w:lineRule="auto"/>
                  <w:jc w:val="right"/>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28/11/2023</w:t>
                </w:r>
              </w:p>
            </w:tc>
            <w:tc>
              <w:tcPr>
                <w:tcW w:w="1127" w:type="dxa"/>
                <w:shd w:val="clear" w:color="auto" w:fill="auto"/>
                <w:noWrap/>
                <w:vAlign w:val="center"/>
                <w:hideMark/>
              </w:tcPr>
              <w:p w14:paraId="34BB42DE" w14:textId="77777777" w:rsidR="008112FD" w:rsidRPr="00E1599C" w:rsidRDefault="008112FD" w:rsidP="008112FD">
                <w:pPr>
                  <w:spacing w:after="0" w:line="240" w:lineRule="auto"/>
                  <w:jc w:val="center"/>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01-00953</w:t>
                </w:r>
              </w:p>
            </w:tc>
            <w:tc>
              <w:tcPr>
                <w:tcW w:w="1529" w:type="dxa"/>
                <w:shd w:val="clear" w:color="auto" w:fill="auto"/>
                <w:noWrap/>
                <w:vAlign w:val="center"/>
                <w:hideMark/>
              </w:tcPr>
              <w:p w14:paraId="0F010469" w14:textId="77777777" w:rsidR="008112FD" w:rsidRPr="00E1599C" w:rsidRDefault="008112FD" w:rsidP="00862AB7">
                <w:pPr>
                  <w:spacing w:after="0" w:line="240" w:lineRule="auto"/>
                  <w:jc w:val="both"/>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ENTRADA POR REPOSICIÓN SEGUROS</w:t>
                </w:r>
              </w:p>
            </w:tc>
            <w:tc>
              <w:tcPr>
                <w:tcW w:w="3303" w:type="dxa"/>
                <w:shd w:val="clear" w:color="auto" w:fill="auto"/>
                <w:vAlign w:val="center"/>
                <w:hideMark/>
              </w:tcPr>
              <w:p w14:paraId="3512E7BE" w14:textId="1301B06C" w:rsidR="008112FD" w:rsidRPr="00E1599C" w:rsidRDefault="008112FD" w:rsidP="00E1599C">
                <w:pPr>
                  <w:spacing w:after="0" w:line="240" w:lineRule="auto"/>
                  <w:jc w:val="both"/>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COMPUTADOR PORTATIL COMPUTADOR PORTATIL HPE PROBOOK FECHA: 01/11/2023 ESTADO: N MARCA: HP</w:t>
                </w:r>
                <w:r w:rsidRPr="00E1599C">
                  <w:rPr>
                    <w:rFonts w:ascii="Times New Roman" w:eastAsia="Times New Roman" w:hAnsi="Times New Roman"/>
                    <w:color w:val="000000"/>
                    <w:sz w:val="16"/>
                    <w:szCs w:val="16"/>
                    <w:lang w:eastAsia="es-CO"/>
                  </w:rPr>
                  <w:br/>
                  <w:t xml:space="preserve">MODELO: 445 G9 SERIE: 5CD3126KMW </w:t>
                </w:r>
              </w:p>
            </w:tc>
            <w:tc>
              <w:tcPr>
                <w:tcW w:w="851" w:type="dxa"/>
                <w:shd w:val="clear" w:color="000000" w:fill="FFFFFF"/>
                <w:vAlign w:val="center"/>
                <w:hideMark/>
              </w:tcPr>
              <w:p w14:paraId="31513552" w14:textId="77777777" w:rsidR="008112FD" w:rsidRPr="00E1599C" w:rsidRDefault="008112FD" w:rsidP="008112FD">
                <w:pPr>
                  <w:spacing w:after="0" w:line="240" w:lineRule="auto"/>
                  <w:jc w:val="center"/>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1</w:t>
                </w:r>
              </w:p>
            </w:tc>
            <w:tc>
              <w:tcPr>
                <w:tcW w:w="1177" w:type="dxa"/>
                <w:shd w:val="clear" w:color="auto" w:fill="auto"/>
                <w:noWrap/>
                <w:vAlign w:val="center"/>
                <w:hideMark/>
              </w:tcPr>
              <w:p w14:paraId="137767B4" w14:textId="5922CF4E" w:rsidR="008112FD" w:rsidRPr="00E1599C" w:rsidRDefault="008112FD" w:rsidP="00322EC1">
                <w:pPr>
                  <w:spacing w:after="0" w:line="240" w:lineRule="auto"/>
                  <w:jc w:val="right"/>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4.979.000</w:t>
                </w:r>
              </w:p>
            </w:tc>
          </w:tr>
          <w:tr w:rsidR="008112FD" w:rsidRPr="00A42E4E" w14:paraId="5B1D8F89" w14:textId="77777777" w:rsidTr="00310215">
            <w:trPr>
              <w:trHeight w:val="397"/>
            </w:trPr>
            <w:tc>
              <w:tcPr>
                <w:tcW w:w="7792" w:type="dxa"/>
                <w:gridSpan w:val="5"/>
                <w:shd w:val="clear" w:color="auto" w:fill="auto"/>
                <w:noWrap/>
                <w:vAlign w:val="center"/>
                <w:hideMark/>
              </w:tcPr>
              <w:p w14:paraId="57ACC481" w14:textId="3AD0B922" w:rsidR="008112FD" w:rsidRPr="00E1599C" w:rsidRDefault="00E1599C" w:rsidP="008112FD">
                <w:pPr>
                  <w:spacing w:after="0" w:line="240" w:lineRule="auto"/>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 xml:space="preserve">Total, </w:t>
                </w:r>
                <w:r w:rsidR="00D123E2">
                  <w:rPr>
                    <w:rFonts w:ascii="Times New Roman" w:eastAsia="Times New Roman" w:hAnsi="Times New Roman"/>
                    <w:color w:val="000000"/>
                    <w:sz w:val="16"/>
                    <w:szCs w:val="16"/>
                    <w:lang w:eastAsia="es-CO"/>
                  </w:rPr>
                  <w:t>reposiciones</w:t>
                </w:r>
              </w:p>
            </w:tc>
            <w:tc>
              <w:tcPr>
                <w:tcW w:w="1177" w:type="dxa"/>
                <w:shd w:val="clear" w:color="auto" w:fill="auto"/>
                <w:noWrap/>
                <w:vAlign w:val="center"/>
                <w:hideMark/>
              </w:tcPr>
              <w:p w14:paraId="19FB5CA3" w14:textId="5090AA1A" w:rsidR="008112FD" w:rsidRPr="00E1599C" w:rsidRDefault="008112FD" w:rsidP="00322EC1">
                <w:pPr>
                  <w:spacing w:after="0" w:line="240" w:lineRule="auto"/>
                  <w:jc w:val="right"/>
                  <w:rPr>
                    <w:rFonts w:ascii="Times New Roman" w:eastAsia="Times New Roman" w:hAnsi="Times New Roman"/>
                    <w:color w:val="000000"/>
                    <w:sz w:val="16"/>
                    <w:szCs w:val="16"/>
                    <w:lang w:eastAsia="es-CO"/>
                  </w:rPr>
                </w:pPr>
                <w:r w:rsidRPr="00E1599C">
                  <w:rPr>
                    <w:rFonts w:ascii="Times New Roman" w:eastAsia="Times New Roman" w:hAnsi="Times New Roman"/>
                    <w:color w:val="000000"/>
                    <w:sz w:val="16"/>
                    <w:szCs w:val="16"/>
                    <w:lang w:eastAsia="es-CO"/>
                  </w:rPr>
                  <w:t>32.036.000</w:t>
                </w:r>
              </w:p>
            </w:tc>
          </w:tr>
        </w:tbl>
        <w:p w14:paraId="3456CD85" w14:textId="77777777" w:rsidR="008112FD" w:rsidRPr="0051423D" w:rsidRDefault="008112FD" w:rsidP="00460434">
          <w:pPr>
            <w:pStyle w:val="Default"/>
            <w:jc w:val="both"/>
            <w:rPr>
              <w:rFonts w:ascii="Times New Roman" w:hAnsi="Times New Roman" w:cs="Times New Roman"/>
              <w:color w:val="auto"/>
              <w:lang w:eastAsia="en-US"/>
            </w:rPr>
          </w:pPr>
        </w:p>
        <w:p w14:paraId="556DFA61" w14:textId="6AE5D99A" w:rsidR="00D21591" w:rsidRDefault="0051423D" w:rsidP="00276B10">
          <w:pPr>
            <w:pStyle w:val="Default"/>
            <w:jc w:val="both"/>
            <w:rPr>
              <w:rFonts w:ascii="Times New Roman" w:hAnsi="Times New Roman" w:cs="Times New Roman"/>
              <w:color w:val="auto"/>
              <w:lang w:eastAsia="en-US"/>
            </w:rPr>
          </w:pPr>
          <w:r w:rsidRPr="0051423D">
            <w:rPr>
              <w:rFonts w:ascii="Times New Roman" w:hAnsi="Times New Roman" w:cs="Times New Roman"/>
              <w:color w:val="auto"/>
              <w:lang w:eastAsia="en-US"/>
            </w:rPr>
            <w:t xml:space="preserve">Por otra parte, se realizaron bajas </w:t>
          </w:r>
          <w:r w:rsidR="005A512A">
            <w:rPr>
              <w:rFonts w:ascii="Times New Roman" w:hAnsi="Times New Roman" w:cs="Times New Roman"/>
              <w:color w:val="auto"/>
              <w:lang w:eastAsia="en-US"/>
            </w:rPr>
            <w:t xml:space="preserve">de propiedad, planta y equipo </w:t>
          </w:r>
          <w:r w:rsidR="00820FE1">
            <w:rPr>
              <w:rFonts w:ascii="Times New Roman" w:hAnsi="Times New Roman" w:cs="Times New Roman"/>
              <w:color w:val="auto"/>
              <w:lang w:eastAsia="en-US"/>
            </w:rPr>
            <w:t xml:space="preserve">por perdida u obsolescencia </w:t>
          </w:r>
          <w:r w:rsidR="00294CEB">
            <w:rPr>
              <w:rFonts w:ascii="Times New Roman" w:hAnsi="Times New Roman" w:cs="Times New Roman"/>
              <w:color w:val="auto"/>
              <w:lang w:eastAsia="en-US"/>
            </w:rPr>
            <w:t>de acuerdo con</w:t>
          </w:r>
          <w:r w:rsidR="00820FE1">
            <w:rPr>
              <w:rFonts w:ascii="Times New Roman" w:hAnsi="Times New Roman" w:cs="Times New Roman"/>
              <w:color w:val="auto"/>
              <w:lang w:eastAsia="en-US"/>
            </w:rPr>
            <w:t xml:space="preserve"> las </w:t>
          </w:r>
          <w:r w:rsidR="00294CEB">
            <w:rPr>
              <w:rFonts w:ascii="Times New Roman" w:hAnsi="Times New Roman" w:cs="Times New Roman"/>
              <w:color w:val="auto"/>
              <w:lang w:eastAsia="en-US"/>
            </w:rPr>
            <w:t xml:space="preserve">Resoluciones </w:t>
          </w:r>
          <w:r w:rsidR="00294CEB" w:rsidRPr="00294CEB">
            <w:rPr>
              <w:rFonts w:ascii="Times New Roman" w:hAnsi="Times New Roman" w:cs="Times New Roman"/>
              <w:color w:val="auto"/>
              <w:lang w:eastAsia="en-US"/>
            </w:rPr>
            <w:t>No. 20234010009525</w:t>
          </w:r>
          <w:r w:rsidR="00294CEB">
            <w:rPr>
              <w:rFonts w:ascii="Times New Roman" w:hAnsi="Times New Roman" w:cs="Times New Roman"/>
              <w:color w:val="auto"/>
              <w:lang w:eastAsia="en-US"/>
            </w:rPr>
            <w:t xml:space="preserve">, </w:t>
          </w:r>
          <w:r w:rsidR="009E2DE7">
            <w:rPr>
              <w:rFonts w:ascii="Times New Roman" w:hAnsi="Times New Roman" w:cs="Times New Roman"/>
              <w:color w:val="auto"/>
              <w:lang w:eastAsia="en-US"/>
            </w:rPr>
            <w:t xml:space="preserve">No. </w:t>
          </w:r>
          <w:r w:rsidR="008037EF" w:rsidRPr="008037EF">
            <w:rPr>
              <w:rFonts w:ascii="Times New Roman" w:hAnsi="Times New Roman" w:cs="Times New Roman"/>
              <w:color w:val="auto"/>
              <w:lang w:eastAsia="en-US"/>
            </w:rPr>
            <w:t>20234010009535</w:t>
          </w:r>
          <w:r w:rsidR="00B505C6">
            <w:rPr>
              <w:rFonts w:ascii="Times New Roman" w:hAnsi="Times New Roman" w:cs="Times New Roman"/>
              <w:color w:val="auto"/>
              <w:lang w:eastAsia="en-US"/>
            </w:rPr>
            <w:t xml:space="preserve">, </w:t>
          </w:r>
          <w:r w:rsidR="008E3F89">
            <w:rPr>
              <w:rFonts w:ascii="Times New Roman" w:hAnsi="Times New Roman" w:cs="Times New Roman"/>
              <w:color w:val="auto"/>
              <w:lang w:eastAsia="en-US"/>
            </w:rPr>
            <w:t xml:space="preserve">y </w:t>
          </w:r>
          <w:r w:rsidR="00B505C6">
            <w:rPr>
              <w:rFonts w:ascii="Times New Roman" w:hAnsi="Times New Roman" w:cs="Times New Roman"/>
              <w:color w:val="auto"/>
              <w:lang w:eastAsia="en-US"/>
            </w:rPr>
            <w:t xml:space="preserve">No </w:t>
          </w:r>
          <w:r w:rsidR="00B505C6" w:rsidRPr="00B505C6">
            <w:rPr>
              <w:rFonts w:ascii="Times New Roman" w:hAnsi="Times New Roman" w:cs="Times New Roman"/>
              <w:color w:val="auto"/>
              <w:lang w:eastAsia="en-US"/>
            </w:rPr>
            <w:t>202340100095</w:t>
          </w:r>
          <w:r w:rsidR="008E3F89">
            <w:rPr>
              <w:rFonts w:ascii="Times New Roman" w:hAnsi="Times New Roman" w:cs="Times New Roman"/>
              <w:color w:val="auto"/>
              <w:lang w:eastAsia="en-US"/>
            </w:rPr>
            <w:t xml:space="preserve">4 de </w:t>
          </w:r>
          <w:r w:rsidR="008543EC">
            <w:rPr>
              <w:rFonts w:ascii="Times New Roman" w:hAnsi="Times New Roman" w:cs="Times New Roman"/>
              <w:color w:val="auto"/>
              <w:lang w:eastAsia="en-US"/>
            </w:rPr>
            <w:t xml:space="preserve">la AGENCIA NACIONAL DE INFRAESTRUCTURA con fecha </w:t>
          </w:r>
          <w:r w:rsidR="00460434">
            <w:rPr>
              <w:rFonts w:ascii="Times New Roman" w:hAnsi="Times New Roman" w:cs="Times New Roman"/>
              <w:color w:val="auto"/>
              <w:lang w:eastAsia="en-US"/>
            </w:rPr>
            <w:t xml:space="preserve">01 </w:t>
          </w:r>
          <w:r w:rsidR="008E3F89">
            <w:rPr>
              <w:rFonts w:ascii="Times New Roman" w:hAnsi="Times New Roman" w:cs="Times New Roman"/>
              <w:color w:val="auto"/>
              <w:lang w:eastAsia="en-US"/>
            </w:rPr>
            <w:t>de agosto de 2023</w:t>
          </w:r>
          <w:r w:rsidR="00600203">
            <w:rPr>
              <w:rFonts w:ascii="Times New Roman" w:hAnsi="Times New Roman" w:cs="Times New Roman"/>
              <w:color w:val="auto"/>
              <w:lang w:eastAsia="en-US"/>
            </w:rPr>
            <w:t xml:space="preserve">, los ítems relacionados en la </w:t>
          </w:r>
          <w:r w:rsidR="00407B6E">
            <w:rPr>
              <w:rFonts w:ascii="Times New Roman" w:hAnsi="Times New Roman" w:cs="Times New Roman"/>
              <w:color w:val="auto"/>
              <w:lang w:eastAsia="en-US"/>
            </w:rPr>
            <w:t xml:space="preserve">siguiente tabla </w:t>
          </w:r>
          <w:r w:rsidR="00600203">
            <w:rPr>
              <w:rFonts w:ascii="Times New Roman" w:hAnsi="Times New Roman" w:cs="Times New Roman"/>
              <w:color w:val="auto"/>
              <w:lang w:eastAsia="en-US"/>
            </w:rPr>
            <w:t>corres</w:t>
          </w:r>
          <w:r w:rsidR="00407B6E">
            <w:rPr>
              <w:rFonts w:ascii="Times New Roman" w:hAnsi="Times New Roman" w:cs="Times New Roman"/>
              <w:color w:val="auto"/>
              <w:lang w:eastAsia="en-US"/>
            </w:rPr>
            <w:t xml:space="preserve">ponden a la </w:t>
          </w:r>
          <w:r w:rsidR="00C41ECF">
            <w:rPr>
              <w:rFonts w:ascii="Times New Roman" w:hAnsi="Times New Roman" w:cs="Times New Roman"/>
              <w:color w:val="auto"/>
              <w:lang w:eastAsia="en-US"/>
            </w:rPr>
            <w:t>totalidad de las</w:t>
          </w:r>
          <w:r w:rsidR="00276B10">
            <w:rPr>
              <w:rFonts w:ascii="Times New Roman" w:hAnsi="Times New Roman" w:cs="Times New Roman"/>
              <w:color w:val="auto"/>
              <w:lang w:eastAsia="en-US"/>
            </w:rPr>
            <w:t xml:space="preserve"> bajas realizadas en el periodo.</w:t>
          </w:r>
        </w:p>
        <w:p w14:paraId="4FB710E7" w14:textId="77777777" w:rsidR="00D21591" w:rsidRDefault="00D21591" w:rsidP="007D15C4">
          <w:pPr>
            <w:pStyle w:val="Default"/>
            <w:rPr>
              <w:rFonts w:ascii="Times New Roman" w:hAnsi="Times New Roman" w:cs="Times New Roman"/>
              <w:color w:val="auto"/>
              <w:lang w:eastAsia="en-US"/>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1187"/>
            <w:gridCol w:w="1187"/>
            <w:gridCol w:w="1186"/>
            <w:gridCol w:w="2675"/>
            <w:gridCol w:w="1274"/>
            <w:gridCol w:w="1460"/>
          </w:tblGrid>
          <w:tr w:rsidR="00CF111C" w:rsidRPr="00CF111C" w14:paraId="3638AADA" w14:textId="77777777" w:rsidTr="00862AB7">
            <w:trPr>
              <w:trHeight w:val="397"/>
            </w:trPr>
            <w:tc>
              <w:tcPr>
                <w:tcW w:w="662" w:type="pct"/>
                <w:shd w:val="clear" w:color="auto" w:fill="auto"/>
                <w:noWrap/>
                <w:vAlign w:val="center"/>
                <w:hideMark/>
              </w:tcPr>
              <w:p w14:paraId="50E656CE" w14:textId="77777777" w:rsidR="00CF111C" w:rsidRPr="00515368" w:rsidRDefault="00CF111C" w:rsidP="00CF111C">
                <w:pPr>
                  <w:spacing w:after="0" w:line="240" w:lineRule="auto"/>
                  <w:jc w:val="center"/>
                  <w:rPr>
                    <w:rFonts w:ascii="Times New Roman" w:eastAsia="Times New Roman" w:hAnsi="Times New Roman"/>
                    <w:b/>
                    <w:color w:val="000000"/>
                    <w:sz w:val="16"/>
                    <w:szCs w:val="16"/>
                    <w:lang w:eastAsia="es-CO"/>
                  </w:rPr>
                </w:pPr>
                <w:r w:rsidRPr="00515368">
                  <w:rPr>
                    <w:rFonts w:ascii="Times New Roman" w:eastAsia="Times New Roman" w:hAnsi="Times New Roman"/>
                    <w:b/>
                    <w:color w:val="000000"/>
                    <w:sz w:val="16"/>
                    <w:szCs w:val="16"/>
                    <w:lang w:eastAsia="es-CO"/>
                  </w:rPr>
                  <w:t>Fecha</w:t>
                </w:r>
              </w:p>
            </w:tc>
            <w:tc>
              <w:tcPr>
                <w:tcW w:w="662" w:type="pct"/>
                <w:shd w:val="clear" w:color="auto" w:fill="auto"/>
                <w:noWrap/>
                <w:vAlign w:val="center"/>
                <w:hideMark/>
              </w:tcPr>
              <w:p w14:paraId="2F9CF554" w14:textId="77777777" w:rsidR="00CF111C" w:rsidRPr="00515368" w:rsidRDefault="00CF111C" w:rsidP="00CF111C">
                <w:pPr>
                  <w:spacing w:after="0" w:line="240" w:lineRule="auto"/>
                  <w:jc w:val="center"/>
                  <w:rPr>
                    <w:rFonts w:ascii="Times New Roman" w:eastAsia="Times New Roman" w:hAnsi="Times New Roman"/>
                    <w:b/>
                    <w:color w:val="000000"/>
                    <w:sz w:val="16"/>
                    <w:szCs w:val="16"/>
                    <w:lang w:eastAsia="es-CO"/>
                  </w:rPr>
                </w:pPr>
                <w:r w:rsidRPr="00515368">
                  <w:rPr>
                    <w:rFonts w:ascii="Times New Roman" w:eastAsia="Times New Roman" w:hAnsi="Times New Roman"/>
                    <w:b/>
                    <w:color w:val="000000"/>
                    <w:sz w:val="16"/>
                    <w:szCs w:val="16"/>
                    <w:lang w:eastAsia="es-CO"/>
                  </w:rPr>
                  <w:t>Comprobante</w:t>
                </w:r>
              </w:p>
            </w:tc>
            <w:tc>
              <w:tcPr>
                <w:tcW w:w="661" w:type="pct"/>
                <w:shd w:val="clear" w:color="auto" w:fill="auto"/>
                <w:vAlign w:val="center"/>
                <w:hideMark/>
              </w:tcPr>
              <w:p w14:paraId="337C5ED9" w14:textId="6246807D" w:rsidR="00CF111C" w:rsidRPr="00515368" w:rsidRDefault="00CF111C" w:rsidP="00CF111C">
                <w:pPr>
                  <w:spacing w:after="0" w:line="240" w:lineRule="auto"/>
                  <w:jc w:val="center"/>
                  <w:rPr>
                    <w:rFonts w:ascii="Times New Roman" w:eastAsia="Times New Roman" w:hAnsi="Times New Roman"/>
                    <w:b/>
                    <w:color w:val="000000"/>
                    <w:sz w:val="16"/>
                    <w:szCs w:val="16"/>
                    <w:lang w:eastAsia="es-CO"/>
                  </w:rPr>
                </w:pPr>
                <w:r w:rsidRPr="00515368">
                  <w:rPr>
                    <w:rFonts w:ascii="Times New Roman" w:eastAsia="Times New Roman" w:hAnsi="Times New Roman"/>
                    <w:b/>
                    <w:color w:val="000000"/>
                    <w:sz w:val="16"/>
                    <w:szCs w:val="16"/>
                    <w:lang w:eastAsia="es-CO"/>
                  </w:rPr>
                  <w:t>Tipo de movimiento</w:t>
                </w:r>
              </w:p>
            </w:tc>
            <w:tc>
              <w:tcPr>
                <w:tcW w:w="1491" w:type="pct"/>
                <w:shd w:val="clear" w:color="auto" w:fill="auto"/>
                <w:noWrap/>
                <w:vAlign w:val="center"/>
                <w:hideMark/>
              </w:tcPr>
              <w:p w14:paraId="454F81AD" w14:textId="77777777" w:rsidR="00CF111C" w:rsidRPr="00515368" w:rsidRDefault="00CF111C" w:rsidP="00CF111C">
                <w:pPr>
                  <w:spacing w:after="0" w:line="240" w:lineRule="auto"/>
                  <w:jc w:val="center"/>
                  <w:rPr>
                    <w:rFonts w:ascii="Times New Roman" w:eastAsia="Times New Roman" w:hAnsi="Times New Roman"/>
                    <w:b/>
                    <w:color w:val="000000"/>
                    <w:sz w:val="16"/>
                    <w:szCs w:val="16"/>
                    <w:lang w:eastAsia="es-CO"/>
                  </w:rPr>
                </w:pPr>
                <w:r w:rsidRPr="00515368">
                  <w:rPr>
                    <w:rFonts w:ascii="Times New Roman" w:eastAsia="Times New Roman" w:hAnsi="Times New Roman"/>
                    <w:b/>
                    <w:color w:val="000000"/>
                    <w:sz w:val="16"/>
                    <w:szCs w:val="16"/>
                    <w:lang w:eastAsia="es-CO"/>
                  </w:rPr>
                  <w:t>Elemento</w:t>
                </w:r>
              </w:p>
            </w:tc>
            <w:tc>
              <w:tcPr>
                <w:tcW w:w="710" w:type="pct"/>
                <w:shd w:val="clear" w:color="auto" w:fill="auto"/>
                <w:noWrap/>
                <w:vAlign w:val="center"/>
                <w:hideMark/>
              </w:tcPr>
              <w:p w14:paraId="162E9155" w14:textId="77777777" w:rsidR="00CF111C" w:rsidRPr="00515368" w:rsidRDefault="00CF111C" w:rsidP="00CF111C">
                <w:pPr>
                  <w:spacing w:after="0" w:line="240" w:lineRule="auto"/>
                  <w:jc w:val="center"/>
                  <w:rPr>
                    <w:rFonts w:ascii="Times New Roman" w:eastAsia="Times New Roman" w:hAnsi="Times New Roman"/>
                    <w:b/>
                    <w:color w:val="000000"/>
                    <w:sz w:val="16"/>
                    <w:szCs w:val="16"/>
                    <w:lang w:eastAsia="es-CO"/>
                  </w:rPr>
                </w:pPr>
                <w:r w:rsidRPr="00515368">
                  <w:rPr>
                    <w:rFonts w:ascii="Times New Roman" w:eastAsia="Times New Roman" w:hAnsi="Times New Roman"/>
                    <w:b/>
                    <w:color w:val="000000"/>
                    <w:sz w:val="16"/>
                    <w:szCs w:val="16"/>
                    <w:lang w:eastAsia="es-CO"/>
                  </w:rPr>
                  <w:t>Cantidad</w:t>
                </w:r>
              </w:p>
            </w:tc>
            <w:tc>
              <w:tcPr>
                <w:tcW w:w="814" w:type="pct"/>
                <w:shd w:val="clear" w:color="auto" w:fill="auto"/>
                <w:noWrap/>
                <w:vAlign w:val="center"/>
                <w:hideMark/>
              </w:tcPr>
              <w:p w14:paraId="138A284C" w14:textId="17B31876" w:rsidR="00CF111C" w:rsidRPr="00515368" w:rsidRDefault="00CF111C" w:rsidP="00CF111C">
                <w:pPr>
                  <w:spacing w:after="0" w:line="240" w:lineRule="auto"/>
                  <w:jc w:val="center"/>
                  <w:rPr>
                    <w:rFonts w:ascii="Times New Roman" w:eastAsia="Times New Roman" w:hAnsi="Times New Roman"/>
                    <w:b/>
                    <w:color w:val="000000"/>
                    <w:sz w:val="16"/>
                    <w:szCs w:val="16"/>
                    <w:lang w:eastAsia="es-CO"/>
                  </w:rPr>
                </w:pPr>
                <w:r w:rsidRPr="00515368">
                  <w:rPr>
                    <w:rFonts w:ascii="Times New Roman" w:eastAsia="Times New Roman" w:hAnsi="Times New Roman"/>
                    <w:b/>
                    <w:color w:val="000000"/>
                    <w:sz w:val="16"/>
                    <w:szCs w:val="16"/>
                    <w:lang w:eastAsia="es-CO"/>
                  </w:rPr>
                  <w:t>Valor Total</w:t>
                </w:r>
              </w:p>
            </w:tc>
          </w:tr>
          <w:tr w:rsidR="00CF111C" w:rsidRPr="00CF111C" w14:paraId="62966157" w14:textId="77777777" w:rsidTr="00862AB7">
            <w:trPr>
              <w:trHeight w:val="397"/>
            </w:trPr>
            <w:tc>
              <w:tcPr>
                <w:tcW w:w="662" w:type="pct"/>
                <w:shd w:val="clear" w:color="auto" w:fill="auto"/>
                <w:noWrap/>
                <w:vAlign w:val="center"/>
                <w:hideMark/>
              </w:tcPr>
              <w:p w14:paraId="36FF2C5C" w14:textId="77777777" w:rsidR="00CF111C" w:rsidRPr="00515368" w:rsidRDefault="00CF111C" w:rsidP="00CF111C">
                <w:pPr>
                  <w:spacing w:after="0" w:line="240" w:lineRule="auto"/>
                  <w:jc w:val="right"/>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17/02/2023</w:t>
                </w:r>
              </w:p>
            </w:tc>
            <w:tc>
              <w:tcPr>
                <w:tcW w:w="662" w:type="pct"/>
                <w:shd w:val="clear" w:color="auto" w:fill="auto"/>
                <w:noWrap/>
                <w:vAlign w:val="center"/>
                <w:hideMark/>
              </w:tcPr>
              <w:p w14:paraId="7655A3FA" w14:textId="77777777" w:rsidR="00CF111C" w:rsidRPr="00515368" w:rsidRDefault="00CF111C" w:rsidP="00CF111C">
                <w:pPr>
                  <w:spacing w:after="0" w:line="240" w:lineRule="auto"/>
                  <w:jc w:val="center"/>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02-00842</w:t>
                </w:r>
              </w:p>
            </w:tc>
            <w:tc>
              <w:tcPr>
                <w:tcW w:w="661" w:type="pct"/>
                <w:shd w:val="clear" w:color="auto" w:fill="auto"/>
                <w:noWrap/>
                <w:vAlign w:val="center"/>
                <w:hideMark/>
              </w:tcPr>
              <w:p w14:paraId="4E80B6DD" w14:textId="77777777" w:rsidR="00CF111C" w:rsidRPr="00515368" w:rsidRDefault="00CF111C" w:rsidP="00CF111C">
                <w:pPr>
                  <w:spacing w:after="0" w:line="240" w:lineRule="auto"/>
                  <w:jc w:val="center"/>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BAJA</w:t>
                </w:r>
              </w:p>
            </w:tc>
            <w:tc>
              <w:tcPr>
                <w:tcW w:w="1491" w:type="pct"/>
                <w:shd w:val="clear" w:color="auto" w:fill="auto"/>
                <w:vAlign w:val="center"/>
                <w:hideMark/>
              </w:tcPr>
              <w:p w14:paraId="3AF41EAB" w14:textId="77777777" w:rsidR="00CF111C" w:rsidRPr="00515368" w:rsidRDefault="00CF111C" w:rsidP="00CF111C">
                <w:pPr>
                  <w:spacing w:after="0" w:line="240" w:lineRule="auto"/>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COMPUTADOR PORTATIL</w:t>
                </w:r>
              </w:p>
            </w:tc>
            <w:tc>
              <w:tcPr>
                <w:tcW w:w="710" w:type="pct"/>
                <w:shd w:val="clear" w:color="auto" w:fill="auto"/>
                <w:vAlign w:val="center"/>
                <w:hideMark/>
              </w:tcPr>
              <w:p w14:paraId="42494C8E" w14:textId="77777777" w:rsidR="00CF111C" w:rsidRPr="00515368" w:rsidRDefault="00CF111C" w:rsidP="00CF111C">
                <w:pPr>
                  <w:spacing w:after="0" w:line="240" w:lineRule="auto"/>
                  <w:jc w:val="center"/>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1</w:t>
                </w:r>
              </w:p>
            </w:tc>
            <w:tc>
              <w:tcPr>
                <w:tcW w:w="814" w:type="pct"/>
                <w:shd w:val="clear" w:color="auto" w:fill="auto"/>
                <w:vAlign w:val="center"/>
                <w:hideMark/>
              </w:tcPr>
              <w:p w14:paraId="110AB38A" w14:textId="50D75E23" w:rsidR="00CF111C" w:rsidRPr="00515368" w:rsidRDefault="00CF111C" w:rsidP="00515368">
                <w:pPr>
                  <w:spacing w:after="0" w:line="240" w:lineRule="auto"/>
                  <w:jc w:val="right"/>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2.869.827</w:t>
                </w:r>
              </w:p>
            </w:tc>
          </w:tr>
          <w:tr w:rsidR="00CF111C" w:rsidRPr="00CF111C" w14:paraId="339E60AA" w14:textId="77777777" w:rsidTr="00862AB7">
            <w:trPr>
              <w:trHeight w:val="397"/>
            </w:trPr>
            <w:tc>
              <w:tcPr>
                <w:tcW w:w="662" w:type="pct"/>
                <w:shd w:val="clear" w:color="auto" w:fill="auto"/>
                <w:noWrap/>
                <w:vAlign w:val="center"/>
                <w:hideMark/>
              </w:tcPr>
              <w:p w14:paraId="3E2126E4" w14:textId="77777777" w:rsidR="00CF111C" w:rsidRPr="00515368" w:rsidRDefault="00CF111C" w:rsidP="00CF111C">
                <w:pPr>
                  <w:spacing w:after="0" w:line="240" w:lineRule="auto"/>
                  <w:jc w:val="right"/>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28/11/2023</w:t>
                </w:r>
              </w:p>
            </w:tc>
            <w:tc>
              <w:tcPr>
                <w:tcW w:w="662" w:type="pct"/>
                <w:shd w:val="clear" w:color="auto" w:fill="auto"/>
                <w:noWrap/>
                <w:vAlign w:val="center"/>
                <w:hideMark/>
              </w:tcPr>
              <w:p w14:paraId="18DDBBF7" w14:textId="77777777" w:rsidR="00CF111C" w:rsidRPr="00515368" w:rsidRDefault="00CF111C" w:rsidP="00CF111C">
                <w:pPr>
                  <w:spacing w:after="0" w:line="240" w:lineRule="auto"/>
                  <w:jc w:val="center"/>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02-00862</w:t>
                </w:r>
              </w:p>
            </w:tc>
            <w:tc>
              <w:tcPr>
                <w:tcW w:w="661" w:type="pct"/>
                <w:shd w:val="clear" w:color="auto" w:fill="auto"/>
                <w:noWrap/>
                <w:vAlign w:val="center"/>
                <w:hideMark/>
              </w:tcPr>
              <w:p w14:paraId="0D80C2FB" w14:textId="77777777" w:rsidR="00CF111C" w:rsidRPr="00515368" w:rsidRDefault="00CF111C" w:rsidP="00CF111C">
                <w:pPr>
                  <w:spacing w:after="0" w:line="240" w:lineRule="auto"/>
                  <w:jc w:val="center"/>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BAJA</w:t>
                </w:r>
              </w:p>
            </w:tc>
            <w:tc>
              <w:tcPr>
                <w:tcW w:w="1491" w:type="pct"/>
                <w:shd w:val="clear" w:color="auto" w:fill="auto"/>
                <w:vAlign w:val="center"/>
                <w:hideMark/>
              </w:tcPr>
              <w:p w14:paraId="1FC4DF44" w14:textId="77777777" w:rsidR="00CF111C" w:rsidRPr="00515368" w:rsidRDefault="00CF111C" w:rsidP="00CF111C">
                <w:pPr>
                  <w:spacing w:after="0" w:line="240" w:lineRule="auto"/>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IMPRESORAS</w:t>
                </w:r>
              </w:p>
            </w:tc>
            <w:tc>
              <w:tcPr>
                <w:tcW w:w="710" w:type="pct"/>
                <w:shd w:val="clear" w:color="auto" w:fill="auto"/>
                <w:vAlign w:val="center"/>
                <w:hideMark/>
              </w:tcPr>
              <w:p w14:paraId="5EB60380" w14:textId="77777777" w:rsidR="00CF111C" w:rsidRPr="00515368" w:rsidRDefault="00CF111C" w:rsidP="00CF111C">
                <w:pPr>
                  <w:spacing w:after="0" w:line="240" w:lineRule="auto"/>
                  <w:jc w:val="center"/>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273</w:t>
                </w:r>
              </w:p>
            </w:tc>
            <w:tc>
              <w:tcPr>
                <w:tcW w:w="814" w:type="pct"/>
                <w:shd w:val="clear" w:color="auto" w:fill="auto"/>
                <w:vAlign w:val="center"/>
                <w:hideMark/>
              </w:tcPr>
              <w:p w14:paraId="07B13080" w14:textId="4CD5B275" w:rsidR="00CF111C" w:rsidRPr="00515368" w:rsidRDefault="00CF111C" w:rsidP="00515368">
                <w:pPr>
                  <w:spacing w:after="0" w:line="240" w:lineRule="auto"/>
                  <w:jc w:val="right"/>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31.201.008</w:t>
                </w:r>
              </w:p>
            </w:tc>
          </w:tr>
          <w:tr w:rsidR="00CF111C" w:rsidRPr="00CF111C" w14:paraId="703971D7" w14:textId="77777777" w:rsidTr="00862AB7">
            <w:trPr>
              <w:trHeight w:val="397"/>
            </w:trPr>
            <w:tc>
              <w:tcPr>
                <w:tcW w:w="662" w:type="pct"/>
                <w:shd w:val="clear" w:color="auto" w:fill="auto"/>
                <w:noWrap/>
                <w:vAlign w:val="center"/>
                <w:hideMark/>
              </w:tcPr>
              <w:p w14:paraId="5DEF1C25" w14:textId="77777777" w:rsidR="00CF111C" w:rsidRPr="00515368" w:rsidRDefault="00CF111C" w:rsidP="00CF111C">
                <w:pPr>
                  <w:spacing w:after="0" w:line="240" w:lineRule="auto"/>
                  <w:jc w:val="right"/>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17/02/2023</w:t>
                </w:r>
              </w:p>
            </w:tc>
            <w:tc>
              <w:tcPr>
                <w:tcW w:w="662" w:type="pct"/>
                <w:shd w:val="clear" w:color="auto" w:fill="auto"/>
                <w:noWrap/>
                <w:vAlign w:val="center"/>
                <w:hideMark/>
              </w:tcPr>
              <w:p w14:paraId="39178EBC" w14:textId="77777777" w:rsidR="00CF111C" w:rsidRPr="00515368" w:rsidRDefault="00CF111C" w:rsidP="00CF111C">
                <w:pPr>
                  <w:spacing w:after="0" w:line="240" w:lineRule="auto"/>
                  <w:jc w:val="center"/>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02-00844</w:t>
                </w:r>
              </w:p>
            </w:tc>
            <w:tc>
              <w:tcPr>
                <w:tcW w:w="661" w:type="pct"/>
                <w:shd w:val="clear" w:color="auto" w:fill="auto"/>
                <w:noWrap/>
                <w:vAlign w:val="center"/>
                <w:hideMark/>
              </w:tcPr>
              <w:p w14:paraId="57CB8D39" w14:textId="77777777" w:rsidR="00CF111C" w:rsidRPr="00515368" w:rsidRDefault="00CF111C" w:rsidP="00CF111C">
                <w:pPr>
                  <w:spacing w:after="0" w:line="240" w:lineRule="auto"/>
                  <w:jc w:val="center"/>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BAJA</w:t>
                </w:r>
              </w:p>
            </w:tc>
            <w:tc>
              <w:tcPr>
                <w:tcW w:w="1491" w:type="pct"/>
                <w:shd w:val="clear" w:color="auto" w:fill="auto"/>
                <w:vAlign w:val="center"/>
                <w:hideMark/>
              </w:tcPr>
              <w:p w14:paraId="36F5B620" w14:textId="77777777" w:rsidR="00CF111C" w:rsidRPr="00515368" w:rsidRDefault="00CF111C" w:rsidP="00CF111C">
                <w:pPr>
                  <w:spacing w:after="0" w:line="240" w:lineRule="auto"/>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COMPUTADOR PORTATIL</w:t>
                </w:r>
              </w:p>
            </w:tc>
            <w:tc>
              <w:tcPr>
                <w:tcW w:w="710" w:type="pct"/>
                <w:shd w:val="clear" w:color="auto" w:fill="auto"/>
                <w:vAlign w:val="center"/>
                <w:hideMark/>
              </w:tcPr>
              <w:p w14:paraId="0B58AB1E" w14:textId="77777777" w:rsidR="00CF111C" w:rsidRPr="00515368" w:rsidRDefault="00CF111C" w:rsidP="00CF111C">
                <w:pPr>
                  <w:spacing w:after="0" w:line="240" w:lineRule="auto"/>
                  <w:jc w:val="center"/>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1</w:t>
                </w:r>
              </w:p>
            </w:tc>
            <w:tc>
              <w:tcPr>
                <w:tcW w:w="814" w:type="pct"/>
                <w:shd w:val="clear" w:color="auto" w:fill="auto"/>
                <w:vAlign w:val="center"/>
                <w:hideMark/>
              </w:tcPr>
              <w:p w14:paraId="63A947EE" w14:textId="55868AD6" w:rsidR="00CF111C" w:rsidRPr="00515368" w:rsidRDefault="00CF111C" w:rsidP="00515368">
                <w:pPr>
                  <w:spacing w:after="0" w:line="240" w:lineRule="auto"/>
                  <w:jc w:val="right"/>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2.869.828</w:t>
                </w:r>
              </w:p>
            </w:tc>
          </w:tr>
          <w:tr w:rsidR="00CF111C" w:rsidRPr="00CF111C" w14:paraId="6BB0F67B" w14:textId="77777777" w:rsidTr="00862AB7">
            <w:trPr>
              <w:trHeight w:val="397"/>
            </w:trPr>
            <w:tc>
              <w:tcPr>
                <w:tcW w:w="662" w:type="pct"/>
                <w:shd w:val="clear" w:color="auto" w:fill="auto"/>
                <w:noWrap/>
                <w:vAlign w:val="center"/>
                <w:hideMark/>
              </w:tcPr>
              <w:p w14:paraId="66D13306" w14:textId="77777777" w:rsidR="00CF111C" w:rsidRPr="00515368" w:rsidRDefault="00CF111C" w:rsidP="00CF111C">
                <w:pPr>
                  <w:spacing w:after="0" w:line="240" w:lineRule="auto"/>
                  <w:jc w:val="right"/>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30/08/2023</w:t>
                </w:r>
              </w:p>
            </w:tc>
            <w:tc>
              <w:tcPr>
                <w:tcW w:w="662" w:type="pct"/>
                <w:shd w:val="clear" w:color="auto" w:fill="auto"/>
                <w:noWrap/>
                <w:vAlign w:val="center"/>
                <w:hideMark/>
              </w:tcPr>
              <w:p w14:paraId="029F5901" w14:textId="77777777" w:rsidR="00CF111C" w:rsidRPr="00515368" w:rsidRDefault="00CF111C" w:rsidP="00CF111C">
                <w:pPr>
                  <w:spacing w:after="0" w:line="240" w:lineRule="auto"/>
                  <w:jc w:val="center"/>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02-00857</w:t>
                </w:r>
              </w:p>
            </w:tc>
            <w:tc>
              <w:tcPr>
                <w:tcW w:w="661" w:type="pct"/>
                <w:shd w:val="clear" w:color="auto" w:fill="auto"/>
                <w:noWrap/>
                <w:vAlign w:val="center"/>
                <w:hideMark/>
              </w:tcPr>
              <w:p w14:paraId="36263D73" w14:textId="77777777" w:rsidR="00CF111C" w:rsidRPr="00515368" w:rsidRDefault="00CF111C" w:rsidP="00CF111C">
                <w:pPr>
                  <w:spacing w:after="0" w:line="240" w:lineRule="auto"/>
                  <w:jc w:val="center"/>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BAJA</w:t>
                </w:r>
              </w:p>
            </w:tc>
            <w:tc>
              <w:tcPr>
                <w:tcW w:w="1491" w:type="pct"/>
                <w:shd w:val="clear" w:color="auto" w:fill="auto"/>
                <w:vAlign w:val="center"/>
                <w:hideMark/>
              </w:tcPr>
              <w:p w14:paraId="7410468F" w14:textId="77777777" w:rsidR="00CF111C" w:rsidRPr="00515368" w:rsidRDefault="00CF111C" w:rsidP="00CF111C">
                <w:pPr>
                  <w:spacing w:after="0" w:line="240" w:lineRule="auto"/>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ACCESS POINT</w:t>
                </w:r>
              </w:p>
            </w:tc>
            <w:tc>
              <w:tcPr>
                <w:tcW w:w="710" w:type="pct"/>
                <w:shd w:val="clear" w:color="auto" w:fill="auto"/>
                <w:vAlign w:val="center"/>
                <w:hideMark/>
              </w:tcPr>
              <w:p w14:paraId="2F6FCE5E" w14:textId="77777777" w:rsidR="00CF111C" w:rsidRPr="00515368" w:rsidRDefault="00CF111C" w:rsidP="00CF111C">
                <w:pPr>
                  <w:spacing w:after="0" w:line="240" w:lineRule="auto"/>
                  <w:jc w:val="center"/>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1</w:t>
                </w:r>
              </w:p>
            </w:tc>
            <w:tc>
              <w:tcPr>
                <w:tcW w:w="814" w:type="pct"/>
                <w:shd w:val="clear" w:color="auto" w:fill="auto"/>
                <w:vAlign w:val="center"/>
                <w:hideMark/>
              </w:tcPr>
              <w:p w14:paraId="6F4CADB5" w14:textId="450D3320" w:rsidR="00CF111C" w:rsidRPr="00515368" w:rsidRDefault="00CF111C" w:rsidP="00515368">
                <w:pPr>
                  <w:spacing w:after="0" w:line="240" w:lineRule="auto"/>
                  <w:jc w:val="right"/>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1.633.412</w:t>
                </w:r>
              </w:p>
            </w:tc>
          </w:tr>
          <w:tr w:rsidR="00CF111C" w:rsidRPr="00CF111C" w14:paraId="1BF66480" w14:textId="77777777" w:rsidTr="00862AB7">
            <w:trPr>
              <w:trHeight w:val="397"/>
            </w:trPr>
            <w:tc>
              <w:tcPr>
                <w:tcW w:w="662" w:type="pct"/>
                <w:shd w:val="clear" w:color="auto" w:fill="auto"/>
                <w:noWrap/>
                <w:vAlign w:val="center"/>
                <w:hideMark/>
              </w:tcPr>
              <w:p w14:paraId="7EECC517" w14:textId="77777777" w:rsidR="00CF111C" w:rsidRPr="00515368" w:rsidRDefault="00CF111C" w:rsidP="00CF111C">
                <w:pPr>
                  <w:spacing w:after="0" w:line="240" w:lineRule="auto"/>
                  <w:jc w:val="right"/>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1/12/2023</w:t>
                </w:r>
              </w:p>
            </w:tc>
            <w:tc>
              <w:tcPr>
                <w:tcW w:w="662" w:type="pct"/>
                <w:shd w:val="clear" w:color="auto" w:fill="auto"/>
                <w:noWrap/>
                <w:vAlign w:val="center"/>
                <w:hideMark/>
              </w:tcPr>
              <w:p w14:paraId="5C51FFA9" w14:textId="77777777" w:rsidR="00CF111C" w:rsidRPr="00515368" w:rsidRDefault="00CF111C" w:rsidP="00CF111C">
                <w:pPr>
                  <w:spacing w:after="0" w:line="240" w:lineRule="auto"/>
                  <w:jc w:val="center"/>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02-00872</w:t>
                </w:r>
              </w:p>
            </w:tc>
            <w:tc>
              <w:tcPr>
                <w:tcW w:w="661" w:type="pct"/>
                <w:shd w:val="clear" w:color="auto" w:fill="auto"/>
                <w:noWrap/>
                <w:vAlign w:val="center"/>
                <w:hideMark/>
              </w:tcPr>
              <w:p w14:paraId="50C9DD6C" w14:textId="77777777" w:rsidR="00CF111C" w:rsidRPr="00515368" w:rsidRDefault="00CF111C" w:rsidP="00CF111C">
                <w:pPr>
                  <w:spacing w:after="0" w:line="240" w:lineRule="auto"/>
                  <w:jc w:val="center"/>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BAJA</w:t>
                </w:r>
              </w:p>
            </w:tc>
            <w:tc>
              <w:tcPr>
                <w:tcW w:w="1491" w:type="pct"/>
                <w:shd w:val="clear" w:color="auto" w:fill="auto"/>
                <w:vAlign w:val="center"/>
                <w:hideMark/>
              </w:tcPr>
              <w:p w14:paraId="6B4048B4" w14:textId="77777777" w:rsidR="00CF111C" w:rsidRPr="00515368" w:rsidRDefault="00CF111C" w:rsidP="00CF111C">
                <w:pPr>
                  <w:spacing w:after="0" w:line="240" w:lineRule="auto"/>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COMPUTADOR PORTATIL</w:t>
                </w:r>
              </w:p>
            </w:tc>
            <w:tc>
              <w:tcPr>
                <w:tcW w:w="710" w:type="pct"/>
                <w:shd w:val="clear" w:color="auto" w:fill="auto"/>
                <w:vAlign w:val="center"/>
                <w:hideMark/>
              </w:tcPr>
              <w:p w14:paraId="1C3224BE" w14:textId="77777777" w:rsidR="00CF111C" w:rsidRPr="00515368" w:rsidRDefault="00CF111C" w:rsidP="00CF111C">
                <w:pPr>
                  <w:spacing w:after="0" w:line="240" w:lineRule="auto"/>
                  <w:jc w:val="center"/>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1</w:t>
                </w:r>
              </w:p>
            </w:tc>
            <w:tc>
              <w:tcPr>
                <w:tcW w:w="814" w:type="pct"/>
                <w:shd w:val="clear" w:color="auto" w:fill="auto"/>
                <w:vAlign w:val="center"/>
                <w:hideMark/>
              </w:tcPr>
              <w:p w14:paraId="4AB85089" w14:textId="59B4C482" w:rsidR="00CF111C" w:rsidRPr="00515368" w:rsidRDefault="00CF111C" w:rsidP="00515368">
                <w:pPr>
                  <w:spacing w:after="0" w:line="240" w:lineRule="auto"/>
                  <w:jc w:val="right"/>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2.901.503</w:t>
                </w:r>
              </w:p>
            </w:tc>
          </w:tr>
          <w:tr w:rsidR="00CF111C" w:rsidRPr="00CF111C" w14:paraId="2C7F6DA9" w14:textId="77777777" w:rsidTr="00862AB7">
            <w:trPr>
              <w:trHeight w:val="397"/>
            </w:trPr>
            <w:tc>
              <w:tcPr>
                <w:tcW w:w="662" w:type="pct"/>
                <w:shd w:val="clear" w:color="auto" w:fill="auto"/>
                <w:noWrap/>
                <w:vAlign w:val="center"/>
                <w:hideMark/>
              </w:tcPr>
              <w:p w14:paraId="567A35FA" w14:textId="77777777" w:rsidR="00CF111C" w:rsidRPr="00515368" w:rsidRDefault="00CF111C" w:rsidP="00CF111C">
                <w:pPr>
                  <w:spacing w:after="0" w:line="240" w:lineRule="auto"/>
                  <w:jc w:val="right"/>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1/12/2023</w:t>
                </w:r>
              </w:p>
            </w:tc>
            <w:tc>
              <w:tcPr>
                <w:tcW w:w="662" w:type="pct"/>
                <w:shd w:val="clear" w:color="auto" w:fill="auto"/>
                <w:noWrap/>
                <w:vAlign w:val="center"/>
                <w:hideMark/>
              </w:tcPr>
              <w:p w14:paraId="2975897E" w14:textId="77777777" w:rsidR="00CF111C" w:rsidRPr="00515368" w:rsidRDefault="00CF111C" w:rsidP="00CF111C">
                <w:pPr>
                  <w:spacing w:after="0" w:line="240" w:lineRule="auto"/>
                  <w:jc w:val="center"/>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02-00873</w:t>
                </w:r>
              </w:p>
            </w:tc>
            <w:tc>
              <w:tcPr>
                <w:tcW w:w="661" w:type="pct"/>
                <w:shd w:val="clear" w:color="auto" w:fill="auto"/>
                <w:noWrap/>
                <w:vAlign w:val="center"/>
                <w:hideMark/>
              </w:tcPr>
              <w:p w14:paraId="1D28802A" w14:textId="77777777" w:rsidR="00CF111C" w:rsidRPr="00515368" w:rsidRDefault="00CF111C" w:rsidP="00CF111C">
                <w:pPr>
                  <w:spacing w:after="0" w:line="240" w:lineRule="auto"/>
                  <w:jc w:val="center"/>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BAJA</w:t>
                </w:r>
              </w:p>
            </w:tc>
            <w:tc>
              <w:tcPr>
                <w:tcW w:w="1491" w:type="pct"/>
                <w:shd w:val="clear" w:color="auto" w:fill="auto"/>
                <w:vAlign w:val="center"/>
                <w:hideMark/>
              </w:tcPr>
              <w:p w14:paraId="35C9997C" w14:textId="77777777" w:rsidR="00CF111C" w:rsidRPr="00515368" w:rsidRDefault="00CF111C" w:rsidP="00CF111C">
                <w:pPr>
                  <w:spacing w:after="0" w:line="240" w:lineRule="auto"/>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COMPUTADOR PORTATIL</w:t>
                </w:r>
              </w:p>
            </w:tc>
            <w:tc>
              <w:tcPr>
                <w:tcW w:w="710" w:type="pct"/>
                <w:shd w:val="clear" w:color="000000" w:fill="FFFFFF"/>
                <w:vAlign w:val="center"/>
                <w:hideMark/>
              </w:tcPr>
              <w:p w14:paraId="1211F5CD" w14:textId="77777777" w:rsidR="00CF111C" w:rsidRPr="00515368" w:rsidRDefault="00CF111C" w:rsidP="00CF111C">
                <w:pPr>
                  <w:spacing w:after="0" w:line="240" w:lineRule="auto"/>
                  <w:jc w:val="center"/>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1</w:t>
                </w:r>
              </w:p>
            </w:tc>
            <w:tc>
              <w:tcPr>
                <w:tcW w:w="814" w:type="pct"/>
                <w:shd w:val="clear" w:color="auto" w:fill="auto"/>
                <w:vAlign w:val="center"/>
                <w:hideMark/>
              </w:tcPr>
              <w:p w14:paraId="560F8573" w14:textId="6A6CA333" w:rsidR="00CF111C" w:rsidRPr="00515368" w:rsidRDefault="00CF111C" w:rsidP="00515368">
                <w:pPr>
                  <w:spacing w:after="0" w:line="240" w:lineRule="auto"/>
                  <w:jc w:val="right"/>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2.869.829</w:t>
                </w:r>
              </w:p>
            </w:tc>
          </w:tr>
          <w:tr w:rsidR="00CF111C" w:rsidRPr="00CF111C" w14:paraId="72AEE36F" w14:textId="77777777" w:rsidTr="00862AB7">
            <w:trPr>
              <w:trHeight w:val="397"/>
            </w:trPr>
            <w:tc>
              <w:tcPr>
                <w:tcW w:w="662" w:type="pct"/>
                <w:shd w:val="clear" w:color="auto" w:fill="auto"/>
                <w:noWrap/>
                <w:vAlign w:val="center"/>
                <w:hideMark/>
              </w:tcPr>
              <w:p w14:paraId="2F9EC0EA" w14:textId="77777777" w:rsidR="00CF111C" w:rsidRPr="00515368" w:rsidRDefault="00CF111C" w:rsidP="00CF111C">
                <w:pPr>
                  <w:spacing w:after="0" w:line="240" w:lineRule="auto"/>
                  <w:jc w:val="right"/>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1/12/2023</w:t>
                </w:r>
              </w:p>
            </w:tc>
            <w:tc>
              <w:tcPr>
                <w:tcW w:w="662" w:type="pct"/>
                <w:shd w:val="clear" w:color="auto" w:fill="auto"/>
                <w:noWrap/>
                <w:vAlign w:val="center"/>
                <w:hideMark/>
              </w:tcPr>
              <w:p w14:paraId="785BA6A6" w14:textId="77777777" w:rsidR="00CF111C" w:rsidRPr="00515368" w:rsidRDefault="00CF111C" w:rsidP="00CF111C">
                <w:pPr>
                  <w:spacing w:after="0" w:line="240" w:lineRule="auto"/>
                  <w:jc w:val="center"/>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02-00874</w:t>
                </w:r>
              </w:p>
            </w:tc>
            <w:tc>
              <w:tcPr>
                <w:tcW w:w="661" w:type="pct"/>
                <w:shd w:val="clear" w:color="auto" w:fill="auto"/>
                <w:noWrap/>
                <w:vAlign w:val="center"/>
                <w:hideMark/>
              </w:tcPr>
              <w:p w14:paraId="6F151FBE" w14:textId="77777777" w:rsidR="00CF111C" w:rsidRPr="00515368" w:rsidRDefault="00CF111C" w:rsidP="00CF111C">
                <w:pPr>
                  <w:spacing w:after="0" w:line="240" w:lineRule="auto"/>
                  <w:jc w:val="center"/>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BAJA</w:t>
                </w:r>
              </w:p>
            </w:tc>
            <w:tc>
              <w:tcPr>
                <w:tcW w:w="1491" w:type="pct"/>
                <w:shd w:val="clear" w:color="auto" w:fill="auto"/>
                <w:vAlign w:val="center"/>
                <w:hideMark/>
              </w:tcPr>
              <w:p w14:paraId="186FBC87" w14:textId="77777777" w:rsidR="00CF111C" w:rsidRPr="00515368" w:rsidRDefault="00CF111C" w:rsidP="00CF111C">
                <w:pPr>
                  <w:spacing w:after="0" w:line="240" w:lineRule="auto"/>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COMPUTADOR PORTATIL</w:t>
                </w:r>
              </w:p>
            </w:tc>
            <w:tc>
              <w:tcPr>
                <w:tcW w:w="710" w:type="pct"/>
                <w:shd w:val="clear" w:color="000000" w:fill="FFFFFF"/>
                <w:vAlign w:val="center"/>
                <w:hideMark/>
              </w:tcPr>
              <w:p w14:paraId="11A04E4E" w14:textId="77777777" w:rsidR="00CF111C" w:rsidRPr="00515368" w:rsidRDefault="00CF111C" w:rsidP="00CF111C">
                <w:pPr>
                  <w:spacing w:after="0" w:line="240" w:lineRule="auto"/>
                  <w:jc w:val="center"/>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1</w:t>
                </w:r>
              </w:p>
            </w:tc>
            <w:tc>
              <w:tcPr>
                <w:tcW w:w="814" w:type="pct"/>
                <w:shd w:val="clear" w:color="auto" w:fill="auto"/>
                <w:vAlign w:val="center"/>
                <w:hideMark/>
              </w:tcPr>
              <w:p w14:paraId="4DE8AFD8" w14:textId="39DB437D" w:rsidR="00CF111C" w:rsidRPr="00515368" w:rsidRDefault="00CF111C" w:rsidP="00515368">
                <w:pPr>
                  <w:spacing w:after="0" w:line="240" w:lineRule="auto"/>
                  <w:jc w:val="right"/>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2.901.504</w:t>
                </w:r>
              </w:p>
            </w:tc>
          </w:tr>
          <w:tr w:rsidR="00CF111C" w:rsidRPr="00CF111C" w14:paraId="6B3BBD20" w14:textId="77777777" w:rsidTr="00862AB7">
            <w:trPr>
              <w:trHeight w:val="397"/>
            </w:trPr>
            <w:tc>
              <w:tcPr>
                <w:tcW w:w="662" w:type="pct"/>
                <w:shd w:val="clear" w:color="auto" w:fill="auto"/>
                <w:noWrap/>
                <w:vAlign w:val="center"/>
                <w:hideMark/>
              </w:tcPr>
              <w:p w14:paraId="3A57FDBB" w14:textId="77777777" w:rsidR="00CF111C" w:rsidRPr="00515368" w:rsidRDefault="00CF111C" w:rsidP="00CF111C">
                <w:pPr>
                  <w:spacing w:after="0" w:line="240" w:lineRule="auto"/>
                  <w:jc w:val="right"/>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1/12/2023</w:t>
                </w:r>
              </w:p>
            </w:tc>
            <w:tc>
              <w:tcPr>
                <w:tcW w:w="662" w:type="pct"/>
                <w:shd w:val="clear" w:color="auto" w:fill="auto"/>
                <w:noWrap/>
                <w:vAlign w:val="center"/>
                <w:hideMark/>
              </w:tcPr>
              <w:p w14:paraId="5CADB1B1" w14:textId="77777777" w:rsidR="00CF111C" w:rsidRPr="00515368" w:rsidRDefault="00CF111C" w:rsidP="00CF111C">
                <w:pPr>
                  <w:spacing w:after="0" w:line="240" w:lineRule="auto"/>
                  <w:jc w:val="center"/>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02-00875</w:t>
                </w:r>
              </w:p>
            </w:tc>
            <w:tc>
              <w:tcPr>
                <w:tcW w:w="661" w:type="pct"/>
                <w:shd w:val="clear" w:color="auto" w:fill="auto"/>
                <w:noWrap/>
                <w:vAlign w:val="center"/>
                <w:hideMark/>
              </w:tcPr>
              <w:p w14:paraId="0E86CD70" w14:textId="77777777" w:rsidR="00CF111C" w:rsidRPr="00515368" w:rsidRDefault="00CF111C" w:rsidP="00CF111C">
                <w:pPr>
                  <w:spacing w:after="0" w:line="240" w:lineRule="auto"/>
                  <w:jc w:val="center"/>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BAJA</w:t>
                </w:r>
              </w:p>
            </w:tc>
            <w:tc>
              <w:tcPr>
                <w:tcW w:w="1491" w:type="pct"/>
                <w:shd w:val="clear" w:color="auto" w:fill="auto"/>
                <w:vAlign w:val="center"/>
                <w:hideMark/>
              </w:tcPr>
              <w:p w14:paraId="6483F802" w14:textId="77777777" w:rsidR="00CF111C" w:rsidRPr="00515368" w:rsidRDefault="00CF111C" w:rsidP="00CF111C">
                <w:pPr>
                  <w:spacing w:after="0" w:line="240" w:lineRule="auto"/>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COMPUTADOR PORTATIL</w:t>
                </w:r>
              </w:p>
            </w:tc>
            <w:tc>
              <w:tcPr>
                <w:tcW w:w="710" w:type="pct"/>
                <w:shd w:val="clear" w:color="000000" w:fill="FFFFFF"/>
                <w:vAlign w:val="center"/>
                <w:hideMark/>
              </w:tcPr>
              <w:p w14:paraId="35CE5904" w14:textId="77777777" w:rsidR="00CF111C" w:rsidRPr="00515368" w:rsidRDefault="00CF111C" w:rsidP="00CF111C">
                <w:pPr>
                  <w:spacing w:after="0" w:line="240" w:lineRule="auto"/>
                  <w:jc w:val="center"/>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1</w:t>
                </w:r>
              </w:p>
            </w:tc>
            <w:tc>
              <w:tcPr>
                <w:tcW w:w="814" w:type="pct"/>
                <w:shd w:val="clear" w:color="auto" w:fill="auto"/>
                <w:vAlign w:val="center"/>
                <w:hideMark/>
              </w:tcPr>
              <w:p w14:paraId="4839C4B2" w14:textId="324A6710" w:rsidR="00CF111C" w:rsidRPr="00515368" w:rsidRDefault="00CF111C" w:rsidP="00515368">
                <w:pPr>
                  <w:spacing w:after="0" w:line="240" w:lineRule="auto"/>
                  <w:jc w:val="right"/>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2.869.826</w:t>
                </w:r>
              </w:p>
            </w:tc>
          </w:tr>
          <w:tr w:rsidR="00CF111C" w:rsidRPr="00CF111C" w14:paraId="10100793" w14:textId="77777777" w:rsidTr="00862AB7">
            <w:trPr>
              <w:trHeight w:val="397"/>
            </w:trPr>
            <w:tc>
              <w:tcPr>
                <w:tcW w:w="662" w:type="pct"/>
                <w:shd w:val="clear" w:color="auto" w:fill="auto"/>
                <w:noWrap/>
                <w:vAlign w:val="center"/>
                <w:hideMark/>
              </w:tcPr>
              <w:p w14:paraId="6DD35402" w14:textId="77777777" w:rsidR="00CF111C" w:rsidRPr="00515368" w:rsidRDefault="00CF111C" w:rsidP="00CF111C">
                <w:pPr>
                  <w:spacing w:after="0" w:line="240" w:lineRule="auto"/>
                  <w:jc w:val="right"/>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28/11/2023</w:t>
                </w:r>
              </w:p>
            </w:tc>
            <w:tc>
              <w:tcPr>
                <w:tcW w:w="662" w:type="pct"/>
                <w:shd w:val="clear" w:color="auto" w:fill="auto"/>
                <w:noWrap/>
                <w:vAlign w:val="center"/>
                <w:hideMark/>
              </w:tcPr>
              <w:p w14:paraId="5F4AB368" w14:textId="77777777" w:rsidR="00CF111C" w:rsidRPr="00515368" w:rsidRDefault="00CF111C" w:rsidP="00CF111C">
                <w:pPr>
                  <w:spacing w:after="0" w:line="240" w:lineRule="auto"/>
                  <w:jc w:val="center"/>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02-00954</w:t>
                </w:r>
              </w:p>
            </w:tc>
            <w:tc>
              <w:tcPr>
                <w:tcW w:w="661" w:type="pct"/>
                <w:shd w:val="clear" w:color="auto" w:fill="auto"/>
                <w:noWrap/>
                <w:vAlign w:val="center"/>
                <w:hideMark/>
              </w:tcPr>
              <w:p w14:paraId="4FD17F29" w14:textId="77777777" w:rsidR="00CF111C" w:rsidRPr="00515368" w:rsidRDefault="00CF111C" w:rsidP="00CF111C">
                <w:pPr>
                  <w:spacing w:after="0" w:line="240" w:lineRule="auto"/>
                  <w:jc w:val="center"/>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BAJA</w:t>
                </w:r>
              </w:p>
            </w:tc>
            <w:tc>
              <w:tcPr>
                <w:tcW w:w="1491" w:type="pct"/>
                <w:shd w:val="clear" w:color="auto" w:fill="auto"/>
                <w:vAlign w:val="center"/>
                <w:hideMark/>
              </w:tcPr>
              <w:p w14:paraId="330834B1" w14:textId="77777777" w:rsidR="00CF111C" w:rsidRPr="00515368" w:rsidRDefault="00CF111C" w:rsidP="00CF111C">
                <w:pPr>
                  <w:spacing w:after="0" w:line="240" w:lineRule="auto"/>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TECLADOS Y MOUSE</w:t>
                </w:r>
              </w:p>
            </w:tc>
            <w:tc>
              <w:tcPr>
                <w:tcW w:w="710" w:type="pct"/>
                <w:shd w:val="clear" w:color="000000" w:fill="FFFFFF"/>
                <w:vAlign w:val="center"/>
                <w:hideMark/>
              </w:tcPr>
              <w:p w14:paraId="5CDA3A3F" w14:textId="77777777" w:rsidR="00CF111C" w:rsidRPr="00515368" w:rsidRDefault="00CF111C" w:rsidP="00CF111C">
                <w:pPr>
                  <w:spacing w:after="0" w:line="240" w:lineRule="auto"/>
                  <w:jc w:val="center"/>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355</w:t>
                </w:r>
              </w:p>
            </w:tc>
            <w:tc>
              <w:tcPr>
                <w:tcW w:w="814" w:type="pct"/>
                <w:shd w:val="clear" w:color="auto" w:fill="auto"/>
                <w:vAlign w:val="center"/>
                <w:hideMark/>
              </w:tcPr>
              <w:p w14:paraId="3AF97BD2" w14:textId="3872AD84" w:rsidR="00CF111C" w:rsidRPr="00515368" w:rsidRDefault="00CF111C" w:rsidP="00515368">
                <w:pPr>
                  <w:spacing w:after="0" w:line="240" w:lineRule="auto"/>
                  <w:jc w:val="right"/>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26.839.013</w:t>
                </w:r>
              </w:p>
            </w:tc>
          </w:tr>
          <w:tr w:rsidR="00CF111C" w:rsidRPr="00CF111C" w14:paraId="2C5D8B94" w14:textId="77777777" w:rsidTr="00862AB7">
            <w:trPr>
              <w:trHeight w:val="397"/>
            </w:trPr>
            <w:tc>
              <w:tcPr>
                <w:tcW w:w="662" w:type="pct"/>
                <w:shd w:val="clear" w:color="auto" w:fill="auto"/>
                <w:noWrap/>
                <w:vAlign w:val="center"/>
                <w:hideMark/>
              </w:tcPr>
              <w:p w14:paraId="51FF558A" w14:textId="77777777" w:rsidR="00CF111C" w:rsidRPr="00515368" w:rsidRDefault="00CF111C" w:rsidP="00CF111C">
                <w:pPr>
                  <w:spacing w:after="0" w:line="240" w:lineRule="auto"/>
                  <w:jc w:val="right"/>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28/11/2023</w:t>
                </w:r>
              </w:p>
            </w:tc>
            <w:tc>
              <w:tcPr>
                <w:tcW w:w="662" w:type="pct"/>
                <w:shd w:val="clear" w:color="auto" w:fill="auto"/>
                <w:noWrap/>
                <w:vAlign w:val="center"/>
                <w:hideMark/>
              </w:tcPr>
              <w:p w14:paraId="4B815F61" w14:textId="77777777" w:rsidR="00CF111C" w:rsidRPr="00515368" w:rsidRDefault="00CF111C" w:rsidP="00CF111C">
                <w:pPr>
                  <w:spacing w:after="0" w:line="240" w:lineRule="auto"/>
                  <w:jc w:val="center"/>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02-00861</w:t>
                </w:r>
              </w:p>
            </w:tc>
            <w:tc>
              <w:tcPr>
                <w:tcW w:w="661" w:type="pct"/>
                <w:shd w:val="clear" w:color="auto" w:fill="auto"/>
                <w:noWrap/>
                <w:vAlign w:val="center"/>
                <w:hideMark/>
              </w:tcPr>
              <w:p w14:paraId="3D34FAAF" w14:textId="77777777" w:rsidR="00CF111C" w:rsidRPr="00515368" w:rsidRDefault="00CF111C" w:rsidP="00CF111C">
                <w:pPr>
                  <w:spacing w:after="0" w:line="240" w:lineRule="auto"/>
                  <w:jc w:val="center"/>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BAJA</w:t>
                </w:r>
              </w:p>
            </w:tc>
            <w:tc>
              <w:tcPr>
                <w:tcW w:w="1491" w:type="pct"/>
                <w:shd w:val="clear" w:color="auto" w:fill="auto"/>
                <w:vAlign w:val="center"/>
                <w:hideMark/>
              </w:tcPr>
              <w:p w14:paraId="3481DB60" w14:textId="77777777" w:rsidR="00CF111C" w:rsidRPr="00515368" w:rsidRDefault="00CF111C" w:rsidP="00CF111C">
                <w:pPr>
                  <w:spacing w:after="0" w:line="240" w:lineRule="auto"/>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BIENES MUEBLES</w:t>
                </w:r>
              </w:p>
            </w:tc>
            <w:tc>
              <w:tcPr>
                <w:tcW w:w="710" w:type="pct"/>
                <w:shd w:val="clear" w:color="auto" w:fill="auto"/>
                <w:vAlign w:val="center"/>
                <w:hideMark/>
              </w:tcPr>
              <w:p w14:paraId="74C9B682" w14:textId="77777777" w:rsidR="00CF111C" w:rsidRPr="00515368" w:rsidRDefault="00CF111C" w:rsidP="00CF111C">
                <w:pPr>
                  <w:spacing w:after="0" w:line="240" w:lineRule="auto"/>
                  <w:jc w:val="center"/>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40</w:t>
                </w:r>
              </w:p>
            </w:tc>
            <w:tc>
              <w:tcPr>
                <w:tcW w:w="814" w:type="pct"/>
                <w:shd w:val="clear" w:color="auto" w:fill="auto"/>
                <w:vAlign w:val="center"/>
                <w:hideMark/>
              </w:tcPr>
              <w:p w14:paraId="796B81C0" w14:textId="2089B4C0" w:rsidR="00CF111C" w:rsidRPr="00515368" w:rsidRDefault="00CF111C" w:rsidP="00515368">
                <w:pPr>
                  <w:spacing w:after="0" w:line="240" w:lineRule="auto"/>
                  <w:jc w:val="right"/>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108.644.918</w:t>
                </w:r>
              </w:p>
            </w:tc>
          </w:tr>
          <w:tr w:rsidR="00CF111C" w:rsidRPr="00CF111C" w14:paraId="70E1D791" w14:textId="77777777" w:rsidTr="00862AB7">
            <w:trPr>
              <w:trHeight w:val="397"/>
            </w:trPr>
            <w:tc>
              <w:tcPr>
                <w:tcW w:w="662" w:type="pct"/>
                <w:shd w:val="clear" w:color="auto" w:fill="auto"/>
                <w:noWrap/>
                <w:vAlign w:val="center"/>
                <w:hideMark/>
              </w:tcPr>
              <w:p w14:paraId="1BC064BD" w14:textId="77777777" w:rsidR="00CF111C" w:rsidRPr="00515368" w:rsidRDefault="00CF111C" w:rsidP="00CF111C">
                <w:pPr>
                  <w:spacing w:after="0" w:line="240" w:lineRule="auto"/>
                  <w:jc w:val="right"/>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28/11/2023</w:t>
                </w:r>
              </w:p>
            </w:tc>
            <w:tc>
              <w:tcPr>
                <w:tcW w:w="662" w:type="pct"/>
                <w:shd w:val="clear" w:color="auto" w:fill="auto"/>
                <w:noWrap/>
                <w:vAlign w:val="center"/>
                <w:hideMark/>
              </w:tcPr>
              <w:p w14:paraId="3EE57470" w14:textId="77777777" w:rsidR="00CF111C" w:rsidRPr="00515368" w:rsidRDefault="00CF111C" w:rsidP="00CF111C">
                <w:pPr>
                  <w:spacing w:after="0" w:line="240" w:lineRule="auto"/>
                  <w:jc w:val="center"/>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02-00860</w:t>
                </w:r>
              </w:p>
            </w:tc>
            <w:tc>
              <w:tcPr>
                <w:tcW w:w="661" w:type="pct"/>
                <w:shd w:val="clear" w:color="auto" w:fill="auto"/>
                <w:noWrap/>
                <w:vAlign w:val="center"/>
                <w:hideMark/>
              </w:tcPr>
              <w:p w14:paraId="03B0B4FF" w14:textId="77777777" w:rsidR="00CF111C" w:rsidRPr="00515368" w:rsidRDefault="00CF111C" w:rsidP="00CF111C">
                <w:pPr>
                  <w:spacing w:after="0" w:line="240" w:lineRule="auto"/>
                  <w:jc w:val="center"/>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BAJA</w:t>
                </w:r>
              </w:p>
            </w:tc>
            <w:tc>
              <w:tcPr>
                <w:tcW w:w="1491" w:type="pct"/>
                <w:shd w:val="clear" w:color="auto" w:fill="auto"/>
                <w:vAlign w:val="center"/>
                <w:hideMark/>
              </w:tcPr>
              <w:p w14:paraId="2D1C58FB" w14:textId="77777777" w:rsidR="00CF111C" w:rsidRPr="00515368" w:rsidRDefault="00CF111C" w:rsidP="00CF111C">
                <w:pPr>
                  <w:spacing w:after="0" w:line="240" w:lineRule="auto"/>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UPS 40 BATERIAS Y UPS 70 KVA</w:t>
                </w:r>
              </w:p>
            </w:tc>
            <w:tc>
              <w:tcPr>
                <w:tcW w:w="710" w:type="pct"/>
                <w:shd w:val="clear" w:color="auto" w:fill="auto"/>
                <w:vAlign w:val="center"/>
                <w:hideMark/>
              </w:tcPr>
              <w:p w14:paraId="338E4D75" w14:textId="77777777" w:rsidR="00CF111C" w:rsidRPr="00515368" w:rsidRDefault="00CF111C" w:rsidP="00CF111C">
                <w:pPr>
                  <w:spacing w:after="0" w:line="240" w:lineRule="auto"/>
                  <w:jc w:val="center"/>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3</w:t>
                </w:r>
              </w:p>
            </w:tc>
            <w:tc>
              <w:tcPr>
                <w:tcW w:w="814" w:type="pct"/>
                <w:shd w:val="clear" w:color="auto" w:fill="auto"/>
                <w:vAlign w:val="center"/>
                <w:hideMark/>
              </w:tcPr>
              <w:p w14:paraId="753E44C9" w14:textId="121471E3" w:rsidR="00CF111C" w:rsidRPr="00515368" w:rsidRDefault="00CF111C" w:rsidP="00515368">
                <w:pPr>
                  <w:spacing w:after="0" w:line="240" w:lineRule="auto"/>
                  <w:jc w:val="right"/>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151.462.000</w:t>
                </w:r>
              </w:p>
            </w:tc>
          </w:tr>
          <w:tr w:rsidR="00CF111C" w:rsidRPr="00CF111C" w14:paraId="0D7B8AD3" w14:textId="77777777" w:rsidTr="004A0440">
            <w:trPr>
              <w:trHeight w:val="397"/>
            </w:trPr>
            <w:tc>
              <w:tcPr>
                <w:tcW w:w="4186" w:type="pct"/>
                <w:gridSpan w:val="5"/>
                <w:shd w:val="clear" w:color="auto" w:fill="auto"/>
                <w:noWrap/>
                <w:vAlign w:val="center"/>
                <w:hideMark/>
              </w:tcPr>
              <w:p w14:paraId="4FC6D169" w14:textId="6DEC3C18" w:rsidR="00CF111C" w:rsidRPr="00515368" w:rsidRDefault="00862AB7" w:rsidP="00CF111C">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Total, bajas</w:t>
                </w:r>
              </w:p>
            </w:tc>
            <w:tc>
              <w:tcPr>
                <w:tcW w:w="814" w:type="pct"/>
                <w:shd w:val="clear" w:color="auto" w:fill="auto"/>
                <w:noWrap/>
                <w:vAlign w:val="center"/>
                <w:hideMark/>
              </w:tcPr>
              <w:p w14:paraId="195C8589" w14:textId="493F640E" w:rsidR="00CF111C" w:rsidRPr="00515368" w:rsidRDefault="00CF111C" w:rsidP="004A0440">
                <w:pPr>
                  <w:spacing w:after="0" w:line="240" w:lineRule="auto"/>
                  <w:jc w:val="right"/>
                  <w:rPr>
                    <w:rFonts w:ascii="Times New Roman" w:eastAsia="Times New Roman" w:hAnsi="Times New Roman"/>
                    <w:color w:val="000000"/>
                    <w:sz w:val="16"/>
                    <w:szCs w:val="16"/>
                    <w:lang w:eastAsia="es-CO"/>
                  </w:rPr>
                </w:pPr>
                <w:r w:rsidRPr="00515368">
                  <w:rPr>
                    <w:rFonts w:ascii="Times New Roman" w:eastAsia="Times New Roman" w:hAnsi="Times New Roman"/>
                    <w:color w:val="000000"/>
                    <w:sz w:val="16"/>
                    <w:szCs w:val="16"/>
                    <w:lang w:eastAsia="es-CO"/>
                  </w:rPr>
                  <w:t>337.062.668</w:t>
                </w:r>
              </w:p>
            </w:tc>
          </w:tr>
        </w:tbl>
        <w:p w14:paraId="3561265B" w14:textId="77777777" w:rsidR="00D21591" w:rsidRPr="0051423D" w:rsidRDefault="00D21591" w:rsidP="007D15C4">
          <w:pPr>
            <w:pStyle w:val="Default"/>
            <w:rPr>
              <w:rFonts w:ascii="Times New Roman" w:hAnsi="Times New Roman" w:cs="Times New Roman"/>
              <w:color w:val="auto"/>
              <w:lang w:eastAsia="en-US"/>
            </w:rPr>
          </w:pPr>
        </w:p>
        <w:p w14:paraId="57CE6583" w14:textId="77777777" w:rsidR="003D63CD" w:rsidRPr="003D63CD" w:rsidRDefault="003D63CD" w:rsidP="003D63CD">
          <w:pPr>
            <w:spacing w:after="0" w:line="254" w:lineRule="auto"/>
            <w:ind w:right="-20"/>
            <w:jc w:val="both"/>
            <w:rPr>
              <w:rFonts w:ascii="Times New Roman" w:eastAsia="Times New Roman" w:hAnsi="Times New Roman"/>
              <w:sz w:val="24"/>
              <w:szCs w:val="24"/>
            </w:rPr>
          </w:pPr>
          <w:r w:rsidRPr="005B7DDA">
            <w:rPr>
              <w:rFonts w:ascii="Times New Roman" w:hAnsi="Times New Roman"/>
              <w:b/>
              <w:color w:val="1F3864" w:themeColor="accent1" w:themeShade="80"/>
              <w:sz w:val="24"/>
              <w:szCs w:val="24"/>
            </w:rPr>
            <w:t xml:space="preserve">Bienes entregados a Terceros: </w:t>
          </w:r>
          <w:r w:rsidRPr="003D63CD">
            <w:rPr>
              <w:rFonts w:ascii="Times New Roman" w:hAnsi="Times New Roman"/>
              <w:sz w:val="24"/>
              <w:szCs w:val="24"/>
            </w:rPr>
            <w:t>Para</w:t>
          </w:r>
          <w:r w:rsidRPr="003D63CD">
            <w:rPr>
              <w:rFonts w:ascii="Times New Roman" w:eastAsia="Times New Roman" w:hAnsi="Times New Roman"/>
              <w:sz w:val="24"/>
              <w:szCs w:val="24"/>
            </w:rPr>
            <w:t xml:space="preserve"> el periodo 2023 la Agencia Nacional de Infraestructura continua con el Contrato Interadministrativo de Comodato No. CI-017 de 2019 celebrado con el Ministerio de Transporte para el vehículo: Camioneta Toyota Prado 3.0 Diesel, blindada con numero de motor IKD2314236-Chasis JTEBH9FJOEK112729, por valor de 7.602.740. </w:t>
          </w:r>
        </w:p>
        <w:p w14:paraId="241938A5" w14:textId="77777777" w:rsidR="003D63CD" w:rsidRPr="003D63CD" w:rsidRDefault="003D63CD" w:rsidP="00813524">
          <w:pPr>
            <w:spacing w:after="0" w:line="254" w:lineRule="auto"/>
            <w:ind w:right="-20"/>
            <w:jc w:val="both"/>
            <w:rPr>
              <w:rFonts w:ascii="Times New Roman" w:eastAsia="Times New Roman" w:hAnsi="Times New Roman"/>
              <w:sz w:val="24"/>
              <w:szCs w:val="24"/>
            </w:rPr>
          </w:pPr>
        </w:p>
        <w:p w14:paraId="769ED48D" w14:textId="5CABD4EC" w:rsidR="003D63CD" w:rsidRPr="003D63CD" w:rsidRDefault="003D63CD" w:rsidP="00813524">
          <w:pPr>
            <w:spacing w:after="0" w:line="254" w:lineRule="auto"/>
            <w:ind w:right="-20"/>
            <w:jc w:val="both"/>
            <w:rPr>
              <w:rFonts w:ascii="Times New Roman" w:hAnsi="Times New Roman"/>
              <w:sz w:val="24"/>
              <w:szCs w:val="24"/>
            </w:rPr>
          </w:pPr>
          <w:r w:rsidRPr="003D63CD">
            <w:rPr>
              <w:rFonts w:ascii="Times New Roman" w:eastAsia="Times New Roman" w:hAnsi="Times New Roman"/>
              <w:sz w:val="24"/>
              <w:szCs w:val="24"/>
            </w:rPr>
            <w:t>Mediante Acta de inicio del 7 de junio 2023, se cuenta con el Contrato Interadministrativo No. VGCOR-552-2023, suscrito entre la Agencia y el Ministerio de Transporte, por 2 años, con valor de $454.500.000, por transferencia de dos vehículos sin contraprestación para uso del Ministerio, cuyas especificaciones técnicas son:</w:t>
          </w:r>
          <w:r w:rsidRPr="009A46BB">
            <w:rPr>
              <w:rFonts w:ascii="Times New Roman" w:hAnsi="Times New Roman"/>
            </w:rPr>
            <w:t xml:space="preserve"> </w:t>
          </w:r>
          <w:r w:rsidRPr="003D63CD">
            <w:rPr>
              <w:rFonts w:ascii="Times New Roman" w:eastAsia="Times New Roman" w:hAnsi="Times New Roman"/>
              <w:sz w:val="24"/>
              <w:szCs w:val="24"/>
            </w:rPr>
            <w:t xml:space="preserve">Camioneta Toyota Fortuner 3.0 4x4 A/T </w:t>
          </w:r>
          <w:r w:rsidRPr="003D63CD">
            <w:rPr>
              <w:rFonts w:ascii="Times New Roman" w:eastAsia="Times New Roman" w:hAnsi="Times New Roman"/>
              <w:sz w:val="24"/>
              <w:szCs w:val="24"/>
            </w:rPr>
            <w:lastRenderedPageBreak/>
            <w:t xml:space="preserve">Campero Wagon Mecanica Diesel placa YBK-051, por valor de $162.600.000. Y Camioneta Toyota Fortuner 3.0 4X4 A/T Campero Wagon </w:t>
          </w:r>
          <w:r w:rsidR="0048240D" w:rsidRPr="003D63CD">
            <w:rPr>
              <w:rFonts w:ascii="Times New Roman" w:eastAsia="Times New Roman" w:hAnsi="Times New Roman"/>
              <w:sz w:val="24"/>
              <w:szCs w:val="24"/>
            </w:rPr>
            <w:t>Mecánica</w:t>
          </w:r>
          <w:r w:rsidRPr="003D63CD">
            <w:rPr>
              <w:rFonts w:ascii="Times New Roman" w:eastAsia="Times New Roman" w:hAnsi="Times New Roman"/>
              <w:sz w:val="24"/>
              <w:szCs w:val="24"/>
            </w:rPr>
            <w:t xml:space="preserve"> Diesel Blindada Placa YBK-054 por valor de $291.900.000.</w:t>
          </w:r>
        </w:p>
        <w:p w14:paraId="0937B16C" w14:textId="77777777" w:rsidR="00295CA3" w:rsidRPr="005B7DDA" w:rsidRDefault="00295CA3" w:rsidP="00813524">
          <w:pPr>
            <w:spacing w:after="0" w:line="254" w:lineRule="auto"/>
            <w:ind w:right="-20"/>
            <w:jc w:val="both"/>
            <w:rPr>
              <w:rFonts w:ascii="Times New Roman" w:eastAsia="Times New Roman" w:hAnsi="Times New Roman"/>
              <w:color w:val="1F3864" w:themeColor="accent1" w:themeShade="80"/>
              <w:sz w:val="24"/>
              <w:szCs w:val="24"/>
            </w:rPr>
          </w:pPr>
        </w:p>
        <w:p w14:paraId="4FD0F939" w14:textId="1470675F" w:rsidR="00295CA3" w:rsidRPr="005B7DDA" w:rsidRDefault="00295CA3" w:rsidP="00295CA3">
          <w:pPr>
            <w:pStyle w:val="Textoindependiente"/>
            <w:jc w:val="both"/>
            <w:rPr>
              <w:b/>
              <w:color w:val="1F3864" w:themeColor="accent1" w:themeShade="80"/>
            </w:rPr>
          </w:pPr>
          <w:r w:rsidRPr="005B7DDA">
            <w:rPr>
              <w:b/>
              <w:color w:val="1F3864" w:themeColor="accent1" w:themeShade="80"/>
            </w:rPr>
            <w:t>Propiedad Planta y Equipo En Bodega</w:t>
          </w:r>
        </w:p>
        <w:p w14:paraId="6BEB7A64" w14:textId="77777777" w:rsidR="00BE2276" w:rsidRPr="004560A8" w:rsidRDefault="00BE2276" w:rsidP="00295CA3">
          <w:pPr>
            <w:pStyle w:val="Textoindependiente"/>
            <w:jc w:val="both"/>
          </w:pPr>
        </w:p>
        <w:p w14:paraId="11866F9F" w14:textId="08348C21" w:rsidR="00427837" w:rsidRPr="004560A8" w:rsidRDefault="004560A8" w:rsidP="00295CA3">
          <w:pPr>
            <w:pStyle w:val="Textoindependiente"/>
            <w:jc w:val="both"/>
          </w:pPr>
          <w:r>
            <w:rPr>
              <w:bCs/>
            </w:rPr>
            <w:t>El saldo de la cuenta c</w:t>
          </w:r>
          <w:r w:rsidR="00C22B86" w:rsidRPr="004560A8">
            <w:rPr>
              <w:bCs/>
            </w:rPr>
            <w:t>orresponde a</w:t>
          </w:r>
          <w:r w:rsidR="00F01B33">
            <w:rPr>
              <w:bCs/>
            </w:rPr>
            <w:t xml:space="preserve"> bienes comprados para uso administrativo de la </w:t>
          </w:r>
          <w:r w:rsidR="00AA0AC0">
            <w:rPr>
              <w:bCs/>
            </w:rPr>
            <w:t xml:space="preserve">ANI y que por su fecha de compra aún no </w:t>
          </w:r>
          <w:r w:rsidR="6C8EE2C4">
            <w:t>se han asignado</w:t>
          </w:r>
          <w:r w:rsidR="00AA0AC0">
            <w:rPr>
              <w:bCs/>
            </w:rPr>
            <w:t xml:space="preserve"> al servicio.</w:t>
          </w:r>
        </w:p>
        <w:p w14:paraId="3566D909" w14:textId="3B705920" w:rsidR="00427837" w:rsidRPr="00931DCE" w:rsidRDefault="00427837" w:rsidP="00295CA3">
          <w:pPr>
            <w:pStyle w:val="Textoindependiente"/>
            <w:jc w:val="both"/>
            <w:rPr>
              <w:b/>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869"/>
            <w:gridCol w:w="1535"/>
            <w:gridCol w:w="2606"/>
            <w:gridCol w:w="2110"/>
            <w:gridCol w:w="796"/>
            <w:gridCol w:w="1053"/>
          </w:tblGrid>
          <w:tr w:rsidR="00B80542" w:rsidRPr="00B80542" w14:paraId="14569FAC" w14:textId="77777777" w:rsidTr="002F569D">
            <w:trPr>
              <w:trHeight w:val="397"/>
            </w:trPr>
            <w:tc>
              <w:tcPr>
                <w:tcW w:w="484" w:type="pct"/>
                <w:shd w:val="clear" w:color="auto" w:fill="auto"/>
                <w:noWrap/>
                <w:vAlign w:val="center"/>
                <w:hideMark/>
              </w:tcPr>
              <w:p w14:paraId="27F52A94" w14:textId="77777777" w:rsidR="00B80542" w:rsidRPr="002F569D" w:rsidRDefault="00B80542" w:rsidP="00B80542">
                <w:pPr>
                  <w:spacing w:after="0" w:line="240" w:lineRule="auto"/>
                  <w:jc w:val="center"/>
                  <w:rPr>
                    <w:rFonts w:ascii="Times New Roman" w:eastAsia="Times New Roman" w:hAnsi="Times New Roman"/>
                    <w:b/>
                    <w:color w:val="000000"/>
                    <w:sz w:val="16"/>
                    <w:szCs w:val="16"/>
                    <w:lang w:eastAsia="es-CO"/>
                  </w:rPr>
                </w:pPr>
                <w:r w:rsidRPr="002F569D">
                  <w:rPr>
                    <w:rFonts w:ascii="Times New Roman" w:eastAsia="Times New Roman" w:hAnsi="Times New Roman"/>
                    <w:b/>
                    <w:color w:val="000000"/>
                    <w:sz w:val="16"/>
                    <w:szCs w:val="16"/>
                    <w:lang w:eastAsia="es-CO"/>
                  </w:rPr>
                  <w:t>Fecha</w:t>
                </w:r>
              </w:p>
            </w:tc>
            <w:tc>
              <w:tcPr>
                <w:tcW w:w="856" w:type="pct"/>
                <w:shd w:val="clear" w:color="auto" w:fill="auto"/>
                <w:noWrap/>
                <w:vAlign w:val="center"/>
                <w:hideMark/>
              </w:tcPr>
              <w:p w14:paraId="036F3574" w14:textId="77777777" w:rsidR="00B80542" w:rsidRPr="002F569D" w:rsidRDefault="00B80542" w:rsidP="00B80542">
                <w:pPr>
                  <w:spacing w:after="0" w:line="240" w:lineRule="auto"/>
                  <w:jc w:val="center"/>
                  <w:rPr>
                    <w:rFonts w:ascii="Times New Roman" w:eastAsia="Times New Roman" w:hAnsi="Times New Roman"/>
                    <w:b/>
                    <w:color w:val="000000"/>
                    <w:sz w:val="16"/>
                    <w:szCs w:val="16"/>
                    <w:lang w:eastAsia="es-CO"/>
                  </w:rPr>
                </w:pPr>
                <w:r w:rsidRPr="002F569D">
                  <w:rPr>
                    <w:rFonts w:ascii="Times New Roman" w:eastAsia="Times New Roman" w:hAnsi="Times New Roman"/>
                    <w:b/>
                    <w:color w:val="000000"/>
                    <w:sz w:val="16"/>
                    <w:szCs w:val="16"/>
                    <w:lang w:eastAsia="es-CO"/>
                  </w:rPr>
                  <w:t>Grupo</w:t>
                </w:r>
              </w:p>
            </w:tc>
            <w:tc>
              <w:tcPr>
                <w:tcW w:w="1453" w:type="pct"/>
                <w:shd w:val="clear" w:color="auto" w:fill="auto"/>
                <w:noWrap/>
                <w:vAlign w:val="center"/>
                <w:hideMark/>
              </w:tcPr>
              <w:p w14:paraId="5C6253C5" w14:textId="77777777" w:rsidR="00B80542" w:rsidRPr="002F569D" w:rsidRDefault="00B80542" w:rsidP="00B80542">
                <w:pPr>
                  <w:spacing w:after="0" w:line="240" w:lineRule="auto"/>
                  <w:jc w:val="center"/>
                  <w:rPr>
                    <w:rFonts w:ascii="Times New Roman" w:eastAsia="Times New Roman" w:hAnsi="Times New Roman"/>
                    <w:b/>
                    <w:color w:val="000000"/>
                    <w:sz w:val="16"/>
                    <w:szCs w:val="16"/>
                    <w:lang w:eastAsia="es-CO"/>
                  </w:rPr>
                </w:pPr>
                <w:r w:rsidRPr="002F569D">
                  <w:rPr>
                    <w:rFonts w:ascii="Times New Roman" w:eastAsia="Times New Roman" w:hAnsi="Times New Roman"/>
                    <w:b/>
                    <w:color w:val="000000"/>
                    <w:sz w:val="16"/>
                    <w:szCs w:val="16"/>
                    <w:lang w:eastAsia="es-CO"/>
                  </w:rPr>
                  <w:t>Elemento</w:t>
                </w:r>
              </w:p>
            </w:tc>
            <w:tc>
              <w:tcPr>
                <w:tcW w:w="1176" w:type="pct"/>
                <w:shd w:val="clear" w:color="auto" w:fill="auto"/>
                <w:noWrap/>
                <w:vAlign w:val="center"/>
                <w:hideMark/>
              </w:tcPr>
              <w:p w14:paraId="433481FC" w14:textId="77777777" w:rsidR="00B80542" w:rsidRPr="002F569D" w:rsidRDefault="00B80542" w:rsidP="00B80542">
                <w:pPr>
                  <w:spacing w:after="0" w:line="240" w:lineRule="auto"/>
                  <w:jc w:val="center"/>
                  <w:rPr>
                    <w:rFonts w:ascii="Times New Roman" w:eastAsia="Times New Roman" w:hAnsi="Times New Roman"/>
                    <w:b/>
                    <w:color w:val="000000"/>
                    <w:sz w:val="16"/>
                    <w:szCs w:val="16"/>
                    <w:lang w:eastAsia="es-CO"/>
                  </w:rPr>
                </w:pPr>
                <w:r w:rsidRPr="002F569D">
                  <w:rPr>
                    <w:rFonts w:ascii="Times New Roman" w:eastAsia="Times New Roman" w:hAnsi="Times New Roman"/>
                    <w:b/>
                    <w:color w:val="000000"/>
                    <w:sz w:val="16"/>
                    <w:szCs w:val="16"/>
                    <w:lang w:eastAsia="es-CO"/>
                  </w:rPr>
                  <w:t>PROVEDOR</w:t>
                </w:r>
              </w:p>
            </w:tc>
            <w:tc>
              <w:tcPr>
                <w:tcW w:w="443" w:type="pct"/>
                <w:shd w:val="clear" w:color="auto" w:fill="auto"/>
                <w:noWrap/>
                <w:vAlign w:val="center"/>
                <w:hideMark/>
              </w:tcPr>
              <w:p w14:paraId="506B7D15" w14:textId="77777777" w:rsidR="00B80542" w:rsidRPr="002F569D" w:rsidRDefault="00B80542" w:rsidP="00B80542">
                <w:pPr>
                  <w:spacing w:after="0" w:line="240" w:lineRule="auto"/>
                  <w:jc w:val="center"/>
                  <w:rPr>
                    <w:rFonts w:ascii="Times New Roman" w:eastAsia="Times New Roman" w:hAnsi="Times New Roman"/>
                    <w:b/>
                    <w:color w:val="000000"/>
                    <w:sz w:val="16"/>
                    <w:szCs w:val="16"/>
                    <w:lang w:eastAsia="es-CO"/>
                  </w:rPr>
                </w:pPr>
                <w:r w:rsidRPr="002F569D">
                  <w:rPr>
                    <w:rFonts w:ascii="Times New Roman" w:eastAsia="Times New Roman" w:hAnsi="Times New Roman"/>
                    <w:b/>
                    <w:color w:val="000000"/>
                    <w:sz w:val="16"/>
                    <w:szCs w:val="16"/>
                    <w:lang w:eastAsia="es-CO"/>
                  </w:rPr>
                  <w:t>Cantidad</w:t>
                </w:r>
              </w:p>
            </w:tc>
            <w:tc>
              <w:tcPr>
                <w:tcW w:w="587" w:type="pct"/>
                <w:shd w:val="clear" w:color="auto" w:fill="auto"/>
                <w:noWrap/>
                <w:vAlign w:val="center"/>
                <w:hideMark/>
              </w:tcPr>
              <w:p w14:paraId="46AA74FB" w14:textId="77777777" w:rsidR="00B80542" w:rsidRPr="002F569D" w:rsidRDefault="00B80542" w:rsidP="00B80542">
                <w:pPr>
                  <w:spacing w:after="0" w:line="240" w:lineRule="auto"/>
                  <w:jc w:val="center"/>
                  <w:rPr>
                    <w:rFonts w:ascii="Times New Roman" w:eastAsia="Times New Roman" w:hAnsi="Times New Roman"/>
                    <w:b/>
                    <w:color w:val="000000"/>
                    <w:sz w:val="16"/>
                    <w:szCs w:val="16"/>
                    <w:lang w:eastAsia="es-CO"/>
                  </w:rPr>
                </w:pPr>
                <w:r w:rsidRPr="002F569D">
                  <w:rPr>
                    <w:rFonts w:ascii="Times New Roman" w:eastAsia="Times New Roman" w:hAnsi="Times New Roman"/>
                    <w:b/>
                    <w:color w:val="000000"/>
                    <w:sz w:val="16"/>
                    <w:szCs w:val="16"/>
                    <w:lang w:eastAsia="es-CO"/>
                  </w:rPr>
                  <w:t xml:space="preserve"> Valor Total </w:t>
                </w:r>
              </w:p>
            </w:tc>
          </w:tr>
          <w:tr w:rsidR="00B80542" w:rsidRPr="00B80542" w14:paraId="65ADA021" w14:textId="77777777" w:rsidTr="002F569D">
            <w:trPr>
              <w:trHeight w:val="397"/>
            </w:trPr>
            <w:tc>
              <w:tcPr>
                <w:tcW w:w="484" w:type="pct"/>
                <w:shd w:val="clear" w:color="auto" w:fill="auto"/>
                <w:noWrap/>
                <w:vAlign w:val="center"/>
                <w:hideMark/>
              </w:tcPr>
              <w:p w14:paraId="5A383ED5" w14:textId="77777777" w:rsidR="00B80542" w:rsidRPr="002F569D" w:rsidRDefault="00B80542" w:rsidP="00B80542">
                <w:pPr>
                  <w:spacing w:after="0" w:line="240" w:lineRule="auto"/>
                  <w:jc w:val="right"/>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4/12/2023</w:t>
                </w:r>
              </w:p>
            </w:tc>
            <w:tc>
              <w:tcPr>
                <w:tcW w:w="856" w:type="pct"/>
                <w:shd w:val="clear" w:color="auto" w:fill="auto"/>
                <w:vAlign w:val="center"/>
                <w:hideMark/>
              </w:tcPr>
              <w:p w14:paraId="3ACF57CE" w14:textId="28176CD0" w:rsidR="00B80542" w:rsidRPr="002F569D" w:rsidRDefault="002F569D" w:rsidP="002F569D">
                <w:pPr>
                  <w:spacing w:after="0" w:line="240" w:lineRule="auto"/>
                  <w:jc w:val="both"/>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MUEBLES Y ENSERES</w:t>
                </w:r>
              </w:p>
            </w:tc>
            <w:tc>
              <w:tcPr>
                <w:tcW w:w="1453" w:type="pct"/>
                <w:shd w:val="clear" w:color="auto" w:fill="auto"/>
                <w:vAlign w:val="center"/>
                <w:hideMark/>
              </w:tcPr>
              <w:p w14:paraId="3F685F4A" w14:textId="77777777" w:rsidR="00B80542" w:rsidRPr="002F569D" w:rsidRDefault="00B80542" w:rsidP="001A42B1">
                <w:pPr>
                  <w:spacing w:after="0" w:line="240" w:lineRule="auto"/>
                  <w:jc w:val="both"/>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SILLAS OPERATIVAS PUESTOS DE TRABAJO, SILLA EJECUTIVA TIPO GERENTE Y SILLA SALA DE JUNTAS PRESIDENCIA</w:t>
                </w:r>
              </w:p>
            </w:tc>
            <w:tc>
              <w:tcPr>
                <w:tcW w:w="1176" w:type="pct"/>
                <w:shd w:val="clear" w:color="auto" w:fill="auto"/>
                <w:vAlign w:val="center"/>
                <w:hideMark/>
              </w:tcPr>
              <w:p w14:paraId="221C717A" w14:textId="77777777" w:rsidR="00B80542" w:rsidRPr="002F569D" w:rsidRDefault="00B80542" w:rsidP="001A42B1">
                <w:pPr>
                  <w:spacing w:after="0" w:line="240" w:lineRule="auto"/>
                  <w:jc w:val="both"/>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LIBRERIA Y PANAMERICANA SA</w:t>
                </w:r>
              </w:p>
            </w:tc>
            <w:tc>
              <w:tcPr>
                <w:tcW w:w="443" w:type="pct"/>
                <w:shd w:val="clear" w:color="000000" w:fill="FFFFFF"/>
                <w:vAlign w:val="center"/>
                <w:hideMark/>
              </w:tcPr>
              <w:p w14:paraId="383A15C2" w14:textId="77777777" w:rsidR="00B80542" w:rsidRPr="002F569D" w:rsidRDefault="00B80542" w:rsidP="00B80542">
                <w:pPr>
                  <w:spacing w:after="0" w:line="240" w:lineRule="auto"/>
                  <w:jc w:val="center"/>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1</w:t>
                </w:r>
              </w:p>
            </w:tc>
            <w:tc>
              <w:tcPr>
                <w:tcW w:w="587" w:type="pct"/>
                <w:shd w:val="clear" w:color="auto" w:fill="auto"/>
                <w:vAlign w:val="center"/>
                <w:hideMark/>
              </w:tcPr>
              <w:p w14:paraId="27619569" w14:textId="01B569B0" w:rsidR="00B80542" w:rsidRPr="002F569D" w:rsidRDefault="00B80542" w:rsidP="00B80542">
                <w:pPr>
                  <w:spacing w:after="0" w:line="240" w:lineRule="auto"/>
                  <w:jc w:val="right"/>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 xml:space="preserve"> $160.702.122 </w:t>
                </w:r>
              </w:p>
            </w:tc>
          </w:tr>
          <w:tr w:rsidR="00B80542" w:rsidRPr="00B80542" w14:paraId="3C473EBC" w14:textId="77777777" w:rsidTr="002F569D">
            <w:trPr>
              <w:trHeight w:val="397"/>
            </w:trPr>
            <w:tc>
              <w:tcPr>
                <w:tcW w:w="484" w:type="pct"/>
                <w:shd w:val="clear" w:color="auto" w:fill="auto"/>
                <w:noWrap/>
                <w:vAlign w:val="center"/>
                <w:hideMark/>
              </w:tcPr>
              <w:p w14:paraId="50E4FAAA" w14:textId="77777777" w:rsidR="00B80542" w:rsidRPr="002F569D" w:rsidRDefault="00B80542" w:rsidP="00B80542">
                <w:pPr>
                  <w:spacing w:after="0" w:line="240" w:lineRule="auto"/>
                  <w:jc w:val="right"/>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18/09/2023</w:t>
                </w:r>
              </w:p>
            </w:tc>
            <w:tc>
              <w:tcPr>
                <w:tcW w:w="856" w:type="pct"/>
                <w:shd w:val="clear" w:color="auto" w:fill="auto"/>
                <w:vAlign w:val="center"/>
                <w:hideMark/>
              </w:tcPr>
              <w:p w14:paraId="7B711C14" w14:textId="5B93429D" w:rsidR="00B80542" w:rsidRPr="002F569D" w:rsidRDefault="002F569D" w:rsidP="002F569D">
                <w:pPr>
                  <w:spacing w:after="0" w:line="240" w:lineRule="auto"/>
                  <w:jc w:val="both"/>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EQUIPO Y MÁQUINA DE OFICINA</w:t>
                </w:r>
              </w:p>
            </w:tc>
            <w:tc>
              <w:tcPr>
                <w:tcW w:w="1453" w:type="pct"/>
                <w:shd w:val="clear" w:color="auto" w:fill="auto"/>
                <w:vAlign w:val="center"/>
                <w:hideMark/>
              </w:tcPr>
              <w:p w14:paraId="3D4F20AE" w14:textId="44EF6E2A" w:rsidR="00B80542" w:rsidRPr="002F569D" w:rsidRDefault="00B80542" w:rsidP="001A42B1">
                <w:pPr>
                  <w:spacing w:after="0" w:line="240" w:lineRule="auto"/>
                  <w:jc w:val="both"/>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 xml:space="preserve">CAMARA FOTOGRAFICA CANON DIGITAL PROFESIONAL CAMARA CANON EOS 90D   </w:t>
                </w:r>
              </w:p>
            </w:tc>
            <w:tc>
              <w:tcPr>
                <w:tcW w:w="1176" w:type="pct"/>
                <w:shd w:val="clear" w:color="auto" w:fill="auto"/>
                <w:vAlign w:val="center"/>
                <w:hideMark/>
              </w:tcPr>
              <w:p w14:paraId="1FA57EF7" w14:textId="77777777" w:rsidR="00B80542" w:rsidRPr="002F569D" w:rsidRDefault="00B80542" w:rsidP="001A42B1">
                <w:pPr>
                  <w:spacing w:after="0" w:line="240" w:lineRule="auto"/>
                  <w:jc w:val="both"/>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BRAYAN ALBERTO CAMACHO OYOLA</w:t>
                </w:r>
              </w:p>
            </w:tc>
            <w:tc>
              <w:tcPr>
                <w:tcW w:w="443" w:type="pct"/>
                <w:shd w:val="clear" w:color="000000" w:fill="FFFFFF"/>
                <w:vAlign w:val="center"/>
                <w:hideMark/>
              </w:tcPr>
              <w:p w14:paraId="2B0495B6" w14:textId="77777777" w:rsidR="00B80542" w:rsidRPr="002F569D" w:rsidRDefault="00B80542" w:rsidP="00B80542">
                <w:pPr>
                  <w:spacing w:after="0" w:line="240" w:lineRule="auto"/>
                  <w:jc w:val="center"/>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1</w:t>
                </w:r>
              </w:p>
            </w:tc>
            <w:tc>
              <w:tcPr>
                <w:tcW w:w="587" w:type="pct"/>
                <w:shd w:val="clear" w:color="auto" w:fill="auto"/>
                <w:vAlign w:val="center"/>
                <w:hideMark/>
              </w:tcPr>
              <w:p w14:paraId="69F021A2" w14:textId="7E357DD0" w:rsidR="00B80542" w:rsidRPr="002F569D" w:rsidRDefault="00B80542" w:rsidP="00B80542">
                <w:pPr>
                  <w:spacing w:after="0" w:line="240" w:lineRule="auto"/>
                  <w:jc w:val="right"/>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 xml:space="preserve"> $ 12.126.000 </w:t>
                </w:r>
              </w:p>
            </w:tc>
          </w:tr>
          <w:tr w:rsidR="00B80542" w:rsidRPr="00B80542" w14:paraId="3D701F04" w14:textId="77777777" w:rsidTr="002F569D">
            <w:trPr>
              <w:trHeight w:val="397"/>
            </w:trPr>
            <w:tc>
              <w:tcPr>
                <w:tcW w:w="484" w:type="pct"/>
                <w:shd w:val="clear" w:color="auto" w:fill="auto"/>
                <w:noWrap/>
                <w:vAlign w:val="center"/>
                <w:hideMark/>
              </w:tcPr>
              <w:p w14:paraId="143E87F1" w14:textId="77777777" w:rsidR="00B80542" w:rsidRPr="002F569D" w:rsidRDefault="00B80542" w:rsidP="00B80542">
                <w:pPr>
                  <w:spacing w:after="0" w:line="240" w:lineRule="auto"/>
                  <w:jc w:val="right"/>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18/09/2023</w:t>
                </w:r>
              </w:p>
            </w:tc>
            <w:tc>
              <w:tcPr>
                <w:tcW w:w="856" w:type="pct"/>
                <w:shd w:val="clear" w:color="auto" w:fill="auto"/>
                <w:vAlign w:val="center"/>
                <w:hideMark/>
              </w:tcPr>
              <w:p w14:paraId="3DF1F3A1" w14:textId="3E4B0384" w:rsidR="00B80542" w:rsidRPr="002F569D" w:rsidRDefault="002F569D" w:rsidP="002F569D">
                <w:pPr>
                  <w:spacing w:after="0" w:line="240" w:lineRule="auto"/>
                  <w:jc w:val="both"/>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EQUIPO Y MÁQUINA DE OFICINA</w:t>
                </w:r>
              </w:p>
            </w:tc>
            <w:tc>
              <w:tcPr>
                <w:tcW w:w="1453" w:type="pct"/>
                <w:shd w:val="clear" w:color="auto" w:fill="auto"/>
                <w:vAlign w:val="center"/>
                <w:hideMark/>
              </w:tcPr>
              <w:p w14:paraId="061C417B" w14:textId="7FF04F9E" w:rsidR="00B80542" w:rsidRPr="002F569D" w:rsidRDefault="00B80542" w:rsidP="001A42B1">
                <w:pPr>
                  <w:spacing w:after="0" w:line="240" w:lineRule="auto"/>
                  <w:jc w:val="both"/>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 xml:space="preserve">CAMARA FOTOGRAFICA CANON DIGITAL PROFESIONAL CAMARA DIGITAL CON LENTE 15-45 MM  </w:t>
                </w:r>
              </w:p>
            </w:tc>
            <w:tc>
              <w:tcPr>
                <w:tcW w:w="1176" w:type="pct"/>
                <w:shd w:val="clear" w:color="auto" w:fill="auto"/>
                <w:vAlign w:val="center"/>
                <w:hideMark/>
              </w:tcPr>
              <w:p w14:paraId="0508C4EF" w14:textId="77777777" w:rsidR="00B80542" w:rsidRPr="002F569D" w:rsidRDefault="00B80542" w:rsidP="001A42B1">
                <w:pPr>
                  <w:spacing w:after="0" w:line="240" w:lineRule="auto"/>
                  <w:jc w:val="both"/>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BRAYAN ALBERTO CAMACHO OYOLA</w:t>
                </w:r>
              </w:p>
            </w:tc>
            <w:tc>
              <w:tcPr>
                <w:tcW w:w="443" w:type="pct"/>
                <w:shd w:val="clear" w:color="000000" w:fill="FFFFFF"/>
                <w:vAlign w:val="center"/>
                <w:hideMark/>
              </w:tcPr>
              <w:p w14:paraId="3C77AF9C" w14:textId="77777777" w:rsidR="00B80542" w:rsidRPr="002F569D" w:rsidRDefault="00B80542" w:rsidP="00B80542">
                <w:pPr>
                  <w:spacing w:after="0" w:line="240" w:lineRule="auto"/>
                  <w:jc w:val="center"/>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1</w:t>
                </w:r>
              </w:p>
            </w:tc>
            <w:tc>
              <w:tcPr>
                <w:tcW w:w="587" w:type="pct"/>
                <w:shd w:val="clear" w:color="auto" w:fill="auto"/>
                <w:vAlign w:val="center"/>
                <w:hideMark/>
              </w:tcPr>
              <w:p w14:paraId="5698C2A5" w14:textId="511362F9" w:rsidR="00B80542" w:rsidRPr="002F569D" w:rsidRDefault="00B80542" w:rsidP="00B80542">
                <w:pPr>
                  <w:spacing w:after="0" w:line="240" w:lineRule="auto"/>
                  <w:jc w:val="right"/>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 xml:space="preserve"> $4.200.000 </w:t>
                </w:r>
              </w:p>
            </w:tc>
          </w:tr>
          <w:tr w:rsidR="00B80542" w:rsidRPr="00B80542" w14:paraId="54776320" w14:textId="77777777" w:rsidTr="002F569D">
            <w:trPr>
              <w:trHeight w:val="397"/>
            </w:trPr>
            <w:tc>
              <w:tcPr>
                <w:tcW w:w="484" w:type="pct"/>
                <w:shd w:val="clear" w:color="auto" w:fill="auto"/>
                <w:noWrap/>
                <w:vAlign w:val="center"/>
                <w:hideMark/>
              </w:tcPr>
              <w:p w14:paraId="1162A596" w14:textId="77777777" w:rsidR="00B80542" w:rsidRPr="002F569D" w:rsidRDefault="00B80542" w:rsidP="00B80542">
                <w:pPr>
                  <w:spacing w:after="0" w:line="240" w:lineRule="auto"/>
                  <w:jc w:val="right"/>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18/09/2023</w:t>
                </w:r>
              </w:p>
            </w:tc>
            <w:tc>
              <w:tcPr>
                <w:tcW w:w="856" w:type="pct"/>
                <w:shd w:val="clear" w:color="auto" w:fill="auto"/>
                <w:vAlign w:val="center"/>
                <w:hideMark/>
              </w:tcPr>
              <w:p w14:paraId="107729C3" w14:textId="5424FFA2" w:rsidR="00B80542" w:rsidRPr="002F569D" w:rsidRDefault="002F569D" w:rsidP="002F569D">
                <w:pPr>
                  <w:spacing w:after="0" w:line="240" w:lineRule="auto"/>
                  <w:jc w:val="both"/>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EQUIPO Y MÁQUINA DE OFICINA</w:t>
                </w:r>
              </w:p>
            </w:tc>
            <w:tc>
              <w:tcPr>
                <w:tcW w:w="1453" w:type="pct"/>
                <w:shd w:val="clear" w:color="auto" w:fill="auto"/>
                <w:vAlign w:val="center"/>
                <w:hideMark/>
              </w:tcPr>
              <w:p w14:paraId="4689CF25" w14:textId="7248F7E4" w:rsidR="00B80542" w:rsidRPr="002F569D" w:rsidRDefault="00B80542" w:rsidP="001A42B1">
                <w:pPr>
                  <w:spacing w:after="0" w:line="240" w:lineRule="auto"/>
                  <w:jc w:val="both"/>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 xml:space="preserve">GRABADORA DE AUDIO GRABADORA DE AUDIO   </w:t>
                </w:r>
              </w:p>
            </w:tc>
            <w:tc>
              <w:tcPr>
                <w:tcW w:w="1176" w:type="pct"/>
                <w:shd w:val="clear" w:color="auto" w:fill="auto"/>
                <w:vAlign w:val="center"/>
                <w:hideMark/>
              </w:tcPr>
              <w:p w14:paraId="2FDC85D9" w14:textId="77777777" w:rsidR="00B80542" w:rsidRPr="002F569D" w:rsidRDefault="00B80542" w:rsidP="001A42B1">
                <w:pPr>
                  <w:spacing w:after="0" w:line="240" w:lineRule="auto"/>
                  <w:jc w:val="both"/>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BRAYAN ALBERTO CAMACHO OYOLA</w:t>
                </w:r>
              </w:p>
            </w:tc>
            <w:tc>
              <w:tcPr>
                <w:tcW w:w="443" w:type="pct"/>
                <w:shd w:val="clear" w:color="000000" w:fill="FFFFFF"/>
                <w:vAlign w:val="center"/>
                <w:hideMark/>
              </w:tcPr>
              <w:p w14:paraId="3A07B3A5" w14:textId="77777777" w:rsidR="00B80542" w:rsidRPr="002F569D" w:rsidRDefault="00B80542" w:rsidP="00B80542">
                <w:pPr>
                  <w:spacing w:after="0" w:line="240" w:lineRule="auto"/>
                  <w:jc w:val="center"/>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1</w:t>
                </w:r>
              </w:p>
            </w:tc>
            <w:tc>
              <w:tcPr>
                <w:tcW w:w="587" w:type="pct"/>
                <w:shd w:val="clear" w:color="auto" w:fill="auto"/>
                <w:vAlign w:val="center"/>
                <w:hideMark/>
              </w:tcPr>
              <w:p w14:paraId="5483844D" w14:textId="095E29C2" w:rsidR="00B80542" w:rsidRPr="002F569D" w:rsidRDefault="00B80542" w:rsidP="00B80542">
                <w:pPr>
                  <w:spacing w:after="0" w:line="240" w:lineRule="auto"/>
                  <w:jc w:val="right"/>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 xml:space="preserve"> $2.350.000 </w:t>
                </w:r>
              </w:p>
            </w:tc>
          </w:tr>
          <w:tr w:rsidR="00B80542" w:rsidRPr="00B80542" w14:paraId="0E96BF2F" w14:textId="77777777" w:rsidTr="002F569D">
            <w:trPr>
              <w:trHeight w:val="397"/>
            </w:trPr>
            <w:tc>
              <w:tcPr>
                <w:tcW w:w="484" w:type="pct"/>
                <w:shd w:val="clear" w:color="auto" w:fill="auto"/>
                <w:noWrap/>
                <w:vAlign w:val="center"/>
                <w:hideMark/>
              </w:tcPr>
              <w:p w14:paraId="0322A4B6" w14:textId="77777777" w:rsidR="00B80542" w:rsidRPr="002F569D" w:rsidRDefault="00B80542" w:rsidP="00B80542">
                <w:pPr>
                  <w:spacing w:after="0" w:line="240" w:lineRule="auto"/>
                  <w:jc w:val="right"/>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18/09/2023</w:t>
                </w:r>
              </w:p>
            </w:tc>
            <w:tc>
              <w:tcPr>
                <w:tcW w:w="856" w:type="pct"/>
                <w:shd w:val="clear" w:color="auto" w:fill="auto"/>
                <w:vAlign w:val="center"/>
                <w:hideMark/>
              </w:tcPr>
              <w:p w14:paraId="631584AD" w14:textId="1F6DAF8C" w:rsidR="00B80542" w:rsidRPr="002F569D" w:rsidRDefault="002F569D" w:rsidP="002F569D">
                <w:pPr>
                  <w:spacing w:after="0" w:line="240" w:lineRule="auto"/>
                  <w:jc w:val="both"/>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EQUIPO Y MÁQUINA DE OFICINA</w:t>
                </w:r>
              </w:p>
            </w:tc>
            <w:tc>
              <w:tcPr>
                <w:tcW w:w="1453" w:type="pct"/>
                <w:shd w:val="clear" w:color="auto" w:fill="auto"/>
                <w:vAlign w:val="center"/>
                <w:hideMark/>
              </w:tcPr>
              <w:p w14:paraId="4B8FC148" w14:textId="4E17C0A7" w:rsidR="00B80542" w:rsidRPr="002F569D" w:rsidRDefault="00B80542" w:rsidP="001A42B1">
                <w:pPr>
                  <w:spacing w:after="0" w:line="240" w:lineRule="auto"/>
                  <w:jc w:val="both"/>
                  <w:rPr>
                    <w:rFonts w:ascii="Times New Roman" w:eastAsia="Times New Roman" w:hAnsi="Times New Roman"/>
                    <w:color w:val="000000"/>
                    <w:sz w:val="16"/>
                    <w:szCs w:val="16"/>
                    <w:lang w:val="de-DE" w:eastAsia="es-CO"/>
                  </w:rPr>
                </w:pPr>
                <w:r w:rsidRPr="002F569D">
                  <w:rPr>
                    <w:rFonts w:ascii="Times New Roman" w:eastAsia="Times New Roman" w:hAnsi="Times New Roman"/>
                    <w:color w:val="000000"/>
                    <w:sz w:val="16"/>
                    <w:szCs w:val="16"/>
                    <w:lang w:val="de-DE" w:eastAsia="es-CO"/>
                  </w:rPr>
                  <w:t xml:space="preserve">MONITOR SAMSUNG DE 24" MONITOR SAMSUNG DE 24"   </w:t>
                </w:r>
              </w:p>
            </w:tc>
            <w:tc>
              <w:tcPr>
                <w:tcW w:w="1176" w:type="pct"/>
                <w:shd w:val="clear" w:color="auto" w:fill="auto"/>
                <w:vAlign w:val="center"/>
                <w:hideMark/>
              </w:tcPr>
              <w:p w14:paraId="64F6CF3B" w14:textId="77777777" w:rsidR="00B80542" w:rsidRPr="002F569D" w:rsidRDefault="00B80542" w:rsidP="001A42B1">
                <w:pPr>
                  <w:spacing w:after="0" w:line="240" w:lineRule="auto"/>
                  <w:jc w:val="both"/>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BRAYAN ALBERTO CAMACHO OYOLA</w:t>
                </w:r>
              </w:p>
            </w:tc>
            <w:tc>
              <w:tcPr>
                <w:tcW w:w="443" w:type="pct"/>
                <w:shd w:val="clear" w:color="000000" w:fill="FFFFFF"/>
                <w:vAlign w:val="center"/>
                <w:hideMark/>
              </w:tcPr>
              <w:p w14:paraId="6B78EFBC" w14:textId="77777777" w:rsidR="00B80542" w:rsidRPr="002F569D" w:rsidRDefault="00B80542" w:rsidP="00B80542">
                <w:pPr>
                  <w:spacing w:after="0" w:line="240" w:lineRule="auto"/>
                  <w:jc w:val="center"/>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1</w:t>
                </w:r>
              </w:p>
            </w:tc>
            <w:tc>
              <w:tcPr>
                <w:tcW w:w="587" w:type="pct"/>
                <w:shd w:val="clear" w:color="auto" w:fill="auto"/>
                <w:vAlign w:val="center"/>
                <w:hideMark/>
              </w:tcPr>
              <w:p w14:paraId="1991EF51" w14:textId="46F3A1D6" w:rsidR="00B80542" w:rsidRPr="002F569D" w:rsidRDefault="00B80542" w:rsidP="00B80542">
                <w:pPr>
                  <w:spacing w:after="0" w:line="240" w:lineRule="auto"/>
                  <w:jc w:val="right"/>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 xml:space="preserve"> $   782.266 </w:t>
                </w:r>
              </w:p>
            </w:tc>
          </w:tr>
          <w:tr w:rsidR="00B80542" w:rsidRPr="00B80542" w14:paraId="429E3C97" w14:textId="77777777" w:rsidTr="002F569D">
            <w:trPr>
              <w:trHeight w:val="397"/>
            </w:trPr>
            <w:tc>
              <w:tcPr>
                <w:tcW w:w="484" w:type="pct"/>
                <w:shd w:val="clear" w:color="auto" w:fill="auto"/>
                <w:noWrap/>
                <w:vAlign w:val="center"/>
                <w:hideMark/>
              </w:tcPr>
              <w:p w14:paraId="48312FDC" w14:textId="77777777" w:rsidR="00B80542" w:rsidRPr="002F569D" w:rsidRDefault="00B80542" w:rsidP="00B80542">
                <w:pPr>
                  <w:spacing w:after="0" w:line="240" w:lineRule="auto"/>
                  <w:jc w:val="right"/>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27/12/2023</w:t>
                </w:r>
              </w:p>
            </w:tc>
            <w:tc>
              <w:tcPr>
                <w:tcW w:w="856" w:type="pct"/>
                <w:shd w:val="clear" w:color="auto" w:fill="auto"/>
                <w:vAlign w:val="center"/>
                <w:hideMark/>
              </w:tcPr>
              <w:p w14:paraId="2205F732" w14:textId="33917755" w:rsidR="00B80542" w:rsidRPr="002F569D" w:rsidRDefault="002F569D" w:rsidP="002F569D">
                <w:pPr>
                  <w:spacing w:after="0" w:line="240" w:lineRule="auto"/>
                  <w:jc w:val="both"/>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EQUIPO Y MÁQUINA DE OFICINA</w:t>
                </w:r>
              </w:p>
            </w:tc>
            <w:tc>
              <w:tcPr>
                <w:tcW w:w="1453" w:type="pct"/>
                <w:shd w:val="clear" w:color="auto" w:fill="auto"/>
                <w:vAlign w:val="center"/>
                <w:hideMark/>
              </w:tcPr>
              <w:p w14:paraId="59E8FEB2" w14:textId="118D6614" w:rsidR="00B80542" w:rsidRPr="002F569D" w:rsidRDefault="00B80542" w:rsidP="001A42B1">
                <w:pPr>
                  <w:spacing w:after="0" w:line="240" w:lineRule="auto"/>
                  <w:jc w:val="both"/>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 xml:space="preserve">MEZCLADORA DE SONIDO MEZCLADORA DE SONIDO BEHRINGER X1204 USB   </w:t>
                </w:r>
              </w:p>
            </w:tc>
            <w:tc>
              <w:tcPr>
                <w:tcW w:w="1176" w:type="pct"/>
                <w:shd w:val="clear" w:color="auto" w:fill="auto"/>
                <w:vAlign w:val="center"/>
                <w:hideMark/>
              </w:tcPr>
              <w:p w14:paraId="5A7FE215" w14:textId="77777777" w:rsidR="00B80542" w:rsidRPr="002F569D" w:rsidRDefault="00B80542" w:rsidP="001A42B1">
                <w:pPr>
                  <w:spacing w:after="0" w:line="240" w:lineRule="auto"/>
                  <w:jc w:val="both"/>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BRAYAN ALBERTO CAMACHO OYOLA</w:t>
                </w:r>
              </w:p>
            </w:tc>
            <w:tc>
              <w:tcPr>
                <w:tcW w:w="443" w:type="pct"/>
                <w:shd w:val="clear" w:color="000000" w:fill="FFFFFF"/>
                <w:vAlign w:val="center"/>
                <w:hideMark/>
              </w:tcPr>
              <w:p w14:paraId="77111D49" w14:textId="77777777" w:rsidR="00B80542" w:rsidRPr="002F569D" w:rsidRDefault="00B80542" w:rsidP="00B80542">
                <w:pPr>
                  <w:spacing w:after="0" w:line="240" w:lineRule="auto"/>
                  <w:jc w:val="center"/>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1</w:t>
                </w:r>
              </w:p>
            </w:tc>
            <w:tc>
              <w:tcPr>
                <w:tcW w:w="587" w:type="pct"/>
                <w:shd w:val="clear" w:color="auto" w:fill="auto"/>
                <w:vAlign w:val="center"/>
                <w:hideMark/>
              </w:tcPr>
              <w:p w14:paraId="669D7BAB" w14:textId="00830A4D" w:rsidR="00B80542" w:rsidRPr="002F569D" w:rsidRDefault="00B80542" w:rsidP="00B80542">
                <w:pPr>
                  <w:spacing w:after="0" w:line="240" w:lineRule="auto"/>
                  <w:jc w:val="right"/>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 xml:space="preserve"> $1.350.000 </w:t>
                </w:r>
              </w:p>
            </w:tc>
          </w:tr>
          <w:tr w:rsidR="00B80542" w:rsidRPr="00B80542" w14:paraId="52986D70" w14:textId="77777777" w:rsidTr="002F569D">
            <w:trPr>
              <w:trHeight w:val="397"/>
            </w:trPr>
            <w:tc>
              <w:tcPr>
                <w:tcW w:w="484" w:type="pct"/>
                <w:shd w:val="clear" w:color="auto" w:fill="auto"/>
                <w:noWrap/>
                <w:vAlign w:val="center"/>
                <w:hideMark/>
              </w:tcPr>
              <w:p w14:paraId="4B875528" w14:textId="77777777" w:rsidR="00B80542" w:rsidRPr="002F569D" w:rsidRDefault="00B80542" w:rsidP="00B80542">
                <w:pPr>
                  <w:spacing w:after="0" w:line="240" w:lineRule="auto"/>
                  <w:jc w:val="right"/>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27/12/2023</w:t>
                </w:r>
              </w:p>
            </w:tc>
            <w:tc>
              <w:tcPr>
                <w:tcW w:w="856" w:type="pct"/>
                <w:shd w:val="clear" w:color="auto" w:fill="auto"/>
                <w:vAlign w:val="center"/>
                <w:hideMark/>
              </w:tcPr>
              <w:p w14:paraId="21DAB361" w14:textId="66E99E22" w:rsidR="00B80542" w:rsidRPr="002F569D" w:rsidRDefault="002F569D" w:rsidP="002F569D">
                <w:pPr>
                  <w:spacing w:after="0" w:line="240" w:lineRule="auto"/>
                  <w:jc w:val="both"/>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EQUIPO Y MÁQUINA DE OFICINA</w:t>
                </w:r>
              </w:p>
            </w:tc>
            <w:tc>
              <w:tcPr>
                <w:tcW w:w="1453" w:type="pct"/>
                <w:shd w:val="clear" w:color="auto" w:fill="auto"/>
                <w:vAlign w:val="center"/>
                <w:hideMark/>
              </w:tcPr>
              <w:p w14:paraId="5E204D87" w14:textId="286991EF" w:rsidR="00B80542" w:rsidRPr="002F569D" w:rsidRDefault="00B80542" w:rsidP="001A42B1">
                <w:pPr>
                  <w:spacing w:after="0" w:line="240" w:lineRule="auto"/>
                  <w:jc w:val="both"/>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MEZCLADOR DE AUDIO MEZCLADOR DE AUDIO MIXER BERHINGER XENYX 802S</w:t>
                </w:r>
              </w:p>
            </w:tc>
            <w:tc>
              <w:tcPr>
                <w:tcW w:w="1176" w:type="pct"/>
                <w:shd w:val="clear" w:color="auto" w:fill="auto"/>
                <w:vAlign w:val="center"/>
                <w:hideMark/>
              </w:tcPr>
              <w:p w14:paraId="184B2437" w14:textId="77777777" w:rsidR="00B80542" w:rsidRPr="002F569D" w:rsidRDefault="00B80542" w:rsidP="001A42B1">
                <w:pPr>
                  <w:spacing w:after="0" w:line="240" w:lineRule="auto"/>
                  <w:jc w:val="both"/>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BRAYAN ALBERTO CAMACHO OYOLA</w:t>
                </w:r>
              </w:p>
            </w:tc>
            <w:tc>
              <w:tcPr>
                <w:tcW w:w="443" w:type="pct"/>
                <w:shd w:val="clear" w:color="000000" w:fill="FFFFFF"/>
                <w:vAlign w:val="center"/>
                <w:hideMark/>
              </w:tcPr>
              <w:p w14:paraId="15B9023D" w14:textId="77777777" w:rsidR="00B80542" w:rsidRPr="002F569D" w:rsidRDefault="00B80542" w:rsidP="00B80542">
                <w:pPr>
                  <w:spacing w:after="0" w:line="240" w:lineRule="auto"/>
                  <w:jc w:val="center"/>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1</w:t>
                </w:r>
              </w:p>
            </w:tc>
            <w:tc>
              <w:tcPr>
                <w:tcW w:w="587" w:type="pct"/>
                <w:shd w:val="clear" w:color="auto" w:fill="auto"/>
                <w:vAlign w:val="center"/>
                <w:hideMark/>
              </w:tcPr>
              <w:p w14:paraId="759790BC" w14:textId="0E6F19E1" w:rsidR="00B80542" w:rsidRPr="002F569D" w:rsidRDefault="00B80542" w:rsidP="00B80542">
                <w:pPr>
                  <w:spacing w:after="0" w:line="240" w:lineRule="auto"/>
                  <w:jc w:val="right"/>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 xml:space="preserve"> $   795.000 </w:t>
                </w:r>
              </w:p>
            </w:tc>
          </w:tr>
          <w:tr w:rsidR="00B80542" w:rsidRPr="00B80542" w14:paraId="75B89EAB" w14:textId="77777777" w:rsidTr="002F569D">
            <w:trPr>
              <w:trHeight w:val="397"/>
            </w:trPr>
            <w:tc>
              <w:tcPr>
                <w:tcW w:w="484" w:type="pct"/>
                <w:shd w:val="clear" w:color="auto" w:fill="auto"/>
                <w:noWrap/>
                <w:vAlign w:val="center"/>
                <w:hideMark/>
              </w:tcPr>
              <w:p w14:paraId="3CAB4651" w14:textId="77777777" w:rsidR="00B80542" w:rsidRPr="002F569D" w:rsidRDefault="00B80542" w:rsidP="00B80542">
                <w:pPr>
                  <w:spacing w:after="0" w:line="240" w:lineRule="auto"/>
                  <w:jc w:val="right"/>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27/12/2023</w:t>
                </w:r>
              </w:p>
            </w:tc>
            <w:tc>
              <w:tcPr>
                <w:tcW w:w="856" w:type="pct"/>
                <w:shd w:val="clear" w:color="auto" w:fill="auto"/>
                <w:vAlign w:val="center"/>
                <w:hideMark/>
              </w:tcPr>
              <w:p w14:paraId="11B56918" w14:textId="43E2DE1C" w:rsidR="00B80542" w:rsidRPr="002F569D" w:rsidRDefault="002F569D" w:rsidP="002F569D">
                <w:pPr>
                  <w:spacing w:after="0" w:line="240" w:lineRule="auto"/>
                  <w:jc w:val="both"/>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EQUIPO Y MÁQUINA DE OFICINA</w:t>
                </w:r>
              </w:p>
            </w:tc>
            <w:tc>
              <w:tcPr>
                <w:tcW w:w="1453" w:type="pct"/>
                <w:shd w:val="clear" w:color="auto" w:fill="auto"/>
                <w:vAlign w:val="center"/>
                <w:hideMark/>
              </w:tcPr>
              <w:p w14:paraId="778D851F" w14:textId="65D6F6F1" w:rsidR="00B80542" w:rsidRPr="002F569D" w:rsidRDefault="00B80542" w:rsidP="001A42B1">
                <w:pPr>
                  <w:spacing w:after="0" w:line="240" w:lineRule="auto"/>
                  <w:jc w:val="both"/>
                  <w:rPr>
                    <w:rFonts w:ascii="Times New Roman" w:eastAsia="Times New Roman" w:hAnsi="Times New Roman"/>
                    <w:color w:val="000000"/>
                    <w:sz w:val="16"/>
                    <w:szCs w:val="16"/>
                    <w:lang w:val="en-US" w:eastAsia="es-CO"/>
                  </w:rPr>
                </w:pPr>
                <w:r w:rsidRPr="002F569D">
                  <w:rPr>
                    <w:rFonts w:ascii="Times New Roman" w:eastAsia="Times New Roman" w:hAnsi="Times New Roman"/>
                    <w:color w:val="000000"/>
                    <w:sz w:val="16"/>
                    <w:szCs w:val="16"/>
                    <w:lang w:val="en-US" w:eastAsia="es-CO"/>
                  </w:rPr>
                  <w:t xml:space="preserve">TELEVISOR SMART TV DE 55" TELEVISOR LG DE 55 SMART TV   </w:t>
                </w:r>
              </w:p>
            </w:tc>
            <w:tc>
              <w:tcPr>
                <w:tcW w:w="1176" w:type="pct"/>
                <w:shd w:val="clear" w:color="auto" w:fill="auto"/>
                <w:vAlign w:val="center"/>
                <w:hideMark/>
              </w:tcPr>
              <w:p w14:paraId="0B38FA70" w14:textId="77777777" w:rsidR="00B80542" w:rsidRPr="002F569D" w:rsidRDefault="00B80542" w:rsidP="001A42B1">
                <w:pPr>
                  <w:spacing w:after="0" w:line="240" w:lineRule="auto"/>
                  <w:jc w:val="both"/>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BRAYAN ALBERTO CAMACHO OYOLA</w:t>
                </w:r>
              </w:p>
            </w:tc>
            <w:tc>
              <w:tcPr>
                <w:tcW w:w="443" w:type="pct"/>
                <w:shd w:val="clear" w:color="000000" w:fill="FFFFFF"/>
                <w:vAlign w:val="center"/>
                <w:hideMark/>
              </w:tcPr>
              <w:p w14:paraId="23EC5E0D" w14:textId="77777777" w:rsidR="00B80542" w:rsidRPr="002F569D" w:rsidRDefault="00B80542" w:rsidP="00B80542">
                <w:pPr>
                  <w:spacing w:after="0" w:line="240" w:lineRule="auto"/>
                  <w:jc w:val="center"/>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1</w:t>
                </w:r>
              </w:p>
            </w:tc>
            <w:tc>
              <w:tcPr>
                <w:tcW w:w="587" w:type="pct"/>
                <w:shd w:val="clear" w:color="auto" w:fill="auto"/>
                <w:vAlign w:val="center"/>
                <w:hideMark/>
              </w:tcPr>
              <w:p w14:paraId="3DE0D783" w14:textId="12C9B44E" w:rsidR="00B80542" w:rsidRPr="002F569D" w:rsidRDefault="00B80542" w:rsidP="00B80542">
                <w:pPr>
                  <w:spacing w:after="0" w:line="240" w:lineRule="auto"/>
                  <w:jc w:val="right"/>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 xml:space="preserve"> $2.150.000 </w:t>
                </w:r>
              </w:p>
            </w:tc>
          </w:tr>
          <w:tr w:rsidR="00B80542" w:rsidRPr="00B80542" w14:paraId="0E3CC3F9" w14:textId="77777777" w:rsidTr="002F569D">
            <w:trPr>
              <w:trHeight w:val="397"/>
            </w:trPr>
            <w:tc>
              <w:tcPr>
                <w:tcW w:w="484" w:type="pct"/>
                <w:shd w:val="clear" w:color="auto" w:fill="auto"/>
                <w:noWrap/>
                <w:vAlign w:val="center"/>
                <w:hideMark/>
              </w:tcPr>
              <w:p w14:paraId="46ABFD68" w14:textId="77777777" w:rsidR="00B80542" w:rsidRPr="002F569D" w:rsidRDefault="00B80542" w:rsidP="00B80542">
                <w:pPr>
                  <w:spacing w:after="0" w:line="240" w:lineRule="auto"/>
                  <w:jc w:val="right"/>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27/12/2023</w:t>
                </w:r>
              </w:p>
            </w:tc>
            <w:tc>
              <w:tcPr>
                <w:tcW w:w="856" w:type="pct"/>
                <w:shd w:val="clear" w:color="auto" w:fill="auto"/>
                <w:vAlign w:val="center"/>
                <w:hideMark/>
              </w:tcPr>
              <w:p w14:paraId="4F255F37" w14:textId="662C61D4" w:rsidR="00B80542" w:rsidRPr="002F569D" w:rsidRDefault="002F569D" w:rsidP="002F569D">
                <w:pPr>
                  <w:spacing w:after="0" w:line="240" w:lineRule="auto"/>
                  <w:jc w:val="both"/>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EQUIPO Y MÁQUINA DE OFICINA</w:t>
                </w:r>
              </w:p>
            </w:tc>
            <w:tc>
              <w:tcPr>
                <w:tcW w:w="1453" w:type="pct"/>
                <w:shd w:val="clear" w:color="auto" w:fill="auto"/>
                <w:vAlign w:val="center"/>
                <w:hideMark/>
              </w:tcPr>
              <w:p w14:paraId="67C2920D" w14:textId="37AE83F8" w:rsidR="00B80542" w:rsidRPr="002F569D" w:rsidRDefault="00B80542" w:rsidP="001A42B1">
                <w:pPr>
                  <w:spacing w:after="0" w:line="240" w:lineRule="auto"/>
                  <w:jc w:val="both"/>
                  <w:rPr>
                    <w:rFonts w:ascii="Times New Roman" w:eastAsia="Times New Roman" w:hAnsi="Times New Roman"/>
                    <w:color w:val="000000"/>
                    <w:sz w:val="16"/>
                    <w:szCs w:val="16"/>
                    <w:lang w:val="en-US" w:eastAsia="es-CO"/>
                  </w:rPr>
                </w:pPr>
                <w:r w:rsidRPr="002F569D">
                  <w:rPr>
                    <w:rFonts w:ascii="Times New Roman" w:eastAsia="Times New Roman" w:hAnsi="Times New Roman"/>
                    <w:color w:val="000000"/>
                    <w:sz w:val="16"/>
                    <w:szCs w:val="16"/>
                    <w:lang w:val="en-US" w:eastAsia="es-CO"/>
                  </w:rPr>
                  <w:t xml:space="preserve">TELEVISOR SMART TV DE 55" TELEVISOR LG DE 55 SMART TV   </w:t>
                </w:r>
              </w:p>
            </w:tc>
            <w:tc>
              <w:tcPr>
                <w:tcW w:w="1176" w:type="pct"/>
                <w:shd w:val="clear" w:color="auto" w:fill="auto"/>
                <w:vAlign w:val="center"/>
                <w:hideMark/>
              </w:tcPr>
              <w:p w14:paraId="2E69EB18" w14:textId="77777777" w:rsidR="00B80542" w:rsidRPr="002F569D" w:rsidRDefault="00B80542" w:rsidP="001A42B1">
                <w:pPr>
                  <w:spacing w:after="0" w:line="240" w:lineRule="auto"/>
                  <w:jc w:val="both"/>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BRAYAN ALBERTO CAMACHO OYOLA</w:t>
                </w:r>
              </w:p>
            </w:tc>
            <w:tc>
              <w:tcPr>
                <w:tcW w:w="443" w:type="pct"/>
                <w:shd w:val="clear" w:color="000000" w:fill="FFFFFF"/>
                <w:vAlign w:val="center"/>
                <w:hideMark/>
              </w:tcPr>
              <w:p w14:paraId="306CC08D" w14:textId="77777777" w:rsidR="00B80542" w:rsidRPr="002F569D" w:rsidRDefault="00B80542" w:rsidP="00B80542">
                <w:pPr>
                  <w:spacing w:after="0" w:line="240" w:lineRule="auto"/>
                  <w:jc w:val="center"/>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1</w:t>
                </w:r>
              </w:p>
            </w:tc>
            <w:tc>
              <w:tcPr>
                <w:tcW w:w="587" w:type="pct"/>
                <w:shd w:val="clear" w:color="auto" w:fill="auto"/>
                <w:vAlign w:val="center"/>
                <w:hideMark/>
              </w:tcPr>
              <w:p w14:paraId="5723A9FA" w14:textId="0D3F04C2" w:rsidR="00B80542" w:rsidRPr="002F569D" w:rsidRDefault="00B80542" w:rsidP="00B80542">
                <w:pPr>
                  <w:spacing w:after="0" w:line="240" w:lineRule="auto"/>
                  <w:jc w:val="right"/>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 xml:space="preserve"> $2.150.000 </w:t>
                </w:r>
              </w:p>
            </w:tc>
          </w:tr>
          <w:tr w:rsidR="00B80542" w:rsidRPr="00B80542" w14:paraId="2A789B4A" w14:textId="77777777" w:rsidTr="002F569D">
            <w:trPr>
              <w:trHeight w:val="397"/>
            </w:trPr>
            <w:tc>
              <w:tcPr>
                <w:tcW w:w="484" w:type="pct"/>
                <w:shd w:val="clear" w:color="auto" w:fill="auto"/>
                <w:noWrap/>
                <w:vAlign w:val="center"/>
                <w:hideMark/>
              </w:tcPr>
              <w:p w14:paraId="4C36ED5D" w14:textId="77777777" w:rsidR="00B80542" w:rsidRPr="002F569D" w:rsidRDefault="00B80542" w:rsidP="00B80542">
                <w:pPr>
                  <w:spacing w:after="0" w:line="240" w:lineRule="auto"/>
                  <w:jc w:val="right"/>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18/09/2023</w:t>
                </w:r>
              </w:p>
            </w:tc>
            <w:tc>
              <w:tcPr>
                <w:tcW w:w="856" w:type="pct"/>
                <w:shd w:val="clear" w:color="auto" w:fill="auto"/>
                <w:vAlign w:val="center"/>
                <w:hideMark/>
              </w:tcPr>
              <w:p w14:paraId="723CF4AE" w14:textId="76BC21AC" w:rsidR="00B80542" w:rsidRPr="002F569D" w:rsidRDefault="002F569D" w:rsidP="002F569D">
                <w:pPr>
                  <w:spacing w:after="0" w:line="240" w:lineRule="auto"/>
                  <w:jc w:val="both"/>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EQUIPO Y MÁQUINA DE OFICINA</w:t>
                </w:r>
              </w:p>
            </w:tc>
            <w:tc>
              <w:tcPr>
                <w:tcW w:w="1453" w:type="pct"/>
                <w:shd w:val="clear" w:color="auto" w:fill="auto"/>
                <w:vAlign w:val="center"/>
                <w:hideMark/>
              </w:tcPr>
              <w:p w14:paraId="2783A6A2" w14:textId="77777777" w:rsidR="00B80542" w:rsidRPr="002F569D" w:rsidRDefault="00B80542" w:rsidP="001A42B1">
                <w:pPr>
                  <w:spacing w:after="0" w:line="240" w:lineRule="auto"/>
                  <w:jc w:val="both"/>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CONSOLA DE VIDEO - MIXER DE VIDEO FEELWORLD L1</w:t>
                </w:r>
              </w:p>
            </w:tc>
            <w:tc>
              <w:tcPr>
                <w:tcW w:w="1176" w:type="pct"/>
                <w:shd w:val="clear" w:color="auto" w:fill="auto"/>
                <w:vAlign w:val="center"/>
                <w:hideMark/>
              </w:tcPr>
              <w:p w14:paraId="009C4C3A" w14:textId="77777777" w:rsidR="00B80542" w:rsidRPr="002F569D" w:rsidRDefault="00B80542" w:rsidP="001A42B1">
                <w:pPr>
                  <w:spacing w:after="0" w:line="240" w:lineRule="auto"/>
                  <w:jc w:val="both"/>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BRAYAN ALBERTO CAMACHO OYOLA</w:t>
                </w:r>
              </w:p>
            </w:tc>
            <w:tc>
              <w:tcPr>
                <w:tcW w:w="443" w:type="pct"/>
                <w:shd w:val="clear" w:color="000000" w:fill="FFFFFF"/>
                <w:vAlign w:val="center"/>
                <w:hideMark/>
              </w:tcPr>
              <w:p w14:paraId="07250977" w14:textId="77777777" w:rsidR="00B80542" w:rsidRPr="002F569D" w:rsidRDefault="00B80542" w:rsidP="00B80542">
                <w:pPr>
                  <w:spacing w:after="0" w:line="240" w:lineRule="auto"/>
                  <w:jc w:val="center"/>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1</w:t>
                </w:r>
              </w:p>
            </w:tc>
            <w:tc>
              <w:tcPr>
                <w:tcW w:w="587" w:type="pct"/>
                <w:shd w:val="clear" w:color="auto" w:fill="auto"/>
                <w:vAlign w:val="center"/>
                <w:hideMark/>
              </w:tcPr>
              <w:p w14:paraId="32E8DD25" w14:textId="5601FD70" w:rsidR="00B80542" w:rsidRPr="002F569D" w:rsidRDefault="00B80542" w:rsidP="00B80542">
                <w:pPr>
                  <w:spacing w:after="0" w:line="240" w:lineRule="auto"/>
                  <w:jc w:val="right"/>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 xml:space="preserve"> $2.200.000 </w:t>
                </w:r>
              </w:p>
            </w:tc>
          </w:tr>
          <w:tr w:rsidR="00B80542" w:rsidRPr="00B80542" w14:paraId="37A6CC13" w14:textId="77777777" w:rsidTr="002F569D">
            <w:trPr>
              <w:trHeight w:val="397"/>
            </w:trPr>
            <w:tc>
              <w:tcPr>
                <w:tcW w:w="4413" w:type="pct"/>
                <w:gridSpan w:val="5"/>
                <w:shd w:val="clear" w:color="auto" w:fill="auto"/>
                <w:noWrap/>
                <w:vAlign w:val="center"/>
                <w:hideMark/>
              </w:tcPr>
              <w:p w14:paraId="0E7AD2BA" w14:textId="26DCBBD4" w:rsidR="00B80542" w:rsidRPr="002F569D" w:rsidRDefault="0080327B" w:rsidP="00B80542">
                <w:pPr>
                  <w:spacing w:after="0" w:line="240" w:lineRule="auto"/>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Total bodega</w:t>
                </w:r>
              </w:p>
            </w:tc>
            <w:tc>
              <w:tcPr>
                <w:tcW w:w="587" w:type="pct"/>
                <w:shd w:val="clear" w:color="auto" w:fill="auto"/>
                <w:noWrap/>
                <w:vAlign w:val="center"/>
                <w:hideMark/>
              </w:tcPr>
              <w:p w14:paraId="18F2DA20" w14:textId="3D229094" w:rsidR="00B80542" w:rsidRPr="002F569D" w:rsidRDefault="00B80542" w:rsidP="002F569D">
                <w:pPr>
                  <w:spacing w:after="0" w:line="240" w:lineRule="auto"/>
                  <w:jc w:val="right"/>
                  <w:rPr>
                    <w:rFonts w:ascii="Times New Roman" w:eastAsia="Times New Roman" w:hAnsi="Times New Roman"/>
                    <w:color w:val="000000"/>
                    <w:sz w:val="16"/>
                    <w:szCs w:val="16"/>
                    <w:lang w:eastAsia="es-CO"/>
                  </w:rPr>
                </w:pPr>
                <w:r w:rsidRPr="002F569D">
                  <w:rPr>
                    <w:rFonts w:ascii="Times New Roman" w:eastAsia="Times New Roman" w:hAnsi="Times New Roman"/>
                    <w:color w:val="000000"/>
                    <w:sz w:val="16"/>
                    <w:szCs w:val="16"/>
                    <w:lang w:eastAsia="es-CO"/>
                  </w:rPr>
                  <w:t xml:space="preserve">$188.805.388 </w:t>
                </w:r>
              </w:p>
            </w:tc>
          </w:tr>
        </w:tbl>
        <w:p w14:paraId="3D6728BC" w14:textId="77777777" w:rsidR="00BE2276" w:rsidRPr="00931DCE" w:rsidRDefault="00BE2276" w:rsidP="00295CA3">
          <w:pPr>
            <w:pStyle w:val="Textoindependiente"/>
            <w:jc w:val="both"/>
            <w:rPr>
              <w:b/>
            </w:rPr>
          </w:pPr>
        </w:p>
        <w:p w14:paraId="796E9A00" w14:textId="77777777" w:rsidR="00376895" w:rsidRPr="007D15C4" w:rsidRDefault="00376895" w:rsidP="004A000E">
          <w:pPr>
            <w:pStyle w:val="Textoindependiente"/>
            <w:jc w:val="both"/>
            <w:rPr>
              <w:b/>
              <w:lang w:val="es-CO"/>
            </w:rPr>
          </w:pPr>
        </w:p>
        <w:p w14:paraId="44B1348D" w14:textId="0DEBCA1B" w:rsidR="008B0FEC" w:rsidRPr="005B7DDA" w:rsidRDefault="008B0FEC" w:rsidP="004A000E">
          <w:pPr>
            <w:pStyle w:val="Textoindependiente"/>
            <w:jc w:val="both"/>
            <w:rPr>
              <w:b/>
              <w:color w:val="1F3864" w:themeColor="accent1" w:themeShade="80"/>
            </w:rPr>
          </w:pPr>
          <w:r w:rsidRPr="005B7DDA">
            <w:rPr>
              <w:b/>
              <w:color w:val="1F3864" w:themeColor="accent1" w:themeShade="80"/>
            </w:rPr>
            <w:t>Propieda</w:t>
          </w:r>
          <w:r w:rsidR="002F569D" w:rsidRPr="005B7DDA">
            <w:rPr>
              <w:b/>
              <w:color w:val="1F3864" w:themeColor="accent1" w:themeShade="80"/>
            </w:rPr>
            <w:t>des, p</w:t>
          </w:r>
          <w:r w:rsidRPr="005B7DDA">
            <w:rPr>
              <w:b/>
              <w:color w:val="1F3864" w:themeColor="accent1" w:themeShade="80"/>
            </w:rPr>
            <w:t xml:space="preserve">lanta y </w:t>
          </w:r>
          <w:r w:rsidR="002F569D" w:rsidRPr="005B7DDA">
            <w:rPr>
              <w:b/>
              <w:color w:val="1F3864" w:themeColor="accent1" w:themeShade="80"/>
            </w:rPr>
            <w:t>e</w:t>
          </w:r>
          <w:r w:rsidRPr="005B7DDA">
            <w:rPr>
              <w:b/>
              <w:color w:val="1F3864" w:themeColor="accent1" w:themeShade="80"/>
            </w:rPr>
            <w:t xml:space="preserve">quipo </w:t>
          </w:r>
          <w:r w:rsidR="002F569D" w:rsidRPr="005B7DDA">
            <w:rPr>
              <w:b/>
              <w:color w:val="1F3864" w:themeColor="accent1" w:themeShade="80"/>
            </w:rPr>
            <w:t>n</w:t>
          </w:r>
          <w:r w:rsidRPr="005B7DDA">
            <w:rPr>
              <w:b/>
              <w:color w:val="1F3864" w:themeColor="accent1" w:themeShade="80"/>
            </w:rPr>
            <w:t xml:space="preserve">o </w:t>
          </w:r>
          <w:r w:rsidR="002F569D" w:rsidRPr="005B7DDA">
            <w:rPr>
              <w:b/>
              <w:color w:val="1F3864" w:themeColor="accent1" w:themeShade="80"/>
            </w:rPr>
            <w:t>e</w:t>
          </w:r>
          <w:r w:rsidRPr="005B7DDA">
            <w:rPr>
              <w:b/>
              <w:color w:val="1F3864" w:themeColor="accent1" w:themeShade="80"/>
            </w:rPr>
            <w:t>xplotados</w:t>
          </w:r>
        </w:p>
        <w:p w14:paraId="27E9EC0A" w14:textId="77777777" w:rsidR="00B14567" w:rsidRPr="00931DCE" w:rsidRDefault="00B14567" w:rsidP="004A000E">
          <w:pPr>
            <w:pStyle w:val="Textoindependiente"/>
            <w:jc w:val="both"/>
            <w:rPr>
              <w:b/>
              <w:sz w:val="18"/>
              <w:szCs w:val="18"/>
            </w:rPr>
          </w:pPr>
        </w:p>
        <w:p w14:paraId="52CD71C9" w14:textId="05F57BF8" w:rsidR="00263F18" w:rsidRPr="00931DCE" w:rsidRDefault="00CA07FC" w:rsidP="00263F18">
          <w:pPr>
            <w:spacing w:after="0" w:line="240" w:lineRule="auto"/>
            <w:jc w:val="both"/>
            <w:rPr>
              <w:rFonts w:ascii="Times New Roman" w:hAnsi="Times New Roman"/>
              <w:sz w:val="24"/>
              <w:szCs w:val="24"/>
            </w:rPr>
          </w:pPr>
          <w:r w:rsidRPr="00931DCE">
            <w:rPr>
              <w:rFonts w:ascii="Times New Roman" w:hAnsi="Times New Roman"/>
              <w:sz w:val="24"/>
              <w:szCs w:val="24"/>
            </w:rPr>
            <w:t>Las</w:t>
          </w:r>
          <w:r w:rsidR="00256FDA" w:rsidRPr="00931DCE">
            <w:rPr>
              <w:rFonts w:ascii="Times New Roman" w:hAnsi="Times New Roman"/>
              <w:sz w:val="24"/>
              <w:szCs w:val="24"/>
            </w:rPr>
            <w:t xml:space="preserve"> propiedad</w:t>
          </w:r>
          <w:r w:rsidRPr="00931DCE">
            <w:rPr>
              <w:rFonts w:ascii="Times New Roman" w:hAnsi="Times New Roman"/>
              <w:sz w:val="24"/>
              <w:szCs w:val="24"/>
            </w:rPr>
            <w:t>es</w:t>
          </w:r>
          <w:r w:rsidR="00256FDA" w:rsidRPr="00931DCE">
            <w:rPr>
              <w:rFonts w:ascii="Times New Roman" w:hAnsi="Times New Roman"/>
              <w:sz w:val="24"/>
              <w:szCs w:val="24"/>
            </w:rPr>
            <w:t>, planta y equipo no explotado</w:t>
          </w:r>
          <w:r w:rsidRPr="00931DCE">
            <w:rPr>
              <w:rFonts w:ascii="Times New Roman" w:hAnsi="Times New Roman"/>
              <w:sz w:val="24"/>
              <w:szCs w:val="24"/>
            </w:rPr>
            <w:t>s</w:t>
          </w:r>
          <w:r w:rsidR="00256FDA" w:rsidRPr="00931DCE">
            <w:rPr>
              <w:rFonts w:ascii="Times New Roman" w:hAnsi="Times New Roman"/>
              <w:sz w:val="24"/>
              <w:szCs w:val="24"/>
            </w:rPr>
            <w:t xml:space="preserve">, </w:t>
          </w:r>
          <w:r w:rsidR="00C966BD">
            <w:rPr>
              <w:rFonts w:ascii="Times New Roman" w:hAnsi="Times New Roman"/>
              <w:sz w:val="24"/>
              <w:szCs w:val="24"/>
            </w:rPr>
            <w:t>corresponde a</w:t>
          </w:r>
          <w:r w:rsidR="00A141F3">
            <w:rPr>
              <w:rFonts w:ascii="Times New Roman" w:hAnsi="Times New Roman"/>
              <w:sz w:val="24"/>
              <w:szCs w:val="24"/>
            </w:rPr>
            <w:t xml:space="preserve">l grupo </w:t>
          </w:r>
          <w:r w:rsidR="00A141F3" w:rsidRPr="00A141F3">
            <w:rPr>
              <w:rFonts w:ascii="Times New Roman" w:hAnsi="Times New Roman"/>
              <w:sz w:val="24"/>
              <w:szCs w:val="24"/>
            </w:rPr>
            <w:t>Equipos</w:t>
          </w:r>
          <w:r w:rsidR="00263F18" w:rsidRPr="00A141F3">
            <w:rPr>
              <w:rFonts w:ascii="Times New Roman" w:hAnsi="Times New Roman"/>
              <w:sz w:val="24"/>
              <w:szCs w:val="24"/>
            </w:rPr>
            <w:t xml:space="preserve"> de </w:t>
          </w:r>
          <w:r w:rsidR="00A141F3" w:rsidRPr="00A141F3">
            <w:rPr>
              <w:rFonts w:ascii="Times New Roman" w:hAnsi="Times New Roman"/>
              <w:sz w:val="24"/>
              <w:szCs w:val="24"/>
            </w:rPr>
            <w:t>comunicación y computación</w:t>
          </w:r>
          <w:r w:rsidR="00A141F3">
            <w:rPr>
              <w:rFonts w:ascii="Times New Roman" w:hAnsi="Times New Roman"/>
              <w:sz w:val="24"/>
              <w:szCs w:val="24"/>
            </w:rPr>
            <w:t xml:space="preserve"> por valor</w:t>
          </w:r>
          <w:r w:rsidR="00263F18">
            <w:rPr>
              <w:rFonts w:ascii="Times New Roman" w:hAnsi="Times New Roman"/>
              <w:sz w:val="24"/>
              <w:szCs w:val="24"/>
            </w:rPr>
            <w:t xml:space="preserve"> de </w:t>
          </w:r>
          <w:r w:rsidR="00120245">
            <w:rPr>
              <w:rFonts w:ascii="Times New Roman" w:hAnsi="Times New Roman"/>
              <w:sz w:val="24"/>
              <w:szCs w:val="24"/>
            </w:rPr>
            <w:t>$</w:t>
          </w:r>
          <w:r w:rsidR="00761D95" w:rsidRPr="00761D95">
            <w:rPr>
              <w:rFonts w:ascii="Times New Roman" w:hAnsi="Times New Roman"/>
              <w:sz w:val="24"/>
              <w:szCs w:val="24"/>
            </w:rPr>
            <w:t xml:space="preserve"> 30.514.350</w:t>
          </w:r>
          <w:r w:rsidR="00295CA3">
            <w:rPr>
              <w:rFonts w:ascii="Times New Roman" w:hAnsi="Times New Roman"/>
              <w:sz w:val="24"/>
              <w:szCs w:val="24"/>
            </w:rPr>
            <w:t xml:space="preserve"> </w:t>
          </w:r>
          <w:r w:rsidR="00427837">
            <w:rPr>
              <w:rFonts w:ascii="Times New Roman" w:hAnsi="Times New Roman"/>
              <w:sz w:val="24"/>
              <w:szCs w:val="24"/>
            </w:rPr>
            <w:t>que se encuentran pendientes de baja definitiva.</w:t>
          </w:r>
        </w:p>
        <w:p w14:paraId="677CD772" w14:textId="77777777" w:rsidR="00263F18" w:rsidRPr="005B7DDA" w:rsidRDefault="00263F18" w:rsidP="00263F18">
          <w:pPr>
            <w:spacing w:after="0" w:line="240" w:lineRule="auto"/>
            <w:jc w:val="both"/>
            <w:rPr>
              <w:rFonts w:ascii="Times New Roman" w:hAnsi="Times New Roman"/>
              <w:color w:val="1F3864" w:themeColor="accent1" w:themeShade="80"/>
              <w:sz w:val="24"/>
              <w:szCs w:val="24"/>
            </w:rPr>
          </w:pPr>
        </w:p>
        <w:p w14:paraId="314348CB" w14:textId="2A53D5BA" w:rsidR="008B0FEC" w:rsidRPr="005B7DDA" w:rsidRDefault="008B0FEC" w:rsidP="004A000E">
          <w:pPr>
            <w:spacing w:after="0" w:line="240" w:lineRule="auto"/>
            <w:jc w:val="both"/>
            <w:rPr>
              <w:rFonts w:ascii="Times New Roman" w:hAnsi="Times New Roman"/>
              <w:b/>
              <w:color w:val="1F3864" w:themeColor="accent1" w:themeShade="80"/>
              <w:sz w:val="24"/>
              <w:szCs w:val="24"/>
            </w:rPr>
          </w:pPr>
          <w:r w:rsidRPr="005B7DDA">
            <w:rPr>
              <w:rFonts w:ascii="Times New Roman" w:hAnsi="Times New Roman"/>
              <w:b/>
              <w:color w:val="1F3864" w:themeColor="accent1" w:themeShade="80"/>
              <w:sz w:val="24"/>
              <w:szCs w:val="24"/>
            </w:rPr>
            <w:t>Propiedades, planta y equipo en concesión</w:t>
          </w:r>
        </w:p>
        <w:p w14:paraId="6D3B19F5" w14:textId="77777777" w:rsidR="00B14567" w:rsidRPr="00931DCE" w:rsidRDefault="00B14567" w:rsidP="004A000E">
          <w:pPr>
            <w:spacing w:after="0" w:line="240" w:lineRule="auto"/>
            <w:jc w:val="both"/>
            <w:rPr>
              <w:rFonts w:ascii="Times New Roman" w:hAnsi="Times New Roman"/>
              <w:b/>
              <w:sz w:val="24"/>
              <w:szCs w:val="24"/>
            </w:rPr>
          </w:pPr>
        </w:p>
        <w:p w14:paraId="2A6928C2" w14:textId="3BD159C7" w:rsidR="00743B02" w:rsidRPr="00931DCE" w:rsidRDefault="00E075D8" w:rsidP="004A000E">
          <w:pPr>
            <w:spacing w:after="0" w:line="240" w:lineRule="auto"/>
            <w:jc w:val="both"/>
            <w:rPr>
              <w:rFonts w:ascii="Times New Roman" w:hAnsi="Times New Roman"/>
              <w:sz w:val="24"/>
              <w:szCs w:val="24"/>
            </w:rPr>
          </w:pPr>
          <w:bookmarkStart w:id="33" w:name="_Hlk27056163"/>
          <w:r w:rsidRPr="00931DCE">
            <w:rPr>
              <w:rFonts w:ascii="Times New Roman" w:hAnsi="Times New Roman"/>
              <w:sz w:val="24"/>
              <w:szCs w:val="24"/>
              <w:lang w:val="es-ES_tradnl"/>
            </w:rPr>
            <w:t>Las</w:t>
          </w:r>
          <w:r w:rsidR="008B0FEC" w:rsidRPr="00931DCE">
            <w:rPr>
              <w:rFonts w:ascii="Times New Roman" w:hAnsi="Times New Roman"/>
              <w:sz w:val="24"/>
              <w:szCs w:val="24"/>
              <w:lang w:val="es-ES_tradnl"/>
            </w:rPr>
            <w:t xml:space="preserve"> </w:t>
          </w:r>
          <w:r w:rsidR="009648FD" w:rsidRPr="00931DCE">
            <w:rPr>
              <w:rFonts w:ascii="Times New Roman" w:hAnsi="Times New Roman"/>
              <w:sz w:val="24"/>
              <w:szCs w:val="24"/>
            </w:rPr>
            <w:t>p</w:t>
          </w:r>
          <w:r w:rsidR="008B0FEC" w:rsidRPr="00931DCE">
            <w:rPr>
              <w:rFonts w:ascii="Times New Roman" w:hAnsi="Times New Roman"/>
              <w:sz w:val="24"/>
              <w:szCs w:val="24"/>
            </w:rPr>
            <w:t xml:space="preserve">ropiedades, planta y equipo en concesión, </w:t>
          </w:r>
          <w:r w:rsidRPr="00931DCE">
            <w:rPr>
              <w:rFonts w:ascii="Times New Roman" w:hAnsi="Times New Roman"/>
              <w:sz w:val="24"/>
              <w:szCs w:val="24"/>
            </w:rPr>
            <w:t>comprende</w:t>
          </w:r>
          <w:r w:rsidR="005C3CAA" w:rsidRPr="00931DCE">
            <w:rPr>
              <w:rFonts w:ascii="Times New Roman" w:hAnsi="Times New Roman"/>
              <w:sz w:val="24"/>
              <w:szCs w:val="24"/>
            </w:rPr>
            <w:t>n</w:t>
          </w:r>
          <w:r w:rsidRPr="00931DCE">
            <w:rPr>
              <w:rFonts w:ascii="Times New Roman" w:hAnsi="Times New Roman"/>
              <w:sz w:val="24"/>
              <w:szCs w:val="24"/>
            </w:rPr>
            <w:t xml:space="preserve"> l</w:t>
          </w:r>
          <w:r w:rsidR="005C3CAA" w:rsidRPr="00931DCE">
            <w:rPr>
              <w:rFonts w:ascii="Times New Roman" w:hAnsi="Times New Roman"/>
              <w:sz w:val="24"/>
              <w:szCs w:val="24"/>
            </w:rPr>
            <w:t xml:space="preserve">os bienes </w:t>
          </w:r>
          <w:r w:rsidR="002F16F2" w:rsidRPr="00931DCE">
            <w:rPr>
              <w:rFonts w:ascii="Times New Roman" w:hAnsi="Times New Roman"/>
              <w:sz w:val="24"/>
              <w:szCs w:val="24"/>
            </w:rPr>
            <w:t>asociados a</w:t>
          </w:r>
          <w:r w:rsidR="005C3CAA" w:rsidRPr="00931DCE">
            <w:rPr>
              <w:rFonts w:ascii="Times New Roman" w:hAnsi="Times New Roman"/>
              <w:sz w:val="24"/>
              <w:szCs w:val="24"/>
            </w:rPr>
            <w:t xml:space="preserve"> la ejecución de </w:t>
          </w:r>
          <w:r w:rsidR="00743B02" w:rsidRPr="00931DCE">
            <w:rPr>
              <w:rFonts w:ascii="Times New Roman" w:hAnsi="Times New Roman"/>
              <w:sz w:val="24"/>
              <w:szCs w:val="24"/>
            </w:rPr>
            <w:t xml:space="preserve">los proyectos de </w:t>
          </w:r>
          <w:r w:rsidR="0012206F" w:rsidRPr="00931DCE">
            <w:rPr>
              <w:rFonts w:ascii="Times New Roman" w:hAnsi="Times New Roman"/>
              <w:sz w:val="24"/>
              <w:szCs w:val="24"/>
            </w:rPr>
            <w:t>acuerdo con</w:t>
          </w:r>
          <w:r w:rsidR="00743B02" w:rsidRPr="00931DCE">
            <w:rPr>
              <w:rFonts w:ascii="Times New Roman" w:hAnsi="Times New Roman"/>
              <w:sz w:val="24"/>
              <w:szCs w:val="24"/>
            </w:rPr>
            <w:t xml:space="preserve"> la información suministrada por los concesionarios y avalada por las interventorías</w:t>
          </w:r>
          <w:r w:rsidR="005C3CAA" w:rsidRPr="00931DCE">
            <w:rPr>
              <w:rFonts w:ascii="Times New Roman" w:hAnsi="Times New Roman"/>
              <w:sz w:val="24"/>
              <w:szCs w:val="24"/>
            </w:rPr>
            <w:t xml:space="preserve">, </w:t>
          </w:r>
          <w:r w:rsidR="00F1407E" w:rsidRPr="00931DCE">
            <w:rPr>
              <w:rFonts w:ascii="Times New Roman" w:hAnsi="Times New Roman"/>
              <w:sz w:val="24"/>
              <w:szCs w:val="24"/>
            </w:rPr>
            <w:t>en los modos férreo, portuario y aeroportuario y</w:t>
          </w:r>
          <w:r w:rsidR="002F16F2" w:rsidRPr="00931DCE">
            <w:rPr>
              <w:rFonts w:ascii="Times New Roman" w:hAnsi="Times New Roman"/>
              <w:sz w:val="24"/>
              <w:szCs w:val="24"/>
            </w:rPr>
            <w:t>,</w:t>
          </w:r>
          <w:r w:rsidR="00F1407E" w:rsidRPr="00931DCE">
            <w:rPr>
              <w:rFonts w:ascii="Times New Roman" w:hAnsi="Times New Roman"/>
              <w:sz w:val="24"/>
              <w:szCs w:val="24"/>
            </w:rPr>
            <w:t xml:space="preserve"> a la técnica de </w:t>
          </w:r>
          <w:r w:rsidR="00F1407E" w:rsidRPr="00931DCE">
            <w:rPr>
              <w:rFonts w:ascii="Times New Roman" w:hAnsi="Times New Roman"/>
              <w:sz w:val="24"/>
              <w:szCs w:val="24"/>
            </w:rPr>
            <w:lastRenderedPageBreak/>
            <w:t>estimación establecida para el modo carretero</w:t>
          </w:r>
          <w:r w:rsidR="002F16F2" w:rsidRPr="00931DCE">
            <w:rPr>
              <w:rFonts w:ascii="Times New Roman" w:hAnsi="Times New Roman"/>
              <w:sz w:val="24"/>
              <w:szCs w:val="24"/>
            </w:rPr>
            <w:t>.</w:t>
          </w:r>
          <w:r w:rsidR="00743B02" w:rsidRPr="00931DCE">
            <w:rPr>
              <w:rFonts w:ascii="Times New Roman" w:hAnsi="Times New Roman"/>
              <w:sz w:val="24"/>
              <w:szCs w:val="24"/>
            </w:rPr>
            <w:t xml:space="preserve"> </w:t>
          </w:r>
          <w:r w:rsidR="002F16F2" w:rsidRPr="00931DCE">
            <w:rPr>
              <w:rFonts w:ascii="Times New Roman" w:hAnsi="Times New Roman"/>
              <w:sz w:val="24"/>
              <w:szCs w:val="24"/>
            </w:rPr>
            <w:t xml:space="preserve">Estos bienes </w:t>
          </w:r>
          <w:r w:rsidR="00743B02" w:rsidRPr="00931DCE">
            <w:rPr>
              <w:rFonts w:ascii="Times New Roman" w:hAnsi="Times New Roman"/>
              <w:sz w:val="24"/>
              <w:szCs w:val="24"/>
            </w:rPr>
            <w:t>se encuentra</w:t>
          </w:r>
          <w:r w:rsidR="005C3CAA" w:rsidRPr="00931DCE">
            <w:rPr>
              <w:rFonts w:ascii="Times New Roman" w:hAnsi="Times New Roman"/>
              <w:sz w:val="24"/>
              <w:szCs w:val="24"/>
            </w:rPr>
            <w:t>n</w:t>
          </w:r>
          <w:r w:rsidR="00743B02" w:rsidRPr="00931DCE">
            <w:rPr>
              <w:rFonts w:ascii="Times New Roman" w:hAnsi="Times New Roman"/>
              <w:sz w:val="24"/>
              <w:szCs w:val="24"/>
            </w:rPr>
            <w:t xml:space="preserve"> a cargo de los concesionarios y será</w:t>
          </w:r>
          <w:r w:rsidR="005C3CAA" w:rsidRPr="00931DCE">
            <w:rPr>
              <w:rFonts w:ascii="Times New Roman" w:hAnsi="Times New Roman"/>
              <w:sz w:val="24"/>
              <w:szCs w:val="24"/>
            </w:rPr>
            <w:t>n</w:t>
          </w:r>
          <w:r w:rsidR="00743B02" w:rsidRPr="00931DCE">
            <w:rPr>
              <w:rFonts w:ascii="Times New Roman" w:hAnsi="Times New Roman"/>
              <w:sz w:val="24"/>
              <w:szCs w:val="24"/>
            </w:rPr>
            <w:t xml:space="preserve"> entregad</w:t>
          </w:r>
          <w:r w:rsidR="005C3CAA" w:rsidRPr="00931DCE">
            <w:rPr>
              <w:rFonts w:ascii="Times New Roman" w:hAnsi="Times New Roman"/>
              <w:sz w:val="24"/>
              <w:szCs w:val="24"/>
            </w:rPr>
            <w:t>os</w:t>
          </w:r>
          <w:r w:rsidR="00743B02" w:rsidRPr="00931DCE">
            <w:rPr>
              <w:rFonts w:ascii="Times New Roman" w:hAnsi="Times New Roman"/>
              <w:sz w:val="24"/>
              <w:szCs w:val="24"/>
            </w:rPr>
            <w:t xml:space="preserve"> a la Nación</w:t>
          </w:r>
          <w:r w:rsidR="00D3125D">
            <w:rPr>
              <w:rFonts w:ascii="Times New Roman" w:hAnsi="Times New Roman"/>
              <w:sz w:val="24"/>
              <w:szCs w:val="24"/>
            </w:rPr>
            <w:t>,</w:t>
          </w:r>
          <w:r w:rsidR="00743B02" w:rsidRPr="00931DCE">
            <w:rPr>
              <w:rFonts w:ascii="Times New Roman" w:hAnsi="Times New Roman"/>
              <w:sz w:val="24"/>
              <w:szCs w:val="24"/>
            </w:rPr>
            <w:t xml:space="preserve"> una vez se culmine el acuerdo de concesión.</w:t>
          </w:r>
        </w:p>
        <w:p w14:paraId="347356EE" w14:textId="77777777" w:rsidR="0024713E" w:rsidRDefault="0024713E" w:rsidP="004A000E">
          <w:pPr>
            <w:spacing w:after="0" w:line="240" w:lineRule="auto"/>
            <w:jc w:val="both"/>
            <w:rPr>
              <w:rFonts w:ascii="Times New Roman" w:hAnsi="Times New Roman"/>
              <w:sz w:val="24"/>
              <w:szCs w:val="24"/>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4A0" w:firstRow="1" w:lastRow="0" w:firstColumn="1" w:lastColumn="0" w:noHBand="0" w:noVBand="1"/>
          </w:tblPr>
          <w:tblGrid>
            <w:gridCol w:w="1667"/>
            <w:gridCol w:w="1398"/>
            <w:gridCol w:w="1108"/>
            <w:gridCol w:w="1274"/>
            <w:gridCol w:w="1064"/>
            <w:gridCol w:w="1188"/>
            <w:gridCol w:w="1260"/>
          </w:tblGrid>
          <w:tr w:rsidR="00E22E1A" w:rsidRPr="00D91FC9" w14:paraId="53E533C3" w14:textId="77777777" w:rsidTr="0098337A">
            <w:trPr>
              <w:trHeight w:val="735"/>
            </w:trPr>
            <w:tc>
              <w:tcPr>
                <w:tcW w:w="1667" w:type="dxa"/>
                <w:shd w:val="clear" w:color="auto" w:fill="auto"/>
                <w:vAlign w:val="center"/>
                <w:hideMark/>
              </w:tcPr>
              <w:p w14:paraId="0B21F51B" w14:textId="77777777" w:rsidR="00D91FC9" w:rsidRPr="00D91FC9" w:rsidRDefault="00D91FC9" w:rsidP="00D91FC9">
                <w:pPr>
                  <w:spacing w:after="0" w:line="240" w:lineRule="auto"/>
                  <w:jc w:val="center"/>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 xml:space="preserve">CONCEPTOS Y TRANSACCIONES </w:t>
                </w:r>
              </w:p>
            </w:tc>
            <w:tc>
              <w:tcPr>
                <w:tcW w:w="1398" w:type="dxa"/>
                <w:shd w:val="clear" w:color="auto" w:fill="auto"/>
                <w:vAlign w:val="center"/>
                <w:hideMark/>
              </w:tcPr>
              <w:p w14:paraId="30C4CA2D" w14:textId="77777777" w:rsidR="00D91FC9" w:rsidRPr="00D91FC9" w:rsidRDefault="00D91FC9" w:rsidP="00D91FC9">
                <w:pPr>
                  <w:spacing w:after="0" w:line="240" w:lineRule="auto"/>
                  <w:jc w:val="center"/>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 xml:space="preserve"> MAQUINARIA Y EQUIPO </w:t>
                </w:r>
              </w:p>
            </w:tc>
            <w:tc>
              <w:tcPr>
                <w:tcW w:w="1108" w:type="dxa"/>
                <w:shd w:val="clear" w:color="auto" w:fill="auto"/>
                <w:vAlign w:val="center"/>
                <w:hideMark/>
              </w:tcPr>
              <w:p w14:paraId="088CF120" w14:textId="77777777" w:rsidR="00D91FC9" w:rsidRPr="00D91FC9" w:rsidRDefault="00D91FC9" w:rsidP="00D91FC9">
                <w:pPr>
                  <w:spacing w:after="0" w:line="240" w:lineRule="auto"/>
                  <w:jc w:val="center"/>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 xml:space="preserve"> EQUIPOS DE COMUNIC. Y COMPUTAC. </w:t>
                </w:r>
              </w:p>
            </w:tc>
            <w:tc>
              <w:tcPr>
                <w:tcW w:w="1274" w:type="dxa"/>
                <w:shd w:val="clear" w:color="auto" w:fill="auto"/>
                <w:vAlign w:val="center"/>
                <w:hideMark/>
              </w:tcPr>
              <w:p w14:paraId="220B04C3" w14:textId="77777777" w:rsidR="00D91FC9" w:rsidRPr="00D91FC9" w:rsidRDefault="00D91FC9" w:rsidP="00D91FC9">
                <w:pPr>
                  <w:spacing w:after="0" w:line="240" w:lineRule="auto"/>
                  <w:jc w:val="center"/>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 xml:space="preserve"> EQUIPOS DE TRANSPORTE, TRACCIÓN Y ELEVACIÓN </w:t>
                </w:r>
              </w:p>
            </w:tc>
            <w:tc>
              <w:tcPr>
                <w:tcW w:w="1064" w:type="dxa"/>
                <w:shd w:val="clear" w:color="auto" w:fill="auto"/>
                <w:vAlign w:val="center"/>
                <w:hideMark/>
              </w:tcPr>
              <w:p w14:paraId="1BC25FCB" w14:textId="77777777" w:rsidR="00D91FC9" w:rsidRPr="00D91FC9" w:rsidRDefault="00D91FC9" w:rsidP="00D91FC9">
                <w:pPr>
                  <w:spacing w:after="0" w:line="240" w:lineRule="auto"/>
                  <w:jc w:val="center"/>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 xml:space="preserve"> EQUIPO MÉDICO Y CIENTÍFICO </w:t>
                </w:r>
              </w:p>
            </w:tc>
            <w:tc>
              <w:tcPr>
                <w:tcW w:w="1188" w:type="dxa"/>
                <w:shd w:val="clear" w:color="auto" w:fill="auto"/>
                <w:vAlign w:val="center"/>
                <w:hideMark/>
              </w:tcPr>
              <w:p w14:paraId="0AE1B602" w14:textId="77777777" w:rsidR="00D91FC9" w:rsidRPr="00D91FC9" w:rsidRDefault="00D91FC9" w:rsidP="00D91FC9">
                <w:pPr>
                  <w:spacing w:after="0" w:line="240" w:lineRule="auto"/>
                  <w:jc w:val="center"/>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 xml:space="preserve"> MUEBLES, ENSERES Y EQUIPO DE OFICINA </w:t>
                </w:r>
              </w:p>
            </w:tc>
            <w:tc>
              <w:tcPr>
                <w:tcW w:w="1260" w:type="dxa"/>
                <w:shd w:val="clear" w:color="auto" w:fill="auto"/>
                <w:vAlign w:val="center"/>
                <w:hideMark/>
              </w:tcPr>
              <w:p w14:paraId="1010143D" w14:textId="77777777" w:rsidR="00D91FC9" w:rsidRPr="00D91FC9" w:rsidRDefault="00D91FC9" w:rsidP="00D91FC9">
                <w:pPr>
                  <w:spacing w:after="0" w:line="240" w:lineRule="auto"/>
                  <w:jc w:val="center"/>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 xml:space="preserve"> TOTAL </w:t>
                </w:r>
              </w:p>
            </w:tc>
          </w:tr>
          <w:tr w:rsidR="00E22E1A" w:rsidRPr="00D91FC9" w14:paraId="7DF6B8D5" w14:textId="77777777" w:rsidTr="0098337A">
            <w:trPr>
              <w:trHeight w:val="555"/>
            </w:trPr>
            <w:tc>
              <w:tcPr>
                <w:tcW w:w="1667" w:type="dxa"/>
                <w:shd w:val="clear" w:color="auto" w:fill="auto"/>
                <w:vAlign w:val="center"/>
                <w:hideMark/>
              </w:tcPr>
              <w:p w14:paraId="1AFFA43F" w14:textId="77777777" w:rsidR="00D91FC9" w:rsidRPr="00D91FC9" w:rsidRDefault="00D91FC9" w:rsidP="00D91FC9">
                <w:pPr>
                  <w:spacing w:after="0" w:line="240" w:lineRule="auto"/>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 xml:space="preserve"> SALDO INICIAL (01-ene) </w:t>
                </w:r>
              </w:p>
            </w:tc>
            <w:tc>
              <w:tcPr>
                <w:tcW w:w="1398" w:type="dxa"/>
                <w:shd w:val="clear" w:color="auto" w:fill="auto"/>
                <w:noWrap/>
                <w:vAlign w:val="center"/>
                <w:hideMark/>
              </w:tcPr>
              <w:p w14:paraId="5C4CC7A5" w14:textId="77777777" w:rsidR="00D91FC9" w:rsidRPr="00D91FC9" w:rsidRDefault="00D91FC9" w:rsidP="00877C0F">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995.829.903.245</w:t>
                </w:r>
              </w:p>
            </w:tc>
            <w:tc>
              <w:tcPr>
                <w:tcW w:w="1108" w:type="dxa"/>
                <w:shd w:val="clear" w:color="auto" w:fill="auto"/>
                <w:noWrap/>
                <w:vAlign w:val="center"/>
                <w:hideMark/>
              </w:tcPr>
              <w:p w14:paraId="0893FF14" w14:textId="77777777" w:rsidR="00D91FC9" w:rsidRPr="00D91FC9" w:rsidRDefault="00D91FC9" w:rsidP="00877C0F">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115.202.554.512</w:t>
                </w:r>
              </w:p>
            </w:tc>
            <w:tc>
              <w:tcPr>
                <w:tcW w:w="1274" w:type="dxa"/>
                <w:shd w:val="clear" w:color="auto" w:fill="auto"/>
                <w:noWrap/>
                <w:vAlign w:val="center"/>
                <w:hideMark/>
              </w:tcPr>
              <w:p w14:paraId="30AD5897" w14:textId="77777777" w:rsidR="00D91FC9" w:rsidRPr="00D91FC9" w:rsidRDefault="00D91FC9" w:rsidP="00877C0F">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1.639.187.639.424</w:t>
                </w:r>
              </w:p>
            </w:tc>
            <w:tc>
              <w:tcPr>
                <w:tcW w:w="1064" w:type="dxa"/>
                <w:shd w:val="clear" w:color="auto" w:fill="auto"/>
                <w:noWrap/>
                <w:vAlign w:val="center"/>
                <w:hideMark/>
              </w:tcPr>
              <w:p w14:paraId="052C66C9" w14:textId="77777777" w:rsidR="00D91FC9" w:rsidRPr="00D91FC9" w:rsidRDefault="00D91FC9" w:rsidP="00877C0F">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420.334.329</w:t>
                </w:r>
              </w:p>
            </w:tc>
            <w:tc>
              <w:tcPr>
                <w:tcW w:w="1188" w:type="dxa"/>
                <w:shd w:val="clear" w:color="auto" w:fill="auto"/>
                <w:noWrap/>
                <w:vAlign w:val="center"/>
                <w:hideMark/>
              </w:tcPr>
              <w:p w14:paraId="136FDCE7" w14:textId="77777777" w:rsidR="00D91FC9" w:rsidRPr="00D91FC9" w:rsidRDefault="00D91FC9" w:rsidP="00877C0F">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29.055.280.368</w:t>
                </w:r>
              </w:p>
            </w:tc>
            <w:tc>
              <w:tcPr>
                <w:tcW w:w="1260" w:type="dxa"/>
                <w:shd w:val="clear" w:color="auto" w:fill="auto"/>
                <w:noWrap/>
                <w:vAlign w:val="center"/>
                <w:hideMark/>
              </w:tcPr>
              <w:p w14:paraId="457A4004" w14:textId="77777777" w:rsidR="00D91FC9" w:rsidRPr="00D91FC9" w:rsidRDefault="00D91FC9" w:rsidP="00877C0F">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2.779.695.711.878</w:t>
                </w:r>
              </w:p>
            </w:tc>
          </w:tr>
          <w:tr w:rsidR="00E22E1A" w:rsidRPr="00D91FC9" w14:paraId="116D55E9" w14:textId="77777777" w:rsidTr="0098337A">
            <w:trPr>
              <w:trHeight w:val="315"/>
            </w:trPr>
            <w:tc>
              <w:tcPr>
                <w:tcW w:w="1667" w:type="dxa"/>
                <w:shd w:val="clear" w:color="auto" w:fill="auto"/>
                <w:noWrap/>
                <w:vAlign w:val="center"/>
                <w:hideMark/>
              </w:tcPr>
              <w:p w14:paraId="7D1DCC58" w14:textId="77777777" w:rsidR="00D91FC9" w:rsidRPr="00D91FC9" w:rsidRDefault="00D91FC9" w:rsidP="00D91FC9">
                <w:pPr>
                  <w:spacing w:after="0" w:line="240" w:lineRule="auto"/>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 xml:space="preserve">+  ENTRADAS (DB): </w:t>
                </w:r>
              </w:p>
            </w:tc>
            <w:tc>
              <w:tcPr>
                <w:tcW w:w="1398" w:type="dxa"/>
                <w:shd w:val="clear" w:color="auto" w:fill="auto"/>
                <w:noWrap/>
                <w:vAlign w:val="center"/>
                <w:hideMark/>
              </w:tcPr>
              <w:p w14:paraId="7B354DAB" w14:textId="00EDF1B8" w:rsidR="00D91FC9" w:rsidRPr="00D91FC9" w:rsidRDefault="00D91FC9" w:rsidP="00877C0F">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52.616.814.460</w:t>
                </w:r>
              </w:p>
            </w:tc>
            <w:tc>
              <w:tcPr>
                <w:tcW w:w="1108" w:type="dxa"/>
                <w:shd w:val="clear" w:color="auto" w:fill="auto"/>
                <w:noWrap/>
                <w:vAlign w:val="center"/>
                <w:hideMark/>
              </w:tcPr>
              <w:p w14:paraId="46F18325" w14:textId="23839ED9" w:rsidR="00D91FC9" w:rsidRPr="00D91FC9" w:rsidRDefault="00D91FC9" w:rsidP="00877C0F">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 xml:space="preserve"> -   </w:t>
                </w:r>
              </w:p>
            </w:tc>
            <w:tc>
              <w:tcPr>
                <w:tcW w:w="1274" w:type="dxa"/>
                <w:shd w:val="clear" w:color="auto" w:fill="auto"/>
                <w:noWrap/>
                <w:vAlign w:val="center"/>
                <w:hideMark/>
              </w:tcPr>
              <w:p w14:paraId="3A40FD2E" w14:textId="77777777" w:rsidR="00D91FC9" w:rsidRPr="00D91FC9" w:rsidRDefault="00D91FC9" w:rsidP="00877C0F">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18.943.082.270</w:t>
                </w:r>
              </w:p>
            </w:tc>
            <w:tc>
              <w:tcPr>
                <w:tcW w:w="1064" w:type="dxa"/>
                <w:shd w:val="clear" w:color="auto" w:fill="auto"/>
                <w:noWrap/>
                <w:vAlign w:val="center"/>
                <w:hideMark/>
              </w:tcPr>
              <w:p w14:paraId="6A3DA646" w14:textId="750F7DFB" w:rsidR="00D91FC9" w:rsidRPr="00D91FC9" w:rsidRDefault="00D91FC9" w:rsidP="00877C0F">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 xml:space="preserve">  -   </w:t>
                </w:r>
              </w:p>
            </w:tc>
            <w:tc>
              <w:tcPr>
                <w:tcW w:w="1188" w:type="dxa"/>
                <w:shd w:val="clear" w:color="auto" w:fill="auto"/>
                <w:noWrap/>
                <w:vAlign w:val="center"/>
                <w:hideMark/>
              </w:tcPr>
              <w:p w14:paraId="5A20C017" w14:textId="4332ACF8" w:rsidR="00D91FC9" w:rsidRPr="00D91FC9" w:rsidRDefault="00D91FC9" w:rsidP="00877C0F">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 xml:space="preserve">   -   </w:t>
                </w:r>
              </w:p>
            </w:tc>
            <w:tc>
              <w:tcPr>
                <w:tcW w:w="1260" w:type="dxa"/>
                <w:shd w:val="clear" w:color="auto" w:fill="auto"/>
                <w:noWrap/>
                <w:vAlign w:val="center"/>
                <w:hideMark/>
              </w:tcPr>
              <w:p w14:paraId="35762B71" w14:textId="77777777" w:rsidR="00D91FC9" w:rsidRPr="00D91FC9" w:rsidRDefault="00D91FC9" w:rsidP="00877C0F">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71.559.896.730</w:t>
                </w:r>
              </w:p>
            </w:tc>
          </w:tr>
          <w:tr w:rsidR="00E22E1A" w:rsidRPr="00D91FC9" w14:paraId="733DBEFC" w14:textId="77777777" w:rsidTr="0098337A">
            <w:trPr>
              <w:trHeight w:val="315"/>
            </w:trPr>
            <w:tc>
              <w:tcPr>
                <w:tcW w:w="1667" w:type="dxa"/>
                <w:shd w:val="clear" w:color="auto" w:fill="auto"/>
                <w:noWrap/>
                <w:vAlign w:val="center"/>
                <w:hideMark/>
              </w:tcPr>
              <w:p w14:paraId="2A85868A" w14:textId="77777777" w:rsidR="00D91FC9" w:rsidRPr="00D91FC9" w:rsidRDefault="00D91FC9" w:rsidP="00D91FC9">
                <w:pPr>
                  <w:spacing w:after="0" w:line="240" w:lineRule="auto"/>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 xml:space="preserve">Otras entradas de bienes muebles </w:t>
                </w:r>
              </w:p>
            </w:tc>
            <w:tc>
              <w:tcPr>
                <w:tcW w:w="1398" w:type="dxa"/>
                <w:shd w:val="clear" w:color="auto" w:fill="auto"/>
                <w:noWrap/>
                <w:vAlign w:val="center"/>
                <w:hideMark/>
              </w:tcPr>
              <w:p w14:paraId="5F872D21" w14:textId="7777777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52.616.814.460</w:t>
                </w:r>
              </w:p>
            </w:tc>
            <w:tc>
              <w:tcPr>
                <w:tcW w:w="1108" w:type="dxa"/>
                <w:shd w:val="clear" w:color="auto" w:fill="auto"/>
                <w:noWrap/>
                <w:vAlign w:val="center"/>
                <w:hideMark/>
              </w:tcPr>
              <w:p w14:paraId="5FDB3263" w14:textId="0D01A02A"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 xml:space="preserve"> -   </w:t>
                </w:r>
              </w:p>
            </w:tc>
            <w:tc>
              <w:tcPr>
                <w:tcW w:w="1274" w:type="dxa"/>
                <w:shd w:val="clear" w:color="auto" w:fill="auto"/>
                <w:noWrap/>
                <w:vAlign w:val="center"/>
                <w:hideMark/>
              </w:tcPr>
              <w:p w14:paraId="7728F347" w14:textId="7777777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18.943.082.270</w:t>
                </w:r>
              </w:p>
            </w:tc>
            <w:tc>
              <w:tcPr>
                <w:tcW w:w="1064" w:type="dxa"/>
                <w:shd w:val="clear" w:color="auto" w:fill="auto"/>
                <w:noWrap/>
                <w:vAlign w:val="center"/>
                <w:hideMark/>
              </w:tcPr>
              <w:p w14:paraId="7909D989" w14:textId="45BF11D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 xml:space="preserve">  -   </w:t>
                </w:r>
              </w:p>
            </w:tc>
            <w:tc>
              <w:tcPr>
                <w:tcW w:w="1188" w:type="dxa"/>
                <w:shd w:val="clear" w:color="auto" w:fill="auto"/>
                <w:noWrap/>
                <w:vAlign w:val="center"/>
                <w:hideMark/>
              </w:tcPr>
              <w:p w14:paraId="09EB4898" w14:textId="7621D9F2"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 xml:space="preserve">   -   </w:t>
                </w:r>
              </w:p>
            </w:tc>
            <w:tc>
              <w:tcPr>
                <w:tcW w:w="1260" w:type="dxa"/>
                <w:shd w:val="clear" w:color="auto" w:fill="auto"/>
                <w:noWrap/>
                <w:vAlign w:val="center"/>
                <w:hideMark/>
              </w:tcPr>
              <w:p w14:paraId="224CB162" w14:textId="7777777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71.559.896.730</w:t>
                </w:r>
              </w:p>
            </w:tc>
          </w:tr>
          <w:tr w:rsidR="00E22E1A" w:rsidRPr="00D91FC9" w14:paraId="02A6C2EE" w14:textId="77777777" w:rsidTr="0098337A">
            <w:trPr>
              <w:trHeight w:val="315"/>
            </w:trPr>
            <w:tc>
              <w:tcPr>
                <w:tcW w:w="1667" w:type="dxa"/>
                <w:shd w:val="clear" w:color="auto" w:fill="auto"/>
                <w:noWrap/>
                <w:vAlign w:val="center"/>
                <w:hideMark/>
              </w:tcPr>
              <w:p w14:paraId="22D4C734" w14:textId="77777777" w:rsidR="00D91FC9" w:rsidRPr="00D91FC9" w:rsidRDefault="00D91FC9" w:rsidP="00D91FC9">
                <w:pPr>
                  <w:spacing w:after="0" w:line="240" w:lineRule="auto"/>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 xml:space="preserve">Activos asociados al modo de transporte portuario </w:t>
                </w:r>
              </w:p>
            </w:tc>
            <w:tc>
              <w:tcPr>
                <w:tcW w:w="1398" w:type="dxa"/>
                <w:shd w:val="clear" w:color="auto" w:fill="auto"/>
                <w:noWrap/>
                <w:vAlign w:val="center"/>
                <w:hideMark/>
              </w:tcPr>
              <w:p w14:paraId="57EAE0E5" w14:textId="7777777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50.181.092.101</w:t>
                </w:r>
              </w:p>
            </w:tc>
            <w:tc>
              <w:tcPr>
                <w:tcW w:w="1108" w:type="dxa"/>
                <w:shd w:val="clear" w:color="auto" w:fill="auto"/>
                <w:noWrap/>
                <w:vAlign w:val="center"/>
                <w:hideMark/>
              </w:tcPr>
              <w:p w14:paraId="68C28436" w14:textId="27F86279"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 xml:space="preserve"> -   </w:t>
                </w:r>
              </w:p>
            </w:tc>
            <w:tc>
              <w:tcPr>
                <w:tcW w:w="1274" w:type="dxa"/>
                <w:shd w:val="clear" w:color="auto" w:fill="auto"/>
                <w:noWrap/>
                <w:vAlign w:val="center"/>
                <w:hideMark/>
              </w:tcPr>
              <w:p w14:paraId="0956EF5A" w14:textId="7777777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18.943.082.270</w:t>
                </w:r>
              </w:p>
            </w:tc>
            <w:tc>
              <w:tcPr>
                <w:tcW w:w="1064" w:type="dxa"/>
                <w:shd w:val="clear" w:color="auto" w:fill="auto"/>
                <w:noWrap/>
                <w:vAlign w:val="center"/>
                <w:hideMark/>
              </w:tcPr>
              <w:p w14:paraId="6728FA1A" w14:textId="366BA618"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 xml:space="preserve">  -   </w:t>
                </w:r>
              </w:p>
            </w:tc>
            <w:tc>
              <w:tcPr>
                <w:tcW w:w="1188" w:type="dxa"/>
                <w:shd w:val="clear" w:color="auto" w:fill="auto"/>
                <w:noWrap/>
                <w:vAlign w:val="center"/>
                <w:hideMark/>
              </w:tcPr>
              <w:p w14:paraId="2A0FB04E" w14:textId="4A93EF2F"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 xml:space="preserve">   -   </w:t>
                </w:r>
              </w:p>
            </w:tc>
            <w:tc>
              <w:tcPr>
                <w:tcW w:w="1260" w:type="dxa"/>
                <w:shd w:val="clear" w:color="auto" w:fill="auto"/>
                <w:noWrap/>
                <w:vAlign w:val="center"/>
                <w:hideMark/>
              </w:tcPr>
              <w:p w14:paraId="36EB79A7" w14:textId="7777777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69.124.174.371</w:t>
                </w:r>
              </w:p>
            </w:tc>
          </w:tr>
          <w:tr w:rsidR="00E22E1A" w:rsidRPr="00D91FC9" w14:paraId="0DF2599A" w14:textId="77777777" w:rsidTr="0098337A">
            <w:trPr>
              <w:trHeight w:val="315"/>
            </w:trPr>
            <w:tc>
              <w:tcPr>
                <w:tcW w:w="1667" w:type="dxa"/>
                <w:shd w:val="clear" w:color="auto" w:fill="auto"/>
                <w:noWrap/>
                <w:vAlign w:val="center"/>
                <w:hideMark/>
              </w:tcPr>
              <w:p w14:paraId="5290CDF8" w14:textId="77777777" w:rsidR="00D91FC9" w:rsidRPr="00D91FC9" w:rsidRDefault="00D91FC9" w:rsidP="00D91FC9">
                <w:pPr>
                  <w:spacing w:after="0" w:line="240" w:lineRule="auto"/>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 xml:space="preserve">Activos asociados al modo de transporte férreo </w:t>
                </w:r>
              </w:p>
            </w:tc>
            <w:tc>
              <w:tcPr>
                <w:tcW w:w="1398" w:type="dxa"/>
                <w:shd w:val="clear" w:color="auto" w:fill="auto"/>
                <w:noWrap/>
                <w:vAlign w:val="center"/>
                <w:hideMark/>
              </w:tcPr>
              <w:p w14:paraId="183A9511" w14:textId="7777777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2.435.722.359</w:t>
                </w:r>
              </w:p>
            </w:tc>
            <w:tc>
              <w:tcPr>
                <w:tcW w:w="1108" w:type="dxa"/>
                <w:shd w:val="clear" w:color="auto" w:fill="auto"/>
                <w:noWrap/>
                <w:vAlign w:val="center"/>
                <w:hideMark/>
              </w:tcPr>
              <w:p w14:paraId="1A755BDC" w14:textId="1A4B4A95"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 xml:space="preserve"> -   </w:t>
                </w:r>
              </w:p>
            </w:tc>
            <w:tc>
              <w:tcPr>
                <w:tcW w:w="1274" w:type="dxa"/>
                <w:shd w:val="clear" w:color="auto" w:fill="auto"/>
                <w:noWrap/>
                <w:vAlign w:val="center"/>
                <w:hideMark/>
              </w:tcPr>
              <w:p w14:paraId="2351C09E" w14:textId="0AD3C6E5"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 xml:space="preserve"> -   </w:t>
                </w:r>
              </w:p>
            </w:tc>
            <w:tc>
              <w:tcPr>
                <w:tcW w:w="1064" w:type="dxa"/>
                <w:shd w:val="clear" w:color="auto" w:fill="auto"/>
                <w:noWrap/>
                <w:vAlign w:val="center"/>
                <w:hideMark/>
              </w:tcPr>
              <w:p w14:paraId="125741FF" w14:textId="0D76FFE6"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 xml:space="preserve">  -   </w:t>
                </w:r>
              </w:p>
            </w:tc>
            <w:tc>
              <w:tcPr>
                <w:tcW w:w="1188" w:type="dxa"/>
                <w:shd w:val="clear" w:color="auto" w:fill="auto"/>
                <w:noWrap/>
                <w:vAlign w:val="center"/>
                <w:hideMark/>
              </w:tcPr>
              <w:p w14:paraId="388B89E3" w14:textId="1E20B4AC"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 xml:space="preserve">   -   </w:t>
                </w:r>
              </w:p>
            </w:tc>
            <w:tc>
              <w:tcPr>
                <w:tcW w:w="1260" w:type="dxa"/>
                <w:shd w:val="clear" w:color="auto" w:fill="auto"/>
                <w:noWrap/>
                <w:vAlign w:val="center"/>
                <w:hideMark/>
              </w:tcPr>
              <w:p w14:paraId="5C35906C" w14:textId="7777777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2.435.722.359</w:t>
                </w:r>
              </w:p>
            </w:tc>
          </w:tr>
          <w:tr w:rsidR="00E22E1A" w:rsidRPr="00D91FC9" w14:paraId="1DC219F6" w14:textId="77777777" w:rsidTr="0098337A">
            <w:trPr>
              <w:trHeight w:val="315"/>
            </w:trPr>
            <w:tc>
              <w:tcPr>
                <w:tcW w:w="1667" w:type="dxa"/>
                <w:shd w:val="clear" w:color="auto" w:fill="auto"/>
                <w:noWrap/>
                <w:vAlign w:val="center"/>
                <w:hideMark/>
              </w:tcPr>
              <w:p w14:paraId="25641EAC" w14:textId="77777777" w:rsidR="00D91FC9" w:rsidRPr="00D91FC9" w:rsidRDefault="00D91FC9" w:rsidP="00D91FC9">
                <w:pPr>
                  <w:spacing w:after="0" w:line="240" w:lineRule="auto"/>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 xml:space="preserve">(-) SALIDAS (CR): </w:t>
                </w:r>
              </w:p>
            </w:tc>
            <w:tc>
              <w:tcPr>
                <w:tcW w:w="1398" w:type="dxa"/>
                <w:shd w:val="clear" w:color="auto" w:fill="auto"/>
                <w:noWrap/>
                <w:vAlign w:val="center"/>
                <w:hideMark/>
              </w:tcPr>
              <w:p w14:paraId="0CF96908" w14:textId="77777777" w:rsidR="00D91FC9" w:rsidRPr="00D91FC9" w:rsidRDefault="00D91FC9" w:rsidP="00877C0F">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19.544.331.252</w:t>
                </w:r>
              </w:p>
            </w:tc>
            <w:tc>
              <w:tcPr>
                <w:tcW w:w="1108" w:type="dxa"/>
                <w:shd w:val="clear" w:color="auto" w:fill="auto"/>
                <w:noWrap/>
                <w:vAlign w:val="center"/>
                <w:hideMark/>
              </w:tcPr>
              <w:p w14:paraId="573F0264" w14:textId="77777777" w:rsidR="00D91FC9" w:rsidRPr="00D91FC9" w:rsidRDefault="00D91FC9" w:rsidP="00877C0F">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1.612.849.312</w:t>
                </w:r>
              </w:p>
            </w:tc>
            <w:tc>
              <w:tcPr>
                <w:tcW w:w="1274" w:type="dxa"/>
                <w:shd w:val="clear" w:color="auto" w:fill="auto"/>
                <w:noWrap/>
                <w:vAlign w:val="center"/>
                <w:hideMark/>
              </w:tcPr>
              <w:p w14:paraId="274B8FCB" w14:textId="77777777" w:rsidR="00D91FC9" w:rsidRPr="00D91FC9" w:rsidRDefault="00D91FC9" w:rsidP="00877C0F">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1.304.624.929</w:t>
                </w:r>
              </w:p>
            </w:tc>
            <w:tc>
              <w:tcPr>
                <w:tcW w:w="1064" w:type="dxa"/>
                <w:shd w:val="clear" w:color="auto" w:fill="auto"/>
                <w:noWrap/>
                <w:vAlign w:val="center"/>
                <w:hideMark/>
              </w:tcPr>
              <w:p w14:paraId="18D833F1" w14:textId="77777777" w:rsidR="00D91FC9" w:rsidRPr="00D91FC9" w:rsidRDefault="00D91FC9" w:rsidP="00877C0F">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93.520.000</w:t>
                </w:r>
              </w:p>
            </w:tc>
            <w:tc>
              <w:tcPr>
                <w:tcW w:w="1188" w:type="dxa"/>
                <w:shd w:val="clear" w:color="auto" w:fill="auto"/>
                <w:noWrap/>
                <w:vAlign w:val="center"/>
                <w:hideMark/>
              </w:tcPr>
              <w:p w14:paraId="394D6C2F" w14:textId="5979CA4F" w:rsidR="00D91FC9" w:rsidRPr="00D91FC9" w:rsidRDefault="00D91FC9" w:rsidP="00877C0F">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 xml:space="preserve">   -   </w:t>
                </w:r>
              </w:p>
            </w:tc>
            <w:tc>
              <w:tcPr>
                <w:tcW w:w="1260" w:type="dxa"/>
                <w:shd w:val="clear" w:color="auto" w:fill="auto"/>
                <w:noWrap/>
                <w:vAlign w:val="center"/>
                <w:hideMark/>
              </w:tcPr>
              <w:p w14:paraId="6A3C136D" w14:textId="77777777" w:rsidR="00D91FC9" w:rsidRPr="00D91FC9" w:rsidRDefault="00D91FC9" w:rsidP="00877C0F">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22.555.325.493</w:t>
                </w:r>
              </w:p>
            </w:tc>
          </w:tr>
          <w:tr w:rsidR="00E22E1A" w:rsidRPr="00D91FC9" w14:paraId="3E07915C" w14:textId="77777777" w:rsidTr="0098337A">
            <w:trPr>
              <w:trHeight w:val="315"/>
            </w:trPr>
            <w:tc>
              <w:tcPr>
                <w:tcW w:w="1667" w:type="dxa"/>
                <w:shd w:val="clear" w:color="auto" w:fill="auto"/>
                <w:noWrap/>
                <w:vAlign w:val="center"/>
                <w:hideMark/>
              </w:tcPr>
              <w:p w14:paraId="3A6AB248" w14:textId="77777777" w:rsidR="00D91FC9" w:rsidRPr="00D91FC9" w:rsidRDefault="00D91FC9" w:rsidP="00D91FC9">
                <w:pPr>
                  <w:spacing w:after="0" w:line="240" w:lineRule="auto"/>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 xml:space="preserve">Otras salidas de bienes muebles </w:t>
                </w:r>
              </w:p>
            </w:tc>
            <w:tc>
              <w:tcPr>
                <w:tcW w:w="1398" w:type="dxa"/>
                <w:shd w:val="clear" w:color="auto" w:fill="auto"/>
                <w:noWrap/>
                <w:vAlign w:val="center"/>
                <w:hideMark/>
              </w:tcPr>
              <w:p w14:paraId="2A464BAD" w14:textId="7777777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19.544.331.252</w:t>
                </w:r>
              </w:p>
            </w:tc>
            <w:tc>
              <w:tcPr>
                <w:tcW w:w="1108" w:type="dxa"/>
                <w:shd w:val="clear" w:color="auto" w:fill="auto"/>
                <w:noWrap/>
                <w:vAlign w:val="center"/>
                <w:hideMark/>
              </w:tcPr>
              <w:p w14:paraId="65D1E551" w14:textId="7777777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1.612.849.312</w:t>
                </w:r>
              </w:p>
            </w:tc>
            <w:tc>
              <w:tcPr>
                <w:tcW w:w="1274" w:type="dxa"/>
                <w:shd w:val="clear" w:color="auto" w:fill="auto"/>
                <w:noWrap/>
                <w:vAlign w:val="center"/>
                <w:hideMark/>
              </w:tcPr>
              <w:p w14:paraId="40573A7A" w14:textId="7777777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1.304.624.929</w:t>
                </w:r>
              </w:p>
            </w:tc>
            <w:tc>
              <w:tcPr>
                <w:tcW w:w="1064" w:type="dxa"/>
                <w:shd w:val="clear" w:color="auto" w:fill="auto"/>
                <w:noWrap/>
                <w:vAlign w:val="center"/>
                <w:hideMark/>
              </w:tcPr>
              <w:p w14:paraId="6D6B434B" w14:textId="7777777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93.520.000</w:t>
                </w:r>
              </w:p>
            </w:tc>
            <w:tc>
              <w:tcPr>
                <w:tcW w:w="1188" w:type="dxa"/>
                <w:shd w:val="clear" w:color="auto" w:fill="auto"/>
                <w:noWrap/>
                <w:vAlign w:val="center"/>
                <w:hideMark/>
              </w:tcPr>
              <w:p w14:paraId="47018071" w14:textId="0F51AF80"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 xml:space="preserve">   -   </w:t>
                </w:r>
              </w:p>
            </w:tc>
            <w:tc>
              <w:tcPr>
                <w:tcW w:w="1260" w:type="dxa"/>
                <w:shd w:val="clear" w:color="auto" w:fill="auto"/>
                <w:noWrap/>
                <w:vAlign w:val="center"/>
                <w:hideMark/>
              </w:tcPr>
              <w:p w14:paraId="1FA953FB" w14:textId="7777777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22.555.325.493</w:t>
                </w:r>
              </w:p>
            </w:tc>
          </w:tr>
          <w:tr w:rsidR="00E22E1A" w:rsidRPr="00D91FC9" w14:paraId="72EC825D" w14:textId="77777777" w:rsidTr="0098337A">
            <w:trPr>
              <w:trHeight w:val="315"/>
            </w:trPr>
            <w:tc>
              <w:tcPr>
                <w:tcW w:w="1667" w:type="dxa"/>
                <w:shd w:val="clear" w:color="auto" w:fill="auto"/>
                <w:noWrap/>
                <w:vAlign w:val="center"/>
                <w:hideMark/>
              </w:tcPr>
              <w:p w14:paraId="436053B5" w14:textId="77777777" w:rsidR="00D91FC9" w:rsidRPr="00D91FC9" w:rsidRDefault="00D91FC9" w:rsidP="00D91FC9">
                <w:pPr>
                  <w:spacing w:after="0" w:line="240" w:lineRule="auto"/>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 xml:space="preserve">Activos revertidos a la entidad titular-Carretero </w:t>
                </w:r>
              </w:p>
            </w:tc>
            <w:tc>
              <w:tcPr>
                <w:tcW w:w="1398" w:type="dxa"/>
                <w:shd w:val="clear" w:color="auto" w:fill="auto"/>
                <w:noWrap/>
                <w:vAlign w:val="center"/>
                <w:hideMark/>
              </w:tcPr>
              <w:p w14:paraId="61782610" w14:textId="7777777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3.146.207.255</w:t>
                </w:r>
              </w:p>
            </w:tc>
            <w:tc>
              <w:tcPr>
                <w:tcW w:w="1108" w:type="dxa"/>
                <w:shd w:val="clear" w:color="auto" w:fill="auto"/>
                <w:noWrap/>
                <w:vAlign w:val="center"/>
                <w:hideMark/>
              </w:tcPr>
              <w:p w14:paraId="59590F73" w14:textId="7777777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1.612.849.312</w:t>
                </w:r>
              </w:p>
            </w:tc>
            <w:tc>
              <w:tcPr>
                <w:tcW w:w="1274" w:type="dxa"/>
                <w:shd w:val="clear" w:color="auto" w:fill="auto"/>
                <w:noWrap/>
                <w:vAlign w:val="center"/>
                <w:hideMark/>
              </w:tcPr>
              <w:p w14:paraId="48B28E3C" w14:textId="7777777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1.304.624.929</w:t>
                </w:r>
              </w:p>
            </w:tc>
            <w:tc>
              <w:tcPr>
                <w:tcW w:w="1064" w:type="dxa"/>
                <w:shd w:val="clear" w:color="auto" w:fill="auto"/>
                <w:noWrap/>
                <w:vAlign w:val="center"/>
                <w:hideMark/>
              </w:tcPr>
              <w:p w14:paraId="05077D60" w14:textId="7777777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93.520.000</w:t>
                </w:r>
              </w:p>
            </w:tc>
            <w:tc>
              <w:tcPr>
                <w:tcW w:w="1188" w:type="dxa"/>
                <w:shd w:val="clear" w:color="auto" w:fill="auto"/>
                <w:noWrap/>
                <w:vAlign w:val="center"/>
                <w:hideMark/>
              </w:tcPr>
              <w:p w14:paraId="0B617CBB" w14:textId="1FF545C3"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 xml:space="preserve">   -   </w:t>
                </w:r>
              </w:p>
            </w:tc>
            <w:tc>
              <w:tcPr>
                <w:tcW w:w="1260" w:type="dxa"/>
                <w:shd w:val="clear" w:color="auto" w:fill="auto"/>
                <w:noWrap/>
                <w:vAlign w:val="center"/>
                <w:hideMark/>
              </w:tcPr>
              <w:p w14:paraId="35FAD5E5" w14:textId="7777777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6.157.201.496</w:t>
                </w:r>
              </w:p>
            </w:tc>
          </w:tr>
          <w:tr w:rsidR="00E22E1A" w:rsidRPr="00D91FC9" w14:paraId="5CAF367C" w14:textId="77777777" w:rsidTr="0098337A">
            <w:trPr>
              <w:trHeight w:val="315"/>
            </w:trPr>
            <w:tc>
              <w:tcPr>
                <w:tcW w:w="1667" w:type="dxa"/>
                <w:shd w:val="clear" w:color="auto" w:fill="auto"/>
                <w:noWrap/>
                <w:vAlign w:val="center"/>
                <w:hideMark/>
              </w:tcPr>
              <w:p w14:paraId="76521142" w14:textId="77777777" w:rsidR="00D91FC9" w:rsidRPr="00D91FC9" w:rsidRDefault="00D91FC9" w:rsidP="00D91FC9">
                <w:pPr>
                  <w:spacing w:after="0" w:line="240" w:lineRule="auto"/>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 xml:space="preserve">Activos asociados al modo de transporte férreo </w:t>
                </w:r>
              </w:p>
            </w:tc>
            <w:tc>
              <w:tcPr>
                <w:tcW w:w="1398" w:type="dxa"/>
                <w:shd w:val="clear" w:color="auto" w:fill="auto"/>
                <w:noWrap/>
                <w:vAlign w:val="center"/>
                <w:hideMark/>
              </w:tcPr>
              <w:p w14:paraId="456D0B56" w14:textId="7777777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16.398.123.997</w:t>
                </w:r>
              </w:p>
            </w:tc>
            <w:tc>
              <w:tcPr>
                <w:tcW w:w="1108" w:type="dxa"/>
                <w:shd w:val="clear" w:color="auto" w:fill="auto"/>
                <w:noWrap/>
                <w:vAlign w:val="center"/>
                <w:hideMark/>
              </w:tcPr>
              <w:p w14:paraId="0358AD8D" w14:textId="6CCD7202"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 xml:space="preserve"> -   </w:t>
                </w:r>
              </w:p>
            </w:tc>
            <w:tc>
              <w:tcPr>
                <w:tcW w:w="1274" w:type="dxa"/>
                <w:shd w:val="clear" w:color="auto" w:fill="auto"/>
                <w:noWrap/>
                <w:vAlign w:val="center"/>
                <w:hideMark/>
              </w:tcPr>
              <w:p w14:paraId="7C069C63" w14:textId="3B446ADC"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 xml:space="preserve"> -   </w:t>
                </w:r>
              </w:p>
            </w:tc>
            <w:tc>
              <w:tcPr>
                <w:tcW w:w="1064" w:type="dxa"/>
                <w:shd w:val="clear" w:color="auto" w:fill="auto"/>
                <w:noWrap/>
                <w:vAlign w:val="center"/>
                <w:hideMark/>
              </w:tcPr>
              <w:p w14:paraId="24AA7B93" w14:textId="6EB9061A"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 xml:space="preserve">  -   </w:t>
                </w:r>
              </w:p>
            </w:tc>
            <w:tc>
              <w:tcPr>
                <w:tcW w:w="1188" w:type="dxa"/>
                <w:shd w:val="clear" w:color="auto" w:fill="auto"/>
                <w:noWrap/>
                <w:vAlign w:val="center"/>
                <w:hideMark/>
              </w:tcPr>
              <w:p w14:paraId="3B5388C0" w14:textId="7142152D"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 xml:space="preserve">   -   </w:t>
                </w:r>
              </w:p>
            </w:tc>
            <w:tc>
              <w:tcPr>
                <w:tcW w:w="1260" w:type="dxa"/>
                <w:shd w:val="clear" w:color="auto" w:fill="auto"/>
                <w:noWrap/>
                <w:vAlign w:val="center"/>
                <w:hideMark/>
              </w:tcPr>
              <w:p w14:paraId="0EB1F922" w14:textId="7777777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16.398.123.997</w:t>
                </w:r>
              </w:p>
            </w:tc>
          </w:tr>
          <w:tr w:rsidR="00E22E1A" w:rsidRPr="00D91FC9" w14:paraId="2A9589A7" w14:textId="77777777" w:rsidTr="0098337A">
            <w:trPr>
              <w:trHeight w:val="315"/>
            </w:trPr>
            <w:tc>
              <w:tcPr>
                <w:tcW w:w="1667" w:type="dxa"/>
                <w:shd w:val="clear" w:color="auto" w:fill="auto"/>
                <w:noWrap/>
                <w:vAlign w:val="center"/>
                <w:hideMark/>
              </w:tcPr>
              <w:p w14:paraId="48CA2889" w14:textId="77777777" w:rsidR="00D91FC9" w:rsidRPr="00D91FC9" w:rsidRDefault="00D91FC9" w:rsidP="00D91FC9">
                <w:pPr>
                  <w:spacing w:after="0" w:line="240" w:lineRule="auto"/>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 xml:space="preserve">= SUBTOTAL (Saldo inicial + Entradas - Salidas) </w:t>
                </w:r>
              </w:p>
            </w:tc>
            <w:tc>
              <w:tcPr>
                <w:tcW w:w="1398" w:type="dxa"/>
                <w:shd w:val="clear" w:color="auto" w:fill="auto"/>
                <w:noWrap/>
                <w:vAlign w:val="center"/>
                <w:hideMark/>
              </w:tcPr>
              <w:p w14:paraId="0E81E26B" w14:textId="63F2BA25" w:rsidR="00D91FC9" w:rsidRPr="00D91FC9" w:rsidRDefault="00D91FC9" w:rsidP="00877C0F">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 xml:space="preserve">   1.028.902.386.453</w:t>
                </w:r>
              </w:p>
            </w:tc>
            <w:tc>
              <w:tcPr>
                <w:tcW w:w="1108" w:type="dxa"/>
                <w:shd w:val="clear" w:color="auto" w:fill="auto"/>
                <w:noWrap/>
                <w:vAlign w:val="center"/>
                <w:hideMark/>
              </w:tcPr>
              <w:p w14:paraId="27D7E3C3" w14:textId="77777777" w:rsidR="00D91FC9" w:rsidRPr="00D91FC9" w:rsidRDefault="00D91FC9" w:rsidP="00877C0F">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113.589.705.200</w:t>
                </w:r>
              </w:p>
            </w:tc>
            <w:tc>
              <w:tcPr>
                <w:tcW w:w="1274" w:type="dxa"/>
                <w:shd w:val="clear" w:color="auto" w:fill="auto"/>
                <w:noWrap/>
                <w:vAlign w:val="center"/>
                <w:hideMark/>
              </w:tcPr>
              <w:p w14:paraId="20496EDB" w14:textId="77777777" w:rsidR="00D91FC9" w:rsidRPr="00D91FC9" w:rsidRDefault="00D91FC9" w:rsidP="00877C0F">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1.656.826.096.765</w:t>
                </w:r>
              </w:p>
            </w:tc>
            <w:tc>
              <w:tcPr>
                <w:tcW w:w="1064" w:type="dxa"/>
                <w:shd w:val="clear" w:color="auto" w:fill="auto"/>
                <w:noWrap/>
                <w:vAlign w:val="center"/>
                <w:hideMark/>
              </w:tcPr>
              <w:p w14:paraId="3C2E982F" w14:textId="77777777" w:rsidR="00D91FC9" w:rsidRPr="00D91FC9" w:rsidRDefault="00D91FC9" w:rsidP="00877C0F">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326.814.329</w:t>
                </w:r>
              </w:p>
            </w:tc>
            <w:tc>
              <w:tcPr>
                <w:tcW w:w="1188" w:type="dxa"/>
                <w:shd w:val="clear" w:color="auto" w:fill="auto"/>
                <w:noWrap/>
                <w:vAlign w:val="center"/>
                <w:hideMark/>
              </w:tcPr>
              <w:p w14:paraId="629107A2" w14:textId="77777777" w:rsidR="00D91FC9" w:rsidRPr="00D91FC9" w:rsidRDefault="00D91FC9" w:rsidP="00877C0F">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29.055.280.368</w:t>
                </w:r>
              </w:p>
            </w:tc>
            <w:tc>
              <w:tcPr>
                <w:tcW w:w="1260" w:type="dxa"/>
                <w:shd w:val="clear" w:color="auto" w:fill="auto"/>
                <w:noWrap/>
                <w:vAlign w:val="center"/>
                <w:hideMark/>
              </w:tcPr>
              <w:p w14:paraId="70DEB368" w14:textId="77777777" w:rsidR="00D91FC9" w:rsidRPr="00D91FC9" w:rsidRDefault="00D91FC9" w:rsidP="00877C0F">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2.828.700.283.115</w:t>
                </w:r>
              </w:p>
            </w:tc>
          </w:tr>
          <w:tr w:rsidR="00E22E1A" w:rsidRPr="00D91FC9" w14:paraId="47A333FE" w14:textId="77777777" w:rsidTr="0098337A">
            <w:trPr>
              <w:trHeight w:val="315"/>
            </w:trPr>
            <w:tc>
              <w:tcPr>
                <w:tcW w:w="1667" w:type="dxa"/>
                <w:shd w:val="clear" w:color="auto" w:fill="auto"/>
                <w:noWrap/>
                <w:vAlign w:val="center"/>
                <w:hideMark/>
              </w:tcPr>
              <w:p w14:paraId="45CEA2A9" w14:textId="77777777" w:rsidR="00D91FC9" w:rsidRPr="00D91FC9" w:rsidRDefault="00D91FC9" w:rsidP="00D91FC9">
                <w:pPr>
                  <w:spacing w:after="0" w:line="240" w:lineRule="auto"/>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 xml:space="preserve"> + CAMBIOS Y MEDICIÓN POSTERIOR </w:t>
                </w:r>
              </w:p>
            </w:tc>
            <w:tc>
              <w:tcPr>
                <w:tcW w:w="1398" w:type="dxa"/>
                <w:shd w:val="clear" w:color="auto" w:fill="auto"/>
                <w:noWrap/>
                <w:vAlign w:val="center"/>
                <w:hideMark/>
              </w:tcPr>
              <w:p w14:paraId="234302D1" w14:textId="77777777" w:rsidR="00D91FC9" w:rsidRPr="00D91FC9" w:rsidRDefault="00D91FC9" w:rsidP="00877C0F">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17.918.977.805</w:t>
                </w:r>
              </w:p>
            </w:tc>
            <w:tc>
              <w:tcPr>
                <w:tcW w:w="1108" w:type="dxa"/>
                <w:shd w:val="clear" w:color="auto" w:fill="auto"/>
                <w:noWrap/>
                <w:vAlign w:val="center"/>
                <w:hideMark/>
              </w:tcPr>
              <w:p w14:paraId="5CCFC219" w14:textId="77777777" w:rsidR="00D91FC9" w:rsidRPr="00D91FC9" w:rsidRDefault="00D91FC9" w:rsidP="00877C0F">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16.330.617.401</w:t>
                </w:r>
              </w:p>
            </w:tc>
            <w:tc>
              <w:tcPr>
                <w:tcW w:w="1274" w:type="dxa"/>
                <w:shd w:val="clear" w:color="auto" w:fill="auto"/>
                <w:noWrap/>
                <w:vAlign w:val="center"/>
                <w:hideMark/>
              </w:tcPr>
              <w:p w14:paraId="29561F70" w14:textId="77777777" w:rsidR="00D91FC9" w:rsidRPr="00D91FC9" w:rsidRDefault="00D91FC9" w:rsidP="00877C0F">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26.199.776.693</w:t>
                </w:r>
              </w:p>
            </w:tc>
            <w:tc>
              <w:tcPr>
                <w:tcW w:w="1064" w:type="dxa"/>
                <w:shd w:val="clear" w:color="auto" w:fill="auto"/>
                <w:noWrap/>
                <w:vAlign w:val="center"/>
                <w:hideMark/>
              </w:tcPr>
              <w:p w14:paraId="6800C3CF" w14:textId="4F15DF4F" w:rsidR="00D91FC9" w:rsidRPr="00D91FC9" w:rsidRDefault="00D91FC9" w:rsidP="00877C0F">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 xml:space="preserve">  -   </w:t>
                </w:r>
              </w:p>
            </w:tc>
            <w:tc>
              <w:tcPr>
                <w:tcW w:w="1188" w:type="dxa"/>
                <w:shd w:val="clear" w:color="auto" w:fill="auto"/>
                <w:noWrap/>
                <w:vAlign w:val="center"/>
                <w:hideMark/>
              </w:tcPr>
              <w:p w14:paraId="0064B7EA" w14:textId="77777777" w:rsidR="00D91FC9" w:rsidRPr="00D91FC9" w:rsidRDefault="00D91FC9" w:rsidP="00877C0F">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1.907.858.927</w:t>
                </w:r>
              </w:p>
            </w:tc>
            <w:tc>
              <w:tcPr>
                <w:tcW w:w="1260" w:type="dxa"/>
                <w:shd w:val="clear" w:color="auto" w:fill="auto"/>
                <w:noWrap/>
                <w:vAlign w:val="center"/>
                <w:hideMark/>
              </w:tcPr>
              <w:p w14:paraId="32F04C13" w14:textId="77777777" w:rsidR="00D91FC9" w:rsidRPr="00D91FC9" w:rsidRDefault="00D91FC9" w:rsidP="00877C0F">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62.357.230.826</w:t>
                </w:r>
              </w:p>
            </w:tc>
          </w:tr>
          <w:tr w:rsidR="00E22E1A" w:rsidRPr="00D91FC9" w14:paraId="7A72D553" w14:textId="77777777" w:rsidTr="0098337A">
            <w:trPr>
              <w:trHeight w:val="315"/>
            </w:trPr>
            <w:tc>
              <w:tcPr>
                <w:tcW w:w="1667" w:type="dxa"/>
                <w:shd w:val="clear" w:color="auto" w:fill="auto"/>
                <w:noWrap/>
                <w:vAlign w:val="center"/>
                <w:hideMark/>
              </w:tcPr>
              <w:p w14:paraId="5B0E7D40" w14:textId="77777777" w:rsidR="00D91FC9" w:rsidRPr="00D91FC9" w:rsidRDefault="00D91FC9" w:rsidP="00D91FC9">
                <w:pPr>
                  <w:spacing w:after="0" w:line="240" w:lineRule="auto"/>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 xml:space="preserve"> + Entrada por traslado de cuentas (DB) </w:t>
                </w:r>
              </w:p>
            </w:tc>
            <w:tc>
              <w:tcPr>
                <w:tcW w:w="1398" w:type="dxa"/>
                <w:shd w:val="clear" w:color="auto" w:fill="auto"/>
                <w:noWrap/>
                <w:vAlign w:val="center"/>
                <w:hideMark/>
              </w:tcPr>
              <w:p w14:paraId="55E7E241" w14:textId="7777777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19.220.363.036</w:t>
                </w:r>
              </w:p>
            </w:tc>
            <w:tc>
              <w:tcPr>
                <w:tcW w:w="1108" w:type="dxa"/>
                <w:shd w:val="clear" w:color="auto" w:fill="auto"/>
                <w:noWrap/>
                <w:vAlign w:val="center"/>
                <w:hideMark/>
              </w:tcPr>
              <w:p w14:paraId="3BDFC7EE" w14:textId="7777777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18.342.910.378</w:t>
                </w:r>
              </w:p>
            </w:tc>
            <w:tc>
              <w:tcPr>
                <w:tcW w:w="1274" w:type="dxa"/>
                <w:shd w:val="clear" w:color="auto" w:fill="auto"/>
                <w:noWrap/>
                <w:vAlign w:val="center"/>
                <w:hideMark/>
              </w:tcPr>
              <w:p w14:paraId="1305DA05" w14:textId="7777777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31.488.073.368</w:t>
                </w:r>
              </w:p>
            </w:tc>
            <w:tc>
              <w:tcPr>
                <w:tcW w:w="1064" w:type="dxa"/>
                <w:shd w:val="clear" w:color="auto" w:fill="auto"/>
                <w:noWrap/>
                <w:vAlign w:val="center"/>
                <w:hideMark/>
              </w:tcPr>
              <w:p w14:paraId="62899C26" w14:textId="19C71BD8"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 xml:space="preserve">  -   </w:t>
                </w:r>
              </w:p>
            </w:tc>
            <w:tc>
              <w:tcPr>
                <w:tcW w:w="1188" w:type="dxa"/>
                <w:shd w:val="clear" w:color="auto" w:fill="auto"/>
                <w:noWrap/>
                <w:vAlign w:val="center"/>
                <w:hideMark/>
              </w:tcPr>
              <w:p w14:paraId="54384FB2" w14:textId="7777777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2.125.945.423</w:t>
                </w:r>
              </w:p>
            </w:tc>
            <w:tc>
              <w:tcPr>
                <w:tcW w:w="1260" w:type="dxa"/>
                <w:shd w:val="clear" w:color="auto" w:fill="auto"/>
                <w:noWrap/>
                <w:vAlign w:val="center"/>
                <w:hideMark/>
              </w:tcPr>
              <w:p w14:paraId="0F563D1A" w14:textId="77777777" w:rsidR="00D91FC9" w:rsidRPr="00D91FC9" w:rsidRDefault="00D91FC9" w:rsidP="00877C0F">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71.177.292.205</w:t>
                </w:r>
              </w:p>
            </w:tc>
          </w:tr>
          <w:tr w:rsidR="00E22E1A" w:rsidRPr="00D91FC9" w14:paraId="63F5F782" w14:textId="77777777" w:rsidTr="0098337A">
            <w:trPr>
              <w:trHeight w:val="315"/>
            </w:trPr>
            <w:tc>
              <w:tcPr>
                <w:tcW w:w="1667" w:type="dxa"/>
                <w:shd w:val="clear" w:color="auto" w:fill="auto"/>
                <w:noWrap/>
                <w:vAlign w:val="center"/>
                <w:hideMark/>
              </w:tcPr>
              <w:p w14:paraId="226ECAEA" w14:textId="77777777" w:rsidR="00D91FC9" w:rsidRPr="00D91FC9" w:rsidRDefault="00D91FC9" w:rsidP="00D91FC9">
                <w:pPr>
                  <w:spacing w:after="0" w:line="240" w:lineRule="auto"/>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 xml:space="preserve">Modo Carretero </w:t>
                </w:r>
              </w:p>
            </w:tc>
            <w:tc>
              <w:tcPr>
                <w:tcW w:w="1398" w:type="dxa"/>
                <w:shd w:val="clear" w:color="auto" w:fill="auto"/>
                <w:noWrap/>
                <w:vAlign w:val="center"/>
                <w:hideMark/>
              </w:tcPr>
              <w:p w14:paraId="0F6B2CEE" w14:textId="7777777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19.220.363.036</w:t>
                </w:r>
              </w:p>
            </w:tc>
            <w:tc>
              <w:tcPr>
                <w:tcW w:w="1108" w:type="dxa"/>
                <w:shd w:val="clear" w:color="auto" w:fill="auto"/>
                <w:noWrap/>
                <w:vAlign w:val="center"/>
                <w:hideMark/>
              </w:tcPr>
              <w:p w14:paraId="1DA76999" w14:textId="7777777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18.342.910.378</w:t>
                </w:r>
              </w:p>
            </w:tc>
            <w:tc>
              <w:tcPr>
                <w:tcW w:w="1274" w:type="dxa"/>
                <w:shd w:val="clear" w:color="auto" w:fill="auto"/>
                <w:noWrap/>
                <w:vAlign w:val="center"/>
                <w:hideMark/>
              </w:tcPr>
              <w:p w14:paraId="3A8AE2D5" w14:textId="7777777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28.910.011.018</w:t>
                </w:r>
              </w:p>
            </w:tc>
            <w:tc>
              <w:tcPr>
                <w:tcW w:w="1064" w:type="dxa"/>
                <w:shd w:val="clear" w:color="auto" w:fill="auto"/>
                <w:noWrap/>
                <w:vAlign w:val="center"/>
                <w:hideMark/>
              </w:tcPr>
              <w:p w14:paraId="7D2CCD75" w14:textId="7777777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 </w:t>
                </w:r>
              </w:p>
            </w:tc>
            <w:tc>
              <w:tcPr>
                <w:tcW w:w="1188" w:type="dxa"/>
                <w:shd w:val="clear" w:color="auto" w:fill="auto"/>
                <w:noWrap/>
                <w:vAlign w:val="center"/>
                <w:hideMark/>
              </w:tcPr>
              <w:p w14:paraId="3AD2F7AB" w14:textId="7777777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2.125.945.423</w:t>
                </w:r>
              </w:p>
            </w:tc>
            <w:tc>
              <w:tcPr>
                <w:tcW w:w="1260" w:type="dxa"/>
                <w:shd w:val="clear" w:color="auto" w:fill="auto"/>
                <w:noWrap/>
                <w:vAlign w:val="center"/>
                <w:hideMark/>
              </w:tcPr>
              <w:p w14:paraId="4A741FD4" w14:textId="77777777" w:rsidR="00D91FC9" w:rsidRPr="00D91FC9" w:rsidRDefault="00D91FC9" w:rsidP="00877C0F">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68.599.229.855</w:t>
                </w:r>
              </w:p>
            </w:tc>
          </w:tr>
          <w:tr w:rsidR="00E22E1A" w:rsidRPr="00D91FC9" w14:paraId="5E0D888A" w14:textId="77777777" w:rsidTr="0098337A">
            <w:trPr>
              <w:trHeight w:val="315"/>
            </w:trPr>
            <w:tc>
              <w:tcPr>
                <w:tcW w:w="1667" w:type="dxa"/>
                <w:shd w:val="clear" w:color="auto" w:fill="auto"/>
                <w:noWrap/>
                <w:vAlign w:val="center"/>
                <w:hideMark/>
              </w:tcPr>
              <w:p w14:paraId="6E251ADA" w14:textId="77777777" w:rsidR="00D91FC9" w:rsidRPr="00D91FC9" w:rsidRDefault="00D91FC9" w:rsidP="00D91FC9">
                <w:pPr>
                  <w:spacing w:after="0" w:line="240" w:lineRule="auto"/>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 xml:space="preserve">Modo Portuario </w:t>
                </w:r>
              </w:p>
            </w:tc>
            <w:tc>
              <w:tcPr>
                <w:tcW w:w="1398" w:type="dxa"/>
                <w:shd w:val="clear" w:color="auto" w:fill="auto"/>
                <w:noWrap/>
                <w:vAlign w:val="center"/>
                <w:hideMark/>
              </w:tcPr>
              <w:p w14:paraId="20841B3A" w14:textId="7777777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 </w:t>
                </w:r>
              </w:p>
            </w:tc>
            <w:tc>
              <w:tcPr>
                <w:tcW w:w="1108" w:type="dxa"/>
                <w:shd w:val="clear" w:color="auto" w:fill="auto"/>
                <w:noWrap/>
                <w:vAlign w:val="center"/>
                <w:hideMark/>
              </w:tcPr>
              <w:p w14:paraId="071547A1" w14:textId="7777777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 </w:t>
                </w:r>
              </w:p>
            </w:tc>
            <w:tc>
              <w:tcPr>
                <w:tcW w:w="1274" w:type="dxa"/>
                <w:shd w:val="clear" w:color="auto" w:fill="auto"/>
                <w:noWrap/>
                <w:vAlign w:val="center"/>
                <w:hideMark/>
              </w:tcPr>
              <w:p w14:paraId="5669B0DF" w14:textId="7777777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2.578.062.350</w:t>
                </w:r>
              </w:p>
            </w:tc>
            <w:tc>
              <w:tcPr>
                <w:tcW w:w="1064" w:type="dxa"/>
                <w:shd w:val="clear" w:color="auto" w:fill="auto"/>
                <w:noWrap/>
                <w:vAlign w:val="center"/>
                <w:hideMark/>
              </w:tcPr>
              <w:p w14:paraId="2FB33C7F" w14:textId="7777777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 </w:t>
                </w:r>
              </w:p>
            </w:tc>
            <w:tc>
              <w:tcPr>
                <w:tcW w:w="1188" w:type="dxa"/>
                <w:shd w:val="clear" w:color="auto" w:fill="auto"/>
                <w:noWrap/>
                <w:vAlign w:val="center"/>
                <w:hideMark/>
              </w:tcPr>
              <w:p w14:paraId="0A2493AE" w14:textId="7777777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 </w:t>
                </w:r>
              </w:p>
            </w:tc>
            <w:tc>
              <w:tcPr>
                <w:tcW w:w="1260" w:type="dxa"/>
                <w:shd w:val="clear" w:color="auto" w:fill="auto"/>
                <w:noWrap/>
                <w:vAlign w:val="center"/>
                <w:hideMark/>
              </w:tcPr>
              <w:p w14:paraId="38422EE3" w14:textId="77777777" w:rsidR="00D91FC9" w:rsidRPr="00D91FC9" w:rsidRDefault="00D91FC9" w:rsidP="00877C0F">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2.578.062.350</w:t>
                </w:r>
              </w:p>
            </w:tc>
          </w:tr>
          <w:tr w:rsidR="00E22E1A" w:rsidRPr="00D91FC9" w14:paraId="19DBEB39" w14:textId="77777777" w:rsidTr="0098337A">
            <w:trPr>
              <w:trHeight w:val="315"/>
            </w:trPr>
            <w:tc>
              <w:tcPr>
                <w:tcW w:w="1667" w:type="dxa"/>
                <w:shd w:val="clear" w:color="auto" w:fill="auto"/>
                <w:noWrap/>
                <w:vAlign w:val="center"/>
                <w:hideMark/>
              </w:tcPr>
              <w:p w14:paraId="483BFA50" w14:textId="77777777" w:rsidR="00D91FC9" w:rsidRPr="00D91FC9" w:rsidRDefault="00D91FC9" w:rsidP="00D91FC9">
                <w:pPr>
                  <w:spacing w:after="0" w:line="240" w:lineRule="auto"/>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 xml:space="preserve">(-) Salida por traslado de cuentas (CR) </w:t>
                </w:r>
              </w:p>
            </w:tc>
            <w:tc>
              <w:tcPr>
                <w:tcW w:w="1398" w:type="dxa"/>
                <w:shd w:val="clear" w:color="auto" w:fill="auto"/>
                <w:noWrap/>
                <w:vAlign w:val="center"/>
                <w:hideMark/>
              </w:tcPr>
              <w:p w14:paraId="3FFEA348" w14:textId="7777777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1.301.385.231</w:t>
                </w:r>
              </w:p>
            </w:tc>
            <w:tc>
              <w:tcPr>
                <w:tcW w:w="1108" w:type="dxa"/>
                <w:shd w:val="clear" w:color="auto" w:fill="auto"/>
                <w:noWrap/>
                <w:vAlign w:val="center"/>
                <w:hideMark/>
              </w:tcPr>
              <w:p w14:paraId="26CAE14B" w14:textId="7777777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2.012.292.977</w:t>
                </w:r>
              </w:p>
            </w:tc>
            <w:tc>
              <w:tcPr>
                <w:tcW w:w="1274" w:type="dxa"/>
                <w:shd w:val="clear" w:color="auto" w:fill="auto"/>
                <w:noWrap/>
                <w:vAlign w:val="center"/>
                <w:hideMark/>
              </w:tcPr>
              <w:p w14:paraId="5031AF72" w14:textId="7777777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5.288.296.675</w:t>
                </w:r>
              </w:p>
            </w:tc>
            <w:tc>
              <w:tcPr>
                <w:tcW w:w="1064" w:type="dxa"/>
                <w:shd w:val="clear" w:color="auto" w:fill="auto"/>
                <w:noWrap/>
                <w:vAlign w:val="center"/>
                <w:hideMark/>
              </w:tcPr>
              <w:p w14:paraId="1D2480E8" w14:textId="7E9CE48E"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 xml:space="preserve">  -   </w:t>
                </w:r>
              </w:p>
            </w:tc>
            <w:tc>
              <w:tcPr>
                <w:tcW w:w="1188" w:type="dxa"/>
                <w:shd w:val="clear" w:color="auto" w:fill="auto"/>
                <w:noWrap/>
                <w:vAlign w:val="center"/>
                <w:hideMark/>
              </w:tcPr>
              <w:p w14:paraId="1C720B9E" w14:textId="7777777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218.086.496</w:t>
                </w:r>
              </w:p>
            </w:tc>
            <w:tc>
              <w:tcPr>
                <w:tcW w:w="1260" w:type="dxa"/>
                <w:shd w:val="clear" w:color="auto" w:fill="auto"/>
                <w:noWrap/>
                <w:vAlign w:val="center"/>
                <w:hideMark/>
              </w:tcPr>
              <w:p w14:paraId="5E345CE0" w14:textId="77777777" w:rsidR="00D91FC9" w:rsidRPr="00D91FC9" w:rsidRDefault="00D91FC9" w:rsidP="00877C0F">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8.820.061.379</w:t>
                </w:r>
              </w:p>
            </w:tc>
          </w:tr>
          <w:tr w:rsidR="00E22E1A" w:rsidRPr="00D91FC9" w14:paraId="197EDDE8" w14:textId="77777777" w:rsidTr="0098337A">
            <w:trPr>
              <w:trHeight w:val="315"/>
            </w:trPr>
            <w:tc>
              <w:tcPr>
                <w:tcW w:w="1667" w:type="dxa"/>
                <w:shd w:val="clear" w:color="auto" w:fill="auto"/>
                <w:noWrap/>
                <w:vAlign w:val="center"/>
                <w:hideMark/>
              </w:tcPr>
              <w:p w14:paraId="24DBA820" w14:textId="77777777" w:rsidR="00D91FC9" w:rsidRPr="00D91FC9" w:rsidRDefault="00D91FC9" w:rsidP="00D91FC9">
                <w:pPr>
                  <w:spacing w:after="0" w:line="240" w:lineRule="auto"/>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Modo Carretero</w:t>
                </w:r>
              </w:p>
            </w:tc>
            <w:tc>
              <w:tcPr>
                <w:tcW w:w="1398" w:type="dxa"/>
                <w:shd w:val="clear" w:color="auto" w:fill="auto"/>
                <w:noWrap/>
                <w:vAlign w:val="center"/>
                <w:hideMark/>
              </w:tcPr>
              <w:p w14:paraId="19CD92DE" w14:textId="7777777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1.301.385.231</w:t>
                </w:r>
              </w:p>
            </w:tc>
            <w:tc>
              <w:tcPr>
                <w:tcW w:w="1108" w:type="dxa"/>
                <w:shd w:val="clear" w:color="auto" w:fill="auto"/>
                <w:noWrap/>
                <w:vAlign w:val="center"/>
                <w:hideMark/>
              </w:tcPr>
              <w:p w14:paraId="7E880DCF" w14:textId="7777777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1.991.292.977</w:t>
                </w:r>
              </w:p>
            </w:tc>
            <w:tc>
              <w:tcPr>
                <w:tcW w:w="1274" w:type="dxa"/>
                <w:shd w:val="clear" w:color="auto" w:fill="auto"/>
                <w:noWrap/>
                <w:vAlign w:val="center"/>
                <w:hideMark/>
              </w:tcPr>
              <w:p w14:paraId="4486C31F" w14:textId="7777777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5.288.296.675</w:t>
                </w:r>
              </w:p>
            </w:tc>
            <w:tc>
              <w:tcPr>
                <w:tcW w:w="1064" w:type="dxa"/>
                <w:shd w:val="clear" w:color="auto" w:fill="auto"/>
                <w:noWrap/>
                <w:vAlign w:val="center"/>
                <w:hideMark/>
              </w:tcPr>
              <w:p w14:paraId="00F85F19" w14:textId="7777777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 </w:t>
                </w:r>
              </w:p>
            </w:tc>
            <w:tc>
              <w:tcPr>
                <w:tcW w:w="1188" w:type="dxa"/>
                <w:shd w:val="clear" w:color="auto" w:fill="auto"/>
                <w:noWrap/>
                <w:vAlign w:val="center"/>
                <w:hideMark/>
              </w:tcPr>
              <w:p w14:paraId="5364E599" w14:textId="7777777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218.086.496</w:t>
                </w:r>
              </w:p>
            </w:tc>
            <w:tc>
              <w:tcPr>
                <w:tcW w:w="1260" w:type="dxa"/>
                <w:shd w:val="clear" w:color="auto" w:fill="auto"/>
                <w:noWrap/>
                <w:vAlign w:val="center"/>
                <w:hideMark/>
              </w:tcPr>
              <w:p w14:paraId="60C8FC2B" w14:textId="77777777" w:rsidR="00D91FC9" w:rsidRPr="00D91FC9" w:rsidRDefault="00D91FC9" w:rsidP="00877C0F">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8.799.061.379</w:t>
                </w:r>
              </w:p>
            </w:tc>
          </w:tr>
          <w:tr w:rsidR="00E22E1A" w:rsidRPr="00D91FC9" w14:paraId="5DD7083F" w14:textId="77777777" w:rsidTr="0098337A">
            <w:trPr>
              <w:trHeight w:val="315"/>
            </w:trPr>
            <w:tc>
              <w:tcPr>
                <w:tcW w:w="1667" w:type="dxa"/>
                <w:shd w:val="clear" w:color="auto" w:fill="auto"/>
                <w:noWrap/>
                <w:vAlign w:val="center"/>
                <w:hideMark/>
              </w:tcPr>
              <w:p w14:paraId="3313D06B" w14:textId="77777777" w:rsidR="00D91FC9" w:rsidRPr="00D91FC9" w:rsidRDefault="00D91FC9" w:rsidP="00D91FC9">
                <w:pPr>
                  <w:spacing w:after="0" w:line="240" w:lineRule="auto"/>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 xml:space="preserve">Modo Portuario </w:t>
                </w:r>
              </w:p>
            </w:tc>
            <w:tc>
              <w:tcPr>
                <w:tcW w:w="1398" w:type="dxa"/>
                <w:shd w:val="clear" w:color="auto" w:fill="auto"/>
                <w:noWrap/>
                <w:vAlign w:val="center"/>
                <w:hideMark/>
              </w:tcPr>
              <w:p w14:paraId="1A2F691F" w14:textId="7777777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 </w:t>
                </w:r>
              </w:p>
            </w:tc>
            <w:tc>
              <w:tcPr>
                <w:tcW w:w="1108" w:type="dxa"/>
                <w:shd w:val="clear" w:color="auto" w:fill="auto"/>
                <w:noWrap/>
                <w:vAlign w:val="center"/>
                <w:hideMark/>
              </w:tcPr>
              <w:p w14:paraId="27E09258" w14:textId="7777777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21.000.000</w:t>
                </w:r>
              </w:p>
            </w:tc>
            <w:tc>
              <w:tcPr>
                <w:tcW w:w="1274" w:type="dxa"/>
                <w:shd w:val="clear" w:color="auto" w:fill="auto"/>
                <w:noWrap/>
                <w:vAlign w:val="center"/>
                <w:hideMark/>
              </w:tcPr>
              <w:p w14:paraId="6D5B09C4" w14:textId="7777777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 </w:t>
                </w:r>
              </w:p>
            </w:tc>
            <w:tc>
              <w:tcPr>
                <w:tcW w:w="1064" w:type="dxa"/>
                <w:shd w:val="clear" w:color="auto" w:fill="auto"/>
                <w:noWrap/>
                <w:vAlign w:val="center"/>
                <w:hideMark/>
              </w:tcPr>
              <w:p w14:paraId="58928F33" w14:textId="7777777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 </w:t>
                </w:r>
              </w:p>
            </w:tc>
            <w:tc>
              <w:tcPr>
                <w:tcW w:w="1188" w:type="dxa"/>
                <w:shd w:val="clear" w:color="auto" w:fill="auto"/>
                <w:noWrap/>
                <w:vAlign w:val="center"/>
                <w:hideMark/>
              </w:tcPr>
              <w:p w14:paraId="098C800E" w14:textId="7777777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 </w:t>
                </w:r>
              </w:p>
            </w:tc>
            <w:tc>
              <w:tcPr>
                <w:tcW w:w="1260" w:type="dxa"/>
                <w:shd w:val="clear" w:color="auto" w:fill="auto"/>
                <w:noWrap/>
                <w:vAlign w:val="center"/>
                <w:hideMark/>
              </w:tcPr>
              <w:p w14:paraId="6E195B78" w14:textId="77777777" w:rsidR="00D91FC9" w:rsidRPr="00D91FC9" w:rsidRDefault="00D91FC9" w:rsidP="00877C0F">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21.000.000</w:t>
                </w:r>
              </w:p>
            </w:tc>
          </w:tr>
          <w:tr w:rsidR="00E22E1A" w:rsidRPr="00D91FC9" w14:paraId="6709D684" w14:textId="77777777" w:rsidTr="0098337A">
            <w:trPr>
              <w:trHeight w:val="315"/>
            </w:trPr>
            <w:tc>
              <w:tcPr>
                <w:tcW w:w="1667" w:type="dxa"/>
                <w:shd w:val="clear" w:color="auto" w:fill="auto"/>
                <w:noWrap/>
                <w:vAlign w:val="center"/>
                <w:hideMark/>
              </w:tcPr>
              <w:p w14:paraId="1D644A41" w14:textId="77777777" w:rsidR="00D91FC9" w:rsidRPr="00D91FC9" w:rsidRDefault="00D91FC9" w:rsidP="00D91FC9">
                <w:pPr>
                  <w:spacing w:after="0" w:line="240" w:lineRule="auto"/>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 xml:space="preserve"> = SALDO FINAL (31-dic) (Subtotal + Cambios) </w:t>
                </w:r>
              </w:p>
            </w:tc>
            <w:tc>
              <w:tcPr>
                <w:tcW w:w="1398" w:type="dxa"/>
                <w:shd w:val="clear" w:color="auto" w:fill="auto"/>
                <w:noWrap/>
                <w:vAlign w:val="center"/>
                <w:hideMark/>
              </w:tcPr>
              <w:p w14:paraId="2B8172A3" w14:textId="77777777" w:rsidR="00D91FC9" w:rsidRPr="00D91FC9" w:rsidRDefault="00D91FC9" w:rsidP="00877C0F">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1.046.821.364.258</w:t>
                </w:r>
              </w:p>
            </w:tc>
            <w:tc>
              <w:tcPr>
                <w:tcW w:w="1108" w:type="dxa"/>
                <w:shd w:val="clear" w:color="auto" w:fill="auto"/>
                <w:noWrap/>
                <w:vAlign w:val="center"/>
                <w:hideMark/>
              </w:tcPr>
              <w:p w14:paraId="20179495" w14:textId="77777777" w:rsidR="00D91FC9" w:rsidRPr="00D91FC9" w:rsidRDefault="00D91FC9" w:rsidP="00877C0F">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129.920.322.601</w:t>
                </w:r>
              </w:p>
            </w:tc>
            <w:tc>
              <w:tcPr>
                <w:tcW w:w="1274" w:type="dxa"/>
                <w:shd w:val="clear" w:color="auto" w:fill="auto"/>
                <w:noWrap/>
                <w:vAlign w:val="center"/>
                <w:hideMark/>
              </w:tcPr>
              <w:p w14:paraId="43ABE8E7" w14:textId="77777777" w:rsidR="00D91FC9" w:rsidRPr="00D91FC9" w:rsidRDefault="00D91FC9" w:rsidP="00877C0F">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1.683.025.873.458</w:t>
                </w:r>
              </w:p>
            </w:tc>
            <w:tc>
              <w:tcPr>
                <w:tcW w:w="1064" w:type="dxa"/>
                <w:shd w:val="clear" w:color="auto" w:fill="auto"/>
                <w:noWrap/>
                <w:vAlign w:val="center"/>
                <w:hideMark/>
              </w:tcPr>
              <w:p w14:paraId="3512B86A" w14:textId="77777777" w:rsidR="00D91FC9" w:rsidRPr="00D91FC9" w:rsidRDefault="00D91FC9" w:rsidP="00877C0F">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326.814.329</w:t>
                </w:r>
              </w:p>
            </w:tc>
            <w:tc>
              <w:tcPr>
                <w:tcW w:w="1188" w:type="dxa"/>
                <w:shd w:val="clear" w:color="auto" w:fill="auto"/>
                <w:noWrap/>
                <w:vAlign w:val="center"/>
                <w:hideMark/>
              </w:tcPr>
              <w:p w14:paraId="2A3993D3" w14:textId="77777777" w:rsidR="00D91FC9" w:rsidRPr="00D91FC9" w:rsidRDefault="00D91FC9" w:rsidP="00877C0F">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30.963.139.295</w:t>
                </w:r>
              </w:p>
            </w:tc>
            <w:tc>
              <w:tcPr>
                <w:tcW w:w="1260" w:type="dxa"/>
                <w:shd w:val="clear" w:color="auto" w:fill="auto"/>
                <w:noWrap/>
                <w:vAlign w:val="center"/>
                <w:hideMark/>
              </w:tcPr>
              <w:p w14:paraId="7DE8CCE8" w14:textId="77777777" w:rsidR="00D91FC9" w:rsidRPr="00D91FC9" w:rsidRDefault="00D91FC9" w:rsidP="00877C0F">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2.891.057.513.941</w:t>
                </w:r>
              </w:p>
            </w:tc>
          </w:tr>
          <w:tr w:rsidR="00E22E1A" w:rsidRPr="00D91FC9" w14:paraId="1E6E0EF5" w14:textId="77777777" w:rsidTr="0098337A">
            <w:trPr>
              <w:trHeight w:val="315"/>
            </w:trPr>
            <w:tc>
              <w:tcPr>
                <w:tcW w:w="1667" w:type="dxa"/>
                <w:shd w:val="clear" w:color="auto" w:fill="auto"/>
                <w:noWrap/>
                <w:vAlign w:val="center"/>
                <w:hideMark/>
              </w:tcPr>
              <w:p w14:paraId="7F777811" w14:textId="19D91691" w:rsidR="00D91FC9" w:rsidRPr="00D91FC9" w:rsidRDefault="00D91FC9" w:rsidP="00D91FC9">
                <w:pPr>
                  <w:spacing w:after="0" w:line="240" w:lineRule="auto"/>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w:t>
                </w:r>
                <w:r w:rsidR="00877C0F" w:rsidRPr="00D91FC9">
                  <w:rPr>
                    <w:rFonts w:ascii="Times New Roman" w:eastAsia="Times New Roman" w:hAnsi="Times New Roman"/>
                    <w:b/>
                    <w:bCs/>
                    <w:color w:val="000000"/>
                    <w:sz w:val="14"/>
                    <w:szCs w:val="14"/>
                    <w:lang w:eastAsia="es-CO"/>
                  </w:rPr>
                  <w:t>) DEPRECIACIÓN</w:t>
                </w:r>
                <w:r w:rsidRPr="00D91FC9">
                  <w:rPr>
                    <w:rFonts w:ascii="Times New Roman" w:eastAsia="Times New Roman" w:hAnsi="Times New Roman"/>
                    <w:b/>
                    <w:bCs/>
                    <w:color w:val="000000"/>
                    <w:sz w:val="14"/>
                    <w:szCs w:val="14"/>
                    <w:lang w:eastAsia="es-CO"/>
                  </w:rPr>
                  <w:t xml:space="preserve"> ACUMULADA (DA) </w:t>
                </w:r>
              </w:p>
            </w:tc>
            <w:tc>
              <w:tcPr>
                <w:tcW w:w="1398" w:type="dxa"/>
                <w:shd w:val="clear" w:color="auto" w:fill="auto"/>
                <w:noWrap/>
                <w:vAlign w:val="center"/>
                <w:hideMark/>
              </w:tcPr>
              <w:p w14:paraId="25461685" w14:textId="77777777" w:rsidR="00D91FC9" w:rsidRPr="00D91FC9" w:rsidRDefault="00D91FC9" w:rsidP="00877C0F">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6.745.500.462</w:t>
                </w:r>
              </w:p>
            </w:tc>
            <w:tc>
              <w:tcPr>
                <w:tcW w:w="1108" w:type="dxa"/>
                <w:shd w:val="clear" w:color="auto" w:fill="auto"/>
                <w:noWrap/>
                <w:vAlign w:val="center"/>
                <w:hideMark/>
              </w:tcPr>
              <w:p w14:paraId="0CDAA6FD" w14:textId="5E99CCA8" w:rsidR="00D91FC9" w:rsidRPr="00D91FC9" w:rsidRDefault="00D91FC9" w:rsidP="00877C0F">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 xml:space="preserve"> -   </w:t>
                </w:r>
              </w:p>
            </w:tc>
            <w:tc>
              <w:tcPr>
                <w:tcW w:w="1274" w:type="dxa"/>
                <w:shd w:val="clear" w:color="auto" w:fill="auto"/>
                <w:noWrap/>
                <w:vAlign w:val="center"/>
                <w:hideMark/>
              </w:tcPr>
              <w:p w14:paraId="3B44F401" w14:textId="5B165D7A" w:rsidR="00D91FC9" w:rsidRPr="00D91FC9" w:rsidRDefault="00D91FC9" w:rsidP="00877C0F">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 xml:space="preserve"> -   </w:t>
                </w:r>
              </w:p>
            </w:tc>
            <w:tc>
              <w:tcPr>
                <w:tcW w:w="1064" w:type="dxa"/>
                <w:shd w:val="clear" w:color="auto" w:fill="auto"/>
                <w:noWrap/>
                <w:vAlign w:val="center"/>
                <w:hideMark/>
              </w:tcPr>
              <w:p w14:paraId="5F5197C3" w14:textId="68A9271D" w:rsidR="00D91FC9" w:rsidRPr="00D91FC9" w:rsidRDefault="00D91FC9" w:rsidP="00877C0F">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 xml:space="preserve">  -   </w:t>
                </w:r>
              </w:p>
            </w:tc>
            <w:tc>
              <w:tcPr>
                <w:tcW w:w="1188" w:type="dxa"/>
                <w:shd w:val="clear" w:color="auto" w:fill="auto"/>
                <w:noWrap/>
                <w:vAlign w:val="center"/>
                <w:hideMark/>
              </w:tcPr>
              <w:p w14:paraId="58380608" w14:textId="30AA9EAC" w:rsidR="00D91FC9" w:rsidRPr="00D91FC9" w:rsidRDefault="00D91FC9" w:rsidP="00877C0F">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 xml:space="preserve">   -   </w:t>
                </w:r>
              </w:p>
            </w:tc>
            <w:tc>
              <w:tcPr>
                <w:tcW w:w="1260" w:type="dxa"/>
                <w:shd w:val="clear" w:color="auto" w:fill="auto"/>
                <w:noWrap/>
                <w:vAlign w:val="center"/>
                <w:hideMark/>
              </w:tcPr>
              <w:p w14:paraId="784C33D9" w14:textId="77777777" w:rsidR="00D91FC9" w:rsidRPr="00D91FC9" w:rsidRDefault="00D91FC9" w:rsidP="00877C0F">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6.745.500.462</w:t>
                </w:r>
              </w:p>
            </w:tc>
          </w:tr>
          <w:tr w:rsidR="00E22E1A" w:rsidRPr="00D91FC9" w14:paraId="153CA73B" w14:textId="77777777" w:rsidTr="0098337A">
            <w:trPr>
              <w:trHeight w:val="315"/>
            </w:trPr>
            <w:tc>
              <w:tcPr>
                <w:tcW w:w="1667" w:type="dxa"/>
                <w:shd w:val="clear" w:color="auto" w:fill="auto"/>
                <w:noWrap/>
                <w:vAlign w:val="center"/>
                <w:hideMark/>
              </w:tcPr>
              <w:p w14:paraId="7F40A20B" w14:textId="77777777" w:rsidR="00D91FC9" w:rsidRPr="00D91FC9" w:rsidRDefault="00D91FC9" w:rsidP="00D91FC9">
                <w:pPr>
                  <w:spacing w:after="0" w:line="240" w:lineRule="auto"/>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 xml:space="preserve">Saldo inicial de la Depreciación acumulada </w:t>
                </w:r>
              </w:p>
            </w:tc>
            <w:tc>
              <w:tcPr>
                <w:tcW w:w="1398" w:type="dxa"/>
                <w:shd w:val="clear" w:color="auto" w:fill="auto"/>
                <w:noWrap/>
                <w:vAlign w:val="center"/>
                <w:hideMark/>
              </w:tcPr>
              <w:p w14:paraId="6D95866A" w14:textId="7777777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6.383.291.030</w:t>
                </w:r>
              </w:p>
            </w:tc>
            <w:tc>
              <w:tcPr>
                <w:tcW w:w="1108" w:type="dxa"/>
                <w:shd w:val="clear" w:color="auto" w:fill="auto"/>
                <w:noWrap/>
                <w:vAlign w:val="center"/>
                <w:hideMark/>
              </w:tcPr>
              <w:p w14:paraId="1C528B9E" w14:textId="7777777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 </w:t>
                </w:r>
              </w:p>
            </w:tc>
            <w:tc>
              <w:tcPr>
                <w:tcW w:w="1274" w:type="dxa"/>
                <w:shd w:val="clear" w:color="auto" w:fill="auto"/>
                <w:noWrap/>
                <w:vAlign w:val="center"/>
                <w:hideMark/>
              </w:tcPr>
              <w:p w14:paraId="25C2F0A9" w14:textId="7777777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 </w:t>
                </w:r>
              </w:p>
            </w:tc>
            <w:tc>
              <w:tcPr>
                <w:tcW w:w="1064" w:type="dxa"/>
                <w:shd w:val="clear" w:color="auto" w:fill="auto"/>
                <w:noWrap/>
                <w:vAlign w:val="center"/>
                <w:hideMark/>
              </w:tcPr>
              <w:p w14:paraId="42974914" w14:textId="7777777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 </w:t>
                </w:r>
              </w:p>
            </w:tc>
            <w:tc>
              <w:tcPr>
                <w:tcW w:w="1188" w:type="dxa"/>
                <w:shd w:val="clear" w:color="auto" w:fill="auto"/>
                <w:noWrap/>
                <w:vAlign w:val="center"/>
                <w:hideMark/>
              </w:tcPr>
              <w:p w14:paraId="40DB5B42" w14:textId="77777777" w:rsidR="00D91FC9" w:rsidRPr="00D91FC9" w:rsidRDefault="00D91FC9" w:rsidP="00877C0F">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 </w:t>
                </w:r>
              </w:p>
            </w:tc>
            <w:tc>
              <w:tcPr>
                <w:tcW w:w="1260" w:type="dxa"/>
                <w:shd w:val="clear" w:color="auto" w:fill="auto"/>
                <w:noWrap/>
                <w:vAlign w:val="center"/>
                <w:hideMark/>
              </w:tcPr>
              <w:p w14:paraId="3A48C865" w14:textId="77777777" w:rsidR="00D91FC9" w:rsidRPr="00D91FC9" w:rsidRDefault="00D91FC9" w:rsidP="00877C0F">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6.383.291.030</w:t>
                </w:r>
              </w:p>
            </w:tc>
          </w:tr>
          <w:tr w:rsidR="00E22E1A" w:rsidRPr="00D91FC9" w14:paraId="0C594EAE" w14:textId="77777777" w:rsidTr="0098337A">
            <w:trPr>
              <w:trHeight w:val="315"/>
            </w:trPr>
            <w:tc>
              <w:tcPr>
                <w:tcW w:w="1667" w:type="dxa"/>
                <w:shd w:val="clear" w:color="auto" w:fill="auto"/>
                <w:noWrap/>
                <w:vAlign w:val="center"/>
                <w:hideMark/>
              </w:tcPr>
              <w:p w14:paraId="52E8426C" w14:textId="77777777" w:rsidR="00D91FC9" w:rsidRPr="00D91FC9" w:rsidRDefault="00D91FC9" w:rsidP="00D91FC9">
                <w:pPr>
                  <w:spacing w:after="0" w:line="240" w:lineRule="auto"/>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 xml:space="preserve">+  Depreciación aplicada vigencia actual - Modo férreo </w:t>
                </w:r>
              </w:p>
            </w:tc>
            <w:tc>
              <w:tcPr>
                <w:tcW w:w="1398" w:type="dxa"/>
                <w:shd w:val="clear" w:color="auto" w:fill="auto"/>
                <w:noWrap/>
                <w:vAlign w:val="center"/>
                <w:hideMark/>
              </w:tcPr>
              <w:p w14:paraId="334907B8" w14:textId="77777777" w:rsidR="00D91FC9" w:rsidRPr="00D91FC9" w:rsidRDefault="00D91FC9" w:rsidP="00D91FC9">
                <w:pPr>
                  <w:spacing w:after="0" w:line="240" w:lineRule="auto"/>
                  <w:jc w:val="right"/>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362.209.432</w:t>
                </w:r>
              </w:p>
            </w:tc>
            <w:tc>
              <w:tcPr>
                <w:tcW w:w="1108" w:type="dxa"/>
                <w:shd w:val="clear" w:color="auto" w:fill="auto"/>
                <w:noWrap/>
                <w:vAlign w:val="center"/>
                <w:hideMark/>
              </w:tcPr>
              <w:p w14:paraId="13B9F98F" w14:textId="77777777" w:rsidR="00D91FC9" w:rsidRPr="00D91FC9" w:rsidRDefault="00D91FC9" w:rsidP="00D91FC9">
                <w:pPr>
                  <w:spacing w:after="0" w:line="240" w:lineRule="auto"/>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 </w:t>
                </w:r>
              </w:p>
            </w:tc>
            <w:tc>
              <w:tcPr>
                <w:tcW w:w="1274" w:type="dxa"/>
                <w:shd w:val="clear" w:color="auto" w:fill="auto"/>
                <w:noWrap/>
                <w:vAlign w:val="center"/>
                <w:hideMark/>
              </w:tcPr>
              <w:p w14:paraId="60A7A303" w14:textId="77777777" w:rsidR="00D91FC9" w:rsidRPr="00D91FC9" w:rsidRDefault="00D91FC9" w:rsidP="00D91FC9">
                <w:pPr>
                  <w:spacing w:after="0" w:line="240" w:lineRule="auto"/>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 </w:t>
                </w:r>
              </w:p>
            </w:tc>
            <w:tc>
              <w:tcPr>
                <w:tcW w:w="1064" w:type="dxa"/>
                <w:shd w:val="clear" w:color="auto" w:fill="auto"/>
                <w:noWrap/>
                <w:vAlign w:val="center"/>
                <w:hideMark/>
              </w:tcPr>
              <w:p w14:paraId="1A258F8C" w14:textId="77777777" w:rsidR="00D91FC9" w:rsidRPr="00D91FC9" w:rsidRDefault="00D91FC9" w:rsidP="00D91FC9">
                <w:pPr>
                  <w:spacing w:after="0" w:line="240" w:lineRule="auto"/>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 </w:t>
                </w:r>
              </w:p>
            </w:tc>
            <w:tc>
              <w:tcPr>
                <w:tcW w:w="1188" w:type="dxa"/>
                <w:shd w:val="clear" w:color="auto" w:fill="auto"/>
                <w:noWrap/>
                <w:vAlign w:val="center"/>
                <w:hideMark/>
              </w:tcPr>
              <w:p w14:paraId="2E009F17" w14:textId="77777777" w:rsidR="00D91FC9" w:rsidRPr="00D91FC9" w:rsidRDefault="00D91FC9" w:rsidP="00D91FC9">
                <w:pPr>
                  <w:spacing w:after="0" w:line="240" w:lineRule="auto"/>
                  <w:rPr>
                    <w:rFonts w:ascii="Times New Roman" w:eastAsia="Times New Roman" w:hAnsi="Times New Roman"/>
                    <w:color w:val="000000"/>
                    <w:sz w:val="14"/>
                    <w:szCs w:val="14"/>
                    <w:lang w:eastAsia="es-CO"/>
                  </w:rPr>
                </w:pPr>
                <w:r w:rsidRPr="00D91FC9">
                  <w:rPr>
                    <w:rFonts w:ascii="Times New Roman" w:eastAsia="Times New Roman" w:hAnsi="Times New Roman"/>
                    <w:color w:val="000000"/>
                    <w:sz w:val="14"/>
                    <w:szCs w:val="14"/>
                    <w:lang w:eastAsia="es-CO"/>
                  </w:rPr>
                  <w:t> </w:t>
                </w:r>
              </w:p>
            </w:tc>
            <w:tc>
              <w:tcPr>
                <w:tcW w:w="1260" w:type="dxa"/>
                <w:shd w:val="clear" w:color="auto" w:fill="auto"/>
                <w:noWrap/>
                <w:vAlign w:val="center"/>
                <w:hideMark/>
              </w:tcPr>
              <w:p w14:paraId="68E3F5CB" w14:textId="77777777" w:rsidR="00D91FC9" w:rsidRPr="00D91FC9" w:rsidRDefault="00D91FC9" w:rsidP="00D91FC9">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362.209.432</w:t>
                </w:r>
              </w:p>
            </w:tc>
          </w:tr>
          <w:tr w:rsidR="00E22E1A" w:rsidRPr="00D91FC9" w14:paraId="0467BAE0" w14:textId="77777777" w:rsidTr="0098337A">
            <w:trPr>
              <w:trHeight w:val="315"/>
            </w:trPr>
            <w:tc>
              <w:tcPr>
                <w:tcW w:w="1667" w:type="dxa"/>
                <w:shd w:val="clear" w:color="auto" w:fill="auto"/>
                <w:noWrap/>
                <w:vAlign w:val="center"/>
                <w:hideMark/>
              </w:tcPr>
              <w:p w14:paraId="592C2C32" w14:textId="77777777" w:rsidR="00D91FC9" w:rsidRPr="00D91FC9" w:rsidRDefault="00D91FC9" w:rsidP="00D91FC9">
                <w:pPr>
                  <w:spacing w:after="0" w:line="240" w:lineRule="auto"/>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 xml:space="preserve">(-) DETERIORO ACUMULADO DE PPE (DE) </w:t>
                </w:r>
              </w:p>
            </w:tc>
            <w:tc>
              <w:tcPr>
                <w:tcW w:w="1398" w:type="dxa"/>
                <w:shd w:val="clear" w:color="auto" w:fill="auto"/>
                <w:noWrap/>
                <w:vAlign w:val="center"/>
                <w:hideMark/>
              </w:tcPr>
              <w:p w14:paraId="0EA862D8" w14:textId="12FC42C2" w:rsidR="00D91FC9" w:rsidRPr="00D91FC9" w:rsidRDefault="00D91FC9" w:rsidP="00D91FC9">
                <w:pPr>
                  <w:spacing w:after="0" w:line="240" w:lineRule="auto"/>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 xml:space="preserve"> -   </w:t>
                </w:r>
              </w:p>
            </w:tc>
            <w:tc>
              <w:tcPr>
                <w:tcW w:w="1108" w:type="dxa"/>
                <w:shd w:val="clear" w:color="auto" w:fill="auto"/>
                <w:noWrap/>
                <w:vAlign w:val="center"/>
                <w:hideMark/>
              </w:tcPr>
              <w:p w14:paraId="6CE4A26D" w14:textId="3D3C00C7" w:rsidR="00D91FC9" w:rsidRPr="00D91FC9" w:rsidRDefault="00D91FC9" w:rsidP="00D91FC9">
                <w:pPr>
                  <w:spacing w:after="0" w:line="240" w:lineRule="auto"/>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 xml:space="preserve"> -   </w:t>
                </w:r>
              </w:p>
            </w:tc>
            <w:tc>
              <w:tcPr>
                <w:tcW w:w="1274" w:type="dxa"/>
                <w:shd w:val="clear" w:color="auto" w:fill="auto"/>
                <w:noWrap/>
                <w:vAlign w:val="center"/>
                <w:hideMark/>
              </w:tcPr>
              <w:p w14:paraId="1A382503" w14:textId="77D6EBE6" w:rsidR="00D91FC9" w:rsidRPr="00D91FC9" w:rsidRDefault="00D91FC9" w:rsidP="00D91FC9">
                <w:pPr>
                  <w:spacing w:after="0" w:line="240" w:lineRule="auto"/>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 xml:space="preserve"> -   </w:t>
                </w:r>
              </w:p>
            </w:tc>
            <w:tc>
              <w:tcPr>
                <w:tcW w:w="1064" w:type="dxa"/>
                <w:shd w:val="clear" w:color="auto" w:fill="auto"/>
                <w:noWrap/>
                <w:vAlign w:val="center"/>
                <w:hideMark/>
              </w:tcPr>
              <w:p w14:paraId="76F0AFD7" w14:textId="221453B2" w:rsidR="00D91FC9" w:rsidRPr="00D91FC9" w:rsidRDefault="00D91FC9" w:rsidP="00D91FC9">
                <w:pPr>
                  <w:spacing w:after="0" w:line="240" w:lineRule="auto"/>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 xml:space="preserve">  -   </w:t>
                </w:r>
              </w:p>
            </w:tc>
            <w:tc>
              <w:tcPr>
                <w:tcW w:w="1188" w:type="dxa"/>
                <w:shd w:val="clear" w:color="auto" w:fill="auto"/>
                <w:noWrap/>
                <w:vAlign w:val="center"/>
                <w:hideMark/>
              </w:tcPr>
              <w:p w14:paraId="0A96BD73" w14:textId="620E5059" w:rsidR="00D91FC9" w:rsidRPr="00D91FC9" w:rsidRDefault="00D91FC9" w:rsidP="00D91FC9">
                <w:pPr>
                  <w:spacing w:after="0" w:line="240" w:lineRule="auto"/>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 xml:space="preserve">   -   </w:t>
                </w:r>
              </w:p>
            </w:tc>
            <w:tc>
              <w:tcPr>
                <w:tcW w:w="1260" w:type="dxa"/>
                <w:shd w:val="clear" w:color="auto" w:fill="auto"/>
                <w:noWrap/>
                <w:vAlign w:val="center"/>
                <w:hideMark/>
              </w:tcPr>
              <w:p w14:paraId="53EE9F72" w14:textId="0B81A898" w:rsidR="00D91FC9" w:rsidRPr="00D91FC9" w:rsidRDefault="00D91FC9" w:rsidP="00D91FC9">
                <w:pPr>
                  <w:spacing w:after="0" w:line="240" w:lineRule="auto"/>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 xml:space="preserve">-   </w:t>
                </w:r>
              </w:p>
            </w:tc>
          </w:tr>
          <w:tr w:rsidR="00E22E1A" w:rsidRPr="00D91FC9" w14:paraId="69435BF1" w14:textId="77777777" w:rsidTr="0098337A">
            <w:trPr>
              <w:trHeight w:val="315"/>
            </w:trPr>
            <w:tc>
              <w:tcPr>
                <w:tcW w:w="1667" w:type="dxa"/>
                <w:shd w:val="clear" w:color="auto" w:fill="auto"/>
                <w:noWrap/>
                <w:vAlign w:val="center"/>
                <w:hideMark/>
              </w:tcPr>
              <w:p w14:paraId="1A78CA6A" w14:textId="77777777" w:rsidR="00D91FC9" w:rsidRPr="00D91FC9" w:rsidRDefault="00D91FC9" w:rsidP="00D91FC9">
                <w:pPr>
                  <w:spacing w:after="0" w:line="240" w:lineRule="auto"/>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 xml:space="preserve">= VALOR EN LIBROS (Saldo final - DA - DE) </w:t>
                </w:r>
              </w:p>
            </w:tc>
            <w:tc>
              <w:tcPr>
                <w:tcW w:w="1398" w:type="dxa"/>
                <w:shd w:val="clear" w:color="auto" w:fill="auto"/>
                <w:noWrap/>
                <w:vAlign w:val="center"/>
                <w:hideMark/>
              </w:tcPr>
              <w:p w14:paraId="26FA1056" w14:textId="666A6CC4" w:rsidR="00D91FC9" w:rsidRPr="00D91FC9" w:rsidRDefault="00D91FC9" w:rsidP="00877C0F">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 xml:space="preserve">   1.040.075.863.796</w:t>
                </w:r>
              </w:p>
            </w:tc>
            <w:tc>
              <w:tcPr>
                <w:tcW w:w="1108" w:type="dxa"/>
                <w:shd w:val="clear" w:color="auto" w:fill="auto"/>
                <w:noWrap/>
                <w:vAlign w:val="center"/>
                <w:hideMark/>
              </w:tcPr>
              <w:p w14:paraId="62518630" w14:textId="77777777" w:rsidR="00D91FC9" w:rsidRPr="00D91FC9" w:rsidRDefault="00D91FC9" w:rsidP="00D91FC9">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129.920.322.601</w:t>
                </w:r>
              </w:p>
            </w:tc>
            <w:tc>
              <w:tcPr>
                <w:tcW w:w="1274" w:type="dxa"/>
                <w:shd w:val="clear" w:color="auto" w:fill="auto"/>
                <w:noWrap/>
                <w:vAlign w:val="center"/>
                <w:hideMark/>
              </w:tcPr>
              <w:p w14:paraId="6C95BC32" w14:textId="77777777" w:rsidR="00D91FC9" w:rsidRPr="00D91FC9" w:rsidRDefault="00D91FC9" w:rsidP="00D91FC9">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1.683.025.873.458</w:t>
                </w:r>
              </w:p>
            </w:tc>
            <w:tc>
              <w:tcPr>
                <w:tcW w:w="1064" w:type="dxa"/>
                <w:shd w:val="clear" w:color="auto" w:fill="auto"/>
                <w:noWrap/>
                <w:vAlign w:val="center"/>
                <w:hideMark/>
              </w:tcPr>
              <w:p w14:paraId="4761C56C" w14:textId="77777777" w:rsidR="00D91FC9" w:rsidRPr="00D91FC9" w:rsidRDefault="00D91FC9" w:rsidP="00D91FC9">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326.814.329</w:t>
                </w:r>
              </w:p>
            </w:tc>
            <w:tc>
              <w:tcPr>
                <w:tcW w:w="1188" w:type="dxa"/>
                <w:shd w:val="clear" w:color="auto" w:fill="auto"/>
                <w:noWrap/>
                <w:vAlign w:val="center"/>
                <w:hideMark/>
              </w:tcPr>
              <w:p w14:paraId="0CDF926F" w14:textId="77777777" w:rsidR="00D91FC9" w:rsidRPr="00D91FC9" w:rsidRDefault="00D91FC9" w:rsidP="00D91FC9">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30.963.139.295</w:t>
                </w:r>
              </w:p>
            </w:tc>
            <w:tc>
              <w:tcPr>
                <w:tcW w:w="1260" w:type="dxa"/>
                <w:shd w:val="clear" w:color="auto" w:fill="auto"/>
                <w:noWrap/>
                <w:vAlign w:val="center"/>
                <w:hideMark/>
              </w:tcPr>
              <w:p w14:paraId="780169C3" w14:textId="77777777" w:rsidR="00D91FC9" w:rsidRPr="00D91FC9" w:rsidRDefault="00D91FC9" w:rsidP="00D91FC9">
                <w:pPr>
                  <w:spacing w:after="0" w:line="240" w:lineRule="auto"/>
                  <w:jc w:val="right"/>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2.884.312.013.479</w:t>
                </w:r>
              </w:p>
            </w:tc>
          </w:tr>
          <w:tr w:rsidR="00E22E1A" w:rsidRPr="00D91FC9" w14:paraId="207BBBEE" w14:textId="77777777" w:rsidTr="0098337A">
            <w:trPr>
              <w:trHeight w:val="315"/>
            </w:trPr>
            <w:tc>
              <w:tcPr>
                <w:tcW w:w="1667" w:type="dxa"/>
                <w:shd w:val="clear" w:color="auto" w:fill="auto"/>
                <w:noWrap/>
                <w:vAlign w:val="center"/>
                <w:hideMark/>
              </w:tcPr>
              <w:p w14:paraId="582B215D" w14:textId="77777777" w:rsidR="00D91FC9" w:rsidRPr="00D91FC9" w:rsidRDefault="00D91FC9" w:rsidP="00D91FC9">
                <w:pPr>
                  <w:spacing w:after="0" w:line="240" w:lineRule="auto"/>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 xml:space="preserve">% DEPRECIACIÓN ACUMULADA (seguimiento) </w:t>
                </w:r>
              </w:p>
            </w:tc>
            <w:tc>
              <w:tcPr>
                <w:tcW w:w="1398" w:type="dxa"/>
                <w:shd w:val="clear" w:color="auto" w:fill="auto"/>
                <w:noWrap/>
                <w:vAlign w:val="center"/>
                <w:hideMark/>
              </w:tcPr>
              <w:p w14:paraId="09ABCD72" w14:textId="77777777" w:rsidR="00D91FC9" w:rsidRPr="00D91FC9" w:rsidRDefault="00D91FC9" w:rsidP="009C1E17">
                <w:pPr>
                  <w:spacing w:after="0" w:line="240" w:lineRule="auto"/>
                  <w:jc w:val="center"/>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1</w:t>
                </w:r>
              </w:p>
            </w:tc>
            <w:tc>
              <w:tcPr>
                <w:tcW w:w="1108" w:type="dxa"/>
                <w:shd w:val="clear" w:color="auto" w:fill="auto"/>
                <w:noWrap/>
                <w:vAlign w:val="center"/>
                <w:hideMark/>
              </w:tcPr>
              <w:p w14:paraId="1EF54E08" w14:textId="19FDE977" w:rsidR="00D91FC9" w:rsidRPr="00D91FC9" w:rsidRDefault="00D91FC9" w:rsidP="009C1E17">
                <w:pPr>
                  <w:spacing w:after="0" w:line="240" w:lineRule="auto"/>
                  <w:jc w:val="center"/>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w:t>
                </w:r>
              </w:p>
            </w:tc>
            <w:tc>
              <w:tcPr>
                <w:tcW w:w="1274" w:type="dxa"/>
                <w:shd w:val="clear" w:color="auto" w:fill="auto"/>
                <w:noWrap/>
                <w:vAlign w:val="center"/>
                <w:hideMark/>
              </w:tcPr>
              <w:p w14:paraId="43BF448D" w14:textId="32C77F4E" w:rsidR="00D91FC9" w:rsidRPr="00D91FC9" w:rsidRDefault="00D91FC9" w:rsidP="009C1E17">
                <w:pPr>
                  <w:spacing w:after="0" w:line="240" w:lineRule="auto"/>
                  <w:jc w:val="center"/>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w:t>
                </w:r>
              </w:p>
            </w:tc>
            <w:tc>
              <w:tcPr>
                <w:tcW w:w="1064" w:type="dxa"/>
                <w:shd w:val="clear" w:color="auto" w:fill="auto"/>
                <w:noWrap/>
                <w:vAlign w:val="center"/>
                <w:hideMark/>
              </w:tcPr>
              <w:p w14:paraId="1BB59F2E" w14:textId="7E6F7992" w:rsidR="00D91FC9" w:rsidRPr="00D91FC9" w:rsidRDefault="00D91FC9" w:rsidP="009C1E17">
                <w:pPr>
                  <w:spacing w:after="0" w:line="240" w:lineRule="auto"/>
                  <w:jc w:val="center"/>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w:t>
                </w:r>
              </w:p>
            </w:tc>
            <w:tc>
              <w:tcPr>
                <w:tcW w:w="1188" w:type="dxa"/>
                <w:shd w:val="clear" w:color="auto" w:fill="auto"/>
                <w:noWrap/>
                <w:vAlign w:val="center"/>
                <w:hideMark/>
              </w:tcPr>
              <w:p w14:paraId="21A865E7" w14:textId="7B81AB99" w:rsidR="00D91FC9" w:rsidRPr="00D91FC9" w:rsidRDefault="00D91FC9" w:rsidP="009C1E17">
                <w:pPr>
                  <w:spacing w:after="0" w:line="240" w:lineRule="auto"/>
                  <w:jc w:val="center"/>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w:t>
                </w:r>
              </w:p>
            </w:tc>
            <w:tc>
              <w:tcPr>
                <w:tcW w:w="1260" w:type="dxa"/>
                <w:shd w:val="clear" w:color="auto" w:fill="auto"/>
                <w:noWrap/>
                <w:vAlign w:val="center"/>
                <w:hideMark/>
              </w:tcPr>
              <w:p w14:paraId="545A1F9D" w14:textId="77777777" w:rsidR="00D91FC9" w:rsidRPr="00D91FC9" w:rsidRDefault="00D91FC9" w:rsidP="009C1E17">
                <w:pPr>
                  <w:spacing w:after="0" w:line="240" w:lineRule="auto"/>
                  <w:jc w:val="center"/>
                  <w:rPr>
                    <w:rFonts w:ascii="Times New Roman" w:eastAsia="Times New Roman" w:hAnsi="Times New Roman"/>
                    <w:b/>
                    <w:bCs/>
                    <w:color w:val="000000"/>
                    <w:sz w:val="14"/>
                    <w:szCs w:val="14"/>
                    <w:lang w:eastAsia="es-CO"/>
                  </w:rPr>
                </w:pPr>
                <w:r w:rsidRPr="00D91FC9">
                  <w:rPr>
                    <w:rFonts w:ascii="Times New Roman" w:eastAsia="Times New Roman" w:hAnsi="Times New Roman"/>
                    <w:b/>
                    <w:bCs/>
                    <w:color w:val="000000"/>
                    <w:sz w:val="14"/>
                    <w:szCs w:val="14"/>
                    <w:lang w:eastAsia="es-CO"/>
                  </w:rPr>
                  <w:t>0</w:t>
                </w:r>
              </w:p>
            </w:tc>
          </w:tr>
        </w:tbl>
        <w:p w14:paraId="2BBF13C7" w14:textId="19F89DFE" w:rsidR="0024713E" w:rsidRPr="005139BE" w:rsidRDefault="004F6A45" w:rsidP="004A000E">
          <w:pPr>
            <w:spacing w:after="0" w:line="240" w:lineRule="auto"/>
            <w:jc w:val="both"/>
            <w:rPr>
              <w:rFonts w:ascii="Times New Roman" w:hAnsi="Times New Roman"/>
              <w:sz w:val="16"/>
              <w:szCs w:val="16"/>
            </w:rPr>
          </w:pPr>
          <w:r w:rsidRPr="005139BE">
            <w:rPr>
              <w:rFonts w:ascii="Times New Roman" w:hAnsi="Times New Roman"/>
              <w:sz w:val="16"/>
              <w:szCs w:val="16"/>
            </w:rPr>
            <w:t>C</w:t>
          </w:r>
          <w:r w:rsidR="005139BE" w:rsidRPr="005139BE">
            <w:rPr>
              <w:rFonts w:ascii="Times New Roman" w:hAnsi="Times New Roman"/>
              <w:sz w:val="16"/>
              <w:szCs w:val="16"/>
            </w:rPr>
            <w:t xml:space="preserve">ifras en pesos </w:t>
          </w:r>
        </w:p>
        <w:p w14:paraId="1D519DC1" w14:textId="77777777" w:rsidR="00D672D4" w:rsidRPr="00931DCE" w:rsidRDefault="00D672D4" w:rsidP="00D672D4">
          <w:pPr>
            <w:spacing w:after="0" w:line="240" w:lineRule="auto"/>
            <w:jc w:val="both"/>
            <w:rPr>
              <w:rFonts w:ascii="Times New Roman" w:hAnsi="Times New Roman"/>
              <w:sz w:val="24"/>
              <w:szCs w:val="24"/>
            </w:rPr>
          </w:pPr>
        </w:p>
        <w:p w14:paraId="64BBC2A7" w14:textId="7A61B887" w:rsidR="00D672D4" w:rsidRPr="00931DCE" w:rsidRDefault="00D672D4" w:rsidP="00B73AFA">
          <w:pPr>
            <w:spacing w:after="0" w:line="240" w:lineRule="auto"/>
            <w:jc w:val="both"/>
            <w:rPr>
              <w:rFonts w:ascii="Times New Roman" w:hAnsi="Times New Roman"/>
              <w:sz w:val="24"/>
              <w:szCs w:val="24"/>
            </w:rPr>
          </w:pPr>
          <w:r w:rsidRPr="005B7DDA">
            <w:rPr>
              <w:rFonts w:ascii="Times New Roman" w:hAnsi="Times New Roman"/>
              <w:b/>
              <w:color w:val="1F3864" w:themeColor="accent1" w:themeShade="80"/>
              <w:sz w:val="24"/>
              <w:szCs w:val="24"/>
            </w:rPr>
            <w:t xml:space="preserve">Modo Carretero: </w:t>
          </w:r>
          <w:r w:rsidRPr="00931DCE">
            <w:rPr>
              <w:rFonts w:ascii="Times New Roman" w:hAnsi="Times New Roman"/>
              <w:sz w:val="24"/>
              <w:szCs w:val="24"/>
            </w:rPr>
            <w:t xml:space="preserve">De conformidad con las actividades incorporadas en el plan de trabajo suscrito con la Contaduría General de la Nación, en el marco de la Resolución No. 602 de 2018, la Agencia realizó </w:t>
          </w:r>
          <w:r w:rsidR="00B73AFA" w:rsidRPr="00931DCE">
            <w:rPr>
              <w:rFonts w:ascii="Times New Roman" w:hAnsi="Times New Roman"/>
              <w:sz w:val="24"/>
              <w:szCs w:val="24"/>
            </w:rPr>
            <w:t xml:space="preserve">la actualización de </w:t>
          </w:r>
          <w:r w:rsidRPr="00931DCE">
            <w:rPr>
              <w:rFonts w:ascii="Times New Roman" w:hAnsi="Times New Roman"/>
              <w:sz w:val="24"/>
              <w:szCs w:val="24"/>
            </w:rPr>
            <w:t xml:space="preserve">las </w:t>
          </w:r>
          <w:r w:rsidR="002F16F2" w:rsidRPr="00931DCE">
            <w:rPr>
              <w:rFonts w:ascii="Times New Roman" w:hAnsi="Times New Roman"/>
              <w:sz w:val="24"/>
              <w:szCs w:val="24"/>
            </w:rPr>
            <w:t>p</w:t>
          </w:r>
          <w:r w:rsidRPr="00931DCE">
            <w:rPr>
              <w:rFonts w:ascii="Times New Roman" w:hAnsi="Times New Roman"/>
              <w:sz w:val="24"/>
              <w:szCs w:val="24"/>
            </w:rPr>
            <w:t>ropiedades, planta y equipo en concesión, de acuerdo con el formato</w:t>
          </w:r>
          <w:r w:rsidR="00B73AFA" w:rsidRPr="00931DCE">
            <w:rPr>
              <w:rFonts w:ascii="Times New Roman" w:hAnsi="Times New Roman"/>
              <w:sz w:val="24"/>
              <w:szCs w:val="24"/>
            </w:rPr>
            <w:t xml:space="preserve"> establecido para el efecto. </w:t>
          </w:r>
        </w:p>
        <w:p w14:paraId="36087EF6" w14:textId="77777777" w:rsidR="00B73AFA" w:rsidRPr="00931DCE" w:rsidRDefault="00B73AFA" w:rsidP="00B73AFA">
          <w:pPr>
            <w:spacing w:after="0" w:line="240" w:lineRule="auto"/>
            <w:jc w:val="both"/>
            <w:rPr>
              <w:rFonts w:ascii="Times New Roman" w:hAnsi="Times New Roman"/>
              <w:sz w:val="24"/>
              <w:szCs w:val="24"/>
            </w:rPr>
          </w:pPr>
        </w:p>
        <w:p w14:paraId="0652EC8B" w14:textId="0FA6EE60" w:rsidR="00D672D4" w:rsidRPr="00931DCE" w:rsidRDefault="00D672D4" w:rsidP="002F16F2">
          <w:pPr>
            <w:spacing w:after="0" w:line="257" w:lineRule="auto"/>
            <w:jc w:val="both"/>
            <w:rPr>
              <w:rFonts w:ascii="Times New Roman" w:hAnsi="Times New Roman"/>
              <w:sz w:val="24"/>
              <w:szCs w:val="24"/>
            </w:rPr>
          </w:pPr>
          <w:r w:rsidRPr="00931DCE">
            <w:rPr>
              <w:rFonts w:ascii="Times New Roman" w:hAnsi="Times New Roman"/>
              <w:sz w:val="24"/>
              <w:szCs w:val="24"/>
            </w:rPr>
            <w:lastRenderedPageBreak/>
            <w:t xml:space="preserve">A continuación, se discrimina la composición de las </w:t>
          </w:r>
          <w:r w:rsidR="002F16F2" w:rsidRPr="00931DCE">
            <w:rPr>
              <w:rFonts w:ascii="Times New Roman" w:hAnsi="Times New Roman"/>
              <w:sz w:val="24"/>
              <w:szCs w:val="24"/>
            </w:rPr>
            <w:t>p</w:t>
          </w:r>
          <w:r w:rsidRPr="00931DCE">
            <w:rPr>
              <w:rFonts w:ascii="Times New Roman" w:hAnsi="Times New Roman"/>
              <w:sz w:val="24"/>
              <w:szCs w:val="24"/>
            </w:rPr>
            <w:t>ropiedades, planta y equipo a nivel de subcuentas del modo carretero</w:t>
          </w:r>
          <w:r w:rsidR="002F16F2" w:rsidRPr="00931DCE">
            <w:rPr>
              <w:rFonts w:ascii="Times New Roman" w:hAnsi="Times New Roman"/>
              <w:sz w:val="24"/>
              <w:szCs w:val="24"/>
            </w:rPr>
            <w:t>,</w:t>
          </w:r>
          <w:r w:rsidRPr="00931DCE">
            <w:rPr>
              <w:rFonts w:ascii="Times New Roman" w:hAnsi="Times New Roman"/>
              <w:sz w:val="24"/>
              <w:szCs w:val="24"/>
            </w:rPr>
            <w:t xml:space="preserve"> con corte 31 de diciembre de 202</w:t>
          </w:r>
          <w:r w:rsidR="00025F84">
            <w:rPr>
              <w:rFonts w:ascii="Times New Roman" w:hAnsi="Times New Roman"/>
              <w:sz w:val="24"/>
              <w:szCs w:val="24"/>
            </w:rPr>
            <w:t>3</w:t>
          </w:r>
          <w:r w:rsidRPr="00931DCE">
            <w:rPr>
              <w:rFonts w:ascii="Times New Roman" w:hAnsi="Times New Roman"/>
              <w:sz w:val="24"/>
              <w:szCs w:val="24"/>
            </w:rPr>
            <w:t>:</w:t>
          </w:r>
        </w:p>
        <w:p w14:paraId="37AF2AEC" w14:textId="376AA252" w:rsidR="00B73AFA" w:rsidRDefault="00B73AFA" w:rsidP="00B73AFA">
          <w:pPr>
            <w:spacing w:after="0" w:line="257" w:lineRule="auto"/>
            <w:rPr>
              <w:rFonts w:ascii="Times New Roman" w:hAnsi="Times New Roman"/>
              <w:sz w:val="24"/>
              <w:szCs w:val="24"/>
            </w:rPr>
          </w:pPr>
        </w:p>
        <w:p w14:paraId="2B2C3F76" w14:textId="77777777" w:rsidR="00940347" w:rsidRPr="00931DCE" w:rsidRDefault="00940347" w:rsidP="00B73AFA">
          <w:pPr>
            <w:spacing w:after="0" w:line="257" w:lineRule="auto"/>
            <w:rPr>
              <w:rFonts w:ascii="Times New Roman" w:hAnsi="Times New Roman"/>
              <w:sz w:val="24"/>
              <w:szCs w:val="24"/>
            </w:rPr>
          </w:pPr>
        </w:p>
        <w:tbl>
          <w:tblPr>
            <w:tblW w:w="0" w:type="auto"/>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CellMar>
              <w:left w:w="70" w:type="dxa"/>
              <w:right w:w="70" w:type="dxa"/>
            </w:tblCellMar>
            <w:tblLook w:val="04A0" w:firstRow="1" w:lastRow="0" w:firstColumn="1" w:lastColumn="0" w:noHBand="0" w:noVBand="1"/>
          </w:tblPr>
          <w:tblGrid>
            <w:gridCol w:w="2929"/>
            <w:gridCol w:w="1355"/>
          </w:tblGrid>
          <w:tr w:rsidR="00672BB0" w:rsidRPr="00672BB0" w14:paraId="191227E1" w14:textId="77777777" w:rsidTr="00672BB0">
            <w:trPr>
              <w:trHeight w:val="315"/>
              <w:jc w:val="center"/>
            </w:trPr>
            <w:tc>
              <w:tcPr>
                <w:tcW w:w="0" w:type="auto"/>
                <w:shd w:val="clear" w:color="auto" w:fill="auto"/>
                <w:noWrap/>
                <w:vAlign w:val="center"/>
                <w:hideMark/>
              </w:tcPr>
              <w:p w14:paraId="149E7ECB" w14:textId="77777777" w:rsidR="00672BB0" w:rsidRPr="00672BB0" w:rsidRDefault="00672BB0" w:rsidP="00672BB0">
                <w:pPr>
                  <w:spacing w:after="0" w:line="240" w:lineRule="auto"/>
                  <w:rPr>
                    <w:rFonts w:ascii="Times New Roman" w:eastAsia="Times New Roman" w:hAnsi="Times New Roman"/>
                    <w:b/>
                    <w:bCs/>
                    <w:color w:val="000000"/>
                    <w:sz w:val="18"/>
                    <w:szCs w:val="18"/>
                    <w:lang w:eastAsia="es-CO"/>
                  </w:rPr>
                </w:pPr>
                <w:r w:rsidRPr="00672BB0">
                  <w:rPr>
                    <w:rFonts w:ascii="Times New Roman" w:eastAsia="Times New Roman" w:hAnsi="Times New Roman"/>
                    <w:b/>
                    <w:bCs/>
                    <w:color w:val="000000"/>
                    <w:sz w:val="18"/>
                    <w:szCs w:val="18"/>
                    <w:lang w:eastAsia="es-CO"/>
                  </w:rPr>
                  <w:t xml:space="preserve">DESCRIPCIÓN </w:t>
                </w:r>
              </w:p>
            </w:tc>
            <w:tc>
              <w:tcPr>
                <w:tcW w:w="0" w:type="auto"/>
                <w:shd w:val="clear" w:color="auto" w:fill="auto"/>
                <w:noWrap/>
                <w:vAlign w:val="center"/>
                <w:hideMark/>
              </w:tcPr>
              <w:p w14:paraId="1F72FAF4" w14:textId="77777777" w:rsidR="00672BB0" w:rsidRPr="00672BB0" w:rsidRDefault="00672BB0" w:rsidP="00672BB0">
                <w:pPr>
                  <w:spacing w:after="0" w:line="240" w:lineRule="auto"/>
                  <w:jc w:val="right"/>
                  <w:rPr>
                    <w:rFonts w:ascii="Times New Roman" w:eastAsia="Times New Roman" w:hAnsi="Times New Roman"/>
                    <w:b/>
                    <w:bCs/>
                    <w:color w:val="000000"/>
                    <w:sz w:val="18"/>
                    <w:szCs w:val="18"/>
                    <w:lang w:eastAsia="es-CO"/>
                  </w:rPr>
                </w:pPr>
                <w:r w:rsidRPr="00672BB0">
                  <w:rPr>
                    <w:rFonts w:ascii="Times New Roman" w:eastAsia="Times New Roman" w:hAnsi="Times New Roman"/>
                    <w:b/>
                    <w:bCs/>
                    <w:color w:val="000000"/>
                    <w:sz w:val="18"/>
                    <w:szCs w:val="18"/>
                    <w:lang w:eastAsia="es-CO"/>
                  </w:rPr>
                  <w:t>VALOR</w:t>
                </w:r>
              </w:p>
            </w:tc>
          </w:tr>
          <w:tr w:rsidR="00672BB0" w:rsidRPr="00672BB0" w14:paraId="252F5A3E" w14:textId="77777777" w:rsidTr="00672BB0">
            <w:trPr>
              <w:trHeight w:val="315"/>
              <w:jc w:val="center"/>
            </w:trPr>
            <w:tc>
              <w:tcPr>
                <w:tcW w:w="0" w:type="auto"/>
                <w:shd w:val="clear" w:color="auto" w:fill="auto"/>
                <w:noWrap/>
                <w:vAlign w:val="center"/>
                <w:hideMark/>
              </w:tcPr>
              <w:p w14:paraId="68908FEB" w14:textId="77777777" w:rsidR="00672BB0" w:rsidRPr="00672BB0" w:rsidRDefault="00672BB0" w:rsidP="00672BB0">
                <w:pPr>
                  <w:spacing w:after="0" w:line="240" w:lineRule="auto"/>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Terrestre</w:t>
                </w:r>
              </w:p>
            </w:tc>
            <w:tc>
              <w:tcPr>
                <w:tcW w:w="0" w:type="auto"/>
                <w:shd w:val="clear" w:color="auto" w:fill="auto"/>
                <w:noWrap/>
                <w:vAlign w:val="center"/>
                <w:hideMark/>
              </w:tcPr>
              <w:p w14:paraId="0CEE1885" w14:textId="77777777" w:rsidR="00672BB0" w:rsidRPr="00672BB0" w:rsidRDefault="00672BB0" w:rsidP="00672BB0">
                <w:pPr>
                  <w:spacing w:after="0" w:line="240" w:lineRule="auto"/>
                  <w:jc w:val="right"/>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110.698.284.550</w:t>
                </w:r>
              </w:p>
            </w:tc>
          </w:tr>
          <w:tr w:rsidR="00672BB0" w:rsidRPr="00672BB0" w14:paraId="285B75C9" w14:textId="77777777" w:rsidTr="00672BB0">
            <w:trPr>
              <w:trHeight w:val="315"/>
              <w:jc w:val="center"/>
            </w:trPr>
            <w:tc>
              <w:tcPr>
                <w:tcW w:w="0" w:type="auto"/>
                <w:shd w:val="clear" w:color="auto" w:fill="auto"/>
                <w:noWrap/>
                <w:vAlign w:val="center"/>
                <w:hideMark/>
              </w:tcPr>
              <w:p w14:paraId="24A5D1A5" w14:textId="77777777" w:rsidR="00672BB0" w:rsidRPr="00672BB0" w:rsidRDefault="00672BB0" w:rsidP="00672BB0">
                <w:pPr>
                  <w:spacing w:after="0" w:line="240" w:lineRule="auto"/>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Otra maquinaria y equipo</w:t>
                </w:r>
              </w:p>
            </w:tc>
            <w:tc>
              <w:tcPr>
                <w:tcW w:w="0" w:type="auto"/>
                <w:shd w:val="clear" w:color="auto" w:fill="auto"/>
                <w:noWrap/>
                <w:vAlign w:val="center"/>
                <w:hideMark/>
              </w:tcPr>
              <w:p w14:paraId="0868679C" w14:textId="77777777" w:rsidR="00672BB0" w:rsidRPr="00672BB0" w:rsidRDefault="00672BB0" w:rsidP="00672BB0">
                <w:pPr>
                  <w:spacing w:after="0" w:line="240" w:lineRule="auto"/>
                  <w:jc w:val="right"/>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62.702.175.978</w:t>
                </w:r>
              </w:p>
            </w:tc>
          </w:tr>
          <w:tr w:rsidR="00672BB0" w:rsidRPr="00672BB0" w14:paraId="135B3E00" w14:textId="77777777" w:rsidTr="00672BB0">
            <w:trPr>
              <w:trHeight w:val="315"/>
              <w:jc w:val="center"/>
            </w:trPr>
            <w:tc>
              <w:tcPr>
                <w:tcW w:w="0" w:type="auto"/>
                <w:shd w:val="clear" w:color="auto" w:fill="auto"/>
                <w:noWrap/>
                <w:vAlign w:val="center"/>
                <w:hideMark/>
              </w:tcPr>
              <w:p w14:paraId="57C256A4" w14:textId="77777777" w:rsidR="00672BB0" w:rsidRPr="00672BB0" w:rsidRDefault="00672BB0" w:rsidP="00672BB0">
                <w:pPr>
                  <w:spacing w:after="0" w:line="240" w:lineRule="auto"/>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Equipo de comunicación</w:t>
                </w:r>
              </w:p>
            </w:tc>
            <w:tc>
              <w:tcPr>
                <w:tcW w:w="0" w:type="auto"/>
                <w:shd w:val="clear" w:color="auto" w:fill="auto"/>
                <w:noWrap/>
                <w:vAlign w:val="center"/>
                <w:hideMark/>
              </w:tcPr>
              <w:p w14:paraId="5582BB60" w14:textId="77777777" w:rsidR="00672BB0" w:rsidRPr="00672BB0" w:rsidRDefault="00672BB0" w:rsidP="00672BB0">
                <w:pPr>
                  <w:spacing w:after="0" w:line="240" w:lineRule="auto"/>
                  <w:jc w:val="right"/>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36.519.158.628</w:t>
                </w:r>
              </w:p>
            </w:tc>
          </w:tr>
          <w:tr w:rsidR="00672BB0" w:rsidRPr="00672BB0" w14:paraId="31AD7FA7" w14:textId="77777777" w:rsidTr="00672BB0">
            <w:trPr>
              <w:trHeight w:val="315"/>
              <w:jc w:val="center"/>
            </w:trPr>
            <w:tc>
              <w:tcPr>
                <w:tcW w:w="0" w:type="auto"/>
                <w:shd w:val="clear" w:color="auto" w:fill="auto"/>
                <w:noWrap/>
                <w:vAlign w:val="center"/>
                <w:hideMark/>
              </w:tcPr>
              <w:p w14:paraId="2E663D99" w14:textId="77777777" w:rsidR="00672BB0" w:rsidRPr="00672BB0" w:rsidRDefault="00672BB0" w:rsidP="00672BB0">
                <w:pPr>
                  <w:spacing w:after="0" w:line="240" w:lineRule="auto"/>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Equipo de computación</w:t>
                </w:r>
              </w:p>
            </w:tc>
            <w:tc>
              <w:tcPr>
                <w:tcW w:w="0" w:type="auto"/>
                <w:shd w:val="clear" w:color="auto" w:fill="auto"/>
                <w:noWrap/>
                <w:vAlign w:val="center"/>
                <w:hideMark/>
              </w:tcPr>
              <w:p w14:paraId="2355E7E2" w14:textId="77777777" w:rsidR="00672BB0" w:rsidRPr="00672BB0" w:rsidRDefault="00672BB0" w:rsidP="00672BB0">
                <w:pPr>
                  <w:spacing w:after="0" w:line="240" w:lineRule="auto"/>
                  <w:jc w:val="right"/>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30.054.585.772</w:t>
                </w:r>
              </w:p>
            </w:tc>
          </w:tr>
          <w:tr w:rsidR="00672BB0" w:rsidRPr="00672BB0" w14:paraId="7D1922CD" w14:textId="77777777" w:rsidTr="00672BB0">
            <w:trPr>
              <w:trHeight w:val="315"/>
              <w:jc w:val="center"/>
            </w:trPr>
            <w:tc>
              <w:tcPr>
                <w:tcW w:w="0" w:type="auto"/>
                <w:shd w:val="clear" w:color="auto" w:fill="auto"/>
                <w:noWrap/>
                <w:vAlign w:val="center"/>
                <w:hideMark/>
              </w:tcPr>
              <w:p w14:paraId="6806E622" w14:textId="77777777" w:rsidR="00672BB0" w:rsidRPr="00672BB0" w:rsidRDefault="00672BB0" w:rsidP="00672BB0">
                <w:pPr>
                  <w:spacing w:after="0" w:line="240" w:lineRule="auto"/>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Casetas y campamentos</w:t>
                </w:r>
              </w:p>
            </w:tc>
            <w:tc>
              <w:tcPr>
                <w:tcW w:w="0" w:type="auto"/>
                <w:shd w:val="clear" w:color="auto" w:fill="auto"/>
                <w:noWrap/>
                <w:vAlign w:val="center"/>
                <w:hideMark/>
              </w:tcPr>
              <w:p w14:paraId="6BB79698" w14:textId="77777777" w:rsidR="00672BB0" w:rsidRPr="00672BB0" w:rsidRDefault="00672BB0" w:rsidP="00672BB0">
                <w:pPr>
                  <w:spacing w:after="0" w:line="240" w:lineRule="auto"/>
                  <w:jc w:val="right"/>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19.810.356.694</w:t>
                </w:r>
              </w:p>
            </w:tc>
          </w:tr>
          <w:tr w:rsidR="00672BB0" w:rsidRPr="00672BB0" w14:paraId="487C82CB" w14:textId="77777777" w:rsidTr="00672BB0">
            <w:trPr>
              <w:trHeight w:val="315"/>
              <w:jc w:val="center"/>
            </w:trPr>
            <w:tc>
              <w:tcPr>
                <w:tcW w:w="0" w:type="auto"/>
                <w:shd w:val="clear" w:color="auto" w:fill="auto"/>
                <w:noWrap/>
                <w:vAlign w:val="center"/>
                <w:hideMark/>
              </w:tcPr>
              <w:p w14:paraId="48590DBB" w14:textId="77777777" w:rsidR="00672BB0" w:rsidRPr="00672BB0" w:rsidRDefault="00672BB0" w:rsidP="00672BB0">
                <w:pPr>
                  <w:spacing w:after="0" w:line="240" w:lineRule="auto"/>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Otras redes, líneas y cables</w:t>
                </w:r>
              </w:p>
            </w:tc>
            <w:tc>
              <w:tcPr>
                <w:tcW w:w="0" w:type="auto"/>
                <w:shd w:val="clear" w:color="auto" w:fill="auto"/>
                <w:noWrap/>
                <w:vAlign w:val="center"/>
                <w:hideMark/>
              </w:tcPr>
              <w:p w14:paraId="1B709122" w14:textId="77777777" w:rsidR="00672BB0" w:rsidRPr="00672BB0" w:rsidRDefault="00672BB0" w:rsidP="00672BB0">
                <w:pPr>
                  <w:spacing w:after="0" w:line="240" w:lineRule="auto"/>
                  <w:jc w:val="right"/>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19.492.670.404</w:t>
                </w:r>
              </w:p>
            </w:tc>
          </w:tr>
          <w:tr w:rsidR="00672BB0" w:rsidRPr="00672BB0" w14:paraId="3C62E2DC" w14:textId="77777777" w:rsidTr="00672BB0">
            <w:trPr>
              <w:trHeight w:val="315"/>
              <w:jc w:val="center"/>
            </w:trPr>
            <w:tc>
              <w:tcPr>
                <w:tcW w:w="0" w:type="auto"/>
                <w:shd w:val="clear" w:color="auto" w:fill="auto"/>
                <w:noWrap/>
                <w:vAlign w:val="center"/>
                <w:hideMark/>
              </w:tcPr>
              <w:p w14:paraId="6BB27D7C" w14:textId="77777777" w:rsidR="00672BB0" w:rsidRPr="00672BB0" w:rsidRDefault="00672BB0" w:rsidP="00672BB0">
                <w:pPr>
                  <w:spacing w:after="0" w:line="240" w:lineRule="auto"/>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Equipo de centros de control</w:t>
                </w:r>
              </w:p>
            </w:tc>
            <w:tc>
              <w:tcPr>
                <w:tcW w:w="0" w:type="auto"/>
                <w:shd w:val="clear" w:color="auto" w:fill="auto"/>
                <w:noWrap/>
                <w:vAlign w:val="center"/>
                <w:hideMark/>
              </w:tcPr>
              <w:p w14:paraId="3984F2C9" w14:textId="77777777" w:rsidR="00672BB0" w:rsidRPr="00672BB0" w:rsidRDefault="00672BB0" w:rsidP="00672BB0">
                <w:pPr>
                  <w:spacing w:after="0" w:line="240" w:lineRule="auto"/>
                  <w:jc w:val="right"/>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15.381.010.466</w:t>
                </w:r>
              </w:p>
            </w:tc>
          </w:tr>
          <w:tr w:rsidR="00672BB0" w:rsidRPr="00672BB0" w14:paraId="10AB89E6" w14:textId="77777777" w:rsidTr="00672BB0">
            <w:trPr>
              <w:trHeight w:val="315"/>
              <w:jc w:val="center"/>
            </w:trPr>
            <w:tc>
              <w:tcPr>
                <w:tcW w:w="0" w:type="auto"/>
                <w:shd w:val="clear" w:color="auto" w:fill="auto"/>
                <w:noWrap/>
                <w:vAlign w:val="center"/>
                <w:hideMark/>
              </w:tcPr>
              <w:p w14:paraId="38A5E398" w14:textId="77777777" w:rsidR="00672BB0" w:rsidRPr="00672BB0" w:rsidRDefault="00672BB0" w:rsidP="00672BB0">
                <w:pPr>
                  <w:spacing w:after="0" w:line="240" w:lineRule="auto"/>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De tracción</w:t>
                </w:r>
              </w:p>
            </w:tc>
            <w:tc>
              <w:tcPr>
                <w:tcW w:w="0" w:type="auto"/>
                <w:shd w:val="clear" w:color="auto" w:fill="auto"/>
                <w:noWrap/>
                <w:vAlign w:val="center"/>
                <w:hideMark/>
              </w:tcPr>
              <w:p w14:paraId="4F19179C" w14:textId="77777777" w:rsidR="00672BB0" w:rsidRPr="00672BB0" w:rsidRDefault="00672BB0" w:rsidP="00672BB0">
                <w:pPr>
                  <w:spacing w:after="0" w:line="240" w:lineRule="auto"/>
                  <w:jc w:val="right"/>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12.986.893.488</w:t>
                </w:r>
              </w:p>
            </w:tc>
          </w:tr>
          <w:tr w:rsidR="00672BB0" w:rsidRPr="00672BB0" w14:paraId="1619EFBC" w14:textId="77777777" w:rsidTr="00672BB0">
            <w:trPr>
              <w:trHeight w:val="315"/>
              <w:jc w:val="center"/>
            </w:trPr>
            <w:tc>
              <w:tcPr>
                <w:tcW w:w="0" w:type="auto"/>
                <w:shd w:val="clear" w:color="auto" w:fill="auto"/>
                <w:noWrap/>
                <w:vAlign w:val="center"/>
                <w:hideMark/>
              </w:tcPr>
              <w:p w14:paraId="1FD6084F" w14:textId="77777777" w:rsidR="00672BB0" w:rsidRPr="00672BB0" w:rsidRDefault="00672BB0" w:rsidP="00672BB0">
                <w:pPr>
                  <w:spacing w:after="0" w:line="240" w:lineRule="auto"/>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Equipos de radares</w:t>
                </w:r>
              </w:p>
            </w:tc>
            <w:tc>
              <w:tcPr>
                <w:tcW w:w="0" w:type="auto"/>
                <w:shd w:val="clear" w:color="auto" w:fill="auto"/>
                <w:noWrap/>
                <w:vAlign w:val="center"/>
                <w:hideMark/>
              </w:tcPr>
              <w:p w14:paraId="71098AAD" w14:textId="77777777" w:rsidR="00672BB0" w:rsidRPr="00672BB0" w:rsidRDefault="00672BB0" w:rsidP="00672BB0">
                <w:pPr>
                  <w:spacing w:after="0" w:line="240" w:lineRule="auto"/>
                  <w:jc w:val="right"/>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10.418.640.549</w:t>
                </w:r>
              </w:p>
            </w:tc>
          </w:tr>
          <w:tr w:rsidR="00672BB0" w:rsidRPr="00672BB0" w14:paraId="2FD423FD" w14:textId="77777777" w:rsidTr="00672BB0">
            <w:trPr>
              <w:trHeight w:val="315"/>
              <w:jc w:val="center"/>
            </w:trPr>
            <w:tc>
              <w:tcPr>
                <w:tcW w:w="0" w:type="auto"/>
                <w:shd w:val="clear" w:color="auto" w:fill="auto"/>
                <w:noWrap/>
                <w:vAlign w:val="center"/>
                <w:hideMark/>
              </w:tcPr>
              <w:p w14:paraId="7C0EAD86" w14:textId="77777777" w:rsidR="00672BB0" w:rsidRPr="00672BB0" w:rsidRDefault="00672BB0" w:rsidP="00672BB0">
                <w:pPr>
                  <w:spacing w:after="0" w:line="240" w:lineRule="auto"/>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Marítimo y fluvial</w:t>
                </w:r>
              </w:p>
            </w:tc>
            <w:tc>
              <w:tcPr>
                <w:tcW w:w="0" w:type="auto"/>
                <w:shd w:val="clear" w:color="auto" w:fill="auto"/>
                <w:noWrap/>
                <w:vAlign w:val="center"/>
                <w:hideMark/>
              </w:tcPr>
              <w:p w14:paraId="5A23F0A7" w14:textId="77777777" w:rsidR="00672BB0" w:rsidRPr="00672BB0" w:rsidRDefault="00672BB0" w:rsidP="00672BB0">
                <w:pPr>
                  <w:spacing w:after="0" w:line="240" w:lineRule="auto"/>
                  <w:jc w:val="right"/>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10.216.185.000</w:t>
                </w:r>
              </w:p>
            </w:tc>
          </w:tr>
          <w:tr w:rsidR="00672BB0" w:rsidRPr="00672BB0" w14:paraId="7EDE92EE" w14:textId="77777777" w:rsidTr="00672BB0">
            <w:trPr>
              <w:trHeight w:val="315"/>
              <w:jc w:val="center"/>
            </w:trPr>
            <w:tc>
              <w:tcPr>
                <w:tcW w:w="0" w:type="auto"/>
                <w:shd w:val="clear" w:color="auto" w:fill="auto"/>
                <w:noWrap/>
                <w:vAlign w:val="center"/>
                <w:hideMark/>
              </w:tcPr>
              <w:p w14:paraId="78757B45" w14:textId="77777777" w:rsidR="00672BB0" w:rsidRPr="00672BB0" w:rsidRDefault="00672BB0" w:rsidP="00672BB0">
                <w:pPr>
                  <w:spacing w:after="0" w:line="240" w:lineRule="auto"/>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Muebles y enseres</w:t>
                </w:r>
              </w:p>
            </w:tc>
            <w:tc>
              <w:tcPr>
                <w:tcW w:w="0" w:type="auto"/>
                <w:shd w:val="clear" w:color="auto" w:fill="auto"/>
                <w:noWrap/>
                <w:vAlign w:val="center"/>
                <w:hideMark/>
              </w:tcPr>
              <w:p w14:paraId="4E070884" w14:textId="77777777" w:rsidR="00672BB0" w:rsidRPr="00672BB0" w:rsidRDefault="00672BB0" w:rsidP="00672BB0">
                <w:pPr>
                  <w:spacing w:after="0" w:line="240" w:lineRule="auto"/>
                  <w:jc w:val="right"/>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9.972.487.799</w:t>
                </w:r>
              </w:p>
            </w:tc>
          </w:tr>
          <w:tr w:rsidR="00672BB0" w:rsidRPr="00672BB0" w14:paraId="54DBBD4D" w14:textId="77777777" w:rsidTr="00672BB0">
            <w:trPr>
              <w:trHeight w:val="315"/>
              <w:jc w:val="center"/>
            </w:trPr>
            <w:tc>
              <w:tcPr>
                <w:tcW w:w="0" w:type="auto"/>
                <w:shd w:val="clear" w:color="auto" w:fill="auto"/>
                <w:noWrap/>
                <w:vAlign w:val="center"/>
                <w:hideMark/>
              </w:tcPr>
              <w:p w14:paraId="3BB7B2A4" w14:textId="77777777" w:rsidR="00672BB0" w:rsidRPr="00672BB0" w:rsidRDefault="00672BB0" w:rsidP="00672BB0">
                <w:pPr>
                  <w:spacing w:after="0" w:line="240" w:lineRule="auto"/>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Equipo de seguridad y rescate</w:t>
                </w:r>
              </w:p>
            </w:tc>
            <w:tc>
              <w:tcPr>
                <w:tcW w:w="0" w:type="auto"/>
                <w:shd w:val="clear" w:color="auto" w:fill="auto"/>
                <w:noWrap/>
                <w:vAlign w:val="center"/>
                <w:hideMark/>
              </w:tcPr>
              <w:p w14:paraId="114D12ED" w14:textId="77777777" w:rsidR="00672BB0" w:rsidRPr="00672BB0" w:rsidRDefault="00672BB0" w:rsidP="00672BB0">
                <w:pPr>
                  <w:spacing w:after="0" w:line="240" w:lineRule="auto"/>
                  <w:jc w:val="right"/>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6.083.662.208</w:t>
                </w:r>
              </w:p>
            </w:tc>
          </w:tr>
          <w:tr w:rsidR="00672BB0" w:rsidRPr="00672BB0" w14:paraId="61DDFFE9" w14:textId="77777777" w:rsidTr="00672BB0">
            <w:trPr>
              <w:trHeight w:val="315"/>
              <w:jc w:val="center"/>
            </w:trPr>
            <w:tc>
              <w:tcPr>
                <w:tcW w:w="0" w:type="auto"/>
                <w:shd w:val="clear" w:color="auto" w:fill="auto"/>
                <w:noWrap/>
                <w:vAlign w:val="center"/>
                <w:hideMark/>
              </w:tcPr>
              <w:p w14:paraId="0CFA1D73" w14:textId="77777777" w:rsidR="00672BB0" w:rsidRPr="00672BB0" w:rsidRDefault="00672BB0" w:rsidP="00672BB0">
                <w:pPr>
                  <w:spacing w:after="0" w:line="240" w:lineRule="auto"/>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Plantas de generación</w:t>
                </w:r>
              </w:p>
            </w:tc>
            <w:tc>
              <w:tcPr>
                <w:tcW w:w="0" w:type="auto"/>
                <w:shd w:val="clear" w:color="auto" w:fill="auto"/>
                <w:noWrap/>
                <w:vAlign w:val="center"/>
                <w:hideMark/>
              </w:tcPr>
              <w:p w14:paraId="72487C85" w14:textId="77777777" w:rsidR="00672BB0" w:rsidRPr="00672BB0" w:rsidRDefault="00672BB0" w:rsidP="00672BB0">
                <w:pPr>
                  <w:spacing w:after="0" w:line="240" w:lineRule="auto"/>
                  <w:jc w:val="right"/>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4.529.985.016</w:t>
                </w:r>
              </w:p>
            </w:tc>
          </w:tr>
          <w:tr w:rsidR="00672BB0" w:rsidRPr="00672BB0" w14:paraId="3E9700B0" w14:textId="77777777" w:rsidTr="00672BB0">
            <w:trPr>
              <w:trHeight w:val="315"/>
              <w:jc w:val="center"/>
            </w:trPr>
            <w:tc>
              <w:tcPr>
                <w:tcW w:w="0" w:type="auto"/>
                <w:shd w:val="clear" w:color="auto" w:fill="auto"/>
                <w:noWrap/>
                <w:vAlign w:val="center"/>
                <w:hideMark/>
              </w:tcPr>
              <w:p w14:paraId="1CAF88C1" w14:textId="77777777" w:rsidR="00672BB0" w:rsidRPr="00672BB0" w:rsidRDefault="00672BB0" w:rsidP="00672BB0">
                <w:pPr>
                  <w:spacing w:after="0" w:line="240" w:lineRule="auto"/>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De elevación</w:t>
                </w:r>
              </w:p>
            </w:tc>
            <w:tc>
              <w:tcPr>
                <w:tcW w:w="0" w:type="auto"/>
                <w:shd w:val="clear" w:color="auto" w:fill="auto"/>
                <w:noWrap/>
                <w:vAlign w:val="center"/>
                <w:hideMark/>
              </w:tcPr>
              <w:p w14:paraId="151E184D" w14:textId="77777777" w:rsidR="00672BB0" w:rsidRPr="00672BB0" w:rsidRDefault="00672BB0" w:rsidP="00672BB0">
                <w:pPr>
                  <w:spacing w:after="0" w:line="240" w:lineRule="auto"/>
                  <w:jc w:val="right"/>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4.514.599.579</w:t>
                </w:r>
              </w:p>
            </w:tc>
          </w:tr>
          <w:tr w:rsidR="00672BB0" w:rsidRPr="00672BB0" w14:paraId="1F61DD43" w14:textId="77777777" w:rsidTr="00672BB0">
            <w:trPr>
              <w:trHeight w:val="315"/>
              <w:jc w:val="center"/>
            </w:trPr>
            <w:tc>
              <w:tcPr>
                <w:tcW w:w="0" w:type="auto"/>
                <w:shd w:val="clear" w:color="auto" w:fill="auto"/>
                <w:noWrap/>
                <w:vAlign w:val="center"/>
                <w:hideMark/>
              </w:tcPr>
              <w:p w14:paraId="42023B0D" w14:textId="77777777" w:rsidR="00672BB0" w:rsidRPr="00672BB0" w:rsidRDefault="00672BB0" w:rsidP="00672BB0">
                <w:pPr>
                  <w:spacing w:after="0" w:line="240" w:lineRule="auto"/>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Líneas y cables de telecomunicaciones</w:t>
                </w:r>
              </w:p>
            </w:tc>
            <w:tc>
              <w:tcPr>
                <w:tcW w:w="0" w:type="auto"/>
                <w:shd w:val="clear" w:color="auto" w:fill="auto"/>
                <w:noWrap/>
                <w:vAlign w:val="center"/>
                <w:hideMark/>
              </w:tcPr>
              <w:p w14:paraId="6AA036C4" w14:textId="77777777" w:rsidR="00672BB0" w:rsidRPr="00672BB0" w:rsidRDefault="00672BB0" w:rsidP="00672BB0">
                <w:pPr>
                  <w:spacing w:after="0" w:line="240" w:lineRule="auto"/>
                  <w:jc w:val="right"/>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1.709.600.828</w:t>
                </w:r>
              </w:p>
            </w:tc>
          </w:tr>
          <w:tr w:rsidR="00672BB0" w:rsidRPr="00672BB0" w14:paraId="36E607A5" w14:textId="77777777" w:rsidTr="00672BB0">
            <w:trPr>
              <w:trHeight w:val="315"/>
              <w:jc w:val="center"/>
            </w:trPr>
            <w:tc>
              <w:tcPr>
                <w:tcW w:w="0" w:type="auto"/>
                <w:shd w:val="clear" w:color="auto" w:fill="auto"/>
                <w:noWrap/>
                <w:vAlign w:val="center"/>
                <w:hideMark/>
              </w:tcPr>
              <w:p w14:paraId="087227F0" w14:textId="77777777" w:rsidR="00672BB0" w:rsidRPr="00672BB0" w:rsidRDefault="00672BB0" w:rsidP="00672BB0">
                <w:pPr>
                  <w:spacing w:after="0" w:line="240" w:lineRule="auto"/>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Líneas y cables de transmisión</w:t>
                </w:r>
              </w:p>
            </w:tc>
            <w:tc>
              <w:tcPr>
                <w:tcW w:w="0" w:type="auto"/>
                <w:shd w:val="clear" w:color="auto" w:fill="auto"/>
                <w:noWrap/>
                <w:vAlign w:val="center"/>
                <w:hideMark/>
              </w:tcPr>
              <w:p w14:paraId="1E72D870" w14:textId="77777777" w:rsidR="00672BB0" w:rsidRPr="00672BB0" w:rsidRDefault="00672BB0" w:rsidP="00672BB0">
                <w:pPr>
                  <w:spacing w:after="0" w:line="240" w:lineRule="auto"/>
                  <w:jc w:val="right"/>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920.716.673</w:t>
                </w:r>
              </w:p>
            </w:tc>
          </w:tr>
          <w:tr w:rsidR="00672BB0" w:rsidRPr="00672BB0" w14:paraId="1F8B4524" w14:textId="77777777" w:rsidTr="00672BB0">
            <w:trPr>
              <w:trHeight w:val="315"/>
              <w:jc w:val="center"/>
            </w:trPr>
            <w:tc>
              <w:tcPr>
                <w:tcW w:w="0" w:type="auto"/>
                <w:shd w:val="clear" w:color="auto" w:fill="auto"/>
                <w:noWrap/>
                <w:vAlign w:val="center"/>
                <w:hideMark/>
              </w:tcPr>
              <w:p w14:paraId="31C01F4E" w14:textId="77777777" w:rsidR="00672BB0" w:rsidRPr="00672BB0" w:rsidRDefault="00672BB0" w:rsidP="00672BB0">
                <w:pPr>
                  <w:spacing w:after="0" w:line="240" w:lineRule="auto"/>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Satélites y antenas</w:t>
                </w:r>
              </w:p>
            </w:tc>
            <w:tc>
              <w:tcPr>
                <w:tcW w:w="0" w:type="auto"/>
                <w:shd w:val="clear" w:color="auto" w:fill="auto"/>
                <w:noWrap/>
                <w:vAlign w:val="center"/>
                <w:hideMark/>
              </w:tcPr>
              <w:p w14:paraId="327DCF6D" w14:textId="77777777" w:rsidR="00672BB0" w:rsidRPr="00672BB0" w:rsidRDefault="00672BB0" w:rsidP="00672BB0">
                <w:pPr>
                  <w:spacing w:after="0" w:line="240" w:lineRule="auto"/>
                  <w:jc w:val="right"/>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314.360.581</w:t>
                </w:r>
              </w:p>
            </w:tc>
          </w:tr>
          <w:tr w:rsidR="00672BB0" w:rsidRPr="00672BB0" w14:paraId="318F2882" w14:textId="77777777" w:rsidTr="00672BB0">
            <w:trPr>
              <w:trHeight w:val="315"/>
              <w:jc w:val="center"/>
            </w:trPr>
            <w:tc>
              <w:tcPr>
                <w:tcW w:w="0" w:type="auto"/>
                <w:shd w:val="clear" w:color="auto" w:fill="auto"/>
                <w:noWrap/>
                <w:vAlign w:val="center"/>
                <w:hideMark/>
              </w:tcPr>
              <w:p w14:paraId="3CE846ED" w14:textId="77777777" w:rsidR="00672BB0" w:rsidRPr="00672BB0" w:rsidRDefault="00672BB0" w:rsidP="00672BB0">
                <w:pPr>
                  <w:spacing w:after="0" w:line="240" w:lineRule="auto"/>
                  <w:rPr>
                    <w:rFonts w:ascii="Times New Roman" w:eastAsia="Times New Roman" w:hAnsi="Times New Roman"/>
                    <w:b/>
                    <w:bCs/>
                    <w:color w:val="000000"/>
                    <w:sz w:val="18"/>
                    <w:szCs w:val="18"/>
                    <w:lang w:eastAsia="es-CO"/>
                  </w:rPr>
                </w:pPr>
                <w:r w:rsidRPr="00672BB0">
                  <w:rPr>
                    <w:rFonts w:ascii="Times New Roman" w:eastAsia="Times New Roman" w:hAnsi="Times New Roman"/>
                    <w:b/>
                    <w:bCs/>
                    <w:color w:val="000000"/>
                    <w:sz w:val="18"/>
                    <w:szCs w:val="18"/>
                    <w:lang w:eastAsia="es-CO"/>
                  </w:rPr>
                  <w:t>Total</w:t>
                </w:r>
              </w:p>
            </w:tc>
            <w:tc>
              <w:tcPr>
                <w:tcW w:w="0" w:type="auto"/>
                <w:shd w:val="clear" w:color="auto" w:fill="auto"/>
                <w:noWrap/>
                <w:vAlign w:val="center"/>
                <w:hideMark/>
              </w:tcPr>
              <w:p w14:paraId="35F5CB90" w14:textId="77777777" w:rsidR="00672BB0" w:rsidRPr="00672BB0" w:rsidRDefault="00672BB0" w:rsidP="00672BB0">
                <w:pPr>
                  <w:spacing w:after="0" w:line="240" w:lineRule="auto"/>
                  <w:jc w:val="right"/>
                  <w:rPr>
                    <w:rFonts w:ascii="Times New Roman" w:eastAsia="Times New Roman" w:hAnsi="Times New Roman"/>
                    <w:b/>
                    <w:bCs/>
                    <w:color w:val="000000"/>
                    <w:sz w:val="18"/>
                    <w:szCs w:val="18"/>
                    <w:lang w:eastAsia="es-CO"/>
                  </w:rPr>
                </w:pPr>
                <w:r w:rsidRPr="00672BB0">
                  <w:rPr>
                    <w:rFonts w:ascii="Times New Roman" w:eastAsia="Times New Roman" w:hAnsi="Times New Roman"/>
                    <w:b/>
                    <w:bCs/>
                    <w:color w:val="000000"/>
                    <w:sz w:val="18"/>
                    <w:szCs w:val="18"/>
                    <w:lang w:eastAsia="es-CO"/>
                  </w:rPr>
                  <w:t>356.325.374.213</w:t>
                </w:r>
              </w:p>
            </w:tc>
          </w:tr>
        </w:tbl>
        <w:p w14:paraId="7E57FCE8" w14:textId="368EAB78" w:rsidR="00D672D4" w:rsidRPr="00931DCE" w:rsidRDefault="00AD2026" w:rsidP="00A16311">
          <w:pPr>
            <w:spacing w:after="0"/>
            <w:ind w:left="2124"/>
            <w:rPr>
              <w:rFonts w:ascii="Times New Roman" w:hAnsi="Times New Roman"/>
              <w:sz w:val="14"/>
              <w:szCs w:val="14"/>
            </w:rPr>
          </w:pPr>
          <w:r w:rsidRPr="00A16311">
            <w:rPr>
              <w:rFonts w:ascii="Times New Roman" w:hAnsi="Times New Roman"/>
              <w:sz w:val="14"/>
              <w:szCs w:val="14"/>
            </w:rPr>
            <w:t>Cifras expresadas en pesos</w:t>
          </w:r>
          <w:r w:rsidR="00D672D4" w:rsidRPr="00931DCE">
            <w:rPr>
              <w:rFonts w:ascii="Times New Roman" w:hAnsi="Times New Roman"/>
              <w:sz w:val="14"/>
              <w:szCs w:val="14"/>
            </w:rPr>
            <w:t xml:space="preserve"> </w:t>
          </w:r>
        </w:p>
        <w:p w14:paraId="5C62E082" w14:textId="77777777" w:rsidR="00DF431C" w:rsidRPr="00931DCE" w:rsidRDefault="00DF431C" w:rsidP="00C71CDF">
          <w:pPr>
            <w:spacing w:after="0" w:line="257" w:lineRule="auto"/>
            <w:jc w:val="both"/>
            <w:rPr>
              <w:rFonts w:ascii="Times New Roman" w:hAnsi="Times New Roman"/>
              <w:sz w:val="24"/>
              <w:szCs w:val="24"/>
            </w:rPr>
          </w:pPr>
        </w:p>
        <w:p w14:paraId="6747D188" w14:textId="3602D5A6" w:rsidR="006E6ABB" w:rsidRDefault="006E6ABB" w:rsidP="00C71CDF">
          <w:pPr>
            <w:spacing w:after="0" w:line="257" w:lineRule="auto"/>
            <w:jc w:val="both"/>
            <w:rPr>
              <w:rFonts w:ascii="Times New Roman" w:hAnsi="Times New Roman"/>
              <w:sz w:val="24"/>
              <w:szCs w:val="24"/>
            </w:rPr>
          </w:pPr>
          <w:r>
            <w:rPr>
              <w:rFonts w:ascii="Times New Roman" w:hAnsi="Times New Roman"/>
              <w:sz w:val="24"/>
              <w:szCs w:val="24"/>
            </w:rPr>
            <w:t>También refleja la reversión a la entidad titular, de los activos asociados al c</w:t>
          </w:r>
          <w:r w:rsidRPr="00A50195">
            <w:rPr>
              <w:rFonts w:ascii="Times New Roman" w:hAnsi="Times New Roman"/>
              <w:sz w:val="24"/>
              <w:szCs w:val="24"/>
            </w:rPr>
            <w:t xml:space="preserve">ontrato de </w:t>
          </w:r>
          <w:r>
            <w:rPr>
              <w:rFonts w:ascii="Times New Roman" w:hAnsi="Times New Roman"/>
              <w:sz w:val="24"/>
              <w:szCs w:val="24"/>
            </w:rPr>
            <w:t>c</w:t>
          </w:r>
          <w:r w:rsidRPr="00A50195">
            <w:rPr>
              <w:rFonts w:ascii="Times New Roman" w:hAnsi="Times New Roman"/>
              <w:sz w:val="24"/>
              <w:szCs w:val="24"/>
            </w:rPr>
            <w:t>oncesión No</w:t>
          </w:r>
          <w:r>
            <w:rPr>
              <w:rFonts w:ascii="Times New Roman" w:hAnsi="Times New Roman"/>
              <w:sz w:val="24"/>
              <w:szCs w:val="24"/>
            </w:rPr>
            <w:t>.</w:t>
          </w:r>
          <w:r w:rsidRPr="00A50195">
            <w:rPr>
              <w:rFonts w:ascii="Times New Roman" w:hAnsi="Times New Roman"/>
              <w:sz w:val="24"/>
              <w:szCs w:val="24"/>
            </w:rPr>
            <w:t xml:space="preserve"> 002 de 2010 </w:t>
          </w:r>
          <w:r>
            <w:rPr>
              <w:rFonts w:ascii="Times New Roman" w:hAnsi="Times New Roman"/>
              <w:sz w:val="24"/>
              <w:szCs w:val="24"/>
            </w:rPr>
            <w:t>suscrito con el</w:t>
          </w:r>
          <w:r w:rsidRPr="00A50195">
            <w:rPr>
              <w:rFonts w:ascii="Times New Roman" w:hAnsi="Times New Roman"/>
              <w:sz w:val="24"/>
              <w:szCs w:val="24"/>
            </w:rPr>
            <w:t xml:space="preserve"> Concesionario </w:t>
          </w:r>
          <w:r w:rsidRPr="008E3D31">
            <w:rPr>
              <w:rFonts w:ascii="Times New Roman" w:hAnsi="Times New Roman"/>
              <w:sz w:val="24"/>
              <w:szCs w:val="24"/>
            </w:rPr>
            <w:t xml:space="preserve">Consorcio Vial </w:t>
          </w:r>
          <w:r w:rsidRPr="00A50195">
            <w:rPr>
              <w:rFonts w:ascii="Times New Roman" w:hAnsi="Times New Roman"/>
              <w:sz w:val="24"/>
              <w:szCs w:val="24"/>
            </w:rPr>
            <w:t>Helios</w:t>
          </w:r>
          <w:r>
            <w:rPr>
              <w:rFonts w:ascii="Times New Roman" w:hAnsi="Times New Roman"/>
              <w:sz w:val="24"/>
              <w:szCs w:val="24"/>
            </w:rPr>
            <w:t>,</w:t>
          </w:r>
          <w:r w:rsidRPr="00A50195">
            <w:rPr>
              <w:rFonts w:ascii="Times New Roman" w:hAnsi="Times New Roman"/>
              <w:sz w:val="24"/>
              <w:szCs w:val="24"/>
            </w:rPr>
            <w:t xml:space="preserve"> de acuerdo </w:t>
          </w:r>
          <w:r>
            <w:rPr>
              <w:rFonts w:ascii="Times New Roman" w:hAnsi="Times New Roman"/>
              <w:sz w:val="24"/>
              <w:szCs w:val="24"/>
            </w:rPr>
            <w:t>con el a</w:t>
          </w:r>
          <w:r w:rsidRPr="00A50195">
            <w:rPr>
              <w:rFonts w:ascii="Times New Roman" w:hAnsi="Times New Roman"/>
              <w:sz w:val="24"/>
              <w:szCs w:val="24"/>
            </w:rPr>
            <w:t xml:space="preserve">cta de </w:t>
          </w:r>
          <w:r>
            <w:rPr>
              <w:rFonts w:ascii="Times New Roman" w:hAnsi="Times New Roman"/>
              <w:sz w:val="24"/>
              <w:szCs w:val="24"/>
            </w:rPr>
            <w:t>r</w:t>
          </w:r>
          <w:r w:rsidRPr="00A50195">
            <w:rPr>
              <w:rFonts w:ascii="Times New Roman" w:hAnsi="Times New Roman"/>
              <w:sz w:val="24"/>
              <w:szCs w:val="24"/>
            </w:rPr>
            <w:t>eversión y entrega del proyecto de concesión vial Ruta del Sol Sector 1</w:t>
          </w:r>
          <w:r>
            <w:rPr>
              <w:rFonts w:ascii="Times New Roman" w:hAnsi="Times New Roman"/>
              <w:sz w:val="24"/>
              <w:szCs w:val="24"/>
            </w:rPr>
            <w:t>.</w:t>
          </w:r>
        </w:p>
        <w:p w14:paraId="75F02D20" w14:textId="77777777" w:rsidR="006E6ABB" w:rsidRDefault="006E6ABB" w:rsidP="00C71CDF">
          <w:pPr>
            <w:spacing w:after="0" w:line="257" w:lineRule="auto"/>
            <w:jc w:val="both"/>
            <w:rPr>
              <w:rFonts w:ascii="Times New Roman" w:hAnsi="Times New Roman"/>
              <w:sz w:val="24"/>
              <w:szCs w:val="24"/>
            </w:rPr>
          </w:pPr>
        </w:p>
        <w:p w14:paraId="7B1D1DFD" w14:textId="1A002368" w:rsidR="00C71CDF" w:rsidRPr="00931DCE" w:rsidRDefault="00C71CDF" w:rsidP="00C71CDF">
          <w:pPr>
            <w:spacing w:after="0" w:line="257" w:lineRule="auto"/>
            <w:jc w:val="both"/>
            <w:rPr>
              <w:rFonts w:ascii="Times New Roman" w:hAnsi="Times New Roman"/>
              <w:sz w:val="24"/>
              <w:szCs w:val="24"/>
            </w:rPr>
          </w:pPr>
          <w:r w:rsidRPr="00931DCE">
            <w:rPr>
              <w:rFonts w:ascii="Times New Roman" w:hAnsi="Times New Roman"/>
              <w:sz w:val="24"/>
              <w:szCs w:val="24"/>
            </w:rPr>
            <w:t xml:space="preserve">En cuanto a los métodos de depreciación y las vidas útiles asignadas a los activos reconocidos en el modo carretero, se continua con el análisis y gestiones para la determinación </w:t>
          </w:r>
          <w:r w:rsidR="008B79E2" w:rsidRPr="00931DCE">
            <w:rPr>
              <w:rFonts w:ascii="Times New Roman" w:hAnsi="Times New Roman"/>
              <w:sz w:val="24"/>
              <w:szCs w:val="24"/>
            </w:rPr>
            <w:t>estas</w:t>
          </w:r>
          <w:r w:rsidR="005C17C2" w:rsidRPr="00931DCE">
            <w:rPr>
              <w:rFonts w:ascii="Times New Roman" w:hAnsi="Times New Roman"/>
              <w:sz w:val="24"/>
              <w:szCs w:val="24"/>
            </w:rPr>
            <w:t>,</w:t>
          </w:r>
          <w:r w:rsidRPr="00931DCE">
            <w:rPr>
              <w:rFonts w:ascii="Times New Roman" w:hAnsi="Times New Roman"/>
              <w:sz w:val="24"/>
              <w:szCs w:val="24"/>
            </w:rPr>
            <w:t xml:space="preserve"> dadas las características propias en la ejecución de los acuerdos de concesión</w:t>
          </w:r>
          <w:r w:rsidR="005C17C2" w:rsidRPr="00931DCE">
            <w:rPr>
              <w:rFonts w:ascii="Times New Roman" w:hAnsi="Times New Roman"/>
              <w:sz w:val="24"/>
              <w:szCs w:val="24"/>
            </w:rPr>
            <w:t xml:space="preserve"> y</w:t>
          </w:r>
          <w:r w:rsidRPr="00931DCE">
            <w:rPr>
              <w:rFonts w:ascii="Times New Roman" w:hAnsi="Times New Roman"/>
              <w:sz w:val="24"/>
              <w:szCs w:val="24"/>
            </w:rPr>
            <w:t xml:space="preserve"> en cumplimiento al plazo otorgado a la por la Contaduría General de la Nación.</w:t>
          </w:r>
        </w:p>
        <w:p w14:paraId="43B92E95" w14:textId="323CD3EF" w:rsidR="00C71CDF" w:rsidRPr="00931DCE" w:rsidRDefault="00C71CDF" w:rsidP="00C71CDF">
          <w:pPr>
            <w:spacing w:after="0" w:line="240" w:lineRule="auto"/>
            <w:jc w:val="both"/>
            <w:rPr>
              <w:rFonts w:ascii="Times New Roman" w:hAnsi="Times New Roman"/>
              <w:b/>
              <w:bCs/>
              <w:sz w:val="24"/>
              <w:szCs w:val="24"/>
            </w:rPr>
          </w:pPr>
        </w:p>
        <w:p w14:paraId="1349F73E" w14:textId="62A7D6ED" w:rsidR="00D672D4" w:rsidRPr="00931DCE" w:rsidRDefault="00D672D4" w:rsidP="005C17C2">
          <w:pPr>
            <w:spacing w:after="0" w:line="240" w:lineRule="auto"/>
            <w:jc w:val="both"/>
            <w:rPr>
              <w:rFonts w:ascii="Times New Roman" w:hAnsi="Times New Roman"/>
              <w:sz w:val="24"/>
              <w:szCs w:val="24"/>
            </w:rPr>
          </w:pPr>
          <w:r w:rsidRPr="005B7DDA">
            <w:rPr>
              <w:rFonts w:ascii="Times New Roman" w:hAnsi="Times New Roman"/>
              <w:b/>
              <w:color w:val="1F3864" w:themeColor="accent1" w:themeShade="80"/>
              <w:sz w:val="24"/>
              <w:szCs w:val="24"/>
            </w:rPr>
            <w:t>Modo Portuario:</w:t>
          </w:r>
          <w:r w:rsidR="00E61459" w:rsidRPr="005B7DDA">
            <w:rPr>
              <w:rFonts w:ascii="Times New Roman" w:hAnsi="Times New Roman"/>
              <w:b/>
              <w:color w:val="1F3864" w:themeColor="accent1" w:themeShade="80"/>
              <w:sz w:val="24"/>
              <w:szCs w:val="24"/>
            </w:rPr>
            <w:t xml:space="preserve"> </w:t>
          </w:r>
          <w:r w:rsidR="00676FA6" w:rsidRPr="00931DCE">
            <w:rPr>
              <w:rFonts w:ascii="Times New Roman" w:hAnsi="Times New Roman"/>
              <w:sz w:val="24"/>
              <w:szCs w:val="24"/>
            </w:rPr>
            <w:t>comportamiento de los bienes de propiedad, planta y equipo en la vigencia 202</w:t>
          </w:r>
          <w:r w:rsidR="00BD1329">
            <w:rPr>
              <w:rFonts w:ascii="Times New Roman" w:hAnsi="Times New Roman"/>
              <w:sz w:val="24"/>
              <w:szCs w:val="24"/>
            </w:rPr>
            <w:t>3</w:t>
          </w:r>
          <w:r w:rsidRPr="00931DCE">
            <w:rPr>
              <w:rFonts w:ascii="Times New Roman" w:hAnsi="Times New Roman"/>
              <w:sz w:val="24"/>
              <w:szCs w:val="24"/>
            </w:rPr>
            <w:t xml:space="preserve">, </w:t>
          </w:r>
          <w:r w:rsidR="00E61459" w:rsidRPr="00931DCE">
            <w:rPr>
              <w:rFonts w:ascii="Times New Roman" w:hAnsi="Times New Roman"/>
              <w:sz w:val="24"/>
              <w:szCs w:val="24"/>
            </w:rPr>
            <w:t xml:space="preserve">producto de las actualizaciones realizadas en junio y diciembre </w:t>
          </w:r>
          <w:r w:rsidRPr="00931DCE">
            <w:rPr>
              <w:rFonts w:ascii="Times New Roman" w:hAnsi="Times New Roman"/>
              <w:sz w:val="24"/>
              <w:szCs w:val="24"/>
            </w:rPr>
            <w:t>mostrando por separado l</w:t>
          </w:r>
          <w:r w:rsidR="00676FA6" w:rsidRPr="00931DCE">
            <w:rPr>
              <w:rFonts w:ascii="Times New Roman" w:hAnsi="Times New Roman"/>
              <w:sz w:val="24"/>
              <w:szCs w:val="24"/>
            </w:rPr>
            <w:t xml:space="preserve">os </w:t>
          </w:r>
          <w:r w:rsidR="004E74BD">
            <w:rPr>
              <w:rFonts w:ascii="Times New Roman" w:hAnsi="Times New Roman"/>
              <w:sz w:val="24"/>
              <w:szCs w:val="24"/>
            </w:rPr>
            <w:t xml:space="preserve">saldos por los </w:t>
          </w:r>
          <w:r w:rsidR="00676FA6" w:rsidRPr="00931DCE">
            <w:rPr>
              <w:rFonts w:ascii="Times New Roman" w:hAnsi="Times New Roman"/>
              <w:sz w:val="24"/>
              <w:szCs w:val="24"/>
            </w:rPr>
            <w:t>diferentes conceptos</w:t>
          </w:r>
          <w:r w:rsidRPr="00931DCE">
            <w:rPr>
              <w:rFonts w:ascii="Times New Roman" w:hAnsi="Times New Roman"/>
              <w:sz w:val="24"/>
              <w:szCs w:val="24"/>
            </w:rPr>
            <w:t xml:space="preserve">: </w:t>
          </w:r>
        </w:p>
        <w:p w14:paraId="72E2954B" w14:textId="07D68931" w:rsidR="00142821" w:rsidRPr="00931DCE" w:rsidRDefault="00142821" w:rsidP="00C71CDF">
          <w:pPr>
            <w:spacing w:after="0" w:line="257" w:lineRule="auto"/>
            <w:jc w:val="both"/>
            <w:rPr>
              <w:rFonts w:ascii="Times New Roman" w:hAnsi="Times New Roman"/>
              <w:sz w:val="18"/>
              <w:szCs w:val="18"/>
            </w:rPr>
          </w:pPr>
        </w:p>
        <w:tbl>
          <w:tblPr>
            <w:tblW w:w="0" w:type="auto"/>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CellMar>
              <w:left w:w="70" w:type="dxa"/>
              <w:right w:w="70" w:type="dxa"/>
            </w:tblCellMar>
            <w:tblLook w:val="04A0" w:firstRow="1" w:lastRow="0" w:firstColumn="1" w:lastColumn="0" w:noHBand="0" w:noVBand="1"/>
          </w:tblPr>
          <w:tblGrid>
            <w:gridCol w:w="3525"/>
            <w:gridCol w:w="1490"/>
          </w:tblGrid>
          <w:tr w:rsidR="00672BB0" w:rsidRPr="00672BB0" w14:paraId="0F2E1E9E" w14:textId="77777777" w:rsidTr="00C62D64">
            <w:trPr>
              <w:trHeight w:val="315"/>
              <w:tblHeader/>
              <w:jc w:val="center"/>
            </w:trPr>
            <w:tc>
              <w:tcPr>
                <w:tcW w:w="0" w:type="auto"/>
                <w:shd w:val="clear" w:color="auto" w:fill="auto"/>
                <w:noWrap/>
                <w:vAlign w:val="center"/>
                <w:hideMark/>
              </w:tcPr>
              <w:p w14:paraId="4E28FBAA" w14:textId="77777777" w:rsidR="00672BB0" w:rsidRPr="00672BB0" w:rsidRDefault="00672BB0" w:rsidP="00672BB0">
                <w:pPr>
                  <w:spacing w:after="0" w:line="240" w:lineRule="auto"/>
                  <w:rPr>
                    <w:rFonts w:ascii="Times New Roman" w:eastAsia="Times New Roman" w:hAnsi="Times New Roman"/>
                    <w:b/>
                    <w:bCs/>
                    <w:color w:val="000000"/>
                    <w:sz w:val="18"/>
                    <w:szCs w:val="18"/>
                    <w:lang w:eastAsia="es-CO"/>
                  </w:rPr>
                </w:pPr>
                <w:r w:rsidRPr="00672BB0">
                  <w:rPr>
                    <w:rFonts w:ascii="Times New Roman" w:eastAsia="Times New Roman" w:hAnsi="Times New Roman"/>
                    <w:b/>
                    <w:bCs/>
                    <w:color w:val="000000"/>
                    <w:sz w:val="18"/>
                    <w:szCs w:val="18"/>
                    <w:lang w:eastAsia="es-CO"/>
                  </w:rPr>
                  <w:t xml:space="preserve">DESCRIPCIÓN </w:t>
                </w:r>
              </w:p>
            </w:tc>
            <w:tc>
              <w:tcPr>
                <w:tcW w:w="0" w:type="auto"/>
                <w:shd w:val="clear" w:color="auto" w:fill="auto"/>
                <w:noWrap/>
                <w:vAlign w:val="center"/>
                <w:hideMark/>
              </w:tcPr>
              <w:p w14:paraId="154B9209" w14:textId="77777777" w:rsidR="00672BB0" w:rsidRPr="00672BB0" w:rsidRDefault="00672BB0" w:rsidP="00672BB0">
                <w:pPr>
                  <w:spacing w:after="0" w:line="240" w:lineRule="auto"/>
                  <w:jc w:val="right"/>
                  <w:rPr>
                    <w:rFonts w:ascii="Times New Roman" w:eastAsia="Times New Roman" w:hAnsi="Times New Roman"/>
                    <w:b/>
                    <w:bCs/>
                    <w:color w:val="000000"/>
                    <w:sz w:val="18"/>
                    <w:szCs w:val="18"/>
                    <w:lang w:eastAsia="es-CO"/>
                  </w:rPr>
                </w:pPr>
                <w:r w:rsidRPr="00672BB0">
                  <w:rPr>
                    <w:rFonts w:ascii="Times New Roman" w:eastAsia="Times New Roman" w:hAnsi="Times New Roman"/>
                    <w:b/>
                    <w:bCs/>
                    <w:color w:val="000000"/>
                    <w:sz w:val="18"/>
                    <w:szCs w:val="18"/>
                    <w:lang w:eastAsia="es-CO"/>
                  </w:rPr>
                  <w:t>VALOR</w:t>
                </w:r>
              </w:p>
            </w:tc>
          </w:tr>
          <w:tr w:rsidR="00672BB0" w:rsidRPr="00672BB0" w14:paraId="3192CAC6" w14:textId="77777777" w:rsidTr="00672BB0">
            <w:trPr>
              <w:trHeight w:val="315"/>
              <w:jc w:val="center"/>
            </w:trPr>
            <w:tc>
              <w:tcPr>
                <w:tcW w:w="0" w:type="auto"/>
                <w:shd w:val="clear" w:color="auto" w:fill="auto"/>
                <w:noWrap/>
                <w:vAlign w:val="center"/>
                <w:hideMark/>
              </w:tcPr>
              <w:p w14:paraId="7759417A" w14:textId="77777777" w:rsidR="00672BB0" w:rsidRPr="00672BB0" w:rsidRDefault="00672BB0" w:rsidP="00672BB0">
                <w:pPr>
                  <w:spacing w:after="0" w:line="240" w:lineRule="auto"/>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De elevación</w:t>
                </w:r>
              </w:p>
            </w:tc>
            <w:tc>
              <w:tcPr>
                <w:tcW w:w="0" w:type="auto"/>
                <w:shd w:val="clear" w:color="auto" w:fill="auto"/>
                <w:noWrap/>
                <w:vAlign w:val="center"/>
                <w:hideMark/>
              </w:tcPr>
              <w:p w14:paraId="3631DA5C" w14:textId="77777777" w:rsidR="00672BB0" w:rsidRPr="00672BB0" w:rsidRDefault="00672BB0" w:rsidP="00672BB0">
                <w:pPr>
                  <w:spacing w:after="0" w:line="240" w:lineRule="auto"/>
                  <w:jc w:val="right"/>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1.293.143.819.362</w:t>
                </w:r>
              </w:p>
            </w:tc>
          </w:tr>
          <w:tr w:rsidR="00672BB0" w:rsidRPr="00672BB0" w14:paraId="2124E186" w14:textId="77777777" w:rsidTr="00672BB0">
            <w:trPr>
              <w:trHeight w:val="315"/>
              <w:jc w:val="center"/>
            </w:trPr>
            <w:tc>
              <w:tcPr>
                <w:tcW w:w="0" w:type="auto"/>
                <w:shd w:val="clear" w:color="auto" w:fill="auto"/>
                <w:noWrap/>
                <w:vAlign w:val="center"/>
                <w:hideMark/>
              </w:tcPr>
              <w:p w14:paraId="6779CF1D" w14:textId="77777777" w:rsidR="00672BB0" w:rsidRPr="00672BB0" w:rsidRDefault="00672BB0" w:rsidP="00672BB0">
                <w:pPr>
                  <w:spacing w:after="0" w:line="240" w:lineRule="auto"/>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Otra maquinaria y equipo</w:t>
                </w:r>
              </w:p>
            </w:tc>
            <w:tc>
              <w:tcPr>
                <w:tcW w:w="0" w:type="auto"/>
                <w:shd w:val="clear" w:color="auto" w:fill="auto"/>
                <w:noWrap/>
                <w:vAlign w:val="center"/>
                <w:hideMark/>
              </w:tcPr>
              <w:p w14:paraId="470B8CC9" w14:textId="77777777" w:rsidR="00672BB0" w:rsidRPr="00672BB0" w:rsidRDefault="00672BB0" w:rsidP="00672BB0">
                <w:pPr>
                  <w:spacing w:after="0" w:line="240" w:lineRule="auto"/>
                  <w:jc w:val="right"/>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516.073.020.330</w:t>
                </w:r>
              </w:p>
            </w:tc>
          </w:tr>
          <w:tr w:rsidR="00672BB0" w:rsidRPr="00672BB0" w14:paraId="30E6362A" w14:textId="77777777" w:rsidTr="00672BB0">
            <w:trPr>
              <w:trHeight w:val="315"/>
              <w:jc w:val="center"/>
            </w:trPr>
            <w:tc>
              <w:tcPr>
                <w:tcW w:w="0" w:type="auto"/>
                <w:shd w:val="clear" w:color="auto" w:fill="auto"/>
                <w:noWrap/>
                <w:vAlign w:val="center"/>
                <w:hideMark/>
              </w:tcPr>
              <w:p w14:paraId="1EEC97BD" w14:textId="77777777" w:rsidR="00672BB0" w:rsidRPr="00672BB0" w:rsidRDefault="00672BB0" w:rsidP="00672BB0">
                <w:pPr>
                  <w:spacing w:after="0" w:line="240" w:lineRule="auto"/>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lastRenderedPageBreak/>
                  <w:t>Marítimo y fluvial</w:t>
                </w:r>
              </w:p>
            </w:tc>
            <w:tc>
              <w:tcPr>
                <w:tcW w:w="0" w:type="auto"/>
                <w:shd w:val="clear" w:color="auto" w:fill="auto"/>
                <w:noWrap/>
                <w:vAlign w:val="center"/>
                <w:hideMark/>
              </w:tcPr>
              <w:p w14:paraId="75860121" w14:textId="77777777" w:rsidR="00672BB0" w:rsidRPr="00672BB0" w:rsidRDefault="00672BB0" w:rsidP="00672BB0">
                <w:pPr>
                  <w:spacing w:after="0" w:line="240" w:lineRule="auto"/>
                  <w:jc w:val="right"/>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168.879.782.477</w:t>
                </w:r>
              </w:p>
            </w:tc>
          </w:tr>
          <w:tr w:rsidR="00672BB0" w:rsidRPr="00672BB0" w14:paraId="6AA3D5B9" w14:textId="77777777" w:rsidTr="00672BB0">
            <w:trPr>
              <w:trHeight w:val="315"/>
              <w:jc w:val="center"/>
            </w:trPr>
            <w:tc>
              <w:tcPr>
                <w:tcW w:w="0" w:type="auto"/>
                <w:shd w:val="clear" w:color="auto" w:fill="auto"/>
                <w:noWrap/>
                <w:vAlign w:val="center"/>
                <w:hideMark/>
              </w:tcPr>
              <w:p w14:paraId="0AB8C7BF" w14:textId="77777777" w:rsidR="00672BB0" w:rsidRPr="00672BB0" w:rsidRDefault="00672BB0" w:rsidP="00672BB0">
                <w:pPr>
                  <w:spacing w:after="0" w:line="240" w:lineRule="auto"/>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Maquinaria industrial</w:t>
                </w:r>
              </w:p>
            </w:tc>
            <w:tc>
              <w:tcPr>
                <w:tcW w:w="0" w:type="auto"/>
                <w:shd w:val="clear" w:color="auto" w:fill="auto"/>
                <w:noWrap/>
                <w:vAlign w:val="center"/>
                <w:hideMark/>
              </w:tcPr>
              <w:p w14:paraId="6DD39FBC" w14:textId="77777777" w:rsidR="00672BB0" w:rsidRPr="00672BB0" w:rsidRDefault="00672BB0" w:rsidP="00672BB0">
                <w:pPr>
                  <w:spacing w:after="0" w:line="240" w:lineRule="auto"/>
                  <w:jc w:val="right"/>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161.123.306.890</w:t>
                </w:r>
              </w:p>
            </w:tc>
          </w:tr>
          <w:tr w:rsidR="00672BB0" w:rsidRPr="00672BB0" w14:paraId="64B78D3D" w14:textId="77777777" w:rsidTr="00672BB0">
            <w:trPr>
              <w:trHeight w:val="315"/>
              <w:jc w:val="center"/>
            </w:trPr>
            <w:tc>
              <w:tcPr>
                <w:tcW w:w="0" w:type="auto"/>
                <w:shd w:val="clear" w:color="auto" w:fill="auto"/>
                <w:noWrap/>
                <w:vAlign w:val="center"/>
                <w:hideMark/>
              </w:tcPr>
              <w:p w14:paraId="2A4AFFBD" w14:textId="77777777" w:rsidR="00672BB0" w:rsidRPr="00672BB0" w:rsidRDefault="00672BB0" w:rsidP="00672BB0">
                <w:pPr>
                  <w:spacing w:after="0" w:line="240" w:lineRule="auto"/>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Urbanos</w:t>
                </w:r>
              </w:p>
            </w:tc>
            <w:tc>
              <w:tcPr>
                <w:tcW w:w="0" w:type="auto"/>
                <w:shd w:val="clear" w:color="auto" w:fill="auto"/>
                <w:noWrap/>
                <w:vAlign w:val="center"/>
                <w:hideMark/>
              </w:tcPr>
              <w:p w14:paraId="1A41ADDC" w14:textId="77777777" w:rsidR="00672BB0" w:rsidRPr="00672BB0" w:rsidRDefault="00672BB0" w:rsidP="00672BB0">
                <w:pPr>
                  <w:spacing w:after="0" w:line="240" w:lineRule="auto"/>
                  <w:jc w:val="right"/>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52.513.513.120</w:t>
                </w:r>
              </w:p>
            </w:tc>
          </w:tr>
          <w:tr w:rsidR="00672BB0" w:rsidRPr="00672BB0" w14:paraId="1A717999" w14:textId="77777777" w:rsidTr="00672BB0">
            <w:trPr>
              <w:trHeight w:val="315"/>
              <w:jc w:val="center"/>
            </w:trPr>
            <w:tc>
              <w:tcPr>
                <w:tcW w:w="0" w:type="auto"/>
                <w:shd w:val="clear" w:color="auto" w:fill="auto"/>
                <w:noWrap/>
                <w:vAlign w:val="center"/>
                <w:hideMark/>
              </w:tcPr>
              <w:p w14:paraId="70B23F77" w14:textId="77777777" w:rsidR="00672BB0" w:rsidRPr="00672BB0" w:rsidRDefault="00672BB0" w:rsidP="00672BB0">
                <w:pPr>
                  <w:spacing w:after="0" w:line="240" w:lineRule="auto"/>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Terrestre</w:t>
                </w:r>
              </w:p>
            </w:tc>
            <w:tc>
              <w:tcPr>
                <w:tcW w:w="0" w:type="auto"/>
                <w:shd w:val="clear" w:color="auto" w:fill="auto"/>
                <w:noWrap/>
                <w:vAlign w:val="center"/>
                <w:hideMark/>
              </w:tcPr>
              <w:p w14:paraId="01399E10" w14:textId="77777777" w:rsidR="00672BB0" w:rsidRPr="00672BB0" w:rsidRDefault="00672BB0" w:rsidP="00672BB0">
                <w:pPr>
                  <w:spacing w:after="0" w:line="240" w:lineRule="auto"/>
                  <w:jc w:val="right"/>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51.003.778.615</w:t>
                </w:r>
              </w:p>
            </w:tc>
          </w:tr>
          <w:tr w:rsidR="00672BB0" w:rsidRPr="00672BB0" w14:paraId="6EE5F4C8" w14:textId="77777777" w:rsidTr="00672BB0">
            <w:trPr>
              <w:trHeight w:val="315"/>
              <w:jc w:val="center"/>
            </w:trPr>
            <w:tc>
              <w:tcPr>
                <w:tcW w:w="0" w:type="auto"/>
                <w:shd w:val="clear" w:color="auto" w:fill="auto"/>
                <w:noWrap/>
                <w:vAlign w:val="center"/>
                <w:hideMark/>
              </w:tcPr>
              <w:p w14:paraId="0E529563" w14:textId="77777777" w:rsidR="00672BB0" w:rsidRPr="00672BB0" w:rsidRDefault="00672BB0" w:rsidP="00672BB0">
                <w:pPr>
                  <w:spacing w:after="0" w:line="240" w:lineRule="auto"/>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Equipo de centros de control</w:t>
                </w:r>
              </w:p>
            </w:tc>
            <w:tc>
              <w:tcPr>
                <w:tcW w:w="0" w:type="auto"/>
                <w:shd w:val="clear" w:color="auto" w:fill="auto"/>
                <w:noWrap/>
                <w:vAlign w:val="center"/>
                <w:hideMark/>
              </w:tcPr>
              <w:p w14:paraId="1139BBCA" w14:textId="77777777" w:rsidR="00672BB0" w:rsidRPr="00672BB0" w:rsidRDefault="00672BB0" w:rsidP="00672BB0">
                <w:pPr>
                  <w:spacing w:after="0" w:line="240" w:lineRule="auto"/>
                  <w:jc w:val="right"/>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32.225.840.961</w:t>
                </w:r>
              </w:p>
            </w:tc>
          </w:tr>
          <w:tr w:rsidR="00672BB0" w:rsidRPr="00672BB0" w14:paraId="0112FDAF" w14:textId="77777777" w:rsidTr="00672BB0">
            <w:trPr>
              <w:trHeight w:val="315"/>
              <w:jc w:val="center"/>
            </w:trPr>
            <w:tc>
              <w:tcPr>
                <w:tcW w:w="0" w:type="auto"/>
                <w:shd w:val="clear" w:color="auto" w:fill="auto"/>
                <w:noWrap/>
                <w:vAlign w:val="center"/>
                <w:hideMark/>
              </w:tcPr>
              <w:p w14:paraId="06EC8E4A" w14:textId="77777777" w:rsidR="00672BB0" w:rsidRPr="00672BB0" w:rsidRDefault="00672BB0" w:rsidP="00672BB0">
                <w:pPr>
                  <w:spacing w:after="0" w:line="240" w:lineRule="auto"/>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Bodegas</w:t>
                </w:r>
              </w:p>
            </w:tc>
            <w:tc>
              <w:tcPr>
                <w:tcW w:w="0" w:type="auto"/>
                <w:shd w:val="clear" w:color="auto" w:fill="auto"/>
                <w:noWrap/>
                <w:vAlign w:val="center"/>
                <w:hideMark/>
              </w:tcPr>
              <w:p w14:paraId="3C1B5EDC" w14:textId="77777777" w:rsidR="00672BB0" w:rsidRPr="00672BB0" w:rsidRDefault="00672BB0" w:rsidP="00672BB0">
                <w:pPr>
                  <w:spacing w:after="0" w:line="240" w:lineRule="auto"/>
                  <w:jc w:val="right"/>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11.305.451.000</w:t>
                </w:r>
              </w:p>
            </w:tc>
          </w:tr>
          <w:tr w:rsidR="00672BB0" w:rsidRPr="00672BB0" w14:paraId="0B6235E5" w14:textId="77777777" w:rsidTr="00672BB0">
            <w:trPr>
              <w:trHeight w:val="315"/>
              <w:jc w:val="center"/>
            </w:trPr>
            <w:tc>
              <w:tcPr>
                <w:tcW w:w="0" w:type="auto"/>
                <w:shd w:val="clear" w:color="auto" w:fill="auto"/>
                <w:noWrap/>
                <w:vAlign w:val="center"/>
                <w:hideMark/>
              </w:tcPr>
              <w:p w14:paraId="509ADB4B" w14:textId="77777777" w:rsidR="00672BB0" w:rsidRPr="00672BB0" w:rsidRDefault="00672BB0" w:rsidP="00672BB0">
                <w:pPr>
                  <w:spacing w:after="0" w:line="240" w:lineRule="auto"/>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Edificios y casas</w:t>
                </w:r>
              </w:p>
            </w:tc>
            <w:tc>
              <w:tcPr>
                <w:tcW w:w="0" w:type="auto"/>
                <w:shd w:val="clear" w:color="auto" w:fill="auto"/>
                <w:noWrap/>
                <w:vAlign w:val="center"/>
                <w:hideMark/>
              </w:tcPr>
              <w:p w14:paraId="5FDBB957" w14:textId="77777777" w:rsidR="00672BB0" w:rsidRPr="00672BB0" w:rsidRDefault="00672BB0" w:rsidP="00672BB0">
                <w:pPr>
                  <w:spacing w:after="0" w:line="240" w:lineRule="auto"/>
                  <w:jc w:val="right"/>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9.434.825.950</w:t>
                </w:r>
              </w:p>
            </w:tc>
          </w:tr>
          <w:tr w:rsidR="00672BB0" w:rsidRPr="00672BB0" w14:paraId="404DE584" w14:textId="77777777" w:rsidTr="00672BB0">
            <w:trPr>
              <w:trHeight w:val="315"/>
              <w:jc w:val="center"/>
            </w:trPr>
            <w:tc>
              <w:tcPr>
                <w:tcW w:w="0" w:type="auto"/>
                <w:shd w:val="clear" w:color="auto" w:fill="auto"/>
                <w:noWrap/>
                <w:vAlign w:val="center"/>
                <w:hideMark/>
              </w:tcPr>
              <w:p w14:paraId="51BA4C43" w14:textId="77777777" w:rsidR="00672BB0" w:rsidRPr="00672BB0" w:rsidRDefault="00672BB0" w:rsidP="00672BB0">
                <w:pPr>
                  <w:spacing w:after="0" w:line="240" w:lineRule="auto"/>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Otros equipos de comunicación y computación</w:t>
                </w:r>
              </w:p>
            </w:tc>
            <w:tc>
              <w:tcPr>
                <w:tcW w:w="0" w:type="auto"/>
                <w:shd w:val="clear" w:color="auto" w:fill="auto"/>
                <w:noWrap/>
                <w:vAlign w:val="center"/>
                <w:hideMark/>
              </w:tcPr>
              <w:p w14:paraId="730C7769" w14:textId="77777777" w:rsidR="00672BB0" w:rsidRPr="00672BB0" w:rsidRDefault="00672BB0" w:rsidP="00672BB0">
                <w:pPr>
                  <w:spacing w:after="0" w:line="240" w:lineRule="auto"/>
                  <w:jc w:val="right"/>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8.367.274.023</w:t>
                </w:r>
              </w:p>
            </w:tc>
          </w:tr>
          <w:tr w:rsidR="00672BB0" w:rsidRPr="00672BB0" w14:paraId="689F71F8" w14:textId="77777777" w:rsidTr="00672BB0">
            <w:trPr>
              <w:trHeight w:val="315"/>
              <w:jc w:val="center"/>
            </w:trPr>
            <w:tc>
              <w:tcPr>
                <w:tcW w:w="0" w:type="auto"/>
                <w:shd w:val="clear" w:color="auto" w:fill="auto"/>
                <w:noWrap/>
                <w:vAlign w:val="center"/>
                <w:hideMark/>
              </w:tcPr>
              <w:p w14:paraId="076AC1DD" w14:textId="77777777" w:rsidR="00672BB0" w:rsidRPr="00672BB0" w:rsidRDefault="00672BB0" w:rsidP="00672BB0">
                <w:pPr>
                  <w:spacing w:after="0" w:line="240" w:lineRule="auto"/>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Herramientas y accesorios</w:t>
                </w:r>
              </w:p>
            </w:tc>
            <w:tc>
              <w:tcPr>
                <w:tcW w:w="0" w:type="auto"/>
                <w:shd w:val="clear" w:color="auto" w:fill="auto"/>
                <w:noWrap/>
                <w:vAlign w:val="center"/>
                <w:hideMark/>
              </w:tcPr>
              <w:p w14:paraId="259BE4A6" w14:textId="77777777" w:rsidR="00672BB0" w:rsidRPr="00672BB0" w:rsidRDefault="00672BB0" w:rsidP="00672BB0">
                <w:pPr>
                  <w:spacing w:after="0" w:line="240" w:lineRule="auto"/>
                  <w:jc w:val="right"/>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7.386.405.790</w:t>
                </w:r>
              </w:p>
            </w:tc>
          </w:tr>
          <w:tr w:rsidR="00672BB0" w:rsidRPr="00672BB0" w14:paraId="14C11E16" w14:textId="77777777" w:rsidTr="00672BB0">
            <w:trPr>
              <w:trHeight w:val="315"/>
              <w:jc w:val="center"/>
            </w:trPr>
            <w:tc>
              <w:tcPr>
                <w:tcW w:w="0" w:type="auto"/>
                <w:shd w:val="clear" w:color="auto" w:fill="auto"/>
                <w:noWrap/>
                <w:vAlign w:val="center"/>
                <w:hideMark/>
              </w:tcPr>
              <w:p w14:paraId="47E423BD" w14:textId="77777777" w:rsidR="00672BB0" w:rsidRPr="00672BB0" w:rsidRDefault="00672BB0" w:rsidP="00672BB0">
                <w:pPr>
                  <w:spacing w:after="0" w:line="240" w:lineRule="auto"/>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Equipo para estaciones de bombeo</w:t>
                </w:r>
              </w:p>
            </w:tc>
            <w:tc>
              <w:tcPr>
                <w:tcW w:w="0" w:type="auto"/>
                <w:shd w:val="clear" w:color="auto" w:fill="auto"/>
                <w:noWrap/>
                <w:vAlign w:val="center"/>
                <w:hideMark/>
              </w:tcPr>
              <w:p w14:paraId="163BF20A" w14:textId="77777777" w:rsidR="00672BB0" w:rsidRPr="00672BB0" w:rsidRDefault="00672BB0" w:rsidP="00672BB0">
                <w:pPr>
                  <w:spacing w:after="0" w:line="240" w:lineRule="auto"/>
                  <w:jc w:val="right"/>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3.769.632.768</w:t>
                </w:r>
              </w:p>
            </w:tc>
          </w:tr>
          <w:tr w:rsidR="00672BB0" w:rsidRPr="00672BB0" w14:paraId="15A4BFC9" w14:textId="77777777" w:rsidTr="00672BB0">
            <w:trPr>
              <w:trHeight w:val="315"/>
              <w:jc w:val="center"/>
            </w:trPr>
            <w:tc>
              <w:tcPr>
                <w:tcW w:w="0" w:type="auto"/>
                <w:shd w:val="clear" w:color="auto" w:fill="auto"/>
                <w:noWrap/>
                <w:vAlign w:val="center"/>
                <w:hideMark/>
              </w:tcPr>
              <w:p w14:paraId="4FABEB29" w14:textId="77777777" w:rsidR="00672BB0" w:rsidRPr="00672BB0" w:rsidRDefault="00672BB0" w:rsidP="00672BB0">
                <w:pPr>
                  <w:spacing w:after="0" w:line="240" w:lineRule="auto"/>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Equipo de seguridad y rescate</w:t>
                </w:r>
              </w:p>
            </w:tc>
            <w:tc>
              <w:tcPr>
                <w:tcW w:w="0" w:type="auto"/>
                <w:shd w:val="clear" w:color="auto" w:fill="auto"/>
                <w:noWrap/>
                <w:vAlign w:val="center"/>
                <w:hideMark/>
              </w:tcPr>
              <w:p w14:paraId="11697471" w14:textId="77777777" w:rsidR="00672BB0" w:rsidRPr="00672BB0" w:rsidRDefault="00672BB0" w:rsidP="00672BB0">
                <w:pPr>
                  <w:spacing w:after="0" w:line="240" w:lineRule="auto"/>
                  <w:jc w:val="right"/>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1.794.618.776</w:t>
                </w:r>
              </w:p>
            </w:tc>
          </w:tr>
          <w:tr w:rsidR="00672BB0" w:rsidRPr="00672BB0" w14:paraId="49EF6210" w14:textId="77777777" w:rsidTr="00672BB0">
            <w:trPr>
              <w:trHeight w:val="315"/>
              <w:jc w:val="center"/>
            </w:trPr>
            <w:tc>
              <w:tcPr>
                <w:tcW w:w="0" w:type="auto"/>
                <w:shd w:val="clear" w:color="auto" w:fill="auto"/>
                <w:noWrap/>
                <w:vAlign w:val="center"/>
                <w:hideMark/>
              </w:tcPr>
              <w:p w14:paraId="6C5E465A" w14:textId="77777777" w:rsidR="00672BB0" w:rsidRPr="00672BB0" w:rsidRDefault="00672BB0" w:rsidP="00672BB0">
                <w:pPr>
                  <w:spacing w:after="0" w:line="240" w:lineRule="auto"/>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De tracción</w:t>
                </w:r>
              </w:p>
            </w:tc>
            <w:tc>
              <w:tcPr>
                <w:tcW w:w="0" w:type="auto"/>
                <w:shd w:val="clear" w:color="auto" w:fill="auto"/>
                <w:noWrap/>
                <w:vAlign w:val="center"/>
                <w:hideMark/>
              </w:tcPr>
              <w:p w14:paraId="77BDDDB5" w14:textId="77777777" w:rsidR="00672BB0" w:rsidRPr="00672BB0" w:rsidRDefault="00672BB0" w:rsidP="00672BB0">
                <w:pPr>
                  <w:spacing w:after="0" w:line="240" w:lineRule="auto"/>
                  <w:jc w:val="right"/>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312.261.797</w:t>
                </w:r>
              </w:p>
            </w:tc>
          </w:tr>
          <w:tr w:rsidR="00672BB0" w:rsidRPr="00672BB0" w14:paraId="0EA247C6" w14:textId="77777777" w:rsidTr="00672BB0">
            <w:trPr>
              <w:trHeight w:val="315"/>
              <w:jc w:val="center"/>
            </w:trPr>
            <w:tc>
              <w:tcPr>
                <w:tcW w:w="0" w:type="auto"/>
                <w:shd w:val="clear" w:color="auto" w:fill="auto"/>
                <w:noWrap/>
                <w:vAlign w:val="center"/>
                <w:hideMark/>
              </w:tcPr>
              <w:p w14:paraId="7F91DCA5" w14:textId="77777777" w:rsidR="00672BB0" w:rsidRPr="00672BB0" w:rsidRDefault="00672BB0" w:rsidP="00672BB0">
                <w:pPr>
                  <w:spacing w:after="0" w:line="240" w:lineRule="auto"/>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Equipo de ayuda audiovisual</w:t>
                </w:r>
              </w:p>
            </w:tc>
            <w:tc>
              <w:tcPr>
                <w:tcW w:w="0" w:type="auto"/>
                <w:shd w:val="clear" w:color="auto" w:fill="auto"/>
                <w:noWrap/>
                <w:vAlign w:val="center"/>
                <w:hideMark/>
              </w:tcPr>
              <w:p w14:paraId="19CAA82B" w14:textId="77777777" w:rsidR="00672BB0" w:rsidRPr="00672BB0" w:rsidRDefault="00672BB0" w:rsidP="00672BB0">
                <w:pPr>
                  <w:spacing w:after="0" w:line="240" w:lineRule="auto"/>
                  <w:jc w:val="right"/>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208.974.855</w:t>
                </w:r>
              </w:p>
            </w:tc>
          </w:tr>
          <w:tr w:rsidR="00672BB0" w:rsidRPr="00672BB0" w14:paraId="404E2D47" w14:textId="77777777" w:rsidTr="00672BB0">
            <w:trPr>
              <w:trHeight w:val="315"/>
              <w:jc w:val="center"/>
            </w:trPr>
            <w:tc>
              <w:tcPr>
                <w:tcW w:w="0" w:type="auto"/>
                <w:shd w:val="clear" w:color="auto" w:fill="auto"/>
                <w:noWrap/>
                <w:vAlign w:val="center"/>
                <w:hideMark/>
              </w:tcPr>
              <w:p w14:paraId="02A83BB8" w14:textId="77777777" w:rsidR="00672BB0" w:rsidRPr="00672BB0" w:rsidRDefault="00672BB0" w:rsidP="00672BB0">
                <w:pPr>
                  <w:spacing w:after="0" w:line="240" w:lineRule="auto"/>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Equipo de computación</w:t>
                </w:r>
              </w:p>
            </w:tc>
            <w:tc>
              <w:tcPr>
                <w:tcW w:w="0" w:type="auto"/>
                <w:shd w:val="clear" w:color="auto" w:fill="auto"/>
                <w:noWrap/>
                <w:vAlign w:val="center"/>
                <w:hideMark/>
              </w:tcPr>
              <w:p w14:paraId="0B07AB95" w14:textId="77777777" w:rsidR="00672BB0" w:rsidRPr="00672BB0" w:rsidRDefault="00672BB0" w:rsidP="00672BB0">
                <w:pPr>
                  <w:spacing w:after="0" w:line="240" w:lineRule="auto"/>
                  <w:jc w:val="right"/>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80.324.900</w:t>
                </w:r>
              </w:p>
            </w:tc>
          </w:tr>
          <w:tr w:rsidR="00672BB0" w:rsidRPr="00672BB0" w14:paraId="11CD11EC" w14:textId="77777777" w:rsidTr="00672BB0">
            <w:trPr>
              <w:trHeight w:val="315"/>
              <w:jc w:val="center"/>
            </w:trPr>
            <w:tc>
              <w:tcPr>
                <w:tcW w:w="0" w:type="auto"/>
                <w:shd w:val="clear" w:color="auto" w:fill="auto"/>
                <w:noWrap/>
                <w:vAlign w:val="center"/>
                <w:hideMark/>
              </w:tcPr>
              <w:p w14:paraId="122BC578" w14:textId="77777777" w:rsidR="00672BB0" w:rsidRPr="00672BB0" w:rsidRDefault="00672BB0" w:rsidP="00672BB0">
                <w:pPr>
                  <w:spacing w:after="0" w:line="240" w:lineRule="auto"/>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Otros muebles, enseres y equipo de oficina</w:t>
                </w:r>
              </w:p>
            </w:tc>
            <w:tc>
              <w:tcPr>
                <w:tcW w:w="0" w:type="auto"/>
                <w:shd w:val="clear" w:color="auto" w:fill="auto"/>
                <w:noWrap/>
                <w:vAlign w:val="center"/>
                <w:hideMark/>
              </w:tcPr>
              <w:p w14:paraId="34433821" w14:textId="77777777" w:rsidR="00672BB0" w:rsidRPr="00672BB0" w:rsidRDefault="00672BB0" w:rsidP="00672BB0">
                <w:pPr>
                  <w:spacing w:after="0" w:line="240" w:lineRule="auto"/>
                  <w:jc w:val="right"/>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15.714.253</w:t>
                </w:r>
              </w:p>
            </w:tc>
          </w:tr>
          <w:tr w:rsidR="00672BB0" w:rsidRPr="00672BB0" w14:paraId="56A9AE48" w14:textId="77777777" w:rsidTr="00672BB0">
            <w:trPr>
              <w:trHeight w:val="315"/>
              <w:jc w:val="center"/>
            </w:trPr>
            <w:tc>
              <w:tcPr>
                <w:tcW w:w="0" w:type="auto"/>
                <w:shd w:val="clear" w:color="auto" w:fill="auto"/>
                <w:noWrap/>
                <w:vAlign w:val="center"/>
                <w:hideMark/>
              </w:tcPr>
              <w:p w14:paraId="03354C9A" w14:textId="77777777" w:rsidR="00672BB0" w:rsidRPr="00672BB0" w:rsidRDefault="00672BB0" w:rsidP="00672BB0">
                <w:pPr>
                  <w:spacing w:after="0" w:line="240" w:lineRule="auto"/>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Equipo y máquina de oficina</w:t>
                </w:r>
              </w:p>
            </w:tc>
            <w:tc>
              <w:tcPr>
                <w:tcW w:w="0" w:type="auto"/>
                <w:shd w:val="clear" w:color="auto" w:fill="auto"/>
                <w:noWrap/>
                <w:vAlign w:val="center"/>
                <w:hideMark/>
              </w:tcPr>
              <w:p w14:paraId="2EC85676" w14:textId="77777777" w:rsidR="00672BB0" w:rsidRPr="00672BB0" w:rsidRDefault="00672BB0" w:rsidP="00672BB0">
                <w:pPr>
                  <w:spacing w:after="0" w:line="240" w:lineRule="auto"/>
                  <w:jc w:val="right"/>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5.770.747</w:t>
                </w:r>
              </w:p>
            </w:tc>
          </w:tr>
          <w:tr w:rsidR="00672BB0" w:rsidRPr="00672BB0" w14:paraId="792D5F77" w14:textId="77777777" w:rsidTr="00672BB0">
            <w:trPr>
              <w:trHeight w:val="315"/>
              <w:jc w:val="center"/>
            </w:trPr>
            <w:tc>
              <w:tcPr>
                <w:tcW w:w="0" w:type="auto"/>
                <w:shd w:val="clear" w:color="auto" w:fill="auto"/>
                <w:noWrap/>
                <w:vAlign w:val="center"/>
                <w:hideMark/>
              </w:tcPr>
              <w:p w14:paraId="468FE097" w14:textId="77777777" w:rsidR="00672BB0" w:rsidRPr="00672BB0" w:rsidRDefault="00672BB0" w:rsidP="00672BB0">
                <w:pPr>
                  <w:spacing w:after="0" w:line="240" w:lineRule="auto"/>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Muebles y enseres</w:t>
                </w:r>
              </w:p>
            </w:tc>
            <w:tc>
              <w:tcPr>
                <w:tcW w:w="0" w:type="auto"/>
                <w:shd w:val="clear" w:color="auto" w:fill="auto"/>
                <w:noWrap/>
                <w:vAlign w:val="center"/>
                <w:hideMark/>
              </w:tcPr>
              <w:p w14:paraId="18A7D1EE" w14:textId="77777777" w:rsidR="00672BB0" w:rsidRPr="00672BB0" w:rsidRDefault="00672BB0" w:rsidP="00672BB0">
                <w:pPr>
                  <w:spacing w:after="0" w:line="240" w:lineRule="auto"/>
                  <w:jc w:val="right"/>
                  <w:rPr>
                    <w:rFonts w:ascii="Times New Roman" w:eastAsia="Times New Roman" w:hAnsi="Times New Roman"/>
                    <w:color w:val="000000"/>
                    <w:sz w:val="18"/>
                    <w:szCs w:val="18"/>
                    <w:lang w:eastAsia="es-CO"/>
                  </w:rPr>
                </w:pPr>
                <w:r w:rsidRPr="00672BB0">
                  <w:rPr>
                    <w:rFonts w:ascii="Times New Roman" w:eastAsia="Times New Roman" w:hAnsi="Times New Roman"/>
                    <w:color w:val="000000"/>
                    <w:sz w:val="18"/>
                    <w:szCs w:val="18"/>
                    <w:lang w:eastAsia="es-CO"/>
                  </w:rPr>
                  <w:t>2.999.800</w:t>
                </w:r>
              </w:p>
            </w:tc>
          </w:tr>
          <w:tr w:rsidR="00672BB0" w:rsidRPr="00672BB0" w14:paraId="221909D9" w14:textId="77777777" w:rsidTr="00672BB0">
            <w:trPr>
              <w:trHeight w:val="315"/>
              <w:jc w:val="center"/>
            </w:trPr>
            <w:tc>
              <w:tcPr>
                <w:tcW w:w="0" w:type="auto"/>
                <w:shd w:val="clear" w:color="auto" w:fill="auto"/>
                <w:noWrap/>
                <w:vAlign w:val="center"/>
                <w:hideMark/>
              </w:tcPr>
              <w:p w14:paraId="5CB4476C" w14:textId="77777777" w:rsidR="00672BB0" w:rsidRPr="00672BB0" w:rsidRDefault="00672BB0" w:rsidP="00672BB0">
                <w:pPr>
                  <w:spacing w:after="0" w:line="240" w:lineRule="auto"/>
                  <w:rPr>
                    <w:rFonts w:ascii="Times New Roman" w:eastAsia="Times New Roman" w:hAnsi="Times New Roman"/>
                    <w:b/>
                    <w:bCs/>
                    <w:color w:val="000000"/>
                    <w:sz w:val="18"/>
                    <w:szCs w:val="18"/>
                    <w:lang w:eastAsia="es-CO"/>
                  </w:rPr>
                </w:pPr>
                <w:r w:rsidRPr="00672BB0">
                  <w:rPr>
                    <w:rFonts w:ascii="Times New Roman" w:eastAsia="Times New Roman" w:hAnsi="Times New Roman"/>
                    <w:b/>
                    <w:bCs/>
                    <w:color w:val="000000"/>
                    <w:sz w:val="18"/>
                    <w:szCs w:val="18"/>
                    <w:lang w:eastAsia="es-CO"/>
                  </w:rPr>
                  <w:t>Total</w:t>
                </w:r>
              </w:p>
            </w:tc>
            <w:tc>
              <w:tcPr>
                <w:tcW w:w="0" w:type="auto"/>
                <w:shd w:val="clear" w:color="auto" w:fill="auto"/>
                <w:noWrap/>
                <w:vAlign w:val="center"/>
                <w:hideMark/>
              </w:tcPr>
              <w:p w14:paraId="0B24E95B" w14:textId="77777777" w:rsidR="00672BB0" w:rsidRPr="00672BB0" w:rsidRDefault="00672BB0" w:rsidP="00672BB0">
                <w:pPr>
                  <w:spacing w:after="0" w:line="240" w:lineRule="auto"/>
                  <w:jc w:val="right"/>
                  <w:rPr>
                    <w:rFonts w:ascii="Times New Roman" w:eastAsia="Times New Roman" w:hAnsi="Times New Roman"/>
                    <w:b/>
                    <w:bCs/>
                    <w:color w:val="000000"/>
                    <w:sz w:val="18"/>
                    <w:szCs w:val="18"/>
                    <w:lang w:eastAsia="es-CO"/>
                  </w:rPr>
                </w:pPr>
                <w:r w:rsidRPr="00672BB0">
                  <w:rPr>
                    <w:rFonts w:ascii="Times New Roman" w:eastAsia="Times New Roman" w:hAnsi="Times New Roman"/>
                    <w:b/>
                    <w:bCs/>
                    <w:color w:val="000000"/>
                    <w:sz w:val="18"/>
                    <w:szCs w:val="18"/>
                    <w:lang w:eastAsia="es-CO"/>
                  </w:rPr>
                  <w:t>2.317.647.316.414</w:t>
                </w:r>
              </w:p>
            </w:tc>
          </w:tr>
        </w:tbl>
        <w:p w14:paraId="0DE662E0" w14:textId="798658E7" w:rsidR="00D672D4" w:rsidRPr="00931DCE" w:rsidRDefault="003362D0" w:rsidP="002B1C39">
          <w:pPr>
            <w:spacing w:after="0" w:line="257" w:lineRule="auto"/>
            <w:ind w:left="2124"/>
            <w:jc w:val="both"/>
            <w:rPr>
              <w:rFonts w:ascii="Times New Roman" w:hAnsi="Times New Roman"/>
              <w:sz w:val="14"/>
              <w:szCs w:val="14"/>
            </w:rPr>
          </w:pPr>
          <w:r w:rsidRPr="002B1C39">
            <w:rPr>
              <w:rFonts w:ascii="Times New Roman" w:hAnsi="Times New Roman"/>
              <w:sz w:val="14"/>
              <w:szCs w:val="14"/>
            </w:rPr>
            <w:t>Cifras en miles de pesos</w:t>
          </w:r>
        </w:p>
        <w:p w14:paraId="02228AE2" w14:textId="77777777" w:rsidR="00E5524F" w:rsidRPr="00931DCE" w:rsidRDefault="00E5524F" w:rsidP="00E5524F">
          <w:pPr>
            <w:spacing w:after="0" w:line="257" w:lineRule="auto"/>
            <w:jc w:val="both"/>
            <w:rPr>
              <w:rFonts w:ascii="Times New Roman" w:hAnsi="Times New Roman"/>
              <w:sz w:val="24"/>
              <w:szCs w:val="24"/>
            </w:rPr>
          </w:pPr>
        </w:p>
        <w:p w14:paraId="32D93C8F" w14:textId="532AE667" w:rsidR="00763E2B" w:rsidRPr="002E6791" w:rsidRDefault="002E6791" w:rsidP="00763E2B">
          <w:pPr>
            <w:spacing w:after="0" w:line="240" w:lineRule="auto"/>
            <w:jc w:val="both"/>
            <w:rPr>
              <w:rFonts w:ascii="Times New Roman" w:hAnsi="Times New Roman"/>
              <w:bCs/>
              <w:sz w:val="24"/>
              <w:szCs w:val="24"/>
            </w:rPr>
          </w:pPr>
          <w:r w:rsidRPr="002E6791">
            <w:rPr>
              <w:rFonts w:ascii="Times New Roman" w:hAnsi="Times New Roman"/>
              <w:bCs/>
              <w:sz w:val="24"/>
              <w:szCs w:val="24"/>
            </w:rPr>
            <w:t>A</w:t>
          </w:r>
          <w:r w:rsidR="00763E2B" w:rsidRPr="002E6791">
            <w:rPr>
              <w:rFonts w:ascii="Times New Roman" w:hAnsi="Times New Roman"/>
              <w:bCs/>
              <w:sz w:val="24"/>
              <w:szCs w:val="24"/>
            </w:rPr>
            <w:t xml:space="preserve">dicionalmente </w:t>
          </w:r>
          <w:r w:rsidRPr="002E6791">
            <w:rPr>
              <w:rFonts w:ascii="Times New Roman" w:hAnsi="Times New Roman"/>
              <w:bCs/>
              <w:sz w:val="24"/>
              <w:szCs w:val="24"/>
            </w:rPr>
            <w:t>refleja</w:t>
          </w:r>
          <w:r w:rsidR="00763E2B" w:rsidRPr="002E6791">
            <w:rPr>
              <w:rFonts w:ascii="Times New Roman" w:hAnsi="Times New Roman"/>
              <w:bCs/>
              <w:sz w:val="24"/>
              <w:szCs w:val="24"/>
            </w:rPr>
            <w:t xml:space="preserve"> el registro contable de reversión del proyecto Rio Córdoba a la </w:t>
          </w:r>
          <w:r w:rsidRPr="002E6791">
            <w:rPr>
              <w:rFonts w:ascii="Times New Roman" w:hAnsi="Times New Roman"/>
              <w:bCs/>
              <w:sz w:val="24"/>
              <w:szCs w:val="24"/>
            </w:rPr>
            <w:t>entidad</w:t>
          </w:r>
          <w:r w:rsidR="00763E2B" w:rsidRPr="002E6791">
            <w:rPr>
              <w:rFonts w:ascii="Times New Roman" w:hAnsi="Times New Roman"/>
              <w:bCs/>
              <w:sz w:val="24"/>
              <w:szCs w:val="24"/>
            </w:rPr>
            <w:t xml:space="preserve"> titular</w:t>
          </w:r>
          <w:r w:rsidRPr="002E6791">
            <w:rPr>
              <w:rFonts w:ascii="Times New Roman" w:hAnsi="Times New Roman"/>
              <w:bCs/>
              <w:sz w:val="24"/>
              <w:szCs w:val="24"/>
            </w:rPr>
            <w:t xml:space="preserve">. </w:t>
          </w:r>
          <w:r w:rsidR="00763E2B" w:rsidRPr="002E6791">
            <w:rPr>
              <w:rFonts w:ascii="Times New Roman" w:hAnsi="Times New Roman"/>
              <w:bCs/>
              <w:sz w:val="24"/>
              <w:szCs w:val="24"/>
            </w:rPr>
            <w:t xml:space="preserve"> Contrato de Concesión Portuaria No 022 de 1998 Sociedad Portuaria Rio </w:t>
          </w:r>
          <w:r w:rsidRPr="002E6791">
            <w:rPr>
              <w:rFonts w:ascii="Times New Roman" w:hAnsi="Times New Roman"/>
              <w:bCs/>
              <w:sz w:val="24"/>
              <w:szCs w:val="24"/>
            </w:rPr>
            <w:t>Córdoba</w:t>
          </w:r>
          <w:r>
            <w:rPr>
              <w:rFonts w:ascii="Times New Roman" w:hAnsi="Times New Roman"/>
              <w:bCs/>
              <w:sz w:val="24"/>
              <w:szCs w:val="24"/>
            </w:rPr>
            <w:t xml:space="preserve"> y, la incorporación de los saldos contables </w:t>
          </w:r>
          <w:r w:rsidR="00B7159A">
            <w:rPr>
              <w:rFonts w:ascii="Times New Roman" w:hAnsi="Times New Roman"/>
              <w:bCs/>
              <w:sz w:val="24"/>
              <w:szCs w:val="24"/>
            </w:rPr>
            <w:t>iniciales</w:t>
          </w:r>
          <w:r>
            <w:rPr>
              <w:rFonts w:ascii="Times New Roman" w:hAnsi="Times New Roman"/>
              <w:bCs/>
              <w:sz w:val="24"/>
              <w:szCs w:val="24"/>
            </w:rPr>
            <w:t>, de la</w:t>
          </w:r>
          <w:r w:rsidR="00B7159A">
            <w:rPr>
              <w:rFonts w:ascii="Times New Roman" w:hAnsi="Times New Roman"/>
              <w:bCs/>
              <w:sz w:val="24"/>
              <w:szCs w:val="24"/>
            </w:rPr>
            <w:t xml:space="preserve"> S</w:t>
          </w:r>
          <w:r w:rsidR="00B7159A" w:rsidRPr="00B7159A">
            <w:rPr>
              <w:rFonts w:ascii="Times New Roman" w:hAnsi="Times New Roman"/>
              <w:bCs/>
              <w:sz w:val="24"/>
              <w:szCs w:val="24"/>
            </w:rPr>
            <w:t>ociedad Portuaria Regional de Santa Marta S.A., de acuerdo con lo estipulado en el contrato de concesión No. 006 de del 24 de junio de 1993</w:t>
          </w:r>
          <w:r w:rsidR="00B7159A">
            <w:rPr>
              <w:rFonts w:ascii="Times New Roman" w:hAnsi="Times New Roman"/>
              <w:bCs/>
              <w:sz w:val="24"/>
              <w:szCs w:val="24"/>
            </w:rPr>
            <w:t xml:space="preserve"> y el a</w:t>
          </w:r>
          <w:r w:rsidR="00B7159A" w:rsidRPr="00B7159A">
            <w:rPr>
              <w:rFonts w:ascii="Times New Roman" w:hAnsi="Times New Roman"/>
              <w:bCs/>
              <w:sz w:val="24"/>
              <w:szCs w:val="24"/>
            </w:rPr>
            <w:t>cta No 005 de 30 de noviembre 2023 remitido por el INVIAS 2023S-VBOG-031367 22-12-2023.</w:t>
          </w:r>
        </w:p>
        <w:p w14:paraId="3989F18C" w14:textId="77777777" w:rsidR="00763E2B" w:rsidRDefault="00763E2B" w:rsidP="00763E2B">
          <w:pPr>
            <w:spacing w:after="0" w:line="240" w:lineRule="auto"/>
            <w:jc w:val="both"/>
            <w:rPr>
              <w:rFonts w:ascii="Times New Roman" w:hAnsi="Times New Roman"/>
              <w:b/>
              <w:sz w:val="24"/>
              <w:szCs w:val="24"/>
            </w:rPr>
          </w:pPr>
        </w:p>
        <w:p w14:paraId="3B409772" w14:textId="13274A5F" w:rsidR="005C17C2" w:rsidRPr="00931DCE" w:rsidRDefault="00C71CDF" w:rsidP="007F6F27">
          <w:pPr>
            <w:spacing w:after="0" w:line="257" w:lineRule="auto"/>
            <w:jc w:val="both"/>
            <w:rPr>
              <w:rFonts w:ascii="Times New Roman" w:hAnsi="Times New Roman"/>
              <w:b/>
              <w:bCs/>
              <w:sz w:val="24"/>
              <w:szCs w:val="24"/>
            </w:rPr>
          </w:pPr>
          <w:r w:rsidRPr="00931DCE">
            <w:rPr>
              <w:rFonts w:ascii="Times New Roman" w:hAnsi="Times New Roman"/>
              <w:sz w:val="24"/>
              <w:szCs w:val="24"/>
            </w:rPr>
            <w:t xml:space="preserve">En cuanto a los métodos de depreciación y las vidas útiles asignadas a los activos reconocidos en el modo portuario, </w:t>
          </w:r>
          <w:r w:rsidR="005C17C2" w:rsidRPr="00931DCE">
            <w:rPr>
              <w:rFonts w:ascii="Times New Roman" w:hAnsi="Times New Roman"/>
              <w:sz w:val="24"/>
              <w:szCs w:val="24"/>
            </w:rPr>
            <w:t>se continua con el análisis y gestiones para la determinación estas, dadas las características propias en la ejecución de los acuerdos de concesión y en cumplimiento al plazo otorgado a la por la Contaduría General de la Nación.</w:t>
          </w:r>
        </w:p>
        <w:p w14:paraId="11BA5174" w14:textId="77777777" w:rsidR="00710451" w:rsidRPr="00931DCE" w:rsidRDefault="00710451" w:rsidP="00C71CDF">
          <w:pPr>
            <w:spacing w:after="0" w:line="240" w:lineRule="auto"/>
            <w:jc w:val="both"/>
            <w:rPr>
              <w:rFonts w:ascii="Times New Roman" w:hAnsi="Times New Roman"/>
              <w:b/>
              <w:sz w:val="24"/>
              <w:szCs w:val="24"/>
            </w:rPr>
          </w:pPr>
        </w:p>
        <w:p w14:paraId="6D860E41" w14:textId="40E08EF7" w:rsidR="00A001B6" w:rsidRPr="00931DCE" w:rsidRDefault="00D672D4" w:rsidP="00A001B6">
          <w:pPr>
            <w:spacing w:after="0" w:line="240" w:lineRule="auto"/>
            <w:jc w:val="both"/>
            <w:rPr>
              <w:rFonts w:ascii="Times New Roman" w:hAnsi="Times New Roman"/>
              <w:bCs/>
              <w:sz w:val="24"/>
              <w:szCs w:val="24"/>
            </w:rPr>
          </w:pPr>
          <w:r w:rsidRPr="00931DCE">
            <w:rPr>
              <w:rFonts w:ascii="Times New Roman" w:hAnsi="Times New Roman"/>
              <w:b/>
              <w:sz w:val="24"/>
              <w:szCs w:val="24"/>
            </w:rPr>
            <w:t>Modo Aeroportuario</w:t>
          </w:r>
          <w:r w:rsidR="00710451" w:rsidRPr="00931DCE">
            <w:rPr>
              <w:rFonts w:ascii="Times New Roman" w:hAnsi="Times New Roman"/>
              <w:b/>
              <w:sz w:val="24"/>
              <w:szCs w:val="24"/>
            </w:rPr>
            <w:t xml:space="preserve">: </w:t>
          </w:r>
          <w:r w:rsidR="00A001B6" w:rsidRPr="00931DCE">
            <w:rPr>
              <w:rFonts w:ascii="Times New Roman" w:hAnsi="Times New Roman"/>
              <w:bCs/>
              <w:sz w:val="24"/>
              <w:szCs w:val="24"/>
            </w:rPr>
            <w:t>respecto a las inversiones realizadas por este modo</w:t>
          </w:r>
          <w:r w:rsidR="009D18AB" w:rsidRPr="00931DCE">
            <w:rPr>
              <w:rFonts w:ascii="Times New Roman" w:hAnsi="Times New Roman"/>
              <w:bCs/>
              <w:sz w:val="24"/>
              <w:szCs w:val="24"/>
            </w:rPr>
            <w:t>,</w:t>
          </w:r>
          <w:r w:rsidR="00A001B6" w:rsidRPr="00931DCE">
            <w:rPr>
              <w:rFonts w:ascii="Times New Roman" w:hAnsi="Times New Roman"/>
              <w:bCs/>
              <w:sz w:val="24"/>
              <w:szCs w:val="24"/>
            </w:rPr>
            <w:t xml:space="preserve"> a partir del año 2020</w:t>
          </w:r>
          <w:r w:rsidR="009D18AB" w:rsidRPr="00931DCE">
            <w:rPr>
              <w:rFonts w:ascii="Times New Roman" w:hAnsi="Times New Roman"/>
              <w:bCs/>
              <w:sz w:val="24"/>
              <w:szCs w:val="24"/>
            </w:rPr>
            <w:t>,</w:t>
          </w:r>
          <w:r w:rsidR="00A001B6" w:rsidRPr="00931DCE">
            <w:rPr>
              <w:rFonts w:ascii="Times New Roman" w:hAnsi="Times New Roman"/>
              <w:bCs/>
              <w:sz w:val="24"/>
              <w:szCs w:val="24"/>
            </w:rPr>
            <w:t xml:space="preserve"> son registradas por la Aerocivil por ser la entidad concedente para fines contables, de acuerdo con lo conceptuado por la Contaduría General de la Nación – GGN radicado 20201000049391 del 14 de octubre de 2020. </w:t>
          </w:r>
        </w:p>
        <w:p w14:paraId="2223A64B" w14:textId="77777777" w:rsidR="00A001B6" w:rsidRPr="00931DCE" w:rsidRDefault="00A001B6" w:rsidP="00A001B6">
          <w:pPr>
            <w:spacing w:after="0" w:line="240" w:lineRule="auto"/>
            <w:jc w:val="both"/>
            <w:rPr>
              <w:rFonts w:ascii="Times New Roman" w:hAnsi="Times New Roman"/>
              <w:bCs/>
              <w:sz w:val="24"/>
              <w:szCs w:val="24"/>
            </w:rPr>
          </w:pPr>
        </w:p>
        <w:p w14:paraId="4ADDC31B" w14:textId="47CA94BF" w:rsidR="00A001B6" w:rsidRPr="00931DCE" w:rsidRDefault="00642C4D" w:rsidP="00A001B6">
          <w:pPr>
            <w:spacing w:after="0" w:line="240" w:lineRule="auto"/>
            <w:jc w:val="both"/>
            <w:rPr>
              <w:rFonts w:ascii="Times New Roman" w:hAnsi="Times New Roman"/>
              <w:bCs/>
              <w:sz w:val="24"/>
              <w:szCs w:val="24"/>
            </w:rPr>
          </w:pPr>
          <w:r w:rsidRPr="00931DCE">
            <w:rPr>
              <w:rFonts w:ascii="Times New Roman" w:hAnsi="Times New Roman"/>
              <w:bCs/>
              <w:sz w:val="24"/>
              <w:szCs w:val="24"/>
            </w:rPr>
            <w:t>L</w:t>
          </w:r>
          <w:r w:rsidR="00A001B6" w:rsidRPr="00931DCE">
            <w:rPr>
              <w:rFonts w:ascii="Times New Roman" w:hAnsi="Times New Roman"/>
              <w:bCs/>
              <w:sz w:val="24"/>
              <w:szCs w:val="24"/>
            </w:rPr>
            <w:t xml:space="preserve">a Agencia y la Aerocivil han trabajado de manera </w:t>
          </w:r>
          <w:r w:rsidR="009D18AB" w:rsidRPr="00931DCE">
            <w:rPr>
              <w:rFonts w:ascii="Times New Roman" w:hAnsi="Times New Roman"/>
              <w:bCs/>
              <w:sz w:val="24"/>
              <w:szCs w:val="24"/>
            </w:rPr>
            <w:t>simultáneamente</w:t>
          </w:r>
          <w:r w:rsidR="00A001B6" w:rsidRPr="00931DCE">
            <w:rPr>
              <w:rFonts w:ascii="Times New Roman" w:hAnsi="Times New Roman"/>
              <w:bCs/>
              <w:sz w:val="24"/>
              <w:szCs w:val="24"/>
            </w:rPr>
            <w:t xml:space="preserve"> para dar cumplimiento </w:t>
          </w:r>
          <w:r w:rsidR="00E72C7B" w:rsidRPr="00931DCE">
            <w:rPr>
              <w:rFonts w:ascii="Times New Roman" w:hAnsi="Times New Roman"/>
              <w:bCs/>
              <w:sz w:val="24"/>
              <w:szCs w:val="24"/>
            </w:rPr>
            <w:t>al</w:t>
          </w:r>
          <w:r w:rsidR="00A001B6" w:rsidRPr="00931DCE">
            <w:rPr>
              <w:rFonts w:ascii="Times New Roman" w:hAnsi="Times New Roman"/>
              <w:bCs/>
              <w:sz w:val="24"/>
              <w:szCs w:val="24"/>
            </w:rPr>
            <w:t xml:space="preserve"> plan de trabajo aprobado por la alta dirección para incorporar y desincorporar gradualmente los activos y pasivos, realizando una depuración a fin de evitar entre </w:t>
          </w:r>
          <w:r w:rsidR="00E72C7B" w:rsidRPr="00931DCE">
            <w:rPr>
              <w:rFonts w:ascii="Times New Roman" w:hAnsi="Times New Roman"/>
              <w:bCs/>
              <w:sz w:val="24"/>
              <w:szCs w:val="24"/>
            </w:rPr>
            <w:t>otras duplicidades</w:t>
          </w:r>
          <w:r w:rsidR="00A001B6" w:rsidRPr="00931DCE">
            <w:rPr>
              <w:rFonts w:ascii="Times New Roman" w:hAnsi="Times New Roman"/>
              <w:bCs/>
              <w:sz w:val="24"/>
              <w:szCs w:val="24"/>
            </w:rPr>
            <w:t xml:space="preserve"> en la información.</w:t>
          </w:r>
        </w:p>
        <w:p w14:paraId="78178CDE" w14:textId="77777777" w:rsidR="001259FC" w:rsidRPr="00931DCE" w:rsidRDefault="001259FC" w:rsidP="001259FC">
          <w:pPr>
            <w:spacing w:after="0" w:line="240" w:lineRule="auto"/>
            <w:jc w:val="both"/>
            <w:rPr>
              <w:rFonts w:ascii="Times New Roman" w:hAnsi="Times New Roman"/>
              <w:bCs/>
              <w:sz w:val="24"/>
              <w:szCs w:val="24"/>
            </w:rPr>
          </w:pPr>
        </w:p>
        <w:p w14:paraId="06D10ED6" w14:textId="3427A8ED" w:rsidR="00A001B6" w:rsidRPr="00931DCE" w:rsidRDefault="00A001B6" w:rsidP="00D672D4">
          <w:pPr>
            <w:spacing w:after="0" w:line="240" w:lineRule="auto"/>
            <w:jc w:val="both"/>
            <w:rPr>
              <w:rFonts w:ascii="Times New Roman" w:hAnsi="Times New Roman"/>
              <w:bCs/>
              <w:sz w:val="24"/>
              <w:szCs w:val="24"/>
            </w:rPr>
          </w:pPr>
          <w:r w:rsidRPr="00931DCE">
            <w:rPr>
              <w:rFonts w:ascii="Times New Roman" w:hAnsi="Times New Roman"/>
              <w:bCs/>
              <w:sz w:val="24"/>
              <w:szCs w:val="24"/>
            </w:rPr>
            <w:lastRenderedPageBreak/>
            <w:t>A continuación, se detalla la propiedad, planta y equipo en concesión del modo aeroportuario, a 31 de diciembre de 202</w:t>
          </w:r>
          <w:r w:rsidR="00E964D0">
            <w:rPr>
              <w:rFonts w:ascii="Times New Roman" w:hAnsi="Times New Roman"/>
              <w:bCs/>
              <w:sz w:val="24"/>
              <w:szCs w:val="24"/>
            </w:rPr>
            <w:t>3</w:t>
          </w:r>
          <w:r w:rsidRPr="00931DCE">
            <w:rPr>
              <w:rFonts w:ascii="Times New Roman" w:hAnsi="Times New Roman"/>
              <w:bCs/>
              <w:sz w:val="24"/>
              <w:szCs w:val="24"/>
            </w:rPr>
            <w:t>:</w:t>
          </w:r>
        </w:p>
        <w:p w14:paraId="01F448BA" w14:textId="15F52574" w:rsidR="00E72C7B" w:rsidRDefault="00E72C7B" w:rsidP="00D672D4">
          <w:pPr>
            <w:spacing w:after="0" w:line="240" w:lineRule="auto"/>
            <w:jc w:val="both"/>
            <w:rPr>
              <w:rFonts w:ascii="Times New Roman" w:hAnsi="Times New Roman"/>
              <w:bCs/>
              <w:sz w:val="24"/>
              <w:szCs w:val="24"/>
            </w:rPr>
          </w:pPr>
        </w:p>
        <w:p w14:paraId="6B6CFCD9" w14:textId="77777777" w:rsidR="00C62D64" w:rsidRPr="00931DCE" w:rsidRDefault="00C62D64" w:rsidP="00D672D4">
          <w:pPr>
            <w:spacing w:after="0" w:line="240" w:lineRule="auto"/>
            <w:jc w:val="both"/>
            <w:rPr>
              <w:rFonts w:ascii="Times New Roman" w:hAnsi="Times New Roman"/>
              <w:bCs/>
              <w:sz w:val="24"/>
              <w:szCs w:val="24"/>
            </w:rPr>
          </w:pPr>
        </w:p>
        <w:tbl>
          <w:tblPr>
            <w:tblW w:w="6560" w:type="dxa"/>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CellMar>
              <w:left w:w="70" w:type="dxa"/>
              <w:right w:w="70" w:type="dxa"/>
            </w:tblCellMar>
            <w:tblLook w:val="04A0" w:firstRow="1" w:lastRow="0" w:firstColumn="1" w:lastColumn="0" w:noHBand="0" w:noVBand="1"/>
          </w:tblPr>
          <w:tblGrid>
            <w:gridCol w:w="5140"/>
            <w:gridCol w:w="1420"/>
          </w:tblGrid>
          <w:tr w:rsidR="009C1E17" w:rsidRPr="009C1E17" w14:paraId="4374487A" w14:textId="77777777" w:rsidTr="009C1E17">
            <w:trPr>
              <w:trHeight w:val="315"/>
              <w:jc w:val="center"/>
            </w:trPr>
            <w:tc>
              <w:tcPr>
                <w:tcW w:w="5140" w:type="dxa"/>
                <w:shd w:val="clear" w:color="auto" w:fill="auto"/>
                <w:noWrap/>
                <w:vAlign w:val="center"/>
                <w:hideMark/>
              </w:tcPr>
              <w:p w14:paraId="2C316B3F" w14:textId="77777777" w:rsidR="009C1E17" w:rsidRPr="009C1E17" w:rsidRDefault="009C1E17" w:rsidP="009C1E17">
                <w:pPr>
                  <w:spacing w:after="0" w:line="240" w:lineRule="auto"/>
                  <w:rPr>
                    <w:rFonts w:ascii="Times New Roman" w:eastAsia="Times New Roman" w:hAnsi="Times New Roman"/>
                    <w:b/>
                    <w:bCs/>
                    <w:color w:val="000000"/>
                    <w:sz w:val="18"/>
                    <w:szCs w:val="18"/>
                    <w:lang w:eastAsia="es-CO"/>
                  </w:rPr>
                </w:pPr>
                <w:r w:rsidRPr="009C1E17">
                  <w:rPr>
                    <w:rFonts w:ascii="Times New Roman" w:eastAsia="Times New Roman" w:hAnsi="Times New Roman"/>
                    <w:b/>
                    <w:bCs/>
                    <w:color w:val="000000"/>
                    <w:sz w:val="18"/>
                    <w:szCs w:val="18"/>
                    <w:lang w:eastAsia="es-CO"/>
                  </w:rPr>
                  <w:t xml:space="preserve">DESCRIPCIÓN </w:t>
                </w:r>
              </w:p>
            </w:tc>
            <w:tc>
              <w:tcPr>
                <w:tcW w:w="1420" w:type="dxa"/>
                <w:shd w:val="clear" w:color="auto" w:fill="auto"/>
                <w:noWrap/>
                <w:vAlign w:val="center"/>
                <w:hideMark/>
              </w:tcPr>
              <w:p w14:paraId="7EEC1F28" w14:textId="77777777" w:rsidR="009C1E17" w:rsidRPr="009C1E17" w:rsidRDefault="009C1E17" w:rsidP="009C1E17">
                <w:pPr>
                  <w:spacing w:after="0" w:line="240" w:lineRule="auto"/>
                  <w:jc w:val="right"/>
                  <w:rPr>
                    <w:rFonts w:ascii="Times New Roman" w:eastAsia="Times New Roman" w:hAnsi="Times New Roman"/>
                    <w:b/>
                    <w:bCs/>
                    <w:color w:val="000000"/>
                    <w:sz w:val="18"/>
                    <w:szCs w:val="18"/>
                    <w:lang w:eastAsia="es-CO"/>
                  </w:rPr>
                </w:pPr>
                <w:r w:rsidRPr="009C1E17">
                  <w:rPr>
                    <w:rFonts w:ascii="Times New Roman" w:eastAsia="Times New Roman" w:hAnsi="Times New Roman"/>
                    <w:b/>
                    <w:bCs/>
                    <w:color w:val="000000"/>
                    <w:sz w:val="18"/>
                    <w:szCs w:val="18"/>
                    <w:lang w:eastAsia="es-CO"/>
                  </w:rPr>
                  <w:t>VALOR</w:t>
                </w:r>
              </w:p>
            </w:tc>
          </w:tr>
          <w:tr w:rsidR="009C1E17" w:rsidRPr="009C1E17" w14:paraId="0FDC006A" w14:textId="77777777" w:rsidTr="009C1E17">
            <w:trPr>
              <w:trHeight w:val="315"/>
              <w:jc w:val="center"/>
            </w:trPr>
            <w:tc>
              <w:tcPr>
                <w:tcW w:w="5140" w:type="dxa"/>
                <w:shd w:val="clear" w:color="auto" w:fill="auto"/>
                <w:noWrap/>
                <w:vAlign w:val="center"/>
                <w:hideMark/>
              </w:tcPr>
              <w:p w14:paraId="5F0D4F67" w14:textId="77777777" w:rsidR="009C1E17" w:rsidRPr="009C1E17" w:rsidRDefault="009C1E17" w:rsidP="009C1E17">
                <w:pPr>
                  <w:spacing w:after="0" w:line="240" w:lineRule="auto"/>
                  <w:rPr>
                    <w:rFonts w:ascii="Times New Roman" w:eastAsia="Times New Roman" w:hAnsi="Times New Roman"/>
                    <w:color w:val="000000"/>
                    <w:sz w:val="18"/>
                    <w:szCs w:val="18"/>
                    <w:lang w:eastAsia="es-CO"/>
                  </w:rPr>
                </w:pPr>
                <w:r w:rsidRPr="009C1E17">
                  <w:rPr>
                    <w:rFonts w:ascii="Times New Roman" w:eastAsia="Times New Roman" w:hAnsi="Times New Roman"/>
                    <w:color w:val="000000"/>
                    <w:sz w:val="18"/>
                    <w:szCs w:val="18"/>
                    <w:lang w:eastAsia="es-CO"/>
                  </w:rPr>
                  <w:t>Maquinaria y equipo de propiedad de terceros</w:t>
                </w:r>
              </w:p>
            </w:tc>
            <w:tc>
              <w:tcPr>
                <w:tcW w:w="1420" w:type="dxa"/>
                <w:shd w:val="clear" w:color="auto" w:fill="auto"/>
                <w:noWrap/>
                <w:vAlign w:val="center"/>
                <w:hideMark/>
              </w:tcPr>
              <w:p w14:paraId="1CAC0F84" w14:textId="77777777" w:rsidR="009C1E17" w:rsidRPr="009C1E17" w:rsidRDefault="009C1E17" w:rsidP="009C1E17">
                <w:pPr>
                  <w:spacing w:after="0" w:line="240" w:lineRule="auto"/>
                  <w:jc w:val="right"/>
                  <w:rPr>
                    <w:rFonts w:ascii="Times New Roman" w:eastAsia="Times New Roman" w:hAnsi="Times New Roman"/>
                    <w:color w:val="000000"/>
                    <w:sz w:val="18"/>
                    <w:szCs w:val="18"/>
                    <w:lang w:eastAsia="es-CO"/>
                  </w:rPr>
                </w:pPr>
                <w:r w:rsidRPr="009C1E17">
                  <w:rPr>
                    <w:rFonts w:ascii="Times New Roman" w:eastAsia="Times New Roman" w:hAnsi="Times New Roman"/>
                    <w:color w:val="000000"/>
                    <w:sz w:val="18"/>
                    <w:szCs w:val="18"/>
                    <w:lang w:eastAsia="es-CO"/>
                  </w:rPr>
                  <w:t xml:space="preserve"> 179,996,099,704 </w:t>
                </w:r>
              </w:p>
            </w:tc>
          </w:tr>
          <w:tr w:rsidR="009C1E17" w:rsidRPr="009C1E17" w14:paraId="3BF4046A" w14:textId="77777777" w:rsidTr="009C1E17">
            <w:trPr>
              <w:trHeight w:val="315"/>
              <w:jc w:val="center"/>
            </w:trPr>
            <w:tc>
              <w:tcPr>
                <w:tcW w:w="5140" w:type="dxa"/>
                <w:shd w:val="clear" w:color="auto" w:fill="auto"/>
                <w:noWrap/>
                <w:vAlign w:val="center"/>
                <w:hideMark/>
              </w:tcPr>
              <w:p w14:paraId="0608A499" w14:textId="77777777" w:rsidR="009C1E17" w:rsidRPr="009C1E17" w:rsidRDefault="009C1E17" w:rsidP="009C1E17">
                <w:pPr>
                  <w:spacing w:after="0" w:line="240" w:lineRule="auto"/>
                  <w:rPr>
                    <w:rFonts w:ascii="Times New Roman" w:eastAsia="Times New Roman" w:hAnsi="Times New Roman"/>
                    <w:color w:val="000000"/>
                    <w:sz w:val="18"/>
                    <w:szCs w:val="18"/>
                    <w:lang w:eastAsia="es-CO"/>
                  </w:rPr>
                </w:pPr>
                <w:r w:rsidRPr="009C1E17">
                  <w:rPr>
                    <w:rFonts w:ascii="Times New Roman" w:eastAsia="Times New Roman" w:hAnsi="Times New Roman"/>
                    <w:color w:val="000000"/>
                    <w:sz w:val="18"/>
                    <w:szCs w:val="18"/>
                    <w:lang w:eastAsia="es-CO"/>
                  </w:rPr>
                  <w:t>Equipos de comunicación y computación de propiedad de terceros</w:t>
                </w:r>
              </w:p>
            </w:tc>
            <w:tc>
              <w:tcPr>
                <w:tcW w:w="1420" w:type="dxa"/>
                <w:shd w:val="clear" w:color="auto" w:fill="auto"/>
                <w:noWrap/>
                <w:vAlign w:val="center"/>
                <w:hideMark/>
              </w:tcPr>
              <w:p w14:paraId="149F3D01" w14:textId="77777777" w:rsidR="009C1E17" w:rsidRPr="009C1E17" w:rsidRDefault="009C1E17" w:rsidP="009C1E17">
                <w:pPr>
                  <w:spacing w:after="0" w:line="240" w:lineRule="auto"/>
                  <w:jc w:val="right"/>
                  <w:rPr>
                    <w:rFonts w:ascii="Times New Roman" w:eastAsia="Times New Roman" w:hAnsi="Times New Roman"/>
                    <w:color w:val="000000"/>
                    <w:sz w:val="18"/>
                    <w:szCs w:val="18"/>
                    <w:lang w:eastAsia="es-CO"/>
                  </w:rPr>
                </w:pPr>
                <w:r w:rsidRPr="009C1E17">
                  <w:rPr>
                    <w:rFonts w:ascii="Times New Roman" w:eastAsia="Times New Roman" w:hAnsi="Times New Roman"/>
                    <w:color w:val="000000"/>
                    <w:sz w:val="18"/>
                    <w:szCs w:val="18"/>
                    <w:lang w:eastAsia="es-CO"/>
                  </w:rPr>
                  <w:t xml:space="preserve">   44,165,978,144 </w:t>
                </w:r>
              </w:p>
            </w:tc>
          </w:tr>
          <w:tr w:rsidR="009C1E17" w:rsidRPr="009C1E17" w14:paraId="54A0D60E" w14:textId="77777777" w:rsidTr="009C1E17">
            <w:trPr>
              <w:trHeight w:val="315"/>
              <w:jc w:val="center"/>
            </w:trPr>
            <w:tc>
              <w:tcPr>
                <w:tcW w:w="5140" w:type="dxa"/>
                <w:shd w:val="clear" w:color="auto" w:fill="auto"/>
                <w:noWrap/>
                <w:vAlign w:val="center"/>
                <w:hideMark/>
              </w:tcPr>
              <w:p w14:paraId="1B5A2110" w14:textId="77777777" w:rsidR="009C1E17" w:rsidRPr="009C1E17" w:rsidRDefault="009C1E17" w:rsidP="009C1E17">
                <w:pPr>
                  <w:spacing w:after="0" w:line="240" w:lineRule="auto"/>
                  <w:rPr>
                    <w:rFonts w:ascii="Times New Roman" w:eastAsia="Times New Roman" w:hAnsi="Times New Roman"/>
                    <w:color w:val="000000"/>
                    <w:sz w:val="18"/>
                    <w:szCs w:val="18"/>
                    <w:lang w:eastAsia="es-CO"/>
                  </w:rPr>
                </w:pPr>
                <w:r w:rsidRPr="009C1E17">
                  <w:rPr>
                    <w:rFonts w:ascii="Times New Roman" w:eastAsia="Times New Roman" w:hAnsi="Times New Roman"/>
                    <w:color w:val="000000"/>
                    <w:sz w:val="18"/>
                    <w:szCs w:val="18"/>
                    <w:lang w:eastAsia="es-CO"/>
                  </w:rPr>
                  <w:t>Equipos de transporte, tracción y elevación de propiedad de terceros</w:t>
                </w:r>
              </w:p>
            </w:tc>
            <w:tc>
              <w:tcPr>
                <w:tcW w:w="1420" w:type="dxa"/>
                <w:shd w:val="clear" w:color="auto" w:fill="auto"/>
                <w:noWrap/>
                <w:vAlign w:val="center"/>
                <w:hideMark/>
              </w:tcPr>
              <w:p w14:paraId="6BB33262" w14:textId="77777777" w:rsidR="009C1E17" w:rsidRPr="009C1E17" w:rsidRDefault="009C1E17" w:rsidP="009C1E17">
                <w:pPr>
                  <w:spacing w:after="0" w:line="240" w:lineRule="auto"/>
                  <w:jc w:val="right"/>
                  <w:rPr>
                    <w:rFonts w:ascii="Times New Roman" w:eastAsia="Times New Roman" w:hAnsi="Times New Roman"/>
                    <w:color w:val="000000"/>
                    <w:sz w:val="18"/>
                    <w:szCs w:val="18"/>
                    <w:lang w:eastAsia="es-CO"/>
                  </w:rPr>
                </w:pPr>
                <w:r w:rsidRPr="009C1E17">
                  <w:rPr>
                    <w:rFonts w:ascii="Times New Roman" w:eastAsia="Times New Roman" w:hAnsi="Times New Roman"/>
                    <w:color w:val="000000"/>
                    <w:sz w:val="18"/>
                    <w:szCs w:val="18"/>
                    <w:lang w:eastAsia="es-CO"/>
                  </w:rPr>
                  <w:t xml:space="preserve">   31,270,268,591 </w:t>
                </w:r>
              </w:p>
            </w:tc>
          </w:tr>
          <w:tr w:rsidR="009C1E17" w:rsidRPr="009C1E17" w14:paraId="1DA32C61" w14:textId="77777777" w:rsidTr="009C1E17">
            <w:trPr>
              <w:trHeight w:val="315"/>
              <w:jc w:val="center"/>
            </w:trPr>
            <w:tc>
              <w:tcPr>
                <w:tcW w:w="5140" w:type="dxa"/>
                <w:shd w:val="clear" w:color="auto" w:fill="auto"/>
                <w:noWrap/>
                <w:vAlign w:val="center"/>
                <w:hideMark/>
              </w:tcPr>
              <w:p w14:paraId="3940CC0D" w14:textId="77777777" w:rsidR="009C1E17" w:rsidRPr="009C1E17" w:rsidRDefault="009C1E17" w:rsidP="009C1E17">
                <w:pPr>
                  <w:spacing w:after="0" w:line="240" w:lineRule="auto"/>
                  <w:rPr>
                    <w:rFonts w:ascii="Times New Roman" w:eastAsia="Times New Roman" w:hAnsi="Times New Roman"/>
                    <w:color w:val="000000"/>
                    <w:sz w:val="18"/>
                    <w:szCs w:val="18"/>
                    <w:lang w:eastAsia="es-CO"/>
                  </w:rPr>
                </w:pPr>
                <w:r w:rsidRPr="009C1E17">
                  <w:rPr>
                    <w:rFonts w:ascii="Times New Roman" w:eastAsia="Times New Roman" w:hAnsi="Times New Roman"/>
                    <w:color w:val="000000"/>
                    <w:sz w:val="18"/>
                    <w:szCs w:val="18"/>
                    <w:lang w:eastAsia="es-CO"/>
                  </w:rPr>
                  <w:t>Muebles, enseres y equipo de oficina de propiedad de terceros</w:t>
                </w:r>
              </w:p>
            </w:tc>
            <w:tc>
              <w:tcPr>
                <w:tcW w:w="1420" w:type="dxa"/>
                <w:shd w:val="clear" w:color="auto" w:fill="auto"/>
                <w:noWrap/>
                <w:vAlign w:val="center"/>
                <w:hideMark/>
              </w:tcPr>
              <w:p w14:paraId="05E0D6F5" w14:textId="77777777" w:rsidR="009C1E17" w:rsidRPr="009C1E17" w:rsidRDefault="009C1E17" w:rsidP="009C1E17">
                <w:pPr>
                  <w:spacing w:after="0" w:line="240" w:lineRule="auto"/>
                  <w:jc w:val="right"/>
                  <w:rPr>
                    <w:rFonts w:ascii="Times New Roman" w:eastAsia="Times New Roman" w:hAnsi="Times New Roman"/>
                    <w:color w:val="000000"/>
                    <w:sz w:val="18"/>
                    <w:szCs w:val="18"/>
                    <w:lang w:eastAsia="es-CO"/>
                  </w:rPr>
                </w:pPr>
                <w:r w:rsidRPr="009C1E17">
                  <w:rPr>
                    <w:rFonts w:ascii="Times New Roman" w:eastAsia="Times New Roman" w:hAnsi="Times New Roman"/>
                    <w:color w:val="000000"/>
                    <w:sz w:val="18"/>
                    <w:szCs w:val="18"/>
                    <w:lang w:eastAsia="es-CO"/>
                  </w:rPr>
                  <w:t xml:space="preserve">   13,672,247,845 </w:t>
                </w:r>
              </w:p>
            </w:tc>
          </w:tr>
          <w:tr w:rsidR="009C1E17" w:rsidRPr="009C1E17" w14:paraId="2EDE688C" w14:textId="77777777" w:rsidTr="009C1E17">
            <w:trPr>
              <w:trHeight w:val="315"/>
              <w:jc w:val="center"/>
            </w:trPr>
            <w:tc>
              <w:tcPr>
                <w:tcW w:w="5140" w:type="dxa"/>
                <w:shd w:val="clear" w:color="auto" w:fill="auto"/>
                <w:noWrap/>
                <w:vAlign w:val="center"/>
                <w:hideMark/>
              </w:tcPr>
              <w:p w14:paraId="17EA41A2" w14:textId="77777777" w:rsidR="009C1E17" w:rsidRPr="009C1E17" w:rsidRDefault="009C1E17" w:rsidP="009C1E17">
                <w:pPr>
                  <w:spacing w:after="0" w:line="240" w:lineRule="auto"/>
                  <w:rPr>
                    <w:rFonts w:ascii="Times New Roman" w:eastAsia="Times New Roman" w:hAnsi="Times New Roman"/>
                    <w:color w:val="000000"/>
                    <w:sz w:val="18"/>
                    <w:szCs w:val="18"/>
                    <w:lang w:eastAsia="es-CO"/>
                  </w:rPr>
                </w:pPr>
                <w:r w:rsidRPr="009C1E17">
                  <w:rPr>
                    <w:rFonts w:ascii="Times New Roman" w:eastAsia="Times New Roman" w:hAnsi="Times New Roman"/>
                    <w:color w:val="000000"/>
                    <w:sz w:val="18"/>
                    <w:szCs w:val="18"/>
                    <w:lang w:eastAsia="es-CO"/>
                  </w:rPr>
                  <w:t>Construcciones en curso - otras construcciones en curso</w:t>
                </w:r>
              </w:p>
            </w:tc>
            <w:tc>
              <w:tcPr>
                <w:tcW w:w="1420" w:type="dxa"/>
                <w:shd w:val="clear" w:color="auto" w:fill="auto"/>
                <w:noWrap/>
                <w:vAlign w:val="center"/>
                <w:hideMark/>
              </w:tcPr>
              <w:p w14:paraId="10E4A6C4" w14:textId="77777777" w:rsidR="009C1E17" w:rsidRPr="009C1E17" w:rsidRDefault="009C1E17" w:rsidP="009C1E17">
                <w:pPr>
                  <w:spacing w:after="0" w:line="240" w:lineRule="auto"/>
                  <w:jc w:val="right"/>
                  <w:rPr>
                    <w:rFonts w:ascii="Times New Roman" w:eastAsia="Times New Roman" w:hAnsi="Times New Roman"/>
                    <w:color w:val="000000"/>
                    <w:sz w:val="18"/>
                    <w:szCs w:val="18"/>
                    <w:lang w:eastAsia="es-CO"/>
                  </w:rPr>
                </w:pPr>
                <w:r w:rsidRPr="009C1E17">
                  <w:rPr>
                    <w:rFonts w:ascii="Times New Roman" w:eastAsia="Times New Roman" w:hAnsi="Times New Roman"/>
                    <w:color w:val="000000"/>
                    <w:sz w:val="18"/>
                    <w:szCs w:val="18"/>
                    <w:lang w:eastAsia="es-CO"/>
                  </w:rPr>
                  <w:t xml:space="preserve"> 9,011,207,305 </w:t>
                </w:r>
              </w:p>
            </w:tc>
          </w:tr>
          <w:tr w:rsidR="009C1E17" w:rsidRPr="009C1E17" w14:paraId="2DC3F44A" w14:textId="77777777" w:rsidTr="009C1E17">
            <w:trPr>
              <w:trHeight w:val="315"/>
              <w:jc w:val="center"/>
            </w:trPr>
            <w:tc>
              <w:tcPr>
                <w:tcW w:w="5140" w:type="dxa"/>
                <w:shd w:val="clear" w:color="auto" w:fill="auto"/>
                <w:noWrap/>
                <w:vAlign w:val="center"/>
                <w:hideMark/>
              </w:tcPr>
              <w:p w14:paraId="255D974E" w14:textId="77777777" w:rsidR="009C1E17" w:rsidRPr="009C1E17" w:rsidRDefault="009C1E17" w:rsidP="009C1E17">
                <w:pPr>
                  <w:spacing w:after="0" w:line="240" w:lineRule="auto"/>
                  <w:rPr>
                    <w:rFonts w:ascii="Times New Roman" w:eastAsia="Times New Roman" w:hAnsi="Times New Roman"/>
                    <w:color w:val="000000"/>
                    <w:sz w:val="18"/>
                    <w:szCs w:val="18"/>
                    <w:lang w:eastAsia="es-CO"/>
                  </w:rPr>
                </w:pPr>
                <w:r w:rsidRPr="009C1E17">
                  <w:rPr>
                    <w:rFonts w:ascii="Times New Roman" w:eastAsia="Times New Roman" w:hAnsi="Times New Roman"/>
                    <w:color w:val="000000"/>
                    <w:sz w:val="18"/>
                    <w:szCs w:val="18"/>
                    <w:lang w:eastAsia="es-CO"/>
                  </w:rPr>
                  <w:t>Equipo médico y científico de propiedad de terceros</w:t>
                </w:r>
              </w:p>
            </w:tc>
            <w:tc>
              <w:tcPr>
                <w:tcW w:w="1420" w:type="dxa"/>
                <w:shd w:val="clear" w:color="auto" w:fill="auto"/>
                <w:noWrap/>
                <w:vAlign w:val="center"/>
                <w:hideMark/>
              </w:tcPr>
              <w:p w14:paraId="12825A04" w14:textId="77777777" w:rsidR="009C1E17" w:rsidRPr="009C1E17" w:rsidRDefault="009C1E17" w:rsidP="009C1E17">
                <w:pPr>
                  <w:spacing w:after="0" w:line="240" w:lineRule="auto"/>
                  <w:jc w:val="right"/>
                  <w:rPr>
                    <w:rFonts w:ascii="Times New Roman" w:eastAsia="Times New Roman" w:hAnsi="Times New Roman"/>
                    <w:color w:val="000000"/>
                    <w:sz w:val="18"/>
                    <w:szCs w:val="18"/>
                    <w:lang w:eastAsia="es-CO"/>
                  </w:rPr>
                </w:pPr>
                <w:r w:rsidRPr="009C1E17">
                  <w:rPr>
                    <w:rFonts w:ascii="Times New Roman" w:eastAsia="Times New Roman" w:hAnsi="Times New Roman"/>
                    <w:color w:val="000000"/>
                    <w:sz w:val="18"/>
                    <w:szCs w:val="18"/>
                    <w:lang w:eastAsia="es-CO"/>
                  </w:rPr>
                  <w:t xml:space="preserve"> 326,814,329 </w:t>
                </w:r>
              </w:p>
            </w:tc>
          </w:tr>
          <w:tr w:rsidR="009C1E17" w:rsidRPr="009C1E17" w14:paraId="4C00A975" w14:textId="77777777" w:rsidTr="009C1E17">
            <w:trPr>
              <w:trHeight w:val="315"/>
              <w:jc w:val="center"/>
            </w:trPr>
            <w:tc>
              <w:tcPr>
                <w:tcW w:w="5140" w:type="dxa"/>
                <w:shd w:val="clear" w:color="auto" w:fill="auto"/>
                <w:noWrap/>
                <w:vAlign w:val="center"/>
                <w:hideMark/>
              </w:tcPr>
              <w:p w14:paraId="517F947F" w14:textId="77777777" w:rsidR="009C1E17" w:rsidRPr="009C1E17" w:rsidRDefault="009C1E17" w:rsidP="009C1E17">
                <w:pPr>
                  <w:spacing w:after="0" w:line="240" w:lineRule="auto"/>
                  <w:rPr>
                    <w:rFonts w:ascii="Times New Roman" w:eastAsia="Times New Roman" w:hAnsi="Times New Roman"/>
                    <w:b/>
                    <w:bCs/>
                    <w:color w:val="000000"/>
                    <w:sz w:val="18"/>
                    <w:szCs w:val="18"/>
                    <w:lang w:eastAsia="es-CO"/>
                  </w:rPr>
                </w:pPr>
                <w:r w:rsidRPr="009C1E17">
                  <w:rPr>
                    <w:rFonts w:ascii="Times New Roman" w:eastAsia="Times New Roman" w:hAnsi="Times New Roman"/>
                    <w:b/>
                    <w:bCs/>
                    <w:color w:val="000000"/>
                    <w:sz w:val="18"/>
                    <w:szCs w:val="18"/>
                    <w:lang w:eastAsia="es-CO"/>
                  </w:rPr>
                  <w:t>Total</w:t>
                </w:r>
              </w:p>
            </w:tc>
            <w:tc>
              <w:tcPr>
                <w:tcW w:w="1420" w:type="dxa"/>
                <w:shd w:val="clear" w:color="auto" w:fill="auto"/>
                <w:noWrap/>
                <w:vAlign w:val="center"/>
                <w:hideMark/>
              </w:tcPr>
              <w:p w14:paraId="2670AF45" w14:textId="77777777" w:rsidR="009C1E17" w:rsidRPr="009C1E17" w:rsidRDefault="009C1E17" w:rsidP="009C1E17">
                <w:pPr>
                  <w:spacing w:after="0" w:line="240" w:lineRule="auto"/>
                  <w:jc w:val="right"/>
                  <w:rPr>
                    <w:rFonts w:ascii="Times New Roman" w:eastAsia="Times New Roman" w:hAnsi="Times New Roman"/>
                    <w:b/>
                    <w:bCs/>
                    <w:color w:val="000000"/>
                    <w:sz w:val="18"/>
                    <w:szCs w:val="18"/>
                    <w:lang w:eastAsia="es-CO"/>
                  </w:rPr>
                </w:pPr>
                <w:r w:rsidRPr="009C1E17">
                  <w:rPr>
                    <w:rFonts w:ascii="Times New Roman" w:eastAsia="Times New Roman" w:hAnsi="Times New Roman"/>
                    <w:b/>
                    <w:bCs/>
                    <w:color w:val="000000"/>
                    <w:sz w:val="18"/>
                    <w:szCs w:val="18"/>
                    <w:lang w:eastAsia="es-CO"/>
                  </w:rPr>
                  <w:t xml:space="preserve"> 278,442,615,918 </w:t>
                </w:r>
              </w:p>
            </w:tc>
          </w:tr>
        </w:tbl>
        <w:p w14:paraId="113B2266" w14:textId="43102B7B" w:rsidR="00D672D4" w:rsidRPr="00931DCE" w:rsidRDefault="00AD2026" w:rsidP="00A04F7D">
          <w:pPr>
            <w:spacing w:after="0" w:line="240" w:lineRule="auto"/>
            <w:ind w:left="1416"/>
            <w:jc w:val="both"/>
            <w:rPr>
              <w:rFonts w:ascii="Times New Roman" w:hAnsi="Times New Roman"/>
              <w:bCs/>
              <w:sz w:val="14"/>
              <w:szCs w:val="14"/>
            </w:rPr>
          </w:pPr>
          <w:r w:rsidRPr="00931DCE">
            <w:rPr>
              <w:rFonts w:ascii="Times New Roman" w:hAnsi="Times New Roman"/>
              <w:bCs/>
              <w:sz w:val="14"/>
              <w:szCs w:val="14"/>
            </w:rPr>
            <w:t>Cifras expresadas en pesos</w:t>
          </w:r>
          <w:r w:rsidR="00D672D4" w:rsidRPr="00931DCE">
            <w:rPr>
              <w:rFonts w:ascii="Times New Roman" w:hAnsi="Times New Roman"/>
              <w:bCs/>
              <w:sz w:val="14"/>
              <w:szCs w:val="14"/>
            </w:rPr>
            <w:t xml:space="preserve"> </w:t>
          </w:r>
        </w:p>
        <w:p w14:paraId="3C0C8466" w14:textId="77777777" w:rsidR="00EB5994" w:rsidRPr="00931DCE" w:rsidRDefault="00EB5994" w:rsidP="00D672D4">
          <w:pPr>
            <w:spacing w:after="0" w:line="240" w:lineRule="auto"/>
            <w:jc w:val="both"/>
            <w:rPr>
              <w:rFonts w:ascii="Times New Roman" w:hAnsi="Times New Roman"/>
              <w:b/>
              <w:sz w:val="24"/>
              <w:szCs w:val="24"/>
            </w:rPr>
          </w:pPr>
        </w:p>
        <w:p w14:paraId="2ECED88F" w14:textId="77777777" w:rsidR="003046CA" w:rsidRPr="009A46BB" w:rsidRDefault="003046CA" w:rsidP="00D672D4">
          <w:pPr>
            <w:spacing w:after="0" w:line="240" w:lineRule="auto"/>
            <w:jc w:val="both"/>
            <w:rPr>
              <w:rFonts w:ascii="Times New Roman" w:hAnsi="Times New Roman"/>
              <w:b/>
              <w:sz w:val="24"/>
              <w:szCs w:val="24"/>
            </w:rPr>
          </w:pPr>
        </w:p>
        <w:p w14:paraId="38177F87" w14:textId="0BA448D5" w:rsidR="747156D1" w:rsidRDefault="00D672D4" w:rsidP="747156D1">
          <w:pPr>
            <w:spacing w:after="0" w:line="240" w:lineRule="auto"/>
            <w:jc w:val="both"/>
            <w:rPr>
              <w:rFonts w:ascii="Times New Roman" w:hAnsi="Times New Roman"/>
              <w:sz w:val="24"/>
              <w:szCs w:val="24"/>
            </w:rPr>
          </w:pPr>
          <w:r w:rsidRPr="00CA6345">
            <w:rPr>
              <w:rFonts w:ascii="Times New Roman" w:hAnsi="Times New Roman"/>
              <w:b/>
              <w:color w:val="1F3864" w:themeColor="accent1" w:themeShade="80"/>
              <w:sz w:val="24"/>
              <w:szCs w:val="24"/>
            </w:rPr>
            <w:t>Modo Férreo</w:t>
          </w:r>
          <w:r w:rsidR="000869A4" w:rsidRPr="00CA6345">
            <w:rPr>
              <w:rFonts w:ascii="Times New Roman" w:hAnsi="Times New Roman"/>
              <w:b/>
              <w:color w:val="1F3864" w:themeColor="accent1" w:themeShade="80"/>
              <w:sz w:val="24"/>
              <w:szCs w:val="24"/>
            </w:rPr>
            <w:t xml:space="preserve">: </w:t>
          </w:r>
          <w:r w:rsidRPr="00931DCE">
            <w:rPr>
              <w:rFonts w:ascii="Times New Roman" w:hAnsi="Times New Roman"/>
              <w:sz w:val="24"/>
              <w:szCs w:val="24"/>
            </w:rPr>
            <w:t xml:space="preserve">A continuación, se </w:t>
          </w:r>
          <w:r w:rsidR="007A5D86" w:rsidRPr="00931DCE">
            <w:rPr>
              <w:rFonts w:ascii="Times New Roman" w:hAnsi="Times New Roman"/>
              <w:sz w:val="24"/>
              <w:szCs w:val="24"/>
            </w:rPr>
            <w:t>detalla el comportamiento de las inversiones realizadas por concepto de propiedades, planta y equipo</w:t>
          </w:r>
          <w:r w:rsidRPr="00931DCE">
            <w:rPr>
              <w:rFonts w:ascii="Times New Roman" w:hAnsi="Times New Roman"/>
              <w:sz w:val="24"/>
              <w:szCs w:val="24"/>
            </w:rPr>
            <w:t>, mostrando por separado l</w:t>
          </w:r>
          <w:r w:rsidR="007A5D86" w:rsidRPr="00931DCE">
            <w:rPr>
              <w:rFonts w:ascii="Times New Roman" w:hAnsi="Times New Roman"/>
              <w:sz w:val="24"/>
              <w:szCs w:val="24"/>
            </w:rPr>
            <w:t>os diferentes conceptos</w:t>
          </w:r>
          <w:r w:rsidR="00C83A38" w:rsidRPr="00931DCE">
            <w:rPr>
              <w:rFonts w:ascii="Times New Roman" w:hAnsi="Times New Roman"/>
              <w:sz w:val="24"/>
              <w:szCs w:val="24"/>
            </w:rPr>
            <w:t xml:space="preserve">, originados por la actualización realizada a corte 31 de diciembre </w:t>
          </w:r>
          <w:r w:rsidR="009A51BA" w:rsidRPr="00931DCE">
            <w:rPr>
              <w:rFonts w:ascii="Times New Roman" w:hAnsi="Times New Roman"/>
              <w:sz w:val="24"/>
              <w:szCs w:val="24"/>
            </w:rPr>
            <w:t>de acuerdo con</w:t>
          </w:r>
          <w:r w:rsidR="00C83A38" w:rsidRPr="00931DCE">
            <w:rPr>
              <w:rFonts w:ascii="Times New Roman" w:hAnsi="Times New Roman"/>
              <w:sz w:val="24"/>
              <w:szCs w:val="24"/>
            </w:rPr>
            <w:t xml:space="preserve"> la metodología para la obtención de información, avalada por la interventoría y revisada por el equipo férreo de la ANI:</w:t>
          </w:r>
        </w:p>
        <w:p w14:paraId="638560B8" w14:textId="15F04E6A" w:rsidR="747156D1" w:rsidRDefault="747156D1" w:rsidP="747156D1">
          <w:pPr>
            <w:spacing w:after="0" w:line="240" w:lineRule="auto"/>
            <w:jc w:val="both"/>
            <w:rPr>
              <w:rFonts w:ascii="Times New Roman" w:hAnsi="Times New Roman"/>
              <w:sz w:val="24"/>
              <w:szCs w:val="24"/>
            </w:rPr>
          </w:pPr>
        </w:p>
        <w:tbl>
          <w:tblPr>
            <w:tblW w:w="0" w:type="auto"/>
            <w:jc w:val="center"/>
            <w:tblBorders>
              <w:top w:val="single" w:sz="8" w:space="0" w:color="808080"/>
              <w:left w:val="single" w:sz="8" w:space="0" w:color="808080"/>
              <w:bottom w:val="single" w:sz="8" w:space="0" w:color="808080"/>
              <w:right w:val="single" w:sz="8" w:space="0" w:color="808080"/>
              <w:insideH w:val="single" w:sz="6" w:space="0" w:color="808080"/>
              <w:insideV w:val="single" w:sz="6" w:space="0" w:color="808080"/>
            </w:tblBorders>
            <w:tblCellMar>
              <w:left w:w="70" w:type="dxa"/>
              <w:right w:w="70" w:type="dxa"/>
            </w:tblCellMar>
            <w:tblLook w:val="04A0" w:firstRow="1" w:lastRow="0" w:firstColumn="1" w:lastColumn="0" w:noHBand="0" w:noVBand="1"/>
          </w:tblPr>
          <w:tblGrid>
            <w:gridCol w:w="1695"/>
            <w:gridCol w:w="1355"/>
          </w:tblGrid>
          <w:tr w:rsidR="006315B0" w:rsidRPr="006315B0" w14:paraId="71008AA1" w14:textId="77777777" w:rsidTr="006315B0">
            <w:trPr>
              <w:trHeight w:val="315"/>
              <w:jc w:val="center"/>
            </w:trPr>
            <w:tc>
              <w:tcPr>
                <w:tcW w:w="0" w:type="auto"/>
                <w:shd w:val="clear" w:color="auto" w:fill="auto"/>
                <w:noWrap/>
                <w:vAlign w:val="center"/>
                <w:hideMark/>
              </w:tcPr>
              <w:p w14:paraId="4D8AAF91" w14:textId="77777777" w:rsidR="006315B0" w:rsidRPr="006315B0" w:rsidRDefault="006315B0" w:rsidP="006315B0">
                <w:pPr>
                  <w:spacing w:after="0" w:line="240" w:lineRule="auto"/>
                  <w:rPr>
                    <w:rFonts w:ascii="Times New Roman" w:eastAsia="Times New Roman" w:hAnsi="Times New Roman"/>
                    <w:b/>
                    <w:bCs/>
                    <w:color w:val="000000"/>
                    <w:sz w:val="18"/>
                    <w:szCs w:val="18"/>
                    <w:lang w:eastAsia="es-CO"/>
                  </w:rPr>
                </w:pPr>
                <w:r w:rsidRPr="006315B0">
                  <w:rPr>
                    <w:rFonts w:ascii="Times New Roman" w:eastAsia="Times New Roman" w:hAnsi="Times New Roman"/>
                    <w:b/>
                    <w:bCs/>
                    <w:color w:val="000000"/>
                    <w:sz w:val="18"/>
                    <w:szCs w:val="18"/>
                    <w:lang w:eastAsia="es-CO"/>
                  </w:rPr>
                  <w:t xml:space="preserve">DESCRIPCIÓN </w:t>
                </w:r>
              </w:p>
            </w:tc>
            <w:tc>
              <w:tcPr>
                <w:tcW w:w="0" w:type="auto"/>
                <w:shd w:val="clear" w:color="auto" w:fill="auto"/>
                <w:noWrap/>
                <w:vAlign w:val="center"/>
                <w:hideMark/>
              </w:tcPr>
              <w:p w14:paraId="5C7E3693" w14:textId="77777777" w:rsidR="006315B0" w:rsidRPr="006315B0" w:rsidRDefault="006315B0" w:rsidP="006315B0">
                <w:pPr>
                  <w:spacing w:after="0" w:line="240" w:lineRule="auto"/>
                  <w:jc w:val="right"/>
                  <w:rPr>
                    <w:rFonts w:ascii="Times New Roman" w:eastAsia="Times New Roman" w:hAnsi="Times New Roman"/>
                    <w:b/>
                    <w:bCs/>
                    <w:color w:val="000000"/>
                    <w:sz w:val="18"/>
                    <w:szCs w:val="18"/>
                    <w:lang w:eastAsia="es-CO"/>
                  </w:rPr>
                </w:pPr>
                <w:r w:rsidRPr="006315B0">
                  <w:rPr>
                    <w:rFonts w:ascii="Times New Roman" w:eastAsia="Times New Roman" w:hAnsi="Times New Roman"/>
                    <w:b/>
                    <w:bCs/>
                    <w:color w:val="000000"/>
                    <w:sz w:val="18"/>
                    <w:szCs w:val="18"/>
                    <w:lang w:eastAsia="es-CO"/>
                  </w:rPr>
                  <w:t>VALOR</w:t>
                </w:r>
              </w:p>
            </w:tc>
          </w:tr>
          <w:tr w:rsidR="006315B0" w:rsidRPr="006315B0" w14:paraId="2C078660" w14:textId="77777777" w:rsidTr="006315B0">
            <w:trPr>
              <w:trHeight w:val="315"/>
              <w:jc w:val="center"/>
            </w:trPr>
            <w:tc>
              <w:tcPr>
                <w:tcW w:w="0" w:type="auto"/>
                <w:shd w:val="clear" w:color="auto" w:fill="auto"/>
                <w:noWrap/>
                <w:vAlign w:val="center"/>
                <w:hideMark/>
              </w:tcPr>
              <w:p w14:paraId="3CD32B8A" w14:textId="77777777" w:rsidR="006315B0" w:rsidRPr="006315B0" w:rsidRDefault="006315B0" w:rsidP="006315B0">
                <w:pPr>
                  <w:spacing w:after="0" w:line="240" w:lineRule="auto"/>
                  <w:rPr>
                    <w:rFonts w:ascii="Times New Roman" w:eastAsia="Times New Roman" w:hAnsi="Times New Roman"/>
                    <w:color w:val="000000"/>
                    <w:sz w:val="18"/>
                    <w:szCs w:val="18"/>
                    <w:lang w:eastAsia="es-CO"/>
                  </w:rPr>
                </w:pPr>
                <w:r w:rsidRPr="006315B0">
                  <w:rPr>
                    <w:rFonts w:ascii="Times New Roman" w:eastAsia="Times New Roman" w:hAnsi="Times New Roman"/>
                    <w:color w:val="000000"/>
                    <w:sz w:val="18"/>
                    <w:szCs w:val="18"/>
                    <w:lang w:eastAsia="es-CO"/>
                  </w:rPr>
                  <w:t>Maquinaria industrial</w:t>
                </w:r>
              </w:p>
            </w:tc>
            <w:tc>
              <w:tcPr>
                <w:tcW w:w="0" w:type="auto"/>
                <w:shd w:val="clear" w:color="auto" w:fill="auto"/>
                <w:noWrap/>
                <w:vAlign w:val="center"/>
                <w:hideMark/>
              </w:tcPr>
              <w:p w14:paraId="0C3A1A16" w14:textId="77777777" w:rsidR="006315B0" w:rsidRPr="006315B0" w:rsidRDefault="006315B0" w:rsidP="006315B0">
                <w:pPr>
                  <w:spacing w:after="0" w:line="240" w:lineRule="auto"/>
                  <w:jc w:val="right"/>
                  <w:rPr>
                    <w:rFonts w:ascii="Times New Roman" w:eastAsia="Times New Roman" w:hAnsi="Times New Roman"/>
                    <w:color w:val="000000"/>
                    <w:sz w:val="18"/>
                    <w:szCs w:val="18"/>
                    <w:lang w:eastAsia="es-CO"/>
                  </w:rPr>
                </w:pPr>
                <w:r w:rsidRPr="006315B0">
                  <w:rPr>
                    <w:rFonts w:ascii="Times New Roman" w:eastAsia="Times New Roman" w:hAnsi="Times New Roman"/>
                    <w:color w:val="000000"/>
                    <w:sz w:val="18"/>
                    <w:szCs w:val="18"/>
                    <w:lang w:eastAsia="es-CO"/>
                  </w:rPr>
                  <w:t>60.076.615.532</w:t>
                </w:r>
              </w:p>
            </w:tc>
          </w:tr>
          <w:tr w:rsidR="006315B0" w:rsidRPr="006315B0" w14:paraId="410B9B84" w14:textId="77777777" w:rsidTr="006315B0">
            <w:trPr>
              <w:trHeight w:val="315"/>
              <w:jc w:val="center"/>
            </w:trPr>
            <w:tc>
              <w:tcPr>
                <w:tcW w:w="0" w:type="auto"/>
                <w:shd w:val="clear" w:color="auto" w:fill="auto"/>
                <w:noWrap/>
                <w:vAlign w:val="center"/>
                <w:hideMark/>
              </w:tcPr>
              <w:p w14:paraId="37BAD62F" w14:textId="77777777" w:rsidR="006315B0" w:rsidRPr="006315B0" w:rsidRDefault="006315B0" w:rsidP="006315B0">
                <w:pPr>
                  <w:spacing w:after="0" w:line="240" w:lineRule="auto"/>
                  <w:rPr>
                    <w:rFonts w:ascii="Times New Roman" w:eastAsia="Times New Roman" w:hAnsi="Times New Roman"/>
                    <w:color w:val="000000"/>
                    <w:sz w:val="18"/>
                    <w:szCs w:val="18"/>
                    <w:lang w:eastAsia="es-CO"/>
                  </w:rPr>
                </w:pPr>
                <w:r w:rsidRPr="006315B0">
                  <w:rPr>
                    <w:rFonts w:ascii="Times New Roman" w:eastAsia="Times New Roman" w:hAnsi="Times New Roman"/>
                    <w:color w:val="000000"/>
                    <w:sz w:val="18"/>
                    <w:szCs w:val="18"/>
                    <w:lang w:eastAsia="es-CO"/>
                  </w:rPr>
                  <w:t>Bodegas</w:t>
                </w:r>
              </w:p>
            </w:tc>
            <w:tc>
              <w:tcPr>
                <w:tcW w:w="0" w:type="auto"/>
                <w:shd w:val="clear" w:color="auto" w:fill="auto"/>
                <w:noWrap/>
                <w:vAlign w:val="center"/>
                <w:hideMark/>
              </w:tcPr>
              <w:p w14:paraId="15B7A397" w14:textId="77777777" w:rsidR="006315B0" w:rsidRPr="006315B0" w:rsidRDefault="006315B0" w:rsidP="006315B0">
                <w:pPr>
                  <w:spacing w:after="0" w:line="240" w:lineRule="auto"/>
                  <w:jc w:val="right"/>
                  <w:rPr>
                    <w:rFonts w:ascii="Times New Roman" w:eastAsia="Times New Roman" w:hAnsi="Times New Roman"/>
                    <w:color w:val="000000"/>
                    <w:sz w:val="18"/>
                    <w:szCs w:val="18"/>
                    <w:lang w:eastAsia="es-CO"/>
                  </w:rPr>
                </w:pPr>
                <w:r w:rsidRPr="006315B0">
                  <w:rPr>
                    <w:rFonts w:ascii="Times New Roman" w:eastAsia="Times New Roman" w:hAnsi="Times New Roman"/>
                    <w:color w:val="000000"/>
                    <w:sz w:val="18"/>
                    <w:szCs w:val="18"/>
                    <w:lang w:eastAsia="es-CO"/>
                  </w:rPr>
                  <w:t>47.080.856.666</w:t>
                </w:r>
              </w:p>
            </w:tc>
          </w:tr>
          <w:tr w:rsidR="006315B0" w:rsidRPr="006315B0" w14:paraId="3BB40822" w14:textId="77777777" w:rsidTr="006315B0">
            <w:trPr>
              <w:trHeight w:val="315"/>
              <w:jc w:val="center"/>
            </w:trPr>
            <w:tc>
              <w:tcPr>
                <w:tcW w:w="0" w:type="auto"/>
                <w:shd w:val="clear" w:color="auto" w:fill="auto"/>
                <w:noWrap/>
                <w:vAlign w:val="center"/>
                <w:hideMark/>
              </w:tcPr>
              <w:p w14:paraId="7559F19D" w14:textId="77777777" w:rsidR="006315B0" w:rsidRPr="006315B0" w:rsidRDefault="006315B0" w:rsidP="006315B0">
                <w:pPr>
                  <w:spacing w:after="0" w:line="240" w:lineRule="auto"/>
                  <w:rPr>
                    <w:rFonts w:ascii="Times New Roman" w:eastAsia="Times New Roman" w:hAnsi="Times New Roman"/>
                    <w:color w:val="000000"/>
                    <w:sz w:val="18"/>
                    <w:szCs w:val="18"/>
                    <w:lang w:eastAsia="es-CO"/>
                  </w:rPr>
                </w:pPr>
                <w:r w:rsidRPr="006315B0">
                  <w:rPr>
                    <w:rFonts w:ascii="Times New Roman" w:eastAsia="Times New Roman" w:hAnsi="Times New Roman"/>
                    <w:color w:val="000000"/>
                    <w:sz w:val="18"/>
                    <w:szCs w:val="18"/>
                    <w:lang w:eastAsia="es-CO"/>
                  </w:rPr>
                  <w:t>Muebles y enseres</w:t>
                </w:r>
              </w:p>
            </w:tc>
            <w:tc>
              <w:tcPr>
                <w:tcW w:w="0" w:type="auto"/>
                <w:shd w:val="clear" w:color="auto" w:fill="auto"/>
                <w:noWrap/>
                <w:vAlign w:val="center"/>
                <w:hideMark/>
              </w:tcPr>
              <w:p w14:paraId="16970C00" w14:textId="77777777" w:rsidR="006315B0" w:rsidRPr="006315B0" w:rsidRDefault="006315B0" w:rsidP="006315B0">
                <w:pPr>
                  <w:spacing w:after="0" w:line="240" w:lineRule="auto"/>
                  <w:jc w:val="right"/>
                  <w:rPr>
                    <w:rFonts w:ascii="Times New Roman" w:eastAsia="Times New Roman" w:hAnsi="Times New Roman"/>
                    <w:color w:val="000000"/>
                    <w:sz w:val="18"/>
                    <w:szCs w:val="18"/>
                    <w:lang w:eastAsia="es-CO"/>
                  </w:rPr>
                </w:pPr>
                <w:r w:rsidRPr="006315B0">
                  <w:rPr>
                    <w:rFonts w:ascii="Times New Roman" w:eastAsia="Times New Roman" w:hAnsi="Times New Roman"/>
                    <w:color w:val="000000"/>
                    <w:sz w:val="18"/>
                    <w:szCs w:val="18"/>
                    <w:lang w:eastAsia="es-CO"/>
                  </w:rPr>
                  <w:t>7.293.918.850</w:t>
                </w:r>
              </w:p>
            </w:tc>
          </w:tr>
          <w:tr w:rsidR="006315B0" w:rsidRPr="006315B0" w14:paraId="6320251C" w14:textId="77777777" w:rsidTr="006315B0">
            <w:trPr>
              <w:trHeight w:val="315"/>
              <w:jc w:val="center"/>
            </w:trPr>
            <w:tc>
              <w:tcPr>
                <w:tcW w:w="0" w:type="auto"/>
                <w:shd w:val="clear" w:color="auto" w:fill="auto"/>
                <w:noWrap/>
                <w:vAlign w:val="center"/>
                <w:hideMark/>
              </w:tcPr>
              <w:p w14:paraId="04A8D9AC" w14:textId="77777777" w:rsidR="006315B0" w:rsidRPr="006315B0" w:rsidRDefault="006315B0" w:rsidP="006315B0">
                <w:pPr>
                  <w:spacing w:after="0" w:line="240" w:lineRule="auto"/>
                  <w:rPr>
                    <w:rFonts w:ascii="Times New Roman" w:eastAsia="Times New Roman" w:hAnsi="Times New Roman"/>
                    <w:b/>
                    <w:bCs/>
                    <w:color w:val="000000"/>
                    <w:sz w:val="18"/>
                    <w:szCs w:val="18"/>
                    <w:lang w:eastAsia="es-CO"/>
                  </w:rPr>
                </w:pPr>
                <w:r w:rsidRPr="006315B0">
                  <w:rPr>
                    <w:rFonts w:ascii="Times New Roman" w:eastAsia="Times New Roman" w:hAnsi="Times New Roman"/>
                    <w:b/>
                    <w:bCs/>
                    <w:color w:val="000000"/>
                    <w:sz w:val="18"/>
                    <w:szCs w:val="18"/>
                    <w:lang w:eastAsia="es-CO"/>
                  </w:rPr>
                  <w:t xml:space="preserve">Total </w:t>
                </w:r>
              </w:p>
            </w:tc>
            <w:tc>
              <w:tcPr>
                <w:tcW w:w="0" w:type="auto"/>
                <w:shd w:val="clear" w:color="auto" w:fill="auto"/>
                <w:noWrap/>
                <w:vAlign w:val="center"/>
                <w:hideMark/>
              </w:tcPr>
              <w:p w14:paraId="5CB33C60" w14:textId="77777777" w:rsidR="006315B0" w:rsidRPr="006315B0" w:rsidRDefault="006315B0" w:rsidP="006315B0">
                <w:pPr>
                  <w:spacing w:after="0" w:line="240" w:lineRule="auto"/>
                  <w:jc w:val="right"/>
                  <w:rPr>
                    <w:rFonts w:ascii="Times New Roman" w:eastAsia="Times New Roman" w:hAnsi="Times New Roman"/>
                    <w:b/>
                    <w:bCs/>
                    <w:color w:val="000000"/>
                    <w:sz w:val="18"/>
                    <w:szCs w:val="18"/>
                    <w:lang w:eastAsia="es-CO"/>
                  </w:rPr>
                </w:pPr>
                <w:r w:rsidRPr="006315B0">
                  <w:rPr>
                    <w:rFonts w:ascii="Times New Roman" w:eastAsia="Times New Roman" w:hAnsi="Times New Roman"/>
                    <w:b/>
                    <w:bCs/>
                    <w:color w:val="000000"/>
                    <w:sz w:val="18"/>
                    <w:szCs w:val="18"/>
                    <w:lang w:eastAsia="es-CO"/>
                  </w:rPr>
                  <w:t>114.451.391.048</w:t>
                </w:r>
              </w:p>
            </w:tc>
          </w:tr>
        </w:tbl>
        <w:p w14:paraId="21854238" w14:textId="49AB444C" w:rsidR="00D672D4" w:rsidRPr="00931DCE" w:rsidRDefault="00AD2026" w:rsidP="000D6FEB">
          <w:pPr>
            <w:spacing w:after="0" w:line="257" w:lineRule="auto"/>
            <w:ind w:left="2832"/>
            <w:rPr>
              <w:rFonts w:ascii="Times New Roman" w:hAnsi="Times New Roman"/>
              <w:sz w:val="14"/>
              <w:szCs w:val="14"/>
            </w:rPr>
          </w:pPr>
          <w:r w:rsidRPr="00931DCE">
            <w:rPr>
              <w:rFonts w:ascii="Times New Roman" w:hAnsi="Times New Roman"/>
              <w:sz w:val="14"/>
              <w:szCs w:val="14"/>
            </w:rPr>
            <w:t>Cifras expresadas en pesos</w:t>
          </w:r>
        </w:p>
        <w:p w14:paraId="1BDA3DFD" w14:textId="77777777" w:rsidR="007676A9" w:rsidRPr="00931DCE" w:rsidRDefault="007676A9" w:rsidP="007676A9">
          <w:pPr>
            <w:spacing w:after="0" w:line="257" w:lineRule="auto"/>
            <w:jc w:val="both"/>
            <w:rPr>
              <w:rFonts w:ascii="Times New Roman" w:hAnsi="Times New Roman"/>
              <w:sz w:val="24"/>
              <w:szCs w:val="24"/>
            </w:rPr>
          </w:pPr>
        </w:p>
        <w:p w14:paraId="6B5107A3" w14:textId="307B25E3" w:rsidR="00D672D4" w:rsidRPr="00931DCE" w:rsidRDefault="00D672D4" w:rsidP="007676A9">
          <w:pPr>
            <w:spacing w:after="0" w:line="257" w:lineRule="auto"/>
            <w:jc w:val="both"/>
            <w:rPr>
              <w:rFonts w:ascii="Times New Roman" w:hAnsi="Times New Roman"/>
              <w:sz w:val="24"/>
              <w:szCs w:val="24"/>
            </w:rPr>
          </w:pPr>
          <w:r w:rsidRPr="006A68E4">
            <w:rPr>
              <w:rFonts w:ascii="Times New Roman" w:hAnsi="Times New Roman"/>
              <w:sz w:val="24"/>
              <w:szCs w:val="24"/>
            </w:rPr>
            <w:t>Durante el período, no se realizaron bajas en cuentas de los elementos de propiedades, planta y equipo en concesión, por consiguiente, no hubo afectación en el resultado del período procedentes de dichas partidas.</w:t>
          </w:r>
          <w:r w:rsidRPr="00931DCE">
            <w:rPr>
              <w:rFonts w:ascii="Times New Roman" w:hAnsi="Times New Roman"/>
              <w:sz w:val="24"/>
              <w:szCs w:val="24"/>
            </w:rPr>
            <w:t xml:space="preserve"> </w:t>
          </w:r>
        </w:p>
        <w:p w14:paraId="7F6944BC" w14:textId="77777777" w:rsidR="00610F82" w:rsidRPr="00931DCE" w:rsidRDefault="00610F82" w:rsidP="007676A9">
          <w:pPr>
            <w:spacing w:after="0" w:line="257" w:lineRule="auto"/>
            <w:jc w:val="both"/>
            <w:rPr>
              <w:rFonts w:ascii="Times New Roman" w:hAnsi="Times New Roman"/>
              <w:sz w:val="24"/>
              <w:szCs w:val="24"/>
            </w:rPr>
          </w:pPr>
        </w:p>
        <w:p w14:paraId="5524CA39" w14:textId="2D3B3502" w:rsidR="008B0FEC" w:rsidRPr="00931DCE" w:rsidRDefault="00D77D81" w:rsidP="004A000E">
          <w:pPr>
            <w:spacing w:after="0" w:line="240" w:lineRule="auto"/>
            <w:jc w:val="both"/>
            <w:rPr>
              <w:rFonts w:ascii="Times New Roman" w:hAnsi="Times New Roman"/>
              <w:iCs/>
              <w:sz w:val="24"/>
              <w:szCs w:val="24"/>
              <w:lang w:val="es-ES_tradnl"/>
            </w:rPr>
          </w:pPr>
          <w:r w:rsidRPr="00931DCE">
            <w:rPr>
              <w:rFonts w:ascii="Times New Roman" w:hAnsi="Times New Roman"/>
              <w:sz w:val="24"/>
              <w:szCs w:val="24"/>
              <w:lang w:val="es-ES_tradnl"/>
            </w:rPr>
            <w:t xml:space="preserve">Las </w:t>
          </w:r>
          <w:r w:rsidR="001E0243" w:rsidRPr="00931DCE">
            <w:rPr>
              <w:rFonts w:ascii="Times New Roman" w:hAnsi="Times New Roman"/>
              <w:sz w:val="24"/>
              <w:szCs w:val="24"/>
              <w:lang w:val="es-ES_tradnl"/>
            </w:rPr>
            <w:t>propiedad</w:t>
          </w:r>
          <w:r w:rsidRPr="00931DCE">
            <w:rPr>
              <w:rFonts w:ascii="Times New Roman" w:hAnsi="Times New Roman"/>
              <w:sz w:val="24"/>
              <w:szCs w:val="24"/>
              <w:lang w:val="es-ES_tradnl"/>
            </w:rPr>
            <w:t>es</w:t>
          </w:r>
          <w:r w:rsidR="001E0243" w:rsidRPr="00931DCE">
            <w:rPr>
              <w:rFonts w:ascii="Times New Roman" w:hAnsi="Times New Roman"/>
              <w:sz w:val="24"/>
              <w:szCs w:val="24"/>
              <w:lang w:val="es-ES_tradnl"/>
            </w:rPr>
            <w:t xml:space="preserve">, planta y equipo de la Agencia </w:t>
          </w:r>
          <w:r w:rsidRPr="00931DCE">
            <w:rPr>
              <w:rFonts w:ascii="Times New Roman" w:hAnsi="Times New Roman"/>
              <w:sz w:val="24"/>
              <w:szCs w:val="24"/>
              <w:lang w:val="es-ES_tradnl"/>
            </w:rPr>
            <w:t>comprenden</w:t>
          </w:r>
          <w:r w:rsidR="004C48AF" w:rsidRPr="00931DCE">
            <w:rPr>
              <w:rFonts w:ascii="Times New Roman" w:hAnsi="Times New Roman"/>
              <w:sz w:val="24"/>
              <w:szCs w:val="24"/>
              <w:lang w:val="es-ES_tradnl"/>
            </w:rPr>
            <w:t xml:space="preserve">, el valor de </w:t>
          </w:r>
          <w:r w:rsidR="001E0243" w:rsidRPr="00931DCE">
            <w:rPr>
              <w:rFonts w:ascii="Times New Roman" w:hAnsi="Times New Roman"/>
              <w:sz w:val="24"/>
              <w:szCs w:val="24"/>
              <w:lang w:val="es-ES_tradnl"/>
            </w:rPr>
            <w:t>$</w:t>
          </w:r>
          <w:r w:rsidR="00DF1103">
            <w:rPr>
              <w:rFonts w:ascii="Times New Roman" w:hAnsi="Times New Roman"/>
              <w:sz w:val="24"/>
              <w:szCs w:val="24"/>
              <w:lang w:val="es-ES_tradnl"/>
            </w:rPr>
            <w:t>1.750.</w:t>
          </w:r>
          <w:r w:rsidR="00DF1103" w:rsidRPr="00B056B7">
            <w:rPr>
              <w:rFonts w:ascii="Times New Roman" w:hAnsi="Times New Roman"/>
              <w:sz w:val="24"/>
              <w:szCs w:val="24"/>
              <w:shd w:val="clear" w:color="auto" w:fill="FFFFFF" w:themeFill="background1"/>
              <w:lang w:val="es-ES_tradnl"/>
            </w:rPr>
            <w:t>000.000</w:t>
          </w:r>
          <w:r w:rsidR="008B0FEC" w:rsidRPr="0034493A">
            <w:rPr>
              <w:rFonts w:ascii="Times New Roman" w:hAnsi="Times New Roman"/>
              <w:sz w:val="24"/>
              <w:szCs w:val="24"/>
              <w:shd w:val="clear" w:color="auto" w:fill="FFFFFF" w:themeFill="background1"/>
              <w:lang w:val="es-ES_tradnl"/>
            </w:rPr>
            <w:t>,</w:t>
          </w:r>
          <w:r w:rsidR="008B0FEC" w:rsidRPr="00B056B7">
            <w:rPr>
              <w:rFonts w:ascii="Times New Roman" w:hAnsi="Times New Roman"/>
              <w:sz w:val="24"/>
              <w:szCs w:val="24"/>
              <w:shd w:val="clear" w:color="auto" w:fill="FFFFFF" w:themeFill="background1"/>
              <w:lang w:val="es-ES_tradnl"/>
            </w:rPr>
            <w:t xml:space="preserve"> </w:t>
          </w:r>
          <w:r w:rsidR="001E0243" w:rsidRPr="00B056B7">
            <w:rPr>
              <w:rFonts w:ascii="Times New Roman" w:hAnsi="Times New Roman"/>
              <w:sz w:val="24"/>
              <w:szCs w:val="24"/>
              <w:shd w:val="clear" w:color="auto" w:fill="FFFFFF" w:themeFill="background1"/>
              <w:lang w:val="es-ES_tradnl"/>
            </w:rPr>
            <w:t>a</w:t>
          </w:r>
          <w:r w:rsidR="001E0243" w:rsidRPr="00931DCE">
            <w:rPr>
              <w:rFonts w:ascii="Times New Roman" w:hAnsi="Times New Roman"/>
              <w:sz w:val="24"/>
              <w:szCs w:val="24"/>
              <w:lang w:val="es-ES_tradnl"/>
            </w:rPr>
            <w:t xml:space="preserve"> cargo de </w:t>
          </w:r>
          <w:r w:rsidR="008B0FEC" w:rsidRPr="00931DCE">
            <w:rPr>
              <w:rFonts w:ascii="Times New Roman" w:hAnsi="Times New Roman"/>
              <w:sz w:val="24"/>
              <w:szCs w:val="24"/>
              <w:lang w:val="es-ES_tradnl"/>
            </w:rPr>
            <w:t xml:space="preserve">Ferrocarriles del Norte de Colombia </w:t>
          </w:r>
          <w:r w:rsidR="00D63ABA" w:rsidRPr="00931DCE">
            <w:rPr>
              <w:rFonts w:ascii="Times New Roman" w:hAnsi="Times New Roman"/>
              <w:sz w:val="24"/>
              <w:szCs w:val="24"/>
              <w:lang w:val="es-ES_tradnl"/>
            </w:rPr>
            <w:t xml:space="preserve">S.A </w:t>
          </w:r>
          <w:r w:rsidR="007126A5" w:rsidRPr="00931DCE">
            <w:rPr>
              <w:rFonts w:ascii="Times New Roman" w:hAnsi="Times New Roman"/>
              <w:sz w:val="24"/>
              <w:szCs w:val="24"/>
              <w:lang w:val="es-ES_tradnl"/>
            </w:rPr>
            <w:t xml:space="preserve">FENOCO </w:t>
          </w:r>
          <w:r w:rsidR="00D63ABA" w:rsidRPr="00931DCE">
            <w:rPr>
              <w:rFonts w:ascii="Times New Roman" w:hAnsi="Times New Roman"/>
              <w:sz w:val="24"/>
              <w:szCs w:val="24"/>
              <w:lang w:val="es-ES_tradnl"/>
            </w:rPr>
            <w:t>S.A</w:t>
          </w:r>
          <w:r w:rsidR="00E9502D" w:rsidRPr="00931DCE">
            <w:rPr>
              <w:rFonts w:ascii="Times New Roman" w:hAnsi="Times New Roman"/>
              <w:sz w:val="24"/>
              <w:szCs w:val="24"/>
              <w:lang w:val="es-ES_tradnl"/>
            </w:rPr>
            <w:t xml:space="preserve">, </w:t>
          </w:r>
          <w:r w:rsidR="008B0FEC" w:rsidRPr="00931DCE">
            <w:rPr>
              <w:rFonts w:ascii="Times New Roman" w:hAnsi="Times New Roman"/>
              <w:sz w:val="24"/>
              <w:szCs w:val="24"/>
              <w:lang w:val="es-ES_tradnl"/>
            </w:rPr>
            <w:t>que corresponden a Maquina Autopropulsada Perfiladora y Reguladora de Balasto adquiridos con presupuesto del INCO hoy ANI</w:t>
          </w:r>
          <w:r w:rsidR="001E0243" w:rsidRPr="00931DCE">
            <w:rPr>
              <w:rFonts w:ascii="Times New Roman" w:hAnsi="Times New Roman"/>
              <w:sz w:val="24"/>
              <w:szCs w:val="24"/>
              <w:lang w:val="es-ES_tradnl"/>
            </w:rPr>
            <w:t xml:space="preserve"> y </w:t>
          </w:r>
          <w:r w:rsidR="008B0FEC" w:rsidRPr="00931DCE">
            <w:rPr>
              <w:rFonts w:ascii="Times New Roman" w:hAnsi="Times New Roman"/>
              <w:sz w:val="24"/>
              <w:szCs w:val="24"/>
              <w:lang w:val="es-ES_tradnl"/>
            </w:rPr>
            <w:t>un Carro motor con número de vía 614 entregado al INCO hoy ANI como donación por parte de ferrovías y que fueron entregados en concesión y en custodia, los cuales fueron contabilizados como bienes entregados en concesión relacionados así:</w:t>
          </w:r>
        </w:p>
        <w:tbl>
          <w:tblPr>
            <w:tblStyle w:val="Tablaconcuadrcula"/>
            <w:tblpPr w:leftFromText="141" w:rightFromText="141" w:vertAnchor="text" w:horzAnchor="page" w:tblpX="1867" w:tblpY="344"/>
            <w:tblW w:w="898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2689"/>
            <w:gridCol w:w="2268"/>
            <w:gridCol w:w="1417"/>
            <w:gridCol w:w="2609"/>
          </w:tblGrid>
          <w:tr w:rsidR="008B0FEC" w:rsidRPr="00931DCE" w14:paraId="401505D1" w14:textId="77777777" w:rsidTr="00106BD7">
            <w:trPr>
              <w:trHeight w:val="66"/>
            </w:trPr>
            <w:tc>
              <w:tcPr>
                <w:tcW w:w="2689" w:type="dxa"/>
              </w:tcPr>
              <w:p w14:paraId="7F6EDAA0" w14:textId="77777777" w:rsidR="008B0FEC" w:rsidRPr="00931DCE" w:rsidRDefault="008B0FEC" w:rsidP="0050443C">
                <w:pPr>
                  <w:spacing w:before="100" w:beforeAutospacing="1" w:after="100" w:afterAutospacing="1"/>
                  <w:jc w:val="both"/>
                  <w:rPr>
                    <w:rFonts w:ascii="Times New Roman" w:hAnsi="Times New Roman"/>
                    <w:b/>
                    <w:bCs/>
                    <w:iCs/>
                    <w:sz w:val="18"/>
                    <w:szCs w:val="18"/>
                    <w:lang w:val="es-ES_tradnl"/>
                  </w:rPr>
                </w:pPr>
                <w:r w:rsidRPr="00931DCE">
                  <w:rPr>
                    <w:rFonts w:ascii="Times New Roman" w:hAnsi="Times New Roman"/>
                    <w:b/>
                    <w:bCs/>
                    <w:iCs/>
                    <w:sz w:val="18"/>
                    <w:szCs w:val="18"/>
                    <w:lang w:val="es-ES_tradnl"/>
                  </w:rPr>
                  <w:t>Descripción</w:t>
                </w:r>
              </w:p>
            </w:tc>
            <w:tc>
              <w:tcPr>
                <w:tcW w:w="2268" w:type="dxa"/>
              </w:tcPr>
              <w:p w14:paraId="5AC617DF" w14:textId="77777777" w:rsidR="008B0FEC" w:rsidRPr="00931DCE" w:rsidRDefault="008B0FEC" w:rsidP="0050443C">
                <w:pPr>
                  <w:spacing w:before="100" w:beforeAutospacing="1" w:after="100" w:afterAutospacing="1"/>
                  <w:jc w:val="both"/>
                  <w:rPr>
                    <w:rFonts w:ascii="Times New Roman" w:hAnsi="Times New Roman"/>
                    <w:b/>
                    <w:bCs/>
                    <w:iCs/>
                    <w:sz w:val="18"/>
                    <w:szCs w:val="18"/>
                    <w:lang w:val="es-ES_tradnl"/>
                  </w:rPr>
                </w:pPr>
                <w:r w:rsidRPr="00931DCE">
                  <w:rPr>
                    <w:rFonts w:ascii="Times New Roman" w:hAnsi="Times New Roman"/>
                    <w:b/>
                    <w:bCs/>
                    <w:iCs/>
                    <w:sz w:val="18"/>
                    <w:szCs w:val="18"/>
                    <w:lang w:val="es-ES_tradnl"/>
                  </w:rPr>
                  <w:t>Ubicación Actual</w:t>
                </w:r>
              </w:p>
            </w:tc>
            <w:tc>
              <w:tcPr>
                <w:tcW w:w="1417" w:type="dxa"/>
              </w:tcPr>
              <w:p w14:paraId="7C8EA7A4" w14:textId="77777777" w:rsidR="008B0FEC" w:rsidRPr="00931DCE" w:rsidRDefault="008B0FEC" w:rsidP="0050443C">
                <w:pPr>
                  <w:spacing w:before="100" w:beforeAutospacing="1" w:after="100" w:afterAutospacing="1"/>
                  <w:jc w:val="both"/>
                  <w:rPr>
                    <w:rFonts w:ascii="Times New Roman" w:hAnsi="Times New Roman"/>
                    <w:b/>
                    <w:bCs/>
                    <w:iCs/>
                    <w:sz w:val="18"/>
                    <w:szCs w:val="18"/>
                    <w:lang w:val="es-ES_tradnl"/>
                  </w:rPr>
                </w:pPr>
                <w:r w:rsidRPr="00931DCE">
                  <w:rPr>
                    <w:rFonts w:ascii="Times New Roman" w:hAnsi="Times New Roman"/>
                    <w:b/>
                    <w:bCs/>
                    <w:iCs/>
                    <w:sz w:val="18"/>
                    <w:szCs w:val="18"/>
                    <w:lang w:val="es-ES_tradnl"/>
                  </w:rPr>
                  <w:t>Estado</w:t>
                </w:r>
              </w:p>
            </w:tc>
            <w:tc>
              <w:tcPr>
                <w:tcW w:w="2609" w:type="dxa"/>
              </w:tcPr>
              <w:p w14:paraId="07C2326C" w14:textId="77777777" w:rsidR="008B0FEC" w:rsidRPr="00931DCE" w:rsidRDefault="008B0FEC" w:rsidP="0050443C">
                <w:pPr>
                  <w:spacing w:before="100" w:beforeAutospacing="1" w:after="100" w:afterAutospacing="1"/>
                  <w:jc w:val="both"/>
                  <w:rPr>
                    <w:rFonts w:ascii="Times New Roman" w:hAnsi="Times New Roman"/>
                    <w:b/>
                    <w:bCs/>
                    <w:iCs/>
                    <w:sz w:val="18"/>
                    <w:szCs w:val="18"/>
                    <w:lang w:val="es-ES_tradnl"/>
                  </w:rPr>
                </w:pPr>
                <w:r w:rsidRPr="00931DCE">
                  <w:rPr>
                    <w:rFonts w:ascii="Times New Roman" w:hAnsi="Times New Roman"/>
                    <w:b/>
                    <w:bCs/>
                    <w:iCs/>
                    <w:sz w:val="18"/>
                    <w:szCs w:val="18"/>
                    <w:lang w:val="es-ES_tradnl"/>
                  </w:rPr>
                  <w:t>Valor de Servicio</w:t>
                </w:r>
              </w:p>
            </w:tc>
          </w:tr>
          <w:tr w:rsidR="008B0FEC" w:rsidRPr="00931DCE" w14:paraId="7CDB9249" w14:textId="77777777" w:rsidTr="00106BD7">
            <w:trPr>
              <w:trHeight w:val="621"/>
            </w:trPr>
            <w:tc>
              <w:tcPr>
                <w:tcW w:w="2689" w:type="dxa"/>
              </w:tcPr>
              <w:p w14:paraId="018CFFB1" w14:textId="77777777" w:rsidR="008B0FEC" w:rsidRPr="00931DCE" w:rsidRDefault="008B0FEC" w:rsidP="0050443C">
                <w:pPr>
                  <w:spacing w:before="100" w:beforeAutospacing="1" w:after="100" w:afterAutospacing="1"/>
                  <w:jc w:val="both"/>
                  <w:rPr>
                    <w:rFonts w:ascii="Times New Roman" w:hAnsi="Times New Roman"/>
                    <w:iCs/>
                    <w:sz w:val="18"/>
                    <w:szCs w:val="18"/>
                    <w:lang w:val="es-ES_tradnl"/>
                  </w:rPr>
                </w:pPr>
                <w:r w:rsidRPr="00931DCE">
                  <w:rPr>
                    <w:rFonts w:ascii="Times New Roman" w:hAnsi="Times New Roman"/>
                    <w:iCs/>
                    <w:sz w:val="18"/>
                    <w:szCs w:val="18"/>
                    <w:lang w:val="es-ES_tradnl"/>
                  </w:rPr>
                  <w:t>Maquina Autopropulsada Perfiladora y Reguladora de Balasto</w:t>
                </w:r>
              </w:p>
            </w:tc>
            <w:tc>
              <w:tcPr>
                <w:tcW w:w="2268" w:type="dxa"/>
              </w:tcPr>
              <w:p w14:paraId="1939D7D5" w14:textId="77777777" w:rsidR="008B0FEC" w:rsidRPr="00931DCE" w:rsidRDefault="008B0FEC" w:rsidP="0050443C">
                <w:pPr>
                  <w:spacing w:before="100" w:beforeAutospacing="1" w:after="100" w:afterAutospacing="1"/>
                  <w:jc w:val="both"/>
                  <w:rPr>
                    <w:rFonts w:ascii="Times New Roman" w:hAnsi="Times New Roman"/>
                    <w:iCs/>
                    <w:sz w:val="18"/>
                    <w:szCs w:val="18"/>
                    <w:lang w:val="es-ES_tradnl"/>
                  </w:rPr>
                </w:pPr>
                <w:r w:rsidRPr="00931DCE">
                  <w:rPr>
                    <w:rFonts w:ascii="Times New Roman" w:hAnsi="Times New Roman"/>
                    <w:iCs/>
                    <w:sz w:val="18"/>
                    <w:szCs w:val="18"/>
                    <w:lang w:val="es-ES_tradnl"/>
                  </w:rPr>
                  <w:t>Patios talleres Fenoco. Santa Marta- Magdalena.</w:t>
                </w:r>
              </w:p>
            </w:tc>
            <w:tc>
              <w:tcPr>
                <w:tcW w:w="1417" w:type="dxa"/>
              </w:tcPr>
              <w:p w14:paraId="5B19D880" w14:textId="77777777" w:rsidR="008B0FEC" w:rsidRPr="00931DCE" w:rsidRDefault="008B0FEC" w:rsidP="0050443C">
                <w:pPr>
                  <w:spacing w:before="100" w:beforeAutospacing="1" w:after="100" w:afterAutospacing="1"/>
                  <w:jc w:val="both"/>
                  <w:rPr>
                    <w:rFonts w:ascii="Times New Roman" w:hAnsi="Times New Roman"/>
                    <w:iCs/>
                    <w:sz w:val="18"/>
                    <w:szCs w:val="18"/>
                    <w:lang w:val="es-ES_tradnl"/>
                  </w:rPr>
                </w:pPr>
                <w:r w:rsidRPr="00931DCE">
                  <w:rPr>
                    <w:rFonts w:ascii="Times New Roman" w:hAnsi="Times New Roman"/>
                    <w:iCs/>
                    <w:sz w:val="18"/>
                    <w:szCs w:val="18"/>
                    <w:lang w:val="es-ES_tradnl"/>
                  </w:rPr>
                  <w:t>Operativo, Buen Estado</w:t>
                </w:r>
              </w:p>
            </w:tc>
            <w:tc>
              <w:tcPr>
                <w:tcW w:w="2609" w:type="dxa"/>
              </w:tcPr>
              <w:p w14:paraId="09938ED7" w14:textId="31ACFED4" w:rsidR="008B0FEC" w:rsidRPr="00931DCE" w:rsidRDefault="008B0FEC" w:rsidP="0050443C">
                <w:pPr>
                  <w:spacing w:before="100" w:beforeAutospacing="1" w:after="100" w:afterAutospacing="1"/>
                  <w:jc w:val="both"/>
                  <w:rPr>
                    <w:rFonts w:ascii="Times New Roman" w:hAnsi="Times New Roman"/>
                    <w:iCs/>
                    <w:sz w:val="18"/>
                    <w:szCs w:val="18"/>
                    <w:lang w:val="es-ES_tradnl"/>
                  </w:rPr>
                </w:pPr>
                <w:r w:rsidRPr="00931DCE">
                  <w:rPr>
                    <w:rFonts w:ascii="Times New Roman" w:hAnsi="Times New Roman"/>
                    <w:iCs/>
                    <w:sz w:val="18"/>
                    <w:szCs w:val="18"/>
                    <w:lang w:val="es-ES_tradnl"/>
                  </w:rPr>
                  <w:t>Valor de Mercado o costo de reposición $1.700.000</w:t>
                </w:r>
                <w:r w:rsidR="00DA23A9">
                  <w:rPr>
                    <w:rFonts w:ascii="Times New Roman" w:hAnsi="Times New Roman"/>
                    <w:iCs/>
                    <w:sz w:val="18"/>
                    <w:szCs w:val="18"/>
                    <w:lang w:val="es-ES_tradnl"/>
                  </w:rPr>
                  <w:t>.000</w:t>
                </w:r>
              </w:p>
            </w:tc>
          </w:tr>
          <w:tr w:rsidR="008B0FEC" w:rsidRPr="00931DCE" w14:paraId="2462F05D" w14:textId="77777777" w:rsidTr="00106BD7">
            <w:trPr>
              <w:trHeight w:val="293"/>
            </w:trPr>
            <w:tc>
              <w:tcPr>
                <w:tcW w:w="2689" w:type="dxa"/>
              </w:tcPr>
              <w:p w14:paraId="0E8805F7" w14:textId="77777777" w:rsidR="008B0FEC" w:rsidRPr="00931DCE" w:rsidRDefault="008B0FEC" w:rsidP="0050443C">
                <w:pPr>
                  <w:spacing w:before="100" w:beforeAutospacing="1" w:after="100" w:afterAutospacing="1"/>
                  <w:jc w:val="both"/>
                  <w:rPr>
                    <w:rFonts w:ascii="Times New Roman" w:hAnsi="Times New Roman"/>
                    <w:iCs/>
                    <w:sz w:val="18"/>
                    <w:szCs w:val="18"/>
                    <w:lang w:val="es-ES_tradnl"/>
                  </w:rPr>
                </w:pPr>
                <w:r w:rsidRPr="00931DCE">
                  <w:rPr>
                    <w:rFonts w:ascii="Times New Roman" w:hAnsi="Times New Roman"/>
                    <w:iCs/>
                    <w:sz w:val="18"/>
                    <w:szCs w:val="18"/>
                    <w:lang w:val="es-ES_tradnl"/>
                  </w:rPr>
                  <w:t>Carro motor con numero de vía 614</w:t>
                </w:r>
              </w:p>
            </w:tc>
            <w:tc>
              <w:tcPr>
                <w:tcW w:w="2268" w:type="dxa"/>
              </w:tcPr>
              <w:p w14:paraId="1359898F" w14:textId="77777777" w:rsidR="008B0FEC" w:rsidRPr="00931DCE" w:rsidRDefault="008B0FEC" w:rsidP="0050443C">
                <w:pPr>
                  <w:spacing w:before="100" w:beforeAutospacing="1" w:after="100" w:afterAutospacing="1"/>
                  <w:jc w:val="both"/>
                  <w:rPr>
                    <w:rFonts w:ascii="Times New Roman" w:hAnsi="Times New Roman"/>
                    <w:iCs/>
                    <w:sz w:val="18"/>
                    <w:szCs w:val="18"/>
                    <w:lang w:val="es-ES_tradnl"/>
                  </w:rPr>
                </w:pPr>
                <w:r w:rsidRPr="00931DCE">
                  <w:rPr>
                    <w:rFonts w:ascii="Times New Roman" w:hAnsi="Times New Roman"/>
                    <w:iCs/>
                    <w:sz w:val="18"/>
                    <w:szCs w:val="18"/>
                    <w:lang w:val="es-ES_tradnl"/>
                  </w:rPr>
                  <w:t>Patios Estación Ciénaga – Magdalena.</w:t>
                </w:r>
              </w:p>
            </w:tc>
            <w:tc>
              <w:tcPr>
                <w:tcW w:w="1417" w:type="dxa"/>
              </w:tcPr>
              <w:p w14:paraId="6CFEE898" w14:textId="77777777" w:rsidR="008B0FEC" w:rsidRPr="00931DCE" w:rsidRDefault="008B0FEC" w:rsidP="0050443C">
                <w:pPr>
                  <w:spacing w:before="100" w:beforeAutospacing="1" w:after="100" w:afterAutospacing="1"/>
                  <w:jc w:val="both"/>
                  <w:rPr>
                    <w:rFonts w:ascii="Times New Roman" w:hAnsi="Times New Roman"/>
                    <w:iCs/>
                    <w:sz w:val="18"/>
                    <w:szCs w:val="18"/>
                    <w:lang w:val="es-ES_tradnl"/>
                  </w:rPr>
                </w:pPr>
                <w:r w:rsidRPr="00931DCE">
                  <w:rPr>
                    <w:rFonts w:ascii="Times New Roman" w:hAnsi="Times New Roman"/>
                    <w:iCs/>
                    <w:sz w:val="18"/>
                    <w:szCs w:val="18"/>
                    <w:lang w:val="es-ES_tradnl"/>
                  </w:rPr>
                  <w:t>Operativo, Buen Estado</w:t>
                </w:r>
              </w:p>
            </w:tc>
            <w:tc>
              <w:tcPr>
                <w:tcW w:w="2609" w:type="dxa"/>
              </w:tcPr>
              <w:p w14:paraId="0A2E1186" w14:textId="0C040E41" w:rsidR="008B0FEC" w:rsidRPr="00931DCE" w:rsidRDefault="008B0FEC" w:rsidP="0050443C">
                <w:pPr>
                  <w:spacing w:before="100" w:beforeAutospacing="1" w:after="100" w:afterAutospacing="1"/>
                  <w:jc w:val="both"/>
                  <w:rPr>
                    <w:rFonts w:ascii="Times New Roman" w:hAnsi="Times New Roman"/>
                    <w:iCs/>
                    <w:sz w:val="18"/>
                    <w:szCs w:val="18"/>
                    <w:lang w:val="es-ES_tradnl"/>
                  </w:rPr>
                </w:pPr>
                <w:r w:rsidRPr="00931DCE">
                  <w:rPr>
                    <w:rFonts w:ascii="Times New Roman" w:hAnsi="Times New Roman"/>
                    <w:iCs/>
                    <w:sz w:val="18"/>
                    <w:szCs w:val="18"/>
                    <w:lang w:val="es-ES_tradnl"/>
                  </w:rPr>
                  <w:t>Valor de Mercado o costo de reposición $50.00</w:t>
                </w:r>
                <w:r w:rsidR="00DA23A9">
                  <w:rPr>
                    <w:rFonts w:ascii="Times New Roman" w:hAnsi="Times New Roman"/>
                    <w:iCs/>
                    <w:sz w:val="18"/>
                    <w:szCs w:val="18"/>
                    <w:lang w:val="es-ES_tradnl"/>
                  </w:rPr>
                  <w:t>0.000</w:t>
                </w:r>
              </w:p>
            </w:tc>
          </w:tr>
        </w:tbl>
        <w:bookmarkEnd w:id="33"/>
        <w:p w14:paraId="62A0CB06" w14:textId="73B81808" w:rsidR="00E61459" w:rsidRPr="00931DCE" w:rsidRDefault="00E61459" w:rsidP="00E61459">
          <w:pPr>
            <w:spacing w:after="0" w:line="257" w:lineRule="auto"/>
            <w:jc w:val="both"/>
            <w:rPr>
              <w:rFonts w:ascii="Times New Roman" w:hAnsi="Times New Roman"/>
              <w:sz w:val="24"/>
              <w:szCs w:val="24"/>
            </w:rPr>
          </w:pPr>
          <w:r w:rsidRPr="00931DCE">
            <w:rPr>
              <w:rFonts w:ascii="Times New Roman" w:hAnsi="Times New Roman"/>
              <w:sz w:val="24"/>
              <w:szCs w:val="24"/>
            </w:rPr>
            <w:lastRenderedPageBreak/>
            <w:t xml:space="preserve">En cuanto a los métodos de depreciación utilizados y las vidas útiles asignadas a los activos reconocidos en </w:t>
          </w:r>
          <w:r w:rsidR="001445FA" w:rsidRPr="00931DCE">
            <w:rPr>
              <w:rFonts w:ascii="Times New Roman" w:hAnsi="Times New Roman"/>
              <w:sz w:val="24"/>
              <w:szCs w:val="24"/>
            </w:rPr>
            <w:t>el modo férreo</w:t>
          </w:r>
          <w:r w:rsidRPr="00931DCE">
            <w:rPr>
              <w:rFonts w:ascii="Times New Roman" w:hAnsi="Times New Roman"/>
              <w:sz w:val="24"/>
              <w:szCs w:val="24"/>
            </w:rPr>
            <w:t xml:space="preserve">, </w:t>
          </w:r>
          <w:r w:rsidR="001445FA" w:rsidRPr="00931DCE">
            <w:rPr>
              <w:rFonts w:ascii="Times New Roman" w:hAnsi="Times New Roman"/>
              <w:sz w:val="24"/>
              <w:szCs w:val="24"/>
            </w:rPr>
            <w:t>fueron reconocidos con fundamento en lo informado en la metodología para la obtención de información, sin perjuicio de los análisis y verificaciones para el desarrollo de una técnica de reconocido valor técnico que se encuentra en estudio.</w:t>
          </w:r>
        </w:p>
        <w:p w14:paraId="351213A2" w14:textId="1187FCD4" w:rsidR="008C1103" w:rsidRPr="00931DCE" w:rsidRDefault="008C1103" w:rsidP="00E61459">
          <w:pPr>
            <w:spacing w:after="0" w:line="257" w:lineRule="auto"/>
            <w:jc w:val="both"/>
            <w:rPr>
              <w:rFonts w:ascii="Times New Roman" w:hAnsi="Times New Roman"/>
              <w:sz w:val="24"/>
              <w:szCs w:val="24"/>
            </w:rPr>
          </w:pPr>
        </w:p>
        <w:p w14:paraId="07E38997" w14:textId="7B802CD4" w:rsidR="008C1103" w:rsidRPr="00931DCE" w:rsidRDefault="00D77D81" w:rsidP="00CE4A0F">
          <w:pPr>
            <w:autoSpaceDE w:val="0"/>
            <w:autoSpaceDN w:val="0"/>
            <w:adjustRightInd w:val="0"/>
            <w:spacing w:after="0" w:line="240" w:lineRule="auto"/>
            <w:jc w:val="both"/>
            <w:rPr>
              <w:rFonts w:ascii="Times New Roman" w:hAnsi="Times New Roman"/>
              <w:sz w:val="24"/>
              <w:szCs w:val="24"/>
            </w:rPr>
          </w:pPr>
          <w:r w:rsidRPr="00CE4A0F">
            <w:rPr>
              <w:rFonts w:ascii="Times New Roman" w:hAnsi="Times New Roman"/>
              <w:sz w:val="24"/>
              <w:szCs w:val="24"/>
            </w:rPr>
            <w:t>P</w:t>
          </w:r>
          <w:r w:rsidR="002F5856" w:rsidRPr="00CE4A0F">
            <w:rPr>
              <w:rFonts w:ascii="Times New Roman" w:hAnsi="Times New Roman"/>
              <w:sz w:val="24"/>
              <w:szCs w:val="24"/>
            </w:rPr>
            <w:t>ara la Red Férrea del Atlántico</w:t>
          </w:r>
          <w:r w:rsidRPr="00CE4A0F">
            <w:rPr>
              <w:rFonts w:ascii="Times New Roman" w:hAnsi="Times New Roman"/>
              <w:sz w:val="24"/>
              <w:szCs w:val="24"/>
            </w:rPr>
            <w:t xml:space="preserve">, el valor de la depreciación </w:t>
          </w:r>
          <w:r w:rsidR="008C1103" w:rsidRPr="00CE4A0F">
            <w:rPr>
              <w:rFonts w:ascii="Times New Roman" w:hAnsi="Times New Roman"/>
              <w:sz w:val="24"/>
              <w:szCs w:val="24"/>
            </w:rPr>
            <w:t xml:space="preserve">corresponde </w:t>
          </w:r>
          <w:r w:rsidR="00CF700A" w:rsidRPr="00CE4A0F">
            <w:rPr>
              <w:rFonts w:ascii="Times New Roman" w:hAnsi="Times New Roman"/>
              <w:sz w:val="24"/>
              <w:szCs w:val="24"/>
            </w:rPr>
            <w:t>a la suma de la depreciación</w:t>
          </w:r>
          <w:r w:rsidR="00BC7093" w:rsidRPr="00CE4A0F">
            <w:rPr>
              <w:rFonts w:ascii="Times New Roman" w:hAnsi="Times New Roman"/>
              <w:sz w:val="24"/>
              <w:szCs w:val="24"/>
            </w:rPr>
            <w:t xml:space="preserve"> </w:t>
          </w:r>
          <w:r w:rsidR="00CF700A" w:rsidRPr="00CE4A0F">
            <w:rPr>
              <w:rFonts w:ascii="Times New Roman" w:hAnsi="Times New Roman"/>
              <w:sz w:val="24"/>
              <w:szCs w:val="24"/>
            </w:rPr>
            <w:t>acumulada año anterior (2022) más el valor de la depreciación calculada a diciembre de 2023.</w:t>
          </w:r>
          <w:r w:rsidR="00CE4A0F" w:rsidRPr="00CE4A0F">
            <w:rPr>
              <w:rFonts w:ascii="Times New Roman" w:hAnsi="Times New Roman"/>
              <w:sz w:val="24"/>
              <w:szCs w:val="24"/>
            </w:rPr>
            <w:t xml:space="preserve"> La depreciación se deduce en función del uso que se le dé al activo y el tiempo de la vida útil del mismo,</w:t>
          </w:r>
          <w:r w:rsidR="00CE4A0F">
            <w:rPr>
              <w:rFonts w:ascii="Times New Roman" w:hAnsi="Times New Roman"/>
              <w:sz w:val="24"/>
              <w:szCs w:val="24"/>
            </w:rPr>
            <w:t xml:space="preserve"> </w:t>
          </w:r>
          <w:r w:rsidR="00CE4A0F" w:rsidRPr="00CE4A0F">
            <w:rPr>
              <w:rFonts w:ascii="Times New Roman" w:hAnsi="Times New Roman"/>
              <w:sz w:val="24"/>
              <w:szCs w:val="24"/>
            </w:rPr>
            <w:t>el cual va desde el inicio de la entrada en operación de la infraestructura hasta la vigencia 2023. Es</w:t>
          </w:r>
          <w:r w:rsidR="00CE4A0F">
            <w:rPr>
              <w:rFonts w:ascii="Times New Roman" w:hAnsi="Times New Roman"/>
              <w:sz w:val="24"/>
              <w:szCs w:val="24"/>
            </w:rPr>
            <w:t xml:space="preserve"> </w:t>
          </w:r>
          <w:r w:rsidR="00CE4A0F" w:rsidRPr="00CE4A0F">
            <w:rPr>
              <w:rFonts w:ascii="Times New Roman" w:hAnsi="Times New Roman"/>
              <w:sz w:val="24"/>
              <w:szCs w:val="24"/>
            </w:rPr>
            <w:t>importante mencionar, que se tiene como supuesto para el cálculo un valor residual (valor de</w:t>
          </w:r>
          <w:r w:rsidR="00CE4A0F">
            <w:rPr>
              <w:rFonts w:ascii="Times New Roman" w:hAnsi="Times New Roman"/>
              <w:sz w:val="24"/>
              <w:szCs w:val="24"/>
            </w:rPr>
            <w:t xml:space="preserve"> </w:t>
          </w:r>
          <w:r w:rsidR="00CE4A0F" w:rsidRPr="00CE4A0F">
            <w:rPr>
              <w:rFonts w:ascii="Times New Roman" w:hAnsi="Times New Roman"/>
              <w:sz w:val="24"/>
              <w:szCs w:val="24"/>
            </w:rPr>
            <w:t>salvamento) de la infraestructura y superestructura del 90%, es decir que se presenta depreciación</w:t>
          </w:r>
          <w:r w:rsidR="00CE4A0F">
            <w:rPr>
              <w:rFonts w:ascii="Times New Roman" w:hAnsi="Times New Roman"/>
              <w:sz w:val="24"/>
              <w:szCs w:val="24"/>
            </w:rPr>
            <w:t xml:space="preserve"> </w:t>
          </w:r>
          <w:r w:rsidR="00CE4A0F" w:rsidRPr="00CE4A0F">
            <w:rPr>
              <w:rFonts w:ascii="Times New Roman" w:hAnsi="Times New Roman"/>
              <w:sz w:val="24"/>
              <w:szCs w:val="24"/>
            </w:rPr>
            <w:t>sobre el 10% del valor de la vía, teniendo en cuenta que es un activo que revierte a la Nación en</w:t>
          </w:r>
          <w:r w:rsidR="00CE4A0F">
            <w:rPr>
              <w:rFonts w:ascii="Times New Roman" w:hAnsi="Times New Roman"/>
              <w:sz w:val="24"/>
              <w:szCs w:val="24"/>
            </w:rPr>
            <w:t xml:space="preserve"> </w:t>
          </w:r>
          <w:r w:rsidR="00CE4A0F" w:rsidRPr="00CE4A0F">
            <w:rPr>
              <w:rFonts w:ascii="Times New Roman" w:hAnsi="Times New Roman"/>
              <w:sz w:val="24"/>
              <w:szCs w:val="24"/>
            </w:rPr>
            <w:t>condiciones de funcionalidad</w:t>
          </w:r>
          <w:r w:rsidR="00CE4A0F">
            <w:rPr>
              <w:rFonts w:ascii="Times New Roman" w:hAnsi="Times New Roman"/>
              <w:sz w:val="24"/>
              <w:szCs w:val="24"/>
            </w:rPr>
            <w:t>.</w:t>
          </w:r>
        </w:p>
        <w:p w14:paraId="7387B11E" w14:textId="77777777" w:rsidR="28B64BB0" w:rsidRDefault="28B64BB0" w:rsidP="00CE4A0F">
          <w:pPr>
            <w:autoSpaceDE w:val="0"/>
            <w:autoSpaceDN w:val="0"/>
            <w:adjustRightInd w:val="0"/>
            <w:spacing w:after="0" w:line="240" w:lineRule="auto"/>
            <w:jc w:val="both"/>
            <w:rPr>
              <w:rFonts w:ascii="Times New Roman" w:hAnsi="Times New Roman"/>
              <w:sz w:val="24"/>
              <w:szCs w:val="24"/>
            </w:rPr>
          </w:pPr>
        </w:p>
        <w:p w14:paraId="71C336D7" w14:textId="7E30403B" w:rsidR="42B4927A" w:rsidRPr="009A46BB" w:rsidRDefault="42B4927A" w:rsidP="00B71B6B">
          <w:pPr>
            <w:spacing w:after="0"/>
            <w:ind w:right="-20"/>
            <w:jc w:val="both"/>
            <w:rPr>
              <w:rFonts w:ascii="Times New Roman" w:hAnsi="Times New Roman"/>
            </w:rPr>
          </w:pPr>
          <w:r w:rsidRPr="28B64BB0">
            <w:rPr>
              <w:rFonts w:ascii="Times New Roman" w:eastAsia="Times New Roman" w:hAnsi="Times New Roman"/>
              <w:sz w:val="24"/>
              <w:szCs w:val="24"/>
            </w:rPr>
            <w:t>Valor depreciable = 10% del valor de la infraestructura</w:t>
          </w:r>
        </w:p>
        <w:p w14:paraId="0FA4BF06" w14:textId="4B2A33FE" w:rsidR="42B4927A" w:rsidRPr="009A46BB" w:rsidRDefault="42B4927A" w:rsidP="00B71B6B">
          <w:pPr>
            <w:spacing w:after="0"/>
            <w:ind w:left="-20" w:right="-20"/>
            <w:jc w:val="both"/>
            <w:rPr>
              <w:rFonts w:ascii="Times New Roman" w:hAnsi="Times New Roman"/>
            </w:rPr>
          </w:pPr>
          <w:r w:rsidRPr="28B64BB0">
            <w:rPr>
              <w:rFonts w:ascii="Times New Roman" w:eastAsia="Times New Roman" w:hAnsi="Times New Roman"/>
              <w:sz w:val="24"/>
              <w:szCs w:val="24"/>
            </w:rPr>
            <w:t>Valor Depreciación Anual= Valor depreciable/Vida Útil</w:t>
          </w:r>
        </w:p>
        <w:p w14:paraId="2D43A92A" w14:textId="74B03D2C" w:rsidR="42B4927A" w:rsidRPr="009A46BB" w:rsidRDefault="42B4927A" w:rsidP="00B71B6B">
          <w:pPr>
            <w:spacing w:after="0"/>
            <w:ind w:left="-20" w:right="-20"/>
            <w:jc w:val="both"/>
            <w:rPr>
              <w:rFonts w:ascii="Times New Roman" w:hAnsi="Times New Roman"/>
            </w:rPr>
          </w:pPr>
          <w:r w:rsidRPr="28B64BB0">
            <w:rPr>
              <w:rFonts w:ascii="Times New Roman" w:eastAsia="Times New Roman" w:hAnsi="Times New Roman"/>
              <w:sz w:val="24"/>
              <w:szCs w:val="24"/>
            </w:rPr>
            <w:t>Depreciación Acumulada a Dic-2023 = Valor depreciable / Vida Útil* años de operación hasta dic 2023</w:t>
          </w:r>
        </w:p>
        <w:p w14:paraId="0A6C583B" w14:textId="21A3E60B" w:rsidR="42B4927A" w:rsidRPr="009A46BB" w:rsidRDefault="42B4927A" w:rsidP="00B71B6B">
          <w:pPr>
            <w:spacing w:after="0"/>
            <w:ind w:left="-20" w:right="-20"/>
            <w:jc w:val="both"/>
            <w:rPr>
              <w:rFonts w:ascii="Times New Roman" w:hAnsi="Times New Roman"/>
            </w:rPr>
          </w:pPr>
          <w:r w:rsidRPr="28B64BB0">
            <w:rPr>
              <w:rFonts w:ascii="Times New Roman" w:eastAsia="Times New Roman" w:hAnsi="Times New Roman"/>
              <w:sz w:val="24"/>
              <w:szCs w:val="24"/>
            </w:rPr>
            <w:t>Años de operación: Fecha de corte- Fecha Inicio del Contrato (Expresada en años)</w:t>
          </w:r>
        </w:p>
        <w:p w14:paraId="69A408C7" w14:textId="6CE1ACC9" w:rsidR="239B7805" w:rsidRDefault="239B7805" w:rsidP="00B71B6B">
          <w:pPr>
            <w:spacing w:after="0"/>
            <w:ind w:left="-20" w:right="-20"/>
            <w:jc w:val="both"/>
            <w:rPr>
              <w:rFonts w:ascii="Times New Roman" w:eastAsia="Times New Roman" w:hAnsi="Times New Roman"/>
              <w:sz w:val="24"/>
              <w:szCs w:val="24"/>
            </w:rPr>
          </w:pPr>
          <w:r w:rsidRPr="4796D823">
            <w:rPr>
              <w:rFonts w:ascii="Times New Roman" w:eastAsia="Times New Roman" w:hAnsi="Times New Roman"/>
              <w:sz w:val="24"/>
              <w:szCs w:val="24"/>
            </w:rPr>
            <w:t>Fecha de acta de Inicio: 3- mar- 00</w:t>
          </w:r>
        </w:p>
        <w:p w14:paraId="52F5DDF2" w14:textId="13AC2268" w:rsidR="239B7805" w:rsidRDefault="239B7805" w:rsidP="00B71B6B">
          <w:pPr>
            <w:spacing w:after="0"/>
            <w:ind w:left="-20" w:right="-20"/>
            <w:jc w:val="both"/>
            <w:rPr>
              <w:rFonts w:ascii="Times New Roman" w:eastAsia="Times New Roman" w:hAnsi="Times New Roman"/>
              <w:sz w:val="24"/>
              <w:szCs w:val="24"/>
            </w:rPr>
          </w:pPr>
          <w:r w:rsidRPr="4796D823">
            <w:rPr>
              <w:rFonts w:ascii="Times New Roman" w:eastAsia="Times New Roman" w:hAnsi="Times New Roman"/>
              <w:sz w:val="24"/>
              <w:szCs w:val="24"/>
            </w:rPr>
            <w:t>Fecha de corte: 31 – Dic-23</w:t>
          </w:r>
        </w:p>
        <w:p w14:paraId="568FD42B" w14:textId="33AFDF16" w:rsidR="42B4927A" w:rsidRDefault="42B4927A" w:rsidP="00B71B6B">
          <w:pPr>
            <w:spacing w:after="0"/>
            <w:ind w:left="-20" w:right="-20"/>
            <w:jc w:val="both"/>
            <w:rPr>
              <w:rFonts w:ascii="Times New Roman" w:eastAsia="Times New Roman" w:hAnsi="Times New Roman"/>
              <w:sz w:val="24"/>
              <w:szCs w:val="24"/>
            </w:rPr>
          </w:pPr>
          <w:r w:rsidRPr="4796D823">
            <w:rPr>
              <w:rFonts w:ascii="Times New Roman" w:eastAsia="Times New Roman" w:hAnsi="Times New Roman"/>
              <w:sz w:val="24"/>
              <w:szCs w:val="24"/>
            </w:rPr>
            <w:t>Años de Operación a diciembre de 202</w:t>
          </w:r>
          <w:r w:rsidR="7B940356" w:rsidRPr="4796D823">
            <w:rPr>
              <w:rFonts w:ascii="Times New Roman" w:eastAsia="Times New Roman" w:hAnsi="Times New Roman"/>
              <w:sz w:val="24"/>
              <w:szCs w:val="24"/>
            </w:rPr>
            <w:t>3</w:t>
          </w:r>
          <w:r w:rsidRPr="4796D823">
            <w:rPr>
              <w:rFonts w:ascii="Times New Roman" w:eastAsia="Times New Roman" w:hAnsi="Times New Roman"/>
              <w:sz w:val="24"/>
              <w:szCs w:val="24"/>
            </w:rPr>
            <w:t xml:space="preserve"> = 22.83 Años (Calculo base 360 días).</w:t>
          </w:r>
        </w:p>
        <w:p w14:paraId="413991B3" w14:textId="77777777" w:rsidR="00C26979" w:rsidRDefault="00C26979" w:rsidP="00B71B6B">
          <w:pPr>
            <w:spacing w:after="0"/>
            <w:ind w:left="-20" w:right="-20"/>
            <w:jc w:val="both"/>
            <w:rPr>
              <w:rFonts w:ascii="Times New Roman" w:eastAsia="Times New Roman" w:hAnsi="Times New Roman"/>
              <w:sz w:val="24"/>
              <w:szCs w:val="24"/>
            </w:rPr>
          </w:pPr>
        </w:p>
        <w:p w14:paraId="61B0DAD4" w14:textId="350E964B" w:rsidR="00983E40" w:rsidRPr="00931DCE" w:rsidRDefault="000B2FBE">
          <w:pPr>
            <w:pStyle w:val="Ttulo2"/>
            <w:numPr>
              <w:ilvl w:val="1"/>
              <w:numId w:val="11"/>
            </w:numPr>
            <w:ind w:left="567" w:hanging="567"/>
            <w:rPr>
              <w:rFonts w:cs="Times New Roman"/>
              <w:szCs w:val="22"/>
            </w:rPr>
          </w:pPr>
          <w:bookmarkStart w:id="34" w:name="_Toc159952378"/>
          <w:r w:rsidRPr="00931DCE">
            <w:rPr>
              <w:rFonts w:cs="Times New Roman"/>
              <w:szCs w:val="22"/>
            </w:rPr>
            <w:t xml:space="preserve">Detalle saldos y movimientos </w:t>
          </w:r>
          <w:r w:rsidR="00983E40" w:rsidRPr="00931DCE">
            <w:rPr>
              <w:rFonts w:cs="Times New Roman"/>
              <w:szCs w:val="22"/>
            </w:rPr>
            <w:t>PPE - Inmuebles</w:t>
          </w:r>
          <w:bookmarkEnd w:id="34"/>
        </w:p>
        <w:p w14:paraId="6BBF3214" w14:textId="77777777" w:rsidR="00682D97" w:rsidRDefault="00682D97" w:rsidP="004A000E">
          <w:pPr>
            <w:spacing w:after="0" w:line="240" w:lineRule="auto"/>
            <w:jc w:val="both"/>
            <w:rPr>
              <w:rFonts w:ascii="Times New Roman" w:hAnsi="Times New Roman"/>
              <w:sz w:val="24"/>
              <w:szCs w:val="24"/>
            </w:rPr>
          </w:pPr>
        </w:p>
        <w:p w14:paraId="5E30A60B" w14:textId="6BF9DDCF" w:rsidR="005E5A3C" w:rsidRPr="00931DCE" w:rsidRDefault="005E5A3C" w:rsidP="004A000E">
          <w:pPr>
            <w:spacing w:after="0" w:line="240" w:lineRule="auto"/>
            <w:jc w:val="both"/>
            <w:rPr>
              <w:rFonts w:ascii="Times New Roman" w:hAnsi="Times New Roman"/>
              <w:sz w:val="24"/>
              <w:szCs w:val="24"/>
            </w:rPr>
          </w:pPr>
          <w:r w:rsidRPr="00931DCE">
            <w:rPr>
              <w:rFonts w:ascii="Times New Roman" w:hAnsi="Times New Roman"/>
              <w:sz w:val="24"/>
              <w:szCs w:val="24"/>
            </w:rPr>
            <w:t>Los bienes inmuebles que se presentan en las propiedades, planta y equipo corresponden a bienes informados en virtud de la ejecución de los contratos de concesión.</w:t>
          </w:r>
          <w:r w:rsidR="005F1948" w:rsidRPr="00931DCE">
            <w:rPr>
              <w:rFonts w:ascii="Times New Roman" w:hAnsi="Times New Roman"/>
              <w:sz w:val="24"/>
              <w:szCs w:val="24"/>
            </w:rPr>
            <w:t xml:space="preserve"> </w:t>
          </w:r>
          <w:r w:rsidR="00D77D81" w:rsidRPr="00931DCE">
            <w:rPr>
              <w:rFonts w:ascii="Times New Roman" w:hAnsi="Times New Roman"/>
              <w:sz w:val="24"/>
              <w:szCs w:val="24"/>
            </w:rPr>
            <w:t>P</w:t>
          </w:r>
          <w:r w:rsidRPr="00931DCE">
            <w:rPr>
              <w:rFonts w:ascii="Times New Roman" w:hAnsi="Times New Roman"/>
              <w:sz w:val="24"/>
              <w:szCs w:val="24"/>
            </w:rPr>
            <w:t>ara uso administrativo</w:t>
          </w:r>
          <w:r w:rsidR="00D77D81" w:rsidRPr="00931DCE">
            <w:rPr>
              <w:rFonts w:ascii="Times New Roman" w:hAnsi="Times New Roman"/>
              <w:sz w:val="24"/>
              <w:szCs w:val="24"/>
            </w:rPr>
            <w:t xml:space="preserve">, la Agencia </w:t>
          </w:r>
          <w:r w:rsidRPr="00931DCE">
            <w:rPr>
              <w:rFonts w:ascii="Times New Roman" w:hAnsi="Times New Roman"/>
              <w:sz w:val="24"/>
              <w:szCs w:val="24"/>
            </w:rPr>
            <w:t>no posee inmuebles.</w:t>
          </w:r>
        </w:p>
        <w:p w14:paraId="128173B7" w14:textId="77777777" w:rsidR="00D77D81" w:rsidRPr="00931DCE" w:rsidRDefault="00D77D81" w:rsidP="004A000E">
          <w:pPr>
            <w:spacing w:after="0" w:line="240" w:lineRule="auto"/>
            <w:jc w:val="both"/>
            <w:rPr>
              <w:rFonts w:ascii="Times New Roman" w:hAnsi="Times New Roman"/>
              <w:sz w:val="24"/>
              <w:szCs w:val="24"/>
            </w:rPr>
          </w:pPr>
        </w:p>
        <w:p w14:paraId="0064E8A6" w14:textId="68F1777A" w:rsidR="001B7965" w:rsidRPr="00931DCE" w:rsidRDefault="00D77D81" w:rsidP="004A000E">
          <w:pPr>
            <w:spacing w:after="0" w:line="240" w:lineRule="auto"/>
            <w:jc w:val="both"/>
            <w:rPr>
              <w:rFonts w:ascii="Times New Roman" w:hAnsi="Times New Roman"/>
              <w:sz w:val="24"/>
              <w:szCs w:val="24"/>
            </w:rPr>
          </w:pPr>
          <w:r w:rsidRPr="00931DCE">
            <w:rPr>
              <w:rFonts w:ascii="Times New Roman" w:hAnsi="Times New Roman"/>
              <w:sz w:val="24"/>
              <w:szCs w:val="24"/>
            </w:rPr>
            <w:t xml:space="preserve">Detalle </w:t>
          </w:r>
          <w:r w:rsidR="00682D97" w:rsidRPr="00931DCE">
            <w:rPr>
              <w:rFonts w:ascii="Times New Roman" w:hAnsi="Times New Roman"/>
              <w:sz w:val="24"/>
              <w:szCs w:val="24"/>
            </w:rPr>
            <w:t>de los bienes inmuebles en concesión</w:t>
          </w:r>
          <w:r w:rsidR="00C73DED" w:rsidRPr="00931DCE">
            <w:rPr>
              <w:rFonts w:ascii="Times New Roman" w:hAnsi="Times New Roman"/>
              <w:sz w:val="24"/>
              <w:szCs w:val="24"/>
            </w:rPr>
            <w:t>:</w:t>
          </w:r>
        </w:p>
        <w:p w14:paraId="2A0B56A4" w14:textId="1007A042" w:rsidR="009A6DAC" w:rsidRPr="00931DCE" w:rsidRDefault="009A6DAC" w:rsidP="004A000E">
          <w:pPr>
            <w:spacing w:after="0" w:line="240" w:lineRule="auto"/>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1"/>
            <w:gridCol w:w="2619"/>
            <w:gridCol w:w="1134"/>
            <w:gridCol w:w="1419"/>
            <w:gridCol w:w="1134"/>
            <w:gridCol w:w="1135"/>
            <w:gridCol w:w="1317"/>
          </w:tblGrid>
          <w:tr w:rsidR="007C4BFB" w:rsidRPr="007C4BFB" w14:paraId="47E4B73B" w14:textId="77777777" w:rsidTr="00C62D64">
            <w:trPr>
              <w:trHeight w:val="315"/>
              <w:tblHeader/>
            </w:trPr>
            <w:tc>
              <w:tcPr>
                <w:tcW w:w="5000" w:type="pct"/>
                <w:gridSpan w:val="7"/>
                <w:tcBorders>
                  <w:top w:val="single" w:sz="4" w:space="0" w:color="808080" w:themeColor="background1" w:themeShade="80"/>
                  <w:left w:val="single" w:sz="4"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24E031D6" w14:textId="7CB8BF0B" w:rsidR="007C4BFB" w:rsidRPr="009A46BB" w:rsidRDefault="007C4BFB" w:rsidP="007C4BFB">
                <w:pPr>
                  <w:spacing w:after="0" w:line="240" w:lineRule="auto"/>
                  <w:jc w:val="center"/>
                  <w:rPr>
                    <w:rFonts w:ascii="Times New Roman" w:eastAsia="Times New Roman" w:hAnsi="Times New Roman"/>
                    <w:b/>
                    <w:color w:val="000000"/>
                    <w:sz w:val="15"/>
                    <w:szCs w:val="15"/>
                    <w:lang w:eastAsia="es-CO"/>
                  </w:rPr>
                </w:pPr>
                <w:r w:rsidRPr="009A46BB">
                  <w:rPr>
                    <w:rFonts w:ascii="Times New Roman" w:eastAsia="Times New Roman" w:hAnsi="Times New Roman"/>
                    <w:b/>
                    <w:color w:val="000000"/>
                    <w:sz w:val="15"/>
                    <w:szCs w:val="15"/>
                    <w:lang w:eastAsia="es-CO"/>
                  </w:rPr>
                  <w:t>PROPIEDADES, PLANTA Y EQUIPO EN CONCESIÓN</w:t>
                </w:r>
              </w:p>
            </w:tc>
          </w:tr>
          <w:tr w:rsidR="009F5D00" w:rsidRPr="007C4BFB" w14:paraId="350F2403" w14:textId="77777777" w:rsidTr="00C62D64">
            <w:trPr>
              <w:trHeight w:val="538"/>
              <w:tblHeader/>
            </w:trPr>
            <w:tc>
              <w:tcPr>
                <w:tcW w:w="1578" w:type="pct"/>
                <w:gridSpan w:val="2"/>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hideMark/>
              </w:tcPr>
              <w:p w14:paraId="2C564021" w14:textId="77777777" w:rsidR="007C4BFB" w:rsidRPr="009A46BB" w:rsidRDefault="007C4BFB" w:rsidP="007C4BFB">
                <w:pPr>
                  <w:spacing w:after="0" w:line="240" w:lineRule="auto"/>
                  <w:jc w:val="center"/>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CONCEPTOS Y TRANSACCIONES</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hideMark/>
              </w:tcPr>
              <w:p w14:paraId="03E708D6" w14:textId="77777777" w:rsidR="007C4BFB" w:rsidRPr="004438DE" w:rsidRDefault="007C4BFB" w:rsidP="007C4BFB">
                <w:pPr>
                  <w:spacing w:after="0" w:line="240" w:lineRule="auto"/>
                  <w:jc w:val="center"/>
                  <w:rPr>
                    <w:rFonts w:ascii="Times New Roman" w:eastAsia="Times New Roman" w:hAnsi="Times New Roman"/>
                    <w:b/>
                    <w:sz w:val="15"/>
                    <w:szCs w:val="15"/>
                    <w:lang w:eastAsia="es-CO"/>
                  </w:rPr>
                </w:pPr>
                <w:r w:rsidRPr="004438DE">
                  <w:rPr>
                    <w:rFonts w:ascii="Times New Roman" w:eastAsia="Times New Roman" w:hAnsi="Times New Roman"/>
                    <w:b/>
                    <w:sz w:val="15"/>
                    <w:szCs w:val="15"/>
                    <w:lang w:eastAsia="es-CO"/>
                  </w:rPr>
                  <w:t>TERRENOS</w:t>
                </w:r>
              </w:p>
            </w:tc>
            <w:tc>
              <w:tcPr>
                <w:tcW w:w="791"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hideMark/>
              </w:tcPr>
              <w:p w14:paraId="514A9ADC" w14:textId="77777777" w:rsidR="007C4BFB" w:rsidRPr="004438DE" w:rsidRDefault="007C4BFB" w:rsidP="007C4BFB">
                <w:pPr>
                  <w:spacing w:after="0" w:line="240" w:lineRule="auto"/>
                  <w:jc w:val="center"/>
                  <w:rPr>
                    <w:rFonts w:ascii="Times New Roman" w:eastAsia="Times New Roman" w:hAnsi="Times New Roman"/>
                    <w:b/>
                    <w:sz w:val="15"/>
                    <w:szCs w:val="15"/>
                    <w:lang w:eastAsia="es-CO"/>
                  </w:rPr>
                </w:pPr>
                <w:r w:rsidRPr="004438DE">
                  <w:rPr>
                    <w:rFonts w:ascii="Times New Roman" w:eastAsia="Times New Roman" w:hAnsi="Times New Roman"/>
                    <w:b/>
                    <w:sz w:val="15"/>
                    <w:szCs w:val="15"/>
                    <w:lang w:eastAsia="es-CO"/>
                  </w:rPr>
                  <w:t>EDIFICACIONES</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hideMark/>
              </w:tcPr>
              <w:p w14:paraId="3623CEB4" w14:textId="77777777" w:rsidR="007C4BFB" w:rsidRPr="004438DE" w:rsidRDefault="007C4BFB" w:rsidP="007C4BFB">
                <w:pPr>
                  <w:spacing w:after="0" w:line="240" w:lineRule="auto"/>
                  <w:jc w:val="center"/>
                  <w:rPr>
                    <w:rFonts w:ascii="Times New Roman" w:eastAsia="Times New Roman" w:hAnsi="Times New Roman"/>
                    <w:b/>
                    <w:sz w:val="15"/>
                    <w:szCs w:val="15"/>
                    <w:lang w:eastAsia="es-CO"/>
                  </w:rPr>
                </w:pPr>
                <w:r w:rsidRPr="004438DE">
                  <w:rPr>
                    <w:rFonts w:ascii="Times New Roman" w:eastAsia="Times New Roman" w:hAnsi="Times New Roman"/>
                    <w:b/>
                    <w:sz w:val="15"/>
                    <w:szCs w:val="15"/>
                    <w:lang w:eastAsia="es-CO"/>
                  </w:rPr>
                  <w:t>PLANTAS, DUCTOS Y TÚNELES</w:t>
                </w:r>
              </w:p>
            </w:tc>
            <w:tc>
              <w:tcPr>
                <w:tcW w:w="633"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hideMark/>
              </w:tcPr>
              <w:p w14:paraId="16BD8EA2" w14:textId="77777777" w:rsidR="007C4BFB" w:rsidRPr="004438DE" w:rsidRDefault="007C4BFB" w:rsidP="007C4BFB">
                <w:pPr>
                  <w:spacing w:after="0" w:line="240" w:lineRule="auto"/>
                  <w:jc w:val="center"/>
                  <w:rPr>
                    <w:rFonts w:ascii="Times New Roman" w:eastAsia="Times New Roman" w:hAnsi="Times New Roman"/>
                    <w:b/>
                    <w:sz w:val="15"/>
                    <w:szCs w:val="15"/>
                    <w:lang w:eastAsia="es-CO"/>
                  </w:rPr>
                </w:pPr>
                <w:r w:rsidRPr="004438DE">
                  <w:rPr>
                    <w:rFonts w:ascii="Times New Roman" w:eastAsia="Times New Roman" w:hAnsi="Times New Roman"/>
                    <w:b/>
                    <w:sz w:val="15"/>
                    <w:szCs w:val="15"/>
                    <w:lang w:eastAsia="es-CO"/>
                  </w:rPr>
                  <w:t>REDES, LÍNEAS Y CABLES</w:t>
                </w:r>
              </w:p>
            </w:tc>
            <w:tc>
              <w:tcPr>
                <w:tcW w:w="73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vAlign w:val="center"/>
                <w:hideMark/>
              </w:tcPr>
              <w:p w14:paraId="01159C05" w14:textId="77777777" w:rsidR="007C4BFB" w:rsidRPr="004438DE" w:rsidRDefault="007C4BFB" w:rsidP="007C4BFB">
                <w:pPr>
                  <w:spacing w:after="0" w:line="240" w:lineRule="auto"/>
                  <w:jc w:val="center"/>
                  <w:rPr>
                    <w:rFonts w:ascii="Times New Roman" w:eastAsia="Times New Roman" w:hAnsi="Times New Roman"/>
                    <w:b/>
                    <w:sz w:val="15"/>
                    <w:szCs w:val="15"/>
                    <w:lang w:eastAsia="es-CO"/>
                  </w:rPr>
                </w:pPr>
                <w:r w:rsidRPr="004438DE">
                  <w:rPr>
                    <w:rFonts w:ascii="Times New Roman" w:eastAsia="Times New Roman" w:hAnsi="Times New Roman"/>
                    <w:b/>
                    <w:sz w:val="15"/>
                    <w:szCs w:val="15"/>
                    <w:lang w:eastAsia="es-CO"/>
                  </w:rPr>
                  <w:t>TOTAL</w:t>
                </w:r>
              </w:p>
            </w:tc>
          </w:tr>
          <w:tr w:rsidR="009F5D00" w:rsidRPr="007C4BFB" w14:paraId="325F5AFC" w14:textId="77777777" w:rsidTr="00106BD7">
            <w:trPr>
              <w:trHeight w:val="300"/>
            </w:trPr>
            <w:tc>
              <w:tcPr>
                <w:tcW w:w="1578" w:type="pct"/>
                <w:gridSpan w:val="2"/>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hideMark/>
              </w:tcPr>
              <w:p w14:paraId="20E569C6" w14:textId="77777777" w:rsidR="007C4BFB" w:rsidRPr="009A46BB" w:rsidRDefault="007C4BFB" w:rsidP="007C4BFB">
                <w:pPr>
                  <w:spacing w:after="0" w:line="240" w:lineRule="auto"/>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SALDO INICIAL (01-ene)</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C179860" w14:textId="77777777" w:rsidR="007C4BFB" w:rsidRPr="009A46BB" w:rsidRDefault="007C4BFB" w:rsidP="007C4BFB">
                <w:pPr>
                  <w:spacing w:after="0" w:line="240" w:lineRule="auto"/>
                  <w:jc w:val="right"/>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0 </w:t>
                </w:r>
              </w:p>
            </w:tc>
            <w:tc>
              <w:tcPr>
                <w:tcW w:w="791"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03D68FD" w14:textId="77777777" w:rsidR="007C4BFB" w:rsidRPr="009A46BB" w:rsidRDefault="007C4BFB" w:rsidP="007C4BFB">
                <w:pPr>
                  <w:spacing w:after="0" w:line="240" w:lineRule="auto"/>
                  <w:jc w:val="right"/>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66.806.093.488 </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EF18664" w14:textId="77777777" w:rsidR="007C4BFB" w:rsidRPr="009A46BB" w:rsidRDefault="007C4BFB" w:rsidP="007C4BFB">
                <w:pPr>
                  <w:spacing w:after="0" w:line="240" w:lineRule="auto"/>
                  <w:jc w:val="right"/>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4.277.502.235 </w:t>
                </w:r>
              </w:p>
            </w:tc>
            <w:tc>
              <w:tcPr>
                <w:tcW w:w="633"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2BD8FA1" w14:textId="77777777" w:rsidR="007C4BFB" w:rsidRPr="009A46BB" w:rsidRDefault="007C4BFB" w:rsidP="007C4BFB">
                <w:pPr>
                  <w:spacing w:after="0" w:line="240" w:lineRule="auto"/>
                  <w:jc w:val="right"/>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16.399.913.224 </w:t>
                </w:r>
              </w:p>
            </w:tc>
            <w:tc>
              <w:tcPr>
                <w:tcW w:w="73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6D3C0381" w14:textId="77777777" w:rsidR="007C4BFB" w:rsidRPr="009A46BB" w:rsidRDefault="007C4BFB" w:rsidP="007C4BFB">
                <w:pPr>
                  <w:spacing w:after="0" w:line="240" w:lineRule="auto"/>
                  <w:jc w:val="right"/>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87.483.508.947 </w:t>
                </w:r>
              </w:p>
            </w:tc>
          </w:tr>
          <w:tr w:rsidR="00526AAD" w:rsidRPr="007C4BFB" w14:paraId="58781635" w14:textId="77777777" w:rsidTr="00106BD7">
            <w:trPr>
              <w:trHeight w:val="300"/>
            </w:trPr>
            <w:tc>
              <w:tcPr>
                <w:tcW w:w="118"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0F32376A" w14:textId="77777777" w:rsidR="007C4BFB" w:rsidRPr="009A46BB" w:rsidRDefault="007C4BFB" w:rsidP="007C4BFB">
                <w:pPr>
                  <w:spacing w:after="0" w:line="240" w:lineRule="auto"/>
                  <w:jc w:val="center"/>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w:t>
                </w:r>
              </w:p>
            </w:tc>
            <w:tc>
              <w:tcPr>
                <w:tcW w:w="1460"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hideMark/>
              </w:tcPr>
              <w:p w14:paraId="14848406" w14:textId="77777777" w:rsidR="007C4BFB" w:rsidRPr="009A46BB" w:rsidRDefault="007C4BFB" w:rsidP="007C4BFB">
                <w:pPr>
                  <w:spacing w:after="0" w:line="240" w:lineRule="auto"/>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ENTRADAS (DB):</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3AC99B98" w14:textId="77777777" w:rsidR="007C4BFB" w:rsidRPr="009A46BB" w:rsidRDefault="007C4BFB" w:rsidP="007C4BFB">
                <w:pPr>
                  <w:spacing w:after="0" w:line="240" w:lineRule="auto"/>
                  <w:jc w:val="right"/>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52.513.513.120 </w:t>
                </w:r>
              </w:p>
            </w:tc>
            <w:tc>
              <w:tcPr>
                <w:tcW w:w="791"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6362DFA6" w14:textId="77777777" w:rsidR="007C4BFB" w:rsidRPr="009A46BB" w:rsidRDefault="007C4BFB" w:rsidP="007C4BFB">
                <w:pPr>
                  <w:spacing w:after="0" w:line="240" w:lineRule="auto"/>
                  <w:jc w:val="right"/>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20.740.276.950 </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632ABD71" w14:textId="77777777" w:rsidR="007C4BFB" w:rsidRPr="009A46BB" w:rsidRDefault="007C4BFB" w:rsidP="007C4BFB">
                <w:pPr>
                  <w:spacing w:after="0" w:line="240" w:lineRule="auto"/>
                  <w:jc w:val="right"/>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0 </w:t>
                </w:r>
              </w:p>
            </w:tc>
            <w:tc>
              <w:tcPr>
                <w:tcW w:w="633"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9B28598" w14:textId="77777777" w:rsidR="007C4BFB" w:rsidRPr="009A46BB" w:rsidRDefault="007C4BFB" w:rsidP="007C4BFB">
                <w:pPr>
                  <w:spacing w:after="0" w:line="240" w:lineRule="auto"/>
                  <w:jc w:val="right"/>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0 </w:t>
                </w:r>
              </w:p>
            </w:tc>
            <w:tc>
              <w:tcPr>
                <w:tcW w:w="73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50BC077D" w14:textId="77777777" w:rsidR="007C4BFB" w:rsidRPr="009A46BB" w:rsidRDefault="007C4BFB" w:rsidP="007C4BFB">
                <w:pPr>
                  <w:spacing w:after="0" w:line="240" w:lineRule="auto"/>
                  <w:jc w:val="right"/>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73.253.790.070 </w:t>
                </w:r>
              </w:p>
            </w:tc>
          </w:tr>
          <w:tr w:rsidR="00526AAD" w:rsidRPr="007C4BFB" w14:paraId="419F0C39" w14:textId="77777777" w:rsidTr="00106BD7">
            <w:trPr>
              <w:trHeight w:val="300"/>
            </w:trPr>
            <w:tc>
              <w:tcPr>
                <w:tcW w:w="1578" w:type="pct"/>
                <w:gridSpan w:val="2"/>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485E1AE" w14:textId="20791347" w:rsidR="007C4BFB" w:rsidRPr="009A46BB" w:rsidRDefault="00DB39A7" w:rsidP="007C4BFB">
                <w:pPr>
                  <w:spacing w:after="0" w:line="240" w:lineRule="auto"/>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w:t>
                </w:r>
                <w:r w:rsidR="007C4BFB" w:rsidRPr="009A46BB">
                  <w:rPr>
                    <w:rFonts w:ascii="Times New Roman" w:eastAsia="Times New Roman" w:hAnsi="Times New Roman"/>
                    <w:sz w:val="15"/>
                    <w:szCs w:val="15"/>
                    <w:lang w:eastAsia="es-CO"/>
                  </w:rPr>
                  <w:t>Otras entradas de bienes inmuebles</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F2FA780" w14:textId="77777777" w:rsidR="007C4BFB" w:rsidRPr="009A46BB" w:rsidRDefault="007C4BFB" w:rsidP="007C4BFB">
                <w:pPr>
                  <w:spacing w:after="0" w:line="240" w:lineRule="auto"/>
                  <w:jc w:val="right"/>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xml:space="preserve">52.513.513.120 </w:t>
                </w:r>
              </w:p>
            </w:tc>
            <w:tc>
              <w:tcPr>
                <w:tcW w:w="791"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239CACB" w14:textId="77777777" w:rsidR="007C4BFB" w:rsidRPr="009A46BB" w:rsidRDefault="007C4BFB" w:rsidP="007C4BFB">
                <w:pPr>
                  <w:spacing w:after="0" w:line="240" w:lineRule="auto"/>
                  <w:jc w:val="right"/>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xml:space="preserve">20.740.276.950 </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3E2599CC" w14:textId="77777777" w:rsidR="007C4BFB" w:rsidRPr="009A46BB" w:rsidRDefault="007C4BFB" w:rsidP="007C4BFB">
                <w:pPr>
                  <w:spacing w:after="0" w:line="240" w:lineRule="auto"/>
                  <w:jc w:val="right"/>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xml:space="preserve">0 </w:t>
                </w:r>
              </w:p>
            </w:tc>
            <w:tc>
              <w:tcPr>
                <w:tcW w:w="633"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38A0EF6" w14:textId="77777777" w:rsidR="007C4BFB" w:rsidRPr="009A46BB" w:rsidRDefault="007C4BFB" w:rsidP="007C4BFB">
                <w:pPr>
                  <w:spacing w:after="0" w:line="240" w:lineRule="auto"/>
                  <w:jc w:val="right"/>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xml:space="preserve">0 </w:t>
                </w:r>
              </w:p>
            </w:tc>
            <w:tc>
              <w:tcPr>
                <w:tcW w:w="73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226CC3C4" w14:textId="77777777" w:rsidR="007C4BFB" w:rsidRPr="009A46BB" w:rsidRDefault="007C4BFB" w:rsidP="007C4BFB">
                <w:pPr>
                  <w:spacing w:after="0" w:line="240" w:lineRule="auto"/>
                  <w:jc w:val="right"/>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xml:space="preserve">73.253.790.070 </w:t>
                </w:r>
              </w:p>
            </w:tc>
          </w:tr>
          <w:tr w:rsidR="00526AAD" w:rsidRPr="007C4BFB" w14:paraId="7911EB96" w14:textId="77777777" w:rsidTr="00106BD7">
            <w:trPr>
              <w:trHeight w:val="449"/>
            </w:trPr>
            <w:tc>
              <w:tcPr>
                <w:tcW w:w="1578" w:type="pct"/>
                <w:gridSpan w:val="2"/>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6F79ECDC" w14:textId="77777777" w:rsidR="007C4BFB" w:rsidRPr="009A46BB" w:rsidRDefault="007C4BFB" w:rsidP="007C4BFB">
                <w:pPr>
                  <w:spacing w:after="0" w:line="240" w:lineRule="auto"/>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Activos asociados al modo de transporte portuario</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3380A60A" w14:textId="77777777" w:rsidR="007C4BFB" w:rsidRPr="009A46BB" w:rsidRDefault="007C4BFB" w:rsidP="007C4BFB">
                <w:pPr>
                  <w:spacing w:after="0" w:line="240" w:lineRule="auto"/>
                  <w:jc w:val="right"/>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xml:space="preserve">52.513.513.120 </w:t>
                </w:r>
              </w:p>
            </w:tc>
            <w:tc>
              <w:tcPr>
                <w:tcW w:w="791"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696E99AF" w14:textId="77777777" w:rsidR="007C4BFB" w:rsidRPr="009A46BB" w:rsidRDefault="007C4BFB" w:rsidP="007C4BFB">
                <w:pPr>
                  <w:spacing w:after="0" w:line="240" w:lineRule="auto"/>
                  <w:jc w:val="right"/>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xml:space="preserve">20.740.276.950 </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30AB66D" w14:textId="77777777" w:rsidR="007C4BFB" w:rsidRPr="009A46BB" w:rsidRDefault="007C4BFB" w:rsidP="007C4BFB">
                <w:pPr>
                  <w:spacing w:after="0" w:line="240" w:lineRule="auto"/>
                  <w:jc w:val="right"/>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xml:space="preserve">0 </w:t>
                </w:r>
              </w:p>
            </w:tc>
            <w:tc>
              <w:tcPr>
                <w:tcW w:w="633"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D0543FF" w14:textId="77777777" w:rsidR="007C4BFB" w:rsidRPr="009A46BB" w:rsidRDefault="007C4BFB" w:rsidP="007C4BFB">
                <w:pPr>
                  <w:spacing w:after="0" w:line="240" w:lineRule="auto"/>
                  <w:jc w:val="right"/>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xml:space="preserve">0 </w:t>
                </w:r>
              </w:p>
            </w:tc>
            <w:tc>
              <w:tcPr>
                <w:tcW w:w="73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2E0E63A8" w14:textId="77777777" w:rsidR="007C4BFB" w:rsidRPr="009A46BB" w:rsidRDefault="007C4BFB" w:rsidP="007C4BFB">
                <w:pPr>
                  <w:spacing w:after="0" w:line="240" w:lineRule="auto"/>
                  <w:jc w:val="right"/>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xml:space="preserve">73.253.790.070 </w:t>
                </w:r>
              </w:p>
            </w:tc>
          </w:tr>
          <w:tr w:rsidR="00526AAD" w:rsidRPr="007C4BFB" w14:paraId="41B50F76" w14:textId="77777777" w:rsidTr="00106BD7">
            <w:trPr>
              <w:trHeight w:val="300"/>
            </w:trPr>
            <w:tc>
              <w:tcPr>
                <w:tcW w:w="118"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3F87C53D" w14:textId="77777777" w:rsidR="007C4BFB" w:rsidRPr="009A46BB" w:rsidRDefault="007C4BFB" w:rsidP="007C4BFB">
                <w:pPr>
                  <w:spacing w:after="0" w:line="240" w:lineRule="auto"/>
                  <w:jc w:val="center"/>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w:t>
                </w:r>
              </w:p>
            </w:tc>
            <w:tc>
              <w:tcPr>
                <w:tcW w:w="1460"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hideMark/>
              </w:tcPr>
              <w:p w14:paraId="56A696CA" w14:textId="77777777" w:rsidR="007C4BFB" w:rsidRPr="009A46BB" w:rsidRDefault="007C4BFB" w:rsidP="007C4BFB">
                <w:pPr>
                  <w:spacing w:after="0" w:line="240" w:lineRule="auto"/>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SALIDAS (CR):</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FF3B739" w14:textId="77777777" w:rsidR="007C4BFB" w:rsidRPr="009A46BB" w:rsidRDefault="007C4BFB" w:rsidP="007C4BFB">
                <w:pPr>
                  <w:spacing w:after="0" w:line="240" w:lineRule="auto"/>
                  <w:jc w:val="right"/>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0 </w:t>
                </w:r>
              </w:p>
            </w:tc>
            <w:tc>
              <w:tcPr>
                <w:tcW w:w="791"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3C8D880" w14:textId="77777777" w:rsidR="007C4BFB" w:rsidRPr="009A46BB" w:rsidRDefault="007C4BFB" w:rsidP="007C4BFB">
                <w:pPr>
                  <w:spacing w:after="0" w:line="240" w:lineRule="auto"/>
                  <w:jc w:val="right"/>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0 </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B269BB0" w14:textId="77777777" w:rsidR="007C4BFB" w:rsidRPr="009A46BB" w:rsidRDefault="007C4BFB" w:rsidP="007C4BFB">
                <w:pPr>
                  <w:spacing w:after="0" w:line="240" w:lineRule="auto"/>
                  <w:jc w:val="right"/>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0 </w:t>
                </w:r>
              </w:p>
            </w:tc>
            <w:tc>
              <w:tcPr>
                <w:tcW w:w="633"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32F8C12" w14:textId="77777777" w:rsidR="007C4BFB" w:rsidRPr="009A46BB" w:rsidRDefault="007C4BFB" w:rsidP="007C4BFB">
                <w:pPr>
                  <w:spacing w:after="0" w:line="240" w:lineRule="auto"/>
                  <w:jc w:val="right"/>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671.540.513 </w:t>
                </w:r>
              </w:p>
            </w:tc>
            <w:tc>
              <w:tcPr>
                <w:tcW w:w="73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021D8647" w14:textId="77777777" w:rsidR="007C4BFB" w:rsidRPr="009A46BB" w:rsidRDefault="007C4BFB" w:rsidP="007C4BFB">
                <w:pPr>
                  <w:spacing w:after="0" w:line="240" w:lineRule="auto"/>
                  <w:jc w:val="right"/>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671.540.513 </w:t>
                </w:r>
              </w:p>
            </w:tc>
          </w:tr>
          <w:tr w:rsidR="00526AAD" w:rsidRPr="007C4BFB" w14:paraId="22512253" w14:textId="77777777" w:rsidTr="00106BD7">
            <w:trPr>
              <w:trHeight w:val="300"/>
            </w:trPr>
            <w:tc>
              <w:tcPr>
                <w:tcW w:w="1578" w:type="pct"/>
                <w:gridSpan w:val="2"/>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62B051D2" w14:textId="2D8363A4" w:rsidR="007C4BFB" w:rsidRPr="009A46BB" w:rsidRDefault="00DB39A7" w:rsidP="007C4BFB">
                <w:pPr>
                  <w:spacing w:after="0" w:line="240" w:lineRule="auto"/>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w:t>
                </w:r>
                <w:r w:rsidR="007C4BFB" w:rsidRPr="009A46BB">
                  <w:rPr>
                    <w:rFonts w:ascii="Times New Roman" w:eastAsia="Times New Roman" w:hAnsi="Times New Roman"/>
                    <w:sz w:val="15"/>
                    <w:szCs w:val="15"/>
                    <w:lang w:eastAsia="es-CO"/>
                  </w:rPr>
                  <w:t>Otras salidas de bienes muebles</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213FC5B9" w14:textId="77777777" w:rsidR="007C4BFB" w:rsidRPr="009A46BB" w:rsidRDefault="007C4BFB" w:rsidP="007C4BFB">
                <w:pPr>
                  <w:spacing w:after="0" w:line="240" w:lineRule="auto"/>
                  <w:jc w:val="right"/>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xml:space="preserve">0 </w:t>
                </w:r>
              </w:p>
            </w:tc>
            <w:tc>
              <w:tcPr>
                <w:tcW w:w="791"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26911B48" w14:textId="77777777" w:rsidR="007C4BFB" w:rsidRPr="009A46BB" w:rsidRDefault="007C4BFB" w:rsidP="007C4BFB">
                <w:pPr>
                  <w:spacing w:after="0" w:line="240" w:lineRule="auto"/>
                  <w:jc w:val="right"/>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xml:space="preserve">0 </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27D0612A" w14:textId="77777777" w:rsidR="007C4BFB" w:rsidRPr="009A46BB" w:rsidRDefault="007C4BFB" w:rsidP="007C4BFB">
                <w:pPr>
                  <w:spacing w:after="0" w:line="240" w:lineRule="auto"/>
                  <w:jc w:val="right"/>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xml:space="preserve">0 </w:t>
                </w:r>
              </w:p>
            </w:tc>
            <w:tc>
              <w:tcPr>
                <w:tcW w:w="633"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002C5118" w14:textId="77777777" w:rsidR="007C4BFB" w:rsidRPr="009A46BB" w:rsidRDefault="007C4BFB" w:rsidP="007C4BFB">
                <w:pPr>
                  <w:spacing w:after="0" w:line="240" w:lineRule="auto"/>
                  <w:jc w:val="right"/>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xml:space="preserve">671.540.513 </w:t>
                </w:r>
              </w:p>
            </w:tc>
            <w:tc>
              <w:tcPr>
                <w:tcW w:w="73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3F2FA81C" w14:textId="77777777" w:rsidR="007C4BFB" w:rsidRPr="009A46BB" w:rsidRDefault="007C4BFB" w:rsidP="007C4BFB">
                <w:pPr>
                  <w:spacing w:after="0" w:line="240" w:lineRule="auto"/>
                  <w:jc w:val="right"/>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xml:space="preserve">671.540.513 </w:t>
                </w:r>
              </w:p>
            </w:tc>
          </w:tr>
          <w:tr w:rsidR="00526AAD" w:rsidRPr="007C4BFB" w14:paraId="1777D3C3" w14:textId="77777777" w:rsidTr="00106BD7">
            <w:trPr>
              <w:trHeight w:val="353"/>
            </w:trPr>
            <w:tc>
              <w:tcPr>
                <w:tcW w:w="1578" w:type="pct"/>
                <w:gridSpan w:val="2"/>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8AFB08E" w14:textId="77777777" w:rsidR="007C4BFB" w:rsidRPr="009A46BB" w:rsidRDefault="007C4BFB" w:rsidP="007C4BFB">
                <w:pPr>
                  <w:spacing w:after="0" w:line="240" w:lineRule="auto"/>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Activos revertidos a la entidad titular-Carretero</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071521C3" w14:textId="77777777" w:rsidR="007C4BFB" w:rsidRPr="009A46BB" w:rsidRDefault="007C4BFB" w:rsidP="007C4BFB">
                <w:pPr>
                  <w:spacing w:after="0" w:line="240" w:lineRule="auto"/>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w:t>
                </w:r>
              </w:p>
            </w:tc>
            <w:tc>
              <w:tcPr>
                <w:tcW w:w="791"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0BCF827" w14:textId="77777777" w:rsidR="007C4BFB" w:rsidRPr="009A46BB" w:rsidRDefault="007C4BFB" w:rsidP="007C4BFB">
                <w:pPr>
                  <w:spacing w:after="0" w:line="240" w:lineRule="auto"/>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C88C07D" w14:textId="77777777" w:rsidR="007C4BFB" w:rsidRPr="009A46BB" w:rsidRDefault="007C4BFB" w:rsidP="007C4BFB">
                <w:pPr>
                  <w:spacing w:after="0" w:line="240" w:lineRule="auto"/>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w:t>
                </w:r>
              </w:p>
            </w:tc>
            <w:tc>
              <w:tcPr>
                <w:tcW w:w="633"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254D70D3" w14:textId="77777777" w:rsidR="007C4BFB" w:rsidRPr="009A46BB" w:rsidRDefault="007C4BFB" w:rsidP="007C4BFB">
                <w:pPr>
                  <w:spacing w:after="0" w:line="240" w:lineRule="auto"/>
                  <w:jc w:val="right"/>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xml:space="preserve">671.540.513 </w:t>
                </w:r>
              </w:p>
            </w:tc>
            <w:tc>
              <w:tcPr>
                <w:tcW w:w="73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26EE1A68" w14:textId="77777777" w:rsidR="007C4BFB" w:rsidRPr="009A46BB" w:rsidRDefault="007C4BFB" w:rsidP="007C4BFB">
                <w:pPr>
                  <w:spacing w:after="0" w:line="240" w:lineRule="auto"/>
                  <w:jc w:val="right"/>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xml:space="preserve">671.540.513 </w:t>
                </w:r>
              </w:p>
            </w:tc>
          </w:tr>
          <w:tr w:rsidR="00526AAD" w:rsidRPr="007C4BFB" w14:paraId="738B613A" w14:textId="77777777" w:rsidTr="00106BD7">
            <w:trPr>
              <w:trHeight w:val="426"/>
            </w:trPr>
            <w:tc>
              <w:tcPr>
                <w:tcW w:w="118"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6B039A5B" w14:textId="77777777" w:rsidR="007C4BFB" w:rsidRPr="009A46BB" w:rsidRDefault="007C4BFB" w:rsidP="007C4BFB">
                <w:pPr>
                  <w:spacing w:after="0" w:line="240" w:lineRule="auto"/>
                  <w:jc w:val="center"/>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w:t>
                </w:r>
              </w:p>
            </w:tc>
            <w:tc>
              <w:tcPr>
                <w:tcW w:w="1460"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hideMark/>
              </w:tcPr>
              <w:p w14:paraId="04458FF2" w14:textId="609BBECE" w:rsidR="007C4BFB" w:rsidRPr="009A46BB" w:rsidRDefault="007C4BFB" w:rsidP="007C4BFB">
                <w:pPr>
                  <w:spacing w:after="0" w:line="240" w:lineRule="auto"/>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SUBTOTAL</w:t>
                </w:r>
                <w:r w:rsidR="004938EE" w:rsidRPr="009A46BB">
                  <w:rPr>
                    <w:rFonts w:ascii="Times New Roman" w:eastAsia="Times New Roman" w:hAnsi="Times New Roman"/>
                    <w:b/>
                    <w:sz w:val="15"/>
                    <w:szCs w:val="15"/>
                    <w:lang w:eastAsia="es-CO"/>
                  </w:rPr>
                  <w:t xml:space="preserve"> </w:t>
                </w:r>
                <w:r w:rsidRPr="009A46BB">
                  <w:rPr>
                    <w:rFonts w:ascii="Times New Roman" w:eastAsia="Times New Roman" w:hAnsi="Times New Roman"/>
                    <w:b/>
                    <w:sz w:val="15"/>
                    <w:szCs w:val="15"/>
                    <w:lang w:eastAsia="es-CO"/>
                  </w:rPr>
                  <w:t>(Saldo inicial + Entradas - Salidas)</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BAFE631" w14:textId="77777777" w:rsidR="007C4BFB" w:rsidRPr="009A46BB" w:rsidRDefault="007C4BFB" w:rsidP="007C4BFB">
                <w:pPr>
                  <w:spacing w:after="0" w:line="240" w:lineRule="auto"/>
                  <w:jc w:val="right"/>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52.513.513.120 </w:t>
                </w:r>
              </w:p>
            </w:tc>
            <w:tc>
              <w:tcPr>
                <w:tcW w:w="791"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261ED73E" w14:textId="77777777" w:rsidR="007C4BFB" w:rsidRPr="009A46BB" w:rsidRDefault="007C4BFB" w:rsidP="007C4BFB">
                <w:pPr>
                  <w:spacing w:after="0" w:line="240" w:lineRule="auto"/>
                  <w:jc w:val="right"/>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87.546.370.438 </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08343FAA" w14:textId="77777777" w:rsidR="007C4BFB" w:rsidRPr="009A46BB" w:rsidRDefault="007C4BFB" w:rsidP="007C4BFB">
                <w:pPr>
                  <w:spacing w:after="0" w:line="240" w:lineRule="auto"/>
                  <w:jc w:val="right"/>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4.277.502.235 </w:t>
                </w:r>
              </w:p>
            </w:tc>
            <w:tc>
              <w:tcPr>
                <w:tcW w:w="633"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77B23F0" w14:textId="77777777" w:rsidR="007C4BFB" w:rsidRPr="009A46BB" w:rsidRDefault="007C4BFB" w:rsidP="007C4BFB">
                <w:pPr>
                  <w:spacing w:after="0" w:line="240" w:lineRule="auto"/>
                  <w:jc w:val="right"/>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15.728.372.711 </w:t>
                </w:r>
              </w:p>
            </w:tc>
            <w:tc>
              <w:tcPr>
                <w:tcW w:w="73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2A1E9D75" w14:textId="77777777" w:rsidR="007C4BFB" w:rsidRPr="009A46BB" w:rsidRDefault="007C4BFB" w:rsidP="007C4BFB">
                <w:pPr>
                  <w:spacing w:after="0" w:line="240" w:lineRule="auto"/>
                  <w:jc w:val="right"/>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160.065.758.504 </w:t>
                </w:r>
              </w:p>
            </w:tc>
          </w:tr>
          <w:tr w:rsidR="00526AAD" w:rsidRPr="007C4BFB" w14:paraId="56FB1837" w14:textId="77777777" w:rsidTr="00106BD7">
            <w:trPr>
              <w:trHeight w:val="300"/>
            </w:trPr>
            <w:tc>
              <w:tcPr>
                <w:tcW w:w="118"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51DD219" w14:textId="77777777" w:rsidR="007C4BFB" w:rsidRPr="009A46BB" w:rsidRDefault="007C4BFB" w:rsidP="007C4BFB">
                <w:pPr>
                  <w:spacing w:after="0" w:line="240" w:lineRule="auto"/>
                  <w:jc w:val="center"/>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w:t>
                </w:r>
              </w:p>
            </w:tc>
            <w:tc>
              <w:tcPr>
                <w:tcW w:w="1460"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hideMark/>
              </w:tcPr>
              <w:p w14:paraId="2411F5CE" w14:textId="77777777" w:rsidR="007C4BFB" w:rsidRPr="009A46BB" w:rsidRDefault="007C4BFB" w:rsidP="007C4BFB">
                <w:pPr>
                  <w:spacing w:after="0" w:line="240" w:lineRule="auto"/>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CAMBIOS Y MEDICIÓN POSTERIOR</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600FA8D1" w14:textId="77777777" w:rsidR="007C4BFB" w:rsidRPr="009A46BB" w:rsidRDefault="007C4BFB" w:rsidP="007C4BFB">
                <w:pPr>
                  <w:spacing w:after="0" w:line="240" w:lineRule="auto"/>
                  <w:jc w:val="right"/>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0 </w:t>
                </w:r>
              </w:p>
            </w:tc>
            <w:tc>
              <w:tcPr>
                <w:tcW w:w="791"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3CC309E" w14:textId="77777777" w:rsidR="007C4BFB" w:rsidRPr="009A46BB" w:rsidRDefault="007C4BFB" w:rsidP="007C4BFB">
                <w:pPr>
                  <w:spacing w:after="0" w:line="240" w:lineRule="auto"/>
                  <w:jc w:val="right"/>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85.119.872 </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B71FD4E" w14:textId="77777777" w:rsidR="007C4BFB" w:rsidRPr="009A46BB" w:rsidRDefault="007C4BFB" w:rsidP="007C4BFB">
                <w:pPr>
                  <w:spacing w:after="0" w:line="240" w:lineRule="auto"/>
                  <w:jc w:val="right"/>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252.482.782 </w:t>
                </w:r>
              </w:p>
            </w:tc>
            <w:tc>
              <w:tcPr>
                <w:tcW w:w="633"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3F0F865B" w14:textId="77777777" w:rsidR="007C4BFB" w:rsidRPr="009A46BB" w:rsidRDefault="007C4BFB" w:rsidP="007C4BFB">
                <w:pPr>
                  <w:spacing w:after="0" w:line="240" w:lineRule="auto"/>
                  <w:jc w:val="right"/>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6.394.615.196 </w:t>
                </w:r>
              </w:p>
            </w:tc>
            <w:tc>
              <w:tcPr>
                <w:tcW w:w="73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51A235E9" w14:textId="77777777" w:rsidR="007C4BFB" w:rsidRPr="009A46BB" w:rsidRDefault="007C4BFB" w:rsidP="007C4BFB">
                <w:pPr>
                  <w:spacing w:after="0" w:line="240" w:lineRule="auto"/>
                  <w:jc w:val="right"/>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6.732.217.850 </w:t>
                </w:r>
              </w:p>
            </w:tc>
          </w:tr>
          <w:tr w:rsidR="00526AAD" w:rsidRPr="007C4BFB" w14:paraId="36E84132" w14:textId="77777777" w:rsidTr="00106BD7">
            <w:trPr>
              <w:trHeight w:val="300"/>
            </w:trPr>
            <w:tc>
              <w:tcPr>
                <w:tcW w:w="1578" w:type="pct"/>
                <w:gridSpan w:val="2"/>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228D0767" w14:textId="77777777" w:rsidR="00DB39A7" w:rsidRPr="009A46BB" w:rsidRDefault="00DB39A7" w:rsidP="007C4BFB">
                <w:pPr>
                  <w:spacing w:after="0" w:line="240" w:lineRule="auto"/>
                  <w:jc w:val="center"/>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lastRenderedPageBreak/>
                  <w:t> </w:t>
                </w:r>
              </w:p>
              <w:p w14:paraId="290DDF0E" w14:textId="50F8238D" w:rsidR="007C4BFB" w:rsidRPr="009A46BB" w:rsidRDefault="00DB39A7" w:rsidP="007C4BFB">
                <w:pPr>
                  <w:spacing w:after="0" w:line="240" w:lineRule="auto"/>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xml:space="preserve">+ </w:t>
                </w:r>
                <w:r w:rsidR="007C4BFB" w:rsidRPr="009A46BB">
                  <w:rPr>
                    <w:rFonts w:ascii="Times New Roman" w:eastAsia="Times New Roman" w:hAnsi="Times New Roman"/>
                    <w:sz w:val="15"/>
                    <w:szCs w:val="15"/>
                    <w:lang w:eastAsia="es-CO"/>
                  </w:rPr>
                  <w:t>Entrada por traslado de cuentas (DB)</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432D94E" w14:textId="77777777" w:rsidR="007C4BFB" w:rsidRPr="009A46BB" w:rsidRDefault="007C4BFB" w:rsidP="007C4BFB">
                <w:pPr>
                  <w:spacing w:after="0" w:line="240" w:lineRule="auto"/>
                  <w:jc w:val="right"/>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xml:space="preserve">0 </w:t>
                </w:r>
              </w:p>
            </w:tc>
            <w:tc>
              <w:tcPr>
                <w:tcW w:w="791"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DC7482B" w14:textId="77777777" w:rsidR="007C4BFB" w:rsidRPr="009A46BB" w:rsidRDefault="007C4BFB" w:rsidP="007C4BFB">
                <w:pPr>
                  <w:spacing w:after="0" w:line="240" w:lineRule="auto"/>
                  <w:jc w:val="right"/>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xml:space="preserve">85.119.872 </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61289AB9" w14:textId="77777777" w:rsidR="007C4BFB" w:rsidRPr="009A46BB" w:rsidRDefault="007C4BFB" w:rsidP="007C4BFB">
                <w:pPr>
                  <w:spacing w:after="0" w:line="240" w:lineRule="auto"/>
                  <w:jc w:val="right"/>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xml:space="preserve">279.612.130 </w:t>
                </w:r>
              </w:p>
            </w:tc>
            <w:tc>
              <w:tcPr>
                <w:tcW w:w="633"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6DC483D8" w14:textId="77777777" w:rsidR="007C4BFB" w:rsidRPr="009A46BB" w:rsidRDefault="007C4BFB" w:rsidP="007C4BFB">
                <w:pPr>
                  <w:spacing w:after="0" w:line="240" w:lineRule="auto"/>
                  <w:jc w:val="right"/>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xml:space="preserve">6.394.615.196 </w:t>
                </w:r>
              </w:p>
            </w:tc>
            <w:tc>
              <w:tcPr>
                <w:tcW w:w="73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2702F11A" w14:textId="77777777" w:rsidR="007C4BFB" w:rsidRPr="009A46BB" w:rsidRDefault="007C4BFB" w:rsidP="007C4BFB">
                <w:pPr>
                  <w:spacing w:after="0" w:line="240" w:lineRule="auto"/>
                  <w:jc w:val="right"/>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6.759.347.198 </w:t>
                </w:r>
              </w:p>
            </w:tc>
          </w:tr>
          <w:tr w:rsidR="00526AAD" w:rsidRPr="007C4BFB" w14:paraId="32FF4ABE" w14:textId="77777777" w:rsidTr="00106BD7">
            <w:trPr>
              <w:trHeight w:val="300"/>
            </w:trPr>
            <w:tc>
              <w:tcPr>
                <w:tcW w:w="1578" w:type="pct"/>
                <w:gridSpan w:val="2"/>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666D35F8" w14:textId="77777777" w:rsidR="00DB39A7" w:rsidRPr="009A46BB" w:rsidRDefault="00DB39A7" w:rsidP="007C4BFB">
                <w:pPr>
                  <w:spacing w:after="0" w:line="240" w:lineRule="auto"/>
                  <w:jc w:val="center"/>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w:t>
                </w:r>
              </w:p>
              <w:p w14:paraId="1B4F72B0" w14:textId="5B3FBE6B" w:rsidR="007C4BFB" w:rsidRPr="009A46BB" w:rsidRDefault="00DB39A7" w:rsidP="007C4BFB">
                <w:pPr>
                  <w:spacing w:after="0" w:line="240" w:lineRule="auto"/>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Modo Carretero</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1EF826F" w14:textId="77777777" w:rsidR="007C4BFB" w:rsidRPr="009A46BB" w:rsidRDefault="007C4BFB" w:rsidP="007C4BFB">
                <w:pPr>
                  <w:spacing w:after="0" w:line="240" w:lineRule="auto"/>
                  <w:jc w:val="right"/>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xml:space="preserve">0 </w:t>
                </w:r>
              </w:p>
            </w:tc>
            <w:tc>
              <w:tcPr>
                <w:tcW w:w="791"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6C6BB483" w14:textId="77777777" w:rsidR="007C4BFB" w:rsidRPr="009A46BB" w:rsidRDefault="007C4BFB" w:rsidP="007C4BFB">
                <w:pPr>
                  <w:spacing w:after="0" w:line="240" w:lineRule="auto"/>
                  <w:jc w:val="right"/>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xml:space="preserve">85.119.872 </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AF8FDC6" w14:textId="77777777" w:rsidR="007C4BFB" w:rsidRPr="009A46BB" w:rsidRDefault="007C4BFB" w:rsidP="007C4BFB">
                <w:pPr>
                  <w:spacing w:after="0" w:line="240" w:lineRule="auto"/>
                  <w:jc w:val="right"/>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xml:space="preserve">279.612.130 </w:t>
                </w:r>
              </w:p>
            </w:tc>
            <w:tc>
              <w:tcPr>
                <w:tcW w:w="633"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3D2C7C42" w14:textId="77777777" w:rsidR="007C4BFB" w:rsidRPr="009A46BB" w:rsidRDefault="007C4BFB" w:rsidP="007C4BFB">
                <w:pPr>
                  <w:spacing w:after="0" w:line="240" w:lineRule="auto"/>
                  <w:jc w:val="right"/>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xml:space="preserve">6.394.615.196 </w:t>
                </w:r>
              </w:p>
            </w:tc>
            <w:tc>
              <w:tcPr>
                <w:tcW w:w="73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6EA7B608" w14:textId="77777777" w:rsidR="007C4BFB" w:rsidRPr="009A46BB" w:rsidRDefault="007C4BFB" w:rsidP="007C4BFB">
                <w:pPr>
                  <w:spacing w:after="0" w:line="240" w:lineRule="auto"/>
                  <w:jc w:val="right"/>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6.759.347.198 </w:t>
                </w:r>
              </w:p>
            </w:tc>
          </w:tr>
          <w:tr w:rsidR="00526AAD" w:rsidRPr="007C4BFB" w14:paraId="11A42EC1" w14:textId="77777777" w:rsidTr="00106BD7">
            <w:trPr>
              <w:trHeight w:val="300"/>
            </w:trPr>
            <w:tc>
              <w:tcPr>
                <w:tcW w:w="1578" w:type="pct"/>
                <w:gridSpan w:val="2"/>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2118E89A" w14:textId="6CC068F3" w:rsidR="007C4BFB" w:rsidRPr="009A46BB" w:rsidRDefault="00E3635C" w:rsidP="007C4BFB">
                <w:pPr>
                  <w:spacing w:after="0" w:line="240" w:lineRule="auto"/>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xml:space="preserve">(-) </w:t>
                </w:r>
                <w:r w:rsidR="007C4BFB" w:rsidRPr="009A46BB">
                  <w:rPr>
                    <w:rFonts w:ascii="Times New Roman" w:eastAsia="Times New Roman" w:hAnsi="Times New Roman"/>
                    <w:sz w:val="15"/>
                    <w:szCs w:val="15"/>
                    <w:lang w:eastAsia="es-CO"/>
                  </w:rPr>
                  <w:t>Salida por traslado de cuentas (CR)</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3A0139E" w14:textId="77777777" w:rsidR="007C4BFB" w:rsidRPr="009A46BB" w:rsidRDefault="007C4BFB" w:rsidP="007C4BFB">
                <w:pPr>
                  <w:spacing w:after="0" w:line="240" w:lineRule="auto"/>
                  <w:jc w:val="right"/>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xml:space="preserve">0 </w:t>
                </w:r>
              </w:p>
            </w:tc>
            <w:tc>
              <w:tcPr>
                <w:tcW w:w="791"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3F1D6CAA" w14:textId="77777777" w:rsidR="007C4BFB" w:rsidRPr="009A46BB" w:rsidRDefault="007C4BFB" w:rsidP="007C4BFB">
                <w:pPr>
                  <w:spacing w:after="0" w:line="240" w:lineRule="auto"/>
                  <w:jc w:val="right"/>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xml:space="preserve">0 </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66DE8E8C" w14:textId="77777777" w:rsidR="007C4BFB" w:rsidRPr="009A46BB" w:rsidRDefault="007C4BFB" w:rsidP="007C4BFB">
                <w:pPr>
                  <w:spacing w:after="0" w:line="240" w:lineRule="auto"/>
                  <w:jc w:val="right"/>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xml:space="preserve">27.129.348 </w:t>
                </w:r>
              </w:p>
            </w:tc>
            <w:tc>
              <w:tcPr>
                <w:tcW w:w="633"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030F7412" w14:textId="77777777" w:rsidR="007C4BFB" w:rsidRPr="009A46BB" w:rsidRDefault="007C4BFB" w:rsidP="007C4BFB">
                <w:pPr>
                  <w:spacing w:after="0" w:line="240" w:lineRule="auto"/>
                  <w:jc w:val="right"/>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xml:space="preserve">0 </w:t>
                </w:r>
              </w:p>
            </w:tc>
            <w:tc>
              <w:tcPr>
                <w:tcW w:w="73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02E4768A" w14:textId="77777777" w:rsidR="007C4BFB" w:rsidRPr="009A46BB" w:rsidRDefault="007C4BFB" w:rsidP="007C4BFB">
                <w:pPr>
                  <w:spacing w:after="0" w:line="240" w:lineRule="auto"/>
                  <w:jc w:val="right"/>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27.129.348 </w:t>
                </w:r>
              </w:p>
            </w:tc>
          </w:tr>
          <w:tr w:rsidR="00FD627E" w:rsidRPr="007C4BFB" w14:paraId="3AFB97BE" w14:textId="77777777" w:rsidTr="00106BD7">
            <w:trPr>
              <w:trHeight w:val="300"/>
            </w:trPr>
            <w:tc>
              <w:tcPr>
                <w:tcW w:w="1578" w:type="pct"/>
                <w:gridSpan w:val="2"/>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3E59CEEC" w14:textId="0667A190" w:rsidR="007C4BFB" w:rsidRPr="009A46BB" w:rsidRDefault="007C4BFB" w:rsidP="007C4BFB">
                <w:pPr>
                  <w:spacing w:after="0" w:line="240" w:lineRule="auto"/>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xml:space="preserve">Modo </w:t>
                </w:r>
                <w:r w:rsidR="00742C21" w:rsidRPr="009A46BB">
                  <w:rPr>
                    <w:rFonts w:ascii="Times New Roman" w:eastAsia="Times New Roman" w:hAnsi="Times New Roman"/>
                    <w:sz w:val="15"/>
                    <w:szCs w:val="15"/>
                    <w:lang w:eastAsia="es-CO"/>
                  </w:rPr>
                  <w:t>Carreteo</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663FDD7" w14:textId="77777777" w:rsidR="007C4BFB" w:rsidRPr="009A46BB" w:rsidRDefault="007C4BFB" w:rsidP="007C4BFB">
                <w:pPr>
                  <w:spacing w:after="0" w:line="240" w:lineRule="auto"/>
                  <w:jc w:val="right"/>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xml:space="preserve">0 </w:t>
                </w:r>
              </w:p>
            </w:tc>
            <w:tc>
              <w:tcPr>
                <w:tcW w:w="791"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50DED3C" w14:textId="77777777" w:rsidR="007C4BFB" w:rsidRPr="009A46BB" w:rsidRDefault="007C4BFB" w:rsidP="007C4BFB">
                <w:pPr>
                  <w:spacing w:after="0" w:line="240" w:lineRule="auto"/>
                  <w:jc w:val="right"/>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xml:space="preserve">0 </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252DF40" w14:textId="77777777" w:rsidR="007C4BFB" w:rsidRPr="009A46BB" w:rsidRDefault="007C4BFB" w:rsidP="007C4BFB">
                <w:pPr>
                  <w:spacing w:after="0" w:line="240" w:lineRule="auto"/>
                  <w:jc w:val="right"/>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xml:space="preserve">27.129.348 </w:t>
                </w:r>
              </w:p>
            </w:tc>
            <w:tc>
              <w:tcPr>
                <w:tcW w:w="633"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04B8CE4" w14:textId="77777777" w:rsidR="007C4BFB" w:rsidRPr="009A46BB" w:rsidRDefault="007C4BFB" w:rsidP="007C4BFB">
                <w:pPr>
                  <w:spacing w:after="0" w:line="240" w:lineRule="auto"/>
                  <w:jc w:val="right"/>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xml:space="preserve">0 </w:t>
                </w:r>
              </w:p>
            </w:tc>
            <w:tc>
              <w:tcPr>
                <w:tcW w:w="73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7D68DD38" w14:textId="77777777" w:rsidR="007C4BFB" w:rsidRPr="009A46BB" w:rsidRDefault="007C4BFB" w:rsidP="007C4BFB">
                <w:pPr>
                  <w:spacing w:after="0" w:line="240" w:lineRule="auto"/>
                  <w:jc w:val="right"/>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27.129.348 </w:t>
                </w:r>
              </w:p>
            </w:tc>
          </w:tr>
          <w:tr w:rsidR="00FD627E" w:rsidRPr="007C4BFB" w14:paraId="6B7079BE" w14:textId="77777777" w:rsidTr="00106BD7">
            <w:trPr>
              <w:trHeight w:val="300"/>
            </w:trPr>
            <w:tc>
              <w:tcPr>
                <w:tcW w:w="1578" w:type="pct"/>
                <w:gridSpan w:val="2"/>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94B819F" w14:textId="7A2DD559" w:rsidR="007C4BFB" w:rsidRPr="009A46BB" w:rsidRDefault="00102D4A" w:rsidP="007C4BFB">
                <w:pPr>
                  <w:spacing w:after="0" w:line="240" w:lineRule="auto"/>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w:t>
                </w:r>
                <w:r w:rsidR="00EC1970" w:rsidRPr="009A46BB">
                  <w:rPr>
                    <w:rFonts w:ascii="Times New Roman" w:eastAsia="Times New Roman" w:hAnsi="Times New Roman"/>
                    <w:sz w:val="15"/>
                    <w:szCs w:val="15"/>
                    <w:lang w:eastAsia="es-CO"/>
                  </w:rPr>
                  <w:t xml:space="preserve"> </w:t>
                </w:r>
                <w:r w:rsidR="007C4BFB" w:rsidRPr="009A46BB">
                  <w:rPr>
                    <w:rFonts w:ascii="Times New Roman" w:eastAsia="Times New Roman" w:hAnsi="Times New Roman"/>
                    <w:sz w:val="15"/>
                    <w:szCs w:val="15"/>
                    <w:lang w:eastAsia="es-CO"/>
                  </w:rPr>
                  <w:t>Ajustes/Reclasificaciones en entradas (DB)</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00B861D8" w14:textId="77777777" w:rsidR="007C4BFB" w:rsidRPr="009A46BB" w:rsidRDefault="007C4BFB" w:rsidP="007C4BFB">
                <w:pPr>
                  <w:spacing w:after="0" w:line="240" w:lineRule="auto"/>
                  <w:jc w:val="right"/>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xml:space="preserve">0 </w:t>
                </w:r>
              </w:p>
            </w:tc>
            <w:tc>
              <w:tcPr>
                <w:tcW w:w="791"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3C8E4DF9" w14:textId="77777777" w:rsidR="007C4BFB" w:rsidRPr="009A46BB" w:rsidRDefault="007C4BFB" w:rsidP="007C4BFB">
                <w:pPr>
                  <w:spacing w:after="0" w:line="240" w:lineRule="auto"/>
                  <w:jc w:val="right"/>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xml:space="preserve">0 </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3A520D45" w14:textId="77777777" w:rsidR="007C4BFB" w:rsidRPr="009A46BB" w:rsidRDefault="007C4BFB" w:rsidP="007C4BFB">
                <w:pPr>
                  <w:spacing w:after="0" w:line="240" w:lineRule="auto"/>
                  <w:jc w:val="right"/>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xml:space="preserve">0 </w:t>
                </w:r>
              </w:p>
            </w:tc>
            <w:tc>
              <w:tcPr>
                <w:tcW w:w="633"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8D3DDC4" w14:textId="77777777" w:rsidR="007C4BFB" w:rsidRPr="009A46BB" w:rsidRDefault="007C4BFB" w:rsidP="007C4BFB">
                <w:pPr>
                  <w:spacing w:after="0" w:line="240" w:lineRule="auto"/>
                  <w:jc w:val="right"/>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xml:space="preserve">0 </w:t>
                </w:r>
              </w:p>
            </w:tc>
            <w:tc>
              <w:tcPr>
                <w:tcW w:w="73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72EF8FE7" w14:textId="77777777" w:rsidR="007C4BFB" w:rsidRPr="009A46BB" w:rsidRDefault="007C4BFB" w:rsidP="007C4BFB">
                <w:pPr>
                  <w:spacing w:after="0" w:line="240" w:lineRule="auto"/>
                  <w:jc w:val="right"/>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0 </w:t>
                </w:r>
              </w:p>
            </w:tc>
          </w:tr>
          <w:tr w:rsidR="00526AAD" w:rsidRPr="007C4BFB" w14:paraId="109B75E9" w14:textId="77777777" w:rsidTr="00106BD7">
            <w:trPr>
              <w:trHeight w:val="300"/>
            </w:trPr>
            <w:tc>
              <w:tcPr>
                <w:tcW w:w="1578" w:type="pct"/>
                <w:gridSpan w:val="2"/>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A8A80FA" w14:textId="51BB8F40" w:rsidR="007C4BFB" w:rsidRPr="009A46BB" w:rsidRDefault="004938EE" w:rsidP="007C4BFB">
                <w:pPr>
                  <w:spacing w:after="0" w:line="240" w:lineRule="auto"/>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xml:space="preserve">(-) </w:t>
                </w:r>
                <w:r w:rsidR="007C4BFB" w:rsidRPr="009A46BB">
                  <w:rPr>
                    <w:rFonts w:ascii="Times New Roman" w:eastAsia="Times New Roman" w:hAnsi="Times New Roman"/>
                    <w:sz w:val="15"/>
                    <w:szCs w:val="15"/>
                    <w:lang w:eastAsia="es-CO"/>
                  </w:rPr>
                  <w:t>Ajustes/Reclasificaciones en salidas (CR)</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E82AF77" w14:textId="77777777" w:rsidR="007C4BFB" w:rsidRPr="009A46BB" w:rsidRDefault="007C4BFB" w:rsidP="007C4BFB">
                <w:pPr>
                  <w:spacing w:after="0" w:line="240" w:lineRule="auto"/>
                  <w:jc w:val="right"/>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xml:space="preserve">0 </w:t>
                </w:r>
              </w:p>
            </w:tc>
            <w:tc>
              <w:tcPr>
                <w:tcW w:w="791"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06924E5D" w14:textId="77777777" w:rsidR="007C4BFB" w:rsidRPr="009A46BB" w:rsidRDefault="007C4BFB" w:rsidP="007C4BFB">
                <w:pPr>
                  <w:spacing w:after="0" w:line="240" w:lineRule="auto"/>
                  <w:jc w:val="right"/>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xml:space="preserve">0 </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35D4E901" w14:textId="77777777" w:rsidR="007C4BFB" w:rsidRPr="009A46BB" w:rsidRDefault="007C4BFB" w:rsidP="007C4BFB">
                <w:pPr>
                  <w:spacing w:after="0" w:line="240" w:lineRule="auto"/>
                  <w:jc w:val="right"/>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xml:space="preserve">0 </w:t>
                </w:r>
              </w:p>
            </w:tc>
            <w:tc>
              <w:tcPr>
                <w:tcW w:w="633"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3FB8D13" w14:textId="77777777" w:rsidR="007C4BFB" w:rsidRPr="009A46BB" w:rsidRDefault="007C4BFB" w:rsidP="007C4BFB">
                <w:pPr>
                  <w:spacing w:after="0" w:line="240" w:lineRule="auto"/>
                  <w:jc w:val="right"/>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xml:space="preserve">0 </w:t>
                </w:r>
              </w:p>
            </w:tc>
            <w:tc>
              <w:tcPr>
                <w:tcW w:w="73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245FF735" w14:textId="77777777" w:rsidR="007C4BFB" w:rsidRPr="009A46BB" w:rsidRDefault="007C4BFB" w:rsidP="007C4BFB">
                <w:pPr>
                  <w:spacing w:after="0" w:line="240" w:lineRule="auto"/>
                  <w:jc w:val="right"/>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0 </w:t>
                </w:r>
              </w:p>
            </w:tc>
          </w:tr>
          <w:tr w:rsidR="00526AAD" w:rsidRPr="007C4BFB" w14:paraId="10F47531" w14:textId="77777777" w:rsidTr="00106BD7">
            <w:trPr>
              <w:trHeight w:val="397"/>
            </w:trPr>
            <w:tc>
              <w:tcPr>
                <w:tcW w:w="118"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37073453" w14:textId="77777777" w:rsidR="007C4BFB" w:rsidRPr="009A46BB" w:rsidRDefault="007C4BFB" w:rsidP="007C4BFB">
                <w:pPr>
                  <w:spacing w:after="0" w:line="240" w:lineRule="auto"/>
                  <w:jc w:val="center"/>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w:t>
                </w:r>
              </w:p>
            </w:tc>
            <w:tc>
              <w:tcPr>
                <w:tcW w:w="1460"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hideMark/>
              </w:tcPr>
              <w:p w14:paraId="2A6F3556" w14:textId="32C2D22C" w:rsidR="007C4BFB" w:rsidRPr="009A46BB" w:rsidRDefault="007C4BFB" w:rsidP="007C4BFB">
                <w:pPr>
                  <w:spacing w:after="0" w:line="240" w:lineRule="auto"/>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SALDO FINAL (31-dic)</w:t>
                </w:r>
                <w:r w:rsidR="004938EE" w:rsidRPr="009A46BB">
                  <w:rPr>
                    <w:rFonts w:ascii="Times New Roman" w:eastAsia="Times New Roman" w:hAnsi="Times New Roman"/>
                    <w:b/>
                    <w:sz w:val="15"/>
                    <w:szCs w:val="15"/>
                    <w:lang w:eastAsia="es-CO"/>
                  </w:rPr>
                  <w:t xml:space="preserve"> </w:t>
                </w:r>
                <w:r w:rsidRPr="009A46BB">
                  <w:rPr>
                    <w:rFonts w:ascii="Times New Roman" w:eastAsia="Times New Roman" w:hAnsi="Times New Roman"/>
                    <w:b/>
                    <w:sz w:val="15"/>
                    <w:szCs w:val="15"/>
                    <w:lang w:eastAsia="es-CO"/>
                  </w:rPr>
                  <w:t>(Subtotal + Cambios)</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075DEE46" w14:textId="77777777" w:rsidR="007C4BFB" w:rsidRPr="009A46BB" w:rsidRDefault="007C4BFB" w:rsidP="007C4BFB">
                <w:pPr>
                  <w:spacing w:after="0" w:line="240" w:lineRule="auto"/>
                  <w:jc w:val="right"/>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52.513.513.120 </w:t>
                </w:r>
              </w:p>
            </w:tc>
            <w:tc>
              <w:tcPr>
                <w:tcW w:w="791"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398AB897" w14:textId="77777777" w:rsidR="007C4BFB" w:rsidRPr="009A46BB" w:rsidRDefault="007C4BFB" w:rsidP="007C4BFB">
                <w:pPr>
                  <w:spacing w:after="0" w:line="240" w:lineRule="auto"/>
                  <w:jc w:val="right"/>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87.631.490.310 </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9D8456F" w14:textId="77777777" w:rsidR="007C4BFB" w:rsidRPr="009A46BB" w:rsidRDefault="007C4BFB" w:rsidP="007C4BFB">
                <w:pPr>
                  <w:spacing w:after="0" w:line="240" w:lineRule="auto"/>
                  <w:jc w:val="right"/>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4.529.985.017 </w:t>
                </w:r>
              </w:p>
            </w:tc>
            <w:tc>
              <w:tcPr>
                <w:tcW w:w="633"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8EC7F3B" w14:textId="77777777" w:rsidR="007C4BFB" w:rsidRPr="009A46BB" w:rsidRDefault="007C4BFB" w:rsidP="007C4BFB">
                <w:pPr>
                  <w:spacing w:after="0" w:line="240" w:lineRule="auto"/>
                  <w:jc w:val="right"/>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22.122.987.907 </w:t>
                </w:r>
              </w:p>
            </w:tc>
            <w:tc>
              <w:tcPr>
                <w:tcW w:w="73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43D9ADFC" w14:textId="77777777" w:rsidR="007C4BFB" w:rsidRPr="009A46BB" w:rsidRDefault="007C4BFB" w:rsidP="007C4BFB">
                <w:pPr>
                  <w:spacing w:after="0" w:line="240" w:lineRule="auto"/>
                  <w:jc w:val="right"/>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166.797.976.354 </w:t>
                </w:r>
              </w:p>
            </w:tc>
          </w:tr>
          <w:tr w:rsidR="00526AAD" w:rsidRPr="007C4BFB" w14:paraId="7B4963EB" w14:textId="77777777" w:rsidTr="00106BD7">
            <w:trPr>
              <w:trHeight w:val="300"/>
            </w:trPr>
            <w:tc>
              <w:tcPr>
                <w:tcW w:w="118"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0D4087B6" w14:textId="77777777" w:rsidR="007C4BFB" w:rsidRPr="009A46BB" w:rsidRDefault="007C4BFB" w:rsidP="007C4BFB">
                <w:pPr>
                  <w:spacing w:after="0" w:line="240" w:lineRule="auto"/>
                  <w:jc w:val="center"/>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w:t>
                </w:r>
              </w:p>
            </w:tc>
            <w:tc>
              <w:tcPr>
                <w:tcW w:w="1460"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hideMark/>
              </w:tcPr>
              <w:p w14:paraId="7FA2F95A" w14:textId="77777777" w:rsidR="007C4BFB" w:rsidRPr="009A46BB" w:rsidRDefault="007C4BFB" w:rsidP="007C4BFB">
                <w:pPr>
                  <w:spacing w:after="0" w:line="240" w:lineRule="auto"/>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DEPRECIACIÓN ACUMULADA (DA)</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2A44E04B" w14:textId="77777777" w:rsidR="007C4BFB" w:rsidRPr="009A46BB" w:rsidRDefault="007C4BFB" w:rsidP="007C4BFB">
                <w:pPr>
                  <w:spacing w:after="0" w:line="240" w:lineRule="auto"/>
                  <w:jc w:val="right"/>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0 </w:t>
                </w:r>
              </w:p>
            </w:tc>
            <w:tc>
              <w:tcPr>
                <w:tcW w:w="791"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2F5D549F" w14:textId="77777777" w:rsidR="007C4BFB" w:rsidRPr="009A46BB" w:rsidRDefault="007C4BFB" w:rsidP="007C4BFB">
                <w:pPr>
                  <w:spacing w:after="0" w:line="240" w:lineRule="auto"/>
                  <w:jc w:val="right"/>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0 </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2A841428" w14:textId="77777777" w:rsidR="007C4BFB" w:rsidRPr="009A46BB" w:rsidRDefault="007C4BFB" w:rsidP="007C4BFB">
                <w:pPr>
                  <w:spacing w:after="0" w:line="240" w:lineRule="auto"/>
                  <w:jc w:val="right"/>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0 </w:t>
                </w:r>
              </w:p>
            </w:tc>
            <w:tc>
              <w:tcPr>
                <w:tcW w:w="633"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28060572" w14:textId="77777777" w:rsidR="007C4BFB" w:rsidRPr="009A46BB" w:rsidRDefault="007C4BFB" w:rsidP="007C4BFB">
                <w:pPr>
                  <w:spacing w:after="0" w:line="240" w:lineRule="auto"/>
                  <w:jc w:val="right"/>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0 </w:t>
                </w:r>
              </w:p>
            </w:tc>
            <w:tc>
              <w:tcPr>
                <w:tcW w:w="73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0A0BA1C3" w14:textId="77777777" w:rsidR="007C4BFB" w:rsidRPr="009A46BB" w:rsidRDefault="007C4BFB" w:rsidP="007C4BFB">
                <w:pPr>
                  <w:spacing w:after="0" w:line="240" w:lineRule="auto"/>
                  <w:jc w:val="right"/>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0 </w:t>
                </w:r>
              </w:p>
            </w:tc>
          </w:tr>
          <w:tr w:rsidR="00FD627E" w:rsidRPr="007C4BFB" w14:paraId="2C41A3AC" w14:textId="77777777" w:rsidTr="00106BD7">
            <w:trPr>
              <w:trHeight w:val="300"/>
            </w:trPr>
            <w:tc>
              <w:tcPr>
                <w:tcW w:w="1578" w:type="pct"/>
                <w:gridSpan w:val="2"/>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3A932231" w14:textId="5925E6F2" w:rsidR="007C4BFB" w:rsidRPr="009A46BB" w:rsidRDefault="00102D4A" w:rsidP="007C4BFB">
                <w:pPr>
                  <w:spacing w:after="0" w:line="240" w:lineRule="auto"/>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w:t>
                </w:r>
                <w:r w:rsidR="007C4BFB" w:rsidRPr="009A46BB">
                  <w:rPr>
                    <w:rFonts w:ascii="Times New Roman" w:eastAsia="Times New Roman" w:hAnsi="Times New Roman"/>
                    <w:sz w:val="15"/>
                    <w:szCs w:val="15"/>
                    <w:lang w:eastAsia="es-CO"/>
                  </w:rPr>
                  <w:t>Saldo inicial de la Depreciación acumulada</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39937FE0" w14:textId="77777777" w:rsidR="007C4BFB" w:rsidRPr="009A46BB" w:rsidRDefault="007C4BFB" w:rsidP="007C4BFB">
                <w:pPr>
                  <w:spacing w:after="0" w:line="240" w:lineRule="auto"/>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w:t>
                </w:r>
              </w:p>
            </w:tc>
            <w:tc>
              <w:tcPr>
                <w:tcW w:w="791"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6A9D988D" w14:textId="77777777" w:rsidR="007C4BFB" w:rsidRPr="009A46BB" w:rsidRDefault="007C4BFB" w:rsidP="007C4BFB">
                <w:pPr>
                  <w:spacing w:after="0" w:line="240" w:lineRule="auto"/>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3AF253CE" w14:textId="77777777" w:rsidR="007C4BFB" w:rsidRPr="009A46BB" w:rsidRDefault="007C4BFB" w:rsidP="007C4BFB">
                <w:pPr>
                  <w:spacing w:after="0" w:line="240" w:lineRule="auto"/>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w:t>
                </w:r>
              </w:p>
            </w:tc>
            <w:tc>
              <w:tcPr>
                <w:tcW w:w="633"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D85E5F7" w14:textId="77777777" w:rsidR="007C4BFB" w:rsidRPr="009A46BB" w:rsidRDefault="007C4BFB" w:rsidP="007C4BFB">
                <w:pPr>
                  <w:spacing w:after="0" w:line="240" w:lineRule="auto"/>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w:t>
                </w:r>
              </w:p>
            </w:tc>
            <w:tc>
              <w:tcPr>
                <w:tcW w:w="73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14D436A9" w14:textId="77777777" w:rsidR="007C4BFB" w:rsidRPr="009A46BB" w:rsidRDefault="007C4BFB" w:rsidP="007C4BFB">
                <w:pPr>
                  <w:spacing w:after="0" w:line="240" w:lineRule="auto"/>
                  <w:jc w:val="right"/>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0 </w:t>
                </w:r>
              </w:p>
            </w:tc>
          </w:tr>
          <w:tr w:rsidR="00FD627E" w:rsidRPr="007C4BFB" w14:paraId="7BC42C6B" w14:textId="77777777" w:rsidTr="00106BD7">
            <w:trPr>
              <w:trHeight w:val="300"/>
            </w:trPr>
            <w:tc>
              <w:tcPr>
                <w:tcW w:w="1578" w:type="pct"/>
                <w:gridSpan w:val="2"/>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34970BB9" w14:textId="3BA3A63E" w:rsidR="007C4BFB" w:rsidRPr="009A46BB" w:rsidRDefault="00102D4A" w:rsidP="007C4BFB">
                <w:pPr>
                  <w:spacing w:after="0" w:line="240" w:lineRule="auto"/>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xml:space="preserve">+ </w:t>
                </w:r>
                <w:r w:rsidR="007C4BFB" w:rsidRPr="009A46BB">
                  <w:rPr>
                    <w:rFonts w:ascii="Times New Roman" w:eastAsia="Times New Roman" w:hAnsi="Times New Roman"/>
                    <w:sz w:val="15"/>
                    <w:szCs w:val="15"/>
                    <w:lang w:eastAsia="es-CO"/>
                  </w:rPr>
                  <w:t>Depreciación aplicada vigencia actual</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21A996D8" w14:textId="77777777" w:rsidR="007C4BFB" w:rsidRPr="009A46BB" w:rsidRDefault="007C4BFB" w:rsidP="007C4BFB">
                <w:pPr>
                  <w:spacing w:after="0" w:line="240" w:lineRule="auto"/>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w:t>
                </w:r>
              </w:p>
            </w:tc>
            <w:tc>
              <w:tcPr>
                <w:tcW w:w="791"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020C9FC2" w14:textId="77777777" w:rsidR="007C4BFB" w:rsidRPr="009A46BB" w:rsidRDefault="007C4BFB" w:rsidP="007C4BFB">
                <w:pPr>
                  <w:spacing w:after="0" w:line="240" w:lineRule="auto"/>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39598D4D" w14:textId="77777777" w:rsidR="007C4BFB" w:rsidRPr="009A46BB" w:rsidRDefault="007C4BFB" w:rsidP="007C4BFB">
                <w:pPr>
                  <w:spacing w:after="0" w:line="240" w:lineRule="auto"/>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w:t>
                </w:r>
              </w:p>
            </w:tc>
            <w:tc>
              <w:tcPr>
                <w:tcW w:w="633"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3B8E82D1" w14:textId="77777777" w:rsidR="007C4BFB" w:rsidRPr="009A46BB" w:rsidRDefault="007C4BFB" w:rsidP="007C4BFB">
                <w:pPr>
                  <w:spacing w:after="0" w:line="240" w:lineRule="auto"/>
                  <w:rPr>
                    <w:rFonts w:ascii="Times New Roman" w:eastAsia="Times New Roman" w:hAnsi="Times New Roman"/>
                    <w:sz w:val="15"/>
                    <w:szCs w:val="15"/>
                    <w:lang w:eastAsia="es-CO"/>
                  </w:rPr>
                </w:pPr>
                <w:r w:rsidRPr="009A46BB">
                  <w:rPr>
                    <w:rFonts w:ascii="Times New Roman" w:eastAsia="Times New Roman" w:hAnsi="Times New Roman"/>
                    <w:sz w:val="15"/>
                    <w:szCs w:val="15"/>
                    <w:lang w:eastAsia="es-CO"/>
                  </w:rPr>
                  <w:t> </w:t>
                </w:r>
              </w:p>
            </w:tc>
            <w:tc>
              <w:tcPr>
                <w:tcW w:w="73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653D4D1D" w14:textId="77777777" w:rsidR="007C4BFB" w:rsidRPr="009A46BB" w:rsidRDefault="007C4BFB" w:rsidP="007C4BFB">
                <w:pPr>
                  <w:spacing w:after="0" w:line="240" w:lineRule="auto"/>
                  <w:jc w:val="right"/>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0 </w:t>
                </w:r>
              </w:p>
            </w:tc>
          </w:tr>
          <w:tr w:rsidR="00526AAD" w:rsidRPr="007C4BFB" w14:paraId="24871AA7" w14:textId="77777777" w:rsidTr="00106BD7">
            <w:trPr>
              <w:trHeight w:val="300"/>
            </w:trPr>
            <w:tc>
              <w:tcPr>
                <w:tcW w:w="118"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F5919EA" w14:textId="77777777" w:rsidR="007C4BFB" w:rsidRPr="009A46BB" w:rsidRDefault="007C4BFB" w:rsidP="007C4BFB">
                <w:pPr>
                  <w:spacing w:after="0" w:line="240" w:lineRule="auto"/>
                  <w:jc w:val="center"/>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w:t>
                </w:r>
              </w:p>
            </w:tc>
            <w:tc>
              <w:tcPr>
                <w:tcW w:w="1460"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hideMark/>
              </w:tcPr>
              <w:p w14:paraId="78441AD1" w14:textId="77777777" w:rsidR="007C4BFB" w:rsidRPr="009A46BB" w:rsidRDefault="007C4BFB" w:rsidP="007C4BFB">
                <w:pPr>
                  <w:spacing w:after="0" w:line="240" w:lineRule="auto"/>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DETERIORO ACUMULADO DE PPE (DE)</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67C5CAF2" w14:textId="77777777" w:rsidR="007C4BFB" w:rsidRPr="009A46BB" w:rsidRDefault="007C4BFB" w:rsidP="007C4BFB">
                <w:pPr>
                  <w:spacing w:after="0" w:line="240" w:lineRule="auto"/>
                  <w:jc w:val="right"/>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0 </w:t>
                </w:r>
              </w:p>
            </w:tc>
            <w:tc>
              <w:tcPr>
                <w:tcW w:w="791"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2A078C0B" w14:textId="77777777" w:rsidR="007C4BFB" w:rsidRPr="009A46BB" w:rsidRDefault="007C4BFB" w:rsidP="007C4BFB">
                <w:pPr>
                  <w:spacing w:after="0" w:line="240" w:lineRule="auto"/>
                  <w:jc w:val="right"/>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0 </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E944B92" w14:textId="77777777" w:rsidR="007C4BFB" w:rsidRPr="009A46BB" w:rsidRDefault="007C4BFB" w:rsidP="007C4BFB">
                <w:pPr>
                  <w:spacing w:after="0" w:line="240" w:lineRule="auto"/>
                  <w:jc w:val="right"/>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0 </w:t>
                </w:r>
              </w:p>
            </w:tc>
            <w:tc>
              <w:tcPr>
                <w:tcW w:w="633"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A242E7B" w14:textId="77777777" w:rsidR="007C4BFB" w:rsidRPr="009A46BB" w:rsidRDefault="007C4BFB" w:rsidP="007C4BFB">
                <w:pPr>
                  <w:spacing w:after="0" w:line="240" w:lineRule="auto"/>
                  <w:jc w:val="right"/>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0 </w:t>
                </w:r>
              </w:p>
            </w:tc>
            <w:tc>
              <w:tcPr>
                <w:tcW w:w="73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7917E3B2" w14:textId="77777777" w:rsidR="007C4BFB" w:rsidRPr="009A46BB" w:rsidRDefault="007C4BFB" w:rsidP="007C4BFB">
                <w:pPr>
                  <w:spacing w:after="0" w:line="240" w:lineRule="auto"/>
                  <w:jc w:val="right"/>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0 </w:t>
                </w:r>
              </w:p>
            </w:tc>
          </w:tr>
          <w:tr w:rsidR="00526AAD" w:rsidRPr="007C4BFB" w14:paraId="04635C56" w14:textId="77777777" w:rsidTr="00106BD7">
            <w:trPr>
              <w:trHeight w:val="600"/>
            </w:trPr>
            <w:tc>
              <w:tcPr>
                <w:tcW w:w="118"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338D5901" w14:textId="77777777" w:rsidR="007C4BFB" w:rsidRPr="009A46BB" w:rsidRDefault="007C4BFB" w:rsidP="007C4BFB">
                <w:pPr>
                  <w:spacing w:after="0" w:line="240" w:lineRule="auto"/>
                  <w:jc w:val="center"/>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w:t>
                </w:r>
              </w:p>
            </w:tc>
            <w:tc>
              <w:tcPr>
                <w:tcW w:w="1460"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hideMark/>
              </w:tcPr>
              <w:p w14:paraId="509C562D" w14:textId="427EDE63" w:rsidR="007C4BFB" w:rsidRPr="009A46BB" w:rsidRDefault="007C4BFB" w:rsidP="007C4BFB">
                <w:pPr>
                  <w:spacing w:after="0" w:line="240" w:lineRule="auto"/>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VALOR EN LIBROS</w:t>
                </w:r>
                <w:r w:rsidR="000930C9" w:rsidRPr="009A46BB">
                  <w:rPr>
                    <w:rFonts w:ascii="Times New Roman" w:eastAsia="Times New Roman" w:hAnsi="Times New Roman"/>
                    <w:b/>
                    <w:sz w:val="15"/>
                    <w:szCs w:val="15"/>
                    <w:lang w:eastAsia="es-CO"/>
                  </w:rPr>
                  <w:t xml:space="preserve"> </w:t>
                </w:r>
                <w:r w:rsidRPr="009A46BB">
                  <w:rPr>
                    <w:rFonts w:ascii="Times New Roman" w:eastAsia="Times New Roman" w:hAnsi="Times New Roman"/>
                    <w:b/>
                    <w:sz w:val="15"/>
                    <w:szCs w:val="15"/>
                    <w:lang w:eastAsia="es-CO"/>
                  </w:rPr>
                  <w:t>(Saldo final - DA - DE)</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8A2DBE2" w14:textId="77777777" w:rsidR="007C4BFB" w:rsidRPr="009A46BB" w:rsidRDefault="007C4BFB" w:rsidP="007C4BFB">
                <w:pPr>
                  <w:spacing w:after="0" w:line="240" w:lineRule="auto"/>
                  <w:jc w:val="right"/>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52.513.513.120 </w:t>
                </w:r>
              </w:p>
            </w:tc>
            <w:tc>
              <w:tcPr>
                <w:tcW w:w="791"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3ADA3748" w14:textId="77777777" w:rsidR="007C4BFB" w:rsidRPr="009A46BB" w:rsidRDefault="007C4BFB" w:rsidP="007C4BFB">
                <w:pPr>
                  <w:spacing w:after="0" w:line="240" w:lineRule="auto"/>
                  <w:jc w:val="right"/>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87.631.490.310 </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60879840" w14:textId="77777777" w:rsidR="007C4BFB" w:rsidRPr="009A46BB" w:rsidRDefault="007C4BFB" w:rsidP="007C4BFB">
                <w:pPr>
                  <w:spacing w:after="0" w:line="240" w:lineRule="auto"/>
                  <w:jc w:val="right"/>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4.529.985.017 </w:t>
                </w:r>
              </w:p>
            </w:tc>
            <w:tc>
              <w:tcPr>
                <w:tcW w:w="633"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CE8B9F3" w14:textId="77777777" w:rsidR="007C4BFB" w:rsidRPr="009A46BB" w:rsidRDefault="007C4BFB" w:rsidP="007C4BFB">
                <w:pPr>
                  <w:spacing w:after="0" w:line="240" w:lineRule="auto"/>
                  <w:jc w:val="right"/>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22.122.987.907 </w:t>
                </w:r>
              </w:p>
            </w:tc>
            <w:tc>
              <w:tcPr>
                <w:tcW w:w="73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17326BEF" w14:textId="77777777" w:rsidR="007C4BFB" w:rsidRPr="009A46BB" w:rsidRDefault="007C4BFB" w:rsidP="007C4BFB">
                <w:pPr>
                  <w:spacing w:after="0" w:line="240" w:lineRule="auto"/>
                  <w:jc w:val="right"/>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166.797.976.354 </w:t>
                </w:r>
              </w:p>
            </w:tc>
          </w:tr>
          <w:tr w:rsidR="00526AAD" w:rsidRPr="007C4BFB" w14:paraId="15913A49" w14:textId="77777777" w:rsidTr="00106BD7">
            <w:trPr>
              <w:trHeight w:val="300"/>
            </w:trPr>
            <w:tc>
              <w:tcPr>
                <w:tcW w:w="118"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90E49F9" w14:textId="77777777" w:rsidR="007C4BFB" w:rsidRPr="009A46BB" w:rsidRDefault="007C4BFB" w:rsidP="007C4BFB">
                <w:pPr>
                  <w:spacing w:after="0" w:line="240" w:lineRule="auto"/>
                  <w:jc w:val="center"/>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w:t>
                </w:r>
              </w:p>
            </w:tc>
            <w:tc>
              <w:tcPr>
                <w:tcW w:w="1460"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hideMark/>
              </w:tcPr>
              <w:p w14:paraId="4438B8D0" w14:textId="77777777" w:rsidR="007C4BFB" w:rsidRPr="009A46BB" w:rsidRDefault="007C4BFB" w:rsidP="007C4BFB">
                <w:pPr>
                  <w:spacing w:after="0" w:line="240" w:lineRule="auto"/>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DEPRECIACIÓN ACUMULADA (seguimiento)</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F16D7DB" w14:textId="77777777" w:rsidR="007C4BFB" w:rsidRPr="009A46BB" w:rsidRDefault="007C4BFB" w:rsidP="007C4BFB">
                <w:pPr>
                  <w:spacing w:after="0" w:line="240" w:lineRule="auto"/>
                  <w:jc w:val="center"/>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0 </w:t>
                </w:r>
              </w:p>
            </w:tc>
            <w:tc>
              <w:tcPr>
                <w:tcW w:w="791"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3A63D3A9" w14:textId="77777777" w:rsidR="007C4BFB" w:rsidRPr="009A46BB" w:rsidRDefault="007C4BFB" w:rsidP="007C4BFB">
                <w:pPr>
                  <w:spacing w:after="0" w:line="240" w:lineRule="auto"/>
                  <w:jc w:val="center"/>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0 </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22BBD1D7" w14:textId="77777777" w:rsidR="007C4BFB" w:rsidRPr="009A46BB" w:rsidRDefault="007C4BFB" w:rsidP="007C4BFB">
                <w:pPr>
                  <w:spacing w:after="0" w:line="240" w:lineRule="auto"/>
                  <w:jc w:val="center"/>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0 </w:t>
                </w:r>
              </w:p>
            </w:tc>
            <w:tc>
              <w:tcPr>
                <w:tcW w:w="633"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A6DD79C" w14:textId="77777777" w:rsidR="007C4BFB" w:rsidRPr="009A46BB" w:rsidRDefault="007C4BFB" w:rsidP="007C4BFB">
                <w:pPr>
                  <w:spacing w:after="0" w:line="240" w:lineRule="auto"/>
                  <w:jc w:val="center"/>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0 </w:t>
                </w:r>
              </w:p>
            </w:tc>
            <w:tc>
              <w:tcPr>
                <w:tcW w:w="73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02F53F7C" w14:textId="77777777" w:rsidR="007C4BFB" w:rsidRPr="009A46BB" w:rsidRDefault="007C4BFB" w:rsidP="007C4BFB">
                <w:pPr>
                  <w:spacing w:after="0" w:line="240" w:lineRule="auto"/>
                  <w:jc w:val="center"/>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0 </w:t>
                </w:r>
              </w:p>
            </w:tc>
          </w:tr>
          <w:tr w:rsidR="00526AAD" w:rsidRPr="007C4BFB" w14:paraId="786BBC31" w14:textId="77777777" w:rsidTr="00106BD7">
            <w:trPr>
              <w:trHeight w:val="300"/>
            </w:trPr>
            <w:tc>
              <w:tcPr>
                <w:tcW w:w="118"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F75CBE0" w14:textId="77777777" w:rsidR="007C4BFB" w:rsidRPr="009A46BB" w:rsidRDefault="007C4BFB" w:rsidP="007C4BFB">
                <w:pPr>
                  <w:spacing w:after="0" w:line="240" w:lineRule="auto"/>
                  <w:jc w:val="center"/>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w:t>
                </w:r>
              </w:p>
            </w:tc>
            <w:tc>
              <w:tcPr>
                <w:tcW w:w="1460"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hideMark/>
              </w:tcPr>
              <w:p w14:paraId="651B3A8C" w14:textId="77777777" w:rsidR="007C4BFB" w:rsidRPr="009A46BB" w:rsidRDefault="007C4BFB" w:rsidP="007C4BFB">
                <w:pPr>
                  <w:spacing w:after="0" w:line="240" w:lineRule="auto"/>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DETERIORO ACUMULADO (seguimiento)</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60A1F588" w14:textId="77777777" w:rsidR="007C4BFB" w:rsidRPr="009A46BB" w:rsidRDefault="007C4BFB" w:rsidP="007C4BFB">
                <w:pPr>
                  <w:spacing w:after="0" w:line="240" w:lineRule="auto"/>
                  <w:jc w:val="center"/>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0 </w:t>
                </w:r>
              </w:p>
            </w:tc>
            <w:tc>
              <w:tcPr>
                <w:tcW w:w="791"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0555918" w14:textId="77777777" w:rsidR="007C4BFB" w:rsidRPr="009A46BB" w:rsidRDefault="007C4BFB" w:rsidP="007C4BFB">
                <w:pPr>
                  <w:spacing w:after="0" w:line="240" w:lineRule="auto"/>
                  <w:jc w:val="center"/>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0 </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2547BCC5" w14:textId="77777777" w:rsidR="007C4BFB" w:rsidRPr="009A46BB" w:rsidRDefault="007C4BFB" w:rsidP="007C4BFB">
                <w:pPr>
                  <w:spacing w:after="0" w:line="240" w:lineRule="auto"/>
                  <w:jc w:val="center"/>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0 </w:t>
                </w:r>
              </w:p>
            </w:tc>
            <w:tc>
              <w:tcPr>
                <w:tcW w:w="633"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C219D3E" w14:textId="77777777" w:rsidR="007C4BFB" w:rsidRPr="009A46BB" w:rsidRDefault="007C4BFB" w:rsidP="007C4BFB">
                <w:pPr>
                  <w:spacing w:after="0" w:line="240" w:lineRule="auto"/>
                  <w:jc w:val="center"/>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0 </w:t>
                </w:r>
              </w:p>
            </w:tc>
            <w:tc>
              <w:tcPr>
                <w:tcW w:w="73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409A3EE5" w14:textId="77777777" w:rsidR="007C4BFB" w:rsidRPr="009A46BB" w:rsidRDefault="007C4BFB" w:rsidP="007C4BFB">
                <w:pPr>
                  <w:spacing w:after="0" w:line="240" w:lineRule="auto"/>
                  <w:jc w:val="center"/>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xml:space="preserve">0 </w:t>
                </w:r>
              </w:p>
            </w:tc>
          </w:tr>
          <w:tr w:rsidR="009F5D00" w:rsidRPr="007C4BFB" w14:paraId="0968CFF5" w14:textId="77777777" w:rsidTr="00106BD7">
            <w:trPr>
              <w:trHeight w:val="300"/>
            </w:trPr>
            <w:tc>
              <w:tcPr>
                <w:tcW w:w="1578" w:type="pct"/>
                <w:gridSpan w:val="2"/>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2C6D09D4" w14:textId="77777777" w:rsidR="007C4BFB" w:rsidRPr="009A46BB" w:rsidRDefault="007C4BFB" w:rsidP="007C4BFB">
                <w:pPr>
                  <w:spacing w:after="0" w:line="240" w:lineRule="auto"/>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CLASIFICACIONES DE PPE - INMUEBLES</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6E1ED9A9" w14:textId="77777777" w:rsidR="007C4BFB" w:rsidRPr="009A46BB" w:rsidRDefault="007C4BFB" w:rsidP="007C4BFB">
                <w:pPr>
                  <w:spacing w:after="0" w:line="240" w:lineRule="auto"/>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w:t>
                </w:r>
              </w:p>
            </w:tc>
            <w:tc>
              <w:tcPr>
                <w:tcW w:w="791"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30912BD2" w14:textId="77777777" w:rsidR="007C4BFB" w:rsidRPr="009A46BB" w:rsidRDefault="007C4BFB" w:rsidP="007C4BFB">
                <w:pPr>
                  <w:spacing w:after="0" w:line="240" w:lineRule="auto"/>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C4AE1D8" w14:textId="77777777" w:rsidR="007C4BFB" w:rsidRPr="009A46BB" w:rsidRDefault="007C4BFB" w:rsidP="007C4BFB">
                <w:pPr>
                  <w:spacing w:after="0" w:line="240" w:lineRule="auto"/>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w:t>
                </w:r>
              </w:p>
            </w:tc>
            <w:tc>
              <w:tcPr>
                <w:tcW w:w="633"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6FC6EB0A" w14:textId="77777777" w:rsidR="007C4BFB" w:rsidRPr="009A46BB" w:rsidRDefault="007C4BFB" w:rsidP="007C4BFB">
                <w:pPr>
                  <w:spacing w:after="0" w:line="240" w:lineRule="auto"/>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w:t>
                </w:r>
              </w:p>
            </w:tc>
            <w:tc>
              <w:tcPr>
                <w:tcW w:w="73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3D33DB17" w14:textId="77777777" w:rsidR="007C4BFB" w:rsidRPr="009A46BB" w:rsidRDefault="007C4BFB" w:rsidP="007C4BFB">
                <w:pPr>
                  <w:spacing w:after="0" w:line="240" w:lineRule="auto"/>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w:t>
                </w:r>
              </w:p>
            </w:tc>
          </w:tr>
          <w:tr w:rsidR="00526AAD" w:rsidRPr="007C4BFB" w14:paraId="4DE22932" w14:textId="77777777" w:rsidTr="00106BD7">
            <w:trPr>
              <w:trHeight w:val="300"/>
            </w:trPr>
            <w:tc>
              <w:tcPr>
                <w:tcW w:w="118"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4FEB23D" w14:textId="77777777" w:rsidR="007C4BFB" w:rsidRPr="009A46BB" w:rsidRDefault="007C4BFB" w:rsidP="007C4BFB">
                <w:pPr>
                  <w:spacing w:after="0" w:line="240" w:lineRule="auto"/>
                  <w:jc w:val="center"/>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w:t>
                </w:r>
              </w:p>
            </w:tc>
            <w:tc>
              <w:tcPr>
                <w:tcW w:w="1460"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0A088589" w14:textId="77777777" w:rsidR="007C4BFB" w:rsidRPr="009A46BB" w:rsidRDefault="007C4BFB" w:rsidP="007C4BFB">
                <w:pPr>
                  <w:spacing w:after="0" w:line="240" w:lineRule="auto"/>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USO O DESTINACIÓN</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03F7952A" w14:textId="678227C2" w:rsidR="007C4BFB" w:rsidRPr="009A46BB" w:rsidRDefault="007C4BFB" w:rsidP="005628FB">
                <w:pPr>
                  <w:spacing w:after="0" w:line="240" w:lineRule="auto"/>
                  <w:jc w:val="center"/>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0</w:t>
                </w:r>
              </w:p>
            </w:tc>
            <w:tc>
              <w:tcPr>
                <w:tcW w:w="791"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C222F2B" w14:textId="073C264E" w:rsidR="007C4BFB" w:rsidRPr="009A46BB" w:rsidRDefault="007C4BFB" w:rsidP="005628FB">
                <w:pPr>
                  <w:spacing w:after="0" w:line="240" w:lineRule="auto"/>
                  <w:jc w:val="center"/>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0</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6786654" w14:textId="2996363C" w:rsidR="007C4BFB" w:rsidRPr="009A46BB" w:rsidRDefault="007C4BFB" w:rsidP="005628FB">
                <w:pPr>
                  <w:spacing w:after="0" w:line="240" w:lineRule="auto"/>
                  <w:jc w:val="center"/>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0</w:t>
                </w:r>
              </w:p>
            </w:tc>
            <w:tc>
              <w:tcPr>
                <w:tcW w:w="633"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63FA78F5" w14:textId="02AB629C" w:rsidR="007C4BFB" w:rsidRPr="009A46BB" w:rsidRDefault="007C4BFB" w:rsidP="005628FB">
                <w:pPr>
                  <w:spacing w:after="0" w:line="240" w:lineRule="auto"/>
                  <w:jc w:val="center"/>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0</w:t>
                </w:r>
              </w:p>
            </w:tc>
            <w:tc>
              <w:tcPr>
                <w:tcW w:w="73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1AFF440B" w14:textId="03F2A0BD" w:rsidR="007C4BFB" w:rsidRPr="009A46BB" w:rsidRDefault="007C4BFB" w:rsidP="005628FB">
                <w:pPr>
                  <w:spacing w:after="0" w:line="240" w:lineRule="auto"/>
                  <w:jc w:val="center"/>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0</w:t>
                </w:r>
              </w:p>
            </w:tc>
          </w:tr>
          <w:tr w:rsidR="009F5D00" w:rsidRPr="007C4BFB" w14:paraId="37DFA336" w14:textId="77777777" w:rsidTr="00106BD7">
            <w:trPr>
              <w:trHeight w:val="300"/>
            </w:trPr>
            <w:tc>
              <w:tcPr>
                <w:tcW w:w="1578" w:type="pct"/>
                <w:gridSpan w:val="2"/>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0EC44DEB" w14:textId="77777777" w:rsidR="007C4BFB" w:rsidRPr="009A46BB" w:rsidRDefault="007C4BFB" w:rsidP="007C4BFB">
                <w:pPr>
                  <w:spacing w:after="0" w:line="240" w:lineRule="auto"/>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REVELACIONES ADICIONALES</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BEDF6E2" w14:textId="0E0D30A2" w:rsidR="007C4BFB" w:rsidRPr="009A46BB" w:rsidRDefault="007C4BFB" w:rsidP="005628FB">
                <w:pPr>
                  <w:spacing w:after="0" w:line="240" w:lineRule="auto"/>
                  <w:jc w:val="center"/>
                  <w:rPr>
                    <w:rFonts w:ascii="Times New Roman" w:eastAsia="Times New Roman" w:hAnsi="Times New Roman"/>
                    <w:b/>
                    <w:sz w:val="15"/>
                    <w:szCs w:val="15"/>
                    <w:lang w:eastAsia="es-CO"/>
                  </w:rPr>
                </w:pPr>
              </w:p>
            </w:tc>
            <w:tc>
              <w:tcPr>
                <w:tcW w:w="791"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324ECA8" w14:textId="2B0F6347" w:rsidR="007C4BFB" w:rsidRPr="009A46BB" w:rsidRDefault="007C4BFB" w:rsidP="005628FB">
                <w:pPr>
                  <w:spacing w:after="0" w:line="240" w:lineRule="auto"/>
                  <w:jc w:val="center"/>
                  <w:rPr>
                    <w:rFonts w:ascii="Times New Roman" w:eastAsia="Times New Roman" w:hAnsi="Times New Roman"/>
                    <w:b/>
                    <w:sz w:val="15"/>
                    <w:szCs w:val="15"/>
                    <w:lang w:eastAsia="es-CO"/>
                  </w:rPr>
                </w:pP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0A97B77C" w14:textId="08605A60" w:rsidR="007C4BFB" w:rsidRPr="009A46BB" w:rsidRDefault="007C4BFB" w:rsidP="005628FB">
                <w:pPr>
                  <w:spacing w:after="0" w:line="240" w:lineRule="auto"/>
                  <w:jc w:val="center"/>
                  <w:rPr>
                    <w:rFonts w:ascii="Times New Roman" w:eastAsia="Times New Roman" w:hAnsi="Times New Roman"/>
                    <w:b/>
                    <w:sz w:val="15"/>
                    <w:szCs w:val="15"/>
                    <w:lang w:eastAsia="es-CO"/>
                  </w:rPr>
                </w:pPr>
              </w:p>
            </w:tc>
            <w:tc>
              <w:tcPr>
                <w:tcW w:w="633"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966CA57" w14:textId="7377B9D9" w:rsidR="007C4BFB" w:rsidRPr="009A46BB" w:rsidRDefault="007C4BFB" w:rsidP="005628FB">
                <w:pPr>
                  <w:spacing w:after="0" w:line="240" w:lineRule="auto"/>
                  <w:jc w:val="center"/>
                  <w:rPr>
                    <w:rFonts w:ascii="Times New Roman" w:eastAsia="Times New Roman" w:hAnsi="Times New Roman"/>
                    <w:b/>
                    <w:sz w:val="15"/>
                    <w:szCs w:val="15"/>
                    <w:lang w:eastAsia="es-CO"/>
                  </w:rPr>
                </w:pPr>
              </w:p>
            </w:tc>
            <w:tc>
              <w:tcPr>
                <w:tcW w:w="73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776D5194" w14:textId="5321BF64" w:rsidR="007C4BFB" w:rsidRPr="009A46BB" w:rsidRDefault="007C4BFB" w:rsidP="005628FB">
                <w:pPr>
                  <w:spacing w:after="0" w:line="240" w:lineRule="auto"/>
                  <w:jc w:val="center"/>
                  <w:rPr>
                    <w:rFonts w:ascii="Times New Roman" w:eastAsia="Times New Roman" w:hAnsi="Times New Roman"/>
                    <w:b/>
                    <w:sz w:val="15"/>
                    <w:szCs w:val="15"/>
                    <w:lang w:eastAsia="es-CO"/>
                  </w:rPr>
                </w:pPr>
              </w:p>
            </w:tc>
          </w:tr>
          <w:tr w:rsidR="00526AAD" w:rsidRPr="007C4BFB" w14:paraId="679EE513" w14:textId="77777777" w:rsidTr="00106BD7">
            <w:trPr>
              <w:trHeight w:val="300"/>
            </w:trPr>
            <w:tc>
              <w:tcPr>
                <w:tcW w:w="118"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9851F9E" w14:textId="77777777" w:rsidR="007C4BFB" w:rsidRPr="009A46BB" w:rsidRDefault="007C4BFB" w:rsidP="007C4BFB">
                <w:pPr>
                  <w:spacing w:after="0" w:line="240" w:lineRule="auto"/>
                  <w:jc w:val="center"/>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w:t>
                </w:r>
              </w:p>
            </w:tc>
            <w:tc>
              <w:tcPr>
                <w:tcW w:w="1460"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231AB170" w14:textId="77777777" w:rsidR="007C4BFB" w:rsidRPr="009A46BB" w:rsidRDefault="007C4BFB" w:rsidP="007C4BFB">
                <w:pPr>
                  <w:spacing w:after="0" w:line="240" w:lineRule="auto"/>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GARANTIA DE PASIVOS</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215E2A3" w14:textId="50B843CE" w:rsidR="007C4BFB" w:rsidRPr="009A46BB" w:rsidRDefault="007C4BFB" w:rsidP="005628FB">
                <w:pPr>
                  <w:spacing w:after="0" w:line="240" w:lineRule="auto"/>
                  <w:jc w:val="center"/>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0</w:t>
                </w:r>
              </w:p>
            </w:tc>
            <w:tc>
              <w:tcPr>
                <w:tcW w:w="791"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2CA475F6" w14:textId="480E25EE" w:rsidR="007C4BFB" w:rsidRPr="009A46BB" w:rsidRDefault="007C4BFB" w:rsidP="005628FB">
                <w:pPr>
                  <w:spacing w:after="0" w:line="240" w:lineRule="auto"/>
                  <w:jc w:val="center"/>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0</w:t>
                </w:r>
              </w:p>
            </w:tc>
            <w:tc>
              <w:tcPr>
                <w:tcW w:w="63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3C4E23AD" w14:textId="61D1EB1C" w:rsidR="007C4BFB" w:rsidRPr="009A46BB" w:rsidRDefault="007C4BFB" w:rsidP="005628FB">
                <w:pPr>
                  <w:spacing w:after="0" w:line="240" w:lineRule="auto"/>
                  <w:jc w:val="center"/>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0</w:t>
                </w:r>
              </w:p>
            </w:tc>
            <w:tc>
              <w:tcPr>
                <w:tcW w:w="633"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CBB7E5D" w14:textId="4D356E3B" w:rsidR="007C4BFB" w:rsidRPr="009A46BB" w:rsidRDefault="007C4BFB" w:rsidP="005628FB">
                <w:pPr>
                  <w:spacing w:after="0" w:line="240" w:lineRule="auto"/>
                  <w:jc w:val="center"/>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0</w:t>
                </w:r>
              </w:p>
            </w:tc>
            <w:tc>
              <w:tcPr>
                <w:tcW w:w="73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5FEB7972" w14:textId="15D2BE34" w:rsidR="007C4BFB" w:rsidRPr="009A46BB" w:rsidRDefault="007C4BFB" w:rsidP="005628FB">
                <w:pPr>
                  <w:spacing w:after="0" w:line="240" w:lineRule="auto"/>
                  <w:jc w:val="center"/>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0</w:t>
                </w:r>
              </w:p>
            </w:tc>
          </w:tr>
          <w:tr w:rsidR="00526AAD" w:rsidRPr="007C4BFB" w14:paraId="09A8F6E4" w14:textId="77777777" w:rsidTr="00106BD7">
            <w:trPr>
              <w:trHeight w:val="300"/>
            </w:trPr>
            <w:tc>
              <w:tcPr>
                <w:tcW w:w="118" w:type="pct"/>
                <w:tcBorders>
                  <w:top w:val="single" w:sz="6" w:space="0" w:color="808080" w:themeColor="background1" w:themeShade="80"/>
                  <w:left w:val="single" w:sz="4" w:space="0" w:color="808080" w:themeColor="background1" w:themeShade="80"/>
                  <w:bottom w:val="single" w:sz="4" w:space="0" w:color="808080" w:themeColor="background1" w:themeShade="80"/>
                  <w:right w:val="single" w:sz="6" w:space="0" w:color="808080" w:themeColor="background1" w:themeShade="80"/>
                </w:tcBorders>
                <w:shd w:val="clear" w:color="auto" w:fill="auto"/>
                <w:noWrap/>
                <w:vAlign w:val="center"/>
                <w:hideMark/>
              </w:tcPr>
              <w:p w14:paraId="5AB92915" w14:textId="77777777" w:rsidR="007C4BFB" w:rsidRPr="009A46BB" w:rsidRDefault="007C4BFB" w:rsidP="007C4BFB">
                <w:pPr>
                  <w:spacing w:after="0" w:line="240" w:lineRule="auto"/>
                  <w:jc w:val="center"/>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 </w:t>
                </w:r>
              </w:p>
            </w:tc>
            <w:tc>
              <w:tcPr>
                <w:tcW w:w="1460" w:type="pct"/>
                <w:tcBorders>
                  <w:top w:val="single" w:sz="6" w:space="0" w:color="808080" w:themeColor="background1" w:themeShade="80"/>
                  <w:left w:val="single" w:sz="6" w:space="0" w:color="808080" w:themeColor="background1" w:themeShade="80"/>
                  <w:bottom w:val="single" w:sz="4" w:space="0" w:color="808080" w:themeColor="background1" w:themeShade="80"/>
                  <w:right w:val="single" w:sz="6" w:space="0" w:color="808080" w:themeColor="background1" w:themeShade="80"/>
                </w:tcBorders>
                <w:shd w:val="clear" w:color="auto" w:fill="auto"/>
                <w:noWrap/>
                <w:vAlign w:val="center"/>
                <w:hideMark/>
              </w:tcPr>
              <w:p w14:paraId="0C69DF27" w14:textId="77777777" w:rsidR="007C4BFB" w:rsidRPr="009A46BB" w:rsidRDefault="007C4BFB" w:rsidP="007C4BFB">
                <w:pPr>
                  <w:spacing w:after="0" w:line="240" w:lineRule="auto"/>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BAJA EN CUENTAS - EFECTO EN EL RESULTADO</w:t>
                </w:r>
              </w:p>
            </w:tc>
            <w:tc>
              <w:tcPr>
                <w:tcW w:w="632" w:type="pct"/>
                <w:tcBorders>
                  <w:top w:val="single" w:sz="6" w:space="0" w:color="808080" w:themeColor="background1" w:themeShade="80"/>
                  <w:left w:val="single" w:sz="6" w:space="0" w:color="808080" w:themeColor="background1" w:themeShade="80"/>
                  <w:bottom w:val="single" w:sz="4" w:space="0" w:color="808080" w:themeColor="background1" w:themeShade="80"/>
                  <w:right w:val="single" w:sz="6" w:space="0" w:color="808080" w:themeColor="background1" w:themeShade="80"/>
                </w:tcBorders>
                <w:shd w:val="clear" w:color="auto" w:fill="auto"/>
                <w:noWrap/>
                <w:vAlign w:val="center"/>
                <w:hideMark/>
              </w:tcPr>
              <w:p w14:paraId="54A28A72" w14:textId="50D79287" w:rsidR="007C4BFB" w:rsidRPr="009A46BB" w:rsidRDefault="007C4BFB" w:rsidP="005628FB">
                <w:pPr>
                  <w:spacing w:after="0" w:line="240" w:lineRule="auto"/>
                  <w:jc w:val="center"/>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0</w:t>
                </w:r>
              </w:p>
            </w:tc>
            <w:tc>
              <w:tcPr>
                <w:tcW w:w="791" w:type="pct"/>
                <w:tcBorders>
                  <w:top w:val="single" w:sz="6" w:space="0" w:color="808080" w:themeColor="background1" w:themeShade="80"/>
                  <w:left w:val="single" w:sz="6" w:space="0" w:color="808080" w:themeColor="background1" w:themeShade="80"/>
                  <w:bottom w:val="single" w:sz="4" w:space="0" w:color="808080" w:themeColor="background1" w:themeShade="80"/>
                  <w:right w:val="single" w:sz="6" w:space="0" w:color="808080" w:themeColor="background1" w:themeShade="80"/>
                </w:tcBorders>
                <w:shd w:val="clear" w:color="auto" w:fill="auto"/>
                <w:noWrap/>
                <w:vAlign w:val="center"/>
                <w:hideMark/>
              </w:tcPr>
              <w:p w14:paraId="7AA628DA" w14:textId="791D2360" w:rsidR="007C4BFB" w:rsidRPr="009A46BB" w:rsidRDefault="007C4BFB" w:rsidP="005628FB">
                <w:pPr>
                  <w:spacing w:after="0" w:line="240" w:lineRule="auto"/>
                  <w:jc w:val="center"/>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0</w:t>
                </w:r>
              </w:p>
            </w:tc>
            <w:tc>
              <w:tcPr>
                <w:tcW w:w="632" w:type="pct"/>
                <w:tcBorders>
                  <w:top w:val="single" w:sz="6" w:space="0" w:color="808080" w:themeColor="background1" w:themeShade="80"/>
                  <w:left w:val="single" w:sz="6" w:space="0" w:color="808080" w:themeColor="background1" w:themeShade="80"/>
                  <w:bottom w:val="single" w:sz="4" w:space="0" w:color="808080" w:themeColor="background1" w:themeShade="80"/>
                  <w:right w:val="single" w:sz="6" w:space="0" w:color="808080" w:themeColor="background1" w:themeShade="80"/>
                </w:tcBorders>
                <w:shd w:val="clear" w:color="auto" w:fill="auto"/>
                <w:noWrap/>
                <w:vAlign w:val="center"/>
                <w:hideMark/>
              </w:tcPr>
              <w:p w14:paraId="537A338C" w14:textId="6DE30E03" w:rsidR="007C4BFB" w:rsidRPr="009A46BB" w:rsidRDefault="007C4BFB" w:rsidP="005628FB">
                <w:pPr>
                  <w:spacing w:after="0" w:line="240" w:lineRule="auto"/>
                  <w:jc w:val="center"/>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0</w:t>
                </w:r>
              </w:p>
            </w:tc>
            <w:tc>
              <w:tcPr>
                <w:tcW w:w="633" w:type="pct"/>
                <w:tcBorders>
                  <w:top w:val="single" w:sz="6" w:space="0" w:color="808080" w:themeColor="background1" w:themeShade="80"/>
                  <w:left w:val="single" w:sz="6" w:space="0" w:color="808080" w:themeColor="background1" w:themeShade="80"/>
                  <w:bottom w:val="single" w:sz="4" w:space="0" w:color="808080" w:themeColor="background1" w:themeShade="80"/>
                  <w:right w:val="single" w:sz="6" w:space="0" w:color="808080" w:themeColor="background1" w:themeShade="80"/>
                </w:tcBorders>
                <w:shd w:val="clear" w:color="auto" w:fill="auto"/>
                <w:noWrap/>
                <w:vAlign w:val="center"/>
                <w:hideMark/>
              </w:tcPr>
              <w:p w14:paraId="1218618C" w14:textId="3A9D77E9" w:rsidR="007C4BFB" w:rsidRPr="009A46BB" w:rsidRDefault="007C4BFB" w:rsidP="005628FB">
                <w:pPr>
                  <w:spacing w:after="0" w:line="240" w:lineRule="auto"/>
                  <w:jc w:val="center"/>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0</w:t>
                </w:r>
              </w:p>
            </w:tc>
            <w:tc>
              <w:tcPr>
                <w:tcW w:w="734" w:type="pct"/>
                <w:tcBorders>
                  <w:top w:val="single" w:sz="6" w:space="0" w:color="808080" w:themeColor="background1" w:themeShade="80"/>
                  <w:left w:val="single" w:sz="6"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4C62E99D" w14:textId="460DF1FF" w:rsidR="007C4BFB" w:rsidRPr="009A46BB" w:rsidRDefault="007C4BFB" w:rsidP="005628FB">
                <w:pPr>
                  <w:spacing w:after="0" w:line="240" w:lineRule="auto"/>
                  <w:jc w:val="center"/>
                  <w:rPr>
                    <w:rFonts w:ascii="Times New Roman" w:eastAsia="Times New Roman" w:hAnsi="Times New Roman"/>
                    <w:b/>
                    <w:sz w:val="15"/>
                    <w:szCs w:val="15"/>
                    <w:lang w:eastAsia="es-CO"/>
                  </w:rPr>
                </w:pPr>
                <w:r w:rsidRPr="009A46BB">
                  <w:rPr>
                    <w:rFonts w:ascii="Times New Roman" w:eastAsia="Times New Roman" w:hAnsi="Times New Roman"/>
                    <w:b/>
                    <w:sz w:val="15"/>
                    <w:szCs w:val="15"/>
                    <w:lang w:eastAsia="es-CO"/>
                  </w:rPr>
                  <w:t>0</w:t>
                </w:r>
              </w:p>
            </w:tc>
          </w:tr>
        </w:tbl>
        <w:p w14:paraId="643E51B9" w14:textId="77777777" w:rsidR="00D77D81" w:rsidRPr="00931DCE" w:rsidRDefault="00D77D81" w:rsidP="004A000E">
          <w:pPr>
            <w:spacing w:after="0" w:line="240" w:lineRule="auto"/>
            <w:jc w:val="both"/>
            <w:rPr>
              <w:rFonts w:ascii="Times New Roman" w:hAnsi="Times New Roman"/>
              <w:sz w:val="24"/>
              <w:szCs w:val="24"/>
            </w:rPr>
          </w:pPr>
        </w:p>
        <w:p w14:paraId="321F6012" w14:textId="13798D34" w:rsidR="007673FD" w:rsidRPr="00F756AE" w:rsidRDefault="00DC330E" w:rsidP="00032AC3">
          <w:pPr>
            <w:spacing w:after="0" w:line="240" w:lineRule="auto"/>
            <w:jc w:val="both"/>
            <w:rPr>
              <w:rFonts w:ascii="Times New Roman" w:hAnsi="Times New Roman"/>
              <w:sz w:val="24"/>
              <w:szCs w:val="24"/>
            </w:rPr>
          </w:pPr>
          <w:r w:rsidRPr="00F756AE">
            <w:rPr>
              <w:rFonts w:ascii="Times New Roman" w:hAnsi="Times New Roman"/>
              <w:sz w:val="24"/>
              <w:szCs w:val="24"/>
            </w:rPr>
            <w:t xml:space="preserve">Para el modo de transporte carretero, </w:t>
          </w:r>
          <w:r w:rsidR="00A50195" w:rsidRPr="00F756AE">
            <w:rPr>
              <w:rFonts w:ascii="Times New Roman" w:hAnsi="Times New Roman"/>
              <w:sz w:val="24"/>
              <w:szCs w:val="24"/>
            </w:rPr>
            <w:t xml:space="preserve">las variaciones </w:t>
          </w:r>
          <w:r w:rsidR="00C662BD">
            <w:rPr>
              <w:rFonts w:ascii="Times New Roman" w:hAnsi="Times New Roman"/>
              <w:sz w:val="24"/>
              <w:szCs w:val="24"/>
            </w:rPr>
            <w:t>(</w:t>
          </w:r>
          <w:r w:rsidR="00CF2D8C">
            <w:rPr>
              <w:rFonts w:ascii="Times New Roman" w:hAnsi="Times New Roman"/>
              <w:sz w:val="24"/>
              <w:szCs w:val="24"/>
            </w:rPr>
            <w:t xml:space="preserve">Salidas cr) </w:t>
          </w:r>
          <w:r w:rsidR="00A50195">
            <w:rPr>
              <w:rFonts w:ascii="Times New Roman" w:hAnsi="Times New Roman"/>
              <w:sz w:val="24"/>
              <w:szCs w:val="24"/>
            </w:rPr>
            <w:t>corresponden</w:t>
          </w:r>
          <w:r w:rsidR="00FC1296">
            <w:rPr>
              <w:rFonts w:ascii="Times New Roman" w:hAnsi="Times New Roman"/>
              <w:sz w:val="24"/>
              <w:szCs w:val="24"/>
            </w:rPr>
            <w:t xml:space="preserve"> a la reversión </w:t>
          </w:r>
          <w:r w:rsidR="001A6F2F">
            <w:rPr>
              <w:rFonts w:ascii="Times New Roman" w:hAnsi="Times New Roman"/>
              <w:sz w:val="24"/>
              <w:szCs w:val="24"/>
            </w:rPr>
            <w:t>a la entidad titular</w:t>
          </w:r>
          <w:r w:rsidR="00470284">
            <w:rPr>
              <w:rFonts w:ascii="Times New Roman" w:hAnsi="Times New Roman"/>
              <w:sz w:val="24"/>
              <w:szCs w:val="24"/>
            </w:rPr>
            <w:t>,</w:t>
          </w:r>
          <w:r w:rsidR="001A6F2F">
            <w:rPr>
              <w:rFonts w:ascii="Times New Roman" w:hAnsi="Times New Roman"/>
              <w:sz w:val="24"/>
              <w:szCs w:val="24"/>
            </w:rPr>
            <w:t xml:space="preserve"> de </w:t>
          </w:r>
          <w:r w:rsidR="00F80C3F">
            <w:rPr>
              <w:rFonts w:ascii="Times New Roman" w:hAnsi="Times New Roman"/>
              <w:sz w:val="24"/>
              <w:szCs w:val="24"/>
            </w:rPr>
            <w:t>los activos asociados al</w:t>
          </w:r>
          <w:r w:rsidR="00C221A0">
            <w:rPr>
              <w:rFonts w:ascii="Times New Roman" w:hAnsi="Times New Roman"/>
              <w:sz w:val="24"/>
              <w:szCs w:val="24"/>
            </w:rPr>
            <w:t xml:space="preserve"> </w:t>
          </w:r>
          <w:r w:rsidR="00F80C3F">
            <w:rPr>
              <w:rFonts w:ascii="Times New Roman" w:hAnsi="Times New Roman"/>
              <w:sz w:val="24"/>
              <w:szCs w:val="24"/>
            </w:rPr>
            <w:t>c</w:t>
          </w:r>
          <w:r w:rsidR="00A50195" w:rsidRPr="00A50195">
            <w:rPr>
              <w:rFonts w:ascii="Times New Roman" w:hAnsi="Times New Roman"/>
              <w:sz w:val="24"/>
              <w:szCs w:val="24"/>
            </w:rPr>
            <w:t xml:space="preserve">ontrato de </w:t>
          </w:r>
          <w:r w:rsidR="00F80C3F">
            <w:rPr>
              <w:rFonts w:ascii="Times New Roman" w:hAnsi="Times New Roman"/>
              <w:sz w:val="24"/>
              <w:szCs w:val="24"/>
            </w:rPr>
            <w:t>c</w:t>
          </w:r>
          <w:r w:rsidR="00A50195" w:rsidRPr="00A50195">
            <w:rPr>
              <w:rFonts w:ascii="Times New Roman" w:hAnsi="Times New Roman"/>
              <w:sz w:val="24"/>
              <w:szCs w:val="24"/>
            </w:rPr>
            <w:t>oncesión No</w:t>
          </w:r>
          <w:r w:rsidR="00F80C3F">
            <w:rPr>
              <w:rFonts w:ascii="Times New Roman" w:hAnsi="Times New Roman"/>
              <w:sz w:val="24"/>
              <w:szCs w:val="24"/>
            </w:rPr>
            <w:t>.</w:t>
          </w:r>
          <w:r w:rsidR="00A50195" w:rsidRPr="00A50195">
            <w:rPr>
              <w:rFonts w:ascii="Times New Roman" w:hAnsi="Times New Roman"/>
              <w:sz w:val="24"/>
              <w:szCs w:val="24"/>
            </w:rPr>
            <w:t xml:space="preserve"> 002 de 2010 </w:t>
          </w:r>
          <w:r w:rsidR="00F80C3F">
            <w:rPr>
              <w:rFonts w:ascii="Times New Roman" w:hAnsi="Times New Roman"/>
              <w:sz w:val="24"/>
              <w:szCs w:val="24"/>
            </w:rPr>
            <w:t>suscrito con el</w:t>
          </w:r>
          <w:r w:rsidR="00A50195" w:rsidRPr="00A50195">
            <w:rPr>
              <w:rFonts w:ascii="Times New Roman" w:hAnsi="Times New Roman"/>
              <w:sz w:val="24"/>
              <w:szCs w:val="24"/>
            </w:rPr>
            <w:t xml:space="preserve"> Concesionario </w:t>
          </w:r>
          <w:r w:rsidR="008E3D31" w:rsidRPr="008E3D31">
            <w:rPr>
              <w:rFonts w:ascii="Times New Roman" w:hAnsi="Times New Roman"/>
              <w:sz w:val="24"/>
              <w:szCs w:val="24"/>
            </w:rPr>
            <w:t xml:space="preserve">Consorcio Vial </w:t>
          </w:r>
          <w:r w:rsidR="00A50195" w:rsidRPr="00A50195">
            <w:rPr>
              <w:rFonts w:ascii="Times New Roman" w:hAnsi="Times New Roman"/>
              <w:sz w:val="24"/>
              <w:szCs w:val="24"/>
            </w:rPr>
            <w:t>Helios</w:t>
          </w:r>
          <w:r w:rsidR="008E3D31">
            <w:rPr>
              <w:rFonts w:ascii="Times New Roman" w:hAnsi="Times New Roman"/>
              <w:sz w:val="24"/>
              <w:szCs w:val="24"/>
            </w:rPr>
            <w:t>,</w:t>
          </w:r>
          <w:r w:rsidR="00A50195" w:rsidRPr="00A50195">
            <w:rPr>
              <w:rFonts w:ascii="Times New Roman" w:hAnsi="Times New Roman"/>
              <w:sz w:val="24"/>
              <w:szCs w:val="24"/>
            </w:rPr>
            <w:t xml:space="preserve"> de acuerdo </w:t>
          </w:r>
          <w:r w:rsidR="00460501">
            <w:rPr>
              <w:rFonts w:ascii="Times New Roman" w:hAnsi="Times New Roman"/>
              <w:sz w:val="24"/>
              <w:szCs w:val="24"/>
            </w:rPr>
            <w:t>con el a</w:t>
          </w:r>
          <w:r w:rsidR="00A50195" w:rsidRPr="00A50195">
            <w:rPr>
              <w:rFonts w:ascii="Times New Roman" w:hAnsi="Times New Roman"/>
              <w:sz w:val="24"/>
              <w:szCs w:val="24"/>
            </w:rPr>
            <w:t xml:space="preserve">cta de </w:t>
          </w:r>
          <w:r w:rsidR="00460501">
            <w:rPr>
              <w:rFonts w:ascii="Times New Roman" w:hAnsi="Times New Roman"/>
              <w:sz w:val="24"/>
              <w:szCs w:val="24"/>
            </w:rPr>
            <w:t>r</w:t>
          </w:r>
          <w:r w:rsidR="00A50195" w:rsidRPr="00A50195">
            <w:rPr>
              <w:rFonts w:ascii="Times New Roman" w:hAnsi="Times New Roman"/>
              <w:sz w:val="24"/>
              <w:szCs w:val="24"/>
            </w:rPr>
            <w:t>eversión y entrega del proyecto de concesión vial Ruta del Sol Sector 1</w:t>
          </w:r>
          <w:r w:rsidR="005D4A20">
            <w:rPr>
              <w:rFonts w:ascii="Times New Roman" w:hAnsi="Times New Roman"/>
              <w:sz w:val="24"/>
              <w:szCs w:val="24"/>
            </w:rPr>
            <w:t xml:space="preserve">. </w:t>
          </w:r>
        </w:p>
        <w:p w14:paraId="5B407390" w14:textId="77777777" w:rsidR="00BE1E29" w:rsidRDefault="00BE1E29" w:rsidP="00032AC3">
          <w:pPr>
            <w:spacing w:after="0" w:line="240" w:lineRule="auto"/>
            <w:jc w:val="both"/>
            <w:rPr>
              <w:rFonts w:ascii="Times New Roman" w:hAnsi="Times New Roman"/>
              <w:sz w:val="24"/>
              <w:szCs w:val="24"/>
            </w:rPr>
          </w:pPr>
        </w:p>
        <w:p w14:paraId="5C56B2BF" w14:textId="4258CE1F" w:rsidR="007673FD" w:rsidRDefault="00BE1E29" w:rsidP="00032AC3">
          <w:pPr>
            <w:spacing w:after="0" w:line="240" w:lineRule="auto"/>
            <w:jc w:val="both"/>
            <w:rPr>
              <w:rFonts w:ascii="Times New Roman" w:hAnsi="Times New Roman"/>
              <w:sz w:val="24"/>
              <w:szCs w:val="24"/>
            </w:rPr>
          </w:pPr>
          <w:r>
            <w:rPr>
              <w:rFonts w:ascii="Times New Roman" w:hAnsi="Times New Roman"/>
              <w:sz w:val="24"/>
              <w:szCs w:val="24"/>
            </w:rPr>
            <w:t xml:space="preserve">En los relacionado con </w:t>
          </w:r>
          <w:r w:rsidR="00742C21">
            <w:rPr>
              <w:rFonts w:ascii="Times New Roman" w:hAnsi="Times New Roman"/>
              <w:sz w:val="24"/>
              <w:szCs w:val="24"/>
            </w:rPr>
            <w:t xml:space="preserve">la </w:t>
          </w:r>
          <w:r w:rsidR="0039280F">
            <w:rPr>
              <w:rFonts w:ascii="Times New Roman" w:hAnsi="Times New Roman"/>
              <w:sz w:val="24"/>
              <w:szCs w:val="24"/>
            </w:rPr>
            <w:t xml:space="preserve">medición posterior, comprende las </w:t>
          </w:r>
          <w:r w:rsidR="00EF7C5B">
            <w:rPr>
              <w:rFonts w:ascii="Times New Roman" w:hAnsi="Times New Roman"/>
              <w:sz w:val="24"/>
              <w:szCs w:val="24"/>
            </w:rPr>
            <w:t>reclasificaciones</w:t>
          </w:r>
          <w:r w:rsidR="0039280F">
            <w:rPr>
              <w:rFonts w:ascii="Times New Roman" w:hAnsi="Times New Roman"/>
              <w:sz w:val="24"/>
              <w:szCs w:val="24"/>
            </w:rPr>
            <w:t xml:space="preserve"> entre cuentas del </w:t>
          </w:r>
          <w:r w:rsidR="00EF7C5B">
            <w:rPr>
              <w:rFonts w:ascii="Times New Roman" w:hAnsi="Times New Roman"/>
              <w:sz w:val="24"/>
              <w:szCs w:val="24"/>
            </w:rPr>
            <w:t>activo</w:t>
          </w:r>
          <w:r w:rsidR="0039280F">
            <w:rPr>
              <w:rFonts w:ascii="Times New Roman" w:hAnsi="Times New Roman"/>
              <w:sz w:val="24"/>
              <w:szCs w:val="24"/>
            </w:rPr>
            <w:t xml:space="preserve"> de conformidad con la </w:t>
          </w:r>
          <w:r w:rsidR="00EF7C5B">
            <w:rPr>
              <w:rFonts w:ascii="Times New Roman" w:hAnsi="Times New Roman"/>
              <w:sz w:val="24"/>
              <w:szCs w:val="24"/>
            </w:rPr>
            <w:t xml:space="preserve">técnica de estimación establecida, la cual consiste en </w:t>
          </w:r>
          <w:r w:rsidR="00E30861">
            <w:rPr>
              <w:rFonts w:ascii="Times New Roman" w:hAnsi="Times New Roman"/>
              <w:sz w:val="24"/>
              <w:szCs w:val="24"/>
            </w:rPr>
            <w:t xml:space="preserve">reclasificar desde la red de carretera a las propiedades, </w:t>
          </w:r>
          <w:r w:rsidR="00DE2174">
            <w:rPr>
              <w:rFonts w:ascii="Times New Roman" w:hAnsi="Times New Roman"/>
              <w:sz w:val="24"/>
              <w:szCs w:val="24"/>
            </w:rPr>
            <w:t>planta</w:t>
          </w:r>
          <w:r w:rsidR="00E30861">
            <w:rPr>
              <w:rFonts w:ascii="Times New Roman" w:hAnsi="Times New Roman"/>
              <w:sz w:val="24"/>
              <w:szCs w:val="24"/>
            </w:rPr>
            <w:t xml:space="preserve"> y equipo según lo </w:t>
          </w:r>
          <w:r w:rsidR="00230617">
            <w:rPr>
              <w:rFonts w:ascii="Times New Roman" w:hAnsi="Times New Roman"/>
              <w:sz w:val="24"/>
              <w:szCs w:val="24"/>
            </w:rPr>
            <w:t>informado por los concesion</w:t>
          </w:r>
          <w:r w:rsidR="00DE2174">
            <w:rPr>
              <w:rFonts w:ascii="Times New Roman" w:hAnsi="Times New Roman"/>
              <w:sz w:val="24"/>
              <w:szCs w:val="24"/>
            </w:rPr>
            <w:t>arios e interventorías.</w:t>
          </w:r>
        </w:p>
        <w:p w14:paraId="44A3B18B" w14:textId="77777777" w:rsidR="00D24DC8" w:rsidRDefault="00D24DC8" w:rsidP="004A000E">
          <w:pPr>
            <w:spacing w:after="0" w:line="240" w:lineRule="auto"/>
            <w:jc w:val="both"/>
            <w:rPr>
              <w:rFonts w:ascii="Times New Roman" w:hAnsi="Times New Roman"/>
              <w:sz w:val="24"/>
              <w:szCs w:val="24"/>
            </w:rPr>
          </w:pPr>
        </w:p>
        <w:p w14:paraId="2AD030E0" w14:textId="415C65E2" w:rsidR="009E5E3D" w:rsidRDefault="00DA2D5B" w:rsidP="00032AC3">
          <w:pPr>
            <w:spacing w:after="0" w:line="240" w:lineRule="auto"/>
            <w:jc w:val="both"/>
            <w:rPr>
              <w:rFonts w:ascii="Times New Roman" w:hAnsi="Times New Roman"/>
              <w:sz w:val="24"/>
              <w:szCs w:val="24"/>
            </w:rPr>
          </w:pPr>
          <w:r>
            <w:rPr>
              <w:rFonts w:ascii="Times New Roman" w:hAnsi="Times New Roman"/>
              <w:sz w:val="24"/>
              <w:szCs w:val="24"/>
            </w:rPr>
            <w:t xml:space="preserve">Adicionalmente, la reclasificación de </w:t>
          </w:r>
          <w:r w:rsidR="009E5E3D" w:rsidRPr="009E5E3D">
            <w:rPr>
              <w:rFonts w:ascii="Times New Roman" w:hAnsi="Times New Roman"/>
              <w:sz w:val="24"/>
              <w:szCs w:val="24"/>
            </w:rPr>
            <w:t>terceros</w:t>
          </w:r>
          <w:r w:rsidR="009E5E3D">
            <w:rPr>
              <w:rFonts w:ascii="Times New Roman" w:hAnsi="Times New Roman"/>
              <w:sz w:val="24"/>
              <w:szCs w:val="24"/>
            </w:rPr>
            <w:t xml:space="preserve"> realizada </w:t>
          </w:r>
          <w:r w:rsidR="009E5E3D" w:rsidRPr="009E5E3D">
            <w:rPr>
              <w:rFonts w:ascii="Times New Roman" w:hAnsi="Times New Roman"/>
              <w:sz w:val="24"/>
              <w:szCs w:val="24"/>
            </w:rPr>
            <w:t xml:space="preserve">de acuerdo </w:t>
          </w:r>
          <w:r w:rsidR="009E5E3D">
            <w:rPr>
              <w:rFonts w:ascii="Times New Roman" w:hAnsi="Times New Roman"/>
              <w:sz w:val="24"/>
              <w:szCs w:val="24"/>
            </w:rPr>
            <w:t>con el</w:t>
          </w:r>
          <w:r w:rsidR="009E5E3D" w:rsidRPr="009E5E3D">
            <w:rPr>
              <w:rFonts w:ascii="Times New Roman" w:hAnsi="Times New Roman"/>
              <w:sz w:val="24"/>
              <w:szCs w:val="24"/>
            </w:rPr>
            <w:t xml:space="preserve"> acta de reversión y entrega de la infraestructura Vial y los bienes </w:t>
          </w:r>
          <w:r w:rsidR="009E5E3D">
            <w:rPr>
              <w:rFonts w:ascii="Times New Roman" w:hAnsi="Times New Roman"/>
              <w:sz w:val="24"/>
              <w:szCs w:val="24"/>
            </w:rPr>
            <w:t xml:space="preserve">del </w:t>
          </w:r>
          <w:r w:rsidR="009E5E3D" w:rsidRPr="009E5E3D">
            <w:rPr>
              <w:rFonts w:ascii="Times New Roman" w:hAnsi="Times New Roman"/>
              <w:sz w:val="24"/>
              <w:szCs w:val="24"/>
            </w:rPr>
            <w:t>contrato de concesión N</w:t>
          </w:r>
          <w:r w:rsidR="009E5E3D">
            <w:rPr>
              <w:rFonts w:ascii="Times New Roman" w:hAnsi="Times New Roman"/>
              <w:sz w:val="24"/>
              <w:szCs w:val="24"/>
            </w:rPr>
            <w:t xml:space="preserve">o. </w:t>
          </w:r>
          <w:r w:rsidR="009E5E3D" w:rsidRPr="009E5E3D">
            <w:rPr>
              <w:rFonts w:ascii="Times New Roman" w:hAnsi="Times New Roman"/>
              <w:sz w:val="24"/>
              <w:szCs w:val="24"/>
            </w:rPr>
            <w:t>007 de 13 de agosto de 2007</w:t>
          </w:r>
          <w:r w:rsidR="009E5E3D">
            <w:rPr>
              <w:rFonts w:ascii="Times New Roman" w:hAnsi="Times New Roman"/>
              <w:sz w:val="24"/>
              <w:szCs w:val="24"/>
            </w:rPr>
            <w:t xml:space="preserve">, </w:t>
          </w:r>
          <w:r w:rsidR="009E5E3D" w:rsidRPr="009E5E3D">
            <w:rPr>
              <w:rFonts w:ascii="Times New Roman" w:hAnsi="Times New Roman"/>
              <w:sz w:val="24"/>
              <w:szCs w:val="24"/>
            </w:rPr>
            <w:t>de la sociedad Concesionaria San Rafael S.A a la Concesionaria APP GICA S</w:t>
          </w:r>
          <w:r w:rsidR="009E5E3D">
            <w:rPr>
              <w:rFonts w:ascii="Times New Roman" w:hAnsi="Times New Roman"/>
              <w:sz w:val="24"/>
              <w:szCs w:val="24"/>
            </w:rPr>
            <w:t>.</w:t>
          </w:r>
          <w:r w:rsidR="009E5E3D" w:rsidRPr="009E5E3D">
            <w:rPr>
              <w:rFonts w:ascii="Times New Roman" w:hAnsi="Times New Roman"/>
              <w:sz w:val="24"/>
              <w:szCs w:val="24"/>
            </w:rPr>
            <w:t>A</w:t>
          </w:r>
          <w:r w:rsidR="009E5E3D">
            <w:rPr>
              <w:rFonts w:ascii="Times New Roman" w:hAnsi="Times New Roman"/>
              <w:sz w:val="24"/>
              <w:szCs w:val="24"/>
            </w:rPr>
            <w:t>.</w:t>
          </w:r>
        </w:p>
        <w:p w14:paraId="4F837F4C" w14:textId="77777777" w:rsidR="003E4935" w:rsidRDefault="003E4935" w:rsidP="00032AC3">
          <w:pPr>
            <w:spacing w:after="0" w:line="240" w:lineRule="auto"/>
            <w:jc w:val="both"/>
            <w:rPr>
              <w:rFonts w:ascii="Times New Roman" w:hAnsi="Times New Roman"/>
              <w:sz w:val="24"/>
              <w:szCs w:val="24"/>
            </w:rPr>
          </w:pPr>
        </w:p>
        <w:p w14:paraId="35D6C67F" w14:textId="0821399E" w:rsidR="007F68B6" w:rsidRPr="00931DCE" w:rsidRDefault="009D03EE" w:rsidP="007F68B6">
          <w:pPr>
            <w:spacing w:after="0" w:line="240" w:lineRule="auto"/>
            <w:jc w:val="both"/>
            <w:rPr>
              <w:rFonts w:ascii="Times New Roman" w:hAnsi="Times New Roman"/>
              <w:sz w:val="24"/>
              <w:szCs w:val="24"/>
            </w:rPr>
          </w:pPr>
          <w:r>
            <w:rPr>
              <w:rFonts w:ascii="Times New Roman" w:hAnsi="Times New Roman"/>
              <w:sz w:val="24"/>
              <w:szCs w:val="24"/>
            </w:rPr>
            <w:t xml:space="preserve">Para el modo de transporte portuario, </w:t>
          </w:r>
          <w:r w:rsidR="00590114">
            <w:rPr>
              <w:rFonts w:ascii="Times New Roman" w:hAnsi="Times New Roman"/>
              <w:sz w:val="24"/>
              <w:szCs w:val="24"/>
            </w:rPr>
            <w:t>(entrada Db)</w:t>
          </w:r>
          <w:r w:rsidR="0032668E">
            <w:rPr>
              <w:rFonts w:ascii="Times New Roman" w:hAnsi="Times New Roman"/>
              <w:sz w:val="24"/>
              <w:szCs w:val="24"/>
            </w:rPr>
            <w:t xml:space="preserve"> </w:t>
          </w:r>
          <w:r w:rsidR="00590114">
            <w:rPr>
              <w:rFonts w:ascii="Times New Roman" w:hAnsi="Times New Roman"/>
              <w:sz w:val="24"/>
              <w:szCs w:val="24"/>
            </w:rPr>
            <w:t xml:space="preserve">corresponde al registro contable </w:t>
          </w:r>
          <w:r w:rsidR="00D55D3C" w:rsidRPr="00D55D3C">
            <w:rPr>
              <w:rFonts w:ascii="Times New Roman" w:hAnsi="Times New Roman"/>
              <w:sz w:val="24"/>
              <w:szCs w:val="24"/>
            </w:rPr>
            <w:t xml:space="preserve">de la infraestructura portuaria entregada a la Sociedad Portuaria Regional de Santa Marta S.A., </w:t>
          </w:r>
          <w:r w:rsidR="0032668E">
            <w:rPr>
              <w:rFonts w:ascii="Times New Roman" w:hAnsi="Times New Roman"/>
              <w:sz w:val="24"/>
              <w:szCs w:val="24"/>
            </w:rPr>
            <w:t xml:space="preserve">al inicio del acuerdo de concesión, </w:t>
          </w:r>
          <w:r w:rsidR="00D55D3C" w:rsidRPr="00D55D3C">
            <w:rPr>
              <w:rFonts w:ascii="Times New Roman" w:hAnsi="Times New Roman"/>
              <w:sz w:val="24"/>
              <w:szCs w:val="24"/>
            </w:rPr>
            <w:t xml:space="preserve">de acuerdo con lo estipulado en el contrato de concesión No. </w:t>
          </w:r>
          <w:r w:rsidR="00D55D3C" w:rsidRPr="00D55D3C">
            <w:rPr>
              <w:rFonts w:ascii="Times New Roman" w:hAnsi="Times New Roman"/>
              <w:sz w:val="24"/>
              <w:szCs w:val="24"/>
            </w:rPr>
            <w:lastRenderedPageBreak/>
            <w:t>006 de del 24 de junio de 1993</w:t>
          </w:r>
          <w:r w:rsidR="00D55D3C">
            <w:rPr>
              <w:rFonts w:ascii="Times New Roman" w:hAnsi="Times New Roman"/>
              <w:sz w:val="24"/>
              <w:szCs w:val="24"/>
            </w:rPr>
            <w:t xml:space="preserve"> y a</w:t>
          </w:r>
          <w:r w:rsidR="00D55D3C" w:rsidRPr="00D55D3C">
            <w:rPr>
              <w:rFonts w:ascii="Times New Roman" w:hAnsi="Times New Roman"/>
              <w:sz w:val="24"/>
              <w:szCs w:val="24"/>
            </w:rPr>
            <w:t>cta No 005 de 30 de noviembre 2023 remitid</w:t>
          </w:r>
          <w:r w:rsidR="00D55D3C">
            <w:rPr>
              <w:rFonts w:ascii="Times New Roman" w:hAnsi="Times New Roman"/>
              <w:sz w:val="24"/>
              <w:szCs w:val="24"/>
            </w:rPr>
            <w:t>a</w:t>
          </w:r>
          <w:r w:rsidR="00D55D3C" w:rsidRPr="00D55D3C">
            <w:rPr>
              <w:rFonts w:ascii="Times New Roman" w:hAnsi="Times New Roman"/>
              <w:sz w:val="24"/>
              <w:szCs w:val="24"/>
            </w:rPr>
            <w:t xml:space="preserve"> por el INV</w:t>
          </w:r>
          <w:r w:rsidR="00D55D3C">
            <w:rPr>
              <w:rFonts w:ascii="Times New Roman" w:hAnsi="Times New Roman"/>
              <w:sz w:val="24"/>
              <w:szCs w:val="24"/>
            </w:rPr>
            <w:t>Í</w:t>
          </w:r>
          <w:r w:rsidR="00D55D3C" w:rsidRPr="00D55D3C">
            <w:rPr>
              <w:rFonts w:ascii="Times New Roman" w:hAnsi="Times New Roman"/>
              <w:sz w:val="24"/>
              <w:szCs w:val="24"/>
            </w:rPr>
            <w:t>AS 2023</w:t>
          </w:r>
          <w:r w:rsidR="00192940">
            <w:rPr>
              <w:rFonts w:ascii="Times New Roman" w:hAnsi="Times New Roman"/>
              <w:sz w:val="24"/>
              <w:szCs w:val="24"/>
            </w:rPr>
            <w:t>.</w:t>
          </w:r>
        </w:p>
        <w:p w14:paraId="3C05ADEE" w14:textId="77777777" w:rsidR="007758E0" w:rsidRPr="00931DCE" w:rsidRDefault="007758E0" w:rsidP="00032AC3">
          <w:pPr>
            <w:spacing w:after="0" w:line="240" w:lineRule="auto"/>
            <w:jc w:val="both"/>
            <w:rPr>
              <w:rFonts w:ascii="Times New Roman" w:hAnsi="Times New Roman"/>
              <w:sz w:val="24"/>
              <w:szCs w:val="24"/>
            </w:rPr>
          </w:pPr>
        </w:p>
        <w:p w14:paraId="6B5603A8" w14:textId="6BC52141" w:rsidR="00EC65F0" w:rsidRPr="00931DCE" w:rsidRDefault="00EC65F0">
          <w:pPr>
            <w:pStyle w:val="Ttulo2"/>
            <w:numPr>
              <w:ilvl w:val="1"/>
              <w:numId w:val="11"/>
            </w:numPr>
            <w:ind w:left="567" w:hanging="567"/>
            <w:rPr>
              <w:rFonts w:cs="Times New Roman"/>
              <w:szCs w:val="22"/>
            </w:rPr>
          </w:pPr>
          <w:bookmarkStart w:id="35" w:name="_Toc159952379"/>
          <w:r w:rsidRPr="00931DCE">
            <w:rPr>
              <w:rFonts w:cs="Times New Roman"/>
              <w:szCs w:val="22"/>
            </w:rPr>
            <w:t>Construcciones en curso</w:t>
          </w:r>
          <w:bookmarkEnd w:id="35"/>
        </w:p>
        <w:p w14:paraId="053F6017" w14:textId="77777777" w:rsidR="00EC65F0" w:rsidRPr="00931DCE" w:rsidRDefault="00EC65F0" w:rsidP="004A000E">
          <w:pPr>
            <w:spacing w:after="0" w:line="240" w:lineRule="auto"/>
            <w:jc w:val="both"/>
            <w:rPr>
              <w:rFonts w:ascii="Times New Roman" w:hAnsi="Times New Roman"/>
              <w:sz w:val="24"/>
              <w:szCs w:val="24"/>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CellMar>
              <w:left w:w="70" w:type="dxa"/>
              <w:right w:w="70" w:type="dxa"/>
            </w:tblCellMar>
            <w:tblLook w:val="04A0" w:firstRow="1" w:lastRow="0" w:firstColumn="1" w:lastColumn="0" w:noHBand="0" w:noVBand="1"/>
          </w:tblPr>
          <w:tblGrid>
            <w:gridCol w:w="3040"/>
            <w:gridCol w:w="1390"/>
            <w:gridCol w:w="1216"/>
            <w:gridCol w:w="1152"/>
            <w:gridCol w:w="838"/>
            <w:gridCol w:w="1333"/>
          </w:tblGrid>
          <w:tr w:rsidR="001E655F" w:rsidRPr="001E655F" w14:paraId="3906C614" w14:textId="77777777" w:rsidTr="00106BD7">
            <w:trPr>
              <w:trHeight w:val="315"/>
            </w:trPr>
            <w:tc>
              <w:tcPr>
                <w:tcW w:w="5000" w:type="pct"/>
                <w:gridSpan w:val="6"/>
                <w:shd w:val="clear" w:color="auto" w:fill="auto"/>
                <w:vAlign w:val="center"/>
                <w:hideMark/>
              </w:tcPr>
              <w:p w14:paraId="48BDEBAA" w14:textId="77777777" w:rsidR="001E655F" w:rsidRPr="001E655F" w:rsidRDefault="001E655F" w:rsidP="001E655F">
                <w:pPr>
                  <w:spacing w:after="0" w:line="240" w:lineRule="auto"/>
                  <w:jc w:val="center"/>
                  <w:rPr>
                    <w:rFonts w:ascii="Times New Roman" w:eastAsia="Times New Roman" w:hAnsi="Times New Roman"/>
                    <w:b/>
                    <w:bCs/>
                    <w:sz w:val="16"/>
                    <w:szCs w:val="16"/>
                    <w:lang w:eastAsia="es-CO"/>
                  </w:rPr>
                </w:pPr>
                <w:r w:rsidRPr="001E655F">
                  <w:rPr>
                    <w:rFonts w:ascii="Times New Roman" w:eastAsia="Times New Roman" w:hAnsi="Times New Roman"/>
                    <w:b/>
                    <w:bCs/>
                    <w:sz w:val="16"/>
                    <w:szCs w:val="16"/>
                    <w:lang w:eastAsia="es-CO"/>
                  </w:rPr>
                  <w:t>PROPIEDADES, PLANTA Y EQUIPO EN CONCESIÓN</w:t>
                </w:r>
              </w:p>
            </w:tc>
          </w:tr>
          <w:tr w:rsidR="001E655F" w:rsidRPr="001E655F" w14:paraId="2205AAF7" w14:textId="77777777" w:rsidTr="00106BD7">
            <w:trPr>
              <w:trHeight w:val="600"/>
            </w:trPr>
            <w:tc>
              <w:tcPr>
                <w:tcW w:w="1695" w:type="pct"/>
                <w:shd w:val="clear" w:color="auto" w:fill="auto"/>
                <w:vAlign w:val="center"/>
                <w:hideMark/>
              </w:tcPr>
              <w:p w14:paraId="53E9C7A1" w14:textId="77777777" w:rsidR="001E655F" w:rsidRPr="001E655F" w:rsidRDefault="001E655F" w:rsidP="001E655F">
                <w:pPr>
                  <w:spacing w:after="0" w:line="240" w:lineRule="auto"/>
                  <w:jc w:val="center"/>
                  <w:rPr>
                    <w:rFonts w:ascii="Times New Roman" w:eastAsia="Times New Roman" w:hAnsi="Times New Roman"/>
                    <w:b/>
                    <w:bCs/>
                    <w:sz w:val="16"/>
                    <w:szCs w:val="16"/>
                    <w:lang w:eastAsia="es-CO"/>
                  </w:rPr>
                </w:pPr>
                <w:r w:rsidRPr="001E655F">
                  <w:rPr>
                    <w:rFonts w:ascii="Times New Roman" w:eastAsia="Times New Roman" w:hAnsi="Times New Roman"/>
                    <w:b/>
                    <w:bCs/>
                    <w:sz w:val="16"/>
                    <w:szCs w:val="16"/>
                    <w:lang w:eastAsia="es-CO"/>
                  </w:rPr>
                  <w:t>CONCEPTOS</w:t>
                </w:r>
              </w:p>
            </w:tc>
            <w:tc>
              <w:tcPr>
                <w:tcW w:w="775" w:type="pct"/>
                <w:shd w:val="clear" w:color="auto" w:fill="auto"/>
                <w:vAlign w:val="center"/>
                <w:hideMark/>
              </w:tcPr>
              <w:p w14:paraId="4A9C4793" w14:textId="77777777" w:rsidR="001E655F" w:rsidRPr="001E655F" w:rsidRDefault="001E655F" w:rsidP="001E655F">
                <w:pPr>
                  <w:spacing w:after="0" w:line="240" w:lineRule="auto"/>
                  <w:jc w:val="center"/>
                  <w:rPr>
                    <w:rFonts w:ascii="Times New Roman" w:eastAsia="Times New Roman" w:hAnsi="Times New Roman"/>
                    <w:b/>
                    <w:bCs/>
                    <w:sz w:val="16"/>
                    <w:szCs w:val="16"/>
                    <w:lang w:eastAsia="es-CO"/>
                  </w:rPr>
                </w:pPr>
                <w:r w:rsidRPr="001E655F">
                  <w:rPr>
                    <w:rFonts w:ascii="Times New Roman" w:eastAsia="Times New Roman" w:hAnsi="Times New Roman"/>
                    <w:b/>
                    <w:bCs/>
                    <w:sz w:val="16"/>
                    <w:szCs w:val="16"/>
                    <w:lang w:eastAsia="es-CO"/>
                  </w:rPr>
                  <w:t>SALDO 2023</w:t>
                </w:r>
              </w:p>
            </w:tc>
            <w:tc>
              <w:tcPr>
                <w:tcW w:w="678" w:type="pct"/>
                <w:shd w:val="clear" w:color="auto" w:fill="auto"/>
                <w:vAlign w:val="center"/>
                <w:hideMark/>
              </w:tcPr>
              <w:p w14:paraId="6872B54E" w14:textId="77777777" w:rsidR="001E655F" w:rsidRPr="001E655F" w:rsidRDefault="001E655F" w:rsidP="001E655F">
                <w:pPr>
                  <w:spacing w:after="0" w:line="240" w:lineRule="auto"/>
                  <w:jc w:val="center"/>
                  <w:rPr>
                    <w:rFonts w:ascii="Times New Roman" w:eastAsia="Times New Roman" w:hAnsi="Times New Roman"/>
                    <w:b/>
                    <w:bCs/>
                    <w:sz w:val="16"/>
                    <w:szCs w:val="16"/>
                    <w:lang w:eastAsia="es-CO"/>
                  </w:rPr>
                </w:pPr>
                <w:r w:rsidRPr="001E655F">
                  <w:rPr>
                    <w:rFonts w:ascii="Times New Roman" w:eastAsia="Times New Roman" w:hAnsi="Times New Roman"/>
                    <w:b/>
                    <w:bCs/>
                    <w:sz w:val="16"/>
                    <w:szCs w:val="16"/>
                    <w:lang w:eastAsia="es-CO"/>
                  </w:rPr>
                  <w:t>(-) DETERIORO ACUMULADO</w:t>
                </w:r>
              </w:p>
            </w:tc>
            <w:tc>
              <w:tcPr>
                <w:tcW w:w="642" w:type="pct"/>
                <w:shd w:val="clear" w:color="auto" w:fill="auto"/>
                <w:vAlign w:val="center"/>
                <w:hideMark/>
              </w:tcPr>
              <w:p w14:paraId="13A2688D" w14:textId="77777777" w:rsidR="001E655F" w:rsidRPr="001E655F" w:rsidRDefault="001E655F" w:rsidP="001E655F">
                <w:pPr>
                  <w:spacing w:after="0" w:line="240" w:lineRule="auto"/>
                  <w:jc w:val="center"/>
                  <w:rPr>
                    <w:rFonts w:ascii="Times New Roman" w:eastAsia="Times New Roman" w:hAnsi="Times New Roman"/>
                    <w:b/>
                    <w:bCs/>
                    <w:sz w:val="16"/>
                    <w:szCs w:val="16"/>
                    <w:lang w:eastAsia="es-CO"/>
                  </w:rPr>
                </w:pPr>
                <w:r w:rsidRPr="001E655F">
                  <w:rPr>
                    <w:rFonts w:ascii="Times New Roman" w:eastAsia="Times New Roman" w:hAnsi="Times New Roman"/>
                    <w:b/>
                    <w:bCs/>
                    <w:sz w:val="16"/>
                    <w:szCs w:val="16"/>
                    <w:lang w:eastAsia="es-CO"/>
                  </w:rPr>
                  <w:t>(=) VALOR EN LIBROS</w:t>
                </w:r>
              </w:p>
            </w:tc>
            <w:tc>
              <w:tcPr>
                <w:tcW w:w="467" w:type="pct"/>
                <w:shd w:val="clear" w:color="auto" w:fill="auto"/>
                <w:vAlign w:val="center"/>
                <w:hideMark/>
              </w:tcPr>
              <w:p w14:paraId="58919C53" w14:textId="77777777" w:rsidR="001E655F" w:rsidRPr="001E655F" w:rsidRDefault="001E655F" w:rsidP="001E655F">
                <w:pPr>
                  <w:spacing w:after="0" w:line="240" w:lineRule="auto"/>
                  <w:jc w:val="center"/>
                  <w:rPr>
                    <w:rFonts w:ascii="Times New Roman" w:eastAsia="Times New Roman" w:hAnsi="Times New Roman"/>
                    <w:b/>
                    <w:bCs/>
                    <w:sz w:val="16"/>
                    <w:szCs w:val="16"/>
                    <w:lang w:eastAsia="es-CO"/>
                  </w:rPr>
                </w:pPr>
                <w:r w:rsidRPr="001E655F">
                  <w:rPr>
                    <w:rFonts w:ascii="Times New Roman" w:eastAsia="Times New Roman" w:hAnsi="Times New Roman"/>
                    <w:b/>
                    <w:bCs/>
                    <w:sz w:val="16"/>
                    <w:szCs w:val="16"/>
                    <w:lang w:eastAsia="es-CO"/>
                  </w:rPr>
                  <w:t>% AVANCE</w:t>
                </w:r>
              </w:p>
            </w:tc>
            <w:tc>
              <w:tcPr>
                <w:tcW w:w="743" w:type="pct"/>
                <w:shd w:val="clear" w:color="auto" w:fill="auto"/>
                <w:vAlign w:val="center"/>
                <w:hideMark/>
              </w:tcPr>
              <w:p w14:paraId="6526F158" w14:textId="77777777" w:rsidR="001E655F" w:rsidRPr="001E655F" w:rsidRDefault="001E655F" w:rsidP="001E655F">
                <w:pPr>
                  <w:spacing w:after="0" w:line="240" w:lineRule="auto"/>
                  <w:jc w:val="center"/>
                  <w:rPr>
                    <w:rFonts w:ascii="Times New Roman" w:eastAsia="Times New Roman" w:hAnsi="Times New Roman"/>
                    <w:b/>
                    <w:bCs/>
                    <w:sz w:val="16"/>
                    <w:szCs w:val="16"/>
                    <w:lang w:eastAsia="es-CO"/>
                  </w:rPr>
                </w:pPr>
                <w:r w:rsidRPr="001E655F">
                  <w:rPr>
                    <w:rFonts w:ascii="Times New Roman" w:eastAsia="Times New Roman" w:hAnsi="Times New Roman"/>
                    <w:b/>
                    <w:bCs/>
                    <w:sz w:val="16"/>
                    <w:szCs w:val="16"/>
                    <w:lang w:eastAsia="es-CO"/>
                  </w:rPr>
                  <w:t>FECHA ESTIMADA DE TERMINACIÓN</w:t>
                </w:r>
              </w:p>
            </w:tc>
          </w:tr>
          <w:tr w:rsidR="001E655F" w:rsidRPr="001E655F" w14:paraId="4BE821B3" w14:textId="77777777" w:rsidTr="00106BD7">
            <w:trPr>
              <w:trHeight w:val="300"/>
            </w:trPr>
            <w:tc>
              <w:tcPr>
                <w:tcW w:w="1695" w:type="pct"/>
                <w:shd w:val="clear" w:color="auto" w:fill="auto"/>
                <w:vAlign w:val="center"/>
                <w:hideMark/>
              </w:tcPr>
              <w:p w14:paraId="4E7C9215" w14:textId="77777777" w:rsidR="001E655F" w:rsidRPr="001E655F" w:rsidRDefault="001E655F" w:rsidP="001E655F">
                <w:pPr>
                  <w:spacing w:after="0" w:line="240" w:lineRule="auto"/>
                  <w:rPr>
                    <w:rFonts w:ascii="Times New Roman" w:eastAsia="Times New Roman" w:hAnsi="Times New Roman"/>
                    <w:b/>
                    <w:bCs/>
                    <w:sz w:val="16"/>
                    <w:szCs w:val="16"/>
                    <w:lang w:eastAsia="es-CO"/>
                  </w:rPr>
                </w:pPr>
                <w:r w:rsidRPr="001E655F">
                  <w:rPr>
                    <w:rFonts w:ascii="Times New Roman" w:eastAsia="Times New Roman" w:hAnsi="Times New Roman"/>
                    <w:b/>
                    <w:bCs/>
                    <w:sz w:val="16"/>
                    <w:szCs w:val="16"/>
                    <w:lang w:eastAsia="es-CO"/>
                  </w:rPr>
                  <w:t>CONSTRUCCIONES EN CURSO</w:t>
                </w:r>
              </w:p>
            </w:tc>
            <w:tc>
              <w:tcPr>
                <w:tcW w:w="775" w:type="pct"/>
                <w:shd w:val="clear" w:color="auto" w:fill="auto"/>
                <w:noWrap/>
                <w:vAlign w:val="center"/>
                <w:hideMark/>
              </w:tcPr>
              <w:p w14:paraId="1BFD0CFE" w14:textId="77777777" w:rsidR="001E655F" w:rsidRPr="001E655F" w:rsidRDefault="001E655F" w:rsidP="001E655F">
                <w:pPr>
                  <w:spacing w:after="0" w:line="240" w:lineRule="auto"/>
                  <w:jc w:val="right"/>
                  <w:rPr>
                    <w:rFonts w:ascii="Times New Roman" w:eastAsia="Times New Roman" w:hAnsi="Times New Roman"/>
                    <w:b/>
                    <w:bCs/>
                    <w:sz w:val="16"/>
                    <w:szCs w:val="16"/>
                    <w:lang w:eastAsia="es-CO"/>
                  </w:rPr>
                </w:pPr>
                <w:r w:rsidRPr="001E655F">
                  <w:rPr>
                    <w:rFonts w:ascii="Times New Roman" w:eastAsia="Times New Roman" w:hAnsi="Times New Roman"/>
                    <w:b/>
                    <w:bCs/>
                    <w:sz w:val="16"/>
                    <w:szCs w:val="16"/>
                    <w:lang w:eastAsia="es-CO"/>
                  </w:rPr>
                  <w:t>9,011,207,305</w:t>
                </w:r>
              </w:p>
            </w:tc>
            <w:tc>
              <w:tcPr>
                <w:tcW w:w="678" w:type="pct"/>
                <w:shd w:val="clear" w:color="auto" w:fill="auto"/>
                <w:noWrap/>
                <w:vAlign w:val="center"/>
                <w:hideMark/>
              </w:tcPr>
              <w:p w14:paraId="55E82C30" w14:textId="77777777" w:rsidR="001E655F" w:rsidRPr="001E655F" w:rsidRDefault="001E655F" w:rsidP="001E655F">
                <w:pPr>
                  <w:spacing w:after="0" w:line="240" w:lineRule="auto"/>
                  <w:jc w:val="right"/>
                  <w:rPr>
                    <w:rFonts w:ascii="Times New Roman" w:eastAsia="Times New Roman" w:hAnsi="Times New Roman"/>
                    <w:b/>
                    <w:bCs/>
                    <w:sz w:val="16"/>
                    <w:szCs w:val="16"/>
                    <w:lang w:eastAsia="es-CO"/>
                  </w:rPr>
                </w:pPr>
                <w:r w:rsidRPr="001E655F">
                  <w:rPr>
                    <w:rFonts w:ascii="Times New Roman" w:eastAsia="Times New Roman" w:hAnsi="Times New Roman"/>
                    <w:b/>
                    <w:bCs/>
                    <w:sz w:val="16"/>
                    <w:szCs w:val="16"/>
                    <w:lang w:eastAsia="es-CO"/>
                  </w:rPr>
                  <w:t>0</w:t>
                </w:r>
              </w:p>
            </w:tc>
            <w:tc>
              <w:tcPr>
                <w:tcW w:w="642" w:type="pct"/>
                <w:shd w:val="clear" w:color="auto" w:fill="auto"/>
                <w:noWrap/>
                <w:vAlign w:val="center"/>
                <w:hideMark/>
              </w:tcPr>
              <w:p w14:paraId="46F404F4" w14:textId="77777777" w:rsidR="001E655F" w:rsidRPr="001E655F" w:rsidRDefault="001E655F" w:rsidP="001E655F">
                <w:pPr>
                  <w:spacing w:after="0" w:line="240" w:lineRule="auto"/>
                  <w:jc w:val="right"/>
                  <w:rPr>
                    <w:rFonts w:ascii="Times New Roman" w:eastAsia="Times New Roman" w:hAnsi="Times New Roman"/>
                    <w:b/>
                    <w:bCs/>
                    <w:sz w:val="16"/>
                    <w:szCs w:val="16"/>
                    <w:lang w:eastAsia="es-CO"/>
                  </w:rPr>
                </w:pPr>
                <w:r w:rsidRPr="001E655F">
                  <w:rPr>
                    <w:rFonts w:ascii="Times New Roman" w:eastAsia="Times New Roman" w:hAnsi="Times New Roman"/>
                    <w:b/>
                    <w:bCs/>
                    <w:sz w:val="16"/>
                    <w:szCs w:val="16"/>
                    <w:lang w:eastAsia="es-CO"/>
                  </w:rPr>
                  <w:t>9,011,207,305</w:t>
                </w:r>
              </w:p>
            </w:tc>
            <w:tc>
              <w:tcPr>
                <w:tcW w:w="467" w:type="pct"/>
                <w:shd w:val="clear" w:color="auto" w:fill="auto"/>
                <w:noWrap/>
                <w:vAlign w:val="center"/>
                <w:hideMark/>
              </w:tcPr>
              <w:p w14:paraId="1A6EE47A" w14:textId="77777777" w:rsidR="001E655F" w:rsidRPr="001E655F" w:rsidRDefault="001E655F" w:rsidP="001E655F">
                <w:pPr>
                  <w:spacing w:after="0" w:line="240" w:lineRule="auto"/>
                  <w:jc w:val="center"/>
                  <w:rPr>
                    <w:rFonts w:ascii="Times New Roman" w:eastAsia="Times New Roman" w:hAnsi="Times New Roman"/>
                    <w:b/>
                    <w:bCs/>
                    <w:sz w:val="16"/>
                    <w:szCs w:val="16"/>
                    <w:lang w:eastAsia="es-CO"/>
                  </w:rPr>
                </w:pPr>
                <w:r w:rsidRPr="001E655F">
                  <w:rPr>
                    <w:rFonts w:ascii="Times New Roman" w:eastAsia="Times New Roman" w:hAnsi="Times New Roman"/>
                    <w:b/>
                    <w:bCs/>
                    <w:sz w:val="16"/>
                    <w:szCs w:val="16"/>
                    <w:lang w:eastAsia="es-CO"/>
                  </w:rPr>
                  <w:t xml:space="preserve">(*) </w:t>
                </w:r>
              </w:p>
            </w:tc>
            <w:tc>
              <w:tcPr>
                <w:tcW w:w="743" w:type="pct"/>
                <w:shd w:val="clear" w:color="auto" w:fill="auto"/>
                <w:noWrap/>
                <w:vAlign w:val="center"/>
                <w:hideMark/>
              </w:tcPr>
              <w:p w14:paraId="2B3FDC03" w14:textId="77777777" w:rsidR="001E655F" w:rsidRPr="001E655F" w:rsidRDefault="001E655F" w:rsidP="001E655F">
                <w:pPr>
                  <w:spacing w:after="0" w:line="240" w:lineRule="auto"/>
                  <w:jc w:val="center"/>
                  <w:rPr>
                    <w:rFonts w:ascii="Times New Roman" w:eastAsia="Times New Roman" w:hAnsi="Times New Roman"/>
                    <w:b/>
                    <w:bCs/>
                    <w:sz w:val="16"/>
                    <w:szCs w:val="16"/>
                    <w:lang w:eastAsia="es-CO"/>
                  </w:rPr>
                </w:pPr>
                <w:r w:rsidRPr="001E655F">
                  <w:rPr>
                    <w:rFonts w:ascii="Times New Roman" w:eastAsia="Times New Roman" w:hAnsi="Times New Roman"/>
                    <w:b/>
                    <w:bCs/>
                    <w:sz w:val="16"/>
                    <w:szCs w:val="16"/>
                    <w:lang w:eastAsia="es-CO"/>
                  </w:rPr>
                  <w:t xml:space="preserve">(*) </w:t>
                </w:r>
              </w:p>
            </w:tc>
          </w:tr>
          <w:tr w:rsidR="001E655F" w:rsidRPr="001E655F" w14:paraId="742B852B" w14:textId="77777777" w:rsidTr="00106BD7">
            <w:trPr>
              <w:trHeight w:val="600"/>
            </w:trPr>
            <w:tc>
              <w:tcPr>
                <w:tcW w:w="1695" w:type="pct"/>
                <w:shd w:val="clear" w:color="auto" w:fill="auto"/>
                <w:vAlign w:val="center"/>
                <w:hideMark/>
              </w:tcPr>
              <w:p w14:paraId="2361BC3A" w14:textId="77777777" w:rsidR="001E655F" w:rsidRPr="001E655F" w:rsidRDefault="001E655F" w:rsidP="001E655F">
                <w:pPr>
                  <w:spacing w:after="0" w:line="240" w:lineRule="auto"/>
                  <w:rPr>
                    <w:rFonts w:ascii="Times New Roman" w:eastAsia="Times New Roman" w:hAnsi="Times New Roman"/>
                    <w:sz w:val="16"/>
                    <w:szCs w:val="16"/>
                    <w:lang w:eastAsia="es-CO"/>
                  </w:rPr>
                </w:pPr>
                <w:r w:rsidRPr="001E655F">
                  <w:rPr>
                    <w:rFonts w:ascii="Times New Roman" w:eastAsia="Times New Roman" w:hAnsi="Times New Roman"/>
                    <w:sz w:val="16"/>
                    <w:szCs w:val="16"/>
                    <w:lang w:eastAsia="es-CO"/>
                  </w:rPr>
                  <w:t>Construcciones en curso - otras construcciones en curso</w:t>
                </w:r>
              </w:p>
            </w:tc>
            <w:tc>
              <w:tcPr>
                <w:tcW w:w="775" w:type="pct"/>
                <w:shd w:val="clear" w:color="auto" w:fill="auto"/>
                <w:noWrap/>
                <w:vAlign w:val="center"/>
                <w:hideMark/>
              </w:tcPr>
              <w:p w14:paraId="777EBBA2" w14:textId="77777777" w:rsidR="001E655F" w:rsidRPr="001E655F" w:rsidRDefault="001E655F" w:rsidP="001E655F">
                <w:pPr>
                  <w:spacing w:after="0" w:line="240" w:lineRule="auto"/>
                  <w:jc w:val="right"/>
                  <w:rPr>
                    <w:rFonts w:ascii="Times New Roman" w:eastAsia="Times New Roman" w:hAnsi="Times New Roman"/>
                    <w:sz w:val="16"/>
                    <w:szCs w:val="16"/>
                    <w:lang w:eastAsia="es-CO"/>
                  </w:rPr>
                </w:pPr>
                <w:r w:rsidRPr="001E655F">
                  <w:rPr>
                    <w:rFonts w:ascii="Times New Roman" w:eastAsia="Times New Roman" w:hAnsi="Times New Roman"/>
                    <w:sz w:val="16"/>
                    <w:szCs w:val="16"/>
                    <w:lang w:eastAsia="es-CO"/>
                  </w:rPr>
                  <w:t>9,011,207,305</w:t>
                </w:r>
              </w:p>
            </w:tc>
            <w:tc>
              <w:tcPr>
                <w:tcW w:w="678" w:type="pct"/>
                <w:shd w:val="clear" w:color="auto" w:fill="auto"/>
                <w:noWrap/>
                <w:vAlign w:val="center"/>
                <w:hideMark/>
              </w:tcPr>
              <w:p w14:paraId="53F12964" w14:textId="77777777" w:rsidR="001E655F" w:rsidRPr="001E655F" w:rsidRDefault="001E655F" w:rsidP="001E655F">
                <w:pPr>
                  <w:spacing w:after="0" w:line="240" w:lineRule="auto"/>
                  <w:jc w:val="right"/>
                  <w:rPr>
                    <w:rFonts w:ascii="Times New Roman" w:eastAsia="Times New Roman" w:hAnsi="Times New Roman"/>
                    <w:sz w:val="16"/>
                    <w:szCs w:val="16"/>
                    <w:lang w:eastAsia="es-CO"/>
                  </w:rPr>
                </w:pPr>
                <w:r w:rsidRPr="001E655F">
                  <w:rPr>
                    <w:rFonts w:ascii="Times New Roman" w:eastAsia="Times New Roman" w:hAnsi="Times New Roman"/>
                    <w:sz w:val="16"/>
                    <w:szCs w:val="16"/>
                    <w:lang w:eastAsia="es-CO"/>
                  </w:rPr>
                  <w:t>0</w:t>
                </w:r>
              </w:p>
            </w:tc>
            <w:tc>
              <w:tcPr>
                <w:tcW w:w="642" w:type="pct"/>
                <w:shd w:val="clear" w:color="auto" w:fill="auto"/>
                <w:noWrap/>
                <w:vAlign w:val="center"/>
                <w:hideMark/>
              </w:tcPr>
              <w:p w14:paraId="65CDBEC3" w14:textId="77777777" w:rsidR="001E655F" w:rsidRPr="001E655F" w:rsidRDefault="001E655F" w:rsidP="001E655F">
                <w:pPr>
                  <w:spacing w:after="0" w:line="240" w:lineRule="auto"/>
                  <w:jc w:val="right"/>
                  <w:rPr>
                    <w:rFonts w:ascii="Times New Roman" w:eastAsia="Times New Roman" w:hAnsi="Times New Roman"/>
                    <w:sz w:val="16"/>
                    <w:szCs w:val="16"/>
                    <w:lang w:eastAsia="es-CO"/>
                  </w:rPr>
                </w:pPr>
                <w:r w:rsidRPr="001E655F">
                  <w:rPr>
                    <w:rFonts w:ascii="Times New Roman" w:eastAsia="Times New Roman" w:hAnsi="Times New Roman"/>
                    <w:sz w:val="16"/>
                    <w:szCs w:val="16"/>
                    <w:lang w:eastAsia="es-CO"/>
                  </w:rPr>
                  <w:t>9,011,207,305</w:t>
                </w:r>
              </w:p>
            </w:tc>
            <w:tc>
              <w:tcPr>
                <w:tcW w:w="467" w:type="pct"/>
                <w:shd w:val="clear" w:color="auto" w:fill="auto"/>
                <w:noWrap/>
                <w:vAlign w:val="center"/>
                <w:hideMark/>
              </w:tcPr>
              <w:p w14:paraId="211C2C16" w14:textId="77777777" w:rsidR="001E655F" w:rsidRPr="001E655F" w:rsidRDefault="001E655F" w:rsidP="001E655F">
                <w:pPr>
                  <w:spacing w:after="0" w:line="240" w:lineRule="auto"/>
                  <w:jc w:val="center"/>
                  <w:rPr>
                    <w:rFonts w:ascii="Times New Roman" w:eastAsia="Times New Roman" w:hAnsi="Times New Roman"/>
                    <w:sz w:val="16"/>
                    <w:szCs w:val="16"/>
                    <w:lang w:eastAsia="es-CO"/>
                  </w:rPr>
                </w:pPr>
                <w:r w:rsidRPr="001E655F">
                  <w:rPr>
                    <w:rFonts w:ascii="Times New Roman" w:eastAsia="Times New Roman" w:hAnsi="Times New Roman"/>
                    <w:sz w:val="16"/>
                    <w:szCs w:val="16"/>
                    <w:lang w:eastAsia="es-CO"/>
                  </w:rPr>
                  <w:t xml:space="preserve">(*) </w:t>
                </w:r>
              </w:p>
            </w:tc>
            <w:tc>
              <w:tcPr>
                <w:tcW w:w="743" w:type="pct"/>
                <w:shd w:val="clear" w:color="auto" w:fill="auto"/>
                <w:noWrap/>
                <w:vAlign w:val="center"/>
                <w:hideMark/>
              </w:tcPr>
              <w:p w14:paraId="50D41B63" w14:textId="77777777" w:rsidR="001E655F" w:rsidRPr="001E655F" w:rsidRDefault="001E655F" w:rsidP="001E655F">
                <w:pPr>
                  <w:spacing w:after="0" w:line="240" w:lineRule="auto"/>
                  <w:jc w:val="center"/>
                  <w:rPr>
                    <w:rFonts w:ascii="Times New Roman" w:eastAsia="Times New Roman" w:hAnsi="Times New Roman"/>
                    <w:sz w:val="16"/>
                    <w:szCs w:val="16"/>
                    <w:lang w:eastAsia="es-CO"/>
                  </w:rPr>
                </w:pPr>
                <w:r w:rsidRPr="001E655F">
                  <w:rPr>
                    <w:rFonts w:ascii="Times New Roman" w:eastAsia="Times New Roman" w:hAnsi="Times New Roman"/>
                    <w:sz w:val="16"/>
                    <w:szCs w:val="16"/>
                    <w:lang w:eastAsia="es-CO"/>
                  </w:rPr>
                  <w:t xml:space="preserve">(*) </w:t>
                </w:r>
              </w:p>
            </w:tc>
          </w:tr>
        </w:tbl>
        <w:p w14:paraId="4F095665" w14:textId="70C58BE7" w:rsidR="0075339F" w:rsidRPr="00931DCE" w:rsidRDefault="00AD2026" w:rsidP="004A000E">
          <w:pPr>
            <w:spacing w:after="0" w:line="240" w:lineRule="auto"/>
            <w:jc w:val="both"/>
            <w:rPr>
              <w:rFonts w:ascii="Times New Roman" w:hAnsi="Times New Roman"/>
              <w:sz w:val="14"/>
              <w:szCs w:val="14"/>
            </w:rPr>
          </w:pPr>
          <w:r w:rsidRPr="001E655F">
            <w:rPr>
              <w:rFonts w:ascii="Times New Roman" w:hAnsi="Times New Roman"/>
              <w:sz w:val="14"/>
              <w:szCs w:val="14"/>
            </w:rPr>
            <w:t>Cifras expresadas en pesos</w:t>
          </w:r>
        </w:p>
        <w:p w14:paraId="4630D6A1" w14:textId="77777777" w:rsidR="00C050D9" w:rsidRPr="00931DCE" w:rsidRDefault="00C050D9" w:rsidP="004A000E">
          <w:pPr>
            <w:spacing w:after="0" w:line="240" w:lineRule="auto"/>
            <w:jc w:val="both"/>
            <w:rPr>
              <w:rFonts w:ascii="Times New Roman" w:hAnsi="Times New Roman"/>
              <w:sz w:val="24"/>
              <w:szCs w:val="24"/>
            </w:rPr>
          </w:pPr>
        </w:p>
        <w:p w14:paraId="360A0E1E" w14:textId="2C816781" w:rsidR="00E648F7" w:rsidRPr="003262BC" w:rsidRDefault="002E5A81" w:rsidP="00E648F7">
          <w:pPr>
            <w:pStyle w:val="xmsonormal"/>
            <w:shd w:val="clear" w:color="auto" w:fill="FFFFFF"/>
            <w:spacing w:before="0" w:beforeAutospacing="0" w:after="0" w:afterAutospacing="0"/>
            <w:jc w:val="both"/>
          </w:pPr>
          <w:r w:rsidRPr="003262BC">
            <w:t xml:space="preserve">(*) </w:t>
          </w:r>
          <w:r w:rsidR="00E648F7" w:rsidRPr="003262BC">
            <w:t>Corresponde a información que fue remitida por la ANI a la AEROCIVIL de saldos de inversiones realizadas por los concesionarios de los Aeropuertos de Centro Norte, a corte 31 de diciembre de 2019, y su desincorporación se realizará una vez la AEROCIVIL informe el registro contable de incorporación en sus estados financieros, que depende entre otros de su revisión y depuración bajo sus lineamientos, procedimientos y políticas contables como entidad concedente para fines contables y dentro de los plazos previstos en el Procedimiento contable para el registro de los hechos económicos relacionados con los acuerdos de concesión de infraestructura de transporte, establecidos en la Resolución CGN No. 602 de 2018 y sus modificaciones.</w:t>
          </w:r>
        </w:p>
        <w:p w14:paraId="72BE7456" w14:textId="4C002F41" w:rsidR="00E648F7" w:rsidRPr="003262BC" w:rsidRDefault="00E648F7" w:rsidP="003D45AB">
          <w:pPr>
            <w:pStyle w:val="xmsonormal"/>
            <w:shd w:val="clear" w:color="auto" w:fill="FFFFFF"/>
            <w:spacing w:before="0" w:beforeAutospacing="0" w:after="0" w:afterAutospacing="0"/>
            <w:jc w:val="both"/>
          </w:pPr>
          <w:r w:rsidRPr="003262BC">
            <w:t> </w:t>
          </w:r>
        </w:p>
        <w:p w14:paraId="7CE7A13E" w14:textId="14F6CA63" w:rsidR="00827291" w:rsidRDefault="00827291" w:rsidP="003D45AB">
          <w:pPr>
            <w:pStyle w:val="xmsonormal"/>
            <w:shd w:val="clear" w:color="auto" w:fill="FFFFFF"/>
            <w:spacing w:before="0" w:beforeAutospacing="0" w:after="0" w:afterAutospacing="0"/>
            <w:jc w:val="both"/>
          </w:pPr>
          <w:r w:rsidRPr="003262BC">
            <w:t xml:space="preserve">Las reversiones realizadas a las entidades titulares </w:t>
          </w:r>
          <w:r w:rsidR="00C77CEC" w:rsidRPr="003262BC">
            <w:t>no</w:t>
          </w:r>
          <w:r w:rsidRPr="003262BC">
            <w:t xml:space="preserve"> </w:t>
          </w:r>
          <w:r w:rsidR="005422ED" w:rsidRPr="003262BC">
            <w:t xml:space="preserve">afectaron el resultado del ejercicio </w:t>
          </w:r>
          <w:r w:rsidR="00B623FB" w:rsidRPr="003262BC">
            <w:t>en cumplimiento al concepto CGN No. 20211120081161</w:t>
          </w:r>
          <w:r w:rsidR="00B623FB" w:rsidRPr="00931DCE">
            <w:t xml:space="preserve"> del 15 de octubre de 202</w:t>
          </w:r>
          <w:r w:rsidR="00B623FB">
            <w:t>1</w:t>
          </w:r>
          <w:r w:rsidR="00B623FB" w:rsidRPr="00931DCE">
            <w:t>, los ajustes que realice en virtud del plan de trabajo suscrito para dar aplicación a esta norma no aplicarán lo establecido en la Norma de políticas contables, cambios en las estimaciones contables y corrección de errores y afectarán la cuenta 3109 -Resultados de ejercicios anteriores.</w:t>
          </w:r>
        </w:p>
        <w:p w14:paraId="0B78401C" w14:textId="77777777" w:rsidR="00C62D64" w:rsidRPr="003262BC" w:rsidRDefault="00C62D64" w:rsidP="003D45AB">
          <w:pPr>
            <w:pStyle w:val="xmsonormal"/>
            <w:shd w:val="clear" w:color="auto" w:fill="FFFFFF"/>
            <w:spacing w:before="0" w:beforeAutospacing="0" w:after="0" w:afterAutospacing="0"/>
            <w:jc w:val="both"/>
            <w:rPr>
              <w:sz w:val="22"/>
              <w:szCs w:val="22"/>
            </w:rPr>
          </w:pPr>
        </w:p>
        <w:p w14:paraId="06A4CDD2" w14:textId="70013FFC" w:rsidR="00364B83" w:rsidRPr="00931DCE" w:rsidRDefault="00364B83">
          <w:pPr>
            <w:pStyle w:val="Ttulo2"/>
            <w:numPr>
              <w:ilvl w:val="1"/>
              <w:numId w:val="11"/>
            </w:numPr>
            <w:ind w:left="567" w:hanging="567"/>
            <w:rPr>
              <w:rFonts w:cs="Times New Roman"/>
              <w:szCs w:val="22"/>
            </w:rPr>
          </w:pPr>
          <w:bookmarkStart w:id="36" w:name="_Toc159952380"/>
          <w:r w:rsidRPr="00931DCE">
            <w:rPr>
              <w:rFonts w:cs="Times New Roman"/>
              <w:szCs w:val="22"/>
            </w:rPr>
            <w:t>Estimaciones</w:t>
          </w:r>
          <w:bookmarkEnd w:id="36"/>
        </w:p>
        <w:p w14:paraId="7B78B146" w14:textId="77777777" w:rsidR="00364B83" w:rsidRPr="00931DCE" w:rsidRDefault="00364B83" w:rsidP="004A000E">
          <w:pPr>
            <w:spacing w:after="0" w:line="240" w:lineRule="auto"/>
            <w:jc w:val="both"/>
            <w:rPr>
              <w:rFonts w:ascii="Times New Roman" w:hAnsi="Times New Roman"/>
              <w:b/>
              <w:sz w:val="18"/>
              <w:szCs w:val="18"/>
            </w:rPr>
          </w:pPr>
        </w:p>
        <w:p w14:paraId="3276C266" w14:textId="193DF0FC" w:rsidR="00A251D9" w:rsidRPr="00931DCE" w:rsidRDefault="00807E36" w:rsidP="004A000E">
          <w:pPr>
            <w:spacing w:after="0" w:line="240" w:lineRule="auto"/>
            <w:jc w:val="both"/>
            <w:rPr>
              <w:rFonts w:ascii="Times New Roman" w:hAnsi="Times New Roman"/>
              <w:sz w:val="24"/>
              <w:szCs w:val="24"/>
            </w:rPr>
          </w:pPr>
          <w:r w:rsidRPr="00931DCE">
            <w:rPr>
              <w:rFonts w:ascii="Times New Roman" w:hAnsi="Times New Roman"/>
              <w:sz w:val="24"/>
              <w:szCs w:val="24"/>
            </w:rPr>
            <w:t xml:space="preserve">Respecto de las depreciaciones, el método empleado por la Agencia es el de línea recta </w:t>
          </w:r>
          <w:r w:rsidR="00C36854" w:rsidRPr="00931DCE">
            <w:rPr>
              <w:rFonts w:ascii="Times New Roman" w:hAnsi="Times New Roman"/>
              <w:sz w:val="24"/>
              <w:szCs w:val="24"/>
            </w:rPr>
            <w:t xml:space="preserve">para los bienes de uso administrativo </w:t>
          </w:r>
          <w:r w:rsidRPr="00931DCE">
            <w:rPr>
              <w:rFonts w:ascii="Times New Roman" w:hAnsi="Times New Roman"/>
              <w:sz w:val="24"/>
              <w:szCs w:val="24"/>
            </w:rPr>
            <w:t>y el cálculo individualizado teniendo en cuenta la vida útil de los elementos</w:t>
          </w:r>
          <w:r w:rsidR="00390B63" w:rsidRPr="00931DCE">
            <w:rPr>
              <w:rFonts w:ascii="Times New Roman" w:hAnsi="Times New Roman"/>
              <w:sz w:val="24"/>
              <w:szCs w:val="24"/>
            </w:rPr>
            <w:t>.</w:t>
          </w:r>
          <w:bookmarkStart w:id="37" w:name="_Hlk96492833"/>
          <w:r w:rsidR="00390B63" w:rsidRPr="00931DCE">
            <w:rPr>
              <w:rFonts w:ascii="Times New Roman" w:hAnsi="Times New Roman"/>
              <w:sz w:val="24"/>
              <w:szCs w:val="24"/>
            </w:rPr>
            <w:t xml:space="preserve"> </w:t>
          </w:r>
          <w:r w:rsidR="00600F2A" w:rsidRPr="00931DCE">
            <w:rPr>
              <w:rFonts w:ascii="Times New Roman" w:hAnsi="Times New Roman"/>
              <w:sz w:val="24"/>
              <w:szCs w:val="24"/>
            </w:rPr>
            <w:t>La estimación de las vidas útiles de los bienes muebles ha</w:t>
          </w:r>
          <w:r w:rsidRPr="00931DCE">
            <w:rPr>
              <w:rFonts w:ascii="Times New Roman" w:hAnsi="Times New Roman"/>
              <w:sz w:val="24"/>
              <w:szCs w:val="24"/>
            </w:rPr>
            <w:t xml:space="preserve"> sido </w:t>
          </w:r>
          <w:r w:rsidR="00AD5A00" w:rsidRPr="00931DCE">
            <w:rPr>
              <w:rFonts w:ascii="Times New Roman" w:hAnsi="Times New Roman"/>
              <w:sz w:val="24"/>
              <w:szCs w:val="24"/>
            </w:rPr>
            <w:t>determinada</w:t>
          </w:r>
          <w:r w:rsidRPr="00931DCE">
            <w:rPr>
              <w:rFonts w:ascii="Times New Roman" w:hAnsi="Times New Roman"/>
              <w:sz w:val="24"/>
              <w:szCs w:val="24"/>
            </w:rPr>
            <w:t xml:space="preserve"> </w:t>
          </w:r>
          <w:r w:rsidR="00BB5A5D" w:rsidRPr="00931DCE">
            <w:rPr>
              <w:rFonts w:ascii="Times New Roman" w:hAnsi="Times New Roman"/>
              <w:sz w:val="24"/>
              <w:szCs w:val="24"/>
            </w:rPr>
            <w:t>de acuerdo con</w:t>
          </w:r>
          <w:r w:rsidRPr="00931DCE">
            <w:rPr>
              <w:rFonts w:ascii="Times New Roman" w:hAnsi="Times New Roman"/>
              <w:sz w:val="24"/>
              <w:szCs w:val="24"/>
            </w:rPr>
            <w:t xml:space="preserve"> las características de los elementos y la intensión de uso de </w:t>
          </w:r>
          <w:r w:rsidR="002C4D7B" w:rsidRPr="00931DCE">
            <w:rPr>
              <w:rFonts w:ascii="Times New Roman" w:hAnsi="Times New Roman"/>
              <w:sz w:val="24"/>
              <w:szCs w:val="24"/>
            </w:rPr>
            <w:t>estos</w:t>
          </w:r>
          <w:r w:rsidRPr="00931DCE">
            <w:rPr>
              <w:rFonts w:ascii="Times New Roman" w:hAnsi="Times New Roman"/>
              <w:sz w:val="24"/>
              <w:szCs w:val="24"/>
            </w:rPr>
            <w:t>, teniendo en</w:t>
          </w:r>
          <w:r w:rsidR="00A251D9" w:rsidRPr="00931DCE">
            <w:rPr>
              <w:rFonts w:ascii="Times New Roman" w:hAnsi="Times New Roman"/>
              <w:sz w:val="24"/>
              <w:szCs w:val="24"/>
            </w:rPr>
            <w:t xml:space="preserve"> </w:t>
          </w:r>
          <w:r w:rsidRPr="00931DCE">
            <w:rPr>
              <w:rFonts w:ascii="Times New Roman" w:hAnsi="Times New Roman"/>
              <w:sz w:val="24"/>
              <w:szCs w:val="24"/>
            </w:rPr>
            <w:t>cuenta los factores de la utilización prevista del activo, el desgaste físico esperado</w:t>
          </w:r>
          <w:r w:rsidR="00A251D9" w:rsidRPr="00931DCE">
            <w:rPr>
              <w:rFonts w:ascii="Times New Roman" w:hAnsi="Times New Roman"/>
              <w:sz w:val="24"/>
              <w:szCs w:val="24"/>
            </w:rPr>
            <w:t>.</w:t>
          </w:r>
        </w:p>
        <w:bookmarkEnd w:id="37"/>
        <w:p w14:paraId="71B03B57" w14:textId="77777777" w:rsidR="000F1D86" w:rsidRPr="00931DCE" w:rsidRDefault="000F1D86" w:rsidP="004A000E">
          <w:pPr>
            <w:spacing w:after="0" w:line="240" w:lineRule="auto"/>
            <w:jc w:val="both"/>
            <w:rPr>
              <w:rFonts w:ascii="Times New Roman" w:hAnsi="Times New Roman"/>
              <w:sz w:val="24"/>
              <w:szCs w:val="24"/>
            </w:rPr>
          </w:pPr>
        </w:p>
        <w:tbl>
          <w:tblPr>
            <w:tblW w:w="5000" w:type="pct"/>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CellMar>
              <w:left w:w="70" w:type="dxa"/>
              <w:right w:w="70" w:type="dxa"/>
            </w:tblCellMar>
            <w:tblLook w:val="04A0" w:firstRow="1" w:lastRow="0" w:firstColumn="1" w:lastColumn="0" w:noHBand="0" w:noVBand="1"/>
          </w:tblPr>
          <w:tblGrid>
            <w:gridCol w:w="776"/>
            <w:gridCol w:w="5277"/>
            <w:gridCol w:w="1458"/>
            <w:gridCol w:w="1458"/>
          </w:tblGrid>
          <w:tr w:rsidR="007A426D" w:rsidRPr="007A426D" w14:paraId="2FBEB0BF" w14:textId="77777777" w:rsidTr="002B1A6C">
            <w:trPr>
              <w:trHeight w:val="357"/>
              <w:tblHeader/>
            </w:trPr>
            <w:tc>
              <w:tcPr>
                <w:tcW w:w="3374" w:type="pct"/>
                <w:gridSpan w:val="2"/>
                <w:shd w:val="clear" w:color="auto" w:fill="auto"/>
                <w:noWrap/>
                <w:vAlign w:val="center"/>
                <w:hideMark/>
              </w:tcPr>
              <w:p w14:paraId="70458627" w14:textId="77777777" w:rsidR="007A426D" w:rsidRPr="007A426D" w:rsidRDefault="007A426D" w:rsidP="007A426D">
                <w:pPr>
                  <w:spacing w:after="0" w:line="240" w:lineRule="auto"/>
                  <w:jc w:val="center"/>
                  <w:rPr>
                    <w:rFonts w:ascii="Times New Roman" w:eastAsia="Times New Roman" w:hAnsi="Times New Roman"/>
                    <w:b/>
                    <w:bCs/>
                    <w:sz w:val="18"/>
                    <w:szCs w:val="18"/>
                    <w:lang w:eastAsia="es-CO"/>
                  </w:rPr>
                </w:pPr>
                <w:r w:rsidRPr="007A426D">
                  <w:rPr>
                    <w:rFonts w:ascii="Times New Roman" w:eastAsia="Times New Roman" w:hAnsi="Times New Roman"/>
                    <w:b/>
                    <w:bCs/>
                    <w:sz w:val="18"/>
                    <w:szCs w:val="18"/>
                    <w:lang w:eastAsia="es-CO"/>
                  </w:rPr>
                  <w:t>DESCRIPCIÓN DE LOS BIENES DE PPE</w:t>
                </w:r>
              </w:p>
            </w:tc>
            <w:tc>
              <w:tcPr>
                <w:tcW w:w="1626" w:type="pct"/>
                <w:gridSpan w:val="2"/>
                <w:shd w:val="clear" w:color="auto" w:fill="auto"/>
                <w:vAlign w:val="center"/>
                <w:hideMark/>
              </w:tcPr>
              <w:p w14:paraId="36387A75" w14:textId="77777777" w:rsidR="007A426D" w:rsidRPr="007A426D" w:rsidRDefault="007A426D" w:rsidP="007A426D">
                <w:pPr>
                  <w:spacing w:after="0" w:line="240" w:lineRule="auto"/>
                  <w:jc w:val="center"/>
                  <w:rPr>
                    <w:rFonts w:ascii="Times New Roman" w:eastAsia="Times New Roman" w:hAnsi="Times New Roman"/>
                    <w:b/>
                    <w:bCs/>
                    <w:sz w:val="18"/>
                    <w:szCs w:val="18"/>
                    <w:lang w:eastAsia="es-CO"/>
                  </w:rPr>
                </w:pPr>
                <w:r w:rsidRPr="007A426D">
                  <w:rPr>
                    <w:rFonts w:ascii="Times New Roman" w:eastAsia="Times New Roman" w:hAnsi="Times New Roman"/>
                    <w:b/>
                    <w:bCs/>
                    <w:sz w:val="18"/>
                    <w:szCs w:val="18"/>
                    <w:lang w:eastAsia="es-CO"/>
                  </w:rPr>
                  <w:t xml:space="preserve"> AÑOS DE VIDA ÚTIL</w:t>
                </w:r>
                <w:r w:rsidRPr="007A426D">
                  <w:rPr>
                    <w:rFonts w:ascii="Times New Roman" w:eastAsia="Times New Roman" w:hAnsi="Times New Roman"/>
                    <w:b/>
                    <w:bCs/>
                    <w:sz w:val="18"/>
                    <w:szCs w:val="18"/>
                    <w:lang w:eastAsia="es-CO"/>
                  </w:rPr>
                  <w:br/>
                  <w:t xml:space="preserve">(Depreciación línea recta) </w:t>
                </w:r>
              </w:p>
            </w:tc>
          </w:tr>
          <w:tr w:rsidR="007A426D" w:rsidRPr="007A426D" w14:paraId="75FCFEF6" w14:textId="77777777" w:rsidTr="002B1A6C">
            <w:trPr>
              <w:trHeight w:val="300"/>
              <w:tblHeader/>
            </w:trPr>
            <w:tc>
              <w:tcPr>
                <w:tcW w:w="432" w:type="pct"/>
                <w:shd w:val="clear" w:color="auto" w:fill="auto"/>
                <w:noWrap/>
                <w:vAlign w:val="center"/>
                <w:hideMark/>
              </w:tcPr>
              <w:p w14:paraId="418F6BD9" w14:textId="77777777" w:rsidR="007A426D" w:rsidRPr="007A426D" w:rsidRDefault="007A426D" w:rsidP="007A426D">
                <w:pPr>
                  <w:spacing w:after="0" w:line="240" w:lineRule="auto"/>
                  <w:jc w:val="center"/>
                  <w:rPr>
                    <w:rFonts w:ascii="Times New Roman" w:eastAsia="Times New Roman" w:hAnsi="Times New Roman"/>
                    <w:b/>
                    <w:bCs/>
                    <w:sz w:val="18"/>
                    <w:szCs w:val="18"/>
                    <w:lang w:eastAsia="es-CO"/>
                  </w:rPr>
                </w:pPr>
                <w:r w:rsidRPr="007A426D">
                  <w:rPr>
                    <w:rFonts w:ascii="Times New Roman" w:eastAsia="Times New Roman" w:hAnsi="Times New Roman"/>
                    <w:b/>
                    <w:bCs/>
                    <w:sz w:val="18"/>
                    <w:szCs w:val="18"/>
                    <w:lang w:eastAsia="es-CO"/>
                  </w:rPr>
                  <w:t>TIPO</w:t>
                </w:r>
              </w:p>
            </w:tc>
            <w:tc>
              <w:tcPr>
                <w:tcW w:w="2942" w:type="pct"/>
                <w:shd w:val="clear" w:color="auto" w:fill="auto"/>
                <w:vAlign w:val="center"/>
                <w:hideMark/>
              </w:tcPr>
              <w:p w14:paraId="36294337" w14:textId="77777777" w:rsidR="007A426D" w:rsidRPr="007A426D" w:rsidRDefault="007A426D" w:rsidP="007A426D">
                <w:pPr>
                  <w:spacing w:after="0" w:line="240" w:lineRule="auto"/>
                  <w:jc w:val="center"/>
                  <w:rPr>
                    <w:rFonts w:ascii="Times New Roman" w:eastAsia="Times New Roman" w:hAnsi="Times New Roman"/>
                    <w:b/>
                    <w:bCs/>
                    <w:sz w:val="18"/>
                    <w:szCs w:val="18"/>
                    <w:lang w:eastAsia="es-CO"/>
                  </w:rPr>
                </w:pPr>
                <w:r w:rsidRPr="007A426D">
                  <w:rPr>
                    <w:rFonts w:ascii="Times New Roman" w:eastAsia="Times New Roman" w:hAnsi="Times New Roman"/>
                    <w:b/>
                    <w:bCs/>
                    <w:sz w:val="18"/>
                    <w:szCs w:val="18"/>
                    <w:lang w:eastAsia="es-CO"/>
                  </w:rPr>
                  <w:t>CONCEPTOS</w:t>
                </w:r>
              </w:p>
            </w:tc>
            <w:tc>
              <w:tcPr>
                <w:tcW w:w="813" w:type="pct"/>
                <w:shd w:val="clear" w:color="auto" w:fill="auto"/>
                <w:vAlign w:val="center"/>
                <w:hideMark/>
              </w:tcPr>
              <w:p w14:paraId="68047795" w14:textId="77777777" w:rsidR="007A426D" w:rsidRPr="007A426D" w:rsidRDefault="007A426D" w:rsidP="007A426D">
                <w:pPr>
                  <w:spacing w:after="0" w:line="240" w:lineRule="auto"/>
                  <w:jc w:val="center"/>
                  <w:rPr>
                    <w:rFonts w:ascii="Times New Roman" w:eastAsia="Times New Roman" w:hAnsi="Times New Roman"/>
                    <w:b/>
                    <w:bCs/>
                    <w:sz w:val="18"/>
                    <w:szCs w:val="18"/>
                    <w:lang w:eastAsia="es-CO"/>
                  </w:rPr>
                </w:pPr>
                <w:r w:rsidRPr="007A426D">
                  <w:rPr>
                    <w:rFonts w:ascii="Times New Roman" w:eastAsia="Times New Roman" w:hAnsi="Times New Roman"/>
                    <w:b/>
                    <w:bCs/>
                    <w:sz w:val="18"/>
                    <w:szCs w:val="18"/>
                    <w:lang w:eastAsia="es-CO"/>
                  </w:rPr>
                  <w:t xml:space="preserve"> MÍNIMO </w:t>
                </w:r>
              </w:p>
            </w:tc>
            <w:tc>
              <w:tcPr>
                <w:tcW w:w="813" w:type="pct"/>
                <w:shd w:val="clear" w:color="auto" w:fill="auto"/>
                <w:vAlign w:val="center"/>
                <w:hideMark/>
              </w:tcPr>
              <w:p w14:paraId="0E6C90D5" w14:textId="77777777" w:rsidR="007A426D" w:rsidRPr="007A426D" w:rsidRDefault="007A426D" w:rsidP="007A426D">
                <w:pPr>
                  <w:spacing w:after="0" w:line="240" w:lineRule="auto"/>
                  <w:jc w:val="center"/>
                  <w:rPr>
                    <w:rFonts w:ascii="Times New Roman" w:eastAsia="Times New Roman" w:hAnsi="Times New Roman"/>
                    <w:b/>
                    <w:bCs/>
                    <w:sz w:val="18"/>
                    <w:szCs w:val="18"/>
                    <w:lang w:eastAsia="es-CO"/>
                  </w:rPr>
                </w:pPr>
                <w:r w:rsidRPr="007A426D">
                  <w:rPr>
                    <w:rFonts w:ascii="Times New Roman" w:eastAsia="Times New Roman" w:hAnsi="Times New Roman"/>
                    <w:b/>
                    <w:bCs/>
                    <w:sz w:val="18"/>
                    <w:szCs w:val="18"/>
                    <w:lang w:eastAsia="es-CO"/>
                  </w:rPr>
                  <w:t xml:space="preserve"> MÁXIMO </w:t>
                </w:r>
              </w:p>
            </w:tc>
          </w:tr>
          <w:tr w:rsidR="007A426D" w:rsidRPr="007A426D" w14:paraId="1CF66AD7" w14:textId="77777777" w:rsidTr="00093876">
            <w:trPr>
              <w:trHeight w:val="300"/>
            </w:trPr>
            <w:tc>
              <w:tcPr>
                <w:tcW w:w="432" w:type="pct"/>
                <w:vMerge w:val="restart"/>
                <w:shd w:val="clear" w:color="auto" w:fill="auto"/>
                <w:noWrap/>
                <w:textDirection w:val="btLr"/>
                <w:vAlign w:val="center"/>
                <w:hideMark/>
              </w:tcPr>
              <w:p w14:paraId="05CE1D6E" w14:textId="77777777" w:rsidR="007A426D" w:rsidRPr="007A426D" w:rsidRDefault="007A426D" w:rsidP="007A426D">
                <w:pPr>
                  <w:spacing w:after="0" w:line="240" w:lineRule="auto"/>
                  <w:jc w:val="center"/>
                  <w:rPr>
                    <w:rFonts w:ascii="Times New Roman" w:eastAsia="Times New Roman" w:hAnsi="Times New Roman"/>
                    <w:b/>
                    <w:bCs/>
                    <w:sz w:val="18"/>
                    <w:szCs w:val="18"/>
                    <w:lang w:eastAsia="es-CO"/>
                  </w:rPr>
                </w:pPr>
                <w:r w:rsidRPr="007A426D">
                  <w:rPr>
                    <w:rFonts w:ascii="Times New Roman" w:eastAsia="Times New Roman" w:hAnsi="Times New Roman"/>
                    <w:b/>
                    <w:bCs/>
                    <w:sz w:val="18"/>
                    <w:szCs w:val="18"/>
                    <w:lang w:eastAsia="es-CO"/>
                  </w:rPr>
                  <w:t>MUEBLES</w:t>
                </w:r>
              </w:p>
            </w:tc>
            <w:tc>
              <w:tcPr>
                <w:tcW w:w="2942" w:type="pct"/>
                <w:shd w:val="clear" w:color="auto" w:fill="auto"/>
                <w:vAlign w:val="center"/>
                <w:hideMark/>
              </w:tcPr>
              <w:p w14:paraId="4F4BB464" w14:textId="77777777" w:rsidR="007A426D" w:rsidRPr="007A426D" w:rsidRDefault="007A426D" w:rsidP="007A426D">
                <w:pPr>
                  <w:spacing w:after="0" w:line="240" w:lineRule="auto"/>
                  <w:rPr>
                    <w:rFonts w:ascii="Times New Roman" w:eastAsia="Times New Roman" w:hAnsi="Times New Roman"/>
                    <w:sz w:val="18"/>
                    <w:szCs w:val="18"/>
                    <w:lang w:eastAsia="es-CO"/>
                  </w:rPr>
                </w:pPr>
                <w:r w:rsidRPr="007A426D">
                  <w:rPr>
                    <w:rFonts w:ascii="Times New Roman" w:eastAsia="Times New Roman" w:hAnsi="Times New Roman"/>
                    <w:sz w:val="18"/>
                    <w:szCs w:val="18"/>
                    <w:lang w:eastAsia="es-CO"/>
                  </w:rPr>
                  <w:t>Maquinaria y equipo</w:t>
                </w:r>
              </w:p>
            </w:tc>
            <w:tc>
              <w:tcPr>
                <w:tcW w:w="813" w:type="pct"/>
                <w:shd w:val="clear" w:color="auto" w:fill="auto"/>
                <w:noWrap/>
                <w:vAlign w:val="center"/>
                <w:hideMark/>
              </w:tcPr>
              <w:p w14:paraId="26543958" w14:textId="0D68A8F3" w:rsidR="007A426D" w:rsidRPr="007A426D" w:rsidRDefault="007A426D" w:rsidP="007A426D">
                <w:pPr>
                  <w:spacing w:after="0" w:line="240" w:lineRule="auto"/>
                  <w:jc w:val="center"/>
                  <w:rPr>
                    <w:rFonts w:ascii="Times New Roman" w:eastAsia="Times New Roman" w:hAnsi="Times New Roman"/>
                    <w:sz w:val="18"/>
                    <w:szCs w:val="18"/>
                    <w:lang w:eastAsia="es-CO"/>
                  </w:rPr>
                </w:pPr>
                <w:r w:rsidRPr="007A426D">
                  <w:rPr>
                    <w:rFonts w:ascii="Times New Roman" w:eastAsia="Times New Roman" w:hAnsi="Times New Roman"/>
                    <w:sz w:val="18"/>
                    <w:szCs w:val="18"/>
                    <w:lang w:eastAsia="es-CO"/>
                  </w:rPr>
                  <w:t>10</w:t>
                </w:r>
              </w:p>
            </w:tc>
            <w:tc>
              <w:tcPr>
                <w:tcW w:w="813" w:type="pct"/>
                <w:shd w:val="clear" w:color="auto" w:fill="auto"/>
                <w:noWrap/>
                <w:vAlign w:val="center"/>
                <w:hideMark/>
              </w:tcPr>
              <w:p w14:paraId="0828B6B8" w14:textId="6B9F9678" w:rsidR="007A426D" w:rsidRPr="007A426D" w:rsidRDefault="007A426D" w:rsidP="007A426D">
                <w:pPr>
                  <w:spacing w:after="0" w:line="240" w:lineRule="auto"/>
                  <w:jc w:val="center"/>
                  <w:rPr>
                    <w:rFonts w:ascii="Times New Roman" w:eastAsia="Times New Roman" w:hAnsi="Times New Roman"/>
                    <w:sz w:val="18"/>
                    <w:szCs w:val="18"/>
                    <w:lang w:eastAsia="es-CO"/>
                  </w:rPr>
                </w:pPr>
                <w:r w:rsidRPr="007A426D">
                  <w:rPr>
                    <w:rFonts w:ascii="Times New Roman" w:eastAsia="Times New Roman" w:hAnsi="Times New Roman"/>
                    <w:sz w:val="18"/>
                    <w:szCs w:val="18"/>
                    <w:lang w:eastAsia="es-CO"/>
                  </w:rPr>
                  <w:t>40</w:t>
                </w:r>
              </w:p>
            </w:tc>
          </w:tr>
          <w:tr w:rsidR="007A426D" w:rsidRPr="007A426D" w14:paraId="3B9FC9C8" w14:textId="77777777" w:rsidTr="00093876">
            <w:trPr>
              <w:trHeight w:val="300"/>
            </w:trPr>
            <w:tc>
              <w:tcPr>
                <w:tcW w:w="432" w:type="pct"/>
                <w:vMerge/>
                <w:vAlign w:val="center"/>
                <w:hideMark/>
              </w:tcPr>
              <w:p w14:paraId="346D8436" w14:textId="77777777" w:rsidR="007A426D" w:rsidRPr="007A426D" w:rsidRDefault="007A426D" w:rsidP="007A426D">
                <w:pPr>
                  <w:spacing w:after="0" w:line="240" w:lineRule="auto"/>
                  <w:rPr>
                    <w:rFonts w:ascii="Times New Roman" w:eastAsia="Times New Roman" w:hAnsi="Times New Roman"/>
                    <w:b/>
                    <w:bCs/>
                    <w:sz w:val="18"/>
                    <w:szCs w:val="18"/>
                    <w:lang w:eastAsia="es-CO"/>
                  </w:rPr>
                </w:pPr>
              </w:p>
            </w:tc>
            <w:tc>
              <w:tcPr>
                <w:tcW w:w="2942" w:type="pct"/>
                <w:shd w:val="clear" w:color="auto" w:fill="auto"/>
                <w:vAlign w:val="center"/>
                <w:hideMark/>
              </w:tcPr>
              <w:p w14:paraId="6875D7BE" w14:textId="77777777" w:rsidR="007A426D" w:rsidRPr="007A426D" w:rsidRDefault="007A426D" w:rsidP="007A426D">
                <w:pPr>
                  <w:spacing w:after="0" w:line="240" w:lineRule="auto"/>
                  <w:rPr>
                    <w:rFonts w:ascii="Times New Roman" w:eastAsia="Times New Roman" w:hAnsi="Times New Roman"/>
                    <w:sz w:val="18"/>
                    <w:szCs w:val="18"/>
                    <w:lang w:eastAsia="es-CO"/>
                  </w:rPr>
                </w:pPr>
                <w:r w:rsidRPr="007A426D">
                  <w:rPr>
                    <w:rFonts w:ascii="Times New Roman" w:eastAsia="Times New Roman" w:hAnsi="Times New Roman"/>
                    <w:sz w:val="18"/>
                    <w:szCs w:val="18"/>
                    <w:lang w:eastAsia="es-CO"/>
                  </w:rPr>
                  <w:t>Equipos de comunicación y computación</w:t>
                </w:r>
              </w:p>
            </w:tc>
            <w:tc>
              <w:tcPr>
                <w:tcW w:w="813" w:type="pct"/>
                <w:shd w:val="clear" w:color="auto" w:fill="auto"/>
                <w:noWrap/>
                <w:vAlign w:val="center"/>
                <w:hideMark/>
              </w:tcPr>
              <w:p w14:paraId="0BE282D9" w14:textId="4988BD7E" w:rsidR="007A426D" w:rsidRPr="007A426D" w:rsidRDefault="007A426D" w:rsidP="007A426D">
                <w:pPr>
                  <w:spacing w:after="0" w:line="240" w:lineRule="auto"/>
                  <w:jc w:val="center"/>
                  <w:rPr>
                    <w:rFonts w:ascii="Times New Roman" w:eastAsia="Times New Roman" w:hAnsi="Times New Roman"/>
                    <w:sz w:val="18"/>
                    <w:szCs w:val="18"/>
                    <w:lang w:eastAsia="es-CO"/>
                  </w:rPr>
                </w:pPr>
                <w:r w:rsidRPr="007A426D">
                  <w:rPr>
                    <w:rFonts w:ascii="Times New Roman" w:eastAsia="Times New Roman" w:hAnsi="Times New Roman"/>
                    <w:sz w:val="18"/>
                    <w:szCs w:val="18"/>
                    <w:lang w:eastAsia="es-CO"/>
                  </w:rPr>
                  <w:t>3</w:t>
                </w:r>
              </w:p>
            </w:tc>
            <w:tc>
              <w:tcPr>
                <w:tcW w:w="813" w:type="pct"/>
                <w:shd w:val="clear" w:color="auto" w:fill="auto"/>
                <w:noWrap/>
                <w:vAlign w:val="center"/>
                <w:hideMark/>
              </w:tcPr>
              <w:p w14:paraId="0BC264C0" w14:textId="5F1EC386" w:rsidR="007A426D" w:rsidRPr="007A426D" w:rsidRDefault="007A426D" w:rsidP="007A426D">
                <w:pPr>
                  <w:spacing w:after="0" w:line="240" w:lineRule="auto"/>
                  <w:jc w:val="center"/>
                  <w:rPr>
                    <w:rFonts w:ascii="Times New Roman" w:eastAsia="Times New Roman" w:hAnsi="Times New Roman"/>
                    <w:sz w:val="18"/>
                    <w:szCs w:val="18"/>
                    <w:lang w:eastAsia="es-CO"/>
                  </w:rPr>
                </w:pPr>
                <w:r w:rsidRPr="007A426D">
                  <w:rPr>
                    <w:rFonts w:ascii="Times New Roman" w:eastAsia="Times New Roman" w:hAnsi="Times New Roman"/>
                    <w:sz w:val="18"/>
                    <w:szCs w:val="18"/>
                    <w:lang w:eastAsia="es-CO"/>
                  </w:rPr>
                  <w:t>8</w:t>
                </w:r>
              </w:p>
            </w:tc>
          </w:tr>
          <w:tr w:rsidR="007A426D" w:rsidRPr="007A426D" w14:paraId="0E55EFE6" w14:textId="77777777" w:rsidTr="00093876">
            <w:trPr>
              <w:trHeight w:val="300"/>
            </w:trPr>
            <w:tc>
              <w:tcPr>
                <w:tcW w:w="432" w:type="pct"/>
                <w:vMerge/>
                <w:vAlign w:val="center"/>
                <w:hideMark/>
              </w:tcPr>
              <w:p w14:paraId="7C0CC1B0" w14:textId="77777777" w:rsidR="007A426D" w:rsidRPr="007A426D" w:rsidRDefault="007A426D" w:rsidP="007A426D">
                <w:pPr>
                  <w:spacing w:after="0" w:line="240" w:lineRule="auto"/>
                  <w:rPr>
                    <w:rFonts w:ascii="Times New Roman" w:eastAsia="Times New Roman" w:hAnsi="Times New Roman"/>
                    <w:b/>
                    <w:bCs/>
                    <w:sz w:val="18"/>
                    <w:szCs w:val="18"/>
                    <w:lang w:eastAsia="es-CO"/>
                  </w:rPr>
                </w:pPr>
              </w:p>
            </w:tc>
            <w:tc>
              <w:tcPr>
                <w:tcW w:w="2942" w:type="pct"/>
                <w:shd w:val="clear" w:color="auto" w:fill="auto"/>
                <w:vAlign w:val="center"/>
                <w:hideMark/>
              </w:tcPr>
              <w:p w14:paraId="106F7A72" w14:textId="77777777" w:rsidR="007A426D" w:rsidRPr="007A426D" w:rsidRDefault="007A426D" w:rsidP="007A426D">
                <w:pPr>
                  <w:spacing w:after="0" w:line="240" w:lineRule="auto"/>
                  <w:rPr>
                    <w:rFonts w:ascii="Times New Roman" w:eastAsia="Times New Roman" w:hAnsi="Times New Roman"/>
                    <w:sz w:val="18"/>
                    <w:szCs w:val="18"/>
                    <w:lang w:eastAsia="es-CO"/>
                  </w:rPr>
                </w:pPr>
                <w:r w:rsidRPr="007A426D">
                  <w:rPr>
                    <w:rFonts w:ascii="Times New Roman" w:eastAsia="Times New Roman" w:hAnsi="Times New Roman"/>
                    <w:sz w:val="18"/>
                    <w:szCs w:val="18"/>
                    <w:lang w:eastAsia="es-CO"/>
                  </w:rPr>
                  <w:t>Equipos de transporte, tracción y elevación</w:t>
                </w:r>
              </w:p>
            </w:tc>
            <w:tc>
              <w:tcPr>
                <w:tcW w:w="813" w:type="pct"/>
                <w:shd w:val="clear" w:color="auto" w:fill="auto"/>
                <w:noWrap/>
                <w:vAlign w:val="center"/>
                <w:hideMark/>
              </w:tcPr>
              <w:p w14:paraId="1FB9247C" w14:textId="3D9D1910" w:rsidR="007A426D" w:rsidRPr="007A426D" w:rsidRDefault="007A426D" w:rsidP="007A426D">
                <w:pPr>
                  <w:spacing w:after="0" w:line="240" w:lineRule="auto"/>
                  <w:jc w:val="center"/>
                  <w:rPr>
                    <w:rFonts w:ascii="Times New Roman" w:eastAsia="Times New Roman" w:hAnsi="Times New Roman"/>
                    <w:sz w:val="18"/>
                    <w:szCs w:val="18"/>
                    <w:lang w:eastAsia="es-CO"/>
                  </w:rPr>
                </w:pPr>
                <w:r w:rsidRPr="007A426D">
                  <w:rPr>
                    <w:rFonts w:ascii="Times New Roman" w:eastAsia="Times New Roman" w:hAnsi="Times New Roman"/>
                    <w:sz w:val="18"/>
                    <w:szCs w:val="18"/>
                    <w:lang w:eastAsia="es-CO"/>
                  </w:rPr>
                  <w:t>10</w:t>
                </w:r>
              </w:p>
            </w:tc>
            <w:tc>
              <w:tcPr>
                <w:tcW w:w="813" w:type="pct"/>
                <w:shd w:val="clear" w:color="auto" w:fill="auto"/>
                <w:noWrap/>
                <w:vAlign w:val="center"/>
                <w:hideMark/>
              </w:tcPr>
              <w:p w14:paraId="1CB95DF3" w14:textId="3680F4B6" w:rsidR="007A426D" w:rsidRPr="007A426D" w:rsidRDefault="007A426D" w:rsidP="007A426D">
                <w:pPr>
                  <w:spacing w:after="0" w:line="240" w:lineRule="auto"/>
                  <w:jc w:val="center"/>
                  <w:rPr>
                    <w:rFonts w:ascii="Times New Roman" w:eastAsia="Times New Roman" w:hAnsi="Times New Roman"/>
                    <w:sz w:val="18"/>
                    <w:szCs w:val="18"/>
                    <w:lang w:eastAsia="es-CO"/>
                  </w:rPr>
                </w:pPr>
                <w:r w:rsidRPr="007A426D">
                  <w:rPr>
                    <w:rFonts w:ascii="Times New Roman" w:eastAsia="Times New Roman" w:hAnsi="Times New Roman"/>
                    <w:sz w:val="18"/>
                    <w:szCs w:val="18"/>
                    <w:lang w:eastAsia="es-CO"/>
                  </w:rPr>
                  <w:t>20</w:t>
                </w:r>
              </w:p>
            </w:tc>
          </w:tr>
          <w:tr w:rsidR="007A426D" w:rsidRPr="007A426D" w14:paraId="1147F403" w14:textId="77777777" w:rsidTr="00093876">
            <w:trPr>
              <w:trHeight w:val="300"/>
            </w:trPr>
            <w:tc>
              <w:tcPr>
                <w:tcW w:w="432" w:type="pct"/>
                <w:vMerge/>
                <w:vAlign w:val="center"/>
                <w:hideMark/>
              </w:tcPr>
              <w:p w14:paraId="11E0FC03" w14:textId="77777777" w:rsidR="007A426D" w:rsidRPr="007A426D" w:rsidRDefault="007A426D" w:rsidP="007A426D">
                <w:pPr>
                  <w:spacing w:after="0" w:line="240" w:lineRule="auto"/>
                  <w:rPr>
                    <w:rFonts w:ascii="Times New Roman" w:eastAsia="Times New Roman" w:hAnsi="Times New Roman"/>
                    <w:b/>
                    <w:bCs/>
                    <w:sz w:val="18"/>
                    <w:szCs w:val="18"/>
                    <w:lang w:eastAsia="es-CO"/>
                  </w:rPr>
                </w:pPr>
              </w:p>
            </w:tc>
            <w:tc>
              <w:tcPr>
                <w:tcW w:w="2942" w:type="pct"/>
                <w:shd w:val="clear" w:color="auto" w:fill="auto"/>
                <w:vAlign w:val="center"/>
                <w:hideMark/>
              </w:tcPr>
              <w:p w14:paraId="7F30AE11" w14:textId="77777777" w:rsidR="007A426D" w:rsidRPr="007A426D" w:rsidRDefault="007A426D" w:rsidP="007A426D">
                <w:pPr>
                  <w:spacing w:after="0" w:line="240" w:lineRule="auto"/>
                  <w:rPr>
                    <w:rFonts w:ascii="Times New Roman" w:eastAsia="Times New Roman" w:hAnsi="Times New Roman"/>
                    <w:sz w:val="18"/>
                    <w:szCs w:val="18"/>
                    <w:lang w:eastAsia="es-CO"/>
                  </w:rPr>
                </w:pPr>
                <w:r w:rsidRPr="007A426D">
                  <w:rPr>
                    <w:rFonts w:ascii="Times New Roman" w:eastAsia="Times New Roman" w:hAnsi="Times New Roman"/>
                    <w:sz w:val="18"/>
                    <w:szCs w:val="18"/>
                    <w:lang w:eastAsia="es-CO"/>
                  </w:rPr>
                  <w:t>Equipo médico y científico</w:t>
                </w:r>
              </w:p>
            </w:tc>
            <w:tc>
              <w:tcPr>
                <w:tcW w:w="813" w:type="pct"/>
                <w:shd w:val="clear" w:color="auto" w:fill="auto"/>
                <w:noWrap/>
                <w:vAlign w:val="center"/>
                <w:hideMark/>
              </w:tcPr>
              <w:p w14:paraId="0992BE1C" w14:textId="76BFD6D2" w:rsidR="007A426D" w:rsidRPr="007A426D" w:rsidRDefault="007A426D" w:rsidP="007A426D">
                <w:pPr>
                  <w:spacing w:after="0" w:line="240" w:lineRule="auto"/>
                  <w:jc w:val="center"/>
                  <w:rPr>
                    <w:rFonts w:ascii="Times New Roman" w:eastAsia="Times New Roman" w:hAnsi="Times New Roman"/>
                    <w:sz w:val="18"/>
                    <w:szCs w:val="18"/>
                    <w:lang w:eastAsia="es-CO"/>
                  </w:rPr>
                </w:pPr>
                <w:r w:rsidRPr="007A426D">
                  <w:rPr>
                    <w:rFonts w:ascii="Times New Roman" w:eastAsia="Times New Roman" w:hAnsi="Times New Roman"/>
                    <w:sz w:val="18"/>
                    <w:szCs w:val="18"/>
                    <w:lang w:eastAsia="es-CO"/>
                  </w:rPr>
                  <w:t>10</w:t>
                </w:r>
              </w:p>
            </w:tc>
            <w:tc>
              <w:tcPr>
                <w:tcW w:w="813" w:type="pct"/>
                <w:shd w:val="clear" w:color="auto" w:fill="auto"/>
                <w:noWrap/>
                <w:vAlign w:val="center"/>
                <w:hideMark/>
              </w:tcPr>
              <w:p w14:paraId="5D93FC6E" w14:textId="1CF3633E" w:rsidR="007A426D" w:rsidRPr="007A426D" w:rsidRDefault="007A426D" w:rsidP="007A426D">
                <w:pPr>
                  <w:spacing w:after="0" w:line="240" w:lineRule="auto"/>
                  <w:jc w:val="center"/>
                  <w:rPr>
                    <w:rFonts w:ascii="Times New Roman" w:eastAsia="Times New Roman" w:hAnsi="Times New Roman"/>
                    <w:sz w:val="18"/>
                    <w:szCs w:val="18"/>
                    <w:lang w:eastAsia="es-CO"/>
                  </w:rPr>
                </w:pPr>
                <w:r w:rsidRPr="007A426D">
                  <w:rPr>
                    <w:rFonts w:ascii="Times New Roman" w:eastAsia="Times New Roman" w:hAnsi="Times New Roman"/>
                    <w:sz w:val="18"/>
                    <w:szCs w:val="18"/>
                    <w:lang w:eastAsia="es-CO"/>
                  </w:rPr>
                  <w:t>15</w:t>
                </w:r>
              </w:p>
            </w:tc>
          </w:tr>
          <w:tr w:rsidR="007A426D" w:rsidRPr="007A426D" w14:paraId="66220E0E" w14:textId="77777777" w:rsidTr="00093876">
            <w:trPr>
              <w:trHeight w:val="300"/>
            </w:trPr>
            <w:tc>
              <w:tcPr>
                <w:tcW w:w="432" w:type="pct"/>
                <w:vMerge/>
                <w:vAlign w:val="center"/>
                <w:hideMark/>
              </w:tcPr>
              <w:p w14:paraId="1068C7B9" w14:textId="77777777" w:rsidR="007A426D" w:rsidRPr="007A426D" w:rsidRDefault="007A426D" w:rsidP="007A426D">
                <w:pPr>
                  <w:spacing w:after="0" w:line="240" w:lineRule="auto"/>
                  <w:rPr>
                    <w:rFonts w:ascii="Times New Roman" w:eastAsia="Times New Roman" w:hAnsi="Times New Roman"/>
                    <w:b/>
                    <w:bCs/>
                    <w:sz w:val="18"/>
                    <w:szCs w:val="18"/>
                    <w:lang w:eastAsia="es-CO"/>
                  </w:rPr>
                </w:pPr>
              </w:p>
            </w:tc>
            <w:tc>
              <w:tcPr>
                <w:tcW w:w="2942" w:type="pct"/>
                <w:shd w:val="clear" w:color="auto" w:fill="auto"/>
                <w:vAlign w:val="center"/>
                <w:hideMark/>
              </w:tcPr>
              <w:p w14:paraId="1EC2B344" w14:textId="77777777" w:rsidR="007A426D" w:rsidRPr="007A426D" w:rsidRDefault="007A426D" w:rsidP="007A426D">
                <w:pPr>
                  <w:spacing w:after="0" w:line="240" w:lineRule="auto"/>
                  <w:rPr>
                    <w:rFonts w:ascii="Times New Roman" w:eastAsia="Times New Roman" w:hAnsi="Times New Roman"/>
                    <w:sz w:val="18"/>
                    <w:szCs w:val="18"/>
                    <w:lang w:eastAsia="es-CO"/>
                  </w:rPr>
                </w:pPr>
                <w:r w:rsidRPr="007A426D">
                  <w:rPr>
                    <w:rFonts w:ascii="Times New Roman" w:eastAsia="Times New Roman" w:hAnsi="Times New Roman"/>
                    <w:sz w:val="18"/>
                    <w:szCs w:val="18"/>
                    <w:lang w:eastAsia="es-CO"/>
                  </w:rPr>
                  <w:t>Muebles, enseres y equipo de oficina</w:t>
                </w:r>
              </w:p>
            </w:tc>
            <w:tc>
              <w:tcPr>
                <w:tcW w:w="813" w:type="pct"/>
                <w:shd w:val="clear" w:color="auto" w:fill="auto"/>
                <w:noWrap/>
                <w:vAlign w:val="center"/>
                <w:hideMark/>
              </w:tcPr>
              <w:p w14:paraId="2E63EDE1" w14:textId="3652688C" w:rsidR="007A426D" w:rsidRPr="007A426D" w:rsidRDefault="007A426D" w:rsidP="00093876">
                <w:pPr>
                  <w:spacing w:after="0" w:line="240" w:lineRule="auto"/>
                  <w:jc w:val="center"/>
                  <w:rPr>
                    <w:rFonts w:ascii="Times New Roman" w:eastAsia="Times New Roman" w:hAnsi="Times New Roman"/>
                    <w:sz w:val="18"/>
                    <w:szCs w:val="18"/>
                    <w:lang w:eastAsia="es-CO"/>
                  </w:rPr>
                </w:pPr>
                <w:r w:rsidRPr="007A426D">
                  <w:rPr>
                    <w:rFonts w:ascii="Times New Roman" w:eastAsia="Times New Roman" w:hAnsi="Times New Roman"/>
                    <w:sz w:val="18"/>
                    <w:szCs w:val="18"/>
                    <w:lang w:eastAsia="es-CO"/>
                  </w:rPr>
                  <w:t>5</w:t>
                </w:r>
              </w:p>
            </w:tc>
            <w:tc>
              <w:tcPr>
                <w:tcW w:w="813" w:type="pct"/>
                <w:shd w:val="clear" w:color="auto" w:fill="auto"/>
                <w:noWrap/>
                <w:vAlign w:val="center"/>
                <w:hideMark/>
              </w:tcPr>
              <w:p w14:paraId="4AA990BA" w14:textId="10AA791C" w:rsidR="007A426D" w:rsidRPr="007A426D" w:rsidRDefault="007A426D" w:rsidP="00093876">
                <w:pPr>
                  <w:spacing w:after="0" w:line="240" w:lineRule="auto"/>
                  <w:jc w:val="center"/>
                  <w:rPr>
                    <w:rFonts w:ascii="Times New Roman" w:eastAsia="Times New Roman" w:hAnsi="Times New Roman"/>
                    <w:sz w:val="18"/>
                    <w:szCs w:val="18"/>
                    <w:lang w:eastAsia="es-CO"/>
                  </w:rPr>
                </w:pPr>
                <w:r w:rsidRPr="007A426D">
                  <w:rPr>
                    <w:rFonts w:ascii="Times New Roman" w:eastAsia="Times New Roman" w:hAnsi="Times New Roman"/>
                    <w:sz w:val="18"/>
                    <w:szCs w:val="18"/>
                    <w:lang w:eastAsia="es-CO"/>
                  </w:rPr>
                  <w:t>15</w:t>
                </w:r>
              </w:p>
            </w:tc>
          </w:tr>
          <w:tr w:rsidR="007A426D" w:rsidRPr="007A426D" w14:paraId="00EFBB28" w14:textId="77777777" w:rsidTr="00093876">
            <w:trPr>
              <w:trHeight w:val="300"/>
            </w:trPr>
            <w:tc>
              <w:tcPr>
                <w:tcW w:w="432" w:type="pct"/>
                <w:vMerge/>
                <w:vAlign w:val="center"/>
                <w:hideMark/>
              </w:tcPr>
              <w:p w14:paraId="43820ACC" w14:textId="77777777" w:rsidR="007A426D" w:rsidRPr="007A426D" w:rsidRDefault="007A426D" w:rsidP="007A426D">
                <w:pPr>
                  <w:spacing w:after="0" w:line="240" w:lineRule="auto"/>
                  <w:rPr>
                    <w:rFonts w:ascii="Times New Roman" w:eastAsia="Times New Roman" w:hAnsi="Times New Roman"/>
                    <w:b/>
                    <w:bCs/>
                    <w:sz w:val="18"/>
                    <w:szCs w:val="18"/>
                    <w:lang w:eastAsia="es-CO"/>
                  </w:rPr>
                </w:pPr>
              </w:p>
            </w:tc>
            <w:tc>
              <w:tcPr>
                <w:tcW w:w="2942" w:type="pct"/>
                <w:shd w:val="clear" w:color="auto" w:fill="auto"/>
                <w:vAlign w:val="center"/>
                <w:hideMark/>
              </w:tcPr>
              <w:p w14:paraId="6EE51A89" w14:textId="77777777" w:rsidR="007A426D" w:rsidRPr="007A426D" w:rsidRDefault="007A426D" w:rsidP="007A426D">
                <w:pPr>
                  <w:spacing w:after="0" w:line="240" w:lineRule="auto"/>
                  <w:rPr>
                    <w:rFonts w:ascii="Times New Roman" w:eastAsia="Times New Roman" w:hAnsi="Times New Roman"/>
                    <w:sz w:val="18"/>
                    <w:szCs w:val="18"/>
                    <w:lang w:eastAsia="es-CO"/>
                  </w:rPr>
                </w:pPr>
                <w:r w:rsidRPr="007A426D">
                  <w:rPr>
                    <w:rFonts w:ascii="Times New Roman" w:eastAsia="Times New Roman" w:hAnsi="Times New Roman"/>
                    <w:sz w:val="18"/>
                    <w:szCs w:val="18"/>
                    <w:lang w:eastAsia="es-CO"/>
                  </w:rPr>
                  <w:t>Equipos de comedor, cocina, despensa y hotelería</w:t>
                </w:r>
              </w:p>
            </w:tc>
            <w:tc>
              <w:tcPr>
                <w:tcW w:w="813" w:type="pct"/>
                <w:shd w:val="clear" w:color="auto" w:fill="auto"/>
                <w:noWrap/>
                <w:vAlign w:val="center"/>
                <w:hideMark/>
              </w:tcPr>
              <w:p w14:paraId="6637DF38" w14:textId="2A49C5EB" w:rsidR="007A426D" w:rsidRPr="007A426D" w:rsidRDefault="007A426D" w:rsidP="00093876">
                <w:pPr>
                  <w:spacing w:after="0" w:line="240" w:lineRule="auto"/>
                  <w:jc w:val="center"/>
                  <w:rPr>
                    <w:rFonts w:ascii="Times New Roman" w:eastAsia="Times New Roman" w:hAnsi="Times New Roman"/>
                    <w:sz w:val="18"/>
                    <w:szCs w:val="18"/>
                    <w:lang w:eastAsia="es-CO"/>
                  </w:rPr>
                </w:pPr>
                <w:r w:rsidRPr="007A426D">
                  <w:rPr>
                    <w:rFonts w:ascii="Times New Roman" w:eastAsia="Times New Roman" w:hAnsi="Times New Roman"/>
                    <w:sz w:val="18"/>
                    <w:szCs w:val="18"/>
                    <w:lang w:eastAsia="es-CO"/>
                  </w:rPr>
                  <w:t>10</w:t>
                </w:r>
              </w:p>
            </w:tc>
            <w:tc>
              <w:tcPr>
                <w:tcW w:w="813" w:type="pct"/>
                <w:shd w:val="clear" w:color="auto" w:fill="auto"/>
                <w:noWrap/>
                <w:vAlign w:val="center"/>
                <w:hideMark/>
              </w:tcPr>
              <w:p w14:paraId="087B6574" w14:textId="41235DAC" w:rsidR="007A426D" w:rsidRPr="007A426D" w:rsidRDefault="007A426D" w:rsidP="00093876">
                <w:pPr>
                  <w:spacing w:after="0" w:line="240" w:lineRule="auto"/>
                  <w:jc w:val="center"/>
                  <w:rPr>
                    <w:rFonts w:ascii="Times New Roman" w:eastAsia="Times New Roman" w:hAnsi="Times New Roman"/>
                    <w:sz w:val="18"/>
                    <w:szCs w:val="18"/>
                    <w:lang w:eastAsia="es-CO"/>
                  </w:rPr>
                </w:pPr>
                <w:r w:rsidRPr="007A426D">
                  <w:rPr>
                    <w:rFonts w:ascii="Times New Roman" w:eastAsia="Times New Roman" w:hAnsi="Times New Roman"/>
                    <w:sz w:val="18"/>
                    <w:szCs w:val="18"/>
                    <w:lang w:eastAsia="es-CO"/>
                  </w:rPr>
                  <w:t>15</w:t>
                </w:r>
              </w:p>
            </w:tc>
          </w:tr>
          <w:tr w:rsidR="007A426D" w:rsidRPr="007A426D" w14:paraId="48B5AE9E" w14:textId="77777777" w:rsidTr="00093876">
            <w:trPr>
              <w:trHeight w:val="300"/>
            </w:trPr>
            <w:tc>
              <w:tcPr>
                <w:tcW w:w="432" w:type="pct"/>
                <w:vMerge w:val="restart"/>
                <w:shd w:val="clear" w:color="auto" w:fill="auto"/>
                <w:noWrap/>
                <w:textDirection w:val="btLr"/>
                <w:vAlign w:val="center"/>
                <w:hideMark/>
              </w:tcPr>
              <w:p w14:paraId="07EBA0DC" w14:textId="77777777" w:rsidR="007A426D" w:rsidRPr="007A426D" w:rsidRDefault="007A426D" w:rsidP="007A426D">
                <w:pPr>
                  <w:spacing w:after="0" w:line="240" w:lineRule="auto"/>
                  <w:jc w:val="center"/>
                  <w:rPr>
                    <w:rFonts w:ascii="Times New Roman" w:eastAsia="Times New Roman" w:hAnsi="Times New Roman"/>
                    <w:b/>
                    <w:bCs/>
                    <w:sz w:val="18"/>
                    <w:szCs w:val="18"/>
                    <w:lang w:eastAsia="es-CO"/>
                  </w:rPr>
                </w:pPr>
                <w:r w:rsidRPr="007A426D">
                  <w:rPr>
                    <w:rFonts w:ascii="Times New Roman" w:eastAsia="Times New Roman" w:hAnsi="Times New Roman"/>
                    <w:b/>
                    <w:bCs/>
                    <w:sz w:val="18"/>
                    <w:szCs w:val="18"/>
                    <w:lang w:eastAsia="es-CO"/>
                  </w:rPr>
                  <w:lastRenderedPageBreak/>
                  <w:t>INMUEBLES</w:t>
                </w:r>
              </w:p>
            </w:tc>
            <w:tc>
              <w:tcPr>
                <w:tcW w:w="2942" w:type="pct"/>
                <w:shd w:val="clear" w:color="auto" w:fill="auto"/>
                <w:vAlign w:val="center"/>
                <w:hideMark/>
              </w:tcPr>
              <w:p w14:paraId="7586DBA8" w14:textId="77777777" w:rsidR="007A426D" w:rsidRPr="007A426D" w:rsidRDefault="007A426D" w:rsidP="007A426D">
                <w:pPr>
                  <w:spacing w:after="0" w:line="240" w:lineRule="auto"/>
                  <w:rPr>
                    <w:rFonts w:ascii="Times New Roman" w:eastAsia="Times New Roman" w:hAnsi="Times New Roman"/>
                    <w:sz w:val="18"/>
                    <w:szCs w:val="18"/>
                    <w:lang w:eastAsia="es-CO"/>
                  </w:rPr>
                </w:pPr>
                <w:r w:rsidRPr="007A426D">
                  <w:rPr>
                    <w:rFonts w:ascii="Times New Roman" w:eastAsia="Times New Roman" w:hAnsi="Times New Roman"/>
                    <w:sz w:val="18"/>
                    <w:szCs w:val="18"/>
                    <w:lang w:eastAsia="es-CO"/>
                  </w:rPr>
                  <w:t>Terrenos</w:t>
                </w:r>
              </w:p>
            </w:tc>
            <w:tc>
              <w:tcPr>
                <w:tcW w:w="813" w:type="pct"/>
                <w:shd w:val="clear" w:color="auto" w:fill="auto"/>
                <w:noWrap/>
                <w:vAlign w:val="center"/>
                <w:hideMark/>
              </w:tcPr>
              <w:p w14:paraId="51A5A92A" w14:textId="56C46D08" w:rsidR="007A426D" w:rsidRPr="007A426D" w:rsidRDefault="007A426D" w:rsidP="00093876">
                <w:pPr>
                  <w:spacing w:after="0" w:line="240" w:lineRule="auto"/>
                  <w:jc w:val="center"/>
                  <w:rPr>
                    <w:rFonts w:ascii="Times New Roman" w:eastAsia="Times New Roman" w:hAnsi="Times New Roman"/>
                    <w:sz w:val="18"/>
                    <w:szCs w:val="18"/>
                    <w:lang w:eastAsia="es-CO"/>
                  </w:rPr>
                </w:pPr>
                <w:r w:rsidRPr="007A426D">
                  <w:rPr>
                    <w:rFonts w:ascii="Times New Roman" w:eastAsia="Times New Roman" w:hAnsi="Times New Roman"/>
                    <w:sz w:val="18"/>
                    <w:szCs w:val="18"/>
                    <w:lang w:eastAsia="es-CO"/>
                  </w:rPr>
                  <w:t>-</w:t>
                </w:r>
              </w:p>
            </w:tc>
            <w:tc>
              <w:tcPr>
                <w:tcW w:w="813" w:type="pct"/>
                <w:shd w:val="clear" w:color="auto" w:fill="auto"/>
                <w:noWrap/>
                <w:vAlign w:val="center"/>
                <w:hideMark/>
              </w:tcPr>
              <w:p w14:paraId="5B578C7E" w14:textId="7D93187C" w:rsidR="007A426D" w:rsidRPr="007A426D" w:rsidRDefault="007A426D" w:rsidP="00093876">
                <w:pPr>
                  <w:spacing w:after="0" w:line="240" w:lineRule="auto"/>
                  <w:jc w:val="center"/>
                  <w:rPr>
                    <w:rFonts w:ascii="Times New Roman" w:eastAsia="Times New Roman" w:hAnsi="Times New Roman"/>
                    <w:sz w:val="18"/>
                    <w:szCs w:val="18"/>
                    <w:lang w:eastAsia="es-CO"/>
                  </w:rPr>
                </w:pPr>
                <w:r w:rsidRPr="007A426D">
                  <w:rPr>
                    <w:rFonts w:ascii="Times New Roman" w:eastAsia="Times New Roman" w:hAnsi="Times New Roman"/>
                    <w:sz w:val="18"/>
                    <w:szCs w:val="18"/>
                    <w:lang w:eastAsia="es-CO"/>
                  </w:rPr>
                  <w:t>-</w:t>
                </w:r>
              </w:p>
            </w:tc>
          </w:tr>
          <w:tr w:rsidR="007A426D" w:rsidRPr="007A426D" w14:paraId="452BB980" w14:textId="77777777" w:rsidTr="00093876">
            <w:trPr>
              <w:trHeight w:val="300"/>
            </w:trPr>
            <w:tc>
              <w:tcPr>
                <w:tcW w:w="432" w:type="pct"/>
                <w:vMerge/>
                <w:vAlign w:val="center"/>
                <w:hideMark/>
              </w:tcPr>
              <w:p w14:paraId="7CF8AC00" w14:textId="77777777" w:rsidR="007A426D" w:rsidRPr="007A426D" w:rsidRDefault="007A426D" w:rsidP="007A426D">
                <w:pPr>
                  <w:spacing w:after="0" w:line="240" w:lineRule="auto"/>
                  <w:rPr>
                    <w:rFonts w:ascii="Times New Roman" w:eastAsia="Times New Roman" w:hAnsi="Times New Roman"/>
                    <w:b/>
                    <w:bCs/>
                    <w:sz w:val="18"/>
                    <w:szCs w:val="18"/>
                    <w:lang w:eastAsia="es-CO"/>
                  </w:rPr>
                </w:pPr>
              </w:p>
            </w:tc>
            <w:tc>
              <w:tcPr>
                <w:tcW w:w="2942" w:type="pct"/>
                <w:shd w:val="clear" w:color="auto" w:fill="auto"/>
                <w:vAlign w:val="center"/>
                <w:hideMark/>
              </w:tcPr>
              <w:p w14:paraId="6AEB7C93" w14:textId="77777777" w:rsidR="007A426D" w:rsidRPr="007A426D" w:rsidRDefault="007A426D" w:rsidP="007A426D">
                <w:pPr>
                  <w:spacing w:after="0" w:line="240" w:lineRule="auto"/>
                  <w:rPr>
                    <w:rFonts w:ascii="Times New Roman" w:eastAsia="Times New Roman" w:hAnsi="Times New Roman"/>
                    <w:sz w:val="18"/>
                    <w:szCs w:val="18"/>
                    <w:lang w:eastAsia="es-CO"/>
                  </w:rPr>
                </w:pPr>
                <w:r w:rsidRPr="007A426D">
                  <w:rPr>
                    <w:rFonts w:ascii="Times New Roman" w:eastAsia="Times New Roman" w:hAnsi="Times New Roman"/>
                    <w:sz w:val="18"/>
                    <w:szCs w:val="18"/>
                    <w:lang w:eastAsia="es-CO"/>
                  </w:rPr>
                  <w:t>Edificaciones</w:t>
                </w:r>
              </w:p>
            </w:tc>
            <w:tc>
              <w:tcPr>
                <w:tcW w:w="813" w:type="pct"/>
                <w:shd w:val="clear" w:color="auto" w:fill="auto"/>
                <w:noWrap/>
                <w:vAlign w:val="center"/>
                <w:hideMark/>
              </w:tcPr>
              <w:p w14:paraId="671707EA" w14:textId="3F1CDF69" w:rsidR="007A426D" w:rsidRPr="007A426D" w:rsidRDefault="007A426D" w:rsidP="00093876">
                <w:pPr>
                  <w:spacing w:after="0" w:line="240" w:lineRule="auto"/>
                  <w:jc w:val="center"/>
                  <w:rPr>
                    <w:rFonts w:ascii="Times New Roman" w:eastAsia="Times New Roman" w:hAnsi="Times New Roman"/>
                    <w:sz w:val="18"/>
                    <w:szCs w:val="18"/>
                    <w:lang w:eastAsia="es-CO"/>
                  </w:rPr>
                </w:pPr>
                <w:r w:rsidRPr="007A426D">
                  <w:rPr>
                    <w:rFonts w:ascii="Times New Roman" w:eastAsia="Times New Roman" w:hAnsi="Times New Roman"/>
                    <w:sz w:val="18"/>
                    <w:szCs w:val="18"/>
                    <w:lang w:eastAsia="es-CO"/>
                  </w:rPr>
                  <w:t>50</w:t>
                </w:r>
              </w:p>
            </w:tc>
            <w:tc>
              <w:tcPr>
                <w:tcW w:w="813" w:type="pct"/>
                <w:shd w:val="clear" w:color="auto" w:fill="auto"/>
                <w:noWrap/>
                <w:vAlign w:val="center"/>
                <w:hideMark/>
              </w:tcPr>
              <w:p w14:paraId="7997873A" w14:textId="72206BCB" w:rsidR="007A426D" w:rsidRPr="007A426D" w:rsidRDefault="007A426D" w:rsidP="00093876">
                <w:pPr>
                  <w:spacing w:after="0" w:line="240" w:lineRule="auto"/>
                  <w:jc w:val="center"/>
                  <w:rPr>
                    <w:rFonts w:ascii="Times New Roman" w:eastAsia="Times New Roman" w:hAnsi="Times New Roman"/>
                    <w:sz w:val="18"/>
                    <w:szCs w:val="18"/>
                    <w:lang w:eastAsia="es-CO"/>
                  </w:rPr>
                </w:pPr>
                <w:r w:rsidRPr="007A426D">
                  <w:rPr>
                    <w:rFonts w:ascii="Times New Roman" w:eastAsia="Times New Roman" w:hAnsi="Times New Roman"/>
                    <w:sz w:val="18"/>
                    <w:szCs w:val="18"/>
                    <w:lang w:eastAsia="es-CO"/>
                  </w:rPr>
                  <w:t>100</w:t>
                </w:r>
              </w:p>
            </w:tc>
          </w:tr>
          <w:tr w:rsidR="007A426D" w:rsidRPr="007A426D" w14:paraId="592AAD02" w14:textId="77777777" w:rsidTr="00093876">
            <w:trPr>
              <w:trHeight w:val="300"/>
            </w:trPr>
            <w:tc>
              <w:tcPr>
                <w:tcW w:w="432" w:type="pct"/>
                <w:vMerge/>
                <w:vAlign w:val="center"/>
                <w:hideMark/>
              </w:tcPr>
              <w:p w14:paraId="3978400A" w14:textId="77777777" w:rsidR="007A426D" w:rsidRPr="007A426D" w:rsidRDefault="007A426D" w:rsidP="007A426D">
                <w:pPr>
                  <w:spacing w:after="0" w:line="240" w:lineRule="auto"/>
                  <w:rPr>
                    <w:rFonts w:ascii="Times New Roman" w:eastAsia="Times New Roman" w:hAnsi="Times New Roman"/>
                    <w:b/>
                    <w:bCs/>
                    <w:sz w:val="18"/>
                    <w:szCs w:val="18"/>
                    <w:lang w:eastAsia="es-CO"/>
                  </w:rPr>
                </w:pPr>
              </w:p>
            </w:tc>
            <w:tc>
              <w:tcPr>
                <w:tcW w:w="2942" w:type="pct"/>
                <w:shd w:val="clear" w:color="auto" w:fill="auto"/>
                <w:vAlign w:val="center"/>
                <w:hideMark/>
              </w:tcPr>
              <w:p w14:paraId="553D7F9F" w14:textId="77777777" w:rsidR="007A426D" w:rsidRPr="007A426D" w:rsidRDefault="007A426D" w:rsidP="007A426D">
                <w:pPr>
                  <w:spacing w:after="0" w:line="240" w:lineRule="auto"/>
                  <w:rPr>
                    <w:rFonts w:ascii="Times New Roman" w:eastAsia="Times New Roman" w:hAnsi="Times New Roman"/>
                    <w:sz w:val="18"/>
                    <w:szCs w:val="18"/>
                    <w:lang w:eastAsia="es-CO"/>
                  </w:rPr>
                </w:pPr>
                <w:r w:rsidRPr="007A426D">
                  <w:rPr>
                    <w:rFonts w:ascii="Times New Roman" w:eastAsia="Times New Roman" w:hAnsi="Times New Roman"/>
                    <w:sz w:val="18"/>
                    <w:szCs w:val="18"/>
                    <w:lang w:eastAsia="es-CO"/>
                  </w:rPr>
                  <w:t>Redes, líneas y cables</w:t>
                </w:r>
              </w:p>
            </w:tc>
            <w:tc>
              <w:tcPr>
                <w:tcW w:w="813" w:type="pct"/>
                <w:shd w:val="clear" w:color="auto" w:fill="auto"/>
                <w:noWrap/>
                <w:vAlign w:val="center"/>
                <w:hideMark/>
              </w:tcPr>
              <w:p w14:paraId="3355D53F" w14:textId="4A2F8AC1" w:rsidR="007A426D" w:rsidRPr="007A426D" w:rsidRDefault="007A426D" w:rsidP="00093876">
                <w:pPr>
                  <w:spacing w:after="0" w:line="240" w:lineRule="auto"/>
                  <w:jc w:val="center"/>
                  <w:rPr>
                    <w:rFonts w:ascii="Times New Roman" w:eastAsia="Times New Roman" w:hAnsi="Times New Roman"/>
                    <w:sz w:val="18"/>
                    <w:szCs w:val="18"/>
                    <w:lang w:eastAsia="es-CO"/>
                  </w:rPr>
                </w:pPr>
                <w:r w:rsidRPr="007A426D">
                  <w:rPr>
                    <w:rFonts w:ascii="Times New Roman" w:eastAsia="Times New Roman" w:hAnsi="Times New Roman"/>
                    <w:sz w:val="18"/>
                    <w:szCs w:val="18"/>
                    <w:lang w:eastAsia="es-CO"/>
                  </w:rPr>
                  <w:t>15</w:t>
                </w:r>
              </w:p>
            </w:tc>
            <w:tc>
              <w:tcPr>
                <w:tcW w:w="813" w:type="pct"/>
                <w:shd w:val="clear" w:color="auto" w:fill="auto"/>
                <w:noWrap/>
                <w:vAlign w:val="center"/>
                <w:hideMark/>
              </w:tcPr>
              <w:p w14:paraId="7EE2AD98" w14:textId="78A68645" w:rsidR="007A426D" w:rsidRPr="007A426D" w:rsidRDefault="007A426D" w:rsidP="00093876">
                <w:pPr>
                  <w:spacing w:after="0" w:line="240" w:lineRule="auto"/>
                  <w:jc w:val="center"/>
                  <w:rPr>
                    <w:rFonts w:ascii="Times New Roman" w:eastAsia="Times New Roman" w:hAnsi="Times New Roman"/>
                    <w:sz w:val="18"/>
                    <w:szCs w:val="18"/>
                    <w:lang w:eastAsia="es-CO"/>
                  </w:rPr>
                </w:pPr>
                <w:r w:rsidRPr="007A426D">
                  <w:rPr>
                    <w:rFonts w:ascii="Times New Roman" w:eastAsia="Times New Roman" w:hAnsi="Times New Roman"/>
                    <w:sz w:val="18"/>
                    <w:szCs w:val="18"/>
                    <w:lang w:eastAsia="es-CO"/>
                  </w:rPr>
                  <w:t>25</w:t>
                </w:r>
              </w:p>
            </w:tc>
          </w:tr>
          <w:tr w:rsidR="007A426D" w:rsidRPr="007A426D" w14:paraId="36C96883" w14:textId="77777777" w:rsidTr="00093876">
            <w:trPr>
              <w:trHeight w:val="330"/>
            </w:trPr>
            <w:tc>
              <w:tcPr>
                <w:tcW w:w="432" w:type="pct"/>
                <w:vMerge/>
                <w:vAlign w:val="center"/>
                <w:hideMark/>
              </w:tcPr>
              <w:p w14:paraId="553C0B41" w14:textId="77777777" w:rsidR="007A426D" w:rsidRPr="007A426D" w:rsidRDefault="007A426D" w:rsidP="007A426D">
                <w:pPr>
                  <w:spacing w:after="0" w:line="240" w:lineRule="auto"/>
                  <w:rPr>
                    <w:rFonts w:ascii="Times New Roman" w:eastAsia="Times New Roman" w:hAnsi="Times New Roman"/>
                    <w:b/>
                    <w:bCs/>
                    <w:sz w:val="18"/>
                    <w:szCs w:val="18"/>
                    <w:lang w:eastAsia="es-CO"/>
                  </w:rPr>
                </w:pPr>
              </w:p>
            </w:tc>
            <w:tc>
              <w:tcPr>
                <w:tcW w:w="2942" w:type="pct"/>
                <w:shd w:val="clear" w:color="auto" w:fill="auto"/>
                <w:vAlign w:val="center"/>
                <w:hideMark/>
              </w:tcPr>
              <w:p w14:paraId="7B889B2B" w14:textId="77777777" w:rsidR="007A426D" w:rsidRPr="007A426D" w:rsidRDefault="007A426D" w:rsidP="007A426D">
                <w:pPr>
                  <w:spacing w:after="0" w:line="240" w:lineRule="auto"/>
                  <w:rPr>
                    <w:rFonts w:ascii="Times New Roman" w:eastAsia="Times New Roman" w:hAnsi="Times New Roman"/>
                    <w:sz w:val="18"/>
                    <w:szCs w:val="18"/>
                    <w:lang w:eastAsia="es-CO"/>
                  </w:rPr>
                </w:pPr>
                <w:r w:rsidRPr="007A426D">
                  <w:rPr>
                    <w:rFonts w:ascii="Times New Roman" w:eastAsia="Times New Roman" w:hAnsi="Times New Roman"/>
                    <w:sz w:val="18"/>
                    <w:szCs w:val="18"/>
                    <w:lang w:eastAsia="es-CO"/>
                  </w:rPr>
                  <w:t>Otros bienes inmuebles</w:t>
                </w:r>
              </w:p>
            </w:tc>
            <w:tc>
              <w:tcPr>
                <w:tcW w:w="813" w:type="pct"/>
                <w:shd w:val="clear" w:color="auto" w:fill="auto"/>
                <w:noWrap/>
                <w:vAlign w:val="center"/>
                <w:hideMark/>
              </w:tcPr>
              <w:p w14:paraId="42B5C9AA" w14:textId="0D8DEC3C" w:rsidR="007A426D" w:rsidRPr="007A426D" w:rsidRDefault="007A426D" w:rsidP="00093876">
                <w:pPr>
                  <w:spacing w:after="0" w:line="240" w:lineRule="auto"/>
                  <w:jc w:val="center"/>
                  <w:rPr>
                    <w:rFonts w:ascii="Times New Roman" w:eastAsia="Times New Roman" w:hAnsi="Times New Roman"/>
                    <w:sz w:val="18"/>
                    <w:szCs w:val="18"/>
                    <w:lang w:eastAsia="es-CO"/>
                  </w:rPr>
                </w:pPr>
                <w:r w:rsidRPr="007A426D">
                  <w:rPr>
                    <w:rFonts w:ascii="Times New Roman" w:eastAsia="Times New Roman" w:hAnsi="Times New Roman"/>
                    <w:sz w:val="18"/>
                    <w:szCs w:val="18"/>
                    <w:lang w:eastAsia="es-CO"/>
                  </w:rPr>
                  <w:t>-</w:t>
                </w:r>
              </w:p>
            </w:tc>
            <w:tc>
              <w:tcPr>
                <w:tcW w:w="813" w:type="pct"/>
                <w:shd w:val="clear" w:color="auto" w:fill="auto"/>
                <w:noWrap/>
                <w:vAlign w:val="center"/>
                <w:hideMark/>
              </w:tcPr>
              <w:p w14:paraId="53066123" w14:textId="2BEB70F4" w:rsidR="007A426D" w:rsidRPr="007A426D" w:rsidRDefault="007A426D" w:rsidP="00093876">
                <w:pPr>
                  <w:spacing w:after="0" w:line="240" w:lineRule="auto"/>
                  <w:jc w:val="center"/>
                  <w:rPr>
                    <w:rFonts w:ascii="Times New Roman" w:eastAsia="Times New Roman" w:hAnsi="Times New Roman"/>
                    <w:sz w:val="18"/>
                    <w:szCs w:val="18"/>
                    <w:lang w:eastAsia="es-CO"/>
                  </w:rPr>
                </w:pPr>
                <w:r w:rsidRPr="007A426D">
                  <w:rPr>
                    <w:rFonts w:ascii="Times New Roman" w:eastAsia="Times New Roman" w:hAnsi="Times New Roman"/>
                    <w:sz w:val="18"/>
                    <w:szCs w:val="18"/>
                    <w:lang w:eastAsia="es-CO"/>
                  </w:rPr>
                  <w:t>-</w:t>
                </w:r>
              </w:p>
            </w:tc>
          </w:tr>
        </w:tbl>
        <w:p w14:paraId="2A875EE7" w14:textId="53FEC7D8" w:rsidR="00A251D9" w:rsidRPr="00931DCE" w:rsidRDefault="00A251D9" w:rsidP="004A000E">
          <w:pPr>
            <w:spacing w:after="0" w:line="240" w:lineRule="auto"/>
            <w:jc w:val="both"/>
            <w:rPr>
              <w:rFonts w:ascii="Times New Roman" w:hAnsi="Times New Roman"/>
              <w:sz w:val="24"/>
              <w:szCs w:val="24"/>
            </w:rPr>
          </w:pPr>
        </w:p>
        <w:p w14:paraId="046B24E4" w14:textId="0A924F3B" w:rsidR="007A3020" w:rsidRPr="00931DCE" w:rsidRDefault="00A251D9" w:rsidP="004A000E">
          <w:pPr>
            <w:autoSpaceDE w:val="0"/>
            <w:autoSpaceDN w:val="0"/>
            <w:adjustRightInd w:val="0"/>
            <w:spacing w:after="0" w:line="240" w:lineRule="auto"/>
            <w:jc w:val="both"/>
            <w:rPr>
              <w:rFonts w:ascii="Times New Roman" w:hAnsi="Times New Roman"/>
              <w:sz w:val="24"/>
              <w:szCs w:val="24"/>
              <w:lang w:eastAsia="es-CO"/>
            </w:rPr>
          </w:pPr>
          <w:r w:rsidRPr="00931DCE">
            <w:rPr>
              <w:rFonts w:ascii="Times New Roman" w:hAnsi="Times New Roman"/>
              <w:sz w:val="24"/>
              <w:szCs w:val="24"/>
              <w:lang w:eastAsia="es-CO"/>
            </w:rPr>
            <w:t>En cuanto al valor residual de los bienes muebles,</w:t>
          </w:r>
          <w:r w:rsidR="004E0D48" w:rsidRPr="00931DCE">
            <w:rPr>
              <w:rFonts w:ascii="Times New Roman" w:hAnsi="Times New Roman"/>
              <w:sz w:val="24"/>
              <w:szCs w:val="24"/>
              <w:lang w:eastAsia="es-CO"/>
            </w:rPr>
            <w:t xml:space="preserve"> </w:t>
          </w:r>
          <w:r w:rsidR="00213B85" w:rsidRPr="00931DCE">
            <w:rPr>
              <w:rFonts w:ascii="Times New Roman" w:hAnsi="Times New Roman"/>
              <w:sz w:val="24"/>
              <w:szCs w:val="24"/>
              <w:lang w:eastAsia="es-CO"/>
            </w:rPr>
            <w:t xml:space="preserve">se tiene previsto que los beneficios económicos o su potencial de servicio se </w:t>
          </w:r>
          <w:r w:rsidRPr="00931DCE">
            <w:rPr>
              <w:rFonts w:ascii="Times New Roman" w:hAnsi="Times New Roman"/>
              <w:sz w:val="24"/>
              <w:szCs w:val="24"/>
              <w:lang w:eastAsia="es-CO"/>
            </w:rPr>
            <w:t>consum</w:t>
          </w:r>
          <w:r w:rsidR="008D3276" w:rsidRPr="00931DCE">
            <w:rPr>
              <w:rFonts w:ascii="Times New Roman" w:hAnsi="Times New Roman"/>
              <w:sz w:val="24"/>
              <w:szCs w:val="24"/>
              <w:lang w:eastAsia="es-CO"/>
            </w:rPr>
            <w:t>a</w:t>
          </w:r>
          <w:r w:rsidRPr="00931DCE">
            <w:rPr>
              <w:rFonts w:ascii="Times New Roman" w:hAnsi="Times New Roman"/>
              <w:sz w:val="24"/>
              <w:szCs w:val="24"/>
              <w:lang w:eastAsia="es-CO"/>
            </w:rPr>
            <w:t>n en forma</w:t>
          </w:r>
          <w:r w:rsidR="004E0D48" w:rsidRPr="00931DCE">
            <w:rPr>
              <w:rFonts w:ascii="Times New Roman" w:hAnsi="Times New Roman"/>
              <w:sz w:val="24"/>
              <w:szCs w:val="24"/>
              <w:lang w:eastAsia="es-CO"/>
            </w:rPr>
            <w:t xml:space="preserve"> </w:t>
          </w:r>
          <w:r w:rsidRPr="00931DCE">
            <w:rPr>
              <w:rFonts w:ascii="Times New Roman" w:hAnsi="Times New Roman"/>
              <w:sz w:val="24"/>
              <w:szCs w:val="24"/>
              <w:lang w:eastAsia="es-CO"/>
            </w:rPr>
            <w:t>significativa y no esperan al final de la vida útil obtener ningún flujo económico,</w:t>
          </w:r>
          <w:r w:rsidR="004E0D48" w:rsidRPr="00931DCE">
            <w:rPr>
              <w:rFonts w:ascii="Times New Roman" w:hAnsi="Times New Roman"/>
              <w:sz w:val="24"/>
              <w:szCs w:val="24"/>
              <w:lang w:eastAsia="es-CO"/>
            </w:rPr>
            <w:t xml:space="preserve"> </w:t>
          </w:r>
          <w:r w:rsidRPr="00931DCE">
            <w:rPr>
              <w:rFonts w:ascii="Times New Roman" w:hAnsi="Times New Roman"/>
              <w:sz w:val="24"/>
              <w:szCs w:val="24"/>
              <w:lang w:eastAsia="es-CO"/>
            </w:rPr>
            <w:t>por lo cual el valor residual es cero</w:t>
          </w:r>
          <w:r w:rsidR="007A3020" w:rsidRPr="00931DCE">
            <w:rPr>
              <w:rFonts w:ascii="Times New Roman" w:hAnsi="Times New Roman"/>
              <w:sz w:val="24"/>
              <w:szCs w:val="24"/>
              <w:lang w:eastAsia="es-CO"/>
            </w:rPr>
            <w:t>.</w:t>
          </w:r>
        </w:p>
        <w:p w14:paraId="29F63AFD" w14:textId="77777777" w:rsidR="00F1538A" w:rsidRPr="00931DCE" w:rsidRDefault="00F1538A" w:rsidP="004A000E">
          <w:pPr>
            <w:autoSpaceDE w:val="0"/>
            <w:autoSpaceDN w:val="0"/>
            <w:adjustRightInd w:val="0"/>
            <w:spacing w:after="0" w:line="240" w:lineRule="auto"/>
            <w:jc w:val="both"/>
            <w:rPr>
              <w:rFonts w:ascii="Times New Roman" w:hAnsi="Times New Roman"/>
              <w:sz w:val="24"/>
              <w:szCs w:val="24"/>
              <w:lang w:eastAsia="es-CO"/>
            </w:rPr>
          </w:pPr>
        </w:p>
        <w:p w14:paraId="298F474A" w14:textId="720B51C7" w:rsidR="005A44E0" w:rsidRPr="00931DCE" w:rsidRDefault="007A3020" w:rsidP="004A000E">
          <w:pPr>
            <w:spacing w:after="0" w:line="240" w:lineRule="auto"/>
            <w:jc w:val="both"/>
            <w:rPr>
              <w:rFonts w:ascii="Times New Roman" w:hAnsi="Times New Roman"/>
              <w:sz w:val="24"/>
              <w:szCs w:val="24"/>
              <w:lang w:eastAsia="es-CO"/>
            </w:rPr>
          </w:pPr>
          <w:r w:rsidRPr="00931DCE">
            <w:rPr>
              <w:rFonts w:ascii="Times New Roman" w:hAnsi="Times New Roman"/>
              <w:sz w:val="24"/>
              <w:szCs w:val="24"/>
              <w:lang w:eastAsia="es-CO"/>
            </w:rPr>
            <w:t>Para la vigencia 202</w:t>
          </w:r>
          <w:r w:rsidR="00010FC0">
            <w:rPr>
              <w:rFonts w:ascii="Times New Roman" w:hAnsi="Times New Roman"/>
              <w:sz w:val="24"/>
              <w:szCs w:val="24"/>
              <w:lang w:eastAsia="es-CO"/>
            </w:rPr>
            <w:t>3</w:t>
          </w:r>
          <w:r w:rsidRPr="00931DCE">
            <w:rPr>
              <w:rFonts w:ascii="Times New Roman" w:hAnsi="Times New Roman"/>
              <w:sz w:val="24"/>
              <w:szCs w:val="24"/>
              <w:lang w:eastAsia="es-CO"/>
            </w:rPr>
            <w:t xml:space="preserve"> no </w:t>
          </w:r>
          <w:r w:rsidR="00390B63" w:rsidRPr="00931DCE">
            <w:rPr>
              <w:rFonts w:ascii="Times New Roman" w:hAnsi="Times New Roman"/>
              <w:sz w:val="24"/>
              <w:szCs w:val="24"/>
              <w:lang w:eastAsia="es-CO"/>
            </w:rPr>
            <w:t>se presentaron</w:t>
          </w:r>
          <w:r w:rsidRPr="00931DCE">
            <w:rPr>
              <w:rFonts w:ascii="Times New Roman" w:hAnsi="Times New Roman"/>
              <w:sz w:val="24"/>
              <w:szCs w:val="24"/>
              <w:lang w:eastAsia="es-CO"/>
            </w:rPr>
            <w:t xml:space="preserve"> indicio</w:t>
          </w:r>
          <w:r w:rsidR="00390B63" w:rsidRPr="00931DCE">
            <w:rPr>
              <w:rFonts w:ascii="Times New Roman" w:hAnsi="Times New Roman"/>
              <w:sz w:val="24"/>
              <w:szCs w:val="24"/>
              <w:lang w:eastAsia="es-CO"/>
            </w:rPr>
            <w:t>s</w:t>
          </w:r>
          <w:r w:rsidRPr="00931DCE">
            <w:rPr>
              <w:rFonts w:ascii="Times New Roman" w:hAnsi="Times New Roman"/>
              <w:sz w:val="24"/>
              <w:szCs w:val="24"/>
              <w:lang w:eastAsia="es-CO"/>
            </w:rPr>
            <w:t xml:space="preserve"> de deterioro del valor de los activos, porque no se presentaron cambios significativos en la manera como se usan o esperan usarse, por lo cual no hubo afectación desfavorable del beneficio económico que los activos generan a la Entidad.</w:t>
          </w:r>
        </w:p>
        <w:p w14:paraId="5E2015A1" w14:textId="77777777" w:rsidR="00833C7B" w:rsidRPr="009A46BB" w:rsidRDefault="00833C7B" w:rsidP="00854426">
          <w:pPr>
            <w:pStyle w:val="Sinespaciado"/>
            <w:rPr>
              <w:rFonts w:ascii="Times New Roman" w:hAnsi="Times New Roman"/>
            </w:rPr>
          </w:pPr>
        </w:p>
        <w:p w14:paraId="361C39C6" w14:textId="77777777" w:rsidR="00833C7B" w:rsidRPr="009A46BB" w:rsidRDefault="00833C7B" w:rsidP="00854426">
          <w:pPr>
            <w:pStyle w:val="Sinespaciado"/>
            <w:rPr>
              <w:rFonts w:ascii="Times New Roman" w:hAnsi="Times New Roman"/>
            </w:rPr>
          </w:pPr>
        </w:p>
        <w:p w14:paraId="5697F2F9" w14:textId="0FEA99D5" w:rsidR="004165E7" w:rsidRPr="00931DCE" w:rsidRDefault="00F73D04" w:rsidP="004A000E">
          <w:pPr>
            <w:pStyle w:val="Ttulo1"/>
            <w:rPr>
              <w:rFonts w:cs="Times New Roman"/>
            </w:rPr>
          </w:pPr>
          <w:bookmarkStart w:id="38" w:name="_Toc159952381"/>
          <w:r w:rsidRPr="00931DCE">
            <w:rPr>
              <w:rFonts w:cs="Times New Roman"/>
            </w:rPr>
            <w:t xml:space="preserve">NOTA 11. </w:t>
          </w:r>
          <w:r w:rsidR="009D374E" w:rsidRPr="00931DCE">
            <w:rPr>
              <w:rFonts w:cs="Times New Roman"/>
            </w:rPr>
            <w:t>BIENES DE USO PÚBLICO</w:t>
          </w:r>
          <w:r w:rsidR="009673B7" w:rsidRPr="00931DCE">
            <w:rPr>
              <w:rFonts w:cs="Times New Roman"/>
            </w:rPr>
            <w:t xml:space="preserve"> E HISTÓRICOS Y CULTURALES</w:t>
          </w:r>
          <w:bookmarkEnd w:id="38"/>
        </w:p>
        <w:p w14:paraId="1E511AE4" w14:textId="77777777" w:rsidR="00EE223A" w:rsidRPr="00931DCE" w:rsidRDefault="00EE223A" w:rsidP="004A000E">
          <w:pPr>
            <w:spacing w:after="0" w:line="240" w:lineRule="auto"/>
            <w:jc w:val="both"/>
            <w:rPr>
              <w:rFonts w:ascii="Times New Roman" w:hAnsi="Times New Roman"/>
              <w:b/>
              <w:sz w:val="18"/>
              <w:szCs w:val="18"/>
            </w:rPr>
          </w:pPr>
        </w:p>
        <w:p w14:paraId="5A30EBEE" w14:textId="5B0B3F22" w:rsidR="009A16A7" w:rsidRDefault="00EE223A" w:rsidP="009A16A7">
          <w:pPr>
            <w:pStyle w:val="Ttulo2"/>
            <w:numPr>
              <w:ilvl w:val="0"/>
              <w:numId w:val="0"/>
            </w:numPr>
            <w:rPr>
              <w:rFonts w:cs="Times New Roman"/>
              <w:szCs w:val="22"/>
            </w:rPr>
          </w:pPr>
          <w:bookmarkStart w:id="39" w:name="_Toc159952382"/>
          <w:r w:rsidRPr="00A75EB6">
            <w:rPr>
              <w:rFonts w:cs="Times New Roman"/>
              <w:szCs w:val="22"/>
            </w:rPr>
            <w:t>Composición</w:t>
          </w:r>
          <w:bookmarkEnd w:id="39"/>
          <w:r w:rsidR="00390B63" w:rsidRPr="00A75EB6">
            <w:rPr>
              <w:rFonts w:cs="Times New Roman"/>
              <w:szCs w:val="22"/>
            </w:rPr>
            <w:t xml:space="preserve"> </w:t>
          </w:r>
        </w:p>
        <w:p w14:paraId="1376EE87" w14:textId="77777777" w:rsidR="009A16A7" w:rsidRPr="009A46BB" w:rsidRDefault="009A16A7" w:rsidP="009A16A7">
          <w:pPr>
            <w:rPr>
              <w:rFonts w:ascii="Times New Roman" w:hAnsi="Times New Roman"/>
            </w:rPr>
          </w:pPr>
        </w:p>
        <w:tbl>
          <w:tblPr>
            <w:tblW w:w="0" w:type="auto"/>
            <w:tblLayout w:type="fixed"/>
            <w:tblCellMar>
              <w:left w:w="70" w:type="dxa"/>
              <w:right w:w="70" w:type="dxa"/>
            </w:tblCellMar>
            <w:tblLook w:val="04A0" w:firstRow="1" w:lastRow="0" w:firstColumn="1" w:lastColumn="0" w:noHBand="0" w:noVBand="1"/>
          </w:tblPr>
          <w:tblGrid>
            <w:gridCol w:w="1129"/>
            <w:gridCol w:w="567"/>
            <w:gridCol w:w="2919"/>
            <w:gridCol w:w="1420"/>
            <w:gridCol w:w="1420"/>
            <w:gridCol w:w="1514"/>
          </w:tblGrid>
          <w:tr w:rsidR="004D1E83" w:rsidRPr="004D1E83" w14:paraId="700F366D" w14:textId="77777777" w:rsidTr="00B86213">
            <w:trPr>
              <w:trHeight w:val="300"/>
            </w:trPr>
            <w:tc>
              <w:tcPr>
                <w:tcW w:w="4615" w:type="dxa"/>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4F2D0D5F" w14:textId="77777777" w:rsidR="004D1E83" w:rsidRPr="004D1E83" w:rsidRDefault="004D1E83" w:rsidP="004D1E83">
                <w:pPr>
                  <w:spacing w:after="0" w:line="240" w:lineRule="auto"/>
                  <w:jc w:val="center"/>
                  <w:rPr>
                    <w:rFonts w:ascii="Times New Roman" w:eastAsia="Times New Roman" w:hAnsi="Times New Roman"/>
                    <w:b/>
                    <w:sz w:val="16"/>
                    <w:szCs w:val="16"/>
                    <w:lang w:eastAsia="es-CO"/>
                  </w:rPr>
                </w:pPr>
                <w:r w:rsidRPr="004D1E83">
                  <w:rPr>
                    <w:rFonts w:ascii="Times New Roman" w:eastAsia="Times New Roman" w:hAnsi="Times New Roman"/>
                    <w:b/>
                    <w:sz w:val="16"/>
                    <w:szCs w:val="16"/>
                    <w:lang w:eastAsia="es-CO"/>
                  </w:rPr>
                  <w:t>DESCRIPCIÓN</w:t>
                </w:r>
              </w:p>
            </w:tc>
            <w:tc>
              <w:tcPr>
                <w:tcW w:w="284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0E66CF6E" w14:textId="77777777" w:rsidR="004D1E83" w:rsidRPr="004D1E83" w:rsidRDefault="004D1E83" w:rsidP="004D1E83">
                <w:pPr>
                  <w:spacing w:after="0" w:line="240" w:lineRule="auto"/>
                  <w:jc w:val="center"/>
                  <w:rPr>
                    <w:rFonts w:ascii="Times New Roman" w:eastAsia="Times New Roman" w:hAnsi="Times New Roman"/>
                    <w:b/>
                    <w:sz w:val="16"/>
                    <w:szCs w:val="16"/>
                    <w:lang w:eastAsia="es-CO"/>
                  </w:rPr>
                </w:pPr>
                <w:r w:rsidRPr="004D1E83">
                  <w:rPr>
                    <w:rFonts w:ascii="Times New Roman" w:eastAsia="Times New Roman" w:hAnsi="Times New Roman"/>
                    <w:b/>
                    <w:sz w:val="16"/>
                    <w:szCs w:val="16"/>
                    <w:lang w:eastAsia="es-CO"/>
                  </w:rPr>
                  <w:t>SALDOS A CORTES DE VIGENCIA</w:t>
                </w:r>
              </w:p>
            </w:tc>
            <w:tc>
              <w:tcPr>
                <w:tcW w:w="151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1930613E" w14:textId="77777777" w:rsidR="004D1E83" w:rsidRPr="004D1E83" w:rsidRDefault="004D1E83" w:rsidP="004D1E83">
                <w:pPr>
                  <w:spacing w:after="0" w:line="240" w:lineRule="auto"/>
                  <w:jc w:val="center"/>
                  <w:rPr>
                    <w:rFonts w:ascii="Times New Roman" w:eastAsia="Times New Roman" w:hAnsi="Times New Roman"/>
                    <w:b/>
                    <w:sz w:val="16"/>
                    <w:szCs w:val="16"/>
                    <w:lang w:eastAsia="es-CO"/>
                  </w:rPr>
                </w:pPr>
                <w:r w:rsidRPr="004D1E83">
                  <w:rPr>
                    <w:rFonts w:ascii="Times New Roman" w:eastAsia="Times New Roman" w:hAnsi="Times New Roman"/>
                    <w:b/>
                    <w:sz w:val="16"/>
                    <w:szCs w:val="16"/>
                    <w:lang w:eastAsia="es-CO"/>
                  </w:rPr>
                  <w:t>VARIACIÓN</w:t>
                </w:r>
              </w:p>
            </w:tc>
          </w:tr>
          <w:tr w:rsidR="004D1E83" w:rsidRPr="004D1E83" w14:paraId="2414D2BF" w14:textId="77777777" w:rsidTr="00B86213">
            <w:trPr>
              <w:trHeight w:val="207"/>
            </w:trPr>
            <w:tc>
              <w:tcPr>
                <w:tcW w:w="11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12A7E890" w14:textId="77777777" w:rsidR="004D1E83" w:rsidRPr="004D1E83" w:rsidRDefault="004D1E83" w:rsidP="004D1E83">
                <w:pPr>
                  <w:spacing w:after="0" w:line="240" w:lineRule="auto"/>
                  <w:jc w:val="center"/>
                  <w:rPr>
                    <w:rFonts w:ascii="Times New Roman" w:eastAsia="Times New Roman" w:hAnsi="Times New Roman"/>
                    <w:b/>
                    <w:sz w:val="16"/>
                    <w:szCs w:val="16"/>
                    <w:lang w:eastAsia="es-CO"/>
                  </w:rPr>
                </w:pPr>
                <w:r w:rsidRPr="004D1E83">
                  <w:rPr>
                    <w:rFonts w:ascii="Times New Roman" w:eastAsia="Times New Roman" w:hAnsi="Times New Roman"/>
                    <w:b/>
                    <w:sz w:val="16"/>
                    <w:szCs w:val="16"/>
                    <w:lang w:eastAsia="es-CO"/>
                  </w:rPr>
                  <w:t>CÓDIGO CONTABLE</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4E91A49E" w14:textId="77777777" w:rsidR="004D1E83" w:rsidRPr="004D1E83" w:rsidRDefault="004D1E83" w:rsidP="004D1E83">
                <w:pPr>
                  <w:spacing w:after="0" w:line="240" w:lineRule="auto"/>
                  <w:jc w:val="center"/>
                  <w:rPr>
                    <w:rFonts w:ascii="Times New Roman" w:eastAsia="Times New Roman" w:hAnsi="Times New Roman"/>
                    <w:b/>
                    <w:sz w:val="16"/>
                    <w:szCs w:val="16"/>
                    <w:lang w:eastAsia="es-CO"/>
                  </w:rPr>
                </w:pPr>
                <w:r w:rsidRPr="004D1E83">
                  <w:rPr>
                    <w:rFonts w:ascii="Times New Roman" w:eastAsia="Times New Roman" w:hAnsi="Times New Roman"/>
                    <w:b/>
                    <w:sz w:val="16"/>
                    <w:szCs w:val="16"/>
                    <w:lang w:eastAsia="es-CO"/>
                  </w:rPr>
                  <w:t>NAT</w:t>
                </w:r>
              </w:p>
            </w:tc>
            <w:tc>
              <w:tcPr>
                <w:tcW w:w="29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4465261A" w14:textId="77777777" w:rsidR="004D1E83" w:rsidRPr="004D1E83" w:rsidRDefault="004D1E83" w:rsidP="004D1E83">
                <w:pPr>
                  <w:spacing w:after="0" w:line="240" w:lineRule="auto"/>
                  <w:jc w:val="center"/>
                  <w:rPr>
                    <w:rFonts w:ascii="Times New Roman" w:eastAsia="Times New Roman" w:hAnsi="Times New Roman"/>
                    <w:b/>
                    <w:sz w:val="16"/>
                    <w:szCs w:val="16"/>
                    <w:lang w:eastAsia="es-CO"/>
                  </w:rPr>
                </w:pPr>
                <w:r w:rsidRPr="004D1E83">
                  <w:rPr>
                    <w:rFonts w:ascii="Times New Roman" w:eastAsia="Times New Roman" w:hAnsi="Times New Roman"/>
                    <w:b/>
                    <w:sz w:val="16"/>
                    <w:szCs w:val="16"/>
                    <w:lang w:eastAsia="es-CO"/>
                  </w:rPr>
                  <w:t>CONCEPTO</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77739214" w14:textId="77777777" w:rsidR="004D1E83" w:rsidRPr="004D1E83" w:rsidRDefault="004D1E83" w:rsidP="004D1E83">
                <w:pPr>
                  <w:spacing w:after="0" w:line="240" w:lineRule="auto"/>
                  <w:jc w:val="center"/>
                  <w:rPr>
                    <w:rFonts w:ascii="Times New Roman" w:eastAsia="Times New Roman" w:hAnsi="Times New Roman"/>
                    <w:b/>
                    <w:sz w:val="16"/>
                    <w:szCs w:val="16"/>
                    <w:lang w:eastAsia="es-CO"/>
                  </w:rPr>
                </w:pPr>
                <w:r w:rsidRPr="004D1E83">
                  <w:rPr>
                    <w:rFonts w:ascii="Times New Roman" w:eastAsia="Times New Roman" w:hAnsi="Times New Roman"/>
                    <w:b/>
                    <w:sz w:val="16"/>
                    <w:szCs w:val="16"/>
                    <w:lang w:eastAsia="es-CO"/>
                  </w:rPr>
                  <w:t xml:space="preserve">2023 </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27B7F2EB" w14:textId="77777777" w:rsidR="004D1E83" w:rsidRPr="004D1E83" w:rsidRDefault="004D1E83" w:rsidP="004D1E83">
                <w:pPr>
                  <w:spacing w:after="0" w:line="240" w:lineRule="auto"/>
                  <w:jc w:val="center"/>
                  <w:rPr>
                    <w:rFonts w:ascii="Times New Roman" w:eastAsia="Times New Roman" w:hAnsi="Times New Roman"/>
                    <w:b/>
                    <w:sz w:val="16"/>
                    <w:szCs w:val="16"/>
                    <w:lang w:eastAsia="es-CO"/>
                  </w:rPr>
                </w:pPr>
                <w:r w:rsidRPr="004D1E83">
                  <w:rPr>
                    <w:rFonts w:ascii="Times New Roman" w:eastAsia="Times New Roman" w:hAnsi="Times New Roman"/>
                    <w:b/>
                    <w:sz w:val="16"/>
                    <w:szCs w:val="16"/>
                    <w:lang w:eastAsia="es-CO"/>
                  </w:rPr>
                  <w:t xml:space="preserve">2022 </w:t>
                </w:r>
              </w:p>
            </w:tc>
            <w:tc>
              <w:tcPr>
                <w:tcW w:w="151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56EED957" w14:textId="77777777" w:rsidR="004D1E83" w:rsidRPr="004D1E83" w:rsidRDefault="004D1E83" w:rsidP="004D1E83">
                <w:pPr>
                  <w:spacing w:after="0" w:line="240" w:lineRule="auto"/>
                  <w:jc w:val="center"/>
                  <w:rPr>
                    <w:rFonts w:ascii="Times New Roman" w:eastAsia="Times New Roman" w:hAnsi="Times New Roman"/>
                    <w:b/>
                    <w:sz w:val="16"/>
                    <w:szCs w:val="16"/>
                    <w:lang w:eastAsia="es-CO"/>
                  </w:rPr>
                </w:pPr>
                <w:r w:rsidRPr="004D1E83">
                  <w:rPr>
                    <w:rFonts w:ascii="Times New Roman" w:eastAsia="Times New Roman" w:hAnsi="Times New Roman"/>
                    <w:b/>
                    <w:sz w:val="16"/>
                    <w:szCs w:val="16"/>
                    <w:lang w:eastAsia="es-CO"/>
                  </w:rPr>
                  <w:t>VALOR VARIACIÓN</w:t>
                </w:r>
              </w:p>
            </w:tc>
          </w:tr>
          <w:tr w:rsidR="004D1E83" w:rsidRPr="004D1E83" w14:paraId="1D5EA4B7" w14:textId="77777777" w:rsidTr="00B86213">
            <w:trPr>
              <w:trHeight w:val="570"/>
            </w:trPr>
            <w:tc>
              <w:tcPr>
                <w:tcW w:w="11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4DE5B1B1" w14:textId="77777777" w:rsidR="004D1E83" w:rsidRPr="004D1E83" w:rsidRDefault="004D1E83" w:rsidP="004D1E83">
                <w:pPr>
                  <w:spacing w:after="0" w:line="240" w:lineRule="auto"/>
                  <w:rPr>
                    <w:rFonts w:ascii="Times New Roman" w:eastAsia="Times New Roman" w:hAnsi="Times New Roman"/>
                    <w:b/>
                    <w:sz w:val="16"/>
                    <w:szCs w:val="16"/>
                    <w:lang w:eastAsia="es-CO"/>
                  </w:rPr>
                </w:pPr>
                <w:r w:rsidRPr="004D1E83">
                  <w:rPr>
                    <w:rFonts w:ascii="Times New Roman" w:eastAsia="Times New Roman" w:hAnsi="Times New Roman"/>
                    <w:b/>
                    <w:sz w:val="16"/>
                    <w:szCs w:val="16"/>
                    <w:lang w:eastAsia="es-CO"/>
                  </w:rPr>
                  <w:t>1.7</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7FDEB800" w14:textId="77777777" w:rsidR="004D1E83" w:rsidRPr="004D1E83" w:rsidRDefault="004D1E83" w:rsidP="004D1E83">
                <w:pPr>
                  <w:spacing w:after="0" w:line="240" w:lineRule="auto"/>
                  <w:jc w:val="center"/>
                  <w:rPr>
                    <w:rFonts w:ascii="Times New Roman" w:eastAsia="Times New Roman" w:hAnsi="Times New Roman"/>
                    <w:b/>
                    <w:sz w:val="16"/>
                    <w:szCs w:val="16"/>
                    <w:lang w:eastAsia="es-CO"/>
                  </w:rPr>
                </w:pPr>
                <w:r w:rsidRPr="004D1E83">
                  <w:rPr>
                    <w:rFonts w:ascii="Times New Roman" w:eastAsia="Times New Roman" w:hAnsi="Times New Roman"/>
                    <w:b/>
                    <w:sz w:val="16"/>
                    <w:szCs w:val="16"/>
                    <w:lang w:eastAsia="es-CO"/>
                  </w:rPr>
                  <w:t>Db</w:t>
                </w:r>
              </w:p>
            </w:tc>
            <w:tc>
              <w:tcPr>
                <w:tcW w:w="29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1E45DD00" w14:textId="77777777" w:rsidR="004D1E83" w:rsidRPr="004D1E83" w:rsidRDefault="004D1E83" w:rsidP="004D1E83">
                <w:pPr>
                  <w:spacing w:after="0" w:line="240" w:lineRule="auto"/>
                  <w:jc w:val="center"/>
                  <w:rPr>
                    <w:rFonts w:ascii="Times New Roman" w:eastAsia="Times New Roman" w:hAnsi="Times New Roman"/>
                    <w:b/>
                    <w:sz w:val="16"/>
                    <w:szCs w:val="16"/>
                    <w:lang w:eastAsia="es-CO"/>
                  </w:rPr>
                </w:pPr>
                <w:r w:rsidRPr="004D1E83">
                  <w:rPr>
                    <w:rFonts w:ascii="Times New Roman" w:eastAsia="Times New Roman" w:hAnsi="Times New Roman"/>
                    <w:b/>
                    <w:sz w:val="16"/>
                    <w:szCs w:val="16"/>
                    <w:lang w:eastAsia="es-CO"/>
                  </w:rPr>
                  <w:t>BIENES DE USO PÚBLICO E HISTÓRICOS Y CULTURALES</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793C0C5B" w14:textId="45AE9B27" w:rsidR="004D1E83" w:rsidRPr="004D1E83" w:rsidRDefault="004D1E83" w:rsidP="004D1E83">
                <w:pPr>
                  <w:spacing w:after="0" w:line="240" w:lineRule="auto"/>
                  <w:jc w:val="right"/>
                  <w:rPr>
                    <w:rFonts w:ascii="Times New Roman" w:eastAsia="Times New Roman" w:hAnsi="Times New Roman"/>
                    <w:b/>
                    <w:sz w:val="16"/>
                    <w:szCs w:val="16"/>
                    <w:lang w:eastAsia="es-CO"/>
                  </w:rPr>
                </w:pPr>
                <w:r w:rsidRPr="004D1E83">
                  <w:rPr>
                    <w:rFonts w:ascii="Times New Roman" w:eastAsia="Times New Roman" w:hAnsi="Times New Roman"/>
                    <w:b/>
                    <w:sz w:val="16"/>
                    <w:szCs w:val="16"/>
                    <w:lang w:eastAsia="es-CO"/>
                  </w:rPr>
                  <w:t>64.054.795.981.72</w:t>
                </w:r>
                <w:r w:rsidR="00C46618">
                  <w:rPr>
                    <w:rFonts w:ascii="Times New Roman" w:eastAsia="Times New Roman" w:hAnsi="Times New Roman"/>
                    <w:b/>
                    <w:sz w:val="16"/>
                    <w:szCs w:val="16"/>
                    <w:lang w:eastAsia="es-CO"/>
                  </w:rPr>
                  <w:t>8</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0FB30A94" w14:textId="77777777" w:rsidR="004D1E83" w:rsidRPr="004D1E83" w:rsidRDefault="004D1E83" w:rsidP="004D1E83">
                <w:pPr>
                  <w:spacing w:after="0" w:line="240" w:lineRule="auto"/>
                  <w:jc w:val="right"/>
                  <w:rPr>
                    <w:rFonts w:ascii="Times New Roman" w:eastAsia="Times New Roman" w:hAnsi="Times New Roman"/>
                    <w:b/>
                    <w:sz w:val="16"/>
                    <w:szCs w:val="16"/>
                    <w:lang w:eastAsia="es-CO"/>
                  </w:rPr>
                </w:pPr>
                <w:r w:rsidRPr="004D1E83">
                  <w:rPr>
                    <w:rFonts w:ascii="Times New Roman" w:eastAsia="Times New Roman" w:hAnsi="Times New Roman"/>
                    <w:b/>
                    <w:sz w:val="16"/>
                    <w:szCs w:val="16"/>
                    <w:lang w:eastAsia="es-CO"/>
                  </w:rPr>
                  <w:t>58.054.647.358.532</w:t>
                </w:r>
              </w:p>
            </w:tc>
            <w:tc>
              <w:tcPr>
                <w:tcW w:w="151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62A98BA2" w14:textId="7DA1C624" w:rsidR="004D1E83" w:rsidRPr="004D1E83" w:rsidRDefault="004D1E83" w:rsidP="004D1E83">
                <w:pPr>
                  <w:spacing w:after="0" w:line="240" w:lineRule="auto"/>
                  <w:jc w:val="right"/>
                  <w:rPr>
                    <w:rFonts w:ascii="Times New Roman" w:eastAsia="Times New Roman" w:hAnsi="Times New Roman"/>
                    <w:b/>
                    <w:sz w:val="16"/>
                    <w:szCs w:val="16"/>
                    <w:lang w:eastAsia="es-CO"/>
                  </w:rPr>
                </w:pPr>
                <w:r w:rsidRPr="004D1E83">
                  <w:rPr>
                    <w:rFonts w:ascii="Times New Roman" w:eastAsia="Times New Roman" w:hAnsi="Times New Roman"/>
                    <w:b/>
                    <w:sz w:val="16"/>
                    <w:szCs w:val="16"/>
                    <w:lang w:eastAsia="es-CO"/>
                  </w:rPr>
                  <w:t>6.000.148.623.19</w:t>
                </w:r>
                <w:r w:rsidR="00C46618">
                  <w:rPr>
                    <w:rFonts w:ascii="Times New Roman" w:eastAsia="Times New Roman" w:hAnsi="Times New Roman"/>
                    <w:b/>
                    <w:sz w:val="16"/>
                    <w:szCs w:val="16"/>
                    <w:lang w:eastAsia="es-CO"/>
                  </w:rPr>
                  <w:t>6</w:t>
                </w:r>
              </w:p>
            </w:tc>
          </w:tr>
          <w:tr w:rsidR="004D1E83" w:rsidRPr="004D1E83" w14:paraId="4C9527C6" w14:textId="77777777" w:rsidTr="00B86213">
            <w:trPr>
              <w:trHeight w:val="300"/>
            </w:trPr>
            <w:tc>
              <w:tcPr>
                <w:tcW w:w="11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52E1B24F" w14:textId="77777777" w:rsidR="004D1E83" w:rsidRPr="004D1E83" w:rsidRDefault="004D1E83" w:rsidP="004D1E83">
                <w:pPr>
                  <w:spacing w:after="0" w:line="240" w:lineRule="auto"/>
                  <w:rPr>
                    <w:rFonts w:ascii="Times New Roman" w:eastAsia="Times New Roman" w:hAnsi="Times New Roman"/>
                    <w:sz w:val="16"/>
                    <w:szCs w:val="16"/>
                    <w:lang w:eastAsia="es-CO"/>
                  </w:rPr>
                </w:pPr>
                <w:r w:rsidRPr="004D1E83">
                  <w:rPr>
                    <w:rFonts w:ascii="Times New Roman" w:eastAsia="Times New Roman" w:hAnsi="Times New Roman"/>
                    <w:sz w:val="16"/>
                    <w:szCs w:val="16"/>
                    <w:lang w:eastAsia="es-CO"/>
                  </w:rPr>
                  <w:t>1.7.06</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37825286" w14:textId="77777777" w:rsidR="004D1E83" w:rsidRPr="004D1E83" w:rsidRDefault="004D1E83" w:rsidP="004D1E83">
                <w:pPr>
                  <w:spacing w:after="0" w:line="240" w:lineRule="auto"/>
                  <w:jc w:val="center"/>
                  <w:rPr>
                    <w:rFonts w:ascii="Times New Roman" w:eastAsia="Times New Roman" w:hAnsi="Times New Roman"/>
                    <w:sz w:val="16"/>
                    <w:szCs w:val="16"/>
                    <w:lang w:eastAsia="es-CO"/>
                  </w:rPr>
                </w:pPr>
                <w:r w:rsidRPr="004D1E83">
                  <w:rPr>
                    <w:rFonts w:ascii="Times New Roman" w:eastAsia="Times New Roman" w:hAnsi="Times New Roman"/>
                    <w:sz w:val="16"/>
                    <w:szCs w:val="16"/>
                    <w:lang w:eastAsia="es-CO"/>
                  </w:rPr>
                  <w:t>Db</w:t>
                </w:r>
              </w:p>
            </w:tc>
            <w:tc>
              <w:tcPr>
                <w:tcW w:w="29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1DA49FA5" w14:textId="77777777" w:rsidR="004D1E83" w:rsidRPr="004D1E83" w:rsidRDefault="004D1E83" w:rsidP="004D1E83">
                <w:pPr>
                  <w:spacing w:after="0" w:line="240" w:lineRule="auto"/>
                  <w:rPr>
                    <w:rFonts w:ascii="Times New Roman" w:eastAsia="Times New Roman" w:hAnsi="Times New Roman"/>
                    <w:sz w:val="16"/>
                    <w:szCs w:val="16"/>
                    <w:lang w:eastAsia="es-CO"/>
                  </w:rPr>
                </w:pPr>
                <w:r w:rsidRPr="004D1E83">
                  <w:rPr>
                    <w:rFonts w:ascii="Times New Roman" w:eastAsia="Times New Roman" w:hAnsi="Times New Roman"/>
                    <w:sz w:val="16"/>
                    <w:szCs w:val="16"/>
                    <w:lang w:eastAsia="es-CO"/>
                  </w:rPr>
                  <w:t>Bienes de uso público en construcción - concesiones</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4F8D42EC" w14:textId="77777777" w:rsidR="004D1E83" w:rsidRPr="004D1E83" w:rsidRDefault="004D1E83" w:rsidP="004D1E83">
                <w:pPr>
                  <w:spacing w:after="0" w:line="240" w:lineRule="auto"/>
                  <w:jc w:val="right"/>
                  <w:rPr>
                    <w:rFonts w:ascii="Times New Roman" w:eastAsia="Times New Roman" w:hAnsi="Times New Roman"/>
                    <w:sz w:val="16"/>
                    <w:szCs w:val="16"/>
                    <w:lang w:eastAsia="es-CO"/>
                  </w:rPr>
                </w:pPr>
                <w:r w:rsidRPr="004D1E83">
                  <w:rPr>
                    <w:rFonts w:ascii="Times New Roman" w:eastAsia="Times New Roman" w:hAnsi="Times New Roman"/>
                    <w:sz w:val="16"/>
                    <w:szCs w:val="16"/>
                    <w:lang w:eastAsia="es-CO"/>
                  </w:rPr>
                  <w:t>37.241.865.596.561</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794D4A99" w14:textId="77777777" w:rsidR="004D1E83" w:rsidRPr="004D1E83" w:rsidRDefault="004D1E83" w:rsidP="004D1E83">
                <w:pPr>
                  <w:spacing w:after="0" w:line="240" w:lineRule="auto"/>
                  <w:jc w:val="right"/>
                  <w:rPr>
                    <w:rFonts w:ascii="Times New Roman" w:eastAsia="Times New Roman" w:hAnsi="Times New Roman"/>
                    <w:sz w:val="16"/>
                    <w:szCs w:val="16"/>
                    <w:lang w:eastAsia="es-CO"/>
                  </w:rPr>
                </w:pPr>
                <w:r w:rsidRPr="004D1E83">
                  <w:rPr>
                    <w:rFonts w:ascii="Times New Roman" w:eastAsia="Times New Roman" w:hAnsi="Times New Roman"/>
                    <w:sz w:val="16"/>
                    <w:szCs w:val="16"/>
                    <w:lang w:eastAsia="es-CO"/>
                  </w:rPr>
                  <w:t>28.530.630.678.020</w:t>
                </w:r>
              </w:p>
            </w:tc>
            <w:tc>
              <w:tcPr>
                <w:tcW w:w="151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2533BAE2" w14:textId="77777777" w:rsidR="004D1E83" w:rsidRPr="004D1E83" w:rsidRDefault="004D1E83" w:rsidP="004D1E83">
                <w:pPr>
                  <w:spacing w:after="0" w:line="240" w:lineRule="auto"/>
                  <w:jc w:val="right"/>
                  <w:rPr>
                    <w:rFonts w:ascii="Times New Roman" w:eastAsia="Times New Roman" w:hAnsi="Times New Roman"/>
                    <w:sz w:val="16"/>
                    <w:szCs w:val="16"/>
                    <w:lang w:eastAsia="es-CO"/>
                  </w:rPr>
                </w:pPr>
                <w:r w:rsidRPr="004D1E83">
                  <w:rPr>
                    <w:rFonts w:ascii="Times New Roman" w:eastAsia="Times New Roman" w:hAnsi="Times New Roman"/>
                    <w:sz w:val="16"/>
                    <w:szCs w:val="16"/>
                    <w:lang w:eastAsia="es-CO"/>
                  </w:rPr>
                  <w:t>8.711.234.918.541</w:t>
                </w:r>
              </w:p>
            </w:tc>
          </w:tr>
          <w:tr w:rsidR="004D1E83" w:rsidRPr="004D1E83" w14:paraId="1194983E" w14:textId="77777777" w:rsidTr="00B86213">
            <w:trPr>
              <w:trHeight w:val="300"/>
            </w:trPr>
            <w:tc>
              <w:tcPr>
                <w:tcW w:w="11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1123AF33" w14:textId="77777777" w:rsidR="004D1E83" w:rsidRPr="004D1E83" w:rsidRDefault="004D1E83" w:rsidP="004D1E83">
                <w:pPr>
                  <w:spacing w:after="0" w:line="240" w:lineRule="auto"/>
                  <w:rPr>
                    <w:rFonts w:ascii="Times New Roman" w:eastAsia="Times New Roman" w:hAnsi="Times New Roman"/>
                    <w:sz w:val="16"/>
                    <w:szCs w:val="16"/>
                    <w:lang w:eastAsia="es-CO"/>
                  </w:rPr>
                </w:pPr>
                <w:r w:rsidRPr="004D1E83">
                  <w:rPr>
                    <w:rFonts w:ascii="Times New Roman" w:eastAsia="Times New Roman" w:hAnsi="Times New Roman"/>
                    <w:sz w:val="16"/>
                    <w:szCs w:val="16"/>
                    <w:lang w:eastAsia="es-CO"/>
                  </w:rPr>
                  <w:t>1.7.10</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2104E9F5" w14:textId="77777777" w:rsidR="004D1E83" w:rsidRPr="004D1E83" w:rsidRDefault="004D1E83" w:rsidP="004D1E83">
                <w:pPr>
                  <w:spacing w:after="0" w:line="240" w:lineRule="auto"/>
                  <w:jc w:val="center"/>
                  <w:rPr>
                    <w:rFonts w:ascii="Times New Roman" w:eastAsia="Times New Roman" w:hAnsi="Times New Roman"/>
                    <w:sz w:val="16"/>
                    <w:szCs w:val="16"/>
                    <w:lang w:eastAsia="es-CO"/>
                  </w:rPr>
                </w:pPr>
                <w:r w:rsidRPr="004D1E83">
                  <w:rPr>
                    <w:rFonts w:ascii="Times New Roman" w:eastAsia="Times New Roman" w:hAnsi="Times New Roman"/>
                    <w:sz w:val="16"/>
                    <w:szCs w:val="16"/>
                    <w:lang w:eastAsia="es-CO"/>
                  </w:rPr>
                  <w:t>Db</w:t>
                </w:r>
              </w:p>
            </w:tc>
            <w:tc>
              <w:tcPr>
                <w:tcW w:w="29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549018D8" w14:textId="77777777" w:rsidR="004D1E83" w:rsidRPr="004D1E83" w:rsidRDefault="004D1E83" w:rsidP="004D1E83">
                <w:pPr>
                  <w:spacing w:after="0" w:line="240" w:lineRule="auto"/>
                  <w:rPr>
                    <w:rFonts w:ascii="Times New Roman" w:eastAsia="Times New Roman" w:hAnsi="Times New Roman"/>
                    <w:sz w:val="16"/>
                    <w:szCs w:val="16"/>
                    <w:lang w:eastAsia="es-CO"/>
                  </w:rPr>
                </w:pPr>
                <w:r w:rsidRPr="004D1E83">
                  <w:rPr>
                    <w:rFonts w:ascii="Times New Roman" w:eastAsia="Times New Roman" w:hAnsi="Times New Roman"/>
                    <w:sz w:val="16"/>
                    <w:szCs w:val="16"/>
                    <w:lang w:eastAsia="es-CO"/>
                  </w:rPr>
                  <w:t>Bienes de uso público en servicio</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37160331" w14:textId="77777777" w:rsidR="004D1E83" w:rsidRPr="004D1E83" w:rsidRDefault="004D1E83" w:rsidP="004D1E83">
                <w:pPr>
                  <w:spacing w:after="0" w:line="240" w:lineRule="auto"/>
                  <w:jc w:val="right"/>
                  <w:rPr>
                    <w:rFonts w:ascii="Times New Roman" w:eastAsia="Times New Roman" w:hAnsi="Times New Roman"/>
                    <w:sz w:val="16"/>
                    <w:szCs w:val="16"/>
                    <w:lang w:eastAsia="es-CO"/>
                  </w:rPr>
                </w:pPr>
                <w:r w:rsidRPr="004D1E83">
                  <w:rPr>
                    <w:rFonts w:ascii="Times New Roman" w:eastAsia="Times New Roman" w:hAnsi="Times New Roman"/>
                    <w:sz w:val="16"/>
                    <w:szCs w:val="16"/>
                    <w:lang w:eastAsia="es-CO"/>
                  </w:rPr>
                  <w:t>1.887.555.817.538</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628537C7" w14:textId="77777777" w:rsidR="004D1E83" w:rsidRPr="004D1E83" w:rsidRDefault="004D1E83" w:rsidP="004D1E83">
                <w:pPr>
                  <w:spacing w:after="0" w:line="240" w:lineRule="auto"/>
                  <w:jc w:val="right"/>
                  <w:rPr>
                    <w:rFonts w:ascii="Times New Roman" w:eastAsia="Times New Roman" w:hAnsi="Times New Roman"/>
                    <w:sz w:val="16"/>
                    <w:szCs w:val="16"/>
                    <w:lang w:eastAsia="es-CO"/>
                  </w:rPr>
                </w:pPr>
                <w:r w:rsidRPr="004D1E83">
                  <w:rPr>
                    <w:rFonts w:ascii="Times New Roman" w:eastAsia="Times New Roman" w:hAnsi="Times New Roman"/>
                    <w:sz w:val="16"/>
                    <w:szCs w:val="16"/>
                    <w:lang w:eastAsia="es-CO"/>
                  </w:rPr>
                  <w:t>1.794.841.284.909</w:t>
                </w:r>
              </w:p>
            </w:tc>
            <w:tc>
              <w:tcPr>
                <w:tcW w:w="151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2BB9CA5A" w14:textId="77777777" w:rsidR="004D1E83" w:rsidRPr="004D1E83" w:rsidRDefault="004D1E83" w:rsidP="004D1E83">
                <w:pPr>
                  <w:spacing w:after="0" w:line="240" w:lineRule="auto"/>
                  <w:jc w:val="right"/>
                  <w:rPr>
                    <w:rFonts w:ascii="Times New Roman" w:eastAsia="Times New Roman" w:hAnsi="Times New Roman"/>
                    <w:sz w:val="16"/>
                    <w:szCs w:val="16"/>
                    <w:lang w:eastAsia="es-CO"/>
                  </w:rPr>
                </w:pPr>
                <w:r w:rsidRPr="004D1E83">
                  <w:rPr>
                    <w:rFonts w:ascii="Times New Roman" w:eastAsia="Times New Roman" w:hAnsi="Times New Roman"/>
                    <w:sz w:val="16"/>
                    <w:szCs w:val="16"/>
                    <w:lang w:eastAsia="es-CO"/>
                  </w:rPr>
                  <w:t>92.714.532.629</w:t>
                </w:r>
              </w:p>
            </w:tc>
          </w:tr>
          <w:tr w:rsidR="004D1E83" w:rsidRPr="004D1E83" w14:paraId="063175CA" w14:textId="77777777" w:rsidTr="00B86213">
            <w:trPr>
              <w:trHeight w:val="300"/>
            </w:trPr>
            <w:tc>
              <w:tcPr>
                <w:tcW w:w="11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0CA1492F" w14:textId="77777777" w:rsidR="004D1E83" w:rsidRPr="004D1E83" w:rsidRDefault="004D1E83" w:rsidP="004D1E83">
                <w:pPr>
                  <w:spacing w:after="0" w:line="240" w:lineRule="auto"/>
                  <w:rPr>
                    <w:rFonts w:ascii="Times New Roman" w:eastAsia="Times New Roman" w:hAnsi="Times New Roman"/>
                    <w:sz w:val="16"/>
                    <w:szCs w:val="16"/>
                    <w:lang w:eastAsia="es-CO"/>
                  </w:rPr>
                </w:pPr>
                <w:r w:rsidRPr="004D1E83">
                  <w:rPr>
                    <w:rFonts w:ascii="Times New Roman" w:eastAsia="Times New Roman" w:hAnsi="Times New Roman"/>
                    <w:sz w:val="16"/>
                    <w:szCs w:val="16"/>
                    <w:lang w:eastAsia="es-CO"/>
                  </w:rPr>
                  <w:t>1.7.11</w:t>
                </w:r>
              </w:p>
            </w:tc>
            <w:tc>
              <w:tcPr>
                <w:tcW w:w="5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22814E91" w14:textId="77777777" w:rsidR="004D1E83" w:rsidRPr="004D1E83" w:rsidRDefault="004D1E83" w:rsidP="004D1E83">
                <w:pPr>
                  <w:spacing w:after="0" w:line="240" w:lineRule="auto"/>
                  <w:jc w:val="center"/>
                  <w:rPr>
                    <w:rFonts w:ascii="Times New Roman" w:eastAsia="Times New Roman" w:hAnsi="Times New Roman"/>
                    <w:sz w:val="16"/>
                    <w:szCs w:val="16"/>
                    <w:lang w:eastAsia="es-CO"/>
                  </w:rPr>
                </w:pPr>
                <w:r w:rsidRPr="004D1E83">
                  <w:rPr>
                    <w:rFonts w:ascii="Times New Roman" w:eastAsia="Times New Roman" w:hAnsi="Times New Roman"/>
                    <w:sz w:val="16"/>
                    <w:szCs w:val="16"/>
                    <w:lang w:eastAsia="es-CO"/>
                  </w:rPr>
                  <w:t>Db</w:t>
                </w:r>
              </w:p>
            </w:tc>
            <w:tc>
              <w:tcPr>
                <w:tcW w:w="29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55AFD6E2" w14:textId="77777777" w:rsidR="004D1E83" w:rsidRPr="004D1E83" w:rsidRDefault="004D1E83" w:rsidP="004D1E83">
                <w:pPr>
                  <w:spacing w:after="0" w:line="240" w:lineRule="auto"/>
                  <w:rPr>
                    <w:rFonts w:ascii="Times New Roman" w:eastAsia="Times New Roman" w:hAnsi="Times New Roman"/>
                    <w:sz w:val="16"/>
                    <w:szCs w:val="16"/>
                    <w:lang w:eastAsia="es-CO"/>
                  </w:rPr>
                </w:pPr>
                <w:r w:rsidRPr="004D1E83">
                  <w:rPr>
                    <w:rFonts w:ascii="Times New Roman" w:eastAsia="Times New Roman" w:hAnsi="Times New Roman"/>
                    <w:sz w:val="16"/>
                    <w:szCs w:val="16"/>
                    <w:lang w:eastAsia="es-CO"/>
                  </w:rPr>
                  <w:t>Bienes de uso público en servicio - concesiones</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55D37D82" w14:textId="77777777" w:rsidR="004D1E83" w:rsidRPr="004D1E83" w:rsidRDefault="004D1E83" w:rsidP="004D1E83">
                <w:pPr>
                  <w:spacing w:after="0" w:line="240" w:lineRule="auto"/>
                  <w:jc w:val="right"/>
                  <w:rPr>
                    <w:rFonts w:ascii="Times New Roman" w:eastAsia="Times New Roman" w:hAnsi="Times New Roman"/>
                    <w:sz w:val="16"/>
                    <w:szCs w:val="16"/>
                    <w:lang w:eastAsia="es-CO"/>
                  </w:rPr>
                </w:pPr>
                <w:r w:rsidRPr="004D1E83">
                  <w:rPr>
                    <w:rFonts w:ascii="Times New Roman" w:eastAsia="Times New Roman" w:hAnsi="Times New Roman"/>
                    <w:sz w:val="16"/>
                    <w:szCs w:val="16"/>
                    <w:lang w:eastAsia="es-CO"/>
                  </w:rPr>
                  <w:t>25.872.283.997.200</w:t>
                </w:r>
              </w:p>
            </w:tc>
            <w:tc>
              <w:tcPr>
                <w:tcW w:w="14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2D82C32A" w14:textId="77777777" w:rsidR="004D1E83" w:rsidRPr="004D1E83" w:rsidRDefault="004D1E83" w:rsidP="004D1E83">
                <w:pPr>
                  <w:spacing w:after="0" w:line="240" w:lineRule="auto"/>
                  <w:jc w:val="right"/>
                  <w:rPr>
                    <w:rFonts w:ascii="Times New Roman" w:eastAsia="Times New Roman" w:hAnsi="Times New Roman"/>
                    <w:sz w:val="16"/>
                    <w:szCs w:val="16"/>
                    <w:lang w:eastAsia="es-CO"/>
                  </w:rPr>
                </w:pPr>
                <w:r w:rsidRPr="004D1E83">
                  <w:rPr>
                    <w:rFonts w:ascii="Times New Roman" w:eastAsia="Times New Roman" w:hAnsi="Times New Roman"/>
                    <w:sz w:val="16"/>
                    <w:szCs w:val="16"/>
                    <w:lang w:eastAsia="es-CO"/>
                  </w:rPr>
                  <w:t>28.643.979.132.711</w:t>
                </w:r>
              </w:p>
            </w:tc>
            <w:tc>
              <w:tcPr>
                <w:tcW w:w="151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0C85DB0F" w14:textId="77777777" w:rsidR="004D1E83" w:rsidRPr="004D1E83" w:rsidRDefault="004D1E83" w:rsidP="004D1E83">
                <w:pPr>
                  <w:spacing w:after="0" w:line="240" w:lineRule="auto"/>
                  <w:jc w:val="right"/>
                  <w:rPr>
                    <w:rFonts w:ascii="Times New Roman" w:eastAsia="Times New Roman" w:hAnsi="Times New Roman"/>
                    <w:sz w:val="16"/>
                    <w:szCs w:val="16"/>
                    <w:lang w:eastAsia="es-CO"/>
                  </w:rPr>
                </w:pPr>
                <w:r w:rsidRPr="004D1E83">
                  <w:rPr>
                    <w:rFonts w:ascii="Times New Roman" w:eastAsia="Times New Roman" w:hAnsi="Times New Roman"/>
                    <w:sz w:val="16"/>
                    <w:szCs w:val="16"/>
                    <w:lang w:eastAsia="es-CO"/>
                  </w:rPr>
                  <w:t>-2.771.695.135.511</w:t>
                </w:r>
              </w:p>
            </w:tc>
          </w:tr>
          <w:tr w:rsidR="004D1E83" w:rsidRPr="004D1E83" w14:paraId="0EAC8B4F" w14:textId="77777777" w:rsidTr="00B86213">
            <w:trPr>
              <w:trHeight w:val="300"/>
            </w:trPr>
            <w:tc>
              <w:tcPr>
                <w:tcW w:w="1129" w:type="dxa"/>
                <w:tcBorders>
                  <w:top w:val="single" w:sz="4" w:space="0" w:color="808080" w:themeColor="background1" w:themeShade="80"/>
                  <w:left w:val="single" w:sz="4" w:space="0" w:color="A6A6A6"/>
                  <w:bottom w:val="single" w:sz="4" w:space="0" w:color="A6A6A6"/>
                  <w:right w:val="single" w:sz="4" w:space="0" w:color="A6A6A6"/>
                </w:tcBorders>
                <w:shd w:val="clear" w:color="auto" w:fill="auto"/>
                <w:noWrap/>
                <w:vAlign w:val="center"/>
                <w:hideMark/>
              </w:tcPr>
              <w:p w14:paraId="328087B9" w14:textId="77777777" w:rsidR="004D1E83" w:rsidRPr="004D1E83" w:rsidRDefault="004D1E83" w:rsidP="004D1E83">
                <w:pPr>
                  <w:spacing w:after="0" w:line="240" w:lineRule="auto"/>
                  <w:rPr>
                    <w:rFonts w:ascii="Times New Roman" w:eastAsia="Times New Roman" w:hAnsi="Times New Roman"/>
                    <w:sz w:val="16"/>
                    <w:szCs w:val="16"/>
                    <w:lang w:eastAsia="es-CO"/>
                  </w:rPr>
                </w:pPr>
                <w:r w:rsidRPr="004D1E83">
                  <w:rPr>
                    <w:rFonts w:ascii="Times New Roman" w:eastAsia="Times New Roman" w:hAnsi="Times New Roman"/>
                    <w:sz w:val="16"/>
                    <w:szCs w:val="16"/>
                    <w:lang w:eastAsia="es-CO"/>
                  </w:rPr>
                  <w:t>1.7.85</w:t>
                </w:r>
              </w:p>
            </w:tc>
            <w:tc>
              <w:tcPr>
                <w:tcW w:w="567" w:type="dxa"/>
                <w:tcBorders>
                  <w:top w:val="single" w:sz="4" w:space="0" w:color="808080" w:themeColor="background1" w:themeShade="80"/>
                  <w:left w:val="nil"/>
                  <w:bottom w:val="single" w:sz="4" w:space="0" w:color="A6A6A6"/>
                  <w:right w:val="nil"/>
                </w:tcBorders>
                <w:shd w:val="clear" w:color="auto" w:fill="auto"/>
                <w:noWrap/>
                <w:vAlign w:val="center"/>
                <w:hideMark/>
              </w:tcPr>
              <w:p w14:paraId="07E386AC" w14:textId="77777777" w:rsidR="004D1E83" w:rsidRPr="004D1E83" w:rsidRDefault="004D1E83" w:rsidP="004D1E83">
                <w:pPr>
                  <w:spacing w:after="0" w:line="240" w:lineRule="auto"/>
                  <w:jc w:val="center"/>
                  <w:rPr>
                    <w:rFonts w:ascii="Times New Roman" w:eastAsia="Times New Roman" w:hAnsi="Times New Roman"/>
                    <w:sz w:val="16"/>
                    <w:szCs w:val="16"/>
                    <w:lang w:eastAsia="es-CO"/>
                  </w:rPr>
                </w:pPr>
                <w:r w:rsidRPr="004D1E83">
                  <w:rPr>
                    <w:rFonts w:ascii="Times New Roman" w:eastAsia="Times New Roman" w:hAnsi="Times New Roman"/>
                    <w:sz w:val="16"/>
                    <w:szCs w:val="16"/>
                    <w:lang w:eastAsia="es-CO"/>
                  </w:rPr>
                  <w:t>Cr</w:t>
                </w:r>
              </w:p>
            </w:tc>
            <w:tc>
              <w:tcPr>
                <w:tcW w:w="2919" w:type="dxa"/>
                <w:tcBorders>
                  <w:top w:val="single" w:sz="4" w:space="0" w:color="808080" w:themeColor="background1" w:themeShade="80"/>
                  <w:left w:val="single" w:sz="4" w:space="0" w:color="A6A6A6"/>
                  <w:bottom w:val="single" w:sz="4" w:space="0" w:color="A6A6A6"/>
                  <w:right w:val="nil"/>
                </w:tcBorders>
                <w:shd w:val="clear" w:color="auto" w:fill="auto"/>
                <w:vAlign w:val="center"/>
                <w:hideMark/>
              </w:tcPr>
              <w:p w14:paraId="3EB22C62" w14:textId="77777777" w:rsidR="004D1E83" w:rsidRPr="004D1E83" w:rsidRDefault="004D1E83" w:rsidP="004D1E83">
                <w:pPr>
                  <w:spacing w:after="0" w:line="240" w:lineRule="auto"/>
                  <w:rPr>
                    <w:rFonts w:ascii="Times New Roman" w:eastAsia="Times New Roman" w:hAnsi="Times New Roman"/>
                    <w:sz w:val="16"/>
                    <w:szCs w:val="16"/>
                    <w:lang w:eastAsia="es-CO"/>
                  </w:rPr>
                </w:pPr>
                <w:r w:rsidRPr="004D1E83">
                  <w:rPr>
                    <w:rFonts w:ascii="Times New Roman" w:eastAsia="Times New Roman" w:hAnsi="Times New Roman"/>
                    <w:sz w:val="16"/>
                    <w:szCs w:val="16"/>
                    <w:lang w:eastAsia="es-CO"/>
                  </w:rPr>
                  <w:t>Depreciación acumulada de bienes de uso público en servicio (cr)</w:t>
                </w:r>
              </w:p>
            </w:tc>
            <w:tc>
              <w:tcPr>
                <w:tcW w:w="1420" w:type="dxa"/>
                <w:tcBorders>
                  <w:top w:val="single" w:sz="4" w:space="0" w:color="808080" w:themeColor="background1" w:themeShade="80"/>
                  <w:left w:val="single" w:sz="4" w:space="0" w:color="A6A6A6"/>
                  <w:bottom w:val="single" w:sz="4" w:space="0" w:color="A6A6A6"/>
                  <w:right w:val="single" w:sz="4" w:space="0" w:color="A6A6A6"/>
                </w:tcBorders>
                <w:shd w:val="clear" w:color="auto" w:fill="auto"/>
                <w:noWrap/>
                <w:vAlign w:val="center"/>
                <w:hideMark/>
              </w:tcPr>
              <w:p w14:paraId="545D7268" w14:textId="77777777" w:rsidR="004D1E83" w:rsidRPr="004D1E83" w:rsidRDefault="004D1E83" w:rsidP="004D1E83">
                <w:pPr>
                  <w:spacing w:after="0" w:line="240" w:lineRule="auto"/>
                  <w:jc w:val="right"/>
                  <w:rPr>
                    <w:rFonts w:ascii="Times New Roman" w:eastAsia="Times New Roman" w:hAnsi="Times New Roman"/>
                    <w:sz w:val="16"/>
                    <w:szCs w:val="16"/>
                    <w:lang w:eastAsia="es-CO"/>
                  </w:rPr>
                </w:pPr>
                <w:r w:rsidRPr="004D1E83">
                  <w:rPr>
                    <w:rFonts w:ascii="Times New Roman" w:eastAsia="Times New Roman" w:hAnsi="Times New Roman"/>
                    <w:sz w:val="16"/>
                    <w:szCs w:val="16"/>
                    <w:lang w:eastAsia="es-CO"/>
                  </w:rPr>
                  <w:t>-743.964.586.414</w:t>
                </w:r>
              </w:p>
            </w:tc>
            <w:tc>
              <w:tcPr>
                <w:tcW w:w="1420" w:type="dxa"/>
                <w:tcBorders>
                  <w:top w:val="single" w:sz="4" w:space="0" w:color="808080" w:themeColor="background1" w:themeShade="80"/>
                  <w:left w:val="nil"/>
                  <w:bottom w:val="single" w:sz="4" w:space="0" w:color="A6A6A6"/>
                  <w:right w:val="single" w:sz="4" w:space="0" w:color="A6A6A6"/>
                </w:tcBorders>
                <w:shd w:val="clear" w:color="auto" w:fill="auto"/>
                <w:noWrap/>
                <w:vAlign w:val="center"/>
                <w:hideMark/>
              </w:tcPr>
              <w:p w14:paraId="1FFAF293" w14:textId="77777777" w:rsidR="004D1E83" w:rsidRPr="004D1E83" w:rsidRDefault="004D1E83" w:rsidP="004D1E83">
                <w:pPr>
                  <w:spacing w:after="0" w:line="240" w:lineRule="auto"/>
                  <w:jc w:val="right"/>
                  <w:rPr>
                    <w:rFonts w:ascii="Times New Roman" w:eastAsia="Times New Roman" w:hAnsi="Times New Roman"/>
                    <w:sz w:val="16"/>
                    <w:szCs w:val="16"/>
                    <w:lang w:eastAsia="es-CO"/>
                  </w:rPr>
                </w:pPr>
                <w:r w:rsidRPr="004D1E83">
                  <w:rPr>
                    <w:rFonts w:ascii="Times New Roman" w:eastAsia="Times New Roman" w:hAnsi="Times New Roman"/>
                    <w:sz w:val="16"/>
                    <w:szCs w:val="16"/>
                    <w:lang w:eastAsia="es-CO"/>
                  </w:rPr>
                  <w:t>-716.067.209.634</w:t>
                </w:r>
              </w:p>
            </w:tc>
            <w:tc>
              <w:tcPr>
                <w:tcW w:w="1514" w:type="dxa"/>
                <w:tcBorders>
                  <w:top w:val="single" w:sz="4" w:space="0" w:color="808080" w:themeColor="background1" w:themeShade="80"/>
                  <w:left w:val="nil"/>
                  <w:bottom w:val="single" w:sz="4" w:space="0" w:color="A6A6A6"/>
                  <w:right w:val="single" w:sz="4" w:space="0" w:color="A6A6A6"/>
                </w:tcBorders>
                <w:shd w:val="clear" w:color="auto" w:fill="auto"/>
                <w:noWrap/>
                <w:vAlign w:val="center"/>
                <w:hideMark/>
              </w:tcPr>
              <w:p w14:paraId="7938AF5D" w14:textId="77777777" w:rsidR="004D1E83" w:rsidRPr="004D1E83" w:rsidRDefault="004D1E83" w:rsidP="004D1E83">
                <w:pPr>
                  <w:spacing w:after="0" w:line="240" w:lineRule="auto"/>
                  <w:jc w:val="right"/>
                  <w:rPr>
                    <w:rFonts w:ascii="Times New Roman" w:eastAsia="Times New Roman" w:hAnsi="Times New Roman"/>
                    <w:sz w:val="16"/>
                    <w:szCs w:val="16"/>
                    <w:lang w:eastAsia="es-CO"/>
                  </w:rPr>
                </w:pPr>
                <w:r w:rsidRPr="004D1E83">
                  <w:rPr>
                    <w:rFonts w:ascii="Times New Roman" w:eastAsia="Times New Roman" w:hAnsi="Times New Roman"/>
                    <w:sz w:val="16"/>
                    <w:szCs w:val="16"/>
                    <w:lang w:eastAsia="es-CO"/>
                  </w:rPr>
                  <w:t>-27.897.376.780</w:t>
                </w:r>
              </w:p>
            </w:tc>
          </w:tr>
          <w:tr w:rsidR="004D1E83" w:rsidRPr="004D1E83" w14:paraId="536ABB9B" w14:textId="77777777" w:rsidTr="00117650">
            <w:trPr>
              <w:trHeight w:val="442"/>
            </w:trPr>
            <w:tc>
              <w:tcPr>
                <w:tcW w:w="1129" w:type="dxa"/>
                <w:tcBorders>
                  <w:top w:val="nil"/>
                  <w:left w:val="single" w:sz="4" w:space="0" w:color="A6A6A6"/>
                  <w:bottom w:val="single" w:sz="4" w:space="0" w:color="A6A6A6"/>
                  <w:right w:val="single" w:sz="4" w:space="0" w:color="A6A6A6"/>
                </w:tcBorders>
                <w:shd w:val="clear" w:color="auto" w:fill="auto"/>
                <w:noWrap/>
                <w:vAlign w:val="center"/>
                <w:hideMark/>
              </w:tcPr>
              <w:p w14:paraId="0C690761" w14:textId="77777777" w:rsidR="004D1E83" w:rsidRPr="004D1E83" w:rsidRDefault="004D1E83" w:rsidP="004D1E83">
                <w:pPr>
                  <w:spacing w:after="0" w:line="240" w:lineRule="auto"/>
                  <w:rPr>
                    <w:rFonts w:ascii="Times New Roman" w:eastAsia="Times New Roman" w:hAnsi="Times New Roman"/>
                    <w:sz w:val="16"/>
                    <w:szCs w:val="16"/>
                    <w:lang w:eastAsia="es-CO"/>
                  </w:rPr>
                </w:pPr>
                <w:r w:rsidRPr="004D1E83">
                  <w:rPr>
                    <w:rFonts w:ascii="Times New Roman" w:eastAsia="Times New Roman" w:hAnsi="Times New Roman"/>
                    <w:sz w:val="16"/>
                    <w:szCs w:val="16"/>
                    <w:lang w:eastAsia="es-CO"/>
                  </w:rPr>
                  <w:t>1.7.87</w:t>
                </w:r>
              </w:p>
            </w:tc>
            <w:tc>
              <w:tcPr>
                <w:tcW w:w="567" w:type="dxa"/>
                <w:tcBorders>
                  <w:top w:val="nil"/>
                  <w:left w:val="nil"/>
                  <w:bottom w:val="single" w:sz="4" w:space="0" w:color="A6A6A6"/>
                  <w:right w:val="nil"/>
                </w:tcBorders>
                <w:shd w:val="clear" w:color="auto" w:fill="auto"/>
                <w:noWrap/>
                <w:vAlign w:val="center"/>
                <w:hideMark/>
              </w:tcPr>
              <w:p w14:paraId="344CD820" w14:textId="77777777" w:rsidR="004D1E83" w:rsidRPr="004D1E83" w:rsidRDefault="004D1E83" w:rsidP="004D1E83">
                <w:pPr>
                  <w:spacing w:after="0" w:line="240" w:lineRule="auto"/>
                  <w:jc w:val="center"/>
                  <w:rPr>
                    <w:rFonts w:ascii="Times New Roman" w:eastAsia="Times New Roman" w:hAnsi="Times New Roman"/>
                    <w:sz w:val="16"/>
                    <w:szCs w:val="16"/>
                    <w:lang w:eastAsia="es-CO"/>
                  </w:rPr>
                </w:pPr>
                <w:r w:rsidRPr="004D1E83">
                  <w:rPr>
                    <w:rFonts w:ascii="Times New Roman" w:eastAsia="Times New Roman" w:hAnsi="Times New Roman"/>
                    <w:sz w:val="16"/>
                    <w:szCs w:val="16"/>
                    <w:lang w:eastAsia="es-CO"/>
                  </w:rPr>
                  <w:t>Cr</w:t>
                </w:r>
              </w:p>
            </w:tc>
            <w:tc>
              <w:tcPr>
                <w:tcW w:w="2919" w:type="dxa"/>
                <w:tcBorders>
                  <w:top w:val="nil"/>
                  <w:left w:val="single" w:sz="4" w:space="0" w:color="A6A6A6"/>
                  <w:bottom w:val="single" w:sz="4" w:space="0" w:color="A6A6A6"/>
                  <w:right w:val="nil"/>
                </w:tcBorders>
                <w:shd w:val="clear" w:color="auto" w:fill="auto"/>
                <w:vAlign w:val="center"/>
                <w:hideMark/>
              </w:tcPr>
              <w:p w14:paraId="030C0CD6" w14:textId="65374367" w:rsidR="004D1E83" w:rsidRPr="004D1E83" w:rsidRDefault="004D1E83" w:rsidP="004D1E83">
                <w:pPr>
                  <w:spacing w:after="0" w:line="240" w:lineRule="auto"/>
                  <w:rPr>
                    <w:rFonts w:ascii="Times New Roman" w:eastAsia="Times New Roman" w:hAnsi="Times New Roman"/>
                    <w:sz w:val="16"/>
                    <w:szCs w:val="16"/>
                    <w:lang w:eastAsia="es-CO"/>
                  </w:rPr>
                </w:pPr>
                <w:r w:rsidRPr="004D1E83">
                  <w:rPr>
                    <w:rFonts w:ascii="Times New Roman" w:eastAsia="Times New Roman" w:hAnsi="Times New Roman"/>
                    <w:sz w:val="16"/>
                    <w:szCs w:val="16"/>
                    <w:lang w:eastAsia="es-CO"/>
                  </w:rPr>
                  <w:t>Depreciación acumulada de bienes de uso público en servicio - concesiones (cr)</w:t>
                </w:r>
              </w:p>
            </w:tc>
            <w:tc>
              <w:tcPr>
                <w:tcW w:w="1420" w:type="dxa"/>
                <w:tcBorders>
                  <w:top w:val="nil"/>
                  <w:left w:val="single" w:sz="4" w:space="0" w:color="A6A6A6"/>
                  <w:bottom w:val="single" w:sz="4" w:space="0" w:color="A6A6A6"/>
                  <w:right w:val="single" w:sz="4" w:space="0" w:color="A6A6A6"/>
                </w:tcBorders>
                <w:shd w:val="clear" w:color="auto" w:fill="auto"/>
                <w:noWrap/>
                <w:vAlign w:val="center"/>
                <w:hideMark/>
              </w:tcPr>
              <w:p w14:paraId="00550C9E" w14:textId="77777777" w:rsidR="004D1E83" w:rsidRPr="004D1E83" w:rsidRDefault="004D1E83" w:rsidP="004D1E83">
                <w:pPr>
                  <w:spacing w:after="0" w:line="240" w:lineRule="auto"/>
                  <w:jc w:val="right"/>
                  <w:rPr>
                    <w:rFonts w:ascii="Times New Roman" w:eastAsia="Times New Roman" w:hAnsi="Times New Roman"/>
                    <w:sz w:val="16"/>
                    <w:szCs w:val="16"/>
                    <w:lang w:eastAsia="es-CO"/>
                  </w:rPr>
                </w:pPr>
                <w:r w:rsidRPr="004D1E83">
                  <w:rPr>
                    <w:rFonts w:ascii="Times New Roman" w:eastAsia="Times New Roman" w:hAnsi="Times New Roman"/>
                    <w:sz w:val="16"/>
                    <w:szCs w:val="16"/>
                    <w:lang w:eastAsia="es-CO"/>
                  </w:rPr>
                  <w:t>-202.944.843.156</w:t>
                </w:r>
              </w:p>
            </w:tc>
            <w:tc>
              <w:tcPr>
                <w:tcW w:w="1420" w:type="dxa"/>
                <w:tcBorders>
                  <w:top w:val="nil"/>
                  <w:left w:val="nil"/>
                  <w:bottom w:val="single" w:sz="4" w:space="0" w:color="A6A6A6"/>
                  <w:right w:val="single" w:sz="4" w:space="0" w:color="A6A6A6"/>
                </w:tcBorders>
                <w:shd w:val="clear" w:color="auto" w:fill="auto"/>
                <w:noWrap/>
                <w:vAlign w:val="center"/>
                <w:hideMark/>
              </w:tcPr>
              <w:p w14:paraId="59D1B695" w14:textId="77777777" w:rsidR="004D1E83" w:rsidRPr="004D1E83" w:rsidRDefault="004D1E83" w:rsidP="004D1E83">
                <w:pPr>
                  <w:spacing w:after="0" w:line="240" w:lineRule="auto"/>
                  <w:jc w:val="right"/>
                  <w:rPr>
                    <w:rFonts w:ascii="Times New Roman" w:eastAsia="Times New Roman" w:hAnsi="Times New Roman"/>
                    <w:sz w:val="16"/>
                    <w:szCs w:val="16"/>
                    <w:lang w:eastAsia="es-CO"/>
                  </w:rPr>
                </w:pPr>
                <w:r w:rsidRPr="004D1E83">
                  <w:rPr>
                    <w:rFonts w:ascii="Times New Roman" w:eastAsia="Times New Roman" w:hAnsi="Times New Roman"/>
                    <w:sz w:val="16"/>
                    <w:szCs w:val="16"/>
                    <w:lang w:eastAsia="es-CO"/>
                  </w:rPr>
                  <w:t>-198.736.527.474</w:t>
                </w:r>
              </w:p>
            </w:tc>
            <w:tc>
              <w:tcPr>
                <w:tcW w:w="1514" w:type="dxa"/>
                <w:tcBorders>
                  <w:top w:val="nil"/>
                  <w:left w:val="nil"/>
                  <w:bottom w:val="single" w:sz="4" w:space="0" w:color="A6A6A6"/>
                  <w:right w:val="single" w:sz="4" w:space="0" w:color="A6A6A6"/>
                </w:tcBorders>
                <w:shd w:val="clear" w:color="auto" w:fill="auto"/>
                <w:noWrap/>
                <w:vAlign w:val="center"/>
                <w:hideMark/>
              </w:tcPr>
              <w:p w14:paraId="5D5650E8" w14:textId="77777777" w:rsidR="004D1E83" w:rsidRPr="004D1E83" w:rsidRDefault="004D1E83" w:rsidP="004D1E83">
                <w:pPr>
                  <w:spacing w:after="0" w:line="240" w:lineRule="auto"/>
                  <w:jc w:val="right"/>
                  <w:rPr>
                    <w:rFonts w:ascii="Times New Roman" w:eastAsia="Times New Roman" w:hAnsi="Times New Roman"/>
                    <w:sz w:val="16"/>
                    <w:szCs w:val="16"/>
                    <w:lang w:eastAsia="es-CO"/>
                  </w:rPr>
                </w:pPr>
                <w:r w:rsidRPr="004D1E83">
                  <w:rPr>
                    <w:rFonts w:ascii="Times New Roman" w:eastAsia="Times New Roman" w:hAnsi="Times New Roman"/>
                    <w:sz w:val="16"/>
                    <w:szCs w:val="16"/>
                    <w:lang w:eastAsia="es-CO"/>
                  </w:rPr>
                  <w:t>-4.208.315.682</w:t>
                </w:r>
              </w:p>
            </w:tc>
          </w:tr>
          <w:tr w:rsidR="004D1E83" w:rsidRPr="004D1E83" w14:paraId="71FDA2F9" w14:textId="77777777" w:rsidTr="009D5D74">
            <w:trPr>
              <w:trHeight w:val="300"/>
            </w:trPr>
            <w:tc>
              <w:tcPr>
                <w:tcW w:w="1129"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42F45CA2" w14:textId="77777777" w:rsidR="004D1E83" w:rsidRPr="004D1E83" w:rsidRDefault="004D1E83" w:rsidP="004D1E83">
                <w:pPr>
                  <w:spacing w:after="0" w:line="240" w:lineRule="auto"/>
                  <w:rPr>
                    <w:rFonts w:ascii="Times New Roman" w:eastAsia="Times New Roman" w:hAnsi="Times New Roman"/>
                    <w:sz w:val="16"/>
                    <w:szCs w:val="16"/>
                    <w:lang w:eastAsia="es-CO"/>
                  </w:rPr>
                </w:pPr>
                <w:r w:rsidRPr="004D1E83">
                  <w:rPr>
                    <w:rFonts w:ascii="Times New Roman" w:eastAsia="Times New Roman" w:hAnsi="Times New Roman"/>
                    <w:sz w:val="16"/>
                    <w:szCs w:val="16"/>
                    <w:lang w:eastAsia="es-CO"/>
                  </w:rPr>
                  <w:t>1.7.85.06</w:t>
                </w:r>
              </w:p>
            </w:tc>
            <w:tc>
              <w:tcPr>
                <w:tcW w:w="567" w:type="dxa"/>
                <w:tcBorders>
                  <w:top w:val="single" w:sz="4" w:space="0" w:color="A6A6A6"/>
                  <w:left w:val="nil"/>
                  <w:bottom w:val="single" w:sz="4" w:space="0" w:color="A6A6A6"/>
                  <w:right w:val="nil"/>
                </w:tcBorders>
                <w:shd w:val="clear" w:color="auto" w:fill="auto"/>
                <w:noWrap/>
                <w:vAlign w:val="center"/>
                <w:hideMark/>
              </w:tcPr>
              <w:p w14:paraId="33927A2F" w14:textId="77777777" w:rsidR="004D1E83" w:rsidRPr="004D1E83" w:rsidRDefault="004D1E83" w:rsidP="004D1E83">
                <w:pPr>
                  <w:spacing w:after="0" w:line="240" w:lineRule="auto"/>
                  <w:jc w:val="center"/>
                  <w:rPr>
                    <w:rFonts w:ascii="Times New Roman" w:eastAsia="Times New Roman" w:hAnsi="Times New Roman"/>
                    <w:sz w:val="16"/>
                    <w:szCs w:val="16"/>
                    <w:lang w:eastAsia="es-CO"/>
                  </w:rPr>
                </w:pPr>
                <w:r w:rsidRPr="004D1E83">
                  <w:rPr>
                    <w:rFonts w:ascii="Times New Roman" w:eastAsia="Times New Roman" w:hAnsi="Times New Roman"/>
                    <w:sz w:val="16"/>
                    <w:szCs w:val="16"/>
                    <w:lang w:eastAsia="es-CO"/>
                  </w:rPr>
                  <w:t>Cr</w:t>
                </w:r>
              </w:p>
            </w:tc>
            <w:tc>
              <w:tcPr>
                <w:tcW w:w="2919" w:type="dxa"/>
                <w:tcBorders>
                  <w:top w:val="single" w:sz="4" w:space="0" w:color="A6A6A6"/>
                  <w:left w:val="single" w:sz="4" w:space="0" w:color="A6A6A6"/>
                  <w:bottom w:val="single" w:sz="4" w:space="0" w:color="A6A6A6"/>
                  <w:right w:val="nil"/>
                </w:tcBorders>
                <w:shd w:val="clear" w:color="auto" w:fill="auto"/>
                <w:vAlign w:val="center"/>
                <w:hideMark/>
              </w:tcPr>
              <w:p w14:paraId="156633EB" w14:textId="77777777" w:rsidR="004D1E83" w:rsidRPr="004D1E83" w:rsidRDefault="004D1E83" w:rsidP="004D1E83">
                <w:pPr>
                  <w:spacing w:after="0" w:line="240" w:lineRule="auto"/>
                  <w:rPr>
                    <w:rFonts w:ascii="Times New Roman" w:eastAsia="Times New Roman" w:hAnsi="Times New Roman"/>
                    <w:sz w:val="16"/>
                    <w:szCs w:val="16"/>
                    <w:lang w:eastAsia="es-CO"/>
                  </w:rPr>
                </w:pPr>
                <w:r w:rsidRPr="004D1E83">
                  <w:rPr>
                    <w:rFonts w:ascii="Times New Roman" w:eastAsia="Times New Roman" w:hAnsi="Times New Roman"/>
                    <w:sz w:val="16"/>
                    <w:szCs w:val="16"/>
                    <w:lang w:eastAsia="es-CO"/>
                  </w:rPr>
                  <w:t>Depreciación: Red férrea</w:t>
                </w:r>
              </w:p>
            </w:tc>
            <w:tc>
              <w:tcPr>
                <w:tcW w:w="1420"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0CE285DB" w14:textId="77777777" w:rsidR="004D1E83" w:rsidRPr="004D1E83" w:rsidRDefault="004D1E83" w:rsidP="004D1E83">
                <w:pPr>
                  <w:spacing w:after="0" w:line="240" w:lineRule="auto"/>
                  <w:jc w:val="right"/>
                  <w:rPr>
                    <w:rFonts w:ascii="Times New Roman" w:eastAsia="Times New Roman" w:hAnsi="Times New Roman"/>
                    <w:sz w:val="16"/>
                    <w:szCs w:val="16"/>
                    <w:lang w:eastAsia="es-CO"/>
                  </w:rPr>
                </w:pPr>
                <w:r w:rsidRPr="004D1E83">
                  <w:rPr>
                    <w:rFonts w:ascii="Times New Roman" w:eastAsia="Times New Roman" w:hAnsi="Times New Roman"/>
                    <w:sz w:val="16"/>
                    <w:szCs w:val="16"/>
                    <w:lang w:eastAsia="es-CO"/>
                  </w:rPr>
                  <w:t>-743.964.586.414</w:t>
                </w:r>
              </w:p>
            </w:tc>
            <w:tc>
              <w:tcPr>
                <w:tcW w:w="1420" w:type="dxa"/>
                <w:tcBorders>
                  <w:top w:val="single" w:sz="4" w:space="0" w:color="A6A6A6"/>
                  <w:left w:val="nil"/>
                  <w:bottom w:val="single" w:sz="4" w:space="0" w:color="A6A6A6"/>
                  <w:right w:val="single" w:sz="4" w:space="0" w:color="A6A6A6"/>
                </w:tcBorders>
                <w:shd w:val="clear" w:color="auto" w:fill="auto"/>
                <w:noWrap/>
                <w:vAlign w:val="center"/>
                <w:hideMark/>
              </w:tcPr>
              <w:p w14:paraId="6935E0F9" w14:textId="77777777" w:rsidR="004D1E83" w:rsidRPr="004D1E83" w:rsidRDefault="004D1E83" w:rsidP="004D1E83">
                <w:pPr>
                  <w:spacing w:after="0" w:line="240" w:lineRule="auto"/>
                  <w:jc w:val="right"/>
                  <w:rPr>
                    <w:rFonts w:ascii="Times New Roman" w:eastAsia="Times New Roman" w:hAnsi="Times New Roman"/>
                    <w:sz w:val="16"/>
                    <w:szCs w:val="16"/>
                    <w:lang w:eastAsia="es-CO"/>
                  </w:rPr>
                </w:pPr>
                <w:r w:rsidRPr="004D1E83">
                  <w:rPr>
                    <w:rFonts w:ascii="Times New Roman" w:eastAsia="Times New Roman" w:hAnsi="Times New Roman"/>
                    <w:sz w:val="16"/>
                    <w:szCs w:val="16"/>
                    <w:lang w:eastAsia="es-CO"/>
                  </w:rPr>
                  <w:t>-716.067.209.634</w:t>
                </w:r>
              </w:p>
            </w:tc>
            <w:tc>
              <w:tcPr>
                <w:tcW w:w="1514" w:type="dxa"/>
                <w:tcBorders>
                  <w:top w:val="single" w:sz="4" w:space="0" w:color="A6A6A6"/>
                  <w:left w:val="nil"/>
                  <w:bottom w:val="single" w:sz="4" w:space="0" w:color="A6A6A6"/>
                  <w:right w:val="single" w:sz="4" w:space="0" w:color="A6A6A6"/>
                </w:tcBorders>
                <w:shd w:val="clear" w:color="auto" w:fill="auto"/>
                <w:noWrap/>
                <w:vAlign w:val="center"/>
                <w:hideMark/>
              </w:tcPr>
              <w:p w14:paraId="5304960F" w14:textId="77777777" w:rsidR="004D1E83" w:rsidRPr="004D1E83" w:rsidRDefault="004D1E83" w:rsidP="004D1E83">
                <w:pPr>
                  <w:spacing w:after="0" w:line="240" w:lineRule="auto"/>
                  <w:jc w:val="right"/>
                  <w:rPr>
                    <w:rFonts w:ascii="Times New Roman" w:eastAsia="Times New Roman" w:hAnsi="Times New Roman"/>
                    <w:sz w:val="16"/>
                    <w:szCs w:val="16"/>
                    <w:lang w:eastAsia="es-CO"/>
                  </w:rPr>
                </w:pPr>
                <w:r w:rsidRPr="004D1E83">
                  <w:rPr>
                    <w:rFonts w:ascii="Times New Roman" w:eastAsia="Times New Roman" w:hAnsi="Times New Roman"/>
                    <w:sz w:val="16"/>
                    <w:szCs w:val="16"/>
                    <w:lang w:eastAsia="es-CO"/>
                  </w:rPr>
                  <w:t>-27.897.376.780</w:t>
                </w:r>
              </w:p>
            </w:tc>
          </w:tr>
          <w:tr w:rsidR="004D1E83" w:rsidRPr="004D1E83" w14:paraId="746368C1" w14:textId="77777777" w:rsidTr="009D5D74">
            <w:trPr>
              <w:trHeight w:val="300"/>
            </w:trPr>
            <w:tc>
              <w:tcPr>
                <w:tcW w:w="1129"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6271CA95" w14:textId="77777777" w:rsidR="004D1E83" w:rsidRPr="004D1E83" w:rsidRDefault="004D1E83" w:rsidP="004D1E83">
                <w:pPr>
                  <w:spacing w:after="0" w:line="240" w:lineRule="auto"/>
                  <w:rPr>
                    <w:rFonts w:ascii="Times New Roman" w:eastAsia="Times New Roman" w:hAnsi="Times New Roman"/>
                    <w:sz w:val="16"/>
                    <w:szCs w:val="16"/>
                    <w:lang w:eastAsia="es-CO"/>
                  </w:rPr>
                </w:pPr>
                <w:r w:rsidRPr="004D1E83">
                  <w:rPr>
                    <w:rFonts w:ascii="Times New Roman" w:eastAsia="Times New Roman" w:hAnsi="Times New Roman"/>
                    <w:sz w:val="16"/>
                    <w:szCs w:val="16"/>
                    <w:lang w:eastAsia="es-CO"/>
                  </w:rPr>
                  <w:t>1.7.87.02</w:t>
                </w:r>
              </w:p>
            </w:tc>
            <w:tc>
              <w:tcPr>
                <w:tcW w:w="567" w:type="dxa"/>
                <w:tcBorders>
                  <w:top w:val="single" w:sz="4" w:space="0" w:color="A6A6A6"/>
                  <w:left w:val="nil"/>
                  <w:bottom w:val="single" w:sz="4" w:space="0" w:color="A6A6A6"/>
                  <w:right w:val="nil"/>
                </w:tcBorders>
                <w:shd w:val="clear" w:color="auto" w:fill="auto"/>
                <w:noWrap/>
                <w:vAlign w:val="center"/>
                <w:hideMark/>
              </w:tcPr>
              <w:p w14:paraId="42759D75" w14:textId="77777777" w:rsidR="004D1E83" w:rsidRPr="004D1E83" w:rsidRDefault="004D1E83" w:rsidP="004D1E83">
                <w:pPr>
                  <w:spacing w:after="0" w:line="240" w:lineRule="auto"/>
                  <w:jc w:val="center"/>
                  <w:rPr>
                    <w:rFonts w:ascii="Times New Roman" w:eastAsia="Times New Roman" w:hAnsi="Times New Roman"/>
                    <w:sz w:val="16"/>
                    <w:szCs w:val="16"/>
                    <w:lang w:eastAsia="es-CO"/>
                  </w:rPr>
                </w:pPr>
                <w:r w:rsidRPr="004D1E83">
                  <w:rPr>
                    <w:rFonts w:ascii="Times New Roman" w:eastAsia="Times New Roman" w:hAnsi="Times New Roman"/>
                    <w:sz w:val="16"/>
                    <w:szCs w:val="16"/>
                    <w:lang w:eastAsia="es-CO"/>
                  </w:rPr>
                  <w:t>Cr</w:t>
                </w:r>
              </w:p>
            </w:tc>
            <w:tc>
              <w:tcPr>
                <w:tcW w:w="2919" w:type="dxa"/>
                <w:tcBorders>
                  <w:top w:val="single" w:sz="4" w:space="0" w:color="A6A6A6"/>
                  <w:left w:val="single" w:sz="4" w:space="0" w:color="A6A6A6"/>
                  <w:bottom w:val="single" w:sz="4" w:space="0" w:color="A6A6A6"/>
                  <w:right w:val="nil"/>
                </w:tcBorders>
                <w:shd w:val="clear" w:color="auto" w:fill="auto"/>
                <w:vAlign w:val="center"/>
                <w:hideMark/>
              </w:tcPr>
              <w:p w14:paraId="3526577D" w14:textId="77777777" w:rsidR="004D1E83" w:rsidRPr="004D1E83" w:rsidRDefault="004D1E83" w:rsidP="004D1E83">
                <w:pPr>
                  <w:spacing w:after="0" w:line="240" w:lineRule="auto"/>
                  <w:rPr>
                    <w:rFonts w:ascii="Times New Roman" w:eastAsia="Times New Roman" w:hAnsi="Times New Roman"/>
                    <w:sz w:val="16"/>
                    <w:szCs w:val="16"/>
                    <w:lang w:eastAsia="es-CO"/>
                  </w:rPr>
                </w:pPr>
                <w:r w:rsidRPr="004D1E83">
                  <w:rPr>
                    <w:rFonts w:ascii="Times New Roman" w:eastAsia="Times New Roman" w:hAnsi="Times New Roman"/>
                    <w:sz w:val="16"/>
                    <w:szCs w:val="16"/>
                    <w:lang w:eastAsia="es-CO"/>
                  </w:rPr>
                  <w:t>Depreciación: Red férrea</w:t>
                </w:r>
              </w:p>
            </w:tc>
            <w:tc>
              <w:tcPr>
                <w:tcW w:w="1420"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1AF722EA" w14:textId="77777777" w:rsidR="004D1E83" w:rsidRPr="004D1E83" w:rsidRDefault="004D1E83" w:rsidP="004D1E83">
                <w:pPr>
                  <w:spacing w:after="0" w:line="240" w:lineRule="auto"/>
                  <w:jc w:val="right"/>
                  <w:rPr>
                    <w:rFonts w:ascii="Times New Roman" w:eastAsia="Times New Roman" w:hAnsi="Times New Roman"/>
                    <w:sz w:val="16"/>
                    <w:szCs w:val="16"/>
                    <w:lang w:eastAsia="es-CO"/>
                  </w:rPr>
                </w:pPr>
                <w:r w:rsidRPr="004D1E83">
                  <w:rPr>
                    <w:rFonts w:ascii="Times New Roman" w:eastAsia="Times New Roman" w:hAnsi="Times New Roman"/>
                    <w:sz w:val="16"/>
                    <w:szCs w:val="16"/>
                    <w:lang w:eastAsia="es-CO"/>
                  </w:rPr>
                  <w:t>-202.944.843.156</w:t>
                </w:r>
              </w:p>
            </w:tc>
            <w:tc>
              <w:tcPr>
                <w:tcW w:w="1420" w:type="dxa"/>
                <w:tcBorders>
                  <w:top w:val="single" w:sz="4" w:space="0" w:color="A6A6A6"/>
                  <w:left w:val="nil"/>
                  <w:bottom w:val="single" w:sz="4" w:space="0" w:color="A6A6A6"/>
                  <w:right w:val="single" w:sz="4" w:space="0" w:color="A6A6A6"/>
                </w:tcBorders>
                <w:shd w:val="clear" w:color="auto" w:fill="auto"/>
                <w:noWrap/>
                <w:vAlign w:val="center"/>
                <w:hideMark/>
              </w:tcPr>
              <w:p w14:paraId="16032FF2" w14:textId="77777777" w:rsidR="004D1E83" w:rsidRPr="004D1E83" w:rsidRDefault="004D1E83" w:rsidP="004D1E83">
                <w:pPr>
                  <w:spacing w:after="0" w:line="240" w:lineRule="auto"/>
                  <w:jc w:val="right"/>
                  <w:rPr>
                    <w:rFonts w:ascii="Times New Roman" w:eastAsia="Times New Roman" w:hAnsi="Times New Roman"/>
                    <w:sz w:val="16"/>
                    <w:szCs w:val="16"/>
                    <w:lang w:eastAsia="es-CO"/>
                  </w:rPr>
                </w:pPr>
                <w:r w:rsidRPr="004D1E83">
                  <w:rPr>
                    <w:rFonts w:ascii="Times New Roman" w:eastAsia="Times New Roman" w:hAnsi="Times New Roman"/>
                    <w:sz w:val="16"/>
                    <w:szCs w:val="16"/>
                    <w:lang w:eastAsia="es-CO"/>
                  </w:rPr>
                  <w:t>-198.736.527.474</w:t>
                </w:r>
              </w:p>
            </w:tc>
            <w:tc>
              <w:tcPr>
                <w:tcW w:w="1514" w:type="dxa"/>
                <w:tcBorders>
                  <w:top w:val="single" w:sz="4" w:space="0" w:color="A6A6A6"/>
                  <w:left w:val="nil"/>
                  <w:bottom w:val="single" w:sz="4" w:space="0" w:color="A6A6A6"/>
                  <w:right w:val="single" w:sz="4" w:space="0" w:color="A6A6A6"/>
                </w:tcBorders>
                <w:shd w:val="clear" w:color="auto" w:fill="auto"/>
                <w:noWrap/>
                <w:vAlign w:val="center"/>
                <w:hideMark/>
              </w:tcPr>
              <w:p w14:paraId="13530E97" w14:textId="77777777" w:rsidR="004D1E83" w:rsidRPr="004D1E83" w:rsidRDefault="004D1E83" w:rsidP="004D1E83">
                <w:pPr>
                  <w:spacing w:after="0" w:line="240" w:lineRule="auto"/>
                  <w:jc w:val="right"/>
                  <w:rPr>
                    <w:rFonts w:ascii="Times New Roman" w:eastAsia="Times New Roman" w:hAnsi="Times New Roman"/>
                    <w:sz w:val="16"/>
                    <w:szCs w:val="16"/>
                    <w:lang w:eastAsia="es-CO"/>
                  </w:rPr>
                </w:pPr>
                <w:r w:rsidRPr="004D1E83">
                  <w:rPr>
                    <w:rFonts w:ascii="Times New Roman" w:eastAsia="Times New Roman" w:hAnsi="Times New Roman"/>
                    <w:sz w:val="16"/>
                    <w:szCs w:val="16"/>
                    <w:lang w:eastAsia="es-CO"/>
                  </w:rPr>
                  <w:t>-4.208.315.682</w:t>
                </w:r>
              </w:p>
            </w:tc>
          </w:tr>
        </w:tbl>
        <w:p w14:paraId="68E086FB" w14:textId="439B282D" w:rsidR="005021CF" w:rsidRPr="00931DCE" w:rsidRDefault="00AD2026" w:rsidP="004A000E">
          <w:pPr>
            <w:spacing w:after="0" w:line="240" w:lineRule="auto"/>
            <w:jc w:val="both"/>
            <w:rPr>
              <w:rFonts w:ascii="Times New Roman" w:hAnsi="Times New Roman"/>
              <w:bCs/>
              <w:sz w:val="14"/>
              <w:szCs w:val="14"/>
            </w:rPr>
          </w:pPr>
          <w:r w:rsidRPr="00931DCE">
            <w:rPr>
              <w:rFonts w:ascii="Times New Roman" w:hAnsi="Times New Roman"/>
              <w:bCs/>
              <w:sz w:val="14"/>
              <w:szCs w:val="14"/>
            </w:rPr>
            <w:t>Cifras expresadas en pesos</w:t>
          </w:r>
        </w:p>
        <w:p w14:paraId="3A607A91" w14:textId="77777777" w:rsidR="00C32ED3" w:rsidRPr="00931DCE" w:rsidRDefault="00C32ED3" w:rsidP="004A000E">
          <w:pPr>
            <w:spacing w:after="0" w:line="240" w:lineRule="auto"/>
            <w:jc w:val="both"/>
            <w:rPr>
              <w:rFonts w:ascii="Times New Roman" w:hAnsi="Times New Roman"/>
              <w:b/>
              <w:sz w:val="24"/>
              <w:szCs w:val="24"/>
            </w:rPr>
          </w:pPr>
        </w:p>
        <w:p w14:paraId="685FAD2E" w14:textId="07D0C238" w:rsidR="00DD4C8E" w:rsidRPr="00931DCE" w:rsidRDefault="00DD4C8E" w:rsidP="00DD4C8E">
          <w:pPr>
            <w:spacing w:after="0" w:line="240" w:lineRule="auto"/>
            <w:jc w:val="both"/>
            <w:rPr>
              <w:rFonts w:ascii="Times New Roman" w:hAnsi="Times New Roman"/>
              <w:sz w:val="24"/>
              <w:szCs w:val="24"/>
            </w:rPr>
          </w:pPr>
          <w:r w:rsidRPr="00931DCE">
            <w:rPr>
              <w:rFonts w:ascii="Times New Roman" w:hAnsi="Times New Roman"/>
              <w:sz w:val="24"/>
              <w:szCs w:val="24"/>
            </w:rPr>
            <w:t>La Agencia Nacional de Infraestructura no tiene reconocidos bienes históricos y culturales, entendidos como los bienes tangibles controlados por la entidad, a los que se les atribuye, entre otros, valores colectivos, históricos, estéticos y simbólicos, y que, por tanto, la colectividad los reconoce como parte de su memoria e identidad.</w:t>
          </w:r>
        </w:p>
        <w:p w14:paraId="117C2CD2" w14:textId="0FA2E90D" w:rsidR="00F2658B" w:rsidRPr="00931DCE" w:rsidRDefault="00B12CAC" w:rsidP="00DD4C8E">
          <w:pPr>
            <w:spacing w:after="0" w:line="240" w:lineRule="auto"/>
            <w:jc w:val="both"/>
            <w:rPr>
              <w:rFonts w:ascii="Times New Roman" w:hAnsi="Times New Roman"/>
              <w:sz w:val="24"/>
              <w:szCs w:val="24"/>
            </w:rPr>
          </w:pPr>
          <w:r>
            <w:rPr>
              <w:rFonts w:ascii="Times New Roman" w:hAnsi="Times New Roman"/>
              <w:sz w:val="24"/>
              <w:szCs w:val="24"/>
            </w:rPr>
            <w:t xml:space="preserve"> </w:t>
          </w:r>
        </w:p>
        <w:p w14:paraId="3983A184" w14:textId="32610D4E" w:rsidR="00DD4C8E" w:rsidRPr="00931DCE" w:rsidRDefault="00DD4C8E" w:rsidP="00DD4C8E">
          <w:pPr>
            <w:spacing w:after="0" w:line="240" w:lineRule="auto"/>
            <w:jc w:val="both"/>
            <w:rPr>
              <w:rFonts w:ascii="Times New Roman" w:hAnsi="Times New Roman"/>
              <w:sz w:val="24"/>
              <w:szCs w:val="24"/>
            </w:rPr>
          </w:pPr>
          <w:r w:rsidRPr="00931DCE">
            <w:rPr>
              <w:rFonts w:ascii="Times New Roman" w:hAnsi="Times New Roman"/>
              <w:sz w:val="24"/>
              <w:szCs w:val="24"/>
            </w:rPr>
            <w:t xml:space="preserve">En cuanto a los bienes de uso público, se reconocen los activos destinados para el uso, goce y disfrute de la colectividad y que, por lo tanto, están al servicio de esta en forma permanente, con las limitaciones que establece el ordenamiento jurídico y la autoridad que regula su utilización. </w:t>
          </w:r>
        </w:p>
        <w:p w14:paraId="09D81CB3" w14:textId="77777777" w:rsidR="00DD4C8E" w:rsidRPr="00931DCE" w:rsidRDefault="00DD4C8E" w:rsidP="00DD4C8E">
          <w:pPr>
            <w:spacing w:after="0" w:line="240" w:lineRule="auto"/>
            <w:jc w:val="both"/>
            <w:rPr>
              <w:rFonts w:ascii="Times New Roman" w:hAnsi="Times New Roman"/>
              <w:sz w:val="24"/>
              <w:szCs w:val="24"/>
            </w:rPr>
          </w:pPr>
        </w:p>
        <w:p w14:paraId="42D1A70A" w14:textId="77777777" w:rsidR="00DD4C8E" w:rsidRPr="00931DCE" w:rsidRDefault="00DD4C8E" w:rsidP="00DD4C8E">
          <w:pPr>
            <w:spacing w:after="0" w:line="240" w:lineRule="auto"/>
            <w:jc w:val="both"/>
            <w:rPr>
              <w:rFonts w:ascii="Times New Roman" w:hAnsi="Times New Roman"/>
              <w:sz w:val="24"/>
              <w:szCs w:val="24"/>
            </w:rPr>
          </w:pPr>
          <w:r w:rsidRPr="00931DCE">
            <w:rPr>
              <w:rFonts w:ascii="Times New Roman" w:hAnsi="Times New Roman"/>
              <w:sz w:val="24"/>
              <w:szCs w:val="24"/>
            </w:rPr>
            <w:t xml:space="preserve">Respecto a estos bienes, el Estado cumple una función de protección, administración, mantenimiento y apoyo financiero. Los bienes de uso público se caracterizan porque son inalienables, imprescriptibles e inembargables. </w:t>
          </w:r>
        </w:p>
        <w:p w14:paraId="00020454" w14:textId="77777777" w:rsidR="00DD4C8E" w:rsidRPr="00931DCE" w:rsidRDefault="00DD4C8E" w:rsidP="00DD4C8E">
          <w:pPr>
            <w:spacing w:after="0" w:line="240" w:lineRule="auto"/>
            <w:jc w:val="both"/>
            <w:rPr>
              <w:rFonts w:ascii="Times New Roman" w:hAnsi="Times New Roman"/>
              <w:sz w:val="24"/>
              <w:szCs w:val="24"/>
            </w:rPr>
          </w:pPr>
        </w:p>
        <w:p w14:paraId="686CA7E3" w14:textId="73DE0173" w:rsidR="00DD4C8E" w:rsidRPr="00931DCE" w:rsidRDefault="00DD4C8E" w:rsidP="00DD4C8E">
          <w:pPr>
            <w:spacing w:after="0" w:line="240" w:lineRule="auto"/>
            <w:jc w:val="both"/>
            <w:rPr>
              <w:rFonts w:ascii="Times New Roman" w:hAnsi="Times New Roman"/>
              <w:sz w:val="24"/>
              <w:szCs w:val="24"/>
            </w:rPr>
          </w:pPr>
          <w:r w:rsidRPr="00931DCE">
            <w:rPr>
              <w:rFonts w:ascii="Times New Roman" w:hAnsi="Times New Roman"/>
              <w:sz w:val="24"/>
              <w:szCs w:val="24"/>
            </w:rPr>
            <w:t xml:space="preserve">Los </w:t>
          </w:r>
          <w:r w:rsidR="00C43D35">
            <w:rPr>
              <w:rFonts w:ascii="Times New Roman" w:hAnsi="Times New Roman"/>
              <w:sz w:val="24"/>
              <w:szCs w:val="24"/>
            </w:rPr>
            <w:t>b</w:t>
          </w:r>
          <w:r w:rsidRPr="00931DCE">
            <w:rPr>
              <w:rFonts w:ascii="Times New Roman" w:hAnsi="Times New Roman"/>
              <w:sz w:val="24"/>
              <w:szCs w:val="24"/>
            </w:rPr>
            <w:t>ienes de uso público, asociados a la ejecución de acuerdos de concesión y asociación público-privadas (APP), comprenden los activos de infraestructura de transporte en fase de construcción o en servicio de los diferentes modos de transporte</w:t>
          </w:r>
          <w:r w:rsidR="00454F5D">
            <w:rPr>
              <w:rFonts w:ascii="Times New Roman" w:hAnsi="Times New Roman"/>
              <w:sz w:val="24"/>
              <w:szCs w:val="24"/>
            </w:rPr>
            <w:t xml:space="preserve"> (</w:t>
          </w:r>
          <w:r w:rsidRPr="00931DCE">
            <w:rPr>
              <w:rFonts w:ascii="Times New Roman" w:hAnsi="Times New Roman"/>
              <w:sz w:val="24"/>
              <w:szCs w:val="24"/>
            </w:rPr>
            <w:t>Red carretera, Red férrea, Red marítima</w:t>
          </w:r>
          <w:r w:rsidR="00454F5D">
            <w:rPr>
              <w:rFonts w:ascii="Times New Roman" w:hAnsi="Times New Roman"/>
              <w:sz w:val="24"/>
              <w:szCs w:val="24"/>
            </w:rPr>
            <w:t xml:space="preserve"> y</w:t>
          </w:r>
          <w:r w:rsidRPr="00931DCE">
            <w:rPr>
              <w:rFonts w:ascii="Times New Roman" w:hAnsi="Times New Roman"/>
              <w:sz w:val="24"/>
              <w:szCs w:val="24"/>
            </w:rPr>
            <w:t xml:space="preserve"> Red aeroportuaria</w:t>
          </w:r>
          <w:r w:rsidR="00454F5D">
            <w:rPr>
              <w:rFonts w:ascii="Times New Roman" w:hAnsi="Times New Roman"/>
              <w:sz w:val="24"/>
              <w:szCs w:val="24"/>
            </w:rPr>
            <w:t>)</w:t>
          </w:r>
          <w:r w:rsidRPr="00931DCE">
            <w:rPr>
              <w:rFonts w:ascii="Times New Roman" w:hAnsi="Times New Roman"/>
              <w:sz w:val="24"/>
              <w:szCs w:val="24"/>
            </w:rPr>
            <w:t>. (Ver Nota 32)</w:t>
          </w:r>
        </w:p>
        <w:p w14:paraId="2B719119" w14:textId="77777777" w:rsidR="00DD4C8E" w:rsidRPr="00931DCE" w:rsidRDefault="00DD4C8E" w:rsidP="00DD4C8E">
          <w:pPr>
            <w:spacing w:after="0" w:line="240" w:lineRule="auto"/>
            <w:jc w:val="both"/>
            <w:rPr>
              <w:rFonts w:ascii="Times New Roman" w:hAnsi="Times New Roman"/>
              <w:sz w:val="24"/>
              <w:szCs w:val="24"/>
            </w:rPr>
          </w:pPr>
        </w:p>
        <w:p w14:paraId="3DD6F4FC" w14:textId="7D071CAC" w:rsidR="00DD4C8E" w:rsidRPr="00931DCE" w:rsidRDefault="00DD4C8E" w:rsidP="00DD4C8E">
          <w:pPr>
            <w:spacing w:after="0" w:line="240" w:lineRule="auto"/>
            <w:jc w:val="both"/>
            <w:rPr>
              <w:rFonts w:ascii="Times New Roman" w:hAnsi="Times New Roman"/>
              <w:sz w:val="24"/>
              <w:szCs w:val="24"/>
            </w:rPr>
          </w:pPr>
          <w:r w:rsidRPr="00931DCE">
            <w:rPr>
              <w:rFonts w:ascii="Times New Roman" w:hAnsi="Times New Roman"/>
              <w:sz w:val="24"/>
              <w:szCs w:val="24"/>
            </w:rPr>
            <w:t>Teniendo en cuenta que de acuerdo con lo contractualmente pactado los concesionarios no está</w:t>
          </w:r>
          <w:r w:rsidR="006B48AA" w:rsidRPr="00931DCE">
            <w:rPr>
              <w:rFonts w:ascii="Times New Roman" w:hAnsi="Times New Roman"/>
              <w:sz w:val="24"/>
              <w:szCs w:val="24"/>
            </w:rPr>
            <w:t>n</w:t>
          </w:r>
          <w:r w:rsidRPr="00931DCE">
            <w:rPr>
              <w:rFonts w:ascii="Times New Roman" w:hAnsi="Times New Roman"/>
              <w:sz w:val="24"/>
              <w:szCs w:val="24"/>
            </w:rPr>
            <w:t xml:space="preserve"> obligado a entregar la información de valores específicos para separar los activos que proporcione el concesionario y la mejora o rehabilitación a los activos existentes de esta, de los gastos que la entidad concedente asuma por la operación y mantenimiento de los activos en concesión, la Agencia emplea técnicas de estimación para medir el valor de los activos, pasivos y gastos.</w:t>
          </w:r>
        </w:p>
        <w:p w14:paraId="50744778" w14:textId="66FCCA75" w:rsidR="00DD4C8E" w:rsidRPr="00931DCE" w:rsidRDefault="00DD4C8E" w:rsidP="004A000E">
          <w:pPr>
            <w:spacing w:after="0" w:line="240" w:lineRule="auto"/>
            <w:jc w:val="both"/>
            <w:rPr>
              <w:rFonts w:ascii="Times New Roman" w:hAnsi="Times New Roman"/>
              <w:b/>
              <w:sz w:val="24"/>
              <w:szCs w:val="24"/>
            </w:rPr>
          </w:pPr>
        </w:p>
        <w:p w14:paraId="50966208" w14:textId="77777777" w:rsidR="00DD4C8E" w:rsidRPr="00931DCE" w:rsidRDefault="00DD4C8E" w:rsidP="00DD4C8E">
          <w:pPr>
            <w:spacing w:after="0" w:line="240" w:lineRule="auto"/>
            <w:jc w:val="both"/>
            <w:rPr>
              <w:rFonts w:ascii="Times New Roman" w:hAnsi="Times New Roman"/>
              <w:sz w:val="24"/>
              <w:szCs w:val="24"/>
            </w:rPr>
          </w:pPr>
          <w:r w:rsidRPr="00931DCE">
            <w:rPr>
              <w:rFonts w:ascii="Times New Roman" w:hAnsi="Times New Roman"/>
              <w:sz w:val="24"/>
              <w:szCs w:val="24"/>
            </w:rPr>
            <w:t>El mejoramiento y rehabilitación de un bien de uso público se reconocerá como mayor valor de este y, en consecuencia, afectará el cálculo futuro de la depreciación. Por su parte, el mantenimiento y la conservación de los bienes de uso público se reconocerán como gasto en el resultado del periodo cuando a ello haya lugar.</w:t>
          </w:r>
        </w:p>
        <w:p w14:paraId="343BC026" w14:textId="77777777" w:rsidR="00DD4C8E" w:rsidRPr="00931DCE" w:rsidRDefault="00DD4C8E" w:rsidP="00DD4C8E">
          <w:pPr>
            <w:spacing w:after="0" w:line="240" w:lineRule="auto"/>
            <w:jc w:val="both"/>
            <w:rPr>
              <w:rFonts w:ascii="Times New Roman" w:hAnsi="Times New Roman"/>
              <w:sz w:val="24"/>
              <w:szCs w:val="24"/>
            </w:rPr>
          </w:pPr>
        </w:p>
        <w:p w14:paraId="73473337" w14:textId="44F3408C" w:rsidR="00DD4C8E" w:rsidRPr="00931DCE" w:rsidRDefault="00DD4C8E" w:rsidP="00DD4C8E">
          <w:pPr>
            <w:spacing w:after="0" w:line="240" w:lineRule="auto"/>
            <w:jc w:val="both"/>
            <w:rPr>
              <w:rFonts w:ascii="Times New Roman" w:hAnsi="Times New Roman"/>
              <w:sz w:val="24"/>
              <w:szCs w:val="24"/>
            </w:rPr>
          </w:pPr>
          <w:r w:rsidRPr="00931DCE">
            <w:rPr>
              <w:rFonts w:ascii="Times New Roman" w:hAnsi="Times New Roman"/>
              <w:sz w:val="24"/>
              <w:szCs w:val="24"/>
            </w:rPr>
            <w:t>La Agencia realizará el reconocimiento contable de los predios adquiridos en virtud de los contratos de concesión, para cada uno de los proyectos, de los modos de transporte carretero y férreo, conforme a la información reportada por los GIT Predial, Jurídico Predial y Social de la Vicepresidencia de Planeación, Riesgos y Entorno (VPRE), en los formatos implementados en el Sistema de Gestión de Calidad</w:t>
          </w:r>
          <w:r w:rsidR="004906C0" w:rsidRPr="00931DCE">
            <w:rPr>
              <w:rFonts w:ascii="Times New Roman" w:hAnsi="Times New Roman"/>
              <w:sz w:val="24"/>
              <w:szCs w:val="24"/>
            </w:rPr>
            <w:t>.</w:t>
          </w:r>
        </w:p>
        <w:p w14:paraId="0D84B4C7" w14:textId="77777777" w:rsidR="00DD4C8E" w:rsidRPr="00931DCE" w:rsidRDefault="00DD4C8E" w:rsidP="00DD4C8E">
          <w:pPr>
            <w:spacing w:after="0" w:line="240" w:lineRule="auto"/>
            <w:jc w:val="both"/>
            <w:rPr>
              <w:rFonts w:ascii="Times New Roman" w:hAnsi="Times New Roman"/>
              <w:sz w:val="24"/>
              <w:szCs w:val="24"/>
            </w:rPr>
          </w:pPr>
        </w:p>
        <w:p w14:paraId="2B9626A0" w14:textId="77777777" w:rsidR="00DD4C8E" w:rsidRPr="00931DCE" w:rsidRDefault="00DD4C8E" w:rsidP="00DD4C8E">
          <w:pPr>
            <w:spacing w:after="0" w:line="240" w:lineRule="auto"/>
            <w:jc w:val="both"/>
            <w:rPr>
              <w:rFonts w:ascii="Times New Roman" w:hAnsi="Times New Roman"/>
              <w:sz w:val="24"/>
              <w:szCs w:val="24"/>
            </w:rPr>
          </w:pPr>
          <w:r w:rsidRPr="00931DCE">
            <w:rPr>
              <w:rFonts w:ascii="Times New Roman" w:hAnsi="Times New Roman"/>
              <w:sz w:val="24"/>
              <w:szCs w:val="24"/>
            </w:rPr>
            <w:t>Con posterioridad al reconocimiento, la Agencia medirá los bienes de uso público asociados a los acuerdos de concesión, por el costo menos la depreciación acumulada menos el deterioro acumulado:</w:t>
          </w:r>
        </w:p>
        <w:p w14:paraId="3A549AEC" w14:textId="77777777" w:rsidR="00DD4C8E" w:rsidRPr="00931DCE" w:rsidRDefault="00DD4C8E" w:rsidP="00DD4C8E">
          <w:pPr>
            <w:spacing w:after="0" w:line="240" w:lineRule="auto"/>
            <w:jc w:val="both"/>
            <w:rPr>
              <w:rFonts w:ascii="Times New Roman" w:hAnsi="Times New Roman"/>
              <w:sz w:val="24"/>
              <w:szCs w:val="24"/>
            </w:rPr>
          </w:pPr>
        </w:p>
        <w:p w14:paraId="5AC81E8F" w14:textId="77777777" w:rsidR="00DD4C8E" w:rsidRPr="00931DCE" w:rsidRDefault="00DD4C8E" w:rsidP="00DD4C8E">
          <w:pPr>
            <w:jc w:val="center"/>
            <w:rPr>
              <w:rFonts w:ascii="Times New Roman" w:hAnsi="Times New Roman"/>
              <w:i/>
              <w:iCs/>
              <w:sz w:val="20"/>
              <w:szCs w:val="20"/>
            </w:rPr>
          </w:pPr>
          <w:r w:rsidRPr="00931DCE">
            <w:rPr>
              <w:rFonts w:ascii="Times New Roman" w:hAnsi="Times New Roman"/>
              <w:b/>
              <w:bCs/>
              <w:i/>
              <w:iCs/>
              <w:sz w:val="20"/>
              <w:szCs w:val="20"/>
            </w:rPr>
            <w:t>Medición posterior</w:t>
          </w:r>
          <w:r w:rsidRPr="00931DCE">
            <w:rPr>
              <w:rFonts w:ascii="Times New Roman" w:hAnsi="Times New Roman"/>
              <w:i/>
              <w:iCs/>
              <w:sz w:val="20"/>
              <w:szCs w:val="20"/>
            </w:rPr>
            <w:t xml:space="preserve"> = Costo inicial del activo o histórico – Depreciación acumulada – Deterioro acumulado</w:t>
          </w:r>
        </w:p>
        <w:p w14:paraId="74ECEA5D" w14:textId="464845E1" w:rsidR="00DD4C8E" w:rsidRPr="00931DCE" w:rsidRDefault="00DD4C8E" w:rsidP="00DD4C8E">
          <w:pPr>
            <w:spacing w:after="0" w:line="240" w:lineRule="auto"/>
            <w:jc w:val="both"/>
            <w:rPr>
              <w:rFonts w:ascii="Times New Roman" w:hAnsi="Times New Roman"/>
              <w:sz w:val="24"/>
              <w:szCs w:val="24"/>
            </w:rPr>
          </w:pPr>
          <w:r w:rsidRPr="00931DCE">
            <w:rPr>
              <w:rFonts w:ascii="Times New Roman" w:hAnsi="Times New Roman"/>
              <w:sz w:val="24"/>
              <w:szCs w:val="24"/>
            </w:rPr>
            <w:t xml:space="preserve">Para los modos de transporte carretero y portuario, </w:t>
          </w:r>
          <w:r w:rsidR="004E4FD9" w:rsidRPr="00931DCE">
            <w:rPr>
              <w:rFonts w:ascii="Times New Roman" w:hAnsi="Times New Roman"/>
              <w:sz w:val="24"/>
              <w:szCs w:val="24"/>
            </w:rPr>
            <w:t xml:space="preserve">se </w:t>
          </w:r>
          <w:r w:rsidR="000966D7" w:rsidRPr="00931DCE">
            <w:rPr>
              <w:rFonts w:ascii="Times New Roman" w:hAnsi="Times New Roman"/>
              <w:sz w:val="24"/>
              <w:szCs w:val="24"/>
            </w:rPr>
            <w:t>continuará</w:t>
          </w:r>
          <w:r w:rsidR="004E4FD9" w:rsidRPr="00931DCE">
            <w:rPr>
              <w:rFonts w:ascii="Times New Roman" w:hAnsi="Times New Roman"/>
              <w:sz w:val="24"/>
              <w:szCs w:val="24"/>
            </w:rPr>
            <w:t xml:space="preserve"> con </w:t>
          </w:r>
          <w:r w:rsidRPr="00931DCE">
            <w:rPr>
              <w:rFonts w:ascii="Times New Roman" w:hAnsi="Times New Roman"/>
              <w:sz w:val="24"/>
              <w:szCs w:val="24"/>
            </w:rPr>
            <w:t xml:space="preserve">las actividades concernientes a la definición de vidas útiles de conformidad con el plan de trabajo suscrito por la entidad para dar cumplimiento a </w:t>
          </w:r>
          <w:r w:rsidR="000966D7" w:rsidRPr="00931DCE">
            <w:rPr>
              <w:rFonts w:ascii="Times New Roman" w:hAnsi="Times New Roman"/>
              <w:sz w:val="24"/>
              <w:szCs w:val="24"/>
            </w:rPr>
            <w:t>la norma de acuerdos de concesión.</w:t>
          </w:r>
        </w:p>
        <w:p w14:paraId="3FE7D5AA" w14:textId="77777777" w:rsidR="00DD4C8E" w:rsidRPr="00931DCE" w:rsidRDefault="00DD4C8E" w:rsidP="00DD4C8E">
          <w:pPr>
            <w:spacing w:after="0" w:line="240" w:lineRule="auto"/>
            <w:jc w:val="both"/>
            <w:rPr>
              <w:rFonts w:ascii="Times New Roman" w:hAnsi="Times New Roman"/>
              <w:sz w:val="24"/>
              <w:szCs w:val="24"/>
            </w:rPr>
          </w:pPr>
        </w:p>
        <w:p w14:paraId="3364D4F6" w14:textId="5188AC93" w:rsidR="00DD4C8E" w:rsidRPr="00931DCE" w:rsidRDefault="00DD4C8E" w:rsidP="00DD4C8E">
          <w:pPr>
            <w:spacing w:after="0" w:line="240" w:lineRule="auto"/>
            <w:jc w:val="both"/>
            <w:rPr>
              <w:rFonts w:ascii="Times New Roman" w:hAnsi="Times New Roman"/>
              <w:sz w:val="24"/>
              <w:szCs w:val="24"/>
            </w:rPr>
          </w:pPr>
          <w:r w:rsidRPr="00931DCE">
            <w:rPr>
              <w:rFonts w:ascii="Times New Roman" w:hAnsi="Times New Roman"/>
              <w:sz w:val="24"/>
              <w:szCs w:val="24"/>
            </w:rPr>
            <w:t>Para el modo de transporte férreo, los cargos por depreciación y/o amortización, se realiza</w:t>
          </w:r>
          <w:r w:rsidR="00545705">
            <w:rPr>
              <w:rFonts w:ascii="Times New Roman" w:hAnsi="Times New Roman"/>
              <w:sz w:val="24"/>
              <w:szCs w:val="24"/>
            </w:rPr>
            <w:t>ron</w:t>
          </w:r>
          <w:r w:rsidRPr="00931DCE">
            <w:rPr>
              <w:rFonts w:ascii="Times New Roman" w:hAnsi="Times New Roman"/>
              <w:sz w:val="24"/>
              <w:szCs w:val="24"/>
            </w:rPr>
            <w:t xml:space="preserve"> de acuerdo con el Formato GCSP-F-289 “</w:t>
          </w:r>
          <w:r w:rsidRPr="00931DCE">
            <w:rPr>
              <w:rFonts w:ascii="Times New Roman" w:hAnsi="Times New Roman"/>
              <w:i/>
              <w:iCs/>
              <w:sz w:val="24"/>
              <w:szCs w:val="24"/>
            </w:rPr>
            <w:t>Informe de la Metodología para la obtención de información de bienes de uso público y propiedad, planta y equipo en el modo férreo según el nuevo marco normativo para entidades de gobierno</w:t>
          </w:r>
          <w:r w:rsidRPr="00931DCE">
            <w:rPr>
              <w:rFonts w:ascii="Times New Roman" w:hAnsi="Times New Roman"/>
              <w:sz w:val="24"/>
              <w:szCs w:val="24"/>
            </w:rPr>
            <w:t>”.  Esta metodología, se irá ajustando de ser necesario, dentro de los plazos establecidos por la Contaduría General de la Nación para dar cumplimiento a los preceptos normativos y a la Resolución CGN No. 602 de 2018 y sus modificaciones.</w:t>
          </w:r>
        </w:p>
        <w:p w14:paraId="3E4AC27A" w14:textId="77777777" w:rsidR="00DD4C8E" w:rsidRPr="00931DCE" w:rsidRDefault="00DD4C8E" w:rsidP="00DD4C8E">
          <w:pPr>
            <w:spacing w:after="0" w:line="240" w:lineRule="auto"/>
            <w:rPr>
              <w:rFonts w:ascii="Times New Roman" w:hAnsi="Times New Roman"/>
              <w:sz w:val="24"/>
              <w:szCs w:val="24"/>
            </w:rPr>
          </w:pPr>
        </w:p>
        <w:p w14:paraId="4024846C" w14:textId="07E06521" w:rsidR="00DD4C8E" w:rsidRPr="00931DCE" w:rsidRDefault="00DD4C8E" w:rsidP="004906C0">
          <w:pPr>
            <w:spacing w:after="0" w:line="240" w:lineRule="auto"/>
            <w:jc w:val="both"/>
            <w:rPr>
              <w:rFonts w:ascii="Times New Roman" w:hAnsi="Times New Roman"/>
              <w:sz w:val="24"/>
              <w:szCs w:val="24"/>
            </w:rPr>
          </w:pPr>
          <w:r w:rsidRPr="00931DCE">
            <w:rPr>
              <w:rFonts w:ascii="Times New Roman" w:hAnsi="Times New Roman"/>
              <w:sz w:val="24"/>
              <w:szCs w:val="24"/>
            </w:rPr>
            <w:lastRenderedPageBreak/>
            <w:t xml:space="preserve">Para el modo aeroportuario, </w:t>
          </w:r>
          <w:r w:rsidR="00DD68B3" w:rsidRPr="00931DCE">
            <w:rPr>
              <w:rFonts w:ascii="Times New Roman" w:hAnsi="Times New Roman"/>
              <w:sz w:val="24"/>
              <w:szCs w:val="24"/>
            </w:rPr>
            <w:t>l</w:t>
          </w:r>
          <w:r w:rsidRPr="00931DCE">
            <w:rPr>
              <w:rFonts w:ascii="Times New Roman" w:hAnsi="Times New Roman"/>
              <w:sz w:val="24"/>
              <w:szCs w:val="24"/>
            </w:rPr>
            <w:t xml:space="preserve">as inversiones realizadas a partir del año 2020 son registradas por la </w:t>
          </w:r>
          <w:r w:rsidR="00583322" w:rsidRPr="002721D6">
            <w:rPr>
              <w:rFonts w:ascii="Times New Roman" w:hAnsi="Times New Roman"/>
              <w:sz w:val="24"/>
              <w:szCs w:val="24"/>
            </w:rPr>
            <w:t>A</w:t>
          </w:r>
          <w:r w:rsidR="00583322">
            <w:rPr>
              <w:rFonts w:ascii="Times New Roman" w:hAnsi="Times New Roman"/>
              <w:sz w:val="24"/>
              <w:szCs w:val="24"/>
            </w:rPr>
            <w:t>EROCIVIL</w:t>
          </w:r>
          <w:r w:rsidRPr="00931DCE">
            <w:rPr>
              <w:rFonts w:ascii="Times New Roman" w:hAnsi="Times New Roman"/>
              <w:sz w:val="24"/>
              <w:szCs w:val="24"/>
            </w:rPr>
            <w:t xml:space="preserve"> por ser la entidad concedente para fines contables</w:t>
          </w:r>
          <w:r w:rsidR="00583322" w:rsidRPr="002721D6">
            <w:rPr>
              <w:rFonts w:ascii="Times New Roman" w:hAnsi="Times New Roman"/>
              <w:sz w:val="24"/>
              <w:szCs w:val="24"/>
            </w:rPr>
            <w:t xml:space="preserve">, de acuerdo con lo conceptuado por la Contaduría General de la Nación – GGN radicado 20201000049391 del 14-10-2020. Por tanto, a partir del año 2020 le corresponde a la </w:t>
          </w:r>
          <w:r w:rsidR="00583322">
            <w:rPr>
              <w:rFonts w:ascii="Times New Roman" w:hAnsi="Times New Roman"/>
              <w:sz w:val="24"/>
              <w:szCs w:val="24"/>
            </w:rPr>
            <w:t>AEROCIVL</w:t>
          </w:r>
          <w:r w:rsidR="00583322" w:rsidRPr="002721D6">
            <w:rPr>
              <w:rFonts w:ascii="Times New Roman" w:hAnsi="Times New Roman"/>
              <w:sz w:val="24"/>
              <w:szCs w:val="24"/>
            </w:rPr>
            <w:t xml:space="preserve"> efectuar el registro contable de los hechos económicos que se originan en los acuerdos de concesión de la infraestructura de transporte aeronáutica y aeroportuaria</w:t>
          </w:r>
          <w:r w:rsidR="00583322">
            <w:rPr>
              <w:rFonts w:ascii="Times New Roman" w:hAnsi="Times New Roman"/>
              <w:sz w:val="24"/>
              <w:szCs w:val="24"/>
            </w:rPr>
            <w:t>.</w:t>
          </w:r>
        </w:p>
        <w:p w14:paraId="0901F47F" w14:textId="77777777" w:rsidR="004906C0" w:rsidRPr="00931DCE" w:rsidRDefault="004906C0" w:rsidP="004906C0">
          <w:pPr>
            <w:spacing w:after="0" w:line="240" w:lineRule="auto"/>
            <w:jc w:val="both"/>
            <w:rPr>
              <w:rFonts w:ascii="Times New Roman" w:hAnsi="Times New Roman"/>
              <w:sz w:val="24"/>
              <w:szCs w:val="24"/>
            </w:rPr>
          </w:pPr>
        </w:p>
        <w:p w14:paraId="53F8EE03" w14:textId="3E893BD3" w:rsidR="00DD4C8E" w:rsidRPr="00931DCE" w:rsidRDefault="004906C0" w:rsidP="00DD4C8E">
          <w:pPr>
            <w:spacing w:after="0" w:line="240" w:lineRule="auto"/>
            <w:jc w:val="both"/>
            <w:rPr>
              <w:rFonts w:ascii="Times New Roman" w:hAnsi="Times New Roman"/>
              <w:sz w:val="24"/>
              <w:szCs w:val="24"/>
            </w:rPr>
          </w:pPr>
          <w:r w:rsidRPr="00931DCE">
            <w:rPr>
              <w:rFonts w:ascii="Times New Roman" w:hAnsi="Times New Roman"/>
              <w:sz w:val="24"/>
              <w:szCs w:val="24"/>
            </w:rPr>
            <w:t>T</w:t>
          </w:r>
          <w:r w:rsidR="00DD4C8E" w:rsidRPr="00931DCE">
            <w:rPr>
              <w:rFonts w:ascii="Times New Roman" w:hAnsi="Times New Roman"/>
              <w:sz w:val="24"/>
              <w:szCs w:val="24"/>
            </w:rPr>
            <w:t>ambién se registran como bienes de uso público, las obras para la conservación de los tramos desafectados de la vía férrea “la Dorada – Chiriguaná y Bogotá – Belencito”.</w:t>
          </w:r>
        </w:p>
        <w:p w14:paraId="08FC9927" w14:textId="77777777" w:rsidR="00B66203" w:rsidRPr="00931DCE" w:rsidRDefault="00B66203" w:rsidP="00DD4C8E">
          <w:pPr>
            <w:spacing w:after="0" w:line="240" w:lineRule="auto"/>
            <w:jc w:val="both"/>
            <w:rPr>
              <w:rFonts w:ascii="Times New Roman" w:hAnsi="Times New Roman"/>
              <w:sz w:val="24"/>
              <w:szCs w:val="24"/>
            </w:rPr>
          </w:pPr>
        </w:p>
        <w:p w14:paraId="3E95B27F" w14:textId="7EB743D4" w:rsidR="00EE223A" w:rsidRPr="00931DCE" w:rsidRDefault="00EE223A">
          <w:pPr>
            <w:pStyle w:val="Ttulo2"/>
            <w:numPr>
              <w:ilvl w:val="1"/>
              <w:numId w:val="12"/>
            </w:numPr>
            <w:ind w:left="567" w:hanging="567"/>
            <w:rPr>
              <w:rFonts w:cs="Times New Roman"/>
              <w:szCs w:val="22"/>
            </w:rPr>
          </w:pPr>
          <w:bookmarkStart w:id="40" w:name="_Toc159952383"/>
          <w:r w:rsidRPr="00931DCE">
            <w:rPr>
              <w:rFonts w:cs="Times New Roman"/>
              <w:szCs w:val="22"/>
            </w:rPr>
            <w:t>Bienes de uso público (BUP)</w:t>
          </w:r>
          <w:bookmarkEnd w:id="40"/>
        </w:p>
        <w:p w14:paraId="7EB615E0" w14:textId="345B6160" w:rsidR="002C70C5" w:rsidRPr="00931DCE" w:rsidRDefault="002C70C5" w:rsidP="004A000E">
          <w:pPr>
            <w:spacing w:after="0" w:line="240" w:lineRule="auto"/>
            <w:jc w:val="both"/>
            <w:rPr>
              <w:rFonts w:ascii="Times New Roman" w:hAnsi="Times New Roman"/>
              <w:sz w:val="24"/>
              <w:szCs w:val="24"/>
            </w:rPr>
          </w:pPr>
        </w:p>
        <w:p w14:paraId="70D56D33" w14:textId="32F0FE2A" w:rsidR="00DD4C8E" w:rsidRPr="00931DCE" w:rsidRDefault="00DD4C8E" w:rsidP="00DD4C8E">
          <w:pPr>
            <w:pStyle w:val="Prrafodelista"/>
            <w:spacing w:after="0" w:line="240" w:lineRule="auto"/>
            <w:ind w:left="0"/>
            <w:jc w:val="both"/>
            <w:rPr>
              <w:rFonts w:ascii="Times New Roman" w:hAnsi="Times New Roman"/>
              <w:sz w:val="24"/>
              <w:szCs w:val="24"/>
            </w:rPr>
          </w:pPr>
          <w:r w:rsidRPr="00931DCE">
            <w:rPr>
              <w:rFonts w:ascii="Times New Roman" w:hAnsi="Times New Roman"/>
              <w:sz w:val="24"/>
              <w:szCs w:val="24"/>
            </w:rPr>
            <w:t>En el siguiente cuadro, se revela el comportamiento que presentaron las cuentas de bienes de uso público durante el año 202</w:t>
          </w:r>
          <w:r w:rsidR="001626DB">
            <w:rPr>
              <w:rFonts w:ascii="Times New Roman" w:hAnsi="Times New Roman"/>
              <w:sz w:val="24"/>
              <w:szCs w:val="24"/>
            </w:rPr>
            <w:t>3</w:t>
          </w:r>
          <w:r w:rsidRPr="00931DCE">
            <w:rPr>
              <w:rFonts w:ascii="Times New Roman" w:hAnsi="Times New Roman"/>
              <w:sz w:val="24"/>
              <w:szCs w:val="24"/>
            </w:rPr>
            <w:t xml:space="preserve">,  incorporando las partidas correspondientes al valor en libros al principio y al final del periodo contable, de Bienes de uso público en servicio (Contratos de obra de corredores férreos) y de Bienes de uso público en construcción y en servicio – concesiones, mostrando por separado los conceptos de adquisiciones (reconocimiento de inversiones, incorporaciones de saldos del INVÍAS), retiros (traslados al INVÍAS y a la Aerocivil), reclasificaciones, valor de deterioro, depreciación, y demás cambios, para cada modo de transporte.  Posteriormente, se revela aspectos de las cuentas. </w:t>
          </w:r>
        </w:p>
        <w:p w14:paraId="46CB3F87" w14:textId="77777777" w:rsidR="00DD4C8E" w:rsidRPr="00931DCE" w:rsidRDefault="00DD4C8E" w:rsidP="00DD4C8E">
          <w:pPr>
            <w:pStyle w:val="Prrafodelista"/>
            <w:spacing w:after="0" w:line="240" w:lineRule="auto"/>
            <w:ind w:left="0"/>
            <w:jc w:val="both"/>
            <w:rPr>
              <w:rFonts w:ascii="Times New Roman" w:hAnsi="Times New Roman"/>
              <w:sz w:val="24"/>
              <w:szCs w:val="24"/>
            </w:rPr>
          </w:pPr>
        </w:p>
        <w:tbl>
          <w:tblPr>
            <w:tblW w:w="5000" w:type="pct"/>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ayout w:type="fixed"/>
            <w:tblCellMar>
              <w:left w:w="70" w:type="dxa"/>
              <w:right w:w="70" w:type="dxa"/>
            </w:tblCellMar>
            <w:tblLook w:val="04A0" w:firstRow="1" w:lastRow="0" w:firstColumn="1" w:lastColumn="0" w:noHBand="0" w:noVBand="1"/>
          </w:tblPr>
          <w:tblGrid>
            <w:gridCol w:w="2689"/>
            <w:gridCol w:w="1559"/>
            <w:gridCol w:w="1561"/>
            <w:gridCol w:w="1562"/>
            <w:gridCol w:w="1598"/>
          </w:tblGrid>
          <w:tr w:rsidR="00BC51FA" w:rsidRPr="00BC51FA" w14:paraId="244854A6" w14:textId="77777777" w:rsidTr="00165733">
            <w:trPr>
              <w:trHeight w:val="585"/>
              <w:tblHeader/>
            </w:trPr>
            <w:tc>
              <w:tcPr>
                <w:tcW w:w="1499" w:type="pct"/>
                <w:vMerge w:val="restart"/>
                <w:shd w:val="clear" w:color="auto" w:fill="auto"/>
                <w:vAlign w:val="center"/>
                <w:hideMark/>
              </w:tcPr>
              <w:p w14:paraId="2F5AC0DA" w14:textId="77777777" w:rsidR="00BC51FA" w:rsidRPr="00BC51FA" w:rsidRDefault="00BC51FA" w:rsidP="00BC51FA">
                <w:pPr>
                  <w:spacing w:after="0" w:line="240" w:lineRule="auto"/>
                  <w:jc w:val="center"/>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CONCEPTOS Y TRANSACCIONES</w:t>
                </w:r>
              </w:p>
            </w:tc>
            <w:tc>
              <w:tcPr>
                <w:tcW w:w="869" w:type="pct"/>
                <w:vMerge w:val="restart"/>
                <w:shd w:val="clear" w:color="auto" w:fill="auto"/>
                <w:vAlign w:val="center"/>
                <w:hideMark/>
              </w:tcPr>
              <w:p w14:paraId="61E72D83" w14:textId="77777777" w:rsidR="00BC51FA" w:rsidRPr="00BC51FA" w:rsidRDefault="00BC51FA" w:rsidP="00BC51FA">
                <w:pPr>
                  <w:spacing w:after="0" w:line="240" w:lineRule="auto"/>
                  <w:jc w:val="center"/>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w:t>
                </w:r>
              </w:p>
              <w:p w14:paraId="47A53C1E" w14:textId="7CC9F10C" w:rsidR="00BC51FA" w:rsidRPr="00BC51FA" w:rsidRDefault="00BC51FA" w:rsidP="00BC51FA">
                <w:pPr>
                  <w:spacing w:after="0" w:line="240" w:lineRule="auto"/>
                  <w:jc w:val="center"/>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BUP EN SERVICIO</w:t>
                </w:r>
              </w:p>
            </w:tc>
            <w:tc>
              <w:tcPr>
                <w:tcW w:w="1741" w:type="pct"/>
                <w:gridSpan w:val="2"/>
                <w:shd w:val="clear" w:color="auto" w:fill="auto"/>
                <w:vAlign w:val="center"/>
                <w:hideMark/>
              </w:tcPr>
              <w:p w14:paraId="29002B55" w14:textId="77777777" w:rsidR="00BC51FA" w:rsidRPr="00BC51FA" w:rsidRDefault="00BC51FA" w:rsidP="00BC51FA">
                <w:pPr>
                  <w:spacing w:after="0" w:line="240" w:lineRule="auto"/>
                  <w:jc w:val="center"/>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CONCESIONES</w:t>
                </w:r>
              </w:p>
            </w:tc>
            <w:tc>
              <w:tcPr>
                <w:tcW w:w="891" w:type="pct"/>
                <w:vMerge w:val="restart"/>
                <w:shd w:val="clear" w:color="auto" w:fill="auto"/>
                <w:vAlign w:val="center"/>
                <w:hideMark/>
              </w:tcPr>
              <w:p w14:paraId="068B2CF5" w14:textId="77777777" w:rsidR="00BC51FA" w:rsidRPr="00BC51FA" w:rsidRDefault="00BC51FA" w:rsidP="00BC51FA">
                <w:pPr>
                  <w:spacing w:after="0" w:line="240" w:lineRule="auto"/>
                  <w:jc w:val="center"/>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TOTAL</w:t>
                </w:r>
              </w:p>
            </w:tc>
          </w:tr>
          <w:tr w:rsidR="00BC51FA" w:rsidRPr="00BC51FA" w14:paraId="5EC5557F" w14:textId="77777777" w:rsidTr="00165733">
            <w:trPr>
              <w:trHeight w:val="510"/>
              <w:tblHeader/>
            </w:trPr>
            <w:tc>
              <w:tcPr>
                <w:tcW w:w="1499" w:type="pct"/>
                <w:vMerge/>
                <w:vAlign w:val="center"/>
                <w:hideMark/>
              </w:tcPr>
              <w:p w14:paraId="05E42D24" w14:textId="77777777" w:rsidR="00BC51FA" w:rsidRPr="00BC51FA" w:rsidRDefault="00BC51FA" w:rsidP="00BC51FA">
                <w:pPr>
                  <w:spacing w:after="0" w:line="240" w:lineRule="auto"/>
                  <w:rPr>
                    <w:rFonts w:ascii="Times New Roman" w:eastAsia="Times New Roman" w:hAnsi="Times New Roman"/>
                    <w:b/>
                    <w:bCs/>
                    <w:sz w:val="16"/>
                    <w:szCs w:val="16"/>
                    <w:lang w:eastAsia="es-CO"/>
                  </w:rPr>
                </w:pPr>
              </w:p>
            </w:tc>
            <w:tc>
              <w:tcPr>
                <w:tcW w:w="869" w:type="pct"/>
                <w:vMerge/>
                <w:shd w:val="clear" w:color="auto" w:fill="auto"/>
                <w:vAlign w:val="center"/>
                <w:hideMark/>
              </w:tcPr>
              <w:p w14:paraId="1DA46079" w14:textId="4D7B53AD" w:rsidR="00BC51FA" w:rsidRPr="00BC51FA" w:rsidRDefault="00BC51FA" w:rsidP="00BC51FA">
                <w:pPr>
                  <w:spacing w:after="0" w:line="240" w:lineRule="auto"/>
                  <w:jc w:val="center"/>
                  <w:rPr>
                    <w:rFonts w:ascii="Times New Roman" w:eastAsia="Times New Roman" w:hAnsi="Times New Roman"/>
                    <w:b/>
                    <w:bCs/>
                    <w:sz w:val="16"/>
                    <w:szCs w:val="16"/>
                    <w:lang w:eastAsia="es-CO"/>
                  </w:rPr>
                </w:pPr>
              </w:p>
            </w:tc>
            <w:tc>
              <w:tcPr>
                <w:tcW w:w="870" w:type="pct"/>
                <w:shd w:val="clear" w:color="auto" w:fill="auto"/>
                <w:vAlign w:val="center"/>
                <w:hideMark/>
              </w:tcPr>
              <w:p w14:paraId="4615C3BE" w14:textId="77777777" w:rsidR="00BC51FA" w:rsidRPr="00BC51FA" w:rsidRDefault="00BC51FA" w:rsidP="00BC51FA">
                <w:pPr>
                  <w:spacing w:after="0" w:line="240" w:lineRule="auto"/>
                  <w:jc w:val="center"/>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BUP EN CONSTRUCCIÓN</w:t>
                </w:r>
              </w:p>
            </w:tc>
            <w:tc>
              <w:tcPr>
                <w:tcW w:w="871" w:type="pct"/>
                <w:shd w:val="clear" w:color="auto" w:fill="auto"/>
                <w:vAlign w:val="center"/>
                <w:hideMark/>
              </w:tcPr>
              <w:p w14:paraId="4C033C4B" w14:textId="77777777" w:rsidR="00BC51FA" w:rsidRPr="00BC51FA" w:rsidRDefault="00BC51FA" w:rsidP="00BC51FA">
                <w:pPr>
                  <w:spacing w:after="0" w:line="240" w:lineRule="auto"/>
                  <w:jc w:val="center"/>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BUP EN SERVICIO</w:t>
                </w:r>
              </w:p>
            </w:tc>
            <w:tc>
              <w:tcPr>
                <w:tcW w:w="891" w:type="pct"/>
                <w:vMerge/>
                <w:vAlign w:val="center"/>
                <w:hideMark/>
              </w:tcPr>
              <w:p w14:paraId="332CF525" w14:textId="77777777" w:rsidR="00BC51FA" w:rsidRPr="00BC51FA" w:rsidRDefault="00BC51FA" w:rsidP="00BC51FA">
                <w:pPr>
                  <w:spacing w:after="0" w:line="240" w:lineRule="auto"/>
                  <w:rPr>
                    <w:rFonts w:ascii="Times New Roman" w:eastAsia="Times New Roman" w:hAnsi="Times New Roman"/>
                    <w:b/>
                    <w:bCs/>
                    <w:sz w:val="16"/>
                    <w:szCs w:val="16"/>
                    <w:lang w:eastAsia="es-CO"/>
                  </w:rPr>
                </w:pPr>
              </w:p>
            </w:tc>
          </w:tr>
          <w:tr w:rsidR="00BC51FA" w:rsidRPr="00BC51FA" w14:paraId="217462AE" w14:textId="77777777" w:rsidTr="00531250">
            <w:trPr>
              <w:trHeight w:val="300"/>
            </w:trPr>
            <w:tc>
              <w:tcPr>
                <w:tcW w:w="1499" w:type="pct"/>
                <w:shd w:val="clear" w:color="auto" w:fill="auto"/>
                <w:vAlign w:val="center"/>
                <w:hideMark/>
              </w:tcPr>
              <w:p w14:paraId="536DC6CC" w14:textId="77777777" w:rsidR="00BC51FA" w:rsidRPr="00BC51FA" w:rsidRDefault="00BC51FA" w:rsidP="00BC51FA">
                <w:pPr>
                  <w:spacing w:after="0" w:line="240" w:lineRule="auto"/>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SALDO INICIAL</w:t>
                </w:r>
              </w:p>
            </w:tc>
            <w:tc>
              <w:tcPr>
                <w:tcW w:w="869" w:type="pct"/>
                <w:shd w:val="clear" w:color="auto" w:fill="auto"/>
                <w:noWrap/>
                <w:vAlign w:val="center"/>
                <w:hideMark/>
              </w:tcPr>
              <w:p w14:paraId="35705BE6"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1.794.841.284.909 </w:t>
                </w:r>
              </w:p>
            </w:tc>
            <w:tc>
              <w:tcPr>
                <w:tcW w:w="870" w:type="pct"/>
                <w:shd w:val="clear" w:color="auto" w:fill="auto"/>
                <w:noWrap/>
                <w:vAlign w:val="center"/>
                <w:hideMark/>
              </w:tcPr>
              <w:p w14:paraId="32824D96"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28.530.630.678.020 </w:t>
                </w:r>
              </w:p>
            </w:tc>
            <w:tc>
              <w:tcPr>
                <w:tcW w:w="871" w:type="pct"/>
                <w:shd w:val="clear" w:color="auto" w:fill="auto"/>
                <w:noWrap/>
                <w:vAlign w:val="center"/>
                <w:hideMark/>
              </w:tcPr>
              <w:p w14:paraId="4BE754D3"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28.643.979.132.711 </w:t>
                </w:r>
              </w:p>
            </w:tc>
            <w:tc>
              <w:tcPr>
                <w:tcW w:w="891" w:type="pct"/>
                <w:shd w:val="clear" w:color="auto" w:fill="auto"/>
                <w:noWrap/>
                <w:vAlign w:val="center"/>
                <w:hideMark/>
              </w:tcPr>
              <w:p w14:paraId="04ADFA9F"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58.969.451.095.640 </w:t>
                </w:r>
              </w:p>
            </w:tc>
          </w:tr>
          <w:tr w:rsidR="00BC51FA" w:rsidRPr="00BC51FA" w14:paraId="4382E41D" w14:textId="77777777" w:rsidTr="00531250">
            <w:trPr>
              <w:trHeight w:val="300"/>
            </w:trPr>
            <w:tc>
              <w:tcPr>
                <w:tcW w:w="1499" w:type="pct"/>
                <w:shd w:val="clear" w:color="auto" w:fill="auto"/>
                <w:noWrap/>
                <w:vAlign w:val="center"/>
                <w:hideMark/>
              </w:tcPr>
              <w:p w14:paraId="0C3BC4FF" w14:textId="3478E48D" w:rsidR="00BC51FA" w:rsidRPr="00BC51FA" w:rsidRDefault="00BC51FA" w:rsidP="00BC51FA">
                <w:pPr>
                  <w:spacing w:after="0" w:line="240" w:lineRule="auto"/>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w:t>
                </w:r>
                <w:r>
                  <w:rPr>
                    <w:rFonts w:ascii="Times New Roman" w:eastAsia="Times New Roman" w:hAnsi="Times New Roman"/>
                    <w:b/>
                    <w:bCs/>
                    <w:sz w:val="16"/>
                    <w:szCs w:val="16"/>
                    <w:lang w:eastAsia="es-CO"/>
                  </w:rPr>
                  <w:t xml:space="preserve"> </w:t>
                </w:r>
                <w:r w:rsidRPr="00BC51FA">
                  <w:rPr>
                    <w:rFonts w:ascii="Times New Roman" w:eastAsia="Times New Roman" w:hAnsi="Times New Roman"/>
                    <w:b/>
                    <w:bCs/>
                    <w:sz w:val="16"/>
                    <w:szCs w:val="16"/>
                    <w:lang w:eastAsia="es-CO"/>
                  </w:rPr>
                  <w:t>ENTRADAS (DB):</w:t>
                </w:r>
              </w:p>
            </w:tc>
            <w:tc>
              <w:tcPr>
                <w:tcW w:w="869" w:type="pct"/>
                <w:shd w:val="clear" w:color="auto" w:fill="auto"/>
                <w:noWrap/>
                <w:vAlign w:val="center"/>
                <w:hideMark/>
              </w:tcPr>
              <w:p w14:paraId="6C011B56"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92.714.532.629 </w:t>
                </w:r>
              </w:p>
            </w:tc>
            <w:tc>
              <w:tcPr>
                <w:tcW w:w="870" w:type="pct"/>
                <w:shd w:val="clear" w:color="auto" w:fill="auto"/>
                <w:noWrap/>
                <w:vAlign w:val="center"/>
                <w:hideMark/>
              </w:tcPr>
              <w:p w14:paraId="0182B4FF"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6.396.819.373.074 </w:t>
                </w:r>
              </w:p>
            </w:tc>
            <w:tc>
              <w:tcPr>
                <w:tcW w:w="871" w:type="pct"/>
                <w:shd w:val="clear" w:color="auto" w:fill="auto"/>
                <w:noWrap/>
                <w:vAlign w:val="center"/>
                <w:hideMark/>
              </w:tcPr>
              <w:p w14:paraId="0E664CC4"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2.155.173.041.756 </w:t>
                </w:r>
              </w:p>
            </w:tc>
            <w:tc>
              <w:tcPr>
                <w:tcW w:w="891" w:type="pct"/>
                <w:shd w:val="clear" w:color="auto" w:fill="auto"/>
                <w:noWrap/>
                <w:vAlign w:val="center"/>
                <w:hideMark/>
              </w:tcPr>
              <w:p w14:paraId="059BC28A"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8.644.706.947.459 </w:t>
                </w:r>
              </w:p>
            </w:tc>
          </w:tr>
          <w:tr w:rsidR="00BC51FA" w:rsidRPr="00BC51FA" w14:paraId="07CA6D68" w14:textId="77777777" w:rsidTr="00531250">
            <w:trPr>
              <w:trHeight w:val="300"/>
            </w:trPr>
            <w:tc>
              <w:tcPr>
                <w:tcW w:w="1499" w:type="pct"/>
                <w:shd w:val="clear" w:color="auto" w:fill="auto"/>
                <w:noWrap/>
                <w:vAlign w:val="center"/>
                <w:hideMark/>
              </w:tcPr>
              <w:p w14:paraId="6B3584B9" w14:textId="4B8ACFBB" w:rsidR="00BC51FA" w:rsidRPr="00BC51FA" w:rsidRDefault="00BC51FA" w:rsidP="00BC51FA">
                <w:pPr>
                  <w:spacing w:after="0" w:line="240" w:lineRule="auto"/>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Otras entradas de Bup</w:t>
                </w:r>
              </w:p>
            </w:tc>
            <w:tc>
              <w:tcPr>
                <w:tcW w:w="869" w:type="pct"/>
                <w:shd w:val="clear" w:color="000000" w:fill="FFFFFF"/>
                <w:noWrap/>
                <w:vAlign w:val="center"/>
                <w:hideMark/>
              </w:tcPr>
              <w:p w14:paraId="7F31A47D"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92.714.532.629 </w:t>
                </w:r>
              </w:p>
            </w:tc>
            <w:tc>
              <w:tcPr>
                <w:tcW w:w="870" w:type="pct"/>
                <w:shd w:val="clear" w:color="000000" w:fill="FFFFFF"/>
                <w:noWrap/>
                <w:vAlign w:val="center"/>
                <w:hideMark/>
              </w:tcPr>
              <w:p w14:paraId="2E805635"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6.396.819.373.074 </w:t>
                </w:r>
              </w:p>
            </w:tc>
            <w:tc>
              <w:tcPr>
                <w:tcW w:w="871" w:type="pct"/>
                <w:shd w:val="clear" w:color="000000" w:fill="FFFFFF"/>
                <w:noWrap/>
                <w:vAlign w:val="center"/>
                <w:hideMark/>
              </w:tcPr>
              <w:p w14:paraId="0C780068"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2.155.173.041.756 </w:t>
                </w:r>
              </w:p>
            </w:tc>
            <w:tc>
              <w:tcPr>
                <w:tcW w:w="891" w:type="pct"/>
                <w:shd w:val="clear" w:color="auto" w:fill="auto"/>
                <w:noWrap/>
                <w:vAlign w:val="center"/>
                <w:hideMark/>
              </w:tcPr>
              <w:p w14:paraId="72B43E64"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8.644.706.947.459 </w:t>
                </w:r>
              </w:p>
            </w:tc>
          </w:tr>
          <w:tr w:rsidR="00BC51FA" w:rsidRPr="00BC51FA" w14:paraId="674923FC" w14:textId="77777777" w:rsidTr="00531250">
            <w:trPr>
              <w:trHeight w:val="300"/>
            </w:trPr>
            <w:tc>
              <w:tcPr>
                <w:tcW w:w="1499" w:type="pct"/>
                <w:shd w:val="clear" w:color="auto" w:fill="auto"/>
                <w:noWrap/>
                <w:vAlign w:val="center"/>
                <w:hideMark/>
              </w:tcPr>
              <w:p w14:paraId="024CA9E1" w14:textId="57D389EA" w:rsidR="00BC51FA" w:rsidRPr="00BC51FA" w:rsidRDefault="00BC51FA" w:rsidP="00BC51FA">
                <w:pPr>
                  <w:spacing w:after="0" w:line="240" w:lineRule="auto"/>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Modo Carretero</w:t>
                </w:r>
              </w:p>
            </w:tc>
            <w:tc>
              <w:tcPr>
                <w:tcW w:w="869" w:type="pct"/>
                <w:shd w:val="clear" w:color="000000" w:fill="FFFFFF"/>
                <w:noWrap/>
                <w:vAlign w:val="center"/>
                <w:hideMark/>
              </w:tcPr>
              <w:p w14:paraId="521DD0D0"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0 </w:t>
                </w:r>
              </w:p>
            </w:tc>
            <w:tc>
              <w:tcPr>
                <w:tcW w:w="870" w:type="pct"/>
                <w:shd w:val="clear" w:color="000000" w:fill="FFFFFF"/>
                <w:noWrap/>
                <w:vAlign w:val="center"/>
                <w:hideMark/>
              </w:tcPr>
              <w:p w14:paraId="5CE09E9E"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5.319.782.469.447 </w:t>
                </w:r>
              </w:p>
            </w:tc>
            <w:tc>
              <w:tcPr>
                <w:tcW w:w="871" w:type="pct"/>
                <w:shd w:val="clear" w:color="000000" w:fill="FFFFFF"/>
                <w:noWrap/>
                <w:vAlign w:val="center"/>
                <w:hideMark/>
              </w:tcPr>
              <w:p w14:paraId="30320930"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1.365.346.238.719 </w:t>
                </w:r>
              </w:p>
            </w:tc>
            <w:tc>
              <w:tcPr>
                <w:tcW w:w="891" w:type="pct"/>
                <w:shd w:val="clear" w:color="auto" w:fill="auto"/>
                <w:noWrap/>
                <w:vAlign w:val="center"/>
                <w:hideMark/>
              </w:tcPr>
              <w:p w14:paraId="0A973E99"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6.685.128.708.166 </w:t>
                </w:r>
              </w:p>
            </w:tc>
          </w:tr>
          <w:tr w:rsidR="00BC51FA" w:rsidRPr="00BC51FA" w14:paraId="1DB88F83" w14:textId="77777777" w:rsidTr="00531250">
            <w:trPr>
              <w:trHeight w:val="300"/>
            </w:trPr>
            <w:tc>
              <w:tcPr>
                <w:tcW w:w="1499" w:type="pct"/>
                <w:shd w:val="clear" w:color="auto" w:fill="auto"/>
                <w:noWrap/>
                <w:vAlign w:val="center"/>
                <w:hideMark/>
              </w:tcPr>
              <w:p w14:paraId="2361BCD1" w14:textId="40D2BF7E" w:rsidR="00BC51FA" w:rsidRPr="00BC51FA" w:rsidRDefault="00BC51FA" w:rsidP="00BC51FA">
                <w:pPr>
                  <w:spacing w:after="0" w:line="240" w:lineRule="auto"/>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Terrenos</w:t>
                </w:r>
              </w:p>
            </w:tc>
            <w:tc>
              <w:tcPr>
                <w:tcW w:w="869" w:type="pct"/>
                <w:shd w:val="clear" w:color="000000" w:fill="FFFFFF"/>
                <w:noWrap/>
                <w:vAlign w:val="center"/>
                <w:hideMark/>
              </w:tcPr>
              <w:p w14:paraId="77956AB9"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0 </w:t>
                </w:r>
              </w:p>
            </w:tc>
            <w:tc>
              <w:tcPr>
                <w:tcW w:w="870" w:type="pct"/>
                <w:shd w:val="clear" w:color="000000" w:fill="FFFFFF"/>
                <w:noWrap/>
                <w:vAlign w:val="center"/>
                <w:hideMark/>
              </w:tcPr>
              <w:p w14:paraId="3A2C4261"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40.220.699.175 </w:t>
                </w:r>
              </w:p>
            </w:tc>
            <w:tc>
              <w:tcPr>
                <w:tcW w:w="871" w:type="pct"/>
                <w:shd w:val="clear" w:color="000000" w:fill="FFFFFF"/>
                <w:noWrap/>
                <w:vAlign w:val="center"/>
                <w:hideMark/>
              </w:tcPr>
              <w:p w14:paraId="4EFB50CA"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499.405.664.348 </w:t>
                </w:r>
              </w:p>
            </w:tc>
            <w:tc>
              <w:tcPr>
                <w:tcW w:w="891" w:type="pct"/>
                <w:shd w:val="clear" w:color="auto" w:fill="auto"/>
                <w:noWrap/>
                <w:vAlign w:val="center"/>
                <w:hideMark/>
              </w:tcPr>
              <w:p w14:paraId="1A572F26"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539.626.363.523 </w:t>
                </w:r>
              </w:p>
            </w:tc>
          </w:tr>
          <w:tr w:rsidR="00BC51FA" w:rsidRPr="00BC51FA" w14:paraId="0DDD6B36" w14:textId="77777777" w:rsidTr="00531250">
            <w:trPr>
              <w:trHeight w:val="300"/>
            </w:trPr>
            <w:tc>
              <w:tcPr>
                <w:tcW w:w="1499" w:type="pct"/>
                <w:shd w:val="clear" w:color="auto" w:fill="auto"/>
                <w:noWrap/>
                <w:vAlign w:val="center"/>
                <w:hideMark/>
              </w:tcPr>
              <w:p w14:paraId="101845DF" w14:textId="43E3ACF1" w:rsidR="00BC51FA" w:rsidRPr="00BC51FA" w:rsidRDefault="00BC51FA" w:rsidP="00BC51FA">
                <w:pPr>
                  <w:spacing w:after="0" w:line="240" w:lineRule="auto"/>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Modo Portuario</w:t>
                </w:r>
              </w:p>
            </w:tc>
            <w:tc>
              <w:tcPr>
                <w:tcW w:w="869" w:type="pct"/>
                <w:shd w:val="clear" w:color="000000" w:fill="FFFFFF"/>
                <w:noWrap/>
                <w:vAlign w:val="center"/>
                <w:hideMark/>
              </w:tcPr>
              <w:p w14:paraId="0E3D34A9"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0 </w:t>
                </w:r>
              </w:p>
            </w:tc>
            <w:tc>
              <w:tcPr>
                <w:tcW w:w="870" w:type="pct"/>
                <w:shd w:val="clear" w:color="000000" w:fill="FFFFFF"/>
                <w:noWrap/>
                <w:vAlign w:val="center"/>
                <w:hideMark/>
              </w:tcPr>
              <w:p w14:paraId="5D19F728"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1.036.816.204.452 </w:t>
                </w:r>
              </w:p>
            </w:tc>
            <w:tc>
              <w:tcPr>
                <w:tcW w:w="871" w:type="pct"/>
                <w:shd w:val="clear" w:color="000000" w:fill="FFFFFF"/>
                <w:noWrap/>
                <w:vAlign w:val="center"/>
                <w:hideMark/>
              </w:tcPr>
              <w:p w14:paraId="482BA979"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270.705.169.158 </w:t>
                </w:r>
              </w:p>
            </w:tc>
            <w:tc>
              <w:tcPr>
                <w:tcW w:w="891" w:type="pct"/>
                <w:shd w:val="clear" w:color="auto" w:fill="auto"/>
                <w:noWrap/>
                <w:vAlign w:val="center"/>
                <w:hideMark/>
              </w:tcPr>
              <w:p w14:paraId="4E116F08"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1.307.521.373.610 </w:t>
                </w:r>
              </w:p>
            </w:tc>
          </w:tr>
          <w:tr w:rsidR="00BC51FA" w:rsidRPr="00BC51FA" w14:paraId="1883EDF5" w14:textId="77777777" w:rsidTr="00531250">
            <w:trPr>
              <w:trHeight w:val="300"/>
            </w:trPr>
            <w:tc>
              <w:tcPr>
                <w:tcW w:w="1499" w:type="pct"/>
                <w:shd w:val="clear" w:color="auto" w:fill="auto"/>
                <w:noWrap/>
                <w:vAlign w:val="center"/>
                <w:hideMark/>
              </w:tcPr>
              <w:p w14:paraId="39162117" w14:textId="72F1EE21" w:rsidR="00BC51FA" w:rsidRPr="00BC51FA" w:rsidRDefault="00BC51FA" w:rsidP="00BC51FA">
                <w:pPr>
                  <w:spacing w:after="0" w:line="240" w:lineRule="auto"/>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Modo Férreo </w:t>
                </w:r>
              </w:p>
            </w:tc>
            <w:tc>
              <w:tcPr>
                <w:tcW w:w="869" w:type="pct"/>
                <w:shd w:val="clear" w:color="000000" w:fill="FFFFFF"/>
                <w:noWrap/>
                <w:vAlign w:val="center"/>
                <w:hideMark/>
              </w:tcPr>
              <w:p w14:paraId="210051D0"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92.714.532.629 </w:t>
                </w:r>
              </w:p>
            </w:tc>
            <w:tc>
              <w:tcPr>
                <w:tcW w:w="870" w:type="pct"/>
                <w:shd w:val="clear" w:color="000000" w:fill="FFFFFF"/>
                <w:noWrap/>
                <w:vAlign w:val="center"/>
                <w:hideMark/>
              </w:tcPr>
              <w:p w14:paraId="244F65F7"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0 </w:t>
                </w:r>
              </w:p>
            </w:tc>
            <w:tc>
              <w:tcPr>
                <w:tcW w:w="871" w:type="pct"/>
                <w:shd w:val="clear" w:color="000000" w:fill="FFFFFF"/>
                <w:noWrap/>
                <w:vAlign w:val="center"/>
                <w:hideMark/>
              </w:tcPr>
              <w:p w14:paraId="15078090"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19.715.969.531 </w:t>
                </w:r>
              </w:p>
            </w:tc>
            <w:tc>
              <w:tcPr>
                <w:tcW w:w="891" w:type="pct"/>
                <w:shd w:val="clear" w:color="auto" w:fill="auto"/>
                <w:noWrap/>
                <w:vAlign w:val="center"/>
                <w:hideMark/>
              </w:tcPr>
              <w:p w14:paraId="5BDBC0E5"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112.430.502.160 </w:t>
                </w:r>
              </w:p>
            </w:tc>
          </w:tr>
          <w:tr w:rsidR="00BC51FA" w:rsidRPr="00BC51FA" w14:paraId="08732434" w14:textId="77777777" w:rsidTr="00531250">
            <w:trPr>
              <w:trHeight w:val="300"/>
            </w:trPr>
            <w:tc>
              <w:tcPr>
                <w:tcW w:w="1499" w:type="pct"/>
                <w:shd w:val="clear" w:color="auto" w:fill="auto"/>
                <w:noWrap/>
                <w:vAlign w:val="center"/>
                <w:hideMark/>
              </w:tcPr>
              <w:p w14:paraId="5113D764" w14:textId="767985E9" w:rsidR="00BC51FA" w:rsidRPr="00BC51FA" w:rsidRDefault="00BC51FA" w:rsidP="00BC51FA">
                <w:pPr>
                  <w:spacing w:after="0" w:line="240" w:lineRule="auto"/>
                  <w:rPr>
                    <w:rFonts w:ascii="Times New Roman" w:eastAsia="Times New Roman" w:hAnsi="Times New Roman"/>
                    <w:b/>
                    <w:bCs/>
                    <w:sz w:val="16"/>
                    <w:szCs w:val="16"/>
                    <w:lang w:eastAsia="es-CO"/>
                  </w:rPr>
                </w:pPr>
                <w:r>
                  <w:rPr>
                    <w:rFonts w:ascii="Times New Roman" w:eastAsia="Times New Roman" w:hAnsi="Times New Roman"/>
                    <w:b/>
                    <w:bCs/>
                    <w:sz w:val="16"/>
                    <w:szCs w:val="16"/>
                    <w:lang w:eastAsia="es-CO"/>
                  </w:rPr>
                  <w:t>(</w:t>
                </w:r>
                <w:r w:rsidRPr="00BC51FA">
                  <w:rPr>
                    <w:rFonts w:ascii="Times New Roman" w:eastAsia="Times New Roman" w:hAnsi="Times New Roman"/>
                    <w:b/>
                    <w:bCs/>
                    <w:sz w:val="16"/>
                    <w:szCs w:val="16"/>
                    <w:lang w:eastAsia="es-CO"/>
                  </w:rPr>
                  <w:t>-</w:t>
                </w:r>
                <w:r>
                  <w:rPr>
                    <w:rFonts w:ascii="Times New Roman" w:eastAsia="Times New Roman" w:hAnsi="Times New Roman"/>
                    <w:b/>
                    <w:bCs/>
                    <w:sz w:val="16"/>
                    <w:szCs w:val="16"/>
                    <w:lang w:eastAsia="es-CO"/>
                  </w:rPr>
                  <w:t xml:space="preserve">) </w:t>
                </w:r>
                <w:r w:rsidRPr="00BC51FA">
                  <w:rPr>
                    <w:rFonts w:ascii="Times New Roman" w:eastAsia="Times New Roman" w:hAnsi="Times New Roman"/>
                    <w:b/>
                    <w:bCs/>
                    <w:sz w:val="16"/>
                    <w:szCs w:val="16"/>
                    <w:lang w:eastAsia="es-CO"/>
                  </w:rPr>
                  <w:t>SALIDAS (CR):</w:t>
                </w:r>
              </w:p>
            </w:tc>
            <w:tc>
              <w:tcPr>
                <w:tcW w:w="869" w:type="pct"/>
                <w:shd w:val="clear" w:color="000000" w:fill="FFFFFF"/>
                <w:noWrap/>
                <w:vAlign w:val="center"/>
                <w:hideMark/>
              </w:tcPr>
              <w:p w14:paraId="013AFF68"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0 </w:t>
                </w:r>
              </w:p>
            </w:tc>
            <w:tc>
              <w:tcPr>
                <w:tcW w:w="870" w:type="pct"/>
                <w:shd w:val="clear" w:color="000000" w:fill="FFFFFF"/>
                <w:noWrap/>
                <w:vAlign w:val="center"/>
                <w:hideMark/>
              </w:tcPr>
              <w:p w14:paraId="4F64F7B8"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0 </w:t>
                </w:r>
              </w:p>
            </w:tc>
            <w:tc>
              <w:tcPr>
                <w:tcW w:w="871" w:type="pct"/>
                <w:shd w:val="clear" w:color="000000" w:fill="FFFFFF"/>
                <w:noWrap/>
                <w:vAlign w:val="center"/>
                <w:hideMark/>
              </w:tcPr>
              <w:p w14:paraId="6F803DDC"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2.158.470.822.620 </w:t>
                </w:r>
              </w:p>
            </w:tc>
            <w:tc>
              <w:tcPr>
                <w:tcW w:w="891" w:type="pct"/>
                <w:shd w:val="clear" w:color="auto" w:fill="auto"/>
                <w:noWrap/>
                <w:vAlign w:val="center"/>
                <w:hideMark/>
              </w:tcPr>
              <w:p w14:paraId="25D21B6E"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2.158.470.822.620 </w:t>
                </w:r>
              </w:p>
            </w:tc>
          </w:tr>
          <w:tr w:rsidR="00BC51FA" w:rsidRPr="00BC51FA" w14:paraId="40DFB2F8" w14:textId="77777777" w:rsidTr="00531250">
            <w:trPr>
              <w:trHeight w:val="300"/>
            </w:trPr>
            <w:tc>
              <w:tcPr>
                <w:tcW w:w="1499" w:type="pct"/>
                <w:shd w:val="clear" w:color="auto" w:fill="auto"/>
                <w:noWrap/>
                <w:vAlign w:val="center"/>
                <w:hideMark/>
              </w:tcPr>
              <w:p w14:paraId="4BC199FB" w14:textId="2C3742FF" w:rsidR="00BC51FA" w:rsidRPr="00BC51FA" w:rsidRDefault="00BC51FA" w:rsidP="00BC51FA">
                <w:pPr>
                  <w:spacing w:after="0" w:line="240" w:lineRule="auto"/>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Otras salidas de BUP</w:t>
                </w:r>
              </w:p>
            </w:tc>
            <w:tc>
              <w:tcPr>
                <w:tcW w:w="869" w:type="pct"/>
                <w:shd w:val="clear" w:color="000000" w:fill="FFFFFF"/>
                <w:noWrap/>
                <w:vAlign w:val="center"/>
                <w:hideMark/>
              </w:tcPr>
              <w:p w14:paraId="5D3D1A1C"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0 </w:t>
                </w:r>
              </w:p>
            </w:tc>
            <w:tc>
              <w:tcPr>
                <w:tcW w:w="870" w:type="pct"/>
                <w:shd w:val="clear" w:color="000000" w:fill="FFFFFF"/>
                <w:noWrap/>
                <w:vAlign w:val="center"/>
                <w:hideMark/>
              </w:tcPr>
              <w:p w14:paraId="0C1F7B8B"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0 </w:t>
                </w:r>
              </w:p>
            </w:tc>
            <w:tc>
              <w:tcPr>
                <w:tcW w:w="871" w:type="pct"/>
                <w:shd w:val="clear" w:color="000000" w:fill="FFFFFF"/>
                <w:noWrap/>
                <w:vAlign w:val="center"/>
                <w:hideMark/>
              </w:tcPr>
              <w:p w14:paraId="2ED32F08"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2.158.470.822.620 </w:t>
                </w:r>
              </w:p>
            </w:tc>
            <w:tc>
              <w:tcPr>
                <w:tcW w:w="891" w:type="pct"/>
                <w:shd w:val="clear" w:color="auto" w:fill="auto"/>
                <w:noWrap/>
                <w:vAlign w:val="center"/>
                <w:hideMark/>
              </w:tcPr>
              <w:p w14:paraId="76C00DD6"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2.158.470.822.620 </w:t>
                </w:r>
              </w:p>
            </w:tc>
          </w:tr>
          <w:tr w:rsidR="00BC51FA" w:rsidRPr="00BC51FA" w14:paraId="51676A81" w14:textId="77777777" w:rsidTr="00531250">
            <w:trPr>
              <w:trHeight w:val="300"/>
            </w:trPr>
            <w:tc>
              <w:tcPr>
                <w:tcW w:w="1499" w:type="pct"/>
                <w:shd w:val="clear" w:color="auto" w:fill="auto"/>
                <w:noWrap/>
                <w:vAlign w:val="center"/>
                <w:hideMark/>
              </w:tcPr>
              <w:p w14:paraId="632F7664" w14:textId="012398A4" w:rsidR="00BC51FA" w:rsidRPr="00BC51FA" w:rsidRDefault="00BC51FA" w:rsidP="00BC51FA">
                <w:pPr>
                  <w:spacing w:after="0" w:line="240" w:lineRule="auto"/>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Modo Carretero</w:t>
                </w:r>
              </w:p>
            </w:tc>
            <w:tc>
              <w:tcPr>
                <w:tcW w:w="869" w:type="pct"/>
                <w:shd w:val="clear" w:color="000000" w:fill="FFFFFF"/>
                <w:noWrap/>
                <w:vAlign w:val="center"/>
                <w:hideMark/>
              </w:tcPr>
              <w:p w14:paraId="2EDDC45A"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0 </w:t>
                </w:r>
              </w:p>
            </w:tc>
            <w:tc>
              <w:tcPr>
                <w:tcW w:w="870" w:type="pct"/>
                <w:shd w:val="clear" w:color="000000" w:fill="FFFFFF"/>
                <w:noWrap/>
                <w:vAlign w:val="center"/>
                <w:hideMark/>
              </w:tcPr>
              <w:p w14:paraId="0CC28B5D"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0 </w:t>
                </w:r>
              </w:p>
            </w:tc>
            <w:tc>
              <w:tcPr>
                <w:tcW w:w="871" w:type="pct"/>
                <w:shd w:val="clear" w:color="000000" w:fill="FFFFFF"/>
                <w:noWrap/>
                <w:vAlign w:val="center"/>
                <w:hideMark/>
              </w:tcPr>
              <w:p w14:paraId="1E691A05"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2.106.522.089.348 </w:t>
                </w:r>
              </w:p>
            </w:tc>
            <w:tc>
              <w:tcPr>
                <w:tcW w:w="891" w:type="pct"/>
                <w:shd w:val="clear" w:color="auto" w:fill="auto"/>
                <w:noWrap/>
                <w:vAlign w:val="center"/>
                <w:hideMark/>
              </w:tcPr>
              <w:p w14:paraId="4118043D"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2.106.522.089.348 </w:t>
                </w:r>
              </w:p>
            </w:tc>
          </w:tr>
          <w:tr w:rsidR="00BC51FA" w:rsidRPr="00BC51FA" w14:paraId="3D751F23" w14:textId="77777777" w:rsidTr="00531250">
            <w:trPr>
              <w:trHeight w:val="300"/>
            </w:trPr>
            <w:tc>
              <w:tcPr>
                <w:tcW w:w="1499" w:type="pct"/>
                <w:shd w:val="clear" w:color="auto" w:fill="auto"/>
                <w:noWrap/>
                <w:vAlign w:val="center"/>
                <w:hideMark/>
              </w:tcPr>
              <w:p w14:paraId="5DD23FCC" w14:textId="7DFD5648" w:rsidR="00BC51FA" w:rsidRPr="00BC51FA" w:rsidRDefault="00BC51FA" w:rsidP="00BC51FA">
                <w:pPr>
                  <w:spacing w:after="0" w:line="240" w:lineRule="auto"/>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Terrenos</w:t>
                </w:r>
              </w:p>
            </w:tc>
            <w:tc>
              <w:tcPr>
                <w:tcW w:w="869" w:type="pct"/>
                <w:shd w:val="clear" w:color="000000" w:fill="FFFFFF"/>
                <w:noWrap/>
                <w:vAlign w:val="center"/>
                <w:hideMark/>
              </w:tcPr>
              <w:p w14:paraId="65E65C5C"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0 </w:t>
                </w:r>
              </w:p>
            </w:tc>
            <w:tc>
              <w:tcPr>
                <w:tcW w:w="870" w:type="pct"/>
                <w:shd w:val="clear" w:color="000000" w:fill="FFFFFF"/>
                <w:noWrap/>
                <w:vAlign w:val="center"/>
                <w:hideMark/>
              </w:tcPr>
              <w:p w14:paraId="51721ACD"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0 </w:t>
                </w:r>
              </w:p>
            </w:tc>
            <w:tc>
              <w:tcPr>
                <w:tcW w:w="871" w:type="pct"/>
                <w:shd w:val="clear" w:color="000000" w:fill="FFFFFF"/>
                <w:noWrap/>
                <w:vAlign w:val="center"/>
                <w:hideMark/>
              </w:tcPr>
              <w:p w14:paraId="217AFB19"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19.611.977.272 </w:t>
                </w:r>
              </w:p>
            </w:tc>
            <w:tc>
              <w:tcPr>
                <w:tcW w:w="891" w:type="pct"/>
                <w:shd w:val="clear" w:color="auto" w:fill="auto"/>
                <w:noWrap/>
                <w:vAlign w:val="center"/>
                <w:hideMark/>
              </w:tcPr>
              <w:p w14:paraId="05FFB2A5"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19.611.977.272 </w:t>
                </w:r>
              </w:p>
            </w:tc>
          </w:tr>
          <w:tr w:rsidR="00BC51FA" w:rsidRPr="00BC51FA" w14:paraId="3F273DB0" w14:textId="77777777" w:rsidTr="00531250">
            <w:trPr>
              <w:trHeight w:val="300"/>
            </w:trPr>
            <w:tc>
              <w:tcPr>
                <w:tcW w:w="1499" w:type="pct"/>
                <w:shd w:val="clear" w:color="auto" w:fill="auto"/>
                <w:noWrap/>
                <w:vAlign w:val="center"/>
                <w:hideMark/>
              </w:tcPr>
              <w:p w14:paraId="3EEF2123" w14:textId="1420EB8E" w:rsidR="00BC51FA" w:rsidRPr="00BC51FA" w:rsidRDefault="00BC51FA" w:rsidP="00BC51FA">
                <w:pPr>
                  <w:spacing w:after="0" w:line="240" w:lineRule="auto"/>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Modo Aeroportuario</w:t>
                </w:r>
              </w:p>
            </w:tc>
            <w:tc>
              <w:tcPr>
                <w:tcW w:w="869" w:type="pct"/>
                <w:shd w:val="clear" w:color="000000" w:fill="FFFFFF"/>
                <w:noWrap/>
                <w:vAlign w:val="center"/>
                <w:hideMark/>
              </w:tcPr>
              <w:p w14:paraId="76D7024B"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0 </w:t>
                </w:r>
              </w:p>
            </w:tc>
            <w:tc>
              <w:tcPr>
                <w:tcW w:w="870" w:type="pct"/>
                <w:shd w:val="clear" w:color="000000" w:fill="FFFFFF"/>
                <w:noWrap/>
                <w:vAlign w:val="center"/>
                <w:hideMark/>
              </w:tcPr>
              <w:p w14:paraId="317FFB7F"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0 </w:t>
                </w:r>
              </w:p>
            </w:tc>
            <w:tc>
              <w:tcPr>
                <w:tcW w:w="871" w:type="pct"/>
                <w:shd w:val="clear" w:color="000000" w:fill="FFFFFF"/>
                <w:noWrap/>
                <w:vAlign w:val="center"/>
                <w:hideMark/>
              </w:tcPr>
              <w:p w14:paraId="15E0018B"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32.336.756.000 </w:t>
                </w:r>
              </w:p>
            </w:tc>
            <w:tc>
              <w:tcPr>
                <w:tcW w:w="891" w:type="pct"/>
                <w:shd w:val="clear" w:color="auto" w:fill="auto"/>
                <w:noWrap/>
                <w:vAlign w:val="center"/>
                <w:hideMark/>
              </w:tcPr>
              <w:p w14:paraId="4DA7F322"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32.336.756.000 </w:t>
                </w:r>
              </w:p>
            </w:tc>
          </w:tr>
          <w:tr w:rsidR="00BC51FA" w:rsidRPr="00BC51FA" w14:paraId="1A40EEDB" w14:textId="77777777" w:rsidTr="00531250">
            <w:trPr>
              <w:trHeight w:val="463"/>
            </w:trPr>
            <w:tc>
              <w:tcPr>
                <w:tcW w:w="1499" w:type="pct"/>
                <w:shd w:val="clear" w:color="auto" w:fill="auto"/>
                <w:noWrap/>
                <w:vAlign w:val="center"/>
                <w:hideMark/>
              </w:tcPr>
              <w:p w14:paraId="59E972C9" w14:textId="4440058C" w:rsidR="00BC51FA" w:rsidRPr="00BC51FA" w:rsidRDefault="00BC51FA" w:rsidP="00BC51FA">
                <w:pPr>
                  <w:spacing w:after="0" w:line="240" w:lineRule="auto"/>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=SUBTOTAL</w:t>
                </w:r>
                <w:r>
                  <w:rPr>
                    <w:rFonts w:ascii="Times New Roman" w:eastAsia="Times New Roman" w:hAnsi="Times New Roman"/>
                    <w:b/>
                    <w:bCs/>
                    <w:sz w:val="16"/>
                    <w:szCs w:val="16"/>
                    <w:lang w:eastAsia="es-CO"/>
                  </w:rPr>
                  <w:t xml:space="preserve"> </w:t>
                </w:r>
                <w:r w:rsidRPr="00BC51FA">
                  <w:rPr>
                    <w:rFonts w:ascii="Times New Roman" w:eastAsia="Times New Roman" w:hAnsi="Times New Roman"/>
                    <w:b/>
                    <w:bCs/>
                    <w:sz w:val="16"/>
                    <w:szCs w:val="16"/>
                    <w:lang w:eastAsia="es-CO"/>
                  </w:rPr>
                  <w:t>(Saldo inicial + Entradas - Salidas)</w:t>
                </w:r>
              </w:p>
            </w:tc>
            <w:tc>
              <w:tcPr>
                <w:tcW w:w="869" w:type="pct"/>
                <w:shd w:val="clear" w:color="000000" w:fill="FFFFFF"/>
                <w:noWrap/>
                <w:vAlign w:val="center"/>
                <w:hideMark/>
              </w:tcPr>
              <w:p w14:paraId="6BE56DB9"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1.887.555.817.538 </w:t>
                </w:r>
              </w:p>
            </w:tc>
            <w:tc>
              <w:tcPr>
                <w:tcW w:w="870" w:type="pct"/>
                <w:shd w:val="clear" w:color="000000" w:fill="FFFFFF"/>
                <w:noWrap/>
                <w:vAlign w:val="center"/>
                <w:hideMark/>
              </w:tcPr>
              <w:p w14:paraId="5BAF30D7"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34.927.450.051.094 </w:t>
                </w:r>
              </w:p>
            </w:tc>
            <w:tc>
              <w:tcPr>
                <w:tcW w:w="871" w:type="pct"/>
                <w:shd w:val="clear" w:color="000000" w:fill="FFFFFF"/>
                <w:noWrap/>
                <w:vAlign w:val="center"/>
                <w:hideMark/>
              </w:tcPr>
              <w:p w14:paraId="6AF191D4"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28.640.681.351.847 </w:t>
                </w:r>
              </w:p>
            </w:tc>
            <w:tc>
              <w:tcPr>
                <w:tcW w:w="891" w:type="pct"/>
                <w:shd w:val="clear" w:color="auto" w:fill="auto"/>
                <w:noWrap/>
                <w:vAlign w:val="center"/>
                <w:hideMark/>
              </w:tcPr>
              <w:p w14:paraId="5074572B"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65.455.687.220.479 </w:t>
                </w:r>
              </w:p>
            </w:tc>
          </w:tr>
          <w:tr w:rsidR="00BC51FA" w:rsidRPr="00BC51FA" w14:paraId="6E83905C" w14:textId="77777777" w:rsidTr="00531250">
            <w:trPr>
              <w:trHeight w:val="300"/>
            </w:trPr>
            <w:tc>
              <w:tcPr>
                <w:tcW w:w="1499" w:type="pct"/>
                <w:shd w:val="clear" w:color="auto" w:fill="auto"/>
                <w:noWrap/>
                <w:vAlign w:val="center"/>
                <w:hideMark/>
              </w:tcPr>
              <w:p w14:paraId="5BC6F146" w14:textId="4C53B05A" w:rsidR="00BC51FA" w:rsidRPr="00BC51FA" w:rsidRDefault="00BC51FA" w:rsidP="00BC51FA">
                <w:pPr>
                  <w:spacing w:after="0" w:line="240" w:lineRule="auto"/>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w:t>
                </w:r>
                <w:r>
                  <w:rPr>
                    <w:rFonts w:ascii="Times New Roman" w:eastAsia="Times New Roman" w:hAnsi="Times New Roman"/>
                    <w:b/>
                    <w:bCs/>
                    <w:sz w:val="16"/>
                    <w:szCs w:val="16"/>
                    <w:lang w:eastAsia="es-CO"/>
                  </w:rPr>
                  <w:t xml:space="preserve"> </w:t>
                </w:r>
                <w:r w:rsidRPr="00BC51FA">
                  <w:rPr>
                    <w:rFonts w:ascii="Times New Roman" w:eastAsia="Times New Roman" w:hAnsi="Times New Roman"/>
                    <w:b/>
                    <w:bCs/>
                    <w:sz w:val="16"/>
                    <w:szCs w:val="16"/>
                    <w:lang w:eastAsia="es-CO"/>
                  </w:rPr>
                  <w:t>CAMBIOS Y MEDICIÓN POSTERIOR</w:t>
                </w:r>
              </w:p>
            </w:tc>
            <w:tc>
              <w:tcPr>
                <w:tcW w:w="869" w:type="pct"/>
                <w:shd w:val="clear" w:color="000000" w:fill="FFFFFF"/>
                <w:noWrap/>
                <w:vAlign w:val="center"/>
                <w:hideMark/>
              </w:tcPr>
              <w:p w14:paraId="7A23029D"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0 </w:t>
                </w:r>
              </w:p>
            </w:tc>
            <w:tc>
              <w:tcPr>
                <w:tcW w:w="870" w:type="pct"/>
                <w:shd w:val="clear" w:color="000000" w:fill="FFFFFF"/>
                <w:noWrap/>
                <w:vAlign w:val="center"/>
                <w:hideMark/>
              </w:tcPr>
              <w:p w14:paraId="2C28285D"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2.314.415.545.468 </w:t>
                </w:r>
              </w:p>
            </w:tc>
            <w:tc>
              <w:tcPr>
                <w:tcW w:w="871" w:type="pct"/>
                <w:shd w:val="clear" w:color="000000" w:fill="FFFFFF"/>
                <w:noWrap/>
                <w:vAlign w:val="center"/>
                <w:hideMark/>
              </w:tcPr>
              <w:p w14:paraId="1BA13DD8"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(2.768.397.354.645)</w:t>
                </w:r>
              </w:p>
            </w:tc>
            <w:tc>
              <w:tcPr>
                <w:tcW w:w="891" w:type="pct"/>
                <w:shd w:val="clear" w:color="auto" w:fill="auto"/>
                <w:noWrap/>
                <w:vAlign w:val="center"/>
                <w:hideMark/>
              </w:tcPr>
              <w:p w14:paraId="13CE5AF1"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(453.981.809.177)</w:t>
                </w:r>
              </w:p>
            </w:tc>
          </w:tr>
          <w:tr w:rsidR="00BC51FA" w:rsidRPr="00BC51FA" w14:paraId="0CC90D9C" w14:textId="77777777" w:rsidTr="00531250">
            <w:trPr>
              <w:trHeight w:val="300"/>
            </w:trPr>
            <w:tc>
              <w:tcPr>
                <w:tcW w:w="1499" w:type="pct"/>
                <w:shd w:val="clear" w:color="auto" w:fill="auto"/>
                <w:noWrap/>
                <w:vAlign w:val="center"/>
                <w:hideMark/>
              </w:tcPr>
              <w:p w14:paraId="6B9FD817" w14:textId="20EE7971" w:rsidR="00BC51FA" w:rsidRPr="00BC51FA" w:rsidRDefault="00BC51FA" w:rsidP="00BC51FA">
                <w:pPr>
                  <w:spacing w:after="0" w:line="240" w:lineRule="auto"/>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w:t>
                </w:r>
                <w:r>
                  <w:rPr>
                    <w:rFonts w:ascii="Times New Roman" w:eastAsia="Times New Roman" w:hAnsi="Times New Roman"/>
                    <w:sz w:val="16"/>
                    <w:szCs w:val="16"/>
                    <w:lang w:eastAsia="es-CO"/>
                  </w:rPr>
                  <w:t xml:space="preserve"> </w:t>
                </w:r>
                <w:r w:rsidRPr="00BC51FA">
                  <w:rPr>
                    <w:rFonts w:ascii="Times New Roman" w:eastAsia="Times New Roman" w:hAnsi="Times New Roman"/>
                    <w:sz w:val="16"/>
                    <w:szCs w:val="16"/>
                    <w:lang w:eastAsia="es-CO"/>
                  </w:rPr>
                  <w:t>Entrada por traslado de cuentas (DB)</w:t>
                </w:r>
              </w:p>
            </w:tc>
            <w:tc>
              <w:tcPr>
                <w:tcW w:w="869" w:type="pct"/>
                <w:shd w:val="clear" w:color="000000" w:fill="FFFFFF"/>
                <w:noWrap/>
                <w:vAlign w:val="center"/>
                <w:hideMark/>
              </w:tcPr>
              <w:p w14:paraId="6E31EBD4"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0 </w:t>
                </w:r>
              </w:p>
            </w:tc>
            <w:tc>
              <w:tcPr>
                <w:tcW w:w="870" w:type="pct"/>
                <w:shd w:val="clear" w:color="000000" w:fill="FFFFFF"/>
                <w:noWrap/>
                <w:vAlign w:val="center"/>
                <w:hideMark/>
              </w:tcPr>
              <w:p w14:paraId="0C311F6D"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4.451.929.936.398 </w:t>
                </w:r>
              </w:p>
            </w:tc>
            <w:tc>
              <w:tcPr>
                <w:tcW w:w="871" w:type="pct"/>
                <w:shd w:val="clear" w:color="000000" w:fill="FFFFFF"/>
                <w:noWrap/>
                <w:vAlign w:val="center"/>
                <w:hideMark/>
              </w:tcPr>
              <w:p w14:paraId="538F525E"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3.015.985.916.181 </w:t>
                </w:r>
              </w:p>
            </w:tc>
            <w:tc>
              <w:tcPr>
                <w:tcW w:w="891" w:type="pct"/>
                <w:shd w:val="clear" w:color="auto" w:fill="auto"/>
                <w:noWrap/>
                <w:vAlign w:val="center"/>
                <w:hideMark/>
              </w:tcPr>
              <w:p w14:paraId="3C57BBB6"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7.467.915.852.579 </w:t>
                </w:r>
              </w:p>
            </w:tc>
          </w:tr>
          <w:tr w:rsidR="00BC51FA" w:rsidRPr="00BC51FA" w14:paraId="271F7135" w14:textId="77777777" w:rsidTr="00531250">
            <w:trPr>
              <w:trHeight w:val="300"/>
            </w:trPr>
            <w:tc>
              <w:tcPr>
                <w:tcW w:w="1499" w:type="pct"/>
                <w:shd w:val="clear" w:color="auto" w:fill="auto"/>
                <w:noWrap/>
                <w:vAlign w:val="center"/>
                <w:hideMark/>
              </w:tcPr>
              <w:p w14:paraId="4F4EF313" w14:textId="686E82E3" w:rsidR="00BC51FA" w:rsidRPr="00BC51FA" w:rsidRDefault="00BC51FA" w:rsidP="00BC51FA">
                <w:pPr>
                  <w:spacing w:after="0" w:line="240" w:lineRule="auto"/>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Modo Carretero</w:t>
                </w:r>
              </w:p>
            </w:tc>
            <w:tc>
              <w:tcPr>
                <w:tcW w:w="869" w:type="pct"/>
                <w:shd w:val="clear" w:color="000000" w:fill="FFFFFF"/>
                <w:noWrap/>
                <w:vAlign w:val="center"/>
                <w:hideMark/>
              </w:tcPr>
              <w:p w14:paraId="22D010F9"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0 </w:t>
                </w:r>
              </w:p>
            </w:tc>
            <w:tc>
              <w:tcPr>
                <w:tcW w:w="870" w:type="pct"/>
                <w:shd w:val="clear" w:color="000000" w:fill="FFFFFF"/>
                <w:noWrap/>
                <w:vAlign w:val="center"/>
                <w:hideMark/>
              </w:tcPr>
              <w:p w14:paraId="2327D79B"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4.018.792.016.895 </w:t>
                </w:r>
              </w:p>
            </w:tc>
            <w:tc>
              <w:tcPr>
                <w:tcW w:w="871" w:type="pct"/>
                <w:shd w:val="clear" w:color="000000" w:fill="FFFFFF"/>
                <w:noWrap/>
                <w:vAlign w:val="center"/>
                <w:hideMark/>
              </w:tcPr>
              <w:p w14:paraId="4A872329"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2.471.058.188.035 </w:t>
                </w:r>
              </w:p>
            </w:tc>
            <w:tc>
              <w:tcPr>
                <w:tcW w:w="891" w:type="pct"/>
                <w:shd w:val="clear" w:color="auto" w:fill="auto"/>
                <w:noWrap/>
                <w:vAlign w:val="center"/>
                <w:hideMark/>
              </w:tcPr>
              <w:p w14:paraId="3D5CAB2B"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6.489.850.204.930 </w:t>
                </w:r>
              </w:p>
            </w:tc>
          </w:tr>
          <w:tr w:rsidR="00BC51FA" w:rsidRPr="00BC51FA" w14:paraId="3798033C" w14:textId="77777777" w:rsidTr="00531250">
            <w:trPr>
              <w:trHeight w:val="300"/>
            </w:trPr>
            <w:tc>
              <w:tcPr>
                <w:tcW w:w="1499" w:type="pct"/>
                <w:shd w:val="clear" w:color="auto" w:fill="auto"/>
                <w:noWrap/>
                <w:vAlign w:val="center"/>
                <w:hideMark/>
              </w:tcPr>
              <w:p w14:paraId="231E4A1E" w14:textId="77397CB5" w:rsidR="00BC51FA" w:rsidRPr="00BC51FA" w:rsidRDefault="00BC51FA" w:rsidP="00BC51FA">
                <w:pPr>
                  <w:spacing w:after="0" w:line="240" w:lineRule="auto"/>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Terrenos</w:t>
                </w:r>
              </w:p>
            </w:tc>
            <w:tc>
              <w:tcPr>
                <w:tcW w:w="869" w:type="pct"/>
                <w:shd w:val="clear" w:color="000000" w:fill="FFFFFF"/>
                <w:noWrap/>
                <w:vAlign w:val="center"/>
                <w:hideMark/>
              </w:tcPr>
              <w:p w14:paraId="5C0E1BB7"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0 </w:t>
                </w:r>
              </w:p>
            </w:tc>
            <w:tc>
              <w:tcPr>
                <w:tcW w:w="870" w:type="pct"/>
                <w:shd w:val="clear" w:color="000000" w:fill="FFFFFF"/>
                <w:noWrap/>
                <w:vAlign w:val="center"/>
                <w:hideMark/>
              </w:tcPr>
              <w:p w14:paraId="244A2BE0"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431.301.836.326 </w:t>
                </w:r>
              </w:p>
            </w:tc>
            <w:tc>
              <w:tcPr>
                <w:tcW w:w="871" w:type="pct"/>
                <w:shd w:val="clear" w:color="000000" w:fill="FFFFFF"/>
                <w:noWrap/>
                <w:vAlign w:val="center"/>
                <w:hideMark/>
              </w:tcPr>
              <w:p w14:paraId="4C81F589"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500.763.570.497 </w:t>
                </w:r>
              </w:p>
            </w:tc>
            <w:tc>
              <w:tcPr>
                <w:tcW w:w="891" w:type="pct"/>
                <w:shd w:val="clear" w:color="auto" w:fill="auto"/>
                <w:noWrap/>
                <w:vAlign w:val="center"/>
                <w:hideMark/>
              </w:tcPr>
              <w:p w14:paraId="30B55559"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932.065.406.823 </w:t>
                </w:r>
              </w:p>
            </w:tc>
          </w:tr>
          <w:tr w:rsidR="00BC51FA" w:rsidRPr="00BC51FA" w14:paraId="79C246CE" w14:textId="77777777" w:rsidTr="00531250">
            <w:trPr>
              <w:trHeight w:val="300"/>
            </w:trPr>
            <w:tc>
              <w:tcPr>
                <w:tcW w:w="1499" w:type="pct"/>
                <w:shd w:val="clear" w:color="auto" w:fill="auto"/>
                <w:noWrap/>
                <w:vAlign w:val="center"/>
                <w:hideMark/>
              </w:tcPr>
              <w:p w14:paraId="3D068CFD" w14:textId="244520F4" w:rsidR="00BC51FA" w:rsidRPr="00BC51FA" w:rsidRDefault="00BC51FA" w:rsidP="00BC51FA">
                <w:pPr>
                  <w:spacing w:after="0" w:line="240" w:lineRule="auto"/>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Modo Portuario</w:t>
                </w:r>
              </w:p>
            </w:tc>
            <w:tc>
              <w:tcPr>
                <w:tcW w:w="869" w:type="pct"/>
                <w:shd w:val="clear" w:color="000000" w:fill="FFFFFF"/>
                <w:noWrap/>
                <w:vAlign w:val="center"/>
                <w:hideMark/>
              </w:tcPr>
              <w:p w14:paraId="3F5B8E24"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0 </w:t>
                </w:r>
              </w:p>
            </w:tc>
            <w:tc>
              <w:tcPr>
                <w:tcW w:w="870" w:type="pct"/>
                <w:shd w:val="clear" w:color="000000" w:fill="FFFFFF"/>
                <w:noWrap/>
                <w:vAlign w:val="center"/>
                <w:hideMark/>
              </w:tcPr>
              <w:p w14:paraId="3668D8D0"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1.836.083.177 </w:t>
                </w:r>
              </w:p>
            </w:tc>
            <w:tc>
              <w:tcPr>
                <w:tcW w:w="871" w:type="pct"/>
                <w:shd w:val="clear" w:color="000000" w:fill="FFFFFF"/>
                <w:noWrap/>
                <w:vAlign w:val="center"/>
                <w:hideMark/>
              </w:tcPr>
              <w:p w14:paraId="6F528651"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44.164.157.649 </w:t>
                </w:r>
              </w:p>
            </w:tc>
            <w:tc>
              <w:tcPr>
                <w:tcW w:w="891" w:type="pct"/>
                <w:shd w:val="clear" w:color="auto" w:fill="auto"/>
                <w:noWrap/>
                <w:vAlign w:val="center"/>
                <w:hideMark/>
              </w:tcPr>
              <w:p w14:paraId="4BF7BAB3"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46.000.240.826 </w:t>
                </w:r>
              </w:p>
            </w:tc>
          </w:tr>
          <w:tr w:rsidR="00BC51FA" w:rsidRPr="00BC51FA" w14:paraId="185D4136" w14:textId="77777777" w:rsidTr="00531250">
            <w:trPr>
              <w:trHeight w:val="300"/>
            </w:trPr>
            <w:tc>
              <w:tcPr>
                <w:tcW w:w="1499" w:type="pct"/>
                <w:shd w:val="clear" w:color="auto" w:fill="auto"/>
                <w:noWrap/>
                <w:vAlign w:val="center"/>
                <w:hideMark/>
              </w:tcPr>
              <w:p w14:paraId="088E210F" w14:textId="12F586EA" w:rsidR="00BC51FA" w:rsidRPr="00BC51FA" w:rsidRDefault="00BC51FA" w:rsidP="00BC51FA">
                <w:pPr>
                  <w:spacing w:after="0" w:line="240" w:lineRule="auto"/>
                  <w:rPr>
                    <w:rFonts w:ascii="Times New Roman" w:eastAsia="Times New Roman" w:hAnsi="Times New Roman"/>
                    <w:sz w:val="16"/>
                    <w:szCs w:val="16"/>
                    <w:lang w:eastAsia="es-CO"/>
                  </w:rPr>
                </w:pPr>
                <w:r>
                  <w:rPr>
                    <w:rFonts w:ascii="Times New Roman" w:eastAsia="Times New Roman" w:hAnsi="Times New Roman"/>
                    <w:sz w:val="16"/>
                    <w:szCs w:val="16"/>
                    <w:lang w:eastAsia="es-CO"/>
                  </w:rPr>
                  <w:lastRenderedPageBreak/>
                  <w:t>(</w:t>
                </w:r>
                <w:r w:rsidRPr="00BC51FA">
                  <w:rPr>
                    <w:rFonts w:ascii="Times New Roman" w:eastAsia="Times New Roman" w:hAnsi="Times New Roman"/>
                    <w:sz w:val="16"/>
                    <w:szCs w:val="16"/>
                    <w:lang w:eastAsia="es-CO"/>
                  </w:rPr>
                  <w:t>-</w:t>
                </w:r>
                <w:r>
                  <w:rPr>
                    <w:rFonts w:ascii="Times New Roman" w:eastAsia="Times New Roman" w:hAnsi="Times New Roman"/>
                    <w:sz w:val="16"/>
                    <w:szCs w:val="16"/>
                    <w:lang w:eastAsia="es-CO"/>
                  </w:rPr>
                  <w:t xml:space="preserve">) </w:t>
                </w:r>
                <w:r w:rsidRPr="00BC51FA">
                  <w:rPr>
                    <w:rFonts w:ascii="Times New Roman" w:eastAsia="Times New Roman" w:hAnsi="Times New Roman"/>
                    <w:sz w:val="16"/>
                    <w:szCs w:val="16"/>
                    <w:lang w:eastAsia="es-CO"/>
                  </w:rPr>
                  <w:t>Salida por traslado de cuentas (CR)</w:t>
                </w:r>
              </w:p>
            </w:tc>
            <w:tc>
              <w:tcPr>
                <w:tcW w:w="869" w:type="pct"/>
                <w:shd w:val="clear" w:color="000000" w:fill="FFFFFF"/>
                <w:noWrap/>
                <w:vAlign w:val="center"/>
                <w:hideMark/>
              </w:tcPr>
              <w:p w14:paraId="4F96E49C"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0 </w:t>
                </w:r>
              </w:p>
            </w:tc>
            <w:tc>
              <w:tcPr>
                <w:tcW w:w="870" w:type="pct"/>
                <w:shd w:val="clear" w:color="000000" w:fill="FFFFFF"/>
                <w:noWrap/>
                <w:vAlign w:val="center"/>
                <w:hideMark/>
              </w:tcPr>
              <w:p w14:paraId="6ACD1C4C"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2.137.514.390.930 </w:t>
                </w:r>
              </w:p>
            </w:tc>
            <w:tc>
              <w:tcPr>
                <w:tcW w:w="871" w:type="pct"/>
                <w:shd w:val="clear" w:color="000000" w:fill="FFFFFF"/>
                <w:noWrap/>
                <w:vAlign w:val="center"/>
                <w:hideMark/>
              </w:tcPr>
              <w:p w14:paraId="59C37177"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5.784.383.270.826 </w:t>
                </w:r>
              </w:p>
            </w:tc>
            <w:tc>
              <w:tcPr>
                <w:tcW w:w="891" w:type="pct"/>
                <w:shd w:val="clear" w:color="auto" w:fill="auto"/>
                <w:noWrap/>
                <w:vAlign w:val="center"/>
                <w:hideMark/>
              </w:tcPr>
              <w:p w14:paraId="39E4C4C3"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7.921.897.661.756 </w:t>
                </w:r>
              </w:p>
            </w:tc>
          </w:tr>
          <w:tr w:rsidR="00BC51FA" w:rsidRPr="00BC51FA" w14:paraId="05EDD916" w14:textId="77777777" w:rsidTr="00531250">
            <w:trPr>
              <w:trHeight w:val="300"/>
            </w:trPr>
            <w:tc>
              <w:tcPr>
                <w:tcW w:w="1499" w:type="pct"/>
                <w:shd w:val="clear" w:color="auto" w:fill="auto"/>
                <w:noWrap/>
                <w:vAlign w:val="center"/>
                <w:hideMark/>
              </w:tcPr>
              <w:p w14:paraId="24CD9AD1" w14:textId="331DC4F3" w:rsidR="00BC51FA" w:rsidRPr="00BC51FA" w:rsidRDefault="00BC51FA" w:rsidP="00BC51FA">
                <w:pPr>
                  <w:spacing w:after="0" w:line="240" w:lineRule="auto"/>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Modo Carretero</w:t>
                </w:r>
              </w:p>
            </w:tc>
            <w:tc>
              <w:tcPr>
                <w:tcW w:w="869" w:type="pct"/>
                <w:shd w:val="clear" w:color="000000" w:fill="FFFFFF"/>
                <w:noWrap/>
                <w:vAlign w:val="center"/>
                <w:hideMark/>
              </w:tcPr>
              <w:p w14:paraId="7EB917EB"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0 </w:t>
                </w:r>
              </w:p>
            </w:tc>
            <w:tc>
              <w:tcPr>
                <w:tcW w:w="870" w:type="pct"/>
                <w:shd w:val="clear" w:color="000000" w:fill="FFFFFF"/>
                <w:noWrap/>
                <w:vAlign w:val="center"/>
                <w:hideMark/>
              </w:tcPr>
              <w:p w14:paraId="1DD783F7"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2.012.284.434.798 </w:t>
                </w:r>
              </w:p>
            </w:tc>
            <w:tc>
              <w:tcPr>
                <w:tcW w:w="871" w:type="pct"/>
                <w:shd w:val="clear" w:color="000000" w:fill="FFFFFF"/>
                <w:noWrap/>
                <w:vAlign w:val="center"/>
                <w:hideMark/>
              </w:tcPr>
              <w:p w14:paraId="6FEE5C4A"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5.508.574.005.021 </w:t>
                </w:r>
              </w:p>
            </w:tc>
            <w:tc>
              <w:tcPr>
                <w:tcW w:w="891" w:type="pct"/>
                <w:shd w:val="clear" w:color="auto" w:fill="auto"/>
                <w:noWrap/>
                <w:vAlign w:val="center"/>
                <w:hideMark/>
              </w:tcPr>
              <w:p w14:paraId="2657809D"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7.520.858.439.819 </w:t>
                </w:r>
              </w:p>
            </w:tc>
          </w:tr>
          <w:tr w:rsidR="00BC51FA" w:rsidRPr="00BC51FA" w14:paraId="711F109B" w14:textId="77777777" w:rsidTr="00531250">
            <w:trPr>
              <w:trHeight w:val="300"/>
            </w:trPr>
            <w:tc>
              <w:tcPr>
                <w:tcW w:w="1499" w:type="pct"/>
                <w:shd w:val="clear" w:color="auto" w:fill="auto"/>
                <w:noWrap/>
                <w:vAlign w:val="center"/>
                <w:hideMark/>
              </w:tcPr>
              <w:p w14:paraId="07AB8733" w14:textId="488DC727" w:rsidR="00BC51FA" w:rsidRPr="00BC51FA" w:rsidRDefault="00BC51FA" w:rsidP="00BC51FA">
                <w:pPr>
                  <w:spacing w:after="0" w:line="240" w:lineRule="auto"/>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Terrenos</w:t>
                </w:r>
              </w:p>
            </w:tc>
            <w:tc>
              <w:tcPr>
                <w:tcW w:w="869" w:type="pct"/>
                <w:shd w:val="clear" w:color="000000" w:fill="FFFFFF"/>
                <w:noWrap/>
                <w:vAlign w:val="center"/>
                <w:hideMark/>
              </w:tcPr>
              <w:p w14:paraId="5A6E761C"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0 </w:t>
                </w:r>
              </w:p>
            </w:tc>
            <w:tc>
              <w:tcPr>
                <w:tcW w:w="870" w:type="pct"/>
                <w:shd w:val="clear" w:color="000000" w:fill="FFFFFF"/>
                <w:noWrap/>
                <w:vAlign w:val="center"/>
                <w:hideMark/>
              </w:tcPr>
              <w:p w14:paraId="5AB5EE0E"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64.403.206.090 </w:t>
                </w:r>
              </w:p>
            </w:tc>
            <w:tc>
              <w:tcPr>
                <w:tcW w:w="871" w:type="pct"/>
                <w:shd w:val="clear" w:color="000000" w:fill="FFFFFF"/>
                <w:noWrap/>
                <w:vAlign w:val="center"/>
                <w:hideMark/>
              </w:tcPr>
              <w:p w14:paraId="107A7FC8"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255.408.320.296,0 </w:t>
                </w:r>
              </w:p>
            </w:tc>
            <w:tc>
              <w:tcPr>
                <w:tcW w:w="891" w:type="pct"/>
                <w:shd w:val="clear" w:color="auto" w:fill="auto"/>
                <w:noWrap/>
                <w:vAlign w:val="center"/>
                <w:hideMark/>
              </w:tcPr>
              <w:p w14:paraId="4684D653"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319.811.526.386 </w:t>
                </w:r>
              </w:p>
            </w:tc>
          </w:tr>
          <w:tr w:rsidR="00BC51FA" w:rsidRPr="00BC51FA" w14:paraId="223A934C" w14:textId="77777777" w:rsidTr="00531250">
            <w:trPr>
              <w:trHeight w:val="300"/>
            </w:trPr>
            <w:tc>
              <w:tcPr>
                <w:tcW w:w="1499" w:type="pct"/>
                <w:shd w:val="clear" w:color="auto" w:fill="auto"/>
                <w:noWrap/>
                <w:vAlign w:val="center"/>
                <w:hideMark/>
              </w:tcPr>
              <w:p w14:paraId="2E283064" w14:textId="5B73AE8F" w:rsidR="00BC51FA" w:rsidRPr="00BC51FA" w:rsidRDefault="00BC51FA" w:rsidP="00BC51FA">
                <w:pPr>
                  <w:spacing w:after="0" w:line="240" w:lineRule="auto"/>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Modo Portuario</w:t>
                </w:r>
              </w:p>
            </w:tc>
            <w:tc>
              <w:tcPr>
                <w:tcW w:w="869" w:type="pct"/>
                <w:shd w:val="clear" w:color="000000" w:fill="FFFFFF"/>
                <w:noWrap/>
                <w:vAlign w:val="center"/>
                <w:hideMark/>
              </w:tcPr>
              <w:p w14:paraId="56D54198"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0 </w:t>
                </w:r>
              </w:p>
            </w:tc>
            <w:tc>
              <w:tcPr>
                <w:tcW w:w="870" w:type="pct"/>
                <w:shd w:val="clear" w:color="000000" w:fill="FFFFFF"/>
                <w:noWrap/>
                <w:vAlign w:val="center"/>
                <w:hideMark/>
              </w:tcPr>
              <w:p w14:paraId="4E42592E"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60.826.750.042 </w:t>
                </w:r>
              </w:p>
            </w:tc>
            <w:tc>
              <w:tcPr>
                <w:tcW w:w="871" w:type="pct"/>
                <w:shd w:val="clear" w:color="000000" w:fill="FFFFFF"/>
                <w:noWrap/>
                <w:vAlign w:val="center"/>
                <w:hideMark/>
              </w:tcPr>
              <w:p w14:paraId="6264284E"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17.132.013.508 </w:t>
                </w:r>
              </w:p>
            </w:tc>
            <w:tc>
              <w:tcPr>
                <w:tcW w:w="891" w:type="pct"/>
                <w:shd w:val="clear" w:color="auto" w:fill="auto"/>
                <w:noWrap/>
                <w:vAlign w:val="center"/>
                <w:hideMark/>
              </w:tcPr>
              <w:p w14:paraId="376B1612"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77.958.763.550 </w:t>
                </w:r>
              </w:p>
            </w:tc>
          </w:tr>
          <w:tr w:rsidR="00BC51FA" w:rsidRPr="00BC51FA" w14:paraId="25F76A7C" w14:textId="77777777" w:rsidTr="00531250">
            <w:trPr>
              <w:trHeight w:val="300"/>
            </w:trPr>
            <w:tc>
              <w:tcPr>
                <w:tcW w:w="1499" w:type="pct"/>
                <w:shd w:val="clear" w:color="auto" w:fill="auto"/>
                <w:noWrap/>
                <w:vAlign w:val="center"/>
                <w:hideMark/>
              </w:tcPr>
              <w:p w14:paraId="49306BCD" w14:textId="1F89328B" w:rsidR="00BC51FA" w:rsidRPr="00BC51FA" w:rsidRDefault="00BC51FA" w:rsidP="00BC51FA">
                <w:pPr>
                  <w:spacing w:after="0" w:line="240" w:lineRule="auto"/>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Modo Férreo </w:t>
                </w:r>
              </w:p>
            </w:tc>
            <w:tc>
              <w:tcPr>
                <w:tcW w:w="869" w:type="pct"/>
                <w:shd w:val="clear" w:color="000000" w:fill="FFFFFF"/>
                <w:noWrap/>
                <w:vAlign w:val="center"/>
                <w:hideMark/>
              </w:tcPr>
              <w:p w14:paraId="61A466AC"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0 </w:t>
                </w:r>
              </w:p>
            </w:tc>
            <w:tc>
              <w:tcPr>
                <w:tcW w:w="870" w:type="pct"/>
                <w:shd w:val="clear" w:color="000000" w:fill="FFFFFF"/>
                <w:noWrap/>
                <w:vAlign w:val="center"/>
                <w:hideMark/>
              </w:tcPr>
              <w:p w14:paraId="7B03AE18"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0 </w:t>
                </w:r>
              </w:p>
            </w:tc>
            <w:tc>
              <w:tcPr>
                <w:tcW w:w="871" w:type="pct"/>
                <w:shd w:val="clear" w:color="000000" w:fill="FFFFFF"/>
                <w:noWrap/>
                <w:vAlign w:val="center"/>
                <w:hideMark/>
              </w:tcPr>
              <w:p w14:paraId="573AD836"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3.268.932.001 </w:t>
                </w:r>
              </w:p>
            </w:tc>
            <w:tc>
              <w:tcPr>
                <w:tcW w:w="891" w:type="pct"/>
                <w:shd w:val="clear" w:color="auto" w:fill="auto"/>
                <w:noWrap/>
                <w:vAlign w:val="center"/>
                <w:hideMark/>
              </w:tcPr>
              <w:p w14:paraId="07857573"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3.268.932.001 </w:t>
                </w:r>
              </w:p>
            </w:tc>
          </w:tr>
          <w:tr w:rsidR="00BC51FA" w:rsidRPr="00BC51FA" w14:paraId="66933ABF" w14:textId="77777777" w:rsidTr="00531250">
            <w:trPr>
              <w:trHeight w:val="300"/>
            </w:trPr>
            <w:tc>
              <w:tcPr>
                <w:tcW w:w="1499" w:type="pct"/>
                <w:shd w:val="clear" w:color="auto" w:fill="auto"/>
                <w:noWrap/>
                <w:vAlign w:val="center"/>
                <w:hideMark/>
              </w:tcPr>
              <w:p w14:paraId="6FC05359" w14:textId="57AA8B45" w:rsidR="00BC51FA" w:rsidRPr="00BC51FA" w:rsidRDefault="00BC51FA" w:rsidP="00BC51FA">
                <w:pPr>
                  <w:spacing w:after="0" w:line="240" w:lineRule="auto"/>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w:t>
                </w:r>
                <w:r>
                  <w:rPr>
                    <w:rFonts w:ascii="Times New Roman" w:eastAsia="Times New Roman" w:hAnsi="Times New Roman"/>
                    <w:sz w:val="16"/>
                    <w:szCs w:val="16"/>
                    <w:lang w:eastAsia="es-CO"/>
                  </w:rPr>
                  <w:t xml:space="preserve"> </w:t>
                </w:r>
                <w:r w:rsidRPr="00BC51FA">
                  <w:rPr>
                    <w:rFonts w:ascii="Times New Roman" w:eastAsia="Times New Roman" w:hAnsi="Times New Roman"/>
                    <w:sz w:val="16"/>
                    <w:szCs w:val="16"/>
                    <w:lang w:eastAsia="es-CO"/>
                  </w:rPr>
                  <w:t>Ajustes/Reclasificaciones en entradas (DB)</w:t>
                </w:r>
              </w:p>
            </w:tc>
            <w:tc>
              <w:tcPr>
                <w:tcW w:w="869" w:type="pct"/>
                <w:shd w:val="clear" w:color="000000" w:fill="FFFFFF"/>
                <w:noWrap/>
                <w:vAlign w:val="center"/>
                <w:hideMark/>
              </w:tcPr>
              <w:p w14:paraId="404A7D89"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0 </w:t>
                </w:r>
              </w:p>
            </w:tc>
            <w:tc>
              <w:tcPr>
                <w:tcW w:w="870" w:type="pct"/>
                <w:shd w:val="clear" w:color="000000" w:fill="FFFFFF"/>
                <w:noWrap/>
                <w:vAlign w:val="center"/>
                <w:hideMark/>
              </w:tcPr>
              <w:p w14:paraId="04BEC285"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0 </w:t>
                </w:r>
              </w:p>
            </w:tc>
            <w:tc>
              <w:tcPr>
                <w:tcW w:w="871" w:type="pct"/>
                <w:shd w:val="clear" w:color="000000" w:fill="FFFFFF"/>
                <w:noWrap/>
                <w:vAlign w:val="center"/>
                <w:hideMark/>
              </w:tcPr>
              <w:p w14:paraId="25392250"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0 </w:t>
                </w:r>
              </w:p>
            </w:tc>
            <w:tc>
              <w:tcPr>
                <w:tcW w:w="891" w:type="pct"/>
                <w:shd w:val="clear" w:color="auto" w:fill="auto"/>
                <w:noWrap/>
                <w:vAlign w:val="center"/>
                <w:hideMark/>
              </w:tcPr>
              <w:p w14:paraId="1BE6212B"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0 </w:t>
                </w:r>
              </w:p>
            </w:tc>
          </w:tr>
          <w:tr w:rsidR="00BC51FA" w:rsidRPr="00BC51FA" w14:paraId="2D0E6F13" w14:textId="77777777" w:rsidTr="00531250">
            <w:trPr>
              <w:trHeight w:val="300"/>
            </w:trPr>
            <w:tc>
              <w:tcPr>
                <w:tcW w:w="1499" w:type="pct"/>
                <w:shd w:val="clear" w:color="auto" w:fill="auto"/>
                <w:noWrap/>
                <w:vAlign w:val="center"/>
                <w:hideMark/>
              </w:tcPr>
              <w:p w14:paraId="3D7FFC82" w14:textId="017CC2AA" w:rsidR="00BC51FA" w:rsidRPr="00BC51FA" w:rsidRDefault="00BC51FA" w:rsidP="00BC51FA">
                <w:pPr>
                  <w:spacing w:after="0" w:line="240" w:lineRule="auto"/>
                  <w:rPr>
                    <w:rFonts w:ascii="Times New Roman" w:eastAsia="Times New Roman" w:hAnsi="Times New Roman"/>
                    <w:sz w:val="16"/>
                    <w:szCs w:val="16"/>
                    <w:lang w:eastAsia="es-CO"/>
                  </w:rPr>
                </w:pPr>
                <w:r>
                  <w:rPr>
                    <w:rFonts w:ascii="Times New Roman" w:eastAsia="Times New Roman" w:hAnsi="Times New Roman"/>
                    <w:sz w:val="16"/>
                    <w:szCs w:val="16"/>
                    <w:lang w:eastAsia="es-CO"/>
                  </w:rPr>
                  <w:t>(</w:t>
                </w:r>
                <w:r w:rsidRPr="00BC51FA">
                  <w:rPr>
                    <w:rFonts w:ascii="Times New Roman" w:eastAsia="Times New Roman" w:hAnsi="Times New Roman"/>
                    <w:sz w:val="16"/>
                    <w:szCs w:val="16"/>
                    <w:lang w:eastAsia="es-CO"/>
                  </w:rPr>
                  <w:t>-</w:t>
                </w:r>
                <w:r>
                  <w:rPr>
                    <w:rFonts w:ascii="Times New Roman" w:eastAsia="Times New Roman" w:hAnsi="Times New Roman"/>
                    <w:sz w:val="16"/>
                    <w:szCs w:val="16"/>
                    <w:lang w:eastAsia="es-CO"/>
                  </w:rPr>
                  <w:t xml:space="preserve">) </w:t>
                </w:r>
                <w:r w:rsidRPr="00BC51FA">
                  <w:rPr>
                    <w:rFonts w:ascii="Times New Roman" w:eastAsia="Times New Roman" w:hAnsi="Times New Roman"/>
                    <w:sz w:val="16"/>
                    <w:szCs w:val="16"/>
                    <w:lang w:eastAsia="es-CO"/>
                  </w:rPr>
                  <w:t>Ajustes/Reclasificaciones en salidas (CR)</w:t>
                </w:r>
              </w:p>
            </w:tc>
            <w:tc>
              <w:tcPr>
                <w:tcW w:w="869" w:type="pct"/>
                <w:shd w:val="clear" w:color="000000" w:fill="FFFFFF"/>
                <w:noWrap/>
                <w:vAlign w:val="center"/>
                <w:hideMark/>
              </w:tcPr>
              <w:p w14:paraId="7206DE5E"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0 </w:t>
                </w:r>
              </w:p>
            </w:tc>
            <w:tc>
              <w:tcPr>
                <w:tcW w:w="870" w:type="pct"/>
                <w:shd w:val="clear" w:color="000000" w:fill="FFFFFF"/>
                <w:noWrap/>
                <w:vAlign w:val="center"/>
                <w:hideMark/>
              </w:tcPr>
              <w:p w14:paraId="0C8D9F82"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0 </w:t>
                </w:r>
              </w:p>
            </w:tc>
            <w:tc>
              <w:tcPr>
                <w:tcW w:w="871" w:type="pct"/>
                <w:shd w:val="clear" w:color="000000" w:fill="FFFFFF"/>
                <w:noWrap/>
                <w:vAlign w:val="center"/>
                <w:hideMark/>
              </w:tcPr>
              <w:p w14:paraId="302CEC4F"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0 </w:t>
                </w:r>
              </w:p>
            </w:tc>
            <w:tc>
              <w:tcPr>
                <w:tcW w:w="891" w:type="pct"/>
                <w:shd w:val="clear" w:color="auto" w:fill="auto"/>
                <w:noWrap/>
                <w:vAlign w:val="center"/>
                <w:hideMark/>
              </w:tcPr>
              <w:p w14:paraId="46726160"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0 </w:t>
                </w:r>
              </w:p>
            </w:tc>
          </w:tr>
          <w:tr w:rsidR="00BC51FA" w:rsidRPr="00BC51FA" w14:paraId="0B7DB757" w14:textId="77777777" w:rsidTr="00531250">
            <w:trPr>
              <w:trHeight w:val="469"/>
            </w:trPr>
            <w:tc>
              <w:tcPr>
                <w:tcW w:w="1499" w:type="pct"/>
                <w:shd w:val="clear" w:color="auto" w:fill="auto"/>
                <w:noWrap/>
                <w:vAlign w:val="center"/>
                <w:hideMark/>
              </w:tcPr>
              <w:p w14:paraId="1D887C16" w14:textId="6BDF5322" w:rsidR="00BC51FA" w:rsidRPr="00BC51FA" w:rsidRDefault="00BC51FA" w:rsidP="00BC51FA">
                <w:pPr>
                  <w:spacing w:after="0" w:line="240" w:lineRule="auto"/>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w:t>
                </w:r>
                <w:r>
                  <w:rPr>
                    <w:rFonts w:ascii="Times New Roman" w:eastAsia="Times New Roman" w:hAnsi="Times New Roman"/>
                    <w:b/>
                    <w:bCs/>
                    <w:sz w:val="16"/>
                    <w:szCs w:val="16"/>
                    <w:lang w:eastAsia="es-CO"/>
                  </w:rPr>
                  <w:t xml:space="preserve"> </w:t>
                </w:r>
                <w:r w:rsidRPr="00BC51FA">
                  <w:rPr>
                    <w:rFonts w:ascii="Times New Roman" w:eastAsia="Times New Roman" w:hAnsi="Times New Roman"/>
                    <w:b/>
                    <w:bCs/>
                    <w:sz w:val="16"/>
                    <w:szCs w:val="16"/>
                    <w:lang w:eastAsia="es-CO"/>
                  </w:rPr>
                  <w:t>SALDO FINAL</w:t>
                </w:r>
                <w:r>
                  <w:rPr>
                    <w:rFonts w:ascii="Times New Roman" w:eastAsia="Times New Roman" w:hAnsi="Times New Roman"/>
                    <w:b/>
                    <w:bCs/>
                    <w:sz w:val="16"/>
                    <w:szCs w:val="16"/>
                    <w:lang w:eastAsia="es-CO"/>
                  </w:rPr>
                  <w:t xml:space="preserve"> </w:t>
                </w:r>
                <w:r w:rsidRPr="00BC51FA">
                  <w:rPr>
                    <w:rFonts w:ascii="Times New Roman" w:eastAsia="Times New Roman" w:hAnsi="Times New Roman"/>
                    <w:b/>
                    <w:bCs/>
                    <w:sz w:val="16"/>
                    <w:szCs w:val="16"/>
                    <w:lang w:eastAsia="es-CO"/>
                  </w:rPr>
                  <w:t>(Subtotal + Cambios)</w:t>
                </w:r>
              </w:p>
            </w:tc>
            <w:tc>
              <w:tcPr>
                <w:tcW w:w="869" w:type="pct"/>
                <w:shd w:val="clear" w:color="000000" w:fill="FFFFFF"/>
                <w:noWrap/>
                <w:vAlign w:val="center"/>
                <w:hideMark/>
              </w:tcPr>
              <w:p w14:paraId="180D1762"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1.887.555.817.538 </w:t>
                </w:r>
              </w:p>
            </w:tc>
            <w:tc>
              <w:tcPr>
                <w:tcW w:w="870" w:type="pct"/>
                <w:shd w:val="clear" w:color="000000" w:fill="FFFFFF"/>
                <w:noWrap/>
                <w:vAlign w:val="center"/>
                <w:hideMark/>
              </w:tcPr>
              <w:p w14:paraId="4946D7B4"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37.241.865.596.562 </w:t>
                </w:r>
              </w:p>
            </w:tc>
            <w:tc>
              <w:tcPr>
                <w:tcW w:w="871" w:type="pct"/>
                <w:shd w:val="clear" w:color="000000" w:fill="FFFFFF"/>
                <w:noWrap/>
                <w:vAlign w:val="center"/>
                <w:hideMark/>
              </w:tcPr>
              <w:p w14:paraId="3DCDEAB5"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25.872.283.997.202 </w:t>
                </w:r>
              </w:p>
            </w:tc>
            <w:tc>
              <w:tcPr>
                <w:tcW w:w="891" w:type="pct"/>
                <w:shd w:val="clear" w:color="auto" w:fill="auto"/>
                <w:noWrap/>
                <w:vAlign w:val="center"/>
                <w:hideMark/>
              </w:tcPr>
              <w:p w14:paraId="1FB20530"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65.001.705.411.302 </w:t>
                </w:r>
              </w:p>
            </w:tc>
          </w:tr>
          <w:tr w:rsidR="00BC51FA" w:rsidRPr="00BC51FA" w14:paraId="7419F8EB" w14:textId="77777777" w:rsidTr="00531250">
            <w:trPr>
              <w:trHeight w:val="300"/>
            </w:trPr>
            <w:tc>
              <w:tcPr>
                <w:tcW w:w="1499" w:type="pct"/>
                <w:shd w:val="clear" w:color="auto" w:fill="auto"/>
                <w:noWrap/>
                <w:vAlign w:val="center"/>
                <w:hideMark/>
              </w:tcPr>
              <w:p w14:paraId="25A5FF86" w14:textId="512B92E6" w:rsidR="00BC51FA" w:rsidRPr="00BC51FA" w:rsidRDefault="00BC51FA" w:rsidP="00BC51FA">
                <w:pPr>
                  <w:spacing w:after="0" w:line="240" w:lineRule="auto"/>
                  <w:rPr>
                    <w:rFonts w:ascii="Times New Roman" w:eastAsia="Times New Roman" w:hAnsi="Times New Roman"/>
                    <w:b/>
                    <w:bCs/>
                    <w:sz w:val="16"/>
                    <w:szCs w:val="16"/>
                    <w:lang w:eastAsia="es-CO"/>
                  </w:rPr>
                </w:pPr>
                <w:r>
                  <w:rPr>
                    <w:rFonts w:ascii="Times New Roman" w:eastAsia="Times New Roman" w:hAnsi="Times New Roman"/>
                    <w:b/>
                    <w:bCs/>
                    <w:sz w:val="16"/>
                    <w:szCs w:val="16"/>
                    <w:lang w:eastAsia="es-CO"/>
                  </w:rPr>
                  <w:t>(</w:t>
                </w:r>
                <w:r w:rsidRPr="00BC51FA">
                  <w:rPr>
                    <w:rFonts w:ascii="Times New Roman" w:eastAsia="Times New Roman" w:hAnsi="Times New Roman"/>
                    <w:b/>
                    <w:bCs/>
                    <w:sz w:val="16"/>
                    <w:szCs w:val="16"/>
                    <w:lang w:eastAsia="es-CO"/>
                  </w:rPr>
                  <w:t>-</w:t>
                </w:r>
                <w:r>
                  <w:rPr>
                    <w:rFonts w:ascii="Times New Roman" w:eastAsia="Times New Roman" w:hAnsi="Times New Roman"/>
                    <w:b/>
                    <w:bCs/>
                    <w:sz w:val="16"/>
                    <w:szCs w:val="16"/>
                    <w:lang w:eastAsia="es-CO"/>
                  </w:rPr>
                  <w:t xml:space="preserve">) </w:t>
                </w:r>
                <w:r w:rsidRPr="00BC51FA">
                  <w:rPr>
                    <w:rFonts w:ascii="Times New Roman" w:eastAsia="Times New Roman" w:hAnsi="Times New Roman"/>
                    <w:b/>
                    <w:bCs/>
                    <w:sz w:val="16"/>
                    <w:szCs w:val="16"/>
                    <w:lang w:eastAsia="es-CO"/>
                  </w:rPr>
                  <w:t>DEPRECIACIÓN ACUMULADA (DA)</w:t>
                </w:r>
              </w:p>
            </w:tc>
            <w:tc>
              <w:tcPr>
                <w:tcW w:w="869" w:type="pct"/>
                <w:shd w:val="clear" w:color="000000" w:fill="FFFFFF"/>
                <w:noWrap/>
                <w:vAlign w:val="center"/>
                <w:hideMark/>
              </w:tcPr>
              <w:p w14:paraId="6C488D05"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743.964.586.414 </w:t>
                </w:r>
              </w:p>
            </w:tc>
            <w:tc>
              <w:tcPr>
                <w:tcW w:w="870" w:type="pct"/>
                <w:shd w:val="clear" w:color="000000" w:fill="FFFFFF"/>
                <w:noWrap/>
                <w:vAlign w:val="center"/>
                <w:hideMark/>
              </w:tcPr>
              <w:p w14:paraId="3656F4C0"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0 </w:t>
                </w:r>
              </w:p>
            </w:tc>
            <w:tc>
              <w:tcPr>
                <w:tcW w:w="871" w:type="pct"/>
                <w:shd w:val="clear" w:color="000000" w:fill="FFFFFF"/>
                <w:noWrap/>
                <w:vAlign w:val="center"/>
                <w:hideMark/>
              </w:tcPr>
              <w:p w14:paraId="40F82E03"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202.944.843.156 </w:t>
                </w:r>
              </w:p>
            </w:tc>
            <w:tc>
              <w:tcPr>
                <w:tcW w:w="891" w:type="pct"/>
                <w:shd w:val="clear" w:color="auto" w:fill="auto"/>
                <w:noWrap/>
                <w:vAlign w:val="center"/>
                <w:hideMark/>
              </w:tcPr>
              <w:p w14:paraId="0C09EEC7"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946.909.429.570 </w:t>
                </w:r>
              </w:p>
            </w:tc>
          </w:tr>
          <w:tr w:rsidR="00BC51FA" w:rsidRPr="00BC51FA" w14:paraId="0CAE679E" w14:textId="77777777" w:rsidTr="00531250">
            <w:trPr>
              <w:trHeight w:val="300"/>
            </w:trPr>
            <w:tc>
              <w:tcPr>
                <w:tcW w:w="1499" w:type="pct"/>
                <w:shd w:val="clear" w:color="auto" w:fill="auto"/>
                <w:noWrap/>
                <w:vAlign w:val="center"/>
                <w:hideMark/>
              </w:tcPr>
              <w:p w14:paraId="351725A9" w14:textId="63F212C5" w:rsidR="00BC51FA" w:rsidRPr="00BC51FA" w:rsidRDefault="00BC51FA" w:rsidP="00BC51FA">
                <w:pPr>
                  <w:spacing w:after="0" w:line="240" w:lineRule="auto"/>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Saldo inicial de la Depreciación acumulada</w:t>
                </w:r>
              </w:p>
            </w:tc>
            <w:tc>
              <w:tcPr>
                <w:tcW w:w="869" w:type="pct"/>
                <w:shd w:val="clear" w:color="000000" w:fill="FFFFFF"/>
                <w:noWrap/>
                <w:vAlign w:val="center"/>
                <w:hideMark/>
              </w:tcPr>
              <w:p w14:paraId="540C87AE"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716.067.209.634 </w:t>
                </w:r>
              </w:p>
            </w:tc>
            <w:tc>
              <w:tcPr>
                <w:tcW w:w="870" w:type="pct"/>
                <w:shd w:val="clear" w:color="000000" w:fill="FFFFFF"/>
                <w:noWrap/>
                <w:vAlign w:val="center"/>
                <w:hideMark/>
              </w:tcPr>
              <w:p w14:paraId="7FBDFC64"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w:t>
                </w:r>
              </w:p>
            </w:tc>
            <w:tc>
              <w:tcPr>
                <w:tcW w:w="871" w:type="pct"/>
                <w:shd w:val="clear" w:color="000000" w:fill="FFFFFF"/>
                <w:noWrap/>
                <w:vAlign w:val="center"/>
                <w:hideMark/>
              </w:tcPr>
              <w:p w14:paraId="368894E5"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198.736.527.474 </w:t>
                </w:r>
              </w:p>
            </w:tc>
            <w:tc>
              <w:tcPr>
                <w:tcW w:w="891" w:type="pct"/>
                <w:shd w:val="clear" w:color="auto" w:fill="auto"/>
                <w:noWrap/>
                <w:vAlign w:val="center"/>
                <w:hideMark/>
              </w:tcPr>
              <w:p w14:paraId="30C4E5BE"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914.803.737.108 </w:t>
                </w:r>
              </w:p>
            </w:tc>
          </w:tr>
          <w:tr w:rsidR="00BC51FA" w:rsidRPr="00BC51FA" w14:paraId="3C951343" w14:textId="77777777" w:rsidTr="00531250">
            <w:trPr>
              <w:trHeight w:val="300"/>
            </w:trPr>
            <w:tc>
              <w:tcPr>
                <w:tcW w:w="1499" w:type="pct"/>
                <w:shd w:val="clear" w:color="auto" w:fill="auto"/>
                <w:noWrap/>
                <w:vAlign w:val="center"/>
                <w:hideMark/>
              </w:tcPr>
              <w:p w14:paraId="111EB717" w14:textId="31EA9541" w:rsidR="00BC51FA" w:rsidRPr="00BC51FA" w:rsidRDefault="00BC51FA" w:rsidP="00BC51FA">
                <w:pPr>
                  <w:spacing w:after="0" w:line="240" w:lineRule="auto"/>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w:t>
                </w:r>
                <w:r>
                  <w:rPr>
                    <w:rFonts w:ascii="Times New Roman" w:eastAsia="Times New Roman" w:hAnsi="Times New Roman"/>
                    <w:sz w:val="16"/>
                    <w:szCs w:val="16"/>
                    <w:lang w:eastAsia="es-CO"/>
                  </w:rPr>
                  <w:t xml:space="preserve"> </w:t>
                </w:r>
                <w:r w:rsidRPr="00BC51FA">
                  <w:rPr>
                    <w:rFonts w:ascii="Times New Roman" w:eastAsia="Times New Roman" w:hAnsi="Times New Roman"/>
                    <w:sz w:val="16"/>
                    <w:szCs w:val="16"/>
                    <w:lang w:eastAsia="es-CO"/>
                  </w:rPr>
                  <w:t>Depreciación aplicada vigencia actual</w:t>
                </w:r>
              </w:p>
            </w:tc>
            <w:tc>
              <w:tcPr>
                <w:tcW w:w="869" w:type="pct"/>
                <w:shd w:val="clear" w:color="000000" w:fill="FFFFFF"/>
                <w:noWrap/>
                <w:vAlign w:val="center"/>
                <w:hideMark/>
              </w:tcPr>
              <w:p w14:paraId="6262ACBE"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27.897.376.780 </w:t>
                </w:r>
              </w:p>
            </w:tc>
            <w:tc>
              <w:tcPr>
                <w:tcW w:w="870" w:type="pct"/>
                <w:shd w:val="clear" w:color="000000" w:fill="FFFFFF"/>
                <w:noWrap/>
                <w:vAlign w:val="center"/>
                <w:hideMark/>
              </w:tcPr>
              <w:p w14:paraId="7E89E87C"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w:t>
                </w:r>
              </w:p>
            </w:tc>
            <w:tc>
              <w:tcPr>
                <w:tcW w:w="871" w:type="pct"/>
                <w:shd w:val="clear" w:color="000000" w:fill="FFFFFF"/>
                <w:noWrap/>
                <w:vAlign w:val="center"/>
                <w:hideMark/>
              </w:tcPr>
              <w:p w14:paraId="0BA8D9BB"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4.208.315.682 </w:t>
                </w:r>
              </w:p>
            </w:tc>
            <w:tc>
              <w:tcPr>
                <w:tcW w:w="891" w:type="pct"/>
                <w:shd w:val="clear" w:color="auto" w:fill="auto"/>
                <w:noWrap/>
                <w:vAlign w:val="center"/>
                <w:hideMark/>
              </w:tcPr>
              <w:p w14:paraId="67B59800"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32.105.692.462 </w:t>
                </w:r>
              </w:p>
            </w:tc>
          </w:tr>
          <w:tr w:rsidR="00BC51FA" w:rsidRPr="00BC51FA" w14:paraId="42C84AE2" w14:textId="77777777" w:rsidTr="00531250">
            <w:trPr>
              <w:trHeight w:val="300"/>
            </w:trPr>
            <w:tc>
              <w:tcPr>
                <w:tcW w:w="1499" w:type="pct"/>
                <w:shd w:val="clear" w:color="auto" w:fill="auto"/>
                <w:noWrap/>
                <w:vAlign w:val="center"/>
                <w:hideMark/>
              </w:tcPr>
              <w:p w14:paraId="26AE259B" w14:textId="23B517C1" w:rsidR="00BC51FA" w:rsidRPr="00BC51FA" w:rsidRDefault="00BC51FA" w:rsidP="00BC51FA">
                <w:pPr>
                  <w:spacing w:after="0" w:line="240" w:lineRule="auto"/>
                  <w:rPr>
                    <w:rFonts w:ascii="Times New Roman" w:eastAsia="Times New Roman" w:hAnsi="Times New Roman"/>
                    <w:b/>
                    <w:bCs/>
                    <w:sz w:val="16"/>
                    <w:szCs w:val="16"/>
                    <w:lang w:eastAsia="es-CO"/>
                  </w:rPr>
                </w:pPr>
                <w:r>
                  <w:rPr>
                    <w:rFonts w:ascii="Times New Roman" w:eastAsia="Times New Roman" w:hAnsi="Times New Roman"/>
                    <w:b/>
                    <w:bCs/>
                    <w:sz w:val="16"/>
                    <w:szCs w:val="16"/>
                    <w:lang w:eastAsia="es-CO"/>
                  </w:rPr>
                  <w:t>(</w:t>
                </w:r>
                <w:r w:rsidRPr="00BC51FA">
                  <w:rPr>
                    <w:rFonts w:ascii="Times New Roman" w:eastAsia="Times New Roman" w:hAnsi="Times New Roman"/>
                    <w:b/>
                    <w:bCs/>
                    <w:sz w:val="16"/>
                    <w:szCs w:val="16"/>
                    <w:lang w:eastAsia="es-CO"/>
                  </w:rPr>
                  <w:t>-</w:t>
                </w:r>
                <w:r>
                  <w:rPr>
                    <w:rFonts w:ascii="Times New Roman" w:eastAsia="Times New Roman" w:hAnsi="Times New Roman"/>
                    <w:b/>
                    <w:bCs/>
                    <w:sz w:val="16"/>
                    <w:szCs w:val="16"/>
                    <w:lang w:eastAsia="es-CO"/>
                  </w:rPr>
                  <w:t xml:space="preserve">) </w:t>
                </w:r>
                <w:r w:rsidRPr="00BC51FA">
                  <w:rPr>
                    <w:rFonts w:ascii="Times New Roman" w:eastAsia="Times New Roman" w:hAnsi="Times New Roman"/>
                    <w:b/>
                    <w:bCs/>
                    <w:sz w:val="16"/>
                    <w:szCs w:val="16"/>
                    <w:lang w:eastAsia="es-CO"/>
                  </w:rPr>
                  <w:t>DETERIORO ACUMULADO DE BUP (DE)</w:t>
                </w:r>
              </w:p>
            </w:tc>
            <w:tc>
              <w:tcPr>
                <w:tcW w:w="869" w:type="pct"/>
                <w:shd w:val="clear" w:color="000000" w:fill="FFFFFF"/>
                <w:noWrap/>
                <w:vAlign w:val="center"/>
                <w:hideMark/>
              </w:tcPr>
              <w:p w14:paraId="01E580A8"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0 </w:t>
                </w:r>
              </w:p>
            </w:tc>
            <w:tc>
              <w:tcPr>
                <w:tcW w:w="870" w:type="pct"/>
                <w:shd w:val="clear" w:color="000000" w:fill="FFFFFF"/>
                <w:noWrap/>
                <w:vAlign w:val="center"/>
                <w:hideMark/>
              </w:tcPr>
              <w:p w14:paraId="5C855C3C"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0 </w:t>
                </w:r>
              </w:p>
            </w:tc>
            <w:tc>
              <w:tcPr>
                <w:tcW w:w="871" w:type="pct"/>
                <w:shd w:val="clear" w:color="000000" w:fill="FFFFFF"/>
                <w:noWrap/>
                <w:vAlign w:val="center"/>
                <w:hideMark/>
              </w:tcPr>
              <w:p w14:paraId="03305447"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0 </w:t>
                </w:r>
              </w:p>
            </w:tc>
            <w:tc>
              <w:tcPr>
                <w:tcW w:w="891" w:type="pct"/>
                <w:shd w:val="clear" w:color="auto" w:fill="auto"/>
                <w:noWrap/>
                <w:vAlign w:val="center"/>
                <w:hideMark/>
              </w:tcPr>
              <w:p w14:paraId="701DD02D"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0 </w:t>
                </w:r>
              </w:p>
            </w:tc>
          </w:tr>
          <w:tr w:rsidR="00BC51FA" w:rsidRPr="00BC51FA" w14:paraId="227800DE" w14:textId="77777777" w:rsidTr="00531250">
            <w:trPr>
              <w:trHeight w:val="300"/>
            </w:trPr>
            <w:tc>
              <w:tcPr>
                <w:tcW w:w="1499" w:type="pct"/>
                <w:shd w:val="clear" w:color="auto" w:fill="auto"/>
                <w:noWrap/>
                <w:vAlign w:val="center"/>
                <w:hideMark/>
              </w:tcPr>
              <w:p w14:paraId="409E7042" w14:textId="629A9E13" w:rsidR="00BC51FA" w:rsidRPr="00BC51FA" w:rsidRDefault="00BC51FA" w:rsidP="00BC51FA">
                <w:pPr>
                  <w:spacing w:after="0" w:line="240" w:lineRule="auto"/>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Saldo inicial del Deterioro acumulado</w:t>
                </w:r>
              </w:p>
            </w:tc>
            <w:tc>
              <w:tcPr>
                <w:tcW w:w="869" w:type="pct"/>
                <w:shd w:val="clear" w:color="000000" w:fill="FFFFFF"/>
                <w:noWrap/>
                <w:vAlign w:val="center"/>
                <w:hideMark/>
              </w:tcPr>
              <w:p w14:paraId="194568A6"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0 </w:t>
                </w:r>
              </w:p>
            </w:tc>
            <w:tc>
              <w:tcPr>
                <w:tcW w:w="870" w:type="pct"/>
                <w:shd w:val="clear" w:color="000000" w:fill="FFFFFF"/>
                <w:noWrap/>
                <w:vAlign w:val="center"/>
                <w:hideMark/>
              </w:tcPr>
              <w:p w14:paraId="16CC6586"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0 </w:t>
                </w:r>
              </w:p>
            </w:tc>
            <w:tc>
              <w:tcPr>
                <w:tcW w:w="871" w:type="pct"/>
                <w:shd w:val="clear" w:color="000000" w:fill="FFFFFF"/>
                <w:noWrap/>
                <w:vAlign w:val="center"/>
                <w:hideMark/>
              </w:tcPr>
              <w:p w14:paraId="3A5F8884" w14:textId="77777777" w:rsidR="00BC51FA" w:rsidRPr="00BC51FA" w:rsidRDefault="00BC51FA"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0 </w:t>
                </w:r>
              </w:p>
            </w:tc>
            <w:tc>
              <w:tcPr>
                <w:tcW w:w="891" w:type="pct"/>
                <w:shd w:val="clear" w:color="auto" w:fill="auto"/>
                <w:noWrap/>
                <w:vAlign w:val="center"/>
                <w:hideMark/>
              </w:tcPr>
              <w:p w14:paraId="7E050AB0"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0 </w:t>
                </w:r>
              </w:p>
            </w:tc>
          </w:tr>
          <w:tr w:rsidR="00BC51FA" w:rsidRPr="00BC51FA" w14:paraId="171E79EB" w14:textId="77777777" w:rsidTr="00531250">
            <w:trPr>
              <w:trHeight w:val="600"/>
            </w:trPr>
            <w:tc>
              <w:tcPr>
                <w:tcW w:w="1499" w:type="pct"/>
                <w:shd w:val="clear" w:color="auto" w:fill="auto"/>
                <w:noWrap/>
                <w:vAlign w:val="center"/>
                <w:hideMark/>
              </w:tcPr>
              <w:p w14:paraId="79D786BD" w14:textId="7BDAE3CD" w:rsidR="00BC51FA" w:rsidRPr="00BC51FA" w:rsidRDefault="00BC51FA" w:rsidP="00BC51FA">
                <w:pPr>
                  <w:spacing w:after="0" w:line="240" w:lineRule="auto"/>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w:t>
                </w:r>
                <w:r>
                  <w:rPr>
                    <w:rFonts w:ascii="Times New Roman" w:eastAsia="Times New Roman" w:hAnsi="Times New Roman"/>
                    <w:b/>
                    <w:bCs/>
                    <w:sz w:val="16"/>
                    <w:szCs w:val="16"/>
                    <w:lang w:eastAsia="es-CO"/>
                  </w:rPr>
                  <w:t xml:space="preserve"> </w:t>
                </w:r>
                <w:r w:rsidRPr="00BC51FA">
                  <w:rPr>
                    <w:rFonts w:ascii="Times New Roman" w:eastAsia="Times New Roman" w:hAnsi="Times New Roman"/>
                    <w:b/>
                    <w:bCs/>
                    <w:sz w:val="16"/>
                    <w:szCs w:val="16"/>
                    <w:lang w:eastAsia="es-CO"/>
                  </w:rPr>
                  <w:t>VALOR EN LIBROS</w:t>
                </w:r>
                <w:r>
                  <w:rPr>
                    <w:rFonts w:ascii="Times New Roman" w:eastAsia="Times New Roman" w:hAnsi="Times New Roman"/>
                    <w:b/>
                    <w:bCs/>
                    <w:sz w:val="16"/>
                    <w:szCs w:val="16"/>
                    <w:lang w:eastAsia="es-CO"/>
                  </w:rPr>
                  <w:t xml:space="preserve"> </w:t>
                </w:r>
                <w:r w:rsidRPr="00BC51FA">
                  <w:rPr>
                    <w:rFonts w:ascii="Times New Roman" w:eastAsia="Times New Roman" w:hAnsi="Times New Roman"/>
                    <w:b/>
                    <w:bCs/>
                    <w:sz w:val="16"/>
                    <w:szCs w:val="16"/>
                    <w:lang w:eastAsia="es-CO"/>
                  </w:rPr>
                  <w:t>(Saldo final - DA - DE)</w:t>
                </w:r>
              </w:p>
            </w:tc>
            <w:tc>
              <w:tcPr>
                <w:tcW w:w="869" w:type="pct"/>
                <w:shd w:val="clear" w:color="000000" w:fill="FFFFFF"/>
                <w:noWrap/>
                <w:vAlign w:val="center"/>
                <w:hideMark/>
              </w:tcPr>
              <w:p w14:paraId="5C58E6C9"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1.143.591.231.124 </w:t>
                </w:r>
              </w:p>
            </w:tc>
            <w:tc>
              <w:tcPr>
                <w:tcW w:w="870" w:type="pct"/>
                <w:shd w:val="clear" w:color="000000" w:fill="FFFFFF"/>
                <w:noWrap/>
                <w:vAlign w:val="center"/>
                <w:hideMark/>
              </w:tcPr>
              <w:p w14:paraId="599A9D09"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37.241.865.596.562 </w:t>
                </w:r>
              </w:p>
            </w:tc>
            <w:tc>
              <w:tcPr>
                <w:tcW w:w="871" w:type="pct"/>
                <w:shd w:val="clear" w:color="000000" w:fill="FFFFFF"/>
                <w:noWrap/>
                <w:vAlign w:val="center"/>
                <w:hideMark/>
              </w:tcPr>
              <w:p w14:paraId="1B875151"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25.669.339.154.046 </w:t>
                </w:r>
              </w:p>
            </w:tc>
            <w:tc>
              <w:tcPr>
                <w:tcW w:w="891" w:type="pct"/>
                <w:shd w:val="clear" w:color="auto" w:fill="auto"/>
                <w:noWrap/>
                <w:vAlign w:val="center"/>
                <w:hideMark/>
              </w:tcPr>
              <w:p w14:paraId="31474B3F"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64.054.795.981.732 </w:t>
                </w:r>
              </w:p>
            </w:tc>
          </w:tr>
          <w:tr w:rsidR="00BC51FA" w:rsidRPr="00BC51FA" w14:paraId="750658E3" w14:textId="77777777" w:rsidTr="00531250">
            <w:trPr>
              <w:trHeight w:val="300"/>
            </w:trPr>
            <w:tc>
              <w:tcPr>
                <w:tcW w:w="1499" w:type="pct"/>
                <w:shd w:val="clear" w:color="auto" w:fill="auto"/>
                <w:noWrap/>
                <w:vAlign w:val="center"/>
                <w:hideMark/>
              </w:tcPr>
              <w:p w14:paraId="0839BAFD" w14:textId="52BC3EAD" w:rsidR="00BC51FA" w:rsidRPr="00BC51FA" w:rsidRDefault="00BC51FA" w:rsidP="00BC51FA">
                <w:pPr>
                  <w:spacing w:after="0" w:line="240" w:lineRule="auto"/>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DEPRECIACIÓN ACUMULADA (seguimiento)</w:t>
                </w:r>
              </w:p>
            </w:tc>
            <w:tc>
              <w:tcPr>
                <w:tcW w:w="869" w:type="pct"/>
                <w:shd w:val="clear" w:color="000000" w:fill="FFFFFF"/>
                <w:noWrap/>
                <w:vAlign w:val="center"/>
                <w:hideMark/>
              </w:tcPr>
              <w:p w14:paraId="29C72173"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39,4%</w:t>
                </w:r>
              </w:p>
            </w:tc>
            <w:tc>
              <w:tcPr>
                <w:tcW w:w="870" w:type="pct"/>
                <w:shd w:val="clear" w:color="000000" w:fill="FFFFFF"/>
                <w:noWrap/>
                <w:vAlign w:val="center"/>
                <w:hideMark/>
              </w:tcPr>
              <w:p w14:paraId="575B12B1"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0,0%</w:t>
                </w:r>
              </w:p>
            </w:tc>
            <w:tc>
              <w:tcPr>
                <w:tcW w:w="871" w:type="pct"/>
                <w:shd w:val="clear" w:color="000000" w:fill="FFFFFF"/>
                <w:noWrap/>
                <w:vAlign w:val="center"/>
                <w:hideMark/>
              </w:tcPr>
              <w:p w14:paraId="5BE8E8F1"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0,8%</w:t>
                </w:r>
              </w:p>
            </w:tc>
            <w:tc>
              <w:tcPr>
                <w:tcW w:w="891" w:type="pct"/>
                <w:shd w:val="clear" w:color="auto" w:fill="auto"/>
                <w:noWrap/>
                <w:vAlign w:val="center"/>
                <w:hideMark/>
              </w:tcPr>
              <w:p w14:paraId="113D3AD3"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1,5%</w:t>
                </w:r>
              </w:p>
            </w:tc>
          </w:tr>
          <w:tr w:rsidR="00BC51FA" w:rsidRPr="00BC51FA" w14:paraId="4AAD40A6" w14:textId="77777777" w:rsidTr="00531250">
            <w:trPr>
              <w:trHeight w:val="300"/>
            </w:trPr>
            <w:tc>
              <w:tcPr>
                <w:tcW w:w="1499" w:type="pct"/>
                <w:shd w:val="clear" w:color="auto" w:fill="auto"/>
                <w:noWrap/>
                <w:vAlign w:val="center"/>
                <w:hideMark/>
              </w:tcPr>
              <w:p w14:paraId="2C227C30" w14:textId="36B2FCE8" w:rsidR="00BC51FA" w:rsidRPr="00BC51FA" w:rsidRDefault="00BC51FA" w:rsidP="00BC51FA">
                <w:pPr>
                  <w:spacing w:after="0" w:line="240" w:lineRule="auto"/>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DETERIORO ACUMULADO (seguimiento)</w:t>
                </w:r>
              </w:p>
            </w:tc>
            <w:tc>
              <w:tcPr>
                <w:tcW w:w="869" w:type="pct"/>
                <w:shd w:val="clear" w:color="auto" w:fill="auto"/>
                <w:noWrap/>
                <w:vAlign w:val="center"/>
                <w:hideMark/>
              </w:tcPr>
              <w:p w14:paraId="4202F9D4"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0 </w:t>
                </w:r>
              </w:p>
            </w:tc>
            <w:tc>
              <w:tcPr>
                <w:tcW w:w="870" w:type="pct"/>
                <w:shd w:val="clear" w:color="auto" w:fill="auto"/>
                <w:noWrap/>
                <w:vAlign w:val="center"/>
                <w:hideMark/>
              </w:tcPr>
              <w:p w14:paraId="0737234B"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0 </w:t>
                </w:r>
              </w:p>
            </w:tc>
            <w:tc>
              <w:tcPr>
                <w:tcW w:w="871" w:type="pct"/>
                <w:shd w:val="clear" w:color="auto" w:fill="auto"/>
                <w:noWrap/>
                <w:vAlign w:val="center"/>
                <w:hideMark/>
              </w:tcPr>
              <w:p w14:paraId="6951AF96"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0 </w:t>
                </w:r>
              </w:p>
            </w:tc>
            <w:tc>
              <w:tcPr>
                <w:tcW w:w="891" w:type="pct"/>
                <w:shd w:val="clear" w:color="auto" w:fill="auto"/>
                <w:noWrap/>
                <w:vAlign w:val="center"/>
                <w:hideMark/>
              </w:tcPr>
              <w:p w14:paraId="7DCA084C"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0 </w:t>
                </w:r>
              </w:p>
            </w:tc>
          </w:tr>
          <w:tr w:rsidR="00BC51FA" w:rsidRPr="00BC51FA" w14:paraId="7FD81EF8" w14:textId="77777777" w:rsidTr="00531250">
            <w:trPr>
              <w:trHeight w:val="300"/>
            </w:trPr>
            <w:tc>
              <w:tcPr>
                <w:tcW w:w="1499" w:type="pct"/>
                <w:shd w:val="clear" w:color="auto" w:fill="auto"/>
                <w:noWrap/>
                <w:vAlign w:val="center"/>
                <w:hideMark/>
              </w:tcPr>
              <w:p w14:paraId="5A17C138" w14:textId="09FA90D6" w:rsidR="00BC51FA" w:rsidRPr="00BC51FA" w:rsidRDefault="00BC51FA" w:rsidP="00BC51FA">
                <w:pPr>
                  <w:spacing w:after="0" w:line="240" w:lineRule="auto"/>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EFECTO EN RESULTADO POR BAJA EN CUENTAS</w:t>
                </w:r>
              </w:p>
            </w:tc>
            <w:tc>
              <w:tcPr>
                <w:tcW w:w="869" w:type="pct"/>
                <w:shd w:val="clear" w:color="auto" w:fill="auto"/>
                <w:noWrap/>
                <w:vAlign w:val="center"/>
                <w:hideMark/>
              </w:tcPr>
              <w:p w14:paraId="5C5C5C61"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0 </w:t>
                </w:r>
              </w:p>
            </w:tc>
            <w:tc>
              <w:tcPr>
                <w:tcW w:w="870" w:type="pct"/>
                <w:shd w:val="clear" w:color="auto" w:fill="auto"/>
                <w:noWrap/>
                <w:vAlign w:val="center"/>
                <w:hideMark/>
              </w:tcPr>
              <w:p w14:paraId="5E50E9AD"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0 </w:t>
                </w:r>
              </w:p>
            </w:tc>
            <w:tc>
              <w:tcPr>
                <w:tcW w:w="871" w:type="pct"/>
                <w:shd w:val="clear" w:color="auto" w:fill="auto"/>
                <w:noWrap/>
                <w:vAlign w:val="center"/>
                <w:hideMark/>
              </w:tcPr>
              <w:p w14:paraId="61217606"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0 </w:t>
                </w:r>
              </w:p>
            </w:tc>
            <w:tc>
              <w:tcPr>
                <w:tcW w:w="891" w:type="pct"/>
                <w:shd w:val="clear" w:color="auto" w:fill="auto"/>
                <w:noWrap/>
                <w:vAlign w:val="center"/>
                <w:hideMark/>
              </w:tcPr>
              <w:p w14:paraId="5BB9BEC3" w14:textId="77777777" w:rsidR="00BC51FA" w:rsidRPr="00BC51FA" w:rsidRDefault="00BC51FA"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0 </w:t>
                </w:r>
              </w:p>
            </w:tc>
          </w:tr>
          <w:tr w:rsidR="00522E03" w:rsidRPr="00BC51FA" w14:paraId="1382237F" w14:textId="77777777" w:rsidTr="00522E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99" w:type="pct"/>
                <w:tcBorders>
                  <w:top w:val="nil"/>
                  <w:left w:val="single" w:sz="4" w:space="0" w:color="A6A6A6"/>
                  <w:bottom w:val="single" w:sz="4" w:space="0" w:color="A6A6A6"/>
                  <w:right w:val="single" w:sz="4" w:space="0" w:color="A6A6A6"/>
                </w:tcBorders>
                <w:shd w:val="clear" w:color="auto" w:fill="auto"/>
                <w:noWrap/>
                <w:vAlign w:val="center"/>
                <w:hideMark/>
              </w:tcPr>
              <w:p w14:paraId="37C1F588" w14:textId="175AA788" w:rsidR="00522E03" w:rsidRPr="00BC51FA" w:rsidRDefault="00522E03" w:rsidP="00522E03">
                <w:pPr>
                  <w:spacing w:after="0" w:line="240" w:lineRule="auto"/>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Ingresos</w:t>
                </w:r>
              </w:p>
            </w:tc>
            <w:tc>
              <w:tcPr>
                <w:tcW w:w="869" w:type="pct"/>
                <w:tcBorders>
                  <w:top w:val="nil"/>
                  <w:left w:val="nil"/>
                  <w:bottom w:val="single" w:sz="4" w:space="0" w:color="A6A6A6"/>
                  <w:right w:val="single" w:sz="4" w:space="0" w:color="A6A6A6"/>
                </w:tcBorders>
                <w:shd w:val="clear" w:color="auto" w:fill="auto"/>
                <w:noWrap/>
                <w:vAlign w:val="center"/>
                <w:hideMark/>
              </w:tcPr>
              <w:p w14:paraId="26F52AA4" w14:textId="77777777" w:rsidR="00522E03" w:rsidRPr="00BC51FA" w:rsidRDefault="00522E03"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0 </w:t>
                </w:r>
              </w:p>
            </w:tc>
            <w:tc>
              <w:tcPr>
                <w:tcW w:w="870" w:type="pct"/>
                <w:tcBorders>
                  <w:top w:val="nil"/>
                  <w:left w:val="nil"/>
                  <w:bottom w:val="single" w:sz="4" w:space="0" w:color="A6A6A6"/>
                  <w:right w:val="single" w:sz="4" w:space="0" w:color="A6A6A6"/>
                </w:tcBorders>
                <w:shd w:val="clear" w:color="auto" w:fill="auto"/>
                <w:noWrap/>
                <w:vAlign w:val="center"/>
                <w:hideMark/>
              </w:tcPr>
              <w:p w14:paraId="26718CF4" w14:textId="77777777" w:rsidR="00522E03" w:rsidRPr="00BC51FA" w:rsidRDefault="00522E03"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0 </w:t>
                </w:r>
              </w:p>
            </w:tc>
            <w:tc>
              <w:tcPr>
                <w:tcW w:w="871" w:type="pct"/>
                <w:tcBorders>
                  <w:top w:val="nil"/>
                  <w:left w:val="nil"/>
                  <w:bottom w:val="single" w:sz="4" w:space="0" w:color="A6A6A6"/>
                  <w:right w:val="single" w:sz="4" w:space="0" w:color="A6A6A6"/>
                </w:tcBorders>
                <w:shd w:val="clear" w:color="auto" w:fill="auto"/>
                <w:noWrap/>
                <w:vAlign w:val="center"/>
                <w:hideMark/>
              </w:tcPr>
              <w:p w14:paraId="6D392908" w14:textId="77777777" w:rsidR="00522E03" w:rsidRPr="00BC51FA" w:rsidRDefault="00522E03"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0 </w:t>
                </w:r>
              </w:p>
            </w:tc>
            <w:tc>
              <w:tcPr>
                <w:tcW w:w="891" w:type="pct"/>
                <w:tcBorders>
                  <w:top w:val="nil"/>
                  <w:left w:val="nil"/>
                  <w:bottom w:val="single" w:sz="4" w:space="0" w:color="A6A6A6"/>
                  <w:right w:val="single" w:sz="4" w:space="0" w:color="A6A6A6"/>
                </w:tcBorders>
                <w:shd w:val="clear" w:color="auto" w:fill="auto"/>
                <w:noWrap/>
                <w:vAlign w:val="center"/>
                <w:hideMark/>
              </w:tcPr>
              <w:p w14:paraId="44E8012E" w14:textId="77777777" w:rsidR="00522E03" w:rsidRPr="00BC51FA" w:rsidRDefault="00522E03"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0 </w:t>
                </w:r>
              </w:p>
            </w:tc>
          </w:tr>
          <w:tr w:rsidR="00522E03" w:rsidRPr="00BC51FA" w14:paraId="3B023B20" w14:textId="77777777" w:rsidTr="00522E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499" w:type="pct"/>
                <w:tcBorders>
                  <w:top w:val="nil"/>
                  <w:left w:val="single" w:sz="4" w:space="0" w:color="A6A6A6"/>
                  <w:bottom w:val="single" w:sz="4" w:space="0" w:color="A6A6A6"/>
                  <w:right w:val="single" w:sz="4" w:space="0" w:color="A6A6A6"/>
                </w:tcBorders>
                <w:shd w:val="clear" w:color="auto" w:fill="auto"/>
                <w:noWrap/>
                <w:vAlign w:val="center"/>
                <w:hideMark/>
              </w:tcPr>
              <w:p w14:paraId="155BCBEE" w14:textId="564BF75D" w:rsidR="00522E03" w:rsidRPr="00BC51FA" w:rsidRDefault="00522E03" w:rsidP="00BC51FA">
                <w:pPr>
                  <w:spacing w:after="0" w:line="240" w:lineRule="auto"/>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Gastos</w:t>
                </w:r>
              </w:p>
            </w:tc>
            <w:tc>
              <w:tcPr>
                <w:tcW w:w="869" w:type="pct"/>
                <w:tcBorders>
                  <w:top w:val="nil"/>
                  <w:left w:val="nil"/>
                  <w:bottom w:val="single" w:sz="4" w:space="0" w:color="A6A6A6"/>
                  <w:right w:val="single" w:sz="4" w:space="0" w:color="A6A6A6"/>
                </w:tcBorders>
                <w:shd w:val="clear" w:color="auto" w:fill="auto"/>
                <w:noWrap/>
                <w:vAlign w:val="center"/>
                <w:hideMark/>
              </w:tcPr>
              <w:p w14:paraId="7DAB2EEB" w14:textId="77777777" w:rsidR="00522E03" w:rsidRPr="00BC51FA" w:rsidRDefault="00522E03"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0 </w:t>
                </w:r>
              </w:p>
            </w:tc>
            <w:tc>
              <w:tcPr>
                <w:tcW w:w="870" w:type="pct"/>
                <w:tcBorders>
                  <w:top w:val="nil"/>
                  <w:left w:val="nil"/>
                  <w:bottom w:val="single" w:sz="4" w:space="0" w:color="A6A6A6"/>
                  <w:right w:val="single" w:sz="4" w:space="0" w:color="A6A6A6"/>
                </w:tcBorders>
                <w:shd w:val="clear" w:color="auto" w:fill="auto"/>
                <w:noWrap/>
                <w:vAlign w:val="center"/>
                <w:hideMark/>
              </w:tcPr>
              <w:p w14:paraId="2B33D5D3" w14:textId="77777777" w:rsidR="00522E03" w:rsidRPr="00BC51FA" w:rsidRDefault="00522E03"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0 </w:t>
                </w:r>
              </w:p>
            </w:tc>
            <w:tc>
              <w:tcPr>
                <w:tcW w:w="871" w:type="pct"/>
                <w:tcBorders>
                  <w:top w:val="nil"/>
                  <w:left w:val="nil"/>
                  <w:bottom w:val="single" w:sz="4" w:space="0" w:color="A6A6A6"/>
                  <w:right w:val="single" w:sz="4" w:space="0" w:color="A6A6A6"/>
                </w:tcBorders>
                <w:shd w:val="clear" w:color="auto" w:fill="auto"/>
                <w:noWrap/>
                <w:vAlign w:val="center"/>
                <w:hideMark/>
              </w:tcPr>
              <w:p w14:paraId="7E9EBB38" w14:textId="77777777" w:rsidR="00522E03" w:rsidRPr="00BC51FA" w:rsidRDefault="00522E03" w:rsidP="00BC51FA">
                <w:pPr>
                  <w:spacing w:after="0" w:line="240" w:lineRule="auto"/>
                  <w:jc w:val="right"/>
                  <w:rPr>
                    <w:rFonts w:ascii="Times New Roman" w:eastAsia="Times New Roman" w:hAnsi="Times New Roman"/>
                    <w:sz w:val="16"/>
                    <w:szCs w:val="16"/>
                    <w:lang w:eastAsia="es-CO"/>
                  </w:rPr>
                </w:pPr>
                <w:r w:rsidRPr="00BC51FA">
                  <w:rPr>
                    <w:rFonts w:ascii="Times New Roman" w:eastAsia="Times New Roman" w:hAnsi="Times New Roman"/>
                    <w:sz w:val="16"/>
                    <w:szCs w:val="16"/>
                    <w:lang w:eastAsia="es-CO"/>
                  </w:rPr>
                  <w:t xml:space="preserve">0 </w:t>
                </w:r>
              </w:p>
            </w:tc>
            <w:tc>
              <w:tcPr>
                <w:tcW w:w="891" w:type="pct"/>
                <w:tcBorders>
                  <w:top w:val="nil"/>
                  <w:left w:val="nil"/>
                  <w:bottom w:val="single" w:sz="4" w:space="0" w:color="A6A6A6"/>
                  <w:right w:val="single" w:sz="4" w:space="0" w:color="A6A6A6"/>
                </w:tcBorders>
                <w:shd w:val="clear" w:color="auto" w:fill="auto"/>
                <w:noWrap/>
                <w:vAlign w:val="center"/>
                <w:hideMark/>
              </w:tcPr>
              <w:p w14:paraId="2A813CB2" w14:textId="77777777" w:rsidR="00522E03" w:rsidRPr="00BC51FA" w:rsidRDefault="00522E03" w:rsidP="00BC51FA">
                <w:pPr>
                  <w:spacing w:after="0" w:line="240" w:lineRule="auto"/>
                  <w:jc w:val="right"/>
                  <w:rPr>
                    <w:rFonts w:ascii="Times New Roman" w:eastAsia="Times New Roman" w:hAnsi="Times New Roman"/>
                    <w:b/>
                    <w:bCs/>
                    <w:sz w:val="16"/>
                    <w:szCs w:val="16"/>
                    <w:lang w:eastAsia="es-CO"/>
                  </w:rPr>
                </w:pPr>
                <w:r w:rsidRPr="00BC51FA">
                  <w:rPr>
                    <w:rFonts w:ascii="Times New Roman" w:eastAsia="Times New Roman" w:hAnsi="Times New Roman"/>
                    <w:b/>
                    <w:bCs/>
                    <w:sz w:val="16"/>
                    <w:szCs w:val="16"/>
                    <w:lang w:eastAsia="es-CO"/>
                  </w:rPr>
                  <w:t xml:space="preserve">0 </w:t>
                </w:r>
              </w:p>
            </w:tc>
          </w:tr>
        </w:tbl>
        <w:p w14:paraId="298AB390" w14:textId="14881FB5" w:rsidR="00DD4C8E" w:rsidRPr="00931DCE" w:rsidRDefault="00AD2026" w:rsidP="00DD4C8E">
          <w:pPr>
            <w:spacing w:after="0" w:line="240" w:lineRule="auto"/>
            <w:rPr>
              <w:rFonts w:ascii="Times New Roman" w:hAnsi="Times New Roman"/>
              <w:sz w:val="14"/>
              <w:szCs w:val="14"/>
            </w:rPr>
          </w:pPr>
          <w:r w:rsidRPr="00931DCE">
            <w:rPr>
              <w:rFonts w:ascii="Times New Roman" w:hAnsi="Times New Roman"/>
              <w:sz w:val="14"/>
              <w:szCs w:val="14"/>
            </w:rPr>
            <w:t>Cifras expresadas en pesos</w:t>
          </w:r>
        </w:p>
        <w:p w14:paraId="49176F62" w14:textId="77777777" w:rsidR="00DD4C8E" w:rsidRPr="00931DCE" w:rsidRDefault="00DD4C8E" w:rsidP="00DD4C8E">
          <w:pPr>
            <w:spacing w:after="0" w:line="240" w:lineRule="auto"/>
            <w:rPr>
              <w:rFonts w:ascii="Times New Roman" w:hAnsi="Times New Roman"/>
              <w:sz w:val="24"/>
              <w:szCs w:val="24"/>
            </w:rPr>
          </w:pPr>
        </w:p>
        <w:p w14:paraId="2318D4CD" w14:textId="0A468EF6" w:rsidR="00DD4C8E" w:rsidRPr="00931DCE" w:rsidRDefault="00847C1D" w:rsidP="00DD4C8E">
          <w:pPr>
            <w:pStyle w:val="Prrafodelista"/>
            <w:spacing w:after="0" w:line="240" w:lineRule="auto"/>
            <w:ind w:left="0"/>
            <w:jc w:val="both"/>
            <w:rPr>
              <w:rFonts w:ascii="Times New Roman" w:hAnsi="Times New Roman"/>
              <w:sz w:val="24"/>
              <w:szCs w:val="24"/>
            </w:rPr>
          </w:pPr>
          <w:r>
            <w:rPr>
              <w:rFonts w:ascii="Times New Roman" w:hAnsi="Times New Roman"/>
              <w:sz w:val="24"/>
              <w:szCs w:val="24"/>
            </w:rPr>
            <w:t xml:space="preserve">Durante el período, no se realizaron bajas de bienes de uso público con </w:t>
          </w:r>
          <w:r w:rsidR="00F0276E">
            <w:rPr>
              <w:rFonts w:ascii="Times New Roman" w:hAnsi="Times New Roman"/>
              <w:sz w:val="24"/>
              <w:szCs w:val="24"/>
            </w:rPr>
            <w:t>efectos en el resultado.</w:t>
          </w:r>
        </w:p>
        <w:p w14:paraId="55A5AD17" w14:textId="77777777" w:rsidR="00310204" w:rsidRPr="00931DCE" w:rsidRDefault="00310204" w:rsidP="004A000E">
          <w:pPr>
            <w:spacing w:after="0" w:line="240" w:lineRule="auto"/>
            <w:jc w:val="both"/>
            <w:rPr>
              <w:rFonts w:ascii="Times New Roman" w:hAnsi="Times New Roman"/>
              <w:sz w:val="24"/>
              <w:szCs w:val="24"/>
            </w:rPr>
          </w:pPr>
        </w:p>
        <w:p w14:paraId="60BDF97A" w14:textId="523ED97D" w:rsidR="00721C19" w:rsidRPr="00931DCE" w:rsidRDefault="00AD2066" w:rsidP="004A000E">
          <w:pPr>
            <w:pStyle w:val="Ttulo2"/>
            <w:numPr>
              <w:ilvl w:val="0"/>
              <w:numId w:val="0"/>
            </w:numPr>
            <w:rPr>
              <w:rFonts w:cs="Times New Roman"/>
              <w:szCs w:val="24"/>
            </w:rPr>
          </w:pPr>
          <w:bookmarkStart w:id="41" w:name="_Toc159952384"/>
          <w:r w:rsidRPr="00931DCE">
            <w:rPr>
              <w:rFonts w:cs="Times New Roman"/>
            </w:rPr>
            <w:t>11.1.1. Bienes de uso público en servicio.</w:t>
          </w:r>
          <w:bookmarkEnd w:id="41"/>
        </w:p>
        <w:p w14:paraId="281E5C96" w14:textId="77777777" w:rsidR="00EC53BE" w:rsidRPr="00931DCE" w:rsidRDefault="00EC53BE" w:rsidP="00EC53BE">
          <w:pPr>
            <w:spacing w:after="0" w:line="240" w:lineRule="auto"/>
            <w:rPr>
              <w:rFonts w:ascii="Times New Roman" w:hAnsi="Times New Roman"/>
              <w:sz w:val="24"/>
              <w:szCs w:val="24"/>
            </w:rPr>
          </w:pPr>
        </w:p>
        <w:p w14:paraId="5DE9386C" w14:textId="47906F1E" w:rsidR="00DD4C8E" w:rsidRPr="00931DCE" w:rsidRDefault="006E241B" w:rsidP="00EC53BE">
          <w:pPr>
            <w:spacing w:after="0" w:line="240" w:lineRule="auto"/>
            <w:jc w:val="both"/>
            <w:rPr>
              <w:rFonts w:ascii="Times New Roman" w:hAnsi="Times New Roman"/>
              <w:sz w:val="24"/>
              <w:szCs w:val="24"/>
            </w:rPr>
          </w:pPr>
          <w:r w:rsidRPr="00931DCE">
            <w:rPr>
              <w:rFonts w:ascii="Times New Roman" w:hAnsi="Times New Roman"/>
              <w:sz w:val="24"/>
              <w:szCs w:val="24"/>
            </w:rPr>
            <w:t>Para la vigencia 202</w:t>
          </w:r>
          <w:r w:rsidR="00E071CE">
            <w:rPr>
              <w:rFonts w:ascii="Times New Roman" w:hAnsi="Times New Roman"/>
              <w:sz w:val="24"/>
              <w:szCs w:val="24"/>
            </w:rPr>
            <w:t>3</w:t>
          </w:r>
          <w:r w:rsidRPr="00931DCE">
            <w:rPr>
              <w:rFonts w:ascii="Times New Roman" w:hAnsi="Times New Roman"/>
              <w:sz w:val="24"/>
              <w:szCs w:val="24"/>
            </w:rPr>
            <w:t xml:space="preserve">, se presentó un </w:t>
          </w:r>
          <w:r w:rsidR="00D36F84">
            <w:rPr>
              <w:rFonts w:ascii="Times New Roman" w:hAnsi="Times New Roman"/>
              <w:sz w:val="24"/>
              <w:szCs w:val="24"/>
            </w:rPr>
            <w:t xml:space="preserve">incremento </w:t>
          </w:r>
          <w:r w:rsidR="00EF4E60" w:rsidRPr="00931DCE">
            <w:rPr>
              <w:rFonts w:ascii="Times New Roman" w:hAnsi="Times New Roman"/>
              <w:sz w:val="24"/>
              <w:szCs w:val="24"/>
            </w:rPr>
            <w:t xml:space="preserve">por </w:t>
          </w:r>
          <w:r w:rsidR="00EF4E60">
            <w:rPr>
              <w:rFonts w:ascii="Times New Roman" w:hAnsi="Times New Roman"/>
              <w:sz w:val="24"/>
              <w:szCs w:val="24"/>
            </w:rPr>
            <w:t>valor</w:t>
          </w:r>
          <w:r w:rsidR="009F01F5">
            <w:rPr>
              <w:rFonts w:ascii="Times New Roman" w:hAnsi="Times New Roman"/>
              <w:sz w:val="24"/>
              <w:szCs w:val="24"/>
            </w:rPr>
            <w:t xml:space="preserve"> de </w:t>
          </w:r>
          <w:r w:rsidR="00F903FD">
            <w:rPr>
              <w:rFonts w:ascii="Times New Roman" w:hAnsi="Times New Roman"/>
              <w:sz w:val="24"/>
              <w:szCs w:val="24"/>
            </w:rPr>
            <w:t>$</w:t>
          </w:r>
          <w:r w:rsidR="00354996">
            <w:rPr>
              <w:rFonts w:ascii="Times New Roman" w:hAnsi="Times New Roman"/>
              <w:sz w:val="24"/>
              <w:szCs w:val="24"/>
            </w:rPr>
            <w:t xml:space="preserve"> </w:t>
          </w:r>
          <w:r w:rsidR="00354996" w:rsidRPr="00354996">
            <w:rPr>
              <w:rFonts w:ascii="Times New Roman" w:hAnsi="Times New Roman"/>
              <w:sz w:val="24"/>
              <w:szCs w:val="24"/>
            </w:rPr>
            <w:t>92.714.532.629</w:t>
          </w:r>
          <w:r w:rsidR="00354996">
            <w:rPr>
              <w:rFonts w:ascii="Times New Roman" w:hAnsi="Times New Roman"/>
              <w:sz w:val="24"/>
              <w:szCs w:val="24"/>
            </w:rPr>
            <w:t xml:space="preserve"> </w:t>
          </w:r>
          <w:r w:rsidR="00D36F84">
            <w:rPr>
              <w:rFonts w:ascii="Times New Roman" w:hAnsi="Times New Roman"/>
              <w:sz w:val="24"/>
              <w:szCs w:val="24"/>
            </w:rPr>
            <w:t>correspondiente a</w:t>
          </w:r>
          <w:r w:rsidR="00DD4C8E" w:rsidRPr="00931DCE">
            <w:rPr>
              <w:rFonts w:ascii="Times New Roman" w:hAnsi="Times New Roman"/>
              <w:sz w:val="24"/>
              <w:szCs w:val="24"/>
            </w:rPr>
            <w:t xml:space="preserve"> la ejecución de los contratos de obra suscritos para las actividades de mantenimiento, conservación y mejoramiento, de la infraestructura férrea que hace parte de los corredores férreos “la Dorada (Caldas) – Chiriguaná (Cesar) y ramales” y, Bogotá (Cundinamarca) - Belencito (Boyacá); El Ramal La Caro – Zipaquirá y el Tramo Bogotá - Facatativá.</w:t>
          </w:r>
        </w:p>
        <w:p w14:paraId="57267B86" w14:textId="77777777" w:rsidR="00DD4C8E" w:rsidRPr="00931DCE" w:rsidRDefault="00DD4C8E" w:rsidP="00DD4C8E">
          <w:pPr>
            <w:pStyle w:val="Prrafodelista"/>
            <w:spacing w:after="0" w:line="240" w:lineRule="auto"/>
            <w:ind w:left="0"/>
            <w:jc w:val="both"/>
            <w:rPr>
              <w:rFonts w:ascii="Times New Roman" w:hAnsi="Times New Roman"/>
              <w:sz w:val="24"/>
              <w:szCs w:val="24"/>
            </w:rPr>
          </w:pPr>
        </w:p>
        <w:p w14:paraId="7A5D99EB" w14:textId="6CA54B0B" w:rsidR="00DD4C8E" w:rsidRPr="00931DCE" w:rsidRDefault="00DD4C8E" w:rsidP="00DD4C8E">
          <w:pPr>
            <w:pStyle w:val="Prrafodelista"/>
            <w:spacing w:after="0" w:line="240" w:lineRule="auto"/>
            <w:ind w:left="0"/>
            <w:jc w:val="both"/>
            <w:rPr>
              <w:rFonts w:ascii="Times New Roman" w:hAnsi="Times New Roman"/>
              <w:sz w:val="24"/>
              <w:szCs w:val="24"/>
            </w:rPr>
          </w:pPr>
          <w:r w:rsidRPr="00931DCE">
            <w:rPr>
              <w:rFonts w:ascii="Times New Roman" w:hAnsi="Times New Roman"/>
              <w:sz w:val="24"/>
              <w:szCs w:val="24"/>
            </w:rPr>
            <w:t xml:space="preserve">Dorada – Chiriguaná: el proyecto se ubica a lo largo de los departamentos de Caldas, Antioquia, Santander y Cesar. El tramo principal de este corredor férreo, cuenta actualmente con 521,2 Km de línea férrea desde la estación férrea México (PK201+502) en el municipio de la Dorada en Caldas, hasta la estación férrea de Chiriguaná en el Cesar (PK 722+683), </w:t>
          </w:r>
          <w:r w:rsidRPr="00931DCE">
            <w:rPr>
              <w:rFonts w:ascii="Times New Roman" w:hAnsi="Times New Roman"/>
              <w:sz w:val="24"/>
              <w:szCs w:val="24"/>
            </w:rPr>
            <w:lastRenderedPageBreak/>
            <w:t xml:space="preserve">además cuenta con 33,1 Km desde Puerto Berrío (PK 328+100) hasta Cabañas (PK 361+199) y con 4 Km del ramal Puerto Capulco, que se ubica entre las abscisas PK 597+394,08 (cambiavías sur) y PK 598+253,54 (cambiavías norte) que finaliza en la abscisa PK 601+976,20. Este último ramal férreo se conecta con el río Magdalena en cercanía al municipio de Gamarra. Este proyecto es operado por el consorcio San Felipe </w:t>
          </w:r>
          <w:r w:rsidR="009424BD">
            <w:rPr>
              <w:rFonts w:ascii="Times New Roman" w:hAnsi="Times New Roman"/>
              <w:sz w:val="24"/>
              <w:szCs w:val="24"/>
            </w:rPr>
            <w:t>Férreo</w:t>
          </w:r>
          <w:r w:rsidRPr="00931DCE">
            <w:rPr>
              <w:rFonts w:ascii="Times New Roman" w:hAnsi="Times New Roman"/>
              <w:sz w:val="24"/>
              <w:szCs w:val="24"/>
            </w:rPr>
            <w:t xml:space="preserve"> de acuerdo con el contrato de obra No. VE-</w:t>
          </w:r>
          <w:r w:rsidR="00CA2C35">
            <w:rPr>
              <w:rFonts w:ascii="Times New Roman" w:hAnsi="Times New Roman"/>
              <w:sz w:val="24"/>
              <w:szCs w:val="24"/>
            </w:rPr>
            <w:t>639</w:t>
          </w:r>
          <w:r w:rsidRPr="00931DCE">
            <w:rPr>
              <w:rFonts w:ascii="Times New Roman" w:hAnsi="Times New Roman"/>
              <w:sz w:val="24"/>
              <w:szCs w:val="24"/>
            </w:rPr>
            <w:t>-</w:t>
          </w:r>
          <w:r w:rsidR="00EF6E05" w:rsidRPr="00931DCE">
            <w:rPr>
              <w:rFonts w:ascii="Times New Roman" w:hAnsi="Times New Roman"/>
              <w:sz w:val="24"/>
              <w:szCs w:val="24"/>
            </w:rPr>
            <w:t>202</w:t>
          </w:r>
          <w:r w:rsidR="00CA2C35">
            <w:rPr>
              <w:rFonts w:ascii="Times New Roman" w:hAnsi="Times New Roman"/>
              <w:sz w:val="24"/>
              <w:szCs w:val="24"/>
            </w:rPr>
            <w:t>3</w:t>
          </w:r>
          <w:r w:rsidR="008D6783">
            <w:rPr>
              <w:rFonts w:ascii="Times New Roman" w:hAnsi="Times New Roman"/>
              <w:sz w:val="24"/>
              <w:szCs w:val="24"/>
            </w:rPr>
            <w:t>.</w:t>
          </w:r>
        </w:p>
        <w:p w14:paraId="73E6CF31" w14:textId="77777777" w:rsidR="00DD4C8E" w:rsidRPr="00931DCE" w:rsidRDefault="00DD4C8E" w:rsidP="00DD4C8E">
          <w:pPr>
            <w:pStyle w:val="Prrafodelista"/>
            <w:spacing w:after="0" w:line="240" w:lineRule="auto"/>
            <w:ind w:left="0"/>
            <w:jc w:val="both"/>
            <w:rPr>
              <w:rFonts w:ascii="Times New Roman" w:hAnsi="Times New Roman"/>
              <w:sz w:val="18"/>
              <w:szCs w:val="18"/>
            </w:rPr>
          </w:pPr>
        </w:p>
        <w:p w14:paraId="4F66ED48" w14:textId="1DB31BE9" w:rsidR="00DD4C8E" w:rsidRPr="00234FCF" w:rsidRDefault="00DD4C8E" w:rsidP="00DD4C8E">
          <w:pPr>
            <w:pStyle w:val="Prrafodelista"/>
            <w:spacing w:after="0" w:line="240" w:lineRule="auto"/>
            <w:ind w:left="0"/>
            <w:jc w:val="both"/>
            <w:rPr>
              <w:rFonts w:ascii="Times New Roman" w:hAnsi="Times New Roman"/>
              <w:sz w:val="24"/>
              <w:szCs w:val="24"/>
            </w:rPr>
          </w:pPr>
          <w:r w:rsidRPr="00931DCE">
            <w:rPr>
              <w:rFonts w:ascii="Times New Roman" w:hAnsi="Times New Roman"/>
              <w:sz w:val="24"/>
              <w:szCs w:val="24"/>
            </w:rPr>
            <w:t xml:space="preserve">Bogotá – Belencito: el proyecto se ubica a lo largo de los departamentos de Cundinamarca y Boyacá. El tramo principal de este corredor férreo cuenta actualmente con 297,9 Km de línea férrea desde el municipio de Facatativá, hasta Belencito en Boyacá y atravesando por la ciudad de Bogotá. Adicionalmente cuenta con la línea que va de La Caro hasta Zipaquirá con 20,4 Km. Este corredor cruza por los municipios de: Facatativá, Madrid, Mosquera; atraviesa la ciudad de Bogotá y continua por los municipios de Chía, Cajicá, Zipaquirá, Tocancipá, Gachancipá, Sesquilé, Suesca, Chocontá y Villapinzón en el departamento de Cundinamarca. Adicionalmente pasa por los municipios de Ventaquemada, la ciudad de Tunja, y continúa por los municipios de Oicatá, Tuta, Paipa, Duitama y Sogamoso, para terminar en la población de Belencito. Este proyecto es operado por </w:t>
          </w:r>
          <w:r w:rsidR="00BC4439">
            <w:rPr>
              <w:rFonts w:ascii="Times New Roman" w:hAnsi="Times New Roman"/>
              <w:sz w:val="24"/>
              <w:szCs w:val="24"/>
            </w:rPr>
            <w:t>FINDETER</w:t>
          </w:r>
          <w:r w:rsidRPr="00234FCF">
            <w:rPr>
              <w:rFonts w:ascii="Times New Roman" w:hAnsi="Times New Roman"/>
              <w:sz w:val="24"/>
              <w:szCs w:val="24"/>
            </w:rPr>
            <w:t xml:space="preserve"> </w:t>
          </w:r>
          <w:r w:rsidR="00234FCF" w:rsidRPr="00234FCF">
            <w:rPr>
              <w:rFonts w:ascii="Times New Roman" w:hAnsi="Times New Roman"/>
              <w:sz w:val="24"/>
              <w:szCs w:val="24"/>
            </w:rPr>
            <w:t>C</w:t>
          </w:r>
          <w:r w:rsidR="009D7E9C">
            <w:rPr>
              <w:rFonts w:ascii="Times New Roman" w:hAnsi="Times New Roman"/>
              <w:sz w:val="24"/>
              <w:szCs w:val="24"/>
            </w:rPr>
            <w:t xml:space="preserve">ontrato </w:t>
          </w:r>
          <w:r w:rsidR="0083411B">
            <w:rPr>
              <w:rFonts w:ascii="Times New Roman" w:hAnsi="Times New Roman"/>
              <w:sz w:val="24"/>
              <w:szCs w:val="24"/>
            </w:rPr>
            <w:t xml:space="preserve">Interadministrativo </w:t>
          </w:r>
          <w:r w:rsidR="0083411B" w:rsidRPr="00234FCF">
            <w:rPr>
              <w:rFonts w:ascii="Times New Roman" w:hAnsi="Times New Roman"/>
              <w:sz w:val="24"/>
              <w:szCs w:val="24"/>
            </w:rPr>
            <w:t>No</w:t>
          </w:r>
          <w:r w:rsidR="00234FCF" w:rsidRPr="00234FCF">
            <w:rPr>
              <w:rFonts w:ascii="Times New Roman" w:hAnsi="Times New Roman"/>
              <w:sz w:val="24"/>
              <w:szCs w:val="24"/>
            </w:rPr>
            <w:t>. VE-629-2022</w:t>
          </w:r>
        </w:p>
        <w:p w14:paraId="7816E894" w14:textId="77777777" w:rsidR="00234FCF" w:rsidRPr="00931DCE" w:rsidRDefault="00234FCF" w:rsidP="00DD4C8E">
          <w:pPr>
            <w:pStyle w:val="Prrafodelista"/>
            <w:spacing w:after="0" w:line="240" w:lineRule="auto"/>
            <w:ind w:left="0"/>
            <w:jc w:val="both"/>
            <w:rPr>
              <w:rStyle w:val="ui-provider"/>
              <w:rFonts w:ascii="Times New Roman" w:hAnsi="Times New Roman"/>
              <w:sz w:val="18"/>
              <w:szCs w:val="18"/>
            </w:rPr>
          </w:pPr>
        </w:p>
        <w:p w14:paraId="3AA9BD4C" w14:textId="33640E8A" w:rsidR="00DD4C8E" w:rsidRPr="00931DCE" w:rsidRDefault="00DD4C8E" w:rsidP="00DD4C8E">
          <w:pPr>
            <w:pStyle w:val="Prrafodelista"/>
            <w:spacing w:after="0" w:line="240" w:lineRule="auto"/>
            <w:ind w:left="0"/>
            <w:jc w:val="both"/>
            <w:rPr>
              <w:rFonts w:ascii="Times New Roman" w:hAnsi="Times New Roman"/>
              <w:sz w:val="24"/>
              <w:szCs w:val="24"/>
            </w:rPr>
          </w:pPr>
          <w:r w:rsidRPr="00931DCE">
            <w:rPr>
              <w:rFonts w:ascii="Times New Roman" w:hAnsi="Times New Roman"/>
              <w:sz w:val="24"/>
              <w:szCs w:val="24"/>
            </w:rPr>
            <w:t>Para el cálculo de la depreciación de la red férrea, se estableció por el método de línea recta de acuerdo con su vida útil estimada, la cual corresponde a 20 años. El valor de la depreciación reconocida en el resultado del año 202</w:t>
          </w:r>
          <w:r w:rsidR="00CC0B33">
            <w:rPr>
              <w:rFonts w:ascii="Times New Roman" w:hAnsi="Times New Roman"/>
              <w:sz w:val="24"/>
              <w:szCs w:val="24"/>
            </w:rPr>
            <w:t>3</w:t>
          </w:r>
          <w:r w:rsidRPr="00931DCE">
            <w:rPr>
              <w:rFonts w:ascii="Times New Roman" w:hAnsi="Times New Roman"/>
              <w:sz w:val="24"/>
              <w:szCs w:val="24"/>
            </w:rPr>
            <w:t xml:space="preserve"> corresponde a $</w:t>
          </w:r>
          <w:r w:rsidR="00AB364C">
            <w:rPr>
              <w:rFonts w:ascii="Times New Roman" w:hAnsi="Times New Roman"/>
              <w:sz w:val="24"/>
              <w:szCs w:val="24"/>
            </w:rPr>
            <w:t>27</w:t>
          </w:r>
          <w:r w:rsidR="00A16179">
            <w:rPr>
              <w:rFonts w:ascii="Times New Roman" w:hAnsi="Times New Roman"/>
              <w:sz w:val="24"/>
              <w:szCs w:val="24"/>
            </w:rPr>
            <w:t>.8</w:t>
          </w:r>
          <w:r w:rsidR="001452C8">
            <w:rPr>
              <w:rFonts w:ascii="Times New Roman" w:hAnsi="Times New Roman"/>
              <w:sz w:val="24"/>
              <w:szCs w:val="24"/>
            </w:rPr>
            <w:t>9</w:t>
          </w:r>
          <w:r w:rsidR="00A16179">
            <w:rPr>
              <w:rFonts w:ascii="Times New Roman" w:hAnsi="Times New Roman"/>
              <w:sz w:val="24"/>
              <w:szCs w:val="24"/>
            </w:rPr>
            <w:t>7.</w:t>
          </w:r>
          <w:r w:rsidR="00CA0012">
            <w:rPr>
              <w:rFonts w:ascii="Times New Roman" w:hAnsi="Times New Roman"/>
              <w:sz w:val="24"/>
              <w:szCs w:val="24"/>
            </w:rPr>
            <w:t>376.870</w:t>
          </w:r>
        </w:p>
        <w:p w14:paraId="1CCFD3CB" w14:textId="77777777" w:rsidR="00DD4C8E" w:rsidRPr="00931DCE" w:rsidRDefault="00DD4C8E" w:rsidP="00DD4C8E">
          <w:pPr>
            <w:pStyle w:val="Prrafodelista"/>
            <w:spacing w:after="0" w:line="240" w:lineRule="auto"/>
            <w:ind w:left="0"/>
            <w:jc w:val="both"/>
            <w:rPr>
              <w:rFonts w:ascii="Times New Roman" w:hAnsi="Times New Roman"/>
              <w:sz w:val="18"/>
              <w:szCs w:val="18"/>
            </w:rPr>
          </w:pPr>
        </w:p>
        <w:p w14:paraId="6BFCDBA6" w14:textId="77777777" w:rsidR="00DD4C8E" w:rsidRPr="00931DCE" w:rsidRDefault="00DD4C8E" w:rsidP="00DD4C8E">
          <w:pPr>
            <w:pStyle w:val="Prrafodelista"/>
            <w:spacing w:after="0" w:line="240" w:lineRule="auto"/>
            <w:ind w:left="0"/>
            <w:jc w:val="both"/>
            <w:rPr>
              <w:rFonts w:ascii="Times New Roman" w:hAnsi="Times New Roman"/>
              <w:sz w:val="24"/>
              <w:szCs w:val="24"/>
            </w:rPr>
          </w:pPr>
          <w:r w:rsidRPr="00931DCE">
            <w:rPr>
              <w:rFonts w:ascii="Times New Roman" w:hAnsi="Times New Roman"/>
              <w:sz w:val="24"/>
              <w:szCs w:val="24"/>
            </w:rPr>
            <w:t>En el siguiente cuadro se observa la vida útil de los tramos:</w:t>
          </w:r>
        </w:p>
        <w:p w14:paraId="5E836564" w14:textId="77777777" w:rsidR="00DD4C8E" w:rsidRPr="00931DCE" w:rsidRDefault="00DD4C8E" w:rsidP="00DD4C8E">
          <w:pPr>
            <w:pStyle w:val="Prrafodelista"/>
            <w:spacing w:after="0" w:line="240" w:lineRule="auto"/>
            <w:ind w:left="0"/>
            <w:jc w:val="both"/>
            <w:rPr>
              <w:rFonts w:ascii="Times New Roman" w:hAnsi="Times New Roman"/>
              <w:sz w:val="18"/>
              <w:szCs w:val="18"/>
            </w:rPr>
          </w:pPr>
        </w:p>
        <w:tbl>
          <w:tblPr>
            <w:tblW w:w="2622" w:type="pct"/>
            <w:jc w:val="center"/>
            <w:tblCellMar>
              <w:left w:w="70" w:type="dxa"/>
              <w:right w:w="70" w:type="dxa"/>
            </w:tblCellMar>
            <w:tblLook w:val="04A0" w:firstRow="1" w:lastRow="0" w:firstColumn="1" w:lastColumn="0" w:noHBand="0" w:noVBand="1"/>
          </w:tblPr>
          <w:tblGrid>
            <w:gridCol w:w="2931"/>
            <w:gridCol w:w="1772"/>
          </w:tblGrid>
          <w:tr w:rsidR="00DD4C8E" w:rsidRPr="00931DCE" w14:paraId="20C3ADEB" w14:textId="77777777" w:rsidTr="009613B9">
            <w:trPr>
              <w:trHeight w:val="20"/>
              <w:jc w:val="center"/>
            </w:trPr>
            <w:tc>
              <w:tcPr>
                <w:tcW w:w="311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5915B" w14:textId="77777777" w:rsidR="00DD4C8E" w:rsidRPr="00931DCE" w:rsidRDefault="00DD4C8E" w:rsidP="00FC76D7">
                <w:pPr>
                  <w:spacing w:after="0" w:line="240" w:lineRule="auto"/>
                  <w:jc w:val="center"/>
                  <w:rPr>
                    <w:rFonts w:ascii="Times New Roman" w:eastAsia="Times New Roman" w:hAnsi="Times New Roman"/>
                    <w:b/>
                    <w:bCs/>
                    <w:color w:val="000000"/>
                    <w:sz w:val="18"/>
                    <w:szCs w:val="18"/>
                    <w:lang w:eastAsia="es-CO"/>
                  </w:rPr>
                </w:pPr>
                <w:r w:rsidRPr="00931DCE">
                  <w:rPr>
                    <w:rFonts w:ascii="Times New Roman" w:eastAsia="Times New Roman" w:hAnsi="Times New Roman"/>
                    <w:b/>
                    <w:bCs/>
                    <w:color w:val="000000"/>
                    <w:sz w:val="18"/>
                    <w:szCs w:val="18"/>
                    <w:lang w:eastAsia="es-CO"/>
                  </w:rPr>
                  <w:t>TRAMOS</w:t>
                </w:r>
              </w:p>
            </w:tc>
            <w:tc>
              <w:tcPr>
                <w:tcW w:w="1884" w:type="pct"/>
                <w:tcBorders>
                  <w:top w:val="single" w:sz="4" w:space="0" w:color="auto"/>
                  <w:left w:val="nil"/>
                  <w:bottom w:val="single" w:sz="4" w:space="0" w:color="auto"/>
                  <w:right w:val="single" w:sz="4" w:space="0" w:color="auto"/>
                </w:tcBorders>
                <w:shd w:val="clear" w:color="auto" w:fill="auto"/>
                <w:noWrap/>
                <w:vAlign w:val="center"/>
                <w:hideMark/>
              </w:tcPr>
              <w:p w14:paraId="29363CB5" w14:textId="77777777" w:rsidR="00DD4C8E" w:rsidRPr="00931DCE" w:rsidRDefault="00DD4C8E" w:rsidP="00FC76D7">
                <w:pPr>
                  <w:spacing w:after="0" w:line="240" w:lineRule="auto"/>
                  <w:jc w:val="center"/>
                  <w:rPr>
                    <w:rFonts w:ascii="Times New Roman" w:eastAsia="Times New Roman" w:hAnsi="Times New Roman"/>
                    <w:b/>
                    <w:bCs/>
                    <w:color w:val="000000"/>
                    <w:sz w:val="18"/>
                    <w:szCs w:val="18"/>
                    <w:lang w:eastAsia="es-CO"/>
                  </w:rPr>
                </w:pPr>
                <w:r w:rsidRPr="00931DCE">
                  <w:rPr>
                    <w:rFonts w:ascii="Times New Roman" w:eastAsia="Times New Roman" w:hAnsi="Times New Roman"/>
                    <w:b/>
                    <w:bCs/>
                    <w:color w:val="000000"/>
                    <w:sz w:val="18"/>
                    <w:szCs w:val="18"/>
                    <w:lang w:eastAsia="es-CO"/>
                  </w:rPr>
                  <w:t>VIDA ÚTIL</w:t>
                </w:r>
              </w:p>
            </w:tc>
          </w:tr>
          <w:tr w:rsidR="00DD4C8E" w:rsidRPr="00931DCE" w14:paraId="5673D77E" w14:textId="77777777" w:rsidTr="009613B9">
            <w:trPr>
              <w:trHeight w:val="20"/>
              <w:jc w:val="center"/>
            </w:trPr>
            <w:tc>
              <w:tcPr>
                <w:tcW w:w="3116" w:type="pct"/>
                <w:vMerge/>
                <w:tcBorders>
                  <w:top w:val="single" w:sz="4" w:space="0" w:color="auto"/>
                  <w:left w:val="single" w:sz="4" w:space="0" w:color="auto"/>
                  <w:bottom w:val="single" w:sz="4" w:space="0" w:color="auto"/>
                  <w:right w:val="single" w:sz="4" w:space="0" w:color="auto"/>
                </w:tcBorders>
                <w:vAlign w:val="center"/>
                <w:hideMark/>
              </w:tcPr>
              <w:p w14:paraId="0DF3D2C3" w14:textId="77777777" w:rsidR="00DD4C8E" w:rsidRPr="00931DCE" w:rsidRDefault="00DD4C8E" w:rsidP="00FC76D7">
                <w:pPr>
                  <w:spacing w:after="0" w:line="240" w:lineRule="auto"/>
                  <w:rPr>
                    <w:rFonts w:ascii="Times New Roman" w:eastAsia="Times New Roman" w:hAnsi="Times New Roman"/>
                    <w:b/>
                    <w:bCs/>
                    <w:color w:val="000000"/>
                    <w:sz w:val="18"/>
                    <w:szCs w:val="18"/>
                    <w:lang w:eastAsia="es-CO"/>
                  </w:rPr>
                </w:pPr>
              </w:p>
            </w:tc>
            <w:tc>
              <w:tcPr>
                <w:tcW w:w="1884" w:type="pct"/>
                <w:tcBorders>
                  <w:top w:val="nil"/>
                  <w:left w:val="nil"/>
                  <w:bottom w:val="single" w:sz="4" w:space="0" w:color="auto"/>
                  <w:right w:val="single" w:sz="4" w:space="0" w:color="auto"/>
                </w:tcBorders>
                <w:shd w:val="clear" w:color="auto" w:fill="auto"/>
                <w:noWrap/>
                <w:vAlign w:val="center"/>
                <w:hideMark/>
              </w:tcPr>
              <w:p w14:paraId="5DE933C4" w14:textId="77777777" w:rsidR="00DD4C8E" w:rsidRPr="00931DCE" w:rsidRDefault="00DD4C8E" w:rsidP="00FC76D7">
                <w:pPr>
                  <w:spacing w:after="0" w:line="240" w:lineRule="auto"/>
                  <w:jc w:val="center"/>
                  <w:rPr>
                    <w:rFonts w:ascii="Times New Roman" w:eastAsia="Times New Roman" w:hAnsi="Times New Roman"/>
                    <w:b/>
                    <w:bCs/>
                    <w:color w:val="000000"/>
                    <w:sz w:val="18"/>
                    <w:szCs w:val="18"/>
                    <w:lang w:eastAsia="es-CO"/>
                  </w:rPr>
                </w:pPr>
                <w:r w:rsidRPr="00931DCE">
                  <w:rPr>
                    <w:rFonts w:ascii="Times New Roman" w:eastAsia="Times New Roman" w:hAnsi="Times New Roman"/>
                    <w:b/>
                    <w:bCs/>
                    <w:color w:val="000000"/>
                    <w:sz w:val="18"/>
                    <w:szCs w:val="18"/>
                    <w:lang w:eastAsia="es-CO"/>
                  </w:rPr>
                  <w:t>AÑOS</w:t>
                </w:r>
              </w:p>
            </w:tc>
          </w:tr>
          <w:tr w:rsidR="00DD4C8E" w:rsidRPr="00931DCE" w14:paraId="49D7A348" w14:textId="77777777" w:rsidTr="009613B9">
            <w:trPr>
              <w:trHeight w:val="20"/>
              <w:jc w:val="center"/>
            </w:trPr>
            <w:tc>
              <w:tcPr>
                <w:tcW w:w="3116" w:type="pct"/>
                <w:tcBorders>
                  <w:top w:val="nil"/>
                  <w:left w:val="single" w:sz="4" w:space="0" w:color="auto"/>
                  <w:bottom w:val="single" w:sz="4" w:space="0" w:color="auto"/>
                  <w:right w:val="single" w:sz="4" w:space="0" w:color="auto"/>
                </w:tcBorders>
                <w:shd w:val="clear" w:color="auto" w:fill="auto"/>
                <w:noWrap/>
                <w:vAlign w:val="center"/>
                <w:hideMark/>
              </w:tcPr>
              <w:p w14:paraId="351EEF31" w14:textId="38286359" w:rsidR="00DD4C8E" w:rsidRPr="00931DCE" w:rsidRDefault="00DD4C8E" w:rsidP="00FC76D7">
                <w:pPr>
                  <w:spacing w:after="0" w:line="240" w:lineRule="auto"/>
                  <w:rPr>
                    <w:rFonts w:ascii="Times New Roman" w:eastAsia="Times New Roman" w:hAnsi="Times New Roman"/>
                    <w:color w:val="000000"/>
                    <w:sz w:val="18"/>
                    <w:szCs w:val="18"/>
                    <w:lang w:eastAsia="es-CO"/>
                  </w:rPr>
                </w:pPr>
                <w:r w:rsidRPr="00931DCE">
                  <w:rPr>
                    <w:rFonts w:ascii="Times New Roman" w:eastAsia="Times New Roman" w:hAnsi="Times New Roman"/>
                    <w:color w:val="000000"/>
                    <w:sz w:val="18"/>
                    <w:szCs w:val="18"/>
                    <w:lang w:eastAsia="es-CO"/>
                  </w:rPr>
                  <w:t>Bogotá Belencito</w:t>
                </w:r>
              </w:p>
            </w:tc>
            <w:tc>
              <w:tcPr>
                <w:tcW w:w="1884" w:type="pct"/>
                <w:tcBorders>
                  <w:top w:val="nil"/>
                  <w:left w:val="nil"/>
                  <w:bottom w:val="single" w:sz="4" w:space="0" w:color="auto"/>
                  <w:right w:val="single" w:sz="4" w:space="0" w:color="auto"/>
                </w:tcBorders>
                <w:shd w:val="clear" w:color="auto" w:fill="auto"/>
                <w:noWrap/>
                <w:vAlign w:val="center"/>
                <w:hideMark/>
              </w:tcPr>
              <w:p w14:paraId="7ECAEC49" w14:textId="77777777" w:rsidR="00DD4C8E" w:rsidRPr="00931DCE" w:rsidRDefault="00DD4C8E" w:rsidP="00FC76D7">
                <w:pPr>
                  <w:spacing w:after="0" w:line="240" w:lineRule="auto"/>
                  <w:jc w:val="center"/>
                  <w:rPr>
                    <w:rFonts w:ascii="Times New Roman" w:eastAsia="Times New Roman" w:hAnsi="Times New Roman"/>
                    <w:color w:val="000000"/>
                    <w:sz w:val="18"/>
                    <w:szCs w:val="18"/>
                    <w:lang w:eastAsia="es-CO"/>
                  </w:rPr>
                </w:pPr>
                <w:r w:rsidRPr="00931DCE">
                  <w:rPr>
                    <w:rFonts w:ascii="Times New Roman" w:eastAsia="Times New Roman" w:hAnsi="Times New Roman"/>
                    <w:color w:val="000000"/>
                    <w:sz w:val="18"/>
                    <w:szCs w:val="18"/>
                    <w:lang w:eastAsia="es-CO"/>
                  </w:rPr>
                  <w:t>20</w:t>
                </w:r>
              </w:p>
            </w:tc>
          </w:tr>
          <w:tr w:rsidR="00DD4C8E" w:rsidRPr="00931DCE" w14:paraId="64DFA4D9" w14:textId="77777777" w:rsidTr="009613B9">
            <w:trPr>
              <w:trHeight w:val="20"/>
              <w:jc w:val="center"/>
            </w:trPr>
            <w:tc>
              <w:tcPr>
                <w:tcW w:w="3116" w:type="pct"/>
                <w:tcBorders>
                  <w:top w:val="nil"/>
                  <w:left w:val="single" w:sz="4" w:space="0" w:color="auto"/>
                  <w:bottom w:val="single" w:sz="4" w:space="0" w:color="auto"/>
                  <w:right w:val="single" w:sz="4" w:space="0" w:color="auto"/>
                </w:tcBorders>
                <w:shd w:val="clear" w:color="auto" w:fill="auto"/>
                <w:noWrap/>
                <w:vAlign w:val="center"/>
                <w:hideMark/>
              </w:tcPr>
              <w:p w14:paraId="7DCC136C" w14:textId="00782587" w:rsidR="00DD4C8E" w:rsidRPr="00931DCE" w:rsidRDefault="00DD4C8E" w:rsidP="00FC76D7">
                <w:pPr>
                  <w:spacing w:after="0" w:line="240" w:lineRule="auto"/>
                  <w:rPr>
                    <w:rFonts w:ascii="Times New Roman" w:eastAsia="Times New Roman" w:hAnsi="Times New Roman"/>
                    <w:color w:val="000000"/>
                    <w:sz w:val="18"/>
                    <w:szCs w:val="18"/>
                    <w:lang w:eastAsia="es-CO"/>
                  </w:rPr>
                </w:pPr>
                <w:r w:rsidRPr="00931DCE">
                  <w:rPr>
                    <w:rFonts w:ascii="Times New Roman" w:eastAsia="Times New Roman" w:hAnsi="Times New Roman"/>
                    <w:color w:val="000000"/>
                    <w:sz w:val="18"/>
                    <w:szCs w:val="18"/>
                    <w:lang w:eastAsia="es-CO"/>
                  </w:rPr>
                  <w:t>La Dorada Chiriguaná</w:t>
                </w:r>
              </w:p>
            </w:tc>
            <w:tc>
              <w:tcPr>
                <w:tcW w:w="1884" w:type="pct"/>
                <w:tcBorders>
                  <w:top w:val="nil"/>
                  <w:left w:val="nil"/>
                  <w:bottom w:val="single" w:sz="4" w:space="0" w:color="auto"/>
                  <w:right w:val="single" w:sz="4" w:space="0" w:color="auto"/>
                </w:tcBorders>
                <w:shd w:val="clear" w:color="auto" w:fill="auto"/>
                <w:noWrap/>
                <w:vAlign w:val="center"/>
                <w:hideMark/>
              </w:tcPr>
              <w:p w14:paraId="19120F3F" w14:textId="77777777" w:rsidR="00DD4C8E" w:rsidRPr="00931DCE" w:rsidRDefault="00DD4C8E" w:rsidP="00FC76D7">
                <w:pPr>
                  <w:spacing w:after="0" w:line="240" w:lineRule="auto"/>
                  <w:jc w:val="center"/>
                  <w:rPr>
                    <w:rFonts w:ascii="Times New Roman" w:eastAsia="Times New Roman" w:hAnsi="Times New Roman"/>
                    <w:color w:val="000000"/>
                    <w:sz w:val="18"/>
                    <w:szCs w:val="18"/>
                    <w:lang w:eastAsia="es-CO"/>
                  </w:rPr>
                </w:pPr>
                <w:r w:rsidRPr="00931DCE">
                  <w:rPr>
                    <w:rFonts w:ascii="Times New Roman" w:eastAsia="Times New Roman" w:hAnsi="Times New Roman"/>
                    <w:color w:val="000000"/>
                    <w:sz w:val="18"/>
                    <w:szCs w:val="18"/>
                    <w:lang w:eastAsia="es-CO"/>
                  </w:rPr>
                  <w:t>20</w:t>
                </w:r>
              </w:p>
            </w:tc>
          </w:tr>
        </w:tbl>
        <w:p w14:paraId="6BFF9AE9" w14:textId="77777777" w:rsidR="00DD4C8E" w:rsidRPr="00931DCE" w:rsidRDefault="00DD4C8E" w:rsidP="00DD4C8E">
          <w:pPr>
            <w:spacing w:after="0" w:line="240" w:lineRule="auto"/>
            <w:rPr>
              <w:rFonts w:ascii="Times New Roman" w:hAnsi="Times New Roman"/>
              <w:b/>
              <w:bCs/>
              <w:sz w:val="24"/>
              <w:szCs w:val="24"/>
            </w:rPr>
          </w:pPr>
        </w:p>
        <w:p w14:paraId="47E6D727" w14:textId="6169C480" w:rsidR="00DD4C8E" w:rsidRPr="00931DCE" w:rsidRDefault="0088139E" w:rsidP="00DD4C8E">
          <w:pPr>
            <w:pStyle w:val="Prrafodelista"/>
            <w:spacing w:after="0" w:line="240" w:lineRule="auto"/>
            <w:ind w:left="0"/>
            <w:jc w:val="both"/>
            <w:rPr>
              <w:rFonts w:ascii="Times New Roman" w:hAnsi="Times New Roman"/>
              <w:sz w:val="24"/>
              <w:szCs w:val="24"/>
            </w:rPr>
          </w:pPr>
          <w:r w:rsidRPr="00931DCE">
            <w:rPr>
              <w:rFonts w:ascii="Times New Roman" w:hAnsi="Times New Roman"/>
              <w:sz w:val="24"/>
              <w:szCs w:val="24"/>
            </w:rPr>
            <w:t>N</w:t>
          </w:r>
          <w:r w:rsidR="00DD4C8E" w:rsidRPr="00931DCE">
            <w:rPr>
              <w:rFonts w:ascii="Times New Roman" w:hAnsi="Times New Roman"/>
              <w:sz w:val="24"/>
              <w:szCs w:val="24"/>
            </w:rPr>
            <w:t xml:space="preserve">o se realizaron cambios en la estimación de la vida útil ni en el método de depreciación adoptado para la red férrea en servicio. </w:t>
          </w:r>
        </w:p>
        <w:p w14:paraId="1F85CCF1" w14:textId="77777777" w:rsidR="002B4E8C" w:rsidRPr="00931DCE" w:rsidRDefault="002B4E8C" w:rsidP="004A000E">
          <w:pPr>
            <w:spacing w:after="0" w:line="240" w:lineRule="auto"/>
            <w:jc w:val="both"/>
            <w:rPr>
              <w:rFonts w:ascii="Times New Roman" w:hAnsi="Times New Roman"/>
              <w:sz w:val="24"/>
              <w:szCs w:val="24"/>
            </w:rPr>
          </w:pPr>
        </w:p>
        <w:p w14:paraId="681DAFCA" w14:textId="502A757D" w:rsidR="00AD2066" w:rsidRPr="00931DCE" w:rsidRDefault="00AD2066" w:rsidP="004A000E">
          <w:pPr>
            <w:pStyle w:val="Ttulo2"/>
            <w:numPr>
              <w:ilvl w:val="0"/>
              <w:numId w:val="0"/>
            </w:numPr>
            <w:rPr>
              <w:rFonts w:cs="Times New Roman"/>
              <w:szCs w:val="24"/>
            </w:rPr>
          </w:pPr>
          <w:bookmarkStart w:id="42" w:name="_Toc159952385"/>
          <w:r w:rsidRPr="00931DCE">
            <w:rPr>
              <w:rFonts w:cs="Times New Roman"/>
            </w:rPr>
            <w:t>11.1.2. Bienes de uso público en Concesión.</w:t>
          </w:r>
          <w:bookmarkEnd w:id="42"/>
        </w:p>
        <w:p w14:paraId="7E015A25" w14:textId="28EE5E1D" w:rsidR="00DD4C8E" w:rsidRPr="00931DCE" w:rsidRDefault="006F1347" w:rsidP="00DD4C8E">
          <w:pPr>
            <w:pStyle w:val="Prrafodelista"/>
            <w:spacing w:after="0" w:line="240" w:lineRule="auto"/>
            <w:ind w:left="0"/>
            <w:jc w:val="both"/>
            <w:rPr>
              <w:rFonts w:ascii="Times New Roman" w:hAnsi="Times New Roman"/>
              <w:sz w:val="24"/>
              <w:szCs w:val="24"/>
            </w:rPr>
          </w:pPr>
          <w:r>
            <w:rPr>
              <w:rFonts w:ascii="Times New Roman" w:hAnsi="Times New Roman"/>
              <w:sz w:val="24"/>
              <w:szCs w:val="24"/>
            </w:rPr>
            <w:t xml:space="preserve"> </w:t>
          </w:r>
        </w:p>
        <w:p w14:paraId="3D099B6B" w14:textId="6E9C7AEB" w:rsidR="006F1347" w:rsidRDefault="00073C6E" w:rsidP="00DD4C8E">
          <w:pPr>
            <w:pStyle w:val="Prrafodelista"/>
            <w:spacing w:after="0" w:line="240" w:lineRule="auto"/>
            <w:ind w:left="0"/>
            <w:jc w:val="both"/>
            <w:rPr>
              <w:rFonts w:ascii="Times New Roman" w:hAnsi="Times New Roman"/>
              <w:sz w:val="24"/>
              <w:szCs w:val="24"/>
            </w:rPr>
          </w:pPr>
          <w:r>
            <w:rPr>
              <w:rFonts w:ascii="Times New Roman" w:hAnsi="Times New Roman"/>
              <w:sz w:val="24"/>
              <w:szCs w:val="24"/>
            </w:rPr>
            <w:t xml:space="preserve">Las variaciones presentadas en el reconocimiento de los bienes de uso </w:t>
          </w:r>
          <w:r w:rsidR="00417001">
            <w:rPr>
              <w:rFonts w:ascii="Times New Roman" w:hAnsi="Times New Roman"/>
              <w:sz w:val="24"/>
              <w:szCs w:val="24"/>
            </w:rPr>
            <w:t>público</w:t>
          </w:r>
          <w:r>
            <w:rPr>
              <w:rFonts w:ascii="Times New Roman" w:hAnsi="Times New Roman"/>
              <w:sz w:val="24"/>
              <w:szCs w:val="24"/>
            </w:rPr>
            <w:t xml:space="preserve"> obedecen a dife</w:t>
          </w:r>
          <w:r w:rsidR="0080657A">
            <w:rPr>
              <w:rFonts w:ascii="Times New Roman" w:hAnsi="Times New Roman"/>
              <w:sz w:val="24"/>
              <w:szCs w:val="24"/>
            </w:rPr>
            <w:t>ren</w:t>
          </w:r>
          <w:r>
            <w:rPr>
              <w:rFonts w:ascii="Times New Roman" w:hAnsi="Times New Roman"/>
              <w:sz w:val="24"/>
              <w:szCs w:val="24"/>
            </w:rPr>
            <w:t xml:space="preserve">tes </w:t>
          </w:r>
          <w:r w:rsidR="0080657A">
            <w:rPr>
              <w:rFonts w:ascii="Times New Roman" w:hAnsi="Times New Roman"/>
              <w:sz w:val="24"/>
              <w:szCs w:val="24"/>
            </w:rPr>
            <w:t>orígenes</w:t>
          </w:r>
          <w:r>
            <w:rPr>
              <w:rFonts w:ascii="Times New Roman" w:hAnsi="Times New Roman"/>
              <w:sz w:val="24"/>
              <w:szCs w:val="24"/>
            </w:rPr>
            <w:t xml:space="preserve"> como son: la</w:t>
          </w:r>
          <w:r w:rsidR="0080657A">
            <w:rPr>
              <w:rFonts w:ascii="Times New Roman" w:hAnsi="Times New Roman"/>
              <w:sz w:val="24"/>
              <w:szCs w:val="24"/>
            </w:rPr>
            <w:t xml:space="preserve"> actualización de inversiones reportadas por los concesionarios, la incorporación de </w:t>
          </w:r>
          <w:r w:rsidR="00FF189B">
            <w:rPr>
              <w:rFonts w:ascii="Times New Roman" w:hAnsi="Times New Roman"/>
              <w:sz w:val="24"/>
              <w:szCs w:val="24"/>
            </w:rPr>
            <w:t xml:space="preserve">los activos entregados al inicio de los acuerdos de concesión y que son trasladados a la ANI por las entidades titulares, la </w:t>
          </w:r>
          <w:r w:rsidR="00805DA0">
            <w:rPr>
              <w:rFonts w:ascii="Times New Roman" w:hAnsi="Times New Roman"/>
              <w:sz w:val="24"/>
              <w:szCs w:val="24"/>
            </w:rPr>
            <w:t>m</w:t>
          </w:r>
          <w:r w:rsidR="00FF189B">
            <w:rPr>
              <w:rFonts w:ascii="Times New Roman" w:hAnsi="Times New Roman"/>
              <w:sz w:val="24"/>
              <w:szCs w:val="24"/>
            </w:rPr>
            <w:t>aterialización de riesgos</w:t>
          </w:r>
          <w:r w:rsidR="00805DA0">
            <w:rPr>
              <w:rFonts w:ascii="Times New Roman" w:hAnsi="Times New Roman"/>
              <w:sz w:val="24"/>
              <w:szCs w:val="24"/>
            </w:rPr>
            <w:t xml:space="preserve">, entre otros. </w:t>
          </w:r>
        </w:p>
        <w:p w14:paraId="1CA4987A" w14:textId="77777777" w:rsidR="00805DA0" w:rsidRDefault="00805DA0" w:rsidP="00DD4C8E">
          <w:pPr>
            <w:pStyle w:val="Prrafodelista"/>
            <w:spacing w:after="0" w:line="240" w:lineRule="auto"/>
            <w:ind w:left="0"/>
            <w:jc w:val="both"/>
            <w:rPr>
              <w:rFonts w:ascii="Times New Roman" w:hAnsi="Times New Roman"/>
              <w:sz w:val="24"/>
              <w:szCs w:val="24"/>
            </w:rPr>
          </w:pPr>
        </w:p>
        <w:p w14:paraId="7CCDB4FA" w14:textId="7456B31E" w:rsidR="00805DA0" w:rsidRPr="00931DCE" w:rsidRDefault="00805DA0" w:rsidP="00DD4C8E">
          <w:pPr>
            <w:pStyle w:val="Prrafodelista"/>
            <w:spacing w:after="0" w:line="240" w:lineRule="auto"/>
            <w:ind w:left="0"/>
            <w:jc w:val="both"/>
            <w:rPr>
              <w:rFonts w:ascii="Times New Roman" w:hAnsi="Times New Roman"/>
              <w:sz w:val="24"/>
              <w:szCs w:val="24"/>
            </w:rPr>
          </w:pPr>
          <w:r>
            <w:rPr>
              <w:rFonts w:ascii="Times New Roman" w:hAnsi="Times New Roman"/>
              <w:sz w:val="24"/>
              <w:szCs w:val="24"/>
            </w:rPr>
            <w:t>A continuaci</w:t>
          </w:r>
          <w:r w:rsidR="00417001">
            <w:rPr>
              <w:rFonts w:ascii="Times New Roman" w:hAnsi="Times New Roman"/>
              <w:sz w:val="24"/>
              <w:szCs w:val="24"/>
            </w:rPr>
            <w:t>ó</w:t>
          </w:r>
          <w:r>
            <w:rPr>
              <w:rFonts w:ascii="Times New Roman" w:hAnsi="Times New Roman"/>
              <w:sz w:val="24"/>
              <w:szCs w:val="24"/>
            </w:rPr>
            <w:t xml:space="preserve">n se detallan los </w:t>
          </w:r>
          <w:r w:rsidR="00417001">
            <w:rPr>
              <w:rFonts w:ascii="Times New Roman" w:hAnsi="Times New Roman"/>
              <w:sz w:val="24"/>
              <w:szCs w:val="24"/>
            </w:rPr>
            <w:t xml:space="preserve">movimientos presentados a nivel de terceros por cada modo de concesión: </w:t>
          </w:r>
        </w:p>
        <w:p w14:paraId="14EC33D5" w14:textId="77777777" w:rsidR="00DD4C8E" w:rsidRPr="00931DCE" w:rsidRDefault="00DD4C8E" w:rsidP="00DD4C8E">
          <w:pPr>
            <w:pStyle w:val="Prrafodelista"/>
            <w:spacing w:after="0" w:line="240" w:lineRule="auto"/>
            <w:ind w:left="0"/>
            <w:jc w:val="both"/>
            <w:rPr>
              <w:rFonts w:ascii="Times New Roman" w:hAnsi="Times New Roman"/>
              <w:sz w:val="24"/>
              <w:szCs w:val="24"/>
            </w:rPr>
          </w:pPr>
        </w:p>
        <w:p w14:paraId="1BD91253" w14:textId="70D8562E" w:rsidR="007578C5" w:rsidRPr="00931DCE" w:rsidRDefault="007578C5" w:rsidP="007578C5">
          <w:pPr>
            <w:pStyle w:val="Prrafodelista"/>
            <w:spacing w:after="0" w:line="240" w:lineRule="auto"/>
            <w:ind w:left="0"/>
            <w:jc w:val="both"/>
            <w:rPr>
              <w:rFonts w:ascii="Times New Roman" w:hAnsi="Times New Roman"/>
              <w:sz w:val="24"/>
              <w:szCs w:val="24"/>
            </w:rPr>
          </w:pPr>
          <w:r w:rsidRPr="00931DCE">
            <w:rPr>
              <w:rFonts w:ascii="Times New Roman" w:hAnsi="Times New Roman"/>
              <w:sz w:val="24"/>
              <w:szCs w:val="24"/>
            </w:rPr>
            <w:t xml:space="preserve">Para la red carretera: comprende calzadas, doble calzadas, túneles, puentes y demás infraestructura vial y se actualiza una vez al año, atendiendo lo establecido en las </w:t>
          </w:r>
          <w:r w:rsidRPr="00931DCE">
            <w:rPr>
              <w:rFonts w:ascii="Times New Roman" w:hAnsi="Times New Roman"/>
              <w:i/>
              <w:iCs/>
              <w:sz w:val="24"/>
              <w:szCs w:val="24"/>
            </w:rPr>
            <w:t>Guía de Implementación de Modelos Financieros con Fines Contables.</w:t>
          </w:r>
          <w:r w:rsidRPr="00931DCE">
            <w:rPr>
              <w:rFonts w:ascii="Times New Roman" w:hAnsi="Times New Roman"/>
              <w:sz w:val="24"/>
              <w:szCs w:val="24"/>
            </w:rPr>
            <w:t xml:space="preserve">  Esta guía, hace parte integral </w:t>
          </w:r>
          <w:r w:rsidRPr="00931DCE">
            <w:rPr>
              <w:rFonts w:ascii="Times New Roman" w:hAnsi="Times New Roman"/>
              <w:sz w:val="24"/>
              <w:szCs w:val="24"/>
            </w:rPr>
            <w:lastRenderedPageBreak/>
            <w:t xml:space="preserve">de la política contable de la entidad y en ellas, se determina la metodología para el diligenciamiento de los modelos financieros. </w:t>
          </w:r>
        </w:p>
        <w:p w14:paraId="043DF216" w14:textId="71A0B33F" w:rsidR="00417001" w:rsidRDefault="00417001" w:rsidP="00DD4C8E">
          <w:pPr>
            <w:pStyle w:val="Prrafodelista"/>
            <w:spacing w:after="0" w:line="240" w:lineRule="auto"/>
            <w:ind w:left="0"/>
            <w:jc w:val="both"/>
            <w:rPr>
              <w:rFonts w:ascii="Times New Roman" w:hAnsi="Times New Roman"/>
              <w:sz w:val="24"/>
              <w:szCs w:val="24"/>
            </w:rPr>
          </w:pPr>
        </w:p>
        <w:p w14:paraId="47F12524" w14:textId="77777777" w:rsidR="006840A2" w:rsidRPr="00931DCE" w:rsidRDefault="006840A2" w:rsidP="00DD4C8E">
          <w:pPr>
            <w:pStyle w:val="Prrafodelista"/>
            <w:spacing w:after="0" w:line="240" w:lineRule="auto"/>
            <w:ind w:left="0"/>
            <w:jc w:val="both"/>
            <w:rPr>
              <w:rFonts w:ascii="Times New Roman" w:hAnsi="Times New Roman"/>
              <w:sz w:val="24"/>
              <w:szCs w:val="24"/>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1976"/>
            <w:gridCol w:w="1275"/>
            <w:gridCol w:w="1275"/>
            <w:gridCol w:w="1259"/>
            <w:gridCol w:w="1055"/>
            <w:gridCol w:w="1055"/>
            <w:gridCol w:w="1074"/>
          </w:tblGrid>
          <w:tr w:rsidR="00DE54F2" w:rsidRPr="00751A87" w14:paraId="14329BBA" w14:textId="77777777" w:rsidTr="00DE54F2">
            <w:trPr>
              <w:trHeight w:val="300"/>
            </w:trPr>
            <w:tc>
              <w:tcPr>
                <w:tcW w:w="5000" w:type="pct"/>
                <w:gridSpan w:val="7"/>
                <w:shd w:val="clear" w:color="auto" w:fill="auto"/>
                <w:noWrap/>
                <w:vAlign w:val="center"/>
                <w:hideMark/>
              </w:tcPr>
              <w:p w14:paraId="046E3D4E" w14:textId="77777777" w:rsidR="00DE54F2" w:rsidRPr="00751A87" w:rsidRDefault="00DE54F2" w:rsidP="00DE54F2">
                <w:pPr>
                  <w:spacing w:after="0" w:line="240" w:lineRule="auto"/>
                  <w:jc w:val="center"/>
                  <w:rPr>
                    <w:rFonts w:ascii="Times New Roman" w:eastAsia="Times New Roman" w:hAnsi="Times New Roman"/>
                    <w:b/>
                    <w:bCs/>
                    <w:color w:val="000000"/>
                    <w:sz w:val="14"/>
                    <w:szCs w:val="14"/>
                    <w:lang w:eastAsia="es-CO"/>
                  </w:rPr>
                </w:pPr>
                <w:r w:rsidRPr="00751A87">
                  <w:rPr>
                    <w:rFonts w:ascii="Times New Roman" w:eastAsia="Times New Roman" w:hAnsi="Times New Roman"/>
                    <w:b/>
                    <w:bCs/>
                    <w:color w:val="000000"/>
                    <w:sz w:val="14"/>
                    <w:szCs w:val="14"/>
                    <w:lang w:eastAsia="es-CO"/>
                  </w:rPr>
                  <w:t xml:space="preserve">RED DE CARRETERA EN CONSTRUCCIÓN </w:t>
                </w:r>
              </w:p>
            </w:tc>
          </w:tr>
          <w:tr w:rsidR="00DE54F2" w:rsidRPr="00751A87" w14:paraId="5D2B7501" w14:textId="77777777" w:rsidTr="00DE54F2">
            <w:trPr>
              <w:trHeight w:val="540"/>
            </w:trPr>
            <w:tc>
              <w:tcPr>
                <w:tcW w:w="1101" w:type="pct"/>
                <w:shd w:val="clear" w:color="auto" w:fill="auto"/>
                <w:noWrap/>
                <w:vAlign w:val="center"/>
                <w:hideMark/>
              </w:tcPr>
              <w:p w14:paraId="748CDF7F" w14:textId="77777777" w:rsidR="00DE54F2" w:rsidRPr="00751A87" w:rsidRDefault="00DE54F2" w:rsidP="00DE54F2">
                <w:pPr>
                  <w:spacing w:after="0" w:line="240" w:lineRule="auto"/>
                  <w:rPr>
                    <w:rFonts w:ascii="Times New Roman" w:eastAsia="Times New Roman" w:hAnsi="Times New Roman"/>
                    <w:b/>
                    <w:bCs/>
                    <w:color w:val="000000"/>
                    <w:sz w:val="14"/>
                    <w:szCs w:val="14"/>
                    <w:lang w:eastAsia="es-CO"/>
                  </w:rPr>
                </w:pPr>
                <w:r w:rsidRPr="00751A87">
                  <w:rPr>
                    <w:rFonts w:ascii="Times New Roman" w:eastAsia="Times New Roman" w:hAnsi="Times New Roman"/>
                    <w:b/>
                    <w:bCs/>
                    <w:color w:val="000000"/>
                    <w:sz w:val="14"/>
                    <w:szCs w:val="14"/>
                    <w:lang w:eastAsia="es-CO"/>
                  </w:rPr>
                  <w:t xml:space="preserve"> CONCEPTO </w:t>
                </w:r>
              </w:p>
            </w:tc>
            <w:tc>
              <w:tcPr>
                <w:tcW w:w="711" w:type="pct"/>
                <w:shd w:val="clear" w:color="auto" w:fill="auto"/>
                <w:vAlign w:val="center"/>
                <w:hideMark/>
              </w:tcPr>
              <w:p w14:paraId="5B66FC6D" w14:textId="77777777" w:rsidR="00DE54F2" w:rsidRPr="00751A87" w:rsidRDefault="00DE54F2" w:rsidP="00DE54F2">
                <w:pPr>
                  <w:spacing w:after="0" w:line="240" w:lineRule="auto"/>
                  <w:jc w:val="center"/>
                  <w:rPr>
                    <w:rFonts w:ascii="Times New Roman" w:eastAsia="Times New Roman" w:hAnsi="Times New Roman"/>
                    <w:b/>
                    <w:bCs/>
                    <w:color w:val="000000"/>
                    <w:sz w:val="14"/>
                    <w:szCs w:val="14"/>
                    <w:lang w:eastAsia="es-CO"/>
                  </w:rPr>
                </w:pPr>
                <w:r w:rsidRPr="00751A87">
                  <w:rPr>
                    <w:rFonts w:ascii="Times New Roman" w:eastAsia="Times New Roman" w:hAnsi="Times New Roman"/>
                    <w:b/>
                    <w:bCs/>
                    <w:color w:val="000000"/>
                    <w:sz w:val="14"/>
                    <w:szCs w:val="14"/>
                    <w:lang w:eastAsia="es-CO"/>
                  </w:rPr>
                  <w:t xml:space="preserve"> Actualización Inversión </w:t>
                </w:r>
              </w:p>
            </w:tc>
            <w:tc>
              <w:tcPr>
                <w:tcW w:w="711" w:type="pct"/>
                <w:shd w:val="clear" w:color="auto" w:fill="auto"/>
                <w:vAlign w:val="center"/>
                <w:hideMark/>
              </w:tcPr>
              <w:p w14:paraId="18EED404" w14:textId="77777777" w:rsidR="00DE54F2" w:rsidRPr="00751A87" w:rsidRDefault="00DE54F2" w:rsidP="00DE54F2">
                <w:pPr>
                  <w:spacing w:after="0" w:line="240" w:lineRule="auto"/>
                  <w:jc w:val="center"/>
                  <w:rPr>
                    <w:rFonts w:ascii="Times New Roman" w:eastAsia="Times New Roman" w:hAnsi="Times New Roman"/>
                    <w:b/>
                    <w:bCs/>
                    <w:color w:val="000000"/>
                    <w:sz w:val="14"/>
                    <w:szCs w:val="14"/>
                    <w:lang w:eastAsia="es-CO"/>
                  </w:rPr>
                </w:pPr>
                <w:r w:rsidRPr="00751A87">
                  <w:rPr>
                    <w:rFonts w:ascii="Times New Roman" w:eastAsia="Times New Roman" w:hAnsi="Times New Roman"/>
                    <w:b/>
                    <w:bCs/>
                    <w:color w:val="000000"/>
                    <w:sz w:val="14"/>
                    <w:szCs w:val="14"/>
                    <w:lang w:eastAsia="es-CO"/>
                  </w:rPr>
                  <w:t xml:space="preserve"> Saldos traslados por el INVÍAS </w:t>
                </w:r>
              </w:p>
            </w:tc>
            <w:tc>
              <w:tcPr>
                <w:tcW w:w="702" w:type="pct"/>
                <w:shd w:val="clear" w:color="auto" w:fill="auto"/>
                <w:vAlign w:val="center"/>
                <w:hideMark/>
              </w:tcPr>
              <w:p w14:paraId="1D485EF1" w14:textId="77777777" w:rsidR="00DE54F2" w:rsidRPr="00751A87" w:rsidRDefault="00DE54F2" w:rsidP="00DE54F2">
                <w:pPr>
                  <w:spacing w:after="0" w:line="240" w:lineRule="auto"/>
                  <w:jc w:val="center"/>
                  <w:rPr>
                    <w:rFonts w:ascii="Times New Roman" w:eastAsia="Times New Roman" w:hAnsi="Times New Roman"/>
                    <w:b/>
                    <w:bCs/>
                    <w:color w:val="000000"/>
                    <w:sz w:val="14"/>
                    <w:szCs w:val="14"/>
                    <w:lang w:eastAsia="es-CO"/>
                  </w:rPr>
                </w:pPr>
                <w:r w:rsidRPr="00751A87">
                  <w:rPr>
                    <w:rFonts w:ascii="Times New Roman" w:eastAsia="Times New Roman" w:hAnsi="Times New Roman"/>
                    <w:b/>
                    <w:bCs/>
                    <w:color w:val="000000"/>
                    <w:sz w:val="14"/>
                    <w:szCs w:val="14"/>
                    <w:lang w:eastAsia="es-CO"/>
                  </w:rPr>
                  <w:t xml:space="preserve"> Materialización de riesgos </w:t>
                </w:r>
              </w:p>
            </w:tc>
            <w:tc>
              <w:tcPr>
                <w:tcW w:w="588" w:type="pct"/>
                <w:shd w:val="clear" w:color="auto" w:fill="auto"/>
                <w:noWrap/>
                <w:vAlign w:val="center"/>
                <w:hideMark/>
              </w:tcPr>
              <w:p w14:paraId="7C6F13F2" w14:textId="77777777" w:rsidR="00DE54F2" w:rsidRPr="00751A87" w:rsidRDefault="00DE54F2" w:rsidP="00DE54F2">
                <w:pPr>
                  <w:spacing w:after="0" w:line="240" w:lineRule="auto"/>
                  <w:jc w:val="center"/>
                  <w:rPr>
                    <w:rFonts w:ascii="Times New Roman" w:eastAsia="Times New Roman" w:hAnsi="Times New Roman"/>
                    <w:b/>
                    <w:bCs/>
                    <w:color w:val="000000"/>
                    <w:sz w:val="14"/>
                    <w:szCs w:val="14"/>
                    <w:lang w:eastAsia="es-CO"/>
                  </w:rPr>
                </w:pPr>
                <w:r w:rsidRPr="00751A87">
                  <w:rPr>
                    <w:rFonts w:ascii="Times New Roman" w:eastAsia="Times New Roman" w:hAnsi="Times New Roman"/>
                    <w:b/>
                    <w:bCs/>
                    <w:color w:val="000000"/>
                    <w:sz w:val="14"/>
                    <w:szCs w:val="14"/>
                    <w:lang w:eastAsia="es-CO"/>
                  </w:rPr>
                  <w:t xml:space="preserve"> Obras menores </w:t>
                </w:r>
              </w:p>
            </w:tc>
            <w:tc>
              <w:tcPr>
                <w:tcW w:w="588" w:type="pct"/>
                <w:shd w:val="clear" w:color="auto" w:fill="auto"/>
                <w:vAlign w:val="center"/>
                <w:hideMark/>
              </w:tcPr>
              <w:p w14:paraId="4C5D274B" w14:textId="77777777" w:rsidR="00DE54F2" w:rsidRPr="00751A87" w:rsidRDefault="00DE54F2" w:rsidP="00DE54F2">
                <w:pPr>
                  <w:spacing w:after="0" w:line="240" w:lineRule="auto"/>
                  <w:jc w:val="center"/>
                  <w:rPr>
                    <w:rFonts w:ascii="Times New Roman" w:eastAsia="Times New Roman" w:hAnsi="Times New Roman"/>
                    <w:b/>
                    <w:bCs/>
                    <w:color w:val="000000"/>
                    <w:sz w:val="14"/>
                    <w:szCs w:val="14"/>
                    <w:lang w:eastAsia="es-CO"/>
                  </w:rPr>
                </w:pPr>
                <w:r w:rsidRPr="00751A87">
                  <w:rPr>
                    <w:rFonts w:ascii="Times New Roman" w:eastAsia="Times New Roman" w:hAnsi="Times New Roman"/>
                    <w:b/>
                    <w:bCs/>
                    <w:color w:val="000000"/>
                    <w:sz w:val="14"/>
                    <w:szCs w:val="14"/>
                    <w:lang w:eastAsia="es-CO"/>
                  </w:rPr>
                  <w:t xml:space="preserve"> Saldos traslados por el IDU </w:t>
                </w:r>
              </w:p>
            </w:tc>
            <w:tc>
              <w:tcPr>
                <w:tcW w:w="599" w:type="pct"/>
                <w:shd w:val="clear" w:color="auto" w:fill="auto"/>
                <w:vAlign w:val="center"/>
                <w:hideMark/>
              </w:tcPr>
              <w:p w14:paraId="2CB9562B" w14:textId="77777777" w:rsidR="00DE54F2" w:rsidRPr="00751A87" w:rsidRDefault="00DE54F2" w:rsidP="00DE54F2">
                <w:pPr>
                  <w:spacing w:after="0" w:line="240" w:lineRule="auto"/>
                  <w:jc w:val="center"/>
                  <w:rPr>
                    <w:rFonts w:ascii="Times New Roman" w:eastAsia="Times New Roman" w:hAnsi="Times New Roman"/>
                    <w:b/>
                    <w:bCs/>
                    <w:color w:val="000000"/>
                    <w:sz w:val="14"/>
                    <w:szCs w:val="14"/>
                    <w:lang w:eastAsia="es-CO"/>
                  </w:rPr>
                </w:pPr>
                <w:r w:rsidRPr="00751A87">
                  <w:rPr>
                    <w:rFonts w:ascii="Times New Roman" w:eastAsia="Times New Roman" w:hAnsi="Times New Roman"/>
                    <w:b/>
                    <w:bCs/>
                    <w:color w:val="000000"/>
                    <w:sz w:val="14"/>
                    <w:szCs w:val="14"/>
                    <w:lang w:eastAsia="es-CO"/>
                  </w:rPr>
                  <w:t xml:space="preserve"> Actualización de la deuda </w:t>
                </w:r>
              </w:p>
            </w:tc>
          </w:tr>
          <w:tr w:rsidR="00DE54F2" w:rsidRPr="00751A87" w14:paraId="61F5593B" w14:textId="77777777" w:rsidTr="00DE54F2">
            <w:trPr>
              <w:trHeight w:val="315"/>
            </w:trPr>
            <w:tc>
              <w:tcPr>
                <w:tcW w:w="1101" w:type="pct"/>
                <w:shd w:val="clear" w:color="auto" w:fill="auto"/>
                <w:noWrap/>
                <w:vAlign w:val="center"/>
                <w:hideMark/>
              </w:tcPr>
              <w:p w14:paraId="673488D8" w14:textId="77777777" w:rsidR="00DE54F2" w:rsidRPr="00751A87" w:rsidRDefault="00DE54F2" w:rsidP="00DE54F2">
                <w:pPr>
                  <w:spacing w:after="0" w:line="240" w:lineRule="auto"/>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ACCESOS NORTE DE BOGOTA S.A.S. </w:t>
                </w:r>
              </w:p>
            </w:tc>
            <w:tc>
              <w:tcPr>
                <w:tcW w:w="711" w:type="pct"/>
                <w:shd w:val="clear" w:color="auto" w:fill="auto"/>
                <w:noWrap/>
                <w:vAlign w:val="center"/>
                <w:hideMark/>
              </w:tcPr>
              <w:p w14:paraId="6572AC5F"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78.137.177.492</w:t>
                </w:r>
              </w:p>
            </w:tc>
            <w:tc>
              <w:tcPr>
                <w:tcW w:w="711" w:type="pct"/>
                <w:shd w:val="clear" w:color="auto" w:fill="auto"/>
                <w:noWrap/>
                <w:vAlign w:val="center"/>
                <w:hideMark/>
              </w:tcPr>
              <w:p w14:paraId="7B4B938C"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702" w:type="pct"/>
                <w:shd w:val="clear" w:color="auto" w:fill="auto"/>
                <w:noWrap/>
                <w:vAlign w:val="center"/>
                <w:hideMark/>
              </w:tcPr>
              <w:p w14:paraId="1D68564D"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88" w:type="pct"/>
                <w:shd w:val="clear" w:color="auto" w:fill="auto"/>
                <w:noWrap/>
                <w:vAlign w:val="center"/>
                <w:hideMark/>
              </w:tcPr>
              <w:p w14:paraId="46C385F0"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88" w:type="pct"/>
                <w:shd w:val="clear" w:color="auto" w:fill="auto"/>
                <w:noWrap/>
                <w:vAlign w:val="center"/>
                <w:hideMark/>
              </w:tcPr>
              <w:p w14:paraId="55F62A58"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99" w:type="pct"/>
                <w:shd w:val="clear" w:color="auto" w:fill="auto"/>
                <w:noWrap/>
                <w:vAlign w:val="center"/>
                <w:hideMark/>
              </w:tcPr>
              <w:p w14:paraId="5FC349DC"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r>
          <w:tr w:rsidR="00DE54F2" w:rsidRPr="00751A87" w14:paraId="754F7C63" w14:textId="77777777" w:rsidTr="00DE54F2">
            <w:trPr>
              <w:trHeight w:val="315"/>
            </w:trPr>
            <w:tc>
              <w:tcPr>
                <w:tcW w:w="1101" w:type="pct"/>
                <w:shd w:val="clear" w:color="auto" w:fill="auto"/>
                <w:noWrap/>
                <w:vAlign w:val="center"/>
                <w:hideMark/>
              </w:tcPr>
              <w:p w14:paraId="1C6D243F" w14:textId="77777777" w:rsidR="00DE54F2" w:rsidRPr="00751A87" w:rsidRDefault="00DE54F2" w:rsidP="00DE54F2">
                <w:pPr>
                  <w:spacing w:after="0" w:line="240" w:lineRule="auto"/>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ALO SUR S.A.S </w:t>
                </w:r>
              </w:p>
            </w:tc>
            <w:tc>
              <w:tcPr>
                <w:tcW w:w="711" w:type="pct"/>
                <w:shd w:val="clear" w:color="auto" w:fill="auto"/>
                <w:noWrap/>
                <w:vAlign w:val="center"/>
                <w:hideMark/>
              </w:tcPr>
              <w:p w14:paraId="22144960"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711" w:type="pct"/>
                <w:shd w:val="clear" w:color="auto" w:fill="auto"/>
                <w:noWrap/>
                <w:vAlign w:val="center"/>
                <w:hideMark/>
              </w:tcPr>
              <w:p w14:paraId="7F4F9C19"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702" w:type="pct"/>
                <w:shd w:val="clear" w:color="auto" w:fill="auto"/>
                <w:noWrap/>
                <w:vAlign w:val="center"/>
                <w:hideMark/>
              </w:tcPr>
              <w:p w14:paraId="2C245C13"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88" w:type="pct"/>
                <w:shd w:val="clear" w:color="auto" w:fill="auto"/>
                <w:noWrap/>
                <w:vAlign w:val="center"/>
                <w:hideMark/>
              </w:tcPr>
              <w:p w14:paraId="09ED1B73"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88" w:type="pct"/>
                <w:shd w:val="clear" w:color="auto" w:fill="auto"/>
                <w:noWrap/>
                <w:vAlign w:val="center"/>
                <w:hideMark/>
              </w:tcPr>
              <w:p w14:paraId="6842B662"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12.383.471.223</w:t>
                </w:r>
              </w:p>
            </w:tc>
            <w:tc>
              <w:tcPr>
                <w:tcW w:w="599" w:type="pct"/>
                <w:shd w:val="clear" w:color="auto" w:fill="auto"/>
                <w:noWrap/>
                <w:vAlign w:val="center"/>
                <w:hideMark/>
              </w:tcPr>
              <w:p w14:paraId="625BC2DD"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r>
          <w:tr w:rsidR="00DE54F2" w:rsidRPr="00751A87" w14:paraId="4F384501" w14:textId="77777777" w:rsidTr="00DE54F2">
            <w:trPr>
              <w:trHeight w:val="315"/>
            </w:trPr>
            <w:tc>
              <w:tcPr>
                <w:tcW w:w="1101" w:type="pct"/>
                <w:shd w:val="clear" w:color="auto" w:fill="auto"/>
                <w:noWrap/>
                <w:vAlign w:val="center"/>
                <w:hideMark/>
              </w:tcPr>
              <w:p w14:paraId="0563D595" w14:textId="77777777" w:rsidR="00DE54F2" w:rsidRPr="00751A87" w:rsidRDefault="00DE54F2" w:rsidP="00DE54F2">
                <w:pPr>
                  <w:spacing w:after="0" w:line="240" w:lineRule="auto"/>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APP GICA S.A. </w:t>
                </w:r>
              </w:p>
            </w:tc>
            <w:tc>
              <w:tcPr>
                <w:tcW w:w="711" w:type="pct"/>
                <w:shd w:val="clear" w:color="auto" w:fill="auto"/>
                <w:noWrap/>
                <w:vAlign w:val="center"/>
                <w:hideMark/>
              </w:tcPr>
              <w:p w14:paraId="62057318"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711" w:type="pct"/>
                <w:shd w:val="clear" w:color="auto" w:fill="auto"/>
                <w:noWrap/>
                <w:vAlign w:val="center"/>
                <w:hideMark/>
              </w:tcPr>
              <w:p w14:paraId="061D41E1"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702" w:type="pct"/>
                <w:shd w:val="clear" w:color="auto" w:fill="auto"/>
                <w:noWrap/>
                <w:vAlign w:val="center"/>
                <w:hideMark/>
              </w:tcPr>
              <w:p w14:paraId="2B750644"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88" w:type="pct"/>
                <w:shd w:val="clear" w:color="auto" w:fill="auto"/>
                <w:noWrap/>
                <w:vAlign w:val="center"/>
                <w:hideMark/>
              </w:tcPr>
              <w:p w14:paraId="437E3B04"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88" w:type="pct"/>
                <w:shd w:val="clear" w:color="auto" w:fill="auto"/>
                <w:noWrap/>
                <w:vAlign w:val="center"/>
                <w:hideMark/>
              </w:tcPr>
              <w:p w14:paraId="5CAAD9E6"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99" w:type="pct"/>
                <w:shd w:val="clear" w:color="auto" w:fill="auto"/>
                <w:noWrap/>
                <w:vAlign w:val="center"/>
                <w:hideMark/>
              </w:tcPr>
              <w:p w14:paraId="21763768"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535.903.669</w:t>
                </w:r>
              </w:p>
            </w:tc>
          </w:tr>
          <w:tr w:rsidR="00DE54F2" w:rsidRPr="00751A87" w14:paraId="66986773" w14:textId="77777777" w:rsidTr="00DE54F2">
            <w:trPr>
              <w:trHeight w:val="315"/>
            </w:trPr>
            <w:tc>
              <w:tcPr>
                <w:tcW w:w="1101" w:type="pct"/>
                <w:shd w:val="clear" w:color="auto" w:fill="auto"/>
                <w:noWrap/>
                <w:vAlign w:val="center"/>
                <w:hideMark/>
              </w:tcPr>
              <w:p w14:paraId="3CBC285B" w14:textId="77777777" w:rsidR="00DE54F2" w:rsidRPr="00751A87" w:rsidRDefault="00DE54F2" w:rsidP="00DE54F2">
                <w:pPr>
                  <w:spacing w:after="0" w:line="240" w:lineRule="auto"/>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AUTOPISTA MAGDALENA MEDIO SAS </w:t>
                </w:r>
              </w:p>
            </w:tc>
            <w:tc>
              <w:tcPr>
                <w:tcW w:w="711" w:type="pct"/>
                <w:shd w:val="clear" w:color="auto" w:fill="auto"/>
                <w:noWrap/>
                <w:vAlign w:val="center"/>
                <w:hideMark/>
              </w:tcPr>
              <w:p w14:paraId="1965019A"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45.539.091.013</w:t>
                </w:r>
              </w:p>
            </w:tc>
            <w:tc>
              <w:tcPr>
                <w:tcW w:w="711" w:type="pct"/>
                <w:shd w:val="clear" w:color="auto" w:fill="auto"/>
                <w:noWrap/>
                <w:vAlign w:val="center"/>
                <w:hideMark/>
              </w:tcPr>
              <w:p w14:paraId="52FB42EB"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702" w:type="pct"/>
                <w:shd w:val="clear" w:color="auto" w:fill="auto"/>
                <w:noWrap/>
                <w:vAlign w:val="center"/>
                <w:hideMark/>
              </w:tcPr>
              <w:p w14:paraId="0C430046"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88" w:type="pct"/>
                <w:shd w:val="clear" w:color="auto" w:fill="auto"/>
                <w:noWrap/>
                <w:vAlign w:val="center"/>
                <w:hideMark/>
              </w:tcPr>
              <w:p w14:paraId="016E3B2D"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88" w:type="pct"/>
                <w:shd w:val="clear" w:color="auto" w:fill="auto"/>
                <w:noWrap/>
                <w:vAlign w:val="center"/>
                <w:hideMark/>
              </w:tcPr>
              <w:p w14:paraId="7CE0D43B"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99" w:type="pct"/>
                <w:shd w:val="clear" w:color="auto" w:fill="auto"/>
                <w:noWrap/>
                <w:vAlign w:val="center"/>
                <w:hideMark/>
              </w:tcPr>
              <w:p w14:paraId="583AE60D"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r>
          <w:tr w:rsidR="00DE54F2" w:rsidRPr="00751A87" w14:paraId="132BA0F0" w14:textId="77777777" w:rsidTr="00DE54F2">
            <w:trPr>
              <w:trHeight w:val="315"/>
            </w:trPr>
            <w:tc>
              <w:tcPr>
                <w:tcW w:w="1101" w:type="pct"/>
                <w:shd w:val="clear" w:color="auto" w:fill="auto"/>
                <w:noWrap/>
                <w:vAlign w:val="center"/>
                <w:hideMark/>
              </w:tcPr>
              <w:p w14:paraId="7FC581BD" w14:textId="77777777" w:rsidR="00DE54F2" w:rsidRPr="00751A87" w:rsidRDefault="00DE54F2" w:rsidP="00DE54F2">
                <w:pPr>
                  <w:spacing w:after="0" w:line="240" w:lineRule="auto"/>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AUTOPISTA RIO MAGDALENA S A S </w:t>
                </w:r>
              </w:p>
            </w:tc>
            <w:tc>
              <w:tcPr>
                <w:tcW w:w="711" w:type="pct"/>
                <w:shd w:val="clear" w:color="auto" w:fill="auto"/>
                <w:noWrap/>
                <w:vAlign w:val="center"/>
                <w:hideMark/>
              </w:tcPr>
              <w:p w14:paraId="570F1D21"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217.100.669.796</w:t>
                </w:r>
              </w:p>
            </w:tc>
            <w:tc>
              <w:tcPr>
                <w:tcW w:w="711" w:type="pct"/>
                <w:shd w:val="clear" w:color="auto" w:fill="auto"/>
                <w:noWrap/>
                <w:vAlign w:val="center"/>
                <w:hideMark/>
              </w:tcPr>
              <w:p w14:paraId="79DD635C"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702" w:type="pct"/>
                <w:shd w:val="clear" w:color="auto" w:fill="auto"/>
                <w:noWrap/>
                <w:vAlign w:val="center"/>
                <w:hideMark/>
              </w:tcPr>
              <w:p w14:paraId="3D39C199"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88" w:type="pct"/>
                <w:shd w:val="clear" w:color="auto" w:fill="auto"/>
                <w:noWrap/>
                <w:vAlign w:val="center"/>
                <w:hideMark/>
              </w:tcPr>
              <w:p w14:paraId="6BC4EA1D"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88" w:type="pct"/>
                <w:shd w:val="clear" w:color="auto" w:fill="auto"/>
                <w:noWrap/>
                <w:vAlign w:val="center"/>
                <w:hideMark/>
              </w:tcPr>
              <w:p w14:paraId="7C564B13"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99" w:type="pct"/>
                <w:shd w:val="clear" w:color="auto" w:fill="auto"/>
                <w:noWrap/>
                <w:vAlign w:val="center"/>
                <w:hideMark/>
              </w:tcPr>
              <w:p w14:paraId="158B1184"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r>
          <w:tr w:rsidR="00DE54F2" w:rsidRPr="00751A87" w14:paraId="6D01BA41" w14:textId="77777777" w:rsidTr="00DE54F2">
            <w:trPr>
              <w:trHeight w:val="315"/>
            </w:trPr>
            <w:tc>
              <w:tcPr>
                <w:tcW w:w="1101" w:type="pct"/>
                <w:shd w:val="clear" w:color="auto" w:fill="auto"/>
                <w:noWrap/>
                <w:vAlign w:val="center"/>
                <w:hideMark/>
              </w:tcPr>
              <w:p w14:paraId="0BC9E292" w14:textId="77777777" w:rsidR="00DE54F2" w:rsidRPr="00751A87" w:rsidRDefault="00DE54F2" w:rsidP="00DE54F2">
                <w:pPr>
                  <w:spacing w:after="0" w:line="240" w:lineRule="auto"/>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AUTOPISTAS   URABA   SAS </w:t>
                </w:r>
              </w:p>
            </w:tc>
            <w:tc>
              <w:tcPr>
                <w:tcW w:w="711" w:type="pct"/>
                <w:shd w:val="clear" w:color="auto" w:fill="auto"/>
                <w:noWrap/>
                <w:vAlign w:val="center"/>
                <w:hideMark/>
              </w:tcPr>
              <w:p w14:paraId="5B05A42C"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45.627.105.104</w:t>
                </w:r>
              </w:p>
            </w:tc>
            <w:tc>
              <w:tcPr>
                <w:tcW w:w="711" w:type="pct"/>
                <w:shd w:val="clear" w:color="auto" w:fill="auto"/>
                <w:noWrap/>
                <w:vAlign w:val="center"/>
                <w:hideMark/>
              </w:tcPr>
              <w:p w14:paraId="0278217A"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146.887.043.389</w:t>
                </w:r>
              </w:p>
            </w:tc>
            <w:tc>
              <w:tcPr>
                <w:tcW w:w="702" w:type="pct"/>
                <w:shd w:val="clear" w:color="auto" w:fill="auto"/>
                <w:noWrap/>
                <w:vAlign w:val="center"/>
                <w:hideMark/>
              </w:tcPr>
              <w:p w14:paraId="55A8F19A"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12.322.037.703</w:t>
                </w:r>
              </w:p>
            </w:tc>
            <w:tc>
              <w:tcPr>
                <w:tcW w:w="588" w:type="pct"/>
                <w:shd w:val="clear" w:color="auto" w:fill="auto"/>
                <w:noWrap/>
                <w:vAlign w:val="center"/>
                <w:hideMark/>
              </w:tcPr>
              <w:p w14:paraId="4D498833"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88" w:type="pct"/>
                <w:shd w:val="clear" w:color="auto" w:fill="auto"/>
                <w:noWrap/>
                <w:vAlign w:val="center"/>
                <w:hideMark/>
              </w:tcPr>
              <w:p w14:paraId="18FAE28C"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99" w:type="pct"/>
                <w:shd w:val="clear" w:color="auto" w:fill="auto"/>
                <w:noWrap/>
                <w:vAlign w:val="center"/>
                <w:hideMark/>
              </w:tcPr>
              <w:p w14:paraId="6BD1DC6A"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r>
          <w:tr w:rsidR="00DE54F2" w:rsidRPr="00751A87" w14:paraId="2B944E49" w14:textId="77777777" w:rsidTr="00DE54F2">
            <w:trPr>
              <w:trHeight w:val="315"/>
            </w:trPr>
            <w:tc>
              <w:tcPr>
                <w:tcW w:w="1101" w:type="pct"/>
                <w:shd w:val="clear" w:color="auto" w:fill="auto"/>
                <w:noWrap/>
                <w:vAlign w:val="center"/>
                <w:hideMark/>
              </w:tcPr>
              <w:p w14:paraId="7653313E" w14:textId="77777777" w:rsidR="00DE54F2" w:rsidRPr="00751A87" w:rsidRDefault="00DE54F2" w:rsidP="00DE54F2">
                <w:pPr>
                  <w:spacing w:after="0" w:line="240" w:lineRule="auto"/>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AUTOPISTAS DEL CAFE S.A. </w:t>
                </w:r>
              </w:p>
            </w:tc>
            <w:tc>
              <w:tcPr>
                <w:tcW w:w="711" w:type="pct"/>
                <w:shd w:val="clear" w:color="auto" w:fill="auto"/>
                <w:noWrap/>
                <w:vAlign w:val="center"/>
                <w:hideMark/>
              </w:tcPr>
              <w:p w14:paraId="70950B6F"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711" w:type="pct"/>
                <w:shd w:val="clear" w:color="auto" w:fill="auto"/>
                <w:noWrap/>
                <w:vAlign w:val="center"/>
                <w:hideMark/>
              </w:tcPr>
              <w:p w14:paraId="20E4A187"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35.598.676.353</w:t>
                </w:r>
              </w:p>
            </w:tc>
            <w:tc>
              <w:tcPr>
                <w:tcW w:w="702" w:type="pct"/>
                <w:shd w:val="clear" w:color="auto" w:fill="auto"/>
                <w:noWrap/>
                <w:vAlign w:val="center"/>
                <w:hideMark/>
              </w:tcPr>
              <w:p w14:paraId="7E1589C9"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88" w:type="pct"/>
                <w:shd w:val="clear" w:color="auto" w:fill="auto"/>
                <w:noWrap/>
                <w:vAlign w:val="center"/>
                <w:hideMark/>
              </w:tcPr>
              <w:p w14:paraId="1B53EABE"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88" w:type="pct"/>
                <w:shd w:val="clear" w:color="auto" w:fill="auto"/>
                <w:noWrap/>
                <w:vAlign w:val="center"/>
                <w:hideMark/>
              </w:tcPr>
              <w:p w14:paraId="7D614546"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99" w:type="pct"/>
                <w:shd w:val="clear" w:color="auto" w:fill="auto"/>
                <w:noWrap/>
                <w:vAlign w:val="center"/>
                <w:hideMark/>
              </w:tcPr>
              <w:p w14:paraId="17AB8EDC"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r>
          <w:tr w:rsidR="00DE54F2" w:rsidRPr="00751A87" w14:paraId="2ABCB4B6" w14:textId="77777777" w:rsidTr="00DE54F2">
            <w:trPr>
              <w:trHeight w:val="315"/>
            </w:trPr>
            <w:tc>
              <w:tcPr>
                <w:tcW w:w="1101" w:type="pct"/>
                <w:shd w:val="clear" w:color="auto" w:fill="auto"/>
                <w:noWrap/>
                <w:vAlign w:val="center"/>
                <w:hideMark/>
              </w:tcPr>
              <w:p w14:paraId="738C217B" w14:textId="77777777" w:rsidR="00DE54F2" w:rsidRPr="00751A87" w:rsidRDefault="00DE54F2" w:rsidP="00DE54F2">
                <w:pPr>
                  <w:spacing w:after="0" w:line="240" w:lineRule="auto"/>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AUTOPISTAS DEL NORDESTE S.A.S. </w:t>
                </w:r>
              </w:p>
            </w:tc>
            <w:tc>
              <w:tcPr>
                <w:tcW w:w="711" w:type="pct"/>
                <w:shd w:val="clear" w:color="auto" w:fill="auto"/>
                <w:noWrap/>
                <w:vAlign w:val="center"/>
                <w:hideMark/>
              </w:tcPr>
              <w:p w14:paraId="61ED5927"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44.272.493.309</w:t>
                </w:r>
              </w:p>
            </w:tc>
            <w:tc>
              <w:tcPr>
                <w:tcW w:w="711" w:type="pct"/>
                <w:shd w:val="clear" w:color="auto" w:fill="auto"/>
                <w:noWrap/>
                <w:vAlign w:val="center"/>
                <w:hideMark/>
              </w:tcPr>
              <w:p w14:paraId="6982158A"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702" w:type="pct"/>
                <w:shd w:val="clear" w:color="auto" w:fill="auto"/>
                <w:noWrap/>
                <w:vAlign w:val="center"/>
                <w:hideMark/>
              </w:tcPr>
              <w:p w14:paraId="3E81504F"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3.307.122.411</w:t>
                </w:r>
              </w:p>
            </w:tc>
            <w:tc>
              <w:tcPr>
                <w:tcW w:w="588" w:type="pct"/>
                <w:shd w:val="clear" w:color="auto" w:fill="auto"/>
                <w:noWrap/>
                <w:vAlign w:val="center"/>
                <w:hideMark/>
              </w:tcPr>
              <w:p w14:paraId="01F2C63D"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88" w:type="pct"/>
                <w:shd w:val="clear" w:color="auto" w:fill="auto"/>
                <w:noWrap/>
                <w:vAlign w:val="center"/>
                <w:hideMark/>
              </w:tcPr>
              <w:p w14:paraId="59ABB5FA"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99" w:type="pct"/>
                <w:shd w:val="clear" w:color="auto" w:fill="auto"/>
                <w:noWrap/>
                <w:vAlign w:val="center"/>
                <w:hideMark/>
              </w:tcPr>
              <w:p w14:paraId="2B710AEB"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r>
          <w:tr w:rsidR="00DE54F2" w:rsidRPr="00751A87" w14:paraId="44F4FD58" w14:textId="77777777" w:rsidTr="00DE54F2">
            <w:trPr>
              <w:trHeight w:val="315"/>
            </w:trPr>
            <w:tc>
              <w:tcPr>
                <w:tcW w:w="1101" w:type="pct"/>
                <w:shd w:val="clear" w:color="auto" w:fill="auto"/>
                <w:noWrap/>
                <w:vAlign w:val="center"/>
                <w:hideMark/>
              </w:tcPr>
              <w:p w14:paraId="246D6DB4" w14:textId="77777777" w:rsidR="00DE54F2" w:rsidRPr="00751A87" w:rsidRDefault="00DE54F2" w:rsidP="00DE54F2">
                <w:pPr>
                  <w:spacing w:after="0" w:line="240" w:lineRule="auto"/>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AUTOVIA NEIVA GIRARDOT S.A.S </w:t>
                </w:r>
              </w:p>
            </w:tc>
            <w:tc>
              <w:tcPr>
                <w:tcW w:w="711" w:type="pct"/>
                <w:shd w:val="clear" w:color="auto" w:fill="auto"/>
                <w:noWrap/>
                <w:vAlign w:val="center"/>
                <w:hideMark/>
              </w:tcPr>
              <w:p w14:paraId="15166617"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52.180.110.924</w:t>
                </w:r>
              </w:p>
            </w:tc>
            <w:tc>
              <w:tcPr>
                <w:tcW w:w="711" w:type="pct"/>
                <w:shd w:val="clear" w:color="auto" w:fill="auto"/>
                <w:noWrap/>
                <w:vAlign w:val="center"/>
                <w:hideMark/>
              </w:tcPr>
              <w:p w14:paraId="17572FB7"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702" w:type="pct"/>
                <w:shd w:val="clear" w:color="auto" w:fill="auto"/>
                <w:noWrap/>
                <w:vAlign w:val="center"/>
                <w:hideMark/>
              </w:tcPr>
              <w:p w14:paraId="06CE2B2B"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88" w:type="pct"/>
                <w:shd w:val="clear" w:color="auto" w:fill="auto"/>
                <w:noWrap/>
                <w:vAlign w:val="center"/>
                <w:hideMark/>
              </w:tcPr>
              <w:p w14:paraId="2E5AC021"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88" w:type="pct"/>
                <w:shd w:val="clear" w:color="auto" w:fill="auto"/>
                <w:noWrap/>
                <w:vAlign w:val="center"/>
                <w:hideMark/>
              </w:tcPr>
              <w:p w14:paraId="6A896B9B"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99" w:type="pct"/>
                <w:shd w:val="clear" w:color="auto" w:fill="auto"/>
                <w:noWrap/>
                <w:vAlign w:val="center"/>
                <w:hideMark/>
              </w:tcPr>
              <w:p w14:paraId="34F20D4C"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r>
          <w:tr w:rsidR="00DE54F2" w:rsidRPr="00751A87" w14:paraId="58686026" w14:textId="77777777" w:rsidTr="00DE54F2">
            <w:trPr>
              <w:trHeight w:val="315"/>
            </w:trPr>
            <w:tc>
              <w:tcPr>
                <w:tcW w:w="1101" w:type="pct"/>
                <w:shd w:val="clear" w:color="auto" w:fill="auto"/>
                <w:noWrap/>
                <w:vAlign w:val="center"/>
                <w:hideMark/>
              </w:tcPr>
              <w:p w14:paraId="05A7DF8E" w14:textId="77777777" w:rsidR="00DE54F2" w:rsidRPr="00751A87" w:rsidRDefault="00DE54F2" w:rsidP="00DE54F2">
                <w:pPr>
                  <w:spacing w:after="0" w:line="240" w:lineRule="auto"/>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CONCESIÓN COSTERA CARTAGENA BARRANQUILLA S.A.S. </w:t>
                </w:r>
              </w:p>
            </w:tc>
            <w:tc>
              <w:tcPr>
                <w:tcW w:w="711" w:type="pct"/>
                <w:shd w:val="clear" w:color="auto" w:fill="auto"/>
                <w:noWrap/>
                <w:vAlign w:val="center"/>
                <w:hideMark/>
              </w:tcPr>
              <w:p w14:paraId="1438021C"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711" w:type="pct"/>
                <w:shd w:val="clear" w:color="auto" w:fill="auto"/>
                <w:noWrap/>
                <w:vAlign w:val="center"/>
                <w:hideMark/>
              </w:tcPr>
              <w:p w14:paraId="43B5B680"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1.010.449.866</w:t>
                </w:r>
              </w:p>
            </w:tc>
            <w:tc>
              <w:tcPr>
                <w:tcW w:w="702" w:type="pct"/>
                <w:shd w:val="clear" w:color="auto" w:fill="auto"/>
                <w:noWrap/>
                <w:vAlign w:val="center"/>
                <w:hideMark/>
              </w:tcPr>
              <w:p w14:paraId="2D272D89"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88" w:type="pct"/>
                <w:shd w:val="clear" w:color="auto" w:fill="auto"/>
                <w:noWrap/>
                <w:vAlign w:val="center"/>
                <w:hideMark/>
              </w:tcPr>
              <w:p w14:paraId="530A9CDC"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88" w:type="pct"/>
                <w:shd w:val="clear" w:color="auto" w:fill="auto"/>
                <w:noWrap/>
                <w:vAlign w:val="center"/>
                <w:hideMark/>
              </w:tcPr>
              <w:p w14:paraId="593097AF"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99" w:type="pct"/>
                <w:shd w:val="clear" w:color="auto" w:fill="auto"/>
                <w:noWrap/>
                <w:vAlign w:val="center"/>
                <w:hideMark/>
              </w:tcPr>
              <w:p w14:paraId="383806C4"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r>
          <w:tr w:rsidR="00DE54F2" w:rsidRPr="00751A87" w14:paraId="051544F2" w14:textId="77777777" w:rsidTr="00DE54F2">
            <w:trPr>
              <w:trHeight w:val="315"/>
            </w:trPr>
            <w:tc>
              <w:tcPr>
                <w:tcW w:w="1101" w:type="pct"/>
                <w:shd w:val="clear" w:color="auto" w:fill="auto"/>
                <w:noWrap/>
                <w:vAlign w:val="center"/>
                <w:hideMark/>
              </w:tcPr>
              <w:p w14:paraId="373D6E91" w14:textId="77777777" w:rsidR="00DE54F2" w:rsidRPr="00751A87" w:rsidRDefault="00DE54F2" w:rsidP="00DE54F2">
                <w:pPr>
                  <w:spacing w:after="0" w:line="240" w:lineRule="auto"/>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CONCESIÓN PACIFICO TRES S.A.S. </w:t>
                </w:r>
              </w:p>
            </w:tc>
            <w:tc>
              <w:tcPr>
                <w:tcW w:w="711" w:type="pct"/>
                <w:shd w:val="clear" w:color="auto" w:fill="auto"/>
                <w:noWrap/>
                <w:vAlign w:val="center"/>
                <w:hideMark/>
              </w:tcPr>
              <w:p w14:paraId="4AC78592"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711" w:type="pct"/>
                <w:shd w:val="clear" w:color="auto" w:fill="auto"/>
                <w:noWrap/>
                <w:vAlign w:val="center"/>
                <w:hideMark/>
              </w:tcPr>
              <w:p w14:paraId="635C0429"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134.354.542.760</w:t>
                </w:r>
              </w:p>
            </w:tc>
            <w:tc>
              <w:tcPr>
                <w:tcW w:w="702" w:type="pct"/>
                <w:shd w:val="clear" w:color="auto" w:fill="auto"/>
                <w:noWrap/>
                <w:vAlign w:val="center"/>
                <w:hideMark/>
              </w:tcPr>
              <w:p w14:paraId="5C1875BB"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28.104.400.599</w:t>
                </w:r>
              </w:p>
            </w:tc>
            <w:tc>
              <w:tcPr>
                <w:tcW w:w="588" w:type="pct"/>
                <w:shd w:val="clear" w:color="auto" w:fill="auto"/>
                <w:noWrap/>
                <w:vAlign w:val="center"/>
                <w:hideMark/>
              </w:tcPr>
              <w:p w14:paraId="316962CC"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88" w:type="pct"/>
                <w:shd w:val="clear" w:color="auto" w:fill="auto"/>
                <w:noWrap/>
                <w:vAlign w:val="center"/>
                <w:hideMark/>
              </w:tcPr>
              <w:p w14:paraId="32FFFA1C"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99" w:type="pct"/>
                <w:shd w:val="clear" w:color="auto" w:fill="auto"/>
                <w:noWrap/>
                <w:vAlign w:val="center"/>
                <w:hideMark/>
              </w:tcPr>
              <w:p w14:paraId="212AE163"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r>
          <w:tr w:rsidR="00DE54F2" w:rsidRPr="00751A87" w14:paraId="356F4977" w14:textId="77777777" w:rsidTr="00DE54F2">
            <w:trPr>
              <w:trHeight w:val="315"/>
            </w:trPr>
            <w:tc>
              <w:tcPr>
                <w:tcW w:w="1101" w:type="pct"/>
                <w:shd w:val="clear" w:color="auto" w:fill="auto"/>
                <w:noWrap/>
                <w:vAlign w:val="center"/>
                <w:hideMark/>
              </w:tcPr>
              <w:p w14:paraId="1C02B150" w14:textId="77777777" w:rsidR="00DE54F2" w:rsidRPr="00751A87" w:rsidRDefault="00DE54F2" w:rsidP="00DE54F2">
                <w:pPr>
                  <w:spacing w:after="0" w:line="240" w:lineRule="auto"/>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CONCESIÒN RUTA AL MAR S.A.S. </w:t>
                </w:r>
              </w:p>
            </w:tc>
            <w:tc>
              <w:tcPr>
                <w:tcW w:w="711" w:type="pct"/>
                <w:shd w:val="clear" w:color="auto" w:fill="auto"/>
                <w:noWrap/>
                <w:vAlign w:val="center"/>
                <w:hideMark/>
              </w:tcPr>
              <w:p w14:paraId="2E5902C9"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89.672.856.962</w:t>
                </w:r>
              </w:p>
            </w:tc>
            <w:tc>
              <w:tcPr>
                <w:tcW w:w="711" w:type="pct"/>
                <w:shd w:val="clear" w:color="auto" w:fill="auto"/>
                <w:noWrap/>
                <w:vAlign w:val="center"/>
                <w:hideMark/>
              </w:tcPr>
              <w:p w14:paraId="27CC9FC1"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125.300.378.808</w:t>
                </w:r>
              </w:p>
            </w:tc>
            <w:tc>
              <w:tcPr>
                <w:tcW w:w="702" w:type="pct"/>
                <w:shd w:val="clear" w:color="auto" w:fill="auto"/>
                <w:noWrap/>
                <w:vAlign w:val="center"/>
                <w:hideMark/>
              </w:tcPr>
              <w:p w14:paraId="70197492"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88" w:type="pct"/>
                <w:shd w:val="clear" w:color="auto" w:fill="auto"/>
                <w:noWrap/>
                <w:vAlign w:val="center"/>
                <w:hideMark/>
              </w:tcPr>
              <w:p w14:paraId="1B99ED7E"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88" w:type="pct"/>
                <w:shd w:val="clear" w:color="auto" w:fill="auto"/>
                <w:noWrap/>
                <w:vAlign w:val="center"/>
                <w:hideMark/>
              </w:tcPr>
              <w:p w14:paraId="7B38B657"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99" w:type="pct"/>
                <w:shd w:val="clear" w:color="auto" w:fill="auto"/>
                <w:noWrap/>
                <w:vAlign w:val="center"/>
                <w:hideMark/>
              </w:tcPr>
              <w:p w14:paraId="49B810F4"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r>
          <w:tr w:rsidR="00DE54F2" w:rsidRPr="00751A87" w14:paraId="24ACDB59" w14:textId="77777777" w:rsidTr="00DE54F2">
            <w:trPr>
              <w:trHeight w:val="315"/>
            </w:trPr>
            <w:tc>
              <w:tcPr>
                <w:tcW w:w="1101" w:type="pct"/>
                <w:shd w:val="clear" w:color="auto" w:fill="auto"/>
                <w:noWrap/>
                <w:vAlign w:val="center"/>
                <w:hideMark/>
              </w:tcPr>
              <w:p w14:paraId="0962387E" w14:textId="77777777" w:rsidR="00DE54F2" w:rsidRPr="00751A87" w:rsidRDefault="00DE54F2" w:rsidP="00DE54F2">
                <w:pPr>
                  <w:spacing w:after="0" w:line="240" w:lineRule="auto"/>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CONCESION TRANSVERSAL DEL SISGA S.A.S </w:t>
                </w:r>
              </w:p>
            </w:tc>
            <w:tc>
              <w:tcPr>
                <w:tcW w:w="711" w:type="pct"/>
                <w:shd w:val="clear" w:color="auto" w:fill="auto"/>
                <w:noWrap/>
                <w:vAlign w:val="center"/>
                <w:hideMark/>
              </w:tcPr>
              <w:p w14:paraId="181E0095"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4.642.475.307</w:t>
                </w:r>
              </w:p>
            </w:tc>
            <w:tc>
              <w:tcPr>
                <w:tcW w:w="711" w:type="pct"/>
                <w:shd w:val="clear" w:color="auto" w:fill="auto"/>
                <w:noWrap/>
                <w:vAlign w:val="center"/>
                <w:hideMark/>
              </w:tcPr>
              <w:p w14:paraId="5209208E"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702" w:type="pct"/>
                <w:shd w:val="clear" w:color="auto" w:fill="auto"/>
                <w:noWrap/>
                <w:vAlign w:val="center"/>
                <w:hideMark/>
              </w:tcPr>
              <w:p w14:paraId="4332CBEA"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88" w:type="pct"/>
                <w:shd w:val="clear" w:color="auto" w:fill="auto"/>
                <w:noWrap/>
                <w:vAlign w:val="center"/>
                <w:hideMark/>
              </w:tcPr>
              <w:p w14:paraId="0EC5B22B"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88" w:type="pct"/>
                <w:shd w:val="clear" w:color="auto" w:fill="auto"/>
                <w:noWrap/>
                <w:vAlign w:val="center"/>
                <w:hideMark/>
              </w:tcPr>
              <w:p w14:paraId="5150CD26"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99" w:type="pct"/>
                <w:shd w:val="clear" w:color="auto" w:fill="auto"/>
                <w:noWrap/>
                <w:vAlign w:val="center"/>
                <w:hideMark/>
              </w:tcPr>
              <w:p w14:paraId="23DB071E"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r>
          <w:tr w:rsidR="00DE54F2" w:rsidRPr="00751A87" w14:paraId="45FDECEE" w14:textId="77777777" w:rsidTr="00DE54F2">
            <w:trPr>
              <w:trHeight w:val="315"/>
            </w:trPr>
            <w:tc>
              <w:tcPr>
                <w:tcW w:w="1101" w:type="pct"/>
                <w:shd w:val="clear" w:color="auto" w:fill="auto"/>
                <w:noWrap/>
                <w:vAlign w:val="center"/>
                <w:hideMark/>
              </w:tcPr>
              <w:p w14:paraId="1667A9D2" w14:textId="77777777" w:rsidR="00DE54F2" w:rsidRPr="00751A87" w:rsidRDefault="00DE54F2" w:rsidP="00DE54F2">
                <w:pPr>
                  <w:spacing w:after="0" w:line="240" w:lineRule="auto"/>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CONCESION VIAL DE LOS LLANOS SAS </w:t>
                </w:r>
              </w:p>
            </w:tc>
            <w:tc>
              <w:tcPr>
                <w:tcW w:w="711" w:type="pct"/>
                <w:shd w:val="clear" w:color="auto" w:fill="auto"/>
                <w:noWrap/>
                <w:vAlign w:val="center"/>
                <w:hideMark/>
              </w:tcPr>
              <w:p w14:paraId="21EA9184"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190.539.583.042</w:t>
                </w:r>
              </w:p>
            </w:tc>
            <w:tc>
              <w:tcPr>
                <w:tcW w:w="711" w:type="pct"/>
                <w:shd w:val="clear" w:color="auto" w:fill="auto"/>
                <w:noWrap/>
                <w:vAlign w:val="center"/>
                <w:hideMark/>
              </w:tcPr>
              <w:p w14:paraId="3EDD3F95"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702" w:type="pct"/>
                <w:shd w:val="clear" w:color="auto" w:fill="auto"/>
                <w:noWrap/>
                <w:vAlign w:val="center"/>
                <w:hideMark/>
              </w:tcPr>
              <w:p w14:paraId="48DD0DAC"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88" w:type="pct"/>
                <w:shd w:val="clear" w:color="auto" w:fill="auto"/>
                <w:noWrap/>
                <w:vAlign w:val="center"/>
                <w:hideMark/>
              </w:tcPr>
              <w:p w14:paraId="63625174"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88" w:type="pct"/>
                <w:shd w:val="clear" w:color="auto" w:fill="auto"/>
                <w:noWrap/>
                <w:vAlign w:val="center"/>
                <w:hideMark/>
              </w:tcPr>
              <w:p w14:paraId="4DDBC467"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99" w:type="pct"/>
                <w:shd w:val="clear" w:color="auto" w:fill="auto"/>
                <w:noWrap/>
                <w:vAlign w:val="center"/>
                <w:hideMark/>
              </w:tcPr>
              <w:p w14:paraId="030A8787"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r>
          <w:tr w:rsidR="00DE54F2" w:rsidRPr="00751A87" w14:paraId="34758A74" w14:textId="77777777" w:rsidTr="00DE54F2">
            <w:trPr>
              <w:trHeight w:val="315"/>
            </w:trPr>
            <w:tc>
              <w:tcPr>
                <w:tcW w:w="1101" w:type="pct"/>
                <w:shd w:val="clear" w:color="auto" w:fill="auto"/>
                <w:noWrap/>
                <w:vAlign w:val="center"/>
                <w:hideMark/>
              </w:tcPr>
              <w:p w14:paraId="39774AB8" w14:textId="77777777" w:rsidR="00DE54F2" w:rsidRPr="00751A87" w:rsidRDefault="00DE54F2" w:rsidP="00DE54F2">
                <w:pPr>
                  <w:spacing w:after="0" w:line="240" w:lineRule="auto"/>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CONCESIONARIA ALTERNATIVAS VIALES S.A.S. </w:t>
                </w:r>
              </w:p>
            </w:tc>
            <w:tc>
              <w:tcPr>
                <w:tcW w:w="711" w:type="pct"/>
                <w:shd w:val="clear" w:color="auto" w:fill="auto"/>
                <w:noWrap/>
                <w:vAlign w:val="center"/>
                <w:hideMark/>
              </w:tcPr>
              <w:p w14:paraId="307A40AC"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199.441.350.000</w:t>
                </w:r>
              </w:p>
            </w:tc>
            <w:tc>
              <w:tcPr>
                <w:tcW w:w="711" w:type="pct"/>
                <w:shd w:val="clear" w:color="auto" w:fill="auto"/>
                <w:noWrap/>
                <w:vAlign w:val="center"/>
                <w:hideMark/>
              </w:tcPr>
              <w:p w14:paraId="5D0FD96E"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702" w:type="pct"/>
                <w:shd w:val="clear" w:color="auto" w:fill="auto"/>
                <w:noWrap/>
                <w:vAlign w:val="center"/>
                <w:hideMark/>
              </w:tcPr>
              <w:p w14:paraId="44152DB9"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88" w:type="pct"/>
                <w:shd w:val="clear" w:color="auto" w:fill="auto"/>
                <w:noWrap/>
                <w:vAlign w:val="center"/>
                <w:hideMark/>
              </w:tcPr>
              <w:p w14:paraId="7B87E719"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88" w:type="pct"/>
                <w:shd w:val="clear" w:color="auto" w:fill="auto"/>
                <w:noWrap/>
                <w:vAlign w:val="center"/>
                <w:hideMark/>
              </w:tcPr>
              <w:p w14:paraId="27B9A292"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99" w:type="pct"/>
                <w:shd w:val="clear" w:color="auto" w:fill="auto"/>
                <w:noWrap/>
                <w:vAlign w:val="center"/>
                <w:hideMark/>
              </w:tcPr>
              <w:p w14:paraId="179E7184"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r>
          <w:tr w:rsidR="00DE54F2" w:rsidRPr="00751A87" w14:paraId="691C9E25" w14:textId="77777777" w:rsidTr="00DE54F2">
            <w:trPr>
              <w:trHeight w:val="315"/>
            </w:trPr>
            <w:tc>
              <w:tcPr>
                <w:tcW w:w="1101" w:type="pct"/>
                <w:shd w:val="clear" w:color="auto" w:fill="auto"/>
                <w:noWrap/>
                <w:vAlign w:val="center"/>
                <w:hideMark/>
              </w:tcPr>
              <w:p w14:paraId="1C4D5225" w14:textId="77777777" w:rsidR="00DE54F2" w:rsidRPr="00751A87" w:rsidRDefault="00DE54F2" w:rsidP="00DE54F2">
                <w:pPr>
                  <w:spacing w:after="0" w:line="240" w:lineRule="auto"/>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CONCESIONARIA RUTA AL SUR S.A.S. </w:t>
                </w:r>
              </w:p>
            </w:tc>
            <w:tc>
              <w:tcPr>
                <w:tcW w:w="711" w:type="pct"/>
                <w:shd w:val="clear" w:color="auto" w:fill="auto"/>
                <w:noWrap/>
                <w:vAlign w:val="center"/>
                <w:hideMark/>
              </w:tcPr>
              <w:p w14:paraId="5D550C4A"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290.841.736.885</w:t>
                </w:r>
              </w:p>
            </w:tc>
            <w:tc>
              <w:tcPr>
                <w:tcW w:w="711" w:type="pct"/>
                <w:shd w:val="clear" w:color="auto" w:fill="auto"/>
                <w:noWrap/>
                <w:vAlign w:val="center"/>
                <w:hideMark/>
              </w:tcPr>
              <w:p w14:paraId="22C54B3A"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702" w:type="pct"/>
                <w:shd w:val="clear" w:color="auto" w:fill="auto"/>
                <w:noWrap/>
                <w:vAlign w:val="center"/>
                <w:hideMark/>
              </w:tcPr>
              <w:p w14:paraId="05E3A978"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88" w:type="pct"/>
                <w:shd w:val="clear" w:color="auto" w:fill="auto"/>
                <w:noWrap/>
                <w:vAlign w:val="center"/>
                <w:hideMark/>
              </w:tcPr>
              <w:p w14:paraId="09E91951"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88" w:type="pct"/>
                <w:shd w:val="clear" w:color="auto" w:fill="auto"/>
                <w:noWrap/>
                <w:vAlign w:val="center"/>
                <w:hideMark/>
              </w:tcPr>
              <w:p w14:paraId="4E7CFF28"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99" w:type="pct"/>
                <w:shd w:val="clear" w:color="auto" w:fill="auto"/>
                <w:noWrap/>
                <w:vAlign w:val="center"/>
                <w:hideMark/>
              </w:tcPr>
              <w:p w14:paraId="2C558D5B"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r>
          <w:tr w:rsidR="00DE54F2" w:rsidRPr="00751A87" w14:paraId="35194C91" w14:textId="77777777" w:rsidTr="00DE54F2">
            <w:trPr>
              <w:trHeight w:val="315"/>
            </w:trPr>
            <w:tc>
              <w:tcPr>
                <w:tcW w:w="1101" w:type="pct"/>
                <w:shd w:val="clear" w:color="auto" w:fill="auto"/>
                <w:noWrap/>
                <w:vAlign w:val="center"/>
                <w:hideMark/>
              </w:tcPr>
              <w:p w14:paraId="09EBD33A" w14:textId="77777777" w:rsidR="00DE54F2" w:rsidRPr="00751A87" w:rsidRDefault="00DE54F2" w:rsidP="00DE54F2">
                <w:pPr>
                  <w:spacing w:after="0" w:line="240" w:lineRule="auto"/>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CONCESIONARIA RUTA DEL CACAO S.A.S. </w:t>
                </w:r>
              </w:p>
            </w:tc>
            <w:tc>
              <w:tcPr>
                <w:tcW w:w="711" w:type="pct"/>
                <w:shd w:val="clear" w:color="auto" w:fill="auto"/>
                <w:noWrap/>
                <w:vAlign w:val="center"/>
                <w:hideMark/>
              </w:tcPr>
              <w:p w14:paraId="37130D1F"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178.325.175.671</w:t>
                </w:r>
              </w:p>
            </w:tc>
            <w:tc>
              <w:tcPr>
                <w:tcW w:w="711" w:type="pct"/>
                <w:shd w:val="clear" w:color="auto" w:fill="auto"/>
                <w:noWrap/>
                <w:vAlign w:val="center"/>
                <w:hideMark/>
              </w:tcPr>
              <w:p w14:paraId="70EB28D0"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702" w:type="pct"/>
                <w:shd w:val="clear" w:color="auto" w:fill="auto"/>
                <w:noWrap/>
                <w:vAlign w:val="center"/>
                <w:hideMark/>
              </w:tcPr>
              <w:p w14:paraId="0889A981"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88" w:type="pct"/>
                <w:shd w:val="clear" w:color="auto" w:fill="auto"/>
                <w:noWrap/>
                <w:vAlign w:val="center"/>
                <w:hideMark/>
              </w:tcPr>
              <w:p w14:paraId="243869BF"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88" w:type="pct"/>
                <w:shd w:val="clear" w:color="auto" w:fill="auto"/>
                <w:noWrap/>
                <w:vAlign w:val="center"/>
                <w:hideMark/>
              </w:tcPr>
              <w:p w14:paraId="233D7A7D"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99" w:type="pct"/>
                <w:shd w:val="clear" w:color="auto" w:fill="auto"/>
                <w:noWrap/>
                <w:vAlign w:val="center"/>
                <w:hideMark/>
              </w:tcPr>
              <w:p w14:paraId="0890C66F"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r>
          <w:tr w:rsidR="00DE54F2" w:rsidRPr="00751A87" w14:paraId="2BDD66B3" w14:textId="77777777" w:rsidTr="00DE54F2">
            <w:trPr>
              <w:trHeight w:val="315"/>
            </w:trPr>
            <w:tc>
              <w:tcPr>
                <w:tcW w:w="1101" w:type="pct"/>
                <w:shd w:val="clear" w:color="auto" w:fill="auto"/>
                <w:noWrap/>
                <w:vAlign w:val="center"/>
                <w:hideMark/>
              </w:tcPr>
              <w:p w14:paraId="269B3204" w14:textId="77777777" w:rsidR="00DE54F2" w:rsidRPr="00751A87" w:rsidRDefault="00DE54F2" w:rsidP="00DE54F2">
                <w:pPr>
                  <w:spacing w:after="0" w:line="240" w:lineRule="auto"/>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CONCESIONARIA RUTAS DEL VALLE S.A.S.  </w:t>
                </w:r>
              </w:p>
            </w:tc>
            <w:tc>
              <w:tcPr>
                <w:tcW w:w="711" w:type="pct"/>
                <w:shd w:val="clear" w:color="auto" w:fill="auto"/>
                <w:noWrap/>
                <w:vAlign w:val="center"/>
                <w:hideMark/>
              </w:tcPr>
              <w:p w14:paraId="2ADA870A"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30.637.098.639</w:t>
                </w:r>
              </w:p>
            </w:tc>
            <w:tc>
              <w:tcPr>
                <w:tcW w:w="711" w:type="pct"/>
                <w:shd w:val="clear" w:color="auto" w:fill="auto"/>
                <w:noWrap/>
                <w:vAlign w:val="center"/>
                <w:hideMark/>
              </w:tcPr>
              <w:p w14:paraId="1C7B5E55"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702" w:type="pct"/>
                <w:shd w:val="clear" w:color="auto" w:fill="auto"/>
                <w:noWrap/>
                <w:vAlign w:val="center"/>
                <w:hideMark/>
              </w:tcPr>
              <w:p w14:paraId="43DE923C"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88" w:type="pct"/>
                <w:shd w:val="clear" w:color="auto" w:fill="auto"/>
                <w:noWrap/>
                <w:vAlign w:val="center"/>
                <w:hideMark/>
              </w:tcPr>
              <w:p w14:paraId="4C9CD9D8"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88" w:type="pct"/>
                <w:shd w:val="clear" w:color="auto" w:fill="auto"/>
                <w:noWrap/>
                <w:vAlign w:val="center"/>
                <w:hideMark/>
              </w:tcPr>
              <w:p w14:paraId="385E0956"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99" w:type="pct"/>
                <w:shd w:val="clear" w:color="auto" w:fill="auto"/>
                <w:noWrap/>
                <w:vAlign w:val="center"/>
                <w:hideMark/>
              </w:tcPr>
              <w:p w14:paraId="0A99083B"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r>
          <w:tr w:rsidR="00DE54F2" w:rsidRPr="00751A87" w14:paraId="7265B9CD" w14:textId="77777777" w:rsidTr="00DE54F2">
            <w:trPr>
              <w:trHeight w:val="315"/>
            </w:trPr>
            <w:tc>
              <w:tcPr>
                <w:tcW w:w="1101" w:type="pct"/>
                <w:shd w:val="clear" w:color="auto" w:fill="auto"/>
                <w:noWrap/>
                <w:vAlign w:val="center"/>
                <w:hideMark/>
              </w:tcPr>
              <w:p w14:paraId="67B99B65" w14:textId="77777777" w:rsidR="00DE54F2" w:rsidRPr="00751A87" w:rsidRDefault="00DE54F2" w:rsidP="00DE54F2">
                <w:pPr>
                  <w:spacing w:after="0" w:line="240" w:lineRule="auto"/>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CONCESIONARIA VIAL ANDINA S A S   </w:t>
                </w:r>
              </w:p>
            </w:tc>
            <w:tc>
              <w:tcPr>
                <w:tcW w:w="711" w:type="pct"/>
                <w:shd w:val="clear" w:color="auto" w:fill="auto"/>
                <w:noWrap/>
                <w:vAlign w:val="center"/>
                <w:hideMark/>
              </w:tcPr>
              <w:p w14:paraId="568B5EA3"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18.833.242.181</w:t>
                </w:r>
              </w:p>
            </w:tc>
            <w:tc>
              <w:tcPr>
                <w:tcW w:w="711" w:type="pct"/>
                <w:shd w:val="clear" w:color="auto" w:fill="auto"/>
                <w:noWrap/>
                <w:vAlign w:val="center"/>
                <w:hideMark/>
              </w:tcPr>
              <w:p w14:paraId="3BBA711A"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663.268.422.225</w:t>
                </w:r>
              </w:p>
            </w:tc>
            <w:tc>
              <w:tcPr>
                <w:tcW w:w="702" w:type="pct"/>
                <w:shd w:val="clear" w:color="auto" w:fill="auto"/>
                <w:noWrap/>
                <w:vAlign w:val="center"/>
                <w:hideMark/>
              </w:tcPr>
              <w:p w14:paraId="7A91BCC5"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8.774.259.550</w:t>
                </w:r>
              </w:p>
            </w:tc>
            <w:tc>
              <w:tcPr>
                <w:tcW w:w="588" w:type="pct"/>
                <w:shd w:val="clear" w:color="auto" w:fill="auto"/>
                <w:noWrap/>
                <w:vAlign w:val="center"/>
                <w:hideMark/>
              </w:tcPr>
              <w:p w14:paraId="4403D8F6"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3.971.425.779</w:t>
                </w:r>
              </w:p>
            </w:tc>
            <w:tc>
              <w:tcPr>
                <w:tcW w:w="588" w:type="pct"/>
                <w:shd w:val="clear" w:color="auto" w:fill="auto"/>
                <w:noWrap/>
                <w:vAlign w:val="center"/>
                <w:hideMark/>
              </w:tcPr>
              <w:p w14:paraId="62A737E5"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99" w:type="pct"/>
                <w:shd w:val="clear" w:color="auto" w:fill="auto"/>
                <w:noWrap/>
                <w:vAlign w:val="center"/>
                <w:hideMark/>
              </w:tcPr>
              <w:p w14:paraId="441846ED"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11.746.081.676</w:t>
                </w:r>
              </w:p>
            </w:tc>
          </w:tr>
          <w:tr w:rsidR="00DE54F2" w:rsidRPr="00751A87" w14:paraId="32C14B4A" w14:textId="77777777" w:rsidTr="00DE54F2">
            <w:trPr>
              <w:trHeight w:val="315"/>
            </w:trPr>
            <w:tc>
              <w:tcPr>
                <w:tcW w:w="1101" w:type="pct"/>
                <w:shd w:val="clear" w:color="auto" w:fill="auto"/>
                <w:noWrap/>
                <w:vAlign w:val="center"/>
                <w:hideMark/>
              </w:tcPr>
              <w:p w14:paraId="4395E728" w14:textId="77777777" w:rsidR="00DE54F2" w:rsidRPr="00751A87" w:rsidRDefault="00DE54F2" w:rsidP="00DE54F2">
                <w:pPr>
                  <w:spacing w:after="0" w:line="240" w:lineRule="auto"/>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CONCESIONARIA VIAL DEL ORIENTE S A S </w:t>
                </w:r>
              </w:p>
            </w:tc>
            <w:tc>
              <w:tcPr>
                <w:tcW w:w="711" w:type="pct"/>
                <w:shd w:val="clear" w:color="auto" w:fill="auto"/>
                <w:noWrap/>
                <w:vAlign w:val="center"/>
                <w:hideMark/>
              </w:tcPr>
              <w:p w14:paraId="68D1C2C5"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215.979.280.000</w:t>
                </w:r>
              </w:p>
            </w:tc>
            <w:tc>
              <w:tcPr>
                <w:tcW w:w="711" w:type="pct"/>
                <w:shd w:val="clear" w:color="auto" w:fill="auto"/>
                <w:noWrap/>
                <w:vAlign w:val="center"/>
                <w:hideMark/>
              </w:tcPr>
              <w:p w14:paraId="5229E638"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702" w:type="pct"/>
                <w:shd w:val="clear" w:color="auto" w:fill="auto"/>
                <w:noWrap/>
                <w:vAlign w:val="center"/>
                <w:hideMark/>
              </w:tcPr>
              <w:p w14:paraId="2C71C657"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88" w:type="pct"/>
                <w:shd w:val="clear" w:color="auto" w:fill="auto"/>
                <w:noWrap/>
                <w:vAlign w:val="center"/>
                <w:hideMark/>
              </w:tcPr>
              <w:p w14:paraId="23D2C2D6"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88" w:type="pct"/>
                <w:shd w:val="clear" w:color="auto" w:fill="auto"/>
                <w:noWrap/>
                <w:vAlign w:val="center"/>
                <w:hideMark/>
              </w:tcPr>
              <w:p w14:paraId="67894D4D"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99" w:type="pct"/>
                <w:shd w:val="clear" w:color="auto" w:fill="auto"/>
                <w:noWrap/>
                <w:vAlign w:val="center"/>
                <w:hideMark/>
              </w:tcPr>
              <w:p w14:paraId="196780B4"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r>
          <w:tr w:rsidR="00DE54F2" w:rsidRPr="00751A87" w14:paraId="6E81ACFB" w14:textId="77777777" w:rsidTr="00DE54F2">
            <w:trPr>
              <w:trHeight w:val="315"/>
            </w:trPr>
            <w:tc>
              <w:tcPr>
                <w:tcW w:w="1101" w:type="pct"/>
                <w:shd w:val="clear" w:color="auto" w:fill="auto"/>
                <w:noWrap/>
                <w:vAlign w:val="center"/>
                <w:hideMark/>
              </w:tcPr>
              <w:p w14:paraId="3C721DD1" w14:textId="77777777" w:rsidR="00DE54F2" w:rsidRPr="00751A87" w:rsidRDefault="00DE54F2" w:rsidP="00DE54F2">
                <w:pPr>
                  <w:spacing w:after="0" w:line="240" w:lineRule="auto"/>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CONCESIONARIA VIAL DEL PACIFICO S A S </w:t>
                </w:r>
              </w:p>
            </w:tc>
            <w:tc>
              <w:tcPr>
                <w:tcW w:w="711" w:type="pct"/>
                <w:shd w:val="clear" w:color="auto" w:fill="auto"/>
                <w:noWrap/>
                <w:vAlign w:val="center"/>
                <w:hideMark/>
              </w:tcPr>
              <w:p w14:paraId="00EE9CCB"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109.062.520.148</w:t>
                </w:r>
              </w:p>
            </w:tc>
            <w:tc>
              <w:tcPr>
                <w:tcW w:w="711" w:type="pct"/>
                <w:shd w:val="clear" w:color="auto" w:fill="auto"/>
                <w:noWrap/>
                <w:vAlign w:val="center"/>
                <w:hideMark/>
              </w:tcPr>
              <w:p w14:paraId="5D01BE42"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108.263.777.226</w:t>
                </w:r>
              </w:p>
            </w:tc>
            <w:tc>
              <w:tcPr>
                <w:tcW w:w="702" w:type="pct"/>
                <w:shd w:val="clear" w:color="auto" w:fill="auto"/>
                <w:noWrap/>
                <w:vAlign w:val="center"/>
                <w:hideMark/>
              </w:tcPr>
              <w:p w14:paraId="26ECD1C1"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60.408.783.455</w:t>
                </w:r>
              </w:p>
            </w:tc>
            <w:tc>
              <w:tcPr>
                <w:tcW w:w="588" w:type="pct"/>
                <w:shd w:val="clear" w:color="auto" w:fill="auto"/>
                <w:noWrap/>
                <w:vAlign w:val="center"/>
                <w:hideMark/>
              </w:tcPr>
              <w:p w14:paraId="6637AE01"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11.903.838.353</w:t>
                </w:r>
              </w:p>
            </w:tc>
            <w:tc>
              <w:tcPr>
                <w:tcW w:w="588" w:type="pct"/>
                <w:shd w:val="clear" w:color="auto" w:fill="auto"/>
                <w:noWrap/>
                <w:vAlign w:val="center"/>
                <w:hideMark/>
              </w:tcPr>
              <w:p w14:paraId="011B54DA"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99" w:type="pct"/>
                <w:shd w:val="clear" w:color="auto" w:fill="auto"/>
                <w:noWrap/>
                <w:vAlign w:val="center"/>
                <w:hideMark/>
              </w:tcPr>
              <w:p w14:paraId="1092E5AC"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r>
          <w:tr w:rsidR="00DE54F2" w:rsidRPr="00751A87" w14:paraId="663C8FAE" w14:textId="77777777" w:rsidTr="00DE54F2">
            <w:trPr>
              <w:trHeight w:val="315"/>
            </w:trPr>
            <w:tc>
              <w:tcPr>
                <w:tcW w:w="1101" w:type="pct"/>
                <w:shd w:val="clear" w:color="auto" w:fill="auto"/>
                <w:noWrap/>
                <w:vAlign w:val="center"/>
                <w:hideMark/>
              </w:tcPr>
              <w:p w14:paraId="7FD6190C" w14:textId="77777777" w:rsidR="00DE54F2" w:rsidRPr="00751A87" w:rsidRDefault="00DE54F2" w:rsidP="00DE54F2">
                <w:pPr>
                  <w:spacing w:after="0" w:line="240" w:lineRule="auto"/>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CONCESIONARIA VIAL UNIÓN DEL SUR S.A.S. </w:t>
                </w:r>
              </w:p>
            </w:tc>
            <w:tc>
              <w:tcPr>
                <w:tcW w:w="711" w:type="pct"/>
                <w:shd w:val="clear" w:color="auto" w:fill="auto"/>
                <w:noWrap/>
                <w:vAlign w:val="center"/>
                <w:hideMark/>
              </w:tcPr>
              <w:p w14:paraId="538BCD55"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711" w:type="pct"/>
                <w:shd w:val="clear" w:color="auto" w:fill="auto"/>
                <w:noWrap/>
                <w:vAlign w:val="center"/>
                <w:hideMark/>
              </w:tcPr>
              <w:p w14:paraId="355105FA"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702" w:type="pct"/>
                <w:shd w:val="clear" w:color="auto" w:fill="auto"/>
                <w:noWrap/>
                <w:vAlign w:val="center"/>
                <w:hideMark/>
              </w:tcPr>
              <w:p w14:paraId="005F2855"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10.103.778.589</w:t>
                </w:r>
              </w:p>
            </w:tc>
            <w:tc>
              <w:tcPr>
                <w:tcW w:w="588" w:type="pct"/>
                <w:shd w:val="clear" w:color="auto" w:fill="auto"/>
                <w:noWrap/>
                <w:vAlign w:val="center"/>
                <w:hideMark/>
              </w:tcPr>
              <w:p w14:paraId="5D9AF68E"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88" w:type="pct"/>
                <w:shd w:val="clear" w:color="auto" w:fill="auto"/>
                <w:noWrap/>
                <w:vAlign w:val="center"/>
                <w:hideMark/>
              </w:tcPr>
              <w:p w14:paraId="1CF18FD7"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99" w:type="pct"/>
                <w:shd w:val="clear" w:color="auto" w:fill="auto"/>
                <w:noWrap/>
                <w:vAlign w:val="center"/>
                <w:hideMark/>
              </w:tcPr>
              <w:p w14:paraId="7A27DC55"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r>
          <w:tr w:rsidR="00DE54F2" w:rsidRPr="00751A87" w14:paraId="7FC73C7A" w14:textId="77777777" w:rsidTr="00DE54F2">
            <w:trPr>
              <w:trHeight w:val="315"/>
            </w:trPr>
            <w:tc>
              <w:tcPr>
                <w:tcW w:w="1101" w:type="pct"/>
                <w:shd w:val="clear" w:color="auto" w:fill="auto"/>
                <w:noWrap/>
                <w:vAlign w:val="center"/>
                <w:hideMark/>
              </w:tcPr>
              <w:p w14:paraId="3C60E825" w14:textId="77777777" w:rsidR="00DE54F2" w:rsidRPr="00751A87" w:rsidRDefault="00DE54F2" w:rsidP="00DE54F2">
                <w:pPr>
                  <w:spacing w:after="0" w:line="240" w:lineRule="auto"/>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NUEVO CAUCA S A S </w:t>
                </w:r>
              </w:p>
            </w:tc>
            <w:tc>
              <w:tcPr>
                <w:tcW w:w="711" w:type="pct"/>
                <w:shd w:val="clear" w:color="auto" w:fill="auto"/>
                <w:noWrap/>
                <w:vAlign w:val="center"/>
                <w:hideMark/>
              </w:tcPr>
              <w:p w14:paraId="6CB6966D"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330.120.135.090</w:t>
                </w:r>
              </w:p>
            </w:tc>
            <w:tc>
              <w:tcPr>
                <w:tcW w:w="711" w:type="pct"/>
                <w:shd w:val="clear" w:color="auto" w:fill="auto"/>
                <w:noWrap/>
                <w:vAlign w:val="center"/>
                <w:hideMark/>
              </w:tcPr>
              <w:p w14:paraId="33B5BC46"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702" w:type="pct"/>
                <w:shd w:val="clear" w:color="auto" w:fill="auto"/>
                <w:noWrap/>
                <w:vAlign w:val="center"/>
                <w:hideMark/>
              </w:tcPr>
              <w:p w14:paraId="5E0499D4"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88" w:type="pct"/>
                <w:shd w:val="clear" w:color="auto" w:fill="auto"/>
                <w:noWrap/>
                <w:vAlign w:val="center"/>
                <w:hideMark/>
              </w:tcPr>
              <w:p w14:paraId="718E3008"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88" w:type="pct"/>
                <w:shd w:val="clear" w:color="auto" w:fill="auto"/>
                <w:noWrap/>
                <w:vAlign w:val="center"/>
                <w:hideMark/>
              </w:tcPr>
              <w:p w14:paraId="76D590D3"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99" w:type="pct"/>
                <w:shd w:val="clear" w:color="auto" w:fill="auto"/>
                <w:noWrap/>
                <w:vAlign w:val="center"/>
                <w:hideMark/>
              </w:tcPr>
              <w:p w14:paraId="7A21DA79"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r>
          <w:tr w:rsidR="00DE54F2" w:rsidRPr="00751A87" w14:paraId="66230F2C" w14:textId="77777777" w:rsidTr="00DE54F2">
            <w:trPr>
              <w:trHeight w:val="315"/>
            </w:trPr>
            <w:tc>
              <w:tcPr>
                <w:tcW w:w="1101" w:type="pct"/>
                <w:shd w:val="clear" w:color="auto" w:fill="auto"/>
                <w:noWrap/>
                <w:vAlign w:val="center"/>
                <w:hideMark/>
              </w:tcPr>
              <w:p w14:paraId="19682383" w14:textId="77777777" w:rsidR="00DE54F2" w:rsidRPr="00751A87" w:rsidRDefault="00DE54F2" w:rsidP="00DE54F2">
                <w:pPr>
                  <w:spacing w:after="0" w:line="240" w:lineRule="auto"/>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PERIMETRAL ORIENTAL DE BOGOTA SAS </w:t>
                </w:r>
              </w:p>
            </w:tc>
            <w:tc>
              <w:tcPr>
                <w:tcW w:w="711" w:type="pct"/>
                <w:shd w:val="clear" w:color="auto" w:fill="auto"/>
                <w:noWrap/>
                <w:vAlign w:val="center"/>
                <w:hideMark/>
              </w:tcPr>
              <w:p w14:paraId="4B271090"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711" w:type="pct"/>
                <w:shd w:val="clear" w:color="auto" w:fill="auto"/>
                <w:noWrap/>
                <w:vAlign w:val="center"/>
                <w:hideMark/>
              </w:tcPr>
              <w:p w14:paraId="34B33217"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702" w:type="pct"/>
                <w:shd w:val="clear" w:color="auto" w:fill="auto"/>
                <w:noWrap/>
                <w:vAlign w:val="center"/>
                <w:hideMark/>
              </w:tcPr>
              <w:p w14:paraId="599564A9"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88" w:type="pct"/>
                <w:shd w:val="clear" w:color="auto" w:fill="auto"/>
                <w:noWrap/>
                <w:vAlign w:val="center"/>
                <w:hideMark/>
              </w:tcPr>
              <w:p w14:paraId="53438C19"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105.826.617</w:t>
                </w:r>
              </w:p>
            </w:tc>
            <w:tc>
              <w:tcPr>
                <w:tcW w:w="588" w:type="pct"/>
                <w:shd w:val="clear" w:color="auto" w:fill="auto"/>
                <w:noWrap/>
                <w:vAlign w:val="center"/>
                <w:hideMark/>
              </w:tcPr>
              <w:p w14:paraId="616279B7"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99" w:type="pct"/>
                <w:shd w:val="clear" w:color="auto" w:fill="auto"/>
                <w:noWrap/>
                <w:vAlign w:val="center"/>
                <w:hideMark/>
              </w:tcPr>
              <w:p w14:paraId="19E44B22"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r>
          <w:tr w:rsidR="00DE54F2" w:rsidRPr="00751A87" w14:paraId="2FF78407" w14:textId="77777777" w:rsidTr="00DE54F2">
            <w:trPr>
              <w:trHeight w:val="315"/>
            </w:trPr>
            <w:tc>
              <w:tcPr>
                <w:tcW w:w="1101" w:type="pct"/>
                <w:shd w:val="clear" w:color="auto" w:fill="auto"/>
                <w:noWrap/>
                <w:vAlign w:val="center"/>
                <w:hideMark/>
              </w:tcPr>
              <w:p w14:paraId="6A09F12F" w14:textId="77777777" w:rsidR="00DE54F2" w:rsidRPr="00751A87" w:rsidRDefault="00DE54F2" w:rsidP="00DE54F2">
                <w:pPr>
                  <w:spacing w:after="0" w:line="240" w:lineRule="auto"/>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UNION VIAL RIO PAMPLONITA SAS </w:t>
                </w:r>
              </w:p>
            </w:tc>
            <w:tc>
              <w:tcPr>
                <w:tcW w:w="711" w:type="pct"/>
                <w:shd w:val="clear" w:color="auto" w:fill="auto"/>
                <w:noWrap/>
                <w:vAlign w:val="center"/>
                <w:hideMark/>
              </w:tcPr>
              <w:p w14:paraId="1A768EFD"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380.958.161.669</w:t>
                </w:r>
              </w:p>
            </w:tc>
            <w:tc>
              <w:tcPr>
                <w:tcW w:w="711" w:type="pct"/>
                <w:shd w:val="clear" w:color="auto" w:fill="auto"/>
                <w:noWrap/>
                <w:vAlign w:val="center"/>
                <w:hideMark/>
              </w:tcPr>
              <w:p w14:paraId="51583D80"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702" w:type="pct"/>
                <w:shd w:val="clear" w:color="auto" w:fill="auto"/>
                <w:noWrap/>
                <w:vAlign w:val="center"/>
                <w:hideMark/>
              </w:tcPr>
              <w:p w14:paraId="413C3D2E"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1.881.385.962</w:t>
                </w:r>
              </w:p>
            </w:tc>
            <w:tc>
              <w:tcPr>
                <w:tcW w:w="588" w:type="pct"/>
                <w:shd w:val="clear" w:color="auto" w:fill="auto"/>
                <w:noWrap/>
                <w:vAlign w:val="center"/>
                <w:hideMark/>
              </w:tcPr>
              <w:p w14:paraId="3F03D3D8"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88" w:type="pct"/>
                <w:shd w:val="clear" w:color="auto" w:fill="auto"/>
                <w:noWrap/>
                <w:vAlign w:val="center"/>
                <w:hideMark/>
              </w:tcPr>
              <w:p w14:paraId="10E2DFE9"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99" w:type="pct"/>
                <w:shd w:val="clear" w:color="auto" w:fill="auto"/>
                <w:noWrap/>
                <w:vAlign w:val="center"/>
                <w:hideMark/>
              </w:tcPr>
              <w:p w14:paraId="6AB4AA56"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r>
          <w:tr w:rsidR="00DE54F2" w:rsidRPr="00751A87" w14:paraId="6D2BA76F" w14:textId="77777777" w:rsidTr="00DE54F2">
            <w:trPr>
              <w:trHeight w:val="315"/>
            </w:trPr>
            <w:tc>
              <w:tcPr>
                <w:tcW w:w="1101" w:type="pct"/>
                <w:shd w:val="clear" w:color="auto" w:fill="auto"/>
                <w:noWrap/>
                <w:vAlign w:val="center"/>
                <w:hideMark/>
              </w:tcPr>
              <w:p w14:paraId="4590D1C4" w14:textId="77777777" w:rsidR="00DE54F2" w:rsidRPr="00751A87" w:rsidRDefault="00DE54F2" w:rsidP="00DE54F2">
                <w:pPr>
                  <w:spacing w:after="0" w:line="240" w:lineRule="auto"/>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VÍA 40 EXPRESS S.A.S. </w:t>
                </w:r>
              </w:p>
            </w:tc>
            <w:tc>
              <w:tcPr>
                <w:tcW w:w="711" w:type="pct"/>
                <w:shd w:val="clear" w:color="auto" w:fill="auto"/>
                <w:noWrap/>
                <w:vAlign w:val="center"/>
                <w:hideMark/>
              </w:tcPr>
              <w:p w14:paraId="5FCC2225"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835.971.660.556</w:t>
                </w:r>
              </w:p>
            </w:tc>
            <w:tc>
              <w:tcPr>
                <w:tcW w:w="711" w:type="pct"/>
                <w:shd w:val="clear" w:color="auto" w:fill="auto"/>
                <w:noWrap/>
                <w:vAlign w:val="center"/>
                <w:hideMark/>
              </w:tcPr>
              <w:p w14:paraId="3546CC65"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702" w:type="pct"/>
                <w:shd w:val="clear" w:color="auto" w:fill="auto"/>
                <w:noWrap/>
                <w:vAlign w:val="center"/>
                <w:hideMark/>
              </w:tcPr>
              <w:p w14:paraId="781C0831"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3.274.566.715</w:t>
                </w:r>
              </w:p>
            </w:tc>
            <w:tc>
              <w:tcPr>
                <w:tcW w:w="588" w:type="pct"/>
                <w:shd w:val="clear" w:color="auto" w:fill="auto"/>
                <w:noWrap/>
                <w:vAlign w:val="center"/>
                <w:hideMark/>
              </w:tcPr>
              <w:p w14:paraId="66734745"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88" w:type="pct"/>
                <w:shd w:val="clear" w:color="auto" w:fill="auto"/>
                <w:noWrap/>
                <w:vAlign w:val="center"/>
                <w:hideMark/>
              </w:tcPr>
              <w:p w14:paraId="6F820B7D"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99" w:type="pct"/>
                <w:shd w:val="clear" w:color="auto" w:fill="auto"/>
                <w:noWrap/>
                <w:vAlign w:val="center"/>
                <w:hideMark/>
              </w:tcPr>
              <w:p w14:paraId="6AFFAA0D"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r>
          <w:tr w:rsidR="00DE54F2" w:rsidRPr="00751A87" w14:paraId="26FA190A" w14:textId="77777777" w:rsidTr="00DE54F2">
            <w:trPr>
              <w:trHeight w:val="315"/>
            </w:trPr>
            <w:tc>
              <w:tcPr>
                <w:tcW w:w="1101" w:type="pct"/>
                <w:shd w:val="clear" w:color="auto" w:fill="auto"/>
                <w:noWrap/>
                <w:vAlign w:val="center"/>
                <w:hideMark/>
              </w:tcPr>
              <w:p w14:paraId="3EC35120" w14:textId="77777777" w:rsidR="00DE54F2" w:rsidRPr="00751A87" w:rsidRDefault="00DE54F2" w:rsidP="00DE54F2">
                <w:pPr>
                  <w:spacing w:after="0" w:line="240" w:lineRule="auto"/>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YUMA CONCESIONARIA S A - EN REORGANIZACION </w:t>
                </w:r>
              </w:p>
            </w:tc>
            <w:tc>
              <w:tcPr>
                <w:tcW w:w="711" w:type="pct"/>
                <w:shd w:val="clear" w:color="auto" w:fill="auto"/>
                <w:noWrap/>
                <w:vAlign w:val="center"/>
                <w:hideMark/>
              </w:tcPr>
              <w:p w14:paraId="660BFF95"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560.580.485.870</w:t>
                </w:r>
              </w:p>
            </w:tc>
            <w:tc>
              <w:tcPr>
                <w:tcW w:w="711" w:type="pct"/>
                <w:shd w:val="clear" w:color="auto" w:fill="auto"/>
                <w:noWrap/>
                <w:vAlign w:val="center"/>
                <w:hideMark/>
              </w:tcPr>
              <w:p w14:paraId="7558D17D"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702" w:type="pct"/>
                <w:shd w:val="clear" w:color="auto" w:fill="auto"/>
                <w:noWrap/>
                <w:vAlign w:val="center"/>
                <w:hideMark/>
              </w:tcPr>
              <w:p w14:paraId="6B69AADC"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17.813.886.858</w:t>
                </w:r>
              </w:p>
            </w:tc>
            <w:tc>
              <w:tcPr>
                <w:tcW w:w="588" w:type="pct"/>
                <w:shd w:val="clear" w:color="auto" w:fill="auto"/>
                <w:noWrap/>
                <w:vAlign w:val="center"/>
                <w:hideMark/>
              </w:tcPr>
              <w:p w14:paraId="4FCC9CE7"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88" w:type="pct"/>
                <w:shd w:val="clear" w:color="auto" w:fill="auto"/>
                <w:noWrap/>
                <w:vAlign w:val="center"/>
                <w:hideMark/>
              </w:tcPr>
              <w:p w14:paraId="77AC21CE"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c>
              <w:tcPr>
                <w:tcW w:w="599" w:type="pct"/>
                <w:shd w:val="clear" w:color="auto" w:fill="auto"/>
                <w:noWrap/>
                <w:vAlign w:val="center"/>
                <w:hideMark/>
              </w:tcPr>
              <w:p w14:paraId="2199DE83" w14:textId="77777777" w:rsidR="00DE54F2" w:rsidRPr="00751A87" w:rsidRDefault="00DE54F2" w:rsidP="00DE54F2">
                <w:pPr>
                  <w:spacing w:after="0" w:line="240" w:lineRule="auto"/>
                  <w:jc w:val="right"/>
                  <w:rPr>
                    <w:rFonts w:ascii="Times New Roman" w:eastAsia="Times New Roman" w:hAnsi="Times New Roman"/>
                    <w:color w:val="000000"/>
                    <w:sz w:val="14"/>
                    <w:szCs w:val="14"/>
                    <w:lang w:eastAsia="es-CO"/>
                  </w:rPr>
                </w:pPr>
                <w:r w:rsidRPr="00751A87">
                  <w:rPr>
                    <w:rFonts w:ascii="Times New Roman" w:eastAsia="Times New Roman" w:hAnsi="Times New Roman"/>
                    <w:color w:val="000000"/>
                    <w:sz w:val="14"/>
                    <w:szCs w:val="14"/>
                    <w:lang w:eastAsia="es-CO"/>
                  </w:rPr>
                  <w:t xml:space="preserve">-   </w:t>
                </w:r>
              </w:p>
            </w:tc>
          </w:tr>
          <w:tr w:rsidR="00DE54F2" w:rsidRPr="00751A87" w14:paraId="4628113F" w14:textId="77777777" w:rsidTr="00DE54F2">
            <w:trPr>
              <w:trHeight w:val="315"/>
            </w:trPr>
            <w:tc>
              <w:tcPr>
                <w:tcW w:w="1101" w:type="pct"/>
                <w:shd w:val="clear" w:color="auto" w:fill="auto"/>
                <w:noWrap/>
                <w:vAlign w:val="center"/>
                <w:hideMark/>
              </w:tcPr>
              <w:p w14:paraId="639F591E" w14:textId="77777777" w:rsidR="00DE54F2" w:rsidRPr="00751A87" w:rsidRDefault="00DE54F2" w:rsidP="00DE54F2">
                <w:pPr>
                  <w:spacing w:after="0" w:line="240" w:lineRule="auto"/>
                  <w:rPr>
                    <w:rFonts w:ascii="Times New Roman" w:eastAsia="Times New Roman" w:hAnsi="Times New Roman"/>
                    <w:b/>
                    <w:bCs/>
                    <w:color w:val="000000"/>
                    <w:sz w:val="14"/>
                    <w:szCs w:val="14"/>
                    <w:lang w:eastAsia="es-CO"/>
                  </w:rPr>
                </w:pPr>
                <w:r w:rsidRPr="00751A87">
                  <w:rPr>
                    <w:rFonts w:ascii="Times New Roman" w:eastAsia="Times New Roman" w:hAnsi="Times New Roman"/>
                    <w:b/>
                    <w:bCs/>
                    <w:color w:val="000000"/>
                    <w:sz w:val="14"/>
                    <w:szCs w:val="14"/>
                    <w:lang w:eastAsia="es-CO"/>
                  </w:rPr>
                  <w:t xml:space="preserve">TOTAL </w:t>
                </w:r>
              </w:p>
            </w:tc>
            <w:tc>
              <w:tcPr>
                <w:tcW w:w="711" w:type="pct"/>
                <w:shd w:val="clear" w:color="auto" w:fill="auto"/>
                <w:noWrap/>
                <w:vAlign w:val="center"/>
                <w:hideMark/>
              </w:tcPr>
              <w:p w14:paraId="732AAE7C" w14:textId="77777777" w:rsidR="00DE54F2" w:rsidRPr="00751A87" w:rsidRDefault="00DE54F2" w:rsidP="00DE54F2">
                <w:pPr>
                  <w:spacing w:after="0" w:line="240" w:lineRule="auto"/>
                  <w:jc w:val="right"/>
                  <w:rPr>
                    <w:rFonts w:ascii="Times New Roman" w:eastAsia="Times New Roman" w:hAnsi="Times New Roman"/>
                    <w:b/>
                    <w:bCs/>
                    <w:color w:val="000000"/>
                    <w:sz w:val="14"/>
                    <w:szCs w:val="14"/>
                    <w:lang w:eastAsia="es-CO"/>
                  </w:rPr>
                </w:pPr>
                <w:bookmarkStart w:id="43" w:name="_Hlk159593202"/>
                <w:r w:rsidRPr="00751A87">
                  <w:rPr>
                    <w:rFonts w:ascii="Times New Roman" w:eastAsia="Times New Roman" w:hAnsi="Times New Roman"/>
                    <w:b/>
                    <w:bCs/>
                    <w:color w:val="000000"/>
                    <w:sz w:val="14"/>
                    <w:szCs w:val="14"/>
                    <w:lang w:eastAsia="es-CO"/>
                  </w:rPr>
                  <w:t>3.918.462.409.658</w:t>
                </w:r>
                <w:bookmarkEnd w:id="43"/>
              </w:p>
            </w:tc>
            <w:tc>
              <w:tcPr>
                <w:tcW w:w="711" w:type="pct"/>
                <w:shd w:val="clear" w:color="auto" w:fill="auto"/>
                <w:noWrap/>
                <w:vAlign w:val="center"/>
                <w:hideMark/>
              </w:tcPr>
              <w:p w14:paraId="4774BC0A" w14:textId="77777777" w:rsidR="00DE54F2" w:rsidRPr="00751A87" w:rsidRDefault="00DE54F2" w:rsidP="00DE54F2">
                <w:pPr>
                  <w:spacing w:after="0" w:line="240" w:lineRule="auto"/>
                  <w:jc w:val="right"/>
                  <w:rPr>
                    <w:rFonts w:ascii="Times New Roman" w:eastAsia="Times New Roman" w:hAnsi="Times New Roman"/>
                    <w:b/>
                    <w:bCs/>
                    <w:color w:val="000000"/>
                    <w:sz w:val="14"/>
                    <w:szCs w:val="14"/>
                    <w:lang w:eastAsia="es-CO"/>
                  </w:rPr>
                </w:pPr>
                <w:r w:rsidRPr="00751A87">
                  <w:rPr>
                    <w:rFonts w:ascii="Times New Roman" w:eastAsia="Times New Roman" w:hAnsi="Times New Roman"/>
                    <w:b/>
                    <w:bCs/>
                    <w:color w:val="000000"/>
                    <w:sz w:val="14"/>
                    <w:szCs w:val="14"/>
                    <w:lang w:eastAsia="es-CO"/>
                  </w:rPr>
                  <w:t>1.214.683.290.627</w:t>
                </w:r>
              </w:p>
            </w:tc>
            <w:tc>
              <w:tcPr>
                <w:tcW w:w="702" w:type="pct"/>
                <w:shd w:val="clear" w:color="auto" w:fill="auto"/>
                <w:noWrap/>
                <w:vAlign w:val="center"/>
                <w:hideMark/>
              </w:tcPr>
              <w:p w14:paraId="645EA22C" w14:textId="77777777" w:rsidR="00DE54F2" w:rsidRPr="00751A87" w:rsidRDefault="00DE54F2" w:rsidP="00DE54F2">
                <w:pPr>
                  <w:spacing w:after="0" w:line="240" w:lineRule="auto"/>
                  <w:jc w:val="right"/>
                  <w:rPr>
                    <w:rFonts w:ascii="Times New Roman" w:eastAsia="Times New Roman" w:hAnsi="Times New Roman"/>
                    <w:b/>
                    <w:bCs/>
                    <w:color w:val="000000"/>
                    <w:sz w:val="14"/>
                    <w:szCs w:val="14"/>
                    <w:lang w:eastAsia="es-CO"/>
                  </w:rPr>
                </w:pPr>
                <w:r w:rsidRPr="00751A87">
                  <w:rPr>
                    <w:rFonts w:ascii="Times New Roman" w:eastAsia="Times New Roman" w:hAnsi="Times New Roman"/>
                    <w:b/>
                    <w:bCs/>
                    <w:color w:val="000000"/>
                    <w:sz w:val="14"/>
                    <w:szCs w:val="14"/>
                    <w:lang w:eastAsia="es-CO"/>
                  </w:rPr>
                  <w:t>145.990.221.842</w:t>
                </w:r>
              </w:p>
            </w:tc>
            <w:tc>
              <w:tcPr>
                <w:tcW w:w="588" w:type="pct"/>
                <w:shd w:val="clear" w:color="auto" w:fill="auto"/>
                <w:noWrap/>
                <w:vAlign w:val="center"/>
                <w:hideMark/>
              </w:tcPr>
              <w:p w14:paraId="1D806A52" w14:textId="77777777" w:rsidR="00DE54F2" w:rsidRPr="00751A87" w:rsidRDefault="00DE54F2" w:rsidP="00DE54F2">
                <w:pPr>
                  <w:spacing w:after="0" w:line="240" w:lineRule="auto"/>
                  <w:jc w:val="right"/>
                  <w:rPr>
                    <w:rFonts w:ascii="Times New Roman" w:eastAsia="Times New Roman" w:hAnsi="Times New Roman"/>
                    <w:b/>
                    <w:bCs/>
                    <w:color w:val="000000"/>
                    <w:sz w:val="14"/>
                    <w:szCs w:val="14"/>
                    <w:lang w:eastAsia="es-CO"/>
                  </w:rPr>
                </w:pPr>
                <w:r w:rsidRPr="00751A87">
                  <w:rPr>
                    <w:rFonts w:ascii="Times New Roman" w:eastAsia="Times New Roman" w:hAnsi="Times New Roman"/>
                    <w:b/>
                    <w:bCs/>
                    <w:color w:val="000000"/>
                    <w:sz w:val="14"/>
                    <w:szCs w:val="14"/>
                    <w:lang w:eastAsia="es-CO"/>
                  </w:rPr>
                  <w:t>15.981.090.749</w:t>
                </w:r>
              </w:p>
            </w:tc>
            <w:tc>
              <w:tcPr>
                <w:tcW w:w="588" w:type="pct"/>
                <w:shd w:val="clear" w:color="auto" w:fill="auto"/>
                <w:noWrap/>
                <w:vAlign w:val="center"/>
                <w:hideMark/>
              </w:tcPr>
              <w:p w14:paraId="627B9AB0" w14:textId="77777777" w:rsidR="00DE54F2" w:rsidRPr="00751A87" w:rsidRDefault="00DE54F2" w:rsidP="00DE54F2">
                <w:pPr>
                  <w:spacing w:after="0" w:line="240" w:lineRule="auto"/>
                  <w:jc w:val="right"/>
                  <w:rPr>
                    <w:rFonts w:ascii="Times New Roman" w:eastAsia="Times New Roman" w:hAnsi="Times New Roman"/>
                    <w:b/>
                    <w:bCs/>
                    <w:color w:val="000000"/>
                    <w:sz w:val="14"/>
                    <w:szCs w:val="14"/>
                    <w:lang w:eastAsia="es-CO"/>
                  </w:rPr>
                </w:pPr>
                <w:r w:rsidRPr="00751A87">
                  <w:rPr>
                    <w:rFonts w:ascii="Times New Roman" w:eastAsia="Times New Roman" w:hAnsi="Times New Roman"/>
                    <w:b/>
                    <w:bCs/>
                    <w:color w:val="000000"/>
                    <w:sz w:val="14"/>
                    <w:szCs w:val="14"/>
                    <w:lang w:eastAsia="es-CO"/>
                  </w:rPr>
                  <w:t>12.383.471.223</w:t>
                </w:r>
              </w:p>
            </w:tc>
            <w:tc>
              <w:tcPr>
                <w:tcW w:w="599" w:type="pct"/>
                <w:shd w:val="clear" w:color="auto" w:fill="auto"/>
                <w:noWrap/>
                <w:vAlign w:val="center"/>
                <w:hideMark/>
              </w:tcPr>
              <w:p w14:paraId="3AEA360B" w14:textId="77777777" w:rsidR="00DE54F2" w:rsidRPr="00751A87" w:rsidRDefault="00DE54F2" w:rsidP="00DE54F2">
                <w:pPr>
                  <w:spacing w:after="0" w:line="240" w:lineRule="auto"/>
                  <w:jc w:val="right"/>
                  <w:rPr>
                    <w:rFonts w:ascii="Times New Roman" w:eastAsia="Times New Roman" w:hAnsi="Times New Roman"/>
                    <w:b/>
                    <w:bCs/>
                    <w:color w:val="000000"/>
                    <w:sz w:val="14"/>
                    <w:szCs w:val="14"/>
                    <w:lang w:eastAsia="es-CO"/>
                  </w:rPr>
                </w:pPr>
                <w:r w:rsidRPr="00751A87">
                  <w:rPr>
                    <w:rFonts w:ascii="Times New Roman" w:eastAsia="Times New Roman" w:hAnsi="Times New Roman"/>
                    <w:b/>
                    <w:bCs/>
                    <w:color w:val="000000"/>
                    <w:sz w:val="14"/>
                    <w:szCs w:val="14"/>
                    <w:lang w:eastAsia="es-CO"/>
                  </w:rPr>
                  <w:t>12.281.985.345</w:t>
                </w:r>
              </w:p>
            </w:tc>
          </w:tr>
        </w:tbl>
        <w:p w14:paraId="2E972519" w14:textId="111D52CE" w:rsidR="00DD4C8E" w:rsidRPr="00931DCE" w:rsidRDefault="00DD4C8E" w:rsidP="00DD4C8E">
          <w:pPr>
            <w:pStyle w:val="Prrafodelista"/>
            <w:spacing w:after="0" w:line="240" w:lineRule="auto"/>
            <w:ind w:left="0"/>
            <w:jc w:val="both"/>
            <w:rPr>
              <w:rFonts w:ascii="Times New Roman" w:hAnsi="Times New Roman"/>
              <w:sz w:val="14"/>
              <w:szCs w:val="14"/>
            </w:rPr>
          </w:pPr>
          <w:r w:rsidRPr="00931DCE">
            <w:rPr>
              <w:rFonts w:ascii="Times New Roman" w:hAnsi="Times New Roman"/>
              <w:sz w:val="14"/>
              <w:szCs w:val="14"/>
            </w:rPr>
            <w:t>Cifras en miles de pesos</w:t>
          </w:r>
        </w:p>
        <w:p w14:paraId="40A6C925" w14:textId="77777777" w:rsidR="0088139E" w:rsidRPr="00931DCE" w:rsidRDefault="0088139E" w:rsidP="00DD4C8E">
          <w:pPr>
            <w:pStyle w:val="Prrafodelista"/>
            <w:spacing w:after="0" w:line="240" w:lineRule="auto"/>
            <w:ind w:left="0"/>
            <w:jc w:val="both"/>
            <w:rPr>
              <w:rFonts w:ascii="Times New Roman" w:hAnsi="Times New Roman"/>
              <w:sz w:val="14"/>
              <w:szCs w:val="14"/>
            </w:rPr>
          </w:pP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CellMar>
              <w:left w:w="70" w:type="dxa"/>
              <w:right w:w="70" w:type="dxa"/>
            </w:tblCellMar>
            <w:tblLook w:val="04A0" w:firstRow="1" w:lastRow="0" w:firstColumn="1" w:lastColumn="0" w:noHBand="0" w:noVBand="1"/>
          </w:tblPr>
          <w:tblGrid>
            <w:gridCol w:w="2964"/>
            <w:gridCol w:w="1489"/>
            <w:gridCol w:w="1318"/>
            <w:gridCol w:w="1160"/>
            <w:gridCol w:w="1081"/>
            <w:gridCol w:w="957"/>
          </w:tblGrid>
          <w:tr w:rsidR="00647EC0" w:rsidRPr="00647EC0" w14:paraId="3F012758" w14:textId="77777777" w:rsidTr="00165733">
            <w:trPr>
              <w:trHeight w:val="240"/>
              <w:tblHeader/>
            </w:trPr>
            <w:tc>
              <w:tcPr>
                <w:tcW w:w="0" w:type="auto"/>
                <w:gridSpan w:val="6"/>
                <w:shd w:val="clear" w:color="auto" w:fill="auto"/>
                <w:vAlign w:val="center"/>
                <w:hideMark/>
              </w:tcPr>
              <w:p w14:paraId="12B82F74" w14:textId="77777777" w:rsidR="00647EC0" w:rsidRPr="00647EC0" w:rsidRDefault="00647EC0" w:rsidP="00647EC0">
                <w:pPr>
                  <w:spacing w:after="0" w:line="240" w:lineRule="auto"/>
                  <w:jc w:val="center"/>
                  <w:rPr>
                    <w:rFonts w:ascii="Times New Roman" w:eastAsia="Times New Roman" w:hAnsi="Times New Roman"/>
                    <w:b/>
                    <w:bCs/>
                    <w:color w:val="000000"/>
                    <w:sz w:val="14"/>
                    <w:szCs w:val="14"/>
                    <w:lang w:eastAsia="es-CO"/>
                  </w:rPr>
                </w:pPr>
                <w:r w:rsidRPr="00647EC0">
                  <w:rPr>
                    <w:rFonts w:ascii="Times New Roman" w:eastAsia="Times New Roman" w:hAnsi="Times New Roman"/>
                    <w:b/>
                    <w:bCs/>
                    <w:color w:val="000000"/>
                    <w:sz w:val="14"/>
                    <w:szCs w:val="14"/>
                    <w:lang w:eastAsia="es-CO"/>
                  </w:rPr>
                  <w:lastRenderedPageBreak/>
                  <w:t xml:space="preserve">RED DE CARRETERA EN SERVICIO </w:t>
                </w:r>
              </w:p>
            </w:tc>
          </w:tr>
          <w:tr w:rsidR="00304C2A" w:rsidRPr="00647EC0" w14:paraId="0186C8AE" w14:textId="77777777" w:rsidTr="00165733">
            <w:trPr>
              <w:trHeight w:val="525"/>
              <w:tblHeader/>
            </w:trPr>
            <w:tc>
              <w:tcPr>
                <w:tcW w:w="2965" w:type="dxa"/>
                <w:shd w:val="clear" w:color="auto" w:fill="auto"/>
                <w:noWrap/>
                <w:vAlign w:val="center"/>
                <w:hideMark/>
              </w:tcPr>
              <w:p w14:paraId="2A4F2945" w14:textId="64542696" w:rsidR="00647EC0" w:rsidRPr="00647EC0" w:rsidRDefault="00647EC0" w:rsidP="00647EC0">
                <w:pPr>
                  <w:spacing w:after="0" w:line="240" w:lineRule="auto"/>
                  <w:rPr>
                    <w:rFonts w:ascii="Times New Roman" w:eastAsia="Times New Roman" w:hAnsi="Times New Roman"/>
                    <w:b/>
                    <w:bCs/>
                    <w:color w:val="000000"/>
                    <w:sz w:val="14"/>
                    <w:szCs w:val="14"/>
                    <w:lang w:eastAsia="es-CO"/>
                  </w:rPr>
                </w:pPr>
                <w:r w:rsidRPr="00647EC0">
                  <w:rPr>
                    <w:rFonts w:ascii="Times New Roman" w:eastAsia="Times New Roman" w:hAnsi="Times New Roman"/>
                    <w:b/>
                    <w:bCs/>
                    <w:color w:val="000000"/>
                    <w:sz w:val="14"/>
                    <w:szCs w:val="14"/>
                    <w:lang w:eastAsia="es-CO"/>
                  </w:rPr>
                  <w:t xml:space="preserve">CONCEPTO </w:t>
                </w:r>
              </w:p>
            </w:tc>
            <w:tc>
              <w:tcPr>
                <w:tcW w:w="1490" w:type="dxa"/>
                <w:shd w:val="clear" w:color="auto" w:fill="auto"/>
                <w:vAlign w:val="center"/>
                <w:hideMark/>
              </w:tcPr>
              <w:p w14:paraId="39EF0ECA" w14:textId="77777777" w:rsidR="00647EC0" w:rsidRPr="00647EC0" w:rsidRDefault="00647EC0" w:rsidP="00647EC0">
                <w:pPr>
                  <w:spacing w:after="0" w:line="240" w:lineRule="auto"/>
                  <w:jc w:val="center"/>
                  <w:rPr>
                    <w:rFonts w:ascii="Times New Roman" w:eastAsia="Times New Roman" w:hAnsi="Times New Roman"/>
                    <w:b/>
                    <w:bCs/>
                    <w:color w:val="000000"/>
                    <w:sz w:val="14"/>
                    <w:szCs w:val="14"/>
                    <w:lang w:eastAsia="es-CO"/>
                  </w:rPr>
                </w:pPr>
                <w:r w:rsidRPr="00647EC0">
                  <w:rPr>
                    <w:rFonts w:ascii="Times New Roman" w:eastAsia="Times New Roman" w:hAnsi="Times New Roman"/>
                    <w:b/>
                    <w:bCs/>
                    <w:color w:val="000000"/>
                    <w:sz w:val="14"/>
                    <w:szCs w:val="14"/>
                    <w:lang w:eastAsia="es-CO"/>
                  </w:rPr>
                  <w:t xml:space="preserve"> Saldos traslados por el INVÍAS </w:t>
                </w:r>
              </w:p>
            </w:tc>
            <w:tc>
              <w:tcPr>
                <w:tcW w:w="1319" w:type="dxa"/>
                <w:shd w:val="clear" w:color="auto" w:fill="auto"/>
                <w:vAlign w:val="center"/>
                <w:hideMark/>
              </w:tcPr>
              <w:p w14:paraId="2317233E" w14:textId="77777777" w:rsidR="00647EC0" w:rsidRPr="00647EC0" w:rsidRDefault="00647EC0" w:rsidP="00647EC0">
                <w:pPr>
                  <w:spacing w:after="0" w:line="240" w:lineRule="auto"/>
                  <w:jc w:val="center"/>
                  <w:rPr>
                    <w:rFonts w:ascii="Times New Roman" w:eastAsia="Times New Roman" w:hAnsi="Times New Roman"/>
                    <w:b/>
                    <w:bCs/>
                    <w:color w:val="000000"/>
                    <w:sz w:val="14"/>
                    <w:szCs w:val="14"/>
                    <w:lang w:eastAsia="es-CO"/>
                  </w:rPr>
                </w:pPr>
                <w:r w:rsidRPr="00647EC0">
                  <w:rPr>
                    <w:rFonts w:ascii="Times New Roman" w:eastAsia="Times New Roman" w:hAnsi="Times New Roman"/>
                    <w:b/>
                    <w:bCs/>
                    <w:color w:val="000000"/>
                    <w:sz w:val="14"/>
                    <w:szCs w:val="14"/>
                    <w:lang w:eastAsia="es-CO"/>
                  </w:rPr>
                  <w:t xml:space="preserve"> Actualización Inversión </w:t>
                </w:r>
              </w:p>
            </w:tc>
            <w:tc>
              <w:tcPr>
                <w:tcW w:w="1161" w:type="dxa"/>
                <w:shd w:val="clear" w:color="auto" w:fill="auto"/>
                <w:vAlign w:val="center"/>
                <w:hideMark/>
              </w:tcPr>
              <w:p w14:paraId="49AFBC6B" w14:textId="77777777" w:rsidR="00647EC0" w:rsidRPr="00647EC0" w:rsidRDefault="00647EC0" w:rsidP="00647EC0">
                <w:pPr>
                  <w:spacing w:after="0" w:line="240" w:lineRule="auto"/>
                  <w:jc w:val="center"/>
                  <w:rPr>
                    <w:rFonts w:ascii="Times New Roman" w:eastAsia="Times New Roman" w:hAnsi="Times New Roman"/>
                    <w:b/>
                    <w:bCs/>
                    <w:color w:val="000000"/>
                    <w:sz w:val="14"/>
                    <w:szCs w:val="14"/>
                    <w:lang w:eastAsia="es-CO"/>
                  </w:rPr>
                </w:pPr>
                <w:r w:rsidRPr="00647EC0">
                  <w:rPr>
                    <w:rFonts w:ascii="Times New Roman" w:eastAsia="Times New Roman" w:hAnsi="Times New Roman"/>
                    <w:b/>
                    <w:bCs/>
                    <w:color w:val="000000"/>
                    <w:sz w:val="14"/>
                    <w:szCs w:val="14"/>
                    <w:lang w:eastAsia="es-CO"/>
                  </w:rPr>
                  <w:t xml:space="preserve"> Obras menores </w:t>
                </w:r>
              </w:p>
            </w:tc>
            <w:tc>
              <w:tcPr>
                <w:tcW w:w="1079" w:type="dxa"/>
                <w:shd w:val="clear" w:color="auto" w:fill="auto"/>
                <w:vAlign w:val="center"/>
                <w:hideMark/>
              </w:tcPr>
              <w:p w14:paraId="75DC25DE" w14:textId="77777777" w:rsidR="00647EC0" w:rsidRPr="00647EC0" w:rsidRDefault="00647EC0" w:rsidP="00647EC0">
                <w:pPr>
                  <w:spacing w:after="0" w:line="240" w:lineRule="auto"/>
                  <w:jc w:val="center"/>
                  <w:rPr>
                    <w:rFonts w:ascii="Times New Roman" w:eastAsia="Times New Roman" w:hAnsi="Times New Roman"/>
                    <w:b/>
                    <w:bCs/>
                    <w:color w:val="000000"/>
                    <w:sz w:val="14"/>
                    <w:szCs w:val="14"/>
                    <w:lang w:eastAsia="es-CO"/>
                  </w:rPr>
                </w:pPr>
                <w:r w:rsidRPr="00647EC0">
                  <w:rPr>
                    <w:rFonts w:ascii="Times New Roman" w:eastAsia="Times New Roman" w:hAnsi="Times New Roman"/>
                    <w:b/>
                    <w:bCs/>
                    <w:color w:val="000000"/>
                    <w:sz w:val="14"/>
                    <w:szCs w:val="14"/>
                    <w:lang w:eastAsia="es-CO"/>
                  </w:rPr>
                  <w:t xml:space="preserve"> Materialización de riesgos </w:t>
                </w:r>
              </w:p>
            </w:tc>
            <w:tc>
              <w:tcPr>
                <w:tcW w:w="955" w:type="dxa"/>
                <w:shd w:val="clear" w:color="auto" w:fill="auto"/>
                <w:vAlign w:val="center"/>
                <w:hideMark/>
              </w:tcPr>
              <w:p w14:paraId="19A59D0D" w14:textId="5F545D7A" w:rsidR="00647EC0" w:rsidRPr="00647EC0" w:rsidRDefault="00647EC0" w:rsidP="00647EC0">
                <w:pPr>
                  <w:spacing w:after="0" w:line="240" w:lineRule="auto"/>
                  <w:jc w:val="center"/>
                  <w:rPr>
                    <w:rFonts w:ascii="Times New Roman" w:eastAsia="Times New Roman" w:hAnsi="Times New Roman"/>
                    <w:b/>
                    <w:bCs/>
                    <w:color w:val="000000"/>
                    <w:sz w:val="14"/>
                    <w:szCs w:val="14"/>
                    <w:lang w:eastAsia="es-CO"/>
                  </w:rPr>
                </w:pPr>
                <w:r w:rsidRPr="00647EC0">
                  <w:rPr>
                    <w:rFonts w:ascii="Times New Roman" w:eastAsia="Times New Roman" w:hAnsi="Times New Roman"/>
                    <w:b/>
                    <w:bCs/>
                    <w:color w:val="000000"/>
                    <w:sz w:val="14"/>
                    <w:szCs w:val="14"/>
                    <w:lang w:eastAsia="es-CO"/>
                  </w:rPr>
                  <w:t xml:space="preserve"> Actualización de la deuda </w:t>
                </w:r>
              </w:p>
            </w:tc>
          </w:tr>
          <w:tr w:rsidR="00304C2A" w:rsidRPr="00647EC0" w14:paraId="2FF34B9B" w14:textId="77777777" w:rsidTr="00DE0481">
            <w:trPr>
              <w:trHeight w:val="240"/>
            </w:trPr>
            <w:tc>
              <w:tcPr>
                <w:tcW w:w="2965" w:type="dxa"/>
                <w:shd w:val="clear" w:color="auto" w:fill="auto"/>
                <w:noWrap/>
                <w:vAlign w:val="center"/>
                <w:hideMark/>
              </w:tcPr>
              <w:p w14:paraId="2ACD5D3B" w14:textId="0B59275B" w:rsidR="00647EC0" w:rsidRPr="00647EC0" w:rsidRDefault="00647EC0" w:rsidP="00647EC0">
                <w:pPr>
                  <w:spacing w:after="0" w:line="240" w:lineRule="auto"/>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AUTOPISTAS   URABA   SAS </w:t>
                </w:r>
              </w:p>
            </w:tc>
            <w:tc>
              <w:tcPr>
                <w:tcW w:w="1490" w:type="dxa"/>
                <w:shd w:val="clear" w:color="auto" w:fill="auto"/>
                <w:noWrap/>
                <w:vAlign w:val="center"/>
                <w:hideMark/>
              </w:tcPr>
              <w:p w14:paraId="237E65BF"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            146.887.043.389 </w:t>
                </w:r>
              </w:p>
            </w:tc>
            <w:tc>
              <w:tcPr>
                <w:tcW w:w="1319" w:type="dxa"/>
                <w:shd w:val="clear" w:color="auto" w:fill="auto"/>
                <w:noWrap/>
                <w:vAlign w:val="center"/>
                <w:hideMark/>
              </w:tcPr>
              <w:p w14:paraId="4312100A"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1161" w:type="dxa"/>
                <w:shd w:val="clear" w:color="auto" w:fill="auto"/>
                <w:noWrap/>
                <w:vAlign w:val="center"/>
                <w:hideMark/>
              </w:tcPr>
              <w:p w14:paraId="26FE21F2"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1079" w:type="dxa"/>
                <w:shd w:val="clear" w:color="auto" w:fill="auto"/>
                <w:noWrap/>
                <w:vAlign w:val="center"/>
                <w:hideMark/>
              </w:tcPr>
              <w:p w14:paraId="7E68F5A9"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955" w:type="dxa"/>
                <w:shd w:val="clear" w:color="auto" w:fill="auto"/>
                <w:noWrap/>
                <w:vAlign w:val="center"/>
                <w:hideMark/>
              </w:tcPr>
              <w:p w14:paraId="1BA54FCE"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r>
          <w:tr w:rsidR="00304C2A" w:rsidRPr="00647EC0" w14:paraId="746D4A82" w14:textId="77777777" w:rsidTr="00DE0481">
            <w:trPr>
              <w:trHeight w:val="240"/>
            </w:trPr>
            <w:tc>
              <w:tcPr>
                <w:tcW w:w="2965" w:type="dxa"/>
                <w:shd w:val="clear" w:color="auto" w:fill="auto"/>
                <w:noWrap/>
                <w:vAlign w:val="center"/>
                <w:hideMark/>
              </w:tcPr>
              <w:p w14:paraId="23A854DF" w14:textId="76477FE2" w:rsidR="00647EC0" w:rsidRPr="00647EC0" w:rsidRDefault="00647EC0" w:rsidP="00647EC0">
                <w:pPr>
                  <w:spacing w:after="0" w:line="240" w:lineRule="auto"/>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AUTOPISTAS DE LA SABANA S.A.S </w:t>
                </w:r>
              </w:p>
            </w:tc>
            <w:tc>
              <w:tcPr>
                <w:tcW w:w="1490" w:type="dxa"/>
                <w:shd w:val="clear" w:color="auto" w:fill="auto"/>
                <w:noWrap/>
                <w:vAlign w:val="center"/>
                <w:hideMark/>
              </w:tcPr>
              <w:p w14:paraId="0BCCC781"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                56.198.841.322 </w:t>
                </w:r>
              </w:p>
            </w:tc>
            <w:tc>
              <w:tcPr>
                <w:tcW w:w="1319" w:type="dxa"/>
                <w:shd w:val="clear" w:color="auto" w:fill="auto"/>
                <w:noWrap/>
                <w:vAlign w:val="center"/>
                <w:hideMark/>
              </w:tcPr>
              <w:p w14:paraId="4A0E6732"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             8.794.929.273 </w:t>
                </w:r>
              </w:p>
            </w:tc>
            <w:tc>
              <w:tcPr>
                <w:tcW w:w="1161" w:type="dxa"/>
                <w:shd w:val="clear" w:color="auto" w:fill="auto"/>
                <w:noWrap/>
                <w:vAlign w:val="center"/>
                <w:hideMark/>
              </w:tcPr>
              <w:p w14:paraId="2599C002"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1079" w:type="dxa"/>
                <w:shd w:val="clear" w:color="auto" w:fill="auto"/>
                <w:noWrap/>
                <w:vAlign w:val="center"/>
                <w:hideMark/>
              </w:tcPr>
              <w:p w14:paraId="1667D436"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                  32.574.986 </w:t>
                </w:r>
              </w:p>
            </w:tc>
            <w:tc>
              <w:tcPr>
                <w:tcW w:w="955" w:type="dxa"/>
                <w:shd w:val="clear" w:color="auto" w:fill="auto"/>
                <w:noWrap/>
                <w:vAlign w:val="center"/>
                <w:hideMark/>
              </w:tcPr>
              <w:p w14:paraId="2844DA09"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r>
          <w:tr w:rsidR="00304C2A" w:rsidRPr="00647EC0" w14:paraId="64C693FB" w14:textId="77777777" w:rsidTr="00DE0481">
            <w:trPr>
              <w:trHeight w:val="240"/>
            </w:trPr>
            <w:tc>
              <w:tcPr>
                <w:tcW w:w="2965" w:type="dxa"/>
                <w:shd w:val="clear" w:color="auto" w:fill="auto"/>
                <w:noWrap/>
                <w:vAlign w:val="center"/>
                <w:hideMark/>
              </w:tcPr>
              <w:p w14:paraId="1FD042C2" w14:textId="3001F94A" w:rsidR="00647EC0" w:rsidRPr="00647EC0" w:rsidRDefault="00647EC0" w:rsidP="00647EC0">
                <w:pPr>
                  <w:spacing w:after="0" w:line="240" w:lineRule="auto"/>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AUTOPISTAS DEL CAFE S.A. </w:t>
                </w:r>
              </w:p>
            </w:tc>
            <w:tc>
              <w:tcPr>
                <w:tcW w:w="1490" w:type="dxa"/>
                <w:shd w:val="clear" w:color="auto" w:fill="auto"/>
                <w:noWrap/>
                <w:vAlign w:val="center"/>
                <w:hideMark/>
              </w:tcPr>
              <w:p w14:paraId="139DC4C0"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              35.598.676.353 </w:t>
                </w:r>
              </w:p>
            </w:tc>
            <w:tc>
              <w:tcPr>
                <w:tcW w:w="1319" w:type="dxa"/>
                <w:shd w:val="clear" w:color="auto" w:fill="auto"/>
                <w:noWrap/>
                <w:vAlign w:val="center"/>
                <w:hideMark/>
              </w:tcPr>
              <w:p w14:paraId="2691BD0A"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            18.310.504.624 </w:t>
                </w:r>
              </w:p>
            </w:tc>
            <w:tc>
              <w:tcPr>
                <w:tcW w:w="1161" w:type="dxa"/>
                <w:shd w:val="clear" w:color="auto" w:fill="auto"/>
                <w:noWrap/>
                <w:vAlign w:val="center"/>
                <w:hideMark/>
              </w:tcPr>
              <w:p w14:paraId="400DE074"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1079" w:type="dxa"/>
                <w:shd w:val="clear" w:color="auto" w:fill="auto"/>
                <w:noWrap/>
                <w:vAlign w:val="center"/>
                <w:hideMark/>
              </w:tcPr>
              <w:p w14:paraId="6F68A857"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955" w:type="dxa"/>
                <w:shd w:val="clear" w:color="auto" w:fill="auto"/>
                <w:noWrap/>
                <w:vAlign w:val="center"/>
                <w:hideMark/>
              </w:tcPr>
              <w:p w14:paraId="1D0F0885"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r>
          <w:tr w:rsidR="00304C2A" w:rsidRPr="00647EC0" w14:paraId="2B98BD58" w14:textId="77777777" w:rsidTr="00DE0481">
            <w:trPr>
              <w:trHeight w:val="240"/>
            </w:trPr>
            <w:tc>
              <w:tcPr>
                <w:tcW w:w="2965" w:type="dxa"/>
                <w:shd w:val="clear" w:color="auto" w:fill="auto"/>
                <w:noWrap/>
                <w:vAlign w:val="center"/>
                <w:hideMark/>
              </w:tcPr>
              <w:p w14:paraId="3127F0D5" w14:textId="56C54CD8" w:rsidR="00647EC0" w:rsidRPr="00647EC0" w:rsidRDefault="00647EC0" w:rsidP="00647EC0">
                <w:pPr>
                  <w:spacing w:after="0" w:line="240" w:lineRule="auto"/>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BTS CONCESIONARIO S.A.S. </w:t>
                </w:r>
              </w:p>
            </w:tc>
            <w:tc>
              <w:tcPr>
                <w:tcW w:w="1490" w:type="dxa"/>
                <w:shd w:val="clear" w:color="auto" w:fill="auto"/>
                <w:noWrap/>
                <w:vAlign w:val="center"/>
                <w:hideMark/>
              </w:tcPr>
              <w:p w14:paraId="644EDD64"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               84.344.654.515 </w:t>
                </w:r>
              </w:p>
            </w:tc>
            <w:tc>
              <w:tcPr>
                <w:tcW w:w="1319" w:type="dxa"/>
                <w:shd w:val="clear" w:color="auto" w:fill="auto"/>
                <w:noWrap/>
                <w:vAlign w:val="center"/>
                <w:hideMark/>
              </w:tcPr>
              <w:p w14:paraId="40902024"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           49.184.808.322 </w:t>
                </w:r>
              </w:p>
            </w:tc>
            <w:tc>
              <w:tcPr>
                <w:tcW w:w="1161" w:type="dxa"/>
                <w:shd w:val="clear" w:color="auto" w:fill="auto"/>
                <w:noWrap/>
                <w:vAlign w:val="center"/>
                <w:hideMark/>
              </w:tcPr>
              <w:p w14:paraId="742DE49C"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1079" w:type="dxa"/>
                <w:shd w:val="clear" w:color="auto" w:fill="auto"/>
                <w:noWrap/>
                <w:vAlign w:val="center"/>
                <w:hideMark/>
              </w:tcPr>
              <w:p w14:paraId="1FA82537"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955" w:type="dxa"/>
                <w:shd w:val="clear" w:color="auto" w:fill="auto"/>
                <w:noWrap/>
                <w:vAlign w:val="center"/>
                <w:hideMark/>
              </w:tcPr>
              <w:p w14:paraId="10A8823B"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                57.599.923 </w:t>
                </w:r>
              </w:p>
            </w:tc>
          </w:tr>
          <w:tr w:rsidR="00304C2A" w:rsidRPr="00647EC0" w14:paraId="171CB5F1" w14:textId="77777777" w:rsidTr="00DE0481">
            <w:trPr>
              <w:trHeight w:val="240"/>
            </w:trPr>
            <w:tc>
              <w:tcPr>
                <w:tcW w:w="2965" w:type="dxa"/>
                <w:shd w:val="clear" w:color="auto" w:fill="auto"/>
                <w:noWrap/>
                <w:vAlign w:val="center"/>
                <w:hideMark/>
              </w:tcPr>
              <w:p w14:paraId="1DA49D61" w14:textId="6A21E6D0" w:rsidR="00647EC0" w:rsidRPr="00647EC0" w:rsidRDefault="00647EC0" w:rsidP="00647EC0">
                <w:pPr>
                  <w:spacing w:after="0" w:line="240" w:lineRule="auto"/>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CONCESIÓN ALTO MAGDALENA S A S </w:t>
                </w:r>
              </w:p>
            </w:tc>
            <w:tc>
              <w:tcPr>
                <w:tcW w:w="1490" w:type="dxa"/>
                <w:shd w:val="clear" w:color="auto" w:fill="auto"/>
                <w:noWrap/>
                <w:vAlign w:val="center"/>
                <w:hideMark/>
              </w:tcPr>
              <w:p w14:paraId="4F3665DC"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1319" w:type="dxa"/>
                <w:shd w:val="clear" w:color="auto" w:fill="auto"/>
                <w:noWrap/>
                <w:vAlign w:val="center"/>
                <w:hideMark/>
              </w:tcPr>
              <w:p w14:paraId="74EE77AB"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1161" w:type="dxa"/>
                <w:shd w:val="clear" w:color="auto" w:fill="auto"/>
                <w:noWrap/>
                <w:vAlign w:val="center"/>
                <w:hideMark/>
              </w:tcPr>
              <w:p w14:paraId="7B71D7A6"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1079" w:type="dxa"/>
                <w:shd w:val="clear" w:color="auto" w:fill="auto"/>
                <w:noWrap/>
                <w:vAlign w:val="center"/>
                <w:hideMark/>
              </w:tcPr>
              <w:p w14:paraId="596AF74F"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               404.299.729 </w:t>
                </w:r>
              </w:p>
            </w:tc>
            <w:tc>
              <w:tcPr>
                <w:tcW w:w="955" w:type="dxa"/>
                <w:shd w:val="clear" w:color="auto" w:fill="auto"/>
                <w:noWrap/>
                <w:vAlign w:val="center"/>
                <w:hideMark/>
              </w:tcPr>
              <w:p w14:paraId="779E8336"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r>
          <w:tr w:rsidR="00304C2A" w:rsidRPr="00647EC0" w14:paraId="753ADE81" w14:textId="77777777" w:rsidTr="00DE0481">
            <w:trPr>
              <w:trHeight w:val="240"/>
            </w:trPr>
            <w:tc>
              <w:tcPr>
                <w:tcW w:w="2965" w:type="dxa"/>
                <w:shd w:val="clear" w:color="auto" w:fill="auto"/>
                <w:noWrap/>
                <w:vAlign w:val="center"/>
                <w:hideMark/>
              </w:tcPr>
              <w:p w14:paraId="437C93D3" w14:textId="31A0AC6E" w:rsidR="00647EC0" w:rsidRPr="00647EC0" w:rsidRDefault="00647EC0" w:rsidP="00647EC0">
                <w:pPr>
                  <w:spacing w:after="0" w:line="240" w:lineRule="auto"/>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CONCESIÓN COSTERA CARTAGENA BARRANQUILLA S.A.S. </w:t>
                </w:r>
              </w:p>
            </w:tc>
            <w:tc>
              <w:tcPr>
                <w:tcW w:w="1490" w:type="dxa"/>
                <w:shd w:val="clear" w:color="auto" w:fill="auto"/>
                <w:noWrap/>
                <w:vAlign w:val="center"/>
                <w:hideMark/>
              </w:tcPr>
              <w:p w14:paraId="1D3FE51D"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                 8.882.802.012 </w:t>
                </w:r>
              </w:p>
            </w:tc>
            <w:tc>
              <w:tcPr>
                <w:tcW w:w="1319" w:type="dxa"/>
                <w:shd w:val="clear" w:color="auto" w:fill="auto"/>
                <w:noWrap/>
                <w:vAlign w:val="center"/>
                <w:hideMark/>
              </w:tcPr>
              <w:p w14:paraId="37454CBF"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            13.454.461.565 </w:t>
                </w:r>
              </w:p>
            </w:tc>
            <w:tc>
              <w:tcPr>
                <w:tcW w:w="1161" w:type="dxa"/>
                <w:shd w:val="clear" w:color="auto" w:fill="auto"/>
                <w:noWrap/>
                <w:vAlign w:val="center"/>
                <w:hideMark/>
              </w:tcPr>
              <w:p w14:paraId="789E129A"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         5.530.206.734 </w:t>
                </w:r>
              </w:p>
            </w:tc>
            <w:tc>
              <w:tcPr>
                <w:tcW w:w="1079" w:type="dxa"/>
                <w:shd w:val="clear" w:color="auto" w:fill="auto"/>
                <w:noWrap/>
                <w:vAlign w:val="center"/>
                <w:hideMark/>
              </w:tcPr>
              <w:p w14:paraId="633C8844"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               783.260.087 </w:t>
                </w:r>
              </w:p>
            </w:tc>
            <w:tc>
              <w:tcPr>
                <w:tcW w:w="955" w:type="dxa"/>
                <w:shd w:val="clear" w:color="auto" w:fill="auto"/>
                <w:noWrap/>
                <w:vAlign w:val="center"/>
                <w:hideMark/>
              </w:tcPr>
              <w:p w14:paraId="24448F51"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r>
          <w:tr w:rsidR="00304C2A" w:rsidRPr="00647EC0" w14:paraId="7F6EE27B" w14:textId="77777777" w:rsidTr="00DE0481">
            <w:trPr>
              <w:trHeight w:val="240"/>
            </w:trPr>
            <w:tc>
              <w:tcPr>
                <w:tcW w:w="2965" w:type="dxa"/>
                <w:shd w:val="clear" w:color="auto" w:fill="auto"/>
                <w:noWrap/>
                <w:vAlign w:val="center"/>
                <w:hideMark/>
              </w:tcPr>
              <w:p w14:paraId="6E76F106" w14:textId="3C31FA17" w:rsidR="00647EC0" w:rsidRPr="00647EC0" w:rsidRDefault="00647EC0" w:rsidP="00647EC0">
                <w:pPr>
                  <w:spacing w:after="0" w:line="240" w:lineRule="auto"/>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CONCESION LA PINTADA S.A.S. </w:t>
                </w:r>
              </w:p>
            </w:tc>
            <w:tc>
              <w:tcPr>
                <w:tcW w:w="1490" w:type="dxa"/>
                <w:shd w:val="clear" w:color="auto" w:fill="auto"/>
                <w:noWrap/>
                <w:vAlign w:val="center"/>
                <w:hideMark/>
              </w:tcPr>
              <w:p w14:paraId="64095E40"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                19.340.200.414 </w:t>
                </w:r>
              </w:p>
            </w:tc>
            <w:tc>
              <w:tcPr>
                <w:tcW w:w="1319" w:type="dxa"/>
                <w:shd w:val="clear" w:color="auto" w:fill="auto"/>
                <w:noWrap/>
                <w:vAlign w:val="center"/>
                <w:hideMark/>
              </w:tcPr>
              <w:p w14:paraId="5671ACD1"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            29.398.586.110 </w:t>
                </w:r>
              </w:p>
            </w:tc>
            <w:tc>
              <w:tcPr>
                <w:tcW w:w="1161" w:type="dxa"/>
                <w:shd w:val="clear" w:color="auto" w:fill="auto"/>
                <w:noWrap/>
                <w:vAlign w:val="center"/>
                <w:hideMark/>
              </w:tcPr>
              <w:p w14:paraId="61FFB985"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1079" w:type="dxa"/>
                <w:shd w:val="clear" w:color="auto" w:fill="auto"/>
                <w:noWrap/>
                <w:vAlign w:val="center"/>
                <w:hideMark/>
              </w:tcPr>
              <w:p w14:paraId="2A7D1D3A"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             1.633.606.989 </w:t>
                </w:r>
              </w:p>
            </w:tc>
            <w:tc>
              <w:tcPr>
                <w:tcW w:w="955" w:type="dxa"/>
                <w:shd w:val="clear" w:color="auto" w:fill="auto"/>
                <w:noWrap/>
                <w:vAlign w:val="center"/>
                <w:hideMark/>
              </w:tcPr>
              <w:p w14:paraId="1CD701DB"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r>
          <w:tr w:rsidR="00304C2A" w:rsidRPr="00647EC0" w14:paraId="3DA78CAF" w14:textId="77777777" w:rsidTr="00DE0481">
            <w:trPr>
              <w:trHeight w:val="240"/>
            </w:trPr>
            <w:tc>
              <w:tcPr>
                <w:tcW w:w="2965" w:type="dxa"/>
                <w:shd w:val="clear" w:color="auto" w:fill="auto"/>
                <w:noWrap/>
                <w:vAlign w:val="center"/>
                <w:hideMark/>
              </w:tcPr>
              <w:p w14:paraId="5BF3842A" w14:textId="7C03BCE4" w:rsidR="00647EC0" w:rsidRPr="00647EC0" w:rsidRDefault="00647EC0" w:rsidP="00647EC0">
                <w:pPr>
                  <w:spacing w:after="0" w:line="240" w:lineRule="auto"/>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CONCESIÒN RUTA AL MAR S.A.S. </w:t>
                </w:r>
              </w:p>
            </w:tc>
            <w:tc>
              <w:tcPr>
                <w:tcW w:w="1490" w:type="dxa"/>
                <w:shd w:val="clear" w:color="auto" w:fill="auto"/>
                <w:noWrap/>
                <w:vAlign w:val="center"/>
                <w:hideMark/>
              </w:tcPr>
              <w:p w14:paraId="28222649"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               95.532.746.881 </w:t>
                </w:r>
              </w:p>
            </w:tc>
            <w:tc>
              <w:tcPr>
                <w:tcW w:w="1319" w:type="dxa"/>
                <w:shd w:val="clear" w:color="auto" w:fill="auto"/>
                <w:noWrap/>
                <w:vAlign w:val="center"/>
                <w:hideMark/>
              </w:tcPr>
              <w:p w14:paraId="41238EFE"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1161" w:type="dxa"/>
                <w:shd w:val="clear" w:color="auto" w:fill="auto"/>
                <w:noWrap/>
                <w:vAlign w:val="center"/>
                <w:hideMark/>
              </w:tcPr>
              <w:p w14:paraId="0C318343"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1079" w:type="dxa"/>
                <w:shd w:val="clear" w:color="auto" w:fill="auto"/>
                <w:noWrap/>
                <w:vAlign w:val="center"/>
                <w:hideMark/>
              </w:tcPr>
              <w:p w14:paraId="628564C6"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955" w:type="dxa"/>
                <w:shd w:val="clear" w:color="auto" w:fill="auto"/>
                <w:noWrap/>
                <w:vAlign w:val="center"/>
                <w:hideMark/>
              </w:tcPr>
              <w:p w14:paraId="3277EC0D"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r>
          <w:tr w:rsidR="00304C2A" w:rsidRPr="00647EC0" w14:paraId="70BDCBC5" w14:textId="77777777" w:rsidTr="00DE0481">
            <w:trPr>
              <w:trHeight w:val="240"/>
            </w:trPr>
            <w:tc>
              <w:tcPr>
                <w:tcW w:w="2965" w:type="dxa"/>
                <w:shd w:val="clear" w:color="auto" w:fill="auto"/>
                <w:noWrap/>
                <w:vAlign w:val="center"/>
                <w:hideMark/>
              </w:tcPr>
              <w:p w14:paraId="5FCCE6DF" w14:textId="36727B3A" w:rsidR="00647EC0" w:rsidRPr="00647EC0" w:rsidRDefault="00647EC0" w:rsidP="00647EC0">
                <w:pPr>
                  <w:spacing w:after="0" w:line="240" w:lineRule="auto"/>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CONCESION SABANA DE OCCIDENTE S.A. </w:t>
                </w:r>
              </w:p>
            </w:tc>
            <w:tc>
              <w:tcPr>
                <w:tcW w:w="1490" w:type="dxa"/>
                <w:shd w:val="clear" w:color="auto" w:fill="auto"/>
                <w:noWrap/>
                <w:vAlign w:val="center"/>
                <w:hideMark/>
              </w:tcPr>
              <w:p w14:paraId="52C1D5EC"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            125.300.378.808 </w:t>
                </w:r>
              </w:p>
            </w:tc>
            <w:tc>
              <w:tcPr>
                <w:tcW w:w="1319" w:type="dxa"/>
                <w:shd w:val="clear" w:color="auto" w:fill="auto"/>
                <w:noWrap/>
                <w:vAlign w:val="center"/>
                <w:hideMark/>
              </w:tcPr>
              <w:p w14:paraId="7138A190"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1161" w:type="dxa"/>
                <w:shd w:val="clear" w:color="auto" w:fill="auto"/>
                <w:noWrap/>
                <w:vAlign w:val="center"/>
                <w:hideMark/>
              </w:tcPr>
              <w:p w14:paraId="249B018F"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1079" w:type="dxa"/>
                <w:shd w:val="clear" w:color="auto" w:fill="auto"/>
                <w:noWrap/>
                <w:vAlign w:val="center"/>
                <w:hideMark/>
              </w:tcPr>
              <w:p w14:paraId="69978252"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                  52.823.323 </w:t>
                </w:r>
              </w:p>
            </w:tc>
            <w:tc>
              <w:tcPr>
                <w:tcW w:w="955" w:type="dxa"/>
                <w:shd w:val="clear" w:color="auto" w:fill="auto"/>
                <w:noWrap/>
                <w:vAlign w:val="center"/>
                <w:hideMark/>
              </w:tcPr>
              <w:p w14:paraId="746F668B"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r>
          <w:tr w:rsidR="00304C2A" w:rsidRPr="00647EC0" w14:paraId="41B753AE" w14:textId="77777777" w:rsidTr="00DE0481">
            <w:trPr>
              <w:trHeight w:val="240"/>
            </w:trPr>
            <w:tc>
              <w:tcPr>
                <w:tcW w:w="2965" w:type="dxa"/>
                <w:shd w:val="clear" w:color="auto" w:fill="auto"/>
                <w:noWrap/>
                <w:vAlign w:val="center"/>
                <w:hideMark/>
              </w:tcPr>
              <w:p w14:paraId="3C3F2659" w14:textId="60EE3869" w:rsidR="00647EC0" w:rsidRPr="00647EC0" w:rsidRDefault="00647EC0" w:rsidP="00647EC0">
                <w:pPr>
                  <w:spacing w:after="0" w:line="240" w:lineRule="auto"/>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CONCESION SABANA DE OCCIDENTE S.A.S </w:t>
                </w:r>
              </w:p>
            </w:tc>
            <w:tc>
              <w:tcPr>
                <w:tcW w:w="1490" w:type="dxa"/>
                <w:shd w:val="clear" w:color="auto" w:fill="auto"/>
                <w:noWrap/>
                <w:vAlign w:val="center"/>
                <w:hideMark/>
              </w:tcPr>
              <w:p w14:paraId="5DAEFFD1"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1319" w:type="dxa"/>
                <w:shd w:val="clear" w:color="auto" w:fill="auto"/>
                <w:noWrap/>
                <w:vAlign w:val="center"/>
                <w:hideMark/>
              </w:tcPr>
              <w:p w14:paraId="1D98ECD0"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1161" w:type="dxa"/>
                <w:shd w:val="clear" w:color="auto" w:fill="auto"/>
                <w:noWrap/>
                <w:vAlign w:val="center"/>
                <w:hideMark/>
              </w:tcPr>
              <w:p w14:paraId="0EC1B305"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1079" w:type="dxa"/>
                <w:shd w:val="clear" w:color="auto" w:fill="auto"/>
                <w:noWrap/>
                <w:vAlign w:val="center"/>
                <w:hideMark/>
              </w:tcPr>
              <w:p w14:paraId="37FD76EC"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              1.546.601.753 </w:t>
                </w:r>
              </w:p>
            </w:tc>
            <w:tc>
              <w:tcPr>
                <w:tcW w:w="955" w:type="dxa"/>
                <w:shd w:val="clear" w:color="auto" w:fill="auto"/>
                <w:noWrap/>
                <w:vAlign w:val="center"/>
                <w:hideMark/>
              </w:tcPr>
              <w:p w14:paraId="11C806BE"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r>
          <w:tr w:rsidR="00304C2A" w:rsidRPr="00647EC0" w14:paraId="6455A1E7" w14:textId="77777777" w:rsidTr="00DE0481">
            <w:trPr>
              <w:trHeight w:val="240"/>
            </w:trPr>
            <w:tc>
              <w:tcPr>
                <w:tcW w:w="2965" w:type="dxa"/>
                <w:shd w:val="clear" w:color="auto" w:fill="auto"/>
                <w:noWrap/>
                <w:vAlign w:val="center"/>
                <w:hideMark/>
              </w:tcPr>
              <w:p w14:paraId="31121DF1" w14:textId="2DF6F3E8" w:rsidR="00647EC0" w:rsidRPr="00647EC0" w:rsidRDefault="00647EC0" w:rsidP="00647EC0">
                <w:pPr>
                  <w:spacing w:after="0" w:line="240" w:lineRule="auto"/>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CONCESION VIAS DEL NUS S.A.S </w:t>
                </w:r>
              </w:p>
            </w:tc>
            <w:tc>
              <w:tcPr>
                <w:tcW w:w="1490" w:type="dxa"/>
                <w:shd w:val="clear" w:color="auto" w:fill="auto"/>
                <w:noWrap/>
                <w:vAlign w:val="center"/>
                <w:hideMark/>
              </w:tcPr>
              <w:p w14:paraId="1F137753"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1319" w:type="dxa"/>
                <w:shd w:val="clear" w:color="auto" w:fill="auto"/>
                <w:noWrap/>
                <w:vAlign w:val="center"/>
                <w:hideMark/>
              </w:tcPr>
              <w:p w14:paraId="48D57DA6"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           26.997.129.957 </w:t>
                </w:r>
              </w:p>
            </w:tc>
            <w:tc>
              <w:tcPr>
                <w:tcW w:w="1161" w:type="dxa"/>
                <w:shd w:val="clear" w:color="auto" w:fill="auto"/>
                <w:noWrap/>
                <w:vAlign w:val="center"/>
                <w:hideMark/>
              </w:tcPr>
              <w:p w14:paraId="4142229F"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              693.898.910 </w:t>
                </w:r>
              </w:p>
            </w:tc>
            <w:tc>
              <w:tcPr>
                <w:tcW w:w="1079" w:type="dxa"/>
                <w:shd w:val="clear" w:color="auto" w:fill="auto"/>
                <w:noWrap/>
                <w:vAlign w:val="center"/>
                <w:hideMark/>
              </w:tcPr>
              <w:p w14:paraId="2136F505"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955" w:type="dxa"/>
                <w:shd w:val="clear" w:color="auto" w:fill="auto"/>
                <w:noWrap/>
                <w:vAlign w:val="center"/>
                <w:hideMark/>
              </w:tcPr>
              <w:p w14:paraId="546290B0"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r>
          <w:tr w:rsidR="00304C2A" w:rsidRPr="00647EC0" w14:paraId="26B064F9" w14:textId="77777777" w:rsidTr="00DE0481">
            <w:trPr>
              <w:trHeight w:val="240"/>
            </w:trPr>
            <w:tc>
              <w:tcPr>
                <w:tcW w:w="2965" w:type="dxa"/>
                <w:shd w:val="clear" w:color="auto" w:fill="auto"/>
                <w:noWrap/>
                <w:vAlign w:val="center"/>
                <w:hideMark/>
              </w:tcPr>
              <w:p w14:paraId="4430FF52" w14:textId="50723398" w:rsidR="00647EC0" w:rsidRPr="00647EC0" w:rsidRDefault="00647EC0" w:rsidP="00647EC0">
                <w:pPr>
                  <w:spacing w:after="0" w:line="240" w:lineRule="auto"/>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CONCESIÓN VIAS DEL NUS SAS    </w:t>
                </w:r>
              </w:p>
            </w:tc>
            <w:tc>
              <w:tcPr>
                <w:tcW w:w="1490" w:type="dxa"/>
                <w:shd w:val="clear" w:color="auto" w:fill="auto"/>
                <w:noWrap/>
                <w:vAlign w:val="center"/>
                <w:hideMark/>
              </w:tcPr>
              <w:p w14:paraId="26BFD5EA"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1319" w:type="dxa"/>
                <w:shd w:val="clear" w:color="auto" w:fill="auto"/>
                <w:noWrap/>
                <w:vAlign w:val="center"/>
                <w:hideMark/>
              </w:tcPr>
              <w:p w14:paraId="287E45C8"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1161" w:type="dxa"/>
                <w:shd w:val="clear" w:color="auto" w:fill="auto"/>
                <w:noWrap/>
                <w:vAlign w:val="center"/>
                <w:hideMark/>
              </w:tcPr>
              <w:p w14:paraId="0F47BFFC"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          2.347.199.827 </w:t>
                </w:r>
              </w:p>
            </w:tc>
            <w:tc>
              <w:tcPr>
                <w:tcW w:w="1079" w:type="dxa"/>
                <w:shd w:val="clear" w:color="auto" w:fill="auto"/>
                <w:noWrap/>
                <w:vAlign w:val="center"/>
                <w:hideMark/>
              </w:tcPr>
              <w:p w14:paraId="4E9CCE1C"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955" w:type="dxa"/>
                <w:shd w:val="clear" w:color="auto" w:fill="auto"/>
                <w:noWrap/>
                <w:vAlign w:val="center"/>
                <w:hideMark/>
              </w:tcPr>
              <w:p w14:paraId="709BDE69"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r>
          <w:tr w:rsidR="00304C2A" w:rsidRPr="00647EC0" w14:paraId="1B92BA33" w14:textId="77777777" w:rsidTr="00DE0481">
            <w:trPr>
              <w:trHeight w:val="240"/>
            </w:trPr>
            <w:tc>
              <w:tcPr>
                <w:tcW w:w="2965" w:type="dxa"/>
                <w:shd w:val="clear" w:color="auto" w:fill="auto"/>
                <w:noWrap/>
                <w:vAlign w:val="center"/>
                <w:hideMark/>
              </w:tcPr>
              <w:p w14:paraId="581E5DA0" w14:textId="48322A4E" w:rsidR="00647EC0" w:rsidRPr="00647EC0" w:rsidRDefault="00647EC0" w:rsidP="00647EC0">
                <w:pPr>
                  <w:spacing w:after="0" w:line="240" w:lineRule="auto"/>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CONCESIONARIA SAN SIMON S A </w:t>
                </w:r>
              </w:p>
            </w:tc>
            <w:tc>
              <w:tcPr>
                <w:tcW w:w="1490" w:type="dxa"/>
                <w:shd w:val="clear" w:color="auto" w:fill="auto"/>
                <w:noWrap/>
                <w:vAlign w:val="center"/>
                <w:hideMark/>
              </w:tcPr>
              <w:p w14:paraId="1FFAB3AB"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1319" w:type="dxa"/>
                <w:shd w:val="clear" w:color="auto" w:fill="auto"/>
                <w:noWrap/>
                <w:vAlign w:val="center"/>
                <w:hideMark/>
              </w:tcPr>
              <w:p w14:paraId="6FCB7A37"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1161" w:type="dxa"/>
                <w:shd w:val="clear" w:color="auto" w:fill="auto"/>
                <w:noWrap/>
                <w:vAlign w:val="center"/>
                <w:hideMark/>
              </w:tcPr>
              <w:p w14:paraId="6C1C7AAD"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1079" w:type="dxa"/>
                <w:shd w:val="clear" w:color="auto" w:fill="auto"/>
                <w:noWrap/>
                <w:vAlign w:val="center"/>
                <w:hideMark/>
              </w:tcPr>
              <w:p w14:paraId="1B9B31DD"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               599.743.872 </w:t>
                </w:r>
              </w:p>
            </w:tc>
            <w:tc>
              <w:tcPr>
                <w:tcW w:w="955" w:type="dxa"/>
                <w:shd w:val="clear" w:color="auto" w:fill="auto"/>
                <w:noWrap/>
                <w:vAlign w:val="center"/>
                <w:hideMark/>
              </w:tcPr>
              <w:p w14:paraId="2BD4BE3B"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r>
          <w:tr w:rsidR="00304C2A" w:rsidRPr="00647EC0" w14:paraId="2BEB2827" w14:textId="77777777" w:rsidTr="00DE0481">
            <w:trPr>
              <w:trHeight w:val="240"/>
            </w:trPr>
            <w:tc>
              <w:tcPr>
                <w:tcW w:w="2965" w:type="dxa"/>
                <w:shd w:val="clear" w:color="auto" w:fill="auto"/>
                <w:noWrap/>
                <w:vAlign w:val="center"/>
                <w:hideMark/>
              </w:tcPr>
              <w:p w14:paraId="66FDE50E" w14:textId="478DD53E" w:rsidR="00647EC0" w:rsidRPr="00647EC0" w:rsidRDefault="00647EC0" w:rsidP="00647EC0">
                <w:pPr>
                  <w:spacing w:after="0" w:line="240" w:lineRule="auto"/>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CONCESIONARIA VIAL ANDINA S A S   </w:t>
                </w:r>
              </w:p>
            </w:tc>
            <w:tc>
              <w:tcPr>
                <w:tcW w:w="1490" w:type="dxa"/>
                <w:shd w:val="clear" w:color="auto" w:fill="auto"/>
                <w:noWrap/>
                <w:vAlign w:val="center"/>
                <w:hideMark/>
              </w:tcPr>
              <w:p w14:paraId="35494292"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1319" w:type="dxa"/>
                <w:shd w:val="clear" w:color="auto" w:fill="auto"/>
                <w:noWrap/>
                <w:vAlign w:val="center"/>
                <w:hideMark/>
              </w:tcPr>
              <w:p w14:paraId="568BB7E0"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1161" w:type="dxa"/>
                <w:shd w:val="clear" w:color="auto" w:fill="auto"/>
                <w:noWrap/>
                <w:vAlign w:val="center"/>
                <w:hideMark/>
              </w:tcPr>
              <w:p w14:paraId="4919E83D"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1079" w:type="dxa"/>
                <w:shd w:val="clear" w:color="auto" w:fill="auto"/>
                <w:noWrap/>
                <w:vAlign w:val="center"/>
                <w:hideMark/>
              </w:tcPr>
              <w:p w14:paraId="01EF3A2A"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            4.843.055.303 </w:t>
                </w:r>
              </w:p>
            </w:tc>
            <w:tc>
              <w:tcPr>
                <w:tcW w:w="955" w:type="dxa"/>
                <w:shd w:val="clear" w:color="auto" w:fill="auto"/>
                <w:noWrap/>
                <w:vAlign w:val="center"/>
                <w:hideMark/>
              </w:tcPr>
              <w:p w14:paraId="5197141B"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                319.139.972 </w:t>
                </w:r>
              </w:p>
            </w:tc>
          </w:tr>
          <w:tr w:rsidR="00304C2A" w:rsidRPr="00647EC0" w14:paraId="2F30375A" w14:textId="77777777" w:rsidTr="00DE0481">
            <w:trPr>
              <w:trHeight w:val="240"/>
            </w:trPr>
            <w:tc>
              <w:tcPr>
                <w:tcW w:w="2965" w:type="dxa"/>
                <w:shd w:val="clear" w:color="auto" w:fill="auto"/>
                <w:noWrap/>
                <w:vAlign w:val="center"/>
                <w:hideMark/>
              </w:tcPr>
              <w:p w14:paraId="77703090" w14:textId="273A7C5F" w:rsidR="00647EC0" w:rsidRPr="00647EC0" w:rsidRDefault="00647EC0" w:rsidP="00647EC0">
                <w:pPr>
                  <w:spacing w:after="0" w:line="240" w:lineRule="auto"/>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CONCESIONES CCFC S.A. </w:t>
                </w:r>
              </w:p>
            </w:tc>
            <w:tc>
              <w:tcPr>
                <w:tcW w:w="1490" w:type="dxa"/>
                <w:shd w:val="clear" w:color="auto" w:fill="auto"/>
                <w:noWrap/>
                <w:vAlign w:val="center"/>
                <w:hideMark/>
              </w:tcPr>
              <w:p w14:paraId="260400B2"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1319" w:type="dxa"/>
                <w:shd w:val="clear" w:color="auto" w:fill="auto"/>
                <w:noWrap/>
                <w:vAlign w:val="center"/>
                <w:hideMark/>
              </w:tcPr>
              <w:p w14:paraId="029B743A"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              3.154.543.488 </w:t>
                </w:r>
              </w:p>
            </w:tc>
            <w:tc>
              <w:tcPr>
                <w:tcW w:w="1161" w:type="dxa"/>
                <w:shd w:val="clear" w:color="auto" w:fill="auto"/>
                <w:noWrap/>
                <w:vAlign w:val="center"/>
                <w:hideMark/>
              </w:tcPr>
              <w:p w14:paraId="20C67418"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1079" w:type="dxa"/>
                <w:shd w:val="clear" w:color="auto" w:fill="auto"/>
                <w:noWrap/>
                <w:vAlign w:val="center"/>
                <w:hideMark/>
              </w:tcPr>
              <w:p w14:paraId="786077D6"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955" w:type="dxa"/>
                <w:shd w:val="clear" w:color="auto" w:fill="auto"/>
                <w:noWrap/>
                <w:vAlign w:val="center"/>
                <w:hideMark/>
              </w:tcPr>
              <w:p w14:paraId="27E249A6"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r>
          <w:tr w:rsidR="00304C2A" w:rsidRPr="00647EC0" w14:paraId="1D838671" w14:textId="77777777" w:rsidTr="00DE0481">
            <w:trPr>
              <w:trHeight w:val="240"/>
            </w:trPr>
            <w:tc>
              <w:tcPr>
                <w:tcW w:w="2965" w:type="dxa"/>
                <w:shd w:val="clear" w:color="auto" w:fill="auto"/>
                <w:noWrap/>
                <w:vAlign w:val="center"/>
                <w:hideMark/>
              </w:tcPr>
              <w:p w14:paraId="67C84D90" w14:textId="09C221FB" w:rsidR="00647EC0" w:rsidRPr="00647EC0" w:rsidRDefault="00647EC0" w:rsidP="00647EC0">
                <w:pPr>
                  <w:spacing w:after="0" w:line="240" w:lineRule="auto"/>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CONSORCIO VIAL HELIOS </w:t>
                </w:r>
              </w:p>
            </w:tc>
            <w:tc>
              <w:tcPr>
                <w:tcW w:w="1490" w:type="dxa"/>
                <w:shd w:val="clear" w:color="auto" w:fill="auto"/>
                <w:noWrap/>
                <w:vAlign w:val="center"/>
                <w:hideMark/>
              </w:tcPr>
              <w:p w14:paraId="0A546D4D"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1319" w:type="dxa"/>
                <w:shd w:val="clear" w:color="auto" w:fill="auto"/>
                <w:noWrap/>
                <w:vAlign w:val="center"/>
                <w:hideMark/>
              </w:tcPr>
              <w:p w14:paraId="63F1CA3C"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1161" w:type="dxa"/>
                <w:shd w:val="clear" w:color="auto" w:fill="auto"/>
                <w:noWrap/>
                <w:vAlign w:val="center"/>
                <w:hideMark/>
              </w:tcPr>
              <w:p w14:paraId="4DE84087"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1079" w:type="dxa"/>
                <w:shd w:val="clear" w:color="auto" w:fill="auto"/>
                <w:noWrap/>
                <w:vAlign w:val="center"/>
                <w:hideMark/>
              </w:tcPr>
              <w:p w14:paraId="620067FD"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              1.631.730.883 </w:t>
                </w:r>
              </w:p>
            </w:tc>
            <w:tc>
              <w:tcPr>
                <w:tcW w:w="955" w:type="dxa"/>
                <w:shd w:val="clear" w:color="auto" w:fill="auto"/>
                <w:noWrap/>
                <w:vAlign w:val="center"/>
                <w:hideMark/>
              </w:tcPr>
              <w:p w14:paraId="44A232CC"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r>
          <w:tr w:rsidR="00304C2A" w:rsidRPr="00647EC0" w14:paraId="13D4A443" w14:textId="77777777" w:rsidTr="00DE0481">
            <w:trPr>
              <w:trHeight w:val="240"/>
            </w:trPr>
            <w:tc>
              <w:tcPr>
                <w:tcW w:w="2965" w:type="dxa"/>
                <w:shd w:val="clear" w:color="auto" w:fill="auto"/>
                <w:noWrap/>
                <w:vAlign w:val="center"/>
                <w:hideMark/>
              </w:tcPr>
              <w:p w14:paraId="59C957B8" w14:textId="779E4903" w:rsidR="00647EC0" w:rsidRPr="00647EC0" w:rsidRDefault="00647EC0" w:rsidP="00647EC0">
                <w:pPr>
                  <w:spacing w:after="0" w:line="240" w:lineRule="auto"/>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DESARROLLO VIAL AL MAR   S.A.S </w:t>
                </w:r>
              </w:p>
            </w:tc>
            <w:tc>
              <w:tcPr>
                <w:tcW w:w="1490" w:type="dxa"/>
                <w:shd w:val="clear" w:color="auto" w:fill="auto"/>
                <w:noWrap/>
                <w:vAlign w:val="center"/>
                <w:hideMark/>
              </w:tcPr>
              <w:p w14:paraId="1C37104D"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1319" w:type="dxa"/>
                <w:shd w:val="clear" w:color="auto" w:fill="auto"/>
                <w:noWrap/>
                <w:vAlign w:val="center"/>
                <w:hideMark/>
              </w:tcPr>
              <w:p w14:paraId="07792761"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               11.395.231.115 </w:t>
                </w:r>
              </w:p>
            </w:tc>
            <w:tc>
              <w:tcPr>
                <w:tcW w:w="1161" w:type="dxa"/>
                <w:shd w:val="clear" w:color="auto" w:fill="auto"/>
                <w:noWrap/>
                <w:vAlign w:val="center"/>
                <w:hideMark/>
              </w:tcPr>
              <w:p w14:paraId="4DE859B4"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          1.975.256.862 </w:t>
                </w:r>
              </w:p>
            </w:tc>
            <w:tc>
              <w:tcPr>
                <w:tcW w:w="1079" w:type="dxa"/>
                <w:shd w:val="clear" w:color="auto" w:fill="auto"/>
                <w:noWrap/>
                <w:vAlign w:val="center"/>
                <w:hideMark/>
              </w:tcPr>
              <w:p w14:paraId="65C62156"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955" w:type="dxa"/>
                <w:shd w:val="clear" w:color="auto" w:fill="auto"/>
                <w:noWrap/>
                <w:vAlign w:val="center"/>
                <w:hideMark/>
              </w:tcPr>
              <w:p w14:paraId="7CF9BD00"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r>
          <w:tr w:rsidR="00304C2A" w:rsidRPr="00647EC0" w14:paraId="29A345E7" w14:textId="77777777" w:rsidTr="00DE0481">
            <w:trPr>
              <w:trHeight w:val="240"/>
            </w:trPr>
            <w:tc>
              <w:tcPr>
                <w:tcW w:w="2965" w:type="dxa"/>
                <w:shd w:val="clear" w:color="auto" w:fill="auto"/>
                <w:noWrap/>
                <w:vAlign w:val="center"/>
                <w:hideMark/>
              </w:tcPr>
              <w:p w14:paraId="5FAE4A2C" w14:textId="0E63E617" w:rsidR="00647EC0" w:rsidRPr="00647EC0" w:rsidRDefault="00647EC0" w:rsidP="00647EC0">
                <w:pPr>
                  <w:spacing w:after="0" w:line="240" w:lineRule="auto"/>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DEVIMED S.A. </w:t>
                </w:r>
              </w:p>
            </w:tc>
            <w:tc>
              <w:tcPr>
                <w:tcW w:w="1490" w:type="dxa"/>
                <w:shd w:val="clear" w:color="auto" w:fill="auto"/>
                <w:noWrap/>
                <w:vAlign w:val="center"/>
                <w:hideMark/>
              </w:tcPr>
              <w:p w14:paraId="3C605DCA"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1319" w:type="dxa"/>
                <w:shd w:val="clear" w:color="auto" w:fill="auto"/>
                <w:noWrap/>
                <w:vAlign w:val="center"/>
                <w:hideMark/>
              </w:tcPr>
              <w:p w14:paraId="57FAE61F"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           15.550.347.348 </w:t>
                </w:r>
              </w:p>
            </w:tc>
            <w:tc>
              <w:tcPr>
                <w:tcW w:w="1161" w:type="dxa"/>
                <w:shd w:val="clear" w:color="auto" w:fill="auto"/>
                <w:noWrap/>
                <w:vAlign w:val="center"/>
                <w:hideMark/>
              </w:tcPr>
              <w:p w14:paraId="4F5B2800"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1079" w:type="dxa"/>
                <w:shd w:val="clear" w:color="auto" w:fill="auto"/>
                <w:noWrap/>
                <w:vAlign w:val="center"/>
                <w:hideMark/>
              </w:tcPr>
              <w:p w14:paraId="771A61B0"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955" w:type="dxa"/>
                <w:shd w:val="clear" w:color="auto" w:fill="auto"/>
                <w:noWrap/>
                <w:vAlign w:val="center"/>
                <w:hideMark/>
              </w:tcPr>
              <w:p w14:paraId="4A228709"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r>
          <w:tr w:rsidR="00304C2A" w:rsidRPr="00647EC0" w14:paraId="3380E105" w14:textId="77777777" w:rsidTr="00DE0481">
            <w:trPr>
              <w:trHeight w:val="240"/>
            </w:trPr>
            <w:tc>
              <w:tcPr>
                <w:tcW w:w="2965" w:type="dxa"/>
                <w:shd w:val="clear" w:color="auto" w:fill="auto"/>
                <w:noWrap/>
                <w:vAlign w:val="center"/>
                <w:hideMark/>
              </w:tcPr>
              <w:p w14:paraId="77BD7C64" w14:textId="297EA659" w:rsidR="00647EC0" w:rsidRPr="00647EC0" w:rsidRDefault="00647EC0" w:rsidP="00647EC0">
                <w:pPr>
                  <w:spacing w:after="0" w:line="240" w:lineRule="auto"/>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PERIMETRAL ORIENTAL DE BOGOTA SAS </w:t>
                </w:r>
              </w:p>
            </w:tc>
            <w:tc>
              <w:tcPr>
                <w:tcW w:w="1490" w:type="dxa"/>
                <w:shd w:val="clear" w:color="auto" w:fill="auto"/>
                <w:noWrap/>
                <w:vAlign w:val="center"/>
                <w:hideMark/>
              </w:tcPr>
              <w:p w14:paraId="3B5A017D"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               72.690.149.839 </w:t>
                </w:r>
              </w:p>
            </w:tc>
            <w:tc>
              <w:tcPr>
                <w:tcW w:w="1319" w:type="dxa"/>
                <w:shd w:val="clear" w:color="auto" w:fill="auto"/>
                <w:noWrap/>
                <w:vAlign w:val="center"/>
                <w:hideMark/>
              </w:tcPr>
              <w:p w14:paraId="06F7E750"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1161" w:type="dxa"/>
                <w:shd w:val="clear" w:color="auto" w:fill="auto"/>
                <w:noWrap/>
                <w:vAlign w:val="center"/>
                <w:hideMark/>
              </w:tcPr>
              <w:p w14:paraId="6F71A5CD"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1079" w:type="dxa"/>
                <w:shd w:val="clear" w:color="auto" w:fill="auto"/>
                <w:noWrap/>
                <w:vAlign w:val="center"/>
                <w:hideMark/>
              </w:tcPr>
              <w:p w14:paraId="75F29D16"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955" w:type="dxa"/>
                <w:shd w:val="clear" w:color="auto" w:fill="auto"/>
                <w:noWrap/>
                <w:vAlign w:val="center"/>
                <w:hideMark/>
              </w:tcPr>
              <w:p w14:paraId="77813951"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r>
          <w:tr w:rsidR="00304C2A" w:rsidRPr="00647EC0" w14:paraId="2B9A8BAD" w14:textId="77777777" w:rsidTr="00DE0481">
            <w:trPr>
              <w:trHeight w:val="240"/>
            </w:trPr>
            <w:tc>
              <w:tcPr>
                <w:tcW w:w="2965" w:type="dxa"/>
                <w:shd w:val="clear" w:color="auto" w:fill="auto"/>
                <w:noWrap/>
                <w:vAlign w:val="center"/>
                <w:hideMark/>
              </w:tcPr>
              <w:p w14:paraId="72455BBF" w14:textId="7AC05B53" w:rsidR="00647EC0" w:rsidRPr="00647EC0" w:rsidRDefault="00647EC0" w:rsidP="00647EC0">
                <w:pPr>
                  <w:spacing w:after="0" w:line="240" w:lineRule="auto"/>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SOCIEDAD CONCESIONARIA VIAL MONTES DE MARIA SAS </w:t>
                </w:r>
              </w:p>
            </w:tc>
            <w:tc>
              <w:tcPr>
                <w:tcW w:w="1490" w:type="dxa"/>
                <w:shd w:val="clear" w:color="auto" w:fill="auto"/>
                <w:noWrap/>
                <w:vAlign w:val="center"/>
                <w:hideMark/>
              </w:tcPr>
              <w:p w14:paraId="69DDB3E8"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1319" w:type="dxa"/>
                <w:shd w:val="clear" w:color="auto" w:fill="auto"/>
                <w:noWrap/>
                <w:vAlign w:val="center"/>
                <w:hideMark/>
              </w:tcPr>
              <w:p w14:paraId="794BBF7E"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1161" w:type="dxa"/>
                <w:shd w:val="clear" w:color="auto" w:fill="auto"/>
                <w:noWrap/>
                <w:vAlign w:val="center"/>
                <w:hideMark/>
              </w:tcPr>
              <w:p w14:paraId="69FE3A69"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1079" w:type="dxa"/>
                <w:shd w:val="clear" w:color="auto" w:fill="auto"/>
                <w:noWrap/>
                <w:vAlign w:val="center"/>
                <w:hideMark/>
              </w:tcPr>
              <w:p w14:paraId="5913AEE0"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                182.562.862 </w:t>
                </w:r>
              </w:p>
            </w:tc>
            <w:tc>
              <w:tcPr>
                <w:tcW w:w="955" w:type="dxa"/>
                <w:shd w:val="clear" w:color="auto" w:fill="auto"/>
                <w:noWrap/>
                <w:vAlign w:val="center"/>
                <w:hideMark/>
              </w:tcPr>
              <w:p w14:paraId="6328B452"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r>
          <w:tr w:rsidR="00304C2A" w:rsidRPr="00647EC0" w14:paraId="7A8CE059" w14:textId="77777777" w:rsidTr="00DE0481">
            <w:trPr>
              <w:trHeight w:val="240"/>
            </w:trPr>
            <w:tc>
              <w:tcPr>
                <w:tcW w:w="2965" w:type="dxa"/>
                <w:shd w:val="clear" w:color="auto" w:fill="auto"/>
                <w:noWrap/>
                <w:vAlign w:val="center"/>
                <w:hideMark/>
              </w:tcPr>
              <w:p w14:paraId="62ED362D" w14:textId="407C8BCB" w:rsidR="00647EC0" w:rsidRPr="00647EC0" w:rsidRDefault="00647EC0" w:rsidP="00647EC0">
                <w:pPr>
                  <w:spacing w:after="0" w:line="240" w:lineRule="auto"/>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UNION VIAL RIO PAMPLONITA SAS </w:t>
                </w:r>
              </w:p>
            </w:tc>
            <w:tc>
              <w:tcPr>
                <w:tcW w:w="1490" w:type="dxa"/>
                <w:shd w:val="clear" w:color="auto" w:fill="auto"/>
                <w:noWrap/>
                <w:vAlign w:val="center"/>
                <w:hideMark/>
              </w:tcPr>
              <w:p w14:paraId="41443D61"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              29.784.558.256 </w:t>
                </w:r>
              </w:p>
            </w:tc>
            <w:tc>
              <w:tcPr>
                <w:tcW w:w="1319" w:type="dxa"/>
                <w:shd w:val="clear" w:color="auto" w:fill="auto"/>
                <w:noWrap/>
                <w:vAlign w:val="center"/>
                <w:hideMark/>
              </w:tcPr>
              <w:p w14:paraId="71F394B1"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1161" w:type="dxa"/>
                <w:shd w:val="clear" w:color="auto" w:fill="auto"/>
                <w:noWrap/>
                <w:vAlign w:val="center"/>
                <w:hideMark/>
              </w:tcPr>
              <w:p w14:paraId="289C3E11"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1079" w:type="dxa"/>
                <w:shd w:val="clear" w:color="auto" w:fill="auto"/>
                <w:noWrap/>
                <w:vAlign w:val="center"/>
                <w:hideMark/>
              </w:tcPr>
              <w:p w14:paraId="0D05DE15"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955" w:type="dxa"/>
                <w:shd w:val="clear" w:color="auto" w:fill="auto"/>
                <w:noWrap/>
                <w:vAlign w:val="center"/>
                <w:hideMark/>
              </w:tcPr>
              <w:p w14:paraId="35257F2E"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r>
          <w:tr w:rsidR="00304C2A" w:rsidRPr="00647EC0" w14:paraId="1C6AE805" w14:textId="77777777" w:rsidTr="00DE0481">
            <w:trPr>
              <w:trHeight w:val="240"/>
            </w:trPr>
            <w:tc>
              <w:tcPr>
                <w:tcW w:w="2965" w:type="dxa"/>
                <w:shd w:val="clear" w:color="auto" w:fill="auto"/>
                <w:noWrap/>
                <w:vAlign w:val="center"/>
                <w:hideMark/>
              </w:tcPr>
              <w:p w14:paraId="0987B1F8" w14:textId="050BC257" w:rsidR="00647EC0" w:rsidRPr="00647EC0" w:rsidRDefault="00647EC0" w:rsidP="00647EC0">
                <w:pPr>
                  <w:spacing w:after="0" w:line="240" w:lineRule="auto"/>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VÍA 40 EXPRESS S.A.S. </w:t>
                </w:r>
              </w:p>
            </w:tc>
            <w:tc>
              <w:tcPr>
                <w:tcW w:w="1490" w:type="dxa"/>
                <w:shd w:val="clear" w:color="auto" w:fill="auto"/>
                <w:noWrap/>
                <w:vAlign w:val="center"/>
                <w:hideMark/>
              </w:tcPr>
              <w:p w14:paraId="35C31F7B"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1319" w:type="dxa"/>
                <w:shd w:val="clear" w:color="auto" w:fill="auto"/>
                <w:noWrap/>
                <w:vAlign w:val="center"/>
                <w:hideMark/>
              </w:tcPr>
              <w:p w14:paraId="199B87DB"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1161" w:type="dxa"/>
                <w:shd w:val="clear" w:color="auto" w:fill="auto"/>
                <w:noWrap/>
                <w:vAlign w:val="center"/>
                <w:hideMark/>
              </w:tcPr>
              <w:p w14:paraId="7EB78BAF"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1079" w:type="dxa"/>
                <w:shd w:val="clear" w:color="auto" w:fill="auto"/>
                <w:noWrap/>
                <w:vAlign w:val="center"/>
                <w:hideMark/>
              </w:tcPr>
              <w:p w14:paraId="6276C271"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               1.181.825.340 </w:t>
                </w:r>
              </w:p>
            </w:tc>
            <w:tc>
              <w:tcPr>
                <w:tcW w:w="955" w:type="dxa"/>
                <w:shd w:val="clear" w:color="auto" w:fill="auto"/>
                <w:noWrap/>
                <w:vAlign w:val="center"/>
                <w:hideMark/>
              </w:tcPr>
              <w:p w14:paraId="010E4B49"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r>
          <w:tr w:rsidR="00304C2A" w:rsidRPr="00647EC0" w14:paraId="0C5C71A1" w14:textId="77777777" w:rsidTr="00DE0481">
            <w:trPr>
              <w:trHeight w:val="240"/>
            </w:trPr>
            <w:tc>
              <w:tcPr>
                <w:tcW w:w="2965" w:type="dxa"/>
                <w:shd w:val="clear" w:color="auto" w:fill="auto"/>
                <w:noWrap/>
                <w:vAlign w:val="center"/>
                <w:hideMark/>
              </w:tcPr>
              <w:p w14:paraId="4C53B9A5" w14:textId="2F2B440C" w:rsidR="00647EC0" w:rsidRPr="00647EC0" w:rsidRDefault="00647EC0" w:rsidP="00647EC0">
                <w:pPr>
                  <w:spacing w:after="0" w:line="240" w:lineRule="auto"/>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VIAS DE LAS AMERICAS S.A.S. </w:t>
                </w:r>
              </w:p>
            </w:tc>
            <w:tc>
              <w:tcPr>
                <w:tcW w:w="1490" w:type="dxa"/>
                <w:shd w:val="clear" w:color="auto" w:fill="auto"/>
                <w:noWrap/>
                <w:vAlign w:val="center"/>
                <w:hideMark/>
              </w:tcPr>
              <w:p w14:paraId="4305CC44"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            487.414.404.862 </w:t>
                </w:r>
              </w:p>
            </w:tc>
            <w:tc>
              <w:tcPr>
                <w:tcW w:w="1319" w:type="dxa"/>
                <w:shd w:val="clear" w:color="auto" w:fill="auto"/>
                <w:noWrap/>
                <w:vAlign w:val="center"/>
                <w:hideMark/>
              </w:tcPr>
              <w:p w14:paraId="507A1C47"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1161" w:type="dxa"/>
                <w:shd w:val="clear" w:color="auto" w:fill="auto"/>
                <w:noWrap/>
                <w:vAlign w:val="center"/>
                <w:hideMark/>
              </w:tcPr>
              <w:p w14:paraId="779BA5E2"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c>
              <w:tcPr>
                <w:tcW w:w="1079" w:type="dxa"/>
                <w:shd w:val="clear" w:color="auto" w:fill="auto"/>
                <w:noWrap/>
                <w:vAlign w:val="center"/>
                <w:hideMark/>
              </w:tcPr>
              <w:p w14:paraId="2937C3FE"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xml:space="preserve">            3.238.268.566 </w:t>
                </w:r>
              </w:p>
            </w:tc>
            <w:tc>
              <w:tcPr>
                <w:tcW w:w="955" w:type="dxa"/>
                <w:shd w:val="clear" w:color="auto" w:fill="auto"/>
                <w:noWrap/>
                <w:vAlign w:val="center"/>
                <w:hideMark/>
              </w:tcPr>
              <w:p w14:paraId="5B66A889" w14:textId="77777777" w:rsidR="00647EC0" w:rsidRPr="00647EC0" w:rsidRDefault="00647EC0" w:rsidP="00647EC0">
                <w:pPr>
                  <w:spacing w:after="0" w:line="240" w:lineRule="auto"/>
                  <w:jc w:val="right"/>
                  <w:rPr>
                    <w:rFonts w:ascii="Times New Roman" w:eastAsia="Times New Roman" w:hAnsi="Times New Roman"/>
                    <w:color w:val="000000"/>
                    <w:sz w:val="14"/>
                    <w:szCs w:val="14"/>
                    <w:lang w:eastAsia="es-CO"/>
                  </w:rPr>
                </w:pPr>
                <w:r w:rsidRPr="00647EC0">
                  <w:rPr>
                    <w:rFonts w:ascii="Times New Roman" w:eastAsia="Times New Roman" w:hAnsi="Times New Roman"/>
                    <w:color w:val="000000"/>
                    <w:sz w:val="14"/>
                    <w:szCs w:val="14"/>
                    <w:lang w:eastAsia="es-CO"/>
                  </w:rPr>
                  <w:t> </w:t>
                </w:r>
              </w:p>
            </w:tc>
          </w:tr>
          <w:tr w:rsidR="005A4797" w:rsidRPr="008C6F30" w14:paraId="363A25C0" w14:textId="77777777" w:rsidTr="00DE0481">
            <w:trPr>
              <w:trHeight w:val="240"/>
            </w:trPr>
            <w:tc>
              <w:tcPr>
                <w:tcW w:w="2965" w:type="dxa"/>
                <w:shd w:val="clear" w:color="auto" w:fill="auto"/>
                <w:noWrap/>
                <w:vAlign w:val="center"/>
              </w:tcPr>
              <w:p w14:paraId="06CA74A5" w14:textId="77777777" w:rsidR="008C6F30" w:rsidRPr="008C6F30" w:rsidRDefault="008C6F30" w:rsidP="008C6F30">
                <w:pPr>
                  <w:spacing w:after="0" w:line="240" w:lineRule="auto"/>
                  <w:rPr>
                    <w:rFonts w:ascii="Times New Roman" w:eastAsia="Times New Roman" w:hAnsi="Times New Roman"/>
                    <w:b/>
                    <w:bCs/>
                    <w:color w:val="000000"/>
                    <w:sz w:val="14"/>
                    <w:szCs w:val="14"/>
                    <w:lang w:eastAsia="es-CO"/>
                  </w:rPr>
                </w:pPr>
                <w:r w:rsidRPr="008C6F30">
                  <w:rPr>
                    <w:rFonts w:ascii="Times New Roman" w:eastAsia="Times New Roman" w:hAnsi="Times New Roman"/>
                    <w:b/>
                    <w:bCs/>
                    <w:color w:val="000000"/>
                    <w:sz w:val="14"/>
                    <w:szCs w:val="14"/>
                    <w:lang w:eastAsia="es-CO"/>
                  </w:rPr>
                  <w:t xml:space="preserve">TOTAL </w:t>
                </w:r>
              </w:p>
            </w:tc>
            <w:tc>
              <w:tcPr>
                <w:tcW w:w="1490" w:type="dxa"/>
                <w:shd w:val="clear" w:color="auto" w:fill="auto"/>
                <w:noWrap/>
                <w:vAlign w:val="center"/>
              </w:tcPr>
              <w:p w14:paraId="1FE99CE2" w14:textId="743BE7C4" w:rsidR="008C6F30" w:rsidRPr="008C6F30" w:rsidRDefault="00CF7F2F" w:rsidP="00304C2A">
                <w:pPr>
                  <w:spacing w:after="0" w:line="240" w:lineRule="auto"/>
                  <w:jc w:val="right"/>
                  <w:rPr>
                    <w:b/>
                    <w:color w:val="000000"/>
                    <w:sz w:val="14"/>
                    <w:szCs w:val="14"/>
                    <w:lang w:eastAsia="es-CO"/>
                  </w:rPr>
                </w:pPr>
                <w:r>
                  <w:rPr>
                    <w:b/>
                    <w:color w:val="000000"/>
                    <w:sz w:val="14"/>
                    <w:szCs w:val="14"/>
                  </w:rPr>
                  <w:t xml:space="preserve">     1.161.974.456.65</w:t>
                </w:r>
                <w:r w:rsidR="00304C2A">
                  <w:rPr>
                    <w:b/>
                    <w:color w:val="000000"/>
                    <w:sz w:val="14"/>
                    <w:szCs w:val="14"/>
                  </w:rPr>
                  <w:t>2</w:t>
                </w:r>
              </w:p>
            </w:tc>
            <w:tc>
              <w:tcPr>
                <w:tcW w:w="1319" w:type="dxa"/>
                <w:shd w:val="clear" w:color="auto" w:fill="auto"/>
                <w:noWrap/>
                <w:vAlign w:val="center"/>
              </w:tcPr>
              <w:p w14:paraId="603453C1" w14:textId="1B582395" w:rsidR="008C6F30" w:rsidRPr="008C6F30" w:rsidRDefault="00A557FF" w:rsidP="00304C2A">
                <w:pPr>
                  <w:spacing w:after="0" w:line="240" w:lineRule="auto"/>
                  <w:jc w:val="right"/>
                  <w:rPr>
                    <w:b/>
                    <w:color w:val="000000"/>
                    <w:sz w:val="14"/>
                    <w:szCs w:val="14"/>
                    <w:lang w:eastAsia="es-CO"/>
                  </w:rPr>
                </w:pPr>
                <w:r>
                  <w:rPr>
                    <w:b/>
                    <w:color w:val="000000"/>
                    <w:sz w:val="14"/>
                    <w:szCs w:val="14"/>
                  </w:rPr>
                  <w:t>176.240.541.802</w:t>
                </w:r>
              </w:p>
            </w:tc>
            <w:tc>
              <w:tcPr>
                <w:tcW w:w="1161" w:type="dxa"/>
                <w:shd w:val="clear" w:color="auto" w:fill="auto"/>
                <w:noWrap/>
                <w:vAlign w:val="center"/>
              </w:tcPr>
              <w:p w14:paraId="527E0228" w14:textId="0B1BA5CB" w:rsidR="008C6F30" w:rsidRPr="008C6F30" w:rsidRDefault="00D663F4" w:rsidP="00304C2A">
                <w:pPr>
                  <w:spacing w:after="0" w:line="240" w:lineRule="auto"/>
                  <w:jc w:val="right"/>
                  <w:rPr>
                    <w:b/>
                    <w:color w:val="000000"/>
                    <w:sz w:val="14"/>
                    <w:szCs w:val="14"/>
                    <w:lang w:eastAsia="es-CO"/>
                  </w:rPr>
                </w:pPr>
                <w:r>
                  <w:rPr>
                    <w:b/>
                    <w:color w:val="000000"/>
                    <w:sz w:val="14"/>
                    <w:szCs w:val="14"/>
                  </w:rPr>
                  <w:t>10.546.562.33</w:t>
                </w:r>
                <w:r w:rsidR="00304C2A">
                  <w:rPr>
                    <w:b/>
                    <w:color w:val="000000"/>
                    <w:sz w:val="14"/>
                    <w:szCs w:val="14"/>
                  </w:rPr>
                  <w:t>4</w:t>
                </w:r>
              </w:p>
            </w:tc>
            <w:tc>
              <w:tcPr>
                <w:tcW w:w="1079" w:type="dxa"/>
                <w:shd w:val="clear" w:color="auto" w:fill="auto"/>
                <w:noWrap/>
                <w:vAlign w:val="center"/>
              </w:tcPr>
              <w:p w14:paraId="472599B7" w14:textId="5D5092DE" w:rsidR="008C6F30" w:rsidRPr="008C6F30" w:rsidRDefault="00304C2A" w:rsidP="00304C2A">
                <w:pPr>
                  <w:spacing w:after="0" w:line="240" w:lineRule="auto"/>
                  <w:jc w:val="right"/>
                  <w:rPr>
                    <w:b/>
                    <w:color w:val="000000"/>
                    <w:sz w:val="14"/>
                    <w:szCs w:val="14"/>
                    <w:lang w:eastAsia="es-CO"/>
                  </w:rPr>
                </w:pPr>
                <w:r>
                  <w:rPr>
                    <w:b/>
                    <w:color w:val="000000"/>
                    <w:sz w:val="14"/>
                    <w:szCs w:val="14"/>
                  </w:rPr>
                  <w:t>16.130.353.693</w:t>
                </w:r>
              </w:p>
            </w:tc>
            <w:tc>
              <w:tcPr>
                <w:tcW w:w="955" w:type="dxa"/>
                <w:shd w:val="clear" w:color="auto" w:fill="auto"/>
                <w:noWrap/>
                <w:vAlign w:val="center"/>
              </w:tcPr>
              <w:p w14:paraId="0886CB83" w14:textId="355E2AEA" w:rsidR="008C6F30" w:rsidRPr="008C6F30" w:rsidRDefault="00304C2A" w:rsidP="00304C2A">
                <w:pPr>
                  <w:spacing w:after="0" w:line="240" w:lineRule="auto"/>
                  <w:jc w:val="right"/>
                  <w:rPr>
                    <w:b/>
                    <w:color w:val="000000"/>
                    <w:sz w:val="14"/>
                    <w:szCs w:val="14"/>
                    <w:lang w:eastAsia="es-CO"/>
                  </w:rPr>
                </w:pPr>
                <w:r>
                  <w:rPr>
                    <w:b/>
                    <w:color w:val="000000"/>
                    <w:sz w:val="14"/>
                    <w:szCs w:val="14"/>
                  </w:rPr>
                  <w:t>376.739.895</w:t>
                </w:r>
              </w:p>
            </w:tc>
          </w:tr>
        </w:tbl>
        <w:p w14:paraId="113DFD11" w14:textId="77777777" w:rsidR="005A4797" w:rsidRPr="00931DCE" w:rsidRDefault="005A4797" w:rsidP="005A4797">
          <w:pPr>
            <w:pStyle w:val="Prrafodelista"/>
            <w:spacing w:after="0" w:line="240" w:lineRule="auto"/>
            <w:ind w:left="0"/>
            <w:jc w:val="both"/>
            <w:rPr>
              <w:rFonts w:ascii="Times New Roman" w:hAnsi="Times New Roman"/>
              <w:sz w:val="14"/>
              <w:szCs w:val="14"/>
            </w:rPr>
          </w:pPr>
          <w:r w:rsidRPr="00931DCE">
            <w:rPr>
              <w:rFonts w:ascii="Times New Roman" w:hAnsi="Times New Roman"/>
              <w:sz w:val="14"/>
              <w:szCs w:val="14"/>
            </w:rPr>
            <w:t>Cifras expresadas en pesos</w:t>
          </w:r>
        </w:p>
        <w:p w14:paraId="3A42AE5F" w14:textId="77777777" w:rsidR="008A3A7E" w:rsidRDefault="008A3A7E" w:rsidP="008A3A7E">
          <w:pPr>
            <w:pStyle w:val="Prrafodelista"/>
            <w:spacing w:after="0" w:line="240" w:lineRule="auto"/>
            <w:ind w:left="360"/>
            <w:jc w:val="both"/>
            <w:rPr>
              <w:rFonts w:ascii="Times New Roman" w:hAnsi="Times New Roman"/>
              <w:sz w:val="24"/>
              <w:szCs w:val="24"/>
            </w:rPr>
          </w:pPr>
        </w:p>
        <w:p w14:paraId="4C56D240" w14:textId="77D80EA7" w:rsidR="001C18C8" w:rsidRPr="00931DCE" w:rsidRDefault="001C18C8" w:rsidP="00E60BAB">
          <w:pPr>
            <w:pStyle w:val="Prrafodelista"/>
            <w:numPr>
              <w:ilvl w:val="0"/>
              <w:numId w:val="39"/>
            </w:numPr>
            <w:spacing w:after="0" w:line="240" w:lineRule="auto"/>
            <w:jc w:val="both"/>
            <w:rPr>
              <w:rFonts w:ascii="Times New Roman" w:hAnsi="Times New Roman"/>
              <w:sz w:val="24"/>
              <w:szCs w:val="24"/>
            </w:rPr>
          </w:pPr>
          <w:r>
            <w:rPr>
              <w:rFonts w:ascii="Times New Roman" w:hAnsi="Times New Roman"/>
              <w:sz w:val="24"/>
              <w:szCs w:val="24"/>
            </w:rPr>
            <w:t>La principal variación se origina en el</w:t>
          </w:r>
          <w:r w:rsidRPr="00931DCE">
            <w:rPr>
              <w:rFonts w:ascii="Times New Roman" w:hAnsi="Times New Roman"/>
              <w:sz w:val="24"/>
              <w:szCs w:val="24"/>
            </w:rPr>
            <w:t xml:space="preserve"> reconocimiento de la actualización del CAPEX en aplicación de la técnica de medición establecida para el modo, por valor de </w:t>
          </w:r>
          <w:r w:rsidRPr="001C18C8">
            <w:rPr>
              <w:rFonts w:ascii="Times New Roman" w:hAnsi="Times New Roman"/>
              <w:sz w:val="24"/>
              <w:szCs w:val="24"/>
            </w:rPr>
            <w:t>3.918.462.409.658</w:t>
          </w:r>
          <w:r>
            <w:rPr>
              <w:rFonts w:ascii="Times New Roman" w:hAnsi="Times New Roman"/>
              <w:sz w:val="24"/>
              <w:szCs w:val="24"/>
            </w:rPr>
            <w:t xml:space="preserve"> por red de carretera en construcción y </w:t>
          </w:r>
          <w:r w:rsidR="00304C2A" w:rsidRPr="00304C2A">
            <w:rPr>
              <w:rFonts w:ascii="Times New Roman" w:hAnsi="Times New Roman"/>
              <w:sz w:val="24"/>
              <w:szCs w:val="24"/>
            </w:rPr>
            <w:t>176.240.541.802</w:t>
          </w:r>
          <w:r w:rsidR="00304C2A">
            <w:rPr>
              <w:rFonts w:ascii="Times New Roman" w:hAnsi="Times New Roman"/>
              <w:sz w:val="24"/>
              <w:szCs w:val="24"/>
            </w:rPr>
            <w:t xml:space="preserve"> </w:t>
          </w:r>
          <w:r>
            <w:rPr>
              <w:rFonts w:ascii="Times New Roman" w:hAnsi="Times New Roman"/>
              <w:sz w:val="24"/>
              <w:szCs w:val="24"/>
            </w:rPr>
            <w:t>Por la red de carretera en servicio.</w:t>
          </w:r>
        </w:p>
        <w:p w14:paraId="34F392AE" w14:textId="5081B93E" w:rsidR="00E3359D" w:rsidRPr="00E3359D" w:rsidRDefault="00F64388" w:rsidP="00E60BAB">
          <w:pPr>
            <w:pStyle w:val="Prrafodelista"/>
            <w:numPr>
              <w:ilvl w:val="0"/>
              <w:numId w:val="39"/>
            </w:numPr>
            <w:spacing w:after="0" w:line="240" w:lineRule="auto"/>
            <w:jc w:val="both"/>
            <w:rPr>
              <w:rFonts w:ascii="Times New Roman" w:hAnsi="Times New Roman"/>
              <w:sz w:val="24"/>
              <w:szCs w:val="24"/>
            </w:rPr>
          </w:pPr>
          <w:r w:rsidRPr="00E3359D">
            <w:rPr>
              <w:rFonts w:ascii="Times New Roman" w:hAnsi="Times New Roman"/>
              <w:sz w:val="24"/>
              <w:szCs w:val="24"/>
            </w:rPr>
            <w:t xml:space="preserve">En segundo lugar, la </w:t>
          </w:r>
          <w:r w:rsidR="001C18C8" w:rsidRPr="00E3359D">
            <w:rPr>
              <w:rFonts w:ascii="Times New Roman" w:hAnsi="Times New Roman"/>
              <w:sz w:val="24"/>
              <w:szCs w:val="24"/>
            </w:rPr>
            <w:t>incorporación de saldos contables trasladados por la</w:t>
          </w:r>
          <w:r w:rsidRPr="00E3359D">
            <w:rPr>
              <w:rFonts w:ascii="Times New Roman" w:hAnsi="Times New Roman"/>
              <w:sz w:val="24"/>
              <w:szCs w:val="24"/>
            </w:rPr>
            <w:t>s</w:t>
          </w:r>
          <w:r w:rsidR="001C18C8" w:rsidRPr="00E3359D">
            <w:rPr>
              <w:rFonts w:ascii="Times New Roman" w:hAnsi="Times New Roman"/>
              <w:sz w:val="24"/>
              <w:szCs w:val="24"/>
            </w:rPr>
            <w:t xml:space="preserve"> entidad</w:t>
          </w:r>
          <w:r w:rsidRPr="00E3359D">
            <w:rPr>
              <w:rFonts w:ascii="Times New Roman" w:hAnsi="Times New Roman"/>
              <w:sz w:val="24"/>
              <w:szCs w:val="24"/>
            </w:rPr>
            <w:t>es</w:t>
          </w:r>
          <w:r w:rsidR="001C18C8" w:rsidRPr="00E3359D">
            <w:rPr>
              <w:rFonts w:ascii="Times New Roman" w:hAnsi="Times New Roman"/>
              <w:sz w:val="24"/>
              <w:szCs w:val="24"/>
            </w:rPr>
            <w:t xml:space="preserve"> titular</w:t>
          </w:r>
          <w:r w:rsidRPr="00E3359D">
            <w:rPr>
              <w:rFonts w:ascii="Times New Roman" w:hAnsi="Times New Roman"/>
              <w:sz w:val="24"/>
              <w:szCs w:val="24"/>
            </w:rPr>
            <w:t>es</w:t>
          </w:r>
          <w:r w:rsidR="001C18C8" w:rsidRPr="00E3359D">
            <w:rPr>
              <w:rFonts w:ascii="Times New Roman" w:hAnsi="Times New Roman"/>
              <w:sz w:val="24"/>
              <w:szCs w:val="24"/>
            </w:rPr>
            <w:t xml:space="preserve"> de la infraestructura de transporte (activos entregados al inicio del acuerdo de concesión).</w:t>
          </w:r>
        </w:p>
        <w:p w14:paraId="5DD335D8" w14:textId="2C92F47E" w:rsidR="001C18C8" w:rsidRPr="00E3359D" w:rsidRDefault="00E3359D" w:rsidP="00E60BAB">
          <w:pPr>
            <w:pStyle w:val="Prrafodelista"/>
            <w:numPr>
              <w:ilvl w:val="0"/>
              <w:numId w:val="39"/>
            </w:numPr>
            <w:spacing w:after="0" w:line="240" w:lineRule="auto"/>
            <w:jc w:val="both"/>
            <w:rPr>
              <w:rFonts w:ascii="Times New Roman" w:hAnsi="Times New Roman"/>
              <w:sz w:val="24"/>
              <w:szCs w:val="24"/>
            </w:rPr>
          </w:pPr>
          <w:r w:rsidRPr="00E3359D">
            <w:rPr>
              <w:rFonts w:ascii="Times New Roman" w:hAnsi="Times New Roman"/>
              <w:sz w:val="24"/>
              <w:szCs w:val="24"/>
            </w:rPr>
            <w:t>En tercer lugar, el r</w:t>
          </w:r>
          <w:r w:rsidR="001C18C8" w:rsidRPr="00E3359D">
            <w:rPr>
              <w:rFonts w:ascii="Times New Roman" w:hAnsi="Times New Roman"/>
              <w:sz w:val="24"/>
              <w:szCs w:val="24"/>
            </w:rPr>
            <w:t>econocimiento de la red de carretera en construcción, producto de la materialización riesgos con cargo al Fondo de Contingencias de las Entidades Estatales</w:t>
          </w:r>
          <w:r w:rsidRPr="00E3359D">
            <w:rPr>
              <w:rFonts w:ascii="Times New Roman" w:hAnsi="Times New Roman"/>
              <w:sz w:val="24"/>
              <w:szCs w:val="24"/>
            </w:rPr>
            <w:t>.</w:t>
          </w:r>
        </w:p>
        <w:p w14:paraId="35043D18" w14:textId="77777777" w:rsidR="00A955EE" w:rsidRPr="00931DCE" w:rsidRDefault="00A955EE" w:rsidP="00DD4C8E">
          <w:pPr>
            <w:pStyle w:val="Prrafodelista"/>
            <w:spacing w:after="0" w:line="240" w:lineRule="auto"/>
            <w:ind w:left="0"/>
            <w:jc w:val="both"/>
            <w:rPr>
              <w:rFonts w:ascii="Times New Roman" w:hAnsi="Times New Roman"/>
              <w:sz w:val="24"/>
              <w:szCs w:val="24"/>
            </w:rPr>
          </w:pPr>
        </w:p>
        <w:p w14:paraId="226DB863" w14:textId="6855A5CA" w:rsidR="0046465F" w:rsidRDefault="00DD4C8E" w:rsidP="00165733">
          <w:pPr>
            <w:pStyle w:val="Prrafodelista"/>
            <w:spacing w:after="0" w:line="240" w:lineRule="auto"/>
            <w:ind w:left="0"/>
            <w:jc w:val="both"/>
            <w:rPr>
              <w:rFonts w:ascii="Times New Roman" w:hAnsi="Times New Roman"/>
              <w:sz w:val="24"/>
              <w:szCs w:val="24"/>
            </w:rPr>
          </w:pPr>
          <w:r w:rsidRPr="00931DCE">
            <w:rPr>
              <w:rFonts w:ascii="Times New Roman" w:hAnsi="Times New Roman"/>
              <w:sz w:val="24"/>
              <w:szCs w:val="24"/>
            </w:rPr>
            <w:t xml:space="preserve">Para la red marítima: </w:t>
          </w:r>
          <w:r w:rsidR="00034B34" w:rsidRPr="00931DCE">
            <w:rPr>
              <w:rFonts w:ascii="Times New Roman" w:hAnsi="Times New Roman"/>
              <w:sz w:val="24"/>
              <w:szCs w:val="24"/>
            </w:rPr>
            <w:t xml:space="preserve">este grupo </w:t>
          </w:r>
          <w:r w:rsidR="00A5015E" w:rsidRPr="00931DCE">
            <w:rPr>
              <w:rFonts w:ascii="Times New Roman" w:hAnsi="Times New Roman"/>
              <w:sz w:val="24"/>
              <w:szCs w:val="24"/>
            </w:rPr>
            <w:t>está</w:t>
          </w:r>
          <w:r w:rsidR="00034B34" w:rsidRPr="00931DCE">
            <w:rPr>
              <w:rFonts w:ascii="Times New Roman" w:hAnsi="Times New Roman"/>
              <w:sz w:val="24"/>
              <w:szCs w:val="24"/>
            </w:rPr>
            <w:t xml:space="preserve"> constituido por l</w:t>
          </w:r>
          <w:r w:rsidRPr="00931DCE">
            <w:rPr>
              <w:rFonts w:ascii="Times New Roman" w:hAnsi="Times New Roman"/>
              <w:sz w:val="24"/>
              <w:szCs w:val="24"/>
            </w:rPr>
            <w:t>as edificaciones, muelles, bodegas, silos, casetas, así como las inversiones en dragados capital y demás infraestructura portuaria</w:t>
          </w:r>
          <w:r w:rsidR="00034B34" w:rsidRPr="00931DCE">
            <w:rPr>
              <w:rFonts w:ascii="Times New Roman" w:hAnsi="Times New Roman"/>
              <w:sz w:val="24"/>
              <w:szCs w:val="24"/>
            </w:rPr>
            <w:t xml:space="preserve"> </w:t>
          </w:r>
          <w:r w:rsidR="00642748" w:rsidRPr="00931DCE">
            <w:rPr>
              <w:rFonts w:ascii="Times New Roman" w:hAnsi="Times New Roman"/>
              <w:sz w:val="24"/>
              <w:szCs w:val="24"/>
            </w:rPr>
            <w:t>se</w:t>
          </w:r>
          <w:r w:rsidR="00034B34" w:rsidRPr="00931DCE">
            <w:rPr>
              <w:rFonts w:ascii="Times New Roman" w:hAnsi="Times New Roman"/>
              <w:sz w:val="24"/>
              <w:szCs w:val="24"/>
            </w:rPr>
            <w:t xml:space="preserve"> </w:t>
          </w:r>
          <w:r w:rsidR="00034B34" w:rsidRPr="00931DCE">
            <w:rPr>
              <w:rFonts w:ascii="Times New Roman" w:hAnsi="Times New Roman"/>
              <w:sz w:val="24"/>
              <w:szCs w:val="24"/>
            </w:rPr>
            <w:lastRenderedPageBreak/>
            <w:t>actualiza semestral</w:t>
          </w:r>
          <w:r w:rsidR="00642748" w:rsidRPr="00931DCE">
            <w:rPr>
              <w:rFonts w:ascii="Times New Roman" w:hAnsi="Times New Roman"/>
              <w:sz w:val="24"/>
              <w:szCs w:val="24"/>
            </w:rPr>
            <w:t>mente</w:t>
          </w:r>
          <w:r w:rsidR="00034B34" w:rsidRPr="00931DCE">
            <w:rPr>
              <w:rFonts w:ascii="Times New Roman" w:hAnsi="Times New Roman"/>
              <w:sz w:val="24"/>
              <w:szCs w:val="24"/>
            </w:rPr>
            <w:t>, reportando la inversión realizada en el periodo como infraestructura en construcción y/o servicio, propiedades, planta y equipo y, activos intangibles en concesión</w:t>
          </w:r>
          <w:r w:rsidRPr="00931DCE">
            <w:rPr>
              <w:rFonts w:ascii="Times New Roman" w:hAnsi="Times New Roman"/>
              <w:sz w:val="24"/>
              <w:szCs w:val="24"/>
            </w:rPr>
            <w:t>.</w:t>
          </w:r>
        </w:p>
        <w:p w14:paraId="2246826C" w14:textId="77777777" w:rsidR="00675B15" w:rsidRPr="00675B15" w:rsidRDefault="00675B15" w:rsidP="00165733">
          <w:pPr>
            <w:pStyle w:val="Prrafodelista"/>
            <w:spacing w:after="0" w:line="240" w:lineRule="auto"/>
            <w:ind w:left="0"/>
            <w:jc w:val="both"/>
            <w:rPr>
              <w:rFonts w:ascii="Times New Roman" w:hAnsi="Times New Roman"/>
              <w:sz w:val="24"/>
              <w:szCs w:val="24"/>
            </w:rPr>
          </w:pPr>
        </w:p>
        <w:tbl>
          <w:tblPr>
            <w:tblpPr w:leftFromText="141" w:rightFromText="141" w:vertAnchor="text" w:tblpY="551"/>
            <w:tblW w:w="5075"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4658"/>
            <w:gridCol w:w="1564"/>
            <w:gridCol w:w="1522"/>
            <w:gridCol w:w="1360"/>
          </w:tblGrid>
          <w:tr w:rsidR="0046465F" w:rsidRPr="00675B15" w14:paraId="7E0DDDF0" w14:textId="77777777" w:rsidTr="00471A05">
            <w:trPr>
              <w:trHeight w:val="276"/>
            </w:trPr>
            <w:tc>
              <w:tcPr>
                <w:tcW w:w="2558" w:type="pct"/>
                <w:vMerge w:val="restart"/>
                <w:shd w:val="clear" w:color="auto" w:fill="auto"/>
                <w:vAlign w:val="center"/>
                <w:hideMark/>
              </w:tcPr>
              <w:p w14:paraId="66478029" w14:textId="77777777" w:rsidR="0046465F" w:rsidRPr="00675B15" w:rsidRDefault="0046465F" w:rsidP="00470F28">
                <w:pPr>
                  <w:spacing w:after="0" w:line="240" w:lineRule="auto"/>
                  <w:rPr>
                    <w:rFonts w:ascii="Times New Roman" w:eastAsia="Times New Roman" w:hAnsi="Times New Roman"/>
                    <w:b/>
                    <w:bCs/>
                    <w:color w:val="000000"/>
                    <w:sz w:val="14"/>
                    <w:szCs w:val="14"/>
                    <w:lang w:eastAsia="es-CO"/>
                  </w:rPr>
                </w:pPr>
                <w:r w:rsidRPr="00675B15">
                  <w:rPr>
                    <w:rFonts w:ascii="Times New Roman" w:eastAsia="Times New Roman" w:hAnsi="Times New Roman"/>
                    <w:b/>
                    <w:bCs/>
                    <w:color w:val="000000"/>
                    <w:sz w:val="14"/>
                    <w:szCs w:val="14"/>
                    <w:lang w:eastAsia="es-CO"/>
                  </w:rPr>
                  <w:t>CONCEPTO</w:t>
                </w:r>
              </w:p>
            </w:tc>
            <w:tc>
              <w:tcPr>
                <w:tcW w:w="859" w:type="pct"/>
                <w:shd w:val="clear" w:color="auto" w:fill="auto"/>
                <w:vAlign w:val="center"/>
                <w:hideMark/>
              </w:tcPr>
              <w:p w14:paraId="600C88B3" w14:textId="77777777" w:rsidR="0046465F" w:rsidRPr="00675B15" w:rsidRDefault="0046465F" w:rsidP="00470F28">
                <w:pPr>
                  <w:spacing w:after="0" w:line="240" w:lineRule="auto"/>
                  <w:jc w:val="center"/>
                  <w:rPr>
                    <w:rFonts w:ascii="Times New Roman" w:eastAsia="Times New Roman" w:hAnsi="Times New Roman"/>
                    <w:b/>
                    <w:bCs/>
                    <w:color w:val="000000"/>
                    <w:sz w:val="14"/>
                    <w:szCs w:val="14"/>
                    <w:lang w:eastAsia="es-CO"/>
                  </w:rPr>
                </w:pPr>
                <w:r w:rsidRPr="00675B15">
                  <w:rPr>
                    <w:rFonts w:ascii="Times New Roman" w:eastAsia="Times New Roman" w:hAnsi="Times New Roman"/>
                    <w:b/>
                    <w:bCs/>
                    <w:color w:val="000000"/>
                    <w:sz w:val="14"/>
                    <w:szCs w:val="14"/>
                    <w:lang w:eastAsia="es-CO"/>
                  </w:rPr>
                  <w:t>RED MARITIMA EN SERVICIO</w:t>
                </w:r>
              </w:p>
            </w:tc>
            <w:tc>
              <w:tcPr>
                <w:tcW w:w="1583" w:type="pct"/>
                <w:gridSpan w:val="2"/>
                <w:shd w:val="clear" w:color="auto" w:fill="auto"/>
                <w:vAlign w:val="center"/>
                <w:hideMark/>
              </w:tcPr>
              <w:p w14:paraId="5BE512C4" w14:textId="77777777" w:rsidR="0046465F" w:rsidRPr="00675B15" w:rsidRDefault="0046465F" w:rsidP="00470F28">
                <w:pPr>
                  <w:spacing w:after="0" w:line="240" w:lineRule="auto"/>
                  <w:jc w:val="center"/>
                  <w:rPr>
                    <w:rFonts w:ascii="Times New Roman" w:eastAsia="Times New Roman" w:hAnsi="Times New Roman"/>
                    <w:b/>
                    <w:bCs/>
                    <w:color w:val="000000"/>
                    <w:sz w:val="14"/>
                    <w:szCs w:val="14"/>
                    <w:lang w:eastAsia="es-CO"/>
                  </w:rPr>
                </w:pPr>
                <w:r w:rsidRPr="00675B15">
                  <w:rPr>
                    <w:rFonts w:ascii="Times New Roman" w:eastAsia="Times New Roman" w:hAnsi="Times New Roman"/>
                    <w:b/>
                    <w:bCs/>
                    <w:color w:val="000000"/>
                    <w:sz w:val="14"/>
                    <w:szCs w:val="14"/>
                    <w:lang w:eastAsia="es-CO"/>
                  </w:rPr>
                  <w:t>RED MARITIMA EN CONSTRUCCIÓN</w:t>
                </w:r>
              </w:p>
            </w:tc>
          </w:tr>
          <w:tr w:rsidR="0046465F" w:rsidRPr="00675B15" w14:paraId="00CA27B3" w14:textId="77777777" w:rsidTr="00471A05">
            <w:trPr>
              <w:trHeight w:val="276"/>
            </w:trPr>
            <w:tc>
              <w:tcPr>
                <w:tcW w:w="2558" w:type="pct"/>
                <w:vMerge/>
                <w:shd w:val="clear" w:color="auto" w:fill="auto"/>
                <w:vAlign w:val="center"/>
                <w:hideMark/>
              </w:tcPr>
              <w:p w14:paraId="7508403D" w14:textId="77777777" w:rsidR="0046465F" w:rsidRPr="00675B15" w:rsidRDefault="0046465F" w:rsidP="00470F28">
                <w:pPr>
                  <w:spacing w:after="0" w:line="240" w:lineRule="auto"/>
                  <w:rPr>
                    <w:rFonts w:ascii="Times New Roman" w:eastAsia="Times New Roman" w:hAnsi="Times New Roman"/>
                    <w:b/>
                    <w:bCs/>
                    <w:color w:val="000000"/>
                    <w:sz w:val="14"/>
                    <w:szCs w:val="14"/>
                    <w:lang w:eastAsia="es-CO"/>
                  </w:rPr>
                </w:pPr>
              </w:p>
            </w:tc>
            <w:tc>
              <w:tcPr>
                <w:tcW w:w="859" w:type="pct"/>
                <w:shd w:val="clear" w:color="auto" w:fill="auto"/>
                <w:vAlign w:val="center"/>
                <w:hideMark/>
              </w:tcPr>
              <w:p w14:paraId="58954E55" w14:textId="77777777" w:rsidR="0046465F" w:rsidRPr="00675B15" w:rsidRDefault="0046465F" w:rsidP="00470F28">
                <w:pPr>
                  <w:spacing w:after="0" w:line="240" w:lineRule="auto"/>
                  <w:jc w:val="center"/>
                  <w:rPr>
                    <w:rFonts w:ascii="Times New Roman" w:eastAsia="Times New Roman" w:hAnsi="Times New Roman"/>
                    <w:b/>
                    <w:bCs/>
                    <w:color w:val="000000"/>
                    <w:sz w:val="14"/>
                    <w:szCs w:val="14"/>
                    <w:lang w:eastAsia="es-CO"/>
                  </w:rPr>
                </w:pPr>
                <w:r w:rsidRPr="00675B15">
                  <w:rPr>
                    <w:rFonts w:ascii="Times New Roman" w:eastAsia="Times New Roman" w:hAnsi="Times New Roman"/>
                    <w:b/>
                    <w:bCs/>
                    <w:color w:val="000000"/>
                    <w:sz w:val="14"/>
                    <w:szCs w:val="14"/>
                    <w:lang w:eastAsia="es-CO"/>
                  </w:rPr>
                  <w:t>Actualización Inversión</w:t>
                </w:r>
              </w:p>
            </w:tc>
            <w:tc>
              <w:tcPr>
                <w:tcW w:w="836" w:type="pct"/>
                <w:shd w:val="clear" w:color="auto" w:fill="auto"/>
                <w:vAlign w:val="center"/>
                <w:hideMark/>
              </w:tcPr>
              <w:p w14:paraId="72EAFB8D" w14:textId="77777777" w:rsidR="0046465F" w:rsidRPr="00675B15" w:rsidRDefault="0046465F" w:rsidP="00470F28">
                <w:pPr>
                  <w:spacing w:after="0" w:line="240" w:lineRule="auto"/>
                  <w:jc w:val="center"/>
                  <w:rPr>
                    <w:rFonts w:ascii="Times New Roman" w:eastAsia="Times New Roman" w:hAnsi="Times New Roman"/>
                    <w:b/>
                    <w:bCs/>
                    <w:color w:val="000000"/>
                    <w:sz w:val="14"/>
                    <w:szCs w:val="14"/>
                    <w:lang w:eastAsia="es-CO"/>
                  </w:rPr>
                </w:pPr>
                <w:r w:rsidRPr="00675B15">
                  <w:rPr>
                    <w:rFonts w:ascii="Times New Roman" w:eastAsia="Times New Roman" w:hAnsi="Times New Roman"/>
                    <w:b/>
                    <w:bCs/>
                    <w:color w:val="000000"/>
                    <w:sz w:val="14"/>
                    <w:szCs w:val="14"/>
                    <w:lang w:eastAsia="es-CO"/>
                  </w:rPr>
                  <w:t>Actualización Inversión</w:t>
                </w:r>
              </w:p>
            </w:tc>
            <w:tc>
              <w:tcPr>
                <w:tcW w:w="747" w:type="pct"/>
                <w:shd w:val="clear" w:color="auto" w:fill="auto"/>
                <w:vAlign w:val="center"/>
                <w:hideMark/>
              </w:tcPr>
              <w:p w14:paraId="3BC146E9" w14:textId="77777777" w:rsidR="0046465F" w:rsidRPr="00675B15" w:rsidRDefault="0046465F" w:rsidP="00470F28">
                <w:pPr>
                  <w:spacing w:after="0" w:line="240" w:lineRule="auto"/>
                  <w:jc w:val="center"/>
                  <w:rPr>
                    <w:rFonts w:ascii="Times New Roman" w:eastAsia="Times New Roman" w:hAnsi="Times New Roman"/>
                    <w:b/>
                    <w:bCs/>
                    <w:color w:val="000000"/>
                    <w:sz w:val="14"/>
                    <w:szCs w:val="14"/>
                    <w:lang w:eastAsia="es-CO"/>
                  </w:rPr>
                </w:pPr>
                <w:r w:rsidRPr="00675B15">
                  <w:rPr>
                    <w:rFonts w:ascii="Times New Roman" w:eastAsia="Times New Roman" w:hAnsi="Times New Roman"/>
                    <w:b/>
                    <w:bCs/>
                    <w:color w:val="000000"/>
                    <w:sz w:val="14"/>
                    <w:szCs w:val="14"/>
                    <w:lang w:eastAsia="es-CO"/>
                  </w:rPr>
                  <w:t>Saldos traslados por el INVÍAS</w:t>
                </w:r>
              </w:p>
            </w:tc>
          </w:tr>
          <w:tr w:rsidR="0046465F" w:rsidRPr="00675B15" w14:paraId="1077688C" w14:textId="77777777" w:rsidTr="00471A05">
            <w:trPr>
              <w:trHeight w:val="276"/>
            </w:trPr>
            <w:tc>
              <w:tcPr>
                <w:tcW w:w="2558" w:type="pct"/>
                <w:shd w:val="clear" w:color="auto" w:fill="auto"/>
                <w:vAlign w:val="center"/>
                <w:hideMark/>
              </w:tcPr>
              <w:p w14:paraId="6661A357" w14:textId="77777777" w:rsidR="0046465F" w:rsidRPr="00675B15" w:rsidRDefault="0046465F" w:rsidP="00470F28">
                <w:pPr>
                  <w:spacing w:after="0" w:line="240" w:lineRule="auto"/>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ALGRANEL S.A.</w:t>
                </w:r>
              </w:p>
            </w:tc>
            <w:tc>
              <w:tcPr>
                <w:tcW w:w="859" w:type="pct"/>
                <w:shd w:val="clear" w:color="auto" w:fill="auto"/>
                <w:noWrap/>
                <w:vAlign w:val="center"/>
                <w:hideMark/>
              </w:tcPr>
              <w:p w14:paraId="4AC42BFB"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xml:space="preserve">            3.421.827.382 </w:t>
                </w:r>
              </w:p>
            </w:tc>
            <w:tc>
              <w:tcPr>
                <w:tcW w:w="836" w:type="pct"/>
                <w:shd w:val="clear" w:color="auto" w:fill="auto"/>
                <w:noWrap/>
                <w:vAlign w:val="center"/>
                <w:hideMark/>
              </w:tcPr>
              <w:p w14:paraId="62D80649"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xml:space="preserve">     13.983.263.350 </w:t>
                </w:r>
              </w:p>
            </w:tc>
            <w:tc>
              <w:tcPr>
                <w:tcW w:w="747" w:type="pct"/>
                <w:shd w:val="clear" w:color="auto" w:fill="auto"/>
                <w:noWrap/>
                <w:vAlign w:val="center"/>
                <w:hideMark/>
              </w:tcPr>
              <w:p w14:paraId="14761103"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w:t>
                </w:r>
              </w:p>
            </w:tc>
          </w:tr>
          <w:tr w:rsidR="0046465F" w:rsidRPr="00675B15" w14:paraId="0A99FC0D" w14:textId="77777777" w:rsidTr="00471A05">
            <w:trPr>
              <w:trHeight w:val="276"/>
            </w:trPr>
            <w:tc>
              <w:tcPr>
                <w:tcW w:w="2558" w:type="pct"/>
                <w:shd w:val="clear" w:color="auto" w:fill="auto"/>
                <w:vAlign w:val="center"/>
                <w:hideMark/>
              </w:tcPr>
              <w:p w14:paraId="4FF28F23" w14:textId="77777777" w:rsidR="0046465F" w:rsidRPr="00675B15" w:rsidRDefault="0046465F" w:rsidP="00470F28">
                <w:pPr>
                  <w:spacing w:after="0" w:line="240" w:lineRule="auto"/>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ATUNAMAR LTDA</w:t>
                </w:r>
              </w:p>
            </w:tc>
            <w:tc>
              <w:tcPr>
                <w:tcW w:w="859" w:type="pct"/>
                <w:shd w:val="clear" w:color="auto" w:fill="auto"/>
                <w:noWrap/>
                <w:vAlign w:val="center"/>
                <w:hideMark/>
              </w:tcPr>
              <w:p w14:paraId="276A081C"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w:t>
                </w:r>
              </w:p>
            </w:tc>
            <w:tc>
              <w:tcPr>
                <w:tcW w:w="836" w:type="pct"/>
                <w:shd w:val="clear" w:color="auto" w:fill="auto"/>
                <w:noWrap/>
                <w:vAlign w:val="center"/>
                <w:hideMark/>
              </w:tcPr>
              <w:p w14:paraId="29C5DE35"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xml:space="preserve">           233.117.638 </w:t>
                </w:r>
              </w:p>
            </w:tc>
            <w:tc>
              <w:tcPr>
                <w:tcW w:w="747" w:type="pct"/>
                <w:shd w:val="clear" w:color="auto" w:fill="auto"/>
                <w:noWrap/>
                <w:vAlign w:val="center"/>
                <w:hideMark/>
              </w:tcPr>
              <w:p w14:paraId="26EA6E66"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w:t>
                </w:r>
              </w:p>
            </w:tc>
          </w:tr>
          <w:tr w:rsidR="0046465F" w:rsidRPr="00675B15" w14:paraId="07288E08" w14:textId="77777777" w:rsidTr="00471A05">
            <w:trPr>
              <w:trHeight w:val="276"/>
            </w:trPr>
            <w:tc>
              <w:tcPr>
                <w:tcW w:w="2558" w:type="pct"/>
                <w:shd w:val="clear" w:color="auto" w:fill="auto"/>
                <w:vAlign w:val="center"/>
                <w:hideMark/>
              </w:tcPr>
              <w:p w14:paraId="50672CA7" w14:textId="77777777" w:rsidR="0046465F" w:rsidRPr="00675B15" w:rsidRDefault="0046465F" w:rsidP="00470F28">
                <w:pPr>
                  <w:spacing w:after="0" w:line="240" w:lineRule="auto"/>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CENIT TRANSPORTE Y LOGÍSTICA DE HIDROCARBUROS S.A.S.</w:t>
                </w:r>
              </w:p>
            </w:tc>
            <w:tc>
              <w:tcPr>
                <w:tcW w:w="859" w:type="pct"/>
                <w:shd w:val="clear" w:color="auto" w:fill="auto"/>
                <w:noWrap/>
                <w:vAlign w:val="center"/>
                <w:hideMark/>
              </w:tcPr>
              <w:p w14:paraId="2128E9C6"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w:t>
                </w:r>
              </w:p>
            </w:tc>
            <w:tc>
              <w:tcPr>
                <w:tcW w:w="836" w:type="pct"/>
                <w:shd w:val="clear" w:color="auto" w:fill="auto"/>
                <w:noWrap/>
                <w:vAlign w:val="center"/>
                <w:hideMark/>
              </w:tcPr>
              <w:p w14:paraId="399D0202"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w:t>
                </w:r>
              </w:p>
            </w:tc>
            <w:tc>
              <w:tcPr>
                <w:tcW w:w="747" w:type="pct"/>
                <w:shd w:val="clear" w:color="auto" w:fill="auto"/>
                <w:noWrap/>
                <w:vAlign w:val="center"/>
                <w:hideMark/>
              </w:tcPr>
              <w:p w14:paraId="5762DF97"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xml:space="preserve">    62.717.235.200 </w:t>
                </w:r>
              </w:p>
            </w:tc>
          </w:tr>
          <w:tr w:rsidR="0046465F" w:rsidRPr="00675B15" w14:paraId="02381B68" w14:textId="77777777" w:rsidTr="00471A05">
            <w:trPr>
              <w:trHeight w:val="276"/>
            </w:trPr>
            <w:tc>
              <w:tcPr>
                <w:tcW w:w="2558" w:type="pct"/>
                <w:shd w:val="clear" w:color="auto" w:fill="auto"/>
                <w:vAlign w:val="center"/>
                <w:hideMark/>
              </w:tcPr>
              <w:p w14:paraId="39DD8B25" w14:textId="77777777" w:rsidR="0046465F" w:rsidRPr="00675B15" w:rsidRDefault="0046465F" w:rsidP="00470F28">
                <w:pPr>
                  <w:spacing w:after="0" w:line="240" w:lineRule="auto"/>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COMPAÑIA DE PUERTOS ASOCIADOS S.A.</w:t>
                </w:r>
              </w:p>
            </w:tc>
            <w:tc>
              <w:tcPr>
                <w:tcW w:w="859" w:type="pct"/>
                <w:shd w:val="clear" w:color="auto" w:fill="auto"/>
                <w:noWrap/>
                <w:vAlign w:val="center"/>
                <w:hideMark/>
              </w:tcPr>
              <w:p w14:paraId="032FD3CD"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xml:space="preserve">         11.349.605.721 </w:t>
                </w:r>
              </w:p>
            </w:tc>
            <w:tc>
              <w:tcPr>
                <w:tcW w:w="836" w:type="pct"/>
                <w:shd w:val="clear" w:color="auto" w:fill="auto"/>
                <w:noWrap/>
                <w:vAlign w:val="center"/>
                <w:hideMark/>
              </w:tcPr>
              <w:p w14:paraId="5CDD0C47"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xml:space="preserve">        2.860.592.686 </w:t>
                </w:r>
              </w:p>
            </w:tc>
            <w:tc>
              <w:tcPr>
                <w:tcW w:w="747" w:type="pct"/>
                <w:shd w:val="clear" w:color="auto" w:fill="auto"/>
                <w:noWrap/>
                <w:vAlign w:val="center"/>
                <w:hideMark/>
              </w:tcPr>
              <w:p w14:paraId="272CF177"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w:t>
                </w:r>
              </w:p>
            </w:tc>
          </w:tr>
          <w:tr w:rsidR="0046465F" w:rsidRPr="00675B15" w14:paraId="0E0EB2C5" w14:textId="77777777" w:rsidTr="00471A05">
            <w:trPr>
              <w:trHeight w:val="276"/>
            </w:trPr>
            <w:tc>
              <w:tcPr>
                <w:tcW w:w="2558" w:type="pct"/>
                <w:shd w:val="clear" w:color="auto" w:fill="auto"/>
                <w:vAlign w:val="center"/>
                <w:hideMark/>
              </w:tcPr>
              <w:p w14:paraId="3D800899" w14:textId="77777777" w:rsidR="0046465F" w:rsidRPr="00675B15" w:rsidRDefault="0046465F" w:rsidP="00470F28">
                <w:pPr>
                  <w:spacing w:after="0" w:line="240" w:lineRule="auto"/>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COREMAR SHORE BASE SA</w:t>
                </w:r>
              </w:p>
            </w:tc>
            <w:tc>
              <w:tcPr>
                <w:tcW w:w="859" w:type="pct"/>
                <w:shd w:val="clear" w:color="auto" w:fill="auto"/>
                <w:noWrap/>
                <w:vAlign w:val="center"/>
                <w:hideMark/>
              </w:tcPr>
              <w:p w14:paraId="73D6A8AD"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xml:space="preserve">               431.172.196 </w:t>
                </w:r>
              </w:p>
            </w:tc>
            <w:tc>
              <w:tcPr>
                <w:tcW w:w="836" w:type="pct"/>
                <w:shd w:val="clear" w:color="auto" w:fill="auto"/>
                <w:noWrap/>
                <w:vAlign w:val="center"/>
                <w:hideMark/>
              </w:tcPr>
              <w:p w14:paraId="0D11F68D"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xml:space="preserve">              11.359.919 </w:t>
                </w:r>
              </w:p>
            </w:tc>
            <w:tc>
              <w:tcPr>
                <w:tcW w:w="747" w:type="pct"/>
                <w:shd w:val="clear" w:color="auto" w:fill="auto"/>
                <w:noWrap/>
                <w:vAlign w:val="center"/>
                <w:hideMark/>
              </w:tcPr>
              <w:p w14:paraId="052C42E3"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w:t>
                </w:r>
              </w:p>
            </w:tc>
          </w:tr>
          <w:tr w:rsidR="0046465F" w:rsidRPr="00675B15" w14:paraId="6AD96CF5" w14:textId="77777777" w:rsidTr="00471A05">
            <w:trPr>
              <w:trHeight w:val="276"/>
            </w:trPr>
            <w:tc>
              <w:tcPr>
                <w:tcW w:w="2558" w:type="pct"/>
                <w:shd w:val="clear" w:color="auto" w:fill="auto"/>
                <w:vAlign w:val="center"/>
                <w:hideMark/>
              </w:tcPr>
              <w:p w14:paraId="64ECDACC" w14:textId="77777777" w:rsidR="0046465F" w:rsidRPr="00675B15" w:rsidRDefault="0046465F" w:rsidP="00470F28">
                <w:pPr>
                  <w:spacing w:after="0" w:line="240" w:lineRule="auto"/>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ECOPETROL S A</w:t>
                </w:r>
              </w:p>
            </w:tc>
            <w:tc>
              <w:tcPr>
                <w:tcW w:w="859" w:type="pct"/>
                <w:shd w:val="clear" w:color="auto" w:fill="auto"/>
                <w:noWrap/>
                <w:vAlign w:val="center"/>
                <w:hideMark/>
              </w:tcPr>
              <w:p w14:paraId="6D92BCE4"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xml:space="preserve">         53.148.188.283 </w:t>
                </w:r>
              </w:p>
            </w:tc>
            <w:tc>
              <w:tcPr>
                <w:tcW w:w="836" w:type="pct"/>
                <w:shd w:val="clear" w:color="auto" w:fill="auto"/>
                <w:noWrap/>
                <w:vAlign w:val="center"/>
                <w:hideMark/>
              </w:tcPr>
              <w:p w14:paraId="31656F8A"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w:t>
                </w:r>
              </w:p>
            </w:tc>
            <w:tc>
              <w:tcPr>
                <w:tcW w:w="747" w:type="pct"/>
                <w:shd w:val="clear" w:color="auto" w:fill="auto"/>
                <w:noWrap/>
                <w:vAlign w:val="center"/>
                <w:hideMark/>
              </w:tcPr>
              <w:p w14:paraId="1B74CC97"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w:t>
                </w:r>
              </w:p>
            </w:tc>
          </w:tr>
          <w:tr w:rsidR="0046465F" w:rsidRPr="00675B15" w14:paraId="2F3FED1C" w14:textId="77777777" w:rsidTr="00471A05">
            <w:trPr>
              <w:trHeight w:val="276"/>
            </w:trPr>
            <w:tc>
              <w:tcPr>
                <w:tcW w:w="2558" w:type="pct"/>
                <w:shd w:val="clear" w:color="auto" w:fill="auto"/>
                <w:vAlign w:val="center"/>
                <w:hideMark/>
              </w:tcPr>
              <w:p w14:paraId="3235E45F" w14:textId="77777777" w:rsidR="0046465F" w:rsidRPr="00675B15" w:rsidRDefault="0046465F" w:rsidP="00470F28">
                <w:pPr>
                  <w:spacing w:after="0" w:line="240" w:lineRule="auto"/>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NUEVA SOCIEDAD PORTUARIA ZONA ATLANTICA   S A</w:t>
                </w:r>
              </w:p>
            </w:tc>
            <w:tc>
              <w:tcPr>
                <w:tcW w:w="859" w:type="pct"/>
                <w:shd w:val="clear" w:color="auto" w:fill="auto"/>
                <w:noWrap/>
                <w:vAlign w:val="center"/>
                <w:hideMark/>
              </w:tcPr>
              <w:p w14:paraId="5886E39B"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w:t>
                </w:r>
              </w:p>
            </w:tc>
            <w:tc>
              <w:tcPr>
                <w:tcW w:w="836" w:type="pct"/>
                <w:shd w:val="clear" w:color="auto" w:fill="auto"/>
                <w:noWrap/>
                <w:vAlign w:val="center"/>
                <w:hideMark/>
              </w:tcPr>
              <w:p w14:paraId="49D69C02"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xml:space="preserve">           816.898.241 </w:t>
                </w:r>
              </w:p>
            </w:tc>
            <w:tc>
              <w:tcPr>
                <w:tcW w:w="747" w:type="pct"/>
                <w:shd w:val="clear" w:color="auto" w:fill="auto"/>
                <w:noWrap/>
                <w:vAlign w:val="center"/>
                <w:hideMark/>
              </w:tcPr>
              <w:p w14:paraId="492BC561"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w:t>
                </w:r>
              </w:p>
            </w:tc>
          </w:tr>
          <w:tr w:rsidR="0046465F" w:rsidRPr="00675B15" w14:paraId="3F414D39" w14:textId="77777777" w:rsidTr="00471A05">
            <w:trPr>
              <w:trHeight w:val="276"/>
            </w:trPr>
            <w:tc>
              <w:tcPr>
                <w:tcW w:w="2558" w:type="pct"/>
                <w:shd w:val="clear" w:color="auto" w:fill="auto"/>
                <w:vAlign w:val="center"/>
                <w:hideMark/>
              </w:tcPr>
              <w:p w14:paraId="427820F7" w14:textId="77777777" w:rsidR="0046465F" w:rsidRPr="00675B15" w:rsidRDefault="0046465F" w:rsidP="00470F28">
                <w:pPr>
                  <w:spacing w:after="0" w:line="240" w:lineRule="auto"/>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OILTANKING COLOMBIA S.A.</w:t>
                </w:r>
              </w:p>
            </w:tc>
            <w:tc>
              <w:tcPr>
                <w:tcW w:w="859" w:type="pct"/>
                <w:shd w:val="clear" w:color="auto" w:fill="auto"/>
                <w:noWrap/>
                <w:vAlign w:val="center"/>
                <w:hideMark/>
              </w:tcPr>
              <w:p w14:paraId="15957CC0"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xml:space="preserve">               484.411.498 </w:t>
                </w:r>
              </w:p>
            </w:tc>
            <w:tc>
              <w:tcPr>
                <w:tcW w:w="836" w:type="pct"/>
                <w:shd w:val="clear" w:color="auto" w:fill="auto"/>
                <w:noWrap/>
                <w:vAlign w:val="center"/>
                <w:hideMark/>
              </w:tcPr>
              <w:p w14:paraId="22DF7D23"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xml:space="preserve">              25.782.240 </w:t>
                </w:r>
              </w:p>
            </w:tc>
            <w:tc>
              <w:tcPr>
                <w:tcW w:w="747" w:type="pct"/>
                <w:shd w:val="clear" w:color="auto" w:fill="auto"/>
                <w:noWrap/>
                <w:vAlign w:val="center"/>
                <w:hideMark/>
              </w:tcPr>
              <w:p w14:paraId="72D061B5"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w:t>
                </w:r>
              </w:p>
            </w:tc>
          </w:tr>
          <w:tr w:rsidR="0046465F" w:rsidRPr="00675B15" w14:paraId="7369C4C8" w14:textId="77777777" w:rsidTr="00471A05">
            <w:trPr>
              <w:trHeight w:val="276"/>
            </w:trPr>
            <w:tc>
              <w:tcPr>
                <w:tcW w:w="2558" w:type="pct"/>
                <w:shd w:val="clear" w:color="auto" w:fill="auto"/>
                <w:vAlign w:val="center"/>
                <w:hideMark/>
              </w:tcPr>
              <w:p w14:paraId="473C4FE9" w14:textId="77777777" w:rsidR="0046465F" w:rsidRPr="00675B15" w:rsidRDefault="0046465F" w:rsidP="00470F28">
                <w:pPr>
                  <w:spacing w:after="0" w:line="240" w:lineRule="auto"/>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OLEODUCTO CENTRAL S.A.</w:t>
                </w:r>
              </w:p>
            </w:tc>
            <w:tc>
              <w:tcPr>
                <w:tcW w:w="859" w:type="pct"/>
                <w:shd w:val="clear" w:color="auto" w:fill="auto"/>
                <w:noWrap/>
                <w:vAlign w:val="center"/>
                <w:hideMark/>
              </w:tcPr>
              <w:p w14:paraId="6FD26D11"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w:t>
                </w:r>
              </w:p>
            </w:tc>
            <w:tc>
              <w:tcPr>
                <w:tcW w:w="836" w:type="pct"/>
                <w:shd w:val="clear" w:color="auto" w:fill="auto"/>
                <w:noWrap/>
                <w:vAlign w:val="center"/>
                <w:hideMark/>
              </w:tcPr>
              <w:p w14:paraId="76AF13B1"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xml:space="preserve">        2.556.141.675 </w:t>
                </w:r>
              </w:p>
            </w:tc>
            <w:tc>
              <w:tcPr>
                <w:tcW w:w="747" w:type="pct"/>
                <w:shd w:val="clear" w:color="auto" w:fill="auto"/>
                <w:noWrap/>
                <w:vAlign w:val="center"/>
                <w:hideMark/>
              </w:tcPr>
              <w:p w14:paraId="35936A82"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w:t>
                </w:r>
              </w:p>
            </w:tc>
          </w:tr>
          <w:tr w:rsidR="0046465F" w:rsidRPr="00675B15" w14:paraId="73F766F9" w14:textId="77777777" w:rsidTr="00471A05">
            <w:trPr>
              <w:trHeight w:val="276"/>
            </w:trPr>
            <w:tc>
              <w:tcPr>
                <w:tcW w:w="2558" w:type="pct"/>
                <w:shd w:val="clear" w:color="auto" w:fill="auto"/>
                <w:vAlign w:val="center"/>
                <w:hideMark/>
              </w:tcPr>
              <w:p w14:paraId="3BAF1867" w14:textId="77777777" w:rsidR="0046465F" w:rsidRPr="00675B15" w:rsidRDefault="0046465F" w:rsidP="00470F28">
                <w:pPr>
                  <w:spacing w:after="0" w:line="240" w:lineRule="auto"/>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PETROLEOS Y DERIVADOS DE COLOMBIA S.A.</w:t>
                </w:r>
              </w:p>
            </w:tc>
            <w:tc>
              <w:tcPr>
                <w:tcW w:w="859" w:type="pct"/>
                <w:shd w:val="clear" w:color="auto" w:fill="auto"/>
                <w:noWrap/>
                <w:vAlign w:val="center"/>
                <w:hideMark/>
              </w:tcPr>
              <w:p w14:paraId="4748090D"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xml:space="preserve">               141.061.298 </w:t>
                </w:r>
              </w:p>
            </w:tc>
            <w:tc>
              <w:tcPr>
                <w:tcW w:w="836" w:type="pct"/>
                <w:shd w:val="clear" w:color="auto" w:fill="auto"/>
                <w:noWrap/>
                <w:vAlign w:val="center"/>
                <w:hideMark/>
              </w:tcPr>
              <w:p w14:paraId="31900533"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w:t>
                </w:r>
              </w:p>
            </w:tc>
            <w:tc>
              <w:tcPr>
                <w:tcW w:w="747" w:type="pct"/>
                <w:shd w:val="clear" w:color="auto" w:fill="auto"/>
                <w:noWrap/>
                <w:vAlign w:val="center"/>
                <w:hideMark/>
              </w:tcPr>
              <w:p w14:paraId="7D244852"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w:t>
                </w:r>
              </w:p>
            </w:tc>
          </w:tr>
          <w:tr w:rsidR="0046465F" w:rsidRPr="00675B15" w14:paraId="48A55400" w14:textId="77777777" w:rsidTr="00471A05">
            <w:trPr>
              <w:trHeight w:val="276"/>
            </w:trPr>
            <w:tc>
              <w:tcPr>
                <w:tcW w:w="2558" w:type="pct"/>
                <w:shd w:val="clear" w:color="auto" w:fill="auto"/>
                <w:vAlign w:val="center"/>
                <w:hideMark/>
              </w:tcPr>
              <w:p w14:paraId="753661F4" w14:textId="77777777" w:rsidR="0046465F" w:rsidRPr="00675B15" w:rsidRDefault="0046465F" w:rsidP="00470F28">
                <w:pPr>
                  <w:spacing w:after="0" w:line="240" w:lineRule="auto"/>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PUERTO BAHIA COLOMBIA DE URABA SA</w:t>
                </w:r>
              </w:p>
            </w:tc>
            <w:tc>
              <w:tcPr>
                <w:tcW w:w="859" w:type="pct"/>
                <w:shd w:val="clear" w:color="auto" w:fill="auto"/>
                <w:noWrap/>
                <w:vAlign w:val="center"/>
                <w:hideMark/>
              </w:tcPr>
              <w:p w14:paraId="4258C573"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xml:space="preserve">       912.537.561.454 </w:t>
                </w:r>
              </w:p>
            </w:tc>
            <w:tc>
              <w:tcPr>
                <w:tcW w:w="836" w:type="pct"/>
                <w:shd w:val="clear" w:color="auto" w:fill="auto"/>
                <w:noWrap/>
                <w:vAlign w:val="center"/>
                <w:hideMark/>
              </w:tcPr>
              <w:p w14:paraId="629BB7B3"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w:t>
                </w:r>
              </w:p>
            </w:tc>
            <w:tc>
              <w:tcPr>
                <w:tcW w:w="747" w:type="pct"/>
                <w:shd w:val="clear" w:color="auto" w:fill="auto"/>
                <w:noWrap/>
                <w:vAlign w:val="center"/>
                <w:hideMark/>
              </w:tcPr>
              <w:p w14:paraId="0AE32F96"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w:t>
                </w:r>
              </w:p>
            </w:tc>
          </w:tr>
          <w:tr w:rsidR="0046465F" w:rsidRPr="00675B15" w14:paraId="70159CD5" w14:textId="77777777" w:rsidTr="00471A05">
            <w:trPr>
              <w:trHeight w:val="276"/>
            </w:trPr>
            <w:tc>
              <w:tcPr>
                <w:tcW w:w="2558" w:type="pct"/>
                <w:shd w:val="clear" w:color="auto" w:fill="auto"/>
                <w:vAlign w:val="center"/>
                <w:hideMark/>
              </w:tcPr>
              <w:p w14:paraId="09945AEC" w14:textId="77777777" w:rsidR="0046465F" w:rsidRPr="00675B15" w:rsidRDefault="0046465F" w:rsidP="00470F28">
                <w:pPr>
                  <w:spacing w:after="0" w:line="240" w:lineRule="auto"/>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SOCIEDAD PUERTO INDUSTRIAL AGUADULCE S.A.</w:t>
                </w:r>
              </w:p>
            </w:tc>
            <w:tc>
              <w:tcPr>
                <w:tcW w:w="859" w:type="pct"/>
                <w:shd w:val="clear" w:color="auto" w:fill="auto"/>
                <w:noWrap/>
                <w:vAlign w:val="center"/>
                <w:hideMark/>
              </w:tcPr>
              <w:p w14:paraId="1B70B7D3"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xml:space="preserve">         10.277.097.433 </w:t>
                </w:r>
              </w:p>
            </w:tc>
            <w:tc>
              <w:tcPr>
                <w:tcW w:w="836" w:type="pct"/>
                <w:shd w:val="clear" w:color="auto" w:fill="auto"/>
                <w:noWrap/>
                <w:vAlign w:val="center"/>
                <w:hideMark/>
              </w:tcPr>
              <w:p w14:paraId="4E48D3F2"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w:t>
                </w:r>
              </w:p>
            </w:tc>
            <w:tc>
              <w:tcPr>
                <w:tcW w:w="747" w:type="pct"/>
                <w:shd w:val="clear" w:color="auto" w:fill="auto"/>
                <w:noWrap/>
                <w:vAlign w:val="center"/>
                <w:hideMark/>
              </w:tcPr>
              <w:p w14:paraId="5AF7D0E4"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w:t>
                </w:r>
              </w:p>
            </w:tc>
          </w:tr>
          <w:tr w:rsidR="0046465F" w:rsidRPr="00675B15" w14:paraId="489AB80F" w14:textId="77777777" w:rsidTr="00471A05">
            <w:trPr>
              <w:trHeight w:val="276"/>
            </w:trPr>
            <w:tc>
              <w:tcPr>
                <w:tcW w:w="2558" w:type="pct"/>
                <w:shd w:val="clear" w:color="auto" w:fill="auto"/>
                <w:vAlign w:val="center"/>
                <w:hideMark/>
              </w:tcPr>
              <w:p w14:paraId="082E87B3" w14:textId="77777777" w:rsidR="0046465F" w:rsidRPr="00675B15" w:rsidRDefault="0046465F" w:rsidP="00470F28">
                <w:pPr>
                  <w:spacing w:after="0" w:line="240" w:lineRule="auto"/>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SOCIEDAD PORTUARIA PUERTO BAHIA S. A</w:t>
                </w:r>
              </w:p>
            </w:tc>
            <w:tc>
              <w:tcPr>
                <w:tcW w:w="859" w:type="pct"/>
                <w:shd w:val="clear" w:color="auto" w:fill="auto"/>
                <w:noWrap/>
                <w:vAlign w:val="center"/>
                <w:hideMark/>
              </w:tcPr>
              <w:p w14:paraId="7C189C4A"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w:t>
                </w:r>
              </w:p>
            </w:tc>
            <w:tc>
              <w:tcPr>
                <w:tcW w:w="836" w:type="pct"/>
                <w:shd w:val="clear" w:color="auto" w:fill="auto"/>
                <w:noWrap/>
                <w:vAlign w:val="center"/>
                <w:hideMark/>
              </w:tcPr>
              <w:p w14:paraId="5730C0E9"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w:t>
                </w:r>
              </w:p>
            </w:tc>
            <w:tc>
              <w:tcPr>
                <w:tcW w:w="747" w:type="pct"/>
                <w:shd w:val="clear" w:color="auto" w:fill="auto"/>
                <w:noWrap/>
                <w:vAlign w:val="center"/>
                <w:hideMark/>
              </w:tcPr>
              <w:p w14:paraId="04659891"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xml:space="preserve">          249.187.985 </w:t>
                </w:r>
              </w:p>
            </w:tc>
          </w:tr>
          <w:tr w:rsidR="0046465F" w:rsidRPr="00675B15" w14:paraId="1386E1E7" w14:textId="77777777" w:rsidTr="00471A05">
            <w:trPr>
              <w:trHeight w:val="276"/>
            </w:trPr>
            <w:tc>
              <w:tcPr>
                <w:tcW w:w="2558" w:type="pct"/>
                <w:shd w:val="clear" w:color="auto" w:fill="auto"/>
                <w:vAlign w:val="center"/>
                <w:hideMark/>
              </w:tcPr>
              <w:p w14:paraId="7293F8EE" w14:textId="77777777" w:rsidR="0046465F" w:rsidRPr="00675B15" w:rsidRDefault="0046465F" w:rsidP="00470F28">
                <w:pPr>
                  <w:spacing w:after="0" w:line="240" w:lineRule="auto"/>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SOCIEDAD PORTUARIA BAVARIA S.A.</w:t>
                </w:r>
              </w:p>
            </w:tc>
            <w:tc>
              <w:tcPr>
                <w:tcW w:w="859" w:type="pct"/>
                <w:shd w:val="clear" w:color="auto" w:fill="auto"/>
                <w:noWrap/>
                <w:vAlign w:val="center"/>
                <w:hideMark/>
              </w:tcPr>
              <w:p w14:paraId="31C1A85D"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w:t>
                </w:r>
              </w:p>
            </w:tc>
            <w:tc>
              <w:tcPr>
                <w:tcW w:w="836" w:type="pct"/>
                <w:shd w:val="clear" w:color="auto" w:fill="auto"/>
                <w:noWrap/>
                <w:vAlign w:val="center"/>
                <w:hideMark/>
              </w:tcPr>
              <w:p w14:paraId="6D64D2D2"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xml:space="preserve">              66.576.064 </w:t>
                </w:r>
              </w:p>
            </w:tc>
            <w:tc>
              <w:tcPr>
                <w:tcW w:w="747" w:type="pct"/>
                <w:shd w:val="clear" w:color="auto" w:fill="auto"/>
                <w:noWrap/>
                <w:vAlign w:val="center"/>
                <w:hideMark/>
              </w:tcPr>
              <w:p w14:paraId="4FF8B6BA"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w:t>
                </w:r>
              </w:p>
            </w:tc>
          </w:tr>
          <w:tr w:rsidR="0046465F" w:rsidRPr="00675B15" w14:paraId="21AD141E" w14:textId="77777777" w:rsidTr="00471A05">
            <w:trPr>
              <w:trHeight w:val="276"/>
            </w:trPr>
            <w:tc>
              <w:tcPr>
                <w:tcW w:w="2558" w:type="pct"/>
                <w:shd w:val="clear" w:color="auto" w:fill="auto"/>
                <w:vAlign w:val="center"/>
                <w:hideMark/>
              </w:tcPr>
              <w:p w14:paraId="389516B6" w14:textId="77777777" w:rsidR="0046465F" w:rsidRPr="00675B15" w:rsidRDefault="0046465F" w:rsidP="00470F28">
                <w:pPr>
                  <w:spacing w:after="0" w:line="240" w:lineRule="auto"/>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SOCIEDAD PORTUARIA BITA RM S.A.</w:t>
                </w:r>
              </w:p>
            </w:tc>
            <w:tc>
              <w:tcPr>
                <w:tcW w:w="859" w:type="pct"/>
                <w:shd w:val="clear" w:color="auto" w:fill="auto"/>
                <w:noWrap/>
                <w:vAlign w:val="center"/>
                <w:hideMark/>
              </w:tcPr>
              <w:p w14:paraId="4A951C02"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xml:space="preserve">               587.887.547 </w:t>
                </w:r>
              </w:p>
            </w:tc>
            <w:tc>
              <w:tcPr>
                <w:tcW w:w="836" w:type="pct"/>
                <w:shd w:val="clear" w:color="auto" w:fill="auto"/>
                <w:noWrap/>
                <w:vAlign w:val="center"/>
                <w:hideMark/>
              </w:tcPr>
              <w:p w14:paraId="5560550A"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w:t>
                </w:r>
              </w:p>
            </w:tc>
            <w:tc>
              <w:tcPr>
                <w:tcW w:w="747" w:type="pct"/>
                <w:shd w:val="clear" w:color="auto" w:fill="auto"/>
                <w:noWrap/>
                <w:vAlign w:val="center"/>
                <w:hideMark/>
              </w:tcPr>
              <w:p w14:paraId="6BAB3214"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w:t>
                </w:r>
              </w:p>
            </w:tc>
          </w:tr>
          <w:tr w:rsidR="0046465F" w:rsidRPr="00675B15" w14:paraId="5018AB80" w14:textId="77777777" w:rsidTr="00471A05">
            <w:trPr>
              <w:trHeight w:val="276"/>
            </w:trPr>
            <w:tc>
              <w:tcPr>
                <w:tcW w:w="2558" w:type="pct"/>
                <w:shd w:val="clear" w:color="auto" w:fill="auto"/>
                <w:vAlign w:val="center"/>
                <w:hideMark/>
              </w:tcPr>
              <w:p w14:paraId="07E97747" w14:textId="77777777" w:rsidR="0046465F" w:rsidRPr="00675B15" w:rsidRDefault="0046465F" w:rsidP="00470F28">
                <w:pPr>
                  <w:spacing w:after="0" w:line="240" w:lineRule="auto"/>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SOCIEDAD PORTUARIA PUERTO NUEVO S.A.</w:t>
                </w:r>
              </w:p>
            </w:tc>
            <w:tc>
              <w:tcPr>
                <w:tcW w:w="859" w:type="pct"/>
                <w:shd w:val="clear" w:color="auto" w:fill="auto"/>
                <w:noWrap/>
                <w:vAlign w:val="center"/>
                <w:hideMark/>
              </w:tcPr>
              <w:p w14:paraId="229190FF"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w:t>
                </w:r>
              </w:p>
            </w:tc>
            <w:tc>
              <w:tcPr>
                <w:tcW w:w="836" w:type="pct"/>
                <w:shd w:val="clear" w:color="auto" w:fill="auto"/>
                <w:noWrap/>
                <w:vAlign w:val="center"/>
                <w:hideMark/>
              </w:tcPr>
              <w:p w14:paraId="457454F0"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xml:space="preserve">                           0,18 </w:t>
                </w:r>
              </w:p>
            </w:tc>
            <w:tc>
              <w:tcPr>
                <w:tcW w:w="747" w:type="pct"/>
                <w:shd w:val="clear" w:color="auto" w:fill="auto"/>
                <w:noWrap/>
                <w:vAlign w:val="center"/>
                <w:hideMark/>
              </w:tcPr>
              <w:p w14:paraId="1AEB4DE9"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xml:space="preserve">       7.074.252.500 </w:t>
                </w:r>
              </w:p>
            </w:tc>
          </w:tr>
          <w:tr w:rsidR="0046465F" w:rsidRPr="00675B15" w14:paraId="15D3B742" w14:textId="77777777" w:rsidTr="00471A05">
            <w:trPr>
              <w:trHeight w:val="276"/>
            </w:trPr>
            <w:tc>
              <w:tcPr>
                <w:tcW w:w="2558" w:type="pct"/>
                <w:shd w:val="clear" w:color="auto" w:fill="auto"/>
                <w:vAlign w:val="center"/>
                <w:hideMark/>
              </w:tcPr>
              <w:p w14:paraId="5D782EC1" w14:textId="77777777" w:rsidR="0046465F" w:rsidRPr="00675B15" w:rsidRDefault="0046465F" w:rsidP="00470F28">
                <w:pPr>
                  <w:spacing w:after="0" w:line="240" w:lineRule="auto"/>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SOCIEDAD PORTUARIA REGIONAL DE BUENAVENTURA S.A. S.P.R. BUN</w:t>
                </w:r>
              </w:p>
            </w:tc>
            <w:tc>
              <w:tcPr>
                <w:tcW w:w="859" w:type="pct"/>
                <w:shd w:val="clear" w:color="auto" w:fill="auto"/>
                <w:noWrap/>
                <w:vAlign w:val="center"/>
                <w:hideMark/>
              </w:tcPr>
              <w:p w14:paraId="66A69979"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w:t>
                </w:r>
              </w:p>
            </w:tc>
            <w:tc>
              <w:tcPr>
                <w:tcW w:w="836" w:type="pct"/>
                <w:shd w:val="clear" w:color="auto" w:fill="auto"/>
                <w:noWrap/>
                <w:vAlign w:val="center"/>
                <w:hideMark/>
              </w:tcPr>
              <w:p w14:paraId="205A9E5C"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w:t>
                </w:r>
              </w:p>
            </w:tc>
            <w:tc>
              <w:tcPr>
                <w:tcW w:w="747" w:type="pct"/>
                <w:shd w:val="clear" w:color="auto" w:fill="auto"/>
                <w:noWrap/>
                <w:vAlign w:val="center"/>
                <w:hideMark/>
              </w:tcPr>
              <w:p w14:paraId="4F79FC5F"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xml:space="preserve">    64.359.362.094 </w:t>
                </w:r>
              </w:p>
            </w:tc>
          </w:tr>
          <w:tr w:rsidR="0046465F" w:rsidRPr="00675B15" w14:paraId="1822453A" w14:textId="77777777" w:rsidTr="00471A05">
            <w:trPr>
              <w:trHeight w:val="276"/>
            </w:trPr>
            <w:tc>
              <w:tcPr>
                <w:tcW w:w="2558" w:type="pct"/>
                <w:shd w:val="clear" w:color="auto" w:fill="auto"/>
                <w:vAlign w:val="center"/>
                <w:hideMark/>
              </w:tcPr>
              <w:p w14:paraId="762A2448" w14:textId="77777777" w:rsidR="0046465F" w:rsidRPr="00675B15" w:rsidRDefault="0046465F" w:rsidP="00470F28">
                <w:pPr>
                  <w:spacing w:after="0" w:line="240" w:lineRule="auto"/>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xml:space="preserve">SOCIEDAD PORTUARIA REGIONAL DE CARTAGENA S.A. </w:t>
                </w:r>
              </w:p>
            </w:tc>
            <w:tc>
              <w:tcPr>
                <w:tcW w:w="859" w:type="pct"/>
                <w:shd w:val="clear" w:color="auto" w:fill="auto"/>
                <w:noWrap/>
                <w:vAlign w:val="center"/>
                <w:hideMark/>
              </w:tcPr>
              <w:p w14:paraId="49BEDF08"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xml:space="preserve">            2.890.325.720 </w:t>
                </w:r>
              </w:p>
            </w:tc>
            <w:tc>
              <w:tcPr>
                <w:tcW w:w="836" w:type="pct"/>
                <w:shd w:val="clear" w:color="auto" w:fill="auto"/>
                <w:noWrap/>
                <w:vAlign w:val="center"/>
                <w:hideMark/>
              </w:tcPr>
              <w:p w14:paraId="3A7F1FEE"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xml:space="preserve">        3.770.245.568 </w:t>
                </w:r>
              </w:p>
            </w:tc>
            <w:tc>
              <w:tcPr>
                <w:tcW w:w="747" w:type="pct"/>
                <w:shd w:val="clear" w:color="auto" w:fill="auto"/>
                <w:noWrap/>
                <w:vAlign w:val="center"/>
                <w:hideMark/>
              </w:tcPr>
              <w:p w14:paraId="39F8C820"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xml:space="preserve">    25.647.837.076 </w:t>
                </w:r>
              </w:p>
            </w:tc>
          </w:tr>
          <w:tr w:rsidR="0046465F" w:rsidRPr="00675B15" w14:paraId="1638BA5C" w14:textId="77777777" w:rsidTr="00471A05">
            <w:trPr>
              <w:trHeight w:val="276"/>
            </w:trPr>
            <w:tc>
              <w:tcPr>
                <w:tcW w:w="2558" w:type="pct"/>
                <w:shd w:val="clear" w:color="auto" w:fill="auto"/>
                <w:vAlign w:val="center"/>
                <w:hideMark/>
              </w:tcPr>
              <w:p w14:paraId="75C66E20" w14:textId="77777777" w:rsidR="0046465F" w:rsidRPr="00675B15" w:rsidRDefault="0046465F" w:rsidP="00470F28">
                <w:pPr>
                  <w:spacing w:after="0" w:line="240" w:lineRule="auto"/>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SOCIEDAD PORTUARIA REGIONAL DE SANTA MARTA S. A</w:t>
                </w:r>
              </w:p>
            </w:tc>
            <w:tc>
              <w:tcPr>
                <w:tcW w:w="859" w:type="pct"/>
                <w:shd w:val="clear" w:color="auto" w:fill="auto"/>
                <w:noWrap/>
                <w:vAlign w:val="center"/>
                <w:hideMark/>
              </w:tcPr>
              <w:p w14:paraId="587BBA55"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w:t>
                </w:r>
              </w:p>
            </w:tc>
            <w:tc>
              <w:tcPr>
                <w:tcW w:w="836" w:type="pct"/>
                <w:shd w:val="clear" w:color="auto" w:fill="auto"/>
                <w:noWrap/>
                <w:vAlign w:val="center"/>
                <w:hideMark/>
              </w:tcPr>
              <w:p w14:paraId="1DA840B3"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xml:space="preserve">     49.947.374.330 </w:t>
                </w:r>
              </w:p>
            </w:tc>
            <w:tc>
              <w:tcPr>
                <w:tcW w:w="747" w:type="pct"/>
                <w:shd w:val="clear" w:color="auto" w:fill="auto"/>
                <w:noWrap/>
                <w:vAlign w:val="center"/>
                <w:hideMark/>
              </w:tcPr>
              <w:p w14:paraId="5AC6C321"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w:t>
                </w:r>
              </w:p>
            </w:tc>
          </w:tr>
          <w:tr w:rsidR="0046465F" w:rsidRPr="00675B15" w14:paraId="54EA33A2" w14:textId="77777777" w:rsidTr="00471A05">
            <w:trPr>
              <w:trHeight w:val="276"/>
            </w:trPr>
            <w:tc>
              <w:tcPr>
                <w:tcW w:w="2558" w:type="pct"/>
                <w:shd w:val="clear" w:color="auto" w:fill="auto"/>
                <w:vAlign w:val="center"/>
                <w:hideMark/>
              </w:tcPr>
              <w:p w14:paraId="19520815" w14:textId="77777777" w:rsidR="0046465F" w:rsidRPr="00675B15" w:rsidRDefault="0046465F" w:rsidP="00470F28">
                <w:pPr>
                  <w:spacing w:after="0" w:line="240" w:lineRule="auto"/>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SOCIEDAD PORTUARIA TERMINAL DE IFO'S S.A.</w:t>
                </w:r>
              </w:p>
            </w:tc>
            <w:tc>
              <w:tcPr>
                <w:tcW w:w="859" w:type="pct"/>
                <w:shd w:val="clear" w:color="auto" w:fill="auto"/>
                <w:noWrap/>
                <w:vAlign w:val="center"/>
                <w:hideMark/>
              </w:tcPr>
              <w:p w14:paraId="7B0CCAFE"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xml:space="preserve">               731.007.293 </w:t>
                </w:r>
              </w:p>
            </w:tc>
            <w:tc>
              <w:tcPr>
                <w:tcW w:w="836" w:type="pct"/>
                <w:shd w:val="clear" w:color="auto" w:fill="auto"/>
                <w:noWrap/>
                <w:vAlign w:val="center"/>
                <w:hideMark/>
              </w:tcPr>
              <w:p w14:paraId="34D46969"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w:t>
                </w:r>
              </w:p>
            </w:tc>
            <w:tc>
              <w:tcPr>
                <w:tcW w:w="747" w:type="pct"/>
                <w:shd w:val="clear" w:color="auto" w:fill="auto"/>
                <w:noWrap/>
                <w:vAlign w:val="center"/>
                <w:hideMark/>
              </w:tcPr>
              <w:p w14:paraId="53DCB3CA"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w:t>
                </w:r>
              </w:p>
            </w:tc>
          </w:tr>
          <w:tr w:rsidR="0046465F" w:rsidRPr="00675B15" w14:paraId="0171FC08" w14:textId="77777777" w:rsidTr="00471A05">
            <w:trPr>
              <w:trHeight w:val="276"/>
            </w:trPr>
            <w:tc>
              <w:tcPr>
                <w:tcW w:w="2558" w:type="pct"/>
                <w:shd w:val="clear" w:color="auto" w:fill="auto"/>
                <w:vAlign w:val="center"/>
                <w:hideMark/>
              </w:tcPr>
              <w:p w14:paraId="37CBB33B" w14:textId="77777777" w:rsidR="0046465F" w:rsidRPr="00675B15" w:rsidRDefault="0046465F" w:rsidP="00470F28">
                <w:pPr>
                  <w:spacing w:after="0" w:line="240" w:lineRule="auto"/>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TERMINAL DE CONTENEDORES DE CARTAGENA S.A.</w:t>
                </w:r>
              </w:p>
            </w:tc>
            <w:tc>
              <w:tcPr>
                <w:tcW w:w="859" w:type="pct"/>
                <w:shd w:val="clear" w:color="auto" w:fill="auto"/>
                <w:noWrap/>
                <w:vAlign w:val="center"/>
                <w:hideMark/>
              </w:tcPr>
              <w:p w14:paraId="1CA7AF0F"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xml:space="preserve">            1.768.358.262 </w:t>
                </w:r>
              </w:p>
            </w:tc>
            <w:tc>
              <w:tcPr>
                <w:tcW w:w="836" w:type="pct"/>
                <w:shd w:val="clear" w:color="auto" w:fill="auto"/>
                <w:noWrap/>
                <w:vAlign w:val="center"/>
                <w:hideMark/>
              </w:tcPr>
              <w:p w14:paraId="67F39702"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xml:space="preserve">     16.621.065.274 </w:t>
                </w:r>
              </w:p>
            </w:tc>
            <w:tc>
              <w:tcPr>
                <w:tcW w:w="747" w:type="pct"/>
                <w:shd w:val="clear" w:color="auto" w:fill="auto"/>
                <w:noWrap/>
                <w:vAlign w:val="center"/>
                <w:hideMark/>
              </w:tcPr>
              <w:p w14:paraId="06F50949"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w:t>
                </w:r>
              </w:p>
            </w:tc>
          </w:tr>
          <w:tr w:rsidR="0046465F" w:rsidRPr="00675B15" w14:paraId="6BEB5D98" w14:textId="77777777" w:rsidTr="00471A05">
            <w:trPr>
              <w:trHeight w:val="276"/>
            </w:trPr>
            <w:tc>
              <w:tcPr>
                <w:tcW w:w="2558" w:type="pct"/>
                <w:shd w:val="clear" w:color="auto" w:fill="auto"/>
                <w:vAlign w:val="center"/>
                <w:hideMark/>
              </w:tcPr>
              <w:p w14:paraId="0CDE6F77" w14:textId="77777777" w:rsidR="0046465F" w:rsidRPr="00675B15" w:rsidRDefault="0046465F" w:rsidP="00470F28">
                <w:pPr>
                  <w:spacing w:after="0" w:line="240" w:lineRule="auto"/>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VOPAK COLOMBIA S. A</w:t>
                </w:r>
              </w:p>
            </w:tc>
            <w:tc>
              <w:tcPr>
                <w:tcW w:w="859" w:type="pct"/>
                <w:shd w:val="clear" w:color="auto" w:fill="auto"/>
                <w:noWrap/>
                <w:vAlign w:val="center"/>
                <w:hideMark/>
              </w:tcPr>
              <w:p w14:paraId="4C66D051"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xml:space="preserve">               390.175.731 </w:t>
                </w:r>
              </w:p>
            </w:tc>
            <w:tc>
              <w:tcPr>
                <w:tcW w:w="836" w:type="pct"/>
                <w:shd w:val="clear" w:color="auto" w:fill="auto"/>
                <w:noWrap/>
                <w:vAlign w:val="center"/>
                <w:hideMark/>
              </w:tcPr>
              <w:p w14:paraId="1F529F96"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w:t>
                </w:r>
              </w:p>
            </w:tc>
            <w:tc>
              <w:tcPr>
                <w:tcW w:w="747" w:type="pct"/>
                <w:shd w:val="clear" w:color="auto" w:fill="auto"/>
                <w:noWrap/>
                <w:vAlign w:val="center"/>
                <w:hideMark/>
              </w:tcPr>
              <w:p w14:paraId="3FC10BB8"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w:t>
                </w:r>
              </w:p>
            </w:tc>
          </w:tr>
          <w:tr w:rsidR="0046465F" w:rsidRPr="00675B15" w14:paraId="24D4A803" w14:textId="77777777" w:rsidTr="00471A05">
            <w:trPr>
              <w:trHeight w:val="276"/>
            </w:trPr>
            <w:tc>
              <w:tcPr>
                <w:tcW w:w="2558" w:type="pct"/>
                <w:shd w:val="clear" w:color="auto" w:fill="auto"/>
                <w:vAlign w:val="center"/>
                <w:hideMark/>
              </w:tcPr>
              <w:p w14:paraId="3F72828F" w14:textId="77777777" w:rsidR="0046465F" w:rsidRPr="00675B15" w:rsidRDefault="0046465F" w:rsidP="00470F28">
                <w:pPr>
                  <w:spacing w:after="0" w:line="240" w:lineRule="auto"/>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ZONA FRANCA ARGOS S.A.S.</w:t>
                </w:r>
              </w:p>
            </w:tc>
            <w:tc>
              <w:tcPr>
                <w:tcW w:w="859" w:type="pct"/>
                <w:shd w:val="clear" w:color="auto" w:fill="auto"/>
                <w:noWrap/>
                <w:vAlign w:val="center"/>
                <w:hideMark/>
              </w:tcPr>
              <w:p w14:paraId="270788FC"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xml:space="preserve">         38.657.524.634 </w:t>
                </w:r>
              </w:p>
            </w:tc>
            <w:tc>
              <w:tcPr>
                <w:tcW w:w="836" w:type="pct"/>
                <w:shd w:val="clear" w:color="auto" w:fill="auto"/>
                <w:vAlign w:val="center"/>
                <w:hideMark/>
              </w:tcPr>
              <w:p w14:paraId="671EE7A3"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xml:space="preserve">        3.774.356.494 </w:t>
                </w:r>
              </w:p>
            </w:tc>
            <w:tc>
              <w:tcPr>
                <w:tcW w:w="747" w:type="pct"/>
                <w:shd w:val="clear" w:color="auto" w:fill="auto"/>
                <w:vAlign w:val="center"/>
                <w:hideMark/>
              </w:tcPr>
              <w:p w14:paraId="27A94BFB" w14:textId="77777777" w:rsidR="0046465F" w:rsidRPr="00675B15" w:rsidRDefault="0046465F" w:rsidP="00470F28">
                <w:pPr>
                  <w:spacing w:after="0" w:line="240" w:lineRule="auto"/>
                  <w:jc w:val="right"/>
                  <w:rPr>
                    <w:rFonts w:ascii="Times New Roman" w:eastAsia="Times New Roman" w:hAnsi="Times New Roman"/>
                    <w:color w:val="000000"/>
                    <w:sz w:val="14"/>
                    <w:szCs w:val="14"/>
                    <w:lang w:eastAsia="es-CO"/>
                  </w:rPr>
                </w:pPr>
                <w:r w:rsidRPr="00675B15">
                  <w:rPr>
                    <w:rFonts w:ascii="Times New Roman" w:eastAsia="Times New Roman" w:hAnsi="Times New Roman"/>
                    <w:color w:val="000000"/>
                    <w:sz w:val="14"/>
                    <w:szCs w:val="14"/>
                    <w:lang w:eastAsia="es-CO"/>
                  </w:rPr>
                  <w:t xml:space="preserve">    15.990.520.824 </w:t>
                </w:r>
              </w:p>
            </w:tc>
          </w:tr>
          <w:tr w:rsidR="0046465F" w:rsidRPr="00675B15" w14:paraId="0756010F" w14:textId="77777777" w:rsidTr="00471A05">
            <w:trPr>
              <w:trHeight w:val="276"/>
            </w:trPr>
            <w:tc>
              <w:tcPr>
                <w:tcW w:w="2558" w:type="pct"/>
                <w:shd w:val="clear" w:color="auto" w:fill="auto"/>
                <w:vAlign w:val="center"/>
                <w:hideMark/>
              </w:tcPr>
              <w:p w14:paraId="0D3E4E0A" w14:textId="77777777" w:rsidR="0046465F" w:rsidRPr="00675B15" w:rsidRDefault="0046465F" w:rsidP="00470F28">
                <w:pPr>
                  <w:spacing w:after="0" w:line="240" w:lineRule="auto"/>
                  <w:rPr>
                    <w:rFonts w:ascii="Times New Roman" w:eastAsia="Times New Roman" w:hAnsi="Times New Roman"/>
                    <w:b/>
                    <w:bCs/>
                    <w:color w:val="000000"/>
                    <w:sz w:val="14"/>
                    <w:szCs w:val="14"/>
                    <w:lang w:eastAsia="es-CO"/>
                  </w:rPr>
                </w:pPr>
                <w:r w:rsidRPr="00675B15">
                  <w:rPr>
                    <w:rFonts w:ascii="Times New Roman" w:eastAsia="Times New Roman" w:hAnsi="Times New Roman"/>
                    <w:b/>
                    <w:bCs/>
                    <w:color w:val="000000"/>
                    <w:sz w:val="14"/>
                    <w:szCs w:val="14"/>
                    <w:lang w:eastAsia="es-CO"/>
                  </w:rPr>
                  <w:t>TOTAL</w:t>
                </w:r>
              </w:p>
            </w:tc>
            <w:tc>
              <w:tcPr>
                <w:tcW w:w="859" w:type="pct"/>
                <w:shd w:val="clear" w:color="auto" w:fill="auto"/>
                <w:noWrap/>
                <w:vAlign w:val="center"/>
                <w:hideMark/>
              </w:tcPr>
              <w:p w14:paraId="2A448C08" w14:textId="77777777" w:rsidR="0046465F" w:rsidRPr="00675B15" w:rsidRDefault="0046465F" w:rsidP="00470F28">
                <w:pPr>
                  <w:spacing w:after="0" w:line="240" w:lineRule="auto"/>
                  <w:jc w:val="right"/>
                  <w:rPr>
                    <w:rFonts w:ascii="Times New Roman" w:eastAsia="Times New Roman" w:hAnsi="Times New Roman"/>
                    <w:b/>
                    <w:bCs/>
                    <w:color w:val="000000"/>
                    <w:sz w:val="14"/>
                    <w:szCs w:val="14"/>
                    <w:lang w:eastAsia="es-CO"/>
                  </w:rPr>
                </w:pPr>
                <w:r w:rsidRPr="00675B15">
                  <w:rPr>
                    <w:rFonts w:ascii="Times New Roman" w:eastAsia="Times New Roman" w:hAnsi="Times New Roman"/>
                    <w:b/>
                    <w:bCs/>
                    <w:color w:val="000000"/>
                    <w:sz w:val="14"/>
                    <w:szCs w:val="14"/>
                    <w:lang w:eastAsia="es-CO"/>
                  </w:rPr>
                  <w:t xml:space="preserve">   1.036.816.204.452 </w:t>
                </w:r>
              </w:p>
            </w:tc>
            <w:tc>
              <w:tcPr>
                <w:tcW w:w="836" w:type="pct"/>
                <w:shd w:val="clear" w:color="auto" w:fill="auto"/>
                <w:noWrap/>
                <w:vAlign w:val="center"/>
                <w:hideMark/>
              </w:tcPr>
              <w:p w14:paraId="22BCE3CD" w14:textId="77777777" w:rsidR="0046465F" w:rsidRPr="00675B15" w:rsidRDefault="0046465F" w:rsidP="00470F28">
                <w:pPr>
                  <w:spacing w:after="0" w:line="240" w:lineRule="auto"/>
                  <w:jc w:val="right"/>
                  <w:rPr>
                    <w:rFonts w:ascii="Times New Roman" w:eastAsia="Times New Roman" w:hAnsi="Times New Roman"/>
                    <w:b/>
                    <w:bCs/>
                    <w:color w:val="000000"/>
                    <w:sz w:val="14"/>
                    <w:szCs w:val="14"/>
                    <w:lang w:eastAsia="es-CO"/>
                  </w:rPr>
                </w:pPr>
                <w:r w:rsidRPr="00675B15">
                  <w:rPr>
                    <w:rFonts w:ascii="Times New Roman" w:eastAsia="Times New Roman" w:hAnsi="Times New Roman"/>
                    <w:b/>
                    <w:bCs/>
                    <w:color w:val="000000"/>
                    <w:sz w:val="14"/>
                    <w:szCs w:val="14"/>
                    <w:lang w:eastAsia="es-CO"/>
                  </w:rPr>
                  <w:t xml:space="preserve">     94.666.773.479 </w:t>
                </w:r>
              </w:p>
            </w:tc>
            <w:tc>
              <w:tcPr>
                <w:tcW w:w="747" w:type="pct"/>
                <w:shd w:val="clear" w:color="auto" w:fill="auto"/>
                <w:noWrap/>
                <w:vAlign w:val="center"/>
                <w:hideMark/>
              </w:tcPr>
              <w:p w14:paraId="437C0198" w14:textId="77777777" w:rsidR="0046465F" w:rsidRPr="00675B15" w:rsidRDefault="0046465F" w:rsidP="00470F28">
                <w:pPr>
                  <w:spacing w:after="0" w:line="240" w:lineRule="auto"/>
                  <w:jc w:val="right"/>
                  <w:rPr>
                    <w:rFonts w:ascii="Times New Roman" w:eastAsia="Times New Roman" w:hAnsi="Times New Roman"/>
                    <w:b/>
                    <w:bCs/>
                    <w:color w:val="000000"/>
                    <w:sz w:val="14"/>
                    <w:szCs w:val="14"/>
                    <w:lang w:eastAsia="es-CO"/>
                  </w:rPr>
                </w:pPr>
                <w:r w:rsidRPr="00675B15">
                  <w:rPr>
                    <w:rFonts w:ascii="Times New Roman" w:eastAsia="Times New Roman" w:hAnsi="Times New Roman"/>
                    <w:b/>
                    <w:bCs/>
                    <w:color w:val="000000"/>
                    <w:sz w:val="14"/>
                    <w:szCs w:val="14"/>
                    <w:lang w:eastAsia="es-CO"/>
                  </w:rPr>
                  <w:t xml:space="preserve">  176.038.395.679 </w:t>
                </w:r>
              </w:p>
            </w:tc>
          </w:tr>
        </w:tbl>
        <w:p w14:paraId="35211CD4" w14:textId="77777777" w:rsidR="00165733" w:rsidRPr="009A46BB" w:rsidRDefault="00165733" w:rsidP="00DD4C8E">
          <w:pPr>
            <w:pStyle w:val="Prrafodelista"/>
            <w:spacing w:after="0" w:line="240" w:lineRule="auto"/>
            <w:ind w:left="0"/>
            <w:jc w:val="both"/>
            <w:rPr>
              <w:rFonts w:ascii="Times New Roman" w:hAnsi="Times New Roman"/>
              <w:sz w:val="24"/>
              <w:szCs w:val="24"/>
            </w:rPr>
          </w:pPr>
        </w:p>
        <w:p w14:paraId="409A3025" w14:textId="77777777" w:rsidR="0046465F" w:rsidRDefault="0046465F" w:rsidP="00165733">
          <w:pPr>
            <w:pStyle w:val="Prrafodelista"/>
            <w:spacing w:after="0" w:line="240" w:lineRule="auto"/>
            <w:ind w:left="0"/>
            <w:jc w:val="both"/>
            <w:rPr>
              <w:rFonts w:ascii="Times New Roman" w:hAnsi="Times New Roman"/>
              <w:sz w:val="14"/>
              <w:szCs w:val="14"/>
            </w:rPr>
          </w:pPr>
        </w:p>
        <w:p w14:paraId="41453B3C" w14:textId="186A49B4" w:rsidR="00165733" w:rsidRPr="00931DCE" w:rsidRDefault="00165733" w:rsidP="00165733">
          <w:pPr>
            <w:pStyle w:val="Prrafodelista"/>
            <w:spacing w:after="0" w:line="240" w:lineRule="auto"/>
            <w:ind w:left="0"/>
            <w:jc w:val="both"/>
            <w:rPr>
              <w:rFonts w:ascii="Times New Roman" w:hAnsi="Times New Roman"/>
              <w:sz w:val="14"/>
              <w:szCs w:val="14"/>
            </w:rPr>
          </w:pPr>
          <w:r w:rsidRPr="00931DCE">
            <w:rPr>
              <w:rFonts w:ascii="Times New Roman" w:hAnsi="Times New Roman"/>
              <w:sz w:val="14"/>
              <w:szCs w:val="14"/>
            </w:rPr>
            <w:t>Cifras expresadas en pesos</w:t>
          </w:r>
        </w:p>
        <w:p w14:paraId="0ACBA352" w14:textId="77777777" w:rsidR="00165733" w:rsidRDefault="00165733" w:rsidP="00DD4C8E">
          <w:pPr>
            <w:pStyle w:val="Prrafodelista"/>
            <w:spacing w:after="0" w:line="240" w:lineRule="auto"/>
            <w:ind w:left="0"/>
            <w:jc w:val="both"/>
            <w:rPr>
              <w:rFonts w:ascii="Times New Roman" w:hAnsi="Times New Roman"/>
              <w:sz w:val="24"/>
              <w:szCs w:val="24"/>
            </w:rPr>
          </w:pPr>
        </w:p>
        <w:p w14:paraId="01CE05B1" w14:textId="725E90D1" w:rsidR="00DD4C8E" w:rsidRDefault="00DD4C8E" w:rsidP="00DD4C8E">
          <w:pPr>
            <w:pStyle w:val="Prrafodelista"/>
            <w:spacing w:after="0" w:line="240" w:lineRule="auto"/>
            <w:ind w:left="0"/>
            <w:jc w:val="both"/>
            <w:rPr>
              <w:rFonts w:ascii="Times New Roman" w:hAnsi="Times New Roman"/>
              <w:sz w:val="24"/>
              <w:szCs w:val="24"/>
            </w:rPr>
          </w:pPr>
          <w:r w:rsidRPr="00931DCE">
            <w:rPr>
              <w:rFonts w:ascii="Times New Roman" w:hAnsi="Times New Roman"/>
              <w:sz w:val="24"/>
              <w:szCs w:val="24"/>
            </w:rPr>
            <w:t>Para la red férrea: La superestructura (bienes por encima del nivel del suelo), tales como; rieles, traviesas, balastos, muros de contención, pasos a nivel entre otros. La infraestructura, (bienes por debajo del nivel del suelo), tales como; alcantarillado, cunetas, Box Culvert, puentes y demás infraestructura férrea, adicionalmente para la Infraestructura y Superestructura del modo férreo, el valor calculado de la depreciación se efectuó teniendo en cuenta el tiempo de uso desde el inicio de la entrada en operación de la infraestructura, teniendo en cuenta que se contempla un valor de salvamento del 90% del valor de adquisición teniendo en cuenta que es un activo que revierte a la Nación en condiciones de funcionalidad.</w:t>
          </w:r>
          <w:r w:rsidR="0020297D" w:rsidRPr="00931DCE">
            <w:rPr>
              <w:rFonts w:ascii="Times New Roman" w:hAnsi="Times New Roman"/>
              <w:sz w:val="24"/>
              <w:szCs w:val="24"/>
            </w:rPr>
            <w:t xml:space="preserve"> </w:t>
          </w:r>
          <w:r w:rsidRPr="00931DCE">
            <w:rPr>
              <w:rFonts w:ascii="Times New Roman" w:hAnsi="Times New Roman"/>
              <w:sz w:val="24"/>
              <w:szCs w:val="24"/>
            </w:rPr>
            <w:t xml:space="preserve">Para la estimación de los activos asociados a los acuerdos de concesión del modo de transporte férreo, la Agencia estableció la </w:t>
          </w:r>
          <w:r w:rsidR="00485000">
            <w:rPr>
              <w:rFonts w:ascii="Times New Roman" w:hAnsi="Times New Roman"/>
              <w:sz w:val="24"/>
              <w:szCs w:val="24"/>
            </w:rPr>
            <w:t>m</w:t>
          </w:r>
          <w:r w:rsidRPr="00931DCE">
            <w:rPr>
              <w:rFonts w:ascii="Times New Roman" w:hAnsi="Times New Roman"/>
              <w:sz w:val="24"/>
              <w:szCs w:val="24"/>
            </w:rPr>
            <w:t xml:space="preserve">etodología </w:t>
          </w:r>
          <w:r w:rsidR="00485000">
            <w:rPr>
              <w:rFonts w:ascii="Times New Roman" w:hAnsi="Times New Roman"/>
              <w:sz w:val="24"/>
              <w:szCs w:val="24"/>
            </w:rPr>
            <w:t>p</w:t>
          </w:r>
          <w:r w:rsidRPr="00931DCE">
            <w:rPr>
              <w:rFonts w:ascii="Times New Roman" w:hAnsi="Times New Roman"/>
              <w:sz w:val="24"/>
              <w:szCs w:val="24"/>
            </w:rPr>
            <w:t xml:space="preserve">ara la obtención de </w:t>
          </w:r>
          <w:r w:rsidR="00C24B34" w:rsidRPr="00931DCE">
            <w:rPr>
              <w:rFonts w:ascii="Times New Roman" w:hAnsi="Times New Roman"/>
              <w:sz w:val="24"/>
              <w:szCs w:val="24"/>
            </w:rPr>
            <w:t>i</w:t>
          </w:r>
          <w:r w:rsidRPr="00931DCE">
            <w:rPr>
              <w:rFonts w:ascii="Times New Roman" w:hAnsi="Times New Roman"/>
              <w:sz w:val="24"/>
              <w:szCs w:val="24"/>
            </w:rPr>
            <w:t xml:space="preserve">nformación de </w:t>
          </w:r>
          <w:r w:rsidR="00C24B34" w:rsidRPr="00931DCE">
            <w:rPr>
              <w:rFonts w:ascii="Times New Roman" w:hAnsi="Times New Roman"/>
              <w:sz w:val="24"/>
              <w:szCs w:val="24"/>
            </w:rPr>
            <w:t>b</w:t>
          </w:r>
          <w:r w:rsidRPr="00931DCE">
            <w:rPr>
              <w:rFonts w:ascii="Times New Roman" w:hAnsi="Times New Roman"/>
              <w:sz w:val="24"/>
              <w:szCs w:val="24"/>
            </w:rPr>
            <w:t xml:space="preserve">ienes de </w:t>
          </w:r>
          <w:r w:rsidR="00C24B34" w:rsidRPr="00931DCE">
            <w:rPr>
              <w:rFonts w:ascii="Times New Roman" w:hAnsi="Times New Roman"/>
              <w:sz w:val="24"/>
              <w:szCs w:val="24"/>
            </w:rPr>
            <w:t>u</w:t>
          </w:r>
          <w:r w:rsidRPr="00931DCE">
            <w:rPr>
              <w:rFonts w:ascii="Times New Roman" w:hAnsi="Times New Roman"/>
              <w:sz w:val="24"/>
              <w:szCs w:val="24"/>
            </w:rPr>
            <w:t xml:space="preserve">so </w:t>
          </w:r>
          <w:r w:rsidR="00C24B34" w:rsidRPr="00931DCE">
            <w:rPr>
              <w:rFonts w:ascii="Times New Roman" w:hAnsi="Times New Roman"/>
              <w:sz w:val="24"/>
              <w:szCs w:val="24"/>
            </w:rPr>
            <w:t>p</w:t>
          </w:r>
          <w:r w:rsidRPr="00931DCE">
            <w:rPr>
              <w:rFonts w:ascii="Times New Roman" w:hAnsi="Times New Roman"/>
              <w:sz w:val="24"/>
              <w:szCs w:val="24"/>
            </w:rPr>
            <w:t xml:space="preserve">úblico y </w:t>
          </w:r>
          <w:r w:rsidR="00C24B34" w:rsidRPr="00931DCE">
            <w:rPr>
              <w:rFonts w:ascii="Times New Roman" w:hAnsi="Times New Roman"/>
              <w:sz w:val="24"/>
              <w:szCs w:val="24"/>
            </w:rPr>
            <w:t>p</w:t>
          </w:r>
          <w:r w:rsidRPr="00931DCE">
            <w:rPr>
              <w:rFonts w:ascii="Times New Roman" w:hAnsi="Times New Roman"/>
              <w:sz w:val="24"/>
              <w:szCs w:val="24"/>
            </w:rPr>
            <w:t xml:space="preserve">ropiedades, </w:t>
          </w:r>
          <w:r w:rsidR="00C24B34" w:rsidRPr="00931DCE">
            <w:rPr>
              <w:rFonts w:ascii="Times New Roman" w:hAnsi="Times New Roman"/>
              <w:sz w:val="24"/>
              <w:szCs w:val="24"/>
            </w:rPr>
            <w:t>p</w:t>
          </w:r>
          <w:r w:rsidRPr="00931DCE">
            <w:rPr>
              <w:rFonts w:ascii="Times New Roman" w:hAnsi="Times New Roman"/>
              <w:sz w:val="24"/>
              <w:szCs w:val="24"/>
            </w:rPr>
            <w:t xml:space="preserve">lanta y </w:t>
          </w:r>
          <w:r w:rsidR="00C24B34" w:rsidRPr="00931DCE">
            <w:rPr>
              <w:rFonts w:ascii="Times New Roman" w:hAnsi="Times New Roman"/>
              <w:sz w:val="24"/>
              <w:szCs w:val="24"/>
            </w:rPr>
            <w:t>e</w:t>
          </w:r>
          <w:r w:rsidRPr="00931DCE">
            <w:rPr>
              <w:rFonts w:ascii="Times New Roman" w:hAnsi="Times New Roman"/>
              <w:sz w:val="24"/>
              <w:szCs w:val="24"/>
            </w:rPr>
            <w:t>quipo</w:t>
          </w:r>
          <w:r w:rsidR="0020297D" w:rsidRPr="00931DCE">
            <w:rPr>
              <w:rFonts w:ascii="Times New Roman" w:hAnsi="Times New Roman"/>
              <w:sz w:val="24"/>
              <w:szCs w:val="24"/>
            </w:rPr>
            <w:t xml:space="preserve">, </w:t>
          </w:r>
          <w:r w:rsidR="00C24B34" w:rsidRPr="00931DCE">
            <w:rPr>
              <w:rFonts w:ascii="Times New Roman" w:hAnsi="Times New Roman"/>
              <w:sz w:val="24"/>
              <w:szCs w:val="24"/>
            </w:rPr>
            <w:t>la</w:t>
          </w:r>
          <w:r w:rsidR="0020297D" w:rsidRPr="00931DCE">
            <w:rPr>
              <w:rFonts w:ascii="Times New Roman" w:hAnsi="Times New Roman"/>
              <w:sz w:val="24"/>
              <w:szCs w:val="24"/>
            </w:rPr>
            <w:t xml:space="preserve"> cual </w:t>
          </w:r>
          <w:r w:rsidRPr="00931DCE">
            <w:rPr>
              <w:rFonts w:ascii="Times New Roman" w:hAnsi="Times New Roman"/>
              <w:sz w:val="24"/>
              <w:szCs w:val="24"/>
            </w:rPr>
            <w:t>es actualizad</w:t>
          </w:r>
          <w:r w:rsidR="00C24B34" w:rsidRPr="00931DCE">
            <w:rPr>
              <w:rFonts w:ascii="Times New Roman" w:hAnsi="Times New Roman"/>
              <w:sz w:val="24"/>
              <w:szCs w:val="24"/>
            </w:rPr>
            <w:t>a</w:t>
          </w:r>
          <w:r w:rsidRPr="00931DCE">
            <w:rPr>
              <w:rFonts w:ascii="Times New Roman" w:hAnsi="Times New Roman"/>
              <w:sz w:val="24"/>
              <w:szCs w:val="24"/>
            </w:rPr>
            <w:t xml:space="preserve"> una vez al año.</w:t>
          </w:r>
        </w:p>
        <w:p w14:paraId="16B66E0D" w14:textId="77777777" w:rsidR="00471A05" w:rsidRDefault="00471A05" w:rsidP="00DD4C8E">
          <w:pPr>
            <w:pStyle w:val="Prrafodelista"/>
            <w:spacing w:after="0" w:line="240" w:lineRule="auto"/>
            <w:ind w:left="0"/>
            <w:jc w:val="both"/>
            <w:rPr>
              <w:rFonts w:ascii="Times New Roman" w:hAnsi="Times New Roman"/>
              <w:sz w:val="24"/>
              <w:szCs w:val="24"/>
            </w:rPr>
          </w:pPr>
        </w:p>
        <w:p w14:paraId="68421138" w14:textId="77777777" w:rsidR="006D62B2" w:rsidRPr="00931DCE" w:rsidRDefault="006D62B2" w:rsidP="00DD4C8E">
          <w:pPr>
            <w:pStyle w:val="Prrafodelista"/>
            <w:spacing w:after="0" w:line="240" w:lineRule="auto"/>
            <w:ind w:left="0"/>
            <w:jc w:val="both"/>
            <w:rPr>
              <w:rFonts w:ascii="Times New Roman" w:hAnsi="Times New Roman"/>
              <w:sz w:val="24"/>
              <w:szCs w:val="24"/>
            </w:rPr>
          </w:pPr>
        </w:p>
        <w:tbl>
          <w:tblPr>
            <w:tblW w:w="499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CellMar>
              <w:left w:w="70" w:type="dxa"/>
              <w:right w:w="70" w:type="dxa"/>
            </w:tblCellMar>
            <w:tblLook w:val="04A0" w:firstRow="1" w:lastRow="0" w:firstColumn="1" w:lastColumn="0" w:noHBand="0" w:noVBand="1"/>
          </w:tblPr>
          <w:tblGrid>
            <w:gridCol w:w="4866"/>
            <w:gridCol w:w="1988"/>
            <w:gridCol w:w="2099"/>
          </w:tblGrid>
          <w:tr w:rsidR="007E109A" w:rsidRPr="00471A05" w14:paraId="6DF3C6D0" w14:textId="77777777" w:rsidTr="00471A05">
            <w:trPr>
              <w:trHeight w:val="245"/>
            </w:trPr>
            <w:tc>
              <w:tcPr>
                <w:tcW w:w="2718" w:type="pct"/>
                <w:vMerge w:val="restart"/>
                <w:shd w:val="clear" w:color="auto" w:fill="auto"/>
                <w:noWrap/>
                <w:vAlign w:val="center"/>
                <w:hideMark/>
              </w:tcPr>
              <w:p w14:paraId="08ED5E90" w14:textId="77777777" w:rsidR="007E109A" w:rsidRPr="00471A05" w:rsidRDefault="007E109A" w:rsidP="007E109A">
                <w:pPr>
                  <w:spacing w:after="0" w:line="240" w:lineRule="auto"/>
                  <w:jc w:val="center"/>
                  <w:rPr>
                    <w:rFonts w:ascii="Times New Roman" w:eastAsia="Times New Roman" w:hAnsi="Times New Roman"/>
                    <w:b/>
                    <w:color w:val="000000"/>
                    <w:sz w:val="14"/>
                    <w:szCs w:val="14"/>
                    <w:lang w:eastAsia="es-CO"/>
                  </w:rPr>
                </w:pPr>
                <w:r w:rsidRPr="00471A05">
                  <w:rPr>
                    <w:rFonts w:ascii="Times New Roman" w:eastAsia="Times New Roman" w:hAnsi="Times New Roman"/>
                    <w:b/>
                    <w:color w:val="000000"/>
                    <w:sz w:val="14"/>
                    <w:szCs w:val="14"/>
                    <w:lang w:eastAsia="es-CO"/>
                  </w:rPr>
                  <w:lastRenderedPageBreak/>
                  <w:t xml:space="preserve">CONCEPTO </w:t>
                </w:r>
              </w:p>
            </w:tc>
            <w:tc>
              <w:tcPr>
                <w:tcW w:w="2282" w:type="pct"/>
                <w:gridSpan w:val="2"/>
                <w:shd w:val="clear" w:color="auto" w:fill="auto"/>
                <w:noWrap/>
                <w:vAlign w:val="center"/>
                <w:hideMark/>
              </w:tcPr>
              <w:p w14:paraId="1551609B" w14:textId="77777777" w:rsidR="007E109A" w:rsidRPr="00471A05" w:rsidRDefault="007E109A" w:rsidP="007E109A">
                <w:pPr>
                  <w:spacing w:after="0" w:line="240" w:lineRule="auto"/>
                  <w:jc w:val="center"/>
                  <w:rPr>
                    <w:rFonts w:ascii="Times New Roman" w:eastAsia="Times New Roman" w:hAnsi="Times New Roman"/>
                    <w:b/>
                    <w:color w:val="000000"/>
                    <w:sz w:val="14"/>
                    <w:szCs w:val="14"/>
                    <w:lang w:eastAsia="es-CO"/>
                  </w:rPr>
                </w:pPr>
                <w:r w:rsidRPr="00471A05">
                  <w:rPr>
                    <w:rFonts w:ascii="Times New Roman" w:eastAsia="Times New Roman" w:hAnsi="Times New Roman"/>
                    <w:b/>
                    <w:color w:val="000000"/>
                    <w:sz w:val="14"/>
                    <w:szCs w:val="14"/>
                    <w:lang w:eastAsia="es-CO"/>
                  </w:rPr>
                  <w:t xml:space="preserve"> RED FÉRREA EN SERVICIO </w:t>
                </w:r>
              </w:p>
            </w:tc>
          </w:tr>
          <w:tr w:rsidR="007E109A" w:rsidRPr="00471A05" w14:paraId="77A35B5E" w14:textId="77777777" w:rsidTr="00471A05">
            <w:trPr>
              <w:trHeight w:val="294"/>
            </w:trPr>
            <w:tc>
              <w:tcPr>
                <w:tcW w:w="2718" w:type="pct"/>
                <w:vMerge/>
                <w:vAlign w:val="center"/>
                <w:hideMark/>
              </w:tcPr>
              <w:p w14:paraId="3C1F15B8" w14:textId="77777777" w:rsidR="007E109A" w:rsidRPr="00471A05" w:rsidRDefault="007E109A" w:rsidP="007E109A">
                <w:pPr>
                  <w:spacing w:after="0" w:line="240" w:lineRule="auto"/>
                  <w:rPr>
                    <w:rFonts w:ascii="Times New Roman" w:eastAsia="Times New Roman" w:hAnsi="Times New Roman"/>
                    <w:b/>
                    <w:color w:val="000000"/>
                    <w:sz w:val="14"/>
                    <w:szCs w:val="14"/>
                    <w:lang w:eastAsia="es-CO"/>
                  </w:rPr>
                </w:pPr>
              </w:p>
            </w:tc>
            <w:tc>
              <w:tcPr>
                <w:tcW w:w="1110" w:type="pct"/>
                <w:shd w:val="clear" w:color="auto" w:fill="auto"/>
                <w:vAlign w:val="center"/>
                <w:hideMark/>
              </w:tcPr>
              <w:p w14:paraId="0F910CF0" w14:textId="77777777" w:rsidR="007E109A" w:rsidRPr="00471A05" w:rsidRDefault="007E109A" w:rsidP="007E109A">
                <w:pPr>
                  <w:spacing w:after="0" w:line="240" w:lineRule="auto"/>
                  <w:jc w:val="center"/>
                  <w:rPr>
                    <w:rFonts w:ascii="Times New Roman" w:eastAsia="Times New Roman" w:hAnsi="Times New Roman"/>
                    <w:b/>
                    <w:color w:val="000000"/>
                    <w:sz w:val="14"/>
                    <w:szCs w:val="14"/>
                    <w:lang w:eastAsia="es-CO"/>
                  </w:rPr>
                </w:pPr>
                <w:r w:rsidRPr="00471A05">
                  <w:rPr>
                    <w:rFonts w:ascii="Times New Roman" w:eastAsia="Times New Roman" w:hAnsi="Times New Roman"/>
                    <w:b/>
                    <w:color w:val="000000"/>
                    <w:sz w:val="14"/>
                    <w:szCs w:val="14"/>
                    <w:lang w:eastAsia="es-CO"/>
                  </w:rPr>
                  <w:t xml:space="preserve"> Actualización Inversión </w:t>
                </w:r>
              </w:p>
            </w:tc>
            <w:tc>
              <w:tcPr>
                <w:tcW w:w="1172" w:type="pct"/>
                <w:shd w:val="clear" w:color="auto" w:fill="auto"/>
                <w:vAlign w:val="center"/>
                <w:hideMark/>
              </w:tcPr>
              <w:p w14:paraId="4AAA058A" w14:textId="77777777" w:rsidR="007E109A" w:rsidRPr="00471A05" w:rsidRDefault="007E109A" w:rsidP="007E109A">
                <w:pPr>
                  <w:spacing w:after="0" w:line="240" w:lineRule="auto"/>
                  <w:jc w:val="center"/>
                  <w:rPr>
                    <w:rFonts w:ascii="Times New Roman" w:eastAsia="Times New Roman" w:hAnsi="Times New Roman"/>
                    <w:b/>
                    <w:color w:val="000000"/>
                    <w:sz w:val="14"/>
                    <w:szCs w:val="14"/>
                    <w:lang w:eastAsia="es-CO"/>
                  </w:rPr>
                </w:pPr>
                <w:r w:rsidRPr="00471A05">
                  <w:rPr>
                    <w:rFonts w:ascii="Times New Roman" w:eastAsia="Times New Roman" w:hAnsi="Times New Roman"/>
                    <w:b/>
                    <w:color w:val="000000"/>
                    <w:sz w:val="14"/>
                    <w:szCs w:val="14"/>
                    <w:lang w:eastAsia="es-CO"/>
                  </w:rPr>
                  <w:t xml:space="preserve"> Saldos traslados por el INVÍAS </w:t>
                </w:r>
              </w:p>
            </w:tc>
          </w:tr>
          <w:tr w:rsidR="007E109A" w:rsidRPr="00471A05" w14:paraId="29C3E093" w14:textId="77777777" w:rsidTr="00471A05">
            <w:trPr>
              <w:trHeight w:val="245"/>
            </w:trPr>
            <w:tc>
              <w:tcPr>
                <w:tcW w:w="2718" w:type="pct"/>
                <w:shd w:val="clear" w:color="auto" w:fill="auto"/>
                <w:noWrap/>
                <w:vAlign w:val="center"/>
                <w:hideMark/>
              </w:tcPr>
              <w:p w14:paraId="50F515FD" w14:textId="77777777" w:rsidR="007E109A" w:rsidRPr="00471A05" w:rsidRDefault="007E109A" w:rsidP="007E109A">
                <w:pPr>
                  <w:spacing w:after="0" w:line="240" w:lineRule="auto"/>
                  <w:rPr>
                    <w:rFonts w:ascii="Times New Roman" w:eastAsia="Times New Roman" w:hAnsi="Times New Roman"/>
                    <w:color w:val="000000"/>
                    <w:sz w:val="14"/>
                    <w:szCs w:val="14"/>
                    <w:lang w:eastAsia="es-CO"/>
                  </w:rPr>
                </w:pPr>
                <w:r w:rsidRPr="00471A05">
                  <w:rPr>
                    <w:rFonts w:ascii="Times New Roman" w:eastAsia="Times New Roman" w:hAnsi="Times New Roman"/>
                    <w:color w:val="000000"/>
                    <w:sz w:val="14"/>
                    <w:szCs w:val="14"/>
                    <w:lang w:eastAsia="es-CO"/>
                  </w:rPr>
                  <w:t xml:space="preserve"> FERROCARRILES DEL NORTE DE COLOMBIA S.A </w:t>
                </w:r>
              </w:p>
            </w:tc>
            <w:tc>
              <w:tcPr>
                <w:tcW w:w="1110" w:type="pct"/>
                <w:shd w:val="clear" w:color="auto" w:fill="auto"/>
                <w:noWrap/>
                <w:vAlign w:val="bottom"/>
                <w:hideMark/>
              </w:tcPr>
              <w:p w14:paraId="65597A07" w14:textId="77777777" w:rsidR="007E109A" w:rsidRPr="00471A05" w:rsidRDefault="007E109A" w:rsidP="007E109A">
                <w:pPr>
                  <w:spacing w:after="0" w:line="240" w:lineRule="auto"/>
                  <w:jc w:val="right"/>
                  <w:rPr>
                    <w:rFonts w:ascii="Times New Roman" w:eastAsia="Times New Roman" w:hAnsi="Times New Roman"/>
                    <w:color w:val="000000"/>
                    <w:sz w:val="14"/>
                    <w:szCs w:val="14"/>
                    <w:lang w:eastAsia="es-CO"/>
                  </w:rPr>
                </w:pPr>
                <w:r w:rsidRPr="00471A05">
                  <w:rPr>
                    <w:rFonts w:ascii="Times New Roman" w:eastAsia="Times New Roman" w:hAnsi="Times New Roman"/>
                    <w:color w:val="000000"/>
                    <w:sz w:val="14"/>
                    <w:szCs w:val="14"/>
                    <w:lang w:eastAsia="es-CO"/>
                  </w:rPr>
                  <w:t xml:space="preserve">         7.368.983.335 </w:t>
                </w:r>
              </w:p>
            </w:tc>
            <w:tc>
              <w:tcPr>
                <w:tcW w:w="1172" w:type="pct"/>
                <w:shd w:val="clear" w:color="auto" w:fill="auto"/>
                <w:noWrap/>
                <w:vAlign w:val="bottom"/>
                <w:hideMark/>
              </w:tcPr>
              <w:p w14:paraId="34AB46B2" w14:textId="77777777" w:rsidR="007E109A" w:rsidRPr="00471A05" w:rsidRDefault="007E109A" w:rsidP="007E109A">
                <w:pPr>
                  <w:spacing w:after="0" w:line="240" w:lineRule="auto"/>
                  <w:jc w:val="right"/>
                  <w:rPr>
                    <w:rFonts w:ascii="Times New Roman" w:eastAsia="Times New Roman" w:hAnsi="Times New Roman"/>
                    <w:color w:val="000000"/>
                    <w:sz w:val="14"/>
                    <w:szCs w:val="14"/>
                    <w:lang w:eastAsia="es-CO"/>
                  </w:rPr>
                </w:pPr>
                <w:r w:rsidRPr="00471A05">
                  <w:rPr>
                    <w:rFonts w:ascii="Times New Roman" w:eastAsia="Times New Roman" w:hAnsi="Times New Roman"/>
                    <w:color w:val="000000"/>
                    <w:sz w:val="14"/>
                    <w:szCs w:val="14"/>
                    <w:lang w:eastAsia="es-CO"/>
                  </w:rPr>
                  <w:t xml:space="preserve">         12.346.986.196 </w:t>
                </w:r>
              </w:p>
            </w:tc>
          </w:tr>
        </w:tbl>
        <w:p w14:paraId="077F294B" w14:textId="77777777" w:rsidR="005A4797" w:rsidRPr="00931DCE" w:rsidRDefault="005A4797" w:rsidP="005A4797">
          <w:pPr>
            <w:pStyle w:val="Prrafodelista"/>
            <w:spacing w:after="0" w:line="240" w:lineRule="auto"/>
            <w:ind w:left="0"/>
            <w:jc w:val="both"/>
            <w:rPr>
              <w:rFonts w:ascii="Times New Roman" w:hAnsi="Times New Roman"/>
              <w:sz w:val="14"/>
              <w:szCs w:val="14"/>
            </w:rPr>
          </w:pPr>
          <w:r w:rsidRPr="00931DCE">
            <w:rPr>
              <w:rFonts w:ascii="Times New Roman" w:hAnsi="Times New Roman"/>
              <w:sz w:val="14"/>
              <w:szCs w:val="14"/>
            </w:rPr>
            <w:t>Cifras expresadas en pesos</w:t>
          </w:r>
        </w:p>
        <w:p w14:paraId="6C5185E3" w14:textId="77777777" w:rsidR="006D62B2" w:rsidRDefault="006D62B2" w:rsidP="00D44B90">
          <w:pPr>
            <w:pStyle w:val="Prrafodelista"/>
            <w:spacing w:after="0" w:line="240" w:lineRule="auto"/>
            <w:ind w:left="0"/>
            <w:jc w:val="both"/>
            <w:rPr>
              <w:rFonts w:ascii="Times New Roman" w:hAnsi="Times New Roman"/>
              <w:sz w:val="24"/>
              <w:szCs w:val="24"/>
            </w:rPr>
          </w:pPr>
        </w:p>
        <w:p w14:paraId="43E41403" w14:textId="499B77D8" w:rsidR="00DD4C8E" w:rsidRPr="00931DCE" w:rsidRDefault="00DD4C8E" w:rsidP="00D44B90">
          <w:pPr>
            <w:pStyle w:val="Prrafodelista"/>
            <w:spacing w:after="0" w:line="240" w:lineRule="auto"/>
            <w:ind w:left="0"/>
            <w:jc w:val="both"/>
            <w:rPr>
              <w:rFonts w:ascii="Times New Roman" w:hAnsi="Times New Roman"/>
              <w:i/>
              <w:iCs/>
              <w:sz w:val="24"/>
              <w:szCs w:val="24"/>
            </w:rPr>
          </w:pPr>
          <w:r w:rsidRPr="00931DCE">
            <w:rPr>
              <w:rFonts w:ascii="Times New Roman" w:hAnsi="Times New Roman"/>
              <w:sz w:val="24"/>
              <w:szCs w:val="24"/>
            </w:rPr>
            <w:t>Gestión Predial - Terrenos:</w:t>
          </w:r>
          <w:r w:rsidR="00D44B90" w:rsidRPr="00931DCE">
            <w:rPr>
              <w:rFonts w:ascii="Times New Roman" w:hAnsi="Times New Roman"/>
              <w:sz w:val="24"/>
              <w:szCs w:val="24"/>
            </w:rPr>
            <w:t xml:space="preserve"> </w:t>
          </w:r>
          <w:r w:rsidRPr="00931DCE">
            <w:rPr>
              <w:rFonts w:ascii="Times New Roman" w:hAnsi="Times New Roman"/>
              <w:sz w:val="24"/>
              <w:szCs w:val="24"/>
            </w:rPr>
            <w:t xml:space="preserve">La Agencia reconoce los predios adquiridos en virtud de los contratos de concesión, para los modos de transporte carretero y férreo, </w:t>
          </w:r>
          <w:r w:rsidR="00C24B34" w:rsidRPr="00931DCE">
            <w:rPr>
              <w:rFonts w:ascii="Times New Roman" w:hAnsi="Times New Roman"/>
              <w:sz w:val="24"/>
              <w:szCs w:val="24"/>
            </w:rPr>
            <w:t xml:space="preserve">por cada uno de los proyectos y, </w:t>
          </w:r>
          <w:r w:rsidRPr="00931DCE">
            <w:rPr>
              <w:rFonts w:ascii="Times New Roman" w:hAnsi="Times New Roman"/>
              <w:sz w:val="24"/>
              <w:szCs w:val="24"/>
            </w:rPr>
            <w:t>conforme a la información reportada por los GIT Predial, Jurídico Predial y Social de la VPRE</w:t>
          </w:r>
          <w:r w:rsidRPr="00931DCE">
            <w:rPr>
              <w:rFonts w:ascii="Times New Roman" w:hAnsi="Times New Roman"/>
              <w:i/>
              <w:iCs/>
              <w:sz w:val="24"/>
              <w:szCs w:val="24"/>
            </w:rPr>
            <w:t>.</w:t>
          </w:r>
        </w:p>
        <w:p w14:paraId="1FE086E4" w14:textId="77777777" w:rsidR="00DD4C8E" w:rsidRPr="00931DCE" w:rsidRDefault="00DD4C8E" w:rsidP="00DD4C8E">
          <w:pPr>
            <w:pStyle w:val="Prrafodelista"/>
            <w:spacing w:after="0" w:line="240" w:lineRule="auto"/>
            <w:ind w:left="0"/>
            <w:jc w:val="both"/>
            <w:rPr>
              <w:rFonts w:ascii="Times New Roman" w:hAnsi="Times New Roman"/>
              <w:sz w:val="24"/>
              <w:szCs w:val="24"/>
            </w:rPr>
          </w:pPr>
        </w:p>
        <w:tbl>
          <w:tblPr>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CellMar>
              <w:left w:w="70" w:type="dxa"/>
              <w:right w:w="70" w:type="dxa"/>
            </w:tblCellMar>
            <w:tblLook w:val="04A0" w:firstRow="1" w:lastRow="0" w:firstColumn="1" w:lastColumn="0" w:noHBand="0" w:noVBand="1"/>
          </w:tblPr>
          <w:tblGrid>
            <w:gridCol w:w="4846"/>
            <w:gridCol w:w="1521"/>
            <w:gridCol w:w="1260"/>
          </w:tblGrid>
          <w:tr w:rsidR="00F52179" w:rsidRPr="00471A05" w14:paraId="4C4917A6" w14:textId="77777777" w:rsidTr="00BC1593">
            <w:trPr>
              <w:trHeight w:val="315"/>
            </w:trPr>
            <w:tc>
              <w:tcPr>
                <w:tcW w:w="0" w:type="auto"/>
                <w:vMerge w:val="restart"/>
                <w:shd w:val="clear" w:color="auto" w:fill="auto"/>
                <w:noWrap/>
                <w:vAlign w:val="center"/>
                <w:hideMark/>
              </w:tcPr>
              <w:p w14:paraId="5E4DAFA4" w14:textId="77777777" w:rsidR="00F52179" w:rsidRPr="00471A05" w:rsidRDefault="00F52179" w:rsidP="00F52179">
                <w:pPr>
                  <w:spacing w:after="0" w:line="240" w:lineRule="auto"/>
                  <w:jc w:val="center"/>
                  <w:rPr>
                    <w:rFonts w:ascii="Times New Roman" w:eastAsia="Times New Roman" w:hAnsi="Times New Roman"/>
                    <w:b/>
                    <w:color w:val="000000"/>
                    <w:sz w:val="14"/>
                    <w:szCs w:val="14"/>
                    <w:lang w:eastAsia="es-CO"/>
                  </w:rPr>
                </w:pPr>
                <w:r w:rsidRPr="00471A05">
                  <w:rPr>
                    <w:rFonts w:ascii="Times New Roman" w:eastAsia="Times New Roman" w:hAnsi="Times New Roman"/>
                    <w:b/>
                    <w:color w:val="000000"/>
                    <w:sz w:val="14"/>
                    <w:szCs w:val="14"/>
                    <w:lang w:eastAsia="es-CO"/>
                  </w:rPr>
                  <w:t>CONCEPTO</w:t>
                </w:r>
              </w:p>
            </w:tc>
            <w:tc>
              <w:tcPr>
                <w:tcW w:w="0" w:type="auto"/>
                <w:shd w:val="clear" w:color="auto" w:fill="auto"/>
                <w:noWrap/>
                <w:vAlign w:val="center"/>
                <w:hideMark/>
              </w:tcPr>
              <w:p w14:paraId="65581BFD" w14:textId="77777777" w:rsidR="00F52179" w:rsidRPr="00471A05" w:rsidRDefault="00F52179" w:rsidP="005B1410">
                <w:pPr>
                  <w:spacing w:after="0" w:line="240" w:lineRule="auto"/>
                  <w:jc w:val="center"/>
                  <w:rPr>
                    <w:rFonts w:ascii="Times New Roman" w:eastAsia="Times New Roman" w:hAnsi="Times New Roman"/>
                    <w:b/>
                    <w:color w:val="000000"/>
                    <w:sz w:val="14"/>
                    <w:szCs w:val="14"/>
                    <w:lang w:eastAsia="es-CO"/>
                  </w:rPr>
                </w:pPr>
                <w:r w:rsidRPr="00471A05">
                  <w:rPr>
                    <w:rFonts w:ascii="Times New Roman" w:eastAsia="Times New Roman" w:hAnsi="Times New Roman"/>
                    <w:b/>
                    <w:color w:val="000000"/>
                    <w:sz w:val="14"/>
                    <w:szCs w:val="14"/>
                    <w:lang w:eastAsia="es-CO"/>
                  </w:rPr>
                  <w:t>EN CONSTRUCCIÓN</w:t>
                </w:r>
              </w:p>
            </w:tc>
            <w:tc>
              <w:tcPr>
                <w:tcW w:w="0" w:type="auto"/>
                <w:shd w:val="clear" w:color="auto" w:fill="auto"/>
                <w:noWrap/>
                <w:vAlign w:val="center"/>
                <w:hideMark/>
              </w:tcPr>
              <w:p w14:paraId="0036AAF5" w14:textId="77777777" w:rsidR="00F52179" w:rsidRPr="00471A05" w:rsidRDefault="00F52179" w:rsidP="005B1410">
                <w:pPr>
                  <w:spacing w:after="0" w:line="240" w:lineRule="auto"/>
                  <w:jc w:val="center"/>
                  <w:rPr>
                    <w:rFonts w:ascii="Times New Roman" w:eastAsia="Times New Roman" w:hAnsi="Times New Roman"/>
                    <w:b/>
                    <w:color w:val="000000"/>
                    <w:sz w:val="14"/>
                    <w:szCs w:val="14"/>
                    <w:lang w:eastAsia="es-CO"/>
                  </w:rPr>
                </w:pPr>
                <w:r w:rsidRPr="00471A05">
                  <w:rPr>
                    <w:rFonts w:ascii="Times New Roman" w:eastAsia="Times New Roman" w:hAnsi="Times New Roman"/>
                    <w:b/>
                    <w:color w:val="000000"/>
                    <w:sz w:val="14"/>
                    <w:szCs w:val="14"/>
                    <w:lang w:eastAsia="es-CO"/>
                  </w:rPr>
                  <w:t>EN SERVICIO</w:t>
                </w:r>
              </w:p>
            </w:tc>
          </w:tr>
          <w:tr w:rsidR="005B1410" w:rsidRPr="00471A05" w14:paraId="590500CD" w14:textId="77777777" w:rsidTr="00BC1593">
            <w:trPr>
              <w:trHeight w:val="218"/>
            </w:trPr>
            <w:tc>
              <w:tcPr>
                <w:tcW w:w="0" w:type="auto"/>
                <w:vMerge/>
                <w:vAlign w:val="center"/>
                <w:hideMark/>
              </w:tcPr>
              <w:p w14:paraId="2B1D2050" w14:textId="77777777" w:rsidR="00F52179" w:rsidRPr="00471A05" w:rsidRDefault="00F52179" w:rsidP="00F52179">
                <w:pPr>
                  <w:spacing w:after="0" w:line="240" w:lineRule="auto"/>
                  <w:rPr>
                    <w:rFonts w:ascii="Times New Roman" w:eastAsia="Times New Roman" w:hAnsi="Times New Roman"/>
                    <w:b/>
                    <w:color w:val="000000"/>
                    <w:sz w:val="14"/>
                    <w:szCs w:val="14"/>
                    <w:lang w:eastAsia="es-CO"/>
                  </w:rPr>
                </w:pPr>
              </w:p>
            </w:tc>
            <w:tc>
              <w:tcPr>
                <w:tcW w:w="0" w:type="auto"/>
                <w:gridSpan w:val="2"/>
                <w:shd w:val="clear" w:color="auto" w:fill="auto"/>
                <w:noWrap/>
                <w:vAlign w:val="center"/>
                <w:hideMark/>
              </w:tcPr>
              <w:p w14:paraId="176D593C" w14:textId="77777777" w:rsidR="00F52179" w:rsidRPr="00471A05" w:rsidRDefault="00F52179" w:rsidP="00F52179">
                <w:pPr>
                  <w:spacing w:after="0" w:line="240" w:lineRule="auto"/>
                  <w:jc w:val="center"/>
                  <w:rPr>
                    <w:rFonts w:ascii="Times New Roman" w:eastAsia="Times New Roman" w:hAnsi="Times New Roman"/>
                    <w:b/>
                    <w:color w:val="000000"/>
                    <w:sz w:val="14"/>
                    <w:szCs w:val="14"/>
                    <w:lang w:eastAsia="es-CO"/>
                  </w:rPr>
                </w:pPr>
                <w:r w:rsidRPr="00471A05">
                  <w:rPr>
                    <w:rFonts w:ascii="Times New Roman" w:eastAsia="Times New Roman" w:hAnsi="Times New Roman"/>
                    <w:b/>
                    <w:color w:val="000000"/>
                    <w:sz w:val="14"/>
                    <w:szCs w:val="14"/>
                    <w:lang w:eastAsia="es-CO"/>
                  </w:rPr>
                  <w:t>Saldos traslados por el INVÍAS</w:t>
                </w:r>
              </w:p>
            </w:tc>
          </w:tr>
          <w:tr w:rsidR="00F52179" w:rsidRPr="00471A05" w14:paraId="6AD72DE8" w14:textId="77777777" w:rsidTr="00BC1593">
            <w:trPr>
              <w:trHeight w:val="300"/>
            </w:trPr>
            <w:tc>
              <w:tcPr>
                <w:tcW w:w="0" w:type="auto"/>
                <w:shd w:val="clear" w:color="auto" w:fill="auto"/>
                <w:noWrap/>
                <w:vAlign w:val="center"/>
                <w:hideMark/>
              </w:tcPr>
              <w:p w14:paraId="2FFCA68B" w14:textId="77777777" w:rsidR="00F52179" w:rsidRPr="00471A05" w:rsidRDefault="00F52179" w:rsidP="00F52179">
                <w:pPr>
                  <w:spacing w:after="0" w:line="240" w:lineRule="auto"/>
                  <w:rPr>
                    <w:rFonts w:ascii="Times New Roman" w:eastAsia="Times New Roman" w:hAnsi="Times New Roman"/>
                    <w:color w:val="000000"/>
                    <w:sz w:val="14"/>
                    <w:szCs w:val="14"/>
                    <w:lang w:eastAsia="es-CO"/>
                  </w:rPr>
                </w:pPr>
                <w:r w:rsidRPr="00471A05">
                  <w:rPr>
                    <w:rFonts w:ascii="Times New Roman" w:eastAsia="Times New Roman" w:hAnsi="Times New Roman"/>
                    <w:color w:val="000000"/>
                    <w:sz w:val="14"/>
                    <w:szCs w:val="14"/>
                    <w:lang w:eastAsia="es-CO"/>
                  </w:rPr>
                  <w:t>ALO SUR S.A.S</w:t>
                </w:r>
              </w:p>
            </w:tc>
            <w:tc>
              <w:tcPr>
                <w:tcW w:w="0" w:type="auto"/>
                <w:shd w:val="clear" w:color="auto" w:fill="auto"/>
                <w:noWrap/>
                <w:vAlign w:val="center"/>
                <w:hideMark/>
              </w:tcPr>
              <w:p w14:paraId="0A8DF5D2" w14:textId="77777777" w:rsidR="00F52179" w:rsidRPr="00471A05" w:rsidRDefault="00F52179" w:rsidP="00BC1593">
                <w:pPr>
                  <w:spacing w:after="0" w:line="240" w:lineRule="auto"/>
                  <w:jc w:val="right"/>
                  <w:rPr>
                    <w:rFonts w:ascii="Times New Roman" w:eastAsia="Times New Roman" w:hAnsi="Times New Roman"/>
                    <w:color w:val="000000"/>
                    <w:sz w:val="14"/>
                    <w:szCs w:val="14"/>
                    <w:lang w:eastAsia="es-CO"/>
                  </w:rPr>
                </w:pPr>
                <w:r w:rsidRPr="00471A05">
                  <w:rPr>
                    <w:rFonts w:ascii="Times New Roman" w:eastAsia="Times New Roman" w:hAnsi="Times New Roman"/>
                    <w:color w:val="000000"/>
                    <w:sz w:val="14"/>
                    <w:szCs w:val="14"/>
                    <w:lang w:eastAsia="es-CO"/>
                  </w:rPr>
                  <w:t xml:space="preserve">          21.529.386.516 </w:t>
                </w:r>
              </w:p>
            </w:tc>
            <w:tc>
              <w:tcPr>
                <w:tcW w:w="0" w:type="auto"/>
                <w:shd w:val="clear" w:color="auto" w:fill="auto"/>
                <w:noWrap/>
                <w:vAlign w:val="center"/>
                <w:hideMark/>
              </w:tcPr>
              <w:p w14:paraId="031C2C2B" w14:textId="77777777" w:rsidR="00F52179" w:rsidRPr="00471A05" w:rsidRDefault="00F52179" w:rsidP="00BC1593">
                <w:pPr>
                  <w:spacing w:after="0" w:line="240" w:lineRule="auto"/>
                  <w:jc w:val="right"/>
                  <w:rPr>
                    <w:rFonts w:ascii="Times New Roman" w:eastAsia="Times New Roman" w:hAnsi="Times New Roman"/>
                    <w:color w:val="000000"/>
                    <w:sz w:val="14"/>
                    <w:szCs w:val="14"/>
                    <w:lang w:eastAsia="es-CO"/>
                  </w:rPr>
                </w:pPr>
                <w:r w:rsidRPr="00471A05">
                  <w:rPr>
                    <w:rFonts w:ascii="Times New Roman" w:eastAsia="Times New Roman" w:hAnsi="Times New Roman"/>
                    <w:color w:val="000000"/>
                    <w:sz w:val="14"/>
                    <w:szCs w:val="14"/>
                    <w:lang w:eastAsia="es-CO"/>
                  </w:rPr>
                  <w:t> </w:t>
                </w:r>
              </w:p>
            </w:tc>
          </w:tr>
          <w:tr w:rsidR="00F52179" w:rsidRPr="00471A05" w14:paraId="1BC83BA4" w14:textId="77777777" w:rsidTr="00BC1593">
            <w:trPr>
              <w:trHeight w:val="300"/>
            </w:trPr>
            <w:tc>
              <w:tcPr>
                <w:tcW w:w="0" w:type="auto"/>
                <w:shd w:val="clear" w:color="auto" w:fill="auto"/>
                <w:noWrap/>
                <w:vAlign w:val="center"/>
                <w:hideMark/>
              </w:tcPr>
              <w:p w14:paraId="5C0917A4" w14:textId="77777777" w:rsidR="00F52179" w:rsidRPr="00471A05" w:rsidRDefault="00F52179" w:rsidP="00F52179">
                <w:pPr>
                  <w:spacing w:after="0" w:line="240" w:lineRule="auto"/>
                  <w:rPr>
                    <w:rFonts w:ascii="Times New Roman" w:eastAsia="Times New Roman" w:hAnsi="Times New Roman"/>
                    <w:color w:val="000000"/>
                    <w:sz w:val="14"/>
                    <w:szCs w:val="14"/>
                    <w:lang w:eastAsia="es-CO"/>
                  </w:rPr>
                </w:pPr>
                <w:r w:rsidRPr="00471A05">
                  <w:rPr>
                    <w:rFonts w:ascii="Times New Roman" w:eastAsia="Times New Roman" w:hAnsi="Times New Roman"/>
                    <w:color w:val="000000"/>
                    <w:sz w:val="14"/>
                    <w:szCs w:val="14"/>
                    <w:lang w:eastAsia="es-CO"/>
                  </w:rPr>
                  <w:t>AUTOPISTAS   URABA   SAS</w:t>
                </w:r>
              </w:p>
            </w:tc>
            <w:tc>
              <w:tcPr>
                <w:tcW w:w="0" w:type="auto"/>
                <w:shd w:val="clear" w:color="auto" w:fill="auto"/>
                <w:noWrap/>
                <w:vAlign w:val="center"/>
                <w:hideMark/>
              </w:tcPr>
              <w:p w14:paraId="63DCD0CF" w14:textId="77777777" w:rsidR="00F52179" w:rsidRPr="00471A05" w:rsidRDefault="00F52179" w:rsidP="00BC1593">
                <w:pPr>
                  <w:spacing w:after="0" w:line="240" w:lineRule="auto"/>
                  <w:jc w:val="right"/>
                  <w:rPr>
                    <w:rFonts w:ascii="Times New Roman" w:eastAsia="Times New Roman" w:hAnsi="Times New Roman"/>
                    <w:color w:val="000000"/>
                    <w:sz w:val="14"/>
                    <w:szCs w:val="14"/>
                    <w:lang w:eastAsia="es-CO"/>
                  </w:rPr>
                </w:pPr>
                <w:r w:rsidRPr="00471A05">
                  <w:rPr>
                    <w:rFonts w:ascii="Times New Roman" w:eastAsia="Times New Roman" w:hAnsi="Times New Roman"/>
                    <w:color w:val="000000"/>
                    <w:sz w:val="14"/>
                    <w:szCs w:val="14"/>
                    <w:lang w:eastAsia="es-CO"/>
                  </w:rPr>
                  <w:t xml:space="preserve">                  64.139.390 </w:t>
                </w:r>
              </w:p>
            </w:tc>
            <w:tc>
              <w:tcPr>
                <w:tcW w:w="0" w:type="auto"/>
                <w:shd w:val="clear" w:color="auto" w:fill="auto"/>
                <w:noWrap/>
                <w:vAlign w:val="center"/>
                <w:hideMark/>
              </w:tcPr>
              <w:p w14:paraId="2943740F" w14:textId="77777777" w:rsidR="00F52179" w:rsidRPr="00471A05" w:rsidRDefault="00F52179" w:rsidP="00BC1593">
                <w:pPr>
                  <w:spacing w:after="0" w:line="240" w:lineRule="auto"/>
                  <w:jc w:val="right"/>
                  <w:rPr>
                    <w:rFonts w:ascii="Times New Roman" w:eastAsia="Times New Roman" w:hAnsi="Times New Roman"/>
                    <w:color w:val="000000"/>
                    <w:sz w:val="14"/>
                    <w:szCs w:val="14"/>
                    <w:lang w:eastAsia="es-CO"/>
                  </w:rPr>
                </w:pPr>
                <w:r w:rsidRPr="00471A05">
                  <w:rPr>
                    <w:rFonts w:ascii="Times New Roman" w:eastAsia="Times New Roman" w:hAnsi="Times New Roman"/>
                    <w:color w:val="000000"/>
                    <w:sz w:val="14"/>
                    <w:szCs w:val="14"/>
                    <w:lang w:eastAsia="es-CO"/>
                  </w:rPr>
                  <w:t xml:space="preserve">              64.139.390 </w:t>
                </w:r>
              </w:p>
            </w:tc>
          </w:tr>
          <w:tr w:rsidR="00F52179" w:rsidRPr="00471A05" w14:paraId="0BE77BDE" w14:textId="77777777" w:rsidTr="00BC1593">
            <w:trPr>
              <w:trHeight w:val="300"/>
            </w:trPr>
            <w:tc>
              <w:tcPr>
                <w:tcW w:w="0" w:type="auto"/>
                <w:shd w:val="clear" w:color="auto" w:fill="auto"/>
                <w:noWrap/>
                <w:vAlign w:val="center"/>
                <w:hideMark/>
              </w:tcPr>
              <w:p w14:paraId="6BA4D466" w14:textId="77777777" w:rsidR="00F52179" w:rsidRPr="00471A05" w:rsidRDefault="00F52179" w:rsidP="00F52179">
                <w:pPr>
                  <w:spacing w:after="0" w:line="240" w:lineRule="auto"/>
                  <w:rPr>
                    <w:rFonts w:ascii="Times New Roman" w:eastAsia="Times New Roman" w:hAnsi="Times New Roman"/>
                    <w:color w:val="000000"/>
                    <w:sz w:val="14"/>
                    <w:szCs w:val="14"/>
                    <w:lang w:eastAsia="es-CO"/>
                  </w:rPr>
                </w:pPr>
                <w:r w:rsidRPr="00471A05">
                  <w:rPr>
                    <w:rFonts w:ascii="Times New Roman" w:eastAsia="Times New Roman" w:hAnsi="Times New Roman"/>
                    <w:color w:val="000000"/>
                    <w:sz w:val="14"/>
                    <w:szCs w:val="14"/>
                    <w:lang w:eastAsia="es-CO"/>
                  </w:rPr>
                  <w:t>AUTOPISTAS DE LA SABANA S.A.S</w:t>
                </w:r>
              </w:p>
            </w:tc>
            <w:tc>
              <w:tcPr>
                <w:tcW w:w="0" w:type="auto"/>
                <w:shd w:val="clear" w:color="auto" w:fill="auto"/>
                <w:noWrap/>
                <w:vAlign w:val="center"/>
                <w:hideMark/>
              </w:tcPr>
              <w:p w14:paraId="2D753462" w14:textId="77777777" w:rsidR="00F52179" w:rsidRPr="00471A05" w:rsidRDefault="00F52179" w:rsidP="00BC1593">
                <w:pPr>
                  <w:spacing w:after="0" w:line="240" w:lineRule="auto"/>
                  <w:jc w:val="right"/>
                  <w:rPr>
                    <w:rFonts w:ascii="Times New Roman" w:eastAsia="Times New Roman" w:hAnsi="Times New Roman"/>
                    <w:color w:val="000000"/>
                    <w:sz w:val="14"/>
                    <w:szCs w:val="14"/>
                    <w:lang w:eastAsia="es-CO"/>
                  </w:rPr>
                </w:pPr>
              </w:p>
            </w:tc>
            <w:tc>
              <w:tcPr>
                <w:tcW w:w="0" w:type="auto"/>
                <w:shd w:val="clear" w:color="auto" w:fill="auto"/>
                <w:noWrap/>
                <w:vAlign w:val="center"/>
                <w:hideMark/>
              </w:tcPr>
              <w:p w14:paraId="046759AA" w14:textId="77777777" w:rsidR="00F52179" w:rsidRPr="00471A05" w:rsidRDefault="00F52179" w:rsidP="00BC1593">
                <w:pPr>
                  <w:spacing w:after="0" w:line="240" w:lineRule="auto"/>
                  <w:jc w:val="right"/>
                  <w:rPr>
                    <w:rFonts w:ascii="Times New Roman" w:eastAsia="Times New Roman" w:hAnsi="Times New Roman"/>
                    <w:color w:val="000000"/>
                    <w:sz w:val="14"/>
                    <w:szCs w:val="14"/>
                    <w:lang w:eastAsia="es-CO"/>
                  </w:rPr>
                </w:pPr>
                <w:r w:rsidRPr="00471A05">
                  <w:rPr>
                    <w:rFonts w:ascii="Times New Roman" w:eastAsia="Times New Roman" w:hAnsi="Times New Roman"/>
                    <w:color w:val="000000"/>
                    <w:sz w:val="14"/>
                    <w:szCs w:val="14"/>
                    <w:lang w:eastAsia="es-CO"/>
                  </w:rPr>
                  <w:t xml:space="preserve">        1.144.608.928 </w:t>
                </w:r>
              </w:p>
            </w:tc>
          </w:tr>
          <w:tr w:rsidR="00F52179" w:rsidRPr="00471A05" w14:paraId="4FD44351" w14:textId="77777777" w:rsidTr="00BC1593">
            <w:trPr>
              <w:trHeight w:val="300"/>
            </w:trPr>
            <w:tc>
              <w:tcPr>
                <w:tcW w:w="0" w:type="auto"/>
                <w:shd w:val="clear" w:color="auto" w:fill="auto"/>
                <w:noWrap/>
                <w:vAlign w:val="center"/>
                <w:hideMark/>
              </w:tcPr>
              <w:p w14:paraId="4A87B476" w14:textId="77777777" w:rsidR="00F52179" w:rsidRPr="00471A05" w:rsidRDefault="00F52179" w:rsidP="00F52179">
                <w:pPr>
                  <w:spacing w:after="0" w:line="240" w:lineRule="auto"/>
                  <w:rPr>
                    <w:rFonts w:ascii="Times New Roman" w:eastAsia="Times New Roman" w:hAnsi="Times New Roman"/>
                    <w:color w:val="000000"/>
                    <w:sz w:val="14"/>
                    <w:szCs w:val="14"/>
                    <w:lang w:eastAsia="es-CO"/>
                  </w:rPr>
                </w:pPr>
                <w:r w:rsidRPr="00471A05">
                  <w:rPr>
                    <w:rFonts w:ascii="Times New Roman" w:eastAsia="Times New Roman" w:hAnsi="Times New Roman"/>
                    <w:color w:val="000000"/>
                    <w:sz w:val="14"/>
                    <w:szCs w:val="14"/>
                    <w:lang w:eastAsia="es-CO"/>
                  </w:rPr>
                  <w:t>AUTOPISTAS DEL SOL SAS</w:t>
                </w:r>
              </w:p>
            </w:tc>
            <w:tc>
              <w:tcPr>
                <w:tcW w:w="0" w:type="auto"/>
                <w:shd w:val="clear" w:color="auto" w:fill="auto"/>
                <w:noWrap/>
                <w:vAlign w:val="center"/>
                <w:hideMark/>
              </w:tcPr>
              <w:p w14:paraId="5322F147" w14:textId="77777777" w:rsidR="00F52179" w:rsidRPr="00471A05" w:rsidRDefault="00F52179" w:rsidP="00BC1593">
                <w:pPr>
                  <w:spacing w:after="0" w:line="240" w:lineRule="auto"/>
                  <w:jc w:val="right"/>
                  <w:rPr>
                    <w:rFonts w:ascii="Times New Roman" w:eastAsia="Times New Roman" w:hAnsi="Times New Roman"/>
                    <w:color w:val="000000"/>
                    <w:sz w:val="14"/>
                    <w:szCs w:val="14"/>
                    <w:lang w:eastAsia="es-CO"/>
                  </w:rPr>
                </w:pPr>
              </w:p>
            </w:tc>
            <w:tc>
              <w:tcPr>
                <w:tcW w:w="0" w:type="auto"/>
                <w:shd w:val="clear" w:color="auto" w:fill="auto"/>
                <w:noWrap/>
                <w:vAlign w:val="center"/>
                <w:hideMark/>
              </w:tcPr>
              <w:p w14:paraId="7E8F0589" w14:textId="77777777" w:rsidR="00F52179" w:rsidRPr="00471A05" w:rsidRDefault="00F52179" w:rsidP="00BC1593">
                <w:pPr>
                  <w:spacing w:after="0" w:line="240" w:lineRule="auto"/>
                  <w:jc w:val="right"/>
                  <w:rPr>
                    <w:rFonts w:ascii="Times New Roman" w:eastAsia="Times New Roman" w:hAnsi="Times New Roman"/>
                    <w:color w:val="000000"/>
                    <w:sz w:val="14"/>
                    <w:szCs w:val="14"/>
                    <w:lang w:eastAsia="es-CO"/>
                  </w:rPr>
                </w:pPr>
                <w:r w:rsidRPr="00471A05">
                  <w:rPr>
                    <w:rFonts w:ascii="Times New Roman" w:eastAsia="Times New Roman" w:hAnsi="Times New Roman"/>
                    <w:color w:val="000000"/>
                    <w:sz w:val="14"/>
                    <w:szCs w:val="14"/>
                    <w:lang w:eastAsia="es-CO"/>
                  </w:rPr>
                  <w:t xml:space="preserve">        4.333.623.931 </w:t>
                </w:r>
              </w:p>
            </w:tc>
          </w:tr>
          <w:tr w:rsidR="00F52179" w:rsidRPr="00471A05" w14:paraId="3B229FC0" w14:textId="77777777" w:rsidTr="00BC1593">
            <w:trPr>
              <w:trHeight w:val="300"/>
            </w:trPr>
            <w:tc>
              <w:tcPr>
                <w:tcW w:w="0" w:type="auto"/>
                <w:shd w:val="clear" w:color="auto" w:fill="auto"/>
                <w:noWrap/>
                <w:vAlign w:val="center"/>
                <w:hideMark/>
              </w:tcPr>
              <w:p w14:paraId="1D275FA8" w14:textId="77777777" w:rsidR="00F52179" w:rsidRPr="00471A05" w:rsidRDefault="00F52179" w:rsidP="00F52179">
                <w:pPr>
                  <w:spacing w:after="0" w:line="240" w:lineRule="auto"/>
                  <w:rPr>
                    <w:rFonts w:ascii="Times New Roman" w:eastAsia="Times New Roman" w:hAnsi="Times New Roman"/>
                    <w:color w:val="000000"/>
                    <w:sz w:val="14"/>
                    <w:szCs w:val="14"/>
                    <w:lang w:eastAsia="es-CO"/>
                  </w:rPr>
                </w:pPr>
                <w:r w:rsidRPr="00471A05">
                  <w:rPr>
                    <w:rFonts w:ascii="Times New Roman" w:eastAsia="Times New Roman" w:hAnsi="Times New Roman"/>
                    <w:color w:val="000000"/>
                    <w:sz w:val="14"/>
                    <w:szCs w:val="14"/>
                    <w:lang w:eastAsia="es-CO"/>
                  </w:rPr>
                  <w:t>CONCESIÓN ALTO MAGDALENA S A S</w:t>
                </w:r>
              </w:p>
            </w:tc>
            <w:tc>
              <w:tcPr>
                <w:tcW w:w="0" w:type="auto"/>
                <w:shd w:val="clear" w:color="auto" w:fill="auto"/>
                <w:noWrap/>
                <w:vAlign w:val="center"/>
                <w:hideMark/>
              </w:tcPr>
              <w:p w14:paraId="0A8D72B9" w14:textId="77777777" w:rsidR="00F52179" w:rsidRPr="00471A05" w:rsidRDefault="00F52179" w:rsidP="00BC1593">
                <w:pPr>
                  <w:spacing w:after="0" w:line="240" w:lineRule="auto"/>
                  <w:jc w:val="right"/>
                  <w:rPr>
                    <w:rFonts w:ascii="Times New Roman" w:eastAsia="Times New Roman" w:hAnsi="Times New Roman"/>
                    <w:color w:val="000000"/>
                    <w:sz w:val="14"/>
                    <w:szCs w:val="14"/>
                    <w:lang w:eastAsia="es-CO"/>
                  </w:rPr>
                </w:pPr>
              </w:p>
            </w:tc>
            <w:tc>
              <w:tcPr>
                <w:tcW w:w="0" w:type="auto"/>
                <w:shd w:val="clear" w:color="auto" w:fill="auto"/>
                <w:noWrap/>
                <w:vAlign w:val="center"/>
                <w:hideMark/>
              </w:tcPr>
              <w:p w14:paraId="6F76C9A5" w14:textId="77777777" w:rsidR="00F52179" w:rsidRPr="00471A05" w:rsidRDefault="00F52179" w:rsidP="00BC1593">
                <w:pPr>
                  <w:spacing w:after="0" w:line="240" w:lineRule="auto"/>
                  <w:jc w:val="right"/>
                  <w:rPr>
                    <w:rFonts w:ascii="Times New Roman" w:eastAsia="Times New Roman" w:hAnsi="Times New Roman"/>
                    <w:color w:val="000000"/>
                    <w:sz w:val="14"/>
                    <w:szCs w:val="14"/>
                    <w:lang w:eastAsia="es-CO"/>
                  </w:rPr>
                </w:pPr>
                <w:r w:rsidRPr="00471A05">
                  <w:rPr>
                    <w:rFonts w:ascii="Times New Roman" w:eastAsia="Times New Roman" w:hAnsi="Times New Roman"/>
                    <w:color w:val="000000"/>
                    <w:sz w:val="14"/>
                    <w:szCs w:val="14"/>
                    <w:lang w:eastAsia="es-CO"/>
                  </w:rPr>
                  <w:t xml:space="preserve">           503.675.112 </w:t>
                </w:r>
              </w:p>
            </w:tc>
          </w:tr>
          <w:tr w:rsidR="00F52179" w:rsidRPr="00471A05" w14:paraId="7879BF4B" w14:textId="77777777" w:rsidTr="00BC1593">
            <w:trPr>
              <w:trHeight w:val="300"/>
            </w:trPr>
            <w:tc>
              <w:tcPr>
                <w:tcW w:w="0" w:type="auto"/>
                <w:shd w:val="clear" w:color="auto" w:fill="auto"/>
                <w:noWrap/>
                <w:vAlign w:val="center"/>
                <w:hideMark/>
              </w:tcPr>
              <w:p w14:paraId="3A57564D" w14:textId="77777777" w:rsidR="00F52179" w:rsidRPr="00471A05" w:rsidRDefault="00F52179" w:rsidP="00F52179">
                <w:pPr>
                  <w:spacing w:after="0" w:line="240" w:lineRule="auto"/>
                  <w:rPr>
                    <w:rFonts w:ascii="Times New Roman" w:eastAsia="Times New Roman" w:hAnsi="Times New Roman"/>
                    <w:color w:val="000000"/>
                    <w:sz w:val="14"/>
                    <w:szCs w:val="14"/>
                    <w:lang w:eastAsia="es-CO"/>
                  </w:rPr>
                </w:pPr>
                <w:r w:rsidRPr="00471A05">
                  <w:rPr>
                    <w:rFonts w:ascii="Times New Roman" w:eastAsia="Times New Roman" w:hAnsi="Times New Roman"/>
                    <w:color w:val="000000"/>
                    <w:sz w:val="14"/>
                    <w:szCs w:val="14"/>
                    <w:lang w:eastAsia="es-CO"/>
                  </w:rPr>
                  <w:t>CONCESIÓN COSTERA CARTAGENA BARRANQUILLA S.A.S.</w:t>
                </w:r>
              </w:p>
            </w:tc>
            <w:tc>
              <w:tcPr>
                <w:tcW w:w="0" w:type="auto"/>
                <w:shd w:val="clear" w:color="auto" w:fill="auto"/>
                <w:noWrap/>
                <w:vAlign w:val="center"/>
                <w:hideMark/>
              </w:tcPr>
              <w:p w14:paraId="4396A1BD" w14:textId="77777777" w:rsidR="00F52179" w:rsidRPr="00471A05" w:rsidRDefault="00F52179" w:rsidP="00BC1593">
                <w:pPr>
                  <w:spacing w:after="0" w:line="240" w:lineRule="auto"/>
                  <w:jc w:val="right"/>
                  <w:rPr>
                    <w:rFonts w:ascii="Times New Roman" w:eastAsia="Times New Roman" w:hAnsi="Times New Roman"/>
                    <w:color w:val="000000"/>
                    <w:sz w:val="14"/>
                    <w:szCs w:val="14"/>
                    <w:lang w:eastAsia="es-CO"/>
                  </w:rPr>
                </w:pPr>
              </w:p>
            </w:tc>
            <w:tc>
              <w:tcPr>
                <w:tcW w:w="0" w:type="auto"/>
                <w:shd w:val="clear" w:color="auto" w:fill="auto"/>
                <w:noWrap/>
                <w:vAlign w:val="center"/>
                <w:hideMark/>
              </w:tcPr>
              <w:p w14:paraId="04C79A5E" w14:textId="77777777" w:rsidR="00F52179" w:rsidRPr="00471A05" w:rsidRDefault="00F52179" w:rsidP="00BC1593">
                <w:pPr>
                  <w:spacing w:after="0" w:line="240" w:lineRule="auto"/>
                  <w:jc w:val="right"/>
                  <w:rPr>
                    <w:rFonts w:ascii="Times New Roman" w:eastAsia="Times New Roman" w:hAnsi="Times New Roman"/>
                    <w:color w:val="000000"/>
                    <w:sz w:val="14"/>
                    <w:szCs w:val="14"/>
                    <w:lang w:eastAsia="es-CO"/>
                  </w:rPr>
                </w:pPr>
                <w:r w:rsidRPr="00471A05">
                  <w:rPr>
                    <w:rFonts w:ascii="Times New Roman" w:eastAsia="Times New Roman" w:hAnsi="Times New Roman"/>
                    <w:color w:val="000000"/>
                    <w:sz w:val="14"/>
                    <w:szCs w:val="14"/>
                    <w:lang w:eastAsia="es-CO"/>
                  </w:rPr>
                  <w:t xml:space="preserve">        3.274.306.852 </w:t>
                </w:r>
              </w:p>
            </w:tc>
          </w:tr>
          <w:tr w:rsidR="00F52179" w:rsidRPr="00471A05" w14:paraId="6D465F2A" w14:textId="77777777" w:rsidTr="00BC1593">
            <w:trPr>
              <w:trHeight w:val="300"/>
            </w:trPr>
            <w:tc>
              <w:tcPr>
                <w:tcW w:w="0" w:type="auto"/>
                <w:shd w:val="clear" w:color="auto" w:fill="auto"/>
                <w:noWrap/>
                <w:vAlign w:val="center"/>
                <w:hideMark/>
              </w:tcPr>
              <w:p w14:paraId="71AC9475" w14:textId="77777777" w:rsidR="00F52179" w:rsidRPr="00471A05" w:rsidRDefault="00F52179" w:rsidP="00F52179">
                <w:pPr>
                  <w:spacing w:after="0" w:line="240" w:lineRule="auto"/>
                  <w:rPr>
                    <w:rFonts w:ascii="Times New Roman" w:eastAsia="Times New Roman" w:hAnsi="Times New Roman"/>
                    <w:color w:val="000000"/>
                    <w:sz w:val="14"/>
                    <w:szCs w:val="14"/>
                    <w:lang w:eastAsia="es-CO"/>
                  </w:rPr>
                </w:pPr>
                <w:r w:rsidRPr="00471A05">
                  <w:rPr>
                    <w:rFonts w:ascii="Times New Roman" w:eastAsia="Times New Roman" w:hAnsi="Times New Roman"/>
                    <w:color w:val="000000"/>
                    <w:sz w:val="14"/>
                    <w:szCs w:val="14"/>
                    <w:lang w:eastAsia="es-CO"/>
                  </w:rPr>
                  <w:t>CONCESION LA PINTADA S.A.S.</w:t>
                </w:r>
              </w:p>
            </w:tc>
            <w:tc>
              <w:tcPr>
                <w:tcW w:w="0" w:type="auto"/>
                <w:shd w:val="clear" w:color="auto" w:fill="auto"/>
                <w:noWrap/>
                <w:vAlign w:val="center"/>
                <w:hideMark/>
              </w:tcPr>
              <w:p w14:paraId="04C84238" w14:textId="77777777" w:rsidR="00F52179" w:rsidRPr="00471A05" w:rsidRDefault="00F52179" w:rsidP="00BC1593">
                <w:pPr>
                  <w:spacing w:after="0" w:line="240" w:lineRule="auto"/>
                  <w:jc w:val="right"/>
                  <w:rPr>
                    <w:rFonts w:ascii="Times New Roman" w:eastAsia="Times New Roman" w:hAnsi="Times New Roman"/>
                    <w:color w:val="000000"/>
                    <w:sz w:val="14"/>
                    <w:szCs w:val="14"/>
                    <w:lang w:eastAsia="es-CO"/>
                  </w:rPr>
                </w:pPr>
              </w:p>
            </w:tc>
            <w:tc>
              <w:tcPr>
                <w:tcW w:w="0" w:type="auto"/>
                <w:shd w:val="clear" w:color="auto" w:fill="auto"/>
                <w:noWrap/>
                <w:vAlign w:val="center"/>
                <w:hideMark/>
              </w:tcPr>
              <w:p w14:paraId="11A11F9C" w14:textId="77777777" w:rsidR="00F52179" w:rsidRPr="00471A05" w:rsidRDefault="00F52179" w:rsidP="00BC1593">
                <w:pPr>
                  <w:spacing w:after="0" w:line="240" w:lineRule="auto"/>
                  <w:jc w:val="right"/>
                  <w:rPr>
                    <w:rFonts w:ascii="Times New Roman" w:eastAsia="Times New Roman" w:hAnsi="Times New Roman"/>
                    <w:color w:val="000000"/>
                    <w:sz w:val="14"/>
                    <w:szCs w:val="14"/>
                    <w:lang w:eastAsia="es-CO"/>
                  </w:rPr>
                </w:pPr>
                <w:r w:rsidRPr="00471A05">
                  <w:rPr>
                    <w:rFonts w:ascii="Times New Roman" w:eastAsia="Times New Roman" w:hAnsi="Times New Roman"/>
                    <w:color w:val="000000"/>
                    <w:sz w:val="14"/>
                    <w:szCs w:val="14"/>
                    <w:lang w:eastAsia="es-CO"/>
                  </w:rPr>
                  <w:t xml:space="preserve">              38.639.597 </w:t>
                </w:r>
              </w:p>
            </w:tc>
          </w:tr>
          <w:tr w:rsidR="00F52179" w:rsidRPr="00471A05" w14:paraId="5F122D18" w14:textId="77777777" w:rsidTr="00BC1593">
            <w:trPr>
              <w:trHeight w:val="300"/>
            </w:trPr>
            <w:tc>
              <w:tcPr>
                <w:tcW w:w="0" w:type="auto"/>
                <w:shd w:val="clear" w:color="auto" w:fill="auto"/>
                <w:noWrap/>
                <w:vAlign w:val="center"/>
                <w:hideMark/>
              </w:tcPr>
              <w:p w14:paraId="3FBDB0A4" w14:textId="77777777" w:rsidR="00F52179" w:rsidRPr="00471A05" w:rsidRDefault="00F52179" w:rsidP="00F52179">
                <w:pPr>
                  <w:spacing w:after="0" w:line="240" w:lineRule="auto"/>
                  <w:rPr>
                    <w:rFonts w:ascii="Times New Roman" w:eastAsia="Times New Roman" w:hAnsi="Times New Roman"/>
                    <w:color w:val="000000"/>
                    <w:sz w:val="14"/>
                    <w:szCs w:val="14"/>
                    <w:lang w:eastAsia="es-CO"/>
                  </w:rPr>
                </w:pPr>
                <w:r w:rsidRPr="00471A05">
                  <w:rPr>
                    <w:rFonts w:ascii="Times New Roman" w:eastAsia="Times New Roman" w:hAnsi="Times New Roman"/>
                    <w:color w:val="000000"/>
                    <w:sz w:val="14"/>
                    <w:szCs w:val="14"/>
                    <w:lang w:eastAsia="es-CO"/>
                  </w:rPr>
                  <w:t>CONCESIÓN PACIFICO TRES S.A.S.</w:t>
                </w:r>
              </w:p>
            </w:tc>
            <w:tc>
              <w:tcPr>
                <w:tcW w:w="0" w:type="auto"/>
                <w:shd w:val="clear" w:color="auto" w:fill="auto"/>
                <w:noWrap/>
                <w:vAlign w:val="center"/>
                <w:hideMark/>
              </w:tcPr>
              <w:p w14:paraId="6B2E4A15" w14:textId="77777777" w:rsidR="00F52179" w:rsidRPr="00471A05" w:rsidRDefault="00F52179" w:rsidP="00BC1593">
                <w:pPr>
                  <w:spacing w:after="0" w:line="240" w:lineRule="auto"/>
                  <w:jc w:val="right"/>
                  <w:rPr>
                    <w:rFonts w:ascii="Times New Roman" w:eastAsia="Times New Roman" w:hAnsi="Times New Roman"/>
                    <w:color w:val="000000"/>
                    <w:sz w:val="14"/>
                    <w:szCs w:val="14"/>
                    <w:lang w:eastAsia="es-CO"/>
                  </w:rPr>
                </w:pPr>
                <w:r w:rsidRPr="00471A05">
                  <w:rPr>
                    <w:rFonts w:ascii="Times New Roman" w:eastAsia="Times New Roman" w:hAnsi="Times New Roman"/>
                    <w:color w:val="000000"/>
                    <w:sz w:val="14"/>
                    <w:szCs w:val="14"/>
                    <w:lang w:eastAsia="es-CO"/>
                  </w:rPr>
                  <w:t xml:space="preserve">                286.298.863 </w:t>
                </w:r>
              </w:p>
            </w:tc>
            <w:tc>
              <w:tcPr>
                <w:tcW w:w="0" w:type="auto"/>
                <w:shd w:val="clear" w:color="auto" w:fill="auto"/>
                <w:noWrap/>
                <w:vAlign w:val="center"/>
                <w:hideMark/>
              </w:tcPr>
              <w:p w14:paraId="69DD04E8" w14:textId="77777777" w:rsidR="00F52179" w:rsidRPr="00471A05" w:rsidRDefault="00F52179" w:rsidP="00BC1593">
                <w:pPr>
                  <w:spacing w:after="0" w:line="240" w:lineRule="auto"/>
                  <w:jc w:val="right"/>
                  <w:rPr>
                    <w:rFonts w:ascii="Times New Roman" w:eastAsia="Times New Roman" w:hAnsi="Times New Roman"/>
                    <w:color w:val="000000"/>
                    <w:sz w:val="14"/>
                    <w:szCs w:val="14"/>
                    <w:lang w:eastAsia="es-CO"/>
                  </w:rPr>
                </w:pPr>
                <w:r w:rsidRPr="00471A05">
                  <w:rPr>
                    <w:rFonts w:ascii="Times New Roman" w:eastAsia="Times New Roman" w:hAnsi="Times New Roman"/>
                    <w:color w:val="000000"/>
                    <w:sz w:val="14"/>
                    <w:szCs w:val="14"/>
                    <w:lang w:eastAsia="es-CO"/>
                  </w:rPr>
                  <w:t> </w:t>
                </w:r>
              </w:p>
            </w:tc>
          </w:tr>
          <w:tr w:rsidR="00F52179" w:rsidRPr="00471A05" w14:paraId="10EE6FD9" w14:textId="77777777" w:rsidTr="00BC1593">
            <w:trPr>
              <w:trHeight w:val="300"/>
            </w:trPr>
            <w:tc>
              <w:tcPr>
                <w:tcW w:w="0" w:type="auto"/>
                <w:shd w:val="clear" w:color="auto" w:fill="auto"/>
                <w:noWrap/>
                <w:vAlign w:val="center"/>
                <w:hideMark/>
              </w:tcPr>
              <w:p w14:paraId="5758D260" w14:textId="77777777" w:rsidR="00F52179" w:rsidRPr="00471A05" w:rsidRDefault="00F52179" w:rsidP="00F52179">
                <w:pPr>
                  <w:spacing w:after="0" w:line="240" w:lineRule="auto"/>
                  <w:rPr>
                    <w:rFonts w:ascii="Times New Roman" w:eastAsia="Times New Roman" w:hAnsi="Times New Roman"/>
                    <w:color w:val="000000"/>
                    <w:sz w:val="14"/>
                    <w:szCs w:val="14"/>
                    <w:lang w:eastAsia="es-CO"/>
                  </w:rPr>
                </w:pPr>
                <w:r w:rsidRPr="00471A05">
                  <w:rPr>
                    <w:rFonts w:ascii="Times New Roman" w:eastAsia="Times New Roman" w:hAnsi="Times New Roman"/>
                    <w:color w:val="000000"/>
                    <w:sz w:val="14"/>
                    <w:szCs w:val="14"/>
                    <w:lang w:eastAsia="es-CO"/>
                  </w:rPr>
                  <w:t>CONCESIÒN RUTA AL MAR S.A.S.</w:t>
                </w:r>
              </w:p>
            </w:tc>
            <w:tc>
              <w:tcPr>
                <w:tcW w:w="0" w:type="auto"/>
                <w:shd w:val="clear" w:color="auto" w:fill="auto"/>
                <w:noWrap/>
                <w:vAlign w:val="center"/>
                <w:hideMark/>
              </w:tcPr>
              <w:p w14:paraId="058B92DB" w14:textId="77777777" w:rsidR="00F52179" w:rsidRPr="00471A05" w:rsidRDefault="00F52179" w:rsidP="00BC1593">
                <w:pPr>
                  <w:spacing w:after="0" w:line="240" w:lineRule="auto"/>
                  <w:jc w:val="right"/>
                  <w:rPr>
                    <w:rFonts w:ascii="Times New Roman" w:eastAsia="Times New Roman" w:hAnsi="Times New Roman"/>
                    <w:color w:val="000000"/>
                    <w:sz w:val="14"/>
                    <w:szCs w:val="14"/>
                    <w:lang w:eastAsia="es-CO"/>
                  </w:rPr>
                </w:pPr>
                <w:r w:rsidRPr="00471A05">
                  <w:rPr>
                    <w:rFonts w:ascii="Times New Roman" w:eastAsia="Times New Roman" w:hAnsi="Times New Roman"/>
                    <w:color w:val="000000"/>
                    <w:sz w:val="14"/>
                    <w:szCs w:val="14"/>
                    <w:lang w:eastAsia="es-CO"/>
                  </w:rPr>
                  <w:t xml:space="preserve">                  96.527.427 </w:t>
                </w:r>
              </w:p>
            </w:tc>
            <w:tc>
              <w:tcPr>
                <w:tcW w:w="0" w:type="auto"/>
                <w:shd w:val="clear" w:color="auto" w:fill="auto"/>
                <w:noWrap/>
                <w:vAlign w:val="center"/>
                <w:hideMark/>
              </w:tcPr>
              <w:p w14:paraId="568D9733" w14:textId="77777777" w:rsidR="00F52179" w:rsidRPr="00471A05" w:rsidRDefault="00F52179" w:rsidP="00BC1593">
                <w:pPr>
                  <w:spacing w:after="0" w:line="240" w:lineRule="auto"/>
                  <w:jc w:val="right"/>
                  <w:rPr>
                    <w:rFonts w:ascii="Times New Roman" w:eastAsia="Times New Roman" w:hAnsi="Times New Roman"/>
                    <w:color w:val="000000"/>
                    <w:sz w:val="14"/>
                    <w:szCs w:val="14"/>
                    <w:lang w:eastAsia="es-CO"/>
                  </w:rPr>
                </w:pPr>
                <w:r w:rsidRPr="00471A05">
                  <w:rPr>
                    <w:rFonts w:ascii="Times New Roman" w:eastAsia="Times New Roman" w:hAnsi="Times New Roman"/>
                    <w:color w:val="000000"/>
                    <w:sz w:val="14"/>
                    <w:szCs w:val="14"/>
                    <w:lang w:eastAsia="es-CO"/>
                  </w:rPr>
                  <w:t xml:space="preserve">              96.527.427 </w:t>
                </w:r>
              </w:p>
            </w:tc>
          </w:tr>
          <w:tr w:rsidR="00F52179" w:rsidRPr="00471A05" w14:paraId="481C7923" w14:textId="77777777" w:rsidTr="00BC1593">
            <w:trPr>
              <w:trHeight w:val="300"/>
            </w:trPr>
            <w:tc>
              <w:tcPr>
                <w:tcW w:w="0" w:type="auto"/>
                <w:shd w:val="clear" w:color="auto" w:fill="auto"/>
                <w:noWrap/>
                <w:vAlign w:val="center"/>
                <w:hideMark/>
              </w:tcPr>
              <w:p w14:paraId="26459606" w14:textId="0F1891B6" w:rsidR="00F52179" w:rsidRPr="00471A05" w:rsidRDefault="00F52179" w:rsidP="00F52179">
                <w:pPr>
                  <w:spacing w:after="0" w:line="240" w:lineRule="auto"/>
                  <w:rPr>
                    <w:rFonts w:ascii="Times New Roman" w:eastAsia="Times New Roman" w:hAnsi="Times New Roman"/>
                    <w:color w:val="000000"/>
                    <w:sz w:val="14"/>
                    <w:szCs w:val="14"/>
                    <w:lang w:eastAsia="es-CO"/>
                  </w:rPr>
                </w:pPr>
                <w:r w:rsidRPr="00471A05">
                  <w:rPr>
                    <w:rFonts w:ascii="Times New Roman" w:eastAsia="Times New Roman" w:hAnsi="Times New Roman"/>
                    <w:color w:val="000000"/>
                    <w:sz w:val="14"/>
                    <w:szCs w:val="14"/>
                    <w:lang w:eastAsia="es-CO"/>
                  </w:rPr>
                  <w:t xml:space="preserve">CONCESIONARIA VIAL ANDINA S A S  </w:t>
                </w:r>
              </w:p>
            </w:tc>
            <w:tc>
              <w:tcPr>
                <w:tcW w:w="0" w:type="auto"/>
                <w:shd w:val="clear" w:color="auto" w:fill="auto"/>
                <w:noWrap/>
                <w:vAlign w:val="center"/>
                <w:hideMark/>
              </w:tcPr>
              <w:p w14:paraId="569934E0" w14:textId="77777777" w:rsidR="00F52179" w:rsidRPr="00471A05" w:rsidRDefault="00F52179" w:rsidP="00BC1593">
                <w:pPr>
                  <w:spacing w:after="0" w:line="240" w:lineRule="auto"/>
                  <w:jc w:val="right"/>
                  <w:rPr>
                    <w:rFonts w:ascii="Times New Roman" w:eastAsia="Times New Roman" w:hAnsi="Times New Roman"/>
                    <w:color w:val="000000"/>
                    <w:sz w:val="14"/>
                    <w:szCs w:val="14"/>
                    <w:lang w:eastAsia="es-CO"/>
                  </w:rPr>
                </w:pPr>
                <w:r w:rsidRPr="00471A05">
                  <w:rPr>
                    <w:rFonts w:ascii="Times New Roman" w:eastAsia="Times New Roman" w:hAnsi="Times New Roman"/>
                    <w:color w:val="000000"/>
                    <w:sz w:val="14"/>
                    <w:szCs w:val="14"/>
                    <w:lang w:eastAsia="es-CO"/>
                  </w:rPr>
                  <w:t xml:space="preserve">            9.482.753.440 </w:t>
                </w:r>
              </w:p>
            </w:tc>
            <w:tc>
              <w:tcPr>
                <w:tcW w:w="0" w:type="auto"/>
                <w:shd w:val="clear" w:color="auto" w:fill="auto"/>
                <w:noWrap/>
                <w:vAlign w:val="center"/>
                <w:hideMark/>
              </w:tcPr>
              <w:p w14:paraId="4E8E6744" w14:textId="77777777" w:rsidR="00F52179" w:rsidRPr="00471A05" w:rsidRDefault="00F52179" w:rsidP="00BC1593">
                <w:pPr>
                  <w:spacing w:after="0" w:line="240" w:lineRule="auto"/>
                  <w:jc w:val="right"/>
                  <w:rPr>
                    <w:rFonts w:ascii="Times New Roman" w:eastAsia="Times New Roman" w:hAnsi="Times New Roman"/>
                    <w:color w:val="000000"/>
                    <w:sz w:val="14"/>
                    <w:szCs w:val="14"/>
                    <w:lang w:eastAsia="es-CO"/>
                  </w:rPr>
                </w:pPr>
                <w:r w:rsidRPr="00471A05">
                  <w:rPr>
                    <w:rFonts w:ascii="Times New Roman" w:eastAsia="Times New Roman" w:hAnsi="Times New Roman"/>
                    <w:color w:val="000000"/>
                    <w:sz w:val="14"/>
                    <w:szCs w:val="14"/>
                    <w:lang w:eastAsia="es-CO"/>
                  </w:rPr>
                  <w:t> </w:t>
                </w:r>
              </w:p>
            </w:tc>
          </w:tr>
          <w:tr w:rsidR="00F52179" w:rsidRPr="00471A05" w14:paraId="2FE393E4" w14:textId="77777777" w:rsidTr="00BC1593">
            <w:trPr>
              <w:trHeight w:val="300"/>
            </w:trPr>
            <w:tc>
              <w:tcPr>
                <w:tcW w:w="0" w:type="auto"/>
                <w:shd w:val="clear" w:color="auto" w:fill="auto"/>
                <w:noWrap/>
                <w:vAlign w:val="center"/>
                <w:hideMark/>
              </w:tcPr>
              <w:p w14:paraId="076020F7" w14:textId="77777777" w:rsidR="00F52179" w:rsidRPr="00471A05" w:rsidRDefault="00F52179" w:rsidP="00F52179">
                <w:pPr>
                  <w:spacing w:after="0" w:line="240" w:lineRule="auto"/>
                  <w:rPr>
                    <w:rFonts w:ascii="Times New Roman" w:eastAsia="Times New Roman" w:hAnsi="Times New Roman"/>
                    <w:color w:val="000000"/>
                    <w:sz w:val="14"/>
                    <w:szCs w:val="14"/>
                    <w:lang w:eastAsia="es-CO"/>
                  </w:rPr>
                </w:pPr>
                <w:r w:rsidRPr="00471A05">
                  <w:rPr>
                    <w:rFonts w:ascii="Times New Roman" w:eastAsia="Times New Roman" w:hAnsi="Times New Roman"/>
                    <w:color w:val="000000"/>
                    <w:sz w:val="14"/>
                    <w:szCs w:val="14"/>
                    <w:lang w:eastAsia="es-CO"/>
                  </w:rPr>
                  <w:t>CONCESIONARIA VIAL DE LOS ANDES S.A.S. COVIANDES S.A.S.</w:t>
                </w:r>
              </w:p>
            </w:tc>
            <w:tc>
              <w:tcPr>
                <w:tcW w:w="0" w:type="auto"/>
                <w:shd w:val="clear" w:color="auto" w:fill="auto"/>
                <w:noWrap/>
                <w:vAlign w:val="center"/>
                <w:hideMark/>
              </w:tcPr>
              <w:p w14:paraId="0DDD50C4" w14:textId="77777777" w:rsidR="00F52179" w:rsidRPr="00471A05" w:rsidRDefault="00F52179" w:rsidP="00BC1593">
                <w:pPr>
                  <w:spacing w:after="0" w:line="240" w:lineRule="auto"/>
                  <w:jc w:val="right"/>
                  <w:rPr>
                    <w:rFonts w:ascii="Times New Roman" w:eastAsia="Times New Roman" w:hAnsi="Times New Roman"/>
                    <w:color w:val="000000"/>
                    <w:sz w:val="14"/>
                    <w:szCs w:val="14"/>
                    <w:lang w:eastAsia="es-CO"/>
                  </w:rPr>
                </w:pPr>
              </w:p>
            </w:tc>
            <w:tc>
              <w:tcPr>
                <w:tcW w:w="0" w:type="auto"/>
                <w:shd w:val="clear" w:color="auto" w:fill="auto"/>
                <w:noWrap/>
                <w:vAlign w:val="center"/>
                <w:hideMark/>
              </w:tcPr>
              <w:p w14:paraId="7E70290B" w14:textId="77777777" w:rsidR="00F52179" w:rsidRPr="00471A05" w:rsidRDefault="00F52179" w:rsidP="00BC1593">
                <w:pPr>
                  <w:spacing w:after="0" w:line="240" w:lineRule="auto"/>
                  <w:jc w:val="right"/>
                  <w:rPr>
                    <w:rFonts w:ascii="Times New Roman" w:eastAsia="Times New Roman" w:hAnsi="Times New Roman"/>
                    <w:color w:val="000000"/>
                    <w:sz w:val="14"/>
                    <w:szCs w:val="14"/>
                    <w:lang w:eastAsia="es-CO"/>
                  </w:rPr>
                </w:pPr>
                <w:r w:rsidRPr="00471A05">
                  <w:rPr>
                    <w:rFonts w:ascii="Times New Roman" w:eastAsia="Times New Roman" w:hAnsi="Times New Roman"/>
                    <w:color w:val="000000"/>
                    <w:sz w:val="14"/>
                    <w:szCs w:val="14"/>
                    <w:lang w:eastAsia="es-CO"/>
                  </w:rPr>
                  <w:t xml:space="preserve">        1.255.059.143 </w:t>
                </w:r>
              </w:p>
            </w:tc>
          </w:tr>
          <w:tr w:rsidR="00F52179" w:rsidRPr="00471A05" w14:paraId="12285F58" w14:textId="77777777" w:rsidTr="00BC1593">
            <w:trPr>
              <w:trHeight w:val="300"/>
            </w:trPr>
            <w:tc>
              <w:tcPr>
                <w:tcW w:w="0" w:type="auto"/>
                <w:shd w:val="clear" w:color="auto" w:fill="auto"/>
                <w:noWrap/>
                <w:vAlign w:val="center"/>
                <w:hideMark/>
              </w:tcPr>
              <w:p w14:paraId="48AD6646" w14:textId="77777777" w:rsidR="00F52179" w:rsidRPr="00471A05" w:rsidRDefault="00F52179" w:rsidP="00F52179">
                <w:pPr>
                  <w:spacing w:after="0" w:line="240" w:lineRule="auto"/>
                  <w:rPr>
                    <w:rFonts w:ascii="Times New Roman" w:eastAsia="Times New Roman" w:hAnsi="Times New Roman"/>
                    <w:color w:val="000000"/>
                    <w:sz w:val="14"/>
                    <w:szCs w:val="14"/>
                    <w:lang w:eastAsia="es-CO"/>
                  </w:rPr>
                </w:pPr>
                <w:r w:rsidRPr="00471A05">
                  <w:rPr>
                    <w:rFonts w:ascii="Times New Roman" w:eastAsia="Times New Roman" w:hAnsi="Times New Roman"/>
                    <w:color w:val="000000"/>
                    <w:sz w:val="14"/>
                    <w:szCs w:val="14"/>
                    <w:lang w:eastAsia="es-CO"/>
                  </w:rPr>
                  <w:t>CONCESIONARIA VIAL DEL PACIFICO S A S</w:t>
                </w:r>
              </w:p>
            </w:tc>
            <w:tc>
              <w:tcPr>
                <w:tcW w:w="0" w:type="auto"/>
                <w:shd w:val="clear" w:color="auto" w:fill="auto"/>
                <w:noWrap/>
                <w:vAlign w:val="center"/>
                <w:hideMark/>
              </w:tcPr>
              <w:p w14:paraId="3F395A1B" w14:textId="77777777" w:rsidR="00F52179" w:rsidRPr="00471A05" w:rsidRDefault="00F52179" w:rsidP="00BC1593">
                <w:pPr>
                  <w:spacing w:after="0" w:line="240" w:lineRule="auto"/>
                  <w:jc w:val="right"/>
                  <w:rPr>
                    <w:rFonts w:ascii="Times New Roman" w:eastAsia="Times New Roman" w:hAnsi="Times New Roman"/>
                    <w:color w:val="000000"/>
                    <w:sz w:val="14"/>
                    <w:szCs w:val="14"/>
                    <w:lang w:eastAsia="es-CO"/>
                  </w:rPr>
                </w:pPr>
                <w:r w:rsidRPr="00471A05">
                  <w:rPr>
                    <w:rFonts w:ascii="Times New Roman" w:eastAsia="Times New Roman" w:hAnsi="Times New Roman"/>
                    <w:color w:val="000000"/>
                    <w:sz w:val="14"/>
                    <w:szCs w:val="14"/>
                    <w:lang w:eastAsia="es-CO"/>
                  </w:rPr>
                  <w:t xml:space="preserve">            8.224.760.416 </w:t>
                </w:r>
              </w:p>
            </w:tc>
            <w:tc>
              <w:tcPr>
                <w:tcW w:w="0" w:type="auto"/>
                <w:shd w:val="clear" w:color="auto" w:fill="auto"/>
                <w:noWrap/>
                <w:vAlign w:val="center"/>
                <w:hideMark/>
              </w:tcPr>
              <w:p w14:paraId="16428D03" w14:textId="77777777" w:rsidR="00F52179" w:rsidRPr="00471A05" w:rsidRDefault="00F52179" w:rsidP="00BC1593">
                <w:pPr>
                  <w:spacing w:after="0" w:line="240" w:lineRule="auto"/>
                  <w:jc w:val="right"/>
                  <w:rPr>
                    <w:rFonts w:ascii="Times New Roman" w:eastAsia="Times New Roman" w:hAnsi="Times New Roman"/>
                    <w:color w:val="000000"/>
                    <w:sz w:val="14"/>
                    <w:szCs w:val="14"/>
                    <w:lang w:eastAsia="es-CO"/>
                  </w:rPr>
                </w:pPr>
                <w:r w:rsidRPr="00471A05">
                  <w:rPr>
                    <w:rFonts w:ascii="Times New Roman" w:eastAsia="Times New Roman" w:hAnsi="Times New Roman"/>
                    <w:color w:val="000000"/>
                    <w:sz w:val="14"/>
                    <w:szCs w:val="14"/>
                    <w:lang w:eastAsia="es-CO"/>
                  </w:rPr>
                  <w:t> </w:t>
                </w:r>
              </w:p>
            </w:tc>
          </w:tr>
          <w:tr w:rsidR="00F52179" w:rsidRPr="00471A05" w14:paraId="707B24F8" w14:textId="77777777" w:rsidTr="00BC1593">
            <w:trPr>
              <w:trHeight w:val="300"/>
            </w:trPr>
            <w:tc>
              <w:tcPr>
                <w:tcW w:w="0" w:type="auto"/>
                <w:shd w:val="clear" w:color="auto" w:fill="auto"/>
                <w:noWrap/>
                <w:vAlign w:val="center"/>
                <w:hideMark/>
              </w:tcPr>
              <w:p w14:paraId="31DE6FBD" w14:textId="77777777" w:rsidR="00F52179" w:rsidRPr="00471A05" w:rsidRDefault="00F52179" w:rsidP="00F52179">
                <w:pPr>
                  <w:spacing w:after="0" w:line="240" w:lineRule="auto"/>
                  <w:rPr>
                    <w:rFonts w:ascii="Times New Roman" w:eastAsia="Times New Roman" w:hAnsi="Times New Roman"/>
                    <w:color w:val="000000"/>
                    <w:sz w:val="14"/>
                    <w:szCs w:val="14"/>
                    <w:lang w:eastAsia="es-CO"/>
                  </w:rPr>
                </w:pPr>
                <w:r w:rsidRPr="00471A05">
                  <w:rPr>
                    <w:rFonts w:ascii="Times New Roman" w:eastAsia="Times New Roman" w:hAnsi="Times New Roman"/>
                    <w:color w:val="000000"/>
                    <w:sz w:val="14"/>
                    <w:szCs w:val="14"/>
                    <w:lang w:eastAsia="es-CO"/>
                  </w:rPr>
                  <w:t>PERIMETRAL ORIENTAL DE BOGOTA SAS</w:t>
                </w:r>
              </w:p>
            </w:tc>
            <w:tc>
              <w:tcPr>
                <w:tcW w:w="0" w:type="auto"/>
                <w:shd w:val="clear" w:color="auto" w:fill="auto"/>
                <w:noWrap/>
                <w:vAlign w:val="center"/>
                <w:hideMark/>
              </w:tcPr>
              <w:p w14:paraId="3D71650D" w14:textId="77777777" w:rsidR="00F52179" w:rsidRPr="00471A05" w:rsidRDefault="00F52179" w:rsidP="00BC1593">
                <w:pPr>
                  <w:spacing w:after="0" w:line="240" w:lineRule="auto"/>
                  <w:jc w:val="right"/>
                  <w:rPr>
                    <w:rFonts w:ascii="Times New Roman" w:eastAsia="Times New Roman" w:hAnsi="Times New Roman"/>
                    <w:color w:val="000000"/>
                    <w:sz w:val="14"/>
                    <w:szCs w:val="14"/>
                    <w:lang w:eastAsia="es-CO"/>
                  </w:rPr>
                </w:pPr>
                <w:r w:rsidRPr="00471A05">
                  <w:rPr>
                    <w:rFonts w:ascii="Times New Roman" w:eastAsia="Times New Roman" w:hAnsi="Times New Roman"/>
                    <w:color w:val="000000"/>
                    <w:sz w:val="14"/>
                    <w:szCs w:val="14"/>
                    <w:lang w:eastAsia="es-CO"/>
                  </w:rPr>
                  <w:t xml:space="preserve">                522.920.282 </w:t>
                </w:r>
              </w:p>
            </w:tc>
            <w:tc>
              <w:tcPr>
                <w:tcW w:w="0" w:type="auto"/>
                <w:shd w:val="clear" w:color="auto" w:fill="auto"/>
                <w:noWrap/>
                <w:vAlign w:val="center"/>
                <w:hideMark/>
              </w:tcPr>
              <w:p w14:paraId="423E70D3" w14:textId="77777777" w:rsidR="00F52179" w:rsidRPr="00471A05" w:rsidRDefault="00F52179" w:rsidP="00BC1593">
                <w:pPr>
                  <w:spacing w:after="0" w:line="240" w:lineRule="auto"/>
                  <w:jc w:val="right"/>
                  <w:rPr>
                    <w:rFonts w:ascii="Times New Roman" w:eastAsia="Times New Roman" w:hAnsi="Times New Roman"/>
                    <w:color w:val="000000"/>
                    <w:sz w:val="14"/>
                    <w:szCs w:val="14"/>
                    <w:lang w:eastAsia="es-CO"/>
                  </w:rPr>
                </w:pPr>
                <w:r w:rsidRPr="00471A05">
                  <w:rPr>
                    <w:rFonts w:ascii="Times New Roman" w:eastAsia="Times New Roman" w:hAnsi="Times New Roman"/>
                    <w:color w:val="000000"/>
                    <w:sz w:val="14"/>
                    <w:szCs w:val="14"/>
                    <w:lang w:eastAsia="es-CO"/>
                  </w:rPr>
                  <w:t xml:space="preserve">           522.920.282 </w:t>
                </w:r>
              </w:p>
            </w:tc>
          </w:tr>
          <w:tr w:rsidR="00F52179" w:rsidRPr="00471A05" w14:paraId="57A9EF1D" w14:textId="77777777" w:rsidTr="00BC1593">
            <w:trPr>
              <w:trHeight w:val="300"/>
            </w:trPr>
            <w:tc>
              <w:tcPr>
                <w:tcW w:w="0" w:type="auto"/>
                <w:shd w:val="clear" w:color="auto" w:fill="auto"/>
                <w:noWrap/>
                <w:vAlign w:val="center"/>
                <w:hideMark/>
              </w:tcPr>
              <w:p w14:paraId="3F462186" w14:textId="77777777" w:rsidR="00F52179" w:rsidRPr="00471A05" w:rsidRDefault="00F52179" w:rsidP="00F52179">
                <w:pPr>
                  <w:spacing w:after="0" w:line="240" w:lineRule="auto"/>
                  <w:rPr>
                    <w:rFonts w:ascii="Times New Roman" w:eastAsia="Times New Roman" w:hAnsi="Times New Roman"/>
                    <w:color w:val="000000"/>
                    <w:sz w:val="14"/>
                    <w:szCs w:val="14"/>
                    <w:lang w:eastAsia="es-CO"/>
                  </w:rPr>
                </w:pPr>
                <w:r w:rsidRPr="00471A05">
                  <w:rPr>
                    <w:rFonts w:ascii="Times New Roman" w:eastAsia="Times New Roman" w:hAnsi="Times New Roman"/>
                    <w:color w:val="000000"/>
                    <w:sz w:val="14"/>
                    <w:szCs w:val="14"/>
                    <w:lang w:eastAsia="es-CO"/>
                  </w:rPr>
                  <w:t>UNION VIAL RIO PAMPLONITA SAS</w:t>
                </w:r>
              </w:p>
            </w:tc>
            <w:tc>
              <w:tcPr>
                <w:tcW w:w="0" w:type="auto"/>
                <w:shd w:val="clear" w:color="auto" w:fill="auto"/>
                <w:noWrap/>
                <w:vAlign w:val="center"/>
                <w:hideMark/>
              </w:tcPr>
              <w:p w14:paraId="0080ED05" w14:textId="77777777" w:rsidR="00F52179" w:rsidRPr="00471A05" w:rsidRDefault="00F52179" w:rsidP="00BC1593">
                <w:pPr>
                  <w:spacing w:after="0" w:line="240" w:lineRule="auto"/>
                  <w:jc w:val="right"/>
                  <w:rPr>
                    <w:rFonts w:ascii="Times New Roman" w:eastAsia="Times New Roman" w:hAnsi="Times New Roman"/>
                    <w:color w:val="000000"/>
                    <w:sz w:val="14"/>
                    <w:szCs w:val="14"/>
                    <w:lang w:eastAsia="es-CO"/>
                  </w:rPr>
                </w:pPr>
                <w:r w:rsidRPr="00471A05">
                  <w:rPr>
                    <w:rFonts w:ascii="Times New Roman" w:eastAsia="Times New Roman" w:hAnsi="Times New Roman"/>
                    <w:color w:val="000000"/>
                    <w:sz w:val="14"/>
                    <w:szCs w:val="14"/>
                    <w:lang w:eastAsia="es-CO"/>
                  </w:rPr>
                  <w:t xml:space="preserve">                  13.912.840 </w:t>
                </w:r>
              </w:p>
            </w:tc>
            <w:tc>
              <w:tcPr>
                <w:tcW w:w="0" w:type="auto"/>
                <w:shd w:val="clear" w:color="auto" w:fill="auto"/>
                <w:noWrap/>
                <w:vAlign w:val="center"/>
                <w:hideMark/>
              </w:tcPr>
              <w:p w14:paraId="6D119C66" w14:textId="77777777" w:rsidR="00F52179" w:rsidRPr="00471A05" w:rsidRDefault="00F52179" w:rsidP="00BC1593">
                <w:pPr>
                  <w:spacing w:after="0" w:line="240" w:lineRule="auto"/>
                  <w:jc w:val="right"/>
                  <w:rPr>
                    <w:rFonts w:ascii="Times New Roman" w:eastAsia="Times New Roman" w:hAnsi="Times New Roman"/>
                    <w:color w:val="000000"/>
                    <w:sz w:val="14"/>
                    <w:szCs w:val="14"/>
                    <w:lang w:eastAsia="es-CO"/>
                  </w:rPr>
                </w:pPr>
                <w:r w:rsidRPr="00471A05">
                  <w:rPr>
                    <w:rFonts w:ascii="Times New Roman" w:eastAsia="Times New Roman" w:hAnsi="Times New Roman"/>
                    <w:color w:val="000000"/>
                    <w:sz w:val="14"/>
                    <w:szCs w:val="14"/>
                    <w:lang w:eastAsia="es-CO"/>
                  </w:rPr>
                  <w:t xml:space="preserve">              13.912.840 </w:t>
                </w:r>
              </w:p>
            </w:tc>
          </w:tr>
          <w:tr w:rsidR="00F52179" w:rsidRPr="00471A05" w14:paraId="6CB2AAC0" w14:textId="77777777" w:rsidTr="00BC1593">
            <w:trPr>
              <w:trHeight w:val="315"/>
            </w:trPr>
            <w:tc>
              <w:tcPr>
                <w:tcW w:w="0" w:type="auto"/>
                <w:tcBorders>
                  <w:bottom w:val="single" w:sz="12" w:space="0" w:color="808080" w:themeColor="background1" w:themeShade="80"/>
                </w:tcBorders>
                <w:shd w:val="clear" w:color="auto" w:fill="auto"/>
                <w:noWrap/>
                <w:vAlign w:val="center"/>
                <w:hideMark/>
              </w:tcPr>
              <w:p w14:paraId="2D470CDE" w14:textId="77777777" w:rsidR="00F52179" w:rsidRPr="00471A05" w:rsidRDefault="00F52179" w:rsidP="00F52179">
                <w:pPr>
                  <w:spacing w:after="0" w:line="240" w:lineRule="auto"/>
                  <w:rPr>
                    <w:rFonts w:ascii="Times New Roman" w:eastAsia="Times New Roman" w:hAnsi="Times New Roman"/>
                    <w:color w:val="000000"/>
                    <w:sz w:val="14"/>
                    <w:szCs w:val="14"/>
                    <w:lang w:eastAsia="es-CO"/>
                  </w:rPr>
                </w:pPr>
                <w:r w:rsidRPr="00471A05">
                  <w:rPr>
                    <w:rFonts w:ascii="Times New Roman" w:eastAsia="Times New Roman" w:hAnsi="Times New Roman"/>
                    <w:color w:val="000000"/>
                    <w:sz w:val="14"/>
                    <w:szCs w:val="14"/>
                    <w:lang w:eastAsia="es-CO"/>
                  </w:rPr>
                  <w:t>VIAS DE LAS AMERICAS S.A.S.</w:t>
                </w:r>
              </w:p>
            </w:tc>
            <w:tc>
              <w:tcPr>
                <w:tcW w:w="0" w:type="auto"/>
                <w:tcBorders>
                  <w:bottom w:val="single" w:sz="12" w:space="0" w:color="808080" w:themeColor="background1" w:themeShade="80"/>
                </w:tcBorders>
                <w:shd w:val="clear" w:color="auto" w:fill="auto"/>
                <w:noWrap/>
                <w:vAlign w:val="center"/>
                <w:hideMark/>
              </w:tcPr>
              <w:p w14:paraId="19C5789E" w14:textId="77777777" w:rsidR="00F52179" w:rsidRPr="00471A05" w:rsidRDefault="00F52179" w:rsidP="00BC1593">
                <w:pPr>
                  <w:spacing w:after="0" w:line="240" w:lineRule="auto"/>
                  <w:jc w:val="right"/>
                  <w:rPr>
                    <w:rFonts w:ascii="Times New Roman" w:eastAsia="Times New Roman" w:hAnsi="Times New Roman"/>
                    <w:color w:val="000000"/>
                    <w:sz w:val="14"/>
                    <w:szCs w:val="14"/>
                    <w:lang w:eastAsia="es-CO"/>
                  </w:rPr>
                </w:pPr>
              </w:p>
            </w:tc>
            <w:tc>
              <w:tcPr>
                <w:tcW w:w="0" w:type="auto"/>
                <w:tcBorders>
                  <w:bottom w:val="single" w:sz="12" w:space="0" w:color="808080" w:themeColor="background1" w:themeShade="80"/>
                </w:tcBorders>
                <w:shd w:val="clear" w:color="auto" w:fill="auto"/>
                <w:noWrap/>
                <w:vAlign w:val="center"/>
                <w:hideMark/>
              </w:tcPr>
              <w:p w14:paraId="47B10251" w14:textId="77777777" w:rsidR="00F52179" w:rsidRPr="00471A05" w:rsidRDefault="00F52179" w:rsidP="00BC1593">
                <w:pPr>
                  <w:spacing w:after="0" w:line="240" w:lineRule="auto"/>
                  <w:jc w:val="right"/>
                  <w:rPr>
                    <w:rFonts w:ascii="Times New Roman" w:eastAsia="Times New Roman" w:hAnsi="Times New Roman"/>
                    <w:color w:val="000000"/>
                    <w:sz w:val="14"/>
                    <w:szCs w:val="14"/>
                    <w:lang w:eastAsia="es-CO"/>
                  </w:rPr>
                </w:pPr>
                <w:r w:rsidRPr="00471A05">
                  <w:rPr>
                    <w:rFonts w:ascii="Times New Roman" w:eastAsia="Times New Roman" w:hAnsi="Times New Roman"/>
                    <w:color w:val="000000"/>
                    <w:sz w:val="14"/>
                    <w:szCs w:val="14"/>
                    <w:lang w:eastAsia="es-CO"/>
                  </w:rPr>
                  <w:t xml:space="preserve">     34.179.673.323 </w:t>
                </w:r>
              </w:p>
            </w:tc>
          </w:tr>
          <w:tr w:rsidR="00F52179" w:rsidRPr="00471A05" w14:paraId="4BD2347B" w14:textId="77777777" w:rsidTr="00BC1593">
            <w:trPr>
              <w:trHeight w:val="315"/>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noWrap/>
                <w:vAlign w:val="center"/>
                <w:hideMark/>
              </w:tcPr>
              <w:p w14:paraId="1D4D72FA" w14:textId="77777777" w:rsidR="00F52179" w:rsidRPr="00471A05" w:rsidRDefault="00F52179" w:rsidP="00F52179">
                <w:pPr>
                  <w:spacing w:after="0" w:line="240" w:lineRule="auto"/>
                  <w:rPr>
                    <w:rFonts w:ascii="Times New Roman" w:eastAsia="Times New Roman" w:hAnsi="Times New Roman"/>
                    <w:b/>
                    <w:color w:val="000000"/>
                    <w:sz w:val="14"/>
                    <w:szCs w:val="14"/>
                    <w:lang w:eastAsia="es-CO"/>
                  </w:rPr>
                </w:pPr>
                <w:r w:rsidRPr="00471A05">
                  <w:rPr>
                    <w:rFonts w:ascii="Times New Roman" w:eastAsia="Times New Roman" w:hAnsi="Times New Roman"/>
                    <w:b/>
                    <w:color w:val="000000"/>
                    <w:sz w:val="14"/>
                    <w:szCs w:val="14"/>
                    <w:lang w:eastAsia="es-CO"/>
                  </w:rPr>
                  <w:t>TOTAL CARRETERO</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noWrap/>
                <w:vAlign w:val="center"/>
                <w:hideMark/>
              </w:tcPr>
              <w:p w14:paraId="3F409199" w14:textId="77777777" w:rsidR="00F52179" w:rsidRPr="00471A05" w:rsidRDefault="00F52179" w:rsidP="00BC1593">
                <w:pPr>
                  <w:spacing w:after="0" w:line="240" w:lineRule="auto"/>
                  <w:jc w:val="right"/>
                  <w:rPr>
                    <w:rFonts w:ascii="Times New Roman" w:eastAsia="Times New Roman" w:hAnsi="Times New Roman"/>
                    <w:b/>
                    <w:color w:val="000000"/>
                    <w:sz w:val="14"/>
                    <w:szCs w:val="14"/>
                    <w:lang w:eastAsia="es-CO"/>
                  </w:rPr>
                </w:pPr>
                <w:r w:rsidRPr="00471A05">
                  <w:rPr>
                    <w:rFonts w:ascii="Times New Roman" w:eastAsia="Times New Roman" w:hAnsi="Times New Roman"/>
                    <w:b/>
                    <w:color w:val="000000"/>
                    <w:sz w:val="14"/>
                    <w:szCs w:val="14"/>
                    <w:lang w:eastAsia="es-CO"/>
                  </w:rPr>
                  <w:t xml:space="preserve">          40.220.699.175 </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noWrap/>
                <w:vAlign w:val="center"/>
                <w:hideMark/>
              </w:tcPr>
              <w:p w14:paraId="2B1E7DF0" w14:textId="77777777" w:rsidR="00F52179" w:rsidRPr="00471A05" w:rsidRDefault="00F52179" w:rsidP="00BC1593">
                <w:pPr>
                  <w:spacing w:after="0" w:line="240" w:lineRule="auto"/>
                  <w:jc w:val="right"/>
                  <w:rPr>
                    <w:rFonts w:ascii="Times New Roman" w:eastAsia="Times New Roman" w:hAnsi="Times New Roman"/>
                    <w:b/>
                    <w:color w:val="000000"/>
                    <w:sz w:val="14"/>
                    <w:szCs w:val="14"/>
                    <w:lang w:eastAsia="es-CO"/>
                  </w:rPr>
                </w:pPr>
                <w:r w:rsidRPr="00471A05">
                  <w:rPr>
                    <w:rFonts w:ascii="Times New Roman" w:eastAsia="Times New Roman" w:hAnsi="Times New Roman"/>
                    <w:b/>
                    <w:color w:val="000000"/>
                    <w:sz w:val="14"/>
                    <w:szCs w:val="14"/>
                    <w:lang w:eastAsia="es-CO"/>
                  </w:rPr>
                  <w:t xml:space="preserve">     45.427.086.825 </w:t>
                </w:r>
              </w:p>
            </w:tc>
          </w:tr>
          <w:tr w:rsidR="00F52179" w:rsidRPr="00471A05" w14:paraId="1E303E1C" w14:textId="77777777" w:rsidTr="00BC1593">
            <w:trPr>
              <w:trHeight w:val="300"/>
            </w:trPr>
            <w:tc>
              <w:tcPr>
                <w:tcW w:w="0" w:type="auto"/>
                <w:tcBorders>
                  <w:top w:val="single" w:sz="12" w:space="0" w:color="808080" w:themeColor="background1" w:themeShade="80"/>
                </w:tcBorders>
                <w:shd w:val="clear" w:color="auto" w:fill="auto"/>
                <w:noWrap/>
                <w:vAlign w:val="center"/>
                <w:hideMark/>
              </w:tcPr>
              <w:p w14:paraId="5A3439C9" w14:textId="77777777" w:rsidR="00F52179" w:rsidRPr="00471A05" w:rsidRDefault="00F52179" w:rsidP="00F52179">
                <w:pPr>
                  <w:spacing w:after="0" w:line="240" w:lineRule="auto"/>
                  <w:rPr>
                    <w:rFonts w:ascii="Times New Roman" w:eastAsia="Times New Roman" w:hAnsi="Times New Roman"/>
                    <w:color w:val="000000"/>
                    <w:sz w:val="14"/>
                    <w:szCs w:val="14"/>
                    <w:lang w:eastAsia="es-CO"/>
                  </w:rPr>
                </w:pPr>
                <w:r w:rsidRPr="00471A05">
                  <w:rPr>
                    <w:rFonts w:ascii="Times New Roman" w:eastAsia="Times New Roman" w:hAnsi="Times New Roman"/>
                    <w:color w:val="000000"/>
                    <w:sz w:val="14"/>
                    <w:szCs w:val="14"/>
                    <w:lang w:eastAsia="es-CO"/>
                  </w:rPr>
                  <w:t>SOCIEDAD PORTUARIA REGIONAL DE BUENAVENTURA S.A. S.P.R. BUN</w:t>
                </w:r>
              </w:p>
            </w:tc>
            <w:tc>
              <w:tcPr>
                <w:tcW w:w="0" w:type="auto"/>
                <w:tcBorders>
                  <w:top w:val="single" w:sz="12" w:space="0" w:color="808080" w:themeColor="background1" w:themeShade="80"/>
                </w:tcBorders>
                <w:shd w:val="clear" w:color="auto" w:fill="auto"/>
                <w:noWrap/>
                <w:vAlign w:val="center"/>
                <w:hideMark/>
              </w:tcPr>
              <w:p w14:paraId="2099AB77" w14:textId="77777777" w:rsidR="00F52179" w:rsidRPr="00471A05" w:rsidRDefault="00F52179" w:rsidP="00F52179">
                <w:pPr>
                  <w:spacing w:after="0" w:line="240" w:lineRule="auto"/>
                  <w:rPr>
                    <w:rFonts w:ascii="Times New Roman" w:eastAsia="Times New Roman" w:hAnsi="Times New Roman"/>
                    <w:color w:val="000000"/>
                    <w:sz w:val="14"/>
                    <w:szCs w:val="14"/>
                    <w:lang w:eastAsia="es-CO"/>
                  </w:rPr>
                </w:pPr>
                <w:r w:rsidRPr="00471A05">
                  <w:rPr>
                    <w:rFonts w:ascii="Times New Roman" w:eastAsia="Times New Roman" w:hAnsi="Times New Roman"/>
                    <w:color w:val="000000"/>
                    <w:sz w:val="14"/>
                    <w:szCs w:val="14"/>
                    <w:lang w:eastAsia="es-CO"/>
                  </w:rPr>
                  <w:t> </w:t>
                </w:r>
              </w:p>
            </w:tc>
            <w:tc>
              <w:tcPr>
                <w:tcW w:w="0" w:type="auto"/>
                <w:tcBorders>
                  <w:top w:val="single" w:sz="12" w:space="0" w:color="808080" w:themeColor="background1" w:themeShade="80"/>
                </w:tcBorders>
                <w:shd w:val="clear" w:color="auto" w:fill="auto"/>
                <w:noWrap/>
                <w:vAlign w:val="center"/>
                <w:hideMark/>
              </w:tcPr>
              <w:p w14:paraId="4253A6BB" w14:textId="77777777" w:rsidR="00F52179" w:rsidRPr="00471A05" w:rsidRDefault="00F52179" w:rsidP="00F52179">
                <w:pPr>
                  <w:spacing w:after="0" w:line="240" w:lineRule="auto"/>
                  <w:rPr>
                    <w:rFonts w:ascii="Times New Roman" w:eastAsia="Times New Roman" w:hAnsi="Times New Roman"/>
                    <w:color w:val="000000"/>
                    <w:sz w:val="14"/>
                    <w:szCs w:val="14"/>
                    <w:lang w:eastAsia="es-CO"/>
                  </w:rPr>
                </w:pPr>
                <w:r w:rsidRPr="00471A05">
                  <w:rPr>
                    <w:rFonts w:ascii="Times New Roman" w:eastAsia="Times New Roman" w:hAnsi="Times New Roman"/>
                    <w:color w:val="000000"/>
                    <w:sz w:val="14"/>
                    <w:szCs w:val="14"/>
                    <w:lang w:eastAsia="es-CO"/>
                  </w:rPr>
                  <w:t xml:space="preserve">   311.847.145.410 </w:t>
                </w:r>
              </w:p>
            </w:tc>
          </w:tr>
          <w:tr w:rsidR="00F52179" w:rsidRPr="00471A05" w14:paraId="78CBBDC9" w14:textId="77777777" w:rsidTr="00BC1593">
            <w:trPr>
              <w:trHeight w:val="300"/>
            </w:trPr>
            <w:tc>
              <w:tcPr>
                <w:tcW w:w="0" w:type="auto"/>
                <w:shd w:val="clear" w:color="auto" w:fill="auto"/>
                <w:noWrap/>
                <w:vAlign w:val="center"/>
                <w:hideMark/>
              </w:tcPr>
              <w:p w14:paraId="3BCB7A69" w14:textId="77777777" w:rsidR="00F52179" w:rsidRPr="00471A05" w:rsidRDefault="00F52179" w:rsidP="00F52179">
                <w:pPr>
                  <w:spacing w:after="0" w:line="240" w:lineRule="auto"/>
                  <w:rPr>
                    <w:rFonts w:ascii="Times New Roman" w:eastAsia="Times New Roman" w:hAnsi="Times New Roman"/>
                    <w:color w:val="000000"/>
                    <w:sz w:val="14"/>
                    <w:szCs w:val="14"/>
                    <w:lang w:eastAsia="es-CO"/>
                  </w:rPr>
                </w:pPr>
                <w:r w:rsidRPr="00471A05">
                  <w:rPr>
                    <w:rFonts w:ascii="Times New Roman" w:eastAsia="Times New Roman" w:hAnsi="Times New Roman"/>
                    <w:color w:val="000000"/>
                    <w:sz w:val="14"/>
                    <w:szCs w:val="14"/>
                    <w:lang w:eastAsia="es-CO"/>
                  </w:rPr>
                  <w:t xml:space="preserve">SOCIEDAD PORTUARIA REGIONAL DE CARTAGENA S.A. </w:t>
                </w:r>
              </w:p>
            </w:tc>
            <w:tc>
              <w:tcPr>
                <w:tcW w:w="0" w:type="auto"/>
                <w:shd w:val="clear" w:color="auto" w:fill="auto"/>
                <w:noWrap/>
                <w:vAlign w:val="center"/>
                <w:hideMark/>
              </w:tcPr>
              <w:p w14:paraId="0823D781" w14:textId="77777777" w:rsidR="00F52179" w:rsidRPr="00471A05" w:rsidRDefault="00F52179" w:rsidP="00F52179">
                <w:pPr>
                  <w:spacing w:after="0" w:line="240" w:lineRule="auto"/>
                  <w:rPr>
                    <w:rFonts w:ascii="Times New Roman" w:eastAsia="Times New Roman" w:hAnsi="Times New Roman"/>
                    <w:color w:val="000000"/>
                    <w:sz w:val="14"/>
                    <w:szCs w:val="14"/>
                    <w:lang w:eastAsia="es-CO"/>
                  </w:rPr>
                </w:pPr>
                <w:r w:rsidRPr="00471A05">
                  <w:rPr>
                    <w:rFonts w:ascii="Times New Roman" w:eastAsia="Times New Roman" w:hAnsi="Times New Roman"/>
                    <w:color w:val="000000"/>
                    <w:sz w:val="14"/>
                    <w:szCs w:val="14"/>
                    <w:lang w:eastAsia="es-CO"/>
                  </w:rPr>
                  <w:t> </w:t>
                </w:r>
              </w:p>
            </w:tc>
            <w:tc>
              <w:tcPr>
                <w:tcW w:w="0" w:type="auto"/>
                <w:shd w:val="clear" w:color="auto" w:fill="auto"/>
                <w:noWrap/>
                <w:vAlign w:val="center"/>
                <w:hideMark/>
              </w:tcPr>
              <w:p w14:paraId="620F1CAB" w14:textId="77777777" w:rsidR="00F52179" w:rsidRPr="00471A05" w:rsidRDefault="00F52179" w:rsidP="00F52179">
                <w:pPr>
                  <w:spacing w:after="0" w:line="240" w:lineRule="auto"/>
                  <w:rPr>
                    <w:rFonts w:ascii="Times New Roman" w:eastAsia="Times New Roman" w:hAnsi="Times New Roman"/>
                    <w:color w:val="000000"/>
                    <w:sz w:val="14"/>
                    <w:szCs w:val="14"/>
                    <w:lang w:eastAsia="es-CO"/>
                  </w:rPr>
                </w:pPr>
                <w:r w:rsidRPr="00471A05">
                  <w:rPr>
                    <w:rFonts w:ascii="Times New Roman" w:eastAsia="Times New Roman" w:hAnsi="Times New Roman"/>
                    <w:color w:val="000000"/>
                    <w:sz w:val="14"/>
                    <w:szCs w:val="14"/>
                    <w:lang w:eastAsia="es-CO"/>
                  </w:rPr>
                  <w:t xml:space="preserve">   123.900.627.532 </w:t>
                </w:r>
              </w:p>
            </w:tc>
          </w:tr>
          <w:tr w:rsidR="00F52179" w:rsidRPr="00471A05" w14:paraId="33E84DE0" w14:textId="77777777" w:rsidTr="00BC1593">
            <w:trPr>
              <w:trHeight w:val="315"/>
            </w:trPr>
            <w:tc>
              <w:tcPr>
                <w:tcW w:w="0" w:type="auto"/>
                <w:tcBorders>
                  <w:bottom w:val="single" w:sz="12" w:space="0" w:color="808080" w:themeColor="background1" w:themeShade="80"/>
                </w:tcBorders>
                <w:shd w:val="clear" w:color="auto" w:fill="auto"/>
                <w:noWrap/>
                <w:vAlign w:val="center"/>
                <w:hideMark/>
              </w:tcPr>
              <w:p w14:paraId="3B3CB6EA" w14:textId="69744317" w:rsidR="00F52179" w:rsidRPr="00471A05" w:rsidRDefault="00F52179" w:rsidP="00F52179">
                <w:pPr>
                  <w:spacing w:after="0" w:line="240" w:lineRule="auto"/>
                  <w:rPr>
                    <w:rFonts w:ascii="Times New Roman" w:eastAsia="Times New Roman" w:hAnsi="Times New Roman"/>
                    <w:color w:val="000000"/>
                    <w:sz w:val="14"/>
                    <w:szCs w:val="14"/>
                    <w:lang w:eastAsia="es-CO"/>
                  </w:rPr>
                </w:pPr>
                <w:r w:rsidRPr="00471A05">
                  <w:rPr>
                    <w:rFonts w:ascii="Times New Roman" w:eastAsia="Times New Roman" w:hAnsi="Times New Roman"/>
                    <w:color w:val="000000"/>
                    <w:sz w:val="14"/>
                    <w:szCs w:val="14"/>
                    <w:lang w:eastAsia="es-CO"/>
                  </w:rPr>
                  <w:t>SOCIEDAD PORTUARIA REGIONAL DE SANTA MARTA S. A</w:t>
                </w:r>
              </w:p>
            </w:tc>
            <w:tc>
              <w:tcPr>
                <w:tcW w:w="0" w:type="auto"/>
                <w:tcBorders>
                  <w:bottom w:val="single" w:sz="12" w:space="0" w:color="808080" w:themeColor="background1" w:themeShade="80"/>
                </w:tcBorders>
                <w:shd w:val="clear" w:color="auto" w:fill="auto"/>
                <w:noWrap/>
                <w:vAlign w:val="center"/>
                <w:hideMark/>
              </w:tcPr>
              <w:p w14:paraId="23420241" w14:textId="77777777" w:rsidR="00F52179" w:rsidRPr="00471A05" w:rsidRDefault="00F52179" w:rsidP="00F52179">
                <w:pPr>
                  <w:spacing w:after="0" w:line="240" w:lineRule="auto"/>
                  <w:rPr>
                    <w:rFonts w:ascii="Times New Roman" w:eastAsia="Times New Roman" w:hAnsi="Times New Roman"/>
                    <w:color w:val="000000"/>
                    <w:sz w:val="14"/>
                    <w:szCs w:val="14"/>
                    <w:lang w:eastAsia="es-CO"/>
                  </w:rPr>
                </w:pPr>
                <w:r w:rsidRPr="00471A05">
                  <w:rPr>
                    <w:rFonts w:ascii="Times New Roman" w:eastAsia="Times New Roman" w:hAnsi="Times New Roman"/>
                    <w:color w:val="000000"/>
                    <w:sz w:val="14"/>
                    <w:szCs w:val="14"/>
                    <w:lang w:eastAsia="es-CO"/>
                  </w:rPr>
                  <w:t> </w:t>
                </w:r>
              </w:p>
            </w:tc>
            <w:tc>
              <w:tcPr>
                <w:tcW w:w="0" w:type="auto"/>
                <w:tcBorders>
                  <w:bottom w:val="single" w:sz="12" w:space="0" w:color="808080" w:themeColor="background1" w:themeShade="80"/>
                </w:tcBorders>
                <w:shd w:val="clear" w:color="auto" w:fill="auto"/>
                <w:noWrap/>
                <w:vAlign w:val="center"/>
                <w:hideMark/>
              </w:tcPr>
              <w:p w14:paraId="365D49E3" w14:textId="77777777" w:rsidR="00F52179" w:rsidRPr="00471A05" w:rsidRDefault="00F52179" w:rsidP="00F52179">
                <w:pPr>
                  <w:spacing w:after="0" w:line="240" w:lineRule="auto"/>
                  <w:rPr>
                    <w:rFonts w:ascii="Times New Roman" w:eastAsia="Times New Roman" w:hAnsi="Times New Roman"/>
                    <w:color w:val="000000"/>
                    <w:sz w:val="14"/>
                    <w:szCs w:val="14"/>
                    <w:lang w:eastAsia="es-CO"/>
                  </w:rPr>
                </w:pPr>
                <w:r w:rsidRPr="00471A05">
                  <w:rPr>
                    <w:rFonts w:ascii="Times New Roman" w:eastAsia="Times New Roman" w:hAnsi="Times New Roman"/>
                    <w:color w:val="000000"/>
                    <w:sz w:val="14"/>
                    <w:szCs w:val="14"/>
                    <w:lang w:eastAsia="es-CO"/>
                  </w:rPr>
                  <w:t xml:space="preserve">     18.230.804.581 </w:t>
                </w:r>
              </w:p>
            </w:tc>
          </w:tr>
          <w:tr w:rsidR="00F52179" w:rsidRPr="00471A05" w14:paraId="7A1407B6" w14:textId="77777777" w:rsidTr="00BC1593">
            <w:trPr>
              <w:trHeight w:val="315"/>
            </w:trPr>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noWrap/>
                <w:vAlign w:val="center"/>
                <w:hideMark/>
              </w:tcPr>
              <w:p w14:paraId="72005DFE" w14:textId="77777777" w:rsidR="00F52179" w:rsidRPr="00471A05" w:rsidRDefault="00F52179" w:rsidP="00F52179">
                <w:pPr>
                  <w:spacing w:after="0" w:line="240" w:lineRule="auto"/>
                  <w:rPr>
                    <w:rFonts w:ascii="Times New Roman" w:eastAsia="Times New Roman" w:hAnsi="Times New Roman"/>
                    <w:b/>
                    <w:color w:val="000000"/>
                    <w:sz w:val="14"/>
                    <w:szCs w:val="14"/>
                    <w:lang w:eastAsia="es-CO"/>
                  </w:rPr>
                </w:pPr>
                <w:r w:rsidRPr="00471A05">
                  <w:rPr>
                    <w:rFonts w:ascii="Times New Roman" w:eastAsia="Times New Roman" w:hAnsi="Times New Roman"/>
                    <w:b/>
                    <w:color w:val="000000"/>
                    <w:sz w:val="14"/>
                    <w:szCs w:val="14"/>
                    <w:lang w:eastAsia="es-CO"/>
                  </w:rPr>
                  <w:t>TOTAL PORTUARIO</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noWrap/>
                <w:vAlign w:val="center"/>
                <w:hideMark/>
              </w:tcPr>
              <w:p w14:paraId="1322CE64" w14:textId="77777777" w:rsidR="00F52179" w:rsidRPr="00471A05" w:rsidRDefault="00F52179" w:rsidP="00F52179">
                <w:pPr>
                  <w:spacing w:after="0" w:line="240" w:lineRule="auto"/>
                  <w:rPr>
                    <w:rFonts w:ascii="Times New Roman" w:eastAsia="Times New Roman" w:hAnsi="Times New Roman"/>
                    <w:b/>
                    <w:color w:val="000000"/>
                    <w:sz w:val="14"/>
                    <w:szCs w:val="14"/>
                    <w:lang w:eastAsia="es-CO"/>
                  </w:rPr>
                </w:pPr>
                <w:r w:rsidRPr="00471A05">
                  <w:rPr>
                    <w:rFonts w:ascii="Times New Roman" w:eastAsia="Times New Roman" w:hAnsi="Times New Roman"/>
                    <w:b/>
                    <w:color w:val="000000"/>
                    <w:sz w:val="14"/>
                    <w:szCs w:val="14"/>
                    <w:lang w:eastAsia="es-CO"/>
                  </w:rPr>
                  <w:t xml:space="preserve">                                    -   </w:t>
                </w:r>
              </w:p>
            </w:tc>
            <w:tc>
              <w:tcPr>
                <w:tcW w:w="0" w:type="auto"/>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noWrap/>
                <w:vAlign w:val="center"/>
                <w:hideMark/>
              </w:tcPr>
              <w:p w14:paraId="39548235" w14:textId="77777777" w:rsidR="00F52179" w:rsidRPr="00471A05" w:rsidRDefault="00F52179" w:rsidP="00F52179">
                <w:pPr>
                  <w:spacing w:after="0" w:line="240" w:lineRule="auto"/>
                  <w:rPr>
                    <w:rFonts w:ascii="Times New Roman" w:eastAsia="Times New Roman" w:hAnsi="Times New Roman"/>
                    <w:b/>
                    <w:color w:val="000000"/>
                    <w:sz w:val="14"/>
                    <w:szCs w:val="14"/>
                    <w:lang w:eastAsia="es-CO"/>
                  </w:rPr>
                </w:pPr>
                <w:r w:rsidRPr="00471A05">
                  <w:rPr>
                    <w:rFonts w:ascii="Times New Roman" w:eastAsia="Times New Roman" w:hAnsi="Times New Roman"/>
                    <w:b/>
                    <w:color w:val="000000"/>
                    <w:sz w:val="14"/>
                    <w:szCs w:val="14"/>
                    <w:lang w:eastAsia="es-CO"/>
                  </w:rPr>
                  <w:t xml:space="preserve">   453.978.577.522 </w:t>
                </w:r>
              </w:p>
            </w:tc>
          </w:tr>
        </w:tbl>
        <w:p w14:paraId="3D4DC62B" w14:textId="1B4729DC" w:rsidR="00DD4C8E" w:rsidRPr="00931DCE" w:rsidRDefault="00AD2026" w:rsidP="00C24B34">
          <w:pPr>
            <w:pStyle w:val="Prrafodelista"/>
            <w:spacing w:after="0" w:line="240" w:lineRule="auto"/>
            <w:ind w:left="0"/>
            <w:jc w:val="both"/>
            <w:rPr>
              <w:rFonts w:ascii="Times New Roman" w:hAnsi="Times New Roman"/>
              <w:sz w:val="14"/>
              <w:szCs w:val="14"/>
            </w:rPr>
          </w:pPr>
          <w:r w:rsidRPr="00931DCE">
            <w:rPr>
              <w:rFonts w:ascii="Times New Roman" w:hAnsi="Times New Roman"/>
              <w:sz w:val="14"/>
              <w:szCs w:val="14"/>
            </w:rPr>
            <w:t>Cifras expresadas en pesos</w:t>
          </w:r>
        </w:p>
        <w:p w14:paraId="0C36CCBF" w14:textId="77777777" w:rsidR="00DD4C8E" w:rsidRPr="00931DCE" w:rsidRDefault="00DD4C8E" w:rsidP="00DD4C8E">
          <w:pPr>
            <w:pStyle w:val="Prrafodelista"/>
            <w:spacing w:after="0" w:line="240" w:lineRule="auto"/>
            <w:ind w:left="0"/>
            <w:jc w:val="both"/>
            <w:rPr>
              <w:rFonts w:ascii="Times New Roman" w:hAnsi="Times New Roman"/>
              <w:sz w:val="24"/>
              <w:szCs w:val="24"/>
            </w:rPr>
          </w:pPr>
        </w:p>
        <w:p w14:paraId="2DD70107" w14:textId="77777777" w:rsidR="009F554F" w:rsidRDefault="00DD4C8E" w:rsidP="009F554F">
          <w:pPr>
            <w:spacing w:after="0" w:line="240" w:lineRule="auto"/>
            <w:jc w:val="both"/>
            <w:rPr>
              <w:rFonts w:ascii="Times New Roman" w:hAnsi="Times New Roman"/>
              <w:sz w:val="24"/>
              <w:szCs w:val="24"/>
            </w:rPr>
          </w:pPr>
          <w:r w:rsidRPr="00D4289E">
            <w:rPr>
              <w:rFonts w:ascii="Times New Roman" w:hAnsi="Times New Roman"/>
              <w:sz w:val="24"/>
              <w:szCs w:val="24"/>
              <w:u w:val="single"/>
            </w:rPr>
            <w:t>Modo de transporte Aeroportuario:</w:t>
          </w:r>
          <w:r w:rsidR="00E81C86" w:rsidRPr="00931DCE">
            <w:rPr>
              <w:rFonts w:ascii="Times New Roman" w:hAnsi="Times New Roman"/>
              <w:sz w:val="24"/>
              <w:szCs w:val="24"/>
            </w:rPr>
            <w:t xml:space="preserve"> </w:t>
          </w:r>
          <w:r w:rsidR="009F554F">
            <w:rPr>
              <w:rFonts w:ascii="Times New Roman" w:hAnsi="Times New Roman"/>
              <w:sz w:val="24"/>
              <w:szCs w:val="24"/>
            </w:rPr>
            <w:t xml:space="preserve">Para el proceso de incorporación (AEROCIVIL) y desincorporación (ANI) como lo estableció la CGN en </w:t>
          </w:r>
          <w:r w:rsidR="009F554F" w:rsidRPr="0010071E">
            <w:rPr>
              <w:rFonts w:ascii="Times New Roman" w:hAnsi="Times New Roman"/>
              <w:sz w:val="24"/>
              <w:szCs w:val="24"/>
            </w:rPr>
            <w:t>Concepto No. 20211100002041 del 10-02-2021, derogado por el concepto CGN 20211120081161 del 15-10-2021</w:t>
          </w:r>
          <w:r w:rsidR="009F554F">
            <w:rPr>
              <w:rFonts w:ascii="Times New Roman" w:hAnsi="Times New Roman"/>
              <w:sz w:val="24"/>
              <w:szCs w:val="24"/>
            </w:rPr>
            <w:t xml:space="preserve">, se </w:t>
          </w:r>
          <w:r w:rsidR="009F554F" w:rsidRPr="001713E2">
            <w:rPr>
              <w:rFonts w:ascii="Times New Roman" w:hAnsi="Times New Roman"/>
              <w:sz w:val="24"/>
              <w:szCs w:val="24"/>
            </w:rPr>
            <w:t>suscribió entre la A</w:t>
          </w:r>
          <w:r w:rsidR="009F554F">
            <w:rPr>
              <w:rFonts w:ascii="Times New Roman" w:hAnsi="Times New Roman"/>
              <w:sz w:val="24"/>
              <w:szCs w:val="24"/>
            </w:rPr>
            <w:t>NI</w:t>
          </w:r>
          <w:r w:rsidR="009F554F" w:rsidRPr="001713E2">
            <w:rPr>
              <w:rFonts w:ascii="Times New Roman" w:hAnsi="Times New Roman"/>
              <w:sz w:val="24"/>
              <w:szCs w:val="24"/>
            </w:rPr>
            <w:t xml:space="preserve"> y </w:t>
          </w:r>
          <w:r w:rsidR="009F554F">
            <w:rPr>
              <w:rFonts w:ascii="Times New Roman" w:hAnsi="Times New Roman"/>
              <w:sz w:val="24"/>
              <w:szCs w:val="24"/>
            </w:rPr>
            <w:t xml:space="preserve">la AEROCIVIL </w:t>
          </w:r>
          <w:r w:rsidR="009F554F" w:rsidRPr="001713E2">
            <w:rPr>
              <w:rFonts w:ascii="Times New Roman" w:hAnsi="Times New Roman"/>
              <w:sz w:val="24"/>
              <w:szCs w:val="24"/>
            </w:rPr>
            <w:t>cronograma de actividades que hace ejecutable el Plan de Trabajo en 6 Etapas</w:t>
          </w:r>
          <w:r w:rsidR="009F554F">
            <w:rPr>
              <w:rFonts w:ascii="Times New Roman" w:hAnsi="Times New Roman"/>
              <w:sz w:val="24"/>
              <w:szCs w:val="24"/>
            </w:rPr>
            <w:t xml:space="preserve">, en el año 2021.  </w:t>
          </w:r>
        </w:p>
        <w:p w14:paraId="2C4F2D5B" w14:textId="77777777" w:rsidR="009F554F" w:rsidRDefault="009F554F" w:rsidP="009F554F">
          <w:pPr>
            <w:spacing w:after="0" w:line="240" w:lineRule="auto"/>
            <w:jc w:val="both"/>
            <w:rPr>
              <w:rFonts w:ascii="Times New Roman" w:hAnsi="Times New Roman"/>
              <w:sz w:val="24"/>
              <w:szCs w:val="24"/>
            </w:rPr>
          </w:pPr>
        </w:p>
        <w:p w14:paraId="748BBE4B" w14:textId="77777777" w:rsidR="009F554F" w:rsidRDefault="009F554F" w:rsidP="009F554F">
          <w:pPr>
            <w:spacing w:after="0" w:line="240" w:lineRule="auto"/>
            <w:jc w:val="both"/>
            <w:rPr>
              <w:rFonts w:ascii="Times New Roman" w:hAnsi="Times New Roman"/>
              <w:sz w:val="24"/>
              <w:szCs w:val="24"/>
            </w:rPr>
          </w:pPr>
          <w:r>
            <w:rPr>
              <w:rFonts w:ascii="Times New Roman" w:hAnsi="Times New Roman"/>
              <w:sz w:val="24"/>
              <w:szCs w:val="24"/>
            </w:rPr>
            <w:t xml:space="preserve">Dada la modificación </w:t>
          </w:r>
          <w:r w:rsidRPr="001713E2">
            <w:rPr>
              <w:rFonts w:ascii="Times New Roman" w:hAnsi="Times New Roman"/>
              <w:sz w:val="24"/>
              <w:szCs w:val="24"/>
            </w:rPr>
            <w:t>de la Resolución 602 de 2018 modificada por la Resolución 228 de 2021, donde se otorga plazo a la Entidad concedente hasta el 31 de diciembre de 2024 para reconocer y medir los activos de infraestructura de transporte</w:t>
          </w:r>
          <w:r>
            <w:rPr>
              <w:rFonts w:ascii="Times New Roman" w:hAnsi="Times New Roman"/>
              <w:sz w:val="24"/>
              <w:szCs w:val="24"/>
            </w:rPr>
            <w:t xml:space="preserve">, </w:t>
          </w:r>
          <w:r w:rsidRPr="001713E2">
            <w:rPr>
              <w:rFonts w:ascii="Times New Roman" w:hAnsi="Times New Roman"/>
              <w:sz w:val="24"/>
              <w:szCs w:val="24"/>
            </w:rPr>
            <w:t xml:space="preserve">se planteó nuevas fechas en el cronograma para el cumplimiento de la </w:t>
          </w:r>
          <w:r>
            <w:rPr>
              <w:rFonts w:ascii="Times New Roman" w:hAnsi="Times New Roman"/>
              <w:sz w:val="24"/>
              <w:szCs w:val="24"/>
            </w:rPr>
            <w:t>r</w:t>
          </w:r>
          <w:r w:rsidRPr="001713E2">
            <w:rPr>
              <w:rFonts w:ascii="Times New Roman" w:hAnsi="Times New Roman"/>
              <w:sz w:val="24"/>
              <w:szCs w:val="24"/>
            </w:rPr>
            <w:t xml:space="preserve">esolución </w:t>
          </w:r>
          <w:r>
            <w:rPr>
              <w:rFonts w:ascii="Times New Roman" w:hAnsi="Times New Roman"/>
              <w:sz w:val="24"/>
              <w:szCs w:val="24"/>
            </w:rPr>
            <w:t>en comento,</w:t>
          </w:r>
          <w:r w:rsidRPr="0089244C">
            <w:rPr>
              <w:rFonts w:ascii="Times New Roman" w:hAnsi="Times New Roman"/>
              <w:sz w:val="24"/>
              <w:szCs w:val="24"/>
            </w:rPr>
            <w:t xml:space="preserve"> </w:t>
          </w:r>
          <w:r>
            <w:rPr>
              <w:rFonts w:ascii="Times New Roman" w:hAnsi="Times New Roman"/>
              <w:sz w:val="24"/>
              <w:szCs w:val="24"/>
            </w:rPr>
            <w:t xml:space="preserve">al interior </w:t>
          </w:r>
          <w:r w:rsidRPr="001713E2">
            <w:rPr>
              <w:rFonts w:ascii="Times New Roman" w:hAnsi="Times New Roman"/>
              <w:sz w:val="24"/>
              <w:szCs w:val="24"/>
            </w:rPr>
            <w:t xml:space="preserve">de la </w:t>
          </w:r>
          <w:r>
            <w:rPr>
              <w:rFonts w:ascii="Times New Roman" w:hAnsi="Times New Roman"/>
              <w:sz w:val="24"/>
              <w:szCs w:val="24"/>
            </w:rPr>
            <w:t>AEROCIVIL.</w:t>
          </w:r>
        </w:p>
        <w:p w14:paraId="301032F7" w14:textId="77777777" w:rsidR="009F554F" w:rsidRPr="002721D6" w:rsidRDefault="009F554F" w:rsidP="009F554F">
          <w:pPr>
            <w:spacing w:after="0" w:line="240" w:lineRule="auto"/>
            <w:jc w:val="both"/>
            <w:rPr>
              <w:rFonts w:ascii="Times New Roman" w:hAnsi="Times New Roman"/>
              <w:sz w:val="24"/>
              <w:szCs w:val="24"/>
            </w:rPr>
          </w:pPr>
        </w:p>
        <w:p w14:paraId="788000F9" w14:textId="77777777" w:rsidR="009F554F" w:rsidRPr="002721D6" w:rsidRDefault="009F554F" w:rsidP="009F554F">
          <w:pPr>
            <w:spacing w:after="0" w:line="240" w:lineRule="auto"/>
            <w:jc w:val="both"/>
            <w:rPr>
              <w:rFonts w:ascii="Times New Roman" w:hAnsi="Times New Roman"/>
              <w:sz w:val="24"/>
              <w:szCs w:val="24"/>
            </w:rPr>
          </w:pPr>
          <w:r w:rsidRPr="002721D6">
            <w:rPr>
              <w:rFonts w:ascii="Times New Roman" w:hAnsi="Times New Roman"/>
              <w:sz w:val="24"/>
              <w:szCs w:val="24"/>
            </w:rPr>
            <w:t>La ANI dio cumplimiento con la entrega a la AEROCIVIL de los saldos contables que tenía y la información que la soporta, que correspondía a la información remitida por los concesionarios hasta el año 2019.</w:t>
          </w:r>
        </w:p>
        <w:p w14:paraId="0FAAE248" w14:textId="77777777" w:rsidR="009F554F" w:rsidRDefault="009F554F" w:rsidP="009F554F">
          <w:pPr>
            <w:spacing w:after="0" w:line="240" w:lineRule="auto"/>
            <w:jc w:val="both"/>
            <w:rPr>
              <w:rFonts w:ascii="Times New Roman" w:hAnsi="Times New Roman"/>
              <w:sz w:val="24"/>
              <w:szCs w:val="24"/>
            </w:rPr>
          </w:pPr>
          <w:r w:rsidRPr="002721D6">
            <w:rPr>
              <w:rFonts w:ascii="Times New Roman" w:hAnsi="Times New Roman"/>
              <w:sz w:val="24"/>
              <w:szCs w:val="24"/>
            </w:rPr>
            <w:t xml:space="preserve">En el 2023, se realizó la desincorporación del saldo que se encontraba pendiente de desincorporar de </w:t>
          </w:r>
          <w:r w:rsidRPr="00590014">
            <w:rPr>
              <w:rFonts w:ascii="Times New Roman" w:hAnsi="Times New Roman"/>
              <w:i/>
              <w:iCs/>
              <w:sz w:val="24"/>
              <w:szCs w:val="24"/>
            </w:rPr>
            <w:t>Bienes de uso público en servicio – concesiones</w:t>
          </w:r>
          <w:r w:rsidRPr="002721D6">
            <w:rPr>
              <w:rFonts w:ascii="Times New Roman" w:hAnsi="Times New Roman"/>
              <w:sz w:val="24"/>
              <w:szCs w:val="24"/>
            </w:rPr>
            <w:t xml:space="preserve">, </w:t>
          </w:r>
          <w:r w:rsidRPr="00590014">
            <w:rPr>
              <w:rFonts w:ascii="Times New Roman" w:hAnsi="Times New Roman"/>
              <w:i/>
              <w:iCs/>
              <w:sz w:val="24"/>
              <w:szCs w:val="24"/>
            </w:rPr>
            <w:t>Red aeroportuaria</w:t>
          </w:r>
          <w:r>
            <w:rPr>
              <w:rFonts w:ascii="Times New Roman" w:hAnsi="Times New Roman"/>
              <w:sz w:val="24"/>
              <w:szCs w:val="24"/>
            </w:rPr>
            <w:t xml:space="preserve">, por </w:t>
          </w:r>
          <w:r w:rsidRPr="002721D6">
            <w:rPr>
              <w:rFonts w:ascii="Times New Roman" w:hAnsi="Times New Roman"/>
              <w:sz w:val="24"/>
              <w:szCs w:val="24"/>
            </w:rPr>
            <w:t>valor de $</w:t>
          </w:r>
          <w:r w:rsidRPr="00A279FD">
            <w:rPr>
              <w:rFonts w:ascii="Times New Roman" w:hAnsi="Times New Roman"/>
              <w:sz w:val="24"/>
              <w:szCs w:val="24"/>
            </w:rPr>
            <w:t xml:space="preserve"> </w:t>
          </w:r>
          <w:r w:rsidRPr="002721D6">
            <w:rPr>
              <w:rFonts w:ascii="Times New Roman" w:hAnsi="Times New Roman"/>
              <w:sz w:val="24"/>
              <w:szCs w:val="24"/>
            </w:rPr>
            <w:t>32.336.756.000 del Aeropuerto de Cartagena</w:t>
          </w:r>
          <w:r>
            <w:rPr>
              <w:rFonts w:ascii="Times New Roman" w:hAnsi="Times New Roman"/>
              <w:sz w:val="24"/>
              <w:szCs w:val="24"/>
            </w:rPr>
            <w:t>,</w:t>
          </w:r>
          <w:r w:rsidRPr="002721D6">
            <w:rPr>
              <w:rFonts w:ascii="Times New Roman" w:hAnsi="Times New Roman"/>
              <w:sz w:val="24"/>
              <w:szCs w:val="24"/>
            </w:rPr>
            <w:t xml:space="preserve"> de acuerdo con lo informado por la AEROCIVIL.</w:t>
          </w:r>
        </w:p>
        <w:p w14:paraId="29B79F5A" w14:textId="77777777" w:rsidR="009F554F" w:rsidRDefault="009F554F" w:rsidP="009F554F">
          <w:pPr>
            <w:spacing w:after="0" w:line="240" w:lineRule="auto"/>
            <w:jc w:val="both"/>
            <w:rPr>
              <w:rFonts w:ascii="Times New Roman" w:hAnsi="Times New Roman"/>
              <w:sz w:val="24"/>
              <w:szCs w:val="24"/>
            </w:rPr>
          </w:pPr>
        </w:p>
        <w:p w14:paraId="00BBC2C4" w14:textId="6F88B026" w:rsidR="00471793" w:rsidRDefault="00DD4C8E" w:rsidP="00DD4C8E">
          <w:pPr>
            <w:spacing w:after="0" w:line="240" w:lineRule="auto"/>
            <w:jc w:val="both"/>
            <w:rPr>
              <w:rFonts w:ascii="Times New Roman" w:hAnsi="Times New Roman"/>
              <w:sz w:val="24"/>
              <w:szCs w:val="24"/>
            </w:rPr>
          </w:pPr>
          <w:r w:rsidRPr="00931DCE">
            <w:rPr>
              <w:rFonts w:ascii="Times New Roman" w:hAnsi="Times New Roman"/>
              <w:sz w:val="24"/>
              <w:szCs w:val="24"/>
            </w:rPr>
            <w:t xml:space="preserve">En cuanto </w:t>
          </w:r>
          <w:r w:rsidR="006C3526">
            <w:rPr>
              <w:rFonts w:ascii="Times New Roman" w:hAnsi="Times New Roman"/>
              <w:sz w:val="24"/>
              <w:szCs w:val="24"/>
            </w:rPr>
            <w:t xml:space="preserve">los valores reclasificados </w:t>
          </w:r>
          <w:r w:rsidR="005B1410">
            <w:rPr>
              <w:rFonts w:ascii="Times New Roman" w:hAnsi="Times New Roman"/>
              <w:sz w:val="24"/>
              <w:szCs w:val="24"/>
            </w:rPr>
            <w:t>en</w:t>
          </w:r>
          <w:r w:rsidRPr="00931DCE">
            <w:rPr>
              <w:rFonts w:ascii="Times New Roman" w:hAnsi="Times New Roman"/>
              <w:sz w:val="24"/>
              <w:szCs w:val="24"/>
            </w:rPr>
            <w:t xml:space="preserve"> medición posterior, los conceptos que afectaron la cuenta bienes de uso público </w:t>
          </w:r>
          <w:r w:rsidR="00DC7E8B">
            <w:rPr>
              <w:rFonts w:ascii="Times New Roman" w:hAnsi="Times New Roman"/>
              <w:sz w:val="24"/>
              <w:szCs w:val="24"/>
            </w:rPr>
            <w:t>-</w:t>
          </w:r>
          <w:r w:rsidRPr="00931DCE">
            <w:rPr>
              <w:rFonts w:ascii="Times New Roman" w:hAnsi="Times New Roman"/>
              <w:sz w:val="24"/>
              <w:szCs w:val="24"/>
            </w:rPr>
            <w:t xml:space="preserve"> concesiones, durante el año 202</w:t>
          </w:r>
          <w:r w:rsidR="006035D9">
            <w:rPr>
              <w:rFonts w:ascii="Times New Roman" w:hAnsi="Times New Roman"/>
              <w:sz w:val="24"/>
              <w:szCs w:val="24"/>
            </w:rPr>
            <w:t>3</w:t>
          </w:r>
          <w:r w:rsidRPr="00931DCE">
            <w:rPr>
              <w:rFonts w:ascii="Times New Roman" w:hAnsi="Times New Roman"/>
              <w:sz w:val="24"/>
              <w:szCs w:val="24"/>
            </w:rPr>
            <w:t xml:space="preserve">, </w:t>
          </w:r>
          <w:r w:rsidR="00DC7E8B">
            <w:rPr>
              <w:rFonts w:ascii="Times New Roman" w:hAnsi="Times New Roman"/>
              <w:sz w:val="24"/>
              <w:szCs w:val="24"/>
            </w:rPr>
            <w:t>corresponde a</w:t>
          </w:r>
          <w:r w:rsidR="003E7343">
            <w:rPr>
              <w:rFonts w:ascii="Times New Roman" w:hAnsi="Times New Roman"/>
              <w:sz w:val="24"/>
              <w:szCs w:val="24"/>
            </w:rPr>
            <w:t>:</w:t>
          </w:r>
          <w:bookmarkStart w:id="44" w:name="_Hlk157702202"/>
        </w:p>
        <w:bookmarkEnd w:id="44"/>
        <w:p w14:paraId="32AEF708" w14:textId="16BF7FA5" w:rsidR="00487854" w:rsidRDefault="00487854" w:rsidP="00E60BAB">
          <w:pPr>
            <w:pStyle w:val="Prrafodelista"/>
            <w:numPr>
              <w:ilvl w:val="0"/>
              <w:numId w:val="39"/>
            </w:numPr>
            <w:spacing w:after="0" w:line="240" w:lineRule="auto"/>
            <w:jc w:val="both"/>
            <w:rPr>
              <w:rFonts w:ascii="Times New Roman" w:hAnsi="Times New Roman"/>
              <w:sz w:val="24"/>
              <w:szCs w:val="24"/>
            </w:rPr>
          </w:pPr>
          <w:r>
            <w:rPr>
              <w:rFonts w:ascii="Times New Roman" w:hAnsi="Times New Roman"/>
              <w:sz w:val="24"/>
              <w:szCs w:val="24"/>
            </w:rPr>
            <w:t xml:space="preserve">Reclasificaciones entre las cuentas del activo, de conformidad con la etapa en la que se encuentran los </w:t>
          </w:r>
          <w:r w:rsidR="00C91D21">
            <w:rPr>
              <w:rFonts w:ascii="Times New Roman" w:hAnsi="Times New Roman"/>
              <w:sz w:val="24"/>
              <w:szCs w:val="24"/>
            </w:rPr>
            <w:t>acuerdos de concesión (de construcción a servicio)</w:t>
          </w:r>
        </w:p>
        <w:p w14:paraId="067F4DD6" w14:textId="33C2FC56" w:rsidR="00C91D21" w:rsidRDefault="00C91D21" w:rsidP="00E60BAB">
          <w:pPr>
            <w:pStyle w:val="Prrafodelista"/>
            <w:numPr>
              <w:ilvl w:val="0"/>
              <w:numId w:val="39"/>
            </w:numPr>
            <w:spacing w:after="0" w:line="240" w:lineRule="auto"/>
            <w:jc w:val="both"/>
            <w:rPr>
              <w:rFonts w:ascii="Times New Roman" w:hAnsi="Times New Roman"/>
              <w:sz w:val="24"/>
              <w:szCs w:val="24"/>
            </w:rPr>
          </w:pPr>
          <w:r>
            <w:rPr>
              <w:rFonts w:ascii="Times New Roman" w:hAnsi="Times New Roman"/>
              <w:sz w:val="24"/>
              <w:szCs w:val="24"/>
            </w:rPr>
            <w:t>A la reclasificac</w:t>
          </w:r>
          <w:r w:rsidR="004A15D7">
            <w:rPr>
              <w:rFonts w:ascii="Times New Roman" w:hAnsi="Times New Roman"/>
              <w:sz w:val="24"/>
              <w:szCs w:val="24"/>
            </w:rPr>
            <w:t xml:space="preserve">ión desde la cuenta de bienes de uso público a la cuanta </w:t>
          </w:r>
          <w:r w:rsidR="001C4A66">
            <w:rPr>
              <w:rFonts w:ascii="Times New Roman" w:hAnsi="Times New Roman"/>
              <w:sz w:val="24"/>
              <w:szCs w:val="24"/>
            </w:rPr>
            <w:t>y</w:t>
          </w:r>
          <w:r w:rsidR="004A15D7">
            <w:rPr>
              <w:rFonts w:ascii="Times New Roman" w:hAnsi="Times New Roman"/>
              <w:sz w:val="24"/>
              <w:szCs w:val="24"/>
            </w:rPr>
            <w:t xml:space="preserve"> propiedades, planta y equipo, de conformidad con técnica de estimación establecida para el modo de transporte carretero y la información reportada por los concesionarios e interventorías.</w:t>
          </w:r>
        </w:p>
        <w:p w14:paraId="512F92F4" w14:textId="3F5CE7E7" w:rsidR="004A15D7" w:rsidRDefault="00C00240" w:rsidP="00E60BAB">
          <w:pPr>
            <w:pStyle w:val="Prrafodelista"/>
            <w:numPr>
              <w:ilvl w:val="0"/>
              <w:numId w:val="39"/>
            </w:numPr>
            <w:spacing w:after="0" w:line="240" w:lineRule="auto"/>
            <w:jc w:val="both"/>
            <w:rPr>
              <w:rFonts w:ascii="Times New Roman" w:hAnsi="Times New Roman"/>
              <w:sz w:val="24"/>
              <w:szCs w:val="24"/>
            </w:rPr>
          </w:pPr>
          <w:r>
            <w:rPr>
              <w:rFonts w:ascii="Times New Roman" w:hAnsi="Times New Roman"/>
              <w:sz w:val="24"/>
              <w:szCs w:val="24"/>
            </w:rPr>
            <w:t xml:space="preserve">Reclasificaciones </w:t>
          </w:r>
          <w:r w:rsidR="008C6380">
            <w:rPr>
              <w:rFonts w:ascii="Times New Roman" w:hAnsi="Times New Roman"/>
              <w:sz w:val="24"/>
              <w:szCs w:val="24"/>
            </w:rPr>
            <w:t xml:space="preserve">desde la cuenta de bienes de uso </w:t>
          </w:r>
          <w:r w:rsidR="001C4A66">
            <w:rPr>
              <w:rFonts w:ascii="Times New Roman" w:hAnsi="Times New Roman"/>
              <w:sz w:val="24"/>
              <w:szCs w:val="24"/>
            </w:rPr>
            <w:t>público</w:t>
          </w:r>
          <w:r w:rsidR="008C6380">
            <w:rPr>
              <w:rFonts w:ascii="Times New Roman" w:hAnsi="Times New Roman"/>
              <w:sz w:val="24"/>
              <w:szCs w:val="24"/>
            </w:rPr>
            <w:t xml:space="preserve"> a la </w:t>
          </w:r>
          <w:r w:rsidR="001C4A66">
            <w:rPr>
              <w:rFonts w:ascii="Times New Roman" w:hAnsi="Times New Roman"/>
              <w:sz w:val="24"/>
              <w:szCs w:val="24"/>
            </w:rPr>
            <w:t>cuenta</w:t>
          </w:r>
          <w:r w:rsidR="008C6380">
            <w:rPr>
              <w:rFonts w:ascii="Times New Roman" w:hAnsi="Times New Roman"/>
              <w:sz w:val="24"/>
              <w:szCs w:val="24"/>
            </w:rPr>
            <w:t xml:space="preserve"> de terrenos</w:t>
          </w:r>
          <w:r w:rsidR="001C4A66" w:rsidRPr="001C4A66">
            <w:rPr>
              <w:rFonts w:ascii="Times New Roman" w:hAnsi="Times New Roman"/>
              <w:sz w:val="24"/>
              <w:szCs w:val="24"/>
            </w:rPr>
            <w:t xml:space="preserve"> </w:t>
          </w:r>
          <w:r w:rsidR="001C4A66">
            <w:rPr>
              <w:rFonts w:ascii="Times New Roman" w:hAnsi="Times New Roman"/>
              <w:sz w:val="24"/>
              <w:szCs w:val="24"/>
            </w:rPr>
            <w:t xml:space="preserve">de conformidad con técnica de estimación establecida para los modos de transporte carretero y férreo. Reclasificaciones </w:t>
          </w:r>
          <w:r>
            <w:rPr>
              <w:rFonts w:ascii="Times New Roman" w:hAnsi="Times New Roman"/>
              <w:sz w:val="24"/>
              <w:szCs w:val="24"/>
            </w:rPr>
            <w:t xml:space="preserve">de terceros, </w:t>
          </w:r>
          <w:r w:rsidR="0053484E">
            <w:rPr>
              <w:rFonts w:ascii="Times New Roman" w:hAnsi="Times New Roman"/>
              <w:sz w:val="24"/>
              <w:szCs w:val="24"/>
            </w:rPr>
            <w:t xml:space="preserve">de auxiliares directos </w:t>
          </w:r>
          <w:r w:rsidR="002677BB">
            <w:rPr>
              <w:rFonts w:ascii="Times New Roman" w:hAnsi="Times New Roman"/>
              <w:sz w:val="24"/>
              <w:szCs w:val="24"/>
            </w:rPr>
            <w:t>y ajustes realizados durante la vigencia entre cuentas del activo.</w:t>
          </w:r>
        </w:p>
        <w:p w14:paraId="5198BA2A" w14:textId="77777777" w:rsidR="00DD4C8E" w:rsidRDefault="00DD4C8E" w:rsidP="002677BB">
          <w:pPr>
            <w:pStyle w:val="Prrafodelista"/>
            <w:spacing w:after="0" w:line="240" w:lineRule="auto"/>
            <w:ind w:left="360"/>
            <w:jc w:val="both"/>
            <w:rPr>
              <w:rFonts w:ascii="Times New Roman" w:hAnsi="Times New Roman"/>
              <w:sz w:val="24"/>
              <w:szCs w:val="24"/>
            </w:rPr>
          </w:pPr>
        </w:p>
        <w:p w14:paraId="2BD658AA" w14:textId="77777777" w:rsidR="00DD4C8E" w:rsidRPr="00931DCE" w:rsidRDefault="00DD4C8E" w:rsidP="00DD4C8E">
          <w:pPr>
            <w:spacing w:after="0" w:line="240" w:lineRule="auto"/>
            <w:jc w:val="both"/>
            <w:rPr>
              <w:rFonts w:ascii="Times New Roman" w:hAnsi="Times New Roman"/>
              <w:sz w:val="24"/>
              <w:szCs w:val="24"/>
            </w:rPr>
          </w:pPr>
          <w:r w:rsidRPr="00931DCE">
            <w:rPr>
              <w:rFonts w:ascii="Times New Roman" w:eastAsia="Times New Roman" w:hAnsi="Times New Roman"/>
              <w:sz w:val="24"/>
              <w:szCs w:val="24"/>
              <w:lang w:eastAsia="es-CO"/>
            </w:rPr>
            <w:t xml:space="preserve">Por otra parte, en cuanto a la depreciación </w:t>
          </w:r>
          <w:r w:rsidRPr="00931DCE">
            <w:rPr>
              <w:rFonts w:ascii="Times New Roman" w:hAnsi="Times New Roman"/>
              <w:sz w:val="24"/>
              <w:szCs w:val="24"/>
            </w:rPr>
            <w:t>para los modos de transporte carretero y portuario, la Agencia se encuentra adelantando las actividades concernientes a la definición de vidas útiles para su registro, para el modo férreo se registra de acuerdo con la metodología propuesta, la cual se irá ajustando de ser necesario, todo lo anterior para dar cumplimiento a los preceptos normativos y a la Resolución CGN No. 602 de 2018 y sus modificaciones.</w:t>
          </w:r>
        </w:p>
        <w:p w14:paraId="59143E2F" w14:textId="77777777" w:rsidR="00DD4C8E" w:rsidRPr="00931DCE" w:rsidRDefault="00DD4C8E" w:rsidP="00DD4C8E">
          <w:pPr>
            <w:spacing w:after="0" w:line="240" w:lineRule="auto"/>
            <w:jc w:val="both"/>
            <w:rPr>
              <w:rFonts w:ascii="Times New Roman" w:hAnsi="Times New Roman"/>
              <w:sz w:val="24"/>
              <w:szCs w:val="24"/>
            </w:rPr>
          </w:pPr>
        </w:p>
        <w:p w14:paraId="78A27566" w14:textId="5DC46B8C" w:rsidR="00DD4C8E" w:rsidRPr="00931DCE" w:rsidRDefault="00DD4C8E" w:rsidP="00DD4C8E">
          <w:pPr>
            <w:spacing w:after="0" w:line="240" w:lineRule="auto"/>
            <w:jc w:val="both"/>
            <w:rPr>
              <w:rFonts w:ascii="Times New Roman" w:hAnsi="Times New Roman"/>
              <w:sz w:val="24"/>
              <w:szCs w:val="24"/>
            </w:rPr>
          </w:pPr>
          <w:r w:rsidRPr="00931DCE">
            <w:rPr>
              <w:rFonts w:ascii="Times New Roman" w:hAnsi="Times New Roman"/>
              <w:sz w:val="24"/>
              <w:szCs w:val="24"/>
            </w:rPr>
            <w:t>El saldo de la depreciación acumulada (Cr) para los bienes de uso público por valor de $</w:t>
          </w:r>
          <w:r w:rsidR="00A448D5">
            <w:rPr>
              <w:rFonts w:ascii="Times New Roman" w:hAnsi="Times New Roman"/>
              <w:sz w:val="24"/>
              <w:szCs w:val="24"/>
            </w:rPr>
            <w:t>202.944</w:t>
          </w:r>
          <w:r w:rsidR="00053E1B">
            <w:rPr>
              <w:rFonts w:ascii="Times New Roman" w:hAnsi="Times New Roman"/>
              <w:sz w:val="24"/>
              <w:szCs w:val="24"/>
            </w:rPr>
            <w:t>.483</w:t>
          </w:r>
          <w:r w:rsidR="00406639">
            <w:rPr>
              <w:rFonts w:ascii="Times New Roman" w:hAnsi="Times New Roman"/>
              <w:sz w:val="24"/>
              <w:szCs w:val="24"/>
            </w:rPr>
            <w:t>.</w:t>
          </w:r>
          <w:r w:rsidR="00053E1B">
            <w:rPr>
              <w:rFonts w:ascii="Times New Roman" w:hAnsi="Times New Roman"/>
              <w:sz w:val="24"/>
              <w:szCs w:val="24"/>
            </w:rPr>
            <w:t>156</w:t>
          </w:r>
          <w:r w:rsidRPr="00931DCE">
            <w:rPr>
              <w:rFonts w:ascii="Times New Roman" w:hAnsi="Times New Roman"/>
              <w:sz w:val="24"/>
              <w:szCs w:val="24"/>
            </w:rPr>
            <w:t xml:space="preserve"> corresponde a las actualizaciones realizadas a la red férrea y su correspondiente depreciación.</w:t>
          </w:r>
        </w:p>
        <w:p w14:paraId="4821C75D" w14:textId="77777777" w:rsidR="00982B86" w:rsidRDefault="00982B86" w:rsidP="00820239">
          <w:pPr>
            <w:spacing w:after="0" w:line="240" w:lineRule="auto"/>
            <w:jc w:val="both"/>
            <w:rPr>
              <w:rFonts w:ascii="Times New Roman" w:hAnsi="Times New Roman"/>
              <w:sz w:val="24"/>
              <w:szCs w:val="24"/>
            </w:rPr>
          </w:pPr>
        </w:p>
        <w:p w14:paraId="4CDE0133" w14:textId="2D6F2E6D" w:rsidR="00820239" w:rsidRDefault="00820239" w:rsidP="00820239">
          <w:pPr>
            <w:autoSpaceDE w:val="0"/>
            <w:autoSpaceDN w:val="0"/>
            <w:adjustRightInd w:val="0"/>
            <w:spacing w:after="0" w:line="240" w:lineRule="auto"/>
            <w:jc w:val="both"/>
            <w:rPr>
              <w:rFonts w:ascii="Times New Roman" w:hAnsi="Times New Roman"/>
              <w:sz w:val="24"/>
              <w:szCs w:val="24"/>
            </w:rPr>
          </w:pPr>
          <w:r w:rsidRPr="009A46BB">
            <w:rPr>
              <w:rFonts w:ascii="Times New Roman" w:hAnsi="Times New Roman"/>
              <w:lang w:eastAsia="es-CO"/>
            </w:rPr>
            <w:t xml:space="preserve">El </w:t>
          </w:r>
          <w:r w:rsidRPr="00820239">
            <w:rPr>
              <w:rFonts w:ascii="Times New Roman" w:hAnsi="Times New Roman"/>
              <w:sz w:val="24"/>
              <w:szCs w:val="24"/>
            </w:rPr>
            <w:t>valor de la depreciación a registrar para la vigencia 2023, corresponde a la suma de la depreciación</w:t>
          </w:r>
          <w:r>
            <w:rPr>
              <w:rFonts w:ascii="Times New Roman" w:hAnsi="Times New Roman"/>
              <w:sz w:val="24"/>
              <w:szCs w:val="24"/>
            </w:rPr>
            <w:t xml:space="preserve"> </w:t>
          </w:r>
          <w:r w:rsidRPr="00820239">
            <w:rPr>
              <w:rFonts w:ascii="Times New Roman" w:hAnsi="Times New Roman"/>
              <w:sz w:val="24"/>
              <w:szCs w:val="24"/>
            </w:rPr>
            <w:t>acumulada año anterior (2022) más el valor de la depreciación calculada a diciembre de 2023. La</w:t>
          </w:r>
          <w:r>
            <w:rPr>
              <w:rFonts w:ascii="Times New Roman" w:hAnsi="Times New Roman"/>
              <w:sz w:val="24"/>
              <w:szCs w:val="24"/>
            </w:rPr>
            <w:t xml:space="preserve"> </w:t>
          </w:r>
          <w:r w:rsidRPr="00820239">
            <w:rPr>
              <w:rFonts w:ascii="Times New Roman" w:hAnsi="Times New Roman"/>
              <w:sz w:val="24"/>
              <w:szCs w:val="24"/>
            </w:rPr>
            <w:t>depreciación se deduce en función del uso que se le dé al activo y el tiempo de la vida útil del mismo,</w:t>
          </w:r>
          <w:r>
            <w:rPr>
              <w:rFonts w:ascii="Times New Roman" w:hAnsi="Times New Roman"/>
              <w:sz w:val="24"/>
              <w:szCs w:val="24"/>
            </w:rPr>
            <w:t xml:space="preserve"> </w:t>
          </w:r>
          <w:r w:rsidRPr="00820239">
            <w:rPr>
              <w:rFonts w:ascii="Times New Roman" w:hAnsi="Times New Roman"/>
              <w:sz w:val="24"/>
              <w:szCs w:val="24"/>
            </w:rPr>
            <w:t>el cual va desde el inicio de la entrada en operación de la infraestructura hasta la vigencia 2023. Es</w:t>
          </w:r>
          <w:r>
            <w:rPr>
              <w:rFonts w:ascii="Times New Roman" w:hAnsi="Times New Roman"/>
              <w:sz w:val="24"/>
              <w:szCs w:val="24"/>
            </w:rPr>
            <w:t xml:space="preserve"> </w:t>
          </w:r>
          <w:r w:rsidRPr="00820239">
            <w:rPr>
              <w:rFonts w:ascii="Times New Roman" w:hAnsi="Times New Roman"/>
              <w:sz w:val="24"/>
              <w:szCs w:val="24"/>
            </w:rPr>
            <w:t xml:space="preserve">importante mencionar, que se tiene como supuesto para el cálculo un valor residual (valor </w:t>
          </w:r>
          <w:r w:rsidR="001B3755" w:rsidRPr="00820239">
            <w:rPr>
              <w:rFonts w:ascii="Times New Roman" w:hAnsi="Times New Roman"/>
              <w:sz w:val="24"/>
              <w:szCs w:val="24"/>
            </w:rPr>
            <w:t>de salvamento</w:t>
          </w:r>
          <w:r w:rsidRPr="00820239">
            <w:rPr>
              <w:rFonts w:ascii="Times New Roman" w:hAnsi="Times New Roman"/>
              <w:sz w:val="24"/>
              <w:szCs w:val="24"/>
            </w:rPr>
            <w:t>) de la infraestructura y superestructura del 90%, es decir que se presenta depreciación</w:t>
          </w:r>
          <w:r>
            <w:rPr>
              <w:rFonts w:ascii="Times New Roman" w:hAnsi="Times New Roman"/>
              <w:sz w:val="24"/>
              <w:szCs w:val="24"/>
            </w:rPr>
            <w:t xml:space="preserve"> </w:t>
          </w:r>
          <w:r w:rsidRPr="00820239">
            <w:rPr>
              <w:rFonts w:ascii="Times New Roman" w:hAnsi="Times New Roman"/>
              <w:sz w:val="24"/>
              <w:szCs w:val="24"/>
            </w:rPr>
            <w:t>sobre el 10% del valor de</w:t>
          </w:r>
          <w:r>
            <w:rPr>
              <w:rFonts w:ascii="Times New Roman" w:hAnsi="Times New Roman"/>
              <w:sz w:val="24"/>
              <w:szCs w:val="24"/>
            </w:rPr>
            <w:t xml:space="preserve"> </w:t>
          </w:r>
          <w:r w:rsidRPr="00820239">
            <w:rPr>
              <w:rFonts w:ascii="Times New Roman" w:hAnsi="Times New Roman"/>
              <w:sz w:val="24"/>
              <w:szCs w:val="24"/>
            </w:rPr>
            <w:t>la vía, teniendo en cuenta que es un activo que revierte a la Nación en</w:t>
          </w:r>
          <w:r>
            <w:rPr>
              <w:rFonts w:ascii="Times New Roman" w:hAnsi="Times New Roman"/>
              <w:sz w:val="24"/>
              <w:szCs w:val="24"/>
            </w:rPr>
            <w:t xml:space="preserve"> </w:t>
          </w:r>
          <w:r w:rsidRPr="00820239">
            <w:rPr>
              <w:rFonts w:ascii="Times New Roman" w:hAnsi="Times New Roman"/>
              <w:sz w:val="24"/>
              <w:szCs w:val="24"/>
            </w:rPr>
            <w:t>condiciones de funcionalidad.</w:t>
          </w:r>
        </w:p>
        <w:p w14:paraId="5B7B6202" w14:textId="77777777" w:rsidR="00820239" w:rsidRPr="00820239" w:rsidRDefault="00820239" w:rsidP="00820239">
          <w:pPr>
            <w:autoSpaceDE w:val="0"/>
            <w:autoSpaceDN w:val="0"/>
            <w:adjustRightInd w:val="0"/>
            <w:spacing w:after="0" w:line="240" w:lineRule="auto"/>
            <w:jc w:val="both"/>
            <w:rPr>
              <w:rFonts w:ascii="Times New Roman" w:hAnsi="Times New Roman"/>
              <w:sz w:val="24"/>
              <w:szCs w:val="24"/>
            </w:rPr>
          </w:pPr>
        </w:p>
        <w:p w14:paraId="7E186220" w14:textId="1E695C41" w:rsidR="00820239" w:rsidRPr="00820239" w:rsidRDefault="00820239" w:rsidP="000D5DBF">
          <w:pPr>
            <w:autoSpaceDE w:val="0"/>
            <w:autoSpaceDN w:val="0"/>
            <w:adjustRightInd w:val="0"/>
            <w:spacing w:after="0" w:line="240" w:lineRule="auto"/>
            <w:jc w:val="center"/>
            <w:rPr>
              <w:rFonts w:ascii="Times New Roman" w:hAnsi="Times New Roman"/>
              <w:sz w:val="24"/>
              <w:szCs w:val="24"/>
            </w:rPr>
          </w:pPr>
          <w:r w:rsidRPr="00820239">
            <w:rPr>
              <w:rFonts w:ascii="Times New Roman" w:hAnsi="Times New Roman"/>
              <w:sz w:val="24"/>
              <w:szCs w:val="24"/>
            </w:rPr>
            <w:t xml:space="preserve">Actualización vigencia actual Depreciación = Depreciación acumulada a Dic de 2022 + </w:t>
          </w:r>
          <w:r w:rsidR="000809BC" w:rsidRPr="00820239">
            <w:rPr>
              <w:rFonts w:ascii="Times New Roman" w:hAnsi="Times New Roman"/>
              <w:sz w:val="24"/>
              <w:szCs w:val="24"/>
            </w:rPr>
            <w:t>Depreciación</w:t>
          </w:r>
          <w:r w:rsidR="000809BC">
            <w:rPr>
              <w:rFonts w:ascii="Times New Roman" w:hAnsi="Times New Roman"/>
              <w:sz w:val="24"/>
              <w:szCs w:val="24"/>
            </w:rPr>
            <w:t xml:space="preserve"> vigencia</w:t>
          </w:r>
          <w:r w:rsidRPr="00820239">
            <w:rPr>
              <w:rFonts w:ascii="Times New Roman" w:hAnsi="Times New Roman"/>
              <w:sz w:val="24"/>
              <w:szCs w:val="24"/>
            </w:rPr>
            <w:t xml:space="preserve"> actual</w:t>
          </w:r>
        </w:p>
        <w:p w14:paraId="1D36B8AE" w14:textId="77777777" w:rsidR="00354996" w:rsidRPr="00820239" w:rsidRDefault="00354996" w:rsidP="000D5DBF">
          <w:pPr>
            <w:autoSpaceDE w:val="0"/>
            <w:autoSpaceDN w:val="0"/>
            <w:adjustRightInd w:val="0"/>
            <w:spacing w:after="0" w:line="240" w:lineRule="auto"/>
            <w:jc w:val="center"/>
            <w:rPr>
              <w:rFonts w:ascii="Times New Roman" w:hAnsi="Times New Roman"/>
              <w:sz w:val="24"/>
              <w:szCs w:val="24"/>
            </w:rPr>
          </w:pPr>
        </w:p>
        <w:p w14:paraId="1F13B22C" w14:textId="78B9A67C" w:rsidR="000809BC" w:rsidRPr="00820239" w:rsidRDefault="00820239" w:rsidP="00820239">
          <w:pPr>
            <w:autoSpaceDE w:val="0"/>
            <w:autoSpaceDN w:val="0"/>
            <w:adjustRightInd w:val="0"/>
            <w:spacing w:after="0" w:line="240" w:lineRule="auto"/>
            <w:jc w:val="both"/>
            <w:rPr>
              <w:rFonts w:ascii="Times New Roman" w:hAnsi="Times New Roman"/>
              <w:sz w:val="24"/>
              <w:szCs w:val="24"/>
            </w:rPr>
          </w:pPr>
          <w:r w:rsidRPr="00820239">
            <w:rPr>
              <w:rFonts w:ascii="Times New Roman" w:hAnsi="Times New Roman"/>
              <w:sz w:val="24"/>
              <w:szCs w:val="24"/>
            </w:rPr>
            <w:t>Valor depreciable = 10% del valor de la infraestructura</w:t>
          </w:r>
        </w:p>
        <w:p w14:paraId="1606FCFE" w14:textId="23960C0E" w:rsidR="000809BC" w:rsidRPr="00820239" w:rsidRDefault="00820239" w:rsidP="00820239">
          <w:pPr>
            <w:autoSpaceDE w:val="0"/>
            <w:autoSpaceDN w:val="0"/>
            <w:adjustRightInd w:val="0"/>
            <w:spacing w:after="0" w:line="240" w:lineRule="auto"/>
            <w:jc w:val="both"/>
            <w:rPr>
              <w:rFonts w:ascii="Times New Roman" w:hAnsi="Times New Roman"/>
              <w:sz w:val="24"/>
              <w:szCs w:val="24"/>
            </w:rPr>
          </w:pPr>
          <w:r w:rsidRPr="00820239">
            <w:rPr>
              <w:rFonts w:ascii="Times New Roman" w:hAnsi="Times New Roman"/>
              <w:sz w:val="24"/>
              <w:szCs w:val="24"/>
            </w:rPr>
            <w:t>Valor Depreciación Anual= Valor depreciable/Vida Útil</w:t>
          </w:r>
        </w:p>
        <w:p w14:paraId="4A589E89" w14:textId="3D96233B" w:rsidR="00D040CF" w:rsidRPr="00820239" w:rsidRDefault="00820239" w:rsidP="00820239">
          <w:pPr>
            <w:autoSpaceDE w:val="0"/>
            <w:autoSpaceDN w:val="0"/>
            <w:adjustRightInd w:val="0"/>
            <w:spacing w:after="0" w:line="240" w:lineRule="auto"/>
            <w:jc w:val="both"/>
            <w:rPr>
              <w:rFonts w:ascii="Times New Roman" w:hAnsi="Times New Roman"/>
              <w:sz w:val="24"/>
              <w:szCs w:val="24"/>
            </w:rPr>
          </w:pPr>
          <w:r w:rsidRPr="00820239">
            <w:rPr>
              <w:rFonts w:ascii="Times New Roman" w:hAnsi="Times New Roman"/>
              <w:sz w:val="24"/>
              <w:szCs w:val="24"/>
            </w:rPr>
            <w:t>Dep. Acumulada a Dic-2023 = Valor depreciable / Vida Útil* años de operación hasta dic 2023</w:t>
          </w:r>
        </w:p>
        <w:p w14:paraId="5A4CEE5A" w14:textId="77777777" w:rsidR="00820239" w:rsidRDefault="00820239" w:rsidP="00820239">
          <w:pPr>
            <w:autoSpaceDE w:val="0"/>
            <w:autoSpaceDN w:val="0"/>
            <w:adjustRightInd w:val="0"/>
            <w:spacing w:after="0" w:line="240" w:lineRule="auto"/>
            <w:jc w:val="both"/>
            <w:rPr>
              <w:rFonts w:ascii="Times New Roman" w:hAnsi="Times New Roman"/>
              <w:sz w:val="24"/>
              <w:szCs w:val="24"/>
            </w:rPr>
          </w:pPr>
          <w:r w:rsidRPr="00820239">
            <w:rPr>
              <w:rFonts w:ascii="Times New Roman" w:hAnsi="Times New Roman"/>
              <w:sz w:val="24"/>
              <w:szCs w:val="24"/>
            </w:rPr>
            <w:lastRenderedPageBreak/>
            <w:t>Años de operación: Fecha de corte - Fecha Inicio del Contrato (Expresada en años)</w:t>
          </w:r>
        </w:p>
        <w:p w14:paraId="18718285" w14:textId="77777777" w:rsidR="00D040CF" w:rsidRPr="00820239" w:rsidRDefault="00D040CF" w:rsidP="00820239">
          <w:pPr>
            <w:autoSpaceDE w:val="0"/>
            <w:autoSpaceDN w:val="0"/>
            <w:adjustRightInd w:val="0"/>
            <w:spacing w:after="0" w:line="240" w:lineRule="auto"/>
            <w:jc w:val="both"/>
            <w:rPr>
              <w:rFonts w:ascii="Times New Roman" w:hAnsi="Times New Roman"/>
              <w:sz w:val="24"/>
              <w:szCs w:val="24"/>
            </w:rPr>
          </w:pPr>
        </w:p>
        <w:p w14:paraId="5460EC14" w14:textId="77777777" w:rsidR="00820239" w:rsidRPr="00820239" w:rsidRDefault="00820239" w:rsidP="00820239">
          <w:pPr>
            <w:autoSpaceDE w:val="0"/>
            <w:autoSpaceDN w:val="0"/>
            <w:adjustRightInd w:val="0"/>
            <w:spacing w:after="0" w:line="240" w:lineRule="auto"/>
            <w:jc w:val="both"/>
            <w:rPr>
              <w:rFonts w:ascii="Times New Roman" w:hAnsi="Times New Roman"/>
              <w:sz w:val="24"/>
              <w:szCs w:val="24"/>
            </w:rPr>
          </w:pPr>
          <w:r w:rsidRPr="00820239">
            <w:rPr>
              <w:rFonts w:ascii="Times New Roman" w:hAnsi="Times New Roman"/>
              <w:sz w:val="24"/>
              <w:szCs w:val="24"/>
            </w:rPr>
            <w:t>Fecha de acta de inicio 3-mar-00</w:t>
          </w:r>
        </w:p>
        <w:p w14:paraId="254D9EFF" w14:textId="77777777" w:rsidR="00820239" w:rsidRDefault="00820239" w:rsidP="00820239">
          <w:pPr>
            <w:autoSpaceDE w:val="0"/>
            <w:autoSpaceDN w:val="0"/>
            <w:adjustRightInd w:val="0"/>
            <w:spacing w:after="0" w:line="240" w:lineRule="auto"/>
            <w:jc w:val="both"/>
            <w:rPr>
              <w:rFonts w:ascii="Times New Roman" w:hAnsi="Times New Roman"/>
              <w:sz w:val="24"/>
              <w:szCs w:val="24"/>
            </w:rPr>
          </w:pPr>
          <w:r w:rsidRPr="00820239">
            <w:rPr>
              <w:rFonts w:ascii="Times New Roman" w:hAnsi="Times New Roman"/>
              <w:sz w:val="24"/>
              <w:szCs w:val="24"/>
            </w:rPr>
            <w:t>Fecha de corte 31-dic-23</w:t>
          </w:r>
        </w:p>
        <w:p w14:paraId="18543572" w14:textId="77777777" w:rsidR="003834AD" w:rsidRPr="00820239" w:rsidRDefault="003834AD" w:rsidP="00820239">
          <w:pPr>
            <w:autoSpaceDE w:val="0"/>
            <w:autoSpaceDN w:val="0"/>
            <w:adjustRightInd w:val="0"/>
            <w:spacing w:after="0" w:line="240" w:lineRule="auto"/>
            <w:jc w:val="both"/>
            <w:rPr>
              <w:rFonts w:ascii="Times New Roman" w:hAnsi="Times New Roman"/>
              <w:sz w:val="24"/>
              <w:szCs w:val="24"/>
            </w:rPr>
          </w:pPr>
        </w:p>
        <w:p w14:paraId="154767A4" w14:textId="2DD96D69" w:rsidR="00F369D0" w:rsidRDefault="00820239" w:rsidP="00820239">
          <w:pPr>
            <w:spacing w:after="0" w:line="240" w:lineRule="auto"/>
            <w:jc w:val="both"/>
            <w:rPr>
              <w:rFonts w:ascii="Times New Roman" w:hAnsi="Times New Roman"/>
              <w:sz w:val="24"/>
              <w:szCs w:val="24"/>
            </w:rPr>
          </w:pPr>
          <w:r w:rsidRPr="00820239">
            <w:rPr>
              <w:rFonts w:ascii="Times New Roman" w:hAnsi="Times New Roman"/>
              <w:sz w:val="24"/>
              <w:szCs w:val="24"/>
            </w:rPr>
            <w:t>Años de Operación a diciembre de 2023 = 23.83 Años (Calculo base 360 días)</w:t>
          </w:r>
        </w:p>
        <w:p w14:paraId="177EFAB4" w14:textId="77777777" w:rsidR="00306FAE" w:rsidRDefault="00306FAE" w:rsidP="00306FAE">
          <w:pPr>
            <w:autoSpaceDE w:val="0"/>
            <w:autoSpaceDN w:val="0"/>
            <w:adjustRightInd w:val="0"/>
            <w:spacing w:after="0" w:line="240" w:lineRule="auto"/>
            <w:jc w:val="both"/>
            <w:rPr>
              <w:rFonts w:ascii="Times New Roman" w:hAnsi="Times New Roman"/>
              <w:sz w:val="24"/>
              <w:szCs w:val="24"/>
            </w:rPr>
          </w:pPr>
        </w:p>
        <w:p w14:paraId="0B7ED294" w14:textId="48FEB4FC" w:rsidR="00DD4C8E" w:rsidRPr="00931DCE" w:rsidRDefault="00306FAE" w:rsidP="0035499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El </w:t>
          </w:r>
          <w:r w:rsidRPr="00306FAE">
            <w:rPr>
              <w:rFonts w:ascii="Times New Roman" w:hAnsi="Times New Roman"/>
              <w:sz w:val="24"/>
              <w:szCs w:val="24"/>
            </w:rPr>
            <w:t>valor ‘‘Actualización vigencia corresponde al ajuste del valor de la vía debido a las</w:t>
          </w:r>
          <w:r>
            <w:rPr>
              <w:rFonts w:ascii="Times New Roman" w:hAnsi="Times New Roman"/>
              <w:sz w:val="24"/>
              <w:szCs w:val="24"/>
            </w:rPr>
            <w:t xml:space="preserve"> </w:t>
          </w:r>
          <w:r w:rsidRPr="00306FAE">
            <w:rPr>
              <w:rFonts w:ascii="Times New Roman" w:hAnsi="Times New Roman"/>
              <w:sz w:val="24"/>
              <w:szCs w:val="24"/>
            </w:rPr>
            <w:t>variaciones en cantidades de rieles y traviesas</w:t>
          </w:r>
          <w:r w:rsidR="00354996">
            <w:rPr>
              <w:rFonts w:ascii="Times New Roman" w:hAnsi="Times New Roman"/>
              <w:sz w:val="24"/>
              <w:szCs w:val="24"/>
            </w:rPr>
            <w:t>.</w:t>
          </w:r>
        </w:p>
        <w:p w14:paraId="2B26D8E6" w14:textId="0067CED5" w:rsidR="003E1823" w:rsidRPr="00931DCE" w:rsidRDefault="003E1823" w:rsidP="009C5E35">
          <w:pPr>
            <w:autoSpaceDE w:val="0"/>
            <w:autoSpaceDN w:val="0"/>
            <w:adjustRightInd w:val="0"/>
            <w:spacing w:after="0" w:line="240" w:lineRule="auto"/>
            <w:jc w:val="both"/>
            <w:rPr>
              <w:rFonts w:ascii="Times New Roman" w:hAnsi="Times New Roman"/>
              <w:sz w:val="24"/>
              <w:szCs w:val="24"/>
            </w:rPr>
          </w:pPr>
        </w:p>
        <w:p w14:paraId="0581190F" w14:textId="04B2F010" w:rsidR="009C5E35" w:rsidRPr="009C5E35" w:rsidRDefault="009C5E35" w:rsidP="009C5E35">
          <w:pPr>
            <w:autoSpaceDE w:val="0"/>
            <w:autoSpaceDN w:val="0"/>
            <w:adjustRightInd w:val="0"/>
            <w:spacing w:after="0" w:line="240" w:lineRule="auto"/>
            <w:jc w:val="both"/>
            <w:rPr>
              <w:rFonts w:ascii="Times New Roman" w:hAnsi="Times New Roman"/>
              <w:sz w:val="24"/>
              <w:szCs w:val="24"/>
            </w:rPr>
          </w:pPr>
        </w:p>
        <w:p w14:paraId="4662375A" w14:textId="56C9676E" w:rsidR="005C6B2C" w:rsidRPr="00B23166" w:rsidRDefault="00B23166" w:rsidP="009C5E35">
          <w:pPr>
            <w:pStyle w:val="Ttulo2"/>
            <w:numPr>
              <w:ilvl w:val="0"/>
              <w:numId w:val="0"/>
            </w:numPr>
            <w:rPr>
              <w:rFonts w:cs="Times New Roman"/>
            </w:rPr>
          </w:pPr>
          <w:bookmarkStart w:id="45" w:name="_Toc159952386"/>
          <w:r w:rsidRPr="0F42A11F">
            <w:rPr>
              <w:rFonts w:cs="Times New Roman"/>
            </w:rPr>
            <w:t>11.2. Revelaciones adicionales</w:t>
          </w:r>
          <w:bookmarkEnd w:id="45"/>
        </w:p>
        <w:p w14:paraId="157412D5" w14:textId="2EAC2D45" w:rsidR="009C5E35" w:rsidRDefault="009C5E35" w:rsidP="003D71E1">
          <w:pPr>
            <w:jc w:val="both"/>
          </w:pPr>
        </w:p>
        <w:p w14:paraId="572A7788" w14:textId="21A517AE" w:rsidR="00EA4D99" w:rsidRPr="00EA4D99" w:rsidRDefault="009C5E35" w:rsidP="003D71E1">
          <w:pPr>
            <w:spacing w:after="0" w:line="240" w:lineRule="auto"/>
            <w:jc w:val="both"/>
            <w:rPr>
              <w:rFonts w:ascii="Times New Roman" w:hAnsi="Times New Roman"/>
              <w:sz w:val="24"/>
              <w:szCs w:val="24"/>
            </w:rPr>
          </w:pPr>
          <w:r w:rsidRPr="009C5E35">
            <w:rPr>
              <w:rFonts w:ascii="Times New Roman" w:hAnsi="Times New Roman"/>
              <w:sz w:val="24"/>
              <w:szCs w:val="24"/>
            </w:rPr>
            <w:t>Proyectos carreteros</w:t>
          </w:r>
          <w:r w:rsidR="00EA4D99" w:rsidRPr="00EA4D99">
            <w:rPr>
              <w:rFonts w:ascii="Times New Roman" w:hAnsi="Times New Roman"/>
              <w:sz w:val="24"/>
              <w:szCs w:val="24"/>
            </w:rPr>
            <w:t xml:space="preserve"> liquidados o en proceso de liquidación:</w:t>
          </w:r>
        </w:p>
        <w:p w14:paraId="49D7E471" w14:textId="52E8673B" w:rsidR="00EA4D99" w:rsidRPr="009C5E35" w:rsidRDefault="00EA4D99" w:rsidP="003D71E1">
          <w:pPr>
            <w:spacing w:after="0" w:line="240" w:lineRule="auto"/>
            <w:jc w:val="both"/>
            <w:rPr>
              <w:rFonts w:ascii="Times New Roman" w:hAnsi="Times New Roman"/>
              <w:i/>
              <w:iCs/>
              <w:sz w:val="24"/>
              <w:szCs w:val="24"/>
            </w:rPr>
          </w:pPr>
        </w:p>
        <w:p w14:paraId="56362407" w14:textId="18018D15" w:rsidR="00EA4D99" w:rsidRPr="009C5E35" w:rsidRDefault="009C5E35" w:rsidP="00E60BAB">
          <w:pPr>
            <w:pStyle w:val="Prrafodelista"/>
            <w:numPr>
              <w:ilvl w:val="0"/>
              <w:numId w:val="162"/>
            </w:numPr>
            <w:spacing w:after="0" w:line="240" w:lineRule="auto"/>
            <w:jc w:val="both"/>
            <w:rPr>
              <w:rFonts w:ascii="Times New Roman" w:hAnsi="Times New Roman"/>
              <w:sz w:val="24"/>
              <w:szCs w:val="24"/>
            </w:rPr>
          </w:pPr>
          <w:r w:rsidRPr="003D71E1">
            <w:rPr>
              <w:rFonts w:ascii="Times New Roman" w:hAnsi="Times New Roman"/>
              <w:sz w:val="24"/>
              <w:szCs w:val="24"/>
            </w:rPr>
            <w:t>Cartagena - Barranquilla "Vía al Mar", liquidado el 02 de marzo de 2022. </w:t>
          </w:r>
        </w:p>
        <w:p w14:paraId="07C38C5A" w14:textId="66E4936E" w:rsidR="00EA4D99" w:rsidRPr="009C5E35" w:rsidRDefault="009C5E35" w:rsidP="00E60BAB">
          <w:pPr>
            <w:pStyle w:val="Prrafodelista"/>
            <w:numPr>
              <w:ilvl w:val="0"/>
              <w:numId w:val="162"/>
            </w:numPr>
            <w:spacing w:after="0" w:line="240" w:lineRule="auto"/>
            <w:jc w:val="both"/>
            <w:rPr>
              <w:rFonts w:ascii="Times New Roman" w:hAnsi="Times New Roman"/>
              <w:sz w:val="24"/>
              <w:szCs w:val="24"/>
            </w:rPr>
          </w:pPr>
          <w:r w:rsidRPr="003D71E1">
            <w:rPr>
              <w:rFonts w:ascii="Times New Roman" w:hAnsi="Times New Roman"/>
              <w:sz w:val="24"/>
              <w:szCs w:val="24"/>
            </w:rPr>
            <w:t>Pereira - La Victoria, liquidado el 25 de febrero de 2022. </w:t>
          </w:r>
        </w:p>
        <w:p w14:paraId="3FA1DC6B" w14:textId="0ED8146F" w:rsidR="00EA4D99" w:rsidRPr="009C5E35" w:rsidRDefault="009C5E35" w:rsidP="00E60BAB">
          <w:pPr>
            <w:pStyle w:val="Prrafodelista"/>
            <w:numPr>
              <w:ilvl w:val="0"/>
              <w:numId w:val="162"/>
            </w:numPr>
            <w:spacing w:after="0" w:line="240" w:lineRule="auto"/>
            <w:jc w:val="both"/>
            <w:rPr>
              <w:rFonts w:ascii="Times New Roman" w:hAnsi="Times New Roman"/>
              <w:sz w:val="24"/>
              <w:szCs w:val="24"/>
            </w:rPr>
          </w:pPr>
          <w:r w:rsidRPr="003D71E1">
            <w:rPr>
              <w:rFonts w:ascii="Times New Roman" w:hAnsi="Times New Roman"/>
              <w:sz w:val="24"/>
              <w:szCs w:val="24"/>
            </w:rPr>
            <w:t>Ruta Caribe, liquidado el 15 de diciembre 2023.</w:t>
          </w:r>
        </w:p>
        <w:p w14:paraId="60B33112" w14:textId="657F381C" w:rsidR="009C5E35" w:rsidRPr="003D71E1" w:rsidRDefault="009C5E35" w:rsidP="00E60BAB">
          <w:pPr>
            <w:pStyle w:val="Prrafodelista"/>
            <w:numPr>
              <w:ilvl w:val="0"/>
              <w:numId w:val="162"/>
            </w:numPr>
            <w:spacing w:after="0" w:line="240" w:lineRule="auto"/>
            <w:jc w:val="both"/>
            <w:rPr>
              <w:rFonts w:ascii="Times New Roman" w:hAnsi="Times New Roman"/>
              <w:sz w:val="24"/>
              <w:szCs w:val="24"/>
            </w:rPr>
          </w:pPr>
          <w:r w:rsidRPr="003D71E1">
            <w:rPr>
              <w:rFonts w:ascii="Times New Roman" w:hAnsi="Times New Roman"/>
              <w:sz w:val="24"/>
              <w:szCs w:val="24"/>
            </w:rPr>
            <w:t>Transversal de las Américas – 1, liquidado el 09 de marzo de 2022. </w:t>
          </w:r>
        </w:p>
        <w:p w14:paraId="556E7733" w14:textId="052F8CCA" w:rsidR="009C5E35" w:rsidRPr="003D71E1" w:rsidRDefault="009C5E35" w:rsidP="00E60BAB">
          <w:pPr>
            <w:pStyle w:val="Prrafodelista"/>
            <w:numPr>
              <w:ilvl w:val="0"/>
              <w:numId w:val="162"/>
            </w:numPr>
            <w:spacing w:after="0" w:line="240" w:lineRule="auto"/>
            <w:jc w:val="both"/>
            <w:rPr>
              <w:rFonts w:ascii="Times New Roman" w:hAnsi="Times New Roman"/>
              <w:sz w:val="24"/>
              <w:szCs w:val="24"/>
            </w:rPr>
          </w:pPr>
          <w:r w:rsidRPr="003D71E1">
            <w:rPr>
              <w:rFonts w:ascii="Times New Roman" w:hAnsi="Times New Roman"/>
              <w:sz w:val="24"/>
              <w:szCs w:val="24"/>
            </w:rPr>
            <w:t>Girardot - Ibagué – Cajamarca, revertido al proyecto IP GICA el 12 de marzo de 2022 y en proceso de liquidación. </w:t>
          </w:r>
        </w:p>
        <w:p w14:paraId="09DFBC71" w14:textId="372469D9" w:rsidR="009C5E35" w:rsidRPr="003D71E1" w:rsidRDefault="009C5E35" w:rsidP="00E60BAB">
          <w:pPr>
            <w:pStyle w:val="Prrafodelista"/>
            <w:numPr>
              <w:ilvl w:val="0"/>
              <w:numId w:val="162"/>
            </w:numPr>
            <w:spacing w:after="0" w:line="240" w:lineRule="auto"/>
            <w:rPr>
              <w:rFonts w:ascii="Times New Roman" w:hAnsi="Times New Roman"/>
              <w:i/>
              <w:iCs/>
              <w:sz w:val="24"/>
              <w:szCs w:val="24"/>
            </w:rPr>
          </w:pPr>
          <w:r w:rsidRPr="003D71E1">
            <w:rPr>
              <w:rFonts w:ascii="Times New Roman" w:hAnsi="Times New Roman"/>
              <w:sz w:val="24"/>
              <w:szCs w:val="24"/>
            </w:rPr>
            <w:t>Ruta del Sol sector – 1, revertido al INVIAS el 15 de septiembre de 2022 y en proceso de liquidación.</w:t>
          </w:r>
          <w:r w:rsidRPr="003D71E1">
            <w:rPr>
              <w:rFonts w:ascii="Times New Roman" w:hAnsi="Times New Roman"/>
              <w:i/>
              <w:iCs/>
              <w:sz w:val="24"/>
              <w:szCs w:val="24"/>
            </w:rPr>
            <w:t xml:space="preserve">                                                        </w:t>
          </w:r>
        </w:p>
        <w:p w14:paraId="674CF784" w14:textId="58DB4422" w:rsidR="009C5E35" w:rsidRPr="009C5E35" w:rsidRDefault="009C5E35" w:rsidP="009C5E35">
          <w:pPr>
            <w:spacing w:after="0" w:line="240" w:lineRule="auto"/>
            <w:rPr>
              <w:rFonts w:cs="Calibri"/>
              <w:i/>
              <w:iCs/>
            </w:rPr>
          </w:pPr>
          <w:r w:rsidRPr="009C5E35">
            <w:rPr>
              <w:rFonts w:cs="Calibri"/>
              <w:i/>
              <w:iCs/>
            </w:rPr>
            <w:t xml:space="preserve">                                                               </w:t>
          </w:r>
        </w:p>
        <w:p w14:paraId="0EC07333" w14:textId="5C8B0C3A" w:rsidR="009C5E35" w:rsidRPr="009C5E35" w:rsidRDefault="003D71E1" w:rsidP="003D71E1">
          <w:pPr>
            <w:spacing w:after="0" w:line="240" w:lineRule="auto"/>
            <w:jc w:val="both"/>
            <w:rPr>
              <w:rFonts w:ascii="Times New Roman" w:hAnsi="Times New Roman"/>
              <w:sz w:val="24"/>
              <w:szCs w:val="24"/>
            </w:rPr>
          </w:pPr>
          <w:r>
            <w:rPr>
              <w:rFonts w:ascii="Times New Roman" w:hAnsi="Times New Roman"/>
              <w:sz w:val="24"/>
              <w:szCs w:val="24"/>
            </w:rPr>
            <w:t>El p</w:t>
          </w:r>
          <w:r w:rsidR="009C5E35" w:rsidRPr="009C5E35">
            <w:rPr>
              <w:rFonts w:ascii="Times New Roman" w:hAnsi="Times New Roman"/>
              <w:sz w:val="24"/>
              <w:szCs w:val="24"/>
            </w:rPr>
            <w:t xml:space="preserve">royecto </w:t>
          </w:r>
          <w:r w:rsidR="00EA4D99">
            <w:rPr>
              <w:rFonts w:ascii="Times New Roman" w:hAnsi="Times New Roman"/>
              <w:sz w:val="24"/>
              <w:szCs w:val="24"/>
            </w:rPr>
            <w:t>férreo</w:t>
          </w:r>
          <w:r>
            <w:rPr>
              <w:rFonts w:ascii="Times New Roman" w:hAnsi="Times New Roman"/>
              <w:sz w:val="24"/>
              <w:szCs w:val="24"/>
            </w:rPr>
            <w:t xml:space="preserve"> </w:t>
          </w:r>
          <w:r w:rsidR="009C5E35" w:rsidRPr="009C5E35">
            <w:rPr>
              <w:rFonts w:ascii="Times New Roman" w:hAnsi="Times New Roman"/>
              <w:sz w:val="24"/>
              <w:szCs w:val="24"/>
            </w:rPr>
            <w:t xml:space="preserve">Red Férrea del Pacífico, </w:t>
          </w:r>
          <w:r>
            <w:rPr>
              <w:rFonts w:ascii="Times New Roman" w:hAnsi="Times New Roman"/>
              <w:sz w:val="24"/>
              <w:szCs w:val="24"/>
            </w:rPr>
            <w:t xml:space="preserve">fue </w:t>
          </w:r>
          <w:r w:rsidR="009C5E35" w:rsidRPr="009C5E35">
            <w:rPr>
              <w:rFonts w:ascii="Times New Roman" w:hAnsi="Times New Roman"/>
              <w:sz w:val="24"/>
              <w:szCs w:val="24"/>
            </w:rPr>
            <w:t>liquidado unilateralmente mediante Resolución No. 20233070002345 del 28 de febrero de 2023.</w:t>
          </w:r>
        </w:p>
        <w:p w14:paraId="081022C1" w14:textId="4A58027E" w:rsidR="009C5E35" w:rsidRPr="009C5E35" w:rsidRDefault="009C5E35" w:rsidP="003D71E1">
          <w:pPr>
            <w:spacing w:after="0" w:line="240" w:lineRule="auto"/>
            <w:jc w:val="both"/>
            <w:rPr>
              <w:rFonts w:ascii="Times New Roman" w:hAnsi="Times New Roman"/>
              <w:sz w:val="24"/>
              <w:szCs w:val="24"/>
            </w:rPr>
          </w:pPr>
        </w:p>
        <w:p w14:paraId="6E11F491" w14:textId="7AC7D340" w:rsidR="009C5E35" w:rsidRPr="009C5E35" w:rsidRDefault="009C5E35" w:rsidP="003D71E1">
          <w:pPr>
            <w:spacing w:after="0" w:line="240" w:lineRule="auto"/>
            <w:jc w:val="both"/>
            <w:rPr>
              <w:rFonts w:ascii="Times New Roman" w:hAnsi="Times New Roman"/>
              <w:sz w:val="24"/>
              <w:szCs w:val="24"/>
            </w:rPr>
          </w:pPr>
          <w:r w:rsidRPr="009C5E35">
            <w:rPr>
              <w:rFonts w:ascii="Times New Roman" w:hAnsi="Times New Roman"/>
              <w:sz w:val="24"/>
              <w:szCs w:val="24"/>
            </w:rPr>
            <w:t>Nota: En atención que la Agencia está en implementación del Sistema de Gestión de Activo para cuantificar el valor de cada uno de ellos, junto con sus especificaciones técnicas, en la actualidad no se puede precisar el valor de los tramos que no fueron revertidos del proyecto Ruta Caribe. Así como, las cifras a cada titular de Transversal de las Américas. Razón por la cual no se ha podido realizar el reconocimiento contable, esperando desarrollar una técnica de estimación para su desincorporación de los estados financieros.</w:t>
          </w:r>
        </w:p>
        <w:p w14:paraId="41E05031" w14:textId="47898339" w:rsidR="009C5E35" w:rsidRPr="009C5E35" w:rsidRDefault="009C5E35" w:rsidP="003D71E1">
          <w:pPr>
            <w:spacing w:after="0" w:line="240" w:lineRule="auto"/>
            <w:jc w:val="both"/>
            <w:rPr>
              <w:rFonts w:ascii="Times New Roman" w:hAnsi="Times New Roman"/>
              <w:sz w:val="24"/>
              <w:szCs w:val="24"/>
            </w:rPr>
          </w:pPr>
        </w:p>
        <w:p w14:paraId="4722CB02" w14:textId="5015F95E" w:rsidR="00B23166" w:rsidRPr="00931DCE" w:rsidRDefault="00B23166" w:rsidP="003D71E1">
          <w:pPr>
            <w:spacing w:after="0" w:line="240" w:lineRule="auto"/>
            <w:jc w:val="both"/>
            <w:rPr>
              <w:rFonts w:ascii="Times New Roman" w:hAnsi="Times New Roman"/>
              <w:b/>
              <w:sz w:val="24"/>
              <w:szCs w:val="24"/>
            </w:rPr>
          </w:pPr>
        </w:p>
        <w:p w14:paraId="35218748" w14:textId="560816DA" w:rsidR="00620498" w:rsidRPr="00931DCE" w:rsidRDefault="001A2353" w:rsidP="003E1823">
          <w:pPr>
            <w:pStyle w:val="Ttulo1"/>
            <w:rPr>
              <w:rFonts w:cs="Times New Roman"/>
            </w:rPr>
          </w:pPr>
          <w:bookmarkStart w:id="46" w:name="_Toc159952387"/>
          <w:r w:rsidRPr="00931DCE">
            <w:rPr>
              <w:rFonts w:cs="Times New Roman"/>
            </w:rPr>
            <w:t>NOTA 1</w:t>
          </w:r>
          <w:r w:rsidR="001F0D65" w:rsidRPr="00931DCE">
            <w:rPr>
              <w:rFonts w:cs="Times New Roman"/>
            </w:rPr>
            <w:t>4</w:t>
          </w:r>
          <w:r w:rsidRPr="00931DCE">
            <w:rPr>
              <w:rFonts w:cs="Times New Roman"/>
            </w:rPr>
            <w:t>. ACTIVOS INTANGIBLES</w:t>
          </w:r>
          <w:bookmarkEnd w:id="46"/>
        </w:p>
        <w:p w14:paraId="54A7522D" w14:textId="77777777" w:rsidR="00206B30" w:rsidRPr="00931DCE" w:rsidRDefault="00206B30" w:rsidP="003E1823">
          <w:pPr>
            <w:spacing w:after="0" w:line="240" w:lineRule="auto"/>
            <w:jc w:val="both"/>
            <w:rPr>
              <w:rFonts w:ascii="Times New Roman" w:hAnsi="Times New Roman"/>
              <w:b/>
              <w:sz w:val="24"/>
              <w:szCs w:val="24"/>
            </w:rPr>
          </w:pPr>
        </w:p>
        <w:p w14:paraId="320866D5" w14:textId="6CA4D226" w:rsidR="00206B30" w:rsidRPr="00931DCE" w:rsidRDefault="00206B30" w:rsidP="004A000E">
          <w:pPr>
            <w:pStyle w:val="Ttulo2"/>
            <w:numPr>
              <w:ilvl w:val="0"/>
              <w:numId w:val="0"/>
            </w:numPr>
            <w:rPr>
              <w:rFonts w:cs="Times New Roman"/>
              <w:szCs w:val="22"/>
            </w:rPr>
          </w:pPr>
          <w:bookmarkStart w:id="47" w:name="_Toc159952388"/>
          <w:r w:rsidRPr="00931DCE">
            <w:rPr>
              <w:rFonts w:cs="Times New Roman"/>
              <w:szCs w:val="22"/>
            </w:rPr>
            <w:t>Composición</w:t>
          </w:r>
          <w:bookmarkEnd w:id="47"/>
        </w:p>
        <w:p w14:paraId="075DD518" w14:textId="34230891" w:rsidR="00206B30" w:rsidRPr="00931DCE" w:rsidRDefault="00206B30" w:rsidP="004A000E">
          <w:pPr>
            <w:spacing w:after="0" w:line="240" w:lineRule="auto"/>
            <w:jc w:val="both"/>
            <w:rPr>
              <w:rFonts w:ascii="Times New Roman" w:hAnsi="Times New Roman"/>
              <w:b/>
              <w:sz w:val="24"/>
              <w:szCs w:val="24"/>
            </w:rPr>
          </w:pPr>
        </w:p>
        <w:p w14:paraId="56B5C39E" w14:textId="4A47B9C2" w:rsidR="00BB6B6E" w:rsidRPr="00931DCE" w:rsidRDefault="00BB6B6E" w:rsidP="0047342E">
          <w:pPr>
            <w:spacing w:after="0" w:line="240" w:lineRule="auto"/>
            <w:jc w:val="both"/>
            <w:rPr>
              <w:rFonts w:ascii="Times New Roman" w:hAnsi="Times New Roman"/>
              <w:sz w:val="24"/>
              <w:szCs w:val="24"/>
            </w:rPr>
          </w:pPr>
          <w:r w:rsidRPr="00931DCE">
            <w:rPr>
              <w:rFonts w:ascii="Times New Roman" w:hAnsi="Times New Roman"/>
              <w:sz w:val="24"/>
              <w:szCs w:val="24"/>
            </w:rPr>
            <w:t>Los activos intangibles son recursos identificables, de carácter no monetario y sin apariencia física, sobre los cuales se tiene el control, se espera obtener beneficios económicos futuros o potencial de servicio, se puede realizar mediciones fiables, además se prevé usarlos durante más de un año.</w:t>
          </w:r>
        </w:p>
        <w:p w14:paraId="3CAE2AC2" w14:textId="77777777" w:rsidR="0047342E" w:rsidRPr="00931DCE" w:rsidRDefault="0047342E" w:rsidP="0047342E">
          <w:pPr>
            <w:spacing w:after="0" w:line="240" w:lineRule="auto"/>
            <w:jc w:val="both"/>
            <w:rPr>
              <w:rFonts w:ascii="Times New Roman" w:hAnsi="Times New Roman"/>
              <w:sz w:val="24"/>
              <w:szCs w:val="24"/>
            </w:rPr>
          </w:pPr>
        </w:p>
        <w:p w14:paraId="161E5B51" w14:textId="00AB21CF" w:rsidR="00BB6B6E" w:rsidRPr="00931DCE" w:rsidRDefault="00BB6B6E" w:rsidP="0047342E">
          <w:pPr>
            <w:spacing w:after="0" w:line="240" w:lineRule="auto"/>
            <w:jc w:val="both"/>
            <w:rPr>
              <w:rFonts w:ascii="Times New Roman" w:hAnsi="Times New Roman"/>
              <w:sz w:val="24"/>
              <w:szCs w:val="24"/>
            </w:rPr>
          </w:pPr>
          <w:r w:rsidRPr="00931DCE">
            <w:rPr>
              <w:rFonts w:ascii="Times New Roman" w:hAnsi="Times New Roman"/>
              <w:sz w:val="24"/>
              <w:szCs w:val="24"/>
            </w:rPr>
            <w:t>Comprende entre otros:</w:t>
          </w:r>
        </w:p>
        <w:p w14:paraId="403CA0B2" w14:textId="77777777" w:rsidR="0047342E" w:rsidRPr="00931DCE" w:rsidRDefault="0047342E" w:rsidP="0047342E">
          <w:pPr>
            <w:spacing w:after="0" w:line="240" w:lineRule="auto"/>
            <w:jc w:val="both"/>
            <w:rPr>
              <w:rFonts w:ascii="Times New Roman" w:hAnsi="Times New Roman"/>
            </w:rPr>
          </w:pPr>
        </w:p>
        <w:p w14:paraId="25A200E1" w14:textId="77777777" w:rsidR="00BB6B6E" w:rsidRPr="00931DCE" w:rsidRDefault="00BB6B6E" w:rsidP="00E60BAB">
          <w:pPr>
            <w:pStyle w:val="Default"/>
            <w:numPr>
              <w:ilvl w:val="0"/>
              <w:numId w:val="46"/>
            </w:numPr>
            <w:jc w:val="both"/>
            <w:rPr>
              <w:rFonts w:ascii="Times New Roman" w:hAnsi="Times New Roman" w:cs="Times New Roman"/>
              <w:sz w:val="22"/>
              <w:szCs w:val="22"/>
            </w:rPr>
          </w:pPr>
          <w:r w:rsidRPr="00931DCE">
            <w:rPr>
              <w:rFonts w:ascii="Times New Roman" w:hAnsi="Times New Roman" w:cs="Times New Roman"/>
            </w:rPr>
            <w:lastRenderedPageBreak/>
            <w:t>Licencias, adquiridas por entidad para el desarrollo de sus actividades misionales y operativas, también se reconocerá las licencias cuya autoría se haya reconocido legalmente como de propiedad de la Agencia, como resultado de un desarrollo interno.</w:t>
          </w:r>
        </w:p>
        <w:p w14:paraId="53087208" w14:textId="77777777" w:rsidR="00BB6B6E" w:rsidRPr="00931DCE" w:rsidRDefault="00BB6B6E" w:rsidP="00E60BAB">
          <w:pPr>
            <w:pStyle w:val="Default"/>
            <w:numPr>
              <w:ilvl w:val="0"/>
              <w:numId w:val="46"/>
            </w:numPr>
            <w:jc w:val="both"/>
            <w:rPr>
              <w:rFonts w:ascii="Times New Roman" w:hAnsi="Times New Roman" w:cs="Times New Roman"/>
              <w:sz w:val="22"/>
              <w:szCs w:val="22"/>
            </w:rPr>
          </w:pPr>
          <w:r w:rsidRPr="00931DCE">
            <w:rPr>
              <w:rFonts w:ascii="Times New Roman" w:hAnsi="Times New Roman" w:cs="Times New Roman"/>
            </w:rPr>
            <w:t xml:space="preserve">Software, aplicaciones y programas instalados en los equipos de cómputo para el desarrollo de su función misional y operativa. </w:t>
          </w:r>
        </w:p>
        <w:p w14:paraId="3A294FF7" w14:textId="1EA9C69F" w:rsidR="000425A7" w:rsidRPr="009A46BB" w:rsidRDefault="00BB6B6E" w:rsidP="00E60BAB">
          <w:pPr>
            <w:pStyle w:val="Default"/>
            <w:numPr>
              <w:ilvl w:val="0"/>
              <w:numId w:val="46"/>
            </w:numPr>
            <w:jc w:val="both"/>
            <w:rPr>
              <w:rFonts w:ascii="Times New Roman" w:hAnsi="Times New Roman" w:cs="Times New Roman"/>
            </w:rPr>
          </w:pPr>
          <w:r w:rsidRPr="00931DCE">
            <w:rPr>
              <w:rFonts w:ascii="Times New Roman" w:hAnsi="Times New Roman" w:cs="Times New Roman"/>
            </w:rPr>
            <w:t>Intangibles en concesión, los cuales surgen de acuerdos vinculantes para los modos de transporte carretero, férreo, portuario y aeroportuario, que se reconocen de acuerdo con la información suministrada por los concesionario, interventorías y grupos internos de trabajo de la Agencia</w:t>
          </w:r>
          <w:r w:rsidR="00354996" w:rsidRPr="00354996">
            <w:rPr>
              <w:rFonts w:ascii="Times New Roman" w:hAnsi="Times New Roman" w:cs="Times New Roman"/>
            </w:rPr>
            <w:t>.</w:t>
          </w:r>
        </w:p>
        <w:p w14:paraId="31FFF6C5" w14:textId="14D825FB" w:rsidR="00101362" w:rsidRDefault="00101362" w:rsidP="0047342E">
          <w:pPr>
            <w:spacing w:after="0" w:line="240" w:lineRule="auto"/>
            <w:jc w:val="both"/>
            <w:rPr>
              <w:rFonts w:ascii="Times New Roman" w:hAnsi="Times New Roman"/>
              <w:color w:val="000000"/>
              <w:sz w:val="24"/>
              <w:szCs w:val="24"/>
            </w:rPr>
          </w:pPr>
        </w:p>
        <w:tbl>
          <w:tblPr>
            <w:tblW w:w="5000" w:type="pct"/>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CellMar>
              <w:top w:w="15" w:type="dxa"/>
              <w:left w:w="70" w:type="dxa"/>
              <w:bottom w:w="15" w:type="dxa"/>
              <w:right w:w="70" w:type="dxa"/>
            </w:tblCellMar>
            <w:tblLook w:val="04A0" w:firstRow="1" w:lastRow="0" w:firstColumn="1" w:lastColumn="0" w:noHBand="0" w:noVBand="1"/>
          </w:tblPr>
          <w:tblGrid>
            <w:gridCol w:w="944"/>
            <w:gridCol w:w="521"/>
            <w:gridCol w:w="3210"/>
            <w:gridCol w:w="1459"/>
            <w:gridCol w:w="1459"/>
            <w:gridCol w:w="1376"/>
          </w:tblGrid>
          <w:tr w:rsidR="0075061B" w:rsidRPr="0075061B" w14:paraId="4BD4A923" w14:textId="77777777" w:rsidTr="0075061B">
            <w:trPr>
              <w:trHeight w:val="300"/>
            </w:trPr>
            <w:tc>
              <w:tcPr>
                <w:tcW w:w="2563" w:type="pct"/>
                <w:gridSpan w:val="3"/>
                <w:vAlign w:val="center"/>
                <w:hideMark/>
              </w:tcPr>
              <w:p w14:paraId="5BA16759" w14:textId="77777777" w:rsidR="0075061B" w:rsidRPr="0075061B" w:rsidRDefault="0075061B" w:rsidP="0075061B">
                <w:pPr>
                  <w:spacing w:after="0" w:line="240" w:lineRule="auto"/>
                  <w:jc w:val="center"/>
                  <w:rPr>
                    <w:rFonts w:ascii="Times New Roman" w:eastAsia="Times New Roman" w:hAnsi="Times New Roman"/>
                    <w:b/>
                    <w:bCs/>
                    <w:sz w:val="18"/>
                    <w:szCs w:val="18"/>
                    <w:lang w:eastAsia="es-CO"/>
                  </w:rPr>
                </w:pPr>
                <w:r w:rsidRPr="0075061B">
                  <w:rPr>
                    <w:rFonts w:ascii="Times New Roman" w:eastAsia="Times New Roman" w:hAnsi="Times New Roman"/>
                    <w:b/>
                    <w:bCs/>
                    <w:sz w:val="18"/>
                    <w:szCs w:val="18"/>
                    <w:lang w:eastAsia="es-CO"/>
                  </w:rPr>
                  <w:t>DESCRIPCIÓN</w:t>
                </w:r>
              </w:p>
            </w:tc>
            <w:tc>
              <w:tcPr>
                <w:tcW w:w="2438" w:type="pct"/>
                <w:gridSpan w:val="3"/>
                <w:vAlign w:val="center"/>
                <w:hideMark/>
              </w:tcPr>
              <w:p w14:paraId="5A06A429" w14:textId="77777777" w:rsidR="0075061B" w:rsidRPr="0075061B" w:rsidRDefault="0075061B" w:rsidP="0075061B">
                <w:pPr>
                  <w:spacing w:after="0" w:line="240" w:lineRule="auto"/>
                  <w:jc w:val="center"/>
                  <w:rPr>
                    <w:rFonts w:ascii="Times New Roman" w:eastAsia="Times New Roman" w:hAnsi="Times New Roman"/>
                    <w:b/>
                    <w:bCs/>
                    <w:sz w:val="18"/>
                    <w:szCs w:val="18"/>
                    <w:lang w:eastAsia="es-CO"/>
                  </w:rPr>
                </w:pPr>
                <w:r w:rsidRPr="0075061B">
                  <w:rPr>
                    <w:rFonts w:ascii="Times New Roman" w:eastAsia="Times New Roman" w:hAnsi="Times New Roman"/>
                    <w:b/>
                    <w:bCs/>
                    <w:sz w:val="18"/>
                    <w:szCs w:val="18"/>
                    <w:lang w:eastAsia="es-CO"/>
                  </w:rPr>
                  <w:t>SALDOS</w:t>
                </w:r>
              </w:p>
            </w:tc>
          </w:tr>
          <w:tr w:rsidR="0075061B" w:rsidRPr="0075061B" w14:paraId="2D84069E" w14:textId="77777777" w:rsidTr="0075061B">
            <w:trPr>
              <w:trHeight w:val="300"/>
            </w:trPr>
            <w:tc>
              <w:tcPr>
                <w:tcW w:w="541" w:type="pct"/>
                <w:vAlign w:val="center"/>
                <w:hideMark/>
              </w:tcPr>
              <w:p w14:paraId="3869814D" w14:textId="77777777" w:rsidR="0075061B" w:rsidRPr="0075061B" w:rsidRDefault="0075061B" w:rsidP="0075061B">
                <w:pPr>
                  <w:spacing w:after="0" w:line="240" w:lineRule="auto"/>
                  <w:jc w:val="center"/>
                  <w:rPr>
                    <w:rFonts w:ascii="Times New Roman" w:eastAsia="Times New Roman" w:hAnsi="Times New Roman"/>
                    <w:b/>
                    <w:bCs/>
                    <w:sz w:val="18"/>
                    <w:szCs w:val="18"/>
                    <w:lang w:eastAsia="es-CO"/>
                  </w:rPr>
                </w:pPr>
                <w:r w:rsidRPr="0075061B">
                  <w:rPr>
                    <w:rFonts w:ascii="Times New Roman" w:eastAsia="Times New Roman" w:hAnsi="Times New Roman"/>
                    <w:b/>
                    <w:bCs/>
                    <w:sz w:val="18"/>
                    <w:szCs w:val="18"/>
                    <w:lang w:eastAsia="es-CO"/>
                  </w:rPr>
                  <w:t>CÓD</w:t>
                </w:r>
              </w:p>
            </w:tc>
            <w:tc>
              <w:tcPr>
                <w:tcW w:w="218" w:type="pct"/>
                <w:vAlign w:val="center"/>
                <w:hideMark/>
              </w:tcPr>
              <w:p w14:paraId="42923BCB" w14:textId="77777777" w:rsidR="0075061B" w:rsidRPr="0075061B" w:rsidRDefault="0075061B" w:rsidP="0075061B">
                <w:pPr>
                  <w:spacing w:after="0" w:line="240" w:lineRule="auto"/>
                  <w:jc w:val="center"/>
                  <w:rPr>
                    <w:rFonts w:ascii="Times New Roman" w:eastAsia="Times New Roman" w:hAnsi="Times New Roman"/>
                    <w:b/>
                    <w:bCs/>
                    <w:sz w:val="18"/>
                    <w:szCs w:val="18"/>
                    <w:lang w:eastAsia="es-CO"/>
                  </w:rPr>
                </w:pPr>
                <w:r w:rsidRPr="0075061B">
                  <w:rPr>
                    <w:rFonts w:ascii="Times New Roman" w:eastAsia="Times New Roman" w:hAnsi="Times New Roman"/>
                    <w:b/>
                    <w:bCs/>
                    <w:sz w:val="18"/>
                    <w:szCs w:val="18"/>
                    <w:lang w:eastAsia="es-CO"/>
                  </w:rPr>
                  <w:t>NAT</w:t>
                </w:r>
              </w:p>
            </w:tc>
            <w:tc>
              <w:tcPr>
                <w:tcW w:w="1803" w:type="pct"/>
                <w:vAlign w:val="center"/>
                <w:hideMark/>
              </w:tcPr>
              <w:p w14:paraId="7F0CA5E5" w14:textId="77777777" w:rsidR="0075061B" w:rsidRPr="0075061B" w:rsidRDefault="0075061B" w:rsidP="0075061B">
                <w:pPr>
                  <w:spacing w:after="0" w:line="240" w:lineRule="auto"/>
                  <w:jc w:val="center"/>
                  <w:rPr>
                    <w:rFonts w:ascii="Times New Roman" w:eastAsia="Times New Roman" w:hAnsi="Times New Roman"/>
                    <w:b/>
                    <w:bCs/>
                    <w:sz w:val="18"/>
                    <w:szCs w:val="18"/>
                    <w:lang w:eastAsia="es-CO"/>
                  </w:rPr>
                </w:pPr>
                <w:r w:rsidRPr="0075061B">
                  <w:rPr>
                    <w:rFonts w:ascii="Times New Roman" w:eastAsia="Times New Roman" w:hAnsi="Times New Roman"/>
                    <w:b/>
                    <w:bCs/>
                    <w:sz w:val="18"/>
                    <w:szCs w:val="18"/>
                    <w:lang w:eastAsia="es-CO"/>
                  </w:rPr>
                  <w:t>CONCEPTO</w:t>
                </w:r>
              </w:p>
            </w:tc>
            <w:tc>
              <w:tcPr>
                <w:tcW w:w="828" w:type="pct"/>
                <w:vAlign w:val="center"/>
                <w:hideMark/>
              </w:tcPr>
              <w:p w14:paraId="23454984" w14:textId="7FE657C6" w:rsidR="0075061B" w:rsidRPr="0075061B" w:rsidRDefault="0075061B" w:rsidP="0075061B">
                <w:pPr>
                  <w:spacing w:after="0" w:line="240" w:lineRule="auto"/>
                  <w:jc w:val="center"/>
                  <w:rPr>
                    <w:rFonts w:ascii="Times New Roman" w:eastAsia="Times New Roman" w:hAnsi="Times New Roman"/>
                    <w:b/>
                    <w:bCs/>
                    <w:sz w:val="18"/>
                    <w:szCs w:val="18"/>
                    <w:lang w:eastAsia="es-CO"/>
                  </w:rPr>
                </w:pPr>
                <w:r w:rsidRPr="0075061B">
                  <w:rPr>
                    <w:rFonts w:ascii="Times New Roman" w:eastAsia="Times New Roman" w:hAnsi="Times New Roman"/>
                    <w:b/>
                    <w:bCs/>
                    <w:sz w:val="18"/>
                    <w:szCs w:val="18"/>
                    <w:lang w:eastAsia="es-CO"/>
                  </w:rPr>
                  <w:t xml:space="preserve">2023 </w:t>
                </w:r>
              </w:p>
            </w:tc>
            <w:tc>
              <w:tcPr>
                <w:tcW w:w="828" w:type="pct"/>
                <w:vAlign w:val="center"/>
                <w:hideMark/>
              </w:tcPr>
              <w:p w14:paraId="3422023A" w14:textId="1E203FB3" w:rsidR="0075061B" w:rsidRPr="0075061B" w:rsidRDefault="0075061B" w:rsidP="0075061B">
                <w:pPr>
                  <w:spacing w:after="0" w:line="240" w:lineRule="auto"/>
                  <w:jc w:val="center"/>
                  <w:rPr>
                    <w:rFonts w:ascii="Times New Roman" w:eastAsia="Times New Roman" w:hAnsi="Times New Roman"/>
                    <w:b/>
                    <w:bCs/>
                    <w:sz w:val="18"/>
                    <w:szCs w:val="18"/>
                    <w:lang w:eastAsia="es-CO"/>
                  </w:rPr>
                </w:pPr>
                <w:r w:rsidRPr="0075061B">
                  <w:rPr>
                    <w:rFonts w:ascii="Times New Roman" w:eastAsia="Times New Roman" w:hAnsi="Times New Roman"/>
                    <w:b/>
                    <w:bCs/>
                    <w:sz w:val="18"/>
                    <w:szCs w:val="18"/>
                    <w:lang w:eastAsia="es-CO"/>
                  </w:rPr>
                  <w:t xml:space="preserve"> 2022 </w:t>
                </w:r>
              </w:p>
            </w:tc>
            <w:tc>
              <w:tcPr>
                <w:tcW w:w="782" w:type="pct"/>
                <w:vAlign w:val="center"/>
                <w:hideMark/>
              </w:tcPr>
              <w:p w14:paraId="17BC4A88" w14:textId="77777777" w:rsidR="0075061B" w:rsidRPr="0075061B" w:rsidRDefault="0075061B" w:rsidP="0075061B">
                <w:pPr>
                  <w:spacing w:after="0" w:line="240" w:lineRule="auto"/>
                  <w:jc w:val="center"/>
                  <w:rPr>
                    <w:rFonts w:ascii="Times New Roman" w:eastAsia="Times New Roman" w:hAnsi="Times New Roman"/>
                    <w:b/>
                    <w:bCs/>
                    <w:sz w:val="18"/>
                    <w:szCs w:val="18"/>
                    <w:lang w:eastAsia="es-CO"/>
                  </w:rPr>
                </w:pPr>
                <w:r w:rsidRPr="0075061B">
                  <w:rPr>
                    <w:rFonts w:ascii="Times New Roman" w:eastAsia="Times New Roman" w:hAnsi="Times New Roman"/>
                    <w:b/>
                    <w:bCs/>
                    <w:sz w:val="18"/>
                    <w:szCs w:val="18"/>
                    <w:lang w:eastAsia="es-CO"/>
                  </w:rPr>
                  <w:t>VARIACIÓN</w:t>
                </w:r>
              </w:p>
            </w:tc>
          </w:tr>
          <w:tr w:rsidR="0075061B" w:rsidRPr="0075061B" w14:paraId="04CF05E0" w14:textId="77777777" w:rsidTr="0075061B">
            <w:trPr>
              <w:trHeight w:val="285"/>
            </w:trPr>
            <w:tc>
              <w:tcPr>
                <w:tcW w:w="541" w:type="pct"/>
                <w:noWrap/>
                <w:vAlign w:val="center"/>
                <w:hideMark/>
              </w:tcPr>
              <w:p w14:paraId="3CFEB29E" w14:textId="77777777" w:rsidR="0075061B" w:rsidRPr="0075061B" w:rsidRDefault="0075061B" w:rsidP="0075061B">
                <w:pPr>
                  <w:spacing w:after="0" w:line="240" w:lineRule="auto"/>
                  <w:jc w:val="center"/>
                  <w:rPr>
                    <w:rFonts w:ascii="Times New Roman" w:eastAsia="Times New Roman" w:hAnsi="Times New Roman"/>
                    <w:b/>
                    <w:bCs/>
                    <w:sz w:val="18"/>
                    <w:szCs w:val="18"/>
                    <w:lang w:eastAsia="es-CO"/>
                  </w:rPr>
                </w:pPr>
              </w:p>
            </w:tc>
            <w:tc>
              <w:tcPr>
                <w:tcW w:w="218" w:type="pct"/>
                <w:noWrap/>
                <w:vAlign w:val="center"/>
                <w:hideMark/>
              </w:tcPr>
              <w:p w14:paraId="12171B5D" w14:textId="77777777" w:rsidR="0075061B" w:rsidRPr="0075061B" w:rsidRDefault="0075061B" w:rsidP="0075061B">
                <w:pPr>
                  <w:spacing w:after="0" w:line="240" w:lineRule="auto"/>
                  <w:jc w:val="center"/>
                  <w:rPr>
                    <w:rFonts w:ascii="Times New Roman" w:eastAsia="Times New Roman" w:hAnsi="Times New Roman"/>
                    <w:b/>
                    <w:bCs/>
                    <w:sz w:val="18"/>
                    <w:szCs w:val="18"/>
                    <w:lang w:eastAsia="es-CO"/>
                  </w:rPr>
                </w:pPr>
                <w:r w:rsidRPr="0075061B">
                  <w:rPr>
                    <w:rFonts w:ascii="Times New Roman" w:eastAsia="Times New Roman" w:hAnsi="Times New Roman"/>
                    <w:b/>
                    <w:bCs/>
                    <w:sz w:val="18"/>
                    <w:szCs w:val="18"/>
                    <w:lang w:eastAsia="es-CO"/>
                  </w:rPr>
                  <w:t>Db</w:t>
                </w:r>
              </w:p>
            </w:tc>
            <w:tc>
              <w:tcPr>
                <w:tcW w:w="1803" w:type="pct"/>
                <w:vAlign w:val="center"/>
                <w:hideMark/>
              </w:tcPr>
              <w:p w14:paraId="1B816899" w14:textId="77777777" w:rsidR="0075061B" w:rsidRPr="0075061B" w:rsidRDefault="0075061B" w:rsidP="0075061B">
                <w:pPr>
                  <w:spacing w:after="0" w:line="240" w:lineRule="auto"/>
                  <w:jc w:val="center"/>
                  <w:rPr>
                    <w:rFonts w:ascii="Times New Roman" w:eastAsia="Times New Roman" w:hAnsi="Times New Roman"/>
                    <w:b/>
                    <w:bCs/>
                    <w:sz w:val="18"/>
                    <w:szCs w:val="18"/>
                    <w:lang w:eastAsia="es-CO"/>
                  </w:rPr>
                </w:pPr>
                <w:r w:rsidRPr="0075061B">
                  <w:rPr>
                    <w:rFonts w:ascii="Times New Roman" w:eastAsia="Times New Roman" w:hAnsi="Times New Roman"/>
                    <w:b/>
                    <w:bCs/>
                    <w:sz w:val="18"/>
                    <w:szCs w:val="18"/>
                    <w:lang w:eastAsia="es-CO"/>
                  </w:rPr>
                  <w:t>ACTIVOS INTANGIBLES</w:t>
                </w:r>
              </w:p>
            </w:tc>
            <w:tc>
              <w:tcPr>
                <w:tcW w:w="828" w:type="pct"/>
                <w:noWrap/>
                <w:vAlign w:val="center"/>
                <w:hideMark/>
              </w:tcPr>
              <w:p w14:paraId="4E9676B2" w14:textId="77777777" w:rsidR="0075061B" w:rsidRPr="0075061B" w:rsidRDefault="0075061B" w:rsidP="0075061B">
                <w:pPr>
                  <w:spacing w:after="0" w:line="240" w:lineRule="auto"/>
                  <w:jc w:val="right"/>
                  <w:rPr>
                    <w:rFonts w:ascii="Times New Roman" w:eastAsia="Times New Roman" w:hAnsi="Times New Roman"/>
                    <w:b/>
                    <w:bCs/>
                    <w:sz w:val="18"/>
                    <w:szCs w:val="18"/>
                    <w:lang w:eastAsia="es-CO"/>
                  </w:rPr>
                </w:pPr>
                <w:r w:rsidRPr="0075061B">
                  <w:rPr>
                    <w:rFonts w:ascii="Times New Roman" w:eastAsia="Times New Roman" w:hAnsi="Times New Roman"/>
                    <w:b/>
                    <w:bCs/>
                    <w:sz w:val="18"/>
                    <w:szCs w:val="18"/>
                    <w:lang w:eastAsia="es-CO"/>
                  </w:rPr>
                  <w:t xml:space="preserve">177.118.974.264 </w:t>
                </w:r>
              </w:p>
            </w:tc>
            <w:tc>
              <w:tcPr>
                <w:tcW w:w="828" w:type="pct"/>
                <w:noWrap/>
                <w:vAlign w:val="center"/>
                <w:hideMark/>
              </w:tcPr>
              <w:p w14:paraId="7D545E95" w14:textId="77777777" w:rsidR="0075061B" w:rsidRPr="0075061B" w:rsidRDefault="0075061B" w:rsidP="0075061B">
                <w:pPr>
                  <w:spacing w:after="0" w:line="240" w:lineRule="auto"/>
                  <w:jc w:val="right"/>
                  <w:rPr>
                    <w:rFonts w:ascii="Times New Roman" w:eastAsia="Times New Roman" w:hAnsi="Times New Roman"/>
                    <w:b/>
                    <w:bCs/>
                    <w:sz w:val="18"/>
                    <w:szCs w:val="18"/>
                    <w:lang w:eastAsia="es-CO"/>
                  </w:rPr>
                </w:pPr>
                <w:r w:rsidRPr="0075061B">
                  <w:rPr>
                    <w:rFonts w:ascii="Times New Roman" w:eastAsia="Times New Roman" w:hAnsi="Times New Roman"/>
                    <w:b/>
                    <w:bCs/>
                    <w:sz w:val="18"/>
                    <w:szCs w:val="18"/>
                    <w:lang w:eastAsia="es-CO"/>
                  </w:rPr>
                  <w:t xml:space="preserve"> 210.240.689.806 </w:t>
                </w:r>
              </w:p>
            </w:tc>
            <w:tc>
              <w:tcPr>
                <w:tcW w:w="782" w:type="pct"/>
                <w:noWrap/>
                <w:vAlign w:val="center"/>
                <w:hideMark/>
              </w:tcPr>
              <w:p w14:paraId="28BD64C1" w14:textId="77777777" w:rsidR="0075061B" w:rsidRPr="0075061B" w:rsidRDefault="0075061B" w:rsidP="0075061B">
                <w:pPr>
                  <w:spacing w:after="0" w:line="240" w:lineRule="auto"/>
                  <w:jc w:val="right"/>
                  <w:rPr>
                    <w:rFonts w:ascii="Times New Roman" w:eastAsia="Times New Roman" w:hAnsi="Times New Roman"/>
                    <w:b/>
                    <w:bCs/>
                    <w:sz w:val="18"/>
                    <w:szCs w:val="18"/>
                    <w:lang w:eastAsia="es-CO"/>
                  </w:rPr>
                </w:pPr>
                <w:r w:rsidRPr="0075061B">
                  <w:rPr>
                    <w:rFonts w:ascii="Times New Roman" w:eastAsia="Times New Roman" w:hAnsi="Times New Roman"/>
                    <w:b/>
                    <w:bCs/>
                    <w:sz w:val="18"/>
                    <w:szCs w:val="18"/>
                    <w:lang w:eastAsia="es-CO"/>
                  </w:rPr>
                  <w:t xml:space="preserve">-33.121.715.542 </w:t>
                </w:r>
              </w:p>
            </w:tc>
          </w:tr>
          <w:tr w:rsidR="0075061B" w:rsidRPr="0075061B" w14:paraId="21869308" w14:textId="77777777" w:rsidTr="0075061B">
            <w:trPr>
              <w:trHeight w:val="300"/>
            </w:trPr>
            <w:tc>
              <w:tcPr>
                <w:tcW w:w="541" w:type="pct"/>
                <w:noWrap/>
                <w:vAlign w:val="center"/>
                <w:hideMark/>
              </w:tcPr>
              <w:p w14:paraId="152119FA" w14:textId="77777777" w:rsidR="0075061B" w:rsidRPr="0075061B" w:rsidRDefault="0075061B" w:rsidP="0075061B">
                <w:pPr>
                  <w:spacing w:after="0" w:line="240" w:lineRule="auto"/>
                  <w:rPr>
                    <w:rFonts w:ascii="Times New Roman" w:eastAsia="Times New Roman" w:hAnsi="Times New Roman"/>
                    <w:sz w:val="18"/>
                    <w:szCs w:val="18"/>
                    <w:lang w:eastAsia="es-CO"/>
                  </w:rPr>
                </w:pPr>
                <w:r w:rsidRPr="0075061B">
                  <w:rPr>
                    <w:rFonts w:ascii="Times New Roman" w:eastAsia="Times New Roman" w:hAnsi="Times New Roman"/>
                    <w:sz w:val="18"/>
                    <w:szCs w:val="18"/>
                    <w:lang w:eastAsia="es-CO"/>
                  </w:rPr>
                  <w:t>1.9.70</w:t>
                </w:r>
              </w:p>
            </w:tc>
            <w:tc>
              <w:tcPr>
                <w:tcW w:w="218" w:type="pct"/>
                <w:noWrap/>
                <w:vAlign w:val="center"/>
                <w:hideMark/>
              </w:tcPr>
              <w:p w14:paraId="31EE36C1" w14:textId="77777777" w:rsidR="0075061B" w:rsidRPr="0075061B" w:rsidRDefault="0075061B" w:rsidP="0075061B">
                <w:pPr>
                  <w:spacing w:after="0" w:line="240" w:lineRule="auto"/>
                  <w:jc w:val="center"/>
                  <w:rPr>
                    <w:rFonts w:ascii="Times New Roman" w:eastAsia="Times New Roman" w:hAnsi="Times New Roman"/>
                    <w:sz w:val="18"/>
                    <w:szCs w:val="18"/>
                    <w:lang w:eastAsia="es-CO"/>
                  </w:rPr>
                </w:pPr>
                <w:r w:rsidRPr="0075061B">
                  <w:rPr>
                    <w:rFonts w:ascii="Times New Roman" w:eastAsia="Times New Roman" w:hAnsi="Times New Roman"/>
                    <w:sz w:val="18"/>
                    <w:szCs w:val="18"/>
                    <w:lang w:eastAsia="es-CO"/>
                  </w:rPr>
                  <w:t>Db</w:t>
                </w:r>
              </w:p>
            </w:tc>
            <w:tc>
              <w:tcPr>
                <w:tcW w:w="1803" w:type="pct"/>
                <w:vAlign w:val="center"/>
                <w:hideMark/>
              </w:tcPr>
              <w:p w14:paraId="1AB76707" w14:textId="77777777" w:rsidR="0075061B" w:rsidRPr="0075061B" w:rsidRDefault="0075061B" w:rsidP="0075061B">
                <w:pPr>
                  <w:spacing w:after="0" w:line="240" w:lineRule="auto"/>
                  <w:rPr>
                    <w:rFonts w:ascii="Times New Roman" w:eastAsia="Times New Roman" w:hAnsi="Times New Roman"/>
                    <w:sz w:val="18"/>
                    <w:szCs w:val="18"/>
                    <w:lang w:eastAsia="es-CO"/>
                  </w:rPr>
                </w:pPr>
                <w:r w:rsidRPr="0075061B">
                  <w:rPr>
                    <w:rFonts w:ascii="Times New Roman" w:eastAsia="Times New Roman" w:hAnsi="Times New Roman"/>
                    <w:sz w:val="18"/>
                    <w:szCs w:val="18"/>
                    <w:lang w:eastAsia="es-CO"/>
                  </w:rPr>
                  <w:t>Activos intangibles</w:t>
                </w:r>
              </w:p>
            </w:tc>
            <w:tc>
              <w:tcPr>
                <w:tcW w:w="828" w:type="pct"/>
                <w:noWrap/>
                <w:vAlign w:val="center"/>
                <w:hideMark/>
              </w:tcPr>
              <w:p w14:paraId="08F83404" w14:textId="77777777" w:rsidR="0075061B" w:rsidRPr="0075061B" w:rsidRDefault="0075061B" w:rsidP="0075061B">
                <w:pPr>
                  <w:spacing w:after="0" w:line="240" w:lineRule="auto"/>
                  <w:jc w:val="right"/>
                  <w:rPr>
                    <w:rFonts w:ascii="Times New Roman" w:eastAsia="Times New Roman" w:hAnsi="Times New Roman"/>
                    <w:sz w:val="18"/>
                    <w:szCs w:val="18"/>
                    <w:lang w:eastAsia="es-CO"/>
                  </w:rPr>
                </w:pPr>
                <w:r w:rsidRPr="0075061B">
                  <w:rPr>
                    <w:rFonts w:ascii="Times New Roman" w:eastAsia="Times New Roman" w:hAnsi="Times New Roman"/>
                    <w:sz w:val="18"/>
                    <w:szCs w:val="18"/>
                    <w:lang w:eastAsia="es-CO"/>
                  </w:rPr>
                  <w:t xml:space="preserve">244.800.911.526 </w:t>
                </w:r>
              </w:p>
            </w:tc>
            <w:tc>
              <w:tcPr>
                <w:tcW w:w="828" w:type="pct"/>
                <w:noWrap/>
                <w:vAlign w:val="center"/>
                <w:hideMark/>
              </w:tcPr>
              <w:p w14:paraId="34F020F8" w14:textId="77777777" w:rsidR="0075061B" w:rsidRPr="0075061B" w:rsidRDefault="0075061B" w:rsidP="0075061B">
                <w:pPr>
                  <w:spacing w:after="0" w:line="240" w:lineRule="auto"/>
                  <w:jc w:val="right"/>
                  <w:rPr>
                    <w:rFonts w:ascii="Times New Roman" w:eastAsia="Times New Roman" w:hAnsi="Times New Roman"/>
                    <w:sz w:val="18"/>
                    <w:szCs w:val="18"/>
                    <w:lang w:eastAsia="es-CO"/>
                  </w:rPr>
                </w:pPr>
                <w:r w:rsidRPr="0075061B">
                  <w:rPr>
                    <w:rFonts w:ascii="Times New Roman" w:eastAsia="Times New Roman" w:hAnsi="Times New Roman"/>
                    <w:sz w:val="18"/>
                    <w:szCs w:val="18"/>
                    <w:lang w:eastAsia="es-CO"/>
                  </w:rPr>
                  <w:t xml:space="preserve"> 229.345.433.417 </w:t>
                </w:r>
              </w:p>
            </w:tc>
            <w:tc>
              <w:tcPr>
                <w:tcW w:w="782" w:type="pct"/>
                <w:noWrap/>
                <w:vAlign w:val="center"/>
                <w:hideMark/>
              </w:tcPr>
              <w:p w14:paraId="7B2DA7AD" w14:textId="77777777" w:rsidR="0075061B" w:rsidRPr="0075061B" w:rsidRDefault="0075061B" w:rsidP="0075061B">
                <w:pPr>
                  <w:spacing w:after="0" w:line="240" w:lineRule="auto"/>
                  <w:jc w:val="right"/>
                  <w:rPr>
                    <w:rFonts w:ascii="Times New Roman" w:eastAsia="Times New Roman" w:hAnsi="Times New Roman"/>
                    <w:sz w:val="18"/>
                    <w:szCs w:val="18"/>
                    <w:lang w:eastAsia="es-CO"/>
                  </w:rPr>
                </w:pPr>
                <w:r w:rsidRPr="0075061B">
                  <w:rPr>
                    <w:rFonts w:ascii="Times New Roman" w:eastAsia="Times New Roman" w:hAnsi="Times New Roman"/>
                    <w:sz w:val="18"/>
                    <w:szCs w:val="18"/>
                    <w:lang w:eastAsia="es-CO"/>
                  </w:rPr>
                  <w:t xml:space="preserve"> 15.455.478.109 </w:t>
                </w:r>
              </w:p>
            </w:tc>
          </w:tr>
          <w:tr w:rsidR="0075061B" w:rsidRPr="0075061B" w14:paraId="194C67C7" w14:textId="77777777" w:rsidTr="0075061B">
            <w:trPr>
              <w:trHeight w:val="300"/>
            </w:trPr>
            <w:tc>
              <w:tcPr>
                <w:tcW w:w="541" w:type="pct"/>
                <w:noWrap/>
                <w:vAlign w:val="center"/>
                <w:hideMark/>
              </w:tcPr>
              <w:p w14:paraId="42C3650F" w14:textId="77777777" w:rsidR="0075061B" w:rsidRPr="0075061B" w:rsidRDefault="0075061B" w:rsidP="0075061B">
                <w:pPr>
                  <w:spacing w:after="0" w:line="240" w:lineRule="auto"/>
                  <w:rPr>
                    <w:rFonts w:ascii="Times New Roman" w:eastAsia="Times New Roman" w:hAnsi="Times New Roman"/>
                    <w:sz w:val="18"/>
                    <w:szCs w:val="18"/>
                    <w:lang w:eastAsia="es-CO"/>
                  </w:rPr>
                </w:pPr>
                <w:r w:rsidRPr="0075061B">
                  <w:rPr>
                    <w:rFonts w:ascii="Times New Roman" w:eastAsia="Times New Roman" w:hAnsi="Times New Roman"/>
                    <w:sz w:val="18"/>
                    <w:szCs w:val="18"/>
                    <w:lang w:eastAsia="es-CO"/>
                  </w:rPr>
                  <w:t>1.9.75</w:t>
                </w:r>
              </w:p>
            </w:tc>
            <w:tc>
              <w:tcPr>
                <w:tcW w:w="218" w:type="pct"/>
                <w:noWrap/>
                <w:vAlign w:val="center"/>
                <w:hideMark/>
              </w:tcPr>
              <w:p w14:paraId="5D08D168" w14:textId="77777777" w:rsidR="0075061B" w:rsidRPr="0075061B" w:rsidRDefault="0075061B" w:rsidP="0075061B">
                <w:pPr>
                  <w:spacing w:after="0" w:line="240" w:lineRule="auto"/>
                  <w:jc w:val="center"/>
                  <w:rPr>
                    <w:rFonts w:ascii="Times New Roman" w:eastAsia="Times New Roman" w:hAnsi="Times New Roman"/>
                    <w:sz w:val="18"/>
                    <w:szCs w:val="18"/>
                    <w:lang w:eastAsia="es-CO"/>
                  </w:rPr>
                </w:pPr>
                <w:r w:rsidRPr="0075061B">
                  <w:rPr>
                    <w:rFonts w:ascii="Times New Roman" w:eastAsia="Times New Roman" w:hAnsi="Times New Roman"/>
                    <w:sz w:val="18"/>
                    <w:szCs w:val="18"/>
                    <w:lang w:eastAsia="es-CO"/>
                  </w:rPr>
                  <w:t>Cr</w:t>
                </w:r>
              </w:p>
            </w:tc>
            <w:tc>
              <w:tcPr>
                <w:tcW w:w="1803" w:type="pct"/>
                <w:vAlign w:val="center"/>
                <w:hideMark/>
              </w:tcPr>
              <w:p w14:paraId="36565E45" w14:textId="77777777" w:rsidR="0075061B" w:rsidRPr="0075061B" w:rsidRDefault="0075061B" w:rsidP="0075061B">
                <w:pPr>
                  <w:spacing w:after="0" w:line="240" w:lineRule="auto"/>
                  <w:rPr>
                    <w:rFonts w:ascii="Times New Roman" w:eastAsia="Times New Roman" w:hAnsi="Times New Roman"/>
                    <w:sz w:val="18"/>
                    <w:szCs w:val="18"/>
                    <w:lang w:eastAsia="es-CO"/>
                  </w:rPr>
                </w:pPr>
                <w:r w:rsidRPr="0075061B">
                  <w:rPr>
                    <w:rFonts w:ascii="Times New Roman" w:eastAsia="Times New Roman" w:hAnsi="Times New Roman"/>
                    <w:sz w:val="18"/>
                    <w:szCs w:val="18"/>
                    <w:lang w:eastAsia="es-CO"/>
                  </w:rPr>
                  <w:t>Amortización acumulada de activos intangibles (cr)</w:t>
                </w:r>
              </w:p>
            </w:tc>
            <w:tc>
              <w:tcPr>
                <w:tcW w:w="828" w:type="pct"/>
                <w:noWrap/>
                <w:vAlign w:val="center"/>
                <w:hideMark/>
              </w:tcPr>
              <w:p w14:paraId="2A6B4E97" w14:textId="77777777" w:rsidR="0075061B" w:rsidRPr="0075061B" w:rsidRDefault="0075061B" w:rsidP="0075061B">
                <w:pPr>
                  <w:spacing w:after="0" w:line="240" w:lineRule="auto"/>
                  <w:jc w:val="right"/>
                  <w:rPr>
                    <w:rFonts w:ascii="Times New Roman" w:eastAsia="Times New Roman" w:hAnsi="Times New Roman"/>
                    <w:sz w:val="18"/>
                    <w:szCs w:val="18"/>
                    <w:lang w:eastAsia="es-CO"/>
                  </w:rPr>
                </w:pPr>
                <w:r w:rsidRPr="0075061B">
                  <w:rPr>
                    <w:rFonts w:ascii="Times New Roman" w:eastAsia="Times New Roman" w:hAnsi="Times New Roman"/>
                    <w:sz w:val="18"/>
                    <w:szCs w:val="18"/>
                    <w:lang w:eastAsia="es-CO"/>
                  </w:rPr>
                  <w:t xml:space="preserve">-67.681.937.262 </w:t>
                </w:r>
              </w:p>
            </w:tc>
            <w:tc>
              <w:tcPr>
                <w:tcW w:w="828" w:type="pct"/>
                <w:noWrap/>
                <w:vAlign w:val="center"/>
                <w:hideMark/>
              </w:tcPr>
              <w:p w14:paraId="71B2C24E" w14:textId="77777777" w:rsidR="0075061B" w:rsidRPr="0075061B" w:rsidRDefault="0075061B" w:rsidP="0075061B">
                <w:pPr>
                  <w:spacing w:after="0" w:line="240" w:lineRule="auto"/>
                  <w:jc w:val="right"/>
                  <w:rPr>
                    <w:rFonts w:ascii="Times New Roman" w:eastAsia="Times New Roman" w:hAnsi="Times New Roman"/>
                    <w:sz w:val="18"/>
                    <w:szCs w:val="18"/>
                    <w:lang w:eastAsia="es-CO"/>
                  </w:rPr>
                </w:pPr>
                <w:r w:rsidRPr="0075061B">
                  <w:rPr>
                    <w:rFonts w:ascii="Times New Roman" w:eastAsia="Times New Roman" w:hAnsi="Times New Roman"/>
                    <w:sz w:val="18"/>
                    <w:szCs w:val="18"/>
                    <w:lang w:eastAsia="es-CO"/>
                  </w:rPr>
                  <w:t xml:space="preserve">-19.104.743.611 </w:t>
                </w:r>
              </w:p>
            </w:tc>
            <w:tc>
              <w:tcPr>
                <w:tcW w:w="782" w:type="pct"/>
                <w:noWrap/>
                <w:vAlign w:val="center"/>
                <w:hideMark/>
              </w:tcPr>
              <w:p w14:paraId="71D5272A" w14:textId="77777777" w:rsidR="0075061B" w:rsidRPr="0075061B" w:rsidRDefault="0075061B" w:rsidP="0075061B">
                <w:pPr>
                  <w:spacing w:after="0" w:line="240" w:lineRule="auto"/>
                  <w:jc w:val="right"/>
                  <w:rPr>
                    <w:rFonts w:ascii="Times New Roman" w:eastAsia="Times New Roman" w:hAnsi="Times New Roman"/>
                    <w:sz w:val="18"/>
                    <w:szCs w:val="18"/>
                    <w:lang w:eastAsia="es-CO"/>
                  </w:rPr>
                </w:pPr>
                <w:r w:rsidRPr="0075061B">
                  <w:rPr>
                    <w:rFonts w:ascii="Times New Roman" w:eastAsia="Times New Roman" w:hAnsi="Times New Roman"/>
                    <w:sz w:val="18"/>
                    <w:szCs w:val="18"/>
                    <w:lang w:eastAsia="es-CO"/>
                  </w:rPr>
                  <w:t xml:space="preserve">-48.577.193.651 </w:t>
                </w:r>
              </w:p>
            </w:tc>
          </w:tr>
        </w:tbl>
        <w:p w14:paraId="4C8FFCDD" w14:textId="351A9160" w:rsidR="00BB6B6E" w:rsidRPr="00931DCE" w:rsidRDefault="00AD2026" w:rsidP="0047342E">
          <w:pPr>
            <w:spacing w:after="0" w:line="240" w:lineRule="auto"/>
            <w:jc w:val="both"/>
            <w:rPr>
              <w:rFonts w:ascii="Times New Roman" w:hAnsi="Times New Roman"/>
              <w:color w:val="000000"/>
              <w:sz w:val="14"/>
              <w:szCs w:val="14"/>
            </w:rPr>
          </w:pPr>
          <w:r w:rsidRPr="00931DCE">
            <w:rPr>
              <w:rFonts w:ascii="Times New Roman" w:hAnsi="Times New Roman"/>
              <w:color w:val="000000"/>
              <w:sz w:val="14"/>
              <w:szCs w:val="14"/>
            </w:rPr>
            <w:t>Cifras expresadas en pesos</w:t>
          </w:r>
        </w:p>
        <w:p w14:paraId="7E58A791" w14:textId="342EF729" w:rsidR="006B3F3F" w:rsidRPr="00931DCE" w:rsidRDefault="006B3F3F" w:rsidP="0047342E">
          <w:pPr>
            <w:spacing w:after="0" w:line="240" w:lineRule="auto"/>
            <w:jc w:val="both"/>
            <w:rPr>
              <w:rFonts w:ascii="Times New Roman" w:hAnsi="Times New Roman"/>
              <w:sz w:val="24"/>
              <w:szCs w:val="24"/>
            </w:rPr>
          </w:pPr>
        </w:p>
        <w:p w14:paraId="08505754" w14:textId="77777777" w:rsidR="003536B9" w:rsidRPr="00931DCE" w:rsidRDefault="003536B9" w:rsidP="0047342E">
          <w:pPr>
            <w:spacing w:after="0" w:line="240" w:lineRule="auto"/>
            <w:jc w:val="both"/>
            <w:rPr>
              <w:rFonts w:ascii="Times New Roman" w:hAnsi="Times New Roman"/>
              <w:sz w:val="24"/>
              <w:szCs w:val="24"/>
            </w:rPr>
          </w:pPr>
        </w:p>
        <w:p w14:paraId="35B08390" w14:textId="14002E19" w:rsidR="00206B30" w:rsidRPr="00931DCE" w:rsidRDefault="00206B30">
          <w:pPr>
            <w:pStyle w:val="Ttulo2"/>
            <w:numPr>
              <w:ilvl w:val="1"/>
              <w:numId w:val="13"/>
            </w:numPr>
            <w:ind w:left="567" w:hanging="567"/>
            <w:rPr>
              <w:rFonts w:cs="Times New Roman"/>
              <w:szCs w:val="22"/>
            </w:rPr>
          </w:pPr>
          <w:bookmarkStart w:id="48" w:name="_Toc159952389"/>
          <w:r w:rsidRPr="00931DCE">
            <w:rPr>
              <w:rFonts w:cs="Times New Roman"/>
              <w:szCs w:val="22"/>
            </w:rPr>
            <w:t>Detalle saldos y movimientos</w:t>
          </w:r>
          <w:bookmarkEnd w:id="48"/>
        </w:p>
        <w:p w14:paraId="4FB40381" w14:textId="5CE12B48" w:rsidR="00206B30" w:rsidRPr="00931DCE" w:rsidRDefault="00206B30" w:rsidP="00CE2CEF">
          <w:pPr>
            <w:spacing w:after="0" w:line="240" w:lineRule="auto"/>
            <w:jc w:val="both"/>
            <w:rPr>
              <w:rFonts w:ascii="Times New Roman" w:hAnsi="Times New Roman"/>
              <w:sz w:val="24"/>
              <w:szCs w:val="24"/>
            </w:rPr>
          </w:pPr>
        </w:p>
        <w:p w14:paraId="1054BFC2" w14:textId="26E37AAC" w:rsidR="00CE2CEF" w:rsidRPr="00931DCE" w:rsidRDefault="00CE2CEF" w:rsidP="00CE2CEF">
          <w:pPr>
            <w:spacing w:after="0" w:line="240" w:lineRule="auto"/>
            <w:jc w:val="both"/>
            <w:rPr>
              <w:rFonts w:ascii="Times New Roman" w:hAnsi="Times New Roman"/>
              <w:sz w:val="24"/>
              <w:szCs w:val="24"/>
            </w:rPr>
          </w:pPr>
          <w:r w:rsidRPr="00931DCE">
            <w:rPr>
              <w:rFonts w:ascii="Times New Roman" w:hAnsi="Times New Roman"/>
              <w:sz w:val="24"/>
              <w:szCs w:val="24"/>
            </w:rPr>
            <w:t>A continuación, se muestra la conciliación del valor en libros al principio y al final de la vigencia 202</w:t>
          </w:r>
          <w:r w:rsidR="003D18DB">
            <w:rPr>
              <w:rFonts w:ascii="Times New Roman" w:hAnsi="Times New Roman"/>
              <w:sz w:val="24"/>
              <w:szCs w:val="24"/>
            </w:rPr>
            <w:t>3</w:t>
          </w:r>
          <w:r w:rsidRPr="00931DCE">
            <w:rPr>
              <w:rFonts w:ascii="Times New Roman" w:hAnsi="Times New Roman"/>
              <w:sz w:val="24"/>
              <w:szCs w:val="24"/>
            </w:rPr>
            <w:t xml:space="preserve">, </w:t>
          </w:r>
          <w:r w:rsidR="000425A7" w:rsidRPr="00931DCE">
            <w:rPr>
              <w:rFonts w:ascii="Times New Roman" w:hAnsi="Times New Roman"/>
              <w:sz w:val="24"/>
              <w:szCs w:val="24"/>
            </w:rPr>
            <w:t>revelando</w:t>
          </w:r>
          <w:r w:rsidRPr="00931DCE">
            <w:rPr>
              <w:rFonts w:ascii="Times New Roman" w:hAnsi="Times New Roman"/>
              <w:sz w:val="24"/>
              <w:szCs w:val="24"/>
            </w:rPr>
            <w:t xml:space="preserve"> adquisiciones, inversiones realizadas por los concesionarios</w:t>
          </w:r>
          <w:r w:rsidR="000425A7" w:rsidRPr="00931DCE">
            <w:rPr>
              <w:rFonts w:ascii="Times New Roman" w:hAnsi="Times New Roman"/>
              <w:sz w:val="24"/>
              <w:szCs w:val="24"/>
            </w:rPr>
            <w:t xml:space="preserve">, </w:t>
          </w:r>
          <w:r w:rsidRPr="00931DCE">
            <w:rPr>
              <w:rFonts w:ascii="Times New Roman" w:hAnsi="Times New Roman"/>
              <w:sz w:val="24"/>
              <w:szCs w:val="24"/>
            </w:rPr>
            <w:t>reclasificaciones realizadas entre las cuentas del activo</w:t>
          </w:r>
          <w:r w:rsidR="000425A7" w:rsidRPr="00931DCE">
            <w:rPr>
              <w:rFonts w:ascii="Times New Roman" w:hAnsi="Times New Roman"/>
              <w:sz w:val="24"/>
              <w:szCs w:val="24"/>
            </w:rPr>
            <w:t xml:space="preserve"> de</w:t>
          </w:r>
          <w:r w:rsidRPr="00931DCE">
            <w:rPr>
              <w:rFonts w:ascii="Times New Roman" w:hAnsi="Times New Roman"/>
              <w:sz w:val="24"/>
              <w:szCs w:val="24"/>
            </w:rPr>
            <w:t xml:space="preserve"> conform</w:t>
          </w:r>
          <w:r w:rsidR="000425A7" w:rsidRPr="00931DCE">
            <w:rPr>
              <w:rFonts w:ascii="Times New Roman" w:hAnsi="Times New Roman"/>
              <w:sz w:val="24"/>
              <w:szCs w:val="24"/>
            </w:rPr>
            <w:t>idad con</w:t>
          </w:r>
          <w:r w:rsidRPr="00931DCE">
            <w:rPr>
              <w:rFonts w:ascii="Times New Roman" w:hAnsi="Times New Roman"/>
              <w:sz w:val="24"/>
              <w:szCs w:val="24"/>
            </w:rPr>
            <w:t xml:space="preserve"> las técnicas de medición establecidas</w:t>
          </w:r>
          <w:r w:rsidR="001B7292">
            <w:rPr>
              <w:rFonts w:ascii="Times New Roman" w:hAnsi="Times New Roman"/>
              <w:sz w:val="24"/>
              <w:szCs w:val="24"/>
            </w:rPr>
            <w:t xml:space="preserve"> </w:t>
          </w:r>
          <w:r w:rsidRPr="00931DCE">
            <w:rPr>
              <w:rFonts w:ascii="Times New Roman" w:hAnsi="Times New Roman"/>
              <w:sz w:val="24"/>
              <w:szCs w:val="24"/>
            </w:rPr>
            <w:t>y demás partidas relacionadas con la medición posterior.</w:t>
          </w:r>
        </w:p>
        <w:p w14:paraId="07086D69" w14:textId="77777777" w:rsidR="00CE2CEF" w:rsidRPr="00931DCE" w:rsidRDefault="00CE2CEF" w:rsidP="00CE2CEF">
          <w:pPr>
            <w:spacing w:after="0" w:line="240" w:lineRule="auto"/>
            <w:jc w:val="both"/>
            <w:rPr>
              <w:rFonts w:ascii="Times New Roman" w:hAnsi="Times New Roman"/>
              <w:sz w:val="24"/>
              <w:szCs w:val="24"/>
            </w:rPr>
          </w:pPr>
        </w:p>
        <w:p w14:paraId="7AB14B14" w14:textId="77777777" w:rsidR="003659DC" w:rsidRDefault="003659DC" w:rsidP="00CE2CEF">
          <w:pPr>
            <w:spacing w:after="0" w:line="240" w:lineRule="auto"/>
            <w:jc w:val="both"/>
            <w:rPr>
              <w:rFonts w:ascii="Times New Roman" w:hAnsi="Times New Roman"/>
              <w:sz w:val="24"/>
              <w:szCs w:val="24"/>
            </w:rPr>
          </w:pPr>
        </w:p>
        <w:tbl>
          <w:tblPr>
            <w:tblW w:w="5115" w:type="pct"/>
            <w:tblLayout w:type="fixed"/>
            <w:tblCellMar>
              <w:left w:w="70" w:type="dxa"/>
              <w:right w:w="70" w:type="dxa"/>
            </w:tblCellMar>
            <w:tblLook w:val="04A0" w:firstRow="1" w:lastRow="0" w:firstColumn="1" w:lastColumn="0" w:noHBand="0" w:noVBand="1"/>
          </w:tblPr>
          <w:tblGrid>
            <w:gridCol w:w="3621"/>
            <w:gridCol w:w="1451"/>
            <w:gridCol w:w="1305"/>
            <w:gridCol w:w="1451"/>
            <w:gridCol w:w="1347"/>
          </w:tblGrid>
          <w:tr w:rsidR="00126C87" w:rsidRPr="00126C87" w14:paraId="2E63A51E" w14:textId="77777777" w:rsidTr="00AB0DAE">
            <w:trPr>
              <w:trHeight w:val="235"/>
              <w:tblHeader/>
            </w:trPr>
            <w:tc>
              <w:tcPr>
                <w:tcW w:w="1973" w:type="pct"/>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03FFB685" w14:textId="77777777" w:rsidR="007B3757" w:rsidRPr="007B3757" w:rsidRDefault="007B3757" w:rsidP="007B3757">
                <w:pPr>
                  <w:spacing w:after="0" w:line="240" w:lineRule="auto"/>
                  <w:jc w:val="center"/>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CONCEPTOS Y TRANSACCIONES</w:t>
                </w:r>
              </w:p>
            </w:tc>
            <w:tc>
              <w:tcPr>
                <w:tcW w:w="791" w:type="pct"/>
                <w:tcBorders>
                  <w:top w:val="single" w:sz="4" w:space="0" w:color="A6A6A6"/>
                  <w:left w:val="nil"/>
                  <w:bottom w:val="single" w:sz="4" w:space="0" w:color="A6A6A6"/>
                  <w:right w:val="single" w:sz="4" w:space="0" w:color="A6A6A6"/>
                </w:tcBorders>
                <w:shd w:val="clear" w:color="auto" w:fill="auto"/>
                <w:vAlign w:val="center"/>
                <w:hideMark/>
              </w:tcPr>
              <w:p w14:paraId="0409C6D7" w14:textId="12D4C15A" w:rsidR="007B3757" w:rsidRPr="007B3757" w:rsidRDefault="007B3757" w:rsidP="007B3757">
                <w:pPr>
                  <w:spacing w:after="0" w:line="240" w:lineRule="auto"/>
                  <w:jc w:val="center"/>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LICENCIAS</w:t>
                </w:r>
              </w:p>
            </w:tc>
            <w:tc>
              <w:tcPr>
                <w:tcW w:w="711" w:type="pct"/>
                <w:tcBorders>
                  <w:top w:val="single" w:sz="4" w:space="0" w:color="A6A6A6"/>
                  <w:left w:val="nil"/>
                  <w:bottom w:val="single" w:sz="4" w:space="0" w:color="A6A6A6"/>
                  <w:right w:val="single" w:sz="4" w:space="0" w:color="A6A6A6"/>
                </w:tcBorders>
                <w:shd w:val="clear" w:color="auto" w:fill="auto"/>
                <w:vAlign w:val="center"/>
                <w:hideMark/>
              </w:tcPr>
              <w:p w14:paraId="061DD444" w14:textId="070A4934" w:rsidR="007B3757" w:rsidRPr="007B3757" w:rsidRDefault="007B3757" w:rsidP="007B3757">
                <w:pPr>
                  <w:spacing w:after="0" w:line="240" w:lineRule="auto"/>
                  <w:jc w:val="center"/>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SOFTWARES</w:t>
                </w:r>
              </w:p>
            </w:tc>
            <w:tc>
              <w:tcPr>
                <w:tcW w:w="791" w:type="pct"/>
                <w:tcBorders>
                  <w:top w:val="single" w:sz="4" w:space="0" w:color="A6A6A6"/>
                  <w:left w:val="nil"/>
                  <w:bottom w:val="single" w:sz="4" w:space="0" w:color="A6A6A6"/>
                  <w:right w:val="single" w:sz="4" w:space="0" w:color="A6A6A6"/>
                </w:tcBorders>
                <w:shd w:val="clear" w:color="auto" w:fill="auto"/>
                <w:vAlign w:val="center"/>
                <w:hideMark/>
              </w:tcPr>
              <w:p w14:paraId="4164E3FC" w14:textId="1324B438" w:rsidR="007B3757" w:rsidRPr="007B3757" w:rsidRDefault="007B3757" w:rsidP="007B3757">
                <w:pPr>
                  <w:spacing w:after="0" w:line="240" w:lineRule="auto"/>
                  <w:jc w:val="center"/>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EN CONCESIÓN</w:t>
                </w:r>
              </w:p>
            </w:tc>
            <w:tc>
              <w:tcPr>
                <w:tcW w:w="734" w:type="pct"/>
                <w:tcBorders>
                  <w:top w:val="single" w:sz="4" w:space="0" w:color="A6A6A6"/>
                  <w:left w:val="nil"/>
                  <w:bottom w:val="single" w:sz="4" w:space="0" w:color="A6A6A6"/>
                  <w:right w:val="single" w:sz="4" w:space="0" w:color="A6A6A6"/>
                </w:tcBorders>
                <w:shd w:val="clear" w:color="auto" w:fill="auto"/>
                <w:vAlign w:val="center"/>
                <w:hideMark/>
              </w:tcPr>
              <w:p w14:paraId="568B05A0" w14:textId="00FD6D11" w:rsidR="007B3757" w:rsidRPr="007B3757" w:rsidRDefault="007B3757" w:rsidP="007B3757">
                <w:pPr>
                  <w:spacing w:after="0" w:line="240" w:lineRule="auto"/>
                  <w:jc w:val="center"/>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TOTAL</w:t>
                </w:r>
              </w:p>
            </w:tc>
          </w:tr>
          <w:tr w:rsidR="00126C87" w:rsidRPr="00126C87" w14:paraId="281354AD" w14:textId="77777777" w:rsidTr="00AB0DAE">
            <w:trPr>
              <w:trHeight w:val="293"/>
            </w:trPr>
            <w:tc>
              <w:tcPr>
                <w:tcW w:w="1973" w:type="pct"/>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3FC22925" w14:textId="77777777" w:rsidR="007B3757" w:rsidRPr="007B3757" w:rsidRDefault="007B3757" w:rsidP="007B3757">
                <w:pPr>
                  <w:spacing w:after="0" w:line="240" w:lineRule="auto"/>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SALDO INICIAL</w:t>
                </w:r>
              </w:p>
            </w:tc>
            <w:tc>
              <w:tcPr>
                <w:tcW w:w="791" w:type="pct"/>
                <w:tcBorders>
                  <w:top w:val="nil"/>
                  <w:left w:val="nil"/>
                  <w:bottom w:val="single" w:sz="4" w:space="0" w:color="A6A6A6"/>
                  <w:right w:val="single" w:sz="4" w:space="0" w:color="A6A6A6"/>
                </w:tcBorders>
                <w:shd w:val="clear" w:color="auto" w:fill="auto"/>
                <w:noWrap/>
                <w:vAlign w:val="center"/>
                <w:hideMark/>
              </w:tcPr>
              <w:p w14:paraId="16B14197" w14:textId="663798A2" w:rsidR="007B3757" w:rsidRPr="007B3757" w:rsidRDefault="007B3757" w:rsidP="007B3757">
                <w:pPr>
                  <w:spacing w:after="0" w:line="240" w:lineRule="auto"/>
                  <w:jc w:val="right"/>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 xml:space="preserve">2.459.272.302 </w:t>
                </w:r>
              </w:p>
            </w:tc>
            <w:tc>
              <w:tcPr>
                <w:tcW w:w="711" w:type="pct"/>
                <w:tcBorders>
                  <w:top w:val="nil"/>
                  <w:left w:val="nil"/>
                  <w:bottom w:val="single" w:sz="4" w:space="0" w:color="A6A6A6"/>
                  <w:right w:val="single" w:sz="4" w:space="0" w:color="A6A6A6"/>
                </w:tcBorders>
                <w:shd w:val="clear" w:color="auto" w:fill="auto"/>
                <w:noWrap/>
                <w:vAlign w:val="center"/>
                <w:hideMark/>
              </w:tcPr>
              <w:p w14:paraId="292E0CD5" w14:textId="41C08A02" w:rsidR="007B3757" w:rsidRPr="007B3757" w:rsidRDefault="007B3757" w:rsidP="007B3757">
                <w:pPr>
                  <w:spacing w:after="0" w:line="240" w:lineRule="auto"/>
                  <w:jc w:val="right"/>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 xml:space="preserve">495.477.834 </w:t>
                </w:r>
              </w:p>
            </w:tc>
            <w:tc>
              <w:tcPr>
                <w:tcW w:w="791" w:type="pct"/>
                <w:tcBorders>
                  <w:top w:val="nil"/>
                  <w:left w:val="nil"/>
                  <w:bottom w:val="single" w:sz="4" w:space="0" w:color="A6A6A6"/>
                  <w:right w:val="single" w:sz="4" w:space="0" w:color="A6A6A6"/>
                </w:tcBorders>
                <w:shd w:val="clear" w:color="auto" w:fill="auto"/>
                <w:noWrap/>
                <w:vAlign w:val="center"/>
                <w:hideMark/>
              </w:tcPr>
              <w:p w14:paraId="66AF0C16" w14:textId="64886F4D" w:rsidR="007B3757" w:rsidRPr="007B3757" w:rsidRDefault="007B3757" w:rsidP="007B3757">
                <w:pPr>
                  <w:spacing w:after="0" w:line="240" w:lineRule="auto"/>
                  <w:jc w:val="right"/>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 xml:space="preserve">226.390.683.281 </w:t>
                </w:r>
              </w:p>
            </w:tc>
            <w:tc>
              <w:tcPr>
                <w:tcW w:w="734" w:type="pct"/>
                <w:tcBorders>
                  <w:top w:val="nil"/>
                  <w:left w:val="nil"/>
                  <w:bottom w:val="single" w:sz="4" w:space="0" w:color="A6A6A6"/>
                  <w:right w:val="single" w:sz="4" w:space="0" w:color="A6A6A6"/>
                </w:tcBorders>
                <w:shd w:val="clear" w:color="auto" w:fill="auto"/>
                <w:noWrap/>
                <w:vAlign w:val="center"/>
                <w:hideMark/>
              </w:tcPr>
              <w:p w14:paraId="646F977C" w14:textId="2D26CBE8" w:rsidR="007B3757" w:rsidRPr="007B3757" w:rsidRDefault="007B3757" w:rsidP="007B3757">
                <w:pPr>
                  <w:spacing w:after="0" w:line="240" w:lineRule="auto"/>
                  <w:jc w:val="right"/>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 xml:space="preserve">229.345.433.417 </w:t>
                </w:r>
              </w:p>
            </w:tc>
          </w:tr>
          <w:tr w:rsidR="00B57C05" w:rsidRPr="00126C87" w14:paraId="1CA38EF5" w14:textId="77777777" w:rsidTr="00AB0DAE">
            <w:trPr>
              <w:trHeight w:val="293"/>
            </w:trPr>
            <w:tc>
              <w:tcPr>
                <w:tcW w:w="1973" w:type="pct"/>
                <w:tcBorders>
                  <w:top w:val="nil"/>
                  <w:left w:val="single" w:sz="4" w:space="0" w:color="A6A6A6"/>
                  <w:bottom w:val="single" w:sz="4" w:space="0" w:color="A6A6A6"/>
                  <w:right w:val="single" w:sz="4" w:space="0" w:color="A6A6A6"/>
                </w:tcBorders>
                <w:shd w:val="clear" w:color="auto" w:fill="auto"/>
                <w:noWrap/>
                <w:vAlign w:val="center"/>
                <w:hideMark/>
              </w:tcPr>
              <w:p w14:paraId="217EB75D" w14:textId="4528ACA5" w:rsidR="00B57C05" w:rsidRPr="007B3757" w:rsidRDefault="00B57C05" w:rsidP="00B57C05">
                <w:pPr>
                  <w:spacing w:after="0" w:line="240" w:lineRule="auto"/>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w:t>
                </w:r>
                <w:r w:rsidRPr="00126C87">
                  <w:rPr>
                    <w:rFonts w:ascii="Times New Roman" w:eastAsia="Times New Roman" w:hAnsi="Times New Roman"/>
                    <w:b/>
                    <w:bCs/>
                    <w:sz w:val="16"/>
                    <w:szCs w:val="16"/>
                    <w:lang w:eastAsia="es-CO"/>
                  </w:rPr>
                  <w:t xml:space="preserve"> </w:t>
                </w:r>
                <w:r w:rsidRPr="007B3757">
                  <w:rPr>
                    <w:rFonts w:ascii="Times New Roman" w:eastAsia="Times New Roman" w:hAnsi="Times New Roman"/>
                    <w:b/>
                    <w:bCs/>
                    <w:sz w:val="16"/>
                    <w:szCs w:val="16"/>
                    <w:lang w:eastAsia="es-CO"/>
                  </w:rPr>
                  <w:t>ENTRADAS (DB):</w:t>
                </w:r>
              </w:p>
            </w:tc>
            <w:tc>
              <w:tcPr>
                <w:tcW w:w="791" w:type="pct"/>
                <w:tcBorders>
                  <w:top w:val="nil"/>
                  <w:left w:val="nil"/>
                  <w:bottom w:val="single" w:sz="4" w:space="0" w:color="A6A6A6"/>
                  <w:right w:val="single" w:sz="4" w:space="0" w:color="A6A6A6"/>
                </w:tcBorders>
                <w:shd w:val="clear" w:color="auto" w:fill="auto"/>
                <w:noWrap/>
                <w:vAlign w:val="center"/>
                <w:hideMark/>
              </w:tcPr>
              <w:p w14:paraId="154D223C" w14:textId="19092D62" w:rsidR="00B57C05" w:rsidRPr="007B3757" w:rsidRDefault="00B57C05" w:rsidP="007B3757">
                <w:pPr>
                  <w:spacing w:after="0" w:line="240" w:lineRule="auto"/>
                  <w:jc w:val="right"/>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 xml:space="preserve">2.399.199.815 </w:t>
                </w:r>
              </w:p>
            </w:tc>
            <w:tc>
              <w:tcPr>
                <w:tcW w:w="711" w:type="pct"/>
                <w:tcBorders>
                  <w:top w:val="nil"/>
                  <w:left w:val="nil"/>
                  <w:bottom w:val="single" w:sz="4" w:space="0" w:color="A6A6A6"/>
                  <w:right w:val="single" w:sz="4" w:space="0" w:color="A6A6A6"/>
                </w:tcBorders>
                <w:shd w:val="clear" w:color="auto" w:fill="auto"/>
                <w:noWrap/>
                <w:vAlign w:val="center"/>
                <w:hideMark/>
              </w:tcPr>
              <w:p w14:paraId="4B271B28" w14:textId="29F39930" w:rsidR="00B57C05" w:rsidRPr="007B3757" w:rsidRDefault="00B57C05" w:rsidP="007B3757">
                <w:pPr>
                  <w:spacing w:after="0" w:line="240" w:lineRule="auto"/>
                  <w:jc w:val="right"/>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 xml:space="preserve">29.303.267 </w:t>
                </w:r>
              </w:p>
            </w:tc>
            <w:tc>
              <w:tcPr>
                <w:tcW w:w="791" w:type="pct"/>
                <w:tcBorders>
                  <w:top w:val="nil"/>
                  <w:left w:val="nil"/>
                  <w:bottom w:val="single" w:sz="4" w:space="0" w:color="A6A6A6"/>
                  <w:right w:val="single" w:sz="4" w:space="0" w:color="A6A6A6"/>
                </w:tcBorders>
                <w:shd w:val="clear" w:color="auto" w:fill="auto"/>
                <w:noWrap/>
                <w:vAlign w:val="center"/>
                <w:hideMark/>
              </w:tcPr>
              <w:p w14:paraId="3649B2AF" w14:textId="7BA29CF8" w:rsidR="00B57C05" w:rsidRPr="007B3757" w:rsidRDefault="00B57C05" w:rsidP="007B3757">
                <w:pPr>
                  <w:spacing w:after="0" w:line="240" w:lineRule="auto"/>
                  <w:jc w:val="right"/>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 xml:space="preserve">12.223.913.331 </w:t>
                </w:r>
              </w:p>
            </w:tc>
            <w:tc>
              <w:tcPr>
                <w:tcW w:w="734" w:type="pct"/>
                <w:tcBorders>
                  <w:top w:val="nil"/>
                  <w:left w:val="nil"/>
                  <w:bottom w:val="single" w:sz="4" w:space="0" w:color="A6A6A6"/>
                  <w:right w:val="single" w:sz="4" w:space="0" w:color="A6A6A6"/>
                </w:tcBorders>
                <w:shd w:val="clear" w:color="auto" w:fill="auto"/>
                <w:noWrap/>
                <w:vAlign w:val="center"/>
                <w:hideMark/>
              </w:tcPr>
              <w:p w14:paraId="4458C5A8" w14:textId="6EF3A65F" w:rsidR="00B57C05" w:rsidRPr="007B3757" w:rsidRDefault="00B57C05" w:rsidP="007B3757">
                <w:pPr>
                  <w:spacing w:after="0" w:line="240" w:lineRule="auto"/>
                  <w:jc w:val="right"/>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 xml:space="preserve">14.652.416.413 </w:t>
                </w:r>
              </w:p>
            </w:tc>
          </w:tr>
          <w:tr w:rsidR="00B57C05" w:rsidRPr="00126C87" w14:paraId="6C058CC0" w14:textId="77777777" w:rsidTr="00AB0DAE">
            <w:trPr>
              <w:trHeight w:val="293"/>
            </w:trPr>
            <w:tc>
              <w:tcPr>
                <w:tcW w:w="1973" w:type="pct"/>
                <w:tcBorders>
                  <w:top w:val="nil"/>
                  <w:left w:val="single" w:sz="4" w:space="0" w:color="A6A6A6"/>
                  <w:bottom w:val="single" w:sz="4" w:space="0" w:color="A6A6A6"/>
                  <w:right w:val="single" w:sz="4" w:space="0" w:color="A6A6A6"/>
                </w:tcBorders>
                <w:shd w:val="clear" w:color="auto" w:fill="auto"/>
                <w:noWrap/>
                <w:vAlign w:val="center"/>
                <w:hideMark/>
              </w:tcPr>
              <w:p w14:paraId="4C5922D3" w14:textId="667C8636" w:rsidR="00B57C05" w:rsidRPr="007B3757" w:rsidRDefault="00B57C05" w:rsidP="00B57C05">
                <w:pPr>
                  <w:spacing w:after="0" w:line="240" w:lineRule="auto"/>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Adquisiciones en compras</w:t>
                </w:r>
              </w:p>
            </w:tc>
            <w:tc>
              <w:tcPr>
                <w:tcW w:w="791" w:type="pct"/>
                <w:tcBorders>
                  <w:top w:val="nil"/>
                  <w:left w:val="nil"/>
                  <w:bottom w:val="single" w:sz="4" w:space="0" w:color="A6A6A6"/>
                  <w:right w:val="single" w:sz="4" w:space="0" w:color="A6A6A6"/>
                </w:tcBorders>
                <w:shd w:val="clear" w:color="auto" w:fill="auto"/>
                <w:noWrap/>
                <w:vAlign w:val="center"/>
                <w:hideMark/>
              </w:tcPr>
              <w:p w14:paraId="1299E7DA" w14:textId="739A7D4F" w:rsidR="00B57C05" w:rsidRPr="007B3757" w:rsidRDefault="00B57C05"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xml:space="preserve">2.399.199.815 </w:t>
                </w:r>
              </w:p>
            </w:tc>
            <w:tc>
              <w:tcPr>
                <w:tcW w:w="711" w:type="pct"/>
                <w:tcBorders>
                  <w:top w:val="nil"/>
                  <w:left w:val="nil"/>
                  <w:bottom w:val="single" w:sz="4" w:space="0" w:color="A6A6A6"/>
                  <w:right w:val="single" w:sz="4" w:space="0" w:color="A6A6A6"/>
                </w:tcBorders>
                <w:shd w:val="clear" w:color="auto" w:fill="auto"/>
                <w:noWrap/>
                <w:vAlign w:val="center"/>
                <w:hideMark/>
              </w:tcPr>
              <w:p w14:paraId="3560440D" w14:textId="41F3F8E5" w:rsidR="00B57C05" w:rsidRPr="007B3757" w:rsidRDefault="00B57C05"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xml:space="preserve">29.303.267 </w:t>
                </w:r>
              </w:p>
            </w:tc>
            <w:tc>
              <w:tcPr>
                <w:tcW w:w="791" w:type="pct"/>
                <w:tcBorders>
                  <w:top w:val="nil"/>
                  <w:left w:val="nil"/>
                  <w:bottom w:val="single" w:sz="4" w:space="0" w:color="A6A6A6"/>
                  <w:right w:val="single" w:sz="4" w:space="0" w:color="A6A6A6"/>
                </w:tcBorders>
                <w:shd w:val="clear" w:color="auto" w:fill="auto"/>
                <w:noWrap/>
                <w:vAlign w:val="center"/>
                <w:hideMark/>
              </w:tcPr>
              <w:p w14:paraId="491F86DB" w14:textId="47B9FD76" w:rsidR="00B57C05" w:rsidRPr="007B3757" w:rsidRDefault="00B57C05"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xml:space="preserve">-   </w:t>
                </w:r>
              </w:p>
            </w:tc>
            <w:tc>
              <w:tcPr>
                <w:tcW w:w="734" w:type="pct"/>
                <w:tcBorders>
                  <w:top w:val="nil"/>
                  <w:left w:val="nil"/>
                  <w:bottom w:val="single" w:sz="4" w:space="0" w:color="A6A6A6"/>
                  <w:right w:val="single" w:sz="4" w:space="0" w:color="A6A6A6"/>
                </w:tcBorders>
                <w:shd w:val="clear" w:color="auto" w:fill="auto"/>
                <w:noWrap/>
                <w:vAlign w:val="center"/>
                <w:hideMark/>
              </w:tcPr>
              <w:p w14:paraId="59855B1F" w14:textId="3828F13F" w:rsidR="00B57C05" w:rsidRPr="007B3757" w:rsidRDefault="00B57C05"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xml:space="preserve">2.428.503.082 </w:t>
                </w:r>
              </w:p>
            </w:tc>
          </w:tr>
          <w:tr w:rsidR="00B57C05" w:rsidRPr="00126C87" w14:paraId="63F0EA6A" w14:textId="77777777" w:rsidTr="00AB0DAE">
            <w:trPr>
              <w:trHeight w:val="293"/>
            </w:trPr>
            <w:tc>
              <w:tcPr>
                <w:tcW w:w="1973" w:type="pct"/>
                <w:tcBorders>
                  <w:top w:val="nil"/>
                  <w:left w:val="single" w:sz="4" w:space="0" w:color="A6A6A6"/>
                  <w:bottom w:val="single" w:sz="4" w:space="0" w:color="A6A6A6"/>
                  <w:right w:val="single" w:sz="4" w:space="0" w:color="A6A6A6"/>
                </w:tcBorders>
                <w:shd w:val="clear" w:color="auto" w:fill="auto"/>
                <w:noWrap/>
                <w:vAlign w:val="center"/>
                <w:hideMark/>
              </w:tcPr>
              <w:p w14:paraId="655DAE75" w14:textId="1010F8B3" w:rsidR="00B57C05" w:rsidRPr="007B3757" w:rsidRDefault="00B57C05" w:rsidP="00B57C05">
                <w:pPr>
                  <w:spacing w:after="0" w:line="240" w:lineRule="auto"/>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Otras transacciones sin contraprestación</w:t>
                </w:r>
              </w:p>
            </w:tc>
            <w:tc>
              <w:tcPr>
                <w:tcW w:w="791" w:type="pct"/>
                <w:tcBorders>
                  <w:top w:val="nil"/>
                  <w:left w:val="nil"/>
                  <w:bottom w:val="single" w:sz="4" w:space="0" w:color="A6A6A6"/>
                  <w:right w:val="single" w:sz="4" w:space="0" w:color="A6A6A6"/>
                </w:tcBorders>
                <w:shd w:val="clear" w:color="auto" w:fill="auto"/>
                <w:noWrap/>
                <w:vAlign w:val="center"/>
                <w:hideMark/>
              </w:tcPr>
              <w:p w14:paraId="55FAA348" w14:textId="3C5E53A5" w:rsidR="00B57C05" w:rsidRPr="007B3757" w:rsidRDefault="00B57C05"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xml:space="preserve">-   </w:t>
                </w:r>
              </w:p>
            </w:tc>
            <w:tc>
              <w:tcPr>
                <w:tcW w:w="711" w:type="pct"/>
                <w:tcBorders>
                  <w:top w:val="nil"/>
                  <w:left w:val="nil"/>
                  <w:bottom w:val="single" w:sz="4" w:space="0" w:color="A6A6A6"/>
                  <w:right w:val="single" w:sz="4" w:space="0" w:color="A6A6A6"/>
                </w:tcBorders>
                <w:shd w:val="clear" w:color="auto" w:fill="auto"/>
                <w:noWrap/>
                <w:vAlign w:val="center"/>
                <w:hideMark/>
              </w:tcPr>
              <w:p w14:paraId="0B56E6C3" w14:textId="5C34E449" w:rsidR="00B57C05" w:rsidRPr="007B3757" w:rsidRDefault="00B57C05"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xml:space="preserve">-   </w:t>
                </w:r>
              </w:p>
            </w:tc>
            <w:tc>
              <w:tcPr>
                <w:tcW w:w="791" w:type="pct"/>
                <w:tcBorders>
                  <w:top w:val="nil"/>
                  <w:left w:val="nil"/>
                  <w:bottom w:val="single" w:sz="4" w:space="0" w:color="A6A6A6"/>
                  <w:right w:val="single" w:sz="4" w:space="0" w:color="A6A6A6"/>
                </w:tcBorders>
                <w:shd w:val="clear" w:color="auto" w:fill="auto"/>
                <w:noWrap/>
                <w:vAlign w:val="center"/>
                <w:hideMark/>
              </w:tcPr>
              <w:p w14:paraId="1FDF8602" w14:textId="6645865B" w:rsidR="00B57C05" w:rsidRPr="007B3757" w:rsidRDefault="00B57C05"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xml:space="preserve">12.223.913.331 </w:t>
                </w:r>
              </w:p>
            </w:tc>
            <w:tc>
              <w:tcPr>
                <w:tcW w:w="734" w:type="pct"/>
                <w:tcBorders>
                  <w:top w:val="nil"/>
                  <w:left w:val="nil"/>
                  <w:bottom w:val="single" w:sz="4" w:space="0" w:color="A6A6A6"/>
                  <w:right w:val="single" w:sz="4" w:space="0" w:color="A6A6A6"/>
                </w:tcBorders>
                <w:shd w:val="clear" w:color="auto" w:fill="auto"/>
                <w:noWrap/>
                <w:vAlign w:val="center"/>
                <w:hideMark/>
              </w:tcPr>
              <w:p w14:paraId="5D24B2EC" w14:textId="60434E91" w:rsidR="00B57C05" w:rsidRPr="007B3757" w:rsidRDefault="00B57C05"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xml:space="preserve">12.223.913.331 </w:t>
                </w:r>
              </w:p>
            </w:tc>
          </w:tr>
          <w:tr w:rsidR="00B57C05" w:rsidRPr="00126C87" w14:paraId="228D018E" w14:textId="77777777" w:rsidTr="00AB0DAE">
            <w:trPr>
              <w:trHeight w:val="293"/>
            </w:trPr>
            <w:tc>
              <w:tcPr>
                <w:tcW w:w="1973" w:type="pct"/>
                <w:tcBorders>
                  <w:top w:val="nil"/>
                  <w:left w:val="single" w:sz="4" w:space="0" w:color="A6A6A6"/>
                  <w:bottom w:val="single" w:sz="4" w:space="0" w:color="A6A6A6"/>
                  <w:right w:val="single" w:sz="4" w:space="0" w:color="A6A6A6"/>
                </w:tcBorders>
                <w:shd w:val="clear" w:color="auto" w:fill="auto"/>
                <w:noWrap/>
                <w:vAlign w:val="center"/>
                <w:hideMark/>
              </w:tcPr>
              <w:p w14:paraId="74C1E240" w14:textId="393754AB" w:rsidR="00B57C05" w:rsidRPr="007B3757" w:rsidRDefault="00B57C05" w:rsidP="00B57C05">
                <w:pPr>
                  <w:spacing w:after="0" w:line="240" w:lineRule="auto"/>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Modo portuario</w:t>
                </w:r>
              </w:p>
            </w:tc>
            <w:tc>
              <w:tcPr>
                <w:tcW w:w="791" w:type="pct"/>
                <w:tcBorders>
                  <w:top w:val="nil"/>
                  <w:left w:val="nil"/>
                  <w:bottom w:val="single" w:sz="4" w:space="0" w:color="A6A6A6"/>
                  <w:right w:val="single" w:sz="4" w:space="0" w:color="A6A6A6"/>
                </w:tcBorders>
                <w:shd w:val="clear" w:color="auto" w:fill="auto"/>
                <w:noWrap/>
                <w:vAlign w:val="center"/>
                <w:hideMark/>
              </w:tcPr>
              <w:p w14:paraId="4D11950E" w14:textId="72D278EA" w:rsidR="00B57C05" w:rsidRPr="007B3757" w:rsidRDefault="00B57C05"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xml:space="preserve">-   </w:t>
                </w:r>
              </w:p>
            </w:tc>
            <w:tc>
              <w:tcPr>
                <w:tcW w:w="711" w:type="pct"/>
                <w:tcBorders>
                  <w:top w:val="nil"/>
                  <w:left w:val="nil"/>
                  <w:bottom w:val="single" w:sz="4" w:space="0" w:color="A6A6A6"/>
                  <w:right w:val="single" w:sz="4" w:space="0" w:color="A6A6A6"/>
                </w:tcBorders>
                <w:shd w:val="clear" w:color="auto" w:fill="auto"/>
                <w:noWrap/>
                <w:vAlign w:val="center"/>
                <w:hideMark/>
              </w:tcPr>
              <w:p w14:paraId="369011D4" w14:textId="1CE60E75" w:rsidR="00B57C05" w:rsidRPr="007B3757" w:rsidRDefault="00B57C05"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xml:space="preserve">-   </w:t>
                </w:r>
              </w:p>
            </w:tc>
            <w:tc>
              <w:tcPr>
                <w:tcW w:w="791" w:type="pct"/>
                <w:tcBorders>
                  <w:top w:val="nil"/>
                  <w:left w:val="nil"/>
                  <w:bottom w:val="single" w:sz="4" w:space="0" w:color="A6A6A6"/>
                  <w:right w:val="single" w:sz="4" w:space="0" w:color="A6A6A6"/>
                </w:tcBorders>
                <w:shd w:val="clear" w:color="auto" w:fill="auto"/>
                <w:noWrap/>
                <w:vAlign w:val="center"/>
                <w:hideMark/>
              </w:tcPr>
              <w:p w14:paraId="5008C064" w14:textId="2AC1EE7F" w:rsidR="00B57C05" w:rsidRPr="007B3757" w:rsidRDefault="00B57C05"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xml:space="preserve">1.450.052.331 </w:t>
                </w:r>
              </w:p>
            </w:tc>
            <w:tc>
              <w:tcPr>
                <w:tcW w:w="734" w:type="pct"/>
                <w:tcBorders>
                  <w:top w:val="nil"/>
                  <w:left w:val="nil"/>
                  <w:bottom w:val="single" w:sz="4" w:space="0" w:color="A6A6A6"/>
                  <w:right w:val="single" w:sz="4" w:space="0" w:color="A6A6A6"/>
                </w:tcBorders>
                <w:shd w:val="clear" w:color="auto" w:fill="auto"/>
                <w:noWrap/>
                <w:vAlign w:val="center"/>
                <w:hideMark/>
              </w:tcPr>
              <w:p w14:paraId="7AC99604" w14:textId="26AD0419" w:rsidR="00B57C05" w:rsidRPr="007B3757" w:rsidRDefault="00B57C05"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xml:space="preserve">1.450.052.331 </w:t>
                </w:r>
              </w:p>
            </w:tc>
          </w:tr>
          <w:tr w:rsidR="00B57C05" w:rsidRPr="00126C87" w14:paraId="736A042E" w14:textId="77777777" w:rsidTr="00AB0DAE">
            <w:trPr>
              <w:trHeight w:val="293"/>
            </w:trPr>
            <w:tc>
              <w:tcPr>
                <w:tcW w:w="1973" w:type="pct"/>
                <w:tcBorders>
                  <w:top w:val="nil"/>
                  <w:left w:val="single" w:sz="4" w:space="0" w:color="A6A6A6"/>
                  <w:bottom w:val="single" w:sz="4" w:space="0" w:color="A6A6A6"/>
                  <w:right w:val="single" w:sz="4" w:space="0" w:color="A6A6A6"/>
                </w:tcBorders>
                <w:shd w:val="clear" w:color="auto" w:fill="auto"/>
                <w:noWrap/>
                <w:vAlign w:val="center"/>
                <w:hideMark/>
              </w:tcPr>
              <w:p w14:paraId="7FB10912" w14:textId="01F8A725" w:rsidR="00B57C05" w:rsidRPr="007B3757" w:rsidRDefault="00B57C05" w:rsidP="00B57C05">
                <w:pPr>
                  <w:spacing w:after="0" w:line="240" w:lineRule="auto"/>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Modo férreo</w:t>
                </w:r>
              </w:p>
            </w:tc>
            <w:tc>
              <w:tcPr>
                <w:tcW w:w="791" w:type="pct"/>
                <w:tcBorders>
                  <w:top w:val="nil"/>
                  <w:left w:val="nil"/>
                  <w:bottom w:val="single" w:sz="4" w:space="0" w:color="A6A6A6"/>
                  <w:right w:val="single" w:sz="4" w:space="0" w:color="A6A6A6"/>
                </w:tcBorders>
                <w:shd w:val="clear" w:color="auto" w:fill="auto"/>
                <w:noWrap/>
                <w:vAlign w:val="center"/>
                <w:hideMark/>
              </w:tcPr>
              <w:p w14:paraId="45B60202" w14:textId="2D100E14" w:rsidR="00B57C05" w:rsidRPr="007B3757" w:rsidRDefault="00B57C05"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xml:space="preserve">-   </w:t>
                </w:r>
              </w:p>
            </w:tc>
            <w:tc>
              <w:tcPr>
                <w:tcW w:w="711" w:type="pct"/>
                <w:tcBorders>
                  <w:top w:val="nil"/>
                  <w:left w:val="nil"/>
                  <w:bottom w:val="single" w:sz="4" w:space="0" w:color="A6A6A6"/>
                  <w:right w:val="single" w:sz="4" w:space="0" w:color="A6A6A6"/>
                </w:tcBorders>
                <w:shd w:val="clear" w:color="auto" w:fill="auto"/>
                <w:noWrap/>
                <w:vAlign w:val="center"/>
                <w:hideMark/>
              </w:tcPr>
              <w:p w14:paraId="7277D3FA" w14:textId="2F3D9FCD" w:rsidR="00B57C05" w:rsidRPr="007B3757" w:rsidRDefault="00B57C05"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xml:space="preserve">-   </w:t>
                </w:r>
              </w:p>
            </w:tc>
            <w:tc>
              <w:tcPr>
                <w:tcW w:w="791" w:type="pct"/>
                <w:tcBorders>
                  <w:top w:val="nil"/>
                  <w:left w:val="nil"/>
                  <w:bottom w:val="single" w:sz="4" w:space="0" w:color="A6A6A6"/>
                  <w:right w:val="single" w:sz="4" w:space="0" w:color="A6A6A6"/>
                </w:tcBorders>
                <w:shd w:val="clear" w:color="auto" w:fill="auto"/>
                <w:noWrap/>
                <w:vAlign w:val="center"/>
                <w:hideMark/>
              </w:tcPr>
              <w:p w14:paraId="7A0C0212" w14:textId="53A40A3A" w:rsidR="00B57C05" w:rsidRPr="007B3757" w:rsidRDefault="00B57C05"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xml:space="preserve">10.773.861.000 </w:t>
                </w:r>
              </w:p>
            </w:tc>
            <w:tc>
              <w:tcPr>
                <w:tcW w:w="734" w:type="pct"/>
                <w:tcBorders>
                  <w:top w:val="nil"/>
                  <w:left w:val="nil"/>
                  <w:bottom w:val="single" w:sz="4" w:space="0" w:color="A6A6A6"/>
                  <w:right w:val="single" w:sz="4" w:space="0" w:color="A6A6A6"/>
                </w:tcBorders>
                <w:shd w:val="clear" w:color="auto" w:fill="auto"/>
                <w:noWrap/>
                <w:vAlign w:val="center"/>
                <w:hideMark/>
              </w:tcPr>
              <w:p w14:paraId="39B86E3E" w14:textId="69162189" w:rsidR="00B57C05" w:rsidRPr="007B3757" w:rsidRDefault="00B57C05"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xml:space="preserve">10.773.861.000 </w:t>
                </w:r>
              </w:p>
            </w:tc>
          </w:tr>
          <w:tr w:rsidR="00B57C05" w:rsidRPr="00126C87" w14:paraId="69F39EAF" w14:textId="77777777" w:rsidTr="00AB0DAE">
            <w:trPr>
              <w:trHeight w:val="293"/>
            </w:trPr>
            <w:tc>
              <w:tcPr>
                <w:tcW w:w="1973" w:type="pct"/>
                <w:tcBorders>
                  <w:top w:val="nil"/>
                  <w:left w:val="single" w:sz="4" w:space="0" w:color="A6A6A6"/>
                  <w:bottom w:val="single" w:sz="4" w:space="0" w:color="A6A6A6"/>
                  <w:right w:val="single" w:sz="4" w:space="0" w:color="A6A6A6"/>
                </w:tcBorders>
                <w:shd w:val="clear" w:color="auto" w:fill="auto"/>
                <w:noWrap/>
                <w:vAlign w:val="center"/>
                <w:hideMark/>
              </w:tcPr>
              <w:p w14:paraId="44927968" w14:textId="4F03BB59" w:rsidR="00B57C05" w:rsidRPr="007B3757" w:rsidRDefault="00B57C05" w:rsidP="007B3757">
                <w:pPr>
                  <w:spacing w:after="0" w:line="240" w:lineRule="auto"/>
                  <w:rPr>
                    <w:rFonts w:ascii="Times New Roman" w:eastAsia="Times New Roman" w:hAnsi="Times New Roman"/>
                    <w:b/>
                    <w:bCs/>
                    <w:sz w:val="16"/>
                    <w:szCs w:val="16"/>
                    <w:lang w:eastAsia="es-CO"/>
                  </w:rPr>
                </w:pPr>
                <w:r w:rsidRPr="00126C87">
                  <w:rPr>
                    <w:rFonts w:ascii="Times New Roman" w:eastAsia="Times New Roman" w:hAnsi="Times New Roman"/>
                    <w:sz w:val="16"/>
                    <w:szCs w:val="16"/>
                    <w:lang w:eastAsia="es-CO"/>
                  </w:rPr>
                  <w:t>(</w:t>
                </w:r>
                <w:r w:rsidRPr="007B3757">
                  <w:rPr>
                    <w:rFonts w:ascii="Times New Roman" w:eastAsia="Times New Roman" w:hAnsi="Times New Roman"/>
                    <w:sz w:val="16"/>
                    <w:szCs w:val="16"/>
                    <w:lang w:eastAsia="es-CO"/>
                  </w:rPr>
                  <w:t>-</w:t>
                </w:r>
                <w:r w:rsidRPr="00126C87">
                  <w:rPr>
                    <w:rFonts w:ascii="Times New Roman" w:eastAsia="Times New Roman" w:hAnsi="Times New Roman"/>
                    <w:sz w:val="16"/>
                    <w:szCs w:val="16"/>
                    <w:lang w:eastAsia="es-CO"/>
                  </w:rPr>
                  <w:t xml:space="preserve">) </w:t>
                </w:r>
                <w:r w:rsidRPr="007B3757">
                  <w:rPr>
                    <w:rFonts w:ascii="Times New Roman" w:eastAsia="Times New Roman" w:hAnsi="Times New Roman"/>
                    <w:b/>
                    <w:bCs/>
                    <w:sz w:val="16"/>
                    <w:szCs w:val="16"/>
                    <w:lang w:eastAsia="es-CO"/>
                  </w:rPr>
                  <w:t>SALIDAS (CR):</w:t>
                </w:r>
              </w:p>
            </w:tc>
            <w:tc>
              <w:tcPr>
                <w:tcW w:w="791" w:type="pct"/>
                <w:tcBorders>
                  <w:top w:val="nil"/>
                  <w:left w:val="nil"/>
                  <w:bottom w:val="single" w:sz="4" w:space="0" w:color="A6A6A6"/>
                  <w:right w:val="single" w:sz="4" w:space="0" w:color="A6A6A6"/>
                </w:tcBorders>
                <w:shd w:val="clear" w:color="auto" w:fill="auto"/>
                <w:noWrap/>
                <w:vAlign w:val="center"/>
                <w:hideMark/>
              </w:tcPr>
              <w:p w14:paraId="42486B24" w14:textId="2623C396" w:rsidR="00B57C05" w:rsidRPr="007B3757" w:rsidRDefault="00B57C05" w:rsidP="007B3757">
                <w:pPr>
                  <w:spacing w:after="0" w:line="240" w:lineRule="auto"/>
                  <w:jc w:val="right"/>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 xml:space="preserve">2.031.504.501 </w:t>
                </w:r>
              </w:p>
            </w:tc>
            <w:tc>
              <w:tcPr>
                <w:tcW w:w="711" w:type="pct"/>
                <w:tcBorders>
                  <w:top w:val="nil"/>
                  <w:left w:val="nil"/>
                  <w:bottom w:val="single" w:sz="4" w:space="0" w:color="A6A6A6"/>
                  <w:right w:val="single" w:sz="4" w:space="0" w:color="A6A6A6"/>
                </w:tcBorders>
                <w:shd w:val="clear" w:color="auto" w:fill="auto"/>
                <w:noWrap/>
                <w:vAlign w:val="center"/>
                <w:hideMark/>
              </w:tcPr>
              <w:p w14:paraId="6F430E2E" w14:textId="552E7ABE" w:rsidR="00B57C05" w:rsidRPr="007B3757" w:rsidRDefault="00B57C05" w:rsidP="007B3757">
                <w:pPr>
                  <w:spacing w:after="0" w:line="240" w:lineRule="auto"/>
                  <w:jc w:val="right"/>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 xml:space="preserve">22.011.284 </w:t>
                </w:r>
              </w:p>
            </w:tc>
            <w:tc>
              <w:tcPr>
                <w:tcW w:w="791" w:type="pct"/>
                <w:tcBorders>
                  <w:top w:val="nil"/>
                  <w:left w:val="nil"/>
                  <w:bottom w:val="single" w:sz="4" w:space="0" w:color="A6A6A6"/>
                  <w:right w:val="single" w:sz="4" w:space="0" w:color="A6A6A6"/>
                </w:tcBorders>
                <w:shd w:val="clear" w:color="auto" w:fill="auto"/>
                <w:noWrap/>
                <w:vAlign w:val="center"/>
                <w:hideMark/>
              </w:tcPr>
              <w:p w14:paraId="7A83ED33" w14:textId="33A9E0BD" w:rsidR="00B57C05" w:rsidRPr="007B3757" w:rsidRDefault="00B57C05" w:rsidP="007B3757">
                <w:pPr>
                  <w:spacing w:after="0" w:line="240" w:lineRule="auto"/>
                  <w:jc w:val="right"/>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 xml:space="preserve">762.895.833 </w:t>
                </w:r>
              </w:p>
            </w:tc>
            <w:tc>
              <w:tcPr>
                <w:tcW w:w="734" w:type="pct"/>
                <w:tcBorders>
                  <w:top w:val="nil"/>
                  <w:left w:val="nil"/>
                  <w:bottom w:val="single" w:sz="4" w:space="0" w:color="A6A6A6"/>
                  <w:right w:val="single" w:sz="4" w:space="0" w:color="A6A6A6"/>
                </w:tcBorders>
                <w:shd w:val="clear" w:color="auto" w:fill="auto"/>
                <w:noWrap/>
                <w:vAlign w:val="center"/>
                <w:hideMark/>
              </w:tcPr>
              <w:p w14:paraId="322FAC59" w14:textId="019D6571" w:rsidR="00B57C05" w:rsidRPr="007B3757" w:rsidRDefault="00B57C05" w:rsidP="007B3757">
                <w:pPr>
                  <w:spacing w:after="0" w:line="240" w:lineRule="auto"/>
                  <w:jc w:val="right"/>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 xml:space="preserve">2.816.411.618 </w:t>
                </w:r>
              </w:p>
            </w:tc>
          </w:tr>
          <w:tr w:rsidR="00B57C05" w:rsidRPr="00126C87" w14:paraId="3AD5E8C4" w14:textId="77777777" w:rsidTr="00AB0DAE">
            <w:trPr>
              <w:trHeight w:val="293"/>
            </w:trPr>
            <w:tc>
              <w:tcPr>
                <w:tcW w:w="1973" w:type="pct"/>
                <w:tcBorders>
                  <w:top w:val="nil"/>
                  <w:left w:val="single" w:sz="4" w:space="0" w:color="A6A6A6"/>
                  <w:bottom w:val="single" w:sz="4" w:space="0" w:color="A6A6A6"/>
                  <w:right w:val="single" w:sz="4" w:space="0" w:color="A6A6A6"/>
                </w:tcBorders>
                <w:shd w:val="clear" w:color="auto" w:fill="auto"/>
                <w:noWrap/>
                <w:vAlign w:val="center"/>
                <w:hideMark/>
              </w:tcPr>
              <w:p w14:paraId="6D0D93F6" w14:textId="0645E928" w:rsidR="00B57C05" w:rsidRPr="007B3757" w:rsidRDefault="00B57C05" w:rsidP="00B57C05">
                <w:pPr>
                  <w:spacing w:after="0" w:line="240" w:lineRule="auto"/>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Disposiciones (enajenaciones)</w:t>
                </w:r>
              </w:p>
            </w:tc>
            <w:tc>
              <w:tcPr>
                <w:tcW w:w="791" w:type="pct"/>
                <w:tcBorders>
                  <w:top w:val="nil"/>
                  <w:left w:val="nil"/>
                  <w:bottom w:val="single" w:sz="4" w:space="0" w:color="A6A6A6"/>
                  <w:right w:val="single" w:sz="4" w:space="0" w:color="A6A6A6"/>
                </w:tcBorders>
                <w:shd w:val="clear" w:color="auto" w:fill="auto"/>
                <w:noWrap/>
                <w:vAlign w:val="center"/>
                <w:hideMark/>
              </w:tcPr>
              <w:p w14:paraId="3CF22433" w14:textId="780D0D8B" w:rsidR="00B57C05" w:rsidRPr="007B3757" w:rsidRDefault="00B57C05" w:rsidP="007B3757">
                <w:pPr>
                  <w:spacing w:after="0" w:line="240" w:lineRule="auto"/>
                  <w:jc w:val="right"/>
                  <w:rPr>
                    <w:rFonts w:ascii="Times New Roman" w:eastAsia="Times New Roman" w:hAnsi="Times New Roman"/>
                    <w:sz w:val="16"/>
                    <w:szCs w:val="16"/>
                    <w:lang w:eastAsia="es-CO"/>
                  </w:rPr>
                </w:pPr>
              </w:p>
            </w:tc>
            <w:tc>
              <w:tcPr>
                <w:tcW w:w="711" w:type="pct"/>
                <w:tcBorders>
                  <w:top w:val="nil"/>
                  <w:left w:val="nil"/>
                  <w:bottom w:val="single" w:sz="4" w:space="0" w:color="A6A6A6"/>
                  <w:right w:val="single" w:sz="4" w:space="0" w:color="A6A6A6"/>
                </w:tcBorders>
                <w:shd w:val="clear" w:color="auto" w:fill="auto"/>
                <w:noWrap/>
                <w:vAlign w:val="center"/>
                <w:hideMark/>
              </w:tcPr>
              <w:p w14:paraId="30639EA8" w14:textId="6F7509FC" w:rsidR="00B57C05" w:rsidRPr="007B3757" w:rsidRDefault="00B57C05" w:rsidP="007B3757">
                <w:pPr>
                  <w:spacing w:after="0" w:line="240" w:lineRule="auto"/>
                  <w:jc w:val="right"/>
                  <w:rPr>
                    <w:rFonts w:ascii="Times New Roman" w:eastAsia="Times New Roman" w:hAnsi="Times New Roman"/>
                    <w:sz w:val="16"/>
                    <w:szCs w:val="16"/>
                    <w:lang w:eastAsia="es-CO"/>
                  </w:rPr>
                </w:pPr>
              </w:p>
            </w:tc>
            <w:tc>
              <w:tcPr>
                <w:tcW w:w="791" w:type="pct"/>
                <w:tcBorders>
                  <w:top w:val="nil"/>
                  <w:left w:val="nil"/>
                  <w:bottom w:val="single" w:sz="4" w:space="0" w:color="A6A6A6"/>
                  <w:right w:val="single" w:sz="4" w:space="0" w:color="A6A6A6"/>
                </w:tcBorders>
                <w:shd w:val="clear" w:color="auto" w:fill="auto"/>
                <w:noWrap/>
                <w:vAlign w:val="center"/>
                <w:hideMark/>
              </w:tcPr>
              <w:p w14:paraId="78CA5C9C" w14:textId="78C9C41A" w:rsidR="00B57C05" w:rsidRPr="007B3757" w:rsidRDefault="00B57C05"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xml:space="preserve">-   </w:t>
                </w:r>
              </w:p>
            </w:tc>
            <w:tc>
              <w:tcPr>
                <w:tcW w:w="734" w:type="pct"/>
                <w:tcBorders>
                  <w:top w:val="nil"/>
                  <w:left w:val="nil"/>
                  <w:bottom w:val="single" w:sz="4" w:space="0" w:color="A6A6A6"/>
                  <w:right w:val="single" w:sz="4" w:space="0" w:color="A6A6A6"/>
                </w:tcBorders>
                <w:shd w:val="clear" w:color="auto" w:fill="auto"/>
                <w:noWrap/>
                <w:vAlign w:val="center"/>
                <w:hideMark/>
              </w:tcPr>
              <w:p w14:paraId="064FB4C0" w14:textId="6E3148A4" w:rsidR="00B57C05" w:rsidRPr="007B3757" w:rsidRDefault="00B57C05"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xml:space="preserve">-   </w:t>
                </w:r>
              </w:p>
            </w:tc>
          </w:tr>
          <w:tr w:rsidR="00B57C05" w:rsidRPr="00126C87" w14:paraId="0581C182" w14:textId="77777777" w:rsidTr="00AB0DAE">
            <w:trPr>
              <w:trHeight w:val="293"/>
            </w:trPr>
            <w:tc>
              <w:tcPr>
                <w:tcW w:w="1973" w:type="pct"/>
                <w:tcBorders>
                  <w:top w:val="nil"/>
                  <w:left w:val="single" w:sz="4" w:space="0" w:color="A6A6A6"/>
                  <w:bottom w:val="single" w:sz="4" w:space="0" w:color="A6A6A6"/>
                  <w:right w:val="single" w:sz="4" w:space="0" w:color="A6A6A6"/>
                </w:tcBorders>
                <w:shd w:val="clear" w:color="auto" w:fill="auto"/>
                <w:noWrap/>
                <w:vAlign w:val="center"/>
                <w:hideMark/>
              </w:tcPr>
              <w:p w14:paraId="1BE61CF6" w14:textId="2F1B195D" w:rsidR="00B57C05" w:rsidRPr="007B3757" w:rsidRDefault="00B57C05" w:rsidP="00B57C05">
                <w:pPr>
                  <w:spacing w:after="0" w:line="240" w:lineRule="auto"/>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Baja en cuentas</w:t>
                </w:r>
              </w:p>
            </w:tc>
            <w:tc>
              <w:tcPr>
                <w:tcW w:w="791" w:type="pct"/>
                <w:tcBorders>
                  <w:top w:val="nil"/>
                  <w:left w:val="nil"/>
                  <w:bottom w:val="single" w:sz="4" w:space="0" w:color="A6A6A6"/>
                  <w:right w:val="single" w:sz="4" w:space="0" w:color="A6A6A6"/>
                </w:tcBorders>
                <w:shd w:val="clear" w:color="auto" w:fill="auto"/>
                <w:noWrap/>
                <w:vAlign w:val="center"/>
                <w:hideMark/>
              </w:tcPr>
              <w:p w14:paraId="65F1D006" w14:textId="186AD0E4" w:rsidR="00B57C05" w:rsidRPr="007B3757" w:rsidRDefault="00B57C05"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xml:space="preserve">2.031.504.501 </w:t>
                </w:r>
              </w:p>
            </w:tc>
            <w:tc>
              <w:tcPr>
                <w:tcW w:w="711" w:type="pct"/>
                <w:tcBorders>
                  <w:top w:val="nil"/>
                  <w:left w:val="nil"/>
                  <w:bottom w:val="single" w:sz="4" w:space="0" w:color="A6A6A6"/>
                  <w:right w:val="single" w:sz="4" w:space="0" w:color="A6A6A6"/>
                </w:tcBorders>
                <w:shd w:val="clear" w:color="auto" w:fill="auto"/>
                <w:noWrap/>
                <w:vAlign w:val="center"/>
                <w:hideMark/>
              </w:tcPr>
              <w:p w14:paraId="08C65B09" w14:textId="3EB6D3DE" w:rsidR="00B57C05" w:rsidRPr="007B3757" w:rsidRDefault="00B57C05"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xml:space="preserve">22.011.284 </w:t>
                </w:r>
              </w:p>
            </w:tc>
            <w:tc>
              <w:tcPr>
                <w:tcW w:w="791" w:type="pct"/>
                <w:tcBorders>
                  <w:top w:val="nil"/>
                  <w:left w:val="nil"/>
                  <w:bottom w:val="single" w:sz="4" w:space="0" w:color="A6A6A6"/>
                  <w:right w:val="single" w:sz="4" w:space="0" w:color="A6A6A6"/>
                </w:tcBorders>
                <w:shd w:val="clear" w:color="auto" w:fill="auto"/>
                <w:noWrap/>
                <w:vAlign w:val="center"/>
                <w:hideMark/>
              </w:tcPr>
              <w:p w14:paraId="3C9F2E7A" w14:textId="64E4897A" w:rsidR="00B57C05" w:rsidRPr="007B3757" w:rsidRDefault="00B57C05"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xml:space="preserve">-   </w:t>
                </w:r>
              </w:p>
            </w:tc>
            <w:tc>
              <w:tcPr>
                <w:tcW w:w="734" w:type="pct"/>
                <w:tcBorders>
                  <w:top w:val="nil"/>
                  <w:left w:val="nil"/>
                  <w:bottom w:val="single" w:sz="4" w:space="0" w:color="A6A6A6"/>
                  <w:right w:val="single" w:sz="4" w:space="0" w:color="A6A6A6"/>
                </w:tcBorders>
                <w:shd w:val="clear" w:color="auto" w:fill="auto"/>
                <w:noWrap/>
                <w:vAlign w:val="center"/>
                <w:hideMark/>
              </w:tcPr>
              <w:p w14:paraId="41C6DFBA" w14:textId="4DE31598" w:rsidR="00B57C05" w:rsidRPr="007B3757" w:rsidRDefault="00B57C05"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xml:space="preserve">2.053.515.785 </w:t>
                </w:r>
              </w:p>
            </w:tc>
          </w:tr>
          <w:tr w:rsidR="00B57C05" w:rsidRPr="00126C87" w14:paraId="0BC8E4B7" w14:textId="77777777" w:rsidTr="00AB0DAE">
            <w:trPr>
              <w:trHeight w:val="293"/>
            </w:trPr>
            <w:tc>
              <w:tcPr>
                <w:tcW w:w="1973" w:type="pct"/>
                <w:tcBorders>
                  <w:top w:val="nil"/>
                  <w:left w:val="single" w:sz="4" w:space="0" w:color="A6A6A6"/>
                  <w:bottom w:val="single" w:sz="4" w:space="0" w:color="A6A6A6"/>
                  <w:right w:val="single" w:sz="4" w:space="0" w:color="A6A6A6"/>
                </w:tcBorders>
                <w:shd w:val="clear" w:color="auto" w:fill="auto"/>
                <w:noWrap/>
                <w:vAlign w:val="center"/>
                <w:hideMark/>
              </w:tcPr>
              <w:p w14:paraId="63B83F70" w14:textId="5C4E87C0" w:rsidR="00B57C05" w:rsidRPr="007B3757" w:rsidRDefault="00B57C05" w:rsidP="00B57C05">
                <w:pPr>
                  <w:spacing w:after="0" w:line="240" w:lineRule="auto"/>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Otras salidas de intangibles</w:t>
                </w:r>
              </w:p>
            </w:tc>
            <w:tc>
              <w:tcPr>
                <w:tcW w:w="791" w:type="pct"/>
                <w:tcBorders>
                  <w:top w:val="nil"/>
                  <w:left w:val="nil"/>
                  <w:bottom w:val="single" w:sz="4" w:space="0" w:color="A6A6A6"/>
                  <w:right w:val="single" w:sz="4" w:space="0" w:color="A6A6A6"/>
                </w:tcBorders>
                <w:shd w:val="clear" w:color="auto" w:fill="auto"/>
                <w:noWrap/>
                <w:vAlign w:val="center"/>
                <w:hideMark/>
              </w:tcPr>
              <w:p w14:paraId="2E669483" w14:textId="35382999" w:rsidR="00B57C05" w:rsidRPr="007B3757" w:rsidRDefault="00B57C05"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xml:space="preserve">-   </w:t>
                </w:r>
              </w:p>
            </w:tc>
            <w:tc>
              <w:tcPr>
                <w:tcW w:w="711" w:type="pct"/>
                <w:tcBorders>
                  <w:top w:val="nil"/>
                  <w:left w:val="nil"/>
                  <w:bottom w:val="single" w:sz="4" w:space="0" w:color="A6A6A6"/>
                  <w:right w:val="single" w:sz="4" w:space="0" w:color="A6A6A6"/>
                </w:tcBorders>
                <w:shd w:val="clear" w:color="auto" w:fill="auto"/>
                <w:noWrap/>
                <w:vAlign w:val="center"/>
                <w:hideMark/>
              </w:tcPr>
              <w:p w14:paraId="305C43DA" w14:textId="77777777" w:rsidR="00B57C05" w:rsidRPr="007B3757" w:rsidRDefault="00B57C05"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xml:space="preserve">                            -   </w:t>
                </w:r>
              </w:p>
            </w:tc>
            <w:tc>
              <w:tcPr>
                <w:tcW w:w="791" w:type="pct"/>
                <w:tcBorders>
                  <w:top w:val="nil"/>
                  <w:left w:val="nil"/>
                  <w:bottom w:val="single" w:sz="4" w:space="0" w:color="A6A6A6"/>
                  <w:right w:val="single" w:sz="4" w:space="0" w:color="A6A6A6"/>
                </w:tcBorders>
                <w:shd w:val="clear" w:color="auto" w:fill="auto"/>
                <w:noWrap/>
                <w:vAlign w:val="center"/>
                <w:hideMark/>
              </w:tcPr>
              <w:p w14:paraId="5EA3C900" w14:textId="68327CA8" w:rsidR="00B57C05" w:rsidRPr="007B3757" w:rsidRDefault="00B57C05"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xml:space="preserve">762.895.833 </w:t>
                </w:r>
              </w:p>
            </w:tc>
            <w:tc>
              <w:tcPr>
                <w:tcW w:w="734" w:type="pct"/>
                <w:tcBorders>
                  <w:top w:val="nil"/>
                  <w:left w:val="nil"/>
                  <w:bottom w:val="single" w:sz="4" w:space="0" w:color="A6A6A6"/>
                  <w:right w:val="single" w:sz="4" w:space="0" w:color="A6A6A6"/>
                </w:tcBorders>
                <w:shd w:val="clear" w:color="auto" w:fill="auto"/>
                <w:noWrap/>
                <w:vAlign w:val="center"/>
                <w:hideMark/>
              </w:tcPr>
              <w:p w14:paraId="4C62F7CA" w14:textId="3E3C2F5E" w:rsidR="00B57C05" w:rsidRPr="007B3757" w:rsidRDefault="00B57C05"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xml:space="preserve">762.895.833 </w:t>
                </w:r>
              </w:p>
            </w:tc>
          </w:tr>
          <w:tr w:rsidR="00B57C05" w:rsidRPr="00126C87" w14:paraId="09298D12" w14:textId="77777777" w:rsidTr="00AB0DAE">
            <w:trPr>
              <w:trHeight w:val="293"/>
            </w:trPr>
            <w:tc>
              <w:tcPr>
                <w:tcW w:w="1973" w:type="pct"/>
                <w:tcBorders>
                  <w:top w:val="nil"/>
                  <w:left w:val="single" w:sz="4" w:space="0" w:color="A6A6A6"/>
                  <w:bottom w:val="single" w:sz="4" w:space="0" w:color="A6A6A6"/>
                  <w:right w:val="single" w:sz="4" w:space="0" w:color="A6A6A6"/>
                </w:tcBorders>
                <w:shd w:val="clear" w:color="auto" w:fill="auto"/>
                <w:noWrap/>
                <w:vAlign w:val="center"/>
                <w:hideMark/>
              </w:tcPr>
              <w:p w14:paraId="6AB12DE4" w14:textId="7AE2D145" w:rsidR="00B57C05" w:rsidRPr="007B3757" w:rsidRDefault="00B57C05" w:rsidP="00B57C05">
                <w:pPr>
                  <w:spacing w:after="0" w:line="240" w:lineRule="auto"/>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Modo carretero</w:t>
                </w:r>
              </w:p>
            </w:tc>
            <w:tc>
              <w:tcPr>
                <w:tcW w:w="791" w:type="pct"/>
                <w:tcBorders>
                  <w:top w:val="nil"/>
                  <w:left w:val="nil"/>
                  <w:bottom w:val="single" w:sz="4" w:space="0" w:color="A6A6A6"/>
                  <w:right w:val="single" w:sz="4" w:space="0" w:color="A6A6A6"/>
                </w:tcBorders>
                <w:shd w:val="clear" w:color="auto" w:fill="auto"/>
                <w:noWrap/>
                <w:vAlign w:val="center"/>
                <w:hideMark/>
              </w:tcPr>
              <w:p w14:paraId="2A3A6EAD" w14:textId="77777777" w:rsidR="00B57C05" w:rsidRPr="007B3757" w:rsidRDefault="00B57C05"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w:t>
                </w:r>
              </w:p>
            </w:tc>
            <w:tc>
              <w:tcPr>
                <w:tcW w:w="711" w:type="pct"/>
                <w:tcBorders>
                  <w:top w:val="nil"/>
                  <w:left w:val="nil"/>
                  <w:bottom w:val="single" w:sz="4" w:space="0" w:color="A6A6A6"/>
                  <w:right w:val="single" w:sz="4" w:space="0" w:color="A6A6A6"/>
                </w:tcBorders>
                <w:shd w:val="clear" w:color="auto" w:fill="auto"/>
                <w:noWrap/>
                <w:vAlign w:val="center"/>
                <w:hideMark/>
              </w:tcPr>
              <w:p w14:paraId="1EB4BD70" w14:textId="77777777" w:rsidR="00B57C05" w:rsidRPr="007B3757" w:rsidRDefault="00B57C05"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w:t>
                </w:r>
              </w:p>
            </w:tc>
            <w:tc>
              <w:tcPr>
                <w:tcW w:w="791" w:type="pct"/>
                <w:tcBorders>
                  <w:top w:val="nil"/>
                  <w:left w:val="nil"/>
                  <w:bottom w:val="single" w:sz="4" w:space="0" w:color="A6A6A6"/>
                  <w:right w:val="single" w:sz="4" w:space="0" w:color="A6A6A6"/>
                </w:tcBorders>
                <w:shd w:val="clear" w:color="auto" w:fill="auto"/>
                <w:noWrap/>
                <w:vAlign w:val="center"/>
                <w:hideMark/>
              </w:tcPr>
              <w:p w14:paraId="16D43C52" w14:textId="3B27073A" w:rsidR="00B57C05" w:rsidRPr="007B3757" w:rsidRDefault="00B57C05"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xml:space="preserve">762.895.833 </w:t>
                </w:r>
              </w:p>
            </w:tc>
            <w:tc>
              <w:tcPr>
                <w:tcW w:w="734" w:type="pct"/>
                <w:tcBorders>
                  <w:top w:val="nil"/>
                  <w:left w:val="nil"/>
                  <w:bottom w:val="single" w:sz="4" w:space="0" w:color="A6A6A6"/>
                  <w:right w:val="single" w:sz="4" w:space="0" w:color="A6A6A6"/>
                </w:tcBorders>
                <w:shd w:val="clear" w:color="auto" w:fill="auto"/>
                <w:noWrap/>
                <w:vAlign w:val="center"/>
                <w:hideMark/>
              </w:tcPr>
              <w:p w14:paraId="671AC5F7" w14:textId="0F321258" w:rsidR="00B57C05" w:rsidRPr="007B3757" w:rsidRDefault="00B57C05"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xml:space="preserve">762.895.833 </w:t>
                </w:r>
              </w:p>
            </w:tc>
          </w:tr>
          <w:tr w:rsidR="00B57C05" w:rsidRPr="00126C87" w14:paraId="64613915" w14:textId="77777777" w:rsidTr="00AB0DAE">
            <w:trPr>
              <w:trHeight w:val="400"/>
            </w:trPr>
            <w:tc>
              <w:tcPr>
                <w:tcW w:w="1973" w:type="pct"/>
                <w:tcBorders>
                  <w:top w:val="nil"/>
                  <w:left w:val="single" w:sz="4" w:space="0" w:color="A6A6A6"/>
                  <w:bottom w:val="single" w:sz="4" w:space="0" w:color="A6A6A6"/>
                  <w:right w:val="single" w:sz="4" w:space="0" w:color="A6A6A6"/>
                </w:tcBorders>
                <w:shd w:val="clear" w:color="auto" w:fill="auto"/>
                <w:noWrap/>
                <w:vAlign w:val="center"/>
                <w:hideMark/>
              </w:tcPr>
              <w:p w14:paraId="48DE8102" w14:textId="548B1C66" w:rsidR="00B57C05" w:rsidRPr="007B3757" w:rsidRDefault="00B57C05" w:rsidP="007B3757">
                <w:pPr>
                  <w:spacing w:after="0" w:line="240" w:lineRule="auto"/>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w:t>
                </w:r>
                <w:r w:rsidRPr="00126C87">
                  <w:rPr>
                    <w:rFonts w:ascii="Times New Roman" w:eastAsia="Times New Roman" w:hAnsi="Times New Roman"/>
                    <w:b/>
                    <w:bCs/>
                    <w:sz w:val="16"/>
                    <w:szCs w:val="16"/>
                    <w:lang w:eastAsia="es-CO"/>
                  </w:rPr>
                  <w:t xml:space="preserve"> SUBTOTAL (</w:t>
                </w:r>
                <w:r w:rsidRPr="007B3757">
                  <w:rPr>
                    <w:rFonts w:ascii="Times New Roman" w:eastAsia="Times New Roman" w:hAnsi="Times New Roman"/>
                    <w:b/>
                    <w:bCs/>
                    <w:sz w:val="16"/>
                    <w:szCs w:val="16"/>
                    <w:lang w:eastAsia="es-CO"/>
                  </w:rPr>
                  <w:t>Saldo inicial + Entradas - Salidas)</w:t>
                </w:r>
              </w:p>
            </w:tc>
            <w:tc>
              <w:tcPr>
                <w:tcW w:w="791" w:type="pct"/>
                <w:tcBorders>
                  <w:top w:val="nil"/>
                  <w:left w:val="nil"/>
                  <w:bottom w:val="single" w:sz="4" w:space="0" w:color="A6A6A6"/>
                  <w:right w:val="single" w:sz="4" w:space="0" w:color="A6A6A6"/>
                </w:tcBorders>
                <w:shd w:val="clear" w:color="auto" w:fill="auto"/>
                <w:noWrap/>
                <w:vAlign w:val="center"/>
                <w:hideMark/>
              </w:tcPr>
              <w:p w14:paraId="1B07F6FB" w14:textId="231315ED" w:rsidR="00B57C05" w:rsidRPr="007B3757" w:rsidRDefault="00B57C05" w:rsidP="007B3757">
                <w:pPr>
                  <w:spacing w:after="0" w:line="240" w:lineRule="auto"/>
                  <w:jc w:val="right"/>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 xml:space="preserve">2.826.967.616 </w:t>
                </w:r>
              </w:p>
            </w:tc>
            <w:tc>
              <w:tcPr>
                <w:tcW w:w="711" w:type="pct"/>
                <w:tcBorders>
                  <w:top w:val="nil"/>
                  <w:left w:val="nil"/>
                  <w:bottom w:val="single" w:sz="4" w:space="0" w:color="A6A6A6"/>
                  <w:right w:val="single" w:sz="4" w:space="0" w:color="A6A6A6"/>
                </w:tcBorders>
                <w:shd w:val="clear" w:color="auto" w:fill="auto"/>
                <w:noWrap/>
                <w:vAlign w:val="center"/>
                <w:hideMark/>
              </w:tcPr>
              <w:p w14:paraId="1B9AB914" w14:textId="56825F7C" w:rsidR="00B57C05" w:rsidRPr="007B3757" w:rsidRDefault="00B57C05" w:rsidP="007B3757">
                <w:pPr>
                  <w:spacing w:after="0" w:line="240" w:lineRule="auto"/>
                  <w:jc w:val="right"/>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 xml:space="preserve">502.769.817 </w:t>
                </w:r>
              </w:p>
            </w:tc>
            <w:tc>
              <w:tcPr>
                <w:tcW w:w="791" w:type="pct"/>
                <w:tcBorders>
                  <w:top w:val="nil"/>
                  <w:left w:val="nil"/>
                  <w:bottom w:val="single" w:sz="4" w:space="0" w:color="A6A6A6"/>
                  <w:right w:val="single" w:sz="4" w:space="0" w:color="A6A6A6"/>
                </w:tcBorders>
                <w:shd w:val="clear" w:color="auto" w:fill="auto"/>
                <w:noWrap/>
                <w:vAlign w:val="center"/>
                <w:hideMark/>
              </w:tcPr>
              <w:p w14:paraId="19BAE918" w14:textId="25F9377C" w:rsidR="00B57C05" w:rsidRPr="007B3757" w:rsidRDefault="00B57C05" w:rsidP="007B3757">
                <w:pPr>
                  <w:spacing w:after="0" w:line="240" w:lineRule="auto"/>
                  <w:jc w:val="right"/>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 xml:space="preserve">237.851.700.779 </w:t>
                </w:r>
              </w:p>
            </w:tc>
            <w:tc>
              <w:tcPr>
                <w:tcW w:w="734" w:type="pct"/>
                <w:tcBorders>
                  <w:top w:val="nil"/>
                  <w:left w:val="nil"/>
                  <w:bottom w:val="single" w:sz="4" w:space="0" w:color="A6A6A6"/>
                  <w:right w:val="single" w:sz="4" w:space="0" w:color="A6A6A6"/>
                </w:tcBorders>
                <w:shd w:val="clear" w:color="auto" w:fill="auto"/>
                <w:noWrap/>
                <w:vAlign w:val="center"/>
                <w:hideMark/>
              </w:tcPr>
              <w:p w14:paraId="328CF35E" w14:textId="1F164679" w:rsidR="00B57C05" w:rsidRPr="007B3757" w:rsidRDefault="00B57C05" w:rsidP="007B3757">
                <w:pPr>
                  <w:spacing w:after="0" w:line="240" w:lineRule="auto"/>
                  <w:jc w:val="right"/>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 xml:space="preserve">241.181.438.212 </w:t>
                </w:r>
              </w:p>
            </w:tc>
          </w:tr>
          <w:tr w:rsidR="00B57C05" w:rsidRPr="00126C87" w14:paraId="4B00F7B2" w14:textId="77777777" w:rsidTr="00AB0DAE">
            <w:trPr>
              <w:trHeight w:val="293"/>
            </w:trPr>
            <w:tc>
              <w:tcPr>
                <w:tcW w:w="1973" w:type="pct"/>
                <w:tcBorders>
                  <w:top w:val="nil"/>
                  <w:left w:val="single" w:sz="4" w:space="0" w:color="A6A6A6"/>
                  <w:bottom w:val="single" w:sz="4" w:space="0" w:color="A6A6A6"/>
                  <w:right w:val="single" w:sz="4" w:space="0" w:color="A6A6A6"/>
                </w:tcBorders>
                <w:shd w:val="clear" w:color="auto" w:fill="auto"/>
                <w:noWrap/>
                <w:vAlign w:val="center"/>
                <w:hideMark/>
              </w:tcPr>
              <w:p w14:paraId="73381774" w14:textId="30DDC1E7" w:rsidR="00B57C05" w:rsidRPr="007B3757" w:rsidRDefault="00B57C05" w:rsidP="00B57C05">
                <w:pPr>
                  <w:spacing w:after="0" w:line="240" w:lineRule="auto"/>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w:t>
                </w:r>
                <w:r w:rsidRPr="00126C87">
                  <w:rPr>
                    <w:rFonts w:ascii="Times New Roman" w:eastAsia="Times New Roman" w:hAnsi="Times New Roman"/>
                    <w:b/>
                    <w:bCs/>
                    <w:sz w:val="16"/>
                    <w:szCs w:val="16"/>
                    <w:lang w:eastAsia="es-CO"/>
                  </w:rPr>
                  <w:t xml:space="preserve"> </w:t>
                </w:r>
                <w:r w:rsidRPr="007B3757">
                  <w:rPr>
                    <w:rFonts w:ascii="Times New Roman" w:eastAsia="Times New Roman" w:hAnsi="Times New Roman"/>
                    <w:b/>
                    <w:bCs/>
                    <w:sz w:val="16"/>
                    <w:szCs w:val="16"/>
                    <w:lang w:eastAsia="es-CO"/>
                  </w:rPr>
                  <w:t>CAMBIOS Y MEDICIÓN POSTERIOR</w:t>
                </w:r>
              </w:p>
            </w:tc>
            <w:tc>
              <w:tcPr>
                <w:tcW w:w="791" w:type="pct"/>
                <w:tcBorders>
                  <w:top w:val="nil"/>
                  <w:left w:val="nil"/>
                  <w:bottom w:val="single" w:sz="4" w:space="0" w:color="A6A6A6"/>
                  <w:right w:val="single" w:sz="4" w:space="0" w:color="A6A6A6"/>
                </w:tcBorders>
                <w:shd w:val="clear" w:color="auto" w:fill="auto"/>
                <w:noWrap/>
                <w:vAlign w:val="center"/>
                <w:hideMark/>
              </w:tcPr>
              <w:p w14:paraId="49E8BC38" w14:textId="543A4C22" w:rsidR="00B57C05" w:rsidRPr="007B3757" w:rsidRDefault="00B57C05" w:rsidP="007B3757">
                <w:pPr>
                  <w:spacing w:after="0" w:line="240" w:lineRule="auto"/>
                  <w:jc w:val="right"/>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 xml:space="preserve">-   </w:t>
                </w:r>
              </w:p>
            </w:tc>
            <w:tc>
              <w:tcPr>
                <w:tcW w:w="711" w:type="pct"/>
                <w:tcBorders>
                  <w:top w:val="nil"/>
                  <w:left w:val="nil"/>
                  <w:bottom w:val="single" w:sz="4" w:space="0" w:color="A6A6A6"/>
                  <w:right w:val="single" w:sz="4" w:space="0" w:color="A6A6A6"/>
                </w:tcBorders>
                <w:shd w:val="clear" w:color="auto" w:fill="auto"/>
                <w:noWrap/>
                <w:vAlign w:val="center"/>
                <w:hideMark/>
              </w:tcPr>
              <w:p w14:paraId="00899820" w14:textId="3691E8C2" w:rsidR="00B57C05" w:rsidRPr="007B3757" w:rsidRDefault="00B57C05" w:rsidP="007B3757">
                <w:pPr>
                  <w:spacing w:after="0" w:line="240" w:lineRule="auto"/>
                  <w:jc w:val="right"/>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 xml:space="preserve">-   </w:t>
                </w:r>
              </w:p>
            </w:tc>
            <w:tc>
              <w:tcPr>
                <w:tcW w:w="791" w:type="pct"/>
                <w:tcBorders>
                  <w:top w:val="nil"/>
                  <w:left w:val="nil"/>
                  <w:bottom w:val="single" w:sz="4" w:space="0" w:color="A6A6A6"/>
                  <w:right w:val="single" w:sz="4" w:space="0" w:color="A6A6A6"/>
                </w:tcBorders>
                <w:shd w:val="clear" w:color="auto" w:fill="auto"/>
                <w:noWrap/>
                <w:vAlign w:val="center"/>
                <w:hideMark/>
              </w:tcPr>
              <w:p w14:paraId="399DA6B1" w14:textId="603BEBD0" w:rsidR="00B57C05" w:rsidRPr="007B3757" w:rsidRDefault="00B57C05" w:rsidP="007B3757">
                <w:pPr>
                  <w:spacing w:after="0" w:line="240" w:lineRule="auto"/>
                  <w:jc w:val="right"/>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 xml:space="preserve">3.619.473.334 </w:t>
                </w:r>
              </w:p>
            </w:tc>
            <w:tc>
              <w:tcPr>
                <w:tcW w:w="734" w:type="pct"/>
                <w:tcBorders>
                  <w:top w:val="nil"/>
                  <w:left w:val="nil"/>
                  <w:bottom w:val="single" w:sz="4" w:space="0" w:color="A6A6A6"/>
                  <w:right w:val="single" w:sz="4" w:space="0" w:color="A6A6A6"/>
                </w:tcBorders>
                <w:shd w:val="clear" w:color="auto" w:fill="auto"/>
                <w:noWrap/>
                <w:vAlign w:val="center"/>
                <w:hideMark/>
              </w:tcPr>
              <w:p w14:paraId="7010AE70" w14:textId="493AB2E0" w:rsidR="00B57C05" w:rsidRPr="007B3757" w:rsidRDefault="00B57C05" w:rsidP="007B3757">
                <w:pPr>
                  <w:spacing w:after="0" w:line="240" w:lineRule="auto"/>
                  <w:jc w:val="right"/>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 xml:space="preserve">3.619.473.334 </w:t>
                </w:r>
              </w:p>
            </w:tc>
          </w:tr>
          <w:tr w:rsidR="00B57C05" w:rsidRPr="00126C87" w14:paraId="672432AC" w14:textId="77777777" w:rsidTr="00AB0DAE">
            <w:trPr>
              <w:trHeight w:val="293"/>
            </w:trPr>
            <w:tc>
              <w:tcPr>
                <w:tcW w:w="1973" w:type="pct"/>
                <w:tcBorders>
                  <w:top w:val="nil"/>
                  <w:left w:val="single" w:sz="4" w:space="0" w:color="A6A6A6"/>
                  <w:bottom w:val="single" w:sz="4" w:space="0" w:color="A6A6A6"/>
                  <w:right w:val="single" w:sz="4" w:space="0" w:color="A6A6A6"/>
                </w:tcBorders>
                <w:shd w:val="clear" w:color="auto" w:fill="auto"/>
                <w:noWrap/>
                <w:vAlign w:val="center"/>
                <w:hideMark/>
              </w:tcPr>
              <w:p w14:paraId="78336F5B" w14:textId="0469A3AB" w:rsidR="00B57C05" w:rsidRPr="007B3757" w:rsidRDefault="00B57C05" w:rsidP="00B57C05">
                <w:pPr>
                  <w:spacing w:after="0" w:line="240" w:lineRule="auto"/>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w:t>
                </w:r>
                <w:r w:rsidRPr="00126C87">
                  <w:rPr>
                    <w:rFonts w:ascii="Times New Roman" w:eastAsia="Times New Roman" w:hAnsi="Times New Roman"/>
                    <w:sz w:val="16"/>
                    <w:szCs w:val="16"/>
                    <w:lang w:eastAsia="es-CO"/>
                  </w:rPr>
                  <w:t xml:space="preserve"> </w:t>
                </w:r>
                <w:r w:rsidRPr="007B3757">
                  <w:rPr>
                    <w:rFonts w:ascii="Times New Roman" w:eastAsia="Times New Roman" w:hAnsi="Times New Roman"/>
                    <w:sz w:val="16"/>
                    <w:szCs w:val="16"/>
                    <w:lang w:eastAsia="es-CO"/>
                  </w:rPr>
                  <w:t>Entrada por traslado de cuentas (DB)</w:t>
                </w:r>
              </w:p>
            </w:tc>
            <w:tc>
              <w:tcPr>
                <w:tcW w:w="791" w:type="pct"/>
                <w:tcBorders>
                  <w:top w:val="nil"/>
                  <w:left w:val="nil"/>
                  <w:bottom w:val="single" w:sz="4" w:space="0" w:color="A6A6A6"/>
                  <w:right w:val="single" w:sz="4" w:space="0" w:color="A6A6A6"/>
                </w:tcBorders>
                <w:shd w:val="clear" w:color="auto" w:fill="auto"/>
                <w:noWrap/>
                <w:vAlign w:val="center"/>
                <w:hideMark/>
              </w:tcPr>
              <w:p w14:paraId="6843F236" w14:textId="48A077B4" w:rsidR="00B57C05" w:rsidRPr="007B3757" w:rsidRDefault="00B57C05"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xml:space="preserve">-   </w:t>
                </w:r>
              </w:p>
            </w:tc>
            <w:tc>
              <w:tcPr>
                <w:tcW w:w="711" w:type="pct"/>
                <w:tcBorders>
                  <w:top w:val="nil"/>
                  <w:left w:val="nil"/>
                  <w:bottom w:val="single" w:sz="4" w:space="0" w:color="A6A6A6"/>
                  <w:right w:val="single" w:sz="4" w:space="0" w:color="A6A6A6"/>
                </w:tcBorders>
                <w:shd w:val="clear" w:color="auto" w:fill="auto"/>
                <w:noWrap/>
                <w:vAlign w:val="center"/>
                <w:hideMark/>
              </w:tcPr>
              <w:p w14:paraId="11B00113" w14:textId="5CA14C0D" w:rsidR="00B57C05" w:rsidRPr="007B3757" w:rsidRDefault="00B57C05"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xml:space="preserve">-   </w:t>
                </w:r>
              </w:p>
            </w:tc>
            <w:tc>
              <w:tcPr>
                <w:tcW w:w="791" w:type="pct"/>
                <w:tcBorders>
                  <w:top w:val="nil"/>
                  <w:left w:val="nil"/>
                  <w:bottom w:val="single" w:sz="4" w:space="0" w:color="A6A6A6"/>
                  <w:right w:val="single" w:sz="4" w:space="0" w:color="A6A6A6"/>
                </w:tcBorders>
                <w:shd w:val="clear" w:color="auto" w:fill="auto"/>
                <w:noWrap/>
                <w:vAlign w:val="center"/>
                <w:hideMark/>
              </w:tcPr>
              <w:p w14:paraId="2825E842" w14:textId="6F273AD3" w:rsidR="00B57C05" w:rsidRPr="007B3757" w:rsidRDefault="00B57C05"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xml:space="preserve">3.619.473.334 </w:t>
                </w:r>
              </w:p>
            </w:tc>
            <w:tc>
              <w:tcPr>
                <w:tcW w:w="734" w:type="pct"/>
                <w:tcBorders>
                  <w:top w:val="nil"/>
                  <w:left w:val="nil"/>
                  <w:bottom w:val="single" w:sz="4" w:space="0" w:color="A6A6A6"/>
                  <w:right w:val="single" w:sz="4" w:space="0" w:color="A6A6A6"/>
                </w:tcBorders>
                <w:shd w:val="clear" w:color="auto" w:fill="auto"/>
                <w:noWrap/>
                <w:vAlign w:val="center"/>
                <w:hideMark/>
              </w:tcPr>
              <w:p w14:paraId="514BE1D9" w14:textId="471ED58B" w:rsidR="00B57C05" w:rsidRPr="007B3757" w:rsidRDefault="00B57C05" w:rsidP="007B3757">
                <w:pPr>
                  <w:spacing w:after="0" w:line="240" w:lineRule="auto"/>
                  <w:jc w:val="right"/>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 xml:space="preserve">3.619.473.334 </w:t>
                </w:r>
              </w:p>
            </w:tc>
          </w:tr>
          <w:tr w:rsidR="00B57C05" w:rsidRPr="00126C87" w14:paraId="39282D9D" w14:textId="77777777" w:rsidTr="00AB0DAE">
            <w:trPr>
              <w:trHeight w:val="293"/>
            </w:trPr>
            <w:tc>
              <w:tcPr>
                <w:tcW w:w="1973" w:type="pct"/>
                <w:tcBorders>
                  <w:top w:val="nil"/>
                  <w:left w:val="single" w:sz="4" w:space="0" w:color="A6A6A6"/>
                  <w:bottom w:val="single" w:sz="4" w:space="0" w:color="A6A6A6"/>
                  <w:right w:val="single" w:sz="4" w:space="0" w:color="A6A6A6"/>
                </w:tcBorders>
                <w:shd w:val="clear" w:color="auto" w:fill="auto"/>
                <w:noWrap/>
                <w:vAlign w:val="center"/>
                <w:hideMark/>
              </w:tcPr>
              <w:p w14:paraId="3A536067" w14:textId="77777777" w:rsidR="00B57C05" w:rsidRPr="007B3757" w:rsidRDefault="00B57C05" w:rsidP="00B57C05">
                <w:pPr>
                  <w:spacing w:after="0" w:line="240" w:lineRule="auto"/>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Modo carretero</w:t>
                </w:r>
              </w:p>
            </w:tc>
            <w:tc>
              <w:tcPr>
                <w:tcW w:w="791" w:type="pct"/>
                <w:tcBorders>
                  <w:top w:val="nil"/>
                  <w:left w:val="nil"/>
                  <w:bottom w:val="single" w:sz="4" w:space="0" w:color="A6A6A6"/>
                  <w:right w:val="single" w:sz="4" w:space="0" w:color="A6A6A6"/>
                </w:tcBorders>
                <w:shd w:val="clear" w:color="auto" w:fill="auto"/>
                <w:noWrap/>
                <w:vAlign w:val="center"/>
                <w:hideMark/>
              </w:tcPr>
              <w:p w14:paraId="2BA61F85" w14:textId="2F860665" w:rsidR="00B57C05" w:rsidRPr="007B3757" w:rsidRDefault="00B57C05"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xml:space="preserve">-   </w:t>
                </w:r>
              </w:p>
            </w:tc>
            <w:tc>
              <w:tcPr>
                <w:tcW w:w="711" w:type="pct"/>
                <w:tcBorders>
                  <w:top w:val="nil"/>
                  <w:left w:val="nil"/>
                  <w:bottom w:val="single" w:sz="4" w:space="0" w:color="A6A6A6"/>
                  <w:right w:val="single" w:sz="4" w:space="0" w:color="A6A6A6"/>
                </w:tcBorders>
                <w:shd w:val="clear" w:color="auto" w:fill="auto"/>
                <w:noWrap/>
                <w:vAlign w:val="center"/>
                <w:hideMark/>
              </w:tcPr>
              <w:p w14:paraId="1F13EB77" w14:textId="2103986B" w:rsidR="00B57C05" w:rsidRPr="007B3757" w:rsidRDefault="00B57C05"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xml:space="preserve">-   </w:t>
                </w:r>
              </w:p>
            </w:tc>
            <w:tc>
              <w:tcPr>
                <w:tcW w:w="791" w:type="pct"/>
                <w:tcBorders>
                  <w:top w:val="nil"/>
                  <w:left w:val="nil"/>
                  <w:bottom w:val="single" w:sz="4" w:space="0" w:color="A6A6A6"/>
                  <w:right w:val="single" w:sz="4" w:space="0" w:color="A6A6A6"/>
                </w:tcBorders>
                <w:shd w:val="clear" w:color="auto" w:fill="auto"/>
                <w:noWrap/>
                <w:vAlign w:val="center"/>
                <w:hideMark/>
              </w:tcPr>
              <w:p w14:paraId="5A3CE5E8" w14:textId="3FCAF3A9" w:rsidR="00B57C05" w:rsidRPr="007B3757" w:rsidRDefault="00B57C05"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xml:space="preserve">3.619.473.334 </w:t>
                </w:r>
              </w:p>
            </w:tc>
            <w:tc>
              <w:tcPr>
                <w:tcW w:w="734" w:type="pct"/>
                <w:tcBorders>
                  <w:top w:val="nil"/>
                  <w:left w:val="nil"/>
                  <w:bottom w:val="single" w:sz="4" w:space="0" w:color="A6A6A6"/>
                  <w:right w:val="single" w:sz="4" w:space="0" w:color="A6A6A6"/>
                </w:tcBorders>
                <w:shd w:val="clear" w:color="auto" w:fill="auto"/>
                <w:noWrap/>
                <w:vAlign w:val="center"/>
                <w:hideMark/>
              </w:tcPr>
              <w:p w14:paraId="6D4CDF87" w14:textId="77777777" w:rsidR="00B57C05" w:rsidRPr="007B3757" w:rsidRDefault="00B57C05" w:rsidP="007B3757">
                <w:pPr>
                  <w:spacing w:after="0" w:line="240" w:lineRule="auto"/>
                  <w:jc w:val="right"/>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 </w:t>
                </w:r>
              </w:p>
            </w:tc>
          </w:tr>
          <w:tr w:rsidR="00B57C05" w:rsidRPr="00126C87" w14:paraId="26D6F89A" w14:textId="77777777" w:rsidTr="00AB0DAE">
            <w:trPr>
              <w:trHeight w:val="293"/>
            </w:trPr>
            <w:tc>
              <w:tcPr>
                <w:tcW w:w="1973" w:type="pct"/>
                <w:tcBorders>
                  <w:top w:val="nil"/>
                  <w:left w:val="single" w:sz="4" w:space="0" w:color="A6A6A6"/>
                  <w:bottom w:val="single" w:sz="4" w:space="0" w:color="A6A6A6"/>
                  <w:right w:val="single" w:sz="4" w:space="0" w:color="A6A6A6"/>
                </w:tcBorders>
                <w:shd w:val="clear" w:color="auto" w:fill="auto"/>
                <w:noWrap/>
                <w:vAlign w:val="center"/>
                <w:hideMark/>
              </w:tcPr>
              <w:p w14:paraId="0E6C057F" w14:textId="48788DA9" w:rsidR="00B57C05" w:rsidRPr="007B3757" w:rsidRDefault="00B57C05" w:rsidP="00B57C05">
                <w:pPr>
                  <w:spacing w:after="0" w:line="240" w:lineRule="auto"/>
                  <w:rPr>
                    <w:rFonts w:ascii="Times New Roman" w:eastAsia="Times New Roman" w:hAnsi="Times New Roman"/>
                    <w:sz w:val="16"/>
                    <w:szCs w:val="16"/>
                    <w:lang w:eastAsia="es-CO"/>
                  </w:rPr>
                </w:pPr>
                <w:r w:rsidRPr="00126C87">
                  <w:rPr>
                    <w:rFonts w:ascii="Times New Roman" w:eastAsia="Times New Roman" w:hAnsi="Times New Roman"/>
                    <w:sz w:val="16"/>
                    <w:szCs w:val="16"/>
                    <w:lang w:eastAsia="es-CO"/>
                  </w:rPr>
                  <w:t>(</w:t>
                </w:r>
                <w:r w:rsidRPr="007B3757">
                  <w:rPr>
                    <w:rFonts w:ascii="Times New Roman" w:eastAsia="Times New Roman" w:hAnsi="Times New Roman"/>
                    <w:sz w:val="16"/>
                    <w:szCs w:val="16"/>
                    <w:lang w:eastAsia="es-CO"/>
                  </w:rPr>
                  <w:t>-</w:t>
                </w:r>
                <w:r w:rsidRPr="00126C87">
                  <w:rPr>
                    <w:rFonts w:ascii="Times New Roman" w:eastAsia="Times New Roman" w:hAnsi="Times New Roman"/>
                    <w:sz w:val="16"/>
                    <w:szCs w:val="16"/>
                    <w:lang w:eastAsia="es-CO"/>
                  </w:rPr>
                  <w:t xml:space="preserve">) </w:t>
                </w:r>
                <w:r w:rsidRPr="007B3757">
                  <w:rPr>
                    <w:rFonts w:ascii="Times New Roman" w:eastAsia="Times New Roman" w:hAnsi="Times New Roman"/>
                    <w:sz w:val="16"/>
                    <w:szCs w:val="16"/>
                    <w:lang w:eastAsia="es-CO"/>
                  </w:rPr>
                  <w:t>Salida por traslado de cuentas (CR)</w:t>
                </w:r>
              </w:p>
            </w:tc>
            <w:tc>
              <w:tcPr>
                <w:tcW w:w="791" w:type="pct"/>
                <w:tcBorders>
                  <w:top w:val="nil"/>
                  <w:left w:val="nil"/>
                  <w:bottom w:val="single" w:sz="4" w:space="0" w:color="A6A6A6"/>
                  <w:right w:val="single" w:sz="4" w:space="0" w:color="A6A6A6"/>
                </w:tcBorders>
                <w:shd w:val="clear" w:color="auto" w:fill="auto"/>
                <w:noWrap/>
                <w:vAlign w:val="center"/>
                <w:hideMark/>
              </w:tcPr>
              <w:p w14:paraId="611B8B56" w14:textId="77B8B4AB" w:rsidR="00B57C05" w:rsidRPr="007B3757" w:rsidRDefault="00B57C05"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xml:space="preserve">-   </w:t>
                </w:r>
              </w:p>
            </w:tc>
            <w:tc>
              <w:tcPr>
                <w:tcW w:w="711" w:type="pct"/>
                <w:tcBorders>
                  <w:top w:val="nil"/>
                  <w:left w:val="nil"/>
                  <w:bottom w:val="single" w:sz="4" w:space="0" w:color="A6A6A6"/>
                  <w:right w:val="single" w:sz="4" w:space="0" w:color="A6A6A6"/>
                </w:tcBorders>
                <w:shd w:val="clear" w:color="auto" w:fill="auto"/>
                <w:noWrap/>
                <w:vAlign w:val="center"/>
                <w:hideMark/>
              </w:tcPr>
              <w:p w14:paraId="78BD56E7" w14:textId="7AA5AACA" w:rsidR="00B57C05" w:rsidRPr="007B3757" w:rsidRDefault="00B57C05"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xml:space="preserve">-   </w:t>
                </w:r>
              </w:p>
            </w:tc>
            <w:tc>
              <w:tcPr>
                <w:tcW w:w="791" w:type="pct"/>
                <w:tcBorders>
                  <w:top w:val="nil"/>
                  <w:left w:val="nil"/>
                  <w:bottom w:val="single" w:sz="4" w:space="0" w:color="A6A6A6"/>
                  <w:right w:val="single" w:sz="4" w:space="0" w:color="A6A6A6"/>
                </w:tcBorders>
                <w:shd w:val="clear" w:color="auto" w:fill="auto"/>
                <w:noWrap/>
                <w:vAlign w:val="center"/>
                <w:hideMark/>
              </w:tcPr>
              <w:p w14:paraId="12BBD501" w14:textId="31F41303" w:rsidR="00B57C05" w:rsidRPr="007B3757" w:rsidRDefault="00B57C05"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xml:space="preserve">-   </w:t>
                </w:r>
              </w:p>
            </w:tc>
            <w:tc>
              <w:tcPr>
                <w:tcW w:w="734" w:type="pct"/>
                <w:tcBorders>
                  <w:top w:val="nil"/>
                  <w:left w:val="nil"/>
                  <w:bottom w:val="single" w:sz="4" w:space="0" w:color="A6A6A6"/>
                  <w:right w:val="single" w:sz="4" w:space="0" w:color="A6A6A6"/>
                </w:tcBorders>
                <w:shd w:val="clear" w:color="auto" w:fill="auto"/>
                <w:noWrap/>
                <w:vAlign w:val="center"/>
                <w:hideMark/>
              </w:tcPr>
              <w:p w14:paraId="4AE74F38" w14:textId="70FBD27B" w:rsidR="00B57C05" w:rsidRPr="007B3757" w:rsidRDefault="00B57C05"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xml:space="preserve">-   </w:t>
                </w:r>
              </w:p>
            </w:tc>
          </w:tr>
          <w:tr w:rsidR="00B57C05" w:rsidRPr="00126C87" w14:paraId="598DF38F" w14:textId="77777777" w:rsidTr="00AB0DAE">
            <w:trPr>
              <w:trHeight w:val="293"/>
            </w:trPr>
            <w:tc>
              <w:tcPr>
                <w:tcW w:w="1973" w:type="pct"/>
                <w:tcBorders>
                  <w:top w:val="nil"/>
                  <w:left w:val="single" w:sz="4" w:space="0" w:color="A6A6A6"/>
                  <w:bottom w:val="single" w:sz="4" w:space="0" w:color="A6A6A6"/>
                  <w:right w:val="single" w:sz="4" w:space="0" w:color="A6A6A6"/>
                </w:tcBorders>
                <w:shd w:val="clear" w:color="auto" w:fill="auto"/>
                <w:noWrap/>
                <w:vAlign w:val="center"/>
                <w:hideMark/>
              </w:tcPr>
              <w:p w14:paraId="066C689A" w14:textId="7BDAB52F" w:rsidR="00B57C05" w:rsidRPr="007B3757" w:rsidRDefault="00B57C05" w:rsidP="00B57C05">
                <w:pPr>
                  <w:spacing w:after="0" w:line="240" w:lineRule="auto"/>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lastRenderedPageBreak/>
                  <w:t>+</w:t>
                </w:r>
                <w:r w:rsidRPr="00126C87">
                  <w:rPr>
                    <w:rFonts w:ascii="Times New Roman" w:eastAsia="Times New Roman" w:hAnsi="Times New Roman"/>
                    <w:sz w:val="16"/>
                    <w:szCs w:val="16"/>
                    <w:lang w:eastAsia="es-CO"/>
                  </w:rPr>
                  <w:t xml:space="preserve"> </w:t>
                </w:r>
                <w:r w:rsidRPr="007B3757">
                  <w:rPr>
                    <w:rFonts w:ascii="Times New Roman" w:eastAsia="Times New Roman" w:hAnsi="Times New Roman"/>
                    <w:sz w:val="16"/>
                    <w:szCs w:val="16"/>
                    <w:lang w:eastAsia="es-CO"/>
                  </w:rPr>
                  <w:t>Ajustes/Reclasificaciones en entradas (DB)</w:t>
                </w:r>
              </w:p>
            </w:tc>
            <w:tc>
              <w:tcPr>
                <w:tcW w:w="791" w:type="pct"/>
                <w:tcBorders>
                  <w:top w:val="nil"/>
                  <w:left w:val="nil"/>
                  <w:bottom w:val="single" w:sz="4" w:space="0" w:color="A6A6A6"/>
                  <w:right w:val="single" w:sz="4" w:space="0" w:color="A6A6A6"/>
                </w:tcBorders>
                <w:shd w:val="clear" w:color="auto" w:fill="auto"/>
                <w:noWrap/>
                <w:vAlign w:val="center"/>
                <w:hideMark/>
              </w:tcPr>
              <w:p w14:paraId="07F5A142" w14:textId="336DC1D2" w:rsidR="00B57C05" w:rsidRPr="007B3757" w:rsidRDefault="00B57C05"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xml:space="preserve">-   </w:t>
                </w:r>
              </w:p>
            </w:tc>
            <w:tc>
              <w:tcPr>
                <w:tcW w:w="711" w:type="pct"/>
                <w:tcBorders>
                  <w:top w:val="nil"/>
                  <w:left w:val="nil"/>
                  <w:bottom w:val="single" w:sz="4" w:space="0" w:color="A6A6A6"/>
                  <w:right w:val="single" w:sz="4" w:space="0" w:color="A6A6A6"/>
                </w:tcBorders>
                <w:shd w:val="clear" w:color="auto" w:fill="auto"/>
                <w:noWrap/>
                <w:vAlign w:val="center"/>
                <w:hideMark/>
              </w:tcPr>
              <w:p w14:paraId="75381520" w14:textId="7874AE4F" w:rsidR="00B57C05" w:rsidRPr="007B3757" w:rsidRDefault="00B57C05"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xml:space="preserve">-   </w:t>
                </w:r>
              </w:p>
            </w:tc>
            <w:tc>
              <w:tcPr>
                <w:tcW w:w="791" w:type="pct"/>
                <w:tcBorders>
                  <w:top w:val="nil"/>
                  <w:left w:val="nil"/>
                  <w:bottom w:val="single" w:sz="4" w:space="0" w:color="A6A6A6"/>
                  <w:right w:val="single" w:sz="4" w:space="0" w:color="A6A6A6"/>
                </w:tcBorders>
                <w:shd w:val="clear" w:color="auto" w:fill="auto"/>
                <w:noWrap/>
                <w:vAlign w:val="center"/>
                <w:hideMark/>
              </w:tcPr>
              <w:p w14:paraId="038F56A7" w14:textId="1D07AB14" w:rsidR="00B57C05" w:rsidRPr="007B3757" w:rsidRDefault="00B57C05"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xml:space="preserve">-   </w:t>
                </w:r>
              </w:p>
            </w:tc>
            <w:tc>
              <w:tcPr>
                <w:tcW w:w="734" w:type="pct"/>
                <w:tcBorders>
                  <w:top w:val="nil"/>
                  <w:left w:val="nil"/>
                  <w:bottom w:val="single" w:sz="4" w:space="0" w:color="A6A6A6"/>
                  <w:right w:val="single" w:sz="4" w:space="0" w:color="A6A6A6"/>
                </w:tcBorders>
                <w:shd w:val="clear" w:color="auto" w:fill="auto"/>
                <w:noWrap/>
                <w:vAlign w:val="center"/>
                <w:hideMark/>
              </w:tcPr>
              <w:p w14:paraId="2CFBF90B" w14:textId="389F4BD6" w:rsidR="00B57C05" w:rsidRPr="007B3757" w:rsidRDefault="00B57C05"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xml:space="preserve">-   </w:t>
                </w:r>
              </w:p>
            </w:tc>
          </w:tr>
          <w:tr w:rsidR="00C60E88" w:rsidRPr="00126C87" w14:paraId="592CAA4A" w14:textId="77777777" w:rsidTr="00AB0DAE">
            <w:trPr>
              <w:trHeight w:val="293"/>
            </w:trPr>
            <w:tc>
              <w:tcPr>
                <w:tcW w:w="1973" w:type="pct"/>
                <w:tcBorders>
                  <w:top w:val="nil"/>
                  <w:left w:val="single" w:sz="4" w:space="0" w:color="A6A6A6"/>
                  <w:bottom w:val="single" w:sz="4" w:space="0" w:color="A6A6A6"/>
                  <w:right w:val="single" w:sz="4" w:space="0" w:color="A6A6A6"/>
                </w:tcBorders>
                <w:shd w:val="clear" w:color="auto" w:fill="auto"/>
                <w:noWrap/>
                <w:vAlign w:val="center"/>
                <w:hideMark/>
              </w:tcPr>
              <w:p w14:paraId="7FCCFE35" w14:textId="7758F1A7" w:rsidR="007B3757" w:rsidRPr="007B3757" w:rsidRDefault="007B3757" w:rsidP="007B3757">
                <w:pPr>
                  <w:spacing w:after="0" w:line="240" w:lineRule="auto"/>
                  <w:rPr>
                    <w:rFonts w:ascii="Times New Roman" w:eastAsia="Times New Roman" w:hAnsi="Times New Roman"/>
                    <w:sz w:val="16"/>
                    <w:szCs w:val="16"/>
                    <w:lang w:eastAsia="es-CO"/>
                  </w:rPr>
                </w:pPr>
                <w:r w:rsidRPr="00126C87">
                  <w:rPr>
                    <w:rFonts w:ascii="Times New Roman" w:eastAsia="Times New Roman" w:hAnsi="Times New Roman"/>
                    <w:sz w:val="16"/>
                    <w:szCs w:val="16"/>
                    <w:lang w:eastAsia="es-CO"/>
                  </w:rPr>
                  <w:t>(</w:t>
                </w:r>
                <w:r w:rsidRPr="007B3757">
                  <w:rPr>
                    <w:rFonts w:ascii="Times New Roman" w:eastAsia="Times New Roman" w:hAnsi="Times New Roman"/>
                    <w:sz w:val="16"/>
                    <w:szCs w:val="16"/>
                    <w:lang w:eastAsia="es-CO"/>
                  </w:rPr>
                  <w:t>-</w:t>
                </w:r>
                <w:r w:rsidRPr="00126C87">
                  <w:rPr>
                    <w:rFonts w:ascii="Times New Roman" w:eastAsia="Times New Roman" w:hAnsi="Times New Roman"/>
                    <w:sz w:val="16"/>
                    <w:szCs w:val="16"/>
                    <w:lang w:eastAsia="es-CO"/>
                  </w:rPr>
                  <w:t xml:space="preserve">) </w:t>
                </w:r>
                <w:r w:rsidRPr="007B3757">
                  <w:rPr>
                    <w:rFonts w:ascii="Times New Roman" w:eastAsia="Times New Roman" w:hAnsi="Times New Roman"/>
                    <w:sz w:val="16"/>
                    <w:szCs w:val="16"/>
                    <w:lang w:eastAsia="es-CO"/>
                  </w:rPr>
                  <w:t>Ajustes/Reclasificaciones en salidas (CR)</w:t>
                </w:r>
              </w:p>
            </w:tc>
            <w:tc>
              <w:tcPr>
                <w:tcW w:w="791" w:type="pct"/>
                <w:tcBorders>
                  <w:top w:val="nil"/>
                  <w:left w:val="nil"/>
                  <w:bottom w:val="single" w:sz="4" w:space="0" w:color="A6A6A6"/>
                  <w:right w:val="single" w:sz="4" w:space="0" w:color="A6A6A6"/>
                </w:tcBorders>
                <w:shd w:val="clear" w:color="auto" w:fill="auto"/>
                <w:noWrap/>
                <w:vAlign w:val="center"/>
                <w:hideMark/>
              </w:tcPr>
              <w:p w14:paraId="76413594" w14:textId="1DC5D799" w:rsidR="007B3757" w:rsidRPr="007B3757" w:rsidRDefault="007B3757"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xml:space="preserve">-   </w:t>
                </w:r>
              </w:p>
            </w:tc>
            <w:tc>
              <w:tcPr>
                <w:tcW w:w="711" w:type="pct"/>
                <w:tcBorders>
                  <w:top w:val="nil"/>
                  <w:left w:val="nil"/>
                  <w:bottom w:val="single" w:sz="4" w:space="0" w:color="A6A6A6"/>
                  <w:right w:val="single" w:sz="4" w:space="0" w:color="A6A6A6"/>
                </w:tcBorders>
                <w:shd w:val="clear" w:color="auto" w:fill="auto"/>
                <w:noWrap/>
                <w:vAlign w:val="center"/>
                <w:hideMark/>
              </w:tcPr>
              <w:p w14:paraId="3EB1788F" w14:textId="254660A3" w:rsidR="007B3757" w:rsidRPr="007B3757" w:rsidRDefault="007B3757"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xml:space="preserve">-   </w:t>
                </w:r>
              </w:p>
            </w:tc>
            <w:tc>
              <w:tcPr>
                <w:tcW w:w="791" w:type="pct"/>
                <w:tcBorders>
                  <w:top w:val="nil"/>
                  <w:left w:val="nil"/>
                  <w:bottom w:val="single" w:sz="4" w:space="0" w:color="A6A6A6"/>
                  <w:right w:val="single" w:sz="4" w:space="0" w:color="A6A6A6"/>
                </w:tcBorders>
                <w:shd w:val="clear" w:color="auto" w:fill="auto"/>
                <w:noWrap/>
                <w:vAlign w:val="center"/>
                <w:hideMark/>
              </w:tcPr>
              <w:p w14:paraId="396AE14A" w14:textId="171E3A50" w:rsidR="007B3757" w:rsidRPr="007B3757" w:rsidRDefault="007B3757"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xml:space="preserve">-   </w:t>
                </w:r>
              </w:p>
            </w:tc>
            <w:tc>
              <w:tcPr>
                <w:tcW w:w="734" w:type="pct"/>
                <w:tcBorders>
                  <w:top w:val="nil"/>
                  <w:left w:val="nil"/>
                  <w:bottom w:val="single" w:sz="4" w:space="0" w:color="A6A6A6"/>
                  <w:right w:val="single" w:sz="4" w:space="0" w:color="A6A6A6"/>
                </w:tcBorders>
                <w:shd w:val="clear" w:color="auto" w:fill="auto"/>
                <w:noWrap/>
                <w:vAlign w:val="center"/>
                <w:hideMark/>
              </w:tcPr>
              <w:p w14:paraId="54519778" w14:textId="78D131AC" w:rsidR="007B3757" w:rsidRPr="007B3757" w:rsidRDefault="007B3757"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xml:space="preserve">-   </w:t>
                </w:r>
              </w:p>
            </w:tc>
          </w:tr>
          <w:tr w:rsidR="00C60E88" w:rsidRPr="00126C87" w14:paraId="688783D1" w14:textId="77777777" w:rsidTr="00AB0DAE">
            <w:trPr>
              <w:trHeight w:val="586"/>
            </w:trPr>
            <w:tc>
              <w:tcPr>
                <w:tcW w:w="1973" w:type="pct"/>
                <w:tcBorders>
                  <w:top w:val="nil"/>
                  <w:left w:val="single" w:sz="4" w:space="0" w:color="A6A6A6"/>
                  <w:bottom w:val="single" w:sz="4" w:space="0" w:color="A6A6A6"/>
                  <w:right w:val="single" w:sz="4" w:space="0" w:color="A6A6A6"/>
                </w:tcBorders>
                <w:shd w:val="clear" w:color="auto" w:fill="auto"/>
                <w:noWrap/>
                <w:vAlign w:val="center"/>
                <w:hideMark/>
              </w:tcPr>
              <w:p w14:paraId="53701BFE" w14:textId="29C73C13" w:rsidR="007B3757" w:rsidRPr="007B3757" w:rsidRDefault="007B3757" w:rsidP="007B3757">
                <w:pPr>
                  <w:spacing w:after="0" w:line="240" w:lineRule="auto"/>
                  <w:rPr>
                    <w:rFonts w:ascii="Times New Roman" w:eastAsia="Times New Roman" w:hAnsi="Times New Roman"/>
                    <w:b/>
                    <w:bCs/>
                    <w:sz w:val="16"/>
                    <w:szCs w:val="16"/>
                    <w:lang w:eastAsia="es-CO"/>
                  </w:rPr>
                </w:pPr>
                <w:r w:rsidRPr="00126C87">
                  <w:rPr>
                    <w:rFonts w:ascii="Times New Roman" w:eastAsia="Times New Roman" w:hAnsi="Times New Roman"/>
                    <w:b/>
                    <w:bCs/>
                    <w:sz w:val="16"/>
                    <w:szCs w:val="16"/>
                    <w:lang w:eastAsia="es-CO"/>
                  </w:rPr>
                  <w:t>= SALDO</w:t>
                </w:r>
                <w:r w:rsidRPr="007B3757">
                  <w:rPr>
                    <w:rFonts w:ascii="Times New Roman" w:eastAsia="Times New Roman" w:hAnsi="Times New Roman"/>
                    <w:b/>
                    <w:bCs/>
                    <w:sz w:val="16"/>
                    <w:szCs w:val="16"/>
                    <w:lang w:eastAsia="es-CO"/>
                  </w:rPr>
                  <w:t xml:space="preserve"> FINAL (Subtotal + Cambios)</w:t>
                </w:r>
              </w:p>
            </w:tc>
            <w:tc>
              <w:tcPr>
                <w:tcW w:w="791" w:type="pct"/>
                <w:tcBorders>
                  <w:top w:val="nil"/>
                  <w:left w:val="nil"/>
                  <w:bottom w:val="single" w:sz="4" w:space="0" w:color="A6A6A6"/>
                  <w:right w:val="single" w:sz="4" w:space="0" w:color="A6A6A6"/>
                </w:tcBorders>
                <w:shd w:val="clear" w:color="auto" w:fill="auto"/>
                <w:noWrap/>
                <w:vAlign w:val="center"/>
                <w:hideMark/>
              </w:tcPr>
              <w:p w14:paraId="0EEEB525" w14:textId="2B5FFE10" w:rsidR="007B3757" w:rsidRPr="007B3757" w:rsidRDefault="007B3757" w:rsidP="007B3757">
                <w:pPr>
                  <w:spacing w:after="0" w:line="240" w:lineRule="auto"/>
                  <w:jc w:val="right"/>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 xml:space="preserve">2.826.967.616 </w:t>
                </w:r>
              </w:p>
            </w:tc>
            <w:tc>
              <w:tcPr>
                <w:tcW w:w="711" w:type="pct"/>
                <w:tcBorders>
                  <w:top w:val="nil"/>
                  <w:left w:val="nil"/>
                  <w:bottom w:val="single" w:sz="4" w:space="0" w:color="A6A6A6"/>
                  <w:right w:val="single" w:sz="4" w:space="0" w:color="A6A6A6"/>
                </w:tcBorders>
                <w:shd w:val="clear" w:color="auto" w:fill="auto"/>
                <w:noWrap/>
                <w:vAlign w:val="center"/>
                <w:hideMark/>
              </w:tcPr>
              <w:p w14:paraId="76A8060F" w14:textId="22773251" w:rsidR="007B3757" w:rsidRPr="007B3757" w:rsidRDefault="007B3757" w:rsidP="007B3757">
                <w:pPr>
                  <w:spacing w:after="0" w:line="240" w:lineRule="auto"/>
                  <w:jc w:val="right"/>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 xml:space="preserve">502.769.817 </w:t>
                </w:r>
              </w:p>
            </w:tc>
            <w:tc>
              <w:tcPr>
                <w:tcW w:w="791" w:type="pct"/>
                <w:tcBorders>
                  <w:top w:val="nil"/>
                  <w:left w:val="nil"/>
                  <w:bottom w:val="single" w:sz="4" w:space="0" w:color="A6A6A6"/>
                  <w:right w:val="single" w:sz="4" w:space="0" w:color="A6A6A6"/>
                </w:tcBorders>
                <w:shd w:val="clear" w:color="auto" w:fill="auto"/>
                <w:noWrap/>
                <w:vAlign w:val="center"/>
                <w:hideMark/>
              </w:tcPr>
              <w:p w14:paraId="26FD6171" w14:textId="533878BE" w:rsidR="007B3757" w:rsidRPr="007B3757" w:rsidRDefault="007B3757" w:rsidP="007B3757">
                <w:pPr>
                  <w:spacing w:after="0" w:line="240" w:lineRule="auto"/>
                  <w:jc w:val="right"/>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 xml:space="preserve">241.471.174.113 </w:t>
                </w:r>
              </w:p>
            </w:tc>
            <w:tc>
              <w:tcPr>
                <w:tcW w:w="734" w:type="pct"/>
                <w:tcBorders>
                  <w:top w:val="nil"/>
                  <w:left w:val="nil"/>
                  <w:bottom w:val="single" w:sz="4" w:space="0" w:color="A6A6A6"/>
                  <w:right w:val="single" w:sz="4" w:space="0" w:color="A6A6A6"/>
                </w:tcBorders>
                <w:shd w:val="clear" w:color="auto" w:fill="auto"/>
                <w:noWrap/>
                <w:vAlign w:val="center"/>
                <w:hideMark/>
              </w:tcPr>
              <w:p w14:paraId="618FE66B" w14:textId="35D34CE7" w:rsidR="007B3757" w:rsidRPr="007B3757" w:rsidRDefault="007B3757" w:rsidP="007B3757">
                <w:pPr>
                  <w:spacing w:after="0" w:line="240" w:lineRule="auto"/>
                  <w:jc w:val="right"/>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 xml:space="preserve">244.800.911.546 </w:t>
                </w:r>
              </w:p>
            </w:tc>
          </w:tr>
          <w:tr w:rsidR="007B3757" w:rsidRPr="00126C87" w14:paraId="7E71D5B9" w14:textId="77777777" w:rsidTr="00AB0DAE">
            <w:trPr>
              <w:trHeight w:val="293"/>
            </w:trPr>
            <w:tc>
              <w:tcPr>
                <w:tcW w:w="1973" w:type="pct"/>
                <w:tcBorders>
                  <w:top w:val="nil"/>
                  <w:left w:val="single" w:sz="4" w:space="0" w:color="A6A6A6"/>
                  <w:bottom w:val="single" w:sz="4" w:space="0" w:color="A6A6A6"/>
                  <w:right w:val="single" w:sz="4" w:space="0" w:color="A6A6A6"/>
                </w:tcBorders>
                <w:shd w:val="clear" w:color="auto" w:fill="auto"/>
                <w:noWrap/>
                <w:vAlign w:val="center"/>
                <w:hideMark/>
              </w:tcPr>
              <w:p w14:paraId="644FE3E4" w14:textId="521CA9FE" w:rsidR="007B3757" w:rsidRPr="007B3757" w:rsidRDefault="007B3757" w:rsidP="007B3757">
                <w:pPr>
                  <w:spacing w:after="0" w:line="240" w:lineRule="auto"/>
                  <w:rPr>
                    <w:rFonts w:ascii="Times New Roman" w:eastAsia="Times New Roman" w:hAnsi="Times New Roman"/>
                    <w:b/>
                    <w:bCs/>
                    <w:sz w:val="16"/>
                    <w:szCs w:val="16"/>
                    <w:lang w:eastAsia="es-CO"/>
                  </w:rPr>
                </w:pPr>
                <w:r w:rsidRPr="00126C87">
                  <w:rPr>
                    <w:rFonts w:ascii="Times New Roman" w:eastAsia="Times New Roman" w:hAnsi="Times New Roman"/>
                    <w:sz w:val="16"/>
                    <w:szCs w:val="16"/>
                    <w:lang w:eastAsia="es-CO"/>
                  </w:rPr>
                  <w:t>(</w:t>
                </w:r>
                <w:r w:rsidRPr="007B3757">
                  <w:rPr>
                    <w:rFonts w:ascii="Times New Roman" w:eastAsia="Times New Roman" w:hAnsi="Times New Roman"/>
                    <w:sz w:val="16"/>
                    <w:szCs w:val="16"/>
                    <w:lang w:eastAsia="es-CO"/>
                  </w:rPr>
                  <w:t>-</w:t>
                </w:r>
                <w:r w:rsidRPr="00126C87">
                  <w:rPr>
                    <w:rFonts w:ascii="Times New Roman" w:eastAsia="Times New Roman" w:hAnsi="Times New Roman"/>
                    <w:sz w:val="16"/>
                    <w:szCs w:val="16"/>
                    <w:lang w:eastAsia="es-CO"/>
                  </w:rPr>
                  <w:t xml:space="preserve">) </w:t>
                </w:r>
                <w:r w:rsidRPr="007B3757">
                  <w:rPr>
                    <w:rFonts w:ascii="Times New Roman" w:eastAsia="Times New Roman" w:hAnsi="Times New Roman"/>
                    <w:b/>
                    <w:bCs/>
                    <w:sz w:val="16"/>
                    <w:szCs w:val="16"/>
                    <w:lang w:eastAsia="es-CO"/>
                  </w:rPr>
                  <w:t>AMORTIZACIÓN ACUMULADA (AM)</w:t>
                </w:r>
              </w:p>
            </w:tc>
            <w:tc>
              <w:tcPr>
                <w:tcW w:w="791" w:type="pct"/>
                <w:tcBorders>
                  <w:top w:val="nil"/>
                  <w:left w:val="nil"/>
                  <w:bottom w:val="single" w:sz="4" w:space="0" w:color="A6A6A6"/>
                  <w:right w:val="single" w:sz="4" w:space="0" w:color="A6A6A6"/>
                </w:tcBorders>
                <w:shd w:val="clear" w:color="auto" w:fill="auto"/>
                <w:noWrap/>
                <w:vAlign w:val="center"/>
                <w:hideMark/>
              </w:tcPr>
              <w:p w14:paraId="67E682DC" w14:textId="65EF5DA7" w:rsidR="007B3757" w:rsidRPr="007B3757" w:rsidRDefault="007B3757" w:rsidP="007B3757">
                <w:pPr>
                  <w:spacing w:after="0" w:line="240" w:lineRule="auto"/>
                  <w:jc w:val="right"/>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 xml:space="preserve">2.120.435.275 </w:t>
                </w:r>
              </w:p>
            </w:tc>
            <w:tc>
              <w:tcPr>
                <w:tcW w:w="711" w:type="pct"/>
                <w:tcBorders>
                  <w:top w:val="nil"/>
                  <w:left w:val="nil"/>
                  <w:bottom w:val="single" w:sz="4" w:space="0" w:color="A6A6A6"/>
                  <w:right w:val="single" w:sz="4" w:space="0" w:color="A6A6A6"/>
                </w:tcBorders>
                <w:shd w:val="clear" w:color="auto" w:fill="auto"/>
                <w:noWrap/>
                <w:vAlign w:val="center"/>
                <w:hideMark/>
              </w:tcPr>
              <w:p w14:paraId="11371461" w14:textId="66E7BE49" w:rsidR="007B3757" w:rsidRPr="007B3757" w:rsidRDefault="007B3757" w:rsidP="007B3757">
                <w:pPr>
                  <w:spacing w:after="0" w:line="240" w:lineRule="auto"/>
                  <w:jc w:val="right"/>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 xml:space="preserve">495.443.987 </w:t>
                </w:r>
              </w:p>
            </w:tc>
            <w:tc>
              <w:tcPr>
                <w:tcW w:w="791" w:type="pct"/>
                <w:tcBorders>
                  <w:top w:val="nil"/>
                  <w:left w:val="nil"/>
                  <w:bottom w:val="single" w:sz="4" w:space="0" w:color="A6A6A6"/>
                  <w:right w:val="single" w:sz="4" w:space="0" w:color="A6A6A6"/>
                </w:tcBorders>
                <w:shd w:val="clear" w:color="auto" w:fill="auto"/>
                <w:noWrap/>
                <w:vAlign w:val="center"/>
                <w:hideMark/>
              </w:tcPr>
              <w:p w14:paraId="09159AA5" w14:textId="166AAC2C" w:rsidR="007B3757" w:rsidRPr="007B3757" w:rsidRDefault="007B3757" w:rsidP="007B3757">
                <w:pPr>
                  <w:spacing w:after="0" w:line="240" w:lineRule="auto"/>
                  <w:jc w:val="right"/>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 xml:space="preserve">65.066.058.000 </w:t>
                </w:r>
              </w:p>
            </w:tc>
            <w:tc>
              <w:tcPr>
                <w:tcW w:w="734" w:type="pct"/>
                <w:tcBorders>
                  <w:top w:val="nil"/>
                  <w:left w:val="nil"/>
                  <w:bottom w:val="single" w:sz="4" w:space="0" w:color="A6A6A6"/>
                  <w:right w:val="single" w:sz="4" w:space="0" w:color="A6A6A6"/>
                </w:tcBorders>
                <w:shd w:val="clear" w:color="auto" w:fill="auto"/>
                <w:noWrap/>
                <w:vAlign w:val="center"/>
                <w:hideMark/>
              </w:tcPr>
              <w:p w14:paraId="1CDA5168" w14:textId="22DC8346" w:rsidR="007B3757" w:rsidRPr="007B3757" w:rsidRDefault="007B3757" w:rsidP="007B3757">
                <w:pPr>
                  <w:spacing w:after="0" w:line="240" w:lineRule="auto"/>
                  <w:jc w:val="right"/>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 xml:space="preserve">67.681.937.262 </w:t>
                </w:r>
              </w:p>
            </w:tc>
          </w:tr>
          <w:tr w:rsidR="00B57C05" w:rsidRPr="00126C87" w14:paraId="114D64C8" w14:textId="77777777" w:rsidTr="00AB0DAE">
            <w:trPr>
              <w:trHeight w:val="293"/>
            </w:trPr>
            <w:tc>
              <w:tcPr>
                <w:tcW w:w="1973" w:type="pct"/>
                <w:tcBorders>
                  <w:top w:val="nil"/>
                  <w:left w:val="single" w:sz="4" w:space="0" w:color="A6A6A6"/>
                  <w:bottom w:val="single" w:sz="4" w:space="0" w:color="A6A6A6"/>
                  <w:right w:val="single" w:sz="4" w:space="0" w:color="A6A6A6"/>
                </w:tcBorders>
                <w:shd w:val="clear" w:color="auto" w:fill="auto"/>
                <w:noWrap/>
                <w:vAlign w:val="center"/>
                <w:hideMark/>
              </w:tcPr>
              <w:p w14:paraId="712FB335" w14:textId="0A16E838" w:rsidR="007B3757" w:rsidRPr="007B3757" w:rsidRDefault="007B3757" w:rsidP="007B3757">
                <w:pPr>
                  <w:spacing w:after="0" w:line="240" w:lineRule="auto"/>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Saldo inicial de la AMORTIZACIÓN acumulada</w:t>
                </w:r>
              </w:p>
            </w:tc>
            <w:tc>
              <w:tcPr>
                <w:tcW w:w="791" w:type="pct"/>
                <w:tcBorders>
                  <w:top w:val="nil"/>
                  <w:left w:val="nil"/>
                  <w:bottom w:val="single" w:sz="4" w:space="0" w:color="A6A6A6"/>
                  <w:right w:val="single" w:sz="4" w:space="0" w:color="A6A6A6"/>
                </w:tcBorders>
                <w:shd w:val="clear" w:color="auto" w:fill="auto"/>
                <w:noWrap/>
                <w:vAlign w:val="center"/>
                <w:hideMark/>
              </w:tcPr>
              <w:p w14:paraId="4DFAF71B" w14:textId="7E4FD3D8" w:rsidR="007B3757" w:rsidRPr="007B3757" w:rsidRDefault="007B3757"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xml:space="preserve">1.963.126.351 </w:t>
                </w:r>
              </w:p>
            </w:tc>
            <w:tc>
              <w:tcPr>
                <w:tcW w:w="711" w:type="pct"/>
                <w:tcBorders>
                  <w:top w:val="nil"/>
                  <w:left w:val="nil"/>
                  <w:bottom w:val="single" w:sz="4" w:space="0" w:color="A6A6A6"/>
                  <w:right w:val="single" w:sz="4" w:space="0" w:color="A6A6A6"/>
                </w:tcBorders>
                <w:shd w:val="clear" w:color="auto" w:fill="auto"/>
                <w:noWrap/>
                <w:vAlign w:val="center"/>
                <w:hideMark/>
              </w:tcPr>
              <w:p w14:paraId="2FE6B494" w14:textId="0901CF1E" w:rsidR="007B3757" w:rsidRPr="007B3757" w:rsidRDefault="007B3757"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xml:space="preserve">491.191.259 </w:t>
                </w:r>
              </w:p>
            </w:tc>
            <w:tc>
              <w:tcPr>
                <w:tcW w:w="791" w:type="pct"/>
                <w:tcBorders>
                  <w:top w:val="nil"/>
                  <w:left w:val="nil"/>
                  <w:bottom w:val="single" w:sz="4" w:space="0" w:color="A6A6A6"/>
                  <w:right w:val="single" w:sz="4" w:space="0" w:color="A6A6A6"/>
                </w:tcBorders>
                <w:shd w:val="clear" w:color="auto" w:fill="auto"/>
                <w:noWrap/>
                <w:vAlign w:val="center"/>
                <w:hideMark/>
              </w:tcPr>
              <w:p w14:paraId="40AA6F93" w14:textId="65685B91" w:rsidR="007B3757" w:rsidRPr="007B3757" w:rsidRDefault="007B3757"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xml:space="preserve">16.650.426.000 </w:t>
                </w:r>
              </w:p>
            </w:tc>
            <w:tc>
              <w:tcPr>
                <w:tcW w:w="734" w:type="pct"/>
                <w:tcBorders>
                  <w:top w:val="nil"/>
                  <w:left w:val="nil"/>
                  <w:bottom w:val="single" w:sz="4" w:space="0" w:color="A6A6A6"/>
                  <w:right w:val="single" w:sz="4" w:space="0" w:color="A6A6A6"/>
                </w:tcBorders>
                <w:shd w:val="clear" w:color="auto" w:fill="auto"/>
                <w:noWrap/>
                <w:vAlign w:val="center"/>
                <w:hideMark/>
              </w:tcPr>
              <w:p w14:paraId="65874420" w14:textId="79189835" w:rsidR="007B3757" w:rsidRPr="007B3757" w:rsidRDefault="007B3757" w:rsidP="007B3757">
                <w:pPr>
                  <w:spacing w:after="0" w:line="240" w:lineRule="auto"/>
                  <w:jc w:val="right"/>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 xml:space="preserve">19.104.743.610 </w:t>
                </w:r>
              </w:p>
            </w:tc>
          </w:tr>
          <w:tr w:rsidR="00126C87" w:rsidRPr="00126C87" w14:paraId="25044792" w14:textId="77777777" w:rsidTr="00AB0DAE">
            <w:trPr>
              <w:trHeight w:val="293"/>
            </w:trPr>
            <w:tc>
              <w:tcPr>
                <w:tcW w:w="1973" w:type="pct"/>
                <w:tcBorders>
                  <w:top w:val="nil"/>
                  <w:left w:val="single" w:sz="4" w:space="0" w:color="A6A6A6"/>
                  <w:bottom w:val="single" w:sz="4" w:space="0" w:color="A6A6A6"/>
                  <w:right w:val="single" w:sz="4" w:space="0" w:color="A6A6A6"/>
                </w:tcBorders>
                <w:shd w:val="clear" w:color="auto" w:fill="auto"/>
                <w:noWrap/>
                <w:vAlign w:val="center"/>
                <w:hideMark/>
              </w:tcPr>
              <w:p w14:paraId="5AB84291" w14:textId="1C1D97B8" w:rsidR="007B3757" w:rsidRPr="007B3757" w:rsidRDefault="007B3757" w:rsidP="007B3757">
                <w:pPr>
                  <w:spacing w:after="0" w:line="240" w:lineRule="auto"/>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w:t>
                </w:r>
                <w:r w:rsidRPr="00126C87">
                  <w:rPr>
                    <w:rFonts w:ascii="Times New Roman" w:eastAsia="Times New Roman" w:hAnsi="Times New Roman"/>
                    <w:sz w:val="16"/>
                    <w:szCs w:val="16"/>
                    <w:lang w:eastAsia="es-CO"/>
                  </w:rPr>
                  <w:t xml:space="preserve"> </w:t>
                </w:r>
                <w:r w:rsidRPr="007B3757">
                  <w:rPr>
                    <w:rFonts w:ascii="Times New Roman" w:eastAsia="Times New Roman" w:hAnsi="Times New Roman"/>
                    <w:sz w:val="16"/>
                    <w:szCs w:val="16"/>
                    <w:lang w:eastAsia="es-CO"/>
                  </w:rPr>
                  <w:t>Amortización aplicada vigencia actual</w:t>
                </w:r>
              </w:p>
            </w:tc>
            <w:tc>
              <w:tcPr>
                <w:tcW w:w="791" w:type="pct"/>
                <w:tcBorders>
                  <w:top w:val="nil"/>
                  <w:left w:val="nil"/>
                  <w:bottom w:val="single" w:sz="4" w:space="0" w:color="A6A6A6"/>
                  <w:right w:val="single" w:sz="4" w:space="0" w:color="A6A6A6"/>
                </w:tcBorders>
                <w:shd w:val="clear" w:color="auto" w:fill="auto"/>
                <w:noWrap/>
                <w:vAlign w:val="center"/>
                <w:hideMark/>
              </w:tcPr>
              <w:p w14:paraId="69DEA30B" w14:textId="4535660A" w:rsidR="007B3757" w:rsidRPr="007B3757" w:rsidRDefault="007B3757"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xml:space="preserve">157.308.924 </w:t>
                </w:r>
              </w:p>
            </w:tc>
            <w:tc>
              <w:tcPr>
                <w:tcW w:w="711" w:type="pct"/>
                <w:tcBorders>
                  <w:top w:val="nil"/>
                  <w:left w:val="nil"/>
                  <w:bottom w:val="single" w:sz="4" w:space="0" w:color="A6A6A6"/>
                  <w:right w:val="single" w:sz="4" w:space="0" w:color="A6A6A6"/>
                </w:tcBorders>
                <w:shd w:val="clear" w:color="auto" w:fill="auto"/>
                <w:noWrap/>
                <w:vAlign w:val="center"/>
                <w:hideMark/>
              </w:tcPr>
              <w:p w14:paraId="1D21CC31" w14:textId="5B96F1A8" w:rsidR="007B3757" w:rsidRPr="007B3757" w:rsidRDefault="007B3757"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xml:space="preserve">4.252.728 </w:t>
                </w:r>
              </w:p>
            </w:tc>
            <w:tc>
              <w:tcPr>
                <w:tcW w:w="791" w:type="pct"/>
                <w:tcBorders>
                  <w:top w:val="nil"/>
                  <w:left w:val="nil"/>
                  <w:bottom w:val="single" w:sz="4" w:space="0" w:color="A6A6A6"/>
                  <w:right w:val="single" w:sz="4" w:space="0" w:color="A6A6A6"/>
                </w:tcBorders>
                <w:shd w:val="clear" w:color="auto" w:fill="auto"/>
                <w:noWrap/>
                <w:vAlign w:val="center"/>
                <w:hideMark/>
              </w:tcPr>
              <w:p w14:paraId="34A33C8F" w14:textId="1B02FB68" w:rsidR="007B3757" w:rsidRPr="007B3757" w:rsidRDefault="007B3757" w:rsidP="007B3757">
                <w:pPr>
                  <w:spacing w:after="0" w:line="240" w:lineRule="auto"/>
                  <w:jc w:val="right"/>
                  <w:rPr>
                    <w:rFonts w:ascii="Times New Roman" w:eastAsia="Times New Roman" w:hAnsi="Times New Roman"/>
                    <w:sz w:val="16"/>
                    <w:szCs w:val="16"/>
                    <w:lang w:eastAsia="es-CO"/>
                  </w:rPr>
                </w:pPr>
                <w:r w:rsidRPr="007B3757">
                  <w:rPr>
                    <w:rFonts w:ascii="Times New Roman" w:eastAsia="Times New Roman" w:hAnsi="Times New Roman"/>
                    <w:sz w:val="16"/>
                    <w:szCs w:val="16"/>
                    <w:lang w:eastAsia="es-CO"/>
                  </w:rPr>
                  <w:t xml:space="preserve">48.415.632.000 </w:t>
                </w:r>
              </w:p>
            </w:tc>
            <w:tc>
              <w:tcPr>
                <w:tcW w:w="734" w:type="pct"/>
                <w:tcBorders>
                  <w:top w:val="nil"/>
                  <w:left w:val="nil"/>
                  <w:bottom w:val="single" w:sz="4" w:space="0" w:color="A6A6A6"/>
                  <w:right w:val="single" w:sz="4" w:space="0" w:color="A6A6A6"/>
                </w:tcBorders>
                <w:shd w:val="clear" w:color="auto" w:fill="auto"/>
                <w:noWrap/>
                <w:vAlign w:val="center"/>
                <w:hideMark/>
              </w:tcPr>
              <w:p w14:paraId="7556FBBC" w14:textId="182E3B63" w:rsidR="007B3757" w:rsidRPr="007B3757" w:rsidRDefault="007B3757" w:rsidP="007B3757">
                <w:pPr>
                  <w:spacing w:after="0" w:line="240" w:lineRule="auto"/>
                  <w:jc w:val="right"/>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 xml:space="preserve">48.577.193.652 </w:t>
                </w:r>
              </w:p>
            </w:tc>
          </w:tr>
          <w:tr w:rsidR="007B3757" w:rsidRPr="00126C87" w14:paraId="78534183" w14:textId="77777777" w:rsidTr="00AB0DAE">
            <w:trPr>
              <w:trHeight w:val="293"/>
            </w:trPr>
            <w:tc>
              <w:tcPr>
                <w:tcW w:w="1973" w:type="pct"/>
                <w:tcBorders>
                  <w:top w:val="nil"/>
                  <w:left w:val="single" w:sz="4" w:space="0" w:color="A6A6A6"/>
                  <w:bottom w:val="single" w:sz="4" w:space="0" w:color="A6A6A6"/>
                  <w:right w:val="single" w:sz="4" w:space="0" w:color="A6A6A6"/>
                </w:tcBorders>
                <w:shd w:val="clear" w:color="auto" w:fill="auto"/>
                <w:noWrap/>
                <w:vAlign w:val="center"/>
                <w:hideMark/>
              </w:tcPr>
              <w:p w14:paraId="4D26BD54" w14:textId="6E8AA044" w:rsidR="007B3757" w:rsidRPr="007B3757" w:rsidRDefault="007B3757" w:rsidP="007B3757">
                <w:pPr>
                  <w:spacing w:after="0" w:line="240" w:lineRule="auto"/>
                  <w:rPr>
                    <w:rFonts w:ascii="Times New Roman" w:eastAsia="Times New Roman" w:hAnsi="Times New Roman"/>
                    <w:b/>
                    <w:bCs/>
                    <w:sz w:val="16"/>
                    <w:szCs w:val="16"/>
                    <w:lang w:eastAsia="es-CO"/>
                  </w:rPr>
                </w:pPr>
                <w:r w:rsidRPr="00126C87">
                  <w:rPr>
                    <w:rFonts w:ascii="Times New Roman" w:eastAsia="Times New Roman" w:hAnsi="Times New Roman"/>
                    <w:sz w:val="16"/>
                    <w:szCs w:val="16"/>
                    <w:lang w:eastAsia="es-CO"/>
                  </w:rPr>
                  <w:t>(</w:t>
                </w:r>
                <w:r w:rsidRPr="007B3757">
                  <w:rPr>
                    <w:rFonts w:ascii="Times New Roman" w:eastAsia="Times New Roman" w:hAnsi="Times New Roman"/>
                    <w:sz w:val="16"/>
                    <w:szCs w:val="16"/>
                    <w:lang w:eastAsia="es-CO"/>
                  </w:rPr>
                  <w:t>-</w:t>
                </w:r>
                <w:r w:rsidRPr="00126C87">
                  <w:rPr>
                    <w:rFonts w:ascii="Times New Roman" w:eastAsia="Times New Roman" w:hAnsi="Times New Roman"/>
                    <w:sz w:val="16"/>
                    <w:szCs w:val="16"/>
                    <w:lang w:eastAsia="es-CO"/>
                  </w:rPr>
                  <w:t xml:space="preserve">) </w:t>
                </w:r>
                <w:r w:rsidRPr="007B3757">
                  <w:rPr>
                    <w:rFonts w:ascii="Times New Roman" w:eastAsia="Times New Roman" w:hAnsi="Times New Roman"/>
                    <w:b/>
                    <w:bCs/>
                    <w:sz w:val="16"/>
                    <w:szCs w:val="16"/>
                    <w:lang w:eastAsia="es-CO"/>
                  </w:rPr>
                  <w:t>DETERIORO ACUMULADO DE INTANGIBLES (DE)</w:t>
                </w:r>
              </w:p>
            </w:tc>
            <w:tc>
              <w:tcPr>
                <w:tcW w:w="791" w:type="pct"/>
                <w:tcBorders>
                  <w:top w:val="nil"/>
                  <w:left w:val="nil"/>
                  <w:bottom w:val="single" w:sz="4" w:space="0" w:color="A6A6A6"/>
                  <w:right w:val="single" w:sz="4" w:space="0" w:color="A6A6A6"/>
                </w:tcBorders>
                <w:shd w:val="clear" w:color="auto" w:fill="auto"/>
                <w:noWrap/>
                <w:vAlign w:val="center"/>
                <w:hideMark/>
              </w:tcPr>
              <w:p w14:paraId="623A190E" w14:textId="0EDBF9E6" w:rsidR="007B3757" w:rsidRPr="007B3757" w:rsidRDefault="007B3757" w:rsidP="007B3757">
                <w:pPr>
                  <w:spacing w:after="0" w:line="240" w:lineRule="auto"/>
                  <w:jc w:val="right"/>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 xml:space="preserve">-   </w:t>
                </w:r>
              </w:p>
            </w:tc>
            <w:tc>
              <w:tcPr>
                <w:tcW w:w="711" w:type="pct"/>
                <w:tcBorders>
                  <w:top w:val="nil"/>
                  <w:left w:val="nil"/>
                  <w:bottom w:val="single" w:sz="4" w:space="0" w:color="A6A6A6"/>
                  <w:right w:val="single" w:sz="4" w:space="0" w:color="A6A6A6"/>
                </w:tcBorders>
                <w:shd w:val="clear" w:color="auto" w:fill="auto"/>
                <w:noWrap/>
                <w:vAlign w:val="center"/>
                <w:hideMark/>
              </w:tcPr>
              <w:p w14:paraId="69E00A3F" w14:textId="454FF88D" w:rsidR="007B3757" w:rsidRPr="007B3757" w:rsidRDefault="007B3757" w:rsidP="007B3757">
                <w:pPr>
                  <w:spacing w:after="0" w:line="240" w:lineRule="auto"/>
                  <w:jc w:val="right"/>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 xml:space="preserve">-   </w:t>
                </w:r>
              </w:p>
            </w:tc>
            <w:tc>
              <w:tcPr>
                <w:tcW w:w="791" w:type="pct"/>
                <w:tcBorders>
                  <w:top w:val="nil"/>
                  <w:left w:val="nil"/>
                  <w:bottom w:val="single" w:sz="4" w:space="0" w:color="A6A6A6"/>
                  <w:right w:val="single" w:sz="4" w:space="0" w:color="A6A6A6"/>
                </w:tcBorders>
                <w:shd w:val="clear" w:color="auto" w:fill="auto"/>
                <w:noWrap/>
                <w:vAlign w:val="center"/>
                <w:hideMark/>
              </w:tcPr>
              <w:p w14:paraId="52F5FCC2" w14:textId="2AB3F60F" w:rsidR="007B3757" w:rsidRPr="007B3757" w:rsidRDefault="007B3757" w:rsidP="007B3757">
                <w:pPr>
                  <w:spacing w:after="0" w:line="240" w:lineRule="auto"/>
                  <w:jc w:val="right"/>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 xml:space="preserve">-   </w:t>
                </w:r>
              </w:p>
            </w:tc>
            <w:tc>
              <w:tcPr>
                <w:tcW w:w="734" w:type="pct"/>
                <w:tcBorders>
                  <w:top w:val="nil"/>
                  <w:left w:val="nil"/>
                  <w:bottom w:val="single" w:sz="4" w:space="0" w:color="A6A6A6"/>
                  <w:right w:val="single" w:sz="4" w:space="0" w:color="A6A6A6"/>
                </w:tcBorders>
                <w:shd w:val="clear" w:color="auto" w:fill="auto"/>
                <w:noWrap/>
                <w:vAlign w:val="center"/>
                <w:hideMark/>
              </w:tcPr>
              <w:p w14:paraId="41EE9191" w14:textId="19179D66" w:rsidR="007B3757" w:rsidRPr="007B3757" w:rsidRDefault="007B3757" w:rsidP="007B3757">
                <w:pPr>
                  <w:spacing w:after="0" w:line="240" w:lineRule="auto"/>
                  <w:jc w:val="right"/>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 xml:space="preserve">-   </w:t>
                </w:r>
              </w:p>
            </w:tc>
          </w:tr>
          <w:tr w:rsidR="00126C87" w:rsidRPr="00126C87" w14:paraId="4F0F38F0" w14:textId="77777777" w:rsidTr="00AB0DAE">
            <w:trPr>
              <w:trHeight w:val="237"/>
            </w:trPr>
            <w:tc>
              <w:tcPr>
                <w:tcW w:w="1973" w:type="pct"/>
                <w:tcBorders>
                  <w:top w:val="nil"/>
                  <w:left w:val="single" w:sz="4" w:space="0" w:color="A6A6A6"/>
                  <w:bottom w:val="single" w:sz="4" w:space="0" w:color="A6A6A6"/>
                  <w:right w:val="single" w:sz="4" w:space="0" w:color="A6A6A6"/>
                </w:tcBorders>
                <w:shd w:val="clear" w:color="auto" w:fill="auto"/>
                <w:noWrap/>
                <w:vAlign w:val="center"/>
                <w:hideMark/>
              </w:tcPr>
              <w:p w14:paraId="3C0D71AA" w14:textId="65D3F438" w:rsidR="007B3757" w:rsidRPr="007B3757" w:rsidRDefault="007B3757" w:rsidP="007B3757">
                <w:pPr>
                  <w:spacing w:after="0" w:line="240" w:lineRule="auto"/>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w:t>
                </w:r>
                <w:r w:rsidRPr="00126C87">
                  <w:rPr>
                    <w:rFonts w:ascii="Times New Roman" w:eastAsia="Times New Roman" w:hAnsi="Times New Roman"/>
                    <w:b/>
                    <w:bCs/>
                    <w:sz w:val="16"/>
                    <w:szCs w:val="16"/>
                    <w:lang w:eastAsia="es-CO"/>
                  </w:rPr>
                  <w:t xml:space="preserve"> </w:t>
                </w:r>
                <w:r w:rsidRPr="007B3757">
                  <w:rPr>
                    <w:rFonts w:ascii="Times New Roman" w:eastAsia="Times New Roman" w:hAnsi="Times New Roman"/>
                    <w:b/>
                    <w:bCs/>
                    <w:sz w:val="16"/>
                    <w:szCs w:val="16"/>
                    <w:lang w:eastAsia="es-CO"/>
                  </w:rPr>
                  <w:t>VALOR EN LIBROS</w:t>
                </w:r>
                <w:r w:rsidRPr="00126C87">
                  <w:rPr>
                    <w:rFonts w:ascii="Times New Roman" w:eastAsia="Times New Roman" w:hAnsi="Times New Roman"/>
                    <w:b/>
                    <w:bCs/>
                    <w:sz w:val="16"/>
                    <w:szCs w:val="16"/>
                    <w:lang w:eastAsia="es-CO"/>
                  </w:rPr>
                  <w:t xml:space="preserve"> </w:t>
                </w:r>
                <w:r w:rsidRPr="007B3757">
                  <w:rPr>
                    <w:rFonts w:ascii="Times New Roman" w:eastAsia="Times New Roman" w:hAnsi="Times New Roman"/>
                    <w:b/>
                    <w:bCs/>
                    <w:sz w:val="16"/>
                    <w:szCs w:val="16"/>
                    <w:lang w:eastAsia="es-CO"/>
                  </w:rPr>
                  <w:t>(Saldo final - AM - DE)</w:t>
                </w:r>
              </w:p>
            </w:tc>
            <w:tc>
              <w:tcPr>
                <w:tcW w:w="791" w:type="pct"/>
                <w:tcBorders>
                  <w:top w:val="nil"/>
                  <w:left w:val="nil"/>
                  <w:bottom w:val="single" w:sz="4" w:space="0" w:color="A6A6A6"/>
                  <w:right w:val="single" w:sz="4" w:space="0" w:color="A6A6A6"/>
                </w:tcBorders>
                <w:shd w:val="clear" w:color="auto" w:fill="auto"/>
                <w:noWrap/>
                <w:vAlign w:val="center"/>
                <w:hideMark/>
              </w:tcPr>
              <w:p w14:paraId="6ACE62EB" w14:textId="2677BEE0" w:rsidR="007B3757" w:rsidRPr="007B3757" w:rsidRDefault="007B3757" w:rsidP="007B3757">
                <w:pPr>
                  <w:spacing w:after="0" w:line="240" w:lineRule="auto"/>
                  <w:jc w:val="right"/>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 xml:space="preserve">706.532.341 </w:t>
                </w:r>
              </w:p>
            </w:tc>
            <w:tc>
              <w:tcPr>
                <w:tcW w:w="711" w:type="pct"/>
                <w:tcBorders>
                  <w:top w:val="nil"/>
                  <w:left w:val="nil"/>
                  <w:bottom w:val="single" w:sz="4" w:space="0" w:color="A6A6A6"/>
                  <w:right w:val="single" w:sz="4" w:space="0" w:color="A6A6A6"/>
                </w:tcBorders>
                <w:shd w:val="clear" w:color="auto" w:fill="auto"/>
                <w:noWrap/>
                <w:vAlign w:val="center"/>
                <w:hideMark/>
              </w:tcPr>
              <w:p w14:paraId="0AB5BB40" w14:textId="6B38CA47" w:rsidR="007B3757" w:rsidRPr="007B3757" w:rsidRDefault="007B3757" w:rsidP="007B3757">
                <w:pPr>
                  <w:spacing w:after="0" w:line="240" w:lineRule="auto"/>
                  <w:jc w:val="right"/>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 xml:space="preserve">7.325.830 </w:t>
                </w:r>
              </w:p>
            </w:tc>
            <w:tc>
              <w:tcPr>
                <w:tcW w:w="791" w:type="pct"/>
                <w:tcBorders>
                  <w:top w:val="nil"/>
                  <w:left w:val="nil"/>
                  <w:bottom w:val="single" w:sz="4" w:space="0" w:color="A6A6A6"/>
                  <w:right w:val="single" w:sz="4" w:space="0" w:color="A6A6A6"/>
                </w:tcBorders>
                <w:shd w:val="clear" w:color="auto" w:fill="auto"/>
                <w:noWrap/>
                <w:vAlign w:val="center"/>
                <w:hideMark/>
              </w:tcPr>
              <w:p w14:paraId="78DD2CAF" w14:textId="75181D9D" w:rsidR="007B3757" w:rsidRPr="007B3757" w:rsidRDefault="007B3757" w:rsidP="007B3757">
                <w:pPr>
                  <w:spacing w:after="0" w:line="240" w:lineRule="auto"/>
                  <w:jc w:val="right"/>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 xml:space="preserve">176.405.116.113 </w:t>
                </w:r>
              </w:p>
            </w:tc>
            <w:tc>
              <w:tcPr>
                <w:tcW w:w="734" w:type="pct"/>
                <w:tcBorders>
                  <w:top w:val="nil"/>
                  <w:left w:val="nil"/>
                  <w:bottom w:val="single" w:sz="4" w:space="0" w:color="A6A6A6"/>
                  <w:right w:val="single" w:sz="4" w:space="0" w:color="A6A6A6"/>
                </w:tcBorders>
                <w:shd w:val="clear" w:color="auto" w:fill="auto"/>
                <w:noWrap/>
                <w:vAlign w:val="center"/>
                <w:hideMark/>
              </w:tcPr>
              <w:p w14:paraId="58083CBE" w14:textId="783810CF" w:rsidR="007B3757" w:rsidRPr="007B3757" w:rsidRDefault="007B3757" w:rsidP="007B3757">
                <w:pPr>
                  <w:spacing w:after="0" w:line="240" w:lineRule="auto"/>
                  <w:jc w:val="right"/>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 xml:space="preserve">177.118.974.284 </w:t>
                </w:r>
              </w:p>
            </w:tc>
          </w:tr>
          <w:tr w:rsidR="00126C87" w:rsidRPr="00126C87" w14:paraId="4BC963AA" w14:textId="77777777" w:rsidTr="00AB0DAE">
            <w:trPr>
              <w:trHeight w:val="293"/>
            </w:trPr>
            <w:tc>
              <w:tcPr>
                <w:tcW w:w="1973" w:type="pct"/>
                <w:tcBorders>
                  <w:top w:val="nil"/>
                  <w:left w:val="single" w:sz="4" w:space="0" w:color="A6A6A6"/>
                  <w:bottom w:val="single" w:sz="4" w:space="0" w:color="A6A6A6"/>
                  <w:right w:val="single" w:sz="4" w:space="0" w:color="A6A6A6"/>
                </w:tcBorders>
                <w:shd w:val="clear" w:color="auto" w:fill="auto"/>
                <w:noWrap/>
                <w:vAlign w:val="center"/>
                <w:hideMark/>
              </w:tcPr>
              <w:p w14:paraId="5217E358" w14:textId="27A06630" w:rsidR="007B3757" w:rsidRPr="007B3757" w:rsidRDefault="007B3757" w:rsidP="007B3757">
                <w:pPr>
                  <w:spacing w:after="0" w:line="240" w:lineRule="auto"/>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 AMORTIZACIÓN ACUMULADA (seguimiento)</w:t>
                </w:r>
              </w:p>
            </w:tc>
            <w:tc>
              <w:tcPr>
                <w:tcW w:w="791" w:type="pct"/>
                <w:tcBorders>
                  <w:top w:val="nil"/>
                  <w:left w:val="nil"/>
                  <w:bottom w:val="single" w:sz="4" w:space="0" w:color="A6A6A6"/>
                  <w:right w:val="single" w:sz="4" w:space="0" w:color="A6A6A6"/>
                </w:tcBorders>
                <w:shd w:val="clear" w:color="auto" w:fill="auto"/>
                <w:noWrap/>
                <w:vAlign w:val="center"/>
                <w:hideMark/>
              </w:tcPr>
              <w:p w14:paraId="7979847A" w14:textId="77777777" w:rsidR="007B3757" w:rsidRPr="007B3757" w:rsidRDefault="007B3757" w:rsidP="007B3757">
                <w:pPr>
                  <w:spacing w:after="0" w:line="240" w:lineRule="auto"/>
                  <w:jc w:val="center"/>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75,0%</w:t>
                </w:r>
              </w:p>
            </w:tc>
            <w:tc>
              <w:tcPr>
                <w:tcW w:w="711" w:type="pct"/>
                <w:tcBorders>
                  <w:top w:val="nil"/>
                  <w:left w:val="nil"/>
                  <w:bottom w:val="single" w:sz="4" w:space="0" w:color="A6A6A6"/>
                  <w:right w:val="single" w:sz="4" w:space="0" w:color="A6A6A6"/>
                </w:tcBorders>
                <w:shd w:val="clear" w:color="auto" w:fill="auto"/>
                <w:noWrap/>
                <w:vAlign w:val="center"/>
                <w:hideMark/>
              </w:tcPr>
              <w:p w14:paraId="45DC3089" w14:textId="77777777" w:rsidR="007B3757" w:rsidRPr="007B3757" w:rsidRDefault="007B3757" w:rsidP="007B3757">
                <w:pPr>
                  <w:spacing w:after="0" w:line="240" w:lineRule="auto"/>
                  <w:jc w:val="center"/>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98,5%</w:t>
                </w:r>
              </w:p>
            </w:tc>
            <w:tc>
              <w:tcPr>
                <w:tcW w:w="791" w:type="pct"/>
                <w:tcBorders>
                  <w:top w:val="nil"/>
                  <w:left w:val="nil"/>
                  <w:bottom w:val="single" w:sz="4" w:space="0" w:color="A6A6A6"/>
                  <w:right w:val="single" w:sz="4" w:space="0" w:color="A6A6A6"/>
                </w:tcBorders>
                <w:shd w:val="clear" w:color="auto" w:fill="auto"/>
                <w:noWrap/>
                <w:vAlign w:val="center"/>
                <w:hideMark/>
              </w:tcPr>
              <w:p w14:paraId="2B3EC71F" w14:textId="77777777" w:rsidR="007B3757" w:rsidRPr="007B3757" w:rsidRDefault="007B3757" w:rsidP="007B3757">
                <w:pPr>
                  <w:spacing w:after="0" w:line="240" w:lineRule="auto"/>
                  <w:jc w:val="center"/>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26,9%</w:t>
                </w:r>
              </w:p>
            </w:tc>
            <w:tc>
              <w:tcPr>
                <w:tcW w:w="734" w:type="pct"/>
                <w:tcBorders>
                  <w:top w:val="nil"/>
                  <w:left w:val="nil"/>
                  <w:bottom w:val="single" w:sz="4" w:space="0" w:color="A6A6A6"/>
                  <w:right w:val="single" w:sz="4" w:space="0" w:color="A6A6A6"/>
                </w:tcBorders>
                <w:shd w:val="clear" w:color="auto" w:fill="auto"/>
                <w:noWrap/>
                <w:vAlign w:val="center"/>
                <w:hideMark/>
              </w:tcPr>
              <w:p w14:paraId="2269B174" w14:textId="77777777" w:rsidR="007B3757" w:rsidRPr="007B3757" w:rsidRDefault="007B3757" w:rsidP="007B3757">
                <w:pPr>
                  <w:spacing w:after="0" w:line="240" w:lineRule="auto"/>
                  <w:jc w:val="center"/>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27,6%</w:t>
                </w:r>
              </w:p>
            </w:tc>
          </w:tr>
          <w:tr w:rsidR="00C60E88" w:rsidRPr="00126C87" w14:paraId="6EBF7B4A" w14:textId="77777777" w:rsidTr="00AB0DAE">
            <w:trPr>
              <w:trHeight w:val="293"/>
            </w:trPr>
            <w:tc>
              <w:tcPr>
                <w:tcW w:w="1973" w:type="pct"/>
                <w:tcBorders>
                  <w:top w:val="nil"/>
                  <w:left w:val="single" w:sz="4" w:space="0" w:color="A6A6A6"/>
                  <w:bottom w:val="single" w:sz="4" w:space="0" w:color="A6A6A6"/>
                  <w:right w:val="single" w:sz="4" w:space="0" w:color="A6A6A6"/>
                </w:tcBorders>
                <w:shd w:val="clear" w:color="auto" w:fill="auto"/>
                <w:noWrap/>
                <w:vAlign w:val="center"/>
                <w:hideMark/>
              </w:tcPr>
              <w:p w14:paraId="367D6B66" w14:textId="3F74BE19" w:rsidR="007B3757" w:rsidRPr="007B3757" w:rsidRDefault="007B3757" w:rsidP="007B3757">
                <w:pPr>
                  <w:spacing w:after="0" w:line="240" w:lineRule="auto"/>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 DETERIORO ACUMULADO (seguimiento)</w:t>
                </w:r>
              </w:p>
            </w:tc>
            <w:tc>
              <w:tcPr>
                <w:tcW w:w="791" w:type="pct"/>
                <w:tcBorders>
                  <w:top w:val="nil"/>
                  <w:left w:val="nil"/>
                  <w:bottom w:val="single" w:sz="4" w:space="0" w:color="A6A6A6"/>
                  <w:right w:val="single" w:sz="4" w:space="0" w:color="A6A6A6"/>
                </w:tcBorders>
                <w:shd w:val="clear" w:color="auto" w:fill="auto"/>
                <w:noWrap/>
                <w:vAlign w:val="center"/>
                <w:hideMark/>
              </w:tcPr>
              <w:p w14:paraId="048DFB87" w14:textId="739D3C6B" w:rsidR="007B3757" w:rsidRPr="007B3757" w:rsidRDefault="007B3757" w:rsidP="00D525E1">
                <w:pPr>
                  <w:spacing w:after="0" w:line="240" w:lineRule="auto"/>
                  <w:jc w:val="right"/>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 xml:space="preserve">-   </w:t>
                </w:r>
              </w:p>
            </w:tc>
            <w:tc>
              <w:tcPr>
                <w:tcW w:w="711" w:type="pct"/>
                <w:tcBorders>
                  <w:top w:val="nil"/>
                  <w:left w:val="nil"/>
                  <w:bottom w:val="single" w:sz="4" w:space="0" w:color="A6A6A6"/>
                  <w:right w:val="single" w:sz="4" w:space="0" w:color="A6A6A6"/>
                </w:tcBorders>
                <w:shd w:val="clear" w:color="auto" w:fill="auto"/>
                <w:noWrap/>
                <w:vAlign w:val="center"/>
                <w:hideMark/>
              </w:tcPr>
              <w:p w14:paraId="55F72ADB" w14:textId="503BD5B9" w:rsidR="007B3757" w:rsidRPr="007B3757" w:rsidRDefault="007B3757" w:rsidP="00D525E1">
                <w:pPr>
                  <w:spacing w:after="0" w:line="240" w:lineRule="auto"/>
                  <w:jc w:val="right"/>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 xml:space="preserve">-   </w:t>
                </w:r>
              </w:p>
            </w:tc>
            <w:tc>
              <w:tcPr>
                <w:tcW w:w="791" w:type="pct"/>
                <w:tcBorders>
                  <w:top w:val="nil"/>
                  <w:left w:val="nil"/>
                  <w:bottom w:val="single" w:sz="4" w:space="0" w:color="A6A6A6"/>
                  <w:right w:val="single" w:sz="4" w:space="0" w:color="A6A6A6"/>
                </w:tcBorders>
                <w:shd w:val="clear" w:color="auto" w:fill="auto"/>
                <w:noWrap/>
                <w:vAlign w:val="center"/>
                <w:hideMark/>
              </w:tcPr>
              <w:p w14:paraId="0633F1F9" w14:textId="132B8BF4" w:rsidR="007B3757" w:rsidRPr="007B3757" w:rsidRDefault="007B3757" w:rsidP="00D525E1">
                <w:pPr>
                  <w:spacing w:after="0" w:line="240" w:lineRule="auto"/>
                  <w:jc w:val="right"/>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 xml:space="preserve">-   </w:t>
                </w:r>
              </w:p>
            </w:tc>
            <w:tc>
              <w:tcPr>
                <w:tcW w:w="734" w:type="pct"/>
                <w:tcBorders>
                  <w:top w:val="nil"/>
                  <w:left w:val="nil"/>
                  <w:bottom w:val="single" w:sz="4" w:space="0" w:color="A6A6A6"/>
                  <w:right w:val="single" w:sz="4" w:space="0" w:color="A6A6A6"/>
                </w:tcBorders>
                <w:shd w:val="clear" w:color="auto" w:fill="auto"/>
                <w:noWrap/>
                <w:vAlign w:val="center"/>
                <w:hideMark/>
              </w:tcPr>
              <w:p w14:paraId="11D68BD7" w14:textId="7E5529CA" w:rsidR="007B3757" w:rsidRPr="007B3757" w:rsidRDefault="007B3757" w:rsidP="00D525E1">
                <w:pPr>
                  <w:spacing w:after="0" w:line="240" w:lineRule="auto"/>
                  <w:jc w:val="right"/>
                  <w:rPr>
                    <w:rFonts w:ascii="Times New Roman" w:eastAsia="Times New Roman" w:hAnsi="Times New Roman"/>
                    <w:b/>
                    <w:bCs/>
                    <w:sz w:val="16"/>
                    <w:szCs w:val="16"/>
                    <w:lang w:eastAsia="es-CO"/>
                  </w:rPr>
                </w:pPr>
                <w:r w:rsidRPr="007B3757">
                  <w:rPr>
                    <w:rFonts w:ascii="Times New Roman" w:eastAsia="Times New Roman" w:hAnsi="Times New Roman"/>
                    <w:b/>
                    <w:bCs/>
                    <w:sz w:val="16"/>
                    <w:szCs w:val="16"/>
                    <w:lang w:eastAsia="es-CO"/>
                  </w:rPr>
                  <w:t xml:space="preserve">-   </w:t>
                </w:r>
              </w:p>
            </w:tc>
          </w:tr>
        </w:tbl>
        <w:p w14:paraId="4F292F57" w14:textId="28C4299D" w:rsidR="00CE2CEF" w:rsidRPr="00931DCE" w:rsidRDefault="00AD2026" w:rsidP="00CE2CEF">
          <w:pPr>
            <w:spacing w:after="0"/>
            <w:jc w:val="both"/>
            <w:rPr>
              <w:rFonts w:ascii="Times New Roman" w:hAnsi="Times New Roman"/>
              <w:color w:val="000000"/>
              <w:sz w:val="14"/>
              <w:szCs w:val="14"/>
            </w:rPr>
          </w:pPr>
          <w:r w:rsidRPr="00931DCE">
            <w:rPr>
              <w:rFonts w:ascii="Times New Roman" w:hAnsi="Times New Roman"/>
              <w:color w:val="000000"/>
              <w:sz w:val="14"/>
              <w:szCs w:val="14"/>
            </w:rPr>
            <w:t>Cifras expresadas en pesos</w:t>
          </w:r>
        </w:p>
        <w:p w14:paraId="49DDCC45" w14:textId="77777777" w:rsidR="00CE2CEF" w:rsidRPr="00931DCE" w:rsidRDefault="00CE2CEF" w:rsidP="00CE2CEF">
          <w:pPr>
            <w:spacing w:after="0"/>
            <w:jc w:val="both"/>
            <w:rPr>
              <w:rFonts w:ascii="Times New Roman" w:hAnsi="Times New Roman"/>
              <w:color w:val="000000"/>
              <w:sz w:val="14"/>
              <w:szCs w:val="14"/>
            </w:rPr>
          </w:pPr>
        </w:p>
        <w:p w14:paraId="6A304212" w14:textId="17BE7733" w:rsidR="00CE2CEF" w:rsidRPr="003659DC" w:rsidRDefault="00CE2CEF" w:rsidP="003659DC">
          <w:pPr>
            <w:spacing w:after="0"/>
            <w:jc w:val="both"/>
            <w:rPr>
              <w:rFonts w:ascii="Times New Roman" w:hAnsi="Times New Roman"/>
              <w:color w:val="000000"/>
              <w:sz w:val="14"/>
              <w:szCs w:val="14"/>
            </w:rPr>
          </w:pPr>
        </w:p>
        <w:p w14:paraId="34865658" w14:textId="6AA64AEE" w:rsidR="00862A37" w:rsidRDefault="003659DC" w:rsidP="00F73435">
          <w:pPr>
            <w:spacing w:after="0" w:line="240" w:lineRule="auto"/>
            <w:jc w:val="both"/>
            <w:rPr>
              <w:rFonts w:ascii="Times New Roman" w:hAnsi="Times New Roman"/>
              <w:sz w:val="24"/>
              <w:szCs w:val="24"/>
            </w:rPr>
          </w:pPr>
          <w:r>
            <w:rPr>
              <w:rFonts w:ascii="Times New Roman" w:hAnsi="Times New Roman"/>
              <w:sz w:val="24"/>
              <w:szCs w:val="24"/>
            </w:rPr>
            <w:t xml:space="preserve">Durante la vigencia se </w:t>
          </w:r>
          <w:r w:rsidR="00347C0A">
            <w:rPr>
              <w:rFonts w:ascii="Times New Roman" w:hAnsi="Times New Roman"/>
              <w:sz w:val="24"/>
              <w:szCs w:val="24"/>
            </w:rPr>
            <w:t xml:space="preserve">realizó compra de licencias </w:t>
          </w:r>
          <w:r w:rsidR="00D116AA">
            <w:rPr>
              <w:rFonts w:ascii="Times New Roman" w:hAnsi="Times New Roman"/>
              <w:sz w:val="24"/>
              <w:szCs w:val="24"/>
            </w:rPr>
            <w:t xml:space="preserve">y software </w:t>
          </w:r>
          <w:r w:rsidR="005C5A26">
            <w:rPr>
              <w:rFonts w:ascii="Times New Roman" w:hAnsi="Times New Roman"/>
              <w:sz w:val="24"/>
              <w:szCs w:val="24"/>
            </w:rPr>
            <w:t>para uso administrativo</w:t>
          </w:r>
          <w:r w:rsidR="0002138C">
            <w:rPr>
              <w:rFonts w:ascii="Times New Roman" w:hAnsi="Times New Roman"/>
              <w:sz w:val="24"/>
              <w:szCs w:val="24"/>
            </w:rPr>
            <w:t xml:space="preserve"> </w:t>
          </w:r>
          <w:r w:rsidR="001C7B26">
            <w:rPr>
              <w:rFonts w:ascii="Times New Roman" w:hAnsi="Times New Roman"/>
              <w:sz w:val="24"/>
              <w:szCs w:val="24"/>
            </w:rPr>
            <w:t>de acuerdo con</w:t>
          </w:r>
          <w:r w:rsidR="0002138C">
            <w:rPr>
              <w:rFonts w:ascii="Times New Roman" w:hAnsi="Times New Roman"/>
              <w:sz w:val="24"/>
              <w:szCs w:val="24"/>
            </w:rPr>
            <w:t xml:space="preserve"> las necesidades del servicio</w:t>
          </w:r>
          <w:r w:rsidR="008D3A35">
            <w:rPr>
              <w:rFonts w:ascii="Times New Roman" w:hAnsi="Times New Roman"/>
              <w:sz w:val="24"/>
              <w:szCs w:val="24"/>
            </w:rPr>
            <w:t xml:space="preserve"> de la agencia a continuación se identifica </w:t>
          </w:r>
          <w:r w:rsidR="0039153E">
            <w:rPr>
              <w:rFonts w:ascii="Times New Roman" w:hAnsi="Times New Roman"/>
              <w:sz w:val="24"/>
              <w:szCs w:val="24"/>
            </w:rPr>
            <w:t xml:space="preserve">cada </w:t>
          </w:r>
          <w:r w:rsidR="001C7B26">
            <w:rPr>
              <w:rFonts w:ascii="Times New Roman" w:hAnsi="Times New Roman"/>
              <w:sz w:val="24"/>
              <w:szCs w:val="24"/>
            </w:rPr>
            <w:t>uno</w:t>
          </w:r>
          <w:r w:rsidR="006E0FFE">
            <w:rPr>
              <w:rFonts w:ascii="Times New Roman" w:hAnsi="Times New Roman"/>
              <w:sz w:val="24"/>
              <w:szCs w:val="24"/>
            </w:rPr>
            <w:t xml:space="preserve"> de los </w:t>
          </w:r>
          <w:r w:rsidR="00D32DF7">
            <w:rPr>
              <w:rFonts w:ascii="Times New Roman" w:hAnsi="Times New Roman"/>
              <w:sz w:val="24"/>
              <w:szCs w:val="24"/>
            </w:rPr>
            <w:t xml:space="preserve">ítems adquiridos, por su parte se realizó la baja de </w:t>
          </w:r>
          <w:r w:rsidR="003C07C8" w:rsidRPr="003C07C8">
            <w:rPr>
              <w:rFonts w:ascii="Times New Roman" w:hAnsi="Times New Roman"/>
              <w:sz w:val="24"/>
              <w:szCs w:val="24"/>
            </w:rPr>
            <w:t>17939</w:t>
          </w:r>
          <w:r w:rsidR="003C07C8">
            <w:rPr>
              <w:rFonts w:ascii="Times New Roman" w:hAnsi="Times New Roman"/>
              <w:sz w:val="24"/>
              <w:szCs w:val="24"/>
            </w:rPr>
            <w:t xml:space="preserve"> </w:t>
          </w:r>
          <w:r w:rsidR="004A4BC3">
            <w:rPr>
              <w:rFonts w:ascii="Times New Roman" w:hAnsi="Times New Roman"/>
              <w:sz w:val="24"/>
              <w:szCs w:val="24"/>
            </w:rPr>
            <w:t xml:space="preserve">licencias la cual se </w:t>
          </w:r>
          <w:r w:rsidR="004A4BC3" w:rsidRPr="004A4BC3">
            <w:rPr>
              <w:rFonts w:ascii="Times New Roman" w:hAnsi="Times New Roman"/>
              <w:sz w:val="24"/>
              <w:szCs w:val="24"/>
            </w:rPr>
            <w:t>origina</w:t>
          </w:r>
          <w:r w:rsidR="00332704">
            <w:rPr>
              <w:rFonts w:ascii="Times New Roman" w:hAnsi="Times New Roman"/>
              <w:sz w:val="24"/>
              <w:szCs w:val="24"/>
            </w:rPr>
            <w:t xml:space="preserve"> en </w:t>
          </w:r>
          <w:r w:rsidR="001C7B26">
            <w:rPr>
              <w:rFonts w:ascii="Times New Roman" w:hAnsi="Times New Roman"/>
              <w:sz w:val="24"/>
              <w:szCs w:val="24"/>
            </w:rPr>
            <w:t xml:space="preserve">el </w:t>
          </w:r>
          <w:r w:rsidR="004A4BC3" w:rsidRPr="004A4BC3">
            <w:rPr>
              <w:rFonts w:ascii="Times New Roman" w:hAnsi="Times New Roman"/>
              <w:sz w:val="24"/>
              <w:szCs w:val="24"/>
            </w:rPr>
            <w:t>deterioro y obsolescencia tecnológica de acuerdo con lo expresado por el Coordinador de G.I.T</w:t>
          </w:r>
          <w:r w:rsidR="001C7B26">
            <w:rPr>
              <w:rFonts w:ascii="Times New Roman" w:hAnsi="Times New Roman"/>
              <w:sz w:val="24"/>
              <w:szCs w:val="24"/>
            </w:rPr>
            <w:t xml:space="preserve"> </w:t>
          </w:r>
          <w:r w:rsidR="004A4BC3" w:rsidRPr="004A4BC3">
            <w:rPr>
              <w:rFonts w:ascii="Times New Roman" w:hAnsi="Times New Roman"/>
              <w:sz w:val="24"/>
              <w:szCs w:val="24"/>
            </w:rPr>
            <w:t>Tecnologías de la Información y las Telecomunicaciones</w:t>
          </w:r>
          <w:r w:rsidR="001C7B26">
            <w:rPr>
              <w:rFonts w:ascii="Times New Roman" w:hAnsi="Times New Roman"/>
              <w:sz w:val="24"/>
              <w:szCs w:val="24"/>
            </w:rPr>
            <w:t xml:space="preserve">, dicha </w:t>
          </w:r>
          <w:r w:rsidR="00085867">
            <w:rPr>
              <w:rFonts w:ascii="Times New Roman" w:hAnsi="Times New Roman"/>
              <w:sz w:val="24"/>
              <w:szCs w:val="24"/>
            </w:rPr>
            <w:t>decisión</w:t>
          </w:r>
          <w:r w:rsidR="001C7B26">
            <w:rPr>
              <w:rFonts w:ascii="Times New Roman" w:hAnsi="Times New Roman"/>
              <w:sz w:val="24"/>
              <w:szCs w:val="24"/>
            </w:rPr>
            <w:t xml:space="preserve"> </w:t>
          </w:r>
          <w:r w:rsidR="00F760F9">
            <w:rPr>
              <w:rFonts w:ascii="Times New Roman" w:hAnsi="Times New Roman"/>
              <w:sz w:val="24"/>
              <w:szCs w:val="24"/>
            </w:rPr>
            <w:t xml:space="preserve">se encuentra </w:t>
          </w:r>
          <w:r w:rsidR="00085867">
            <w:rPr>
              <w:rFonts w:ascii="Times New Roman" w:hAnsi="Times New Roman"/>
              <w:sz w:val="24"/>
              <w:szCs w:val="24"/>
            </w:rPr>
            <w:t xml:space="preserve">en la Resolución </w:t>
          </w:r>
          <w:r w:rsidR="00085867" w:rsidRPr="00085867">
            <w:rPr>
              <w:rFonts w:ascii="Times New Roman" w:hAnsi="Times New Roman"/>
              <w:sz w:val="24"/>
              <w:szCs w:val="24"/>
            </w:rPr>
            <w:t>20234010009515</w:t>
          </w:r>
          <w:r w:rsidR="00085867">
            <w:rPr>
              <w:rFonts w:ascii="Times New Roman" w:hAnsi="Times New Roman"/>
              <w:sz w:val="24"/>
              <w:szCs w:val="24"/>
            </w:rPr>
            <w:t xml:space="preserve"> de la Agencia Nacional de Infraestructura con fecha 01 de agosto de 2023.</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ayout w:type="fixed"/>
            <w:tblCellMar>
              <w:left w:w="70" w:type="dxa"/>
              <w:right w:w="70" w:type="dxa"/>
            </w:tblCellMar>
            <w:tblLook w:val="04A0" w:firstRow="1" w:lastRow="0" w:firstColumn="1" w:lastColumn="0" w:noHBand="0" w:noVBand="1"/>
          </w:tblPr>
          <w:tblGrid>
            <w:gridCol w:w="962"/>
            <w:gridCol w:w="876"/>
            <w:gridCol w:w="2694"/>
            <w:gridCol w:w="1134"/>
            <w:gridCol w:w="1135"/>
            <w:gridCol w:w="710"/>
            <w:gridCol w:w="1458"/>
          </w:tblGrid>
          <w:tr w:rsidR="005640CE" w:rsidRPr="00862A37" w14:paraId="1D8828D5" w14:textId="77777777" w:rsidTr="004A07C9">
            <w:trPr>
              <w:trHeight w:val="316"/>
              <w:tblHeader/>
            </w:trPr>
            <w:tc>
              <w:tcPr>
                <w:tcW w:w="536" w:type="pct"/>
                <w:shd w:val="clear" w:color="auto" w:fill="auto"/>
                <w:noWrap/>
                <w:vAlign w:val="center"/>
                <w:hideMark/>
              </w:tcPr>
              <w:p w14:paraId="4952977E" w14:textId="77777777" w:rsidR="00862A37" w:rsidRPr="009A46BB" w:rsidRDefault="00862A37" w:rsidP="00862A37">
                <w:pPr>
                  <w:spacing w:after="0" w:line="240" w:lineRule="auto"/>
                  <w:jc w:val="center"/>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Fecha</w:t>
                </w:r>
              </w:p>
            </w:tc>
            <w:tc>
              <w:tcPr>
                <w:tcW w:w="488" w:type="pct"/>
                <w:shd w:val="clear" w:color="auto" w:fill="auto"/>
                <w:noWrap/>
                <w:vAlign w:val="center"/>
                <w:hideMark/>
              </w:tcPr>
              <w:p w14:paraId="008A8D07" w14:textId="77777777" w:rsidR="00862A37" w:rsidRPr="009A46BB" w:rsidRDefault="00862A37" w:rsidP="00862A37">
                <w:pPr>
                  <w:spacing w:after="0" w:line="240" w:lineRule="auto"/>
                  <w:jc w:val="center"/>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Comprobante</w:t>
                </w:r>
              </w:p>
            </w:tc>
            <w:tc>
              <w:tcPr>
                <w:tcW w:w="1502" w:type="pct"/>
                <w:shd w:val="clear" w:color="auto" w:fill="auto"/>
                <w:noWrap/>
                <w:vAlign w:val="center"/>
                <w:hideMark/>
              </w:tcPr>
              <w:p w14:paraId="5E50E742" w14:textId="77777777" w:rsidR="00862A37" w:rsidRPr="009A46BB" w:rsidRDefault="00862A37" w:rsidP="00862A37">
                <w:pPr>
                  <w:spacing w:after="0" w:line="240" w:lineRule="auto"/>
                  <w:jc w:val="center"/>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Elemento</w:t>
                </w:r>
              </w:p>
            </w:tc>
            <w:tc>
              <w:tcPr>
                <w:tcW w:w="632" w:type="pct"/>
                <w:shd w:val="clear" w:color="auto" w:fill="auto"/>
                <w:noWrap/>
                <w:vAlign w:val="center"/>
                <w:hideMark/>
              </w:tcPr>
              <w:p w14:paraId="60C4C523" w14:textId="77777777" w:rsidR="00862A37" w:rsidRPr="009A46BB" w:rsidRDefault="00862A37" w:rsidP="00862A37">
                <w:pPr>
                  <w:spacing w:after="0" w:line="240" w:lineRule="auto"/>
                  <w:jc w:val="center"/>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Proveedor</w:t>
                </w:r>
              </w:p>
            </w:tc>
            <w:tc>
              <w:tcPr>
                <w:tcW w:w="633" w:type="pct"/>
                <w:shd w:val="clear" w:color="auto" w:fill="auto"/>
                <w:noWrap/>
                <w:vAlign w:val="center"/>
                <w:hideMark/>
              </w:tcPr>
              <w:p w14:paraId="77CBC62C" w14:textId="77777777" w:rsidR="00862A37" w:rsidRPr="009A46BB" w:rsidRDefault="00862A37" w:rsidP="00862A37">
                <w:pPr>
                  <w:spacing w:after="0" w:line="240" w:lineRule="auto"/>
                  <w:jc w:val="center"/>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Nit</w:t>
                </w:r>
              </w:p>
            </w:tc>
            <w:tc>
              <w:tcPr>
                <w:tcW w:w="396" w:type="pct"/>
                <w:shd w:val="clear" w:color="auto" w:fill="auto"/>
                <w:noWrap/>
                <w:vAlign w:val="center"/>
                <w:hideMark/>
              </w:tcPr>
              <w:p w14:paraId="5F7E8CDB" w14:textId="77777777" w:rsidR="00862A37" w:rsidRPr="009A46BB" w:rsidRDefault="00862A37" w:rsidP="00862A37">
                <w:pPr>
                  <w:spacing w:after="0" w:line="240" w:lineRule="auto"/>
                  <w:jc w:val="center"/>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Cantidad</w:t>
                </w:r>
              </w:p>
            </w:tc>
            <w:tc>
              <w:tcPr>
                <w:tcW w:w="813" w:type="pct"/>
                <w:shd w:val="clear" w:color="auto" w:fill="auto"/>
                <w:noWrap/>
                <w:vAlign w:val="center"/>
                <w:hideMark/>
              </w:tcPr>
              <w:p w14:paraId="14EE859A" w14:textId="37898201" w:rsidR="00862A37" w:rsidRPr="009A46BB" w:rsidRDefault="00862A37" w:rsidP="007879BB">
                <w:pPr>
                  <w:spacing w:after="0" w:line="240" w:lineRule="auto"/>
                  <w:jc w:val="center"/>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Valor Total</w:t>
                </w:r>
              </w:p>
            </w:tc>
          </w:tr>
          <w:tr w:rsidR="00B344F9" w:rsidRPr="00862A37" w14:paraId="3E41D612" w14:textId="77777777" w:rsidTr="004A07C9">
            <w:trPr>
              <w:trHeight w:val="1208"/>
            </w:trPr>
            <w:tc>
              <w:tcPr>
                <w:tcW w:w="536" w:type="pct"/>
                <w:shd w:val="clear" w:color="auto" w:fill="auto"/>
                <w:vAlign w:val="center"/>
                <w:hideMark/>
              </w:tcPr>
              <w:p w14:paraId="0B933C96"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27/03/2023</w:t>
                </w:r>
              </w:p>
            </w:tc>
            <w:tc>
              <w:tcPr>
                <w:tcW w:w="488" w:type="pct"/>
                <w:shd w:val="clear" w:color="auto" w:fill="auto"/>
                <w:noWrap/>
                <w:vAlign w:val="center"/>
                <w:hideMark/>
              </w:tcPr>
              <w:p w14:paraId="2A880BBA"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01-00911</w:t>
                </w:r>
              </w:p>
            </w:tc>
            <w:tc>
              <w:tcPr>
                <w:tcW w:w="1502" w:type="pct"/>
                <w:shd w:val="clear" w:color="auto" w:fill="auto"/>
                <w:vAlign w:val="center"/>
                <w:hideMark/>
              </w:tcPr>
              <w:p w14:paraId="4036B21E" w14:textId="60DBAC51" w:rsidR="00862A37" w:rsidRPr="009A46BB" w:rsidRDefault="006D62B2" w:rsidP="00E007FC">
                <w:pPr>
                  <w:spacing w:after="0" w:line="240" w:lineRule="auto"/>
                  <w:jc w:val="both"/>
                  <w:rPr>
                    <w:rFonts w:ascii="Times New Roman" w:eastAsia="Times New Roman" w:hAnsi="Times New Roman"/>
                    <w:color w:val="000000"/>
                    <w:sz w:val="18"/>
                    <w:szCs w:val="18"/>
                    <w:lang w:val="en-US" w:eastAsia="es-CO"/>
                  </w:rPr>
                </w:pPr>
                <w:r>
                  <w:rPr>
                    <w:rFonts w:ascii="Times New Roman" w:eastAsia="Times New Roman" w:hAnsi="Times New Roman"/>
                    <w:color w:val="000000"/>
                    <w:sz w:val="18"/>
                    <w:szCs w:val="18"/>
                    <w:lang w:val="en-US" w:eastAsia="es-CO"/>
                  </w:rPr>
                  <w:t>L</w:t>
                </w:r>
                <w:r w:rsidRPr="009A46BB">
                  <w:rPr>
                    <w:rFonts w:ascii="Times New Roman" w:eastAsia="Times New Roman" w:hAnsi="Times New Roman"/>
                    <w:color w:val="000000"/>
                    <w:sz w:val="18"/>
                    <w:szCs w:val="18"/>
                    <w:lang w:val="en-US" w:eastAsia="es-CO"/>
                  </w:rPr>
                  <w:t>icencia 9ea-00273eaap microsoft win server datacenter core all languages software assurance licencia win</w:t>
                </w:r>
                <w:r w:rsidRPr="009A46BB">
                  <w:rPr>
                    <w:rFonts w:ascii="Times New Roman" w:eastAsia="Times New Roman" w:hAnsi="Times New Roman"/>
                    <w:color w:val="000000"/>
                    <w:sz w:val="18"/>
                    <w:szCs w:val="18"/>
                    <w:lang w:val="en-US" w:eastAsia="es-CO"/>
                  </w:rPr>
                  <w:br/>
                  <w:t xml:space="preserve">server datacenter core </w:t>
                </w:r>
              </w:p>
            </w:tc>
            <w:tc>
              <w:tcPr>
                <w:tcW w:w="632" w:type="pct"/>
                <w:shd w:val="clear" w:color="auto" w:fill="auto"/>
                <w:vAlign w:val="center"/>
                <w:hideMark/>
              </w:tcPr>
              <w:p w14:paraId="0D5BF0AF" w14:textId="6F6B23C8" w:rsidR="00862A37" w:rsidRPr="009A46BB" w:rsidRDefault="006D62B2" w:rsidP="00E007FC">
                <w:pPr>
                  <w:spacing w:after="0" w:line="240" w:lineRule="auto"/>
                  <w:jc w:val="both"/>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controles empresariales ltda</w:t>
                </w:r>
              </w:p>
            </w:tc>
            <w:tc>
              <w:tcPr>
                <w:tcW w:w="633" w:type="pct"/>
                <w:shd w:val="clear" w:color="auto" w:fill="auto"/>
                <w:vAlign w:val="center"/>
                <w:hideMark/>
              </w:tcPr>
              <w:p w14:paraId="1B2D1D81"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800058607</w:t>
                </w:r>
              </w:p>
            </w:tc>
            <w:tc>
              <w:tcPr>
                <w:tcW w:w="396" w:type="pct"/>
                <w:shd w:val="clear" w:color="auto" w:fill="auto"/>
                <w:vAlign w:val="center"/>
                <w:hideMark/>
              </w:tcPr>
              <w:p w14:paraId="2CD18C9F"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w:t>
                </w:r>
              </w:p>
            </w:tc>
            <w:tc>
              <w:tcPr>
                <w:tcW w:w="813" w:type="pct"/>
                <w:shd w:val="clear" w:color="auto" w:fill="auto"/>
                <w:vAlign w:val="center"/>
                <w:hideMark/>
              </w:tcPr>
              <w:p w14:paraId="7E0C706C" w14:textId="6D4F6C61" w:rsidR="00862A37" w:rsidRPr="009A46BB" w:rsidRDefault="00862A37" w:rsidP="004C06F7">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$14.263.47</w:t>
                </w:r>
                <w:r w:rsidR="000314CE" w:rsidRPr="009A46BB">
                  <w:rPr>
                    <w:rFonts w:ascii="Times New Roman" w:eastAsia="Times New Roman" w:hAnsi="Times New Roman"/>
                    <w:color w:val="000000"/>
                    <w:sz w:val="18"/>
                    <w:szCs w:val="18"/>
                    <w:lang w:eastAsia="es-CO"/>
                  </w:rPr>
                  <w:t>1</w:t>
                </w:r>
              </w:p>
            </w:tc>
          </w:tr>
          <w:tr w:rsidR="00B344F9" w:rsidRPr="00862A37" w14:paraId="297E74CB" w14:textId="77777777" w:rsidTr="004A07C9">
            <w:trPr>
              <w:trHeight w:val="725"/>
            </w:trPr>
            <w:tc>
              <w:tcPr>
                <w:tcW w:w="536" w:type="pct"/>
                <w:shd w:val="clear" w:color="auto" w:fill="auto"/>
                <w:vAlign w:val="center"/>
                <w:hideMark/>
              </w:tcPr>
              <w:p w14:paraId="7EBE4DAC"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27/03/2023</w:t>
                </w:r>
              </w:p>
            </w:tc>
            <w:tc>
              <w:tcPr>
                <w:tcW w:w="488" w:type="pct"/>
                <w:shd w:val="clear" w:color="auto" w:fill="auto"/>
                <w:noWrap/>
                <w:vAlign w:val="center"/>
                <w:hideMark/>
              </w:tcPr>
              <w:p w14:paraId="65B6B738"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01-00911</w:t>
                </w:r>
              </w:p>
            </w:tc>
            <w:tc>
              <w:tcPr>
                <w:tcW w:w="1502" w:type="pct"/>
                <w:shd w:val="clear" w:color="auto" w:fill="auto"/>
                <w:vAlign w:val="center"/>
                <w:hideMark/>
              </w:tcPr>
              <w:p w14:paraId="2D9FC360" w14:textId="36E9FA7B" w:rsidR="00862A37" w:rsidRPr="009A46BB" w:rsidRDefault="006D62B2" w:rsidP="00E007FC">
                <w:pPr>
                  <w:spacing w:after="0" w:line="240" w:lineRule="auto"/>
                  <w:jc w:val="both"/>
                  <w:rPr>
                    <w:rFonts w:ascii="Times New Roman" w:eastAsia="Times New Roman" w:hAnsi="Times New Roman"/>
                    <w:color w:val="000000"/>
                    <w:sz w:val="18"/>
                    <w:szCs w:val="18"/>
                    <w:lang w:eastAsia="es-CO"/>
                  </w:rPr>
                </w:pPr>
                <w:r>
                  <w:rPr>
                    <w:rFonts w:ascii="Times New Roman" w:eastAsia="Times New Roman" w:hAnsi="Times New Roman"/>
                    <w:color w:val="000000"/>
                    <w:sz w:val="18"/>
                    <w:szCs w:val="18"/>
                    <w:lang w:eastAsia="es-CO"/>
                  </w:rPr>
                  <w:t>L</w:t>
                </w:r>
                <w:r w:rsidRPr="009A46BB">
                  <w:rPr>
                    <w:rFonts w:ascii="Times New Roman" w:eastAsia="Times New Roman" w:hAnsi="Times New Roman"/>
                    <w:color w:val="000000"/>
                    <w:sz w:val="18"/>
                    <w:szCs w:val="18"/>
                    <w:lang w:eastAsia="es-CO"/>
                  </w:rPr>
                  <w:t>icencia aad-33168eaeasent microsoft m365 e5 unified fusl subscription licencia microsoft m365 e5 unified</w:t>
                </w:r>
              </w:p>
            </w:tc>
            <w:tc>
              <w:tcPr>
                <w:tcW w:w="632" w:type="pct"/>
                <w:shd w:val="clear" w:color="auto" w:fill="auto"/>
                <w:vAlign w:val="center"/>
                <w:hideMark/>
              </w:tcPr>
              <w:p w14:paraId="65170028" w14:textId="183BC3E9" w:rsidR="00862A37" w:rsidRPr="009A46BB" w:rsidRDefault="006D62B2" w:rsidP="00E007FC">
                <w:pPr>
                  <w:spacing w:after="0" w:line="240" w:lineRule="auto"/>
                  <w:jc w:val="both"/>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controles empresariales ltda</w:t>
                </w:r>
              </w:p>
            </w:tc>
            <w:tc>
              <w:tcPr>
                <w:tcW w:w="633" w:type="pct"/>
                <w:shd w:val="clear" w:color="auto" w:fill="auto"/>
                <w:vAlign w:val="center"/>
                <w:hideMark/>
              </w:tcPr>
              <w:p w14:paraId="3E6DE6E8"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800058607</w:t>
                </w:r>
              </w:p>
            </w:tc>
            <w:tc>
              <w:tcPr>
                <w:tcW w:w="396" w:type="pct"/>
                <w:shd w:val="clear" w:color="auto" w:fill="auto"/>
                <w:vAlign w:val="center"/>
                <w:hideMark/>
              </w:tcPr>
              <w:p w14:paraId="19402D19"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w:t>
                </w:r>
              </w:p>
            </w:tc>
            <w:tc>
              <w:tcPr>
                <w:tcW w:w="813" w:type="pct"/>
                <w:shd w:val="clear" w:color="auto" w:fill="auto"/>
                <w:vAlign w:val="center"/>
                <w:hideMark/>
              </w:tcPr>
              <w:p w14:paraId="4E0ED140" w14:textId="1640F6BE" w:rsidR="00862A37" w:rsidRPr="009A46BB" w:rsidRDefault="00862A37" w:rsidP="004C06F7">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$86.934.060</w:t>
                </w:r>
              </w:p>
            </w:tc>
          </w:tr>
          <w:tr w:rsidR="00B344F9" w:rsidRPr="00862A37" w14:paraId="7ADA55A1" w14:textId="77777777" w:rsidTr="004A07C9">
            <w:trPr>
              <w:trHeight w:val="725"/>
            </w:trPr>
            <w:tc>
              <w:tcPr>
                <w:tcW w:w="536" w:type="pct"/>
                <w:shd w:val="clear" w:color="auto" w:fill="auto"/>
                <w:vAlign w:val="center"/>
                <w:hideMark/>
              </w:tcPr>
              <w:p w14:paraId="735362D7"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27/03/2023</w:t>
                </w:r>
              </w:p>
            </w:tc>
            <w:tc>
              <w:tcPr>
                <w:tcW w:w="488" w:type="pct"/>
                <w:shd w:val="clear" w:color="auto" w:fill="auto"/>
                <w:noWrap/>
                <w:vAlign w:val="center"/>
                <w:hideMark/>
              </w:tcPr>
              <w:p w14:paraId="6103BCCD"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01-00911</w:t>
                </w:r>
              </w:p>
            </w:tc>
            <w:tc>
              <w:tcPr>
                <w:tcW w:w="1502" w:type="pct"/>
                <w:shd w:val="clear" w:color="auto" w:fill="auto"/>
                <w:vAlign w:val="center"/>
                <w:hideMark/>
              </w:tcPr>
              <w:p w14:paraId="676EF77C" w14:textId="78F7350F" w:rsidR="00862A37" w:rsidRPr="009A46BB" w:rsidRDefault="006D62B2" w:rsidP="00E007FC">
                <w:pPr>
                  <w:spacing w:after="0" w:line="240" w:lineRule="auto"/>
                  <w:jc w:val="both"/>
                  <w:rPr>
                    <w:rFonts w:ascii="Times New Roman" w:eastAsia="Times New Roman" w:hAnsi="Times New Roman"/>
                    <w:color w:val="000000"/>
                    <w:sz w:val="18"/>
                    <w:szCs w:val="18"/>
                    <w:lang w:val="en-US" w:eastAsia="es-CO"/>
                  </w:rPr>
                </w:pPr>
                <w:r>
                  <w:rPr>
                    <w:rFonts w:ascii="Times New Roman" w:eastAsia="Times New Roman" w:hAnsi="Times New Roman"/>
                    <w:color w:val="000000"/>
                    <w:sz w:val="18"/>
                    <w:szCs w:val="18"/>
                    <w:lang w:val="en-US" w:eastAsia="es-CO"/>
                  </w:rPr>
                  <w:t>L</w:t>
                </w:r>
                <w:r w:rsidRPr="009A46BB">
                  <w:rPr>
                    <w:rFonts w:ascii="Times New Roman" w:eastAsia="Times New Roman" w:hAnsi="Times New Roman"/>
                    <w:color w:val="000000"/>
                    <w:sz w:val="18"/>
                    <w:szCs w:val="18"/>
                    <w:lang w:val="en-US" w:eastAsia="es-CO"/>
                  </w:rPr>
                  <w:t>icencias tqa-00001eaeasap microsoft exchange online p2 subscrption licencia microsoft exchange online p2</w:t>
                </w:r>
              </w:p>
            </w:tc>
            <w:tc>
              <w:tcPr>
                <w:tcW w:w="632" w:type="pct"/>
                <w:shd w:val="clear" w:color="auto" w:fill="auto"/>
                <w:vAlign w:val="center"/>
                <w:hideMark/>
              </w:tcPr>
              <w:p w14:paraId="27194948" w14:textId="3618B6CB" w:rsidR="00862A37" w:rsidRPr="009A46BB" w:rsidRDefault="006D62B2" w:rsidP="00E007FC">
                <w:pPr>
                  <w:spacing w:after="0" w:line="240" w:lineRule="auto"/>
                  <w:jc w:val="both"/>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controles empresariales ltda</w:t>
                </w:r>
              </w:p>
            </w:tc>
            <w:tc>
              <w:tcPr>
                <w:tcW w:w="633" w:type="pct"/>
                <w:shd w:val="clear" w:color="auto" w:fill="auto"/>
                <w:vAlign w:val="center"/>
                <w:hideMark/>
              </w:tcPr>
              <w:p w14:paraId="101D24F4"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800058607</w:t>
                </w:r>
              </w:p>
            </w:tc>
            <w:tc>
              <w:tcPr>
                <w:tcW w:w="396" w:type="pct"/>
                <w:shd w:val="clear" w:color="auto" w:fill="auto"/>
                <w:vAlign w:val="center"/>
                <w:hideMark/>
              </w:tcPr>
              <w:p w14:paraId="491F574B"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w:t>
                </w:r>
              </w:p>
            </w:tc>
            <w:tc>
              <w:tcPr>
                <w:tcW w:w="813" w:type="pct"/>
                <w:shd w:val="clear" w:color="auto" w:fill="auto"/>
                <w:vAlign w:val="center"/>
                <w:hideMark/>
              </w:tcPr>
              <w:p w14:paraId="5264A9FE" w14:textId="2967C2D3" w:rsidR="00862A37" w:rsidRPr="009A46BB" w:rsidRDefault="00862A37" w:rsidP="004C06F7">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$8.120.520</w:t>
                </w:r>
              </w:p>
            </w:tc>
          </w:tr>
          <w:tr w:rsidR="00B344F9" w:rsidRPr="00862A37" w14:paraId="2E1F266F" w14:textId="77777777" w:rsidTr="004A07C9">
            <w:trPr>
              <w:trHeight w:val="725"/>
            </w:trPr>
            <w:tc>
              <w:tcPr>
                <w:tcW w:w="536" w:type="pct"/>
                <w:shd w:val="clear" w:color="auto" w:fill="auto"/>
                <w:vAlign w:val="center"/>
                <w:hideMark/>
              </w:tcPr>
              <w:p w14:paraId="2513F1F5"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27/03/2023</w:t>
                </w:r>
              </w:p>
            </w:tc>
            <w:tc>
              <w:tcPr>
                <w:tcW w:w="488" w:type="pct"/>
                <w:shd w:val="clear" w:color="auto" w:fill="auto"/>
                <w:noWrap/>
                <w:vAlign w:val="center"/>
                <w:hideMark/>
              </w:tcPr>
              <w:p w14:paraId="09361036"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01-00911</w:t>
                </w:r>
              </w:p>
            </w:tc>
            <w:tc>
              <w:tcPr>
                <w:tcW w:w="1502" w:type="pct"/>
                <w:shd w:val="clear" w:color="auto" w:fill="auto"/>
                <w:vAlign w:val="center"/>
                <w:hideMark/>
              </w:tcPr>
              <w:p w14:paraId="7A1890AD" w14:textId="3951E347" w:rsidR="00862A37" w:rsidRPr="009A46BB" w:rsidRDefault="006D62B2" w:rsidP="00E007FC">
                <w:pPr>
                  <w:spacing w:after="0" w:line="240" w:lineRule="auto"/>
                  <w:jc w:val="both"/>
                  <w:rPr>
                    <w:rFonts w:ascii="Times New Roman" w:eastAsia="Times New Roman" w:hAnsi="Times New Roman"/>
                    <w:color w:val="000000"/>
                    <w:sz w:val="18"/>
                    <w:szCs w:val="18"/>
                    <w:lang w:eastAsia="es-CO"/>
                  </w:rPr>
                </w:pPr>
                <w:r>
                  <w:rPr>
                    <w:rFonts w:ascii="Times New Roman" w:eastAsia="Times New Roman" w:hAnsi="Times New Roman"/>
                    <w:color w:val="000000"/>
                    <w:sz w:val="18"/>
                    <w:szCs w:val="18"/>
                    <w:lang w:eastAsia="es-CO"/>
                  </w:rPr>
                  <w:t>L</w:t>
                </w:r>
                <w:r w:rsidRPr="009A46BB">
                  <w:rPr>
                    <w:rFonts w:ascii="Times New Roman" w:eastAsia="Times New Roman" w:hAnsi="Times New Roman"/>
                    <w:color w:val="000000"/>
                    <w:sz w:val="18"/>
                    <w:szCs w:val="18"/>
                    <w:lang w:eastAsia="es-CO"/>
                  </w:rPr>
                  <w:t xml:space="preserve">icencia n9u-00002eaeasap microsoft visio p2 subscription per user licencia visio p2 </w:t>
                </w:r>
              </w:p>
            </w:tc>
            <w:tc>
              <w:tcPr>
                <w:tcW w:w="632" w:type="pct"/>
                <w:shd w:val="clear" w:color="auto" w:fill="auto"/>
                <w:vAlign w:val="center"/>
                <w:hideMark/>
              </w:tcPr>
              <w:p w14:paraId="1B732B5F" w14:textId="07AAEFDB" w:rsidR="00862A37" w:rsidRPr="009A46BB" w:rsidRDefault="006D62B2" w:rsidP="00E007FC">
                <w:pPr>
                  <w:spacing w:after="0" w:line="240" w:lineRule="auto"/>
                  <w:jc w:val="both"/>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controles empresariales ltda</w:t>
                </w:r>
              </w:p>
            </w:tc>
            <w:tc>
              <w:tcPr>
                <w:tcW w:w="633" w:type="pct"/>
                <w:shd w:val="clear" w:color="auto" w:fill="auto"/>
                <w:vAlign w:val="center"/>
                <w:hideMark/>
              </w:tcPr>
              <w:p w14:paraId="2C538BFE"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800058607</w:t>
                </w:r>
              </w:p>
            </w:tc>
            <w:tc>
              <w:tcPr>
                <w:tcW w:w="396" w:type="pct"/>
                <w:shd w:val="clear" w:color="auto" w:fill="auto"/>
                <w:vAlign w:val="center"/>
                <w:hideMark/>
              </w:tcPr>
              <w:p w14:paraId="1C2E56C2"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w:t>
                </w:r>
              </w:p>
            </w:tc>
            <w:tc>
              <w:tcPr>
                <w:tcW w:w="813" w:type="pct"/>
                <w:shd w:val="clear" w:color="auto" w:fill="auto"/>
                <w:vAlign w:val="center"/>
                <w:hideMark/>
              </w:tcPr>
              <w:p w14:paraId="38C30EE5" w14:textId="1470476E" w:rsidR="00862A37" w:rsidRPr="009A46BB" w:rsidRDefault="00862A37" w:rsidP="004C06F7">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w:t>
                </w:r>
                <w:r w:rsidR="007879BB" w:rsidRPr="009A46BB">
                  <w:rPr>
                    <w:rFonts w:ascii="Times New Roman" w:eastAsia="Times New Roman" w:hAnsi="Times New Roman"/>
                    <w:color w:val="000000"/>
                    <w:sz w:val="18"/>
                    <w:szCs w:val="18"/>
                    <w:lang w:eastAsia="es-CO"/>
                  </w:rPr>
                  <w:t>7</w:t>
                </w:r>
                <w:r w:rsidRPr="009A46BB">
                  <w:rPr>
                    <w:rFonts w:ascii="Times New Roman" w:eastAsia="Times New Roman" w:hAnsi="Times New Roman"/>
                    <w:color w:val="000000"/>
                    <w:sz w:val="18"/>
                    <w:szCs w:val="18"/>
                    <w:lang w:eastAsia="es-CO"/>
                  </w:rPr>
                  <w:t>.619.940</w:t>
                </w:r>
              </w:p>
            </w:tc>
          </w:tr>
          <w:tr w:rsidR="00B344F9" w:rsidRPr="00862A37" w14:paraId="2A53460A" w14:textId="77777777" w:rsidTr="004A07C9">
            <w:trPr>
              <w:trHeight w:val="725"/>
            </w:trPr>
            <w:tc>
              <w:tcPr>
                <w:tcW w:w="536" w:type="pct"/>
                <w:shd w:val="clear" w:color="auto" w:fill="auto"/>
                <w:vAlign w:val="center"/>
                <w:hideMark/>
              </w:tcPr>
              <w:p w14:paraId="7C122F7C"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27/03/2023</w:t>
                </w:r>
              </w:p>
            </w:tc>
            <w:tc>
              <w:tcPr>
                <w:tcW w:w="488" w:type="pct"/>
                <w:shd w:val="clear" w:color="auto" w:fill="auto"/>
                <w:noWrap/>
                <w:vAlign w:val="center"/>
                <w:hideMark/>
              </w:tcPr>
              <w:p w14:paraId="60B4ACF8"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01-00911</w:t>
                </w:r>
              </w:p>
            </w:tc>
            <w:tc>
              <w:tcPr>
                <w:tcW w:w="1502" w:type="pct"/>
                <w:shd w:val="clear" w:color="auto" w:fill="auto"/>
                <w:vAlign w:val="center"/>
                <w:hideMark/>
              </w:tcPr>
              <w:p w14:paraId="0E5C88ED" w14:textId="433A4FB8" w:rsidR="00862A37" w:rsidRPr="009A46BB" w:rsidRDefault="006D62B2" w:rsidP="00E007FC">
                <w:pPr>
                  <w:spacing w:after="0" w:line="240" w:lineRule="auto"/>
                  <w:jc w:val="both"/>
                  <w:rPr>
                    <w:rFonts w:ascii="Times New Roman" w:eastAsia="Times New Roman" w:hAnsi="Times New Roman"/>
                    <w:color w:val="000000"/>
                    <w:sz w:val="18"/>
                    <w:szCs w:val="18"/>
                    <w:lang w:eastAsia="es-CO"/>
                  </w:rPr>
                </w:pPr>
                <w:r>
                  <w:rPr>
                    <w:rFonts w:ascii="Times New Roman" w:eastAsia="Times New Roman" w:hAnsi="Times New Roman"/>
                    <w:color w:val="000000"/>
                    <w:sz w:val="18"/>
                    <w:szCs w:val="18"/>
                    <w:lang w:eastAsia="es-CO"/>
                  </w:rPr>
                  <w:t>L</w:t>
                </w:r>
                <w:r w:rsidRPr="009A46BB">
                  <w:rPr>
                    <w:rFonts w:ascii="Times New Roman" w:eastAsia="Times New Roman" w:hAnsi="Times New Roman"/>
                    <w:color w:val="000000"/>
                    <w:sz w:val="18"/>
                    <w:szCs w:val="18"/>
                    <w:lang w:eastAsia="es-CO"/>
                  </w:rPr>
                  <w:t xml:space="preserve">icencia pej-00002eaeasap microsoft m365 e5 security subscrption licencia microsoft m365 </w:t>
                </w:r>
              </w:p>
            </w:tc>
            <w:tc>
              <w:tcPr>
                <w:tcW w:w="632" w:type="pct"/>
                <w:shd w:val="clear" w:color="auto" w:fill="auto"/>
                <w:vAlign w:val="center"/>
                <w:hideMark/>
              </w:tcPr>
              <w:p w14:paraId="0EFDB5FB" w14:textId="4825D9C0" w:rsidR="00862A37" w:rsidRPr="009A46BB" w:rsidRDefault="006D62B2" w:rsidP="00E007FC">
                <w:pPr>
                  <w:spacing w:after="0" w:line="240" w:lineRule="auto"/>
                  <w:jc w:val="both"/>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controles empresariales ltda</w:t>
                </w:r>
              </w:p>
            </w:tc>
            <w:tc>
              <w:tcPr>
                <w:tcW w:w="633" w:type="pct"/>
                <w:shd w:val="clear" w:color="auto" w:fill="auto"/>
                <w:vAlign w:val="center"/>
                <w:hideMark/>
              </w:tcPr>
              <w:p w14:paraId="363B1568"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800058607</w:t>
                </w:r>
              </w:p>
            </w:tc>
            <w:tc>
              <w:tcPr>
                <w:tcW w:w="396" w:type="pct"/>
                <w:shd w:val="clear" w:color="auto" w:fill="auto"/>
                <w:vAlign w:val="center"/>
                <w:hideMark/>
              </w:tcPr>
              <w:p w14:paraId="13B10B9A"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w:t>
                </w:r>
              </w:p>
            </w:tc>
            <w:tc>
              <w:tcPr>
                <w:tcW w:w="813" w:type="pct"/>
                <w:shd w:val="clear" w:color="auto" w:fill="auto"/>
                <w:vAlign w:val="center"/>
                <w:hideMark/>
              </w:tcPr>
              <w:p w14:paraId="0A16DE1A" w14:textId="3F9CD0D2" w:rsidR="00862A37" w:rsidRPr="009A46BB" w:rsidRDefault="00862A37" w:rsidP="004C06F7">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$442.568.340</w:t>
                </w:r>
              </w:p>
            </w:tc>
          </w:tr>
          <w:tr w:rsidR="00B344F9" w:rsidRPr="00862A37" w14:paraId="409DACAA" w14:textId="77777777" w:rsidTr="004A07C9">
            <w:trPr>
              <w:trHeight w:val="725"/>
            </w:trPr>
            <w:tc>
              <w:tcPr>
                <w:tcW w:w="536" w:type="pct"/>
                <w:shd w:val="clear" w:color="auto" w:fill="auto"/>
                <w:vAlign w:val="center"/>
                <w:hideMark/>
              </w:tcPr>
              <w:p w14:paraId="57B2C91E"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27/03/2023</w:t>
                </w:r>
              </w:p>
            </w:tc>
            <w:tc>
              <w:tcPr>
                <w:tcW w:w="488" w:type="pct"/>
                <w:shd w:val="clear" w:color="auto" w:fill="auto"/>
                <w:noWrap/>
                <w:vAlign w:val="center"/>
                <w:hideMark/>
              </w:tcPr>
              <w:p w14:paraId="00DA7BCA"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01-00911</w:t>
                </w:r>
              </w:p>
            </w:tc>
            <w:tc>
              <w:tcPr>
                <w:tcW w:w="1502" w:type="pct"/>
                <w:shd w:val="clear" w:color="auto" w:fill="auto"/>
                <w:vAlign w:val="center"/>
                <w:hideMark/>
              </w:tcPr>
              <w:p w14:paraId="58CB9979" w14:textId="410196D7" w:rsidR="00862A37" w:rsidRPr="009A46BB" w:rsidRDefault="006D62B2" w:rsidP="00E007FC">
                <w:pPr>
                  <w:spacing w:after="0" w:line="240" w:lineRule="auto"/>
                  <w:jc w:val="both"/>
                  <w:rPr>
                    <w:rFonts w:ascii="Times New Roman" w:eastAsia="Times New Roman" w:hAnsi="Times New Roman"/>
                    <w:color w:val="000000"/>
                    <w:sz w:val="18"/>
                    <w:szCs w:val="18"/>
                    <w:lang w:eastAsia="es-CO"/>
                  </w:rPr>
                </w:pPr>
                <w:r>
                  <w:rPr>
                    <w:rFonts w:ascii="Times New Roman" w:eastAsia="Times New Roman" w:hAnsi="Times New Roman"/>
                    <w:color w:val="000000"/>
                    <w:sz w:val="18"/>
                    <w:szCs w:val="18"/>
                    <w:lang w:eastAsia="es-CO"/>
                  </w:rPr>
                  <w:t>L</w:t>
                </w:r>
                <w:r w:rsidRPr="009A46BB">
                  <w:rPr>
                    <w:rFonts w:ascii="Times New Roman" w:eastAsia="Times New Roman" w:hAnsi="Times New Roman"/>
                    <w:color w:val="000000"/>
                    <w:sz w:val="18"/>
                    <w:szCs w:val="18"/>
                    <w:lang w:eastAsia="es-CO"/>
                  </w:rPr>
                  <w:t xml:space="preserve">icencia aad-33204eaeasent microsoft m365 e3 unifed subscription licencia microsoft m365 e3 </w:t>
                </w:r>
              </w:p>
            </w:tc>
            <w:tc>
              <w:tcPr>
                <w:tcW w:w="632" w:type="pct"/>
                <w:shd w:val="clear" w:color="auto" w:fill="auto"/>
                <w:vAlign w:val="center"/>
                <w:hideMark/>
              </w:tcPr>
              <w:p w14:paraId="15CB8D6E" w14:textId="4AC56BEA" w:rsidR="00862A37" w:rsidRPr="009A46BB" w:rsidRDefault="006D62B2" w:rsidP="00E007FC">
                <w:pPr>
                  <w:spacing w:after="0" w:line="240" w:lineRule="auto"/>
                  <w:jc w:val="both"/>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controles empresariales ltda</w:t>
                </w:r>
              </w:p>
            </w:tc>
            <w:tc>
              <w:tcPr>
                <w:tcW w:w="633" w:type="pct"/>
                <w:shd w:val="clear" w:color="auto" w:fill="auto"/>
                <w:vAlign w:val="center"/>
                <w:hideMark/>
              </w:tcPr>
              <w:p w14:paraId="3CFD6511"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800058607</w:t>
                </w:r>
              </w:p>
            </w:tc>
            <w:tc>
              <w:tcPr>
                <w:tcW w:w="396" w:type="pct"/>
                <w:shd w:val="clear" w:color="auto" w:fill="auto"/>
                <w:vAlign w:val="center"/>
                <w:hideMark/>
              </w:tcPr>
              <w:p w14:paraId="601B082D"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w:t>
                </w:r>
              </w:p>
            </w:tc>
            <w:tc>
              <w:tcPr>
                <w:tcW w:w="813" w:type="pct"/>
                <w:shd w:val="clear" w:color="auto" w:fill="auto"/>
                <w:vAlign w:val="center"/>
                <w:hideMark/>
              </w:tcPr>
              <w:p w14:paraId="08159FBC" w14:textId="2F18892E" w:rsidR="00862A37" w:rsidRPr="009A46BB" w:rsidRDefault="00862A37" w:rsidP="004C06F7">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$1.327.705.020</w:t>
                </w:r>
              </w:p>
            </w:tc>
          </w:tr>
          <w:tr w:rsidR="00B344F9" w:rsidRPr="00862A37" w14:paraId="7BA7F32A" w14:textId="77777777" w:rsidTr="004A07C9">
            <w:trPr>
              <w:trHeight w:val="1208"/>
            </w:trPr>
            <w:tc>
              <w:tcPr>
                <w:tcW w:w="536" w:type="pct"/>
                <w:shd w:val="clear" w:color="auto" w:fill="auto"/>
                <w:vAlign w:val="center"/>
                <w:hideMark/>
              </w:tcPr>
              <w:p w14:paraId="7BF5C687"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lastRenderedPageBreak/>
                  <w:t>24/04/2023</w:t>
                </w:r>
              </w:p>
            </w:tc>
            <w:tc>
              <w:tcPr>
                <w:tcW w:w="488" w:type="pct"/>
                <w:shd w:val="clear" w:color="auto" w:fill="auto"/>
                <w:noWrap/>
                <w:vAlign w:val="center"/>
                <w:hideMark/>
              </w:tcPr>
              <w:p w14:paraId="1ECE21E8"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01-00912</w:t>
                </w:r>
              </w:p>
            </w:tc>
            <w:tc>
              <w:tcPr>
                <w:tcW w:w="1502" w:type="pct"/>
                <w:shd w:val="clear" w:color="auto" w:fill="auto"/>
                <w:vAlign w:val="center"/>
                <w:hideMark/>
              </w:tcPr>
              <w:p w14:paraId="64F7744E" w14:textId="205C3491" w:rsidR="00862A37" w:rsidRPr="009A46BB" w:rsidRDefault="006D62B2" w:rsidP="00E007FC">
                <w:pPr>
                  <w:spacing w:after="0" w:line="240" w:lineRule="auto"/>
                  <w:jc w:val="both"/>
                  <w:rPr>
                    <w:rFonts w:ascii="Times New Roman" w:eastAsia="Times New Roman" w:hAnsi="Times New Roman"/>
                    <w:color w:val="000000"/>
                    <w:sz w:val="18"/>
                    <w:szCs w:val="18"/>
                    <w:lang w:val="en-US" w:eastAsia="es-CO"/>
                  </w:rPr>
                </w:pPr>
                <w:r>
                  <w:rPr>
                    <w:rFonts w:ascii="Times New Roman" w:eastAsia="Times New Roman" w:hAnsi="Times New Roman"/>
                    <w:color w:val="000000"/>
                    <w:sz w:val="18"/>
                    <w:szCs w:val="18"/>
                    <w:lang w:val="en-US" w:eastAsia="es-CO"/>
                  </w:rPr>
                  <w:t>C</w:t>
                </w:r>
                <w:r w:rsidRPr="009A46BB">
                  <w:rPr>
                    <w:rFonts w:ascii="Times New Roman" w:eastAsia="Times New Roman" w:hAnsi="Times New Roman"/>
                    <w:color w:val="000000"/>
                    <w:sz w:val="18"/>
                    <w:szCs w:val="18"/>
                    <w:lang w:val="en-US" w:eastAsia="es-CO"/>
                  </w:rPr>
                  <w:t>loud computing - cct rnw vip gobierno creative cloud for teams all apps all renovación cct multiple platforms multi latin american languages</w:t>
                </w:r>
              </w:p>
            </w:tc>
            <w:tc>
              <w:tcPr>
                <w:tcW w:w="632" w:type="pct"/>
                <w:shd w:val="clear" w:color="auto" w:fill="auto"/>
                <w:vAlign w:val="center"/>
                <w:hideMark/>
              </w:tcPr>
              <w:p w14:paraId="0435C8EE" w14:textId="73005B0B" w:rsidR="00862A37" w:rsidRPr="009A46BB" w:rsidRDefault="006D62B2" w:rsidP="00E007FC">
                <w:pPr>
                  <w:spacing w:after="0" w:line="240" w:lineRule="auto"/>
                  <w:jc w:val="both"/>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ingenieria asistida por computador s.a.s</w:t>
                </w:r>
              </w:p>
            </w:tc>
            <w:tc>
              <w:tcPr>
                <w:tcW w:w="633" w:type="pct"/>
                <w:shd w:val="clear" w:color="auto" w:fill="auto"/>
                <w:vAlign w:val="center"/>
                <w:hideMark/>
              </w:tcPr>
              <w:p w14:paraId="1E69F7DA"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811004721</w:t>
                </w:r>
              </w:p>
            </w:tc>
            <w:tc>
              <w:tcPr>
                <w:tcW w:w="396" w:type="pct"/>
                <w:shd w:val="clear" w:color="auto" w:fill="auto"/>
                <w:vAlign w:val="center"/>
                <w:hideMark/>
              </w:tcPr>
              <w:p w14:paraId="6256322C"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w:t>
                </w:r>
              </w:p>
            </w:tc>
            <w:tc>
              <w:tcPr>
                <w:tcW w:w="813" w:type="pct"/>
                <w:shd w:val="clear" w:color="auto" w:fill="auto"/>
                <w:vAlign w:val="center"/>
                <w:hideMark/>
              </w:tcPr>
              <w:p w14:paraId="1FCFA2DE" w14:textId="25DCF69B" w:rsidR="00862A37" w:rsidRPr="009A46BB" w:rsidRDefault="00862A37" w:rsidP="004C06F7">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$29.303.267</w:t>
                </w:r>
              </w:p>
            </w:tc>
          </w:tr>
          <w:tr w:rsidR="00B344F9" w:rsidRPr="00862A37" w14:paraId="7483CA73" w14:textId="77777777" w:rsidTr="004A07C9">
            <w:trPr>
              <w:trHeight w:val="725"/>
            </w:trPr>
            <w:tc>
              <w:tcPr>
                <w:tcW w:w="536" w:type="pct"/>
                <w:shd w:val="clear" w:color="auto" w:fill="auto"/>
                <w:vAlign w:val="center"/>
                <w:hideMark/>
              </w:tcPr>
              <w:p w14:paraId="75288E43"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24/04/2023</w:t>
                </w:r>
              </w:p>
            </w:tc>
            <w:tc>
              <w:tcPr>
                <w:tcW w:w="488" w:type="pct"/>
                <w:shd w:val="clear" w:color="auto" w:fill="auto"/>
                <w:noWrap/>
                <w:vAlign w:val="center"/>
                <w:hideMark/>
              </w:tcPr>
              <w:p w14:paraId="2FE691DC"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01-00913</w:t>
                </w:r>
              </w:p>
            </w:tc>
            <w:tc>
              <w:tcPr>
                <w:tcW w:w="1502" w:type="pct"/>
                <w:shd w:val="clear" w:color="auto" w:fill="auto"/>
                <w:vAlign w:val="center"/>
                <w:hideMark/>
              </w:tcPr>
              <w:p w14:paraId="3B765F97" w14:textId="598935A6" w:rsidR="00862A37" w:rsidRPr="009A46BB" w:rsidRDefault="006D62B2" w:rsidP="004C06F7">
                <w:pPr>
                  <w:spacing w:after="0" w:line="240" w:lineRule="auto"/>
                  <w:jc w:val="both"/>
                  <w:rPr>
                    <w:rFonts w:ascii="Times New Roman" w:eastAsia="Times New Roman" w:hAnsi="Times New Roman"/>
                    <w:color w:val="000000"/>
                    <w:sz w:val="18"/>
                    <w:szCs w:val="18"/>
                    <w:lang w:val="en-US" w:eastAsia="es-CO"/>
                  </w:rPr>
                </w:pPr>
                <w:r>
                  <w:rPr>
                    <w:rFonts w:ascii="Times New Roman" w:eastAsia="Times New Roman" w:hAnsi="Times New Roman"/>
                    <w:color w:val="000000"/>
                    <w:sz w:val="18"/>
                    <w:szCs w:val="18"/>
                    <w:lang w:val="en-US" w:eastAsia="es-CO"/>
                  </w:rPr>
                  <w:t>L</w:t>
                </w:r>
                <w:r w:rsidRPr="009A46BB">
                  <w:rPr>
                    <w:rFonts w:ascii="Times New Roman" w:eastAsia="Times New Roman" w:hAnsi="Times New Roman"/>
                    <w:color w:val="000000"/>
                    <w:sz w:val="18"/>
                    <w:szCs w:val="18"/>
                    <w:lang w:val="en-US" w:eastAsia="es-CO"/>
                  </w:rPr>
                  <w:t>icencia argis arcgis for desktop advance single primary mainten</w:t>
                </w:r>
              </w:p>
            </w:tc>
            <w:tc>
              <w:tcPr>
                <w:tcW w:w="632" w:type="pct"/>
                <w:shd w:val="clear" w:color="auto" w:fill="auto"/>
                <w:vAlign w:val="center"/>
                <w:hideMark/>
              </w:tcPr>
              <w:p w14:paraId="473E0650" w14:textId="240229C1" w:rsidR="00862A37" w:rsidRPr="009A46BB" w:rsidRDefault="006D62B2" w:rsidP="004C06F7">
                <w:pPr>
                  <w:spacing w:after="0" w:line="240" w:lineRule="auto"/>
                  <w:jc w:val="both"/>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esri colombia sas</w:t>
                </w:r>
              </w:p>
            </w:tc>
            <w:tc>
              <w:tcPr>
                <w:tcW w:w="633" w:type="pct"/>
                <w:shd w:val="clear" w:color="auto" w:fill="auto"/>
                <w:vAlign w:val="center"/>
                <w:hideMark/>
              </w:tcPr>
              <w:p w14:paraId="3184F877"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830122983</w:t>
                </w:r>
              </w:p>
            </w:tc>
            <w:tc>
              <w:tcPr>
                <w:tcW w:w="396" w:type="pct"/>
                <w:shd w:val="clear" w:color="auto" w:fill="auto"/>
                <w:vAlign w:val="center"/>
                <w:hideMark/>
              </w:tcPr>
              <w:p w14:paraId="553CB90F"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w:t>
                </w:r>
              </w:p>
            </w:tc>
            <w:tc>
              <w:tcPr>
                <w:tcW w:w="813" w:type="pct"/>
                <w:shd w:val="clear" w:color="auto" w:fill="auto"/>
                <w:vAlign w:val="center"/>
                <w:hideMark/>
              </w:tcPr>
              <w:p w14:paraId="15944766" w14:textId="60E07C7E" w:rsidR="00862A37" w:rsidRPr="009A46BB" w:rsidRDefault="00862A37" w:rsidP="004C06F7">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$15.182.490</w:t>
                </w:r>
              </w:p>
            </w:tc>
          </w:tr>
          <w:tr w:rsidR="00B344F9" w:rsidRPr="00862A37" w14:paraId="3BD0DD80" w14:textId="77777777" w:rsidTr="004A07C9">
            <w:trPr>
              <w:trHeight w:val="725"/>
            </w:trPr>
            <w:tc>
              <w:tcPr>
                <w:tcW w:w="536" w:type="pct"/>
                <w:shd w:val="clear" w:color="auto" w:fill="auto"/>
                <w:vAlign w:val="center"/>
                <w:hideMark/>
              </w:tcPr>
              <w:p w14:paraId="7EFA9908"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24/04/2023</w:t>
                </w:r>
              </w:p>
            </w:tc>
            <w:tc>
              <w:tcPr>
                <w:tcW w:w="488" w:type="pct"/>
                <w:shd w:val="clear" w:color="auto" w:fill="auto"/>
                <w:noWrap/>
                <w:vAlign w:val="center"/>
                <w:hideMark/>
              </w:tcPr>
              <w:p w14:paraId="6ECDC077"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01-00913</w:t>
                </w:r>
              </w:p>
            </w:tc>
            <w:tc>
              <w:tcPr>
                <w:tcW w:w="1502" w:type="pct"/>
                <w:shd w:val="clear" w:color="auto" w:fill="auto"/>
                <w:vAlign w:val="center"/>
                <w:hideMark/>
              </w:tcPr>
              <w:p w14:paraId="665D791C" w14:textId="3812EB86" w:rsidR="00862A37" w:rsidRPr="009A46BB" w:rsidRDefault="006D62B2" w:rsidP="004C06F7">
                <w:pPr>
                  <w:spacing w:after="0" w:line="240" w:lineRule="auto"/>
                  <w:jc w:val="both"/>
                  <w:rPr>
                    <w:rFonts w:ascii="Times New Roman" w:eastAsia="Times New Roman" w:hAnsi="Times New Roman"/>
                    <w:color w:val="000000"/>
                    <w:sz w:val="18"/>
                    <w:szCs w:val="18"/>
                    <w:lang w:val="en-US" w:eastAsia="es-CO"/>
                  </w:rPr>
                </w:pPr>
                <w:r>
                  <w:rPr>
                    <w:rFonts w:ascii="Times New Roman" w:eastAsia="Times New Roman" w:hAnsi="Times New Roman"/>
                    <w:color w:val="000000"/>
                    <w:sz w:val="18"/>
                    <w:szCs w:val="18"/>
                    <w:lang w:val="en-US" w:eastAsia="es-CO"/>
                  </w:rPr>
                  <w:t>L</w:t>
                </w:r>
                <w:r w:rsidRPr="009A46BB">
                  <w:rPr>
                    <w:rFonts w:ascii="Times New Roman" w:eastAsia="Times New Roman" w:hAnsi="Times New Roman"/>
                    <w:color w:val="000000"/>
                    <w:sz w:val="18"/>
                    <w:szCs w:val="18"/>
                    <w:lang w:val="en-US" w:eastAsia="es-CO"/>
                  </w:rPr>
                  <w:t>icencia argis arcgis for desktop standard single primary mainten</w:t>
                </w:r>
              </w:p>
            </w:tc>
            <w:tc>
              <w:tcPr>
                <w:tcW w:w="632" w:type="pct"/>
                <w:shd w:val="clear" w:color="auto" w:fill="auto"/>
                <w:vAlign w:val="center"/>
                <w:hideMark/>
              </w:tcPr>
              <w:p w14:paraId="2AFC05F5" w14:textId="137942E2" w:rsidR="00862A37" w:rsidRPr="009A46BB" w:rsidRDefault="006D62B2" w:rsidP="004C06F7">
                <w:pPr>
                  <w:spacing w:after="0" w:line="240" w:lineRule="auto"/>
                  <w:jc w:val="both"/>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esri colombia sas</w:t>
                </w:r>
              </w:p>
            </w:tc>
            <w:tc>
              <w:tcPr>
                <w:tcW w:w="633" w:type="pct"/>
                <w:shd w:val="clear" w:color="auto" w:fill="auto"/>
                <w:vAlign w:val="center"/>
                <w:hideMark/>
              </w:tcPr>
              <w:p w14:paraId="217D593A"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830122984</w:t>
                </w:r>
              </w:p>
            </w:tc>
            <w:tc>
              <w:tcPr>
                <w:tcW w:w="396" w:type="pct"/>
                <w:shd w:val="clear" w:color="auto" w:fill="auto"/>
                <w:vAlign w:val="center"/>
                <w:hideMark/>
              </w:tcPr>
              <w:p w14:paraId="60D4DC03"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w:t>
                </w:r>
              </w:p>
            </w:tc>
            <w:tc>
              <w:tcPr>
                <w:tcW w:w="813" w:type="pct"/>
                <w:shd w:val="clear" w:color="auto" w:fill="auto"/>
                <w:vAlign w:val="center"/>
                <w:hideMark/>
              </w:tcPr>
              <w:p w14:paraId="6109460A" w14:textId="3052700B" w:rsidR="00862A37" w:rsidRPr="009A46BB" w:rsidRDefault="00862A37" w:rsidP="004C06F7">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$7.600.687</w:t>
                </w:r>
              </w:p>
            </w:tc>
          </w:tr>
          <w:tr w:rsidR="00B344F9" w:rsidRPr="00862A37" w14:paraId="32B39F48" w14:textId="77777777" w:rsidTr="004A07C9">
            <w:trPr>
              <w:trHeight w:val="725"/>
            </w:trPr>
            <w:tc>
              <w:tcPr>
                <w:tcW w:w="536" w:type="pct"/>
                <w:shd w:val="clear" w:color="auto" w:fill="auto"/>
                <w:vAlign w:val="center"/>
                <w:hideMark/>
              </w:tcPr>
              <w:p w14:paraId="56CE589B"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24/04/2023</w:t>
                </w:r>
              </w:p>
            </w:tc>
            <w:tc>
              <w:tcPr>
                <w:tcW w:w="488" w:type="pct"/>
                <w:shd w:val="clear" w:color="auto" w:fill="auto"/>
                <w:noWrap/>
                <w:vAlign w:val="center"/>
                <w:hideMark/>
              </w:tcPr>
              <w:p w14:paraId="452A1BBC"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01-00913</w:t>
                </w:r>
              </w:p>
            </w:tc>
            <w:tc>
              <w:tcPr>
                <w:tcW w:w="1502" w:type="pct"/>
                <w:shd w:val="clear" w:color="auto" w:fill="auto"/>
                <w:vAlign w:val="center"/>
                <w:hideMark/>
              </w:tcPr>
              <w:p w14:paraId="7B76C493" w14:textId="2C51BE2A" w:rsidR="00862A37" w:rsidRPr="009A46BB" w:rsidRDefault="006D62B2" w:rsidP="004C06F7">
                <w:pPr>
                  <w:spacing w:after="0" w:line="240" w:lineRule="auto"/>
                  <w:jc w:val="both"/>
                  <w:rPr>
                    <w:rFonts w:ascii="Times New Roman" w:eastAsia="Times New Roman" w:hAnsi="Times New Roman"/>
                    <w:color w:val="000000"/>
                    <w:sz w:val="18"/>
                    <w:szCs w:val="18"/>
                    <w:lang w:eastAsia="es-CO"/>
                  </w:rPr>
                </w:pPr>
                <w:r>
                  <w:rPr>
                    <w:rFonts w:ascii="Times New Roman" w:eastAsia="Times New Roman" w:hAnsi="Times New Roman"/>
                    <w:color w:val="000000"/>
                    <w:sz w:val="18"/>
                    <w:szCs w:val="18"/>
                    <w:lang w:eastAsia="es-CO"/>
                  </w:rPr>
                  <w:t>L</w:t>
                </w:r>
                <w:r w:rsidRPr="009A46BB">
                  <w:rPr>
                    <w:rFonts w:ascii="Times New Roman" w:eastAsia="Times New Roman" w:hAnsi="Times New Roman"/>
                    <w:color w:val="000000"/>
                    <w:sz w:val="18"/>
                    <w:szCs w:val="18"/>
                    <w:lang w:eastAsia="es-CO"/>
                  </w:rPr>
                  <w:t>icencia argis arcgis for desktop basic single primary mainten (1 und) fecha: 24/04/2023 estado: n marca: n/a modelo: n/a serie: n/a</w:t>
                </w:r>
              </w:p>
            </w:tc>
            <w:tc>
              <w:tcPr>
                <w:tcW w:w="632" w:type="pct"/>
                <w:shd w:val="clear" w:color="auto" w:fill="auto"/>
                <w:vAlign w:val="center"/>
                <w:hideMark/>
              </w:tcPr>
              <w:p w14:paraId="16602DF8" w14:textId="53BF8E05" w:rsidR="00862A37" w:rsidRPr="009A46BB" w:rsidRDefault="006D62B2" w:rsidP="004C06F7">
                <w:pPr>
                  <w:spacing w:after="0" w:line="240" w:lineRule="auto"/>
                  <w:jc w:val="both"/>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esri colombia sas</w:t>
                </w:r>
              </w:p>
            </w:tc>
            <w:tc>
              <w:tcPr>
                <w:tcW w:w="633" w:type="pct"/>
                <w:shd w:val="clear" w:color="auto" w:fill="auto"/>
                <w:vAlign w:val="center"/>
                <w:hideMark/>
              </w:tcPr>
              <w:p w14:paraId="02D05299"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830122985</w:t>
                </w:r>
              </w:p>
            </w:tc>
            <w:tc>
              <w:tcPr>
                <w:tcW w:w="396" w:type="pct"/>
                <w:shd w:val="clear" w:color="auto" w:fill="auto"/>
                <w:vAlign w:val="center"/>
                <w:hideMark/>
              </w:tcPr>
              <w:p w14:paraId="0CFD6059"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w:t>
                </w:r>
              </w:p>
            </w:tc>
            <w:tc>
              <w:tcPr>
                <w:tcW w:w="813" w:type="pct"/>
                <w:shd w:val="clear" w:color="auto" w:fill="auto"/>
                <w:vAlign w:val="center"/>
                <w:hideMark/>
              </w:tcPr>
              <w:p w14:paraId="6F65E29D" w14:textId="007D3702" w:rsidR="00862A37" w:rsidRPr="009A46BB" w:rsidRDefault="00862A37" w:rsidP="004C06F7">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$2.026.850</w:t>
                </w:r>
              </w:p>
            </w:tc>
          </w:tr>
          <w:tr w:rsidR="00B344F9" w:rsidRPr="00862A37" w14:paraId="1B5353C5" w14:textId="77777777" w:rsidTr="004A07C9">
            <w:trPr>
              <w:trHeight w:val="966"/>
            </w:trPr>
            <w:tc>
              <w:tcPr>
                <w:tcW w:w="536" w:type="pct"/>
                <w:shd w:val="clear" w:color="auto" w:fill="auto"/>
                <w:vAlign w:val="center"/>
                <w:hideMark/>
              </w:tcPr>
              <w:p w14:paraId="2FF25A42"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24/04/2023</w:t>
                </w:r>
              </w:p>
            </w:tc>
            <w:tc>
              <w:tcPr>
                <w:tcW w:w="488" w:type="pct"/>
                <w:shd w:val="clear" w:color="auto" w:fill="auto"/>
                <w:noWrap/>
                <w:vAlign w:val="center"/>
                <w:hideMark/>
              </w:tcPr>
              <w:p w14:paraId="7F7D6C4A"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01-00913</w:t>
                </w:r>
              </w:p>
            </w:tc>
            <w:tc>
              <w:tcPr>
                <w:tcW w:w="1502" w:type="pct"/>
                <w:shd w:val="clear" w:color="auto" w:fill="auto"/>
                <w:vAlign w:val="center"/>
                <w:hideMark/>
              </w:tcPr>
              <w:p w14:paraId="09B05CAE" w14:textId="1619CE66" w:rsidR="00862A37" w:rsidRPr="009A46BB" w:rsidRDefault="006D62B2" w:rsidP="004C06F7">
                <w:pPr>
                  <w:spacing w:after="0" w:line="240" w:lineRule="auto"/>
                  <w:jc w:val="both"/>
                  <w:rPr>
                    <w:rFonts w:ascii="Times New Roman" w:eastAsia="Times New Roman" w:hAnsi="Times New Roman"/>
                    <w:color w:val="000000"/>
                    <w:sz w:val="18"/>
                    <w:szCs w:val="18"/>
                    <w:lang w:val="en-US" w:eastAsia="es-CO"/>
                  </w:rPr>
                </w:pPr>
                <w:r w:rsidRPr="009A46BB">
                  <w:rPr>
                    <w:rFonts w:ascii="Times New Roman" w:eastAsia="Times New Roman" w:hAnsi="Times New Roman"/>
                    <w:color w:val="000000"/>
                    <w:sz w:val="18"/>
                    <w:szCs w:val="18"/>
                    <w:lang w:val="en-US" w:eastAsia="es-CO"/>
                  </w:rPr>
                  <w:t xml:space="preserve">arcgis network analyst for destop single jse primary actualizacion arcgis network maintenance </w:t>
                </w:r>
              </w:p>
            </w:tc>
            <w:tc>
              <w:tcPr>
                <w:tcW w:w="632" w:type="pct"/>
                <w:shd w:val="clear" w:color="auto" w:fill="auto"/>
                <w:vAlign w:val="center"/>
                <w:hideMark/>
              </w:tcPr>
              <w:p w14:paraId="4DE0342F" w14:textId="38DDD11C" w:rsidR="00862A37" w:rsidRPr="009A46BB" w:rsidRDefault="006D62B2" w:rsidP="004C06F7">
                <w:pPr>
                  <w:spacing w:after="0" w:line="240" w:lineRule="auto"/>
                  <w:jc w:val="both"/>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esri colombia sas</w:t>
                </w:r>
              </w:p>
            </w:tc>
            <w:tc>
              <w:tcPr>
                <w:tcW w:w="633" w:type="pct"/>
                <w:shd w:val="clear" w:color="auto" w:fill="auto"/>
                <w:vAlign w:val="center"/>
                <w:hideMark/>
              </w:tcPr>
              <w:p w14:paraId="2D3ED906" w14:textId="77777777" w:rsidR="00862A37" w:rsidRPr="009A46BB" w:rsidRDefault="00862A37" w:rsidP="004C06F7">
                <w:pPr>
                  <w:spacing w:after="0" w:line="240" w:lineRule="auto"/>
                  <w:jc w:val="both"/>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830122986</w:t>
                </w:r>
              </w:p>
            </w:tc>
            <w:tc>
              <w:tcPr>
                <w:tcW w:w="396" w:type="pct"/>
                <w:shd w:val="clear" w:color="auto" w:fill="auto"/>
                <w:vAlign w:val="center"/>
                <w:hideMark/>
              </w:tcPr>
              <w:p w14:paraId="5F188EDF" w14:textId="77777777" w:rsidR="00862A37" w:rsidRPr="009A46BB" w:rsidRDefault="00862A37" w:rsidP="004C06F7">
                <w:pPr>
                  <w:spacing w:after="0" w:line="240" w:lineRule="auto"/>
                  <w:jc w:val="both"/>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w:t>
                </w:r>
              </w:p>
            </w:tc>
            <w:tc>
              <w:tcPr>
                <w:tcW w:w="813" w:type="pct"/>
                <w:shd w:val="clear" w:color="auto" w:fill="auto"/>
                <w:vAlign w:val="center"/>
                <w:hideMark/>
              </w:tcPr>
              <w:p w14:paraId="4C2DFD18" w14:textId="4A3374AB" w:rsidR="00862A37" w:rsidRPr="009A46BB" w:rsidRDefault="00862A37" w:rsidP="004C06F7">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$2.533.562</w:t>
                </w:r>
              </w:p>
            </w:tc>
          </w:tr>
          <w:tr w:rsidR="00B344F9" w:rsidRPr="00862A37" w14:paraId="32B1B1E3" w14:textId="77777777" w:rsidTr="004A07C9">
            <w:trPr>
              <w:trHeight w:val="966"/>
            </w:trPr>
            <w:tc>
              <w:tcPr>
                <w:tcW w:w="536" w:type="pct"/>
                <w:shd w:val="clear" w:color="auto" w:fill="auto"/>
                <w:vAlign w:val="center"/>
                <w:hideMark/>
              </w:tcPr>
              <w:p w14:paraId="66C15C12"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24/04/2023</w:t>
                </w:r>
              </w:p>
            </w:tc>
            <w:tc>
              <w:tcPr>
                <w:tcW w:w="488" w:type="pct"/>
                <w:shd w:val="clear" w:color="auto" w:fill="auto"/>
                <w:noWrap/>
                <w:vAlign w:val="center"/>
                <w:hideMark/>
              </w:tcPr>
              <w:p w14:paraId="22F5FE86"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01-00913</w:t>
                </w:r>
              </w:p>
            </w:tc>
            <w:tc>
              <w:tcPr>
                <w:tcW w:w="1502" w:type="pct"/>
                <w:shd w:val="clear" w:color="auto" w:fill="auto"/>
                <w:vAlign w:val="center"/>
                <w:hideMark/>
              </w:tcPr>
              <w:p w14:paraId="5232284E" w14:textId="4D6EDCF0" w:rsidR="00862A37" w:rsidRPr="009A46BB" w:rsidRDefault="006D62B2" w:rsidP="004C06F7">
                <w:pPr>
                  <w:spacing w:after="0" w:line="240" w:lineRule="auto"/>
                  <w:jc w:val="both"/>
                  <w:rPr>
                    <w:rFonts w:ascii="Times New Roman" w:eastAsia="Times New Roman" w:hAnsi="Times New Roman"/>
                    <w:color w:val="000000"/>
                    <w:sz w:val="18"/>
                    <w:szCs w:val="18"/>
                    <w:lang w:val="en-US" w:eastAsia="es-CO"/>
                  </w:rPr>
                </w:pPr>
                <w:r w:rsidRPr="009A46BB">
                  <w:rPr>
                    <w:rFonts w:ascii="Times New Roman" w:eastAsia="Times New Roman" w:hAnsi="Times New Roman"/>
                    <w:color w:val="000000"/>
                    <w:sz w:val="18"/>
                    <w:szCs w:val="18"/>
                    <w:lang w:val="en-US" w:eastAsia="es-CO"/>
                  </w:rPr>
                  <w:t xml:space="preserve">arcgis online user type tema license arcgis online named user level 2 term license - incluye 500 creditos </w:t>
                </w:r>
              </w:p>
            </w:tc>
            <w:tc>
              <w:tcPr>
                <w:tcW w:w="632" w:type="pct"/>
                <w:shd w:val="clear" w:color="auto" w:fill="auto"/>
                <w:vAlign w:val="center"/>
                <w:hideMark/>
              </w:tcPr>
              <w:p w14:paraId="69411911" w14:textId="04773983" w:rsidR="00862A37" w:rsidRPr="009A46BB" w:rsidRDefault="006D62B2" w:rsidP="004C06F7">
                <w:pPr>
                  <w:spacing w:after="0" w:line="240" w:lineRule="auto"/>
                  <w:jc w:val="both"/>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esri colombia sas</w:t>
                </w:r>
              </w:p>
            </w:tc>
            <w:tc>
              <w:tcPr>
                <w:tcW w:w="633" w:type="pct"/>
                <w:shd w:val="clear" w:color="auto" w:fill="auto"/>
                <w:vAlign w:val="center"/>
                <w:hideMark/>
              </w:tcPr>
              <w:p w14:paraId="016B8E20" w14:textId="77777777" w:rsidR="00862A37" w:rsidRPr="009A46BB" w:rsidRDefault="00862A37" w:rsidP="004C06F7">
                <w:pPr>
                  <w:spacing w:after="0" w:line="240" w:lineRule="auto"/>
                  <w:jc w:val="both"/>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830122987</w:t>
                </w:r>
              </w:p>
            </w:tc>
            <w:tc>
              <w:tcPr>
                <w:tcW w:w="396" w:type="pct"/>
                <w:shd w:val="clear" w:color="auto" w:fill="auto"/>
                <w:vAlign w:val="center"/>
                <w:hideMark/>
              </w:tcPr>
              <w:p w14:paraId="16381926" w14:textId="77777777" w:rsidR="00862A37" w:rsidRPr="009A46BB" w:rsidRDefault="00862A37" w:rsidP="004C06F7">
                <w:pPr>
                  <w:spacing w:after="0" w:line="240" w:lineRule="auto"/>
                  <w:jc w:val="both"/>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w:t>
                </w:r>
              </w:p>
            </w:tc>
            <w:tc>
              <w:tcPr>
                <w:tcW w:w="813" w:type="pct"/>
                <w:shd w:val="clear" w:color="auto" w:fill="auto"/>
                <w:vAlign w:val="center"/>
                <w:hideMark/>
              </w:tcPr>
              <w:p w14:paraId="01299124" w14:textId="1F14E0F1" w:rsidR="00862A37" w:rsidRPr="009A46BB" w:rsidRDefault="00862A37" w:rsidP="004C06F7">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$14.456.211</w:t>
                </w:r>
              </w:p>
            </w:tc>
          </w:tr>
          <w:tr w:rsidR="00B344F9" w:rsidRPr="00862A37" w14:paraId="07363FE2" w14:textId="77777777" w:rsidTr="004A07C9">
            <w:trPr>
              <w:trHeight w:val="725"/>
            </w:trPr>
            <w:tc>
              <w:tcPr>
                <w:tcW w:w="536" w:type="pct"/>
                <w:shd w:val="clear" w:color="auto" w:fill="auto"/>
                <w:vAlign w:val="center"/>
                <w:hideMark/>
              </w:tcPr>
              <w:p w14:paraId="66021C34"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24/04/2023</w:t>
                </w:r>
              </w:p>
            </w:tc>
            <w:tc>
              <w:tcPr>
                <w:tcW w:w="488" w:type="pct"/>
                <w:shd w:val="clear" w:color="auto" w:fill="auto"/>
                <w:noWrap/>
                <w:vAlign w:val="center"/>
                <w:hideMark/>
              </w:tcPr>
              <w:p w14:paraId="7A00F691"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01-00913</w:t>
                </w:r>
              </w:p>
            </w:tc>
            <w:tc>
              <w:tcPr>
                <w:tcW w:w="1502" w:type="pct"/>
                <w:shd w:val="clear" w:color="auto" w:fill="auto"/>
                <w:vAlign w:val="center"/>
                <w:hideMark/>
              </w:tcPr>
              <w:p w14:paraId="1200064D" w14:textId="4DD29A3B" w:rsidR="00862A37" w:rsidRPr="009A46BB" w:rsidRDefault="006D62B2" w:rsidP="004C06F7">
                <w:pPr>
                  <w:spacing w:after="0" w:line="240" w:lineRule="auto"/>
                  <w:jc w:val="both"/>
                  <w:rPr>
                    <w:rFonts w:ascii="Times New Roman" w:eastAsia="Times New Roman" w:hAnsi="Times New Roman"/>
                    <w:color w:val="000000"/>
                    <w:sz w:val="18"/>
                    <w:szCs w:val="18"/>
                    <w:lang w:val="en-US" w:eastAsia="es-CO"/>
                  </w:rPr>
                </w:pPr>
                <w:r w:rsidRPr="009A46BB">
                  <w:rPr>
                    <w:rFonts w:ascii="Times New Roman" w:eastAsia="Times New Roman" w:hAnsi="Times New Roman"/>
                    <w:color w:val="000000"/>
                    <w:sz w:val="18"/>
                    <w:szCs w:val="18"/>
                    <w:lang w:val="en-US" w:eastAsia="es-CO"/>
                  </w:rPr>
                  <w:t xml:space="preserve">licencia argis arcgis geoanalytics server up to four cores maintenance </w:t>
                </w:r>
              </w:p>
            </w:tc>
            <w:tc>
              <w:tcPr>
                <w:tcW w:w="632" w:type="pct"/>
                <w:shd w:val="clear" w:color="auto" w:fill="auto"/>
                <w:vAlign w:val="center"/>
                <w:hideMark/>
              </w:tcPr>
              <w:p w14:paraId="25FE618F" w14:textId="25C18C50" w:rsidR="00862A37" w:rsidRPr="009A46BB" w:rsidRDefault="006D62B2" w:rsidP="004C06F7">
                <w:pPr>
                  <w:spacing w:after="0" w:line="240" w:lineRule="auto"/>
                  <w:jc w:val="both"/>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esri colombia sas</w:t>
                </w:r>
              </w:p>
            </w:tc>
            <w:tc>
              <w:tcPr>
                <w:tcW w:w="633" w:type="pct"/>
                <w:shd w:val="clear" w:color="auto" w:fill="auto"/>
                <w:vAlign w:val="center"/>
                <w:hideMark/>
              </w:tcPr>
              <w:p w14:paraId="2AF17D86" w14:textId="77777777" w:rsidR="00862A37" w:rsidRPr="009A46BB" w:rsidRDefault="00862A37" w:rsidP="004C06F7">
                <w:pPr>
                  <w:spacing w:after="0" w:line="240" w:lineRule="auto"/>
                  <w:jc w:val="both"/>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830122988</w:t>
                </w:r>
              </w:p>
            </w:tc>
            <w:tc>
              <w:tcPr>
                <w:tcW w:w="396" w:type="pct"/>
                <w:shd w:val="clear" w:color="auto" w:fill="auto"/>
                <w:vAlign w:val="center"/>
                <w:hideMark/>
              </w:tcPr>
              <w:p w14:paraId="0D69379A" w14:textId="77777777" w:rsidR="00862A37" w:rsidRPr="009A46BB" w:rsidRDefault="00862A37" w:rsidP="004C06F7">
                <w:pPr>
                  <w:spacing w:after="0" w:line="240" w:lineRule="auto"/>
                  <w:jc w:val="both"/>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w:t>
                </w:r>
              </w:p>
            </w:tc>
            <w:tc>
              <w:tcPr>
                <w:tcW w:w="813" w:type="pct"/>
                <w:shd w:val="clear" w:color="auto" w:fill="auto"/>
                <w:vAlign w:val="center"/>
                <w:hideMark/>
              </w:tcPr>
              <w:p w14:paraId="1886D215" w14:textId="038D9B56" w:rsidR="00862A37" w:rsidRPr="009A46BB" w:rsidRDefault="00862A37" w:rsidP="004C06F7">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$8.867.468</w:t>
                </w:r>
              </w:p>
            </w:tc>
          </w:tr>
          <w:tr w:rsidR="00B344F9" w:rsidRPr="00862A37" w14:paraId="2CBDA2FA" w14:textId="77777777" w:rsidTr="004A07C9">
            <w:trPr>
              <w:trHeight w:val="725"/>
            </w:trPr>
            <w:tc>
              <w:tcPr>
                <w:tcW w:w="536" w:type="pct"/>
                <w:shd w:val="clear" w:color="auto" w:fill="auto"/>
                <w:vAlign w:val="center"/>
                <w:hideMark/>
              </w:tcPr>
              <w:p w14:paraId="473D62D2"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24/04/2023</w:t>
                </w:r>
              </w:p>
            </w:tc>
            <w:tc>
              <w:tcPr>
                <w:tcW w:w="488" w:type="pct"/>
                <w:shd w:val="clear" w:color="auto" w:fill="auto"/>
                <w:noWrap/>
                <w:vAlign w:val="center"/>
                <w:hideMark/>
              </w:tcPr>
              <w:p w14:paraId="1904E217"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01-00913</w:t>
                </w:r>
              </w:p>
            </w:tc>
            <w:tc>
              <w:tcPr>
                <w:tcW w:w="1502" w:type="pct"/>
                <w:shd w:val="clear" w:color="auto" w:fill="auto"/>
                <w:vAlign w:val="center"/>
                <w:hideMark/>
              </w:tcPr>
              <w:p w14:paraId="6B6250FD" w14:textId="1B61123D" w:rsidR="00862A37" w:rsidRPr="009A46BB" w:rsidRDefault="006D62B2" w:rsidP="004C06F7">
                <w:pPr>
                  <w:spacing w:after="0" w:line="240" w:lineRule="auto"/>
                  <w:jc w:val="both"/>
                  <w:rPr>
                    <w:rFonts w:ascii="Times New Roman" w:eastAsia="Times New Roman" w:hAnsi="Times New Roman"/>
                    <w:color w:val="000000"/>
                    <w:sz w:val="18"/>
                    <w:szCs w:val="18"/>
                    <w:lang w:val="en-US" w:eastAsia="es-CO"/>
                  </w:rPr>
                </w:pPr>
                <w:r w:rsidRPr="009A46BB">
                  <w:rPr>
                    <w:rFonts w:ascii="Times New Roman" w:eastAsia="Times New Roman" w:hAnsi="Times New Roman"/>
                    <w:color w:val="000000"/>
                    <w:sz w:val="18"/>
                    <w:szCs w:val="18"/>
                    <w:lang w:val="en-US" w:eastAsia="es-CO"/>
                  </w:rPr>
                  <w:t>licencia argis arcgis geoevent server up to four cores maintenance (1 und</w:t>
                </w:r>
              </w:p>
            </w:tc>
            <w:tc>
              <w:tcPr>
                <w:tcW w:w="632" w:type="pct"/>
                <w:shd w:val="clear" w:color="auto" w:fill="auto"/>
                <w:vAlign w:val="center"/>
                <w:hideMark/>
              </w:tcPr>
              <w:p w14:paraId="35C9E270" w14:textId="47B8F94D" w:rsidR="00862A37" w:rsidRPr="009A46BB" w:rsidRDefault="006D62B2" w:rsidP="004C06F7">
                <w:pPr>
                  <w:spacing w:after="0" w:line="240" w:lineRule="auto"/>
                  <w:jc w:val="both"/>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esri colombia sas</w:t>
                </w:r>
              </w:p>
            </w:tc>
            <w:tc>
              <w:tcPr>
                <w:tcW w:w="633" w:type="pct"/>
                <w:shd w:val="clear" w:color="auto" w:fill="auto"/>
                <w:vAlign w:val="center"/>
                <w:hideMark/>
              </w:tcPr>
              <w:p w14:paraId="1D00A527" w14:textId="77777777" w:rsidR="00862A37" w:rsidRPr="009A46BB" w:rsidRDefault="00862A37" w:rsidP="004C06F7">
                <w:pPr>
                  <w:spacing w:after="0" w:line="240" w:lineRule="auto"/>
                  <w:jc w:val="both"/>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830122989</w:t>
                </w:r>
              </w:p>
            </w:tc>
            <w:tc>
              <w:tcPr>
                <w:tcW w:w="396" w:type="pct"/>
                <w:shd w:val="clear" w:color="auto" w:fill="auto"/>
                <w:vAlign w:val="center"/>
                <w:hideMark/>
              </w:tcPr>
              <w:p w14:paraId="3CCC8111" w14:textId="77777777" w:rsidR="00862A37" w:rsidRPr="009A46BB" w:rsidRDefault="00862A37" w:rsidP="004C06F7">
                <w:pPr>
                  <w:spacing w:after="0" w:line="240" w:lineRule="auto"/>
                  <w:jc w:val="both"/>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w:t>
                </w:r>
              </w:p>
            </w:tc>
            <w:tc>
              <w:tcPr>
                <w:tcW w:w="813" w:type="pct"/>
                <w:shd w:val="clear" w:color="auto" w:fill="auto"/>
                <w:vAlign w:val="center"/>
                <w:hideMark/>
              </w:tcPr>
              <w:p w14:paraId="0C802FFD" w14:textId="06A60013" w:rsidR="00862A37" w:rsidRPr="009A46BB" w:rsidRDefault="00862A37" w:rsidP="004C06F7">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$8.867.468</w:t>
                </w:r>
              </w:p>
            </w:tc>
          </w:tr>
          <w:tr w:rsidR="00B344F9" w:rsidRPr="00862A37" w14:paraId="5782DE9F" w14:textId="77777777" w:rsidTr="004A07C9">
            <w:trPr>
              <w:trHeight w:val="966"/>
            </w:trPr>
            <w:tc>
              <w:tcPr>
                <w:tcW w:w="536" w:type="pct"/>
                <w:shd w:val="clear" w:color="auto" w:fill="auto"/>
                <w:vAlign w:val="center"/>
                <w:hideMark/>
              </w:tcPr>
              <w:p w14:paraId="02220ECA"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24/04/2023</w:t>
                </w:r>
              </w:p>
            </w:tc>
            <w:tc>
              <w:tcPr>
                <w:tcW w:w="488" w:type="pct"/>
                <w:shd w:val="clear" w:color="auto" w:fill="auto"/>
                <w:noWrap/>
                <w:vAlign w:val="center"/>
                <w:hideMark/>
              </w:tcPr>
              <w:p w14:paraId="6F9E172C"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01-00913</w:t>
                </w:r>
              </w:p>
            </w:tc>
            <w:tc>
              <w:tcPr>
                <w:tcW w:w="1502" w:type="pct"/>
                <w:shd w:val="clear" w:color="auto" w:fill="auto"/>
                <w:vAlign w:val="center"/>
                <w:hideMark/>
              </w:tcPr>
              <w:p w14:paraId="1EEBF13E" w14:textId="37E47F95" w:rsidR="00862A37" w:rsidRPr="009A46BB" w:rsidRDefault="006D62B2" w:rsidP="004C06F7">
                <w:pPr>
                  <w:spacing w:after="0" w:line="240" w:lineRule="auto"/>
                  <w:jc w:val="both"/>
                  <w:rPr>
                    <w:rFonts w:ascii="Times New Roman" w:eastAsia="Times New Roman" w:hAnsi="Times New Roman"/>
                    <w:color w:val="000000"/>
                    <w:sz w:val="18"/>
                    <w:szCs w:val="18"/>
                    <w:lang w:val="en-US" w:eastAsia="es-CO"/>
                  </w:rPr>
                </w:pPr>
                <w:r w:rsidRPr="009A46BB">
                  <w:rPr>
                    <w:rFonts w:ascii="Times New Roman" w:eastAsia="Times New Roman" w:hAnsi="Times New Roman"/>
                    <w:color w:val="000000"/>
                    <w:sz w:val="18"/>
                    <w:szCs w:val="18"/>
                    <w:lang w:val="en-US" w:eastAsia="es-CO"/>
                  </w:rPr>
                  <w:t xml:space="preserve">insights for arcgis enterprise actualizacion insights for arcgis in arcgis enterprise maintenance </w:t>
                </w:r>
              </w:p>
            </w:tc>
            <w:tc>
              <w:tcPr>
                <w:tcW w:w="632" w:type="pct"/>
                <w:shd w:val="clear" w:color="auto" w:fill="auto"/>
                <w:vAlign w:val="center"/>
                <w:hideMark/>
              </w:tcPr>
              <w:p w14:paraId="5C92A479" w14:textId="026AE772" w:rsidR="00862A37" w:rsidRPr="009A46BB" w:rsidRDefault="006D62B2" w:rsidP="004C06F7">
                <w:pPr>
                  <w:spacing w:after="0" w:line="240" w:lineRule="auto"/>
                  <w:jc w:val="both"/>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esri colombia sas</w:t>
                </w:r>
              </w:p>
            </w:tc>
            <w:tc>
              <w:tcPr>
                <w:tcW w:w="633" w:type="pct"/>
                <w:shd w:val="clear" w:color="auto" w:fill="auto"/>
                <w:vAlign w:val="center"/>
                <w:hideMark/>
              </w:tcPr>
              <w:p w14:paraId="00BCA4B5" w14:textId="77777777" w:rsidR="00862A37" w:rsidRPr="009A46BB" w:rsidRDefault="00862A37" w:rsidP="004C06F7">
                <w:pPr>
                  <w:spacing w:after="0" w:line="240" w:lineRule="auto"/>
                  <w:jc w:val="both"/>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830122990</w:t>
                </w:r>
              </w:p>
            </w:tc>
            <w:tc>
              <w:tcPr>
                <w:tcW w:w="396" w:type="pct"/>
                <w:shd w:val="clear" w:color="auto" w:fill="auto"/>
                <w:vAlign w:val="center"/>
                <w:hideMark/>
              </w:tcPr>
              <w:p w14:paraId="600752B3" w14:textId="77777777" w:rsidR="00862A37" w:rsidRPr="009A46BB" w:rsidRDefault="00862A37" w:rsidP="004C06F7">
                <w:pPr>
                  <w:spacing w:after="0" w:line="240" w:lineRule="auto"/>
                  <w:jc w:val="both"/>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w:t>
                </w:r>
              </w:p>
            </w:tc>
            <w:tc>
              <w:tcPr>
                <w:tcW w:w="813" w:type="pct"/>
                <w:shd w:val="clear" w:color="auto" w:fill="auto"/>
                <w:vAlign w:val="center"/>
                <w:hideMark/>
              </w:tcPr>
              <w:p w14:paraId="13FC778B" w14:textId="76E109A6" w:rsidR="00862A37" w:rsidRPr="009A46BB" w:rsidRDefault="00862A37" w:rsidP="004C06F7">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$5.782.484</w:t>
                </w:r>
              </w:p>
            </w:tc>
          </w:tr>
          <w:tr w:rsidR="00B344F9" w:rsidRPr="00862A37" w14:paraId="47883750" w14:textId="77777777" w:rsidTr="004A07C9">
            <w:trPr>
              <w:trHeight w:val="966"/>
            </w:trPr>
            <w:tc>
              <w:tcPr>
                <w:tcW w:w="536" w:type="pct"/>
                <w:shd w:val="clear" w:color="auto" w:fill="auto"/>
                <w:vAlign w:val="center"/>
                <w:hideMark/>
              </w:tcPr>
              <w:p w14:paraId="52A34C68"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24/04/2023</w:t>
                </w:r>
              </w:p>
            </w:tc>
            <w:tc>
              <w:tcPr>
                <w:tcW w:w="488" w:type="pct"/>
                <w:shd w:val="clear" w:color="auto" w:fill="auto"/>
                <w:noWrap/>
                <w:vAlign w:val="center"/>
                <w:hideMark/>
              </w:tcPr>
              <w:p w14:paraId="5DB71908"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01-00913</w:t>
                </w:r>
              </w:p>
            </w:tc>
            <w:tc>
              <w:tcPr>
                <w:tcW w:w="1502" w:type="pct"/>
                <w:shd w:val="clear" w:color="auto" w:fill="auto"/>
                <w:vAlign w:val="center"/>
                <w:hideMark/>
              </w:tcPr>
              <w:p w14:paraId="54482D49" w14:textId="0C08850F" w:rsidR="00862A37" w:rsidRPr="009A46BB" w:rsidRDefault="006D62B2" w:rsidP="004C06F7">
                <w:pPr>
                  <w:spacing w:after="0" w:line="240" w:lineRule="auto"/>
                  <w:jc w:val="both"/>
                  <w:rPr>
                    <w:rFonts w:ascii="Times New Roman" w:eastAsia="Times New Roman" w:hAnsi="Times New Roman"/>
                    <w:color w:val="000000"/>
                    <w:sz w:val="18"/>
                    <w:szCs w:val="18"/>
                    <w:lang w:val="en-US" w:eastAsia="es-CO"/>
                  </w:rPr>
                </w:pPr>
                <w:r w:rsidRPr="009A46BB">
                  <w:rPr>
                    <w:rFonts w:ascii="Times New Roman" w:eastAsia="Times New Roman" w:hAnsi="Times New Roman"/>
                    <w:color w:val="000000"/>
                    <w:sz w:val="18"/>
                    <w:szCs w:val="18"/>
                    <w:lang w:val="en-US" w:eastAsia="es-CO"/>
                  </w:rPr>
                  <w:t xml:space="preserve">arcgis enterprise advanced up to four cores actualizacion arcgis enterprise advanced maintenance </w:t>
                </w:r>
              </w:p>
            </w:tc>
            <w:tc>
              <w:tcPr>
                <w:tcW w:w="632" w:type="pct"/>
                <w:shd w:val="clear" w:color="auto" w:fill="auto"/>
                <w:vAlign w:val="center"/>
                <w:hideMark/>
              </w:tcPr>
              <w:p w14:paraId="6FFE1A24" w14:textId="1EB694EB" w:rsidR="00862A37" w:rsidRPr="009A46BB" w:rsidRDefault="006D62B2" w:rsidP="004C06F7">
                <w:pPr>
                  <w:spacing w:after="0" w:line="240" w:lineRule="auto"/>
                  <w:jc w:val="both"/>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esri colombia sas</w:t>
                </w:r>
              </w:p>
            </w:tc>
            <w:tc>
              <w:tcPr>
                <w:tcW w:w="633" w:type="pct"/>
                <w:shd w:val="clear" w:color="auto" w:fill="auto"/>
                <w:vAlign w:val="center"/>
                <w:hideMark/>
              </w:tcPr>
              <w:p w14:paraId="023DC201" w14:textId="77777777" w:rsidR="00862A37" w:rsidRPr="009A46BB" w:rsidRDefault="00862A37" w:rsidP="004C06F7">
                <w:pPr>
                  <w:spacing w:after="0" w:line="240" w:lineRule="auto"/>
                  <w:jc w:val="both"/>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830122991</w:t>
                </w:r>
              </w:p>
            </w:tc>
            <w:tc>
              <w:tcPr>
                <w:tcW w:w="396" w:type="pct"/>
                <w:shd w:val="clear" w:color="auto" w:fill="auto"/>
                <w:vAlign w:val="center"/>
                <w:hideMark/>
              </w:tcPr>
              <w:p w14:paraId="16485BA2" w14:textId="77777777" w:rsidR="00862A37" w:rsidRPr="009A46BB" w:rsidRDefault="00862A37" w:rsidP="004C06F7">
                <w:pPr>
                  <w:spacing w:after="0" w:line="240" w:lineRule="auto"/>
                  <w:jc w:val="both"/>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w:t>
                </w:r>
              </w:p>
            </w:tc>
            <w:tc>
              <w:tcPr>
                <w:tcW w:w="813" w:type="pct"/>
                <w:shd w:val="clear" w:color="auto" w:fill="auto"/>
                <w:vAlign w:val="center"/>
                <w:hideMark/>
              </w:tcPr>
              <w:p w14:paraId="70F02354" w14:textId="54290B2E" w:rsidR="00862A37" w:rsidRPr="009A46BB" w:rsidRDefault="007879BB" w:rsidP="004C06F7">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w:t>
                </w:r>
                <w:r w:rsidR="00862A37" w:rsidRPr="009A46BB">
                  <w:rPr>
                    <w:rFonts w:ascii="Times New Roman" w:eastAsia="Times New Roman" w:hAnsi="Times New Roman"/>
                    <w:color w:val="000000"/>
                    <w:sz w:val="18"/>
                    <w:szCs w:val="18"/>
                    <w:lang w:eastAsia="es-CO"/>
                  </w:rPr>
                  <w:t>50.671.245</w:t>
                </w:r>
              </w:p>
            </w:tc>
          </w:tr>
          <w:tr w:rsidR="00B344F9" w:rsidRPr="00862A37" w14:paraId="3314E97C" w14:textId="77777777" w:rsidTr="004A07C9">
            <w:trPr>
              <w:trHeight w:val="1208"/>
            </w:trPr>
            <w:tc>
              <w:tcPr>
                <w:tcW w:w="536" w:type="pct"/>
                <w:shd w:val="clear" w:color="auto" w:fill="auto"/>
                <w:vAlign w:val="center"/>
                <w:hideMark/>
              </w:tcPr>
              <w:p w14:paraId="4FBEE42F"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27/12/2023</w:t>
                </w:r>
              </w:p>
            </w:tc>
            <w:tc>
              <w:tcPr>
                <w:tcW w:w="488" w:type="pct"/>
                <w:shd w:val="clear" w:color="auto" w:fill="auto"/>
                <w:noWrap/>
                <w:vAlign w:val="center"/>
                <w:hideMark/>
              </w:tcPr>
              <w:p w14:paraId="6944BD08"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01-00963</w:t>
                </w:r>
              </w:p>
            </w:tc>
            <w:tc>
              <w:tcPr>
                <w:tcW w:w="1502" w:type="pct"/>
                <w:shd w:val="clear" w:color="auto" w:fill="auto"/>
                <w:vAlign w:val="center"/>
                <w:hideMark/>
              </w:tcPr>
              <w:p w14:paraId="0D14D392" w14:textId="7147FA74" w:rsidR="00862A37" w:rsidRPr="009A46BB" w:rsidRDefault="006D62B2" w:rsidP="004C06F7">
                <w:pPr>
                  <w:spacing w:after="0" w:line="240" w:lineRule="auto"/>
                  <w:jc w:val="both"/>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licencia de seguridad perimetral licenciamiento y soporte de la plataforma de seguridad perimetral </w:t>
                </w:r>
              </w:p>
            </w:tc>
            <w:tc>
              <w:tcPr>
                <w:tcW w:w="632" w:type="pct"/>
                <w:shd w:val="clear" w:color="auto" w:fill="auto"/>
                <w:vAlign w:val="center"/>
                <w:hideMark/>
              </w:tcPr>
              <w:p w14:paraId="73053E96" w14:textId="0F696C50" w:rsidR="00862A37" w:rsidRPr="009A46BB" w:rsidRDefault="006D62B2" w:rsidP="004C06F7">
                <w:pPr>
                  <w:spacing w:after="0" w:line="240" w:lineRule="auto"/>
                  <w:jc w:val="both"/>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soluciones tecnologia y servicios sa sts</w:t>
                </w:r>
              </w:p>
            </w:tc>
            <w:tc>
              <w:tcPr>
                <w:tcW w:w="633" w:type="pct"/>
                <w:shd w:val="clear" w:color="auto" w:fill="auto"/>
                <w:vAlign w:val="center"/>
                <w:hideMark/>
              </w:tcPr>
              <w:p w14:paraId="2B3EE353" w14:textId="77777777" w:rsidR="00862A37" w:rsidRPr="009A46BB" w:rsidRDefault="00862A37" w:rsidP="004C06F7">
                <w:pPr>
                  <w:spacing w:after="0" w:line="240" w:lineRule="auto"/>
                  <w:jc w:val="both"/>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830505521</w:t>
                </w:r>
              </w:p>
            </w:tc>
            <w:tc>
              <w:tcPr>
                <w:tcW w:w="396" w:type="pct"/>
                <w:shd w:val="clear" w:color="auto" w:fill="auto"/>
                <w:vAlign w:val="center"/>
                <w:hideMark/>
              </w:tcPr>
              <w:p w14:paraId="26A3B11C" w14:textId="77777777" w:rsidR="00862A37" w:rsidRPr="009A46BB" w:rsidRDefault="00862A37" w:rsidP="004C06F7">
                <w:pPr>
                  <w:spacing w:after="0" w:line="240" w:lineRule="auto"/>
                  <w:jc w:val="both"/>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w:t>
                </w:r>
              </w:p>
            </w:tc>
            <w:tc>
              <w:tcPr>
                <w:tcW w:w="813" w:type="pct"/>
                <w:shd w:val="clear" w:color="auto" w:fill="auto"/>
                <w:vAlign w:val="center"/>
                <w:hideMark/>
              </w:tcPr>
              <w:p w14:paraId="70CE3D5C" w14:textId="60DE6B70" w:rsidR="00862A37" w:rsidRPr="009A46BB" w:rsidRDefault="007879BB" w:rsidP="004C06F7">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w:t>
                </w:r>
                <w:r w:rsidR="00862A37" w:rsidRPr="009A46BB">
                  <w:rPr>
                    <w:rFonts w:ascii="Times New Roman" w:eastAsia="Times New Roman" w:hAnsi="Times New Roman"/>
                    <w:color w:val="000000"/>
                    <w:sz w:val="18"/>
                    <w:szCs w:val="18"/>
                    <w:lang w:eastAsia="es-CO"/>
                  </w:rPr>
                  <w:t>395.999.999</w:t>
                </w:r>
              </w:p>
            </w:tc>
          </w:tr>
          <w:tr w:rsidR="00862A37" w:rsidRPr="00862A37" w14:paraId="08EB29E2" w14:textId="77777777" w:rsidTr="004A07C9">
            <w:trPr>
              <w:trHeight w:val="301"/>
            </w:trPr>
            <w:tc>
              <w:tcPr>
                <w:tcW w:w="4187" w:type="pct"/>
                <w:gridSpan w:val="6"/>
                <w:shd w:val="clear" w:color="auto" w:fill="auto"/>
                <w:noWrap/>
                <w:vAlign w:val="center"/>
                <w:hideMark/>
              </w:tcPr>
              <w:p w14:paraId="444E05A6" w14:textId="77777777" w:rsidR="00862A37" w:rsidRPr="009A46BB" w:rsidRDefault="00862A37" w:rsidP="00862A37">
                <w:pPr>
                  <w:spacing w:after="0" w:line="240" w:lineRule="auto"/>
                  <w:jc w:val="center"/>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Total, adquisiciones</w:t>
                </w:r>
              </w:p>
            </w:tc>
            <w:tc>
              <w:tcPr>
                <w:tcW w:w="813" w:type="pct"/>
                <w:shd w:val="clear" w:color="auto" w:fill="auto"/>
                <w:noWrap/>
                <w:vAlign w:val="center"/>
                <w:hideMark/>
              </w:tcPr>
              <w:p w14:paraId="003B95B6" w14:textId="3F418550" w:rsidR="00862A37" w:rsidRPr="009A46BB" w:rsidRDefault="00862A37" w:rsidP="007879BB">
                <w:pPr>
                  <w:spacing w:after="0" w:line="240" w:lineRule="auto"/>
                  <w:jc w:val="center"/>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$ 2.428.503.</w:t>
                </w:r>
                <w:r w:rsidRPr="009A46BB">
                  <w:rPr>
                    <w:rFonts w:ascii="Times New Roman" w:eastAsia="Times New Roman" w:hAnsi="Times New Roman"/>
                    <w:b/>
                    <w:bCs/>
                    <w:color w:val="000000"/>
                    <w:sz w:val="18"/>
                    <w:szCs w:val="18"/>
                    <w:lang w:eastAsia="es-CO"/>
                  </w:rPr>
                  <w:t>08</w:t>
                </w:r>
                <w:r w:rsidR="008F7C8F" w:rsidRPr="009A46BB">
                  <w:rPr>
                    <w:rFonts w:ascii="Times New Roman" w:eastAsia="Times New Roman" w:hAnsi="Times New Roman"/>
                    <w:b/>
                    <w:bCs/>
                    <w:color w:val="000000"/>
                    <w:sz w:val="18"/>
                    <w:szCs w:val="18"/>
                    <w:lang w:eastAsia="es-CO"/>
                  </w:rPr>
                  <w:t>2</w:t>
                </w:r>
              </w:p>
            </w:tc>
          </w:tr>
          <w:tr w:rsidR="00B344F9" w:rsidRPr="00862A37" w14:paraId="7E3D0951" w14:textId="77777777" w:rsidTr="004A07C9">
            <w:trPr>
              <w:trHeight w:val="483"/>
            </w:trPr>
            <w:tc>
              <w:tcPr>
                <w:tcW w:w="536" w:type="pct"/>
                <w:shd w:val="clear" w:color="auto" w:fill="auto"/>
                <w:noWrap/>
                <w:vAlign w:val="center"/>
                <w:hideMark/>
              </w:tcPr>
              <w:p w14:paraId="40B27083" w14:textId="77777777" w:rsidR="00862A37" w:rsidRPr="009A46BB" w:rsidRDefault="00862A37" w:rsidP="00862A37">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9/08/2023</w:t>
                </w:r>
              </w:p>
            </w:tc>
            <w:tc>
              <w:tcPr>
                <w:tcW w:w="488" w:type="pct"/>
                <w:shd w:val="clear" w:color="auto" w:fill="auto"/>
                <w:noWrap/>
                <w:vAlign w:val="center"/>
                <w:hideMark/>
              </w:tcPr>
              <w:p w14:paraId="1893164B"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02-00856</w:t>
                </w:r>
              </w:p>
            </w:tc>
            <w:tc>
              <w:tcPr>
                <w:tcW w:w="1502" w:type="pct"/>
                <w:shd w:val="clear" w:color="auto" w:fill="auto"/>
                <w:vAlign w:val="center"/>
                <w:hideMark/>
              </w:tcPr>
              <w:p w14:paraId="5DCAF517" w14:textId="2BDB1F17" w:rsidR="00862A37" w:rsidRPr="009A46BB" w:rsidRDefault="006D62B2" w:rsidP="00862A37">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licencias y software</w:t>
                </w:r>
              </w:p>
            </w:tc>
            <w:tc>
              <w:tcPr>
                <w:tcW w:w="632" w:type="pct"/>
                <w:shd w:val="clear" w:color="auto" w:fill="auto"/>
                <w:vAlign w:val="center"/>
                <w:hideMark/>
              </w:tcPr>
              <w:p w14:paraId="4E2955E3" w14:textId="1938BEA7" w:rsidR="00862A37" w:rsidRPr="009A46BB" w:rsidRDefault="005640CE"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VARIOS</w:t>
                </w:r>
              </w:p>
            </w:tc>
            <w:tc>
              <w:tcPr>
                <w:tcW w:w="633" w:type="pct"/>
                <w:shd w:val="clear" w:color="auto" w:fill="auto"/>
                <w:vAlign w:val="center"/>
                <w:hideMark/>
              </w:tcPr>
              <w:p w14:paraId="22D0B9D6"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22736572</w:t>
                </w:r>
              </w:p>
            </w:tc>
            <w:tc>
              <w:tcPr>
                <w:tcW w:w="396" w:type="pct"/>
                <w:shd w:val="clear" w:color="auto" w:fill="auto"/>
                <w:vAlign w:val="center"/>
                <w:hideMark/>
              </w:tcPr>
              <w:p w14:paraId="3C760E73" w14:textId="77777777" w:rsidR="00862A37" w:rsidRPr="009A46BB" w:rsidRDefault="00862A37" w:rsidP="00862A37">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17939</w:t>
                </w:r>
              </w:p>
            </w:tc>
            <w:tc>
              <w:tcPr>
                <w:tcW w:w="813" w:type="pct"/>
                <w:shd w:val="clear" w:color="auto" w:fill="auto"/>
                <w:vAlign w:val="center"/>
                <w:hideMark/>
              </w:tcPr>
              <w:p w14:paraId="1815251A" w14:textId="381DF7C6" w:rsidR="00862A37" w:rsidRPr="009A46BB" w:rsidRDefault="00862A37" w:rsidP="007879BB">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$2.053.515.785</w:t>
                </w:r>
              </w:p>
            </w:tc>
          </w:tr>
          <w:tr w:rsidR="00862A37" w:rsidRPr="00862A37" w14:paraId="20460B55" w14:textId="77777777" w:rsidTr="004A07C9">
            <w:trPr>
              <w:trHeight w:val="301"/>
            </w:trPr>
            <w:tc>
              <w:tcPr>
                <w:tcW w:w="4187" w:type="pct"/>
                <w:gridSpan w:val="6"/>
                <w:shd w:val="clear" w:color="auto" w:fill="auto"/>
                <w:noWrap/>
                <w:vAlign w:val="center"/>
                <w:hideMark/>
              </w:tcPr>
              <w:p w14:paraId="069B7572" w14:textId="77777777" w:rsidR="00862A37" w:rsidRPr="009A46BB" w:rsidRDefault="00862A37" w:rsidP="00862A37">
                <w:pPr>
                  <w:spacing w:after="0" w:line="240" w:lineRule="auto"/>
                  <w:jc w:val="center"/>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Total, bajas</w:t>
                </w:r>
              </w:p>
            </w:tc>
            <w:tc>
              <w:tcPr>
                <w:tcW w:w="813" w:type="pct"/>
                <w:shd w:val="clear" w:color="auto" w:fill="auto"/>
                <w:noWrap/>
                <w:vAlign w:val="center"/>
                <w:hideMark/>
              </w:tcPr>
              <w:p w14:paraId="14F54433" w14:textId="2D1BAED3" w:rsidR="00862A37" w:rsidRPr="009A46BB" w:rsidRDefault="00862A37" w:rsidP="007879BB">
                <w:pPr>
                  <w:spacing w:after="0" w:line="240" w:lineRule="auto"/>
                  <w:jc w:val="center"/>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$ 2.053.515.785</w:t>
                </w:r>
              </w:p>
            </w:tc>
          </w:tr>
        </w:tbl>
        <w:p w14:paraId="027C6B7C" w14:textId="7740E5E5" w:rsidR="00CE2CEF" w:rsidRPr="00931DCE" w:rsidRDefault="000425A7" w:rsidP="00F73435">
          <w:pPr>
            <w:spacing w:after="0" w:line="240" w:lineRule="auto"/>
            <w:jc w:val="both"/>
            <w:rPr>
              <w:rFonts w:ascii="Times New Roman" w:hAnsi="Times New Roman"/>
              <w:sz w:val="24"/>
              <w:szCs w:val="24"/>
            </w:rPr>
          </w:pPr>
          <w:r w:rsidRPr="00931DCE">
            <w:rPr>
              <w:rFonts w:ascii="Times New Roman" w:hAnsi="Times New Roman"/>
              <w:sz w:val="24"/>
              <w:szCs w:val="24"/>
            </w:rPr>
            <w:t>N</w:t>
          </w:r>
          <w:r w:rsidR="00CE2CEF" w:rsidRPr="00931DCE">
            <w:rPr>
              <w:rFonts w:ascii="Times New Roman" w:hAnsi="Times New Roman"/>
              <w:sz w:val="24"/>
              <w:szCs w:val="24"/>
            </w:rPr>
            <w:t xml:space="preserve">o se presentaron indicios </w:t>
          </w:r>
          <w:r w:rsidRPr="00931DCE">
            <w:rPr>
              <w:rFonts w:ascii="Times New Roman" w:hAnsi="Times New Roman"/>
              <w:sz w:val="24"/>
              <w:szCs w:val="24"/>
            </w:rPr>
            <w:t xml:space="preserve">de deterioro de valor </w:t>
          </w:r>
          <w:r w:rsidR="00CE2CEF" w:rsidRPr="00931DCE">
            <w:rPr>
              <w:rFonts w:ascii="Times New Roman" w:hAnsi="Times New Roman"/>
              <w:sz w:val="24"/>
              <w:szCs w:val="24"/>
            </w:rPr>
            <w:t>que debieran ser reconocidos en los estados financieros</w:t>
          </w:r>
          <w:r w:rsidRPr="00931DCE">
            <w:rPr>
              <w:rFonts w:ascii="Times New Roman" w:hAnsi="Times New Roman"/>
              <w:sz w:val="24"/>
              <w:szCs w:val="24"/>
            </w:rPr>
            <w:t xml:space="preserve">, </w:t>
          </w:r>
          <w:r w:rsidR="00CE2CEF" w:rsidRPr="00931DCE">
            <w:rPr>
              <w:rFonts w:ascii="Times New Roman" w:hAnsi="Times New Roman"/>
              <w:sz w:val="24"/>
              <w:szCs w:val="24"/>
            </w:rPr>
            <w:t>no se reconocieron activos intangibles adquiridos mediante transacciones sin contraprestación.</w:t>
          </w:r>
        </w:p>
        <w:p w14:paraId="1E798048" w14:textId="77777777" w:rsidR="00F73435" w:rsidRPr="00931DCE" w:rsidRDefault="00F73435" w:rsidP="00F73435">
          <w:pPr>
            <w:spacing w:after="0" w:line="240" w:lineRule="auto"/>
            <w:jc w:val="both"/>
            <w:rPr>
              <w:rFonts w:ascii="Times New Roman" w:hAnsi="Times New Roman"/>
              <w:sz w:val="24"/>
              <w:szCs w:val="24"/>
            </w:rPr>
          </w:pPr>
        </w:p>
        <w:p w14:paraId="1F89554C" w14:textId="77777777" w:rsidR="00833B76" w:rsidRPr="00931DCE" w:rsidRDefault="000425A7" w:rsidP="00F73435">
          <w:pPr>
            <w:spacing w:after="0" w:line="240" w:lineRule="auto"/>
            <w:jc w:val="both"/>
            <w:rPr>
              <w:rFonts w:ascii="Times New Roman" w:hAnsi="Times New Roman"/>
              <w:sz w:val="24"/>
              <w:szCs w:val="24"/>
            </w:rPr>
          </w:pPr>
          <w:r w:rsidRPr="00931DCE">
            <w:rPr>
              <w:rFonts w:ascii="Times New Roman" w:hAnsi="Times New Roman"/>
              <w:sz w:val="24"/>
              <w:szCs w:val="24"/>
            </w:rPr>
            <w:lastRenderedPageBreak/>
            <w:t xml:space="preserve">Estos activos </w:t>
          </w:r>
          <w:r w:rsidR="00CE2CEF" w:rsidRPr="00931DCE">
            <w:rPr>
              <w:rFonts w:ascii="Times New Roman" w:hAnsi="Times New Roman"/>
              <w:sz w:val="24"/>
              <w:szCs w:val="24"/>
            </w:rPr>
            <w:t>no están garantizando el cumplimiento de pasivos</w:t>
          </w:r>
          <w:r w:rsidR="00833B76" w:rsidRPr="00931DCE">
            <w:rPr>
              <w:rFonts w:ascii="Times New Roman" w:hAnsi="Times New Roman"/>
              <w:sz w:val="24"/>
              <w:szCs w:val="24"/>
            </w:rPr>
            <w:t>.</w:t>
          </w:r>
        </w:p>
        <w:p w14:paraId="7A342619" w14:textId="5F3BD678" w:rsidR="00CE2CEF" w:rsidRPr="00931DCE" w:rsidRDefault="00833B76" w:rsidP="00F73435">
          <w:pPr>
            <w:spacing w:after="0" w:line="240" w:lineRule="auto"/>
            <w:jc w:val="both"/>
            <w:rPr>
              <w:rFonts w:ascii="Times New Roman" w:hAnsi="Times New Roman"/>
              <w:sz w:val="24"/>
              <w:szCs w:val="24"/>
            </w:rPr>
          </w:pPr>
          <w:r w:rsidRPr="00931DCE">
            <w:rPr>
              <w:rFonts w:ascii="Times New Roman" w:hAnsi="Times New Roman"/>
              <w:sz w:val="24"/>
              <w:szCs w:val="24"/>
            </w:rPr>
            <w:t>N</w:t>
          </w:r>
          <w:r w:rsidR="00CE2CEF" w:rsidRPr="00931DCE">
            <w:rPr>
              <w:rFonts w:ascii="Times New Roman" w:hAnsi="Times New Roman"/>
              <w:sz w:val="24"/>
              <w:szCs w:val="24"/>
            </w:rPr>
            <w:t>o hubo desembolsos para investigación y desarrollo que se hayan reconocido como gasto durante el periodo.</w:t>
          </w:r>
        </w:p>
        <w:p w14:paraId="1234C99A" w14:textId="77777777" w:rsidR="00F73435" w:rsidRPr="00931DCE" w:rsidRDefault="00F73435" w:rsidP="00F73435">
          <w:pPr>
            <w:spacing w:after="0" w:line="240" w:lineRule="auto"/>
            <w:jc w:val="both"/>
            <w:rPr>
              <w:rFonts w:ascii="Times New Roman" w:hAnsi="Times New Roman"/>
              <w:sz w:val="24"/>
              <w:szCs w:val="24"/>
            </w:rPr>
          </w:pPr>
        </w:p>
        <w:p w14:paraId="3DA673D0" w14:textId="68FB63FE" w:rsidR="00CE2CEF" w:rsidRPr="00931DCE" w:rsidRDefault="00CE2CEF" w:rsidP="00F73435">
          <w:pPr>
            <w:spacing w:after="0" w:line="240" w:lineRule="auto"/>
            <w:jc w:val="center"/>
            <w:rPr>
              <w:rFonts w:ascii="Times New Roman" w:hAnsi="Times New Roman"/>
              <w:sz w:val="24"/>
              <w:szCs w:val="24"/>
            </w:rPr>
          </w:pPr>
          <w:r w:rsidRPr="00931DCE">
            <w:rPr>
              <w:rFonts w:ascii="Times New Roman" w:hAnsi="Times New Roman"/>
              <w:sz w:val="24"/>
              <w:szCs w:val="24"/>
            </w:rPr>
            <w:t>Composición de los activos intangibles en concesión por modo de transporte al cierre de la vigencia 202</w:t>
          </w:r>
          <w:r w:rsidR="00BC1593">
            <w:rPr>
              <w:rFonts w:ascii="Times New Roman" w:hAnsi="Times New Roman"/>
              <w:sz w:val="24"/>
              <w:szCs w:val="24"/>
            </w:rPr>
            <w:t>3</w:t>
          </w:r>
          <w:r w:rsidRPr="00931DCE">
            <w:rPr>
              <w:rFonts w:ascii="Times New Roman" w:hAnsi="Times New Roman"/>
              <w:sz w:val="24"/>
              <w:szCs w:val="24"/>
            </w:rPr>
            <w:t>.</w:t>
          </w:r>
        </w:p>
        <w:p w14:paraId="55E1DBE1" w14:textId="77777777" w:rsidR="00F73435" w:rsidRPr="00931DCE" w:rsidRDefault="00F73435" w:rsidP="00F73435">
          <w:pPr>
            <w:spacing w:after="0" w:line="240" w:lineRule="auto"/>
            <w:jc w:val="center"/>
            <w:rPr>
              <w:rFonts w:ascii="Times New Roman" w:hAnsi="Times New Roman"/>
              <w:sz w:val="24"/>
              <w:szCs w:val="24"/>
            </w:rPr>
          </w:pPr>
        </w:p>
        <w:tbl>
          <w:tblPr>
            <w:tblW w:w="5032" w:type="pct"/>
            <w:tblCellMar>
              <w:left w:w="70" w:type="dxa"/>
              <w:right w:w="70" w:type="dxa"/>
            </w:tblCellMar>
            <w:tblLook w:val="04A0" w:firstRow="1" w:lastRow="0" w:firstColumn="1" w:lastColumn="0" w:noHBand="0" w:noVBand="1"/>
          </w:tblPr>
          <w:tblGrid>
            <w:gridCol w:w="2490"/>
            <w:gridCol w:w="2191"/>
            <w:gridCol w:w="2191"/>
            <w:gridCol w:w="2144"/>
          </w:tblGrid>
          <w:tr w:rsidR="00262361" w:rsidRPr="00AB0DAE" w14:paraId="69F21F72" w14:textId="77777777" w:rsidTr="00AB0DAE">
            <w:trPr>
              <w:trHeight w:val="243"/>
            </w:trPr>
            <w:tc>
              <w:tcPr>
                <w:tcW w:w="1381" w:type="pct"/>
                <w:tcBorders>
                  <w:top w:val="single" w:sz="8" w:space="0" w:color="808080"/>
                  <w:left w:val="single" w:sz="8" w:space="0" w:color="808080"/>
                  <w:bottom w:val="single" w:sz="8" w:space="0" w:color="808080"/>
                  <w:right w:val="single" w:sz="8" w:space="0" w:color="808080"/>
                </w:tcBorders>
                <w:shd w:val="clear" w:color="auto" w:fill="auto"/>
                <w:vAlign w:val="center"/>
                <w:hideMark/>
              </w:tcPr>
              <w:p w14:paraId="62EFFAB2" w14:textId="77777777" w:rsidR="00262361" w:rsidRPr="00AB0DAE" w:rsidRDefault="00262361" w:rsidP="00262361">
                <w:pPr>
                  <w:spacing w:after="0" w:line="240" w:lineRule="auto"/>
                  <w:jc w:val="center"/>
                  <w:rPr>
                    <w:rFonts w:ascii="Times New Roman" w:eastAsia="Times New Roman" w:hAnsi="Times New Roman"/>
                    <w:b/>
                    <w:bCs/>
                    <w:color w:val="000000"/>
                    <w:sz w:val="14"/>
                    <w:szCs w:val="14"/>
                    <w:lang w:eastAsia="es-CO"/>
                  </w:rPr>
                </w:pPr>
                <w:r w:rsidRPr="00AB0DAE">
                  <w:rPr>
                    <w:rFonts w:ascii="Times New Roman" w:eastAsia="Times New Roman" w:hAnsi="Times New Roman"/>
                    <w:b/>
                    <w:bCs/>
                    <w:color w:val="000000"/>
                    <w:sz w:val="14"/>
                    <w:szCs w:val="14"/>
                    <w:lang w:eastAsia="es-CO"/>
                  </w:rPr>
                  <w:t>Modo</w:t>
                </w:r>
              </w:p>
            </w:tc>
            <w:tc>
              <w:tcPr>
                <w:tcW w:w="1215" w:type="pct"/>
                <w:tcBorders>
                  <w:top w:val="single" w:sz="8" w:space="0" w:color="808080"/>
                  <w:left w:val="nil"/>
                  <w:bottom w:val="single" w:sz="8" w:space="0" w:color="808080"/>
                  <w:right w:val="single" w:sz="8" w:space="0" w:color="808080"/>
                </w:tcBorders>
                <w:shd w:val="clear" w:color="auto" w:fill="auto"/>
                <w:vAlign w:val="center"/>
                <w:hideMark/>
              </w:tcPr>
              <w:p w14:paraId="2B717C78" w14:textId="77777777" w:rsidR="00262361" w:rsidRPr="00AB0DAE" w:rsidRDefault="00262361" w:rsidP="00262361">
                <w:pPr>
                  <w:spacing w:after="0" w:line="240" w:lineRule="auto"/>
                  <w:jc w:val="center"/>
                  <w:rPr>
                    <w:rFonts w:ascii="Times New Roman" w:eastAsia="Times New Roman" w:hAnsi="Times New Roman"/>
                    <w:b/>
                    <w:bCs/>
                    <w:color w:val="000000"/>
                    <w:sz w:val="14"/>
                    <w:szCs w:val="14"/>
                    <w:lang w:eastAsia="es-CO"/>
                  </w:rPr>
                </w:pPr>
                <w:r w:rsidRPr="00AB0DAE">
                  <w:rPr>
                    <w:rFonts w:ascii="Times New Roman" w:eastAsia="Times New Roman" w:hAnsi="Times New Roman"/>
                    <w:b/>
                    <w:bCs/>
                    <w:color w:val="000000"/>
                    <w:sz w:val="14"/>
                    <w:szCs w:val="14"/>
                    <w:lang w:eastAsia="es-CO"/>
                  </w:rPr>
                  <w:t>2023</w:t>
                </w:r>
              </w:p>
            </w:tc>
            <w:tc>
              <w:tcPr>
                <w:tcW w:w="1215" w:type="pct"/>
                <w:tcBorders>
                  <w:top w:val="single" w:sz="8" w:space="0" w:color="808080"/>
                  <w:left w:val="nil"/>
                  <w:bottom w:val="single" w:sz="8" w:space="0" w:color="808080"/>
                  <w:right w:val="single" w:sz="8" w:space="0" w:color="808080"/>
                </w:tcBorders>
                <w:shd w:val="clear" w:color="auto" w:fill="auto"/>
                <w:vAlign w:val="center"/>
                <w:hideMark/>
              </w:tcPr>
              <w:p w14:paraId="3BC0E076" w14:textId="77777777" w:rsidR="00262361" w:rsidRPr="00AB0DAE" w:rsidRDefault="00262361" w:rsidP="00262361">
                <w:pPr>
                  <w:spacing w:after="0" w:line="240" w:lineRule="auto"/>
                  <w:jc w:val="center"/>
                  <w:rPr>
                    <w:rFonts w:ascii="Times New Roman" w:eastAsia="Times New Roman" w:hAnsi="Times New Roman"/>
                    <w:b/>
                    <w:bCs/>
                    <w:color w:val="000000"/>
                    <w:sz w:val="14"/>
                    <w:szCs w:val="14"/>
                    <w:lang w:eastAsia="es-CO"/>
                  </w:rPr>
                </w:pPr>
                <w:r w:rsidRPr="00AB0DAE">
                  <w:rPr>
                    <w:rFonts w:ascii="Times New Roman" w:eastAsia="Times New Roman" w:hAnsi="Times New Roman"/>
                    <w:b/>
                    <w:bCs/>
                    <w:color w:val="000000"/>
                    <w:sz w:val="14"/>
                    <w:szCs w:val="14"/>
                    <w:lang w:eastAsia="es-CO"/>
                  </w:rPr>
                  <w:t>2022</w:t>
                </w:r>
              </w:p>
            </w:tc>
            <w:tc>
              <w:tcPr>
                <w:tcW w:w="1189" w:type="pct"/>
                <w:tcBorders>
                  <w:top w:val="single" w:sz="8" w:space="0" w:color="808080"/>
                  <w:left w:val="nil"/>
                  <w:bottom w:val="single" w:sz="8" w:space="0" w:color="808080"/>
                  <w:right w:val="single" w:sz="8" w:space="0" w:color="808080"/>
                </w:tcBorders>
                <w:shd w:val="clear" w:color="auto" w:fill="auto"/>
                <w:vAlign w:val="center"/>
                <w:hideMark/>
              </w:tcPr>
              <w:p w14:paraId="716FD2AD" w14:textId="77777777" w:rsidR="00262361" w:rsidRPr="00AB0DAE" w:rsidRDefault="00262361" w:rsidP="00262361">
                <w:pPr>
                  <w:spacing w:after="0" w:line="240" w:lineRule="auto"/>
                  <w:jc w:val="center"/>
                  <w:rPr>
                    <w:rFonts w:ascii="Times New Roman" w:eastAsia="Times New Roman" w:hAnsi="Times New Roman"/>
                    <w:b/>
                    <w:bCs/>
                    <w:color w:val="000000"/>
                    <w:sz w:val="14"/>
                    <w:szCs w:val="14"/>
                    <w:lang w:eastAsia="es-CO"/>
                  </w:rPr>
                </w:pPr>
                <w:r w:rsidRPr="00AB0DAE">
                  <w:rPr>
                    <w:rFonts w:ascii="Times New Roman" w:eastAsia="Times New Roman" w:hAnsi="Times New Roman"/>
                    <w:b/>
                    <w:bCs/>
                    <w:color w:val="000000"/>
                    <w:sz w:val="14"/>
                    <w:szCs w:val="14"/>
                    <w:lang w:eastAsia="es-CO"/>
                  </w:rPr>
                  <w:t>Variación</w:t>
                </w:r>
              </w:p>
            </w:tc>
          </w:tr>
          <w:tr w:rsidR="00262361" w:rsidRPr="00AB0DAE" w14:paraId="750B0461" w14:textId="77777777" w:rsidTr="00AB0DAE">
            <w:trPr>
              <w:trHeight w:val="243"/>
            </w:trPr>
            <w:tc>
              <w:tcPr>
                <w:tcW w:w="1381" w:type="pct"/>
                <w:tcBorders>
                  <w:top w:val="nil"/>
                  <w:left w:val="single" w:sz="8" w:space="0" w:color="808080"/>
                  <w:bottom w:val="single" w:sz="8" w:space="0" w:color="808080"/>
                  <w:right w:val="single" w:sz="8" w:space="0" w:color="808080"/>
                </w:tcBorders>
                <w:shd w:val="clear" w:color="auto" w:fill="auto"/>
                <w:vAlign w:val="center"/>
                <w:hideMark/>
              </w:tcPr>
              <w:p w14:paraId="08AD4823" w14:textId="77777777" w:rsidR="00262361" w:rsidRPr="00AB0DAE" w:rsidRDefault="00262361" w:rsidP="00262361">
                <w:pPr>
                  <w:spacing w:after="0" w:line="240" w:lineRule="auto"/>
                  <w:rPr>
                    <w:rFonts w:ascii="Times New Roman" w:eastAsia="Times New Roman" w:hAnsi="Times New Roman"/>
                    <w:color w:val="000000"/>
                    <w:sz w:val="14"/>
                    <w:szCs w:val="14"/>
                    <w:lang w:eastAsia="es-CO"/>
                  </w:rPr>
                </w:pPr>
                <w:r w:rsidRPr="00AB0DAE">
                  <w:rPr>
                    <w:rFonts w:ascii="Times New Roman" w:eastAsia="Times New Roman" w:hAnsi="Times New Roman"/>
                    <w:color w:val="000000"/>
                    <w:sz w:val="14"/>
                    <w:szCs w:val="14"/>
                    <w:lang w:eastAsia="es-CO"/>
                  </w:rPr>
                  <w:t>FÉFFERO</w:t>
                </w:r>
              </w:p>
            </w:tc>
            <w:tc>
              <w:tcPr>
                <w:tcW w:w="1215" w:type="pct"/>
                <w:tcBorders>
                  <w:top w:val="nil"/>
                  <w:left w:val="nil"/>
                  <w:bottom w:val="single" w:sz="8" w:space="0" w:color="808080"/>
                  <w:right w:val="single" w:sz="8" w:space="0" w:color="808080"/>
                </w:tcBorders>
                <w:shd w:val="clear" w:color="auto" w:fill="auto"/>
                <w:vAlign w:val="center"/>
                <w:hideMark/>
              </w:tcPr>
              <w:p w14:paraId="7AB51385" w14:textId="77777777" w:rsidR="00262361" w:rsidRPr="00AB0DAE" w:rsidRDefault="00262361" w:rsidP="00262361">
                <w:pPr>
                  <w:spacing w:after="0" w:line="240" w:lineRule="auto"/>
                  <w:jc w:val="right"/>
                  <w:rPr>
                    <w:rFonts w:ascii="Times New Roman" w:eastAsia="Times New Roman" w:hAnsi="Times New Roman"/>
                    <w:color w:val="000000"/>
                    <w:sz w:val="14"/>
                    <w:szCs w:val="14"/>
                    <w:lang w:eastAsia="es-CO"/>
                  </w:rPr>
                </w:pPr>
                <w:r w:rsidRPr="00AB0DAE">
                  <w:rPr>
                    <w:rFonts w:ascii="Times New Roman" w:eastAsia="Times New Roman" w:hAnsi="Times New Roman"/>
                    <w:color w:val="000000"/>
                    <w:sz w:val="14"/>
                    <w:szCs w:val="14"/>
                    <w:lang w:eastAsia="es-CO"/>
                  </w:rPr>
                  <w:t>151.249.440.000</w:t>
                </w:r>
              </w:p>
            </w:tc>
            <w:tc>
              <w:tcPr>
                <w:tcW w:w="1215" w:type="pct"/>
                <w:tcBorders>
                  <w:top w:val="nil"/>
                  <w:left w:val="nil"/>
                  <w:bottom w:val="single" w:sz="8" w:space="0" w:color="808080"/>
                  <w:right w:val="single" w:sz="8" w:space="0" w:color="808080"/>
                </w:tcBorders>
                <w:shd w:val="clear" w:color="auto" w:fill="auto"/>
                <w:vAlign w:val="center"/>
                <w:hideMark/>
              </w:tcPr>
              <w:p w14:paraId="0FBAC6FC" w14:textId="77777777" w:rsidR="00262361" w:rsidRPr="00AB0DAE" w:rsidRDefault="00262361" w:rsidP="00262361">
                <w:pPr>
                  <w:spacing w:after="0" w:line="240" w:lineRule="auto"/>
                  <w:jc w:val="right"/>
                  <w:rPr>
                    <w:rFonts w:ascii="Times New Roman" w:eastAsia="Times New Roman" w:hAnsi="Times New Roman"/>
                    <w:color w:val="000000"/>
                    <w:sz w:val="14"/>
                    <w:szCs w:val="14"/>
                    <w:lang w:eastAsia="es-CO"/>
                  </w:rPr>
                </w:pPr>
                <w:r w:rsidRPr="00AB0DAE">
                  <w:rPr>
                    <w:rFonts w:ascii="Times New Roman" w:eastAsia="Times New Roman" w:hAnsi="Times New Roman"/>
                    <w:color w:val="000000"/>
                    <w:sz w:val="14"/>
                    <w:szCs w:val="14"/>
                    <w:lang w:eastAsia="es-CO"/>
                  </w:rPr>
                  <w:t>140.475.579.000</w:t>
                </w:r>
              </w:p>
            </w:tc>
            <w:tc>
              <w:tcPr>
                <w:tcW w:w="1189" w:type="pct"/>
                <w:tcBorders>
                  <w:top w:val="nil"/>
                  <w:left w:val="nil"/>
                  <w:bottom w:val="single" w:sz="8" w:space="0" w:color="808080"/>
                  <w:right w:val="single" w:sz="8" w:space="0" w:color="808080"/>
                </w:tcBorders>
                <w:shd w:val="clear" w:color="auto" w:fill="auto"/>
                <w:vAlign w:val="center"/>
                <w:hideMark/>
              </w:tcPr>
              <w:p w14:paraId="0B707A28" w14:textId="77777777" w:rsidR="00262361" w:rsidRPr="00AB0DAE" w:rsidRDefault="00262361" w:rsidP="00262361">
                <w:pPr>
                  <w:spacing w:after="0" w:line="240" w:lineRule="auto"/>
                  <w:jc w:val="right"/>
                  <w:rPr>
                    <w:rFonts w:ascii="Times New Roman" w:eastAsia="Times New Roman" w:hAnsi="Times New Roman"/>
                    <w:color w:val="000000"/>
                    <w:sz w:val="14"/>
                    <w:szCs w:val="14"/>
                    <w:lang w:eastAsia="es-CO"/>
                  </w:rPr>
                </w:pPr>
                <w:r w:rsidRPr="00AB0DAE">
                  <w:rPr>
                    <w:rFonts w:ascii="Times New Roman" w:eastAsia="Times New Roman" w:hAnsi="Times New Roman"/>
                    <w:color w:val="000000"/>
                    <w:sz w:val="14"/>
                    <w:szCs w:val="14"/>
                    <w:lang w:eastAsia="es-CO"/>
                  </w:rPr>
                  <w:t>10.773.861.000</w:t>
                </w:r>
              </w:p>
            </w:tc>
          </w:tr>
          <w:tr w:rsidR="00262361" w:rsidRPr="00AB0DAE" w14:paraId="7827C197" w14:textId="77777777" w:rsidTr="00AB0DAE">
            <w:trPr>
              <w:trHeight w:val="243"/>
            </w:trPr>
            <w:tc>
              <w:tcPr>
                <w:tcW w:w="1381" w:type="pct"/>
                <w:tcBorders>
                  <w:top w:val="nil"/>
                  <w:left w:val="single" w:sz="8" w:space="0" w:color="808080"/>
                  <w:bottom w:val="single" w:sz="8" w:space="0" w:color="808080"/>
                  <w:right w:val="single" w:sz="8" w:space="0" w:color="808080"/>
                </w:tcBorders>
                <w:shd w:val="clear" w:color="auto" w:fill="auto"/>
                <w:vAlign w:val="center"/>
                <w:hideMark/>
              </w:tcPr>
              <w:p w14:paraId="42B3F1C0" w14:textId="77777777" w:rsidR="00262361" w:rsidRPr="00AB0DAE" w:rsidRDefault="00262361" w:rsidP="00262361">
                <w:pPr>
                  <w:spacing w:after="0" w:line="240" w:lineRule="auto"/>
                  <w:rPr>
                    <w:rFonts w:ascii="Times New Roman" w:eastAsia="Times New Roman" w:hAnsi="Times New Roman"/>
                    <w:color w:val="000000"/>
                    <w:sz w:val="14"/>
                    <w:szCs w:val="14"/>
                    <w:lang w:eastAsia="es-CO"/>
                  </w:rPr>
                </w:pPr>
                <w:r w:rsidRPr="00AB0DAE">
                  <w:rPr>
                    <w:rFonts w:ascii="Times New Roman" w:eastAsia="Times New Roman" w:hAnsi="Times New Roman"/>
                    <w:color w:val="000000"/>
                    <w:sz w:val="14"/>
                    <w:szCs w:val="14"/>
                    <w:lang w:eastAsia="es-CO"/>
                  </w:rPr>
                  <w:t>PORTUARIO</w:t>
                </w:r>
              </w:p>
            </w:tc>
            <w:tc>
              <w:tcPr>
                <w:tcW w:w="1215" w:type="pct"/>
                <w:tcBorders>
                  <w:top w:val="nil"/>
                  <w:left w:val="nil"/>
                  <w:bottom w:val="single" w:sz="8" w:space="0" w:color="808080"/>
                  <w:right w:val="single" w:sz="8" w:space="0" w:color="808080"/>
                </w:tcBorders>
                <w:shd w:val="clear" w:color="auto" w:fill="auto"/>
                <w:vAlign w:val="center"/>
                <w:hideMark/>
              </w:tcPr>
              <w:p w14:paraId="0C4E3DFA" w14:textId="77777777" w:rsidR="00262361" w:rsidRPr="00AB0DAE" w:rsidRDefault="00262361" w:rsidP="00262361">
                <w:pPr>
                  <w:spacing w:after="0" w:line="240" w:lineRule="auto"/>
                  <w:jc w:val="right"/>
                  <w:rPr>
                    <w:rFonts w:ascii="Times New Roman" w:eastAsia="Times New Roman" w:hAnsi="Times New Roman"/>
                    <w:color w:val="000000"/>
                    <w:sz w:val="14"/>
                    <w:szCs w:val="14"/>
                    <w:lang w:eastAsia="es-CO"/>
                  </w:rPr>
                </w:pPr>
                <w:r w:rsidRPr="00AB0DAE">
                  <w:rPr>
                    <w:rFonts w:ascii="Times New Roman" w:eastAsia="Times New Roman" w:hAnsi="Times New Roman"/>
                    <w:color w:val="000000"/>
                    <w:sz w:val="14"/>
                    <w:szCs w:val="14"/>
                    <w:lang w:eastAsia="es-CO"/>
                  </w:rPr>
                  <w:t>73.191.485.639</w:t>
                </w:r>
              </w:p>
            </w:tc>
            <w:tc>
              <w:tcPr>
                <w:tcW w:w="1215" w:type="pct"/>
                <w:tcBorders>
                  <w:top w:val="nil"/>
                  <w:left w:val="nil"/>
                  <w:bottom w:val="single" w:sz="8" w:space="0" w:color="808080"/>
                  <w:right w:val="single" w:sz="8" w:space="0" w:color="808080"/>
                </w:tcBorders>
                <w:shd w:val="clear" w:color="auto" w:fill="auto"/>
                <w:vAlign w:val="center"/>
                <w:hideMark/>
              </w:tcPr>
              <w:p w14:paraId="30AC5086" w14:textId="77777777" w:rsidR="00262361" w:rsidRPr="00AB0DAE" w:rsidRDefault="00262361" w:rsidP="00262361">
                <w:pPr>
                  <w:spacing w:after="0" w:line="240" w:lineRule="auto"/>
                  <w:jc w:val="right"/>
                  <w:rPr>
                    <w:rFonts w:ascii="Times New Roman" w:eastAsia="Times New Roman" w:hAnsi="Times New Roman"/>
                    <w:color w:val="000000"/>
                    <w:sz w:val="14"/>
                    <w:szCs w:val="14"/>
                    <w:lang w:eastAsia="es-CO"/>
                  </w:rPr>
                </w:pPr>
                <w:r w:rsidRPr="00AB0DAE">
                  <w:rPr>
                    <w:rFonts w:ascii="Times New Roman" w:eastAsia="Times New Roman" w:hAnsi="Times New Roman"/>
                    <w:color w:val="000000"/>
                    <w:sz w:val="14"/>
                    <w:szCs w:val="14"/>
                    <w:lang w:eastAsia="es-CO"/>
                  </w:rPr>
                  <w:t>71.741.433.308</w:t>
                </w:r>
              </w:p>
            </w:tc>
            <w:tc>
              <w:tcPr>
                <w:tcW w:w="1189" w:type="pct"/>
                <w:tcBorders>
                  <w:top w:val="nil"/>
                  <w:left w:val="nil"/>
                  <w:bottom w:val="single" w:sz="8" w:space="0" w:color="808080"/>
                  <w:right w:val="single" w:sz="8" w:space="0" w:color="808080"/>
                </w:tcBorders>
                <w:shd w:val="clear" w:color="auto" w:fill="auto"/>
                <w:vAlign w:val="center"/>
                <w:hideMark/>
              </w:tcPr>
              <w:p w14:paraId="5D9A0111" w14:textId="77777777" w:rsidR="00262361" w:rsidRPr="00AB0DAE" w:rsidRDefault="00262361" w:rsidP="00262361">
                <w:pPr>
                  <w:spacing w:after="0" w:line="240" w:lineRule="auto"/>
                  <w:jc w:val="right"/>
                  <w:rPr>
                    <w:rFonts w:ascii="Times New Roman" w:eastAsia="Times New Roman" w:hAnsi="Times New Roman"/>
                    <w:color w:val="000000"/>
                    <w:sz w:val="14"/>
                    <w:szCs w:val="14"/>
                    <w:lang w:eastAsia="es-CO"/>
                  </w:rPr>
                </w:pPr>
                <w:r w:rsidRPr="00AB0DAE">
                  <w:rPr>
                    <w:rFonts w:ascii="Times New Roman" w:eastAsia="Times New Roman" w:hAnsi="Times New Roman"/>
                    <w:color w:val="000000"/>
                    <w:sz w:val="14"/>
                    <w:szCs w:val="14"/>
                    <w:lang w:eastAsia="es-CO"/>
                  </w:rPr>
                  <w:t>1.450.052.331</w:t>
                </w:r>
              </w:p>
            </w:tc>
          </w:tr>
          <w:tr w:rsidR="00262361" w:rsidRPr="00AB0DAE" w14:paraId="01D58882" w14:textId="77777777" w:rsidTr="00AB0DAE">
            <w:trPr>
              <w:trHeight w:val="243"/>
            </w:trPr>
            <w:tc>
              <w:tcPr>
                <w:tcW w:w="1381" w:type="pct"/>
                <w:tcBorders>
                  <w:top w:val="nil"/>
                  <w:left w:val="single" w:sz="8" w:space="0" w:color="808080"/>
                  <w:bottom w:val="single" w:sz="8" w:space="0" w:color="808080"/>
                  <w:right w:val="single" w:sz="8" w:space="0" w:color="808080"/>
                </w:tcBorders>
                <w:shd w:val="clear" w:color="auto" w:fill="auto"/>
                <w:vAlign w:val="center"/>
                <w:hideMark/>
              </w:tcPr>
              <w:p w14:paraId="283AA495" w14:textId="77777777" w:rsidR="00262361" w:rsidRPr="00AB0DAE" w:rsidRDefault="00262361" w:rsidP="00262361">
                <w:pPr>
                  <w:spacing w:after="0" w:line="240" w:lineRule="auto"/>
                  <w:rPr>
                    <w:rFonts w:ascii="Times New Roman" w:eastAsia="Times New Roman" w:hAnsi="Times New Roman"/>
                    <w:color w:val="000000"/>
                    <w:sz w:val="14"/>
                    <w:szCs w:val="14"/>
                    <w:lang w:eastAsia="es-CO"/>
                  </w:rPr>
                </w:pPr>
                <w:r w:rsidRPr="00AB0DAE">
                  <w:rPr>
                    <w:rFonts w:ascii="Times New Roman" w:eastAsia="Times New Roman" w:hAnsi="Times New Roman"/>
                    <w:color w:val="000000"/>
                    <w:sz w:val="14"/>
                    <w:szCs w:val="14"/>
                    <w:lang w:eastAsia="es-CO"/>
                  </w:rPr>
                  <w:t>CARRETERO</w:t>
                </w:r>
              </w:p>
            </w:tc>
            <w:tc>
              <w:tcPr>
                <w:tcW w:w="1215" w:type="pct"/>
                <w:tcBorders>
                  <w:top w:val="nil"/>
                  <w:left w:val="nil"/>
                  <w:bottom w:val="single" w:sz="8" w:space="0" w:color="808080"/>
                  <w:right w:val="single" w:sz="8" w:space="0" w:color="808080"/>
                </w:tcBorders>
                <w:shd w:val="clear" w:color="auto" w:fill="auto"/>
                <w:vAlign w:val="center"/>
                <w:hideMark/>
              </w:tcPr>
              <w:p w14:paraId="6CC8C32A" w14:textId="77777777" w:rsidR="00262361" w:rsidRPr="00AB0DAE" w:rsidRDefault="00262361" w:rsidP="00262361">
                <w:pPr>
                  <w:spacing w:after="0" w:line="240" w:lineRule="auto"/>
                  <w:jc w:val="right"/>
                  <w:rPr>
                    <w:rFonts w:ascii="Times New Roman" w:eastAsia="Times New Roman" w:hAnsi="Times New Roman"/>
                    <w:color w:val="000000"/>
                    <w:sz w:val="14"/>
                    <w:szCs w:val="14"/>
                    <w:lang w:eastAsia="es-CO"/>
                  </w:rPr>
                </w:pPr>
                <w:r w:rsidRPr="00AB0DAE">
                  <w:rPr>
                    <w:rFonts w:ascii="Times New Roman" w:eastAsia="Times New Roman" w:hAnsi="Times New Roman"/>
                    <w:color w:val="000000"/>
                    <w:sz w:val="14"/>
                    <w:szCs w:val="14"/>
                    <w:lang w:eastAsia="es-CO"/>
                  </w:rPr>
                  <w:t>16.178.547.847</w:t>
                </w:r>
              </w:p>
            </w:tc>
            <w:tc>
              <w:tcPr>
                <w:tcW w:w="1215" w:type="pct"/>
                <w:tcBorders>
                  <w:top w:val="nil"/>
                  <w:left w:val="nil"/>
                  <w:bottom w:val="single" w:sz="8" w:space="0" w:color="808080"/>
                  <w:right w:val="single" w:sz="8" w:space="0" w:color="808080"/>
                </w:tcBorders>
                <w:shd w:val="clear" w:color="auto" w:fill="auto"/>
                <w:vAlign w:val="center"/>
                <w:hideMark/>
              </w:tcPr>
              <w:p w14:paraId="6CF416B2" w14:textId="77777777" w:rsidR="00262361" w:rsidRPr="00AB0DAE" w:rsidRDefault="00262361" w:rsidP="00262361">
                <w:pPr>
                  <w:spacing w:after="0" w:line="240" w:lineRule="auto"/>
                  <w:jc w:val="right"/>
                  <w:rPr>
                    <w:rFonts w:ascii="Times New Roman" w:eastAsia="Times New Roman" w:hAnsi="Times New Roman"/>
                    <w:color w:val="000000"/>
                    <w:sz w:val="14"/>
                    <w:szCs w:val="14"/>
                    <w:lang w:eastAsia="es-CO"/>
                  </w:rPr>
                </w:pPr>
                <w:r w:rsidRPr="00AB0DAE">
                  <w:rPr>
                    <w:rFonts w:ascii="Times New Roman" w:eastAsia="Times New Roman" w:hAnsi="Times New Roman"/>
                    <w:color w:val="000000"/>
                    <w:sz w:val="14"/>
                    <w:szCs w:val="14"/>
                    <w:lang w:eastAsia="es-CO"/>
                  </w:rPr>
                  <w:t>13.321.970.347</w:t>
                </w:r>
              </w:p>
            </w:tc>
            <w:tc>
              <w:tcPr>
                <w:tcW w:w="1189" w:type="pct"/>
                <w:tcBorders>
                  <w:top w:val="nil"/>
                  <w:left w:val="nil"/>
                  <w:bottom w:val="single" w:sz="8" w:space="0" w:color="808080"/>
                  <w:right w:val="single" w:sz="8" w:space="0" w:color="808080"/>
                </w:tcBorders>
                <w:shd w:val="clear" w:color="auto" w:fill="auto"/>
                <w:vAlign w:val="center"/>
                <w:hideMark/>
              </w:tcPr>
              <w:p w14:paraId="6B178EFE" w14:textId="77777777" w:rsidR="00262361" w:rsidRPr="00AB0DAE" w:rsidRDefault="00262361" w:rsidP="00262361">
                <w:pPr>
                  <w:spacing w:after="0" w:line="240" w:lineRule="auto"/>
                  <w:jc w:val="right"/>
                  <w:rPr>
                    <w:rFonts w:ascii="Times New Roman" w:eastAsia="Times New Roman" w:hAnsi="Times New Roman"/>
                    <w:color w:val="000000"/>
                    <w:sz w:val="14"/>
                    <w:szCs w:val="14"/>
                    <w:lang w:eastAsia="es-CO"/>
                  </w:rPr>
                </w:pPr>
                <w:r w:rsidRPr="00AB0DAE">
                  <w:rPr>
                    <w:rFonts w:ascii="Times New Roman" w:eastAsia="Times New Roman" w:hAnsi="Times New Roman"/>
                    <w:color w:val="000000"/>
                    <w:sz w:val="14"/>
                    <w:szCs w:val="14"/>
                    <w:lang w:eastAsia="es-CO"/>
                  </w:rPr>
                  <w:t>2.856.577.500</w:t>
                </w:r>
              </w:p>
            </w:tc>
          </w:tr>
          <w:tr w:rsidR="00262361" w:rsidRPr="00AB0DAE" w14:paraId="2AE45F12" w14:textId="77777777" w:rsidTr="00AB0DAE">
            <w:trPr>
              <w:trHeight w:val="383"/>
            </w:trPr>
            <w:tc>
              <w:tcPr>
                <w:tcW w:w="1381" w:type="pct"/>
                <w:tcBorders>
                  <w:top w:val="nil"/>
                  <w:left w:val="single" w:sz="8" w:space="0" w:color="808080"/>
                  <w:bottom w:val="single" w:sz="8" w:space="0" w:color="808080"/>
                  <w:right w:val="single" w:sz="8" w:space="0" w:color="808080"/>
                </w:tcBorders>
                <w:shd w:val="clear" w:color="auto" w:fill="auto"/>
                <w:vAlign w:val="center"/>
                <w:hideMark/>
              </w:tcPr>
              <w:p w14:paraId="77E29BCB" w14:textId="77777777" w:rsidR="00262361" w:rsidRPr="00AB0DAE" w:rsidRDefault="00262361" w:rsidP="00262361">
                <w:pPr>
                  <w:spacing w:after="0" w:line="240" w:lineRule="auto"/>
                  <w:rPr>
                    <w:rFonts w:ascii="Times New Roman" w:eastAsia="Times New Roman" w:hAnsi="Times New Roman"/>
                    <w:color w:val="000000"/>
                    <w:sz w:val="14"/>
                    <w:szCs w:val="14"/>
                    <w:lang w:eastAsia="es-CO"/>
                  </w:rPr>
                </w:pPr>
                <w:r w:rsidRPr="00AB0DAE">
                  <w:rPr>
                    <w:rFonts w:ascii="Times New Roman" w:eastAsia="Times New Roman" w:hAnsi="Times New Roman"/>
                    <w:color w:val="000000"/>
                    <w:sz w:val="14"/>
                    <w:szCs w:val="14"/>
                    <w:lang w:eastAsia="es-CO"/>
                  </w:rPr>
                  <w:t>AEROPORTUARIO</w:t>
                </w:r>
              </w:p>
            </w:tc>
            <w:tc>
              <w:tcPr>
                <w:tcW w:w="1215" w:type="pct"/>
                <w:tcBorders>
                  <w:top w:val="nil"/>
                  <w:left w:val="nil"/>
                  <w:bottom w:val="single" w:sz="8" w:space="0" w:color="808080"/>
                  <w:right w:val="single" w:sz="8" w:space="0" w:color="808080"/>
                </w:tcBorders>
                <w:shd w:val="clear" w:color="auto" w:fill="auto"/>
                <w:vAlign w:val="center"/>
                <w:hideMark/>
              </w:tcPr>
              <w:p w14:paraId="4B7FC045" w14:textId="77777777" w:rsidR="00262361" w:rsidRPr="00AB0DAE" w:rsidRDefault="00262361" w:rsidP="00262361">
                <w:pPr>
                  <w:spacing w:after="0" w:line="240" w:lineRule="auto"/>
                  <w:jc w:val="right"/>
                  <w:rPr>
                    <w:rFonts w:ascii="Times New Roman" w:eastAsia="Times New Roman" w:hAnsi="Times New Roman"/>
                    <w:color w:val="000000"/>
                    <w:sz w:val="14"/>
                    <w:szCs w:val="14"/>
                    <w:lang w:eastAsia="es-CO"/>
                  </w:rPr>
                </w:pPr>
                <w:r w:rsidRPr="00AB0DAE">
                  <w:rPr>
                    <w:rFonts w:ascii="Times New Roman" w:eastAsia="Times New Roman" w:hAnsi="Times New Roman"/>
                    <w:color w:val="000000"/>
                    <w:sz w:val="14"/>
                    <w:szCs w:val="14"/>
                    <w:lang w:eastAsia="es-CO"/>
                  </w:rPr>
                  <w:t>851.700.626</w:t>
                </w:r>
              </w:p>
            </w:tc>
            <w:tc>
              <w:tcPr>
                <w:tcW w:w="1215" w:type="pct"/>
                <w:tcBorders>
                  <w:top w:val="nil"/>
                  <w:left w:val="nil"/>
                  <w:bottom w:val="single" w:sz="8" w:space="0" w:color="808080"/>
                  <w:right w:val="single" w:sz="8" w:space="0" w:color="808080"/>
                </w:tcBorders>
                <w:shd w:val="clear" w:color="auto" w:fill="auto"/>
                <w:vAlign w:val="center"/>
                <w:hideMark/>
              </w:tcPr>
              <w:p w14:paraId="7EFFFBD7" w14:textId="77777777" w:rsidR="00262361" w:rsidRPr="00AB0DAE" w:rsidRDefault="00262361" w:rsidP="00262361">
                <w:pPr>
                  <w:spacing w:after="0" w:line="240" w:lineRule="auto"/>
                  <w:jc w:val="right"/>
                  <w:rPr>
                    <w:rFonts w:ascii="Times New Roman" w:eastAsia="Times New Roman" w:hAnsi="Times New Roman"/>
                    <w:color w:val="000000"/>
                    <w:sz w:val="14"/>
                    <w:szCs w:val="14"/>
                    <w:lang w:eastAsia="es-CO"/>
                  </w:rPr>
                </w:pPr>
                <w:r w:rsidRPr="00AB0DAE">
                  <w:rPr>
                    <w:rFonts w:ascii="Times New Roman" w:eastAsia="Times New Roman" w:hAnsi="Times New Roman"/>
                    <w:color w:val="000000"/>
                    <w:sz w:val="14"/>
                    <w:szCs w:val="14"/>
                    <w:lang w:eastAsia="es-CO"/>
                  </w:rPr>
                  <w:t>851.700.626</w:t>
                </w:r>
              </w:p>
            </w:tc>
            <w:tc>
              <w:tcPr>
                <w:tcW w:w="1189" w:type="pct"/>
                <w:tcBorders>
                  <w:top w:val="nil"/>
                  <w:left w:val="nil"/>
                  <w:bottom w:val="single" w:sz="8" w:space="0" w:color="808080"/>
                  <w:right w:val="single" w:sz="8" w:space="0" w:color="808080"/>
                </w:tcBorders>
                <w:shd w:val="clear" w:color="auto" w:fill="auto"/>
                <w:vAlign w:val="center"/>
                <w:hideMark/>
              </w:tcPr>
              <w:p w14:paraId="3D6D7312" w14:textId="77777777" w:rsidR="00262361" w:rsidRPr="00AB0DAE" w:rsidRDefault="00262361" w:rsidP="00262361">
                <w:pPr>
                  <w:spacing w:after="0" w:line="240" w:lineRule="auto"/>
                  <w:jc w:val="right"/>
                  <w:rPr>
                    <w:rFonts w:ascii="Times New Roman" w:eastAsia="Times New Roman" w:hAnsi="Times New Roman"/>
                    <w:color w:val="000000"/>
                    <w:sz w:val="14"/>
                    <w:szCs w:val="14"/>
                    <w:lang w:eastAsia="es-CO"/>
                  </w:rPr>
                </w:pPr>
                <w:r w:rsidRPr="00AB0DAE">
                  <w:rPr>
                    <w:rFonts w:ascii="Times New Roman" w:eastAsia="Times New Roman" w:hAnsi="Times New Roman"/>
                    <w:color w:val="000000"/>
                    <w:sz w:val="14"/>
                    <w:szCs w:val="14"/>
                    <w:lang w:eastAsia="es-CO"/>
                  </w:rPr>
                  <w:t>0</w:t>
                </w:r>
              </w:p>
            </w:tc>
          </w:tr>
        </w:tbl>
        <w:p w14:paraId="056133E7" w14:textId="187E6FCD" w:rsidR="00CE2CEF" w:rsidRPr="00931DCE" w:rsidRDefault="00F73435" w:rsidP="00CE2CEF">
          <w:pPr>
            <w:rPr>
              <w:rFonts w:ascii="Times New Roman" w:hAnsi="Times New Roman"/>
              <w:sz w:val="14"/>
              <w:szCs w:val="14"/>
            </w:rPr>
          </w:pPr>
          <w:r w:rsidRPr="00931DCE">
            <w:rPr>
              <w:rFonts w:ascii="Times New Roman" w:hAnsi="Times New Roman"/>
              <w:sz w:val="14"/>
              <w:szCs w:val="14"/>
            </w:rPr>
            <w:t xml:space="preserve"> </w:t>
          </w:r>
          <w:r w:rsidR="00AD2026" w:rsidRPr="00931DCE">
            <w:rPr>
              <w:rFonts w:ascii="Times New Roman" w:hAnsi="Times New Roman"/>
              <w:sz w:val="14"/>
              <w:szCs w:val="14"/>
            </w:rPr>
            <w:t>Cifras expresadas en pesos</w:t>
          </w:r>
          <w:r w:rsidR="00CE2CEF" w:rsidRPr="00931DCE">
            <w:rPr>
              <w:rFonts w:ascii="Times New Roman" w:hAnsi="Times New Roman"/>
              <w:sz w:val="14"/>
              <w:szCs w:val="14"/>
            </w:rPr>
            <w:t xml:space="preserve"> </w:t>
          </w:r>
        </w:p>
        <w:p w14:paraId="5F52E297" w14:textId="77777777" w:rsidR="00833B76" w:rsidRPr="00931DCE" w:rsidRDefault="00833B76" w:rsidP="00CE2CEF">
          <w:pPr>
            <w:rPr>
              <w:rFonts w:ascii="Times New Roman" w:hAnsi="Times New Roman"/>
              <w:sz w:val="14"/>
              <w:szCs w:val="14"/>
            </w:rPr>
          </w:pPr>
        </w:p>
        <w:p w14:paraId="45464744" w14:textId="1CB0AA6B" w:rsidR="00CE2CEF" w:rsidRPr="00931DCE" w:rsidRDefault="00E34CB3" w:rsidP="00B02060">
          <w:pPr>
            <w:spacing w:after="0" w:line="240" w:lineRule="auto"/>
            <w:jc w:val="both"/>
            <w:rPr>
              <w:rFonts w:ascii="Times New Roman" w:hAnsi="Times New Roman"/>
              <w:sz w:val="24"/>
              <w:szCs w:val="24"/>
            </w:rPr>
          </w:pPr>
          <w:r w:rsidRPr="00931DCE">
            <w:rPr>
              <w:rFonts w:ascii="Times New Roman" w:hAnsi="Times New Roman"/>
              <w:sz w:val="24"/>
              <w:szCs w:val="24"/>
            </w:rPr>
            <w:t xml:space="preserve">La variación más representativa </w:t>
          </w:r>
          <w:r w:rsidR="005B6258">
            <w:rPr>
              <w:rFonts w:ascii="Times New Roman" w:hAnsi="Times New Roman"/>
              <w:sz w:val="24"/>
              <w:szCs w:val="24"/>
            </w:rPr>
            <w:t xml:space="preserve">corresponde al reconocimiento de las inversiones realizadas y </w:t>
          </w:r>
          <w:r w:rsidR="00527CDA">
            <w:rPr>
              <w:rFonts w:ascii="Times New Roman" w:hAnsi="Times New Roman"/>
              <w:sz w:val="24"/>
              <w:szCs w:val="24"/>
            </w:rPr>
            <w:t>reportadas</w:t>
          </w:r>
          <w:r w:rsidR="005B6258">
            <w:rPr>
              <w:rFonts w:ascii="Times New Roman" w:hAnsi="Times New Roman"/>
              <w:sz w:val="24"/>
              <w:szCs w:val="24"/>
            </w:rPr>
            <w:t xml:space="preserve"> por la </w:t>
          </w:r>
          <w:r w:rsidR="00527CDA" w:rsidRPr="00527CDA">
            <w:rPr>
              <w:rFonts w:ascii="Times New Roman" w:hAnsi="Times New Roman"/>
              <w:sz w:val="24"/>
              <w:szCs w:val="24"/>
            </w:rPr>
            <w:t>SOCIEDAD PORTUARIA REGIONAL DE SANTA MARTA S.A</w:t>
          </w:r>
          <w:r w:rsidR="00D770EE">
            <w:rPr>
              <w:rFonts w:ascii="Times New Roman" w:hAnsi="Times New Roman"/>
              <w:sz w:val="24"/>
              <w:szCs w:val="24"/>
            </w:rPr>
            <w:t xml:space="preserve"> Por valor de </w:t>
          </w:r>
          <w:r w:rsidR="00D770EE" w:rsidRPr="00D770EE">
            <w:rPr>
              <w:rFonts w:ascii="Times New Roman" w:hAnsi="Times New Roman"/>
              <w:sz w:val="24"/>
              <w:szCs w:val="24"/>
            </w:rPr>
            <w:t>140.475.579.000</w:t>
          </w:r>
          <w:r w:rsidR="00D770EE">
            <w:rPr>
              <w:rFonts w:ascii="Times New Roman" w:hAnsi="Times New Roman"/>
              <w:sz w:val="24"/>
              <w:szCs w:val="24"/>
            </w:rPr>
            <w:t>.</w:t>
          </w:r>
        </w:p>
        <w:p w14:paraId="04283CCF" w14:textId="77777777" w:rsidR="00D770EE" w:rsidRDefault="00D770EE" w:rsidP="00B02060">
          <w:pPr>
            <w:spacing w:after="0" w:line="240" w:lineRule="auto"/>
            <w:jc w:val="both"/>
            <w:rPr>
              <w:rFonts w:ascii="Times New Roman" w:hAnsi="Times New Roman"/>
              <w:sz w:val="24"/>
              <w:szCs w:val="24"/>
            </w:rPr>
          </w:pPr>
        </w:p>
        <w:p w14:paraId="41A2837B" w14:textId="5B2FB96F" w:rsidR="00D770EE" w:rsidRDefault="00D770EE" w:rsidP="00393273">
          <w:pPr>
            <w:spacing w:after="0" w:line="240" w:lineRule="auto"/>
            <w:jc w:val="both"/>
            <w:rPr>
              <w:rFonts w:ascii="Times New Roman" w:hAnsi="Times New Roman"/>
              <w:sz w:val="24"/>
              <w:szCs w:val="24"/>
            </w:rPr>
          </w:pPr>
          <w:r>
            <w:rPr>
              <w:rFonts w:ascii="Times New Roman" w:hAnsi="Times New Roman"/>
              <w:sz w:val="24"/>
              <w:szCs w:val="24"/>
            </w:rPr>
            <w:t xml:space="preserve">Para el modo de transporte férreo </w:t>
          </w:r>
          <w:r w:rsidR="00393273">
            <w:rPr>
              <w:rFonts w:ascii="Times New Roman" w:hAnsi="Times New Roman"/>
              <w:sz w:val="24"/>
              <w:szCs w:val="24"/>
            </w:rPr>
            <w:t>corresponde a la a</w:t>
          </w:r>
          <w:r w:rsidR="00393273" w:rsidRPr="00393273">
            <w:rPr>
              <w:rFonts w:ascii="Times New Roman" w:hAnsi="Times New Roman"/>
              <w:sz w:val="24"/>
              <w:szCs w:val="24"/>
            </w:rPr>
            <w:t>ctualización de la inversión y propiedad planta y equipo del año 2023 del proyecto de concesión Red Férrea del Atlántico</w:t>
          </w:r>
          <w:r w:rsidR="00802F4B">
            <w:rPr>
              <w:rFonts w:ascii="Times New Roman" w:hAnsi="Times New Roman"/>
              <w:sz w:val="24"/>
              <w:szCs w:val="24"/>
            </w:rPr>
            <w:t xml:space="preserve">, </w:t>
          </w:r>
          <w:r w:rsidR="00393273" w:rsidRPr="00393273">
            <w:rPr>
              <w:rFonts w:ascii="Times New Roman" w:hAnsi="Times New Roman"/>
              <w:sz w:val="24"/>
              <w:szCs w:val="24"/>
            </w:rPr>
            <w:t>contrato OATLA 00 99 de acuerdo con el memorando No 20243080027303 del 12/02/2024 FORMATO GCSP-F-288</w:t>
          </w:r>
          <w:r w:rsidR="00802F4B">
            <w:rPr>
              <w:rFonts w:ascii="Times New Roman" w:hAnsi="Times New Roman"/>
              <w:sz w:val="24"/>
              <w:szCs w:val="24"/>
            </w:rPr>
            <w:t xml:space="preserve"> </w:t>
          </w:r>
          <w:r w:rsidR="00393273" w:rsidRPr="00393273">
            <w:rPr>
              <w:rFonts w:ascii="Times New Roman" w:hAnsi="Times New Roman"/>
              <w:sz w:val="24"/>
              <w:szCs w:val="24"/>
            </w:rPr>
            <w:t>IINFORMACIÓN DE BIENES DE USO PÚBLICO Y PROPIEDAD PLANTA Y EQUIPO EN EL MODO FÉRREO SEGÚN EL NUEVO MARCO NORMATIVO PARA ENTIDADES DE GOBIERNO</w:t>
          </w:r>
        </w:p>
        <w:p w14:paraId="4963FEE5" w14:textId="524BD562" w:rsidR="00DD62E9" w:rsidRDefault="00025A7C" w:rsidP="00B02060">
          <w:pPr>
            <w:spacing w:after="0" w:line="240" w:lineRule="auto"/>
            <w:jc w:val="both"/>
            <w:rPr>
              <w:rFonts w:ascii="Times New Roman" w:hAnsi="Times New Roman"/>
              <w:sz w:val="24"/>
              <w:szCs w:val="24"/>
            </w:rPr>
          </w:pPr>
          <w:r>
            <w:rPr>
              <w:rFonts w:ascii="Times New Roman" w:hAnsi="Times New Roman"/>
              <w:sz w:val="24"/>
              <w:szCs w:val="24"/>
            </w:rPr>
            <w:t xml:space="preserve">Respecto al modo de transporte carretero, </w:t>
          </w:r>
          <w:r w:rsidR="004B712F">
            <w:rPr>
              <w:rFonts w:ascii="Times New Roman" w:hAnsi="Times New Roman"/>
              <w:sz w:val="24"/>
              <w:szCs w:val="24"/>
            </w:rPr>
            <w:t xml:space="preserve">corresponde </w:t>
          </w:r>
          <w:r w:rsidR="00F52951">
            <w:rPr>
              <w:rFonts w:ascii="Times New Roman" w:hAnsi="Times New Roman"/>
              <w:sz w:val="24"/>
              <w:szCs w:val="24"/>
            </w:rPr>
            <w:t>al registro</w:t>
          </w:r>
          <w:r w:rsidR="00F04010">
            <w:rPr>
              <w:rFonts w:ascii="Times New Roman" w:hAnsi="Times New Roman"/>
              <w:sz w:val="24"/>
              <w:szCs w:val="24"/>
            </w:rPr>
            <w:t xml:space="preserve"> de</w:t>
          </w:r>
          <w:r w:rsidR="00F04010" w:rsidRPr="004B712F">
            <w:rPr>
              <w:rFonts w:ascii="Times New Roman" w:hAnsi="Times New Roman"/>
              <w:sz w:val="24"/>
              <w:szCs w:val="24"/>
            </w:rPr>
            <w:t xml:space="preserve"> </w:t>
          </w:r>
          <w:r w:rsidR="007078D5" w:rsidRPr="004B712F">
            <w:rPr>
              <w:rFonts w:ascii="Times New Roman" w:hAnsi="Times New Roman"/>
              <w:sz w:val="24"/>
              <w:szCs w:val="24"/>
            </w:rPr>
            <w:t>separación</w:t>
          </w:r>
          <w:r w:rsidR="00F04010" w:rsidRPr="004B712F">
            <w:rPr>
              <w:rFonts w:ascii="Times New Roman" w:hAnsi="Times New Roman"/>
              <w:sz w:val="24"/>
              <w:szCs w:val="24"/>
            </w:rPr>
            <w:t xml:space="preserve"> del valor de la infraestructura el valor de la </w:t>
          </w:r>
          <w:r w:rsidR="007078D5" w:rsidRPr="004B712F">
            <w:rPr>
              <w:rFonts w:ascii="Times New Roman" w:hAnsi="Times New Roman"/>
              <w:sz w:val="24"/>
              <w:szCs w:val="24"/>
            </w:rPr>
            <w:t>inversión</w:t>
          </w:r>
          <w:r w:rsidR="00F04010" w:rsidRPr="004B712F">
            <w:rPr>
              <w:rFonts w:ascii="Times New Roman" w:hAnsi="Times New Roman"/>
              <w:sz w:val="24"/>
              <w:szCs w:val="24"/>
            </w:rPr>
            <w:t xml:space="preserve"> en propiedad, planta y equipo, de conformidad con el Formato "GCSP-F-301 Propiedades Planta y Equipo"</w:t>
          </w:r>
          <w:r w:rsidR="001F37FA">
            <w:rPr>
              <w:rFonts w:ascii="Times New Roman" w:hAnsi="Times New Roman"/>
              <w:sz w:val="24"/>
              <w:szCs w:val="24"/>
            </w:rPr>
            <w:t xml:space="preserve"> </w:t>
          </w:r>
          <w:r w:rsidR="0046350C">
            <w:rPr>
              <w:rFonts w:ascii="Times New Roman" w:hAnsi="Times New Roman"/>
              <w:sz w:val="24"/>
              <w:szCs w:val="24"/>
            </w:rPr>
            <w:t>por valor de $</w:t>
          </w:r>
          <w:r w:rsidR="00F467C3">
            <w:rPr>
              <w:rFonts w:ascii="Times New Roman" w:hAnsi="Times New Roman"/>
              <w:sz w:val="24"/>
              <w:szCs w:val="24"/>
            </w:rPr>
            <w:t>3.619.473.334</w:t>
          </w:r>
          <w:r w:rsidR="00DD49D1">
            <w:rPr>
              <w:rFonts w:ascii="Times New Roman" w:hAnsi="Times New Roman"/>
              <w:sz w:val="24"/>
              <w:szCs w:val="24"/>
            </w:rPr>
            <w:t xml:space="preserve">. Asimismo, </w:t>
          </w:r>
          <w:r w:rsidR="00742E18">
            <w:rPr>
              <w:rFonts w:ascii="Times New Roman" w:hAnsi="Times New Roman"/>
              <w:sz w:val="24"/>
              <w:szCs w:val="24"/>
            </w:rPr>
            <w:t xml:space="preserve">a la reversión </w:t>
          </w:r>
          <w:r w:rsidR="00C31BCC">
            <w:rPr>
              <w:rFonts w:ascii="Times New Roman" w:hAnsi="Times New Roman"/>
              <w:sz w:val="24"/>
              <w:szCs w:val="24"/>
            </w:rPr>
            <w:t>de los saldos contables</w:t>
          </w:r>
          <w:r w:rsidR="00DD62E9" w:rsidRPr="00DD62E9">
            <w:rPr>
              <w:rFonts w:ascii="Times New Roman" w:hAnsi="Times New Roman"/>
              <w:sz w:val="24"/>
              <w:szCs w:val="24"/>
            </w:rPr>
            <w:t xml:space="preserve"> del </w:t>
          </w:r>
          <w:r w:rsidR="0031067A">
            <w:rPr>
              <w:rFonts w:ascii="Times New Roman" w:hAnsi="Times New Roman"/>
              <w:sz w:val="24"/>
              <w:szCs w:val="24"/>
            </w:rPr>
            <w:t>c</w:t>
          </w:r>
          <w:r w:rsidR="00DD62E9" w:rsidRPr="00DD62E9">
            <w:rPr>
              <w:rFonts w:ascii="Times New Roman" w:hAnsi="Times New Roman"/>
              <w:sz w:val="24"/>
              <w:szCs w:val="24"/>
            </w:rPr>
            <w:t xml:space="preserve">ontrato de </w:t>
          </w:r>
          <w:r w:rsidR="0031067A">
            <w:rPr>
              <w:rFonts w:ascii="Times New Roman" w:hAnsi="Times New Roman"/>
              <w:sz w:val="24"/>
              <w:szCs w:val="24"/>
            </w:rPr>
            <w:t>c</w:t>
          </w:r>
          <w:r w:rsidR="00DD62E9" w:rsidRPr="00DD62E9">
            <w:rPr>
              <w:rFonts w:ascii="Times New Roman" w:hAnsi="Times New Roman"/>
              <w:sz w:val="24"/>
              <w:szCs w:val="24"/>
            </w:rPr>
            <w:t xml:space="preserve">oncesión No 002 de 2010 del </w:t>
          </w:r>
          <w:r w:rsidR="00275384" w:rsidRPr="00275384">
            <w:rPr>
              <w:rFonts w:ascii="Times New Roman" w:hAnsi="Times New Roman"/>
              <w:sz w:val="24"/>
              <w:szCs w:val="24"/>
            </w:rPr>
            <w:t>CONSORCIO VIAL HELIOS</w:t>
          </w:r>
          <w:r w:rsidR="00AE6F48">
            <w:rPr>
              <w:rFonts w:ascii="Times New Roman" w:hAnsi="Times New Roman"/>
              <w:sz w:val="24"/>
              <w:szCs w:val="24"/>
            </w:rPr>
            <w:t xml:space="preserve">, </w:t>
          </w:r>
          <w:r w:rsidR="00AE6F48" w:rsidRPr="00AE6F48">
            <w:rPr>
              <w:rFonts w:ascii="Times New Roman" w:hAnsi="Times New Roman"/>
              <w:sz w:val="24"/>
              <w:szCs w:val="24"/>
            </w:rPr>
            <w:t>proyecto de concesión vial denominado Ruta del Sol Sector 1”</w:t>
          </w:r>
          <w:r w:rsidR="00275384">
            <w:rPr>
              <w:rFonts w:ascii="Times New Roman" w:hAnsi="Times New Roman"/>
              <w:sz w:val="24"/>
              <w:szCs w:val="24"/>
            </w:rPr>
            <w:t xml:space="preserve"> con</w:t>
          </w:r>
          <w:r w:rsidR="00AE6F48" w:rsidRPr="00AE6F48">
            <w:rPr>
              <w:rFonts w:ascii="Times New Roman" w:hAnsi="Times New Roman"/>
              <w:sz w:val="24"/>
              <w:szCs w:val="24"/>
            </w:rPr>
            <w:t xml:space="preserve"> acta de </w:t>
          </w:r>
          <w:r w:rsidR="00275384" w:rsidRPr="00AE6F48">
            <w:rPr>
              <w:rFonts w:ascii="Times New Roman" w:hAnsi="Times New Roman"/>
              <w:sz w:val="24"/>
              <w:szCs w:val="24"/>
            </w:rPr>
            <w:t>desincorporación</w:t>
          </w:r>
          <w:r w:rsidR="00AE6F48" w:rsidRPr="00AE6F48">
            <w:rPr>
              <w:rFonts w:ascii="Times New Roman" w:hAnsi="Times New Roman"/>
              <w:sz w:val="24"/>
              <w:szCs w:val="24"/>
            </w:rPr>
            <w:t xml:space="preserve"> Saldos contables No 005</w:t>
          </w:r>
          <w:r w:rsidR="001106E8">
            <w:rPr>
              <w:rFonts w:ascii="Times New Roman" w:hAnsi="Times New Roman"/>
              <w:sz w:val="24"/>
              <w:szCs w:val="24"/>
            </w:rPr>
            <w:t xml:space="preserve">, por valor de </w:t>
          </w:r>
          <w:r w:rsidR="0034469E">
            <w:rPr>
              <w:rFonts w:ascii="Times New Roman" w:hAnsi="Times New Roman"/>
              <w:sz w:val="24"/>
              <w:szCs w:val="24"/>
            </w:rPr>
            <w:t>$</w:t>
          </w:r>
          <w:r w:rsidR="001106E8">
            <w:rPr>
              <w:rFonts w:ascii="Times New Roman" w:hAnsi="Times New Roman"/>
              <w:sz w:val="24"/>
              <w:szCs w:val="24"/>
            </w:rPr>
            <w:t>4</w:t>
          </w:r>
          <w:r w:rsidR="0034469E" w:rsidRPr="0034469E">
            <w:rPr>
              <w:rFonts w:ascii="Times New Roman" w:hAnsi="Times New Roman"/>
              <w:sz w:val="24"/>
              <w:szCs w:val="24"/>
            </w:rPr>
            <w:t>762.895.83</w:t>
          </w:r>
          <w:r w:rsidR="00C31BCC">
            <w:rPr>
              <w:rFonts w:ascii="Times New Roman" w:hAnsi="Times New Roman"/>
              <w:sz w:val="24"/>
              <w:szCs w:val="24"/>
            </w:rPr>
            <w:t>3</w:t>
          </w:r>
          <w:r w:rsidR="007030B3">
            <w:rPr>
              <w:rFonts w:ascii="Times New Roman" w:hAnsi="Times New Roman"/>
              <w:sz w:val="24"/>
              <w:szCs w:val="24"/>
            </w:rPr>
            <w:t>.</w:t>
          </w:r>
        </w:p>
        <w:p w14:paraId="7BEA6AE1" w14:textId="77777777" w:rsidR="00C31BCC" w:rsidRDefault="00C31BCC" w:rsidP="00B02060">
          <w:pPr>
            <w:spacing w:after="0" w:line="240" w:lineRule="auto"/>
            <w:jc w:val="both"/>
            <w:rPr>
              <w:rFonts w:ascii="Times New Roman" w:hAnsi="Times New Roman"/>
              <w:sz w:val="24"/>
              <w:szCs w:val="24"/>
            </w:rPr>
          </w:pPr>
        </w:p>
        <w:p w14:paraId="6F8AF099" w14:textId="77777777" w:rsidR="000277BD" w:rsidRPr="00815916" w:rsidRDefault="000277BD" w:rsidP="000277BD">
          <w:pPr>
            <w:jc w:val="both"/>
            <w:rPr>
              <w:rFonts w:ascii="Times New Roman" w:hAnsi="Times New Roman"/>
              <w:sz w:val="24"/>
              <w:szCs w:val="24"/>
            </w:rPr>
          </w:pPr>
          <w:r w:rsidRPr="00815916">
            <w:rPr>
              <w:rFonts w:ascii="Times New Roman" w:hAnsi="Times New Roman"/>
              <w:sz w:val="24"/>
              <w:szCs w:val="24"/>
            </w:rPr>
            <w:t>El saldo</w:t>
          </w:r>
          <w:r>
            <w:rPr>
              <w:rFonts w:ascii="Times New Roman" w:hAnsi="Times New Roman"/>
              <w:sz w:val="24"/>
              <w:szCs w:val="24"/>
            </w:rPr>
            <w:t xml:space="preserve"> pendiente por </w:t>
          </w:r>
          <w:r w:rsidRPr="00815916">
            <w:rPr>
              <w:rFonts w:ascii="Times New Roman" w:hAnsi="Times New Roman"/>
              <w:sz w:val="24"/>
              <w:szCs w:val="24"/>
            </w:rPr>
            <w:t>desincorporar de este modo a 31 de diciembre de 20</w:t>
          </w:r>
          <w:r>
            <w:rPr>
              <w:rFonts w:ascii="Times New Roman" w:hAnsi="Times New Roman"/>
              <w:sz w:val="24"/>
              <w:szCs w:val="24"/>
            </w:rPr>
            <w:t>23</w:t>
          </w:r>
          <w:r w:rsidRPr="00815916">
            <w:rPr>
              <w:rFonts w:ascii="Times New Roman" w:hAnsi="Times New Roman"/>
              <w:sz w:val="24"/>
              <w:szCs w:val="24"/>
            </w:rPr>
            <w:t>, por valor de $851.70</w:t>
          </w:r>
          <w:r>
            <w:rPr>
              <w:rFonts w:ascii="Times New Roman" w:hAnsi="Times New Roman"/>
              <w:sz w:val="24"/>
              <w:szCs w:val="24"/>
            </w:rPr>
            <w:t>0.626</w:t>
          </w:r>
          <w:r w:rsidRPr="00815916">
            <w:rPr>
              <w:rFonts w:ascii="Times New Roman" w:hAnsi="Times New Roman"/>
              <w:sz w:val="24"/>
              <w:szCs w:val="24"/>
            </w:rPr>
            <w:t>, corresponde a</w:t>
          </w:r>
          <w:r>
            <w:rPr>
              <w:rFonts w:ascii="Times New Roman" w:hAnsi="Times New Roman"/>
              <w:sz w:val="24"/>
              <w:szCs w:val="24"/>
            </w:rPr>
            <w:t xml:space="preserve"> intangibles del Aeropuerto de Barranquilla, </w:t>
          </w:r>
          <w:r w:rsidRPr="00765B8E">
            <w:rPr>
              <w:rFonts w:ascii="Times New Roman" w:hAnsi="Times New Roman"/>
              <w:sz w:val="24"/>
              <w:szCs w:val="24"/>
            </w:rPr>
            <w:t>NIT 900817115 - GRUPO AEROPORTUARIO DEL CARIBE S.A.S</w:t>
          </w:r>
          <w:r>
            <w:rPr>
              <w:rFonts w:ascii="Times New Roman" w:hAnsi="Times New Roman"/>
              <w:sz w:val="24"/>
              <w:szCs w:val="24"/>
            </w:rPr>
            <w:t>.</w:t>
          </w:r>
        </w:p>
        <w:p w14:paraId="5E50995B" w14:textId="77777777" w:rsidR="00AB0DAE" w:rsidRDefault="00AB0DAE" w:rsidP="00B02060">
          <w:pPr>
            <w:spacing w:after="0" w:line="240" w:lineRule="auto"/>
            <w:jc w:val="both"/>
            <w:rPr>
              <w:rFonts w:ascii="Times New Roman" w:hAnsi="Times New Roman"/>
              <w:sz w:val="24"/>
              <w:szCs w:val="24"/>
            </w:rPr>
          </w:pPr>
        </w:p>
        <w:p w14:paraId="734E4D94" w14:textId="77777777" w:rsidR="00AB0DAE" w:rsidRPr="00931DCE" w:rsidRDefault="00AB0DAE" w:rsidP="00B02060">
          <w:pPr>
            <w:spacing w:after="0" w:line="240" w:lineRule="auto"/>
            <w:jc w:val="both"/>
            <w:rPr>
              <w:rFonts w:ascii="Times New Roman" w:hAnsi="Times New Roman"/>
              <w:sz w:val="24"/>
              <w:szCs w:val="24"/>
            </w:rPr>
          </w:pPr>
        </w:p>
        <w:p w14:paraId="6510D506" w14:textId="66D2B819" w:rsidR="000F5276" w:rsidRPr="00931DCE" w:rsidRDefault="000F5276">
          <w:pPr>
            <w:pStyle w:val="Ttulo2"/>
            <w:numPr>
              <w:ilvl w:val="1"/>
              <w:numId w:val="13"/>
            </w:numPr>
            <w:ind w:left="567" w:hanging="567"/>
            <w:rPr>
              <w:rFonts w:cs="Times New Roman"/>
              <w:szCs w:val="24"/>
            </w:rPr>
          </w:pPr>
          <w:bookmarkStart w:id="49" w:name="_Toc159952390"/>
          <w:r w:rsidRPr="00931DCE">
            <w:rPr>
              <w:rFonts w:cs="Times New Roman"/>
              <w:szCs w:val="24"/>
            </w:rPr>
            <w:t>Revelaciones adicionales</w:t>
          </w:r>
          <w:bookmarkEnd w:id="49"/>
        </w:p>
        <w:p w14:paraId="46812FBA" w14:textId="20D99E41" w:rsidR="000F5276" w:rsidRPr="00931DCE" w:rsidRDefault="000F5276" w:rsidP="004A000E">
          <w:pPr>
            <w:spacing w:after="0" w:line="240" w:lineRule="auto"/>
            <w:jc w:val="both"/>
            <w:rPr>
              <w:rFonts w:ascii="Times New Roman" w:hAnsi="Times New Roman"/>
              <w:b/>
              <w:sz w:val="24"/>
              <w:szCs w:val="24"/>
            </w:rPr>
          </w:pPr>
        </w:p>
        <w:p w14:paraId="5B18CC84" w14:textId="77777777" w:rsidR="00833B76" w:rsidRDefault="00833B76" w:rsidP="00500BB1">
          <w:pPr>
            <w:spacing w:after="0" w:line="240" w:lineRule="auto"/>
            <w:jc w:val="both"/>
            <w:rPr>
              <w:rFonts w:ascii="Times New Roman" w:eastAsia="Times New Roman" w:hAnsi="Times New Roman"/>
              <w:color w:val="000000"/>
              <w:sz w:val="14"/>
              <w:szCs w:val="14"/>
              <w:lang w:eastAsia="es-CO"/>
            </w:rPr>
          </w:pPr>
        </w:p>
        <w:tbl>
          <w:tblPr>
            <w:tblW w:w="5000" w:type="pct"/>
            <w:tblLayout w:type="fixed"/>
            <w:tblCellMar>
              <w:left w:w="70" w:type="dxa"/>
              <w:right w:w="70" w:type="dxa"/>
            </w:tblCellMar>
            <w:tblLook w:val="04A0" w:firstRow="1" w:lastRow="0" w:firstColumn="1" w:lastColumn="0" w:noHBand="0" w:noVBand="1"/>
          </w:tblPr>
          <w:tblGrid>
            <w:gridCol w:w="248"/>
            <w:gridCol w:w="3575"/>
            <w:gridCol w:w="1275"/>
            <w:gridCol w:w="1277"/>
            <w:gridCol w:w="1333"/>
            <w:gridCol w:w="1261"/>
          </w:tblGrid>
          <w:tr w:rsidR="00B05FED" w:rsidRPr="00B05FED" w14:paraId="6892FD00" w14:textId="77777777" w:rsidTr="006D62B2">
            <w:trPr>
              <w:trHeight w:val="480"/>
              <w:tblHeader/>
            </w:trPr>
            <w:tc>
              <w:tcPr>
                <w:tcW w:w="2131" w:type="pct"/>
                <w:gridSpan w:val="2"/>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6AD0D219" w14:textId="77777777" w:rsidR="00B05FED" w:rsidRPr="009A46BB" w:rsidRDefault="00B05FED" w:rsidP="00B05FED">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CONCEPTOS Y TRANSACCIONES</w:t>
                </w:r>
              </w:p>
            </w:tc>
            <w:tc>
              <w:tcPr>
                <w:tcW w:w="711" w:type="pct"/>
                <w:tcBorders>
                  <w:top w:val="single" w:sz="4" w:space="0" w:color="A6A6A6"/>
                  <w:left w:val="nil"/>
                  <w:bottom w:val="single" w:sz="4" w:space="0" w:color="A6A6A6"/>
                  <w:right w:val="single" w:sz="4" w:space="0" w:color="A6A6A6"/>
                </w:tcBorders>
                <w:shd w:val="clear" w:color="auto" w:fill="auto"/>
                <w:vAlign w:val="center"/>
                <w:hideMark/>
              </w:tcPr>
              <w:p w14:paraId="68190529" w14:textId="77777777" w:rsidR="00B05FED" w:rsidRPr="00B05FED" w:rsidRDefault="00B05FED" w:rsidP="00B05FED">
                <w:pPr>
                  <w:spacing w:after="0" w:line="240" w:lineRule="auto"/>
                  <w:jc w:val="center"/>
                  <w:rPr>
                    <w:rFonts w:ascii="Times New Roman" w:eastAsia="Times New Roman" w:hAnsi="Times New Roman"/>
                    <w:b/>
                    <w:bCs/>
                    <w:sz w:val="16"/>
                    <w:szCs w:val="16"/>
                    <w:lang w:eastAsia="es-CO"/>
                  </w:rPr>
                </w:pPr>
                <w:r w:rsidRPr="00B05FED">
                  <w:rPr>
                    <w:rFonts w:ascii="Times New Roman" w:eastAsia="Times New Roman" w:hAnsi="Times New Roman"/>
                    <w:b/>
                    <w:bCs/>
                    <w:sz w:val="16"/>
                    <w:szCs w:val="16"/>
                    <w:lang w:eastAsia="es-CO"/>
                  </w:rPr>
                  <w:t xml:space="preserve"> LICENCIAS </w:t>
                </w:r>
              </w:p>
            </w:tc>
            <w:tc>
              <w:tcPr>
                <w:tcW w:w="712" w:type="pct"/>
                <w:tcBorders>
                  <w:top w:val="single" w:sz="4" w:space="0" w:color="A6A6A6"/>
                  <w:left w:val="nil"/>
                  <w:bottom w:val="single" w:sz="4" w:space="0" w:color="A6A6A6"/>
                  <w:right w:val="single" w:sz="4" w:space="0" w:color="A6A6A6"/>
                </w:tcBorders>
                <w:shd w:val="clear" w:color="auto" w:fill="auto"/>
                <w:vAlign w:val="center"/>
                <w:hideMark/>
              </w:tcPr>
              <w:p w14:paraId="22E7EE4E" w14:textId="77777777" w:rsidR="00B05FED" w:rsidRPr="00B05FED" w:rsidRDefault="00B05FED" w:rsidP="00B05FED">
                <w:pPr>
                  <w:spacing w:after="0" w:line="240" w:lineRule="auto"/>
                  <w:jc w:val="center"/>
                  <w:rPr>
                    <w:rFonts w:ascii="Times New Roman" w:eastAsia="Times New Roman" w:hAnsi="Times New Roman"/>
                    <w:b/>
                    <w:bCs/>
                    <w:sz w:val="16"/>
                    <w:szCs w:val="16"/>
                    <w:lang w:eastAsia="es-CO"/>
                  </w:rPr>
                </w:pPr>
                <w:r w:rsidRPr="00B05FED">
                  <w:rPr>
                    <w:rFonts w:ascii="Times New Roman" w:eastAsia="Times New Roman" w:hAnsi="Times New Roman"/>
                    <w:b/>
                    <w:bCs/>
                    <w:sz w:val="16"/>
                    <w:szCs w:val="16"/>
                    <w:lang w:eastAsia="es-CO"/>
                  </w:rPr>
                  <w:t xml:space="preserve"> SOFTWARES </w:t>
                </w:r>
              </w:p>
            </w:tc>
            <w:tc>
              <w:tcPr>
                <w:tcW w:w="743" w:type="pct"/>
                <w:tcBorders>
                  <w:top w:val="single" w:sz="4" w:space="0" w:color="A6A6A6"/>
                  <w:left w:val="nil"/>
                  <w:bottom w:val="single" w:sz="4" w:space="0" w:color="A6A6A6"/>
                  <w:right w:val="single" w:sz="4" w:space="0" w:color="A6A6A6"/>
                </w:tcBorders>
                <w:shd w:val="clear" w:color="auto" w:fill="auto"/>
                <w:vAlign w:val="center"/>
                <w:hideMark/>
              </w:tcPr>
              <w:p w14:paraId="36ADFC34" w14:textId="77777777" w:rsidR="00B05FED" w:rsidRPr="00B05FED" w:rsidRDefault="00B05FED" w:rsidP="00B05FED">
                <w:pPr>
                  <w:spacing w:after="0" w:line="240" w:lineRule="auto"/>
                  <w:jc w:val="center"/>
                  <w:rPr>
                    <w:rFonts w:ascii="Times New Roman" w:eastAsia="Times New Roman" w:hAnsi="Times New Roman"/>
                    <w:b/>
                    <w:bCs/>
                    <w:sz w:val="16"/>
                    <w:szCs w:val="16"/>
                    <w:lang w:eastAsia="es-CO"/>
                  </w:rPr>
                </w:pPr>
                <w:r w:rsidRPr="00B05FED">
                  <w:rPr>
                    <w:rFonts w:ascii="Times New Roman" w:eastAsia="Times New Roman" w:hAnsi="Times New Roman"/>
                    <w:b/>
                    <w:bCs/>
                    <w:sz w:val="16"/>
                    <w:szCs w:val="16"/>
                    <w:lang w:eastAsia="es-CO"/>
                  </w:rPr>
                  <w:t xml:space="preserve"> EN CONCESIÓN </w:t>
                </w:r>
              </w:p>
            </w:tc>
            <w:tc>
              <w:tcPr>
                <w:tcW w:w="703" w:type="pct"/>
                <w:tcBorders>
                  <w:top w:val="single" w:sz="4" w:space="0" w:color="A6A6A6"/>
                  <w:left w:val="nil"/>
                  <w:bottom w:val="single" w:sz="4" w:space="0" w:color="A6A6A6"/>
                  <w:right w:val="single" w:sz="4" w:space="0" w:color="A6A6A6"/>
                </w:tcBorders>
                <w:shd w:val="clear" w:color="auto" w:fill="auto"/>
                <w:vAlign w:val="center"/>
                <w:hideMark/>
              </w:tcPr>
              <w:p w14:paraId="4BB136E0" w14:textId="77777777" w:rsidR="00B05FED" w:rsidRPr="00B05FED" w:rsidRDefault="00B05FED" w:rsidP="00B05FED">
                <w:pPr>
                  <w:spacing w:after="0" w:line="240" w:lineRule="auto"/>
                  <w:jc w:val="center"/>
                  <w:rPr>
                    <w:rFonts w:ascii="Times New Roman" w:eastAsia="Times New Roman" w:hAnsi="Times New Roman"/>
                    <w:b/>
                    <w:bCs/>
                    <w:sz w:val="16"/>
                    <w:szCs w:val="16"/>
                    <w:lang w:eastAsia="es-CO"/>
                  </w:rPr>
                </w:pPr>
                <w:r w:rsidRPr="00B05FED">
                  <w:rPr>
                    <w:rFonts w:ascii="Times New Roman" w:eastAsia="Times New Roman" w:hAnsi="Times New Roman"/>
                    <w:b/>
                    <w:bCs/>
                    <w:sz w:val="16"/>
                    <w:szCs w:val="16"/>
                    <w:lang w:eastAsia="es-CO"/>
                  </w:rPr>
                  <w:t xml:space="preserve"> TOTAL </w:t>
                </w:r>
              </w:p>
            </w:tc>
          </w:tr>
          <w:tr w:rsidR="00B05FED" w:rsidRPr="00B05FED" w14:paraId="6D5CCD73" w14:textId="77777777" w:rsidTr="008F5CE1">
            <w:trPr>
              <w:trHeight w:val="300"/>
            </w:trPr>
            <w:tc>
              <w:tcPr>
                <w:tcW w:w="138" w:type="pct"/>
                <w:tcBorders>
                  <w:top w:val="nil"/>
                  <w:left w:val="single" w:sz="4" w:space="0" w:color="A6A6A6"/>
                  <w:bottom w:val="single" w:sz="4" w:space="0" w:color="A6A6A6"/>
                  <w:right w:val="nil"/>
                </w:tcBorders>
                <w:shd w:val="clear" w:color="auto" w:fill="auto"/>
                <w:noWrap/>
                <w:vAlign w:val="center"/>
                <w:hideMark/>
              </w:tcPr>
              <w:p w14:paraId="6A00C9BB" w14:textId="77777777" w:rsidR="00B05FED" w:rsidRPr="009A46BB" w:rsidRDefault="00B05FED" w:rsidP="00B05FED">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1993" w:type="pct"/>
                <w:tcBorders>
                  <w:top w:val="single" w:sz="4" w:space="0" w:color="A6A6A6"/>
                  <w:left w:val="nil"/>
                  <w:bottom w:val="single" w:sz="4" w:space="0" w:color="A6A6A6"/>
                  <w:right w:val="single" w:sz="4" w:space="0" w:color="A6A6A6"/>
                </w:tcBorders>
                <w:shd w:val="clear" w:color="auto" w:fill="auto"/>
                <w:noWrap/>
                <w:vAlign w:val="center"/>
                <w:hideMark/>
              </w:tcPr>
              <w:p w14:paraId="3B47F7E1" w14:textId="77777777" w:rsidR="00B05FED" w:rsidRPr="009A46BB" w:rsidRDefault="00B05FED" w:rsidP="00B05FED">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CLASIFICACIÓN SEGÚN SU VIDA ÚTIL</w:t>
                </w:r>
              </w:p>
            </w:tc>
            <w:tc>
              <w:tcPr>
                <w:tcW w:w="711" w:type="pct"/>
                <w:tcBorders>
                  <w:top w:val="nil"/>
                  <w:left w:val="nil"/>
                  <w:bottom w:val="single" w:sz="4" w:space="0" w:color="A6A6A6"/>
                  <w:right w:val="single" w:sz="4" w:space="0" w:color="A6A6A6"/>
                </w:tcBorders>
                <w:shd w:val="clear" w:color="auto" w:fill="auto"/>
                <w:noWrap/>
                <w:vAlign w:val="center"/>
                <w:hideMark/>
              </w:tcPr>
              <w:p w14:paraId="52FD509F" w14:textId="7FB078A0" w:rsidR="00B05FED" w:rsidRPr="009A46BB" w:rsidRDefault="00B05FED" w:rsidP="00511489">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2.459.272.30</w:t>
                </w:r>
                <w:r w:rsidR="00511489" w:rsidRPr="009A46BB">
                  <w:rPr>
                    <w:rFonts w:ascii="Times New Roman" w:eastAsia="Times New Roman" w:hAnsi="Times New Roman"/>
                    <w:b/>
                    <w:sz w:val="16"/>
                    <w:szCs w:val="16"/>
                    <w:lang w:eastAsia="es-CO"/>
                  </w:rPr>
                  <w:t>2</w:t>
                </w:r>
                <w:r w:rsidRPr="009A46BB">
                  <w:rPr>
                    <w:rFonts w:ascii="Times New Roman" w:eastAsia="Times New Roman" w:hAnsi="Times New Roman"/>
                    <w:b/>
                    <w:sz w:val="16"/>
                    <w:szCs w:val="16"/>
                    <w:lang w:eastAsia="es-CO"/>
                  </w:rPr>
                  <w:t xml:space="preserve"> </w:t>
                </w:r>
              </w:p>
            </w:tc>
            <w:tc>
              <w:tcPr>
                <w:tcW w:w="712" w:type="pct"/>
                <w:tcBorders>
                  <w:top w:val="nil"/>
                  <w:left w:val="nil"/>
                  <w:bottom w:val="single" w:sz="4" w:space="0" w:color="A6A6A6"/>
                  <w:right w:val="single" w:sz="4" w:space="0" w:color="A6A6A6"/>
                </w:tcBorders>
                <w:shd w:val="clear" w:color="auto" w:fill="auto"/>
                <w:noWrap/>
                <w:vAlign w:val="center"/>
                <w:hideMark/>
              </w:tcPr>
              <w:p w14:paraId="5B0AD474" w14:textId="1DCEA5EB" w:rsidR="00B05FED" w:rsidRPr="009A46BB" w:rsidRDefault="00B05FED" w:rsidP="00511489">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495.477.834</w:t>
                </w:r>
              </w:p>
            </w:tc>
            <w:tc>
              <w:tcPr>
                <w:tcW w:w="743" w:type="pct"/>
                <w:tcBorders>
                  <w:top w:val="nil"/>
                  <w:left w:val="nil"/>
                  <w:bottom w:val="single" w:sz="4" w:space="0" w:color="A6A6A6"/>
                  <w:right w:val="single" w:sz="4" w:space="0" w:color="A6A6A6"/>
                </w:tcBorders>
                <w:shd w:val="clear" w:color="auto" w:fill="auto"/>
                <w:noWrap/>
                <w:vAlign w:val="center"/>
                <w:hideMark/>
              </w:tcPr>
              <w:p w14:paraId="4985472C" w14:textId="2E6B8B0C" w:rsidR="00B05FED" w:rsidRPr="009A46BB" w:rsidRDefault="00B05FED" w:rsidP="00511489">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226.390.683.28</w:t>
                </w:r>
                <w:r w:rsidR="00172401" w:rsidRPr="009A46BB">
                  <w:rPr>
                    <w:rFonts w:ascii="Times New Roman" w:eastAsia="Times New Roman" w:hAnsi="Times New Roman"/>
                    <w:b/>
                    <w:sz w:val="16"/>
                    <w:szCs w:val="16"/>
                    <w:lang w:eastAsia="es-CO"/>
                  </w:rPr>
                  <w:t>1</w:t>
                </w:r>
              </w:p>
            </w:tc>
            <w:tc>
              <w:tcPr>
                <w:tcW w:w="703" w:type="pct"/>
                <w:tcBorders>
                  <w:top w:val="nil"/>
                  <w:left w:val="nil"/>
                  <w:bottom w:val="single" w:sz="4" w:space="0" w:color="A6A6A6"/>
                  <w:right w:val="single" w:sz="4" w:space="0" w:color="A6A6A6"/>
                </w:tcBorders>
                <w:shd w:val="clear" w:color="auto" w:fill="auto"/>
                <w:noWrap/>
                <w:vAlign w:val="center"/>
                <w:hideMark/>
              </w:tcPr>
              <w:p w14:paraId="19084571" w14:textId="738C09E4" w:rsidR="00B05FED" w:rsidRPr="009A46BB" w:rsidRDefault="00B05FED" w:rsidP="00511489">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229.345.433.41</w:t>
                </w:r>
                <w:r w:rsidR="00172401" w:rsidRPr="009A46BB">
                  <w:rPr>
                    <w:rFonts w:ascii="Times New Roman" w:eastAsia="Times New Roman" w:hAnsi="Times New Roman"/>
                    <w:b/>
                    <w:sz w:val="16"/>
                    <w:szCs w:val="16"/>
                    <w:lang w:eastAsia="es-CO"/>
                  </w:rPr>
                  <w:t>7</w:t>
                </w:r>
                <w:r w:rsidRPr="009A46BB">
                  <w:rPr>
                    <w:rFonts w:ascii="Times New Roman" w:eastAsia="Times New Roman" w:hAnsi="Times New Roman"/>
                    <w:b/>
                    <w:sz w:val="16"/>
                    <w:szCs w:val="16"/>
                    <w:lang w:eastAsia="es-CO"/>
                  </w:rPr>
                  <w:t xml:space="preserve"> </w:t>
                </w:r>
              </w:p>
            </w:tc>
          </w:tr>
          <w:tr w:rsidR="00B05FED" w:rsidRPr="00B05FED" w14:paraId="1D4F2A61" w14:textId="77777777" w:rsidTr="008F5CE1">
            <w:trPr>
              <w:trHeight w:val="300"/>
            </w:trPr>
            <w:tc>
              <w:tcPr>
                <w:tcW w:w="2131" w:type="pct"/>
                <w:gridSpan w:val="2"/>
                <w:tcBorders>
                  <w:top w:val="nil"/>
                  <w:left w:val="single" w:sz="4" w:space="0" w:color="A6A6A6"/>
                  <w:bottom w:val="single" w:sz="4" w:space="0" w:color="A6A6A6"/>
                  <w:right w:val="single" w:sz="4" w:space="0" w:color="A6A6A6"/>
                </w:tcBorders>
                <w:shd w:val="clear" w:color="auto" w:fill="auto"/>
                <w:noWrap/>
                <w:vAlign w:val="center"/>
                <w:hideMark/>
              </w:tcPr>
              <w:p w14:paraId="26A79B65" w14:textId="3B8E622E" w:rsidR="00B05FED" w:rsidRPr="009A46BB" w:rsidRDefault="00287350" w:rsidP="00B05FED">
                <w:pPr>
                  <w:spacing w:after="0" w:line="240" w:lineRule="auto"/>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 xml:space="preserve">+ </w:t>
                </w:r>
                <w:r w:rsidR="00B05FED" w:rsidRPr="009A46BB">
                  <w:rPr>
                    <w:rFonts w:ascii="Times New Roman" w:eastAsia="Times New Roman" w:hAnsi="Times New Roman"/>
                    <w:sz w:val="16"/>
                    <w:szCs w:val="16"/>
                    <w:lang w:eastAsia="es-CO"/>
                  </w:rPr>
                  <w:t>Vida útil definida</w:t>
                </w:r>
              </w:p>
            </w:tc>
            <w:tc>
              <w:tcPr>
                <w:tcW w:w="711" w:type="pct"/>
                <w:tcBorders>
                  <w:top w:val="nil"/>
                  <w:left w:val="nil"/>
                  <w:bottom w:val="single" w:sz="4" w:space="0" w:color="A6A6A6"/>
                  <w:right w:val="single" w:sz="4" w:space="0" w:color="A6A6A6"/>
                </w:tcBorders>
                <w:shd w:val="clear" w:color="auto" w:fill="auto"/>
                <w:noWrap/>
                <w:vAlign w:val="center"/>
                <w:hideMark/>
              </w:tcPr>
              <w:p w14:paraId="07014697" w14:textId="72444D9A" w:rsidR="00B05FED" w:rsidRPr="009A46BB" w:rsidRDefault="00B05FED" w:rsidP="00511489">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2.459.272.</w:t>
                </w:r>
                <w:r w:rsidR="00287350" w:rsidRPr="009A46BB">
                  <w:rPr>
                    <w:rFonts w:ascii="Times New Roman" w:eastAsia="Times New Roman" w:hAnsi="Times New Roman"/>
                    <w:sz w:val="16"/>
                    <w:szCs w:val="16"/>
                    <w:lang w:eastAsia="es-CO"/>
                  </w:rPr>
                  <w:t>302</w:t>
                </w:r>
                <w:r w:rsidRPr="009A46BB">
                  <w:rPr>
                    <w:rFonts w:ascii="Times New Roman" w:eastAsia="Times New Roman" w:hAnsi="Times New Roman"/>
                    <w:sz w:val="16"/>
                    <w:szCs w:val="16"/>
                    <w:lang w:eastAsia="es-CO"/>
                  </w:rPr>
                  <w:t xml:space="preserve"> </w:t>
                </w:r>
              </w:p>
            </w:tc>
            <w:tc>
              <w:tcPr>
                <w:tcW w:w="712" w:type="pct"/>
                <w:tcBorders>
                  <w:top w:val="nil"/>
                  <w:left w:val="nil"/>
                  <w:bottom w:val="single" w:sz="4" w:space="0" w:color="A6A6A6"/>
                  <w:right w:val="single" w:sz="4" w:space="0" w:color="A6A6A6"/>
                </w:tcBorders>
                <w:shd w:val="clear" w:color="auto" w:fill="auto"/>
                <w:noWrap/>
                <w:vAlign w:val="center"/>
                <w:hideMark/>
              </w:tcPr>
              <w:p w14:paraId="56FDBA9D" w14:textId="2BC1E727" w:rsidR="00B05FED" w:rsidRPr="009A46BB" w:rsidRDefault="00B05FED" w:rsidP="00511489">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495.477.834</w:t>
                </w:r>
              </w:p>
            </w:tc>
            <w:tc>
              <w:tcPr>
                <w:tcW w:w="743" w:type="pct"/>
                <w:tcBorders>
                  <w:top w:val="nil"/>
                  <w:left w:val="nil"/>
                  <w:bottom w:val="single" w:sz="4" w:space="0" w:color="A6A6A6"/>
                  <w:right w:val="single" w:sz="4" w:space="0" w:color="A6A6A6"/>
                </w:tcBorders>
                <w:shd w:val="clear" w:color="auto" w:fill="auto"/>
                <w:noWrap/>
                <w:vAlign w:val="center"/>
                <w:hideMark/>
              </w:tcPr>
              <w:p w14:paraId="5EECF5DF" w14:textId="3206FEFD" w:rsidR="00B05FED" w:rsidRPr="009A46BB" w:rsidRDefault="00B05FED" w:rsidP="00511489">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226.390.683.</w:t>
                </w:r>
                <w:r w:rsidR="00287350" w:rsidRPr="009A46BB">
                  <w:rPr>
                    <w:rFonts w:ascii="Times New Roman" w:eastAsia="Times New Roman" w:hAnsi="Times New Roman"/>
                    <w:sz w:val="16"/>
                    <w:szCs w:val="16"/>
                    <w:lang w:eastAsia="es-CO"/>
                  </w:rPr>
                  <w:t>281</w:t>
                </w:r>
              </w:p>
            </w:tc>
            <w:tc>
              <w:tcPr>
                <w:tcW w:w="703" w:type="pct"/>
                <w:tcBorders>
                  <w:top w:val="nil"/>
                  <w:left w:val="nil"/>
                  <w:bottom w:val="single" w:sz="4" w:space="0" w:color="A6A6A6"/>
                  <w:right w:val="single" w:sz="4" w:space="0" w:color="A6A6A6"/>
                </w:tcBorders>
                <w:shd w:val="clear" w:color="auto" w:fill="auto"/>
                <w:noWrap/>
                <w:vAlign w:val="center"/>
                <w:hideMark/>
              </w:tcPr>
              <w:p w14:paraId="43A147E0" w14:textId="0C1627C7" w:rsidR="00B05FED" w:rsidRPr="009A46BB" w:rsidRDefault="00B05FED" w:rsidP="00511489">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229.345.433.</w:t>
                </w:r>
                <w:r w:rsidR="00287350" w:rsidRPr="009A46BB">
                  <w:rPr>
                    <w:rFonts w:ascii="Times New Roman" w:eastAsia="Times New Roman" w:hAnsi="Times New Roman"/>
                    <w:b/>
                    <w:sz w:val="16"/>
                    <w:szCs w:val="16"/>
                    <w:lang w:eastAsia="es-CO"/>
                  </w:rPr>
                  <w:t>417</w:t>
                </w:r>
                <w:r w:rsidRPr="009A46BB">
                  <w:rPr>
                    <w:rFonts w:ascii="Times New Roman" w:eastAsia="Times New Roman" w:hAnsi="Times New Roman"/>
                    <w:b/>
                    <w:sz w:val="16"/>
                    <w:szCs w:val="16"/>
                    <w:lang w:eastAsia="es-CO"/>
                  </w:rPr>
                  <w:t xml:space="preserve"> </w:t>
                </w:r>
              </w:p>
            </w:tc>
          </w:tr>
          <w:tr w:rsidR="00B05FED" w:rsidRPr="00B05FED" w14:paraId="2184286A" w14:textId="77777777" w:rsidTr="008F5CE1">
            <w:trPr>
              <w:trHeight w:val="300"/>
            </w:trPr>
            <w:tc>
              <w:tcPr>
                <w:tcW w:w="2131" w:type="pct"/>
                <w:gridSpan w:val="2"/>
                <w:tcBorders>
                  <w:top w:val="nil"/>
                  <w:left w:val="single" w:sz="4" w:space="0" w:color="A6A6A6"/>
                  <w:bottom w:val="single" w:sz="4" w:space="0" w:color="A6A6A6"/>
                  <w:right w:val="single" w:sz="4" w:space="0" w:color="A6A6A6"/>
                </w:tcBorders>
                <w:shd w:val="clear" w:color="auto" w:fill="auto"/>
                <w:noWrap/>
                <w:vAlign w:val="center"/>
                <w:hideMark/>
              </w:tcPr>
              <w:p w14:paraId="054FC2A4" w14:textId="4E2F51C6" w:rsidR="00B05FED" w:rsidRPr="009A46BB" w:rsidRDefault="00287350" w:rsidP="00B05FED">
                <w:pPr>
                  <w:spacing w:after="0" w:line="240" w:lineRule="auto"/>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 xml:space="preserve">+ </w:t>
                </w:r>
                <w:r w:rsidR="00B05FED" w:rsidRPr="009A46BB">
                  <w:rPr>
                    <w:rFonts w:ascii="Times New Roman" w:eastAsia="Times New Roman" w:hAnsi="Times New Roman"/>
                    <w:sz w:val="16"/>
                    <w:szCs w:val="16"/>
                    <w:lang w:eastAsia="es-CO"/>
                  </w:rPr>
                  <w:t>Vida útil indefinida</w:t>
                </w:r>
              </w:p>
            </w:tc>
            <w:tc>
              <w:tcPr>
                <w:tcW w:w="711" w:type="pct"/>
                <w:tcBorders>
                  <w:top w:val="nil"/>
                  <w:left w:val="nil"/>
                  <w:bottom w:val="single" w:sz="4" w:space="0" w:color="A6A6A6"/>
                  <w:right w:val="single" w:sz="4" w:space="0" w:color="A6A6A6"/>
                </w:tcBorders>
                <w:shd w:val="clear" w:color="auto" w:fill="auto"/>
                <w:noWrap/>
                <w:vAlign w:val="center"/>
                <w:hideMark/>
              </w:tcPr>
              <w:p w14:paraId="5FEAD1C3" w14:textId="1A404343" w:rsidR="00B05FED" w:rsidRPr="009A46BB" w:rsidRDefault="00B05FED" w:rsidP="00135068">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 xml:space="preserve">  -   </w:t>
                </w:r>
              </w:p>
            </w:tc>
            <w:tc>
              <w:tcPr>
                <w:tcW w:w="712" w:type="pct"/>
                <w:tcBorders>
                  <w:top w:val="nil"/>
                  <w:left w:val="nil"/>
                  <w:bottom w:val="single" w:sz="4" w:space="0" w:color="A6A6A6"/>
                  <w:right w:val="single" w:sz="4" w:space="0" w:color="A6A6A6"/>
                </w:tcBorders>
                <w:shd w:val="clear" w:color="auto" w:fill="auto"/>
                <w:noWrap/>
                <w:vAlign w:val="center"/>
                <w:hideMark/>
              </w:tcPr>
              <w:p w14:paraId="4E7E0AEB" w14:textId="5DBEA3B7" w:rsidR="00B05FED" w:rsidRPr="009A46BB" w:rsidRDefault="00B05FED" w:rsidP="00135068">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 xml:space="preserve">   -   </w:t>
                </w:r>
              </w:p>
            </w:tc>
            <w:tc>
              <w:tcPr>
                <w:tcW w:w="743" w:type="pct"/>
                <w:tcBorders>
                  <w:top w:val="nil"/>
                  <w:left w:val="nil"/>
                  <w:bottom w:val="single" w:sz="4" w:space="0" w:color="A6A6A6"/>
                  <w:right w:val="single" w:sz="4" w:space="0" w:color="A6A6A6"/>
                </w:tcBorders>
                <w:shd w:val="clear" w:color="auto" w:fill="auto"/>
                <w:noWrap/>
                <w:vAlign w:val="center"/>
                <w:hideMark/>
              </w:tcPr>
              <w:p w14:paraId="5475B47C" w14:textId="279C8E9F" w:rsidR="00B05FED" w:rsidRPr="009A46BB" w:rsidRDefault="00B05FED" w:rsidP="00135068">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 xml:space="preserve">-   </w:t>
                </w:r>
              </w:p>
            </w:tc>
            <w:tc>
              <w:tcPr>
                <w:tcW w:w="703" w:type="pct"/>
                <w:tcBorders>
                  <w:top w:val="nil"/>
                  <w:left w:val="nil"/>
                  <w:bottom w:val="single" w:sz="4" w:space="0" w:color="A6A6A6"/>
                  <w:right w:val="single" w:sz="4" w:space="0" w:color="A6A6A6"/>
                </w:tcBorders>
                <w:shd w:val="clear" w:color="auto" w:fill="auto"/>
                <w:noWrap/>
                <w:vAlign w:val="center"/>
                <w:hideMark/>
              </w:tcPr>
              <w:p w14:paraId="4299CE17" w14:textId="093404A4" w:rsidR="00B05FED" w:rsidRPr="009A46BB" w:rsidRDefault="00B05FED" w:rsidP="00135068">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   </w:t>
                </w:r>
              </w:p>
            </w:tc>
          </w:tr>
          <w:tr w:rsidR="00B05FED" w:rsidRPr="00B05FED" w14:paraId="54B5CA54" w14:textId="77777777" w:rsidTr="008F5CE1">
            <w:trPr>
              <w:trHeight w:val="300"/>
            </w:trPr>
            <w:tc>
              <w:tcPr>
                <w:tcW w:w="2131" w:type="pct"/>
                <w:gridSpan w:val="2"/>
                <w:tcBorders>
                  <w:top w:val="nil"/>
                  <w:left w:val="single" w:sz="4" w:space="0" w:color="A6A6A6"/>
                  <w:bottom w:val="single" w:sz="4" w:space="0" w:color="A6A6A6"/>
                  <w:right w:val="single" w:sz="4" w:space="0" w:color="A6A6A6"/>
                </w:tcBorders>
                <w:shd w:val="clear" w:color="auto" w:fill="auto"/>
                <w:noWrap/>
                <w:vAlign w:val="center"/>
                <w:hideMark/>
              </w:tcPr>
              <w:p w14:paraId="71F4A50E" w14:textId="61DD35C8" w:rsidR="00B05FED" w:rsidRPr="009A46BB" w:rsidRDefault="00B05FED" w:rsidP="00B05FED">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GARANTIA DE PASIVOS</w:t>
                </w:r>
              </w:p>
            </w:tc>
            <w:tc>
              <w:tcPr>
                <w:tcW w:w="711" w:type="pct"/>
                <w:tcBorders>
                  <w:top w:val="nil"/>
                  <w:left w:val="nil"/>
                  <w:bottom w:val="single" w:sz="4" w:space="0" w:color="A6A6A6"/>
                  <w:right w:val="single" w:sz="4" w:space="0" w:color="A6A6A6"/>
                </w:tcBorders>
                <w:shd w:val="clear" w:color="auto" w:fill="auto"/>
                <w:noWrap/>
                <w:vAlign w:val="center"/>
                <w:hideMark/>
              </w:tcPr>
              <w:p w14:paraId="516CF768" w14:textId="6E6FA18B" w:rsidR="00B05FED" w:rsidRPr="009A46BB" w:rsidRDefault="00B05FED" w:rsidP="00135068">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  -   </w:t>
                </w:r>
              </w:p>
            </w:tc>
            <w:tc>
              <w:tcPr>
                <w:tcW w:w="712" w:type="pct"/>
                <w:tcBorders>
                  <w:top w:val="nil"/>
                  <w:left w:val="nil"/>
                  <w:bottom w:val="single" w:sz="4" w:space="0" w:color="A6A6A6"/>
                  <w:right w:val="single" w:sz="4" w:space="0" w:color="A6A6A6"/>
                </w:tcBorders>
                <w:shd w:val="clear" w:color="auto" w:fill="auto"/>
                <w:noWrap/>
                <w:vAlign w:val="center"/>
                <w:hideMark/>
              </w:tcPr>
              <w:p w14:paraId="5C5C2B38" w14:textId="39CB1904" w:rsidR="00B05FED" w:rsidRPr="009A46BB" w:rsidRDefault="00B05FED" w:rsidP="00135068">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   -   </w:t>
                </w:r>
              </w:p>
            </w:tc>
            <w:tc>
              <w:tcPr>
                <w:tcW w:w="743" w:type="pct"/>
                <w:tcBorders>
                  <w:top w:val="nil"/>
                  <w:left w:val="nil"/>
                  <w:bottom w:val="single" w:sz="4" w:space="0" w:color="A6A6A6"/>
                  <w:right w:val="single" w:sz="4" w:space="0" w:color="A6A6A6"/>
                </w:tcBorders>
                <w:shd w:val="clear" w:color="auto" w:fill="auto"/>
                <w:noWrap/>
                <w:vAlign w:val="center"/>
                <w:hideMark/>
              </w:tcPr>
              <w:p w14:paraId="56F2E666" w14:textId="555F6E60" w:rsidR="00B05FED" w:rsidRPr="009A46BB" w:rsidRDefault="00B05FED" w:rsidP="00135068">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   </w:t>
                </w:r>
              </w:p>
            </w:tc>
            <w:tc>
              <w:tcPr>
                <w:tcW w:w="703" w:type="pct"/>
                <w:tcBorders>
                  <w:top w:val="nil"/>
                  <w:left w:val="nil"/>
                  <w:bottom w:val="single" w:sz="4" w:space="0" w:color="A6A6A6"/>
                  <w:right w:val="single" w:sz="4" w:space="0" w:color="A6A6A6"/>
                </w:tcBorders>
                <w:shd w:val="clear" w:color="auto" w:fill="auto"/>
                <w:noWrap/>
                <w:vAlign w:val="center"/>
                <w:hideMark/>
              </w:tcPr>
              <w:p w14:paraId="3F7DB5D7" w14:textId="0DFE5DCF" w:rsidR="00B05FED" w:rsidRPr="009A46BB" w:rsidRDefault="00B05FED" w:rsidP="00135068">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   </w:t>
                </w:r>
              </w:p>
            </w:tc>
          </w:tr>
          <w:tr w:rsidR="00B05FED" w:rsidRPr="00B05FED" w14:paraId="6BEB5AF8" w14:textId="77777777" w:rsidTr="008F5CE1">
            <w:trPr>
              <w:trHeight w:val="300"/>
            </w:trPr>
            <w:tc>
              <w:tcPr>
                <w:tcW w:w="2131" w:type="pct"/>
                <w:gridSpan w:val="2"/>
                <w:tcBorders>
                  <w:top w:val="nil"/>
                  <w:left w:val="single" w:sz="4" w:space="0" w:color="A6A6A6"/>
                  <w:bottom w:val="single" w:sz="4" w:space="0" w:color="A6A6A6"/>
                  <w:right w:val="single" w:sz="4" w:space="0" w:color="A6A6A6"/>
                </w:tcBorders>
                <w:shd w:val="clear" w:color="auto" w:fill="auto"/>
                <w:noWrap/>
                <w:vAlign w:val="center"/>
                <w:hideMark/>
              </w:tcPr>
              <w:p w14:paraId="28404575" w14:textId="3774005A" w:rsidR="00B05FED" w:rsidRPr="009A46BB" w:rsidRDefault="00B05FED" w:rsidP="00B05FED">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lastRenderedPageBreak/>
                  <w:t>BAJA EN CUENTAS - EFECTO EN EL RESULTADO</w:t>
                </w:r>
              </w:p>
            </w:tc>
            <w:tc>
              <w:tcPr>
                <w:tcW w:w="711" w:type="pct"/>
                <w:tcBorders>
                  <w:top w:val="nil"/>
                  <w:left w:val="nil"/>
                  <w:bottom w:val="single" w:sz="4" w:space="0" w:color="A6A6A6"/>
                  <w:right w:val="single" w:sz="4" w:space="0" w:color="A6A6A6"/>
                </w:tcBorders>
                <w:shd w:val="clear" w:color="auto" w:fill="auto"/>
                <w:noWrap/>
                <w:vAlign w:val="center"/>
                <w:hideMark/>
              </w:tcPr>
              <w:p w14:paraId="44B56302" w14:textId="51183A5F" w:rsidR="00B05FED" w:rsidRPr="009A46BB" w:rsidRDefault="00B05FED" w:rsidP="00135068">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  -   </w:t>
                </w:r>
              </w:p>
            </w:tc>
            <w:tc>
              <w:tcPr>
                <w:tcW w:w="712" w:type="pct"/>
                <w:tcBorders>
                  <w:top w:val="nil"/>
                  <w:left w:val="nil"/>
                  <w:bottom w:val="single" w:sz="4" w:space="0" w:color="A6A6A6"/>
                  <w:right w:val="single" w:sz="4" w:space="0" w:color="A6A6A6"/>
                </w:tcBorders>
                <w:shd w:val="clear" w:color="auto" w:fill="auto"/>
                <w:noWrap/>
                <w:vAlign w:val="center"/>
                <w:hideMark/>
              </w:tcPr>
              <w:p w14:paraId="7DA424D5" w14:textId="51A4ACFB" w:rsidR="00B05FED" w:rsidRPr="009A46BB" w:rsidRDefault="00B05FED" w:rsidP="00135068">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   -   </w:t>
                </w:r>
              </w:p>
            </w:tc>
            <w:tc>
              <w:tcPr>
                <w:tcW w:w="743" w:type="pct"/>
                <w:tcBorders>
                  <w:top w:val="nil"/>
                  <w:left w:val="nil"/>
                  <w:bottom w:val="single" w:sz="4" w:space="0" w:color="A6A6A6"/>
                  <w:right w:val="single" w:sz="4" w:space="0" w:color="A6A6A6"/>
                </w:tcBorders>
                <w:shd w:val="clear" w:color="auto" w:fill="auto"/>
                <w:noWrap/>
                <w:vAlign w:val="center"/>
                <w:hideMark/>
              </w:tcPr>
              <w:p w14:paraId="1D25E8CE" w14:textId="573234F0" w:rsidR="00B05FED" w:rsidRPr="009A46BB" w:rsidRDefault="00B05FED" w:rsidP="00135068">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   </w:t>
                </w:r>
              </w:p>
            </w:tc>
            <w:tc>
              <w:tcPr>
                <w:tcW w:w="703" w:type="pct"/>
                <w:tcBorders>
                  <w:top w:val="nil"/>
                  <w:left w:val="nil"/>
                  <w:bottom w:val="single" w:sz="4" w:space="0" w:color="A6A6A6"/>
                  <w:right w:val="single" w:sz="4" w:space="0" w:color="A6A6A6"/>
                </w:tcBorders>
                <w:shd w:val="clear" w:color="auto" w:fill="auto"/>
                <w:noWrap/>
                <w:vAlign w:val="center"/>
                <w:hideMark/>
              </w:tcPr>
              <w:p w14:paraId="5260F031" w14:textId="0E22D945" w:rsidR="00B05FED" w:rsidRPr="009A46BB" w:rsidRDefault="00B05FED" w:rsidP="00135068">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   </w:t>
                </w:r>
              </w:p>
            </w:tc>
          </w:tr>
          <w:tr w:rsidR="00B05FED" w:rsidRPr="00B05FED" w14:paraId="1D59B06E" w14:textId="77777777" w:rsidTr="008F5CE1">
            <w:trPr>
              <w:trHeight w:val="307"/>
            </w:trPr>
            <w:tc>
              <w:tcPr>
                <w:tcW w:w="2131" w:type="pct"/>
                <w:gridSpan w:val="2"/>
                <w:tcBorders>
                  <w:top w:val="nil"/>
                  <w:left w:val="single" w:sz="4" w:space="0" w:color="A6A6A6"/>
                  <w:bottom w:val="single" w:sz="4" w:space="0" w:color="A6A6A6"/>
                  <w:right w:val="single" w:sz="4" w:space="0" w:color="A6A6A6"/>
                </w:tcBorders>
                <w:shd w:val="clear" w:color="auto" w:fill="auto"/>
                <w:noWrap/>
                <w:vAlign w:val="center"/>
                <w:hideMark/>
              </w:tcPr>
              <w:p w14:paraId="0F9B7A73" w14:textId="4D01C412" w:rsidR="00B05FED" w:rsidRPr="009A46BB" w:rsidRDefault="00B05FED" w:rsidP="00B05FED">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DESEMBOLSOS PARA INVESTIGACIÓN Y DESARROLLO</w:t>
                </w:r>
              </w:p>
            </w:tc>
            <w:tc>
              <w:tcPr>
                <w:tcW w:w="711" w:type="pct"/>
                <w:tcBorders>
                  <w:top w:val="nil"/>
                  <w:left w:val="nil"/>
                  <w:bottom w:val="single" w:sz="4" w:space="0" w:color="A6A6A6"/>
                  <w:right w:val="single" w:sz="4" w:space="0" w:color="A6A6A6"/>
                </w:tcBorders>
                <w:shd w:val="clear" w:color="auto" w:fill="auto"/>
                <w:noWrap/>
                <w:vAlign w:val="center"/>
                <w:hideMark/>
              </w:tcPr>
              <w:p w14:paraId="5AB541A0" w14:textId="22C2AC41" w:rsidR="00B05FED" w:rsidRPr="009A46BB" w:rsidRDefault="00B05FED" w:rsidP="00135068">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  -   </w:t>
                </w:r>
              </w:p>
            </w:tc>
            <w:tc>
              <w:tcPr>
                <w:tcW w:w="712" w:type="pct"/>
                <w:tcBorders>
                  <w:top w:val="nil"/>
                  <w:left w:val="nil"/>
                  <w:bottom w:val="single" w:sz="4" w:space="0" w:color="A6A6A6"/>
                  <w:right w:val="single" w:sz="4" w:space="0" w:color="A6A6A6"/>
                </w:tcBorders>
                <w:shd w:val="clear" w:color="auto" w:fill="auto"/>
                <w:noWrap/>
                <w:vAlign w:val="center"/>
                <w:hideMark/>
              </w:tcPr>
              <w:p w14:paraId="76A38BA3" w14:textId="23392A55" w:rsidR="00B05FED" w:rsidRPr="009A46BB" w:rsidRDefault="00B05FED" w:rsidP="00135068">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   -   </w:t>
                </w:r>
              </w:p>
            </w:tc>
            <w:tc>
              <w:tcPr>
                <w:tcW w:w="743" w:type="pct"/>
                <w:tcBorders>
                  <w:top w:val="nil"/>
                  <w:left w:val="nil"/>
                  <w:bottom w:val="single" w:sz="4" w:space="0" w:color="A6A6A6"/>
                  <w:right w:val="single" w:sz="4" w:space="0" w:color="A6A6A6"/>
                </w:tcBorders>
                <w:shd w:val="clear" w:color="auto" w:fill="auto"/>
                <w:noWrap/>
                <w:vAlign w:val="center"/>
                <w:hideMark/>
              </w:tcPr>
              <w:p w14:paraId="7B30D75C" w14:textId="1157B62F" w:rsidR="00B05FED" w:rsidRPr="009A46BB" w:rsidRDefault="00B05FED" w:rsidP="00135068">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   </w:t>
                </w:r>
              </w:p>
            </w:tc>
            <w:tc>
              <w:tcPr>
                <w:tcW w:w="703" w:type="pct"/>
                <w:tcBorders>
                  <w:top w:val="nil"/>
                  <w:left w:val="nil"/>
                  <w:bottom w:val="single" w:sz="4" w:space="0" w:color="A6A6A6"/>
                  <w:right w:val="single" w:sz="4" w:space="0" w:color="A6A6A6"/>
                </w:tcBorders>
                <w:shd w:val="clear" w:color="auto" w:fill="auto"/>
                <w:noWrap/>
                <w:vAlign w:val="center"/>
                <w:hideMark/>
              </w:tcPr>
              <w:p w14:paraId="1BC2DB09" w14:textId="0B364272" w:rsidR="00B05FED" w:rsidRPr="009A46BB" w:rsidRDefault="00B05FED" w:rsidP="00135068">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   </w:t>
                </w:r>
              </w:p>
            </w:tc>
          </w:tr>
          <w:tr w:rsidR="00B05FED" w:rsidRPr="00B05FED" w14:paraId="4CC053DA" w14:textId="77777777" w:rsidTr="008F5CE1">
            <w:trPr>
              <w:trHeight w:val="300"/>
            </w:trPr>
            <w:tc>
              <w:tcPr>
                <w:tcW w:w="2131" w:type="pct"/>
                <w:gridSpan w:val="2"/>
                <w:tcBorders>
                  <w:top w:val="nil"/>
                  <w:left w:val="single" w:sz="4" w:space="0" w:color="A6A6A6"/>
                  <w:bottom w:val="single" w:sz="4" w:space="0" w:color="A6A6A6"/>
                  <w:right w:val="single" w:sz="4" w:space="0" w:color="A6A6A6"/>
                </w:tcBorders>
                <w:shd w:val="clear" w:color="auto" w:fill="auto"/>
                <w:noWrap/>
                <w:vAlign w:val="center"/>
                <w:hideMark/>
              </w:tcPr>
              <w:p w14:paraId="5B9702A9" w14:textId="241618CA" w:rsidR="00B05FED" w:rsidRPr="009A46BB" w:rsidRDefault="00B05FED" w:rsidP="00B05FED">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RESTRICCIONES SOBRE INTANGIBLES</w:t>
                </w:r>
              </w:p>
            </w:tc>
            <w:tc>
              <w:tcPr>
                <w:tcW w:w="711" w:type="pct"/>
                <w:tcBorders>
                  <w:top w:val="nil"/>
                  <w:left w:val="nil"/>
                  <w:bottom w:val="single" w:sz="4" w:space="0" w:color="A6A6A6"/>
                  <w:right w:val="single" w:sz="4" w:space="0" w:color="A6A6A6"/>
                </w:tcBorders>
                <w:shd w:val="clear" w:color="auto" w:fill="auto"/>
                <w:noWrap/>
                <w:vAlign w:val="center"/>
                <w:hideMark/>
              </w:tcPr>
              <w:p w14:paraId="4B4DF64B" w14:textId="4E59E81F" w:rsidR="00B05FED" w:rsidRPr="009A46BB" w:rsidRDefault="00B05FED" w:rsidP="00135068">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  -   </w:t>
                </w:r>
              </w:p>
            </w:tc>
            <w:tc>
              <w:tcPr>
                <w:tcW w:w="712" w:type="pct"/>
                <w:tcBorders>
                  <w:top w:val="nil"/>
                  <w:left w:val="nil"/>
                  <w:bottom w:val="single" w:sz="4" w:space="0" w:color="A6A6A6"/>
                  <w:right w:val="single" w:sz="4" w:space="0" w:color="A6A6A6"/>
                </w:tcBorders>
                <w:shd w:val="clear" w:color="auto" w:fill="auto"/>
                <w:noWrap/>
                <w:vAlign w:val="center"/>
                <w:hideMark/>
              </w:tcPr>
              <w:p w14:paraId="08EE807A" w14:textId="06AEFBEA" w:rsidR="00B05FED" w:rsidRPr="009A46BB" w:rsidRDefault="00B05FED" w:rsidP="00135068">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   -   </w:t>
                </w:r>
              </w:p>
            </w:tc>
            <w:tc>
              <w:tcPr>
                <w:tcW w:w="743" w:type="pct"/>
                <w:tcBorders>
                  <w:top w:val="nil"/>
                  <w:left w:val="nil"/>
                  <w:bottom w:val="single" w:sz="4" w:space="0" w:color="A6A6A6"/>
                  <w:right w:val="single" w:sz="4" w:space="0" w:color="A6A6A6"/>
                </w:tcBorders>
                <w:shd w:val="clear" w:color="auto" w:fill="auto"/>
                <w:noWrap/>
                <w:vAlign w:val="center"/>
                <w:hideMark/>
              </w:tcPr>
              <w:p w14:paraId="40C38B02" w14:textId="0153CF71" w:rsidR="00B05FED" w:rsidRPr="009A46BB" w:rsidRDefault="00B05FED" w:rsidP="00135068">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   </w:t>
                </w:r>
              </w:p>
            </w:tc>
            <w:tc>
              <w:tcPr>
                <w:tcW w:w="703" w:type="pct"/>
                <w:tcBorders>
                  <w:top w:val="nil"/>
                  <w:left w:val="nil"/>
                  <w:bottom w:val="single" w:sz="4" w:space="0" w:color="A6A6A6"/>
                  <w:right w:val="single" w:sz="4" w:space="0" w:color="A6A6A6"/>
                </w:tcBorders>
                <w:shd w:val="clear" w:color="auto" w:fill="auto"/>
                <w:noWrap/>
                <w:vAlign w:val="center"/>
                <w:hideMark/>
              </w:tcPr>
              <w:p w14:paraId="28B89888" w14:textId="362152C3" w:rsidR="00B05FED" w:rsidRPr="009A46BB" w:rsidRDefault="00B05FED" w:rsidP="00135068">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   </w:t>
                </w:r>
              </w:p>
            </w:tc>
          </w:tr>
        </w:tbl>
        <w:p w14:paraId="64D68575" w14:textId="18296459" w:rsidR="002017B0" w:rsidRPr="00931DCE" w:rsidRDefault="00AD2026" w:rsidP="00500BB1">
          <w:pPr>
            <w:spacing w:after="0" w:line="240" w:lineRule="auto"/>
            <w:jc w:val="both"/>
            <w:rPr>
              <w:rFonts w:ascii="Times New Roman" w:eastAsia="Times New Roman" w:hAnsi="Times New Roman"/>
              <w:color w:val="000000"/>
              <w:sz w:val="14"/>
              <w:szCs w:val="14"/>
              <w:lang w:eastAsia="es-CO"/>
            </w:rPr>
          </w:pPr>
          <w:r w:rsidRPr="00931DCE">
            <w:rPr>
              <w:rFonts w:ascii="Times New Roman" w:eastAsia="Times New Roman" w:hAnsi="Times New Roman"/>
              <w:color w:val="000000"/>
              <w:sz w:val="14"/>
              <w:szCs w:val="14"/>
              <w:lang w:eastAsia="es-CO"/>
            </w:rPr>
            <w:t>Cifras expresadas en pesos</w:t>
          </w:r>
        </w:p>
        <w:p w14:paraId="60F85555" w14:textId="77777777" w:rsidR="008A36B1" w:rsidRPr="00931DCE" w:rsidRDefault="008A36B1" w:rsidP="00500BB1">
          <w:pPr>
            <w:spacing w:after="0" w:line="240" w:lineRule="auto"/>
            <w:jc w:val="both"/>
            <w:rPr>
              <w:rFonts w:ascii="Times New Roman" w:eastAsia="Times New Roman" w:hAnsi="Times New Roman"/>
              <w:color w:val="000000"/>
              <w:sz w:val="14"/>
              <w:szCs w:val="14"/>
              <w:lang w:eastAsia="es-CO"/>
            </w:rPr>
          </w:pPr>
        </w:p>
        <w:p w14:paraId="563C6F36" w14:textId="77777777" w:rsidR="00833B76" w:rsidRPr="00931DCE" w:rsidRDefault="00833B76" w:rsidP="00500BB1">
          <w:pPr>
            <w:spacing w:after="0" w:line="240" w:lineRule="auto"/>
            <w:jc w:val="both"/>
            <w:rPr>
              <w:rFonts w:ascii="Times New Roman" w:eastAsia="Times New Roman" w:hAnsi="Times New Roman"/>
              <w:color w:val="000000"/>
              <w:sz w:val="14"/>
              <w:szCs w:val="14"/>
              <w:lang w:eastAsia="es-CO"/>
            </w:rPr>
          </w:pPr>
        </w:p>
        <w:p w14:paraId="4BCE3202" w14:textId="1A204B98" w:rsidR="002017B0" w:rsidRPr="00931DCE" w:rsidRDefault="002017B0" w:rsidP="00500BB1">
          <w:pPr>
            <w:spacing w:after="0" w:line="240" w:lineRule="auto"/>
            <w:jc w:val="both"/>
            <w:rPr>
              <w:rFonts w:ascii="Times New Roman" w:hAnsi="Times New Roman"/>
              <w:sz w:val="24"/>
              <w:szCs w:val="24"/>
            </w:rPr>
          </w:pPr>
          <w:r w:rsidRPr="00931DCE">
            <w:rPr>
              <w:rFonts w:ascii="Times New Roman" w:hAnsi="Times New Roman"/>
              <w:sz w:val="24"/>
              <w:szCs w:val="24"/>
            </w:rPr>
            <w:t>El método de amortización utilizado para los activos de uso administrativo es el método lineal, el cual se aplica</w:t>
          </w:r>
          <w:r w:rsidR="00833B76" w:rsidRPr="00931DCE">
            <w:rPr>
              <w:rFonts w:ascii="Times New Roman" w:hAnsi="Times New Roman"/>
              <w:sz w:val="24"/>
              <w:szCs w:val="24"/>
            </w:rPr>
            <w:t xml:space="preserve"> de manera</w:t>
          </w:r>
          <w:r w:rsidRPr="00931DCE">
            <w:rPr>
              <w:rFonts w:ascii="Times New Roman" w:hAnsi="Times New Roman"/>
              <w:sz w:val="24"/>
              <w:szCs w:val="24"/>
            </w:rPr>
            <w:t xml:space="preserve"> uniformemente en todos los periodos de vida útil del activo; la vida útil se determina en función del tiempo durante el cual la entidad espera utilizar el activo.</w:t>
          </w:r>
        </w:p>
        <w:p w14:paraId="70CF24EB" w14:textId="77777777" w:rsidR="002017B0" w:rsidRPr="00931DCE" w:rsidRDefault="002017B0" w:rsidP="002017B0">
          <w:pPr>
            <w:spacing w:after="0" w:line="240" w:lineRule="auto"/>
            <w:jc w:val="both"/>
            <w:rPr>
              <w:rFonts w:ascii="Times New Roman" w:hAnsi="Times New Roman"/>
              <w:sz w:val="24"/>
              <w:szCs w:val="24"/>
            </w:rPr>
          </w:pPr>
        </w:p>
        <w:tbl>
          <w:tblPr>
            <w:tblW w:w="4278"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ook w:val="0000" w:firstRow="0" w:lastRow="0" w:firstColumn="0" w:lastColumn="0" w:noHBand="0" w:noVBand="0"/>
          </w:tblPr>
          <w:tblGrid>
            <w:gridCol w:w="4185"/>
            <w:gridCol w:w="1750"/>
            <w:gridCol w:w="1739"/>
          </w:tblGrid>
          <w:tr w:rsidR="002017B0" w:rsidRPr="00931DCE" w14:paraId="2913AC47" w14:textId="77777777" w:rsidTr="0048240D">
            <w:trPr>
              <w:trHeight w:val="200"/>
              <w:jc w:val="center"/>
            </w:trPr>
            <w:tc>
              <w:tcPr>
                <w:tcW w:w="2727" w:type="pct"/>
                <w:vAlign w:val="center"/>
              </w:tcPr>
              <w:p w14:paraId="406146E6" w14:textId="77777777" w:rsidR="002017B0" w:rsidRPr="00732706" w:rsidRDefault="002017B0" w:rsidP="00FC76D7">
                <w:pPr>
                  <w:pStyle w:val="Default"/>
                  <w:rPr>
                    <w:rFonts w:ascii="Times New Roman" w:hAnsi="Times New Roman" w:cs="Times New Roman"/>
                    <w:sz w:val="18"/>
                    <w:szCs w:val="18"/>
                  </w:rPr>
                </w:pPr>
                <w:r w:rsidRPr="00732706">
                  <w:rPr>
                    <w:rFonts w:ascii="Times New Roman" w:hAnsi="Times New Roman" w:cs="Times New Roman"/>
                    <w:b/>
                    <w:sz w:val="18"/>
                    <w:szCs w:val="18"/>
                  </w:rPr>
                  <w:t>DESCRIPCIÓN DE LOS ACTIVOS INTANGIBLES</w:t>
                </w:r>
              </w:p>
            </w:tc>
            <w:tc>
              <w:tcPr>
                <w:tcW w:w="2273" w:type="pct"/>
                <w:gridSpan w:val="2"/>
                <w:vAlign w:val="center"/>
              </w:tcPr>
              <w:p w14:paraId="6EE9CD07" w14:textId="77777777" w:rsidR="002017B0" w:rsidRPr="00732706" w:rsidRDefault="002017B0" w:rsidP="00FC76D7">
                <w:pPr>
                  <w:pStyle w:val="Default"/>
                  <w:jc w:val="center"/>
                  <w:rPr>
                    <w:rFonts w:ascii="Times New Roman" w:hAnsi="Times New Roman" w:cs="Times New Roman"/>
                    <w:b/>
                    <w:sz w:val="18"/>
                    <w:szCs w:val="18"/>
                  </w:rPr>
                </w:pPr>
                <w:r w:rsidRPr="00732706">
                  <w:rPr>
                    <w:rFonts w:ascii="Times New Roman" w:hAnsi="Times New Roman" w:cs="Times New Roman"/>
                    <w:b/>
                    <w:sz w:val="18"/>
                    <w:szCs w:val="18"/>
                  </w:rPr>
                  <w:t>AÑOS DE VIDA ÚTIL</w:t>
                </w:r>
              </w:p>
              <w:p w14:paraId="1A6B7FD4" w14:textId="77777777" w:rsidR="002017B0" w:rsidRPr="00732706" w:rsidRDefault="002017B0" w:rsidP="00FC76D7">
                <w:pPr>
                  <w:pStyle w:val="Default"/>
                  <w:jc w:val="center"/>
                  <w:rPr>
                    <w:rFonts w:ascii="Times New Roman" w:hAnsi="Times New Roman" w:cs="Times New Roman"/>
                    <w:sz w:val="18"/>
                    <w:szCs w:val="18"/>
                  </w:rPr>
                </w:pPr>
                <w:r w:rsidRPr="00732706">
                  <w:rPr>
                    <w:rFonts w:ascii="Times New Roman" w:hAnsi="Times New Roman" w:cs="Times New Roman"/>
                    <w:b/>
                    <w:sz w:val="18"/>
                    <w:szCs w:val="18"/>
                  </w:rPr>
                  <w:t>(Depreciación línea recta)</w:t>
                </w:r>
              </w:p>
            </w:tc>
          </w:tr>
          <w:tr w:rsidR="002017B0" w:rsidRPr="00931DCE" w14:paraId="58654517" w14:textId="77777777" w:rsidTr="0048240D">
            <w:trPr>
              <w:trHeight w:val="90"/>
              <w:jc w:val="center"/>
            </w:trPr>
            <w:tc>
              <w:tcPr>
                <w:tcW w:w="2727" w:type="pct"/>
                <w:vAlign w:val="center"/>
              </w:tcPr>
              <w:p w14:paraId="72C4E579" w14:textId="77777777" w:rsidR="002017B0" w:rsidRPr="00732706" w:rsidRDefault="002017B0" w:rsidP="00FC76D7">
                <w:pPr>
                  <w:pStyle w:val="Default"/>
                  <w:rPr>
                    <w:rFonts w:ascii="Times New Roman" w:hAnsi="Times New Roman" w:cs="Times New Roman"/>
                    <w:sz w:val="18"/>
                    <w:szCs w:val="18"/>
                  </w:rPr>
                </w:pPr>
                <w:r w:rsidRPr="00732706">
                  <w:rPr>
                    <w:rFonts w:ascii="Times New Roman" w:hAnsi="Times New Roman" w:cs="Times New Roman"/>
                    <w:b/>
                    <w:sz w:val="18"/>
                    <w:szCs w:val="18"/>
                  </w:rPr>
                  <w:t>CONCEPTOS</w:t>
                </w:r>
              </w:p>
            </w:tc>
            <w:tc>
              <w:tcPr>
                <w:tcW w:w="1140" w:type="pct"/>
                <w:vAlign w:val="center"/>
              </w:tcPr>
              <w:p w14:paraId="06A45051" w14:textId="77777777" w:rsidR="002017B0" w:rsidRPr="00732706" w:rsidRDefault="002017B0" w:rsidP="00FC76D7">
                <w:pPr>
                  <w:pStyle w:val="Default"/>
                  <w:jc w:val="center"/>
                  <w:rPr>
                    <w:rFonts w:ascii="Times New Roman" w:hAnsi="Times New Roman" w:cs="Times New Roman"/>
                    <w:sz w:val="18"/>
                    <w:szCs w:val="18"/>
                  </w:rPr>
                </w:pPr>
                <w:r w:rsidRPr="00732706">
                  <w:rPr>
                    <w:rFonts w:ascii="Times New Roman" w:hAnsi="Times New Roman" w:cs="Times New Roman"/>
                    <w:b/>
                    <w:sz w:val="18"/>
                    <w:szCs w:val="18"/>
                  </w:rPr>
                  <w:t>MÍNIMO</w:t>
                </w:r>
              </w:p>
            </w:tc>
            <w:tc>
              <w:tcPr>
                <w:tcW w:w="1133" w:type="pct"/>
                <w:vAlign w:val="center"/>
              </w:tcPr>
              <w:p w14:paraId="68A9E28E" w14:textId="77777777" w:rsidR="002017B0" w:rsidRPr="00732706" w:rsidRDefault="002017B0" w:rsidP="00FC76D7">
                <w:pPr>
                  <w:pStyle w:val="Default"/>
                  <w:jc w:val="center"/>
                  <w:rPr>
                    <w:rFonts w:ascii="Times New Roman" w:hAnsi="Times New Roman" w:cs="Times New Roman"/>
                    <w:sz w:val="18"/>
                    <w:szCs w:val="18"/>
                  </w:rPr>
                </w:pPr>
                <w:r w:rsidRPr="00732706">
                  <w:rPr>
                    <w:rFonts w:ascii="Times New Roman" w:hAnsi="Times New Roman" w:cs="Times New Roman"/>
                    <w:b/>
                    <w:sz w:val="18"/>
                    <w:szCs w:val="18"/>
                  </w:rPr>
                  <w:t>MÁXIMO</w:t>
                </w:r>
              </w:p>
            </w:tc>
          </w:tr>
          <w:tr w:rsidR="002017B0" w:rsidRPr="00931DCE" w14:paraId="390F344A" w14:textId="77777777" w:rsidTr="0048240D">
            <w:trPr>
              <w:trHeight w:val="90"/>
              <w:jc w:val="center"/>
            </w:trPr>
            <w:tc>
              <w:tcPr>
                <w:tcW w:w="2727" w:type="pct"/>
                <w:vAlign w:val="center"/>
              </w:tcPr>
              <w:p w14:paraId="40186596" w14:textId="77777777" w:rsidR="002017B0" w:rsidRPr="00732706" w:rsidRDefault="002017B0" w:rsidP="00FC76D7">
                <w:pPr>
                  <w:pStyle w:val="Default"/>
                  <w:rPr>
                    <w:rFonts w:ascii="Times New Roman" w:hAnsi="Times New Roman" w:cs="Times New Roman"/>
                    <w:sz w:val="18"/>
                    <w:szCs w:val="18"/>
                  </w:rPr>
                </w:pPr>
                <w:r w:rsidRPr="00732706">
                  <w:rPr>
                    <w:rFonts w:ascii="Times New Roman" w:hAnsi="Times New Roman" w:cs="Times New Roman"/>
                    <w:sz w:val="18"/>
                    <w:szCs w:val="18"/>
                  </w:rPr>
                  <w:t>Software aura portal</w:t>
                </w:r>
              </w:p>
            </w:tc>
            <w:tc>
              <w:tcPr>
                <w:tcW w:w="1140" w:type="pct"/>
                <w:vAlign w:val="center"/>
              </w:tcPr>
              <w:p w14:paraId="02FE0A5B" w14:textId="77777777" w:rsidR="002017B0" w:rsidRPr="00732706" w:rsidRDefault="002017B0" w:rsidP="00FC76D7">
                <w:pPr>
                  <w:pStyle w:val="Default"/>
                  <w:jc w:val="center"/>
                  <w:rPr>
                    <w:rFonts w:ascii="Times New Roman" w:hAnsi="Times New Roman" w:cs="Times New Roman"/>
                    <w:sz w:val="18"/>
                    <w:szCs w:val="18"/>
                  </w:rPr>
                </w:pPr>
                <w:r w:rsidRPr="00732706">
                  <w:rPr>
                    <w:rFonts w:ascii="Times New Roman" w:hAnsi="Times New Roman" w:cs="Times New Roman"/>
                    <w:sz w:val="18"/>
                    <w:szCs w:val="18"/>
                  </w:rPr>
                  <w:t>1</w:t>
                </w:r>
              </w:p>
            </w:tc>
            <w:tc>
              <w:tcPr>
                <w:tcW w:w="1133" w:type="pct"/>
                <w:vAlign w:val="center"/>
              </w:tcPr>
              <w:p w14:paraId="66DFF6E2" w14:textId="77777777" w:rsidR="002017B0" w:rsidRPr="00732706" w:rsidRDefault="002017B0" w:rsidP="00FC76D7">
                <w:pPr>
                  <w:pStyle w:val="Default"/>
                  <w:jc w:val="center"/>
                  <w:rPr>
                    <w:rFonts w:ascii="Times New Roman" w:hAnsi="Times New Roman" w:cs="Times New Roman"/>
                    <w:sz w:val="18"/>
                    <w:szCs w:val="18"/>
                  </w:rPr>
                </w:pPr>
                <w:r w:rsidRPr="00732706">
                  <w:rPr>
                    <w:rFonts w:ascii="Times New Roman" w:hAnsi="Times New Roman" w:cs="Times New Roman"/>
                    <w:sz w:val="18"/>
                    <w:szCs w:val="18"/>
                  </w:rPr>
                  <w:t>5</w:t>
                </w:r>
              </w:p>
            </w:tc>
          </w:tr>
          <w:tr w:rsidR="002017B0" w:rsidRPr="00931DCE" w14:paraId="07121626" w14:textId="77777777" w:rsidTr="0048240D">
            <w:trPr>
              <w:trHeight w:val="90"/>
              <w:jc w:val="center"/>
            </w:trPr>
            <w:tc>
              <w:tcPr>
                <w:tcW w:w="2727" w:type="pct"/>
                <w:vAlign w:val="center"/>
              </w:tcPr>
              <w:p w14:paraId="1755D2DA" w14:textId="689C18C7" w:rsidR="002017B0" w:rsidRPr="00732706" w:rsidRDefault="002017B0" w:rsidP="005C548C">
                <w:pPr>
                  <w:pStyle w:val="Default"/>
                  <w:rPr>
                    <w:rFonts w:ascii="Times New Roman" w:hAnsi="Times New Roman" w:cs="Times New Roman"/>
                    <w:sz w:val="18"/>
                    <w:szCs w:val="18"/>
                  </w:rPr>
                </w:pPr>
                <w:r w:rsidRPr="00732706">
                  <w:rPr>
                    <w:rFonts w:ascii="Times New Roman" w:hAnsi="Times New Roman" w:cs="Times New Roman"/>
                    <w:sz w:val="18"/>
                    <w:szCs w:val="18"/>
                  </w:rPr>
                  <w:t>Lic</w:t>
                </w:r>
                <w:r>
                  <w:rPr>
                    <w:rFonts w:ascii="Times New Roman" w:hAnsi="Times New Roman" w:cs="Times New Roman"/>
                    <w:sz w:val="18"/>
                    <w:szCs w:val="18"/>
                  </w:rPr>
                  <w:t>e</w:t>
                </w:r>
                <w:r w:rsidRPr="00732706">
                  <w:rPr>
                    <w:rFonts w:ascii="Times New Roman" w:hAnsi="Times New Roman" w:cs="Times New Roman"/>
                    <w:sz w:val="18"/>
                    <w:szCs w:val="18"/>
                  </w:rPr>
                  <w:t>ncias</w:t>
                </w:r>
              </w:p>
            </w:tc>
            <w:tc>
              <w:tcPr>
                <w:tcW w:w="1140" w:type="pct"/>
                <w:vAlign w:val="center"/>
              </w:tcPr>
              <w:p w14:paraId="5286B21C" w14:textId="77777777" w:rsidR="002017B0" w:rsidRPr="00732706" w:rsidRDefault="002017B0" w:rsidP="005C548C">
                <w:pPr>
                  <w:pStyle w:val="Default"/>
                  <w:jc w:val="center"/>
                  <w:rPr>
                    <w:rFonts w:ascii="Times New Roman" w:hAnsi="Times New Roman" w:cs="Times New Roman"/>
                    <w:sz w:val="18"/>
                    <w:szCs w:val="18"/>
                  </w:rPr>
                </w:pPr>
                <w:r w:rsidRPr="00732706">
                  <w:rPr>
                    <w:rFonts w:ascii="Times New Roman" w:hAnsi="Times New Roman" w:cs="Times New Roman"/>
                    <w:sz w:val="18"/>
                    <w:szCs w:val="18"/>
                  </w:rPr>
                  <w:t>1</w:t>
                </w:r>
              </w:p>
            </w:tc>
            <w:tc>
              <w:tcPr>
                <w:tcW w:w="1133" w:type="pct"/>
                <w:vAlign w:val="center"/>
              </w:tcPr>
              <w:p w14:paraId="146BCFDD" w14:textId="560C7445" w:rsidR="002017B0" w:rsidRPr="00732706" w:rsidRDefault="002017B0" w:rsidP="00FC76D7">
                <w:pPr>
                  <w:pStyle w:val="Default"/>
                  <w:jc w:val="center"/>
                  <w:rPr>
                    <w:rFonts w:ascii="Times New Roman" w:hAnsi="Times New Roman" w:cs="Times New Roman"/>
                    <w:sz w:val="18"/>
                    <w:szCs w:val="18"/>
                  </w:rPr>
                </w:pPr>
                <w:r w:rsidRPr="00732706">
                  <w:rPr>
                    <w:rFonts w:ascii="Times New Roman" w:hAnsi="Times New Roman" w:cs="Times New Roman"/>
                    <w:sz w:val="18"/>
                    <w:szCs w:val="18"/>
                  </w:rPr>
                  <w:t>1</w:t>
                </w:r>
              </w:p>
            </w:tc>
          </w:tr>
        </w:tbl>
        <w:p w14:paraId="58D9C26B" w14:textId="77777777" w:rsidR="00500BB1" w:rsidRPr="00931DCE" w:rsidRDefault="00500BB1" w:rsidP="00500BB1">
          <w:pPr>
            <w:spacing w:after="0" w:line="240" w:lineRule="auto"/>
            <w:jc w:val="both"/>
            <w:rPr>
              <w:rFonts w:ascii="Times New Roman" w:hAnsi="Times New Roman"/>
              <w:sz w:val="24"/>
              <w:szCs w:val="24"/>
            </w:rPr>
          </w:pPr>
        </w:p>
        <w:p w14:paraId="7CCB379C" w14:textId="35047A02" w:rsidR="002017B0" w:rsidRPr="00931DCE" w:rsidRDefault="00500BB1" w:rsidP="00500BB1">
          <w:pPr>
            <w:spacing w:after="0" w:line="240" w:lineRule="auto"/>
            <w:jc w:val="both"/>
            <w:rPr>
              <w:rFonts w:ascii="Times New Roman" w:hAnsi="Times New Roman"/>
              <w:sz w:val="24"/>
              <w:szCs w:val="24"/>
            </w:rPr>
          </w:pPr>
          <w:r w:rsidRPr="00931DCE">
            <w:rPr>
              <w:rFonts w:ascii="Times New Roman" w:hAnsi="Times New Roman"/>
              <w:sz w:val="24"/>
              <w:szCs w:val="24"/>
            </w:rPr>
            <w:t>L</w:t>
          </w:r>
          <w:r w:rsidR="002017B0" w:rsidRPr="00931DCE">
            <w:rPr>
              <w:rFonts w:ascii="Times New Roman" w:hAnsi="Times New Roman"/>
              <w:sz w:val="24"/>
              <w:szCs w:val="24"/>
            </w:rPr>
            <w:t>a Agencia no presento cambios en la estimación de la vida útil durante el período ni de los métodos de amortización, además, teniendo en cuenta las condiciones económicas y el comportamiento histórico de renovación de los intangibles de la entidad, el valor residual es igual a cero ($0).</w:t>
          </w:r>
        </w:p>
        <w:p w14:paraId="07C9713A" w14:textId="77777777" w:rsidR="00500BB1" w:rsidRPr="00931DCE" w:rsidRDefault="00500BB1" w:rsidP="00500BB1">
          <w:pPr>
            <w:spacing w:after="0" w:line="240" w:lineRule="auto"/>
            <w:jc w:val="both"/>
            <w:rPr>
              <w:rFonts w:ascii="Times New Roman" w:hAnsi="Times New Roman"/>
              <w:sz w:val="24"/>
              <w:szCs w:val="24"/>
            </w:rPr>
          </w:pPr>
        </w:p>
        <w:p w14:paraId="1B215A74" w14:textId="13DBC92E" w:rsidR="002017B0" w:rsidRPr="00931DCE" w:rsidRDefault="002017B0" w:rsidP="00500BB1">
          <w:pPr>
            <w:spacing w:after="0" w:line="240" w:lineRule="auto"/>
            <w:jc w:val="both"/>
            <w:rPr>
              <w:rFonts w:ascii="Times New Roman" w:hAnsi="Times New Roman"/>
              <w:sz w:val="24"/>
              <w:szCs w:val="24"/>
            </w:rPr>
          </w:pPr>
          <w:r w:rsidRPr="00931DCE">
            <w:rPr>
              <w:rFonts w:ascii="Times New Roman" w:hAnsi="Times New Roman"/>
              <w:sz w:val="24"/>
              <w:szCs w:val="24"/>
              <w:u w:val="single"/>
            </w:rPr>
            <w:t>En cuanto a la amortización de los activos intangibles asociados a los acuerdos de concesión</w:t>
          </w:r>
          <w:r w:rsidRPr="00931DCE">
            <w:rPr>
              <w:rFonts w:ascii="Times New Roman" w:hAnsi="Times New Roman"/>
              <w:sz w:val="24"/>
              <w:szCs w:val="24"/>
            </w:rPr>
            <w:t xml:space="preserve"> de los modos de transporte carretero y portuario, la Agencia está adelantando los análisis y estudios respectivos para la determinación de las vidas útiles de dichos activos, actividad que de acuerdo con el plan de trabajo suscrito con la Contaduría General de la Nación en cumplimiento al plazo otorgado a la Agencia por la Contaduría General de la Nación en el Artículo 7°- transitorio de la Resolución No. 602 de 2018, modificada por la Resolución CGN No. 228 de </w:t>
          </w:r>
          <w:r w:rsidR="00EF6E05" w:rsidRPr="00931DCE">
            <w:rPr>
              <w:rFonts w:ascii="Times New Roman" w:hAnsi="Times New Roman"/>
              <w:sz w:val="24"/>
              <w:szCs w:val="24"/>
            </w:rPr>
            <w:t>202</w:t>
          </w:r>
          <w:r w:rsidR="0079751B">
            <w:rPr>
              <w:rFonts w:ascii="Times New Roman" w:hAnsi="Times New Roman"/>
              <w:sz w:val="24"/>
              <w:szCs w:val="24"/>
            </w:rPr>
            <w:t>1</w:t>
          </w:r>
          <w:r w:rsidRPr="00931DCE">
            <w:rPr>
              <w:rFonts w:ascii="Times New Roman" w:hAnsi="Times New Roman"/>
              <w:sz w:val="24"/>
              <w:szCs w:val="24"/>
            </w:rPr>
            <w:t>.</w:t>
          </w:r>
        </w:p>
        <w:p w14:paraId="4341BA70" w14:textId="77777777" w:rsidR="00500BB1" w:rsidRPr="00931DCE" w:rsidRDefault="00500BB1" w:rsidP="00500BB1">
          <w:pPr>
            <w:spacing w:after="0" w:line="240" w:lineRule="auto"/>
            <w:jc w:val="both"/>
            <w:rPr>
              <w:rFonts w:ascii="Times New Roman" w:hAnsi="Times New Roman"/>
              <w:sz w:val="24"/>
              <w:szCs w:val="24"/>
            </w:rPr>
          </w:pPr>
        </w:p>
        <w:p w14:paraId="6997D480" w14:textId="79DDAF53" w:rsidR="002017B0" w:rsidRPr="00931DCE" w:rsidRDefault="002017B0" w:rsidP="00500BB1">
          <w:pPr>
            <w:spacing w:after="0" w:line="240" w:lineRule="auto"/>
            <w:jc w:val="both"/>
            <w:rPr>
              <w:rFonts w:ascii="Times New Roman" w:hAnsi="Times New Roman"/>
              <w:sz w:val="24"/>
              <w:szCs w:val="24"/>
            </w:rPr>
          </w:pPr>
          <w:r w:rsidRPr="00931DCE">
            <w:rPr>
              <w:rFonts w:ascii="Times New Roman" w:hAnsi="Times New Roman"/>
              <w:sz w:val="24"/>
              <w:szCs w:val="24"/>
            </w:rPr>
            <w:t xml:space="preserve">No obstante, al cierre del periodo se aplicaron las evaluaciones (Test) de deterioro </w:t>
          </w:r>
          <w:r w:rsidR="00BD6D98" w:rsidRPr="00931DCE">
            <w:rPr>
              <w:rFonts w:ascii="Times New Roman" w:hAnsi="Times New Roman"/>
              <w:sz w:val="24"/>
              <w:szCs w:val="24"/>
            </w:rPr>
            <w:t xml:space="preserve">de valor </w:t>
          </w:r>
          <w:r w:rsidRPr="00931DCE">
            <w:rPr>
              <w:rFonts w:ascii="Times New Roman" w:hAnsi="Times New Roman"/>
              <w:sz w:val="24"/>
              <w:szCs w:val="24"/>
            </w:rPr>
            <w:t xml:space="preserve">de los activos </w:t>
          </w:r>
          <w:r w:rsidR="002C6124" w:rsidRPr="00931DCE">
            <w:rPr>
              <w:rFonts w:ascii="Times New Roman" w:hAnsi="Times New Roman"/>
              <w:sz w:val="24"/>
              <w:szCs w:val="24"/>
            </w:rPr>
            <w:t>no generadores de efectivo</w:t>
          </w:r>
          <w:r w:rsidRPr="00931DCE">
            <w:rPr>
              <w:rFonts w:ascii="Times New Roman" w:hAnsi="Times New Roman"/>
              <w:sz w:val="24"/>
              <w:szCs w:val="24"/>
            </w:rPr>
            <w:t xml:space="preserve"> asociados a los acuerdos de concesión, los cuales no arrojaron indicios que debieran ser reconocidos en los estados financieros. En el mismo sentido, no se realizaron bajas con afectación en el resultado del período.</w:t>
          </w:r>
        </w:p>
        <w:p w14:paraId="13D3726A" w14:textId="77777777" w:rsidR="00500BB1" w:rsidRPr="00931DCE" w:rsidRDefault="00500BB1" w:rsidP="00500BB1">
          <w:pPr>
            <w:spacing w:after="0" w:line="240" w:lineRule="auto"/>
            <w:jc w:val="both"/>
            <w:rPr>
              <w:rFonts w:ascii="Times New Roman" w:hAnsi="Times New Roman"/>
              <w:sz w:val="24"/>
              <w:szCs w:val="24"/>
            </w:rPr>
          </w:pPr>
        </w:p>
        <w:p w14:paraId="00C033D5" w14:textId="57B04233" w:rsidR="002017B0" w:rsidRPr="00931DCE" w:rsidRDefault="002017B0" w:rsidP="00500BB1">
          <w:pPr>
            <w:spacing w:after="0" w:line="240" w:lineRule="auto"/>
            <w:jc w:val="both"/>
            <w:rPr>
              <w:rFonts w:ascii="Times New Roman" w:eastAsia="Times New Roman" w:hAnsi="Times New Roman"/>
              <w:sz w:val="24"/>
              <w:szCs w:val="24"/>
              <w:lang w:eastAsia="es-CO"/>
            </w:rPr>
          </w:pPr>
          <w:r w:rsidRPr="00931DCE">
            <w:rPr>
              <w:rFonts w:ascii="Times New Roman" w:hAnsi="Times New Roman"/>
              <w:sz w:val="24"/>
              <w:szCs w:val="24"/>
            </w:rPr>
            <w:t xml:space="preserve">La amortización registrada en la subcuenta “Activos intangibles en concesión”, corresponde a la red férrea, de los cuales </w:t>
          </w:r>
          <w:r w:rsidRPr="00931DCE">
            <w:rPr>
              <w:rFonts w:ascii="Times New Roman" w:eastAsia="Times New Roman" w:hAnsi="Times New Roman"/>
              <w:sz w:val="24"/>
              <w:szCs w:val="24"/>
              <w:lang w:eastAsia="es-CO"/>
            </w:rPr>
            <w:t>$</w:t>
          </w:r>
          <w:r w:rsidR="00BC780C">
            <w:rPr>
              <w:rFonts w:ascii="Times New Roman" w:eastAsia="Times New Roman" w:hAnsi="Times New Roman"/>
              <w:sz w:val="24"/>
              <w:szCs w:val="24"/>
              <w:lang w:eastAsia="es-CO"/>
            </w:rPr>
            <w:t>48.415.632.000</w:t>
          </w:r>
          <w:r w:rsidRPr="00931DCE">
            <w:rPr>
              <w:rFonts w:ascii="Times New Roman" w:eastAsia="Times New Roman" w:hAnsi="Times New Roman"/>
              <w:sz w:val="24"/>
              <w:szCs w:val="24"/>
              <w:lang w:eastAsia="es-CO"/>
            </w:rPr>
            <w:t xml:space="preserve"> afectaron</w:t>
          </w:r>
          <w:r w:rsidRPr="00931DCE">
            <w:rPr>
              <w:rFonts w:ascii="Times New Roman" w:eastAsia="Times New Roman" w:hAnsi="Times New Roman"/>
              <w:color w:val="000000"/>
              <w:sz w:val="24"/>
              <w:szCs w:val="24"/>
              <w:lang w:eastAsia="es-CO"/>
            </w:rPr>
            <w:t xml:space="preserve"> al</w:t>
          </w:r>
          <w:r w:rsidRPr="00931DCE">
            <w:rPr>
              <w:rFonts w:ascii="Times New Roman" w:eastAsia="Times New Roman" w:hAnsi="Times New Roman"/>
              <w:sz w:val="24"/>
              <w:szCs w:val="24"/>
              <w:lang w:eastAsia="es-CO"/>
            </w:rPr>
            <w:t xml:space="preserve"> resultado del periodo.</w:t>
          </w:r>
        </w:p>
        <w:p w14:paraId="713C1CF5" w14:textId="77777777" w:rsidR="00A529AD" w:rsidRPr="00931DCE" w:rsidRDefault="00A529AD" w:rsidP="00500BB1">
          <w:pPr>
            <w:spacing w:after="0" w:line="240" w:lineRule="auto"/>
            <w:jc w:val="both"/>
            <w:rPr>
              <w:rFonts w:ascii="Times New Roman" w:eastAsia="Times New Roman" w:hAnsi="Times New Roman"/>
              <w:sz w:val="24"/>
              <w:szCs w:val="24"/>
              <w:lang w:eastAsia="es-CO"/>
            </w:rPr>
          </w:pPr>
        </w:p>
        <w:p w14:paraId="1FAB9C8D" w14:textId="77777777" w:rsidR="00767E48" w:rsidRPr="00931DCE" w:rsidRDefault="002017B0" w:rsidP="002017B0">
          <w:pPr>
            <w:spacing w:after="0" w:line="240" w:lineRule="auto"/>
            <w:jc w:val="both"/>
            <w:rPr>
              <w:rFonts w:ascii="Times New Roman" w:hAnsi="Times New Roman"/>
              <w:sz w:val="24"/>
              <w:szCs w:val="24"/>
            </w:rPr>
          </w:pPr>
          <w:r w:rsidRPr="00931DCE">
            <w:rPr>
              <w:rFonts w:ascii="Times New Roman" w:hAnsi="Times New Roman"/>
              <w:sz w:val="24"/>
              <w:szCs w:val="24"/>
            </w:rPr>
            <w:t>Las vidas útiles y los métodos de amortización utilizados, corresponden a los descritos en la “</w:t>
          </w:r>
          <w:r w:rsidRPr="00931DCE">
            <w:rPr>
              <w:rFonts w:ascii="Times New Roman" w:hAnsi="Times New Roman"/>
              <w:i/>
              <w:iCs/>
              <w:sz w:val="24"/>
              <w:szCs w:val="24"/>
            </w:rPr>
            <w:t>Metodología para la obtención de la información de bienes de uso público y propiedad planta y equipo en el modo férreo según el Nuevo Marco Normativo para entidades de Gobierno</w:t>
          </w:r>
          <w:r w:rsidRPr="00931DCE">
            <w:rPr>
              <w:rFonts w:ascii="Times New Roman" w:hAnsi="Times New Roman"/>
              <w:sz w:val="24"/>
              <w:szCs w:val="24"/>
            </w:rPr>
            <w:t xml:space="preserve">”. </w:t>
          </w:r>
        </w:p>
        <w:p w14:paraId="78317574" w14:textId="77777777" w:rsidR="00F52CBD" w:rsidRDefault="00F52CBD" w:rsidP="00D41476">
          <w:pPr>
            <w:spacing w:after="0" w:line="240" w:lineRule="auto"/>
            <w:jc w:val="both"/>
            <w:rPr>
              <w:rFonts w:ascii="Times New Roman" w:hAnsi="Times New Roman"/>
              <w:b/>
              <w:sz w:val="24"/>
              <w:szCs w:val="24"/>
            </w:rPr>
          </w:pPr>
        </w:p>
        <w:p w14:paraId="2D36F0E1" w14:textId="77777777" w:rsidR="006D62B2" w:rsidRDefault="006D62B2" w:rsidP="00D41476">
          <w:pPr>
            <w:spacing w:after="0" w:line="240" w:lineRule="auto"/>
            <w:jc w:val="both"/>
            <w:rPr>
              <w:rFonts w:ascii="Times New Roman" w:hAnsi="Times New Roman"/>
              <w:b/>
              <w:sz w:val="24"/>
              <w:szCs w:val="24"/>
            </w:rPr>
          </w:pPr>
        </w:p>
        <w:p w14:paraId="7F798F63" w14:textId="77777777" w:rsidR="006D62B2" w:rsidRDefault="006D62B2" w:rsidP="00D41476">
          <w:pPr>
            <w:spacing w:after="0" w:line="240" w:lineRule="auto"/>
            <w:jc w:val="both"/>
            <w:rPr>
              <w:rFonts w:ascii="Times New Roman" w:hAnsi="Times New Roman"/>
              <w:b/>
              <w:sz w:val="24"/>
              <w:szCs w:val="24"/>
            </w:rPr>
          </w:pPr>
        </w:p>
        <w:p w14:paraId="1DC433AE" w14:textId="77777777" w:rsidR="006D62B2" w:rsidRDefault="006D62B2" w:rsidP="00D41476">
          <w:pPr>
            <w:spacing w:after="0" w:line="240" w:lineRule="auto"/>
            <w:jc w:val="both"/>
            <w:rPr>
              <w:rFonts w:ascii="Times New Roman" w:hAnsi="Times New Roman"/>
              <w:b/>
              <w:sz w:val="24"/>
              <w:szCs w:val="24"/>
            </w:rPr>
          </w:pPr>
        </w:p>
        <w:p w14:paraId="6E300C21" w14:textId="77777777" w:rsidR="00F52CBD" w:rsidRPr="00931DCE" w:rsidRDefault="00F52CBD" w:rsidP="00D41476">
          <w:pPr>
            <w:spacing w:after="0" w:line="240" w:lineRule="auto"/>
            <w:jc w:val="both"/>
            <w:rPr>
              <w:rFonts w:ascii="Times New Roman" w:hAnsi="Times New Roman"/>
              <w:b/>
              <w:sz w:val="24"/>
              <w:szCs w:val="24"/>
            </w:rPr>
          </w:pPr>
        </w:p>
        <w:p w14:paraId="40A174AC" w14:textId="2D304C17" w:rsidR="001F0D65" w:rsidRPr="00931DCE" w:rsidRDefault="001F0D65" w:rsidP="004A000E">
          <w:pPr>
            <w:pStyle w:val="Ttulo1"/>
            <w:rPr>
              <w:rFonts w:cs="Times New Roman"/>
              <w:sz w:val="24"/>
              <w:szCs w:val="24"/>
            </w:rPr>
          </w:pPr>
          <w:bookmarkStart w:id="50" w:name="_Toc159952391"/>
          <w:r w:rsidRPr="00931DCE">
            <w:rPr>
              <w:rFonts w:cs="Times New Roman"/>
              <w:sz w:val="24"/>
              <w:szCs w:val="24"/>
            </w:rPr>
            <w:lastRenderedPageBreak/>
            <w:t>NOTA 16. OTROS DERECHOS Y GARANTÍAS</w:t>
          </w:r>
          <w:bookmarkEnd w:id="50"/>
        </w:p>
        <w:p w14:paraId="0D05B03F" w14:textId="77777777" w:rsidR="001F0D65" w:rsidRPr="00931DCE" w:rsidRDefault="001F0D65" w:rsidP="004A000E">
          <w:pPr>
            <w:spacing w:after="0" w:line="240" w:lineRule="auto"/>
            <w:jc w:val="both"/>
            <w:rPr>
              <w:rFonts w:ascii="Times New Roman" w:hAnsi="Times New Roman"/>
              <w:b/>
              <w:sz w:val="24"/>
              <w:szCs w:val="24"/>
            </w:rPr>
          </w:pPr>
        </w:p>
        <w:p w14:paraId="2E47187C" w14:textId="0E72C561" w:rsidR="001F0D65" w:rsidRPr="00931DCE" w:rsidRDefault="001F0D65" w:rsidP="004A000E">
          <w:pPr>
            <w:pStyle w:val="Ttulo2"/>
            <w:numPr>
              <w:ilvl w:val="0"/>
              <w:numId w:val="0"/>
            </w:numPr>
            <w:rPr>
              <w:rFonts w:cs="Times New Roman"/>
              <w:szCs w:val="24"/>
            </w:rPr>
          </w:pPr>
          <w:bookmarkStart w:id="51" w:name="_Toc159952392"/>
          <w:r w:rsidRPr="00931DCE">
            <w:rPr>
              <w:rFonts w:cs="Times New Roman"/>
              <w:szCs w:val="24"/>
            </w:rPr>
            <w:t>Composición</w:t>
          </w:r>
          <w:bookmarkEnd w:id="51"/>
        </w:p>
        <w:p w14:paraId="78831E57" w14:textId="107337A7" w:rsidR="001F0D65" w:rsidRPr="00931DCE" w:rsidRDefault="001F0D65" w:rsidP="004A000E">
          <w:pPr>
            <w:spacing w:after="0" w:line="240" w:lineRule="auto"/>
            <w:jc w:val="both"/>
            <w:rPr>
              <w:rFonts w:ascii="Times New Roman" w:hAnsi="Times New Roman"/>
              <w:b/>
              <w:sz w:val="24"/>
              <w:szCs w:val="24"/>
            </w:rPr>
          </w:pPr>
        </w:p>
        <w:tbl>
          <w:tblPr>
            <w:tblW w:w="5000" w:type="pct"/>
            <w:tblCellMar>
              <w:left w:w="70" w:type="dxa"/>
              <w:right w:w="70" w:type="dxa"/>
            </w:tblCellMar>
            <w:tblLook w:val="04A0" w:firstRow="1" w:lastRow="0" w:firstColumn="1" w:lastColumn="0" w:noHBand="0" w:noVBand="1"/>
          </w:tblPr>
          <w:tblGrid>
            <w:gridCol w:w="540"/>
            <w:gridCol w:w="560"/>
            <w:gridCol w:w="3689"/>
            <w:gridCol w:w="1420"/>
            <w:gridCol w:w="1420"/>
            <w:gridCol w:w="1340"/>
          </w:tblGrid>
          <w:tr w:rsidR="006E01F0" w:rsidRPr="006E01F0" w14:paraId="2D3FCD45" w14:textId="77777777" w:rsidTr="00CB0BA6">
            <w:trPr>
              <w:trHeight w:val="300"/>
            </w:trPr>
            <w:tc>
              <w:tcPr>
                <w:tcW w:w="2962" w:type="pct"/>
                <w:gridSpan w:val="3"/>
                <w:tcBorders>
                  <w:top w:val="single" w:sz="4"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hideMark/>
              </w:tcPr>
              <w:p w14:paraId="7D5F3B72" w14:textId="77777777" w:rsidR="006E01F0" w:rsidRPr="009A46BB" w:rsidRDefault="006E01F0" w:rsidP="006E01F0">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DESCRIPCIÓN</w:t>
                </w:r>
              </w:p>
            </w:tc>
            <w:tc>
              <w:tcPr>
                <w:tcW w:w="2038" w:type="pct"/>
                <w:gridSpan w:val="3"/>
                <w:tcBorders>
                  <w:top w:val="single" w:sz="4"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vAlign w:val="center"/>
                <w:hideMark/>
              </w:tcPr>
              <w:p w14:paraId="4978757B" w14:textId="77777777" w:rsidR="006E01F0" w:rsidRPr="009A46BB" w:rsidRDefault="006E01F0" w:rsidP="006E01F0">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SALDOS</w:t>
                </w:r>
              </w:p>
            </w:tc>
          </w:tr>
          <w:tr w:rsidR="006E01F0" w:rsidRPr="006E01F0" w14:paraId="280475F6" w14:textId="77777777" w:rsidTr="00CB0BA6">
            <w:trPr>
              <w:trHeight w:val="225"/>
            </w:trPr>
            <w:tc>
              <w:tcPr>
                <w:tcW w:w="395"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hideMark/>
              </w:tcPr>
              <w:p w14:paraId="03B2A4E4" w14:textId="77777777" w:rsidR="006E01F0" w:rsidRPr="009A46BB" w:rsidRDefault="006E01F0" w:rsidP="006E01F0">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CÓD</w:t>
                </w:r>
              </w:p>
            </w:tc>
            <w:tc>
              <w:tcPr>
                <w:tcW w:w="413"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hideMark/>
              </w:tcPr>
              <w:p w14:paraId="776C639D" w14:textId="77777777" w:rsidR="006E01F0" w:rsidRPr="009A46BB" w:rsidRDefault="006E01F0" w:rsidP="006E01F0">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NAT</w:t>
                </w:r>
              </w:p>
            </w:tc>
            <w:tc>
              <w:tcPr>
                <w:tcW w:w="215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hideMark/>
              </w:tcPr>
              <w:p w14:paraId="1436855C" w14:textId="77777777" w:rsidR="006E01F0" w:rsidRPr="009A46BB" w:rsidRDefault="006E01F0" w:rsidP="006E01F0">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CONCEPTO</w:t>
                </w:r>
              </w:p>
            </w:tc>
            <w:tc>
              <w:tcPr>
                <w:tcW w:w="691"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hideMark/>
              </w:tcPr>
              <w:p w14:paraId="0AA6CFB3" w14:textId="77777777" w:rsidR="006E01F0" w:rsidRPr="009A46BB" w:rsidRDefault="006E01F0" w:rsidP="006E01F0">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2023 </w:t>
                </w:r>
              </w:p>
            </w:tc>
            <w:tc>
              <w:tcPr>
                <w:tcW w:w="691"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hideMark/>
              </w:tcPr>
              <w:p w14:paraId="3C7ABF20" w14:textId="77777777" w:rsidR="006E01F0" w:rsidRPr="009A46BB" w:rsidRDefault="006E01F0" w:rsidP="006E01F0">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2022 </w:t>
                </w:r>
              </w:p>
            </w:tc>
            <w:tc>
              <w:tcPr>
                <w:tcW w:w="65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vAlign w:val="center"/>
                <w:hideMark/>
              </w:tcPr>
              <w:p w14:paraId="4C02F1D6" w14:textId="77777777" w:rsidR="006E01F0" w:rsidRPr="009A46BB" w:rsidRDefault="006E01F0" w:rsidP="006E01F0">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VARIACIÓN</w:t>
                </w:r>
              </w:p>
            </w:tc>
          </w:tr>
          <w:tr w:rsidR="006E01F0" w:rsidRPr="006E01F0" w14:paraId="67DF6851" w14:textId="77777777" w:rsidTr="00CB0BA6">
            <w:trPr>
              <w:trHeight w:val="210"/>
            </w:trPr>
            <w:tc>
              <w:tcPr>
                <w:tcW w:w="395"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E2E2254" w14:textId="77777777" w:rsidR="006E01F0" w:rsidRPr="009A46BB" w:rsidRDefault="006E01F0" w:rsidP="006E01F0">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413"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AE7C0B0" w14:textId="77777777" w:rsidR="006E01F0" w:rsidRPr="009A46BB" w:rsidRDefault="006E01F0" w:rsidP="006E01F0">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Db</w:t>
                </w:r>
              </w:p>
            </w:tc>
            <w:tc>
              <w:tcPr>
                <w:tcW w:w="215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hideMark/>
              </w:tcPr>
              <w:p w14:paraId="07D8076B" w14:textId="77777777" w:rsidR="006E01F0" w:rsidRPr="009A46BB" w:rsidRDefault="006E01F0" w:rsidP="006E01F0">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OTROS DERECHOS Y GARANTÍAS</w:t>
                </w:r>
              </w:p>
            </w:tc>
            <w:tc>
              <w:tcPr>
                <w:tcW w:w="691"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05A1416E" w14:textId="77777777" w:rsidR="006E01F0" w:rsidRPr="009A46BB" w:rsidRDefault="006E01F0" w:rsidP="006E01F0">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17.653.124.014.689</w:t>
                </w:r>
              </w:p>
            </w:tc>
            <w:tc>
              <w:tcPr>
                <w:tcW w:w="691"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657DD39" w14:textId="77777777" w:rsidR="006E01F0" w:rsidRPr="009A46BB" w:rsidRDefault="006E01F0" w:rsidP="006E01F0">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16.305.869.662.035</w:t>
                </w:r>
              </w:p>
            </w:tc>
            <w:tc>
              <w:tcPr>
                <w:tcW w:w="65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43CE9964" w14:textId="77777777" w:rsidR="006E01F0" w:rsidRPr="009A46BB" w:rsidRDefault="006E01F0" w:rsidP="006E01F0">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1.347.254.352.654</w:t>
                </w:r>
              </w:p>
            </w:tc>
          </w:tr>
          <w:tr w:rsidR="006E01F0" w:rsidRPr="006E01F0" w14:paraId="1E1E80E2" w14:textId="77777777" w:rsidTr="00CB0BA6">
            <w:trPr>
              <w:trHeight w:val="225"/>
            </w:trPr>
            <w:tc>
              <w:tcPr>
                <w:tcW w:w="395"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00B1E736" w14:textId="77777777" w:rsidR="006E01F0" w:rsidRPr="009A46BB" w:rsidRDefault="006E01F0" w:rsidP="006E01F0">
                <w:pPr>
                  <w:spacing w:after="0" w:line="240" w:lineRule="auto"/>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1.9.05</w:t>
                </w:r>
              </w:p>
            </w:tc>
            <w:tc>
              <w:tcPr>
                <w:tcW w:w="413"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3FFB8CA" w14:textId="77777777" w:rsidR="006E01F0" w:rsidRPr="009A46BB" w:rsidRDefault="006E01F0" w:rsidP="006E01F0">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Db</w:t>
                </w:r>
              </w:p>
            </w:tc>
            <w:tc>
              <w:tcPr>
                <w:tcW w:w="215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hideMark/>
              </w:tcPr>
              <w:p w14:paraId="446103BC" w14:textId="77777777" w:rsidR="006E01F0" w:rsidRPr="009A46BB" w:rsidRDefault="006E01F0" w:rsidP="006E01F0">
                <w:pPr>
                  <w:spacing w:after="0" w:line="240" w:lineRule="auto"/>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Bienes y servicios pagados por anticipado</w:t>
                </w:r>
              </w:p>
            </w:tc>
            <w:tc>
              <w:tcPr>
                <w:tcW w:w="691"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8D92D3F" w14:textId="77777777" w:rsidR="006E01F0" w:rsidRPr="009A46BB" w:rsidRDefault="006E01F0" w:rsidP="006E01F0">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802.654.389</w:t>
                </w:r>
              </w:p>
            </w:tc>
            <w:tc>
              <w:tcPr>
                <w:tcW w:w="691"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EA99D95" w14:textId="77777777" w:rsidR="006E01F0" w:rsidRPr="009A46BB" w:rsidRDefault="006E01F0" w:rsidP="006E01F0">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178.136.322</w:t>
                </w:r>
              </w:p>
            </w:tc>
            <w:tc>
              <w:tcPr>
                <w:tcW w:w="65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6C0F32D8" w14:textId="77777777" w:rsidR="006E01F0" w:rsidRPr="009A46BB" w:rsidRDefault="006E01F0" w:rsidP="006E01F0">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624.518.067</w:t>
                </w:r>
              </w:p>
            </w:tc>
          </w:tr>
          <w:tr w:rsidR="006E01F0" w:rsidRPr="006E01F0" w14:paraId="1D54F7AB" w14:textId="77777777" w:rsidTr="00CB0BA6">
            <w:trPr>
              <w:trHeight w:val="225"/>
            </w:trPr>
            <w:tc>
              <w:tcPr>
                <w:tcW w:w="395"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3430DAF" w14:textId="77777777" w:rsidR="006E01F0" w:rsidRPr="009A46BB" w:rsidRDefault="006E01F0" w:rsidP="006E01F0">
                <w:pPr>
                  <w:spacing w:after="0" w:line="240" w:lineRule="auto"/>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1.9.08</w:t>
                </w:r>
              </w:p>
            </w:tc>
            <w:tc>
              <w:tcPr>
                <w:tcW w:w="413"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0E70B32A" w14:textId="77777777" w:rsidR="006E01F0" w:rsidRPr="009A46BB" w:rsidRDefault="006E01F0" w:rsidP="006E01F0">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Db</w:t>
                </w:r>
              </w:p>
            </w:tc>
            <w:tc>
              <w:tcPr>
                <w:tcW w:w="215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hideMark/>
              </w:tcPr>
              <w:p w14:paraId="14961BC4" w14:textId="77777777" w:rsidR="006E01F0" w:rsidRPr="009A46BB" w:rsidRDefault="006E01F0" w:rsidP="006E01F0">
                <w:pPr>
                  <w:spacing w:after="0" w:line="240" w:lineRule="auto"/>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Recursos entregados en administración</w:t>
                </w:r>
              </w:p>
            </w:tc>
            <w:tc>
              <w:tcPr>
                <w:tcW w:w="691"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DB3E8F2" w14:textId="77777777" w:rsidR="006E01F0" w:rsidRPr="009A46BB" w:rsidRDefault="006E01F0" w:rsidP="006E01F0">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7.440.124.347.046</w:t>
                </w:r>
              </w:p>
            </w:tc>
            <w:tc>
              <w:tcPr>
                <w:tcW w:w="691"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9FC7556" w14:textId="77777777" w:rsidR="006E01F0" w:rsidRPr="009A46BB" w:rsidRDefault="006E01F0" w:rsidP="006E01F0">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5.778.930.576.787</w:t>
                </w:r>
              </w:p>
            </w:tc>
            <w:tc>
              <w:tcPr>
                <w:tcW w:w="65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452E53E3" w14:textId="77777777" w:rsidR="006E01F0" w:rsidRPr="009A46BB" w:rsidRDefault="006E01F0" w:rsidP="006E01F0">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1.661.193.770.259</w:t>
                </w:r>
              </w:p>
            </w:tc>
          </w:tr>
          <w:tr w:rsidR="006E01F0" w:rsidRPr="006E01F0" w14:paraId="4667BECD" w14:textId="77777777" w:rsidTr="00CB0BA6">
            <w:trPr>
              <w:trHeight w:val="225"/>
            </w:trPr>
            <w:tc>
              <w:tcPr>
                <w:tcW w:w="395"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FAE2A8B" w14:textId="77777777" w:rsidR="006E01F0" w:rsidRPr="009A46BB" w:rsidRDefault="006E01F0" w:rsidP="006E01F0">
                <w:pPr>
                  <w:spacing w:after="0" w:line="240" w:lineRule="auto"/>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1.9.09</w:t>
                </w:r>
              </w:p>
            </w:tc>
            <w:tc>
              <w:tcPr>
                <w:tcW w:w="413"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37A30504" w14:textId="77777777" w:rsidR="006E01F0" w:rsidRPr="009A46BB" w:rsidRDefault="006E01F0" w:rsidP="006E01F0">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Db</w:t>
                </w:r>
              </w:p>
            </w:tc>
            <w:tc>
              <w:tcPr>
                <w:tcW w:w="215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hideMark/>
              </w:tcPr>
              <w:p w14:paraId="04044139" w14:textId="77777777" w:rsidR="006E01F0" w:rsidRPr="009A46BB" w:rsidRDefault="006E01F0" w:rsidP="006E01F0">
                <w:pPr>
                  <w:spacing w:after="0" w:line="240" w:lineRule="auto"/>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Depósitos entregados en garantía</w:t>
                </w:r>
              </w:p>
            </w:tc>
            <w:tc>
              <w:tcPr>
                <w:tcW w:w="691"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3246E839" w14:textId="77777777" w:rsidR="006E01F0" w:rsidRPr="009A46BB" w:rsidRDefault="006E01F0" w:rsidP="006E01F0">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109.904.898</w:t>
                </w:r>
              </w:p>
            </w:tc>
            <w:tc>
              <w:tcPr>
                <w:tcW w:w="691"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6547953E" w14:textId="77777777" w:rsidR="006E01F0" w:rsidRPr="009A46BB" w:rsidRDefault="006E01F0" w:rsidP="006E01F0">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2.634.009.454</w:t>
                </w:r>
              </w:p>
            </w:tc>
            <w:tc>
              <w:tcPr>
                <w:tcW w:w="65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063550C1" w14:textId="77777777" w:rsidR="006E01F0" w:rsidRPr="009A46BB" w:rsidRDefault="006E01F0" w:rsidP="006E01F0">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-2.524.104.556</w:t>
                </w:r>
              </w:p>
            </w:tc>
          </w:tr>
          <w:tr w:rsidR="006E01F0" w:rsidRPr="006E01F0" w14:paraId="1F922D0E" w14:textId="77777777" w:rsidTr="00CB0BA6">
            <w:trPr>
              <w:trHeight w:val="225"/>
            </w:trPr>
            <w:tc>
              <w:tcPr>
                <w:tcW w:w="395"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50F8B47" w14:textId="77777777" w:rsidR="006E01F0" w:rsidRPr="009A46BB" w:rsidRDefault="006E01F0" w:rsidP="006E01F0">
                <w:pPr>
                  <w:spacing w:after="0" w:line="240" w:lineRule="auto"/>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1.9.70</w:t>
                </w:r>
              </w:p>
            </w:tc>
            <w:tc>
              <w:tcPr>
                <w:tcW w:w="413"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05EDD3E" w14:textId="77777777" w:rsidR="006E01F0" w:rsidRPr="009A46BB" w:rsidRDefault="006E01F0" w:rsidP="006E01F0">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Db</w:t>
                </w:r>
              </w:p>
            </w:tc>
            <w:tc>
              <w:tcPr>
                <w:tcW w:w="215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hideMark/>
              </w:tcPr>
              <w:p w14:paraId="225A3AB7" w14:textId="77777777" w:rsidR="006E01F0" w:rsidRPr="009A46BB" w:rsidRDefault="006E01F0" w:rsidP="006E01F0">
                <w:pPr>
                  <w:spacing w:after="0" w:line="240" w:lineRule="auto"/>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Activos Intangibles</w:t>
                </w:r>
              </w:p>
            </w:tc>
            <w:tc>
              <w:tcPr>
                <w:tcW w:w="691"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A8B31E1" w14:textId="77777777" w:rsidR="006E01F0" w:rsidRPr="009A46BB" w:rsidRDefault="006E01F0" w:rsidP="006E01F0">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244.800.911.526</w:t>
                </w:r>
              </w:p>
            </w:tc>
            <w:tc>
              <w:tcPr>
                <w:tcW w:w="691"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90575CE" w14:textId="77777777" w:rsidR="006E01F0" w:rsidRPr="009A46BB" w:rsidRDefault="006E01F0" w:rsidP="006E01F0">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229.345.433.417</w:t>
                </w:r>
              </w:p>
            </w:tc>
            <w:tc>
              <w:tcPr>
                <w:tcW w:w="65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71853D6B" w14:textId="77777777" w:rsidR="006E01F0" w:rsidRPr="009A46BB" w:rsidRDefault="006E01F0" w:rsidP="006E01F0">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15.455.478.109</w:t>
                </w:r>
              </w:p>
            </w:tc>
          </w:tr>
          <w:tr w:rsidR="006E01F0" w:rsidRPr="006E01F0" w14:paraId="6F5A9E35" w14:textId="77777777" w:rsidTr="00CB0BA6">
            <w:trPr>
              <w:trHeight w:val="225"/>
            </w:trPr>
            <w:tc>
              <w:tcPr>
                <w:tcW w:w="395"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5D73D3D" w14:textId="77777777" w:rsidR="006E01F0" w:rsidRPr="009A46BB" w:rsidRDefault="006E01F0" w:rsidP="006E01F0">
                <w:pPr>
                  <w:spacing w:after="0" w:line="240" w:lineRule="auto"/>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1.9.75</w:t>
                </w:r>
              </w:p>
            </w:tc>
            <w:tc>
              <w:tcPr>
                <w:tcW w:w="413"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6D552E1D" w14:textId="77777777" w:rsidR="006E01F0" w:rsidRPr="009A46BB" w:rsidRDefault="006E01F0" w:rsidP="006E01F0">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Cr</w:t>
                </w:r>
              </w:p>
            </w:tc>
            <w:tc>
              <w:tcPr>
                <w:tcW w:w="2154"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hideMark/>
              </w:tcPr>
              <w:p w14:paraId="77D71062" w14:textId="77777777" w:rsidR="006E01F0" w:rsidRPr="009A46BB" w:rsidRDefault="006E01F0" w:rsidP="006E01F0">
                <w:pPr>
                  <w:spacing w:after="0" w:line="240" w:lineRule="auto"/>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Amortización acumulada de activos intangibles (CR)</w:t>
                </w:r>
              </w:p>
            </w:tc>
            <w:tc>
              <w:tcPr>
                <w:tcW w:w="691"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09C7791" w14:textId="77777777" w:rsidR="006E01F0" w:rsidRPr="009A46BB" w:rsidRDefault="006E01F0" w:rsidP="006E01F0">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-67.681.937.262</w:t>
                </w:r>
              </w:p>
            </w:tc>
            <w:tc>
              <w:tcPr>
                <w:tcW w:w="691"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DA3A1CF" w14:textId="77777777" w:rsidR="006E01F0" w:rsidRPr="009A46BB" w:rsidRDefault="006E01F0" w:rsidP="006E01F0">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-19.104.743.611</w:t>
                </w:r>
              </w:p>
            </w:tc>
            <w:tc>
              <w:tcPr>
                <w:tcW w:w="65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69835B83" w14:textId="77777777" w:rsidR="006E01F0" w:rsidRPr="009A46BB" w:rsidRDefault="006E01F0" w:rsidP="006E01F0">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-48.577.193.651</w:t>
                </w:r>
              </w:p>
            </w:tc>
          </w:tr>
          <w:tr w:rsidR="006E01F0" w:rsidRPr="006E01F0" w14:paraId="2F936210" w14:textId="77777777" w:rsidTr="00CB0BA6">
            <w:trPr>
              <w:trHeight w:val="450"/>
            </w:trPr>
            <w:tc>
              <w:tcPr>
                <w:tcW w:w="395" w:type="pct"/>
                <w:tcBorders>
                  <w:top w:val="single" w:sz="6" w:space="0" w:color="808080" w:themeColor="background1" w:themeShade="80"/>
                  <w:left w:val="single" w:sz="4" w:space="0" w:color="808080" w:themeColor="background1" w:themeShade="80"/>
                  <w:bottom w:val="single" w:sz="4" w:space="0" w:color="808080" w:themeColor="background1" w:themeShade="80"/>
                  <w:right w:val="single" w:sz="6" w:space="0" w:color="808080" w:themeColor="background1" w:themeShade="80"/>
                </w:tcBorders>
                <w:shd w:val="clear" w:color="auto" w:fill="auto"/>
                <w:noWrap/>
                <w:vAlign w:val="center"/>
                <w:hideMark/>
              </w:tcPr>
              <w:p w14:paraId="02744D7F" w14:textId="77777777" w:rsidR="006E01F0" w:rsidRPr="009A46BB" w:rsidRDefault="006E01F0" w:rsidP="006E01F0">
                <w:pPr>
                  <w:spacing w:after="0" w:line="240" w:lineRule="auto"/>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1.9.89</w:t>
                </w:r>
              </w:p>
            </w:tc>
            <w:tc>
              <w:tcPr>
                <w:tcW w:w="413" w:type="pct"/>
                <w:tcBorders>
                  <w:top w:val="single" w:sz="6" w:space="0" w:color="808080" w:themeColor="background1" w:themeShade="80"/>
                  <w:left w:val="single" w:sz="6" w:space="0" w:color="808080" w:themeColor="background1" w:themeShade="80"/>
                  <w:bottom w:val="single" w:sz="4" w:space="0" w:color="808080" w:themeColor="background1" w:themeShade="80"/>
                  <w:right w:val="single" w:sz="6" w:space="0" w:color="808080" w:themeColor="background1" w:themeShade="80"/>
                </w:tcBorders>
                <w:shd w:val="clear" w:color="auto" w:fill="auto"/>
                <w:noWrap/>
                <w:vAlign w:val="center"/>
                <w:hideMark/>
              </w:tcPr>
              <w:p w14:paraId="42CDA687" w14:textId="77777777" w:rsidR="006E01F0" w:rsidRPr="009A46BB" w:rsidRDefault="006E01F0" w:rsidP="006E01F0">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Db</w:t>
                </w:r>
              </w:p>
            </w:tc>
            <w:tc>
              <w:tcPr>
                <w:tcW w:w="2154" w:type="pct"/>
                <w:tcBorders>
                  <w:top w:val="single" w:sz="6" w:space="0" w:color="808080" w:themeColor="background1" w:themeShade="80"/>
                  <w:left w:val="single" w:sz="6" w:space="0" w:color="808080" w:themeColor="background1" w:themeShade="80"/>
                  <w:bottom w:val="single" w:sz="4" w:space="0" w:color="808080" w:themeColor="background1" w:themeShade="80"/>
                  <w:right w:val="single" w:sz="6" w:space="0" w:color="808080" w:themeColor="background1" w:themeShade="80"/>
                </w:tcBorders>
                <w:shd w:val="clear" w:color="auto" w:fill="auto"/>
                <w:vAlign w:val="center"/>
                <w:hideMark/>
              </w:tcPr>
              <w:p w14:paraId="667A5505" w14:textId="77777777" w:rsidR="006E01F0" w:rsidRPr="009A46BB" w:rsidRDefault="006E01F0" w:rsidP="006E01F0">
                <w:pPr>
                  <w:spacing w:after="0" w:line="240" w:lineRule="auto"/>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Recursos de la entidad concedente en patrimonios autónomos constituidos por los concesionarios</w:t>
                </w:r>
              </w:p>
            </w:tc>
            <w:tc>
              <w:tcPr>
                <w:tcW w:w="691" w:type="pct"/>
                <w:tcBorders>
                  <w:top w:val="single" w:sz="6" w:space="0" w:color="808080" w:themeColor="background1" w:themeShade="80"/>
                  <w:left w:val="single" w:sz="6" w:space="0" w:color="808080" w:themeColor="background1" w:themeShade="80"/>
                  <w:bottom w:val="single" w:sz="4" w:space="0" w:color="808080" w:themeColor="background1" w:themeShade="80"/>
                  <w:right w:val="single" w:sz="6" w:space="0" w:color="808080" w:themeColor="background1" w:themeShade="80"/>
                </w:tcBorders>
                <w:shd w:val="clear" w:color="auto" w:fill="auto"/>
                <w:noWrap/>
                <w:vAlign w:val="center"/>
                <w:hideMark/>
              </w:tcPr>
              <w:p w14:paraId="7E1C98B3" w14:textId="7BB2F5F4" w:rsidR="006E01F0" w:rsidRPr="009A46BB" w:rsidRDefault="006E01F0" w:rsidP="006E01F0">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10.034.968.134.09</w:t>
                </w:r>
                <w:r w:rsidR="00265AF5">
                  <w:rPr>
                    <w:rFonts w:ascii="Times New Roman" w:eastAsia="Times New Roman" w:hAnsi="Times New Roman"/>
                    <w:sz w:val="16"/>
                    <w:szCs w:val="16"/>
                    <w:lang w:eastAsia="es-CO"/>
                  </w:rPr>
                  <w:t>3</w:t>
                </w:r>
              </w:p>
            </w:tc>
            <w:tc>
              <w:tcPr>
                <w:tcW w:w="691" w:type="pct"/>
                <w:tcBorders>
                  <w:top w:val="single" w:sz="6" w:space="0" w:color="808080" w:themeColor="background1" w:themeShade="80"/>
                  <w:left w:val="single" w:sz="6" w:space="0" w:color="808080" w:themeColor="background1" w:themeShade="80"/>
                  <w:bottom w:val="single" w:sz="4" w:space="0" w:color="808080" w:themeColor="background1" w:themeShade="80"/>
                  <w:right w:val="single" w:sz="6" w:space="0" w:color="808080" w:themeColor="background1" w:themeShade="80"/>
                </w:tcBorders>
                <w:shd w:val="clear" w:color="auto" w:fill="auto"/>
                <w:noWrap/>
                <w:vAlign w:val="center"/>
                <w:hideMark/>
              </w:tcPr>
              <w:p w14:paraId="2A1AFCD8" w14:textId="77777777" w:rsidR="006E01F0" w:rsidRPr="009A46BB" w:rsidRDefault="006E01F0" w:rsidP="006E01F0">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10.313.886.249.666</w:t>
                </w:r>
              </w:p>
            </w:tc>
            <w:tc>
              <w:tcPr>
                <w:tcW w:w="655" w:type="pct"/>
                <w:tcBorders>
                  <w:top w:val="single" w:sz="6" w:space="0" w:color="808080" w:themeColor="background1" w:themeShade="80"/>
                  <w:left w:val="single" w:sz="6"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6862C102" w14:textId="5DF53F9D" w:rsidR="006E01F0" w:rsidRPr="009A46BB" w:rsidRDefault="006E01F0" w:rsidP="006E01F0">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-278.918.115.57</w:t>
                </w:r>
                <w:r w:rsidR="00265AF5">
                  <w:rPr>
                    <w:rFonts w:ascii="Times New Roman" w:eastAsia="Times New Roman" w:hAnsi="Times New Roman"/>
                    <w:sz w:val="16"/>
                    <w:szCs w:val="16"/>
                    <w:lang w:eastAsia="es-CO"/>
                  </w:rPr>
                  <w:t>3</w:t>
                </w:r>
              </w:p>
            </w:tc>
          </w:tr>
        </w:tbl>
        <w:p w14:paraId="731051A0" w14:textId="1AF570C8" w:rsidR="00DE7E53" w:rsidRPr="00931DCE" w:rsidRDefault="00AD2026" w:rsidP="00DE7E53">
          <w:pPr>
            <w:spacing w:after="0" w:line="240" w:lineRule="auto"/>
            <w:rPr>
              <w:rFonts w:ascii="Times New Roman" w:hAnsi="Times New Roman"/>
              <w:bCs/>
              <w:sz w:val="14"/>
              <w:szCs w:val="14"/>
            </w:rPr>
          </w:pPr>
          <w:r w:rsidRPr="00931DCE">
            <w:rPr>
              <w:rFonts w:ascii="Times New Roman" w:hAnsi="Times New Roman"/>
              <w:bCs/>
              <w:sz w:val="14"/>
              <w:szCs w:val="14"/>
            </w:rPr>
            <w:t>Cifras expresadas en pesos</w:t>
          </w:r>
          <w:r w:rsidR="00DE7E53" w:rsidRPr="00931DCE">
            <w:rPr>
              <w:rFonts w:ascii="Times New Roman" w:hAnsi="Times New Roman"/>
              <w:bCs/>
              <w:sz w:val="14"/>
              <w:szCs w:val="14"/>
            </w:rPr>
            <w:t xml:space="preserve"> </w:t>
          </w:r>
        </w:p>
        <w:p w14:paraId="483CD93C" w14:textId="77777777" w:rsidR="00DE7E53" w:rsidRPr="00931DCE" w:rsidRDefault="00DE7E53" w:rsidP="00DE7E53">
          <w:pPr>
            <w:spacing w:after="0" w:line="240" w:lineRule="auto"/>
            <w:jc w:val="both"/>
            <w:rPr>
              <w:rFonts w:ascii="Times New Roman" w:hAnsi="Times New Roman"/>
              <w:bCs/>
              <w:sz w:val="24"/>
              <w:szCs w:val="24"/>
            </w:rPr>
          </w:pPr>
        </w:p>
        <w:p w14:paraId="5418600F" w14:textId="0C80E77A" w:rsidR="00DE7E53" w:rsidRPr="00931DCE" w:rsidRDefault="00DE7E53" w:rsidP="00DE7E53">
          <w:pPr>
            <w:spacing w:after="0" w:line="240" w:lineRule="auto"/>
            <w:jc w:val="both"/>
            <w:rPr>
              <w:rFonts w:ascii="Times New Roman" w:hAnsi="Times New Roman"/>
              <w:bCs/>
              <w:sz w:val="24"/>
              <w:szCs w:val="24"/>
            </w:rPr>
          </w:pPr>
          <w:r w:rsidRPr="00931DCE">
            <w:rPr>
              <w:rFonts w:ascii="Times New Roman" w:hAnsi="Times New Roman"/>
              <w:bCs/>
              <w:sz w:val="24"/>
              <w:szCs w:val="24"/>
            </w:rPr>
            <w:t>En este grupo se incluyen las cuentas que representan los recursos, tangibles e intangibles, que son complementarios para el suministro de bienes, para la prestación de servicios y para propósitos administrativos. También incluye los aportes al Fondo de Contingencias de Entidades Estatales y los recursos de la entidad concedente en patrimonios autónomos constituidos por los concesionarios.</w:t>
          </w:r>
        </w:p>
        <w:p w14:paraId="4629FFE2" w14:textId="77777777" w:rsidR="00DE7E53" w:rsidRPr="00931DCE" w:rsidRDefault="00DE7E53" w:rsidP="00DE7E53">
          <w:pPr>
            <w:spacing w:after="0" w:line="240" w:lineRule="auto"/>
            <w:jc w:val="both"/>
            <w:rPr>
              <w:rFonts w:ascii="Times New Roman" w:hAnsi="Times New Roman"/>
              <w:bCs/>
              <w:sz w:val="24"/>
              <w:szCs w:val="24"/>
            </w:rPr>
          </w:pPr>
        </w:p>
        <w:p w14:paraId="544A522C" w14:textId="77777777" w:rsidR="00DE7E53" w:rsidRPr="00931DCE" w:rsidRDefault="00DE7E53" w:rsidP="00DE7E53">
          <w:pPr>
            <w:spacing w:after="0" w:line="240" w:lineRule="auto"/>
            <w:jc w:val="both"/>
            <w:rPr>
              <w:rFonts w:ascii="Times New Roman" w:hAnsi="Times New Roman"/>
              <w:bCs/>
              <w:sz w:val="24"/>
              <w:szCs w:val="24"/>
            </w:rPr>
          </w:pPr>
          <w:r w:rsidRPr="00931DCE">
            <w:rPr>
              <w:rFonts w:ascii="Times New Roman" w:hAnsi="Times New Roman"/>
              <w:bCs/>
              <w:sz w:val="24"/>
              <w:szCs w:val="24"/>
            </w:rPr>
            <w:t>A continuación, se presenta la composición de los otros derechos y garantías, a nivel de cuenta:</w:t>
          </w:r>
        </w:p>
        <w:p w14:paraId="5BCE6327" w14:textId="77777777" w:rsidR="00DE7E53" w:rsidRPr="00931DCE" w:rsidRDefault="00DE7E53" w:rsidP="00DE7E53">
          <w:pPr>
            <w:spacing w:after="0" w:line="240" w:lineRule="auto"/>
            <w:jc w:val="both"/>
            <w:rPr>
              <w:rFonts w:ascii="Times New Roman" w:hAnsi="Times New Roman"/>
              <w:sz w:val="24"/>
              <w:szCs w:val="24"/>
            </w:rPr>
          </w:pPr>
        </w:p>
        <w:tbl>
          <w:tblPr>
            <w:tblW w:w="5374" w:type="pct"/>
            <w:tblInd w:w="-57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ayout w:type="fixed"/>
            <w:tblCellMar>
              <w:left w:w="70" w:type="dxa"/>
              <w:right w:w="70" w:type="dxa"/>
            </w:tblCellMar>
            <w:tblLook w:val="04A0" w:firstRow="1" w:lastRow="0" w:firstColumn="1" w:lastColumn="0" w:noHBand="0" w:noVBand="1"/>
          </w:tblPr>
          <w:tblGrid>
            <w:gridCol w:w="992"/>
            <w:gridCol w:w="1132"/>
            <w:gridCol w:w="1274"/>
            <w:gridCol w:w="1280"/>
            <w:gridCol w:w="1134"/>
            <w:gridCol w:w="1278"/>
            <w:gridCol w:w="1276"/>
            <w:gridCol w:w="1274"/>
          </w:tblGrid>
          <w:tr w:rsidR="00D624A6" w:rsidRPr="00E57210" w14:paraId="1D59822E" w14:textId="77777777" w:rsidTr="006600A5">
            <w:trPr>
              <w:trHeight w:val="274"/>
              <w:tblHeader/>
            </w:trPr>
            <w:tc>
              <w:tcPr>
                <w:tcW w:w="4339" w:type="pct"/>
                <w:gridSpan w:val="7"/>
                <w:shd w:val="clear" w:color="auto" w:fill="auto"/>
                <w:vAlign w:val="center"/>
                <w:hideMark/>
              </w:tcPr>
              <w:p w14:paraId="669BE1BE" w14:textId="07B67BDB" w:rsidR="006600A5" w:rsidRPr="00E57210" w:rsidRDefault="006600A5"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DESCRIPCIÓN</w:t>
                </w:r>
              </w:p>
              <w:p w14:paraId="581318CD" w14:textId="48E6A961" w:rsidR="00410D59" w:rsidRPr="00E57210" w:rsidRDefault="00410D59" w:rsidP="00410D59">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SALDOS A CORTE DE VIGENCIA</w:t>
                </w:r>
              </w:p>
            </w:tc>
            <w:tc>
              <w:tcPr>
                <w:tcW w:w="661" w:type="pct"/>
                <w:vAlign w:val="center"/>
                <w:hideMark/>
              </w:tcPr>
              <w:p w14:paraId="6FAB6549" w14:textId="25B6A05E" w:rsidR="00410D59" w:rsidRPr="00E57210" w:rsidRDefault="00410D59" w:rsidP="00410D59">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VARIACIÓN</w:t>
                </w:r>
              </w:p>
            </w:tc>
          </w:tr>
          <w:tr w:rsidR="00DC3B0B" w:rsidRPr="00E57210" w14:paraId="2A43EE70" w14:textId="77777777" w:rsidTr="00265AF5">
            <w:trPr>
              <w:cantSplit/>
              <w:trHeight w:val="701"/>
              <w:tblHeader/>
            </w:trPr>
            <w:tc>
              <w:tcPr>
                <w:tcW w:w="514" w:type="pct"/>
                <w:shd w:val="clear" w:color="auto" w:fill="auto"/>
                <w:textDirection w:val="btLr"/>
                <w:vAlign w:val="center"/>
                <w:hideMark/>
              </w:tcPr>
              <w:p w14:paraId="3B838160" w14:textId="418C4A84" w:rsidR="006600A5" w:rsidRPr="00E57210" w:rsidRDefault="006600A5" w:rsidP="006600A5">
                <w:pPr>
                  <w:spacing w:after="0" w:line="240" w:lineRule="auto"/>
                  <w:ind w:left="113" w:right="113"/>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CONCEPTO</w:t>
                </w:r>
              </w:p>
            </w:tc>
            <w:tc>
              <w:tcPr>
                <w:tcW w:w="587" w:type="pct"/>
                <w:shd w:val="clear" w:color="auto" w:fill="auto"/>
                <w:vAlign w:val="center"/>
                <w:hideMark/>
              </w:tcPr>
              <w:p w14:paraId="79DAB7E6" w14:textId="0ECD87BF" w:rsidR="00410D59" w:rsidRPr="00E57210" w:rsidRDefault="00410D59" w:rsidP="00410D59">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SALDO CTE 2023</w:t>
                </w:r>
              </w:p>
            </w:tc>
            <w:tc>
              <w:tcPr>
                <w:tcW w:w="661" w:type="pct"/>
                <w:shd w:val="clear" w:color="auto" w:fill="auto"/>
                <w:vAlign w:val="center"/>
                <w:hideMark/>
              </w:tcPr>
              <w:p w14:paraId="56CDDAA1" w14:textId="330D1A70" w:rsidR="00410D59" w:rsidRPr="00E57210" w:rsidRDefault="00410D59" w:rsidP="00410D59">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SALDO NO</w:t>
                </w:r>
                <w:r w:rsidRPr="00E57210">
                  <w:rPr>
                    <w:rFonts w:ascii="Times New Roman" w:eastAsia="Times New Roman" w:hAnsi="Times New Roman"/>
                    <w:b/>
                    <w:sz w:val="14"/>
                    <w:szCs w:val="14"/>
                    <w:lang w:eastAsia="es-CO"/>
                  </w:rPr>
                  <w:br/>
                  <w:t>CTE 2023</w:t>
                </w:r>
              </w:p>
            </w:tc>
            <w:tc>
              <w:tcPr>
                <w:tcW w:w="664" w:type="pct"/>
                <w:shd w:val="clear" w:color="auto" w:fill="auto"/>
                <w:vAlign w:val="center"/>
                <w:hideMark/>
              </w:tcPr>
              <w:p w14:paraId="324937DE" w14:textId="005B6884" w:rsidR="00410D59" w:rsidRPr="00E57210" w:rsidRDefault="00410D59" w:rsidP="00410D59">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SALDO FINAL 2023</w:t>
                </w:r>
              </w:p>
            </w:tc>
            <w:tc>
              <w:tcPr>
                <w:tcW w:w="588" w:type="pct"/>
                <w:shd w:val="clear" w:color="auto" w:fill="auto"/>
                <w:vAlign w:val="center"/>
                <w:hideMark/>
              </w:tcPr>
              <w:p w14:paraId="3DF11046" w14:textId="224E74EE" w:rsidR="00410D59" w:rsidRPr="00E57210" w:rsidRDefault="00410D59" w:rsidP="00410D59">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SALDO CTE 2022</w:t>
                </w:r>
              </w:p>
            </w:tc>
            <w:tc>
              <w:tcPr>
                <w:tcW w:w="663" w:type="pct"/>
                <w:shd w:val="clear" w:color="auto" w:fill="auto"/>
                <w:vAlign w:val="center"/>
                <w:hideMark/>
              </w:tcPr>
              <w:p w14:paraId="640A11FD" w14:textId="15F7EA5F" w:rsidR="00410D59" w:rsidRPr="00E57210" w:rsidRDefault="00410D59" w:rsidP="00410D59">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SALDO NO</w:t>
                </w:r>
                <w:r w:rsidRPr="00E57210">
                  <w:rPr>
                    <w:rFonts w:ascii="Times New Roman" w:eastAsia="Times New Roman" w:hAnsi="Times New Roman"/>
                    <w:b/>
                    <w:sz w:val="14"/>
                    <w:szCs w:val="14"/>
                    <w:lang w:eastAsia="es-CO"/>
                  </w:rPr>
                  <w:br/>
                  <w:t>CTE 2022</w:t>
                </w:r>
              </w:p>
            </w:tc>
            <w:tc>
              <w:tcPr>
                <w:tcW w:w="661" w:type="pct"/>
                <w:shd w:val="clear" w:color="auto" w:fill="auto"/>
                <w:vAlign w:val="center"/>
                <w:hideMark/>
              </w:tcPr>
              <w:p w14:paraId="7160F877" w14:textId="542B628F" w:rsidR="00410D59" w:rsidRPr="00E57210" w:rsidRDefault="00410D59" w:rsidP="00410D59">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SALDO FINAL 2022</w:t>
                </w:r>
              </w:p>
            </w:tc>
            <w:tc>
              <w:tcPr>
                <w:tcW w:w="661" w:type="pct"/>
                <w:shd w:val="clear" w:color="auto" w:fill="auto"/>
                <w:vAlign w:val="center"/>
                <w:hideMark/>
              </w:tcPr>
              <w:p w14:paraId="3028DA1A" w14:textId="4AE8B928" w:rsidR="00410D59" w:rsidRPr="00E57210" w:rsidRDefault="00410D59" w:rsidP="00410D59">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VALOR VARIACIÓN</w:t>
                </w:r>
              </w:p>
            </w:tc>
          </w:tr>
          <w:tr w:rsidR="00DC3B0B" w:rsidRPr="00E57210" w14:paraId="6BD12354" w14:textId="77777777" w:rsidTr="006600A5">
            <w:trPr>
              <w:cantSplit/>
              <w:trHeight w:val="1333"/>
            </w:trPr>
            <w:tc>
              <w:tcPr>
                <w:tcW w:w="514" w:type="pct"/>
                <w:shd w:val="clear" w:color="auto" w:fill="auto"/>
                <w:textDirection w:val="btLr"/>
                <w:vAlign w:val="center"/>
                <w:hideMark/>
              </w:tcPr>
              <w:p w14:paraId="1F910110" w14:textId="7A1A4A63" w:rsidR="006600A5" w:rsidRPr="00E57210" w:rsidRDefault="006600A5" w:rsidP="006600A5">
                <w:pPr>
                  <w:spacing w:after="0" w:line="240" w:lineRule="auto"/>
                  <w:ind w:left="113" w:right="113"/>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OTROS DERECHOS Y GARANTÍAS - SUBCUENTAS OTROS</w:t>
                </w:r>
              </w:p>
            </w:tc>
            <w:tc>
              <w:tcPr>
                <w:tcW w:w="587" w:type="pct"/>
                <w:shd w:val="clear" w:color="auto" w:fill="auto"/>
                <w:noWrap/>
                <w:vAlign w:val="center"/>
                <w:hideMark/>
              </w:tcPr>
              <w:p w14:paraId="42532C58" w14:textId="5DA4B0F9"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171.549.902.717</w:t>
                </w:r>
              </w:p>
            </w:tc>
            <w:tc>
              <w:tcPr>
                <w:tcW w:w="661" w:type="pct"/>
                <w:shd w:val="clear" w:color="auto" w:fill="auto"/>
                <w:noWrap/>
                <w:vAlign w:val="center"/>
                <w:hideMark/>
              </w:tcPr>
              <w:p w14:paraId="0BD91253" w14:textId="122627C9"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17.481.574.111.972</w:t>
                </w:r>
              </w:p>
            </w:tc>
            <w:tc>
              <w:tcPr>
                <w:tcW w:w="664" w:type="pct"/>
                <w:shd w:val="clear" w:color="auto" w:fill="auto"/>
                <w:noWrap/>
                <w:vAlign w:val="center"/>
                <w:hideMark/>
              </w:tcPr>
              <w:p w14:paraId="21A0B247" w14:textId="5CD11000"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17.653.124.014.689</w:t>
                </w:r>
              </w:p>
            </w:tc>
            <w:tc>
              <w:tcPr>
                <w:tcW w:w="588" w:type="pct"/>
                <w:shd w:val="clear" w:color="auto" w:fill="auto"/>
                <w:noWrap/>
                <w:vAlign w:val="center"/>
                <w:hideMark/>
              </w:tcPr>
              <w:p w14:paraId="2CE40325" w14:textId="03C38396"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172.362.781.641</w:t>
                </w:r>
              </w:p>
            </w:tc>
            <w:tc>
              <w:tcPr>
                <w:tcW w:w="663" w:type="pct"/>
                <w:shd w:val="clear" w:color="auto" w:fill="auto"/>
                <w:noWrap/>
                <w:vAlign w:val="center"/>
                <w:hideMark/>
              </w:tcPr>
              <w:p w14:paraId="42596281" w14:textId="39812886"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16.133.506.880.394</w:t>
                </w:r>
              </w:p>
            </w:tc>
            <w:tc>
              <w:tcPr>
                <w:tcW w:w="661" w:type="pct"/>
                <w:shd w:val="clear" w:color="auto" w:fill="auto"/>
                <w:noWrap/>
                <w:vAlign w:val="center"/>
                <w:hideMark/>
              </w:tcPr>
              <w:p w14:paraId="7A24D450" w14:textId="32391F8B"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16.305.869.662.035</w:t>
                </w:r>
              </w:p>
            </w:tc>
            <w:tc>
              <w:tcPr>
                <w:tcW w:w="661" w:type="pct"/>
                <w:shd w:val="clear" w:color="auto" w:fill="auto"/>
                <w:noWrap/>
                <w:vAlign w:val="center"/>
                <w:hideMark/>
              </w:tcPr>
              <w:p w14:paraId="71F1FF04" w14:textId="2DBEB1C4"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1.347.254.352.654</w:t>
                </w:r>
              </w:p>
            </w:tc>
          </w:tr>
          <w:tr w:rsidR="00DC3B0B" w:rsidRPr="00E57210" w14:paraId="1BBD4CBE" w14:textId="77777777" w:rsidTr="006600A5">
            <w:trPr>
              <w:cantSplit/>
              <w:trHeight w:val="969"/>
            </w:trPr>
            <w:tc>
              <w:tcPr>
                <w:tcW w:w="514" w:type="pct"/>
                <w:shd w:val="clear" w:color="auto" w:fill="auto"/>
                <w:textDirection w:val="btLr"/>
                <w:vAlign w:val="center"/>
                <w:hideMark/>
              </w:tcPr>
              <w:p w14:paraId="53B02CDF" w14:textId="63469EB8" w:rsidR="006600A5" w:rsidRPr="00E57210" w:rsidRDefault="006600A5" w:rsidP="006600A5">
                <w:pPr>
                  <w:spacing w:after="0" w:line="240" w:lineRule="auto"/>
                  <w:ind w:left="113" w:right="113"/>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Bienes y servicios pagados por anticipado</w:t>
                </w:r>
              </w:p>
            </w:tc>
            <w:tc>
              <w:tcPr>
                <w:tcW w:w="587" w:type="pct"/>
                <w:shd w:val="clear" w:color="auto" w:fill="auto"/>
                <w:noWrap/>
                <w:vAlign w:val="center"/>
                <w:hideMark/>
              </w:tcPr>
              <w:p w14:paraId="674845AE" w14:textId="2743E75D"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802.654.389</w:t>
                </w:r>
              </w:p>
            </w:tc>
            <w:tc>
              <w:tcPr>
                <w:tcW w:w="661" w:type="pct"/>
                <w:shd w:val="clear" w:color="auto" w:fill="auto"/>
                <w:noWrap/>
                <w:vAlign w:val="center"/>
                <w:hideMark/>
              </w:tcPr>
              <w:p w14:paraId="5AA6101B" w14:textId="3C1B551A" w:rsidR="00410D59" w:rsidRPr="00E57210" w:rsidRDefault="006600A5"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w:t>
                </w:r>
              </w:p>
            </w:tc>
            <w:tc>
              <w:tcPr>
                <w:tcW w:w="664" w:type="pct"/>
                <w:shd w:val="clear" w:color="auto" w:fill="auto"/>
                <w:noWrap/>
                <w:vAlign w:val="center"/>
                <w:hideMark/>
              </w:tcPr>
              <w:p w14:paraId="2FC4CB3A" w14:textId="3342CA49"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802.654.389</w:t>
                </w:r>
              </w:p>
            </w:tc>
            <w:tc>
              <w:tcPr>
                <w:tcW w:w="588" w:type="pct"/>
                <w:shd w:val="clear" w:color="auto" w:fill="auto"/>
                <w:noWrap/>
                <w:vAlign w:val="center"/>
                <w:hideMark/>
              </w:tcPr>
              <w:p w14:paraId="2BB54DBB" w14:textId="3B37462B"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178.136.322</w:t>
                </w:r>
              </w:p>
            </w:tc>
            <w:tc>
              <w:tcPr>
                <w:tcW w:w="663" w:type="pct"/>
                <w:shd w:val="clear" w:color="auto" w:fill="auto"/>
                <w:noWrap/>
                <w:vAlign w:val="center"/>
                <w:hideMark/>
              </w:tcPr>
              <w:p w14:paraId="6573DAB8" w14:textId="55DAEF97" w:rsidR="00410D59" w:rsidRPr="00E57210" w:rsidRDefault="006600A5"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w:t>
                </w:r>
              </w:p>
            </w:tc>
            <w:tc>
              <w:tcPr>
                <w:tcW w:w="661" w:type="pct"/>
                <w:shd w:val="clear" w:color="auto" w:fill="auto"/>
                <w:noWrap/>
                <w:vAlign w:val="center"/>
                <w:hideMark/>
              </w:tcPr>
              <w:p w14:paraId="289AB23E" w14:textId="17C4743C"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178.136.322</w:t>
                </w:r>
              </w:p>
            </w:tc>
            <w:tc>
              <w:tcPr>
                <w:tcW w:w="661" w:type="pct"/>
                <w:shd w:val="clear" w:color="auto" w:fill="auto"/>
                <w:noWrap/>
                <w:vAlign w:val="center"/>
                <w:hideMark/>
              </w:tcPr>
              <w:p w14:paraId="51B4AF7E" w14:textId="66ABE501"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624.518.067</w:t>
                </w:r>
              </w:p>
            </w:tc>
          </w:tr>
          <w:tr w:rsidR="00DC3B0B" w:rsidRPr="00E57210" w14:paraId="6B42F773" w14:textId="77777777" w:rsidTr="006600A5">
            <w:trPr>
              <w:cantSplit/>
              <w:trHeight w:val="841"/>
            </w:trPr>
            <w:tc>
              <w:tcPr>
                <w:tcW w:w="514" w:type="pct"/>
                <w:shd w:val="clear" w:color="auto" w:fill="auto"/>
                <w:textDirection w:val="btLr"/>
                <w:vAlign w:val="center"/>
                <w:hideMark/>
              </w:tcPr>
              <w:p w14:paraId="6991CBEF" w14:textId="42308BE0" w:rsidR="006600A5" w:rsidRPr="006129B0" w:rsidRDefault="006600A5" w:rsidP="006600A5">
                <w:pPr>
                  <w:spacing w:after="0" w:line="240" w:lineRule="auto"/>
                  <w:ind w:left="113" w:right="113"/>
                  <w:jc w:val="center"/>
                  <w:rPr>
                    <w:rFonts w:ascii="Times New Roman" w:eastAsia="Times New Roman" w:hAnsi="Times New Roman"/>
                    <w:b/>
                    <w:sz w:val="14"/>
                    <w:szCs w:val="14"/>
                    <w:lang w:eastAsia="es-CO"/>
                  </w:rPr>
                </w:pPr>
                <w:r w:rsidRPr="006129B0">
                  <w:rPr>
                    <w:rFonts w:ascii="Times New Roman" w:eastAsia="Times New Roman" w:hAnsi="Times New Roman"/>
                    <w:b/>
                    <w:sz w:val="14"/>
                    <w:szCs w:val="14"/>
                    <w:lang w:eastAsia="es-CO"/>
                  </w:rPr>
                  <w:t>Seguros</w:t>
                </w:r>
              </w:p>
            </w:tc>
            <w:tc>
              <w:tcPr>
                <w:tcW w:w="587" w:type="pct"/>
                <w:shd w:val="clear" w:color="auto" w:fill="auto"/>
                <w:noWrap/>
                <w:vAlign w:val="center"/>
                <w:hideMark/>
              </w:tcPr>
              <w:p w14:paraId="53C3D7E0" w14:textId="61202234"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802.654.389</w:t>
                </w:r>
              </w:p>
            </w:tc>
            <w:tc>
              <w:tcPr>
                <w:tcW w:w="661" w:type="pct"/>
                <w:shd w:val="clear" w:color="auto" w:fill="auto"/>
                <w:noWrap/>
                <w:vAlign w:val="center"/>
                <w:hideMark/>
              </w:tcPr>
              <w:p w14:paraId="1B3D979A" w14:textId="28CD1B0E" w:rsidR="00410D59" w:rsidRPr="00E57210" w:rsidRDefault="00410D59" w:rsidP="006600A5">
                <w:pPr>
                  <w:spacing w:after="0" w:line="240" w:lineRule="auto"/>
                  <w:jc w:val="center"/>
                  <w:rPr>
                    <w:rFonts w:ascii="Times New Roman" w:eastAsia="Times New Roman" w:hAnsi="Times New Roman"/>
                    <w:sz w:val="14"/>
                    <w:szCs w:val="14"/>
                    <w:lang w:eastAsia="es-CO"/>
                  </w:rPr>
                </w:pPr>
              </w:p>
            </w:tc>
            <w:tc>
              <w:tcPr>
                <w:tcW w:w="664" w:type="pct"/>
                <w:shd w:val="clear" w:color="auto" w:fill="auto"/>
                <w:noWrap/>
                <w:vAlign w:val="center"/>
                <w:hideMark/>
              </w:tcPr>
              <w:p w14:paraId="24ED9FA7" w14:textId="5F93ACB8"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802.654.389</w:t>
                </w:r>
              </w:p>
            </w:tc>
            <w:tc>
              <w:tcPr>
                <w:tcW w:w="588" w:type="pct"/>
                <w:shd w:val="clear" w:color="auto" w:fill="auto"/>
                <w:noWrap/>
                <w:vAlign w:val="center"/>
                <w:hideMark/>
              </w:tcPr>
              <w:p w14:paraId="4B127FB1" w14:textId="5FFFB9E6"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178.136.322</w:t>
                </w:r>
              </w:p>
            </w:tc>
            <w:tc>
              <w:tcPr>
                <w:tcW w:w="663" w:type="pct"/>
                <w:shd w:val="clear" w:color="auto" w:fill="auto"/>
                <w:noWrap/>
                <w:vAlign w:val="center"/>
                <w:hideMark/>
              </w:tcPr>
              <w:p w14:paraId="1FB981B8" w14:textId="708B83D8" w:rsidR="00410D59" w:rsidRPr="00E57210" w:rsidRDefault="00410D59" w:rsidP="006600A5">
                <w:pPr>
                  <w:spacing w:after="0" w:line="240" w:lineRule="auto"/>
                  <w:jc w:val="center"/>
                  <w:rPr>
                    <w:rFonts w:ascii="Times New Roman" w:eastAsia="Times New Roman" w:hAnsi="Times New Roman"/>
                    <w:sz w:val="14"/>
                    <w:szCs w:val="14"/>
                    <w:lang w:eastAsia="es-CO"/>
                  </w:rPr>
                </w:pPr>
              </w:p>
            </w:tc>
            <w:tc>
              <w:tcPr>
                <w:tcW w:w="661" w:type="pct"/>
                <w:shd w:val="clear" w:color="auto" w:fill="auto"/>
                <w:noWrap/>
                <w:vAlign w:val="center"/>
                <w:hideMark/>
              </w:tcPr>
              <w:p w14:paraId="2AB23035" w14:textId="334DE6C3"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178.136.322</w:t>
                </w:r>
              </w:p>
            </w:tc>
            <w:tc>
              <w:tcPr>
                <w:tcW w:w="661" w:type="pct"/>
                <w:shd w:val="clear" w:color="auto" w:fill="auto"/>
                <w:noWrap/>
                <w:vAlign w:val="center"/>
                <w:hideMark/>
              </w:tcPr>
              <w:p w14:paraId="10F03C38" w14:textId="1B021CAE"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624.518.067</w:t>
                </w:r>
              </w:p>
            </w:tc>
          </w:tr>
          <w:tr w:rsidR="00DC3B0B" w:rsidRPr="00E57210" w14:paraId="37741341" w14:textId="77777777" w:rsidTr="006600A5">
            <w:trPr>
              <w:cantSplit/>
              <w:trHeight w:val="1264"/>
            </w:trPr>
            <w:tc>
              <w:tcPr>
                <w:tcW w:w="514" w:type="pct"/>
                <w:shd w:val="clear" w:color="auto" w:fill="auto"/>
                <w:textDirection w:val="btLr"/>
                <w:vAlign w:val="center"/>
                <w:hideMark/>
              </w:tcPr>
              <w:p w14:paraId="4C1894A4" w14:textId="654AA9B0" w:rsidR="006600A5" w:rsidRPr="00E57210" w:rsidRDefault="006600A5" w:rsidP="006600A5">
                <w:pPr>
                  <w:spacing w:after="0" w:line="240" w:lineRule="auto"/>
                  <w:ind w:left="113" w:right="113"/>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En administración</w:t>
                </w:r>
              </w:p>
            </w:tc>
            <w:tc>
              <w:tcPr>
                <w:tcW w:w="587" w:type="pct"/>
                <w:shd w:val="clear" w:color="auto" w:fill="auto"/>
                <w:noWrap/>
                <w:vAlign w:val="center"/>
                <w:hideMark/>
              </w:tcPr>
              <w:p w14:paraId="5F49D61C" w14:textId="0B46674F"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170.747.248.328</w:t>
                </w:r>
              </w:p>
            </w:tc>
            <w:tc>
              <w:tcPr>
                <w:tcW w:w="661" w:type="pct"/>
                <w:shd w:val="clear" w:color="auto" w:fill="auto"/>
                <w:noWrap/>
                <w:vAlign w:val="center"/>
                <w:hideMark/>
              </w:tcPr>
              <w:p w14:paraId="2EA7D3D5" w14:textId="45F68392"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367.877.926.460</w:t>
                </w:r>
              </w:p>
            </w:tc>
            <w:tc>
              <w:tcPr>
                <w:tcW w:w="664" w:type="pct"/>
                <w:shd w:val="clear" w:color="auto" w:fill="auto"/>
                <w:noWrap/>
                <w:vAlign w:val="center"/>
                <w:hideMark/>
              </w:tcPr>
              <w:p w14:paraId="77764CD2" w14:textId="479DC291"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538.625.174.788</w:t>
                </w:r>
              </w:p>
            </w:tc>
            <w:tc>
              <w:tcPr>
                <w:tcW w:w="588" w:type="pct"/>
                <w:shd w:val="clear" w:color="auto" w:fill="auto"/>
                <w:noWrap/>
                <w:vAlign w:val="center"/>
                <w:hideMark/>
              </w:tcPr>
              <w:p w14:paraId="106E0835" w14:textId="0A3E29F0"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172.184.645.319</w:t>
                </w:r>
              </w:p>
            </w:tc>
            <w:tc>
              <w:tcPr>
                <w:tcW w:w="663" w:type="pct"/>
                <w:shd w:val="clear" w:color="auto" w:fill="auto"/>
                <w:noWrap/>
                <w:vAlign w:val="center"/>
                <w:hideMark/>
              </w:tcPr>
              <w:p w14:paraId="683D8CBA" w14:textId="3CA46D1A"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119.948.727.794</w:t>
                </w:r>
              </w:p>
            </w:tc>
            <w:tc>
              <w:tcPr>
                <w:tcW w:w="661" w:type="pct"/>
                <w:shd w:val="clear" w:color="auto" w:fill="auto"/>
                <w:noWrap/>
                <w:vAlign w:val="center"/>
                <w:hideMark/>
              </w:tcPr>
              <w:p w14:paraId="1C4CB39C" w14:textId="3EC3D517"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292.133.373.113</w:t>
                </w:r>
              </w:p>
            </w:tc>
            <w:tc>
              <w:tcPr>
                <w:tcW w:w="661" w:type="pct"/>
                <w:shd w:val="clear" w:color="auto" w:fill="auto"/>
                <w:noWrap/>
                <w:vAlign w:val="center"/>
                <w:hideMark/>
              </w:tcPr>
              <w:p w14:paraId="45931AB3" w14:textId="2433D2DA"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246.491.801.675</w:t>
                </w:r>
              </w:p>
            </w:tc>
          </w:tr>
          <w:tr w:rsidR="00DC3B0B" w:rsidRPr="00E57210" w14:paraId="6985986E" w14:textId="77777777" w:rsidTr="006600A5">
            <w:trPr>
              <w:cantSplit/>
              <w:trHeight w:val="1134"/>
            </w:trPr>
            <w:tc>
              <w:tcPr>
                <w:tcW w:w="514" w:type="pct"/>
                <w:shd w:val="clear" w:color="auto" w:fill="auto"/>
                <w:textDirection w:val="btLr"/>
                <w:vAlign w:val="center"/>
                <w:hideMark/>
              </w:tcPr>
              <w:p w14:paraId="3F335A0C" w14:textId="177CF00D" w:rsidR="006600A5" w:rsidRPr="00E57210" w:rsidRDefault="006600A5" w:rsidP="006600A5">
                <w:pPr>
                  <w:spacing w:after="0" w:line="240" w:lineRule="auto"/>
                  <w:ind w:left="113" w:right="113"/>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En administración</w:t>
                </w:r>
              </w:p>
            </w:tc>
            <w:tc>
              <w:tcPr>
                <w:tcW w:w="587" w:type="pct"/>
                <w:shd w:val="clear" w:color="auto" w:fill="auto"/>
                <w:noWrap/>
                <w:vAlign w:val="center"/>
                <w:hideMark/>
              </w:tcPr>
              <w:p w14:paraId="33CA9220" w14:textId="5A813221"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170.747.248.328</w:t>
                </w:r>
              </w:p>
            </w:tc>
            <w:tc>
              <w:tcPr>
                <w:tcW w:w="661" w:type="pct"/>
                <w:shd w:val="clear" w:color="auto" w:fill="auto"/>
                <w:noWrap/>
                <w:vAlign w:val="center"/>
                <w:hideMark/>
              </w:tcPr>
              <w:p w14:paraId="7D54B6A7" w14:textId="296D002B"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367.877.926.460</w:t>
                </w:r>
              </w:p>
            </w:tc>
            <w:tc>
              <w:tcPr>
                <w:tcW w:w="664" w:type="pct"/>
                <w:shd w:val="clear" w:color="auto" w:fill="auto"/>
                <w:noWrap/>
                <w:vAlign w:val="center"/>
                <w:hideMark/>
              </w:tcPr>
              <w:p w14:paraId="35F02D7D" w14:textId="4D00293D"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538.625.174.788</w:t>
                </w:r>
              </w:p>
            </w:tc>
            <w:tc>
              <w:tcPr>
                <w:tcW w:w="588" w:type="pct"/>
                <w:shd w:val="clear" w:color="auto" w:fill="auto"/>
                <w:noWrap/>
                <w:vAlign w:val="center"/>
                <w:hideMark/>
              </w:tcPr>
              <w:p w14:paraId="5A0DE1F6" w14:textId="606565B2"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172.184.645.319</w:t>
                </w:r>
              </w:p>
            </w:tc>
            <w:tc>
              <w:tcPr>
                <w:tcW w:w="663" w:type="pct"/>
                <w:shd w:val="clear" w:color="auto" w:fill="auto"/>
                <w:noWrap/>
                <w:vAlign w:val="center"/>
                <w:hideMark/>
              </w:tcPr>
              <w:p w14:paraId="61A27421" w14:textId="3F86DF44"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119.948.727.794</w:t>
                </w:r>
              </w:p>
            </w:tc>
            <w:tc>
              <w:tcPr>
                <w:tcW w:w="661" w:type="pct"/>
                <w:shd w:val="clear" w:color="auto" w:fill="auto"/>
                <w:noWrap/>
                <w:vAlign w:val="center"/>
                <w:hideMark/>
              </w:tcPr>
              <w:p w14:paraId="304E070E" w14:textId="342FFB30"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292.133.373.113</w:t>
                </w:r>
              </w:p>
            </w:tc>
            <w:tc>
              <w:tcPr>
                <w:tcW w:w="661" w:type="pct"/>
                <w:shd w:val="clear" w:color="auto" w:fill="auto"/>
                <w:noWrap/>
                <w:vAlign w:val="center"/>
                <w:hideMark/>
              </w:tcPr>
              <w:p w14:paraId="3C718199" w14:textId="11E076CD"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246.491.801.675</w:t>
                </w:r>
              </w:p>
            </w:tc>
          </w:tr>
          <w:tr w:rsidR="00DC3B0B" w:rsidRPr="00E57210" w14:paraId="1243F159" w14:textId="77777777" w:rsidTr="006600A5">
            <w:trPr>
              <w:cantSplit/>
              <w:trHeight w:val="1526"/>
            </w:trPr>
            <w:tc>
              <w:tcPr>
                <w:tcW w:w="514" w:type="pct"/>
                <w:shd w:val="clear" w:color="auto" w:fill="auto"/>
                <w:textDirection w:val="btLr"/>
                <w:vAlign w:val="center"/>
                <w:hideMark/>
              </w:tcPr>
              <w:p w14:paraId="50BF7F90" w14:textId="37F42CC6" w:rsidR="006600A5" w:rsidRPr="00E57210" w:rsidRDefault="006600A5" w:rsidP="006600A5">
                <w:pPr>
                  <w:spacing w:after="0" w:line="240" w:lineRule="auto"/>
                  <w:ind w:left="113" w:right="113"/>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lastRenderedPageBreak/>
                  <w:t>Encargo fiduciario - fiducia de administración y pagos</w:t>
                </w:r>
              </w:p>
            </w:tc>
            <w:tc>
              <w:tcPr>
                <w:tcW w:w="587" w:type="pct"/>
                <w:shd w:val="clear" w:color="auto" w:fill="auto"/>
                <w:noWrap/>
                <w:vAlign w:val="center"/>
                <w:hideMark/>
              </w:tcPr>
              <w:p w14:paraId="36B8332A" w14:textId="51E624B8" w:rsidR="00410D59" w:rsidRPr="00E57210" w:rsidRDefault="006600A5"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w:t>
                </w:r>
              </w:p>
            </w:tc>
            <w:tc>
              <w:tcPr>
                <w:tcW w:w="661" w:type="pct"/>
                <w:shd w:val="clear" w:color="auto" w:fill="auto"/>
                <w:noWrap/>
                <w:vAlign w:val="center"/>
                <w:hideMark/>
              </w:tcPr>
              <w:p w14:paraId="538FB144" w14:textId="051B846F"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6.901.499.172.258</w:t>
                </w:r>
              </w:p>
            </w:tc>
            <w:tc>
              <w:tcPr>
                <w:tcW w:w="664" w:type="pct"/>
                <w:shd w:val="clear" w:color="auto" w:fill="auto"/>
                <w:noWrap/>
                <w:vAlign w:val="center"/>
                <w:hideMark/>
              </w:tcPr>
              <w:p w14:paraId="4A9063D4" w14:textId="0BB444C9"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6.901.499.172.258</w:t>
                </w:r>
              </w:p>
            </w:tc>
            <w:tc>
              <w:tcPr>
                <w:tcW w:w="588" w:type="pct"/>
                <w:shd w:val="clear" w:color="auto" w:fill="auto"/>
                <w:noWrap/>
                <w:vAlign w:val="center"/>
                <w:hideMark/>
              </w:tcPr>
              <w:p w14:paraId="2052ABF6" w14:textId="1DBF77D0"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w:t>
                </w:r>
              </w:p>
            </w:tc>
            <w:tc>
              <w:tcPr>
                <w:tcW w:w="663" w:type="pct"/>
                <w:shd w:val="clear" w:color="auto" w:fill="auto"/>
                <w:noWrap/>
                <w:vAlign w:val="center"/>
                <w:hideMark/>
              </w:tcPr>
              <w:p w14:paraId="1E9BBE15" w14:textId="7D58D704"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5.486.797.203.674</w:t>
                </w:r>
              </w:p>
            </w:tc>
            <w:tc>
              <w:tcPr>
                <w:tcW w:w="661" w:type="pct"/>
                <w:shd w:val="clear" w:color="auto" w:fill="auto"/>
                <w:noWrap/>
                <w:vAlign w:val="center"/>
                <w:hideMark/>
              </w:tcPr>
              <w:p w14:paraId="57D7EA91" w14:textId="543DAC56"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5.486.797.203.674</w:t>
                </w:r>
              </w:p>
            </w:tc>
            <w:tc>
              <w:tcPr>
                <w:tcW w:w="661" w:type="pct"/>
                <w:shd w:val="clear" w:color="auto" w:fill="auto"/>
                <w:noWrap/>
                <w:vAlign w:val="center"/>
                <w:hideMark/>
              </w:tcPr>
              <w:p w14:paraId="114EACB2" w14:textId="497782EB"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1.414.701.968.584</w:t>
                </w:r>
              </w:p>
            </w:tc>
          </w:tr>
          <w:tr w:rsidR="00DC3B0B" w:rsidRPr="00E57210" w14:paraId="29BEEB89" w14:textId="77777777" w:rsidTr="006600A5">
            <w:trPr>
              <w:cantSplit/>
              <w:trHeight w:val="1406"/>
            </w:trPr>
            <w:tc>
              <w:tcPr>
                <w:tcW w:w="514" w:type="pct"/>
                <w:shd w:val="clear" w:color="auto" w:fill="auto"/>
                <w:textDirection w:val="btLr"/>
                <w:vAlign w:val="center"/>
                <w:hideMark/>
              </w:tcPr>
              <w:p w14:paraId="77BAD4BB" w14:textId="03A701E6" w:rsidR="006600A5" w:rsidRPr="00E57210" w:rsidRDefault="006600A5" w:rsidP="006600A5">
                <w:pPr>
                  <w:spacing w:after="0" w:line="240" w:lineRule="auto"/>
                  <w:ind w:left="113" w:right="113"/>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Encargo fiduciario - fiducia de administración y pagos</w:t>
                </w:r>
              </w:p>
            </w:tc>
            <w:tc>
              <w:tcPr>
                <w:tcW w:w="587" w:type="pct"/>
                <w:shd w:val="clear" w:color="auto" w:fill="auto"/>
                <w:noWrap/>
                <w:vAlign w:val="center"/>
                <w:hideMark/>
              </w:tcPr>
              <w:p w14:paraId="21560833" w14:textId="65EADB81" w:rsidR="00410D59" w:rsidRPr="00E57210" w:rsidRDefault="006600A5"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w:t>
                </w:r>
              </w:p>
            </w:tc>
            <w:tc>
              <w:tcPr>
                <w:tcW w:w="661" w:type="pct"/>
                <w:shd w:val="clear" w:color="auto" w:fill="auto"/>
                <w:noWrap/>
                <w:vAlign w:val="center"/>
                <w:hideMark/>
              </w:tcPr>
              <w:p w14:paraId="7C8551AF" w14:textId="0F677E86"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6.901.499.172.258</w:t>
                </w:r>
              </w:p>
            </w:tc>
            <w:tc>
              <w:tcPr>
                <w:tcW w:w="664" w:type="pct"/>
                <w:shd w:val="clear" w:color="auto" w:fill="auto"/>
                <w:noWrap/>
                <w:vAlign w:val="center"/>
                <w:hideMark/>
              </w:tcPr>
              <w:p w14:paraId="219B9984" w14:textId="58EA440F"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6.901.499.172.258</w:t>
                </w:r>
              </w:p>
            </w:tc>
            <w:tc>
              <w:tcPr>
                <w:tcW w:w="588" w:type="pct"/>
                <w:shd w:val="clear" w:color="auto" w:fill="auto"/>
                <w:noWrap/>
                <w:vAlign w:val="center"/>
                <w:hideMark/>
              </w:tcPr>
              <w:p w14:paraId="695D2901" w14:textId="2E41E56B" w:rsidR="00410D59" w:rsidRPr="00E57210" w:rsidRDefault="00410D59" w:rsidP="006600A5">
                <w:pPr>
                  <w:spacing w:after="0" w:line="240" w:lineRule="auto"/>
                  <w:jc w:val="center"/>
                  <w:rPr>
                    <w:rFonts w:ascii="Times New Roman" w:eastAsia="Times New Roman" w:hAnsi="Times New Roman"/>
                    <w:sz w:val="14"/>
                    <w:szCs w:val="14"/>
                    <w:lang w:eastAsia="es-CO"/>
                  </w:rPr>
                </w:pPr>
              </w:p>
            </w:tc>
            <w:tc>
              <w:tcPr>
                <w:tcW w:w="663" w:type="pct"/>
                <w:shd w:val="clear" w:color="auto" w:fill="auto"/>
                <w:noWrap/>
                <w:vAlign w:val="center"/>
                <w:hideMark/>
              </w:tcPr>
              <w:p w14:paraId="35FAF337" w14:textId="310AF7EA"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5.486.797.203.674</w:t>
                </w:r>
              </w:p>
            </w:tc>
            <w:tc>
              <w:tcPr>
                <w:tcW w:w="661" w:type="pct"/>
                <w:shd w:val="clear" w:color="auto" w:fill="auto"/>
                <w:noWrap/>
                <w:vAlign w:val="center"/>
                <w:hideMark/>
              </w:tcPr>
              <w:p w14:paraId="77515560" w14:textId="77D2EF55"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5.486.797.203.674</w:t>
                </w:r>
              </w:p>
            </w:tc>
            <w:tc>
              <w:tcPr>
                <w:tcW w:w="661" w:type="pct"/>
                <w:shd w:val="clear" w:color="auto" w:fill="auto"/>
                <w:noWrap/>
                <w:vAlign w:val="center"/>
                <w:hideMark/>
              </w:tcPr>
              <w:p w14:paraId="06454043" w14:textId="65F58276"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1.414.701.968.584</w:t>
                </w:r>
              </w:p>
            </w:tc>
          </w:tr>
          <w:tr w:rsidR="00DC3B0B" w:rsidRPr="00E57210" w14:paraId="1DE91822" w14:textId="77777777" w:rsidTr="006600A5">
            <w:trPr>
              <w:cantSplit/>
              <w:trHeight w:val="831"/>
            </w:trPr>
            <w:tc>
              <w:tcPr>
                <w:tcW w:w="514" w:type="pct"/>
                <w:shd w:val="clear" w:color="auto" w:fill="auto"/>
                <w:textDirection w:val="btLr"/>
                <w:vAlign w:val="center"/>
                <w:hideMark/>
              </w:tcPr>
              <w:p w14:paraId="7AA92301" w14:textId="4AB0A57A" w:rsidR="006600A5" w:rsidRPr="00E57210" w:rsidRDefault="006600A5" w:rsidP="006600A5">
                <w:pPr>
                  <w:spacing w:after="0" w:line="240" w:lineRule="auto"/>
                  <w:ind w:left="113" w:right="113"/>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Depósitos judiciales</w:t>
                </w:r>
              </w:p>
            </w:tc>
            <w:tc>
              <w:tcPr>
                <w:tcW w:w="587" w:type="pct"/>
                <w:shd w:val="clear" w:color="auto" w:fill="auto"/>
                <w:noWrap/>
                <w:vAlign w:val="center"/>
                <w:hideMark/>
              </w:tcPr>
              <w:p w14:paraId="76FF35A6" w14:textId="3E35DA77" w:rsidR="00410D59" w:rsidRPr="00E57210" w:rsidRDefault="006600A5"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w:t>
                </w:r>
              </w:p>
            </w:tc>
            <w:tc>
              <w:tcPr>
                <w:tcW w:w="661" w:type="pct"/>
                <w:shd w:val="clear" w:color="auto" w:fill="auto"/>
                <w:noWrap/>
                <w:vAlign w:val="center"/>
                <w:hideMark/>
              </w:tcPr>
              <w:p w14:paraId="37BA0735" w14:textId="400AE802"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109.904.898</w:t>
                </w:r>
              </w:p>
            </w:tc>
            <w:tc>
              <w:tcPr>
                <w:tcW w:w="664" w:type="pct"/>
                <w:shd w:val="clear" w:color="auto" w:fill="auto"/>
                <w:noWrap/>
                <w:vAlign w:val="center"/>
                <w:hideMark/>
              </w:tcPr>
              <w:p w14:paraId="76B3574A" w14:textId="51A1B41F"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109.904.898</w:t>
                </w:r>
              </w:p>
            </w:tc>
            <w:tc>
              <w:tcPr>
                <w:tcW w:w="588" w:type="pct"/>
                <w:shd w:val="clear" w:color="auto" w:fill="auto"/>
                <w:noWrap/>
                <w:vAlign w:val="center"/>
                <w:hideMark/>
              </w:tcPr>
              <w:p w14:paraId="5928A652" w14:textId="4387E9B2"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w:t>
                </w:r>
              </w:p>
            </w:tc>
            <w:tc>
              <w:tcPr>
                <w:tcW w:w="663" w:type="pct"/>
                <w:shd w:val="clear" w:color="auto" w:fill="auto"/>
                <w:noWrap/>
                <w:vAlign w:val="center"/>
                <w:hideMark/>
              </w:tcPr>
              <w:p w14:paraId="07817C1F" w14:textId="08CA74AC"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2.634.009.454</w:t>
                </w:r>
              </w:p>
            </w:tc>
            <w:tc>
              <w:tcPr>
                <w:tcW w:w="661" w:type="pct"/>
                <w:shd w:val="clear" w:color="auto" w:fill="auto"/>
                <w:noWrap/>
                <w:vAlign w:val="center"/>
                <w:hideMark/>
              </w:tcPr>
              <w:p w14:paraId="0D836D0F" w14:textId="162E3566"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2.634.009.454</w:t>
                </w:r>
              </w:p>
            </w:tc>
            <w:tc>
              <w:tcPr>
                <w:tcW w:w="661" w:type="pct"/>
                <w:shd w:val="clear" w:color="auto" w:fill="auto"/>
                <w:noWrap/>
                <w:vAlign w:val="center"/>
                <w:hideMark/>
              </w:tcPr>
              <w:p w14:paraId="05FB89FB" w14:textId="05C34BD8"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-2.524.104.556</w:t>
                </w:r>
              </w:p>
            </w:tc>
          </w:tr>
          <w:tr w:rsidR="00DC3B0B" w:rsidRPr="00E57210" w14:paraId="1B229BE3" w14:textId="77777777" w:rsidTr="006129B0">
            <w:trPr>
              <w:cantSplit/>
              <w:trHeight w:val="977"/>
            </w:trPr>
            <w:tc>
              <w:tcPr>
                <w:tcW w:w="514" w:type="pct"/>
                <w:shd w:val="clear" w:color="auto" w:fill="auto"/>
                <w:textDirection w:val="btLr"/>
                <w:vAlign w:val="center"/>
                <w:hideMark/>
              </w:tcPr>
              <w:p w14:paraId="13C36521" w14:textId="578E45C5" w:rsidR="006600A5" w:rsidRPr="00E57210" w:rsidRDefault="006600A5" w:rsidP="006600A5">
                <w:pPr>
                  <w:spacing w:after="0" w:line="240" w:lineRule="auto"/>
                  <w:ind w:left="113" w:right="113"/>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Depósitos judiciales</w:t>
                </w:r>
              </w:p>
            </w:tc>
            <w:tc>
              <w:tcPr>
                <w:tcW w:w="587" w:type="pct"/>
                <w:shd w:val="clear" w:color="auto" w:fill="auto"/>
                <w:noWrap/>
                <w:vAlign w:val="center"/>
                <w:hideMark/>
              </w:tcPr>
              <w:p w14:paraId="13FEF9F6" w14:textId="081785FD" w:rsidR="00410D59" w:rsidRPr="00E57210" w:rsidRDefault="00410D59" w:rsidP="006600A5">
                <w:pPr>
                  <w:spacing w:after="0" w:line="240" w:lineRule="auto"/>
                  <w:jc w:val="center"/>
                  <w:rPr>
                    <w:rFonts w:ascii="Times New Roman" w:eastAsia="Times New Roman" w:hAnsi="Times New Roman"/>
                    <w:sz w:val="14"/>
                    <w:szCs w:val="14"/>
                    <w:lang w:eastAsia="es-CO"/>
                  </w:rPr>
                </w:pPr>
              </w:p>
            </w:tc>
            <w:tc>
              <w:tcPr>
                <w:tcW w:w="661" w:type="pct"/>
                <w:shd w:val="clear" w:color="auto" w:fill="auto"/>
                <w:noWrap/>
                <w:vAlign w:val="center"/>
                <w:hideMark/>
              </w:tcPr>
              <w:p w14:paraId="37C80698" w14:textId="7307B70A"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109.904.898</w:t>
                </w:r>
              </w:p>
            </w:tc>
            <w:tc>
              <w:tcPr>
                <w:tcW w:w="664" w:type="pct"/>
                <w:shd w:val="clear" w:color="auto" w:fill="auto"/>
                <w:noWrap/>
                <w:vAlign w:val="center"/>
                <w:hideMark/>
              </w:tcPr>
              <w:p w14:paraId="0FB1BFDA" w14:textId="1FA335E1"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109.904.898</w:t>
                </w:r>
              </w:p>
            </w:tc>
            <w:tc>
              <w:tcPr>
                <w:tcW w:w="588" w:type="pct"/>
                <w:shd w:val="clear" w:color="auto" w:fill="auto"/>
                <w:noWrap/>
                <w:vAlign w:val="center"/>
                <w:hideMark/>
              </w:tcPr>
              <w:p w14:paraId="3119BE60" w14:textId="5356AA57" w:rsidR="00410D59" w:rsidRPr="00E57210" w:rsidRDefault="00410D59" w:rsidP="006600A5">
                <w:pPr>
                  <w:spacing w:after="0" w:line="240" w:lineRule="auto"/>
                  <w:jc w:val="center"/>
                  <w:rPr>
                    <w:rFonts w:ascii="Times New Roman" w:eastAsia="Times New Roman" w:hAnsi="Times New Roman"/>
                    <w:sz w:val="14"/>
                    <w:szCs w:val="14"/>
                    <w:lang w:eastAsia="es-CO"/>
                  </w:rPr>
                </w:pPr>
              </w:p>
            </w:tc>
            <w:tc>
              <w:tcPr>
                <w:tcW w:w="663" w:type="pct"/>
                <w:shd w:val="clear" w:color="auto" w:fill="auto"/>
                <w:noWrap/>
                <w:vAlign w:val="center"/>
                <w:hideMark/>
              </w:tcPr>
              <w:p w14:paraId="43A93AD9" w14:textId="0D2F07CB"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2.634.009.454</w:t>
                </w:r>
              </w:p>
            </w:tc>
            <w:tc>
              <w:tcPr>
                <w:tcW w:w="661" w:type="pct"/>
                <w:shd w:val="clear" w:color="auto" w:fill="auto"/>
                <w:noWrap/>
                <w:vAlign w:val="center"/>
                <w:hideMark/>
              </w:tcPr>
              <w:p w14:paraId="4E4365BB" w14:textId="2E0C0060"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2.634.009.454</w:t>
                </w:r>
              </w:p>
            </w:tc>
            <w:tc>
              <w:tcPr>
                <w:tcW w:w="661" w:type="pct"/>
                <w:shd w:val="clear" w:color="auto" w:fill="auto"/>
                <w:noWrap/>
                <w:vAlign w:val="center"/>
                <w:hideMark/>
              </w:tcPr>
              <w:p w14:paraId="0AA29B0B" w14:textId="1D773F44"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  2.524.104.556</w:t>
                </w:r>
              </w:p>
            </w:tc>
          </w:tr>
          <w:tr w:rsidR="00DC3B0B" w:rsidRPr="00E57210" w14:paraId="02C73FE5" w14:textId="77777777" w:rsidTr="006129B0">
            <w:trPr>
              <w:cantSplit/>
              <w:trHeight w:val="835"/>
            </w:trPr>
            <w:tc>
              <w:tcPr>
                <w:tcW w:w="514" w:type="pct"/>
                <w:shd w:val="clear" w:color="auto" w:fill="auto"/>
                <w:textDirection w:val="btLr"/>
                <w:vAlign w:val="center"/>
                <w:hideMark/>
              </w:tcPr>
              <w:p w14:paraId="464C3772" w14:textId="052963D8" w:rsidR="006600A5" w:rsidRPr="00E57210" w:rsidRDefault="006600A5" w:rsidP="006600A5">
                <w:pPr>
                  <w:spacing w:after="0" w:line="240" w:lineRule="auto"/>
                  <w:ind w:left="113" w:right="113"/>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Licencias</w:t>
                </w:r>
              </w:p>
            </w:tc>
            <w:tc>
              <w:tcPr>
                <w:tcW w:w="587" w:type="pct"/>
                <w:shd w:val="clear" w:color="auto" w:fill="auto"/>
                <w:noWrap/>
                <w:vAlign w:val="center"/>
                <w:hideMark/>
              </w:tcPr>
              <w:p w14:paraId="6B7DAB3E" w14:textId="23D732A4" w:rsidR="00410D59" w:rsidRPr="00E57210" w:rsidRDefault="006600A5"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w:t>
                </w:r>
              </w:p>
            </w:tc>
            <w:tc>
              <w:tcPr>
                <w:tcW w:w="661" w:type="pct"/>
                <w:shd w:val="clear" w:color="auto" w:fill="auto"/>
                <w:noWrap/>
                <w:vAlign w:val="center"/>
                <w:hideMark/>
              </w:tcPr>
              <w:p w14:paraId="4F1F6BE6" w14:textId="5649B68C"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2.826.967.616</w:t>
                </w:r>
              </w:p>
            </w:tc>
            <w:tc>
              <w:tcPr>
                <w:tcW w:w="664" w:type="pct"/>
                <w:shd w:val="clear" w:color="auto" w:fill="auto"/>
                <w:noWrap/>
                <w:vAlign w:val="center"/>
                <w:hideMark/>
              </w:tcPr>
              <w:p w14:paraId="037B327F" w14:textId="74AF95FC"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2.826.967.616</w:t>
                </w:r>
              </w:p>
            </w:tc>
            <w:tc>
              <w:tcPr>
                <w:tcW w:w="588" w:type="pct"/>
                <w:shd w:val="clear" w:color="auto" w:fill="auto"/>
                <w:noWrap/>
                <w:vAlign w:val="center"/>
                <w:hideMark/>
              </w:tcPr>
              <w:p w14:paraId="284CE0BE" w14:textId="0F19E919"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w:t>
                </w:r>
              </w:p>
            </w:tc>
            <w:tc>
              <w:tcPr>
                <w:tcW w:w="663" w:type="pct"/>
                <w:shd w:val="clear" w:color="auto" w:fill="auto"/>
                <w:noWrap/>
                <w:vAlign w:val="center"/>
                <w:hideMark/>
              </w:tcPr>
              <w:p w14:paraId="2856B21D" w14:textId="3641C527"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2.459.272.302</w:t>
                </w:r>
              </w:p>
            </w:tc>
            <w:tc>
              <w:tcPr>
                <w:tcW w:w="661" w:type="pct"/>
                <w:shd w:val="clear" w:color="auto" w:fill="auto"/>
                <w:noWrap/>
                <w:vAlign w:val="center"/>
                <w:hideMark/>
              </w:tcPr>
              <w:p w14:paraId="20FBDB41" w14:textId="5B3E6B0D"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2.459.272.302</w:t>
                </w:r>
              </w:p>
            </w:tc>
            <w:tc>
              <w:tcPr>
                <w:tcW w:w="661" w:type="pct"/>
                <w:shd w:val="clear" w:color="auto" w:fill="auto"/>
                <w:noWrap/>
                <w:vAlign w:val="center"/>
                <w:hideMark/>
              </w:tcPr>
              <w:p w14:paraId="7917027C" w14:textId="049DBAB3"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367.695.314</w:t>
                </w:r>
              </w:p>
            </w:tc>
          </w:tr>
          <w:tr w:rsidR="00DC3B0B" w:rsidRPr="00E57210" w14:paraId="0BD7847C" w14:textId="77777777" w:rsidTr="006129B0">
            <w:trPr>
              <w:cantSplit/>
              <w:trHeight w:val="847"/>
            </w:trPr>
            <w:tc>
              <w:tcPr>
                <w:tcW w:w="514" w:type="pct"/>
                <w:shd w:val="clear" w:color="auto" w:fill="auto"/>
                <w:textDirection w:val="btLr"/>
                <w:vAlign w:val="center"/>
                <w:hideMark/>
              </w:tcPr>
              <w:p w14:paraId="5A73CD6E" w14:textId="31491EDA" w:rsidR="006600A5" w:rsidRPr="00E57210" w:rsidRDefault="006600A5" w:rsidP="006600A5">
                <w:pPr>
                  <w:spacing w:after="0" w:line="240" w:lineRule="auto"/>
                  <w:ind w:left="113" w:right="113"/>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Licencias</w:t>
                </w:r>
              </w:p>
            </w:tc>
            <w:tc>
              <w:tcPr>
                <w:tcW w:w="587" w:type="pct"/>
                <w:shd w:val="clear" w:color="auto" w:fill="auto"/>
                <w:noWrap/>
                <w:vAlign w:val="center"/>
                <w:hideMark/>
              </w:tcPr>
              <w:p w14:paraId="3C36FA48" w14:textId="5D315E5F" w:rsidR="00410D59" w:rsidRPr="00E57210" w:rsidRDefault="00410D59" w:rsidP="006600A5">
                <w:pPr>
                  <w:spacing w:after="0" w:line="240" w:lineRule="auto"/>
                  <w:jc w:val="center"/>
                  <w:rPr>
                    <w:rFonts w:ascii="Times New Roman" w:eastAsia="Times New Roman" w:hAnsi="Times New Roman"/>
                    <w:sz w:val="14"/>
                    <w:szCs w:val="14"/>
                    <w:lang w:eastAsia="es-CO"/>
                  </w:rPr>
                </w:pPr>
              </w:p>
            </w:tc>
            <w:tc>
              <w:tcPr>
                <w:tcW w:w="661" w:type="pct"/>
                <w:shd w:val="clear" w:color="auto" w:fill="auto"/>
                <w:noWrap/>
                <w:vAlign w:val="center"/>
                <w:hideMark/>
              </w:tcPr>
              <w:p w14:paraId="242C7912" w14:textId="39E2546B"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2.826.967.616</w:t>
                </w:r>
              </w:p>
            </w:tc>
            <w:tc>
              <w:tcPr>
                <w:tcW w:w="664" w:type="pct"/>
                <w:shd w:val="clear" w:color="auto" w:fill="auto"/>
                <w:noWrap/>
                <w:vAlign w:val="center"/>
                <w:hideMark/>
              </w:tcPr>
              <w:p w14:paraId="592D6401" w14:textId="752F22AF"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2.826.967.616</w:t>
                </w:r>
              </w:p>
            </w:tc>
            <w:tc>
              <w:tcPr>
                <w:tcW w:w="588" w:type="pct"/>
                <w:shd w:val="clear" w:color="auto" w:fill="auto"/>
                <w:noWrap/>
                <w:vAlign w:val="center"/>
                <w:hideMark/>
              </w:tcPr>
              <w:p w14:paraId="3D626A9B" w14:textId="2C527D26" w:rsidR="00410D59" w:rsidRPr="00E57210" w:rsidRDefault="00410D59" w:rsidP="006600A5">
                <w:pPr>
                  <w:spacing w:after="0" w:line="240" w:lineRule="auto"/>
                  <w:jc w:val="center"/>
                  <w:rPr>
                    <w:rFonts w:ascii="Times New Roman" w:eastAsia="Times New Roman" w:hAnsi="Times New Roman"/>
                    <w:sz w:val="14"/>
                    <w:szCs w:val="14"/>
                    <w:lang w:eastAsia="es-CO"/>
                  </w:rPr>
                </w:pPr>
              </w:p>
            </w:tc>
            <w:tc>
              <w:tcPr>
                <w:tcW w:w="663" w:type="pct"/>
                <w:shd w:val="clear" w:color="auto" w:fill="auto"/>
                <w:noWrap/>
                <w:vAlign w:val="center"/>
                <w:hideMark/>
              </w:tcPr>
              <w:p w14:paraId="03A099E6" w14:textId="272F7403"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2.459.272.302</w:t>
                </w:r>
              </w:p>
            </w:tc>
            <w:tc>
              <w:tcPr>
                <w:tcW w:w="661" w:type="pct"/>
                <w:shd w:val="clear" w:color="auto" w:fill="auto"/>
                <w:noWrap/>
                <w:vAlign w:val="center"/>
                <w:hideMark/>
              </w:tcPr>
              <w:p w14:paraId="433CBB03" w14:textId="3F2243EE"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2.459.272.302</w:t>
                </w:r>
              </w:p>
            </w:tc>
            <w:tc>
              <w:tcPr>
                <w:tcW w:w="661" w:type="pct"/>
                <w:shd w:val="clear" w:color="auto" w:fill="auto"/>
                <w:noWrap/>
                <w:vAlign w:val="center"/>
                <w:hideMark/>
              </w:tcPr>
              <w:p w14:paraId="0BDF2D3F" w14:textId="0843BAF1"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367.695.314</w:t>
                </w:r>
              </w:p>
            </w:tc>
          </w:tr>
          <w:tr w:rsidR="00DC3B0B" w:rsidRPr="00E57210" w14:paraId="1D7BE729" w14:textId="77777777" w:rsidTr="006600A5">
            <w:trPr>
              <w:cantSplit/>
              <w:trHeight w:val="909"/>
            </w:trPr>
            <w:tc>
              <w:tcPr>
                <w:tcW w:w="514" w:type="pct"/>
                <w:shd w:val="clear" w:color="auto" w:fill="auto"/>
                <w:textDirection w:val="btLr"/>
                <w:vAlign w:val="center"/>
                <w:hideMark/>
              </w:tcPr>
              <w:p w14:paraId="7914A182" w14:textId="0151328F" w:rsidR="006600A5" w:rsidRPr="00E57210" w:rsidRDefault="006600A5" w:rsidP="006600A5">
                <w:pPr>
                  <w:spacing w:after="0" w:line="240" w:lineRule="auto"/>
                  <w:ind w:left="113" w:right="113"/>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Softwares</w:t>
                </w:r>
              </w:p>
            </w:tc>
            <w:tc>
              <w:tcPr>
                <w:tcW w:w="587" w:type="pct"/>
                <w:shd w:val="clear" w:color="auto" w:fill="auto"/>
                <w:noWrap/>
                <w:vAlign w:val="center"/>
                <w:hideMark/>
              </w:tcPr>
              <w:p w14:paraId="7F17EF81" w14:textId="51389914" w:rsidR="00410D59" w:rsidRPr="00E57210" w:rsidRDefault="006600A5"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w:t>
                </w:r>
              </w:p>
            </w:tc>
            <w:tc>
              <w:tcPr>
                <w:tcW w:w="661" w:type="pct"/>
                <w:shd w:val="clear" w:color="auto" w:fill="auto"/>
                <w:noWrap/>
                <w:vAlign w:val="center"/>
                <w:hideMark/>
              </w:tcPr>
              <w:p w14:paraId="544C19AE" w14:textId="01550D9A"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502.769.798</w:t>
                </w:r>
              </w:p>
            </w:tc>
            <w:tc>
              <w:tcPr>
                <w:tcW w:w="664" w:type="pct"/>
                <w:shd w:val="clear" w:color="auto" w:fill="auto"/>
                <w:noWrap/>
                <w:vAlign w:val="center"/>
                <w:hideMark/>
              </w:tcPr>
              <w:p w14:paraId="0681FEC2" w14:textId="4F48C971"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502.769.798</w:t>
                </w:r>
              </w:p>
            </w:tc>
            <w:tc>
              <w:tcPr>
                <w:tcW w:w="588" w:type="pct"/>
                <w:shd w:val="clear" w:color="auto" w:fill="auto"/>
                <w:noWrap/>
                <w:vAlign w:val="center"/>
                <w:hideMark/>
              </w:tcPr>
              <w:p w14:paraId="44170416" w14:textId="3664DC5A"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w:t>
                </w:r>
              </w:p>
            </w:tc>
            <w:tc>
              <w:tcPr>
                <w:tcW w:w="663" w:type="pct"/>
                <w:shd w:val="clear" w:color="auto" w:fill="auto"/>
                <w:noWrap/>
                <w:vAlign w:val="center"/>
                <w:hideMark/>
              </w:tcPr>
              <w:p w14:paraId="42048EE4" w14:textId="2B2D5DCA"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495.477.834</w:t>
                </w:r>
              </w:p>
            </w:tc>
            <w:tc>
              <w:tcPr>
                <w:tcW w:w="661" w:type="pct"/>
                <w:shd w:val="clear" w:color="auto" w:fill="auto"/>
                <w:noWrap/>
                <w:vAlign w:val="center"/>
                <w:hideMark/>
              </w:tcPr>
              <w:p w14:paraId="43EAA4EF" w14:textId="2539800E"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495.477.834</w:t>
                </w:r>
              </w:p>
            </w:tc>
            <w:tc>
              <w:tcPr>
                <w:tcW w:w="661" w:type="pct"/>
                <w:shd w:val="clear" w:color="auto" w:fill="auto"/>
                <w:noWrap/>
                <w:vAlign w:val="center"/>
                <w:hideMark/>
              </w:tcPr>
              <w:p w14:paraId="1BC63214" w14:textId="29F27207"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7.291.964</w:t>
                </w:r>
              </w:p>
            </w:tc>
          </w:tr>
          <w:tr w:rsidR="00DC3B0B" w:rsidRPr="00E57210" w14:paraId="6FABF387" w14:textId="77777777" w:rsidTr="006129B0">
            <w:trPr>
              <w:cantSplit/>
              <w:trHeight w:val="887"/>
            </w:trPr>
            <w:tc>
              <w:tcPr>
                <w:tcW w:w="514" w:type="pct"/>
                <w:shd w:val="clear" w:color="auto" w:fill="auto"/>
                <w:textDirection w:val="btLr"/>
                <w:vAlign w:val="center"/>
                <w:hideMark/>
              </w:tcPr>
              <w:p w14:paraId="3711BD6E" w14:textId="788FCB44" w:rsidR="006600A5" w:rsidRPr="00E57210" w:rsidRDefault="006600A5" w:rsidP="006600A5">
                <w:pPr>
                  <w:spacing w:after="0" w:line="240" w:lineRule="auto"/>
                  <w:ind w:left="113" w:right="113"/>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Softwares</w:t>
                </w:r>
              </w:p>
            </w:tc>
            <w:tc>
              <w:tcPr>
                <w:tcW w:w="587" w:type="pct"/>
                <w:shd w:val="clear" w:color="auto" w:fill="auto"/>
                <w:noWrap/>
                <w:vAlign w:val="center"/>
                <w:hideMark/>
              </w:tcPr>
              <w:p w14:paraId="360AA2DB" w14:textId="3F75DFCC" w:rsidR="00410D59" w:rsidRPr="00E57210" w:rsidRDefault="00410D59" w:rsidP="006600A5">
                <w:pPr>
                  <w:spacing w:after="0" w:line="240" w:lineRule="auto"/>
                  <w:jc w:val="center"/>
                  <w:rPr>
                    <w:rFonts w:ascii="Times New Roman" w:eastAsia="Times New Roman" w:hAnsi="Times New Roman"/>
                    <w:sz w:val="14"/>
                    <w:szCs w:val="14"/>
                    <w:lang w:eastAsia="es-CO"/>
                  </w:rPr>
                </w:pPr>
              </w:p>
            </w:tc>
            <w:tc>
              <w:tcPr>
                <w:tcW w:w="661" w:type="pct"/>
                <w:shd w:val="clear" w:color="auto" w:fill="auto"/>
                <w:noWrap/>
                <w:vAlign w:val="center"/>
                <w:hideMark/>
              </w:tcPr>
              <w:p w14:paraId="5116877F" w14:textId="281764C3"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502.769.798</w:t>
                </w:r>
              </w:p>
            </w:tc>
            <w:tc>
              <w:tcPr>
                <w:tcW w:w="664" w:type="pct"/>
                <w:shd w:val="clear" w:color="auto" w:fill="auto"/>
                <w:noWrap/>
                <w:vAlign w:val="center"/>
                <w:hideMark/>
              </w:tcPr>
              <w:p w14:paraId="6858E81A" w14:textId="2481438A"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502.769.798</w:t>
                </w:r>
              </w:p>
            </w:tc>
            <w:tc>
              <w:tcPr>
                <w:tcW w:w="588" w:type="pct"/>
                <w:shd w:val="clear" w:color="auto" w:fill="auto"/>
                <w:noWrap/>
                <w:vAlign w:val="center"/>
                <w:hideMark/>
              </w:tcPr>
              <w:p w14:paraId="35CD2CE6" w14:textId="0E08CF8A" w:rsidR="00410D59" w:rsidRPr="00E57210" w:rsidRDefault="00410D59" w:rsidP="006600A5">
                <w:pPr>
                  <w:spacing w:after="0" w:line="240" w:lineRule="auto"/>
                  <w:jc w:val="center"/>
                  <w:rPr>
                    <w:rFonts w:ascii="Times New Roman" w:eastAsia="Times New Roman" w:hAnsi="Times New Roman"/>
                    <w:sz w:val="14"/>
                    <w:szCs w:val="14"/>
                    <w:lang w:eastAsia="es-CO"/>
                  </w:rPr>
                </w:pPr>
              </w:p>
            </w:tc>
            <w:tc>
              <w:tcPr>
                <w:tcW w:w="663" w:type="pct"/>
                <w:shd w:val="clear" w:color="auto" w:fill="auto"/>
                <w:noWrap/>
                <w:vAlign w:val="center"/>
                <w:hideMark/>
              </w:tcPr>
              <w:p w14:paraId="1B404C46" w14:textId="030EA2C6"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495.477.834</w:t>
                </w:r>
              </w:p>
            </w:tc>
            <w:tc>
              <w:tcPr>
                <w:tcW w:w="661" w:type="pct"/>
                <w:shd w:val="clear" w:color="auto" w:fill="auto"/>
                <w:noWrap/>
                <w:vAlign w:val="center"/>
                <w:hideMark/>
              </w:tcPr>
              <w:p w14:paraId="0CBACF4E" w14:textId="565E94B2"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495.477.834</w:t>
                </w:r>
              </w:p>
            </w:tc>
            <w:tc>
              <w:tcPr>
                <w:tcW w:w="661" w:type="pct"/>
                <w:shd w:val="clear" w:color="auto" w:fill="auto"/>
                <w:noWrap/>
                <w:vAlign w:val="center"/>
                <w:hideMark/>
              </w:tcPr>
              <w:p w14:paraId="75AFADD0" w14:textId="057B4FFA"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7.291.964</w:t>
                </w:r>
              </w:p>
            </w:tc>
          </w:tr>
          <w:tr w:rsidR="00DC3B0B" w:rsidRPr="00E57210" w14:paraId="75F0BD1F" w14:textId="77777777" w:rsidTr="006600A5">
            <w:trPr>
              <w:cantSplit/>
              <w:trHeight w:val="1134"/>
            </w:trPr>
            <w:tc>
              <w:tcPr>
                <w:tcW w:w="514" w:type="pct"/>
                <w:shd w:val="clear" w:color="auto" w:fill="auto"/>
                <w:textDirection w:val="btLr"/>
                <w:vAlign w:val="center"/>
                <w:hideMark/>
              </w:tcPr>
              <w:p w14:paraId="60C12F5A" w14:textId="36F67B2E" w:rsidR="006600A5" w:rsidRPr="00E57210" w:rsidRDefault="006600A5" w:rsidP="006600A5">
                <w:pPr>
                  <w:spacing w:after="0" w:line="240" w:lineRule="auto"/>
                  <w:ind w:left="113" w:right="113"/>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Activos intangibles en concesión</w:t>
                </w:r>
              </w:p>
            </w:tc>
            <w:tc>
              <w:tcPr>
                <w:tcW w:w="587" w:type="pct"/>
                <w:shd w:val="clear" w:color="auto" w:fill="auto"/>
                <w:noWrap/>
                <w:vAlign w:val="center"/>
                <w:hideMark/>
              </w:tcPr>
              <w:p w14:paraId="5264BBDB" w14:textId="417372F3" w:rsidR="00410D59" w:rsidRPr="00E57210" w:rsidRDefault="006600A5"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w:t>
                </w:r>
              </w:p>
            </w:tc>
            <w:tc>
              <w:tcPr>
                <w:tcW w:w="661" w:type="pct"/>
                <w:shd w:val="clear" w:color="auto" w:fill="auto"/>
                <w:noWrap/>
                <w:vAlign w:val="center"/>
                <w:hideMark/>
              </w:tcPr>
              <w:p w14:paraId="7D87AE8D" w14:textId="7B55EA1E"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241.471.174.112</w:t>
                </w:r>
              </w:p>
            </w:tc>
            <w:tc>
              <w:tcPr>
                <w:tcW w:w="664" w:type="pct"/>
                <w:shd w:val="clear" w:color="auto" w:fill="auto"/>
                <w:noWrap/>
                <w:vAlign w:val="center"/>
                <w:hideMark/>
              </w:tcPr>
              <w:p w14:paraId="594049F0" w14:textId="5FC7FEDE"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241.471.174.112</w:t>
                </w:r>
              </w:p>
            </w:tc>
            <w:tc>
              <w:tcPr>
                <w:tcW w:w="588" w:type="pct"/>
                <w:shd w:val="clear" w:color="auto" w:fill="auto"/>
                <w:noWrap/>
                <w:vAlign w:val="center"/>
                <w:hideMark/>
              </w:tcPr>
              <w:p w14:paraId="126159A0" w14:textId="16897C3E"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w:t>
                </w:r>
              </w:p>
            </w:tc>
            <w:tc>
              <w:tcPr>
                <w:tcW w:w="663" w:type="pct"/>
                <w:shd w:val="clear" w:color="auto" w:fill="auto"/>
                <w:noWrap/>
                <w:vAlign w:val="center"/>
                <w:hideMark/>
              </w:tcPr>
              <w:p w14:paraId="3BB81602" w14:textId="6E58DB5B"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226.390.683.281</w:t>
                </w:r>
              </w:p>
            </w:tc>
            <w:tc>
              <w:tcPr>
                <w:tcW w:w="661" w:type="pct"/>
                <w:shd w:val="clear" w:color="auto" w:fill="auto"/>
                <w:noWrap/>
                <w:vAlign w:val="center"/>
                <w:hideMark/>
              </w:tcPr>
              <w:p w14:paraId="20311E20" w14:textId="61E42A51"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226.390.683.281</w:t>
                </w:r>
              </w:p>
            </w:tc>
            <w:tc>
              <w:tcPr>
                <w:tcW w:w="661" w:type="pct"/>
                <w:shd w:val="clear" w:color="auto" w:fill="auto"/>
                <w:noWrap/>
                <w:vAlign w:val="center"/>
                <w:hideMark/>
              </w:tcPr>
              <w:p w14:paraId="175D6B79" w14:textId="093853CC"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15.080.490.831</w:t>
                </w:r>
              </w:p>
            </w:tc>
          </w:tr>
          <w:tr w:rsidR="00DC3B0B" w:rsidRPr="00E57210" w14:paraId="3ECBC1C3" w14:textId="77777777" w:rsidTr="006600A5">
            <w:trPr>
              <w:cantSplit/>
              <w:trHeight w:val="963"/>
            </w:trPr>
            <w:tc>
              <w:tcPr>
                <w:tcW w:w="514" w:type="pct"/>
                <w:shd w:val="clear" w:color="auto" w:fill="auto"/>
                <w:textDirection w:val="btLr"/>
                <w:vAlign w:val="center"/>
                <w:hideMark/>
              </w:tcPr>
              <w:p w14:paraId="2728D7B4" w14:textId="28CCC34F" w:rsidR="006600A5" w:rsidRPr="00E57210" w:rsidRDefault="006600A5" w:rsidP="006600A5">
                <w:pPr>
                  <w:spacing w:after="0" w:line="240" w:lineRule="auto"/>
                  <w:ind w:left="113" w:right="113"/>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Activos intangibles en concesión</w:t>
                </w:r>
              </w:p>
            </w:tc>
            <w:tc>
              <w:tcPr>
                <w:tcW w:w="587" w:type="pct"/>
                <w:shd w:val="clear" w:color="auto" w:fill="auto"/>
                <w:noWrap/>
                <w:vAlign w:val="center"/>
                <w:hideMark/>
              </w:tcPr>
              <w:p w14:paraId="66C1267E" w14:textId="526D6F7C" w:rsidR="00410D59" w:rsidRPr="00E57210" w:rsidRDefault="00410D59" w:rsidP="006600A5">
                <w:pPr>
                  <w:spacing w:after="0" w:line="240" w:lineRule="auto"/>
                  <w:jc w:val="center"/>
                  <w:rPr>
                    <w:rFonts w:ascii="Times New Roman" w:eastAsia="Times New Roman" w:hAnsi="Times New Roman"/>
                    <w:sz w:val="14"/>
                    <w:szCs w:val="14"/>
                    <w:lang w:eastAsia="es-CO"/>
                  </w:rPr>
                </w:pPr>
              </w:p>
            </w:tc>
            <w:tc>
              <w:tcPr>
                <w:tcW w:w="661" w:type="pct"/>
                <w:shd w:val="clear" w:color="auto" w:fill="auto"/>
                <w:noWrap/>
                <w:vAlign w:val="center"/>
                <w:hideMark/>
              </w:tcPr>
              <w:p w14:paraId="1AEE9108" w14:textId="76901352"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241.471.174.112</w:t>
                </w:r>
              </w:p>
            </w:tc>
            <w:tc>
              <w:tcPr>
                <w:tcW w:w="664" w:type="pct"/>
                <w:shd w:val="clear" w:color="auto" w:fill="auto"/>
                <w:noWrap/>
                <w:vAlign w:val="center"/>
                <w:hideMark/>
              </w:tcPr>
              <w:p w14:paraId="4D3EB0E7" w14:textId="53DA6EFD"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241.471.174.112</w:t>
                </w:r>
              </w:p>
            </w:tc>
            <w:tc>
              <w:tcPr>
                <w:tcW w:w="588" w:type="pct"/>
                <w:shd w:val="clear" w:color="auto" w:fill="auto"/>
                <w:noWrap/>
                <w:vAlign w:val="center"/>
                <w:hideMark/>
              </w:tcPr>
              <w:p w14:paraId="79157551" w14:textId="7DE0C2AA" w:rsidR="00410D59" w:rsidRPr="00E57210" w:rsidRDefault="00410D59" w:rsidP="006600A5">
                <w:pPr>
                  <w:spacing w:after="0" w:line="240" w:lineRule="auto"/>
                  <w:jc w:val="center"/>
                  <w:rPr>
                    <w:rFonts w:ascii="Times New Roman" w:eastAsia="Times New Roman" w:hAnsi="Times New Roman"/>
                    <w:sz w:val="14"/>
                    <w:szCs w:val="14"/>
                    <w:lang w:eastAsia="es-CO"/>
                  </w:rPr>
                </w:pPr>
              </w:p>
            </w:tc>
            <w:tc>
              <w:tcPr>
                <w:tcW w:w="663" w:type="pct"/>
                <w:shd w:val="clear" w:color="auto" w:fill="auto"/>
                <w:noWrap/>
                <w:vAlign w:val="center"/>
                <w:hideMark/>
              </w:tcPr>
              <w:p w14:paraId="474297BE" w14:textId="2D645DB0"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226.390.683.281</w:t>
                </w:r>
              </w:p>
            </w:tc>
            <w:tc>
              <w:tcPr>
                <w:tcW w:w="661" w:type="pct"/>
                <w:shd w:val="clear" w:color="auto" w:fill="auto"/>
                <w:noWrap/>
                <w:vAlign w:val="center"/>
                <w:hideMark/>
              </w:tcPr>
              <w:p w14:paraId="60C41C7A" w14:textId="6A92BB3F"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226.390.683.281</w:t>
                </w:r>
              </w:p>
            </w:tc>
            <w:tc>
              <w:tcPr>
                <w:tcW w:w="661" w:type="pct"/>
                <w:shd w:val="clear" w:color="auto" w:fill="auto"/>
                <w:noWrap/>
                <w:vAlign w:val="center"/>
                <w:hideMark/>
              </w:tcPr>
              <w:p w14:paraId="5E8566F6" w14:textId="4BBA359E"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15.080.490.831</w:t>
                </w:r>
              </w:p>
            </w:tc>
          </w:tr>
          <w:tr w:rsidR="00DC3B0B" w:rsidRPr="00E57210" w14:paraId="2209DF80" w14:textId="77777777" w:rsidTr="006600A5">
            <w:trPr>
              <w:cantSplit/>
              <w:trHeight w:val="976"/>
            </w:trPr>
            <w:tc>
              <w:tcPr>
                <w:tcW w:w="514" w:type="pct"/>
                <w:shd w:val="clear" w:color="auto" w:fill="auto"/>
                <w:textDirection w:val="btLr"/>
                <w:vAlign w:val="center"/>
                <w:hideMark/>
              </w:tcPr>
              <w:p w14:paraId="2CFBACE4" w14:textId="5A697879" w:rsidR="006600A5" w:rsidRPr="00E57210" w:rsidRDefault="006600A5" w:rsidP="006600A5">
                <w:pPr>
                  <w:spacing w:after="0" w:line="240" w:lineRule="auto"/>
                  <w:ind w:left="113" w:right="113"/>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Licencias</w:t>
                </w:r>
              </w:p>
            </w:tc>
            <w:tc>
              <w:tcPr>
                <w:tcW w:w="587" w:type="pct"/>
                <w:shd w:val="clear" w:color="auto" w:fill="auto"/>
                <w:noWrap/>
                <w:vAlign w:val="center"/>
                <w:hideMark/>
              </w:tcPr>
              <w:p w14:paraId="6F4E7D84" w14:textId="71C24305" w:rsidR="00410D59" w:rsidRPr="00E57210" w:rsidRDefault="006600A5"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w:t>
                </w:r>
              </w:p>
            </w:tc>
            <w:tc>
              <w:tcPr>
                <w:tcW w:w="661" w:type="pct"/>
                <w:shd w:val="clear" w:color="auto" w:fill="auto"/>
                <w:noWrap/>
                <w:vAlign w:val="center"/>
                <w:hideMark/>
              </w:tcPr>
              <w:p w14:paraId="3132144F" w14:textId="4492057C"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- 2.120.435.275</w:t>
                </w:r>
              </w:p>
            </w:tc>
            <w:tc>
              <w:tcPr>
                <w:tcW w:w="664" w:type="pct"/>
                <w:shd w:val="clear" w:color="auto" w:fill="auto"/>
                <w:noWrap/>
                <w:vAlign w:val="center"/>
                <w:hideMark/>
              </w:tcPr>
              <w:p w14:paraId="6941EF24" w14:textId="30E94AD4"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- 2.120.435.275</w:t>
                </w:r>
              </w:p>
            </w:tc>
            <w:tc>
              <w:tcPr>
                <w:tcW w:w="588" w:type="pct"/>
                <w:shd w:val="clear" w:color="auto" w:fill="auto"/>
                <w:noWrap/>
                <w:vAlign w:val="center"/>
                <w:hideMark/>
              </w:tcPr>
              <w:p w14:paraId="21802D1E" w14:textId="00E86642"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w:t>
                </w:r>
              </w:p>
            </w:tc>
            <w:tc>
              <w:tcPr>
                <w:tcW w:w="663" w:type="pct"/>
                <w:shd w:val="clear" w:color="auto" w:fill="auto"/>
                <w:noWrap/>
                <w:vAlign w:val="center"/>
                <w:hideMark/>
              </w:tcPr>
              <w:p w14:paraId="4D4FA719" w14:textId="6EA7B123"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  1.963.126.352</w:t>
                </w:r>
              </w:p>
            </w:tc>
            <w:tc>
              <w:tcPr>
                <w:tcW w:w="661" w:type="pct"/>
                <w:shd w:val="clear" w:color="auto" w:fill="auto"/>
                <w:noWrap/>
                <w:vAlign w:val="center"/>
                <w:hideMark/>
              </w:tcPr>
              <w:p w14:paraId="03CA43B3" w14:textId="324390A4"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   1.963.126.352</w:t>
                </w:r>
              </w:p>
            </w:tc>
            <w:tc>
              <w:tcPr>
                <w:tcW w:w="661" w:type="pct"/>
                <w:shd w:val="clear" w:color="auto" w:fill="auto"/>
                <w:noWrap/>
                <w:vAlign w:val="center"/>
                <w:hideMark/>
              </w:tcPr>
              <w:p w14:paraId="0193E6CC" w14:textId="6510AB6F"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   157.308.923</w:t>
                </w:r>
              </w:p>
            </w:tc>
          </w:tr>
          <w:tr w:rsidR="00DC3B0B" w:rsidRPr="00E57210" w14:paraId="15724449" w14:textId="77777777" w:rsidTr="006600A5">
            <w:trPr>
              <w:cantSplit/>
              <w:trHeight w:val="835"/>
            </w:trPr>
            <w:tc>
              <w:tcPr>
                <w:tcW w:w="514" w:type="pct"/>
                <w:shd w:val="clear" w:color="auto" w:fill="auto"/>
                <w:textDirection w:val="btLr"/>
                <w:vAlign w:val="center"/>
                <w:hideMark/>
              </w:tcPr>
              <w:p w14:paraId="2C778AC7" w14:textId="13A2FF21" w:rsidR="006600A5" w:rsidRPr="00E57210" w:rsidRDefault="006600A5" w:rsidP="006600A5">
                <w:pPr>
                  <w:spacing w:after="0" w:line="240" w:lineRule="auto"/>
                  <w:ind w:left="113" w:right="113"/>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lastRenderedPageBreak/>
                  <w:t>Licencias</w:t>
                </w:r>
              </w:p>
            </w:tc>
            <w:tc>
              <w:tcPr>
                <w:tcW w:w="587" w:type="pct"/>
                <w:shd w:val="clear" w:color="auto" w:fill="auto"/>
                <w:noWrap/>
                <w:vAlign w:val="center"/>
                <w:hideMark/>
              </w:tcPr>
              <w:p w14:paraId="19673BC4" w14:textId="6F225606" w:rsidR="00410D59" w:rsidRPr="00E57210" w:rsidRDefault="00410D59" w:rsidP="006600A5">
                <w:pPr>
                  <w:spacing w:after="0" w:line="240" w:lineRule="auto"/>
                  <w:jc w:val="center"/>
                  <w:rPr>
                    <w:rFonts w:ascii="Times New Roman" w:eastAsia="Times New Roman" w:hAnsi="Times New Roman"/>
                    <w:sz w:val="14"/>
                    <w:szCs w:val="14"/>
                    <w:lang w:eastAsia="es-CO"/>
                  </w:rPr>
                </w:pPr>
              </w:p>
            </w:tc>
            <w:tc>
              <w:tcPr>
                <w:tcW w:w="661" w:type="pct"/>
                <w:shd w:val="clear" w:color="auto" w:fill="auto"/>
                <w:noWrap/>
                <w:vAlign w:val="center"/>
                <w:hideMark/>
              </w:tcPr>
              <w:p w14:paraId="286C99F5" w14:textId="134B177F"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-2.120.435.275</w:t>
                </w:r>
              </w:p>
            </w:tc>
            <w:tc>
              <w:tcPr>
                <w:tcW w:w="664" w:type="pct"/>
                <w:shd w:val="clear" w:color="auto" w:fill="auto"/>
                <w:noWrap/>
                <w:vAlign w:val="center"/>
                <w:hideMark/>
              </w:tcPr>
              <w:p w14:paraId="695B17FB" w14:textId="42D12B98"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-2.120.435.275</w:t>
                </w:r>
              </w:p>
            </w:tc>
            <w:tc>
              <w:tcPr>
                <w:tcW w:w="588" w:type="pct"/>
                <w:shd w:val="clear" w:color="auto" w:fill="auto"/>
                <w:noWrap/>
                <w:vAlign w:val="center"/>
                <w:hideMark/>
              </w:tcPr>
              <w:p w14:paraId="66B3D910" w14:textId="6D82327E" w:rsidR="00410D59" w:rsidRPr="00E57210" w:rsidRDefault="00410D59" w:rsidP="006600A5">
                <w:pPr>
                  <w:spacing w:after="0" w:line="240" w:lineRule="auto"/>
                  <w:jc w:val="center"/>
                  <w:rPr>
                    <w:rFonts w:ascii="Times New Roman" w:eastAsia="Times New Roman" w:hAnsi="Times New Roman"/>
                    <w:sz w:val="14"/>
                    <w:szCs w:val="14"/>
                    <w:lang w:eastAsia="es-CO"/>
                  </w:rPr>
                </w:pPr>
              </w:p>
            </w:tc>
            <w:tc>
              <w:tcPr>
                <w:tcW w:w="663" w:type="pct"/>
                <w:shd w:val="clear" w:color="auto" w:fill="auto"/>
                <w:noWrap/>
                <w:vAlign w:val="center"/>
                <w:hideMark/>
              </w:tcPr>
              <w:p w14:paraId="1C9B35B3" w14:textId="36D80888"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- 1.963.126.352</w:t>
                </w:r>
              </w:p>
            </w:tc>
            <w:tc>
              <w:tcPr>
                <w:tcW w:w="661" w:type="pct"/>
                <w:shd w:val="clear" w:color="auto" w:fill="auto"/>
                <w:noWrap/>
                <w:vAlign w:val="center"/>
                <w:hideMark/>
              </w:tcPr>
              <w:p w14:paraId="0967C350" w14:textId="18CC0D85"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   1.963.126.352</w:t>
                </w:r>
              </w:p>
            </w:tc>
            <w:tc>
              <w:tcPr>
                <w:tcW w:w="661" w:type="pct"/>
                <w:shd w:val="clear" w:color="auto" w:fill="auto"/>
                <w:noWrap/>
                <w:vAlign w:val="center"/>
                <w:hideMark/>
              </w:tcPr>
              <w:p w14:paraId="6CBC78C6" w14:textId="672F5F10"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- 157.308.923</w:t>
                </w:r>
              </w:p>
            </w:tc>
          </w:tr>
          <w:tr w:rsidR="00DC3B0B" w:rsidRPr="00E57210" w14:paraId="7BB4984D" w14:textId="77777777" w:rsidTr="006600A5">
            <w:trPr>
              <w:cantSplit/>
              <w:trHeight w:val="833"/>
            </w:trPr>
            <w:tc>
              <w:tcPr>
                <w:tcW w:w="514" w:type="pct"/>
                <w:shd w:val="clear" w:color="auto" w:fill="auto"/>
                <w:textDirection w:val="btLr"/>
                <w:vAlign w:val="center"/>
                <w:hideMark/>
              </w:tcPr>
              <w:p w14:paraId="277704AA" w14:textId="122D4908" w:rsidR="006600A5" w:rsidRPr="00E57210" w:rsidRDefault="006600A5" w:rsidP="006600A5">
                <w:pPr>
                  <w:spacing w:after="0" w:line="240" w:lineRule="auto"/>
                  <w:ind w:left="113" w:right="113"/>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Softwares</w:t>
                </w:r>
              </w:p>
            </w:tc>
            <w:tc>
              <w:tcPr>
                <w:tcW w:w="587" w:type="pct"/>
                <w:shd w:val="clear" w:color="auto" w:fill="auto"/>
                <w:noWrap/>
                <w:vAlign w:val="center"/>
                <w:hideMark/>
              </w:tcPr>
              <w:p w14:paraId="64C6D938" w14:textId="2C350F76" w:rsidR="00410D59" w:rsidRPr="00E57210" w:rsidRDefault="006600A5"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w:t>
                </w:r>
              </w:p>
            </w:tc>
            <w:tc>
              <w:tcPr>
                <w:tcW w:w="661" w:type="pct"/>
                <w:shd w:val="clear" w:color="auto" w:fill="auto"/>
                <w:noWrap/>
                <w:vAlign w:val="center"/>
                <w:hideMark/>
              </w:tcPr>
              <w:p w14:paraId="3B882A90" w14:textId="0A9EFC9C"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-495.443.987</w:t>
                </w:r>
              </w:p>
            </w:tc>
            <w:tc>
              <w:tcPr>
                <w:tcW w:w="664" w:type="pct"/>
                <w:shd w:val="clear" w:color="auto" w:fill="auto"/>
                <w:noWrap/>
                <w:vAlign w:val="center"/>
                <w:hideMark/>
              </w:tcPr>
              <w:p w14:paraId="71D59B65" w14:textId="104D9EE1"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-495.443.987</w:t>
                </w:r>
              </w:p>
            </w:tc>
            <w:tc>
              <w:tcPr>
                <w:tcW w:w="588" w:type="pct"/>
                <w:shd w:val="clear" w:color="auto" w:fill="auto"/>
                <w:noWrap/>
                <w:vAlign w:val="center"/>
                <w:hideMark/>
              </w:tcPr>
              <w:p w14:paraId="2AB75DAA" w14:textId="0CD4C5AE"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w:t>
                </w:r>
              </w:p>
            </w:tc>
            <w:tc>
              <w:tcPr>
                <w:tcW w:w="663" w:type="pct"/>
                <w:shd w:val="clear" w:color="auto" w:fill="auto"/>
                <w:noWrap/>
                <w:vAlign w:val="center"/>
                <w:hideMark/>
              </w:tcPr>
              <w:p w14:paraId="579112DB" w14:textId="59B05091"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  491.191.259</w:t>
                </w:r>
              </w:p>
            </w:tc>
            <w:tc>
              <w:tcPr>
                <w:tcW w:w="661" w:type="pct"/>
                <w:shd w:val="clear" w:color="auto" w:fill="auto"/>
                <w:noWrap/>
                <w:vAlign w:val="center"/>
                <w:hideMark/>
              </w:tcPr>
              <w:p w14:paraId="738D3C10" w14:textId="5C0FB8E5"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   491.191.259</w:t>
                </w:r>
              </w:p>
            </w:tc>
            <w:tc>
              <w:tcPr>
                <w:tcW w:w="661" w:type="pct"/>
                <w:shd w:val="clear" w:color="auto" w:fill="auto"/>
                <w:noWrap/>
                <w:vAlign w:val="center"/>
                <w:hideMark/>
              </w:tcPr>
              <w:p w14:paraId="0C463038" w14:textId="62350A72"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  4.252.728</w:t>
                </w:r>
              </w:p>
            </w:tc>
          </w:tr>
          <w:tr w:rsidR="00DC3B0B" w:rsidRPr="00E57210" w14:paraId="333EEE77" w14:textId="77777777" w:rsidTr="006600A5">
            <w:trPr>
              <w:cantSplit/>
              <w:trHeight w:val="831"/>
            </w:trPr>
            <w:tc>
              <w:tcPr>
                <w:tcW w:w="514" w:type="pct"/>
                <w:shd w:val="clear" w:color="auto" w:fill="auto"/>
                <w:textDirection w:val="btLr"/>
                <w:vAlign w:val="center"/>
                <w:hideMark/>
              </w:tcPr>
              <w:p w14:paraId="109DC43A" w14:textId="24E3C955" w:rsidR="006600A5" w:rsidRPr="00E57210" w:rsidRDefault="006600A5" w:rsidP="006600A5">
                <w:pPr>
                  <w:spacing w:after="0" w:line="240" w:lineRule="auto"/>
                  <w:ind w:left="113" w:right="113"/>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Softwares</w:t>
                </w:r>
              </w:p>
            </w:tc>
            <w:tc>
              <w:tcPr>
                <w:tcW w:w="587" w:type="pct"/>
                <w:shd w:val="clear" w:color="auto" w:fill="auto"/>
                <w:noWrap/>
                <w:vAlign w:val="center"/>
                <w:hideMark/>
              </w:tcPr>
              <w:p w14:paraId="730A3AD9" w14:textId="51AF8ED4" w:rsidR="00410D59" w:rsidRPr="00E57210" w:rsidRDefault="00410D59" w:rsidP="006600A5">
                <w:pPr>
                  <w:spacing w:after="0" w:line="240" w:lineRule="auto"/>
                  <w:jc w:val="center"/>
                  <w:rPr>
                    <w:rFonts w:ascii="Times New Roman" w:eastAsia="Times New Roman" w:hAnsi="Times New Roman"/>
                    <w:sz w:val="14"/>
                    <w:szCs w:val="14"/>
                    <w:lang w:eastAsia="es-CO"/>
                  </w:rPr>
                </w:pPr>
              </w:p>
            </w:tc>
            <w:tc>
              <w:tcPr>
                <w:tcW w:w="661" w:type="pct"/>
                <w:shd w:val="clear" w:color="auto" w:fill="auto"/>
                <w:noWrap/>
                <w:vAlign w:val="center"/>
                <w:hideMark/>
              </w:tcPr>
              <w:p w14:paraId="6A809F0D" w14:textId="570749C2"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   495.443.987</w:t>
                </w:r>
              </w:p>
            </w:tc>
            <w:tc>
              <w:tcPr>
                <w:tcW w:w="664" w:type="pct"/>
                <w:shd w:val="clear" w:color="auto" w:fill="auto"/>
                <w:noWrap/>
                <w:vAlign w:val="center"/>
                <w:hideMark/>
              </w:tcPr>
              <w:p w14:paraId="63629840" w14:textId="4DA58326"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   495.443.987</w:t>
                </w:r>
              </w:p>
            </w:tc>
            <w:tc>
              <w:tcPr>
                <w:tcW w:w="588" w:type="pct"/>
                <w:shd w:val="clear" w:color="auto" w:fill="auto"/>
                <w:noWrap/>
                <w:vAlign w:val="center"/>
                <w:hideMark/>
              </w:tcPr>
              <w:p w14:paraId="5877C9FB" w14:textId="61A52351" w:rsidR="00410D59" w:rsidRPr="00E57210" w:rsidRDefault="00410D59" w:rsidP="006600A5">
                <w:pPr>
                  <w:spacing w:after="0" w:line="240" w:lineRule="auto"/>
                  <w:jc w:val="center"/>
                  <w:rPr>
                    <w:rFonts w:ascii="Times New Roman" w:eastAsia="Times New Roman" w:hAnsi="Times New Roman"/>
                    <w:sz w:val="14"/>
                    <w:szCs w:val="14"/>
                    <w:lang w:eastAsia="es-CO"/>
                  </w:rPr>
                </w:pPr>
              </w:p>
            </w:tc>
            <w:tc>
              <w:tcPr>
                <w:tcW w:w="663" w:type="pct"/>
                <w:shd w:val="clear" w:color="auto" w:fill="auto"/>
                <w:noWrap/>
                <w:vAlign w:val="center"/>
                <w:hideMark/>
              </w:tcPr>
              <w:p w14:paraId="068C9042" w14:textId="1748C474"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  491.191.259</w:t>
                </w:r>
              </w:p>
            </w:tc>
            <w:tc>
              <w:tcPr>
                <w:tcW w:w="661" w:type="pct"/>
                <w:shd w:val="clear" w:color="auto" w:fill="auto"/>
                <w:noWrap/>
                <w:vAlign w:val="center"/>
                <w:hideMark/>
              </w:tcPr>
              <w:p w14:paraId="5986E0EF" w14:textId="5DA54A70"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   491.191.259</w:t>
                </w:r>
              </w:p>
            </w:tc>
            <w:tc>
              <w:tcPr>
                <w:tcW w:w="661" w:type="pct"/>
                <w:shd w:val="clear" w:color="auto" w:fill="auto"/>
                <w:noWrap/>
                <w:vAlign w:val="center"/>
                <w:hideMark/>
              </w:tcPr>
              <w:p w14:paraId="26700A11" w14:textId="2925A2A6"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- 4.252.728</w:t>
                </w:r>
              </w:p>
            </w:tc>
          </w:tr>
          <w:tr w:rsidR="00DC3B0B" w:rsidRPr="00E57210" w14:paraId="294DEF41" w14:textId="77777777" w:rsidTr="006600A5">
            <w:trPr>
              <w:cantSplit/>
              <w:trHeight w:val="984"/>
            </w:trPr>
            <w:tc>
              <w:tcPr>
                <w:tcW w:w="514" w:type="pct"/>
                <w:shd w:val="clear" w:color="auto" w:fill="auto"/>
                <w:textDirection w:val="btLr"/>
                <w:vAlign w:val="center"/>
                <w:hideMark/>
              </w:tcPr>
              <w:p w14:paraId="050BE183" w14:textId="056C8DEC" w:rsidR="006600A5" w:rsidRPr="00E57210" w:rsidRDefault="006600A5" w:rsidP="006600A5">
                <w:pPr>
                  <w:spacing w:after="0" w:line="240" w:lineRule="auto"/>
                  <w:ind w:left="113" w:right="113"/>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Activos intangibles en concesión</w:t>
                </w:r>
              </w:p>
            </w:tc>
            <w:tc>
              <w:tcPr>
                <w:tcW w:w="587" w:type="pct"/>
                <w:shd w:val="clear" w:color="auto" w:fill="auto"/>
                <w:noWrap/>
                <w:vAlign w:val="center"/>
                <w:hideMark/>
              </w:tcPr>
              <w:p w14:paraId="466DBF4C" w14:textId="353A0440" w:rsidR="00410D59" w:rsidRPr="00E57210" w:rsidRDefault="006600A5"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w:t>
                </w:r>
              </w:p>
            </w:tc>
            <w:tc>
              <w:tcPr>
                <w:tcW w:w="661" w:type="pct"/>
                <w:shd w:val="clear" w:color="auto" w:fill="auto"/>
                <w:noWrap/>
                <w:vAlign w:val="center"/>
                <w:hideMark/>
              </w:tcPr>
              <w:p w14:paraId="7B50AE88" w14:textId="0DC1DA61"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   65.066.058.000</w:t>
                </w:r>
              </w:p>
            </w:tc>
            <w:tc>
              <w:tcPr>
                <w:tcW w:w="664" w:type="pct"/>
                <w:shd w:val="clear" w:color="auto" w:fill="auto"/>
                <w:noWrap/>
                <w:vAlign w:val="center"/>
                <w:hideMark/>
              </w:tcPr>
              <w:p w14:paraId="61449522" w14:textId="60E36785"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   65.066.058.000</w:t>
                </w:r>
              </w:p>
            </w:tc>
            <w:tc>
              <w:tcPr>
                <w:tcW w:w="588" w:type="pct"/>
                <w:shd w:val="clear" w:color="auto" w:fill="auto"/>
                <w:noWrap/>
                <w:vAlign w:val="center"/>
                <w:hideMark/>
              </w:tcPr>
              <w:p w14:paraId="1F1A31C3" w14:textId="0F074092"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w:t>
                </w:r>
              </w:p>
            </w:tc>
            <w:tc>
              <w:tcPr>
                <w:tcW w:w="663" w:type="pct"/>
                <w:shd w:val="clear" w:color="auto" w:fill="auto"/>
                <w:noWrap/>
                <w:vAlign w:val="center"/>
                <w:hideMark/>
              </w:tcPr>
              <w:p w14:paraId="4AF3DBB5" w14:textId="2444E00E"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   16.650.426.000</w:t>
                </w:r>
              </w:p>
            </w:tc>
            <w:tc>
              <w:tcPr>
                <w:tcW w:w="661" w:type="pct"/>
                <w:shd w:val="clear" w:color="auto" w:fill="auto"/>
                <w:noWrap/>
                <w:vAlign w:val="center"/>
                <w:hideMark/>
              </w:tcPr>
              <w:p w14:paraId="08408EBE" w14:textId="015449B7"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-16.650.426.000</w:t>
                </w:r>
              </w:p>
            </w:tc>
            <w:tc>
              <w:tcPr>
                <w:tcW w:w="661" w:type="pct"/>
                <w:shd w:val="clear" w:color="auto" w:fill="auto"/>
                <w:noWrap/>
                <w:vAlign w:val="center"/>
                <w:hideMark/>
              </w:tcPr>
              <w:p w14:paraId="2FB0B64A" w14:textId="199C8FAE"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  48.415.632.000</w:t>
                </w:r>
              </w:p>
            </w:tc>
          </w:tr>
          <w:tr w:rsidR="00DC3B0B" w:rsidRPr="00E57210" w14:paraId="41A985BE" w14:textId="77777777" w:rsidTr="006600A5">
            <w:trPr>
              <w:cantSplit/>
              <w:trHeight w:val="1134"/>
            </w:trPr>
            <w:tc>
              <w:tcPr>
                <w:tcW w:w="514" w:type="pct"/>
                <w:shd w:val="clear" w:color="auto" w:fill="auto"/>
                <w:textDirection w:val="btLr"/>
                <w:vAlign w:val="center"/>
                <w:hideMark/>
              </w:tcPr>
              <w:p w14:paraId="4AB348EB" w14:textId="1D4884CB" w:rsidR="006600A5" w:rsidRPr="00E57210" w:rsidRDefault="006600A5" w:rsidP="006600A5">
                <w:pPr>
                  <w:spacing w:after="0" w:line="240" w:lineRule="auto"/>
                  <w:ind w:left="113" w:right="113"/>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Activos intangibles en concesión</w:t>
                </w:r>
              </w:p>
            </w:tc>
            <w:tc>
              <w:tcPr>
                <w:tcW w:w="587" w:type="pct"/>
                <w:shd w:val="clear" w:color="auto" w:fill="auto"/>
                <w:noWrap/>
                <w:vAlign w:val="center"/>
                <w:hideMark/>
              </w:tcPr>
              <w:p w14:paraId="127DF70D" w14:textId="021B1EF4" w:rsidR="00410D59" w:rsidRPr="00E57210" w:rsidRDefault="00410D59" w:rsidP="006600A5">
                <w:pPr>
                  <w:spacing w:after="0" w:line="240" w:lineRule="auto"/>
                  <w:jc w:val="center"/>
                  <w:rPr>
                    <w:rFonts w:ascii="Times New Roman" w:eastAsia="Times New Roman" w:hAnsi="Times New Roman"/>
                    <w:sz w:val="14"/>
                    <w:szCs w:val="14"/>
                    <w:lang w:eastAsia="es-CO"/>
                  </w:rPr>
                </w:pPr>
              </w:p>
            </w:tc>
            <w:tc>
              <w:tcPr>
                <w:tcW w:w="661" w:type="pct"/>
                <w:shd w:val="clear" w:color="auto" w:fill="auto"/>
                <w:noWrap/>
                <w:vAlign w:val="center"/>
                <w:hideMark/>
              </w:tcPr>
              <w:p w14:paraId="057B780E" w14:textId="657F1F23"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- 65.066.058.000</w:t>
                </w:r>
              </w:p>
            </w:tc>
            <w:tc>
              <w:tcPr>
                <w:tcW w:w="664" w:type="pct"/>
                <w:shd w:val="clear" w:color="auto" w:fill="auto"/>
                <w:noWrap/>
                <w:vAlign w:val="center"/>
                <w:hideMark/>
              </w:tcPr>
              <w:p w14:paraId="6CB96BC1" w14:textId="58DA7585"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- 65.066.058.000</w:t>
                </w:r>
              </w:p>
            </w:tc>
            <w:tc>
              <w:tcPr>
                <w:tcW w:w="588" w:type="pct"/>
                <w:shd w:val="clear" w:color="auto" w:fill="auto"/>
                <w:noWrap/>
                <w:vAlign w:val="center"/>
                <w:hideMark/>
              </w:tcPr>
              <w:p w14:paraId="2067AD92" w14:textId="4FDB4269" w:rsidR="00410D59" w:rsidRPr="00E57210" w:rsidRDefault="00410D59" w:rsidP="006600A5">
                <w:pPr>
                  <w:spacing w:after="0" w:line="240" w:lineRule="auto"/>
                  <w:jc w:val="center"/>
                  <w:rPr>
                    <w:rFonts w:ascii="Times New Roman" w:eastAsia="Times New Roman" w:hAnsi="Times New Roman"/>
                    <w:sz w:val="14"/>
                    <w:szCs w:val="14"/>
                    <w:lang w:eastAsia="es-CO"/>
                  </w:rPr>
                </w:pPr>
              </w:p>
            </w:tc>
            <w:tc>
              <w:tcPr>
                <w:tcW w:w="663" w:type="pct"/>
                <w:shd w:val="clear" w:color="auto" w:fill="auto"/>
                <w:noWrap/>
                <w:vAlign w:val="center"/>
                <w:hideMark/>
              </w:tcPr>
              <w:p w14:paraId="447A8797" w14:textId="298FA0D8"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  16.650.426.000</w:t>
                </w:r>
              </w:p>
            </w:tc>
            <w:tc>
              <w:tcPr>
                <w:tcW w:w="661" w:type="pct"/>
                <w:shd w:val="clear" w:color="auto" w:fill="auto"/>
                <w:noWrap/>
                <w:vAlign w:val="center"/>
                <w:hideMark/>
              </w:tcPr>
              <w:p w14:paraId="2BB0859F" w14:textId="061A4B20"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   16.650.426.000</w:t>
                </w:r>
              </w:p>
            </w:tc>
            <w:tc>
              <w:tcPr>
                <w:tcW w:w="661" w:type="pct"/>
                <w:shd w:val="clear" w:color="auto" w:fill="auto"/>
                <w:noWrap/>
                <w:vAlign w:val="center"/>
                <w:hideMark/>
              </w:tcPr>
              <w:p w14:paraId="2E02EF77" w14:textId="39C0B722"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   48.415.632.000</w:t>
                </w:r>
              </w:p>
            </w:tc>
          </w:tr>
          <w:tr w:rsidR="00DC3B0B" w:rsidRPr="00E57210" w14:paraId="43027E8B" w14:textId="77777777" w:rsidTr="006600A5">
            <w:trPr>
              <w:cantSplit/>
              <w:trHeight w:val="2055"/>
            </w:trPr>
            <w:tc>
              <w:tcPr>
                <w:tcW w:w="514" w:type="pct"/>
                <w:shd w:val="clear" w:color="auto" w:fill="auto"/>
                <w:textDirection w:val="btLr"/>
                <w:vAlign w:val="center"/>
                <w:hideMark/>
              </w:tcPr>
              <w:p w14:paraId="63A31B7F" w14:textId="42548975" w:rsidR="006600A5" w:rsidRPr="00E57210" w:rsidRDefault="006600A5" w:rsidP="006600A5">
                <w:pPr>
                  <w:spacing w:after="0" w:line="240" w:lineRule="auto"/>
                  <w:ind w:left="113" w:right="113"/>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Recursos de la entidad concedente en patrimonios autónomos constituidos por concesionarios privados</w:t>
                </w:r>
              </w:p>
            </w:tc>
            <w:tc>
              <w:tcPr>
                <w:tcW w:w="587" w:type="pct"/>
                <w:shd w:val="clear" w:color="auto" w:fill="auto"/>
                <w:noWrap/>
                <w:vAlign w:val="center"/>
                <w:hideMark/>
              </w:tcPr>
              <w:p w14:paraId="09DB3BA7" w14:textId="2AFDBA9C" w:rsidR="00410D59" w:rsidRPr="00E57210" w:rsidRDefault="006600A5"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w:t>
                </w:r>
              </w:p>
            </w:tc>
            <w:tc>
              <w:tcPr>
                <w:tcW w:w="661" w:type="pct"/>
                <w:shd w:val="clear" w:color="auto" w:fill="auto"/>
                <w:noWrap/>
                <w:vAlign w:val="center"/>
                <w:hideMark/>
              </w:tcPr>
              <w:p w14:paraId="3A8C2FE3" w14:textId="2F12EA6C"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10.034.968.134.092</w:t>
                </w:r>
              </w:p>
            </w:tc>
            <w:tc>
              <w:tcPr>
                <w:tcW w:w="664" w:type="pct"/>
                <w:shd w:val="clear" w:color="auto" w:fill="auto"/>
                <w:noWrap/>
                <w:vAlign w:val="center"/>
                <w:hideMark/>
              </w:tcPr>
              <w:p w14:paraId="2F15F67A" w14:textId="43F2C794"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10.034.968.134.092</w:t>
                </w:r>
              </w:p>
            </w:tc>
            <w:tc>
              <w:tcPr>
                <w:tcW w:w="588" w:type="pct"/>
                <w:shd w:val="clear" w:color="auto" w:fill="auto"/>
                <w:noWrap/>
                <w:vAlign w:val="center"/>
                <w:hideMark/>
              </w:tcPr>
              <w:p w14:paraId="789D6615" w14:textId="53DF4F28"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w:t>
                </w:r>
              </w:p>
            </w:tc>
            <w:tc>
              <w:tcPr>
                <w:tcW w:w="663" w:type="pct"/>
                <w:shd w:val="clear" w:color="auto" w:fill="auto"/>
                <w:noWrap/>
                <w:vAlign w:val="center"/>
                <w:hideMark/>
              </w:tcPr>
              <w:p w14:paraId="49622392" w14:textId="6826D09A"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10.313.886.249.666</w:t>
                </w:r>
              </w:p>
            </w:tc>
            <w:tc>
              <w:tcPr>
                <w:tcW w:w="661" w:type="pct"/>
                <w:shd w:val="clear" w:color="auto" w:fill="auto"/>
                <w:noWrap/>
                <w:vAlign w:val="center"/>
                <w:hideMark/>
              </w:tcPr>
              <w:p w14:paraId="54FB8043" w14:textId="6BDC6944"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10.313.886.249.666</w:t>
                </w:r>
              </w:p>
            </w:tc>
            <w:tc>
              <w:tcPr>
                <w:tcW w:w="661" w:type="pct"/>
                <w:shd w:val="clear" w:color="auto" w:fill="auto"/>
                <w:noWrap/>
                <w:vAlign w:val="center"/>
                <w:hideMark/>
              </w:tcPr>
              <w:p w14:paraId="4F747D94" w14:textId="01BF3CCF" w:rsidR="00410D59" w:rsidRPr="00E57210" w:rsidRDefault="00410D59" w:rsidP="006600A5">
                <w:pPr>
                  <w:spacing w:after="0" w:line="240" w:lineRule="auto"/>
                  <w:jc w:val="center"/>
                  <w:rPr>
                    <w:rFonts w:ascii="Times New Roman" w:eastAsia="Times New Roman" w:hAnsi="Times New Roman"/>
                    <w:b/>
                    <w:sz w:val="14"/>
                    <w:szCs w:val="14"/>
                    <w:lang w:eastAsia="es-CO"/>
                  </w:rPr>
                </w:pPr>
                <w:r w:rsidRPr="00E57210">
                  <w:rPr>
                    <w:rFonts w:ascii="Times New Roman" w:eastAsia="Times New Roman" w:hAnsi="Times New Roman"/>
                    <w:b/>
                    <w:sz w:val="14"/>
                    <w:szCs w:val="14"/>
                    <w:lang w:eastAsia="es-CO"/>
                  </w:rPr>
                  <w:t>- 278.918.115.574</w:t>
                </w:r>
              </w:p>
            </w:tc>
          </w:tr>
          <w:tr w:rsidR="00DC3B0B" w:rsidRPr="00E57210" w14:paraId="34C6E8C9" w14:textId="77777777" w:rsidTr="006600A5">
            <w:trPr>
              <w:cantSplit/>
              <w:trHeight w:val="1971"/>
            </w:trPr>
            <w:tc>
              <w:tcPr>
                <w:tcW w:w="514" w:type="pct"/>
                <w:shd w:val="clear" w:color="auto" w:fill="auto"/>
                <w:textDirection w:val="btLr"/>
                <w:vAlign w:val="center"/>
                <w:hideMark/>
              </w:tcPr>
              <w:p w14:paraId="4014FA25" w14:textId="496EB6A9" w:rsidR="006600A5" w:rsidRPr="00E57210" w:rsidRDefault="006600A5" w:rsidP="006600A5">
                <w:pPr>
                  <w:spacing w:after="0" w:line="240" w:lineRule="auto"/>
                  <w:ind w:left="113" w:right="113"/>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Recursos de la entidad concedente en patrimonios autónomos constituidos por concesionarios privados</w:t>
                </w:r>
              </w:p>
            </w:tc>
            <w:tc>
              <w:tcPr>
                <w:tcW w:w="587" w:type="pct"/>
                <w:shd w:val="clear" w:color="auto" w:fill="auto"/>
                <w:noWrap/>
                <w:vAlign w:val="center"/>
                <w:hideMark/>
              </w:tcPr>
              <w:p w14:paraId="69AF553C" w14:textId="37624C35" w:rsidR="00410D59" w:rsidRPr="00E57210" w:rsidRDefault="00410D59" w:rsidP="006600A5">
                <w:pPr>
                  <w:spacing w:after="0" w:line="240" w:lineRule="auto"/>
                  <w:jc w:val="center"/>
                  <w:rPr>
                    <w:rFonts w:ascii="Times New Roman" w:eastAsia="Times New Roman" w:hAnsi="Times New Roman"/>
                    <w:sz w:val="14"/>
                    <w:szCs w:val="14"/>
                    <w:lang w:eastAsia="es-CO"/>
                  </w:rPr>
                </w:pPr>
              </w:p>
            </w:tc>
            <w:tc>
              <w:tcPr>
                <w:tcW w:w="661" w:type="pct"/>
                <w:shd w:val="clear" w:color="auto" w:fill="auto"/>
                <w:noWrap/>
                <w:vAlign w:val="center"/>
                <w:hideMark/>
              </w:tcPr>
              <w:p w14:paraId="0665CC59" w14:textId="51126CC9"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10.034.968.134.092</w:t>
                </w:r>
              </w:p>
            </w:tc>
            <w:tc>
              <w:tcPr>
                <w:tcW w:w="664" w:type="pct"/>
                <w:shd w:val="clear" w:color="auto" w:fill="auto"/>
                <w:noWrap/>
                <w:vAlign w:val="center"/>
                <w:hideMark/>
              </w:tcPr>
              <w:p w14:paraId="0A5D14E1" w14:textId="4AE44B90"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10.034.968.134.092</w:t>
                </w:r>
              </w:p>
            </w:tc>
            <w:tc>
              <w:tcPr>
                <w:tcW w:w="588" w:type="pct"/>
                <w:shd w:val="clear" w:color="auto" w:fill="auto"/>
                <w:noWrap/>
                <w:vAlign w:val="center"/>
                <w:hideMark/>
              </w:tcPr>
              <w:p w14:paraId="2FF6A51A" w14:textId="3333A669" w:rsidR="00410D59" w:rsidRPr="00E57210" w:rsidRDefault="00410D59" w:rsidP="006600A5">
                <w:pPr>
                  <w:spacing w:after="0" w:line="240" w:lineRule="auto"/>
                  <w:jc w:val="center"/>
                  <w:rPr>
                    <w:rFonts w:ascii="Times New Roman" w:eastAsia="Times New Roman" w:hAnsi="Times New Roman"/>
                    <w:sz w:val="14"/>
                    <w:szCs w:val="14"/>
                    <w:lang w:eastAsia="es-CO"/>
                  </w:rPr>
                </w:pPr>
              </w:p>
            </w:tc>
            <w:tc>
              <w:tcPr>
                <w:tcW w:w="663" w:type="pct"/>
                <w:shd w:val="clear" w:color="auto" w:fill="auto"/>
                <w:noWrap/>
                <w:vAlign w:val="center"/>
                <w:hideMark/>
              </w:tcPr>
              <w:p w14:paraId="2428941D" w14:textId="5F83CE7A"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10.313.886.249.666</w:t>
                </w:r>
              </w:p>
            </w:tc>
            <w:tc>
              <w:tcPr>
                <w:tcW w:w="661" w:type="pct"/>
                <w:shd w:val="clear" w:color="auto" w:fill="auto"/>
                <w:noWrap/>
                <w:vAlign w:val="center"/>
                <w:hideMark/>
              </w:tcPr>
              <w:p w14:paraId="43C6E2D1" w14:textId="17C6E31E"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10.313.886.249.666</w:t>
                </w:r>
              </w:p>
            </w:tc>
            <w:tc>
              <w:tcPr>
                <w:tcW w:w="661" w:type="pct"/>
                <w:shd w:val="clear" w:color="auto" w:fill="auto"/>
                <w:noWrap/>
                <w:vAlign w:val="center"/>
                <w:hideMark/>
              </w:tcPr>
              <w:p w14:paraId="3FF8544D" w14:textId="4403A554" w:rsidR="00410D59" w:rsidRPr="00E57210" w:rsidRDefault="00410D59" w:rsidP="006600A5">
                <w:pPr>
                  <w:spacing w:after="0" w:line="240" w:lineRule="auto"/>
                  <w:jc w:val="center"/>
                  <w:rPr>
                    <w:rFonts w:ascii="Times New Roman" w:eastAsia="Times New Roman" w:hAnsi="Times New Roman"/>
                    <w:sz w:val="14"/>
                    <w:szCs w:val="14"/>
                    <w:lang w:eastAsia="es-CO"/>
                  </w:rPr>
                </w:pPr>
                <w:r w:rsidRPr="00E57210">
                  <w:rPr>
                    <w:rFonts w:ascii="Times New Roman" w:eastAsia="Times New Roman" w:hAnsi="Times New Roman"/>
                    <w:sz w:val="14"/>
                    <w:szCs w:val="14"/>
                    <w:lang w:eastAsia="es-CO"/>
                  </w:rPr>
                  <w:t>-   278.918.115.574</w:t>
                </w:r>
              </w:p>
            </w:tc>
          </w:tr>
        </w:tbl>
        <w:p w14:paraId="17CA5E65" w14:textId="1ABD63FD" w:rsidR="00DE7E53" w:rsidRPr="00931DCE" w:rsidRDefault="00AD2026" w:rsidP="00DE7E53">
          <w:pPr>
            <w:spacing w:after="0" w:line="240" w:lineRule="auto"/>
            <w:rPr>
              <w:rFonts w:ascii="Times New Roman" w:hAnsi="Times New Roman"/>
              <w:sz w:val="14"/>
              <w:szCs w:val="14"/>
            </w:rPr>
          </w:pPr>
          <w:bookmarkStart w:id="52" w:name="_Toc65252974"/>
          <w:r w:rsidRPr="00931DCE">
            <w:rPr>
              <w:rFonts w:ascii="Times New Roman" w:hAnsi="Times New Roman"/>
              <w:sz w:val="14"/>
              <w:szCs w:val="14"/>
            </w:rPr>
            <w:t>Cifras expresadas en pesos</w:t>
          </w:r>
        </w:p>
        <w:p w14:paraId="4FD8B14A" w14:textId="77777777" w:rsidR="00DE7E53" w:rsidRDefault="00DE7E53" w:rsidP="00DE7E53">
          <w:pPr>
            <w:spacing w:after="0" w:line="240" w:lineRule="auto"/>
            <w:jc w:val="both"/>
            <w:rPr>
              <w:rFonts w:ascii="Times New Roman" w:hAnsi="Times New Roman"/>
              <w:b/>
              <w:bCs/>
              <w:noProof/>
              <w:sz w:val="24"/>
              <w:szCs w:val="24"/>
            </w:rPr>
          </w:pPr>
          <w:bookmarkStart w:id="53" w:name="_Toc65252975"/>
          <w:bookmarkEnd w:id="52"/>
        </w:p>
        <w:p w14:paraId="451E390D" w14:textId="77777777" w:rsidR="00265AF5" w:rsidRDefault="00265AF5" w:rsidP="00DE7E53">
          <w:pPr>
            <w:spacing w:after="0" w:line="240" w:lineRule="auto"/>
            <w:jc w:val="both"/>
            <w:rPr>
              <w:rFonts w:ascii="Times New Roman" w:hAnsi="Times New Roman"/>
              <w:b/>
              <w:bCs/>
              <w:noProof/>
              <w:sz w:val="24"/>
              <w:szCs w:val="24"/>
            </w:rPr>
          </w:pPr>
        </w:p>
        <w:p w14:paraId="62F93885" w14:textId="77777777" w:rsidR="00265AF5" w:rsidRPr="00931DCE" w:rsidRDefault="00265AF5" w:rsidP="00DE7E53">
          <w:pPr>
            <w:spacing w:after="0" w:line="240" w:lineRule="auto"/>
            <w:jc w:val="both"/>
            <w:rPr>
              <w:rFonts w:ascii="Times New Roman" w:hAnsi="Times New Roman"/>
              <w:b/>
              <w:bCs/>
              <w:noProof/>
              <w:sz w:val="24"/>
              <w:szCs w:val="24"/>
            </w:rPr>
          </w:pPr>
        </w:p>
        <w:p w14:paraId="47164045" w14:textId="42E20CAD" w:rsidR="00DE7E53" w:rsidRPr="00CA6345" w:rsidRDefault="00DE7E53" w:rsidP="00DE7E53">
          <w:pPr>
            <w:spacing w:after="0" w:line="240" w:lineRule="auto"/>
            <w:jc w:val="both"/>
            <w:rPr>
              <w:rFonts w:ascii="Times New Roman" w:hAnsi="Times New Roman"/>
              <w:b/>
              <w:color w:val="1F3864" w:themeColor="accent1" w:themeShade="80"/>
              <w:sz w:val="24"/>
              <w:szCs w:val="24"/>
            </w:rPr>
          </w:pPr>
          <w:r w:rsidRPr="00CA6345">
            <w:rPr>
              <w:rFonts w:ascii="Times New Roman" w:hAnsi="Times New Roman"/>
              <w:b/>
              <w:color w:val="1F3864" w:themeColor="accent1" w:themeShade="80"/>
              <w:sz w:val="24"/>
              <w:szCs w:val="24"/>
            </w:rPr>
            <w:t>Bienes y servicios pagados por anticipado</w:t>
          </w:r>
          <w:bookmarkEnd w:id="53"/>
        </w:p>
        <w:p w14:paraId="750D25AE" w14:textId="77777777" w:rsidR="00DE7E53" w:rsidRPr="00931DCE" w:rsidRDefault="00DE7E53" w:rsidP="00DE7E53">
          <w:pPr>
            <w:spacing w:after="0" w:line="240" w:lineRule="auto"/>
            <w:jc w:val="both"/>
            <w:rPr>
              <w:rFonts w:ascii="Times New Roman" w:hAnsi="Times New Roman"/>
              <w:b/>
              <w:bCs/>
              <w:noProof/>
              <w:sz w:val="24"/>
              <w:szCs w:val="24"/>
            </w:rPr>
          </w:pPr>
        </w:p>
        <w:p w14:paraId="3BAC6F7B" w14:textId="6D0423E0" w:rsidR="00DE7E53" w:rsidRPr="00931DCE" w:rsidRDefault="00DE7E53" w:rsidP="00DE7E53">
          <w:pPr>
            <w:spacing w:after="0" w:line="240" w:lineRule="auto"/>
            <w:jc w:val="both"/>
            <w:rPr>
              <w:rFonts w:ascii="Times New Roman" w:hAnsi="Times New Roman"/>
              <w:noProof/>
              <w:sz w:val="24"/>
              <w:szCs w:val="24"/>
            </w:rPr>
          </w:pPr>
          <w:r w:rsidRPr="00931DCE">
            <w:rPr>
              <w:rFonts w:ascii="Times New Roman" w:hAnsi="Times New Roman"/>
              <w:noProof/>
              <w:sz w:val="24"/>
              <w:szCs w:val="24"/>
            </w:rPr>
            <w:t xml:space="preserve">Corresponde a los </w:t>
          </w:r>
          <w:r w:rsidRPr="00931DCE">
            <w:rPr>
              <w:rFonts w:ascii="Times New Roman" w:hAnsi="Times New Roman"/>
              <w:sz w:val="24"/>
              <w:szCs w:val="24"/>
            </w:rPr>
            <w:t xml:space="preserve">pagos realizados por anticipado, por concepto de la adquisición de bienes y servicios recibidos de las compañías aseguradoras tales como seguros y licencias que se encuentren condicionados, </w:t>
          </w:r>
          <w:r w:rsidRPr="00931DCE">
            <w:rPr>
              <w:rFonts w:ascii="Times New Roman" w:hAnsi="Times New Roman"/>
              <w:noProof/>
              <w:sz w:val="24"/>
              <w:szCs w:val="24"/>
            </w:rPr>
            <w:t>except</w:t>
          </w:r>
          <w:r w:rsidR="00B567E0">
            <w:rPr>
              <w:rFonts w:ascii="Times New Roman" w:hAnsi="Times New Roman"/>
              <w:noProof/>
              <w:sz w:val="24"/>
              <w:szCs w:val="24"/>
            </w:rPr>
            <w:t>o</w:t>
          </w:r>
          <w:r w:rsidRPr="00931DCE">
            <w:rPr>
              <w:rFonts w:ascii="Times New Roman" w:hAnsi="Times New Roman"/>
              <w:noProof/>
              <w:sz w:val="24"/>
              <w:szCs w:val="24"/>
            </w:rPr>
            <w:t xml:space="preserve"> las pólizas de seguro obligatorio (SOAT) las cuales se registraron al resultado del </w:t>
          </w:r>
          <w:r w:rsidRPr="6647F2F4">
            <w:rPr>
              <w:rFonts w:ascii="Times New Roman" w:hAnsi="Times New Roman"/>
              <w:noProof/>
              <w:sz w:val="24"/>
              <w:szCs w:val="24"/>
            </w:rPr>
            <w:t>peri</w:t>
          </w:r>
          <w:r w:rsidR="1BC6F5CC" w:rsidRPr="6647F2F4">
            <w:rPr>
              <w:rFonts w:ascii="Times New Roman" w:hAnsi="Times New Roman"/>
              <w:noProof/>
              <w:sz w:val="24"/>
              <w:szCs w:val="24"/>
            </w:rPr>
            <w:t>o</w:t>
          </w:r>
          <w:r w:rsidRPr="6647F2F4">
            <w:rPr>
              <w:rFonts w:ascii="Times New Roman" w:hAnsi="Times New Roman"/>
              <w:noProof/>
              <w:sz w:val="24"/>
              <w:szCs w:val="24"/>
            </w:rPr>
            <w:t>do</w:t>
          </w:r>
          <w:r w:rsidRPr="00931DCE">
            <w:rPr>
              <w:rFonts w:ascii="Times New Roman" w:hAnsi="Times New Roman"/>
              <w:noProof/>
              <w:sz w:val="24"/>
              <w:szCs w:val="24"/>
            </w:rPr>
            <w:t>.</w:t>
          </w:r>
        </w:p>
        <w:p w14:paraId="7C1144D6" w14:textId="77777777" w:rsidR="00DE7E53" w:rsidRPr="00931DCE" w:rsidRDefault="00DE7E53" w:rsidP="00DE7E53">
          <w:pPr>
            <w:spacing w:after="0" w:line="240" w:lineRule="auto"/>
            <w:jc w:val="both"/>
            <w:rPr>
              <w:rFonts w:ascii="Times New Roman" w:hAnsi="Times New Roman"/>
              <w:noProof/>
              <w:sz w:val="24"/>
              <w:szCs w:val="24"/>
            </w:rPr>
          </w:pPr>
        </w:p>
        <w:p w14:paraId="613DA869" w14:textId="7EF5BAE8" w:rsidR="00DE7E53" w:rsidRPr="00C803E3" w:rsidRDefault="003233D0" w:rsidP="00DE7E53">
          <w:pPr>
            <w:spacing w:after="0" w:line="240" w:lineRule="auto"/>
            <w:jc w:val="both"/>
            <w:rPr>
              <w:rFonts w:ascii="Times New Roman" w:hAnsi="Times New Roman"/>
              <w:color w:val="000000" w:themeColor="text1"/>
              <w:sz w:val="24"/>
              <w:szCs w:val="24"/>
            </w:rPr>
          </w:pPr>
          <w:r w:rsidRPr="00C803E3">
            <w:rPr>
              <w:rFonts w:ascii="Times New Roman" w:hAnsi="Times New Roman"/>
              <w:color w:val="000000" w:themeColor="text1"/>
              <w:sz w:val="24"/>
              <w:szCs w:val="24"/>
            </w:rPr>
            <w:lastRenderedPageBreak/>
            <w:t>Las</w:t>
          </w:r>
          <w:r w:rsidR="00DE7E53" w:rsidRPr="00C803E3">
            <w:rPr>
              <w:rFonts w:ascii="Times New Roman" w:hAnsi="Times New Roman"/>
              <w:color w:val="000000" w:themeColor="text1"/>
              <w:sz w:val="24"/>
              <w:szCs w:val="24"/>
            </w:rPr>
            <w:t xml:space="preserve"> </w:t>
          </w:r>
          <w:r w:rsidR="5FEBD164" w:rsidRPr="6647F2F4">
            <w:rPr>
              <w:rFonts w:ascii="Times New Roman" w:hAnsi="Times New Roman"/>
              <w:noProof/>
              <w:color w:val="000000" w:themeColor="text1"/>
              <w:sz w:val="24"/>
              <w:szCs w:val="24"/>
            </w:rPr>
            <w:t>pólizas</w:t>
          </w:r>
          <w:r w:rsidR="00DE7E53" w:rsidRPr="00C803E3">
            <w:rPr>
              <w:rFonts w:ascii="Times New Roman" w:hAnsi="Times New Roman"/>
              <w:color w:val="000000" w:themeColor="text1"/>
              <w:sz w:val="24"/>
              <w:szCs w:val="24"/>
            </w:rPr>
            <w:t xml:space="preserve"> de seguro </w:t>
          </w:r>
          <w:r w:rsidR="51D8AB77" w:rsidRPr="4A4C173A">
            <w:rPr>
              <w:rFonts w:ascii="Times New Roman" w:hAnsi="Times New Roman"/>
              <w:noProof/>
              <w:color w:val="000000" w:themeColor="text1"/>
              <w:sz w:val="24"/>
              <w:szCs w:val="24"/>
            </w:rPr>
            <w:t>registradas</w:t>
          </w:r>
          <w:r w:rsidR="00DE7E53" w:rsidRPr="00C803E3">
            <w:rPr>
              <w:rFonts w:ascii="Times New Roman" w:hAnsi="Times New Roman"/>
              <w:color w:val="000000" w:themeColor="text1"/>
              <w:sz w:val="24"/>
              <w:szCs w:val="24"/>
            </w:rPr>
            <w:t xml:space="preserve"> en esta subcuenta fueron objeto de amortización mensual según su fecha de adquisición y vencimiento, el saldo registrado a 31 de diciembre de 202</w:t>
          </w:r>
          <w:r w:rsidR="00835B14" w:rsidRPr="00C803E3">
            <w:rPr>
              <w:rFonts w:ascii="Times New Roman" w:hAnsi="Times New Roman"/>
              <w:color w:val="000000" w:themeColor="text1"/>
              <w:sz w:val="24"/>
              <w:szCs w:val="24"/>
            </w:rPr>
            <w:t>3</w:t>
          </w:r>
          <w:r w:rsidR="00DE7E53" w:rsidRPr="00C803E3">
            <w:rPr>
              <w:rFonts w:ascii="Times New Roman" w:hAnsi="Times New Roman"/>
              <w:color w:val="000000" w:themeColor="text1"/>
              <w:sz w:val="24"/>
              <w:szCs w:val="24"/>
            </w:rPr>
            <w:t>, por valor de $</w:t>
          </w:r>
          <w:r w:rsidR="00D96DAF" w:rsidRPr="00C803E3">
            <w:rPr>
              <w:rFonts w:ascii="Times New Roman" w:hAnsi="Times New Roman"/>
              <w:color w:val="000000" w:themeColor="text1"/>
              <w:sz w:val="24"/>
              <w:szCs w:val="24"/>
            </w:rPr>
            <w:t>802.654</w:t>
          </w:r>
          <w:r w:rsidR="00DC52E2" w:rsidRPr="00C803E3">
            <w:rPr>
              <w:rFonts w:ascii="Times New Roman" w:hAnsi="Times New Roman"/>
              <w:color w:val="000000" w:themeColor="text1"/>
              <w:sz w:val="24"/>
              <w:szCs w:val="24"/>
            </w:rPr>
            <w:t>.389</w:t>
          </w:r>
          <w:r w:rsidR="00DE7E53" w:rsidRPr="00C803E3">
            <w:rPr>
              <w:rFonts w:ascii="Times New Roman" w:hAnsi="Times New Roman"/>
              <w:color w:val="000000" w:themeColor="text1"/>
              <w:sz w:val="24"/>
              <w:szCs w:val="24"/>
            </w:rPr>
            <w:t>, corresponde al valor pendiente por amortizar.</w:t>
          </w:r>
        </w:p>
        <w:p w14:paraId="15729F1C" w14:textId="77777777" w:rsidR="00DE7E53" w:rsidRPr="00931DCE" w:rsidRDefault="00DE7E53" w:rsidP="00DE7E53">
          <w:pPr>
            <w:spacing w:after="0" w:line="240" w:lineRule="auto"/>
            <w:jc w:val="both"/>
            <w:rPr>
              <w:rFonts w:ascii="Times New Roman" w:hAnsi="Times New Roman"/>
              <w:sz w:val="24"/>
              <w:szCs w:val="24"/>
            </w:rPr>
          </w:pPr>
        </w:p>
        <w:p w14:paraId="694EBC47" w14:textId="68AB61D9" w:rsidR="00DE7E53" w:rsidRPr="00931DCE" w:rsidRDefault="00DE7E53" w:rsidP="00DE7E53">
          <w:pPr>
            <w:spacing w:after="0" w:line="240" w:lineRule="auto"/>
            <w:jc w:val="both"/>
            <w:rPr>
              <w:rFonts w:ascii="Times New Roman" w:hAnsi="Times New Roman"/>
              <w:sz w:val="24"/>
              <w:szCs w:val="24"/>
            </w:rPr>
          </w:pPr>
          <w:r w:rsidRPr="00931DCE">
            <w:rPr>
              <w:rFonts w:ascii="Times New Roman" w:hAnsi="Times New Roman"/>
              <w:sz w:val="24"/>
              <w:szCs w:val="24"/>
            </w:rPr>
            <w:t>A continuación, se relaciona los saldos a nivel de compañía aseguradoras:</w:t>
          </w:r>
        </w:p>
        <w:p w14:paraId="11D5B560" w14:textId="77777777" w:rsidR="00DE7E53" w:rsidRPr="00931DCE" w:rsidRDefault="00DE7E53" w:rsidP="00DE7E53">
          <w:pPr>
            <w:spacing w:after="0" w:line="240" w:lineRule="auto"/>
            <w:jc w:val="both"/>
            <w:rPr>
              <w:rFonts w:ascii="Times New Roman" w:hAnsi="Times New Roman"/>
              <w:sz w:val="24"/>
              <w:szCs w:val="24"/>
            </w:rPr>
          </w:pPr>
        </w:p>
        <w:tbl>
          <w:tblPr>
            <w:tblW w:w="5000" w:type="pct"/>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blBorders>
            <w:tblCellMar>
              <w:left w:w="70" w:type="dxa"/>
              <w:right w:w="70" w:type="dxa"/>
            </w:tblCellMar>
            <w:tblLook w:val="04A0" w:firstRow="1" w:lastRow="0" w:firstColumn="1" w:lastColumn="0" w:noHBand="0" w:noVBand="1"/>
          </w:tblPr>
          <w:tblGrid>
            <w:gridCol w:w="1124"/>
            <w:gridCol w:w="994"/>
            <w:gridCol w:w="991"/>
            <w:gridCol w:w="4680"/>
            <w:gridCol w:w="1170"/>
          </w:tblGrid>
          <w:tr w:rsidR="00E41DCF" w:rsidRPr="00D65990" w14:paraId="31E17D60" w14:textId="77777777" w:rsidTr="00CB0BA6">
            <w:trPr>
              <w:trHeight w:val="241"/>
            </w:trPr>
            <w:tc>
              <w:tcPr>
                <w:tcW w:w="627" w:type="pct"/>
                <w:shd w:val="clear" w:color="auto" w:fill="auto"/>
                <w:hideMark/>
              </w:tcPr>
              <w:p w14:paraId="7FFB4C30" w14:textId="673B8195" w:rsidR="00D65990" w:rsidRPr="009A46BB" w:rsidRDefault="00D65990" w:rsidP="00C137CD">
                <w:pPr>
                  <w:spacing w:after="0" w:line="240" w:lineRule="auto"/>
                  <w:jc w:val="center"/>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Subcuenta contable</w:t>
                </w:r>
              </w:p>
            </w:tc>
            <w:tc>
              <w:tcPr>
                <w:tcW w:w="555" w:type="pct"/>
                <w:shd w:val="clear" w:color="auto" w:fill="auto"/>
                <w:hideMark/>
              </w:tcPr>
              <w:p w14:paraId="66A6C432" w14:textId="77777777" w:rsidR="00D65990" w:rsidRPr="009A46BB" w:rsidRDefault="00D65990" w:rsidP="00C137CD">
                <w:pPr>
                  <w:spacing w:after="0" w:line="240" w:lineRule="auto"/>
                  <w:jc w:val="center"/>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Nombre</w:t>
                </w:r>
              </w:p>
            </w:tc>
            <w:tc>
              <w:tcPr>
                <w:tcW w:w="553" w:type="pct"/>
                <w:shd w:val="clear" w:color="auto" w:fill="auto"/>
                <w:hideMark/>
              </w:tcPr>
              <w:p w14:paraId="26C1AE9F" w14:textId="594BA7DE" w:rsidR="00D65990" w:rsidRPr="009A46BB" w:rsidRDefault="00D65990" w:rsidP="00C137CD">
                <w:pPr>
                  <w:spacing w:after="0" w:line="240" w:lineRule="auto"/>
                  <w:jc w:val="center"/>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N</w:t>
                </w:r>
                <w:r w:rsidR="00FD08F0" w:rsidRPr="009A46BB">
                  <w:rPr>
                    <w:rFonts w:ascii="Times New Roman" w:eastAsia="Times New Roman" w:hAnsi="Times New Roman"/>
                    <w:b/>
                    <w:color w:val="000000"/>
                    <w:sz w:val="18"/>
                    <w:szCs w:val="18"/>
                    <w:lang w:eastAsia="es-CO"/>
                  </w:rPr>
                  <w:t>IT</w:t>
                </w:r>
              </w:p>
            </w:tc>
            <w:tc>
              <w:tcPr>
                <w:tcW w:w="2612" w:type="pct"/>
                <w:shd w:val="clear" w:color="auto" w:fill="auto"/>
                <w:hideMark/>
              </w:tcPr>
              <w:p w14:paraId="6F54D849" w14:textId="77777777" w:rsidR="00D65990" w:rsidRPr="009A46BB" w:rsidRDefault="00D65990" w:rsidP="00C137CD">
                <w:pPr>
                  <w:spacing w:after="0" w:line="240" w:lineRule="auto"/>
                  <w:jc w:val="center"/>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Tercero</w:t>
                </w:r>
              </w:p>
            </w:tc>
            <w:tc>
              <w:tcPr>
                <w:tcW w:w="653" w:type="pct"/>
                <w:shd w:val="clear" w:color="auto" w:fill="auto"/>
                <w:hideMark/>
              </w:tcPr>
              <w:p w14:paraId="24FA5026" w14:textId="77777777" w:rsidR="00D65990" w:rsidRPr="009A46BB" w:rsidRDefault="00D65990" w:rsidP="00C137CD">
                <w:pPr>
                  <w:spacing w:after="0" w:line="240" w:lineRule="auto"/>
                  <w:jc w:val="center"/>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Valor</w:t>
                </w:r>
              </w:p>
            </w:tc>
          </w:tr>
          <w:tr w:rsidR="00E41DCF" w:rsidRPr="00D65990" w14:paraId="754B0CF5" w14:textId="77777777" w:rsidTr="00CB0BA6">
            <w:trPr>
              <w:trHeight w:val="20"/>
            </w:trPr>
            <w:tc>
              <w:tcPr>
                <w:tcW w:w="627" w:type="pct"/>
                <w:vMerge w:val="restart"/>
                <w:shd w:val="clear" w:color="auto" w:fill="auto"/>
                <w:vAlign w:val="center"/>
                <w:hideMark/>
              </w:tcPr>
              <w:p w14:paraId="32938EDD" w14:textId="77777777" w:rsidR="00D65990" w:rsidRPr="009A46BB" w:rsidRDefault="00D65990" w:rsidP="00D65990">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190501001</w:t>
                </w:r>
              </w:p>
            </w:tc>
            <w:tc>
              <w:tcPr>
                <w:tcW w:w="555" w:type="pct"/>
                <w:vMerge w:val="restart"/>
                <w:shd w:val="clear" w:color="auto" w:fill="auto"/>
                <w:vAlign w:val="center"/>
                <w:hideMark/>
              </w:tcPr>
              <w:p w14:paraId="61DC7698" w14:textId="77777777" w:rsidR="00D65990" w:rsidRPr="009A46BB" w:rsidRDefault="00D65990" w:rsidP="00D65990">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seguros</w:t>
                </w:r>
              </w:p>
            </w:tc>
            <w:tc>
              <w:tcPr>
                <w:tcW w:w="553" w:type="pct"/>
                <w:shd w:val="clear" w:color="auto" w:fill="auto"/>
                <w:vAlign w:val="center"/>
                <w:hideMark/>
              </w:tcPr>
              <w:p w14:paraId="61BE9BE7" w14:textId="77777777" w:rsidR="00D65990" w:rsidRPr="009A46BB" w:rsidRDefault="00D65990" w:rsidP="00D65990">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860002184</w:t>
                </w:r>
              </w:p>
            </w:tc>
            <w:tc>
              <w:tcPr>
                <w:tcW w:w="2612" w:type="pct"/>
                <w:shd w:val="clear" w:color="auto" w:fill="auto"/>
                <w:vAlign w:val="center"/>
                <w:hideMark/>
              </w:tcPr>
              <w:p w14:paraId="686FE254" w14:textId="77777777" w:rsidR="00D65990" w:rsidRPr="009A46BB" w:rsidRDefault="00D65990" w:rsidP="00D65990">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AXA COLPATRIA SEGUROS S.A.</w:t>
                </w:r>
              </w:p>
            </w:tc>
            <w:tc>
              <w:tcPr>
                <w:tcW w:w="653" w:type="pct"/>
                <w:shd w:val="clear" w:color="auto" w:fill="auto"/>
                <w:vAlign w:val="center"/>
                <w:hideMark/>
              </w:tcPr>
              <w:p w14:paraId="274AA28F" w14:textId="77777777" w:rsidR="00D65990" w:rsidRPr="009A46BB" w:rsidRDefault="00D65990" w:rsidP="00FD0ED5">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545.202.939</w:t>
                </w:r>
              </w:p>
            </w:tc>
          </w:tr>
          <w:tr w:rsidR="00E41DCF" w:rsidRPr="00D65990" w14:paraId="0906CA09" w14:textId="77777777" w:rsidTr="00CB0BA6">
            <w:trPr>
              <w:trHeight w:val="20"/>
            </w:trPr>
            <w:tc>
              <w:tcPr>
                <w:tcW w:w="627" w:type="pct"/>
                <w:vMerge/>
                <w:vAlign w:val="center"/>
                <w:hideMark/>
              </w:tcPr>
              <w:p w14:paraId="5B3CF802" w14:textId="77777777" w:rsidR="00D65990" w:rsidRPr="009A46BB" w:rsidRDefault="00D65990" w:rsidP="00D65990">
                <w:pPr>
                  <w:spacing w:after="0" w:line="240" w:lineRule="auto"/>
                  <w:rPr>
                    <w:rFonts w:ascii="Times New Roman" w:eastAsia="Times New Roman" w:hAnsi="Times New Roman"/>
                    <w:color w:val="000000"/>
                    <w:sz w:val="18"/>
                    <w:szCs w:val="18"/>
                    <w:lang w:eastAsia="es-CO"/>
                  </w:rPr>
                </w:pPr>
              </w:p>
            </w:tc>
            <w:tc>
              <w:tcPr>
                <w:tcW w:w="555" w:type="pct"/>
                <w:vMerge/>
                <w:vAlign w:val="center"/>
                <w:hideMark/>
              </w:tcPr>
              <w:p w14:paraId="4D0338DF" w14:textId="77777777" w:rsidR="00D65990" w:rsidRPr="009A46BB" w:rsidRDefault="00D65990" w:rsidP="00D65990">
                <w:pPr>
                  <w:spacing w:after="0" w:line="240" w:lineRule="auto"/>
                  <w:rPr>
                    <w:rFonts w:ascii="Times New Roman" w:eastAsia="Times New Roman" w:hAnsi="Times New Roman"/>
                    <w:color w:val="000000"/>
                    <w:sz w:val="18"/>
                    <w:szCs w:val="18"/>
                    <w:lang w:eastAsia="es-CO"/>
                  </w:rPr>
                </w:pPr>
              </w:p>
            </w:tc>
            <w:tc>
              <w:tcPr>
                <w:tcW w:w="553" w:type="pct"/>
                <w:shd w:val="clear" w:color="auto" w:fill="auto"/>
                <w:vAlign w:val="center"/>
                <w:hideMark/>
              </w:tcPr>
              <w:p w14:paraId="0FA99C2E" w14:textId="77777777" w:rsidR="00D65990" w:rsidRPr="009A46BB" w:rsidRDefault="00D65990" w:rsidP="00D65990">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901503943</w:t>
                </w:r>
              </w:p>
            </w:tc>
            <w:tc>
              <w:tcPr>
                <w:tcW w:w="2612" w:type="pct"/>
                <w:shd w:val="clear" w:color="auto" w:fill="auto"/>
                <w:vAlign w:val="center"/>
                <w:hideMark/>
              </w:tcPr>
              <w:p w14:paraId="78D94A07" w14:textId="6E66964A" w:rsidR="00D65990" w:rsidRPr="009A46BB" w:rsidRDefault="000F70CE" w:rsidP="00D65990">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Unión</w:t>
                </w:r>
                <w:r w:rsidR="009D25E1" w:rsidRPr="009A46BB">
                  <w:rPr>
                    <w:rFonts w:ascii="Times New Roman" w:eastAsia="Times New Roman" w:hAnsi="Times New Roman"/>
                    <w:color w:val="000000"/>
                    <w:sz w:val="18"/>
                    <w:szCs w:val="18"/>
                    <w:lang w:eastAsia="es-CO"/>
                  </w:rPr>
                  <w:t xml:space="preserve"> Temporal Axa Colpatria Seguros S.A. - Aseguradora Solidaria De Colombia Entidad Cooperativa - Junio 2021</w:t>
                </w:r>
              </w:p>
            </w:tc>
            <w:tc>
              <w:tcPr>
                <w:tcW w:w="653" w:type="pct"/>
                <w:shd w:val="clear" w:color="auto" w:fill="auto"/>
                <w:vAlign w:val="center"/>
                <w:hideMark/>
              </w:tcPr>
              <w:p w14:paraId="42F9ED06" w14:textId="77777777" w:rsidR="00D65990" w:rsidRPr="009A46BB" w:rsidRDefault="00D65990" w:rsidP="00FD0ED5">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244.899.087</w:t>
                </w:r>
              </w:p>
            </w:tc>
          </w:tr>
          <w:tr w:rsidR="00E41DCF" w:rsidRPr="00D65990" w14:paraId="31352AD8" w14:textId="77777777" w:rsidTr="00CB0BA6">
            <w:trPr>
              <w:trHeight w:val="20"/>
            </w:trPr>
            <w:tc>
              <w:tcPr>
                <w:tcW w:w="627" w:type="pct"/>
                <w:vMerge/>
                <w:vAlign w:val="center"/>
                <w:hideMark/>
              </w:tcPr>
              <w:p w14:paraId="6481805A" w14:textId="77777777" w:rsidR="00D65990" w:rsidRPr="009A46BB" w:rsidRDefault="00D65990" w:rsidP="00D65990">
                <w:pPr>
                  <w:spacing w:after="0" w:line="240" w:lineRule="auto"/>
                  <w:rPr>
                    <w:rFonts w:ascii="Times New Roman" w:eastAsia="Times New Roman" w:hAnsi="Times New Roman"/>
                    <w:color w:val="000000"/>
                    <w:sz w:val="18"/>
                    <w:szCs w:val="18"/>
                    <w:lang w:eastAsia="es-CO"/>
                  </w:rPr>
                </w:pPr>
              </w:p>
            </w:tc>
            <w:tc>
              <w:tcPr>
                <w:tcW w:w="555" w:type="pct"/>
                <w:vMerge/>
                <w:vAlign w:val="center"/>
                <w:hideMark/>
              </w:tcPr>
              <w:p w14:paraId="5725E8AA" w14:textId="77777777" w:rsidR="00D65990" w:rsidRPr="009A46BB" w:rsidRDefault="00D65990" w:rsidP="00D65990">
                <w:pPr>
                  <w:spacing w:after="0" w:line="240" w:lineRule="auto"/>
                  <w:rPr>
                    <w:rFonts w:ascii="Times New Roman" w:eastAsia="Times New Roman" w:hAnsi="Times New Roman"/>
                    <w:color w:val="000000"/>
                    <w:sz w:val="18"/>
                    <w:szCs w:val="18"/>
                    <w:lang w:eastAsia="es-CO"/>
                  </w:rPr>
                </w:pPr>
              </w:p>
            </w:tc>
            <w:tc>
              <w:tcPr>
                <w:tcW w:w="553" w:type="pct"/>
                <w:shd w:val="clear" w:color="auto" w:fill="auto"/>
                <w:vAlign w:val="center"/>
                <w:hideMark/>
              </w:tcPr>
              <w:p w14:paraId="645BB825" w14:textId="77777777" w:rsidR="00D65990" w:rsidRPr="009A46BB" w:rsidRDefault="00D65990" w:rsidP="00D65990">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901749145</w:t>
                </w:r>
              </w:p>
            </w:tc>
            <w:tc>
              <w:tcPr>
                <w:tcW w:w="2612" w:type="pct"/>
                <w:shd w:val="clear" w:color="auto" w:fill="auto"/>
                <w:vAlign w:val="center"/>
                <w:hideMark/>
              </w:tcPr>
              <w:p w14:paraId="2DB43CFB" w14:textId="5361F100" w:rsidR="00D65990" w:rsidRPr="009A46BB" w:rsidRDefault="000F70CE" w:rsidP="00D65990">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Unión</w:t>
                </w:r>
                <w:r w:rsidR="009D25E1" w:rsidRPr="009A46BB">
                  <w:rPr>
                    <w:rFonts w:ascii="Times New Roman" w:eastAsia="Times New Roman" w:hAnsi="Times New Roman"/>
                    <w:color w:val="000000"/>
                    <w:sz w:val="18"/>
                    <w:szCs w:val="18"/>
                    <w:lang w:eastAsia="es-CO"/>
                  </w:rPr>
                  <w:t xml:space="preserve"> Temporal Axa Colpatria Seguros S.A.- Aseguradora Solidaria De Colombia -   Mapfre Seguros Generales De Colombia S.A. - Ani2023</w:t>
                </w:r>
              </w:p>
            </w:tc>
            <w:tc>
              <w:tcPr>
                <w:tcW w:w="653" w:type="pct"/>
                <w:shd w:val="clear" w:color="auto" w:fill="auto"/>
                <w:vAlign w:val="center"/>
                <w:hideMark/>
              </w:tcPr>
              <w:p w14:paraId="76944558" w14:textId="77777777" w:rsidR="00D65990" w:rsidRPr="009A46BB" w:rsidRDefault="00D65990" w:rsidP="00FD0ED5">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12.552.363</w:t>
                </w:r>
              </w:p>
            </w:tc>
          </w:tr>
        </w:tbl>
        <w:p w14:paraId="2C4E80A0" w14:textId="74E99902" w:rsidR="00DE7E53" w:rsidRPr="00931DCE" w:rsidRDefault="00AD2026" w:rsidP="00DE7E53">
          <w:pPr>
            <w:spacing w:after="0" w:line="240" w:lineRule="auto"/>
            <w:jc w:val="both"/>
            <w:rPr>
              <w:rFonts w:ascii="Times New Roman" w:hAnsi="Times New Roman"/>
              <w:sz w:val="14"/>
              <w:szCs w:val="14"/>
            </w:rPr>
          </w:pPr>
          <w:r w:rsidRPr="00931DCE">
            <w:rPr>
              <w:rFonts w:ascii="Times New Roman" w:hAnsi="Times New Roman"/>
              <w:sz w:val="14"/>
              <w:szCs w:val="14"/>
            </w:rPr>
            <w:t>Cifras expresadas en pesos</w:t>
          </w:r>
        </w:p>
        <w:p w14:paraId="5AA94072" w14:textId="77777777" w:rsidR="00DE7E53" w:rsidRPr="00931DCE" w:rsidRDefault="00DE7E53" w:rsidP="00DE7E53">
          <w:pPr>
            <w:spacing w:after="0" w:line="240" w:lineRule="auto"/>
            <w:jc w:val="both"/>
            <w:rPr>
              <w:rFonts w:ascii="Times New Roman" w:hAnsi="Times New Roman"/>
              <w:sz w:val="24"/>
              <w:szCs w:val="24"/>
            </w:rPr>
          </w:pPr>
        </w:p>
        <w:p w14:paraId="2A1A2E18" w14:textId="77777777" w:rsidR="00DE7E53" w:rsidRPr="007D72AD" w:rsidRDefault="00DE7E53" w:rsidP="00DE7E53">
          <w:pPr>
            <w:spacing w:after="0" w:line="240" w:lineRule="auto"/>
            <w:jc w:val="both"/>
            <w:rPr>
              <w:rFonts w:ascii="Times New Roman" w:hAnsi="Times New Roman"/>
              <w:b/>
              <w:color w:val="1F3864" w:themeColor="accent1" w:themeShade="80"/>
              <w:sz w:val="24"/>
              <w:szCs w:val="24"/>
            </w:rPr>
          </w:pPr>
          <w:r w:rsidRPr="007D72AD">
            <w:rPr>
              <w:rFonts w:ascii="Times New Roman" w:hAnsi="Times New Roman"/>
              <w:b/>
              <w:color w:val="1F3864" w:themeColor="accent1" w:themeShade="80"/>
              <w:sz w:val="24"/>
              <w:szCs w:val="24"/>
            </w:rPr>
            <w:t>Recursos Entregados en Administración</w:t>
          </w:r>
        </w:p>
        <w:p w14:paraId="49671441" w14:textId="77777777" w:rsidR="00DE7E53" w:rsidRPr="00931DCE" w:rsidRDefault="00DE7E53" w:rsidP="00DE7E53">
          <w:pPr>
            <w:spacing w:after="0" w:line="240" w:lineRule="auto"/>
            <w:jc w:val="both"/>
            <w:rPr>
              <w:rFonts w:ascii="Times New Roman" w:hAnsi="Times New Roman"/>
              <w:sz w:val="24"/>
              <w:szCs w:val="24"/>
            </w:rPr>
          </w:pPr>
        </w:p>
        <w:p w14:paraId="1280CAAC" w14:textId="115028D9" w:rsidR="00DE7E53" w:rsidRPr="00931DCE" w:rsidRDefault="00DE7E53" w:rsidP="00DE7E53">
          <w:pPr>
            <w:spacing w:after="0" w:line="240" w:lineRule="auto"/>
            <w:jc w:val="both"/>
            <w:rPr>
              <w:rFonts w:ascii="Times New Roman" w:hAnsi="Times New Roman"/>
              <w:sz w:val="24"/>
              <w:szCs w:val="24"/>
            </w:rPr>
          </w:pPr>
          <w:r w:rsidRPr="00931DCE">
            <w:rPr>
              <w:rFonts w:ascii="Times New Roman" w:hAnsi="Times New Roman"/>
              <w:sz w:val="24"/>
              <w:szCs w:val="24"/>
            </w:rPr>
            <w:t xml:space="preserve">Los saldos reflejados </w:t>
          </w:r>
          <w:r w:rsidR="00511F68" w:rsidRPr="00931DCE">
            <w:rPr>
              <w:rFonts w:ascii="Times New Roman" w:hAnsi="Times New Roman"/>
              <w:sz w:val="24"/>
              <w:szCs w:val="24"/>
            </w:rPr>
            <w:t>a</w:t>
          </w:r>
          <w:r w:rsidR="003178BB" w:rsidRPr="00931DCE">
            <w:rPr>
              <w:rFonts w:ascii="Times New Roman" w:hAnsi="Times New Roman"/>
              <w:sz w:val="24"/>
              <w:szCs w:val="24"/>
            </w:rPr>
            <w:t>l cierre de la vigencia</w:t>
          </w:r>
          <w:r w:rsidRPr="00931DCE">
            <w:rPr>
              <w:rFonts w:ascii="Times New Roman" w:hAnsi="Times New Roman"/>
              <w:sz w:val="24"/>
              <w:szCs w:val="24"/>
            </w:rPr>
            <w:t xml:space="preserve"> corresponden a recursos entregados a otras entidades estatales, en desarrollo de convenios interadministrativos y</w:t>
          </w:r>
          <w:r w:rsidR="003178BB" w:rsidRPr="00931DCE">
            <w:rPr>
              <w:rFonts w:ascii="Times New Roman" w:hAnsi="Times New Roman"/>
              <w:sz w:val="24"/>
              <w:szCs w:val="24"/>
            </w:rPr>
            <w:t>/o</w:t>
          </w:r>
          <w:r w:rsidRPr="00931DCE">
            <w:rPr>
              <w:rFonts w:ascii="Times New Roman" w:hAnsi="Times New Roman"/>
              <w:sz w:val="24"/>
              <w:szCs w:val="24"/>
            </w:rPr>
            <w:t xml:space="preserve"> de cooperación</w:t>
          </w:r>
          <w:r w:rsidR="003178BB" w:rsidRPr="00931DCE">
            <w:rPr>
              <w:rFonts w:ascii="Times New Roman" w:hAnsi="Times New Roman"/>
              <w:sz w:val="24"/>
              <w:szCs w:val="24"/>
            </w:rPr>
            <w:t xml:space="preserve"> </w:t>
          </w:r>
          <w:r w:rsidRPr="00931DCE">
            <w:rPr>
              <w:rFonts w:ascii="Times New Roman" w:hAnsi="Times New Roman"/>
              <w:sz w:val="24"/>
              <w:szCs w:val="24"/>
            </w:rPr>
            <w:t>y al traslado de los excesos de liquidez a la Dirección General de Crédito Público y del Tesoro Nacional (DGCPTN) a través del Sistema de Cuenta Única Nacional.</w:t>
          </w:r>
        </w:p>
        <w:p w14:paraId="71EBDFC7" w14:textId="77777777" w:rsidR="00DE7E53" w:rsidRPr="00931DCE" w:rsidRDefault="00DE7E53" w:rsidP="00DE7E53">
          <w:pPr>
            <w:spacing w:after="0" w:line="240" w:lineRule="auto"/>
            <w:jc w:val="both"/>
            <w:rPr>
              <w:rFonts w:ascii="Times New Roman" w:hAnsi="Times New Roman"/>
              <w:sz w:val="24"/>
              <w:szCs w:val="24"/>
            </w:rPr>
          </w:pPr>
        </w:p>
        <w:p w14:paraId="00F4D773" w14:textId="4CCC39B3" w:rsidR="00DE7E53" w:rsidRPr="00931DCE" w:rsidRDefault="00DE7E53" w:rsidP="00DE7E53">
          <w:pPr>
            <w:spacing w:after="0" w:line="240" w:lineRule="auto"/>
            <w:jc w:val="both"/>
            <w:rPr>
              <w:rFonts w:ascii="Times New Roman" w:hAnsi="Times New Roman"/>
              <w:sz w:val="24"/>
              <w:szCs w:val="24"/>
            </w:rPr>
          </w:pPr>
          <w:r w:rsidRPr="00931DCE">
            <w:rPr>
              <w:rFonts w:ascii="Times New Roman" w:hAnsi="Times New Roman"/>
              <w:sz w:val="24"/>
              <w:szCs w:val="24"/>
            </w:rPr>
            <w:t>Estos recursos se reconocen y miden por el valor inicialmente entregado y posteriormente disminuyen de acuerdo con las ejecuciones (pagos) reportad</w:t>
          </w:r>
          <w:r w:rsidR="003178BB" w:rsidRPr="00931DCE">
            <w:rPr>
              <w:rFonts w:ascii="Times New Roman" w:hAnsi="Times New Roman"/>
              <w:sz w:val="24"/>
              <w:szCs w:val="24"/>
            </w:rPr>
            <w:t>a</w:t>
          </w:r>
          <w:r w:rsidRPr="00931DCE">
            <w:rPr>
              <w:rFonts w:ascii="Times New Roman" w:hAnsi="Times New Roman"/>
              <w:sz w:val="24"/>
              <w:szCs w:val="24"/>
            </w:rPr>
            <w:t>s, aumentan por los aportes entregados conforme a los compromisos acordados en los convenios y por traslados realizados a Sistema de Cuenta Única Nacional (SCUN). También incrementan, por los rendimientos financieros generados por los recursos entregados en administración para los convenios que así lo estipulen.</w:t>
          </w:r>
        </w:p>
        <w:p w14:paraId="4BF9F785" w14:textId="77777777" w:rsidR="00DE7E53" w:rsidRPr="00931DCE" w:rsidRDefault="00DE7E53" w:rsidP="00DE7E53">
          <w:pPr>
            <w:pStyle w:val="Prrafodelista"/>
            <w:spacing w:after="0" w:line="240" w:lineRule="auto"/>
            <w:ind w:left="0"/>
            <w:jc w:val="both"/>
            <w:rPr>
              <w:rFonts w:ascii="Times New Roman" w:hAnsi="Times New Roman"/>
              <w:noProof/>
              <w:sz w:val="24"/>
              <w:szCs w:val="24"/>
            </w:rPr>
          </w:pPr>
        </w:p>
        <w:p w14:paraId="4F99919E" w14:textId="77777777" w:rsidR="00DE7E53" w:rsidRPr="00931DCE" w:rsidRDefault="00DE7E53" w:rsidP="00583C89">
          <w:pPr>
            <w:pStyle w:val="Prrafodelista"/>
            <w:spacing w:after="0" w:line="240" w:lineRule="auto"/>
            <w:ind w:left="0"/>
            <w:jc w:val="both"/>
            <w:rPr>
              <w:rFonts w:ascii="Times New Roman" w:hAnsi="Times New Roman"/>
              <w:noProof/>
              <w:sz w:val="24"/>
              <w:szCs w:val="24"/>
            </w:rPr>
          </w:pPr>
          <w:r w:rsidRPr="00931DCE">
            <w:rPr>
              <w:rFonts w:ascii="Times New Roman" w:hAnsi="Times New Roman"/>
              <w:noProof/>
              <w:sz w:val="24"/>
              <w:szCs w:val="24"/>
            </w:rPr>
            <w:t>La composición de los recursos entregados en administración se detalla a continuación:</w:t>
          </w:r>
        </w:p>
        <w:p w14:paraId="517439B5" w14:textId="77777777" w:rsidR="00DE7E53" w:rsidRPr="00931DCE" w:rsidRDefault="00DE7E53" w:rsidP="00583C89">
          <w:pPr>
            <w:pStyle w:val="Prrafodelista"/>
            <w:spacing w:after="0" w:line="240" w:lineRule="auto"/>
            <w:ind w:left="0"/>
            <w:jc w:val="both"/>
            <w:rPr>
              <w:rFonts w:ascii="Times New Roman" w:hAnsi="Times New Roman"/>
              <w:noProof/>
              <w:sz w:val="24"/>
              <w:szCs w:val="24"/>
            </w:rPr>
          </w:pP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4A0" w:firstRow="1" w:lastRow="0" w:firstColumn="1" w:lastColumn="0" w:noHBand="0" w:noVBand="1"/>
          </w:tblPr>
          <w:tblGrid>
            <w:gridCol w:w="4106"/>
            <w:gridCol w:w="1702"/>
            <w:gridCol w:w="1561"/>
            <w:gridCol w:w="1600"/>
          </w:tblGrid>
          <w:tr w:rsidR="007626E8" w:rsidRPr="007626E8" w14:paraId="1895668A" w14:textId="77777777" w:rsidTr="006F3215">
            <w:trPr>
              <w:trHeight w:val="315"/>
            </w:trPr>
            <w:tc>
              <w:tcPr>
                <w:tcW w:w="2289" w:type="pct"/>
                <w:shd w:val="clear" w:color="000000" w:fill="FFFFFF"/>
                <w:vAlign w:val="center"/>
                <w:hideMark/>
              </w:tcPr>
              <w:p w14:paraId="5A081F71" w14:textId="77777777" w:rsidR="007626E8" w:rsidRPr="009A46BB" w:rsidRDefault="007626E8" w:rsidP="007626E8">
                <w:pPr>
                  <w:spacing w:after="0" w:line="240" w:lineRule="auto"/>
                  <w:jc w:val="center"/>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CONCEPTO</w:t>
                </w:r>
              </w:p>
            </w:tc>
            <w:tc>
              <w:tcPr>
                <w:tcW w:w="949" w:type="pct"/>
                <w:shd w:val="clear" w:color="000000" w:fill="FFFFFF"/>
                <w:vAlign w:val="center"/>
                <w:hideMark/>
              </w:tcPr>
              <w:p w14:paraId="04AB2944" w14:textId="77777777" w:rsidR="007626E8" w:rsidRPr="009A46BB" w:rsidRDefault="007626E8" w:rsidP="007626E8">
                <w:pPr>
                  <w:spacing w:after="0" w:line="240" w:lineRule="auto"/>
                  <w:jc w:val="center"/>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2023</w:t>
                </w:r>
              </w:p>
            </w:tc>
            <w:tc>
              <w:tcPr>
                <w:tcW w:w="870" w:type="pct"/>
                <w:shd w:val="clear" w:color="000000" w:fill="FFFFFF"/>
                <w:vAlign w:val="center"/>
                <w:hideMark/>
              </w:tcPr>
              <w:p w14:paraId="355AC8CE" w14:textId="77777777" w:rsidR="007626E8" w:rsidRPr="009A46BB" w:rsidRDefault="007626E8" w:rsidP="007626E8">
                <w:pPr>
                  <w:spacing w:after="0" w:line="240" w:lineRule="auto"/>
                  <w:jc w:val="center"/>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2022</w:t>
                </w:r>
              </w:p>
            </w:tc>
            <w:tc>
              <w:tcPr>
                <w:tcW w:w="892" w:type="pct"/>
                <w:shd w:val="clear" w:color="000000" w:fill="FFFFFF"/>
                <w:vAlign w:val="center"/>
                <w:hideMark/>
              </w:tcPr>
              <w:p w14:paraId="76D65C07" w14:textId="77777777" w:rsidR="007626E8" w:rsidRPr="009A46BB" w:rsidRDefault="007626E8" w:rsidP="007626E8">
                <w:pPr>
                  <w:spacing w:after="0" w:line="240" w:lineRule="auto"/>
                  <w:jc w:val="center"/>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VARIACIÓN</w:t>
                </w:r>
              </w:p>
            </w:tc>
          </w:tr>
          <w:tr w:rsidR="007626E8" w:rsidRPr="007626E8" w14:paraId="3C297F90" w14:textId="77777777" w:rsidTr="006F3215">
            <w:trPr>
              <w:trHeight w:val="360"/>
            </w:trPr>
            <w:tc>
              <w:tcPr>
                <w:tcW w:w="2289" w:type="pct"/>
                <w:shd w:val="clear" w:color="000000" w:fill="FFFFFF"/>
                <w:vAlign w:val="center"/>
                <w:hideMark/>
              </w:tcPr>
              <w:p w14:paraId="368B887C" w14:textId="77777777" w:rsidR="007626E8" w:rsidRPr="009A46BB" w:rsidRDefault="007626E8" w:rsidP="007626E8">
                <w:pPr>
                  <w:spacing w:after="0" w:line="240" w:lineRule="auto"/>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Recursos Entregados en Administración</w:t>
                </w:r>
              </w:p>
            </w:tc>
            <w:tc>
              <w:tcPr>
                <w:tcW w:w="949" w:type="pct"/>
                <w:shd w:val="clear" w:color="000000" w:fill="FFFFFF"/>
                <w:noWrap/>
                <w:vAlign w:val="center"/>
                <w:hideMark/>
              </w:tcPr>
              <w:p w14:paraId="21FFDA69" w14:textId="77777777" w:rsidR="007626E8" w:rsidRPr="009A46BB" w:rsidRDefault="007626E8" w:rsidP="007626E8">
                <w:pPr>
                  <w:spacing w:after="0" w:line="240" w:lineRule="auto"/>
                  <w:jc w:val="right"/>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7.440.124.347.046</w:t>
                </w:r>
              </w:p>
            </w:tc>
            <w:tc>
              <w:tcPr>
                <w:tcW w:w="870" w:type="pct"/>
                <w:shd w:val="clear" w:color="000000" w:fill="FFFFFF"/>
                <w:noWrap/>
                <w:vAlign w:val="center"/>
                <w:hideMark/>
              </w:tcPr>
              <w:p w14:paraId="6F6AAE0E" w14:textId="77777777" w:rsidR="007626E8" w:rsidRPr="009A46BB" w:rsidRDefault="007626E8" w:rsidP="007626E8">
                <w:pPr>
                  <w:spacing w:after="0" w:line="240" w:lineRule="auto"/>
                  <w:jc w:val="right"/>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5.778.930.576.787</w:t>
                </w:r>
              </w:p>
            </w:tc>
            <w:tc>
              <w:tcPr>
                <w:tcW w:w="892" w:type="pct"/>
                <w:shd w:val="clear" w:color="000000" w:fill="FFFFFF"/>
                <w:noWrap/>
                <w:vAlign w:val="center"/>
                <w:hideMark/>
              </w:tcPr>
              <w:p w14:paraId="6AA44CF7" w14:textId="77777777" w:rsidR="007626E8" w:rsidRPr="009A46BB" w:rsidRDefault="007626E8" w:rsidP="007626E8">
                <w:pPr>
                  <w:spacing w:after="0" w:line="240" w:lineRule="auto"/>
                  <w:jc w:val="right"/>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1.661.193.770.259</w:t>
                </w:r>
              </w:p>
            </w:tc>
          </w:tr>
          <w:tr w:rsidR="007626E8" w:rsidRPr="007626E8" w14:paraId="5839A1C2" w14:textId="77777777" w:rsidTr="006F3215">
            <w:trPr>
              <w:trHeight w:val="300"/>
            </w:trPr>
            <w:tc>
              <w:tcPr>
                <w:tcW w:w="2289" w:type="pct"/>
                <w:shd w:val="clear" w:color="000000" w:fill="FFFFFF"/>
                <w:vAlign w:val="center"/>
                <w:hideMark/>
              </w:tcPr>
              <w:p w14:paraId="1F0F9D5E" w14:textId="77777777" w:rsidR="007626E8" w:rsidRPr="009A46BB" w:rsidRDefault="007626E8" w:rsidP="007626E8">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En administración</w:t>
                </w:r>
              </w:p>
            </w:tc>
            <w:tc>
              <w:tcPr>
                <w:tcW w:w="949" w:type="pct"/>
                <w:shd w:val="clear" w:color="000000" w:fill="FFFFFF"/>
                <w:noWrap/>
                <w:vAlign w:val="center"/>
                <w:hideMark/>
              </w:tcPr>
              <w:p w14:paraId="3514E1C3" w14:textId="77777777" w:rsidR="007626E8" w:rsidRPr="009A46BB" w:rsidRDefault="007626E8" w:rsidP="007626E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538.625.174.788</w:t>
                </w:r>
              </w:p>
            </w:tc>
            <w:tc>
              <w:tcPr>
                <w:tcW w:w="870" w:type="pct"/>
                <w:shd w:val="clear" w:color="000000" w:fill="FFFFFF"/>
                <w:noWrap/>
                <w:vAlign w:val="center"/>
                <w:hideMark/>
              </w:tcPr>
              <w:p w14:paraId="7D25BBAB" w14:textId="77777777" w:rsidR="007626E8" w:rsidRPr="009A46BB" w:rsidRDefault="007626E8" w:rsidP="007626E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292.133.373.113</w:t>
                </w:r>
              </w:p>
            </w:tc>
            <w:tc>
              <w:tcPr>
                <w:tcW w:w="892" w:type="pct"/>
                <w:shd w:val="clear" w:color="000000" w:fill="FFFFFF"/>
                <w:noWrap/>
                <w:vAlign w:val="center"/>
                <w:hideMark/>
              </w:tcPr>
              <w:p w14:paraId="2B9D9A6A" w14:textId="77777777" w:rsidR="007626E8" w:rsidRPr="009A46BB" w:rsidRDefault="007626E8" w:rsidP="007626E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246.491.801.675</w:t>
                </w:r>
              </w:p>
            </w:tc>
          </w:tr>
          <w:tr w:rsidR="007626E8" w:rsidRPr="007626E8" w14:paraId="7D2DD11D" w14:textId="77777777" w:rsidTr="006F3215">
            <w:trPr>
              <w:trHeight w:val="375"/>
            </w:trPr>
            <w:tc>
              <w:tcPr>
                <w:tcW w:w="2289" w:type="pct"/>
                <w:shd w:val="clear" w:color="000000" w:fill="FFFFFF"/>
                <w:vAlign w:val="center"/>
                <w:hideMark/>
              </w:tcPr>
              <w:p w14:paraId="35FF73BB" w14:textId="77777777" w:rsidR="007626E8" w:rsidRPr="009A46BB" w:rsidRDefault="007626E8" w:rsidP="007626E8">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Encargo fiduciario - fiducia de administración y pagos</w:t>
                </w:r>
              </w:p>
            </w:tc>
            <w:tc>
              <w:tcPr>
                <w:tcW w:w="949" w:type="pct"/>
                <w:shd w:val="clear" w:color="000000" w:fill="FFFFFF"/>
                <w:noWrap/>
                <w:vAlign w:val="center"/>
                <w:hideMark/>
              </w:tcPr>
              <w:p w14:paraId="2407A820" w14:textId="77777777" w:rsidR="007626E8" w:rsidRPr="009A46BB" w:rsidRDefault="007626E8" w:rsidP="007626E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6.901.499.172.258</w:t>
                </w:r>
              </w:p>
            </w:tc>
            <w:tc>
              <w:tcPr>
                <w:tcW w:w="870" w:type="pct"/>
                <w:shd w:val="clear" w:color="000000" w:fill="FFFFFF"/>
                <w:noWrap/>
                <w:vAlign w:val="center"/>
                <w:hideMark/>
              </w:tcPr>
              <w:p w14:paraId="54C98946" w14:textId="77777777" w:rsidR="007626E8" w:rsidRPr="009A46BB" w:rsidRDefault="007626E8" w:rsidP="007626E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5.486.797.203.674</w:t>
                </w:r>
              </w:p>
            </w:tc>
            <w:tc>
              <w:tcPr>
                <w:tcW w:w="892" w:type="pct"/>
                <w:shd w:val="clear" w:color="000000" w:fill="FFFFFF"/>
                <w:noWrap/>
                <w:vAlign w:val="center"/>
                <w:hideMark/>
              </w:tcPr>
              <w:p w14:paraId="52A41E5E" w14:textId="77777777" w:rsidR="007626E8" w:rsidRPr="009A46BB" w:rsidRDefault="007626E8" w:rsidP="007626E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1.414.701.968.584</w:t>
                </w:r>
              </w:p>
            </w:tc>
          </w:tr>
        </w:tbl>
        <w:p w14:paraId="6024A287" w14:textId="7B4E7ACC" w:rsidR="00DE7E53" w:rsidRPr="00931DCE" w:rsidRDefault="00AD2026" w:rsidP="00583C89">
          <w:pPr>
            <w:spacing w:after="0" w:line="240" w:lineRule="auto"/>
            <w:rPr>
              <w:rFonts w:ascii="Times New Roman" w:hAnsi="Times New Roman"/>
              <w:sz w:val="14"/>
              <w:szCs w:val="14"/>
            </w:rPr>
          </w:pPr>
          <w:r w:rsidRPr="00931DCE">
            <w:rPr>
              <w:rFonts w:ascii="Times New Roman" w:hAnsi="Times New Roman"/>
              <w:sz w:val="14"/>
              <w:szCs w:val="14"/>
            </w:rPr>
            <w:t>Cifras expresadas en pesos</w:t>
          </w:r>
          <w:r w:rsidR="00DE7E53" w:rsidRPr="00931DCE">
            <w:rPr>
              <w:rFonts w:ascii="Times New Roman" w:hAnsi="Times New Roman"/>
              <w:sz w:val="14"/>
              <w:szCs w:val="14"/>
            </w:rPr>
            <w:t xml:space="preserve"> </w:t>
          </w:r>
        </w:p>
        <w:p w14:paraId="64497831" w14:textId="77777777" w:rsidR="00583C89" w:rsidRPr="00931DCE" w:rsidRDefault="00583C89" w:rsidP="00583C89">
          <w:pPr>
            <w:spacing w:after="0" w:line="240" w:lineRule="auto"/>
            <w:jc w:val="both"/>
            <w:rPr>
              <w:rFonts w:ascii="Times New Roman" w:hAnsi="Times New Roman"/>
              <w:sz w:val="24"/>
              <w:szCs w:val="24"/>
            </w:rPr>
          </w:pPr>
        </w:p>
        <w:p w14:paraId="787C06C8" w14:textId="05606A81" w:rsidR="00DE7E53" w:rsidRPr="00931DCE" w:rsidRDefault="00DE7E53" w:rsidP="00583C89">
          <w:pPr>
            <w:spacing w:after="0" w:line="240" w:lineRule="auto"/>
            <w:jc w:val="both"/>
            <w:rPr>
              <w:rFonts w:ascii="Times New Roman" w:hAnsi="Times New Roman"/>
              <w:sz w:val="24"/>
              <w:szCs w:val="24"/>
            </w:rPr>
          </w:pPr>
          <w:r w:rsidRPr="00931DCE">
            <w:rPr>
              <w:rFonts w:ascii="Times New Roman" w:hAnsi="Times New Roman"/>
              <w:sz w:val="24"/>
              <w:szCs w:val="24"/>
            </w:rPr>
            <w:t>En administración</w:t>
          </w:r>
          <w:r w:rsidRPr="00931DCE">
            <w:rPr>
              <w:rFonts w:ascii="Times New Roman" w:hAnsi="Times New Roman"/>
            </w:rPr>
            <w:t>:</w:t>
          </w:r>
          <w:r w:rsidRPr="00931DCE">
            <w:rPr>
              <w:rFonts w:ascii="Times New Roman" w:hAnsi="Times New Roman"/>
              <w:sz w:val="24"/>
              <w:szCs w:val="24"/>
            </w:rPr>
            <w:t xml:space="preserve"> corresponde a convenios interadministrativos </w:t>
          </w:r>
          <w:r w:rsidR="008027B0">
            <w:rPr>
              <w:rFonts w:ascii="Times New Roman" w:hAnsi="Times New Roman"/>
              <w:sz w:val="24"/>
              <w:szCs w:val="24"/>
            </w:rPr>
            <w:t xml:space="preserve">suscritos </w:t>
          </w:r>
          <w:r w:rsidRPr="00931DCE">
            <w:rPr>
              <w:rFonts w:ascii="Times New Roman" w:hAnsi="Times New Roman"/>
              <w:sz w:val="24"/>
              <w:szCs w:val="24"/>
            </w:rPr>
            <w:t xml:space="preserve">de los cuales la Agencia Nacional de Infraestructura </w:t>
          </w:r>
          <w:r w:rsidR="0099430D">
            <w:rPr>
              <w:rFonts w:ascii="Times New Roman" w:hAnsi="Times New Roman"/>
              <w:sz w:val="24"/>
              <w:szCs w:val="24"/>
            </w:rPr>
            <w:t>es</w:t>
          </w:r>
          <w:r w:rsidRPr="00931DCE">
            <w:rPr>
              <w:rFonts w:ascii="Times New Roman" w:hAnsi="Times New Roman"/>
              <w:sz w:val="24"/>
              <w:szCs w:val="24"/>
            </w:rPr>
            <w:t xml:space="preserve"> el titular del recurso. </w:t>
          </w:r>
        </w:p>
        <w:p w14:paraId="5BB029E5" w14:textId="77777777" w:rsidR="00583C89" w:rsidRPr="00931DCE" w:rsidRDefault="00583C89" w:rsidP="00583C89">
          <w:pPr>
            <w:spacing w:after="0" w:line="240" w:lineRule="auto"/>
            <w:jc w:val="both"/>
            <w:rPr>
              <w:rFonts w:ascii="Times New Roman" w:hAnsi="Times New Roman"/>
              <w:sz w:val="24"/>
              <w:szCs w:val="24"/>
            </w:rPr>
          </w:pPr>
        </w:p>
        <w:p w14:paraId="491D1C85" w14:textId="7194D5B3" w:rsidR="00DE7E53" w:rsidRPr="00931DCE" w:rsidRDefault="00DE7E53" w:rsidP="00583C89">
          <w:pPr>
            <w:spacing w:after="0" w:line="240" w:lineRule="auto"/>
            <w:jc w:val="both"/>
            <w:rPr>
              <w:rFonts w:ascii="Times New Roman" w:hAnsi="Times New Roman"/>
              <w:sz w:val="24"/>
              <w:szCs w:val="24"/>
            </w:rPr>
          </w:pPr>
          <w:r w:rsidRPr="00931DCE">
            <w:rPr>
              <w:rFonts w:ascii="Times New Roman" w:hAnsi="Times New Roman"/>
              <w:sz w:val="24"/>
              <w:szCs w:val="24"/>
            </w:rPr>
            <w:t>A continuación, se detallan los terceros y saldos contables:</w:t>
          </w:r>
        </w:p>
        <w:p w14:paraId="75D7356D" w14:textId="77777777" w:rsidR="00583C89" w:rsidRPr="00931DCE" w:rsidRDefault="00583C89" w:rsidP="00583C89">
          <w:pPr>
            <w:spacing w:after="0" w:line="240" w:lineRule="auto"/>
            <w:jc w:val="both"/>
            <w:rPr>
              <w:rFonts w:ascii="Times New Roman" w:hAnsi="Times New Roman"/>
              <w:sz w:val="24"/>
              <w:szCs w:val="24"/>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CellMar>
              <w:left w:w="70" w:type="dxa"/>
              <w:right w:w="70" w:type="dxa"/>
            </w:tblCellMar>
            <w:tblLook w:val="04A0" w:firstRow="1" w:lastRow="0" w:firstColumn="1" w:lastColumn="0" w:noHBand="0" w:noVBand="1"/>
          </w:tblPr>
          <w:tblGrid>
            <w:gridCol w:w="1537"/>
            <w:gridCol w:w="5100"/>
            <w:gridCol w:w="2332"/>
          </w:tblGrid>
          <w:tr w:rsidR="00C847B3" w:rsidRPr="008F1765" w14:paraId="63330415" w14:textId="77777777" w:rsidTr="006D62B2">
            <w:trPr>
              <w:trHeight w:val="317"/>
              <w:tblHeader/>
            </w:trPr>
            <w:tc>
              <w:tcPr>
                <w:tcW w:w="857" w:type="pct"/>
                <w:shd w:val="clear" w:color="auto" w:fill="auto"/>
                <w:noWrap/>
                <w:vAlign w:val="center"/>
                <w:hideMark/>
              </w:tcPr>
              <w:p w14:paraId="131A890D" w14:textId="77777777" w:rsidR="00C847B3" w:rsidRPr="009A46BB" w:rsidRDefault="00C847B3" w:rsidP="00C847B3">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w:t>
                </w:r>
              </w:p>
            </w:tc>
            <w:tc>
              <w:tcPr>
                <w:tcW w:w="2843" w:type="pct"/>
                <w:shd w:val="clear" w:color="auto" w:fill="auto"/>
                <w:vAlign w:val="center"/>
                <w:hideMark/>
              </w:tcPr>
              <w:p w14:paraId="7C088053" w14:textId="77777777" w:rsidR="00C847B3" w:rsidRPr="009A46BB" w:rsidRDefault="00C847B3" w:rsidP="00C847B3">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TERCERO</w:t>
                </w:r>
              </w:p>
            </w:tc>
            <w:tc>
              <w:tcPr>
                <w:tcW w:w="1300" w:type="pct"/>
                <w:shd w:val="clear" w:color="auto" w:fill="auto"/>
                <w:vAlign w:val="center"/>
                <w:hideMark/>
              </w:tcPr>
              <w:p w14:paraId="6D2FF0BA" w14:textId="77777777" w:rsidR="00C847B3" w:rsidRPr="009A46BB" w:rsidRDefault="00C847B3" w:rsidP="00C847B3">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VALOR</w:t>
                </w:r>
              </w:p>
            </w:tc>
          </w:tr>
          <w:tr w:rsidR="00C847B3" w:rsidRPr="008F1765" w14:paraId="0D65EBFD" w14:textId="77777777" w:rsidTr="006512DD">
            <w:trPr>
              <w:trHeight w:val="317"/>
            </w:trPr>
            <w:tc>
              <w:tcPr>
                <w:tcW w:w="857" w:type="pct"/>
                <w:shd w:val="clear" w:color="auto" w:fill="auto"/>
                <w:vAlign w:val="center"/>
                <w:hideMark/>
              </w:tcPr>
              <w:p w14:paraId="373084DA" w14:textId="77777777" w:rsidR="00C847B3" w:rsidRPr="009A46BB" w:rsidRDefault="00C847B3" w:rsidP="00C847B3">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 800096329 </w:t>
                </w:r>
              </w:p>
            </w:tc>
            <w:tc>
              <w:tcPr>
                <w:tcW w:w="2843" w:type="pct"/>
                <w:shd w:val="clear" w:color="auto" w:fill="auto"/>
                <w:vAlign w:val="center"/>
                <w:hideMark/>
              </w:tcPr>
              <w:p w14:paraId="5B657643" w14:textId="3C62972A" w:rsidR="00C847B3" w:rsidRPr="009A46BB" w:rsidRDefault="00076BE2" w:rsidP="00C847B3">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Financiera De Desarrollo Territorial S A Findeter</w:t>
                </w:r>
              </w:p>
            </w:tc>
            <w:tc>
              <w:tcPr>
                <w:tcW w:w="1300" w:type="pct"/>
                <w:shd w:val="clear" w:color="auto" w:fill="auto"/>
                <w:vAlign w:val="center"/>
                <w:hideMark/>
              </w:tcPr>
              <w:p w14:paraId="5E76C4BA" w14:textId="77777777" w:rsidR="00C847B3" w:rsidRPr="009A46BB" w:rsidRDefault="00C847B3" w:rsidP="00C847B3">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247.516.353.230</w:t>
                </w:r>
              </w:p>
            </w:tc>
          </w:tr>
          <w:tr w:rsidR="00C847B3" w:rsidRPr="008F1765" w14:paraId="4EC06469" w14:textId="77777777" w:rsidTr="006512DD">
            <w:trPr>
              <w:trHeight w:val="317"/>
            </w:trPr>
            <w:tc>
              <w:tcPr>
                <w:tcW w:w="857" w:type="pct"/>
                <w:shd w:val="clear" w:color="auto" w:fill="auto"/>
                <w:vAlign w:val="center"/>
                <w:hideMark/>
              </w:tcPr>
              <w:p w14:paraId="1A1B0947" w14:textId="77777777" w:rsidR="00C847B3" w:rsidRPr="009A46BB" w:rsidRDefault="00C847B3" w:rsidP="00C847B3">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 800215807 </w:t>
                </w:r>
              </w:p>
            </w:tc>
            <w:tc>
              <w:tcPr>
                <w:tcW w:w="2843" w:type="pct"/>
                <w:shd w:val="clear" w:color="auto" w:fill="auto"/>
                <w:vAlign w:val="center"/>
                <w:hideMark/>
              </w:tcPr>
              <w:p w14:paraId="1A3F9D65" w14:textId="432F3844" w:rsidR="00C847B3" w:rsidRPr="009A46BB" w:rsidRDefault="00076BE2" w:rsidP="00C847B3">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Instituto Nacional De vías</w:t>
                </w:r>
              </w:p>
            </w:tc>
            <w:tc>
              <w:tcPr>
                <w:tcW w:w="1300" w:type="pct"/>
                <w:shd w:val="clear" w:color="auto" w:fill="auto"/>
                <w:vAlign w:val="center"/>
                <w:hideMark/>
              </w:tcPr>
              <w:p w14:paraId="1585F2CD" w14:textId="77777777" w:rsidR="00C847B3" w:rsidRPr="009A46BB" w:rsidRDefault="00C847B3" w:rsidP="00C847B3">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89.662.720.695</w:t>
                </w:r>
              </w:p>
            </w:tc>
          </w:tr>
          <w:tr w:rsidR="00C847B3" w:rsidRPr="008F1765" w14:paraId="4D119D4D" w14:textId="77777777" w:rsidTr="006512DD">
            <w:trPr>
              <w:trHeight w:val="317"/>
            </w:trPr>
            <w:tc>
              <w:tcPr>
                <w:tcW w:w="857" w:type="pct"/>
                <w:shd w:val="clear" w:color="auto" w:fill="auto"/>
                <w:vAlign w:val="center"/>
                <w:hideMark/>
              </w:tcPr>
              <w:p w14:paraId="45D8E3FD" w14:textId="77777777" w:rsidR="00C847B3" w:rsidRPr="009A46BB" w:rsidRDefault="00C847B3" w:rsidP="00C847B3">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 860509022 </w:t>
                </w:r>
              </w:p>
            </w:tc>
            <w:tc>
              <w:tcPr>
                <w:tcW w:w="2843" w:type="pct"/>
                <w:shd w:val="clear" w:color="auto" w:fill="auto"/>
                <w:vAlign w:val="center"/>
                <w:hideMark/>
              </w:tcPr>
              <w:p w14:paraId="2CAF4491" w14:textId="0D343714" w:rsidR="00C847B3" w:rsidRPr="009A46BB" w:rsidRDefault="00076BE2" w:rsidP="00C847B3">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Financiera De Desarrollo Nacional S.A. </w:t>
                </w:r>
              </w:p>
            </w:tc>
            <w:tc>
              <w:tcPr>
                <w:tcW w:w="1300" w:type="pct"/>
                <w:shd w:val="clear" w:color="auto" w:fill="auto"/>
                <w:vAlign w:val="center"/>
                <w:hideMark/>
              </w:tcPr>
              <w:p w14:paraId="5AE6387B" w14:textId="77777777" w:rsidR="00C847B3" w:rsidRPr="009A46BB" w:rsidRDefault="00C847B3" w:rsidP="00C847B3">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31.160.239.509</w:t>
                </w:r>
              </w:p>
            </w:tc>
          </w:tr>
          <w:tr w:rsidR="00C847B3" w:rsidRPr="008F1765" w14:paraId="6A0A193A" w14:textId="77777777" w:rsidTr="006512DD">
            <w:trPr>
              <w:trHeight w:val="317"/>
            </w:trPr>
            <w:tc>
              <w:tcPr>
                <w:tcW w:w="857" w:type="pct"/>
                <w:shd w:val="clear" w:color="auto" w:fill="auto"/>
                <w:vAlign w:val="center"/>
                <w:hideMark/>
              </w:tcPr>
              <w:p w14:paraId="37CC6BEA" w14:textId="77777777" w:rsidR="00C847B3" w:rsidRPr="009A46BB" w:rsidRDefault="00C847B3" w:rsidP="00C847B3">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lastRenderedPageBreak/>
                  <w:t xml:space="preserve"> 891800498 </w:t>
                </w:r>
              </w:p>
            </w:tc>
            <w:tc>
              <w:tcPr>
                <w:tcW w:w="2843" w:type="pct"/>
                <w:shd w:val="clear" w:color="auto" w:fill="auto"/>
                <w:vAlign w:val="center"/>
                <w:hideMark/>
              </w:tcPr>
              <w:p w14:paraId="3854BAC9" w14:textId="409E34BB" w:rsidR="00C847B3" w:rsidRPr="009A46BB" w:rsidRDefault="00076BE2" w:rsidP="00C847B3">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Departamento De Boyacá</w:t>
                </w:r>
              </w:p>
            </w:tc>
            <w:tc>
              <w:tcPr>
                <w:tcW w:w="1300" w:type="pct"/>
                <w:shd w:val="clear" w:color="auto" w:fill="auto"/>
                <w:vAlign w:val="center"/>
                <w:hideMark/>
              </w:tcPr>
              <w:p w14:paraId="258E9580" w14:textId="77777777" w:rsidR="00C847B3" w:rsidRPr="009A46BB" w:rsidRDefault="00C847B3" w:rsidP="00C847B3">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3.292.108.892</w:t>
                </w:r>
              </w:p>
            </w:tc>
          </w:tr>
          <w:tr w:rsidR="00C847B3" w:rsidRPr="008F1765" w14:paraId="368D2F64" w14:textId="77777777" w:rsidTr="006512DD">
            <w:trPr>
              <w:trHeight w:val="317"/>
            </w:trPr>
            <w:tc>
              <w:tcPr>
                <w:tcW w:w="857" w:type="pct"/>
                <w:shd w:val="clear" w:color="auto" w:fill="auto"/>
                <w:vAlign w:val="center"/>
                <w:hideMark/>
              </w:tcPr>
              <w:p w14:paraId="2076BC16" w14:textId="77777777" w:rsidR="00C847B3" w:rsidRPr="009A46BB" w:rsidRDefault="00C847B3" w:rsidP="00C847B3">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 899999090 </w:t>
                </w:r>
              </w:p>
            </w:tc>
            <w:tc>
              <w:tcPr>
                <w:tcW w:w="2843" w:type="pct"/>
                <w:shd w:val="clear" w:color="auto" w:fill="auto"/>
                <w:vAlign w:val="center"/>
                <w:hideMark/>
              </w:tcPr>
              <w:p w14:paraId="061A4EB2" w14:textId="5F1CF013" w:rsidR="00C847B3" w:rsidRPr="009A46BB" w:rsidRDefault="00076BE2" w:rsidP="00C847B3">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Ministerio De Hacienda Y crédito Publico</w:t>
                </w:r>
              </w:p>
            </w:tc>
            <w:tc>
              <w:tcPr>
                <w:tcW w:w="1300" w:type="pct"/>
                <w:shd w:val="clear" w:color="auto" w:fill="auto"/>
                <w:vAlign w:val="center"/>
                <w:hideMark/>
              </w:tcPr>
              <w:p w14:paraId="3A49A6B5" w14:textId="77777777" w:rsidR="00C847B3" w:rsidRPr="009A46BB" w:rsidRDefault="00C847B3" w:rsidP="00C847B3">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166.993.752.462</w:t>
                </w:r>
              </w:p>
            </w:tc>
          </w:tr>
        </w:tbl>
        <w:p w14:paraId="0CBAA13C" w14:textId="2478C5FC" w:rsidR="00DE7E53" w:rsidRPr="00931DCE" w:rsidRDefault="00583C89" w:rsidP="00C045FE">
          <w:pPr>
            <w:spacing w:after="0" w:line="240" w:lineRule="auto"/>
            <w:rPr>
              <w:rFonts w:ascii="Times New Roman" w:hAnsi="Times New Roman"/>
              <w:sz w:val="14"/>
              <w:szCs w:val="14"/>
            </w:rPr>
          </w:pPr>
          <w:r w:rsidRPr="00931DCE">
            <w:rPr>
              <w:rFonts w:ascii="Times New Roman" w:hAnsi="Times New Roman"/>
              <w:sz w:val="14"/>
              <w:szCs w:val="14"/>
            </w:rPr>
            <w:t xml:space="preserve"> </w:t>
          </w:r>
          <w:r w:rsidR="00AD2026" w:rsidRPr="00931DCE">
            <w:rPr>
              <w:rFonts w:ascii="Times New Roman" w:hAnsi="Times New Roman"/>
              <w:sz w:val="14"/>
              <w:szCs w:val="14"/>
            </w:rPr>
            <w:t>Cifras expresadas en pesos</w:t>
          </w:r>
        </w:p>
        <w:p w14:paraId="6EC82D39" w14:textId="77777777" w:rsidR="00DE7E53" w:rsidRPr="00931DCE" w:rsidRDefault="00DE7E53" w:rsidP="00C045FE">
          <w:pPr>
            <w:shd w:val="clear" w:color="auto" w:fill="FFFFFF"/>
            <w:spacing w:after="0" w:line="240" w:lineRule="auto"/>
            <w:jc w:val="both"/>
            <w:textAlignment w:val="baseline"/>
            <w:rPr>
              <w:rFonts w:ascii="Times New Roman" w:eastAsia="Times New Roman" w:hAnsi="Times New Roman"/>
              <w:sz w:val="24"/>
              <w:szCs w:val="24"/>
              <w:u w:val="single"/>
              <w:lang w:eastAsia="es-CO"/>
            </w:rPr>
          </w:pPr>
        </w:p>
        <w:p w14:paraId="67045CDA" w14:textId="47907045" w:rsidR="00F842A8" w:rsidRDefault="00040F5E" w:rsidP="00040F5E">
          <w:pPr>
            <w:spacing w:after="0" w:line="240" w:lineRule="auto"/>
            <w:jc w:val="both"/>
            <w:rPr>
              <w:rFonts w:ascii="Times New Roman" w:hAnsi="Times New Roman"/>
              <w:sz w:val="24"/>
              <w:szCs w:val="24"/>
            </w:rPr>
          </w:pPr>
          <w:r w:rsidRPr="00931DCE">
            <w:rPr>
              <w:rFonts w:ascii="Times New Roman" w:eastAsia="Times New Roman" w:hAnsi="Times New Roman"/>
              <w:color w:val="000000"/>
              <w:sz w:val="24"/>
              <w:szCs w:val="24"/>
              <w:u w:val="single"/>
              <w:lang w:eastAsia="es-CO"/>
            </w:rPr>
            <w:t>Financiera de Desarrollo Territorial S.A.- FINDETER</w:t>
          </w:r>
          <w:r w:rsidRPr="00931DCE">
            <w:rPr>
              <w:rFonts w:ascii="Times New Roman" w:hAnsi="Times New Roman"/>
              <w:sz w:val="24"/>
              <w:szCs w:val="24"/>
              <w:u w:val="single"/>
            </w:rPr>
            <w:t>:</w:t>
          </w:r>
          <w:r w:rsidRPr="00931DCE">
            <w:rPr>
              <w:rFonts w:ascii="Times New Roman" w:hAnsi="Times New Roman"/>
              <w:sz w:val="24"/>
              <w:szCs w:val="24"/>
            </w:rPr>
            <w:t xml:space="preserve"> </w:t>
          </w:r>
          <w:r w:rsidR="005117E6">
            <w:rPr>
              <w:rFonts w:ascii="Times New Roman" w:hAnsi="Times New Roman"/>
              <w:sz w:val="24"/>
              <w:szCs w:val="24"/>
            </w:rPr>
            <w:t>L</w:t>
          </w:r>
          <w:r w:rsidRPr="00931DCE">
            <w:rPr>
              <w:rFonts w:ascii="Times New Roman" w:hAnsi="Times New Roman"/>
              <w:sz w:val="24"/>
              <w:szCs w:val="24"/>
            </w:rPr>
            <w:t xml:space="preserve">a Agencia tiene suscritos </w:t>
          </w:r>
          <w:r w:rsidR="00237784">
            <w:rPr>
              <w:rFonts w:ascii="Times New Roman" w:hAnsi="Times New Roman"/>
              <w:sz w:val="24"/>
              <w:szCs w:val="24"/>
            </w:rPr>
            <w:t>cuatro (4)</w:t>
          </w:r>
          <w:r w:rsidRPr="00931DCE">
            <w:rPr>
              <w:rFonts w:ascii="Times New Roman" w:hAnsi="Times New Roman"/>
              <w:sz w:val="24"/>
              <w:szCs w:val="24"/>
            </w:rPr>
            <w:t xml:space="preserve"> contratos interadministrativos con la Financiera de Desarrollo Territorial S.A – FINDETER</w:t>
          </w:r>
          <w:r w:rsidR="00F842A8">
            <w:rPr>
              <w:rFonts w:ascii="Times New Roman" w:hAnsi="Times New Roman"/>
              <w:sz w:val="24"/>
              <w:szCs w:val="24"/>
            </w:rPr>
            <w:t>:</w:t>
          </w:r>
        </w:p>
        <w:p w14:paraId="0EAE553B" w14:textId="4E3F21E6" w:rsidR="00040F5E" w:rsidRPr="00931DCE" w:rsidRDefault="00040F5E" w:rsidP="00040F5E">
          <w:pPr>
            <w:spacing w:after="0" w:line="240" w:lineRule="auto"/>
            <w:jc w:val="both"/>
            <w:rPr>
              <w:rFonts w:ascii="Times New Roman" w:hAnsi="Times New Roman"/>
              <w:sz w:val="24"/>
              <w:szCs w:val="24"/>
            </w:rPr>
          </w:pPr>
          <w:r w:rsidRPr="00931DCE">
            <w:rPr>
              <w:rFonts w:ascii="Times New Roman" w:hAnsi="Times New Roman"/>
              <w:sz w:val="24"/>
              <w:szCs w:val="24"/>
            </w:rPr>
            <w:t xml:space="preserve"> </w:t>
          </w:r>
          <w:r w:rsidR="00851844">
            <w:rPr>
              <w:rFonts w:ascii="Times New Roman" w:hAnsi="Times New Roman"/>
              <w:sz w:val="24"/>
              <w:szCs w:val="24"/>
            </w:rPr>
            <w:t xml:space="preserve"> </w:t>
          </w:r>
          <w:r w:rsidR="00903CD1">
            <w:rPr>
              <w:rFonts w:ascii="Times New Roman" w:hAnsi="Times New Roman"/>
              <w:sz w:val="24"/>
              <w:szCs w:val="24"/>
            </w:rPr>
            <w:t xml:space="preserve"> </w:t>
          </w:r>
        </w:p>
        <w:p w14:paraId="26B0D0D1" w14:textId="6F95CC00" w:rsidR="00834C1D" w:rsidRPr="0005679F" w:rsidRDefault="00834C1D" w:rsidP="00834C1D">
          <w:pPr>
            <w:spacing w:after="0" w:line="240" w:lineRule="auto"/>
            <w:jc w:val="both"/>
            <w:rPr>
              <w:rFonts w:ascii="Times New Roman" w:hAnsi="Times New Roman"/>
              <w:sz w:val="24"/>
              <w:szCs w:val="24"/>
            </w:rPr>
          </w:pPr>
          <w:r w:rsidRPr="0005679F">
            <w:rPr>
              <w:rFonts w:ascii="Times New Roman" w:hAnsi="Times New Roman"/>
              <w:sz w:val="24"/>
              <w:szCs w:val="24"/>
            </w:rPr>
            <w:t>CONTRATO VEJ-VE-503-2021</w:t>
          </w:r>
        </w:p>
        <w:p w14:paraId="6847AAE7" w14:textId="77777777" w:rsidR="00834C1D" w:rsidRPr="00255C45" w:rsidRDefault="00834C1D" w:rsidP="00834C1D">
          <w:pPr>
            <w:spacing w:after="0" w:line="240" w:lineRule="auto"/>
            <w:jc w:val="both"/>
            <w:rPr>
              <w:rFonts w:ascii="Times New Roman" w:hAnsi="Times New Roman"/>
              <w:sz w:val="24"/>
              <w:szCs w:val="24"/>
            </w:rPr>
          </w:pPr>
        </w:p>
        <w:p w14:paraId="20745CFA" w14:textId="77777777" w:rsidR="00834C1D" w:rsidRPr="00255C45" w:rsidRDefault="00834C1D" w:rsidP="00834C1D">
          <w:pPr>
            <w:spacing w:after="0" w:line="240" w:lineRule="auto"/>
            <w:jc w:val="both"/>
            <w:rPr>
              <w:rFonts w:ascii="Times New Roman" w:hAnsi="Times New Roman"/>
              <w:sz w:val="24"/>
              <w:szCs w:val="24"/>
            </w:rPr>
          </w:pPr>
          <w:r w:rsidRPr="00255C45">
            <w:rPr>
              <w:rFonts w:ascii="Times New Roman" w:hAnsi="Times New Roman"/>
              <w:sz w:val="24"/>
              <w:szCs w:val="24"/>
            </w:rPr>
            <w:t>OBJETO: Prestar los servicios de asistencia técnica a través de su respectivo modelo de ejecución financiera, a la Agencia Nacional de Infraestructura - ANI, para el desarrollo de los Proyectos requeridos en los corredores férreos La Dorada - Chiriguaná, y su Ramal Capulco y Ramal Grecia - Cabañas.</w:t>
          </w:r>
        </w:p>
        <w:p w14:paraId="2B1F9C5E" w14:textId="77777777" w:rsidR="00834C1D" w:rsidRPr="00255C45" w:rsidRDefault="00834C1D" w:rsidP="00834C1D">
          <w:pPr>
            <w:spacing w:after="0" w:line="240" w:lineRule="auto"/>
            <w:jc w:val="both"/>
            <w:rPr>
              <w:rFonts w:ascii="Times New Roman" w:hAnsi="Times New Roman"/>
              <w:sz w:val="24"/>
              <w:szCs w:val="24"/>
            </w:rPr>
          </w:pPr>
        </w:p>
        <w:p w14:paraId="76BE88CE" w14:textId="77777777" w:rsidR="00834C1D" w:rsidRPr="00255C45" w:rsidRDefault="00834C1D" w:rsidP="00E60BAB">
          <w:pPr>
            <w:pStyle w:val="Prrafodelista"/>
            <w:numPr>
              <w:ilvl w:val="0"/>
              <w:numId w:val="51"/>
            </w:numPr>
            <w:spacing w:after="0" w:line="240" w:lineRule="auto"/>
            <w:ind w:left="284"/>
            <w:jc w:val="both"/>
            <w:rPr>
              <w:rFonts w:ascii="Times New Roman" w:hAnsi="Times New Roman"/>
              <w:sz w:val="24"/>
              <w:szCs w:val="24"/>
            </w:rPr>
          </w:pPr>
          <w:r w:rsidRPr="00255C45">
            <w:rPr>
              <w:rFonts w:ascii="Times New Roman" w:hAnsi="Times New Roman"/>
              <w:sz w:val="24"/>
              <w:szCs w:val="24"/>
            </w:rPr>
            <w:t>Fecha de suscripción: 17 de junio de 2021</w:t>
          </w:r>
        </w:p>
        <w:p w14:paraId="06932BB1" w14:textId="77777777" w:rsidR="00834C1D" w:rsidRPr="00255C45" w:rsidRDefault="00834C1D" w:rsidP="00E60BAB">
          <w:pPr>
            <w:pStyle w:val="Prrafodelista"/>
            <w:numPr>
              <w:ilvl w:val="0"/>
              <w:numId w:val="51"/>
            </w:numPr>
            <w:spacing w:after="0" w:line="240" w:lineRule="auto"/>
            <w:ind w:left="284"/>
            <w:jc w:val="both"/>
            <w:rPr>
              <w:rFonts w:ascii="Times New Roman" w:hAnsi="Times New Roman"/>
              <w:sz w:val="24"/>
              <w:szCs w:val="24"/>
            </w:rPr>
          </w:pPr>
          <w:r w:rsidRPr="00255C45">
            <w:rPr>
              <w:rFonts w:ascii="Times New Roman" w:hAnsi="Times New Roman"/>
              <w:sz w:val="24"/>
              <w:szCs w:val="24"/>
            </w:rPr>
            <w:t>Fecha Acta de inicio: 25 de junio de 2021</w:t>
          </w:r>
        </w:p>
        <w:p w14:paraId="56FFEBA8" w14:textId="77777777" w:rsidR="00834C1D" w:rsidRPr="00255C45" w:rsidRDefault="00834C1D" w:rsidP="00E60BAB">
          <w:pPr>
            <w:pStyle w:val="Prrafodelista"/>
            <w:numPr>
              <w:ilvl w:val="0"/>
              <w:numId w:val="51"/>
            </w:numPr>
            <w:spacing w:after="0" w:line="240" w:lineRule="auto"/>
            <w:ind w:left="284"/>
            <w:jc w:val="both"/>
            <w:rPr>
              <w:rFonts w:ascii="Times New Roman" w:hAnsi="Times New Roman"/>
              <w:sz w:val="24"/>
              <w:szCs w:val="24"/>
            </w:rPr>
          </w:pPr>
          <w:r w:rsidRPr="00255C45">
            <w:rPr>
              <w:rFonts w:ascii="Times New Roman" w:hAnsi="Times New Roman"/>
              <w:sz w:val="24"/>
              <w:szCs w:val="24"/>
            </w:rPr>
            <w:t>Valor Total (incluyendo adiciones): $ 1.069.290.433</w:t>
          </w:r>
        </w:p>
        <w:p w14:paraId="33007B60" w14:textId="77777777" w:rsidR="00040F5E" w:rsidRPr="00255C45" w:rsidRDefault="00040F5E" w:rsidP="00E60BAB">
          <w:pPr>
            <w:pStyle w:val="Prrafodelista"/>
            <w:numPr>
              <w:ilvl w:val="0"/>
              <w:numId w:val="52"/>
            </w:numPr>
            <w:spacing w:after="0" w:line="240" w:lineRule="auto"/>
            <w:ind w:left="284"/>
            <w:jc w:val="both"/>
            <w:rPr>
              <w:rFonts w:ascii="Times New Roman" w:hAnsi="Times New Roman"/>
              <w:sz w:val="24"/>
              <w:szCs w:val="24"/>
            </w:rPr>
          </w:pPr>
          <w:r w:rsidRPr="00255C45">
            <w:rPr>
              <w:rFonts w:ascii="Times New Roman" w:hAnsi="Times New Roman"/>
              <w:sz w:val="24"/>
              <w:szCs w:val="24"/>
            </w:rPr>
            <w:t>Plazo final de ejecución (incluyendo Prórrogas): 3 meses y 15 días</w:t>
          </w:r>
        </w:p>
        <w:p w14:paraId="3489E891" w14:textId="77777777" w:rsidR="00040F5E" w:rsidRPr="00255C45" w:rsidRDefault="00040F5E" w:rsidP="00E60BAB">
          <w:pPr>
            <w:pStyle w:val="Prrafodelista"/>
            <w:numPr>
              <w:ilvl w:val="0"/>
              <w:numId w:val="52"/>
            </w:numPr>
            <w:spacing w:after="0" w:line="240" w:lineRule="auto"/>
            <w:ind w:left="284"/>
            <w:jc w:val="both"/>
            <w:rPr>
              <w:rFonts w:ascii="Times New Roman" w:hAnsi="Times New Roman"/>
              <w:sz w:val="24"/>
              <w:szCs w:val="24"/>
            </w:rPr>
          </w:pPr>
          <w:r w:rsidRPr="00255C45">
            <w:rPr>
              <w:rFonts w:ascii="Times New Roman" w:hAnsi="Times New Roman"/>
              <w:sz w:val="24"/>
              <w:szCs w:val="24"/>
            </w:rPr>
            <w:t xml:space="preserve">Modificaciones contractuales: Otrosí No. </w:t>
          </w:r>
          <w:r w:rsidR="00834C1D" w:rsidRPr="00255C45">
            <w:rPr>
              <w:rFonts w:ascii="Times New Roman" w:hAnsi="Times New Roman"/>
              <w:sz w:val="24"/>
              <w:szCs w:val="24"/>
            </w:rPr>
            <w:t>1, del 27 de septiembre de 2021, mediante el cual se modificó el alcance del objeto, valor, forma de pago de las cuotas de asistencia técnica y el plazo del contrato VEJ-VE-503-2021</w:t>
          </w:r>
        </w:p>
        <w:p w14:paraId="29ABE296" w14:textId="77777777" w:rsidR="00834C1D" w:rsidRPr="00255C45" w:rsidRDefault="00834C1D" w:rsidP="00E60BAB">
          <w:pPr>
            <w:pStyle w:val="Prrafodelista"/>
            <w:numPr>
              <w:ilvl w:val="0"/>
              <w:numId w:val="52"/>
            </w:numPr>
            <w:spacing w:after="0" w:line="240" w:lineRule="auto"/>
            <w:ind w:left="284"/>
            <w:jc w:val="both"/>
            <w:rPr>
              <w:rFonts w:ascii="Times New Roman" w:hAnsi="Times New Roman"/>
              <w:sz w:val="24"/>
              <w:szCs w:val="24"/>
            </w:rPr>
          </w:pPr>
          <w:r w:rsidRPr="00255C45">
            <w:rPr>
              <w:rFonts w:ascii="Times New Roman" w:hAnsi="Times New Roman"/>
              <w:sz w:val="24"/>
              <w:szCs w:val="24"/>
            </w:rPr>
            <w:t>Estado actual y balance del contrato: El contrato VEJ-VE-503-2021 fue liquidado el 21 de marzo de 2023, de acuerdo con el acta de liquidación, el balance del contrato es el siguiente:</w:t>
          </w:r>
        </w:p>
        <w:p w14:paraId="42205B26" w14:textId="77777777" w:rsidR="00834C1D" w:rsidRPr="00255C45" w:rsidRDefault="00834C1D" w:rsidP="00834C1D">
          <w:pPr>
            <w:pStyle w:val="Prrafodelista"/>
            <w:spacing w:after="0" w:line="240" w:lineRule="auto"/>
            <w:ind w:left="284"/>
            <w:jc w:val="both"/>
            <w:rPr>
              <w:rFonts w:ascii="Times New Roman" w:hAnsi="Times New Roman"/>
              <w:sz w:val="24"/>
              <w:szCs w:val="24"/>
            </w:rPr>
          </w:pPr>
        </w:p>
        <w:p w14:paraId="6E55A5A8" w14:textId="7E32A9B1" w:rsidR="00834C1D" w:rsidRPr="00255C45" w:rsidRDefault="00834C1D" w:rsidP="00834C1D">
          <w:pPr>
            <w:spacing w:after="0" w:line="240" w:lineRule="auto"/>
            <w:jc w:val="both"/>
            <w:rPr>
              <w:rFonts w:ascii="Times New Roman" w:hAnsi="Times New Roman"/>
              <w:sz w:val="24"/>
              <w:szCs w:val="24"/>
            </w:rPr>
          </w:pPr>
          <w:r w:rsidRPr="00255C45">
            <w:rPr>
              <w:rFonts w:ascii="Times New Roman" w:hAnsi="Times New Roman"/>
              <w:sz w:val="24"/>
              <w:szCs w:val="24"/>
            </w:rPr>
            <w:t>Valores Contractuales</w:t>
          </w:r>
        </w:p>
        <w:p w14:paraId="66C10A9A" w14:textId="77777777" w:rsidR="00834C1D" w:rsidRPr="00255C45" w:rsidRDefault="00834C1D" w:rsidP="00834C1D">
          <w:pPr>
            <w:spacing w:after="0" w:line="240" w:lineRule="auto"/>
            <w:jc w:val="both"/>
            <w:rPr>
              <w:rFonts w:ascii="Times New Roman" w:hAnsi="Times New Roman"/>
              <w:sz w:val="24"/>
              <w:szCs w:val="24"/>
            </w:rPr>
          </w:pPr>
        </w:p>
        <w:p w14:paraId="16C0976E" w14:textId="2F2B101F" w:rsidR="00834C1D" w:rsidRPr="00255C45" w:rsidRDefault="00834C1D" w:rsidP="00834C1D">
          <w:pPr>
            <w:spacing w:after="0" w:line="240" w:lineRule="auto"/>
            <w:jc w:val="both"/>
            <w:rPr>
              <w:rFonts w:ascii="Times New Roman" w:hAnsi="Times New Roman"/>
              <w:sz w:val="24"/>
              <w:szCs w:val="24"/>
            </w:rPr>
          </w:pPr>
          <w:r w:rsidRPr="00255C45">
            <w:rPr>
              <w:rFonts w:ascii="Times New Roman" w:hAnsi="Times New Roman"/>
              <w:sz w:val="24"/>
              <w:szCs w:val="24"/>
            </w:rPr>
            <w:t>VALOR INICIAL DEL CONTRATO:   $ 3.560.938.893</w:t>
          </w:r>
        </w:p>
        <w:p w14:paraId="757E167F" w14:textId="232F1036" w:rsidR="00834C1D" w:rsidRPr="00255C45" w:rsidRDefault="00834C1D" w:rsidP="00834C1D">
          <w:pPr>
            <w:spacing w:after="0" w:line="240" w:lineRule="auto"/>
            <w:jc w:val="both"/>
            <w:rPr>
              <w:rFonts w:ascii="Times New Roman" w:hAnsi="Times New Roman"/>
              <w:sz w:val="24"/>
              <w:szCs w:val="24"/>
            </w:rPr>
          </w:pPr>
          <w:r w:rsidRPr="00255C45">
            <w:rPr>
              <w:rFonts w:ascii="Times New Roman" w:hAnsi="Times New Roman"/>
              <w:sz w:val="24"/>
              <w:szCs w:val="24"/>
            </w:rPr>
            <w:t xml:space="preserve">VALOR REDUCIDO (Otrosí No. 1):    </w:t>
          </w:r>
          <w:r w:rsidRPr="00255C45">
            <w:rPr>
              <w:rFonts w:ascii="Times New Roman" w:hAnsi="Times New Roman"/>
              <w:sz w:val="24"/>
              <w:szCs w:val="24"/>
              <w:u w:val="single"/>
            </w:rPr>
            <w:t>-$ 2.491.648.460</w:t>
          </w:r>
        </w:p>
        <w:p w14:paraId="0132078B" w14:textId="283C51AA" w:rsidR="00834C1D" w:rsidRPr="00255C45" w:rsidRDefault="00834C1D" w:rsidP="00834C1D">
          <w:pPr>
            <w:spacing w:after="0" w:line="240" w:lineRule="auto"/>
            <w:jc w:val="both"/>
            <w:rPr>
              <w:rFonts w:ascii="Times New Roman" w:hAnsi="Times New Roman"/>
              <w:sz w:val="24"/>
              <w:szCs w:val="24"/>
            </w:rPr>
          </w:pPr>
          <w:r w:rsidRPr="00255C45">
            <w:rPr>
              <w:rFonts w:ascii="Times New Roman" w:hAnsi="Times New Roman"/>
              <w:sz w:val="24"/>
              <w:szCs w:val="24"/>
            </w:rPr>
            <w:t>VALOR TOTAL DEL CONTRATO:      $ 1.069.290.433</w:t>
          </w:r>
        </w:p>
        <w:p w14:paraId="77580748" w14:textId="77777777" w:rsidR="00834C1D" w:rsidRPr="00255C45" w:rsidRDefault="00834C1D" w:rsidP="00834C1D">
          <w:pPr>
            <w:spacing w:after="0" w:line="240" w:lineRule="auto"/>
            <w:jc w:val="both"/>
            <w:rPr>
              <w:rFonts w:ascii="Times New Roman" w:hAnsi="Times New Roman"/>
              <w:sz w:val="24"/>
              <w:szCs w:val="24"/>
            </w:rPr>
          </w:pPr>
        </w:p>
        <w:p w14:paraId="071C404F" w14:textId="77777777" w:rsidR="00834C1D" w:rsidRPr="00255C45" w:rsidRDefault="00834C1D" w:rsidP="00834C1D">
          <w:pPr>
            <w:spacing w:after="0" w:line="240" w:lineRule="auto"/>
            <w:jc w:val="both"/>
            <w:rPr>
              <w:rFonts w:ascii="Times New Roman" w:hAnsi="Times New Roman"/>
              <w:sz w:val="24"/>
              <w:szCs w:val="24"/>
            </w:rPr>
          </w:pPr>
          <w:r w:rsidRPr="00255C45">
            <w:rPr>
              <w:rFonts w:ascii="Times New Roman" w:hAnsi="Times New Roman"/>
              <w:sz w:val="24"/>
              <w:szCs w:val="24"/>
            </w:rPr>
            <w:t xml:space="preserve">     Balance del contrato</w:t>
          </w:r>
        </w:p>
        <w:p w14:paraId="482CEEEA" w14:textId="77777777" w:rsidR="00834C1D" w:rsidRPr="00255C45" w:rsidRDefault="00834C1D" w:rsidP="00834C1D">
          <w:pPr>
            <w:spacing w:after="0" w:line="240" w:lineRule="auto"/>
            <w:jc w:val="both"/>
            <w:rPr>
              <w:rFonts w:ascii="Times New Roman" w:hAnsi="Times New Roman"/>
              <w:sz w:val="24"/>
              <w:szCs w:val="24"/>
            </w:rPr>
          </w:pPr>
          <w:r w:rsidRPr="00255C45">
            <w:rPr>
              <w:rFonts w:ascii="Times New Roman" w:hAnsi="Times New Roman"/>
              <w:sz w:val="24"/>
              <w:szCs w:val="24"/>
            </w:rPr>
            <w:tab/>
          </w:r>
        </w:p>
        <w:tbl>
          <w:tblPr>
            <w:tblW w:w="5000" w:type="pct"/>
            <w:jc w:val="center"/>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blBorders>
            <w:tblCellMar>
              <w:left w:w="70" w:type="dxa"/>
              <w:right w:w="70" w:type="dxa"/>
            </w:tblCellMar>
            <w:tblLook w:val="04A0" w:firstRow="1" w:lastRow="0" w:firstColumn="1" w:lastColumn="0" w:noHBand="0" w:noVBand="1"/>
          </w:tblPr>
          <w:tblGrid>
            <w:gridCol w:w="5037"/>
            <w:gridCol w:w="3922"/>
          </w:tblGrid>
          <w:tr w:rsidR="00834C1D" w:rsidRPr="00255C45" w14:paraId="2650A94B" w14:textId="77777777" w:rsidTr="00BC63A6">
            <w:trPr>
              <w:trHeight w:val="306"/>
              <w:jc w:val="center"/>
            </w:trPr>
            <w:tc>
              <w:tcPr>
                <w:tcW w:w="2811" w:type="pct"/>
                <w:shd w:val="clear" w:color="auto" w:fill="E0E0E0"/>
                <w:vAlign w:val="center"/>
                <w:hideMark/>
              </w:tcPr>
              <w:p w14:paraId="7ED67094" w14:textId="77777777" w:rsidR="00834C1D" w:rsidRPr="00255C45" w:rsidRDefault="00834C1D">
                <w:pPr>
                  <w:spacing w:after="0" w:line="240" w:lineRule="auto"/>
                  <w:rPr>
                    <w:rFonts w:ascii="Times New Roman" w:eastAsia="Times New Roman" w:hAnsi="Times New Roman"/>
                    <w:b/>
                    <w:color w:val="000000"/>
                    <w:sz w:val="18"/>
                    <w:szCs w:val="18"/>
                    <w:lang w:eastAsia="es-CO"/>
                  </w:rPr>
                </w:pPr>
                <w:r w:rsidRPr="00255C45">
                  <w:rPr>
                    <w:rFonts w:ascii="Times New Roman" w:eastAsia="Times New Roman" w:hAnsi="Times New Roman"/>
                    <w:b/>
                    <w:color w:val="000000"/>
                    <w:sz w:val="18"/>
                    <w:szCs w:val="18"/>
                    <w:lang w:eastAsia="es-CO"/>
                  </w:rPr>
                  <w:t>VALOR INICIAL DEL CONTRATO/CONVENIO:</w:t>
                </w:r>
              </w:p>
            </w:tc>
            <w:tc>
              <w:tcPr>
                <w:tcW w:w="2189" w:type="pct"/>
                <w:shd w:val="clear" w:color="auto" w:fill="E0E0E0"/>
                <w:vAlign w:val="center"/>
                <w:hideMark/>
              </w:tcPr>
              <w:p w14:paraId="03A9DB59" w14:textId="77777777" w:rsidR="00834C1D" w:rsidRPr="00255C45" w:rsidRDefault="00834C1D">
                <w:pPr>
                  <w:spacing w:after="0" w:line="240" w:lineRule="auto"/>
                  <w:jc w:val="right"/>
                  <w:rPr>
                    <w:rFonts w:ascii="Times New Roman" w:eastAsia="Times New Roman" w:hAnsi="Times New Roman"/>
                    <w:color w:val="000000"/>
                    <w:sz w:val="18"/>
                    <w:szCs w:val="18"/>
                    <w:lang w:eastAsia="es-CO"/>
                  </w:rPr>
                </w:pPr>
                <w:r w:rsidRPr="00255C45">
                  <w:rPr>
                    <w:rFonts w:ascii="Times New Roman" w:eastAsia="Times New Roman" w:hAnsi="Times New Roman"/>
                    <w:color w:val="000000"/>
                    <w:sz w:val="18"/>
                    <w:szCs w:val="18"/>
                    <w:lang w:eastAsia="es-CO"/>
                  </w:rPr>
                  <w:t>$ 3.560.938.893</w:t>
                </w:r>
              </w:p>
            </w:tc>
          </w:tr>
          <w:tr w:rsidR="00834C1D" w:rsidRPr="00255C45" w14:paraId="0953DC55" w14:textId="77777777" w:rsidTr="00BC63A6">
            <w:trPr>
              <w:trHeight w:val="137"/>
              <w:jc w:val="center"/>
            </w:trPr>
            <w:tc>
              <w:tcPr>
                <w:tcW w:w="2811" w:type="pct"/>
                <w:shd w:val="clear" w:color="auto" w:fill="auto"/>
                <w:vAlign w:val="center"/>
                <w:hideMark/>
              </w:tcPr>
              <w:p w14:paraId="7F7B726A" w14:textId="77777777" w:rsidR="00834C1D" w:rsidRPr="00255C45" w:rsidRDefault="00834C1D">
                <w:pPr>
                  <w:spacing w:after="0" w:line="240" w:lineRule="auto"/>
                  <w:rPr>
                    <w:rFonts w:ascii="Times New Roman" w:eastAsia="Times New Roman" w:hAnsi="Times New Roman"/>
                    <w:b/>
                    <w:color w:val="000000"/>
                    <w:sz w:val="18"/>
                    <w:szCs w:val="18"/>
                    <w:lang w:eastAsia="es-CO"/>
                  </w:rPr>
                </w:pPr>
                <w:r w:rsidRPr="00255C45">
                  <w:rPr>
                    <w:rFonts w:ascii="Times New Roman" w:eastAsia="Times New Roman" w:hAnsi="Times New Roman"/>
                    <w:b/>
                    <w:color w:val="000000"/>
                    <w:sz w:val="18"/>
                    <w:szCs w:val="18"/>
                    <w:lang w:eastAsia="es-CO"/>
                  </w:rPr>
                  <w:t>VALOR REDUCIDO:</w:t>
                </w:r>
              </w:p>
            </w:tc>
            <w:tc>
              <w:tcPr>
                <w:tcW w:w="2189" w:type="pct"/>
                <w:shd w:val="clear" w:color="auto" w:fill="auto"/>
                <w:vAlign w:val="center"/>
                <w:hideMark/>
              </w:tcPr>
              <w:p w14:paraId="3DE15A59" w14:textId="77777777" w:rsidR="00834C1D" w:rsidRPr="00255C45" w:rsidRDefault="00834C1D">
                <w:pPr>
                  <w:spacing w:after="0" w:line="240" w:lineRule="auto"/>
                  <w:jc w:val="right"/>
                  <w:rPr>
                    <w:rFonts w:ascii="Times New Roman" w:eastAsia="Times New Roman" w:hAnsi="Times New Roman"/>
                    <w:color w:val="000000"/>
                    <w:sz w:val="18"/>
                    <w:szCs w:val="18"/>
                    <w:lang w:eastAsia="es-CO"/>
                  </w:rPr>
                </w:pPr>
                <w:r w:rsidRPr="00255C45">
                  <w:rPr>
                    <w:rFonts w:ascii="Times New Roman" w:eastAsia="Times New Roman" w:hAnsi="Times New Roman"/>
                    <w:color w:val="000000" w:themeColor="text1"/>
                    <w:sz w:val="18"/>
                    <w:szCs w:val="18"/>
                    <w:lang w:eastAsia="es-CO"/>
                  </w:rPr>
                  <w:t>-$ 2.491.648.460</w:t>
                </w:r>
              </w:p>
            </w:tc>
          </w:tr>
          <w:tr w:rsidR="00834C1D" w:rsidRPr="00255C45" w14:paraId="068696B9" w14:textId="77777777" w:rsidTr="00BC63A6">
            <w:trPr>
              <w:trHeight w:val="254"/>
              <w:jc w:val="center"/>
            </w:trPr>
            <w:tc>
              <w:tcPr>
                <w:tcW w:w="2811" w:type="pct"/>
                <w:shd w:val="clear" w:color="auto" w:fill="E0E0E0"/>
                <w:vAlign w:val="center"/>
                <w:hideMark/>
              </w:tcPr>
              <w:p w14:paraId="71384DBE" w14:textId="77777777" w:rsidR="00834C1D" w:rsidRPr="00255C45" w:rsidRDefault="00834C1D">
                <w:pPr>
                  <w:spacing w:after="0" w:line="240" w:lineRule="auto"/>
                  <w:rPr>
                    <w:rFonts w:ascii="Times New Roman" w:eastAsia="Times New Roman" w:hAnsi="Times New Roman"/>
                    <w:b/>
                    <w:color w:val="000000"/>
                    <w:sz w:val="18"/>
                    <w:szCs w:val="18"/>
                    <w:lang w:eastAsia="es-CO"/>
                  </w:rPr>
                </w:pPr>
                <w:r w:rsidRPr="00255C45">
                  <w:rPr>
                    <w:rFonts w:ascii="Times New Roman" w:eastAsia="Times New Roman" w:hAnsi="Times New Roman"/>
                    <w:b/>
                    <w:color w:val="000000"/>
                    <w:sz w:val="18"/>
                    <w:szCs w:val="18"/>
                    <w:lang w:eastAsia="es-CO"/>
                  </w:rPr>
                  <w:t>VALOR TOTAL DEL CONTRATO/CONVENIO:</w:t>
                </w:r>
              </w:p>
            </w:tc>
            <w:tc>
              <w:tcPr>
                <w:tcW w:w="2189" w:type="pct"/>
                <w:shd w:val="clear" w:color="auto" w:fill="E0E0E0"/>
                <w:vAlign w:val="center"/>
                <w:hideMark/>
              </w:tcPr>
              <w:p w14:paraId="180B59F4" w14:textId="77777777" w:rsidR="00834C1D" w:rsidRPr="00255C45" w:rsidRDefault="00834C1D">
                <w:pPr>
                  <w:spacing w:after="0" w:line="240" w:lineRule="auto"/>
                  <w:jc w:val="right"/>
                  <w:rPr>
                    <w:rFonts w:ascii="Times New Roman" w:eastAsia="Times New Roman" w:hAnsi="Times New Roman"/>
                    <w:b/>
                    <w:color w:val="000000"/>
                    <w:sz w:val="18"/>
                    <w:szCs w:val="18"/>
                    <w:lang w:eastAsia="es-CO"/>
                  </w:rPr>
                </w:pPr>
                <w:r w:rsidRPr="00255C45">
                  <w:rPr>
                    <w:rFonts w:ascii="Times New Roman" w:eastAsia="Times New Roman" w:hAnsi="Times New Roman"/>
                    <w:b/>
                    <w:color w:val="000000"/>
                    <w:sz w:val="18"/>
                    <w:szCs w:val="18"/>
                    <w:lang w:eastAsia="es-CO"/>
                  </w:rPr>
                  <w:t>$ 1.069.290.433</w:t>
                </w:r>
              </w:p>
            </w:tc>
          </w:tr>
          <w:tr w:rsidR="00834C1D" w:rsidRPr="00255C45" w14:paraId="509DA2C6" w14:textId="77777777" w:rsidTr="00BC63A6">
            <w:trPr>
              <w:trHeight w:val="261"/>
              <w:jc w:val="center"/>
            </w:trPr>
            <w:tc>
              <w:tcPr>
                <w:tcW w:w="2811" w:type="pct"/>
                <w:shd w:val="clear" w:color="auto" w:fill="auto"/>
                <w:vAlign w:val="center"/>
                <w:hideMark/>
              </w:tcPr>
              <w:p w14:paraId="7450E9B5" w14:textId="77777777" w:rsidR="00834C1D" w:rsidRPr="00255C45" w:rsidRDefault="00834C1D">
                <w:pPr>
                  <w:spacing w:after="0" w:line="240" w:lineRule="auto"/>
                  <w:rPr>
                    <w:rFonts w:ascii="Times New Roman" w:eastAsia="Times New Roman" w:hAnsi="Times New Roman"/>
                    <w:b/>
                    <w:color w:val="000000"/>
                    <w:sz w:val="18"/>
                    <w:szCs w:val="18"/>
                    <w:lang w:eastAsia="es-CO"/>
                  </w:rPr>
                </w:pPr>
                <w:r w:rsidRPr="00255C45">
                  <w:rPr>
                    <w:rFonts w:ascii="Times New Roman" w:eastAsia="Times New Roman" w:hAnsi="Times New Roman"/>
                    <w:b/>
                    <w:color w:val="000000"/>
                    <w:sz w:val="18"/>
                    <w:szCs w:val="18"/>
                    <w:lang w:eastAsia="es-CO"/>
                  </w:rPr>
                  <w:t>PAGOS EFECTUADOS AL CONTRATISTA/ASOCIADO:</w:t>
                </w:r>
              </w:p>
            </w:tc>
            <w:tc>
              <w:tcPr>
                <w:tcW w:w="2189" w:type="pct"/>
                <w:shd w:val="clear" w:color="auto" w:fill="auto"/>
                <w:vAlign w:val="center"/>
                <w:hideMark/>
              </w:tcPr>
              <w:p w14:paraId="5F22AEED" w14:textId="77777777" w:rsidR="00834C1D" w:rsidRPr="00255C45" w:rsidRDefault="00834C1D">
                <w:pPr>
                  <w:spacing w:after="0" w:line="240" w:lineRule="auto"/>
                  <w:jc w:val="right"/>
                  <w:rPr>
                    <w:rFonts w:ascii="Times New Roman" w:eastAsia="Times New Roman" w:hAnsi="Times New Roman"/>
                    <w:color w:val="000000"/>
                    <w:sz w:val="18"/>
                    <w:szCs w:val="18"/>
                    <w:lang w:eastAsia="es-CO"/>
                  </w:rPr>
                </w:pPr>
                <w:r w:rsidRPr="00255C45">
                  <w:rPr>
                    <w:rFonts w:ascii="Times New Roman" w:eastAsia="Times New Roman" w:hAnsi="Times New Roman"/>
                    <w:color w:val="000000"/>
                    <w:sz w:val="18"/>
                    <w:szCs w:val="18"/>
                    <w:lang w:eastAsia="es-CO"/>
                  </w:rPr>
                  <w:t>$ 1.041.062.160</w:t>
                </w:r>
              </w:p>
            </w:tc>
          </w:tr>
          <w:tr w:rsidR="00834C1D" w:rsidRPr="00255C45" w14:paraId="40AAA770" w14:textId="77777777" w:rsidTr="00BC63A6">
            <w:trPr>
              <w:trHeight w:val="306"/>
              <w:jc w:val="center"/>
            </w:trPr>
            <w:tc>
              <w:tcPr>
                <w:tcW w:w="2811" w:type="pct"/>
                <w:shd w:val="clear" w:color="auto" w:fill="D9D9D9" w:themeFill="background1" w:themeFillShade="D9"/>
                <w:vAlign w:val="center"/>
                <w:hideMark/>
              </w:tcPr>
              <w:p w14:paraId="4A7A5641" w14:textId="77777777" w:rsidR="00834C1D" w:rsidRPr="00255C45" w:rsidRDefault="00834C1D">
                <w:pPr>
                  <w:spacing w:after="0" w:line="240" w:lineRule="auto"/>
                  <w:rPr>
                    <w:rFonts w:ascii="Times New Roman" w:eastAsia="Times New Roman" w:hAnsi="Times New Roman"/>
                    <w:b/>
                    <w:color w:val="000000"/>
                    <w:sz w:val="18"/>
                    <w:szCs w:val="18"/>
                    <w:lang w:eastAsia="es-CO"/>
                  </w:rPr>
                </w:pPr>
                <w:r w:rsidRPr="00255C45">
                  <w:rPr>
                    <w:rFonts w:ascii="Times New Roman" w:eastAsia="Times New Roman" w:hAnsi="Times New Roman"/>
                    <w:b/>
                    <w:color w:val="000000"/>
                    <w:sz w:val="18"/>
                    <w:szCs w:val="18"/>
                    <w:lang w:eastAsia="es-CO"/>
                  </w:rPr>
                  <w:t xml:space="preserve">VALOR NO EJECUTADO A FAVOR DE LA ENTIDAD: </w:t>
                </w:r>
              </w:p>
            </w:tc>
            <w:tc>
              <w:tcPr>
                <w:tcW w:w="2189" w:type="pct"/>
                <w:shd w:val="clear" w:color="auto" w:fill="D9D9D9" w:themeFill="background1" w:themeFillShade="D9"/>
                <w:vAlign w:val="center"/>
                <w:hideMark/>
              </w:tcPr>
              <w:p w14:paraId="524BCAA9" w14:textId="2B0B37DD" w:rsidR="00834C1D" w:rsidRPr="00255C45" w:rsidRDefault="00834C1D">
                <w:pPr>
                  <w:spacing w:after="0" w:line="240" w:lineRule="auto"/>
                  <w:jc w:val="right"/>
                  <w:rPr>
                    <w:rFonts w:ascii="Times New Roman" w:eastAsia="Times New Roman" w:hAnsi="Times New Roman"/>
                    <w:b/>
                    <w:color w:val="000000"/>
                    <w:sz w:val="18"/>
                    <w:szCs w:val="18"/>
                    <w:lang w:eastAsia="es-CO"/>
                  </w:rPr>
                </w:pPr>
                <w:r w:rsidRPr="00255C45">
                  <w:rPr>
                    <w:rFonts w:ascii="Times New Roman" w:eastAsia="Times New Roman" w:hAnsi="Times New Roman"/>
                    <w:b/>
                    <w:color w:val="000000"/>
                    <w:sz w:val="18"/>
                    <w:szCs w:val="18"/>
                    <w:lang w:eastAsia="es-CO"/>
                  </w:rPr>
                  <w:t>(</w:t>
                </w:r>
                <w:r w:rsidR="008151AD">
                  <w:rPr>
                    <w:rFonts w:ascii="Times New Roman" w:eastAsia="Times New Roman" w:hAnsi="Times New Roman"/>
                    <w:b/>
                    <w:color w:val="000000"/>
                    <w:sz w:val="18"/>
                    <w:szCs w:val="18"/>
                    <w:lang w:eastAsia="es-CO"/>
                  </w:rPr>
                  <w:t>*</w:t>
                </w:r>
                <w:r w:rsidRPr="00255C45">
                  <w:rPr>
                    <w:rFonts w:ascii="Times New Roman" w:eastAsia="Times New Roman" w:hAnsi="Times New Roman"/>
                    <w:b/>
                    <w:color w:val="000000"/>
                    <w:sz w:val="18"/>
                    <w:szCs w:val="18"/>
                    <w:lang w:eastAsia="es-CO"/>
                  </w:rPr>
                  <w:t>1) $ 28.228.273</w:t>
                </w:r>
              </w:p>
            </w:tc>
          </w:tr>
          <w:tr w:rsidR="00834C1D" w:rsidRPr="00255C45" w14:paraId="61261944" w14:textId="77777777" w:rsidTr="00BC63A6">
            <w:trPr>
              <w:trHeight w:val="300"/>
              <w:jc w:val="center"/>
            </w:trPr>
            <w:tc>
              <w:tcPr>
                <w:tcW w:w="2811" w:type="pct"/>
                <w:shd w:val="clear" w:color="auto" w:fill="auto"/>
                <w:vAlign w:val="center"/>
                <w:hideMark/>
              </w:tcPr>
              <w:p w14:paraId="6DE638B2" w14:textId="77777777" w:rsidR="00834C1D" w:rsidRPr="00255C45" w:rsidRDefault="00834C1D">
                <w:pPr>
                  <w:spacing w:after="0" w:line="240" w:lineRule="auto"/>
                  <w:rPr>
                    <w:rFonts w:ascii="Times New Roman" w:eastAsia="Times New Roman" w:hAnsi="Times New Roman"/>
                    <w:b/>
                    <w:color w:val="000000"/>
                    <w:sz w:val="18"/>
                    <w:szCs w:val="18"/>
                    <w:lang w:eastAsia="es-CO"/>
                  </w:rPr>
                </w:pPr>
                <w:r w:rsidRPr="00255C45">
                  <w:rPr>
                    <w:rFonts w:ascii="Times New Roman" w:eastAsia="Times New Roman" w:hAnsi="Times New Roman"/>
                    <w:b/>
                    <w:color w:val="000000"/>
                    <w:sz w:val="18"/>
                    <w:szCs w:val="18"/>
                    <w:lang w:eastAsia="es-CO"/>
                  </w:rPr>
                  <w:t>SALDO A FAVOR DEL CONTRATISTA/ASOCIADO:</w:t>
                </w:r>
              </w:p>
            </w:tc>
            <w:tc>
              <w:tcPr>
                <w:tcW w:w="2189" w:type="pct"/>
                <w:shd w:val="clear" w:color="auto" w:fill="auto"/>
                <w:vAlign w:val="center"/>
                <w:hideMark/>
              </w:tcPr>
              <w:p w14:paraId="3419E9AB" w14:textId="77777777" w:rsidR="00834C1D" w:rsidRPr="00255C45" w:rsidRDefault="00834C1D">
                <w:pPr>
                  <w:spacing w:after="0" w:line="240" w:lineRule="auto"/>
                  <w:jc w:val="right"/>
                  <w:rPr>
                    <w:rFonts w:ascii="Times New Roman" w:eastAsia="Times New Roman" w:hAnsi="Times New Roman"/>
                    <w:color w:val="000000"/>
                    <w:sz w:val="18"/>
                    <w:szCs w:val="18"/>
                    <w:lang w:eastAsia="es-CO"/>
                  </w:rPr>
                </w:pPr>
                <w:r w:rsidRPr="00255C45">
                  <w:rPr>
                    <w:rFonts w:ascii="Times New Roman" w:eastAsia="Times New Roman" w:hAnsi="Times New Roman"/>
                    <w:color w:val="000000"/>
                    <w:sz w:val="18"/>
                    <w:szCs w:val="18"/>
                    <w:lang w:eastAsia="es-CO"/>
                  </w:rPr>
                  <w:t>$</w:t>
                </w:r>
              </w:p>
            </w:tc>
          </w:tr>
        </w:tbl>
        <w:p w14:paraId="0DA41EDF" w14:textId="77777777" w:rsidR="00834C1D" w:rsidRPr="00255C45" w:rsidRDefault="00834C1D" w:rsidP="00834C1D">
          <w:pPr>
            <w:spacing w:after="0" w:line="240" w:lineRule="auto"/>
            <w:jc w:val="both"/>
            <w:rPr>
              <w:rFonts w:ascii="Times New Roman" w:hAnsi="Times New Roman"/>
              <w:sz w:val="24"/>
              <w:szCs w:val="24"/>
            </w:rPr>
          </w:pPr>
        </w:p>
        <w:p w14:paraId="163636FF" w14:textId="4044F831" w:rsidR="00834C1D" w:rsidRPr="00255C45" w:rsidRDefault="008151AD" w:rsidP="00834C1D">
          <w:pPr>
            <w:spacing w:after="0" w:line="240" w:lineRule="auto"/>
            <w:jc w:val="both"/>
            <w:rPr>
              <w:rFonts w:ascii="Times New Roman" w:hAnsi="Times New Roman"/>
              <w:sz w:val="24"/>
              <w:szCs w:val="24"/>
            </w:rPr>
          </w:pPr>
          <w:r>
            <w:rPr>
              <w:rFonts w:ascii="Times New Roman" w:hAnsi="Times New Roman"/>
              <w:sz w:val="24"/>
              <w:szCs w:val="24"/>
            </w:rPr>
            <w:t>*</w:t>
          </w:r>
          <w:r w:rsidR="00834C1D" w:rsidRPr="00255C45">
            <w:rPr>
              <w:rFonts w:ascii="Times New Roman" w:hAnsi="Times New Roman"/>
              <w:sz w:val="24"/>
              <w:szCs w:val="24"/>
            </w:rPr>
            <w:t>1: El valor no ejecutado a favor de la entidad presentado en el acta de liquidación corresponde a la diferencia entre el valor total del contrato (aportes realizados) y los pagos efectuados al contratista (ejecuciones netas), que asciende a la suma de $28.228.273 con corte a diciembre de 2022</w:t>
          </w:r>
        </w:p>
        <w:p w14:paraId="38E89F7E" w14:textId="77777777" w:rsidR="00834C1D" w:rsidRPr="00255C45" w:rsidRDefault="00834C1D" w:rsidP="00834C1D">
          <w:pPr>
            <w:spacing w:after="0" w:line="240" w:lineRule="auto"/>
            <w:jc w:val="both"/>
            <w:rPr>
              <w:rFonts w:ascii="Times New Roman" w:hAnsi="Times New Roman"/>
              <w:sz w:val="24"/>
              <w:szCs w:val="24"/>
            </w:rPr>
          </w:pPr>
        </w:p>
        <w:p w14:paraId="4F3B69DB" w14:textId="77777777" w:rsidR="00834C1D" w:rsidRPr="00255C45" w:rsidRDefault="00834C1D" w:rsidP="00834C1D">
          <w:pPr>
            <w:spacing w:after="0" w:line="240" w:lineRule="auto"/>
            <w:jc w:val="both"/>
            <w:rPr>
              <w:rFonts w:ascii="Times New Roman" w:hAnsi="Times New Roman"/>
              <w:sz w:val="24"/>
              <w:szCs w:val="24"/>
            </w:rPr>
          </w:pPr>
          <w:r w:rsidRPr="00255C45">
            <w:rPr>
              <w:rFonts w:ascii="Times New Roman" w:hAnsi="Times New Roman"/>
              <w:sz w:val="24"/>
              <w:szCs w:val="24"/>
            </w:rPr>
            <w:lastRenderedPageBreak/>
            <w:t>En la vigencia 2023, el valor no ejecutado a favor de la entidad se afectó por el gravamen al movimiento financiero – GMF que se causó al realizarse los traslados del saldo de los recursos no ejecutados a favor de la entidad y los rendimientos generados hasta la cancelación de la cuenta bancaria donde se encontraban los recursos (la cuenta se canceló en abril de 2023). Por lo anterior el balance del contrato fue el siguiente:</w:t>
          </w:r>
        </w:p>
        <w:p w14:paraId="3558E288" w14:textId="77777777" w:rsidR="00834C1D" w:rsidRPr="00255C45" w:rsidRDefault="00834C1D" w:rsidP="00834C1D">
          <w:pPr>
            <w:spacing w:after="0" w:line="240" w:lineRule="auto"/>
            <w:jc w:val="both"/>
            <w:rPr>
              <w:rFonts w:ascii="Times New Roman" w:hAnsi="Times New Roman"/>
              <w:sz w:val="24"/>
              <w:szCs w:val="24"/>
            </w:rPr>
          </w:pPr>
        </w:p>
        <w:tbl>
          <w:tblPr>
            <w:tblW w:w="5108" w:type="pct"/>
            <w:jc w:val="center"/>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blBorders>
            <w:tblCellMar>
              <w:left w:w="70" w:type="dxa"/>
              <w:right w:w="70" w:type="dxa"/>
            </w:tblCellMar>
            <w:tblLook w:val="04A0" w:firstRow="1" w:lastRow="0" w:firstColumn="1" w:lastColumn="0" w:noHBand="0" w:noVBand="1"/>
          </w:tblPr>
          <w:tblGrid>
            <w:gridCol w:w="5146"/>
            <w:gridCol w:w="4007"/>
          </w:tblGrid>
          <w:tr w:rsidR="00834C1D" w:rsidRPr="00255C45" w14:paraId="7D7B1344" w14:textId="77777777" w:rsidTr="008151AD">
            <w:trPr>
              <w:trHeight w:val="278"/>
              <w:jc w:val="center"/>
            </w:trPr>
            <w:tc>
              <w:tcPr>
                <w:tcW w:w="2811" w:type="pct"/>
                <w:shd w:val="clear" w:color="auto" w:fill="E0E0E0"/>
                <w:vAlign w:val="center"/>
                <w:hideMark/>
              </w:tcPr>
              <w:p w14:paraId="03159481" w14:textId="77777777" w:rsidR="00834C1D" w:rsidRPr="00255C45" w:rsidRDefault="00834C1D">
                <w:pPr>
                  <w:spacing w:after="0" w:line="240" w:lineRule="auto"/>
                  <w:rPr>
                    <w:rFonts w:ascii="Times New Roman" w:eastAsia="Times New Roman" w:hAnsi="Times New Roman"/>
                    <w:b/>
                    <w:color w:val="000000"/>
                    <w:sz w:val="16"/>
                    <w:szCs w:val="16"/>
                    <w:lang w:eastAsia="es-CO"/>
                  </w:rPr>
                </w:pPr>
                <w:r w:rsidRPr="00255C45">
                  <w:rPr>
                    <w:rFonts w:ascii="Times New Roman" w:eastAsia="Times New Roman" w:hAnsi="Times New Roman"/>
                    <w:b/>
                    <w:color w:val="000000"/>
                    <w:sz w:val="16"/>
                    <w:szCs w:val="16"/>
                    <w:lang w:eastAsia="es-CO"/>
                  </w:rPr>
                  <w:t>VALOR INICIAL DEL CONTRATO/CONVENIO:</w:t>
                </w:r>
              </w:p>
            </w:tc>
            <w:tc>
              <w:tcPr>
                <w:tcW w:w="2189" w:type="pct"/>
                <w:shd w:val="clear" w:color="auto" w:fill="E0E0E0"/>
                <w:vAlign w:val="center"/>
                <w:hideMark/>
              </w:tcPr>
              <w:p w14:paraId="6DEECEA9" w14:textId="77777777" w:rsidR="00834C1D" w:rsidRPr="00255C45" w:rsidRDefault="00834C1D">
                <w:pPr>
                  <w:spacing w:after="0" w:line="240" w:lineRule="auto"/>
                  <w:jc w:val="right"/>
                  <w:rPr>
                    <w:rFonts w:ascii="Times New Roman" w:eastAsia="Times New Roman" w:hAnsi="Times New Roman"/>
                    <w:color w:val="000000"/>
                    <w:sz w:val="16"/>
                    <w:szCs w:val="16"/>
                    <w:lang w:eastAsia="es-CO"/>
                  </w:rPr>
                </w:pPr>
                <w:r w:rsidRPr="00255C45">
                  <w:rPr>
                    <w:rFonts w:ascii="Times New Roman" w:eastAsia="Times New Roman" w:hAnsi="Times New Roman"/>
                    <w:color w:val="000000"/>
                    <w:sz w:val="16"/>
                    <w:szCs w:val="16"/>
                    <w:lang w:eastAsia="es-CO"/>
                  </w:rPr>
                  <w:t>$ 3.560.938.893</w:t>
                </w:r>
              </w:p>
            </w:tc>
          </w:tr>
          <w:tr w:rsidR="00834C1D" w:rsidRPr="00255C45" w14:paraId="5ECE138B" w14:textId="77777777" w:rsidTr="008151AD">
            <w:trPr>
              <w:trHeight w:val="192"/>
              <w:jc w:val="center"/>
            </w:trPr>
            <w:tc>
              <w:tcPr>
                <w:tcW w:w="2811" w:type="pct"/>
                <w:shd w:val="clear" w:color="auto" w:fill="auto"/>
                <w:vAlign w:val="center"/>
                <w:hideMark/>
              </w:tcPr>
              <w:p w14:paraId="759F21CB" w14:textId="77777777" w:rsidR="00834C1D" w:rsidRPr="00255C45" w:rsidRDefault="00834C1D">
                <w:pPr>
                  <w:spacing w:after="0" w:line="240" w:lineRule="auto"/>
                  <w:rPr>
                    <w:rFonts w:ascii="Times New Roman" w:eastAsia="Times New Roman" w:hAnsi="Times New Roman"/>
                    <w:b/>
                    <w:color w:val="000000"/>
                    <w:sz w:val="16"/>
                    <w:szCs w:val="16"/>
                    <w:lang w:eastAsia="es-CO"/>
                  </w:rPr>
                </w:pPr>
                <w:r w:rsidRPr="00255C45">
                  <w:rPr>
                    <w:rFonts w:ascii="Times New Roman" w:eastAsia="Times New Roman" w:hAnsi="Times New Roman"/>
                    <w:b/>
                    <w:color w:val="000000"/>
                    <w:sz w:val="16"/>
                    <w:szCs w:val="16"/>
                    <w:lang w:eastAsia="es-CO"/>
                  </w:rPr>
                  <w:t>VALOR REDUCIDO:</w:t>
                </w:r>
              </w:p>
            </w:tc>
            <w:tc>
              <w:tcPr>
                <w:tcW w:w="2189" w:type="pct"/>
                <w:shd w:val="clear" w:color="auto" w:fill="auto"/>
                <w:vAlign w:val="center"/>
                <w:hideMark/>
              </w:tcPr>
              <w:p w14:paraId="74E05FF4" w14:textId="77777777" w:rsidR="00834C1D" w:rsidRPr="00255C45" w:rsidRDefault="00834C1D">
                <w:pPr>
                  <w:spacing w:after="0" w:line="240" w:lineRule="auto"/>
                  <w:jc w:val="right"/>
                  <w:rPr>
                    <w:rFonts w:ascii="Times New Roman" w:eastAsia="Times New Roman" w:hAnsi="Times New Roman"/>
                    <w:color w:val="000000"/>
                    <w:sz w:val="16"/>
                    <w:szCs w:val="16"/>
                    <w:lang w:eastAsia="es-CO"/>
                  </w:rPr>
                </w:pPr>
                <w:r w:rsidRPr="00255C45">
                  <w:rPr>
                    <w:rFonts w:ascii="Times New Roman" w:eastAsia="Times New Roman" w:hAnsi="Times New Roman"/>
                    <w:color w:val="000000" w:themeColor="text1"/>
                    <w:sz w:val="16"/>
                    <w:szCs w:val="16"/>
                    <w:lang w:eastAsia="es-CO"/>
                  </w:rPr>
                  <w:t>-$ 2.491.648.460</w:t>
                </w:r>
              </w:p>
            </w:tc>
          </w:tr>
          <w:tr w:rsidR="00834C1D" w:rsidRPr="00255C45" w14:paraId="0BD187E7" w14:textId="77777777" w:rsidTr="008151AD">
            <w:trPr>
              <w:trHeight w:val="359"/>
              <w:jc w:val="center"/>
            </w:trPr>
            <w:tc>
              <w:tcPr>
                <w:tcW w:w="2811" w:type="pct"/>
                <w:shd w:val="clear" w:color="auto" w:fill="E0E0E0"/>
                <w:vAlign w:val="center"/>
                <w:hideMark/>
              </w:tcPr>
              <w:p w14:paraId="22D097BC" w14:textId="77777777" w:rsidR="00834C1D" w:rsidRPr="00255C45" w:rsidRDefault="00834C1D">
                <w:pPr>
                  <w:spacing w:after="0" w:line="240" w:lineRule="auto"/>
                  <w:rPr>
                    <w:rFonts w:ascii="Times New Roman" w:eastAsia="Times New Roman" w:hAnsi="Times New Roman"/>
                    <w:b/>
                    <w:color w:val="000000"/>
                    <w:sz w:val="16"/>
                    <w:szCs w:val="16"/>
                    <w:lang w:eastAsia="es-CO"/>
                  </w:rPr>
                </w:pPr>
                <w:r w:rsidRPr="00255C45">
                  <w:rPr>
                    <w:rFonts w:ascii="Times New Roman" w:eastAsia="Times New Roman" w:hAnsi="Times New Roman"/>
                    <w:b/>
                    <w:color w:val="000000"/>
                    <w:sz w:val="16"/>
                    <w:szCs w:val="16"/>
                    <w:lang w:eastAsia="es-CO"/>
                  </w:rPr>
                  <w:t>VALOR TOTAL DEL CONTRATO/CONVENIO:</w:t>
                </w:r>
              </w:p>
            </w:tc>
            <w:tc>
              <w:tcPr>
                <w:tcW w:w="2189" w:type="pct"/>
                <w:shd w:val="clear" w:color="auto" w:fill="E0E0E0"/>
                <w:vAlign w:val="center"/>
                <w:hideMark/>
              </w:tcPr>
              <w:p w14:paraId="3759D1C7" w14:textId="77777777" w:rsidR="00834C1D" w:rsidRPr="00255C45" w:rsidRDefault="00834C1D">
                <w:pPr>
                  <w:spacing w:after="0" w:line="240" w:lineRule="auto"/>
                  <w:jc w:val="right"/>
                  <w:rPr>
                    <w:rFonts w:ascii="Times New Roman" w:eastAsia="Times New Roman" w:hAnsi="Times New Roman"/>
                    <w:b/>
                    <w:color w:val="000000"/>
                    <w:sz w:val="16"/>
                    <w:szCs w:val="16"/>
                    <w:lang w:eastAsia="es-CO"/>
                  </w:rPr>
                </w:pPr>
                <w:r w:rsidRPr="00255C45">
                  <w:rPr>
                    <w:rFonts w:ascii="Times New Roman" w:eastAsia="Times New Roman" w:hAnsi="Times New Roman"/>
                    <w:b/>
                    <w:color w:val="000000"/>
                    <w:sz w:val="16"/>
                    <w:szCs w:val="16"/>
                    <w:lang w:eastAsia="es-CO"/>
                  </w:rPr>
                  <w:t>$ 1.069.290.433</w:t>
                </w:r>
              </w:p>
            </w:tc>
          </w:tr>
          <w:tr w:rsidR="00834C1D" w:rsidRPr="00255C45" w14:paraId="295DBAA2" w14:textId="77777777" w:rsidTr="008151AD">
            <w:trPr>
              <w:trHeight w:val="368"/>
              <w:jc w:val="center"/>
            </w:trPr>
            <w:tc>
              <w:tcPr>
                <w:tcW w:w="2811" w:type="pct"/>
                <w:shd w:val="clear" w:color="auto" w:fill="auto"/>
                <w:vAlign w:val="center"/>
                <w:hideMark/>
              </w:tcPr>
              <w:p w14:paraId="00575CC6" w14:textId="77777777" w:rsidR="00834C1D" w:rsidRPr="00255C45" w:rsidRDefault="00834C1D">
                <w:pPr>
                  <w:spacing w:after="0" w:line="240" w:lineRule="auto"/>
                  <w:rPr>
                    <w:rFonts w:ascii="Times New Roman" w:eastAsia="Times New Roman" w:hAnsi="Times New Roman"/>
                    <w:b/>
                    <w:color w:val="000000"/>
                    <w:sz w:val="16"/>
                    <w:szCs w:val="16"/>
                    <w:lang w:eastAsia="es-CO"/>
                  </w:rPr>
                </w:pPr>
                <w:r w:rsidRPr="00255C45">
                  <w:rPr>
                    <w:rFonts w:ascii="Times New Roman" w:eastAsia="Times New Roman" w:hAnsi="Times New Roman"/>
                    <w:b/>
                    <w:color w:val="000000"/>
                    <w:sz w:val="16"/>
                    <w:szCs w:val="16"/>
                    <w:lang w:eastAsia="es-CO"/>
                  </w:rPr>
                  <w:t>PAGOS EFECTUADOS AL CONTRATISTA/ASOCIADO:</w:t>
                </w:r>
              </w:p>
            </w:tc>
            <w:tc>
              <w:tcPr>
                <w:tcW w:w="2189" w:type="pct"/>
                <w:shd w:val="clear" w:color="auto" w:fill="auto"/>
                <w:vAlign w:val="center"/>
                <w:hideMark/>
              </w:tcPr>
              <w:p w14:paraId="328EBFB8" w14:textId="77777777" w:rsidR="00834C1D" w:rsidRPr="00255C45" w:rsidRDefault="00834C1D">
                <w:pPr>
                  <w:spacing w:after="0" w:line="240" w:lineRule="auto"/>
                  <w:jc w:val="right"/>
                  <w:rPr>
                    <w:rFonts w:ascii="Times New Roman" w:eastAsia="Times New Roman" w:hAnsi="Times New Roman"/>
                    <w:color w:val="000000"/>
                    <w:sz w:val="16"/>
                    <w:szCs w:val="16"/>
                    <w:lang w:eastAsia="es-CO"/>
                  </w:rPr>
                </w:pPr>
                <w:r w:rsidRPr="00255C45">
                  <w:rPr>
                    <w:rFonts w:ascii="Times New Roman" w:eastAsia="Times New Roman" w:hAnsi="Times New Roman"/>
                    <w:color w:val="000000"/>
                    <w:sz w:val="16"/>
                    <w:szCs w:val="16"/>
                    <w:lang w:eastAsia="es-CO"/>
                  </w:rPr>
                  <w:t>$ 1.041.179.928</w:t>
                </w:r>
              </w:p>
            </w:tc>
          </w:tr>
          <w:tr w:rsidR="00834C1D" w:rsidRPr="00255C45" w14:paraId="668B640C" w14:textId="77777777" w:rsidTr="008151AD">
            <w:trPr>
              <w:trHeight w:val="432"/>
              <w:jc w:val="center"/>
            </w:trPr>
            <w:tc>
              <w:tcPr>
                <w:tcW w:w="2811" w:type="pct"/>
                <w:shd w:val="clear" w:color="auto" w:fill="D9D9D9" w:themeFill="background1" w:themeFillShade="D9"/>
                <w:vAlign w:val="center"/>
                <w:hideMark/>
              </w:tcPr>
              <w:p w14:paraId="0BCD90FA" w14:textId="77777777" w:rsidR="00834C1D" w:rsidRPr="00255C45" w:rsidRDefault="00834C1D">
                <w:pPr>
                  <w:spacing w:after="0" w:line="240" w:lineRule="auto"/>
                  <w:rPr>
                    <w:rFonts w:ascii="Times New Roman" w:eastAsia="Times New Roman" w:hAnsi="Times New Roman"/>
                    <w:b/>
                    <w:color w:val="000000"/>
                    <w:sz w:val="16"/>
                    <w:szCs w:val="16"/>
                    <w:lang w:eastAsia="es-CO"/>
                  </w:rPr>
                </w:pPr>
                <w:r w:rsidRPr="00255C45">
                  <w:rPr>
                    <w:rFonts w:ascii="Times New Roman" w:eastAsia="Times New Roman" w:hAnsi="Times New Roman"/>
                    <w:b/>
                    <w:color w:val="000000"/>
                    <w:sz w:val="16"/>
                    <w:szCs w:val="16"/>
                    <w:lang w:eastAsia="es-CO"/>
                  </w:rPr>
                  <w:t xml:space="preserve">VALOR NO EJECUTADO A FAVOR DE LA ENTIDAD: </w:t>
                </w:r>
              </w:p>
            </w:tc>
            <w:tc>
              <w:tcPr>
                <w:tcW w:w="2189" w:type="pct"/>
                <w:shd w:val="clear" w:color="auto" w:fill="D9D9D9" w:themeFill="background1" w:themeFillShade="D9"/>
                <w:vAlign w:val="center"/>
                <w:hideMark/>
              </w:tcPr>
              <w:p w14:paraId="683F7C2B" w14:textId="05144CEE" w:rsidR="00834C1D" w:rsidRPr="00255C45" w:rsidRDefault="00834C1D">
                <w:pPr>
                  <w:spacing w:after="0" w:line="240" w:lineRule="auto"/>
                  <w:jc w:val="right"/>
                  <w:rPr>
                    <w:rFonts w:ascii="Times New Roman" w:eastAsia="Times New Roman" w:hAnsi="Times New Roman"/>
                    <w:b/>
                    <w:color w:val="000000"/>
                    <w:sz w:val="16"/>
                    <w:szCs w:val="16"/>
                    <w:lang w:eastAsia="es-CO"/>
                  </w:rPr>
                </w:pPr>
                <w:r w:rsidRPr="00255C45">
                  <w:rPr>
                    <w:rFonts w:ascii="Times New Roman" w:eastAsia="Times New Roman" w:hAnsi="Times New Roman"/>
                    <w:b/>
                    <w:color w:val="000000"/>
                    <w:sz w:val="16"/>
                    <w:szCs w:val="16"/>
                    <w:lang w:eastAsia="es-CO"/>
                  </w:rPr>
                  <w:t>(</w:t>
                </w:r>
                <w:r w:rsidR="008151AD">
                  <w:rPr>
                    <w:rFonts w:ascii="Times New Roman" w:eastAsia="Times New Roman" w:hAnsi="Times New Roman"/>
                    <w:b/>
                    <w:color w:val="000000"/>
                    <w:sz w:val="16"/>
                    <w:szCs w:val="16"/>
                    <w:lang w:eastAsia="es-CO"/>
                  </w:rPr>
                  <w:t>*</w:t>
                </w:r>
                <w:r w:rsidRPr="00255C45">
                  <w:rPr>
                    <w:rFonts w:ascii="Times New Roman" w:eastAsia="Times New Roman" w:hAnsi="Times New Roman"/>
                    <w:b/>
                    <w:color w:val="000000"/>
                    <w:sz w:val="16"/>
                    <w:szCs w:val="16"/>
                    <w:lang w:eastAsia="es-CO"/>
                  </w:rPr>
                  <w:t xml:space="preserve"> 2) $ 28.110.505</w:t>
                </w:r>
              </w:p>
            </w:tc>
          </w:tr>
          <w:tr w:rsidR="00834C1D" w:rsidRPr="00255C45" w14:paraId="7B90C2F7" w14:textId="77777777" w:rsidTr="008151AD">
            <w:trPr>
              <w:trHeight w:val="423"/>
              <w:jc w:val="center"/>
            </w:trPr>
            <w:tc>
              <w:tcPr>
                <w:tcW w:w="2811" w:type="pct"/>
                <w:shd w:val="clear" w:color="auto" w:fill="auto"/>
                <w:vAlign w:val="center"/>
                <w:hideMark/>
              </w:tcPr>
              <w:p w14:paraId="0C8A05D1" w14:textId="77777777" w:rsidR="00834C1D" w:rsidRPr="00255C45" w:rsidRDefault="00834C1D">
                <w:pPr>
                  <w:spacing w:after="0" w:line="240" w:lineRule="auto"/>
                  <w:rPr>
                    <w:rFonts w:ascii="Times New Roman" w:eastAsia="Times New Roman" w:hAnsi="Times New Roman"/>
                    <w:b/>
                    <w:color w:val="000000"/>
                    <w:sz w:val="16"/>
                    <w:szCs w:val="16"/>
                    <w:lang w:eastAsia="es-CO"/>
                  </w:rPr>
                </w:pPr>
                <w:r w:rsidRPr="00255C45">
                  <w:rPr>
                    <w:rFonts w:ascii="Times New Roman" w:eastAsia="Times New Roman" w:hAnsi="Times New Roman"/>
                    <w:b/>
                    <w:color w:val="000000"/>
                    <w:sz w:val="16"/>
                    <w:szCs w:val="16"/>
                    <w:lang w:eastAsia="es-CO"/>
                  </w:rPr>
                  <w:t>SALDO A FAVOR DEL CONTRATISTA/ASOCIADO:</w:t>
                </w:r>
              </w:p>
            </w:tc>
            <w:tc>
              <w:tcPr>
                <w:tcW w:w="2189" w:type="pct"/>
                <w:shd w:val="clear" w:color="auto" w:fill="auto"/>
                <w:vAlign w:val="center"/>
                <w:hideMark/>
              </w:tcPr>
              <w:p w14:paraId="260DD428" w14:textId="77777777" w:rsidR="00834C1D" w:rsidRPr="00255C45" w:rsidRDefault="00834C1D">
                <w:pPr>
                  <w:spacing w:after="0" w:line="240" w:lineRule="auto"/>
                  <w:jc w:val="right"/>
                  <w:rPr>
                    <w:rFonts w:ascii="Times New Roman" w:eastAsia="Times New Roman" w:hAnsi="Times New Roman"/>
                    <w:color w:val="000000"/>
                    <w:sz w:val="16"/>
                    <w:szCs w:val="16"/>
                    <w:lang w:eastAsia="es-CO"/>
                  </w:rPr>
                </w:pPr>
                <w:r w:rsidRPr="00255C45">
                  <w:rPr>
                    <w:rFonts w:ascii="Times New Roman" w:eastAsia="Times New Roman" w:hAnsi="Times New Roman"/>
                    <w:color w:val="000000"/>
                    <w:sz w:val="16"/>
                    <w:szCs w:val="16"/>
                    <w:lang w:eastAsia="es-CO"/>
                  </w:rPr>
                  <w:t>$</w:t>
                </w:r>
              </w:p>
            </w:tc>
          </w:tr>
        </w:tbl>
        <w:p w14:paraId="7B948606" w14:textId="77777777" w:rsidR="00834C1D" w:rsidRPr="00255C45" w:rsidRDefault="00834C1D" w:rsidP="00834C1D">
          <w:pPr>
            <w:tabs>
              <w:tab w:val="left" w:pos="2340"/>
            </w:tabs>
            <w:spacing w:after="0" w:line="240" w:lineRule="auto"/>
            <w:jc w:val="center"/>
            <w:rPr>
              <w:rFonts w:ascii="Times New Roman" w:hAnsi="Times New Roman"/>
              <w:sz w:val="18"/>
              <w:szCs w:val="18"/>
            </w:rPr>
          </w:pPr>
          <w:r w:rsidRPr="00255C45">
            <w:rPr>
              <w:rFonts w:ascii="Times New Roman" w:hAnsi="Times New Roman"/>
              <w:sz w:val="18"/>
              <w:szCs w:val="18"/>
            </w:rPr>
            <w:t xml:space="preserve">               Fuente:  Documentación que reposa en el expediente contractual,</w:t>
          </w:r>
        </w:p>
        <w:p w14:paraId="0BE67D9B" w14:textId="77777777" w:rsidR="00834C1D" w:rsidRPr="00255C45" w:rsidRDefault="00834C1D" w:rsidP="00834C1D">
          <w:pPr>
            <w:tabs>
              <w:tab w:val="left" w:pos="2340"/>
            </w:tabs>
            <w:spacing w:after="0" w:line="240" w:lineRule="auto"/>
            <w:jc w:val="center"/>
            <w:rPr>
              <w:rFonts w:ascii="Arial" w:hAnsi="Arial" w:cs="Arial"/>
              <w:sz w:val="18"/>
              <w:szCs w:val="18"/>
            </w:rPr>
          </w:pPr>
          <w:r w:rsidRPr="00255C45">
            <w:rPr>
              <w:rFonts w:ascii="Arial" w:hAnsi="Arial" w:cs="Arial"/>
              <w:sz w:val="18"/>
              <w:szCs w:val="18"/>
            </w:rPr>
            <w:t xml:space="preserve"> elaboración propia Modo férreo - VGCON</w:t>
          </w:r>
        </w:p>
        <w:p w14:paraId="246D6CAA" w14:textId="77777777" w:rsidR="00834C1D" w:rsidRPr="00255C45" w:rsidRDefault="00834C1D" w:rsidP="00834C1D">
          <w:pPr>
            <w:spacing w:after="0" w:line="240" w:lineRule="auto"/>
            <w:jc w:val="both"/>
            <w:rPr>
              <w:rFonts w:ascii="Times New Roman" w:hAnsi="Times New Roman"/>
              <w:sz w:val="24"/>
              <w:szCs w:val="24"/>
            </w:rPr>
          </w:pPr>
        </w:p>
        <w:p w14:paraId="18C48E17" w14:textId="6F635905" w:rsidR="00040F5E" w:rsidRPr="00255C45" w:rsidRDefault="008151AD" w:rsidP="00040F5E">
          <w:pPr>
            <w:spacing w:after="0" w:line="240" w:lineRule="auto"/>
            <w:jc w:val="both"/>
            <w:rPr>
              <w:rFonts w:ascii="Times New Roman" w:hAnsi="Times New Roman"/>
              <w:sz w:val="24"/>
              <w:szCs w:val="24"/>
            </w:rPr>
          </w:pPr>
          <w:r>
            <w:rPr>
              <w:rFonts w:ascii="Times New Roman" w:hAnsi="Times New Roman"/>
              <w:sz w:val="24"/>
              <w:szCs w:val="24"/>
            </w:rPr>
            <w:t>*</w:t>
          </w:r>
          <w:r w:rsidR="00834C1D" w:rsidRPr="00255C45">
            <w:rPr>
              <w:rFonts w:ascii="Times New Roman" w:hAnsi="Times New Roman"/>
              <w:sz w:val="24"/>
              <w:szCs w:val="24"/>
            </w:rPr>
            <w:t xml:space="preserve"> 2: Findeter realizó el trasladó a la ANI del saldo de los recursos no ejecutados a favor de la entidad por valor de $28.110.505, en abril de 2023.</w:t>
          </w:r>
        </w:p>
        <w:p w14:paraId="6AA91558" w14:textId="77777777" w:rsidR="00205C70" w:rsidRPr="00255C45" w:rsidRDefault="00205C70" w:rsidP="00834C1D">
          <w:pPr>
            <w:spacing w:after="0" w:line="240" w:lineRule="auto"/>
            <w:jc w:val="both"/>
            <w:rPr>
              <w:rFonts w:ascii="Times New Roman" w:hAnsi="Times New Roman"/>
              <w:sz w:val="24"/>
              <w:szCs w:val="24"/>
            </w:rPr>
          </w:pPr>
        </w:p>
        <w:p w14:paraId="1EA2C68B" w14:textId="77777777" w:rsidR="00E55618" w:rsidRPr="0005679F" w:rsidRDefault="00E55618" w:rsidP="00E55618">
          <w:pPr>
            <w:spacing w:after="0" w:line="240" w:lineRule="auto"/>
            <w:rPr>
              <w:rFonts w:ascii="Times New Roman" w:hAnsi="Times New Roman"/>
              <w:sz w:val="24"/>
              <w:szCs w:val="24"/>
            </w:rPr>
          </w:pPr>
          <w:r w:rsidRPr="0005679F">
            <w:rPr>
              <w:rFonts w:ascii="Times New Roman" w:hAnsi="Times New Roman"/>
              <w:sz w:val="24"/>
              <w:szCs w:val="24"/>
            </w:rPr>
            <w:t>CONTRATO VEJ-VE-477-2021</w:t>
          </w:r>
        </w:p>
        <w:p w14:paraId="65A777D8" w14:textId="77777777" w:rsidR="00E55618" w:rsidRPr="00255C45" w:rsidRDefault="00E55618" w:rsidP="00E55618">
          <w:pPr>
            <w:spacing w:after="0" w:line="240" w:lineRule="auto"/>
            <w:jc w:val="both"/>
            <w:rPr>
              <w:rFonts w:ascii="Times New Roman" w:hAnsi="Times New Roman"/>
              <w:sz w:val="24"/>
              <w:szCs w:val="24"/>
            </w:rPr>
          </w:pPr>
        </w:p>
        <w:p w14:paraId="64AD7FE5" w14:textId="77777777" w:rsidR="00E55618" w:rsidRPr="00255C45" w:rsidRDefault="00E55618" w:rsidP="00E55618">
          <w:pPr>
            <w:spacing w:after="0" w:line="240" w:lineRule="auto"/>
            <w:jc w:val="both"/>
            <w:rPr>
              <w:rFonts w:ascii="Times New Roman" w:hAnsi="Times New Roman"/>
              <w:sz w:val="24"/>
              <w:szCs w:val="24"/>
            </w:rPr>
          </w:pPr>
          <w:r w:rsidRPr="00255C45">
            <w:rPr>
              <w:rFonts w:ascii="Times New Roman" w:hAnsi="Times New Roman"/>
              <w:sz w:val="24"/>
              <w:szCs w:val="24"/>
            </w:rPr>
            <w:t>OBJETO: Prestar los servicios de asistencia técnica a través de su respectivo modelo de ejecución financiera, a la Agencia Nacional de Infraestructura – ANI, para el desarrollo de los proyectos requeridos en el corredor férreo Facatativá – Bogotá – Belencito y La Caro – Zipaquirá.</w:t>
          </w:r>
        </w:p>
        <w:p w14:paraId="6F1059A4" w14:textId="77777777" w:rsidR="00E55618" w:rsidRPr="00255C45" w:rsidRDefault="00E55618" w:rsidP="00E55618">
          <w:pPr>
            <w:spacing w:after="0" w:line="240" w:lineRule="auto"/>
            <w:jc w:val="both"/>
            <w:rPr>
              <w:rFonts w:ascii="Times New Roman" w:hAnsi="Times New Roman"/>
              <w:sz w:val="24"/>
              <w:szCs w:val="24"/>
            </w:rPr>
          </w:pPr>
        </w:p>
        <w:p w14:paraId="614BE688" w14:textId="77777777" w:rsidR="00E55618" w:rsidRPr="00255C45" w:rsidRDefault="00E55618" w:rsidP="00E60BAB">
          <w:pPr>
            <w:pStyle w:val="Prrafodelista"/>
            <w:numPr>
              <w:ilvl w:val="0"/>
              <w:numId w:val="51"/>
            </w:numPr>
            <w:spacing w:after="0" w:line="240" w:lineRule="auto"/>
            <w:ind w:left="284"/>
            <w:jc w:val="both"/>
            <w:rPr>
              <w:rFonts w:ascii="Times New Roman" w:hAnsi="Times New Roman"/>
              <w:sz w:val="24"/>
              <w:szCs w:val="24"/>
            </w:rPr>
          </w:pPr>
          <w:r w:rsidRPr="00255C45">
            <w:rPr>
              <w:rFonts w:ascii="Times New Roman" w:hAnsi="Times New Roman"/>
              <w:sz w:val="24"/>
              <w:szCs w:val="24"/>
            </w:rPr>
            <w:t>Fecha de suscripción: 4 de mayo de 2021</w:t>
          </w:r>
        </w:p>
        <w:p w14:paraId="37D7D649" w14:textId="77777777" w:rsidR="00E55618" w:rsidRPr="00255C45" w:rsidRDefault="00E55618" w:rsidP="00E60BAB">
          <w:pPr>
            <w:pStyle w:val="Prrafodelista"/>
            <w:numPr>
              <w:ilvl w:val="0"/>
              <w:numId w:val="51"/>
            </w:numPr>
            <w:spacing w:after="0" w:line="240" w:lineRule="auto"/>
            <w:ind w:left="284"/>
            <w:jc w:val="both"/>
            <w:rPr>
              <w:rFonts w:ascii="Times New Roman" w:hAnsi="Times New Roman"/>
              <w:sz w:val="24"/>
              <w:szCs w:val="24"/>
            </w:rPr>
          </w:pPr>
          <w:r w:rsidRPr="00255C45">
            <w:rPr>
              <w:rFonts w:ascii="Times New Roman" w:hAnsi="Times New Roman"/>
              <w:sz w:val="24"/>
              <w:szCs w:val="24"/>
            </w:rPr>
            <w:t>Fecha Acta de inicio: 7 de mayo de 2021</w:t>
          </w:r>
        </w:p>
        <w:p w14:paraId="6E44710E" w14:textId="77777777" w:rsidR="00E55618" w:rsidRPr="00255C45" w:rsidRDefault="00E55618" w:rsidP="00E60BAB">
          <w:pPr>
            <w:pStyle w:val="Prrafodelista"/>
            <w:numPr>
              <w:ilvl w:val="0"/>
              <w:numId w:val="52"/>
            </w:numPr>
            <w:spacing w:after="0" w:line="240" w:lineRule="auto"/>
            <w:ind w:left="284"/>
            <w:jc w:val="both"/>
            <w:rPr>
              <w:rFonts w:ascii="Times New Roman" w:hAnsi="Times New Roman"/>
              <w:sz w:val="24"/>
              <w:szCs w:val="24"/>
            </w:rPr>
          </w:pPr>
          <w:r w:rsidRPr="00255C45">
            <w:rPr>
              <w:rFonts w:ascii="Times New Roman" w:hAnsi="Times New Roman"/>
              <w:sz w:val="24"/>
              <w:szCs w:val="24"/>
            </w:rPr>
            <w:t>Valor Total (incluyendo adiciones): $23.035.405.185</w:t>
          </w:r>
        </w:p>
        <w:p w14:paraId="52B20B50" w14:textId="77777777" w:rsidR="00040F5E" w:rsidRPr="00255C45" w:rsidRDefault="00040F5E" w:rsidP="00E60BAB">
          <w:pPr>
            <w:pStyle w:val="Prrafodelista"/>
            <w:numPr>
              <w:ilvl w:val="0"/>
              <w:numId w:val="52"/>
            </w:numPr>
            <w:spacing w:after="0" w:line="240" w:lineRule="auto"/>
            <w:ind w:left="284"/>
            <w:jc w:val="both"/>
            <w:rPr>
              <w:rFonts w:ascii="Times New Roman" w:hAnsi="Times New Roman"/>
              <w:sz w:val="24"/>
              <w:szCs w:val="24"/>
            </w:rPr>
          </w:pPr>
          <w:r w:rsidRPr="00255C45">
            <w:rPr>
              <w:rFonts w:ascii="Times New Roman" w:hAnsi="Times New Roman"/>
              <w:sz w:val="24"/>
              <w:szCs w:val="24"/>
            </w:rPr>
            <w:t>Plazo final de ejecución (incluyendo Prórrogas): 11 meses y 14 días</w:t>
          </w:r>
        </w:p>
        <w:p w14:paraId="1368E531" w14:textId="77777777" w:rsidR="00040F5E" w:rsidRPr="00255C45" w:rsidRDefault="00040F5E" w:rsidP="00E60BAB">
          <w:pPr>
            <w:pStyle w:val="Prrafodelista"/>
            <w:numPr>
              <w:ilvl w:val="0"/>
              <w:numId w:val="52"/>
            </w:numPr>
            <w:spacing w:after="0" w:line="240" w:lineRule="auto"/>
            <w:ind w:left="284"/>
            <w:jc w:val="both"/>
            <w:rPr>
              <w:rFonts w:ascii="Times New Roman" w:hAnsi="Times New Roman"/>
              <w:sz w:val="24"/>
              <w:szCs w:val="24"/>
            </w:rPr>
          </w:pPr>
          <w:r w:rsidRPr="00255C45">
            <w:rPr>
              <w:rFonts w:ascii="Times New Roman" w:hAnsi="Times New Roman"/>
              <w:sz w:val="24"/>
              <w:szCs w:val="24"/>
            </w:rPr>
            <w:t xml:space="preserve">Modificaciones contractuales: Otrosí No. </w:t>
          </w:r>
          <w:r w:rsidR="00E55618" w:rsidRPr="00255C45">
            <w:rPr>
              <w:rFonts w:ascii="Times New Roman" w:hAnsi="Times New Roman"/>
              <w:sz w:val="24"/>
              <w:szCs w:val="24"/>
            </w:rPr>
            <w:t>1, del 31 de diciembre de 2021, mediante el cual se modificó el plazo y la distribución de los recursos del contrato VEJ-VE-477-2021 y Otrosi No. 2 del 27 de enero de 2022, mediante el cual se modificó el plazo, el valor y la forma de pago de la cuota de asistencia técnica del contrato VEJ-VE-477-2021</w:t>
          </w:r>
        </w:p>
        <w:p w14:paraId="3A2D3635" w14:textId="77777777" w:rsidR="00E55618" w:rsidRPr="00255C45" w:rsidRDefault="00E55618" w:rsidP="00E60BAB">
          <w:pPr>
            <w:pStyle w:val="Prrafodelista"/>
            <w:numPr>
              <w:ilvl w:val="0"/>
              <w:numId w:val="52"/>
            </w:numPr>
            <w:spacing w:after="0" w:line="240" w:lineRule="auto"/>
            <w:ind w:left="284"/>
            <w:jc w:val="both"/>
            <w:rPr>
              <w:rFonts w:ascii="Times New Roman" w:hAnsi="Times New Roman"/>
              <w:sz w:val="24"/>
              <w:szCs w:val="24"/>
            </w:rPr>
          </w:pPr>
          <w:r w:rsidRPr="00255C45">
            <w:rPr>
              <w:rFonts w:ascii="Times New Roman" w:hAnsi="Times New Roman"/>
              <w:sz w:val="24"/>
              <w:szCs w:val="24"/>
            </w:rPr>
            <w:t>Estado actual y balance del contrato:  El contrato VEJ-VE-477-2021 a la fecha se encuentra en etapa de liquidación, de acuerdo con la documentación que reposa en el expediente contractual, el balance del contrato es el siguiente:</w:t>
          </w:r>
        </w:p>
        <w:p w14:paraId="73856BF0" w14:textId="77777777" w:rsidR="00E55618" w:rsidRPr="00255C45" w:rsidRDefault="00E55618" w:rsidP="00E55618">
          <w:pPr>
            <w:jc w:val="both"/>
            <w:rPr>
              <w:rFonts w:ascii="Times New Roman" w:hAnsi="Times New Roman"/>
              <w:sz w:val="24"/>
              <w:szCs w:val="24"/>
            </w:rPr>
          </w:pPr>
        </w:p>
        <w:p w14:paraId="608ACA79" w14:textId="3DEE4569" w:rsidR="00E55618" w:rsidRPr="00255C45" w:rsidRDefault="00E55618" w:rsidP="00E55618">
          <w:pPr>
            <w:jc w:val="both"/>
            <w:rPr>
              <w:rFonts w:ascii="Times New Roman" w:hAnsi="Times New Roman"/>
              <w:sz w:val="24"/>
              <w:szCs w:val="24"/>
            </w:rPr>
          </w:pPr>
          <w:r w:rsidRPr="00255C45">
            <w:rPr>
              <w:rFonts w:ascii="Times New Roman" w:hAnsi="Times New Roman"/>
              <w:sz w:val="24"/>
              <w:szCs w:val="24"/>
            </w:rPr>
            <w:t>Valores Contractuales</w:t>
          </w:r>
        </w:p>
        <w:p w14:paraId="47868090" w14:textId="5E798DF4" w:rsidR="00E55618" w:rsidRPr="00255C45" w:rsidRDefault="00E55618" w:rsidP="0005679F">
          <w:pPr>
            <w:jc w:val="both"/>
            <w:rPr>
              <w:rFonts w:ascii="Times New Roman" w:hAnsi="Times New Roman"/>
              <w:sz w:val="24"/>
              <w:szCs w:val="24"/>
            </w:rPr>
          </w:pPr>
          <w:r w:rsidRPr="00255C45">
            <w:rPr>
              <w:rFonts w:ascii="Times New Roman" w:hAnsi="Times New Roman"/>
              <w:sz w:val="24"/>
              <w:szCs w:val="24"/>
            </w:rPr>
            <w:t>VALOR INICIAL DEL CONTRATO:  $17.062.265.815</w:t>
          </w:r>
        </w:p>
        <w:p w14:paraId="643BAA6C" w14:textId="6005ED9D" w:rsidR="00324BEB" w:rsidRDefault="00E55618" w:rsidP="00E55618">
          <w:pPr>
            <w:spacing w:after="0" w:line="240" w:lineRule="auto"/>
            <w:jc w:val="both"/>
            <w:rPr>
              <w:rFonts w:ascii="Times New Roman" w:hAnsi="Times New Roman"/>
              <w:sz w:val="24"/>
              <w:szCs w:val="24"/>
              <w:u w:val="single"/>
            </w:rPr>
          </w:pPr>
          <w:r w:rsidRPr="00255C45">
            <w:rPr>
              <w:rFonts w:ascii="Times New Roman" w:hAnsi="Times New Roman"/>
              <w:sz w:val="24"/>
              <w:szCs w:val="24"/>
            </w:rPr>
            <w:t xml:space="preserve">VALOR Otrosí No. 2:                             </w:t>
          </w:r>
          <w:r w:rsidRPr="00255C45">
            <w:rPr>
              <w:rFonts w:ascii="Times New Roman" w:hAnsi="Times New Roman"/>
              <w:sz w:val="24"/>
              <w:szCs w:val="24"/>
              <w:u w:val="single"/>
            </w:rPr>
            <w:t xml:space="preserve"> $5.973.139.370</w:t>
          </w:r>
        </w:p>
        <w:p w14:paraId="0867BB51" w14:textId="6135B3B2" w:rsidR="00E55618" w:rsidRPr="00324BEB" w:rsidRDefault="00E55618" w:rsidP="00E55618">
          <w:pPr>
            <w:spacing w:after="0" w:line="240" w:lineRule="auto"/>
            <w:jc w:val="both"/>
            <w:rPr>
              <w:rFonts w:ascii="Times New Roman" w:hAnsi="Times New Roman"/>
              <w:sz w:val="24"/>
              <w:szCs w:val="24"/>
              <w:u w:val="single"/>
            </w:rPr>
          </w:pPr>
          <w:r w:rsidRPr="00255C45">
            <w:rPr>
              <w:rFonts w:ascii="Times New Roman" w:hAnsi="Times New Roman"/>
              <w:sz w:val="24"/>
              <w:szCs w:val="24"/>
            </w:rPr>
            <w:t>VALOR TOTAL DEL CONTRATO:    $ 23.035.405.185</w:t>
          </w:r>
        </w:p>
        <w:p w14:paraId="0E89CEAC" w14:textId="77777777" w:rsidR="00E55618" w:rsidRPr="00255C45" w:rsidRDefault="00E55618" w:rsidP="00E55618">
          <w:pPr>
            <w:spacing w:after="0" w:line="240" w:lineRule="auto"/>
            <w:jc w:val="both"/>
            <w:rPr>
              <w:rFonts w:ascii="Times New Roman" w:hAnsi="Times New Roman"/>
              <w:sz w:val="24"/>
              <w:szCs w:val="24"/>
            </w:rPr>
          </w:pPr>
        </w:p>
        <w:p w14:paraId="7F3D2BA4" w14:textId="77777777" w:rsidR="006D62B2" w:rsidRDefault="00E55618" w:rsidP="00E55618">
          <w:pPr>
            <w:jc w:val="both"/>
            <w:rPr>
              <w:rFonts w:ascii="Times New Roman" w:hAnsi="Times New Roman"/>
              <w:sz w:val="24"/>
              <w:szCs w:val="24"/>
            </w:rPr>
          </w:pPr>
          <w:r w:rsidRPr="00255C45">
            <w:rPr>
              <w:rFonts w:ascii="Times New Roman" w:hAnsi="Times New Roman"/>
              <w:sz w:val="24"/>
              <w:szCs w:val="24"/>
            </w:rPr>
            <w:t xml:space="preserve">   </w:t>
          </w:r>
        </w:p>
        <w:p w14:paraId="57CA5175" w14:textId="0AFF4D17" w:rsidR="00E55618" w:rsidRPr="00255C45" w:rsidRDefault="00E55618" w:rsidP="00E55618">
          <w:pPr>
            <w:jc w:val="both"/>
            <w:rPr>
              <w:rFonts w:ascii="Times New Roman" w:hAnsi="Times New Roman"/>
              <w:sz w:val="24"/>
              <w:szCs w:val="24"/>
            </w:rPr>
          </w:pPr>
          <w:r w:rsidRPr="00255C45">
            <w:rPr>
              <w:rFonts w:ascii="Times New Roman" w:hAnsi="Times New Roman"/>
              <w:sz w:val="24"/>
              <w:szCs w:val="24"/>
            </w:rPr>
            <w:lastRenderedPageBreak/>
            <w:t xml:space="preserve">  Balance del contrato</w:t>
          </w:r>
        </w:p>
        <w:tbl>
          <w:tblPr>
            <w:tblW w:w="5000" w:type="pct"/>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blBorders>
            <w:tblCellMar>
              <w:left w:w="70" w:type="dxa"/>
              <w:right w:w="70" w:type="dxa"/>
            </w:tblCellMar>
            <w:tblLook w:val="04A0" w:firstRow="1" w:lastRow="0" w:firstColumn="1" w:lastColumn="0" w:noHBand="0" w:noVBand="1"/>
          </w:tblPr>
          <w:tblGrid>
            <w:gridCol w:w="6497"/>
            <w:gridCol w:w="2462"/>
          </w:tblGrid>
          <w:tr w:rsidR="00E55618" w:rsidRPr="00090689" w14:paraId="4D513F76" w14:textId="77777777" w:rsidTr="00685DBF">
            <w:trPr>
              <w:trHeight w:val="265"/>
            </w:trPr>
            <w:tc>
              <w:tcPr>
                <w:tcW w:w="3626" w:type="pct"/>
                <w:shd w:val="clear" w:color="000000" w:fill="E0E0E0"/>
                <w:vAlign w:val="center"/>
                <w:hideMark/>
              </w:tcPr>
              <w:p w14:paraId="07A3DF75" w14:textId="77777777" w:rsidR="00E55618" w:rsidRPr="00090689" w:rsidRDefault="00E55618">
                <w:pPr>
                  <w:spacing w:after="0" w:line="240" w:lineRule="auto"/>
                  <w:rPr>
                    <w:rFonts w:eastAsia="Times New Roman" w:cs="Calibri"/>
                    <w:b/>
                    <w:color w:val="000000"/>
                    <w:sz w:val="18"/>
                    <w:szCs w:val="18"/>
                    <w:lang w:eastAsia="es-CO"/>
                  </w:rPr>
                </w:pPr>
                <w:r w:rsidRPr="00090689">
                  <w:rPr>
                    <w:rFonts w:eastAsia="Times New Roman" w:cs="Calibri"/>
                    <w:b/>
                    <w:color w:val="000000"/>
                    <w:sz w:val="18"/>
                    <w:szCs w:val="18"/>
                    <w:lang w:eastAsia="es-CO"/>
                  </w:rPr>
                  <w:t>VALOR INICIAL DEL CONTRATO/CONVENIO:</w:t>
                </w:r>
              </w:p>
            </w:tc>
            <w:tc>
              <w:tcPr>
                <w:tcW w:w="1374" w:type="pct"/>
                <w:shd w:val="clear" w:color="000000" w:fill="E0E0E0"/>
                <w:vAlign w:val="center"/>
                <w:hideMark/>
              </w:tcPr>
              <w:p w14:paraId="34C038D6" w14:textId="77777777" w:rsidR="00E55618" w:rsidRPr="00090689" w:rsidRDefault="00E55618">
                <w:pPr>
                  <w:spacing w:after="0" w:line="240" w:lineRule="auto"/>
                  <w:jc w:val="right"/>
                  <w:rPr>
                    <w:rFonts w:eastAsia="Times New Roman" w:cs="Calibri"/>
                    <w:color w:val="000000"/>
                    <w:sz w:val="18"/>
                    <w:szCs w:val="18"/>
                    <w:lang w:eastAsia="es-CO"/>
                  </w:rPr>
                </w:pPr>
                <w:r w:rsidRPr="00090689">
                  <w:rPr>
                    <w:rFonts w:eastAsia="Times New Roman" w:cs="Calibri"/>
                    <w:color w:val="000000"/>
                    <w:sz w:val="18"/>
                    <w:szCs w:val="18"/>
                    <w:lang w:eastAsia="es-CO"/>
                  </w:rPr>
                  <w:t>$ 17.062.265.815</w:t>
                </w:r>
              </w:p>
            </w:tc>
          </w:tr>
          <w:tr w:rsidR="00E55618" w:rsidRPr="00090689" w14:paraId="4FF9BA5C" w14:textId="77777777" w:rsidTr="00685DBF">
            <w:trPr>
              <w:trHeight w:val="139"/>
            </w:trPr>
            <w:tc>
              <w:tcPr>
                <w:tcW w:w="3626" w:type="pct"/>
                <w:shd w:val="clear" w:color="auto" w:fill="auto"/>
                <w:vAlign w:val="center"/>
                <w:hideMark/>
              </w:tcPr>
              <w:p w14:paraId="40FC63EA" w14:textId="77777777" w:rsidR="00E55618" w:rsidRPr="00090689" w:rsidRDefault="00E55618">
                <w:pPr>
                  <w:spacing w:after="0" w:line="240" w:lineRule="auto"/>
                  <w:rPr>
                    <w:rFonts w:eastAsia="Times New Roman" w:cs="Calibri"/>
                    <w:b/>
                    <w:color w:val="000000"/>
                    <w:sz w:val="18"/>
                    <w:szCs w:val="18"/>
                    <w:lang w:eastAsia="es-CO"/>
                  </w:rPr>
                </w:pPr>
                <w:r w:rsidRPr="00090689">
                  <w:rPr>
                    <w:rFonts w:eastAsia="Times New Roman" w:cs="Calibri"/>
                    <w:b/>
                    <w:color w:val="000000"/>
                    <w:sz w:val="18"/>
                    <w:szCs w:val="18"/>
                    <w:lang w:eastAsia="es-CO"/>
                  </w:rPr>
                  <w:t>VALOR ADICION:</w:t>
                </w:r>
              </w:p>
            </w:tc>
            <w:tc>
              <w:tcPr>
                <w:tcW w:w="1374" w:type="pct"/>
                <w:shd w:val="clear" w:color="auto" w:fill="auto"/>
                <w:vAlign w:val="center"/>
                <w:hideMark/>
              </w:tcPr>
              <w:p w14:paraId="2D91DDE1" w14:textId="77777777" w:rsidR="00E55618" w:rsidRPr="00090689" w:rsidRDefault="00E55618">
                <w:pPr>
                  <w:spacing w:after="0" w:line="240" w:lineRule="auto"/>
                  <w:jc w:val="right"/>
                  <w:rPr>
                    <w:rFonts w:eastAsia="Times New Roman" w:cs="Calibri"/>
                    <w:color w:val="000000"/>
                    <w:sz w:val="18"/>
                    <w:szCs w:val="18"/>
                    <w:lang w:eastAsia="es-CO"/>
                  </w:rPr>
                </w:pPr>
                <w:r w:rsidRPr="00090689">
                  <w:rPr>
                    <w:rFonts w:eastAsia="Times New Roman" w:cs="Calibri"/>
                    <w:color w:val="000000"/>
                    <w:sz w:val="18"/>
                    <w:szCs w:val="18"/>
                    <w:lang w:eastAsia="es-CO"/>
                  </w:rPr>
                  <w:t>$ 5.973.139.370</w:t>
                </w:r>
              </w:p>
            </w:tc>
          </w:tr>
          <w:tr w:rsidR="00E55618" w:rsidRPr="00090689" w14:paraId="269F694E" w14:textId="77777777" w:rsidTr="00685DBF">
            <w:trPr>
              <w:trHeight w:val="304"/>
            </w:trPr>
            <w:tc>
              <w:tcPr>
                <w:tcW w:w="3626" w:type="pct"/>
                <w:shd w:val="clear" w:color="000000" w:fill="E0E0E0"/>
                <w:vAlign w:val="center"/>
                <w:hideMark/>
              </w:tcPr>
              <w:p w14:paraId="3A6F290C" w14:textId="77777777" w:rsidR="00E55618" w:rsidRPr="00090689" w:rsidRDefault="00E55618">
                <w:pPr>
                  <w:spacing w:after="0" w:line="240" w:lineRule="auto"/>
                  <w:rPr>
                    <w:rFonts w:eastAsia="Times New Roman" w:cs="Calibri"/>
                    <w:b/>
                    <w:color w:val="000000"/>
                    <w:sz w:val="18"/>
                    <w:szCs w:val="18"/>
                    <w:lang w:eastAsia="es-CO"/>
                  </w:rPr>
                </w:pPr>
                <w:r w:rsidRPr="00090689">
                  <w:rPr>
                    <w:rFonts w:eastAsia="Times New Roman" w:cs="Calibri"/>
                    <w:b/>
                    <w:color w:val="000000"/>
                    <w:sz w:val="18"/>
                    <w:szCs w:val="18"/>
                    <w:lang w:eastAsia="es-CO"/>
                  </w:rPr>
                  <w:t>VALOR TOTAL DEL CONTRATO/CONVENIO:</w:t>
                </w:r>
              </w:p>
            </w:tc>
            <w:tc>
              <w:tcPr>
                <w:tcW w:w="1374" w:type="pct"/>
                <w:shd w:val="clear" w:color="000000" w:fill="E0E0E0"/>
                <w:vAlign w:val="center"/>
                <w:hideMark/>
              </w:tcPr>
              <w:p w14:paraId="55869217" w14:textId="77777777" w:rsidR="00E55618" w:rsidRPr="00090689" w:rsidRDefault="00E55618">
                <w:pPr>
                  <w:spacing w:after="0" w:line="240" w:lineRule="auto"/>
                  <w:jc w:val="right"/>
                  <w:rPr>
                    <w:rFonts w:eastAsia="Times New Roman" w:cs="Calibri"/>
                    <w:b/>
                    <w:color w:val="000000"/>
                    <w:sz w:val="18"/>
                    <w:szCs w:val="18"/>
                    <w:lang w:eastAsia="es-CO"/>
                  </w:rPr>
                </w:pPr>
                <w:r w:rsidRPr="00090689">
                  <w:rPr>
                    <w:rFonts w:eastAsia="Times New Roman" w:cs="Calibri"/>
                    <w:b/>
                    <w:color w:val="000000"/>
                    <w:sz w:val="18"/>
                    <w:szCs w:val="18"/>
                    <w:lang w:eastAsia="es-CO"/>
                  </w:rPr>
                  <w:t>$ 23.035.405.185</w:t>
                </w:r>
              </w:p>
            </w:tc>
          </w:tr>
          <w:tr w:rsidR="00E55618" w:rsidRPr="00090689" w14:paraId="3EDADE48" w14:textId="77777777" w:rsidTr="00685DBF">
            <w:trPr>
              <w:trHeight w:val="265"/>
            </w:trPr>
            <w:tc>
              <w:tcPr>
                <w:tcW w:w="3626" w:type="pct"/>
                <w:shd w:val="clear" w:color="auto" w:fill="auto"/>
                <w:vAlign w:val="center"/>
                <w:hideMark/>
              </w:tcPr>
              <w:p w14:paraId="4C978CDB" w14:textId="77777777" w:rsidR="00E55618" w:rsidRPr="00090689" w:rsidRDefault="00E55618">
                <w:pPr>
                  <w:spacing w:after="0" w:line="240" w:lineRule="auto"/>
                  <w:rPr>
                    <w:rFonts w:eastAsia="Times New Roman" w:cs="Calibri"/>
                    <w:b/>
                    <w:color w:val="000000"/>
                    <w:sz w:val="18"/>
                    <w:szCs w:val="18"/>
                    <w:lang w:eastAsia="es-CO"/>
                  </w:rPr>
                </w:pPr>
                <w:r w:rsidRPr="00090689">
                  <w:rPr>
                    <w:rFonts w:eastAsia="Times New Roman" w:cs="Calibri"/>
                    <w:b/>
                    <w:color w:val="000000"/>
                    <w:sz w:val="18"/>
                    <w:szCs w:val="18"/>
                    <w:lang w:eastAsia="es-CO"/>
                  </w:rPr>
                  <w:t>PAGOS EFECTUADOS AL CONTRATISTA/ASOCIADO:</w:t>
                </w:r>
              </w:p>
            </w:tc>
            <w:tc>
              <w:tcPr>
                <w:tcW w:w="1374" w:type="pct"/>
                <w:shd w:val="clear" w:color="auto" w:fill="auto"/>
                <w:vAlign w:val="center"/>
                <w:hideMark/>
              </w:tcPr>
              <w:p w14:paraId="6D039E40" w14:textId="77777777" w:rsidR="00E55618" w:rsidRPr="00090689" w:rsidRDefault="00E55618">
                <w:pPr>
                  <w:spacing w:after="0" w:line="240" w:lineRule="auto"/>
                  <w:jc w:val="right"/>
                  <w:rPr>
                    <w:rFonts w:eastAsia="Times New Roman" w:cs="Calibri"/>
                    <w:color w:val="000000"/>
                    <w:sz w:val="18"/>
                    <w:szCs w:val="18"/>
                    <w:lang w:eastAsia="es-CO"/>
                  </w:rPr>
                </w:pPr>
                <w:r w:rsidRPr="00090689">
                  <w:rPr>
                    <w:rFonts w:eastAsia="Times New Roman" w:cs="Calibri"/>
                    <w:color w:val="000000"/>
                    <w:sz w:val="18"/>
                    <w:szCs w:val="18"/>
                    <w:lang w:eastAsia="es-CO"/>
                  </w:rPr>
                  <w:t>$ 22.979.584.845</w:t>
                </w:r>
              </w:p>
            </w:tc>
          </w:tr>
          <w:tr w:rsidR="00E55618" w:rsidRPr="00090689" w14:paraId="0F56E48F" w14:textId="77777777" w:rsidTr="00685DBF">
            <w:trPr>
              <w:trHeight w:val="245"/>
            </w:trPr>
            <w:tc>
              <w:tcPr>
                <w:tcW w:w="3626" w:type="pct"/>
                <w:shd w:val="clear" w:color="000000" w:fill="D9D9D9"/>
                <w:vAlign w:val="center"/>
                <w:hideMark/>
              </w:tcPr>
              <w:p w14:paraId="6D8E52AF" w14:textId="77777777" w:rsidR="00E55618" w:rsidRPr="00090689" w:rsidRDefault="00E55618">
                <w:pPr>
                  <w:spacing w:after="0" w:line="240" w:lineRule="auto"/>
                  <w:rPr>
                    <w:rFonts w:eastAsia="Times New Roman" w:cs="Calibri"/>
                    <w:b/>
                    <w:color w:val="000000"/>
                    <w:sz w:val="18"/>
                    <w:szCs w:val="18"/>
                    <w:lang w:eastAsia="es-CO"/>
                  </w:rPr>
                </w:pPr>
                <w:r w:rsidRPr="00090689">
                  <w:rPr>
                    <w:rFonts w:eastAsia="Times New Roman" w:cs="Calibri"/>
                    <w:b/>
                    <w:color w:val="000000"/>
                    <w:sz w:val="18"/>
                    <w:szCs w:val="18"/>
                    <w:lang w:eastAsia="es-CO"/>
                  </w:rPr>
                  <w:t xml:space="preserve">VALOR NO EJECUTADO A FAVOR DE LA ENTIDAD: </w:t>
                </w:r>
              </w:p>
            </w:tc>
            <w:tc>
              <w:tcPr>
                <w:tcW w:w="1374" w:type="pct"/>
                <w:shd w:val="clear" w:color="000000" w:fill="D9D9D9"/>
                <w:vAlign w:val="center"/>
                <w:hideMark/>
              </w:tcPr>
              <w:p w14:paraId="0806FE4F" w14:textId="77777777" w:rsidR="00E55618" w:rsidRPr="00090689" w:rsidRDefault="00E55618">
                <w:pPr>
                  <w:spacing w:after="0" w:line="240" w:lineRule="auto"/>
                  <w:jc w:val="right"/>
                  <w:rPr>
                    <w:rFonts w:eastAsia="Times New Roman" w:cs="Calibri"/>
                    <w:b/>
                    <w:color w:val="000000"/>
                    <w:sz w:val="18"/>
                    <w:szCs w:val="18"/>
                    <w:lang w:eastAsia="es-CO"/>
                  </w:rPr>
                </w:pPr>
                <w:r w:rsidRPr="00090689">
                  <w:rPr>
                    <w:rFonts w:eastAsia="Times New Roman" w:cs="Calibri"/>
                    <w:b/>
                    <w:color w:val="000000"/>
                    <w:sz w:val="18"/>
                    <w:szCs w:val="18"/>
                    <w:lang w:eastAsia="es-CO"/>
                  </w:rPr>
                  <w:t>$ 55.820.340</w:t>
                </w:r>
              </w:p>
            </w:tc>
          </w:tr>
          <w:tr w:rsidR="00E55618" w:rsidRPr="00090689" w14:paraId="27AEABA2" w14:textId="77777777" w:rsidTr="00685DBF">
            <w:trPr>
              <w:trHeight w:val="291"/>
            </w:trPr>
            <w:tc>
              <w:tcPr>
                <w:tcW w:w="3626" w:type="pct"/>
                <w:shd w:val="clear" w:color="auto" w:fill="auto"/>
                <w:vAlign w:val="center"/>
                <w:hideMark/>
              </w:tcPr>
              <w:p w14:paraId="138AFCD9" w14:textId="77777777" w:rsidR="00E55618" w:rsidRPr="00090689" w:rsidRDefault="00E55618">
                <w:pPr>
                  <w:spacing w:after="0" w:line="240" w:lineRule="auto"/>
                  <w:rPr>
                    <w:rFonts w:eastAsia="Times New Roman" w:cs="Calibri"/>
                    <w:b/>
                    <w:color w:val="000000"/>
                    <w:sz w:val="18"/>
                    <w:szCs w:val="18"/>
                    <w:lang w:eastAsia="es-CO"/>
                  </w:rPr>
                </w:pPr>
                <w:r w:rsidRPr="00090689">
                  <w:rPr>
                    <w:rFonts w:eastAsia="Times New Roman" w:cs="Calibri"/>
                    <w:b/>
                    <w:color w:val="000000"/>
                    <w:sz w:val="18"/>
                    <w:szCs w:val="18"/>
                    <w:lang w:eastAsia="es-CO"/>
                  </w:rPr>
                  <w:t>SALDO A FAVOR DEL CONTRATISTA/ASOCIADO:</w:t>
                </w:r>
              </w:p>
            </w:tc>
            <w:tc>
              <w:tcPr>
                <w:tcW w:w="1374" w:type="pct"/>
                <w:shd w:val="clear" w:color="auto" w:fill="auto"/>
                <w:vAlign w:val="center"/>
                <w:hideMark/>
              </w:tcPr>
              <w:p w14:paraId="5612BB77" w14:textId="77777777" w:rsidR="00E55618" w:rsidRPr="00090689" w:rsidRDefault="00E55618">
                <w:pPr>
                  <w:spacing w:after="0" w:line="240" w:lineRule="auto"/>
                  <w:jc w:val="right"/>
                  <w:rPr>
                    <w:rFonts w:eastAsia="Times New Roman" w:cs="Calibri"/>
                    <w:color w:val="000000"/>
                    <w:sz w:val="18"/>
                    <w:szCs w:val="18"/>
                    <w:lang w:eastAsia="es-CO"/>
                  </w:rPr>
                </w:pPr>
                <w:r w:rsidRPr="00090689">
                  <w:rPr>
                    <w:rFonts w:eastAsia="Times New Roman" w:cs="Calibri"/>
                    <w:color w:val="000000"/>
                    <w:sz w:val="18"/>
                    <w:szCs w:val="18"/>
                    <w:lang w:eastAsia="es-CO"/>
                  </w:rPr>
                  <w:t>$</w:t>
                </w:r>
              </w:p>
            </w:tc>
          </w:tr>
        </w:tbl>
        <w:p w14:paraId="72FB32CD" w14:textId="77777777" w:rsidR="00E55618" w:rsidRPr="00255C45" w:rsidRDefault="00E55618" w:rsidP="00E55618">
          <w:pPr>
            <w:rPr>
              <w:rFonts w:ascii="Times New Roman" w:hAnsi="Times New Roman"/>
              <w:sz w:val="24"/>
              <w:szCs w:val="24"/>
            </w:rPr>
          </w:pPr>
        </w:p>
        <w:p w14:paraId="7DDF16CD" w14:textId="1E28E963" w:rsidR="00E55618" w:rsidRPr="00255C45" w:rsidRDefault="00E55618" w:rsidP="00E55618">
          <w:pPr>
            <w:rPr>
              <w:rFonts w:ascii="Times New Roman" w:hAnsi="Times New Roman"/>
              <w:sz w:val="24"/>
              <w:szCs w:val="24"/>
            </w:rPr>
          </w:pPr>
          <w:r w:rsidRPr="00255C45">
            <w:rPr>
              <w:rFonts w:ascii="Times New Roman" w:hAnsi="Times New Roman"/>
              <w:sz w:val="24"/>
              <w:szCs w:val="24"/>
            </w:rPr>
            <w:t>Extractos Bancarios y saldo del contrato</w:t>
          </w:r>
        </w:p>
        <w:tbl>
          <w:tblPr>
            <w:tblW w:w="5000" w:type="pct"/>
            <w:jc w:val="center"/>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blBorders>
            <w:tblCellMar>
              <w:left w:w="70" w:type="dxa"/>
              <w:right w:w="70" w:type="dxa"/>
            </w:tblCellMar>
            <w:tblLook w:val="04A0" w:firstRow="1" w:lastRow="0" w:firstColumn="1" w:lastColumn="0" w:noHBand="0" w:noVBand="1"/>
          </w:tblPr>
          <w:tblGrid>
            <w:gridCol w:w="6245"/>
            <w:gridCol w:w="1754"/>
            <w:gridCol w:w="960"/>
          </w:tblGrid>
          <w:tr w:rsidR="00E55618" w:rsidRPr="00090689" w14:paraId="64F1585A" w14:textId="77777777" w:rsidTr="00685DBF">
            <w:trPr>
              <w:trHeight w:val="178"/>
              <w:tblHeader/>
              <w:jc w:val="center"/>
            </w:trPr>
            <w:tc>
              <w:tcPr>
                <w:tcW w:w="3485" w:type="pct"/>
                <w:shd w:val="clear" w:color="auto" w:fill="auto"/>
                <w:vAlign w:val="center"/>
                <w:hideMark/>
              </w:tcPr>
              <w:p w14:paraId="727A9EEC" w14:textId="77777777" w:rsidR="00E55618" w:rsidRPr="00090689" w:rsidRDefault="00E55618">
                <w:pPr>
                  <w:spacing w:after="0" w:line="240" w:lineRule="auto"/>
                  <w:jc w:val="center"/>
                  <w:rPr>
                    <w:rFonts w:ascii="Times New Roman" w:eastAsiaTheme="minorEastAsia" w:hAnsi="Times New Roman"/>
                    <w:b/>
                    <w:color w:val="000000"/>
                    <w:sz w:val="18"/>
                    <w:szCs w:val="18"/>
                    <w:lang w:eastAsia="es-CO"/>
                  </w:rPr>
                </w:pPr>
                <w:r w:rsidRPr="00090689">
                  <w:rPr>
                    <w:rFonts w:ascii="Times New Roman" w:eastAsiaTheme="minorEastAsia" w:hAnsi="Times New Roman"/>
                    <w:b/>
                    <w:color w:val="000000"/>
                    <w:sz w:val="18"/>
                    <w:szCs w:val="18"/>
                    <w:lang w:eastAsia="es-CO"/>
                  </w:rPr>
                  <w:t>DETALLE</w:t>
                </w:r>
              </w:p>
            </w:tc>
            <w:tc>
              <w:tcPr>
                <w:tcW w:w="979" w:type="pct"/>
                <w:shd w:val="clear" w:color="auto" w:fill="auto"/>
                <w:noWrap/>
                <w:vAlign w:val="bottom"/>
                <w:hideMark/>
              </w:tcPr>
              <w:p w14:paraId="652FA5AA" w14:textId="77777777" w:rsidR="00E55618" w:rsidRPr="00090689" w:rsidRDefault="00E55618">
                <w:pPr>
                  <w:spacing w:after="0" w:line="240" w:lineRule="auto"/>
                  <w:jc w:val="center"/>
                  <w:rPr>
                    <w:rFonts w:ascii="Times New Roman" w:eastAsiaTheme="minorEastAsia" w:hAnsi="Times New Roman"/>
                    <w:b/>
                    <w:color w:val="000000"/>
                    <w:sz w:val="18"/>
                    <w:szCs w:val="18"/>
                    <w:lang w:eastAsia="es-CO"/>
                  </w:rPr>
                </w:pPr>
                <w:r w:rsidRPr="00090689">
                  <w:rPr>
                    <w:rFonts w:ascii="Times New Roman" w:eastAsiaTheme="minorEastAsia" w:hAnsi="Times New Roman"/>
                    <w:b/>
                    <w:color w:val="000000"/>
                    <w:sz w:val="18"/>
                    <w:szCs w:val="18"/>
                    <w:lang w:eastAsia="es-CO"/>
                  </w:rPr>
                  <w:t xml:space="preserve">VALOR </w:t>
                </w:r>
              </w:p>
            </w:tc>
            <w:tc>
              <w:tcPr>
                <w:tcW w:w="536" w:type="pct"/>
                <w:shd w:val="clear" w:color="auto" w:fill="auto"/>
                <w:vAlign w:val="center"/>
                <w:hideMark/>
              </w:tcPr>
              <w:p w14:paraId="6FF3542E" w14:textId="77777777" w:rsidR="00E55618" w:rsidRPr="00090689" w:rsidRDefault="00E55618">
                <w:pPr>
                  <w:spacing w:after="0" w:line="240" w:lineRule="auto"/>
                  <w:jc w:val="center"/>
                  <w:rPr>
                    <w:rFonts w:ascii="Times New Roman" w:eastAsiaTheme="minorEastAsia" w:hAnsi="Times New Roman"/>
                    <w:b/>
                    <w:color w:val="000000"/>
                    <w:sz w:val="18"/>
                    <w:szCs w:val="18"/>
                    <w:lang w:eastAsia="es-CO"/>
                  </w:rPr>
                </w:pPr>
                <w:r w:rsidRPr="00090689">
                  <w:rPr>
                    <w:rFonts w:ascii="Times New Roman" w:eastAsiaTheme="minorEastAsia" w:hAnsi="Times New Roman"/>
                    <w:b/>
                    <w:color w:val="000000"/>
                    <w:sz w:val="18"/>
                    <w:szCs w:val="18"/>
                    <w:lang w:eastAsia="es-CO"/>
                  </w:rPr>
                  <w:t>NOTAS</w:t>
                </w:r>
              </w:p>
            </w:tc>
          </w:tr>
          <w:tr w:rsidR="00E55618" w:rsidRPr="00090689" w14:paraId="7A9FCFAB" w14:textId="77777777" w:rsidTr="00685DBF">
            <w:trPr>
              <w:trHeight w:val="340"/>
              <w:jc w:val="center"/>
            </w:trPr>
            <w:tc>
              <w:tcPr>
                <w:tcW w:w="3485" w:type="pct"/>
                <w:shd w:val="clear" w:color="auto" w:fill="auto"/>
                <w:vAlign w:val="center"/>
                <w:hideMark/>
              </w:tcPr>
              <w:p w14:paraId="19D7676A" w14:textId="77777777" w:rsidR="00E55618" w:rsidRPr="00090689" w:rsidRDefault="00E55618">
                <w:pPr>
                  <w:spacing w:after="0" w:line="240" w:lineRule="auto"/>
                  <w:rPr>
                    <w:rFonts w:ascii="Times New Roman" w:eastAsiaTheme="minorEastAsia" w:hAnsi="Times New Roman"/>
                    <w:color w:val="000000"/>
                    <w:sz w:val="18"/>
                    <w:szCs w:val="18"/>
                    <w:lang w:eastAsia="es-CO"/>
                  </w:rPr>
                </w:pPr>
                <w:r w:rsidRPr="00090689">
                  <w:rPr>
                    <w:rFonts w:ascii="Times New Roman" w:eastAsiaTheme="minorEastAsia" w:hAnsi="Times New Roman"/>
                    <w:color w:val="000000"/>
                    <w:sz w:val="18"/>
                    <w:szCs w:val="18"/>
                    <w:lang w:eastAsia="es-CO"/>
                  </w:rPr>
                  <w:t>SALDO DEL EXTRACTO FIDUCIA CUENTA DE AHORROS (A)</w:t>
                </w:r>
              </w:p>
            </w:tc>
            <w:tc>
              <w:tcPr>
                <w:tcW w:w="979" w:type="pct"/>
                <w:shd w:val="clear" w:color="auto" w:fill="auto"/>
                <w:vAlign w:val="center"/>
                <w:hideMark/>
              </w:tcPr>
              <w:p w14:paraId="77A70481" w14:textId="77777777" w:rsidR="00E55618" w:rsidRPr="00090689" w:rsidRDefault="00E55618">
                <w:pPr>
                  <w:spacing w:after="0" w:line="240" w:lineRule="auto"/>
                  <w:jc w:val="right"/>
                  <w:rPr>
                    <w:rFonts w:ascii="Times New Roman" w:eastAsiaTheme="minorEastAsia" w:hAnsi="Times New Roman"/>
                    <w:color w:val="000000"/>
                    <w:sz w:val="18"/>
                    <w:szCs w:val="18"/>
                    <w:lang w:eastAsia="es-CO"/>
                  </w:rPr>
                </w:pPr>
                <w:r w:rsidRPr="00090689">
                  <w:rPr>
                    <w:rFonts w:ascii="Times New Roman" w:eastAsiaTheme="minorEastAsia" w:hAnsi="Times New Roman"/>
                    <w:color w:val="000000"/>
                    <w:sz w:val="18"/>
                    <w:szCs w:val="18"/>
                    <w:lang w:eastAsia="es-CO"/>
                  </w:rPr>
                  <w:t>$ 14.785.919</w:t>
                </w:r>
              </w:p>
            </w:tc>
            <w:tc>
              <w:tcPr>
                <w:tcW w:w="536" w:type="pct"/>
                <w:shd w:val="clear" w:color="auto" w:fill="auto"/>
                <w:vAlign w:val="center"/>
                <w:hideMark/>
              </w:tcPr>
              <w:p w14:paraId="5D64AF24" w14:textId="77777777" w:rsidR="00E55618" w:rsidRPr="00090689" w:rsidRDefault="00E55618">
                <w:pPr>
                  <w:spacing w:after="0" w:line="240" w:lineRule="auto"/>
                  <w:jc w:val="center"/>
                  <w:rPr>
                    <w:rFonts w:ascii="Times New Roman" w:eastAsiaTheme="minorEastAsia" w:hAnsi="Times New Roman"/>
                    <w:color w:val="000000"/>
                    <w:sz w:val="18"/>
                    <w:szCs w:val="18"/>
                    <w:lang w:eastAsia="es-CO"/>
                  </w:rPr>
                </w:pPr>
              </w:p>
            </w:tc>
          </w:tr>
          <w:tr w:rsidR="00E55618" w:rsidRPr="00090689" w14:paraId="7E4AFF7B" w14:textId="77777777" w:rsidTr="00685DBF">
            <w:trPr>
              <w:trHeight w:val="357"/>
              <w:jc w:val="center"/>
            </w:trPr>
            <w:tc>
              <w:tcPr>
                <w:tcW w:w="3485" w:type="pct"/>
                <w:shd w:val="clear" w:color="auto" w:fill="auto"/>
                <w:vAlign w:val="center"/>
                <w:hideMark/>
              </w:tcPr>
              <w:p w14:paraId="5FEEB9EC" w14:textId="77777777" w:rsidR="00E55618" w:rsidRPr="00090689" w:rsidRDefault="00E55618">
                <w:pPr>
                  <w:spacing w:after="0" w:line="240" w:lineRule="auto"/>
                  <w:rPr>
                    <w:rFonts w:ascii="Times New Roman" w:eastAsiaTheme="minorEastAsia" w:hAnsi="Times New Roman"/>
                    <w:color w:val="000000"/>
                    <w:sz w:val="18"/>
                    <w:szCs w:val="18"/>
                    <w:lang w:eastAsia="es-CO"/>
                  </w:rPr>
                </w:pPr>
                <w:r w:rsidRPr="00090689">
                  <w:rPr>
                    <w:rFonts w:ascii="Times New Roman" w:eastAsiaTheme="minorEastAsia" w:hAnsi="Times New Roman"/>
                    <w:color w:val="000000"/>
                    <w:sz w:val="18"/>
                    <w:szCs w:val="18"/>
                    <w:lang w:eastAsia="es-CO"/>
                  </w:rPr>
                  <w:t>SALDO DEL EXTRACTO FIDUCIA CUENTA FIC (B)</w:t>
                </w:r>
              </w:p>
            </w:tc>
            <w:tc>
              <w:tcPr>
                <w:tcW w:w="979" w:type="pct"/>
                <w:shd w:val="clear" w:color="auto" w:fill="auto"/>
                <w:vAlign w:val="center"/>
                <w:hideMark/>
              </w:tcPr>
              <w:p w14:paraId="645F74AA" w14:textId="77777777" w:rsidR="00E55618" w:rsidRPr="00090689" w:rsidRDefault="00E55618">
                <w:pPr>
                  <w:spacing w:after="0" w:line="240" w:lineRule="auto"/>
                  <w:jc w:val="right"/>
                  <w:rPr>
                    <w:rFonts w:ascii="Times New Roman" w:eastAsiaTheme="minorEastAsia" w:hAnsi="Times New Roman"/>
                    <w:color w:val="000000"/>
                    <w:sz w:val="18"/>
                    <w:szCs w:val="18"/>
                    <w:lang w:eastAsia="es-CO"/>
                  </w:rPr>
                </w:pPr>
                <w:r w:rsidRPr="00090689">
                  <w:rPr>
                    <w:rFonts w:ascii="Times New Roman" w:eastAsiaTheme="minorEastAsia" w:hAnsi="Times New Roman"/>
                    <w:color w:val="000000"/>
                    <w:sz w:val="18"/>
                    <w:szCs w:val="18"/>
                    <w:lang w:eastAsia="es-CO"/>
                  </w:rPr>
                  <w:t>$ 41.740.542</w:t>
                </w:r>
              </w:p>
            </w:tc>
            <w:tc>
              <w:tcPr>
                <w:tcW w:w="536" w:type="pct"/>
                <w:shd w:val="clear" w:color="auto" w:fill="auto"/>
                <w:vAlign w:val="center"/>
                <w:hideMark/>
              </w:tcPr>
              <w:p w14:paraId="3D0B871C" w14:textId="77777777" w:rsidR="00E55618" w:rsidRPr="00090689" w:rsidRDefault="00E55618">
                <w:pPr>
                  <w:spacing w:after="0" w:line="240" w:lineRule="auto"/>
                  <w:jc w:val="center"/>
                  <w:rPr>
                    <w:rFonts w:ascii="Times New Roman" w:eastAsiaTheme="minorEastAsia" w:hAnsi="Times New Roman"/>
                    <w:color w:val="000000"/>
                    <w:sz w:val="18"/>
                    <w:szCs w:val="18"/>
                    <w:lang w:eastAsia="es-CO"/>
                  </w:rPr>
                </w:pPr>
              </w:p>
            </w:tc>
          </w:tr>
          <w:tr w:rsidR="00E55618" w:rsidRPr="00090689" w14:paraId="7A7C2347" w14:textId="77777777" w:rsidTr="00685DBF">
            <w:trPr>
              <w:trHeight w:val="357"/>
              <w:jc w:val="center"/>
            </w:trPr>
            <w:tc>
              <w:tcPr>
                <w:tcW w:w="3485" w:type="pct"/>
                <w:shd w:val="clear" w:color="auto" w:fill="auto"/>
                <w:vAlign w:val="center"/>
                <w:hideMark/>
              </w:tcPr>
              <w:p w14:paraId="1E38085F" w14:textId="77777777" w:rsidR="00E55618" w:rsidRPr="00090689" w:rsidRDefault="00E55618">
                <w:pPr>
                  <w:spacing w:after="0" w:line="240" w:lineRule="auto"/>
                  <w:rPr>
                    <w:rFonts w:ascii="Times New Roman" w:eastAsiaTheme="minorEastAsia" w:hAnsi="Times New Roman"/>
                    <w:b/>
                    <w:color w:val="000000"/>
                    <w:sz w:val="18"/>
                    <w:szCs w:val="18"/>
                    <w:lang w:eastAsia="es-CO"/>
                  </w:rPr>
                </w:pPr>
                <w:r w:rsidRPr="00090689">
                  <w:rPr>
                    <w:rFonts w:ascii="Times New Roman" w:eastAsiaTheme="minorEastAsia" w:hAnsi="Times New Roman"/>
                    <w:b/>
                    <w:color w:val="000000"/>
                    <w:sz w:val="18"/>
                    <w:szCs w:val="18"/>
                    <w:lang w:eastAsia="es-CO"/>
                  </w:rPr>
                  <w:t>TOTAL SALDOS EXTRACTOS C: (A+B)</w:t>
                </w:r>
              </w:p>
            </w:tc>
            <w:tc>
              <w:tcPr>
                <w:tcW w:w="979" w:type="pct"/>
                <w:shd w:val="clear" w:color="auto" w:fill="auto"/>
                <w:vAlign w:val="center"/>
                <w:hideMark/>
              </w:tcPr>
              <w:p w14:paraId="66A5F38F" w14:textId="77777777" w:rsidR="00E55618" w:rsidRPr="00090689" w:rsidRDefault="00E55618">
                <w:pPr>
                  <w:spacing w:after="0" w:line="240" w:lineRule="auto"/>
                  <w:jc w:val="right"/>
                  <w:rPr>
                    <w:rFonts w:ascii="Times New Roman" w:eastAsiaTheme="minorEastAsia" w:hAnsi="Times New Roman"/>
                    <w:b/>
                    <w:color w:val="000000"/>
                    <w:sz w:val="18"/>
                    <w:szCs w:val="18"/>
                    <w:lang w:eastAsia="es-CO"/>
                  </w:rPr>
                </w:pPr>
                <w:r w:rsidRPr="00090689">
                  <w:rPr>
                    <w:rFonts w:ascii="Times New Roman" w:eastAsiaTheme="minorEastAsia" w:hAnsi="Times New Roman"/>
                    <w:b/>
                    <w:color w:val="000000"/>
                    <w:sz w:val="18"/>
                    <w:szCs w:val="18"/>
                    <w:lang w:eastAsia="es-CO"/>
                  </w:rPr>
                  <w:t>$ 56.526.461</w:t>
                </w:r>
              </w:p>
            </w:tc>
            <w:tc>
              <w:tcPr>
                <w:tcW w:w="536" w:type="pct"/>
                <w:shd w:val="clear" w:color="auto" w:fill="auto"/>
                <w:vAlign w:val="center"/>
                <w:hideMark/>
              </w:tcPr>
              <w:p w14:paraId="077DA6FE" w14:textId="77777777" w:rsidR="00E55618" w:rsidRPr="00090689" w:rsidRDefault="00E55618">
                <w:pPr>
                  <w:spacing w:after="0" w:line="240" w:lineRule="auto"/>
                  <w:jc w:val="center"/>
                  <w:rPr>
                    <w:rFonts w:ascii="Times New Roman" w:eastAsiaTheme="minorEastAsia" w:hAnsi="Times New Roman"/>
                    <w:color w:val="000000"/>
                    <w:sz w:val="18"/>
                    <w:szCs w:val="18"/>
                    <w:lang w:eastAsia="es-CO"/>
                  </w:rPr>
                </w:pPr>
                <w:r w:rsidRPr="00090689">
                  <w:rPr>
                    <w:rFonts w:ascii="Times New Roman" w:eastAsiaTheme="minorEastAsia" w:hAnsi="Times New Roman"/>
                    <w:color w:val="000000"/>
                    <w:sz w:val="18"/>
                    <w:szCs w:val="18"/>
                    <w:lang w:eastAsia="es-CO"/>
                  </w:rPr>
                  <w:t>1</w:t>
                </w:r>
              </w:p>
            </w:tc>
          </w:tr>
          <w:tr w:rsidR="00E55618" w:rsidRPr="00090689" w14:paraId="31C7E8CB" w14:textId="77777777" w:rsidTr="00685DBF">
            <w:trPr>
              <w:trHeight w:val="221"/>
              <w:jc w:val="center"/>
            </w:trPr>
            <w:tc>
              <w:tcPr>
                <w:tcW w:w="3485" w:type="pct"/>
                <w:shd w:val="clear" w:color="auto" w:fill="auto"/>
                <w:vAlign w:val="center"/>
                <w:hideMark/>
              </w:tcPr>
              <w:p w14:paraId="0762662A" w14:textId="77777777" w:rsidR="00E55618" w:rsidRPr="00090689" w:rsidRDefault="00E55618">
                <w:pPr>
                  <w:spacing w:after="0" w:line="240" w:lineRule="auto"/>
                  <w:rPr>
                    <w:rFonts w:ascii="Times New Roman" w:eastAsiaTheme="minorEastAsia" w:hAnsi="Times New Roman"/>
                    <w:color w:val="000000"/>
                    <w:sz w:val="18"/>
                    <w:szCs w:val="18"/>
                    <w:lang w:eastAsia="es-CO"/>
                  </w:rPr>
                </w:pPr>
                <w:r w:rsidRPr="00090689">
                  <w:rPr>
                    <w:rFonts w:ascii="Times New Roman" w:eastAsiaTheme="minorEastAsia" w:hAnsi="Times New Roman"/>
                    <w:color w:val="000000"/>
                    <w:sz w:val="18"/>
                    <w:szCs w:val="18"/>
                    <w:lang w:eastAsia="es-CO"/>
                  </w:rPr>
                  <w:t>VALOR NO EJECUTADO A FAVOR DE LA ENTIDAD (D)</w:t>
                </w:r>
              </w:p>
            </w:tc>
            <w:tc>
              <w:tcPr>
                <w:tcW w:w="979" w:type="pct"/>
                <w:shd w:val="clear" w:color="auto" w:fill="auto"/>
                <w:vAlign w:val="center"/>
                <w:hideMark/>
              </w:tcPr>
              <w:p w14:paraId="64F60709" w14:textId="77777777" w:rsidR="00E55618" w:rsidRPr="00090689" w:rsidRDefault="00E55618">
                <w:pPr>
                  <w:spacing w:after="0" w:line="240" w:lineRule="auto"/>
                  <w:jc w:val="right"/>
                  <w:rPr>
                    <w:rFonts w:ascii="Times New Roman" w:eastAsiaTheme="minorEastAsia" w:hAnsi="Times New Roman"/>
                    <w:color w:val="000000"/>
                    <w:sz w:val="18"/>
                    <w:szCs w:val="18"/>
                    <w:lang w:eastAsia="es-CO"/>
                  </w:rPr>
                </w:pPr>
                <w:r w:rsidRPr="00090689">
                  <w:rPr>
                    <w:rFonts w:ascii="Times New Roman" w:eastAsiaTheme="minorEastAsia" w:hAnsi="Times New Roman"/>
                    <w:color w:val="000000"/>
                    <w:sz w:val="18"/>
                    <w:szCs w:val="18"/>
                    <w:lang w:eastAsia="es-CO"/>
                  </w:rPr>
                  <w:t>$ 55.820.340</w:t>
                </w:r>
              </w:p>
            </w:tc>
            <w:tc>
              <w:tcPr>
                <w:tcW w:w="536" w:type="pct"/>
                <w:shd w:val="clear" w:color="auto" w:fill="auto"/>
                <w:vAlign w:val="center"/>
                <w:hideMark/>
              </w:tcPr>
              <w:p w14:paraId="4D78E3CC" w14:textId="77777777" w:rsidR="00E55618" w:rsidRPr="00090689" w:rsidRDefault="00E55618">
                <w:pPr>
                  <w:spacing w:after="0" w:line="240" w:lineRule="auto"/>
                  <w:jc w:val="center"/>
                  <w:rPr>
                    <w:rFonts w:ascii="Times New Roman" w:eastAsiaTheme="minorEastAsia" w:hAnsi="Times New Roman"/>
                    <w:color w:val="000000"/>
                    <w:sz w:val="18"/>
                    <w:szCs w:val="18"/>
                    <w:lang w:eastAsia="es-CO"/>
                  </w:rPr>
                </w:pPr>
                <w:r w:rsidRPr="00090689">
                  <w:rPr>
                    <w:rFonts w:ascii="Times New Roman" w:eastAsiaTheme="minorEastAsia" w:hAnsi="Times New Roman"/>
                    <w:color w:val="000000"/>
                    <w:sz w:val="18"/>
                    <w:szCs w:val="18"/>
                    <w:lang w:eastAsia="es-CO"/>
                  </w:rPr>
                  <w:t>2</w:t>
                </w:r>
              </w:p>
            </w:tc>
          </w:tr>
          <w:tr w:rsidR="00E55618" w:rsidRPr="00090689" w14:paraId="55B5FADD" w14:textId="77777777" w:rsidTr="00685DBF">
            <w:trPr>
              <w:trHeight w:val="384"/>
              <w:jc w:val="center"/>
            </w:trPr>
            <w:tc>
              <w:tcPr>
                <w:tcW w:w="3485" w:type="pct"/>
                <w:shd w:val="clear" w:color="auto" w:fill="E0E0E0"/>
                <w:vAlign w:val="center"/>
                <w:hideMark/>
              </w:tcPr>
              <w:p w14:paraId="5D3A8BDC" w14:textId="51409E5D" w:rsidR="00E55618" w:rsidRPr="00090689" w:rsidRDefault="00E55618">
                <w:pPr>
                  <w:spacing w:after="0" w:line="240" w:lineRule="auto"/>
                  <w:rPr>
                    <w:rFonts w:ascii="Times New Roman" w:eastAsiaTheme="minorEastAsia" w:hAnsi="Times New Roman"/>
                    <w:b/>
                    <w:color w:val="000000"/>
                    <w:sz w:val="18"/>
                    <w:szCs w:val="18"/>
                    <w:lang w:eastAsia="es-CO"/>
                  </w:rPr>
                </w:pPr>
                <w:r w:rsidRPr="00090689">
                  <w:rPr>
                    <w:rFonts w:ascii="Times New Roman" w:eastAsiaTheme="minorEastAsia" w:hAnsi="Times New Roman"/>
                    <w:b/>
                    <w:color w:val="000000"/>
                    <w:sz w:val="18"/>
                    <w:szCs w:val="18"/>
                    <w:lang w:eastAsia="es-CO"/>
                  </w:rPr>
                  <w:t xml:space="preserve">DIFERENCIA (RENDIMIENTOS </w:t>
                </w:r>
                <w:r w:rsidR="00256645" w:rsidRPr="00090689">
                  <w:rPr>
                    <w:rFonts w:ascii="Times New Roman" w:eastAsiaTheme="minorEastAsia" w:hAnsi="Times New Roman"/>
                    <w:b/>
                    <w:color w:val="000000"/>
                    <w:sz w:val="18"/>
                    <w:szCs w:val="18"/>
                    <w:lang w:eastAsia="es-CO"/>
                  </w:rPr>
                  <w:t xml:space="preserve">FINANCIEROS)  </w:t>
                </w:r>
                <w:r w:rsidRPr="00090689">
                  <w:rPr>
                    <w:rFonts w:ascii="Times New Roman" w:eastAsiaTheme="minorEastAsia" w:hAnsi="Times New Roman"/>
                    <w:b/>
                    <w:color w:val="000000"/>
                    <w:sz w:val="18"/>
                    <w:szCs w:val="18"/>
                    <w:lang w:eastAsia="es-CO"/>
                  </w:rPr>
                  <w:t xml:space="preserve">     E: (C-D)</w:t>
                </w:r>
              </w:p>
            </w:tc>
            <w:tc>
              <w:tcPr>
                <w:tcW w:w="979" w:type="pct"/>
                <w:shd w:val="clear" w:color="auto" w:fill="E0E0E0"/>
                <w:vAlign w:val="center"/>
                <w:hideMark/>
              </w:tcPr>
              <w:p w14:paraId="2A146824" w14:textId="77777777" w:rsidR="00E55618" w:rsidRPr="00090689" w:rsidRDefault="00E55618">
                <w:pPr>
                  <w:spacing w:after="0" w:line="240" w:lineRule="auto"/>
                  <w:jc w:val="right"/>
                  <w:rPr>
                    <w:rFonts w:ascii="Times New Roman" w:eastAsiaTheme="minorEastAsia" w:hAnsi="Times New Roman"/>
                    <w:b/>
                    <w:color w:val="000000"/>
                    <w:sz w:val="18"/>
                    <w:szCs w:val="18"/>
                    <w:lang w:eastAsia="es-CO"/>
                  </w:rPr>
                </w:pPr>
                <w:r w:rsidRPr="00090689">
                  <w:rPr>
                    <w:rFonts w:ascii="Times New Roman" w:eastAsiaTheme="minorEastAsia" w:hAnsi="Times New Roman"/>
                    <w:b/>
                    <w:color w:val="000000"/>
                    <w:sz w:val="18"/>
                    <w:szCs w:val="18"/>
                    <w:lang w:eastAsia="es-CO"/>
                  </w:rPr>
                  <w:t>$ 706.121</w:t>
                </w:r>
              </w:p>
            </w:tc>
            <w:tc>
              <w:tcPr>
                <w:tcW w:w="536" w:type="pct"/>
                <w:shd w:val="clear" w:color="auto" w:fill="auto"/>
                <w:vAlign w:val="center"/>
                <w:hideMark/>
              </w:tcPr>
              <w:p w14:paraId="6BEBF229" w14:textId="77777777" w:rsidR="00E55618" w:rsidRPr="00090689" w:rsidRDefault="00E55618">
                <w:pPr>
                  <w:spacing w:after="0" w:line="240" w:lineRule="auto"/>
                  <w:jc w:val="center"/>
                  <w:rPr>
                    <w:rFonts w:ascii="Times New Roman" w:eastAsiaTheme="minorEastAsia" w:hAnsi="Times New Roman"/>
                    <w:color w:val="000000"/>
                    <w:sz w:val="18"/>
                    <w:szCs w:val="18"/>
                    <w:lang w:eastAsia="es-CO"/>
                  </w:rPr>
                </w:pPr>
                <w:r w:rsidRPr="00090689">
                  <w:rPr>
                    <w:rFonts w:ascii="Times New Roman" w:eastAsiaTheme="minorEastAsia" w:hAnsi="Times New Roman"/>
                    <w:color w:val="000000"/>
                    <w:sz w:val="18"/>
                    <w:szCs w:val="18"/>
                    <w:lang w:eastAsia="es-CO"/>
                  </w:rPr>
                  <w:t>3</w:t>
                </w:r>
              </w:p>
            </w:tc>
          </w:tr>
        </w:tbl>
        <w:p w14:paraId="4165E6BF" w14:textId="77777777" w:rsidR="00E55618" w:rsidRPr="00090689" w:rsidRDefault="00E55618" w:rsidP="00E55618">
          <w:pPr>
            <w:tabs>
              <w:tab w:val="left" w:pos="2340"/>
            </w:tabs>
            <w:spacing w:after="0" w:line="240" w:lineRule="auto"/>
            <w:jc w:val="center"/>
            <w:rPr>
              <w:rFonts w:ascii="Arial" w:eastAsia="Arial" w:hAnsi="Arial" w:cs="Arial"/>
              <w:color w:val="000000" w:themeColor="text1"/>
              <w:sz w:val="16"/>
              <w:szCs w:val="16"/>
            </w:rPr>
          </w:pPr>
          <w:r w:rsidRPr="00255C45">
            <w:rPr>
              <w:rFonts w:ascii="Arial" w:eastAsia="Arial" w:hAnsi="Arial" w:cs="Arial"/>
              <w:color w:val="000000" w:themeColor="text1"/>
              <w:sz w:val="18"/>
              <w:szCs w:val="18"/>
            </w:rPr>
            <w:t xml:space="preserve">  </w:t>
          </w:r>
          <w:r w:rsidRPr="00090689">
            <w:rPr>
              <w:rFonts w:ascii="Arial" w:eastAsia="Arial" w:hAnsi="Arial" w:cs="Arial"/>
              <w:color w:val="000000" w:themeColor="text1"/>
              <w:sz w:val="16"/>
              <w:szCs w:val="16"/>
            </w:rPr>
            <w:t>Fuente:  Documentación que reposa en el expediente contractual,</w:t>
          </w:r>
        </w:p>
        <w:p w14:paraId="7D520DE4" w14:textId="77777777" w:rsidR="00E55618" w:rsidRPr="00090689" w:rsidRDefault="00E55618" w:rsidP="00E55618">
          <w:pPr>
            <w:tabs>
              <w:tab w:val="left" w:pos="2340"/>
            </w:tabs>
            <w:spacing w:after="0" w:line="240" w:lineRule="auto"/>
            <w:jc w:val="center"/>
            <w:rPr>
              <w:rFonts w:ascii="Arial" w:eastAsia="Arial" w:hAnsi="Arial" w:cs="Arial"/>
              <w:color w:val="000000" w:themeColor="text1"/>
              <w:sz w:val="16"/>
              <w:szCs w:val="16"/>
            </w:rPr>
          </w:pPr>
          <w:r w:rsidRPr="00090689">
            <w:rPr>
              <w:rFonts w:ascii="Arial" w:eastAsia="Arial" w:hAnsi="Arial" w:cs="Arial"/>
              <w:color w:val="000000" w:themeColor="text1"/>
              <w:sz w:val="16"/>
              <w:szCs w:val="16"/>
            </w:rPr>
            <w:t xml:space="preserve"> elaboración propia Modo férreo - VGCON</w:t>
          </w:r>
        </w:p>
        <w:p w14:paraId="3E165666" w14:textId="77777777" w:rsidR="00E55618" w:rsidRPr="00255C45" w:rsidRDefault="00E55618" w:rsidP="00E55618">
          <w:pPr>
            <w:jc w:val="both"/>
            <w:rPr>
              <w:rFonts w:ascii="Times New Roman" w:hAnsi="Times New Roman"/>
              <w:sz w:val="24"/>
              <w:szCs w:val="24"/>
            </w:rPr>
          </w:pPr>
        </w:p>
        <w:p w14:paraId="2752DBC2" w14:textId="10A5A778" w:rsidR="00E55618" w:rsidRPr="00255C45" w:rsidRDefault="00E55618" w:rsidP="00E55618">
          <w:pPr>
            <w:jc w:val="both"/>
            <w:rPr>
              <w:rFonts w:ascii="Times New Roman" w:hAnsi="Times New Roman"/>
              <w:sz w:val="24"/>
              <w:szCs w:val="24"/>
            </w:rPr>
          </w:pPr>
          <w:r w:rsidRPr="00255C45">
            <w:rPr>
              <w:rFonts w:ascii="Times New Roman" w:hAnsi="Times New Roman"/>
              <w:sz w:val="24"/>
              <w:szCs w:val="24"/>
            </w:rPr>
            <w:t>Nota 1: El total saldo en extractos por $ 56.526.461 corresponde a la suma del saldo del extracto de la cuenta de ahorros y del fondo de inversión del banco BBVA y en la cual se encuentran los recursos con corte al 31 de diciembre de 2023, y es la sumatoria de “Valor no ejecutado a favor de la entidad” y “diferencia (rendimientos financieros)”</w:t>
          </w:r>
        </w:p>
        <w:p w14:paraId="30C571A7" w14:textId="77777777" w:rsidR="00E55618" w:rsidRPr="00255C45" w:rsidRDefault="00E55618" w:rsidP="00E55618">
          <w:pPr>
            <w:jc w:val="both"/>
            <w:rPr>
              <w:rFonts w:ascii="Times New Roman" w:hAnsi="Times New Roman"/>
              <w:sz w:val="24"/>
              <w:szCs w:val="24"/>
            </w:rPr>
          </w:pPr>
          <w:r w:rsidRPr="00255C45">
            <w:rPr>
              <w:rFonts w:ascii="Times New Roman" w:hAnsi="Times New Roman"/>
              <w:sz w:val="24"/>
              <w:szCs w:val="24"/>
            </w:rPr>
            <w:t>Nota 2: El valor no ejecutado a favor de la entidad corresponde a la diferencia entre el valor total del contrato (aportes realizados) y los pagos efectuados al contratista (ejecuciones netas), que asciende a la suma de $55.820.340.</w:t>
          </w:r>
        </w:p>
        <w:p w14:paraId="21A5D4C8" w14:textId="77777777" w:rsidR="00E55618" w:rsidRPr="00255C45" w:rsidRDefault="00E55618" w:rsidP="00E55618">
          <w:pPr>
            <w:jc w:val="both"/>
            <w:rPr>
              <w:rFonts w:ascii="Times New Roman" w:hAnsi="Times New Roman"/>
              <w:sz w:val="24"/>
              <w:szCs w:val="24"/>
            </w:rPr>
          </w:pPr>
          <w:r w:rsidRPr="00255C45">
            <w:rPr>
              <w:rFonts w:ascii="Times New Roman" w:hAnsi="Times New Roman"/>
              <w:sz w:val="24"/>
              <w:szCs w:val="24"/>
            </w:rPr>
            <w:t xml:space="preserve">Nota 3: La diferencia entre el valor no ejecutado a favor de la entidad por $ 55.820.340 (nota 2) y el saldo en extractos por $ 56.526.461 (nota 1) corresponde a $ 706.121 de rendimientos financieros generados en el mes de diciembre 2023, pendientes por reintegrar a la entidad, que se trasladarán en enero de 2024. </w:t>
          </w:r>
        </w:p>
        <w:p w14:paraId="71E0D093" w14:textId="77777777" w:rsidR="00E55618" w:rsidRPr="00255C45" w:rsidRDefault="00E55618" w:rsidP="00E55618">
          <w:pPr>
            <w:jc w:val="both"/>
            <w:rPr>
              <w:rFonts w:ascii="Times New Roman" w:hAnsi="Times New Roman"/>
              <w:sz w:val="24"/>
              <w:szCs w:val="24"/>
            </w:rPr>
          </w:pPr>
          <w:r w:rsidRPr="00255C45">
            <w:rPr>
              <w:rFonts w:ascii="Times New Roman" w:hAnsi="Times New Roman"/>
              <w:sz w:val="24"/>
              <w:szCs w:val="24"/>
            </w:rPr>
            <w:t>Lo valor no ejecutado a favor de la entidad y los rendimientos financieros que se hayan generado (que cesarán hasta que se liquide la cuenta donde se encuentran los recursos) se trasladaran a la AGENCIA NACIONAL DE INFRAESTRUCTURA tras la liquidación del contrato, los traslados generarán gravamen al movimiento financiero – GMF.</w:t>
          </w:r>
        </w:p>
        <w:p w14:paraId="097FB581" w14:textId="77777777" w:rsidR="00B80E99" w:rsidRPr="00255C45" w:rsidRDefault="00B80E99" w:rsidP="00B80E99">
          <w:pPr>
            <w:spacing w:after="0" w:line="240" w:lineRule="auto"/>
            <w:jc w:val="both"/>
            <w:rPr>
              <w:rFonts w:ascii="Times New Roman" w:hAnsi="Times New Roman"/>
              <w:sz w:val="24"/>
              <w:szCs w:val="24"/>
            </w:rPr>
          </w:pPr>
        </w:p>
        <w:p w14:paraId="2C46A12E" w14:textId="0FD8DC0B" w:rsidR="00AF0B76" w:rsidRPr="00255C45" w:rsidRDefault="00AF7FC5" w:rsidP="00AF7FC5">
          <w:pPr>
            <w:spacing w:after="0" w:line="240" w:lineRule="auto"/>
            <w:jc w:val="both"/>
            <w:rPr>
              <w:rFonts w:ascii="Times New Roman" w:hAnsi="Times New Roman"/>
              <w:sz w:val="24"/>
              <w:szCs w:val="24"/>
            </w:rPr>
          </w:pPr>
          <w:r w:rsidRPr="00255C45">
            <w:rPr>
              <w:rFonts w:ascii="Times New Roman" w:hAnsi="Times New Roman"/>
              <w:sz w:val="24"/>
              <w:szCs w:val="24"/>
            </w:rPr>
            <w:t>CONTRATO VE</w:t>
          </w:r>
          <w:r w:rsidR="00C75116" w:rsidRPr="00255C45">
            <w:rPr>
              <w:rFonts w:ascii="Times New Roman" w:hAnsi="Times New Roman"/>
              <w:sz w:val="24"/>
              <w:szCs w:val="24"/>
            </w:rPr>
            <w:t xml:space="preserve"> 629</w:t>
          </w:r>
          <w:r w:rsidRPr="00255C45">
            <w:rPr>
              <w:rFonts w:ascii="Times New Roman" w:hAnsi="Times New Roman"/>
              <w:sz w:val="24"/>
              <w:szCs w:val="24"/>
            </w:rPr>
            <w:t>-202</w:t>
          </w:r>
          <w:r w:rsidR="00C75116" w:rsidRPr="00255C45">
            <w:rPr>
              <w:rFonts w:ascii="Times New Roman" w:hAnsi="Times New Roman"/>
              <w:sz w:val="24"/>
              <w:szCs w:val="24"/>
            </w:rPr>
            <w:t>2</w:t>
          </w:r>
          <w:r w:rsidR="00E94A48" w:rsidRPr="00255C45">
            <w:rPr>
              <w:rFonts w:ascii="Times New Roman" w:hAnsi="Times New Roman"/>
              <w:sz w:val="24"/>
              <w:szCs w:val="24"/>
            </w:rPr>
            <w:t xml:space="preserve">: </w:t>
          </w:r>
        </w:p>
        <w:p w14:paraId="12D59435" w14:textId="620974AC" w:rsidR="00BA7C3F" w:rsidRPr="00255C45" w:rsidRDefault="00BA7C3F" w:rsidP="00BA7C3F">
          <w:pPr>
            <w:spacing w:after="0" w:line="240" w:lineRule="auto"/>
            <w:jc w:val="both"/>
            <w:rPr>
              <w:rFonts w:ascii="Times New Roman" w:hAnsi="Times New Roman"/>
              <w:sz w:val="24"/>
              <w:szCs w:val="24"/>
            </w:rPr>
          </w:pPr>
          <w:r w:rsidRPr="00255C45">
            <w:rPr>
              <w:rFonts w:ascii="Times New Roman" w:hAnsi="Times New Roman"/>
              <w:sz w:val="24"/>
              <w:szCs w:val="24"/>
            </w:rPr>
            <w:t>OBJETO:  Prestar los servicios de asistencia técnica, a la Agencia Nacional de Infraestructura - ANI para el desarrollo de los proyectos requeridos en el corredor férreo Facatativá - Bogotá - Belencito y La Caro – Zipaquirá, a través del modelo de ejecución financiera autorizado a Findeter</w:t>
          </w:r>
          <w:r w:rsidR="00090689">
            <w:rPr>
              <w:rFonts w:ascii="Times New Roman" w:hAnsi="Times New Roman"/>
              <w:sz w:val="24"/>
              <w:szCs w:val="24"/>
            </w:rPr>
            <w:t>.</w:t>
          </w:r>
        </w:p>
        <w:p w14:paraId="371091DF" w14:textId="77777777" w:rsidR="00090689" w:rsidRPr="00255C45" w:rsidRDefault="00090689" w:rsidP="00BA7C3F">
          <w:pPr>
            <w:spacing w:after="0" w:line="240" w:lineRule="auto"/>
            <w:jc w:val="both"/>
            <w:rPr>
              <w:rFonts w:ascii="Times New Roman" w:hAnsi="Times New Roman"/>
              <w:sz w:val="24"/>
              <w:szCs w:val="24"/>
            </w:rPr>
          </w:pPr>
        </w:p>
        <w:p w14:paraId="26A38248" w14:textId="77777777" w:rsidR="00BA7C3F" w:rsidRPr="00255C45" w:rsidRDefault="00BA7C3F" w:rsidP="00E60BAB">
          <w:pPr>
            <w:pStyle w:val="Prrafodelista"/>
            <w:numPr>
              <w:ilvl w:val="0"/>
              <w:numId w:val="51"/>
            </w:numPr>
            <w:spacing w:after="0" w:line="240" w:lineRule="auto"/>
            <w:ind w:left="284"/>
            <w:jc w:val="both"/>
            <w:rPr>
              <w:rFonts w:ascii="Times New Roman" w:hAnsi="Times New Roman"/>
              <w:sz w:val="24"/>
              <w:szCs w:val="24"/>
            </w:rPr>
          </w:pPr>
          <w:r w:rsidRPr="00255C45">
            <w:rPr>
              <w:rFonts w:ascii="Times New Roman" w:hAnsi="Times New Roman"/>
              <w:sz w:val="24"/>
              <w:szCs w:val="24"/>
            </w:rPr>
            <w:lastRenderedPageBreak/>
            <w:t>Fecha de suscripción: 21 de diciembre de 2022</w:t>
          </w:r>
        </w:p>
        <w:p w14:paraId="69C9D381" w14:textId="77777777" w:rsidR="00BA7C3F" w:rsidRPr="00255C45" w:rsidRDefault="00BA7C3F" w:rsidP="00E60BAB">
          <w:pPr>
            <w:pStyle w:val="Prrafodelista"/>
            <w:numPr>
              <w:ilvl w:val="0"/>
              <w:numId w:val="51"/>
            </w:numPr>
            <w:spacing w:after="0" w:line="240" w:lineRule="auto"/>
            <w:ind w:left="284"/>
            <w:jc w:val="both"/>
            <w:rPr>
              <w:rFonts w:ascii="Times New Roman" w:hAnsi="Times New Roman"/>
              <w:sz w:val="24"/>
              <w:szCs w:val="24"/>
            </w:rPr>
          </w:pPr>
          <w:r w:rsidRPr="00255C45">
            <w:rPr>
              <w:rFonts w:ascii="Times New Roman" w:hAnsi="Times New Roman"/>
              <w:sz w:val="24"/>
              <w:szCs w:val="24"/>
            </w:rPr>
            <w:t>Fecha Acta de inicio: 27 de diciembre de 2022</w:t>
          </w:r>
        </w:p>
        <w:p w14:paraId="7EC3E369" w14:textId="77777777" w:rsidR="00BA7C3F" w:rsidRPr="00255C45" w:rsidRDefault="00BA7C3F" w:rsidP="00E60BAB">
          <w:pPr>
            <w:pStyle w:val="Prrafodelista"/>
            <w:numPr>
              <w:ilvl w:val="0"/>
              <w:numId w:val="52"/>
            </w:numPr>
            <w:spacing w:after="0" w:line="240" w:lineRule="auto"/>
            <w:ind w:left="284"/>
            <w:jc w:val="both"/>
            <w:rPr>
              <w:rFonts w:ascii="Times New Roman" w:hAnsi="Times New Roman"/>
              <w:sz w:val="24"/>
              <w:szCs w:val="24"/>
            </w:rPr>
          </w:pPr>
          <w:r w:rsidRPr="00255C45">
            <w:rPr>
              <w:rFonts w:ascii="Times New Roman" w:hAnsi="Times New Roman"/>
              <w:sz w:val="24"/>
              <w:szCs w:val="24"/>
            </w:rPr>
            <w:t>Valor Total (incluyendo adiciones): $136.765.056.281</w:t>
          </w:r>
        </w:p>
        <w:p w14:paraId="3BF83465" w14:textId="77777777" w:rsidR="00BA7C3F" w:rsidRPr="00255C45" w:rsidRDefault="00BA7C3F" w:rsidP="00E60BAB">
          <w:pPr>
            <w:pStyle w:val="Prrafodelista"/>
            <w:numPr>
              <w:ilvl w:val="0"/>
              <w:numId w:val="52"/>
            </w:numPr>
            <w:spacing w:after="0" w:line="240" w:lineRule="auto"/>
            <w:ind w:left="284"/>
            <w:jc w:val="both"/>
            <w:rPr>
              <w:rFonts w:ascii="Times New Roman" w:hAnsi="Times New Roman"/>
              <w:sz w:val="24"/>
              <w:szCs w:val="24"/>
            </w:rPr>
          </w:pPr>
          <w:r w:rsidRPr="00255C45">
            <w:rPr>
              <w:rFonts w:ascii="Times New Roman" w:hAnsi="Times New Roman"/>
              <w:sz w:val="24"/>
              <w:szCs w:val="24"/>
            </w:rPr>
            <w:t>Plazo final de ejecución (incluyendo Prórrogas): 28 meses y 4 días</w:t>
          </w:r>
        </w:p>
        <w:p w14:paraId="3BFEED45" w14:textId="77777777" w:rsidR="00BA7C3F" w:rsidRPr="00255C45" w:rsidRDefault="00BA7C3F" w:rsidP="00E60BAB">
          <w:pPr>
            <w:pStyle w:val="Prrafodelista"/>
            <w:numPr>
              <w:ilvl w:val="0"/>
              <w:numId w:val="52"/>
            </w:numPr>
            <w:spacing w:after="0" w:line="240" w:lineRule="auto"/>
            <w:ind w:left="284"/>
            <w:jc w:val="both"/>
            <w:rPr>
              <w:rFonts w:ascii="Times New Roman" w:hAnsi="Times New Roman"/>
              <w:sz w:val="24"/>
              <w:szCs w:val="24"/>
            </w:rPr>
          </w:pPr>
          <w:r w:rsidRPr="00255C45">
            <w:rPr>
              <w:rFonts w:ascii="Times New Roman" w:hAnsi="Times New Roman"/>
              <w:sz w:val="24"/>
              <w:szCs w:val="24"/>
            </w:rPr>
            <w:t>Modificaciones contractuales: Otrosí No. 1, del 28 de diciembre de 2023, mediante el cual se adicionó y amplió el plazo del contrato VE-629-2022</w:t>
          </w:r>
        </w:p>
        <w:p w14:paraId="3DE13D18" w14:textId="77777777" w:rsidR="00BA7C3F" w:rsidRPr="00255C45" w:rsidRDefault="00BA7C3F" w:rsidP="00E60BAB">
          <w:pPr>
            <w:pStyle w:val="Prrafodelista"/>
            <w:numPr>
              <w:ilvl w:val="0"/>
              <w:numId w:val="52"/>
            </w:numPr>
            <w:spacing w:after="0" w:line="240" w:lineRule="auto"/>
            <w:ind w:left="284"/>
            <w:jc w:val="both"/>
            <w:rPr>
              <w:rFonts w:ascii="Times New Roman" w:hAnsi="Times New Roman"/>
              <w:sz w:val="24"/>
              <w:szCs w:val="24"/>
            </w:rPr>
          </w:pPr>
          <w:r w:rsidRPr="00255C45">
            <w:rPr>
              <w:rFonts w:ascii="Times New Roman" w:hAnsi="Times New Roman"/>
              <w:sz w:val="24"/>
              <w:szCs w:val="24"/>
            </w:rPr>
            <w:t>Estado actual y balance del contrato:  El contrato VE-629-2022 a la fecha se encuentra en etapa de ejecución de los contratos derivados, de acuerdo con la documentación que reposa en el expediente contractual, el balance del contrato es el siguiente:</w:t>
          </w:r>
        </w:p>
        <w:p w14:paraId="04F19112" w14:textId="77777777" w:rsidR="00BA7C3F" w:rsidRPr="00255C45" w:rsidRDefault="00BA7C3F" w:rsidP="00BA7C3F">
          <w:pPr>
            <w:spacing w:after="0" w:line="240" w:lineRule="auto"/>
            <w:jc w:val="both"/>
            <w:rPr>
              <w:rFonts w:ascii="Times New Roman" w:hAnsi="Times New Roman"/>
              <w:sz w:val="24"/>
              <w:szCs w:val="24"/>
            </w:rPr>
          </w:pPr>
        </w:p>
        <w:p w14:paraId="425720BA" w14:textId="77777777" w:rsidR="00BA7C3F" w:rsidRPr="00255C45" w:rsidRDefault="00BA7C3F" w:rsidP="00BA7C3F">
          <w:pPr>
            <w:spacing w:after="0" w:line="240" w:lineRule="auto"/>
            <w:ind w:left="284"/>
            <w:jc w:val="both"/>
            <w:rPr>
              <w:rFonts w:ascii="Times New Roman" w:hAnsi="Times New Roman"/>
              <w:sz w:val="24"/>
              <w:szCs w:val="24"/>
            </w:rPr>
          </w:pPr>
          <w:r w:rsidRPr="00255C45">
            <w:rPr>
              <w:rFonts w:ascii="Times New Roman" w:hAnsi="Times New Roman"/>
              <w:sz w:val="24"/>
              <w:szCs w:val="24"/>
            </w:rPr>
            <w:t>Valores contractuales</w:t>
          </w:r>
        </w:p>
        <w:p w14:paraId="238F5A76" w14:textId="77777777" w:rsidR="00BA7C3F" w:rsidRPr="00255C45" w:rsidRDefault="00BA7C3F" w:rsidP="00BA7C3F">
          <w:pPr>
            <w:spacing w:after="0" w:line="240" w:lineRule="auto"/>
            <w:jc w:val="both"/>
            <w:rPr>
              <w:rFonts w:ascii="Times New Roman" w:hAnsi="Times New Roman"/>
              <w:sz w:val="24"/>
              <w:szCs w:val="24"/>
            </w:rPr>
          </w:pPr>
        </w:p>
        <w:p w14:paraId="4D8E2101" w14:textId="77777777" w:rsidR="00BA7C3F" w:rsidRPr="00255C45" w:rsidRDefault="00BA7C3F" w:rsidP="00BA7C3F">
          <w:pPr>
            <w:spacing w:after="0" w:line="240" w:lineRule="auto"/>
            <w:jc w:val="both"/>
            <w:rPr>
              <w:rFonts w:ascii="Times New Roman" w:hAnsi="Times New Roman"/>
              <w:sz w:val="24"/>
              <w:szCs w:val="24"/>
            </w:rPr>
          </w:pPr>
          <w:r w:rsidRPr="00255C45">
            <w:rPr>
              <w:rFonts w:ascii="Times New Roman" w:hAnsi="Times New Roman"/>
              <w:sz w:val="24"/>
              <w:szCs w:val="24"/>
            </w:rPr>
            <w:t>VALOR INICIAL DEL CONTRATO:   $ 125.209.783.618</w:t>
          </w:r>
        </w:p>
        <w:p w14:paraId="60950FC8" w14:textId="17F81612" w:rsidR="00BA7C3F" w:rsidRPr="00255C45" w:rsidRDefault="00BA7C3F" w:rsidP="00BA7C3F">
          <w:pPr>
            <w:spacing w:after="0" w:line="240" w:lineRule="auto"/>
            <w:jc w:val="both"/>
            <w:rPr>
              <w:rFonts w:ascii="Times New Roman" w:hAnsi="Times New Roman"/>
              <w:sz w:val="24"/>
              <w:szCs w:val="24"/>
            </w:rPr>
          </w:pPr>
          <w:r w:rsidRPr="00255C45">
            <w:rPr>
              <w:rFonts w:ascii="Times New Roman" w:hAnsi="Times New Roman"/>
              <w:sz w:val="24"/>
              <w:szCs w:val="24"/>
            </w:rPr>
            <w:t xml:space="preserve">VALOR Otrosí No. 1:                           </w:t>
          </w:r>
          <w:r w:rsidRPr="00255C45">
            <w:rPr>
              <w:rFonts w:ascii="Times New Roman" w:hAnsi="Times New Roman"/>
              <w:sz w:val="24"/>
              <w:szCs w:val="24"/>
              <w:u w:val="single"/>
            </w:rPr>
            <w:t>-$   11.555.272.663</w:t>
          </w:r>
        </w:p>
        <w:p w14:paraId="518B657D" w14:textId="23736225" w:rsidR="00BA7C3F" w:rsidRPr="00255C45" w:rsidRDefault="00BA7C3F" w:rsidP="00BA7C3F">
          <w:pPr>
            <w:spacing w:after="0" w:line="240" w:lineRule="auto"/>
            <w:jc w:val="both"/>
            <w:rPr>
              <w:rFonts w:ascii="Times New Roman" w:hAnsi="Times New Roman"/>
              <w:sz w:val="24"/>
              <w:szCs w:val="24"/>
            </w:rPr>
          </w:pPr>
          <w:r w:rsidRPr="00255C45">
            <w:rPr>
              <w:rFonts w:ascii="Times New Roman" w:hAnsi="Times New Roman"/>
              <w:sz w:val="24"/>
              <w:szCs w:val="24"/>
            </w:rPr>
            <w:t>VALOR TOTAL DEL CONTRATO:     $ 136.765.056.281</w:t>
          </w:r>
        </w:p>
        <w:p w14:paraId="66DBC3EC" w14:textId="77777777" w:rsidR="00BA7C3F" w:rsidRPr="00255C45" w:rsidRDefault="00BA7C3F" w:rsidP="00BA7C3F">
          <w:pPr>
            <w:spacing w:after="0" w:line="240" w:lineRule="auto"/>
            <w:jc w:val="both"/>
            <w:rPr>
              <w:rFonts w:ascii="Times New Roman" w:hAnsi="Times New Roman"/>
              <w:sz w:val="24"/>
              <w:szCs w:val="24"/>
            </w:rPr>
          </w:pPr>
        </w:p>
        <w:p w14:paraId="72B07FE6" w14:textId="6DCCDA33" w:rsidR="00BA7C3F" w:rsidRDefault="00BA7C3F" w:rsidP="00BA7C3F">
          <w:pPr>
            <w:spacing w:after="0" w:line="240" w:lineRule="auto"/>
            <w:jc w:val="both"/>
            <w:rPr>
              <w:rFonts w:ascii="Times New Roman" w:hAnsi="Times New Roman"/>
              <w:sz w:val="24"/>
              <w:szCs w:val="24"/>
            </w:rPr>
          </w:pPr>
          <w:r w:rsidRPr="00255C45">
            <w:rPr>
              <w:rFonts w:ascii="Times New Roman" w:hAnsi="Times New Roman"/>
              <w:sz w:val="24"/>
              <w:szCs w:val="24"/>
            </w:rPr>
            <w:t>Balance del contrato</w:t>
          </w:r>
        </w:p>
        <w:p w14:paraId="1A240026" w14:textId="77777777" w:rsidR="00735E03" w:rsidRPr="00255C45" w:rsidRDefault="00735E03" w:rsidP="00BA7C3F">
          <w:pPr>
            <w:spacing w:after="0" w:line="240" w:lineRule="auto"/>
            <w:jc w:val="both"/>
            <w:rPr>
              <w:rFonts w:ascii="Times New Roman" w:hAnsi="Times New Roman"/>
              <w:sz w:val="24"/>
              <w:szCs w:val="24"/>
            </w:rPr>
          </w:pPr>
        </w:p>
        <w:tbl>
          <w:tblPr>
            <w:tblW w:w="5000" w:type="pct"/>
            <w:tblCellMar>
              <w:left w:w="70" w:type="dxa"/>
              <w:right w:w="70" w:type="dxa"/>
            </w:tblCellMar>
            <w:tblLook w:val="04A0" w:firstRow="1" w:lastRow="0" w:firstColumn="1" w:lastColumn="0" w:noHBand="0" w:noVBand="1"/>
          </w:tblPr>
          <w:tblGrid>
            <w:gridCol w:w="4719"/>
            <w:gridCol w:w="2948"/>
            <w:gridCol w:w="1292"/>
          </w:tblGrid>
          <w:tr w:rsidR="00735E03" w:rsidRPr="00090689" w14:paraId="430B101F" w14:textId="77777777" w:rsidTr="00E756EA">
            <w:trPr>
              <w:trHeight w:val="335"/>
            </w:trPr>
            <w:tc>
              <w:tcPr>
                <w:tcW w:w="263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1305B98" w14:textId="77777777" w:rsidR="00735E03" w:rsidRPr="00E756EA" w:rsidRDefault="00735E03" w:rsidP="00E756EA">
                <w:pPr>
                  <w:spacing w:after="0" w:line="240" w:lineRule="auto"/>
                  <w:jc w:val="center"/>
                  <w:rPr>
                    <w:rFonts w:ascii="Times New Roman" w:eastAsia="Times New Roman" w:hAnsi="Times New Roman"/>
                    <w:b/>
                    <w:color w:val="000000"/>
                    <w:sz w:val="18"/>
                    <w:szCs w:val="18"/>
                    <w:lang w:eastAsia="es-CO"/>
                  </w:rPr>
                </w:pPr>
                <w:r w:rsidRPr="00E756EA">
                  <w:rPr>
                    <w:rFonts w:ascii="Times New Roman" w:eastAsia="Times New Roman" w:hAnsi="Times New Roman"/>
                    <w:b/>
                    <w:color w:val="000000"/>
                    <w:sz w:val="18"/>
                    <w:szCs w:val="18"/>
                    <w:lang w:eastAsia="es-CO"/>
                  </w:rPr>
                  <w:t>DETALLE</w:t>
                </w:r>
              </w:p>
            </w:tc>
            <w:tc>
              <w:tcPr>
                <w:tcW w:w="1645" w:type="pct"/>
                <w:tcBorders>
                  <w:top w:val="single" w:sz="8" w:space="0" w:color="auto"/>
                  <w:left w:val="nil"/>
                  <w:bottom w:val="single" w:sz="8" w:space="0" w:color="auto"/>
                  <w:right w:val="single" w:sz="8" w:space="0" w:color="auto"/>
                </w:tcBorders>
                <w:shd w:val="clear" w:color="auto" w:fill="auto"/>
                <w:vAlign w:val="center"/>
                <w:hideMark/>
              </w:tcPr>
              <w:p w14:paraId="57369036" w14:textId="2CE1DFF1" w:rsidR="00735E03" w:rsidRPr="00E756EA" w:rsidRDefault="00735E03" w:rsidP="00E756EA">
                <w:pPr>
                  <w:spacing w:after="0" w:line="240" w:lineRule="auto"/>
                  <w:jc w:val="center"/>
                  <w:rPr>
                    <w:rFonts w:ascii="Times New Roman" w:eastAsia="Times New Roman" w:hAnsi="Times New Roman"/>
                    <w:b/>
                    <w:color w:val="000000"/>
                    <w:sz w:val="18"/>
                    <w:szCs w:val="18"/>
                    <w:lang w:eastAsia="es-CO"/>
                  </w:rPr>
                </w:pPr>
                <w:r w:rsidRPr="00E756EA">
                  <w:rPr>
                    <w:rFonts w:ascii="Times New Roman" w:eastAsia="Times New Roman" w:hAnsi="Times New Roman"/>
                    <w:b/>
                    <w:color w:val="000000"/>
                    <w:sz w:val="18"/>
                    <w:szCs w:val="18"/>
                    <w:lang w:eastAsia="es-CO"/>
                  </w:rPr>
                  <w:t>VALOR</w:t>
                </w:r>
              </w:p>
            </w:tc>
            <w:tc>
              <w:tcPr>
                <w:tcW w:w="721" w:type="pct"/>
                <w:tcBorders>
                  <w:top w:val="single" w:sz="8" w:space="0" w:color="auto"/>
                  <w:left w:val="nil"/>
                  <w:bottom w:val="single" w:sz="8" w:space="0" w:color="auto"/>
                  <w:right w:val="single" w:sz="8" w:space="0" w:color="auto"/>
                </w:tcBorders>
                <w:shd w:val="clear" w:color="auto" w:fill="auto"/>
              </w:tcPr>
              <w:p w14:paraId="63475815" w14:textId="77777777" w:rsidR="00735E03" w:rsidRPr="00E756EA" w:rsidRDefault="00735E03" w:rsidP="00E756EA">
                <w:pPr>
                  <w:spacing w:after="0" w:line="240" w:lineRule="auto"/>
                  <w:jc w:val="center"/>
                  <w:rPr>
                    <w:rFonts w:ascii="Times New Roman" w:eastAsia="Times New Roman" w:hAnsi="Times New Roman"/>
                    <w:b/>
                    <w:color w:val="000000"/>
                    <w:sz w:val="18"/>
                    <w:szCs w:val="18"/>
                    <w:lang w:eastAsia="es-CO"/>
                  </w:rPr>
                </w:pPr>
                <w:r w:rsidRPr="00E756EA">
                  <w:rPr>
                    <w:rFonts w:ascii="Times New Roman" w:eastAsia="Times New Roman" w:hAnsi="Times New Roman"/>
                    <w:b/>
                    <w:color w:val="000000"/>
                    <w:sz w:val="18"/>
                    <w:szCs w:val="18"/>
                    <w:lang w:eastAsia="es-CO"/>
                  </w:rPr>
                  <w:t>NOTAS</w:t>
                </w:r>
              </w:p>
            </w:tc>
          </w:tr>
          <w:tr w:rsidR="00BA7C3F" w:rsidRPr="00324BEB" w14:paraId="40073A15" w14:textId="77777777" w:rsidTr="00324BEB">
            <w:trPr>
              <w:trHeight w:val="335"/>
            </w:trPr>
            <w:tc>
              <w:tcPr>
                <w:tcW w:w="2634" w:type="pct"/>
                <w:tcBorders>
                  <w:top w:val="single" w:sz="8" w:space="0" w:color="auto"/>
                  <w:left w:val="single" w:sz="8" w:space="0" w:color="auto"/>
                  <w:bottom w:val="single" w:sz="8" w:space="0" w:color="auto"/>
                  <w:right w:val="single" w:sz="8" w:space="0" w:color="auto"/>
                </w:tcBorders>
                <w:shd w:val="clear" w:color="000000" w:fill="E0E0E0"/>
                <w:vAlign w:val="center"/>
                <w:hideMark/>
              </w:tcPr>
              <w:p w14:paraId="21A55F05" w14:textId="77777777" w:rsidR="00BA7C3F" w:rsidRPr="00324BEB" w:rsidRDefault="00BA7C3F">
                <w:pPr>
                  <w:spacing w:after="0" w:line="240" w:lineRule="auto"/>
                  <w:rPr>
                    <w:rFonts w:ascii="Times New Roman" w:eastAsia="Times New Roman" w:hAnsi="Times New Roman"/>
                    <w:b/>
                    <w:color w:val="000000"/>
                    <w:sz w:val="18"/>
                    <w:szCs w:val="18"/>
                    <w:lang w:eastAsia="es-CO"/>
                  </w:rPr>
                </w:pPr>
                <w:r w:rsidRPr="00324BEB">
                  <w:rPr>
                    <w:rFonts w:ascii="Times New Roman" w:eastAsia="Times New Roman" w:hAnsi="Times New Roman"/>
                    <w:b/>
                    <w:color w:val="000000"/>
                    <w:sz w:val="18"/>
                    <w:szCs w:val="18"/>
                    <w:lang w:eastAsia="es-CO"/>
                  </w:rPr>
                  <w:t>VALOR INICIAL DEL CONTRATO/CONVENIO:</w:t>
                </w:r>
              </w:p>
            </w:tc>
            <w:tc>
              <w:tcPr>
                <w:tcW w:w="1645" w:type="pct"/>
                <w:tcBorders>
                  <w:top w:val="single" w:sz="8" w:space="0" w:color="auto"/>
                  <w:left w:val="nil"/>
                  <w:bottom w:val="single" w:sz="8" w:space="0" w:color="auto"/>
                  <w:right w:val="single" w:sz="8" w:space="0" w:color="auto"/>
                </w:tcBorders>
                <w:shd w:val="clear" w:color="000000" w:fill="E0E0E0"/>
                <w:vAlign w:val="center"/>
                <w:hideMark/>
              </w:tcPr>
              <w:p w14:paraId="603B0893" w14:textId="77777777" w:rsidR="00BA7C3F" w:rsidRPr="00324BEB" w:rsidRDefault="00BA7C3F">
                <w:pPr>
                  <w:spacing w:after="0" w:line="240" w:lineRule="auto"/>
                  <w:jc w:val="right"/>
                  <w:rPr>
                    <w:rFonts w:ascii="Times New Roman" w:eastAsia="Times New Roman" w:hAnsi="Times New Roman"/>
                    <w:color w:val="000000"/>
                    <w:sz w:val="18"/>
                    <w:szCs w:val="18"/>
                    <w:lang w:eastAsia="es-CO"/>
                  </w:rPr>
                </w:pPr>
                <w:r w:rsidRPr="00324BEB">
                  <w:rPr>
                    <w:rFonts w:ascii="Times New Roman" w:eastAsia="Times New Roman" w:hAnsi="Times New Roman"/>
                    <w:color w:val="000000"/>
                    <w:sz w:val="18"/>
                    <w:szCs w:val="18"/>
                    <w:lang w:eastAsia="es-CO"/>
                  </w:rPr>
                  <w:t>$ 125.209.783.618</w:t>
                </w:r>
              </w:p>
            </w:tc>
            <w:tc>
              <w:tcPr>
                <w:tcW w:w="721" w:type="pct"/>
                <w:tcBorders>
                  <w:top w:val="single" w:sz="8" w:space="0" w:color="auto"/>
                  <w:left w:val="nil"/>
                  <w:bottom w:val="single" w:sz="8" w:space="0" w:color="auto"/>
                  <w:right w:val="single" w:sz="8" w:space="0" w:color="auto"/>
                </w:tcBorders>
                <w:shd w:val="clear" w:color="000000" w:fill="E0E0E0"/>
              </w:tcPr>
              <w:p w14:paraId="53C4CD5D" w14:textId="77777777" w:rsidR="00BA7C3F" w:rsidRPr="00324BEB" w:rsidRDefault="00BA7C3F">
                <w:pPr>
                  <w:spacing w:after="0" w:line="240" w:lineRule="auto"/>
                  <w:jc w:val="center"/>
                  <w:rPr>
                    <w:rFonts w:ascii="Times New Roman" w:eastAsia="Times New Roman" w:hAnsi="Times New Roman"/>
                    <w:color w:val="000000"/>
                    <w:sz w:val="18"/>
                    <w:szCs w:val="18"/>
                    <w:lang w:eastAsia="es-CO"/>
                  </w:rPr>
                </w:pPr>
                <w:r w:rsidRPr="00324BEB">
                  <w:rPr>
                    <w:rFonts w:ascii="Times New Roman" w:eastAsia="Times New Roman" w:hAnsi="Times New Roman"/>
                    <w:color w:val="000000"/>
                    <w:sz w:val="18"/>
                    <w:szCs w:val="18"/>
                    <w:lang w:eastAsia="es-CO"/>
                  </w:rPr>
                  <w:t>1</w:t>
                </w:r>
              </w:p>
            </w:tc>
          </w:tr>
          <w:tr w:rsidR="00BA7C3F" w:rsidRPr="00324BEB" w14:paraId="02730B22" w14:textId="77777777" w:rsidTr="00324BEB">
            <w:trPr>
              <w:trHeight w:val="176"/>
            </w:trPr>
            <w:tc>
              <w:tcPr>
                <w:tcW w:w="2634" w:type="pct"/>
                <w:tcBorders>
                  <w:top w:val="nil"/>
                  <w:left w:val="single" w:sz="8" w:space="0" w:color="auto"/>
                  <w:bottom w:val="single" w:sz="8" w:space="0" w:color="auto"/>
                  <w:right w:val="single" w:sz="8" w:space="0" w:color="auto"/>
                </w:tcBorders>
                <w:shd w:val="clear" w:color="auto" w:fill="auto"/>
                <w:vAlign w:val="center"/>
                <w:hideMark/>
              </w:tcPr>
              <w:p w14:paraId="704C148A" w14:textId="77777777" w:rsidR="00BA7C3F" w:rsidRPr="00324BEB" w:rsidRDefault="00BA7C3F">
                <w:pPr>
                  <w:spacing w:after="0" w:line="240" w:lineRule="auto"/>
                  <w:rPr>
                    <w:rFonts w:ascii="Times New Roman" w:eastAsia="Times New Roman" w:hAnsi="Times New Roman"/>
                    <w:b/>
                    <w:color w:val="000000"/>
                    <w:sz w:val="18"/>
                    <w:szCs w:val="18"/>
                    <w:lang w:eastAsia="es-CO"/>
                  </w:rPr>
                </w:pPr>
                <w:r w:rsidRPr="00324BEB">
                  <w:rPr>
                    <w:rFonts w:ascii="Times New Roman" w:eastAsia="Times New Roman" w:hAnsi="Times New Roman"/>
                    <w:b/>
                    <w:color w:val="000000"/>
                    <w:sz w:val="18"/>
                    <w:szCs w:val="18"/>
                    <w:lang w:eastAsia="es-CO"/>
                  </w:rPr>
                  <w:t>VALOR ADICION:</w:t>
                </w:r>
              </w:p>
            </w:tc>
            <w:tc>
              <w:tcPr>
                <w:tcW w:w="1645" w:type="pct"/>
                <w:tcBorders>
                  <w:top w:val="nil"/>
                  <w:left w:val="nil"/>
                  <w:bottom w:val="single" w:sz="8" w:space="0" w:color="auto"/>
                  <w:right w:val="single" w:sz="8" w:space="0" w:color="auto"/>
                </w:tcBorders>
                <w:shd w:val="clear" w:color="auto" w:fill="auto"/>
                <w:vAlign w:val="center"/>
                <w:hideMark/>
              </w:tcPr>
              <w:p w14:paraId="31BCD4F7" w14:textId="77777777" w:rsidR="00BA7C3F" w:rsidRPr="00324BEB" w:rsidRDefault="00BA7C3F">
                <w:pPr>
                  <w:spacing w:after="0" w:line="240" w:lineRule="auto"/>
                  <w:jc w:val="right"/>
                  <w:rPr>
                    <w:rFonts w:ascii="Times New Roman" w:eastAsia="Times New Roman" w:hAnsi="Times New Roman"/>
                    <w:color w:val="000000"/>
                    <w:sz w:val="18"/>
                    <w:szCs w:val="18"/>
                    <w:lang w:eastAsia="es-CO"/>
                  </w:rPr>
                </w:pPr>
                <w:r w:rsidRPr="00324BEB">
                  <w:rPr>
                    <w:rFonts w:ascii="Times New Roman" w:eastAsia="Times New Roman" w:hAnsi="Times New Roman"/>
                    <w:color w:val="000000"/>
                    <w:sz w:val="18"/>
                    <w:szCs w:val="18"/>
                    <w:lang w:eastAsia="es-CO"/>
                  </w:rPr>
                  <w:t>$ 11.555.272.663</w:t>
                </w:r>
              </w:p>
            </w:tc>
            <w:tc>
              <w:tcPr>
                <w:tcW w:w="721" w:type="pct"/>
                <w:tcBorders>
                  <w:top w:val="nil"/>
                  <w:left w:val="nil"/>
                  <w:bottom w:val="single" w:sz="8" w:space="0" w:color="auto"/>
                  <w:right w:val="single" w:sz="8" w:space="0" w:color="auto"/>
                </w:tcBorders>
              </w:tcPr>
              <w:p w14:paraId="3442D1B0" w14:textId="77777777" w:rsidR="00BA7C3F" w:rsidRPr="00324BEB" w:rsidRDefault="00BA7C3F">
                <w:pPr>
                  <w:spacing w:after="0" w:line="240" w:lineRule="auto"/>
                  <w:jc w:val="center"/>
                  <w:rPr>
                    <w:rFonts w:ascii="Times New Roman" w:eastAsia="Times New Roman" w:hAnsi="Times New Roman"/>
                    <w:color w:val="000000"/>
                    <w:sz w:val="18"/>
                    <w:szCs w:val="18"/>
                    <w:lang w:eastAsia="es-CO"/>
                  </w:rPr>
                </w:pPr>
                <w:r w:rsidRPr="00324BEB">
                  <w:rPr>
                    <w:rFonts w:ascii="Times New Roman" w:eastAsia="Times New Roman" w:hAnsi="Times New Roman"/>
                    <w:color w:val="000000"/>
                    <w:sz w:val="18"/>
                    <w:szCs w:val="18"/>
                    <w:lang w:eastAsia="es-CO"/>
                  </w:rPr>
                  <w:t>2</w:t>
                </w:r>
              </w:p>
            </w:tc>
          </w:tr>
          <w:tr w:rsidR="00BA7C3F" w:rsidRPr="00324BEB" w14:paraId="4EED114D" w14:textId="77777777" w:rsidTr="00324BEB">
            <w:trPr>
              <w:trHeight w:val="385"/>
            </w:trPr>
            <w:tc>
              <w:tcPr>
                <w:tcW w:w="2634" w:type="pct"/>
                <w:tcBorders>
                  <w:top w:val="nil"/>
                  <w:left w:val="single" w:sz="8" w:space="0" w:color="auto"/>
                  <w:bottom w:val="single" w:sz="8" w:space="0" w:color="auto"/>
                  <w:right w:val="single" w:sz="8" w:space="0" w:color="auto"/>
                </w:tcBorders>
                <w:shd w:val="clear" w:color="000000" w:fill="E0E0E0"/>
                <w:vAlign w:val="center"/>
                <w:hideMark/>
              </w:tcPr>
              <w:p w14:paraId="127EC1B0" w14:textId="77777777" w:rsidR="00BA7C3F" w:rsidRPr="00324BEB" w:rsidRDefault="00BA7C3F">
                <w:pPr>
                  <w:spacing w:after="0" w:line="240" w:lineRule="auto"/>
                  <w:rPr>
                    <w:rFonts w:ascii="Times New Roman" w:eastAsia="Times New Roman" w:hAnsi="Times New Roman"/>
                    <w:b/>
                    <w:color w:val="000000"/>
                    <w:sz w:val="18"/>
                    <w:szCs w:val="18"/>
                    <w:lang w:eastAsia="es-CO"/>
                  </w:rPr>
                </w:pPr>
                <w:r w:rsidRPr="00324BEB">
                  <w:rPr>
                    <w:rFonts w:ascii="Times New Roman" w:eastAsia="Times New Roman" w:hAnsi="Times New Roman"/>
                    <w:b/>
                    <w:color w:val="000000"/>
                    <w:sz w:val="18"/>
                    <w:szCs w:val="18"/>
                    <w:lang w:eastAsia="es-CO"/>
                  </w:rPr>
                  <w:t>VALOR TOTAL DEL CONTRATO/CONVENIO:</w:t>
                </w:r>
              </w:p>
            </w:tc>
            <w:tc>
              <w:tcPr>
                <w:tcW w:w="1645" w:type="pct"/>
                <w:tcBorders>
                  <w:top w:val="nil"/>
                  <w:left w:val="nil"/>
                  <w:bottom w:val="single" w:sz="8" w:space="0" w:color="auto"/>
                  <w:right w:val="single" w:sz="8" w:space="0" w:color="auto"/>
                </w:tcBorders>
                <w:shd w:val="clear" w:color="000000" w:fill="E0E0E0"/>
                <w:vAlign w:val="center"/>
                <w:hideMark/>
              </w:tcPr>
              <w:p w14:paraId="23D94878" w14:textId="77777777" w:rsidR="00BA7C3F" w:rsidRPr="00324BEB" w:rsidRDefault="00BA7C3F">
                <w:pPr>
                  <w:spacing w:after="0" w:line="240" w:lineRule="auto"/>
                  <w:jc w:val="right"/>
                  <w:rPr>
                    <w:rFonts w:ascii="Times New Roman" w:eastAsia="Times New Roman" w:hAnsi="Times New Roman"/>
                    <w:b/>
                    <w:color w:val="000000"/>
                    <w:sz w:val="18"/>
                    <w:szCs w:val="18"/>
                    <w:lang w:eastAsia="es-CO"/>
                  </w:rPr>
                </w:pPr>
                <w:r w:rsidRPr="00324BEB">
                  <w:rPr>
                    <w:rFonts w:ascii="Times New Roman" w:eastAsia="Times New Roman" w:hAnsi="Times New Roman"/>
                    <w:b/>
                    <w:color w:val="000000"/>
                    <w:sz w:val="18"/>
                    <w:szCs w:val="18"/>
                    <w:lang w:eastAsia="es-CO"/>
                  </w:rPr>
                  <w:t>$ 136.765.056.281</w:t>
                </w:r>
              </w:p>
            </w:tc>
            <w:tc>
              <w:tcPr>
                <w:tcW w:w="721" w:type="pct"/>
                <w:tcBorders>
                  <w:top w:val="nil"/>
                  <w:left w:val="nil"/>
                  <w:bottom w:val="single" w:sz="8" w:space="0" w:color="auto"/>
                  <w:right w:val="single" w:sz="8" w:space="0" w:color="auto"/>
                </w:tcBorders>
                <w:shd w:val="clear" w:color="000000" w:fill="E0E0E0"/>
              </w:tcPr>
              <w:p w14:paraId="61BDF1AB" w14:textId="77777777" w:rsidR="00BA7C3F" w:rsidRPr="00324BEB" w:rsidRDefault="00BA7C3F">
                <w:pPr>
                  <w:spacing w:after="0" w:line="240" w:lineRule="auto"/>
                  <w:jc w:val="right"/>
                  <w:rPr>
                    <w:rFonts w:ascii="Times New Roman" w:eastAsia="Times New Roman" w:hAnsi="Times New Roman"/>
                    <w:b/>
                    <w:color w:val="000000"/>
                    <w:sz w:val="18"/>
                    <w:szCs w:val="18"/>
                    <w:lang w:eastAsia="es-CO"/>
                  </w:rPr>
                </w:pPr>
              </w:p>
            </w:tc>
          </w:tr>
          <w:tr w:rsidR="00BA7C3F" w:rsidRPr="00324BEB" w14:paraId="6A1AF053" w14:textId="77777777" w:rsidTr="00324BEB">
            <w:trPr>
              <w:trHeight w:val="335"/>
            </w:trPr>
            <w:tc>
              <w:tcPr>
                <w:tcW w:w="2634" w:type="pct"/>
                <w:tcBorders>
                  <w:top w:val="nil"/>
                  <w:left w:val="single" w:sz="8" w:space="0" w:color="auto"/>
                  <w:bottom w:val="single" w:sz="8" w:space="0" w:color="auto"/>
                  <w:right w:val="single" w:sz="8" w:space="0" w:color="auto"/>
                </w:tcBorders>
                <w:shd w:val="clear" w:color="auto" w:fill="auto"/>
                <w:vAlign w:val="center"/>
                <w:hideMark/>
              </w:tcPr>
              <w:p w14:paraId="77BD8B30" w14:textId="77777777" w:rsidR="00BA7C3F" w:rsidRPr="00324BEB" w:rsidRDefault="00BA7C3F">
                <w:pPr>
                  <w:spacing w:after="0" w:line="240" w:lineRule="auto"/>
                  <w:rPr>
                    <w:rFonts w:ascii="Times New Roman" w:eastAsia="Times New Roman" w:hAnsi="Times New Roman"/>
                    <w:b/>
                    <w:color w:val="000000"/>
                    <w:sz w:val="18"/>
                    <w:szCs w:val="18"/>
                    <w:lang w:eastAsia="es-CO"/>
                  </w:rPr>
                </w:pPr>
                <w:r w:rsidRPr="00324BEB">
                  <w:rPr>
                    <w:rFonts w:ascii="Times New Roman" w:eastAsia="Times New Roman" w:hAnsi="Times New Roman"/>
                    <w:b/>
                    <w:color w:val="000000"/>
                    <w:sz w:val="18"/>
                    <w:szCs w:val="18"/>
                    <w:lang w:eastAsia="es-CO"/>
                  </w:rPr>
                  <w:t>PAGOS EFECTUADOS AL CONTRATISTA/ASOCIADO:</w:t>
                </w:r>
              </w:p>
            </w:tc>
            <w:tc>
              <w:tcPr>
                <w:tcW w:w="1645" w:type="pct"/>
                <w:tcBorders>
                  <w:top w:val="nil"/>
                  <w:left w:val="nil"/>
                  <w:bottom w:val="single" w:sz="8" w:space="0" w:color="auto"/>
                  <w:right w:val="single" w:sz="8" w:space="0" w:color="auto"/>
                </w:tcBorders>
                <w:shd w:val="clear" w:color="auto" w:fill="auto"/>
                <w:vAlign w:val="center"/>
                <w:hideMark/>
              </w:tcPr>
              <w:p w14:paraId="3D91B6EF" w14:textId="77777777" w:rsidR="00BA7C3F" w:rsidRPr="00324BEB" w:rsidRDefault="00BA7C3F">
                <w:pPr>
                  <w:spacing w:after="0" w:line="240" w:lineRule="auto"/>
                  <w:jc w:val="right"/>
                  <w:rPr>
                    <w:rFonts w:ascii="Times New Roman" w:eastAsia="Times New Roman" w:hAnsi="Times New Roman"/>
                    <w:color w:val="000000"/>
                    <w:sz w:val="18"/>
                    <w:szCs w:val="18"/>
                    <w:lang w:eastAsia="es-CO"/>
                  </w:rPr>
                </w:pPr>
                <w:r w:rsidRPr="00324BEB">
                  <w:rPr>
                    <w:rFonts w:ascii="Times New Roman" w:eastAsia="Times New Roman" w:hAnsi="Times New Roman"/>
                    <w:color w:val="000000"/>
                    <w:sz w:val="18"/>
                    <w:szCs w:val="18"/>
                    <w:lang w:eastAsia="es-CO"/>
                  </w:rPr>
                  <w:t>$ 29.367.030.426</w:t>
                </w:r>
              </w:p>
            </w:tc>
            <w:tc>
              <w:tcPr>
                <w:tcW w:w="721" w:type="pct"/>
                <w:tcBorders>
                  <w:top w:val="nil"/>
                  <w:left w:val="nil"/>
                  <w:bottom w:val="single" w:sz="8" w:space="0" w:color="auto"/>
                  <w:right w:val="single" w:sz="8" w:space="0" w:color="auto"/>
                </w:tcBorders>
              </w:tcPr>
              <w:p w14:paraId="1A23CA77" w14:textId="77777777" w:rsidR="00BA7C3F" w:rsidRPr="00324BEB" w:rsidRDefault="00BA7C3F">
                <w:pPr>
                  <w:spacing w:after="0" w:line="240" w:lineRule="auto"/>
                  <w:jc w:val="center"/>
                  <w:rPr>
                    <w:rFonts w:ascii="Times New Roman" w:eastAsia="Times New Roman" w:hAnsi="Times New Roman"/>
                    <w:color w:val="000000"/>
                    <w:sz w:val="18"/>
                    <w:szCs w:val="18"/>
                    <w:lang w:eastAsia="es-CO"/>
                  </w:rPr>
                </w:pPr>
                <w:r w:rsidRPr="00324BEB">
                  <w:rPr>
                    <w:rFonts w:ascii="Times New Roman" w:eastAsia="Times New Roman" w:hAnsi="Times New Roman"/>
                    <w:color w:val="000000"/>
                    <w:sz w:val="18"/>
                    <w:szCs w:val="18"/>
                    <w:lang w:eastAsia="es-CO"/>
                  </w:rPr>
                  <w:t>3</w:t>
                </w:r>
              </w:p>
            </w:tc>
          </w:tr>
          <w:tr w:rsidR="00BA7C3F" w:rsidRPr="00324BEB" w14:paraId="2EFBD838" w14:textId="77777777" w:rsidTr="00324BEB">
            <w:trPr>
              <w:trHeight w:val="310"/>
            </w:trPr>
            <w:tc>
              <w:tcPr>
                <w:tcW w:w="2634" w:type="pct"/>
                <w:tcBorders>
                  <w:top w:val="nil"/>
                  <w:left w:val="single" w:sz="8" w:space="0" w:color="auto"/>
                  <w:bottom w:val="single" w:sz="8" w:space="0" w:color="auto"/>
                  <w:right w:val="single" w:sz="8" w:space="0" w:color="auto"/>
                </w:tcBorders>
                <w:shd w:val="clear" w:color="000000" w:fill="D9D9D9"/>
                <w:vAlign w:val="center"/>
                <w:hideMark/>
              </w:tcPr>
              <w:p w14:paraId="268289BA" w14:textId="5F8B560D" w:rsidR="00BA7C3F" w:rsidRPr="00324BEB" w:rsidRDefault="00BA7C3F">
                <w:pPr>
                  <w:spacing w:after="0" w:line="240" w:lineRule="auto"/>
                  <w:rPr>
                    <w:rFonts w:ascii="Times New Roman" w:eastAsia="Times New Roman" w:hAnsi="Times New Roman"/>
                    <w:b/>
                    <w:color w:val="000000"/>
                    <w:sz w:val="18"/>
                    <w:szCs w:val="18"/>
                    <w:lang w:eastAsia="es-CO"/>
                  </w:rPr>
                </w:pPr>
                <w:r w:rsidRPr="00324BEB">
                  <w:rPr>
                    <w:rFonts w:ascii="Times New Roman" w:eastAsia="Times New Roman" w:hAnsi="Times New Roman"/>
                    <w:b/>
                    <w:color w:val="000000"/>
                    <w:sz w:val="18"/>
                    <w:szCs w:val="18"/>
                    <w:lang w:eastAsia="es-CO"/>
                  </w:rPr>
                  <w:t xml:space="preserve">VALOR NO EJECUTADO A FAVOR DE LA ENTIDAD: </w:t>
                </w:r>
              </w:p>
            </w:tc>
            <w:tc>
              <w:tcPr>
                <w:tcW w:w="1645" w:type="pct"/>
                <w:tcBorders>
                  <w:top w:val="nil"/>
                  <w:left w:val="nil"/>
                  <w:bottom w:val="single" w:sz="8" w:space="0" w:color="auto"/>
                  <w:right w:val="single" w:sz="8" w:space="0" w:color="auto"/>
                </w:tcBorders>
                <w:shd w:val="clear" w:color="000000" w:fill="D9D9D9"/>
                <w:vAlign w:val="center"/>
                <w:hideMark/>
              </w:tcPr>
              <w:p w14:paraId="78EA7BC9" w14:textId="77777777" w:rsidR="00BA7C3F" w:rsidRPr="00324BEB" w:rsidRDefault="00BA7C3F">
                <w:pPr>
                  <w:spacing w:after="0" w:line="240" w:lineRule="auto"/>
                  <w:jc w:val="right"/>
                  <w:rPr>
                    <w:rFonts w:ascii="Times New Roman" w:eastAsia="Times New Roman" w:hAnsi="Times New Roman"/>
                    <w:b/>
                    <w:color w:val="000000"/>
                    <w:sz w:val="18"/>
                    <w:szCs w:val="18"/>
                    <w:lang w:eastAsia="es-CO"/>
                  </w:rPr>
                </w:pPr>
                <w:r w:rsidRPr="00324BEB">
                  <w:rPr>
                    <w:rFonts w:ascii="Times New Roman" w:eastAsia="Times New Roman" w:hAnsi="Times New Roman"/>
                    <w:b/>
                    <w:color w:val="000000"/>
                    <w:sz w:val="18"/>
                    <w:szCs w:val="18"/>
                    <w:lang w:eastAsia="es-CO"/>
                  </w:rPr>
                  <w:t>$ 107.398.025.856</w:t>
                </w:r>
              </w:p>
            </w:tc>
            <w:tc>
              <w:tcPr>
                <w:tcW w:w="721" w:type="pct"/>
                <w:tcBorders>
                  <w:top w:val="nil"/>
                  <w:left w:val="nil"/>
                  <w:bottom w:val="single" w:sz="8" w:space="0" w:color="auto"/>
                  <w:right w:val="single" w:sz="8" w:space="0" w:color="auto"/>
                </w:tcBorders>
                <w:shd w:val="clear" w:color="000000" w:fill="D9D9D9"/>
              </w:tcPr>
              <w:p w14:paraId="569BB857" w14:textId="77777777" w:rsidR="00BA7C3F" w:rsidRPr="00324BEB" w:rsidRDefault="00BA7C3F">
                <w:pPr>
                  <w:spacing w:after="0" w:line="240" w:lineRule="auto"/>
                  <w:jc w:val="center"/>
                  <w:rPr>
                    <w:rFonts w:ascii="Times New Roman" w:eastAsia="Times New Roman" w:hAnsi="Times New Roman"/>
                    <w:color w:val="000000"/>
                    <w:sz w:val="18"/>
                    <w:szCs w:val="18"/>
                    <w:lang w:eastAsia="es-CO"/>
                  </w:rPr>
                </w:pPr>
                <w:r w:rsidRPr="00324BEB">
                  <w:rPr>
                    <w:rFonts w:ascii="Times New Roman" w:eastAsia="Times New Roman" w:hAnsi="Times New Roman"/>
                    <w:color w:val="000000"/>
                    <w:sz w:val="18"/>
                    <w:szCs w:val="18"/>
                    <w:lang w:eastAsia="es-CO"/>
                  </w:rPr>
                  <w:t>4</w:t>
                </w:r>
              </w:p>
            </w:tc>
          </w:tr>
          <w:tr w:rsidR="00BA7C3F" w:rsidRPr="00324BEB" w14:paraId="0CC64277" w14:textId="77777777" w:rsidTr="00324BEB">
            <w:trPr>
              <w:trHeight w:val="368"/>
            </w:trPr>
            <w:tc>
              <w:tcPr>
                <w:tcW w:w="2634" w:type="pct"/>
                <w:tcBorders>
                  <w:top w:val="nil"/>
                  <w:left w:val="single" w:sz="8" w:space="0" w:color="auto"/>
                  <w:bottom w:val="single" w:sz="8" w:space="0" w:color="auto"/>
                  <w:right w:val="single" w:sz="8" w:space="0" w:color="auto"/>
                </w:tcBorders>
                <w:shd w:val="clear" w:color="auto" w:fill="auto"/>
                <w:vAlign w:val="center"/>
                <w:hideMark/>
              </w:tcPr>
              <w:p w14:paraId="0EA2A46E" w14:textId="77777777" w:rsidR="00BA7C3F" w:rsidRPr="00324BEB" w:rsidRDefault="00BA7C3F">
                <w:pPr>
                  <w:spacing w:after="0" w:line="240" w:lineRule="auto"/>
                  <w:rPr>
                    <w:rFonts w:ascii="Times New Roman" w:eastAsia="Times New Roman" w:hAnsi="Times New Roman"/>
                    <w:b/>
                    <w:color w:val="000000"/>
                    <w:sz w:val="18"/>
                    <w:szCs w:val="18"/>
                    <w:lang w:eastAsia="es-CO"/>
                  </w:rPr>
                </w:pPr>
                <w:r w:rsidRPr="00324BEB">
                  <w:rPr>
                    <w:rFonts w:ascii="Times New Roman" w:eastAsia="Times New Roman" w:hAnsi="Times New Roman"/>
                    <w:b/>
                    <w:color w:val="000000"/>
                    <w:sz w:val="18"/>
                    <w:szCs w:val="18"/>
                    <w:lang w:eastAsia="es-CO"/>
                  </w:rPr>
                  <w:t>SALDO A FAVOR DEL CONTRATISTA/ASOCIADO:</w:t>
                </w:r>
              </w:p>
            </w:tc>
            <w:tc>
              <w:tcPr>
                <w:tcW w:w="1645" w:type="pct"/>
                <w:tcBorders>
                  <w:top w:val="nil"/>
                  <w:left w:val="nil"/>
                  <w:bottom w:val="single" w:sz="8" w:space="0" w:color="auto"/>
                  <w:right w:val="single" w:sz="8" w:space="0" w:color="auto"/>
                </w:tcBorders>
                <w:shd w:val="clear" w:color="auto" w:fill="auto"/>
                <w:vAlign w:val="center"/>
                <w:hideMark/>
              </w:tcPr>
              <w:p w14:paraId="108AB966" w14:textId="77777777" w:rsidR="00BA7C3F" w:rsidRPr="00324BEB" w:rsidRDefault="00BA7C3F">
                <w:pPr>
                  <w:spacing w:after="0" w:line="240" w:lineRule="auto"/>
                  <w:jc w:val="right"/>
                  <w:rPr>
                    <w:rFonts w:ascii="Times New Roman" w:eastAsia="Times New Roman" w:hAnsi="Times New Roman"/>
                    <w:color w:val="000000"/>
                    <w:sz w:val="18"/>
                    <w:szCs w:val="18"/>
                    <w:lang w:eastAsia="es-CO"/>
                  </w:rPr>
                </w:pPr>
                <w:r w:rsidRPr="00324BEB">
                  <w:rPr>
                    <w:rFonts w:ascii="Times New Roman" w:eastAsia="Times New Roman" w:hAnsi="Times New Roman"/>
                    <w:color w:val="000000"/>
                    <w:sz w:val="18"/>
                    <w:szCs w:val="18"/>
                    <w:lang w:eastAsia="es-CO"/>
                  </w:rPr>
                  <w:t>$</w:t>
                </w:r>
              </w:p>
            </w:tc>
            <w:tc>
              <w:tcPr>
                <w:tcW w:w="721" w:type="pct"/>
                <w:tcBorders>
                  <w:top w:val="nil"/>
                  <w:left w:val="nil"/>
                  <w:bottom w:val="single" w:sz="8" w:space="0" w:color="auto"/>
                  <w:right w:val="single" w:sz="8" w:space="0" w:color="auto"/>
                </w:tcBorders>
              </w:tcPr>
              <w:p w14:paraId="34F742B1" w14:textId="77777777" w:rsidR="00BA7C3F" w:rsidRPr="00324BEB" w:rsidRDefault="00BA7C3F">
                <w:pPr>
                  <w:spacing w:after="0" w:line="240" w:lineRule="auto"/>
                  <w:jc w:val="right"/>
                  <w:rPr>
                    <w:rFonts w:ascii="Times New Roman" w:eastAsia="Times New Roman" w:hAnsi="Times New Roman"/>
                    <w:color w:val="000000"/>
                    <w:sz w:val="18"/>
                    <w:szCs w:val="18"/>
                    <w:lang w:eastAsia="es-CO"/>
                  </w:rPr>
                </w:pPr>
              </w:p>
            </w:tc>
          </w:tr>
        </w:tbl>
        <w:p w14:paraId="2CF0919E" w14:textId="77777777" w:rsidR="00BA7C3F" w:rsidRPr="00255C45" w:rsidRDefault="00BA7C3F" w:rsidP="00BA7C3F">
          <w:pPr>
            <w:pStyle w:val="paragraph"/>
            <w:spacing w:before="0" w:beforeAutospacing="0" w:after="0" w:afterAutospacing="0"/>
            <w:jc w:val="center"/>
            <w:textAlignment w:val="baseline"/>
            <w:rPr>
              <w:rFonts w:ascii="Segoe UI" w:hAnsi="Segoe UI" w:cs="Segoe UI"/>
              <w:sz w:val="16"/>
              <w:szCs w:val="16"/>
            </w:rPr>
          </w:pPr>
          <w:r w:rsidRPr="00255C45">
            <w:rPr>
              <w:rStyle w:val="normaltextrun"/>
              <w:rFonts w:ascii="Arial" w:hAnsi="Arial" w:cs="Arial"/>
              <w:sz w:val="16"/>
              <w:szCs w:val="16"/>
            </w:rPr>
            <w:t>Fuente:  Documentación que reposa en el expediente contractual,</w:t>
          </w:r>
          <w:r w:rsidRPr="00255C45">
            <w:rPr>
              <w:rStyle w:val="eop"/>
              <w:rFonts w:ascii="Arial" w:hAnsi="Arial" w:cs="Arial"/>
              <w:sz w:val="16"/>
              <w:szCs w:val="16"/>
            </w:rPr>
            <w:t> </w:t>
          </w:r>
        </w:p>
        <w:p w14:paraId="240F31B1" w14:textId="77777777" w:rsidR="00BA7C3F" w:rsidRPr="00255C45" w:rsidRDefault="00BA7C3F" w:rsidP="00BA7C3F">
          <w:pPr>
            <w:pStyle w:val="paragraph"/>
            <w:spacing w:before="0" w:beforeAutospacing="0" w:after="0" w:afterAutospacing="0"/>
            <w:jc w:val="center"/>
            <w:textAlignment w:val="baseline"/>
            <w:rPr>
              <w:rFonts w:ascii="Segoe UI" w:hAnsi="Segoe UI" w:cs="Segoe UI"/>
              <w:sz w:val="16"/>
              <w:szCs w:val="16"/>
            </w:rPr>
          </w:pPr>
          <w:r w:rsidRPr="00255C45">
            <w:rPr>
              <w:rStyle w:val="normaltextrun"/>
              <w:rFonts w:ascii="Arial" w:hAnsi="Arial" w:cs="Arial"/>
              <w:sz w:val="16"/>
              <w:szCs w:val="16"/>
            </w:rPr>
            <w:t> elaboración propia Modo férreo - VGCON</w:t>
          </w:r>
          <w:r w:rsidRPr="00255C45">
            <w:rPr>
              <w:rStyle w:val="eop"/>
              <w:rFonts w:ascii="Arial" w:hAnsi="Arial" w:cs="Arial"/>
              <w:sz w:val="16"/>
              <w:szCs w:val="16"/>
            </w:rPr>
            <w:t> </w:t>
          </w:r>
        </w:p>
        <w:p w14:paraId="75F21E3A" w14:textId="77777777" w:rsidR="00BA7C3F" w:rsidRPr="00255C45" w:rsidRDefault="00BA7C3F" w:rsidP="00BA7C3F">
          <w:pPr>
            <w:spacing w:after="0" w:line="240" w:lineRule="auto"/>
            <w:jc w:val="both"/>
            <w:rPr>
              <w:rFonts w:ascii="Times New Roman" w:hAnsi="Times New Roman"/>
              <w:sz w:val="24"/>
              <w:szCs w:val="24"/>
            </w:rPr>
          </w:pPr>
        </w:p>
        <w:p w14:paraId="656D41F8" w14:textId="77777777" w:rsidR="00BA7C3F" w:rsidRPr="00255C45" w:rsidRDefault="00BA7C3F" w:rsidP="00BA7C3F">
          <w:pPr>
            <w:spacing w:after="0" w:line="240" w:lineRule="auto"/>
            <w:jc w:val="both"/>
            <w:rPr>
              <w:rFonts w:ascii="Times New Roman" w:hAnsi="Times New Roman"/>
              <w:sz w:val="24"/>
              <w:szCs w:val="24"/>
            </w:rPr>
          </w:pPr>
          <w:r w:rsidRPr="00255C45">
            <w:rPr>
              <w:rFonts w:ascii="Times New Roman" w:hAnsi="Times New Roman"/>
              <w:sz w:val="24"/>
              <w:szCs w:val="24"/>
            </w:rPr>
            <w:t>Nota 1: En 2023 se realizó el primer desembolso del Contrato por valor de $52.143.625.896 y para la vigencia 2024 se trasladarán $73.066.157.722 de acuerdo con la Cláusula Cuarta del Contrato.</w:t>
          </w:r>
        </w:p>
        <w:p w14:paraId="2B88C4D3" w14:textId="69C181D3" w:rsidR="00BA7C3F" w:rsidRPr="00255C45" w:rsidRDefault="00BA7C3F" w:rsidP="00BA7C3F">
          <w:pPr>
            <w:spacing w:after="0" w:line="240" w:lineRule="auto"/>
            <w:jc w:val="both"/>
            <w:rPr>
              <w:rFonts w:ascii="Times New Roman" w:hAnsi="Times New Roman"/>
              <w:sz w:val="24"/>
              <w:szCs w:val="24"/>
            </w:rPr>
          </w:pPr>
          <w:r w:rsidRPr="00255C45">
            <w:rPr>
              <w:rFonts w:ascii="Times New Roman" w:hAnsi="Times New Roman"/>
              <w:sz w:val="24"/>
              <w:szCs w:val="24"/>
            </w:rPr>
            <w:t xml:space="preserve">Nota 2: Conforme a la cláusula primera del </w:t>
          </w:r>
          <w:r w:rsidR="00255C45" w:rsidRPr="00255C45">
            <w:rPr>
              <w:rFonts w:ascii="Times New Roman" w:hAnsi="Times New Roman"/>
              <w:sz w:val="24"/>
              <w:szCs w:val="24"/>
            </w:rPr>
            <w:t>Otrosí</w:t>
          </w:r>
          <w:r w:rsidRPr="00255C45">
            <w:rPr>
              <w:rFonts w:ascii="Times New Roman" w:hAnsi="Times New Roman"/>
              <w:sz w:val="24"/>
              <w:szCs w:val="24"/>
            </w:rPr>
            <w:t xml:space="preserve"> No. 1 de 2023 al contrato VE-629-2022 que modificó la cláusula cuarta del contrato, se adicionaron $ 11.555.272.663 al valor del contrato.</w:t>
          </w:r>
        </w:p>
        <w:p w14:paraId="38F3A48D" w14:textId="77777777" w:rsidR="00BA7C3F" w:rsidRPr="00255C45" w:rsidRDefault="00BA7C3F" w:rsidP="00BA7C3F">
          <w:pPr>
            <w:spacing w:after="0" w:line="240" w:lineRule="auto"/>
            <w:jc w:val="both"/>
            <w:rPr>
              <w:rFonts w:ascii="Times New Roman" w:hAnsi="Times New Roman"/>
              <w:sz w:val="24"/>
              <w:szCs w:val="24"/>
            </w:rPr>
          </w:pPr>
          <w:r w:rsidRPr="00255C45">
            <w:rPr>
              <w:rFonts w:ascii="Times New Roman" w:hAnsi="Times New Roman"/>
              <w:sz w:val="24"/>
              <w:szCs w:val="24"/>
            </w:rPr>
            <w:t>Nota 3: El valor ejecutado del contrato corresponde a los pagos efectuados a los contratos derivados de obra pública, interventoría, vigilancia, asistencia técnica y gastos bancarios.</w:t>
          </w:r>
        </w:p>
        <w:p w14:paraId="75FC7D27" w14:textId="77777777" w:rsidR="00BA7C3F" w:rsidRDefault="00BA7C3F" w:rsidP="00BA7C3F">
          <w:pPr>
            <w:spacing w:after="0" w:line="240" w:lineRule="auto"/>
            <w:jc w:val="both"/>
            <w:rPr>
              <w:rFonts w:ascii="Times New Roman" w:hAnsi="Times New Roman"/>
              <w:sz w:val="24"/>
              <w:szCs w:val="24"/>
            </w:rPr>
          </w:pPr>
          <w:r w:rsidRPr="00255C45">
            <w:rPr>
              <w:rFonts w:ascii="Times New Roman" w:hAnsi="Times New Roman"/>
              <w:sz w:val="24"/>
              <w:szCs w:val="24"/>
            </w:rPr>
            <w:t>Nota 4: El valor no ejecutado a favor de la entidad corresponde a que el contrato se encuentra actualmente ejecución, con fecha de finalización el 30 de abril de 2025.</w:t>
          </w:r>
        </w:p>
        <w:p w14:paraId="06D0CF29" w14:textId="77777777" w:rsidR="00BA7C3F" w:rsidRDefault="00BA7C3F" w:rsidP="00AF7FC5">
          <w:pPr>
            <w:spacing w:after="0" w:line="240" w:lineRule="auto"/>
            <w:jc w:val="both"/>
            <w:rPr>
              <w:rFonts w:ascii="Times New Roman" w:hAnsi="Times New Roman"/>
              <w:sz w:val="24"/>
              <w:szCs w:val="24"/>
            </w:rPr>
          </w:pPr>
        </w:p>
        <w:p w14:paraId="0DFF5BF0" w14:textId="690246C0" w:rsidR="00AF0B76" w:rsidRPr="00B80E99" w:rsidRDefault="00AF0B76" w:rsidP="00B80E99">
          <w:pPr>
            <w:spacing w:after="0" w:line="240" w:lineRule="auto"/>
            <w:jc w:val="both"/>
            <w:rPr>
              <w:rFonts w:ascii="Times New Roman" w:hAnsi="Times New Roman"/>
              <w:sz w:val="24"/>
              <w:szCs w:val="24"/>
            </w:rPr>
          </w:pPr>
          <w:r w:rsidRPr="00B80E99">
            <w:rPr>
              <w:rFonts w:ascii="Times New Roman" w:hAnsi="Times New Roman"/>
              <w:sz w:val="24"/>
              <w:szCs w:val="24"/>
            </w:rPr>
            <w:t>CONTRATO VE 809-2023</w:t>
          </w:r>
          <w:r w:rsidR="00F260AD" w:rsidRPr="00B80E99">
            <w:rPr>
              <w:rFonts w:ascii="Times New Roman" w:hAnsi="Times New Roman"/>
              <w:sz w:val="24"/>
              <w:szCs w:val="24"/>
            </w:rPr>
            <w:t>:  Objeto</w:t>
          </w:r>
          <w:r w:rsidR="004B0919" w:rsidRPr="00B80E99">
            <w:rPr>
              <w:rFonts w:ascii="Times New Roman" w:hAnsi="Times New Roman"/>
              <w:sz w:val="24"/>
              <w:szCs w:val="24"/>
            </w:rPr>
            <w:t xml:space="preserve">: </w:t>
          </w:r>
          <w:r w:rsidR="008F00C8" w:rsidRPr="009A46BB">
            <w:rPr>
              <w:rFonts w:ascii="Times New Roman" w:hAnsi="Times New Roman"/>
            </w:rPr>
            <w:t xml:space="preserve"> </w:t>
          </w:r>
          <w:r w:rsidR="008F00C8" w:rsidRPr="00B80E99">
            <w:rPr>
              <w:rFonts w:ascii="Times New Roman" w:hAnsi="Times New Roman"/>
              <w:sz w:val="24"/>
              <w:szCs w:val="24"/>
            </w:rPr>
            <w:t>P</w:t>
          </w:r>
          <w:r w:rsidR="004B0919" w:rsidRPr="00B80E99">
            <w:rPr>
              <w:rFonts w:ascii="Times New Roman" w:hAnsi="Times New Roman"/>
              <w:sz w:val="24"/>
              <w:szCs w:val="24"/>
            </w:rPr>
            <w:t>restar el servicio de asistencia técnica para el desarrollo de proyectos del sector transporte en el modo férreo en los corredores férreos a cargo de la Agencia, a través del modelo de ejecución autorizado a FINDETER, en las condiciones pactadas.</w:t>
          </w:r>
          <w:r w:rsidR="00CA032E" w:rsidRPr="00B80E99">
            <w:rPr>
              <w:rFonts w:ascii="Times New Roman" w:hAnsi="Times New Roman"/>
              <w:sz w:val="24"/>
              <w:szCs w:val="24"/>
            </w:rPr>
            <w:t xml:space="preserve">  </w:t>
          </w:r>
          <w:r w:rsidR="000B1504" w:rsidRPr="00B80E99">
            <w:rPr>
              <w:rFonts w:ascii="Times New Roman" w:hAnsi="Times New Roman"/>
              <w:sz w:val="24"/>
              <w:szCs w:val="24"/>
            </w:rPr>
            <w:t xml:space="preserve">ALCANCE DEL OBJETO: </w:t>
          </w:r>
          <w:r w:rsidR="00A926D0" w:rsidRPr="00B80E99">
            <w:rPr>
              <w:rFonts w:ascii="Times New Roman" w:hAnsi="Times New Roman"/>
              <w:sz w:val="24"/>
              <w:szCs w:val="24"/>
            </w:rPr>
            <w:t xml:space="preserve"> </w:t>
          </w:r>
          <w:r w:rsidR="005107E5" w:rsidRPr="00B80E99">
            <w:rPr>
              <w:rFonts w:ascii="Times New Roman" w:hAnsi="Times New Roman"/>
              <w:sz w:val="24"/>
              <w:szCs w:val="24"/>
            </w:rPr>
            <w:t>E</w:t>
          </w:r>
          <w:r w:rsidR="000B1504" w:rsidRPr="00B80E99">
            <w:rPr>
              <w:rFonts w:ascii="Times New Roman" w:hAnsi="Times New Roman"/>
              <w:sz w:val="24"/>
              <w:szCs w:val="24"/>
            </w:rPr>
            <w:t>stablece el marco en virtud del cual se adelantarán las actividades de asistencia técnica para la ejecución de los proyectos del modo férreo de transporte que se prioricen, en desarrollo de las políticas del Gobierno Nacional y en cumplimiento de las misiones, funciones y fines institucionales de las Partes.</w:t>
          </w:r>
          <w:r w:rsidR="00CA032E" w:rsidRPr="00B80E99">
            <w:rPr>
              <w:rFonts w:ascii="Times New Roman" w:hAnsi="Times New Roman"/>
              <w:sz w:val="24"/>
              <w:szCs w:val="24"/>
            </w:rPr>
            <w:t xml:space="preserve"> </w:t>
          </w:r>
        </w:p>
        <w:p w14:paraId="72E7C1B3" w14:textId="6E0E0C51" w:rsidR="00CB4D95" w:rsidRDefault="00CB4D95" w:rsidP="00CB4D95">
          <w:pPr>
            <w:pStyle w:val="Prrafodelista"/>
            <w:spacing w:after="0" w:line="240" w:lineRule="auto"/>
            <w:ind w:left="284"/>
            <w:jc w:val="both"/>
            <w:rPr>
              <w:rFonts w:ascii="Times New Roman" w:hAnsi="Times New Roman"/>
              <w:sz w:val="24"/>
              <w:szCs w:val="24"/>
            </w:rPr>
          </w:pPr>
        </w:p>
        <w:p w14:paraId="6B1CACA5" w14:textId="041AFAB8" w:rsidR="00CB4D95" w:rsidRPr="00B80E99" w:rsidRDefault="00CB4D95" w:rsidP="00B80E99">
          <w:pPr>
            <w:spacing w:after="0" w:line="240" w:lineRule="auto"/>
            <w:jc w:val="both"/>
            <w:rPr>
              <w:rFonts w:ascii="Times New Roman" w:hAnsi="Times New Roman"/>
              <w:sz w:val="24"/>
              <w:szCs w:val="24"/>
            </w:rPr>
          </w:pPr>
          <w:r w:rsidRPr="00B80E99">
            <w:rPr>
              <w:rFonts w:ascii="Times New Roman" w:hAnsi="Times New Roman"/>
              <w:sz w:val="24"/>
              <w:szCs w:val="24"/>
            </w:rPr>
            <w:t xml:space="preserve">Fecha de Inicio: </w:t>
          </w:r>
          <w:r w:rsidR="007C2610" w:rsidRPr="00B80E99">
            <w:rPr>
              <w:rFonts w:ascii="Times New Roman" w:hAnsi="Times New Roman"/>
              <w:sz w:val="24"/>
              <w:szCs w:val="24"/>
            </w:rPr>
            <w:t>26 de diciembre de 2023.</w:t>
          </w:r>
        </w:p>
        <w:p w14:paraId="04A8FC20" w14:textId="17E007E1" w:rsidR="00CA032E" w:rsidRPr="00E41DCF" w:rsidRDefault="00CA032E" w:rsidP="00E41DCF">
          <w:pPr>
            <w:spacing w:after="0" w:line="240" w:lineRule="auto"/>
            <w:jc w:val="both"/>
            <w:rPr>
              <w:rFonts w:ascii="Times New Roman" w:hAnsi="Times New Roman"/>
              <w:sz w:val="24"/>
              <w:szCs w:val="24"/>
            </w:rPr>
          </w:pPr>
          <w:r w:rsidRPr="00E41DCF">
            <w:rPr>
              <w:rFonts w:ascii="Times New Roman" w:hAnsi="Times New Roman"/>
              <w:sz w:val="24"/>
              <w:szCs w:val="24"/>
            </w:rPr>
            <w:t>Valor del convenio $ 224.000.000</w:t>
          </w:r>
          <w:r w:rsidR="00CC2872" w:rsidRPr="00E41DCF">
            <w:rPr>
              <w:rFonts w:ascii="Times New Roman" w:hAnsi="Times New Roman"/>
              <w:sz w:val="24"/>
              <w:szCs w:val="24"/>
            </w:rPr>
            <w:t>.000</w:t>
          </w:r>
          <w:r w:rsidR="002B2BCF">
            <w:rPr>
              <w:rFonts w:ascii="Times New Roman" w:hAnsi="Times New Roman"/>
              <w:sz w:val="24"/>
              <w:szCs w:val="24"/>
            </w:rPr>
            <w:t>, pendiente por ejecutar.</w:t>
          </w:r>
        </w:p>
        <w:p w14:paraId="66BF42CC" w14:textId="77777777" w:rsidR="00C045FE" w:rsidRDefault="00C045FE" w:rsidP="00AF7FC5">
          <w:pPr>
            <w:spacing w:after="0" w:line="240" w:lineRule="auto"/>
            <w:jc w:val="both"/>
            <w:rPr>
              <w:rFonts w:ascii="Times New Roman" w:hAnsi="Times New Roman"/>
              <w:sz w:val="24"/>
              <w:szCs w:val="24"/>
            </w:rPr>
          </w:pPr>
        </w:p>
        <w:p w14:paraId="1ACCB0EA" w14:textId="1CD54059" w:rsidR="00DE7E53" w:rsidRPr="00931DCE" w:rsidRDefault="00DE7E53" w:rsidP="00C045FE">
          <w:pPr>
            <w:autoSpaceDE w:val="0"/>
            <w:autoSpaceDN w:val="0"/>
            <w:adjustRightInd w:val="0"/>
            <w:spacing w:after="0" w:line="240" w:lineRule="auto"/>
            <w:jc w:val="both"/>
            <w:rPr>
              <w:rFonts w:ascii="Times New Roman" w:hAnsi="Times New Roman"/>
              <w:bCs/>
              <w:sz w:val="24"/>
              <w:szCs w:val="24"/>
            </w:rPr>
          </w:pPr>
          <w:r w:rsidRPr="00931DCE">
            <w:rPr>
              <w:rFonts w:ascii="Times New Roman" w:eastAsia="Times New Roman" w:hAnsi="Times New Roman"/>
              <w:color w:val="000000"/>
              <w:sz w:val="24"/>
              <w:szCs w:val="24"/>
              <w:u w:val="single"/>
              <w:lang w:eastAsia="es-CO"/>
            </w:rPr>
            <w:t>Instituto Nacional De Vías - INVIAS:</w:t>
          </w:r>
          <w:r w:rsidRPr="00931DCE">
            <w:rPr>
              <w:rFonts w:ascii="Times New Roman" w:eastAsia="Times New Roman" w:hAnsi="Times New Roman"/>
              <w:color w:val="000000"/>
              <w:sz w:val="24"/>
              <w:szCs w:val="24"/>
              <w:lang w:eastAsia="es-CO"/>
            </w:rPr>
            <w:t xml:space="preserve"> </w:t>
          </w:r>
          <w:r w:rsidR="003069F8">
            <w:rPr>
              <w:rFonts w:ascii="Times New Roman" w:eastAsia="Times New Roman" w:hAnsi="Times New Roman"/>
              <w:color w:val="000000"/>
              <w:sz w:val="24"/>
              <w:szCs w:val="24"/>
              <w:lang w:eastAsia="es-CO"/>
            </w:rPr>
            <w:t>E</w:t>
          </w:r>
          <w:r w:rsidRPr="00931DCE">
            <w:rPr>
              <w:rFonts w:ascii="Times New Roman" w:eastAsia="Times New Roman" w:hAnsi="Times New Roman"/>
              <w:color w:val="000000"/>
              <w:sz w:val="24"/>
              <w:szCs w:val="24"/>
              <w:lang w:eastAsia="es-CO"/>
            </w:rPr>
            <w:t>l saldo registrado al cierre de la vigencia por valor de $</w:t>
          </w:r>
          <w:r w:rsidR="00F638D4" w:rsidRPr="009A46BB">
            <w:rPr>
              <w:rFonts w:ascii="Times New Roman" w:hAnsi="Times New Roman"/>
            </w:rPr>
            <w:t xml:space="preserve"> </w:t>
          </w:r>
          <w:r w:rsidR="00F638D4" w:rsidRPr="00F638D4">
            <w:rPr>
              <w:rFonts w:ascii="Times New Roman" w:eastAsia="Times New Roman" w:hAnsi="Times New Roman"/>
              <w:color w:val="000000"/>
              <w:sz w:val="24"/>
              <w:szCs w:val="24"/>
              <w:lang w:eastAsia="es-CO"/>
            </w:rPr>
            <w:t>89</w:t>
          </w:r>
          <w:r w:rsidR="00F638D4">
            <w:rPr>
              <w:rFonts w:ascii="Times New Roman" w:eastAsia="Times New Roman" w:hAnsi="Times New Roman"/>
              <w:color w:val="000000"/>
              <w:sz w:val="24"/>
              <w:szCs w:val="24"/>
              <w:lang w:eastAsia="es-CO"/>
            </w:rPr>
            <w:t>.</w:t>
          </w:r>
          <w:r w:rsidR="00F638D4" w:rsidRPr="00F638D4">
            <w:rPr>
              <w:rFonts w:ascii="Times New Roman" w:eastAsia="Times New Roman" w:hAnsi="Times New Roman"/>
              <w:color w:val="000000"/>
              <w:sz w:val="24"/>
              <w:szCs w:val="24"/>
              <w:lang w:eastAsia="es-CO"/>
            </w:rPr>
            <w:t>662</w:t>
          </w:r>
          <w:r w:rsidR="00F638D4">
            <w:rPr>
              <w:rFonts w:ascii="Times New Roman" w:eastAsia="Times New Roman" w:hAnsi="Times New Roman"/>
              <w:color w:val="000000"/>
              <w:sz w:val="24"/>
              <w:szCs w:val="24"/>
              <w:lang w:eastAsia="es-CO"/>
            </w:rPr>
            <w:t>.</w:t>
          </w:r>
          <w:r w:rsidR="00F638D4" w:rsidRPr="00F638D4">
            <w:rPr>
              <w:rFonts w:ascii="Times New Roman" w:eastAsia="Times New Roman" w:hAnsi="Times New Roman"/>
              <w:color w:val="000000"/>
              <w:sz w:val="24"/>
              <w:szCs w:val="24"/>
              <w:lang w:eastAsia="es-CO"/>
            </w:rPr>
            <w:t>720</w:t>
          </w:r>
          <w:r w:rsidR="00F638D4">
            <w:rPr>
              <w:rFonts w:ascii="Times New Roman" w:eastAsia="Times New Roman" w:hAnsi="Times New Roman"/>
              <w:color w:val="000000"/>
              <w:sz w:val="24"/>
              <w:szCs w:val="24"/>
              <w:lang w:eastAsia="es-CO"/>
            </w:rPr>
            <w:t>.</w:t>
          </w:r>
          <w:r w:rsidR="00F638D4" w:rsidRPr="00F638D4">
            <w:rPr>
              <w:rFonts w:ascii="Times New Roman" w:eastAsia="Times New Roman" w:hAnsi="Times New Roman"/>
              <w:color w:val="000000"/>
              <w:sz w:val="24"/>
              <w:szCs w:val="24"/>
              <w:lang w:eastAsia="es-CO"/>
            </w:rPr>
            <w:t>695</w:t>
          </w:r>
          <w:r w:rsidRPr="00931DCE">
            <w:rPr>
              <w:rFonts w:ascii="Times New Roman" w:eastAsia="Times New Roman" w:hAnsi="Times New Roman"/>
              <w:color w:val="000000"/>
              <w:sz w:val="24"/>
              <w:szCs w:val="24"/>
              <w:lang w:eastAsia="es-CO"/>
            </w:rPr>
            <w:t xml:space="preserve">, corresponde a los </w:t>
          </w:r>
          <w:r w:rsidR="00804D72">
            <w:rPr>
              <w:rFonts w:ascii="Times New Roman" w:eastAsia="Times New Roman" w:hAnsi="Times New Roman"/>
              <w:color w:val="000000"/>
              <w:sz w:val="24"/>
              <w:szCs w:val="24"/>
              <w:lang w:eastAsia="es-CO"/>
            </w:rPr>
            <w:t xml:space="preserve">saldos de los siguientes </w:t>
          </w:r>
          <w:r w:rsidRPr="00931DCE">
            <w:rPr>
              <w:rFonts w:ascii="Times New Roman" w:eastAsia="Times New Roman" w:hAnsi="Times New Roman"/>
              <w:color w:val="000000"/>
              <w:sz w:val="24"/>
              <w:szCs w:val="24"/>
              <w:lang w:eastAsia="es-CO"/>
            </w:rPr>
            <w:t>c</w:t>
          </w:r>
          <w:r w:rsidRPr="00931DCE">
            <w:rPr>
              <w:rFonts w:ascii="Times New Roman" w:hAnsi="Times New Roman"/>
              <w:bCs/>
              <w:sz w:val="24"/>
              <w:szCs w:val="24"/>
            </w:rPr>
            <w:t>onvenios interadministrativos:</w:t>
          </w:r>
        </w:p>
        <w:p w14:paraId="39ABB53C" w14:textId="77777777" w:rsidR="00DE7E53" w:rsidRPr="00931DCE" w:rsidRDefault="00DE7E53" w:rsidP="00C045FE">
          <w:pPr>
            <w:autoSpaceDE w:val="0"/>
            <w:autoSpaceDN w:val="0"/>
            <w:adjustRightInd w:val="0"/>
            <w:spacing w:after="0" w:line="240" w:lineRule="auto"/>
            <w:jc w:val="both"/>
            <w:rPr>
              <w:rFonts w:ascii="Times New Roman" w:hAnsi="Times New Roman"/>
              <w:bCs/>
              <w:sz w:val="24"/>
              <w:szCs w:val="24"/>
            </w:rPr>
          </w:pPr>
        </w:p>
        <w:p w14:paraId="0B54896E" w14:textId="3BA59195" w:rsidR="00DE7E53" w:rsidRPr="00931DCE" w:rsidRDefault="00B80E99" w:rsidP="00E60BAB">
          <w:pPr>
            <w:pStyle w:val="Prrafodelista"/>
            <w:numPr>
              <w:ilvl w:val="0"/>
              <w:numId w:val="53"/>
            </w:numPr>
            <w:autoSpaceDE w:val="0"/>
            <w:autoSpaceDN w:val="0"/>
            <w:adjustRightInd w:val="0"/>
            <w:spacing w:after="0" w:line="240" w:lineRule="auto"/>
            <w:jc w:val="both"/>
            <w:rPr>
              <w:rFonts w:ascii="Times New Roman" w:hAnsi="Times New Roman"/>
              <w:bCs/>
              <w:sz w:val="24"/>
              <w:szCs w:val="24"/>
            </w:rPr>
          </w:pPr>
          <w:r w:rsidRPr="00931DCE">
            <w:rPr>
              <w:rFonts w:ascii="Times New Roman" w:hAnsi="Times New Roman"/>
              <w:bCs/>
              <w:sz w:val="24"/>
              <w:szCs w:val="24"/>
            </w:rPr>
            <w:t xml:space="preserve">CONVENIO INTERADMINISTRATIVO </w:t>
          </w:r>
          <w:r w:rsidR="00DE7E53" w:rsidRPr="00931DCE">
            <w:rPr>
              <w:rFonts w:ascii="Times New Roman" w:hAnsi="Times New Roman"/>
              <w:bCs/>
              <w:sz w:val="24"/>
              <w:szCs w:val="24"/>
            </w:rPr>
            <w:t xml:space="preserve">No. 017 de 2017: Objeto: </w:t>
          </w:r>
          <w:r w:rsidR="00DE7E53" w:rsidRPr="00CA728C">
            <w:rPr>
              <w:rFonts w:ascii="Times New Roman" w:hAnsi="Times New Roman"/>
              <w:sz w:val="24"/>
              <w:szCs w:val="24"/>
            </w:rPr>
            <w:t>Aunar esfuerzos en la atención de puntos críticos de socavación en el tramo de Santa Marta – Rio Palomino ubicados inicialmente del PR 61+080 al PR 61+350 en el Cerro Los Muchachitos, tramo que se encuentra concesionado en virtud del Contrato de Concesión No. 445 de 1994.</w:t>
          </w:r>
          <w:r w:rsidR="00DE7E53" w:rsidRPr="00931DCE">
            <w:rPr>
              <w:rFonts w:ascii="Times New Roman" w:hAnsi="Times New Roman"/>
              <w:bCs/>
              <w:sz w:val="24"/>
              <w:szCs w:val="24"/>
            </w:rPr>
            <w:t xml:space="preserve">   </w:t>
          </w:r>
          <w:r w:rsidR="00AB6E58" w:rsidRPr="00931DCE">
            <w:rPr>
              <w:rFonts w:ascii="Times New Roman" w:hAnsi="Times New Roman"/>
              <w:bCs/>
              <w:sz w:val="24"/>
              <w:szCs w:val="24"/>
            </w:rPr>
            <w:t>S</w:t>
          </w:r>
          <w:r w:rsidR="00DE7E53" w:rsidRPr="00931DCE">
            <w:rPr>
              <w:rFonts w:ascii="Times New Roman" w:hAnsi="Times New Roman"/>
              <w:bCs/>
              <w:sz w:val="24"/>
              <w:szCs w:val="24"/>
            </w:rPr>
            <w:t>aldo del convenio</w:t>
          </w:r>
          <w:r w:rsidR="00AB6E58" w:rsidRPr="00931DCE">
            <w:rPr>
              <w:rFonts w:ascii="Times New Roman" w:hAnsi="Times New Roman"/>
              <w:bCs/>
              <w:sz w:val="24"/>
              <w:szCs w:val="24"/>
            </w:rPr>
            <w:t xml:space="preserve">: </w:t>
          </w:r>
          <w:r w:rsidR="00DE7E53" w:rsidRPr="00931DCE">
            <w:rPr>
              <w:rFonts w:ascii="Times New Roman" w:hAnsi="Times New Roman"/>
              <w:bCs/>
              <w:sz w:val="24"/>
              <w:szCs w:val="24"/>
            </w:rPr>
            <w:t>$</w:t>
          </w:r>
          <w:r w:rsidR="0086752B" w:rsidRPr="009A46BB">
            <w:rPr>
              <w:rFonts w:ascii="Times New Roman" w:hAnsi="Times New Roman"/>
            </w:rPr>
            <w:t xml:space="preserve"> </w:t>
          </w:r>
          <w:r w:rsidR="0086752B" w:rsidRPr="0086752B">
            <w:rPr>
              <w:rFonts w:ascii="Times New Roman" w:hAnsi="Times New Roman"/>
              <w:bCs/>
              <w:sz w:val="24"/>
              <w:szCs w:val="24"/>
            </w:rPr>
            <w:t>2.662.720.695</w:t>
          </w:r>
          <w:r w:rsidR="00DE7E53" w:rsidRPr="00CA728C">
            <w:rPr>
              <w:rFonts w:ascii="Times New Roman" w:hAnsi="Times New Roman"/>
              <w:bCs/>
              <w:sz w:val="24"/>
              <w:szCs w:val="24"/>
            </w:rPr>
            <w:t>.</w:t>
          </w:r>
        </w:p>
        <w:p w14:paraId="0ED57164" w14:textId="77777777" w:rsidR="00A15999" w:rsidRPr="00931DCE" w:rsidRDefault="00A15999" w:rsidP="00A15999">
          <w:pPr>
            <w:pStyle w:val="Prrafodelista"/>
            <w:autoSpaceDE w:val="0"/>
            <w:autoSpaceDN w:val="0"/>
            <w:adjustRightInd w:val="0"/>
            <w:spacing w:after="0" w:line="240" w:lineRule="auto"/>
            <w:ind w:left="360"/>
            <w:jc w:val="both"/>
            <w:rPr>
              <w:rFonts w:ascii="Times New Roman" w:hAnsi="Times New Roman"/>
              <w:bCs/>
              <w:sz w:val="24"/>
              <w:szCs w:val="24"/>
            </w:rPr>
          </w:pPr>
        </w:p>
        <w:p w14:paraId="4C4347EC" w14:textId="653B922E" w:rsidR="0005408C" w:rsidRPr="003C5823" w:rsidRDefault="00B80E99" w:rsidP="00E60BAB">
          <w:pPr>
            <w:pStyle w:val="Prrafodelista"/>
            <w:numPr>
              <w:ilvl w:val="0"/>
              <w:numId w:val="53"/>
            </w:numPr>
            <w:autoSpaceDE w:val="0"/>
            <w:autoSpaceDN w:val="0"/>
            <w:adjustRightInd w:val="0"/>
            <w:spacing w:after="0" w:line="240" w:lineRule="auto"/>
            <w:jc w:val="both"/>
            <w:rPr>
              <w:rFonts w:ascii="Times New Roman" w:hAnsi="Times New Roman"/>
              <w:bCs/>
              <w:sz w:val="24"/>
              <w:szCs w:val="24"/>
            </w:rPr>
          </w:pPr>
          <w:r w:rsidRPr="003C5823">
            <w:rPr>
              <w:rFonts w:ascii="Times New Roman" w:hAnsi="Times New Roman"/>
              <w:bCs/>
              <w:sz w:val="24"/>
              <w:szCs w:val="24"/>
            </w:rPr>
            <w:t>CONVENIO</w:t>
          </w:r>
          <w:r w:rsidR="003C5823">
            <w:rPr>
              <w:rFonts w:ascii="Times New Roman" w:hAnsi="Times New Roman"/>
              <w:bCs/>
              <w:sz w:val="24"/>
              <w:szCs w:val="24"/>
            </w:rPr>
            <w:t xml:space="preserve"> </w:t>
          </w:r>
          <w:r w:rsidR="003C5823" w:rsidRPr="000E6575">
            <w:rPr>
              <w:rFonts w:ascii="Times New Roman" w:hAnsi="Times New Roman"/>
              <w:bCs/>
              <w:sz w:val="24"/>
              <w:szCs w:val="24"/>
            </w:rPr>
            <w:t>INTERADMINISTRATIVO ANI No. CI-02</w:t>
          </w:r>
          <w:r w:rsidR="003C5823">
            <w:rPr>
              <w:rFonts w:ascii="Times New Roman" w:hAnsi="Times New Roman"/>
              <w:bCs/>
              <w:sz w:val="24"/>
              <w:szCs w:val="24"/>
            </w:rPr>
            <w:t>3</w:t>
          </w:r>
          <w:r w:rsidR="003C5823" w:rsidRPr="000E6575">
            <w:rPr>
              <w:rFonts w:ascii="Times New Roman" w:hAnsi="Times New Roman"/>
              <w:bCs/>
              <w:sz w:val="24"/>
              <w:szCs w:val="24"/>
            </w:rPr>
            <w:t>-2022</w:t>
          </w:r>
          <w:r w:rsidR="00246973">
            <w:rPr>
              <w:rFonts w:ascii="Times New Roman" w:hAnsi="Times New Roman"/>
              <w:bCs/>
              <w:sz w:val="24"/>
              <w:szCs w:val="24"/>
            </w:rPr>
            <w:t xml:space="preserve">, </w:t>
          </w:r>
          <w:r w:rsidR="00DE7E53" w:rsidRPr="003C5823">
            <w:rPr>
              <w:rFonts w:ascii="Times New Roman" w:hAnsi="Times New Roman"/>
              <w:bCs/>
              <w:sz w:val="24"/>
              <w:szCs w:val="24"/>
            </w:rPr>
            <w:t>por valor de $</w:t>
          </w:r>
          <w:r w:rsidR="00063588" w:rsidRPr="003C5823">
            <w:rPr>
              <w:rFonts w:ascii="Times New Roman" w:hAnsi="Times New Roman"/>
              <w:bCs/>
              <w:sz w:val="24"/>
              <w:szCs w:val="24"/>
            </w:rPr>
            <w:t xml:space="preserve"> 50.000.000.000</w:t>
          </w:r>
          <w:r w:rsidR="00DE7E53" w:rsidRPr="003C5823">
            <w:rPr>
              <w:rFonts w:ascii="Times New Roman" w:hAnsi="Times New Roman"/>
              <w:bCs/>
              <w:sz w:val="24"/>
              <w:szCs w:val="24"/>
            </w:rPr>
            <w:t xml:space="preserve">. Objeto: </w:t>
          </w:r>
          <w:r w:rsidR="003C5823" w:rsidRPr="003C5823">
            <w:rPr>
              <w:rFonts w:ascii="Times New Roman" w:hAnsi="Times New Roman"/>
              <w:bCs/>
              <w:sz w:val="24"/>
              <w:szCs w:val="24"/>
            </w:rPr>
            <w:t>aunar esfuerzos técnicos y financieros para el mejoramiento mediante la construcción para la solución integral del paso a la altura del kilómetro 58 de la cabecera municipal de Guayabetal de la vía Bogotá – Villavicencio</w:t>
          </w:r>
        </w:p>
        <w:p w14:paraId="2C72D432" w14:textId="77777777" w:rsidR="0005408C" w:rsidRPr="00931DCE" w:rsidRDefault="0005408C" w:rsidP="00CA728C">
          <w:pPr>
            <w:pStyle w:val="Prrafodelista"/>
            <w:autoSpaceDE w:val="0"/>
            <w:autoSpaceDN w:val="0"/>
            <w:adjustRightInd w:val="0"/>
            <w:spacing w:after="0" w:line="240" w:lineRule="auto"/>
            <w:ind w:left="360"/>
            <w:jc w:val="both"/>
            <w:rPr>
              <w:rFonts w:ascii="Times New Roman" w:hAnsi="Times New Roman"/>
              <w:bCs/>
              <w:sz w:val="24"/>
              <w:szCs w:val="24"/>
            </w:rPr>
          </w:pPr>
        </w:p>
        <w:p w14:paraId="6CB80990" w14:textId="6980B51A" w:rsidR="00227E1A" w:rsidRPr="000E6575" w:rsidRDefault="00B80E99" w:rsidP="00E60BAB">
          <w:pPr>
            <w:pStyle w:val="Prrafodelista"/>
            <w:numPr>
              <w:ilvl w:val="0"/>
              <w:numId w:val="53"/>
            </w:numPr>
            <w:autoSpaceDE w:val="0"/>
            <w:autoSpaceDN w:val="0"/>
            <w:adjustRightInd w:val="0"/>
            <w:spacing w:after="0" w:line="240" w:lineRule="auto"/>
            <w:jc w:val="both"/>
            <w:rPr>
              <w:rFonts w:ascii="Times New Roman" w:eastAsia="Times New Roman" w:hAnsi="Times New Roman"/>
              <w:color w:val="000000"/>
              <w:sz w:val="24"/>
              <w:szCs w:val="24"/>
              <w:lang w:eastAsia="es-CO"/>
            </w:rPr>
          </w:pPr>
          <w:r w:rsidRPr="000E6575">
            <w:rPr>
              <w:rFonts w:ascii="Times New Roman" w:hAnsi="Times New Roman"/>
              <w:bCs/>
              <w:sz w:val="24"/>
              <w:szCs w:val="24"/>
            </w:rPr>
            <w:t xml:space="preserve">CONVENIO INTERADMINISTRATIVO </w:t>
          </w:r>
          <w:r w:rsidR="00DE7E53" w:rsidRPr="000E6575">
            <w:rPr>
              <w:rFonts w:ascii="Times New Roman" w:hAnsi="Times New Roman"/>
              <w:bCs/>
              <w:sz w:val="24"/>
              <w:szCs w:val="24"/>
            </w:rPr>
            <w:t>ANI No. CI-022-</w:t>
          </w:r>
          <w:r w:rsidR="00EF6E05" w:rsidRPr="000E6575">
            <w:rPr>
              <w:rFonts w:ascii="Times New Roman" w:hAnsi="Times New Roman"/>
              <w:bCs/>
              <w:sz w:val="24"/>
              <w:szCs w:val="24"/>
            </w:rPr>
            <w:t>202</w:t>
          </w:r>
          <w:r w:rsidR="00CA728C" w:rsidRPr="000E6575">
            <w:rPr>
              <w:rFonts w:ascii="Times New Roman" w:hAnsi="Times New Roman"/>
              <w:bCs/>
              <w:sz w:val="24"/>
              <w:szCs w:val="24"/>
            </w:rPr>
            <w:t>2</w:t>
          </w:r>
          <w:r w:rsidR="00DE7E53" w:rsidRPr="000E6575">
            <w:rPr>
              <w:rFonts w:ascii="Times New Roman" w:hAnsi="Times New Roman"/>
              <w:bCs/>
              <w:sz w:val="24"/>
              <w:szCs w:val="24"/>
            </w:rPr>
            <w:t>.  Por valor $</w:t>
          </w:r>
          <w:r w:rsidR="00650977" w:rsidRPr="009A46BB">
            <w:rPr>
              <w:rFonts w:ascii="Times New Roman" w:hAnsi="Times New Roman"/>
            </w:rPr>
            <w:t xml:space="preserve"> </w:t>
          </w:r>
          <w:r w:rsidR="00650977" w:rsidRPr="00650977">
            <w:rPr>
              <w:rFonts w:ascii="Times New Roman" w:hAnsi="Times New Roman"/>
              <w:bCs/>
              <w:sz w:val="24"/>
              <w:szCs w:val="24"/>
            </w:rPr>
            <w:t>30.000.000.000</w:t>
          </w:r>
          <w:r w:rsidR="00650977">
            <w:rPr>
              <w:rFonts w:ascii="Times New Roman" w:hAnsi="Times New Roman"/>
              <w:bCs/>
              <w:sz w:val="24"/>
              <w:szCs w:val="24"/>
            </w:rPr>
            <w:t>.</w:t>
          </w:r>
          <w:r w:rsidR="00227E1A" w:rsidRPr="000E6575">
            <w:rPr>
              <w:rFonts w:ascii="Times New Roman" w:hAnsi="Times New Roman"/>
              <w:bCs/>
              <w:sz w:val="24"/>
              <w:szCs w:val="24"/>
            </w:rPr>
            <w:t xml:space="preserve">  Objeto: </w:t>
          </w:r>
          <w:r w:rsidR="00227E1A" w:rsidRPr="009A46BB">
            <w:rPr>
              <w:rFonts w:ascii="Times New Roman" w:eastAsia="Times New Roman" w:hAnsi="Times New Roman"/>
              <w:color w:val="000000"/>
            </w:rPr>
            <w:t xml:space="preserve"> </w:t>
          </w:r>
          <w:r w:rsidR="000E6575" w:rsidRPr="00F835D5">
            <w:rPr>
              <w:rFonts w:ascii="Times New Roman" w:eastAsia="Times New Roman" w:hAnsi="Times New Roman"/>
              <w:color w:val="000000"/>
              <w:sz w:val="24"/>
              <w:szCs w:val="24"/>
              <w:lang w:eastAsia="es-CO"/>
            </w:rPr>
            <w:t>Aunar esfuerzos entre el Instituto Nacional de Vías – Invias y la Agencia Nacional de Infraestructura para la atención de obras de infraestructura en el corredor Bogotá Villavicencio”</w:t>
          </w:r>
          <w:r w:rsidR="00F835D5">
            <w:rPr>
              <w:rFonts w:ascii="Times New Roman" w:eastAsia="Times New Roman" w:hAnsi="Times New Roman"/>
              <w:color w:val="000000"/>
              <w:sz w:val="24"/>
              <w:szCs w:val="24"/>
              <w:lang w:eastAsia="es-CO"/>
            </w:rPr>
            <w:t>.</w:t>
          </w:r>
        </w:p>
        <w:p w14:paraId="43FC4BE0" w14:textId="77777777" w:rsidR="000E6575" w:rsidRPr="000E6575" w:rsidRDefault="000E6575" w:rsidP="00F835D5">
          <w:pPr>
            <w:pStyle w:val="Prrafodelista"/>
            <w:autoSpaceDE w:val="0"/>
            <w:autoSpaceDN w:val="0"/>
            <w:adjustRightInd w:val="0"/>
            <w:spacing w:after="0" w:line="240" w:lineRule="auto"/>
            <w:ind w:left="360"/>
            <w:jc w:val="both"/>
            <w:rPr>
              <w:rFonts w:ascii="Times New Roman" w:eastAsia="Times New Roman" w:hAnsi="Times New Roman"/>
              <w:color w:val="000000"/>
              <w:sz w:val="24"/>
              <w:szCs w:val="24"/>
              <w:lang w:eastAsia="es-CO"/>
            </w:rPr>
          </w:pPr>
        </w:p>
        <w:p w14:paraId="7AE8F59E" w14:textId="1ED62116" w:rsidR="00DE7E53" w:rsidRPr="00F266A4" w:rsidRDefault="00B80E99" w:rsidP="00E60BAB">
          <w:pPr>
            <w:pStyle w:val="Prrafodelista"/>
            <w:numPr>
              <w:ilvl w:val="0"/>
              <w:numId w:val="53"/>
            </w:numPr>
            <w:autoSpaceDE w:val="0"/>
            <w:autoSpaceDN w:val="0"/>
            <w:adjustRightInd w:val="0"/>
            <w:spacing w:after="0" w:line="240" w:lineRule="auto"/>
            <w:jc w:val="both"/>
            <w:rPr>
              <w:rFonts w:ascii="Times New Roman" w:eastAsia="Times New Roman" w:hAnsi="Times New Roman"/>
              <w:color w:val="000000"/>
              <w:sz w:val="24"/>
              <w:szCs w:val="24"/>
              <w:lang w:eastAsia="es-CO"/>
            </w:rPr>
          </w:pPr>
          <w:r w:rsidRPr="00931DCE">
            <w:rPr>
              <w:rFonts w:ascii="Times New Roman" w:hAnsi="Times New Roman"/>
              <w:bCs/>
              <w:sz w:val="24"/>
              <w:szCs w:val="24"/>
            </w:rPr>
            <w:t>CONVENIO INTERADMINISTRATIVO</w:t>
          </w:r>
          <w:r w:rsidR="00DE7E53" w:rsidRPr="00931DCE">
            <w:rPr>
              <w:rFonts w:ascii="Times New Roman" w:hAnsi="Times New Roman"/>
              <w:bCs/>
              <w:sz w:val="24"/>
              <w:szCs w:val="24"/>
            </w:rPr>
            <w:t xml:space="preserve"> ANI No. 021 de </w:t>
          </w:r>
          <w:r w:rsidR="00EF6E05" w:rsidRPr="00931DCE">
            <w:rPr>
              <w:rFonts w:ascii="Times New Roman" w:hAnsi="Times New Roman"/>
              <w:bCs/>
              <w:sz w:val="24"/>
              <w:szCs w:val="24"/>
            </w:rPr>
            <w:t>202</w:t>
          </w:r>
          <w:r w:rsidR="002A1D48">
            <w:rPr>
              <w:rFonts w:ascii="Times New Roman" w:hAnsi="Times New Roman"/>
              <w:bCs/>
              <w:sz w:val="24"/>
              <w:szCs w:val="24"/>
            </w:rPr>
            <w:t>2</w:t>
          </w:r>
          <w:r w:rsidR="00DE7E53" w:rsidRPr="00931DCE">
            <w:rPr>
              <w:rFonts w:ascii="Times New Roman" w:hAnsi="Times New Roman"/>
              <w:bCs/>
              <w:sz w:val="24"/>
              <w:szCs w:val="24"/>
            </w:rPr>
            <w:t xml:space="preserve">, por valor </w:t>
          </w:r>
          <w:r w:rsidR="00DE7E53" w:rsidRPr="00931DCE">
            <w:rPr>
              <w:rFonts w:ascii="Times New Roman" w:hAnsi="Times New Roman"/>
              <w:sz w:val="24"/>
              <w:szCs w:val="24"/>
            </w:rPr>
            <w:t>$</w:t>
          </w:r>
          <w:r w:rsidR="002A1D48" w:rsidRPr="009A46BB">
            <w:rPr>
              <w:rFonts w:ascii="Times New Roman" w:hAnsi="Times New Roman"/>
            </w:rPr>
            <w:t xml:space="preserve"> </w:t>
          </w:r>
          <w:r w:rsidR="002A1D48" w:rsidRPr="002A1D48">
            <w:rPr>
              <w:rFonts w:ascii="Times New Roman" w:hAnsi="Times New Roman"/>
              <w:bCs/>
              <w:sz w:val="24"/>
              <w:szCs w:val="24"/>
            </w:rPr>
            <w:t>7.000.000.000</w:t>
          </w:r>
          <w:r w:rsidR="002A1D48" w:rsidRPr="009A46BB">
            <w:rPr>
              <w:rStyle w:val="ui-provider"/>
              <w:rFonts w:ascii="Times New Roman" w:hAnsi="Times New Roman"/>
            </w:rPr>
            <w:t>.</w:t>
          </w:r>
          <w:r w:rsidR="00DE7E53" w:rsidRPr="00931DCE">
            <w:rPr>
              <w:rFonts w:ascii="Times New Roman" w:hAnsi="Times New Roman"/>
              <w:sz w:val="24"/>
              <w:szCs w:val="24"/>
            </w:rPr>
            <w:t xml:space="preserve"> </w:t>
          </w:r>
          <w:r w:rsidR="002A1D48">
            <w:rPr>
              <w:rFonts w:ascii="Times New Roman" w:hAnsi="Times New Roman"/>
              <w:sz w:val="24"/>
              <w:szCs w:val="24"/>
            </w:rPr>
            <w:t>O</w:t>
          </w:r>
          <w:r w:rsidR="00DE7E53" w:rsidRPr="00931DCE">
            <w:rPr>
              <w:rFonts w:ascii="Times New Roman" w:hAnsi="Times New Roman"/>
              <w:bCs/>
              <w:sz w:val="24"/>
              <w:szCs w:val="24"/>
            </w:rPr>
            <w:t>bjeto</w:t>
          </w:r>
          <w:r w:rsidR="00DE7E53" w:rsidRPr="00931DCE">
            <w:rPr>
              <w:rFonts w:ascii="Times New Roman" w:hAnsi="Times New Roman"/>
            </w:rPr>
            <w:t xml:space="preserve">: </w:t>
          </w:r>
          <w:r w:rsidR="00DE7E53" w:rsidRPr="00F266A4">
            <w:rPr>
              <w:rFonts w:ascii="Times New Roman" w:eastAsia="Times New Roman" w:hAnsi="Times New Roman"/>
              <w:color w:val="000000"/>
              <w:sz w:val="24"/>
              <w:szCs w:val="24"/>
              <w:lang w:eastAsia="es-CO"/>
            </w:rPr>
            <w:t xml:space="preserve">Aunar esfuerzos entre el Instituto Nacional de Vías – Invias y la Agencia Nacional de Infraestructura para atención de emergencias por ola invernal en el corredor Puerto Salgar (Cundinamarca) hasta San Roque (Cesar) sobre la ruta nacional 45.  </w:t>
          </w:r>
        </w:p>
        <w:p w14:paraId="5623B8DD" w14:textId="77777777" w:rsidR="00DE7E53" w:rsidRPr="00931DCE" w:rsidRDefault="00DE7E53" w:rsidP="00DE7E53">
          <w:pPr>
            <w:autoSpaceDE w:val="0"/>
            <w:autoSpaceDN w:val="0"/>
            <w:adjustRightInd w:val="0"/>
            <w:spacing w:after="0" w:line="240" w:lineRule="auto"/>
            <w:jc w:val="both"/>
            <w:rPr>
              <w:rFonts w:ascii="Times New Roman" w:hAnsi="Times New Roman"/>
            </w:rPr>
          </w:pPr>
        </w:p>
        <w:p w14:paraId="3377E9E7" w14:textId="03628E99" w:rsidR="00DE7E53" w:rsidRPr="00931DCE" w:rsidRDefault="00DE7E53" w:rsidP="00C045FE">
          <w:pPr>
            <w:spacing w:after="0" w:line="240" w:lineRule="auto"/>
            <w:jc w:val="both"/>
            <w:rPr>
              <w:rFonts w:ascii="Times New Roman" w:hAnsi="Times New Roman"/>
              <w:sz w:val="24"/>
              <w:szCs w:val="24"/>
            </w:rPr>
          </w:pPr>
          <w:r w:rsidRPr="00931DCE">
            <w:rPr>
              <w:rFonts w:ascii="Times New Roman" w:hAnsi="Times New Roman"/>
              <w:bCs/>
              <w:sz w:val="24"/>
              <w:szCs w:val="24"/>
            </w:rPr>
            <w:t>Los citados convenios</w:t>
          </w:r>
          <w:r w:rsidRPr="00931DCE">
            <w:rPr>
              <w:rFonts w:ascii="Times New Roman" w:hAnsi="Times New Roman"/>
              <w:sz w:val="24"/>
              <w:szCs w:val="24"/>
            </w:rPr>
            <w:t xml:space="preserve">, generaron operaciones recíprocas que fueron conciliadas y reportadas en el CHIP en la cuenta contable correlativa, en atención a lo </w:t>
          </w:r>
          <w:r w:rsidR="00C045FE" w:rsidRPr="00931DCE">
            <w:rPr>
              <w:rFonts w:ascii="Times New Roman" w:hAnsi="Times New Roman"/>
              <w:sz w:val="24"/>
              <w:szCs w:val="24"/>
            </w:rPr>
            <w:t>estipulado en</w:t>
          </w:r>
          <w:r w:rsidRPr="00931DCE">
            <w:rPr>
              <w:rFonts w:ascii="Times New Roman" w:hAnsi="Times New Roman"/>
              <w:sz w:val="24"/>
              <w:szCs w:val="24"/>
            </w:rPr>
            <w:t xml:space="preserve"> la Resolución GCN No. 090 de 2020.</w:t>
          </w:r>
        </w:p>
        <w:p w14:paraId="77053F26" w14:textId="77777777" w:rsidR="00C045FE" w:rsidRPr="00931DCE" w:rsidRDefault="00C045FE" w:rsidP="00C045FE">
          <w:pPr>
            <w:spacing w:after="0" w:line="240" w:lineRule="auto"/>
            <w:jc w:val="both"/>
            <w:rPr>
              <w:rFonts w:ascii="Times New Roman" w:hAnsi="Times New Roman"/>
              <w:sz w:val="24"/>
              <w:szCs w:val="24"/>
            </w:rPr>
          </w:pPr>
        </w:p>
        <w:p w14:paraId="1A5500D0" w14:textId="5E5A9BBE" w:rsidR="00DE7E53" w:rsidRPr="00931DCE" w:rsidRDefault="00DE7E53" w:rsidP="00C045FE">
          <w:pPr>
            <w:spacing w:after="0" w:line="240" w:lineRule="auto"/>
            <w:jc w:val="both"/>
            <w:rPr>
              <w:rFonts w:ascii="Times New Roman" w:hAnsi="Times New Roman"/>
              <w:bCs/>
              <w:sz w:val="24"/>
              <w:szCs w:val="24"/>
            </w:rPr>
          </w:pPr>
          <w:r w:rsidRPr="00931DCE">
            <w:rPr>
              <w:rFonts w:ascii="Times New Roman" w:eastAsia="Times New Roman" w:hAnsi="Times New Roman"/>
              <w:color w:val="000000"/>
              <w:sz w:val="24"/>
              <w:szCs w:val="24"/>
              <w:u w:val="single"/>
              <w:lang w:eastAsia="es-CO"/>
            </w:rPr>
            <w:t>Financiera De Desarrollo Nacional S.A</w:t>
          </w:r>
          <w:r w:rsidRPr="00931DCE">
            <w:rPr>
              <w:rFonts w:ascii="Times New Roman" w:eastAsia="Times New Roman" w:hAnsi="Times New Roman"/>
              <w:color w:val="000000"/>
              <w:sz w:val="24"/>
              <w:szCs w:val="24"/>
              <w:lang w:eastAsia="es-CO"/>
            </w:rPr>
            <w:t xml:space="preserve">: </w:t>
          </w:r>
          <w:r w:rsidR="00644DFA">
            <w:rPr>
              <w:rFonts w:ascii="Times New Roman" w:eastAsia="Times New Roman" w:hAnsi="Times New Roman"/>
              <w:color w:val="000000"/>
              <w:sz w:val="24"/>
              <w:szCs w:val="24"/>
              <w:lang w:eastAsia="es-CO"/>
            </w:rPr>
            <w:t xml:space="preserve"> E</w:t>
          </w:r>
          <w:r w:rsidRPr="00931DCE">
            <w:rPr>
              <w:rFonts w:ascii="Times New Roman" w:eastAsia="Times New Roman" w:hAnsi="Times New Roman"/>
              <w:color w:val="000000"/>
              <w:sz w:val="24"/>
              <w:szCs w:val="24"/>
              <w:lang w:eastAsia="es-CO"/>
            </w:rPr>
            <w:t>l saldo registrado al cierre de la vigencia 202</w:t>
          </w:r>
          <w:r w:rsidR="00C63D75">
            <w:rPr>
              <w:rFonts w:ascii="Times New Roman" w:eastAsia="Times New Roman" w:hAnsi="Times New Roman"/>
              <w:color w:val="000000"/>
              <w:sz w:val="24"/>
              <w:szCs w:val="24"/>
              <w:lang w:eastAsia="es-CO"/>
            </w:rPr>
            <w:t>3</w:t>
          </w:r>
          <w:r w:rsidRPr="00931DCE">
            <w:rPr>
              <w:rFonts w:ascii="Times New Roman" w:eastAsia="Times New Roman" w:hAnsi="Times New Roman"/>
              <w:color w:val="000000"/>
              <w:sz w:val="24"/>
              <w:szCs w:val="24"/>
              <w:lang w:eastAsia="es-CO"/>
            </w:rPr>
            <w:t xml:space="preserve"> por valor de </w:t>
          </w:r>
          <w:r w:rsidRPr="00246973">
            <w:rPr>
              <w:rFonts w:ascii="Times New Roman" w:eastAsia="Times New Roman" w:hAnsi="Times New Roman"/>
              <w:color w:val="000000"/>
              <w:sz w:val="24"/>
              <w:szCs w:val="24"/>
              <w:lang w:eastAsia="es-CO"/>
            </w:rPr>
            <w:t>$</w:t>
          </w:r>
          <w:r w:rsidR="00B05039" w:rsidRPr="009A46BB">
            <w:rPr>
              <w:rFonts w:ascii="Times New Roman" w:hAnsi="Times New Roman"/>
            </w:rPr>
            <w:t xml:space="preserve"> </w:t>
          </w:r>
          <w:r w:rsidR="00B05039" w:rsidRPr="00246973">
            <w:rPr>
              <w:rFonts w:ascii="Times New Roman" w:eastAsia="Times New Roman" w:hAnsi="Times New Roman"/>
              <w:color w:val="000000"/>
              <w:sz w:val="24"/>
              <w:szCs w:val="24"/>
              <w:lang w:eastAsia="es-CO"/>
            </w:rPr>
            <w:t>31.160</w:t>
          </w:r>
          <w:r w:rsidR="00B05039">
            <w:rPr>
              <w:rFonts w:ascii="Times New Roman" w:eastAsia="Times New Roman" w:hAnsi="Times New Roman"/>
              <w:color w:val="000000"/>
              <w:sz w:val="24"/>
              <w:szCs w:val="24"/>
              <w:lang w:eastAsia="es-CO"/>
            </w:rPr>
            <w:t>.</w:t>
          </w:r>
          <w:r w:rsidR="00B05039" w:rsidRPr="00B05039">
            <w:rPr>
              <w:rFonts w:ascii="Times New Roman" w:eastAsia="Times New Roman" w:hAnsi="Times New Roman"/>
              <w:color w:val="000000"/>
              <w:sz w:val="24"/>
              <w:szCs w:val="24"/>
              <w:lang w:eastAsia="es-CO"/>
            </w:rPr>
            <w:t>239</w:t>
          </w:r>
          <w:r w:rsidR="00B05039">
            <w:rPr>
              <w:rFonts w:ascii="Times New Roman" w:eastAsia="Times New Roman" w:hAnsi="Times New Roman"/>
              <w:color w:val="000000"/>
              <w:sz w:val="24"/>
              <w:szCs w:val="24"/>
              <w:lang w:eastAsia="es-CO"/>
            </w:rPr>
            <w:t>.</w:t>
          </w:r>
          <w:r w:rsidR="00B05039" w:rsidRPr="00B05039">
            <w:rPr>
              <w:rFonts w:ascii="Times New Roman" w:eastAsia="Times New Roman" w:hAnsi="Times New Roman"/>
              <w:color w:val="000000"/>
              <w:sz w:val="24"/>
              <w:szCs w:val="24"/>
              <w:lang w:eastAsia="es-CO"/>
            </w:rPr>
            <w:t>509</w:t>
          </w:r>
          <w:r w:rsidRPr="00931DCE">
            <w:rPr>
              <w:rFonts w:ascii="Times New Roman" w:eastAsia="Times New Roman" w:hAnsi="Times New Roman"/>
              <w:color w:val="000000"/>
              <w:sz w:val="24"/>
              <w:szCs w:val="24"/>
              <w:lang w:eastAsia="es-CO"/>
            </w:rPr>
            <w:t xml:space="preserve">, corresponde a los </w:t>
          </w:r>
          <w:r w:rsidR="00B05039">
            <w:rPr>
              <w:rFonts w:ascii="Times New Roman" w:eastAsia="Times New Roman" w:hAnsi="Times New Roman"/>
              <w:color w:val="000000"/>
              <w:sz w:val="24"/>
              <w:szCs w:val="24"/>
              <w:lang w:eastAsia="es-CO"/>
            </w:rPr>
            <w:t>siguientes</w:t>
          </w:r>
          <w:r w:rsidRPr="00931DCE">
            <w:rPr>
              <w:rFonts w:ascii="Times New Roman" w:eastAsia="Times New Roman" w:hAnsi="Times New Roman"/>
              <w:color w:val="000000"/>
              <w:sz w:val="24"/>
              <w:szCs w:val="24"/>
              <w:lang w:eastAsia="es-CO"/>
            </w:rPr>
            <w:t xml:space="preserve"> c</w:t>
          </w:r>
          <w:r w:rsidRPr="00931DCE">
            <w:rPr>
              <w:rFonts w:ascii="Times New Roman" w:hAnsi="Times New Roman"/>
              <w:bCs/>
              <w:sz w:val="24"/>
              <w:szCs w:val="24"/>
            </w:rPr>
            <w:t>onvenios Interadministrativos:</w:t>
          </w:r>
        </w:p>
        <w:p w14:paraId="077886FF" w14:textId="77777777" w:rsidR="00C045FE" w:rsidRPr="00931DCE" w:rsidRDefault="00C045FE" w:rsidP="00C045FE">
          <w:pPr>
            <w:spacing w:after="0" w:line="240" w:lineRule="auto"/>
            <w:jc w:val="both"/>
            <w:rPr>
              <w:rFonts w:ascii="Times New Roman" w:hAnsi="Times New Roman"/>
              <w:bCs/>
              <w:sz w:val="24"/>
              <w:szCs w:val="24"/>
            </w:rPr>
          </w:pPr>
        </w:p>
        <w:p w14:paraId="3C99A805" w14:textId="794B98DA" w:rsidR="007A6046" w:rsidRPr="00B643A8" w:rsidRDefault="00B80E99" w:rsidP="00E60BAB">
          <w:pPr>
            <w:pStyle w:val="Prrafodelista"/>
            <w:numPr>
              <w:ilvl w:val="0"/>
              <w:numId w:val="54"/>
            </w:numPr>
            <w:spacing w:after="0" w:line="240" w:lineRule="auto"/>
            <w:jc w:val="both"/>
            <w:rPr>
              <w:rStyle w:val="ui-provider"/>
              <w:rFonts w:ascii="Times New Roman" w:hAnsi="Times New Roman"/>
              <w:sz w:val="24"/>
              <w:szCs w:val="24"/>
            </w:rPr>
          </w:pPr>
          <w:r w:rsidRPr="008A154B">
            <w:rPr>
              <w:rFonts w:ascii="Times New Roman" w:hAnsi="Times New Roman"/>
              <w:bCs/>
              <w:sz w:val="24"/>
              <w:szCs w:val="24"/>
            </w:rPr>
            <w:t>CONVENIO INTERADMINISTRATIVO</w:t>
          </w:r>
          <w:r w:rsidR="00DE7E53" w:rsidRPr="00931DCE">
            <w:rPr>
              <w:rFonts w:ascii="Times New Roman" w:hAnsi="Times New Roman"/>
              <w:bCs/>
              <w:sz w:val="24"/>
              <w:szCs w:val="24"/>
            </w:rPr>
            <w:t xml:space="preserve"> No 24 de 2017,</w:t>
          </w:r>
          <w:r w:rsidR="00DE7E53" w:rsidRPr="00931DCE">
            <w:rPr>
              <w:rFonts w:ascii="Times New Roman" w:hAnsi="Times New Roman"/>
              <w:sz w:val="24"/>
              <w:szCs w:val="24"/>
            </w:rPr>
            <w:t xml:space="preserve"> objeto: </w:t>
          </w:r>
          <w:r w:rsidR="00DE7E53" w:rsidRPr="00931DCE">
            <w:rPr>
              <w:rFonts w:ascii="Times New Roman" w:hAnsi="Times New Roman"/>
              <w:i/>
              <w:iCs/>
              <w:sz w:val="24"/>
              <w:szCs w:val="24"/>
            </w:rPr>
            <w:t xml:space="preserve">Aunar los esfuerzos de la Agencia y la Financiera para desarrollar y llevar a cabo la estructuración financiera y legal, del corredor férreo comprendido entre los municipios de La Dorada en el departamento de Caldas y Chiriguaná en el departamento del Cesar, con sus respectivos ramales incluyendo interoperabilidad con el tramo Chiriguaná – Santa Marta actualmente concesionado a FENOCO.   ii. Estructurar y diseñar la operación de financiamiento desde el punto de vista financiero y legal de la rehabilitación del corredor férreo objeto de estructuración. </w:t>
          </w:r>
          <w:r w:rsidR="00DE7E53" w:rsidRPr="00F93F02">
            <w:rPr>
              <w:rFonts w:ascii="Times New Roman" w:hAnsi="Times New Roman"/>
              <w:i/>
              <w:sz w:val="24"/>
              <w:szCs w:val="24"/>
            </w:rPr>
            <w:t>Saldo pendiente por ejecutar</w:t>
          </w:r>
          <w:r w:rsidR="00DE7E53" w:rsidRPr="00931DCE">
            <w:rPr>
              <w:rFonts w:ascii="Times New Roman" w:hAnsi="Times New Roman"/>
              <w:sz w:val="24"/>
              <w:szCs w:val="24"/>
            </w:rPr>
            <w:t xml:space="preserve"> de $</w:t>
          </w:r>
          <w:r w:rsidR="008A154B" w:rsidRPr="009A46BB">
            <w:rPr>
              <w:rFonts w:ascii="Times New Roman" w:hAnsi="Times New Roman"/>
            </w:rPr>
            <w:t xml:space="preserve"> </w:t>
          </w:r>
          <w:r w:rsidR="008A154B" w:rsidRPr="00B643A8">
            <w:rPr>
              <w:rFonts w:ascii="Times New Roman" w:hAnsi="Times New Roman"/>
              <w:sz w:val="24"/>
              <w:szCs w:val="24"/>
            </w:rPr>
            <w:t>3.034.366.2</w:t>
          </w:r>
          <w:r w:rsidR="00B643A8" w:rsidRPr="00B643A8">
            <w:rPr>
              <w:rFonts w:ascii="Times New Roman" w:hAnsi="Times New Roman"/>
              <w:sz w:val="24"/>
              <w:szCs w:val="24"/>
            </w:rPr>
            <w:t>30</w:t>
          </w:r>
          <w:r w:rsidR="00B643A8">
            <w:rPr>
              <w:rFonts w:ascii="Times New Roman" w:hAnsi="Times New Roman"/>
              <w:sz w:val="24"/>
              <w:szCs w:val="24"/>
            </w:rPr>
            <w:t>.</w:t>
          </w:r>
        </w:p>
        <w:p w14:paraId="68717966" w14:textId="77777777" w:rsidR="00B643A8" w:rsidRPr="008A154B" w:rsidRDefault="00B643A8" w:rsidP="00B643A8">
          <w:pPr>
            <w:pStyle w:val="Prrafodelista"/>
            <w:spacing w:after="0" w:line="240" w:lineRule="auto"/>
            <w:ind w:left="360"/>
            <w:jc w:val="both"/>
            <w:rPr>
              <w:rFonts w:ascii="Times New Roman" w:hAnsi="Times New Roman"/>
              <w:sz w:val="24"/>
              <w:szCs w:val="24"/>
            </w:rPr>
          </w:pPr>
        </w:p>
        <w:p w14:paraId="0754E779" w14:textId="0634EB56" w:rsidR="00DE7E53" w:rsidRPr="00910A40" w:rsidRDefault="00B80E99" w:rsidP="00E60BAB">
          <w:pPr>
            <w:pStyle w:val="Encabezado"/>
            <w:numPr>
              <w:ilvl w:val="0"/>
              <w:numId w:val="54"/>
            </w:numPr>
            <w:jc w:val="both"/>
            <w:rPr>
              <w:rFonts w:ascii="Times New Roman" w:hAnsi="Times New Roman"/>
              <w:i/>
              <w:sz w:val="24"/>
              <w:szCs w:val="24"/>
            </w:rPr>
          </w:pPr>
          <w:r w:rsidRPr="00B643A8">
            <w:rPr>
              <w:rFonts w:ascii="Times New Roman" w:hAnsi="Times New Roman"/>
              <w:sz w:val="24"/>
              <w:szCs w:val="24"/>
            </w:rPr>
            <w:t xml:space="preserve">CONTRATO INTERADMINISTRATIVO </w:t>
          </w:r>
          <w:r w:rsidR="00DE7E53" w:rsidRPr="00B643A8">
            <w:rPr>
              <w:rFonts w:ascii="Times New Roman" w:hAnsi="Times New Roman"/>
              <w:sz w:val="24"/>
              <w:szCs w:val="24"/>
            </w:rPr>
            <w:t>No. VE-631-</w:t>
          </w:r>
          <w:r w:rsidR="00EF6E05" w:rsidRPr="00B643A8">
            <w:rPr>
              <w:rFonts w:ascii="Times New Roman" w:hAnsi="Times New Roman"/>
              <w:sz w:val="24"/>
              <w:szCs w:val="24"/>
            </w:rPr>
            <w:t>202</w:t>
          </w:r>
          <w:r w:rsidR="00226BF6" w:rsidRPr="00B643A8">
            <w:rPr>
              <w:rFonts w:ascii="Times New Roman" w:hAnsi="Times New Roman"/>
              <w:sz w:val="24"/>
              <w:szCs w:val="24"/>
            </w:rPr>
            <w:t>2</w:t>
          </w:r>
          <w:r w:rsidR="00DE7E53" w:rsidRPr="00B643A8">
            <w:rPr>
              <w:rFonts w:ascii="Times New Roman" w:hAnsi="Times New Roman"/>
              <w:sz w:val="24"/>
              <w:szCs w:val="24"/>
            </w:rPr>
            <w:t xml:space="preserve">, </w:t>
          </w:r>
          <w:r w:rsidR="00D1329F">
            <w:rPr>
              <w:rFonts w:ascii="Times New Roman" w:hAnsi="Times New Roman"/>
              <w:sz w:val="24"/>
              <w:szCs w:val="24"/>
            </w:rPr>
            <w:t>O</w:t>
          </w:r>
          <w:r w:rsidR="00DE7E53" w:rsidRPr="00B643A8">
            <w:rPr>
              <w:rFonts w:ascii="Times New Roman" w:hAnsi="Times New Roman"/>
              <w:sz w:val="24"/>
              <w:szCs w:val="24"/>
            </w:rPr>
            <w:t>bjeto</w:t>
          </w:r>
          <w:r w:rsidR="00DE7E53" w:rsidRPr="00931DCE">
            <w:rPr>
              <w:rFonts w:ascii="Times New Roman" w:hAnsi="Times New Roman"/>
              <w:sz w:val="24"/>
              <w:szCs w:val="24"/>
            </w:rPr>
            <w:t xml:space="preserve">: </w:t>
          </w:r>
          <w:r w:rsidR="00DE7E53" w:rsidRPr="00931DCE">
            <w:rPr>
              <w:rFonts w:ascii="Times New Roman" w:hAnsi="Times New Roman"/>
              <w:i/>
              <w:iCs/>
              <w:sz w:val="24"/>
              <w:szCs w:val="24"/>
            </w:rPr>
            <w:t xml:space="preserve">Adelantar los estudios y diseños a nivel de prefactibilidad, para la reactivación del Corredor Férreo del </w:t>
          </w:r>
          <w:r w:rsidR="00DE7E53" w:rsidRPr="00931DCE">
            <w:rPr>
              <w:rFonts w:ascii="Times New Roman" w:hAnsi="Times New Roman"/>
              <w:i/>
              <w:iCs/>
              <w:sz w:val="24"/>
              <w:szCs w:val="24"/>
            </w:rPr>
            <w:lastRenderedPageBreak/>
            <w:t xml:space="preserve">Pacífico desde el puerto de Buenaventura y su conexión con el Corredor Férreo Central. </w:t>
          </w:r>
          <w:r w:rsidR="00E34389" w:rsidRPr="00F93F02">
            <w:rPr>
              <w:rFonts w:ascii="Times New Roman" w:hAnsi="Times New Roman"/>
              <w:i/>
              <w:iCs/>
              <w:sz w:val="24"/>
              <w:szCs w:val="24"/>
            </w:rPr>
            <w:t>Saldo pendiente por ejecutar</w:t>
          </w:r>
          <w:r w:rsidR="00E34389" w:rsidRPr="008A154B">
            <w:rPr>
              <w:rFonts w:ascii="Times New Roman" w:hAnsi="Times New Roman"/>
              <w:sz w:val="24"/>
              <w:szCs w:val="24"/>
            </w:rPr>
            <w:t xml:space="preserve"> </w:t>
          </w:r>
          <w:r w:rsidR="00DE7E53" w:rsidRPr="00326F33">
            <w:rPr>
              <w:rFonts w:ascii="Times New Roman" w:hAnsi="Times New Roman"/>
              <w:i/>
              <w:iCs/>
              <w:sz w:val="24"/>
              <w:szCs w:val="24"/>
            </w:rPr>
            <w:t>$</w:t>
          </w:r>
          <w:r w:rsidR="003276F6" w:rsidRPr="00326F33">
            <w:rPr>
              <w:rFonts w:ascii="Times New Roman" w:hAnsi="Times New Roman"/>
              <w:i/>
              <w:iCs/>
              <w:sz w:val="24"/>
              <w:szCs w:val="24"/>
            </w:rPr>
            <w:t>20.116.555.41</w:t>
          </w:r>
          <w:r w:rsidR="00326F33" w:rsidRPr="00326F33">
            <w:rPr>
              <w:rFonts w:ascii="Times New Roman" w:hAnsi="Times New Roman"/>
              <w:i/>
              <w:iCs/>
              <w:sz w:val="24"/>
              <w:szCs w:val="24"/>
            </w:rPr>
            <w:t>7</w:t>
          </w:r>
          <w:r w:rsidR="00DE7E53" w:rsidRPr="00326F33">
            <w:rPr>
              <w:rFonts w:ascii="Times New Roman" w:hAnsi="Times New Roman"/>
              <w:i/>
              <w:iCs/>
              <w:sz w:val="24"/>
              <w:szCs w:val="24"/>
            </w:rPr>
            <w:t>.</w:t>
          </w:r>
          <w:r w:rsidR="00DE7E53" w:rsidRPr="00B643A8">
            <w:rPr>
              <w:rFonts w:ascii="Times New Roman" w:hAnsi="Times New Roman"/>
              <w:sz w:val="24"/>
              <w:szCs w:val="24"/>
            </w:rPr>
            <w:t xml:space="preserve"> </w:t>
          </w:r>
        </w:p>
        <w:p w14:paraId="03C01087" w14:textId="77777777" w:rsidR="00910A40" w:rsidRDefault="00910A40" w:rsidP="00910A40">
          <w:pPr>
            <w:pStyle w:val="Prrafodelista"/>
            <w:rPr>
              <w:rFonts w:ascii="Times New Roman" w:hAnsi="Times New Roman"/>
              <w:i/>
              <w:iCs/>
              <w:sz w:val="24"/>
              <w:szCs w:val="24"/>
            </w:rPr>
          </w:pPr>
        </w:p>
        <w:p w14:paraId="52BBA544" w14:textId="384E12B2" w:rsidR="00910A40" w:rsidRPr="00B643A8" w:rsidRDefault="00D1329F" w:rsidP="00E60BAB">
          <w:pPr>
            <w:pStyle w:val="Encabezado"/>
            <w:numPr>
              <w:ilvl w:val="0"/>
              <w:numId w:val="54"/>
            </w:numPr>
            <w:jc w:val="both"/>
            <w:rPr>
              <w:rFonts w:ascii="Times New Roman" w:hAnsi="Times New Roman"/>
              <w:i/>
              <w:iCs/>
              <w:sz w:val="24"/>
              <w:szCs w:val="24"/>
            </w:rPr>
          </w:pPr>
          <w:r w:rsidRPr="00B643A8">
            <w:rPr>
              <w:rFonts w:ascii="Times New Roman" w:hAnsi="Times New Roman"/>
              <w:sz w:val="24"/>
              <w:szCs w:val="24"/>
            </w:rPr>
            <w:t>CONTRATO INTERADMINISTRATIVO No. VE-</w:t>
          </w:r>
          <w:r>
            <w:rPr>
              <w:rFonts w:ascii="Times New Roman" w:hAnsi="Times New Roman"/>
              <w:sz w:val="24"/>
              <w:szCs w:val="24"/>
            </w:rPr>
            <w:t>800</w:t>
          </w:r>
          <w:r w:rsidRPr="00B643A8">
            <w:rPr>
              <w:rFonts w:ascii="Times New Roman" w:hAnsi="Times New Roman"/>
              <w:sz w:val="24"/>
              <w:szCs w:val="24"/>
            </w:rPr>
            <w:t>-202</w:t>
          </w:r>
          <w:r>
            <w:rPr>
              <w:rFonts w:ascii="Times New Roman" w:hAnsi="Times New Roman"/>
              <w:sz w:val="24"/>
              <w:szCs w:val="24"/>
            </w:rPr>
            <w:t>3. Objeto</w:t>
          </w:r>
          <w:r w:rsidR="00E419AA">
            <w:rPr>
              <w:rFonts w:ascii="Times New Roman" w:hAnsi="Times New Roman"/>
              <w:sz w:val="24"/>
              <w:szCs w:val="24"/>
            </w:rPr>
            <w:t xml:space="preserve">: </w:t>
          </w:r>
          <w:r w:rsidR="00710EFD" w:rsidRPr="00710EFD">
            <w:rPr>
              <w:rFonts w:ascii="Times New Roman" w:hAnsi="Times New Roman"/>
              <w:i/>
              <w:iCs/>
              <w:sz w:val="24"/>
              <w:szCs w:val="24"/>
            </w:rPr>
            <w:t>Asesorar a la ANI en la definición de la estructura de gobernanza para el desarrollo</w:t>
          </w:r>
          <w:r w:rsidR="00710EFD" w:rsidRPr="00710EFD">
            <w:rPr>
              <w:rFonts w:ascii="Times New Roman" w:hAnsi="Times New Roman"/>
              <w:i/>
              <w:iCs/>
              <w:sz w:val="24"/>
              <w:szCs w:val="24"/>
            </w:rPr>
            <w:br/>
            <w:t>de proyectos de Asociación Público-Privada de infraestructura hospitalaria, así como</w:t>
          </w:r>
          <w:r w:rsidR="00710EFD" w:rsidRPr="00710EFD">
            <w:rPr>
              <w:rFonts w:ascii="Times New Roman" w:hAnsi="Times New Roman"/>
              <w:i/>
              <w:iCs/>
              <w:sz w:val="24"/>
              <w:szCs w:val="24"/>
            </w:rPr>
            <w:br/>
            <w:t>adelantar la estructuración integral o actualización de un proyecto hospitalario</w:t>
          </w:r>
          <w:r w:rsidR="00710EFD" w:rsidRPr="00710EFD">
            <w:rPr>
              <w:rFonts w:ascii="Times New Roman" w:hAnsi="Times New Roman"/>
              <w:i/>
              <w:iCs/>
              <w:sz w:val="24"/>
              <w:szCs w:val="24"/>
            </w:rPr>
            <w:br/>
            <w:t>seleccionado por la ANI (en adelante Proyecto) de conformidad con el alcance</w:t>
          </w:r>
          <w:r w:rsidR="00710EFD" w:rsidRPr="00710EFD">
            <w:rPr>
              <w:rFonts w:ascii="Times New Roman" w:hAnsi="Times New Roman"/>
              <w:i/>
              <w:iCs/>
              <w:sz w:val="24"/>
              <w:szCs w:val="24"/>
            </w:rPr>
            <w:br/>
            <w:t>establecido en el contrato.</w:t>
          </w:r>
          <w:r w:rsidR="00710EFD">
            <w:rPr>
              <w:rFonts w:ascii="Times New Roman" w:hAnsi="Times New Roman"/>
              <w:i/>
              <w:iCs/>
              <w:sz w:val="24"/>
              <w:szCs w:val="24"/>
            </w:rPr>
            <w:t xml:space="preserve">  Valor de cont</w:t>
          </w:r>
          <w:r w:rsidR="00C22665">
            <w:rPr>
              <w:rFonts w:ascii="Times New Roman" w:hAnsi="Times New Roman"/>
              <w:i/>
              <w:iCs/>
              <w:sz w:val="24"/>
              <w:szCs w:val="24"/>
            </w:rPr>
            <w:t xml:space="preserve">rato </w:t>
          </w:r>
          <w:r w:rsidR="00656A67">
            <w:rPr>
              <w:rFonts w:ascii="Times New Roman" w:hAnsi="Times New Roman"/>
              <w:i/>
              <w:iCs/>
              <w:sz w:val="24"/>
              <w:szCs w:val="24"/>
            </w:rPr>
            <w:t>$</w:t>
          </w:r>
          <w:r w:rsidR="00656A67" w:rsidRPr="00656A67">
            <w:rPr>
              <w:rFonts w:ascii="Times New Roman" w:hAnsi="Times New Roman"/>
              <w:i/>
              <w:iCs/>
              <w:sz w:val="24"/>
              <w:szCs w:val="24"/>
            </w:rPr>
            <w:t>8.009.317.863</w:t>
          </w:r>
          <w:r w:rsidR="00E34389">
            <w:rPr>
              <w:rFonts w:ascii="Times New Roman" w:hAnsi="Times New Roman"/>
              <w:i/>
              <w:iCs/>
              <w:sz w:val="24"/>
              <w:szCs w:val="24"/>
            </w:rPr>
            <w:t>, pendiente por ejecutar.</w:t>
          </w:r>
        </w:p>
        <w:p w14:paraId="5F40C334" w14:textId="77777777" w:rsidR="00DE7E53" w:rsidRPr="00931DCE" w:rsidRDefault="00DE7E53" w:rsidP="00C045FE">
          <w:pPr>
            <w:pStyle w:val="Encabezado"/>
            <w:jc w:val="both"/>
            <w:rPr>
              <w:rFonts w:ascii="Times New Roman" w:hAnsi="Times New Roman"/>
              <w:sz w:val="24"/>
              <w:szCs w:val="24"/>
            </w:rPr>
          </w:pPr>
        </w:p>
        <w:p w14:paraId="528D8F36" w14:textId="56FCF30F" w:rsidR="00DE7E53" w:rsidRPr="00931DCE" w:rsidRDefault="00974046" w:rsidP="00C045FE">
          <w:pPr>
            <w:pStyle w:val="Encabezado"/>
            <w:jc w:val="both"/>
            <w:rPr>
              <w:rFonts w:ascii="Times New Roman" w:hAnsi="Times New Roman"/>
              <w:sz w:val="24"/>
              <w:szCs w:val="24"/>
            </w:rPr>
          </w:pPr>
          <w:r>
            <w:rPr>
              <w:rFonts w:ascii="Times New Roman" w:hAnsi="Times New Roman"/>
              <w:sz w:val="24"/>
              <w:szCs w:val="24"/>
            </w:rPr>
            <w:t>N</w:t>
          </w:r>
          <w:r w:rsidR="00DE7E53" w:rsidRPr="00931DCE">
            <w:rPr>
              <w:rFonts w:ascii="Times New Roman" w:hAnsi="Times New Roman"/>
              <w:sz w:val="24"/>
              <w:szCs w:val="24"/>
            </w:rPr>
            <w:t>o se generan operaciones recíprocas</w:t>
          </w:r>
          <w:r w:rsidR="003351F8">
            <w:rPr>
              <w:rFonts w:ascii="Times New Roman" w:hAnsi="Times New Roman"/>
              <w:sz w:val="24"/>
              <w:szCs w:val="24"/>
            </w:rPr>
            <w:t xml:space="preserve"> con esta entidad</w:t>
          </w:r>
          <w:r w:rsidR="00DE7E53" w:rsidRPr="00931DCE">
            <w:rPr>
              <w:rFonts w:ascii="Times New Roman" w:hAnsi="Times New Roman"/>
              <w:sz w:val="24"/>
              <w:szCs w:val="24"/>
            </w:rPr>
            <w:t>, debido a lo indicado por el área contable de la Financiera : …“</w:t>
          </w:r>
          <w:r w:rsidR="00DE7E53" w:rsidRPr="00931DCE">
            <w:rPr>
              <w:rFonts w:ascii="Times New Roman" w:hAnsi="Times New Roman"/>
              <w:i/>
              <w:iCs/>
              <w:sz w:val="24"/>
              <w:szCs w:val="24"/>
            </w:rPr>
            <w:t>En relación a los recursos que se entregan en contratos de fiducia con una entidad financiera no se genera operación reciproca alguna,  en el caso de la FDN Id 043400000 los recursos entregados en administración así como la ejecución de los mismos se administra y se contabiliza en forma separada independiente de los de FDN generando para cada convenio o encargo fiduciario sus propios Estados financieros, esto en cumplimiento a la normatividad de la Superfinanciera.  Por lo anterior, no se debe reportar como Operaciones Reciprocas los recursos que hacen parte del Convenio” …</w:t>
          </w:r>
        </w:p>
        <w:p w14:paraId="1BBBE4FC" w14:textId="77777777" w:rsidR="00DE7E53" w:rsidRPr="00931DCE" w:rsidRDefault="00DE7E53" w:rsidP="00C045FE">
          <w:pPr>
            <w:shd w:val="clear" w:color="auto" w:fill="FFFFFF"/>
            <w:spacing w:after="0" w:line="240" w:lineRule="auto"/>
            <w:jc w:val="both"/>
            <w:rPr>
              <w:rFonts w:ascii="Times New Roman" w:eastAsia="Times New Roman" w:hAnsi="Times New Roman"/>
              <w:color w:val="000000"/>
              <w:sz w:val="24"/>
              <w:szCs w:val="24"/>
              <w:lang w:eastAsia="es-CO"/>
            </w:rPr>
          </w:pPr>
        </w:p>
        <w:p w14:paraId="124C4D46" w14:textId="45A50DBE" w:rsidR="00DE7E53" w:rsidRPr="00931DCE" w:rsidRDefault="00DE7E53" w:rsidP="00C045FE">
          <w:pPr>
            <w:spacing w:after="0" w:line="240" w:lineRule="auto"/>
            <w:jc w:val="both"/>
            <w:rPr>
              <w:rFonts w:ascii="Times New Roman" w:hAnsi="Times New Roman"/>
              <w:sz w:val="24"/>
              <w:szCs w:val="24"/>
            </w:rPr>
          </w:pPr>
          <w:r w:rsidRPr="00931DCE">
            <w:rPr>
              <w:rFonts w:ascii="Times New Roman" w:hAnsi="Times New Roman"/>
              <w:sz w:val="24"/>
              <w:szCs w:val="24"/>
              <w:u w:val="single"/>
            </w:rPr>
            <w:t>Departamento de Boyacá:</w:t>
          </w:r>
          <w:r w:rsidRPr="00931DCE">
            <w:rPr>
              <w:rFonts w:ascii="Times New Roman" w:hAnsi="Times New Roman"/>
              <w:sz w:val="24"/>
              <w:szCs w:val="24"/>
            </w:rPr>
            <w:t xml:space="preserve"> </w:t>
          </w:r>
          <w:r w:rsidR="00376933">
            <w:rPr>
              <w:rFonts w:ascii="Times New Roman" w:eastAsia="Times New Roman" w:hAnsi="Times New Roman"/>
              <w:color w:val="000000"/>
              <w:sz w:val="24"/>
              <w:szCs w:val="24"/>
              <w:lang w:eastAsia="es-CO"/>
            </w:rPr>
            <w:t>E</w:t>
          </w:r>
          <w:r w:rsidRPr="00931DCE">
            <w:rPr>
              <w:rFonts w:ascii="Times New Roman" w:eastAsia="Times New Roman" w:hAnsi="Times New Roman"/>
              <w:color w:val="000000"/>
              <w:sz w:val="24"/>
              <w:szCs w:val="24"/>
              <w:lang w:eastAsia="es-CO"/>
            </w:rPr>
            <w:t>l saldo registrado al cierre de la vigencia 202</w:t>
          </w:r>
          <w:r w:rsidR="00376933">
            <w:rPr>
              <w:rFonts w:ascii="Times New Roman" w:eastAsia="Times New Roman" w:hAnsi="Times New Roman"/>
              <w:color w:val="000000"/>
              <w:sz w:val="24"/>
              <w:szCs w:val="24"/>
              <w:lang w:eastAsia="es-CO"/>
            </w:rPr>
            <w:t>3</w:t>
          </w:r>
          <w:r w:rsidRPr="00931DCE">
            <w:rPr>
              <w:rFonts w:ascii="Times New Roman" w:eastAsia="Times New Roman" w:hAnsi="Times New Roman"/>
              <w:color w:val="000000"/>
              <w:sz w:val="24"/>
              <w:szCs w:val="24"/>
              <w:lang w:eastAsia="es-CO"/>
            </w:rPr>
            <w:t xml:space="preserve"> por valor de $</w:t>
          </w:r>
          <w:r w:rsidR="005A0531" w:rsidRPr="009A46BB">
            <w:rPr>
              <w:rFonts w:ascii="Times New Roman" w:hAnsi="Times New Roman"/>
            </w:rPr>
            <w:t xml:space="preserve"> </w:t>
          </w:r>
          <w:r w:rsidR="005A0531" w:rsidRPr="005A0531">
            <w:rPr>
              <w:rFonts w:ascii="Times New Roman" w:eastAsia="Times New Roman" w:hAnsi="Times New Roman"/>
              <w:color w:val="000000"/>
              <w:sz w:val="24"/>
              <w:szCs w:val="24"/>
              <w:lang w:eastAsia="es-CO"/>
            </w:rPr>
            <w:t>3</w:t>
          </w:r>
          <w:r w:rsidR="005A0531">
            <w:rPr>
              <w:rFonts w:ascii="Times New Roman" w:eastAsia="Times New Roman" w:hAnsi="Times New Roman"/>
              <w:color w:val="000000"/>
              <w:sz w:val="24"/>
              <w:szCs w:val="24"/>
              <w:lang w:eastAsia="es-CO"/>
            </w:rPr>
            <w:t>.</w:t>
          </w:r>
          <w:r w:rsidR="005A0531" w:rsidRPr="005A0531">
            <w:rPr>
              <w:rFonts w:ascii="Times New Roman" w:eastAsia="Times New Roman" w:hAnsi="Times New Roman"/>
              <w:color w:val="000000"/>
              <w:sz w:val="24"/>
              <w:szCs w:val="24"/>
              <w:lang w:eastAsia="es-CO"/>
            </w:rPr>
            <w:t>292</w:t>
          </w:r>
          <w:r w:rsidR="005A0531">
            <w:rPr>
              <w:rFonts w:ascii="Times New Roman" w:eastAsia="Times New Roman" w:hAnsi="Times New Roman"/>
              <w:color w:val="000000"/>
              <w:sz w:val="24"/>
              <w:szCs w:val="24"/>
              <w:lang w:eastAsia="es-CO"/>
            </w:rPr>
            <w:t>.</w:t>
          </w:r>
          <w:r w:rsidR="005A0531" w:rsidRPr="005A0531">
            <w:rPr>
              <w:rFonts w:ascii="Times New Roman" w:eastAsia="Times New Roman" w:hAnsi="Times New Roman"/>
              <w:color w:val="000000"/>
              <w:sz w:val="24"/>
              <w:szCs w:val="24"/>
              <w:lang w:eastAsia="es-CO"/>
            </w:rPr>
            <w:t>108</w:t>
          </w:r>
          <w:r w:rsidR="005A0531">
            <w:rPr>
              <w:rFonts w:ascii="Times New Roman" w:eastAsia="Times New Roman" w:hAnsi="Times New Roman"/>
              <w:color w:val="000000"/>
              <w:sz w:val="24"/>
              <w:szCs w:val="24"/>
              <w:lang w:eastAsia="es-CO"/>
            </w:rPr>
            <w:t>.</w:t>
          </w:r>
          <w:r w:rsidR="005A0531" w:rsidRPr="005A0531">
            <w:rPr>
              <w:rFonts w:ascii="Times New Roman" w:eastAsia="Times New Roman" w:hAnsi="Times New Roman"/>
              <w:color w:val="000000"/>
              <w:sz w:val="24"/>
              <w:szCs w:val="24"/>
              <w:lang w:eastAsia="es-CO"/>
            </w:rPr>
            <w:t>892</w:t>
          </w:r>
          <w:r w:rsidRPr="00931DCE">
            <w:rPr>
              <w:rFonts w:ascii="Times New Roman" w:eastAsia="Times New Roman" w:hAnsi="Times New Roman"/>
              <w:color w:val="000000"/>
              <w:sz w:val="24"/>
              <w:szCs w:val="24"/>
              <w:lang w:eastAsia="es-CO"/>
            </w:rPr>
            <w:t>, corresponde a los c</w:t>
          </w:r>
          <w:r w:rsidRPr="00931DCE">
            <w:rPr>
              <w:rFonts w:ascii="Times New Roman" w:hAnsi="Times New Roman"/>
              <w:bCs/>
              <w:sz w:val="24"/>
              <w:szCs w:val="24"/>
            </w:rPr>
            <w:t>onvenios Interadministrativos</w:t>
          </w:r>
          <w:r w:rsidR="004412B3">
            <w:rPr>
              <w:rFonts w:ascii="Times New Roman" w:hAnsi="Times New Roman"/>
              <w:bCs/>
              <w:sz w:val="24"/>
              <w:szCs w:val="24"/>
            </w:rPr>
            <w:t xml:space="preserve"> que se relacionan así</w:t>
          </w:r>
          <w:r w:rsidRPr="00931DCE">
            <w:rPr>
              <w:rFonts w:ascii="Times New Roman" w:hAnsi="Times New Roman"/>
              <w:bCs/>
              <w:sz w:val="24"/>
              <w:szCs w:val="24"/>
            </w:rPr>
            <w:t>:</w:t>
          </w:r>
        </w:p>
        <w:p w14:paraId="143D32FA" w14:textId="77777777" w:rsidR="00DE7E53" w:rsidRPr="00931DCE" w:rsidRDefault="00DE7E53" w:rsidP="00C045FE">
          <w:pPr>
            <w:shd w:val="clear" w:color="auto" w:fill="FFFFFF"/>
            <w:spacing w:after="0" w:line="240" w:lineRule="auto"/>
            <w:jc w:val="both"/>
            <w:rPr>
              <w:rFonts w:ascii="Times New Roman" w:hAnsi="Times New Roman"/>
              <w:sz w:val="24"/>
              <w:szCs w:val="24"/>
            </w:rPr>
          </w:pPr>
        </w:p>
        <w:p w14:paraId="0AD94B4F" w14:textId="417FDBAA" w:rsidR="00DE7E53" w:rsidRPr="00931DCE" w:rsidRDefault="00B80E99" w:rsidP="00E60BAB">
          <w:pPr>
            <w:pStyle w:val="Prrafodelista"/>
            <w:numPr>
              <w:ilvl w:val="0"/>
              <w:numId w:val="54"/>
            </w:numPr>
            <w:spacing w:after="0" w:line="240" w:lineRule="auto"/>
            <w:jc w:val="both"/>
            <w:rPr>
              <w:rFonts w:ascii="Times New Roman" w:hAnsi="Times New Roman"/>
              <w:i/>
              <w:iCs/>
              <w:sz w:val="24"/>
              <w:szCs w:val="24"/>
            </w:rPr>
          </w:pPr>
          <w:r w:rsidRPr="00931DCE">
            <w:rPr>
              <w:rFonts w:ascii="Times New Roman" w:hAnsi="Times New Roman"/>
              <w:bCs/>
              <w:sz w:val="24"/>
              <w:szCs w:val="24"/>
            </w:rPr>
            <w:t xml:space="preserve">CONVENIO INTERADMINISTRATIVO MARCO DE COLABORACIÓN </w:t>
          </w:r>
          <w:r w:rsidR="00DE7E53" w:rsidRPr="00931DCE">
            <w:rPr>
              <w:rFonts w:ascii="Times New Roman" w:hAnsi="Times New Roman"/>
              <w:bCs/>
              <w:sz w:val="24"/>
              <w:szCs w:val="24"/>
            </w:rPr>
            <w:t xml:space="preserve">No. 008 ANI </w:t>
          </w:r>
          <w:r w:rsidR="00F74F96">
            <w:rPr>
              <w:rFonts w:ascii="Times New Roman" w:hAnsi="Times New Roman"/>
              <w:bCs/>
              <w:sz w:val="24"/>
              <w:szCs w:val="24"/>
            </w:rPr>
            <w:t>–</w:t>
          </w:r>
          <w:r w:rsidR="00DE7E53" w:rsidRPr="00931DCE">
            <w:rPr>
              <w:rFonts w:ascii="Times New Roman" w:hAnsi="Times New Roman"/>
              <w:bCs/>
              <w:sz w:val="24"/>
              <w:szCs w:val="24"/>
            </w:rPr>
            <w:t xml:space="preserve"> 001 </w:t>
          </w:r>
          <w:r w:rsidR="00F74F96">
            <w:rPr>
              <w:rFonts w:ascii="Times New Roman" w:hAnsi="Times New Roman"/>
              <w:bCs/>
              <w:sz w:val="24"/>
              <w:szCs w:val="24"/>
            </w:rPr>
            <w:t>de 2.015</w:t>
          </w:r>
          <w:r w:rsidR="00DE7E53" w:rsidRPr="00931DCE">
            <w:rPr>
              <w:rFonts w:ascii="Times New Roman" w:hAnsi="Times New Roman"/>
              <w:bCs/>
              <w:sz w:val="24"/>
              <w:szCs w:val="24"/>
            </w:rPr>
            <w:t xml:space="preserve">. </w:t>
          </w:r>
          <w:r w:rsidR="00DE7E53" w:rsidRPr="00931DCE">
            <w:rPr>
              <w:rFonts w:ascii="Times New Roman" w:hAnsi="Times New Roman"/>
              <w:sz w:val="24"/>
              <w:szCs w:val="24"/>
            </w:rPr>
            <w:t xml:space="preserve"> Saldo a 31 de diciembre de </w:t>
          </w:r>
          <w:r w:rsidR="00EF6E05" w:rsidRPr="00931DCE">
            <w:rPr>
              <w:rFonts w:ascii="Times New Roman" w:hAnsi="Times New Roman"/>
              <w:sz w:val="24"/>
              <w:szCs w:val="24"/>
            </w:rPr>
            <w:t>202</w:t>
          </w:r>
          <w:r w:rsidR="00855EEC">
            <w:rPr>
              <w:rFonts w:ascii="Times New Roman" w:hAnsi="Times New Roman"/>
              <w:sz w:val="24"/>
              <w:szCs w:val="24"/>
            </w:rPr>
            <w:t>3</w:t>
          </w:r>
          <w:r w:rsidR="00DE7E53" w:rsidRPr="00931DCE">
            <w:rPr>
              <w:rFonts w:ascii="Times New Roman" w:hAnsi="Times New Roman"/>
              <w:sz w:val="24"/>
              <w:szCs w:val="24"/>
            </w:rPr>
            <w:t xml:space="preserve"> $</w:t>
          </w:r>
          <w:r w:rsidR="00EA5581" w:rsidRPr="00EA5581">
            <w:rPr>
              <w:rFonts w:ascii="Times New Roman" w:hAnsi="Times New Roman"/>
              <w:i/>
              <w:iCs/>
              <w:sz w:val="24"/>
              <w:szCs w:val="24"/>
            </w:rPr>
            <w:t>2.323.620.615</w:t>
          </w:r>
          <w:r w:rsidR="00334133" w:rsidRPr="00EA5581">
            <w:rPr>
              <w:rFonts w:ascii="Times New Roman" w:hAnsi="Times New Roman"/>
              <w:i/>
              <w:iCs/>
              <w:sz w:val="24"/>
              <w:szCs w:val="24"/>
            </w:rPr>
            <w:t>.</w:t>
          </w:r>
          <w:r w:rsidR="00DE7E53" w:rsidRPr="00931DCE">
            <w:rPr>
              <w:rFonts w:ascii="Times New Roman" w:hAnsi="Times New Roman"/>
              <w:sz w:val="24"/>
              <w:szCs w:val="24"/>
            </w:rPr>
            <w:t xml:space="preserve"> </w:t>
          </w:r>
          <w:r w:rsidR="00334133">
            <w:rPr>
              <w:rFonts w:ascii="Times New Roman" w:hAnsi="Times New Roman"/>
              <w:sz w:val="24"/>
              <w:szCs w:val="24"/>
            </w:rPr>
            <w:t>O</w:t>
          </w:r>
          <w:r w:rsidR="00DE7E53" w:rsidRPr="00931DCE">
            <w:rPr>
              <w:rFonts w:ascii="Times New Roman" w:hAnsi="Times New Roman"/>
              <w:sz w:val="24"/>
              <w:szCs w:val="24"/>
            </w:rPr>
            <w:t xml:space="preserve">bjeto: </w:t>
          </w:r>
          <w:r w:rsidR="00DE7E53" w:rsidRPr="00931DCE">
            <w:rPr>
              <w:rFonts w:ascii="Times New Roman" w:hAnsi="Times New Roman"/>
              <w:i/>
              <w:iCs/>
              <w:sz w:val="24"/>
              <w:szCs w:val="24"/>
            </w:rPr>
            <w:t>Unión articulación y coordinación de esfuerzos humanos técnicos, tecnológicos y logísticos entre la Agencia Nacional de Infraestructura y el Departamento de Boyacá, para la construcción de obras en cumplimiento de la acción popular, Briceño Tunja Sogamoso intersección Patriotas y para el cumplimiento de la acción popular, Briceño Tunja Sogamoso- Glorieta de Tunja.</w:t>
          </w:r>
        </w:p>
        <w:p w14:paraId="5DE37106" w14:textId="77777777" w:rsidR="004927E9" w:rsidRPr="00931DCE" w:rsidRDefault="004927E9" w:rsidP="004927E9">
          <w:pPr>
            <w:pStyle w:val="Prrafodelista"/>
            <w:spacing w:after="0" w:line="240" w:lineRule="auto"/>
            <w:ind w:left="360"/>
            <w:jc w:val="both"/>
            <w:rPr>
              <w:rFonts w:ascii="Times New Roman" w:hAnsi="Times New Roman"/>
              <w:i/>
              <w:iCs/>
              <w:sz w:val="24"/>
              <w:szCs w:val="24"/>
            </w:rPr>
          </w:pPr>
        </w:p>
        <w:p w14:paraId="4D2AC8CD" w14:textId="7BCEBC59" w:rsidR="00DE7E53" w:rsidRPr="00931DCE" w:rsidRDefault="00B80E99" w:rsidP="00E60BAB">
          <w:pPr>
            <w:pStyle w:val="Prrafodelista"/>
            <w:numPr>
              <w:ilvl w:val="0"/>
              <w:numId w:val="54"/>
            </w:numPr>
            <w:spacing w:after="0" w:line="240" w:lineRule="auto"/>
            <w:jc w:val="both"/>
            <w:rPr>
              <w:rFonts w:ascii="Times New Roman" w:hAnsi="Times New Roman"/>
              <w:i/>
              <w:iCs/>
              <w:sz w:val="24"/>
              <w:szCs w:val="24"/>
            </w:rPr>
          </w:pPr>
          <w:r w:rsidRPr="00931DCE">
            <w:rPr>
              <w:rFonts w:ascii="Times New Roman" w:hAnsi="Times New Roman"/>
              <w:bCs/>
              <w:sz w:val="24"/>
              <w:szCs w:val="24"/>
            </w:rPr>
            <w:t xml:space="preserve">CONVENIO INTERADMINISTRATIVO ESPECÍFICO DE COLABORACIÓN </w:t>
          </w:r>
          <w:r w:rsidR="00DE7E53" w:rsidRPr="00931DCE">
            <w:rPr>
              <w:rFonts w:ascii="Times New Roman" w:hAnsi="Times New Roman"/>
              <w:bCs/>
              <w:sz w:val="24"/>
              <w:szCs w:val="24"/>
            </w:rPr>
            <w:t>No. 001 de 2016, s</w:t>
          </w:r>
          <w:r w:rsidR="00DE7E53" w:rsidRPr="00931DCE">
            <w:rPr>
              <w:rFonts w:ascii="Times New Roman" w:hAnsi="Times New Roman"/>
              <w:sz w:val="24"/>
              <w:szCs w:val="24"/>
            </w:rPr>
            <w:t>aldo por ejecutar $</w:t>
          </w:r>
          <w:r w:rsidR="00D56BE5" w:rsidRPr="009A46BB">
            <w:rPr>
              <w:rFonts w:ascii="Times New Roman" w:hAnsi="Times New Roman"/>
            </w:rPr>
            <w:t xml:space="preserve"> </w:t>
          </w:r>
          <w:r w:rsidR="00D56BE5" w:rsidRPr="00D56BE5">
            <w:rPr>
              <w:rFonts w:ascii="Times New Roman" w:hAnsi="Times New Roman"/>
              <w:i/>
              <w:iCs/>
              <w:sz w:val="24"/>
              <w:szCs w:val="24"/>
            </w:rPr>
            <w:t>968.488.277</w:t>
          </w:r>
          <w:r w:rsidR="00D56BE5">
            <w:rPr>
              <w:rFonts w:ascii="Times New Roman" w:hAnsi="Times New Roman"/>
              <w:sz w:val="24"/>
              <w:szCs w:val="24"/>
            </w:rPr>
            <w:t xml:space="preserve">. </w:t>
          </w:r>
          <w:r w:rsidR="00DE7E53" w:rsidRPr="00931DCE">
            <w:rPr>
              <w:rFonts w:ascii="Times New Roman" w:hAnsi="Times New Roman"/>
              <w:sz w:val="24"/>
              <w:szCs w:val="24"/>
            </w:rPr>
            <w:t xml:space="preserve"> </w:t>
          </w:r>
          <w:r w:rsidR="00853F62">
            <w:rPr>
              <w:rFonts w:ascii="Times New Roman" w:hAnsi="Times New Roman"/>
              <w:sz w:val="24"/>
              <w:szCs w:val="24"/>
            </w:rPr>
            <w:t>O</w:t>
          </w:r>
          <w:r w:rsidR="00DE7E53" w:rsidRPr="00931DCE">
            <w:rPr>
              <w:rFonts w:ascii="Times New Roman" w:hAnsi="Times New Roman"/>
              <w:sz w:val="24"/>
              <w:szCs w:val="24"/>
            </w:rPr>
            <w:t>bjeto: </w:t>
          </w:r>
          <w:r w:rsidR="00DE7E53" w:rsidRPr="00931DCE">
            <w:rPr>
              <w:rFonts w:ascii="Times New Roman" w:hAnsi="Times New Roman"/>
              <w:i/>
              <w:iCs/>
              <w:sz w:val="24"/>
              <w:szCs w:val="24"/>
            </w:rPr>
            <w:t xml:space="preserve">Unión, articulación y coordinación de esfuerzos humanos, técnicos tecnológicos y logísticos, entre la Agencia Nacional de Infraestructura y el Departamento de Boyacá para realizar la adquisición predial en cumplimiento de la acción popular, Briceño Tunja, Sogamoso Intersección patriotas. </w:t>
          </w:r>
          <w:r w:rsidR="00F650EA">
            <w:rPr>
              <w:rFonts w:ascii="Times New Roman" w:hAnsi="Times New Roman"/>
              <w:i/>
              <w:iCs/>
              <w:sz w:val="24"/>
              <w:szCs w:val="24"/>
            </w:rPr>
            <w:t xml:space="preserve"> El</w:t>
          </w:r>
          <w:r w:rsidR="00DE7E53" w:rsidRPr="00931DCE">
            <w:rPr>
              <w:rFonts w:ascii="Times New Roman" w:hAnsi="Times New Roman"/>
              <w:i/>
              <w:iCs/>
              <w:sz w:val="24"/>
              <w:szCs w:val="24"/>
            </w:rPr>
            <w:t> </w:t>
          </w:r>
          <w:r w:rsidR="00557AEF">
            <w:rPr>
              <w:rFonts w:ascii="Times New Roman" w:hAnsi="Times New Roman"/>
              <w:i/>
              <w:iCs/>
              <w:sz w:val="24"/>
              <w:szCs w:val="24"/>
            </w:rPr>
            <w:t>v</w:t>
          </w:r>
          <w:r w:rsidR="00DE7E53" w:rsidRPr="00931DCE">
            <w:rPr>
              <w:rFonts w:ascii="Times New Roman" w:hAnsi="Times New Roman"/>
              <w:i/>
              <w:iCs/>
              <w:sz w:val="24"/>
              <w:szCs w:val="24"/>
            </w:rPr>
            <w:t xml:space="preserve">alor </w:t>
          </w:r>
          <w:r w:rsidR="00DE3100">
            <w:rPr>
              <w:rFonts w:ascii="Times New Roman" w:hAnsi="Times New Roman"/>
              <w:i/>
              <w:iCs/>
              <w:sz w:val="24"/>
              <w:szCs w:val="24"/>
            </w:rPr>
            <w:t>de</w:t>
          </w:r>
          <w:r w:rsidR="00DE7E53" w:rsidRPr="00931DCE">
            <w:rPr>
              <w:rFonts w:ascii="Times New Roman" w:hAnsi="Times New Roman"/>
              <w:i/>
              <w:iCs/>
              <w:sz w:val="24"/>
              <w:szCs w:val="24"/>
            </w:rPr>
            <w:t> $</w:t>
          </w:r>
          <w:r w:rsidR="00BC2FF9">
            <w:rPr>
              <w:rFonts w:ascii="Times New Roman" w:hAnsi="Times New Roman"/>
              <w:i/>
              <w:iCs/>
              <w:sz w:val="24"/>
              <w:szCs w:val="24"/>
            </w:rPr>
            <w:t>4.475</w:t>
          </w:r>
          <w:r w:rsidR="00405F00">
            <w:rPr>
              <w:rFonts w:ascii="Times New Roman" w:hAnsi="Times New Roman"/>
              <w:i/>
              <w:iCs/>
              <w:sz w:val="24"/>
              <w:szCs w:val="24"/>
            </w:rPr>
            <w:t>.000.000</w:t>
          </w:r>
          <w:r w:rsidR="00DE7E53" w:rsidRPr="00931DCE">
            <w:rPr>
              <w:rFonts w:ascii="Times New Roman" w:hAnsi="Times New Roman"/>
              <w:i/>
              <w:iCs/>
              <w:sz w:val="24"/>
              <w:szCs w:val="24"/>
            </w:rPr>
            <w:t xml:space="preserve">, aportados por la Agencia </w:t>
          </w:r>
          <w:r w:rsidR="00E94E53">
            <w:rPr>
              <w:rFonts w:ascii="Times New Roman" w:hAnsi="Times New Roman"/>
              <w:i/>
              <w:iCs/>
              <w:sz w:val="24"/>
              <w:szCs w:val="24"/>
            </w:rPr>
            <w:t xml:space="preserve">este convenio fue </w:t>
          </w:r>
          <w:r w:rsidR="00DE7E53" w:rsidRPr="00931DCE">
            <w:rPr>
              <w:rFonts w:ascii="Times New Roman" w:hAnsi="Times New Roman"/>
              <w:i/>
              <w:iCs/>
              <w:sz w:val="24"/>
              <w:szCs w:val="24"/>
            </w:rPr>
            <w:t>con recursos propios.</w:t>
          </w:r>
          <w:r w:rsidR="00DE7E53" w:rsidRPr="00931DCE">
            <w:rPr>
              <w:rFonts w:ascii="Times New Roman" w:hAnsi="Times New Roman"/>
              <w:sz w:val="24"/>
              <w:szCs w:val="24"/>
            </w:rPr>
            <w:t xml:space="preserve"> </w:t>
          </w:r>
        </w:p>
        <w:p w14:paraId="5E84FA93" w14:textId="77777777" w:rsidR="00C045FE" w:rsidRPr="00931DCE" w:rsidRDefault="00C045FE" w:rsidP="00C045FE">
          <w:pPr>
            <w:spacing w:after="0" w:line="240" w:lineRule="auto"/>
            <w:jc w:val="both"/>
            <w:rPr>
              <w:rFonts w:ascii="Times New Roman" w:hAnsi="Times New Roman"/>
              <w:sz w:val="24"/>
              <w:szCs w:val="24"/>
            </w:rPr>
          </w:pPr>
        </w:p>
        <w:p w14:paraId="5525A8C0" w14:textId="7D3D3790" w:rsidR="00DE7E53" w:rsidRPr="00931DCE" w:rsidRDefault="00DE7E53" w:rsidP="00C045FE">
          <w:pPr>
            <w:spacing w:after="0" w:line="240" w:lineRule="auto"/>
            <w:jc w:val="both"/>
            <w:rPr>
              <w:rFonts w:ascii="Times New Roman" w:hAnsi="Times New Roman"/>
              <w:sz w:val="24"/>
              <w:szCs w:val="24"/>
            </w:rPr>
          </w:pPr>
          <w:r w:rsidRPr="00931DCE">
            <w:rPr>
              <w:rFonts w:ascii="Times New Roman" w:hAnsi="Times New Roman"/>
              <w:sz w:val="24"/>
              <w:szCs w:val="24"/>
            </w:rPr>
            <w:t xml:space="preserve">Durante el año </w:t>
          </w:r>
          <w:r w:rsidR="00EF6E05" w:rsidRPr="00931DCE">
            <w:rPr>
              <w:rFonts w:ascii="Times New Roman" w:hAnsi="Times New Roman"/>
              <w:sz w:val="24"/>
              <w:szCs w:val="24"/>
            </w:rPr>
            <w:t>202</w:t>
          </w:r>
          <w:r w:rsidR="00904FB7">
            <w:rPr>
              <w:rFonts w:ascii="Times New Roman" w:hAnsi="Times New Roman"/>
              <w:sz w:val="24"/>
              <w:szCs w:val="24"/>
            </w:rPr>
            <w:t>3</w:t>
          </w:r>
          <w:r w:rsidRPr="00931DCE">
            <w:rPr>
              <w:rFonts w:ascii="Times New Roman" w:hAnsi="Times New Roman"/>
              <w:sz w:val="24"/>
              <w:szCs w:val="24"/>
            </w:rPr>
            <w:t xml:space="preserve"> el Departamento de Boyacá no generó ejecuciones sobre est</w:t>
          </w:r>
          <w:r w:rsidR="009D2144">
            <w:rPr>
              <w:rFonts w:ascii="Times New Roman" w:hAnsi="Times New Roman"/>
              <w:sz w:val="24"/>
              <w:szCs w:val="24"/>
            </w:rPr>
            <w:t>os</w:t>
          </w:r>
          <w:r w:rsidRPr="00931DCE">
            <w:rPr>
              <w:rFonts w:ascii="Times New Roman" w:hAnsi="Times New Roman"/>
              <w:sz w:val="24"/>
              <w:szCs w:val="24"/>
            </w:rPr>
            <w:t xml:space="preserve"> convenio</w:t>
          </w:r>
          <w:r w:rsidR="009D2144">
            <w:rPr>
              <w:rFonts w:ascii="Times New Roman" w:hAnsi="Times New Roman"/>
              <w:sz w:val="24"/>
              <w:szCs w:val="24"/>
            </w:rPr>
            <w:t>s</w:t>
          </w:r>
          <w:r w:rsidRPr="00931DCE">
            <w:rPr>
              <w:rFonts w:ascii="Times New Roman" w:hAnsi="Times New Roman"/>
              <w:sz w:val="24"/>
              <w:szCs w:val="24"/>
            </w:rPr>
            <w:t>.</w:t>
          </w:r>
        </w:p>
        <w:p w14:paraId="1DA734E1" w14:textId="77777777" w:rsidR="00D56CC8" w:rsidRPr="00931DCE" w:rsidRDefault="00D56CC8" w:rsidP="00C045FE">
          <w:pPr>
            <w:spacing w:after="0" w:line="240" w:lineRule="auto"/>
            <w:jc w:val="both"/>
            <w:rPr>
              <w:rFonts w:ascii="Times New Roman" w:hAnsi="Times New Roman"/>
              <w:sz w:val="24"/>
              <w:szCs w:val="24"/>
            </w:rPr>
          </w:pPr>
        </w:p>
        <w:p w14:paraId="20C7C078" w14:textId="089EA571" w:rsidR="00DE7E53" w:rsidRPr="00931DCE" w:rsidRDefault="00DE7E53" w:rsidP="00C045FE">
          <w:pPr>
            <w:spacing w:after="0" w:line="240" w:lineRule="auto"/>
            <w:jc w:val="both"/>
            <w:rPr>
              <w:rFonts w:ascii="Times New Roman" w:hAnsi="Times New Roman"/>
              <w:sz w:val="24"/>
              <w:szCs w:val="24"/>
            </w:rPr>
          </w:pPr>
          <w:r w:rsidRPr="00931DCE">
            <w:rPr>
              <w:rFonts w:ascii="Times New Roman" w:hAnsi="Times New Roman"/>
              <w:sz w:val="24"/>
              <w:szCs w:val="24"/>
            </w:rPr>
            <w:t xml:space="preserve">Por </w:t>
          </w:r>
          <w:r w:rsidR="00C045FE" w:rsidRPr="00931DCE">
            <w:rPr>
              <w:rFonts w:ascii="Times New Roman" w:hAnsi="Times New Roman"/>
              <w:sz w:val="24"/>
              <w:szCs w:val="24"/>
            </w:rPr>
            <w:t>último,</w:t>
          </w:r>
          <w:r w:rsidRPr="00931DCE">
            <w:rPr>
              <w:rFonts w:ascii="Times New Roman" w:hAnsi="Times New Roman"/>
              <w:sz w:val="24"/>
              <w:szCs w:val="24"/>
            </w:rPr>
            <w:t xml:space="preserve"> se menciona que, los dos convenios vigentes con el Departamento de </w:t>
          </w:r>
          <w:r w:rsidR="00953E12" w:rsidRPr="00931DCE">
            <w:rPr>
              <w:rFonts w:ascii="Times New Roman" w:hAnsi="Times New Roman"/>
              <w:sz w:val="24"/>
              <w:szCs w:val="24"/>
            </w:rPr>
            <w:t>Boyacá</w:t>
          </w:r>
          <w:r w:rsidRPr="00931DCE">
            <w:rPr>
              <w:rFonts w:ascii="Times New Roman" w:hAnsi="Times New Roman"/>
              <w:sz w:val="24"/>
              <w:szCs w:val="24"/>
            </w:rPr>
            <w:t xml:space="preserve"> generaron operaciones recíprocas durante los cuatro trimestres del año </w:t>
          </w:r>
          <w:r w:rsidR="00EF6E05" w:rsidRPr="00931DCE">
            <w:rPr>
              <w:rFonts w:ascii="Times New Roman" w:hAnsi="Times New Roman"/>
              <w:sz w:val="24"/>
              <w:szCs w:val="24"/>
            </w:rPr>
            <w:t>202</w:t>
          </w:r>
          <w:r w:rsidR="00B570B4">
            <w:rPr>
              <w:rFonts w:ascii="Times New Roman" w:hAnsi="Times New Roman"/>
              <w:sz w:val="24"/>
              <w:szCs w:val="24"/>
            </w:rPr>
            <w:t>3</w:t>
          </w:r>
          <w:r w:rsidRPr="00931DCE">
            <w:rPr>
              <w:rFonts w:ascii="Times New Roman" w:hAnsi="Times New Roman"/>
              <w:sz w:val="24"/>
              <w:szCs w:val="24"/>
            </w:rPr>
            <w:t xml:space="preserve">, que fueron conciliadas de manera trimestral y reportadas en el CHIP en la cuenta contable correlativa, en atención a </w:t>
          </w:r>
          <w:r w:rsidR="00C045FE" w:rsidRPr="00931DCE">
            <w:rPr>
              <w:rFonts w:ascii="Times New Roman" w:hAnsi="Times New Roman"/>
              <w:sz w:val="24"/>
              <w:szCs w:val="24"/>
            </w:rPr>
            <w:t>lo estipulado en</w:t>
          </w:r>
          <w:r w:rsidRPr="00931DCE">
            <w:rPr>
              <w:rFonts w:ascii="Times New Roman" w:hAnsi="Times New Roman"/>
              <w:sz w:val="24"/>
              <w:szCs w:val="24"/>
            </w:rPr>
            <w:t xml:space="preserve"> la Resolución CGN No. 090 de 2020</w:t>
          </w:r>
          <w:r w:rsidR="00E61497">
            <w:rPr>
              <w:rFonts w:ascii="Times New Roman" w:hAnsi="Times New Roman"/>
              <w:sz w:val="24"/>
              <w:szCs w:val="24"/>
            </w:rPr>
            <w:t>.</w:t>
          </w:r>
          <w:r w:rsidRPr="00931DCE">
            <w:rPr>
              <w:rFonts w:ascii="Times New Roman" w:hAnsi="Times New Roman"/>
              <w:sz w:val="24"/>
              <w:szCs w:val="24"/>
            </w:rPr>
            <w:t xml:space="preserve"> </w:t>
          </w:r>
        </w:p>
        <w:p w14:paraId="2A2F7298" w14:textId="77777777" w:rsidR="00DE7E53" w:rsidRPr="00931DCE" w:rsidRDefault="00DE7E53" w:rsidP="00C045FE">
          <w:pPr>
            <w:spacing w:after="0" w:line="240" w:lineRule="auto"/>
            <w:jc w:val="both"/>
            <w:rPr>
              <w:rFonts w:ascii="Times New Roman" w:eastAsia="Times New Roman" w:hAnsi="Times New Roman"/>
              <w:color w:val="000000"/>
              <w:sz w:val="24"/>
              <w:szCs w:val="24"/>
              <w:u w:val="single"/>
              <w:lang w:eastAsia="es-CO"/>
            </w:rPr>
          </w:pPr>
        </w:p>
        <w:p w14:paraId="0EAB2A40" w14:textId="77777777" w:rsidR="00A649B3" w:rsidRDefault="00A649B3" w:rsidP="00A649B3">
          <w:pPr>
            <w:pStyle w:val="Prrafodelista"/>
            <w:spacing w:after="0" w:line="240" w:lineRule="auto"/>
            <w:ind w:left="284"/>
            <w:jc w:val="both"/>
            <w:rPr>
              <w:rFonts w:ascii="Times New Roman" w:hAnsi="Times New Roman"/>
              <w:sz w:val="24"/>
              <w:szCs w:val="24"/>
            </w:rPr>
          </w:pPr>
        </w:p>
        <w:p w14:paraId="68ED05BE" w14:textId="77777777" w:rsidR="00A649B3" w:rsidRPr="00A649B3" w:rsidRDefault="00A649B3" w:rsidP="00A649B3">
          <w:pPr>
            <w:shd w:val="clear" w:color="auto" w:fill="FFFFFF"/>
            <w:spacing w:after="0" w:line="240" w:lineRule="auto"/>
            <w:jc w:val="both"/>
            <w:textAlignment w:val="baseline"/>
            <w:rPr>
              <w:rFonts w:ascii="Times New Roman" w:eastAsia="Times New Roman" w:hAnsi="Times New Roman"/>
              <w:sz w:val="24"/>
              <w:szCs w:val="24"/>
              <w:u w:val="single"/>
              <w:lang w:eastAsia="es-CO"/>
            </w:rPr>
          </w:pPr>
          <w:r w:rsidRPr="00A649B3">
            <w:rPr>
              <w:rFonts w:ascii="Times New Roman" w:eastAsia="Times New Roman" w:hAnsi="Times New Roman"/>
              <w:sz w:val="24"/>
              <w:szCs w:val="24"/>
              <w:u w:val="single"/>
              <w:lang w:eastAsia="es-CO"/>
            </w:rPr>
            <w:lastRenderedPageBreak/>
            <w:t>Ministerio de Hacienda y Crédito Público – SCUN</w:t>
          </w:r>
        </w:p>
        <w:p w14:paraId="68023E76" w14:textId="77777777" w:rsidR="00A649B3" w:rsidRPr="00A649B3" w:rsidRDefault="00A649B3" w:rsidP="00A649B3">
          <w:pPr>
            <w:pStyle w:val="Prrafodelista"/>
            <w:shd w:val="clear" w:color="auto" w:fill="FFFFFF"/>
            <w:spacing w:after="0" w:line="240" w:lineRule="auto"/>
            <w:jc w:val="both"/>
            <w:textAlignment w:val="baseline"/>
            <w:rPr>
              <w:rFonts w:ascii="Times New Roman" w:hAnsi="Times New Roman"/>
              <w:sz w:val="24"/>
              <w:szCs w:val="24"/>
            </w:rPr>
          </w:pPr>
        </w:p>
        <w:p w14:paraId="3923190C" w14:textId="77777777" w:rsidR="00A649B3" w:rsidRPr="00A649B3" w:rsidRDefault="00A649B3" w:rsidP="00A649B3">
          <w:pPr>
            <w:shd w:val="clear" w:color="auto" w:fill="FFFFFF"/>
            <w:spacing w:after="0" w:line="240" w:lineRule="auto"/>
            <w:jc w:val="both"/>
            <w:textAlignment w:val="baseline"/>
            <w:rPr>
              <w:rFonts w:ascii="Times New Roman" w:hAnsi="Times New Roman"/>
              <w:sz w:val="24"/>
              <w:szCs w:val="24"/>
            </w:rPr>
          </w:pPr>
          <w:r w:rsidRPr="00A649B3">
            <w:rPr>
              <w:rFonts w:ascii="Times New Roman" w:hAnsi="Times New Roman"/>
              <w:sz w:val="24"/>
              <w:szCs w:val="24"/>
            </w:rPr>
            <w:t>El sistema de cuenta única nacional – SCUN es definido en el artículo 1º del Decreto 2785 del 29 de noviembre de 2013 como “el conjunto de procesos de recaudo, traslado, administración y giro de recursos realizados por los órganos que conforman el Presupuesto General de la Nación. Los lineamientos y procedimientos para el traslado de recursos al SCUN, su administración y giro serán establecidos por la Dirección General de Crédito Público y Tesoro Nacional del Ministerio de Hacienda y Crédito Público, conforme a las normas orgánicas del presupuesto”.</w:t>
          </w:r>
        </w:p>
        <w:p w14:paraId="1284B595" w14:textId="77777777" w:rsidR="00A649B3" w:rsidRPr="00A649B3" w:rsidRDefault="00A649B3" w:rsidP="00CD729F">
          <w:pPr>
            <w:pStyle w:val="Prrafodelista"/>
            <w:spacing w:after="0" w:line="240" w:lineRule="auto"/>
            <w:jc w:val="both"/>
            <w:rPr>
              <w:rFonts w:ascii="Times New Roman" w:hAnsi="Times New Roman"/>
              <w:sz w:val="24"/>
              <w:szCs w:val="24"/>
            </w:rPr>
          </w:pPr>
        </w:p>
        <w:p w14:paraId="284F24DB" w14:textId="7058E03D" w:rsidR="00A649B3" w:rsidRPr="00A649B3" w:rsidRDefault="00A649B3" w:rsidP="00A649B3">
          <w:pPr>
            <w:spacing w:after="0" w:line="240" w:lineRule="auto"/>
            <w:jc w:val="both"/>
            <w:rPr>
              <w:rFonts w:ascii="Times New Roman" w:hAnsi="Times New Roman"/>
              <w:sz w:val="24"/>
              <w:szCs w:val="24"/>
            </w:rPr>
          </w:pPr>
          <w:r w:rsidRPr="00CD729F">
            <w:rPr>
              <w:rFonts w:ascii="Times New Roman" w:hAnsi="Times New Roman"/>
              <w:sz w:val="24"/>
              <w:szCs w:val="24"/>
            </w:rPr>
            <w:t>Esta subcuenta contable, presenta a 31 de diciembre de 202</w:t>
          </w:r>
          <w:r w:rsidR="00F478E3" w:rsidRPr="00CD729F">
            <w:rPr>
              <w:rFonts w:ascii="Times New Roman" w:hAnsi="Times New Roman"/>
              <w:sz w:val="24"/>
              <w:szCs w:val="24"/>
            </w:rPr>
            <w:t>3</w:t>
          </w:r>
          <w:r w:rsidRPr="00CD729F">
            <w:rPr>
              <w:rFonts w:ascii="Times New Roman" w:hAnsi="Times New Roman"/>
              <w:sz w:val="24"/>
              <w:szCs w:val="24"/>
            </w:rPr>
            <w:t xml:space="preserve"> un saldo por valor de $</w:t>
          </w:r>
          <w:r w:rsidR="00E51E80" w:rsidRPr="009A46BB">
            <w:rPr>
              <w:rFonts w:ascii="Times New Roman" w:hAnsi="Times New Roman"/>
            </w:rPr>
            <w:t xml:space="preserve"> </w:t>
          </w:r>
          <w:r w:rsidR="00E51E80" w:rsidRPr="00CD729F">
            <w:rPr>
              <w:rFonts w:ascii="Times New Roman" w:hAnsi="Times New Roman"/>
              <w:sz w:val="24"/>
              <w:szCs w:val="24"/>
            </w:rPr>
            <w:t>166</w:t>
          </w:r>
          <w:r w:rsidR="00634688" w:rsidRPr="00CD729F">
            <w:rPr>
              <w:rFonts w:ascii="Times New Roman" w:hAnsi="Times New Roman"/>
              <w:sz w:val="24"/>
              <w:szCs w:val="24"/>
            </w:rPr>
            <w:t>.</w:t>
          </w:r>
          <w:r w:rsidR="00E51E80" w:rsidRPr="00CD729F">
            <w:rPr>
              <w:rFonts w:ascii="Times New Roman" w:hAnsi="Times New Roman"/>
              <w:sz w:val="24"/>
              <w:szCs w:val="24"/>
            </w:rPr>
            <w:t>993</w:t>
          </w:r>
          <w:r w:rsidR="00634688" w:rsidRPr="00CD729F">
            <w:rPr>
              <w:rFonts w:ascii="Times New Roman" w:hAnsi="Times New Roman"/>
              <w:sz w:val="24"/>
              <w:szCs w:val="24"/>
            </w:rPr>
            <w:t>.</w:t>
          </w:r>
          <w:r w:rsidR="00E51E80" w:rsidRPr="00CD729F">
            <w:rPr>
              <w:rFonts w:ascii="Times New Roman" w:hAnsi="Times New Roman"/>
              <w:sz w:val="24"/>
              <w:szCs w:val="24"/>
            </w:rPr>
            <w:t>752</w:t>
          </w:r>
          <w:r w:rsidR="00634688" w:rsidRPr="00CD729F">
            <w:rPr>
              <w:rFonts w:ascii="Times New Roman" w:hAnsi="Times New Roman"/>
              <w:sz w:val="24"/>
              <w:szCs w:val="24"/>
            </w:rPr>
            <w:t>.</w:t>
          </w:r>
          <w:r w:rsidR="00E51E80" w:rsidRPr="00CD729F">
            <w:rPr>
              <w:rFonts w:ascii="Times New Roman" w:hAnsi="Times New Roman"/>
              <w:sz w:val="24"/>
              <w:szCs w:val="24"/>
            </w:rPr>
            <w:t>462</w:t>
          </w:r>
          <w:r w:rsidRPr="00CD729F">
            <w:rPr>
              <w:rFonts w:ascii="Times New Roman" w:hAnsi="Times New Roman"/>
              <w:sz w:val="24"/>
              <w:szCs w:val="24"/>
            </w:rPr>
            <w:t>, que por su naturaleza y origen se debe conciliar mensualmente con la Dirección del Tesoro Nacional, en el formato establecido para ello, su saldo al cierre de la vigencia se encuentra conciliado con dicha Unidad Ejecutora.</w:t>
          </w:r>
        </w:p>
        <w:p w14:paraId="2CCEAE9C" w14:textId="77777777" w:rsidR="00DE7E53" w:rsidRPr="00931DCE" w:rsidRDefault="00DE7E53" w:rsidP="00DE7E53">
          <w:pPr>
            <w:pStyle w:val="Prrafodelista"/>
            <w:spacing w:after="0" w:line="240" w:lineRule="auto"/>
            <w:ind w:left="284"/>
            <w:jc w:val="both"/>
            <w:rPr>
              <w:rFonts w:ascii="Times New Roman" w:hAnsi="Times New Roman"/>
              <w:sz w:val="24"/>
              <w:szCs w:val="24"/>
            </w:rPr>
          </w:pPr>
        </w:p>
        <w:p w14:paraId="069F16DF" w14:textId="53C4659C" w:rsidR="00DE7E53" w:rsidRPr="00931DCE" w:rsidRDefault="00DE7E53" w:rsidP="00DE7E53">
          <w:pPr>
            <w:shd w:val="clear" w:color="auto" w:fill="FFFFFF"/>
            <w:spacing w:after="0" w:line="240" w:lineRule="auto"/>
            <w:jc w:val="both"/>
            <w:rPr>
              <w:rFonts w:ascii="Times New Roman" w:hAnsi="Times New Roman"/>
              <w:sz w:val="24"/>
              <w:szCs w:val="24"/>
            </w:rPr>
          </w:pPr>
          <w:r w:rsidRPr="00931DCE">
            <w:rPr>
              <w:rFonts w:ascii="Times New Roman" w:hAnsi="Times New Roman"/>
              <w:sz w:val="24"/>
              <w:szCs w:val="24"/>
              <w:u w:val="single"/>
            </w:rPr>
            <w:t>Encargo fiduciario – fiducia de administración y pagos</w:t>
          </w:r>
          <w:r w:rsidRPr="00931DCE">
            <w:rPr>
              <w:rFonts w:ascii="Times New Roman" w:hAnsi="Times New Roman"/>
              <w:sz w:val="24"/>
              <w:szCs w:val="24"/>
            </w:rPr>
            <w:t>: representa el valor de los aportes efectuados por la Agencia a Fiduprevisora, en su calidad de vocera y administradora del encargo fiduciario - Fondo de Contingencias de las Entidades Estatales.</w:t>
          </w:r>
        </w:p>
        <w:p w14:paraId="203D1A9E" w14:textId="77777777" w:rsidR="00DE7E53" w:rsidRPr="00931DCE" w:rsidRDefault="00DE7E53" w:rsidP="00DE7E53">
          <w:pPr>
            <w:shd w:val="clear" w:color="auto" w:fill="FFFFFF"/>
            <w:spacing w:after="0" w:line="240" w:lineRule="auto"/>
            <w:jc w:val="both"/>
            <w:rPr>
              <w:rFonts w:ascii="Times New Roman" w:hAnsi="Times New Roman"/>
              <w:sz w:val="24"/>
              <w:szCs w:val="24"/>
            </w:rPr>
          </w:pPr>
        </w:p>
        <w:p w14:paraId="6332DC50" w14:textId="77777777" w:rsidR="00DE7E53" w:rsidRPr="00931DCE" w:rsidRDefault="00DE7E53" w:rsidP="00DE7E53">
          <w:pPr>
            <w:autoSpaceDE w:val="0"/>
            <w:autoSpaceDN w:val="0"/>
            <w:adjustRightInd w:val="0"/>
            <w:spacing w:after="0" w:line="240" w:lineRule="auto"/>
            <w:jc w:val="both"/>
            <w:rPr>
              <w:rFonts w:ascii="Times New Roman" w:hAnsi="Times New Roman"/>
              <w:sz w:val="24"/>
              <w:szCs w:val="24"/>
            </w:rPr>
          </w:pPr>
          <w:r w:rsidRPr="00931DCE">
            <w:rPr>
              <w:rFonts w:ascii="Times New Roman" w:hAnsi="Times New Roman"/>
              <w:sz w:val="24"/>
              <w:szCs w:val="24"/>
            </w:rPr>
            <w:t xml:space="preserve">El Fondo de Contingencias de las Entidades Estatales, es una cuenta especial, sin personería jurídica, administrada por la Fiduciaria la Previsora S.A., cuyo fideicomitente es el Ministerio de Hacienda y Crédito Público. Los recursos, así como los asuntos relacionados con pasivos del Fondo, serán administrados por la Dirección General de Crédito Público y Tesoro Nacional (DGCPTN). </w:t>
          </w:r>
        </w:p>
        <w:p w14:paraId="313ADCC1" w14:textId="77777777" w:rsidR="00DE7E53" w:rsidRPr="00931DCE" w:rsidRDefault="00DE7E53" w:rsidP="00DE7E53">
          <w:pPr>
            <w:autoSpaceDE w:val="0"/>
            <w:autoSpaceDN w:val="0"/>
            <w:adjustRightInd w:val="0"/>
            <w:spacing w:after="0" w:line="240" w:lineRule="auto"/>
            <w:jc w:val="both"/>
            <w:rPr>
              <w:rFonts w:ascii="Times New Roman" w:hAnsi="Times New Roman"/>
              <w:sz w:val="24"/>
              <w:szCs w:val="24"/>
            </w:rPr>
          </w:pPr>
        </w:p>
        <w:p w14:paraId="3A339CF9" w14:textId="77777777" w:rsidR="00DE7E53" w:rsidRPr="00931DCE" w:rsidRDefault="00DE7E53" w:rsidP="00DE7E53">
          <w:pPr>
            <w:autoSpaceDE w:val="0"/>
            <w:autoSpaceDN w:val="0"/>
            <w:adjustRightInd w:val="0"/>
            <w:spacing w:after="0" w:line="240" w:lineRule="auto"/>
            <w:jc w:val="both"/>
            <w:rPr>
              <w:rFonts w:ascii="Times New Roman" w:hAnsi="Times New Roman"/>
              <w:sz w:val="24"/>
              <w:szCs w:val="24"/>
            </w:rPr>
          </w:pPr>
          <w:r w:rsidRPr="00931DCE">
            <w:rPr>
              <w:rFonts w:ascii="Times New Roman" w:hAnsi="Times New Roman"/>
              <w:sz w:val="24"/>
              <w:szCs w:val="24"/>
            </w:rPr>
            <w:t xml:space="preserve">El Fondo de contingencias de las entidades estatales, tiene por objeto la implantación de un sistema para su manejo basado en un criterio preventivo de disciplina fiscal. Es un mecanismo de cobertura ante la ocurrencia de riesgos. </w:t>
          </w:r>
        </w:p>
        <w:p w14:paraId="6919D386" w14:textId="77777777" w:rsidR="00DE7E53" w:rsidRPr="00931DCE" w:rsidRDefault="00DE7E53" w:rsidP="00DE7E53">
          <w:pPr>
            <w:autoSpaceDE w:val="0"/>
            <w:autoSpaceDN w:val="0"/>
            <w:adjustRightInd w:val="0"/>
            <w:spacing w:after="0" w:line="240" w:lineRule="auto"/>
            <w:jc w:val="both"/>
            <w:rPr>
              <w:rFonts w:ascii="Times New Roman" w:hAnsi="Times New Roman"/>
              <w:sz w:val="24"/>
              <w:szCs w:val="24"/>
            </w:rPr>
          </w:pPr>
        </w:p>
        <w:p w14:paraId="1ED49812" w14:textId="0B88612C" w:rsidR="00DE7E53" w:rsidRPr="00931DCE" w:rsidRDefault="00DE7E53" w:rsidP="00C045FE">
          <w:pPr>
            <w:autoSpaceDE w:val="0"/>
            <w:autoSpaceDN w:val="0"/>
            <w:adjustRightInd w:val="0"/>
            <w:spacing w:after="0" w:line="240" w:lineRule="auto"/>
            <w:jc w:val="both"/>
            <w:rPr>
              <w:rFonts w:ascii="Times New Roman" w:hAnsi="Times New Roman"/>
              <w:sz w:val="24"/>
              <w:szCs w:val="24"/>
            </w:rPr>
          </w:pPr>
          <w:r w:rsidRPr="00931DCE">
            <w:rPr>
              <w:rFonts w:ascii="Times New Roman" w:hAnsi="Times New Roman"/>
              <w:sz w:val="24"/>
              <w:szCs w:val="24"/>
            </w:rPr>
            <w:t xml:space="preserve">Este Fondo, administra los recursos que transfiere la Agencia con el fin de cubrir obligaciones contingentes derivadas de la celebración de contratos de infraestructura bajo el esquema de acuerdos de concesión, o de la suscripción de operaciones de crédito público garantizadas por la Nación, dicho aporte de </w:t>
          </w:r>
          <w:r w:rsidR="00C045FE" w:rsidRPr="00931DCE">
            <w:rPr>
              <w:rFonts w:ascii="Times New Roman" w:hAnsi="Times New Roman"/>
              <w:sz w:val="24"/>
              <w:szCs w:val="24"/>
            </w:rPr>
            <w:t>recursos</w:t>
          </w:r>
          <w:r w:rsidRPr="00931DCE">
            <w:rPr>
              <w:rFonts w:ascii="Times New Roman" w:hAnsi="Times New Roman"/>
              <w:sz w:val="24"/>
              <w:szCs w:val="24"/>
            </w:rPr>
            <w:t xml:space="preserve"> se realiza en los montos y plazos calculados con las metodologías de valoración de pasivos contingentes que ha desarrollado el Ministerio de Hacienda y Crédito Público.</w:t>
          </w:r>
        </w:p>
        <w:p w14:paraId="5CDA9C97" w14:textId="77777777" w:rsidR="00DE7E53" w:rsidRPr="00931DCE" w:rsidRDefault="00DE7E53" w:rsidP="00C045FE">
          <w:pPr>
            <w:spacing w:after="0" w:line="240" w:lineRule="auto"/>
            <w:jc w:val="both"/>
            <w:rPr>
              <w:rFonts w:ascii="Times New Roman" w:hAnsi="Times New Roman"/>
              <w:sz w:val="24"/>
              <w:szCs w:val="24"/>
            </w:rPr>
          </w:pP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4A0" w:firstRow="1" w:lastRow="0" w:firstColumn="1" w:lastColumn="0" w:noHBand="0" w:noVBand="1"/>
          </w:tblPr>
          <w:tblGrid>
            <w:gridCol w:w="243"/>
            <w:gridCol w:w="185"/>
            <w:gridCol w:w="200"/>
            <w:gridCol w:w="5900"/>
            <w:gridCol w:w="2441"/>
          </w:tblGrid>
          <w:tr w:rsidR="00D842D1" w:rsidRPr="00324BEB" w14:paraId="28E0F403" w14:textId="77777777" w:rsidTr="00E756EA">
            <w:trPr>
              <w:trHeight w:val="340"/>
              <w:tblHeader/>
            </w:trPr>
            <w:tc>
              <w:tcPr>
                <w:tcW w:w="3633" w:type="pct"/>
                <w:gridSpan w:val="4"/>
                <w:shd w:val="clear" w:color="auto" w:fill="auto"/>
                <w:vAlign w:val="center"/>
                <w:hideMark/>
              </w:tcPr>
              <w:p w14:paraId="321C1A52" w14:textId="77777777" w:rsidR="00D842D1" w:rsidRPr="00324BEB" w:rsidRDefault="00D842D1" w:rsidP="00D842D1">
                <w:pPr>
                  <w:spacing w:after="0" w:line="240" w:lineRule="auto"/>
                  <w:jc w:val="center"/>
                  <w:rPr>
                    <w:rFonts w:ascii="Times New Roman" w:eastAsia="Times New Roman" w:hAnsi="Times New Roman"/>
                    <w:b/>
                    <w:color w:val="000000"/>
                    <w:sz w:val="18"/>
                    <w:szCs w:val="18"/>
                    <w:lang w:eastAsia="es-CO"/>
                  </w:rPr>
                </w:pPr>
                <w:r w:rsidRPr="00324BEB">
                  <w:rPr>
                    <w:rFonts w:ascii="Times New Roman" w:eastAsia="Times New Roman" w:hAnsi="Times New Roman"/>
                    <w:b/>
                    <w:color w:val="000000"/>
                    <w:sz w:val="18"/>
                    <w:szCs w:val="18"/>
                    <w:lang w:eastAsia="es-CO"/>
                  </w:rPr>
                  <w:t>CONCEPTOS Y TRANSACCIONES</w:t>
                </w:r>
              </w:p>
            </w:tc>
            <w:tc>
              <w:tcPr>
                <w:tcW w:w="1367" w:type="pct"/>
                <w:shd w:val="clear" w:color="auto" w:fill="auto"/>
                <w:vAlign w:val="center"/>
                <w:hideMark/>
              </w:tcPr>
              <w:p w14:paraId="7B2A8298" w14:textId="77777777" w:rsidR="00D842D1" w:rsidRPr="00324BEB" w:rsidRDefault="00D842D1" w:rsidP="00D842D1">
                <w:pPr>
                  <w:spacing w:after="0" w:line="240" w:lineRule="auto"/>
                  <w:jc w:val="center"/>
                  <w:rPr>
                    <w:rFonts w:ascii="Times New Roman" w:eastAsia="Times New Roman" w:hAnsi="Times New Roman"/>
                    <w:b/>
                    <w:color w:val="000000"/>
                    <w:sz w:val="18"/>
                    <w:szCs w:val="18"/>
                    <w:lang w:eastAsia="es-CO"/>
                  </w:rPr>
                </w:pPr>
                <w:r w:rsidRPr="00324BEB">
                  <w:rPr>
                    <w:rFonts w:ascii="Times New Roman" w:eastAsia="Times New Roman" w:hAnsi="Times New Roman"/>
                    <w:b/>
                    <w:color w:val="000000"/>
                    <w:sz w:val="18"/>
                    <w:szCs w:val="18"/>
                    <w:lang w:eastAsia="es-CO"/>
                  </w:rPr>
                  <w:t>FONDO DE CONTINGENCIAS ENTIDADES ESTATALES</w:t>
                </w:r>
              </w:p>
            </w:tc>
          </w:tr>
          <w:tr w:rsidR="00D842D1" w:rsidRPr="00324BEB" w14:paraId="59568E6A" w14:textId="77777777" w:rsidTr="008F1765">
            <w:trPr>
              <w:trHeight w:val="340"/>
            </w:trPr>
            <w:tc>
              <w:tcPr>
                <w:tcW w:w="3633" w:type="pct"/>
                <w:gridSpan w:val="4"/>
                <w:shd w:val="clear" w:color="auto" w:fill="auto"/>
                <w:vAlign w:val="center"/>
                <w:hideMark/>
              </w:tcPr>
              <w:p w14:paraId="58FDD50E" w14:textId="77777777" w:rsidR="00D842D1" w:rsidRPr="00324BEB" w:rsidRDefault="00D842D1" w:rsidP="00D842D1">
                <w:pPr>
                  <w:spacing w:after="0" w:line="240" w:lineRule="auto"/>
                  <w:jc w:val="both"/>
                  <w:rPr>
                    <w:rFonts w:ascii="Times New Roman" w:eastAsia="Times New Roman" w:hAnsi="Times New Roman"/>
                    <w:b/>
                    <w:color w:val="000000"/>
                    <w:sz w:val="18"/>
                    <w:szCs w:val="18"/>
                    <w:lang w:eastAsia="es-CO"/>
                  </w:rPr>
                </w:pPr>
                <w:r w:rsidRPr="00324BEB">
                  <w:rPr>
                    <w:rFonts w:ascii="Times New Roman" w:eastAsia="Times New Roman" w:hAnsi="Times New Roman"/>
                    <w:b/>
                    <w:color w:val="000000"/>
                    <w:sz w:val="18"/>
                    <w:szCs w:val="18"/>
                    <w:lang w:eastAsia="es-CO"/>
                  </w:rPr>
                  <w:t>SALDO INICIAL</w:t>
                </w:r>
              </w:p>
            </w:tc>
            <w:tc>
              <w:tcPr>
                <w:tcW w:w="1367" w:type="pct"/>
                <w:shd w:val="clear" w:color="auto" w:fill="auto"/>
                <w:noWrap/>
                <w:vAlign w:val="center"/>
                <w:hideMark/>
              </w:tcPr>
              <w:p w14:paraId="1CE35C3F" w14:textId="77777777" w:rsidR="00D842D1" w:rsidRPr="00324BEB" w:rsidRDefault="00D842D1" w:rsidP="00D842D1">
                <w:pPr>
                  <w:spacing w:after="0" w:line="240" w:lineRule="auto"/>
                  <w:jc w:val="right"/>
                  <w:rPr>
                    <w:rFonts w:ascii="Times New Roman" w:eastAsia="Times New Roman" w:hAnsi="Times New Roman"/>
                    <w:b/>
                    <w:color w:val="000000"/>
                    <w:sz w:val="18"/>
                    <w:szCs w:val="18"/>
                    <w:lang w:eastAsia="es-CO"/>
                  </w:rPr>
                </w:pPr>
                <w:r w:rsidRPr="00324BEB">
                  <w:rPr>
                    <w:rFonts w:ascii="Times New Roman" w:eastAsia="Times New Roman" w:hAnsi="Times New Roman"/>
                    <w:b/>
                    <w:color w:val="000000"/>
                    <w:sz w:val="18"/>
                    <w:szCs w:val="18"/>
                    <w:lang w:eastAsia="es-CO"/>
                  </w:rPr>
                  <w:t>5.486.797.203.674</w:t>
                </w:r>
              </w:p>
            </w:tc>
          </w:tr>
          <w:tr w:rsidR="00D842D1" w:rsidRPr="00324BEB" w14:paraId="29DFB608" w14:textId="77777777" w:rsidTr="008F1765">
            <w:trPr>
              <w:trHeight w:val="340"/>
            </w:trPr>
            <w:tc>
              <w:tcPr>
                <w:tcW w:w="129" w:type="pct"/>
                <w:shd w:val="clear" w:color="auto" w:fill="auto"/>
                <w:noWrap/>
                <w:vAlign w:val="center"/>
                <w:hideMark/>
              </w:tcPr>
              <w:p w14:paraId="68A254D1" w14:textId="77777777" w:rsidR="00D842D1" w:rsidRPr="00324BEB" w:rsidRDefault="00D842D1" w:rsidP="00D842D1">
                <w:pPr>
                  <w:spacing w:after="0" w:line="240" w:lineRule="auto"/>
                  <w:jc w:val="both"/>
                  <w:rPr>
                    <w:rFonts w:ascii="Times New Roman" w:eastAsia="Times New Roman" w:hAnsi="Times New Roman"/>
                    <w:b/>
                    <w:color w:val="000000"/>
                    <w:sz w:val="18"/>
                    <w:szCs w:val="18"/>
                    <w:lang w:eastAsia="es-CO"/>
                  </w:rPr>
                </w:pPr>
                <w:r w:rsidRPr="00324BEB">
                  <w:rPr>
                    <w:rFonts w:ascii="Times New Roman" w:eastAsia="Times New Roman" w:hAnsi="Times New Roman"/>
                    <w:b/>
                    <w:color w:val="000000"/>
                    <w:sz w:val="18"/>
                    <w:szCs w:val="18"/>
                    <w:lang w:eastAsia="es-CO"/>
                  </w:rPr>
                  <w:t>+</w:t>
                </w:r>
              </w:p>
            </w:tc>
            <w:tc>
              <w:tcPr>
                <w:tcW w:w="3503" w:type="pct"/>
                <w:gridSpan w:val="3"/>
                <w:shd w:val="clear" w:color="auto" w:fill="auto"/>
                <w:vAlign w:val="center"/>
                <w:hideMark/>
              </w:tcPr>
              <w:p w14:paraId="369CCDBD" w14:textId="77777777" w:rsidR="00D842D1" w:rsidRPr="00324BEB" w:rsidRDefault="00D842D1" w:rsidP="00D842D1">
                <w:pPr>
                  <w:spacing w:after="0" w:line="240" w:lineRule="auto"/>
                  <w:jc w:val="both"/>
                  <w:rPr>
                    <w:rFonts w:ascii="Times New Roman" w:eastAsia="Times New Roman" w:hAnsi="Times New Roman"/>
                    <w:b/>
                    <w:color w:val="000000"/>
                    <w:sz w:val="18"/>
                    <w:szCs w:val="18"/>
                    <w:lang w:eastAsia="es-CO"/>
                  </w:rPr>
                </w:pPr>
                <w:r w:rsidRPr="00324BEB">
                  <w:rPr>
                    <w:rFonts w:ascii="Times New Roman" w:eastAsia="Times New Roman" w:hAnsi="Times New Roman"/>
                    <w:b/>
                    <w:color w:val="000000"/>
                    <w:sz w:val="18"/>
                    <w:szCs w:val="18"/>
                    <w:lang w:eastAsia="es-CO"/>
                  </w:rPr>
                  <w:t>ENTRADAS (DB):</w:t>
                </w:r>
              </w:p>
            </w:tc>
            <w:tc>
              <w:tcPr>
                <w:tcW w:w="1367" w:type="pct"/>
                <w:shd w:val="clear" w:color="auto" w:fill="auto"/>
                <w:noWrap/>
                <w:vAlign w:val="center"/>
                <w:hideMark/>
              </w:tcPr>
              <w:p w14:paraId="388D9025" w14:textId="77777777" w:rsidR="00D842D1" w:rsidRPr="00324BEB" w:rsidRDefault="00D842D1" w:rsidP="00D842D1">
                <w:pPr>
                  <w:spacing w:after="0" w:line="240" w:lineRule="auto"/>
                  <w:jc w:val="right"/>
                  <w:rPr>
                    <w:rFonts w:ascii="Times New Roman" w:eastAsia="Times New Roman" w:hAnsi="Times New Roman"/>
                    <w:b/>
                    <w:color w:val="000000"/>
                    <w:sz w:val="18"/>
                    <w:szCs w:val="18"/>
                    <w:lang w:eastAsia="es-CO"/>
                  </w:rPr>
                </w:pPr>
                <w:r w:rsidRPr="00324BEB">
                  <w:rPr>
                    <w:rFonts w:ascii="Times New Roman" w:eastAsia="Times New Roman" w:hAnsi="Times New Roman"/>
                    <w:b/>
                    <w:color w:val="000000"/>
                    <w:sz w:val="18"/>
                    <w:szCs w:val="18"/>
                    <w:lang w:eastAsia="es-CO"/>
                  </w:rPr>
                  <w:t>4.253.605.348.606</w:t>
                </w:r>
              </w:p>
            </w:tc>
          </w:tr>
          <w:tr w:rsidR="00D842D1" w:rsidRPr="00324BEB" w14:paraId="3D8645BA" w14:textId="77777777" w:rsidTr="008F1765">
            <w:trPr>
              <w:trHeight w:val="340"/>
            </w:trPr>
            <w:tc>
              <w:tcPr>
                <w:tcW w:w="129" w:type="pct"/>
                <w:shd w:val="clear" w:color="auto" w:fill="auto"/>
                <w:noWrap/>
                <w:vAlign w:val="center"/>
                <w:hideMark/>
              </w:tcPr>
              <w:p w14:paraId="06571B8A" w14:textId="77777777" w:rsidR="00D842D1" w:rsidRPr="00324BEB" w:rsidRDefault="00D842D1" w:rsidP="00D842D1">
                <w:pPr>
                  <w:spacing w:after="0" w:line="240" w:lineRule="auto"/>
                  <w:jc w:val="both"/>
                  <w:rPr>
                    <w:rFonts w:ascii="Times New Roman" w:eastAsia="Times New Roman" w:hAnsi="Times New Roman"/>
                    <w:color w:val="000000"/>
                    <w:sz w:val="18"/>
                    <w:szCs w:val="18"/>
                    <w:lang w:eastAsia="es-CO"/>
                  </w:rPr>
                </w:pPr>
                <w:r w:rsidRPr="00324BEB">
                  <w:rPr>
                    <w:rFonts w:ascii="Times New Roman" w:eastAsia="Times New Roman" w:hAnsi="Times New Roman"/>
                    <w:color w:val="000000"/>
                    <w:sz w:val="18"/>
                    <w:szCs w:val="18"/>
                    <w:lang w:eastAsia="es-CO"/>
                  </w:rPr>
                  <w:t> </w:t>
                </w:r>
              </w:p>
            </w:tc>
            <w:tc>
              <w:tcPr>
                <w:tcW w:w="100" w:type="pct"/>
                <w:shd w:val="clear" w:color="auto" w:fill="auto"/>
                <w:noWrap/>
                <w:vAlign w:val="center"/>
                <w:hideMark/>
              </w:tcPr>
              <w:p w14:paraId="56C82D50" w14:textId="77777777" w:rsidR="00D842D1" w:rsidRPr="00324BEB" w:rsidRDefault="00D842D1" w:rsidP="00D842D1">
                <w:pPr>
                  <w:spacing w:after="0" w:line="240" w:lineRule="auto"/>
                  <w:jc w:val="both"/>
                  <w:rPr>
                    <w:rFonts w:ascii="Times New Roman" w:eastAsia="Times New Roman" w:hAnsi="Times New Roman"/>
                    <w:color w:val="000000"/>
                    <w:sz w:val="18"/>
                    <w:szCs w:val="18"/>
                    <w:lang w:eastAsia="es-CO"/>
                  </w:rPr>
                </w:pPr>
                <w:r w:rsidRPr="00324BEB">
                  <w:rPr>
                    <w:rFonts w:ascii="Times New Roman" w:eastAsia="Times New Roman" w:hAnsi="Times New Roman"/>
                    <w:color w:val="000000"/>
                    <w:sz w:val="18"/>
                    <w:szCs w:val="18"/>
                    <w:lang w:eastAsia="es-CO"/>
                  </w:rPr>
                  <w:t> </w:t>
                </w:r>
              </w:p>
            </w:tc>
            <w:tc>
              <w:tcPr>
                <w:tcW w:w="3403" w:type="pct"/>
                <w:gridSpan w:val="2"/>
                <w:shd w:val="clear" w:color="auto" w:fill="auto"/>
                <w:vAlign w:val="center"/>
                <w:hideMark/>
              </w:tcPr>
              <w:p w14:paraId="587F2808" w14:textId="77777777" w:rsidR="00D842D1" w:rsidRPr="00324BEB" w:rsidRDefault="00D842D1" w:rsidP="00D842D1">
                <w:pPr>
                  <w:spacing w:after="0" w:line="240" w:lineRule="auto"/>
                  <w:jc w:val="both"/>
                  <w:rPr>
                    <w:rFonts w:ascii="Times New Roman" w:eastAsia="Times New Roman" w:hAnsi="Times New Roman"/>
                    <w:color w:val="000000"/>
                    <w:sz w:val="18"/>
                    <w:szCs w:val="18"/>
                    <w:lang w:eastAsia="es-CO"/>
                  </w:rPr>
                </w:pPr>
                <w:r w:rsidRPr="00324BEB">
                  <w:rPr>
                    <w:rFonts w:ascii="Times New Roman" w:eastAsia="Times New Roman" w:hAnsi="Times New Roman"/>
                    <w:color w:val="000000"/>
                    <w:sz w:val="18"/>
                    <w:szCs w:val="18"/>
                    <w:lang w:eastAsia="es-CO"/>
                  </w:rPr>
                  <w:t>Aportes ANI Infraestructura</w:t>
                </w:r>
              </w:p>
            </w:tc>
            <w:tc>
              <w:tcPr>
                <w:tcW w:w="1367" w:type="pct"/>
                <w:shd w:val="clear" w:color="auto" w:fill="auto"/>
                <w:noWrap/>
                <w:vAlign w:val="center"/>
                <w:hideMark/>
              </w:tcPr>
              <w:p w14:paraId="212FB02C" w14:textId="77777777" w:rsidR="00D842D1" w:rsidRPr="00324BEB" w:rsidRDefault="00D842D1" w:rsidP="00D842D1">
                <w:pPr>
                  <w:spacing w:after="0" w:line="240" w:lineRule="auto"/>
                  <w:jc w:val="right"/>
                  <w:rPr>
                    <w:rFonts w:ascii="Times New Roman" w:eastAsia="Times New Roman" w:hAnsi="Times New Roman"/>
                    <w:color w:val="000000"/>
                    <w:sz w:val="18"/>
                    <w:szCs w:val="18"/>
                    <w:lang w:eastAsia="es-CO"/>
                  </w:rPr>
                </w:pPr>
                <w:r w:rsidRPr="00324BEB">
                  <w:rPr>
                    <w:rFonts w:ascii="Times New Roman" w:eastAsia="Times New Roman" w:hAnsi="Times New Roman"/>
                    <w:color w:val="000000"/>
                    <w:sz w:val="18"/>
                    <w:szCs w:val="18"/>
                    <w:lang w:eastAsia="es-CO"/>
                  </w:rPr>
                  <w:t>3.077.909.803.112</w:t>
                </w:r>
              </w:p>
            </w:tc>
          </w:tr>
          <w:tr w:rsidR="00D842D1" w:rsidRPr="00324BEB" w14:paraId="053C574E" w14:textId="77777777" w:rsidTr="008F1765">
            <w:trPr>
              <w:trHeight w:val="340"/>
            </w:trPr>
            <w:tc>
              <w:tcPr>
                <w:tcW w:w="129" w:type="pct"/>
                <w:shd w:val="clear" w:color="auto" w:fill="auto"/>
                <w:noWrap/>
                <w:vAlign w:val="center"/>
                <w:hideMark/>
              </w:tcPr>
              <w:p w14:paraId="632DBDD2" w14:textId="77777777" w:rsidR="00D842D1" w:rsidRPr="00324BEB" w:rsidRDefault="00D842D1" w:rsidP="00D842D1">
                <w:pPr>
                  <w:spacing w:after="0" w:line="240" w:lineRule="auto"/>
                  <w:jc w:val="both"/>
                  <w:rPr>
                    <w:rFonts w:ascii="Times New Roman" w:eastAsia="Times New Roman" w:hAnsi="Times New Roman"/>
                    <w:color w:val="000000"/>
                    <w:sz w:val="18"/>
                    <w:szCs w:val="18"/>
                    <w:lang w:eastAsia="es-CO"/>
                  </w:rPr>
                </w:pPr>
                <w:r w:rsidRPr="00324BEB">
                  <w:rPr>
                    <w:rFonts w:ascii="Times New Roman" w:eastAsia="Times New Roman" w:hAnsi="Times New Roman"/>
                    <w:color w:val="000000"/>
                    <w:sz w:val="18"/>
                    <w:szCs w:val="18"/>
                    <w:lang w:eastAsia="es-CO"/>
                  </w:rPr>
                  <w:t> </w:t>
                </w:r>
              </w:p>
            </w:tc>
            <w:tc>
              <w:tcPr>
                <w:tcW w:w="100" w:type="pct"/>
                <w:shd w:val="clear" w:color="auto" w:fill="auto"/>
                <w:noWrap/>
                <w:vAlign w:val="center"/>
                <w:hideMark/>
              </w:tcPr>
              <w:p w14:paraId="6CD8058A" w14:textId="77777777" w:rsidR="00D842D1" w:rsidRPr="00324BEB" w:rsidRDefault="00D842D1" w:rsidP="00D842D1">
                <w:pPr>
                  <w:spacing w:after="0" w:line="240" w:lineRule="auto"/>
                  <w:jc w:val="both"/>
                  <w:rPr>
                    <w:rFonts w:ascii="Times New Roman" w:eastAsia="Times New Roman" w:hAnsi="Times New Roman"/>
                    <w:color w:val="000000"/>
                    <w:sz w:val="18"/>
                    <w:szCs w:val="18"/>
                    <w:lang w:eastAsia="es-CO"/>
                  </w:rPr>
                </w:pPr>
                <w:r w:rsidRPr="00324BEB">
                  <w:rPr>
                    <w:rFonts w:ascii="Times New Roman" w:eastAsia="Times New Roman" w:hAnsi="Times New Roman"/>
                    <w:color w:val="000000"/>
                    <w:sz w:val="18"/>
                    <w:szCs w:val="18"/>
                    <w:lang w:eastAsia="es-CO"/>
                  </w:rPr>
                  <w:t> </w:t>
                </w:r>
              </w:p>
            </w:tc>
            <w:tc>
              <w:tcPr>
                <w:tcW w:w="3403" w:type="pct"/>
                <w:gridSpan w:val="2"/>
                <w:shd w:val="clear" w:color="auto" w:fill="auto"/>
                <w:vAlign w:val="center"/>
                <w:hideMark/>
              </w:tcPr>
              <w:p w14:paraId="365980AF" w14:textId="77777777" w:rsidR="00D842D1" w:rsidRPr="00324BEB" w:rsidRDefault="00D842D1" w:rsidP="00D842D1">
                <w:pPr>
                  <w:spacing w:after="0" w:line="240" w:lineRule="auto"/>
                  <w:jc w:val="both"/>
                  <w:rPr>
                    <w:rFonts w:ascii="Times New Roman" w:eastAsia="Times New Roman" w:hAnsi="Times New Roman"/>
                    <w:color w:val="000000"/>
                    <w:sz w:val="18"/>
                    <w:szCs w:val="18"/>
                    <w:lang w:eastAsia="es-CO"/>
                  </w:rPr>
                </w:pPr>
                <w:r w:rsidRPr="00324BEB">
                  <w:rPr>
                    <w:rFonts w:ascii="Times New Roman" w:eastAsia="Times New Roman" w:hAnsi="Times New Roman"/>
                    <w:color w:val="000000"/>
                    <w:sz w:val="18"/>
                    <w:szCs w:val="18"/>
                    <w:lang w:eastAsia="es-CO"/>
                  </w:rPr>
                  <w:t>Actualización Rendimientos _ Infraestructura</w:t>
                </w:r>
              </w:p>
            </w:tc>
            <w:tc>
              <w:tcPr>
                <w:tcW w:w="1367" w:type="pct"/>
                <w:shd w:val="clear" w:color="auto" w:fill="auto"/>
                <w:noWrap/>
                <w:vAlign w:val="center"/>
                <w:hideMark/>
              </w:tcPr>
              <w:p w14:paraId="22AA95AA" w14:textId="77777777" w:rsidR="00D842D1" w:rsidRPr="00324BEB" w:rsidRDefault="00D842D1" w:rsidP="00D842D1">
                <w:pPr>
                  <w:spacing w:after="0" w:line="240" w:lineRule="auto"/>
                  <w:jc w:val="right"/>
                  <w:rPr>
                    <w:rFonts w:ascii="Times New Roman" w:eastAsia="Times New Roman" w:hAnsi="Times New Roman"/>
                    <w:color w:val="000000"/>
                    <w:sz w:val="18"/>
                    <w:szCs w:val="18"/>
                    <w:lang w:eastAsia="es-CO"/>
                  </w:rPr>
                </w:pPr>
                <w:r w:rsidRPr="00324BEB">
                  <w:rPr>
                    <w:rFonts w:ascii="Times New Roman" w:eastAsia="Times New Roman" w:hAnsi="Times New Roman"/>
                    <w:color w:val="000000"/>
                    <w:sz w:val="18"/>
                    <w:szCs w:val="18"/>
                    <w:lang w:eastAsia="es-CO"/>
                  </w:rPr>
                  <w:t>1.119.789.229.803</w:t>
                </w:r>
              </w:p>
            </w:tc>
          </w:tr>
          <w:tr w:rsidR="00D842D1" w:rsidRPr="00324BEB" w14:paraId="7D4EE602" w14:textId="77777777" w:rsidTr="008F1765">
            <w:trPr>
              <w:trHeight w:val="340"/>
            </w:trPr>
            <w:tc>
              <w:tcPr>
                <w:tcW w:w="129" w:type="pct"/>
                <w:shd w:val="clear" w:color="auto" w:fill="auto"/>
                <w:noWrap/>
                <w:vAlign w:val="center"/>
                <w:hideMark/>
              </w:tcPr>
              <w:p w14:paraId="76EDF5D1" w14:textId="77777777" w:rsidR="00D842D1" w:rsidRPr="00324BEB" w:rsidRDefault="00D842D1" w:rsidP="00D842D1">
                <w:pPr>
                  <w:spacing w:after="0" w:line="240" w:lineRule="auto"/>
                  <w:jc w:val="both"/>
                  <w:rPr>
                    <w:rFonts w:ascii="Times New Roman" w:eastAsia="Times New Roman" w:hAnsi="Times New Roman"/>
                    <w:color w:val="000000"/>
                    <w:sz w:val="18"/>
                    <w:szCs w:val="18"/>
                    <w:lang w:eastAsia="es-CO"/>
                  </w:rPr>
                </w:pPr>
                <w:r w:rsidRPr="00324BEB">
                  <w:rPr>
                    <w:rFonts w:ascii="Times New Roman" w:eastAsia="Times New Roman" w:hAnsi="Times New Roman"/>
                    <w:color w:val="000000"/>
                    <w:sz w:val="18"/>
                    <w:szCs w:val="18"/>
                    <w:lang w:eastAsia="es-CO"/>
                  </w:rPr>
                  <w:t> </w:t>
                </w:r>
              </w:p>
            </w:tc>
            <w:tc>
              <w:tcPr>
                <w:tcW w:w="100" w:type="pct"/>
                <w:shd w:val="clear" w:color="auto" w:fill="auto"/>
                <w:noWrap/>
                <w:vAlign w:val="center"/>
                <w:hideMark/>
              </w:tcPr>
              <w:p w14:paraId="21FC52C1" w14:textId="77777777" w:rsidR="00D842D1" w:rsidRPr="00324BEB" w:rsidRDefault="00D842D1" w:rsidP="00D842D1">
                <w:pPr>
                  <w:spacing w:after="0" w:line="240" w:lineRule="auto"/>
                  <w:jc w:val="both"/>
                  <w:rPr>
                    <w:rFonts w:ascii="Times New Roman" w:eastAsia="Times New Roman" w:hAnsi="Times New Roman"/>
                    <w:color w:val="000000"/>
                    <w:sz w:val="18"/>
                    <w:szCs w:val="18"/>
                    <w:lang w:eastAsia="es-CO"/>
                  </w:rPr>
                </w:pPr>
                <w:r w:rsidRPr="00324BEB">
                  <w:rPr>
                    <w:rFonts w:ascii="Times New Roman" w:eastAsia="Times New Roman" w:hAnsi="Times New Roman"/>
                    <w:color w:val="000000"/>
                    <w:sz w:val="18"/>
                    <w:szCs w:val="18"/>
                    <w:lang w:eastAsia="es-CO"/>
                  </w:rPr>
                  <w:t> </w:t>
                </w:r>
              </w:p>
            </w:tc>
            <w:tc>
              <w:tcPr>
                <w:tcW w:w="3403" w:type="pct"/>
                <w:gridSpan w:val="2"/>
                <w:shd w:val="clear" w:color="auto" w:fill="auto"/>
                <w:vAlign w:val="center"/>
                <w:hideMark/>
              </w:tcPr>
              <w:p w14:paraId="67FF8B74" w14:textId="77777777" w:rsidR="00D842D1" w:rsidRPr="00324BEB" w:rsidRDefault="00D842D1" w:rsidP="00D842D1">
                <w:pPr>
                  <w:spacing w:after="0" w:line="240" w:lineRule="auto"/>
                  <w:jc w:val="both"/>
                  <w:rPr>
                    <w:rFonts w:ascii="Times New Roman" w:eastAsia="Times New Roman" w:hAnsi="Times New Roman"/>
                    <w:color w:val="000000"/>
                    <w:sz w:val="18"/>
                    <w:szCs w:val="18"/>
                    <w:lang w:eastAsia="es-CO"/>
                  </w:rPr>
                </w:pPr>
                <w:r w:rsidRPr="00324BEB">
                  <w:rPr>
                    <w:rFonts w:ascii="Times New Roman" w:eastAsia="Times New Roman" w:hAnsi="Times New Roman"/>
                    <w:color w:val="000000"/>
                    <w:sz w:val="18"/>
                    <w:szCs w:val="18"/>
                    <w:lang w:eastAsia="es-CO"/>
                  </w:rPr>
                  <w:t>Actualización Rendimientos _ Sentencias</w:t>
                </w:r>
              </w:p>
            </w:tc>
            <w:tc>
              <w:tcPr>
                <w:tcW w:w="1367" w:type="pct"/>
                <w:shd w:val="clear" w:color="auto" w:fill="auto"/>
                <w:noWrap/>
                <w:vAlign w:val="center"/>
                <w:hideMark/>
              </w:tcPr>
              <w:p w14:paraId="5195DD12" w14:textId="77777777" w:rsidR="00D842D1" w:rsidRPr="00324BEB" w:rsidRDefault="00D842D1" w:rsidP="00D842D1">
                <w:pPr>
                  <w:spacing w:after="0" w:line="240" w:lineRule="auto"/>
                  <w:jc w:val="right"/>
                  <w:rPr>
                    <w:rFonts w:ascii="Times New Roman" w:eastAsia="Times New Roman" w:hAnsi="Times New Roman"/>
                    <w:color w:val="000000"/>
                    <w:sz w:val="18"/>
                    <w:szCs w:val="18"/>
                    <w:lang w:eastAsia="es-CO"/>
                  </w:rPr>
                </w:pPr>
                <w:r w:rsidRPr="00324BEB">
                  <w:rPr>
                    <w:rFonts w:ascii="Times New Roman" w:eastAsia="Times New Roman" w:hAnsi="Times New Roman"/>
                    <w:color w:val="000000"/>
                    <w:sz w:val="18"/>
                    <w:szCs w:val="18"/>
                    <w:lang w:eastAsia="es-CO"/>
                  </w:rPr>
                  <w:t>3.798.288.287</w:t>
                </w:r>
              </w:p>
            </w:tc>
          </w:tr>
          <w:tr w:rsidR="00D842D1" w:rsidRPr="00324BEB" w14:paraId="35A6C109" w14:textId="77777777" w:rsidTr="008F1765">
            <w:trPr>
              <w:trHeight w:val="340"/>
            </w:trPr>
            <w:tc>
              <w:tcPr>
                <w:tcW w:w="129" w:type="pct"/>
                <w:shd w:val="clear" w:color="auto" w:fill="auto"/>
                <w:noWrap/>
                <w:vAlign w:val="center"/>
                <w:hideMark/>
              </w:tcPr>
              <w:p w14:paraId="56DADF33" w14:textId="77777777" w:rsidR="00D842D1" w:rsidRPr="00324BEB" w:rsidRDefault="00D842D1" w:rsidP="00D842D1">
                <w:pPr>
                  <w:spacing w:after="0" w:line="240" w:lineRule="auto"/>
                  <w:jc w:val="both"/>
                  <w:rPr>
                    <w:rFonts w:ascii="Times New Roman" w:eastAsia="Times New Roman" w:hAnsi="Times New Roman"/>
                    <w:color w:val="000000"/>
                    <w:sz w:val="18"/>
                    <w:szCs w:val="18"/>
                    <w:lang w:eastAsia="es-CO"/>
                  </w:rPr>
                </w:pPr>
                <w:r w:rsidRPr="00324BEB">
                  <w:rPr>
                    <w:rFonts w:ascii="Times New Roman" w:eastAsia="Times New Roman" w:hAnsi="Times New Roman"/>
                    <w:color w:val="000000"/>
                    <w:sz w:val="18"/>
                    <w:szCs w:val="18"/>
                    <w:lang w:eastAsia="es-CO"/>
                  </w:rPr>
                  <w:t> </w:t>
                </w:r>
              </w:p>
            </w:tc>
            <w:tc>
              <w:tcPr>
                <w:tcW w:w="100" w:type="pct"/>
                <w:shd w:val="clear" w:color="auto" w:fill="auto"/>
                <w:noWrap/>
                <w:vAlign w:val="center"/>
                <w:hideMark/>
              </w:tcPr>
              <w:p w14:paraId="25B186C3" w14:textId="77777777" w:rsidR="00D842D1" w:rsidRPr="00324BEB" w:rsidRDefault="00D842D1" w:rsidP="00D842D1">
                <w:pPr>
                  <w:spacing w:after="0" w:line="240" w:lineRule="auto"/>
                  <w:jc w:val="both"/>
                  <w:rPr>
                    <w:rFonts w:ascii="Times New Roman" w:eastAsia="Times New Roman" w:hAnsi="Times New Roman"/>
                    <w:color w:val="000000"/>
                    <w:sz w:val="18"/>
                    <w:szCs w:val="18"/>
                    <w:lang w:eastAsia="es-CO"/>
                  </w:rPr>
                </w:pPr>
                <w:r w:rsidRPr="00324BEB">
                  <w:rPr>
                    <w:rFonts w:ascii="Times New Roman" w:eastAsia="Times New Roman" w:hAnsi="Times New Roman"/>
                    <w:color w:val="000000"/>
                    <w:sz w:val="18"/>
                    <w:szCs w:val="18"/>
                    <w:lang w:eastAsia="es-CO"/>
                  </w:rPr>
                  <w:t> </w:t>
                </w:r>
              </w:p>
            </w:tc>
            <w:tc>
              <w:tcPr>
                <w:tcW w:w="3403" w:type="pct"/>
                <w:gridSpan w:val="2"/>
                <w:shd w:val="clear" w:color="auto" w:fill="auto"/>
                <w:vAlign w:val="center"/>
                <w:hideMark/>
              </w:tcPr>
              <w:p w14:paraId="268BBB83" w14:textId="77777777" w:rsidR="00D842D1" w:rsidRPr="00324BEB" w:rsidRDefault="00D842D1" w:rsidP="00D842D1">
                <w:pPr>
                  <w:spacing w:after="0" w:line="240" w:lineRule="auto"/>
                  <w:jc w:val="both"/>
                  <w:rPr>
                    <w:rFonts w:ascii="Times New Roman" w:eastAsia="Times New Roman" w:hAnsi="Times New Roman"/>
                    <w:color w:val="000000"/>
                    <w:sz w:val="18"/>
                    <w:szCs w:val="18"/>
                    <w:lang w:eastAsia="es-CO"/>
                  </w:rPr>
                </w:pPr>
                <w:r w:rsidRPr="00324BEB">
                  <w:rPr>
                    <w:rFonts w:ascii="Times New Roman" w:eastAsia="Times New Roman" w:hAnsi="Times New Roman"/>
                    <w:color w:val="000000"/>
                    <w:sz w:val="18"/>
                    <w:szCs w:val="18"/>
                    <w:lang w:eastAsia="es-CO"/>
                  </w:rPr>
                  <w:t>Reversión de registro contable</w:t>
                </w:r>
              </w:p>
            </w:tc>
            <w:tc>
              <w:tcPr>
                <w:tcW w:w="1367" w:type="pct"/>
                <w:shd w:val="clear" w:color="auto" w:fill="auto"/>
                <w:noWrap/>
                <w:vAlign w:val="center"/>
                <w:hideMark/>
              </w:tcPr>
              <w:p w14:paraId="59A54DCE" w14:textId="77777777" w:rsidR="00D842D1" w:rsidRPr="00324BEB" w:rsidRDefault="00D842D1" w:rsidP="00D842D1">
                <w:pPr>
                  <w:spacing w:after="0" w:line="240" w:lineRule="auto"/>
                  <w:jc w:val="right"/>
                  <w:rPr>
                    <w:rFonts w:ascii="Times New Roman" w:eastAsia="Times New Roman" w:hAnsi="Times New Roman"/>
                    <w:color w:val="000000"/>
                    <w:sz w:val="18"/>
                    <w:szCs w:val="18"/>
                    <w:lang w:eastAsia="es-CO"/>
                  </w:rPr>
                </w:pPr>
                <w:r w:rsidRPr="00324BEB">
                  <w:rPr>
                    <w:rFonts w:ascii="Times New Roman" w:eastAsia="Times New Roman" w:hAnsi="Times New Roman"/>
                    <w:color w:val="000000"/>
                    <w:sz w:val="18"/>
                    <w:szCs w:val="18"/>
                    <w:lang w:eastAsia="es-CO"/>
                  </w:rPr>
                  <w:t>52.108.027.404</w:t>
                </w:r>
              </w:p>
            </w:tc>
          </w:tr>
          <w:tr w:rsidR="00D842D1" w:rsidRPr="00324BEB" w14:paraId="11D46E95" w14:textId="77777777" w:rsidTr="008F1765">
            <w:trPr>
              <w:trHeight w:val="340"/>
            </w:trPr>
            <w:tc>
              <w:tcPr>
                <w:tcW w:w="129" w:type="pct"/>
                <w:shd w:val="clear" w:color="auto" w:fill="auto"/>
                <w:noWrap/>
                <w:vAlign w:val="center"/>
                <w:hideMark/>
              </w:tcPr>
              <w:p w14:paraId="59485102" w14:textId="77777777" w:rsidR="00D842D1" w:rsidRPr="00324BEB" w:rsidRDefault="00D842D1" w:rsidP="00D842D1">
                <w:pPr>
                  <w:spacing w:after="0" w:line="240" w:lineRule="auto"/>
                  <w:jc w:val="both"/>
                  <w:rPr>
                    <w:rFonts w:ascii="Times New Roman" w:eastAsia="Times New Roman" w:hAnsi="Times New Roman"/>
                    <w:b/>
                    <w:color w:val="000000"/>
                    <w:sz w:val="18"/>
                    <w:szCs w:val="18"/>
                    <w:lang w:eastAsia="es-CO"/>
                  </w:rPr>
                </w:pPr>
                <w:r w:rsidRPr="00324BEB">
                  <w:rPr>
                    <w:rFonts w:ascii="Times New Roman" w:eastAsia="Times New Roman" w:hAnsi="Times New Roman"/>
                    <w:b/>
                    <w:color w:val="000000"/>
                    <w:sz w:val="18"/>
                    <w:szCs w:val="18"/>
                    <w:lang w:eastAsia="es-CO"/>
                  </w:rPr>
                  <w:lastRenderedPageBreak/>
                  <w:t>-</w:t>
                </w:r>
              </w:p>
            </w:tc>
            <w:tc>
              <w:tcPr>
                <w:tcW w:w="3503" w:type="pct"/>
                <w:gridSpan w:val="3"/>
                <w:shd w:val="clear" w:color="auto" w:fill="auto"/>
                <w:vAlign w:val="center"/>
                <w:hideMark/>
              </w:tcPr>
              <w:p w14:paraId="4658924B" w14:textId="77777777" w:rsidR="00D842D1" w:rsidRPr="00324BEB" w:rsidRDefault="00D842D1" w:rsidP="00D842D1">
                <w:pPr>
                  <w:spacing w:after="0" w:line="240" w:lineRule="auto"/>
                  <w:jc w:val="both"/>
                  <w:rPr>
                    <w:rFonts w:ascii="Times New Roman" w:eastAsia="Times New Roman" w:hAnsi="Times New Roman"/>
                    <w:b/>
                    <w:color w:val="000000"/>
                    <w:sz w:val="18"/>
                    <w:szCs w:val="18"/>
                    <w:lang w:eastAsia="es-CO"/>
                  </w:rPr>
                </w:pPr>
                <w:r w:rsidRPr="00324BEB">
                  <w:rPr>
                    <w:rFonts w:ascii="Times New Roman" w:eastAsia="Times New Roman" w:hAnsi="Times New Roman"/>
                    <w:b/>
                    <w:color w:val="000000"/>
                    <w:sz w:val="18"/>
                    <w:szCs w:val="18"/>
                    <w:lang w:eastAsia="es-CO"/>
                  </w:rPr>
                  <w:t>SALIDAS (CR):</w:t>
                </w:r>
              </w:p>
            </w:tc>
            <w:tc>
              <w:tcPr>
                <w:tcW w:w="1367" w:type="pct"/>
                <w:shd w:val="clear" w:color="auto" w:fill="auto"/>
                <w:noWrap/>
                <w:vAlign w:val="center"/>
                <w:hideMark/>
              </w:tcPr>
              <w:p w14:paraId="4EF1158C" w14:textId="77777777" w:rsidR="00D842D1" w:rsidRPr="00324BEB" w:rsidRDefault="00D842D1" w:rsidP="00D842D1">
                <w:pPr>
                  <w:spacing w:after="0" w:line="240" w:lineRule="auto"/>
                  <w:jc w:val="right"/>
                  <w:rPr>
                    <w:rFonts w:ascii="Times New Roman" w:eastAsia="Times New Roman" w:hAnsi="Times New Roman"/>
                    <w:b/>
                    <w:color w:val="000000"/>
                    <w:sz w:val="18"/>
                    <w:szCs w:val="18"/>
                    <w:lang w:eastAsia="es-CO"/>
                  </w:rPr>
                </w:pPr>
                <w:r w:rsidRPr="00324BEB">
                  <w:rPr>
                    <w:rFonts w:ascii="Times New Roman" w:eastAsia="Times New Roman" w:hAnsi="Times New Roman"/>
                    <w:b/>
                    <w:color w:val="000000"/>
                    <w:sz w:val="18"/>
                    <w:szCs w:val="18"/>
                    <w:lang w:eastAsia="es-CO"/>
                  </w:rPr>
                  <w:t>2.761.772.536.894</w:t>
                </w:r>
              </w:p>
            </w:tc>
          </w:tr>
          <w:tr w:rsidR="00D842D1" w:rsidRPr="00324BEB" w14:paraId="7A338B9B" w14:textId="77777777" w:rsidTr="008F1765">
            <w:trPr>
              <w:trHeight w:val="340"/>
            </w:trPr>
            <w:tc>
              <w:tcPr>
                <w:tcW w:w="129" w:type="pct"/>
                <w:shd w:val="clear" w:color="auto" w:fill="auto"/>
                <w:noWrap/>
                <w:vAlign w:val="center"/>
                <w:hideMark/>
              </w:tcPr>
              <w:p w14:paraId="1DA311FD" w14:textId="77777777" w:rsidR="00D842D1" w:rsidRPr="00324BEB" w:rsidRDefault="00D842D1" w:rsidP="00D842D1">
                <w:pPr>
                  <w:spacing w:after="0" w:line="240" w:lineRule="auto"/>
                  <w:jc w:val="both"/>
                  <w:rPr>
                    <w:rFonts w:ascii="Times New Roman" w:eastAsia="Times New Roman" w:hAnsi="Times New Roman"/>
                    <w:color w:val="000000"/>
                    <w:sz w:val="18"/>
                    <w:szCs w:val="18"/>
                    <w:lang w:eastAsia="es-CO"/>
                  </w:rPr>
                </w:pPr>
                <w:r w:rsidRPr="00324BEB">
                  <w:rPr>
                    <w:rFonts w:ascii="Times New Roman" w:eastAsia="Times New Roman" w:hAnsi="Times New Roman"/>
                    <w:color w:val="000000"/>
                    <w:sz w:val="18"/>
                    <w:szCs w:val="18"/>
                    <w:lang w:eastAsia="es-CO"/>
                  </w:rPr>
                  <w:t> </w:t>
                </w:r>
              </w:p>
            </w:tc>
            <w:tc>
              <w:tcPr>
                <w:tcW w:w="100" w:type="pct"/>
                <w:shd w:val="clear" w:color="auto" w:fill="auto"/>
                <w:noWrap/>
                <w:vAlign w:val="center"/>
                <w:hideMark/>
              </w:tcPr>
              <w:p w14:paraId="13F5D1CF" w14:textId="77777777" w:rsidR="00D842D1" w:rsidRPr="00324BEB" w:rsidRDefault="00D842D1" w:rsidP="00D842D1">
                <w:pPr>
                  <w:spacing w:after="0" w:line="240" w:lineRule="auto"/>
                  <w:jc w:val="both"/>
                  <w:rPr>
                    <w:rFonts w:ascii="Times New Roman" w:eastAsia="Times New Roman" w:hAnsi="Times New Roman"/>
                    <w:color w:val="000000"/>
                    <w:sz w:val="18"/>
                    <w:szCs w:val="18"/>
                    <w:lang w:eastAsia="es-CO"/>
                  </w:rPr>
                </w:pPr>
                <w:r w:rsidRPr="00324BEB">
                  <w:rPr>
                    <w:rFonts w:ascii="Times New Roman" w:eastAsia="Times New Roman" w:hAnsi="Times New Roman"/>
                    <w:color w:val="000000"/>
                    <w:sz w:val="18"/>
                    <w:szCs w:val="18"/>
                    <w:lang w:eastAsia="es-CO"/>
                  </w:rPr>
                  <w:t> </w:t>
                </w:r>
              </w:p>
            </w:tc>
            <w:tc>
              <w:tcPr>
                <w:tcW w:w="3403" w:type="pct"/>
                <w:gridSpan w:val="2"/>
                <w:shd w:val="clear" w:color="auto" w:fill="auto"/>
                <w:vAlign w:val="center"/>
                <w:hideMark/>
              </w:tcPr>
              <w:p w14:paraId="587E9CD5" w14:textId="77777777" w:rsidR="00D842D1" w:rsidRPr="00324BEB" w:rsidRDefault="00D842D1" w:rsidP="00D842D1">
                <w:pPr>
                  <w:spacing w:after="0" w:line="240" w:lineRule="auto"/>
                  <w:jc w:val="both"/>
                  <w:rPr>
                    <w:rFonts w:ascii="Times New Roman" w:eastAsia="Times New Roman" w:hAnsi="Times New Roman"/>
                    <w:color w:val="000000"/>
                    <w:sz w:val="18"/>
                    <w:szCs w:val="18"/>
                    <w:lang w:eastAsia="es-CO"/>
                  </w:rPr>
                </w:pPr>
                <w:r w:rsidRPr="00324BEB">
                  <w:rPr>
                    <w:rFonts w:ascii="Times New Roman" w:eastAsia="Times New Roman" w:hAnsi="Times New Roman"/>
                    <w:color w:val="000000"/>
                    <w:sz w:val="18"/>
                    <w:szCs w:val="18"/>
                    <w:lang w:eastAsia="es-CO"/>
                  </w:rPr>
                  <w:t>Actualización Retiros_ Infraestructura</w:t>
                </w:r>
              </w:p>
            </w:tc>
            <w:tc>
              <w:tcPr>
                <w:tcW w:w="1367" w:type="pct"/>
                <w:shd w:val="clear" w:color="auto" w:fill="auto"/>
                <w:noWrap/>
                <w:vAlign w:val="center"/>
                <w:hideMark/>
              </w:tcPr>
              <w:p w14:paraId="0C537EC9" w14:textId="77777777" w:rsidR="00D842D1" w:rsidRPr="00324BEB" w:rsidRDefault="00D842D1" w:rsidP="00D842D1">
                <w:pPr>
                  <w:spacing w:after="0" w:line="240" w:lineRule="auto"/>
                  <w:jc w:val="right"/>
                  <w:rPr>
                    <w:rFonts w:ascii="Times New Roman" w:eastAsia="Times New Roman" w:hAnsi="Times New Roman"/>
                    <w:color w:val="000000"/>
                    <w:sz w:val="18"/>
                    <w:szCs w:val="18"/>
                    <w:lang w:eastAsia="es-CO"/>
                  </w:rPr>
                </w:pPr>
                <w:r w:rsidRPr="00324BEB">
                  <w:rPr>
                    <w:rFonts w:ascii="Times New Roman" w:eastAsia="Times New Roman" w:hAnsi="Times New Roman"/>
                    <w:color w:val="000000"/>
                    <w:sz w:val="18"/>
                    <w:szCs w:val="18"/>
                    <w:lang w:eastAsia="es-CO"/>
                  </w:rPr>
                  <w:t>2.761.526.300.923</w:t>
                </w:r>
              </w:p>
            </w:tc>
          </w:tr>
          <w:tr w:rsidR="00D842D1" w:rsidRPr="00324BEB" w14:paraId="2A531327" w14:textId="77777777" w:rsidTr="008F1765">
            <w:trPr>
              <w:trHeight w:val="340"/>
            </w:trPr>
            <w:tc>
              <w:tcPr>
                <w:tcW w:w="129" w:type="pct"/>
                <w:shd w:val="clear" w:color="auto" w:fill="auto"/>
                <w:noWrap/>
                <w:vAlign w:val="center"/>
                <w:hideMark/>
              </w:tcPr>
              <w:p w14:paraId="267FA80E" w14:textId="77777777" w:rsidR="00D842D1" w:rsidRPr="00324BEB" w:rsidRDefault="00D842D1" w:rsidP="00D842D1">
                <w:pPr>
                  <w:spacing w:after="0" w:line="240" w:lineRule="auto"/>
                  <w:jc w:val="both"/>
                  <w:rPr>
                    <w:rFonts w:ascii="Times New Roman" w:eastAsia="Times New Roman" w:hAnsi="Times New Roman"/>
                    <w:color w:val="000000"/>
                    <w:sz w:val="18"/>
                    <w:szCs w:val="18"/>
                    <w:lang w:eastAsia="es-CO"/>
                  </w:rPr>
                </w:pPr>
                <w:r w:rsidRPr="00324BEB">
                  <w:rPr>
                    <w:rFonts w:ascii="Times New Roman" w:eastAsia="Times New Roman" w:hAnsi="Times New Roman"/>
                    <w:color w:val="000000"/>
                    <w:sz w:val="18"/>
                    <w:szCs w:val="18"/>
                    <w:lang w:eastAsia="es-CO"/>
                  </w:rPr>
                  <w:t> </w:t>
                </w:r>
              </w:p>
            </w:tc>
            <w:tc>
              <w:tcPr>
                <w:tcW w:w="100" w:type="pct"/>
                <w:shd w:val="clear" w:color="auto" w:fill="auto"/>
                <w:noWrap/>
                <w:vAlign w:val="center"/>
                <w:hideMark/>
              </w:tcPr>
              <w:p w14:paraId="0A5EE68C" w14:textId="77777777" w:rsidR="00D842D1" w:rsidRPr="00324BEB" w:rsidRDefault="00D842D1" w:rsidP="00D842D1">
                <w:pPr>
                  <w:spacing w:after="0" w:line="240" w:lineRule="auto"/>
                  <w:jc w:val="both"/>
                  <w:rPr>
                    <w:rFonts w:ascii="Times New Roman" w:eastAsia="Times New Roman" w:hAnsi="Times New Roman"/>
                    <w:color w:val="000000"/>
                    <w:sz w:val="18"/>
                    <w:szCs w:val="18"/>
                    <w:lang w:eastAsia="es-CO"/>
                  </w:rPr>
                </w:pPr>
                <w:r w:rsidRPr="00324BEB">
                  <w:rPr>
                    <w:rFonts w:ascii="Times New Roman" w:eastAsia="Times New Roman" w:hAnsi="Times New Roman"/>
                    <w:color w:val="000000"/>
                    <w:sz w:val="18"/>
                    <w:szCs w:val="18"/>
                    <w:lang w:eastAsia="es-CO"/>
                  </w:rPr>
                  <w:t> </w:t>
                </w:r>
              </w:p>
            </w:tc>
            <w:tc>
              <w:tcPr>
                <w:tcW w:w="3403" w:type="pct"/>
                <w:gridSpan w:val="2"/>
                <w:shd w:val="clear" w:color="auto" w:fill="auto"/>
                <w:vAlign w:val="center"/>
                <w:hideMark/>
              </w:tcPr>
              <w:p w14:paraId="75BF4AF1" w14:textId="77777777" w:rsidR="00D842D1" w:rsidRPr="00324BEB" w:rsidRDefault="00D842D1" w:rsidP="00D842D1">
                <w:pPr>
                  <w:spacing w:after="0" w:line="240" w:lineRule="auto"/>
                  <w:jc w:val="both"/>
                  <w:rPr>
                    <w:rFonts w:ascii="Times New Roman" w:eastAsia="Times New Roman" w:hAnsi="Times New Roman"/>
                    <w:color w:val="000000"/>
                    <w:sz w:val="18"/>
                    <w:szCs w:val="18"/>
                    <w:lang w:eastAsia="es-CO"/>
                  </w:rPr>
                </w:pPr>
                <w:r w:rsidRPr="00324BEB">
                  <w:rPr>
                    <w:rFonts w:ascii="Times New Roman" w:eastAsia="Times New Roman" w:hAnsi="Times New Roman"/>
                    <w:color w:val="000000"/>
                    <w:sz w:val="18"/>
                    <w:szCs w:val="18"/>
                    <w:lang w:eastAsia="es-CO"/>
                  </w:rPr>
                  <w:t>Actualización Egresos_ Infraestructura</w:t>
                </w:r>
              </w:p>
            </w:tc>
            <w:tc>
              <w:tcPr>
                <w:tcW w:w="1367" w:type="pct"/>
                <w:shd w:val="clear" w:color="auto" w:fill="auto"/>
                <w:noWrap/>
                <w:vAlign w:val="center"/>
                <w:hideMark/>
              </w:tcPr>
              <w:p w14:paraId="46AB07B2" w14:textId="42A90D47" w:rsidR="00D842D1" w:rsidRPr="00324BEB" w:rsidRDefault="00D842D1" w:rsidP="00D842D1">
                <w:pPr>
                  <w:spacing w:after="0" w:line="240" w:lineRule="auto"/>
                  <w:jc w:val="right"/>
                  <w:rPr>
                    <w:rFonts w:ascii="Times New Roman" w:eastAsia="Times New Roman" w:hAnsi="Times New Roman"/>
                    <w:color w:val="000000"/>
                    <w:sz w:val="18"/>
                    <w:szCs w:val="18"/>
                    <w:lang w:eastAsia="es-CO"/>
                  </w:rPr>
                </w:pPr>
                <w:r w:rsidRPr="00324BEB">
                  <w:rPr>
                    <w:rFonts w:ascii="Times New Roman" w:eastAsia="Times New Roman" w:hAnsi="Times New Roman"/>
                    <w:color w:val="000000"/>
                    <w:sz w:val="18"/>
                    <w:szCs w:val="18"/>
                    <w:lang w:eastAsia="es-CO"/>
                  </w:rPr>
                  <w:t xml:space="preserve">   245.260.590,00 </w:t>
                </w:r>
              </w:p>
            </w:tc>
          </w:tr>
          <w:tr w:rsidR="00D842D1" w:rsidRPr="00324BEB" w14:paraId="6C9B651C" w14:textId="77777777" w:rsidTr="008F1765">
            <w:trPr>
              <w:trHeight w:val="340"/>
            </w:trPr>
            <w:tc>
              <w:tcPr>
                <w:tcW w:w="129" w:type="pct"/>
                <w:shd w:val="clear" w:color="auto" w:fill="auto"/>
                <w:noWrap/>
                <w:vAlign w:val="center"/>
                <w:hideMark/>
              </w:tcPr>
              <w:p w14:paraId="501290B0" w14:textId="77777777" w:rsidR="00D842D1" w:rsidRPr="00324BEB" w:rsidRDefault="00D842D1" w:rsidP="00D842D1">
                <w:pPr>
                  <w:spacing w:after="0" w:line="240" w:lineRule="auto"/>
                  <w:jc w:val="both"/>
                  <w:rPr>
                    <w:rFonts w:ascii="Times New Roman" w:eastAsia="Times New Roman" w:hAnsi="Times New Roman"/>
                    <w:color w:val="000000"/>
                    <w:sz w:val="18"/>
                    <w:szCs w:val="18"/>
                    <w:lang w:eastAsia="es-CO"/>
                  </w:rPr>
                </w:pPr>
                <w:r w:rsidRPr="00324BEB">
                  <w:rPr>
                    <w:rFonts w:ascii="Times New Roman" w:eastAsia="Times New Roman" w:hAnsi="Times New Roman"/>
                    <w:color w:val="000000"/>
                    <w:sz w:val="18"/>
                    <w:szCs w:val="18"/>
                    <w:lang w:eastAsia="es-CO"/>
                  </w:rPr>
                  <w:t> </w:t>
                </w:r>
              </w:p>
            </w:tc>
            <w:tc>
              <w:tcPr>
                <w:tcW w:w="100" w:type="pct"/>
                <w:shd w:val="clear" w:color="auto" w:fill="auto"/>
                <w:noWrap/>
                <w:vAlign w:val="center"/>
                <w:hideMark/>
              </w:tcPr>
              <w:p w14:paraId="7345A1C0" w14:textId="77777777" w:rsidR="00D842D1" w:rsidRPr="00324BEB" w:rsidRDefault="00D842D1" w:rsidP="00D842D1">
                <w:pPr>
                  <w:spacing w:after="0" w:line="240" w:lineRule="auto"/>
                  <w:jc w:val="both"/>
                  <w:rPr>
                    <w:rFonts w:ascii="Times New Roman" w:eastAsia="Times New Roman" w:hAnsi="Times New Roman"/>
                    <w:color w:val="000000"/>
                    <w:sz w:val="18"/>
                    <w:szCs w:val="18"/>
                    <w:lang w:eastAsia="es-CO"/>
                  </w:rPr>
                </w:pPr>
                <w:r w:rsidRPr="00324BEB">
                  <w:rPr>
                    <w:rFonts w:ascii="Times New Roman" w:eastAsia="Times New Roman" w:hAnsi="Times New Roman"/>
                    <w:color w:val="000000"/>
                    <w:sz w:val="18"/>
                    <w:szCs w:val="18"/>
                    <w:lang w:eastAsia="es-CO"/>
                  </w:rPr>
                  <w:t> </w:t>
                </w:r>
              </w:p>
            </w:tc>
            <w:tc>
              <w:tcPr>
                <w:tcW w:w="3403" w:type="pct"/>
                <w:gridSpan w:val="2"/>
                <w:shd w:val="clear" w:color="auto" w:fill="auto"/>
                <w:noWrap/>
                <w:vAlign w:val="center"/>
                <w:hideMark/>
              </w:tcPr>
              <w:p w14:paraId="515B3F94" w14:textId="5B4B4CA0" w:rsidR="00D842D1" w:rsidRPr="00324BEB" w:rsidRDefault="00D842D1" w:rsidP="00D842D1">
                <w:pPr>
                  <w:spacing w:after="0" w:line="240" w:lineRule="auto"/>
                  <w:jc w:val="both"/>
                  <w:rPr>
                    <w:rFonts w:ascii="Times New Roman" w:eastAsia="Times New Roman" w:hAnsi="Times New Roman"/>
                    <w:color w:val="000000"/>
                    <w:sz w:val="18"/>
                    <w:szCs w:val="18"/>
                    <w:lang w:eastAsia="es-CO"/>
                  </w:rPr>
                </w:pPr>
                <w:r w:rsidRPr="00324BEB">
                  <w:rPr>
                    <w:rFonts w:ascii="Times New Roman" w:eastAsia="Times New Roman" w:hAnsi="Times New Roman"/>
                    <w:color w:val="000000"/>
                    <w:sz w:val="18"/>
                    <w:szCs w:val="18"/>
                    <w:lang w:eastAsia="es-CO"/>
                  </w:rPr>
                  <w:t xml:space="preserve">Actualización </w:t>
                </w:r>
                <w:r w:rsidR="00546CE1" w:rsidRPr="00324BEB">
                  <w:rPr>
                    <w:rFonts w:ascii="Times New Roman" w:eastAsia="Times New Roman" w:hAnsi="Times New Roman"/>
                    <w:color w:val="000000"/>
                    <w:sz w:val="18"/>
                    <w:szCs w:val="18"/>
                    <w:lang w:eastAsia="es-CO"/>
                  </w:rPr>
                  <w:t>Egresos Sentencias</w:t>
                </w:r>
              </w:p>
            </w:tc>
            <w:tc>
              <w:tcPr>
                <w:tcW w:w="1367" w:type="pct"/>
                <w:shd w:val="clear" w:color="auto" w:fill="auto"/>
                <w:noWrap/>
                <w:vAlign w:val="center"/>
                <w:hideMark/>
              </w:tcPr>
              <w:p w14:paraId="34A30248" w14:textId="6A6F2C24" w:rsidR="00D842D1" w:rsidRPr="00324BEB" w:rsidRDefault="00D842D1" w:rsidP="00D842D1">
                <w:pPr>
                  <w:spacing w:after="0" w:line="240" w:lineRule="auto"/>
                  <w:jc w:val="right"/>
                  <w:rPr>
                    <w:rFonts w:ascii="Times New Roman" w:eastAsia="Times New Roman" w:hAnsi="Times New Roman"/>
                    <w:color w:val="000000"/>
                    <w:sz w:val="18"/>
                    <w:szCs w:val="18"/>
                    <w:lang w:eastAsia="es-CO"/>
                  </w:rPr>
                </w:pPr>
                <w:r w:rsidRPr="00324BEB">
                  <w:rPr>
                    <w:rFonts w:ascii="Times New Roman" w:eastAsia="Times New Roman" w:hAnsi="Times New Roman"/>
                    <w:color w:val="000000"/>
                    <w:sz w:val="18"/>
                    <w:szCs w:val="18"/>
                    <w:lang w:eastAsia="es-CO"/>
                  </w:rPr>
                  <w:t xml:space="preserve">  975.381,00 </w:t>
                </w:r>
              </w:p>
            </w:tc>
          </w:tr>
          <w:tr w:rsidR="00D842D1" w:rsidRPr="00324BEB" w14:paraId="5953FAD3" w14:textId="77777777" w:rsidTr="008F1765">
            <w:trPr>
              <w:trHeight w:val="340"/>
            </w:trPr>
            <w:tc>
              <w:tcPr>
                <w:tcW w:w="129" w:type="pct"/>
                <w:vMerge w:val="restart"/>
                <w:shd w:val="clear" w:color="auto" w:fill="auto"/>
                <w:noWrap/>
                <w:vAlign w:val="center"/>
                <w:hideMark/>
              </w:tcPr>
              <w:p w14:paraId="2082E506" w14:textId="77777777" w:rsidR="00D842D1" w:rsidRPr="00324BEB" w:rsidRDefault="00D842D1" w:rsidP="00D842D1">
                <w:pPr>
                  <w:spacing w:after="0" w:line="240" w:lineRule="auto"/>
                  <w:jc w:val="both"/>
                  <w:rPr>
                    <w:rFonts w:ascii="Times New Roman" w:eastAsia="Times New Roman" w:hAnsi="Times New Roman"/>
                    <w:b/>
                    <w:color w:val="000000"/>
                    <w:sz w:val="18"/>
                    <w:szCs w:val="18"/>
                    <w:lang w:eastAsia="es-CO"/>
                  </w:rPr>
                </w:pPr>
                <w:r w:rsidRPr="00324BEB">
                  <w:rPr>
                    <w:rFonts w:ascii="Times New Roman" w:eastAsia="Times New Roman" w:hAnsi="Times New Roman"/>
                    <w:b/>
                    <w:color w:val="000000"/>
                    <w:sz w:val="18"/>
                    <w:szCs w:val="18"/>
                    <w:lang w:eastAsia="es-CO"/>
                  </w:rPr>
                  <w:t>=</w:t>
                </w:r>
              </w:p>
            </w:tc>
            <w:tc>
              <w:tcPr>
                <w:tcW w:w="3503" w:type="pct"/>
                <w:gridSpan w:val="3"/>
                <w:shd w:val="clear" w:color="auto" w:fill="auto"/>
                <w:vAlign w:val="center"/>
                <w:hideMark/>
              </w:tcPr>
              <w:p w14:paraId="5898E8C7" w14:textId="77777777" w:rsidR="00D842D1" w:rsidRPr="00324BEB" w:rsidRDefault="00D842D1" w:rsidP="00D842D1">
                <w:pPr>
                  <w:spacing w:after="0" w:line="240" w:lineRule="auto"/>
                  <w:jc w:val="both"/>
                  <w:rPr>
                    <w:rFonts w:ascii="Times New Roman" w:eastAsia="Times New Roman" w:hAnsi="Times New Roman"/>
                    <w:b/>
                    <w:color w:val="000000"/>
                    <w:sz w:val="18"/>
                    <w:szCs w:val="18"/>
                    <w:lang w:eastAsia="es-CO"/>
                  </w:rPr>
                </w:pPr>
                <w:r w:rsidRPr="00324BEB">
                  <w:rPr>
                    <w:rFonts w:ascii="Times New Roman" w:eastAsia="Times New Roman" w:hAnsi="Times New Roman"/>
                    <w:b/>
                    <w:color w:val="000000"/>
                    <w:sz w:val="18"/>
                    <w:szCs w:val="18"/>
                    <w:lang w:eastAsia="es-CO"/>
                  </w:rPr>
                  <w:t>SUBTOTAL</w:t>
                </w:r>
              </w:p>
            </w:tc>
            <w:tc>
              <w:tcPr>
                <w:tcW w:w="1367" w:type="pct"/>
                <w:vMerge w:val="restart"/>
                <w:shd w:val="clear" w:color="auto" w:fill="auto"/>
                <w:noWrap/>
                <w:vAlign w:val="center"/>
                <w:hideMark/>
              </w:tcPr>
              <w:p w14:paraId="7D26ECB6" w14:textId="77777777" w:rsidR="00D842D1" w:rsidRPr="00324BEB" w:rsidRDefault="00D842D1" w:rsidP="00D842D1">
                <w:pPr>
                  <w:spacing w:after="0" w:line="240" w:lineRule="auto"/>
                  <w:jc w:val="right"/>
                  <w:rPr>
                    <w:rFonts w:ascii="Times New Roman" w:eastAsia="Times New Roman" w:hAnsi="Times New Roman"/>
                    <w:b/>
                    <w:color w:val="000000"/>
                    <w:sz w:val="18"/>
                    <w:szCs w:val="18"/>
                    <w:lang w:eastAsia="es-CO"/>
                  </w:rPr>
                </w:pPr>
                <w:r w:rsidRPr="00324BEB">
                  <w:rPr>
                    <w:rFonts w:ascii="Times New Roman" w:eastAsia="Times New Roman" w:hAnsi="Times New Roman"/>
                    <w:b/>
                    <w:color w:val="000000"/>
                    <w:sz w:val="18"/>
                    <w:szCs w:val="18"/>
                    <w:lang w:eastAsia="es-CO"/>
                  </w:rPr>
                  <w:t>6.978.630.015.386</w:t>
                </w:r>
              </w:p>
            </w:tc>
          </w:tr>
          <w:tr w:rsidR="00D842D1" w:rsidRPr="00324BEB" w14:paraId="6A9160F2" w14:textId="77777777" w:rsidTr="008F1765">
            <w:trPr>
              <w:trHeight w:val="340"/>
            </w:trPr>
            <w:tc>
              <w:tcPr>
                <w:tcW w:w="129" w:type="pct"/>
                <w:vMerge/>
                <w:vAlign w:val="center"/>
                <w:hideMark/>
              </w:tcPr>
              <w:p w14:paraId="05CA6279" w14:textId="77777777" w:rsidR="00D842D1" w:rsidRPr="00324BEB" w:rsidRDefault="00D842D1" w:rsidP="00D842D1">
                <w:pPr>
                  <w:spacing w:after="0" w:line="240" w:lineRule="auto"/>
                  <w:rPr>
                    <w:rFonts w:ascii="Times New Roman" w:eastAsia="Times New Roman" w:hAnsi="Times New Roman"/>
                    <w:b/>
                    <w:color w:val="000000"/>
                    <w:sz w:val="18"/>
                    <w:szCs w:val="18"/>
                    <w:lang w:eastAsia="es-CO"/>
                  </w:rPr>
                </w:pPr>
              </w:p>
            </w:tc>
            <w:tc>
              <w:tcPr>
                <w:tcW w:w="3503" w:type="pct"/>
                <w:gridSpan w:val="3"/>
                <w:shd w:val="clear" w:color="auto" w:fill="auto"/>
                <w:vAlign w:val="center"/>
                <w:hideMark/>
              </w:tcPr>
              <w:p w14:paraId="40306C10" w14:textId="77777777" w:rsidR="00D842D1" w:rsidRPr="00324BEB" w:rsidRDefault="00D842D1" w:rsidP="00D842D1">
                <w:pPr>
                  <w:spacing w:after="0" w:line="240" w:lineRule="auto"/>
                  <w:jc w:val="both"/>
                  <w:rPr>
                    <w:rFonts w:ascii="Times New Roman" w:eastAsia="Times New Roman" w:hAnsi="Times New Roman"/>
                    <w:b/>
                    <w:color w:val="000000"/>
                    <w:sz w:val="18"/>
                    <w:szCs w:val="18"/>
                    <w:lang w:eastAsia="es-CO"/>
                  </w:rPr>
                </w:pPr>
                <w:r w:rsidRPr="00324BEB">
                  <w:rPr>
                    <w:rFonts w:ascii="Times New Roman" w:eastAsia="Times New Roman" w:hAnsi="Times New Roman"/>
                    <w:b/>
                    <w:color w:val="000000"/>
                    <w:sz w:val="18"/>
                    <w:szCs w:val="18"/>
                    <w:lang w:eastAsia="es-CO"/>
                  </w:rPr>
                  <w:t>(Saldo inicial + Entradas - Salidas)</w:t>
                </w:r>
              </w:p>
            </w:tc>
            <w:tc>
              <w:tcPr>
                <w:tcW w:w="1367" w:type="pct"/>
                <w:vMerge/>
                <w:vAlign w:val="center"/>
                <w:hideMark/>
              </w:tcPr>
              <w:p w14:paraId="1CAE6CD1" w14:textId="77777777" w:rsidR="00D842D1" w:rsidRPr="00324BEB" w:rsidRDefault="00D842D1" w:rsidP="00D842D1">
                <w:pPr>
                  <w:spacing w:after="0" w:line="240" w:lineRule="auto"/>
                  <w:rPr>
                    <w:rFonts w:ascii="Times New Roman" w:eastAsia="Times New Roman" w:hAnsi="Times New Roman"/>
                    <w:b/>
                    <w:color w:val="000000"/>
                    <w:sz w:val="18"/>
                    <w:szCs w:val="18"/>
                    <w:lang w:eastAsia="es-CO"/>
                  </w:rPr>
                </w:pPr>
              </w:p>
            </w:tc>
          </w:tr>
          <w:tr w:rsidR="00D842D1" w:rsidRPr="00324BEB" w14:paraId="011D5324" w14:textId="77777777" w:rsidTr="008F1765">
            <w:trPr>
              <w:trHeight w:val="340"/>
            </w:trPr>
            <w:tc>
              <w:tcPr>
                <w:tcW w:w="129" w:type="pct"/>
                <w:shd w:val="clear" w:color="auto" w:fill="auto"/>
                <w:noWrap/>
                <w:vAlign w:val="center"/>
                <w:hideMark/>
              </w:tcPr>
              <w:p w14:paraId="664107A4" w14:textId="77777777" w:rsidR="00D842D1" w:rsidRPr="00324BEB" w:rsidRDefault="00D842D1" w:rsidP="00D842D1">
                <w:pPr>
                  <w:spacing w:after="0" w:line="240" w:lineRule="auto"/>
                  <w:jc w:val="both"/>
                  <w:rPr>
                    <w:rFonts w:ascii="Times New Roman" w:eastAsia="Times New Roman" w:hAnsi="Times New Roman"/>
                    <w:b/>
                    <w:color w:val="000000"/>
                    <w:sz w:val="18"/>
                    <w:szCs w:val="18"/>
                    <w:lang w:eastAsia="es-CO"/>
                  </w:rPr>
                </w:pPr>
                <w:r w:rsidRPr="00324BEB">
                  <w:rPr>
                    <w:rFonts w:ascii="Times New Roman" w:eastAsia="Times New Roman" w:hAnsi="Times New Roman"/>
                    <w:b/>
                    <w:color w:val="000000"/>
                    <w:sz w:val="18"/>
                    <w:szCs w:val="18"/>
                    <w:lang w:eastAsia="es-CO"/>
                  </w:rPr>
                  <w:t>+</w:t>
                </w:r>
              </w:p>
            </w:tc>
            <w:tc>
              <w:tcPr>
                <w:tcW w:w="3503" w:type="pct"/>
                <w:gridSpan w:val="3"/>
                <w:shd w:val="clear" w:color="auto" w:fill="auto"/>
                <w:vAlign w:val="center"/>
                <w:hideMark/>
              </w:tcPr>
              <w:p w14:paraId="67CF15B6" w14:textId="77777777" w:rsidR="00D842D1" w:rsidRPr="00324BEB" w:rsidRDefault="00D842D1" w:rsidP="00D842D1">
                <w:pPr>
                  <w:spacing w:after="0" w:line="240" w:lineRule="auto"/>
                  <w:jc w:val="both"/>
                  <w:rPr>
                    <w:rFonts w:ascii="Times New Roman" w:eastAsia="Times New Roman" w:hAnsi="Times New Roman"/>
                    <w:b/>
                    <w:color w:val="000000"/>
                    <w:sz w:val="18"/>
                    <w:szCs w:val="18"/>
                    <w:lang w:eastAsia="es-CO"/>
                  </w:rPr>
                </w:pPr>
                <w:r w:rsidRPr="00324BEB">
                  <w:rPr>
                    <w:rFonts w:ascii="Times New Roman" w:eastAsia="Times New Roman" w:hAnsi="Times New Roman"/>
                    <w:b/>
                    <w:color w:val="000000"/>
                    <w:sz w:val="18"/>
                    <w:szCs w:val="18"/>
                    <w:lang w:eastAsia="es-CO"/>
                  </w:rPr>
                  <w:t>Reporte Recursos de reposición y aportes pendientes (Déficit)</w:t>
                </w:r>
              </w:p>
            </w:tc>
            <w:tc>
              <w:tcPr>
                <w:tcW w:w="1367" w:type="pct"/>
                <w:shd w:val="clear" w:color="auto" w:fill="auto"/>
                <w:noWrap/>
                <w:vAlign w:val="center"/>
                <w:hideMark/>
              </w:tcPr>
              <w:p w14:paraId="0E80DFFB" w14:textId="77777777" w:rsidR="00D842D1" w:rsidRPr="00324BEB" w:rsidRDefault="00D842D1" w:rsidP="00D842D1">
                <w:pPr>
                  <w:spacing w:after="0" w:line="240" w:lineRule="auto"/>
                  <w:jc w:val="right"/>
                  <w:rPr>
                    <w:rFonts w:ascii="Times New Roman" w:eastAsia="Times New Roman" w:hAnsi="Times New Roman"/>
                    <w:b/>
                    <w:color w:val="000000"/>
                    <w:sz w:val="18"/>
                    <w:szCs w:val="18"/>
                    <w:lang w:eastAsia="es-CO"/>
                  </w:rPr>
                </w:pPr>
                <w:r w:rsidRPr="00324BEB">
                  <w:rPr>
                    <w:rFonts w:ascii="Times New Roman" w:eastAsia="Times New Roman" w:hAnsi="Times New Roman"/>
                    <w:b/>
                    <w:color w:val="000000"/>
                    <w:sz w:val="18"/>
                    <w:szCs w:val="18"/>
                    <w:lang w:eastAsia="es-CO"/>
                  </w:rPr>
                  <w:t>-77.130.843.128</w:t>
                </w:r>
              </w:p>
            </w:tc>
          </w:tr>
          <w:tr w:rsidR="00D842D1" w:rsidRPr="00324BEB" w14:paraId="598131B1" w14:textId="77777777" w:rsidTr="008F1765">
            <w:trPr>
              <w:trHeight w:val="340"/>
            </w:trPr>
            <w:tc>
              <w:tcPr>
                <w:tcW w:w="129" w:type="pct"/>
                <w:shd w:val="clear" w:color="auto" w:fill="auto"/>
                <w:noWrap/>
                <w:vAlign w:val="center"/>
                <w:hideMark/>
              </w:tcPr>
              <w:p w14:paraId="5D0B2CF8" w14:textId="77777777" w:rsidR="00D842D1" w:rsidRPr="00324BEB" w:rsidRDefault="00D842D1" w:rsidP="00D842D1">
                <w:pPr>
                  <w:spacing w:after="0" w:line="240" w:lineRule="auto"/>
                  <w:jc w:val="both"/>
                  <w:rPr>
                    <w:rFonts w:ascii="Times New Roman" w:eastAsia="Times New Roman" w:hAnsi="Times New Roman"/>
                    <w:color w:val="000000"/>
                    <w:sz w:val="18"/>
                    <w:szCs w:val="18"/>
                    <w:lang w:eastAsia="es-CO"/>
                  </w:rPr>
                </w:pPr>
                <w:r w:rsidRPr="00324BEB">
                  <w:rPr>
                    <w:rFonts w:ascii="Times New Roman" w:eastAsia="Times New Roman" w:hAnsi="Times New Roman"/>
                    <w:color w:val="000000"/>
                    <w:sz w:val="18"/>
                    <w:szCs w:val="18"/>
                    <w:lang w:eastAsia="es-CO"/>
                  </w:rPr>
                  <w:t> </w:t>
                </w:r>
              </w:p>
            </w:tc>
            <w:tc>
              <w:tcPr>
                <w:tcW w:w="100" w:type="pct"/>
                <w:shd w:val="clear" w:color="auto" w:fill="auto"/>
                <w:noWrap/>
                <w:vAlign w:val="center"/>
                <w:hideMark/>
              </w:tcPr>
              <w:p w14:paraId="10C91C56" w14:textId="77777777" w:rsidR="00D842D1" w:rsidRPr="00324BEB" w:rsidRDefault="00D842D1" w:rsidP="00D842D1">
                <w:pPr>
                  <w:spacing w:after="0" w:line="240" w:lineRule="auto"/>
                  <w:jc w:val="both"/>
                  <w:rPr>
                    <w:rFonts w:ascii="Times New Roman" w:eastAsia="Times New Roman" w:hAnsi="Times New Roman"/>
                    <w:color w:val="000000"/>
                    <w:sz w:val="18"/>
                    <w:szCs w:val="18"/>
                    <w:lang w:eastAsia="es-CO"/>
                  </w:rPr>
                </w:pPr>
                <w:r w:rsidRPr="00324BEB">
                  <w:rPr>
                    <w:rFonts w:ascii="Times New Roman" w:eastAsia="Times New Roman" w:hAnsi="Times New Roman"/>
                    <w:color w:val="000000"/>
                    <w:sz w:val="18"/>
                    <w:szCs w:val="18"/>
                    <w:lang w:eastAsia="es-CO"/>
                  </w:rPr>
                  <w:t> </w:t>
                </w:r>
              </w:p>
            </w:tc>
            <w:tc>
              <w:tcPr>
                <w:tcW w:w="108" w:type="pct"/>
                <w:shd w:val="clear" w:color="auto" w:fill="auto"/>
                <w:noWrap/>
                <w:vAlign w:val="center"/>
                <w:hideMark/>
              </w:tcPr>
              <w:p w14:paraId="0E50BFF3" w14:textId="77777777" w:rsidR="00D842D1" w:rsidRPr="00324BEB" w:rsidRDefault="00D842D1" w:rsidP="00D842D1">
                <w:pPr>
                  <w:spacing w:after="0" w:line="240" w:lineRule="auto"/>
                  <w:jc w:val="both"/>
                  <w:rPr>
                    <w:rFonts w:ascii="Times New Roman" w:eastAsia="Times New Roman" w:hAnsi="Times New Roman"/>
                    <w:color w:val="000000"/>
                    <w:sz w:val="18"/>
                    <w:szCs w:val="18"/>
                    <w:lang w:eastAsia="es-CO"/>
                  </w:rPr>
                </w:pPr>
                <w:r w:rsidRPr="00324BEB">
                  <w:rPr>
                    <w:rFonts w:ascii="Times New Roman" w:eastAsia="Times New Roman" w:hAnsi="Times New Roman"/>
                    <w:color w:val="000000"/>
                    <w:sz w:val="18"/>
                    <w:szCs w:val="18"/>
                    <w:lang w:eastAsia="es-CO"/>
                  </w:rPr>
                  <w:t>-</w:t>
                </w:r>
              </w:p>
            </w:tc>
            <w:tc>
              <w:tcPr>
                <w:tcW w:w="3295" w:type="pct"/>
                <w:shd w:val="clear" w:color="auto" w:fill="auto"/>
                <w:vAlign w:val="center"/>
                <w:hideMark/>
              </w:tcPr>
              <w:p w14:paraId="4AE0834D" w14:textId="77777777" w:rsidR="00D842D1" w:rsidRPr="00324BEB" w:rsidRDefault="00D842D1" w:rsidP="00D842D1">
                <w:pPr>
                  <w:spacing w:after="0" w:line="240" w:lineRule="auto"/>
                  <w:jc w:val="both"/>
                  <w:rPr>
                    <w:rFonts w:ascii="Times New Roman" w:eastAsia="Times New Roman" w:hAnsi="Times New Roman"/>
                    <w:color w:val="000000"/>
                    <w:sz w:val="18"/>
                    <w:szCs w:val="18"/>
                    <w:lang w:eastAsia="es-CO"/>
                  </w:rPr>
                </w:pPr>
                <w:r w:rsidRPr="00324BEB">
                  <w:rPr>
                    <w:rFonts w:ascii="Times New Roman" w:eastAsia="Times New Roman" w:hAnsi="Times New Roman"/>
                    <w:color w:val="000000"/>
                    <w:sz w:val="18"/>
                    <w:szCs w:val="18"/>
                    <w:lang w:eastAsia="es-CO"/>
                  </w:rPr>
                  <w:t>Actualización recursos pendientes de giro (CR)</w:t>
                </w:r>
              </w:p>
            </w:tc>
            <w:tc>
              <w:tcPr>
                <w:tcW w:w="1367" w:type="pct"/>
                <w:shd w:val="clear" w:color="auto" w:fill="auto"/>
                <w:noWrap/>
                <w:vAlign w:val="center"/>
                <w:hideMark/>
              </w:tcPr>
              <w:p w14:paraId="2219F964" w14:textId="77777777" w:rsidR="00D842D1" w:rsidRPr="00324BEB" w:rsidRDefault="00D842D1" w:rsidP="00D842D1">
                <w:pPr>
                  <w:spacing w:after="0" w:line="240" w:lineRule="auto"/>
                  <w:jc w:val="right"/>
                  <w:rPr>
                    <w:rFonts w:ascii="Times New Roman" w:eastAsia="Times New Roman" w:hAnsi="Times New Roman"/>
                    <w:color w:val="000000"/>
                    <w:sz w:val="18"/>
                    <w:szCs w:val="18"/>
                    <w:lang w:eastAsia="es-CO"/>
                  </w:rPr>
                </w:pPr>
                <w:r w:rsidRPr="00324BEB">
                  <w:rPr>
                    <w:rFonts w:ascii="Times New Roman" w:eastAsia="Times New Roman" w:hAnsi="Times New Roman"/>
                    <w:color w:val="000000"/>
                    <w:sz w:val="18"/>
                    <w:szCs w:val="18"/>
                    <w:lang w:eastAsia="es-CO"/>
                  </w:rPr>
                  <w:t>-77.130.843.128</w:t>
                </w:r>
              </w:p>
            </w:tc>
          </w:tr>
          <w:tr w:rsidR="00D842D1" w:rsidRPr="00324BEB" w14:paraId="6D62F058" w14:textId="77777777" w:rsidTr="008F1765">
            <w:trPr>
              <w:trHeight w:val="340"/>
            </w:trPr>
            <w:tc>
              <w:tcPr>
                <w:tcW w:w="129" w:type="pct"/>
                <w:vMerge w:val="restart"/>
                <w:shd w:val="clear" w:color="auto" w:fill="auto"/>
                <w:noWrap/>
                <w:vAlign w:val="center"/>
                <w:hideMark/>
              </w:tcPr>
              <w:p w14:paraId="4C5C2E43" w14:textId="77777777" w:rsidR="00D842D1" w:rsidRPr="00324BEB" w:rsidRDefault="00D842D1" w:rsidP="00D842D1">
                <w:pPr>
                  <w:spacing w:after="0" w:line="240" w:lineRule="auto"/>
                  <w:jc w:val="both"/>
                  <w:rPr>
                    <w:rFonts w:ascii="Times New Roman" w:eastAsia="Times New Roman" w:hAnsi="Times New Roman"/>
                    <w:b/>
                    <w:color w:val="000000"/>
                    <w:sz w:val="18"/>
                    <w:szCs w:val="18"/>
                    <w:lang w:eastAsia="es-CO"/>
                  </w:rPr>
                </w:pPr>
                <w:r w:rsidRPr="00324BEB">
                  <w:rPr>
                    <w:rFonts w:ascii="Times New Roman" w:eastAsia="Times New Roman" w:hAnsi="Times New Roman"/>
                    <w:b/>
                    <w:color w:val="000000"/>
                    <w:sz w:val="18"/>
                    <w:szCs w:val="18"/>
                    <w:lang w:eastAsia="es-CO"/>
                  </w:rPr>
                  <w:t>=</w:t>
                </w:r>
              </w:p>
            </w:tc>
            <w:tc>
              <w:tcPr>
                <w:tcW w:w="3503" w:type="pct"/>
                <w:gridSpan w:val="3"/>
                <w:shd w:val="clear" w:color="auto" w:fill="auto"/>
                <w:vAlign w:val="center"/>
                <w:hideMark/>
              </w:tcPr>
              <w:p w14:paraId="0767ADD0" w14:textId="77777777" w:rsidR="00D842D1" w:rsidRPr="00324BEB" w:rsidRDefault="00D842D1" w:rsidP="00D842D1">
                <w:pPr>
                  <w:spacing w:after="0" w:line="240" w:lineRule="auto"/>
                  <w:jc w:val="both"/>
                  <w:rPr>
                    <w:rFonts w:ascii="Times New Roman" w:eastAsia="Times New Roman" w:hAnsi="Times New Roman"/>
                    <w:b/>
                    <w:color w:val="000000"/>
                    <w:sz w:val="18"/>
                    <w:szCs w:val="18"/>
                    <w:lang w:eastAsia="es-CO"/>
                  </w:rPr>
                </w:pPr>
                <w:r w:rsidRPr="00324BEB">
                  <w:rPr>
                    <w:rFonts w:ascii="Times New Roman" w:eastAsia="Times New Roman" w:hAnsi="Times New Roman"/>
                    <w:b/>
                    <w:color w:val="000000"/>
                    <w:sz w:val="18"/>
                    <w:szCs w:val="18"/>
                    <w:lang w:eastAsia="es-CO"/>
                  </w:rPr>
                  <w:t>SALDO FINAL</w:t>
                </w:r>
              </w:p>
            </w:tc>
            <w:tc>
              <w:tcPr>
                <w:tcW w:w="1367" w:type="pct"/>
                <w:vMerge w:val="restart"/>
                <w:shd w:val="clear" w:color="auto" w:fill="auto"/>
                <w:noWrap/>
                <w:vAlign w:val="center"/>
                <w:hideMark/>
              </w:tcPr>
              <w:p w14:paraId="2F83C680" w14:textId="77777777" w:rsidR="00D842D1" w:rsidRPr="00324BEB" w:rsidRDefault="00D842D1" w:rsidP="00D842D1">
                <w:pPr>
                  <w:spacing w:after="0" w:line="240" w:lineRule="auto"/>
                  <w:jc w:val="right"/>
                  <w:rPr>
                    <w:rFonts w:ascii="Times New Roman" w:eastAsia="Times New Roman" w:hAnsi="Times New Roman"/>
                    <w:b/>
                    <w:color w:val="000000"/>
                    <w:sz w:val="18"/>
                    <w:szCs w:val="18"/>
                    <w:lang w:eastAsia="es-CO"/>
                  </w:rPr>
                </w:pPr>
                <w:r w:rsidRPr="00324BEB">
                  <w:rPr>
                    <w:rFonts w:ascii="Times New Roman" w:eastAsia="Times New Roman" w:hAnsi="Times New Roman"/>
                    <w:b/>
                    <w:color w:val="000000"/>
                    <w:sz w:val="18"/>
                    <w:szCs w:val="18"/>
                    <w:lang w:eastAsia="es-CO"/>
                  </w:rPr>
                  <w:t>6.901.499.172.258</w:t>
                </w:r>
              </w:p>
            </w:tc>
          </w:tr>
          <w:tr w:rsidR="00D842D1" w:rsidRPr="00324BEB" w14:paraId="27E5F2FD" w14:textId="77777777" w:rsidTr="008F1765">
            <w:trPr>
              <w:trHeight w:val="340"/>
            </w:trPr>
            <w:tc>
              <w:tcPr>
                <w:tcW w:w="129" w:type="pct"/>
                <w:vMerge/>
                <w:vAlign w:val="center"/>
                <w:hideMark/>
              </w:tcPr>
              <w:p w14:paraId="07AB43A1" w14:textId="77777777" w:rsidR="00D842D1" w:rsidRPr="00324BEB" w:rsidRDefault="00D842D1" w:rsidP="00D842D1">
                <w:pPr>
                  <w:spacing w:after="0" w:line="240" w:lineRule="auto"/>
                  <w:rPr>
                    <w:rFonts w:ascii="Times New Roman" w:eastAsia="Times New Roman" w:hAnsi="Times New Roman"/>
                    <w:b/>
                    <w:color w:val="000000"/>
                    <w:sz w:val="18"/>
                    <w:szCs w:val="18"/>
                    <w:lang w:eastAsia="es-CO"/>
                  </w:rPr>
                </w:pPr>
              </w:p>
            </w:tc>
            <w:tc>
              <w:tcPr>
                <w:tcW w:w="3503" w:type="pct"/>
                <w:gridSpan w:val="3"/>
                <w:shd w:val="clear" w:color="auto" w:fill="auto"/>
                <w:vAlign w:val="center"/>
                <w:hideMark/>
              </w:tcPr>
              <w:p w14:paraId="504E1B14" w14:textId="77777777" w:rsidR="00D842D1" w:rsidRPr="00324BEB" w:rsidRDefault="00D842D1" w:rsidP="00D842D1">
                <w:pPr>
                  <w:spacing w:after="0" w:line="240" w:lineRule="auto"/>
                  <w:jc w:val="both"/>
                  <w:rPr>
                    <w:rFonts w:ascii="Times New Roman" w:eastAsia="Times New Roman" w:hAnsi="Times New Roman"/>
                    <w:b/>
                    <w:color w:val="000000"/>
                    <w:sz w:val="18"/>
                    <w:szCs w:val="18"/>
                    <w:lang w:eastAsia="es-CO"/>
                  </w:rPr>
                </w:pPr>
                <w:r w:rsidRPr="00324BEB">
                  <w:rPr>
                    <w:rFonts w:ascii="Times New Roman" w:eastAsia="Times New Roman" w:hAnsi="Times New Roman"/>
                    <w:b/>
                    <w:color w:val="000000"/>
                    <w:sz w:val="18"/>
                    <w:szCs w:val="18"/>
                    <w:lang w:eastAsia="es-CO"/>
                  </w:rPr>
                  <w:t>(Subtotal + Cambios)</w:t>
                </w:r>
              </w:p>
            </w:tc>
            <w:tc>
              <w:tcPr>
                <w:tcW w:w="1367" w:type="pct"/>
                <w:vMerge/>
                <w:vAlign w:val="center"/>
                <w:hideMark/>
              </w:tcPr>
              <w:p w14:paraId="5F71B2D1" w14:textId="77777777" w:rsidR="00D842D1" w:rsidRPr="00324BEB" w:rsidRDefault="00D842D1" w:rsidP="00D842D1">
                <w:pPr>
                  <w:spacing w:after="0" w:line="240" w:lineRule="auto"/>
                  <w:rPr>
                    <w:rFonts w:ascii="Times New Roman" w:eastAsia="Times New Roman" w:hAnsi="Times New Roman"/>
                    <w:b/>
                    <w:color w:val="000000"/>
                    <w:sz w:val="18"/>
                    <w:szCs w:val="18"/>
                    <w:lang w:eastAsia="es-CO"/>
                  </w:rPr>
                </w:pPr>
              </w:p>
            </w:tc>
          </w:tr>
        </w:tbl>
        <w:p w14:paraId="40F2DC96" w14:textId="32B143D2" w:rsidR="00DE7E53" w:rsidRPr="00931DCE" w:rsidRDefault="00AD2026" w:rsidP="00DE7E53">
          <w:pPr>
            <w:spacing w:after="0" w:line="240" w:lineRule="auto"/>
            <w:jc w:val="both"/>
            <w:rPr>
              <w:rFonts w:ascii="Times New Roman" w:hAnsi="Times New Roman"/>
              <w:sz w:val="14"/>
              <w:szCs w:val="14"/>
            </w:rPr>
          </w:pPr>
          <w:r w:rsidRPr="00931DCE">
            <w:rPr>
              <w:rFonts w:ascii="Times New Roman" w:hAnsi="Times New Roman"/>
              <w:sz w:val="14"/>
              <w:szCs w:val="14"/>
            </w:rPr>
            <w:t>Cifras expresadas en pesos</w:t>
          </w:r>
        </w:p>
        <w:p w14:paraId="732F0BF7" w14:textId="77777777" w:rsidR="009048BC" w:rsidRPr="00931DCE" w:rsidRDefault="009048BC" w:rsidP="00DE7E53">
          <w:pPr>
            <w:spacing w:after="0" w:line="240" w:lineRule="auto"/>
            <w:jc w:val="both"/>
            <w:rPr>
              <w:rFonts w:ascii="Times New Roman" w:hAnsi="Times New Roman"/>
              <w:sz w:val="24"/>
              <w:szCs w:val="24"/>
            </w:rPr>
          </w:pPr>
        </w:p>
        <w:p w14:paraId="40054F8B" w14:textId="4F5897E6" w:rsidR="00DE7E53" w:rsidRPr="00931DCE" w:rsidRDefault="00DE7E53" w:rsidP="00DE7E53">
          <w:pPr>
            <w:spacing w:after="0" w:line="240" w:lineRule="auto"/>
            <w:jc w:val="both"/>
            <w:rPr>
              <w:rFonts w:ascii="Times New Roman" w:hAnsi="Times New Roman"/>
              <w:sz w:val="24"/>
              <w:szCs w:val="24"/>
            </w:rPr>
          </w:pPr>
          <w:r w:rsidRPr="00931DCE">
            <w:rPr>
              <w:rFonts w:ascii="Times New Roman" w:hAnsi="Times New Roman"/>
              <w:sz w:val="24"/>
              <w:szCs w:val="24"/>
            </w:rPr>
            <w:t xml:space="preserve">En </w:t>
          </w:r>
          <w:r w:rsidR="000A11CC" w:rsidRPr="00931DCE">
            <w:rPr>
              <w:rFonts w:ascii="Times New Roman" w:hAnsi="Times New Roman"/>
              <w:sz w:val="24"/>
              <w:szCs w:val="24"/>
            </w:rPr>
            <w:t>el</w:t>
          </w:r>
          <w:r w:rsidRPr="00931DCE">
            <w:rPr>
              <w:rFonts w:ascii="Times New Roman" w:hAnsi="Times New Roman"/>
              <w:sz w:val="24"/>
              <w:szCs w:val="24"/>
            </w:rPr>
            <w:t xml:space="preserve"> </w:t>
          </w:r>
          <w:r w:rsidR="004927E9" w:rsidRPr="00931DCE">
            <w:rPr>
              <w:rFonts w:ascii="Times New Roman" w:hAnsi="Times New Roman"/>
              <w:sz w:val="24"/>
              <w:szCs w:val="24"/>
            </w:rPr>
            <w:t>período contable</w:t>
          </w:r>
          <w:r w:rsidRPr="00931DCE">
            <w:rPr>
              <w:rFonts w:ascii="Times New Roman" w:hAnsi="Times New Roman"/>
              <w:sz w:val="24"/>
              <w:szCs w:val="24"/>
            </w:rPr>
            <w:t>, la Agencia efectuó giros (fondeos) a la Fiduprevisora por concepto de aportes por valor de $</w:t>
          </w:r>
          <w:r w:rsidR="000A6347">
            <w:rPr>
              <w:rFonts w:ascii="Times New Roman" w:hAnsi="Times New Roman"/>
              <w:sz w:val="24"/>
              <w:szCs w:val="24"/>
            </w:rPr>
            <w:t>3.077.909.803.112</w:t>
          </w:r>
          <w:r w:rsidRPr="00931DCE">
            <w:rPr>
              <w:rFonts w:ascii="Times New Roman" w:hAnsi="Times New Roman"/>
              <w:sz w:val="24"/>
              <w:szCs w:val="24"/>
            </w:rPr>
            <w:t>, en atención a los valores presupuestado para el fondo de contingencias a cargo de los siguientes proyectos:</w:t>
          </w:r>
        </w:p>
        <w:p w14:paraId="26C9544D" w14:textId="77777777" w:rsidR="00DE7E53" w:rsidRPr="00931DCE" w:rsidRDefault="00DE7E53" w:rsidP="00DE7E53">
          <w:pPr>
            <w:spacing w:after="0" w:line="240" w:lineRule="auto"/>
            <w:jc w:val="both"/>
            <w:rPr>
              <w:rFonts w:ascii="Times New Roman" w:hAnsi="Times New Roman"/>
              <w:sz w:val="24"/>
              <w:szCs w:val="24"/>
            </w:rPr>
          </w:pPr>
        </w:p>
        <w:p w14:paraId="3B958B8C" w14:textId="77777777" w:rsidR="004B0F14" w:rsidRDefault="004B0F14" w:rsidP="000A6347">
          <w:pPr>
            <w:spacing w:after="0" w:line="240" w:lineRule="auto"/>
            <w:jc w:val="center"/>
            <w:rPr>
              <w:rFonts w:ascii="Times New Roman" w:eastAsia="Times New Roman" w:hAnsi="Times New Roman"/>
              <w:b/>
              <w:color w:val="000000"/>
              <w:sz w:val="18"/>
              <w:szCs w:val="18"/>
              <w:lang w:eastAsia="es-CO"/>
            </w:rPr>
            <w:sectPr w:rsidR="004B0F14" w:rsidSect="00376BDD">
              <w:headerReference w:type="default" r:id="rId10"/>
              <w:footerReference w:type="default" r:id="rId11"/>
              <w:headerReference w:type="first" r:id="rId12"/>
              <w:pgSz w:w="12240" w:h="15840"/>
              <w:pgMar w:top="1418" w:right="1418" w:bottom="1418" w:left="1843" w:header="680" w:footer="709" w:gutter="0"/>
              <w:cols w:space="708"/>
              <w:titlePg/>
              <w:docGrid w:linePitch="360"/>
            </w:sectPr>
          </w:pPr>
        </w:p>
        <w:tbl>
          <w:tblPr>
            <w:tblW w:w="439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ayout w:type="fixed"/>
            <w:tblCellMar>
              <w:left w:w="70" w:type="dxa"/>
              <w:right w:w="70" w:type="dxa"/>
            </w:tblCellMar>
            <w:tblLook w:val="04A0" w:firstRow="1" w:lastRow="0" w:firstColumn="1" w:lastColumn="0" w:noHBand="0" w:noVBand="1"/>
          </w:tblPr>
          <w:tblGrid>
            <w:gridCol w:w="1838"/>
            <w:gridCol w:w="1134"/>
            <w:gridCol w:w="1418"/>
          </w:tblGrid>
          <w:tr w:rsidR="000A6347" w:rsidRPr="004B0F14" w14:paraId="708B3BF2" w14:textId="77777777" w:rsidTr="00CA6345">
            <w:trPr>
              <w:trHeight w:val="340"/>
              <w:tblHeader/>
            </w:trPr>
            <w:tc>
              <w:tcPr>
                <w:tcW w:w="1838" w:type="dxa"/>
                <w:shd w:val="clear" w:color="auto" w:fill="auto"/>
                <w:vAlign w:val="center"/>
                <w:hideMark/>
              </w:tcPr>
              <w:p w14:paraId="28E525B6" w14:textId="77777777" w:rsidR="000A6347" w:rsidRPr="004B0F14" w:rsidRDefault="000A6347" w:rsidP="000A6347">
                <w:pPr>
                  <w:spacing w:after="0" w:line="240" w:lineRule="auto"/>
                  <w:jc w:val="center"/>
                  <w:rPr>
                    <w:rFonts w:ascii="Times New Roman" w:eastAsia="Times New Roman" w:hAnsi="Times New Roman"/>
                    <w:b/>
                    <w:color w:val="000000"/>
                    <w:sz w:val="14"/>
                    <w:szCs w:val="14"/>
                    <w:lang w:eastAsia="es-CO"/>
                  </w:rPr>
                </w:pPr>
                <w:r w:rsidRPr="004B0F14">
                  <w:rPr>
                    <w:rFonts w:ascii="Times New Roman" w:eastAsia="Times New Roman" w:hAnsi="Times New Roman"/>
                    <w:b/>
                    <w:color w:val="000000"/>
                    <w:sz w:val="14"/>
                    <w:szCs w:val="14"/>
                    <w:lang w:eastAsia="es-CO"/>
                  </w:rPr>
                  <w:t>Proyecto</w:t>
                </w:r>
              </w:p>
            </w:tc>
            <w:tc>
              <w:tcPr>
                <w:tcW w:w="1134" w:type="dxa"/>
                <w:shd w:val="clear" w:color="auto" w:fill="auto"/>
                <w:vAlign w:val="center"/>
                <w:hideMark/>
              </w:tcPr>
              <w:p w14:paraId="79E484D1" w14:textId="77777777" w:rsidR="000A6347" w:rsidRPr="004B0F14" w:rsidRDefault="000A6347" w:rsidP="000A6347">
                <w:pPr>
                  <w:spacing w:after="0" w:line="240" w:lineRule="auto"/>
                  <w:jc w:val="center"/>
                  <w:rPr>
                    <w:rFonts w:ascii="Times New Roman" w:eastAsia="Times New Roman" w:hAnsi="Times New Roman"/>
                    <w:b/>
                    <w:color w:val="000000"/>
                    <w:sz w:val="14"/>
                    <w:szCs w:val="14"/>
                    <w:lang w:eastAsia="es-CO"/>
                  </w:rPr>
                </w:pPr>
                <w:r w:rsidRPr="004B0F14">
                  <w:rPr>
                    <w:rFonts w:ascii="Times New Roman" w:eastAsia="Times New Roman" w:hAnsi="Times New Roman"/>
                    <w:b/>
                    <w:color w:val="000000"/>
                    <w:sz w:val="14"/>
                    <w:szCs w:val="14"/>
                    <w:lang w:eastAsia="es-CO"/>
                  </w:rPr>
                  <w:t>Riesgo</w:t>
                </w:r>
              </w:p>
            </w:tc>
            <w:tc>
              <w:tcPr>
                <w:tcW w:w="1418" w:type="dxa"/>
                <w:shd w:val="clear" w:color="auto" w:fill="auto"/>
                <w:vAlign w:val="center"/>
                <w:hideMark/>
              </w:tcPr>
              <w:p w14:paraId="4EC82DA0" w14:textId="77777777" w:rsidR="000A6347" w:rsidRPr="004B0F14" w:rsidRDefault="000A6347" w:rsidP="004B0F14">
                <w:pPr>
                  <w:spacing w:after="0" w:line="240" w:lineRule="auto"/>
                  <w:jc w:val="right"/>
                  <w:rPr>
                    <w:rFonts w:ascii="Times New Roman" w:eastAsia="Times New Roman" w:hAnsi="Times New Roman"/>
                    <w:b/>
                    <w:sz w:val="14"/>
                    <w:szCs w:val="14"/>
                    <w:lang w:eastAsia="es-CO"/>
                  </w:rPr>
                </w:pPr>
                <w:r w:rsidRPr="004B0F14">
                  <w:rPr>
                    <w:rFonts w:ascii="Times New Roman" w:eastAsia="Times New Roman" w:hAnsi="Times New Roman"/>
                    <w:b/>
                    <w:sz w:val="14"/>
                    <w:szCs w:val="14"/>
                    <w:lang w:eastAsia="es-CO"/>
                  </w:rPr>
                  <w:t>VALOR</w:t>
                </w:r>
              </w:p>
            </w:tc>
          </w:tr>
          <w:tr w:rsidR="000A6347" w:rsidRPr="004B0F14" w14:paraId="4DA07B14" w14:textId="77777777" w:rsidTr="00CA6345">
            <w:trPr>
              <w:trHeight w:val="340"/>
            </w:trPr>
            <w:tc>
              <w:tcPr>
                <w:tcW w:w="1838" w:type="dxa"/>
                <w:shd w:val="clear" w:color="auto" w:fill="auto"/>
                <w:noWrap/>
                <w:vAlign w:val="center"/>
                <w:hideMark/>
              </w:tcPr>
              <w:p w14:paraId="2887B78A" w14:textId="5DD17683"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Girardot - Honda </w:t>
                </w:r>
                <w:r w:rsidR="004B0F14">
                  <w:rPr>
                    <w:rFonts w:ascii="Times New Roman" w:eastAsia="Times New Roman" w:hAnsi="Times New Roman"/>
                    <w:color w:val="000000"/>
                    <w:sz w:val="14"/>
                    <w:szCs w:val="14"/>
                    <w:lang w:eastAsia="es-CO"/>
                  </w:rPr>
                  <w:t>–</w:t>
                </w:r>
                <w:r w:rsidRPr="004B0F14">
                  <w:rPr>
                    <w:rFonts w:ascii="Times New Roman" w:eastAsia="Times New Roman" w:hAnsi="Times New Roman"/>
                    <w:color w:val="000000"/>
                    <w:sz w:val="14"/>
                    <w:szCs w:val="14"/>
                    <w:lang w:eastAsia="es-CO"/>
                  </w:rPr>
                  <w:t xml:space="preserve"> Puerto</w:t>
                </w:r>
                <w:r>
                  <w:rPr>
                    <w:rFonts w:ascii="Times New Roman" w:eastAsia="Times New Roman" w:hAnsi="Times New Roman"/>
                    <w:color w:val="000000"/>
                    <w:sz w:val="14"/>
                    <w:szCs w:val="14"/>
                    <w:lang w:eastAsia="es-CO"/>
                  </w:rPr>
                  <w:t xml:space="preserve"> </w:t>
                </w:r>
                <w:r w:rsidRPr="004B0F14">
                  <w:rPr>
                    <w:rFonts w:ascii="Times New Roman" w:eastAsia="Times New Roman" w:hAnsi="Times New Roman"/>
                    <w:color w:val="000000"/>
                    <w:sz w:val="14"/>
                    <w:szCs w:val="14"/>
                    <w:lang w:eastAsia="es-CO"/>
                  </w:rPr>
                  <w:t>Salgar</w:t>
                </w:r>
              </w:p>
            </w:tc>
            <w:tc>
              <w:tcPr>
                <w:tcW w:w="1134" w:type="dxa"/>
                <w:shd w:val="clear" w:color="auto" w:fill="auto"/>
                <w:noWrap/>
                <w:vAlign w:val="center"/>
                <w:hideMark/>
              </w:tcPr>
              <w:p w14:paraId="7998F016"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Comercial</w:t>
                </w:r>
              </w:p>
            </w:tc>
            <w:tc>
              <w:tcPr>
                <w:tcW w:w="1418" w:type="dxa"/>
                <w:shd w:val="clear" w:color="auto" w:fill="auto"/>
                <w:noWrap/>
                <w:vAlign w:val="bottom"/>
                <w:hideMark/>
              </w:tcPr>
              <w:p w14:paraId="7B3F7CB7" w14:textId="1D967AA9" w:rsidR="000A6347" w:rsidRPr="004B0F14" w:rsidRDefault="000A6347" w:rsidP="00FD7BD3">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48.960.025.624 </w:t>
                </w:r>
              </w:p>
            </w:tc>
          </w:tr>
          <w:tr w:rsidR="000A6347" w:rsidRPr="004B0F14" w14:paraId="3DAC7A95" w14:textId="77777777" w:rsidTr="00CA6345">
            <w:trPr>
              <w:trHeight w:val="340"/>
            </w:trPr>
            <w:tc>
              <w:tcPr>
                <w:tcW w:w="1838" w:type="dxa"/>
                <w:shd w:val="clear" w:color="auto" w:fill="auto"/>
                <w:noWrap/>
                <w:vAlign w:val="center"/>
                <w:hideMark/>
              </w:tcPr>
              <w:p w14:paraId="209E9F2F"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Girardot - Honda - Puerto Salgar</w:t>
                </w:r>
              </w:p>
            </w:tc>
            <w:tc>
              <w:tcPr>
                <w:tcW w:w="1134" w:type="dxa"/>
                <w:shd w:val="clear" w:color="auto" w:fill="auto"/>
                <w:noWrap/>
                <w:vAlign w:val="center"/>
                <w:hideMark/>
              </w:tcPr>
              <w:p w14:paraId="004D9DA7" w14:textId="3D401AF9"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Comercial-</w:t>
                </w:r>
                <w:r w:rsidR="004B0F14" w:rsidRPr="004B0F14">
                  <w:rPr>
                    <w:rFonts w:ascii="Times New Roman" w:eastAsia="Times New Roman" w:hAnsi="Times New Roman"/>
                    <w:color w:val="000000"/>
                    <w:sz w:val="14"/>
                    <w:szCs w:val="14"/>
                    <w:lang w:eastAsia="es-CO"/>
                  </w:rPr>
                  <w:t>Déficit</w:t>
                </w:r>
              </w:p>
            </w:tc>
            <w:tc>
              <w:tcPr>
                <w:tcW w:w="1418" w:type="dxa"/>
                <w:shd w:val="clear" w:color="auto" w:fill="auto"/>
                <w:noWrap/>
                <w:vAlign w:val="bottom"/>
                <w:hideMark/>
              </w:tcPr>
              <w:p w14:paraId="3CA5BF66" w14:textId="2038B511" w:rsidR="000A6347" w:rsidRPr="004B0F14" w:rsidRDefault="000A6347" w:rsidP="00FD7BD3">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7.819.556.300 </w:t>
                </w:r>
              </w:p>
            </w:tc>
          </w:tr>
          <w:tr w:rsidR="000A6347" w:rsidRPr="004B0F14" w14:paraId="1B89DFF2" w14:textId="77777777" w:rsidTr="00CA6345">
            <w:trPr>
              <w:trHeight w:val="340"/>
            </w:trPr>
            <w:tc>
              <w:tcPr>
                <w:tcW w:w="1838" w:type="dxa"/>
                <w:shd w:val="clear" w:color="auto" w:fill="auto"/>
                <w:noWrap/>
                <w:vAlign w:val="center"/>
                <w:hideMark/>
              </w:tcPr>
              <w:p w14:paraId="1CE775C8"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Cartagena Barranquilla</w:t>
                </w:r>
              </w:p>
            </w:tc>
            <w:tc>
              <w:tcPr>
                <w:tcW w:w="1134" w:type="dxa"/>
                <w:shd w:val="clear" w:color="auto" w:fill="auto"/>
                <w:noWrap/>
                <w:vAlign w:val="center"/>
                <w:hideMark/>
              </w:tcPr>
              <w:p w14:paraId="769E305A"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Tarifario</w:t>
                </w:r>
              </w:p>
            </w:tc>
            <w:tc>
              <w:tcPr>
                <w:tcW w:w="1418" w:type="dxa"/>
                <w:shd w:val="clear" w:color="auto" w:fill="auto"/>
                <w:noWrap/>
                <w:vAlign w:val="bottom"/>
                <w:hideMark/>
              </w:tcPr>
              <w:p w14:paraId="2DB1DD77" w14:textId="79654F4B" w:rsidR="000A6347" w:rsidRPr="004B0F14" w:rsidRDefault="000A6347" w:rsidP="00FD7BD3">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   16.202.680.333 </w:t>
                </w:r>
              </w:p>
            </w:tc>
          </w:tr>
          <w:tr w:rsidR="000A6347" w:rsidRPr="004B0F14" w14:paraId="03B82E95" w14:textId="77777777" w:rsidTr="00CA6345">
            <w:trPr>
              <w:trHeight w:val="340"/>
            </w:trPr>
            <w:tc>
              <w:tcPr>
                <w:tcW w:w="1838" w:type="dxa"/>
                <w:shd w:val="clear" w:color="auto" w:fill="auto"/>
                <w:noWrap/>
                <w:vAlign w:val="center"/>
                <w:hideMark/>
              </w:tcPr>
              <w:p w14:paraId="136105DB"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Pacifico 1</w:t>
                </w:r>
              </w:p>
            </w:tc>
            <w:tc>
              <w:tcPr>
                <w:tcW w:w="1134" w:type="dxa"/>
                <w:shd w:val="clear" w:color="auto" w:fill="auto"/>
                <w:noWrap/>
                <w:vAlign w:val="center"/>
                <w:hideMark/>
              </w:tcPr>
              <w:p w14:paraId="0C2A6C37"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Comercial</w:t>
                </w:r>
              </w:p>
            </w:tc>
            <w:tc>
              <w:tcPr>
                <w:tcW w:w="1418" w:type="dxa"/>
                <w:shd w:val="clear" w:color="auto" w:fill="auto"/>
                <w:noWrap/>
                <w:vAlign w:val="bottom"/>
                <w:hideMark/>
              </w:tcPr>
              <w:p w14:paraId="528642A9" w14:textId="194EF940" w:rsidR="000A6347" w:rsidRPr="004B0F14" w:rsidRDefault="000A6347" w:rsidP="00FD7BD3">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12.000.000.000 </w:t>
                </w:r>
              </w:p>
            </w:tc>
          </w:tr>
          <w:tr w:rsidR="000A6347" w:rsidRPr="004B0F14" w14:paraId="7087ECD7" w14:textId="77777777" w:rsidTr="00CA6345">
            <w:trPr>
              <w:trHeight w:val="340"/>
            </w:trPr>
            <w:tc>
              <w:tcPr>
                <w:tcW w:w="1838" w:type="dxa"/>
                <w:shd w:val="clear" w:color="auto" w:fill="auto"/>
                <w:noWrap/>
                <w:vAlign w:val="center"/>
                <w:hideMark/>
              </w:tcPr>
              <w:p w14:paraId="4BDFADCB"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Pacifico 1</w:t>
                </w:r>
              </w:p>
            </w:tc>
            <w:tc>
              <w:tcPr>
                <w:tcW w:w="1134" w:type="dxa"/>
                <w:shd w:val="clear" w:color="auto" w:fill="auto"/>
                <w:noWrap/>
                <w:vAlign w:val="center"/>
                <w:hideMark/>
              </w:tcPr>
              <w:p w14:paraId="5F1B3044"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Comercial-Deficit</w:t>
                </w:r>
              </w:p>
            </w:tc>
            <w:tc>
              <w:tcPr>
                <w:tcW w:w="1418" w:type="dxa"/>
                <w:shd w:val="clear" w:color="auto" w:fill="auto"/>
                <w:noWrap/>
                <w:vAlign w:val="bottom"/>
                <w:hideMark/>
              </w:tcPr>
              <w:p w14:paraId="311793A5" w14:textId="0FB8621E" w:rsidR="000A6347" w:rsidRPr="004B0F14" w:rsidRDefault="000A6347" w:rsidP="00FD7BD3">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96.190.257.527 </w:t>
                </w:r>
              </w:p>
            </w:tc>
          </w:tr>
          <w:tr w:rsidR="000A6347" w:rsidRPr="004B0F14" w14:paraId="6162097E" w14:textId="77777777" w:rsidTr="00CA6345">
            <w:trPr>
              <w:trHeight w:val="340"/>
            </w:trPr>
            <w:tc>
              <w:tcPr>
                <w:tcW w:w="1838" w:type="dxa"/>
                <w:shd w:val="clear" w:color="auto" w:fill="auto"/>
                <w:noWrap/>
                <w:vAlign w:val="center"/>
                <w:hideMark/>
              </w:tcPr>
              <w:p w14:paraId="2995F462"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Pacifico 2</w:t>
                </w:r>
              </w:p>
            </w:tc>
            <w:tc>
              <w:tcPr>
                <w:tcW w:w="1134" w:type="dxa"/>
                <w:shd w:val="clear" w:color="auto" w:fill="auto"/>
                <w:noWrap/>
                <w:vAlign w:val="center"/>
                <w:hideMark/>
              </w:tcPr>
              <w:p w14:paraId="78CD2C3D"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Comercial</w:t>
                </w:r>
              </w:p>
            </w:tc>
            <w:tc>
              <w:tcPr>
                <w:tcW w:w="1418" w:type="dxa"/>
                <w:shd w:val="clear" w:color="auto" w:fill="auto"/>
                <w:noWrap/>
                <w:vAlign w:val="bottom"/>
                <w:hideMark/>
              </w:tcPr>
              <w:p w14:paraId="72271BCA" w14:textId="1E5C7238" w:rsidR="000A6347" w:rsidRPr="004B0F14" w:rsidRDefault="000A6347" w:rsidP="00FD7BD3">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20.259.320.948 </w:t>
                </w:r>
              </w:p>
            </w:tc>
          </w:tr>
          <w:tr w:rsidR="000A6347" w:rsidRPr="004B0F14" w14:paraId="33BF44C0" w14:textId="77777777" w:rsidTr="00CA6345">
            <w:trPr>
              <w:trHeight w:val="340"/>
            </w:trPr>
            <w:tc>
              <w:tcPr>
                <w:tcW w:w="1838" w:type="dxa"/>
                <w:shd w:val="clear" w:color="auto" w:fill="auto"/>
                <w:noWrap/>
                <w:vAlign w:val="center"/>
                <w:hideMark/>
              </w:tcPr>
              <w:p w14:paraId="09132362"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Pacifico 2</w:t>
                </w:r>
              </w:p>
            </w:tc>
            <w:tc>
              <w:tcPr>
                <w:tcW w:w="1134" w:type="dxa"/>
                <w:shd w:val="clear" w:color="auto" w:fill="auto"/>
                <w:noWrap/>
                <w:vAlign w:val="center"/>
                <w:hideMark/>
              </w:tcPr>
              <w:p w14:paraId="3E411CB3" w14:textId="339A2755"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Comercial-</w:t>
                </w:r>
                <w:r w:rsidR="004B0F14" w:rsidRPr="004B0F14">
                  <w:rPr>
                    <w:rFonts w:ascii="Times New Roman" w:eastAsia="Times New Roman" w:hAnsi="Times New Roman"/>
                    <w:color w:val="000000"/>
                    <w:sz w:val="14"/>
                    <w:szCs w:val="14"/>
                    <w:lang w:eastAsia="es-CO"/>
                  </w:rPr>
                  <w:t>Déficit</w:t>
                </w:r>
              </w:p>
            </w:tc>
            <w:tc>
              <w:tcPr>
                <w:tcW w:w="1418" w:type="dxa"/>
                <w:shd w:val="clear" w:color="auto" w:fill="auto"/>
                <w:noWrap/>
                <w:vAlign w:val="bottom"/>
                <w:hideMark/>
              </w:tcPr>
              <w:p w14:paraId="62F6DE69" w14:textId="55F6F590" w:rsidR="000A6347" w:rsidRPr="004B0F14" w:rsidRDefault="000A6347" w:rsidP="00FD7BD3">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17.659.374.759 </w:t>
                </w:r>
              </w:p>
            </w:tc>
          </w:tr>
          <w:tr w:rsidR="000A6347" w:rsidRPr="004B0F14" w14:paraId="7599199A" w14:textId="77777777" w:rsidTr="00CA6345">
            <w:trPr>
              <w:trHeight w:val="340"/>
            </w:trPr>
            <w:tc>
              <w:tcPr>
                <w:tcW w:w="1838" w:type="dxa"/>
                <w:shd w:val="clear" w:color="auto" w:fill="auto"/>
                <w:noWrap/>
                <w:vAlign w:val="center"/>
                <w:hideMark/>
              </w:tcPr>
              <w:p w14:paraId="4BBD5516"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Pacifico 2</w:t>
                </w:r>
              </w:p>
            </w:tc>
            <w:tc>
              <w:tcPr>
                <w:tcW w:w="1134" w:type="dxa"/>
                <w:shd w:val="clear" w:color="auto" w:fill="auto"/>
                <w:noWrap/>
                <w:vAlign w:val="center"/>
                <w:hideMark/>
              </w:tcPr>
              <w:p w14:paraId="397616F1"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Tarifario</w:t>
                </w:r>
              </w:p>
            </w:tc>
            <w:tc>
              <w:tcPr>
                <w:tcW w:w="1418" w:type="dxa"/>
                <w:shd w:val="clear" w:color="auto" w:fill="auto"/>
                <w:noWrap/>
                <w:vAlign w:val="bottom"/>
                <w:hideMark/>
              </w:tcPr>
              <w:p w14:paraId="025AEF40" w14:textId="406C2497" w:rsidR="000A6347" w:rsidRPr="004B0F14" w:rsidRDefault="000A6347" w:rsidP="00FD7BD3">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19.366.222.549 </w:t>
                </w:r>
              </w:p>
            </w:tc>
          </w:tr>
          <w:tr w:rsidR="000A6347" w:rsidRPr="004B0F14" w14:paraId="136E20B1" w14:textId="77777777" w:rsidTr="00CA6345">
            <w:trPr>
              <w:trHeight w:val="340"/>
            </w:trPr>
            <w:tc>
              <w:tcPr>
                <w:tcW w:w="1838" w:type="dxa"/>
                <w:shd w:val="clear" w:color="auto" w:fill="auto"/>
                <w:noWrap/>
                <w:vAlign w:val="center"/>
                <w:hideMark/>
              </w:tcPr>
              <w:p w14:paraId="0D78215C"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Pacifico 3</w:t>
                </w:r>
              </w:p>
            </w:tc>
            <w:tc>
              <w:tcPr>
                <w:tcW w:w="1134" w:type="dxa"/>
                <w:shd w:val="clear" w:color="auto" w:fill="auto"/>
                <w:noWrap/>
                <w:vAlign w:val="center"/>
                <w:hideMark/>
              </w:tcPr>
              <w:p w14:paraId="54A48CEE"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Comercial</w:t>
                </w:r>
              </w:p>
            </w:tc>
            <w:tc>
              <w:tcPr>
                <w:tcW w:w="1418" w:type="dxa"/>
                <w:shd w:val="clear" w:color="auto" w:fill="auto"/>
                <w:noWrap/>
                <w:vAlign w:val="bottom"/>
                <w:hideMark/>
              </w:tcPr>
              <w:p w14:paraId="47BF5D61" w14:textId="04B9E5ED" w:rsidR="000A6347" w:rsidRPr="004B0F14" w:rsidRDefault="000A6347" w:rsidP="00FD7BD3">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35.453.811.659 </w:t>
                </w:r>
              </w:p>
            </w:tc>
          </w:tr>
          <w:tr w:rsidR="000A6347" w:rsidRPr="004B0F14" w14:paraId="4E028DF1" w14:textId="77777777" w:rsidTr="00CA6345">
            <w:trPr>
              <w:trHeight w:val="340"/>
            </w:trPr>
            <w:tc>
              <w:tcPr>
                <w:tcW w:w="1838" w:type="dxa"/>
                <w:shd w:val="clear" w:color="auto" w:fill="auto"/>
                <w:noWrap/>
                <w:vAlign w:val="center"/>
                <w:hideMark/>
              </w:tcPr>
              <w:p w14:paraId="02E8E099"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Pacifico 3</w:t>
                </w:r>
              </w:p>
            </w:tc>
            <w:tc>
              <w:tcPr>
                <w:tcW w:w="1134" w:type="dxa"/>
                <w:shd w:val="clear" w:color="auto" w:fill="auto"/>
                <w:noWrap/>
                <w:vAlign w:val="center"/>
                <w:hideMark/>
              </w:tcPr>
              <w:p w14:paraId="3AFD0D32"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Tarifario</w:t>
                </w:r>
              </w:p>
            </w:tc>
            <w:tc>
              <w:tcPr>
                <w:tcW w:w="1418" w:type="dxa"/>
                <w:shd w:val="clear" w:color="auto" w:fill="auto"/>
                <w:noWrap/>
                <w:vAlign w:val="bottom"/>
                <w:hideMark/>
              </w:tcPr>
              <w:p w14:paraId="18F0192D" w14:textId="6AB659E3" w:rsidR="000A6347" w:rsidRPr="004B0F14" w:rsidRDefault="000A6347" w:rsidP="00FD7BD3">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8.736.832.158 </w:t>
                </w:r>
              </w:p>
            </w:tc>
          </w:tr>
          <w:tr w:rsidR="000A6347" w:rsidRPr="004B0F14" w14:paraId="56333203" w14:textId="77777777" w:rsidTr="00CA6345">
            <w:trPr>
              <w:trHeight w:val="340"/>
            </w:trPr>
            <w:tc>
              <w:tcPr>
                <w:tcW w:w="1838" w:type="dxa"/>
                <w:shd w:val="clear" w:color="auto" w:fill="auto"/>
                <w:noWrap/>
                <w:vAlign w:val="center"/>
                <w:hideMark/>
              </w:tcPr>
              <w:p w14:paraId="530C320A"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Perimetral De Oriente</w:t>
                </w:r>
              </w:p>
            </w:tc>
            <w:tc>
              <w:tcPr>
                <w:tcW w:w="1134" w:type="dxa"/>
                <w:shd w:val="clear" w:color="auto" w:fill="auto"/>
                <w:noWrap/>
                <w:vAlign w:val="center"/>
                <w:hideMark/>
              </w:tcPr>
              <w:p w14:paraId="15E87B28"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Comercial</w:t>
                </w:r>
              </w:p>
            </w:tc>
            <w:tc>
              <w:tcPr>
                <w:tcW w:w="1418" w:type="dxa"/>
                <w:shd w:val="clear" w:color="auto" w:fill="auto"/>
                <w:noWrap/>
                <w:vAlign w:val="bottom"/>
                <w:hideMark/>
              </w:tcPr>
              <w:p w14:paraId="12C978FD" w14:textId="1C4F2FD4" w:rsidR="000A6347" w:rsidRPr="004B0F14" w:rsidRDefault="000A6347" w:rsidP="00FD7BD3">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37.891.683.279 </w:t>
                </w:r>
              </w:p>
            </w:tc>
          </w:tr>
          <w:tr w:rsidR="000A6347" w:rsidRPr="004B0F14" w14:paraId="1637DDEC" w14:textId="77777777" w:rsidTr="00CA6345">
            <w:trPr>
              <w:trHeight w:val="340"/>
            </w:trPr>
            <w:tc>
              <w:tcPr>
                <w:tcW w:w="1838" w:type="dxa"/>
                <w:shd w:val="clear" w:color="auto" w:fill="auto"/>
                <w:noWrap/>
                <w:vAlign w:val="center"/>
                <w:hideMark/>
              </w:tcPr>
              <w:p w14:paraId="05128E76"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Perimetral De Oriente</w:t>
                </w:r>
              </w:p>
            </w:tc>
            <w:tc>
              <w:tcPr>
                <w:tcW w:w="1134" w:type="dxa"/>
                <w:shd w:val="clear" w:color="auto" w:fill="auto"/>
                <w:noWrap/>
                <w:vAlign w:val="center"/>
                <w:hideMark/>
              </w:tcPr>
              <w:p w14:paraId="33EFF187" w14:textId="2C65F7B0"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Comercial-</w:t>
                </w:r>
                <w:r w:rsidR="004B0F14" w:rsidRPr="004B0F14">
                  <w:rPr>
                    <w:rFonts w:ascii="Times New Roman" w:eastAsia="Times New Roman" w:hAnsi="Times New Roman"/>
                    <w:color w:val="000000"/>
                    <w:sz w:val="14"/>
                    <w:szCs w:val="14"/>
                    <w:lang w:eastAsia="es-CO"/>
                  </w:rPr>
                  <w:t>Déficit</w:t>
                </w:r>
              </w:p>
            </w:tc>
            <w:tc>
              <w:tcPr>
                <w:tcW w:w="1418" w:type="dxa"/>
                <w:shd w:val="clear" w:color="auto" w:fill="auto"/>
                <w:noWrap/>
                <w:vAlign w:val="bottom"/>
                <w:hideMark/>
              </w:tcPr>
              <w:p w14:paraId="17118569" w14:textId="2B1BF00B" w:rsidR="000A6347" w:rsidRPr="004B0F14" w:rsidRDefault="000A6347" w:rsidP="00FD7BD3">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25.501.420.243 </w:t>
                </w:r>
              </w:p>
            </w:tc>
          </w:tr>
          <w:tr w:rsidR="000A6347" w:rsidRPr="004B0F14" w14:paraId="1D617AC9" w14:textId="77777777" w:rsidTr="00CA6345">
            <w:trPr>
              <w:trHeight w:val="340"/>
            </w:trPr>
            <w:tc>
              <w:tcPr>
                <w:tcW w:w="1838" w:type="dxa"/>
                <w:shd w:val="clear" w:color="auto" w:fill="auto"/>
                <w:noWrap/>
                <w:vAlign w:val="center"/>
                <w:hideMark/>
              </w:tcPr>
              <w:p w14:paraId="784952DD"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Conexión Norte</w:t>
                </w:r>
              </w:p>
            </w:tc>
            <w:tc>
              <w:tcPr>
                <w:tcW w:w="1134" w:type="dxa"/>
                <w:shd w:val="clear" w:color="auto" w:fill="auto"/>
                <w:noWrap/>
                <w:vAlign w:val="center"/>
                <w:hideMark/>
              </w:tcPr>
              <w:p w14:paraId="2FFCE7F7"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Comercial</w:t>
                </w:r>
              </w:p>
            </w:tc>
            <w:tc>
              <w:tcPr>
                <w:tcW w:w="1418" w:type="dxa"/>
                <w:shd w:val="clear" w:color="auto" w:fill="auto"/>
                <w:noWrap/>
                <w:vAlign w:val="bottom"/>
                <w:hideMark/>
              </w:tcPr>
              <w:p w14:paraId="145BB5FE" w14:textId="69D4B06F" w:rsidR="000A6347" w:rsidRPr="004B0F14" w:rsidRDefault="000A6347" w:rsidP="00FD7BD3">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8.162.818.065 </w:t>
                </w:r>
              </w:p>
            </w:tc>
          </w:tr>
          <w:tr w:rsidR="000A6347" w:rsidRPr="004B0F14" w14:paraId="5FCB0B5F" w14:textId="77777777" w:rsidTr="00CA6345">
            <w:trPr>
              <w:trHeight w:val="340"/>
            </w:trPr>
            <w:tc>
              <w:tcPr>
                <w:tcW w:w="1838" w:type="dxa"/>
                <w:shd w:val="clear" w:color="auto" w:fill="auto"/>
                <w:noWrap/>
                <w:vAlign w:val="center"/>
                <w:hideMark/>
              </w:tcPr>
              <w:p w14:paraId="3FB03C9F"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Conexión Norte</w:t>
                </w:r>
              </w:p>
            </w:tc>
            <w:tc>
              <w:tcPr>
                <w:tcW w:w="1134" w:type="dxa"/>
                <w:shd w:val="clear" w:color="auto" w:fill="auto"/>
                <w:noWrap/>
                <w:vAlign w:val="center"/>
                <w:hideMark/>
              </w:tcPr>
              <w:p w14:paraId="6712842A" w14:textId="3647939B"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Comercial-</w:t>
                </w:r>
                <w:r w:rsidR="004B0F14" w:rsidRPr="004B0F14">
                  <w:rPr>
                    <w:rFonts w:ascii="Times New Roman" w:eastAsia="Times New Roman" w:hAnsi="Times New Roman"/>
                    <w:color w:val="000000"/>
                    <w:sz w:val="14"/>
                    <w:szCs w:val="14"/>
                    <w:lang w:eastAsia="es-CO"/>
                  </w:rPr>
                  <w:t>Déficit</w:t>
                </w:r>
              </w:p>
            </w:tc>
            <w:tc>
              <w:tcPr>
                <w:tcW w:w="1418" w:type="dxa"/>
                <w:shd w:val="clear" w:color="auto" w:fill="auto"/>
                <w:noWrap/>
                <w:vAlign w:val="bottom"/>
                <w:hideMark/>
              </w:tcPr>
              <w:p w14:paraId="4C652862" w14:textId="1F817562" w:rsidR="000A6347" w:rsidRPr="004B0F14" w:rsidRDefault="000A6347" w:rsidP="00FD7BD3">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7.790.290.667 </w:t>
                </w:r>
              </w:p>
            </w:tc>
          </w:tr>
          <w:tr w:rsidR="000A6347" w:rsidRPr="004B0F14" w14:paraId="6EDDDE10" w14:textId="77777777" w:rsidTr="00CA6345">
            <w:trPr>
              <w:trHeight w:val="340"/>
            </w:trPr>
            <w:tc>
              <w:tcPr>
                <w:tcW w:w="1838" w:type="dxa"/>
                <w:shd w:val="clear" w:color="auto" w:fill="auto"/>
                <w:noWrap/>
                <w:vAlign w:val="center"/>
                <w:hideMark/>
              </w:tcPr>
              <w:p w14:paraId="0B801834"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Transversal Del Sisga</w:t>
                </w:r>
              </w:p>
            </w:tc>
            <w:tc>
              <w:tcPr>
                <w:tcW w:w="1134" w:type="dxa"/>
                <w:shd w:val="clear" w:color="auto" w:fill="auto"/>
                <w:noWrap/>
                <w:vAlign w:val="center"/>
                <w:hideMark/>
              </w:tcPr>
              <w:p w14:paraId="4C2D2A74"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Tarifario</w:t>
                </w:r>
              </w:p>
            </w:tc>
            <w:tc>
              <w:tcPr>
                <w:tcW w:w="1418" w:type="dxa"/>
                <w:shd w:val="clear" w:color="auto" w:fill="auto"/>
                <w:noWrap/>
                <w:vAlign w:val="bottom"/>
                <w:hideMark/>
              </w:tcPr>
              <w:p w14:paraId="7BC27A61" w14:textId="447DB15C"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10.782.085.218 </w:t>
                </w:r>
              </w:p>
            </w:tc>
          </w:tr>
          <w:tr w:rsidR="000A6347" w:rsidRPr="004B0F14" w14:paraId="023B692B" w14:textId="77777777" w:rsidTr="00CA6345">
            <w:trPr>
              <w:trHeight w:val="340"/>
            </w:trPr>
            <w:tc>
              <w:tcPr>
                <w:tcW w:w="1838" w:type="dxa"/>
                <w:shd w:val="clear" w:color="auto" w:fill="auto"/>
                <w:noWrap/>
                <w:vAlign w:val="center"/>
                <w:hideMark/>
              </w:tcPr>
              <w:p w14:paraId="509CEB58"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Transversal Del Sisga</w:t>
                </w:r>
              </w:p>
            </w:tc>
            <w:tc>
              <w:tcPr>
                <w:tcW w:w="1134" w:type="dxa"/>
                <w:shd w:val="clear" w:color="auto" w:fill="auto"/>
                <w:noWrap/>
                <w:vAlign w:val="center"/>
                <w:hideMark/>
              </w:tcPr>
              <w:p w14:paraId="2EFD7F96"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Costos Ociosos</w:t>
                </w:r>
              </w:p>
            </w:tc>
            <w:tc>
              <w:tcPr>
                <w:tcW w:w="1418" w:type="dxa"/>
                <w:shd w:val="clear" w:color="auto" w:fill="auto"/>
                <w:noWrap/>
                <w:vAlign w:val="bottom"/>
                <w:hideMark/>
              </w:tcPr>
              <w:p w14:paraId="4E14778E" w14:textId="34230B59"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16.390.145.801 </w:t>
                </w:r>
              </w:p>
            </w:tc>
          </w:tr>
          <w:tr w:rsidR="000A6347" w:rsidRPr="004B0F14" w14:paraId="3B5C1BB7" w14:textId="77777777" w:rsidTr="00CA6345">
            <w:trPr>
              <w:trHeight w:val="340"/>
            </w:trPr>
            <w:tc>
              <w:tcPr>
                <w:tcW w:w="1838" w:type="dxa"/>
                <w:shd w:val="clear" w:color="auto" w:fill="auto"/>
                <w:noWrap/>
                <w:vAlign w:val="center"/>
                <w:hideMark/>
              </w:tcPr>
              <w:p w14:paraId="3C3E3D49"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Transversal Del Sisga</w:t>
                </w:r>
              </w:p>
            </w:tc>
            <w:tc>
              <w:tcPr>
                <w:tcW w:w="1134" w:type="dxa"/>
                <w:shd w:val="clear" w:color="auto" w:fill="auto"/>
                <w:noWrap/>
                <w:vAlign w:val="center"/>
                <w:hideMark/>
              </w:tcPr>
              <w:p w14:paraId="3AC1E8DF" w14:textId="72E5493C"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Redes-</w:t>
                </w:r>
                <w:r w:rsidR="004B0F14" w:rsidRPr="004B0F14">
                  <w:rPr>
                    <w:rFonts w:ascii="Times New Roman" w:eastAsia="Times New Roman" w:hAnsi="Times New Roman"/>
                    <w:color w:val="000000"/>
                    <w:sz w:val="14"/>
                    <w:szCs w:val="14"/>
                    <w:lang w:eastAsia="es-CO"/>
                  </w:rPr>
                  <w:t>Déficit</w:t>
                </w:r>
              </w:p>
            </w:tc>
            <w:tc>
              <w:tcPr>
                <w:tcW w:w="1418" w:type="dxa"/>
                <w:shd w:val="clear" w:color="auto" w:fill="auto"/>
                <w:noWrap/>
                <w:vAlign w:val="bottom"/>
                <w:hideMark/>
              </w:tcPr>
              <w:p w14:paraId="3C0F8B34" w14:textId="3F771865"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7.202.962.921 </w:t>
                </w:r>
              </w:p>
            </w:tc>
          </w:tr>
          <w:tr w:rsidR="000A6347" w:rsidRPr="004B0F14" w14:paraId="4093B2E2" w14:textId="77777777" w:rsidTr="00CA6345">
            <w:trPr>
              <w:trHeight w:val="340"/>
            </w:trPr>
            <w:tc>
              <w:tcPr>
                <w:tcW w:w="1838" w:type="dxa"/>
                <w:shd w:val="clear" w:color="auto" w:fill="auto"/>
                <w:noWrap/>
                <w:vAlign w:val="center"/>
                <w:hideMark/>
              </w:tcPr>
              <w:p w14:paraId="579FFC71"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Villavicencio Yopal</w:t>
                </w:r>
              </w:p>
            </w:tc>
            <w:tc>
              <w:tcPr>
                <w:tcW w:w="1134" w:type="dxa"/>
                <w:shd w:val="clear" w:color="auto" w:fill="auto"/>
                <w:noWrap/>
                <w:vAlign w:val="center"/>
                <w:hideMark/>
              </w:tcPr>
              <w:p w14:paraId="2FA46766"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Comercial</w:t>
                </w:r>
              </w:p>
            </w:tc>
            <w:tc>
              <w:tcPr>
                <w:tcW w:w="1418" w:type="dxa"/>
                <w:shd w:val="clear" w:color="auto" w:fill="auto"/>
                <w:noWrap/>
                <w:vAlign w:val="bottom"/>
                <w:hideMark/>
              </w:tcPr>
              <w:p w14:paraId="511F808E" w14:textId="370049D2"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24.305.238.185 </w:t>
                </w:r>
              </w:p>
            </w:tc>
          </w:tr>
          <w:tr w:rsidR="000A6347" w:rsidRPr="004B0F14" w14:paraId="6357B87A" w14:textId="77777777" w:rsidTr="00CA6345">
            <w:trPr>
              <w:trHeight w:val="340"/>
            </w:trPr>
            <w:tc>
              <w:tcPr>
                <w:tcW w:w="1838" w:type="dxa"/>
                <w:shd w:val="clear" w:color="auto" w:fill="auto"/>
                <w:noWrap/>
                <w:vAlign w:val="center"/>
                <w:hideMark/>
              </w:tcPr>
              <w:p w14:paraId="7D426622"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Bucaramanga - Barrancabermeja - Yondó</w:t>
                </w:r>
              </w:p>
            </w:tc>
            <w:tc>
              <w:tcPr>
                <w:tcW w:w="1134" w:type="dxa"/>
                <w:shd w:val="clear" w:color="auto" w:fill="auto"/>
                <w:noWrap/>
                <w:vAlign w:val="center"/>
                <w:hideMark/>
              </w:tcPr>
              <w:p w14:paraId="775524FA" w14:textId="2913EF79"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Costos Ociosos-</w:t>
                </w:r>
                <w:r w:rsidR="004B0F14" w:rsidRPr="004B0F14">
                  <w:rPr>
                    <w:rFonts w:ascii="Times New Roman" w:eastAsia="Times New Roman" w:hAnsi="Times New Roman"/>
                    <w:color w:val="000000"/>
                    <w:sz w:val="14"/>
                    <w:szCs w:val="14"/>
                    <w:lang w:eastAsia="es-CO"/>
                  </w:rPr>
                  <w:t>Déficit</w:t>
                </w:r>
              </w:p>
            </w:tc>
            <w:tc>
              <w:tcPr>
                <w:tcW w:w="1418" w:type="dxa"/>
                <w:shd w:val="clear" w:color="auto" w:fill="auto"/>
                <w:noWrap/>
                <w:vAlign w:val="bottom"/>
                <w:hideMark/>
              </w:tcPr>
              <w:p w14:paraId="18788A20" w14:textId="1E023497"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38.151.896.560 </w:t>
                </w:r>
              </w:p>
            </w:tc>
          </w:tr>
          <w:tr w:rsidR="000A6347" w:rsidRPr="004B0F14" w14:paraId="30F6C60D" w14:textId="77777777" w:rsidTr="00CA6345">
            <w:trPr>
              <w:trHeight w:val="340"/>
            </w:trPr>
            <w:tc>
              <w:tcPr>
                <w:tcW w:w="1838" w:type="dxa"/>
                <w:shd w:val="clear" w:color="auto" w:fill="auto"/>
                <w:noWrap/>
                <w:vAlign w:val="center"/>
                <w:hideMark/>
              </w:tcPr>
              <w:p w14:paraId="374D0BC5"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Autopista Mar 1</w:t>
                </w:r>
              </w:p>
            </w:tc>
            <w:tc>
              <w:tcPr>
                <w:tcW w:w="1134" w:type="dxa"/>
                <w:shd w:val="clear" w:color="auto" w:fill="auto"/>
                <w:noWrap/>
                <w:vAlign w:val="center"/>
                <w:hideMark/>
              </w:tcPr>
              <w:p w14:paraId="21C94A2D"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Tarifario</w:t>
                </w:r>
              </w:p>
            </w:tc>
            <w:tc>
              <w:tcPr>
                <w:tcW w:w="1418" w:type="dxa"/>
                <w:shd w:val="clear" w:color="auto" w:fill="auto"/>
                <w:noWrap/>
                <w:vAlign w:val="bottom"/>
                <w:hideMark/>
              </w:tcPr>
              <w:p w14:paraId="422F705F" w14:textId="1F3ED431"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387.607.943 </w:t>
                </w:r>
              </w:p>
            </w:tc>
          </w:tr>
          <w:tr w:rsidR="000A6347" w:rsidRPr="004B0F14" w14:paraId="315716B3" w14:textId="77777777" w:rsidTr="00CA6345">
            <w:trPr>
              <w:trHeight w:val="340"/>
            </w:trPr>
            <w:tc>
              <w:tcPr>
                <w:tcW w:w="1838" w:type="dxa"/>
                <w:shd w:val="clear" w:color="auto" w:fill="auto"/>
                <w:noWrap/>
                <w:vAlign w:val="center"/>
                <w:hideMark/>
              </w:tcPr>
              <w:p w14:paraId="0618BCE3"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Autopista Mar 2</w:t>
                </w:r>
              </w:p>
            </w:tc>
            <w:tc>
              <w:tcPr>
                <w:tcW w:w="1134" w:type="dxa"/>
                <w:shd w:val="clear" w:color="auto" w:fill="auto"/>
                <w:noWrap/>
                <w:vAlign w:val="center"/>
                <w:hideMark/>
              </w:tcPr>
              <w:p w14:paraId="7E1313F9"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No Operación De Peajes</w:t>
                </w:r>
              </w:p>
            </w:tc>
            <w:tc>
              <w:tcPr>
                <w:tcW w:w="1418" w:type="dxa"/>
                <w:shd w:val="clear" w:color="auto" w:fill="auto"/>
                <w:noWrap/>
                <w:vAlign w:val="bottom"/>
                <w:hideMark/>
              </w:tcPr>
              <w:p w14:paraId="3CF22A8C" w14:textId="55A84764"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103.717.593.593 </w:t>
                </w:r>
              </w:p>
            </w:tc>
          </w:tr>
          <w:tr w:rsidR="000A6347" w:rsidRPr="004B0F14" w14:paraId="6A72BBB4" w14:textId="77777777" w:rsidTr="00CA6345">
            <w:trPr>
              <w:trHeight w:val="340"/>
            </w:trPr>
            <w:tc>
              <w:tcPr>
                <w:tcW w:w="1838" w:type="dxa"/>
                <w:shd w:val="clear" w:color="auto" w:fill="auto"/>
                <w:noWrap/>
                <w:vAlign w:val="center"/>
                <w:hideMark/>
              </w:tcPr>
              <w:p w14:paraId="750EA2B2"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Autopista Mar 2</w:t>
                </w:r>
              </w:p>
            </w:tc>
            <w:tc>
              <w:tcPr>
                <w:tcW w:w="1134" w:type="dxa"/>
                <w:shd w:val="clear" w:color="auto" w:fill="auto"/>
                <w:noWrap/>
                <w:vAlign w:val="center"/>
                <w:hideMark/>
              </w:tcPr>
              <w:p w14:paraId="4D84866B"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Costos Ociosos</w:t>
                </w:r>
              </w:p>
            </w:tc>
            <w:tc>
              <w:tcPr>
                <w:tcW w:w="1418" w:type="dxa"/>
                <w:shd w:val="clear" w:color="auto" w:fill="auto"/>
                <w:noWrap/>
                <w:vAlign w:val="bottom"/>
                <w:hideMark/>
              </w:tcPr>
              <w:p w14:paraId="7025852B" w14:textId="6F72B604"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34.440.845.611 </w:t>
                </w:r>
              </w:p>
            </w:tc>
          </w:tr>
          <w:tr w:rsidR="000A6347" w:rsidRPr="004B0F14" w14:paraId="4A9855E8" w14:textId="77777777" w:rsidTr="00CA6345">
            <w:trPr>
              <w:trHeight w:val="340"/>
            </w:trPr>
            <w:tc>
              <w:tcPr>
                <w:tcW w:w="1838" w:type="dxa"/>
                <w:shd w:val="clear" w:color="auto" w:fill="auto"/>
                <w:noWrap/>
                <w:vAlign w:val="center"/>
                <w:hideMark/>
              </w:tcPr>
              <w:p w14:paraId="4E97D69C"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Rumichaca - Pasto</w:t>
                </w:r>
              </w:p>
            </w:tc>
            <w:tc>
              <w:tcPr>
                <w:tcW w:w="1134" w:type="dxa"/>
                <w:shd w:val="clear" w:color="auto" w:fill="auto"/>
                <w:noWrap/>
                <w:vAlign w:val="center"/>
                <w:hideMark/>
              </w:tcPr>
              <w:p w14:paraId="3210FFEE"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Comercial</w:t>
                </w:r>
              </w:p>
            </w:tc>
            <w:tc>
              <w:tcPr>
                <w:tcW w:w="1418" w:type="dxa"/>
                <w:shd w:val="clear" w:color="auto" w:fill="auto"/>
                <w:noWrap/>
                <w:vAlign w:val="bottom"/>
                <w:hideMark/>
              </w:tcPr>
              <w:p w14:paraId="51371E75" w14:textId="1EBD9843"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439.078.893.916 </w:t>
                </w:r>
              </w:p>
            </w:tc>
          </w:tr>
          <w:tr w:rsidR="000A6347" w:rsidRPr="004B0F14" w14:paraId="727B0C67" w14:textId="77777777" w:rsidTr="00CA6345">
            <w:trPr>
              <w:trHeight w:val="340"/>
            </w:trPr>
            <w:tc>
              <w:tcPr>
                <w:tcW w:w="1838" w:type="dxa"/>
                <w:shd w:val="clear" w:color="auto" w:fill="auto"/>
                <w:noWrap/>
                <w:vAlign w:val="center"/>
                <w:hideMark/>
              </w:tcPr>
              <w:p w14:paraId="5124723B"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Rumichaca - Pasto</w:t>
                </w:r>
              </w:p>
            </w:tc>
            <w:tc>
              <w:tcPr>
                <w:tcW w:w="1134" w:type="dxa"/>
                <w:shd w:val="clear" w:color="auto" w:fill="auto"/>
                <w:noWrap/>
                <w:vAlign w:val="center"/>
                <w:hideMark/>
              </w:tcPr>
              <w:p w14:paraId="7E3F302D"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Tarifario</w:t>
                </w:r>
              </w:p>
            </w:tc>
            <w:tc>
              <w:tcPr>
                <w:tcW w:w="1418" w:type="dxa"/>
                <w:shd w:val="clear" w:color="auto" w:fill="auto"/>
                <w:noWrap/>
                <w:vAlign w:val="bottom"/>
                <w:hideMark/>
              </w:tcPr>
              <w:p w14:paraId="59281A05" w14:textId="6A870FE3"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1.094.861.739 </w:t>
                </w:r>
              </w:p>
            </w:tc>
          </w:tr>
          <w:tr w:rsidR="000A6347" w:rsidRPr="004B0F14" w14:paraId="63C4B46A" w14:textId="77777777" w:rsidTr="00CA6345">
            <w:trPr>
              <w:trHeight w:val="340"/>
            </w:trPr>
            <w:tc>
              <w:tcPr>
                <w:tcW w:w="1838" w:type="dxa"/>
                <w:shd w:val="clear" w:color="auto" w:fill="auto"/>
                <w:noWrap/>
                <w:vAlign w:val="center"/>
                <w:hideMark/>
              </w:tcPr>
              <w:p w14:paraId="7597BC68"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Rumichaca - Pasto</w:t>
                </w:r>
              </w:p>
            </w:tc>
            <w:tc>
              <w:tcPr>
                <w:tcW w:w="1134" w:type="dxa"/>
                <w:shd w:val="clear" w:color="auto" w:fill="auto"/>
                <w:noWrap/>
                <w:vAlign w:val="center"/>
                <w:hideMark/>
              </w:tcPr>
              <w:p w14:paraId="5923DEAF"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No Instalación De Peaje</w:t>
                </w:r>
              </w:p>
            </w:tc>
            <w:tc>
              <w:tcPr>
                <w:tcW w:w="1418" w:type="dxa"/>
                <w:shd w:val="clear" w:color="auto" w:fill="auto"/>
                <w:noWrap/>
                <w:vAlign w:val="bottom"/>
                <w:hideMark/>
              </w:tcPr>
              <w:p w14:paraId="5022D7FC" w14:textId="5A797797"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122.008.245.349 </w:t>
                </w:r>
              </w:p>
            </w:tc>
          </w:tr>
          <w:tr w:rsidR="000A6347" w:rsidRPr="004B0F14" w14:paraId="60B215F7" w14:textId="77777777" w:rsidTr="00CA6345">
            <w:trPr>
              <w:trHeight w:val="340"/>
            </w:trPr>
            <w:tc>
              <w:tcPr>
                <w:tcW w:w="1838" w:type="dxa"/>
                <w:shd w:val="clear" w:color="auto" w:fill="auto"/>
                <w:noWrap/>
                <w:vAlign w:val="center"/>
                <w:hideMark/>
              </w:tcPr>
              <w:p w14:paraId="0C4A267F"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Rumichaca - Pasto</w:t>
                </w:r>
              </w:p>
            </w:tc>
            <w:tc>
              <w:tcPr>
                <w:tcW w:w="1134" w:type="dxa"/>
                <w:shd w:val="clear" w:color="auto" w:fill="auto"/>
                <w:noWrap/>
                <w:vAlign w:val="center"/>
                <w:hideMark/>
              </w:tcPr>
              <w:p w14:paraId="13B37D67"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Costos Ociosos</w:t>
                </w:r>
              </w:p>
            </w:tc>
            <w:tc>
              <w:tcPr>
                <w:tcW w:w="1418" w:type="dxa"/>
                <w:shd w:val="clear" w:color="auto" w:fill="auto"/>
                <w:noWrap/>
                <w:vAlign w:val="bottom"/>
                <w:hideMark/>
              </w:tcPr>
              <w:p w14:paraId="67DE92C9" w14:textId="22AED9BE"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20.834.842.759 </w:t>
                </w:r>
              </w:p>
            </w:tc>
          </w:tr>
          <w:tr w:rsidR="000A6347" w:rsidRPr="004B0F14" w14:paraId="3485AF7A" w14:textId="77777777" w:rsidTr="00CA6345">
            <w:trPr>
              <w:trHeight w:val="340"/>
            </w:trPr>
            <w:tc>
              <w:tcPr>
                <w:tcW w:w="1838" w:type="dxa"/>
                <w:shd w:val="clear" w:color="auto" w:fill="auto"/>
                <w:noWrap/>
                <w:vAlign w:val="center"/>
                <w:hideMark/>
              </w:tcPr>
              <w:p w14:paraId="2B01829E"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Rumichaca - Pasto</w:t>
                </w:r>
              </w:p>
            </w:tc>
            <w:tc>
              <w:tcPr>
                <w:tcW w:w="1134" w:type="dxa"/>
                <w:shd w:val="clear" w:color="auto" w:fill="auto"/>
                <w:noWrap/>
                <w:vAlign w:val="center"/>
                <w:hideMark/>
              </w:tcPr>
              <w:p w14:paraId="73FCB1B9"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Costos Ociosos</w:t>
                </w:r>
              </w:p>
            </w:tc>
            <w:tc>
              <w:tcPr>
                <w:tcW w:w="1418" w:type="dxa"/>
                <w:shd w:val="clear" w:color="auto" w:fill="auto"/>
                <w:noWrap/>
                <w:vAlign w:val="bottom"/>
                <w:hideMark/>
              </w:tcPr>
              <w:p w14:paraId="403B0D9A" w14:textId="3CE7A052"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62.759.999.743 </w:t>
                </w:r>
              </w:p>
            </w:tc>
          </w:tr>
          <w:tr w:rsidR="000A6347" w:rsidRPr="004B0F14" w14:paraId="5E0DEE99" w14:textId="77777777" w:rsidTr="00CA6345">
            <w:trPr>
              <w:trHeight w:val="340"/>
            </w:trPr>
            <w:tc>
              <w:tcPr>
                <w:tcW w:w="1838" w:type="dxa"/>
                <w:shd w:val="clear" w:color="auto" w:fill="auto"/>
                <w:noWrap/>
                <w:vAlign w:val="center"/>
                <w:hideMark/>
              </w:tcPr>
              <w:p w14:paraId="07A9AFB1"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Accesos Norte 2</w:t>
                </w:r>
              </w:p>
            </w:tc>
            <w:tc>
              <w:tcPr>
                <w:tcW w:w="1134" w:type="dxa"/>
                <w:shd w:val="clear" w:color="auto" w:fill="auto"/>
                <w:noWrap/>
                <w:vAlign w:val="center"/>
                <w:hideMark/>
              </w:tcPr>
              <w:p w14:paraId="13C5E103"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Tarifario</w:t>
                </w:r>
              </w:p>
            </w:tc>
            <w:tc>
              <w:tcPr>
                <w:tcW w:w="1418" w:type="dxa"/>
                <w:shd w:val="clear" w:color="auto" w:fill="auto"/>
                <w:noWrap/>
                <w:vAlign w:val="bottom"/>
                <w:hideMark/>
              </w:tcPr>
              <w:p w14:paraId="2955DD0C" w14:textId="1CFE3DB6"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109.323.929.322 </w:t>
                </w:r>
              </w:p>
            </w:tc>
          </w:tr>
          <w:tr w:rsidR="000A6347" w:rsidRPr="004B0F14" w14:paraId="17CB6163" w14:textId="77777777" w:rsidTr="00CA6345">
            <w:trPr>
              <w:trHeight w:val="340"/>
            </w:trPr>
            <w:tc>
              <w:tcPr>
                <w:tcW w:w="1838" w:type="dxa"/>
                <w:shd w:val="clear" w:color="auto" w:fill="auto"/>
                <w:noWrap/>
                <w:vAlign w:val="center"/>
                <w:hideMark/>
              </w:tcPr>
              <w:p w14:paraId="57874A3C"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Santa Marta - Riohacha - Paraguachon</w:t>
                </w:r>
              </w:p>
            </w:tc>
            <w:tc>
              <w:tcPr>
                <w:tcW w:w="1134" w:type="dxa"/>
                <w:shd w:val="clear" w:color="auto" w:fill="auto"/>
                <w:noWrap/>
                <w:vAlign w:val="center"/>
                <w:hideMark/>
              </w:tcPr>
              <w:p w14:paraId="7C37B3CA"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Cambio Tarifario</w:t>
                </w:r>
              </w:p>
            </w:tc>
            <w:tc>
              <w:tcPr>
                <w:tcW w:w="1418" w:type="dxa"/>
                <w:shd w:val="clear" w:color="auto" w:fill="auto"/>
                <w:noWrap/>
                <w:vAlign w:val="bottom"/>
                <w:hideMark/>
              </w:tcPr>
              <w:p w14:paraId="7FF93DF8" w14:textId="60923360"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3.552.644.859 </w:t>
                </w:r>
              </w:p>
            </w:tc>
          </w:tr>
          <w:tr w:rsidR="000A6347" w:rsidRPr="004B0F14" w14:paraId="6CC71D0F" w14:textId="77777777" w:rsidTr="00CA6345">
            <w:trPr>
              <w:trHeight w:val="340"/>
            </w:trPr>
            <w:tc>
              <w:tcPr>
                <w:tcW w:w="1838" w:type="dxa"/>
                <w:shd w:val="clear" w:color="auto" w:fill="auto"/>
                <w:noWrap/>
                <w:vAlign w:val="center"/>
                <w:hideMark/>
              </w:tcPr>
              <w:p w14:paraId="7063C40A"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Girardot - Honda - Puerto Salgar</w:t>
                </w:r>
              </w:p>
            </w:tc>
            <w:tc>
              <w:tcPr>
                <w:tcW w:w="1134" w:type="dxa"/>
                <w:shd w:val="clear" w:color="auto" w:fill="auto"/>
                <w:noWrap/>
                <w:vAlign w:val="center"/>
                <w:hideMark/>
              </w:tcPr>
              <w:p w14:paraId="3E64B2DD"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Comercial</w:t>
                </w:r>
              </w:p>
            </w:tc>
            <w:tc>
              <w:tcPr>
                <w:tcW w:w="1418" w:type="dxa"/>
                <w:shd w:val="clear" w:color="auto" w:fill="auto"/>
                <w:noWrap/>
                <w:vAlign w:val="bottom"/>
                <w:hideMark/>
              </w:tcPr>
              <w:p w14:paraId="382E8C3F" w14:textId="6A1CD5FC"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13.000.000.000 </w:t>
                </w:r>
              </w:p>
            </w:tc>
          </w:tr>
          <w:tr w:rsidR="000A6347" w:rsidRPr="004B0F14" w14:paraId="4AF9A5D7" w14:textId="77777777" w:rsidTr="00CA6345">
            <w:trPr>
              <w:trHeight w:val="340"/>
            </w:trPr>
            <w:tc>
              <w:tcPr>
                <w:tcW w:w="1838" w:type="dxa"/>
                <w:shd w:val="clear" w:color="auto" w:fill="auto"/>
                <w:noWrap/>
                <w:vAlign w:val="center"/>
                <w:hideMark/>
              </w:tcPr>
              <w:p w14:paraId="2DB2AFED"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Cartagena Barranquilla</w:t>
                </w:r>
              </w:p>
            </w:tc>
            <w:tc>
              <w:tcPr>
                <w:tcW w:w="1134" w:type="dxa"/>
                <w:shd w:val="clear" w:color="auto" w:fill="auto"/>
                <w:noWrap/>
                <w:vAlign w:val="center"/>
                <w:hideMark/>
              </w:tcPr>
              <w:p w14:paraId="3B13EB18"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Redes</w:t>
                </w:r>
              </w:p>
            </w:tc>
            <w:tc>
              <w:tcPr>
                <w:tcW w:w="1418" w:type="dxa"/>
                <w:shd w:val="clear" w:color="auto" w:fill="auto"/>
                <w:noWrap/>
                <w:vAlign w:val="bottom"/>
                <w:hideMark/>
              </w:tcPr>
              <w:p w14:paraId="062EC2F3" w14:textId="6F4A2772"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1.946.442.280 </w:t>
                </w:r>
              </w:p>
            </w:tc>
          </w:tr>
          <w:tr w:rsidR="000A6347" w:rsidRPr="004B0F14" w14:paraId="10E603A3" w14:textId="77777777" w:rsidTr="00CA6345">
            <w:trPr>
              <w:trHeight w:val="340"/>
            </w:trPr>
            <w:tc>
              <w:tcPr>
                <w:tcW w:w="1838" w:type="dxa"/>
                <w:shd w:val="clear" w:color="auto" w:fill="auto"/>
                <w:noWrap/>
                <w:vAlign w:val="center"/>
                <w:hideMark/>
              </w:tcPr>
              <w:p w14:paraId="665C0078"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Pacifico 3</w:t>
                </w:r>
              </w:p>
            </w:tc>
            <w:tc>
              <w:tcPr>
                <w:tcW w:w="1134" w:type="dxa"/>
                <w:shd w:val="clear" w:color="auto" w:fill="auto"/>
                <w:noWrap/>
                <w:vAlign w:val="center"/>
                <w:hideMark/>
              </w:tcPr>
              <w:p w14:paraId="728AF3DA"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Comercial</w:t>
                </w:r>
              </w:p>
            </w:tc>
            <w:tc>
              <w:tcPr>
                <w:tcW w:w="1418" w:type="dxa"/>
                <w:shd w:val="clear" w:color="auto" w:fill="auto"/>
                <w:noWrap/>
                <w:vAlign w:val="bottom"/>
                <w:hideMark/>
              </w:tcPr>
              <w:p w14:paraId="57B9E07D" w14:textId="0AD826C5"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7.000.000.000 </w:t>
                </w:r>
              </w:p>
            </w:tc>
          </w:tr>
          <w:tr w:rsidR="000A6347" w:rsidRPr="004B0F14" w14:paraId="325FCECC" w14:textId="77777777" w:rsidTr="00CA6345">
            <w:trPr>
              <w:trHeight w:val="340"/>
            </w:trPr>
            <w:tc>
              <w:tcPr>
                <w:tcW w:w="1838" w:type="dxa"/>
                <w:shd w:val="clear" w:color="auto" w:fill="auto"/>
                <w:noWrap/>
                <w:vAlign w:val="center"/>
                <w:hideMark/>
              </w:tcPr>
              <w:p w14:paraId="63265117"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Transversal Del Sisga</w:t>
                </w:r>
              </w:p>
            </w:tc>
            <w:tc>
              <w:tcPr>
                <w:tcW w:w="1134" w:type="dxa"/>
                <w:shd w:val="clear" w:color="auto" w:fill="auto"/>
                <w:noWrap/>
                <w:vAlign w:val="center"/>
                <w:hideMark/>
              </w:tcPr>
              <w:p w14:paraId="5001C721"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Comercial</w:t>
                </w:r>
              </w:p>
            </w:tc>
            <w:tc>
              <w:tcPr>
                <w:tcW w:w="1418" w:type="dxa"/>
                <w:shd w:val="clear" w:color="auto" w:fill="auto"/>
                <w:noWrap/>
                <w:vAlign w:val="bottom"/>
                <w:hideMark/>
              </w:tcPr>
              <w:p w14:paraId="6F412CC7" w14:textId="21540BD7"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131.279.382.352 </w:t>
                </w:r>
              </w:p>
            </w:tc>
          </w:tr>
          <w:tr w:rsidR="000A6347" w:rsidRPr="004B0F14" w14:paraId="61D0AB0F" w14:textId="77777777" w:rsidTr="00CA6345">
            <w:trPr>
              <w:trHeight w:val="340"/>
            </w:trPr>
            <w:tc>
              <w:tcPr>
                <w:tcW w:w="1838" w:type="dxa"/>
                <w:shd w:val="clear" w:color="auto" w:fill="auto"/>
                <w:noWrap/>
                <w:vAlign w:val="center"/>
                <w:hideMark/>
              </w:tcPr>
              <w:p w14:paraId="208D2F5E"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Transversal Del Sisga</w:t>
                </w:r>
              </w:p>
            </w:tc>
            <w:tc>
              <w:tcPr>
                <w:tcW w:w="1134" w:type="dxa"/>
                <w:shd w:val="clear" w:color="auto" w:fill="auto"/>
                <w:noWrap/>
                <w:vAlign w:val="center"/>
                <w:hideMark/>
              </w:tcPr>
              <w:p w14:paraId="635EF905" w14:textId="0F73D13C"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Comercial - </w:t>
                </w:r>
                <w:r w:rsidR="00AD2BB3" w:rsidRPr="004B0F14">
                  <w:rPr>
                    <w:rFonts w:ascii="Times New Roman" w:eastAsia="Times New Roman" w:hAnsi="Times New Roman"/>
                    <w:color w:val="000000"/>
                    <w:sz w:val="14"/>
                    <w:szCs w:val="14"/>
                    <w:lang w:eastAsia="es-CO"/>
                  </w:rPr>
                  <w:t>Déficit</w:t>
                </w:r>
              </w:p>
            </w:tc>
            <w:tc>
              <w:tcPr>
                <w:tcW w:w="1418" w:type="dxa"/>
                <w:shd w:val="clear" w:color="auto" w:fill="auto"/>
                <w:noWrap/>
                <w:vAlign w:val="bottom"/>
                <w:hideMark/>
              </w:tcPr>
              <w:p w14:paraId="4D8426C8" w14:textId="477703CB"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49.621.909.037 </w:t>
                </w:r>
              </w:p>
            </w:tc>
          </w:tr>
          <w:tr w:rsidR="000A6347" w:rsidRPr="004B0F14" w14:paraId="4A310E69" w14:textId="77777777" w:rsidTr="00CA6345">
            <w:trPr>
              <w:trHeight w:val="340"/>
            </w:trPr>
            <w:tc>
              <w:tcPr>
                <w:tcW w:w="1838" w:type="dxa"/>
                <w:shd w:val="clear" w:color="auto" w:fill="auto"/>
                <w:noWrap/>
                <w:vAlign w:val="center"/>
                <w:hideMark/>
              </w:tcPr>
              <w:p w14:paraId="1D3F4793"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Puerta De Hierro - Cruz Del Viso</w:t>
                </w:r>
              </w:p>
            </w:tc>
            <w:tc>
              <w:tcPr>
                <w:tcW w:w="1134" w:type="dxa"/>
                <w:shd w:val="clear" w:color="auto" w:fill="auto"/>
                <w:noWrap/>
                <w:vAlign w:val="center"/>
                <w:hideMark/>
              </w:tcPr>
              <w:p w14:paraId="1FA9A62D"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Comercial</w:t>
                </w:r>
              </w:p>
            </w:tc>
            <w:tc>
              <w:tcPr>
                <w:tcW w:w="1418" w:type="dxa"/>
                <w:shd w:val="clear" w:color="auto" w:fill="auto"/>
                <w:noWrap/>
                <w:vAlign w:val="bottom"/>
                <w:hideMark/>
              </w:tcPr>
              <w:p w14:paraId="4A58C2AC" w14:textId="3BD9534B"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3.607.764.705 </w:t>
                </w:r>
              </w:p>
            </w:tc>
          </w:tr>
          <w:tr w:rsidR="000A6347" w:rsidRPr="004B0F14" w14:paraId="11FC6DCB" w14:textId="77777777" w:rsidTr="00CA6345">
            <w:trPr>
              <w:trHeight w:val="340"/>
            </w:trPr>
            <w:tc>
              <w:tcPr>
                <w:tcW w:w="1838" w:type="dxa"/>
                <w:shd w:val="clear" w:color="auto" w:fill="auto"/>
                <w:noWrap/>
                <w:vAlign w:val="center"/>
                <w:hideMark/>
              </w:tcPr>
              <w:p w14:paraId="5702A863"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Bucaramanga - Barrancabermeja - Yondó</w:t>
                </w:r>
              </w:p>
            </w:tc>
            <w:tc>
              <w:tcPr>
                <w:tcW w:w="1134" w:type="dxa"/>
                <w:shd w:val="clear" w:color="auto" w:fill="auto"/>
                <w:noWrap/>
                <w:vAlign w:val="center"/>
                <w:hideMark/>
              </w:tcPr>
              <w:p w14:paraId="1C02BA6E"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Comercial</w:t>
                </w:r>
              </w:p>
            </w:tc>
            <w:tc>
              <w:tcPr>
                <w:tcW w:w="1418" w:type="dxa"/>
                <w:shd w:val="clear" w:color="auto" w:fill="auto"/>
                <w:noWrap/>
                <w:vAlign w:val="bottom"/>
                <w:hideMark/>
              </w:tcPr>
              <w:p w14:paraId="2FB6C6FC" w14:textId="1B5D4834"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154.044.826.574 </w:t>
                </w:r>
              </w:p>
            </w:tc>
          </w:tr>
          <w:tr w:rsidR="000A6347" w:rsidRPr="004B0F14" w14:paraId="174AA0C6" w14:textId="77777777" w:rsidTr="00CA6345">
            <w:trPr>
              <w:trHeight w:val="340"/>
            </w:trPr>
            <w:tc>
              <w:tcPr>
                <w:tcW w:w="1838" w:type="dxa"/>
                <w:shd w:val="clear" w:color="auto" w:fill="auto"/>
                <w:noWrap/>
                <w:vAlign w:val="center"/>
                <w:hideMark/>
              </w:tcPr>
              <w:p w14:paraId="1C0CB9B9"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Bucaramanga - Barrancabermeja - Yondó</w:t>
                </w:r>
              </w:p>
            </w:tc>
            <w:tc>
              <w:tcPr>
                <w:tcW w:w="1134" w:type="dxa"/>
                <w:shd w:val="clear" w:color="auto" w:fill="auto"/>
                <w:noWrap/>
                <w:vAlign w:val="center"/>
                <w:hideMark/>
              </w:tcPr>
              <w:p w14:paraId="2F3DB1CB" w14:textId="5660E9F2"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Comercial - </w:t>
                </w:r>
                <w:r w:rsidR="004B0F14" w:rsidRPr="004B0F14">
                  <w:rPr>
                    <w:rFonts w:ascii="Times New Roman" w:eastAsia="Times New Roman" w:hAnsi="Times New Roman"/>
                    <w:color w:val="000000"/>
                    <w:sz w:val="14"/>
                    <w:szCs w:val="14"/>
                    <w:lang w:eastAsia="es-CO"/>
                  </w:rPr>
                  <w:t>déficit</w:t>
                </w:r>
              </w:p>
            </w:tc>
            <w:tc>
              <w:tcPr>
                <w:tcW w:w="1418" w:type="dxa"/>
                <w:shd w:val="clear" w:color="auto" w:fill="auto"/>
                <w:noWrap/>
                <w:vAlign w:val="bottom"/>
                <w:hideMark/>
              </w:tcPr>
              <w:p w14:paraId="6CDA8C70" w14:textId="64A7B234"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306.086.647.058 </w:t>
                </w:r>
              </w:p>
            </w:tc>
          </w:tr>
          <w:tr w:rsidR="000A6347" w:rsidRPr="004B0F14" w14:paraId="2E8E638C" w14:textId="77777777" w:rsidTr="00CA6345">
            <w:trPr>
              <w:trHeight w:val="340"/>
            </w:trPr>
            <w:tc>
              <w:tcPr>
                <w:tcW w:w="1838" w:type="dxa"/>
                <w:shd w:val="clear" w:color="auto" w:fill="auto"/>
                <w:noWrap/>
                <w:vAlign w:val="center"/>
                <w:hideMark/>
              </w:tcPr>
              <w:p w14:paraId="2506779D"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Neiva - Santana - Mocoa</w:t>
                </w:r>
              </w:p>
            </w:tc>
            <w:tc>
              <w:tcPr>
                <w:tcW w:w="1134" w:type="dxa"/>
                <w:shd w:val="clear" w:color="auto" w:fill="auto"/>
                <w:noWrap/>
                <w:vAlign w:val="center"/>
                <w:hideMark/>
              </w:tcPr>
              <w:p w14:paraId="042797E8"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Comercial</w:t>
                </w:r>
              </w:p>
            </w:tc>
            <w:tc>
              <w:tcPr>
                <w:tcW w:w="1418" w:type="dxa"/>
                <w:shd w:val="clear" w:color="auto" w:fill="auto"/>
                <w:noWrap/>
                <w:vAlign w:val="bottom"/>
                <w:hideMark/>
              </w:tcPr>
              <w:p w14:paraId="7DFB58E6" w14:textId="58006B79"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26.231.372.549 </w:t>
                </w:r>
              </w:p>
            </w:tc>
          </w:tr>
          <w:tr w:rsidR="000A6347" w:rsidRPr="004B0F14" w14:paraId="426B78F0" w14:textId="77777777" w:rsidTr="00CA6345">
            <w:trPr>
              <w:trHeight w:val="340"/>
            </w:trPr>
            <w:tc>
              <w:tcPr>
                <w:tcW w:w="1838" w:type="dxa"/>
                <w:shd w:val="clear" w:color="auto" w:fill="auto"/>
                <w:noWrap/>
                <w:vAlign w:val="center"/>
                <w:hideMark/>
              </w:tcPr>
              <w:p w14:paraId="278DAC3B" w14:textId="0B56FDD0" w:rsidR="000A6347" w:rsidRPr="004B0F14" w:rsidRDefault="00F97DAD"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lastRenderedPageBreak/>
                  <w:t>Bucaramanga</w:t>
                </w:r>
                <w:r w:rsidR="000A6347" w:rsidRPr="004B0F14">
                  <w:rPr>
                    <w:rFonts w:ascii="Times New Roman" w:eastAsia="Times New Roman" w:hAnsi="Times New Roman"/>
                    <w:color w:val="000000"/>
                    <w:sz w:val="14"/>
                    <w:szCs w:val="14"/>
                    <w:lang w:eastAsia="es-CO"/>
                  </w:rPr>
                  <w:t xml:space="preserve"> - Barrancabermeja - Yondó</w:t>
                </w:r>
              </w:p>
            </w:tc>
            <w:tc>
              <w:tcPr>
                <w:tcW w:w="1134" w:type="dxa"/>
                <w:shd w:val="clear" w:color="auto" w:fill="auto"/>
                <w:noWrap/>
                <w:vAlign w:val="center"/>
                <w:hideMark/>
              </w:tcPr>
              <w:p w14:paraId="01151A05"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Comercial</w:t>
                </w:r>
              </w:p>
            </w:tc>
            <w:tc>
              <w:tcPr>
                <w:tcW w:w="1418" w:type="dxa"/>
                <w:shd w:val="clear" w:color="auto" w:fill="auto"/>
                <w:noWrap/>
                <w:vAlign w:val="bottom"/>
                <w:hideMark/>
              </w:tcPr>
              <w:p w14:paraId="2193E957" w14:textId="47E57473"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20.093.251.918 </w:t>
                </w:r>
              </w:p>
            </w:tc>
          </w:tr>
          <w:tr w:rsidR="000A6347" w:rsidRPr="004B0F14" w14:paraId="2A9BB875" w14:textId="77777777" w:rsidTr="00CA6345">
            <w:trPr>
              <w:trHeight w:val="340"/>
            </w:trPr>
            <w:tc>
              <w:tcPr>
                <w:tcW w:w="1838" w:type="dxa"/>
                <w:shd w:val="clear" w:color="auto" w:fill="auto"/>
                <w:noWrap/>
                <w:vAlign w:val="center"/>
                <w:hideMark/>
              </w:tcPr>
              <w:p w14:paraId="300B555C"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Conexión Norte</w:t>
                </w:r>
              </w:p>
            </w:tc>
            <w:tc>
              <w:tcPr>
                <w:tcW w:w="1134" w:type="dxa"/>
                <w:shd w:val="clear" w:color="auto" w:fill="auto"/>
                <w:noWrap/>
                <w:vAlign w:val="center"/>
                <w:hideMark/>
              </w:tcPr>
              <w:p w14:paraId="3DD67533"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Ambiental</w:t>
                </w:r>
              </w:p>
            </w:tc>
            <w:tc>
              <w:tcPr>
                <w:tcW w:w="1418" w:type="dxa"/>
                <w:shd w:val="clear" w:color="auto" w:fill="auto"/>
                <w:noWrap/>
                <w:vAlign w:val="bottom"/>
                <w:hideMark/>
              </w:tcPr>
              <w:p w14:paraId="675B0A01" w14:textId="1C52C98A"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21.179.448.430 </w:t>
                </w:r>
              </w:p>
            </w:tc>
          </w:tr>
          <w:tr w:rsidR="000A6347" w:rsidRPr="004B0F14" w14:paraId="78C083BD" w14:textId="77777777" w:rsidTr="00CA6345">
            <w:trPr>
              <w:trHeight w:val="340"/>
            </w:trPr>
            <w:tc>
              <w:tcPr>
                <w:tcW w:w="1838" w:type="dxa"/>
                <w:shd w:val="clear" w:color="auto" w:fill="auto"/>
                <w:noWrap/>
                <w:vAlign w:val="center"/>
                <w:hideMark/>
              </w:tcPr>
              <w:p w14:paraId="33003027"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Conexión Norte</w:t>
                </w:r>
              </w:p>
            </w:tc>
            <w:tc>
              <w:tcPr>
                <w:tcW w:w="1134" w:type="dxa"/>
                <w:shd w:val="clear" w:color="auto" w:fill="auto"/>
                <w:noWrap/>
                <w:vAlign w:val="center"/>
                <w:hideMark/>
              </w:tcPr>
              <w:p w14:paraId="2944253B"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Redes</w:t>
                </w:r>
              </w:p>
            </w:tc>
            <w:tc>
              <w:tcPr>
                <w:tcW w:w="1418" w:type="dxa"/>
                <w:shd w:val="clear" w:color="auto" w:fill="auto"/>
                <w:noWrap/>
                <w:vAlign w:val="bottom"/>
                <w:hideMark/>
              </w:tcPr>
              <w:p w14:paraId="365512D7" w14:textId="2F0A74FF"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6.115.794.618 </w:t>
                </w:r>
              </w:p>
            </w:tc>
          </w:tr>
          <w:tr w:rsidR="000A6347" w:rsidRPr="004B0F14" w14:paraId="6CE8AAF9" w14:textId="77777777" w:rsidTr="00CA6345">
            <w:trPr>
              <w:trHeight w:val="340"/>
            </w:trPr>
            <w:tc>
              <w:tcPr>
                <w:tcW w:w="1838" w:type="dxa"/>
                <w:shd w:val="clear" w:color="auto" w:fill="auto"/>
                <w:noWrap/>
                <w:vAlign w:val="center"/>
                <w:hideMark/>
              </w:tcPr>
              <w:p w14:paraId="0C8AEE5D"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Conexión Norte</w:t>
                </w:r>
              </w:p>
            </w:tc>
            <w:tc>
              <w:tcPr>
                <w:tcW w:w="1134" w:type="dxa"/>
                <w:shd w:val="clear" w:color="auto" w:fill="auto"/>
                <w:noWrap/>
                <w:vAlign w:val="center"/>
                <w:hideMark/>
              </w:tcPr>
              <w:p w14:paraId="48E70D46"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Costos Ociosos</w:t>
                </w:r>
              </w:p>
            </w:tc>
            <w:tc>
              <w:tcPr>
                <w:tcW w:w="1418" w:type="dxa"/>
                <w:shd w:val="clear" w:color="auto" w:fill="auto"/>
                <w:noWrap/>
                <w:vAlign w:val="bottom"/>
                <w:hideMark/>
              </w:tcPr>
              <w:p w14:paraId="62F505B4" w14:textId="3D5B4394"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25.356.046.124 </w:t>
                </w:r>
              </w:p>
            </w:tc>
          </w:tr>
          <w:tr w:rsidR="000A6347" w:rsidRPr="004B0F14" w14:paraId="25C1D714" w14:textId="77777777" w:rsidTr="00CA6345">
            <w:trPr>
              <w:trHeight w:val="340"/>
            </w:trPr>
            <w:tc>
              <w:tcPr>
                <w:tcW w:w="1838" w:type="dxa"/>
                <w:shd w:val="clear" w:color="auto" w:fill="auto"/>
                <w:noWrap/>
                <w:vAlign w:val="center"/>
                <w:hideMark/>
              </w:tcPr>
              <w:p w14:paraId="34F3F178"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Conexión Norte</w:t>
                </w:r>
              </w:p>
            </w:tc>
            <w:tc>
              <w:tcPr>
                <w:tcW w:w="1134" w:type="dxa"/>
                <w:shd w:val="clear" w:color="auto" w:fill="auto"/>
                <w:noWrap/>
                <w:vAlign w:val="center"/>
                <w:hideMark/>
              </w:tcPr>
              <w:p w14:paraId="0D83485C"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Tarifario</w:t>
                </w:r>
              </w:p>
            </w:tc>
            <w:tc>
              <w:tcPr>
                <w:tcW w:w="1418" w:type="dxa"/>
                <w:shd w:val="clear" w:color="auto" w:fill="auto"/>
                <w:noWrap/>
                <w:vAlign w:val="bottom"/>
                <w:hideMark/>
              </w:tcPr>
              <w:p w14:paraId="007BBB01" w14:textId="713C5EE7"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8.939.139.782 </w:t>
                </w:r>
              </w:p>
            </w:tc>
          </w:tr>
          <w:tr w:rsidR="000A6347" w:rsidRPr="004B0F14" w14:paraId="24501D97" w14:textId="77777777" w:rsidTr="00CA6345">
            <w:trPr>
              <w:trHeight w:val="340"/>
            </w:trPr>
            <w:tc>
              <w:tcPr>
                <w:tcW w:w="1838" w:type="dxa"/>
                <w:shd w:val="clear" w:color="auto" w:fill="auto"/>
                <w:noWrap/>
                <w:vAlign w:val="center"/>
                <w:hideMark/>
              </w:tcPr>
              <w:p w14:paraId="1864D936"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Conexión Norte</w:t>
                </w:r>
              </w:p>
            </w:tc>
            <w:tc>
              <w:tcPr>
                <w:tcW w:w="1134" w:type="dxa"/>
                <w:shd w:val="clear" w:color="auto" w:fill="auto"/>
                <w:noWrap/>
                <w:vAlign w:val="center"/>
                <w:hideMark/>
              </w:tcPr>
              <w:p w14:paraId="6FED9B68"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Comercial</w:t>
                </w:r>
              </w:p>
            </w:tc>
            <w:tc>
              <w:tcPr>
                <w:tcW w:w="1418" w:type="dxa"/>
                <w:shd w:val="clear" w:color="auto" w:fill="auto"/>
                <w:noWrap/>
                <w:vAlign w:val="bottom"/>
                <w:hideMark/>
              </w:tcPr>
              <w:p w14:paraId="096FE27A" w14:textId="3411B177"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190.930.678.539 </w:t>
                </w:r>
              </w:p>
            </w:tc>
          </w:tr>
          <w:tr w:rsidR="000A6347" w:rsidRPr="004B0F14" w14:paraId="6F52AC9E" w14:textId="77777777" w:rsidTr="00CA6345">
            <w:trPr>
              <w:trHeight w:val="340"/>
            </w:trPr>
            <w:tc>
              <w:tcPr>
                <w:tcW w:w="1838" w:type="dxa"/>
                <w:shd w:val="clear" w:color="auto" w:fill="auto"/>
                <w:noWrap/>
                <w:vAlign w:val="center"/>
                <w:hideMark/>
              </w:tcPr>
              <w:p w14:paraId="308BF755"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Magdalena 2</w:t>
                </w:r>
              </w:p>
            </w:tc>
            <w:tc>
              <w:tcPr>
                <w:tcW w:w="1134" w:type="dxa"/>
                <w:shd w:val="clear" w:color="auto" w:fill="auto"/>
                <w:noWrap/>
                <w:vAlign w:val="center"/>
                <w:hideMark/>
              </w:tcPr>
              <w:p w14:paraId="049C4AAE" w14:textId="3F1F60C4"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Comercial-</w:t>
                </w:r>
                <w:r w:rsidR="004B0F14" w:rsidRPr="004B0F14">
                  <w:rPr>
                    <w:rFonts w:ascii="Times New Roman" w:eastAsia="Times New Roman" w:hAnsi="Times New Roman"/>
                    <w:color w:val="000000"/>
                    <w:sz w:val="14"/>
                    <w:szCs w:val="14"/>
                    <w:lang w:eastAsia="es-CO"/>
                  </w:rPr>
                  <w:t>Déficit</w:t>
                </w:r>
              </w:p>
            </w:tc>
            <w:tc>
              <w:tcPr>
                <w:tcW w:w="1418" w:type="dxa"/>
                <w:shd w:val="clear" w:color="auto" w:fill="auto"/>
                <w:noWrap/>
                <w:vAlign w:val="bottom"/>
                <w:hideMark/>
              </w:tcPr>
              <w:p w14:paraId="7AE99DAB" w14:textId="7C9E197F"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12.169.486.867 </w:t>
                </w:r>
              </w:p>
            </w:tc>
          </w:tr>
          <w:tr w:rsidR="000A6347" w:rsidRPr="004B0F14" w14:paraId="7608AEC9" w14:textId="77777777" w:rsidTr="00CA6345">
            <w:trPr>
              <w:trHeight w:val="340"/>
            </w:trPr>
            <w:tc>
              <w:tcPr>
                <w:tcW w:w="1838" w:type="dxa"/>
                <w:shd w:val="clear" w:color="auto" w:fill="auto"/>
                <w:noWrap/>
                <w:vAlign w:val="center"/>
                <w:hideMark/>
              </w:tcPr>
              <w:p w14:paraId="51B52135"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Autopista Mar 2</w:t>
                </w:r>
              </w:p>
            </w:tc>
            <w:tc>
              <w:tcPr>
                <w:tcW w:w="1134" w:type="dxa"/>
                <w:shd w:val="clear" w:color="auto" w:fill="auto"/>
                <w:noWrap/>
                <w:vAlign w:val="center"/>
                <w:hideMark/>
              </w:tcPr>
              <w:p w14:paraId="2CC7D92E" w14:textId="14D3E9E6"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Comercial-</w:t>
                </w:r>
                <w:r w:rsidR="004B0F14" w:rsidRPr="004B0F14">
                  <w:rPr>
                    <w:rFonts w:ascii="Times New Roman" w:eastAsia="Times New Roman" w:hAnsi="Times New Roman"/>
                    <w:color w:val="000000"/>
                    <w:sz w:val="14"/>
                    <w:szCs w:val="14"/>
                    <w:lang w:eastAsia="es-CO"/>
                  </w:rPr>
                  <w:t>Déficit</w:t>
                </w:r>
              </w:p>
            </w:tc>
            <w:tc>
              <w:tcPr>
                <w:tcW w:w="1418" w:type="dxa"/>
                <w:shd w:val="clear" w:color="auto" w:fill="auto"/>
                <w:noWrap/>
                <w:vAlign w:val="bottom"/>
                <w:hideMark/>
              </w:tcPr>
              <w:p w14:paraId="09E374E8" w14:textId="245BAAB6"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39.884.308.776 </w:t>
                </w:r>
              </w:p>
            </w:tc>
          </w:tr>
          <w:tr w:rsidR="000A6347" w:rsidRPr="004B0F14" w14:paraId="10DC35CF" w14:textId="77777777" w:rsidTr="00CA6345">
            <w:trPr>
              <w:trHeight w:val="340"/>
            </w:trPr>
            <w:tc>
              <w:tcPr>
                <w:tcW w:w="1838" w:type="dxa"/>
                <w:shd w:val="clear" w:color="auto" w:fill="auto"/>
                <w:noWrap/>
                <w:vAlign w:val="center"/>
                <w:hideMark/>
              </w:tcPr>
              <w:p w14:paraId="4626524D"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Autopista Mar 2</w:t>
                </w:r>
              </w:p>
            </w:tc>
            <w:tc>
              <w:tcPr>
                <w:tcW w:w="1134" w:type="dxa"/>
                <w:shd w:val="clear" w:color="auto" w:fill="auto"/>
                <w:noWrap/>
                <w:vAlign w:val="center"/>
                <w:hideMark/>
              </w:tcPr>
              <w:p w14:paraId="4730226C" w14:textId="218082FE"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Comercial-</w:t>
                </w:r>
                <w:r w:rsidR="004B0F14" w:rsidRPr="004B0F14">
                  <w:rPr>
                    <w:rFonts w:ascii="Times New Roman" w:eastAsia="Times New Roman" w:hAnsi="Times New Roman"/>
                    <w:color w:val="000000"/>
                    <w:sz w:val="14"/>
                    <w:szCs w:val="14"/>
                    <w:lang w:eastAsia="es-CO"/>
                  </w:rPr>
                  <w:t>Déficit</w:t>
                </w:r>
              </w:p>
            </w:tc>
            <w:tc>
              <w:tcPr>
                <w:tcW w:w="1418" w:type="dxa"/>
                <w:shd w:val="clear" w:color="auto" w:fill="auto"/>
                <w:noWrap/>
                <w:vAlign w:val="bottom"/>
                <w:hideMark/>
              </w:tcPr>
              <w:p w14:paraId="1CA569E5" w14:textId="5F83F801"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58.191.860.345 </w:t>
                </w:r>
              </w:p>
            </w:tc>
          </w:tr>
          <w:tr w:rsidR="000A6347" w:rsidRPr="004B0F14" w14:paraId="3D8149F4" w14:textId="77777777" w:rsidTr="00CA6345">
            <w:trPr>
              <w:trHeight w:val="340"/>
            </w:trPr>
            <w:tc>
              <w:tcPr>
                <w:tcW w:w="1838" w:type="dxa"/>
                <w:shd w:val="clear" w:color="auto" w:fill="auto"/>
                <w:noWrap/>
                <w:vAlign w:val="center"/>
                <w:hideMark/>
              </w:tcPr>
              <w:p w14:paraId="6B0901D7"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Santana Mocoa Neiva</w:t>
                </w:r>
              </w:p>
            </w:tc>
            <w:tc>
              <w:tcPr>
                <w:tcW w:w="1134" w:type="dxa"/>
                <w:shd w:val="clear" w:color="auto" w:fill="auto"/>
                <w:noWrap/>
                <w:vAlign w:val="center"/>
                <w:hideMark/>
              </w:tcPr>
              <w:p w14:paraId="5398856C"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Comercial</w:t>
                </w:r>
              </w:p>
            </w:tc>
            <w:tc>
              <w:tcPr>
                <w:tcW w:w="1418" w:type="dxa"/>
                <w:shd w:val="clear" w:color="auto" w:fill="auto"/>
                <w:noWrap/>
                <w:vAlign w:val="bottom"/>
                <w:hideMark/>
              </w:tcPr>
              <w:p w14:paraId="1D4364DE" w14:textId="37BA6157"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26.233.947.147 </w:t>
                </w:r>
              </w:p>
            </w:tc>
          </w:tr>
          <w:tr w:rsidR="000A6347" w:rsidRPr="004B0F14" w14:paraId="304BEF20" w14:textId="77777777" w:rsidTr="00CA6345">
            <w:trPr>
              <w:trHeight w:val="340"/>
            </w:trPr>
            <w:tc>
              <w:tcPr>
                <w:tcW w:w="1838" w:type="dxa"/>
                <w:shd w:val="clear" w:color="auto" w:fill="auto"/>
                <w:noWrap/>
                <w:vAlign w:val="center"/>
                <w:hideMark/>
              </w:tcPr>
              <w:p w14:paraId="23FEDD0D"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Santana Mocoa Neiva</w:t>
                </w:r>
              </w:p>
            </w:tc>
            <w:tc>
              <w:tcPr>
                <w:tcW w:w="1134" w:type="dxa"/>
                <w:shd w:val="clear" w:color="auto" w:fill="auto"/>
                <w:noWrap/>
                <w:vAlign w:val="center"/>
                <w:hideMark/>
              </w:tcPr>
              <w:p w14:paraId="0372F32C"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Tarifario</w:t>
                </w:r>
              </w:p>
            </w:tc>
            <w:tc>
              <w:tcPr>
                <w:tcW w:w="1418" w:type="dxa"/>
                <w:shd w:val="clear" w:color="auto" w:fill="auto"/>
                <w:noWrap/>
                <w:vAlign w:val="bottom"/>
                <w:hideMark/>
              </w:tcPr>
              <w:p w14:paraId="6BE7A258" w14:textId="043510A3"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2.948.184.389 </w:t>
                </w:r>
              </w:p>
            </w:tc>
          </w:tr>
          <w:tr w:rsidR="000A6347" w:rsidRPr="004B0F14" w14:paraId="4FCEFC8F" w14:textId="77777777" w:rsidTr="00CA6345">
            <w:trPr>
              <w:trHeight w:val="340"/>
            </w:trPr>
            <w:tc>
              <w:tcPr>
                <w:tcW w:w="1838" w:type="dxa"/>
                <w:shd w:val="clear" w:color="auto" w:fill="auto"/>
                <w:noWrap/>
                <w:vAlign w:val="center"/>
                <w:hideMark/>
              </w:tcPr>
              <w:p w14:paraId="6C215A7E"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Troncal Magdalena 1</w:t>
                </w:r>
              </w:p>
            </w:tc>
            <w:tc>
              <w:tcPr>
                <w:tcW w:w="1134" w:type="dxa"/>
                <w:shd w:val="clear" w:color="auto" w:fill="auto"/>
                <w:noWrap/>
                <w:vAlign w:val="center"/>
                <w:hideMark/>
              </w:tcPr>
              <w:p w14:paraId="569972A2"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No Incremento De Tarifas</w:t>
                </w:r>
              </w:p>
            </w:tc>
            <w:tc>
              <w:tcPr>
                <w:tcW w:w="1418" w:type="dxa"/>
                <w:shd w:val="clear" w:color="auto" w:fill="auto"/>
                <w:noWrap/>
                <w:vAlign w:val="bottom"/>
                <w:hideMark/>
              </w:tcPr>
              <w:p w14:paraId="57CF8931" w14:textId="4A9FD30C"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21.105.236.351 </w:t>
                </w:r>
              </w:p>
            </w:tc>
          </w:tr>
          <w:tr w:rsidR="000A6347" w:rsidRPr="004B0F14" w14:paraId="1FAA1CBE" w14:textId="77777777" w:rsidTr="00CA6345">
            <w:trPr>
              <w:trHeight w:val="340"/>
            </w:trPr>
            <w:tc>
              <w:tcPr>
                <w:tcW w:w="1838" w:type="dxa"/>
                <w:shd w:val="clear" w:color="auto" w:fill="auto"/>
                <w:noWrap/>
                <w:vAlign w:val="center"/>
                <w:hideMark/>
              </w:tcPr>
              <w:p w14:paraId="52BBD908"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Troncal Magdalena 2</w:t>
                </w:r>
              </w:p>
            </w:tc>
            <w:tc>
              <w:tcPr>
                <w:tcW w:w="1134" w:type="dxa"/>
                <w:shd w:val="clear" w:color="auto" w:fill="auto"/>
                <w:noWrap/>
                <w:vAlign w:val="center"/>
                <w:hideMark/>
              </w:tcPr>
              <w:p w14:paraId="0B81F501"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No Incremento De Tarifas</w:t>
                </w:r>
              </w:p>
            </w:tc>
            <w:tc>
              <w:tcPr>
                <w:tcW w:w="1418" w:type="dxa"/>
                <w:shd w:val="clear" w:color="auto" w:fill="auto"/>
                <w:noWrap/>
                <w:vAlign w:val="bottom"/>
                <w:hideMark/>
              </w:tcPr>
              <w:p w14:paraId="13A0ECD3" w14:textId="3EF06F5F"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29.245.656.094 </w:t>
                </w:r>
              </w:p>
            </w:tc>
          </w:tr>
          <w:tr w:rsidR="000A6347" w:rsidRPr="004B0F14" w14:paraId="5EFD2BAB" w14:textId="77777777" w:rsidTr="00CA6345">
            <w:trPr>
              <w:trHeight w:val="340"/>
            </w:trPr>
            <w:tc>
              <w:tcPr>
                <w:tcW w:w="1838" w:type="dxa"/>
                <w:shd w:val="clear" w:color="auto" w:fill="auto"/>
                <w:noWrap/>
                <w:vAlign w:val="center"/>
                <w:hideMark/>
              </w:tcPr>
              <w:p w14:paraId="5C1D6071"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Pacifico 3</w:t>
                </w:r>
              </w:p>
            </w:tc>
            <w:tc>
              <w:tcPr>
                <w:tcW w:w="1134" w:type="dxa"/>
                <w:shd w:val="clear" w:color="auto" w:fill="auto"/>
                <w:noWrap/>
                <w:vAlign w:val="center"/>
                <w:hideMark/>
              </w:tcPr>
              <w:p w14:paraId="6E09AA76"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Tarifario</w:t>
                </w:r>
              </w:p>
            </w:tc>
            <w:tc>
              <w:tcPr>
                <w:tcW w:w="1418" w:type="dxa"/>
                <w:shd w:val="clear" w:color="auto" w:fill="auto"/>
                <w:noWrap/>
                <w:vAlign w:val="bottom"/>
                <w:hideMark/>
              </w:tcPr>
              <w:p w14:paraId="03DD61CA" w14:textId="2ECA30B6"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29.321.978.986 </w:t>
                </w:r>
              </w:p>
            </w:tc>
          </w:tr>
          <w:tr w:rsidR="000A6347" w:rsidRPr="004B0F14" w14:paraId="51C6611F" w14:textId="77777777" w:rsidTr="00CA6345">
            <w:trPr>
              <w:trHeight w:val="340"/>
            </w:trPr>
            <w:tc>
              <w:tcPr>
                <w:tcW w:w="1838" w:type="dxa"/>
                <w:shd w:val="clear" w:color="auto" w:fill="auto"/>
                <w:noWrap/>
                <w:vAlign w:val="center"/>
                <w:hideMark/>
              </w:tcPr>
              <w:p w14:paraId="31811C2F"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Cartagena-Barranquilla (4g)</w:t>
                </w:r>
              </w:p>
            </w:tc>
            <w:tc>
              <w:tcPr>
                <w:tcW w:w="1134" w:type="dxa"/>
                <w:shd w:val="clear" w:color="auto" w:fill="auto"/>
                <w:noWrap/>
                <w:vAlign w:val="center"/>
                <w:hideMark/>
              </w:tcPr>
              <w:p w14:paraId="4123017A"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Tarifario</w:t>
                </w:r>
              </w:p>
            </w:tc>
            <w:tc>
              <w:tcPr>
                <w:tcW w:w="1418" w:type="dxa"/>
                <w:shd w:val="clear" w:color="auto" w:fill="auto"/>
                <w:noWrap/>
                <w:vAlign w:val="bottom"/>
                <w:hideMark/>
              </w:tcPr>
              <w:p w14:paraId="76FC8D51" w14:textId="75ABBB0C"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17.845.411.915 </w:t>
                </w:r>
              </w:p>
            </w:tc>
          </w:tr>
          <w:tr w:rsidR="000A6347" w:rsidRPr="004B0F14" w14:paraId="40297F7B" w14:textId="77777777" w:rsidTr="00CA6345">
            <w:trPr>
              <w:trHeight w:val="340"/>
            </w:trPr>
            <w:tc>
              <w:tcPr>
                <w:tcW w:w="1838" w:type="dxa"/>
                <w:shd w:val="clear" w:color="auto" w:fill="auto"/>
                <w:noWrap/>
                <w:vAlign w:val="center"/>
                <w:hideMark/>
              </w:tcPr>
              <w:p w14:paraId="4288D67A"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Pacifico 2</w:t>
                </w:r>
              </w:p>
            </w:tc>
            <w:tc>
              <w:tcPr>
                <w:tcW w:w="1134" w:type="dxa"/>
                <w:shd w:val="clear" w:color="auto" w:fill="auto"/>
                <w:noWrap/>
                <w:vAlign w:val="center"/>
                <w:hideMark/>
              </w:tcPr>
              <w:p w14:paraId="1698D599"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Tarifario</w:t>
                </w:r>
              </w:p>
            </w:tc>
            <w:tc>
              <w:tcPr>
                <w:tcW w:w="1418" w:type="dxa"/>
                <w:shd w:val="clear" w:color="auto" w:fill="auto"/>
                <w:noWrap/>
                <w:vAlign w:val="bottom"/>
                <w:hideMark/>
              </w:tcPr>
              <w:p w14:paraId="004708CE" w14:textId="573B60F3"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13.868.835.874 </w:t>
                </w:r>
              </w:p>
            </w:tc>
          </w:tr>
          <w:tr w:rsidR="000A6347" w:rsidRPr="004B0F14" w14:paraId="2290D17B" w14:textId="77777777" w:rsidTr="00CA6345">
            <w:trPr>
              <w:trHeight w:val="340"/>
            </w:trPr>
            <w:tc>
              <w:tcPr>
                <w:tcW w:w="1838" w:type="dxa"/>
                <w:shd w:val="clear" w:color="auto" w:fill="auto"/>
                <w:noWrap/>
                <w:vAlign w:val="center"/>
                <w:hideMark/>
              </w:tcPr>
              <w:p w14:paraId="130C77D1"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Santa Marta - Riohacha </w:t>
                </w:r>
              </w:p>
            </w:tc>
            <w:tc>
              <w:tcPr>
                <w:tcW w:w="1134" w:type="dxa"/>
                <w:shd w:val="clear" w:color="auto" w:fill="auto"/>
                <w:noWrap/>
                <w:vAlign w:val="center"/>
                <w:hideMark/>
              </w:tcPr>
              <w:p w14:paraId="605D3E87"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Cambio Tarifario</w:t>
                </w:r>
              </w:p>
            </w:tc>
            <w:tc>
              <w:tcPr>
                <w:tcW w:w="1418" w:type="dxa"/>
                <w:shd w:val="clear" w:color="auto" w:fill="auto"/>
                <w:noWrap/>
                <w:vAlign w:val="bottom"/>
                <w:hideMark/>
              </w:tcPr>
              <w:p w14:paraId="7434A452" w14:textId="1C032A43"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4.220.001.752 </w:t>
                </w:r>
              </w:p>
            </w:tc>
          </w:tr>
          <w:tr w:rsidR="000A6347" w:rsidRPr="004B0F14" w14:paraId="5DBE3E71" w14:textId="77777777" w:rsidTr="00CA6345">
            <w:trPr>
              <w:trHeight w:val="340"/>
            </w:trPr>
            <w:tc>
              <w:tcPr>
                <w:tcW w:w="1838" w:type="dxa"/>
                <w:shd w:val="clear" w:color="auto" w:fill="auto"/>
                <w:noWrap/>
                <w:vAlign w:val="center"/>
                <w:hideMark/>
              </w:tcPr>
              <w:p w14:paraId="28C1208B"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Córdoba-Sucre</w:t>
                </w:r>
              </w:p>
            </w:tc>
            <w:tc>
              <w:tcPr>
                <w:tcW w:w="1134" w:type="dxa"/>
                <w:shd w:val="clear" w:color="auto" w:fill="auto"/>
                <w:noWrap/>
                <w:vAlign w:val="center"/>
                <w:hideMark/>
              </w:tcPr>
              <w:p w14:paraId="140A4B91"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Tarifario</w:t>
                </w:r>
              </w:p>
            </w:tc>
            <w:tc>
              <w:tcPr>
                <w:tcW w:w="1418" w:type="dxa"/>
                <w:shd w:val="clear" w:color="auto" w:fill="auto"/>
                <w:noWrap/>
                <w:vAlign w:val="bottom"/>
                <w:hideMark/>
              </w:tcPr>
              <w:p w14:paraId="6A01AFB2" w14:textId="11A010D1"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24.003.594.889 </w:t>
                </w:r>
              </w:p>
            </w:tc>
          </w:tr>
          <w:tr w:rsidR="000A6347" w:rsidRPr="004B0F14" w14:paraId="7128C8ED" w14:textId="77777777" w:rsidTr="00CA6345">
            <w:trPr>
              <w:trHeight w:val="340"/>
            </w:trPr>
            <w:tc>
              <w:tcPr>
                <w:tcW w:w="1838" w:type="dxa"/>
                <w:shd w:val="clear" w:color="auto" w:fill="auto"/>
                <w:noWrap/>
                <w:vAlign w:val="center"/>
                <w:hideMark/>
              </w:tcPr>
              <w:p w14:paraId="666E5BC7"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Canal Del Dique</w:t>
                </w:r>
              </w:p>
            </w:tc>
            <w:tc>
              <w:tcPr>
                <w:tcW w:w="1134" w:type="dxa"/>
                <w:shd w:val="clear" w:color="auto" w:fill="auto"/>
                <w:noWrap/>
                <w:vAlign w:val="center"/>
                <w:hideMark/>
              </w:tcPr>
              <w:p w14:paraId="32C3BC42"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Gestión De Predios Públicos</w:t>
                </w:r>
              </w:p>
            </w:tc>
            <w:tc>
              <w:tcPr>
                <w:tcW w:w="1418" w:type="dxa"/>
                <w:shd w:val="clear" w:color="auto" w:fill="auto"/>
                <w:noWrap/>
                <w:vAlign w:val="bottom"/>
                <w:hideMark/>
              </w:tcPr>
              <w:p w14:paraId="1A19F716" w14:textId="75EFE69B"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47.456.422 </w:t>
                </w:r>
              </w:p>
            </w:tc>
          </w:tr>
          <w:tr w:rsidR="000A6347" w:rsidRPr="004B0F14" w14:paraId="1E239AC7" w14:textId="77777777" w:rsidTr="00CA6345">
            <w:trPr>
              <w:trHeight w:val="340"/>
            </w:trPr>
            <w:tc>
              <w:tcPr>
                <w:tcW w:w="1838" w:type="dxa"/>
                <w:shd w:val="clear" w:color="auto" w:fill="auto"/>
                <w:noWrap/>
                <w:vAlign w:val="center"/>
                <w:hideMark/>
              </w:tcPr>
              <w:p w14:paraId="44B1264E"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Briceño-Tunja-Sogamoso</w:t>
                </w:r>
              </w:p>
            </w:tc>
            <w:tc>
              <w:tcPr>
                <w:tcW w:w="1134" w:type="dxa"/>
                <w:shd w:val="clear" w:color="auto" w:fill="auto"/>
                <w:noWrap/>
                <w:vAlign w:val="center"/>
                <w:hideMark/>
              </w:tcPr>
              <w:p w14:paraId="5B176210"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Tarifario</w:t>
                </w:r>
              </w:p>
            </w:tc>
            <w:tc>
              <w:tcPr>
                <w:tcW w:w="1418" w:type="dxa"/>
                <w:shd w:val="clear" w:color="auto" w:fill="auto"/>
                <w:noWrap/>
                <w:vAlign w:val="bottom"/>
                <w:hideMark/>
              </w:tcPr>
              <w:p w14:paraId="2B19F6F3" w14:textId="33D208A3"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39.625.251.444 </w:t>
                </w:r>
              </w:p>
            </w:tc>
          </w:tr>
          <w:tr w:rsidR="000A6347" w:rsidRPr="004B0F14" w14:paraId="2AD34908" w14:textId="77777777" w:rsidTr="00CA6345">
            <w:trPr>
              <w:trHeight w:val="340"/>
            </w:trPr>
            <w:tc>
              <w:tcPr>
                <w:tcW w:w="1838" w:type="dxa"/>
                <w:shd w:val="clear" w:color="auto" w:fill="auto"/>
                <w:noWrap/>
                <w:vAlign w:val="center"/>
                <w:hideMark/>
              </w:tcPr>
              <w:p w14:paraId="56F5773E"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Autopista Al Mar 1</w:t>
                </w:r>
              </w:p>
            </w:tc>
            <w:tc>
              <w:tcPr>
                <w:tcW w:w="1134" w:type="dxa"/>
                <w:shd w:val="clear" w:color="auto" w:fill="auto"/>
                <w:noWrap/>
                <w:vAlign w:val="center"/>
                <w:hideMark/>
              </w:tcPr>
              <w:p w14:paraId="21EC7325"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Tarifario</w:t>
                </w:r>
              </w:p>
            </w:tc>
            <w:tc>
              <w:tcPr>
                <w:tcW w:w="1418" w:type="dxa"/>
                <w:shd w:val="clear" w:color="auto" w:fill="auto"/>
                <w:noWrap/>
                <w:vAlign w:val="bottom"/>
                <w:hideMark/>
              </w:tcPr>
              <w:p w14:paraId="070A2252" w14:textId="1B2FB6B3"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59.926.157.847 </w:t>
                </w:r>
              </w:p>
            </w:tc>
          </w:tr>
          <w:tr w:rsidR="000A6347" w:rsidRPr="004B0F14" w14:paraId="1E1B111B" w14:textId="77777777" w:rsidTr="00CA6345">
            <w:trPr>
              <w:trHeight w:val="340"/>
            </w:trPr>
            <w:tc>
              <w:tcPr>
                <w:tcW w:w="1838" w:type="dxa"/>
                <w:shd w:val="clear" w:color="auto" w:fill="auto"/>
                <w:noWrap/>
                <w:vAlign w:val="center"/>
                <w:hideMark/>
              </w:tcPr>
              <w:p w14:paraId="06A575F3"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Nueva Malla Vial Valle</w:t>
                </w:r>
              </w:p>
            </w:tc>
            <w:tc>
              <w:tcPr>
                <w:tcW w:w="1134" w:type="dxa"/>
                <w:shd w:val="clear" w:color="auto" w:fill="auto"/>
                <w:noWrap/>
                <w:vAlign w:val="center"/>
                <w:hideMark/>
              </w:tcPr>
              <w:p w14:paraId="14AAAE0B"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Tarifario</w:t>
                </w:r>
              </w:p>
            </w:tc>
            <w:tc>
              <w:tcPr>
                <w:tcW w:w="1418" w:type="dxa"/>
                <w:shd w:val="clear" w:color="auto" w:fill="auto"/>
                <w:noWrap/>
                <w:vAlign w:val="bottom"/>
                <w:hideMark/>
              </w:tcPr>
              <w:p w14:paraId="72E38966" w14:textId="3C5D5F56"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53.025.041.100 </w:t>
                </w:r>
              </w:p>
            </w:tc>
          </w:tr>
          <w:tr w:rsidR="000A6347" w:rsidRPr="004B0F14" w14:paraId="2F93C8CE" w14:textId="77777777" w:rsidTr="00CA6345">
            <w:trPr>
              <w:trHeight w:val="340"/>
            </w:trPr>
            <w:tc>
              <w:tcPr>
                <w:tcW w:w="1838" w:type="dxa"/>
                <w:shd w:val="clear" w:color="auto" w:fill="auto"/>
                <w:noWrap/>
                <w:vAlign w:val="center"/>
                <w:hideMark/>
              </w:tcPr>
              <w:p w14:paraId="0F6C06D0"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Nueva Malla Vial Valle</w:t>
                </w:r>
              </w:p>
            </w:tc>
            <w:tc>
              <w:tcPr>
                <w:tcW w:w="1134" w:type="dxa"/>
                <w:shd w:val="clear" w:color="auto" w:fill="auto"/>
                <w:noWrap/>
                <w:vAlign w:val="center"/>
                <w:hideMark/>
              </w:tcPr>
              <w:p w14:paraId="3E4E1069"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Nuevas Consultas</w:t>
                </w:r>
              </w:p>
            </w:tc>
            <w:tc>
              <w:tcPr>
                <w:tcW w:w="1418" w:type="dxa"/>
                <w:shd w:val="clear" w:color="auto" w:fill="auto"/>
                <w:noWrap/>
                <w:vAlign w:val="bottom"/>
                <w:hideMark/>
              </w:tcPr>
              <w:p w14:paraId="53D8647C" w14:textId="470D962E"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17.982.369.480 </w:t>
                </w:r>
              </w:p>
            </w:tc>
          </w:tr>
          <w:tr w:rsidR="000A6347" w:rsidRPr="004B0F14" w14:paraId="0CE2352D" w14:textId="77777777" w:rsidTr="00CA6345">
            <w:trPr>
              <w:trHeight w:val="340"/>
            </w:trPr>
            <w:tc>
              <w:tcPr>
                <w:tcW w:w="1838" w:type="dxa"/>
                <w:shd w:val="clear" w:color="auto" w:fill="auto"/>
                <w:noWrap/>
                <w:vAlign w:val="center"/>
                <w:hideMark/>
              </w:tcPr>
              <w:p w14:paraId="538B65EB"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Pacifico 2</w:t>
                </w:r>
              </w:p>
            </w:tc>
            <w:tc>
              <w:tcPr>
                <w:tcW w:w="1134" w:type="dxa"/>
                <w:shd w:val="clear" w:color="auto" w:fill="auto"/>
                <w:noWrap/>
                <w:vAlign w:val="center"/>
                <w:hideMark/>
              </w:tcPr>
              <w:p w14:paraId="25D1D578"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Tarifario</w:t>
                </w:r>
              </w:p>
            </w:tc>
            <w:tc>
              <w:tcPr>
                <w:tcW w:w="1418" w:type="dxa"/>
                <w:shd w:val="clear" w:color="auto" w:fill="auto"/>
                <w:noWrap/>
                <w:vAlign w:val="bottom"/>
                <w:hideMark/>
              </w:tcPr>
              <w:p w14:paraId="7DF7220C" w14:textId="1B04CC7E"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13.868.835.874 </w:t>
                </w:r>
              </w:p>
            </w:tc>
          </w:tr>
          <w:tr w:rsidR="000A6347" w:rsidRPr="004B0F14" w14:paraId="4F9667B2" w14:textId="77777777" w:rsidTr="00CA6345">
            <w:trPr>
              <w:trHeight w:val="340"/>
            </w:trPr>
            <w:tc>
              <w:tcPr>
                <w:tcW w:w="1838" w:type="dxa"/>
                <w:shd w:val="clear" w:color="auto" w:fill="auto"/>
                <w:noWrap/>
                <w:vAlign w:val="center"/>
                <w:hideMark/>
              </w:tcPr>
              <w:p w14:paraId="5D1EBAEA"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Cartagena-Barranquilla (4g)</w:t>
                </w:r>
              </w:p>
            </w:tc>
            <w:tc>
              <w:tcPr>
                <w:tcW w:w="1134" w:type="dxa"/>
                <w:shd w:val="clear" w:color="auto" w:fill="auto"/>
                <w:noWrap/>
                <w:vAlign w:val="center"/>
                <w:hideMark/>
              </w:tcPr>
              <w:p w14:paraId="7EF58C5A"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Tarifario</w:t>
                </w:r>
              </w:p>
            </w:tc>
            <w:tc>
              <w:tcPr>
                <w:tcW w:w="1418" w:type="dxa"/>
                <w:shd w:val="clear" w:color="auto" w:fill="auto"/>
                <w:noWrap/>
                <w:vAlign w:val="bottom"/>
                <w:hideMark/>
              </w:tcPr>
              <w:p w14:paraId="2D1667BC" w14:textId="152BE69F"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39.495.268.930 </w:t>
                </w:r>
              </w:p>
            </w:tc>
          </w:tr>
          <w:tr w:rsidR="000A6347" w:rsidRPr="004B0F14" w14:paraId="5C61C0C7" w14:textId="77777777" w:rsidTr="00CA6345">
            <w:trPr>
              <w:trHeight w:val="340"/>
            </w:trPr>
            <w:tc>
              <w:tcPr>
                <w:tcW w:w="1838" w:type="dxa"/>
                <w:shd w:val="clear" w:color="auto" w:fill="auto"/>
                <w:noWrap/>
                <w:vAlign w:val="center"/>
                <w:hideMark/>
              </w:tcPr>
              <w:p w14:paraId="5814EDAE"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Honda-Girardot-Puerto Salgar</w:t>
                </w:r>
              </w:p>
            </w:tc>
            <w:tc>
              <w:tcPr>
                <w:tcW w:w="1134" w:type="dxa"/>
                <w:shd w:val="clear" w:color="auto" w:fill="auto"/>
                <w:noWrap/>
                <w:vAlign w:val="center"/>
                <w:hideMark/>
              </w:tcPr>
              <w:p w14:paraId="35EF1A22"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Tarifario</w:t>
                </w:r>
              </w:p>
            </w:tc>
            <w:tc>
              <w:tcPr>
                <w:tcW w:w="1418" w:type="dxa"/>
                <w:shd w:val="clear" w:color="auto" w:fill="auto"/>
                <w:noWrap/>
                <w:vAlign w:val="bottom"/>
                <w:hideMark/>
              </w:tcPr>
              <w:p w14:paraId="30CA4FBD" w14:textId="465292D9"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44.174.420.243 </w:t>
                </w:r>
              </w:p>
            </w:tc>
          </w:tr>
          <w:tr w:rsidR="000A6347" w:rsidRPr="004B0F14" w14:paraId="7F8F58E8" w14:textId="77777777" w:rsidTr="00CA6345">
            <w:trPr>
              <w:trHeight w:val="340"/>
            </w:trPr>
            <w:tc>
              <w:tcPr>
                <w:tcW w:w="1838" w:type="dxa"/>
                <w:shd w:val="clear" w:color="auto" w:fill="auto"/>
                <w:noWrap/>
                <w:vAlign w:val="center"/>
                <w:hideMark/>
              </w:tcPr>
              <w:p w14:paraId="2D2D7832"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Honda-Girardot-Puerto Salgar</w:t>
                </w:r>
              </w:p>
            </w:tc>
            <w:tc>
              <w:tcPr>
                <w:tcW w:w="1134" w:type="dxa"/>
                <w:shd w:val="clear" w:color="auto" w:fill="auto"/>
                <w:noWrap/>
                <w:vAlign w:val="center"/>
                <w:hideMark/>
              </w:tcPr>
              <w:p w14:paraId="4468F134"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Costos Ociosos</w:t>
                </w:r>
              </w:p>
            </w:tc>
            <w:tc>
              <w:tcPr>
                <w:tcW w:w="1418" w:type="dxa"/>
                <w:shd w:val="clear" w:color="auto" w:fill="auto"/>
                <w:noWrap/>
                <w:vAlign w:val="bottom"/>
                <w:hideMark/>
              </w:tcPr>
              <w:p w14:paraId="08FA25F8" w14:textId="4C043ABB"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5.692.616.143 </w:t>
                </w:r>
              </w:p>
            </w:tc>
          </w:tr>
          <w:tr w:rsidR="000A6347" w:rsidRPr="004B0F14" w14:paraId="4AE44AD0" w14:textId="77777777" w:rsidTr="00CA6345">
            <w:trPr>
              <w:trHeight w:val="340"/>
            </w:trPr>
            <w:tc>
              <w:tcPr>
                <w:tcW w:w="1838" w:type="dxa"/>
                <w:shd w:val="clear" w:color="auto" w:fill="auto"/>
                <w:noWrap/>
                <w:vAlign w:val="center"/>
                <w:hideMark/>
              </w:tcPr>
              <w:p w14:paraId="3952B6DD"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Villavicencio-Yopal</w:t>
                </w:r>
              </w:p>
            </w:tc>
            <w:tc>
              <w:tcPr>
                <w:tcW w:w="1134" w:type="dxa"/>
                <w:shd w:val="clear" w:color="auto" w:fill="auto"/>
                <w:noWrap/>
                <w:vAlign w:val="center"/>
                <w:hideMark/>
              </w:tcPr>
              <w:p w14:paraId="353E1C6B"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Tarifario</w:t>
                </w:r>
              </w:p>
            </w:tc>
            <w:tc>
              <w:tcPr>
                <w:tcW w:w="1418" w:type="dxa"/>
                <w:shd w:val="clear" w:color="auto" w:fill="auto"/>
                <w:noWrap/>
                <w:vAlign w:val="bottom"/>
                <w:hideMark/>
              </w:tcPr>
              <w:p w14:paraId="2AD5106F" w14:textId="05033FD5"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60.089.738.185 </w:t>
                </w:r>
              </w:p>
            </w:tc>
          </w:tr>
          <w:tr w:rsidR="000A6347" w:rsidRPr="004B0F14" w14:paraId="324C3E59" w14:textId="77777777" w:rsidTr="00CA6345">
            <w:trPr>
              <w:trHeight w:val="340"/>
            </w:trPr>
            <w:tc>
              <w:tcPr>
                <w:tcW w:w="1838" w:type="dxa"/>
                <w:shd w:val="clear" w:color="auto" w:fill="auto"/>
                <w:noWrap/>
                <w:vAlign w:val="center"/>
                <w:hideMark/>
              </w:tcPr>
              <w:p w14:paraId="3316FB42"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Villavicencio-Yopal</w:t>
                </w:r>
              </w:p>
            </w:tc>
            <w:tc>
              <w:tcPr>
                <w:tcW w:w="1134" w:type="dxa"/>
                <w:shd w:val="clear" w:color="auto" w:fill="auto"/>
                <w:noWrap/>
                <w:vAlign w:val="center"/>
                <w:hideMark/>
              </w:tcPr>
              <w:p w14:paraId="13B1E9D2"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Comercial</w:t>
                </w:r>
              </w:p>
            </w:tc>
            <w:tc>
              <w:tcPr>
                <w:tcW w:w="1418" w:type="dxa"/>
                <w:shd w:val="clear" w:color="auto" w:fill="auto"/>
                <w:noWrap/>
                <w:vAlign w:val="bottom"/>
                <w:hideMark/>
              </w:tcPr>
              <w:p w14:paraId="2B63E4C6" w14:textId="5AF493B0"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87.067.120.793 </w:t>
                </w:r>
              </w:p>
            </w:tc>
          </w:tr>
          <w:tr w:rsidR="000A6347" w:rsidRPr="004B0F14" w14:paraId="01F3F27B" w14:textId="77777777" w:rsidTr="00CA6345">
            <w:trPr>
              <w:trHeight w:val="340"/>
            </w:trPr>
            <w:tc>
              <w:tcPr>
                <w:tcW w:w="1838" w:type="dxa"/>
                <w:shd w:val="clear" w:color="auto" w:fill="auto"/>
                <w:noWrap/>
                <w:vAlign w:val="center"/>
                <w:hideMark/>
              </w:tcPr>
              <w:p w14:paraId="32009B93"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Magdalena 2</w:t>
                </w:r>
              </w:p>
            </w:tc>
            <w:tc>
              <w:tcPr>
                <w:tcW w:w="1134" w:type="dxa"/>
                <w:shd w:val="clear" w:color="auto" w:fill="auto"/>
                <w:noWrap/>
                <w:vAlign w:val="center"/>
                <w:hideMark/>
              </w:tcPr>
              <w:p w14:paraId="5C5D1591"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Tarifario</w:t>
                </w:r>
              </w:p>
            </w:tc>
            <w:tc>
              <w:tcPr>
                <w:tcW w:w="1418" w:type="dxa"/>
                <w:shd w:val="clear" w:color="auto" w:fill="auto"/>
                <w:noWrap/>
                <w:vAlign w:val="bottom"/>
                <w:hideMark/>
              </w:tcPr>
              <w:p w14:paraId="7A113A3B" w14:textId="73D2B05C"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7.254.089.686 </w:t>
                </w:r>
              </w:p>
            </w:tc>
          </w:tr>
          <w:tr w:rsidR="000A6347" w:rsidRPr="004B0F14" w14:paraId="3E3853CD" w14:textId="77777777" w:rsidTr="00CA6345">
            <w:trPr>
              <w:trHeight w:val="340"/>
            </w:trPr>
            <w:tc>
              <w:tcPr>
                <w:tcW w:w="1838" w:type="dxa"/>
                <w:shd w:val="clear" w:color="auto" w:fill="auto"/>
                <w:noWrap/>
                <w:vAlign w:val="center"/>
                <w:hideMark/>
              </w:tcPr>
              <w:p w14:paraId="06AA14B4"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Puerta De Hierro - Cruz Del Viso</w:t>
                </w:r>
              </w:p>
            </w:tc>
            <w:tc>
              <w:tcPr>
                <w:tcW w:w="1134" w:type="dxa"/>
                <w:shd w:val="clear" w:color="auto" w:fill="auto"/>
                <w:noWrap/>
                <w:vAlign w:val="center"/>
                <w:hideMark/>
              </w:tcPr>
              <w:p w14:paraId="45E903D3"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Tarifario</w:t>
                </w:r>
              </w:p>
            </w:tc>
            <w:tc>
              <w:tcPr>
                <w:tcW w:w="1418" w:type="dxa"/>
                <w:shd w:val="clear" w:color="auto" w:fill="auto"/>
                <w:noWrap/>
                <w:vAlign w:val="bottom"/>
                <w:hideMark/>
              </w:tcPr>
              <w:p w14:paraId="17449C99" w14:textId="2CF1C17B"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34.055.389.140 </w:t>
                </w:r>
              </w:p>
            </w:tc>
          </w:tr>
          <w:tr w:rsidR="000A6347" w:rsidRPr="004B0F14" w14:paraId="7937F826" w14:textId="77777777" w:rsidTr="00CA6345">
            <w:trPr>
              <w:trHeight w:val="340"/>
            </w:trPr>
            <w:tc>
              <w:tcPr>
                <w:tcW w:w="1838" w:type="dxa"/>
                <w:shd w:val="clear" w:color="auto" w:fill="auto"/>
                <w:noWrap/>
                <w:vAlign w:val="center"/>
                <w:hideMark/>
              </w:tcPr>
              <w:p w14:paraId="11F3BE7C"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Villavicencio-Yopal</w:t>
                </w:r>
              </w:p>
            </w:tc>
            <w:tc>
              <w:tcPr>
                <w:tcW w:w="1134" w:type="dxa"/>
                <w:shd w:val="clear" w:color="auto" w:fill="auto"/>
                <w:noWrap/>
                <w:vAlign w:val="center"/>
                <w:hideMark/>
              </w:tcPr>
              <w:p w14:paraId="4EDF5ACF" w14:textId="77777777" w:rsidR="000A6347" w:rsidRPr="004B0F14" w:rsidRDefault="000A6347" w:rsidP="000A6347">
                <w:pPr>
                  <w:spacing w:after="0" w:line="240" w:lineRule="auto"/>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Comercial</w:t>
                </w:r>
              </w:p>
            </w:tc>
            <w:tc>
              <w:tcPr>
                <w:tcW w:w="1418" w:type="dxa"/>
                <w:shd w:val="clear" w:color="auto" w:fill="auto"/>
                <w:noWrap/>
                <w:vAlign w:val="bottom"/>
                <w:hideMark/>
              </w:tcPr>
              <w:p w14:paraId="69ABA724" w14:textId="4AD38ABF" w:rsidR="000A6347" w:rsidRPr="004B0F14" w:rsidRDefault="000A6347" w:rsidP="006F6354">
                <w:pPr>
                  <w:spacing w:after="0" w:line="240" w:lineRule="auto"/>
                  <w:jc w:val="right"/>
                  <w:rPr>
                    <w:rFonts w:ascii="Times New Roman" w:eastAsia="Times New Roman" w:hAnsi="Times New Roman"/>
                    <w:color w:val="000000"/>
                    <w:sz w:val="14"/>
                    <w:szCs w:val="14"/>
                    <w:lang w:eastAsia="es-CO"/>
                  </w:rPr>
                </w:pPr>
                <w:r w:rsidRPr="004B0F14">
                  <w:rPr>
                    <w:rFonts w:ascii="Times New Roman" w:eastAsia="Times New Roman" w:hAnsi="Times New Roman"/>
                    <w:color w:val="000000"/>
                    <w:sz w:val="14"/>
                    <w:szCs w:val="14"/>
                    <w:lang w:eastAsia="es-CO"/>
                  </w:rPr>
                  <w:t xml:space="preserve">15.108.752.844 </w:t>
                </w:r>
              </w:p>
            </w:tc>
          </w:tr>
          <w:tr w:rsidR="000A6347" w:rsidRPr="004B0F14" w14:paraId="2658EBCB" w14:textId="77777777" w:rsidTr="00CA6345">
            <w:trPr>
              <w:trHeight w:val="340"/>
            </w:trPr>
            <w:tc>
              <w:tcPr>
                <w:tcW w:w="2972" w:type="dxa"/>
                <w:gridSpan w:val="2"/>
                <w:shd w:val="clear" w:color="auto" w:fill="auto"/>
                <w:noWrap/>
                <w:vAlign w:val="center"/>
                <w:hideMark/>
              </w:tcPr>
              <w:p w14:paraId="7337D578" w14:textId="77777777" w:rsidR="000A6347" w:rsidRPr="004B0F14" w:rsidRDefault="000A6347" w:rsidP="000A6347">
                <w:pPr>
                  <w:spacing w:after="0" w:line="240" w:lineRule="auto"/>
                  <w:jc w:val="center"/>
                  <w:rPr>
                    <w:rFonts w:ascii="Times New Roman" w:eastAsia="Times New Roman" w:hAnsi="Times New Roman"/>
                    <w:b/>
                    <w:color w:val="000000"/>
                    <w:sz w:val="14"/>
                    <w:szCs w:val="14"/>
                    <w:lang w:eastAsia="es-CO"/>
                  </w:rPr>
                </w:pPr>
                <w:r w:rsidRPr="004B0F14">
                  <w:rPr>
                    <w:rFonts w:ascii="Times New Roman" w:eastAsia="Times New Roman" w:hAnsi="Times New Roman"/>
                    <w:b/>
                    <w:color w:val="000000"/>
                    <w:sz w:val="14"/>
                    <w:szCs w:val="14"/>
                    <w:lang w:eastAsia="es-CO"/>
                  </w:rPr>
                  <w:t>Total </w:t>
                </w:r>
              </w:p>
            </w:tc>
            <w:tc>
              <w:tcPr>
                <w:tcW w:w="1418" w:type="dxa"/>
                <w:shd w:val="clear" w:color="auto" w:fill="auto"/>
                <w:noWrap/>
                <w:vAlign w:val="bottom"/>
                <w:hideMark/>
              </w:tcPr>
              <w:p w14:paraId="40054C9D" w14:textId="056342BF" w:rsidR="000A6347" w:rsidRPr="004B0F14" w:rsidRDefault="000A6347" w:rsidP="006F6354">
                <w:pPr>
                  <w:spacing w:after="0" w:line="240" w:lineRule="auto"/>
                  <w:jc w:val="right"/>
                  <w:rPr>
                    <w:rFonts w:ascii="Times New Roman" w:eastAsia="Times New Roman" w:hAnsi="Times New Roman"/>
                    <w:b/>
                    <w:color w:val="000000"/>
                    <w:sz w:val="14"/>
                    <w:szCs w:val="14"/>
                    <w:lang w:eastAsia="es-CO"/>
                  </w:rPr>
                </w:pPr>
                <w:r w:rsidRPr="004B0F14">
                  <w:rPr>
                    <w:rFonts w:ascii="Times New Roman" w:eastAsia="Times New Roman" w:hAnsi="Times New Roman"/>
                    <w:b/>
                    <w:color w:val="000000"/>
                    <w:sz w:val="14"/>
                    <w:szCs w:val="14"/>
                    <w:lang w:eastAsia="es-CO"/>
                  </w:rPr>
                  <w:t xml:space="preserve">3.077.909.803.112 </w:t>
                </w:r>
              </w:p>
            </w:tc>
          </w:tr>
        </w:tbl>
        <w:p w14:paraId="73174E87" w14:textId="77777777" w:rsidR="004B0F14" w:rsidRDefault="004B0F14" w:rsidP="00DE7E53">
          <w:pPr>
            <w:autoSpaceDE w:val="0"/>
            <w:autoSpaceDN w:val="0"/>
            <w:adjustRightInd w:val="0"/>
            <w:spacing w:after="0" w:line="240" w:lineRule="auto"/>
            <w:jc w:val="both"/>
            <w:rPr>
              <w:rFonts w:ascii="Times New Roman" w:hAnsi="Times New Roman"/>
              <w:sz w:val="16"/>
              <w:szCs w:val="16"/>
              <w:lang w:eastAsia="es-CO"/>
            </w:rPr>
            <w:sectPr w:rsidR="004B0F14" w:rsidSect="00376BDD">
              <w:headerReference w:type="default" r:id="rId13"/>
              <w:type w:val="continuous"/>
              <w:pgSz w:w="12240" w:h="15840"/>
              <w:pgMar w:top="1418" w:right="1418" w:bottom="1418" w:left="1843" w:header="680" w:footer="709" w:gutter="0"/>
              <w:cols w:num="2" w:space="708"/>
              <w:titlePg/>
              <w:docGrid w:linePitch="360"/>
            </w:sectPr>
          </w:pPr>
        </w:p>
        <w:p w14:paraId="41902AA9" w14:textId="2D32FE31" w:rsidR="00DE7E53" w:rsidRPr="00931DCE" w:rsidRDefault="00AD2026" w:rsidP="00DE7E53">
          <w:pPr>
            <w:autoSpaceDE w:val="0"/>
            <w:autoSpaceDN w:val="0"/>
            <w:adjustRightInd w:val="0"/>
            <w:spacing w:after="0" w:line="240" w:lineRule="auto"/>
            <w:jc w:val="both"/>
            <w:rPr>
              <w:rFonts w:ascii="Times New Roman" w:hAnsi="Times New Roman"/>
              <w:sz w:val="24"/>
              <w:szCs w:val="24"/>
            </w:rPr>
          </w:pPr>
          <w:r w:rsidRPr="00931DCE">
            <w:rPr>
              <w:rFonts w:ascii="Times New Roman" w:hAnsi="Times New Roman"/>
              <w:sz w:val="16"/>
              <w:szCs w:val="16"/>
              <w:lang w:eastAsia="es-CO"/>
            </w:rPr>
            <w:t>Cifras expresadas en pesos</w:t>
          </w:r>
        </w:p>
        <w:p w14:paraId="2B2A9DA0" w14:textId="77777777" w:rsidR="00E756EA" w:rsidRDefault="00E756EA" w:rsidP="004C0FE5">
          <w:pPr>
            <w:autoSpaceDE w:val="0"/>
            <w:autoSpaceDN w:val="0"/>
            <w:adjustRightInd w:val="0"/>
            <w:spacing w:after="0" w:line="240" w:lineRule="auto"/>
            <w:jc w:val="both"/>
            <w:rPr>
              <w:rFonts w:ascii="Times New Roman" w:hAnsi="Times New Roman"/>
              <w:sz w:val="24"/>
              <w:szCs w:val="24"/>
            </w:rPr>
          </w:pPr>
        </w:p>
        <w:p w14:paraId="62A6F907" w14:textId="1C9F6D23" w:rsidR="00DE7E53" w:rsidRPr="00931DCE" w:rsidRDefault="004927E9" w:rsidP="004C0FE5">
          <w:pPr>
            <w:autoSpaceDE w:val="0"/>
            <w:autoSpaceDN w:val="0"/>
            <w:adjustRightInd w:val="0"/>
            <w:spacing w:after="0" w:line="240" w:lineRule="auto"/>
            <w:jc w:val="both"/>
            <w:rPr>
              <w:rFonts w:ascii="Times New Roman" w:hAnsi="Times New Roman"/>
              <w:sz w:val="24"/>
              <w:szCs w:val="24"/>
            </w:rPr>
          </w:pPr>
          <w:r w:rsidRPr="00931DCE">
            <w:rPr>
              <w:rFonts w:ascii="Times New Roman" w:hAnsi="Times New Roman"/>
              <w:sz w:val="24"/>
              <w:szCs w:val="24"/>
            </w:rPr>
            <w:t>Al cierre del período</w:t>
          </w:r>
          <w:r w:rsidR="00DE7E53" w:rsidRPr="00931DCE">
            <w:rPr>
              <w:rFonts w:ascii="Times New Roman" w:hAnsi="Times New Roman"/>
              <w:sz w:val="24"/>
              <w:szCs w:val="24"/>
            </w:rPr>
            <w:t>, se reconocieron ingresos por rendimientos de estos recursos por valor de $</w:t>
          </w:r>
          <w:r w:rsidR="003B08D2">
            <w:rPr>
              <w:rFonts w:ascii="Times New Roman" w:hAnsi="Times New Roman"/>
              <w:sz w:val="24"/>
              <w:szCs w:val="24"/>
            </w:rPr>
            <w:t>1.123.587.518.090</w:t>
          </w:r>
          <w:r w:rsidR="00DE7E53" w:rsidRPr="00931DCE">
            <w:rPr>
              <w:rFonts w:ascii="Times New Roman" w:hAnsi="Times New Roman"/>
              <w:sz w:val="24"/>
              <w:szCs w:val="24"/>
            </w:rPr>
            <w:t>, los cuales acrecentaron los recursos, para ser utilizados una vez se materialicen los riesgos en los proyectos de concesión del modo de transporte carretero.</w:t>
          </w:r>
        </w:p>
        <w:p w14:paraId="1DB0F1AF" w14:textId="77777777" w:rsidR="004C0FE5" w:rsidRPr="00931DCE" w:rsidRDefault="004C0FE5" w:rsidP="004C0FE5">
          <w:pPr>
            <w:spacing w:after="0" w:line="240" w:lineRule="auto"/>
            <w:jc w:val="both"/>
            <w:rPr>
              <w:rFonts w:ascii="Times New Roman" w:hAnsi="Times New Roman"/>
              <w:sz w:val="24"/>
              <w:szCs w:val="24"/>
            </w:rPr>
          </w:pPr>
        </w:p>
        <w:p w14:paraId="002967AB" w14:textId="6D604621" w:rsidR="004C0FE5" w:rsidRPr="00931DCE" w:rsidRDefault="00DE7E53" w:rsidP="004C0FE5">
          <w:pPr>
            <w:spacing w:after="0" w:line="240" w:lineRule="auto"/>
            <w:jc w:val="both"/>
            <w:rPr>
              <w:rFonts w:ascii="Times New Roman" w:hAnsi="Times New Roman"/>
              <w:sz w:val="24"/>
              <w:szCs w:val="24"/>
            </w:rPr>
          </w:pPr>
          <w:r w:rsidRPr="00931DCE">
            <w:rPr>
              <w:rFonts w:ascii="Times New Roman" w:hAnsi="Times New Roman"/>
              <w:sz w:val="24"/>
              <w:szCs w:val="24"/>
            </w:rPr>
            <w:t>Los riesgos materializa</w:t>
          </w:r>
          <w:r w:rsidR="00B32508" w:rsidRPr="00931DCE">
            <w:rPr>
              <w:rFonts w:ascii="Times New Roman" w:hAnsi="Times New Roman"/>
              <w:sz w:val="24"/>
              <w:szCs w:val="24"/>
            </w:rPr>
            <w:t>dos con cargo al fondo</w:t>
          </w:r>
          <w:r w:rsidRPr="00931DCE">
            <w:rPr>
              <w:rFonts w:ascii="Times New Roman" w:hAnsi="Times New Roman"/>
              <w:sz w:val="24"/>
              <w:szCs w:val="24"/>
            </w:rPr>
            <w:t xml:space="preserve"> durante </w:t>
          </w:r>
          <w:r w:rsidR="00EF6E05" w:rsidRPr="00931DCE">
            <w:rPr>
              <w:rFonts w:ascii="Times New Roman" w:hAnsi="Times New Roman"/>
              <w:sz w:val="24"/>
              <w:szCs w:val="24"/>
            </w:rPr>
            <w:t>202</w:t>
          </w:r>
          <w:r w:rsidR="003B08D2">
            <w:rPr>
              <w:rFonts w:ascii="Times New Roman" w:hAnsi="Times New Roman"/>
              <w:sz w:val="24"/>
              <w:szCs w:val="24"/>
            </w:rPr>
            <w:t>3</w:t>
          </w:r>
          <w:r w:rsidRPr="00931DCE">
            <w:rPr>
              <w:rFonts w:ascii="Times New Roman" w:hAnsi="Times New Roman"/>
              <w:sz w:val="24"/>
              <w:szCs w:val="24"/>
            </w:rPr>
            <w:t xml:space="preserve"> fueron los siguientes:</w:t>
          </w:r>
        </w:p>
        <w:p w14:paraId="484E6F09" w14:textId="77777777" w:rsidR="00DD2441" w:rsidRPr="00931DCE" w:rsidRDefault="00DD2441" w:rsidP="004C0FE5">
          <w:pPr>
            <w:spacing w:after="0" w:line="240" w:lineRule="auto"/>
            <w:jc w:val="both"/>
            <w:rPr>
              <w:rFonts w:ascii="Times New Roman" w:hAnsi="Times New Roman"/>
              <w:sz w:val="24"/>
              <w:szCs w:val="24"/>
            </w:rPr>
          </w:pPr>
        </w:p>
        <w:p w14:paraId="6F99C9FC" w14:textId="77777777" w:rsidR="004B0F14" w:rsidRDefault="004B0F14" w:rsidP="00CE3D76">
          <w:pPr>
            <w:spacing w:after="0" w:line="240" w:lineRule="auto"/>
            <w:jc w:val="center"/>
            <w:rPr>
              <w:rFonts w:ascii="Times New Roman" w:eastAsia="Times New Roman" w:hAnsi="Times New Roman"/>
              <w:b/>
              <w:color w:val="000000"/>
              <w:sz w:val="18"/>
              <w:szCs w:val="18"/>
              <w:lang w:eastAsia="es-CO"/>
            </w:rPr>
            <w:sectPr w:rsidR="004B0F14" w:rsidSect="00376BDD">
              <w:type w:val="continuous"/>
              <w:pgSz w:w="12240" w:h="15840"/>
              <w:pgMar w:top="1418" w:right="1418" w:bottom="1418" w:left="1843" w:header="680" w:footer="709" w:gutter="0"/>
              <w:pgNumType w:start="1"/>
              <w:cols w:space="708"/>
              <w:titlePg/>
              <w:docGrid w:linePitch="360"/>
            </w:sectPr>
          </w:pPr>
        </w:p>
        <w:tbl>
          <w:tblPr>
            <w:tblW w:w="5321" w:type="pct"/>
            <w:tblLayout w:type="fixed"/>
            <w:tblCellMar>
              <w:left w:w="70" w:type="dxa"/>
              <w:right w:w="70" w:type="dxa"/>
            </w:tblCellMar>
            <w:tblLook w:val="04A0" w:firstRow="1" w:lastRow="0" w:firstColumn="1" w:lastColumn="0" w:noHBand="0" w:noVBand="1"/>
          </w:tblPr>
          <w:tblGrid>
            <w:gridCol w:w="1838"/>
            <w:gridCol w:w="1134"/>
            <w:gridCol w:w="1418"/>
          </w:tblGrid>
          <w:tr w:rsidR="00CE3D76" w:rsidRPr="00C02DFA" w14:paraId="305B03B2" w14:textId="77777777" w:rsidTr="00CA6345">
            <w:trPr>
              <w:trHeight w:val="340"/>
              <w:tblHeader/>
            </w:trPr>
            <w:tc>
              <w:tcPr>
                <w:tcW w:w="2093" w:type="pct"/>
                <w:tcBorders>
                  <w:top w:val="single" w:sz="4"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8B8317D" w14:textId="77777777" w:rsidR="00CE3D76" w:rsidRPr="00C02DFA" w:rsidRDefault="00CE3D76" w:rsidP="00CE3D76">
                <w:pPr>
                  <w:spacing w:after="0" w:line="240" w:lineRule="auto"/>
                  <w:jc w:val="center"/>
                  <w:rPr>
                    <w:rFonts w:ascii="Times New Roman" w:eastAsia="Times New Roman" w:hAnsi="Times New Roman"/>
                    <w:b/>
                    <w:color w:val="000000"/>
                    <w:sz w:val="14"/>
                    <w:szCs w:val="14"/>
                    <w:lang w:eastAsia="es-CO"/>
                  </w:rPr>
                </w:pPr>
                <w:r w:rsidRPr="00C02DFA">
                  <w:rPr>
                    <w:rFonts w:ascii="Times New Roman" w:eastAsia="Times New Roman" w:hAnsi="Times New Roman"/>
                    <w:b/>
                    <w:color w:val="000000"/>
                    <w:sz w:val="14"/>
                    <w:szCs w:val="14"/>
                    <w:lang w:eastAsia="es-CO"/>
                  </w:rPr>
                  <w:t>Proyecto</w:t>
                </w:r>
              </w:p>
            </w:tc>
            <w:tc>
              <w:tcPr>
                <w:tcW w:w="1292" w:type="pct"/>
                <w:tcBorders>
                  <w:top w:val="single" w:sz="4"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D4F70EF" w14:textId="77777777" w:rsidR="00CE3D76" w:rsidRPr="00C02DFA" w:rsidRDefault="00CE3D76" w:rsidP="00CE3D76">
                <w:pPr>
                  <w:spacing w:after="0" w:line="240" w:lineRule="auto"/>
                  <w:jc w:val="center"/>
                  <w:rPr>
                    <w:rFonts w:ascii="Times New Roman" w:eastAsia="Times New Roman" w:hAnsi="Times New Roman"/>
                    <w:b/>
                    <w:color w:val="000000"/>
                    <w:sz w:val="14"/>
                    <w:szCs w:val="14"/>
                    <w:lang w:eastAsia="es-CO"/>
                  </w:rPr>
                </w:pPr>
                <w:r w:rsidRPr="00C02DFA">
                  <w:rPr>
                    <w:rFonts w:ascii="Times New Roman" w:eastAsia="Times New Roman" w:hAnsi="Times New Roman"/>
                    <w:b/>
                    <w:color w:val="000000"/>
                    <w:sz w:val="14"/>
                    <w:szCs w:val="14"/>
                    <w:lang w:eastAsia="es-CO"/>
                  </w:rPr>
                  <w:t>Riesgo</w:t>
                </w:r>
              </w:p>
            </w:tc>
            <w:tc>
              <w:tcPr>
                <w:tcW w:w="1615" w:type="pct"/>
                <w:tcBorders>
                  <w:top w:val="single" w:sz="4"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4BAC6993" w14:textId="77777777" w:rsidR="00CE3D76" w:rsidRPr="00C02DFA" w:rsidRDefault="00CE3D76" w:rsidP="00822E2E">
                <w:pPr>
                  <w:spacing w:after="0" w:line="240" w:lineRule="auto"/>
                  <w:jc w:val="right"/>
                  <w:rPr>
                    <w:rFonts w:ascii="Times New Roman" w:eastAsia="Times New Roman" w:hAnsi="Times New Roman"/>
                    <w:b/>
                    <w:color w:val="000000"/>
                    <w:sz w:val="14"/>
                    <w:szCs w:val="14"/>
                    <w:lang w:eastAsia="es-CO"/>
                  </w:rPr>
                </w:pPr>
                <w:r w:rsidRPr="00C02DFA">
                  <w:rPr>
                    <w:rFonts w:ascii="Times New Roman" w:eastAsia="Times New Roman" w:hAnsi="Times New Roman"/>
                    <w:b/>
                    <w:color w:val="000000"/>
                    <w:sz w:val="14"/>
                    <w:szCs w:val="14"/>
                    <w:lang w:eastAsia="es-CO"/>
                  </w:rPr>
                  <w:t xml:space="preserve"> Valor </w:t>
                </w:r>
              </w:p>
            </w:tc>
          </w:tr>
          <w:tr w:rsidR="00CE3D76" w:rsidRPr="00C02DFA" w14:paraId="0F8ABEC6"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2EA98E98"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Bosa – Granada – Girardot</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39D02946"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Predial</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01CC23EC" w14:textId="107870EF"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54.121.881 </w:t>
                </w:r>
              </w:p>
            </w:tc>
          </w:tr>
          <w:tr w:rsidR="00CE3D76" w:rsidRPr="00C02DFA" w14:paraId="543678B9"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8C56196"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Bosa – Granada – Girardot</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273D960E"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Predial</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00B25368" w14:textId="252344BC"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9.475.217 </w:t>
                </w:r>
              </w:p>
            </w:tc>
          </w:tr>
          <w:tr w:rsidR="00CE3D76" w:rsidRPr="00C02DFA" w14:paraId="7644DC8C"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8C23709"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Bosa – Granada – Girardot</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DC633CD"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Predial</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17BE3005" w14:textId="0814F164"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1.101.537.249 </w:t>
                </w:r>
              </w:p>
            </w:tc>
          </w:tr>
          <w:tr w:rsidR="00CE3D76" w:rsidRPr="00C02DFA" w14:paraId="285954B8"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ACDD18F"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Bosa – Granada – Girardot</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4ED279A"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Predial</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291511D1" w14:textId="397BF97F"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6.088.303 </w:t>
                </w:r>
              </w:p>
            </w:tc>
          </w:tr>
          <w:tr w:rsidR="00CE3D76" w:rsidRPr="00C02DFA" w14:paraId="788F34C9"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0613EFDD"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Bosa – Granada – Girardot</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5E59CAB"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Predial</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14B82C7B" w14:textId="555055D4"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10.602.690 </w:t>
                </w:r>
              </w:p>
            </w:tc>
          </w:tr>
          <w:tr w:rsidR="00CE3D76" w:rsidRPr="00C02DFA" w14:paraId="25AC7E9C"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28E8F583"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Bosa – Granada – Girardot</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0C1F6B0D"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Predial</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2C5A77A3" w14:textId="793D2C11"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17.190.418 </w:t>
                </w:r>
              </w:p>
            </w:tc>
          </w:tr>
          <w:tr w:rsidR="00CE3D76" w:rsidRPr="00C02DFA" w14:paraId="32576B28"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6581EAB4"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Bosa – Granada – Girardot</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415F8E5"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Predial</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19FA4C8D" w14:textId="374865C6"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8.587.115 </w:t>
                </w:r>
              </w:p>
            </w:tc>
          </w:tr>
          <w:tr w:rsidR="00CE3D76" w:rsidRPr="00C02DFA" w14:paraId="35711488"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EB69E45"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Bosa – Granada – Girardot</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EE29483"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Predial</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75681817" w14:textId="169C5D85"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51.806.810 </w:t>
                </w:r>
              </w:p>
            </w:tc>
          </w:tr>
          <w:tr w:rsidR="00CE3D76" w:rsidRPr="00C02DFA" w14:paraId="31CC902A"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E2D67B8"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Bosa – Granada – Girardot</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3EF0CE2B"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Predial</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372216AC" w14:textId="0A247559"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4.637.556 </w:t>
                </w:r>
              </w:p>
            </w:tc>
          </w:tr>
          <w:tr w:rsidR="00CE3D76" w:rsidRPr="00C02DFA" w14:paraId="7335F4B7"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0FC36045"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Bosa – Granada – Girardot</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550F5B5"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Predial</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1DEEF4E7" w14:textId="5C8FF179"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375.836.601 </w:t>
                </w:r>
              </w:p>
            </w:tc>
          </w:tr>
          <w:tr w:rsidR="00CE3D76" w:rsidRPr="00C02DFA" w14:paraId="6EDF0098"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7FA1686"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Bosa – Granada – Girardot</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03F113C"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Predial</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1E84FCB2" w14:textId="72760A4A"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82.996.001 </w:t>
                </w:r>
              </w:p>
            </w:tc>
          </w:tr>
          <w:tr w:rsidR="00CE3D76" w:rsidRPr="00C02DFA" w14:paraId="4BA489A9"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C26AF71"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Bosa – Granada – Girardot</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325755D"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Predial</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7F145F9A" w14:textId="7432A6C7"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24.214.650 </w:t>
                </w:r>
              </w:p>
            </w:tc>
          </w:tr>
          <w:tr w:rsidR="00CE3D76" w:rsidRPr="00C02DFA" w14:paraId="7C78F781"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hideMark/>
              </w:tcPr>
              <w:p w14:paraId="0241F5D6"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Área Metropolitana de Cúcuta y Norte de Santander</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3780B343"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Predial</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5F69E4BC" w14:textId="42F4AC12"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535.906.408 </w:t>
                </w:r>
              </w:p>
            </w:tc>
          </w:tr>
          <w:tr w:rsidR="00CE3D76" w:rsidRPr="00C02DFA" w14:paraId="7F7916B2"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7BC0FB1"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Bosa – Granada – Girardot</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4B2CEA6"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Predial</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2AAE6583" w14:textId="1CBECF9C"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1.423.837.640 </w:t>
                </w:r>
              </w:p>
            </w:tc>
          </w:tr>
          <w:tr w:rsidR="00CE3D76" w:rsidRPr="00C02DFA" w14:paraId="05ADDD7F"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6368AF23"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Bosa – Granada – Girardot</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213B0F3"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Predial</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08782EF3" w14:textId="43F95C54"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1.686.031 </w:t>
                </w:r>
              </w:p>
            </w:tc>
          </w:tr>
          <w:tr w:rsidR="00CE3D76" w:rsidRPr="00C02DFA" w14:paraId="01C1141C"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A1713F8"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Bosa – Granada – Girardot</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62661232"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Predial</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00D4E0CF" w14:textId="113F2147"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8.348.342 </w:t>
                </w:r>
              </w:p>
            </w:tc>
          </w:tr>
          <w:tr w:rsidR="00CE3D76" w:rsidRPr="00C02DFA" w14:paraId="6B7B3348"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672D1E68"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Bosa – Granada – Girardot</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8F475E0"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Predial</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655AE7CB" w14:textId="52A3121B"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1.676.987 </w:t>
                </w:r>
              </w:p>
            </w:tc>
          </w:tr>
          <w:tr w:rsidR="00CE3D76" w:rsidRPr="00C02DFA" w14:paraId="29615019"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06B3781"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Bosa – Granada – Girardot</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C3D54DC"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Predial</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37ED65A6" w14:textId="0041C0FB"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83.194.326 </w:t>
                </w:r>
              </w:p>
            </w:tc>
          </w:tr>
          <w:tr w:rsidR="00CE3D76" w:rsidRPr="00C02DFA" w14:paraId="3148F6B3"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54A8ACE"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Bosa – Granada – Girardot</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67BBAB65"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Predial</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25AB2220" w14:textId="63A83BEF"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8.728.898 </w:t>
                </w:r>
              </w:p>
            </w:tc>
          </w:tr>
          <w:tr w:rsidR="00CE3D76" w:rsidRPr="00C02DFA" w14:paraId="069351C2"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72CF908"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Transversal de las Américas Sector 1</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35A9719"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Predial</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75638933" w14:textId="2B18F35C"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225.500.731 </w:t>
                </w:r>
              </w:p>
            </w:tc>
          </w:tr>
          <w:tr w:rsidR="00CE3D76" w:rsidRPr="00C02DFA" w14:paraId="2556F77E"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CB42610"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Cartagena-Barranquilla y Circunvalar de la Prosperidad</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0625228F"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Predial</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59AB8D42" w14:textId="269DF6CD"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783.260.087 </w:t>
                </w:r>
              </w:p>
            </w:tc>
          </w:tr>
          <w:tr w:rsidR="00CE3D76" w:rsidRPr="00C02DFA" w14:paraId="2FE978B9"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4616070"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Girardot-Honda-Puerto Salgar</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6BD5CFC"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Diferencial de Recaudo</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59A52781" w14:textId="73B22794"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288.294.920.125 </w:t>
                </w:r>
              </w:p>
            </w:tc>
          </w:tr>
          <w:tr w:rsidR="00CE3D76" w:rsidRPr="00C02DFA" w14:paraId="498A416B"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2AC92A86"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lastRenderedPageBreak/>
                  <w:t>Autopistas para la Prosperidad</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02711DF1"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Diferencial de Recaudo</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48965010" w14:textId="093E0C49"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126.226.660.298 </w:t>
                </w:r>
              </w:p>
            </w:tc>
          </w:tr>
          <w:tr w:rsidR="00CE3D76" w:rsidRPr="00C02DFA" w14:paraId="49CFDD2D"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7FC7AEA"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Autopista Conexión Pacifico 1</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0C044312"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Diferencial de Recaudo</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1A8DB7C6" w14:textId="6FC3C290"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68.475.582.279 </w:t>
                </w:r>
              </w:p>
            </w:tc>
          </w:tr>
          <w:tr w:rsidR="00CE3D76" w:rsidRPr="00C02DFA" w14:paraId="3A249642"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664F4AB" w14:textId="7E9CD83E"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Chirajara-Intersección Fundadores / </w:t>
                </w:r>
                <w:r w:rsidR="00965E85" w:rsidRPr="00C02DFA">
                  <w:rPr>
                    <w:rFonts w:ascii="Times New Roman" w:eastAsia="Times New Roman" w:hAnsi="Times New Roman"/>
                    <w:color w:val="000000"/>
                    <w:sz w:val="14"/>
                    <w:szCs w:val="14"/>
                    <w:lang w:eastAsia="es-CO"/>
                  </w:rPr>
                  <w:t>Bogotá</w:t>
                </w:r>
                <w:r w:rsidRPr="00C02DFA">
                  <w:rPr>
                    <w:rFonts w:ascii="Times New Roman" w:eastAsia="Times New Roman" w:hAnsi="Times New Roman"/>
                    <w:color w:val="000000"/>
                    <w:sz w:val="14"/>
                    <w:szCs w:val="14"/>
                    <w:lang w:eastAsia="es-CO"/>
                  </w:rPr>
                  <w:t xml:space="preserve"> Villavicencio</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2A0B1E7C"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Obras en inestabilidades tramos 4, 5 y 6</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079D5723" w14:textId="7BC6A207"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35.845.737 </w:t>
                </w:r>
              </w:p>
            </w:tc>
          </w:tr>
          <w:tr w:rsidR="00CE3D76" w:rsidRPr="00C02DFA" w14:paraId="45A0165A"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28A532D3" w14:textId="0946E95A"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Chirajara-Intersección Fundadores / </w:t>
                </w:r>
                <w:r w:rsidR="003928A3" w:rsidRPr="00C02DFA">
                  <w:rPr>
                    <w:rFonts w:ascii="Times New Roman" w:eastAsia="Times New Roman" w:hAnsi="Times New Roman"/>
                    <w:color w:val="000000"/>
                    <w:sz w:val="14"/>
                    <w:szCs w:val="14"/>
                    <w:lang w:eastAsia="es-CO"/>
                  </w:rPr>
                  <w:t>Bogotá</w:t>
                </w:r>
                <w:r w:rsidRPr="00C02DFA">
                  <w:rPr>
                    <w:rFonts w:ascii="Times New Roman" w:eastAsia="Times New Roman" w:hAnsi="Times New Roman"/>
                    <w:color w:val="000000"/>
                    <w:sz w:val="14"/>
                    <w:szCs w:val="14"/>
                    <w:lang w:eastAsia="es-CO"/>
                  </w:rPr>
                  <w:t xml:space="preserve"> Villavicencio</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649BA21D"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Obras en inestabilidades tramos 4, 5 y 6</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41A72E18" w14:textId="7DF6DBF3"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312.205.146 </w:t>
                </w:r>
              </w:p>
            </w:tc>
          </w:tr>
          <w:tr w:rsidR="00CE3D76" w:rsidRPr="00C02DFA" w14:paraId="5F1A85C7"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2986470D" w14:textId="5342E9CE"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Chirajara-Intersección Fundadores / </w:t>
                </w:r>
                <w:r w:rsidR="003928A3" w:rsidRPr="00C02DFA">
                  <w:rPr>
                    <w:rFonts w:ascii="Times New Roman" w:eastAsia="Times New Roman" w:hAnsi="Times New Roman"/>
                    <w:color w:val="000000"/>
                    <w:sz w:val="14"/>
                    <w:szCs w:val="14"/>
                    <w:lang w:eastAsia="es-CO"/>
                  </w:rPr>
                  <w:t>Bogotá</w:t>
                </w:r>
                <w:r w:rsidRPr="00C02DFA">
                  <w:rPr>
                    <w:rFonts w:ascii="Times New Roman" w:eastAsia="Times New Roman" w:hAnsi="Times New Roman"/>
                    <w:color w:val="000000"/>
                    <w:sz w:val="14"/>
                    <w:szCs w:val="14"/>
                    <w:lang w:eastAsia="es-CO"/>
                  </w:rPr>
                  <w:t xml:space="preserve"> Villavicencio</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F6074B9"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Obras en inestabilidades tramos 4, 5 y 6</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526A9D1F" w14:textId="75917D87"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19.488.121 </w:t>
                </w:r>
              </w:p>
            </w:tc>
          </w:tr>
          <w:tr w:rsidR="00CE3D76" w:rsidRPr="00C02DFA" w14:paraId="2485CD7D"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78B0321" w14:textId="17F1646E"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Chirajara-Intersección Fundadores / </w:t>
                </w:r>
                <w:r w:rsidR="003928A3" w:rsidRPr="00C02DFA">
                  <w:rPr>
                    <w:rFonts w:ascii="Times New Roman" w:eastAsia="Times New Roman" w:hAnsi="Times New Roman"/>
                    <w:color w:val="000000"/>
                    <w:sz w:val="14"/>
                    <w:szCs w:val="14"/>
                    <w:lang w:eastAsia="es-CO"/>
                  </w:rPr>
                  <w:t>Bogotá</w:t>
                </w:r>
                <w:r w:rsidRPr="00C02DFA">
                  <w:rPr>
                    <w:rFonts w:ascii="Times New Roman" w:eastAsia="Times New Roman" w:hAnsi="Times New Roman"/>
                    <w:color w:val="000000"/>
                    <w:sz w:val="14"/>
                    <w:szCs w:val="14"/>
                    <w:lang w:eastAsia="es-CO"/>
                  </w:rPr>
                  <w:t xml:space="preserve"> Villavicencio</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B03C8AD"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Obras en inestabilidades tramos 4, 5 y 6</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6B367DD2" w14:textId="549671E6"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232.790.044 </w:t>
                </w:r>
              </w:p>
            </w:tc>
          </w:tr>
          <w:tr w:rsidR="00CE3D76" w:rsidRPr="00C02DFA" w14:paraId="245A790C"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3C28F2FA" w14:textId="69AB4A3F"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Chirajara-Intersección Fundadores / </w:t>
                </w:r>
                <w:r w:rsidR="003928A3" w:rsidRPr="00C02DFA">
                  <w:rPr>
                    <w:rFonts w:ascii="Times New Roman" w:eastAsia="Times New Roman" w:hAnsi="Times New Roman"/>
                    <w:color w:val="000000"/>
                    <w:sz w:val="14"/>
                    <w:szCs w:val="14"/>
                    <w:lang w:eastAsia="es-CO"/>
                  </w:rPr>
                  <w:t>Bogotá</w:t>
                </w:r>
                <w:r w:rsidRPr="00C02DFA">
                  <w:rPr>
                    <w:rFonts w:ascii="Times New Roman" w:eastAsia="Times New Roman" w:hAnsi="Times New Roman"/>
                    <w:color w:val="000000"/>
                    <w:sz w:val="14"/>
                    <w:szCs w:val="14"/>
                    <w:lang w:eastAsia="es-CO"/>
                  </w:rPr>
                  <w:t xml:space="preserve"> Villavicencio</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09FE2E00"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Obras en inestabilidades tramos 4, 5 y 6</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77376CEB" w14:textId="2D7EBFBA"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181.458.861 </w:t>
                </w:r>
              </w:p>
            </w:tc>
          </w:tr>
          <w:tr w:rsidR="00CE3D76" w:rsidRPr="00C02DFA" w14:paraId="1A6A38A6"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3DE276A2" w14:textId="64D287F0"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Chirajara-Intersección Fundadores / </w:t>
                </w:r>
                <w:r w:rsidR="003928A3" w:rsidRPr="00C02DFA">
                  <w:rPr>
                    <w:rFonts w:ascii="Times New Roman" w:eastAsia="Times New Roman" w:hAnsi="Times New Roman"/>
                    <w:color w:val="000000"/>
                    <w:sz w:val="14"/>
                    <w:szCs w:val="14"/>
                    <w:lang w:eastAsia="es-CO"/>
                  </w:rPr>
                  <w:t>Bogotá</w:t>
                </w:r>
                <w:r w:rsidRPr="00C02DFA">
                  <w:rPr>
                    <w:rFonts w:ascii="Times New Roman" w:eastAsia="Times New Roman" w:hAnsi="Times New Roman"/>
                    <w:color w:val="000000"/>
                    <w:sz w:val="14"/>
                    <w:szCs w:val="14"/>
                    <w:lang w:eastAsia="es-CO"/>
                  </w:rPr>
                  <w:t xml:space="preserve"> Villavicencio</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33EE0450"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Obras en inestabilidades tramos 4, 5 y 6</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4D283446" w14:textId="1971D5C0"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260.207.030 </w:t>
                </w:r>
              </w:p>
            </w:tc>
          </w:tr>
          <w:tr w:rsidR="00CE3D76" w:rsidRPr="00C02DFA" w14:paraId="0A0FC2EF"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80BFC43" w14:textId="111E7790"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Chirajara-Intersección Fundadores / </w:t>
                </w:r>
                <w:r w:rsidR="003928A3" w:rsidRPr="00C02DFA">
                  <w:rPr>
                    <w:rFonts w:ascii="Times New Roman" w:eastAsia="Times New Roman" w:hAnsi="Times New Roman"/>
                    <w:color w:val="000000"/>
                    <w:sz w:val="14"/>
                    <w:szCs w:val="14"/>
                    <w:lang w:eastAsia="es-CO"/>
                  </w:rPr>
                  <w:t>Bogotá</w:t>
                </w:r>
                <w:r w:rsidRPr="00C02DFA">
                  <w:rPr>
                    <w:rFonts w:ascii="Times New Roman" w:eastAsia="Times New Roman" w:hAnsi="Times New Roman"/>
                    <w:color w:val="000000"/>
                    <w:sz w:val="14"/>
                    <w:szCs w:val="14"/>
                    <w:lang w:eastAsia="es-CO"/>
                  </w:rPr>
                  <w:t xml:space="preserve"> Villavicencio</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ED98CDF"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Obras en inestabilidades tramos 4, 5 y 6</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7AFE54FF" w14:textId="385A2379"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626.127.043 </w:t>
                </w:r>
              </w:p>
            </w:tc>
          </w:tr>
          <w:tr w:rsidR="00CE3D76" w:rsidRPr="00C02DFA" w14:paraId="68DF855A"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9B60DE3"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Cartagena- Barranquilla y Circunvalar de la Prosperidad</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83F86BE"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Riesgo Tarifario</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38211997" w14:textId="0C0AF860"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15.010.581.000 </w:t>
                </w:r>
              </w:p>
            </w:tc>
          </w:tr>
          <w:tr w:rsidR="00CE3D76" w:rsidRPr="00C02DFA" w14:paraId="1E352440"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620BC32E"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Autopistas para la Prosperidad</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84BB4B8"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Diferencial Tarifario</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0B60DE19" w14:textId="62C97738"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248.895.900 </w:t>
                </w:r>
              </w:p>
            </w:tc>
          </w:tr>
          <w:tr w:rsidR="00CE3D76" w:rsidRPr="00C02DFA" w14:paraId="71F501E0"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7BC6371"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Autopista al Mar 2</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13FEF19"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Riesgo Geológico</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5CC44E19" w14:textId="6ABDE7D7"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12.322.037.703 </w:t>
                </w:r>
              </w:p>
            </w:tc>
          </w:tr>
          <w:tr w:rsidR="00CE3D76" w:rsidRPr="00C02DFA" w14:paraId="242793C5"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F55E4AF"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Conexión Pacífico 2</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D330694"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Comercial</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29906962" w14:textId="526C46DB"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193.654.889.495 </w:t>
                </w:r>
              </w:p>
            </w:tc>
          </w:tr>
          <w:tr w:rsidR="00CE3D76" w:rsidRPr="00C02DFA" w14:paraId="02DDB098"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D5CA4C4"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Cartagena- Barranquilla y Circunvalar de la Prosperidad</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0629AF86"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comercial</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083F63A0" w14:textId="7CC64E44"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89.798.863.897 </w:t>
                </w:r>
              </w:p>
            </w:tc>
          </w:tr>
          <w:tr w:rsidR="00CE3D76" w:rsidRPr="00C02DFA" w14:paraId="1CBAB9D7"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0DCC64EE" w14:textId="4D603F04"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Chirajara-Intersección Fundadores / </w:t>
                </w:r>
                <w:r w:rsidR="005E5CA2" w:rsidRPr="00C02DFA">
                  <w:rPr>
                    <w:rFonts w:ascii="Times New Roman" w:eastAsia="Times New Roman" w:hAnsi="Times New Roman"/>
                    <w:color w:val="000000"/>
                    <w:sz w:val="14"/>
                    <w:szCs w:val="14"/>
                    <w:lang w:eastAsia="es-CO"/>
                  </w:rPr>
                  <w:t>Bogotá</w:t>
                </w:r>
                <w:r w:rsidRPr="00C02DFA">
                  <w:rPr>
                    <w:rFonts w:ascii="Times New Roman" w:eastAsia="Times New Roman" w:hAnsi="Times New Roman"/>
                    <w:color w:val="000000"/>
                    <w:sz w:val="14"/>
                    <w:szCs w:val="14"/>
                    <w:lang w:eastAsia="es-CO"/>
                  </w:rPr>
                  <w:t xml:space="preserve"> Villavicencio</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548AA4B"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Obras en inestabilidades tramos 4, 5 y 6</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7FB9FA0D" w14:textId="0F9B863F"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222.220.002 </w:t>
                </w:r>
              </w:p>
            </w:tc>
          </w:tr>
          <w:tr w:rsidR="00CE3D76" w:rsidRPr="00C02DFA" w14:paraId="347A3CC7"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2781CFC" w14:textId="0F233354"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Chirajara-Intersección Fundadores / </w:t>
                </w:r>
                <w:r w:rsidR="005E5CA2" w:rsidRPr="00C02DFA">
                  <w:rPr>
                    <w:rFonts w:ascii="Times New Roman" w:eastAsia="Times New Roman" w:hAnsi="Times New Roman"/>
                    <w:color w:val="000000"/>
                    <w:sz w:val="14"/>
                    <w:szCs w:val="14"/>
                    <w:lang w:eastAsia="es-CO"/>
                  </w:rPr>
                  <w:t>Bogotá</w:t>
                </w:r>
                <w:r w:rsidRPr="00C02DFA">
                  <w:rPr>
                    <w:rFonts w:ascii="Times New Roman" w:eastAsia="Times New Roman" w:hAnsi="Times New Roman"/>
                    <w:color w:val="000000"/>
                    <w:sz w:val="14"/>
                    <w:szCs w:val="14"/>
                    <w:lang w:eastAsia="es-CO"/>
                  </w:rPr>
                  <w:t xml:space="preserve"> Villavicencio</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4FCCC03"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Obras en inestabilidades tramos 4, 5 y 6</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412B481C" w14:textId="78249FE1"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242.291.101 </w:t>
                </w:r>
              </w:p>
            </w:tc>
          </w:tr>
          <w:tr w:rsidR="00CE3D76" w:rsidRPr="00C02DFA" w14:paraId="74686851"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07A79A1" w14:textId="22AFB4F4"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Chirajara-Intersección Fundadores / </w:t>
                </w:r>
                <w:r w:rsidR="005E5CA2" w:rsidRPr="00C02DFA">
                  <w:rPr>
                    <w:rFonts w:ascii="Times New Roman" w:eastAsia="Times New Roman" w:hAnsi="Times New Roman"/>
                    <w:color w:val="000000"/>
                    <w:sz w:val="14"/>
                    <w:szCs w:val="14"/>
                    <w:lang w:eastAsia="es-CO"/>
                  </w:rPr>
                  <w:t>Bogotá</w:t>
                </w:r>
                <w:r w:rsidRPr="00C02DFA">
                  <w:rPr>
                    <w:rFonts w:ascii="Times New Roman" w:eastAsia="Times New Roman" w:hAnsi="Times New Roman"/>
                    <w:color w:val="000000"/>
                    <w:sz w:val="14"/>
                    <w:szCs w:val="14"/>
                    <w:lang w:eastAsia="es-CO"/>
                  </w:rPr>
                  <w:t xml:space="preserve"> Villavicencio</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0598FF71"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Obras en inestabilidades tramos 4, 5 y 6</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598C3F62" w14:textId="6DBE6651"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620.268.326 </w:t>
                </w:r>
              </w:p>
            </w:tc>
          </w:tr>
          <w:tr w:rsidR="00CE3D76" w:rsidRPr="00C02DFA" w14:paraId="0D8E728D"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6476E3D5"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Siberia -La Punta-El Vino / Bogotá Villeta</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00F5EAF"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Predial</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28B04687" w14:textId="1F33D3F9"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52.823.323 </w:t>
                </w:r>
              </w:p>
            </w:tc>
          </w:tr>
          <w:tr w:rsidR="00CE3D76" w:rsidRPr="00C02DFA" w14:paraId="609EB0C3"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2CCD45F8"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Autopista Conexión Pacifico 1</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A01FE27"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No instalación de peajes</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19800DD0" w14:textId="5F337E4E"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1.843.890.000 </w:t>
                </w:r>
              </w:p>
            </w:tc>
          </w:tr>
          <w:tr w:rsidR="00CE3D76" w:rsidRPr="00C02DFA" w14:paraId="529014A1"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2F01EA1"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Santa Marta Paraguachón</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0D3CEA6"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Cambio Tarifario</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28AB66B6" w14:textId="2E267A37"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717.777.519 </w:t>
                </w:r>
              </w:p>
            </w:tc>
          </w:tr>
          <w:tr w:rsidR="00CE3D76" w:rsidRPr="00C02DFA" w14:paraId="7B4DEBDD"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C744D62" w14:textId="20CD2E96"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Chirajara-Intersección Fundadores / </w:t>
                </w:r>
                <w:r w:rsidR="005E5CA2" w:rsidRPr="00C02DFA">
                  <w:rPr>
                    <w:rFonts w:ascii="Times New Roman" w:eastAsia="Times New Roman" w:hAnsi="Times New Roman"/>
                    <w:color w:val="000000"/>
                    <w:sz w:val="14"/>
                    <w:szCs w:val="14"/>
                    <w:lang w:eastAsia="es-CO"/>
                  </w:rPr>
                  <w:t>Bogotá</w:t>
                </w:r>
                <w:r w:rsidRPr="00C02DFA">
                  <w:rPr>
                    <w:rFonts w:ascii="Times New Roman" w:eastAsia="Times New Roman" w:hAnsi="Times New Roman"/>
                    <w:color w:val="000000"/>
                    <w:sz w:val="14"/>
                    <w:szCs w:val="14"/>
                    <w:lang w:eastAsia="es-CO"/>
                  </w:rPr>
                  <w:t xml:space="preserve"> Villavicencio</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4C9B432"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Obras en inestabilidades tramos 4, 5 y 6</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1912A4EE" w14:textId="29EF6C28"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376.816.971 </w:t>
                </w:r>
              </w:p>
            </w:tc>
          </w:tr>
          <w:tr w:rsidR="00CE3D76" w:rsidRPr="00C02DFA" w14:paraId="32B38896"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75E8055" w14:textId="3ED5E5D5"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Chirajara-Intersección Fundadores / </w:t>
                </w:r>
                <w:r w:rsidR="005E5CA2" w:rsidRPr="00C02DFA">
                  <w:rPr>
                    <w:rFonts w:ascii="Times New Roman" w:eastAsia="Times New Roman" w:hAnsi="Times New Roman"/>
                    <w:color w:val="000000"/>
                    <w:sz w:val="14"/>
                    <w:szCs w:val="14"/>
                    <w:lang w:eastAsia="es-CO"/>
                  </w:rPr>
                  <w:t>Bogotá</w:t>
                </w:r>
                <w:r w:rsidRPr="00C02DFA">
                  <w:rPr>
                    <w:rFonts w:ascii="Times New Roman" w:eastAsia="Times New Roman" w:hAnsi="Times New Roman"/>
                    <w:color w:val="000000"/>
                    <w:sz w:val="14"/>
                    <w:szCs w:val="14"/>
                    <w:lang w:eastAsia="es-CO"/>
                  </w:rPr>
                  <w:t xml:space="preserve"> Villavicencio</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F6E313D"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Obras en inestabilidades tramos 4, 5 y 6</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4163F4CF" w14:textId="2BFBC01F"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218.934.941 </w:t>
                </w:r>
              </w:p>
            </w:tc>
          </w:tr>
          <w:tr w:rsidR="00CE3D76" w:rsidRPr="00C02DFA" w14:paraId="7F59912B"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2C8B9EBC" w14:textId="3C088376"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Bucaramanga Barrancabermeja </w:t>
                </w:r>
                <w:r w:rsidR="005E5CA2" w:rsidRPr="00C02DFA">
                  <w:rPr>
                    <w:rFonts w:ascii="Times New Roman" w:eastAsia="Times New Roman" w:hAnsi="Times New Roman"/>
                    <w:color w:val="000000"/>
                    <w:sz w:val="14"/>
                    <w:szCs w:val="14"/>
                    <w:lang w:eastAsia="es-CO"/>
                  </w:rPr>
                  <w:t>Yondó</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03556DA3"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No instalación de peajes</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7F5BC9CC" w14:textId="7B905A4C"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1.938.073.436 </w:t>
                </w:r>
              </w:p>
            </w:tc>
          </w:tr>
          <w:tr w:rsidR="00CE3D76" w:rsidRPr="00C02DFA" w14:paraId="799FA2E4"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2A230B58"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Rumichaca Pasto Chachagui</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D76F807"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Predial</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7815DBD6" w14:textId="069C8BB9"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2.402.213.386 </w:t>
                </w:r>
              </w:p>
            </w:tc>
          </w:tr>
          <w:tr w:rsidR="00CE3D76" w:rsidRPr="00C02DFA" w14:paraId="0A938BD4"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C38F24C" w14:textId="2733E4A6"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Chirajara-Intersección Fundadores / </w:t>
                </w:r>
                <w:r w:rsidR="005E5CA2" w:rsidRPr="00C02DFA">
                  <w:rPr>
                    <w:rFonts w:ascii="Times New Roman" w:eastAsia="Times New Roman" w:hAnsi="Times New Roman"/>
                    <w:color w:val="000000"/>
                    <w:sz w:val="14"/>
                    <w:szCs w:val="14"/>
                    <w:lang w:eastAsia="es-CO"/>
                  </w:rPr>
                  <w:t>Bogotá</w:t>
                </w:r>
                <w:r w:rsidRPr="00C02DFA">
                  <w:rPr>
                    <w:rFonts w:ascii="Times New Roman" w:eastAsia="Times New Roman" w:hAnsi="Times New Roman"/>
                    <w:color w:val="000000"/>
                    <w:sz w:val="14"/>
                    <w:szCs w:val="14"/>
                    <w:lang w:eastAsia="es-CO"/>
                  </w:rPr>
                  <w:t xml:space="preserve"> Villavicencio</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2FB435FC"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Obras en inestabilidades tramos 4, 5 y 6</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2F87DF70" w14:textId="0995B3CF"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713.687.148 </w:t>
                </w:r>
              </w:p>
            </w:tc>
          </w:tr>
          <w:tr w:rsidR="00CE3D76" w:rsidRPr="00C02DFA" w14:paraId="65573358"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9680A13" w14:textId="43C87ADF"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Chirajara-Intersección Fundadores / </w:t>
                </w:r>
                <w:r w:rsidR="005E5CA2" w:rsidRPr="00C02DFA">
                  <w:rPr>
                    <w:rFonts w:ascii="Times New Roman" w:eastAsia="Times New Roman" w:hAnsi="Times New Roman"/>
                    <w:color w:val="000000"/>
                    <w:sz w:val="14"/>
                    <w:szCs w:val="14"/>
                    <w:lang w:eastAsia="es-CO"/>
                  </w:rPr>
                  <w:t>Bogotá</w:t>
                </w:r>
                <w:r w:rsidRPr="00C02DFA">
                  <w:rPr>
                    <w:rFonts w:ascii="Times New Roman" w:eastAsia="Times New Roman" w:hAnsi="Times New Roman"/>
                    <w:color w:val="000000"/>
                    <w:sz w:val="14"/>
                    <w:szCs w:val="14"/>
                    <w:lang w:eastAsia="es-CO"/>
                  </w:rPr>
                  <w:t xml:space="preserve"> Villavicencio</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07574E60"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Obras en inestabilidades tramos 4, 5 y 6</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3B6679B0" w14:textId="3CDEC92D"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229.774.524 </w:t>
                </w:r>
              </w:p>
            </w:tc>
          </w:tr>
          <w:tr w:rsidR="00CE3D76" w:rsidRPr="00C02DFA" w14:paraId="6906E1AB"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D59B213"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Rumichaca Pasto Chachagui</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5116D73"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Riesgo Tarifario</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18A0B9DC" w14:textId="2B1C7C02"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472.692.534 </w:t>
                </w:r>
              </w:p>
            </w:tc>
          </w:tr>
          <w:tr w:rsidR="00CE3D76" w:rsidRPr="00C02DFA" w14:paraId="63A8D93E"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80C5887"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Autopista Conexión Pacifico 1</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CAD131B"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Obras Adicionales solicitadas por Autoridad Ambiental</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36C2A10A" w14:textId="687A99B9"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3.960.403.844 </w:t>
                </w:r>
              </w:p>
            </w:tc>
          </w:tr>
          <w:tr w:rsidR="00CE3D76" w:rsidRPr="00C02DFA" w14:paraId="44553723"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FA30CD8"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Autopista Concesión Pacifico 2</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0D3094D6"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Riesgo Tarifario</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1BCA8B78" w14:textId="345C64DC"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8.376.093.800 </w:t>
                </w:r>
              </w:p>
            </w:tc>
          </w:tr>
          <w:tr w:rsidR="00CE3D76" w:rsidRPr="00C02DFA" w14:paraId="4CADF50B"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4310A91"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Perimetral De Oriente Cundinamarca</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386F0FC7"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Diferencial de Recaudo - Comercial</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17BD1A7D" w14:textId="5E0A38C3"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131.076.984.864 </w:t>
                </w:r>
              </w:p>
            </w:tc>
          </w:tr>
          <w:tr w:rsidR="00CE3D76" w:rsidRPr="00C02DFA" w14:paraId="7CA68B48"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89E7359"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Conexión Pacífico 2</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01BBFAB2"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Diferencial de Recaudo - Comercial</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238D3E94" w14:textId="4F9FDB29"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51.920.306.716 </w:t>
                </w:r>
              </w:p>
            </w:tc>
          </w:tr>
          <w:tr w:rsidR="00CE3D76" w:rsidRPr="00C02DFA" w14:paraId="73BE34D5"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C3A3FFF"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Autopistas Para La Prosperidad</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01B5D06A"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Diferencial de Recaudo - Comercial</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37091D84" w14:textId="77EE9EA7"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61.880.942.350 </w:t>
                </w:r>
              </w:p>
            </w:tc>
          </w:tr>
          <w:tr w:rsidR="00CE3D76" w:rsidRPr="00C02DFA" w14:paraId="43A83F04"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62FDC517"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Autopista Conexión Pacifico 1</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3C7EEAFB"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Diferencial de Recaudo - Comercial</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6C09810A" w14:textId="0E89E0EF"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296.727.523.210 </w:t>
                </w:r>
              </w:p>
            </w:tc>
          </w:tr>
          <w:tr w:rsidR="00CE3D76" w:rsidRPr="00C02DFA" w14:paraId="651FAEC0"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288642F6"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Autopista Conexión Norte</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1C3AE49"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Diferencial de Recaudo - Comercial</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0B01F4F9" w14:textId="767CC84F"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104.317.514.820 </w:t>
                </w:r>
              </w:p>
            </w:tc>
          </w:tr>
          <w:tr w:rsidR="00CE3D76" w:rsidRPr="00C02DFA" w14:paraId="244A2066"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0B7FE1BB"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Rumichaca Pasto Chachagui</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4037E94"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Traslado de Redes</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551BBDB8" w14:textId="3B1FBDB1"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2.229.285.615 </w:t>
                </w:r>
              </w:p>
            </w:tc>
          </w:tr>
          <w:tr w:rsidR="00CE3D76" w:rsidRPr="00C02DFA" w14:paraId="38C1B956"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AC9B9C1"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Rumichaca Pasto Chachagui</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37E7ECA4"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Predial</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576E2D03" w14:textId="11F2BDF4"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4.732.574.029 </w:t>
                </w:r>
              </w:p>
            </w:tc>
          </w:tr>
          <w:tr w:rsidR="00CE3D76" w:rsidRPr="00C02DFA" w14:paraId="19A96C93"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AEFEBA2" w14:textId="1C0C1E29"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Unión Vial Rio Pamplonita S</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612FAC6C"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Predial</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7CF68DC3" w14:textId="41BCE852"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630.400.082 </w:t>
                </w:r>
              </w:p>
            </w:tc>
          </w:tr>
          <w:tr w:rsidR="00CE3D76" w:rsidRPr="00C02DFA" w14:paraId="32280D39"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3B70B43"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Chirajara-Intersección Fundadores / Bogotá Villavicencio</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037C43B"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Obras en inestabilidades tramos 4, 5 y 6</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267002CC" w14:textId="20FDC009"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246.420.282 </w:t>
                </w:r>
              </w:p>
            </w:tc>
          </w:tr>
          <w:tr w:rsidR="00CE3D76" w:rsidRPr="00C02DFA" w14:paraId="2EEA6F51"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59017A0"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Chirajara-Intersección Fundadores / Bogotá Villavicencio</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3E73FBF"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Obras en inestabilidades tramos 4, 5 y 6</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19856E70" w14:textId="377BAFCD"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226.143.935 </w:t>
                </w:r>
              </w:p>
            </w:tc>
          </w:tr>
          <w:tr w:rsidR="00CE3D76" w:rsidRPr="00C02DFA" w14:paraId="100D50D7"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2BD4BD7"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Chirajara-Intersección Fundadores / Bogotá Villavicencio</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63137A01"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Obras en inestabilidades tramos 4, 5 y 6</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7D3C5EC9" w14:textId="43E8115E"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284.267.513 </w:t>
                </w:r>
              </w:p>
            </w:tc>
          </w:tr>
          <w:tr w:rsidR="00CE3D76" w:rsidRPr="00C02DFA" w14:paraId="379EC7D5"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69E2F97B"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Chirajara-Intersección Fundadores / Bogotá Villavicencio</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389D86C"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Obras en inestabilidades tramos 4, 5 y 6</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1A4080ED" w14:textId="5A0389AF"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737.570.250 </w:t>
                </w:r>
              </w:p>
            </w:tc>
          </w:tr>
          <w:tr w:rsidR="00CE3D76" w:rsidRPr="00C02DFA" w14:paraId="06FAE1DC"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61651802"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Conexión Pacífico 2</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E56F890"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Riesgo Tarifario</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698AA578" w14:textId="34AFDECF"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8.430.381.000 </w:t>
                </w:r>
              </w:p>
            </w:tc>
          </w:tr>
          <w:tr w:rsidR="00CE3D76" w:rsidRPr="00C02DFA" w14:paraId="203AE160"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61B772A9"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Conexión Pacífico 2</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5B6B102"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Riesgo Tarifario</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5CB17DFB" w14:textId="2A926289"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8.826.708.100 </w:t>
                </w:r>
              </w:p>
            </w:tc>
          </w:tr>
          <w:tr w:rsidR="00CE3D76" w:rsidRPr="00C02DFA" w14:paraId="2B96C23D"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0DE4D587"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Honda- Puerto Salgar - Girardot</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EE0519E"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Diferencial de Recaudo - Comercial</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1EA7EF5F" w14:textId="031A16AF"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188.888.751.552 </w:t>
                </w:r>
              </w:p>
            </w:tc>
          </w:tr>
          <w:tr w:rsidR="00CE3D76" w:rsidRPr="00C02DFA" w14:paraId="32B4E0B6"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1A676E0"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Autopistas Para La Prosperidad</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A2B4B9C"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Diferencial de Recaudo - Comercial</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6A009083" w14:textId="1679511A"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28.280.957.862 </w:t>
                </w:r>
              </w:p>
            </w:tc>
          </w:tr>
          <w:tr w:rsidR="00CE3D76" w:rsidRPr="00C02DFA" w14:paraId="12F6924D"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601D67E7"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Autopista Conexión Pacifico 1</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6327F530"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Redes</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0EF61E56" w14:textId="6C1BC453"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175.124.809 </w:t>
                </w:r>
              </w:p>
            </w:tc>
          </w:tr>
          <w:tr w:rsidR="00CE3D76" w:rsidRPr="00C02DFA" w14:paraId="6FB0732F"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8574B46"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Autopista Conexión Norte</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67EF71DA"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Diferencial de Recaudo - Comercial</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67EFA597" w14:textId="2A911B74"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1.112.622.692 </w:t>
                </w:r>
              </w:p>
            </w:tc>
          </w:tr>
          <w:tr w:rsidR="00CE3D76" w:rsidRPr="00C02DFA" w14:paraId="3D51CDB3"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F3FD067"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Santa Marta Paraguachón</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2E2AE2D9" w14:textId="53CC15AF"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Insuficiencia de recursos </w:t>
                </w:r>
                <w:r w:rsidR="00760715" w:rsidRPr="00C02DFA">
                  <w:rPr>
                    <w:rFonts w:ascii="Times New Roman" w:eastAsia="Times New Roman" w:hAnsi="Times New Roman"/>
                    <w:color w:val="000000"/>
                    <w:sz w:val="14"/>
                    <w:szCs w:val="14"/>
                    <w:lang w:eastAsia="es-CO"/>
                  </w:rPr>
                  <w:t>Interventoría</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3E4D7A18" w14:textId="06A07205"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1.319.742.987 </w:t>
                </w:r>
              </w:p>
            </w:tc>
          </w:tr>
          <w:tr w:rsidR="00CE3D76" w:rsidRPr="00C02DFA" w14:paraId="0031F377"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064D23D9"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Autopista Conexión Norte</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864EAD0"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Obras Adicionales solicitadas por Autoridad Ambiental</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32910322" w14:textId="4A798379"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3.307.122.411 </w:t>
                </w:r>
              </w:p>
            </w:tc>
          </w:tr>
          <w:tr w:rsidR="00CE3D76" w:rsidRPr="00C02DFA" w14:paraId="4173BCEA"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755D3FB"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Chirajara-Intersección Fundadores / Bogotá Villavicencio</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2B1FD0E"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Obras en inestabilidades tramos 4, 5 y 6</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1145E520" w14:textId="097737A3"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213.447.934 </w:t>
                </w:r>
              </w:p>
            </w:tc>
          </w:tr>
          <w:tr w:rsidR="00CE3D76" w:rsidRPr="00C02DFA" w14:paraId="09516607"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0233101"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Autopista Conexión Pacifico 1</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311BBE98"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Predial</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106B8EC9" w14:textId="7B221867"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2.208.646.686 </w:t>
                </w:r>
              </w:p>
            </w:tc>
          </w:tr>
          <w:tr w:rsidR="00CE3D76" w:rsidRPr="00C02DFA" w14:paraId="5979F447"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2C3C614"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Autopista Conexión Pacifico 1</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B92B532"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No instalación de peajes</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463E2764" w14:textId="52EF9F60"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2.064.220.000 </w:t>
                </w:r>
              </w:p>
            </w:tc>
          </w:tr>
          <w:tr w:rsidR="00CE3D76" w:rsidRPr="00C02DFA" w14:paraId="1236DC57"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369D368A"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Autopista Conexión Pacifico 1</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8421171"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Traslado de Redes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29A3F691" w14:textId="5C9CF69F"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55.457.635 </w:t>
                </w:r>
              </w:p>
            </w:tc>
          </w:tr>
          <w:tr w:rsidR="00CE3D76" w:rsidRPr="00C02DFA" w14:paraId="634A633D"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DAFA9E7"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Autopista Conexión Pacifico 1</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3715FAE1" w14:textId="69EA267E"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Obras Adicionales</w:t>
                </w:r>
                <w:r w:rsidR="001C5F76" w:rsidRPr="00C02DFA">
                  <w:rPr>
                    <w:rFonts w:ascii="Times New Roman" w:eastAsia="Times New Roman" w:hAnsi="Times New Roman"/>
                    <w:color w:val="000000"/>
                    <w:sz w:val="14"/>
                    <w:szCs w:val="14"/>
                    <w:lang w:eastAsia="es-CO"/>
                  </w:rPr>
                  <w:t xml:space="preserve"> </w:t>
                </w:r>
                <w:r w:rsidRPr="00C02DFA">
                  <w:rPr>
                    <w:rFonts w:ascii="Times New Roman" w:eastAsia="Times New Roman" w:hAnsi="Times New Roman"/>
                    <w:color w:val="000000"/>
                    <w:sz w:val="14"/>
                    <w:szCs w:val="14"/>
                    <w:lang w:eastAsia="es-CO"/>
                  </w:rPr>
                  <w:t>solicitadas por</w:t>
                </w:r>
                <w:r w:rsidR="001C5F76" w:rsidRPr="00C02DFA">
                  <w:rPr>
                    <w:rFonts w:ascii="Times New Roman" w:eastAsia="Times New Roman" w:hAnsi="Times New Roman"/>
                    <w:color w:val="000000"/>
                    <w:sz w:val="14"/>
                    <w:szCs w:val="14"/>
                    <w:lang w:eastAsia="es-CO"/>
                  </w:rPr>
                  <w:t xml:space="preserve"> </w:t>
                </w:r>
                <w:r w:rsidRPr="00C02DFA">
                  <w:rPr>
                    <w:rFonts w:ascii="Times New Roman" w:eastAsia="Times New Roman" w:hAnsi="Times New Roman"/>
                    <w:color w:val="000000"/>
                    <w:sz w:val="14"/>
                    <w:szCs w:val="14"/>
                    <w:lang w:eastAsia="es-CO"/>
                  </w:rPr>
                  <w:t>Autoridad Ambiental</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61465C28" w14:textId="30A2BDB4"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1.118.526.208 </w:t>
                </w:r>
              </w:p>
            </w:tc>
          </w:tr>
          <w:tr w:rsidR="00CE3D76" w:rsidRPr="00C02DFA" w14:paraId="5FB2F548"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37CE0CE7"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Autopista Conexión Pacifico 3</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6D1C96A"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Predial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6928DCFE" w14:textId="1D9EBA7D"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28.104.400.599 </w:t>
                </w:r>
              </w:p>
            </w:tc>
          </w:tr>
          <w:tr w:rsidR="00CE3D76" w:rsidRPr="00C02DFA" w14:paraId="04FBA0C0"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6F78B268"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lastRenderedPageBreak/>
                  <w:t>Girardot-Honda-Puerto Salgar</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0461252A"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Redes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1DDB6698" w14:textId="277D7EB3"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404.299.729 </w:t>
                </w:r>
              </w:p>
            </w:tc>
          </w:tr>
          <w:tr w:rsidR="00CE3D76" w:rsidRPr="00C02DFA" w14:paraId="549C9377"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4529CD3" w14:textId="2A0F5780"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Unión Vial Rio Pamplonita </w:t>
                </w:r>
                <w:r w:rsidR="004F2746" w:rsidRPr="00C02DFA">
                  <w:rPr>
                    <w:rFonts w:ascii="Times New Roman" w:eastAsia="Times New Roman" w:hAnsi="Times New Roman"/>
                    <w:color w:val="000000"/>
                    <w:sz w:val="14"/>
                    <w:szCs w:val="14"/>
                    <w:lang w:eastAsia="es-CO"/>
                  </w:rPr>
                  <w:t>SAS</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30571189"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Predial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1748882B" w14:textId="34B5E896"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1.250.985.880 </w:t>
                </w:r>
              </w:p>
            </w:tc>
          </w:tr>
          <w:tr w:rsidR="00CE3D76" w:rsidRPr="00C02DFA" w14:paraId="6BF01178"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5D21EC4"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Santa Marta Paraguachón</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hideMark/>
              </w:tcPr>
              <w:p w14:paraId="38F2F336" w14:textId="0F0ECF70"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Insuficiencia</w:t>
                </w:r>
                <w:r w:rsidR="001C5F76" w:rsidRPr="00C02DFA">
                  <w:rPr>
                    <w:rFonts w:ascii="Times New Roman" w:eastAsia="Times New Roman" w:hAnsi="Times New Roman"/>
                    <w:color w:val="000000"/>
                    <w:sz w:val="14"/>
                    <w:szCs w:val="14"/>
                    <w:lang w:eastAsia="es-CO"/>
                  </w:rPr>
                  <w:t xml:space="preserve"> </w:t>
                </w:r>
                <w:r w:rsidRPr="00C02DFA">
                  <w:rPr>
                    <w:rFonts w:ascii="Times New Roman" w:eastAsia="Times New Roman" w:hAnsi="Times New Roman"/>
                    <w:color w:val="000000"/>
                    <w:sz w:val="14"/>
                    <w:szCs w:val="14"/>
                    <w:lang w:eastAsia="es-CO"/>
                  </w:rPr>
                  <w:t>recursos para el</w:t>
                </w:r>
                <w:r w:rsidR="001C5F76" w:rsidRPr="00C02DFA">
                  <w:rPr>
                    <w:rFonts w:ascii="Times New Roman" w:eastAsia="Times New Roman" w:hAnsi="Times New Roman"/>
                    <w:color w:val="000000"/>
                    <w:sz w:val="14"/>
                    <w:szCs w:val="14"/>
                    <w:lang w:eastAsia="es-CO"/>
                  </w:rPr>
                  <w:t xml:space="preserve"> </w:t>
                </w:r>
                <w:r w:rsidRPr="00C02DFA">
                  <w:rPr>
                    <w:rFonts w:ascii="Times New Roman" w:eastAsia="Times New Roman" w:hAnsi="Times New Roman"/>
                    <w:color w:val="000000"/>
                    <w:sz w:val="14"/>
                    <w:szCs w:val="14"/>
                    <w:lang w:eastAsia="es-CO"/>
                  </w:rPr>
                  <w:t>pago de la prima de</w:t>
                </w:r>
                <w:r w:rsidR="001C5F76" w:rsidRPr="00C02DFA">
                  <w:rPr>
                    <w:rFonts w:ascii="Times New Roman" w:eastAsia="Times New Roman" w:hAnsi="Times New Roman"/>
                    <w:color w:val="000000"/>
                    <w:sz w:val="14"/>
                    <w:szCs w:val="14"/>
                    <w:lang w:eastAsia="es-CO"/>
                  </w:rPr>
                  <w:t xml:space="preserve"> </w:t>
                </w:r>
                <w:r w:rsidRPr="00C02DFA">
                  <w:rPr>
                    <w:rFonts w:ascii="Times New Roman" w:eastAsia="Times New Roman" w:hAnsi="Times New Roman"/>
                    <w:color w:val="000000"/>
                    <w:sz w:val="14"/>
                    <w:szCs w:val="14"/>
                    <w:lang w:eastAsia="es-CO"/>
                  </w:rPr>
                  <w:t xml:space="preserve">la póliza todo riesgo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5B692652" w14:textId="70D9A96A"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284.169.618 </w:t>
                </w:r>
              </w:p>
            </w:tc>
          </w:tr>
          <w:tr w:rsidR="00CE3D76" w:rsidRPr="00C02DFA" w14:paraId="555F2FB9"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3DB2832"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Transversal De Las Américas Sector 1</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39A1ECE4"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Predial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1409C1DE" w14:textId="3C594812"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3.012.767.835 </w:t>
                </w:r>
              </w:p>
            </w:tc>
          </w:tr>
          <w:tr w:rsidR="00CE3D76" w:rsidRPr="00C02DFA" w14:paraId="797F15D0"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3FB6B063"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Chirajara-Intersección Fundadores / Bogotá Villavicencio</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E999A2F"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Obras en inestabilidades tramos 4, 5 y 6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45BCDD35" w14:textId="76875613"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745.456.717 </w:t>
                </w:r>
              </w:p>
            </w:tc>
          </w:tr>
          <w:tr w:rsidR="00CE3D76" w:rsidRPr="00C02DFA" w14:paraId="47E321AB"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B74CB6B"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Chirajara-Intersección Fundadores / Bogotá Villavicencio</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6AAC8F47"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Obras en inestabilidades tramos 4, 5 y 6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7901749A" w14:textId="5D51E0BF"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641.486.841 </w:t>
                </w:r>
              </w:p>
            </w:tc>
          </w:tr>
          <w:tr w:rsidR="00CE3D76" w:rsidRPr="00C02DFA" w14:paraId="23021D0B"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6F8F8259"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Autopista Conexión Pacifico 1</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6F887961" w14:textId="1E4DECE5"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Obras Adicionales</w:t>
                </w:r>
                <w:r w:rsidR="001F03AA" w:rsidRPr="00C02DFA">
                  <w:rPr>
                    <w:rFonts w:ascii="Times New Roman" w:eastAsia="Times New Roman" w:hAnsi="Times New Roman"/>
                    <w:color w:val="000000"/>
                    <w:sz w:val="14"/>
                    <w:szCs w:val="14"/>
                    <w:lang w:eastAsia="es-CO"/>
                  </w:rPr>
                  <w:t xml:space="preserve"> </w:t>
                </w:r>
                <w:r w:rsidRPr="00C02DFA">
                  <w:rPr>
                    <w:rFonts w:ascii="Times New Roman" w:eastAsia="Times New Roman" w:hAnsi="Times New Roman"/>
                    <w:color w:val="000000"/>
                    <w:sz w:val="14"/>
                    <w:szCs w:val="14"/>
                    <w:lang w:eastAsia="es-CO"/>
                  </w:rPr>
                  <w:t>solicitadas por</w:t>
                </w:r>
                <w:r w:rsidR="001F03AA" w:rsidRPr="00C02DFA">
                  <w:rPr>
                    <w:rFonts w:ascii="Times New Roman" w:eastAsia="Times New Roman" w:hAnsi="Times New Roman"/>
                    <w:color w:val="000000"/>
                    <w:sz w:val="14"/>
                    <w:szCs w:val="14"/>
                    <w:lang w:eastAsia="es-CO"/>
                  </w:rPr>
                  <w:t xml:space="preserve"> a</w:t>
                </w:r>
                <w:r w:rsidRPr="00C02DFA">
                  <w:rPr>
                    <w:rFonts w:ascii="Times New Roman" w:eastAsia="Times New Roman" w:hAnsi="Times New Roman"/>
                    <w:color w:val="000000"/>
                    <w:sz w:val="14"/>
                    <w:szCs w:val="14"/>
                    <w:lang w:eastAsia="es-CO"/>
                  </w:rPr>
                  <w:t xml:space="preserve">utoridad Ambiental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61A5718D" w14:textId="7699D5FB"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1.862.207.464 </w:t>
                </w:r>
              </w:p>
            </w:tc>
          </w:tr>
          <w:tr w:rsidR="00CE3D76" w:rsidRPr="00C02DFA" w14:paraId="5026E314"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2320FB46"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Autopista Conexión Pacifico 1</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35482D2" w14:textId="76FF2CDB"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Obras Adicionales</w:t>
                </w:r>
                <w:r w:rsidR="001F03AA" w:rsidRPr="00C02DFA">
                  <w:rPr>
                    <w:rFonts w:ascii="Times New Roman" w:eastAsia="Times New Roman" w:hAnsi="Times New Roman"/>
                    <w:color w:val="000000"/>
                    <w:sz w:val="14"/>
                    <w:szCs w:val="14"/>
                    <w:lang w:eastAsia="es-CO"/>
                  </w:rPr>
                  <w:t xml:space="preserve"> </w:t>
                </w:r>
                <w:r w:rsidRPr="00C02DFA">
                  <w:rPr>
                    <w:rFonts w:ascii="Times New Roman" w:eastAsia="Times New Roman" w:hAnsi="Times New Roman"/>
                    <w:color w:val="000000"/>
                    <w:sz w:val="14"/>
                    <w:szCs w:val="14"/>
                    <w:lang w:eastAsia="es-CO"/>
                  </w:rPr>
                  <w:t>solicitadas por</w:t>
                </w:r>
                <w:r w:rsidR="001F03AA" w:rsidRPr="00C02DFA">
                  <w:rPr>
                    <w:rFonts w:ascii="Times New Roman" w:eastAsia="Times New Roman" w:hAnsi="Times New Roman"/>
                    <w:color w:val="000000"/>
                    <w:sz w:val="14"/>
                    <w:szCs w:val="14"/>
                    <w:lang w:eastAsia="es-CO"/>
                  </w:rPr>
                  <w:t xml:space="preserve"> </w:t>
                </w:r>
                <w:r w:rsidRPr="00C02DFA">
                  <w:rPr>
                    <w:rFonts w:ascii="Times New Roman" w:eastAsia="Times New Roman" w:hAnsi="Times New Roman"/>
                    <w:color w:val="000000"/>
                    <w:sz w:val="14"/>
                    <w:szCs w:val="14"/>
                    <w:lang w:eastAsia="es-CO"/>
                  </w:rPr>
                  <w:t xml:space="preserve">Autoridad Ambiental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1C2B9CB1" w14:textId="5B45365F"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1.733.780.071 </w:t>
                </w:r>
              </w:p>
            </w:tc>
          </w:tr>
          <w:tr w:rsidR="00CE3D76" w:rsidRPr="00C02DFA" w14:paraId="0C4D8DC1"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EE2599E"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Autopista Conexión Pacifico 1</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C94FD0E" w14:textId="5ADDE4D5"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Obras Adicionales</w:t>
                </w:r>
                <w:r w:rsidR="001F03AA" w:rsidRPr="00C02DFA">
                  <w:rPr>
                    <w:rFonts w:ascii="Times New Roman" w:eastAsia="Times New Roman" w:hAnsi="Times New Roman"/>
                    <w:color w:val="000000"/>
                    <w:sz w:val="14"/>
                    <w:szCs w:val="14"/>
                    <w:lang w:eastAsia="es-CO"/>
                  </w:rPr>
                  <w:t xml:space="preserve"> </w:t>
                </w:r>
                <w:r w:rsidRPr="00C02DFA">
                  <w:rPr>
                    <w:rFonts w:ascii="Times New Roman" w:eastAsia="Times New Roman" w:hAnsi="Times New Roman"/>
                    <w:color w:val="000000"/>
                    <w:sz w:val="14"/>
                    <w:szCs w:val="14"/>
                    <w:lang w:eastAsia="es-CO"/>
                  </w:rPr>
                  <w:t>solicitadas por</w:t>
                </w:r>
                <w:r w:rsidR="001F03AA" w:rsidRPr="00C02DFA">
                  <w:rPr>
                    <w:rFonts w:ascii="Times New Roman" w:eastAsia="Times New Roman" w:hAnsi="Times New Roman"/>
                    <w:color w:val="000000"/>
                    <w:sz w:val="14"/>
                    <w:szCs w:val="14"/>
                    <w:lang w:eastAsia="es-CO"/>
                  </w:rPr>
                  <w:t xml:space="preserve"> </w:t>
                </w:r>
                <w:r w:rsidRPr="00C02DFA">
                  <w:rPr>
                    <w:rFonts w:ascii="Times New Roman" w:eastAsia="Times New Roman" w:hAnsi="Times New Roman"/>
                    <w:color w:val="000000"/>
                    <w:sz w:val="14"/>
                    <w:szCs w:val="14"/>
                    <w:lang w:eastAsia="es-CO"/>
                  </w:rPr>
                  <w:t xml:space="preserve">Autoridad Ambiental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0ABCE944" w14:textId="598028E1"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3.001.576.635 </w:t>
                </w:r>
              </w:p>
            </w:tc>
          </w:tr>
          <w:tr w:rsidR="00CE3D76" w:rsidRPr="00C02DFA" w14:paraId="7EE620C2"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643D37F"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Rumichaca Pasto Chachagui</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3157352"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Tarifario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28F5F5DE" w14:textId="1070D18C"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1.063.460.467 </w:t>
                </w:r>
              </w:p>
            </w:tc>
          </w:tr>
          <w:tr w:rsidR="00CE3D76" w:rsidRPr="00C02DFA" w14:paraId="15F405EA"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D83ADE2"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Consorcio Vial Helios</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FB2973D"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Predial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2160B45D" w14:textId="5EBD82BF"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1.121.995.422 </w:t>
                </w:r>
              </w:p>
            </w:tc>
          </w:tr>
          <w:tr w:rsidR="00CE3D76" w:rsidRPr="00C02DFA" w14:paraId="160B0CC2"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D93A957"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Concesionaria Yuma S.A.</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34D44573"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Predial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4E791442" w14:textId="0B5023C5"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8.321.334.651 </w:t>
                </w:r>
              </w:p>
            </w:tc>
          </w:tr>
          <w:tr w:rsidR="00CE3D76" w:rsidRPr="00C02DFA" w14:paraId="0F66B534"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0F52DB7"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Santa Marta Paraguachón</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8E7AB03"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Tarifario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0A984A4A" w14:textId="394956B0"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575.032.468 </w:t>
                </w:r>
              </w:p>
            </w:tc>
          </w:tr>
          <w:tr w:rsidR="00CE3D76" w:rsidRPr="00C02DFA" w14:paraId="6A262F4B"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24247D5"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Transversal Del Sisga</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3CA9C34"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Tarifario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3ED77166" w14:textId="43FF072C"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1.208.614.200 </w:t>
                </w:r>
              </w:p>
            </w:tc>
          </w:tr>
          <w:tr w:rsidR="00CE3D76" w:rsidRPr="00C02DFA" w14:paraId="58DFD0B4"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5F136E6"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Autopista Al Mar 2</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21D3E98D" w14:textId="543FE71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Menor Recaudo</w:t>
                </w:r>
                <w:r w:rsidR="003A5AFD" w:rsidRPr="00C02DFA">
                  <w:rPr>
                    <w:rFonts w:ascii="Times New Roman" w:eastAsia="Times New Roman" w:hAnsi="Times New Roman"/>
                    <w:color w:val="000000"/>
                    <w:sz w:val="14"/>
                    <w:szCs w:val="14"/>
                    <w:lang w:eastAsia="es-CO"/>
                  </w:rPr>
                  <w:t xml:space="preserve"> </w:t>
                </w:r>
                <w:r w:rsidRPr="00C02DFA">
                  <w:rPr>
                    <w:rFonts w:ascii="Times New Roman" w:eastAsia="Times New Roman" w:hAnsi="Times New Roman"/>
                    <w:color w:val="000000"/>
                    <w:sz w:val="14"/>
                    <w:szCs w:val="14"/>
                    <w:lang w:eastAsia="es-CO"/>
                  </w:rPr>
                  <w:t xml:space="preserve">No operación de peajes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59B39173" w14:textId="0C2659D0"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53.110.976.601 </w:t>
                </w:r>
              </w:p>
            </w:tc>
          </w:tr>
          <w:tr w:rsidR="00CE3D76" w:rsidRPr="00C02DFA" w14:paraId="072DED11"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D5660C2"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Área Metropolitana De Cúcuta Y Norte De Santander </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5CAC460"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Predial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1EDC5ECF" w14:textId="7D5516DC"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63.837.464 </w:t>
                </w:r>
              </w:p>
            </w:tc>
          </w:tr>
          <w:tr w:rsidR="00CE3D76" w:rsidRPr="00C02DFA" w14:paraId="4E203BC8"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07EC4BB1" w14:textId="3D165D6E"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Chirajara-Intersección Fundadores / </w:t>
                </w:r>
                <w:r w:rsidR="003A5AFD" w:rsidRPr="00C02DFA">
                  <w:rPr>
                    <w:rFonts w:ascii="Times New Roman" w:eastAsia="Times New Roman" w:hAnsi="Times New Roman"/>
                    <w:color w:val="000000"/>
                    <w:sz w:val="14"/>
                    <w:szCs w:val="14"/>
                    <w:lang w:eastAsia="es-CO"/>
                  </w:rPr>
                  <w:t>Bogotá</w:t>
                </w:r>
                <w:r w:rsidRPr="00C02DFA">
                  <w:rPr>
                    <w:rFonts w:ascii="Times New Roman" w:eastAsia="Times New Roman" w:hAnsi="Times New Roman"/>
                    <w:color w:val="000000"/>
                    <w:sz w:val="14"/>
                    <w:szCs w:val="14"/>
                    <w:lang w:eastAsia="es-CO"/>
                  </w:rPr>
                  <w:t xml:space="preserve"> Villavicencio</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0F2086B7"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Obras en inestabilidades tramos 4, 5 y 6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6DDCE3E8" w14:textId="5D52B764"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1.572.861.923 </w:t>
                </w:r>
              </w:p>
            </w:tc>
          </w:tr>
          <w:tr w:rsidR="00CE3D76" w:rsidRPr="00C02DFA" w14:paraId="4BE370AF"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5A25547"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Autopista Conexión Pacifico 1</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FAE54AA" w14:textId="47D8AA1F"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Obras Adicionales</w:t>
                </w:r>
                <w:r w:rsidR="003A5AFD" w:rsidRPr="00C02DFA">
                  <w:rPr>
                    <w:rFonts w:ascii="Times New Roman" w:eastAsia="Times New Roman" w:hAnsi="Times New Roman"/>
                    <w:color w:val="000000"/>
                    <w:sz w:val="14"/>
                    <w:szCs w:val="14"/>
                    <w:lang w:eastAsia="es-CO"/>
                  </w:rPr>
                  <w:t xml:space="preserve"> </w:t>
                </w:r>
                <w:r w:rsidRPr="00C02DFA">
                  <w:rPr>
                    <w:rFonts w:ascii="Times New Roman" w:eastAsia="Times New Roman" w:hAnsi="Times New Roman"/>
                    <w:color w:val="000000"/>
                    <w:sz w:val="14"/>
                    <w:szCs w:val="14"/>
                    <w:lang w:eastAsia="es-CO"/>
                  </w:rPr>
                  <w:t>solicitadas por</w:t>
                </w:r>
                <w:r w:rsidR="003A5AFD" w:rsidRPr="00C02DFA">
                  <w:rPr>
                    <w:rFonts w:ascii="Times New Roman" w:eastAsia="Times New Roman" w:hAnsi="Times New Roman"/>
                    <w:color w:val="000000"/>
                    <w:sz w:val="14"/>
                    <w:szCs w:val="14"/>
                    <w:lang w:eastAsia="es-CO"/>
                  </w:rPr>
                  <w:t xml:space="preserve"> </w:t>
                </w:r>
                <w:r w:rsidRPr="00C02DFA">
                  <w:rPr>
                    <w:rFonts w:ascii="Times New Roman" w:eastAsia="Times New Roman" w:hAnsi="Times New Roman"/>
                    <w:color w:val="000000"/>
                    <w:sz w:val="14"/>
                    <w:szCs w:val="14"/>
                    <w:lang w:eastAsia="es-CO"/>
                  </w:rPr>
                  <w:t xml:space="preserve">Autoridad Ambiental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5DF2EFB9" w14:textId="5F398FA6"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5.195.590.769 </w:t>
                </w:r>
              </w:p>
            </w:tc>
          </w:tr>
          <w:tr w:rsidR="00CE3D76" w:rsidRPr="00C02DFA" w14:paraId="27C3C8C4"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6F66D9AA"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Autopista Conexión Pacifico 1</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7B944C5"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No instalación de peajes</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799016B3" w14:textId="274362FF"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2.830.727.800 </w:t>
                </w:r>
              </w:p>
            </w:tc>
          </w:tr>
          <w:tr w:rsidR="00CE3D76" w:rsidRPr="00C02DFA" w14:paraId="46DA6C93"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CF9C4DF"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Autopista Conexión Pacifico 1</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3502654C"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Predial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37F4D69F" w14:textId="14F572D7"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401.189.214 </w:t>
                </w:r>
              </w:p>
            </w:tc>
          </w:tr>
          <w:tr w:rsidR="00CE3D76" w:rsidRPr="00C02DFA" w14:paraId="605C0D38"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48422F0"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Autopista Conexión Pacifico 1</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C3D1B5E"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Predial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6F4FB83E" w14:textId="2BFC9BE5"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3.363.346.522 </w:t>
                </w:r>
              </w:p>
            </w:tc>
          </w:tr>
          <w:tr w:rsidR="00CE3D76" w:rsidRPr="00C02DFA" w14:paraId="13740BBA"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674105C"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Autopista Conexión Pacifico 1</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6DA46C4A"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Diferencial Tarifario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57DB4F0A" w14:textId="277A388A"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1.121.549.682 </w:t>
                </w:r>
              </w:p>
            </w:tc>
          </w:tr>
          <w:tr w:rsidR="00CE3D76" w:rsidRPr="00C02DFA" w14:paraId="146EC2CC"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65F290EC"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Autopista Conexión Pacifico 1</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25AE89F9"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Redes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33EFDFF0" w14:textId="61662A86"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218.264.262 </w:t>
                </w:r>
              </w:p>
            </w:tc>
          </w:tr>
          <w:tr w:rsidR="00CE3D76" w:rsidRPr="00C02DFA" w14:paraId="1DFF9A7E"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833BFF5"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Concesionaria Yuma S.A.</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4580E84"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Predial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7131C92C" w14:textId="4053941E"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9.492.552.207 </w:t>
                </w:r>
              </w:p>
            </w:tc>
          </w:tr>
          <w:tr w:rsidR="00CE3D76" w:rsidRPr="00C02DFA" w14:paraId="48F5B98C"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1D690D6"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Bucaramanga-Barrancabermeja-Yondó</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F7F635E"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Tarifario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6513F047" w14:textId="37E75278"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6.063.434.100 </w:t>
                </w:r>
              </w:p>
            </w:tc>
          </w:tr>
          <w:tr w:rsidR="00CE3D76" w:rsidRPr="00C02DFA" w14:paraId="5CE901A0"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5DBFCF7"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Bucaramanga-Barrancabermeja-Yondó</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33843FB0"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No instalación de peajes</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738C0000" w14:textId="2AD7E7E0"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20.592.772.920 </w:t>
                </w:r>
              </w:p>
            </w:tc>
          </w:tr>
          <w:tr w:rsidR="00CE3D76" w:rsidRPr="00C02DFA" w14:paraId="3EB0C14F"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1F03A41"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Autopistas Para La Prosperidad</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27F7B55E"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Tarifario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64F5A466" w14:textId="4405BAB1"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265.704.248 </w:t>
                </w:r>
              </w:p>
            </w:tc>
          </w:tr>
          <w:tr w:rsidR="00CE3D76" w:rsidRPr="00C02DFA" w14:paraId="48A4B2F2"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DF4CEE4"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Autopistas Para La Prosperidad</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3B1B67A"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Tarifario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63B24241" w14:textId="71F61860"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6.591.340.940 </w:t>
                </w:r>
              </w:p>
            </w:tc>
          </w:tr>
          <w:tr w:rsidR="00CE3D76" w:rsidRPr="00C02DFA" w14:paraId="008CC859"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171C700"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Autopista Conexión Pacifico 1</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34EC4A14"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Redes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67E2BD80" w14:textId="339BC10F"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302.738.208 </w:t>
                </w:r>
              </w:p>
            </w:tc>
          </w:tr>
          <w:tr w:rsidR="00CE3D76" w:rsidRPr="00C02DFA" w14:paraId="21869A32"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33EEA093"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Autopista Conexión Pacifico 1</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6493019E"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Diferencial Tarifario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76B1E40C" w14:textId="037827CE"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1.448.492.902 </w:t>
                </w:r>
              </w:p>
            </w:tc>
          </w:tr>
          <w:tr w:rsidR="00CE3D76" w:rsidRPr="00C02DFA" w14:paraId="5708724D"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3D63121"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Rumichaca Pasto Chachagui</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0B2784FA"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Predial</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062510F6" w14:textId="7A82B574"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739.705.559 </w:t>
                </w:r>
              </w:p>
            </w:tc>
          </w:tr>
          <w:tr w:rsidR="00CE3D76" w:rsidRPr="00C02DFA" w14:paraId="5C8C0BC2"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A15D201"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Rumichaca Pasto Chachagui</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32266EFE"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No instalación de peajes</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077CDF38" w14:textId="1AF66B65"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19.069.924.770 </w:t>
                </w:r>
              </w:p>
            </w:tc>
          </w:tr>
          <w:tr w:rsidR="00CE3D76" w:rsidRPr="00C02DFA" w14:paraId="4C77990D"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03ABF5F6" w14:textId="10943FA4"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Chirajara-Intersección Fundadores / </w:t>
                </w:r>
                <w:r w:rsidR="00F33550" w:rsidRPr="00C02DFA">
                  <w:rPr>
                    <w:rFonts w:ascii="Times New Roman" w:eastAsia="Times New Roman" w:hAnsi="Times New Roman"/>
                    <w:color w:val="000000"/>
                    <w:sz w:val="14"/>
                    <w:szCs w:val="14"/>
                    <w:lang w:eastAsia="es-CO"/>
                  </w:rPr>
                  <w:t>Bogotá</w:t>
                </w:r>
                <w:r w:rsidRPr="00C02DFA">
                  <w:rPr>
                    <w:rFonts w:ascii="Times New Roman" w:eastAsia="Times New Roman" w:hAnsi="Times New Roman"/>
                    <w:color w:val="000000"/>
                    <w:sz w:val="14"/>
                    <w:szCs w:val="14"/>
                    <w:lang w:eastAsia="es-CO"/>
                  </w:rPr>
                  <w:t xml:space="preserve"> Villavicencio</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70781BB"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Obras en inestabilidades tramos 4, 5 y 6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7608D8F1" w14:textId="0B536FD8"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754.164.324 </w:t>
                </w:r>
              </w:p>
            </w:tc>
          </w:tr>
          <w:tr w:rsidR="00CE3D76" w:rsidRPr="00C02DFA" w14:paraId="02C78CB5"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2337592C"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Autopista Conexión Norte</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D64B179"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Diferencial de Recaudo - Comercial</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3AF9232F" w14:textId="01FE140A"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159.162.017.448 </w:t>
                </w:r>
              </w:p>
            </w:tc>
          </w:tr>
          <w:tr w:rsidR="00CE3D76" w:rsidRPr="00C02DFA" w14:paraId="592D6F20"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3C6DABEF"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Santa Marta Paraguachón</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669C1CC" w14:textId="78038D25"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Insuficiencia de recursos </w:t>
                </w:r>
                <w:r w:rsidR="00F33550" w:rsidRPr="00C02DFA">
                  <w:rPr>
                    <w:rFonts w:ascii="Times New Roman" w:eastAsia="Times New Roman" w:hAnsi="Times New Roman"/>
                    <w:color w:val="000000"/>
                    <w:sz w:val="14"/>
                    <w:szCs w:val="14"/>
                    <w:lang w:eastAsia="es-CO"/>
                  </w:rPr>
                  <w:t>Interventoría</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323C9503" w14:textId="4603270E"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201.519.225 </w:t>
                </w:r>
              </w:p>
            </w:tc>
          </w:tr>
          <w:tr w:rsidR="00CE3D76" w:rsidRPr="00C02DFA" w14:paraId="247345E9"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3F0D1310"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Córdoba - Sucre</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3A130FD"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Predial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09E1547F" w14:textId="47F2BB2A"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32.574.986 </w:t>
                </w:r>
              </w:p>
            </w:tc>
          </w:tr>
          <w:tr w:rsidR="00CE3D76" w:rsidRPr="00C02DFA" w14:paraId="67ECF3BD"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54DB0D7"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Ruta Del Sol (Sector 1)</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08626F6"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Predial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759172C5" w14:textId="17C6FD5E"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509.735.461 </w:t>
                </w:r>
              </w:p>
            </w:tc>
          </w:tr>
          <w:tr w:rsidR="00CE3D76" w:rsidRPr="00C02DFA" w14:paraId="7FA8E828"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084F8363"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Autopista Conexión Pacifico 2</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hideMark/>
              </w:tcPr>
              <w:p w14:paraId="6D702BC1" w14:textId="5B1D8D6A"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Riesgo Tarifario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034B6D33" w14:textId="73293BF7"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14.511.973.255 </w:t>
                </w:r>
              </w:p>
            </w:tc>
          </w:tr>
          <w:tr w:rsidR="00CE3D76" w:rsidRPr="00C02DFA" w14:paraId="296C984C"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0DDF544D" w14:textId="679E045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Chirajara-Intersección Fundadores / </w:t>
                </w:r>
                <w:r w:rsidR="003C6E9A" w:rsidRPr="00C02DFA">
                  <w:rPr>
                    <w:rFonts w:ascii="Times New Roman" w:eastAsia="Times New Roman" w:hAnsi="Times New Roman"/>
                    <w:color w:val="000000"/>
                    <w:sz w:val="14"/>
                    <w:szCs w:val="14"/>
                    <w:lang w:eastAsia="es-CO"/>
                  </w:rPr>
                  <w:t>Bogotá</w:t>
                </w:r>
                <w:r w:rsidRPr="00C02DFA">
                  <w:rPr>
                    <w:rFonts w:ascii="Times New Roman" w:eastAsia="Times New Roman" w:hAnsi="Times New Roman"/>
                    <w:color w:val="000000"/>
                    <w:sz w:val="14"/>
                    <w:szCs w:val="14"/>
                    <w:lang w:eastAsia="es-CO"/>
                  </w:rPr>
                  <w:t xml:space="preserve"> Villavicencio</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BB1CBA3"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Obras en inestabilidades tramos 4, 5 y 6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7EDE18DB" w14:textId="6FEF6770"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1.007.483.376 </w:t>
                </w:r>
              </w:p>
            </w:tc>
          </w:tr>
          <w:tr w:rsidR="00CE3D76" w:rsidRPr="00C02DFA" w14:paraId="086DC1B0"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61B767F"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Cartagena- Barranquilla Y Circunvalar De La Prosperidad</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269DCCA4"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Comercial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0EC075A4" w14:textId="5AA46624"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23.580.710.980 </w:t>
                </w:r>
              </w:p>
            </w:tc>
          </w:tr>
          <w:tr w:rsidR="00CE3D76" w:rsidRPr="00C02DFA" w14:paraId="52CAC1D6"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5AC3DBF"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Cartagena- Barranquilla Y Circunvalar De La Prosperidad</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6BC9CD28"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Riesgo Tarifario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37D072A4" w14:textId="554436F4"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5.598.800.600 </w:t>
                </w:r>
              </w:p>
            </w:tc>
          </w:tr>
          <w:tr w:rsidR="00CE3D76" w:rsidRPr="00C02DFA" w14:paraId="0A87EFC9"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77B1ACA" w14:textId="4E028224"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Siberia -La Punta-El Vino / </w:t>
                </w:r>
                <w:r w:rsidR="003C6E9A" w:rsidRPr="00C02DFA">
                  <w:rPr>
                    <w:rFonts w:ascii="Times New Roman" w:eastAsia="Times New Roman" w:hAnsi="Times New Roman"/>
                    <w:color w:val="000000"/>
                    <w:sz w:val="14"/>
                    <w:szCs w:val="14"/>
                    <w:lang w:eastAsia="es-CO"/>
                  </w:rPr>
                  <w:t>Bogotá</w:t>
                </w:r>
                <w:r w:rsidRPr="00C02DFA">
                  <w:rPr>
                    <w:rFonts w:ascii="Times New Roman" w:eastAsia="Times New Roman" w:hAnsi="Times New Roman"/>
                    <w:color w:val="000000"/>
                    <w:sz w:val="14"/>
                    <w:szCs w:val="14"/>
                    <w:lang w:eastAsia="es-CO"/>
                  </w:rPr>
                  <w:t xml:space="preserve"> Villeta</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8BF8E60"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Predial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47C5CE4B" w14:textId="3E22B9F1"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720.083.063 </w:t>
                </w:r>
              </w:p>
            </w:tc>
          </w:tr>
          <w:tr w:rsidR="00CE3D76" w:rsidRPr="00C02DFA" w14:paraId="160F00F2"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C06B203"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Bucaramanga Barrancabermeja Yondó</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hideMark/>
              </w:tcPr>
              <w:p w14:paraId="47E7D536"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Menor recaudo para la Estación de Peaje La Paz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23EB5455" w14:textId="32353443"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18.891.793.260 </w:t>
                </w:r>
              </w:p>
            </w:tc>
          </w:tr>
          <w:tr w:rsidR="00CE3D76" w:rsidRPr="00C02DFA" w14:paraId="4147BFFB"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8A40301"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Autopista Conexión Pacifico 1</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271414F5"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Obras Adicionales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4874BB71" w14:textId="5C5489BE"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2.090.017.178 </w:t>
                </w:r>
              </w:p>
            </w:tc>
          </w:tr>
          <w:tr w:rsidR="00CE3D76" w:rsidRPr="00C02DFA" w14:paraId="613BE78F"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89CE988"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Autopista Conexión Pacifico 1</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36B7EF15"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Obras Adicionales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495BC907" w14:textId="36DBF845"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1.735.547.004 </w:t>
                </w:r>
              </w:p>
            </w:tc>
          </w:tr>
          <w:tr w:rsidR="00CE3D76" w:rsidRPr="00C02DFA" w14:paraId="1928FFF7"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22F46DE"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Santa Marta Paraguachón</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ABE9E64" w14:textId="2A114283"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Insuficiencia de recursos </w:t>
                </w:r>
                <w:r w:rsidR="003A5AFD" w:rsidRPr="00C02DFA">
                  <w:rPr>
                    <w:rFonts w:ascii="Times New Roman" w:eastAsia="Times New Roman" w:hAnsi="Times New Roman"/>
                    <w:color w:val="000000"/>
                    <w:sz w:val="14"/>
                    <w:szCs w:val="14"/>
                    <w:lang w:eastAsia="es-CO"/>
                  </w:rPr>
                  <w:t>Interventoría</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7DCF6A2B" w14:textId="55F86F8B"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1.873.000.000 </w:t>
                </w:r>
              </w:p>
            </w:tc>
          </w:tr>
          <w:tr w:rsidR="00CE3D76" w:rsidRPr="00C02DFA" w14:paraId="05D1DCF2"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4F06273" w14:textId="471780D0"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Chirajara-Intersección Fundadores / </w:t>
                </w:r>
                <w:r w:rsidR="003A5AFD" w:rsidRPr="00C02DFA">
                  <w:rPr>
                    <w:rFonts w:ascii="Times New Roman" w:eastAsia="Times New Roman" w:hAnsi="Times New Roman"/>
                    <w:color w:val="000000"/>
                    <w:sz w:val="14"/>
                    <w:szCs w:val="14"/>
                    <w:lang w:eastAsia="es-CO"/>
                  </w:rPr>
                  <w:t>Bogotá</w:t>
                </w:r>
                <w:r w:rsidRPr="00C02DFA">
                  <w:rPr>
                    <w:rFonts w:ascii="Times New Roman" w:eastAsia="Times New Roman" w:hAnsi="Times New Roman"/>
                    <w:color w:val="000000"/>
                    <w:sz w:val="14"/>
                    <w:szCs w:val="14"/>
                    <w:lang w:eastAsia="es-CO"/>
                  </w:rPr>
                  <w:t xml:space="preserve"> Villavicencio</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24FDA6B4"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Obras en inestabilidades tramos 4, 5 y 6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31F10176" w14:textId="0CEF5E11"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1.401.494.783 </w:t>
                </w:r>
              </w:p>
            </w:tc>
          </w:tr>
          <w:tr w:rsidR="00CE3D76" w:rsidRPr="00C02DFA" w14:paraId="55BA3C4B"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F15D18E"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Cartagena- Barranquilla Y Circunvalar De La Prosperidad</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631523C7"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Riesgo Tarifario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3D0A786A" w14:textId="55829087"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16.455.833.500 </w:t>
                </w:r>
              </w:p>
            </w:tc>
          </w:tr>
          <w:tr w:rsidR="00CE3D76" w:rsidRPr="00C02DFA" w14:paraId="5554ECE9"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64A7F584"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Transversal Del Sisga</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A82B4DA"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Riesgo Tarifario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2360D841" w14:textId="3FC1EB92"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6.130.767.400 </w:t>
                </w:r>
              </w:p>
            </w:tc>
          </w:tr>
          <w:tr w:rsidR="00CE3D76" w:rsidRPr="00C02DFA" w14:paraId="1CD9C34C"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3611826F"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Autopista Conexión Pacifico 3</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8C5A35B"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Menor Recaudo Tarifario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3118BB64" w14:textId="368AB5AB"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114.966.600 </w:t>
                </w:r>
              </w:p>
            </w:tc>
          </w:tr>
          <w:tr w:rsidR="00CE3D76" w:rsidRPr="00C02DFA" w14:paraId="699D8BA7"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6925F786"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Autopista Conexión Pacifico 3</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095C35E"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Menor Recaudo Tarifario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3C74D85F" w14:textId="661B0B3B"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112.077.000 </w:t>
                </w:r>
              </w:p>
            </w:tc>
          </w:tr>
          <w:tr w:rsidR="00CE3D76" w:rsidRPr="00C02DFA" w14:paraId="37DD72E4"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C036906"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Autopista Conexión Pacifico 3</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09E0DF7A"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Tarifaria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12EA0C10" w14:textId="60520CDA"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3.828.314.808 </w:t>
                </w:r>
              </w:p>
            </w:tc>
          </w:tr>
          <w:tr w:rsidR="00CE3D76" w:rsidRPr="00C02DFA" w14:paraId="4076EA4E"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58D6DB1"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Autopista Conexión Pacifico 1</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DB60979"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Predial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2B964F8F" w14:textId="553BBFC5"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2.595.138.518 </w:t>
                </w:r>
              </w:p>
            </w:tc>
          </w:tr>
          <w:tr w:rsidR="00CE3D76" w:rsidRPr="00C02DFA" w14:paraId="1C653E6F"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2D078582"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Autopista Conexión Pacifico 1</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4999788"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Obras Adicionales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635704EF" w14:textId="6E8A4B09"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18.944.786.036 </w:t>
                </w:r>
              </w:p>
            </w:tc>
          </w:tr>
          <w:tr w:rsidR="00CE3D76" w:rsidRPr="00C02DFA" w14:paraId="12E051D1"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318FA98"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Autopista Conexión Pacifico 1</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205283FE"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Tarifas Diferenciales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189E7AF9" w14:textId="7BB12903"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1.054.827.780 </w:t>
                </w:r>
              </w:p>
            </w:tc>
          </w:tr>
          <w:tr w:rsidR="00CE3D76" w:rsidRPr="00C02DFA" w14:paraId="7CDF5A85"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2AF6A9C"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Autopista Conexión Pacifico 1</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E99B88A"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NO- instalación del peaje de Ancón Sur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4A49661E" w14:textId="23B1EBD6"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3.346.266.400 </w:t>
                </w:r>
              </w:p>
            </w:tc>
          </w:tr>
          <w:tr w:rsidR="00CE3D76" w:rsidRPr="00C02DFA" w14:paraId="190A82E5"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1FA0A76A"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Concesionaria Montes De Maria</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143542A"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Ambiental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3F00B41D" w14:textId="6DC46DB7"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182.562.862 </w:t>
                </w:r>
              </w:p>
            </w:tc>
          </w:tr>
          <w:tr w:rsidR="00CE3D76" w:rsidRPr="00C02DFA" w14:paraId="151EF723"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34C542C"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Concesionaria Montes De Maria</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6245F2AD"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Diferencial de Recaudo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307BB6C2" w14:textId="54A261B6"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14.032.160.266 </w:t>
                </w:r>
              </w:p>
            </w:tc>
          </w:tr>
          <w:tr w:rsidR="00CE3D76" w:rsidRPr="00C02DFA" w14:paraId="459AF35D"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FFBB834"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lastRenderedPageBreak/>
                  <w:t>Autopista Concesión Pacifico 2</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56D68F76"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Redes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004A8347" w14:textId="60165AB3"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1.633.606.989 </w:t>
                </w:r>
              </w:p>
            </w:tc>
          </w:tr>
          <w:tr w:rsidR="00CE3D76" w:rsidRPr="00C02DFA" w14:paraId="24573822"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647715F2"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Autopista Concesión Pacifico 2</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791C100"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Riesgo Tarifario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3DA5FFE8" w14:textId="525472DE"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2.431.916.027 </w:t>
                </w:r>
              </w:p>
            </w:tc>
          </w:tr>
          <w:tr w:rsidR="00CE3D76" w:rsidRPr="00C02DFA" w14:paraId="66BEFDBA"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1112374"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Concesión Sabana De Occidente</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989EE55"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Predial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4B8920E0" w14:textId="790F12E2"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826.518.690 </w:t>
                </w:r>
              </w:p>
            </w:tc>
          </w:tr>
          <w:tr w:rsidR="00CE3D76" w:rsidRPr="00C02DFA" w14:paraId="6118292E"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4818A5EE"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Autopista Conexión Norte</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4A281BC"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Menor recaudo de tarifario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1958072E" w14:textId="41E13DDD"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412.440.355 </w:t>
                </w:r>
              </w:p>
            </w:tc>
          </w:tr>
          <w:tr w:rsidR="00CE3D76" w:rsidRPr="00C02DFA" w14:paraId="2B778647" w14:textId="77777777" w:rsidTr="00CA6345">
            <w:trPr>
              <w:trHeight w:val="340"/>
            </w:trPr>
            <w:tc>
              <w:tcPr>
                <w:tcW w:w="2093" w:type="pct"/>
                <w:tcBorders>
                  <w:top w:val="single" w:sz="6" w:space="0" w:color="808080" w:themeColor="background1" w:themeShade="80"/>
                  <w:left w:val="single" w:sz="4"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76F0AFC3"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Rumichaca Pasto Chachagui</w:t>
                </w:r>
              </w:p>
            </w:tc>
            <w:tc>
              <w:tcPr>
                <w:tcW w:w="1292"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noWrap/>
                <w:vAlign w:val="center"/>
                <w:hideMark/>
              </w:tcPr>
              <w:p w14:paraId="0A93B4D1" w14:textId="77777777" w:rsidR="00CE3D76" w:rsidRPr="00C02DFA" w:rsidRDefault="00CE3D76" w:rsidP="00CE3D76">
                <w:pPr>
                  <w:spacing w:after="0" w:line="240" w:lineRule="auto"/>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 Diferencial de Recaudo </w:t>
                </w:r>
              </w:p>
            </w:tc>
            <w:tc>
              <w:tcPr>
                <w:tcW w:w="1615" w:type="pct"/>
                <w:tcBorders>
                  <w:top w:val="single" w:sz="6" w:space="0" w:color="808080" w:themeColor="background1" w:themeShade="80"/>
                  <w:left w:val="single" w:sz="6" w:space="0" w:color="808080" w:themeColor="background1" w:themeShade="80"/>
                  <w:bottom w:val="single" w:sz="6" w:space="0" w:color="808080" w:themeColor="background1" w:themeShade="80"/>
                  <w:right w:val="single" w:sz="4" w:space="0" w:color="808080" w:themeColor="background1" w:themeShade="80"/>
                </w:tcBorders>
                <w:shd w:val="clear" w:color="auto" w:fill="auto"/>
                <w:noWrap/>
                <w:vAlign w:val="center"/>
                <w:hideMark/>
              </w:tcPr>
              <w:p w14:paraId="5F8C7BD5" w14:textId="3E9DAC21" w:rsidR="00CE3D76" w:rsidRPr="00C02DFA" w:rsidRDefault="00CE3D76" w:rsidP="005615C8">
                <w:pPr>
                  <w:spacing w:after="0" w:line="240" w:lineRule="auto"/>
                  <w:jc w:val="right"/>
                  <w:rPr>
                    <w:rFonts w:ascii="Times New Roman" w:eastAsia="Times New Roman" w:hAnsi="Times New Roman"/>
                    <w:color w:val="000000"/>
                    <w:sz w:val="14"/>
                    <w:szCs w:val="14"/>
                    <w:lang w:eastAsia="es-CO"/>
                  </w:rPr>
                </w:pPr>
                <w:r w:rsidRPr="00C02DFA">
                  <w:rPr>
                    <w:rFonts w:ascii="Times New Roman" w:eastAsia="Times New Roman" w:hAnsi="Times New Roman"/>
                    <w:color w:val="000000"/>
                    <w:sz w:val="14"/>
                    <w:szCs w:val="14"/>
                    <w:lang w:eastAsia="es-CO"/>
                  </w:rPr>
                  <w:t xml:space="preserve">547.657.233.045 </w:t>
                </w:r>
              </w:p>
            </w:tc>
          </w:tr>
          <w:tr w:rsidR="00CE3D76" w:rsidRPr="00C02DFA" w14:paraId="074DC190" w14:textId="77777777" w:rsidTr="00CA6345">
            <w:trPr>
              <w:trHeight w:val="340"/>
            </w:trPr>
            <w:tc>
              <w:tcPr>
                <w:tcW w:w="3385" w:type="pct"/>
                <w:gridSpan w:val="2"/>
                <w:tcBorders>
                  <w:top w:val="single" w:sz="6" w:space="0" w:color="808080" w:themeColor="background1" w:themeShade="80"/>
                  <w:left w:val="single" w:sz="4" w:space="0" w:color="808080" w:themeColor="background1" w:themeShade="80"/>
                  <w:bottom w:val="single" w:sz="4" w:space="0" w:color="808080" w:themeColor="background1" w:themeShade="80"/>
                  <w:right w:val="single" w:sz="6" w:space="0" w:color="808080" w:themeColor="background1" w:themeShade="80"/>
                </w:tcBorders>
                <w:shd w:val="clear" w:color="auto" w:fill="auto"/>
                <w:noWrap/>
                <w:vAlign w:val="center"/>
                <w:hideMark/>
              </w:tcPr>
              <w:p w14:paraId="23671ADA" w14:textId="77777777" w:rsidR="00CE3D76" w:rsidRPr="00C02DFA" w:rsidRDefault="00CE3D76" w:rsidP="00CE3D76">
                <w:pPr>
                  <w:spacing w:after="0" w:line="240" w:lineRule="auto"/>
                  <w:jc w:val="center"/>
                  <w:rPr>
                    <w:rFonts w:ascii="Times New Roman" w:eastAsia="Times New Roman" w:hAnsi="Times New Roman"/>
                    <w:b/>
                    <w:color w:val="000000"/>
                    <w:sz w:val="14"/>
                    <w:szCs w:val="14"/>
                    <w:lang w:eastAsia="es-CO"/>
                  </w:rPr>
                </w:pPr>
                <w:r w:rsidRPr="00C02DFA">
                  <w:rPr>
                    <w:rFonts w:ascii="Times New Roman" w:eastAsia="Times New Roman" w:hAnsi="Times New Roman"/>
                    <w:b/>
                    <w:color w:val="000000"/>
                    <w:sz w:val="14"/>
                    <w:szCs w:val="14"/>
                    <w:lang w:eastAsia="es-CO"/>
                  </w:rPr>
                  <w:t>Total</w:t>
                </w:r>
              </w:p>
            </w:tc>
            <w:tc>
              <w:tcPr>
                <w:tcW w:w="1615" w:type="pct"/>
                <w:tcBorders>
                  <w:top w:val="single" w:sz="6" w:space="0" w:color="808080" w:themeColor="background1" w:themeShade="80"/>
                  <w:left w:val="single" w:sz="6"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457DD47E" w14:textId="143E8C6B" w:rsidR="00CE3D76" w:rsidRPr="00C02DFA" w:rsidRDefault="00CE3D76" w:rsidP="005615C8">
                <w:pPr>
                  <w:spacing w:after="0" w:line="240" w:lineRule="auto"/>
                  <w:jc w:val="right"/>
                  <w:rPr>
                    <w:rFonts w:ascii="Times New Roman" w:eastAsia="Times New Roman" w:hAnsi="Times New Roman"/>
                    <w:b/>
                    <w:color w:val="000000"/>
                    <w:sz w:val="14"/>
                    <w:szCs w:val="14"/>
                    <w:lang w:eastAsia="es-CO"/>
                  </w:rPr>
                </w:pPr>
                <w:r w:rsidRPr="00C02DFA">
                  <w:rPr>
                    <w:rFonts w:ascii="Times New Roman" w:eastAsia="Times New Roman" w:hAnsi="Times New Roman"/>
                    <w:b/>
                    <w:color w:val="000000"/>
                    <w:sz w:val="14"/>
                    <w:szCs w:val="14"/>
                    <w:lang w:eastAsia="es-CO"/>
                  </w:rPr>
                  <w:t xml:space="preserve">2.761.526.300.924 </w:t>
                </w:r>
              </w:p>
            </w:tc>
          </w:tr>
        </w:tbl>
        <w:p w14:paraId="79E6B9FC" w14:textId="77777777" w:rsidR="004B0F14" w:rsidRDefault="004B0F14" w:rsidP="00DE7E53">
          <w:pPr>
            <w:autoSpaceDE w:val="0"/>
            <w:autoSpaceDN w:val="0"/>
            <w:adjustRightInd w:val="0"/>
            <w:spacing w:after="0" w:line="240" w:lineRule="auto"/>
            <w:jc w:val="both"/>
            <w:rPr>
              <w:rFonts w:ascii="Times New Roman" w:hAnsi="Times New Roman"/>
              <w:sz w:val="16"/>
              <w:szCs w:val="16"/>
              <w:lang w:eastAsia="es-CO"/>
            </w:rPr>
            <w:sectPr w:rsidR="004B0F14" w:rsidSect="00376BDD">
              <w:type w:val="continuous"/>
              <w:pgSz w:w="12240" w:h="15840"/>
              <w:pgMar w:top="1418" w:right="1418" w:bottom="1418" w:left="1843" w:header="680" w:footer="709" w:gutter="0"/>
              <w:pgNumType w:start="76"/>
              <w:cols w:num="2" w:space="708"/>
              <w:titlePg/>
              <w:docGrid w:linePitch="360"/>
            </w:sectPr>
          </w:pPr>
        </w:p>
        <w:p w14:paraId="45B0A05B" w14:textId="6A3E47C7" w:rsidR="00DE7E53" w:rsidRPr="00931DCE" w:rsidRDefault="00AD2026" w:rsidP="00DE7E53">
          <w:pPr>
            <w:autoSpaceDE w:val="0"/>
            <w:autoSpaceDN w:val="0"/>
            <w:adjustRightInd w:val="0"/>
            <w:spacing w:after="0" w:line="240" w:lineRule="auto"/>
            <w:jc w:val="both"/>
            <w:rPr>
              <w:rFonts w:ascii="Times New Roman" w:hAnsi="Times New Roman"/>
              <w:sz w:val="16"/>
              <w:szCs w:val="16"/>
              <w:lang w:eastAsia="es-CO"/>
            </w:rPr>
          </w:pPr>
          <w:r w:rsidRPr="00931DCE">
            <w:rPr>
              <w:rFonts w:ascii="Times New Roman" w:hAnsi="Times New Roman"/>
              <w:sz w:val="16"/>
              <w:szCs w:val="16"/>
              <w:lang w:eastAsia="es-CO"/>
            </w:rPr>
            <w:t>Cifras expresadas en pesos</w:t>
          </w:r>
        </w:p>
        <w:p w14:paraId="24048E83" w14:textId="77777777" w:rsidR="00DE7E53" w:rsidRPr="00931DCE" w:rsidRDefault="00DE7E53" w:rsidP="00DE7E53">
          <w:pPr>
            <w:autoSpaceDE w:val="0"/>
            <w:autoSpaceDN w:val="0"/>
            <w:adjustRightInd w:val="0"/>
            <w:spacing w:after="0" w:line="240" w:lineRule="auto"/>
            <w:jc w:val="both"/>
            <w:rPr>
              <w:rFonts w:ascii="Times New Roman" w:hAnsi="Times New Roman"/>
              <w:sz w:val="24"/>
              <w:szCs w:val="24"/>
            </w:rPr>
          </w:pPr>
        </w:p>
        <w:p w14:paraId="5DDC0E0E" w14:textId="15EF8B3F" w:rsidR="00DE7E53" w:rsidRPr="00931DCE" w:rsidRDefault="00DE7E53" w:rsidP="00DE7E53">
          <w:pPr>
            <w:autoSpaceDE w:val="0"/>
            <w:autoSpaceDN w:val="0"/>
            <w:adjustRightInd w:val="0"/>
            <w:spacing w:after="0" w:line="240" w:lineRule="auto"/>
            <w:jc w:val="both"/>
            <w:rPr>
              <w:rFonts w:ascii="Times New Roman" w:hAnsi="Times New Roman"/>
              <w:sz w:val="24"/>
              <w:szCs w:val="24"/>
            </w:rPr>
          </w:pPr>
          <w:r w:rsidRPr="00931DCE">
            <w:rPr>
              <w:rFonts w:ascii="Times New Roman" w:hAnsi="Times New Roman"/>
              <w:sz w:val="24"/>
              <w:szCs w:val="24"/>
            </w:rPr>
            <w:t xml:space="preserve">Reconocimiento de inversiones </w:t>
          </w:r>
          <w:r w:rsidR="00B32508" w:rsidRPr="00931DCE">
            <w:rPr>
              <w:rFonts w:ascii="Times New Roman" w:hAnsi="Times New Roman"/>
              <w:sz w:val="24"/>
              <w:szCs w:val="24"/>
            </w:rPr>
            <w:t>pagadas con recursos del fondo, por</w:t>
          </w:r>
          <w:r w:rsidRPr="00931DCE">
            <w:rPr>
              <w:rFonts w:ascii="Times New Roman" w:hAnsi="Times New Roman"/>
              <w:sz w:val="24"/>
              <w:szCs w:val="24"/>
            </w:rPr>
            <w:t xml:space="preserve"> </w:t>
          </w:r>
          <w:r w:rsidR="00B32508" w:rsidRPr="00931DCE">
            <w:rPr>
              <w:rFonts w:ascii="Times New Roman" w:hAnsi="Times New Roman"/>
              <w:sz w:val="24"/>
              <w:szCs w:val="24"/>
            </w:rPr>
            <w:t>proyectos</w:t>
          </w:r>
          <w:r w:rsidRPr="00931DCE">
            <w:rPr>
              <w:rFonts w:ascii="Times New Roman" w:hAnsi="Times New Roman"/>
              <w:sz w:val="24"/>
              <w:szCs w:val="24"/>
            </w:rPr>
            <w:t xml:space="preserve"> revertid</w:t>
          </w:r>
          <w:r w:rsidR="00B32508" w:rsidRPr="00931DCE">
            <w:rPr>
              <w:rFonts w:ascii="Times New Roman" w:hAnsi="Times New Roman"/>
              <w:sz w:val="24"/>
              <w:szCs w:val="24"/>
            </w:rPr>
            <w:t>o</w:t>
          </w:r>
          <w:r w:rsidRPr="00931DCE">
            <w:rPr>
              <w:rFonts w:ascii="Times New Roman" w:hAnsi="Times New Roman"/>
              <w:sz w:val="24"/>
              <w:szCs w:val="24"/>
            </w:rPr>
            <w:t xml:space="preserve">s y que </w:t>
          </w:r>
          <w:r w:rsidR="00B32508" w:rsidRPr="00931DCE">
            <w:rPr>
              <w:rFonts w:ascii="Times New Roman" w:hAnsi="Times New Roman"/>
              <w:sz w:val="24"/>
              <w:szCs w:val="24"/>
            </w:rPr>
            <w:t>para el cierre del período se encuentran</w:t>
          </w:r>
          <w:r w:rsidRPr="00931DCE">
            <w:rPr>
              <w:rFonts w:ascii="Times New Roman" w:hAnsi="Times New Roman"/>
              <w:sz w:val="24"/>
              <w:szCs w:val="24"/>
            </w:rPr>
            <w:t xml:space="preserve"> a cargo del Instituto Nacional de Vías INVIAS:</w:t>
          </w:r>
        </w:p>
        <w:p w14:paraId="5E142073" w14:textId="77777777" w:rsidR="00DE7E53" w:rsidRPr="00931DCE" w:rsidRDefault="00DE7E53" w:rsidP="00DE7E53">
          <w:pPr>
            <w:autoSpaceDE w:val="0"/>
            <w:autoSpaceDN w:val="0"/>
            <w:adjustRightInd w:val="0"/>
            <w:spacing w:after="0" w:line="240" w:lineRule="auto"/>
            <w:jc w:val="both"/>
            <w:rPr>
              <w:rFonts w:ascii="Times New Roman" w:hAnsi="Times New Roman"/>
              <w:sz w:val="24"/>
              <w:szCs w:val="24"/>
            </w:rPr>
          </w:pPr>
        </w:p>
        <w:tbl>
          <w:tblPr>
            <w:tblW w:w="5000" w:type="pct"/>
            <w:tblCellMar>
              <w:left w:w="70" w:type="dxa"/>
              <w:right w:w="70" w:type="dxa"/>
            </w:tblCellMar>
            <w:tblLook w:val="04A0" w:firstRow="1" w:lastRow="0" w:firstColumn="1" w:lastColumn="0" w:noHBand="0" w:noVBand="1"/>
          </w:tblPr>
          <w:tblGrid>
            <w:gridCol w:w="3657"/>
            <w:gridCol w:w="3657"/>
            <w:gridCol w:w="1645"/>
          </w:tblGrid>
          <w:tr w:rsidR="00972D3C" w:rsidRPr="00972D3C" w14:paraId="7C129CDF" w14:textId="77777777" w:rsidTr="00972D3C">
            <w:trPr>
              <w:trHeight w:val="315"/>
            </w:trPr>
            <w:tc>
              <w:tcPr>
                <w:tcW w:w="2041" w:type="pct"/>
                <w:tcBorders>
                  <w:top w:val="single" w:sz="8" w:space="0" w:color="808080"/>
                  <w:left w:val="single" w:sz="8" w:space="0" w:color="808080"/>
                  <w:bottom w:val="single" w:sz="8" w:space="0" w:color="808080"/>
                  <w:right w:val="single" w:sz="8" w:space="0" w:color="808080"/>
                </w:tcBorders>
                <w:shd w:val="clear" w:color="auto" w:fill="auto"/>
                <w:noWrap/>
                <w:vAlign w:val="center"/>
                <w:hideMark/>
              </w:tcPr>
              <w:p w14:paraId="5F8E5A1D" w14:textId="77777777" w:rsidR="00972D3C" w:rsidRPr="00972D3C" w:rsidRDefault="00972D3C" w:rsidP="00972D3C">
                <w:pPr>
                  <w:spacing w:after="0" w:line="240" w:lineRule="auto"/>
                  <w:jc w:val="center"/>
                  <w:rPr>
                    <w:rFonts w:ascii="Times New Roman" w:eastAsia="Times New Roman" w:hAnsi="Times New Roman"/>
                    <w:b/>
                    <w:bCs/>
                    <w:color w:val="000000"/>
                    <w:sz w:val="18"/>
                    <w:szCs w:val="18"/>
                    <w:lang w:eastAsia="es-CO"/>
                  </w:rPr>
                </w:pPr>
                <w:r w:rsidRPr="00972D3C">
                  <w:rPr>
                    <w:rFonts w:ascii="Times New Roman" w:eastAsia="Times New Roman" w:hAnsi="Times New Roman"/>
                    <w:b/>
                    <w:bCs/>
                    <w:color w:val="000000"/>
                    <w:sz w:val="18"/>
                    <w:szCs w:val="18"/>
                    <w:lang w:eastAsia="es-CO"/>
                  </w:rPr>
                  <w:t>Proyecto</w:t>
                </w:r>
              </w:p>
            </w:tc>
            <w:tc>
              <w:tcPr>
                <w:tcW w:w="2041" w:type="pct"/>
                <w:tcBorders>
                  <w:top w:val="single" w:sz="8" w:space="0" w:color="808080"/>
                  <w:left w:val="nil"/>
                  <w:bottom w:val="single" w:sz="8" w:space="0" w:color="808080"/>
                  <w:right w:val="single" w:sz="8" w:space="0" w:color="808080"/>
                </w:tcBorders>
                <w:shd w:val="clear" w:color="auto" w:fill="auto"/>
                <w:noWrap/>
                <w:vAlign w:val="center"/>
                <w:hideMark/>
              </w:tcPr>
              <w:p w14:paraId="7323ED96" w14:textId="77777777" w:rsidR="00972D3C" w:rsidRPr="00972D3C" w:rsidRDefault="00972D3C" w:rsidP="00972D3C">
                <w:pPr>
                  <w:spacing w:after="0" w:line="240" w:lineRule="auto"/>
                  <w:jc w:val="center"/>
                  <w:rPr>
                    <w:rFonts w:ascii="Times New Roman" w:eastAsia="Times New Roman" w:hAnsi="Times New Roman"/>
                    <w:b/>
                    <w:bCs/>
                    <w:color w:val="000000"/>
                    <w:sz w:val="18"/>
                    <w:szCs w:val="18"/>
                    <w:lang w:eastAsia="es-CO"/>
                  </w:rPr>
                </w:pPr>
                <w:r w:rsidRPr="00972D3C">
                  <w:rPr>
                    <w:rFonts w:ascii="Times New Roman" w:eastAsia="Times New Roman" w:hAnsi="Times New Roman"/>
                    <w:b/>
                    <w:bCs/>
                    <w:color w:val="000000"/>
                    <w:sz w:val="18"/>
                    <w:szCs w:val="18"/>
                    <w:lang w:eastAsia="es-CO"/>
                  </w:rPr>
                  <w:t>Riesgo</w:t>
                </w:r>
              </w:p>
            </w:tc>
            <w:tc>
              <w:tcPr>
                <w:tcW w:w="919" w:type="pct"/>
                <w:tcBorders>
                  <w:top w:val="single" w:sz="8" w:space="0" w:color="808080"/>
                  <w:left w:val="nil"/>
                  <w:bottom w:val="single" w:sz="8" w:space="0" w:color="808080"/>
                  <w:right w:val="single" w:sz="8" w:space="0" w:color="808080"/>
                </w:tcBorders>
                <w:shd w:val="clear" w:color="auto" w:fill="auto"/>
                <w:noWrap/>
                <w:vAlign w:val="center"/>
                <w:hideMark/>
              </w:tcPr>
              <w:p w14:paraId="445E98A4" w14:textId="77777777" w:rsidR="00972D3C" w:rsidRPr="00972D3C" w:rsidRDefault="00972D3C" w:rsidP="00972D3C">
                <w:pPr>
                  <w:spacing w:after="0" w:line="240" w:lineRule="auto"/>
                  <w:jc w:val="center"/>
                  <w:rPr>
                    <w:rFonts w:ascii="Times New Roman" w:eastAsia="Times New Roman" w:hAnsi="Times New Roman"/>
                    <w:b/>
                    <w:bCs/>
                    <w:color w:val="000000"/>
                    <w:sz w:val="18"/>
                    <w:szCs w:val="18"/>
                    <w:lang w:eastAsia="es-CO"/>
                  </w:rPr>
                </w:pPr>
                <w:r w:rsidRPr="00972D3C">
                  <w:rPr>
                    <w:rFonts w:ascii="Times New Roman" w:eastAsia="Times New Roman" w:hAnsi="Times New Roman"/>
                    <w:b/>
                    <w:bCs/>
                    <w:color w:val="000000"/>
                    <w:sz w:val="18"/>
                    <w:szCs w:val="18"/>
                    <w:lang w:eastAsia="es-CO"/>
                  </w:rPr>
                  <w:t xml:space="preserve"> Valor </w:t>
                </w:r>
              </w:p>
            </w:tc>
          </w:tr>
          <w:tr w:rsidR="00972D3C" w:rsidRPr="00972D3C" w14:paraId="635E5FEE" w14:textId="77777777" w:rsidTr="00972D3C">
            <w:trPr>
              <w:trHeight w:val="315"/>
            </w:trPr>
            <w:tc>
              <w:tcPr>
                <w:tcW w:w="2041" w:type="pct"/>
                <w:tcBorders>
                  <w:top w:val="nil"/>
                  <w:left w:val="single" w:sz="8" w:space="0" w:color="808080"/>
                  <w:bottom w:val="single" w:sz="8" w:space="0" w:color="808080"/>
                  <w:right w:val="single" w:sz="8" w:space="0" w:color="808080"/>
                </w:tcBorders>
                <w:shd w:val="clear" w:color="auto" w:fill="auto"/>
                <w:noWrap/>
                <w:vAlign w:val="center"/>
                <w:hideMark/>
              </w:tcPr>
              <w:p w14:paraId="71191A49" w14:textId="77777777" w:rsidR="00972D3C" w:rsidRPr="00972D3C" w:rsidRDefault="00972D3C" w:rsidP="00972D3C">
                <w:pPr>
                  <w:spacing w:after="0" w:line="240" w:lineRule="auto"/>
                  <w:rPr>
                    <w:rFonts w:ascii="Times New Roman" w:eastAsia="Times New Roman" w:hAnsi="Times New Roman"/>
                    <w:color w:val="000000"/>
                    <w:sz w:val="18"/>
                    <w:szCs w:val="18"/>
                    <w:lang w:eastAsia="es-CO"/>
                  </w:rPr>
                </w:pPr>
                <w:r w:rsidRPr="00972D3C">
                  <w:rPr>
                    <w:rFonts w:ascii="Times New Roman" w:eastAsia="Times New Roman" w:hAnsi="Times New Roman"/>
                    <w:color w:val="000000"/>
                    <w:sz w:val="18"/>
                    <w:szCs w:val="18"/>
                    <w:lang w:eastAsia="es-CO"/>
                  </w:rPr>
                  <w:t>Malla Vial del Valle del Cauca y Cauca</w:t>
                </w:r>
              </w:p>
            </w:tc>
            <w:tc>
              <w:tcPr>
                <w:tcW w:w="2041" w:type="pct"/>
                <w:tcBorders>
                  <w:top w:val="nil"/>
                  <w:left w:val="nil"/>
                  <w:bottom w:val="single" w:sz="8" w:space="0" w:color="808080"/>
                  <w:right w:val="single" w:sz="8" w:space="0" w:color="808080"/>
                </w:tcBorders>
                <w:shd w:val="clear" w:color="auto" w:fill="auto"/>
                <w:noWrap/>
                <w:vAlign w:val="center"/>
                <w:hideMark/>
              </w:tcPr>
              <w:p w14:paraId="6B124559" w14:textId="77777777" w:rsidR="00972D3C" w:rsidRPr="00972D3C" w:rsidRDefault="00972D3C" w:rsidP="00972D3C">
                <w:pPr>
                  <w:spacing w:after="0" w:line="240" w:lineRule="auto"/>
                  <w:jc w:val="center"/>
                  <w:rPr>
                    <w:rFonts w:ascii="Times New Roman" w:eastAsia="Times New Roman" w:hAnsi="Times New Roman"/>
                    <w:color w:val="000000"/>
                    <w:sz w:val="18"/>
                    <w:szCs w:val="18"/>
                    <w:lang w:eastAsia="es-CO"/>
                  </w:rPr>
                </w:pPr>
                <w:r w:rsidRPr="00972D3C">
                  <w:rPr>
                    <w:rFonts w:ascii="Times New Roman" w:eastAsia="Times New Roman" w:hAnsi="Times New Roman"/>
                    <w:color w:val="000000"/>
                    <w:sz w:val="18"/>
                    <w:szCs w:val="18"/>
                    <w:lang w:eastAsia="es-CO"/>
                  </w:rPr>
                  <w:t>Ambiental</w:t>
                </w:r>
              </w:p>
            </w:tc>
            <w:tc>
              <w:tcPr>
                <w:tcW w:w="919" w:type="pct"/>
                <w:tcBorders>
                  <w:top w:val="nil"/>
                  <w:left w:val="nil"/>
                  <w:bottom w:val="single" w:sz="8" w:space="0" w:color="808080"/>
                  <w:right w:val="single" w:sz="8" w:space="0" w:color="808080"/>
                </w:tcBorders>
                <w:shd w:val="clear" w:color="auto" w:fill="auto"/>
                <w:noWrap/>
                <w:vAlign w:val="center"/>
                <w:hideMark/>
              </w:tcPr>
              <w:p w14:paraId="36FB57A7" w14:textId="77777777" w:rsidR="00972D3C" w:rsidRPr="00972D3C" w:rsidRDefault="00972D3C" w:rsidP="00972D3C">
                <w:pPr>
                  <w:spacing w:after="0" w:line="240" w:lineRule="auto"/>
                  <w:jc w:val="right"/>
                  <w:rPr>
                    <w:rFonts w:ascii="Times New Roman" w:eastAsia="Times New Roman" w:hAnsi="Times New Roman"/>
                    <w:color w:val="000000"/>
                    <w:sz w:val="18"/>
                    <w:szCs w:val="18"/>
                    <w:lang w:eastAsia="es-CO"/>
                  </w:rPr>
                </w:pPr>
                <w:r w:rsidRPr="00972D3C">
                  <w:rPr>
                    <w:rFonts w:ascii="Times New Roman" w:eastAsia="Times New Roman" w:hAnsi="Times New Roman"/>
                    <w:color w:val="000000"/>
                    <w:sz w:val="18"/>
                    <w:szCs w:val="18"/>
                    <w:lang w:eastAsia="es-CO"/>
                  </w:rPr>
                  <w:t>581.503.570</w:t>
                </w:r>
              </w:p>
            </w:tc>
          </w:tr>
          <w:tr w:rsidR="00972D3C" w:rsidRPr="00972D3C" w14:paraId="1E32DA0B" w14:textId="77777777" w:rsidTr="00972D3C">
            <w:trPr>
              <w:trHeight w:val="315"/>
            </w:trPr>
            <w:tc>
              <w:tcPr>
                <w:tcW w:w="2041" w:type="pct"/>
                <w:tcBorders>
                  <w:top w:val="nil"/>
                  <w:left w:val="single" w:sz="8" w:space="0" w:color="808080"/>
                  <w:bottom w:val="single" w:sz="8" w:space="0" w:color="808080"/>
                  <w:right w:val="single" w:sz="8" w:space="0" w:color="808080"/>
                </w:tcBorders>
                <w:shd w:val="clear" w:color="auto" w:fill="auto"/>
                <w:noWrap/>
                <w:vAlign w:val="center"/>
                <w:hideMark/>
              </w:tcPr>
              <w:p w14:paraId="36932B7E" w14:textId="77777777" w:rsidR="00972D3C" w:rsidRPr="00972D3C" w:rsidRDefault="00972D3C" w:rsidP="00972D3C">
                <w:pPr>
                  <w:spacing w:after="0" w:line="240" w:lineRule="auto"/>
                  <w:rPr>
                    <w:rFonts w:ascii="Times New Roman" w:eastAsia="Times New Roman" w:hAnsi="Times New Roman"/>
                    <w:color w:val="000000"/>
                    <w:sz w:val="18"/>
                    <w:szCs w:val="18"/>
                    <w:lang w:eastAsia="es-CO"/>
                  </w:rPr>
                </w:pPr>
                <w:r w:rsidRPr="00972D3C">
                  <w:rPr>
                    <w:rFonts w:ascii="Times New Roman" w:eastAsia="Times New Roman" w:hAnsi="Times New Roman"/>
                    <w:color w:val="000000"/>
                    <w:sz w:val="18"/>
                    <w:szCs w:val="18"/>
                    <w:lang w:eastAsia="es-CO"/>
                  </w:rPr>
                  <w:t>Zona Metropolitana de Bucaramanga</w:t>
                </w:r>
              </w:p>
            </w:tc>
            <w:tc>
              <w:tcPr>
                <w:tcW w:w="2041" w:type="pct"/>
                <w:tcBorders>
                  <w:top w:val="nil"/>
                  <w:left w:val="nil"/>
                  <w:bottom w:val="single" w:sz="8" w:space="0" w:color="808080"/>
                  <w:right w:val="single" w:sz="8" w:space="0" w:color="808080"/>
                </w:tcBorders>
                <w:shd w:val="clear" w:color="auto" w:fill="auto"/>
                <w:noWrap/>
                <w:vAlign w:val="center"/>
                <w:hideMark/>
              </w:tcPr>
              <w:p w14:paraId="46F8482E" w14:textId="77777777" w:rsidR="00972D3C" w:rsidRPr="00972D3C" w:rsidRDefault="00972D3C" w:rsidP="00972D3C">
                <w:pPr>
                  <w:spacing w:after="0" w:line="240" w:lineRule="auto"/>
                  <w:jc w:val="center"/>
                  <w:rPr>
                    <w:rFonts w:ascii="Times New Roman" w:eastAsia="Times New Roman" w:hAnsi="Times New Roman"/>
                    <w:color w:val="000000"/>
                    <w:sz w:val="18"/>
                    <w:szCs w:val="18"/>
                    <w:lang w:eastAsia="es-CO"/>
                  </w:rPr>
                </w:pPr>
                <w:r w:rsidRPr="00972D3C">
                  <w:rPr>
                    <w:rFonts w:ascii="Times New Roman" w:eastAsia="Times New Roman" w:hAnsi="Times New Roman"/>
                    <w:color w:val="000000"/>
                    <w:sz w:val="18"/>
                    <w:szCs w:val="18"/>
                    <w:lang w:eastAsia="es-CO"/>
                  </w:rPr>
                  <w:t>Predial</w:t>
                </w:r>
              </w:p>
            </w:tc>
            <w:tc>
              <w:tcPr>
                <w:tcW w:w="919" w:type="pct"/>
                <w:tcBorders>
                  <w:top w:val="nil"/>
                  <w:left w:val="nil"/>
                  <w:bottom w:val="single" w:sz="8" w:space="0" w:color="808080"/>
                  <w:right w:val="single" w:sz="8" w:space="0" w:color="808080"/>
                </w:tcBorders>
                <w:shd w:val="clear" w:color="auto" w:fill="auto"/>
                <w:noWrap/>
                <w:vAlign w:val="center"/>
                <w:hideMark/>
              </w:tcPr>
              <w:p w14:paraId="3DF5EA86" w14:textId="77777777" w:rsidR="00972D3C" w:rsidRPr="00972D3C" w:rsidRDefault="00972D3C" w:rsidP="00972D3C">
                <w:pPr>
                  <w:spacing w:after="0" w:line="240" w:lineRule="auto"/>
                  <w:jc w:val="right"/>
                  <w:rPr>
                    <w:rFonts w:ascii="Times New Roman" w:eastAsia="Times New Roman" w:hAnsi="Times New Roman"/>
                    <w:color w:val="000000"/>
                    <w:sz w:val="18"/>
                    <w:szCs w:val="18"/>
                    <w:lang w:eastAsia="es-CO"/>
                  </w:rPr>
                </w:pPr>
                <w:r w:rsidRPr="00972D3C">
                  <w:rPr>
                    <w:rFonts w:ascii="Times New Roman" w:eastAsia="Times New Roman" w:hAnsi="Times New Roman"/>
                    <w:color w:val="000000"/>
                    <w:sz w:val="18"/>
                    <w:szCs w:val="18"/>
                    <w:lang w:eastAsia="es-CO"/>
                  </w:rPr>
                  <w:t>393.841.242</w:t>
                </w:r>
              </w:p>
            </w:tc>
          </w:tr>
          <w:tr w:rsidR="00972D3C" w:rsidRPr="00972D3C" w14:paraId="4D53CB95" w14:textId="77777777" w:rsidTr="00972D3C">
            <w:trPr>
              <w:trHeight w:val="315"/>
            </w:trPr>
            <w:tc>
              <w:tcPr>
                <w:tcW w:w="2041" w:type="pct"/>
                <w:tcBorders>
                  <w:top w:val="nil"/>
                  <w:left w:val="single" w:sz="8" w:space="0" w:color="808080"/>
                  <w:bottom w:val="single" w:sz="8" w:space="0" w:color="808080"/>
                  <w:right w:val="single" w:sz="8" w:space="0" w:color="808080"/>
                </w:tcBorders>
                <w:shd w:val="clear" w:color="auto" w:fill="auto"/>
                <w:noWrap/>
                <w:vAlign w:val="center"/>
                <w:hideMark/>
              </w:tcPr>
              <w:p w14:paraId="1FE396CA" w14:textId="77777777" w:rsidR="00972D3C" w:rsidRPr="00972D3C" w:rsidRDefault="00972D3C" w:rsidP="00972D3C">
                <w:pPr>
                  <w:spacing w:after="0" w:line="240" w:lineRule="auto"/>
                  <w:rPr>
                    <w:rFonts w:ascii="Times New Roman" w:eastAsia="Times New Roman" w:hAnsi="Times New Roman"/>
                    <w:color w:val="000000"/>
                    <w:sz w:val="18"/>
                    <w:szCs w:val="18"/>
                    <w:lang w:eastAsia="es-CO"/>
                  </w:rPr>
                </w:pPr>
                <w:r w:rsidRPr="00972D3C">
                  <w:rPr>
                    <w:rFonts w:ascii="Times New Roman" w:eastAsia="Times New Roman" w:hAnsi="Times New Roman"/>
                    <w:color w:val="000000"/>
                    <w:sz w:val="18"/>
                    <w:szCs w:val="18"/>
                    <w:lang w:eastAsia="es-CO"/>
                  </w:rPr>
                  <w:t>Malla Vial del Valle del Cauca y Cauca</w:t>
                </w:r>
              </w:p>
            </w:tc>
            <w:tc>
              <w:tcPr>
                <w:tcW w:w="2041" w:type="pct"/>
                <w:tcBorders>
                  <w:top w:val="nil"/>
                  <w:left w:val="nil"/>
                  <w:bottom w:val="single" w:sz="8" w:space="0" w:color="808080"/>
                  <w:right w:val="single" w:sz="8" w:space="0" w:color="808080"/>
                </w:tcBorders>
                <w:shd w:val="clear" w:color="auto" w:fill="auto"/>
                <w:noWrap/>
                <w:vAlign w:val="center"/>
                <w:hideMark/>
              </w:tcPr>
              <w:p w14:paraId="791C7F19" w14:textId="77777777" w:rsidR="00972D3C" w:rsidRPr="00972D3C" w:rsidRDefault="00972D3C" w:rsidP="00972D3C">
                <w:pPr>
                  <w:spacing w:after="0" w:line="240" w:lineRule="auto"/>
                  <w:jc w:val="center"/>
                  <w:rPr>
                    <w:rFonts w:ascii="Times New Roman" w:eastAsia="Times New Roman" w:hAnsi="Times New Roman"/>
                    <w:color w:val="000000"/>
                    <w:sz w:val="18"/>
                    <w:szCs w:val="18"/>
                    <w:lang w:eastAsia="es-CO"/>
                  </w:rPr>
                </w:pPr>
                <w:r w:rsidRPr="00972D3C">
                  <w:rPr>
                    <w:rFonts w:ascii="Times New Roman" w:eastAsia="Times New Roman" w:hAnsi="Times New Roman"/>
                    <w:color w:val="000000"/>
                    <w:sz w:val="18"/>
                    <w:szCs w:val="18"/>
                    <w:lang w:eastAsia="es-CO"/>
                  </w:rPr>
                  <w:t>Predial</w:t>
                </w:r>
              </w:p>
            </w:tc>
            <w:tc>
              <w:tcPr>
                <w:tcW w:w="919" w:type="pct"/>
                <w:tcBorders>
                  <w:top w:val="nil"/>
                  <w:left w:val="nil"/>
                  <w:bottom w:val="single" w:sz="8" w:space="0" w:color="808080"/>
                  <w:right w:val="single" w:sz="8" w:space="0" w:color="808080"/>
                </w:tcBorders>
                <w:shd w:val="clear" w:color="auto" w:fill="auto"/>
                <w:noWrap/>
                <w:vAlign w:val="center"/>
                <w:hideMark/>
              </w:tcPr>
              <w:p w14:paraId="5544D95E" w14:textId="77777777" w:rsidR="00972D3C" w:rsidRPr="00972D3C" w:rsidRDefault="00972D3C" w:rsidP="00972D3C">
                <w:pPr>
                  <w:spacing w:after="0" w:line="240" w:lineRule="auto"/>
                  <w:jc w:val="right"/>
                  <w:rPr>
                    <w:rFonts w:ascii="Times New Roman" w:eastAsia="Times New Roman" w:hAnsi="Times New Roman"/>
                    <w:color w:val="000000"/>
                    <w:sz w:val="18"/>
                    <w:szCs w:val="18"/>
                    <w:lang w:eastAsia="es-CO"/>
                  </w:rPr>
                </w:pPr>
                <w:r w:rsidRPr="00972D3C">
                  <w:rPr>
                    <w:rFonts w:ascii="Times New Roman" w:eastAsia="Times New Roman" w:hAnsi="Times New Roman"/>
                    <w:color w:val="000000"/>
                    <w:sz w:val="18"/>
                    <w:szCs w:val="18"/>
                    <w:lang w:eastAsia="es-CO"/>
                  </w:rPr>
                  <w:t>299.120.131</w:t>
                </w:r>
              </w:p>
            </w:tc>
          </w:tr>
          <w:tr w:rsidR="00972D3C" w:rsidRPr="00972D3C" w14:paraId="1363F4B9" w14:textId="77777777" w:rsidTr="00972D3C">
            <w:trPr>
              <w:trHeight w:val="315"/>
            </w:trPr>
            <w:tc>
              <w:tcPr>
                <w:tcW w:w="2041" w:type="pct"/>
                <w:tcBorders>
                  <w:top w:val="nil"/>
                  <w:left w:val="single" w:sz="8" w:space="0" w:color="808080"/>
                  <w:bottom w:val="single" w:sz="8" w:space="0" w:color="808080"/>
                  <w:right w:val="single" w:sz="8" w:space="0" w:color="808080"/>
                </w:tcBorders>
                <w:shd w:val="clear" w:color="auto" w:fill="auto"/>
                <w:noWrap/>
                <w:vAlign w:val="center"/>
                <w:hideMark/>
              </w:tcPr>
              <w:p w14:paraId="22B5E434" w14:textId="77777777" w:rsidR="00972D3C" w:rsidRPr="00972D3C" w:rsidRDefault="00972D3C" w:rsidP="00972D3C">
                <w:pPr>
                  <w:spacing w:after="0" w:line="240" w:lineRule="auto"/>
                  <w:rPr>
                    <w:rFonts w:ascii="Times New Roman" w:eastAsia="Times New Roman" w:hAnsi="Times New Roman"/>
                    <w:color w:val="000000"/>
                    <w:sz w:val="18"/>
                    <w:szCs w:val="18"/>
                    <w:lang w:eastAsia="es-CO"/>
                  </w:rPr>
                </w:pPr>
                <w:r w:rsidRPr="00972D3C">
                  <w:rPr>
                    <w:rFonts w:ascii="Times New Roman" w:eastAsia="Times New Roman" w:hAnsi="Times New Roman"/>
                    <w:color w:val="000000"/>
                    <w:sz w:val="18"/>
                    <w:szCs w:val="18"/>
                    <w:lang w:eastAsia="es-CO"/>
                  </w:rPr>
                  <w:t>Zona Metropolitana de Bucaramanga</w:t>
                </w:r>
              </w:p>
            </w:tc>
            <w:tc>
              <w:tcPr>
                <w:tcW w:w="2041" w:type="pct"/>
                <w:tcBorders>
                  <w:top w:val="nil"/>
                  <w:left w:val="nil"/>
                  <w:bottom w:val="single" w:sz="8" w:space="0" w:color="808080"/>
                  <w:right w:val="single" w:sz="8" w:space="0" w:color="808080"/>
                </w:tcBorders>
                <w:shd w:val="clear" w:color="auto" w:fill="auto"/>
                <w:noWrap/>
                <w:vAlign w:val="center"/>
                <w:hideMark/>
              </w:tcPr>
              <w:p w14:paraId="370066E6" w14:textId="77777777" w:rsidR="00972D3C" w:rsidRPr="00972D3C" w:rsidRDefault="00972D3C" w:rsidP="00972D3C">
                <w:pPr>
                  <w:spacing w:after="0" w:line="240" w:lineRule="auto"/>
                  <w:jc w:val="center"/>
                  <w:rPr>
                    <w:rFonts w:ascii="Times New Roman" w:eastAsia="Times New Roman" w:hAnsi="Times New Roman"/>
                    <w:color w:val="000000"/>
                    <w:sz w:val="18"/>
                    <w:szCs w:val="18"/>
                    <w:lang w:eastAsia="es-CO"/>
                  </w:rPr>
                </w:pPr>
                <w:r w:rsidRPr="00972D3C">
                  <w:rPr>
                    <w:rFonts w:ascii="Times New Roman" w:eastAsia="Times New Roman" w:hAnsi="Times New Roman"/>
                    <w:color w:val="000000"/>
                    <w:sz w:val="18"/>
                    <w:szCs w:val="18"/>
                    <w:lang w:eastAsia="es-CO"/>
                  </w:rPr>
                  <w:t>Predial</w:t>
                </w:r>
              </w:p>
            </w:tc>
            <w:tc>
              <w:tcPr>
                <w:tcW w:w="919" w:type="pct"/>
                <w:tcBorders>
                  <w:top w:val="nil"/>
                  <w:left w:val="nil"/>
                  <w:bottom w:val="single" w:sz="8" w:space="0" w:color="808080"/>
                  <w:right w:val="single" w:sz="8" w:space="0" w:color="808080"/>
                </w:tcBorders>
                <w:shd w:val="clear" w:color="auto" w:fill="auto"/>
                <w:noWrap/>
                <w:vAlign w:val="center"/>
                <w:hideMark/>
              </w:tcPr>
              <w:p w14:paraId="25784E63" w14:textId="77777777" w:rsidR="00972D3C" w:rsidRPr="00972D3C" w:rsidRDefault="00972D3C" w:rsidP="00972D3C">
                <w:pPr>
                  <w:spacing w:after="0" w:line="240" w:lineRule="auto"/>
                  <w:jc w:val="right"/>
                  <w:rPr>
                    <w:rFonts w:ascii="Times New Roman" w:eastAsia="Times New Roman" w:hAnsi="Times New Roman"/>
                    <w:color w:val="000000"/>
                    <w:sz w:val="18"/>
                    <w:szCs w:val="18"/>
                    <w:lang w:eastAsia="es-CO"/>
                  </w:rPr>
                </w:pPr>
                <w:r w:rsidRPr="00972D3C">
                  <w:rPr>
                    <w:rFonts w:ascii="Times New Roman" w:eastAsia="Times New Roman" w:hAnsi="Times New Roman"/>
                    <w:color w:val="000000"/>
                    <w:sz w:val="18"/>
                    <w:szCs w:val="18"/>
                    <w:lang w:eastAsia="es-CO"/>
                  </w:rPr>
                  <w:t>167.862.966</w:t>
                </w:r>
              </w:p>
            </w:tc>
          </w:tr>
          <w:tr w:rsidR="00972D3C" w:rsidRPr="00972D3C" w14:paraId="3CD5FD9E" w14:textId="77777777" w:rsidTr="00972D3C">
            <w:trPr>
              <w:trHeight w:val="315"/>
            </w:trPr>
            <w:tc>
              <w:tcPr>
                <w:tcW w:w="2041" w:type="pct"/>
                <w:tcBorders>
                  <w:top w:val="nil"/>
                  <w:left w:val="single" w:sz="8" w:space="0" w:color="808080"/>
                  <w:bottom w:val="single" w:sz="8" w:space="0" w:color="808080"/>
                  <w:right w:val="single" w:sz="8" w:space="0" w:color="808080"/>
                </w:tcBorders>
                <w:shd w:val="clear" w:color="auto" w:fill="auto"/>
                <w:noWrap/>
                <w:vAlign w:val="center"/>
                <w:hideMark/>
              </w:tcPr>
              <w:p w14:paraId="7CB01EFE" w14:textId="77777777" w:rsidR="00972D3C" w:rsidRPr="00972D3C" w:rsidRDefault="00972D3C" w:rsidP="00972D3C">
                <w:pPr>
                  <w:spacing w:after="0" w:line="240" w:lineRule="auto"/>
                  <w:rPr>
                    <w:rFonts w:ascii="Times New Roman" w:eastAsia="Times New Roman" w:hAnsi="Times New Roman"/>
                    <w:color w:val="000000"/>
                    <w:sz w:val="18"/>
                    <w:szCs w:val="18"/>
                    <w:lang w:eastAsia="es-CO"/>
                  </w:rPr>
                </w:pPr>
                <w:r w:rsidRPr="00972D3C">
                  <w:rPr>
                    <w:rFonts w:ascii="Times New Roman" w:eastAsia="Times New Roman" w:hAnsi="Times New Roman"/>
                    <w:color w:val="000000"/>
                    <w:sz w:val="18"/>
                    <w:szCs w:val="18"/>
                    <w:lang w:eastAsia="es-CO"/>
                  </w:rPr>
                  <w:t>Malla Vial del Valle del Cauca y Cauca</w:t>
                </w:r>
              </w:p>
            </w:tc>
            <w:tc>
              <w:tcPr>
                <w:tcW w:w="2041" w:type="pct"/>
                <w:tcBorders>
                  <w:top w:val="nil"/>
                  <w:left w:val="nil"/>
                  <w:bottom w:val="single" w:sz="8" w:space="0" w:color="808080"/>
                  <w:right w:val="single" w:sz="8" w:space="0" w:color="808080"/>
                </w:tcBorders>
                <w:shd w:val="clear" w:color="auto" w:fill="auto"/>
                <w:noWrap/>
                <w:vAlign w:val="center"/>
                <w:hideMark/>
              </w:tcPr>
              <w:p w14:paraId="0BA1E28C" w14:textId="77777777" w:rsidR="00972D3C" w:rsidRPr="00972D3C" w:rsidRDefault="00972D3C" w:rsidP="00972D3C">
                <w:pPr>
                  <w:spacing w:after="0" w:line="240" w:lineRule="auto"/>
                  <w:jc w:val="center"/>
                  <w:rPr>
                    <w:rFonts w:ascii="Times New Roman" w:eastAsia="Times New Roman" w:hAnsi="Times New Roman"/>
                    <w:color w:val="000000"/>
                    <w:sz w:val="18"/>
                    <w:szCs w:val="18"/>
                    <w:lang w:eastAsia="es-CO"/>
                  </w:rPr>
                </w:pPr>
                <w:r w:rsidRPr="00972D3C">
                  <w:rPr>
                    <w:rFonts w:ascii="Times New Roman" w:eastAsia="Times New Roman" w:hAnsi="Times New Roman"/>
                    <w:color w:val="000000"/>
                    <w:sz w:val="18"/>
                    <w:szCs w:val="18"/>
                    <w:lang w:eastAsia="es-CO"/>
                  </w:rPr>
                  <w:t>Predial</w:t>
                </w:r>
              </w:p>
            </w:tc>
            <w:tc>
              <w:tcPr>
                <w:tcW w:w="919" w:type="pct"/>
                <w:tcBorders>
                  <w:top w:val="nil"/>
                  <w:left w:val="nil"/>
                  <w:bottom w:val="single" w:sz="8" w:space="0" w:color="808080"/>
                  <w:right w:val="single" w:sz="8" w:space="0" w:color="808080"/>
                </w:tcBorders>
                <w:shd w:val="clear" w:color="auto" w:fill="auto"/>
                <w:noWrap/>
                <w:vAlign w:val="center"/>
                <w:hideMark/>
              </w:tcPr>
              <w:p w14:paraId="5C7CDA77" w14:textId="77777777" w:rsidR="00972D3C" w:rsidRPr="00972D3C" w:rsidRDefault="00972D3C" w:rsidP="00972D3C">
                <w:pPr>
                  <w:spacing w:after="0" w:line="240" w:lineRule="auto"/>
                  <w:jc w:val="right"/>
                  <w:rPr>
                    <w:rFonts w:ascii="Times New Roman" w:eastAsia="Times New Roman" w:hAnsi="Times New Roman"/>
                    <w:color w:val="000000"/>
                    <w:sz w:val="18"/>
                    <w:szCs w:val="18"/>
                    <w:lang w:eastAsia="es-CO"/>
                  </w:rPr>
                </w:pPr>
                <w:r w:rsidRPr="00972D3C">
                  <w:rPr>
                    <w:rFonts w:ascii="Times New Roman" w:eastAsia="Times New Roman" w:hAnsi="Times New Roman"/>
                    <w:color w:val="000000"/>
                    <w:sz w:val="18"/>
                    <w:szCs w:val="18"/>
                    <w:lang w:eastAsia="es-CO"/>
                  </w:rPr>
                  <w:t>54.794.781</w:t>
                </w:r>
              </w:p>
            </w:tc>
          </w:tr>
          <w:tr w:rsidR="00972D3C" w:rsidRPr="00972D3C" w14:paraId="112593BA" w14:textId="77777777" w:rsidTr="00972D3C">
            <w:trPr>
              <w:trHeight w:val="315"/>
            </w:trPr>
            <w:tc>
              <w:tcPr>
                <w:tcW w:w="2041" w:type="pct"/>
                <w:tcBorders>
                  <w:top w:val="nil"/>
                  <w:left w:val="single" w:sz="8" w:space="0" w:color="808080"/>
                  <w:bottom w:val="single" w:sz="8" w:space="0" w:color="808080"/>
                  <w:right w:val="single" w:sz="8" w:space="0" w:color="808080"/>
                </w:tcBorders>
                <w:shd w:val="clear" w:color="auto" w:fill="auto"/>
                <w:noWrap/>
                <w:vAlign w:val="center"/>
                <w:hideMark/>
              </w:tcPr>
              <w:p w14:paraId="786F6FEF" w14:textId="77777777" w:rsidR="00972D3C" w:rsidRPr="00972D3C" w:rsidRDefault="00972D3C" w:rsidP="00972D3C">
                <w:pPr>
                  <w:spacing w:after="0" w:line="240" w:lineRule="auto"/>
                  <w:rPr>
                    <w:rFonts w:ascii="Times New Roman" w:eastAsia="Times New Roman" w:hAnsi="Times New Roman"/>
                    <w:color w:val="000000"/>
                    <w:sz w:val="18"/>
                    <w:szCs w:val="18"/>
                    <w:lang w:eastAsia="es-CO"/>
                  </w:rPr>
                </w:pPr>
                <w:r w:rsidRPr="00972D3C">
                  <w:rPr>
                    <w:rFonts w:ascii="Times New Roman" w:eastAsia="Times New Roman" w:hAnsi="Times New Roman"/>
                    <w:color w:val="000000"/>
                    <w:sz w:val="18"/>
                    <w:szCs w:val="18"/>
                    <w:lang w:eastAsia="es-CO"/>
                  </w:rPr>
                  <w:t>Malla Vial del Valle del Cauca y Cauca</w:t>
                </w:r>
              </w:p>
            </w:tc>
            <w:tc>
              <w:tcPr>
                <w:tcW w:w="2041" w:type="pct"/>
                <w:tcBorders>
                  <w:top w:val="nil"/>
                  <w:left w:val="nil"/>
                  <w:bottom w:val="single" w:sz="8" w:space="0" w:color="808080"/>
                  <w:right w:val="single" w:sz="8" w:space="0" w:color="808080"/>
                </w:tcBorders>
                <w:shd w:val="clear" w:color="auto" w:fill="auto"/>
                <w:noWrap/>
                <w:vAlign w:val="center"/>
                <w:hideMark/>
              </w:tcPr>
              <w:p w14:paraId="66262659" w14:textId="77777777" w:rsidR="00972D3C" w:rsidRPr="00972D3C" w:rsidRDefault="00972D3C" w:rsidP="00972D3C">
                <w:pPr>
                  <w:spacing w:after="0" w:line="240" w:lineRule="auto"/>
                  <w:jc w:val="center"/>
                  <w:rPr>
                    <w:rFonts w:ascii="Times New Roman" w:eastAsia="Times New Roman" w:hAnsi="Times New Roman"/>
                    <w:color w:val="000000"/>
                    <w:sz w:val="18"/>
                    <w:szCs w:val="18"/>
                    <w:lang w:eastAsia="es-CO"/>
                  </w:rPr>
                </w:pPr>
                <w:r w:rsidRPr="00972D3C">
                  <w:rPr>
                    <w:rFonts w:ascii="Times New Roman" w:eastAsia="Times New Roman" w:hAnsi="Times New Roman"/>
                    <w:color w:val="000000"/>
                    <w:sz w:val="18"/>
                    <w:szCs w:val="18"/>
                    <w:lang w:eastAsia="es-CO"/>
                  </w:rPr>
                  <w:t>Predial</w:t>
                </w:r>
              </w:p>
            </w:tc>
            <w:tc>
              <w:tcPr>
                <w:tcW w:w="919" w:type="pct"/>
                <w:tcBorders>
                  <w:top w:val="nil"/>
                  <w:left w:val="nil"/>
                  <w:bottom w:val="single" w:sz="8" w:space="0" w:color="808080"/>
                  <w:right w:val="single" w:sz="8" w:space="0" w:color="808080"/>
                </w:tcBorders>
                <w:shd w:val="clear" w:color="auto" w:fill="auto"/>
                <w:noWrap/>
                <w:vAlign w:val="center"/>
                <w:hideMark/>
              </w:tcPr>
              <w:p w14:paraId="609A0E5B" w14:textId="77777777" w:rsidR="00972D3C" w:rsidRPr="00972D3C" w:rsidRDefault="00972D3C" w:rsidP="00972D3C">
                <w:pPr>
                  <w:spacing w:after="0" w:line="240" w:lineRule="auto"/>
                  <w:jc w:val="right"/>
                  <w:rPr>
                    <w:rFonts w:ascii="Times New Roman" w:eastAsia="Times New Roman" w:hAnsi="Times New Roman"/>
                    <w:color w:val="000000"/>
                    <w:sz w:val="18"/>
                    <w:szCs w:val="18"/>
                    <w:lang w:eastAsia="es-CO"/>
                  </w:rPr>
                </w:pPr>
                <w:r w:rsidRPr="00972D3C">
                  <w:rPr>
                    <w:rFonts w:ascii="Times New Roman" w:eastAsia="Times New Roman" w:hAnsi="Times New Roman"/>
                    <w:color w:val="000000"/>
                    <w:sz w:val="18"/>
                    <w:szCs w:val="18"/>
                    <w:lang w:eastAsia="es-CO"/>
                  </w:rPr>
                  <w:t>27.783.752</w:t>
                </w:r>
              </w:p>
            </w:tc>
          </w:tr>
          <w:tr w:rsidR="00972D3C" w:rsidRPr="00972D3C" w14:paraId="06863C54" w14:textId="77777777" w:rsidTr="00972D3C">
            <w:trPr>
              <w:trHeight w:val="315"/>
            </w:trPr>
            <w:tc>
              <w:tcPr>
                <w:tcW w:w="4081" w:type="pct"/>
                <w:gridSpan w:val="2"/>
                <w:tcBorders>
                  <w:top w:val="single" w:sz="8" w:space="0" w:color="808080"/>
                  <w:left w:val="single" w:sz="8" w:space="0" w:color="808080"/>
                  <w:bottom w:val="single" w:sz="8" w:space="0" w:color="808080"/>
                  <w:right w:val="single" w:sz="8" w:space="0" w:color="808080"/>
                </w:tcBorders>
                <w:shd w:val="clear" w:color="auto" w:fill="auto"/>
                <w:noWrap/>
                <w:vAlign w:val="center"/>
                <w:hideMark/>
              </w:tcPr>
              <w:p w14:paraId="69A0F1CD" w14:textId="77777777" w:rsidR="00972D3C" w:rsidRPr="00972D3C" w:rsidRDefault="00972D3C" w:rsidP="00972D3C">
                <w:pPr>
                  <w:spacing w:after="0" w:line="240" w:lineRule="auto"/>
                  <w:jc w:val="center"/>
                  <w:rPr>
                    <w:rFonts w:ascii="Times New Roman" w:eastAsia="Times New Roman" w:hAnsi="Times New Roman"/>
                    <w:b/>
                    <w:bCs/>
                    <w:color w:val="000000"/>
                    <w:sz w:val="18"/>
                    <w:szCs w:val="18"/>
                    <w:lang w:eastAsia="es-CO"/>
                  </w:rPr>
                </w:pPr>
                <w:r w:rsidRPr="00972D3C">
                  <w:rPr>
                    <w:rFonts w:ascii="Times New Roman" w:eastAsia="Times New Roman" w:hAnsi="Times New Roman"/>
                    <w:b/>
                    <w:bCs/>
                    <w:color w:val="000000"/>
                    <w:sz w:val="18"/>
                    <w:szCs w:val="18"/>
                    <w:lang w:eastAsia="es-CO"/>
                  </w:rPr>
                  <w:t>Total</w:t>
                </w:r>
              </w:p>
            </w:tc>
            <w:tc>
              <w:tcPr>
                <w:tcW w:w="919" w:type="pct"/>
                <w:tcBorders>
                  <w:top w:val="nil"/>
                  <w:left w:val="nil"/>
                  <w:bottom w:val="single" w:sz="8" w:space="0" w:color="808080"/>
                  <w:right w:val="single" w:sz="8" w:space="0" w:color="808080"/>
                </w:tcBorders>
                <w:shd w:val="clear" w:color="auto" w:fill="auto"/>
                <w:noWrap/>
                <w:vAlign w:val="center"/>
                <w:hideMark/>
              </w:tcPr>
              <w:p w14:paraId="5E693E41" w14:textId="77777777" w:rsidR="00972D3C" w:rsidRPr="00972D3C" w:rsidRDefault="00972D3C" w:rsidP="00972D3C">
                <w:pPr>
                  <w:spacing w:after="0" w:line="240" w:lineRule="auto"/>
                  <w:jc w:val="right"/>
                  <w:rPr>
                    <w:rFonts w:ascii="Times New Roman" w:eastAsia="Times New Roman" w:hAnsi="Times New Roman"/>
                    <w:b/>
                    <w:bCs/>
                    <w:color w:val="000000"/>
                    <w:sz w:val="18"/>
                    <w:szCs w:val="18"/>
                    <w:lang w:eastAsia="es-CO"/>
                  </w:rPr>
                </w:pPr>
                <w:r w:rsidRPr="00972D3C">
                  <w:rPr>
                    <w:rFonts w:ascii="Times New Roman" w:eastAsia="Times New Roman" w:hAnsi="Times New Roman"/>
                    <w:b/>
                    <w:bCs/>
                    <w:color w:val="000000"/>
                    <w:sz w:val="18"/>
                    <w:szCs w:val="18"/>
                    <w:lang w:eastAsia="es-CO"/>
                  </w:rPr>
                  <w:t>1.524.906.442</w:t>
                </w:r>
              </w:p>
            </w:tc>
          </w:tr>
        </w:tbl>
        <w:p w14:paraId="01222410" w14:textId="1118A78A" w:rsidR="00DE7E53" w:rsidRPr="00931DCE" w:rsidRDefault="00AD2026" w:rsidP="00DE7E53">
          <w:pPr>
            <w:autoSpaceDE w:val="0"/>
            <w:autoSpaceDN w:val="0"/>
            <w:adjustRightInd w:val="0"/>
            <w:spacing w:after="0" w:line="240" w:lineRule="auto"/>
            <w:jc w:val="both"/>
            <w:rPr>
              <w:rFonts w:ascii="Times New Roman" w:hAnsi="Times New Roman"/>
              <w:sz w:val="16"/>
              <w:szCs w:val="16"/>
              <w:lang w:eastAsia="es-CO"/>
            </w:rPr>
          </w:pPr>
          <w:r w:rsidRPr="00931DCE">
            <w:rPr>
              <w:rFonts w:ascii="Times New Roman" w:hAnsi="Times New Roman"/>
              <w:sz w:val="16"/>
              <w:szCs w:val="16"/>
              <w:lang w:eastAsia="es-CO"/>
            </w:rPr>
            <w:t>Cifras expresadas en pesos</w:t>
          </w:r>
        </w:p>
        <w:p w14:paraId="28ECC843" w14:textId="77777777" w:rsidR="00594EBE" w:rsidRPr="00931DCE" w:rsidRDefault="00594EBE" w:rsidP="002358EB">
          <w:pPr>
            <w:spacing w:after="0" w:line="240" w:lineRule="auto"/>
            <w:jc w:val="both"/>
            <w:rPr>
              <w:rFonts w:ascii="Times New Roman" w:hAnsi="Times New Roman"/>
              <w:sz w:val="24"/>
              <w:szCs w:val="24"/>
              <w:u w:val="single"/>
            </w:rPr>
          </w:pPr>
          <w:bookmarkStart w:id="54" w:name="_Toc65252977"/>
        </w:p>
        <w:p w14:paraId="26A9BA4E" w14:textId="77777777" w:rsidR="00475AAF" w:rsidRDefault="00DE7E53" w:rsidP="00C00D18">
          <w:pPr>
            <w:spacing w:after="0" w:line="240" w:lineRule="auto"/>
            <w:jc w:val="both"/>
            <w:rPr>
              <w:rFonts w:ascii="Times New Roman" w:hAnsi="Times New Roman"/>
              <w:b/>
              <w:color w:val="1F3864" w:themeColor="accent1" w:themeShade="80"/>
              <w:sz w:val="24"/>
              <w:szCs w:val="24"/>
            </w:rPr>
          </w:pPr>
          <w:r w:rsidRPr="00475AAF">
            <w:rPr>
              <w:rFonts w:ascii="Times New Roman" w:hAnsi="Times New Roman"/>
              <w:b/>
              <w:color w:val="1F3864" w:themeColor="accent1" w:themeShade="80"/>
              <w:sz w:val="24"/>
              <w:szCs w:val="24"/>
            </w:rPr>
            <w:t xml:space="preserve">Depósitos </w:t>
          </w:r>
          <w:r w:rsidR="0009340D" w:rsidRPr="00475AAF">
            <w:rPr>
              <w:rFonts w:ascii="Times New Roman" w:hAnsi="Times New Roman"/>
              <w:b/>
              <w:color w:val="1F3864" w:themeColor="accent1" w:themeShade="80"/>
              <w:sz w:val="24"/>
              <w:szCs w:val="24"/>
            </w:rPr>
            <w:t>Judiciales</w:t>
          </w:r>
        </w:p>
        <w:p w14:paraId="366B5F44" w14:textId="77777777" w:rsidR="00AF0948" w:rsidRDefault="00AF0948" w:rsidP="00C00D18">
          <w:pPr>
            <w:spacing w:after="0" w:line="240" w:lineRule="auto"/>
            <w:jc w:val="both"/>
            <w:rPr>
              <w:rFonts w:ascii="Times New Roman" w:hAnsi="Times New Roman"/>
              <w:sz w:val="24"/>
              <w:szCs w:val="24"/>
            </w:rPr>
          </w:pPr>
        </w:p>
        <w:p w14:paraId="3A462D2D" w14:textId="4A3D8D87" w:rsidR="00646DF7" w:rsidRDefault="00F00E6A" w:rsidP="00C00D18">
          <w:pPr>
            <w:spacing w:after="0" w:line="240" w:lineRule="auto"/>
            <w:jc w:val="both"/>
            <w:rPr>
              <w:rFonts w:ascii="Times New Roman" w:hAnsi="Times New Roman"/>
              <w:sz w:val="24"/>
              <w:szCs w:val="24"/>
            </w:rPr>
          </w:pPr>
          <w:r>
            <w:rPr>
              <w:rFonts w:ascii="Times New Roman" w:hAnsi="Times New Roman"/>
              <w:sz w:val="24"/>
              <w:szCs w:val="24"/>
            </w:rPr>
            <w:t>El saldo que refleja esta subcuenta por valor de $</w:t>
          </w:r>
          <w:r w:rsidR="00963000" w:rsidRPr="00963000">
            <w:rPr>
              <w:rFonts w:ascii="Times New Roman" w:hAnsi="Times New Roman"/>
              <w:sz w:val="24"/>
              <w:szCs w:val="24"/>
            </w:rPr>
            <w:t>109</w:t>
          </w:r>
          <w:r w:rsidR="00963000">
            <w:rPr>
              <w:rFonts w:ascii="Times New Roman" w:hAnsi="Times New Roman"/>
              <w:sz w:val="24"/>
              <w:szCs w:val="24"/>
            </w:rPr>
            <w:t>.</w:t>
          </w:r>
          <w:r w:rsidR="00963000" w:rsidRPr="00963000">
            <w:rPr>
              <w:rFonts w:ascii="Times New Roman" w:hAnsi="Times New Roman"/>
              <w:sz w:val="24"/>
              <w:szCs w:val="24"/>
            </w:rPr>
            <w:t>904</w:t>
          </w:r>
          <w:r w:rsidR="00963000">
            <w:rPr>
              <w:rFonts w:ascii="Times New Roman" w:hAnsi="Times New Roman"/>
              <w:sz w:val="24"/>
              <w:szCs w:val="24"/>
            </w:rPr>
            <w:t>.</w:t>
          </w:r>
          <w:r w:rsidR="00963000" w:rsidRPr="00963000">
            <w:rPr>
              <w:rFonts w:ascii="Times New Roman" w:hAnsi="Times New Roman"/>
              <w:sz w:val="24"/>
              <w:szCs w:val="24"/>
            </w:rPr>
            <w:t>898</w:t>
          </w:r>
          <w:r w:rsidR="00646DF7">
            <w:rPr>
              <w:rFonts w:ascii="Times New Roman" w:hAnsi="Times New Roman"/>
              <w:sz w:val="24"/>
              <w:szCs w:val="24"/>
            </w:rPr>
            <w:t xml:space="preserve"> </w:t>
          </w:r>
          <w:r w:rsidR="00FA5BAD">
            <w:rPr>
              <w:rFonts w:ascii="Times New Roman" w:hAnsi="Times New Roman"/>
              <w:sz w:val="24"/>
              <w:szCs w:val="24"/>
            </w:rPr>
            <w:t>corres</w:t>
          </w:r>
          <w:r w:rsidR="00C931EC">
            <w:rPr>
              <w:rFonts w:ascii="Times New Roman" w:hAnsi="Times New Roman"/>
              <w:sz w:val="24"/>
              <w:szCs w:val="24"/>
            </w:rPr>
            <w:t xml:space="preserve">ponde a </w:t>
          </w:r>
          <w:r w:rsidR="005A0D55">
            <w:rPr>
              <w:rFonts w:ascii="Times New Roman" w:hAnsi="Times New Roman"/>
              <w:sz w:val="24"/>
              <w:szCs w:val="24"/>
            </w:rPr>
            <w:t xml:space="preserve">embargos judiciales </w:t>
          </w:r>
          <w:r w:rsidR="00DF6C4E">
            <w:rPr>
              <w:rFonts w:ascii="Times New Roman" w:hAnsi="Times New Roman"/>
              <w:sz w:val="24"/>
              <w:szCs w:val="24"/>
            </w:rPr>
            <w:t>que tiene la Agencia tal y como se relacion</w:t>
          </w:r>
          <w:r w:rsidR="000A1591">
            <w:rPr>
              <w:rFonts w:ascii="Times New Roman" w:hAnsi="Times New Roman"/>
              <w:sz w:val="24"/>
              <w:szCs w:val="24"/>
            </w:rPr>
            <w:t xml:space="preserve">ó en la Nota </w:t>
          </w:r>
          <w:r w:rsidR="00F72606">
            <w:rPr>
              <w:rFonts w:ascii="Times New Roman" w:hAnsi="Times New Roman"/>
              <w:sz w:val="24"/>
              <w:szCs w:val="24"/>
            </w:rPr>
            <w:t>5</w:t>
          </w:r>
          <w:r w:rsidR="001F512F">
            <w:rPr>
              <w:rFonts w:ascii="Times New Roman" w:hAnsi="Times New Roman"/>
              <w:sz w:val="24"/>
              <w:szCs w:val="24"/>
            </w:rPr>
            <w:t>.1. E</w:t>
          </w:r>
          <w:r w:rsidR="000A1591">
            <w:rPr>
              <w:rFonts w:ascii="Times New Roman" w:hAnsi="Times New Roman"/>
              <w:sz w:val="24"/>
              <w:szCs w:val="24"/>
            </w:rPr>
            <w:t xml:space="preserve">fectivo </w:t>
          </w:r>
          <w:r w:rsidR="001F512F">
            <w:rPr>
              <w:rFonts w:ascii="Times New Roman" w:hAnsi="Times New Roman"/>
              <w:sz w:val="24"/>
              <w:szCs w:val="24"/>
            </w:rPr>
            <w:t>de uso restringido.</w:t>
          </w:r>
        </w:p>
        <w:p w14:paraId="7A79AE1C" w14:textId="77777777" w:rsidR="00DE7E53" w:rsidRPr="00931DCE" w:rsidRDefault="00DE7E53" w:rsidP="00C00D18">
          <w:pPr>
            <w:spacing w:after="0" w:line="240" w:lineRule="auto"/>
            <w:jc w:val="both"/>
            <w:rPr>
              <w:rFonts w:ascii="Times New Roman" w:hAnsi="Times New Roman"/>
              <w:sz w:val="24"/>
              <w:szCs w:val="24"/>
            </w:rPr>
          </w:pPr>
          <w:bookmarkStart w:id="55" w:name="_Toc65252978"/>
          <w:bookmarkEnd w:id="54"/>
        </w:p>
        <w:bookmarkEnd w:id="55"/>
        <w:p w14:paraId="32796F8F" w14:textId="5555EF94" w:rsidR="00145BF5" w:rsidRDefault="00DE7E53" w:rsidP="00C00D18">
          <w:pPr>
            <w:spacing w:after="0" w:line="240" w:lineRule="auto"/>
            <w:jc w:val="both"/>
            <w:rPr>
              <w:rFonts w:ascii="Times New Roman" w:hAnsi="Times New Roman"/>
              <w:sz w:val="24"/>
              <w:szCs w:val="24"/>
            </w:rPr>
          </w:pPr>
          <w:r w:rsidRPr="007537C9">
            <w:rPr>
              <w:rFonts w:ascii="Times New Roman" w:hAnsi="Times New Roman"/>
              <w:b/>
              <w:color w:val="1F3864" w:themeColor="accent1" w:themeShade="80"/>
              <w:sz w:val="24"/>
              <w:szCs w:val="24"/>
            </w:rPr>
            <w:t>Recursos de la entidad concedente en patrimonios autónomos constituidos por los concesionarios</w:t>
          </w:r>
        </w:p>
        <w:p w14:paraId="5E74B345" w14:textId="77777777" w:rsidR="00145BF5" w:rsidRDefault="00145BF5" w:rsidP="00C00D18">
          <w:pPr>
            <w:spacing w:after="0" w:line="240" w:lineRule="auto"/>
            <w:jc w:val="both"/>
            <w:rPr>
              <w:rFonts w:ascii="Times New Roman" w:hAnsi="Times New Roman"/>
              <w:sz w:val="24"/>
              <w:szCs w:val="24"/>
            </w:rPr>
          </w:pPr>
        </w:p>
        <w:p w14:paraId="35F9C8E4" w14:textId="45D562FE" w:rsidR="00DE7E53" w:rsidRPr="00931DCE" w:rsidRDefault="00DE7E53" w:rsidP="00C00D18">
          <w:pPr>
            <w:spacing w:after="0" w:line="240" w:lineRule="auto"/>
            <w:jc w:val="both"/>
            <w:rPr>
              <w:rFonts w:ascii="Times New Roman" w:hAnsi="Times New Roman"/>
              <w:sz w:val="24"/>
              <w:szCs w:val="24"/>
            </w:rPr>
          </w:pPr>
          <w:r w:rsidRPr="00931DCE">
            <w:rPr>
              <w:rFonts w:ascii="Times New Roman" w:hAnsi="Times New Roman"/>
              <w:sz w:val="24"/>
              <w:szCs w:val="24"/>
            </w:rPr>
            <w:t xml:space="preserve">En esta cuenta, se reflejan los recursos en efectivo girados por la Agencia, en virtud de las obligaciones pactadas en los contratos de concesión y que son depositados en patrimonios autónomos constituidos por los concesionarios. Los concesionarios no cuentan con estos recursos, hasta tanto no cumplan con los estándares y calidades en la entrega de las unidades funcionales para su retribución o lo pactado contractualmente. </w:t>
          </w:r>
        </w:p>
        <w:p w14:paraId="4A9CB4D6" w14:textId="77777777" w:rsidR="00DE7E53" w:rsidRPr="00931DCE" w:rsidRDefault="00DE7E53" w:rsidP="00C00D18">
          <w:pPr>
            <w:pStyle w:val="Default"/>
            <w:jc w:val="both"/>
            <w:rPr>
              <w:rFonts w:ascii="Times New Roman" w:hAnsi="Times New Roman" w:cs="Times New Roman"/>
            </w:rPr>
          </w:pPr>
        </w:p>
        <w:p w14:paraId="58E01DC3" w14:textId="4C037B25" w:rsidR="002A1C84" w:rsidRDefault="00DE7E53" w:rsidP="00C00D18">
          <w:pPr>
            <w:spacing w:after="0" w:line="240" w:lineRule="auto"/>
            <w:jc w:val="both"/>
            <w:rPr>
              <w:rFonts w:ascii="Times New Roman" w:hAnsi="Times New Roman"/>
              <w:sz w:val="24"/>
              <w:szCs w:val="24"/>
            </w:rPr>
          </w:pPr>
          <w:r w:rsidRPr="00931DCE">
            <w:rPr>
              <w:rFonts w:ascii="Times New Roman" w:hAnsi="Times New Roman"/>
              <w:sz w:val="24"/>
              <w:szCs w:val="24"/>
            </w:rPr>
            <w:t xml:space="preserve">Esta cuenta se incrementa con el giro de los recursos en efectivo realizados por la Agencia y se disminuye con la ejecución de recursos informada por los concesionarios e interventorías. </w:t>
          </w:r>
        </w:p>
        <w:p w14:paraId="78D23FB1" w14:textId="28E29AEE" w:rsidR="00DE7E53" w:rsidRPr="00931DCE" w:rsidRDefault="00DE7E53" w:rsidP="00C00D18">
          <w:pPr>
            <w:spacing w:after="0" w:line="240" w:lineRule="auto"/>
            <w:jc w:val="both"/>
            <w:rPr>
              <w:rFonts w:ascii="Times New Roman" w:hAnsi="Times New Roman"/>
              <w:sz w:val="24"/>
              <w:szCs w:val="24"/>
            </w:rPr>
          </w:pPr>
          <w:r w:rsidRPr="002A1C84">
            <w:rPr>
              <w:rFonts w:ascii="Times New Roman" w:hAnsi="Times New Roman"/>
              <w:sz w:val="24"/>
              <w:szCs w:val="24"/>
            </w:rPr>
            <w:t>También, por los rendimientos financieros generados por recursos entregados por la entidad concedente en los patrimonios autónomos y, Aportes estatales con Cargo al Recaudo de Peajes de los proyectos de concesión Ruta del Sol Sector 1</w:t>
          </w:r>
          <w:r w:rsidR="002A1C84" w:rsidRPr="002A1C84">
            <w:rPr>
              <w:rFonts w:ascii="Times New Roman" w:hAnsi="Times New Roman"/>
              <w:sz w:val="24"/>
              <w:szCs w:val="24"/>
            </w:rPr>
            <w:t>, Ruta del Sol 2</w:t>
          </w:r>
          <w:r w:rsidRPr="002A1C84">
            <w:rPr>
              <w:rFonts w:ascii="Times New Roman" w:hAnsi="Times New Roman"/>
              <w:sz w:val="24"/>
              <w:szCs w:val="24"/>
            </w:rPr>
            <w:t xml:space="preserve"> y Ruta del Sol 3.</w:t>
          </w:r>
        </w:p>
        <w:p w14:paraId="34E27438" w14:textId="77777777" w:rsidR="00DE7E53" w:rsidRPr="00931DCE" w:rsidRDefault="00DE7E53" w:rsidP="00105D47">
          <w:pPr>
            <w:spacing w:after="0" w:line="240" w:lineRule="auto"/>
            <w:jc w:val="both"/>
            <w:rPr>
              <w:rFonts w:ascii="Times New Roman" w:hAnsi="Times New Roman"/>
              <w:sz w:val="24"/>
              <w:szCs w:val="24"/>
            </w:rPr>
          </w:pPr>
        </w:p>
        <w:p w14:paraId="6E915930" w14:textId="4DD1CF8C" w:rsidR="00DE7E53" w:rsidRPr="00931DCE" w:rsidRDefault="00DE7E53" w:rsidP="00105D47">
          <w:pPr>
            <w:spacing w:after="0" w:line="240" w:lineRule="auto"/>
            <w:jc w:val="both"/>
            <w:rPr>
              <w:rFonts w:ascii="Times New Roman" w:hAnsi="Times New Roman"/>
              <w:sz w:val="24"/>
              <w:szCs w:val="24"/>
            </w:rPr>
          </w:pPr>
          <w:r w:rsidRPr="00931DCE">
            <w:rPr>
              <w:rFonts w:ascii="Times New Roman" w:hAnsi="Times New Roman"/>
              <w:sz w:val="24"/>
              <w:szCs w:val="24"/>
            </w:rPr>
            <w:t>Composición de la cuenta, a nivel de terceros:</w:t>
          </w:r>
        </w:p>
        <w:p w14:paraId="051416C3" w14:textId="77777777" w:rsidR="00105D47" w:rsidRPr="00931DCE" w:rsidRDefault="00105D47" w:rsidP="00105D47">
          <w:pPr>
            <w:spacing w:after="0" w:line="240" w:lineRule="auto"/>
            <w:jc w:val="both"/>
            <w:rPr>
              <w:rFonts w:ascii="Times New Roman" w:hAnsi="Times New Roman"/>
              <w:sz w:val="24"/>
              <w:szCs w:val="24"/>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CellMar>
              <w:left w:w="70" w:type="dxa"/>
              <w:right w:w="70" w:type="dxa"/>
            </w:tblCellMar>
            <w:tblLook w:val="04A0" w:firstRow="1" w:lastRow="0" w:firstColumn="1" w:lastColumn="0" w:noHBand="0" w:noVBand="1"/>
          </w:tblPr>
          <w:tblGrid>
            <w:gridCol w:w="1325"/>
            <w:gridCol w:w="2567"/>
            <w:gridCol w:w="1767"/>
            <w:gridCol w:w="1767"/>
            <w:gridCol w:w="1543"/>
          </w:tblGrid>
          <w:tr w:rsidR="00BB3BD4" w:rsidRPr="00BB3BD4" w14:paraId="27EAF43C" w14:textId="77777777" w:rsidTr="00CA6345">
            <w:trPr>
              <w:trHeight w:val="315"/>
              <w:tblHeader/>
            </w:trPr>
            <w:tc>
              <w:tcPr>
                <w:tcW w:w="2170" w:type="pct"/>
                <w:gridSpan w:val="2"/>
                <w:shd w:val="clear" w:color="auto" w:fill="auto"/>
                <w:vAlign w:val="center"/>
                <w:hideMark/>
              </w:tcPr>
              <w:p w14:paraId="3CBD6C9A" w14:textId="77777777" w:rsidR="00BB3BD4" w:rsidRPr="00BB3BD4" w:rsidRDefault="00BB3BD4" w:rsidP="00BB3BD4">
                <w:pPr>
                  <w:spacing w:after="0" w:line="240" w:lineRule="auto"/>
                  <w:jc w:val="center"/>
                  <w:rPr>
                    <w:rFonts w:ascii="Times New Roman" w:eastAsia="Times New Roman" w:hAnsi="Times New Roman"/>
                    <w:b/>
                    <w:bCs/>
                    <w:color w:val="000000"/>
                    <w:sz w:val="18"/>
                    <w:szCs w:val="18"/>
                    <w:lang w:eastAsia="es-CO"/>
                  </w:rPr>
                </w:pPr>
                <w:r w:rsidRPr="00BB3BD4">
                  <w:rPr>
                    <w:rFonts w:ascii="Times New Roman" w:eastAsia="Times New Roman" w:hAnsi="Times New Roman"/>
                    <w:b/>
                    <w:bCs/>
                    <w:color w:val="000000"/>
                    <w:sz w:val="18"/>
                    <w:szCs w:val="18"/>
                    <w:lang w:eastAsia="es-CO"/>
                  </w:rPr>
                  <w:lastRenderedPageBreak/>
                  <w:t>TERCERO</w:t>
                </w:r>
              </w:p>
            </w:tc>
            <w:tc>
              <w:tcPr>
                <w:tcW w:w="985" w:type="pct"/>
                <w:shd w:val="clear" w:color="auto" w:fill="auto"/>
                <w:noWrap/>
                <w:vAlign w:val="center"/>
                <w:hideMark/>
              </w:tcPr>
              <w:p w14:paraId="49FC3579" w14:textId="77777777" w:rsidR="00BB3BD4" w:rsidRPr="00BB3BD4" w:rsidRDefault="00BB3BD4" w:rsidP="00BB3BD4">
                <w:pPr>
                  <w:spacing w:after="0" w:line="240" w:lineRule="auto"/>
                  <w:jc w:val="center"/>
                  <w:rPr>
                    <w:rFonts w:ascii="Times New Roman" w:eastAsia="Times New Roman" w:hAnsi="Times New Roman"/>
                    <w:b/>
                    <w:bCs/>
                    <w:color w:val="000000"/>
                    <w:sz w:val="18"/>
                    <w:szCs w:val="18"/>
                    <w:lang w:eastAsia="es-CO"/>
                  </w:rPr>
                </w:pPr>
                <w:r w:rsidRPr="00BB3BD4">
                  <w:rPr>
                    <w:rFonts w:ascii="Times New Roman" w:eastAsia="Times New Roman" w:hAnsi="Times New Roman"/>
                    <w:b/>
                    <w:bCs/>
                    <w:color w:val="000000"/>
                    <w:sz w:val="18"/>
                    <w:szCs w:val="18"/>
                    <w:lang w:eastAsia="es-CO"/>
                  </w:rPr>
                  <w:t>2023</w:t>
                </w:r>
              </w:p>
            </w:tc>
            <w:tc>
              <w:tcPr>
                <w:tcW w:w="985" w:type="pct"/>
                <w:shd w:val="clear" w:color="auto" w:fill="auto"/>
                <w:noWrap/>
                <w:vAlign w:val="center"/>
                <w:hideMark/>
              </w:tcPr>
              <w:p w14:paraId="6B9C4184" w14:textId="77777777" w:rsidR="00BB3BD4" w:rsidRPr="00BB3BD4" w:rsidRDefault="00BB3BD4" w:rsidP="00BB3BD4">
                <w:pPr>
                  <w:spacing w:after="0" w:line="240" w:lineRule="auto"/>
                  <w:jc w:val="center"/>
                  <w:rPr>
                    <w:rFonts w:ascii="Times New Roman" w:eastAsia="Times New Roman" w:hAnsi="Times New Roman"/>
                    <w:b/>
                    <w:bCs/>
                    <w:color w:val="000000"/>
                    <w:sz w:val="18"/>
                    <w:szCs w:val="18"/>
                    <w:lang w:eastAsia="es-CO"/>
                  </w:rPr>
                </w:pPr>
                <w:r w:rsidRPr="00BB3BD4">
                  <w:rPr>
                    <w:rFonts w:ascii="Times New Roman" w:eastAsia="Times New Roman" w:hAnsi="Times New Roman"/>
                    <w:b/>
                    <w:bCs/>
                    <w:color w:val="000000"/>
                    <w:sz w:val="18"/>
                    <w:szCs w:val="18"/>
                    <w:lang w:eastAsia="es-CO"/>
                  </w:rPr>
                  <w:t>2022</w:t>
                </w:r>
              </w:p>
            </w:tc>
            <w:tc>
              <w:tcPr>
                <w:tcW w:w="860" w:type="pct"/>
                <w:shd w:val="clear" w:color="auto" w:fill="auto"/>
                <w:noWrap/>
                <w:vAlign w:val="center"/>
                <w:hideMark/>
              </w:tcPr>
              <w:p w14:paraId="648A47A2" w14:textId="77777777" w:rsidR="00BB3BD4" w:rsidRPr="00BB3BD4" w:rsidRDefault="00BB3BD4" w:rsidP="00BB3BD4">
                <w:pPr>
                  <w:spacing w:after="0" w:line="240" w:lineRule="auto"/>
                  <w:jc w:val="center"/>
                  <w:rPr>
                    <w:rFonts w:ascii="Times New Roman" w:eastAsia="Times New Roman" w:hAnsi="Times New Roman"/>
                    <w:b/>
                    <w:bCs/>
                    <w:color w:val="000000"/>
                    <w:sz w:val="18"/>
                    <w:szCs w:val="18"/>
                    <w:lang w:eastAsia="es-CO"/>
                  </w:rPr>
                </w:pPr>
                <w:r w:rsidRPr="00BB3BD4">
                  <w:rPr>
                    <w:rFonts w:ascii="Times New Roman" w:eastAsia="Times New Roman" w:hAnsi="Times New Roman"/>
                    <w:b/>
                    <w:bCs/>
                    <w:color w:val="000000"/>
                    <w:sz w:val="18"/>
                    <w:szCs w:val="18"/>
                    <w:lang w:eastAsia="es-CO"/>
                  </w:rPr>
                  <w:t xml:space="preserve"> VARIACIÓN </w:t>
                </w:r>
              </w:p>
            </w:tc>
          </w:tr>
          <w:tr w:rsidR="00BB3BD4" w:rsidRPr="00BB3BD4" w14:paraId="42C2BE57" w14:textId="77777777" w:rsidTr="00CA6345">
            <w:trPr>
              <w:trHeight w:val="315"/>
            </w:trPr>
            <w:tc>
              <w:tcPr>
                <w:tcW w:w="739" w:type="pct"/>
                <w:shd w:val="clear" w:color="auto" w:fill="auto"/>
                <w:vAlign w:val="center"/>
                <w:hideMark/>
              </w:tcPr>
              <w:p w14:paraId="7BA8683A"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900869678</w:t>
                </w:r>
              </w:p>
            </w:tc>
            <w:tc>
              <w:tcPr>
                <w:tcW w:w="1431" w:type="pct"/>
                <w:shd w:val="clear" w:color="auto" w:fill="auto"/>
                <w:vAlign w:val="center"/>
                <w:hideMark/>
              </w:tcPr>
              <w:p w14:paraId="06B36F63" w14:textId="77777777" w:rsidR="00BB3BD4" w:rsidRPr="00BB3BD4" w:rsidRDefault="00BB3BD4" w:rsidP="00BB3BD4">
                <w:pPr>
                  <w:spacing w:after="0" w:line="240" w:lineRule="auto"/>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Desarrollo Vial al Mar   S.A.S</w:t>
                </w:r>
              </w:p>
            </w:tc>
            <w:tc>
              <w:tcPr>
                <w:tcW w:w="985" w:type="pct"/>
                <w:shd w:val="clear" w:color="auto" w:fill="auto"/>
                <w:vAlign w:val="center"/>
                <w:hideMark/>
              </w:tcPr>
              <w:p w14:paraId="2CC4D540"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 xml:space="preserve">   -   </w:t>
                </w:r>
              </w:p>
            </w:tc>
            <w:tc>
              <w:tcPr>
                <w:tcW w:w="985" w:type="pct"/>
                <w:shd w:val="clear" w:color="auto" w:fill="auto"/>
                <w:vAlign w:val="center"/>
                <w:hideMark/>
              </w:tcPr>
              <w:p w14:paraId="1635B924"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322.457.343.907</w:t>
                </w:r>
              </w:p>
            </w:tc>
            <w:tc>
              <w:tcPr>
                <w:tcW w:w="860" w:type="pct"/>
                <w:shd w:val="clear" w:color="auto" w:fill="auto"/>
                <w:noWrap/>
                <w:vAlign w:val="center"/>
                <w:hideMark/>
              </w:tcPr>
              <w:p w14:paraId="260C5918"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-322.457.343.907</w:t>
                </w:r>
              </w:p>
            </w:tc>
          </w:tr>
          <w:tr w:rsidR="00BB3BD4" w:rsidRPr="00BB3BD4" w14:paraId="714F6249" w14:textId="77777777" w:rsidTr="00CA6345">
            <w:trPr>
              <w:trHeight w:val="465"/>
            </w:trPr>
            <w:tc>
              <w:tcPr>
                <w:tcW w:w="739" w:type="pct"/>
                <w:shd w:val="clear" w:color="auto" w:fill="auto"/>
                <w:vAlign w:val="center"/>
                <w:hideMark/>
              </w:tcPr>
              <w:p w14:paraId="440CFA87"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900763355</w:t>
                </w:r>
              </w:p>
            </w:tc>
            <w:tc>
              <w:tcPr>
                <w:tcW w:w="1431" w:type="pct"/>
                <w:shd w:val="clear" w:color="auto" w:fill="auto"/>
                <w:vAlign w:val="center"/>
                <w:hideMark/>
              </w:tcPr>
              <w:p w14:paraId="40F3EE9A" w14:textId="77777777" w:rsidR="00BB3BD4" w:rsidRPr="00BB3BD4" w:rsidRDefault="00BB3BD4" w:rsidP="00BB3BD4">
                <w:pPr>
                  <w:spacing w:after="0" w:line="240" w:lineRule="auto"/>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Concesión Costera Cartagena Barranquilla S.A.S.</w:t>
                </w:r>
              </w:p>
            </w:tc>
            <w:tc>
              <w:tcPr>
                <w:tcW w:w="985" w:type="pct"/>
                <w:shd w:val="clear" w:color="auto" w:fill="auto"/>
                <w:vAlign w:val="center"/>
                <w:hideMark/>
              </w:tcPr>
              <w:p w14:paraId="69155073"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 xml:space="preserve">   -   </w:t>
                </w:r>
              </w:p>
            </w:tc>
            <w:tc>
              <w:tcPr>
                <w:tcW w:w="985" w:type="pct"/>
                <w:shd w:val="clear" w:color="auto" w:fill="auto"/>
                <w:vAlign w:val="center"/>
                <w:hideMark/>
              </w:tcPr>
              <w:p w14:paraId="71BC490E"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164.373.718.832</w:t>
                </w:r>
              </w:p>
            </w:tc>
            <w:tc>
              <w:tcPr>
                <w:tcW w:w="860" w:type="pct"/>
                <w:shd w:val="clear" w:color="auto" w:fill="auto"/>
                <w:noWrap/>
                <w:vAlign w:val="center"/>
                <w:hideMark/>
              </w:tcPr>
              <w:p w14:paraId="5F4B92E6"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-164.373.718.832</w:t>
                </w:r>
              </w:p>
            </w:tc>
          </w:tr>
          <w:tr w:rsidR="00BB3BD4" w:rsidRPr="00BB3BD4" w14:paraId="7704C20E" w14:textId="77777777" w:rsidTr="00CA6345">
            <w:trPr>
              <w:trHeight w:val="315"/>
            </w:trPr>
            <w:tc>
              <w:tcPr>
                <w:tcW w:w="739" w:type="pct"/>
                <w:shd w:val="clear" w:color="auto" w:fill="auto"/>
                <w:vAlign w:val="center"/>
                <w:hideMark/>
              </w:tcPr>
              <w:p w14:paraId="0D7A7778"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900740893</w:t>
                </w:r>
              </w:p>
            </w:tc>
            <w:tc>
              <w:tcPr>
                <w:tcW w:w="1431" w:type="pct"/>
                <w:shd w:val="clear" w:color="auto" w:fill="auto"/>
                <w:vAlign w:val="center"/>
                <w:hideMark/>
              </w:tcPr>
              <w:p w14:paraId="2E45EE44" w14:textId="77777777" w:rsidR="00BB3BD4" w:rsidRPr="00BB3BD4" w:rsidRDefault="00BB3BD4" w:rsidP="00BB3BD4">
                <w:pPr>
                  <w:spacing w:after="0" w:line="240" w:lineRule="auto"/>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Concesión La Pintada S.A.S.</w:t>
                </w:r>
              </w:p>
            </w:tc>
            <w:tc>
              <w:tcPr>
                <w:tcW w:w="985" w:type="pct"/>
                <w:shd w:val="clear" w:color="auto" w:fill="auto"/>
                <w:vAlign w:val="center"/>
                <w:hideMark/>
              </w:tcPr>
              <w:p w14:paraId="4BD27EF8"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 xml:space="preserve">   -   </w:t>
                </w:r>
              </w:p>
            </w:tc>
            <w:tc>
              <w:tcPr>
                <w:tcW w:w="985" w:type="pct"/>
                <w:shd w:val="clear" w:color="auto" w:fill="auto"/>
                <w:vAlign w:val="center"/>
                <w:hideMark/>
              </w:tcPr>
              <w:p w14:paraId="655DC8E2"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136.310.334.496</w:t>
                </w:r>
              </w:p>
            </w:tc>
            <w:tc>
              <w:tcPr>
                <w:tcW w:w="860" w:type="pct"/>
                <w:shd w:val="clear" w:color="auto" w:fill="auto"/>
                <w:noWrap/>
                <w:vAlign w:val="center"/>
                <w:hideMark/>
              </w:tcPr>
              <w:p w14:paraId="59F0694E"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-136.310.334.496</w:t>
                </w:r>
              </w:p>
            </w:tc>
          </w:tr>
          <w:tr w:rsidR="00BB3BD4" w:rsidRPr="00BB3BD4" w14:paraId="2DAC894D" w14:textId="77777777" w:rsidTr="00CA6345">
            <w:trPr>
              <w:trHeight w:val="465"/>
            </w:trPr>
            <w:tc>
              <w:tcPr>
                <w:tcW w:w="739" w:type="pct"/>
                <w:shd w:val="clear" w:color="auto" w:fill="auto"/>
                <w:vAlign w:val="center"/>
                <w:hideMark/>
              </w:tcPr>
              <w:p w14:paraId="0C95826F"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900858096</w:t>
                </w:r>
              </w:p>
            </w:tc>
            <w:tc>
              <w:tcPr>
                <w:tcW w:w="1431" w:type="pct"/>
                <w:shd w:val="clear" w:color="auto" w:fill="auto"/>
                <w:vAlign w:val="center"/>
                <w:hideMark/>
              </w:tcPr>
              <w:p w14:paraId="5EB98CCD" w14:textId="77777777" w:rsidR="00BB3BD4" w:rsidRPr="00BB3BD4" w:rsidRDefault="00BB3BD4" w:rsidP="00BB3BD4">
                <w:pPr>
                  <w:spacing w:after="0" w:line="240" w:lineRule="auto"/>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Sociedad Concesionaria Vial Montes De Maria SAS</w:t>
                </w:r>
              </w:p>
            </w:tc>
            <w:tc>
              <w:tcPr>
                <w:tcW w:w="985" w:type="pct"/>
                <w:shd w:val="clear" w:color="auto" w:fill="auto"/>
                <w:vAlign w:val="center"/>
                <w:hideMark/>
              </w:tcPr>
              <w:p w14:paraId="0F5B8252"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 xml:space="preserve">   -   </w:t>
                </w:r>
              </w:p>
            </w:tc>
            <w:tc>
              <w:tcPr>
                <w:tcW w:w="985" w:type="pct"/>
                <w:shd w:val="clear" w:color="auto" w:fill="auto"/>
                <w:vAlign w:val="center"/>
                <w:hideMark/>
              </w:tcPr>
              <w:p w14:paraId="44A34234"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53.127.095.469</w:t>
                </w:r>
              </w:p>
            </w:tc>
            <w:tc>
              <w:tcPr>
                <w:tcW w:w="860" w:type="pct"/>
                <w:shd w:val="clear" w:color="auto" w:fill="auto"/>
                <w:noWrap/>
                <w:vAlign w:val="center"/>
                <w:hideMark/>
              </w:tcPr>
              <w:p w14:paraId="462FAA7E"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-53.127.095.469</w:t>
                </w:r>
              </w:p>
            </w:tc>
          </w:tr>
          <w:tr w:rsidR="00BB3BD4" w:rsidRPr="00BB3BD4" w14:paraId="26F0F4AD" w14:textId="77777777" w:rsidTr="00CA6345">
            <w:trPr>
              <w:trHeight w:val="465"/>
            </w:trPr>
            <w:tc>
              <w:tcPr>
                <w:tcW w:w="739" w:type="pct"/>
                <w:shd w:val="clear" w:color="auto" w:fill="auto"/>
                <w:vAlign w:val="center"/>
                <w:hideMark/>
              </w:tcPr>
              <w:p w14:paraId="4F1C2D88"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900373092</w:t>
                </w:r>
              </w:p>
            </w:tc>
            <w:tc>
              <w:tcPr>
                <w:tcW w:w="1431" w:type="pct"/>
                <w:shd w:val="clear" w:color="auto" w:fill="auto"/>
                <w:vAlign w:val="center"/>
                <w:hideMark/>
              </w:tcPr>
              <w:p w14:paraId="070B9D17" w14:textId="77777777" w:rsidR="00BB3BD4" w:rsidRPr="00BB3BD4" w:rsidRDefault="00BB3BD4" w:rsidP="00BB3BD4">
                <w:pPr>
                  <w:spacing w:after="0" w:line="240" w:lineRule="auto"/>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Yuma Concesionaria S.A - en Reorganización</w:t>
                </w:r>
              </w:p>
            </w:tc>
            <w:tc>
              <w:tcPr>
                <w:tcW w:w="985" w:type="pct"/>
                <w:shd w:val="clear" w:color="auto" w:fill="auto"/>
                <w:vAlign w:val="center"/>
                <w:hideMark/>
              </w:tcPr>
              <w:p w14:paraId="6396374C"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1.783.272.192.626</w:t>
                </w:r>
              </w:p>
            </w:tc>
            <w:tc>
              <w:tcPr>
                <w:tcW w:w="985" w:type="pct"/>
                <w:shd w:val="clear" w:color="auto" w:fill="auto"/>
                <w:vAlign w:val="center"/>
                <w:hideMark/>
              </w:tcPr>
              <w:p w14:paraId="14D44471"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1.851.668.166.302</w:t>
                </w:r>
              </w:p>
            </w:tc>
            <w:tc>
              <w:tcPr>
                <w:tcW w:w="860" w:type="pct"/>
                <w:shd w:val="clear" w:color="auto" w:fill="auto"/>
                <w:noWrap/>
                <w:vAlign w:val="center"/>
                <w:hideMark/>
              </w:tcPr>
              <w:p w14:paraId="2E5250C2"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-68.395.973.676</w:t>
                </w:r>
              </w:p>
            </w:tc>
          </w:tr>
          <w:tr w:rsidR="00BB3BD4" w:rsidRPr="00BB3BD4" w14:paraId="5E2DEC66" w14:textId="77777777" w:rsidTr="00CA6345">
            <w:trPr>
              <w:trHeight w:val="465"/>
            </w:trPr>
            <w:tc>
              <w:tcPr>
                <w:tcW w:w="739" w:type="pct"/>
                <w:shd w:val="clear" w:color="auto" w:fill="auto"/>
                <w:vAlign w:val="center"/>
                <w:hideMark/>
              </w:tcPr>
              <w:p w14:paraId="04E74E4B"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900809931</w:t>
                </w:r>
              </w:p>
            </w:tc>
            <w:tc>
              <w:tcPr>
                <w:tcW w:w="1431" w:type="pct"/>
                <w:shd w:val="clear" w:color="auto" w:fill="auto"/>
                <w:vAlign w:val="center"/>
                <w:hideMark/>
              </w:tcPr>
              <w:p w14:paraId="38B344A0" w14:textId="77777777" w:rsidR="00BB3BD4" w:rsidRPr="00BB3BD4" w:rsidRDefault="00BB3BD4" w:rsidP="00BB3BD4">
                <w:pPr>
                  <w:spacing w:after="0" w:line="240" w:lineRule="auto"/>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Concesionaria Nueva Vía Al Mar S.A.S</w:t>
                </w:r>
              </w:p>
            </w:tc>
            <w:tc>
              <w:tcPr>
                <w:tcW w:w="985" w:type="pct"/>
                <w:shd w:val="clear" w:color="auto" w:fill="auto"/>
                <w:vAlign w:val="center"/>
                <w:hideMark/>
              </w:tcPr>
              <w:p w14:paraId="505C7C80"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1.457.472.543.989</w:t>
                </w:r>
              </w:p>
            </w:tc>
            <w:tc>
              <w:tcPr>
                <w:tcW w:w="985" w:type="pct"/>
                <w:shd w:val="clear" w:color="auto" w:fill="auto"/>
                <w:vAlign w:val="center"/>
                <w:hideMark/>
              </w:tcPr>
              <w:p w14:paraId="07211431"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1.174.346.496.123</w:t>
                </w:r>
              </w:p>
            </w:tc>
            <w:tc>
              <w:tcPr>
                <w:tcW w:w="860" w:type="pct"/>
                <w:shd w:val="clear" w:color="auto" w:fill="auto"/>
                <w:noWrap/>
                <w:vAlign w:val="center"/>
                <w:hideMark/>
              </w:tcPr>
              <w:p w14:paraId="1B105F8A"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283.126.047.866</w:t>
                </w:r>
              </w:p>
            </w:tc>
          </w:tr>
          <w:tr w:rsidR="00BB3BD4" w:rsidRPr="00BB3BD4" w14:paraId="3D872B8B" w14:textId="77777777" w:rsidTr="00CA6345">
            <w:trPr>
              <w:trHeight w:val="315"/>
            </w:trPr>
            <w:tc>
              <w:tcPr>
                <w:tcW w:w="739" w:type="pct"/>
                <w:shd w:val="clear" w:color="auto" w:fill="auto"/>
                <w:vAlign w:val="center"/>
                <w:hideMark/>
              </w:tcPr>
              <w:p w14:paraId="22D2F8E5"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900866440</w:t>
                </w:r>
              </w:p>
            </w:tc>
            <w:tc>
              <w:tcPr>
                <w:tcW w:w="1431" w:type="pct"/>
                <w:shd w:val="clear" w:color="auto" w:fill="auto"/>
                <w:vAlign w:val="center"/>
                <w:hideMark/>
              </w:tcPr>
              <w:p w14:paraId="12A33BFE" w14:textId="77777777" w:rsidR="00BB3BD4" w:rsidRPr="00BB3BD4" w:rsidRDefault="00BB3BD4" w:rsidP="00BB3BD4">
                <w:pPr>
                  <w:spacing w:after="0" w:line="240" w:lineRule="auto"/>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Nuevo Cauca S.A.S</w:t>
                </w:r>
              </w:p>
            </w:tc>
            <w:tc>
              <w:tcPr>
                <w:tcW w:w="985" w:type="pct"/>
                <w:shd w:val="clear" w:color="auto" w:fill="auto"/>
                <w:vAlign w:val="center"/>
                <w:hideMark/>
              </w:tcPr>
              <w:p w14:paraId="1B4127BD"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837.062.650.814</w:t>
                </w:r>
              </w:p>
            </w:tc>
            <w:tc>
              <w:tcPr>
                <w:tcW w:w="985" w:type="pct"/>
                <w:shd w:val="clear" w:color="auto" w:fill="auto"/>
                <w:vAlign w:val="center"/>
                <w:hideMark/>
              </w:tcPr>
              <w:p w14:paraId="2D9E346F"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629.629.051.212</w:t>
                </w:r>
              </w:p>
            </w:tc>
            <w:tc>
              <w:tcPr>
                <w:tcW w:w="860" w:type="pct"/>
                <w:shd w:val="clear" w:color="auto" w:fill="auto"/>
                <w:noWrap/>
                <w:vAlign w:val="center"/>
                <w:hideMark/>
              </w:tcPr>
              <w:p w14:paraId="294E57B3"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207.433.599.602</w:t>
                </w:r>
              </w:p>
            </w:tc>
          </w:tr>
          <w:tr w:rsidR="00BB3BD4" w:rsidRPr="00BB3BD4" w14:paraId="1A22926A" w14:textId="77777777" w:rsidTr="00CA6345">
            <w:trPr>
              <w:trHeight w:val="465"/>
            </w:trPr>
            <w:tc>
              <w:tcPr>
                <w:tcW w:w="739" w:type="pct"/>
                <w:shd w:val="clear" w:color="auto" w:fill="auto"/>
                <w:vAlign w:val="center"/>
                <w:hideMark/>
              </w:tcPr>
              <w:p w14:paraId="059E5236"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901482899</w:t>
                </w:r>
              </w:p>
            </w:tc>
            <w:tc>
              <w:tcPr>
                <w:tcW w:w="1431" w:type="pct"/>
                <w:shd w:val="clear" w:color="auto" w:fill="auto"/>
                <w:vAlign w:val="center"/>
                <w:hideMark/>
              </w:tcPr>
              <w:p w14:paraId="25C48583" w14:textId="77777777" w:rsidR="00BB3BD4" w:rsidRPr="00BB3BD4" w:rsidRDefault="00BB3BD4" w:rsidP="00BB3BD4">
                <w:pPr>
                  <w:spacing w:after="0" w:line="240" w:lineRule="auto"/>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Concesionaria Ruta Al Sur S.A.S.</w:t>
                </w:r>
              </w:p>
            </w:tc>
            <w:tc>
              <w:tcPr>
                <w:tcW w:w="985" w:type="pct"/>
                <w:shd w:val="clear" w:color="auto" w:fill="auto"/>
                <w:vAlign w:val="center"/>
                <w:hideMark/>
              </w:tcPr>
              <w:p w14:paraId="7F42A649"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785.237.343.870</w:t>
                </w:r>
              </w:p>
            </w:tc>
            <w:tc>
              <w:tcPr>
                <w:tcW w:w="985" w:type="pct"/>
                <w:shd w:val="clear" w:color="auto" w:fill="auto"/>
                <w:vAlign w:val="center"/>
                <w:hideMark/>
              </w:tcPr>
              <w:p w14:paraId="3AF24B76"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593.099.568.995</w:t>
                </w:r>
              </w:p>
            </w:tc>
            <w:tc>
              <w:tcPr>
                <w:tcW w:w="860" w:type="pct"/>
                <w:shd w:val="clear" w:color="auto" w:fill="auto"/>
                <w:noWrap/>
                <w:vAlign w:val="center"/>
                <w:hideMark/>
              </w:tcPr>
              <w:p w14:paraId="7C45BAF7"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192.137.774.875</w:t>
                </w:r>
              </w:p>
            </w:tc>
          </w:tr>
          <w:tr w:rsidR="00BB3BD4" w:rsidRPr="00BB3BD4" w14:paraId="13619554" w14:textId="77777777" w:rsidTr="00CA6345">
            <w:trPr>
              <w:trHeight w:val="315"/>
            </w:trPr>
            <w:tc>
              <w:tcPr>
                <w:tcW w:w="739" w:type="pct"/>
                <w:shd w:val="clear" w:color="auto" w:fill="auto"/>
                <w:vAlign w:val="center"/>
                <w:hideMark/>
              </w:tcPr>
              <w:p w14:paraId="3B57A993"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900788548</w:t>
                </w:r>
              </w:p>
            </w:tc>
            <w:tc>
              <w:tcPr>
                <w:tcW w:w="1431" w:type="pct"/>
                <w:shd w:val="clear" w:color="auto" w:fill="auto"/>
                <w:vAlign w:val="center"/>
                <w:hideMark/>
              </w:tcPr>
              <w:p w14:paraId="2D1147AB" w14:textId="77777777" w:rsidR="00BB3BD4" w:rsidRPr="00BB3BD4" w:rsidRDefault="00BB3BD4" w:rsidP="00BB3BD4">
                <w:pPr>
                  <w:spacing w:after="0" w:line="240" w:lineRule="auto"/>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Autopista Rio Magdalena S.A.S</w:t>
                </w:r>
              </w:p>
            </w:tc>
            <w:tc>
              <w:tcPr>
                <w:tcW w:w="985" w:type="pct"/>
                <w:shd w:val="clear" w:color="auto" w:fill="auto"/>
                <w:vAlign w:val="center"/>
                <w:hideMark/>
              </w:tcPr>
              <w:p w14:paraId="0AF727BE"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781.547.404.199</w:t>
                </w:r>
              </w:p>
            </w:tc>
            <w:tc>
              <w:tcPr>
                <w:tcW w:w="985" w:type="pct"/>
                <w:shd w:val="clear" w:color="auto" w:fill="auto"/>
                <w:vAlign w:val="center"/>
                <w:hideMark/>
              </w:tcPr>
              <w:p w14:paraId="46BC557A"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694.016.912.466</w:t>
                </w:r>
              </w:p>
            </w:tc>
            <w:tc>
              <w:tcPr>
                <w:tcW w:w="860" w:type="pct"/>
                <w:shd w:val="clear" w:color="auto" w:fill="auto"/>
                <w:noWrap/>
                <w:vAlign w:val="center"/>
                <w:hideMark/>
              </w:tcPr>
              <w:p w14:paraId="4227FEAA"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87.530.491.734</w:t>
                </w:r>
              </w:p>
            </w:tc>
          </w:tr>
          <w:tr w:rsidR="00BB3BD4" w:rsidRPr="00BB3BD4" w14:paraId="2E059DC0" w14:textId="77777777" w:rsidTr="00CA6345">
            <w:trPr>
              <w:trHeight w:val="315"/>
            </w:trPr>
            <w:tc>
              <w:tcPr>
                <w:tcW w:w="739" w:type="pct"/>
                <w:shd w:val="clear" w:color="auto" w:fill="auto"/>
                <w:vAlign w:val="center"/>
                <w:hideMark/>
              </w:tcPr>
              <w:p w14:paraId="21AA7BA1"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900902591</w:t>
                </w:r>
              </w:p>
            </w:tc>
            <w:tc>
              <w:tcPr>
                <w:tcW w:w="1431" w:type="pct"/>
                <w:shd w:val="clear" w:color="auto" w:fill="auto"/>
                <w:vAlign w:val="center"/>
                <w:hideMark/>
              </w:tcPr>
              <w:p w14:paraId="2455873D" w14:textId="77777777" w:rsidR="00BB3BD4" w:rsidRPr="00BB3BD4" w:rsidRDefault="00BB3BD4" w:rsidP="00BB3BD4">
                <w:pPr>
                  <w:spacing w:after="0" w:line="240" w:lineRule="auto"/>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Autopistas   Urabá   S.A.S</w:t>
                </w:r>
              </w:p>
            </w:tc>
            <w:tc>
              <w:tcPr>
                <w:tcW w:w="985" w:type="pct"/>
                <w:shd w:val="clear" w:color="auto" w:fill="auto"/>
                <w:vAlign w:val="center"/>
                <w:hideMark/>
              </w:tcPr>
              <w:p w14:paraId="0031E809"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641.517.512.013</w:t>
                </w:r>
              </w:p>
            </w:tc>
            <w:tc>
              <w:tcPr>
                <w:tcW w:w="985" w:type="pct"/>
                <w:shd w:val="clear" w:color="auto" w:fill="auto"/>
                <w:vAlign w:val="center"/>
                <w:hideMark/>
              </w:tcPr>
              <w:p w14:paraId="159F4F94"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761.790.696.092</w:t>
                </w:r>
              </w:p>
            </w:tc>
            <w:tc>
              <w:tcPr>
                <w:tcW w:w="860" w:type="pct"/>
                <w:shd w:val="clear" w:color="auto" w:fill="auto"/>
                <w:noWrap/>
                <w:vAlign w:val="center"/>
                <w:hideMark/>
              </w:tcPr>
              <w:p w14:paraId="1BBC9DFC"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-120.273.184.079</w:t>
                </w:r>
              </w:p>
            </w:tc>
          </w:tr>
          <w:tr w:rsidR="00BB3BD4" w:rsidRPr="00BB3BD4" w14:paraId="0004A6B7" w14:textId="77777777" w:rsidTr="00CA6345">
            <w:trPr>
              <w:trHeight w:val="465"/>
            </w:trPr>
            <w:tc>
              <w:tcPr>
                <w:tcW w:w="739" w:type="pct"/>
                <w:shd w:val="clear" w:color="auto" w:fill="auto"/>
                <w:vAlign w:val="center"/>
                <w:hideMark/>
              </w:tcPr>
              <w:p w14:paraId="2881AC90"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900972713</w:t>
                </w:r>
              </w:p>
            </w:tc>
            <w:tc>
              <w:tcPr>
                <w:tcW w:w="1431" w:type="pct"/>
                <w:shd w:val="clear" w:color="auto" w:fill="auto"/>
                <w:vAlign w:val="center"/>
                <w:hideMark/>
              </w:tcPr>
              <w:p w14:paraId="11C5D3AD" w14:textId="77777777" w:rsidR="00BB3BD4" w:rsidRPr="00BB3BD4" w:rsidRDefault="00BB3BD4" w:rsidP="00BB3BD4">
                <w:pPr>
                  <w:spacing w:after="0" w:line="240" w:lineRule="auto"/>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Autovía Bucaramanga Pamplona S.A.S</w:t>
                </w:r>
              </w:p>
            </w:tc>
            <w:tc>
              <w:tcPr>
                <w:tcW w:w="985" w:type="pct"/>
                <w:shd w:val="clear" w:color="auto" w:fill="auto"/>
                <w:vAlign w:val="center"/>
                <w:hideMark/>
              </w:tcPr>
              <w:p w14:paraId="6D5652A3"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600.609.012.948</w:t>
                </w:r>
              </w:p>
            </w:tc>
            <w:tc>
              <w:tcPr>
                <w:tcW w:w="985" w:type="pct"/>
                <w:shd w:val="clear" w:color="auto" w:fill="auto"/>
                <w:vAlign w:val="center"/>
                <w:hideMark/>
              </w:tcPr>
              <w:p w14:paraId="23AD194C"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456.909.515.000</w:t>
                </w:r>
              </w:p>
            </w:tc>
            <w:tc>
              <w:tcPr>
                <w:tcW w:w="860" w:type="pct"/>
                <w:shd w:val="clear" w:color="auto" w:fill="auto"/>
                <w:noWrap/>
                <w:vAlign w:val="center"/>
                <w:hideMark/>
              </w:tcPr>
              <w:p w14:paraId="42B0499B"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143.699.497.948</w:t>
                </w:r>
              </w:p>
            </w:tc>
          </w:tr>
          <w:tr w:rsidR="00BB3BD4" w:rsidRPr="00BB3BD4" w14:paraId="2944AE6D" w14:textId="77777777" w:rsidTr="00CA6345">
            <w:trPr>
              <w:trHeight w:val="465"/>
            </w:trPr>
            <w:tc>
              <w:tcPr>
                <w:tcW w:w="739" w:type="pct"/>
                <w:shd w:val="clear" w:color="auto" w:fill="auto"/>
                <w:vAlign w:val="center"/>
                <w:hideMark/>
              </w:tcPr>
              <w:p w14:paraId="4D7C6111"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900761657</w:t>
                </w:r>
              </w:p>
            </w:tc>
            <w:tc>
              <w:tcPr>
                <w:tcW w:w="1431" w:type="pct"/>
                <w:shd w:val="clear" w:color="auto" w:fill="auto"/>
                <w:vAlign w:val="center"/>
                <w:hideMark/>
              </w:tcPr>
              <w:p w14:paraId="37A4B7EC" w14:textId="77777777" w:rsidR="00BB3BD4" w:rsidRPr="00BB3BD4" w:rsidRDefault="00BB3BD4" w:rsidP="00BB3BD4">
                <w:pPr>
                  <w:spacing w:after="0" w:line="240" w:lineRule="auto"/>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Perimetral Oriental De Bogotá S.A.S</w:t>
                </w:r>
              </w:p>
            </w:tc>
            <w:tc>
              <w:tcPr>
                <w:tcW w:w="985" w:type="pct"/>
                <w:shd w:val="clear" w:color="auto" w:fill="auto"/>
                <w:vAlign w:val="center"/>
                <w:hideMark/>
              </w:tcPr>
              <w:p w14:paraId="4530ABE8"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577.587.297.140</w:t>
                </w:r>
              </w:p>
            </w:tc>
            <w:tc>
              <w:tcPr>
                <w:tcW w:w="985" w:type="pct"/>
                <w:shd w:val="clear" w:color="auto" w:fill="auto"/>
                <w:vAlign w:val="center"/>
                <w:hideMark/>
              </w:tcPr>
              <w:p w14:paraId="773FAE95"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468.397.604.716</w:t>
                </w:r>
              </w:p>
            </w:tc>
            <w:tc>
              <w:tcPr>
                <w:tcW w:w="860" w:type="pct"/>
                <w:shd w:val="clear" w:color="auto" w:fill="auto"/>
                <w:noWrap/>
                <w:vAlign w:val="center"/>
                <w:hideMark/>
              </w:tcPr>
              <w:p w14:paraId="61197905"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109.189.692.423</w:t>
                </w:r>
              </w:p>
            </w:tc>
          </w:tr>
          <w:tr w:rsidR="00BB3BD4" w:rsidRPr="00BB3BD4" w14:paraId="3F13B824" w14:textId="77777777" w:rsidTr="00CA6345">
            <w:trPr>
              <w:trHeight w:val="465"/>
            </w:trPr>
            <w:tc>
              <w:tcPr>
                <w:tcW w:w="739" w:type="pct"/>
                <w:shd w:val="clear" w:color="auto" w:fill="auto"/>
                <w:vAlign w:val="center"/>
                <w:hideMark/>
              </w:tcPr>
              <w:p w14:paraId="4AE45DDE"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900744773</w:t>
                </w:r>
              </w:p>
            </w:tc>
            <w:tc>
              <w:tcPr>
                <w:tcW w:w="1431" w:type="pct"/>
                <w:shd w:val="clear" w:color="auto" w:fill="auto"/>
                <w:vAlign w:val="center"/>
                <w:hideMark/>
              </w:tcPr>
              <w:p w14:paraId="35F1F86C" w14:textId="77777777" w:rsidR="00BB3BD4" w:rsidRPr="00BB3BD4" w:rsidRDefault="00BB3BD4" w:rsidP="00BB3BD4">
                <w:pPr>
                  <w:spacing w:after="0" w:line="240" w:lineRule="auto"/>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Concesionaria Vial Del Pacifico S.A.S</w:t>
                </w:r>
              </w:p>
            </w:tc>
            <w:tc>
              <w:tcPr>
                <w:tcW w:w="985" w:type="pct"/>
                <w:shd w:val="clear" w:color="auto" w:fill="auto"/>
                <w:vAlign w:val="center"/>
                <w:hideMark/>
              </w:tcPr>
              <w:p w14:paraId="1ED41ADB"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565.899.410.747</w:t>
                </w:r>
              </w:p>
            </w:tc>
            <w:tc>
              <w:tcPr>
                <w:tcW w:w="985" w:type="pct"/>
                <w:shd w:val="clear" w:color="auto" w:fill="auto"/>
                <w:vAlign w:val="center"/>
                <w:hideMark/>
              </w:tcPr>
              <w:p w14:paraId="4A17124F"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518.288.607.653</w:t>
                </w:r>
              </w:p>
            </w:tc>
            <w:tc>
              <w:tcPr>
                <w:tcW w:w="860" w:type="pct"/>
                <w:shd w:val="clear" w:color="auto" w:fill="auto"/>
                <w:noWrap/>
                <w:vAlign w:val="center"/>
                <w:hideMark/>
              </w:tcPr>
              <w:p w14:paraId="722636DD"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47.610.803.094</w:t>
                </w:r>
              </w:p>
            </w:tc>
          </w:tr>
          <w:tr w:rsidR="00BB3BD4" w:rsidRPr="00BB3BD4" w14:paraId="4C89BA66" w14:textId="77777777" w:rsidTr="00CA6345">
            <w:trPr>
              <w:trHeight w:val="465"/>
            </w:trPr>
            <w:tc>
              <w:tcPr>
                <w:tcW w:w="739" w:type="pct"/>
                <w:shd w:val="clear" w:color="auto" w:fill="auto"/>
                <w:vAlign w:val="center"/>
                <w:hideMark/>
              </w:tcPr>
              <w:p w14:paraId="728C20A8"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901082545</w:t>
                </w:r>
              </w:p>
            </w:tc>
            <w:tc>
              <w:tcPr>
                <w:tcW w:w="1431" w:type="pct"/>
                <w:shd w:val="clear" w:color="auto" w:fill="auto"/>
                <w:vAlign w:val="center"/>
                <w:hideMark/>
              </w:tcPr>
              <w:p w14:paraId="04CDB63C" w14:textId="77777777" w:rsidR="00BB3BD4" w:rsidRPr="00BB3BD4" w:rsidRDefault="00BB3BD4" w:rsidP="00BB3BD4">
                <w:pPr>
                  <w:spacing w:after="0" w:line="240" w:lineRule="auto"/>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Unión Vial Rio Pamplonita S.A.S.</w:t>
                </w:r>
              </w:p>
            </w:tc>
            <w:tc>
              <w:tcPr>
                <w:tcW w:w="985" w:type="pct"/>
                <w:shd w:val="clear" w:color="auto" w:fill="auto"/>
                <w:vAlign w:val="center"/>
                <w:hideMark/>
              </w:tcPr>
              <w:p w14:paraId="62D4D02C"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372.083.474.933</w:t>
                </w:r>
              </w:p>
            </w:tc>
            <w:tc>
              <w:tcPr>
                <w:tcW w:w="985" w:type="pct"/>
                <w:shd w:val="clear" w:color="auto" w:fill="auto"/>
                <w:vAlign w:val="center"/>
                <w:hideMark/>
              </w:tcPr>
              <w:p w14:paraId="1943008D"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335.321.585.010</w:t>
                </w:r>
              </w:p>
            </w:tc>
            <w:tc>
              <w:tcPr>
                <w:tcW w:w="860" w:type="pct"/>
                <w:shd w:val="clear" w:color="auto" w:fill="auto"/>
                <w:noWrap/>
                <w:vAlign w:val="center"/>
                <w:hideMark/>
              </w:tcPr>
              <w:p w14:paraId="3A78EF86"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36.761.889.922</w:t>
                </w:r>
              </w:p>
            </w:tc>
          </w:tr>
          <w:tr w:rsidR="00BB3BD4" w:rsidRPr="00BB3BD4" w14:paraId="6BE8AFA2" w14:textId="77777777" w:rsidTr="00CA6345">
            <w:trPr>
              <w:trHeight w:val="465"/>
            </w:trPr>
            <w:tc>
              <w:tcPr>
                <w:tcW w:w="739" w:type="pct"/>
                <w:shd w:val="clear" w:color="auto" w:fill="auto"/>
                <w:vAlign w:val="center"/>
                <w:hideMark/>
              </w:tcPr>
              <w:p w14:paraId="5AC0C946"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900862215</w:t>
                </w:r>
              </w:p>
            </w:tc>
            <w:tc>
              <w:tcPr>
                <w:tcW w:w="1431" w:type="pct"/>
                <w:shd w:val="clear" w:color="auto" w:fill="auto"/>
                <w:vAlign w:val="center"/>
                <w:hideMark/>
              </w:tcPr>
              <w:p w14:paraId="30F663B0" w14:textId="77777777" w:rsidR="00BB3BD4" w:rsidRPr="00BB3BD4" w:rsidRDefault="00BB3BD4" w:rsidP="00BB3BD4">
                <w:pPr>
                  <w:spacing w:after="0" w:line="240" w:lineRule="auto"/>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Concesionaria Vial Del Oriente S.A.S</w:t>
                </w:r>
              </w:p>
            </w:tc>
            <w:tc>
              <w:tcPr>
                <w:tcW w:w="985" w:type="pct"/>
                <w:shd w:val="clear" w:color="auto" w:fill="auto"/>
                <w:vAlign w:val="center"/>
                <w:hideMark/>
              </w:tcPr>
              <w:p w14:paraId="775B27EF"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270.041.632.142</w:t>
                </w:r>
              </w:p>
            </w:tc>
            <w:tc>
              <w:tcPr>
                <w:tcW w:w="985" w:type="pct"/>
                <w:shd w:val="clear" w:color="auto" w:fill="auto"/>
                <w:vAlign w:val="center"/>
                <w:hideMark/>
              </w:tcPr>
              <w:p w14:paraId="7F17E339"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511.530.871.713</w:t>
                </w:r>
              </w:p>
            </w:tc>
            <w:tc>
              <w:tcPr>
                <w:tcW w:w="860" w:type="pct"/>
                <w:shd w:val="clear" w:color="auto" w:fill="auto"/>
                <w:noWrap/>
                <w:vAlign w:val="center"/>
                <w:hideMark/>
              </w:tcPr>
              <w:p w14:paraId="5274F505"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-241.489.239.571</w:t>
                </w:r>
              </w:p>
            </w:tc>
          </w:tr>
          <w:tr w:rsidR="00BB3BD4" w:rsidRPr="00BB3BD4" w14:paraId="186E7CA4" w14:textId="77777777" w:rsidTr="00CA6345">
            <w:trPr>
              <w:trHeight w:val="315"/>
            </w:trPr>
            <w:tc>
              <w:tcPr>
                <w:tcW w:w="739" w:type="pct"/>
                <w:shd w:val="clear" w:color="auto" w:fill="auto"/>
                <w:vAlign w:val="center"/>
                <w:hideMark/>
              </w:tcPr>
              <w:p w14:paraId="58A6CC7E"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900793991</w:t>
                </w:r>
              </w:p>
            </w:tc>
            <w:tc>
              <w:tcPr>
                <w:tcW w:w="1431" w:type="pct"/>
                <w:shd w:val="clear" w:color="auto" w:fill="auto"/>
                <w:vAlign w:val="center"/>
                <w:hideMark/>
              </w:tcPr>
              <w:p w14:paraId="11FFD452" w14:textId="77777777" w:rsidR="00BB3BD4" w:rsidRPr="00BB3BD4" w:rsidRDefault="00BB3BD4" w:rsidP="00BB3BD4">
                <w:pPr>
                  <w:spacing w:after="0" w:line="240" w:lineRule="auto"/>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Autopistas Del Nordeste S.A.S.</w:t>
                </w:r>
              </w:p>
            </w:tc>
            <w:tc>
              <w:tcPr>
                <w:tcW w:w="985" w:type="pct"/>
                <w:shd w:val="clear" w:color="auto" w:fill="auto"/>
                <w:vAlign w:val="center"/>
                <w:hideMark/>
              </w:tcPr>
              <w:p w14:paraId="1E80F966"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257.815.044.451</w:t>
                </w:r>
              </w:p>
            </w:tc>
            <w:tc>
              <w:tcPr>
                <w:tcW w:w="985" w:type="pct"/>
                <w:shd w:val="clear" w:color="auto" w:fill="auto"/>
                <w:vAlign w:val="center"/>
                <w:hideMark/>
              </w:tcPr>
              <w:p w14:paraId="54EC8CF4"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261.387.174.442</w:t>
                </w:r>
              </w:p>
            </w:tc>
            <w:tc>
              <w:tcPr>
                <w:tcW w:w="860" w:type="pct"/>
                <w:shd w:val="clear" w:color="auto" w:fill="auto"/>
                <w:noWrap/>
                <w:vAlign w:val="center"/>
                <w:hideMark/>
              </w:tcPr>
              <w:p w14:paraId="11E850BF"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-3.572.129.991</w:t>
                </w:r>
              </w:p>
            </w:tc>
          </w:tr>
          <w:tr w:rsidR="00BB3BD4" w:rsidRPr="00BB3BD4" w14:paraId="1BA174F7" w14:textId="77777777" w:rsidTr="00CA6345">
            <w:trPr>
              <w:trHeight w:val="315"/>
            </w:trPr>
            <w:tc>
              <w:tcPr>
                <w:tcW w:w="739" w:type="pct"/>
                <w:shd w:val="clear" w:color="auto" w:fill="auto"/>
                <w:vAlign w:val="center"/>
                <w:hideMark/>
              </w:tcPr>
              <w:p w14:paraId="61B05D78"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900373783</w:t>
                </w:r>
              </w:p>
            </w:tc>
            <w:tc>
              <w:tcPr>
                <w:tcW w:w="1431" w:type="pct"/>
                <w:shd w:val="clear" w:color="auto" w:fill="auto"/>
                <w:vAlign w:val="center"/>
                <w:hideMark/>
              </w:tcPr>
              <w:p w14:paraId="45FE9FC8" w14:textId="77777777" w:rsidR="00BB3BD4" w:rsidRPr="00BB3BD4" w:rsidRDefault="00BB3BD4" w:rsidP="00BB3BD4">
                <w:pPr>
                  <w:spacing w:after="0" w:line="240" w:lineRule="auto"/>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vías De Las Américas S.A.S.</w:t>
                </w:r>
              </w:p>
            </w:tc>
            <w:tc>
              <w:tcPr>
                <w:tcW w:w="985" w:type="pct"/>
                <w:shd w:val="clear" w:color="auto" w:fill="auto"/>
                <w:vAlign w:val="center"/>
                <w:hideMark/>
              </w:tcPr>
              <w:p w14:paraId="544497AB"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241.017.981.231</w:t>
                </w:r>
              </w:p>
            </w:tc>
            <w:tc>
              <w:tcPr>
                <w:tcW w:w="985" w:type="pct"/>
                <w:shd w:val="clear" w:color="auto" w:fill="auto"/>
                <w:vAlign w:val="center"/>
                <w:hideMark/>
              </w:tcPr>
              <w:p w14:paraId="667B570E"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241.017.981.231</w:t>
                </w:r>
              </w:p>
            </w:tc>
            <w:tc>
              <w:tcPr>
                <w:tcW w:w="860" w:type="pct"/>
                <w:shd w:val="clear" w:color="auto" w:fill="auto"/>
                <w:noWrap/>
                <w:vAlign w:val="center"/>
                <w:hideMark/>
              </w:tcPr>
              <w:p w14:paraId="24C7AF6B"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 xml:space="preserve"> -   </w:t>
                </w:r>
              </w:p>
            </w:tc>
          </w:tr>
          <w:tr w:rsidR="00BB3BD4" w:rsidRPr="00BB3BD4" w14:paraId="6EFCC558" w14:textId="77777777" w:rsidTr="00CA6345">
            <w:trPr>
              <w:trHeight w:val="465"/>
            </w:trPr>
            <w:tc>
              <w:tcPr>
                <w:tcW w:w="739" w:type="pct"/>
                <w:shd w:val="clear" w:color="auto" w:fill="auto"/>
                <w:vAlign w:val="center"/>
                <w:hideMark/>
              </w:tcPr>
              <w:p w14:paraId="1C10DA16"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900871368</w:t>
                </w:r>
              </w:p>
            </w:tc>
            <w:tc>
              <w:tcPr>
                <w:tcW w:w="1431" w:type="pct"/>
                <w:shd w:val="clear" w:color="auto" w:fill="auto"/>
                <w:vAlign w:val="center"/>
                <w:hideMark/>
              </w:tcPr>
              <w:p w14:paraId="4D8B33DD" w14:textId="77777777" w:rsidR="00BB3BD4" w:rsidRPr="00BB3BD4" w:rsidRDefault="00BB3BD4" w:rsidP="00BB3BD4">
                <w:pPr>
                  <w:spacing w:after="0" w:line="240" w:lineRule="auto"/>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Concesionaria Ruta Del Cacao S.A.S.</w:t>
                </w:r>
              </w:p>
            </w:tc>
            <w:tc>
              <w:tcPr>
                <w:tcW w:w="985" w:type="pct"/>
                <w:shd w:val="clear" w:color="auto" w:fill="auto"/>
                <w:vAlign w:val="center"/>
                <w:hideMark/>
              </w:tcPr>
              <w:p w14:paraId="70519620"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210.174.878.283</w:t>
                </w:r>
              </w:p>
            </w:tc>
            <w:tc>
              <w:tcPr>
                <w:tcW w:w="985" w:type="pct"/>
                <w:shd w:val="clear" w:color="auto" w:fill="auto"/>
                <w:vAlign w:val="center"/>
                <w:hideMark/>
              </w:tcPr>
              <w:p w14:paraId="04F93899"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288.206.723.194</w:t>
                </w:r>
              </w:p>
            </w:tc>
            <w:tc>
              <w:tcPr>
                <w:tcW w:w="860" w:type="pct"/>
                <w:shd w:val="clear" w:color="auto" w:fill="auto"/>
                <w:noWrap/>
                <w:vAlign w:val="center"/>
                <w:hideMark/>
              </w:tcPr>
              <w:p w14:paraId="67FCF981"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-78.031.844.911</w:t>
                </w:r>
              </w:p>
            </w:tc>
          </w:tr>
          <w:tr w:rsidR="00BB3BD4" w:rsidRPr="00BB3BD4" w14:paraId="2D5771C0" w14:textId="77777777" w:rsidTr="00CA6345">
            <w:trPr>
              <w:trHeight w:val="465"/>
            </w:trPr>
            <w:tc>
              <w:tcPr>
                <w:tcW w:w="739" w:type="pct"/>
                <w:shd w:val="clear" w:color="auto" w:fill="auto"/>
                <w:vAlign w:val="center"/>
                <w:hideMark/>
              </w:tcPr>
              <w:p w14:paraId="722BA7FE"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901602085</w:t>
                </w:r>
              </w:p>
            </w:tc>
            <w:tc>
              <w:tcPr>
                <w:tcW w:w="1431" w:type="pct"/>
                <w:shd w:val="clear" w:color="auto" w:fill="auto"/>
                <w:vAlign w:val="center"/>
                <w:hideMark/>
              </w:tcPr>
              <w:p w14:paraId="0FD8B230" w14:textId="77777777" w:rsidR="00BB3BD4" w:rsidRPr="00BB3BD4" w:rsidRDefault="00BB3BD4" w:rsidP="00BB3BD4">
                <w:pPr>
                  <w:spacing w:after="0" w:line="240" w:lineRule="auto"/>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Autopista Magdalena Medio S.A.S</w:t>
                </w:r>
              </w:p>
            </w:tc>
            <w:tc>
              <w:tcPr>
                <w:tcW w:w="985" w:type="pct"/>
                <w:shd w:val="clear" w:color="auto" w:fill="auto"/>
                <w:vAlign w:val="center"/>
                <w:hideMark/>
              </w:tcPr>
              <w:p w14:paraId="0738991B"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187.318.076.171</w:t>
                </w:r>
              </w:p>
            </w:tc>
            <w:tc>
              <w:tcPr>
                <w:tcW w:w="985" w:type="pct"/>
                <w:shd w:val="clear" w:color="auto" w:fill="auto"/>
                <w:vAlign w:val="center"/>
                <w:hideMark/>
              </w:tcPr>
              <w:p w14:paraId="21566718"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 xml:space="preserve">   -   </w:t>
                </w:r>
              </w:p>
            </w:tc>
            <w:tc>
              <w:tcPr>
                <w:tcW w:w="860" w:type="pct"/>
                <w:shd w:val="clear" w:color="auto" w:fill="auto"/>
                <w:noWrap/>
                <w:vAlign w:val="center"/>
                <w:hideMark/>
              </w:tcPr>
              <w:p w14:paraId="0ABDC5BC"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187.318.076.171</w:t>
                </w:r>
              </w:p>
            </w:tc>
          </w:tr>
          <w:tr w:rsidR="00BB3BD4" w:rsidRPr="00BB3BD4" w14:paraId="43E9AD97" w14:textId="77777777" w:rsidTr="00CA6345">
            <w:trPr>
              <w:trHeight w:val="315"/>
            </w:trPr>
            <w:tc>
              <w:tcPr>
                <w:tcW w:w="739" w:type="pct"/>
                <w:shd w:val="clear" w:color="auto" w:fill="auto"/>
                <w:vAlign w:val="center"/>
                <w:hideMark/>
              </w:tcPr>
              <w:p w14:paraId="0EB38BEC"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901607093</w:t>
                </w:r>
              </w:p>
            </w:tc>
            <w:tc>
              <w:tcPr>
                <w:tcW w:w="1431" w:type="pct"/>
                <w:shd w:val="clear" w:color="auto" w:fill="auto"/>
                <w:vAlign w:val="center"/>
                <w:hideMark/>
              </w:tcPr>
              <w:p w14:paraId="190BA6EB" w14:textId="77777777" w:rsidR="00BB3BD4" w:rsidRPr="00BB3BD4" w:rsidRDefault="00BB3BD4" w:rsidP="00BB3BD4">
                <w:pPr>
                  <w:spacing w:after="0" w:line="240" w:lineRule="auto"/>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Autopista del Rio Grande S.A.S</w:t>
                </w:r>
              </w:p>
            </w:tc>
            <w:tc>
              <w:tcPr>
                <w:tcW w:w="985" w:type="pct"/>
                <w:shd w:val="clear" w:color="auto" w:fill="auto"/>
                <w:vAlign w:val="center"/>
                <w:hideMark/>
              </w:tcPr>
              <w:p w14:paraId="6F0F321A"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133.871.788.300</w:t>
                </w:r>
              </w:p>
            </w:tc>
            <w:tc>
              <w:tcPr>
                <w:tcW w:w="985" w:type="pct"/>
                <w:shd w:val="clear" w:color="auto" w:fill="auto"/>
                <w:vAlign w:val="center"/>
                <w:hideMark/>
              </w:tcPr>
              <w:p w14:paraId="3501FA25"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 xml:space="preserve">   -   </w:t>
                </w:r>
              </w:p>
            </w:tc>
            <w:tc>
              <w:tcPr>
                <w:tcW w:w="860" w:type="pct"/>
                <w:shd w:val="clear" w:color="auto" w:fill="auto"/>
                <w:noWrap/>
                <w:vAlign w:val="center"/>
                <w:hideMark/>
              </w:tcPr>
              <w:p w14:paraId="27E62A18"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133.871.788.300</w:t>
                </w:r>
              </w:p>
            </w:tc>
          </w:tr>
          <w:tr w:rsidR="00BB3BD4" w:rsidRPr="00BB3BD4" w14:paraId="3C1B0BEC" w14:textId="77777777" w:rsidTr="00CA6345">
            <w:trPr>
              <w:trHeight w:val="465"/>
            </w:trPr>
            <w:tc>
              <w:tcPr>
                <w:tcW w:w="739" w:type="pct"/>
                <w:shd w:val="clear" w:color="auto" w:fill="auto"/>
                <w:vAlign w:val="center"/>
                <w:hideMark/>
              </w:tcPr>
              <w:p w14:paraId="76B54FA5"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900745219</w:t>
                </w:r>
              </w:p>
            </w:tc>
            <w:tc>
              <w:tcPr>
                <w:tcW w:w="1431" w:type="pct"/>
                <w:shd w:val="clear" w:color="auto" w:fill="auto"/>
                <w:vAlign w:val="center"/>
                <w:hideMark/>
              </w:tcPr>
              <w:p w14:paraId="24BD6C52" w14:textId="77777777" w:rsidR="00BB3BD4" w:rsidRPr="00BB3BD4" w:rsidRDefault="00BB3BD4" w:rsidP="00BB3BD4">
                <w:pPr>
                  <w:spacing w:after="0" w:line="240" w:lineRule="auto"/>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Concesión Alto Magdalena S A S</w:t>
                </w:r>
              </w:p>
            </w:tc>
            <w:tc>
              <w:tcPr>
                <w:tcW w:w="985" w:type="pct"/>
                <w:shd w:val="clear" w:color="auto" w:fill="auto"/>
                <w:vAlign w:val="center"/>
                <w:hideMark/>
              </w:tcPr>
              <w:p w14:paraId="11F1578A"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115.560.588.109</w:t>
                </w:r>
              </w:p>
            </w:tc>
            <w:tc>
              <w:tcPr>
                <w:tcW w:w="985" w:type="pct"/>
                <w:shd w:val="clear" w:color="auto" w:fill="auto"/>
                <w:vAlign w:val="center"/>
                <w:hideMark/>
              </w:tcPr>
              <w:p w14:paraId="72B80320"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101.232.933.000</w:t>
                </w:r>
              </w:p>
            </w:tc>
            <w:tc>
              <w:tcPr>
                <w:tcW w:w="860" w:type="pct"/>
                <w:shd w:val="clear" w:color="auto" w:fill="auto"/>
                <w:noWrap/>
                <w:vAlign w:val="center"/>
                <w:hideMark/>
              </w:tcPr>
              <w:p w14:paraId="185CD318"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14.327.655.109</w:t>
                </w:r>
              </w:p>
            </w:tc>
          </w:tr>
          <w:tr w:rsidR="00BB3BD4" w:rsidRPr="00BB3BD4" w14:paraId="3B59D531" w14:textId="77777777" w:rsidTr="00CA6345">
            <w:trPr>
              <w:trHeight w:val="315"/>
            </w:trPr>
            <w:tc>
              <w:tcPr>
                <w:tcW w:w="739" w:type="pct"/>
                <w:shd w:val="clear" w:color="auto" w:fill="auto"/>
                <w:vAlign w:val="center"/>
                <w:hideMark/>
              </w:tcPr>
              <w:p w14:paraId="74A52C28"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901616426</w:t>
                </w:r>
              </w:p>
            </w:tc>
            <w:tc>
              <w:tcPr>
                <w:tcW w:w="1431" w:type="pct"/>
                <w:shd w:val="clear" w:color="auto" w:fill="auto"/>
                <w:vAlign w:val="center"/>
                <w:hideMark/>
              </w:tcPr>
              <w:p w14:paraId="7F9BE90C" w14:textId="77777777" w:rsidR="00BB3BD4" w:rsidRPr="00BB3BD4" w:rsidRDefault="00BB3BD4" w:rsidP="00BB3BD4">
                <w:pPr>
                  <w:spacing w:after="0" w:line="240" w:lineRule="auto"/>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Ecosistemas del Dique S.A.S.</w:t>
                </w:r>
              </w:p>
            </w:tc>
            <w:tc>
              <w:tcPr>
                <w:tcW w:w="985" w:type="pct"/>
                <w:shd w:val="clear" w:color="auto" w:fill="auto"/>
                <w:vAlign w:val="center"/>
                <w:hideMark/>
              </w:tcPr>
              <w:p w14:paraId="1B486E91"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49.596.199.265</w:t>
                </w:r>
              </w:p>
            </w:tc>
            <w:tc>
              <w:tcPr>
                <w:tcW w:w="985" w:type="pct"/>
                <w:shd w:val="clear" w:color="auto" w:fill="auto"/>
                <w:vAlign w:val="center"/>
                <w:hideMark/>
              </w:tcPr>
              <w:p w14:paraId="44C6783B"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 xml:space="preserve">   -   </w:t>
                </w:r>
              </w:p>
            </w:tc>
            <w:tc>
              <w:tcPr>
                <w:tcW w:w="860" w:type="pct"/>
                <w:shd w:val="clear" w:color="auto" w:fill="auto"/>
                <w:noWrap/>
                <w:vAlign w:val="center"/>
                <w:hideMark/>
              </w:tcPr>
              <w:p w14:paraId="0CFF5B2F"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49.596.199.265</w:t>
                </w:r>
              </w:p>
            </w:tc>
          </w:tr>
          <w:tr w:rsidR="00BB3BD4" w:rsidRPr="00BB3BD4" w14:paraId="53F285A6" w14:textId="77777777" w:rsidTr="00CA6345">
            <w:trPr>
              <w:trHeight w:val="315"/>
            </w:trPr>
            <w:tc>
              <w:tcPr>
                <w:tcW w:w="739" w:type="pct"/>
                <w:shd w:val="clear" w:color="auto" w:fill="auto"/>
                <w:vAlign w:val="center"/>
                <w:hideMark/>
              </w:tcPr>
              <w:p w14:paraId="00549EB5"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900763357</w:t>
                </w:r>
              </w:p>
            </w:tc>
            <w:tc>
              <w:tcPr>
                <w:tcW w:w="1431" w:type="pct"/>
                <w:shd w:val="clear" w:color="auto" w:fill="auto"/>
                <w:vAlign w:val="center"/>
                <w:hideMark/>
              </w:tcPr>
              <w:p w14:paraId="49593A6E" w14:textId="77777777" w:rsidR="00BB3BD4" w:rsidRPr="00BB3BD4" w:rsidRDefault="00BB3BD4" w:rsidP="00BB3BD4">
                <w:pPr>
                  <w:spacing w:after="0" w:line="240" w:lineRule="auto"/>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Concesión Pacifico Tres S.A.S.</w:t>
                </w:r>
              </w:p>
            </w:tc>
            <w:tc>
              <w:tcPr>
                <w:tcW w:w="985" w:type="pct"/>
                <w:shd w:val="clear" w:color="auto" w:fill="auto"/>
                <w:vAlign w:val="center"/>
                <w:hideMark/>
              </w:tcPr>
              <w:p w14:paraId="7F235C09"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48.667.270.374</w:t>
                </w:r>
              </w:p>
            </w:tc>
            <w:tc>
              <w:tcPr>
                <w:tcW w:w="985" w:type="pct"/>
                <w:shd w:val="clear" w:color="auto" w:fill="auto"/>
                <w:vAlign w:val="center"/>
                <w:hideMark/>
              </w:tcPr>
              <w:p w14:paraId="0A8EB7D7"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228.722.243.946</w:t>
                </w:r>
              </w:p>
            </w:tc>
            <w:tc>
              <w:tcPr>
                <w:tcW w:w="860" w:type="pct"/>
                <w:shd w:val="clear" w:color="auto" w:fill="auto"/>
                <w:noWrap/>
                <w:vAlign w:val="center"/>
                <w:hideMark/>
              </w:tcPr>
              <w:p w14:paraId="202F5C3E"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-180.054.973.572</w:t>
                </w:r>
              </w:p>
            </w:tc>
          </w:tr>
          <w:tr w:rsidR="00BB3BD4" w:rsidRPr="00BB3BD4" w14:paraId="4F885B51" w14:textId="77777777" w:rsidTr="00CA6345">
            <w:trPr>
              <w:trHeight w:val="315"/>
            </w:trPr>
            <w:tc>
              <w:tcPr>
                <w:tcW w:w="739" w:type="pct"/>
                <w:shd w:val="clear" w:color="auto" w:fill="auto"/>
                <w:vAlign w:val="center"/>
                <w:hideMark/>
              </w:tcPr>
              <w:p w14:paraId="19FE03F4"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832006599</w:t>
                </w:r>
              </w:p>
            </w:tc>
            <w:tc>
              <w:tcPr>
                <w:tcW w:w="1431" w:type="pct"/>
                <w:shd w:val="clear" w:color="auto" w:fill="auto"/>
                <w:vAlign w:val="center"/>
                <w:hideMark/>
              </w:tcPr>
              <w:p w14:paraId="40EA6887" w14:textId="77777777" w:rsidR="00BB3BD4" w:rsidRPr="00BB3BD4" w:rsidRDefault="00BB3BD4" w:rsidP="00BB3BD4">
                <w:pPr>
                  <w:spacing w:after="0" w:line="240" w:lineRule="auto"/>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CSS. Constructores S. A.</w:t>
                </w:r>
              </w:p>
            </w:tc>
            <w:tc>
              <w:tcPr>
                <w:tcW w:w="985" w:type="pct"/>
                <w:shd w:val="clear" w:color="auto" w:fill="auto"/>
                <w:vAlign w:val="center"/>
                <w:hideMark/>
              </w:tcPr>
              <w:p w14:paraId="7BB8E86B"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32.430.601.140</w:t>
                </w:r>
              </w:p>
            </w:tc>
            <w:tc>
              <w:tcPr>
                <w:tcW w:w="985" w:type="pct"/>
                <w:shd w:val="clear" w:color="auto" w:fill="auto"/>
                <w:vAlign w:val="center"/>
                <w:hideMark/>
              </w:tcPr>
              <w:p w14:paraId="7FB947DB"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32.430.601.140</w:t>
                </w:r>
              </w:p>
            </w:tc>
            <w:tc>
              <w:tcPr>
                <w:tcW w:w="860" w:type="pct"/>
                <w:shd w:val="clear" w:color="auto" w:fill="auto"/>
                <w:noWrap/>
                <w:vAlign w:val="center"/>
                <w:hideMark/>
              </w:tcPr>
              <w:p w14:paraId="0206877C"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 xml:space="preserve"> -   </w:t>
                </w:r>
              </w:p>
            </w:tc>
          </w:tr>
          <w:tr w:rsidR="00BB3BD4" w:rsidRPr="00BB3BD4" w14:paraId="53EE66AD" w14:textId="77777777" w:rsidTr="00CA6345">
            <w:trPr>
              <w:trHeight w:val="315"/>
            </w:trPr>
            <w:tc>
              <w:tcPr>
                <w:tcW w:w="739" w:type="pct"/>
                <w:shd w:val="clear" w:color="auto" w:fill="auto"/>
                <w:vAlign w:val="center"/>
                <w:hideMark/>
              </w:tcPr>
              <w:p w14:paraId="3D23FFE8"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900330374</w:t>
                </w:r>
              </w:p>
            </w:tc>
            <w:tc>
              <w:tcPr>
                <w:tcW w:w="1431" w:type="pct"/>
                <w:shd w:val="clear" w:color="auto" w:fill="auto"/>
                <w:vAlign w:val="center"/>
                <w:hideMark/>
              </w:tcPr>
              <w:p w14:paraId="291D2AB8" w14:textId="77777777" w:rsidR="00BB3BD4" w:rsidRPr="00BB3BD4" w:rsidRDefault="00BB3BD4" w:rsidP="00BB3BD4">
                <w:pPr>
                  <w:spacing w:after="0" w:line="240" w:lineRule="auto"/>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Consorcio Vial Helios</w:t>
                </w:r>
              </w:p>
            </w:tc>
            <w:tc>
              <w:tcPr>
                <w:tcW w:w="985" w:type="pct"/>
                <w:shd w:val="clear" w:color="auto" w:fill="auto"/>
                <w:vAlign w:val="center"/>
                <w:hideMark/>
              </w:tcPr>
              <w:p w14:paraId="5EFC9A9A"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30.930.150.914</w:t>
                </w:r>
              </w:p>
            </w:tc>
            <w:tc>
              <w:tcPr>
                <w:tcW w:w="985" w:type="pct"/>
                <w:shd w:val="clear" w:color="auto" w:fill="auto"/>
                <w:vAlign w:val="center"/>
                <w:hideMark/>
              </w:tcPr>
              <w:p w14:paraId="1BC3E3E8"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29.272.446.481</w:t>
                </w:r>
              </w:p>
            </w:tc>
            <w:tc>
              <w:tcPr>
                <w:tcW w:w="860" w:type="pct"/>
                <w:shd w:val="clear" w:color="auto" w:fill="auto"/>
                <w:noWrap/>
                <w:vAlign w:val="center"/>
                <w:hideMark/>
              </w:tcPr>
              <w:p w14:paraId="450B0C94"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1.657.704.433</w:t>
                </w:r>
              </w:p>
            </w:tc>
          </w:tr>
          <w:tr w:rsidR="00BB3BD4" w:rsidRPr="00BB3BD4" w14:paraId="0F7B1920" w14:textId="77777777" w:rsidTr="00CA6345">
            <w:trPr>
              <w:trHeight w:val="465"/>
            </w:trPr>
            <w:tc>
              <w:tcPr>
                <w:tcW w:w="739" w:type="pct"/>
                <w:shd w:val="clear" w:color="auto" w:fill="auto"/>
                <w:vAlign w:val="center"/>
                <w:hideMark/>
              </w:tcPr>
              <w:p w14:paraId="7BE5DDAD"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901161505</w:t>
                </w:r>
              </w:p>
            </w:tc>
            <w:tc>
              <w:tcPr>
                <w:tcW w:w="1431" w:type="pct"/>
                <w:shd w:val="clear" w:color="auto" w:fill="auto"/>
                <w:vAlign w:val="center"/>
                <w:hideMark/>
              </w:tcPr>
              <w:p w14:paraId="3C762617" w14:textId="77777777" w:rsidR="00BB3BD4" w:rsidRPr="00BB3BD4" w:rsidRDefault="00BB3BD4" w:rsidP="00BB3BD4">
                <w:pPr>
                  <w:spacing w:after="0" w:line="240" w:lineRule="auto"/>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Concesión Transversal Del Sisga S.A.S</w:t>
                </w:r>
              </w:p>
            </w:tc>
            <w:tc>
              <w:tcPr>
                <w:tcW w:w="985" w:type="pct"/>
                <w:shd w:val="clear" w:color="auto" w:fill="auto"/>
                <w:vAlign w:val="center"/>
                <w:hideMark/>
              </w:tcPr>
              <w:p w14:paraId="1BA01E18"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16.377.080.866</w:t>
                </w:r>
              </w:p>
            </w:tc>
            <w:tc>
              <w:tcPr>
                <w:tcW w:w="985" w:type="pct"/>
                <w:shd w:val="clear" w:color="auto" w:fill="auto"/>
                <w:vAlign w:val="center"/>
                <w:hideMark/>
              </w:tcPr>
              <w:p w14:paraId="68AF3B1C"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183.814.175.405</w:t>
                </w:r>
              </w:p>
            </w:tc>
            <w:tc>
              <w:tcPr>
                <w:tcW w:w="860" w:type="pct"/>
                <w:shd w:val="clear" w:color="auto" w:fill="auto"/>
                <w:noWrap/>
                <w:vAlign w:val="center"/>
                <w:hideMark/>
              </w:tcPr>
              <w:p w14:paraId="257B8A73"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-167.437.094.539</w:t>
                </w:r>
              </w:p>
            </w:tc>
          </w:tr>
          <w:tr w:rsidR="00BB3BD4" w:rsidRPr="00BB3BD4" w14:paraId="5339A115" w14:textId="77777777" w:rsidTr="00CA6345">
            <w:trPr>
              <w:trHeight w:val="315"/>
            </w:trPr>
            <w:tc>
              <w:tcPr>
                <w:tcW w:w="739" w:type="pct"/>
                <w:shd w:val="clear" w:color="auto" w:fill="auto"/>
                <w:vAlign w:val="center"/>
                <w:hideMark/>
              </w:tcPr>
              <w:p w14:paraId="007F8EB6"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901371481</w:t>
                </w:r>
              </w:p>
            </w:tc>
            <w:tc>
              <w:tcPr>
                <w:tcW w:w="1431" w:type="pct"/>
                <w:shd w:val="clear" w:color="auto" w:fill="auto"/>
                <w:vAlign w:val="center"/>
                <w:hideMark/>
              </w:tcPr>
              <w:p w14:paraId="3892846E" w14:textId="77777777" w:rsidR="00BB3BD4" w:rsidRPr="00BB3BD4" w:rsidRDefault="00BB3BD4" w:rsidP="00BB3BD4">
                <w:pPr>
                  <w:spacing w:after="0" w:line="240" w:lineRule="auto"/>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BTS Concesionario S.A.S</w:t>
                </w:r>
              </w:p>
            </w:tc>
            <w:tc>
              <w:tcPr>
                <w:tcW w:w="985" w:type="pct"/>
                <w:shd w:val="clear" w:color="auto" w:fill="auto"/>
                <w:vAlign w:val="center"/>
                <w:hideMark/>
              </w:tcPr>
              <w:p w14:paraId="67EF3F29"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13.515.639.363</w:t>
                </w:r>
              </w:p>
            </w:tc>
            <w:tc>
              <w:tcPr>
                <w:tcW w:w="985" w:type="pct"/>
                <w:shd w:val="clear" w:color="auto" w:fill="auto"/>
                <w:vAlign w:val="center"/>
                <w:hideMark/>
              </w:tcPr>
              <w:p w14:paraId="6056ECF9"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13.515.639.363</w:t>
                </w:r>
              </w:p>
            </w:tc>
            <w:tc>
              <w:tcPr>
                <w:tcW w:w="860" w:type="pct"/>
                <w:shd w:val="clear" w:color="auto" w:fill="auto"/>
                <w:noWrap/>
                <w:vAlign w:val="center"/>
                <w:hideMark/>
              </w:tcPr>
              <w:p w14:paraId="01CDE793"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 xml:space="preserve"> -   </w:t>
                </w:r>
              </w:p>
            </w:tc>
          </w:tr>
          <w:tr w:rsidR="00BB3BD4" w:rsidRPr="00BB3BD4" w14:paraId="4AD8075B" w14:textId="77777777" w:rsidTr="00CA6345">
            <w:trPr>
              <w:trHeight w:val="315"/>
            </w:trPr>
            <w:tc>
              <w:tcPr>
                <w:tcW w:w="739" w:type="pct"/>
                <w:shd w:val="clear" w:color="auto" w:fill="auto"/>
                <w:vAlign w:val="center"/>
                <w:hideMark/>
              </w:tcPr>
              <w:p w14:paraId="64E582B0"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900225133</w:t>
                </w:r>
              </w:p>
            </w:tc>
            <w:tc>
              <w:tcPr>
                <w:tcW w:w="1431" w:type="pct"/>
                <w:shd w:val="clear" w:color="auto" w:fill="auto"/>
                <w:vAlign w:val="center"/>
                <w:hideMark/>
              </w:tcPr>
              <w:p w14:paraId="53D38589" w14:textId="77777777" w:rsidR="00BB3BD4" w:rsidRPr="00BB3BD4" w:rsidRDefault="00BB3BD4" w:rsidP="00BB3BD4">
                <w:pPr>
                  <w:spacing w:after="0" w:line="240" w:lineRule="auto"/>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Ferrocarril Del Pacifico S.A.S</w:t>
                </w:r>
              </w:p>
            </w:tc>
            <w:tc>
              <w:tcPr>
                <w:tcW w:w="985" w:type="pct"/>
                <w:shd w:val="clear" w:color="auto" w:fill="auto"/>
                <w:vAlign w:val="center"/>
                <w:hideMark/>
              </w:tcPr>
              <w:p w14:paraId="74B6AC50"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8.390.663.389</w:t>
                </w:r>
              </w:p>
            </w:tc>
            <w:tc>
              <w:tcPr>
                <w:tcW w:w="985" w:type="pct"/>
                <w:shd w:val="clear" w:color="auto" w:fill="auto"/>
                <w:vAlign w:val="center"/>
                <w:hideMark/>
              </w:tcPr>
              <w:p w14:paraId="1EFD6736"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8.390.663.389</w:t>
                </w:r>
              </w:p>
            </w:tc>
            <w:tc>
              <w:tcPr>
                <w:tcW w:w="860" w:type="pct"/>
                <w:shd w:val="clear" w:color="auto" w:fill="auto"/>
                <w:noWrap/>
                <w:vAlign w:val="center"/>
                <w:hideMark/>
              </w:tcPr>
              <w:p w14:paraId="7A6D36B0"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 xml:space="preserve"> -   </w:t>
                </w:r>
              </w:p>
            </w:tc>
          </w:tr>
          <w:tr w:rsidR="00BB3BD4" w:rsidRPr="00BB3BD4" w14:paraId="65E0F292" w14:textId="77777777" w:rsidTr="00CA6345">
            <w:trPr>
              <w:trHeight w:val="465"/>
            </w:trPr>
            <w:tc>
              <w:tcPr>
                <w:tcW w:w="739" w:type="pct"/>
                <w:shd w:val="clear" w:color="auto" w:fill="auto"/>
                <w:vAlign w:val="center"/>
                <w:hideMark/>
              </w:tcPr>
              <w:p w14:paraId="5C9F0CFE"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900880846</w:t>
                </w:r>
              </w:p>
            </w:tc>
            <w:tc>
              <w:tcPr>
                <w:tcW w:w="1431" w:type="pct"/>
                <w:shd w:val="clear" w:color="auto" w:fill="auto"/>
                <w:vAlign w:val="center"/>
                <w:hideMark/>
              </w:tcPr>
              <w:p w14:paraId="5CC24B6E" w14:textId="77777777" w:rsidR="00BB3BD4" w:rsidRPr="00BB3BD4" w:rsidRDefault="00BB3BD4" w:rsidP="00BB3BD4">
                <w:pPr>
                  <w:spacing w:after="0" w:line="240" w:lineRule="auto"/>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Concesionaria Vial Unión Del Sur S.A.S.</w:t>
                </w:r>
              </w:p>
            </w:tc>
            <w:tc>
              <w:tcPr>
                <w:tcW w:w="985" w:type="pct"/>
                <w:shd w:val="clear" w:color="auto" w:fill="auto"/>
                <w:vAlign w:val="center"/>
                <w:hideMark/>
              </w:tcPr>
              <w:p w14:paraId="24D4AF07"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8.142.099.030</w:t>
                </w:r>
              </w:p>
            </w:tc>
            <w:tc>
              <w:tcPr>
                <w:tcW w:w="985" w:type="pct"/>
                <w:shd w:val="clear" w:color="auto" w:fill="auto"/>
                <w:vAlign w:val="center"/>
                <w:hideMark/>
              </w:tcPr>
              <w:p w14:paraId="0E4B60E2"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245.798.894.469</w:t>
                </w:r>
              </w:p>
            </w:tc>
            <w:tc>
              <w:tcPr>
                <w:tcW w:w="860" w:type="pct"/>
                <w:shd w:val="clear" w:color="auto" w:fill="auto"/>
                <w:noWrap/>
                <w:vAlign w:val="center"/>
                <w:hideMark/>
              </w:tcPr>
              <w:p w14:paraId="7CD0808F"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-237.656.795.439</w:t>
                </w:r>
              </w:p>
            </w:tc>
          </w:tr>
          <w:tr w:rsidR="00BB3BD4" w:rsidRPr="00BB3BD4" w14:paraId="5B92C56A" w14:textId="77777777" w:rsidTr="00CA6345">
            <w:trPr>
              <w:trHeight w:val="315"/>
            </w:trPr>
            <w:tc>
              <w:tcPr>
                <w:tcW w:w="739" w:type="pct"/>
                <w:shd w:val="clear" w:color="auto" w:fill="auto"/>
                <w:vAlign w:val="center"/>
                <w:hideMark/>
              </w:tcPr>
              <w:p w14:paraId="01C6B85D"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830025490</w:t>
                </w:r>
              </w:p>
            </w:tc>
            <w:tc>
              <w:tcPr>
                <w:tcW w:w="1431" w:type="pct"/>
                <w:shd w:val="clear" w:color="auto" w:fill="auto"/>
                <w:vAlign w:val="center"/>
                <w:hideMark/>
              </w:tcPr>
              <w:p w14:paraId="3F9B7BC9" w14:textId="77777777" w:rsidR="00BB3BD4" w:rsidRPr="00BB3BD4" w:rsidRDefault="00BB3BD4" w:rsidP="00BB3BD4">
                <w:pPr>
                  <w:spacing w:after="0" w:line="240" w:lineRule="auto"/>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Autopistas Del Café S.A. S.A.S</w:t>
                </w:r>
              </w:p>
            </w:tc>
            <w:tc>
              <w:tcPr>
                <w:tcW w:w="985" w:type="pct"/>
                <w:shd w:val="clear" w:color="auto" w:fill="auto"/>
                <w:vAlign w:val="center"/>
                <w:hideMark/>
              </w:tcPr>
              <w:p w14:paraId="4AE8AA1C"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4.965.013.362</w:t>
                </w:r>
              </w:p>
            </w:tc>
            <w:tc>
              <w:tcPr>
                <w:tcW w:w="985" w:type="pct"/>
                <w:shd w:val="clear" w:color="auto" w:fill="auto"/>
                <w:vAlign w:val="center"/>
                <w:hideMark/>
              </w:tcPr>
              <w:p w14:paraId="5AD2C7B7"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4.964.016.763</w:t>
                </w:r>
              </w:p>
            </w:tc>
            <w:tc>
              <w:tcPr>
                <w:tcW w:w="860" w:type="pct"/>
                <w:shd w:val="clear" w:color="auto" w:fill="auto"/>
                <w:noWrap/>
                <w:vAlign w:val="center"/>
                <w:hideMark/>
              </w:tcPr>
              <w:p w14:paraId="6344A5A0"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996.599</w:t>
                </w:r>
              </w:p>
            </w:tc>
          </w:tr>
          <w:tr w:rsidR="00BB3BD4" w:rsidRPr="00BB3BD4" w14:paraId="448D4913" w14:textId="77777777" w:rsidTr="00CA6345">
            <w:trPr>
              <w:trHeight w:val="315"/>
            </w:trPr>
            <w:tc>
              <w:tcPr>
                <w:tcW w:w="739" w:type="pct"/>
                <w:shd w:val="clear" w:color="auto" w:fill="auto"/>
                <w:vAlign w:val="center"/>
                <w:hideMark/>
              </w:tcPr>
              <w:p w14:paraId="28AC48A1"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900162704</w:t>
                </w:r>
              </w:p>
            </w:tc>
            <w:tc>
              <w:tcPr>
                <w:tcW w:w="1431" w:type="pct"/>
                <w:shd w:val="clear" w:color="auto" w:fill="auto"/>
                <w:vAlign w:val="center"/>
                <w:hideMark/>
              </w:tcPr>
              <w:p w14:paraId="746B0926" w14:textId="77777777" w:rsidR="00BB3BD4" w:rsidRPr="00BB3BD4" w:rsidRDefault="00BB3BD4" w:rsidP="00BB3BD4">
                <w:pPr>
                  <w:spacing w:after="0" w:line="240" w:lineRule="auto"/>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Concesionaria San Simón S A</w:t>
                </w:r>
              </w:p>
            </w:tc>
            <w:tc>
              <w:tcPr>
                <w:tcW w:w="985" w:type="pct"/>
                <w:shd w:val="clear" w:color="auto" w:fill="auto"/>
                <w:vAlign w:val="center"/>
                <w:hideMark/>
              </w:tcPr>
              <w:p w14:paraId="494AEDA4"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2.289.912.795</w:t>
                </w:r>
              </w:p>
            </w:tc>
            <w:tc>
              <w:tcPr>
                <w:tcW w:w="985" w:type="pct"/>
                <w:shd w:val="clear" w:color="auto" w:fill="auto"/>
                <w:vAlign w:val="center"/>
                <w:hideMark/>
              </w:tcPr>
              <w:p w14:paraId="5A8B89B6"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2.289.912.795</w:t>
                </w:r>
              </w:p>
            </w:tc>
            <w:tc>
              <w:tcPr>
                <w:tcW w:w="860" w:type="pct"/>
                <w:shd w:val="clear" w:color="auto" w:fill="auto"/>
                <w:noWrap/>
                <w:vAlign w:val="center"/>
                <w:hideMark/>
              </w:tcPr>
              <w:p w14:paraId="362F02DB"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 xml:space="preserve"> -   </w:t>
                </w:r>
              </w:p>
            </w:tc>
          </w:tr>
          <w:tr w:rsidR="00BB3BD4" w:rsidRPr="00BB3BD4" w14:paraId="7CAB6505" w14:textId="77777777" w:rsidTr="00CA6345">
            <w:trPr>
              <w:trHeight w:val="315"/>
            </w:trPr>
            <w:tc>
              <w:tcPr>
                <w:tcW w:w="739" w:type="pct"/>
                <w:shd w:val="clear" w:color="auto" w:fill="auto"/>
                <w:vAlign w:val="center"/>
                <w:hideMark/>
              </w:tcPr>
              <w:p w14:paraId="7B393C9C"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lastRenderedPageBreak/>
                  <w:t>811005050</w:t>
                </w:r>
              </w:p>
            </w:tc>
            <w:tc>
              <w:tcPr>
                <w:tcW w:w="1431" w:type="pct"/>
                <w:shd w:val="clear" w:color="auto" w:fill="auto"/>
                <w:vAlign w:val="center"/>
                <w:hideMark/>
              </w:tcPr>
              <w:p w14:paraId="5DD71D4A" w14:textId="77777777" w:rsidR="00BB3BD4" w:rsidRPr="00BB3BD4" w:rsidRDefault="00BB3BD4" w:rsidP="00BB3BD4">
                <w:pPr>
                  <w:spacing w:after="0" w:line="240" w:lineRule="auto"/>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Devimed S.A.</w:t>
                </w:r>
              </w:p>
            </w:tc>
            <w:tc>
              <w:tcPr>
                <w:tcW w:w="985" w:type="pct"/>
                <w:shd w:val="clear" w:color="auto" w:fill="auto"/>
                <w:vAlign w:val="center"/>
                <w:hideMark/>
              </w:tcPr>
              <w:p w14:paraId="208B7A06"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1.138.890.191</w:t>
                </w:r>
              </w:p>
            </w:tc>
            <w:tc>
              <w:tcPr>
                <w:tcW w:w="985" w:type="pct"/>
                <w:shd w:val="clear" w:color="auto" w:fill="auto"/>
                <w:vAlign w:val="center"/>
                <w:hideMark/>
              </w:tcPr>
              <w:p w14:paraId="21D4FF5D"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1.139.494.623</w:t>
                </w:r>
              </w:p>
            </w:tc>
            <w:tc>
              <w:tcPr>
                <w:tcW w:w="860" w:type="pct"/>
                <w:shd w:val="clear" w:color="auto" w:fill="auto"/>
                <w:noWrap/>
                <w:vAlign w:val="center"/>
                <w:hideMark/>
              </w:tcPr>
              <w:p w14:paraId="03555BB2"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-604.432</w:t>
                </w:r>
              </w:p>
            </w:tc>
          </w:tr>
          <w:tr w:rsidR="00BB3BD4" w:rsidRPr="00BB3BD4" w14:paraId="1B831458" w14:textId="77777777" w:rsidTr="00CA6345">
            <w:trPr>
              <w:trHeight w:val="465"/>
            </w:trPr>
            <w:tc>
              <w:tcPr>
                <w:tcW w:w="739" w:type="pct"/>
                <w:shd w:val="clear" w:color="auto" w:fill="auto"/>
                <w:vAlign w:val="center"/>
                <w:hideMark/>
              </w:tcPr>
              <w:p w14:paraId="564F7B36"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800235278</w:t>
                </w:r>
              </w:p>
            </w:tc>
            <w:tc>
              <w:tcPr>
                <w:tcW w:w="1431" w:type="pct"/>
                <w:shd w:val="clear" w:color="auto" w:fill="auto"/>
                <w:vAlign w:val="center"/>
                <w:hideMark/>
              </w:tcPr>
              <w:p w14:paraId="4236A3E7" w14:textId="77777777" w:rsidR="00BB3BD4" w:rsidRPr="00BB3BD4" w:rsidRDefault="00BB3BD4" w:rsidP="00BB3BD4">
                <w:pPr>
                  <w:spacing w:after="0" w:line="240" w:lineRule="auto"/>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Concesión Santa Marta Paraguachon S.A.</w:t>
                </w:r>
              </w:p>
            </w:tc>
            <w:tc>
              <w:tcPr>
                <w:tcW w:w="985" w:type="pct"/>
                <w:shd w:val="clear" w:color="auto" w:fill="auto"/>
                <w:vAlign w:val="center"/>
                <w:hideMark/>
              </w:tcPr>
              <w:p w14:paraId="453AB43A"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421.636.427</w:t>
                </w:r>
              </w:p>
            </w:tc>
            <w:tc>
              <w:tcPr>
                <w:tcW w:w="985" w:type="pct"/>
                <w:shd w:val="clear" w:color="auto" w:fill="auto"/>
                <w:vAlign w:val="center"/>
                <w:hideMark/>
              </w:tcPr>
              <w:p w14:paraId="7820F0B4"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421.636.427</w:t>
                </w:r>
              </w:p>
            </w:tc>
            <w:tc>
              <w:tcPr>
                <w:tcW w:w="860" w:type="pct"/>
                <w:shd w:val="clear" w:color="auto" w:fill="auto"/>
                <w:noWrap/>
                <w:vAlign w:val="center"/>
                <w:hideMark/>
              </w:tcPr>
              <w:p w14:paraId="22BF2F37"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 xml:space="preserve"> -   </w:t>
                </w:r>
              </w:p>
            </w:tc>
          </w:tr>
          <w:tr w:rsidR="00BB3BD4" w:rsidRPr="00BB3BD4" w14:paraId="4935A86A" w14:textId="77777777" w:rsidTr="00CA6345">
            <w:trPr>
              <w:trHeight w:val="465"/>
            </w:trPr>
            <w:tc>
              <w:tcPr>
                <w:tcW w:w="739" w:type="pct"/>
                <w:shd w:val="clear" w:color="auto" w:fill="auto"/>
                <w:vAlign w:val="center"/>
                <w:hideMark/>
              </w:tcPr>
              <w:p w14:paraId="0EB032C3"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830054539</w:t>
                </w:r>
              </w:p>
            </w:tc>
            <w:tc>
              <w:tcPr>
                <w:tcW w:w="1431" w:type="pct"/>
                <w:shd w:val="clear" w:color="auto" w:fill="auto"/>
                <w:vAlign w:val="center"/>
                <w:hideMark/>
              </w:tcPr>
              <w:p w14:paraId="18981E8F" w14:textId="77777777" w:rsidR="00BB3BD4" w:rsidRPr="00BB3BD4" w:rsidRDefault="00BB3BD4" w:rsidP="00BB3BD4">
                <w:pPr>
                  <w:spacing w:after="0" w:line="240" w:lineRule="auto"/>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 xml:space="preserve">Patrimonios Autónomas Fiduciaria Bancolombia S A </w:t>
                </w:r>
              </w:p>
            </w:tc>
            <w:tc>
              <w:tcPr>
                <w:tcW w:w="985" w:type="pct"/>
                <w:shd w:val="clear" w:color="auto" w:fill="auto"/>
                <w:vAlign w:val="center"/>
                <w:hideMark/>
              </w:tcPr>
              <w:p w14:paraId="1ED924E0"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14.145.011</w:t>
                </w:r>
              </w:p>
            </w:tc>
            <w:tc>
              <w:tcPr>
                <w:tcW w:w="985" w:type="pct"/>
                <w:shd w:val="clear" w:color="auto" w:fill="auto"/>
                <w:vAlign w:val="center"/>
                <w:hideMark/>
              </w:tcPr>
              <w:p w14:paraId="0B685F73"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14.145.011</w:t>
                </w:r>
              </w:p>
            </w:tc>
            <w:tc>
              <w:tcPr>
                <w:tcW w:w="860" w:type="pct"/>
                <w:shd w:val="clear" w:color="auto" w:fill="auto"/>
                <w:noWrap/>
                <w:vAlign w:val="center"/>
                <w:hideMark/>
              </w:tcPr>
              <w:p w14:paraId="3E22697D" w14:textId="77777777" w:rsidR="00BB3BD4" w:rsidRPr="00BB3BD4" w:rsidRDefault="00BB3BD4" w:rsidP="00BB3BD4">
                <w:pPr>
                  <w:spacing w:after="0" w:line="240" w:lineRule="auto"/>
                  <w:jc w:val="right"/>
                  <w:rPr>
                    <w:rFonts w:ascii="Times New Roman" w:eastAsia="Times New Roman" w:hAnsi="Times New Roman"/>
                    <w:color w:val="000000"/>
                    <w:sz w:val="18"/>
                    <w:szCs w:val="18"/>
                    <w:lang w:eastAsia="es-CO"/>
                  </w:rPr>
                </w:pPr>
                <w:r w:rsidRPr="00BB3BD4">
                  <w:rPr>
                    <w:rFonts w:ascii="Times New Roman" w:eastAsia="Times New Roman" w:hAnsi="Times New Roman"/>
                    <w:color w:val="000000"/>
                    <w:sz w:val="18"/>
                    <w:szCs w:val="18"/>
                    <w:lang w:eastAsia="es-CO"/>
                  </w:rPr>
                  <w:t xml:space="preserve"> -   </w:t>
                </w:r>
              </w:p>
            </w:tc>
          </w:tr>
          <w:tr w:rsidR="00BB3BD4" w:rsidRPr="00BB3BD4" w14:paraId="214E2E86" w14:textId="77777777" w:rsidTr="00CA6345">
            <w:trPr>
              <w:trHeight w:val="315"/>
            </w:trPr>
            <w:tc>
              <w:tcPr>
                <w:tcW w:w="2170" w:type="pct"/>
                <w:gridSpan w:val="2"/>
                <w:shd w:val="clear" w:color="auto" w:fill="auto"/>
                <w:vAlign w:val="center"/>
                <w:hideMark/>
              </w:tcPr>
              <w:p w14:paraId="2A8AD9B4" w14:textId="77777777" w:rsidR="00BB3BD4" w:rsidRPr="00BB3BD4" w:rsidRDefault="00BB3BD4" w:rsidP="00BB3BD4">
                <w:pPr>
                  <w:spacing w:after="0" w:line="240" w:lineRule="auto"/>
                  <w:jc w:val="center"/>
                  <w:rPr>
                    <w:rFonts w:ascii="Times New Roman" w:eastAsia="Times New Roman" w:hAnsi="Times New Roman"/>
                    <w:b/>
                    <w:bCs/>
                    <w:color w:val="000000"/>
                    <w:sz w:val="18"/>
                    <w:szCs w:val="18"/>
                    <w:lang w:eastAsia="es-CO"/>
                  </w:rPr>
                </w:pPr>
                <w:r w:rsidRPr="00BB3BD4">
                  <w:rPr>
                    <w:rFonts w:ascii="Times New Roman" w:eastAsia="Times New Roman" w:hAnsi="Times New Roman"/>
                    <w:b/>
                    <w:bCs/>
                    <w:color w:val="000000"/>
                    <w:sz w:val="18"/>
                    <w:szCs w:val="18"/>
                    <w:lang w:eastAsia="es-CO"/>
                  </w:rPr>
                  <w:t>TOTAL</w:t>
                </w:r>
              </w:p>
            </w:tc>
            <w:tc>
              <w:tcPr>
                <w:tcW w:w="985" w:type="pct"/>
                <w:shd w:val="clear" w:color="auto" w:fill="auto"/>
                <w:vAlign w:val="center"/>
                <w:hideMark/>
              </w:tcPr>
              <w:p w14:paraId="2BCE9726" w14:textId="77777777" w:rsidR="00BB3BD4" w:rsidRPr="00BB3BD4" w:rsidRDefault="00BB3BD4" w:rsidP="00BB3BD4">
                <w:pPr>
                  <w:spacing w:after="0" w:line="240" w:lineRule="auto"/>
                  <w:jc w:val="right"/>
                  <w:rPr>
                    <w:rFonts w:ascii="Times New Roman" w:eastAsia="Times New Roman" w:hAnsi="Times New Roman"/>
                    <w:b/>
                    <w:bCs/>
                    <w:color w:val="000000"/>
                    <w:sz w:val="18"/>
                    <w:szCs w:val="18"/>
                    <w:lang w:eastAsia="es-CO"/>
                  </w:rPr>
                </w:pPr>
                <w:r w:rsidRPr="00BB3BD4">
                  <w:rPr>
                    <w:rFonts w:ascii="Times New Roman" w:eastAsia="Times New Roman" w:hAnsi="Times New Roman"/>
                    <w:b/>
                    <w:bCs/>
                    <w:color w:val="000000"/>
                    <w:sz w:val="18"/>
                    <w:szCs w:val="18"/>
                    <w:lang w:eastAsia="es-CO"/>
                  </w:rPr>
                  <w:t>10.034.968.134.093</w:t>
                </w:r>
              </w:p>
            </w:tc>
            <w:tc>
              <w:tcPr>
                <w:tcW w:w="985" w:type="pct"/>
                <w:shd w:val="clear" w:color="auto" w:fill="auto"/>
                <w:vAlign w:val="center"/>
                <w:hideMark/>
              </w:tcPr>
              <w:p w14:paraId="2F894E98" w14:textId="77777777" w:rsidR="00BB3BD4" w:rsidRPr="00BB3BD4" w:rsidRDefault="00BB3BD4" w:rsidP="00BB3BD4">
                <w:pPr>
                  <w:spacing w:after="0" w:line="240" w:lineRule="auto"/>
                  <w:jc w:val="right"/>
                  <w:rPr>
                    <w:rFonts w:ascii="Times New Roman" w:eastAsia="Times New Roman" w:hAnsi="Times New Roman"/>
                    <w:b/>
                    <w:bCs/>
                    <w:color w:val="000000"/>
                    <w:sz w:val="18"/>
                    <w:szCs w:val="18"/>
                    <w:lang w:eastAsia="es-CO"/>
                  </w:rPr>
                </w:pPr>
                <w:r w:rsidRPr="00BB3BD4">
                  <w:rPr>
                    <w:rFonts w:ascii="Times New Roman" w:eastAsia="Times New Roman" w:hAnsi="Times New Roman"/>
                    <w:b/>
                    <w:bCs/>
                    <w:color w:val="000000"/>
                    <w:sz w:val="18"/>
                    <w:szCs w:val="18"/>
                    <w:lang w:eastAsia="es-CO"/>
                  </w:rPr>
                  <w:t>10.313.886.249.665</w:t>
                </w:r>
              </w:p>
            </w:tc>
            <w:tc>
              <w:tcPr>
                <w:tcW w:w="860" w:type="pct"/>
                <w:shd w:val="clear" w:color="auto" w:fill="auto"/>
                <w:vAlign w:val="center"/>
                <w:hideMark/>
              </w:tcPr>
              <w:p w14:paraId="4198E321" w14:textId="77777777" w:rsidR="00BB3BD4" w:rsidRPr="00BB3BD4" w:rsidRDefault="00BB3BD4" w:rsidP="00BB3BD4">
                <w:pPr>
                  <w:spacing w:after="0" w:line="240" w:lineRule="auto"/>
                  <w:jc w:val="right"/>
                  <w:rPr>
                    <w:rFonts w:ascii="Times New Roman" w:eastAsia="Times New Roman" w:hAnsi="Times New Roman"/>
                    <w:b/>
                    <w:bCs/>
                    <w:color w:val="000000"/>
                    <w:sz w:val="18"/>
                    <w:szCs w:val="18"/>
                    <w:lang w:eastAsia="es-CO"/>
                  </w:rPr>
                </w:pPr>
                <w:r w:rsidRPr="00BB3BD4">
                  <w:rPr>
                    <w:rFonts w:ascii="Times New Roman" w:eastAsia="Times New Roman" w:hAnsi="Times New Roman"/>
                    <w:b/>
                    <w:bCs/>
                    <w:color w:val="000000"/>
                    <w:sz w:val="18"/>
                    <w:szCs w:val="18"/>
                    <w:lang w:eastAsia="es-CO"/>
                  </w:rPr>
                  <w:t>-278.918.115.573</w:t>
                </w:r>
              </w:p>
            </w:tc>
          </w:tr>
        </w:tbl>
        <w:p w14:paraId="6D0535F3" w14:textId="77777777" w:rsidR="007576E5" w:rsidRPr="00931DCE" w:rsidRDefault="007576E5" w:rsidP="007576E5">
          <w:pPr>
            <w:autoSpaceDE w:val="0"/>
            <w:autoSpaceDN w:val="0"/>
            <w:adjustRightInd w:val="0"/>
            <w:spacing w:after="0" w:line="240" w:lineRule="auto"/>
            <w:jc w:val="both"/>
            <w:rPr>
              <w:rFonts w:ascii="Times New Roman" w:hAnsi="Times New Roman"/>
              <w:sz w:val="16"/>
              <w:szCs w:val="16"/>
              <w:lang w:eastAsia="es-CO"/>
            </w:rPr>
          </w:pPr>
          <w:r w:rsidRPr="00931DCE">
            <w:rPr>
              <w:rFonts w:ascii="Times New Roman" w:hAnsi="Times New Roman"/>
              <w:sz w:val="16"/>
              <w:szCs w:val="16"/>
              <w:lang w:eastAsia="es-CO"/>
            </w:rPr>
            <w:t>Cifras expresadas en pesos</w:t>
          </w:r>
        </w:p>
        <w:p w14:paraId="21AC05C8" w14:textId="436AF504" w:rsidR="00DE7E53" w:rsidRPr="00931DCE" w:rsidRDefault="00DE7E53" w:rsidP="00E87EF3">
          <w:pPr>
            <w:spacing w:after="0" w:line="240" w:lineRule="auto"/>
            <w:jc w:val="both"/>
            <w:rPr>
              <w:rFonts w:ascii="Times New Roman" w:hAnsi="Times New Roman"/>
              <w:color w:val="000000"/>
              <w:sz w:val="24"/>
              <w:szCs w:val="24"/>
            </w:rPr>
          </w:pPr>
        </w:p>
        <w:p w14:paraId="2A5C9C7D" w14:textId="51FD6A9C" w:rsidR="00D675FC" w:rsidRDefault="00DE7E53" w:rsidP="004A000E">
          <w:pPr>
            <w:spacing w:after="0" w:line="240" w:lineRule="auto"/>
            <w:jc w:val="both"/>
            <w:rPr>
              <w:rFonts w:ascii="Times New Roman" w:hAnsi="Times New Roman"/>
              <w:color w:val="000000"/>
              <w:sz w:val="24"/>
              <w:szCs w:val="24"/>
            </w:rPr>
          </w:pPr>
          <w:r w:rsidRPr="00931DCE">
            <w:rPr>
              <w:rFonts w:ascii="Times New Roman" w:hAnsi="Times New Roman"/>
              <w:color w:val="000000"/>
              <w:sz w:val="24"/>
              <w:szCs w:val="24"/>
            </w:rPr>
            <w:t xml:space="preserve">Los Recursos de la entidad concedente en patrimonios autónomos constituidos por los concesionarios, está compuesta por los valores pendientes de ejecutar a 31 de diciembre de </w:t>
          </w:r>
          <w:r w:rsidR="00EF6E05" w:rsidRPr="00931DCE">
            <w:rPr>
              <w:rFonts w:ascii="Times New Roman" w:hAnsi="Times New Roman"/>
              <w:color w:val="000000"/>
              <w:sz w:val="24"/>
              <w:szCs w:val="24"/>
            </w:rPr>
            <w:t>202</w:t>
          </w:r>
          <w:r w:rsidR="008F32B4">
            <w:rPr>
              <w:rFonts w:ascii="Times New Roman" w:hAnsi="Times New Roman"/>
              <w:color w:val="000000"/>
              <w:sz w:val="24"/>
              <w:szCs w:val="24"/>
            </w:rPr>
            <w:t>3</w:t>
          </w:r>
          <w:r w:rsidRPr="00931DCE">
            <w:rPr>
              <w:rFonts w:ascii="Times New Roman" w:hAnsi="Times New Roman"/>
              <w:color w:val="000000"/>
              <w:sz w:val="24"/>
              <w:szCs w:val="24"/>
            </w:rPr>
            <w:t xml:space="preserve"> sobre los recursos entregados, en el marco de los contratos de concesión.</w:t>
          </w:r>
        </w:p>
        <w:p w14:paraId="436A64C6" w14:textId="77777777" w:rsidR="00F94514" w:rsidRDefault="00F94514" w:rsidP="004A000E">
          <w:pPr>
            <w:spacing w:after="0" w:line="240" w:lineRule="auto"/>
            <w:jc w:val="both"/>
            <w:rPr>
              <w:rFonts w:ascii="Times New Roman" w:hAnsi="Times New Roman"/>
              <w:color w:val="000000"/>
              <w:sz w:val="24"/>
              <w:szCs w:val="24"/>
            </w:rPr>
          </w:pPr>
        </w:p>
        <w:p w14:paraId="5F6C6F99" w14:textId="77777777" w:rsidR="00F94514" w:rsidRPr="00931DCE" w:rsidRDefault="00F94514" w:rsidP="004A000E">
          <w:pPr>
            <w:spacing w:after="0" w:line="240" w:lineRule="auto"/>
            <w:jc w:val="both"/>
            <w:rPr>
              <w:rFonts w:ascii="Times New Roman" w:hAnsi="Times New Roman"/>
              <w:color w:val="000000"/>
              <w:sz w:val="24"/>
              <w:szCs w:val="24"/>
            </w:rPr>
          </w:pPr>
        </w:p>
        <w:p w14:paraId="5B4219CA" w14:textId="77777777" w:rsidR="00594EBE" w:rsidRPr="00931DCE" w:rsidRDefault="00594EBE" w:rsidP="004A000E">
          <w:pPr>
            <w:spacing w:after="0" w:line="240" w:lineRule="auto"/>
            <w:jc w:val="both"/>
            <w:rPr>
              <w:rFonts w:ascii="Times New Roman" w:hAnsi="Times New Roman"/>
              <w:color w:val="000000"/>
              <w:sz w:val="24"/>
              <w:szCs w:val="24"/>
            </w:rPr>
          </w:pPr>
        </w:p>
        <w:p w14:paraId="022E374C" w14:textId="0535DEA4" w:rsidR="002E0C1C" w:rsidRPr="00931DCE" w:rsidRDefault="002E0C1C" w:rsidP="004A000E">
          <w:pPr>
            <w:pStyle w:val="Ttulo1"/>
            <w:rPr>
              <w:rFonts w:cs="Times New Roman"/>
            </w:rPr>
          </w:pPr>
          <w:bookmarkStart w:id="56" w:name="_Toc159952393"/>
          <w:r w:rsidRPr="00931DCE">
            <w:rPr>
              <w:rFonts w:cs="Times New Roman"/>
            </w:rPr>
            <w:t>NOTA 2</w:t>
          </w:r>
          <w:r w:rsidR="00BD1747" w:rsidRPr="00931DCE">
            <w:rPr>
              <w:rFonts w:cs="Times New Roman"/>
            </w:rPr>
            <w:t>0</w:t>
          </w:r>
          <w:r w:rsidRPr="00931DCE">
            <w:rPr>
              <w:rFonts w:cs="Times New Roman"/>
            </w:rPr>
            <w:t>. PRÉSTAMOS POR PAGAR</w:t>
          </w:r>
          <w:bookmarkEnd w:id="56"/>
        </w:p>
        <w:p w14:paraId="23AE95FA" w14:textId="77777777" w:rsidR="00BD1747" w:rsidRDefault="00BD1747" w:rsidP="004A000E">
          <w:pPr>
            <w:spacing w:after="0" w:line="240" w:lineRule="auto"/>
            <w:jc w:val="both"/>
            <w:rPr>
              <w:rFonts w:ascii="Times New Roman" w:hAnsi="Times New Roman"/>
              <w:b/>
              <w:sz w:val="18"/>
              <w:szCs w:val="18"/>
            </w:rPr>
          </w:pPr>
        </w:p>
        <w:p w14:paraId="4F1D70D1" w14:textId="77777777" w:rsidR="00F94514" w:rsidRPr="00931DCE" w:rsidRDefault="00F94514" w:rsidP="004A000E">
          <w:pPr>
            <w:spacing w:after="0" w:line="240" w:lineRule="auto"/>
            <w:jc w:val="both"/>
            <w:rPr>
              <w:rFonts w:ascii="Times New Roman" w:hAnsi="Times New Roman"/>
              <w:b/>
              <w:sz w:val="18"/>
              <w:szCs w:val="18"/>
            </w:rPr>
          </w:pPr>
        </w:p>
        <w:p w14:paraId="7BBC6C1C" w14:textId="2F5B6AAC" w:rsidR="00BD1747" w:rsidRDefault="00BD1747" w:rsidP="004A000E">
          <w:pPr>
            <w:pStyle w:val="Ttulo2"/>
            <w:numPr>
              <w:ilvl w:val="0"/>
              <w:numId w:val="0"/>
            </w:numPr>
            <w:rPr>
              <w:rFonts w:cs="Times New Roman"/>
              <w:szCs w:val="22"/>
            </w:rPr>
          </w:pPr>
          <w:bookmarkStart w:id="57" w:name="_Toc159952394"/>
          <w:r w:rsidRPr="00931DCE">
            <w:rPr>
              <w:rFonts w:cs="Times New Roman"/>
              <w:szCs w:val="22"/>
            </w:rPr>
            <w:t>Composición</w:t>
          </w:r>
          <w:bookmarkEnd w:id="57"/>
        </w:p>
        <w:p w14:paraId="163A3F2E" w14:textId="77777777" w:rsidR="00F94514" w:rsidRPr="00F94514" w:rsidRDefault="00F94514" w:rsidP="00F94514"/>
        <w:tbl>
          <w:tblPr>
            <w:tblW w:w="5000" w:type="pct"/>
            <w:tblCellMar>
              <w:left w:w="70" w:type="dxa"/>
              <w:right w:w="70" w:type="dxa"/>
            </w:tblCellMar>
            <w:tblLook w:val="04A0" w:firstRow="1" w:lastRow="0" w:firstColumn="1" w:lastColumn="0" w:noHBand="0" w:noVBand="1"/>
          </w:tblPr>
          <w:tblGrid>
            <w:gridCol w:w="1008"/>
            <w:gridCol w:w="644"/>
            <w:gridCol w:w="2637"/>
            <w:gridCol w:w="1666"/>
            <w:gridCol w:w="1543"/>
            <w:gridCol w:w="1471"/>
          </w:tblGrid>
          <w:tr w:rsidR="00714EEA" w:rsidRPr="00357323" w14:paraId="0D23BC61" w14:textId="77777777" w:rsidTr="00357323">
            <w:trPr>
              <w:trHeight w:val="395"/>
            </w:trPr>
            <w:tc>
              <w:tcPr>
                <w:tcW w:w="2391" w:type="pct"/>
                <w:gridSpan w:val="3"/>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7A58277D" w14:textId="77777777" w:rsidR="00714EEA" w:rsidRPr="00714EEA" w:rsidRDefault="00714EEA" w:rsidP="00714EEA">
                <w:pPr>
                  <w:spacing w:after="0" w:line="240" w:lineRule="auto"/>
                  <w:jc w:val="center"/>
                  <w:rPr>
                    <w:rFonts w:ascii="Times New Roman" w:eastAsia="Times New Roman" w:hAnsi="Times New Roman"/>
                    <w:b/>
                    <w:bCs/>
                    <w:sz w:val="14"/>
                    <w:szCs w:val="14"/>
                    <w:lang w:eastAsia="es-CO"/>
                  </w:rPr>
                </w:pPr>
                <w:r w:rsidRPr="00714EEA">
                  <w:rPr>
                    <w:rFonts w:ascii="Times New Roman" w:eastAsia="Times New Roman" w:hAnsi="Times New Roman"/>
                    <w:b/>
                    <w:bCs/>
                    <w:sz w:val="14"/>
                    <w:szCs w:val="14"/>
                    <w:lang w:eastAsia="es-CO"/>
                  </w:rPr>
                  <w:t>DESCRIPCIÓN</w:t>
                </w:r>
              </w:p>
            </w:tc>
            <w:tc>
              <w:tcPr>
                <w:tcW w:w="1789" w:type="pct"/>
                <w:gridSpan w:val="2"/>
                <w:tcBorders>
                  <w:top w:val="single" w:sz="4" w:space="0" w:color="A6A6A6"/>
                  <w:left w:val="nil"/>
                  <w:bottom w:val="single" w:sz="4" w:space="0" w:color="A6A6A6"/>
                  <w:right w:val="single" w:sz="4" w:space="0" w:color="A6A6A6"/>
                </w:tcBorders>
                <w:shd w:val="clear" w:color="auto" w:fill="auto"/>
                <w:vAlign w:val="center"/>
                <w:hideMark/>
              </w:tcPr>
              <w:p w14:paraId="22EFF1EE" w14:textId="77777777" w:rsidR="00714EEA" w:rsidRPr="00714EEA" w:rsidRDefault="00714EEA" w:rsidP="00714EEA">
                <w:pPr>
                  <w:spacing w:after="0" w:line="240" w:lineRule="auto"/>
                  <w:jc w:val="center"/>
                  <w:rPr>
                    <w:rFonts w:ascii="Times New Roman" w:eastAsia="Times New Roman" w:hAnsi="Times New Roman"/>
                    <w:b/>
                    <w:bCs/>
                    <w:sz w:val="14"/>
                    <w:szCs w:val="14"/>
                    <w:lang w:eastAsia="es-CO"/>
                  </w:rPr>
                </w:pPr>
                <w:r w:rsidRPr="00714EEA">
                  <w:rPr>
                    <w:rFonts w:ascii="Times New Roman" w:eastAsia="Times New Roman" w:hAnsi="Times New Roman"/>
                    <w:b/>
                    <w:bCs/>
                    <w:sz w:val="14"/>
                    <w:szCs w:val="14"/>
                    <w:lang w:eastAsia="es-CO"/>
                  </w:rPr>
                  <w:t>SALDOS A CORTES DE VIGENCIA</w:t>
                </w:r>
              </w:p>
            </w:tc>
            <w:tc>
              <w:tcPr>
                <w:tcW w:w="820" w:type="pct"/>
                <w:tcBorders>
                  <w:top w:val="single" w:sz="4" w:space="0" w:color="A6A6A6"/>
                  <w:left w:val="nil"/>
                  <w:bottom w:val="single" w:sz="4" w:space="0" w:color="A6A6A6"/>
                  <w:right w:val="single" w:sz="4" w:space="0" w:color="A6A6A6"/>
                </w:tcBorders>
                <w:shd w:val="clear" w:color="auto" w:fill="auto"/>
                <w:vAlign w:val="center"/>
                <w:hideMark/>
              </w:tcPr>
              <w:p w14:paraId="6A20F354" w14:textId="77777777" w:rsidR="00714EEA" w:rsidRPr="00714EEA" w:rsidRDefault="00714EEA" w:rsidP="00714EEA">
                <w:pPr>
                  <w:spacing w:after="0" w:line="240" w:lineRule="auto"/>
                  <w:jc w:val="center"/>
                  <w:rPr>
                    <w:rFonts w:ascii="Times New Roman" w:eastAsia="Times New Roman" w:hAnsi="Times New Roman"/>
                    <w:b/>
                    <w:bCs/>
                    <w:sz w:val="14"/>
                    <w:szCs w:val="14"/>
                    <w:lang w:eastAsia="es-CO"/>
                  </w:rPr>
                </w:pPr>
                <w:r w:rsidRPr="00714EEA">
                  <w:rPr>
                    <w:rFonts w:ascii="Times New Roman" w:eastAsia="Times New Roman" w:hAnsi="Times New Roman"/>
                    <w:b/>
                    <w:bCs/>
                    <w:sz w:val="14"/>
                    <w:szCs w:val="14"/>
                    <w:lang w:eastAsia="es-CO"/>
                  </w:rPr>
                  <w:t>VARIACIÓN</w:t>
                </w:r>
              </w:p>
            </w:tc>
          </w:tr>
          <w:tr w:rsidR="00714EEA" w:rsidRPr="00357323" w14:paraId="5C59DEFF" w14:textId="77777777" w:rsidTr="00AF0948">
            <w:trPr>
              <w:trHeight w:val="474"/>
            </w:trPr>
            <w:tc>
              <w:tcPr>
                <w:tcW w:w="562" w:type="pct"/>
                <w:tcBorders>
                  <w:top w:val="nil"/>
                  <w:left w:val="single" w:sz="4" w:space="0" w:color="A6A6A6"/>
                  <w:bottom w:val="single" w:sz="4" w:space="0" w:color="A6A6A6"/>
                  <w:right w:val="single" w:sz="4" w:space="0" w:color="A6A6A6"/>
                </w:tcBorders>
                <w:shd w:val="clear" w:color="auto" w:fill="auto"/>
                <w:vAlign w:val="center"/>
                <w:hideMark/>
              </w:tcPr>
              <w:p w14:paraId="2EFE8711" w14:textId="77777777" w:rsidR="00714EEA" w:rsidRPr="00714EEA" w:rsidRDefault="00714EEA" w:rsidP="00714EEA">
                <w:pPr>
                  <w:spacing w:after="0" w:line="240" w:lineRule="auto"/>
                  <w:jc w:val="center"/>
                  <w:rPr>
                    <w:rFonts w:ascii="Times New Roman" w:eastAsia="Times New Roman" w:hAnsi="Times New Roman"/>
                    <w:b/>
                    <w:bCs/>
                    <w:sz w:val="14"/>
                    <w:szCs w:val="14"/>
                    <w:lang w:eastAsia="es-CO"/>
                  </w:rPr>
                </w:pPr>
                <w:r w:rsidRPr="00714EEA">
                  <w:rPr>
                    <w:rFonts w:ascii="Times New Roman" w:eastAsia="Times New Roman" w:hAnsi="Times New Roman"/>
                    <w:b/>
                    <w:bCs/>
                    <w:sz w:val="14"/>
                    <w:szCs w:val="14"/>
                    <w:lang w:eastAsia="es-CO"/>
                  </w:rPr>
                  <w:t>CÓDIGO CONTABLE</w:t>
                </w:r>
              </w:p>
            </w:tc>
            <w:tc>
              <w:tcPr>
                <w:tcW w:w="359" w:type="pct"/>
                <w:tcBorders>
                  <w:top w:val="nil"/>
                  <w:left w:val="nil"/>
                  <w:bottom w:val="single" w:sz="4" w:space="0" w:color="A6A6A6"/>
                  <w:right w:val="single" w:sz="4" w:space="0" w:color="A6A6A6"/>
                </w:tcBorders>
                <w:shd w:val="clear" w:color="auto" w:fill="auto"/>
                <w:vAlign w:val="center"/>
                <w:hideMark/>
              </w:tcPr>
              <w:p w14:paraId="759068FF" w14:textId="77777777" w:rsidR="00714EEA" w:rsidRPr="00714EEA" w:rsidRDefault="00714EEA" w:rsidP="00714EEA">
                <w:pPr>
                  <w:spacing w:after="0" w:line="240" w:lineRule="auto"/>
                  <w:jc w:val="center"/>
                  <w:rPr>
                    <w:rFonts w:ascii="Times New Roman" w:eastAsia="Times New Roman" w:hAnsi="Times New Roman"/>
                    <w:b/>
                    <w:bCs/>
                    <w:sz w:val="14"/>
                    <w:szCs w:val="14"/>
                    <w:lang w:eastAsia="es-CO"/>
                  </w:rPr>
                </w:pPr>
                <w:r w:rsidRPr="00714EEA">
                  <w:rPr>
                    <w:rFonts w:ascii="Times New Roman" w:eastAsia="Times New Roman" w:hAnsi="Times New Roman"/>
                    <w:b/>
                    <w:bCs/>
                    <w:sz w:val="14"/>
                    <w:szCs w:val="14"/>
                    <w:lang w:eastAsia="es-CO"/>
                  </w:rPr>
                  <w:t>NAT</w:t>
                </w:r>
              </w:p>
            </w:tc>
            <w:tc>
              <w:tcPr>
                <w:tcW w:w="1470" w:type="pct"/>
                <w:tcBorders>
                  <w:top w:val="nil"/>
                  <w:left w:val="nil"/>
                  <w:bottom w:val="single" w:sz="4" w:space="0" w:color="A6A6A6"/>
                  <w:right w:val="single" w:sz="4" w:space="0" w:color="A6A6A6"/>
                </w:tcBorders>
                <w:shd w:val="clear" w:color="auto" w:fill="auto"/>
                <w:vAlign w:val="center"/>
                <w:hideMark/>
              </w:tcPr>
              <w:p w14:paraId="4018E5F7" w14:textId="77777777" w:rsidR="00714EEA" w:rsidRPr="00714EEA" w:rsidRDefault="00714EEA" w:rsidP="00714EEA">
                <w:pPr>
                  <w:spacing w:after="0" w:line="240" w:lineRule="auto"/>
                  <w:jc w:val="center"/>
                  <w:rPr>
                    <w:rFonts w:ascii="Times New Roman" w:eastAsia="Times New Roman" w:hAnsi="Times New Roman"/>
                    <w:b/>
                    <w:bCs/>
                    <w:sz w:val="14"/>
                    <w:szCs w:val="14"/>
                    <w:lang w:eastAsia="es-CO"/>
                  </w:rPr>
                </w:pPr>
                <w:r w:rsidRPr="00714EEA">
                  <w:rPr>
                    <w:rFonts w:ascii="Times New Roman" w:eastAsia="Times New Roman" w:hAnsi="Times New Roman"/>
                    <w:b/>
                    <w:bCs/>
                    <w:sz w:val="14"/>
                    <w:szCs w:val="14"/>
                    <w:lang w:eastAsia="es-CO"/>
                  </w:rPr>
                  <w:t>CONCEPTO</w:t>
                </w:r>
              </w:p>
            </w:tc>
            <w:tc>
              <w:tcPr>
                <w:tcW w:w="929" w:type="pct"/>
                <w:tcBorders>
                  <w:top w:val="nil"/>
                  <w:left w:val="nil"/>
                  <w:bottom w:val="single" w:sz="4" w:space="0" w:color="A6A6A6"/>
                  <w:right w:val="single" w:sz="4" w:space="0" w:color="A6A6A6"/>
                </w:tcBorders>
                <w:shd w:val="clear" w:color="auto" w:fill="auto"/>
                <w:vAlign w:val="center"/>
                <w:hideMark/>
              </w:tcPr>
              <w:p w14:paraId="163AFACB" w14:textId="77777777" w:rsidR="00714EEA" w:rsidRPr="00714EEA" w:rsidRDefault="00714EEA" w:rsidP="00714EEA">
                <w:pPr>
                  <w:spacing w:after="0" w:line="240" w:lineRule="auto"/>
                  <w:jc w:val="center"/>
                  <w:rPr>
                    <w:rFonts w:ascii="Times New Roman" w:eastAsia="Times New Roman" w:hAnsi="Times New Roman"/>
                    <w:b/>
                    <w:bCs/>
                    <w:sz w:val="14"/>
                    <w:szCs w:val="14"/>
                    <w:lang w:eastAsia="es-CO"/>
                  </w:rPr>
                </w:pPr>
                <w:r w:rsidRPr="00714EEA">
                  <w:rPr>
                    <w:rFonts w:ascii="Times New Roman" w:eastAsia="Times New Roman" w:hAnsi="Times New Roman"/>
                    <w:b/>
                    <w:bCs/>
                    <w:sz w:val="14"/>
                    <w:szCs w:val="14"/>
                    <w:lang w:eastAsia="es-CO"/>
                  </w:rPr>
                  <w:t xml:space="preserve">2023 </w:t>
                </w:r>
              </w:p>
            </w:tc>
            <w:tc>
              <w:tcPr>
                <w:tcW w:w="860" w:type="pct"/>
                <w:tcBorders>
                  <w:top w:val="nil"/>
                  <w:left w:val="nil"/>
                  <w:bottom w:val="single" w:sz="4" w:space="0" w:color="A6A6A6"/>
                  <w:right w:val="single" w:sz="4" w:space="0" w:color="A6A6A6"/>
                </w:tcBorders>
                <w:shd w:val="clear" w:color="auto" w:fill="auto"/>
                <w:vAlign w:val="center"/>
                <w:hideMark/>
              </w:tcPr>
              <w:p w14:paraId="6FB3EADA" w14:textId="77777777" w:rsidR="00714EEA" w:rsidRPr="00714EEA" w:rsidRDefault="00714EEA" w:rsidP="00714EEA">
                <w:pPr>
                  <w:spacing w:after="0" w:line="240" w:lineRule="auto"/>
                  <w:jc w:val="center"/>
                  <w:rPr>
                    <w:rFonts w:ascii="Times New Roman" w:eastAsia="Times New Roman" w:hAnsi="Times New Roman"/>
                    <w:b/>
                    <w:bCs/>
                    <w:sz w:val="14"/>
                    <w:szCs w:val="14"/>
                    <w:lang w:eastAsia="es-CO"/>
                  </w:rPr>
                </w:pPr>
                <w:r w:rsidRPr="00714EEA">
                  <w:rPr>
                    <w:rFonts w:ascii="Times New Roman" w:eastAsia="Times New Roman" w:hAnsi="Times New Roman"/>
                    <w:b/>
                    <w:bCs/>
                    <w:sz w:val="14"/>
                    <w:szCs w:val="14"/>
                    <w:lang w:eastAsia="es-CO"/>
                  </w:rPr>
                  <w:t xml:space="preserve">2022 </w:t>
                </w:r>
              </w:p>
            </w:tc>
            <w:tc>
              <w:tcPr>
                <w:tcW w:w="820" w:type="pct"/>
                <w:tcBorders>
                  <w:top w:val="nil"/>
                  <w:left w:val="nil"/>
                  <w:bottom w:val="single" w:sz="4" w:space="0" w:color="A6A6A6"/>
                  <w:right w:val="single" w:sz="4" w:space="0" w:color="A6A6A6"/>
                </w:tcBorders>
                <w:shd w:val="clear" w:color="auto" w:fill="auto"/>
                <w:vAlign w:val="center"/>
                <w:hideMark/>
              </w:tcPr>
              <w:p w14:paraId="6445945F" w14:textId="77777777" w:rsidR="00714EEA" w:rsidRPr="00714EEA" w:rsidRDefault="00714EEA" w:rsidP="00714EEA">
                <w:pPr>
                  <w:spacing w:after="0" w:line="240" w:lineRule="auto"/>
                  <w:jc w:val="center"/>
                  <w:rPr>
                    <w:rFonts w:ascii="Times New Roman" w:eastAsia="Times New Roman" w:hAnsi="Times New Roman"/>
                    <w:b/>
                    <w:bCs/>
                    <w:sz w:val="14"/>
                    <w:szCs w:val="14"/>
                    <w:lang w:eastAsia="es-CO"/>
                  </w:rPr>
                </w:pPr>
                <w:r w:rsidRPr="00714EEA">
                  <w:rPr>
                    <w:rFonts w:ascii="Times New Roman" w:eastAsia="Times New Roman" w:hAnsi="Times New Roman"/>
                    <w:b/>
                    <w:bCs/>
                    <w:sz w:val="14"/>
                    <w:szCs w:val="14"/>
                    <w:lang w:eastAsia="es-CO"/>
                  </w:rPr>
                  <w:t>VALOR VARIACIÓN</w:t>
                </w:r>
              </w:p>
            </w:tc>
          </w:tr>
          <w:tr w:rsidR="00714EEA" w:rsidRPr="00357323" w14:paraId="731D9563" w14:textId="77777777" w:rsidTr="00AF0948">
            <w:trPr>
              <w:trHeight w:val="375"/>
            </w:trPr>
            <w:tc>
              <w:tcPr>
                <w:tcW w:w="562" w:type="pct"/>
                <w:tcBorders>
                  <w:top w:val="nil"/>
                  <w:left w:val="single" w:sz="4" w:space="0" w:color="A6A6A6"/>
                  <w:bottom w:val="single" w:sz="4" w:space="0" w:color="A6A6A6"/>
                  <w:right w:val="single" w:sz="4" w:space="0" w:color="A6A6A6"/>
                </w:tcBorders>
                <w:shd w:val="clear" w:color="auto" w:fill="auto"/>
                <w:noWrap/>
                <w:vAlign w:val="center"/>
                <w:hideMark/>
              </w:tcPr>
              <w:p w14:paraId="7ECCB858" w14:textId="77777777" w:rsidR="00714EEA" w:rsidRPr="00714EEA" w:rsidRDefault="00714EEA" w:rsidP="00714EEA">
                <w:pPr>
                  <w:spacing w:after="0" w:line="240" w:lineRule="auto"/>
                  <w:rPr>
                    <w:rFonts w:ascii="Times New Roman" w:eastAsia="Times New Roman" w:hAnsi="Times New Roman"/>
                    <w:b/>
                    <w:bCs/>
                    <w:sz w:val="14"/>
                    <w:szCs w:val="14"/>
                    <w:lang w:eastAsia="es-CO"/>
                  </w:rPr>
                </w:pPr>
                <w:r w:rsidRPr="00714EEA">
                  <w:rPr>
                    <w:rFonts w:ascii="Times New Roman" w:eastAsia="Times New Roman" w:hAnsi="Times New Roman"/>
                    <w:b/>
                    <w:bCs/>
                    <w:sz w:val="14"/>
                    <w:szCs w:val="14"/>
                    <w:lang w:eastAsia="es-CO"/>
                  </w:rPr>
                  <w:t>2.3</w:t>
                </w:r>
              </w:p>
            </w:tc>
            <w:tc>
              <w:tcPr>
                <w:tcW w:w="359" w:type="pct"/>
                <w:tcBorders>
                  <w:top w:val="nil"/>
                  <w:left w:val="nil"/>
                  <w:bottom w:val="single" w:sz="4" w:space="0" w:color="A6A6A6"/>
                  <w:right w:val="nil"/>
                </w:tcBorders>
                <w:shd w:val="clear" w:color="auto" w:fill="auto"/>
                <w:noWrap/>
                <w:vAlign w:val="center"/>
                <w:hideMark/>
              </w:tcPr>
              <w:p w14:paraId="0EC914C3" w14:textId="77777777" w:rsidR="00714EEA" w:rsidRPr="00714EEA" w:rsidRDefault="00714EEA" w:rsidP="00714EEA">
                <w:pPr>
                  <w:spacing w:after="0" w:line="240" w:lineRule="auto"/>
                  <w:jc w:val="center"/>
                  <w:rPr>
                    <w:rFonts w:ascii="Times New Roman" w:eastAsia="Times New Roman" w:hAnsi="Times New Roman"/>
                    <w:b/>
                    <w:bCs/>
                    <w:sz w:val="14"/>
                    <w:szCs w:val="14"/>
                    <w:lang w:eastAsia="es-CO"/>
                  </w:rPr>
                </w:pPr>
                <w:r w:rsidRPr="00714EEA">
                  <w:rPr>
                    <w:rFonts w:ascii="Times New Roman" w:eastAsia="Times New Roman" w:hAnsi="Times New Roman"/>
                    <w:b/>
                    <w:bCs/>
                    <w:sz w:val="14"/>
                    <w:szCs w:val="14"/>
                    <w:lang w:eastAsia="es-CO"/>
                  </w:rPr>
                  <w:t>Cr</w:t>
                </w:r>
              </w:p>
            </w:tc>
            <w:tc>
              <w:tcPr>
                <w:tcW w:w="1470" w:type="pct"/>
                <w:tcBorders>
                  <w:top w:val="nil"/>
                  <w:left w:val="single" w:sz="4" w:space="0" w:color="A6A6A6"/>
                  <w:bottom w:val="single" w:sz="4" w:space="0" w:color="A6A6A6"/>
                  <w:right w:val="nil"/>
                </w:tcBorders>
                <w:shd w:val="clear" w:color="auto" w:fill="auto"/>
                <w:vAlign w:val="center"/>
                <w:hideMark/>
              </w:tcPr>
              <w:p w14:paraId="532E3C01" w14:textId="77777777" w:rsidR="00714EEA" w:rsidRPr="00714EEA" w:rsidRDefault="00714EEA" w:rsidP="00714EEA">
                <w:pPr>
                  <w:spacing w:after="0" w:line="240" w:lineRule="auto"/>
                  <w:jc w:val="center"/>
                  <w:rPr>
                    <w:rFonts w:ascii="Times New Roman" w:eastAsia="Times New Roman" w:hAnsi="Times New Roman"/>
                    <w:b/>
                    <w:bCs/>
                    <w:sz w:val="14"/>
                    <w:szCs w:val="14"/>
                    <w:lang w:eastAsia="es-CO"/>
                  </w:rPr>
                </w:pPr>
                <w:r w:rsidRPr="00714EEA">
                  <w:rPr>
                    <w:rFonts w:ascii="Times New Roman" w:eastAsia="Times New Roman" w:hAnsi="Times New Roman"/>
                    <w:b/>
                    <w:bCs/>
                    <w:sz w:val="14"/>
                    <w:szCs w:val="14"/>
                    <w:lang w:eastAsia="es-CO"/>
                  </w:rPr>
                  <w:t>PRÉSTAMOS POR PAGAR</w:t>
                </w:r>
              </w:p>
            </w:tc>
            <w:tc>
              <w:tcPr>
                <w:tcW w:w="929" w:type="pct"/>
                <w:tcBorders>
                  <w:top w:val="nil"/>
                  <w:left w:val="single" w:sz="4" w:space="0" w:color="A6A6A6"/>
                  <w:bottom w:val="single" w:sz="4" w:space="0" w:color="A6A6A6"/>
                  <w:right w:val="single" w:sz="4" w:space="0" w:color="A6A6A6"/>
                </w:tcBorders>
                <w:shd w:val="clear" w:color="auto" w:fill="auto"/>
                <w:noWrap/>
                <w:vAlign w:val="center"/>
                <w:hideMark/>
              </w:tcPr>
              <w:p w14:paraId="2FC0D0ED" w14:textId="77777777" w:rsidR="00714EEA" w:rsidRPr="00714EEA" w:rsidRDefault="00714EEA" w:rsidP="00714EEA">
                <w:pPr>
                  <w:spacing w:after="0" w:line="240" w:lineRule="auto"/>
                  <w:jc w:val="right"/>
                  <w:rPr>
                    <w:rFonts w:ascii="Times New Roman" w:eastAsia="Times New Roman" w:hAnsi="Times New Roman"/>
                    <w:b/>
                    <w:bCs/>
                    <w:sz w:val="14"/>
                    <w:szCs w:val="14"/>
                    <w:lang w:eastAsia="es-CO"/>
                  </w:rPr>
                </w:pPr>
                <w:r w:rsidRPr="00714EEA">
                  <w:rPr>
                    <w:rFonts w:ascii="Times New Roman" w:eastAsia="Times New Roman" w:hAnsi="Times New Roman"/>
                    <w:b/>
                    <w:bCs/>
                    <w:sz w:val="14"/>
                    <w:szCs w:val="14"/>
                    <w:lang w:eastAsia="es-CO"/>
                  </w:rPr>
                  <w:t>21.512.482.906.739</w:t>
                </w:r>
              </w:p>
            </w:tc>
            <w:tc>
              <w:tcPr>
                <w:tcW w:w="860" w:type="pct"/>
                <w:tcBorders>
                  <w:top w:val="nil"/>
                  <w:left w:val="nil"/>
                  <w:bottom w:val="single" w:sz="4" w:space="0" w:color="A6A6A6"/>
                  <w:right w:val="single" w:sz="4" w:space="0" w:color="A6A6A6"/>
                </w:tcBorders>
                <w:shd w:val="clear" w:color="auto" w:fill="auto"/>
                <w:noWrap/>
                <w:vAlign w:val="center"/>
                <w:hideMark/>
              </w:tcPr>
              <w:p w14:paraId="131BD06B" w14:textId="77777777" w:rsidR="00714EEA" w:rsidRPr="00714EEA" w:rsidRDefault="00714EEA" w:rsidP="00714EEA">
                <w:pPr>
                  <w:spacing w:after="0" w:line="240" w:lineRule="auto"/>
                  <w:jc w:val="right"/>
                  <w:rPr>
                    <w:rFonts w:ascii="Times New Roman" w:eastAsia="Times New Roman" w:hAnsi="Times New Roman"/>
                    <w:b/>
                    <w:bCs/>
                    <w:sz w:val="14"/>
                    <w:szCs w:val="14"/>
                    <w:lang w:eastAsia="es-CO"/>
                  </w:rPr>
                </w:pPr>
                <w:r w:rsidRPr="00714EEA">
                  <w:rPr>
                    <w:rFonts w:ascii="Times New Roman" w:eastAsia="Times New Roman" w:hAnsi="Times New Roman"/>
                    <w:b/>
                    <w:bCs/>
                    <w:sz w:val="14"/>
                    <w:szCs w:val="14"/>
                    <w:lang w:eastAsia="es-CO"/>
                  </w:rPr>
                  <w:t>21.731.117.643.440</w:t>
                </w:r>
              </w:p>
            </w:tc>
            <w:tc>
              <w:tcPr>
                <w:tcW w:w="820" w:type="pct"/>
                <w:tcBorders>
                  <w:top w:val="nil"/>
                  <w:left w:val="nil"/>
                  <w:bottom w:val="single" w:sz="4" w:space="0" w:color="A6A6A6"/>
                  <w:right w:val="single" w:sz="4" w:space="0" w:color="A6A6A6"/>
                </w:tcBorders>
                <w:shd w:val="clear" w:color="auto" w:fill="auto"/>
                <w:noWrap/>
                <w:vAlign w:val="center"/>
                <w:hideMark/>
              </w:tcPr>
              <w:p w14:paraId="2D1754D1" w14:textId="77777777" w:rsidR="00714EEA" w:rsidRPr="00714EEA" w:rsidRDefault="00714EEA" w:rsidP="00714EEA">
                <w:pPr>
                  <w:spacing w:after="0" w:line="240" w:lineRule="auto"/>
                  <w:jc w:val="right"/>
                  <w:rPr>
                    <w:rFonts w:ascii="Times New Roman" w:eastAsia="Times New Roman" w:hAnsi="Times New Roman"/>
                    <w:b/>
                    <w:bCs/>
                    <w:sz w:val="14"/>
                    <w:szCs w:val="14"/>
                    <w:lang w:eastAsia="es-CO"/>
                  </w:rPr>
                </w:pPr>
                <w:r w:rsidRPr="00714EEA">
                  <w:rPr>
                    <w:rFonts w:ascii="Times New Roman" w:eastAsia="Times New Roman" w:hAnsi="Times New Roman"/>
                    <w:b/>
                    <w:bCs/>
                    <w:sz w:val="14"/>
                    <w:szCs w:val="14"/>
                    <w:lang w:eastAsia="es-CO"/>
                  </w:rPr>
                  <w:t>-218.634.736.701</w:t>
                </w:r>
              </w:p>
            </w:tc>
          </w:tr>
          <w:tr w:rsidR="00714EEA" w:rsidRPr="00357323" w14:paraId="1C7475D9" w14:textId="77777777" w:rsidTr="00AF0948">
            <w:trPr>
              <w:trHeight w:val="395"/>
            </w:trPr>
            <w:tc>
              <w:tcPr>
                <w:tcW w:w="562" w:type="pct"/>
                <w:tcBorders>
                  <w:top w:val="nil"/>
                  <w:left w:val="single" w:sz="4" w:space="0" w:color="A6A6A6"/>
                  <w:bottom w:val="single" w:sz="4" w:space="0" w:color="A6A6A6"/>
                  <w:right w:val="single" w:sz="4" w:space="0" w:color="A6A6A6"/>
                </w:tcBorders>
                <w:shd w:val="clear" w:color="auto" w:fill="auto"/>
                <w:noWrap/>
                <w:vAlign w:val="center"/>
                <w:hideMark/>
              </w:tcPr>
              <w:p w14:paraId="50F8F166" w14:textId="77777777" w:rsidR="00714EEA" w:rsidRPr="00714EEA" w:rsidRDefault="00714EEA" w:rsidP="00714EEA">
                <w:pPr>
                  <w:spacing w:after="0" w:line="240" w:lineRule="auto"/>
                  <w:rPr>
                    <w:rFonts w:ascii="Times New Roman" w:eastAsia="Times New Roman" w:hAnsi="Times New Roman"/>
                    <w:sz w:val="14"/>
                    <w:szCs w:val="14"/>
                    <w:lang w:eastAsia="es-CO"/>
                  </w:rPr>
                </w:pPr>
                <w:r w:rsidRPr="00714EEA">
                  <w:rPr>
                    <w:rFonts w:ascii="Times New Roman" w:eastAsia="Times New Roman" w:hAnsi="Times New Roman"/>
                    <w:sz w:val="14"/>
                    <w:szCs w:val="14"/>
                    <w:lang w:eastAsia="es-CO"/>
                  </w:rPr>
                  <w:t>2.3.14</w:t>
                </w:r>
              </w:p>
            </w:tc>
            <w:tc>
              <w:tcPr>
                <w:tcW w:w="359" w:type="pct"/>
                <w:tcBorders>
                  <w:top w:val="nil"/>
                  <w:left w:val="nil"/>
                  <w:bottom w:val="single" w:sz="4" w:space="0" w:color="A6A6A6"/>
                  <w:right w:val="nil"/>
                </w:tcBorders>
                <w:shd w:val="clear" w:color="auto" w:fill="auto"/>
                <w:noWrap/>
                <w:vAlign w:val="center"/>
                <w:hideMark/>
              </w:tcPr>
              <w:p w14:paraId="7951A866" w14:textId="77777777" w:rsidR="00714EEA" w:rsidRPr="00714EEA" w:rsidRDefault="00714EEA" w:rsidP="00714EEA">
                <w:pPr>
                  <w:spacing w:after="0" w:line="240" w:lineRule="auto"/>
                  <w:jc w:val="center"/>
                  <w:rPr>
                    <w:rFonts w:ascii="Times New Roman" w:eastAsia="Times New Roman" w:hAnsi="Times New Roman"/>
                    <w:sz w:val="14"/>
                    <w:szCs w:val="14"/>
                    <w:lang w:eastAsia="es-CO"/>
                  </w:rPr>
                </w:pPr>
                <w:r w:rsidRPr="00714EEA">
                  <w:rPr>
                    <w:rFonts w:ascii="Times New Roman" w:eastAsia="Times New Roman" w:hAnsi="Times New Roman"/>
                    <w:sz w:val="14"/>
                    <w:szCs w:val="14"/>
                    <w:lang w:eastAsia="es-CO"/>
                  </w:rPr>
                  <w:t>Cr</w:t>
                </w:r>
              </w:p>
            </w:tc>
            <w:tc>
              <w:tcPr>
                <w:tcW w:w="1470" w:type="pct"/>
                <w:tcBorders>
                  <w:top w:val="nil"/>
                  <w:left w:val="single" w:sz="4" w:space="0" w:color="A6A6A6"/>
                  <w:bottom w:val="single" w:sz="4" w:space="0" w:color="A6A6A6"/>
                  <w:right w:val="nil"/>
                </w:tcBorders>
                <w:shd w:val="clear" w:color="auto" w:fill="auto"/>
                <w:vAlign w:val="center"/>
                <w:hideMark/>
              </w:tcPr>
              <w:p w14:paraId="4CB642CC" w14:textId="77777777" w:rsidR="00714EEA" w:rsidRPr="00714EEA" w:rsidRDefault="00714EEA" w:rsidP="00714EEA">
                <w:pPr>
                  <w:spacing w:after="0" w:line="240" w:lineRule="auto"/>
                  <w:rPr>
                    <w:rFonts w:ascii="Times New Roman" w:eastAsia="Times New Roman" w:hAnsi="Times New Roman"/>
                    <w:sz w:val="14"/>
                    <w:szCs w:val="14"/>
                    <w:lang w:eastAsia="es-CO"/>
                  </w:rPr>
                </w:pPr>
                <w:r w:rsidRPr="00714EEA">
                  <w:rPr>
                    <w:rFonts w:ascii="Times New Roman" w:eastAsia="Times New Roman" w:hAnsi="Times New Roman"/>
                    <w:sz w:val="14"/>
                    <w:szCs w:val="14"/>
                    <w:lang w:eastAsia="es-CO"/>
                  </w:rPr>
                  <w:t>Financiamiento interno de largo plazo</w:t>
                </w:r>
              </w:p>
            </w:tc>
            <w:tc>
              <w:tcPr>
                <w:tcW w:w="929" w:type="pct"/>
                <w:tcBorders>
                  <w:top w:val="nil"/>
                  <w:left w:val="single" w:sz="4" w:space="0" w:color="A6A6A6"/>
                  <w:bottom w:val="single" w:sz="4" w:space="0" w:color="A6A6A6"/>
                  <w:right w:val="single" w:sz="4" w:space="0" w:color="A6A6A6"/>
                </w:tcBorders>
                <w:shd w:val="clear" w:color="auto" w:fill="auto"/>
                <w:noWrap/>
                <w:vAlign w:val="center"/>
                <w:hideMark/>
              </w:tcPr>
              <w:p w14:paraId="072D5BC3" w14:textId="77777777" w:rsidR="00714EEA" w:rsidRPr="00714EEA" w:rsidRDefault="00714EEA" w:rsidP="00714EEA">
                <w:pPr>
                  <w:spacing w:after="0" w:line="240" w:lineRule="auto"/>
                  <w:jc w:val="right"/>
                  <w:rPr>
                    <w:rFonts w:ascii="Times New Roman" w:eastAsia="Times New Roman" w:hAnsi="Times New Roman"/>
                    <w:sz w:val="14"/>
                    <w:szCs w:val="14"/>
                    <w:lang w:eastAsia="es-CO"/>
                  </w:rPr>
                </w:pPr>
                <w:r w:rsidRPr="00714EEA">
                  <w:rPr>
                    <w:rFonts w:ascii="Times New Roman" w:eastAsia="Times New Roman" w:hAnsi="Times New Roman"/>
                    <w:sz w:val="14"/>
                    <w:szCs w:val="14"/>
                    <w:lang w:eastAsia="es-CO"/>
                  </w:rPr>
                  <w:t>21.512.482.906.739</w:t>
                </w:r>
              </w:p>
            </w:tc>
            <w:tc>
              <w:tcPr>
                <w:tcW w:w="860" w:type="pct"/>
                <w:tcBorders>
                  <w:top w:val="nil"/>
                  <w:left w:val="nil"/>
                  <w:bottom w:val="single" w:sz="4" w:space="0" w:color="A6A6A6"/>
                  <w:right w:val="single" w:sz="4" w:space="0" w:color="A6A6A6"/>
                </w:tcBorders>
                <w:shd w:val="clear" w:color="auto" w:fill="auto"/>
                <w:noWrap/>
                <w:vAlign w:val="center"/>
                <w:hideMark/>
              </w:tcPr>
              <w:p w14:paraId="7225FE89" w14:textId="77777777" w:rsidR="00714EEA" w:rsidRPr="00714EEA" w:rsidRDefault="00714EEA" w:rsidP="00714EEA">
                <w:pPr>
                  <w:spacing w:after="0" w:line="240" w:lineRule="auto"/>
                  <w:jc w:val="right"/>
                  <w:rPr>
                    <w:rFonts w:ascii="Times New Roman" w:eastAsia="Times New Roman" w:hAnsi="Times New Roman"/>
                    <w:sz w:val="14"/>
                    <w:szCs w:val="14"/>
                    <w:lang w:eastAsia="es-CO"/>
                  </w:rPr>
                </w:pPr>
                <w:r w:rsidRPr="00714EEA">
                  <w:rPr>
                    <w:rFonts w:ascii="Times New Roman" w:eastAsia="Times New Roman" w:hAnsi="Times New Roman"/>
                    <w:sz w:val="14"/>
                    <w:szCs w:val="14"/>
                    <w:lang w:eastAsia="es-CO"/>
                  </w:rPr>
                  <w:t>21.731.117.643.440</w:t>
                </w:r>
              </w:p>
            </w:tc>
            <w:tc>
              <w:tcPr>
                <w:tcW w:w="820" w:type="pct"/>
                <w:tcBorders>
                  <w:top w:val="nil"/>
                  <w:left w:val="nil"/>
                  <w:bottom w:val="single" w:sz="4" w:space="0" w:color="A6A6A6"/>
                  <w:right w:val="single" w:sz="4" w:space="0" w:color="A6A6A6"/>
                </w:tcBorders>
                <w:shd w:val="clear" w:color="auto" w:fill="auto"/>
                <w:noWrap/>
                <w:vAlign w:val="center"/>
                <w:hideMark/>
              </w:tcPr>
              <w:p w14:paraId="36A2BE8A" w14:textId="77777777" w:rsidR="00714EEA" w:rsidRPr="00714EEA" w:rsidRDefault="00714EEA" w:rsidP="00714EEA">
                <w:pPr>
                  <w:spacing w:after="0" w:line="240" w:lineRule="auto"/>
                  <w:jc w:val="right"/>
                  <w:rPr>
                    <w:rFonts w:ascii="Times New Roman" w:eastAsia="Times New Roman" w:hAnsi="Times New Roman"/>
                    <w:sz w:val="14"/>
                    <w:szCs w:val="14"/>
                    <w:lang w:eastAsia="es-CO"/>
                  </w:rPr>
                </w:pPr>
                <w:r w:rsidRPr="00714EEA">
                  <w:rPr>
                    <w:rFonts w:ascii="Times New Roman" w:eastAsia="Times New Roman" w:hAnsi="Times New Roman"/>
                    <w:sz w:val="14"/>
                    <w:szCs w:val="14"/>
                    <w:lang w:eastAsia="es-CO"/>
                  </w:rPr>
                  <w:t>-218.634.736.701</w:t>
                </w:r>
              </w:p>
            </w:tc>
          </w:tr>
        </w:tbl>
        <w:p w14:paraId="7DDFD042" w14:textId="3BECA496" w:rsidR="00FD4EE4" w:rsidRPr="0069519A" w:rsidRDefault="0069519A" w:rsidP="004A000E">
          <w:pPr>
            <w:spacing w:after="0" w:line="240" w:lineRule="auto"/>
            <w:jc w:val="both"/>
            <w:rPr>
              <w:rFonts w:ascii="Times New Roman" w:hAnsi="Times New Roman"/>
              <w:sz w:val="16"/>
              <w:szCs w:val="16"/>
            </w:rPr>
          </w:pPr>
          <w:r w:rsidRPr="0069519A">
            <w:rPr>
              <w:rFonts w:ascii="Times New Roman" w:hAnsi="Times New Roman"/>
              <w:sz w:val="16"/>
              <w:szCs w:val="16"/>
            </w:rPr>
            <w:t>Cifras expresadas en pesos</w:t>
          </w:r>
        </w:p>
        <w:p w14:paraId="7C10FC14" w14:textId="77777777" w:rsidR="00615DFF" w:rsidRPr="0069519A" w:rsidRDefault="00615DFF" w:rsidP="004A000E">
          <w:pPr>
            <w:spacing w:after="0" w:line="240" w:lineRule="auto"/>
            <w:jc w:val="both"/>
            <w:rPr>
              <w:rFonts w:ascii="Times New Roman" w:hAnsi="Times New Roman"/>
              <w:sz w:val="16"/>
              <w:szCs w:val="16"/>
            </w:rPr>
          </w:pPr>
        </w:p>
        <w:p w14:paraId="0BFB4D7E" w14:textId="77777777" w:rsidR="00503137" w:rsidRPr="00931DCE" w:rsidRDefault="00503137" w:rsidP="004A000E">
          <w:pPr>
            <w:spacing w:after="0" w:line="240" w:lineRule="auto"/>
            <w:jc w:val="both"/>
            <w:rPr>
              <w:rFonts w:ascii="Times New Roman" w:hAnsi="Times New Roman"/>
              <w:sz w:val="24"/>
              <w:szCs w:val="24"/>
            </w:rPr>
          </w:pPr>
        </w:p>
        <w:p w14:paraId="4F246B32" w14:textId="19F463A9" w:rsidR="00C32E7F" w:rsidRPr="00931DCE" w:rsidRDefault="00C32E7F">
          <w:pPr>
            <w:pStyle w:val="Ttulo2"/>
            <w:numPr>
              <w:ilvl w:val="1"/>
              <w:numId w:val="2"/>
            </w:numPr>
            <w:spacing w:line="240" w:lineRule="auto"/>
            <w:ind w:left="567" w:hanging="567"/>
            <w:rPr>
              <w:rFonts w:cs="Times New Roman"/>
              <w:szCs w:val="24"/>
              <w:u w:val="single"/>
            </w:rPr>
          </w:pPr>
          <w:bookmarkStart w:id="58" w:name="_Toc159952395"/>
          <w:r w:rsidRPr="00931DCE">
            <w:rPr>
              <w:rFonts w:cs="Times New Roman"/>
              <w:szCs w:val="22"/>
            </w:rPr>
            <w:t xml:space="preserve">Revelaciones </w:t>
          </w:r>
          <w:r w:rsidR="00AB7E61">
            <w:rPr>
              <w:rFonts w:cs="Times New Roman"/>
              <w:szCs w:val="22"/>
            </w:rPr>
            <w:t>G</w:t>
          </w:r>
          <w:r w:rsidRPr="00931DCE">
            <w:rPr>
              <w:rFonts w:cs="Times New Roman"/>
              <w:szCs w:val="22"/>
            </w:rPr>
            <w:t>enerales</w:t>
          </w:r>
          <w:bookmarkEnd w:id="58"/>
        </w:p>
        <w:p w14:paraId="63BA3490" w14:textId="5770E123" w:rsidR="00C32E7F" w:rsidRPr="00931DCE" w:rsidRDefault="00C32E7F" w:rsidP="00A607E8">
          <w:pPr>
            <w:spacing w:after="0" w:line="240" w:lineRule="auto"/>
            <w:jc w:val="both"/>
            <w:rPr>
              <w:rFonts w:ascii="Times New Roman" w:hAnsi="Times New Roman"/>
              <w:sz w:val="24"/>
              <w:szCs w:val="24"/>
              <w:u w:val="single"/>
            </w:rPr>
          </w:pPr>
        </w:p>
        <w:p w14:paraId="74E1ADDB" w14:textId="77777777" w:rsidR="00503137" w:rsidRPr="00931DCE" w:rsidRDefault="00503137" w:rsidP="00503137">
          <w:pPr>
            <w:pStyle w:val="Default"/>
            <w:jc w:val="both"/>
            <w:rPr>
              <w:rFonts w:ascii="Times New Roman" w:hAnsi="Times New Roman" w:cs="Times New Roman"/>
              <w:color w:val="auto"/>
            </w:rPr>
          </w:pPr>
          <w:r w:rsidRPr="00931DCE">
            <w:rPr>
              <w:rFonts w:ascii="Times New Roman" w:hAnsi="Times New Roman" w:cs="Times New Roman"/>
              <w:color w:val="auto"/>
            </w:rPr>
            <w:t>Los préstamos por pagar, corresponden al financiamiento interno que la Nación reconoce como deuda pública a cargo de la Agencia Nacional de Infraestructura, surgidas en los contratos de concesión por concepto de garantías de ingresos mínimos garantizados, sentencias y conciliaciones, reconocidas mediante emisión de bonos u otros títulos de deuda pública, y en la cual media un acuerdo de pago en el que se establecen la forma y condiciones que la Agencia debe cumplir para el reintegro de las sumas reconocidas a través de los mecanismos de deuda pública.</w:t>
          </w:r>
        </w:p>
        <w:p w14:paraId="10D7983F" w14:textId="77777777" w:rsidR="00503137" w:rsidRPr="00931DCE" w:rsidRDefault="00503137" w:rsidP="00503137">
          <w:pPr>
            <w:pStyle w:val="Default"/>
            <w:jc w:val="both"/>
            <w:rPr>
              <w:rFonts w:ascii="Times New Roman" w:hAnsi="Times New Roman" w:cs="Times New Roman"/>
              <w:color w:val="auto"/>
            </w:rPr>
          </w:pPr>
        </w:p>
        <w:p w14:paraId="39F87098" w14:textId="77777777" w:rsidR="00503137" w:rsidRPr="00931DCE" w:rsidRDefault="00503137" w:rsidP="00503137">
          <w:pPr>
            <w:pStyle w:val="Default"/>
            <w:jc w:val="both"/>
            <w:rPr>
              <w:rFonts w:ascii="Times New Roman" w:hAnsi="Times New Roman" w:cs="Times New Roman"/>
              <w:color w:val="auto"/>
            </w:rPr>
          </w:pPr>
          <w:r w:rsidRPr="00931DCE">
            <w:rPr>
              <w:rFonts w:ascii="Times New Roman" w:hAnsi="Times New Roman" w:cs="Times New Roman"/>
              <w:color w:val="auto"/>
            </w:rPr>
            <w:t xml:space="preserve">De igual forma, se reconoce los pasivos que la Agencia, en virtud de la Norma de Concesiones tiene como obligación incondicional de pagar al concesionario (con efectivo o con otro activo financiero) por la construcción, desarrollo, adquisición, mejora o rehabilitación de un activo en concesión, este pasivo financiero se clasificará como un préstamo por pagar y, posteriormente, se reconocerá el costo financiero asociado a dicho pasivo, a través de la tasa de interés implícita del acuerdo de concesión. </w:t>
          </w:r>
        </w:p>
        <w:p w14:paraId="1F2C77BA" w14:textId="77777777" w:rsidR="00CC7245" w:rsidRPr="00931DCE" w:rsidRDefault="00CC7245" w:rsidP="00A000CF">
          <w:pPr>
            <w:spacing w:after="0" w:line="240" w:lineRule="auto"/>
            <w:jc w:val="both"/>
            <w:rPr>
              <w:rFonts w:ascii="Times New Roman" w:hAnsi="Times New Roman"/>
              <w:sz w:val="24"/>
              <w:szCs w:val="24"/>
            </w:rPr>
          </w:pPr>
        </w:p>
        <w:p w14:paraId="49FCE1B0" w14:textId="77777777" w:rsidR="00691A31" w:rsidRPr="00931DCE" w:rsidRDefault="00691A31">
          <w:pPr>
            <w:pStyle w:val="Ttulo3"/>
            <w:numPr>
              <w:ilvl w:val="2"/>
              <w:numId w:val="2"/>
            </w:numPr>
            <w:ind w:left="709" w:hanging="709"/>
            <w:rPr>
              <w:rFonts w:cs="Times New Roman"/>
              <w:color w:val="1F3864" w:themeColor="accent1" w:themeShade="80"/>
            </w:rPr>
          </w:pPr>
          <w:bookmarkStart w:id="59" w:name="_Toc159952396"/>
          <w:r w:rsidRPr="00931DCE">
            <w:rPr>
              <w:rFonts w:cs="Times New Roman"/>
              <w:color w:val="1F3864" w:themeColor="accent1" w:themeShade="80"/>
            </w:rPr>
            <w:lastRenderedPageBreak/>
            <w:t>Financiamiento interno de largo plazo</w:t>
          </w:r>
          <w:bookmarkEnd w:id="59"/>
        </w:p>
        <w:p w14:paraId="24492315" w14:textId="3B234860" w:rsidR="007C6779" w:rsidRPr="00931DCE" w:rsidRDefault="007C6779" w:rsidP="00133812">
          <w:pPr>
            <w:spacing w:after="0" w:line="240" w:lineRule="auto"/>
            <w:jc w:val="both"/>
            <w:rPr>
              <w:rFonts w:ascii="Times New Roman" w:hAnsi="Times New Roman"/>
              <w:color w:val="000000"/>
              <w:sz w:val="24"/>
              <w:szCs w:val="24"/>
              <w:lang w:eastAsia="es-CO"/>
            </w:rPr>
          </w:pPr>
        </w:p>
        <w:p w14:paraId="064D71FC" w14:textId="77777777" w:rsidR="00A000CF" w:rsidRPr="00931DCE" w:rsidRDefault="00A000CF" w:rsidP="00A000CF">
          <w:pPr>
            <w:spacing w:after="0" w:line="240" w:lineRule="auto"/>
            <w:jc w:val="both"/>
            <w:rPr>
              <w:rFonts w:ascii="Times New Roman" w:eastAsiaTheme="minorHAnsi" w:hAnsi="Times New Roman"/>
              <w:sz w:val="24"/>
              <w:szCs w:val="24"/>
            </w:rPr>
          </w:pPr>
          <w:r w:rsidRPr="00931DCE">
            <w:rPr>
              <w:rFonts w:ascii="Times New Roman" w:eastAsiaTheme="minorHAnsi" w:hAnsi="Times New Roman"/>
              <w:sz w:val="24"/>
              <w:szCs w:val="24"/>
            </w:rPr>
            <w:t>Los préstamos por pagar de la Agencia Nacional de Infraestructura pertenecen a el rubro Financiamiento Interno de Largo Plazo que se encuentra conformado de la siguiente manera:</w:t>
          </w:r>
        </w:p>
        <w:p w14:paraId="7CC30BE6" w14:textId="77777777" w:rsidR="00FD5997" w:rsidRDefault="00FD5997" w:rsidP="00A000CF">
          <w:pPr>
            <w:spacing w:after="0" w:line="240" w:lineRule="auto"/>
            <w:jc w:val="both"/>
            <w:rPr>
              <w:rFonts w:ascii="Times New Roman" w:eastAsiaTheme="minorEastAsia" w:hAnsi="Times New Roman"/>
              <w:sz w:val="24"/>
              <w:szCs w:val="24"/>
            </w:rPr>
          </w:pPr>
        </w:p>
        <w:tbl>
          <w:tblPr>
            <w:tblW w:w="5055" w:type="pct"/>
            <w:tblLayout w:type="fixed"/>
            <w:tblCellMar>
              <w:left w:w="70" w:type="dxa"/>
              <w:right w:w="70" w:type="dxa"/>
            </w:tblCellMar>
            <w:tblLook w:val="04A0" w:firstRow="1" w:lastRow="0" w:firstColumn="1" w:lastColumn="0" w:noHBand="0" w:noVBand="1"/>
          </w:tblPr>
          <w:tblGrid>
            <w:gridCol w:w="1416"/>
            <w:gridCol w:w="569"/>
            <w:gridCol w:w="421"/>
            <w:gridCol w:w="1280"/>
            <w:gridCol w:w="847"/>
            <w:gridCol w:w="849"/>
            <w:gridCol w:w="13"/>
            <w:gridCol w:w="700"/>
            <w:gridCol w:w="720"/>
            <w:gridCol w:w="838"/>
            <w:gridCol w:w="13"/>
            <w:gridCol w:w="555"/>
            <w:gridCol w:w="847"/>
          </w:tblGrid>
          <w:tr w:rsidR="003762A6" w:rsidRPr="003762A6" w14:paraId="4CE07062" w14:textId="77777777" w:rsidTr="00092474">
            <w:trPr>
              <w:trHeight w:val="307"/>
            </w:trPr>
            <w:tc>
              <w:tcPr>
                <w:tcW w:w="2033" w:type="pct"/>
                <w:gridSpan w:val="4"/>
                <w:vMerge w:val="restart"/>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4571CBB1" w14:textId="77777777" w:rsidR="003762A6" w:rsidRPr="003762A6" w:rsidRDefault="003762A6" w:rsidP="003762A6">
                <w:pPr>
                  <w:spacing w:after="0" w:line="240" w:lineRule="auto"/>
                  <w:jc w:val="center"/>
                  <w:rPr>
                    <w:rFonts w:ascii="Times New Roman" w:eastAsia="Times New Roman" w:hAnsi="Times New Roman"/>
                    <w:b/>
                    <w:bCs/>
                    <w:sz w:val="14"/>
                    <w:szCs w:val="14"/>
                    <w:lang w:eastAsia="es-CO"/>
                  </w:rPr>
                </w:pPr>
                <w:r w:rsidRPr="003762A6">
                  <w:rPr>
                    <w:rFonts w:ascii="Times New Roman" w:eastAsia="Times New Roman" w:hAnsi="Times New Roman"/>
                    <w:b/>
                    <w:bCs/>
                    <w:sz w:val="14"/>
                    <w:szCs w:val="14"/>
                    <w:lang w:eastAsia="es-CO"/>
                  </w:rPr>
                  <w:t>ASOCIACIÓN DE DATOS</w:t>
                </w:r>
              </w:p>
            </w:tc>
            <w:tc>
              <w:tcPr>
                <w:tcW w:w="2967" w:type="pct"/>
                <w:gridSpan w:val="9"/>
                <w:tcBorders>
                  <w:top w:val="single" w:sz="4" w:space="0" w:color="A6A6A6"/>
                  <w:left w:val="nil"/>
                  <w:bottom w:val="single" w:sz="4" w:space="0" w:color="A6A6A6"/>
                  <w:right w:val="single" w:sz="4" w:space="0" w:color="A6A6A6"/>
                </w:tcBorders>
                <w:shd w:val="clear" w:color="auto" w:fill="auto"/>
                <w:vAlign w:val="center"/>
                <w:hideMark/>
              </w:tcPr>
              <w:p w14:paraId="39A01207" w14:textId="77777777" w:rsidR="003762A6" w:rsidRPr="003762A6" w:rsidRDefault="003762A6" w:rsidP="003762A6">
                <w:pPr>
                  <w:spacing w:after="0" w:line="240" w:lineRule="auto"/>
                  <w:jc w:val="center"/>
                  <w:rPr>
                    <w:rFonts w:ascii="Times New Roman" w:eastAsia="Times New Roman" w:hAnsi="Times New Roman"/>
                    <w:b/>
                    <w:bCs/>
                    <w:sz w:val="14"/>
                    <w:szCs w:val="14"/>
                    <w:lang w:eastAsia="es-CO"/>
                  </w:rPr>
                </w:pPr>
                <w:r w:rsidRPr="003762A6">
                  <w:rPr>
                    <w:rFonts w:ascii="Times New Roman" w:eastAsia="Times New Roman" w:hAnsi="Times New Roman"/>
                    <w:b/>
                    <w:bCs/>
                    <w:sz w:val="14"/>
                    <w:szCs w:val="14"/>
                    <w:lang w:eastAsia="es-CO"/>
                  </w:rPr>
                  <w:t>DETALLES DE LA TRANSACCIÓN (reporte agrupado por datos comunes de asociación)</w:t>
                </w:r>
              </w:p>
            </w:tc>
          </w:tr>
          <w:tr w:rsidR="006E283A" w:rsidRPr="003762A6" w14:paraId="6A256486" w14:textId="77777777" w:rsidTr="00092474">
            <w:trPr>
              <w:trHeight w:val="660"/>
            </w:trPr>
            <w:tc>
              <w:tcPr>
                <w:tcW w:w="2033" w:type="pct"/>
                <w:gridSpan w:val="4"/>
                <w:vMerge/>
                <w:tcBorders>
                  <w:top w:val="single" w:sz="4" w:space="0" w:color="A6A6A6"/>
                  <w:left w:val="single" w:sz="4" w:space="0" w:color="A6A6A6"/>
                  <w:bottom w:val="single" w:sz="4" w:space="0" w:color="A6A6A6"/>
                  <w:right w:val="single" w:sz="4" w:space="0" w:color="A6A6A6"/>
                </w:tcBorders>
                <w:vAlign w:val="center"/>
                <w:hideMark/>
              </w:tcPr>
              <w:p w14:paraId="59443146" w14:textId="77777777" w:rsidR="003762A6" w:rsidRPr="003762A6" w:rsidRDefault="003762A6" w:rsidP="003762A6">
                <w:pPr>
                  <w:spacing w:after="0" w:line="240" w:lineRule="auto"/>
                  <w:rPr>
                    <w:rFonts w:ascii="Times New Roman" w:eastAsia="Times New Roman" w:hAnsi="Times New Roman"/>
                    <w:b/>
                    <w:bCs/>
                    <w:sz w:val="14"/>
                    <w:szCs w:val="14"/>
                    <w:lang w:eastAsia="es-CO"/>
                  </w:rPr>
                </w:pPr>
              </w:p>
            </w:tc>
            <w:tc>
              <w:tcPr>
                <w:tcW w:w="467" w:type="pct"/>
                <w:tcBorders>
                  <w:top w:val="single" w:sz="4" w:space="0" w:color="A6A6A6"/>
                  <w:left w:val="nil"/>
                  <w:bottom w:val="single" w:sz="4" w:space="0" w:color="A6A6A6"/>
                  <w:right w:val="single" w:sz="4" w:space="0" w:color="A6A6A6"/>
                </w:tcBorders>
                <w:shd w:val="clear" w:color="auto" w:fill="auto"/>
                <w:vAlign w:val="center"/>
                <w:hideMark/>
              </w:tcPr>
              <w:p w14:paraId="282323D2" w14:textId="77777777" w:rsidR="003762A6" w:rsidRPr="003762A6" w:rsidRDefault="003762A6" w:rsidP="003762A6">
                <w:pPr>
                  <w:spacing w:after="0" w:line="240" w:lineRule="auto"/>
                  <w:jc w:val="center"/>
                  <w:rPr>
                    <w:rFonts w:ascii="Times New Roman" w:eastAsia="Times New Roman" w:hAnsi="Times New Roman"/>
                    <w:b/>
                    <w:bCs/>
                    <w:sz w:val="14"/>
                    <w:szCs w:val="14"/>
                    <w:lang w:eastAsia="es-CO"/>
                  </w:rPr>
                </w:pPr>
                <w:r w:rsidRPr="003762A6">
                  <w:rPr>
                    <w:rFonts w:ascii="Times New Roman" w:eastAsia="Times New Roman" w:hAnsi="Times New Roman"/>
                    <w:b/>
                    <w:bCs/>
                    <w:sz w:val="14"/>
                    <w:szCs w:val="14"/>
                    <w:lang w:eastAsia="es-CO"/>
                  </w:rPr>
                  <w:t>PLAZO</w:t>
                </w:r>
                <w:r w:rsidRPr="003762A6">
                  <w:rPr>
                    <w:rFonts w:ascii="Times New Roman" w:eastAsia="Times New Roman" w:hAnsi="Times New Roman"/>
                    <w:b/>
                    <w:bCs/>
                    <w:sz w:val="14"/>
                    <w:szCs w:val="14"/>
                    <w:lang w:eastAsia="es-CO"/>
                  </w:rPr>
                  <w:br/>
                  <w:t>(rango en # meses)</w:t>
                </w:r>
              </w:p>
            </w:tc>
            <w:tc>
              <w:tcPr>
                <w:tcW w:w="468" w:type="pct"/>
                <w:tcBorders>
                  <w:top w:val="nil"/>
                  <w:left w:val="single" w:sz="4" w:space="0" w:color="A6A6A6"/>
                  <w:bottom w:val="single" w:sz="4" w:space="0" w:color="A6A6A6"/>
                  <w:right w:val="single" w:sz="4" w:space="0" w:color="A6A6A6"/>
                </w:tcBorders>
                <w:shd w:val="clear" w:color="auto" w:fill="auto"/>
                <w:vAlign w:val="center"/>
                <w:hideMark/>
              </w:tcPr>
              <w:p w14:paraId="6721FD83" w14:textId="77777777" w:rsidR="003762A6" w:rsidRPr="003762A6" w:rsidRDefault="003762A6" w:rsidP="003762A6">
                <w:pPr>
                  <w:spacing w:after="0" w:line="240" w:lineRule="auto"/>
                  <w:jc w:val="center"/>
                  <w:rPr>
                    <w:rFonts w:ascii="Times New Roman" w:eastAsia="Times New Roman" w:hAnsi="Times New Roman"/>
                    <w:b/>
                    <w:bCs/>
                    <w:sz w:val="14"/>
                    <w:szCs w:val="14"/>
                    <w:lang w:eastAsia="es-CO"/>
                  </w:rPr>
                </w:pPr>
                <w:r w:rsidRPr="003762A6">
                  <w:rPr>
                    <w:rFonts w:ascii="Times New Roman" w:eastAsia="Times New Roman" w:hAnsi="Times New Roman"/>
                    <w:b/>
                    <w:bCs/>
                    <w:sz w:val="14"/>
                    <w:szCs w:val="14"/>
                    <w:lang w:eastAsia="es-CO"/>
                  </w:rPr>
                  <w:t>RESTRICCIONES</w:t>
                </w:r>
              </w:p>
            </w:tc>
            <w:tc>
              <w:tcPr>
                <w:tcW w:w="393" w:type="pct"/>
                <w:gridSpan w:val="2"/>
                <w:tcBorders>
                  <w:top w:val="nil"/>
                  <w:left w:val="single" w:sz="4" w:space="0" w:color="A6A6A6"/>
                  <w:bottom w:val="single" w:sz="4" w:space="0" w:color="A6A6A6"/>
                  <w:right w:val="single" w:sz="4" w:space="0" w:color="A6A6A6"/>
                </w:tcBorders>
                <w:shd w:val="clear" w:color="auto" w:fill="auto"/>
                <w:vAlign w:val="center"/>
                <w:hideMark/>
              </w:tcPr>
              <w:p w14:paraId="1E077CB5" w14:textId="77777777" w:rsidR="003762A6" w:rsidRPr="003762A6" w:rsidRDefault="003762A6" w:rsidP="003762A6">
                <w:pPr>
                  <w:spacing w:after="0" w:line="240" w:lineRule="auto"/>
                  <w:jc w:val="center"/>
                  <w:rPr>
                    <w:rFonts w:ascii="Times New Roman" w:eastAsia="Times New Roman" w:hAnsi="Times New Roman"/>
                    <w:b/>
                    <w:bCs/>
                    <w:sz w:val="14"/>
                    <w:szCs w:val="14"/>
                    <w:lang w:eastAsia="es-CO"/>
                  </w:rPr>
                </w:pPr>
                <w:r w:rsidRPr="003762A6">
                  <w:rPr>
                    <w:rFonts w:ascii="Times New Roman" w:eastAsia="Times New Roman" w:hAnsi="Times New Roman"/>
                    <w:b/>
                    <w:bCs/>
                    <w:sz w:val="14"/>
                    <w:szCs w:val="14"/>
                    <w:lang w:eastAsia="es-CO"/>
                  </w:rPr>
                  <w:t>TASA DE NEGOCIACIÓN</w:t>
                </w:r>
                <w:r w:rsidRPr="003762A6">
                  <w:rPr>
                    <w:rFonts w:ascii="Times New Roman" w:eastAsia="Times New Roman" w:hAnsi="Times New Roman"/>
                    <w:b/>
                    <w:bCs/>
                    <w:sz w:val="14"/>
                    <w:szCs w:val="14"/>
                    <w:lang w:eastAsia="es-CO"/>
                  </w:rPr>
                  <w:br/>
                  <w:t>(%)</w:t>
                </w:r>
              </w:p>
            </w:tc>
            <w:tc>
              <w:tcPr>
                <w:tcW w:w="397" w:type="pct"/>
                <w:tcBorders>
                  <w:top w:val="nil"/>
                  <w:left w:val="single" w:sz="4" w:space="0" w:color="A6A6A6"/>
                  <w:bottom w:val="single" w:sz="4" w:space="0" w:color="A6A6A6"/>
                  <w:right w:val="single" w:sz="4" w:space="0" w:color="A6A6A6"/>
                </w:tcBorders>
                <w:shd w:val="clear" w:color="auto" w:fill="auto"/>
                <w:vAlign w:val="center"/>
                <w:hideMark/>
              </w:tcPr>
              <w:p w14:paraId="2047F7BC" w14:textId="77777777" w:rsidR="003762A6" w:rsidRPr="003762A6" w:rsidRDefault="003762A6" w:rsidP="003762A6">
                <w:pPr>
                  <w:spacing w:after="0" w:line="240" w:lineRule="auto"/>
                  <w:jc w:val="center"/>
                  <w:rPr>
                    <w:rFonts w:ascii="Times New Roman" w:eastAsia="Times New Roman" w:hAnsi="Times New Roman"/>
                    <w:b/>
                    <w:bCs/>
                    <w:sz w:val="14"/>
                    <w:szCs w:val="14"/>
                    <w:lang w:eastAsia="es-CO"/>
                  </w:rPr>
                </w:pPr>
                <w:bookmarkStart w:id="60" w:name="RANGE!J6"/>
                <w:r w:rsidRPr="003762A6">
                  <w:rPr>
                    <w:rFonts w:ascii="Times New Roman" w:eastAsia="Times New Roman" w:hAnsi="Times New Roman"/>
                    <w:b/>
                    <w:bCs/>
                    <w:sz w:val="14"/>
                    <w:szCs w:val="14"/>
                    <w:lang w:eastAsia="es-CO"/>
                  </w:rPr>
                  <w:t>TASA EFECTIVA ANUAL</w:t>
                </w:r>
                <w:r w:rsidRPr="003762A6">
                  <w:rPr>
                    <w:rFonts w:ascii="Times New Roman" w:eastAsia="Times New Roman" w:hAnsi="Times New Roman"/>
                    <w:b/>
                    <w:bCs/>
                    <w:sz w:val="14"/>
                    <w:szCs w:val="14"/>
                    <w:lang w:eastAsia="es-CO"/>
                  </w:rPr>
                  <w:br/>
                  <w:t>(% E.A.)</w:t>
                </w:r>
                <w:bookmarkEnd w:id="60"/>
              </w:p>
            </w:tc>
            <w:tc>
              <w:tcPr>
                <w:tcW w:w="462" w:type="pct"/>
                <w:tcBorders>
                  <w:top w:val="nil"/>
                  <w:left w:val="single" w:sz="4" w:space="0" w:color="A6A6A6"/>
                  <w:bottom w:val="single" w:sz="4" w:space="0" w:color="A6A6A6"/>
                  <w:right w:val="single" w:sz="4" w:space="0" w:color="A6A6A6"/>
                </w:tcBorders>
                <w:shd w:val="clear" w:color="auto" w:fill="auto"/>
                <w:vAlign w:val="center"/>
                <w:hideMark/>
              </w:tcPr>
              <w:p w14:paraId="03F7A1D2" w14:textId="77777777" w:rsidR="003762A6" w:rsidRPr="003762A6" w:rsidRDefault="003762A6" w:rsidP="003762A6">
                <w:pPr>
                  <w:spacing w:after="0" w:line="240" w:lineRule="auto"/>
                  <w:jc w:val="center"/>
                  <w:rPr>
                    <w:rFonts w:ascii="Times New Roman" w:eastAsia="Times New Roman" w:hAnsi="Times New Roman"/>
                    <w:b/>
                    <w:bCs/>
                    <w:sz w:val="14"/>
                    <w:szCs w:val="14"/>
                    <w:lang w:eastAsia="es-CO"/>
                  </w:rPr>
                </w:pPr>
                <w:r w:rsidRPr="003762A6">
                  <w:rPr>
                    <w:rFonts w:ascii="Times New Roman" w:eastAsia="Times New Roman" w:hAnsi="Times New Roman"/>
                    <w:b/>
                    <w:bCs/>
                    <w:sz w:val="14"/>
                    <w:szCs w:val="14"/>
                    <w:lang w:eastAsia="es-CO"/>
                  </w:rPr>
                  <w:t>CRITERIOS PARA DETERMINACIÓN DE LA TASA</w:t>
                </w:r>
              </w:p>
            </w:tc>
            <w:tc>
              <w:tcPr>
                <w:tcW w:w="313" w:type="pct"/>
                <w:gridSpan w:val="2"/>
                <w:tcBorders>
                  <w:top w:val="nil"/>
                  <w:left w:val="single" w:sz="4" w:space="0" w:color="A6A6A6"/>
                  <w:bottom w:val="single" w:sz="4" w:space="0" w:color="A6A6A6"/>
                  <w:right w:val="single" w:sz="4" w:space="0" w:color="A6A6A6"/>
                </w:tcBorders>
                <w:shd w:val="clear" w:color="auto" w:fill="auto"/>
                <w:vAlign w:val="center"/>
                <w:hideMark/>
              </w:tcPr>
              <w:p w14:paraId="4E07A372" w14:textId="77777777" w:rsidR="003762A6" w:rsidRPr="003762A6" w:rsidRDefault="003762A6" w:rsidP="003762A6">
                <w:pPr>
                  <w:spacing w:after="0" w:line="240" w:lineRule="auto"/>
                  <w:jc w:val="center"/>
                  <w:rPr>
                    <w:rFonts w:ascii="Times New Roman" w:eastAsia="Times New Roman" w:hAnsi="Times New Roman"/>
                    <w:b/>
                    <w:bCs/>
                    <w:sz w:val="14"/>
                    <w:szCs w:val="14"/>
                    <w:lang w:eastAsia="es-CO"/>
                  </w:rPr>
                </w:pPr>
                <w:r w:rsidRPr="003762A6">
                  <w:rPr>
                    <w:rFonts w:ascii="Times New Roman" w:eastAsia="Times New Roman" w:hAnsi="Times New Roman"/>
                    <w:b/>
                    <w:bCs/>
                    <w:sz w:val="14"/>
                    <w:szCs w:val="14"/>
                    <w:lang w:eastAsia="es-CO"/>
                  </w:rPr>
                  <w:t>GASTOS POR INTERESES</w:t>
                </w:r>
                <w:r w:rsidRPr="003762A6">
                  <w:rPr>
                    <w:rFonts w:ascii="Times New Roman" w:eastAsia="Times New Roman" w:hAnsi="Times New Roman"/>
                    <w:b/>
                    <w:bCs/>
                    <w:sz w:val="14"/>
                    <w:szCs w:val="14"/>
                    <w:lang w:eastAsia="es-CO"/>
                  </w:rPr>
                  <w:br/>
                  <w:t>(Calculo sobre % E.A.)</w:t>
                </w:r>
              </w:p>
            </w:tc>
            <w:tc>
              <w:tcPr>
                <w:tcW w:w="469" w:type="pct"/>
                <w:tcBorders>
                  <w:top w:val="nil"/>
                  <w:left w:val="single" w:sz="4" w:space="0" w:color="A6A6A6"/>
                  <w:bottom w:val="single" w:sz="4" w:space="0" w:color="A6A6A6"/>
                  <w:right w:val="single" w:sz="4" w:space="0" w:color="A6A6A6"/>
                </w:tcBorders>
                <w:shd w:val="clear" w:color="auto" w:fill="auto"/>
                <w:vAlign w:val="center"/>
                <w:hideMark/>
              </w:tcPr>
              <w:p w14:paraId="1616220F" w14:textId="77777777" w:rsidR="003762A6" w:rsidRPr="003762A6" w:rsidRDefault="003762A6" w:rsidP="003762A6">
                <w:pPr>
                  <w:spacing w:after="0" w:line="240" w:lineRule="auto"/>
                  <w:jc w:val="center"/>
                  <w:rPr>
                    <w:rFonts w:ascii="Times New Roman" w:eastAsia="Times New Roman" w:hAnsi="Times New Roman"/>
                    <w:b/>
                    <w:bCs/>
                    <w:sz w:val="14"/>
                    <w:szCs w:val="14"/>
                    <w:lang w:eastAsia="es-CO"/>
                  </w:rPr>
                </w:pPr>
                <w:r w:rsidRPr="003762A6">
                  <w:rPr>
                    <w:rFonts w:ascii="Times New Roman" w:eastAsia="Times New Roman" w:hAnsi="Times New Roman"/>
                    <w:b/>
                    <w:bCs/>
                    <w:sz w:val="14"/>
                    <w:szCs w:val="14"/>
                    <w:lang w:eastAsia="es-CO"/>
                  </w:rPr>
                  <w:t>COSTOS DE TRANSACCIÓN</w:t>
                </w:r>
                <w:r w:rsidRPr="003762A6">
                  <w:rPr>
                    <w:rFonts w:ascii="Times New Roman" w:eastAsia="Times New Roman" w:hAnsi="Times New Roman"/>
                    <w:b/>
                    <w:bCs/>
                    <w:sz w:val="14"/>
                    <w:szCs w:val="14"/>
                    <w:lang w:eastAsia="es-CO"/>
                  </w:rPr>
                  <w:br/>
                  <w:t>(menor valor del préstamos)</w:t>
                </w:r>
              </w:p>
            </w:tc>
          </w:tr>
          <w:tr w:rsidR="006E283A" w:rsidRPr="003762A6" w14:paraId="3245C2DD" w14:textId="77777777" w:rsidTr="00092474">
            <w:trPr>
              <w:trHeight w:val="1184"/>
            </w:trPr>
            <w:tc>
              <w:tcPr>
                <w:tcW w:w="781" w:type="pct"/>
                <w:tcBorders>
                  <w:top w:val="nil"/>
                  <w:left w:val="single" w:sz="4" w:space="0" w:color="A6A6A6"/>
                  <w:bottom w:val="single" w:sz="4" w:space="0" w:color="A6A6A6"/>
                  <w:right w:val="single" w:sz="4" w:space="0" w:color="A6A6A6"/>
                </w:tcBorders>
                <w:shd w:val="clear" w:color="auto" w:fill="auto"/>
                <w:vAlign w:val="center"/>
                <w:hideMark/>
              </w:tcPr>
              <w:p w14:paraId="378E6908" w14:textId="77777777" w:rsidR="006E283A" w:rsidRPr="003762A6" w:rsidRDefault="006E283A" w:rsidP="003762A6">
                <w:pPr>
                  <w:spacing w:after="0" w:line="240" w:lineRule="auto"/>
                  <w:jc w:val="center"/>
                  <w:rPr>
                    <w:rFonts w:ascii="Times New Roman" w:eastAsia="Times New Roman" w:hAnsi="Times New Roman"/>
                    <w:b/>
                    <w:bCs/>
                    <w:sz w:val="14"/>
                    <w:szCs w:val="14"/>
                    <w:lang w:eastAsia="es-CO"/>
                  </w:rPr>
                </w:pPr>
                <w:r w:rsidRPr="003762A6">
                  <w:rPr>
                    <w:rFonts w:ascii="Times New Roman" w:eastAsia="Times New Roman" w:hAnsi="Times New Roman"/>
                    <w:b/>
                    <w:bCs/>
                    <w:sz w:val="14"/>
                    <w:szCs w:val="14"/>
                    <w:lang w:eastAsia="es-CO"/>
                  </w:rPr>
                  <w:t>TIPO DE TERCEROS</w:t>
                </w:r>
              </w:p>
            </w:tc>
            <w:tc>
              <w:tcPr>
                <w:tcW w:w="314" w:type="pct"/>
                <w:tcBorders>
                  <w:top w:val="nil"/>
                  <w:left w:val="nil"/>
                  <w:bottom w:val="single" w:sz="4" w:space="0" w:color="A6A6A6"/>
                  <w:right w:val="single" w:sz="4" w:space="0" w:color="A6A6A6"/>
                </w:tcBorders>
                <w:shd w:val="clear" w:color="auto" w:fill="auto"/>
                <w:vAlign w:val="center"/>
                <w:hideMark/>
              </w:tcPr>
              <w:p w14:paraId="6D603783" w14:textId="77777777" w:rsidR="006E283A" w:rsidRPr="003762A6" w:rsidRDefault="006E283A" w:rsidP="003762A6">
                <w:pPr>
                  <w:spacing w:after="0" w:line="240" w:lineRule="auto"/>
                  <w:jc w:val="center"/>
                  <w:rPr>
                    <w:rFonts w:ascii="Times New Roman" w:eastAsia="Times New Roman" w:hAnsi="Times New Roman"/>
                    <w:b/>
                    <w:bCs/>
                    <w:sz w:val="14"/>
                    <w:szCs w:val="14"/>
                    <w:lang w:eastAsia="es-CO"/>
                  </w:rPr>
                </w:pPr>
                <w:r w:rsidRPr="003762A6">
                  <w:rPr>
                    <w:rFonts w:ascii="Times New Roman" w:eastAsia="Times New Roman" w:hAnsi="Times New Roman"/>
                    <w:b/>
                    <w:bCs/>
                    <w:sz w:val="14"/>
                    <w:szCs w:val="14"/>
                    <w:lang w:eastAsia="es-CO"/>
                  </w:rPr>
                  <w:t>PN / PJ / ECP</w:t>
                </w:r>
              </w:p>
            </w:tc>
            <w:tc>
              <w:tcPr>
                <w:tcW w:w="232" w:type="pct"/>
                <w:tcBorders>
                  <w:top w:val="nil"/>
                  <w:left w:val="nil"/>
                  <w:bottom w:val="single" w:sz="4" w:space="0" w:color="A6A6A6"/>
                  <w:right w:val="single" w:sz="4" w:space="0" w:color="A6A6A6"/>
                </w:tcBorders>
                <w:shd w:val="clear" w:color="auto" w:fill="auto"/>
                <w:vAlign w:val="center"/>
                <w:hideMark/>
              </w:tcPr>
              <w:p w14:paraId="1F3E941A" w14:textId="77777777" w:rsidR="006E283A" w:rsidRPr="003762A6" w:rsidRDefault="006E283A" w:rsidP="003762A6">
                <w:pPr>
                  <w:spacing w:after="0" w:line="240" w:lineRule="auto"/>
                  <w:jc w:val="center"/>
                  <w:rPr>
                    <w:rFonts w:ascii="Times New Roman" w:eastAsia="Times New Roman" w:hAnsi="Times New Roman"/>
                    <w:b/>
                    <w:bCs/>
                    <w:sz w:val="14"/>
                    <w:szCs w:val="14"/>
                    <w:lang w:eastAsia="es-CO"/>
                  </w:rPr>
                </w:pPr>
                <w:r w:rsidRPr="003762A6">
                  <w:rPr>
                    <w:rFonts w:ascii="Times New Roman" w:eastAsia="Times New Roman" w:hAnsi="Times New Roman"/>
                    <w:b/>
                    <w:bCs/>
                    <w:sz w:val="14"/>
                    <w:szCs w:val="14"/>
                    <w:lang w:eastAsia="es-CO"/>
                  </w:rPr>
                  <w:t>CANTIDAD</w:t>
                </w:r>
              </w:p>
            </w:tc>
            <w:tc>
              <w:tcPr>
                <w:tcW w:w="706" w:type="pct"/>
                <w:tcBorders>
                  <w:top w:val="nil"/>
                  <w:left w:val="nil"/>
                  <w:bottom w:val="single" w:sz="4" w:space="0" w:color="A6A6A6"/>
                  <w:right w:val="single" w:sz="4" w:space="0" w:color="A6A6A6"/>
                </w:tcBorders>
                <w:shd w:val="clear" w:color="auto" w:fill="auto"/>
                <w:vAlign w:val="center"/>
                <w:hideMark/>
              </w:tcPr>
              <w:p w14:paraId="3EC4787F" w14:textId="77777777" w:rsidR="006E283A" w:rsidRPr="003762A6" w:rsidRDefault="006E283A" w:rsidP="003762A6">
                <w:pPr>
                  <w:spacing w:after="0" w:line="240" w:lineRule="auto"/>
                  <w:jc w:val="center"/>
                  <w:rPr>
                    <w:rFonts w:ascii="Times New Roman" w:eastAsia="Times New Roman" w:hAnsi="Times New Roman"/>
                    <w:b/>
                    <w:bCs/>
                    <w:sz w:val="14"/>
                    <w:szCs w:val="14"/>
                    <w:lang w:eastAsia="es-CO"/>
                  </w:rPr>
                </w:pPr>
                <w:r w:rsidRPr="003762A6">
                  <w:rPr>
                    <w:rFonts w:ascii="Times New Roman" w:eastAsia="Times New Roman" w:hAnsi="Times New Roman"/>
                    <w:b/>
                    <w:bCs/>
                    <w:sz w:val="14"/>
                    <w:szCs w:val="14"/>
                    <w:lang w:eastAsia="es-CO"/>
                  </w:rPr>
                  <w:t>VALOR EN LIBROS</w:t>
                </w:r>
              </w:p>
            </w:tc>
            <w:tc>
              <w:tcPr>
                <w:tcW w:w="467" w:type="pct"/>
                <w:tcBorders>
                  <w:top w:val="nil"/>
                  <w:left w:val="nil"/>
                  <w:bottom w:val="single" w:sz="4" w:space="0" w:color="A6A6A6"/>
                  <w:right w:val="single" w:sz="4" w:space="0" w:color="A6A6A6"/>
                </w:tcBorders>
                <w:shd w:val="clear" w:color="auto" w:fill="auto"/>
                <w:vAlign w:val="center"/>
                <w:hideMark/>
              </w:tcPr>
              <w:p w14:paraId="124F6BD1" w14:textId="77777777" w:rsidR="006E283A" w:rsidRPr="003762A6" w:rsidRDefault="006E283A" w:rsidP="003762A6">
                <w:pPr>
                  <w:spacing w:after="0" w:line="240" w:lineRule="auto"/>
                  <w:jc w:val="center"/>
                  <w:rPr>
                    <w:rFonts w:ascii="Times New Roman" w:eastAsia="Times New Roman" w:hAnsi="Times New Roman"/>
                    <w:b/>
                    <w:bCs/>
                    <w:sz w:val="14"/>
                    <w:szCs w:val="14"/>
                    <w:lang w:eastAsia="es-CO"/>
                  </w:rPr>
                </w:pPr>
                <w:r w:rsidRPr="003762A6">
                  <w:rPr>
                    <w:rFonts w:ascii="Times New Roman" w:eastAsia="Times New Roman" w:hAnsi="Times New Roman"/>
                    <w:b/>
                    <w:bCs/>
                    <w:sz w:val="14"/>
                    <w:szCs w:val="14"/>
                    <w:lang w:eastAsia="es-CO"/>
                  </w:rPr>
                  <w:t>MÍNIMO</w:t>
                </w:r>
              </w:p>
            </w:tc>
            <w:tc>
              <w:tcPr>
                <w:tcW w:w="475" w:type="pct"/>
                <w:gridSpan w:val="2"/>
                <w:tcBorders>
                  <w:top w:val="nil"/>
                  <w:left w:val="nil"/>
                  <w:bottom w:val="single" w:sz="4" w:space="0" w:color="A6A6A6"/>
                  <w:right w:val="single" w:sz="4" w:space="0" w:color="A6A6A6"/>
                </w:tcBorders>
                <w:shd w:val="clear" w:color="auto" w:fill="auto"/>
                <w:vAlign w:val="center"/>
                <w:hideMark/>
              </w:tcPr>
              <w:p w14:paraId="0BE7F5F0" w14:textId="77777777" w:rsidR="006E283A" w:rsidRPr="003762A6" w:rsidRDefault="006E283A" w:rsidP="003762A6">
                <w:pPr>
                  <w:spacing w:after="0" w:line="240" w:lineRule="auto"/>
                  <w:jc w:val="center"/>
                  <w:rPr>
                    <w:rFonts w:ascii="Times New Roman" w:eastAsia="Times New Roman" w:hAnsi="Times New Roman"/>
                    <w:b/>
                    <w:bCs/>
                    <w:sz w:val="14"/>
                    <w:szCs w:val="14"/>
                    <w:lang w:eastAsia="es-CO"/>
                  </w:rPr>
                </w:pPr>
                <w:r w:rsidRPr="003762A6">
                  <w:rPr>
                    <w:rFonts w:ascii="Times New Roman" w:eastAsia="Times New Roman" w:hAnsi="Times New Roman"/>
                    <w:b/>
                    <w:bCs/>
                    <w:sz w:val="14"/>
                    <w:szCs w:val="14"/>
                    <w:lang w:eastAsia="es-CO"/>
                  </w:rPr>
                  <w:t>MÁXIMO</w:t>
                </w:r>
              </w:p>
            </w:tc>
            <w:tc>
              <w:tcPr>
                <w:tcW w:w="385" w:type="pct"/>
                <w:tcBorders>
                  <w:top w:val="nil"/>
                  <w:left w:val="single" w:sz="4" w:space="0" w:color="A6A6A6"/>
                  <w:bottom w:val="single" w:sz="4" w:space="0" w:color="A6A6A6"/>
                  <w:right w:val="single" w:sz="4" w:space="0" w:color="A6A6A6"/>
                </w:tcBorders>
                <w:vAlign w:val="center"/>
                <w:hideMark/>
              </w:tcPr>
              <w:p w14:paraId="5CD2B6D3" w14:textId="77777777" w:rsidR="006E283A" w:rsidRPr="003762A6" w:rsidRDefault="006E283A" w:rsidP="003762A6">
                <w:pPr>
                  <w:spacing w:after="0" w:line="240" w:lineRule="auto"/>
                  <w:rPr>
                    <w:rFonts w:ascii="Times New Roman" w:eastAsia="Times New Roman" w:hAnsi="Times New Roman"/>
                    <w:b/>
                    <w:bCs/>
                    <w:sz w:val="14"/>
                    <w:szCs w:val="14"/>
                    <w:lang w:eastAsia="es-CO"/>
                  </w:rPr>
                </w:pPr>
              </w:p>
            </w:tc>
            <w:tc>
              <w:tcPr>
                <w:tcW w:w="397" w:type="pct"/>
                <w:tcBorders>
                  <w:top w:val="nil"/>
                  <w:left w:val="single" w:sz="4" w:space="0" w:color="A6A6A6"/>
                  <w:bottom w:val="single" w:sz="4" w:space="0" w:color="A6A6A6"/>
                  <w:right w:val="single" w:sz="4" w:space="0" w:color="A6A6A6"/>
                </w:tcBorders>
                <w:vAlign w:val="center"/>
                <w:hideMark/>
              </w:tcPr>
              <w:p w14:paraId="1ABCB72A" w14:textId="77777777" w:rsidR="006E283A" w:rsidRPr="003762A6" w:rsidRDefault="006E283A" w:rsidP="003762A6">
                <w:pPr>
                  <w:spacing w:after="0" w:line="240" w:lineRule="auto"/>
                  <w:rPr>
                    <w:rFonts w:ascii="Times New Roman" w:eastAsia="Times New Roman" w:hAnsi="Times New Roman"/>
                    <w:b/>
                    <w:bCs/>
                    <w:sz w:val="14"/>
                    <w:szCs w:val="14"/>
                    <w:lang w:eastAsia="es-CO"/>
                  </w:rPr>
                </w:pPr>
              </w:p>
            </w:tc>
            <w:tc>
              <w:tcPr>
                <w:tcW w:w="469" w:type="pct"/>
                <w:gridSpan w:val="2"/>
                <w:tcBorders>
                  <w:top w:val="nil"/>
                  <w:left w:val="single" w:sz="4" w:space="0" w:color="A6A6A6"/>
                  <w:bottom w:val="single" w:sz="4" w:space="0" w:color="A6A6A6"/>
                  <w:right w:val="single" w:sz="4" w:space="0" w:color="A6A6A6"/>
                </w:tcBorders>
                <w:vAlign w:val="center"/>
                <w:hideMark/>
              </w:tcPr>
              <w:p w14:paraId="54CB790F" w14:textId="77777777" w:rsidR="006E283A" w:rsidRPr="003762A6" w:rsidRDefault="006E283A" w:rsidP="003762A6">
                <w:pPr>
                  <w:spacing w:after="0" w:line="240" w:lineRule="auto"/>
                  <w:rPr>
                    <w:rFonts w:ascii="Times New Roman" w:eastAsia="Times New Roman" w:hAnsi="Times New Roman"/>
                    <w:b/>
                    <w:bCs/>
                    <w:sz w:val="14"/>
                    <w:szCs w:val="14"/>
                    <w:lang w:eastAsia="es-CO"/>
                  </w:rPr>
                </w:pPr>
              </w:p>
            </w:tc>
            <w:tc>
              <w:tcPr>
                <w:tcW w:w="305" w:type="pct"/>
                <w:tcBorders>
                  <w:top w:val="nil"/>
                  <w:left w:val="single" w:sz="4" w:space="0" w:color="A6A6A6"/>
                  <w:bottom w:val="single" w:sz="4" w:space="0" w:color="A6A6A6"/>
                  <w:right w:val="single" w:sz="4" w:space="0" w:color="A6A6A6"/>
                </w:tcBorders>
                <w:vAlign w:val="center"/>
                <w:hideMark/>
              </w:tcPr>
              <w:p w14:paraId="1CF01423" w14:textId="77777777" w:rsidR="006E283A" w:rsidRPr="003762A6" w:rsidRDefault="006E283A" w:rsidP="003762A6">
                <w:pPr>
                  <w:spacing w:after="0" w:line="240" w:lineRule="auto"/>
                  <w:rPr>
                    <w:rFonts w:ascii="Times New Roman" w:eastAsia="Times New Roman" w:hAnsi="Times New Roman"/>
                    <w:b/>
                    <w:bCs/>
                    <w:sz w:val="14"/>
                    <w:szCs w:val="14"/>
                    <w:lang w:eastAsia="es-CO"/>
                  </w:rPr>
                </w:pPr>
              </w:p>
            </w:tc>
            <w:tc>
              <w:tcPr>
                <w:tcW w:w="469" w:type="pct"/>
                <w:tcBorders>
                  <w:top w:val="nil"/>
                  <w:left w:val="single" w:sz="4" w:space="0" w:color="A6A6A6"/>
                  <w:bottom w:val="single" w:sz="4" w:space="0" w:color="A6A6A6"/>
                  <w:right w:val="single" w:sz="4" w:space="0" w:color="A6A6A6"/>
                </w:tcBorders>
                <w:vAlign w:val="center"/>
                <w:hideMark/>
              </w:tcPr>
              <w:p w14:paraId="41413478" w14:textId="77777777" w:rsidR="006E283A" w:rsidRPr="003762A6" w:rsidRDefault="006E283A" w:rsidP="003762A6">
                <w:pPr>
                  <w:spacing w:after="0" w:line="240" w:lineRule="auto"/>
                  <w:rPr>
                    <w:rFonts w:ascii="Times New Roman" w:eastAsia="Times New Roman" w:hAnsi="Times New Roman"/>
                    <w:b/>
                    <w:bCs/>
                    <w:sz w:val="14"/>
                    <w:szCs w:val="14"/>
                    <w:lang w:eastAsia="es-CO"/>
                  </w:rPr>
                </w:pPr>
              </w:p>
            </w:tc>
          </w:tr>
          <w:tr w:rsidR="006E283A" w:rsidRPr="003762A6" w14:paraId="0464DCCD" w14:textId="77777777" w:rsidTr="00092474">
            <w:trPr>
              <w:trHeight w:val="291"/>
            </w:trPr>
            <w:tc>
              <w:tcPr>
                <w:tcW w:w="781" w:type="pct"/>
                <w:tcBorders>
                  <w:top w:val="nil"/>
                  <w:left w:val="single" w:sz="4" w:space="0" w:color="A6A6A6"/>
                  <w:bottom w:val="single" w:sz="4" w:space="0" w:color="A6A6A6"/>
                  <w:right w:val="single" w:sz="4" w:space="0" w:color="A6A6A6"/>
                </w:tcBorders>
                <w:shd w:val="clear" w:color="auto" w:fill="auto"/>
                <w:noWrap/>
                <w:vAlign w:val="center"/>
                <w:hideMark/>
              </w:tcPr>
              <w:p w14:paraId="39515E0B" w14:textId="77777777" w:rsidR="006E283A" w:rsidRPr="003762A6" w:rsidRDefault="006E283A" w:rsidP="003762A6">
                <w:pPr>
                  <w:spacing w:after="0" w:line="240" w:lineRule="auto"/>
                  <w:rPr>
                    <w:rFonts w:ascii="Times New Roman" w:eastAsia="Times New Roman" w:hAnsi="Times New Roman"/>
                    <w:b/>
                    <w:bCs/>
                    <w:sz w:val="14"/>
                    <w:szCs w:val="14"/>
                    <w:lang w:eastAsia="es-CO"/>
                  </w:rPr>
                </w:pPr>
                <w:r w:rsidRPr="003762A6">
                  <w:rPr>
                    <w:rFonts w:ascii="Times New Roman" w:eastAsia="Times New Roman" w:hAnsi="Times New Roman"/>
                    <w:b/>
                    <w:bCs/>
                    <w:sz w:val="14"/>
                    <w:szCs w:val="14"/>
                    <w:lang w:eastAsia="es-CO"/>
                  </w:rPr>
                  <w:t>FINANCIAMIENTO INTERNO DE LARGO PLAZO</w:t>
                </w:r>
              </w:p>
            </w:tc>
            <w:tc>
              <w:tcPr>
                <w:tcW w:w="314" w:type="pct"/>
                <w:tcBorders>
                  <w:top w:val="nil"/>
                  <w:left w:val="nil"/>
                  <w:bottom w:val="single" w:sz="4" w:space="0" w:color="A6A6A6"/>
                  <w:right w:val="single" w:sz="4" w:space="0" w:color="A6A6A6"/>
                </w:tcBorders>
                <w:shd w:val="clear" w:color="auto" w:fill="auto"/>
                <w:noWrap/>
                <w:vAlign w:val="center"/>
                <w:hideMark/>
              </w:tcPr>
              <w:p w14:paraId="0191A9F6" w14:textId="77777777" w:rsidR="006E283A" w:rsidRPr="003762A6" w:rsidRDefault="006E283A" w:rsidP="003762A6">
                <w:pPr>
                  <w:spacing w:after="0" w:line="240" w:lineRule="auto"/>
                  <w:rPr>
                    <w:rFonts w:ascii="Times New Roman" w:eastAsia="Times New Roman" w:hAnsi="Times New Roman"/>
                    <w:b/>
                    <w:bCs/>
                    <w:sz w:val="14"/>
                    <w:szCs w:val="14"/>
                    <w:lang w:eastAsia="es-CO"/>
                  </w:rPr>
                </w:pPr>
                <w:r w:rsidRPr="003762A6">
                  <w:rPr>
                    <w:rFonts w:ascii="Times New Roman" w:eastAsia="Times New Roman" w:hAnsi="Times New Roman"/>
                    <w:b/>
                    <w:bCs/>
                    <w:sz w:val="14"/>
                    <w:szCs w:val="14"/>
                    <w:lang w:eastAsia="es-CO"/>
                  </w:rPr>
                  <w:t> </w:t>
                </w:r>
              </w:p>
            </w:tc>
            <w:tc>
              <w:tcPr>
                <w:tcW w:w="232" w:type="pct"/>
                <w:tcBorders>
                  <w:top w:val="nil"/>
                  <w:left w:val="nil"/>
                  <w:bottom w:val="single" w:sz="4" w:space="0" w:color="A6A6A6"/>
                  <w:right w:val="single" w:sz="4" w:space="0" w:color="A6A6A6"/>
                </w:tcBorders>
                <w:shd w:val="clear" w:color="auto" w:fill="auto"/>
                <w:noWrap/>
                <w:vAlign w:val="center"/>
                <w:hideMark/>
              </w:tcPr>
              <w:p w14:paraId="4C31ED4D" w14:textId="77777777" w:rsidR="006E283A" w:rsidRPr="003762A6" w:rsidRDefault="006E283A" w:rsidP="003762A6">
                <w:pPr>
                  <w:spacing w:after="0" w:line="240" w:lineRule="auto"/>
                  <w:rPr>
                    <w:rFonts w:ascii="Times New Roman" w:eastAsia="Times New Roman" w:hAnsi="Times New Roman"/>
                    <w:b/>
                    <w:bCs/>
                    <w:sz w:val="14"/>
                    <w:szCs w:val="14"/>
                    <w:lang w:eastAsia="es-CO"/>
                  </w:rPr>
                </w:pPr>
                <w:r w:rsidRPr="003762A6">
                  <w:rPr>
                    <w:rFonts w:ascii="Times New Roman" w:eastAsia="Times New Roman" w:hAnsi="Times New Roman"/>
                    <w:b/>
                    <w:bCs/>
                    <w:sz w:val="14"/>
                    <w:szCs w:val="14"/>
                    <w:lang w:eastAsia="es-CO"/>
                  </w:rPr>
                  <w:t> </w:t>
                </w:r>
              </w:p>
            </w:tc>
            <w:tc>
              <w:tcPr>
                <w:tcW w:w="706" w:type="pct"/>
                <w:tcBorders>
                  <w:top w:val="nil"/>
                  <w:left w:val="nil"/>
                  <w:bottom w:val="single" w:sz="4" w:space="0" w:color="A6A6A6"/>
                  <w:right w:val="single" w:sz="4" w:space="0" w:color="A6A6A6"/>
                </w:tcBorders>
                <w:shd w:val="clear" w:color="auto" w:fill="auto"/>
                <w:noWrap/>
                <w:vAlign w:val="center"/>
                <w:hideMark/>
              </w:tcPr>
              <w:p w14:paraId="32697FE3" w14:textId="77777777" w:rsidR="006E283A" w:rsidRPr="003762A6" w:rsidRDefault="006E283A" w:rsidP="003762A6">
                <w:pPr>
                  <w:spacing w:after="0" w:line="240" w:lineRule="auto"/>
                  <w:jc w:val="right"/>
                  <w:rPr>
                    <w:rFonts w:ascii="Times New Roman" w:eastAsia="Times New Roman" w:hAnsi="Times New Roman"/>
                    <w:b/>
                    <w:bCs/>
                    <w:sz w:val="14"/>
                    <w:szCs w:val="14"/>
                    <w:lang w:eastAsia="es-CO"/>
                  </w:rPr>
                </w:pPr>
                <w:r w:rsidRPr="003762A6">
                  <w:rPr>
                    <w:rFonts w:ascii="Times New Roman" w:eastAsia="Times New Roman" w:hAnsi="Times New Roman"/>
                    <w:b/>
                    <w:bCs/>
                    <w:sz w:val="14"/>
                    <w:szCs w:val="14"/>
                    <w:lang w:eastAsia="es-CO"/>
                  </w:rPr>
                  <w:t xml:space="preserve">21.512.482.906.739 </w:t>
                </w:r>
              </w:p>
            </w:tc>
            <w:tc>
              <w:tcPr>
                <w:tcW w:w="467" w:type="pct"/>
                <w:tcBorders>
                  <w:top w:val="nil"/>
                  <w:left w:val="nil"/>
                  <w:bottom w:val="single" w:sz="4" w:space="0" w:color="A6A6A6"/>
                  <w:right w:val="single" w:sz="4" w:space="0" w:color="A6A6A6"/>
                </w:tcBorders>
                <w:shd w:val="clear" w:color="auto" w:fill="auto"/>
                <w:noWrap/>
                <w:vAlign w:val="center"/>
                <w:hideMark/>
              </w:tcPr>
              <w:p w14:paraId="145BEF66" w14:textId="77777777" w:rsidR="006E283A" w:rsidRPr="003762A6" w:rsidRDefault="006E283A" w:rsidP="003762A6">
                <w:pPr>
                  <w:spacing w:after="0" w:line="240" w:lineRule="auto"/>
                  <w:rPr>
                    <w:rFonts w:ascii="Times New Roman" w:eastAsia="Times New Roman" w:hAnsi="Times New Roman"/>
                    <w:b/>
                    <w:bCs/>
                    <w:sz w:val="14"/>
                    <w:szCs w:val="14"/>
                    <w:lang w:eastAsia="es-CO"/>
                  </w:rPr>
                </w:pPr>
                <w:r w:rsidRPr="003762A6">
                  <w:rPr>
                    <w:rFonts w:ascii="Times New Roman" w:eastAsia="Times New Roman" w:hAnsi="Times New Roman"/>
                    <w:b/>
                    <w:bCs/>
                    <w:sz w:val="14"/>
                    <w:szCs w:val="14"/>
                    <w:lang w:eastAsia="es-CO"/>
                  </w:rPr>
                  <w:t> </w:t>
                </w:r>
              </w:p>
            </w:tc>
            <w:tc>
              <w:tcPr>
                <w:tcW w:w="475" w:type="pct"/>
                <w:gridSpan w:val="2"/>
                <w:tcBorders>
                  <w:top w:val="nil"/>
                  <w:left w:val="nil"/>
                  <w:bottom w:val="single" w:sz="4" w:space="0" w:color="A6A6A6"/>
                  <w:right w:val="single" w:sz="4" w:space="0" w:color="A6A6A6"/>
                </w:tcBorders>
                <w:shd w:val="clear" w:color="auto" w:fill="auto"/>
                <w:noWrap/>
                <w:vAlign w:val="center"/>
                <w:hideMark/>
              </w:tcPr>
              <w:p w14:paraId="25FBDDEB" w14:textId="77777777" w:rsidR="006E283A" w:rsidRPr="003762A6" w:rsidRDefault="006E283A" w:rsidP="003762A6">
                <w:pPr>
                  <w:spacing w:after="0" w:line="240" w:lineRule="auto"/>
                  <w:jc w:val="center"/>
                  <w:rPr>
                    <w:rFonts w:ascii="Times New Roman" w:eastAsia="Times New Roman" w:hAnsi="Times New Roman"/>
                    <w:b/>
                    <w:bCs/>
                    <w:sz w:val="14"/>
                    <w:szCs w:val="14"/>
                    <w:lang w:eastAsia="es-CO"/>
                  </w:rPr>
                </w:pPr>
                <w:r w:rsidRPr="003762A6">
                  <w:rPr>
                    <w:rFonts w:ascii="Times New Roman" w:eastAsia="Times New Roman" w:hAnsi="Times New Roman"/>
                    <w:b/>
                    <w:bCs/>
                    <w:sz w:val="14"/>
                    <w:szCs w:val="14"/>
                    <w:lang w:eastAsia="es-CO"/>
                  </w:rPr>
                  <w:t> </w:t>
                </w:r>
              </w:p>
            </w:tc>
            <w:tc>
              <w:tcPr>
                <w:tcW w:w="385" w:type="pct"/>
                <w:tcBorders>
                  <w:top w:val="nil"/>
                  <w:left w:val="nil"/>
                  <w:bottom w:val="single" w:sz="4" w:space="0" w:color="A6A6A6"/>
                  <w:right w:val="single" w:sz="4" w:space="0" w:color="A6A6A6"/>
                </w:tcBorders>
                <w:shd w:val="clear" w:color="auto" w:fill="auto"/>
                <w:noWrap/>
                <w:vAlign w:val="center"/>
                <w:hideMark/>
              </w:tcPr>
              <w:p w14:paraId="4A7D4D3F" w14:textId="77777777" w:rsidR="006E283A" w:rsidRPr="003762A6" w:rsidRDefault="006E283A" w:rsidP="003762A6">
                <w:pPr>
                  <w:spacing w:after="0" w:line="240" w:lineRule="auto"/>
                  <w:rPr>
                    <w:rFonts w:ascii="Times New Roman" w:eastAsia="Times New Roman" w:hAnsi="Times New Roman"/>
                    <w:b/>
                    <w:bCs/>
                    <w:sz w:val="14"/>
                    <w:szCs w:val="14"/>
                    <w:lang w:eastAsia="es-CO"/>
                  </w:rPr>
                </w:pPr>
                <w:r w:rsidRPr="003762A6">
                  <w:rPr>
                    <w:rFonts w:ascii="Times New Roman" w:eastAsia="Times New Roman" w:hAnsi="Times New Roman"/>
                    <w:b/>
                    <w:bCs/>
                    <w:sz w:val="14"/>
                    <w:szCs w:val="14"/>
                    <w:lang w:eastAsia="es-CO"/>
                  </w:rPr>
                  <w:t> </w:t>
                </w:r>
              </w:p>
            </w:tc>
            <w:tc>
              <w:tcPr>
                <w:tcW w:w="397" w:type="pct"/>
                <w:tcBorders>
                  <w:top w:val="nil"/>
                  <w:left w:val="nil"/>
                  <w:bottom w:val="single" w:sz="4" w:space="0" w:color="A6A6A6"/>
                  <w:right w:val="single" w:sz="4" w:space="0" w:color="A6A6A6"/>
                </w:tcBorders>
                <w:shd w:val="clear" w:color="auto" w:fill="auto"/>
                <w:noWrap/>
                <w:vAlign w:val="center"/>
                <w:hideMark/>
              </w:tcPr>
              <w:p w14:paraId="440951AA" w14:textId="77777777" w:rsidR="006E283A" w:rsidRPr="003762A6" w:rsidRDefault="006E283A" w:rsidP="003762A6">
                <w:pPr>
                  <w:spacing w:after="0" w:line="240" w:lineRule="auto"/>
                  <w:jc w:val="center"/>
                  <w:rPr>
                    <w:rFonts w:ascii="Times New Roman" w:eastAsia="Times New Roman" w:hAnsi="Times New Roman"/>
                    <w:b/>
                    <w:bCs/>
                    <w:sz w:val="14"/>
                    <w:szCs w:val="14"/>
                    <w:lang w:eastAsia="es-CO"/>
                  </w:rPr>
                </w:pPr>
                <w:r w:rsidRPr="003762A6">
                  <w:rPr>
                    <w:rFonts w:ascii="Times New Roman" w:eastAsia="Times New Roman" w:hAnsi="Times New Roman"/>
                    <w:b/>
                    <w:bCs/>
                    <w:sz w:val="14"/>
                    <w:szCs w:val="14"/>
                    <w:lang w:eastAsia="es-CO"/>
                  </w:rPr>
                  <w:t xml:space="preserve">0 </w:t>
                </w:r>
              </w:p>
            </w:tc>
            <w:tc>
              <w:tcPr>
                <w:tcW w:w="469" w:type="pct"/>
                <w:gridSpan w:val="2"/>
                <w:tcBorders>
                  <w:top w:val="nil"/>
                  <w:left w:val="nil"/>
                  <w:bottom w:val="single" w:sz="4" w:space="0" w:color="A6A6A6"/>
                  <w:right w:val="single" w:sz="4" w:space="0" w:color="A6A6A6"/>
                </w:tcBorders>
                <w:shd w:val="clear" w:color="auto" w:fill="auto"/>
                <w:noWrap/>
                <w:vAlign w:val="center"/>
                <w:hideMark/>
              </w:tcPr>
              <w:p w14:paraId="348EB030" w14:textId="77777777" w:rsidR="006E283A" w:rsidRPr="003762A6" w:rsidRDefault="006E283A" w:rsidP="003762A6">
                <w:pPr>
                  <w:spacing w:after="0" w:line="240" w:lineRule="auto"/>
                  <w:jc w:val="center"/>
                  <w:rPr>
                    <w:rFonts w:ascii="Times New Roman" w:eastAsia="Times New Roman" w:hAnsi="Times New Roman"/>
                    <w:b/>
                    <w:bCs/>
                    <w:sz w:val="14"/>
                    <w:szCs w:val="14"/>
                    <w:lang w:eastAsia="es-CO"/>
                  </w:rPr>
                </w:pPr>
                <w:r w:rsidRPr="003762A6">
                  <w:rPr>
                    <w:rFonts w:ascii="Times New Roman" w:eastAsia="Times New Roman" w:hAnsi="Times New Roman"/>
                    <w:b/>
                    <w:bCs/>
                    <w:sz w:val="14"/>
                    <w:szCs w:val="14"/>
                    <w:lang w:eastAsia="es-CO"/>
                  </w:rPr>
                  <w:t xml:space="preserve">0 </w:t>
                </w:r>
              </w:p>
            </w:tc>
            <w:tc>
              <w:tcPr>
                <w:tcW w:w="305" w:type="pct"/>
                <w:tcBorders>
                  <w:top w:val="nil"/>
                  <w:left w:val="nil"/>
                  <w:bottom w:val="single" w:sz="4" w:space="0" w:color="A6A6A6"/>
                  <w:right w:val="single" w:sz="4" w:space="0" w:color="A6A6A6"/>
                </w:tcBorders>
                <w:shd w:val="clear" w:color="auto" w:fill="auto"/>
                <w:noWrap/>
                <w:vAlign w:val="center"/>
                <w:hideMark/>
              </w:tcPr>
              <w:p w14:paraId="6109FB93" w14:textId="77777777" w:rsidR="006E283A" w:rsidRPr="003762A6" w:rsidRDefault="006E283A" w:rsidP="003762A6">
                <w:pPr>
                  <w:spacing w:after="0" w:line="240" w:lineRule="auto"/>
                  <w:rPr>
                    <w:rFonts w:ascii="Times New Roman" w:eastAsia="Times New Roman" w:hAnsi="Times New Roman"/>
                    <w:b/>
                    <w:bCs/>
                    <w:sz w:val="14"/>
                    <w:szCs w:val="14"/>
                    <w:lang w:eastAsia="es-CO"/>
                  </w:rPr>
                </w:pPr>
                <w:r w:rsidRPr="003762A6">
                  <w:rPr>
                    <w:rFonts w:ascii="Times New Roman" w:eastAsia="Times New Roman" w:hAnsi="Times New Roman"/>
                    <w:b/>
                    <w:bCs/>
                    <w:sz w:val="14"/>
                    <w:szCs w:val="14"/>
                    <w:lang w:eastAsia="es-CO"/>
                  </w:rPr>
                  <w:t> </w:t>
                </w:r>
              </w:p>
            </w:tc>
            <w:tc>
              <w:tcPr>
                <w:tcW w:w="469" w:type="pct"/>
                <w:tcBorders>
                  <w:top w:val="nil"/>
                  <w:left w:val="nil"/>
                  <w:bottom w:val="single" w:sz="4" w:space="0" w:color="A6A6A6"/>
                  <w:right w:val="single" w:sz="4" w:space="0" w:color="A6A6A6"/>
                </w:tcBorders>
                <w:shd w:val="clear" w:color="auto" w:fill="auto"/>
                <w:noWrap/>
                <w:vAlign w:val="center"/>
                <w:hideMark/>
              </w:tcPr>
              <w:p w14:paraId="570523F2" w14:textId="77777777" w:rsidR="006E283A" w:rsidRPr="003762A6" w:rsidRDefault="006E283A" w:rsidP="003762A6">
                <w:pPr>
                  <w:spacing w:after="0" w:line="240" w:lineRule="auto"/>
                  <w:jc w:val="right"/>
                  <w:rPr>
                    <w:rFonts w:ascii="Times New Roman" w:eastAsia="Times New Roman" w:hAnsi="Times New Roman"/>
                    <w:b/>
                    <w:bCs/>
                    <w:sz w:val="14"/>
                    <w:szCs w:val="14"/>
                    <w:lang w:eastAsia="es-CO"/>
                  </w:rPr>
                </w:pPr>
                <w:r w:rsidRPr="003762A6">
                  <w:rPr>
                    <w:rFonts w:ascii="Times New Roman" w:eastAsia="Times New Roman" w:hAnsi="Times New Roman"/>
                    <w:b/>
                    <w:bCs/>
                    <w:sz w:val="14"/>
                    <w:szCs w:val="14"/>
                    <w:lang w:eastAsia="es-CO"/>
                  </w:rPr>
                  <w:t xml:space="preserve">0 </w:t>
                </w:r>
              </w:p>
            </w:tc>
          </w:tr>
          <w:tr w:rsidR="006E283A" w:rsidRPr="003762A6" w14:paraId="27ED9310" w14:textId="77777777" w:rsidTr="00092474">
            <w:trPr>
              <w:trHeight w:val="307"/>
            </w:trPr>
            <w:tc>
              <w:tcPr>
                <w:tcW w:w="781" w:type="pct"/>
                <w:tcBorders>
                  <w:top w:val="nil"/>
                  <w:left w:val="single" w:sz="4" w:space="0" w:color="A6A6A6"/>
                  <w:bottom w:val="single" w:sz="4" w:space="0" w:color="A6A6A6"/>
                  <w:right w:val="single" w:sz="4" w:space="0" w:color="A6A6A6"/>
                </w:tcBorders>
                <w:shd w:val="clear" w:color="auto" w:fill="auto"/>
                <w:noWrap/>
                <w:vAlign w:val="center"/>
                <w:hideMark/>
              </w:tcPr>
              <w:p w14:paraId="2C776224" w14:textId="77777777" w:rsidR="006E283A" w:rsidRPr="003762A6" w:rsidRDefault="006E283A" w:rsidP="003762A6">
                <w:pPr>
                  <w:spacing w:after="0" w:line="240" w:lineRule="auto"/>
                  <w:rPr>
                    <w:rFonts w:ascii="Times New Roman" w:eastAsia="Times New Roman" w:hAnsi="Times New Roman"/>
                    <w:b/>
                    <w:bCs/>
                    <w:sz w:val="14"/>
                    <w:szCs w:val="14"/>
                    <w:lang w:eastAsia="es-CO"/>
                  </w:rPr>
                </w:pPr>
                <w:r w:rsidRPr="003762A6">
                  <w:rPr>
                    <w:rFonts w:ascii="Times New Roman" w:eastAsia="Times New Roman" w:hAnsi="Times New Roman"/>
                    <w:b/>
                    <w:bCs/>
                    <w:sz w:val="14"/>
                    <w:szCs w:val="14"/>
                    <w:lang w:eastAsia="es-CO"/>
                  </w:rPr>
                  <w:t>Préstamos del gobierno general</w:t>
                </w:r>
              </w:p>
            </w:tc>
            <w:tc>
              <w:tcPr>
                <w:tcW w:w="314" w:type="pct"/>
                <w:tcBorders>
                  <w:top w:val="nil"/>
                  <w:left w:val="nil"/>
                  <w:bottom w:val="single" w:sz="4" w:space="0" w:color="A6A6A6"/>
                  <w:right w:val="single" w:sz="4" w:space="0" w:color="A6A6A6"/>
                </w:tcBorders>
                <w:shd w:val="clear" w:color="auto" w:fill="auto"/>
                <w:noWrap/>
                <w:vAlign w:val="center"/>
                <w:hideMark/>
              </w:tcPr>
              <w:p w14:paraId="7AFCC55C" w14:textId="77777777" w:rsidR="006E283A" w:rsidRPr="003762A6" w:rsidRDefault="006E283A" w:rsidP="003762A6">
                <w:pPr>
                  <w:spacing w:after="0" w:line="240" w:lineRule="auto"/>
                  <w:rPr>
                    <w:rFonts w:ascii="Times New Roman" w:eastAsia="Times New Roman" w:hAnsi="Times New Roman"/>
                    <w:b/>
                    <w:bCs/>
                    <w:sz w:val="14"/>
                    <w:szCs w:val="14"/>
                    <w:lang w:eastAsia="es-CO"/>
                  </w:rPr>
                </w:pPr>
                <w:r w:rsidRPr="003762A6">
                  <w:rPr>
                    <w:rFonts w:ascii="Times New Roman" w:eastAsia="Times New Roman" w:hAnsi="Times New Roman"/>
                    <w:b/>
                    <w:bCs/>
                    <w:sz w:val="14"/>
                    <w:szCs w:val="14"/>
                    <w:lang w:eastAsia="es-CO"/>
                  </w:rPr>
                  <w:t> </w:t>
                </w:r>
              </w:p>
            </w:tc>
            <w:tc>
              <w:tcPr>
                <w:tcW w:w="232" w:type="pct"/>
                <w:tcBorders>
                  <w:top w:val="nil"/>
                  <w:left w:val="nil"/>
                  <w:bottom w:val="single" w:sz="4" w:space="0" w:color="A6A6A6"/>
                  <w:right w:val="single" w:sz="4" w:space="0" w:color="A6A6A6"/>
                </w:tcBorders>
                <w:shd w:val="clear" w:color="auto" w:fill="auto"/>
                <w:noWrap/>
                <w:vAlign w:val="center"/>
                <w:hideMark/>
              </w:tcPr>
              <w:p w14:paraId="4E2C42CC" w14:textId="77777777" w:rsidR="006E283A" w:rsidRPr="003762A6" w:rsidRDefault="006E283A" w:rsidP="003762A6">
                <w:pPr>
                  <w:spacing w:after="0" w:line="240" w:lineRule="auto"/>
                  <w:rPr>
                    <w:rFonts w:ascii="Times New Roman" w:eastAsia="Times New Roman" w:hAnsi="Times New Roman"/>
                    <w:b/>
                    <w:bCs/>
                    <w:sz w:val="14"/>
                    <w:szCs w:val="14"/>
                    <w:lang w:eastAsia="es-CO"/>
                  </w:rPr>
                </w:pPr>
                <w:r w:rsidRPr="003762A6">
                  <w:rPr>
                    <w:rFonts w:ascii="Times New Roman" w:eastAsia="Times New Roman" w:hAnsi="Times New Roman"/>
                    <w:b/>
                    <w:bCs/>
                    <w:sz w:val="14"/>
                    <w:szCs w:val="14"/>
                    <w:lang w:eastAsia="es-CO"/>
                  </w:rPr>
                  <w:t> </w:t>
                </w:r>
              </w:p>
            </w:tc>
            <w:tc>
              <w:tcPr>
                <w:tcW w:w="706" w:type="pct"/>
                <w:tcBorders>
                  <w:top w:val="nil"/>
                  <w:left w:val="nil"/>
                  <w:bottom w:val="single" w:sz="4" w:space="0" w:color="A6A6A6"/>
                  <w:right w:val="single" w:sz="4" w:space="0" w:color="A6A6A6"/>
                </w:tcBorders>
                <w:shd w:val="clear" w:color="auto" w:fill="auto"/>
                <w:noWrap/>
                <w:vAlign w:val="center"/>
                <w:hideMark/>
              </w:tcPr>
              <w:p w14:paraId="130B6700" w14:textId="77777777" w:rsidR="006E283A" w:rsidRPr="003762A6" w:rsidRDefault="006E283A" w:rsidP="003762A6">
                <w:pPr>
                  <w:spacing w:after="0" w:line="240" w:lineRule="auto"/>
                  <w:jc w:val="right"/>
                  <w:rPr>
                    <w:rFonts w:ascii="Times New Roman" w:eastAsia="Times New Roman" w:hAnsi="Times New Roman"/>
                    <w:b/>
                    <w:bCs/>
                    <w:sz w:val="14"/>
                    <w:szCs w:val="14"/>
                    <w:lang w:eastAsia="es-CO"/>
                  </w:rPr>
                </w:pPr>
                <w:r w:rsidRPr="003762A6">
                  <w:rPr>
                    <w:rFonts w:ascii="Times New Roman" w:eastAsia="Times New Roman" w:hAnsi="Times New Roman"/>
                    <w:b/>
                    <w:bCs/>
                    <w:sz w:val="14"/>
                    <w:szCs w:val="14"/>
                    <w:lang w:eastAsia="es-CO"/>
                  </w:rPr>
                  <w:t xml:space="preserve">336.309.575.850 </w:t>
                </w:r>
              </w:p>
            </w:tc>
            <w:tc>
              <w:tcPr>
                <w:tcW w:w="467" w:type="pct"/>
                <w:tcBorders>
                  <w:top w:val="nil"/>
                  <w:left w:val="nil"/>
                  <w:bottom w:val="single" w:sz="4" w:space="0" w:color="A6A6A6"/>
                  <w:right w:val="single" w:sz="4" w:space="0" w:color="A6A6A6"/>
                </w:tcBorders>
                <w:shd w:val="clear" w:color="auto" w:fill="auto"/>
                <w:noWrap/>
                <w:vAlign w:val="center"/>
                <w:hideMark/>
              </w:tcPr>
              <w:p w14:paraId="377B2B24" w14:textId="77777777" w:rsidR="006E283A" w:rsidRPr="003762A6" w:rsidRDefault="006E283A" w:rsidP="003762A6">
                <w:pPr>
                  <w:spacing w:after="0" w:line="240" w:lineRule="auto"/>
                  <w:rPr>
                    <w:rFonts w:ascii="Times New Roman" w:eastAsia="Times New Roman" w:hAnsi="Times New Roman"/>
                    <w:b/>
                    <w:bCs/>
                    <w:sz w:val="14"/>
                    <w:szCs w:val="14"/>
                    <w:lang w:eastAsia="es-CO"/>
                  </w:rPr>
                </w:pPr>
                <w:r w:rsidRPr="003762A6">
                  <w:rPr>
                    <w:rFonts w:ascii="Times New Roman" w:eastAsia="Times New Roman" w:hAnsi="Times New Roman"/>
                    <w:b/>
                    <w:bCs/>
                    <w:sz w:val="14"/>
                    <w:szCs w:val="14"/>
                    <w:lang w:eastAsia="es-CO"/>
                  </w:rPr>
                  <w:t> </w:t>
                </w:r>
              </w:p>
            </w:tc>
            <w:tc>
              <w:tcPr>
                <w:tcW w:w="475" w:type="pct"/>
                <w:gridSpan w:val="2"/>
                <w:tcBorders>
                  <w:top w:val="nil"/>
                  <w:left w:val="nil"/>
                  <w:bottom w:val="single" w:sz="4" w:space="0" w:color="A6A6A6"/>
                  <w:right w:val="single" w:sz="4" w:space="0" w:color="A6A6A6"/>
                </w:tcBorders>
                <w:shd w:val="clear" w:color="auto" w:fill="auto"/>
                <w:noWrap/>
                <w:vAlign w:val="center"/>
                <w:hideMark/>
              </w:tcPr>
              <w:p w14:paraId="0B32CA24" w14:textId="77777777" w:rsidR="006E283A" w:rsidRPr="003762A6" w:rsidRDefault="006E283A" w:rsidP="003762A6">
                <w:pPr>
                  <w:spacing w:after="0" w:line="240" w:lineRule="auto"/>
                  <w:jc w:val="center"/>
                  <w:rPr>
                    <w:rFonts w:ascii="Times New Roman" w:eastAsia="Times New Roman" w:hAnsi="Times New Roman"/>
                    <w:b/>
                    <w:bCs/>
                    <w:sz w:val="14"/>
                    <w:szCs w:val="14"/>
                    <w:lang w:eastAsia="es-CO"/>
                  </w:rPr>
                </w:pPr>
                <w:r w:rsidRPr="003762A6">
                  <w:rPr>
                    <w:rFonts w:ascii="Times New Roman" w:eastAsia="Times New Roman" w:hAnsi="Times New Roman"/>
                    <w:b/>
                    <w:bCs/>
                    <w:sz w:val="14"/>
                    <w:szCs w:val="14"/>
                    <w:lang w:eastAsia="es-CO"/>
                  </w:rPr>
                  <w:t> </w:t>
                </w:r>
              </w:p>
            </w:tc>
            <w:tc>
              <w:tcPr>
                <w:tcW w:w="385" w:type="pct"/>
                <w:tcBorders>
                  <w:top w:val="nil"/>
                  <w:left w:val="nil"/>
                  <w:bottom w:val="single" w:sz="4" w:space="0" w:color="A6A6A6"/>
                  <w:right w:val="single" w:sz="4" w:space="0" w:color="A6A6A6"/>
                </w:tcBorders>
                <w:shd w:val="clear" w:color="auto" w:fill="auto"/>
                <w:noWrap/>
                <w:vAlign w:val="center"/>
                <w:hideMark/>
              </w:tcPr>
              <w:p w14:paraId="36817430" w14:textId="77777777" w:rsidR="006E283A" w:rsidRPr="003762A6" w:rsidRDefault="006E283A" w:rsidP="003762A6">
                <w:pPr>
                  <w:spacing w:after="0" w:line="240" w:lineRule="auto"/>
                  <w:rPr>
                    <w:rFonts w:ascii="Times New Roman" w:eastAsia="Times New Roman" w:hAnsi="Times New Roman"/>
                    <w:b/>
                    <w:bCs/>
                    <w:sz w:val="14"/>
                    <w:szCs w:val="14"/>
                    <w:lang w:eastAsia="es-CO"/>
                  </w:rPr>
                </w:pPr>
                <w:r w:rsidRPr="003762A6">
                  <w:rPr>
                    <w:rFonts w:ascii="Times New Roman" w:eastAsia="Times New Roman" w:hAnsi="Times New Roman"/>
                    <w:b/>
                    <w:bCs/>
                    <w:sz w:val="14"/>
                    <w:szCs w:val="14"/>
                    <w:lang w:eastAsia="es-CO"/>
                  </w:rPr>
                  <w:t> </w:t>
                </w:r>
              </w:p>
            </w:tc>
            <w:tc>
              <w:tcPr>
                <w:tcW w:w="397" w:type="pct"/>
                <w:tcBorders>
                  <w:top w:val="nil"/>
                  <w:left w:val="nil"/>
                  <w:bottom w:val="single" w:sz="4" w:space="0" w:color="A6A6A6"/>
                  <w:right w:val="single" w:sz="4" w:space="0" w:color="A6A6A6"/>
                </w:tcBorders>
                <w:shd w:val="clear" w:color="auto" w:fill="auto"/>
                <w:noWrap/>
                <w:vAlign w:val="center"/>
                <w:hideMark/>
              </w:tcPr>
              <w:p w14:paraId="1F531641" w14:textId="77777777" w:rsidR="006E283A" w:rsidRPr="003762A6" w:rsidRDefault="006E283A" w:rsidP="003762A6">
                <w:pPr>
                  <w:spacing w:after="0" w:line="240" w:lineRule="auto"/>
                  <w:jc w:val="center"/>
                  <w:rPr>
                    <w:rFonts w:ascii="Times New Roman" w:eastAsia="Times New Roman" w:hAnsi="Times New Roman"/>
                    <w:b/>
                    <w:bCs/>
                    <w:sz w:val="14"/>
                    <w:szCs w:val="14"/>
                    <w:lang w:eastAsia="es-CO"/>
                  </w:rPr>
                </w:pPr>
                <w:r w:rsidRPr="003762A6">
                  <w:rPr>
                    <w:rFonts w:ascii="Times New Roman" w:eastAsia="Times New Roman" w:hAnsi="Times New Roman"/>
                    <w:b/>
                    <w:bCs/>
                    <w:sz w:val="14"/>
                    <w:szCs w:val="14"/>
                    <w:lang w:eastAsia="es-CO"/>
                  </w:rPr>
                  <w:t xml:space="preserve">0 </w:t>
                </w:r>
              </w:p>
            </w:tc>
            <w:tc>
              <w:tcPr>
                <w:tcW w:w="469" w:type="pct"/>
                <w:gridSpan w:val="2"/>
                <w:tcBorders>
                  <w:top w:val="nil"/>
                  <w:left w:val="nil"/>
                  <w:bottom w:val="single" w:sz="4" w:space="0" w:color="A6A6A6"/>
                  <w:right w:val="single" w:sz="4" w:space="0" w:color="A6A6A6"/>
                </w:tcBorders>
                <w:shd w:val="clear" w:color="auto" w:fill="auto"/>
                <w:noWrap/>
                <w:vAlign w:val="center"/>
                <w:hideMark/>
              </w:tcPr>
              <w:p w14:paraId="518973A9" w14:textId="77777777" w:rsidR="006E283A" w:rsidRPr="003762A6" w:rsidRDefault="006E283A" w:rsidP="003762A6">
                <w:pPr>
                  <w:spacing w:after="0" w:line="240" w:lineRule="auto"/>
                  <w:jc w:val="center"/>
                  <w:rPr>
                    <w:rFonts w:ascii="Times New Roman" w:eastAsia="Times New Roman" w:hAnsi="Times New Roman"/>
                    <w:b/>
                    <w:bCs/>
                    <w:sz w:val="14"/>
                    <w:szCs w:val="14"/>
                    <w:lang w:eastAsia="es-CO"/>
                  </w:rPr>
                </w:pPr>
                <w:r w:rsidRPr="003762A6">
                  <w:rPr>
                    <w:rFonts w:ascii="Times New Roman" w:eastAsia="Times New Roman" w:hAnsi="Times New Roman"/>
                    <w:b/>
                    <w:bCs/>
                    <w:sz w:val="14"/>
                    <w:szCs w:val="14"/>
                    <w:lang w:eastAsia="es-CO"/>
                  </w:rPr>
                  <w:t xml:space="preserve">0 </w:t>
                </w:r>
              </w:p>
            </w:tc>
            <w:tc>
              <w:tcPr>
                <w:tcW w:w="305" w:type="pct"/>
                <w:tcBorders>
                  <w:top w:val="nil"/>
                  <w:left w:val="nil"/>
                  <w:bottom w:val="single" w:sz="4" w:space="0" w:color="A6A6A6"/>
                  <w:right w:val="single" w:sz="4" w:space="0" w:color="A6A6A6"/>
                </w:tcBorders>
                <w:shd w:val="clear" w:color="auto" w:fill="auto"/>
                <w:noWrap/>
                <w:vAlign w:val="center"/>
                <w:hideMark/>
              </w:tcPr>
              <w:p w14:paraId="2126EF24" w14:textId="77777777" w:rsidR="006E283A" w:rsidRPr="003762A6" w:rsidRDefault="006E283A" w:rsidP="003762A6">
                <w:pPr>
                  <w:spacing w:after="0" w:line="240" w:lineRule="auto"/>
                  <w:jc w:val="center"/>
                  <w:rPr>
                    <w:rFonts w:ascii="Times New Roman" w:eastAsia="Times New Roman" w:hAnsi="Times New Roman"/>
                    <w:b/>
                    <w:bCs/>
                    <w:sz w:val="14"/>
                    <w:szCs w:val="14"/>
                    <w:lang w:eastAsia="es-CO"/>
                  </w:rPr>
                </w:pPr>
                <w:r w:rsidRPr="003762A6">
                  <w:rPr>
                    <w:rFonts w:ascii="Times New Roman" w:eastAsia="Times New Roman" w:hAnsi="Times New Roman"/>
                    <w:b/>
                    <w:bCs/>
                    <w:sz w:val="14"/>
                    <w:szCs w:val="14"/>
                    <w:lang w:eastAsia="es-CO"/>
                  </w:rPr>
                  <w:t>N/A</w:t>
                </w:r>
              </w:p>
            </w:tc>
            <w:tc>
              <w:tcPr>
                <w:tcW w:w="469" w:type="pct"/>
                <w:tcBorders>
                  <w:top w:val="nil"/>
                  <w:left w:val="nil"/>
                  <w:bottom w:val="single" w:sz="4" w:space="0" w:color="A6A6A6"/>
                  <w:right w:val="single" w:sz="4" w:space="0" w:color="A6A6A6"/>
                </w:tcBorders>
                <w:shd w:val="clear" w:color="auto" w:fill="auto"/>
                <w:noWrap/>
                <w:vAlign w:val="center"/>
                <w:hideMark/>
              </w:tcPr>
              <w:p w14:paraId="6DB0FC43" w14:textId="77777777" w:rsidR="006E283A" w:rsidRPr="003762A6" w:rsidRDefault="006E283A" w:rsidP="003762A6">
                <w:pPr>
                  <w:spacing w:after="0" w:line="240" w:lineRule="auto"/>
                  <w:jc w:val="right"/>
                  <w:rPr>
                    <w:rFonts w:ascii="Times New Roman" w:eastAsia="Times New Roman" w:hAnsi="Times New Roman"/>
                    <w:b/>
                    <w:bCs/>
                    <w:sz w:val="14"/>
                    <w:szCs w:val="14"/>
                    <w:lang w:eastAsia="es-CO"/>
                  </w:rPr>
                </w:pPr>
                <w:r w:rsidRPr="003762A6">
                  <w:rPr>
                    <w:rFonts w:ascii="Times New Roman" w:eastAsia="Times New Roman" w:hAnsi="Times New Roman"/>
                    <w:b/>
                    <w:bCs/>
                    <w:sz w:val="14"/>
                    <w:szCs w:val="14"/>
                    <w:lang w:eastAsia="es-CO"/>
                  </w:rPr>
                  <w:t xml:space="preserve">0 </w:t>
                </w:r>
              </w:p>
            </w:tc>
          </w:tr>
          <w:tr w:rsidR="006E283A" w:rsidRPr="003762A6" w14:paraId="749D8147" w14:textId="77777777" w:rsidTr="00092474">
            <w:trPr>
              <w:trHeight w:val="307"/>
            </w:trPr>
            <w:tc>
              <w:tcPr>
                <w:tcW w:w="781" w:type="pct"/>
                <w:tcBorders>
                  <w:top w:val="nil"/>
                  <w:left w:val="single" w:sz="4" w:space="0" w:color="A6A6A6"/>
                  <w:bottom w:val="single" w:sz="4" w:space="0" w:color="A6A6A6"/>
                  <w:right w:val="single" w:sz="4" w:space="0" w:color="A6A6A6"/>
                </w:tcBorders>
                <w:shd w:val="clear" w:color="auto" w:fill="auto"/>
                <w:vAlign w:val="center"/>
                <w:hideMark/>
              </w:tcPr>
              <w:p w14:paraId="602F8276" w14:textId="77777777" w:rsidR="006E283A" w:rsidRPr="003762A6" w:rsidRDefault="006E283A" w:rsidP="003762A6">
                <w:pPr>
                  <w:spacing w:after="0" w:line="240" w:lineRule="auto"/>
                  <w:rPr>
                    <w:rFonts w:ascii="Times New Roman" w:eastAsia="Times New Roman" w:hAnsi="Times New Roman"/>
                    <w:sz w:val="14"/>
                    <w:szCs w:val="14"/>
                    <w:lang w:eastAsia="es-CO"/>
                  </w:rPr>
                </w:pPr>
                <w:r w:rsidRPr="003762A6">
                  <w:rPr>
                    <w:rFonts w:ascii="Times New Roman" w:eastAsia="Times New Roman" w:hAnsi="Times New Roman"/>
                    <w:sz w:val="14"/>
                    <w:szCs w:val="14"/>
                    <w:lang w:eastAsia="es-CO"/>
                  </w:rPr>
                  <w:t>Nacionales</w:t>
                </w:r>
              </w:p>
            </w:tc>
            <w:tc>
              <w:tcPr>
                <w:tcW w:w="314" w:type="pct"/>
                <w:tcBorders>
                  <w:top w:val="nil"/>
                  <w:left w:val="nil"/>
                  <w:bottom w:val="single" w:sz="4" w:space="0" w:color="A6A6A6"/>
                  <w:right w:val="single" w:sz="4" w:space="0" w:color="A6A6A6"/>
                </w:tcBorders>
                <w:shd w:val="clear" w:color="auto" w:fill="auto"/>
                <w:noWrap/>
                <w:vAlign w:val="center"/>
                <w:hideMark/>
              </w:tcPr>
              <w:p w14:paraId="19ACC4CF" w14:textId="77777777" w:rsidR="006E283A" w:rsidRPr="003762A6" w:rsidRDefault="006E283A" w:rsidP="003762A6">
                <w:pPr>
                  <w:spacing w:after="0" w:line="240" w:lineRule="auto"/>
                  <w:jc w:val="center"/>
                  <w:rPr>
                    <w:rFonts w:ascii="Times New Roman" w:eastAsia="Times New Roman" w:hAnsi="Times New Roman"/>
                    <w:sz w:val="14"/>
                    <w:szCs w:val="14"/>
                    <w:lang w:eastAsia="es-CO"/>
                  </w:rPr>
                </w:pPr>
                <w:r w:rsidRPr="003762A6">
                  <w:rPr>
                    <w:rFonts w:ascii="Times New Roman" w:eastAsia="Times New Roman" w:hAnsi="Times New Roman"/>
                    <w:sz w:val="14"/>
                    <w:szCs w:val="14"/>
                    <w:lang w:eastAsia="es-CO"/>
                  </w:rPr>
                  <w:t>PN</w:t>
                </w:r>
              </w:p>
            </w:tc>
            <w:tc>
              <w:tcPr>
                <w:tcW w:w="232" w:type="pct"/>
                <w:tcBorders>
                  <w:top w:val="nil"/>
                  <w:left w:val="nil"/>
                  <w:bottom w:val="single" w:sz="4" w:space="0" w:color="A6A6A6"/>
                  <w:right w:val="single" w:sz="4" w:space="0" w:color="A6A6A6"/>
                </w:tcBorders>
                <w:shd w:val="clear" w:color="auto" w:fill="auto"/>
                <w:noWrap/>
                <w:vAlign w:val="center"/>
                <w:hideMark/>
              </w:tcPr>
              <w:p w14:paraId="1406E7CF" w14:textId="77777777" w:rsidR="006E283A" w:rsidRPr="003762A6" w:rsidRDefault="006E283A" w:rsidP="003762A6">
                <w:pPr>
                  <w:spacing w:after="0" w:line="240" w:lineRule="auto"/>
                  <w:jc w:val="center"/>
                  <w:rPr>
                    <w:rFonts w:ascii="Times New Roman" w:eastAsia="Times New Roman" w:hAnsi="Times New Roman"/>
                    <w:sz w:val="14"/>
                    <w:szCs w:val="14"/>
                    <w:lang w:eastAsia="es-CO"/>
                  </w:rPr>
                </w:pPr>
                <w:r w:rsidRPr="003762A6">
                  <w:rPr>
                    <w:rFonts w:ascii="Times New Roman" w:eastAsia="Times New Roman" w:hAnsi="Times New Roman"/>
                    <w:sz w:val="14"/>
                    <w:szCs w:val="14"/>
                    <w:lang w:eastAsia="es-CO"/>
                  </w:rPr>
                  <w:t>17</w:t>
                </w:r>
              </w:p>
            </w:tc>
            <w:tc>
              <w:tcPr>
                <w:tcW w:w="706" w:type="pct"/>
                <w:tcBorders>
                  <w:top w:val="nil"/>
                  <w:left w:val="nil"/>
                  <w:bottom w:val="single" w:sz="4" w:space="0" w:color="A6A6A6"/>
                  <w:right w:val="single" w:sz="4" w:space="0" w:color="A6A6A6"/>
                </w:tcBorders>
                <w:shd w:val="clear" w:color="auto" w:fill="auto"/>
                <w:noWrap/>
                <w:vAlign w:val="center"/>
                <w:hideMark/>
              </w:tcPr>
              <w:p w14:paraId="67F7A2EC" w14:textId="77777777" w:rsidR="006E283A" w:rsidRPr="003762A6" w:rsidRDefault="006E283A" w:rsidP="003762A6">
                <w:pPr>
                  <w:spacing w:after="0" w:line="240" w:lineRule="auto"/>
                  <w:jc w:val="right"/>
                  <w:rPr>
                    <w:rFonts w:ascii="Times New Roman" w:eastAsia="Times New Roman" w:hAnsi="Times New Roman"/>
                    <w:sz w:val="14"/>
                    <w:szCs w:val="14"/>
                    <w:lang w:eastAsia="es-CO"/>
                  </w:rPr>
                </w:pPr>
                <w:r w:rsidRPr="003762A6">
                  <w:rPr>
                    <w:rFonts w:ascii="Times New Roman" w:eastAsia="Times New Roman" w:hAnsi="Times New Roman"/>
                    <w:sz w:val="14"/>
                    <w:szCs w:val="14"/>
                    <w:lang w:eastAsia="es-CO"/>
                  </w:rPr>
                  <w:t xml:space="preserve">336.309.575.850 </w:t>
                </w:r>
              </w:p>
            </w:tc>
            <w:tc>
              <w:tcPr>
                <w:tcW w:w="467" w:type="pct"/>
                <w:tcBorders>
                  <w:top w:val="nil"/>
                  <w:left w:val="nil"/>
                  <w:bottom w:val="single" w:sz="4" w:space="0" w:color="A6A6A6"/>
                  <w:right w:val="single" w:sz="4" w:space="0" w:color="A6A6A6"/>
                </w:tcBorders>
                <w:shd w:val="clear" w:color="auto" w:fill="auto"/>
                <w:noWrap/>
                <w:vAlign w:val="center"/>
                <w:hideMark/>
              </w:tcPr>
              <w:p w14:paraId="223236D1" w14:textId="77777777" w:rsidR="006E283A" w:rsidRPr="003762A6" w:rsidRDefault="006E283A" w:rsidP="003762A6">
                <w:pPr>
                  <w:spacing w:after="0" w:line="240" w:lineRule="auto"/>
                  <w:jc w:val="center"/>
                  <w:rPr>
                    <w:rFonts w:ascii="Times New Roman" w:eastAsia="Times New Roman" w:hAnsi="Times New Roman"/>
                    <w:sz w:val="14"/>
                    <w:szCs w:val="14"/>
                    <w:lang w:eastAsia="es-CO"/>
                  </w:rPr>
                </w:pPr>
                <w:r w:rsidRPr="003762A6">
                  <w:rPr>
                    <w:rFonts w:ascii="Times New Roman" w:eastAsia="Times New Roman" w:hAnsi="Times New Roman"/>
                    <w:sz w:val="14"/>
                    <w:szCs w:val="14"/>
                    <w:lang w:eastAsia="es-CO"/>
                  </w:rPr>
                  <w:t>60</w:t>
                </w:r>
              </w:p>
            </w:tc>
            <w:tc>
              <w:tcPr>
                <w:tcW w:w="475" w:type="pct"/>
                <w:gridSpan w:val="2"/>
                <w:tcBorders>
                  <w:top w:val="nil"/>
                  <w:left w:val="nil"/>
                  <w:bottom w:val="single" w:sz="4" w:space="0" w:color="A6A6A6"/>
                  <w:right w:val="single" w:sz="4" w:space="0" w:color="A6A6A6"/>
                </w:tcBorders>
                <w:shd w:val="clear" w:color="auto" w:fill="auto"/>
                <w:noWrap/>
                <w:vAlign w:val="center"/>
                <w:hideMark/>
              </w:tcPr>
              <w:p w14:paraId="7B6DA5CC" w14:textId="77777777" w:rsidR="006E283A" w:rsidRPr="003762A6" w:rsidRDefault="006E283A" w:rsidP="003762A6">
                <w:pPr>
                  <w:spacing w:after="0" w:line="240" w:lineRule="auto"/>
                  <w:jc w:val="center"/>
                  <w:rPr>
                    <w:rFonts w:ascii="Times New Roman" w:eastAsia="Times New Roman" w:hAnsi="Times New Roman"/>
                    <w:sz w:val="14"/>
                    <w:szCs w:val="14"/>
                    <w:lang w:eastAsia="es-CO"/>
                  </w:rPr>
                </w:pPr>
                <w:r w:rsidRPr="003762A6">
                  <w:rPr>
                    <w:rFonts w:ascii="Times New Roman" w:eastAsia="Times New Roman" w:hAnsi="Times New Roman"/>
                    <w:sz w:val="14"/>
                    <w:szCs w:val="14"/>
                    <w:lang w:eastAsia="es-CO"/>
                  </w:rPr>
                  <w:t>72</w:t>
                </w:r>
              </w:p>
            </w:tc>
            <w:tc>
              <w:tcPr>
                <w:tcW w:w="385" w:type="pct"/>
                <w:tcBorders>
                  <w:top w:val="nil"/>
                  <w:left w:val="nil"/>
                  <w:bottom w:val="single" w:sz="4" w:space="0" w:color="A6A6A6"/>
                  <w:right w:val="single" w:sz="4" w:space="0" w:color="A6A6A6"/>
                </w:tcBorders>
                <w:shd w:val="clear" w:color="auto" w:fill="auto"/>
                <w:noWrap/>
                <w:vAlign w:val="center"/>
                <w:hideMark/>
              </w:tcPr>
              <w:p w14:paraId="387E73F4" w14:textId="77777777" w:rsidR="006E283A" w:rsidRPr="003762A6" w:rsidRDefault="006E283A" w:rsidP="003762A6">
                <w:pPr>
                  <w:spacing w:after="0" w:line="240" w:lineRule="auto"/>
                  <w:jc w:val="center"/>
                  <w:rPr>
                    <w:rFonts w:ascii="Times New Roman" w:eastAsia="Times New Roman" w:hAnsi="Times New Roman"/>
                    <w:sz w:val="14"/>
                    <w:szCs w:val="14"/>
                    <w:lang w:eastAsia="es-CO"/>
                  </w:rPr>
                </w:pPr>
                <w:r w:rsidRPr="003762A6">
                  <w:rPr>
                    <w:rFonts w:ascii="Times New Roman" w:eastAsia="Times New Roman" w:hAnsi="Times New Roman"/>
                    <w:sz w:val="14"/>
                    <w:szCs w:val="14"/>
                    <w:lang w:eastAsia="es-CO"/>
                  </w:rPr>
                  <w:t>N/A</w:t>
                </w:r>
              </w:p>
            </w:tc>
            <w:tc>
              <w:tcPr>
                <w:tcW w:w="397" w:type="pct"/>
                <w:tcBorders>
                  <w:top w:val="nil"/>
                  <w:left w:val="nil"/>
                  <w:bottom w:val="single" w:sz="4" w:space="0" w:color="A6A6A6"/>
                  <w:right w:val="single" w:sz="4" w:space="0" w:color="A6A6A6"/>
                </w:tcBorders>
                <w:shd w:val="clear" w:color="auto" w:fill="auto"/>
                <w:noWrap/>
                <w:vAlign w:val="center"/>
                <w:hideMark/>
              </w:tcPr>
              <w:p w14:paraId="66332065" w14:textId="77777777" w:rsidR="006E283A" w:rsidRPr="003762A6" w:rsidRDefault="006E283A" w:rsidP="003762A6">
                <w:pPr>
                  <w:spacing w:after="0" w:line="240" w:lineRule="auto"/>
                  <w:jc w:val="center"/>
                  <w:rPr>
                    <w:rFonts w:ascii="Times New Roman" w:eastAsia="Times New Roman" w:hAnsi="Times New Roman"/>
                    <w:sz w:val="14"/>
                    <w:szCs w:val="14"/>
                    <w:lang w:eastAsia="es-CO"/>
                  </w:rPr>
                </w:pPr>
                <w:r w:rsidRPr="003762A6">
                  <w:rPr>
                    <w:rFonts w:ascii="Times New Roman" w:eastAsia="Times New Roman" w:hAnsi="Times New Roman"/>
                    <w:sz w:val="14"/>
                    <w:szCs w:val="14"/>
                    <w:lang w:eastAsia="es-CO"/>
                  </w:rPr>
                  <w:t xml:space="preserve">0 </w:t>
                </w:r>
              </w:p>
            </w:tc>
            <w:tc>
              <w:tcPr>
                <w:tcW w:w="469" w:type="pct"/>
                <w:gridSpan w:val="2"/>
                <w:tcBorders>
                  <w:top w:val="nil"/>
                  <w:left w:val="nil"/>
                  <w:bottom w:val="single" w:sz="4" w:space="0" w:color="A6A6A6"/>
                  <w:right w:val="single" w:sz="4" w:space="0" w:color="A6A6A6"/>
                </w:tcBorders>
                <w:shd w:val="clear" w:color="auto" w:fill="auto"/>
                <w:noWrap/>
                <w:vAlign w:val="center"/>
                <w:hideMark/>
              </w:tcPr>
              <w:p w14:paraId="526EAAD7" w14:textId="77777777" w:rsidR="006E283A" w:rsidRPr="003762A6" w:rsidRDefault="006E283A" w:rsidP="003762A6">
                <w:pPr>
                  <w:spacing w:after="0" w:line="240" w:lineRule="auto"/>
                  <w:jc w:val="center"/>
                  <w:rPr>
                    <w:rFonts w:ascii="Times New Roman" w:eastAsia="Times New Roman" w:hAnsi="Times New Roman"/>
                    <w:sz w:val="14"/>
                    <w:szCs w:val="14"/>
                    <w:lang w:eastAsia="es-CO"/>
                  </w:rPr>
                </w:pPr>
                <w:r w:rsidRPr="003762A6">
                  <w:rPr>
                    <w:rFonts w:ascii="Times New Roman" w:eastAsia="Times New Roman" w:hAnsi="Times New Roman"/>
                    <w:sz w:val="14"/>
                    <w:szCs w:val="14"/>
                    <w:lang w:eastAsia="es-CO"/>
                  </w:rPr>
                  <w:t xml:space="preserve">0 </w:t>
                </w:r>
              </w:p>
            </w:tc>
            <w:tc>
              <w:tcPr>
                <w:tcW w:w="305" w:type="pct"/>
                <w:tcBorders>
                  <w:top w:val="nil"/>
                  <w:left w:val="nil"/>
                  <w:bottom w:val="single" w:sz="4" w:space="0" w:color="A6A6A6"/>
                  <w:right w:val="single" w:sz="4" w:space="0" w:color="A6A6A6"/>
                </w:tcBorders>
                <w:shd w:val="clear" w:color="auto" w:fill="auto"/>
                <w:noWrap/>
                <w:vAlign w:val="center"/>
                <w:hideMark/>
              </w:tcPr>
              <w:p w14:paraId="7A9CE660" w14:textId="77777777" w:rsidR="006E283A" w:rsidRPr="003762A6" w:rsidRDefault="006E283A" w:rsidP="003762A6">
                <w:pPr>
                  <w:spacing w:after="0" w:line="240" w:lineRule="auto"/>
                  <w:jc w:val="center"/>
                  <w:rPr>
                    <w:rFonts w:ascii="Times New Roman" w:eastAsia="Times New Roman" w:hAnsi="Times New Roman"/>
                    <w:sz w:val="14"/>
                    <w:szCs w:val="14"/>
                    <w:lang w:eastAsia="es-CO"/>
                  </w:rPr>
                </w:pPr>
                <w:r w:rsidRPr="003762A6">
                  <w:rPr>
                    <w:rFonts w:ascii="Times New Roman" w:eastAsia="Times New Roman" w:hAnsi="Times New Roman"/>
                    <w:sz w:val="14"/>
                    <w:szCs w:val="14"/>
                    <w:lang w:eastAsia="es-CO"/>
                  </w:rPr>
                  <w:t> </w:t>
                </w:r>
              </w:p>
            </w:tc>
            <w:tc>
              <w:tcPr>
                <w:tcW w:w="469" w:type="pct"/>
                <w:tcBorders>
                  <w:top w:val="nil"/>
                  <w:left w:val="nil"/>
                  <w:bottom w:val="single" w:sz="4" w:space="0" w:color="A6A6A6"/>
                  <w:right w:val="single" w:sz="4" w:space="0" w:color="A6A6A6"/>
                </w:tcBorders>
                <w:shd w:val="clear" w:color="auto" w:fill="auto"/>
                <w:noWrap/>
                <w:vAlign w:val="center"/>
                <w:hideMark/>
              </w:tcPr>
              <w:p w14:paraId="703EDCC5" w14:textId="77777777" w:rsidR="006E283A" w:rsidRPr="003762A6" w:rsidRDefault="006E283A" w:rsidP="003762A6">
                <w:pPr>
                  <w:spacing w:after="0" w:line="240" w:lineRule="auto"/>
                  <w:jc w:val="right"/>
                  <w:rPr>
                    <w:rFonts w:ascii="Times New Roman" w:eastAsia="Times New Roman" w:hAnsi="Times New Roman"/>
                    <w:sz w:val="14"/>
                    <w:szCs w:val="14"/>
                    <w:lang w:eastAsia="es-CO"/>
                  </w:rPr>
                </w:pPr>
                <w:r w:rsidRPr="003762A6">
                  <w:rPr>
                    <w:rFonts w:ascii="Times New Roman" w:eastAsia="Times New Roman" w:hAnsi="Times New Roman"/>
                    <w:sz w:val="14"/>
                    <w:szCs w:val="14"/>
                    <w:lang w:eastAsia="es-CO"/>
                  </w:rPr>
                  <w:t xml:space="preserve">0 </w:t>
                </w:r>
              </w:p>
            </w:tc>
          </w:tr>
          <w:tr w:rsidR="006E283A" w:rsidRPr="003762A6" w14:paraId="74C7A24D" w14:textId="77777777" w:rsidTr="00092474">
            <w:trPr>
              <w:trHeight w:val="291"/>
            </w:trPr>
            <w:tc>
              <w:tcPr>
                <w:tcW w:w="781" w:type="pct"/>
                <w:tcBorders>
                  <w:top w:val="nil"/>
                  <w:left w:val="single" w:sz="4" w:space="0" w:color="A6A6A6"/>
                  <w:bottom w:val="single" w:sz="4" w:space="0" w:color="A6A6A6"/>
                  <w:right w:val="single" w:sz="4" w:space="0" w:color="A6A6A6"/>
                </w:tcBorders>
                <w:shd w:val="clear" w:color="auto" w:fill="auto"/>
                <w:noWrap/>
                <w:vAlign w:val="center"/>
                <w:hideMark/>
              </w:tcPr>
              <w:p w14:paraId="597589E9" w14:textId="77777777" w:rsidR="006E283A" w:rsidRPr="003762A6" w:rsidRDefault="006E283A" w:rsidP="003762A6">
                <w:pPr>
                  <w:spacing w:after="0" w:line="240" w:lineRule="auto"/>
                  <w:rPr>
                    <w:rFonts w:ascii="Times New Roman" w:eastAsia="Times New Roman" w:hAnsi="Times New Roman"/>
                    <w:b/>
                    <w:bCs/>
                    <w:sz w:val="14"/>
                    <w:szCs w:val="14"/>
                    <w:lang w:eastAsia="es-CO"/>
                  </w:rPr>
                </w:pPr>
                <w:r w:rsidRPr="003762A6">
                  <w:rPr>
                    <w:rFonts w:ascii="Times New Roman" w:eastAsia="Times New Roman" w:hAnsi="Times New Roman"/>
                    <w:b/>
                    <w:bCs/>
                    <w:sz w:val="14"/>
                    <w:szCs w:val="14"/>
                    <w:lang w:eastAsia="es-CO"/>
                  </w:rPr>
                  <w:t>Pasivo financiero por acuerdos de concesión (concedente)</w:t>
                </w:r>
              </w:p>
            </w:tc>
            <w:tc>
              <w:tcPr>
                <w:tcW w:w="314" w:type="pct"/>
                <w:tcBorders>
                  <w:top w:val="nil"/>
                  <w:left w:val="nil"/>
                  <w:bottom w:val="single" w:sz="4" w:space="0" w:color="A6A6A6"/>
                  <w:right w:val="single" w:sz="4" w:space="0" w:color="A6A6A6"/>
                </w:tcBorders>
                <w:shd w:val="clear" w:color="auto" w:fill="auto"/>
                <w:noWrap/>
                <w:vAlign w:val="center"/>
                <w:hideMark/>
              </w:tcPr>
              <w:p w14:paraId="0D389912" w14:textId="77777777" w:rsidR="006E283A" w:rsidRPr="003762A6" w:rsidRDefault="006E283A" w:rsidP="003762A6">
                <w:pPr>
                  <w:spacing w:after="0" w:line="240" w:lineRule="auto"/>
                  <w:rPr>
                    <w:rFonts w:ascii="Times New Roman" w:eastAsia="Times New Roman" w:hAnsi="Times New Roman"/>
                    <w:b/>
                    <w:bCs/>
                    <w:sz w:val="14"/>
                    <w:szCs w:val="14"/>
                    <w:lang w:eastAsia="es-CO"/>
                  </w:rPr>
                </w:pPr>
                <w:r w:rsidRPr="003762A6">
                  <w:rPr>
                    <w:rFonts w:ascii="Times New Roman" w:eastAsia="Times New Roman" w:hAnsi="Times New Roman"/>
                    <w:b/>
                    <w:bCs/>
                    <w:sz w:val="14"/>
                    <w:szCs w:val="14"/>
                    <w:lang w:eastAsia="es-CO"/>
                  </w:rPr>
                  <w:t> </w:t>
                </w:r>
              </w:p>
            </w:tc>
            <w:tc>
              <w:tcPr>
                <w:tcW w:w="232" w:type="pct"/>
                <w:tcBorders>
                  <w:top w:val="nil"/>
                  <w:left w:val="nil"/>
                  <w:bottom w:val="single" w:sz="4" w:space="0" w:color="A6A6A6"/>
                  <w:right w:val="single" w:sz="4" w:space="0" w:color="A6A6A6"/>
                </w:tcBorders>
                <w:shd w:val="clear" w:color="auto" w:fill="auto"/>
                <w:noWrap/>
                <w:vAlign w:val="center"/>
                <w:hideMark/>
              </w:tcPr>
              <w:p w14:paraId="4F5510D1" w14:textId="77777777" w:rsidR="006E283A" w:rsidRPr="003762A6" w:rsidRDefault="006E283A" w:rsidP="003762A6">
                <w:pPr>
                  <w:spacing w:after="0" w:line="240" w:lineRule="auto"/>
                  <w:rPr>
                    <w:rFonts w:ascii="Times New Roman" w:eastAsia="Times New Roman" w:hAnsi="Times New Roman"/>
                    <w:b/>
                    <w:bCs/>
                    <w:sz w:val="14"/>
                    <w:szCs w:val="14"/>
                    <w:lang w:eastAsia="es-CO"/>
                  </w:rPr>
                </w:pPr>
                <w:r w:rsidRPr="003762A6">
                  <w:rPr>
                    <w:rFonts w:ascii="Times New Roman" w:eastAsia="Times New Roman" w:hAnsi="Times New Roman"/>
                    <w:b/>
                    <w:bCs/>
                    <w:sz w:val="14"/>
                    <w:szCs w:val="14"/>
                    <w:lang w:eastAsia="es-CO"/>
                  </w:rPr>
                  <w:t> </w:t>
                </w:r>
              </w:p>
            </w:tc>
            <w:tc>
              <w:tcPr>
                <w:tcW w:w="706" w:type="pct"/>
                <w:tcBorders>
                  <w:top w:val="nil"/>
                  <w:left w:val="nil"/>
                  <w:bottom w:val="single" w:sz="4" w:space="0" w:color="A6A6A6"/>
                  <w:right w:val="single" w:sz="4" w:space="0" w:color="A6A6A6"/>
                </w:tcBorders>
                <w:shd w:val="clear" w:color="auto" w:fill="auto"/>
                <w:noWrap/>
                <w:vAlign w:val="center"/>
                <w:hideMark/>
              </w:tcPr>
              <w:p w14:paraId="0D73147F" w14:textId="77777777" w:rsidR="006E283A" w:rsidRPr="003762A6" w:rsidRDefault="006E283A" w:rsidP="003762A6">
                <w:pPr>
                  <w:spacing w:after="0" w:line="240" w:lineRule="auto"/>
                  <w:jc w:val="right"/>
                  <w:rPr>
                    <w:rFonts w:ascii="Times New Roman" w:eastAsia="Times New Roman" w:hAnsi="Times New Roman"/>
                    <w:b/>
                    <w:bCs/>
                    <w:sz w:val="14"/>
                    <w:szCs w:val="14"/>
                    <w:lang w:eastAsia="es-CO"/>
                  </w:rPr>
                </w:pPr>
                <w:r w:rsidRPr="003762A6">
                  <w:rPr>
                    <w:rFonts w:ascii="Times New Roman" w:eastAsia="Times New Roman" w:hAnsi="Times New Roman"/>
                    <w:b/>
                    <w:bCs/>
                    <w:sz w:val="14"/>
                    <w:szCs w:val="14"/>
                    <w:lang w:eastAsia="es-CO"/>
                  </w:rPr>
                  <w:t xml:space="preserve">21.176.173.330.889 </w:t>
                </w:r>
              </w:p>
            </w:tc>
            <w:tc>
              <w:tcPr>
                <w:tcW w:w="467" w:type="pct"/>
                <w:tcBorders>
                  <w:top w:val="nil"/>
                  <w:left w:val="nil"/>
                  <w:bottom w:val="single" w:sz="4" w:space="0" w:color="A6A6A6"/>
                  <w:right w:val="single" w:sz="4" w:space="0" w:color="A6A6A6"/>
                </w:tcBorders>
                <w:shd w:val="clear" w:color="auto" w:fill="auto"/>
                <w:noWrap/>
                <w:vAlign w:val="center"/>
                <w:hideMark/>
              </w:tcPr>
              <w:p w14:paraId="12E5F533" w14:textId="77777777" w:rsidR="006E283A" w:rsidRPr="003762A6" w:rsidRDefault="006E283A" w:rsidP="003762A6">
                <w:pPr>
                  <w:spacing w:after="0" w:line="240" w:lineRule="auto"/>
                  <w:rPr>
                    <w:rFonts w:ascii="Times New Roman" w:eastAsia="Times New Roman" w:hAnsi="Times New Roman"/>
                    <w:b/>
                    <w:bCs/>
                    <w:sz w:val="14"/>
                    <w:szCs w:val="14"/>
                    <w:lang w:eastAsia="es-CO"/>
                  </w:rPr>
                </w:pPr>
                <w:r w:rsidRPr="003762A6">
                  <w:rPr>
                    <w:rFonts w:ascii="Times New Roman" w:eastAsia="Times New Roman" w:hAnsi="Times New Roman"/>
                    <w:b/>
                    <w:bCs/>
                    <w:sz w:val="14"/>
                    <w:szCs w:val="14"/>
                    <w:lang w:eastAsia="es-CO"/>
                  </w:rPr>
                  <w:t> </w:t>
                </w:r>
              </w:p>
            </w:tc>
            <w:tc>
              <w:tcPr>
                <w:tcW w:w="475" w:type="pct"/>
                <w:gridSpan w:val="2"/>
                <w:tcBorders>
                  <w:top w:val="nil"/>
                  <w:left w:val="nil"/>
                  <w:bottom w:val="single" w:sz="4" w:space="0" w:color="A6A6A6"/>
                  <w:right w:val="single" w:sz="4" w:space="0" w:color="A6A6A6"/>
                </w:tcBorders>
                <w:shd w:val="clear" w:color="auto" w:fill="auto"/>
                <w:noWrap/>
                <w:vAlign w:val="center"/>
                <w:hideMark/>
              </w:tcPr>
              <w:p w14:paraId="1AFC6DB0" w14:textId="77777777" w:rsidR="006E283A" w:rsidRPr="003762A6" w:rsidRDefault="006E283A" w:rsidP="003762A6">
                <w:pPr>
                  <w:spacing w:after="0" w:line="240" w:lineRule="auto"/>
                  <w:jc w:val="center"/>
                  <w:rPr>
                    <w:rFonts w:ascii="Times New Roman" w:eastAsia="Times New Roman" w:hAnsi="Times New Roman"/>
                    <w:b/>
                    <w:bCs/>
                    <w:sz w:val="14"/>
                    <w:szCs w:val="14"/>
                    <w:lang w:eastAsia="es-CO"/>
                  </w:rPr>
                </w:pPr>
                <w:r w:rsidRPr="003762A6">
                  <w:rPr>
                    <w:rFonts w:ascii="Times New Roman" w:eastAsia="Times New Roman" w:hAnsi="Times New Roman"/>
                    <w:b/>
                    <w:bCs/>
                    <w:sz w:val="14"/>
                    <w:szCs w:val="14"/>
                    <w:lang w:eastAsia="es-CO"/>
                  </w:rPr>
                  <w:t> </w:t>
                </w:r>
              </w:p>
            </w:tc>
            <w:tc>
              <w:tcPr>
                <w:tcW w:w="385" w:type="pct"/>
                <w:tcBorders>
                  <w:top w:val="nil"/>
                  <w:left w:val="nil"/>
                  <w:bottom w:val="single" w:sz="4" w:space="0" w:color="A6A6A6"/>
                  <w:right w:val="single" w:sz="4" w:space="0" w:color="A6A6A6"/>
                </w:tcBorders>
                <w:shd w:val="clear" w:color="auto" w:fill="auto"/>
                <w:noWrap/>
                <w:vAlign w:val="center"/>
                <w:hideMark/>
              </w:tcPr>
              <w:p w14:paraId="6108A957" w14:textId="77777777" w:rsidR="006E283A" w:rsidRPr="003762A6" w:rsidRDefault="006E283A" w:rsidP="003762A6">
                <w:pPr>
                  <w:spacing w:after="0" w:line="240" w:lineRule="auto"/>
                  <w:jc w:val="center"/>
                  <w:rPr>
                    <w:rFonts w:ascii="Times New Roman" w:eastAsia="Times New Roman" w:hAnsi="Times New Roman"/>
                    <w:b/>
                    <w:bCs/>
                    <w:sz w:val="14"/>
                    <w:szCs w:val="14"/>
                    <w:lang w:eastAsia="es-CO"/>
                  </w:rPr>
                </w:pPr>
                <w:r w:rsidRPr="003762A6">
                  <w:rPr>
                    <w:rFonts w:ascii="Times New Roman" w:eastAsia="Times New Roman" w:hAnsi="Times New Roman"/>
                    <w:b/>
                    <w:bCs/>
                    <w:sz w:val="14"/>
                    <w:szCs w:val="14"/>
                    <w:lang w:eastAsia="es-CO"/>
                  </w:rPr>
                  <w:t> </w:t>
                </w:r>
              </w:p>
            </w:tc>
            <w:tc>
              <w:tcPr>
                <w:tcW w:w="397" w:type="pct"/>
                <w:tcBorders>
                  <w:top w:val="nil"/>
                  <w:left w:val="nil"/>
                  <w:bottom w:val="single" w:sz="4" w:space="0" w:color="A6A6A6"/>
                  <w:right w:val="single" w:sz="4" w:space="0" w:color="A6A6A6"/>
                </w:tcBorders>
                <w:shd w:val="clear" w:color="auto" w:fill="auto"/>
                <w:noWrap/>
                <w:vAlign w:val="center"/>
                <w:hideMark/>
              </w:tcPr>
              <w:p w14:paraId="2455557C" w14:textId="77777777" w:rsidR="006E283A" w:rsidRPr="003762A6" w:rsidRDefault="006E283A" w:rsidP="003762A6">
                <w:pPr>
                  <w:spacing w:after="0" w:line="240" w:lineRule="auto"/>
                  <w:jc w:val="center"/>
                  <w:rPr>
                    <w:rFonts w:ascii="Times New Roman" w:eastAsia="Times New Roman" w:hAnsi="Times New Roman"/>
                    <w:b/>
                    <w:bCs/>
                    <w:sz w:val="14"/>
                    <w:szCs w:val="14"/>
                    <w:lang w:eastAsia="es-CO"/>
                  </w:rPr>
                </w:pPr>
                <w:r w:rsidRPr="003762A6">
                  <w:rPr>
                    <w:rFonts w:ascii="Times New Roman" w:eastAsia="Times New Roman" w:hAnsi="Times New Roman"/>
                    <w:b/>
                    <w:bCs/>
                    <w:sz w:val="14"/>
                    <w:szCs w:val="14"/>
                    <w:lang w:eastAsia="es-CO"/>
                  </w:rPr>
                  <w:t xml:space="preserve">0 </w:t>
                </w:r>
              </w:p>
            </w:tc>
            <w:tc>
              <w:tcPr>
                <w:tcW w:w="469" w:type="pct"/>
                <w:gridSpan w:val="2"/>
                <w:tcBorders>
                  <w:top w:val="nil"/>
                  <w:left w:val="nil"/>
                  <w:bottom w:val="single" w:sz="4" w:space="0" w:color="A6A6A6"/>
                  <w:right w:val="single" w:sz="4" w:space="0" w:color="A6A6A6"/>
                </w:tcBorders>
                <w:shd w:val="clear" w:color="auto" w:fill="auto"/>
                <w:noWrap/>
                <w:vAlign w:val="center"/>
                <w:hideMark/>
              </w:tcPr>
              <w:p w14:paraId="78BD3894" w14:textId="77777777" w:rsidR="006E283A" w:rsidRPr="003762A6" w:rsidRDefault="006E283A" w:rsidP="003762A6">
                <w:pPr>
                  <w:spacing w:after="0" w:line="240" w:lineRule="auto"/>
                  <w:jc w:val="center"/>
                  <w:rPr>
                    <w:rFonts w:ascii="Times New Roman" w:eastAsia="Times New Roman" w:hAnsi="Times New Roman"/>
                    <w:b/>
                    <w:bCs/>
                    <w:sz w:val="14"/>
                    <w:szCs w:val="14"/>
                    <w:lang w:eastAsia="es-CO"/>
                  </w:rPr>
                </w:pPr>
                <w:r w:rsidRPr="003762A6">
                  <w:rPr>
                    <w:rFonts w:ascii="Times New Roman" w:eastAsia="Times New Roman" w:hAnsi="Times New Roman"/>
                    <w:b/>
                    <w:bCs/>
                    <w:sz w:val="14"/>
                    <w:szCs w:val="14"/>
                    <w:lang w:eastAsia="es-CO"/>
                  </w:rPr>
                  <w:t xml:space="preserve">0 </w:t>
                </w:r>
              </w:p>
            </w:tc>
            <w:tc>
              <w:tcPr>
                <w:tcW w:w="305" w:type="pct"/>
                <w:tcBorders>
                  <w:top w:val="nil"/>
                  <w:left w:val="nil"/>
                  <w:bottom w:val="single" w:sz="4" w:space="0" w:color="A6A6A6"/>
                  <w:right w:val="single" w:sz="4" w:space="0" w:color="A6A6A6"/>
                </w:tcBorders>
                <w:shd w:val="clear" w:color="auto" w:fill="auto"/>
                <w:noWrap/>
                <w:vAlign w:val="center"/>
                <w:hideMark/>
              </w:tcPr>
              <w:p w14:paraId="0E30915C" w14:textId="77777777" w:rsidR="006E283A" w:rsidRPr="003762A6" w:rsidRDefault="006E283A" w:rsidP="003762A6">
                <w:pPr>
                  <w:spacing w:after="0" w:line="240" w:lineRule="auto"/>
                  <w:jc w:val="center"/>
                  <w:rPr>
                    <w:rFonts w:ascii="Times New Roman" w:eastAsia="Times New Roman" w:hAnsi="Times New Roman"/>
                    <w:b/>
                    <w:bCs/>
                    <w:sz w:val="14"/>
                    <w:szCs w:val="14"/>
                    <w:lang w:eastAsia="es-CO"/>
                  </w:rPr>
                </w:pPr>
                <w:r w:rsidRPr="003762A6">
                  <w:rPr>
                    <w:rFonts w:ascii="Times New Roman" w:eastAsia="Times New Roman" w:hAnsi="Times New Roman"/>
                    <w:b/>
                    <w:bCs/>
                    <w:sz w:val="14"/>
                    <w:szCs w:val="14"/>
                    <w:lang w:eastAsia="es-CO"/>
                  </w:rPr>
                  <w:t>N/A</w:t>
                </w:r>
              </w:p>
            </w:tc>
            <w:tc>
              <w:tcPr>
                <w:tcW w:w="469" w:type="pct"/>
                <w:tcBorders>
                  <w:top w:val="nil"/>
                  <w:left w:val="nil"/>
                  <w:bottom w:val="single" w:sz="4" w:space="0" w:color="A6A6A6"/>
                  <w:right w:val="single" w:sz="4" w:space="0" w:color="A6A6A6"/>
                </w:tcBorders>
                <w:shd w:val="clear" w:color="auto" w:fill="auto"/>
                <w:noWrap/>
                <w:vAlign w:val="center"/>
                <w:hideMark/>
              </w:tcPr>
              <w:p w14:paraId="7845392E" w14:textId="77777777" w:rsidR="006E283A" w:rsidRPr="003762A6" w:rsidRDefault="006E283A" w:rsidP="003762A6">
                <w:pPr>
                  <w:spacing w:after="0" w:line="240" w:lineRule="auto"/>
                  <w:jc w:val="right"/>
                  <w:rPr>
                    <w:rFonts w:ascii="Times New Roman" w:eastAsia="Times New Roman" w:hAnsi="Times New Roman"/>
                    <w:b/>
                    <w:bCs/>
                    <w:sz w:val="14"/>
                    <w:szCs w:val="14"/>
                    <w:lang w:eastAsia="es-CO"/>
                  </w:rPr>
                </w:pPr>
                <w:r w:rsidRPr="003762A6">
                  <w:rPr>
                    <w:rFonts w:ascii="Times New Roman" w:eastAsia="Times New Roman" w:hAnsi="Times New Roman"/>
                    <w:b/>
                    <w:bCs/>
                    <w:sz w:val="14"/>
                    <w:szCs w:val="14"/>
                    <w:lang w:eastAsia="es-CO"/>
                  </w:rPr>
                  <w:t xml:space="preserve">0 </w:t>
                </w:r>
              </w:p>
            </w:tc>
          </w:tr>
          <w:tr w:rsidR="006E283A" w:rsidRPr="003762A6" w14:paraId="2606A972" w14:textId="77777777" w:rsidTr="00092474">
            <w:trPr>
              <w:trHeight w:val="307"/>
            </w:trPr>
            <w:tc>
              <w:tcPr>
                <w:tcW w:w="781" w:type="pct"/>
                <w:tcBorders>
                  <w:top w:val="nil"/>
                  <w:left w:val="single" w:sz="4" w:space="0" w:color="A6A6A6"/>
                  <w:bottom w:val="single" w:sz="4" w:space="0" w:color="A6A6A6"/>
                  <w:right w:val="single" w:sz="4" w:space="0" w:color="A6A6A6"/>
                </w:tcBorders>
                <w:shd w:val="clear" w:color="auto" w:fill="auto"/>
                <w:vAlign w:val="center"/>
                <w:hideMark/>
              </w:tcPr>
              <w:p w14:paraId="29AA6633" w14:textId="77777777" w:rsidR="006E283A" w:rsidRPr="003762A6" w:rsidRDefault="006E283A" w:rsidP="003762A6">
                <w:pPr>
                  <w:spacing w:after="0" w:line="240" w:lineRule="auto"/>
                  <w:rPr>
                    <w:rFonts w:ascii="Times New Roman" w:eastAsia="Times New Roman" w:hAnsi="Times New Roman"/>
                    <w:sz w:val="14"/>
                    <w:szCs w:val="14"/>
                    <w:lang w:eastAsia="es-CO"/>
                  </w:rPr>
                </w:pPr>
                <w:r w:rsidRPr="003762A6">
                  <w:rPr>
                    <w:rFonts w:ascii="Times New Roman" w:eastAsia="Times New Roman" w:hAnsi="Times New Roman"/>
                    <w:sz w:val="14"/>
                    <w:szCs w:val="14"/>
                    <w:lang w:eastAsia="es-CO"/>
                  </w:rPr>
                  <w:t>Nacionales</w:t>
                </w:r>
              </w:p>
            </w:tc>
            <w:tc>
              <w:tcPr>
                <w:tcW w:w="314" w:type="pct"/>
                <w:tcBorders>
                  <w:top w:val="nil"/>
                  <w:left w:val="nil"/>
                  <w:bottom w:val="single" w:sz="4" w:space="0" w:color="A6A6A6"/>
                  <w:right w:val="single" w:sz="4" w:space="0" w:color="A6A6A6"/>
                </w:tcBorders>
                <w:shd w:val="clear" w:color="auto" w:fill="auto"/>
                <w:noWrap/>
                <w:vAlign w:val="center"/>
                <w:hideMark/>
              </w:tcPr>
              <w:p w14:paraId="091F80AE" w14:textId="77777777" w:rsidR="006E283A" w:rsidRPr="003762A6" w:rsidRDefault="006E283A" w:rsidP="003762A6">
                <w:pPr>
                  <w:spacing w:after="0" w:line="240" w:lineRule="auto"/>
                  <w:jc w:val="center"/>
                  <w:rPr>
                    <w:rFonts w:ascii="Times New Roman" w:eastAsia="Times New Roman" w:hAnsi="Times New Roman"/>
                    <w:sz w:val="14"/>
                    <w:szCs w:val="14"/>
                    <w:lang w:eastAsia="es-CO"/>
                  </w:rPr>
                </w:pPr>
                <w:r w:rsidRPr="003762A6">
                  <w:rPr>
                    <w:rFonts w:ascii="Times New Roman" w:eastAsia="Times New Roman" w:hAnsi="Times New Roman"/>
                    <w:sz w:val="14"/>
                    <w:szCs w:val="14"/>
                    <w:lang w:eastAsia="es-CO"/>
                  </w:rPr>
                  <w:t>PN</w:t>
                </w:r>
              </w:p>
            </w:tc>
            <w:tc>
              <w:tcPr>
                <w:tcW w:w="232" w:type="pct"/>
                <w:tcBorders>
                  <w:top w:val="nil"/>
                  <w:left w:val="nil"/>
                  <w:bottom w:val="single" w:sz="4" w:space="0" w:color="A6A6A6"/>
                  <w:right w:val="single" w:sz="4" w:space="0" w:color="A6A6A6"/>
                </w:tcBorders>
                <w:shd w:val="clear" w:color="auto" w:fill="auto"/>
                <w:noWrap/>
                <w:vAlign w:val="center"/>
                <w:hideMark/>
              </w:tcPr>
              <w:p w14:paraId="189857FF" w14:textId="77777777" w:rsidR="006E283A" w:rsidRPr="003762A6" w:rsidRDefault="006E283A" w:rsidP="003762A6">
                <w:pPr>
                  <w:spacing w:after="0" w:line="240" w:lineRule="auto"/>
                  <w:jc w:val="center"/>
                  <w:rPr>
                    <w:rFonts w:ascii="Times New Roman" w:eastAsia="Times New Roman" w:hAnsi="Times New Roman"/>
                    <w:sz w:val="14"/>
                    <w:szCs w:val="14"/>
                    <w:lang w:eastAsia="es-CO"/>
                  </w:rPr>
                </w:pPr>
                <w:r w:rsidRPr="003762A6">
                  <w:rPr>
                    <w:rFonts w:ascii="Times New Roman" w:eastAsia="Times New Roman" w:hAnsi="Times New Roman"/>
                    <w:sz w:val="14"/>
                    <w:szCs w:val="14"/>
                    <w:lang w:eastAsia="es-CO"/>
                  </w:rPr>
                  <w:t>29</w:t>
                </w:r>
              </w:p>
            </w:tc>
            <w:tc>
              <w:tcPr>
                <w:tcW w:w="706" w:type="pct"/>
                <w:tcBorders>
                  <w:top w:val="nil"/>
                  <w:left w:val="nil"/>
                  <w:bottom w:val="single" w:sz="4" w:space="0" w:color="A6A6A6"/>
                  <w:right w:val="single" w:sz="4" w:space="0" w:color="A6A6A6"/>
                </w:tcBorders>
                <w:shd w:val="clear" w:color="auto" w:fill="auto"/>
                <w:noWrap/>
                <w:vAlign w:val="center"/>
                <w:hideMark/>
              </w:tcPr>
              <w:p w14:paraId="2774A1BD" w14:textId="77777777" w:rsidR="006E283A" w:rsidRPr="003762A6" w:rsidRDefault="006E283A" w:rsidP="003762A6">
                <w:pPr>
                  <w:spacing w:after="0" w:line="240" w:lineRule="auto"/>
                  <w:jc w:val="right"/>
                  <w:rPr>
                    <w:rFonts w:ascii="Times New Roman" w:eastAsia="Times New Roman" w:hAnsi="Times New Roman"/>
                    <w:sz w:val="14"/>
                    <w:szCs w:val="14"/>
                    <w:lang w:eastAsia="es-CO"/>
                  </w:rPr>
                </w:pPr>
                <w:r w:rsidRPr="003762A6">
                  <w:rPr>
                    <w:rFonts w:ascii="Times New Roman" w:eastAsia="Times New Roman" w:hAnsi="Times New Roman"/>
                    <w:sz w:val="14"/>
                    <w:szCs w:val="14"/>
                    <w:lang w:eastAsia="es-CO"/>
                  </w:rPr>
                  <w:t xml:space="preserve">21.176.173.330.889 </w:t>
                </w:r>
              </w:p>
            </w:tc>
            <w:tc>
              <w:tcPr>
                <w:tcW w:w="467" w:type="pct"/>
                <w:tcBorders>
                  <w:top w:val="nil"/>
                  <w:left w:val="nil"/>
                  <w:bottom w:val="single" w:sz="4" w:space="0" w:color="A6A6A6"/>
                  <w:right w:val="single" w:sz="4" w:space="0" w:color="A6A6A6"/>
                </w:tcBorders>
                <w:shd w:val="clear" w:color="auto" w:fill="auto"/>
                <w:noWrap/>
                <w:vAlign w:val="center"/>
                <w:hideMark/>
              </w:tcPr>
              <w:p w14:paraId="406D89CE" w14:textId="77777777" w:rsidR="006E283A" w:rsidRPr="003762A6" w:rsidRDefault="006E283A" w:rsidP="003762A6">
                <w:pPr>
                  <w:spacing w:after="0" w:line="240" w:lineRule="auto"/>
                  <w:jc w:val="center"/>
                  <w:rPr>
                    <w:rFonts w:ascii="Times New Roman" w:eastAsia="Times New Roman" w:hAnsi="Times New Roman"/>
                    <w:sz w:val="14"/>
                    <w:szCs w:val="14"/>
                    <w:lang w:eastAsia="es-CO"/>
                  </w:rPr>
                </w:pPr>
                <w:r w:rsidRPr="003762A6">
                  <w:rPr>
                    <w:rFonts w:ascii="Times New Roman" w:eastAsia="Times New Roman" w:hAnsi="Times New Roman"/>
                    <w:sz w:val="14"/>
                    <w:szCs w:val="14"/>
                    <w:lang w:eastAsia="es-CO"/>
                  </w:rPr>
                  <w:t>N/A</w:t>
                </w:r>
              </w:p>
            </w:tc>
            <w:tc>
              <w:tcPr>
                <w:tcW w:w="475" w:type="pct"/>
                <w:gridSpan w:val="2"/>
                <w:tcBorders>
                  <w:top w:val="nil"/>
                  <w:left w:val="nil"/>
                  <w:bottom w:val="single" w:sz="4" w:space="0" w:color="A6A6A6"/>
                  <w:right w:val="single" w:sz="4" w:space="0" w:color="A6A6A6"/>
                </w:tcBorders>
                <w:shd w:val="clear" w:color="auto" w:fill="auto"/>
                <w:noWrap/>
                <w:vAlign w:val="center"/>
                <w:hideMark/>
              </w:tcPr>
              <w:p w14:paraId="454C7BE0" w14:textId="77777777" w:rsidR="006E283A" w:rsidRPr="003762A6" w:rsidRDefault="006E283A" w:rsidP="003762A6">
                <w:pPr>
                  <w:spacing w:after="0" w:line="240" w:lineRule="auto"/>
                  <w:jc w:val="center"/>
                  <w:rPr>
                    <w:rFonts w:ascii="Times New Roman" w:eastAsia="Times New Roman" w:hAnsi="Times New Roman"/>
                    <w:sz w:val="14"/>
                    <w:szCs w:val="14"/>
                    <w:lang w:eastAsia="es-CO"/>
                  </w:rPr>
                </w:pPr>
                <w:r w:rsidRPr="003762A6">
                  <w:rPr>
                    <w:rFonts w:ascii="Times New Roman" w:eastAsia="Times New Roman" w:hAnsi="Times New Roman"/>
                    <w:sz w:val="14"/>
                    <w:szCs w:val="14"/>
                    <w:lang w:eastAsia="es-CO"/>
                  </w:rPr>
                  <w:t>N/A</w:t>
                </w:r>
              </w:p>
            </w:tc>
            <w:tc>
              <w:tcPr>
                <w:tcW w:w="385" w:type="pct"/>
                <w:tcBorders>
                  <w:top w:val="nil"/>
                  <w:left w:val="nil"/>
                  <w:bottom w:val="single" w:sz="4" w:space="0" w:color="A6A6A6"/>
                  <w:right w:val="single" w:sz="4" w:space="0" w:color="A6A6A6"/>
                </w:tcBorders>
                <w:shd w:val="clear" w:color="auto" w:fill="auto"/>
                <w:noWrap/>
                <w:vAlign w:val="center"/>
                <w:hideMark/>
              </w:tcPr>
              <w:p w14:paraId="22392AA0" w14:textId="77777777" w:rsidR="006E283A" w:rsidRPr="003762A6" w:rsidRDefault="006E283A" w:rsidP="003762A6">
                <w:pPr>
                  <w:spacing w:after="0" w:line="240" w:lineRule="auto"/>
                  <w:jc w:val="center"/>
                  <w:rPr>
                    <w:rFonts w:ascii="Times New Roman" w:eastAsia="Times New Roman" w:hAnsi="Times New Roman"/>
                    <w:sz w:val="14"/>
                    <w:szCs w:val="14"/>
                    <w:lang w:eastAsia="es-CO"/>
                  </w:rPr>
                </w:pPr>
                <w:r w:rsidRPr="003762A6">
                  <w:rPr>
                    <w:rFonts w:ascii="Times New Roman" w:eastAsia="Times New Roman" w:hAnsi="Times New Roman"/>
                    <w:sz w:val="14"/>
                    <w:szCs w:val="14"/>
                    <w:lang w:eastAsia="es-CO"/>
                  </w:rPr>
                  <w:t>N/A</w:t>
                </w:r>
              </w:p>
            </w:tc>
            <w:tc>
              <w:tcPr>
                <w:tcW w:w="397" w:type="pct"/>
                <w:tcBorders>
                  <w:top w:val="nil"/>
                  <w:left w:val="nil"/>
                  <w:bottom w:val="single" w:sz="4" w:space="0" w:color="A6A6A6"/>
                  <w:right w:val="single" w:sz="4" w:space="0" w:color="A6A6A6"/>
                </w:tcBorders>
                <w:shd w:val="clear" w:color="auto" w:fill="auto"/>
                <w:noWrap/>
                <w:vAlign w:val="center"/>
                <w:hideMark/>
              </w:tcPr>
              <w:p w14:paraId="06250555" w14:textId="77777777" w:rsidR="006E283A" w:rsidRPr="003762A6" w:rsidRDefault="006E283A" w:rsidP="003762A6">
                <w:pPr>
                  <w:spacing w:after="0" w:line="240" w:lineRule="auto"/>
                  <w:jc w:val="center"/>
                  <w:rPr>
                    <w:rFonts w:ascii="Times New Roman" w:eastAsia="Times New Roman" w:hAnsi="Times New Roman"/>
                    <w:sz w:val="14"/>
                    <w:szCs w:val="14"/>
                    <w:lang w:eastAsia="es-CO"/>
                  </w:rPr>
                </w:pPr>
                <w:r w:rsidRPr="003762A6">
                  <w:rPr>
                    <w:rFonts w:ascii="Times New Roman" w:eastAsia="Times New Roman" w:hAnsi="Times New Roman"/>
                    <w:sz w:val="14"/>
                    <w:szCs w:val="14"/>
                    <w:lang w:eastAsia="es-CO"/>
                  </w:rPr>
                  <w:t>0</w:t>
                </w:r>
              </w:p>
            </w:tc>
            <w:tc>
              <w:tcPr>
                <w:tcW w:w="469" w:type="pct"/>
                <w:gridSpan w:val="2"/>
                <w:tcBorders>
                  <w:top w:val="nil"/>
                  <w:left w:val="nil"/>
                  <w:bottom w:val="single" w:sz="4" w:space="0" w:color="A6A6A6"/>
                  <w:right w:val="single" w:sz="4" w:space="0" w:color="A6A6A6"/>
                </w:tcBorders>
                <w:shd w:val="clear" w:color="auto" w:fill="auto"/>
                <w:noWrap/>
                <w:vAlign w:val="center"/>
                <w:hideMark/>
              </w:tcPr>
              <w:p w14:paraId="554A531D" w14:textId="77777777" w:rsidR="006E283A" w:rsidRPr="003762A6" w:rsidRDefault="006E283A" w:rsidP="003762A6">
                <w:pPr>
                  <w:spacing w:after="0" w:line="240" w:lineRule="auto"/>
                  <w:jc w:val="center"/>
                  <w:rPr>
                    <w:rFonts w:ascii="Times New Roman" w:eastAsia="Times New Roman" w:hAnsi="Times New Roman"/>
                    <w:sz w:val="14"/>
                    <w:szCs w:val="14"/>
                    <w:lang w:eastAsia="es-CO"/>
                  </w:rPr>
                </w:pPr>
                <w:r w:rsidRPr="003762A6">
                  <w:rPr>
                    <w:rFonts w:ascii="Times New Roman" w:eastAsia="Times New Roman" w:hAnsi="Times New Roman"/>
                    <w:sz w:val="14"/>
                    <w:szCs w:val="14"/>
                    <w:lang w:eastAsia="es-CO"/>
                  </w:rPr>
                  <w:t>0</w:t>
                </w:r>
              </w:p>
            </w:tc>
            <w:tc>
              <w:tcPr>
                <w:tcW w:w="305" w:type="pct"/>
                <w:tcBorders>
                  <w:top w:val="nil"/>
                  <w:left w:val="nil"/>
                  <w:bottom w:val="single" w:sz="4" w:space="0" w:color="A6A6A6"/>
                  <w:right w:val="single" w:sz="4" w:space="0" w:color="A6A6A6"/>
                </w:tcBorders>
                <w:shd w:val="clear" w:color="auto" w:fill="auto"/>
                <w:noWrap/>
                <w:vAlign w:val="center"/>
                <w:hideMark/>
              </w:tcPr>
              <w:p w14:paraId="1F635315" w14:textId="77777777" w:rsidR="006E283A" w:rsidRPr="003762A6" w:rsidRDefault="006E283A" w:rsidP="003762A6">
                <w:pPr>
                  <w:spacing w:after="0" w:line="240" w:lineRule="auto"/>
                  <w:rPr>
                    <w:rFonts w:ascii="Times New Roman" w:eastAsia="Times New Roman" w:hAnsi="Times New Roman"/>
                    <w:sz w:val="14"/>
                    <w:szCs w:val="14"/>
                    <w:lang w:eastAsia="es-CO"/>
                  </w:rPr>
                </w:pPr>
                <w:r w:rsidRPr="003762A6">
                  <w:rPr>
                    <w:rFonts w:ascii="Times New Roman" w:eastAsia="Times New Roman" w:hAnsi="Times New Roman"/>
                    <w:sz w:val="14"/>
                    <w:szCs w:val="14"/>
                    <w:lang w:eastAsia="es-CO"/>
                  </w:rPr>
                  <w:t> </w:t>
                </w:r>
              </w:p>
            </w:tc>
            <w:tc>
              <w:tcPr>
                <w:tcW w:w="469" w:type="pct"/>
                <w:tcBorders>
                  <w:top w:val="nil"/>
                  <w:left w:val="nil"/>
                  <w:bottom w:val="single" w:sz="4" w:space="0" w:color="A6A6A6"/>
                  <w:right w:val="single" w:sz="4" w:space="0" w:color="A6A6A6"/>
                </w:tcBorders>
                <w:shd w:val="clear" w:color="auto" w:fill="auto"/>
                <w:noWrap/>
                <w:vAlign w:val="center"/>
                <w:hideMark/>
              </w:tcPr>
              <w:p w14:paraId="40771469" w14:textId="77777777" w:rsidR="006E283A" w:rsidRPr="003762A6" w:rsidRDefault="006E283A" w:rsidP="003762A6">
                <w:pPr>
                  <w:spacing w:after="0" w:line="240" w:lineRule="auto"/>
                  <w:jc w:val="right"/>
                  <w:rPr>
                    <w:rFonts w:ascii="Times New Roman" w:eastAsia="Times New Roman" w:hAnsi="Times New Roman"/>
                    <w:sz w:val="14"/>
                    <w:szCs w:val="14"/>
                    <w:lang w:eastAsia="es-CO"/>
                  </w:rPr>
                </w:pPr>
                <w:r w:rsidRPr="003762A6">
                  <w:rPr>
                    <w:rFonts w:ascii="Times New Roman" w:eastAsia="Times New Roman" w:hAnsi="Times New Roman"/>
                    <w:sz w:val="14"/>
                    <w:szCs w:val="14"/>
                    <w:lang w:eastAsia="es-CO"/>
                  </w:rPr>
                  <w:t xml:space="preserve">0 </w:t>
                </w:r>
              </w:p>
            </w:tc>
          </w:tr>
        </w:tbl>
        <w:p w14:paraId="6434FEA3" w14:textId="77777777" w:rsidR="00293417" w:rsidRPr="00931DCE" w:rsidRDefault="00293417" w:rsidP="00293417">
          <w:pPr>
            <w:spacing w:after="0" w:line="240" w:lineRule="auto"/>
            <w:jc w:val="both"/>
            <w:rPr>
              <w:rFonts w:ascii="Times New Roman" w:eastAsiaTheme="minorHAnsi" w:hAnsi="Times New Roman"/>
              <w:sz w:val="24"/>
              <w:szCs w:val="24"/>
            </w:rPr>
          </w:pPr>
          <w:r w:rsidRPr="00931DCE">
            <w:rPr>
              <w:rFonts w:ascii="Times New Roman" w:eastAsia="Times New Roman" w:hAnsi="Times New Roman"/>
              <w:sz w:val="16"/>
              <w:szCs w:val="16"/>
              <w:lang w:eastAsia="es-CO"/>
            </w:rPr>
            <w:t>Cifras expresadas en pesos</w:t>
          </w:r>
        </w:p>
        <w:p w14:paraId="2486BC76" w14:textId="662673FC" w:rsidR="00293417" w:rsidRDefault="00293417" w:rsidP="00A000CF">
          <w:pPr>
            <w:spacing w:after="0" w:line="240" w:lineRule="auto"/>
            <w:jc w:val="both"/>
            <w:rPr>
              <w:rFonts w:ascii="Times New Roman" w:eastAsiaTheme="minorHAnsi" w:hAnsi="Times New Roman"/>
              <w:sz w:val="24"/>
              <w:szCs w:val="24"/>
            </w:rPr>
          </w:pPr>
        </w:p>
        <w:p w14:paraId="567B5640" w14:textId="3C688354" w:rsidR="00025AC5" w:rsidRDefault="00025AC5" w:rsidP="00A000C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Para estos </w:t>
          </w:r>
          <w:r w:rsidR="005B42A1">
            <w:rPr>
              <w:rFonts w:ascii="Times New Roman" w:eastAsiaTheme="minorHAnsi" w:hAnsi="Times New Roman"/>
              <w:sz w:val="24"/>
              <w:szCs w:val="24"/>
            </w:rPr>
            <w:t>pasivos de financiamiento interno de largo plazo</w:t>
          </w:r>
          <w:r>
            <w:rPr>
              <w:rFonts w:ascii="Times New Roman" w:eastAsiaTheme="minorHAnsi" w:hAnsi="Times New Roman"/>
              <w:sz w:val="24"/>
              <w:szCs w:val="24"/>
            </w:rPr>
            <w:t xml:space="preserve"> no aplican detalles de la transacción, seguimiento a cumplimiento de infracciones, detalles de la negociación o corrección de infracción, </w:t>
          </w:r>
          <w:r w:rsidR="005B42A1">
            <w:rPr>
              <w:rFonts w:ascii="Times New Roman" w:eastAsiaTheme="minorHAnsi" w:hAnsi="Times New Roman"/>
              <w:sz w:val="24"/>
              <w:szCs w:val="24"/>
            </w:rPr>
            <w:t>por su origen.</w:t>
          </w:r>
        </w:p>
        <w:p w14:paraId="32E3D0D3" w14:textId="77777777" w:rsidR="009B5B47" w:rsidRPr="00931DCE" w:rsidRDefault="009B5B47" w:rsidP="00A000CF">
          <w:pPr>
            <w:spacing w:after="0" w:line="240" w:lineRule="auto"/>
            <w:jc w:val="both"/>
            <w:rPr>
              <w:rFonts w:ascii="Times New Roman" w:eastAsiaTheme="minorHAnsi" w:hAnsi="Times New Roman"/>
              <w:sz w:val="24"/>
              <w:szCs w:val="24"/>
            </w:rPr>
          </w:pPr>
        </w:p>
        <w:tbl>
          <w:tblPr>
            <w:tblW w:w="4897" w:type="pct"/>
            <w:tblLayout w:type="fixed"/>
            <w:tblCellMar>
              <w:left w:w="70" w:type="dxa"/>
              <w:right w:w="70" w:type="dxa"/>
            </w:tblCellMar>
            <w:tblLook w:val="04A0" w:firstRow="1" w:lastRow="0" w:firstColumn="1" w:lastColumn="0" w:noHBand="0" w:noVBand="1"/>
          </w:tblPr>
          <w:tblGrid>
            <w:gridCol w:w="1130"/>
            <w:gridCol w:w="566"/>
            <w:gridCol w:w="1985"/>
            <w:gridCol w:w="1702"/>
            <w:gridCol w:w="1704"/>
            <w:gridCol w:w="1697"/>
          </w:tblGrid>
          <w:tr w:rsidR="00F11F6B" w:rsidRPr="00F11F6B" w14:paraId="6CEED050" w14:textId="77777777" w:rsidTr="00413D9F">
            <w:trPr>
              <w:trHeight w:val="329"/>
            </w:trPr>
            <w:tc>
              <w:tcPr>
                <w:tcW w:w="2095" w:type="pct"/>
                <w:gridSpan w:val="3"/>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4779FCD4" w14:textId="77777777" w:rsidR="00F11F6B" w:rsidRPr="009A46BB" w:rsidRDefault="00F11F6B" w:rsidP="00F11F6B">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DESCRIPCIÓN</w:t>
                </w:r>
              </w:p>
            </w:tc>
            <w:tc>
              <w:tcPr>
                <w:tcW w:w="1939" w:type="pct"/>
                <w:gridSpan w:val="2"/>
                <w:tcBorders>
                  <w:top w:val="single" w:sz="4" w:space="0" w:color="A6A6A6"/>
                  <w:left w:val="nil"/>
                  <w:bottom w:val="single" w:sz="4" w:space="0" w:color="A6A6A6"/>
                  <w:right w:val="single" w:sz="4" w:space="0" w:color="A6A6A6"/>
                </w:tcBorders>
                <w:shd w:val="clear" w:color="auto" w:fill="auto"/>
                <w:vAlign w:val="center"/>
                <w:hideMark/>
              </w:tcPr>
              <w:p w14:paraId="2DE53AF7" w14:textId="77777777" w:rsidR="00F11F6B" w:rsidRPr="009A46BB" w:rsidRDefault="00F11F6B" w:rsidP="00F11F6B">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SALDOS A CORTES DE VIGENCIA</w:t>
                </w:r>
              </w:p>
            </w:tc>
            <w:tc>
              <w:tcPr>
                <w:tcW w:w="966" w:type="pct"/>
                <w:tcBorders>
                  <w:top w:val="single" w:sz="4" w:space="0" w:color="A6A6A6"/>
                  <w:left w:val="nil"/>
                  <w:bottom w:val="single" w:sz="4" w:space="0" w:color="A6A6A6"/>
                  <w:right w:val="single" w:sz="4" w:space="0" w:color="A6A6A6"/>
                </w:tcBorders>
                <w:shd w:val="clear" w:color="auto" w:fill="auto"/>
                <w:vAlign w:val="center"/>
                <w:hideMark/>
              </w:tcPr>
              <w:p w14:paraId="4E13E96D" w14:textId="77777777" w:rsidR="00F11F6B" w:rsidRPr="009A46BB" w:rsidRDefault="00F11F6B" w:rsidP="00F11F6B">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VARIACIÓN</w:t>
                </w:r>
              </w:p>
            </w:tc>
          </w:tr>
          <w:tr w:rsidR="00436D5E" w:rsidRPr="00F11F6B" w14:paraId="4D1E46BB" w14:textId="77777777" w:rsidTr="00413D9F">
            <w:trPr>
              <w:trHeight w:val="505"/>
            </w:trPr>
            <w:tc>
              <w:tcPr>
                <w:tcW w:w="643" w:type="pct"/>
                <w:tcBorders>
                  <w:top w:val="nil"/>
                  <w:left w:val="single" w:sz="4" w:space="0" w:color="A6A6A6"/>
                  <w:bottom w:val="single" w:sz="4" w:space="0" w:color="A6A6A6"/>
                  <w:right w:val="single" w:sz="4" w:space="0" w:color="A6A6A6"/>
                </w:tcBorders>
                <w:shd w:val="clear" w:color="auto" w:fill="auto"/>
                <w:vAlign w:val="center"/>
                <w:hideMark/>
              </w:tcPr>
              <w:p w14:paraId="20BA8579" w14:textId="77777777" w:rsidR="00F11F6B" w:rsidRPr="009A46BB" w:rsidRDefault="00F11F6B" w:rsidP="00F11F6B">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CÓDIGO CONTABLE</w:t>
                </w:r>
              </w:p>
            </w:tc>
            <w:tc>
              <w:tcPr>
                <w:tcW w:w="322" w:type="pct"/>
                <w:tcBorders>
                  <w:top w:val="nil"/>
                  <w:left w:val="nil"/>
                  <w:bottom w:val="single" w:sz="4" w:space="0" w:color="A6A6A6"/>
                  <w:right w:val="single" w:sz="4" w:space="0" w:color="A6A6A6"/>
                </w:tcBorders>
                <w:shd w:val="clear" w:color="auto" w:fill="auto"/>
                <w:vAlign w:val="center"/>
                <w:hideMark/>
              </w:tcPr>
              <w:p w14:paraId="2E9F48E7" w14:textId="77777777" w:rsidR="00F11F6B" w:rsidRPr="009A46BB" w:rsidRDefault="00F11F6B" w:rsidP="00F11F6B">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NAT</w:t>
                </w:r>
              </w:p>
            </w:tc>
            <w:tc>
              <w:tcPr>
                <w:tcW w:w="1130" w:type="pct"/>
                <w:tcBorders>
                  <w:top w:val="nil"/>
                  <w:left w:val="nil"/>
                  <w:bottom w:val="single" w:sz="4" w:space="0" w:color="A6A6A6"/>
                  <w:right w:val="single" w:sz="4" w:space="0" w:color="A6A6A6"/>
                </w:tcBorders>
                <w:shd w:val="clear" w:color="auto" w:fill="auto"/>
                <w:vAlign w:val="center"/>
                <w:hideMark/>
              </w:tcPr>
              <w:p w14:paraId="2FBC8682" w14:textId="77777777" w:rsidR="00F11F6B" w:rsidRPr="009A46BB" w:rsidRDefault="00F11F6B" w:rsidP="00F11F6B">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CONCEPTO</w:t>
                </w:r>
              </w:p>
            </w:tc>
            <w:tc>
              <w:tcPr>
                <w:tcW w:w="969" w:type="pct"/>
                <w:tcBorders>
                  <w:top w:val="nil"/>
                  <w:left w:val="nil"/>
                  <w:bottom w:val="single" w:sz="4" w:space="0" w:color="A6A6A6"/>
                  <w:right w:val="single" w:sz="4" w:space="0" w:color="A6A6A6"/>
                </w:tcBorders>
                <w:shd w:val="clear" w:color="auto" w:fill="auto"/>
                <w:vAlign w:val="center"/>
                <w:hideMark/>
              </w:tcPr>
              <w:p w14:paraId="6E80F2BB" w14:textId="77777777" w:rsidR="00F11F6B" w:rsidRPr="009A46BB" w:rsidRDefault="00F11F6B" w:rsidP="00F11F6B">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2023 </w:t>
                </w:r>
              </w:p>
            </w:tc>
            <w:tc>
              <w:tcPr>
                <w:tcW w:w="970" w:type="pct"/>
                <w:tcBorders>
                  <w:top w:val="nil"/>
                  <w:left w:val="nil"/>
                  <w:bottom w:val="single" w:sz="4" w:space="0" w:color="A6A6A6"/>
                  <w:right w:val="single" w:sz="4" w:space="0" w:color="A6A6A6"/>
                </w:tcBorders>
                <w:shd w:val="clear" w:color="auto" w:fill="auto"/>
                <w:vAlign w:val="center"/>
                <w:hideMark/>
              </w:tcPr>
              <w:p w14:paraId="63ECD10A" w14:textId="77777777" w:rsidR="00F11F6B" w:rsidRPr="009A46BB" w:rsidRDefault="00F11F6B" w:rsidP="00F11F6B">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2022 </w:t>
                </w:r>
              </w:p>
            </w:tc>
            <w:tc>
              <w:tcPr>
                <w:tcW w:w="966" w:type="pct"/>
                <w:tcBorders>
                  <w:top w:val="nil"/>
                  <w:left w:val="nil"/>
                  <w:bottom w:val="single" w:sz="4" w:space="0" w:color="A6A6A6"/>
                  <w:right w:val="single" w:sz="4" w:space="0" w:color="A6A6A6"/>
                </w:tcBorders>
                <w:shd w:val="clear" w:color="auto" w:fill="auto"/>
                <w:vAlign w:val="center"/>
                <w:hideMark/>
              </w:tcPr>
              <w:p w14:paraId="0F1C560F" w14:textId="77777777" w:rsidR="00F11F6B" w:rsidRPr="009A46BB" w:rsidRDefault="00F11F6B" w:rsidP="00F11F6B">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VALOR VARIACIÓN</w:t>
                </w:r>
              </w:p>
            </w:tc>
          </w:tr>
          <w:tr w:rsidR="004F7458" w:rsidRPr="00F11F6B" w14:paraId="3CD4E479" w14:textId="77777777" w:rsidTr="00413D9F">
            <w:trPr>
              <w:trHeight w:val="329"/>
            </w:trPr>
            <w:tc>
              <w:tcPr>
                <w:tcW w:w="643" w:type="pct"/>
                <w:tcBorders>
                  <w:top w:val="nil"/>
                  <w:left w:val="single" w:sz="4" w:space="0" w:color="A6A6A6"/>
                  <w:bottom w:val="single" w:sz="4" w:space="0" w:color="A6A6A6"/>
                  <w:right w:val="single" w:sz="4" w:space="0" w:color="A6A6A6"/>
                </w:tcBorders>
                <w:shd w:val="clear" w:color="auto" w:fill="auto"/>
                <w:noWrap/>
                <w:vAlign w:val="center"/>
                <w:hideMark/>
              </w:tcPr>
              <w:p w14:paraId="1D8C4023" w14:textId="77777777" w:rsidR="00F11F6B" w:rsidRPr="009A46BB" w:rsidRDefault="00F11F6B" w:rsidP="00F11F6B">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2.3</w:t>
                </w:r>
              </w:p>
            </w:tc>
            <w:tc>
              <w:tcPr>
                <w:tcW w:w="322" w:type="pct"/>
                <w:tcBorders>
                  <w:top w:val="nil"/>
                  <w:left w:val="nil"/>
                  <w:bottom w:val="single" w:sz="4" w:space="0" w:color="A6A6A6"/>
                  <w:right w:val="nil"/>
                </w:tcBorders>
                <w:shd w:val="clear" w:color="auto" w:fill="auto"/>
                <w:noWrap/>
                <w:vAlign w:val="center"/>
                <w:hideMark/>
              </w:tcPr>
              <w:p w14:paraId="28854E24" w14:textId="77777777" w:rsidR="00F11F6B" w:rsidRPr="009A46BB" w:rsidRDefault="00F11F6B" w:rsidP="00F11F6B">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Cr</w:t>
                </w:r>
              </w:p>
            </w:tc>
            <w:tc>
              <w:tcPr>
                <w:tcW w:w="1130" w:type="pct"/>
                <w:tcBorders>
                  <w:top w:val="nil"/>
                  <w:left w:val="single" w:sz="4" w:space="0" w:color="A6A6A6"/>
                  <w:bottom w:val="single" w:sz="4" w:space="0" w:color="A6A6A6"/>
                  <w:right w:val="nil"/>
                </w:tcBorders>
                <w:shd w:val="clear" w:color="auto" w:fill="auto"/>
                <w:vAlign w:val="center"/>
                <w:hideMark/>
              </w:tcPr>
              <w:p w14:paraId="1D13833D" w14:textId="77777777" w:rsidR="00F11F6B" w:rsidRPr="009A46BB" w:rsidRDefault="00F11F6B" w:rsidP="00413D9F">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PRÉSTAMOS POR PAGAR</w:t>
                </w:r>
              </w:p>
            </w:tc>
            <w:tc>
              <w:tcPr>
                <w:tcW w:w="969" w:type="pct"/>
                <w:tcBorders>
                  <w:top w:val="nil"/>
                  <w:left w:val="single" w:sz="4" w:space="0" w:color="A6A6A6"/>
                  <w:bottom w:val="single" w:sz="4" w:space="0" w:color="A6A6A6"/>
                  <w:right w:val="single" w:sz="4" w:space="0" w:color="A6A6A6"/>
                </w:tcBorders>
                <w:shd w:val="clear" w:color="auto" w:fill="auto"/>
                <w:noWrap/>
                <w:vAlign w:val="center"/>
                <w:hideMark/>
              </w:tcPr>
              <w:p w14:paraId="109E6B91" w14:textId="6F898F4E" w:rsidR="00F11F6B" w:rsidRPr="009A46BB" w:rsidRDefault="00F11F6B" w:rsidP="00F11F6B">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21.512.482.906.73</w:t>
                </w:r>
                <w:r w:rsidR="00C91F92">
                  <w:rPr>
                    <w:rFonts w:ascii="Times New Roman" w:eastAsia="Times New Roman" w:hAnsi="Times New Roman"/>
                    <w:b/>
                    <w:sz w:val="16"/>
                    <w:szCs w:val="16"/>
                    <w:lang w:eastAsia="es-CO"/>
                  </w:rPr>
                  <w:t>9</w:t>
                </w:r>
              </w:p>
            </w:tc>
            <w:tc>
              <w:tcPr>
                <w:tcW w:w="970" w:type="pct"/>
                <w:tcBorders>
                  <w:top w:val="nil"/>
                  <w:left w:val="nil"/>
                  <w:bottom w:val="single" w:sz="4" w:space="0" w:color="A6A6A6"/>
                  <w:right w:val="single" w:sz="4" w:space="0" w:color="A6A6A6"/>
                </w:tcBorders>
                <w:shd w:val="clear" w:color="auto" w:fill="auto"/>
                <w:noWrap/>
                <w:vAlign w:val="center"/>
                <w:hideMark/>
              </w:tcPr>
              <w:p w14:paraId="28915A31" w14:textId="50EF1DB1" w:rsidR="00F11F6B" w:rsidRPr="009A46BB" w:rsidRDefault="004A3754" w:rsidP="00F11F6B">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21.731.117.643.440</w:t>
                </w:r>
              </w:p>
            </w:tc>
            <w:tc>
              <w:tcPr>
                <w:tcW w:w="966" w:type="pct"/>
                <w:tcBorders>
                  <w:top w:val="nil"/>
                  <w:left w:val="nil"/>
                  <w:bottom w:val="single" w:sz="4" w:space="0" w:color="A6A6A6"/>
                  <w:right w:val="single" w:sz="4" w:space="0" w:color="A6A6A6"/>
                </w:tcBorders>
                <w:shd w:val="clear" w:color="auto" w:fill="auto"/>
                <w:noWrap/>
                <w:vAlign w:val="center"/>
                <w:hideMark/>
              </w:tcPr>
              <w:p w14:paraId="6B3DCC56" w14:textId="77777777" w:rsidR="00F11F6B" w:rsidRPr="009A46BB" w:rsidRDefault="00F11F6B" w:rsidP="00F11F6B">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-142.092.023.708</w:t>
                </w:r>
              </w:p>
            </w:tc>
          </w:tr>
          <w:tr w:rsidR="004F7458" w:rsidRPr="00F11F6B" w14:paraId="7A46E397" w14:textId="77777777" w:rsidTr="00413D9F">
            <w:trPr>
              <w:trHeight w:val="363"/>
            </w:trPr>
            <w:tc>
              <w:tcPr>
                <w:tcW w:w="643" w:type="pct"/>
                <w:tcBorders>
                  <w:top w:val="nil"/>
                  <w:left w:val="single" w:sz="4" w:space="0" w:color="A6A6A6"/>
                  <w:bottom w:val="single" w:sz="4" w:space="0" w:color="A6A6A6"/>
                  <w:right w:val="single" w:sz="4" w:space="0" w:color="A6A6A6"/>
                </w:tcBorders>
                <w:shd w:val="clear" w:color="auto" w:fill="auto"/>
                <w:noWrap/>
                <w:vAlign w:val="center"/>
                <w:hideMark/>
              </w:tcPr>
              <w:p w14:paraId="4E4DB8B8" w14:textId="77777777" w:rsidR="00F11F6B" w:rsidRPr="009A46BB" w:rsidRDefault="00F11F6B" w:rsidP="00F11F6B">
                <w:pPr>
                  <w:spacing w:after="0" w:line="240" w:lineRule="auto"/>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2.3.14</w:t>
                </w:r>
              </w:p>
            </w:tc>
            <w:tc>
              <w:tcPr>
                <w:tcW w:w="322" w:type="pct"/>
                <w:tcBorders>
                  <w:top w:val="nil"/>
                  <w:left w:val="nil"/>
                  <w:bottom w:val="single" w:sz="4" w:space="0" w:color="A6A6A6"/>
                  <w:right w:val="nil"/>
                </w:tcBorders>
                <w:shd w:val="clear" w:color="auto" w:fill="auto"/>
                <w:noWrap/>
                <w:vAlign w:val="center"/>
                <w:hideMark/>
              </w:tcPr>
              <w:p w14:paraId="16B43E9E" w14:textId="77777777" w:rsidR="00F11F6B" w:rsidRPr="009A46BB" w:rsidRDefault="00F11F6B" w:rsidP="00F11F6B">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Cr</w:t>
                </w:r>
              </w:p>
            </w:tc>
            <w:tc>
              <w:tcPr>
                <w:tcW w:w="1130" w:type="pct"/>
                <w:tcBorders>
                  <w:top w:val="nil"/>
                  <w:left w:val="single" w:sz="4" w:space="0" w:color="A6A6A6"/>
                  <w:bottom w:val="single" w:sz="4" w:space="0" w:color="A6A6A6"/>
                  <w:right w:val="nil"/>
                </w:tcBorders>
                <w:shd w:val="clear" w:color="auto" w:fill="auto"/>
                <w:vAlign w:val="center"/>
                <w:hideMark/>
              </w:tcPr>
              <w:p w14:paraId="1BD2E9B9" w14:textId="77777777" w:rsidR="00F11F6B" w:rsidRPr="009A46BB" w:rsidRDefault="00F11F6B" w:rsidP="00F11F6B">
                <w:pPr>
                  <w:spacing w:after="0" w:line="240" w:lineRule="auto"/>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Financiamiento interno de largo plazo</w:t>
                </w:r>
              </w:p>
            </w:tc>
            <w:tc>
              <w:tcPr>
                <w:tcW w:w="969" w:type="pct"/>
                <w:tcBorders>
                  <w:top w:val="nil"/>
                  <w:left w:val="single" w:sz="4" w:space="0" w:color="A6A6A6"/>
                  <w:bottom w:val="single" w:sz="4" w:space="0" w:color="A6A6A6"/>
                  <w:right w:val="single" w:sz="4" w:space="0" w:color="A6A6A6"/>
                </w:tcBorders>
                <w:shd w:val="clear" w:color="auto" w:fill="auto"/>
                <w:noWrap/>
                <w:vAlign w:val="center"/>
                <w:hideMark/>
              </w:tcPr>
              <w:p w14:paraId="055D2C23" w14:textId="77777777" w:rsidR="00F11F6B" w:rsidRPr="009A46BB" w:rsidRDefault="00F11F6B" w:rsidP="00F11F6B">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336.309.575.850</w:t>
                </w:r>
              </w:p>
            </w:tc>
            <w:tc>
              <w:tcPr>
                <w:tcW w:w="970" w:type="pct"/>
                <w:tcBorders>
                  <w:top w:val="nil"/>
                  <w:left w:val="nil"/>
                  <w:bottom w:val="single" w:sz="4" w:space="0" w:color="A6A6A6"/>
                  <w:right w:val="single" w:sz="4" w:space="0" w:color="A6A6A6"/>
                </w:tcBorders>
                <w:shd w:val="clear" w:color="auto" w:fill="auto"/>
                <w:noWrap/>
                <w:vAlign w:val="center"/>
                <w:hideMark/>
              </w:tcPr>
              <w:p w14:paraId="6272EA98" w14:textId="77777777" w:rsidR="00F11F6B" w:rsidRPr="009A46BB" w:rsidRDefault="00F11F6B" w:rsidP="00F11F6B">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478.401.599.558</w:t>
                </w:r>
              </w:p>
            </w:tc>
            <w:tc>
              <w:tcPr>
                <w:tcW w:w="966" w:type="pct"/>
                <w:tcBorders>
                  <w:top w:val="nil"/>
                  <w:left w:val="nil"/>
                  <w:bottom w:val="single" w:sz="4" w:space="0" w:color="A6A6A6"/>
                  <w:right w:val="single" w:sz="4" w:space="0" w:color="A6A6A6"/>
                </w:tcBorders>
                <w:shd w:val="clear" w:color="auto" w:fill="auto"/>
                <w:noWrap/>
                <w:vAlign w:val="center"/>
                <w:hideMark/>
              </w:tcPr>
              <w:p w14:paraId="6D9EA5AE" w14:textId="77777777" w:rsidR="00F11F6B" w:rsidRPr="009A46BB" w:rsidRDefault="00F11F6B" w:rsidP="00F11F6B">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-142.092.023.708</w:t>
                </w:r>
              </w:p>
            </w:tc>
          </w:tr>
          <w:tr w:rsidR="004F7458" w:rsidRPr="00F11F6B" w14:paraId="51C966D8" w14:textId="77777777" w:rsidTr="00413D9F">
            <w:trPr>
              <w:trHeight w:val="660"/>
            </w:trPr>
            <w:tc>
              <w:tcPr>
                <w:tcW w:w="643" w:type="pct"/>
                <w:tcBorders>
                  <w:top w:val="nil"/>
                  <w:left w:val="single" w:sz="4" w:space="0" w:color="A6A6A6"/>
                  <w:bottom w:val="single" w:sz="4" w:space="0" w:color="A6A6A6"/>
                  <w:right w:val="single" w:sz="4" w:space="0" w:color="A6A6A6"/>
                </w:tcBorders>
                <w:shd w:val="clear" w:color="auto" w:fill="auto"/>
                <w:noWrap/>
                <w:vAlign w:val="center"/>
                <w:hideMark/>
              </w:tcPr>
              <w:p w14:paraId="0C9620E7" w14:textId="77777777" w:rsidR="00F11F6B" w:rsidRPr="009A46BB" w:rsidRDefault="00F11F6B" w:rsidP="00F11F6B">
                <w:pPr>
                  <w:spacing w:after="0" w:line="240" w:lineRule="auto"/>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2.3.14</w:t>
                </w:r>
              </w:p>
            </w:tc>
            <w:tc>
              <w:tcPr>
                <w:tcW w:w="322" w:type="pct"/>
                <w:tcBorders>
                  <w:top w:val="nil"/>
                  <w:left w:val="nil"/>
                  <w:bottom w:val="single" w:sz="4" w:space="0" w:color="A6A6A6"/>
                  <w:right w:val="nil"/>
                </w:tcBorders>
                <w:shd w:val="clear" w:color="auto" w:fill="auto"/>
                <w:noWrap/>
                <w:vAlign w:val="center"/>
                <w:hideMark/>
              </w:tcPr>
              <w:p w14:paraId="7678F9EF" w14:textId="77777777" w:rsidR="00F11F6B" w:rsidRPr="009A46BB" w:rsidRDefault="00F11F6B" w:rsidP="00F11F6B">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Cr</w:t>
                </w:r>
              </w:p>
            </w:tc>
            <w:tc>
              <w:tcPr>
                <w:tcW w:w="1130" w:type="pct"/>
                <w:tcBorders>
                  <w:top w:val="nil"/>
                  <w:left w:val="single" w:sz="4" w:space="0" w:color="A6A6A6"/>
                  <w:bottom w:val="single" w:sz="4" w:space="0" w:color="A6A6A6"/>
                  <w:right w:val="nil"/>
                </w:tcBorders>
                <w:shd w:val="clear" w:color="auto" w:fill="auto"/>
                <w:vAlign w:val="center"/>
                <w:hideMark/>
              </w:tcPr>
              <w:p w14:paraId="1A19329F" w14:textId="77777777" w:rsidR="00F11F6B" w:rsidRPr="009A46BB" w:rsidRDefault="00F11F6B" w:rsidP="00F11F6B">
                <w:pPr>
                  <w:spacing w:after="0" w:line="240" w:lineRule="auto"/>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 xml:space="preserve">Pasivo financiero por acuerdos de concesión (concedente) </w:t>
                </w:r>
              </w:p>
            </w:tc>
            <w:tc>
              <w:tcPr>
                <w:tcW w:w="969" w:type="pct"/>
                <w:tcBorders>
                  <w:top w:val="nil"/>
                  <w:left w:val="single" w:sz="4" w:space="0" w:color="A6A6A6"/>
                  <w:bottom w:val="single" w:sz="4" w:space="0" w:color="A6A6A6"/>
                  <w:right w:val="single" w:sz="4" w:space="0" w:color="A6A6A6"/>
                </w:tcBorders>
                <w:shd w:val="clear" w:color="auto" w:fill="auto"/>
                <w:noWrap/>
                <w:vAlign w:val="center"/>
                <w:hideMark/>
              </w:tcPr>
              <w:p w14:paraId="53B7CDB6" w14:textId="6E5DC76E" w:rsidR="00F11F6B" w:rsidRPr="009A46BB" w:rsidRDefault="00F11F6B" w:rsidP="00F11F6B">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21.176.173.330.88</w:t>
                </w:r>
                <w:r w:rsidR="00C91F92">
                  <w:rPr>
                    <w:rFonts w:ascii="Times New Roman" w:eastAsia="Times New Roman" w:hAnsi="Times New Roman"/>
                    <w:sz w:val="16"/>
                    <w:szCs w:val="16"/>
                    <w:lang w:eastAsia="es-CO"/>
                  </w:rPr>
                  <w:t>9</w:t>
                </w:r>
              </w:p>
            </w:tc>
            <w:tc>
              <w:tcPr>
                <w:tcW w:w="970" w:type="pct"/>
                <w:tcBorders>
                  <w:top w:val="nil"/>
                  <w:left w:val="nil"/>
                  <w:bottom w:val="single" w:sz="4" w:space="0" w:color="A6A6A6"/>
                  <w:right w:val="single" w:sz="4" w:space="0" w:color="A6A6A6"/>
                </w:tcBorders>
                <w:shd w:val="clear" w:color="auto" w:fill="auto"/>
                <w:noWrap/>
                <w:vAlign w:val="center"/>
                <w:hideMark/>
              </w:tcPr>
              <w:p w14:paraId="4D5B91B0" w14:textId="77777777" w:rsidR="00F11F6B" w:rsidRPr="009A46BB" w:rsidRDefault="00F11F6B" w:rsidP="00F11F6B">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21.252.716.043.882</w:t>
                </w:r>
              </w:p>
            </w:tc>
            <w:tc>
              <w:tcPr>
                <w:tcW w:w="966" w:type="pct"/>
                <w:tcBorders>
                  <w:top w:val="nil"/>
                  <w:left w:val="nil"/>
                  <w:bottom w:val="single" w:sz="4" w:space="0" w:color="A6A6A6"/>
                  <w:right w:val="single" w:sz="4" w:space="0" w:color="A6A6A6"/>
                </w:tcBorders>
                <w:shd w:val="clear" w:color="auto" w:fill="auto"/>
                <w:noWrap/>
                <w:vAlign w:val="center"/>
                <w:hideMark/>
              </w:tcPr>
              <w:p w14:paraId="4CF0ED38" w14:textId="7E1C2675" w:rsidR="00F11F6B" w:rsidRPr="009A46BB" w:rsidRDefault="00F11F6B" w:rsidP="00F11F6B">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-76.542.712.99</w:t>
                </w:r>
                <w:r w:rsidR="00C91F92">
                  <w:rPr>
                    <w:rFonts w:ascii="Times New Roman" w:eastAsia="Times New Roman" w:hAnsi="Times New Roman"/>
                    <w:sz w:val="16"/>
                    <w:szCs w:val="16"/>
                    <w:lang w:eastAsia="es-CO"/>
                  </w:rPr>
                  <w:t>3</w:t>
                </w:r>
              </w:p>
            </w:tc>
          </w:tr>
        </w:tbl>
        <w:p w14:paraId="49629075" w14:textId="31005F71" w:rsidR="00A000CF" w:rsidRPr="00931DCE" w:rsidRDefault="00FD4EE4" w:rsidP="00A000CF">
          <w:pPr>
            <w:spacing w:after="0" w:line="240" w:lineRule="auto"/>
            <w:jc w:val="both"/>
            <w:rPr>
              <w:rFonts w:ascii="Times New Roman" w:eastAsiaTheme="minorHAnsi" w:hAnsi="Times New Roman"/>
              <w:sz w:val="24"/>
              <w:szCs w:val="24"/>
            </w:rPr>
          </w:pPr>
          <w:r w:rsidRPr="00931DCE">
            <w:rPr>
              <w:rFonts w:ascii="Times New Roman" w:eastAsia="Times New Roman" w:hAnsi="Times New Roman"/>
              <w:sz w:val="16"/>
              <w:szCs w:val="16"/>
              <w:lang w:eastAsia="es-CO"/>
            </w:rPr>
            <w:t>Cifras expresadas en pesos</w:t>
          </w:r>
        </w:p>
        <w:p w14:paraId="2B961AB3" w14:textId="388B12BB" w:rsidR="0036571D" w:rsidRPr="00931DCE" w:rsidRDefault="0036571D" w:rsidP="00A000CF">
          <w:pPr>
            <w:spacing w:after="0" w:line="240" w:lineRule="auto"/>
            <w:jc w:val="both"/>
            <w:rPr>
              <w:rFonts w:ascii="Times New Roman" w:hAnsi="Times New Roman"/>
              <w:sz w:val="24"/>
              <w:szCs w:val="24"/>
            </w:rPr>
          </w:pPr>
        </w:p>
        <w:p w14:paraId="4F89A8EE" w14:textId="77777777" w:rsidR="00023F81" w:rsidRPr="00931DCE" w:rsidRDefault="00023F81" w:rsidP="00023F81">
          <w:pPr>
            <w:spacing w:after="0" w:line="240" w:lineRule="auto"/>
            <w:jc w:val="both"/>
            <w:rPr>
              <w:rFonts w:ascii="Times New Roman" w:eastAsiaTheme="minorHAnsi" w:hAnsi="Times New Roman"/>
              <w:sz w:val="24"/>
              <w:szCs w:val="24"/>
            </w:rPr>
          </w:pPr>
          <w:r w:rsidRPr="00931DCE">
            <w:rPr>
              <w:rFonts w:ascii="Times New Roman" w:eastAsiaTheme="minorHAnsi" w:hAnsi="Times New Roman"/>
              <w:sz w:val="24"/>
              <w:szCs w:val="24"/>
            </w:rPr>
            <w:t>El Financiamiento Interno de Largo Plazo para la vigencia 202</w:t>
          </w:r>
          <w:r>
            <w:rPr>
              <w:rFonts w:ascii="Times New Roman" w:eastAsiaTheme="minorHAnsi" w:hAnsi="Times New Roman"/>
              <w:sz w:val="24"/>
              <w:szCs w:val="24"/>
            </w:rPr>
            <w:t>3</w:t>
          </w:r>
          <w:r w:rsidRPr="00931DCE">
            <w:rPr>
              <w:rFonts w:ascii="Times New Roman" w:eastAsiaTheme="minorHAnsi" w:hAnsi="Times New Roman"/>
              <w:sz w:val="24"/>
              <w:szCs w:val="24"/>
            </w:rPr>
            <w:t>, presenta una partida corriente por $</w:t>
          </w:r>
          <w:r>
            <w:rPr>
              <w:rFonts w:ascii="Times New Roman" w:eastAsiaTheme="minorHAnsi" w:hAnsi="Times New Roman"/>
              <w:sz w:val="24"/>
              <w:szCs w:val="24"/>
            </w:rPr>
            <w:t xml:space="preserve"> 112.491.124.044</w:t>
          </w:r>
          <w:r w:rsidRPr="00931DCE">
            <w:rPr>
              <w:rFonts w:ascii="Times New Roman" w:eastAsiaTheme="minorHAnsi" w:hAnsi="Times New Roman"/>
              <w:sz w:val="24"/>
              <w:szCs w:val="24"/>
            </w:rPr>
            <w:t xml:space="preserve"> y por no corriente por $</w:t>
          </w:r>
          <w:r>
            <w:rPr>
              <w:rFonts w:ascii="Times New Roman" w:eastAsiaTheme="minorHAnsi" w:hAnsi="Times New Roman"/>
              <w:sz w:val="24"/>
              <w:szCs w:val="24"/>
            </w:rPr>
            <w:t>223.818</w:t>
          </w:r>
          <w:r w:rsidRPr="00931DCE">
            <w:rPr>
              <w:rFonts w:ascii="Times New Roman" w:eastAsiaTheme="minorHAnsi" w:hAnsi="Times New Roman"/>
              <w:sz w:val="24"/>
              <w:szCs w:val="24"/>
            </w:rPr>
            <w:t>.</w:t>
          </w:r>
          <w:r>
            <w:rPr>
              <w:rFonts w:ascii="Times New Roman" w:eastAsiaTheme="minorHAnsi" w:hAnsi="Times New Roman"/>
              <w:sz w:val="24"/>
              <w:szCs w:val="24"/>
            </w:rPr>
            <w:t>451</w:t>
          </w:r>
          <w:r w:rsidRPr="00931DCE">
            <w:rPr>
              <w:rFonts w:ascii="Times New Roman" w:eastAsiaTheme="minorHAnsi" w:hAnsi="Times New Roman"/>
              <w:sz w:val="24"/>
              <w:szCs w:val="24"/>
            </w:rPr>
            <w:t>.</w:t>
          </w:r>
          <w:r>
            <w:rPr>
              <w:rFonts w:ascii="Times New Roman" w:eastAsiaTheme="minorHAnsi" w:hAnsi="Times New Roman"/>
              <w:sz w:val="24"/>
              <w:szCs w:val="24"/>
            </w:rPr>
            <w:t>805</w:t>
          </w:r>
          <w:r w:rsidRPr="00931DCE">
            <w:rPr>
              <w:rFonts w:ascii="Times New Roman" w:eastAsiaTheme="minorHAnsi" w:hAnsi="Times New Roman"/>
              <w:sz w:val="24"/>
              <w:szCs w:val="24"/>
            </w:rPr>
            <w:t>.</w:t>
          </w:r>
        </w:p>
        <w:p w14:paraId="6F2285DB" w14:textId="77777777" w:rsidR="00023F81" w:rsidRDefault="00023F81" w:rsidP="00023F81">
          <w:pPr>
            <w:spacing w:after="0" w:line="240" w:lineRule="auto"/>
            <w:jc w:val="both"/>
            <w:rPr>
              <w:rFonts w:ascii="Times New Roman" w:eastAsiaTheme="minorHAnsi" w:hAnsi="Times New Roman"/>
              <w:sz w:val="24"/>
              <w:szCs w:val="24"/>
            </w:rPr>
          </w:pPr>
        </w:p>
        <w:p w14:paraId="1A7602C5" w14:textId="77777777" w:rsidR="00023F81" w:rsidRPr="00931DCE" w:rsidRDefault="00023F81" w:rsidP="00023F81">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La variación por valor de $-142.092.023.708 corresponde al pago anual total de las alícuotas pactadas en cada uno de los acuerdos de pago y que se efectúa con valor líquido cero de </w:t>
          </w:r>
          <w:r>
            <w:rPr>
              <w:rFonts w:ascii="Times New Roman" w:eastAsiaTheme="minorHAnsi" w:hAnsi="Times New Roman"/>
              <w:sz w:val="24"/>
              <w:szCs w:val="24"/>
            </w:rPr>
            <w:lastRenderedPageBreak/>
            <w:t>acuerdo con los lineamientos establecidos por el Ministerio de Hacienda y en concordancia con la cuenta de cobro remitida por ese mismo ministerio.</w:t>
          </w:r>
        </w:p>
        <w:p w14:paraId="7751B0F6" w14:textId="77777777" w:rsidR="00023F81" w:rsidRPr="00931DCE" w:rsidRDefault="00023F81" w:rsidP="00A000CF">
          <w:pPr>
            <w:spacing w:after="0" w:line="240" w:lineRule="auto"/>
            <w:jc w:val="both"/>
            <w:rPr>
              <w:rFonts w:ascii="Times New Roman" w:hAnsi="Times New Roman"/>
              <w:sz w:val="24"/>
              <w:szCs w:val="24"/>
            </w:rPr>
          </w:pPr>
        </w:p>
        <w:p w14:paraId="2C4B8A2A" w14:textId="77777777" w:rsidR="0036571D" w:rsidRPr="00931DCE" w:rsidRDefault="0036571D" w:rsidP="0036571D">
          <w:pPr>
            <w:spacing w:after="0" w:line="240" w:lineRule="auto"/>
            <w:jc w:val="both"/>
            <w:rPr>
              <w:rFonts w:ascii="Times New Roman" w:hAnsi="Times New Roman"/>
              <w:sz w:val="24"/>
              <w:szCs w:val="24"/>
            </w:rPr>
          </w:pPr>
          <w:r w:rsidRPr="00931DCE">
            <w:rPr>
              <w:rFonts w:ascii="Times New Roman" w:hAnsi="Times New Roman"/>
              <w:sz w:val="24"/>
              <w:szCs w:val="24"/>
            </w:rPr>
            <w:t xml:space="preserve">Estas operaciones que se celebran entre Ministerio de Hacienda y Crédito Público y la Agencia Nacional de Infraestructura se encuentran regladas específicamente en el artículo 2.8.6.3.1. del Decreto 1068 de 2015, parágrafo 2 que establece: </w:t>
          </w:r>
          <w:r w:rsidRPr="00931DCE">
            <w:rPr>
              <w:rFonts w:ascii="Times New Roman" w:hAnsi="Times New Roman"/>
              <w:i/>
              <w:iCs/>
              <w:sz w:val="24"/>
              <w:szCs w:val="24"/>
            </w:rPr>
            <w:t>“Cuando en desarrollo de lo previsto en esta artículo, el Ministerio de Hacienda y Crédito Público opte por reconocer como deuda pública de la Nación  las sentencias y conciliaciones judiciales  de los establecimientos públicos del orden nacional, estos celebrará acuerdos de pago en los cuales se establecerán los términos y condiciones para reintegrar a la Nación las sumas reconocidas a través de los bonos  previstos en esta capitulo”</w:t>
          </w:r>
          <w:r w:rsidRPr="00931DCE">
            <w:rPr>
              <w:rFonts w:ascii="Times New Roman" w:hAnsi="Times New Roman"/>
              <w:sz w:val="24"/>
              <w:szCs w:val="24"/>
            </w:rPr>
            <w:t>, y en la circular externa 07 de 1997, emitida por el Ministerio de Hacienda y Crédito Público.</w:t>
          </w:r>
        </w:p>
        <w:p w14:paraId="301E63EE" w14:textId="77777777" w:rsidR="00A000CF" w:rsidRPr="00931DCE" w:rsidRDefault="00A000CF" w:rsidP="00A000CF">
          <w:pPr>
            <w:spacing w:after="0" w:line="240" w:lineRule="auto"/>
            <w:jc w:val="both"/>
            <w:rPr>
              <w:rFonts w:ascii="Times New Roman" w:hAnsi="Times New Roman"/>
              <w:sz w:val="24"/>
              <w:szCs w:val="24"/>
            </w:rPr>
          </w:pPr>
        </w:p>
        <w:p w14:paraId="6EC514D1" w14:textId="77777777" w:rsidR="00A000CF" w:rsidRPr="00931DCE" w:rsidRDefault="00A000CF" w:rsidP="00A000CF">
          <w:pPr>
            <w:spacing w:after="0" w:line="240" w:lineRule="auto"/>
            <w:jc w:val="both"/>
            <w:rPr>
              <w:rFonts w:ascii="Times New Roman" w:hAnsi="Times New Roman"/>
              <w:sz w:val="24"/>
              <w:szCs w:val="24"/>
            </w:rPr>
          </w:pPr>
          <w:r w:rsidRPr="00931DCE">
            <w:rPr>
              <w:rFonts w:ascii="Times New Roman" w:hAnsi="Times New Roman"/>
              <w:sz w:val="24"/>
              <w:szCs w:val="24"/>
            </w:rPr>
            <w:t>Los préstamos del Gobierno General se miden por el valor recibido del Ministerio de Hacienda y Crédito Público – Deuda Pública Nación, en TES, los cuales son transferidos directamente a los concesionarios y, posteriormente, perfeccionados a través de acuerdos de pago entre el Ministerio y la Agencia.</w:t>
          </w:r>
        </w:p>
        <w:p w14:paraId="19BC91B6" w14:textId="77777777" w:rsidR="00A000CF" w:rsidRPr="00931DCE" w:rsidRDefault="00A000CF" w:rsidP="00A000CF">
          <w:pPr>
            <w:spacing w:after="0" w:line="240" w:lineRule="auto"/>
            <w:jc w:val="both"/>
            <w:rPr>
              <w:rFonts w:ascii="Times New Roman" w:hAnsi="Times New Roman"/>
              <w:sz w:val="24"/>
              <w:szCs w:val="24"/>
            </w:rPr>
          </w:pPr>
        </w:p>
        <w:p w14:paraId="722EA94A" w14:textId="00758848" w:rsidR="00A000CF" w:rsidRPr="00931DCE" w:rsidRDefault="00A000CF" w:rsidP="00A000CF">
          <w:pPr>
            <w:spacing w:after="0" w:line="240" w:lineRule="auto"/>
            <w:jc w:val="both"/>
            <w:rPr>
              <w:rFonts w:ascii="Times New Roman" w:hAnsi="Times New Roman"/>
              <w:sz w:val="24"/>
              <w:szCs w:val="24"/>
            </w:rPr>
          </w:pPr>
          <w:r w:rsidRPr="00931DCE">
            <w:rPr>
              <w:rFonts w:ascii="Times New Roman" w:hAnsi="Times New Roman"/>
              <w:sz w:val="24"/>
              <w:szCs w:val="24"/>
            </w:rPr>
            <w:t xml:space="preserve">Estos préstamos disminuyen con los pagos de las alícuotas establecidas en los acuerdos de pago, con periodicidad anual, proceso que se realiza a través del aplicativo SIIF </w:t>
          </w:r>
          <w:r w:rsidR="007160A3" w:rsidRPr="00931DCE">
            <w:rPr>
              <w:rFonts w:ascii="Times New Roman" w:hAnsi="Times New Roman"/>
              <w:sz w:val="24"/>
              <w:szCs w:val="24"/>
            </w:rPr>
            <w:t xml:space="preserve">- </w:t>
          </w:r>
          <w:r w:rsidRPr="00931DCE">
            <w:rPr>
              <w:rFonts w:ascii="Times New Roman" w:hAnsi="Times New Roman"/>
              <w:sz w:val="24"/>
              <w:szCs w:val="24"/>
            </w:rPr>
            <w:t xml:space="preserve">Nación, mediante la funcionalidad de pago liquido cero. </w:t>
          </w:r>
        </w:p>
        <w:p w14:paraId="0321623D" w14:textId="77777777" w:rsidR="00A000CF" w:rsidRPr="00931DCE" w:rsidRDefault="00A000CF" w:rsidP="00A000CF">
          <w:pPr>
            <w:spacing w:after="0" w:line="240" w:lineRule="auto"/>
            <w:jc w:val="both"/>
            <w:rPr>
              <w:rFonts w:ascii="Times New Roman" w:hAnsi="Times New Roman"/>
              <w:sz w:val="24"/>
              <w:szCs w:val="24"/>
            </w:rPr>
          </w:pPr>
        </w:p>
        <w:p w14:paraId="01527DD3" w14:textId="08C2C968" w:rsidR="00A000CF" w:rsidRPr="00931DCE" w:rsidRDefault="00A000CF" w:rsidP="00A000CF">
          <w:pPr>
            <w:spacing w:after="0" w:line="240" w:lineRule="auto"/>
            <w:jc w:val="both"/>
            <w:rPr>
              <w:rFonts w:ascii="Times New Roman" w:hAnsi="Times New Roman"/>
              <w:sz w:val="24"/>
              <w:szCs w:val="24"/>
            </w:rPr>
          </w:pPr>
          <w:r w:rsidRPr="00931DCE">
            <w:rPr>
              <w:rFonts w:ascii="Times New Roman" w:hAnsi="Times New Roman"/>
              <w:sz w:val="24"/>
              <w:szCs w:val="24"/>
            </w:rPr>
            <w:t>De conformidad con lo previsto en la normatividad indicada, en los Acuerdos de Pago suscritos entre Ministerio de Hacienda y Crédito Público y la Agencia Nacional de Infraestructura no existe cobro de intereses, toda vez que en la cláusula se establece la forma de pago donde se pacta un numero de cuotas por un valor exacto, que al multiplicarse corresponde con el valor reconocido como deuda; en tal sentido,  dado que los valores de la sumatoria de la alícuotas y el total de la deuda coinciden,  no hay lugar a cobro de intereses, costos de transacción, costos de negociación, tasa de interés, gastos por intereses.</w:t>
          </w:r>
        </w:p>
        <w:p w14:paraId="54B1C52B" w14:textId="77777777" w:rsidR="00A000CF" w:rsidRPr="00931DCE" w:rsidRDefault="00A000CF" w:rsidP="00A000CF">
          <w:pPr>
            <w:spacing w:after="0" w:line="240" w:lineRule="auto"/>
            <w:jc w:val="both"/>
            <w:rPr>
              <w:rFonts w:ascii="Times New Roman" w:hAnsi="Times New Roman"/>
              <w:sz w:val="24"/>
              <w:szCs w:val="24"/>
            </w:rPr>
          </w:pPr>
        </w:p>
        <w:p w14:paraId="42E5E155" w14:textId="18F556BA" w:rsidR="00A000CF" w:rsidRPr="00931DCE" w:rsidRDefault="007160A3" w:rsidP="00A000CF">
          <w:pPr>
            <w:spacing w:after="0" w:line="240" w:lineRule="auto"/>
            <w:jc w:val="both"/>
            <w:rPr>
              <w:rFonts w:ascii="Times New Roman" w:hAnsi="Times New Roman"/>
              <w:sz w:val="24"/>
              <w:szCs w:val="24"/>
            </w:rPr>
          </w:pPr>
          <w:r w:rsidRPr="00931DCE">
            <w:rPr>
              <w:rFonts w:ascii="Times New Roman" w:hAnsi="Times New Roman"/>
              <w:sz w:val="24"/>
              <w:szCs w:val="24"/>
            </w:rPr>
            <w:t>L</w:t>
          </w:r>
          <w:r w:rsidR="00A000CF" w:rsidRPr="00931DCE">
            <w:rPr>
              <w:rFonts w:ascii="Times New Roman" w:hAnsi="Times New Roman"/>
              <w:sz w:val="24"/>
              <w:szCs w:val="24"/>
            </w:rPr>
            <w:t>as condiciones financieras,</w:t>
          </w:r>
          <w:r w:rsidRPr="00931DCE">
            <w:rPr>
              <w:rFonts w:ascii="Times New Roman" w:hAnsi="Times New Roman"/>
              <w:sz w:val="24"/>
              <w:szCs w:val="24"/>
            </w:rPr>
            <w:t xml:space="preserve"> son informadas por</w:t>
          </w:r>
          <w:r w:rsidR="00A000CF" w:rsidRPr="00931DCE">
            <w:rPr>
              <w:rFonts w:ascii="Times New Roman" w:hAnsi="Times New Roman"/>
              <w:sz w:val="24"/>
              <w:szCs w:val="24"/>
            </w:rPr>
            <w:t xml:space="preserve"> </w:t>
          </w:r>
          <w:r w:rsidRPr="00931DCE">
            <w:rPr>
              <w:rFonts w:ascii="Times New Roman" w:hAnsi="Times New Roman"/>
              <w:sz w:val="24"/>
              <w:szCs w:val="24"/>
            </w:rPr>
            <w:t xml:space="preserve">el Ministerio de Hacienda a la ANI </w:t>
          </w:r>
          <w:r w:rsidR="00A000CF" w:rsidRPr="00931DCE">
            <w:rPr>
              <w:rFonts w:ascii="Times New Roman" w:hAnsi="Times New Roman"/>
              <w:sz w:val="24"/>
              <w:szCs w:val="24"/>
            </w:rPr>
            <w:t xml:space="preserve">para la expedición de los Títulos de Tesorería - TES Clase B que serán emitidos para cancelar obligaciones surgidas de sentencias y conciliaciones judiciales en firme, estas condiciones  son utilizadas para negociar con el concesionario  y de esta manera establecer el valor final requerido por el concesionario para cubrir las obligaciones pendientes, este mismo </w:t>
          </w:r>
          <w:r w:rsidRPr="00931DCE">
            <w:rPr>
              <w:rFonts w:ascii="Times New Roman" w:hAnsi="Times New Roman"/>
              <w:sz w:val="24"/>
              <w:szCs w:val="24"/>
            </w:rPr>
            <w:t xml:space="preserve">es el </w:t>
          </w:r>
          <w:r w:rsidR="00C84F46" w:rsidRPr="00931DCE">
            <w:rPr>
              <w:rFonts w:ascii="Times New Roman" w:hAnsi="Times New Roman"/>
              <w:sz w:val="24"/>
              <w:szCs w:val="24"/>
            </w:rPr>
            <w:t>solicitado</w:t>
          </w:r>
          <w:r w:rsidR="00A000CF" w:rsidRPr="00931DCE">
            <w:rPr>
              <w:rFonts w:ascii="Times New Roman" w:hAnsi="Times New Roman"/>
              <w:sz w:val="24"/>
              <w:szCs w:val="24"/>
            </w:rPr>
            <w:t xml:space="preserve"> para la expedición del acuerdo de pago.</w:t>
          </w:r>
        </w:p>
        <w:p w14:paraId="08024F9A" w14:textId="77777777" w:rsidR="00A000CF" w:rsidRPr="00931DCE" w:rsidRDefault="00A000CF" w:rsidP="00A000CF">
          <w:pPr>
            <w:spacing w:after="0" w:line="240" w:lineRule="auto"/>
            <w:jc w:val="both"/>
            <w:rPr>
              <w:rFonts w:ascii="Times New Roman" w:hAnsi="Times New Roman"/>
              <w:sz w:val="24"/>
              <w:szCs w:val="24"/>
            </w:rPr>
          </w:pPr>
        </w:p>
        <w:p w14:paraId="5BB472A1" w14:textId="799FDB3C" w:rsidR="00A000CF" w:rsidRPr="00931DCE" w:rsidRDefault="00A000CF" w:rsidP="00A000CF">
          <w:pPr>
            <w:spacing w:after="0" w:line="240" w:lineRule="auto"/>
            <w:jc w:val="both"/>
            <w:rPr>
              <w:rFonts w:ascii="Times New Roman" w:hAnsi="Times New Roman"/>
              <w:sz w:val="24"/>
              <w:szCs w:val="24"/>
            </w:rPr>
          </w:pPr>
          <w:r w:rsidRPr="00931DCE">
            <w:rPr>
              <w:rFonts w:ascii="Times New Roman" w:hAnsi="Times New Roman"/>
              <w:sz w:val="24"/>
              <w:szCs w:val="24"/>
            </w:rPr>
            <w:t xml:space="preserve">A manera de ejemplo se indican las condiciones para el año </w:t>
          </w:r>
          <w:r w:rsidR="00EF6E05" w:rsidRPr="00931DCE">
            <w:rPr>
              <w:rFonts w:ascii="Times New Roman" w:hAnsi="Times New Roman"/>
              <w:sz w:val="24"/>
              <w:szCs w:val="24"/>
            </w:rPr>
            <w:t>202</w:t>
          </w:r>
          <w:r w:rsidR="00D177CB">
            <w:rPr>
              <w:rFonts w:ascii="Times New Roman" w:hAnsi="Times New Roman"/>
              <w:sz w:val="24"/>
              <w:szCs w:val="24"/>
            </w:rPr>
            <w:t>1</w:t>
          </w:r>
          <w:r w:rsidRPr="00931DCE">
            <w:rPr>
              <w:rFonts w:ascii="Times New Roman" w:hAnsi="Times New Roman"/>
              <w:sz w:val="24"/>
              <w:szCs w:val="24"/>
            </w:rPr>
            <w:t xml:space="preserve">, toda vez que en </w:t>
          </w:r>
          <w:r w:rsidR="00D177CB">
            <w:rPr>
              <w:rFonts w:ascii="Times New Roman" w:hAnsi="Times New Roman"/>
              <w:sz w:val="24"/>
              <w:szCs w:val="24"/>
            </w:rPr>
            <w:t>los años</w:t>
          </w:r>
          <w:r w:rsidRPr="00931DCE">
            <w:rPr>
              <w:rFonts w:ascii="Times New Roman" w:hAnsi="Times New Roman"/>
              <w:sz w:val="24"/>
              <w:szCs w:val="24"/>
            </w:rPr>
            <w:t xml:space="preserve"> </w:t>
          </w:r>
          <w:r w:rsidR="00EF6E05" w:rsidRPr="00931DCE">
            <w:rPr>
              <w:rFonts w:ascii="Times New Roman" w:hAnsi="Times New Roman"/>
              <w:sz w:val="24"/>
              <w:szCs w:val="24"/>
            </w:rPr>
            <w:t>202</w:t>
          </w:r>
          <w:r w:rsidR="00D177CB">
            <w:rPr>
              <w:rFonts w:ascii="Times New Roman" w:hAnsi="Times New Roman"/>
              <w:sz w:val="24"/>
              <w:szCs w:val="24"/>
            </w:rPr>
            <w:t>2 y 2023</w:t>
          </w:r>
          <w:r w:rsidRPr="00931DCE">
            <w:rPr>
              <w:rFonts w:ascii="Times New Roman" w:hAnsi="Times New Roman"/>
              <w:sz w:val="24"/>
              <w:szCs w:val="24"/>
            </w:rPr>
            <w:t xml:space="preserve"> no se firmaron acuerdos de pago:</w:t>
          </w:r>
        </w:p>
        <w:p w14:paraId="349E605B" w14:textId="77777777" w:rsidR="00A000CF" w:rsidRPr="00931DCE" w:rsidRDefault="00A000CF" w:rsidP="00A000CF">
          <w:pPr>
            <w:spacing w:after="0" w:line="240" w:lineRule="auto"/>
            <w:jc w:val="both"/>
            <w:rPr>
              <w:rFonts w:ascii="Times New Roman" w:hAnsi="Times New Roman"/>
              <w:sz w:val="24"/>
              <w:szCs w:val="24"/>
            </w:rPr>
          </w:pPr>
        </w:p>
        <w:p w14:paraId="3AE3630B" w14:textId="77777777" w:rsidR="00A000CF" w:rsidRPr="00931DCE" w:rsidRDefault="00A000CF" w:rsidP="00A000CF">
          <w:pPr>
            <w:spacing w:after="0" w:line="240" w:lineRule="auto"/>
            <w:jc w:val="both"/>
            <w:rPr>
              <w:rFonts w:ascii="Times New Roman" w:hAnsi="Times New Roman"/>
              <w:sz w:val="24"/>
              <w:szCs w:val="24"/>
            </w:rPr>
          </w:pPr>
          <w:r w:rsidRPr="00931DCE">
            <w:rPr>
              <w:rFonts w:ascii="Times New Roman" w:hAnsi="Times New Roman"/>
              <w:sz w:val="24"/>
              <w:szCs w:val="24"/>
            </w:rPr>
            <w:t>Nombre de los Títulos: Títulos de Tesorería TES Clase B</w:t>
          </w:r>
        </w:p>
        <w:p w14:paraId="405B6A9F" w14:textId="77777777" w:rsidR="00A000CF" w:rsidRPr="00931DCE" w:rsidRDefault="00A000CF" w:rsidP="00A000CF">
          <w:pPr>
            <w:spacing w:after="0" w:line="240" w:lineRule="auto"/>
            <w:jc w:val="both"/>
            <w:rPr>
              <w:rFonts w:ascii="Times New Roman" w:hAnsi="Times New Roman"/>
              <w:sz w:val="24"/>
              <w:szCs w:val="24"/>
            </w:rPr>
          </w:pPr>
          <w:r w:rsidRPr="00931DCE">
            <w:rPr>
              <w:rFonts w:ascii="Times New Roman" w:hAnsi="Times New Roman"/>
              <w:sz w:val="24"/>
              <w:szCs w:val="24"/>
            </w:rPr>
            <w:t>Clase y Denominación: Tasa Fija denominados en Pesos</w:t>
          </w:r>
        </w:p>
        <w:p w14:paraId="0E16367F" w14:textId="77777777" w:rsidR="00A000CF" w:rsidRPr="00931DCE" w:rsidRDefault="00A000CF" w:rsidP="00A000CF">
          <w:pPr>
            <w:spacing w:after="0" w:line="240" w:lineRule="auto"/>
            <w:jc w:val="both"/>
            <w:rPr>
              <w:rFonts w:ascii="Times New Roman" w:hAnsi="Times New Roman"/>
              <w:sz w:val="24"/>
              <w:szCs w:val="24"/>
            </w:rPr>
          </w:pPr>
          <w:r w:rsidRPr="00931DCE">
            <w:rPr>
              <w:rFonts w:ascii="Times New Roman" w:hAnsi="Times New Roman"/>
              <w:sz w:val="24"/>
              <w:szCs w:val="24"/>
            </w:rPr>
            <w:t>Forma de los Títulos: Serían títulos a la orden, libremente negociables en el mercado, tendrán cupones de intereses también libremente negociables y estarán inscritos en la Bolsa de Valores de Colombia</w:t>
          </w:r>
        </w:p>
        <w:p w14:paraId="05356CB9" w14:textId="77777777" w:rsidR="00A000CF" w:rsidRPr="00931DCE" w:rsidRDefault="00A000CF" w:rsidP="00A000CF">
          <w:pPr>
            <w:spacing w:after="0" w:line="240" w:lineRule="auto"/>
            <w:jc w:val="both"/>
            <w:rPr>
              <w:rFonts w:ascii="Times New Roman" w:hAnsi="Times New Roman"/>
              <w:sz w:val="24"/>
              <w:szCs w:val="24"/>
            </w:rPr>
          </w:pPr>
          <w:r w:rsidRPr="00931DCE">
            <w:rPr>
              <w:rFonts w:ascii="Times New Roman" w:hAnsi="Times New Roman"/>
              <w:sz w:val="24"/>
              <w:szCs w:val="24"/>
            </w:rPr>
            <w:t>Denominación: La denominación mínima será de quinientos mil pesos ($500.000) y para sumas adicionales en múltiplos de cien mil pesos ($ 100.000)</w:t>
          </w:r>
        </w:p>
        <w:p w14:paraId="6D98ACBA" w14:textId="77777777" w:rsidR="00A000CF" w:rsidRPr="00931DCE" w:rsidRDefault="00A000CF" w:rsidP="00A000CF">
          <w:pPr>
            <w:spacing w:after="0" w:line="240" w:lineRule="auto"/>
            <w:jc w:val="both"/>
            <w:rPr>
              <w:rFonts w:ascii="Times New Roman" w:hAnsi="Times New Roman"/>
              <w:sz w:val="24"/>
              <w:szCs w:val="24"/>
            </w:rPr>
          </w:pPr>
          <w:r w:rsidRPr="00931DCE">
            <w:rPr>
              <w:rFonts w:ascii="Times New Roman" w:hAnsi="Times New Roman"/>
              <w:sz w:val="24"/>
              <w:szCs w:val="24"/>
            </w:rPr>
            <w:lastRenderedPageBreak/>
            <w:t>Amortización: El capital se pagará en la fecha de vencimiento</w:t>
          </w:r>
        </w:p>
        <w:p w14:paraId="15274C44" w14:textId="77777777" w:rsidR="00A000CF" w:rsidRPr="00931DCE" w:rsidRDefault="00A000CF" w:rsidP="00A000CF">
          <w:pPr>
            <w:spacing w:after="0" w:line="240" w:lineRule="auto"/>
            <w:jc w:val="both"/>
            <w:rPr>
              <w:rFonts w:ascii="Times New Roman" w:hAnsi="Times New Roman"/>
              <w:sz w:val="24"/>
              <w:szCs w:val="24"/>
            </w:rPr>
          </w:pPr>
          <w:r w:rsidRPr="00931DCE">
            <w:rPr>
              <w:rFonts w:ascii="Times New Roman" w:hAnsi="Times New Roman"/>
              <w:sz w:val="24"/>
              <w:szCs w:val="24"/>
            </w:rPr>
            <w:t>Tasa de Rendimiento: Para determinar el rendimiento de los títulos, se tomará una de las siguientes alternativas, en forma excluyente, en estricto orden ascendente, así:  La última tasa de negociación en el Sistema de Negocios –SEN- administrado por el Banco de la República, realizada antes de las 10 a.m. del día de entrega de los títulos.  La tasa media entre las posturas de compra y venta vigentes en el SEN a las 10 a.m. del día de la entrega de los títulos.  La tasa vigente de valoración del día anterior a la entrega, publicada por el sistema Precia.  Administración: los TES se emitirán a través del Depósito Central de Valores del Banco de la República y el costo de su administración será pagado por la Nación</w:t>
          </w:r>
        </w:p>
        <w:p w14:paraId="1FA58760" w14:textId="77777777" w:rsidR="00A000CF" w:rsidRPr="00931DCE" w:rsidRDefault="00A000CF" w:rsidP="00A000CF">
          <w:pPr>
            <w:spacing w:after="0" w:line="240" w:lineRule="auto"/>
            <w:jc w:val="both"/>
            <w:rPr>
              <w:rFonts w:ascii="Times New Roman" w:hAnsi="Times New Roman"/>
              <w:sz w:val="24"/>
              <w:szCs w:val="24"/>
            </w:rPr>
          </w:pPr>
        </w:p>
        <w:p w14:paraId="2C4729F8" w14:textId="7C37BB5B" w:rsidR="00A000CF" w:rsidRPr="00931DCE" w:rsidRDefault="007160A3" w:rsidP="00A000CF">
          <w:pPr>
            <w:spacing w:after="0" w:line="240" w:lineRule="auto"/>
            <w:jc w:val="both"/>
            <w:rPr>
              <w:rFonts w:ascii="Times New Roman" w:hAnsi="Times New Roman"/>
              <w:sz w:val="24"/>
              <w:szCs w:val="24"/>
            </w:rPr>
          </w:pPr>
          <w:r w:rsidRPr="00931DCE">
            <w:rPr>
              <w:rFonts w:ascii="Times New Roman" w:hAnsi="Times New Roman"/>
              <w:sz w:val="24"/>
              <w:szCs w:val="24"/>
            </w:rPr>
            <w:t>L</w:t>
          </w:r>
          <w:r w:rsidR="00A000CF" w:rsidRPr="00931DCE">
            <w:rPr>
              <w:rFonts w:ascii="Times New Roman" w:hAnsi="Times New Roman"/>
              <w:sz w:val="24"/>
              <w:szCs w:val="24"/>
            </w:rPr>
            <w:t xml:space="preserve">os acuerdos de pago suscritos entre </w:t>
          </w:r>
          <w:r w:rsidR="0036571D" w:rsidRPr="00931DCE">
            <w:rPr>
              <w:rFonts w:ascii="Times New Roman" w:hAnsi="Times New Roman"/>
              <w:sz w:val="24"/>
              <w:szCs w:val="24"/>
            </w:rPr>
            <w:t>Ministerio de Hacienda</w:t>
          </w:r>
          <w:r w:rsidR="00A000CF" w:rsidRPr="00931DCE">
            <w:rPr>
              <w:rFonts w:ascii="Times New Roman" w:hAnsi="Times New Roman"/>
              <w:sz w:val="24"/>
              <w:szCs w:val="24"/>
            </w:rPr>
            <w:t xml:space="preserve"> y </w:t>
          </w:r>
          <w:r w:rsidR="0036571D" w:rsidRPr="00931DCE">
            <w:rPr>
              <w:rFonts w:ascii="Times New Roman" w:hAnsi="Times New Roman"/>
              <w:sz w:val="24"/>
              <w:szCs w:val="24"/>
            </w:rPr>
            <w:t xml:space="preserve">la Agencia, </w:t>
          </w:r>
          <w:r w:rsidR="00A000CF" w:rsidRPr="00931DCE">
            <w:rPr>
              <w:rFonts w:ascii="Times New Roman" w:hAnsi="Times New Roman"/>
              <w:sz w:val="24"/>
              <w:szCs w:val="24"/>
            </w:rPr>
            <w:t>no tienen restricciones, tasa de negociación, tasa efectiva anual, criterios para determinación de la tasa, seguimiento a cumplimientos e infracciones y nuevas restricciones, toda vez que como se indicó anteriormente, por el tipo de pasivo con la Nación no aplican.</w:t>
          </w:r>
        </w:p>
        <w:p w14:paraId="4121DC7F" w14:textId="77777777" w:rsidR="00A000CF" w:rsidRPr="00931DCE" w:rsidRDefault="00A000CF" w:rsidP="00A000CF">
          <w:pPr>
            <w:spacing w:after="0" w:line="240" w:lineRule="auto"/>
            <w:jc w:val="both"/>
            <w:rPr>
              <w:rFonts w:ascii="Times New Roman" w:hAnsi="Times New Roman"/>
              <w:sz w:val="24"/>
              <w:szCs w:val="24"/>
            </w:rPr>
          </w:pPr>
        </w:p>
        <w:p w14:paraId="59C84807" w14:textId="19D2661E" w:rsidR="00A000CF" w:rsidRPr="00931DCE" w:rsidRDefault="00A000CF" w:rsidP="0060516A">
          <w:pPr>
            <w:spacing w:after="0" w:line="240" w:lineRule="auto"/>
            <w:jc w:val="both"/>
            <w:rPr>
              <w:rFonts w:ascii="Times New Roman" w:hAnsi="Times New Roman"/>
              <w:sz w:val="24"/>
              <w:szCs w:val="24"/>
            </w:rPr>
          </w:pPr>
          <w:r w:rsidRPr="00931DCE">
            <w:rPr>
              <w:rFonts w:ascii="Times New Roman" w:hAnsi="Times New Roman"/>
              <w:sz w:val="24"/>
              <w:szCs w:val="24"/>
            </w:rPr>
            <w:t xml:space="preserve">El saldo de los préstamos del gobierno general de </w:t>
          </w:r>
          <w:r w:rsidR="007C149C">
            <w:rPr>
              <w:rFonts w:ascii="Times New Roman" w:hAnsi="Times New Roman"/>
              <w:sz w:val="24"/>
              <w:szCs w:val="24"/>
            </w:rPr>
            <w:t>$336.309</w:t>
          </w:r>
          <w:r w:rsidR="00180C35">
            <w:rPr>
              <w:rFonts w:ascii="Times New Roman" w:hAnsi="Times New Roman"/>
              <w:sz w:val="24"/>
              <w:szCs w:val="24"/>
            </w:rPr>
            <w:t>.575.850</w:t>
          </w:r>
          <w:r w:rsidRPr="00931DCE">
            <w:rPr>
              <w:rFonts w:ascii="Times New Roman" w:hAnsi="Times New Roman"/>
              <w:sz w:val="24"/>
              <w:szCs w:val="24"/>
            </w:rPr>
            <w:t xml:space="preserve"> a 31 de diciembre de 20</w:t>
          </w:r>
          <w:r w:rsidR="00180C35">
            <w:rPr>
              <w:rFonts w:ascii="Times New Roman" w:hAnsi="Times New Roman"/>
              <w:sz w:val="24"/>
              <w:szCs w:val="24"/>
            </w:rPr>
            <w:t>23</w:t>
          </w:r>
          <w:r w:rsidRPr="00931DCE">
            <w:rPr>
              <w:rFonts w:ascii="Times New Roman" w:hAnsi="Times New Roman"/>
              <w:sz w:val="24"/>
              <w:szCs w:val="24"/>
            </w:rPr>
            <w:t>, junto con la porción corriente y no corriente de esta cuenta se encuentra conciliado con el Ministerio de Hacienda y Crédito Público (Dirección del Tesoro Nacional), de conformidad con el formato establecido.</w:t>
          </w:r>
          <w:r w:rsidR="0060516A">
            <w:rPr>
              <w:rFonts w:ascii="Times New Roman" w:hAnsi="Times New Roman"/>
              <w:sz w:val="24"/>
              <w:szCs w:val="24"/>
            </w:rPr>
            <w:t xml:space="preserve"> A continuación,</w:t>
          </w:r>
          <w:r w:rsidR="001C2A41">
            <w:rPr>
              <w:rFonts w:ascii="Times New Roman" w:hAnsi="Times New Roman"/>
              <w:sz w:val="24"/>
              <w:szCs w:val="24"/>
            </w:rPr>
            <w:t xml:space="preserve"> </w:t>
          </w:r>
          <w:r w:rsidR="001C2A41" w:rsidRPr="001C2A41">
            <w:rPr>
              <w:rFonts w:ascii="Times New Roman" w:hAnsi="Times New Roman"/>
              <w:sz w:val="24"/>
              <w:szCs w:val="24"/>
            </w:rPr>
            <w:t>se detallan los acuerdos de pago vigentes a 31 de diciembre de 2023</w:t>
          </w:r>
          <w:r w:rsidR="0060516A">
            <w:rPr>
              <w:rFonts w:ascii="Times New Roman" w:hAnsi="Times New Roman"/>
              <w:sz w:val="24"/>
              <w:szCs w:val="24"/>
            </w:rPr>
            <w:t xml:space="preserve">: No. </w:t>
          </w:r>
          <w:r w:rsidR="0060516A" w:rsidRPr="0060516A">
            <w:rPr>
              <w:rFonts w:ascii="Times New Roman" w:hAnsi="Times New Roman"/>
              <w:sz w:val="24"/>
              <w:szCs w:val="24"/>
            </w:rPr>
            <w:t>660300961</w:t>
          </w:r>
          <w:r w:rsidR="0060516A">
            <w:rPr>
              <w:rFonts w:ascii="Times New Roman" w:hAnsi="Times New Roman"/>
              <w:sz w:val="24"/>
              <w:szCs w:val="24"/>
            </w:rPr>
            <w:t xml:space="preserve"> de </w:t>
          </w:r>
          <w:r w:rsidR="0060516A" w:rsidRPr="0060516A">
            <w:rPr>
              <w:rFonts w:ascii="Times New Roman" w:hAnsi="Times New Roman"/>
              <w:sz w:val="24"/>
              <w:szCs w:val="24"/>
            </w:rPr>
            <w:t>19-11-2020</w:t>
          </w:r>
          <w:r w:rsidR="0060516A">
            <w:rPr>
              <w:rFonts w:ascii="Times New Roman" w:hAnsi="Times New Roman"/>
              <w:sz w:val="24"/>
              <w:szCs w:val="24"/>
            </w:rPr>
            <w:t xml:space="preserve">, </w:t>
          </w:r>
          <w:r w:rsidR="0060516A" w:rsidRPr="0060516A">
            <w:rPr>
              <w:rFonts w:ascii="Times New Roman" w:hAnsi="Times New Roman"/>
              <w:sz w:val="24"/>
              <w:szCs w:val="24"/>
            </w:rPr>
            <w:t>660300958</w:t>
          </w:r>
          <w:r w:rsidR="0060516A">
            <w:rPr>
              <w:rFonts w:ascii="Times New Roman" w:hAnsi="Times New Roman"/>
              <w:sz w:val="24"/>
              <w:szCs w:val="24"/>
            </w:rPr>
            <w:t xml:space="preserve"> de</w:t>
          </w:r>
          <w:r w:rsidR="0060516A" w:rsidRPr="0060516A">
            <w:rPr>
              <w:rFonts w:ascii="Times New Roman" w:hAnsi="Times New Roman"/>
              <w:sz w:val="24"/>
              <w:szCs w:val="24"/>
            </w:rPr>
            <w:tab/>
            <w:t>13-12-2019</w:t>
          </w:r>
          <w:r w:rsidR="0060516A">
            <w:rPr>
              <w:rFonts w:ascii="Times New Roman" w:hAnsi="Times New Roman"/>
              <w:sz w:val="24"/>
              <w:szCs w:val="24"/>
            </w:rPr>
            <w:t xml:space="preserve">, </w:t>
          </w:r>
          <w:r w:rsidR="0060516A" w:rsidRPr="0060516A">
            <w:rPr>
              <w:rFonts w:ascii="Times New Roman" w:hAnsi="Times New Roman"/>
              <w:sz w:val="24"/>
              <w:szCs w:val="24"/>
            </w:rPr>
            <w:t>660300978</w:t>
          </w:r>
          <w:r w:rsidR="0060516A">
            <w:rPr>
              <w:rFonts w:ascii="Times New Roman" w:hAnsi="Times New Roman"/>
              <w:sz w:val="24"/>
              <w:szCs w:val="24"/>
            </w:rPr>
            <w:t xml:space="preserve"> de </w:t>
          </w:r>
          <w:r w:rsidR="0060516A" w:rsidRPr="0060516A">
            <w:rPr>
              <w:rFonts w:ascii="Times New Roman" w:hAnsi="Times New Roman"/>
              <w:sz w:val="24"/>
              <w:szCs w:val="24"/>
            </w:rPr>
            <w:t>30-12-2021</w:t>
          </w:r>
          <w:r w:rsidR="0060516A">
            <w:rPr>
              <w:rFonts w:ascii="Times New Roman" w:hAnsi="Times New Roman"/>
              <w:sz w:val="24"/>
              <w:szCs w:val="24"/>
            </w:rPr>
            <w:t xml:space="preserve">, </w:t>
          </w:r>
          <w:r w:rsidR="0060516A" w:rsidRPr="0060516A">
            <w:rPr>
              <w:rFonts w:ascii="Times New Roman" w:hAnsi="Times New Roman"/>
              <w:sz w:val="24"/>
              <w:szCs w:val="24"/>
            </w:rPr>
            <w:t>660300964</w:t>
          </w:r>
          <w:r w:rsidR="0060516A">
            <w:rPr>
              <w:rFonts w:ascii="Times New Roman" w:hAnsi="Times New Roman"/>
              <w:sz w:val="24"/>
              <w:szCs w:val="24"/>
            </w:rPr>
            <w:t xml:space="preserve"> de </w:t>
          </w:r>
          <w:r w:rsidR="0060516A" w:rsidRPr="0060516A">
            <w:rPr>
              <w:rFonts w:ascii="Times New Roman" w:hAnsi="Times New Roman"/>
              <w:sz w:val="24"/>
              <w:szCs w:val="24"/>
            </w:rPr>
            <w:t>17-12-2020</w:t>
          </w:r>
          <w:r w:rsidR="0060516A">
            <w:rPr>
              <w:rFonts w:ascii="Times New Roman" w:hAnsi="Times New Roman"/>
              <w:sz w:val="24"/>
              <w:szCs w:val="24"/>
            </w:rPr>
            <w:t xml:space="preserve">, </w:t>
          </w:r>
          <w:r w:rsidR="0060516A" w:rsidRPr="0060516A">
            <w:rPr>
              <w:rFonts w:ascii="Times New Roman" w:hAnsi="Times New Roman"/>
              <w:sz w:val="24"/>
              <w:szCs w:val="24"/>
            </w:rPr>
            <w:t>660300959</w:t>
          </w:r>
          <w:r w:rsidR="0060516A">
            <w:rPr>
              <w:rFonts w:ascii="Times New Roman" w:hAnsi="Times New Roman"/>
              <w:sz w:val="24"/>
              <w:szCs w:val="24"/>
            </w:rPr>
            <w:t xml:space="preserve"> de </w:t>
          </w:r>
          <w:r w:rsidR="0060516A" w:rsidRPr="0060516A">
            <w:rPr>
              <w:rFonts w:ascii="Times New Roman" w:hAnsi="Times New Roman"/>
              <w:sz w:val="24"/>
              <w:szCs w:val="24"/>
            </w:rPr>
            <w:t>30-12-2019</w:t>
          </w:r>
          <w:r w:rsidR="0060516A">
            <w:rPr>
              <w:rFonts w:ascii="Times New Roman" w:hAnsi="Times New Roman"/>
              <w:sz w:val="24"/>
              <w:szCs w:val="24"/>
            </w:rPr>
            <w:t xml:space="preserve">, </w:t>
          </w:r>
          <w:r w:rsidR="0060516A" w:rsidRPr="0060516A">
            <w:rPr>
              <w:rFonts w:ascii="Times New Roman" w:hAnsi="Times New Roman"/>
              <w:sz w:val="24"/>
              <w:szCs w:val="24"/>
            </w:rPr>
            <w:t>660300953</w:t>
          </w:r>
          <w:r w:rsidR="0060516A">
            <w:rPr>
              <w:rFonts w:ascii="Times New Roman" w:hAnsi="Times New Roman"/>
              <w:sz w:val="24"/>
              <w:szCs w:val="24"/>
            </w:rPr>
            <w:t xml:space="preserve"> de </w:t>
          </w:r>
          <w:r w:rsidR="0060516A" w:rsidRPr="0060516A">
            <w:rPr>
              <w:rFonts w:ascii="Times New Roman" w:hAnsi="Times New Roman"/>
              <w:sz w:val="24"/>
              <w:szCs w:val="24"/>
            </w:rPr>
            <w:t>11-12-2018</w:t>
          </w:r>
          <w:r w:rsidR="0060516A">
            <w:rPr>
              <w:rFonts w:ascii="Times New Roman" w:hAnsi="Times New Roman"/>
              <w:sz w:val="24"/>
              <w:szCs w:val="24"/>
            </w:rPr>
            <w:t xml:space="preserve">, </w:t>
          </w:r>
          <w:r w:rsidR="0060516A" w:rsidRPr="0060516A">
            <w:rPr>
              <w:rFonts w:ascii="Times New Roman" w:hAnsi="Times New Roman"/>
              <w:sz w:val="24"/>
              <w:szCs w:val="24"/>
            </w:rPr>
            <w:t>660300929</w:t>
          </w:r>
          <w:r w:rsidR="0060516A">
            <w:rPr>
              <w:rFonts w:ascii="Times New Roman" w:hAnsi="Times New Roman"/>
              <w:sz w:val="24"/>
              <w:szCs w:val="24"/>
            </w:rPr>
            <w:t xml:space="preserve"> de </w:t>
          </w:r>
          <w:r w:rsidR="0060516A" w:rsidRPr="0060516A">
            <w:rPr>
              <w:rFonts w:ascii="Times New Roman" w:hAnsi="Times New Roman"/>
              <w:sz w:val="24"/>
              <w:szCs w:val="24"/>
            </w:rPr>
            <w:t>11-09-2014</w:t>
          </w:r>
          <w:r w:rsidR="0060516A">
            <w:rPr>
              <w:rFonts w:ascii="Times New Roman" w:hAnsi="Times New Roman"/>
              <w:sz w:val="24"/>
              <w:szCs w:val="24"/>
            </w:rPr>
            <w:t xml:space="preserve">, </w:t>
          </w:r>
          <w:r w:rsidR="0060516A" w:rsidRPr="0060516A">
            <w:rPr>
              <w:rFonts w:ascii="Times New Roman" w:hAnsi="Times New Roman"/>
              <w:sz w:val="24"/>
              <w:szCs w:val="24"/>
            </w:rPr>
            <w:t>660300960</w:t>
          </w:r>
          <w:r w:rsidR="0060516A">
            <w:rPr>
              <w:rFonts w:ascii="Times New Roman" w:hAnsi="Times New Roman"/>
              <w:sz w:val="24"/>
              <w:szCs w:val="24"/>
            </w:rPr>
            <w:t xml:space="preserve"> de </w:t>
          </w:r>
          <w:r w:rsidR="0060516A" w:rsidRPr="0060516A">
            <w:rPr>
              <w:rFonts w:ascii="Times New Roman" w:hAnsi="Times New Roman"/>
              <w:sz w:val="24"/>
              <w:szCs w:val="24"/>
            </w:rPr>
            <w:t>26-10-2020</w:t>
          </w:r>
          <w:r w:rsidR="0060516A">
            <w:rPr>
              <w:rFonts w:ascii="Times New Roman" w:hAnsi="Times New Roman"/>
              <w:sz w:val="24"/>
              <w:szCs w:val="24"/>
            </w:rPr>
            <w:t xml:space="preserve">, </w:t>
          </w:r>
          <w:r w:rsidR="0060516A" w:rsidRPr="0060516A">
            <w:rPr>
              <w:rFonts w:ascii="Times New Roman" w:hAnsi="Times New Roman"/>
              <w:sz w:val="24"/>
              <w:szCs w:val="24"/>
            </w:rPr>
            <w:t>660300956</w:t>
          </w:r>
          <w:r w:rsidR="0060516A">
            <w:rPr>
              <w:rFonts w:ascii="Times New Roman" w:hAnsi="Times New Roman"/>
              <w:sz w:val="24"/>
              <w:szCs w:val="24"/>
            </w:rPr>
            <w:t xml:space="preserve"> de </w:t>
          </w:r>
          <w:r w:rsidR="0060516A" w:rsidRPr="0060516A">
            <w:rPr>
              <w:rFonts w:ascii="Times New Roman" w:hAnsi="Times New Roman"/>
              <w:sz w:val="24"/>
              <w:szCs w:val="24"/>
            </w:rPr>
            <w:t>26-12-2019</w:t>
          </w:r>
          <w:r w:rsidR="0060516A">
            <w:rPr>
              <w:rFonts w:ascii="Times New Roman" w:hAnsi="Times New Roman"/>
              <w:sz w:val="24"/>
              <w:szCs w:val="24"/>
            </w:rPr>
            <w:t xml:space="preserve">, </w:t>
          </w:r>
          <w:r w:rsidR="0060516A" w:rsidRPr="0060516A">
            <w:rPr>
              <w:rFonts w:ascii="Times New Roman" w:hAnsi="Times New Roman"/>
              <w:sz w:val="24"/>
              <w:szCs w:val="24"/>
            </w:rPr>
            <w:t>660300932</w:t>
          </w:r>
          <w:r w:rsidR="0060516A">
            <w:rPr>
              <w:rFonts w:ascii="Times New Roman" w:hAnsi="Times New Roman"/>
              <w:sz w:val="24"/>
              <w:szCs w:val="24"/>
            </w:rPr>
            <w:t xml:space="preserve"> de </w:t>
          </w:r>
          <w:r w:rsidR="0060516A" w:rsidRPr="0060516A">
            <w:rPr>
              <w:rFonts w:ascii="Times New Roman" w:hAnsi="Times New Roman"/>
              <w:sz w:val="24"/>
              <w:szCs w:val="24"/>
            </w:rPr>
            <w:t>24-12-2015</w:t>
          </w:r>
          <w:r w:rsidR="0060516A">
            <w:rPr>
              <w:rFonts w:ascii="Times New Roman" w:hAnsi="Times New Roman"/>
              <w:sz w:val="24"/>
              <w:szCs w:val="24"/>
            </w:rPr>
            <w:t xml:space="preserve">, </w:t>
          </w:r>
          <w:r w:rsidR="0060516A" w:rsidRPr="0060516A">
            <w:rPr>
              <w:rFonts w:ascii="Times New Roman" w:hAnsi="Times New Roman"/>
              <w:sz w:val="24"/>
              <w:szCs w:val="24"/>
            </w:rPr>
            <w:t>660300931</w:t>
          </w:r>
          <w:r w:rsidR="0060516A">
            <w:rPr>
              <w:rFonts w:ascii="Times New Roman" w:hAnsi="Times New Roman"/>
              <w:sz w:val="24"/>
              <w:szCs w:val="24"/>
            </w:rPr>
            <w:t xml:space="preserve"> de </w:t>
          </w:r>
          <w:r w:rsidR="0060516A" w:rsidRPr="0060516A">
            <w:rPr>
              <w:rFonts w:ascii="Times New Roman" w:hAnsi="Times New Roman"/>
              <w:sz w:val="24"/>
              <w:szCs w:val="24"/>
            </w:rPr>
            <w:t>04-12-2014</w:t>
          </w:r>
          <w:r w:rsidR="0060516A">
            <w:rPr>
              <w:rFonts w:ascii="Times New Roman" w:hAnsi="Times New Roman"/>
              <w:sz w:val="24"/>
              <w:szCs w:val="24"/>
            </w:rPr>
            <w:t xml:space="preserve">, </w:t>
          </w:r>
          <w:r w:rsidR="0060516A" w:rsidRPr="0060516A">
            <w:rPr>
              <w:rFonts w:ascii="Times New Roman" w:hAnsi="Times New Roman"/>
              <w:sz w:val="24"/>
              <w:szCs w:val="24"/>
            </w:rPr>
            <w:t>660300930</w:t>
          </w:r>
          <w:r w:rsidR="0060516A">
            <w:rPr>
              <w:rFonts w:ascii="Times New Roman" w:hAnsi="Times New Roman"/>
              <w:sz w:val="24"/>
              <w:szCs w:val="24"/>
            </w:rPr>
            <w:t xml:space="preserve"> de </w:t>
          </w:r>
          <w:r w:rsidR="0060516A" w:rsidRPr="0060516A">
            <w:rPr>
              <w:rFonts w:ascii="Times New Roman" w:hAnsi="Times New Roman"/>
              <w:sz w:val="24"/>
              <w:szCs w:val="24"/>
            </w:rPr>
            <w:t>26-09-2014</w:t>
          </w:r>
          <w:r w:rsidR="0060516A">
            <w:rPr>
              <w:rFonts w:ascii="Times New Roman" w:hAnsi="Times New Roman"/>
              <w:sz w:val="24"/>
              <w:szCs w:val="24"/>
            </w:rPr>
            <w:t xml:space="preserve">, </w:t>
          </w:r>
          <w:r w:rsidR="0060516A" w:rsidRPr="0060516A">
            <w:rPr>
              <w:rFonts w:ascii="Times New Roman" w:hAnsi="Times New Roman"/>
              <w:sz w:val="24"/>
              <w:szCs w:val="24"/>
            </w:rPr>
            <w:t>660300957</w:t>
          </w:r>
          <w:r w:rsidR="0060516A">
            <w:rPr>
              <w:rFonts w:ascii="Times New Roman" w:hAnsi="Times New Roman"/>
              <w:sz w:val="24"/>
              <w:szCs w:val="24"/>
            </w:rPr>
            <w:t xml:space="preserve"> de </w:t>
          </w:r>
          <w:r w:rsidR="0060516A" w:rsidRPr="0060516A">
            <w:rPr>
              <w:rFonts w:ascii="Times New Roman" w:hAnsi="Times New Roman"/>
              <w:sz w:val="24"/>
              <w:szCs w:val="24"/>
            </w:rPr>
            <w:t>26-12-2019</w:t>
          </w:r>
          <w:r w:rsidR="0060516A">
            <w:rPr>
              <w:rFonts w:ascii="Times New Roman" w:hAnsi="Times New Roman"/>
              <w:sz w:val="24"/>
              <w:szCs w:val="24"/>
            </w:rPr>
            <w:t xml:space="preserve">, y </w:t>
          </w:r>
          <w:r w:rsidR="0060516A" w:rsidRPr="0060516A">
            <w:rPr>
              <w:rFonts w:ascii="Times New Roman" w:hAnsi="Times New Roman"/>
              <w:sz w:val="24"/>
              <w:szCs w:val="24"/>
            </w:rPr>
            <w:t>660300947</w:t>
          </w:r>
          <w:r w:rsidR="0060516A">
            <w:rPr>
              <w:rFonts w:ascii="Times New Roman" w:hAnsi="Times New Roman"/>
              <w:sz w:val="24"/>
              <w:szCs w:val="24"/>
            </w:rPr>
            <w:t xml:space="preserve"> de </w:t>
          </w:r>
          <w:r w:rsidR="0060516A" w:rsidRPr="0060516A">
            <w:rPr>
              <w:rFonts w:ascii="Times New Roman" w:hAnsi="Times New Roman"/>
              <w:sz w:val="24"/>
              <w:szCs w:val="24"/>
            </w:rPr>
            <w:t>08-08-2017</w:t>
          </w:r>
          <w:r w:rsidR="0060516A">
            <w:rPr>
              <w:rFonts w:ascii="Times New Roman" w:hAnsi="Times New Roman"/>
              <w:sz w:val="24"/>
              <w:szCs w:val="24"/>
            </w:rPr>
            <w:t>.</w:t>
          </w:r>
        </w:p>
        <w:p w14:paraId="73801F03" w14:textId="77777777" w:rsidR="00A000CF" w:rsidRPr="00CA6345" w:rsidRDefault="00A000CF" w:rsidP="00A000CF">
          <w:pPr>
            <w:pStyle w:val="Default"/>
            <w:jc w:val="both"/>
            <w:rPr>
              <w:rFonts w:ascii="Times New Roman" w:hAnsi="Times New Roman" w:cs="Times New Roman"/>
              <w:b/>
              <w:color w:val="1F3864" w:themeColor="accent1" w:themeShade="80"/>
              <w:sz w:val="23"/>
              <w:szCs w:val="23"/>
            </w:rPr>
          </w:pPr>
        </w:p>
        <w:p w14:paraId="562C058C" w14:textId="77777777" w:rsidR="00A000CF" w:rsidRPr="00CA6345" w:rsidRDefault="00A000CF" w:rsidP="00A000CF">
          <w:pPr>
            <w:pStyle w:val="Default"/>
            <w:jc w:val="both"/>
            <w:rPr>
              <w:rFonts w:ascii="Times New Roman" w:hAnsi="Times New Roman" w:cs="Times New Roman"/>
              <w:b/>
              <w:color w:val="1F3864" w:themeColor="accent1" w:themeShade="80"/>
            </w:rPr>
          </w:pPr>
          <w:r w:rsidRPr="00CA6345">
            <w:rPr>
              <w:rFonts w:ascii="Times New Roman" w:hAnsi="Times New Roman" w:cs="Times New Roman"/>
              <w:b/>
              <w:color w:val="1F3864" w:themeColor="accent1" w:themeShade="80"/>
            </w:rPr>
            <w:t>Pasivo Financiero por Acuerdos de Concesión (Concedente)</w:t>
          </w:r>
        </w:p>
        <w:p w14:paraId="71DDA087" w14:textId="77777777" w:rsidR="00A000CF" w:rsidRPr="00931DCE" w:rsidRDefault="00A000CF" w:rsidP="00A000CF">
          <w:pPr>
            <w:pStyle w:val="Default"/>
            <w:jc w:val="both"/>
            <w:rPr>
              <w:rFonts w:ascii="Times New Roman" w:hAnsi="Times New Roman" w:cs="Times New Roman"/>
            </w:rPr>
          </w:pPr>
        </w:p>
        <w:p w14:paraId="5E643E9F" w14:textId="77777777" w:rsidR="00A000CF" w:rsidRPr="00931DCE" w:rsidRDefault="00A000CF" w:rsidP="00A000CF">
          <w:pPr>
            <w:pStyle w:val="Default"/>
            <w:jc w:val="both"/>
            <w:rPr>
              <w:rFonts w:ascii="Times New Roman" w:hAnsi="Times New Roman" w:cs="Times New Roman"/>
            </w:rPr>
          </w:pPr>
          <w:r w:rsidRPr="00931DCE">
            <w:rPr>
              <w:rFonts w:ascii="Times New Roman" w:hAnsi="Times New Roman" w:cs="Times New Roman"/>
            </w:rPr>
            <w:t>Cuando se tenga una obligación incondicional de pagar al concesionario (con efectivo o con otro activo financiero) por la construcción, desarrollo, adquisición, mejora o rehabilitación de un activo en concesión, reconocerá un pasivo financiero. La Agencia, tendrá la obligación incondicional de realizar pagos al concesionario cuando se haya comprometido a desembolsar valores específicos o cuantificables durante el plazo del acuerdo de concesión.</w:t>
          </w:r>
        </w:p>
        <w:p w14:paraId="46C34309" w14:textId="77777777" w:rsidR="00A000CF" w:rsidRPr="00931DCE" w:rsidRDefault="00A000CF" w:rsidP="00A000CF">
          <w:pPr>
            <w:pStyle w:val="Default"/>
            <w:jc w:val="both"/>
            <w:rPr>
              <w:rFonts w:ascii="Times New Roman" w:hAnsi="Times New Roman" w:cs="Times New Roman"/>
            </w:rPr>
          </w:pPr>
        </w:p>
        <w:p w14:paraId="4BEF91FA" w14:textId="0CB609EC" w:rsidR="00A000CF" w:rsidRPr="00931DCE" w:rsidRDefault="0009091C" w:rsidP="00A000CF">
          <w:pPr>
            <w:pStyle w:val="Default"/>
            <w:jc w:val="both"/>
            <w:rPr>
              <w:rFonts w:ascii="Times New Roman" w:hAnsi="Times New Roman" w:cs="Times New Roman"/>
            </w:rPr>
          </w:pPr>
          <w:r w:rsidRPr="00931DCE">
            <w:rPr>
              <w:rFonts w:ascii="Times New Roman" w:hAnsi="Times New Roman" w:cs="Times New Roman"/>
            </w:rPr>
            <w:t xml:space="preserve">Los pasivos financieros en los proyectos del modo carretero se clasifican </w:t>
          </w:r>
          <w:r w:rsidR="00A000CF" w:rsidRPr="00931DCE">
            <w:rPr>
              <w:rFonts w:ascii="Times New Roman" w:hAnsi="Times New Roman" w:cs="Times New Roman"/>
            </w:rPr>
            <w:t xml:space="preserve">como un </w:t>
          </w:r>
          <w:r w:rsidRPr="00931DCE">
            <w:rPr>
              <w:rFonts w:ascii="Times New Roman" w:hAnsi="Times New Roman" w:cs="Times New Roman"/>
            </w:rPr>
            <w:t xml:space="preserve">préstamo por pagar a largo plazo </w:t>
          </w:r>
          <w:r w:rsidR="00A000CF" w:rsidRPr="00931DCE">
            <w:rPr>
              <w:rFonts w:ascii="Times New Roman" w:hAnsi="Times New Roman" w:cs="Times New Roman"/>
            </w:rPr>
            <w:t>y posteriormente, se reconoce el costo financiero asociado a dicho pasivo, a través de la tasa de interés implícita del acuerdo de concesión</w:t>
          </w:r>
          <w:r w:rsidRPr="00931DCE">
            <w:rPr>
              <w:rFonts w:ascii="Times New Roman" w:hAnsi="Times New Roman" w:cs="Times New Roman"/>
            </w:rPr>
            <w:t xml:space="preserve"> </w:t>
          </w:r>
          <w:r w:rsidR="00A000CF" w:rsidRPr="00931DCE">
            <w:rPr>
              <w:rFonts w:ascii="Times New Roman" w:hAnsi="Times New Roman" w:cs="Times New Roman"/>
            </w:rPr>
            <w:t>de acuerdo con las técnicas de estimación establecidas.</w:t>
          </w:r>
        </w:p>
        <w:p w14:paraId="40BFF844" w14:textId="77777777" w:rsidR="00A000CF" w:rsidRPr="00931DCE" w:rsidRDefault="00A000CF" w:rsidP="00A000CF">
          <w:pPr>
            <w:pStyle w:val="Default"/>
            <w:jc w:val="both"/>
            <w:rPr>
              <w:rFonts w:ascii="Times New Roman" w:hAnsi="Times New Roman" w:cs="Times New Roman"/>
            </w:rPr>
          </w:pPr>
        </w:p>
        <w:p w14:paraId="1FA41761" w14:textId="77777777" w:rsidR="00A000CF" w:rsidRPr="00931DCE" w:rsidRDefault="00A000CF" w:rsidP="00A000CF">
          <w:pPr>
            <w:spacing w:after="0" w:line="240" w:lineRule="auto"/>
            <w:jc w:val="both"/>
            <w:rPr>
              <w:rFonts w:ascii="Times New Roman" w:hAnsi="Times New Roman"/>
              <w:color w:val="000000"/>
              <w:sz w:val="24"/>
              <w:szCs w:val="24"/>
            </w:rPr>
          </w:pPr>
          <w:r w:rsidRPr="00931DCE">
            <w:rPr>
              <w:rFonts w:ascii="Times New Roman" w:hAnsi="Times New Roman"/>
              <w:color w:val="000000"/>
              <w:sz w:val="24"/>
              <w:szCs w:val="24"/>
            </w:rPr>
            <w:t>El pasivo financiero se afectará cuando se presente alguna de las siguientes situaciones:</w:t>
          </w:r>
        </w:p>
        <w:p w14:paraId="7521B36F" w14:textId="77777777" w:rsidR="00A000CF" w:rsidRPr="00931DCE" w:rsidRDefault="00A000CF" w:rsidP="00A000CF">
          <w:pPr>
            <w:spacing w:after="0" w:line="240" w:lineRule="auto"/>
            <w:jc w:val="both"/>
            <w:rPr>
              <w:rFonts w:ascii="Times New Roman" w:hAnsi="Times New Roman"/>
              <w:color w:val="000000"/>
              <w:sz w:val="24"/>
              <w:szCs w:val="24"/>
            </w:rPr>
          </w:pPr>
        </w:p>
        <w:p w14:paraId="28EDA94E" w14:textId="77777777" w:rsidR="00A000CF" w:rsidRPr="00931DCE" w:rsidRDefault="00A000CF" w:rsidP="00E60BAB">
          <w:pPr>
            <w:pStyle w:val="Prrafodelista"/>
            <w:numPr>
              <w:ilvl w:val="0"/>
              <w:numId w:val="47"/>
            </w:numPr>
            <w:spacing w:after="0" w:line="240" w:lineRule="auto"/>
            <w:jc w:val="both"/>
            <w:rPr>
              <w:rFonts w:ascii="Times New Roman" w:hAnsi="Times New Roman"/>
              <w:color w:val="000000"/>
              <w:sz w:val="24"/>
              <w:szCs w:val="24"/>
            </w:rPr>
          </w:pPr>
          <w:r w:rsidRPr="00931DCE">
            <w:rPr>
              <w:rFonts w:ascii="Times New Roman" w:hAnsi="Times New Roman"/>
              <w:color w:val="000000"/>
              <w:sz w:val="24"/>
              <w:szCs w:val="24"/>
            </w:rPr>
            <w:t>Por las adiciones de CAPEX (infraestructura), de acuerdo con la actualización del “modelo financiero con fines contables”.</w:t>
          </w:r>
        </w:p>
        <w:p w14:paraId="4084D21A" w14:textId="77777777" w:rsidR="00A000CF" w:rsidRPr="00931DCE" w:rsidRDefault="00A000CF" w:rsidP="00E60BAB">
          <w:pPr>
            <w:pStyle w:val="Prrafodelista"/>
            <w:numPr>
              <w:ilvl w:val="0"/>
              <w:numId w:val="47"/>
            </w:numPr>
            <w:spacing w:after="0" w:line="240" w:lineRule="auto"/>
            <w:jc w:val="both"/>
            <w:rPr>
              <w:rFonts w:ascii="Times New Roman" w:hAnsi="Times New Roman"/>
              <w:sz w:val="24"/>
              <w:szCs w:val="24"/>
            </w:rPr>
          </w:pPr>
          <w:r w:rsidRPr="00931DCE">
            <w:rPr>
              <w:rFonts w:ascii="Times New Roman" w:hAnsi="Times New Roman"/>
              <w:color w:val="000000"/>
              <w:sz w:val="24"/>
              <w:szCs w:val="24"/>
            </w:rPr>
            <w:t>Por la actualización de la carga financiera al final del periodo contable conforme al modelo financiero con fines contables.</w:t>
          </w:r>
        </w:p>
        <w:p w14:paraId="427D1533" w14:textId="0A71FDC0" w:rsidR="00A000CF" w:rsidRPr="00931DCE" w:rsidRDefault="00A000CF" w:rsidP="00E60BAB">
          <w:pPr>
            <w:pStyle w:val="Prrafodelista"/>
            <w:numPr>
              <w:ilvl w:val="0"/>
              <w:numId w:val="47"/>
            </w:numPr>
            <w:spacing w:after="0" w:line="240" w:lineRule="auto"/>
            <w:jc w:val="both"/>
            <w:rPr>
              <w:rFonts w:ascii="Times New Roman" w:hAnsi="Times New Roman"/>
              <w:sz w:val="24"/>
              <w:szCs w:val="24"/>
            </w:rPr>
          </w:pPr>
          <w:r w:rsidRPr="00931DCE">
            <w:rPr>
              <w:rFonts w:ascii="Times New Roman" w:hAnsi="Times New Roman"/>
              <w:color w:val="000000"/>
              <w:sz w:val="24"/>
              <w:szCs w:val="24"/>
            </w:rPr>
            <w:t xml:space="preserve">Por la retribución que se efectúe a los concesionarios privados de acuerdo con lo informado en el Formato </w:t>
          </w:r>
          <w:r w:rsidR="00DC15C3" w:rsidRPr="00931DCE">
            <w:rPr>
              <w:rFonts w:ascii="Times New Roman" w:hAnsi="Times New Roman"/>
              <w:color w:val="000000"/>
              <w:sz w:val="24"/>
              <w:szCs w:val="24"/>
            </w:rPr>
            <w:t xml:space="preserve">de </w:t>
          </w:r>
          <w:r w:rsidRPr="00931DCE">
            <w:rPr>
              <w:rFonts w:ascii="Times New Roman" w:hAnsi="Times New Roman"/>
              <w:color w:val="000000"/>
              <w:sz w:val="24"/>
              <w:szCs w:val="24"/>
            </w:rPr>
            <w:t>Ejecución de Recursos Públicos.</w:t>
          </w:r>
        </w:p>
        <w:p w14:paraId="53A312A1" w14:textId="77777777" w:rsidR="00A000CF" w:rsidRPr="00931DCE" w:rsidRDefault="00A000CF" w:rsidP="00A000CF">
          <w:pPr>
            <w:spacing w:after="0" w:line="240" w:lineRule="auto"/>
            <w:jc w:val="both"/>
            <w:rPr>
              <w:rFonts w:ascii="Times New Roman" w:hAnsi="Times New Roman"/>
              <w:sz w:val="24"/>
              <w:szCs w:val="24"/>
            </w:rPr>
          </w:pPr>
        </w:p>
        <w:p w14:paraId="320E80CF" w14:textId="17C29C3A" w:rsidR="00A000CF" w:rsidRPr="00931DCE" w:rsidRDefault="00A000CF" w:rsidP="00A000CF">
          <w:pPr>
            <w:spacing w:after="0" w:line="240" w:lineRule="auto"/>
            <w:jc w:val="both"/>
            <w:rPr>
              <w:rFonts w:ascii="Times New Roman" w:hAnsi="Times New Roman"/>
              <w:sz w:val="24"/>
              <w:szCs w:val="24"/>
            </w:rPr>
          </w:pPr>
          <w:r w:rsidRPr="00A61D74">
            <w:rPr>
              <w:rFonts w:ascii="Times New Roman" w:hAnsi="Times New Roman"/>
              <w:color w:val="000000"/>
              <w:sz w:val="24"/>
              <w:szCs w:val="24"/>
            </w:rPr>
            <w:t xml:space="preserve">El Pasivo financiero para el cierre </w:t>
          </w:r>
          <w:r w:rsidR="007160A3" w:rsidRPr="00A61D74">
            <w:rPr>
              <w:rFonts w:ascii="Times New Roman" w:hAnsi="Times New Roman"/>
              <w:color w:val="000000"/>
              <w:sz w:val="24"/>
              <w:szCs w:val="24"/>
            </w:rPr>
            <w:t>del período</w:t>
          </w:r>
          <w:r w:rsidRPr="00A61D74">
            <w:rPr>
              <w:rFonts w:ascii="Times New Roman" w:hAnsi="Times New Roman"/>
              <w:color w:val="000000"/>
              <w:sz w:val="24"/>
              <w:szCs w:val="24"/>
            </w:rPr>
            <w:t xml:space="preserve"> presenta un </w:t>
          </w:r>
          <w:r w:rsidR="001B051D" w:rsidRPr="00A61D74">
            <w:rPr>
              <w:rFonts w:ascii="Times New Roman" w:hAnsi="Times New Roman"/>
              <w:color w:val="000000"/>
              <w:sz w:val="24"/>
              <w:szCs w:val="24"/>
            </w:rPr>
            <w:t>decremento</w:t>
          </w:r>
          <w:r w:rsidRPr="00A61D74">
            <w:rPr>
              <w:rFonts w:ascii="Times New Roman" w:hAnsi="Times New Roman"/>
              <w:color w:val="000000"/>
              <w:sz w:val="24"/>
              <w:szCs w:val="24"/>
            </w:rPr>
            <w:t xml:space="preserve"> de $</w:t>
          </w:r>
          <w:r w:rsidR="001B051D" w:rsidRPr="00A61D74">
            <w:rPr>
              <w:rFonts w:ascii="Times New Roman" w:hAnsi="Times New Roman"/>
              <w:color w:val="000000"/>
              <w:sz w:val="24"/>
              <w:szCs w:val="24"/>
            </w:rPr>
            <w:t>- 76.542.71</w:t>
          </w:r>
          <w:r w:rsidR="00C15887" w:rsidRPr="00A61D74">
            <w:rPr>
              <w:rFonts w:ascii="Times New Roman" w:hAnsi="Times New Roman"/>
              <w:color w:val="000000"/>
              <w:sz w:val="24"/>
              <w:szCs w:val="24"/>
            </w:rPr>
            <w:t>5</w:t>
          </w:r>
          <w:r w:rsidR="001B051D" w:rsidRPr="00A61D74">
            <w:rPr>
              <w:rFonts w:ascii="Times New Roman" w:hAnsi="Times New Roman"/>
              <w:color w:val="000000"/>
              <w:sz w:val="24"/>
              <w:szCs w:val="24"/>
            </w:rPr>
            <w:t>.</w:t>
          </w:r>
          <w:r w:rsidR="00C15887" w:rsidRPr="00A61D74">
            <w:rPr>
              <w:rFonts w:ascii="Times New Roman" w:hAnsi="Times New Roman"/>
              <w:color w:val="000000"/>
              <w:sz w:val="24"/>
              <w:szCs w:val="24"/>
            </w:rPr>
            <w:t>017</w:t>
          </w:r>
          <w:r w:rsidRPr="00A61D74">
            <w:rPr>
              <w:rFonts w:ascii="Times New Roman" w:hAnsi="Times New Roman"/>
              <w:color w:val="000000"/>
              <w:sz w:val="24"/>
              <w:szCs w:val="24"/>
            </w:rPr>
            <w:t xml:space="preserve">, respecto al año </w:t>
          </w:r>
          <w:r w:rsidR="00EF6E05" w:rsidRPr="00A61D74">
            <w:rPr>
              <w:rFonts w:ascii="Times New Roman" w:hAnsi="Times New Roman"/>
              <w:color w:val="000000"/>
              <w:sz w:val="24"/>
              <w:szCs w:val="24"/>
            </w:rPr>
            <w:t>202</w:t>
          </w:r>
          <w:r w:rsidR="00C15887" w:rsidRPr="00A61D74">
            <w:rPr>
              <w:rFonts w:ascii="Times New Roman" w:hAnsi="Times New Roman"/>
              <w:color w:val="000000"/>
              <w:sz w:val="24"/>
              <w:szCs w:val="24"/>
            </w:rPr>
            <w:t>3,</w:t>
          </w:r>
          <w:r w:rsidR="00C15887">
            <w:rPr>
              <w:rFonts w:ascii="Times New Roman" w:hAnsi="Times New Roman"/>
              <w:sz w:val="24"/>
              <w:szCs w:val="24"/>
            </w:rPr>
            <w:t xml:space="preserve"> producto </w:t>
          </w:r>
          <w:r w:rsidR="00A61D74">
            <w:rPr>
              <w:rFonts w:ascii="Times New Roman" w:hAnsi="Times New Roman"/>
              <w:sz w:val="24"/>
              <w:szCs w:val="24"/>
            </w:rPr>
            <w:t>de las ejecuciones de recursos de los proyectos con aportes estatales, entre otras.</w:t>
          </w:r>
        </w:p>
        <w:p w14:paraId="71704243" w14:textId="77777777" w:rsidR="00A000CF" w:rsidRPr="00931DCE" w:rsidRDefault="00A000CF" w:rsidP="00A000CF">
          <w:pPr>
            <w:spacing w:after="0" w:line="240" w:lineRule="auto"/>
            <w:jc w:val="both"/>
            <w:rPr>
              <w:rFonts w:ascii="Times New Roman" w:hAnsi="Times New Roman"/>
              <w:sz w:val="24"/>
              <w:szCs w:val="24"/>
            </w:rPr>
          </w:pPr>
        </w:p>
        <w:p w14:paraId="7AAB05F6" w14:textId="60EAC005" w:rsidR="00A000CF" w:rsidRPr="00931DCE" w:rsidRDefault="008A0EFF" w:rsidP="00A000CF">
          <w:pPr>
            <w:spacing w:after="0" w:line="240" w:lineRule="auto"/>
            <w:jc w:val="both"/>
            <w:rPr>
              <w:rFonts w:ascii="Times New Roman" w:hAnsi="Times New Roman"/>
              <w:sz w:val="24"/>
              <w:szCs w:val="24"/>
            </w:rPr>
          </w:pPr>
          <w:r w:rsidRPr="00931DCE">
            <w:rPr>
              <w:rFonts w:ascii="Times New Roman" w:hAnsi="Times New Roman"/>
              <w:sz w:val="24"/>
              <w:szCs w:val="24"/>
            </w:rPr>
            <w:t>A continuación</w:t>
          </w:r>
          <w:r w:rsidR="00A000CF" w:rsidRPr="00931DCE">
            <w:rPr>
              <w:rFonts w:ascii="Times New Roman" w:hAnsi="Times New Roman"/>
              <w:sz w:val="24"/>
              <w:szCs w:val="24"/>
            </w:rPr>
            <w:t>, se relaciona la composición de dicha subcuenta a nivel de tercero con su representación por acuerdo de concesión:</w:t>
          </w:r>
        </w:p>
        <w:p w14:paraId="5BA16A73" w14:textId="77777777" w:rsidR="00C15887" w:rsidRDefault="00C15887" w:rsidP="00A000CF">
          <w:pPr>
            <w:spacing w:after="0" w:line="240" w:lineRule="auto"/>
            <w:jc w:val="both"/>
            <w:rPr>
              <w:rFonts w:ascii="Times New Roman" w:hAnsi="Times New Roman"/>
              <w:sz w:val="24"/>
              <w:szCs w:val="24"/>
            </w:rPr>
          </w:pPr>
        </w:p>
        <w:p w14:paraId="43A33779" w14:textId="34DF85B8" w:rsidR="00A91F26" w:rsidRPr="00931DCE" w:rsidRDefault="00A91F26" w:rsidP="00A000CF">
          <w:pPr>
            <w:spacing w:after="0" w:line="240" w:lineRule="auto"/>
            <w:jc w:val="both"/>
            <w:rPr>
              <w:rFonts w:ascii="Times New Roman" w:hAnsi="Times New Roman"/>
              <w:sz w:val="24"/>
              <w:szCs w:val="24"/>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CellMar>
              <w:left w:w="70" w:type="dxa"/>
              <w:right w:w="70" w:type="dxa"/>
            </w:tblCellMar>
            <w:tblLook w:val="04A0" w:firstRow="1" w:lastRow="0" w:firstColumn="1" w:lastColumn="0" w:noHBand="0" w:noVBand="1"/>
          </w:tblPr>
          <w:tblGrid>
            <w:gridCol w:w="836"/>
            <w:gridCol w:w="3231"/>
            <w:gridCol w:w="1770"/>
            <w:gridCol w:w="1693"/>
            <w:gridCol w:w="1439"/>
          </w:tblGrid>
          <w:tr w:rsidR="00077986" w:rsidRPr="00F4317C" w14:paraId="5EEA5FFF" w14:textId="77777777" w:rsidTr="00F4317C">
            <w:trPr>
              <w:trHeight w:val="300"/>
            </w:trPr>
            <w:tc>
              <w:tcPr>
                <w:tcW w:w="2267" w:type="pct"/>
                <w:gridSpan w:val="2"/>
                <w:shd w:val="clear" w:color="auto" w:fill="auto"/>
                <w:noWrap/>
                <w:vAlign w:val="center"/>
                <w:hideMark/>
              </w:tcPr>
              <w:p w14:paraId="47FADD39" w14:textId="77777777" w:rsidR="00C90EAA" w:rsidRPr="00C90EAA" w:rsidRDefault="00C90EAA" w:rsidP="00C90EAA">
                <w:pPr>
                  <w:spacing w:after="0" w:line="240" w:lineRule="auto"/>
                  <w:jc w:val="center"/>
                  <w:rPr>
                    <w:rFonts w:ascii="Times New Roman" w:eastAsia="Times New Roman" w:hAnsi="Times New Roman"/>
                    <w:b/>
                    <w:bCs/>
                    <w:color w:val="000000"/>
                    <w:sz w:val="14"/>
                    <w:szCs w:val="14"/>
                    <w:lang w:eastAsia="es-CO"/>
                  </w:rPr>
                </w:pPr>
                <w:r w:rsidRPr="00C90EAA">
                  <w:rPr>
                    <w:rFonts w:ascii="Times New Roman" w:eastAsia="Times New Roman" w:hAnsi="Times New Roman"/>
                    <w:b/>
                    <w:bCs/>
                    <w:color w:val="000000"/>
                    <w:sz w:val="14"/>
                    <w:szCs w:val="14"/>
                    <w:lang w:eastAsia="es-CO"/>
                  </w:rPr>
                  <w:t>TERCERO</w:t>
                </w:r>
              </w:p>
            </w:tc>
            <w:tc>
              <w:tcPr>
                <w:tcW w:w="987" w:type="pct"/>
                <w:shd w:val="clear" w:color="auto" w:fill="auto"/>
                <w:noWrap/>
                <w:vAlign w:val="center"/>
                <w:hideMark/>
              </w:tcPr>
              <w:p w14:paraId="7E05A7EC" w14:textId="77777777" w:rsidR="00C90EAA" w:rsidRPr="00C90EAA" w:rsidRDefault="00C90EAA" w:rsidP="00C90EAA">
                <w:pPr>
                  <w:spacing w:after="0" w:line="240" w:lineRule="auto"/>
                  <w:jc w:val="center"/>
                  <w:rPr>
                    <w:rFonts w:ascii="Times New Roman" w:eastAsia="Times New Roman" w:hAnsi="Times New Roman"/>
                    <w:b/>
                    <w:bCs/>
                    <w:color w:val="000000"/>
                    <w:sz w:val="14"/>
                    <w:szCs w:val="14"/>
                    <w:lang w:eastAsia="es-CO"/>
                  </w:rPr>
                </w:pPr>
                <w:r w:rsidRPr="00C90EAA">
                  <w:rPr>
                    <w:rFonts w:ascii="Times New Roman" w:eastAsia="Times New Roman" w:hAnsi="Times New Roman"/>
                    <w:b/>
                    <w:bCs/>
                    <w:color w:val="000000"/>
                    <w:sz w:val="14"/>
                    <w:szCs w:val="14"/>
                    <w:lang w:eastAsia="es-CO"/>
                  </w:rPr>
                  <w:t>2023</w:t>
                </w:r>
              </w:p>
            </w:tc>
            <w:tc>
              <w:tcPr>
                <w:tcW w:w="944" w:type="pct"/>
                <w:shd w:val="clear" w:color="auto" w:fill="auto"/>
                <w:noWrap/>
                <w:vAlign w:val="center"/>
                <w:hideMark/>
              </w:tcPr>
              <w:p w14:paraId="3A080F3B" w14:textId="77777777" w:rsidR="00C90EAA" w:rsidRPr="00C90EAA" w:rsidRDefault="00C90EAA" w:rsidP="00C90EAA">
                <w:pPr>
                  <w:spacing w:after="0" w:line="240" w:lineRule="auto"/>
                  <w:jc w:val="center"/>
                  <w:rPr>
                    <w:rFonts w:ascii="Times New Roman" w:eastAsia="Times New Roman" w:hAnsi="Times New Roman"/>
                    <w:b/>
                    <w:bCs/>
                    <w:color w:val="000000"/>
                    <w:sz w:val="14"/>
                    <w:szCs w:val="14"/>
                    <w:lang w:eastAsia="es-CO"/>
                  </w:rPr>
                </w:pPr>
                <w:r w:rsidRPr="00C90EAA">
                  <w:rPr>
                    <w:rFonts w:ascii="Times New Roman" w:eastAsia="Times New Roman" w:hAnsi="Times New Roman"/>
                    <w:b/>
                    <w:bCs/>
                    <w:color w:val="000000"/>
                    <w:sz w:val="14"/>
                    <w:szCs w:val="14"/>
                    <w:lang w:eastAsia="es-CO"/>
                  </w:rPr>
                  <w:t>2022</w:t>
                </w:r>
              </w:p>
            </w:tc>
            <w:tc>
              <w:tcPr>
                <w:tcW w:w="803" w:type="pct"/>
                <w:shd w:val="clear" w:color="auto" w:fill="auto"/>
                <w:noWrap/>
                <w:vAlign w:val="center"/>
                <w:hideMark/>
              </w:tcPr>
              <w:p w14:paraId="623D2612" w14:textId="77777777" w:rsidR="00C90EAA" w:rsidRPr="00C90EAA" w:rsidRDefault="00C90EAA" w:rsidP="00C90EAA">
                <w:pPr>
                  <w:spacing w:after="0" w:line="240" w:lineRule="auto"/>
                  <w:jc w:val="center"/>
                  <w:rPr>
                    <w:rFonts w:ascii="Times New Roman" w:eastAsia="Times New Roman" w:hAnsi="Times New Roman"/>
                    <w:b/>
                    <w:bCs/>
                    <w:color w:val="000000"/>
                    <w:sz w:val="14"/>
                    <w:szCs w:val="14"/>
                    <w:lang w:eastAsia="es-CO"/>
                  </w:rPr>
                </w:pPr>
                <w:r w:rsidRPr="00C90EAA">
                  <w:rPr>
                    <w:rFonts w:ascii="Times New Roman" w:eastAsia="Times New Roman" w:hAnsi="Times New Roman"/>
                    <w:b/>
                    <w:bCs/>
                    <w:color w:val="000000"/>
                    <w:sz w:val="14"/>
                    <w:szCs w:val="14"/>
                    <w:lang w:eastAsia="es-CO"/>
                  </w:rPr>
                  <w:t>VARIACION</w:t>
                </w:r>
              </w:p>
            </w:tc>
          </w:tr>
          <w:tr w:rsidR="00A122F3" w:rsidRPr="00F4317C" w14:paraId="2D106F9A" w14:textId="77777777" w:rsidTr="00F4317C">
            <w:trPr>
              <w:trHeight w:val="300"/>
            </w:trPr>
            <w:tc>
              <w:tcPr>
                <w:tcW w:w="466" w:type="pct"/>
                <w:shd w:val="clear" w:color="auto" w:fill="auto"/>
                <w:vAlign w:val="center"/>
                <w:hideMark/>
              </w:tcPr>
              <w:p w14:paraId="6071A336"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900902591</w:t>
                </w:r>
              </w:p>
            </w:tc>
            <w:tc>
              <w:tcPr>
                <w:tcW w:w="1800" w:type="pct"/>
                <w:shd w:val="clear" w:color="auto" w:fill="auto"/>
                <w:vAlign w:val="center"/>
                <w:hideMark/>
              </w:tcPr>
              <w:p w14:paraId="028F25D6"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AUTOPISTAS   URABA   SAS</w:t>
                </w:r>
              </w:p>
            </w:tc>
            <w:tc>
              <w:tcPr>
                <w:tcW w:w="987" w:type="pct"/>
                <w:shd w:val="clear" w:color="auto" w:fill="auto"/>
                <w:vAlign w:val="center"/>
                <w:hideMark/>
              </w:tcPr>
              <w:p w14:paraId="48AB46B4"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2.350.732.491.718</w:t>
                </w:r>
              </w:p>
            </w:tc>
            <w:tc>
              <w:tcPr>
                <w:tcW w:w="944" w:type="pct"/>
                <w:shd w:val="clear" w:color="auto" w:fill="auto"/>
                <w:vAlign w:val="center"/>
                <w:hideMark/>
              </w:tcPr>
              <w:p w14:paraId="6DC43790"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2.454.782.762.863</w:t>
                </w:r>
              </w:p>
            </w:tc>
            <w:tc>
              <w:tcPr>
                <w:tcW w:w="803" w:type="pct"/>
                <w:shd w:val="clear" w:color="auto" w:fill="auto"/>
                <w:vAlign w:val="center"/>
                <w:hideMark/>
              </w:tcPr>
              <w:p w14:paraId="1B948DCB"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-104.050.271.145</w:t>
                </w:r>
              </w:p>
            </w:tc>
          </w:tr>
          <w:tr w:rsidR="00A122F3" w:rsidRPr="00F4317C" w14:paraId="1D012601" w14:textId="77777777" w:rsidTr="00F4317C">
            <w:trPr>
              <w:trHeight w:val="300"/>
            </w:trPr>
            <w:tc>
              <w:tcPr>
                <w:tcW w:w="466" w:type="pct"/>
                <w:shd w:val="clear" w:color="auto" w:fill="auto"/>
                <w:vAlign w:val="center"/>
                <w:hideMark/>
              </w:tcPr>
              <w:p w14:paraId="6A962C07"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900744773</w:t>
                </w:r>
              </w:p>
            </w:tc>
            <w:tc>
              <w:tcPr>
                <w:tcW w:w="1800" w:type="pct"/>
                <w:shd w:val="clear" w:color="auto" w:fill="auto"/>
                <w:vAlign w:val="center"/>
                <w:hideMark/>
              </w:tcPr>
              <w:p w14:paraId="1E23F484"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CONCESIONARIA VIAL DEL PACIFICO S A S</w:t>
                </w:r>
              </w:p>
            </w:tc>
            <w:tc>
              <w:tcPr>
                <w:tcW w:w="987" w:type="pct"/>
                <w:shd w:val="clear" w:color="auto" w:fill="auto"/>
                <w:vAlign w:val="center"/>
                <w:hideMark/>
              </w:tcPr>
              <w:p w14:paraId="64683BFA"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2.060.367.622.163</w:t>
                </w:r>
              </w:p>
            </w:tc>
            <w:tc>
              <w:tcPr>
                <w:tcW w:w="944" w:type="pct"/>
                <w:shd w:val="clear" w:color="auto" w:fill="auto"/>
                <w:vAlign w:val="center"/>
                <w:hideMark/>
              </w:tcPr>
              <w:p w14:paraId="0DD1BF5D"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1.942.824.546.791</w:t>
                </w:r>
              </w:p>
            </w:tc>
            <w:tc>
              <w:tcPr>
                <w:tcW w:w="803" w:type="pct"/>
                <w:shd w:val="clear" w:color="auto" w:fill="auto"/>
                <w:vAlign w:val="center"/>
                <w:hideMark/>
              </w:tcPr>
              <w:p w14:paraId="42A70895"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117.543.075.372</w:t>
                </w:r>
              </w:p>
            </w:tc>
          </w:tr>
          <w:tr w:rsidR="00A122F3" w:rsidRPr="00F4317C" w14:paraId="4FF84E84" w14:textId="77777777" w:rsidTr="00F4317C">
            <w:trPr>
              <w:trHeight w:val="300"/>
            </w:trPr>
            <w:tc>
              <w:tcPr>
                <w:tcW w:w="466" w:type="pct"/>
                <w:shd w:val="clear" w:color="auto" w:fill="auto"/>
                <w:vAlign w:val="center"/>
                <w:hideMark/>
              </w:tcPr>
              <w:p w14:paraId="501BC117"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901082545</w:t>
                </w:r>
              </w:p>
            </w:tc>
            <w:tc>
              <w:tcPr>
                <w:tcW w:w="1800" w:type="pct"/>
                <w:shd w:val="clear" w:color="auto" w:fill="auto"/>
                <w:vAlign w:val="center"/>
                <w:hideMark/>
              </w:tcPr>
              <w:p w14:paraId="53CB6932"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UNION VIAL RIO PAMPLONITA SAS</w:t>
                </w:r>
              </w:p>
            </w:tc>
            <w:tc>
              <w:tcPr>
                <w:tcW w:w="987" w:type="pct"/>
                <w:shd w:val="clear" w:color="auto" w:fill="auto"/>
                <w:vAlign w:val="center"/>
                <w:hideMark/>
              </w:tcPr>
              <w:p w14:paraId="3D8F74D6"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2.016.730.282.201</w:t>
                </w:r>
              </w:p>
            </w:tc>
            <w:tc>
              <w:tcPr>
                <w:tcW w:w="944" w:type="pct"/>
                <w:shd w:val="clear" w:color="auto" w:fill="auto"/>
                <w:vAlign w:val="center"/>
                <w:hideMark/>
              </w:tcPr>
              <w:p w14:paraId="43820F22"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1.593.157.196.544</w:t>
                </w:r>
              </w:p>
            </w:tc>
            <w:tc>
              <w:tcPr>
                <w:tcW w:w="803" w:type="pct"/>
                <w:shd w:val="clear" w:color="auto" w:fill="auto"/>
                <w:vAlign w:val="center"/>
                <w:hideMark/>
              </w:tcPr>
              <w:p w14:paraId="6F8B5993"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423.573.085.657</w:t>
                </w:r>
              </w:p>
            </w:tc>
          </w:tr>
          <w:tr w:rsidR="00A122F3" w:rsidRPr="00F4317C" w14:paraId="4C022940" w14:textId="77777777" w:rsidTr="00F4317C">
            <w:trPr>
              <w:trHeight w:val="300"/>
            </w:trPr>
            <w:tc>
              <w:tcPr>
                <w:tcW w:w="466" w:type="pct"/>
                <w:shd w:val="clear" w:color="auto" w:fill="auto"/>
                <w:vAlign w:val="center"/>
                <w:hideMark/>
              </w:tcPr>
              <w:p w14:paraId="03E9105F"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900793991</w:t>
                </w:r>
              </w:p>
            </w:tc>
            <w:tc>
              <w:tcPr>
                <w:tcW w:w="1800" w:type="pct"/>
                <w:shd w:val="clear" w:color="auto" w:fill="auto"/>
                <w:vAlign w:val="center"/>
                <w:hideMark/>
              </w:tcPr>
              <w:p w14:paraId="1F25CE00"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AUTOPISTAS DEL NORDESTE S.A.S.</w:t>
                </w:r>
              </w:p>
            </w:tc>
            <w:tc>
              <w:tcPr>
                <w:tcW w:w="987" w:type="pct"/>
                <w:shd w:val="clear" w:color="auto" w:fill="auto"/>
                <w:vAlign w:val="center"/>
                <w:hideMark/>
              </w:tcPr>
              <w:p w14:paraId="085CA667"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1.569.490.714.696</w:t>
                </w:r>
              </w:p>
            </w:tc>
            <w:tc>
              <w:tcPr>
                <w:tcW w:w="944" w:type="pct"/>
                <w:shd w:val="clear" w:color="auto" w:fill="auto"/>
                <w:vAlign w:val="center"/>
                <w:hideMark/>
              </w:tcPr>
              <w:p w14:paraId="65686D12"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1.356.776.359.671</w:t>
                </w:r>
              </w:p>
            </w:tc>
            <w:tc>
              <w:tcPr>
                <w:tcW w:w="803" w:type="pct"/>
                <w:shd w:val="clear" w:color="auto" w:fill="auto"/>
                <w:vAlign w:val="center"/>
                <w:hideMark/>
              </w:tcPr>
              <w:p w14:paraId="722D3975"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212.714.355.025</w:t>
                </w:r>
              </w:p>
            </w:tc>
          </w:tr>
          <w:tr w:rsidR="00A122F3" w:rsidRPr="00F4317C" w14:paraId="04E2BA92" w14:textId="77777777" w:rsidTr="00F4317C">
            <w:trPr>
              <w:trHeight w:val="300"/>
            </w:trPr>
            <w:tc>
              <w:tcPr>
                <w:tcW w:w="466" w:type="pct"/>
                <w:shd w:val="clear" w:color="auto" w:fill="auto"/>
                <w:vAlign w:val="center"/>
                <w:hideMark/>
              </w:tcPr>
              <w:p w14:paraId="09F55DE3"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900880846</w:t>
                </w:r>
              </w:p>
            </w:tc>
            <w:tc>
              <w:tcPr>
                <w:tcW w:w="1800" w:type="pct"/>
                <w:shd w:val="clear" w:color="auto" w:fill="auto"/>
                <w:vAlign w:val="center"/>
                <w:hideMark/>
              </w:tcPr>
              <w:p w14:paraId="251F7494"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CONCESIONARIA VIAL UNIÓN DEL SUR S.A.S.</w:t>
                </w:r>
              </w:p>
            </w:tc>
            <w:tc>
              <w:tcPr>
                <w:tcW w:w="987" w:type="pct"/>
                <w:shd w:val="clear" w:color="auto" w:fill="auto"/>
                <w:vAlign w:val="center"/>
                <w:hideMark/>
              </w:tcPr>
              <w:p w14:paraId="42C82490"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1.303.827.300.347</w:t>
                </w:r>
              </w:p>
            </w:tc>
            <w:tc>
              <w:tcPr>
                <w:tcW w:w="944" w:type="pct"/>
                <w:shd w:val="clear" w:color="auto" w:fill="auto"/>
                <w:vAlign w:val="center"/>
                <w:hideMark/>
              </w:tcPr>
              <w:p w14:paraId="132F7724"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1.627.242.082.975</w:t>
                </w:r>
              </w:p>
            </w:tc>
            <w:tc>
              <w:tcPr>
                <w:tcW w:w="803" w:type="pct"/>
                <w:shd w:val="clear" w:color="auto" w:fill="auto"/>
                <w:vAlign w:val="center"/>
                <w:hideMark/>
              </w:tcPr>
              <w:p w14:paraId="1EFA56DA"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-323.414.782.628</w:t>
                </w:r>
              </w:p>
            </w:tc>
          </w:tr>
          <w:tr w:rsidR="00A122F3" w:rsidRPr="00F4317C" w14:paraId="0FF392AD" w14:textId="77777777" w:rsidTr="00F4317C">
            <w:trPr>
              <w:trHeight w:val="300"/>
            </w:trPr>
            <w:tc>
              <w:tcPr>
                <w:tcW w:w="466" w:type="pct"/>
                <w:shd w:val="clear" w:color="auto" w:fill="auto"/>
                <w:vAlign w:val="center"/>
                <w:hideMark/>
              </w:tcPr>
              <w:p w14:paraId="091C308F"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900869678</w:t>
                </w:r>
              </w:p>
            </w:tc>
            <w:tc>
              <w:tcPr>
                <w:tcW w:w="1800" w:type="pct"/>
                <w:shd w:val="clear" w:color="auto" w:fill="auto"/>
                <w:vAlign w:val="center"/>
                <w:hideMark/>
              </w:tcPr>
              <w:p w14:paraId="197F964C" w14:textId="542D6973"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DESARROLLO VIAL AL  MAR   S.A.S</w:t>
                </w:r>
              </w:p>
            </w:tc>
            <w:tc>
              <w:tcPr>
                <w:tcW w:w="987" w:type="pct"/>
                <w:shd w:val="clear" w:color="auto" w:fill="auto"/>
                <w:vAlign w:val="center"/>
                <w:hideMark/>
              </w:tcPr>
              <w:p w14:paraId="4EB5ABDD"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1.294.728.664.372</w:t>
                </w:r>
              </w:p>
            </w:tc>
            <w:tc>
              <w:tcPr>
                <w:tcW w:w="944" w:type="pct"/>
                <w:shd w:val="clear" w:color="auto" w:fill="auto"/>
                <w:vAlign w:val="center"/>
                <w:hideMark/>
              </w:tcPr>
              <w:p w14:paraId="2A8F175A"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1.754.989.689.060</w:t>
                </w:r>
              </w:p>
            </w:tc>
            <w:tc>
              <w:tcPr>
                <w:tcW w:w="803" w:type="pct"/>
                <w:shd w:val="clear" w:color="auto" w:fill="auto"/>
                <w:vAlign w:val="center"/>
                <w:hideMark/>
              </w:tcPr>
              <w:p w14:paraId="4E7F97E9"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-460.261.024.688</w:t>
                </w:r>
              </w:p>
            </w:tc>
          </w:tr>
          <w:tr w:rsidR="00A122F3" w:rsidRPr="00F4317C" w14:paraId="0F086AD6" w14:textId="77777777" w:rsidTr="00F4317C">
            <w:trPr>
              <w:trHeight w:val="300"/>
            </w:trPr>
            <w:tc>
              <w:tcPr>
                <w:tcW w:w="466" w:type="pct"/>
                <w:shd w:val="clear" w:color="auto" w:fill="auto"/>
                <w:vAlign w:val="center"/>
                <w:hideMark/>
              </w:tcPr>
              <w:p w14:paraId="0E4E9FD6"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900862215</w:t>
                </w:r>
              </w:p>
            </w:tc>
            <w:tc>
              <w:tcPr>
                <w:tcW w:w="1800" w:type="pct"/>
                <w:shd w:val="clear" w:color="auto" w:fill="auto"/>
                <w:vAlign w:val="center"/>
                <w:hideMark/>
              </w:tcPr>
              <w:p w14:paraId="795695ED"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CONCESIONARIA VIAL DEL ORIENTE S A S</w:t>
                </w:r>
              </w:p>
            </w:tc>
            <w:tc>
              <w:tcPr>
                <w:tcW w:w="987" w:type="pct"/>
                <w:shd w:val="clear" w:color="auto" w:fill="auto"/>
                <w:vAlign w:val="center"/>
                <w:hideMark/>
              </w:tcPr>
              <w:p w14:paraId="09C2A65A"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1.187.977.593.147</w:t>
                </w:r>
              </w:p>
            </w:tc>
            <w:tc>
              <w:tcPr>
                <w:tcW w:w="944" w:type="pct"/>
                <w:shd w:val="clear" w:color="auto" w:fill="auto"/>
                <w:vAlign w:val="center"/>
                <w:hideMark/>
              </w:tcPr>
              <w:p w14:paraId="0B748AEA"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1.350.017.241.904</w:t>
                </w:r>
              </w:p>
            </w:tc>
            <w:tc>
              <w:tcPr>
                <w:tcW w:w="803" w:type="pct"/>
                <w:shd w:val="clear" w:color="auto" w:fill="auto"/>
                <w:vAlign w:val="center"/>
                <w:hideMark/>
              </w:tcPr>
              <w:p w14:paraId="1101D9AD"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-162.039.648.757</w:t>
                </w:r>
              </w:p>
            </w:tc>
          </w:tr>
          <w:tr w:rsidR="00A122F3" w:rsidRPr="00F4317C" w14:paraId="4BBFD7BA" w14:textId="77777777" w:rsidTr="00F4317C">
            <w:trPr>
              <w:trHeight w:val="300"/>
            </w:trPr>
            <w:tc>
              <w:tcPr>
                <w:tcW w:w="466" w:type="pct"/>
                <w:shd w:val="clear" w:color="auto" w:fill="auto"/>
                <w:vAlign w:val="center"/>
                <w:hideMark/>
              </w:tcPr>
              <w:p w14:paraId="50F754EE"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900763357</w:t>
                </w:r>
              </w:p>
            </w:tc>
            <w:tc>
              <w:tcPr>
                <w:tcW w:w="1800" w:type="pct"/>
                <w:shd w:val="clear" w:color="auto" w:fill="auto"/>
                <w:vAlign w:val="center"/>
                <w:hideMark/>
              </w:tcPr>
              <w:p w14:paraId="3B820959"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CONCESIÓN PACIFICO TRES S.A.S.</w:t>
                </w:r>
              </w:p>
            </w:tc>
            <w:tc>
              <w:tcPr>
                <w:tcW w:w="987" w:type="pct"/>
                <w:shd w:val="clear" w:color="auto" w:fill="auto"/>
                <w:vAlign w:val="center"/>
                <w:hideMark/>
              </w:tcPr>
              <w:p w14:paraId="06AD81D6"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1.168.989.719.332</w:t>
                </w:r>
              </w:p>
            </w:tc>
            <w:tc>
              <w:tcPr>
                <w:tcW w:w="944" w:type="pct"/>
                <w:shd w:val="clear" w:color="auto" w:fill="auto"/>
                <w:vAlign w:val="center"/>
                <w:hideMark/>
              </w:tcPr>
              <w:p w14:paraId="495AB4CD"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1.316.930.958.963</w:t>
                </w:r>
              </w:p>
            </w:tc>
            <w:tc>
              <w:tcPr>
                <w:tcW w:w="803" w:type="pct"/>
                <w:shd w:val="clear" w:color="auto" w:fill="auto"/>
                <w:vAlign w:val="center"/>
                <w:hideMark/>
              </w:tcPr>
              <w:p w14:paraId="37D6EFF2"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-147.941.239.631</w:t>
                </w:r>
              </w:p>
            </w:tc>
          </w:tr>
          <w:tr w:rsidR="00A122F3" w:rsidRPr="00F4317C" w14:paraId="50638760" w14:textId="77777777" w:rsidTr="00F4317C">
            <w:trPr>
              <w:trHeight w:val="360"/>
            </w:trPr>
            <w:tc>
              <w:tcPr>
                <w:tcW w:w="466" w:type="pct"/>
                <w:shd w:val="clear" w:color="auto" w:fill="auto"/>
                <w:vAlign w:val="center"/>
                <w:hideMark/>
              </w:tcPr>
              <w:p w14:paraId="19C3D8FC"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900373092</w:t>
                </w:r>
              </w:p>
            </w:tc>
            <w:tc>
              <w:tcPr>
                <w:tcW w:w="1800" w:type="pct"/>
                <w:shd w:val="clear" w:color="auto" w:fill="auto"/>
                <w:vAlign w:val="center"/>
                <w:hideMark/>
              </w:tcPr>
              <w:p w14:paraId="0967E9EE"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YUMA CONCESIONARIA S A - EN REORGANIZACION</w:t>
                </w:r>
              </w:p>
            </w:tc>
            <w:tc>
              <w:tcPr>
                <w:tcW w:w="987" w:type="pct"/>
                <w:shd w:val="clear" w:color="auto" w:fill="auto"/>
                <w:vAlign w:val="center"/>
                <w:hideMark/>
              </w:tcPr>
              <w:p w14:paraId="728613A5"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1.155.973.924.365</w:t>
                </w:r>
              </w:p>
            </w:tc>
            <w:tc>
              <w:tcPr>
                <w:tcW w:w="944" w:type="pct"/>
                <w:shd w:val="clear" w:color="auto" w:fill="auto"/>
                <w:vAlign w:val="center"/>
                <w:hideMark/>
              </w:tcPr>
              <w:p w14:paraId="1CAC8606"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897.663.485.408</w:t>
                </w:r>
              </w:p>
            </w:tc>
            <w:tc>
              <w:tcPr>
                <w:tcW w:w="803" w:type="pct"/>
                <w:shd w:val="clear" w:color="auto" w:fill="auto"/>
                <w:vAlign w:val="center"/>
                <w:hideMark/>
              </w:tcPr>
              <w:p w14:paraId="219E4902"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258.310.438.957</w:t>
                </w:r>
              </w:p>
            </w:tc>
          </w:tr>
          <w:tr w:rsidR="00A122F3" w:rsidRPr="00F4317C" w14:paraId="77230ECD" w14:textId="77777777" w:rsidTr="00F4317C">
            <w:trPr>
              <w:trHeight w:val="300"/>
            </w:trPr>
            <w:tc>
              <w:tcPr>
                <w:tcW w:w="466" w:type="pct"/>
                <w:shd w:val="clear" w:color="auto" w:fill="auto"/>
                <w:vAlign w:val="center"/>
                <w:hideMark/>
              </w:tcPr>
              <w:p w14:paraId="154D49D1"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900788548</w:t>
                </w:r>
              </w:p>
            </w:tc>
            <w:tc>
              <w:tcPr>
                <w:tcW w:w="1800" w:type="pct"/>
                <w:shd w:val="clear" w:color="auto" w:fill="auto"/>
                <w:vAlign w:val="center"/>
                <w:hideMark/>
              </w:tcPr>
              <w:p w14:paraId="51158588"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AUTOPISTA RIO MAGDALENA S A S</w:t>
                </w:r>
              </w:p>
            </w:tc>
            <w:tc>
              <w:tcPr>
                <w:tcW w:w="987" w:type="pct"/>
                <w:shd w:val="clear" w:color="auto" w:fill="auto"/>
                <w:vAlign w:val="center"/>
                <w:hideMark/>
              </w:tcPr>
              <w:p w14:paraId="41B08B7F"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1.112.525.328.300</w:t>
                </w:r>
              </w:p>
            </w:tc>
            <w:tc>
              <w:tcPr>
                <w:tcW w:w="944" w:type="pct"/>
                <w:shd w:val="clear" w:color="auto" w:fill="auto"/>
                <w:vAlign w:val="center"/>
                <w:hideMark/>
              </w:tcPr>
              <w:p w14:paraId="2CE45FDA"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1.087.054.908.127</w:t>
                </w:r>
              </w:p>
            </w:tc>
            <w:tc>
              <w:tcPr>
                <w:tcW w:w="803" w:type="pct"/>
                <w:shd w:val="clear" w:color="auto" w:fill="auto"/>
                <w:vAlign w:val="center"/>
                <w:hideMark/>
              </w:tcPr>
              <w:p w14:paraId="503E0A6E"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25.470.420.173</w:t>
                </w:r>
              </w:p>
            </w:tc>
          </w:tr>
          <w:tr w:rsidR="00A122F3" w:rsidRPr="00F4317C" w14:paraId="71981233" w14:textId="77777777" w:rsidTr="00F4317C">
            <w:trPr>
              <w:trHeight w:val="300"/>
            </w:trPr>
            <w:tc>
              <w:tcPr>
                <w:tcW w:w="466" w:type="pct"/>
                <w:shd w:val="clear" w:color="auto" w:fill="auto"/>
                <w:vAlign w:val="center"/>
                <w:hideMark/>
              </w:tcPr>
              <w:p w14:paraId="16FBBD72"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900871368</w:t>
                </w:r>
              </w:p>
            </w:tc>
            <w:tc>
              <w:tcPr>
                <w:tcW w:w="1800" w:type="pct"/>
                <w:shd w:val="clear" w:color="auto" w:fill="auto"/>
                <w:vAlign w:val="center"/>
                <w:hideMark/>
              </w:tcPr>
              <w:p w14:paraId="529F7257"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CONCESIONARIA RUTA DEL CACAO S.A.S.</w:t>
                </w:r>
              </w:p>
            </w:tc>
            <w:tc>
              <w:tcPr>
                <w:tcW w:w="987" w:type="pct"/>
                <w:shd w:val="clear" w:color="auto" w:fill="auto"/>
                <w:vAlign w:val="center"/>
                <w:hideMark/>
              </w:tcPr>
              <w:p w14:paraId="49F248B9"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1.049.332.873.815</w:t>
                </w:r>
              </w:p>
            </w:tc>
            <w:tc>
              <w:tcPr>
                <w:tcW w:w="944" w:type="pct"/>
                <w:shd w:val="clear" w:color="auto" w:fill="auto"/>
                <w:vAlign w:val="center"/>
                <w:hideMark/>
              </w:tcPr>
              <w:p w14:paraId="6EDCC83B"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1.097.020.178.618</w:t>
                </w:r>
              </w:p>
            </w:tc>
            <w:tc>
              <w:tcPr>
                <w:tcW w:w="803" w:type="pct"/>
                <w:shd w:val="clear" w:color="auto" w:fill="auto"/>
                <w:vAlign w:val="center"/>
                <w:hideMark/>
              </w:tcPr>
              <w:p w14:paraId="26FA7646"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-47.687.304.803</w:t>
                </w:r>
              </w:p>
            </w:tc>
          </w:tr>
          <w:tr w:rsidR="00A122F3" w:rsidRPr="00F4317C" w14:paraId="267002A4" w14:textId="77777777" w:rsidTr="00F4317C">
            <w:trPr>
              <w:trHeight w:val="345"/>
            </w:trPr>
            <w:tc>
              <w:tcPr>
                <w:tcW w:w="466" w:type="pct"/>
                <w:shd w:val="clear" w:color="auto" w:fill="auto"/>
                <w:vAlign w:val="center"/>
                <w:hideMark/>
              </w:tcPr>
              <w:p w14:paraId="71FF2643"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900763355</w:t>
                </w:r>
              </w:p>
            </w:tc>
            <w:tc>
              <w:tcPr>
                <w:tcW w:w="1800" w:type="pct"/>
                <w:shd w:val="clear" w:color="auto" w:fill="auto"/>
                <w:vAlign w:val="center"/>
                <w:hideMark/>
              </w:tcPr>
              <w:p w14:paraId="646BBC5E"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CONCESIÓN COSTERA CARTAGENA BARRANQUILLA S.A.S.</w:t>
                </w:r>
              </w:p>
            </w:tc>
            <w:tc>
              <w:tcPr>
                <w:tcW w:w="987" w:type="pct"/>
                <w:shd w:val="clear" w:color="auto" w:fill="auto"/>
                <w:vAlign w:val="center"/>
                <w:hideMark/>
              </w:tcPr>
              <w:p w14:paraId="14264EDF"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840.831.147.980</w:t>
                </w:r>
              </w:p>
            </w:tc>
            <w:tc>
              <w:tcPr>
                <w:tcW w:w="944" w:type="pct"/>
                <w:shd w:val="clear" w:color="auto" w:fill="auto"/>
                <w:vAlign w:val="center"/>
                <w:hideMark/>
              </w:tcPr>
              <w:p w14:paraId="1CAC89FF"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1.030.376.780.757</w:t>
                </w:r>
              </w:p>
            </w:tc>
            <w:tc>
              <w:tcPr>
                <w:tcW w:w="803" w:type="pct"/>
                <w:shd w:val="clear" w:color="auto" w:fill="auto"/>
                <w:vAlign w:val="center"/>
                <w:hideMark/>
              </w:tcPr>
              <w:p w14:paraId="2236ABF8"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-189.545.632.777</w:t>
                </w:r>
              </w:p>
            </w:tc>
          </w:tr>
          <w:tr w:rsidR="00A122F3" w:rsidRPr="00F4317C" w14:paraId="6B641F03" w14:textId="77777777" w:rsidTr="00F4317C">
            <w:trPr>
              <w:trHeight w:val="300"/>
            </w:trPr>
            <w:tc>
              <w:tcPr>
                <w:tcW w:w="466" w:type="pct"/>
                <w:shd w:val="clear" w:color="auto" w:fill="auto"/>
                <w:vAlign w:val="center"/>
                <w:hideMark/>
              </w:tcPr>
              <w:p w14:paraId="3222143D"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901482899</w:t>
                </w:r>
              </w:p>
            </w:tc>
            <w:tc>
              <w:tcPr>
                <w:tcW w:w="1800" w:type="pct"/>
                <w:shd w:val="clear" w:color="auto" w:fill="auto"/>
                <w:vAlign w:val="center"/>
                <w:hideMark/>
              </w:tcPr>
              <w:p w14:paraId="606F26A6"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CONCESIONARIA RUTA AL SUR S.A.S.</w:t>
                </w:r>
              </w:p>
            </w:tc>
            <w:tc>
              <w:tcPr>
                <w:tcW w:w="987" w:type="pct"/>
                <w:shd w:val="clear" w:color="auto" w:fill="auto"/>
                <w:vAlign w:val="center"/>
                <w:hideMark/>
              </w:tcPr>
              <w:p w14:paraId="232A9AE1"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737.046.644.273</w:t>
                </w:r>
              </w:p>
            </w:tc>
            <w:tc>
              <w:tcPr>
                <w:tcW w:w="944" w:type="pct"/>
                <w:shd w:val="clear" w:color="auto" w:fill="auto"/>
                <w:vAlign w:val="center"/>
                <w:hideMark/>
              </w:tcPr>
              <w:p w14:paraId="348464C8"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457.236.704.259</w:t>
                </w:r>
              </w:p>
            </w:tc>
            <w:tc>
              <w:tcPr>
                <w:tcW w:w="803" w:type="pct"/>
                <w:shd w:val="clear" w:color="auto" w:fill="auto"/>
                <w:vAlign w:val="center"/>
                <w:hideMark/>
              </w:tcPr>
              <w:p w14:paraId="561B2B97"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279.809.940.014</w:t>
                </w:r>
              </w:p>
            </w:tc>
          </w:tr>
          <w:tr w:rsidR="00A122F3" w:rsidRPr="00F4317C" w14:paraId="5BA29D2A" w14:textId="77777777" w:rsidTr="00F4317C">
            <w:trPr>
              <w:trHeight w:val="300"/>
            </w:trPr>
            <w:tc>
              <w:tcPr>
                <w:tcW w:w="466" w:type="pct"/>
                <w:shd w:val="clear" w:color="auto" w:fill="auto"/>
                <w:vAlign w:val="center"/>
                <w:hideMark/>
              </w:tcPr>
              <w:p w14:paraId="7B06AA27"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900740893</w:t>
                </w:r>
              </w:p>
            </w:tc>
            <w:tc>
              <w:tcPr>
                <w:tcW w:w="1800" w:type="pct"/>
                <w:shd w:val="clear" w:color="auto" w:fill="auto"/>
                <w:vAlign w:val="center"/>
                <w:hideMark/>
              </w:tcPr>
              <w:p w14:paraId="49BA81F2"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CONCESION LA PINTADA S.A.S.</w:t>
                </w:r>
              </w:p>
            </w:tc>
            <w:tc>
              <w:tcPr>
                <w:tcW w:w="987" w:type="pct"/>
                <w:shd w:val="clear" w:color="auto" w:fill="auto"/>
                <w:vAlign w:val="center"/>
                <w:hideMark/>
              </w:tcPr>
              <w:p w14:paraId="1317EA6C"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726.904.789.703</w:t>
                </w:r>
              </w:p>
            </w:tc>
            <w:tc>
              <w:tcPr>
                <w:tcW w:w="944" w:type="pct"/>
                <w:shd w:val="clear" w:color="auto" w:fill="auto"/>
                <w:vAlign w:val="center"/>
                <w:hideMark/>
              </w:tcPr>
              <w:p w14:paraId="1788EBFB"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879.013.713.592</w:t>
                </w:r>
              </w:p>
            </w:tc>
            <w:tc>
              <w:tcPr>
                <w:tcW w:w="803" w:type="pct"/>
                <w:shd w:val="clear" w:color="auto" w:fill="auto"/>
                <w:vAlign w:val="center"/>
                <w:hideMark/>
              </w:tcPr>
              <w:p w14:paraId="7AD1BF3E"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-152.108.923.889</w:t>
                </w:r>
              </w:p>
            </w:tc>
          </w:tr>
          <w:tr w:rsidR="00A122F3" w:rsidRPr="00F4317C" w14:paraId="03A82CFB" w14:textId="77777777" w:rsidTr="00F4317C">
            <w:trPr>
              <w:trHeight w:val="300"/>
            </w:trPr>
            <w:tc>
              <w:tcPr>
                <w:tcW w:w="466" w:type="pct"/>
                <w:shd w:val="clear" w:color="auto" w:fill="auto"/>
                <w:vAlign w:val="center"/>
                <w:hideMark/>
              </w:tcPr>
              <w:p w14:paraId="087446FA"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900745219</w:t>
                </w:r>
              </w:p>
            </w:tc>
            <w:tc>
              <w:tcPr>
                <w:tcW w:w="1800" w:type="pct"/>
                <w:shd w:val="clear" w:color="auto" w:fill="auto"/>
                <w:vAlign w:val="center"/>
                <w:hideMark/>
              </w:tcPr>
              <w:p w14:paraId="6FD39BD1"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CONCESIÓN ALTO MAGDALENA S A S</w:t>
                </w:r>
              </w:p>
            </w:tc>
            <w:tc>
              <w:tcPr>
                <w:tcW w:w="987" w:type="pct"/>
                <w:shd w:val="clear" w:color="auto" w:fill="auto"/>
                <w:vAlign w:val="center"/>
                <w:hideMark/>
              </w:tcPr>
              <w:p w14:paraId="240D8734"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697.696.437.798</w:t>
                </w:r>
              </w:p>
            </w:tc>
            <w:tc>
              <w:tcPr>
                <w:tcW w:w="944" w:type="pct"/>
                <w:shd w:val="clear" w:color="auto" w:fill="auto"/>
                <w:vAlign w:val="center"/>
                <w:hideMark/>
              </w:tcPr>
              <w:p w14:paraId="3608AD7C"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691.309.003.191</w:t>
                </w:r>
              </w:p>
            </w:tc>
            <w:tc>
              <w:tcPr>
                <w:tcW w:w="803" w:type="pct"/>
                <w:shd w:val="clear" w:color="auto" w:fill="auto"/>
                <w:vAlign w:val="center"/>
                <w:hideMark/>
              </w:tcPr>
              <w:p w14:paraId="05F42E7D"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6.387.434.607</w:t>
                </w:r>
              </w:p>
            </w:tc>
          </w:tr>
          <w:tr w:rsidR="00A122F3" w:rsidRPr="00F4317C" w14:paraId="1FE72319" w14:textId="77777777" w:rsidTr="00F4317C">
            <w:trPr>
              <w:trHeight w:val="300"/>
            </w:trPr>
            <w:tc>
              <w:tcPr>
                <w:tcW w:w="466" w:type="pct"/>
                <w:shd w:val="clear" w:color="auto" w:fill="auto"/>
                <w:vAlign w:val="center"/>
                <w:hideMark/>
              </w:tcPr>
              <w:p w14:paraId="65D25C2B"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900866440</w:t>
                </w:r>
              </w:p>
            </w:tc>
            <w:tc>
              <w:tcPr>
                <w:tcW w:w="1800" w:type="pct"/>
                <w:shd w:val="clear" w:color="auto" w:fill="auto"/>
                <w:vAlign w:val="center"/>
                <w:hideMark/>
              </w:tcPr>
              <w:p w14:paraId="5226C64C" w14:textId="094FAC88"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NUEVO CAUCA S A S</w:t>
                </w:r>
              </w:p>
            </w:tc>
            <w:tc>
              <w:tcPr>
                <w:tcW w:w="987" w:type="pct"/>
                <w:shd w:val="clear" w:color="auto" w:fill="auto"/>
                <w:vAlign w:val="center"/>
                <w:hideMark/>
              </w:tcPr>
              <w:p w14:paraId="349221EF"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541.303.695.950</w:t>
                </w:r>
              </w:p>
            </w:tc>
            <w:tc>
              <w:tcPr>
                <w:tcW w:w="944" w:type="pct"/>
                <w:shd w:val="clear" w:color="auto" w:fill="auto"/>
                <w:vAlign w:val="center"/>
                <w:hideMark/>
              </w:tcPr>
              <w:p w14:paraId="652C9CDF"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196.089.075.811</w:t>
                </w:r>
              </w:p>
            </w:tc>
            <w:tc>
              <w:tcPr>
                <w:tcW w:w="803" w:type="pct"/>
                <w:shd w:val="clear" w:color="auto" w:fill="auto"/>
                <w:vAlign w:val="center"/>
                <w:hideMark/>
              </w:tcPr>
              <w:p w14:paraId="7B8B090D"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345.214.620.139</w:t>
                </w:r>
              </w:p>
            </w:tc>
          </w:tr>
          <w:tr w:rsidR="00A122F3" w:rsidRPr="00F4317C" w14:paraId="500F2493" w14:textId="77777777" w:rsidTr="00F4317C">
            <w:trPr>
              <w:trHeight w:val="300"/>
            </w:trPr>
            <w:tc>
              <w:tcPr>
                <w:tcW w:w="466" w:type="pct"/>
                <w:shd w:val="clear" w:color="auto" w:fill="auto"/>
                <w:vAlign w:val="center"/>
                <w:hideMark/>
              </w:tcPr>
              <w:p w14:paraId="013A34CD"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900972713</w:t>
                </w:r>
              </w:p>
            </w:tc>
            <w:tc>
              <w:tcPr>
                <w:tcW w:w="1800" w:type="pct"/>
                <w:shd w:val="clear" w:color="auto" w:fill="auto"/>
                <w:vAlign w:val="center"/>
                <w:hideMark/>
              </w:tcPr>
              <w:p w14:paraId="31085139"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AUTOVIA BUCARAMANGA PAMPLONA S.A.S</w:t>
                </w:r>
              </w:p>
            </w:tc>
            <w:tc>
              <w:tcPr>
                <w:tcW w:w="987" w:type="pct"/>
                <w:shd w:val="clear" w:color="auto" w:fill="auto"/>
                <w:vAlign w:val="center"/>
                <w:hideMark/>
              </w:tcPr>
              <w:p w14:paraId="2720CCC1"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390.041.651.143</w:t>
                </w:r>
              </w:p>
            </w:tc>
            <w:tc>
              <w:tcPr>
                <w:tcW w:w="944" w:type="pct"/>
                <w:shd w:val="clear" w:color="auto" w:fill="auto"/>
                <w:vAlign w:val="center"/>
                <w:hideMark/>
              </w:tcPr>
              <w:p w14:paraId="305BCD50"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321.142.380.897</w:t>
                </w:r>
              </w:p>
            </w:tc>
            <w:tc>
              <w:tcPr>
                <w:tcW w:w="803" w:type="pct"/>
                <w:shd w:val="clear" w:color="auto" w:fill="auto"/>
                <w:vAlign w:val="center"/>
                <w:hideMark/>
              </w:tcPr>
              <w:p w14:paraId="4CE032F1"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68.899.270.246</w:t>
                </w:r>
              </w:p>
            </w:tc>
          </w:tr>
          <w:tr w:rsidR="00A122F3" w:rsidRPr="00F4317C" w14:paraId="1F6DB755" w14:textId="77777777" w:rsidTr="00F4317C">
            <w:trPr>
              <w:trHeight w:val="300"/>
            </w:trPr>
            <w:tc>
              <w:tcPr>
                <w:tcW w:w="466" w:type="pct"/>
                <w:shd w:val="clear" w:color="auto" w:fill="auto"/>
                <w:vAlign w:val="center"/>
                <w:hideMark/>
              </w:tcPr>
              <w:p w14:paraId="6FFAF577"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901161505</w:t>
                </w:r>
              </w:p>
            </w:tc>
            <w:tc>
              <w:tcPr>
                <w:tcW w:w="1800" w:type="pct"/>
                <w:shd w:val="clear" w:color="auto" w:fill="auto"/>
                <w:vAlign w:val="center"/>
                <w:hideMark/>
              </w:tcPr>
              <w:p w14:paraId="09A7BCD0"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CONCESION TRANSVERSAL DEL SISGA S.A.S</w:t>
                </w:r>
              </w:p>
            </w:tc>
            <w:tc>
              <w:tcPr>
                <w:tcW w:w="987" w:type="pct"/>
                <w:shd w:val="clear" w:color="auto" w:fill="auto"/>
                <w:vAlign w:val="center"/>
                <w:hideMark/>
              </w:tcPr>
              <w:p w14:paraId="03031E4E"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351.131.646.871</w:t>
                </w:r>
              </w:p>
            </w:tc>
            <w:tc>
              <w:tcPr>
                <w:tcW w:w="944" w:type="pct"/>
                <w:shd w:val="clear" w:color="auto" w:fill="auto"/>
                <w:vAlign w:val="center"/>
                <w:hideMark/>
              </w:tcPr>
              <w:p w14:paraId="29AE464B"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494.980.518.662</w:t>
                </w:r>
              </w:p>
            </w:tc>
            <w:tc>
              <w:tcPr>
                <w:tcW w:w="803" w:type="pct"/>
                <w:shd w:val="clear" w:color="auto" w:fill="auto"/>
                <w:vAlign w:val="center"/>
                <w:hideMark/>
              </w:tcPr>
              <w:p w14:paraId="1DCB6851"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-143.848.871.791</w:t>
                </w:r>
              </w:p>
            </w:tc>
          </w:tr>
          <w:tr w:rsidR="00A122F3" w:rsidRPr="00F4317C" w14:paraId="099FC2F1" w14:textId="77777777" w:rsidTr="00F4317C">
            <w:trPr>
              <w:trHeight w:val="360"/>
            </w:trPr>
            <w:tc>
              <w:tcPr>
                <w:tcW w:w="466" w:type="pct"/>
                <w:shd w:val="clear" w:color="auto" w:fill="auto"/>
                <w:vAlign w:val="center"/>
                <w:hideMark/>
              </w:tcPr>
              <w:p w14:paraId="4F1EEB6E"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900858096</w:t>
                </w:r>
              </w:p>
            </w:tc>
            <w:tc>
              <w:tcPr>
                <w:tcW w:w="1800" w:type="pct"/>
                <w:shd w:val="clear" w:color="auto" w:fill="auto"/>
                <w:vAlign w:val="center"/>
                <w:hideMark/>
              </w:tcPr>
              <w:p w14:paraId="703AB399"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SOCIEDAD CONCESIONARIA VIAL MONTES DE MARIA SAS</w:t>
                </w:r>
              </w:p>
            </w:tc>
            <w:tc>
              <w:tcPr>
                <w:tcW w:w="987" w:type="pct"/>
                <w:shd w:val="clear" w:color="auto" w:fill="auto"/>
                <w:vAlign w:val="center"/>
                <w:hideMark/>
              </w:tcPr>
              <w:p w14:paraId="1708F037"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149.458.062.958</w:t>
                </w:r>
              </w:p>
            </w:tc>
            <w:tc>
              <w:tcPr>
                <w:tcW w:w="944" w:type="pct"/>
                <w:shd w:val="clear" w:color="auto" w:fill="auto"/>
                <w:vAlign w:val="center"/>
                <w:hideMark/>
              </w:tcPr>
              <w:p w14:paraId="4CF43CBB"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330.028.544.110</w:t>
                </w:r>
              </w:p>
            </w:tc>
            <w:tc>
              <w:tcPr>
                <w:tcW w:w="803" w:type="pct"/>
                <w:shd w:val="clear" w:color="auto" w:fill="auto"/>
                <w:vAlign w:val="center"/>
                <w:hideMark/>
              </w:tcPr>
              <w:p w14:paraId="50CAA81A"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-180.570.481.152</w:t>
                </w:r>
              </w:p>
            </w:tc>
          </w:tr>
          <w:tr w:rsidR="00A122F3" w:rsidRPr="00F4317C" w14:paraId="1D1F1933" w14:textId="77777777" w:rsidTr="00F4317C">
            <w:trPr>
              <w:trHeight w:val="300"/>
            </w:trPr>
            <w:tc>
              <w:tcPr>
                <w:tcW w:w="466" w:type="pct"/>
                <w:shd w:val="clear" w:color="auto" w:fill="auto"/>
                <w:vAlign w:val="center"/>
                <w:hideMark/>
              </w:tcPr>
              <w:p w14:paraId="510654B1"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900761657</w:t>
                </w:r>
              </w:p>
            </w:tc>
            <w:tc>
              <w:tcPr>
                <w:tcW w:w="1800" w:type="pct"/>
                <w:shd w:val="clear" w:color="auto" w:fill="auto"/>
                <w:vAlign w:val="center"/>
                <w:hideMark/>
              </w:tcPr>
              <w:p w14:paraId="7AEBEC87"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PERIMETRAL ORIENTAL DE BOGOTA SAS</w:t>
                </w:r>
              </w:p>
            </w:tc>
            <w:tc>
              <w:tcPr>
                <w:tcW w:w="987" w:type="pct"/>
                <w:shd w:val="clear" w:color="auto" w:fill="auto"/>
                <w:vAlign w:val="center"/>
                <w:hideMark/>
              </w:tcPr>
              <w:p w14:paraId="47DDFC44"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127.323.764.748</w:t>
                </w:r>
              </w:p>
            </w:tc>
            <w:tc>
              <w:tcPr>
                <w:tcW w:w="944" w:type="pct"/>
                <w:shd w:val="clear" w:color="auto" w:fill="auto"/>
                <w:vAlign w:val="center"/>
                <w:hideMark/>
              </w:tcPr>
              <w:p w14:paraId="2A23950C"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124.445.026.914</w:t>
                </w:r>
              </w:p>
            </w:tc>
            <w:tc>
              <w:tcPr>
                <w:tcW w:w="803" w:type="pct"/>
                <w:shd w:val="clear" w:color="auto" w:fill="auto"/>
                <w:vAlign w:val="center"/>
                <w:hideMark/>
              </w:tcPr>
              <w:p w14:paraId="3219A6C1"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2.878.737.834</w:t>
                </w:r>
              </w:p>
            </w:tc>
          </w:tr>
          <w:tr w:rsidR="00A122F3" w:rsidRPr="00F4317C" w14:paraId="1612798A" w14:textId="77777777" w:rsidTr="00F4317C">
            <w:trPr>
              <w:trHeight w:val="300"/>
            </w:trPr>
            <w:tc>
              <w:tcPr>
                <w:tcW w:w="466" w:type="pct"/>
                <w:shd w:val="clear" w:color="auto" w:fill="auto"/>
                <w:vAlign w:val="center"/>
                <w:hideMark/>
              </w:tcPr>
              <w:p w14:paraId="4D168042"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900162704</w:t>
                </w:r>
              </w:p>
            </w:tc>
            <w:tc>
              <w:tcPr>
                <w:tcW w:w="1800" w:type="pct"/>
                <w:shd w:val="clear" w:color="auto" w:fill="auto"/>
                <w:vAlign w:val="center"/>
                <w:hideMark/>
              </w:tcPr>
              <w:p w14:paraId="73434FCC"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CONCESIONARIA SAN SIMON S A</w:t>
                </w:r>
              </w:p>
            </w:tc>
            <w:tc>
              <w:tcPr>
                <w:tcW w:w="987" w:type="pct"/>
                <w:shd w:val="clear" w:color="auto" w:fill="auto"/>
                <w:vAlign w:val="center"/>
                <w:hideMark/>
              </w:tcPr>
              <w:p w14:paraId="78592D8E"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127.193.721.639</w:t>
                </w:r>
              </w:p>
            </w:tc>
            <w:tc>
              <w:tcPr>
                <w:tcW w:w="944" w:type="pct"/>
                <w:shd w:val="clear" w:color="auto" w:fill="auto"/>
                <w:vAlign w:val="center"/>
                <w:hideMark/>
              </w:tcPr>
              <w:p w14:paraId="1035A8E2"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127.193.721.639</w:t>
                </w:r>
              </w:p>
            </w:tc>
            <w:tc>
              <w:tcPr>
                <w:tcW w:w="803" w:type="pct"/>
                <w:shd w:val="clear" w:color="auto" w:fill="auto"/>
                <w:vAlign w:val="center"/>
                <w:hideMark/>
              </w:tcPr>
              <w:p w14:paraId="759CA929"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0</w:t>
                </w:r>
              </w:p>
            </w:tc>
          </w:tr>
          <w:tr w:rsidR="00A122F3" w:rsidRPr="00F4317C" w14:paraId="5EB6785D" w14:textId="77777777" w:rsidTr="00F4317C">
            <w:trPr>
              <w:trHeight w:val="300"/>
            </w:trPr>
            <w:tc>
              <w:tcPr>
                <w:tcW w:w="466" w:type="pct"/>
                <w:shd w:val="clear" w:color="auto" w:fill="auto"/>
                <w:vAlign w:val="center"/>
                <w:hideMark/>
              </w:tcPr>
              <w:p w14:paraId="5DCD6F7C"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901602085</w:t>
                </w:r>
              </w:p>
            </w:tc>
            <w:tc>
              <w:tcPr>
                <w:tcW w:w="1800" w:type="pct"/>
                <w:shd w:val="clear" w:color="auto" w:fill="auto"/>
                <w:vAlign w:val="center"/>
                <w:hideMark/>
              </w:tcPr>
              <w:p w14:paraId="2D3AC569"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AUTOPISTA MAGDALENA MEDIO SAS</w:t>
                </w:r>
              </w:p>
            </w:tc>
            <w:tc>
              <w:tcPr>
                <w:tcW w:w="987" w:type="pct"/>
                <w:shd w:val="clear" w:color="auto" w:fill="auto"/>
                <w:vAlign w:val="center"/>
                <w:hideMark/>
              </w:tcPr>
              <w:p w14:paraId="42B40D0F"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104.860.156.955</w:t>
                </w:r>
              </w:p>
            </w:tc>
            <w:tc>
              <w:tcPr>
                <w:tcW w:w="944" w:type="pct"/>
                <w:shd w:val="clear" w:color="auto" w:fill="auto"/>
                <w:vAlign w:val="center"/>
                <w:hideMark/>
              </w:tcPr>
              <w:p w14:paraId="1065CFF8"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0</w:t>
                </w:r>
              </w:p>
            </w:tc>
            <w:tc>
              <w:tcPr>
                <w:tcW w:w="803" w:type="pct"/>
                <w:shd w:val="clear" w:color="auto" w:fill="auto"/>
                <w:vAlign w:val="center"/>
                <w:hideMark/>
              </w:tcPr>
              <w:p w14:paraId="2CE81691"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104.860.156.955</w:t>
                </w:r>
              </w:p>
            </w:tc>
          </w:tr>
          <w:tr w:rsidR="00A122F3" w:rsidRPr="00F4317C" w14:paraId="45FCA13B" w14:textId="77777777" w:rsidTr="00F4317C">
            <w:trPr>
              <w:trHeight w:val="360"/>
            </w:trPr>
            <w:tc>
              <w:tcPr>
                <w:tcW w:w="466" w:type="pct"/>
                <w:shd w:val="clear" w:color="auto" w:fill="auto"/>
                <w:vAlign w:val="center"/>
                <w:hideMark/>
              </w:tcPr>
              <w:p w14:paraId="193470C3"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800235278</w:t>
                </w:r>
              </w:p>
            </w:tc>
            <w:tc>
              <w:tcPr>
                <w:tcW w:w="1800" w:type="pct"/>
                <w:shd w:val="clear" w:color="auto" w:fill="auto"/>
                <w:vAlign w:val="center"/>
                <w:hideMark/>
              </w:tcPr>
              <w:p w14:paraId="0BD6AEAD"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CONCESION SANTA MARTA PARAGUACHON S.A.</w:t>
                </w:r>
              </w:p>
            </w:tc>
            <w:tc>
              <w:tcPr>
                <w:tcW w:w="987" w:type="pct"/>
                <w:shd w:val="clear" w:color="auto" w:fill="auto"/>
                <w:vAlign w:val="center"/>
                <w:hideMark/>
              </w:tcPr>
              <w:p w14:paraId="45F7E16A"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29.441.685.897</w:t>
                </w:r>
              </w:p>
            </w:tc>
            <w:tc>
              <w:tcPr>
                <w:tcW w:w="944" w:type="pct"/>
                <w:shd w:val="clear" w:color="auto" w:fill="auto"/>
                <w:vAlign w:val="center"/>
                <w:hideMark/>
              </w:tcPr>
              <w:p w14:paraId="518F6CAF"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20.203.259.974</w:t>
                </w:r>
              </w:p>
            </w:tc>
            <w:tc>
              <w:tcPr>
                <w:tcW w:w="803" w:type="pct"/>
                <w:shd w:val="clear" w:color="auto" w:fill="auto"/>
                <w:vAlign w:val="center"/>
                <w:hideMark/>
              </w:tcPr>
              <w:p w14:paraId="064952DD"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9.238.425.923</w:t>
                </w:r>
              </w:p>
            </w:tc>
          </w:tr>
          <w:tr w:rsidR="00A122F3" w:rsidRPr="00F4317C" w14:paraId="294679A4" w14:textId="77777777" w:rsidTr="00F4317C">
            <w:trPr>
              <w:trHeight w:val="300"/>
            </w:trPr>
            <w:tc>
              <w:tcPr>
                <w:tcW w:w="466" w:type="pct"/>
                <w:shd w:val="clear" w:color="auto" w:fill="auto"/>
                <w:vAlign w:val="center"/>
                <w:hideMark/>
              </w:tcPr>
              <w:p w14:paraId="07C23013"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900920562</w:t>
                </w:r>
              </w:p>
            </w:tc>
            <w:tc>
              <w:tcPr>
                <w:tcW w:w="1800" w:type="pct"/>
                <w:shd w:val="clear" w:color="auto" w:fill="auto"/>
                <w:vAlign w:val="center"/>
                <w:hideMark/>
              </w:tcPr>
              <w:p w14:paraId="3FBB0200"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CONCESION VIAS DEL NUS S.A.S</w:t>
                </w:r>
              </w:p>
            </w:tc>
            <w:tc>
              <w:tcPr>
                <w:tcW w:w="987" w:type="pct"/>
                <w:shd w:val="clear" w:color="auto" w:fill="auto"/>
                <w:vAlign w:val="center"/>
                <w:hideMark/>
              </w:tcPr>
              <w:p w14:paraId="04487D37"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26.997.129.957</w:t>
                </w:r>
              </w:p>
            </w:tc>
            <w:tc>
              <w:tcPr>
                <w:tcW w:w="944" w:type="pct"/>
                <w:shd w:val="clear" w:color="auto" w:fill="auto"/>
                <w:vAlign w:val="center"/>
                <w:hideMark/>
              </w:tcPr>
              <w:p w14:paraId="6BF857D5"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0</w:t>
                </w:r>
              </w:p>
            </w:tc>
            <w:tc>
              <w:tcPr>
                <w:tcW w:w="803" w:type="pct"/>
                <w:shd w:val="clear" w:color="auto" w:fill="auto"/>
                <w:vAlign w:val="center"/>
                <w:hideMark/>
              </w:tcPr>
              <w:p w14:paraId="314E70B4"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26.997.129.957</w:t>
                </w:r>
              </w:p>
            </w:tc>
          </w:tr>
          <w:tr w:rsidR="00A122F3" w:rsidRPr="00F4317C" w14:paraId="259CCC51" w14:textId="77777777" w:rsidTr="00F4317C">
            <w:trPr>
              <w:trHeight w:val="300"/>
            </w:trPr>
            <w:tc>
              <w:tcPr>
                <w:tcW w:w="466" w:type="pct"/>
                <w:shd w:val="clear" w:color="auto" w:fill="auto"/>
                <w:vAlign w:val="center"/>
                <w:hideMark/>
              </w:tcPr>
              <w:p w14:paraId="0FB550AA"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900809931</w:t>
                </w:r>
              </w:p>
            </w:tc>
            <w:tc>
              <w:tcPr>
                <w:tcW w:w="1800" w:type="pct"/>
                <w:shd w:val="clear" w:color="auto" w:fill="auto"/>
                <w:vAlign w:val="center"/>
                <w:hideMark/>
              </w:tcPr>
              <w:p w14:paraId="39E43332"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CONCESIONARIA NUEVA VIA AL MAR S.A.S</w:t>
                </w:r>
              </w:p>
            </w:tc>
            <w:tc>
              <w:tcPr>
                <w:tcW w:w="987" w:type="pct"/>
                <w:shd w:val="clear" w:color="auto" w:fill="auto"/>
                <w:vAlign w:val="center"/>
                <w:hideMark/>
              </w:tcPr>
              <w:p w14:paraId="028CC9CD"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16.873.649.326</w:t>
                </w:r>
              </w:p>
            </w:tc>
            <w:tc>
              <w:tcPr>
                <w:tcW w:w="944" w:type="pct"/>
                <w:shd w:val="clear" w:color="auto" w:fill="auto"/>
                <w:vAlign w:val="center"/>
                <w:hideMark/>
              </w:tcPr>
              <w:p w14:paraId="6E267FA2"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16.873.649.326</w:t>
                </w:r>
              </w:p>
            </w:tc>
            <w:tc>
              <w:tcPr>
                <w:tcW w:w="803" w:type="pct"/>
                <w:shd w:val="clear" w:color="auto" w:fill="auto"/>
                <w:vAlign w:val="center"/>
                <w:hideMark/>
              </w:tcPr>
              <w:p w14:paraId="55FB529A"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0</w:t>
                </w:r>
              </w:p>
            </w:tc>
          </w:tr>
          <w:tr w:rsidR="00A122F3" w:rsidRPr="00F4317C" w14:paraId="1119D512" w14:textId="77777777" w:rsidTr="00F4317C">
            <w:trPr>
              <w:trHeight w:val="300"/>
            </w:trPr>
            <w:tc>
              <w:tcPr>
                <w:tcW w:w="466" w:type="pct"/>
                <w:shd w:val="clear" w:color="auto" w:fill="auto"/>
                <w:vAlign w:val="center"/>
                <w:hideMark/>
              </w:tcPr>
              <w:p w14:paraId="0B570842"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811005050</w:t>
                </w:r>
              </w:p>
            </w:tc>
            <w:tc>
              <w:tcPr>
                <w:tcW w:w="1800" w:type="pct"/>
                <w:shd w:val="clear" w:color="auto" w:fill="auto"/>
                <w:vAlign w:val="center"/>
                <w:hideMark/>
              </w:tcPr>
              <w:p w14:paraId="24E494BC"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DEVIMED S.A.</w:t>
                </w:r>
              </w:p>
            </w:tc>
            <w:tc>
              <w:tcPr>
                <w:tcW w:w="987" w:type="pct"/>
                <w:shd w:val="clear" w:color="auto" w:fill="auto"/>
                <w:vAlign w:val="center"/>
                <w:hideMark/>
              </w:tcPr>
              <w:p w14:paraId="702AB215"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16.617.501.396</w:t>
                </w:r>
              </w:p>
            </w:tc>
            <w:tc>
              <w:tcPr>
                <w:tcW w:w="944" w:type="pct"/>
                <w:shd w:val="clear" w:color="auto" w:fill="auto"/>
                <w:vAlign w:val="center"/>
                <w:hideMark/>
              </w:tcPr>
              <w:p w14:paraId="30FEBBE7"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909.245.046</w:t>
                </w:r>
              </w:p>
            </w:tc>
            <w:tc>
              <w:tcPr>
                <w:tcW w:w="803" w:type="pct"/>
                <w:shd w:val="clear" w:color="auto" w:fill="auto"/>
                <w:vAlign w:val="center"/>
                <w:hideMark/>
              </w:tcPr>
              <w:p w14:paraId="377B5287"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15.708.256.350</w:t>
                </w:r>
              </w:p>
            </w:tc>
          </w:tr>
          <w:tr w:rsidR="00A122F3" w:rsidRPr="00F4317C" w14:paraId="443D1815" w14:textId="77777777" w:rsidTr="00F4317C">
            <w:trPr>
              <w:trHeight w:val="300"/>
            </w:trPr>
            <w:tc>
              <w:tcPr>
                <w:tcW w:w="466" w:type="pct"/>
                <w:shd w:val="clear" w:color="auto" w:fill="auto"/>
                <w:vAlign w:val="center"/>
                <w:hideMark/>
              </w:tcPr>
              <w:p w14:paraId="270FC6B8"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900373783</w:t>
                </w:r>
              </w:p>
            </w:tc>
            <w:tc>
              <w:tcPr>
                <w:tcW w:w="1800" w:type="pct"/>
                <w:shd w:val="clear" w:color="auto" w:fill="auto"/>
                <w:vAlign w:val="center"/>
                <w:hideMark/>
              </w:tcPr>
              <w:p w14:paraId="234736A5"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VIAS DE LAS AMERICAS S.A.S.</w:t>
                </w:r>
              </w:p>
            </w:tc>
            <w:tc>
              <w:tcPr>
                <w:tcW w:w="987" w:type="pct"/>
                <w:shd w:val="clear" w:color="auto" w:fill="auto"/>
                <w:vAlign w:val="center"/>
                <w:hideMark/>
              </w:tcPr>
              <w:p w14:paraId="7E081B73"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11.959.071.018</w:t>
                </w:r>
              </w:p>
            </w:tc>
            <w:tc>
              <w:tcPr>
                <w:tcW w:w="944" w:type="pct"/>
                <w:shd w:val="clear" w:color="auto" w:fill="auto"/>
                <w:vAlign w:val="center"/>
                <w:hideMark/>
              </w:tcPr>
              <w:p w14:paraId="1811FDDF"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11.959.071.018</w:t>
                </w:r>
              </w:p>
            </w:tc>
            <w:tc>
              <w:tcPr>
                <w:tcW w:w="803" w:type="pct"/>
                <w:shd w:val="clear" w:color="auto" w:fill="auto"/>
                <w:vAlign w:val="center"/>
                <w:hideMark/>
              </w:tcPr>
              <w:p w14:paraId="0545077E"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0</w:t>
                </w:r>
              </w:p>
            </w:tc>
          </w:tr>
          <w:tr w:rsidR="00A122F3" w:rsidRPr="00F4317C" w14:paraId="59695DA9" w14:textId="77777777" w:rsidTr="00F4317C">
            <w:trPr>
              <w:trHeight w:val="300"/>
            </w:trPr>
            <w:tc>
              <w:tcPr>
                <w:tcW w:w="466" w:type="pct"/>
                <w:shd w:val="clear" w:color="auto" w:fill="auto"/>
                <w:vAlign w:val="center"/>
                <w:hideMark/>
              </w:tcPr>
              <w:p w14:paraId="76D1B704"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830025490</w:t>
                </w:r>
              </w:p>
            </w:tc>
            <w:tc>
              <w:tcPr>
                <w:tcW w:w="1800" w:type="pct"/>
                <w:shd w:val="clear" w:color="auto" w:fill="auto"/>
                <w:vAlign w:val="center"/>
                <w:hideMark/>
              </w:tcPr>
              <w:p w14:paraId="6667090A"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AUTOPISTAS DEL CAFE S.A.</w:t>
                </w:r>
              </w:p>
            </w:tc>
            <w:tc>
              <w:tcPr>
                <w:tcW w:w="987" w:type="pct"/>
                <w:shd w:val="clear" w:color="auto" w:fill="auto"/>
                <w:vAlign w:val="center"/>
                <w:hideMark/>
              </w:tcPr>
              <w:p w14:paraId="19D2B6C0"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9.198.226.030</w:t>
                </w:r>
              </w:p>
            </w:tc>
            <w:tc>
              <w:tcPr>
                <w:tcW w:w="944" w:type="pct"/>
                <w:shd w:val="clear" w:color="auto" w:fill="auto"/>
                <w:vAlign w:val="center"/>
                <w:hideMark/>
              </w:tcPr>
              <w:p w14:paraId="43B9AFBA"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9.863.619.705</w:t>
                </w:r>
              </w:p>
            </w:tc>
            <w:tc>
              <w:tcPr>
                <w:tcW w:w="803" w:type="pct"/>
                <w:shd w:val="clear" w:color="auto" w:fill="auto"/>
                <w:vAlign w:val="center"/>
                <w:hideMark/>
              </w:tcPr>
              <w:p w14:paraId="45975374"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-665.393.675</w:t>
                </w:r>
              </w:p>
            </w:tc>
          </w:tr>
          <w:tr w:rsidR="00A122F3" w:rsidRPr="00F4317C" w14:paraId="58A1D016" w14:textId="77777777" w:rsidTr="00F4317C">
            <w:trPr>
              <w:trHeight w:val="300"/>
            </w:trPr>
            <w:tc>
              <w:tcPr>
                <w:tcW w:w="466" w:type="pct"/>
                <w:shd w:val="clear" w:color="auto" w:fill="auto"/>
                <w:vAlign w:val="center"/>
                <w:hideMark/>
              </w:tcPr>
              <w:p w14:paraId="3A3AF20A"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901607093</w:t>
                </w:r>
              </w:p>
            </w:tc>
            <w:tc>
              <w:tcPr>
                <w:tcW w:w="1800" w:type="pct"/>
                <w:shd w:val="clear" w:color="auto" w:fill="auto"/>
                <w:vAlign w:val="center"/>
                <w:hideMark/>
              </w:tcPr>
              <w:p w14:paraId="026434B7"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AUTOPISTA DEL RIO GRANDE S.A.S</w:t>
                </w:r>
              </w:p>
            </w:tc>
            <w:tc>
              <w:tcPr>
                <w:tcW w:w="987" w:type="pct"/>
                <w:shd w:val="clear" w:color="auto" w:fill="auto"/>
                <w:vAlign w:val="center"/>
                <w:hideMark/>
              </w:tcPr>
              <w:p w14:paraId="5947041B"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617.830.766</w:t>
                </w:r>
              </w:p>
            </w:tc>
            <w:tc>
              <w:tcPr>
                <w:tcW w:w="944" w:type="pct"/>
                <w:shd w:val="clear" w:color="auto" w:fill="auto"/>
                <w:vAlign w:val="center"/>
                <w:hideMark/>
              </w:tcPr>
              <w:p w14:paraId="14755F6C"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331.305.000</w:t>
                </w:r>
              </w:p>
            </w:tc>
            <w:tc>
              <w:tcPr>
                <w:tcW w:w="803" w:type="pct"/>
                <w:shd w:val="clear" w:color="auto" w:fill="auto"/>
                <w:vAlign w:val="center"/>
                <w:hideMark/>
              </w:tcPr>
              <w:p w14:paraId="75DA7405"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286.525.766</w:t>
                </w:r>
              </w:p>
            </w:tc>
          </w:tr>
          <w:tr w:rsidR="00A122F3" w:rsidRPr="00F4317C" w14:paraId="3455F68E" w14:textId="77777777" w:rsidTr="00F4317C">
            <w:trPr>
              <w:trHeight w:val="300"/>
            </w:trPr>
            <w:tc>
              <w:tcPr>
                <w:tcW w:w="466" w:type="pct"/>
                <w:shd w:val="clear" w:color="auto" w:fill="auto"/>
                <w:vAlign w:val="center"/>
                <w:hideMark/>
              </w:tcPr>
              <w:p w14:paraId="52B8C7F7"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900330374</w:t>
                </w:r>
              </w:p>
            </w:tc>
            <w:tc>
              <w:tcPr>
                <w:tcW w:w="1800" w:type="pct"/>
                <w:shd w:val="clear" w:color="auto" w:fill="auto"/>
                <w:vAlign w:val="center"/>
                <w:hideMark/>
              </w:tcPr>
              <w:p w14:paraId="15DC1EC2" w14:textId="77777777" w:rsidR="00C90EAA" w:rsidRPr="00C90EAA" w:rsidRDefault="00C90EAA" w:rsidP="00C90EAA">
                <w:pPr>
                  <w:spacing w:after="0" w:line="240" w:lineRule="auto"/>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CONSORCIO VIAL HELIOS</w:t>
                </w:r>
              </w:p>
            </w:tc>
            <w:tc>
              <w:tcPr>
                <w:tcW w:w="987" w:type="pct"/>
                <w:shd w:val="clear" w:color="auto" w:fill="auto"/>
                <w:vAlign w:val="center"/>
                <w:hideMark/>
              </w:tcPr>
              <w:p w14:paraId="3894ABA7"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0</w:t>
                </w:r>
              </w:p>
            </w:tc>
            <w:tc>
              <w:tcPr>
                <w:tcW w:w="944" w:type="pct"/>
                <w:shd w:val="clear" w:color="auto" w:fill="auto"/>
                <w:vAlign w:val="center"/>
                <w:hideMark/>
              </w:tcPr>
              <w:p w14:paraId="3A8A01D5"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62.301.013.056</w:t>
                </w:r>
              </w:p>
            </w:tc>
            <w:tc>
              <w:tcPr>
                <w:tcW w:w="803" w:type="pct"/>
                <w:shd w:val="clear" w:color="auto" w:fill="auto"/>
                <w:vAlign w:val="center"/>
                <w:hideMark/>
              </w:tcPr>
              <w:p w14:paraId="5B750BE3" w14:textId="77777777" w:rsidR="00C90EAA" w:rsidRPr="00C90EAA" w:rsidRDefault="00C90EAA" w:rsidP="00C90EAA">
                <w:pPr>
                  <w:spacing w:after="0" w:line="240" w:lineRule="auto"/>
                  <w:jc w:val="right"/>
                  <w:rPr>
                    <w:rFonts w:ascii="Times New Roman" w:eastAsia="Times New Roman" w:hAnsi="Times New Roman"/>
                    <w:color w:val="000000"/>
                    <w:sz w:val="14"/>
                    <w:szCs w:val="14"/>
                    <w:lang w:eastAsia="es-CO"/>
                  </w:rPr>
                </w:pPr>
                <w:r w:rsidRPr="00C90EAA">
                  <w:rPr>
                    <w:rFonts w:ascii="Times New Roman" w:eastAsia="Times New Roman" w:hAnsi="Times New Roman"/>
                    <w:color w:val="000000"/>
                    <w:sz w:val="14"/>
                    <w:szCs w:val="14"/>
                    <w:lang w:eastAsia="es-CO"/>
                  </w:rPr>
                  <w:t>-62.301.013.056</w:t>
                </w:r>
              </w:p>
            </w:tc>
          </w:tr>
          <w:tr w:rsidR="00077986" w:rsidRPr="00F4317C" w14:paraId="670131AF" w14:textId="77777777" w:rsidTr="00F4317C">
            <w:trPr>
              <w:trHeight w:val="300"/>
            </w:trPr>
            <w:tc>
              <w:tcPr>
                <w:tcW w:w="2267" w:type="pct"/>
                <w:gridSpan w:val="2"/>
                <w:shd w:val="clear" w:color="auto" w:fill="auto"/>
                <w:vAlign w:val="center"/>
                <w:hideMark/>
              </w:tcPr>
              <w:p w14:paraId="60E07F6C" w14:textId="77777777" w:rsidR="00C90EAA" w:rsidRPr="00C90EAA" w:rsidRDefault="00C90EAA" w:rsidP="00C90EAA">
                <w:pPr>
                  <w:spacing w:after="0" w:line="240" w:lineRule="auto"/>
                  <w:jc w:val="center"/>
                  <w:rPr>
                    <w:rFonts w:ascii="Times New Roman" w:eastAsia="Times New Roman" w:hAnsi="Times New Roman"/>
                    <w:b/>
                    <w:bCs/>
                    <w:color w:val="000000"/>
                    <w:sz w:val="14"/>
                    <w:szCs w:val="14"/>
                    <w:lang w:eastAsia="es-CO"/>
                  </w:rPr>
                </w:pPr>
                <w:r w:rsidRPr="00C90EAA">
                  <w:rPr>
                    <w:rFonts w:ascii="Times New Roman" w:eastAsia="Times New Roman" w:hAnsi="Times New Roman"/>
                    <w:b/>
                    <w:bCs/>
                    <w:color w:val="000000"/>
                    <w:sz w:val="14"/>
                    <w:szCs w:val="14"/>
                    <w:lang w:eastAsia="es-CO"/>
                  </w:rPr>
                  <w:t>Totales</w:t>
                </w:r>
              </w:p>
            </w:tc>
            <w:tc>
              <w:tcPr>
                <w:tcW w:w="987" w:type="pct"/>
                <w:shd w:val="clear" w:color="auto" w:fill="auto"/>
                <w:vAlign w:val="center"/>
                <w:hideMark/>
              </w:tcPr>
              <w:p w14:paraId="1F854A46" w14:textId="067C2698" w:rsidR="00C90EAA" w:rsidRPr="00C90EAA" w:rsidRDefault="00C90EAA" w:rsidP="00C90EAA">
                <w:pPr>
                  <w:spacing w:after="0" w:line="240" w:lineRule="auto"/>
                  <w:rPr>
                    <w:rFonts w:ascii="Times New Roman" w:eastAsia="Times New Roman" w:hAnsi="Times New Roman"/>
                    <w:b/>
                    <w:bCs/>
                    <w:color w:val="000000"/>
                    <w:sz w:val="14"/>
                    <w:szCs w:val="14"/>
                    <w:lang w:eastAsia="es-CO"/>
                  </w:rPr>
                </w:pPr>
                <w:r w:rsidRPr="00C90EAA">
                  <w:rPr>
                    <w:rFonts w:ascii="Times New Roman" w:eastAsia="Times New Roman" w:hAnsi="Times New Roman"/>
                    <w:b/>
                    <w:bCs/>
                    <w:color w:val="000000"/>
                    <w:sz w:val="14"/>
                    <w:szCs w:val="14"/>
                    <w:lang w:eastAsia="es-CO"/>
                  </w:rPr>
                  <w:t xml:space="preserve">      </w:t>
                </w:r>
                <w:r w:rsidR="00A4228C">
                  <w:rPr>
                    <w:rFonts w:ascii="Times New Roman" w:eastAsia="Times New Roman" w:hAnsi="Times New Roman"/>
                    <w:b/>
                    <w:bCs/>
                    <w:color w:val="000000"/>
                    <w:sz w:val="14"/>
                    <w:szCs w:val="14"/>
                    <w:lang w:eastAsia="es-CO"/>
                  </w:rPr>
                  <w:t xml:space="preserve">     </w:t>
                </w:r>
                <w:r w:rsidRPr="00C90EAA">
                  <w:rPr>
                    <w:rFonts w:ascii="Times New Roman" w:eastAsia="Times New Roman" w:hAnsi="Times New Roman"/>
                    <w:b/>
                    <w:bCs/>
                    <w:color w:val="000000"/>
                    <w:sz w:val="14"/>
                    <w:szCs w:val="14"/>
                    <w:lang w:eastAsia="es-CO"/>
                  </w:rPr>
                  <w:t xml:space="preserve"> 21.176.173.330.887 </w:t>
                </w:r>
              </w:p>
            </w:tc>
            <w:tc>
              <w:tcPr>
                <w:tcW w:w="944" w:type="pct"/>
                <w:shd w:val="clear" w:color="auto" w:fill="auto"/>
                <w:vAlign w:val="center"/>
                <w:hideMark/>
              </w:tcPr>
              <w:p w14:paraId="577F1274" w14:textId="3A301407" w:rsidR="00C90EAA" w:rsidRPr="00C90EAA" w:rsidRDefault="00C90EAA" w:rsidP="00C90EAA">
                <w:pPr>
                  <w:spacing w:after="0" w:line="240" w:lineRule="auto"/>
                  <w:rPr>
                    <w:rFonts w:ascii="Times New Roman" w:eastAsia="Times New Roman" w:hAnsi="Times New Roman"/>
                    <w:b/>
                    <w:bCs/>
                    <w:color w:val="000000"/>
                    <w:sz w:val="14"/>
                    <w:szCs w:val="14"/>
                    <w:lang w:eastAsia="es-CO"/>
                  </w:rPr>
                </w:pPr>
                <w:r w:rsidRPr="00C90EAA">
                  <w:rPr>
                    <w:rFonts w:ascii="Times New Roman" w:eastAsia="Times New Roman" w:hAnsi="Times New Roman"/>
                    <w:b/>
                    <w:bCs/>
                    <w:color w:val="000000"/>
                    <w:sz w:val="14"/>
                    <w:szCs w:val="14"/>
                    <w:lang w:eastAsia="es-CO"/>
                  </w:rPr>
                  <w:t xml:space="preserve">    </w:t>
                </w:r>
                <w:r w:rsidR="00A4228C">
                  <w:rPr>
                    <w:rFonts w:ascii="Times New Roman" w:eastAsia="Times New Roman" w:hAnsi="Times New Roman"/>
                    <w:b/>
                    <w:bCs/>
                    <w:color w:val="000000"/>
                    <w:sz w:val="14"/>
                    <w:szCs w:val="14"/>
                    <w:lang w:eastAsia="es-CO"/>
                  </w:rPr>
                  <w:t xml:space="preserve">      </w:t>
                </w:r>
                <w:r w:rsidRPr="00C90EAA">
                  <w:rPr>
                    <w:rFonts w:ascii="Times New Roman" w:eastAsia="Times New Roman" w:hAnsi="Times New Roman"/>
                    <w:b/>
                    <w:bCs/>
                    <w:color w:val="000000"/>
                    <w:sz w:val="14"/>
                    <w:szCs w:val="14"/>
                    <w:lang w:eastAsia="es-CO"/>
                  </w:rPr>
                  <w:t xml:space="preserve"> 21.252.716.045.903 </w:t>
                </w:r>
              </w:p>
            </w:tc>
            <w:tc>
              <w:tcPr>
                <w:tcW w:w="803" w:type="pct"/>
                <w:shd w:val="clear" w:color="auto" w:fill="auto"/>
                <w:vAlign w:val="center"/>
                <w:hideMark/>
              </w:tcPr>
              <w:p w14:paraId="40F3E0BB" w14:textId="18F7D591" w:rsidR="00C90EAA" w:rsidRPr="00C90EAA" w:rsidRDefault="00C90EAA" w:rsidP="008B47BD">
                <w:pPr>
                  <w:spacing w:after="0" w:line="240" w:lineRule="auto"/>
                  <w:jc w:val="right"/>
                  <w:rPr>
                    <w:rFonts w:ascii="Times New Roman" w:eastAsia="Times New Roman" w:hAnsi="Times New Roman"/>
                    <w:b/>
                    <w:bCs/>
                    <w:color w:val="000000"/>
                    <w:sz w:val="14"/>
                    <w:szCs w:val="14"/>
                    <w:lang w:eastAsia="es-CO"/>
                  </w:rPr>
                </w:pPr>
                <w:r w:rsidRPr="00C90EAA">
                  <w:rPr>
                    <w:rFonts w:ascii="Times New Roman" w:eastAsia="Times New Roman" w:hAnsi="Times New Roman"/>
                    <w:b/>
                    <w:bCs/>
                    <w:color w:val="000000"/>
                    <w:sz w:val="14"/>
                    <w:szCs w:val="14"/>
                    <w:lang w:eastAsia="es-CO"/>
                  </w:rPr>
                  <w:t xml:space="preserve">- 76.542.715.017 </w:t>
                </w:r>
              </w:p>
            </w:tc>
          </w:tr>
        </w:tbl>
        <w:p w14:paraId="3A06D368" w14:textId="257623B2" w:rsidR="00A000CF" w:rsidRPr="00931DCE" w:rsidRDefault="008A0EFF" w:rsidP="00A000CF">
          <w:pPr>
            <w:spacing w:after="0" w:line="240" w:lineRule="auto"/>
            <w:jc w:val="both"/>
            <w:rPr>
              <w:rFonts w:ascii="Times New Roman" w:hAnsi="Times New Roman"/>
              <w:sz w:val="14"/>
              <w:szCs w:val="14"/>
            </w:rPr>
          </w:pPr>
          <w:r w:rsidRPr="00931DCE">
            <w:rPr>
              <w:rFonts w:ascii="Times New Roman" w:hAnsi="Times New Roman"/>
              <w:sz w:val="14"/>
              <w:szCs w:val="14"/>
            </w:rPr>
            <w:t xml:space="preserve"> </w:t>
          </w:r>
          <w:r w:rsidR="00AD2026" w:rsidRPr="00931DCE">
            <w:rPr>
              <w:rFonts w:ascii="Times New Roman" w:hAnsi="Times New Roman"/>
              <w:sz w:val="14"/>
              <w:szCs w:val="14"/>
            </w:rPr>
            <w:t>Cifras expresadas en pesos</w:t>
          </w:r>
          <w:r w:rsidR="00A000CF" w:rsidRPr="00931DCE">
            <w:rPr>
              <w:rFonts w:ascii="Times New Roman" w:hAnsi="Times New Roman"/>
              <w:sz w:val="14"/>
              <w:szCs w:val="14"/>
            </w:rPr>
            <w:t xml:space="preserve"> </w:t>
          </w:r>
        </w:p>
        <w:p w14:paraId="328B3C11" w14:textId="6CB62D4D" w:rsidR="002B1A73" w:rsidRPr="00931DCE" w:rsidRDefault="002B1A73" w:rsidP="00A000CF">
          <w:pPr>
            <w:spacing w:after="0" w:line="240" w:lineRule="auto"/>
            <w:jc w:val="both"/>
            <w:rPr>
              <w:rFonts w:ascii="Times New Roman" w:hAnsi="Times New Roman"/>
              <w:sz w:val="24"/>
              <w:szCs w:val="24"/>
            </w:rPr>
          </w:pPr>
        </w:p>
        <w:p w14:paraId="206EAE78" w14:textId="77777777" w:rsidR="0098316D" w:rsidRPr="00931DCE" w:rsidRDefault="0098316D" w:rsidP="009D18BE">
          <w:pPr>
            <w:spacing w:after="0" w:line="240" w:lineRule="auto"/>
            <w:jc w:val="both"/>
            <w:rPr>
              <w:rFonts w:ascii="Times New Roman" w:hAnsi="Times New Roman"/>
              <w:sz w:val="24"/>
              <w:szCs w:val="24"/>
            </w:rPr>
          </w:pPr>
        </w:p>
        <w:p w14:paraId="7A9A1F49" w14:textId="577ABAB0" w:rsidR="002E0C1C" w:rsidRPr="00931DCE" w:rsidRDefault="00A91D6B" w:rsidP="009D18BE">
          <w:pPr>
            <w:pStyle w:val="Ttulo1"/>
            <w:rPr>
              <w:rFonts w:cs="Times New Roman"/>
            </w:rPr>
          </w:pPr>
          <w:bookmarkStart w:id="61" w:name="_Toc159952397"/>
          <w:r w:rsidRPr="00931DCE">
            <w:rPr>
              <w:rFonts w:cs="Times New Roman"/>
            </w:rPr>
            <w:t>NOTA 2</w:t>
          </w:r>
          <w:r w:rsidR="004B51B8" w:rsidRPr="00931DCE">
            <w:rPr>
              <w:rFonts w:cs="Times New Roman"/>
            </w:rPr>
            <w:t>1</w:t>
          </w:r>
          <w:r w:rsidRPr="00931DCE">
            <w:rPr>
              <w:rFonts w:cs="Times New Roman"/>
            </w:rPr>
            <w:t>. CUENTAS POR PAGAR</w:t>
          </w:r>
          <w:bookmarkEnd w:id="61"/>
        </w:p>
        <w:p w14:paraId="266D88FF" w14:textId="77777777" w:rsidR="00B61CE4" w:rsidRPr="00931DCE" w:rsidRDefault="00B61CE4" w:rsidP="009D18BE">
          <w:pPr>
            <w:spacing w:after="0" w:line="240" w:lineRule="auto"/>
            <w:jc w:val="both"/>
            <w:rPr>
              <w:rFonts w:ascii="Times New Roman" w:hAnsi="Times New Roman"/>
              <w:b/>
              <w:sz w:val="24"/>
              <w:szCs w:val="24"/>
            </w:rPr>
          </w:pPr>
        </w:p>
        <w:p w14:paraId="532D534F" w14:textId="23424B59" w:rsidR="00B61CE4" w:rsidRPr="00931DCE" w:rsidRDefault="00B61CE4" w:rsidP="009D18BE">
          <w:pPr>
            <w:pStyle w:val="Ttulo2"/>
            <w:numPr>
              <w:ilvl w:val="0"/>
              <w:numId w:val="0"/>
            </w:numPr>
            <w:spacing w:line="240" w:lineRule="auto"/>
            <w:rPr>
              <w:rFonts w:cs="Times New Roman"/>
              <w:szCs w:val="22"/>
            </w:rPr>
          </w:pPr>
          <w:bookmarkStart w:id="62" w:name="_Toc159952398"/>
          <w:r w:rsidRPr="00931DCE">
            <w:rPr>
              <w:rFonts w:cs="Times New Roman"/>
              <w:szCs w:val="22"/>
            </w:rPr>
            <w:t>Composición</w:t>
          </w:r>
          <w:bookmarkEnd w:id="62"/>
        </w:p>
        <w:p w14:paraId="0CE1F224" w14:textId="74E4AAC9" w:rsidR="00B61CE4" w:rsidRPr="00931DCE" w:rsidRDefault="00B61CE4" w:rsidP="009D18BE">
          <w:pPr>
            <w:spacing w:after="0" w:line="240" w:lineRule="auto"/>
            <w:jc w:val="both"/>
            <w:rPr>
              <w:rFonts w:ascii="Times New Roman" w:hAnsi="Times New Roman"/>
              <w:b/>
              <w:sz w:val="24"/>
              <w:szCs w:val="24"/>
            </w:rPr>
          </w:pPr>
        </w:p>
        <w:p w14:paraId="06075070" w14:textId="77777777" w:rsidR="0005350C" w:rsidRPr="00931DCE" w:rsidRDefault="0005350C" w:rsidP="0005350C">
          <w:pPr>
            <w:spacing w:after="0" w:line="240" w:lineRule="auto"/>
            <w:jc w:val="both"/>
            <w:rPr>
              <w:rFonts w:ascii="Times New Roman" w:hAnsi="Times New Roman"/>
              <w:sz w:val="24"/>
              <w:szCs w:val="24"/>
            </w:rPr>
          </w:pPr>
          <w:r w:rsidRPr="00931DCE">
            <w:rPr>
              <w:rFonts w:ascii="Times New Roman" w:hAnsi="Times New Roman"/>
              <w:sz w:val="24"/>
              <w:szCs w:val="24"/>
            </w:rPr>
            <w:t xml:space="preserve">El valor registrado en la subcuenta cuentas por pagar, incluye las obligaciones con terceros adquiridas por la Agencia, relacionadas con sus operaciones en desarrollo de funciones de cometido estatal de las cuales se espera, a futuro, la salida de un flujo financiero fijo o determinable a través de efectivo o equivalentes al efectivo. Las cuentas por pagar se clasifican al costo y se miden por el valor de la transacción, se registran en el momento en que se reciba el bien o servicio, o se formalicen los documentos que generan las obligaciones correspondientes, de conformidad con las condiciones contractuales. </w:t>
          </w:r>
        </w:p>
        <w:p w14:paraId="61A58AE3" w14:textId="77777777" w:rsidR="0005350C" w:rsidRPr="00931DCE" w:rsidRDefault="0005350C" w:rsidP="0005350C">
          <w:pPr>
            <w:spacing w:after="0" w:line="240" w:lineRule="auto"/>
            <w:jc w:val="both"/>
            <w:rPr>
              <w:rFonts w:ascii="Times New Roman" w:hAnsi="Times New Roman"/>
              <w:sz w:val="24"/>
              <w:szCs w:val="24"/>
            </w:rPr>
          </w:pPr>
        </w:p>
        <w:p w14:paraId="26CE1B21" w14:textId="69C83C49" w:rsidR="0005350C" w:rsidRPr="00931DCE" w:rsidRDefault="394AE5E3" w:rsidP="0005350C">
          <w:pPr>
            <w:spacing w:after="0" w:line="240" w:lineRule="auto"/>
            <w:jc w:val="both"/>
            <w:rPr>
              <w:rFonts w:ascii="Times New Roman" w:hAnsi="Times New Roman"/>
              <w:sz w:val="24"/>
              <w:szCs w:val="24"/>
            </w:rPr>
          </w:pPr>
          <w:r w:rsidRPr="3B68DEAF">
            <w:rPr>
              <w:rFonts w:ascii="Times New Roman" w:hAnsi="Times New Roman"/>
              <w:sz w:val="24"/>
              <w:szCs w:val="24"/>
            </w:rPr>
            <w:t xml:space="preserve">A continuación, se presentan los saldos de las cuentas por pagar a diciembre de </w:t>
          </w:r>
          <w:r w:rsidR="00EF6E05" w:rsidRPr="3B68DEAF">
            <w:rPr>
              <w:rFonts w:ascii="Times New Roman" w:hAnsi="Times New Roman"/>
              <w:sz w:val="24"/>
              <w:szCs w:val="24"/>
            </w:rPr>
            <w:t>202</w:t>
          </w:r>
          <w:r w:rsidR="366A9E1A" w:rsidRPr="3B68DEAF">
            <w:rPr>
              <w:rFonts w:ascii="Times New Roman" w:hAnsi="Times New Roman"/>
              <w:sz w:val="24"/>
              <w:szCs w:val="24"/>
            </w:rPr>
            <w:t xml:space="preserve">3 </w:t>
          </w:r>
          <w:r w:rsidRPr="3B68DEAF">
            <w:rPr>
              <w:rFonts w:ascii="Times New Roman" w:hAnsi="Times New Roman"/>
              <w:sz w:val="24"/>
              <w:szCs w:val="24"/>
            </w:rPr>
            <w:t xml:space="preserve">comparados con diciembre de </w:t>
          </w:r>
          <w:r w:rsidR="00EF6E05" w:rsidRPr="3B68DEAF">
            <w:rPr>
              <w:rFonts w:ascii="Times New Roman" w:hAnsi="Times New Roman"/>
              <w:sz w:val="24"/>
              <w:szCs w:val="24"/>
            </w:rPr>
            <w:t>202</w:t>
          </w:r>
          <w:r w:rsidR="77DA7A1F" w:rsidRPr="3B68DEAF">
            <w:rPr>
              <w:rFonts w:ascii="Times New Roman" w:hAnsi="Times New Roman"/>
              <w:sz w:val="24"/>
              <w:szCs w:val="24"/>
            </w:rPr>
            <w:t>2</w:t>
          </w:r>
          <w:r w:rsidRPr="3B68DEAF">
            <w:rPr>
              <w:rFonts w:ascii="Times New Roman" w:hAnsi="Times New Roman"/>
              <w:sz w:val="24"/>
              <w:szCs w:val="24"/>
            </w:rPr>
            <w:t>:</w:t>
          </w:r>
        </w:p>
        <w:p w14:paraId="78143A3C" w14:textId="360B6F2B" w:rsidR="00E95D3D" w:rsidRDefault="00E95D3D" w:rsidP="0005350C">
          <w:pPr>
            <w:spacing w:after="0" w:line="240" w:lineRule="auto"/>
            <w:jc w:val="both"/>
            <w:rPr>
              <w:rFonts w:ascii="Times New Roman" w:hAnsi="Times New Roman"/>
              <w:sz w:val="24"/>
              <w:szCs w:val="24"/>
            </w:rPr>
          </w:pPr>
        </w:p>
        <w:tbl>
          <w:tblPr>
            <w:tblW w:w="5000" w:type="pct"/>
            <w:tblCellMar>
              <w:top w:w="15" w:type="dxa"/>
              <w:left w:w="70" w:type="dxa"/>
              <w:bottom w:w="15" w:type="dxa"/>
              <w:right w:w="70" w:type="dxa"/>
            </w:tblCellMar>
            <w:tblLook w:val="04A0" w:firstRow="1" w:lastRow="0" w:firstColumn="1" w:lastColumn="0" w:noHBand="0" w:noVBand="1"/>
          </w:tblPr>
          <w:tblGrid>
            <w:gridCol w:w="1151"/>
            <w:gridCol w:w="773"/>
            <w:gridCol w:w="2298"/>
            <w:gridCol w:w="1595"/>
            <w:gridCol w:w="1519"/>
            <w:gridCol w:w="1633"/>
          </w:tblGrid>
          <w:tr w:rsidR="00A53803" w:rsidRPr="001B051D" w14:paraId="520777A0" w14:textId="77777777" w:rsidTr="00A53803">
            <w:trPr>
              <w:trHeight w:val="585"/>
            </w:trPr>
            <w:tc>
              <w:tcPr>
                <w:tcW w:w="2308" w:type="pct"/>
                <w:gridSpan w:val="3"/>
                <w:tcBorders>
                  <w:top w:val="single" w:sz="4" w:space="0" w:color="A6A6A6"/>
                  <w:left w:val="single" w:sz="4" w:space="0" w:color="A6A6A6"/>
                  <w:bottom w:val="single" w:sz="4" w:space="0" w:color="A6A6A6"/>
                  <w:right w:val="nil"/>
                </w:tcBorders>
                <w:vAlign w:val="center"/>
                <w:hideMark/>
              </w:tcPr>
              <w:p w14:paraId="0FD7C930" w14:textId="77777777" w:rsidR="00A53803" w:rsidRPr="001B051D" w:rsidRDefault="00A53803" w:rsidP="00A53803">
                <w:pPr>
                  <w:spacing w:after="0" w:line="240" w:lineRule="auto"/>
                  <w:jc w:val="center"/>
                  <w:rPr>
                    <w:rFonts w:ascii="Times New Roman" w:eastAsia="Times New Roman" w:hAnsi="Times New Roman"/>
                    <w:b/>
                    <w:sz w:val="18"/>
                    <w:szCs w:val="18"/>
                    <w:lang w:eastAsia="es-CO"/>
                  </w:rPr>
                </w:pPr>
                <w:r w:rsidRPr="001B051D">
                  <w:rPr>
                    <w:rFonts w:ascii="Times New Roman" w:eastAsia="Times New Roman" w:hAnsi="Times New Roman"/>
                    <w:b/>
                    <w:sz w:val="18"/>
                    <w:szCs w:val="18"/>
                    <w:lang w:eastAsia="es-CO"/>
                  </w:rPr>
                  <w:t>DESCRIPCIÓN</w:t>
                </w:r>
              </w:p>
            </w:tc>
            <w:tc>
              <w:tcPr>
                <w:tcW w:w="1766" w:type="pct"/>
                <w:gridSpan w:val="2"/>
                <w:tcBorders>
                  <w:top w:val="single" w:sz="4" w:space="0" w:color="A6A6A6"/>
                  <w:left w:val="single" w:sz="4" w:space="0" w:color="A6A6A6"/>
                  <w:bottom w:val="single" w:sz="4" w:space="0" w:color="A6A6A6"/>
                  <w:right w:val="nil"/>
                </w:tcBorders>
                <w:vAlign w:val="center"/>
                <w:hideMark/>
              </w:tcPr>
              <w:p w14:paraId="644DE1AB" w14:textId="77777777" w:rsidR="00A53803" w:rsidRPr="001B051D" w:rsidRDefault="00A53803" w:rsidP="00A53803">
                <w:pPr>
                  <w:spacing w:after="0" w:line="240" w:lineRule="auto"/>
                  <w:jc w:val="center"/>
                  <w:rPr>
                    <w:rFonts w:ascii="Times New Roman" w:eastAsia="Times New Roman" w:hAnsi="Times New Roman"/>
                    <w:b/>
                    <w:sz w:val="18"/>
                    <w:szCs w:val="18"/>
                    <w:lang w:eastAsia="es-CO"/>
                  </w:rPr>
                </w:pPr>
                <w:r w:rsidRPr="001B051D">
                  <w:rPr>
                    <w:rFonts w:ascii="Times New Roman" w:eastAsia="Times New Roman" w:hAnsi="Times New Roman"/>
                    <w:b/>
                    <w:sz w:val="18"/>
                    <w:szCs w:val="18"/>
                    <w:lang w:eastAsia="es-CO"/>
                  </w:rPr>
                  <w:t>SALDOS A CORTES DE VIGENCIA</w:t>
                </w:r>
              </w:p>
            </w:tc>
            <w:tc>
              <w:tcPr>
                <w:tcW w:w="926" w:type="pct"/>
                <w:tcBorders>
                  <w:top w:val="single" w:sz="4" w:space="0" w:color="A6A6A6"/>
                  <w:left w:val="single" w:sz="4" w:space="0" w:color="A6A6A6"/>
                  <w:bottom w:val="single" w:sz="4" w:space="0" w:color="A6A6A6"/>
                  <w:right w:val="single" w:sz="4" w:space="0" w:color="A6A6A6"/>
                </w:tcBorders>
                <w:vAlign w:val="center"/>
                <w:hideMark/>
              </w:tcPr>
              <w:p w14:paraId="1AD755E8" w14:textId="77777777" w:rsidR="00A53803" w:rsidRPr="001B051D" w:rsidRDefault="00A53803" w:rsidP="00A53803">
                <w:pPr>
                  <w:spacing w:after="0" w:line="240" w:lineRule="auto"/>
                  <w:jc w:val="center"/>
                  <w:rPr>
                    <w:rFonts w:ascii="Times New Roman" w:eastAsia="Times New Roman" w:hAnsi="Times New Roman"/>
                    <w:b/>
                    <w:sz w:val="18"/>
                    <w:szCs w:val="18"/>
                    <w:lang w:eastAsia="es-CO"/>
                  </w:rPr>
                </w:pPr>
                <w:r w:rsidRPr="001B051D">
                  <w:rPr>
                    <w:rFonts w:ascii="Times New Roman" w:eastAsia="Times New Roman" w:hAnsi="Times New Roman"/>
                    <w:b/>
                    <w:sz w:val="18"/>
                    <w:szCs w:val="18"/>
                    <w:lang w:eastAsia="es-CO"/>
                  </w:rPr>
                  <w:t>VARIACIÓN</w:t>
                </w:r>
              </w:p>
            </w:tc>
          </w:tr>
          <w:tr w:rsidR="00A53803" w:rsidRPr="001B051D" w14:paraId="19289FA4" w14:textId="77777777" w:rsidTr="00A53803">
            <w:trPr>
              <w:trHeight w:val="405"/>
            </w:trPr>
            <w:tc>
              <w:tcPr>
                <w:tcW w:w="567" w:type="pct"/>
                <w:tcBorders>
                  <w:top w:val="single" w:sz="4" w:space="0" w:color="A6A6A6"/>
                  <w:left w:val="single" w:sz="4" w:space="0" w:color="A6A6A6"/>
                  <w:bottom w:val="single" w:sz="4" w:space="0" w:color="A6A6A6"/>
                  <w:right w:val="single" w:sz="4" w:space="0" w:color="A6A6A6"/>
                </w:tcBorders>
                <w:vAlign w:val="center"/>
                <w:hideMark/>
              </w:tcPr>
              <w:p w14:paraId="038526DF" w14:textId="77777777" w:rsidR="00A53803" w:rsidRPr="001B051D" w:rsidRDefault="00A53803" w:rsidP="00A53803">
                <w:pPr>
                  <w:spacing w:after="0" w:line="240" w:lineRule="auto"/>
                  <w:jc w:val="center"/>
                  <w:rPr>
                    <w:rFonts w:ascii="Times New Roman" w:eastAsia="Times New Roman" w:hAnsi="Times New Roman"/>
                    <w:b/>
                    <w:sz w:val="18"/>
                    <w:szCs w:val="18"/>
                    <w:lang w:eastAsia="es-CO"/>
                  </w:rPr>
                </w:pPr>
                <w:r w:rsidRPr="001B051D">
                  <w:rPr>
                    <w:rFonts w:ascii="Times New Roman" w:eastAsia="Times New Roman" w:hAnsi="Times New Roman"/>
                    <w:b/>
                    <w:sz w:val="18"/>
                    <w:szCs w:val="18"/>
                    <w:lang w:eastAsia="es-CO"/>
                  </w:rPr>
                  <w:t>CÓDIGO CONTABLE</w:t>
                </w:r>
              </w:p>
            </w:tc>
            <w:tc>
              <w:tcPr>
                <w:tcW w:w="446" w:type="pct"/>
                <w:tcBorders>
                  <w:top w:val="single" w:sz="4" w:space="0" w:color="A6A6A6"/>
                  <w:left w:val="single" w:sz="4" w:space="0" w:color="A6A6A6"/>
                  <w:bottom w:val="single" w:sz="4" w:space="0" w:color="A6A6A6"/>
                  <w:right w:val="single" w:sz="4" w:space="0" w:color="A6A6A6"/>
                </w:tcBorders>
                <w:vAlign w:val="center"/>
                <w:hideMark/>
              </w:tcPr>
              <w:p w14:paraId="2630E226" w14:textId="77777777" w:rsidR="00A53803" w:rsidRPr="001B051D" w:rsidRDefault="00A53803" w:rsidP="00A53803">
                <w:pPr>
                  <w:spacing w:after="0" w:line="240" w:lineRule="auto"/>
                  <w:jc w:val="center"/>
                  <w:rPr>
                    <w:rFonts w:ascii="Times New Roman" w:eastAsia="Times New Roman" w:hAnsi="Times New Roman"/>
                    <w:b/>
                    <w:sz w:val="18"/>
                    <w:szCs w:val="18"/>
                    <w:lang w:eastAsia="es-CO"/>
                  </w:rPr>
                </w:pPr>
                <w:r w:rsidRPr="001B051D">
                  <w:rPr>
                    <w:rFonts w:ascii="Times New Roman" w:eastAsia="Times New Roman" w:hAnsi="Times New Roman"/>
                    <w:b/>
                    <w:sz w:val="18"/>
                    <w:szCs w:val="18"/>
                    <w:lang w:eastAsia="es-CO"/>
                  </w:rPr>
                  <w:t>NAT</w:t>
                </w:r>
              </w:p>
            </w:tc>
            <w:tc>
              <w:tcPr>
                <w:tcW w:w="1296" w:type="pct"/>
                <w:tcBorders>
                  <w:top w:val="single" w:sz="4" w:space="0" w:color="A6A6A6"/>
                  <w:left w:val="single" w:sz="4" w:space="0" w:color="A6A6A6"/>
                  <w:bottom w:val="single" w:sz="4" w:space="0" w:color="A6A6A6"/>
                  <w:right w:val="single" w:sz="4" w:space="0" w:color="A6A6A6"/>
                </w:tcBorders>
                <w:vAlign w:val="center"/>
                <w:hideMark/>
              </w:tcPr>
              <w:p w14:paraId="3C609AEE" w14:textId="77777777" w:rsidR="00A53803" w:rsidRPr="001B051D" w:rsidRDefault="00A53803" w:rsidP="00A53803">
                <w:pPr>
                  <w:spacing w:after="0" w:line="240" w:lineRule="auto"/>
                  <w:jc w:val="center"/>
                  <w:rPr>
                    <w:rFonts w:ascii="Times New Roman" w:eastAsia="Times New Roman" w:hAnsi="Times New Roman"/>
                    <w:b/>
                    <w:sz w:val="18"/>
                    <w:szCs w:val="18"/>
                    <w:lang w:eastAsia="es-CO"/>
                  </w:rPr>
                </w:pPr>
                <w:r w:rsidRPr="001B051D">
                  <w:rPr>
                    <w:rFonts w:ascii="Times New Roman" w:eastAsia="Times New Roman" w:hAnsi="Times New Roman"/>
                    <w:b/>
                    <w:sz w:val="18"/>
                    <w:szCs w:val="18"/>
                    <w:lang w:eastAsia="es-CO"/>
                  </w:rPr>
                  <w:t>CONCEPTO</w:t>
                </w:r>
              </w:p>
            </w:tc>
            <w:tc>
              <w:tcPr>
                <w:tcW w:w="904" w:type="pct"/>
                <w:tcBorders>
                  <w:top w:val="single" w:sz="4" w:space="0" w:color="A6A6A6"/>
                  <w:left w:val="single" w:sz="4" w:space="0" w:color="A6A6A6"/>
                  <w:bottom w:val="single" w:sz="4" w:space="0" w:color="A6A6A6"/>
                  <w:right w:val="single" w:sz="4" w:space="0" w:color="A6A6A6"/>
                </w:tcBorders>
                <w:vAlign w:val="center"/>
                <w:hideMark/>
              </w:tcPr>
              <w:p w14:paraId="61246F1B" w14:textId="77777777" w:rsidR="00A53803" w:rsidRPr="001B051D" w:rsidRDefault="00A53803" w:rsidP="00A53803">
                <w:pPr>
                  <w:spacing w:after="0" w:line="240" w:lineRule="auto"/>
                  <w:jc w:val="center"/>
                  <w:rPr>
                    <w:rFonts w:ascii="Times New Roman" w:eastAsia="Times New Roman" w:hAnsi="Times New Roman"/>
                    <w:b/>
                    <w:sz w:val="18"/>
                    <w:szCs w:val="18"/>
                    <w:lang w:eastAsia="es-CO"/>
                  </w:rPr>
                </w:pPr>
                <w:r w:rsidRPr="001B051D">
                  <w:rPr>
                    <w:rFonts w:ascii="Times New Roman" w:eastAsia="Times New Roman" w:hAnsi="Times New Roman"/>
                    <w:b/>
                    <w:sz w:val="18"/>
                    <w:szCs w:val="18"/>
                    <w:lang w:eastAsia="es-CO"/>
                  </w:rPr>
                  <w:t xml:space="preserve">2023 </w:t>
                </w:r>
              </w:p>
            </w:tc>
            <w:tc>
              <w:tcPr>
                <w:tcW w:w="861" w:type="pct"/>
                <w:tcBorders>
                  <w:top w:val="single" w:sz="4" w:space="0" w:color="A6A6A6"/>
                  <w:left w:val="single" w:sz="4" w:space="0" w:color="A6A6A6"/>
                  <w:bottom w:val="single" w:sz="4" w:space="0" w:color="A6A6A6"/>
                  <w:right w:val="single" w:sz="4" w:space="0" w:color="A6A6A6"/>
                </w:tcBorders>
                <w:vAlign w:val="center"/>
                <w:hideMark/>
              </w:tcPr>
              <w:p w14:paraId="4DC7460F" w14:textId="77777777" w:rsidR="00A53803" w:rsidRPr="001B051D" w:rsidRDefault="00A53803" w:rsidP="00A53803">
                <w:pPr>
                  <w:spacing w:after="0" w:line="240" w:lineRule="auto"/>
                  <w:jc w:val="center"/>
                  <w:rPr>
                    <w:rFonts w:ascii="Times New Roman" w:eastAsia="Times New Roman" w:hAnsi="Times New Roman"/>
                    <w:b/>
                    <w:sz w:val="18"/>
                    <w:szCs w:val="18"/>
                    <w:lang w:eastAsia="es-CO"/>
                  </w:rPr>
                </w:pPr>
                <w:r w:rsidRPr="001B051D">
                  <w:rPr>
                    <w:rFonts w:ascii="Times New Roman" w:eastAsia="Times New Roman" w:hAnsi="Times New Roman"/>
                    <w:b/>
                    <w:sz w:val="18"/>
                    <w:szCs w:val="18"/>
                    <w:lang w:eastAsia="es-CO"/>
                  </w:rPr>
                  <w:t xml:space="preserve">2022 </w:t>
                </w:r>
              </w:p>
            </w:tc>
            <w:tc>
              <w:tcPr>
                <w:tcW w:w="926" w:type="pct"/>
                <w:tcBorders>
                  <w:top w:val="single" w:sz="4" w:space="0" w:color="A6A6A6"/>
                  <w:left w:val="single" w:sz="4" w:space="0" w:color="A6A6A6"/>
                  <w:bottom w:val="single" w:sz="4" w:space="0" w:color="A6A6A6"/>
                  <w:right w:val="single" w:sz="4" w:space="0" w:color="A6A6A6"/>
                </w:tcBorders>
                <w:vAlign w:val="center"/>
                <w:hideMark/>
              </w:tcPr>
              <w:p w14:paraId="70D792D3" w14:textId="77777777" w:rsidR="00A53803" w:rsidRPr="001B051D" w:rsidRDefault="00A53803" w:rsidP="00A53803">
                <w:pPr>
                  <w:spacing w:after="0" w:line="240" w:lineRule="auto"/>
                  <w:jc w:val="center"/>
                  <w:rPr>
                    <w:rFonts w:ascii="Times New Roman" w:eastAsia="Times New Roman" w:hAnsi="Times New Roman"/>
                    <w:b/>
                    <w:sz w:val="18"/>
                    <w:szCs w:val="18"/>
                    <w:lang w:eastAsia="es-CO"/>
                  </w:rPr>
                </w:pPr>
                <w:r w:rsidRPr="001B051D">
                  <w:rPr>
                    <w:rFonts w:ascii="Times New Roman" w:eastAsia="Times New Roman" w:hAnsi="Times New Roman"/>
                    <w:b/>
                    <w:sz w:val="18"/>
                    <w:szCs w:val="18"/>
                    <w:lang w:eastAsia="es-CO"/>
                  </w:rPr>
                  <w:t>VALOR VARIACIÓN</w:t>
                </w:r>
              </w:p>
            </w:tc>
          </w:tr>
          <w:tr w:rsidR="00A53803" w:rsidRPr="001B051D" w14:paraId="665986D4" w14:textId="77777777" w:rsidTr="00A53803">
            <w:trPr>
              <w:trHeight w:val="210"/>
            </w:trPr>
            <w:tc>
              <w:tcPr>
                <w:tcW w:w="567" w:type="pct"/>
                <w:tcBorders>
                  <w:top w:val="single" w:sz="4" w:space="0" w:color="A6A6A6"/>
                  <w:left w:val="single" w:sz="4" w:space="0" w:color="A6A6A6"/>
                  <w:bottom w:val="single" w:sz="4" w:space="0" w:color="A6A6A6"/>
                  <w:right w:val="single" w:sz="4" w:space="0" w:color="A6A6A6"/>
                </w:tcBorders>
                <w:noWrap/>
                <w:vAlign w:val="center"/>
                <w:hideMark/>
              </w:tcPr>
              <w:p w14:paraId="46811B23" w14:textId="77777777" w:rsidR="00A53803" w:rsidRPr="001B051D" w:rsidRDefault="00A53803" w:rsidP="00A53803">
                <w:pPr>
                  <w:spacing w:after="0" w:line="240" w:lineRule="auto"/>
                  <w:rPr>
                    <w:rFonts w:ascii="Times New Roman" w:eastAsia="Times New Roman" w:hAnsi="Times New Roman"/>
                    <w:b/>
                    <w:sz w:val="18"/>
                    <w:szCs w:val="18"/>
                    <w:lang w:eastAsia="es-CO"/>
                  </w:rPr>
                </w:pPr>
                <w:r w:rsidRPr="001B051D">
                  <w:rPr>
                    <w:rFonts w:ascii="Times New Roman" w:eastAsia="Times New Roman" w:hAnsi="Times New Roman"/>
                    <w:b/>
                    <w:sz w:val="18"/>
                    <w:szCs w:val="18"/>
                    <w:lang w:eastAsia="es-CO"/>
                  </w:rPr>
                  <w:t>2.4</w:t>
                </w:r>
              </w:p>
            </w:tc>
            <w:tc>
              <w:tcPr>
                <w:tcW w:w="446" w:type="pct"/>
                <w:tcBorders>
                  <w:top w:val="single" w:sz="4" w:space="0" w:color="A6A6A6"/>
                  <w:left w:val="single" w:sz="4" w:space="0" w:color="A6A6A6"/>
                  <w:bottom w:val="single" w:sz="4" w:space="0" w:color="A6A6A6"/>
                  <w:right w:val="nil"/>
                </w:tcBorders>
                <w:noWrap/>
                <w:vAlign w:val="center"/>
                <w:hideMark/>
              </w:tcPr>
              <w:p w14:paraId="61FAEF45" w14:textId="77777777" w:rsidR="00A53803" w:rsidRPr="001B051D" w:rsidRDefault="00A53803" w:rsidP="00A53803">
                <w:pPr>
                  <w:spacing w:after="0" w:line="240" w:lineRule="auto"/>
                  <w:jc w:val="center"/>
                  <w:rPr>
                    <w:rFonts w:ascii="Times New Roman" w:eastAsia="Times New Roman" w:hAnsi="Times New Roman"/>
                    <w:b/>
                    <w:sz w:val="18"/>
                    <w:szCs w:val="18"/>
                    <w:lang w:eastAsia="es-CO"/>
                  </w:rPr>
                </w:pPr>
                <w:r w:rsidRPr="001B051D">
                  <w:rPr>
                    <w:rFonts w:ascii="Times New Roman" w:eastAsia="Times New Roman" w:hAnsi="Times New Roman"/>
                    <w:b/>
                    <w:sz w:val="18"/>
                    <w:szCs w:val="18"/>
                    <w:lang w:eastAsia="es-CO"/>
                  </w:rPr>
                  <w:t>Cr</w:t>
                </w:r>
              </w:p>
            </w:tc>
            <w:tc>
              <w:tcPr>
                <w:tcW w:w="1296" w:type="pct"/>
                <w:tcBorders>
                  <w:top w:val="single" w:sz="4" w:space="0" w:color="A6A6A6"/>
                  <w:left w:val="single" w:sz="4" w:space="0" w:color="A6A6A6"/>
                  <w:bottom w:val="single" w:sz="4" w:space="0" w:color="A6A6A6"/>
                  <w:right w:val="nil"/>
                </w:tcBorders>
                <w:vAlign w:val="center"/>
                <w:hideMark/>
              </w:tcPr>
              <w:p w14:paraId="72BA16EF" w14:textId="77777777" w:rsidR="00A53803" w:rsidRPr="001B051D" w:rsidRDefault="00A53803" w:rsidP="00A53803">
                <w:pPr>
                  <w:spacing w:after="0" w:line="240" w:lineRule="auto"/>
                  <w:jc w:val="center"/>
                  <w:rPr>
                    <w:rFonts w:ascii="Times New Roman" w:eastAsia="Times New Roman" w:hAnsi="Times New Roman"/>
                    <w:b/>
                    <w:sz w:val="18"/>
                    <w:szCs w:val="18"/>
                    <w:lang w:eastAsia="es-CO"/>
                  </w:rPr>
                </w:pPr>
                <w:r w:rsidRPr="001B051D">
                  <w:rPr>
                    <w:rFonts w:ascii="Times New Roman" w:eastAsia="Times New Roman" w:hAnsi="Times New Roman"/>
                    <w:b/>
                    <w:sz w:val="18"/>
                    <w:szCs w:val="18"/>
                    <w:lang w:eastAsia="es-CO"/>
                  </w:rPr>
                  <w:t>CUENTAS POR PAGAR</w:t>
                </w:r>
              </w:p>
            </w:tc>
            <w:tc>
              <w:tcPr>
                <w:tcW w:w="904" w:type="pct"/>
                <w:tcBorders>
                  <w:top w:val="single" w:sz="4" w:space="0" w:color="A6A6A6"/>
                  <w:left w:val="single" w:sz="4" w:space="0" w:color="A6A6A6"/>
                  <w:bottom w:val="single" w:sz="4" w:space="0" w:color="A6A6A6"/>
                  <w:right w:val="single" w:sz="4" w:space="0" w:color="A6A6A6"/>
                </w:tcBorders>
                <w:noWrap/>
                <w:vAlign w:val="center"/>
                <w:hideMark/>
              </w:tcPr>
              <w:p w14:paraId="680ECC1A" w14:textId="77777777" w:rsidR="00A53803" w:rsidRPr="001B051D" w:rsidRDefault="00A53803" w:rsidP="00A53803">
                <w:pPr>
                  <w:spacing w:after="0" w:line="240" w:lineRule="auto"/>
                  <w:jc w:val="right"/>
                  <w:rPr>
                    <w:rFonts w:ascii="Times New Roman" w:eastAsia="Times New Roman" w:hAnsi="Times New Roman"/>
                    <w:b/>
                    <w:sz w:val="18"/>
                    <w:szCs w:val="18"/>
                    <w:lang w:eastAsia="es-CO"/>
                  </w:rPr>
                </w:pPr>
                <w:r w:rsidRPr="001B051D">
                  <w:rPr>
                    <w:rFonts w:ascii="Times New Roman" w:eastAsia="Times New Roman" w:hAnsi="Times New Roman"/>
                    <w:b/>
                    <w:sz w:val="18"/>
                    <w:szCs w:val="18"/>
                    <w:lang w:eastAsia="es-CO"/>
                  </w:rPr>
                  <w:t>1.804.647.053.500</w:t>
                </w:r>
              </w:p>
            </w:tc>
            <w:tc>
              <w:tcPr>
                <w:tcW w:w="861" w:type="pct"/>
                <w:tcBorders>
                  <w:top w:val="single" w:sz="4" w:space="0" w:color="A6A6A6"/>
                  <w:left w:val="single" w:sz="4" w:space="0" w:color="A6A6A6"/>
                  <w:bottom w:val="single" w:sz="4" w:space="0" w:color="A6A6A6"/>
                  <w:right w:val="single" w:sz="4" w:space="0" w:color="A6A6A6"/>
                </w:tcBorders>
                <w:noWrap/>
                <w:vAlign w:val="center"/>
                <w:hideMark/>
              </w:tcPr>
              <w:p w14:paraId="1AB8F643" w14:textId="617E7E1F" w:rsidR="00A53803" w:rsidRPr="001B051D" w:rsidRDefault="00A53803" w:rsidP="00A53803">
                <w:pPr>
                  <w:spacing w:after="0" w:line="240" w:lineRule="auto"/>
                  <w:jc w:val="right"/>
                  <w:rPr>
                    <w:rFonts w:ascii="Times New Roman" w:eastAsia="Times New Roman" w:hAnsi="Times New Roman"/>
                    <w:b/>
                    <w:sz w:val="18"/>
                    <w:szCs w:val="18"/>
                    <w:lang w:eastAsia="es-CO"/>
                  </w:rPr>
                </w:pPr>
                <w:r w:rsidRPr="001B051D">
                  <w:rPr>
                    <w:rFonts w:ascii="Times New Roman" w:eastAsia="Times New Roman" w:hAnsi="Times New Roman"/>
                    <w:b/>
                    <w:sz w:val="18"/>
                    <w:szCs w:val="18"/>
                    <w:lang w:eastAsia="es-CO"/>
                  </w:rPr>
                  <w:t>1.255.749.511.47</w:t>
                </w:r>
                <w:r w:rsidR="00CE72C7">
                  <w:rPr>
                    <w:rFonts w:ascii="Times New Roman" w:eastAsia="Times New Roman" w:hAnsi="Times New Roman"/>
                    <w:b/>
                    <w:sz w:val="18"/>
                    <w:szCs w:val="18"/>
                    <w:lang w:eastAsia="es-CO"/>
                  </w:rPr>
                  <w:t>0</w:t>
                </w:r>
              </w:p>
            </w:tc>
            <w:tc>
              <w:tcPr>
                <w:tcW w:w="926" w:type="pct"/>
                <w:tcBorders>
                  <w:top w:val="single" w:sz="4" w:space="0" w:color="A6A6A6"/>
                  <w:left w:val="single" w:sz="4" w:space="0" w:color="A6A6A6"/>
                  <w:bottom w:val="single" w:sz="4" w:space="0" w:color="A6A6A6"/>
                  <w:right w:val="single" w:sz="4" w:space="0" w:color="A6A6A6"/>
                </w:tcBorders>
                <w:noWrap/>
                <w:vAlign w:val="center"/>
                <w:hideMark/>
              </w:tcPr>
              <w:p w14:paraId="44CC22A2" w14:textId="77777777" w:rsidR="00A53803" w:rsidRPr="001B051D" w:rsidRDefault="00A53803" w:rsidP="00A53803">
                <w:pPr>
                  <w:spacing w:after="0" w:line="240" w:lineRule="auto"/>
                  <w:jc w:val="right"/>
                  <w:rPr>
                    <w:rFonts w:ascii="Times New Roman" w:eastAsia="Times New Roman" w:hAnsi="Times New Roman"/>
                    <w:b/>
                    <w:sz w:val="18"/>
                    <w:szCs w:val="18"/>
                    <w:lang w:eastAsia="es-CO"/>
                  </w:rPr>
                </w:pPr>
                <w:r w:rsidRPr="001B051D">
                  <w:rPr>
                    <w:rFonts w:ascii="Times New Roman" w:eastAsia="Times New Roman" w:hAnsi="Times New Roman"/>
                    <w:b/>
                    <w:sz w:val="18"/>
                    <w:szCs w:val="18"/>
                    <w:lang w:eastAsia="es-CO"/>
                  </w:rPr>
                  <w:t>548.897.542.030</w:t>
                </w:r>
              </w:p>
            </w:tc>
          </w:tr>
          <w:tr w:rsidR="00A53803" w:rsidRPr="001B051D" w14:paraId="0D8F4A8C" w14:textId="77777777" w:rsidTr="00A53803">
            <w:trPr>
              <w:trHeight w:val="405"/>
            </w:trPr>
            <w:tc>
              <w:tcPr>
                <w:tcW w:w="567" w:type="pct"/>
                <w:tcBorders>
                  <w:top w:val="single" w:sz="4" w:space="0" w:color="A6A6A6"/>
                  <w:left w:val="single" w:sz="4" w:space="0" w:color="A6A6A6"/>
                  <w:bottom w:val="single" w:sz="4" w:space="0" w:color="A6A6A6"/>
                  <w:right w:val="single" w:sz="4" w:space="0" w:color="A6A6A6"/>
                </w:tcBorders>
                <w:noWrap/>
                <w:vAlign w:val="center"/>
                <w:hideMark/>
              </w:tcPr>
              <w:p w14:paraId="13965506" w14:textId="77777777" w:rsidR="00A53803" w:rsidRPr="001B051D" w:rsidRDefault="00A53803" w:rsidP="00A53803">
                <w:pPr>
                  <w:spacing w:after="0" w:line="240" w:lineRule="auto"/>
                  <w:rPr>
                    <w:rFonts w:ascii="Times New Roman" w:eastAsia="Times New Roman" w:hAnsi="Times New Roman"/>
                    <w:sz w:val="18"/>
                    <w:szCs w:val="18"/>
                    <w:lang w:eastAsia="es-CO"/>
                  </w:rPr>
                </w:pPr>
                <w:r w:rsidRPr="001B051D">
                  <w:rPr>
                    <w:rFonts w:ascii="Times New Roman" w:eastAsia="Times New Roman" w:hAnsi="Times New Roman"/>
                    <w:sz w:val="18"/>
                    <w:szCs w:val="18"/>
                    <w:lang w:eastAsia="es-CO"/>
                  </w:rPr>
                  <w:t>2.4.01</w:t>
                </w:r>
              </w:p>
            </w:tc>
            <w:tc>
              <w:tcPr>
                <w:tcW w:w="446" w:type="pct"/>
                <w:tcBorders>
                  <w:top w:val="single" w:sz="4" w:space="0" w:color="A6A6A6"/>
                  <w:left w:val="single" w:sz="4" w:space="0" w:color="A6A6A6"/>
                  <w:bottom w:val="single" w:sz="4" w:space="0" w:color="A6A6A6"/>
                  <w:right w:val="nil"/>
                </w:tcBorders>
                <w:noWrap/>
                <w:vAlign w:val="center"/>
                <w:hideMark/>
              </w:tcPr>
              <w:p w14:paraId="09489123" w14:textId="77777777" w:rsidR="00A53803" w:rsidRPr="001B051D" w:rsidRDefault="00A53803" w:rsidP="00A53803">
                <w:pPr>
                  <w:spacing w:after="0" w:line="240" w:lineRule="auto"/>
                  <w:jc w:val="center"/>
                  <w:rPr>
                    <w:rFonts w:ascii="Times New Roman" w:eastAsia="Times New Roman" w:hAnsi="Times New Roman"/>
                    <w:sz w:val="18"/>
                    <w:szCs w:val="18"/>
                    <w:lang w:eastAsia="es-CO"/>
                  </w:rPr>
                </w:pPr>
                <w:r w:rsidRPr="001B051D">
                  <w:rPr>
                    <w:rFonts w:ascii="Times New Roman" w:eastAsia="Times New Roman" w:hAnsi="Times New Roman"/>
                    <w:sz w:val="18"/>
                    <w:szCs w:val="18"/>
                    <w:lang w:eastAsia="es-CO"/>
                  </w:rPr>
                  <w:t>Cr</w:t>
                </w:r>
              </w:p>
            </w:tc>
            <w:tc>
              <w:tcPr>
                <w:tcW w:w="1296" w:type="pct"/>
                <w:tcBorders>
                  <w:top w:val="single" w:sz="4" w:space="0" w:color="A6A6A6"/>
                  <w:left w:val="single" w:sz="4" w:space="0" w:color="A6A6A6"/>
                  <w:bottom w:val="single" w:sz="4" w:space="0" w:color="A6A6A6"/>
                  <w:right w:val="nil"/>
                </w:tcBorders>
                <w:vAlign w:val="center"/>
                <w:hideMark/>
              </w:tcPr>
              <w:p w14:paraId="3FF4A9E8" w14:textId="77777777" w:rsidR="00A53803" w:rsidRPr="001B051D" w:rsidRDefault="00A53803" w:rsidP="00A53803">
                <w:pPr>
                  <w:spacing w:after="0" w:line="240" w:lineRule="auto"/>
                  <w:rPr>
                    <w:rFonts w:ascii="Times New Roman" w:eastAsia="Times New Roman" w:hAnsi="Times New Roman"/>
                    <w:sz w:val="18"/>
                    <w:szCs w:val="18"/>
                    <w:lang w:eastAsia="es-CO"/>
                  </w:rPr>
                </w:pPr>
                <w:r w:rsidRPr="001B051D">
                  <w:rPr>
                    <w:rFonts w:ascii="Times New Roman" w:eastAsia="Times New Roman" w:hAnsi="Times New Roman"/>
                    <w:sz w:val="18"/>
                    <w:szCs w:val="18"/>
                    <w:lang w:eastAsia="es-CO"/>
                  </w:rPr>
                  <w:t>Adquisición de bienes y servicios nacionales</w:t>
                </w:r>
              </w:p>
            </w:tc>
            <w:tc>
              <w:tcPr>
                <w:tcW w:w="904" w:type="pct"/>
                <w:tcBorders>
                  <w:top w:val="single" w:sz="4" w:space="0" w:color="A6A6A6"/>
                  <w:left w:val="single" w:sz="4" w:space="0" w:color="A6A6A6"/>
                  <w:bottom w:val="single" w:sz="4" w:space="0" w:color="A6A6A6"/>
                  <w:right w:val="single" w:sz="4" w:space="0" w:color="A6A6A6"/>
                </w:tcBorders>
                <w:noWrap/>
                <w:vAlign w:val="center"/>
                <w:hideMark/>
              </w:tcPr>
              <w:p w14:paraId="2826F9FB" w14:textId="77777777" w:rsidR="00A53803" w:rsidRPr="001B051D" w:rsidRDefault="00A53803" w:rsidP="00A53803">
                <w:pPr>
                  <w:spacing w:after="0" w:line="240" w:lineRule="auto"/>
                  <w:jc w:val="right"/>
                  <w:rPr>
                    <w:rFonts w:ascii="Times New Roman" w:eastAsia="Times New Roman" w:hAnsi="Times New Roman"/>
                    <w:sz w:val="18"/>
                    <w:szCs w:val="18"/>
                    <w:lang w:eastAsia="es-CO"/>
                  </w:rPr>
                </w:pPr>
                <w:r w:rsidRPr="001B051D">
                  <w:rPr>
                    <w:rFonts w:ascii="Times New Roman" w:eastAsia="Times New Roman" w:hAnsi="Times New Roman"/>
                    <w:sz w:val="18"/>
                    <w:szCs w:val="18"/>
                    <w:lang w:eastAsia="es-CO"/>
                  </w:rPr>
                  <w:t>32.627.457.518</w:t>
                </w:r>
              </w:p>
            </w:tc>
            <w:tc>
              <w:tcPr>
                <w:tcW w:w="861" w:type="pct"/>
                <w:tcBorders>
                  <w:top w:val="single" w:sz="4" w:space="0" w:color="A6A6A6"/>
                  <w:left w:val="single" w:sz="4" w:space="0" w:color="A6A6A6"/>
                  <w:bottom w:val="single" w:sz="4" w:space="0" w:color="A6A6A6"/>
                  <w:right w:val="single" w:sz="4" w:space="0" w:color="A6A6A6"/>
                </w:tcBorders>
                <w:noWrap/>
                <w:vAlign w:val="center"/>
                <w:hideMark/>
              </w:tcPr>
              <w:p w14:paraId="7A50DDB5" w14:textId="77777777" w:rsidR="00A53803" w:rsidRPr="001B051D" w:rsidRDefault="00A53803" w:rsidP="00A53803">
                <w:pPr>
                  <w:spacing w:after="0" w:line="240" w:lineRule="auto"/>
                  <w:jc w:val="right"/>
                  <w:rPr>
                    <w:rFonts w:ascii="Times New Roman" w:eastAsia="Times New Roman" w:hAnsi="Times New Roman"/>
                    <w:sz w:val="18"/>
                    <w:szCs w:val="18"/>
                    <w:lang w:eastAsia="es-CO"/>
                  </w:rPr>
                </w:pPr>
                <w:r w:rsidRPr="001B051D">
                  <w:rPr>
                    <w:rFonts w:ascii="Times New Roman" w:eastAsia="Times New Roman" w:hAnsi="Times New Roman"/>
                    <w:sz w:val="18"/>
                    <w:szCs w:val="18"/>
                    <w:lang w:eastAsia="es-CO"/>
                  </w:rPr>
                  <w:t>126.332.908.435</w:t>
                </w:r>
              </w:p>
            </w:tc>
            <w:tc>
              <w:tcPr>
                <w:tcW w:w="926" w:type="pct"/>
                <w:tcBorders>
                  <w:top w:val="single" w:sz="4" w:space="0" w:color="A6A6A6"/>
                  <w:left w:val="single" w:sz="4" w:space="0" w:color="A6A6A6"/>
                  <w:bottom w:val="single" w:sz="4" w:space="0" w:color="A6A6A6"/>
                  <w:right w:val="single" w:sz="4" w:space="0" w:color="A6A6A6"/>
                </w:tcBorders>
                <w:noWrap/>
                <w:vAlign w:val="center"/>
                <w:hideMark/>
              </w:tcPr>
              <w:p w14:paraId="0B566C8E" w14:textId="77777777" w:rsidR="00A53803" w:rsidRPr="001B051D" w:rsidRDefault="00A53803" w:rsidP="00A53803">
                <w:pPr>
                  <w:spacing w:after="0" w:line="240" w:lineRule="auto"/>
                  <w:jc w:val="right"/>
                  <w:rPr>
                    <w:rFonts w:ascii="Times New Roman" w:eastAsia="Times New Roman" w:hAnsi="Times New Roman"/>
                    <w:sz w:val="18"/>
                    <w:szCs w:val="18"/>
                    <w:lang w:eastAsia="es-CO"/>
                  </w:rPr>
                </w:pPr>
                <w:r w:rsidRPr="001B051D">
                  <w:rPr>
                    <w:rFonts w:ascii="Times New Roman" w:eastAsia="Times New Roman" w:hAnsi="Times New Roman"/>
                    <w:sz w:val="18"/>
                    <w:szCs w:val="18"/>
                    <w:lang w:eastAsia="es-CO"/>
                  </w:rPr>
                  <w:t>-93.705.450.917</w:t>
                </w:r>
              </w:p>
            </w:tc>
          </w:tr>
          <w:tr w:rsidR="00A53803" w:rsidRPr="001B051D" w14:paraId="6AE28B7C" w14:textId="77777777" w:rsidTr="00A53803">
            <w:trPr>
              <w:trHeight w:val="225"/>
            </w:trPr>
            <w:tc>
              <w:tcPr>
                <w:tcW w:w="567" w:type="pct"/>
                <w:tcBorders>
                  <w:top w:val="single" w:sz="4" w:space="0" w:color="A6A6A6"/>
                  <w:left w:val="single" w:sz="4" w:space="0" w:color="A6A6A6"/>
                  <w:bottom w:val="single" w:sz="4" w:space="0" w:color="A6A6A6"/>
                  <w:right w:val="single" w:sz="4" w:space="0" w:color="A6A6A6"/>
                </w:tcBorders>
                <w:noWrap/>
                <w:vAlign w:val="center"/>
                <w:hideMark/>
              </w:tcPr>
              <w:p w14:paraId="4D2B90DC" w14:textId="77777777" w:rsidR="00A53803" w:rsidRPr="001B051D" w:rsidRDefault="00A53803" w:rsidP="00A53803">
                <w:pPr>
                  <w:spacing w:after="0" w:line="240" w:lineRule="auto"/>
                  <w:rPr>
                    <w:rFonts w:ascii="Times New Roman" w:eastAsia="Times New Roman" w:hAnsi="Times New Roman"/>
                    <w:sz w:val="18"/>
                    <w:szCs w:val="18"/>
                    <w:lang w:eastAsia="es-CO"/>
                  </w:rPr>
                </w:pPr>
                <w:r w:rsidRPr="001B051D">
                  <w:rPr>
                    <w:rFonts w:ascii="Times New Roman" w:eastAsia="Times New Roman" w:hAnsi="Times New Roman"/>
                    <w:sz w:val="18"/>
                    <w:szCs w:val="18"/>
                    <w:lang w:eastAsia="es-CO"/>
                  </w:rPr>
                  <w:t>2.4.07</w:t>
                </w:r>
              </w:p>
            </w:tc>
            <w:tc>
              <w:tcPr>
                <w:tcW w:w="446" w:type="pct"/>
                <w:tcBorders>
                  <w:top w:val="single" w:sz="4" w:space="0" w:color="A6A6A6"/>
                  <w:left w:val="single" w:sz="4" w:space="0" w:color="A6A6A6"/>
                  <w:bottom w:val="single" w:sz="4" w:space="0" w:color="A6A6A6"/>
                  <w:right w:val="nil"/>
                </w:tcBorders>
                <w:noWrap/>
                <w:vAlign w:val="center"/>
                <w:hideMark/>
              </w:tcPr>
              <w:p w14:paraId="1B612403" w14:textId="77777777" w:rsidR="00A53803" w:rsidRPr="001B051D" w:rsidRDefault="00A53803" w:rsidP="00A53803">
                <w:pPr>
                  <w:spacing w:after="0" w:line="240" w:lineRule="auto"/>
                  <w:jc w:val="center"/>
                  <w:rPr>
                    <w:rFonts w:ascii="Times New Roman" w:eastAsia="Times New Roman" w:hAnsi="Times New Roman"/>
                    <w:sz w:val="18"/>
                    <w:szCs w:val="18"/>
                    <w:lang w:eastAsia="es-CO"/>
                  </w:rPr>
                </w:pPr>
                <w:r w:rsidRPr="001B051D">
                  <w:rPr>
                    <w:rFonts w:ascii="Times New Roman" w:eastAsia="Times New Roman" w:hAnsi="Times New Roman"/>
                    <w:sz w:val="18"/>
                    <w:szCs w:val="18"/>
                    <w:lang w:eastAsia="es-CO"/>
                  </w:rPr>
                  <w:t>Cr</w:t>
                </w:r>
              </w:p>
            </w:tc>
            <w:tc>
              <w:tcPr>
                <w:tcW w:w="1296" w:type="pct"/>
                <w:tcBorders>
                  <w:top w:val="single" w:sz="4" w:space="0" w:color="A6A6A6"/>
                  <w:left w:val="single" w:sz="4" w:space="0" w:color="A6A6A6"/>
                  <w:bottom w:val="single" w:sz="4" w:space="0" w:color="A6A6A6"/>
                  <w:right w:val="nil"/>
                </w:tcBorders>
                <w:vAlign w:val="center"/>
                <w:hideMark/>
              </w:tcPr>
              <w:p w14:paraId="78AF43A1" w14:textId="77777777" w:rsidR="00A53803" w:rsidRPr="001B051D" w:rsidRDefault="00A53803" w:rsidP="00A53803">
                <w:pPr>
                  <w:spacing w:after="0" w:line="240" w:lineRule="auto"/>
                  <w:rPr>
                    <w:rFonts w:ascii="Times New Roman" w:eastAsia="Times New Roman" w:hAnsi="Times New Roman"/>
                    <w:sz w:val="18"/>
                    <w:szCs w:val="18"/>
                    <w:lang w:eastAsia="es-CO"/>
                  </w:rPr>
                </w:pPr>
                <w:r w:rsidRPr="001B051D">
                  <w:rPr>
                    <w:rFonts w:ascii="Times New Roman" w:eastAsia="Times New Roman" w:hAnsi="Times New Roman"/>
                    <w:sz w:val="18"/>
                    <w:szCs w:val="18"/>
                    <w:lang w:eastAsia="es-CO"/>
                  </w:rPr>
                  <w:t>Recursos a favor de terceros</w:t>
                </w:r>
              </w:p>
            </w:tc>
            <w:tc>
              <w:tcPr>
                <w:tcW w:w="904" w:type="pct"/>
                <w:tcBorders>
                  <w:top w:val="single" w:sz="4" w:space="0" w:color="A6A6A6"/>
                  <w:left w:val="single" w:sz="4" w:space="0" w:color="A6A6A6"/>
                  <w:bottom w:val="single" w:sz="4" w:space="0" w:color="A6A6A6"/>
                  <w:right w:val="single" w:sz="4" w:space="0" w:color="A6A6A6"/>
                </w:tcBorders>
                <w:noWrap/>
                <w:vAlign w:val="center"/>
                <w:hideMark/>
              </w:tcPr>
              <w:p w14:paraId="76C26EB2" w14:textId="77777777" w:rsidR="00A53803" w:rsidRPr="001B051D" w:rsidRDefault="00A53803" w:rsidP="00A53803">
                <w:pPr>
                  <w:spacing w:after="0" w:line="240" w:lineRule="auto"/>
                  <w:jc w:val="right"/>
                  <w:rPr>
                    <w:rFonts w:ascii="Times New Roman" w:eastAsia="Times New Roman" w:hAnsi="Times New Roman"/>
                    <w:sz w:val="18"/>
                    <w:szCs w:val="18"/>
                    <w:lang w:eastAsia="es-CO"/>
                  </w:rPr>
                </w:pPr>
                <w:r w:rsidRPr="001B051D">
                  <w:rPr>
                    <w:rFonts w:ascii="Times New Roman" w:eastAsia="Times New Roman" w:hAnsi="Times New Roman"/>
                    <w:sz w:val="18"/>
                    <w:szCs w:val="18"/>
                    <w:lang w:eastAsia="es-CO"/>
                  </w:rPr>
                  <w:t>5.877.715.418</w:t>
                </w:r>
              </w:p>
            </w:tc>
            <w:tc>
              <w:tcPr>
                <w:tcW w:w="861" w:type="pct"/>
                <w:tcBorders>
                  <w:top w:val="single" w:sz="4" w:space="0" w:color="A6A6A6"/>
                  <w:left w:val="single" w:sz="4" w:space="0" w:color="A6A6A6"/>
                  <w:bottom w:val="single" w:sz="4" w:space="0" w:color="A6A6A6"/>
                  <w:right w:val="single" w:sz="4" w:space="0" w:color="A6A6A6"/>
                </w:tcBorders>
                <w:noWrap/>
                <w:vAlign w:val="center"/>
                <w:hideMark/>
              </w:tcPr>
              <w:p w14:paraId="1C1DA292" w14:textId="77777777" w:rsidR="00A53803" w:rsidRPr="001B051D" w:rsidRDefault="00A53803" w:rsidP="00A53803">
                <w:pPr>
                  <w:spacing w:after="0" w:line="240" w:lineRule="auto"/>
                  <w:jc w:val="right"/>
                  <w:rPr>
                    <w:rFonts w:ascii="Times New Roman" w:eastAsia="Times New Roman" w:hAnsi="Times New Roman"/>
                    <w:sz w:val="18"/>
                    <w:szCs w:val="18"/>
                    <w:lang w:eastAsia="es-CO"/>
                  </w:rPr>
                </w:pPr>
                <w:r w:rsidRPr="001B051D">
                  <w:rPr>
                    <w:rFonts w:ascii="Times New Roman" w:eastAsia="Times New Roman" w:hAnsi="Times New Roman"/>
                    <w:sz w:val="18"/>
                    <w:szCs w:val="18"/>
                    <w:lang w:eastAsia="es-CO"/>
                  </w:rPr>
                  <w:t>4.380.685.540</w:t>
                </w:r>
              </w:p>
            </w:tc>
            <w:tc>
              <w:tcPr>
                <w:tcW w:w="926" w:type="pct"/>
                <w:tcBorders>
                  <w:top w:val="single" w:sz="4" w:space="0" w:color="A6A6A6"/>
                  <w:left w:val="single" w:sz="4" w:space="0" w:color="A6A6A6"/>
                  <w:bottom w:val="single" w:sz="4" w:space="0" w:color="A6A6A6"/>
                  <w:right w:val="single" w:sz="4" w:space="0" w:color="A6A6A6"/>
                </w:tcBorders>
                <w:noWrap/>
                <w:vAlign w:val="center"/>
                <w:hideMark/>
              </w:tcPr>
              <w:p w14:paraId="37F270EA" w14:textId="77777777" w:rsidR="00A53803" w:rsidRPr="001B051D" w:rsidRDefault="00A53803" w:rsidP="00A53803">
                <w:pPr>
                  <w:spacing w:after="0" w:line="240" w:lineRule="auto"/>
                  <w:jc w:val="right"/>
                  <w:rPr>
                    <w:rFonts w:ascii="Times New Roman" w:eastAsia="Times New Roman" w:hAnsi="Times New Roman"/>
                    <w:sz w:val="18"/>
                    <w:szCs w:val="18"/>
                    <w:lang w:eastAsia="es-CO"/>
                  </w:rPr>
                </w:pPr>
                <w:r w:rsidRPr="001B051D">
                  <w:rPr>
                    <w:rFonts w:ascii="Times New Roman" w:eastAsia="Times New Roman" w:hAnsi="Times New Roman"/>
                    <w:sz w:val="18"/>
                    <w:szCs w:val="18"/>
                    <w:lang w:eastAsia="es-CO"/>
                  </w:rPr>
                  <w:t>1.497.029.878</w:t>
                </w:r>
              </w:p>
            </w:tc>
          </w:tr>
          <w:tr w:rsidR="00A53803" w:rsidRPr="001B051D" w14:paraId="66A8A1E0" w14:textId="77777777" w:rsidTr="00A53803">
            <w:trPr>
              <w:trHeight w:val="225"/>
            </w:trPr>
            <w:tc>
              <w:tcPr>
                <w:tcW w:w="567" w:type="pct"/>
                <w:tcBorders>
                  <w:top w:val="single" w:sz="4" w:space="0" w:color="A6A6A6"/>
                  <w:left w:val="single" w:sz="4" w:space="0" w:color="A6A6A6"/>
                  <w:bottom w:val="single" w:sz="4" w:space="0" w:color="A6A6A6"/>
                  <w:right w:val="single" w:sz="4" w:space="0" w:color="A6A6A6"/>
                </w:tcBorders>
                <w:noWrap/>
                <w:vAlign w:val="center"/>
                <w:hideMark/>
              </w:tcPr>
              <w:p w14:paraId="100E0305" w14:textId="77777777" w:rsidR="00A53803" w:rsidRPr="001B051D" w:rsidRDefault="00A53803" w:rsidP="00A53803">
                <w:pPr>
                  <w:spacing w:after="0" w:line="240" w:lineRule="auto"/>
                  <w:rPr>
                    <w:rFonts w:ascii="Times New Roman" w:eastAsia="Times New Roman" w:hAnsi="Times New Roman"/>
                    <w:sz w:val="18"/>
                    <w:szCs w:val="18"/>
                    <w:lang w:eastAsia="es-CO"/>
                  </w:rPr>
                </w:pPr>
                <w:r w:rsidRPr="001B051D">
                  <w:rPr>
                    <w:rFonts w:ascii="Times New Roman" w:eastAsia="Times New Roman" w:hAnsi="Times New Roman"/>
                    <w:sz w:val="18"/>
                    <w:szCs w:val="18"/>
                    <w:lang w:eastAsia="es-CO"/>
                  </w:rPr>
                  <w:t>2.4.24</w:t>
                </w:r>
              </w:p>
            </w:tc>
            <w:tc>
              <w:tcPr>
                <w:tcW w:w="446" w:type="pct"/>
                <w:tcBorders>
                  <w:top w:val="single" w:sz="4" w:space="0" w:color="A6A6A6"/>
                  <w:left w:val="single" w:sz="4" w:space="0" w:color="A6A6A6"/>
                  <w:bottom w:val="single" w:sz="4" w:space="0" w:color="A6A6A6"/>
                  <w:right w:val="nil"/>
                </w:tcBorders>
                <w:noWrap/>
                <w:vAlign w:val="center"/>
                <w:hideMark/>
              </w:tcPr>
              <w:p w14:paraId="04968ABF" w14:textId="77777777" w:rsidR="00A53803" w:rsidRPr="001B051D" w:rsidRDefault="00A53803" w:rsidP="00A53803">
                <w:pPr>
                  <w:spacing w:after="0" w:line="240" w:lineRule="auto"/>
                  <w:jc w:val="center"/>
                  <w:rPr>
                    <w:rFonts w:ascii="Times New Roman" w:eastAsia="Times New Roman" w:hAnsi="Times New Roman"/>
                    <w:sz w:val="18"/>
                    <w:szCs w:val="18"/>
                    <w:lang w:eastAsia="es-CO"/>
                  </w:rPr>
                </w:pPr>
                <w:r w:rsidRPr="001B051D">
                  <w:rPr>
                    <w:rFonts w:ascii="Times New Roman" w:eastAsia="Times New Roman" w:hAnsi="Times New Roman"/>
                    <w:sz w:val="18"/>
                    <w:szCs w:val="18"/>
                    <w:lang w:eastAsia="es-CO"/>
                  </w:rPr>
                  <w:t>Cr</w:t>
                </w:r>
              </w:p>
            </w:tc>
            <w:tc>
              <w:tcPr>
                <w:tcW w:w="1296" w:type="pct"/>
                <w:tcBorders>
                  <w:top w:val="single" w:sz="4" w:space="0" w:color="A6A6A6"/>
                  <w:left w:val="single" w:sz="4" w:space="0" w:color="A6A6A6"/>
                  <w:bottom w:val="single" w:sz="4" w:space="0" w:color="A6A6A6"/>
                  <w:right w:val="nil"/>
                </w:tcBorders>
                <w:vAlign w:val="center"/>
                <w:hideMark/>
              </w:tcPr>
              <w:p w14:paraId="1E557025" w14:textId="77777777" w:rsidR="00A53803" w:rsidRPr="001B051D" w:rsidRDefault="00A53803" w:rsidP="00A53803">
                <w:pPr>
                  <w:spacing w:after="0" w:line="240" w:lineRule="auto"/>
                  <w:rPr>
                    <w:rFonts w:ascii="Times New Roman" w:eastAsia="Times New Roman" w:hAnsi="Times New Roman"/>
                    <w:sz w:val="18"/>
                    <w:szCs w:val="18"/>
                    <w:lang w:eastAsia="es-CO"/>
                  </w:rPr>
                </w:pPr>
                <w:r w:rsidRPr="001B051D">
                  <w:rPr>
                    <w:rFonts w:ascii="Times New Roman" w:eastAsia="Times New Roman" w:hAnsi="Times New Roman"/>
                    <w:sz w:val="18"/>
                    <w:szCs w:val="18"/>
                    <w:lang w:eastAsia="es-CO"/>
                  </w:rPr>
                  <w:t>Descuentos de nómina</w:t>
                </w:r>
              </w:p>
            </w:tc>
            <w:tc>
              <w:tcPr>
                <w:tcW w:w="904" w:type="pct"/>
                <w:tcBorders>
                  <w:top w:val="single" w:sz="4" w:space="0" w:color="A6A6A6"/>
                  <w:left w:val="single" w:sz="4" w:space="0" w:color="A6A6A6"/>
                  <w:bottom w:val="single" w:sz="4" w:space="0" w:color="A6A6A6"/>
                  <w:right w:val="single" w:sz="4" w:space="0" w:color="A6A6A6"/>
                </w:tcBorders>
                <w:noWrap/>
                <w:vAlign w:val="center"/>
                <w:hideMark/>
              </w:tcPr>
              <w:p w14:paraId="4EBBFC1B" w14:textId="77777777" w:rsidR="00A53803" w:rsidRPr="001B051D" w:rsidRDefault="00A53803" w:rsidP="00A53803">
                <w:pPr>
                  <w:spacing w:after="0" w:line="240" w:lineRule="auto"/>
                  <w:jc w:val="right"/>
                  <w:rPr>
                    <w:rFonts w:ascii="Times New Roman" w:eastAsia="Times New Roman" w:hAnsi="Times New Roman"/>
                    <w:sz w:val="18"/>
                    <w:szCs w:val="18"/>
                    <w:lang w:eastAsia="es-CO"/>
                  </w:rPr>
                </w:pPr>
                <w:r w:rsidRPr="001B051D">
                  <w:rPr>
                    <w:rFonts w:ascii="Times New Roman" w:eastAsia="Times New Roman" w:hAnsi="Times New Roman"/>
                    <w:sz w:val="18"/>
                    <w:szCs w:val="18"/>
                    <w:lang w:eastAsia="es-CO"/>
                  </w:rPr>
                  <w:t>48.449.067</w:t>
                </w:r>
              </w:p>
            </w:tc>
            <w:tc>
              <w:tcPr>
                <w:tcW w:w="861" w:type="pct"/>
                <w:tcBorders>
                  <w:top w:val="single" w:sz="4" w:space="0" w:color="A6A6A6"/>
                  <w:left w:val="single" w:sz="4" w:space="0" w:color="A6A6A6"/>
                  <w:bottom w:val="single" w:sz="4" w:space="0" w:color="A6A6A6"/>
                  <w:right w:val="single" w:sz="4" w:space="0" w:color="A6A6A6"/>
                </w:tcBorders>
                <w:noWrap/>
                <w:vAlign w:val="center"/>
                <w:hideMark/>
              </w:tcPr>
              <w:p w14:paraId="1CC36849" w14:textId="77777777" w:rsidR="00A53803" w:rsidRPr="001B051D" w:rsidRDefault="00A53803" w:rsidP="00A53803">
                <w:pPr>
                  <w:spacing w:after="0" w:line="240" w:lineRule="auto"/>
                  <w:jc w:val="right"/>
                  <w:rPr>
                    <w:rFonts w:ascii="Times New Roman" w:eastAsia="Times New Roman" w:hAnsi="Times New Roman"/>
                    <w:sz w:val="18"/>
                    <w:szCs w:val="18"/>
                    <w:lang w:eastAsia="es-CO"/>
                  </w:rPr>
                </w:pPr>
                <w:r w:rsidRPr="001B051D">
                  <w:rPr>
                    <w:rFonts w:ascii="Times New Roman" w:eastAsia="Times New Roman" w:hAnsi="Times New Roman"/>
                    <w:sz w:val="18"/>
                    <w:szCs w:val="18"/>
                    <w:lang w:eastAsia="es-CO"/>
                  </w:rPr>
                  <w:t>4.550.000</w:t>
                </w:r>
              </w:p>
            </w:tc>
            <w:tc>
              <w:tcPr>
                <w:tcW w:w="926" w:type="pct"/>
                <w:tcBorders>
                  <w:top w:val="single" w:sz="4" w:space="0" w:color="A6A6A6"/>
                  <w:left w:val="single" w:sz="4" w:space="0" w:color="A6A6A6"/>
                  <w:bottom w:val="single" w:sz="4" w:space="0" w:color="A6A6A6"/>
                  <w:right w:val="single" w:sz="4" w:space="0" w:color="A6A6A6"/>
                </w:tcBorders>
                <w:noWrap/>
                <w:vAlign w:val="center"/>
                <w:hideMark/>
              </w:tcPr>
              <w:p w14:paraId="0F846F25" w14:textId="77777777" w:rsidR="00A53803" w:rsidRPr="001B051D" w:rsidRDefault="00A53803" w:rsidP="00A53803">
                <w:pPr>
                  <w:spacing w:after="0" w:line="240" w:lineRule="auto"/>
                  <w:jc w:val="right"/>
                  <w:rPr>
                    <w:rFonts w:ascii="Times New Roman" w:eastAsia="Times New Roman" w:hAnsi="Times New Roman"/>
                    <w:sz w:val="18"/>
                    <w:szCs w:val="18"/>
                    <w:lang w:eastAsia="es-CO"/>
                  </w:rPr>
                </w:pPr>
                <w:r w:rsidRPr="001B051D">
                  <w:rPr>
                    <w:rFonts w:ascii="Times New Roman" w:eastAsia="Times New Roman" w:hAnsi="Times New Roman"/>
                    <w:sz w:val="18"/>
                    <w:szCs w:val="18"/>
                    <w:lang w:eastAsia="es-CO"/>
                  </w:rPr>
                  <w:t>43.899.067</w:t>
                </w:r>
              </w:p>
            </w:tc>
          </w:tr>
          <w:tr w:rsidR="00A53803" w:rsidRPr="001B051D" w14:paraId="6498458B" w14:textId="77777777" w:rsidTr="00A53803">
            <w:trPr>
              <w:trHeight w:val="405"/>
            </w:trPr>
            <w:tc>
              <w:tcPr>
                <w:tcW w:w="567" w:type="pct"/>
                <w:tcBorders>
                  <w:top w:val="single" w:sz="4" w:space="0" w:color="A6A6A6"/>
                  <w:left w:val="single" w:sz="4" w:space="0" w:color="A6A6A6"/>
                  <w:bottom w:val="single" w:sz="4" w:space="0" w:color="A6A6A6"/>
                  <w:right w:val="single" w:sz="4" w:space="0" w:color="A6A6A6"/>
                </w:tcBorders>
                <w:noWrap/>
                <w:vAlign w:val="center"/>
                <w:hideMark/>
              </w:tcPr>
              <w:p w14:paraId="6E56FA7E" w14:textId="77777777" w:rsidR="00A53803" w:rsidRPr="001B051D" w:rsidRDefault="00A53803" w:rsidP="00A53803">
                <w:pPr>
                  <w:spacing w:after="0" w:line="240" w:lineRule="auto"/>
                  <w:rPr>
                    <w:rFonts w:ascii="Times New Roman" w:eastAsia="Times New Roman" w:hAnsi="Times New Roman"/>
                    <w:sz w:val="18"/>
                    <w:szCs w:val="18"/>
                    <w:lang w:eastAsia="es-CO"/>
                  </w:rPr>
                </w:pPr>
                <w:r w:rsidRPr="001B051D">
                  <w:rPr>
                    <w:rFonts w:ascii="Times New Roman" w:eastAsia="Times New Roman" w:hAnsi="Times New Roman"/>
                    <w:sz w:val="18"/>
                    <w:szCs w:val="18"/>
                    <w:lang w:eastAsia="es-CO"/>
                  </w:rPr>
                  <w:t>2.4.36</w:t>
                </w:r>
              </w:p>
            </w:tc>
            <w:tc>
              <w:tcPr>
                <w:tcW w:w="446" w:type="pct"/>
                <w:tcBorders>
                  <w:top w:val="single" w:sz="4" w:space="0" w:color="A6A6A6"/>
                  <w:left w:val="single" w:sz="4" w:space="0" w:color="A6A6A6"/>
                  <w:bottom w:val="single" w:sz="4" w:space="0" w:color="A6A6A6"/>
                  <w:right w:val="nil"/>
                </w:tcBorders>
                <w:noWrap/>
                <w:vAlign w:val="center"/>
                <w:hideMark/>
              </w:tcPr>
              <w:p w14:paraId="19D4B819" w14:textId="77777777" w:rsidR="00A53803" w:rsidRPr="001B051D" w:rsidRDefault="00A53803" w:rsidP="00A53803">
                <w:pPr>
                  <w:spacing w:after="0" w:line="240" w:lineRule="auto"/>
                  <w:jc w:val="center"/>
                  <w:rPr>
                    <w:rFonts w:ascii="Times New Roman" w:eastAsia="Times New Roman" w:hAnsi="Times New Roman"/>
                    <w:sz w:val="18"/>
                    <w:szCs w:val="18"/>
                    <w:lang w:eastAsia="es-CO"/>
                  </w:rPr>
                </w:pPr>
                <w:r w:rsidRPr="001B051D">
                  <w:rPr>
                    <w:rFonts w:ascii="Times New Roman" w:eastAsia="Times New Roman" w:hAnsi="Times New Roman"/>
                    <w:sz w:val="18"/>
                    <w:szCs w:val="18"/>
                    <w:lang w:eastAsia="es-CO"/>
                  </w:rPr>
                  <w:t>Cr</w:t>
                </w:r>
              </w:p>
            </w:tc>
            <w:tc>
              <w:tcPr>
                <w:tcW w:w="1296" w:type="pct"/>
                <w:tcBorders>
                  <w:top w:val="single" w:sz="4" w:space="0" w:color="A6A6A6"/>
                  <w:left w:val="single" w:sz="4" w:space="0" w:color="A6A6A6"/>
                  <w:bottom w:val="single" w:sz="4" w:space="0" w:color="A6A6A6"/>
                  <w:right w:val="nil"/>
                </w:tcBorders>
                <w:vAlign w:val="center"/>
                <w:hideMark/>
              </w:tcPr>
              <w:p w14:paraId="10A76888" w14:textId="77777777" w:rsidR="00A53803" w:rsidRPr="001B051D" w:rsidRDefault="00A53803" w:rsidP="00A53803">
                <w:pPr>
                  <w:spacing w:after="0" w:line="240" w:lineRule="auto"/>
                  <w:rPr>
                    <w:rFonts w:ascii="Times New Roman" w:eastAsia="Times New Roman" w:hAnsi="Times New Roman"/>
                    <w:sz w:val="18"/>
                    <w:szCs w:val="18"/>
                    <w:lang w:eastAsia="es-CO"/>
                  </w:rPr>
                </w:pPr>
                <w:r w:rsidRPr="001B051D">
                  <w:rPr>
                    <w:rFonts w:ascii="Times New Roman" w:eastAsia="Times New Roman" w:hAnsi="Times New Roman"/>
                    <w:sz w:val="18"/>
                    <w:szCs w:val="18"/>
                    <w:lang w:eastAsia="es-CO"/>
                  </w:rPr>
                  <w:t>Retención en la fuente e impuesto de timbre</w:t>
                </w:r>
              </w:p>
            </w:tc>
            <w:tc>
              <w:tcPr>
                <w:tcW w:w="904" w:type="pct"/>
                <w:tcBorders>
                  <w:top w:val="single" w:sz="4" w:space="0" w:color="A6A6A6"/>
                  <w:left w:val="single" w:sz="4" w:space="0" w:color="A6A6A6"/>
                  <w:bottom w:val="single" w:sz="4" w:space="0" w:color="A6A6A6"/>
                  <w:right w:val="single" w:sz="4" w:space="0" w:color="A6A6A6"/>
                </w:tcBorders>
                <w:noWrap/>
                <w:vAlign w:val="center"/>
                <w:hideMark/>
              </w:tcPr>
              <w:p w14:paraId="0161EDE5" w14:textId="77777777" w:rsidR="00A53803" w:rsidRPr="001B051D" w:rsidRDefault="00A53803" w:rsidP="00A53803">
                <w:pPr>
                  <w:spacing w:after="0" w:line="240" w:lineRule="auto"/>
                  <w:jc w:val="right"/>
                  <w:rPr>
                    <w:rFonts w:ascii="Times New Roman" w:eastAsia="Times New Roman" w:hAnsi="Times New Roman"/>
                    <w:sz w:val="18"/>
                    <w:szCs w:val="18"/>
                    <w:lang w:eastAsia="es-CO"/>
                  </w:rPr>
                </w:pPr>
                <w:r w:rsidRPr="001B051D">
                  <w:rPr>
                    <w:rFonts w:ascii="Times New Roman" w:eastAsia="Times New Roman" w:hAnsi="Times New Roman"/>
                    <w:sz w:val="18"/>
                    <w:szCs w:val="18"/>
                    <w:lang w:eastAsia="es-CO"/>
                  </w:rPr>
                  <w:t>3.402.467.900</w:t>
                </w:r>
              </w:p>
            </w:tc>
            <w:tc>
              <w:tcPr>
                <w:tcW w:w="861" w:type="pct"/>
                <w:tcBorders>
                  <w:top w:val="single" w:sz="4" w:space="0" w:color="A6A6A6"/>
                  <w:left w:val="single" w:sz="4" w:space="0" w:color="A6A6A6"/>
                  <w:bottom w:val="single" w:sz="4" w:space="0" w:color="A6A6A6"/>
                  <w:right w:val="single" w:sz="4" w:space="0" w:color="A6A6A6"/>
                </w:tcBorders>
                <w:noWrap/>
                <w:vAlign w:val="center"/>
                <w:hideMark/>
              </w:tcPr>
              <w:p w14:paraId="24F01E6B" w14:textId="77777777" w:rsidR="00A53803" w:rsidRPr="001B051D" w:rsidRDefault="00A53803" w:rsidP="00A53803">
                <w:pPr>
                  <w:spacing w:after="0" w:line="240" w:lineRule="auto"/>
                  <w:jc w:val="right"/>
                  <w:rPr>
                    <w:rFonts w:ascii="Times New Roman" w:eastAsia="Times New Roman" w:hAnsi="Times New Roman"/>
                    <w:sz w:val="18"/>
                    <w:szCs w:val="18"/>
                    <w:lang w:eastAsia="es-CO"/>
                  </w:rPr>
                </w:pPr>
                <w:r w:rsidRPr="001B051D">
                  <w:rPr>
                    <w:rFonts w:ascii="Times New Roman" w:eastAsia="Times New Roman" w:hAnsi="Times New Roman"/>
                    <w:sz w:val="18"/>
                    <w:szCs w:val="18"/>
                    <w:lang w:eastAsia="es-CO"/>
                  </w:rPr>
                  <w:t>2.534.845.118</w:t>
                </w:r>
              </w:p>
            </w:tc>
            <w:tc>
              <w:tcPr>
                <w:tcW w:w="926" w:type="pct"/>
                <w:tcBorders>
                  <w:top w:val="single" w:sz="4" w:space="0" w:color="A6A6A6"/>
                  <w:left w:val="single" w:sz="4" w:space="0" w:color="A6A6A6"/>
                  <w:bottom w:val="single" w:sz="4" w:space="0" w:color="A6A6A6"/>
                  <w:right w:val="single" w:sz="4" w:space="0" w:color="A6A6A6"/>
                </w:tcBorders>
                <w:noWrap/>
                <w:vAlign w:val="center"/>
                <w:hideMark/>
              </w:tcPr>
              <w:p w14:paraId="2ACBB981" w14:textId="77777777" w:rsidR="00A53803" w:rsidRPr="001B051D" w:rsidRDefault="00A53803" w:rsidP="00A53803">
                <w:pPr>
                  <w:spacing w:after="0" w:line="240" w:lineRule="auto"/>
                  <w:jc w:val="right"/>
                  <w:rPr>
                    <w:rFonts w:ascii="Times New Roman" w:eastAsia="Times New Roman" w:hAnsi="Times New Roman"/>
                    <w:sz w:val="18"/>
                    <w:szCs w:val="18"/>
                    <w:lang w:eastAsia="es-CO"/>
                  </w:rPr>
                </w:pPr>
                <w:r w:rsidRPr="001B051D">
                  <w:rPr>
                    <w:rFonts w:ascii="Times New Roman" w:eastAsia="Times New Roman" w:hAnsi="Times New Roman"/>
                    <w:sz w:val="18"/>
                    <w:szCs w:val="18"/>
                    <w:lang w:eastAsia="es-CO"/>
                  </w:rPr>
                  <w:t>867.622.782</w:t>
                </w:r>
              </w:p>
            </w:tc>
          </w:tr>
          <w:tr w:rsidR="00A53803" w:rsidRPr="001B051D" w14:paraId="66DC642B" w14:textId="77777777" w:rsidTr="00A53803">
            <w:trPr>
              <w:trHeight w:val="225"/>
            </w:trPr>
            <w:tc>
              <w:tcPr>
                <w:tcW w:w="567" w:type="pct"/>
                <w:tcBorders>
                  <w:top w:val="single" w:sz="4" w:space="0" w:color="A6A6A6"/>
                  <w:left w:val="single" w:sz="4" w:space="0" w:color="A6A6A6"/>
                  <w:bottom w:val="single" w:sz="4" w:space="0" w:color="A6A6A6"/>
                  <w:right w:val="single" w:sz="4" w:space="0" w:color="A6A6A6"/>
                </w:tcBorders>
                <w:noWrap/>
                <w:vAlign w:val="center"/>
                <w:hideMark/>
              </w:tcPr>
              <w:p w14:paraId="40B0C61E" w14:textId="77777777" w:rsidR="00A53803" w:rsidRPr="001B051D" w:rsidRDefault="00A53803" w:rsidP="00A53803">
                <w:pPr>
                  <w:spacing w:after="0" w:line="240" w:lineRule="auto"/>
                  <w:rPr>
                    <w:rFonts w:ascii="Times New Roman" w:eastAsia="Times New Roman" w:hAnsi="Times New Roman"/>
                    <w:sz w:val="18"/>
                    <w:szCs w:val="18"/>
                    <w:lang w:eastAsia="es-CO"/>
                  </w:rPr>
                </w:pPr>
                <w:r w:rsidRPr="001B051D">
                  <w:rPr>
                    <w:rFonts w:ascii="Times New Roman" w:eastAsia="Times New Roman" w:hAnsi="Times New Roman"/>
                    <w:sz w:val="18"/>
                    <w:szCs w:val="18"/>
                    <w:lang w:eastAsia="es-CO"/>
                  </w:rPr>
                  <w:t>2.4.40</w:t>
                </w:r>
              </w:p>
            </w:tc>
            <w:tc>
              <w:tcPr>
                <w:tcW w:w="446" w:type="pct"/>
                <w:tcBorders>
                  <w:top w:val="single" w:sz="4" w:space="0" w:color="A6A6A6"/>
                  <w:left w:val="single" w:sz="4" w:space="0" w:color="A6A6A6"/>
                  <w:bottom w:val="single" w:sz="4" w:space="0" w:color="A6A6A6"/>
                  <w:right w:val="nil"/>
                </w:tcBorders>
                <w:noWrap/>
                <w:vAlign w:val="center"/>
                <w:hideMark/>
              </w:tcPr>
              <w:p w14:paraId="58AD3C2C" w14:textId="77777777" w:rsidR="00A53803" w:rsidRPr="001B051D" w:rsidRDefault="00A53803" w:rsidP="00A53803">
                <w:pPr>
                  <w:spacing w:after="0" w:line="240" w:lineRule="auto"/>
                  <w:jc w:val="center"/>
                  <w:rPr>
                    <w:rFonts w:ascii="Times New Roman" w:eastAsia="Times New Roman" w:hAnsi="Times New Roman"/>
                    <w:sz w:val="18"/>
                    <w:szCs w:val="18"/>
                    <w:lang w:eastAsia="es-CO"/>
                  </w:rPr>
                </w:pPr>
                <w:r w:rsidRPr="001B051D">
                  <w:rPr>
                    <w:rFonts w:ascii="Times New Roman" w:eastAsia="Times New Roman" w:hAnsi="Times New Roman"/>
                    <w:sz w:val="18"/>
                    <w:szCs w:val="18"/>
                    <w:lang w:eastAsia="es-CO"/>
                  </w:rPr>
                  <w:t>Cr</w:t>
                </w:r>
              </w:p>
            </w:tc>
            <w:tc>
              <w:tcPr>
                <w:tcW w:w="1296" w:type="pct"/>
                <w:tcBorders>
                  <w:top w:val="single" w:sz="4" w:space="0" w:color="A6A6A6"/>
                  <w:left w:val="single" w:sz="4" w:space="0" w:color="A6A6A6"/>
                  <w:bottom w:val="single" w:sz="4" w:space="0" w:color="A6A6A6"/>
                  <w:right w:val="nil"/>
                </w:tcBorders>
                <w:vAlign w:val="center"/>
                <w:hideMark/>
              </w:tcPr>
              <w:p w14:paraId="08EA4492" w14:textId="77777777" w:rsidR="00A53803" w:rsidRPr="001B051D" w:rsidRDefault="00A53803" w:rsidP="00A53803">
                <w:pPr>
                  <w:spacing w:after="0" w:line="240" w:lineRule="auto"/>
                  <w:rPr>
                    <w:rFonts w:ascii="Times New Roman" w:eastAsia="Times New Roman" w:hAnsi="Times New Roman"/>
                    <w:sz w:val="18"/>
                    <w:szCs w:val="18"/>
                    <w:lang w:eastAsia="es-CO"/>
                  </w:rPr>
                </w:pPr>
                <w:r w:rsidRPr="001B051D">
                  <w:rPr>
                    <w:rFonts w:ascii="Times New Roman" w:eastAsia="Times New Roman" w:hAnsi="Times New Roman"/>
                    <w:sz w:val="18"/>
                    <w:szCs w:val="18"/>
                    <w:lang w:eastAsia="es-CO"/>
                  </w:rPr>
                  <w:t>Impuestos, contribuciones y tasas</w:t>
                </w:r>
              </w:p>
            </w:tc>
            <w:tc>
              <w:tcPr>
                <w:tcW w:w="904" w:type="pct"/>
                <w:tcBorders>
                  <w:top w:val="single" w:sz="4" w:space="0" w:color="A6A6A6"/>
                  <w:left w:val="single" w:sz="4" w:space="0" w:color="A6A6A6"/>
                  <w:bottom w:val="single" w:sz="4" w:space="0" w:color="A6A6A6"/>
                  <w:right w:val="single" w:sz="4" w:space="0" w:color="A6A6A6"/>
                </w:tcBorders>
                <w:noWrap/>
                <w:vAlign w:val="center"/>
                <w:hideMark/>
              </w:tcPr>
              <w:p w14:paraId="1E554DB0" w14:textId="77777777" w:rsidR="00A53803" w:rsidRPr="001B051D" w:rsidRDefault="00A53803" w:rsidP="00A53803">
                <w:pPr>
                  <w:spacing w:after="0" w:line="240" w:lineRule="auto"/>
                  <w:jc w:val="right"/>
                  <w:rPr>
                    <w:rFonts w:ascii="Times New Roman" w:eastAsia="Times New Roman" w:hAnsi="Times New Roman"/>
                    <w:sz w:val="18"/>
                    <w:szCs w:val="18"/>
                    <w:lang w:eastAsia="es-CO"/>
                  </w:rPr>
                </w:pPr>
                <w:r w:rsidRPr="001B051D">
                  <w:rPr>
                    <w:rFonts w:ascii="Times New Roman" w:eastAsia="Times New Roman" w:hAnsi="Times New Roman"/>
                    <w:sz w:val="18"/>
                    <w:szCs w:val="18"/>
                    <w:lang w:eastAsia="es-CO"/>
                  </w:rPr>
                  <w:t>83.607.000</w:t>
                </w:r>
              </w:p>
            </w:tc>
            <w:tc>
              <w:tcPr>
                <w:tcW w:w="861" w:type="pct"/>
                <w:tcBorders>
                  <w:top w:val="single" w:sz="4" w:space="0" w:color="A6A6A6"/>
                  <w:left w:val="single" w:sz="4" w:space="0" w:color="A6A6A6"/>
                  <w:bottom w:val="single" w:sz="4" w:space="0" w:color="A6A6A6"/>
                  <w:right w:val="single" w:sz="4" w:space="0" w:color="A6A6A6"/>
                </w:tcBorders>
                <w:noWrap/>
                <w:vAlign w:val="center"/>
                <w:hideMark/>
              </w:tcPr>
              <w:p w14:paraId="499218B4" w14:textId="77777777" w:rsidR="00A53803" w:rsidRPr="001B051D" w:rsidRDefault="00A53803" w:rsidP="00A53803">
                <w:pPr>
                  <w:spacing w:after="0" w:line="240" w:lineRule="auto"/>
                  <w:jc w:val="right"/>
                  <w:rPr>
                    <w:rFonts w:ascii="Times New Roman" w:eastAsia="Times New Roman" w:hAnsi="Times New Roman"/>
                    <w:sz w:val="18"/>
                    <w:szCs w:val="18"/>
                    <w:lang w:eastAsia="es-CO"/>
                  </w:rPr>
                </w:pPr>
                <w:r w:rsidRPr="001B051D">
                  <w:rPr>
                    <w:rFonts w:ascii="Times New Roman" w:eastAsia="Times New Roman" w:hAnsi="Times New Roman"/>
                    <w:sz w:val="18"/>
                    <w:szCs w:val="18"/>
                    <w:lang w:eastAsia="es-CO"/>
                  </w:rPr>
                  <w:t>53.233.000</w:t>
                </w:r>
              </w:p>
            </w:tc>
            <w:tc>
              <w:tcPr>
                <w:tcW w:w="926" w:type="pct"/>
                <w:tcBorders>
                  <w:top w:val="single" w:sz="4" w:space="0" w:color="A6A6A6"/>
                  <w:left w:val="single" w:sz="4" w:space="0" w:color="A6A6A6"/>
                  <w:bottom w:val="single" w:sz="4" w:space="0" w:color="A6A6A6"/>
                  <w:right w:val="single" w:sz="4" w:space="0" w:color="A6A6A6"/>
                </w:tcBorders>
                <w:noWrap/>
                <w:vAlign w:val="center"/>
                <w:hideMark/>
              </w:tcPr>
              <w:p w14:paraId="04CA7AF9" w14:textId="77777777" w:rsidR="00A53803" w:rsidRPr="001B051D" w:rsidRDefault="00A53803" w:rsidP="00A53803">
                <w:pPr>
                  <w:spacing w:after="0" w:line="240" w:lineRule="auto"/>
                  <w:jc w:val="right"/>
                  <w:rPr>
                    <w:rFonts w:ascii="Times New Roman" w:eastAsia="Times New Roman" w:hAnsi="Times New Roman"/>
                    <w:sz w:val="18"/>
                    <w:szCs w:val="18"/>
                    <w:lang w:eastAsia="es-CO"/>
                  </w:rPr>
                </w:pPr>
                <w:r w:rsidRPr="001B051D">
                  <w:rPr>
                    <w:rFonts w:ascii="Times New Roman" w:eastAsia="Times New Roman" w:hAnsi="Times New Roman"/>
                    <w:sz w:val="18"/>
                    <w:szCs w:val="18"/>
                    <w:lang w:eastAsia="es-CO"/>
                  </w:rPr>
                  <w:t>30.374.000</w:t>
                </w:r>
              </w:p>
            </w:tc>
          </w:tr>
          <w:tr w:rsidR="00A53803" w:rsidRPr="001B051D" w14:paraId="2AF0BC4B" w14:textId="77777777" w:rsidTr="00A53803">
            <w:trPr>
              <w:trHeight w:val="225"/>
            </w:trPr>
            <w:tc>
              <w:tcPr>
                <w:tcW w:w="567" w:type="pct"/>
                <w:tcBorders>
                  <w:top w:val="single" w:sz="4" w:space="0" w:color="A6A6A6"/>
                  <w:left w:val="single" w:sz="4" w:space="0" w:color="A6A6A6"/>
                  <w:bottom w:val="single" w:sz="4" w:space="0" w:color="A6A6A6"/>
                  <w:right w:val="single" w:sz="4" w:space="0" w:color="A6A6A6"/>
                </w:tcBorders>
                <w:noWrap/>
                <w:vAlign w:val="center"/>
                <w:hideMark/>
              </w:tcPr>
              <w:p w14:paraId="2FFBAAED" w14:textId="77777777" w:rsidR="00A53803" w:rsidRPr="001B051D" w:rsidRDefault="00A53803" w:rsidP="00A53803">
                <w:pPr>
                  <w:spacing w:after="0" w:line="240" w:lineRule="auto"/>
                  <w:rPr>
                    <w:rFonts w:ascii="Times New Roman" w:eastAsia="Times New Roman" w:hAnsi="Times New Roman"/>
                    <w:sz w:val="18"/>
                    <w:szCs w:val="18"/>
                    <w:lang w:eastAsia="es-CO"/>
                  </w:rPr>
                </w:pPr>
                <w:r w:rsidRPr="001B051D">
                  <w:rPr>
                    <w:rFonts w:ascii="Times New Roman" w:eastAsia="Times New Roman" w:hAnsi="Times New Roman"/>
                    <w:sz w:val="18"/>
                    <w:szCs w:val="18"/>
                    <w:lang w:eastAsia="es-CO"/>
                  </w:rPr>
                  <w:t>2.4.60</w:t>
                </w:r>
              </w:p>
            </w:tc>
            <w:tc>
              <w:tcPr>
                <w:tcW w:w="446" w:type="pct"/>
                <w:tcBorders>
                  <w:top w:val="single" w:sz="4" w:space="0" w:color="A6A6A6"/>
                  <w:left w:val="single" w:sz="4" w:space="0" w:color="A6A6A6"/>
                  <w:bottom w:val="single" w:sz="4" w:space="0" w:color="A6A6A6"/>
                  <w:right w:val="nil"/>
                </w:tcBorders>
                <w:noWrap/>
                <w:vAlign w:val="center"/>
                <w:hideMark/>
              </w:tcPr>
              <w:p w14:paraId="64D90FC0" w14:textId="77777777" w:rsidR="00A53803" w:rsidRPr="001B051D" w:rsidRDefault="00A53803" w:rsidP="00A53803">
                <w:pPr>
                  <w:spacing w:after="0" w:line="240" w:lineRule="auto"/>
                  <w:jc w:val="center"/>
                  <w:rPr>
                    <w:rFonts w:ascii="Times New Roman" w:eastAsia="Times New Roman" w:hAnsi="Times New Roman"/>
                    <w:sz w:val="18"/>
                    <w:szCs w:val="18"/>
                    <w:lang w:eastAsia="es-CO"/>
                  </w:rPr>
                </w:pPr>
                <w:r w:rsidRPr="001B051D">
                  <w:rPr>
                    <w:rFonts w:ascii="Times New Roman" w:eastAsia="Times New Roman" w:hAnsi="Times New Roman"/>
                    <w:sz w:val="18"/>
                    <w:szCs w:val="18"/>
                    <w:lang w:eastAsia="es-CO"/>
                  </w:rPr>
                  <w:t>Cr</w:t>
                </w:r>
              </w:p>
            </w:tc>
            <w:tc>
              <w:tcPr>
                <w:tcW w:w="1296" w:type="pct"/>
                <w:tcBorders>
                  <w:top w:val="single" w:sz="4" w:space="0" w:color="A6A6A6"/>
                  <w:left w:val="single" w:sz="4" w:space="0" w:color="A6A6A6"/>
                  <w:bottom w:val="single" w:sz="4" w:space="0" w:color="A6A6A6"/>
                  <w:right w:val="nil"/>
                </w:tcBorders>
                <w:vAlign w:val="center"/>
                <w:hideMark/>
              </w:tcPr>
              <w:p w14:paraId="763E27CA" w14:textId="77777777" w:rsidR="00A53803" w:rsidRPr="001B051D" w:rsidRDefault="00A53803" w:rsidP="00A53803">
                <w:pPr>
                  <w:spacing w:after="0" w:line="240" w:lineRule="auto"/>
                  <w:rPr>
                    <w:rFonts w:ascii="Times New Roman" w:eastAsia="Times New Roman" w:hAnsi="Times New Roman"/>
                    <w:sz w:val="18"/>
                    <w:szCs w:val="18"/>
                    <w:lang w:eastAsia="es-CO"/>
                  </w:rPr>
                </w:pPr>
                <w:r w:rsidRPr="001B051D">
                  <w:rPr>
                    <w:rFonts w:ascii="Times New Roman" w:eastAsia="Times New Roman" w:hAnsi="Times New Roman"/>
                    <w:sz w:val="18"/>
                    <w:szCs w:val="18"/>
                    <w:lang w:eastAsia="es-CO"/>
                  </w:rPr>
                  <w:t>Créditos judiciales</w:t>
                </w:r>
              </w:p>
            </w:tc>
            <w:tc>
              <w:tcPr>
                <w:tcW w:w="904" w:type="pct"/>
                <w:tcBorders>
                  <w:top w:val="single" w:sz="4" w:space="0" w:color="A6A6A6"/>
                  <w:left w:val="single" w:sz="4" w:space="0" w:color="A6A6A6"/>
                  <w:bottom w:val="single" w:sz="4" w:space="0" w:color="A6A6A6"/>
                  <w:right w:val="single" w:sz="4" w:space="0" w:color="A6A6A6"/>
                </w:tcBorders>
                <w:noWrap/>
                <w:vAlign w:val="center"/>
                <w:hideMark/>
              </w:tcPr>
              <w:p w14:paraId="498977EE" w14:textId="77777777" w:rsidR="00A53803" w:rsidRPr="001B051D" w:rsidRDefault="00A53803" w:rsidP="00A53803">
                <w:pPr>
                  <w:spacing w:after="0" w:line="240" w:lineRule="auto"/>
                  <w:jc w:val="right"/>
                  <w:rPr>
                    <w:rFonts w:ascii="Times New Roman" w:eastAsia="Times New Roman" w:hAnsi="Times New Roman"/>
                    <w:sz w:val="18"/>
                    <w:szCs w:val="18"/>
                    <w:lang w:eastAsia="es-CO"/>
                  </w:rPr>
                </w:pPr>
                <w:r w:rsidRPr="001B051D">
                  <w:rPr>
                    <w:rFonts w:ascii="Times New Roman" w:eastAsia="Times New Roman" w:hAnsi="Times New Roman"/>
                    <w:sz w:val="18"/>
                    <w:szCs w:val="18"/>
                    <w:lang w:eastAsia="es-CO"/>
                  </w:rPr>
                  <w:t>1.761.756.788.961</w:t>
                </w:r>
              </w:p>
            </w:tc>
            <w:tc>
              <w:tcPr>
                <w:tcW w:w="861" w:type="pct"/>
                <w:tcBorders>
                  <w:top w:val="single" w:sz="4" w:space="0" w:color="A6A6A6"/>
                  <w:left w:val="single" w:sz="4" w:space="0" w:color="A6A6A6"/>
                  <w:bottom w:val="single" w:sz="4" w:space="0" w:color="A6A6A6"/>
                  <w:right w:val="single" w:sz="4" w:space="0" w:color="A6A6A6"/>
                </w:tcBorders>
                <w:noWrap/>
                <w:vAlign w:val="center"/>
                <w:hideMark/>
              </w:tcPr>
              <w:p w14:paraId="39CAAF91" w14:textId="77777777" w:rsidR="00A53803" w:rsidRPr="001B051D" w:rsidRDefault="00A53803" w:rsidP="00A53803">
                <w:pPr>
                  <w:spacing w:after="0" w:line="240" w:lineRule="auto"/>
                  <w:jc w:val="right"/>
                  <w:rPr>
                    <w:rFonts w:ascii="Times New Roman" w:eastAsia="Times New Roman" w:hAnsi="Times New Roman"/>
                    <w:sz w:val="18"/>
                    <w:szCs w:val="18"/>
                    <w:lang w:eastAsia="es-CO"/>
                  </w:rPr>
                </w:pPr>
                <w:r w:rsidRPr="001B051D">
                  <w:rPr>
                    <w:rFonts w:ascii="Times New Roman" w:eastAsia="Times New Roman" w:hAnsi="Times New Roman"/>
                    <w:sz w:val="18"/>
                    <w:szCs w:val="18"/>
                    <w:lang w:eastAsia="es-CO"/>
                  </w:rPr>
                  <w:t>1.121.654.936.904</w:t>
                </w:r>
              </w:p>
            </w:tc>
            <w:tc>
              <w:tcPr>
                <w:tcW w:w="926" w:type="pct"/>
                <w:tcBorders>
                  <w:top w:val="single" w:sz="4" w:space="0" w:color="A6A6A6"/>
                  <w:left w:val="single" w:sz="4" w:space="0" w:color="A6A6A6"/>
                  <w:bottom w:val="single" w:sz="4" w:space="0" w:color="A6A6A6"/>
                  <w:right w:val="single" w:sz="4" w:space="0" w:color="A6A6A6"/>
                </w:tcBorders>
                <w:noWrap/>
                <w:vAlign w:val="center"/>
                <w:hideMark/>
              </w:tcPr>
              <w:p w14:paraId="2FBE19CE" w14:textId="77777777" w:rsidR="00A53803" w:rsidRPr="001B051D" w:rsidRDefault="00A53803" w:rsidP="00A53803">
                <w:pPr>
                  <w:spacing w:after="0" w:line="240" w:lineRule="auto"/>
                  <w:jc w:val="right"/>
                  <w:rPr>
                    <w:rFonts w:ascii="Times New Roman" w:eastAsia="Times New Roman" w:hAnsi="Times New Roman"/>
                    <w:sz w:val="18"/>
                    <w:szCs w:val="18"/>
                    <w:lang w:eastAsia="es-CO"/>
                  </w:rPr>
                </w:pPr>
                <w:r w:rsidRPr="001B051D">
                  <w:rPr>
                    <w:rFonts w:ascii="Times New Roman" w:eastAsia="Times New Roman" w:hAnsi="Times New Roman"/>
                    <w:sz w:val="18"/>
                    <w:szCs w:val="18"/>
                    <w:lang w:eastAsia="es-CO"/>
                  </w:rPr>
                  <w:t>640.101.852.057</w:t>
                </w:r>
              </w:p>
            </w:tc>
          </w:tr>
          <w:tr w:rsidR="00A53803" w:rsidRPr="001B051D" w14:paraId="3B1590F5" w14:textId="77777777" w:rsidTr="00A53803">
            <w:trPr>
              <w:trHeight w:val="225"/>
            </w:trPr>
            <w:tc>
              <w:tcPr>
                <w:tcW w:w="567" w:type="pct"/>
                <w:tcBorders>
                  <w:top w:val="single" w:sz="4" w:space="0" w:color="A6A6A6"/>
                  <w:left w:val="single" w:sz="4" w:space="0" w:color="A6A6A6"/>
                  <w:bottom w:val="single" w:sz="4" w:space="0" w:color="A6A6A6"/>
                  <w:right w:val="single" w:sz="4" w:space="0" w:color="A6A6A6"/>
                </w:tcBorders>
                <w:noWrap/>
                <w:vAlign w:val="center"/>
                <w:hideMark/>
              </w:tcPr>
              <w:p w14:paraId="70745585" w14:textId="77777777" w:rsidR="00A53803" w:rsidRPr="001B051D" w:rsidRDefault="00A53803" w:rsidP="00A53803">
                <w:pPr>
                  <w:spacing w:after="0" w:line="240" w:lineRule="auto"/>
                  <w:rPr>
                    <w:rFonts w:ascii="Times New Roman" w:eastAsia="Times New Roman" w:hAnsi="Times New Roman"/>
                    <w:sz w:val="18"/>
                    <w:szCs w:val="18"/>
                    <w:lang w:eastAsia="es-CO"/>
                  </w:rPr>
                </w:pPr>
                <w:r w:rsidRPr="001B051D">
                  <w:rPr>
                    <w:rFonts w:ascii="Times New Roman" w:eastAsia="Times New Roman" w:hAnsi="Times New Roman"/>
                    <w:sz w:val="18"/>
                    <w:szCs w:val="18"/>
                    <w:lang w:eastAsia="es-CO"/>
                  </w:rPr>
                  <w:t>2.4.90</w:t>
                </w:r>
              </w:p>
            </w:tc>
            <w:tc>
              <w:tcPr>
                <w:tcW w:w="446" w:type="pct"/>
                <w:tcBorders>
                  <w:top w:val="single" w:sz="4" w:space="0" w:color="A6A6A6"/>
                  <w:left w:val="single" w:sz="4" w:space="0" w:color="A6A6A6"/>
                  <w:bottom w:val="single" w:sz="4" w:space="0" w:color="A6A6A6"/>
                  <w:right w:val="nil"/>
                </w:tcBorders>
                <w:noWrap/>
                <w:vAlign w:val="center"/>
                <w:hideMark/>
              </w:tcPr>
              <w:p w14:paraId="3A01CC13" w14:textId="77777777" w:rsidR="00A53803" w:rsidRPr="001B051D" w:rsidRDefault="00A53803" w:rsidP="00A53803">
                <w:pPr>
                  <w:spacing w:after="0" w:line="240" w:lineRule="auto"/>
                  <w:jc w:val="center"/>
                  <w:rPr>
                    <w:rFonts w:ascii="Times New Roman" w:eastAsia="Times New Roman" w:hAnsi="Times New Roman"/>
                    <w:sz w:val="18"/>
                    <w:szCs w:val="18"/>
                    <w:lang w:eastAsia="es-CO"/>
                  </w:rPr>
                </w:pPr>
                <w:r w:rsidRPr="001B051D">
                  <w:rPr>
                    <w:rFonts w:ascii="Times New Roman" w:eastAsia="Times New Roman" w:hAnsi="Times New Roman"/>
                    <w:sz w:val="18"/>
                    <w:szCs w:val="18"/>
                    <w:lang w:eastAsia="es-CO"/>
                  </w:rPr>
                  <w:t>Cr</w:t>
                </w:r>
              </w:p>
            </w:tc>
            <w:tc>
              <w:tcPr>
                <w:tcW w:w="1296" w:type="pct"/>
                <w:tcBorders>
                  <w:top w:val="single" w:sz="4" w:space="0" w:color="A6A6A6"/>
                  <w:left w:val="single" w:sz="4" w:space="0" w:color="A6A6A6"/>
                  <w:bottom w:val="single" w:sz="4" w:space="0" w:color="A6A6A6"/>
                  <w:right w:val="nil"/>
                </w:tcBorders>
                <w:vAlign w:val="center"/>
                <w:hideMark/>
              </w:tcPr>
              <w:p w14:paraId="71FEB902" w14:textId="77777777" w:rsidR="00A53803" w:rsidRPr="001B051D" w:rsidRDefault="00A53803" w:rsidP="00A53803">
                <w:pPr>
                  <w:spacing w:after="0" w:line="240" w:lineRule="auto"/>
                  <w:rPr>
                    <w:rFonts w:ascii="Times New Roman" w:eastAsia="Times New Roman" w:hAnsi="Times New Roman"/>
                    <w:sz w:val="18"/>
                    <w:szCs w:val="18"/>
                    <w:lang w:eastAsia="es-CO"/>
                  </w:rPr>
                </w:pPr>
                <w:r w:rsidRPr="001B051D">
                  <w:rPr>
                    <w:rFonts w:ascii="Times New Roman" w:eastAsia="Times New Roman" w:hAnsi="Times New Roman"/>
                    <w:sz w:val="18"/>
                    <w:szCs w:val="18"/>
                    <w:lang w:eastAsia="es-CO"/>
                  </w:rPr>
                  <w:t>Otras cuentas por pagar</w:t>
                </w:r>
              </w:p>
            </w:tc>
            <w:tc>
              <w:tcPr>
                <w:tcW w:w="904" w:type="pct"/>
                <w:tcBorders>
                  <w:top w:val="single" w:sz="4" w:space="0" w:color="A6A6A6"/>
                  <w:left w:val="single" w:sz="4" w:space="0" w:color="A6A6A6"/>
                  <w:bottom w:val="single" w:sz="4" w:space="0" w:color="A6A6A6"/>
                  <w:right w:val="single" w:sz="4" w:space="0" w:color="A6A6A6"/>
                </w:tcBorders>
                <w:noWrap/>
                <w:vAlign w:val="center"/>
                <w:hideMark/>
              </w:tcPr>
              <w:p w14:paraId="540C8633" w14:textId="77777777" w:rsidR="00A53803" w:rsidRPr="001B051D" w:rsidRDefault="00A53803" w:rsidP="00A53803">
                <w:pPr>
                  <w:spacing w:after="0" w:line="240" w:lineRule="auto"/>
                  <w:jc w:val="right"/>
                  <w:rPr>
                    <w:rFonts w:ascii="Times New Roman" w:eastAsia="Times New Roman" w:hAnsi="Times New Roman"/>
                    <w:sz w:val="18"/>
                    <w:szCs w:val="18"/>
                    <w:lang w:eastAsia="es-CO"/>
                  </w:rPr>
                </w:pPr>
                <w:r w:rsidRPr="001B051D">
                  <w:rPr>
                    <w:rFonts w:ascii="Times New Roman" w:eastAsia="Times New Roman" w:hAnsi="Times New Roman"/>
                    <w:sz w:val="18"/>
                    <w:szCs w:val="18"/>
                    <w:lang w:eastAsia="es-CO"/>
                  </w:rPr>
                  <w:t>850.567.636</w:t>
                </w:r>
              </w:p>
            </w:tc>
            <w:tc>
              <w:tcPr>
                <w:tcW w:w="861" w:type="pct"/>
                <w:tcBorders>
                  <w:top w:val="single" w:sz="4" w:space="0" w:color="A6A6A6"/>
                  <w:left w:val="single" w:sz="4" w:space="0" w:color="A6A6A6"/>
                  <w:bottom w:val="single" w:sz="4" w:space="0" w:color="A6A6A6"/>
                  <w:right w:val="single" w:sz="4" w:space="0" w:color="A6A6A6"/>
                </w:tcBorders>
                <w:noWrap/>
                <w:vAlign w:val="center"/>
                <w:hideMark/>
              </w:tcPr>
              <w:p w14:paraId="7F8531C2" w14:textId="77777777" w:rsidR="00A53803" w:rsidRPr="001B051D" w:rsidRDefault="00A53803" w:rsidP="00A53803">
                <w:pPr>
                  <w:spacing w:after="0" w:line="240" w:lineRule="auto"/>
                  <w:jc w:val="right"/>
                  <w:rPr>
                    <w:rFonts w:ascii="Times New Roman" w:eastAsia="Times New Roman" w:hAnsi="Times New Roman"/>
                    <w:sz w:val="18"/>
                    <w:szCs w:val="18"/>
                    <w:lang w:eastAsia="es-CO"/>
                  </w:rPr>
                </w:pPr>
                <w:r w:rsidRPr="001B051D">
                  <w:rPr>
                    <w:rFonts w:ascii="Times New Roman" w:eastAsia="Times New Roman" w:hAnsi="Times New Roman"/>
                    <w:sz w:val="18"/>
                    <w:szCs w:val="18"/>
                    <w:lang w:eastAsia="es-CO"/>
                  </w:rPr>
                  <w:t>788.352.473</w:t>
                </w:r>
              </w:p>
            </w:tc>
            <w:tc>
              <w:tcPr>
                <w:tcW w:w="926" w:type="pct"/>
                <w:tcBorders>
                  <w:top w:val="single" w:sz="4" w:space="0" w:color="A6A6A6"/>
                  <w:left w:val="single" w:sz="4" w:space="0" w:color="A6A6A6"/>
                  <w:bottom w:val="single" w:sz="4" w:space="0" w:color="A6A6A6"/>
                  <w:right w:val="single" w:sz="4" w:space="0" w:color="A6A6A6"/>
                </w:tcBorders>
                <w:noWrap/>
                <w:vAlign w:val="center"/>
                <w:hideMark/>
              </w:tcPr>
              <w:p w14:paraId="33D2DA83" w14:textId="77777777" w:rsidR="00A53803" w:rsidRPr="001B051D" w:rsidRDefault="00A53803" w:rsidP="00A53803">
                <w:pPr>
                  <w:spacing w:after="0" w:line="240" w:lineRule="auto"/>
                  <w:jc w:val="right"/>
                  <w:rPr>
                    <w:rFonts w:ascii="Times New Roman" w:eastAsia="Times New Roman" w:hAnsi="Times New Roman"/>
                    <w:sz w:val="18"/>
                    <w:szCs w:val="18"/>
                    <w:lang w:eastAsia="es-CO"/>
                  </w:rPr>
                </w:pPr>
                <w:r w:rsidRPr="001B051D">
                  <w:rPr>
                    <w:rFonts w:ascii="Times New Roman" w:eastAsia="Times New Roman" w:hAnsi="Times New Roman"/>
                    <w:sz w:val="18"/>
                    <w:szCs w:val="18"/>
                    <w:lang w:eastAsia="es-CO"/>
                  </w:rPr>
                  <w:t>62.215.163</w:t>
                </w:r>
              </w:p>
            </w:tc>
          </w:tr>
        </w:tbl>
        <w:p w14:paraId="50A4EC3C" w14:textId="3B367060" w:rsidR="0005350C" w:rsidRPr="00931DCE" w:rsidRDefault="00AD2026" w:rsidP="0005350C">
          <w:pPr>
            <w:spacing w:after="0" w:line="240" w:lineRule="auto"/>
            <w:jc w:val="both"/>
            <w:rPr>
              <w:rFonts w:ascii="Times New Roman" w:hAnsi="Times New Roman"/>
              <w:sz w:val="14"/>
              <w:szCs w:val="14"/>
            </w:rPr>
          </w:pPr>
          <w:r w:rsidRPr="00931DCE">
            <w:rPr>
              <w:rFonts w:ascii="Times New Roman" w:hAnsi="Times New Roman"/>
              <w:sz w:val="14"/>
              <w:szCs w:val="14"/>
            </w:rPr>
            <w:t>Cifras expresadas en pesos</w:t>
          </w:r>
        </w:p>
        <w:p w14:paraId="6207A83D" w14:textId="77777777" w:rsidR="0005350C" w:rsidRPr="00931DCE" w:rsidRDefault="0005350C" w:rsidP="0005350C">
          <w:pPr>
            <w:spacing w:after="0" w:line="240" w:lineRule="auto"/>
            <w:rPr>
              <w:rFonts w:ascii="Times New Roman" w:hAnsi="Times New Roman"/>
              <w:sz w:val="24"/>
              <w:szCs w:val="24"/>
            </w:rPr>
          </w:pPr>
        </w:p>
        <w:p w14:paraId="3273E837" w14:textId="3B0F9D3D" w:rsidR="00B61CE4" w:rsidRPr="00931DCE" w:rsidRDefault="00B61CE4">
          <w:pPr>
            <w:pStyle w:val="Ttulo2"/>
            <w:numPr>
              <w:ilvl w:val="1"/>
              <w:numId w:val="3"/>
            </w:numPr>
            <w:spacing w:line="240" w:lineRule="auto"/>
            <w:ind w:left="567" w:hanging="567"/>
            <w:rPr>
              <w:rFonts w:cs="Times New Roman"/>
            </w:rPr>
          </w:pPr>
          <w:bookmarkStart w:id="63" w:name="_Toc159952399"/>
          <w:r w:rsidRPr="28E1683F">
            <w:rPr>
              <w:rFonts w:cs="Times New Roman"/>
            </w:rPr>
            <w:t>Revelaciones generales</w:t>
          </w:r>
          <w:bookmarkEnd w:id="63"/>
        </w:p>
        <w:p w14:paraId="76976489" w14:textId="77777777" w:rsidR="00195364" w:rsidRPr="00931DCE" w:rsidRDefault="00195364" w:rsidP="004A000E">
          <w:pPr>
            <w:pStyle w:val="Prrafodelista"/>
            <w:spacing w:after="0" w:line="240" w:lineRule="auto"/>
            <w:ind w:left="709"/>
            <w:jc w:val="both"/>
            <w:rPr>
              <w:rFonts w:ascii="Times New Roman" w:hAnsi="Times New Roman"/>
              <w:sz w:val="24"/>
              <w:szCs w:val="24"/>
            </w:rPr>
          </w:pPr>
        </w:p>
        <w:p w14:paraId="6D87349F" w14:textId="39B8BC29" w:rsidR="00E9608A" w:rsidRPr="00931DCE" w:rsidRDefault="00E9608A">
          <w:pPr>
            <w:pStyle w:val="Ttulo3"/>
            <w:numPr>
              <w:ilvl w:val="2"/>
              <w:numId w:val="3"/>
            </w:numPr>
            <w:ind w:left="709" w:hanging="709"/>
            <w:rPr>
              <w:rFonts w:cs="Times New Roman"/>
              <w:color w:val="1F3864" w:themeColor="accent1" w:themeShade="80"/>
            </w:rPr>
          </w:pPr>
          <w:bookmarkStart w:id="64" w:name="_Toc159952400"/>
          <w:r w:rsidRPr="00931DCE">
            <w:rPr>
              <w:rFonts w:cs="Times New Roman"/>
              <w:color w:val="1F3864" w:themeColor="accent1" w:themeShade="80"/>
            </w:rPr>
            <w:t>Adquisición de bienes y servicios nacionales</w:t>
          </w:r>
          <w:bookmarkEnd w:id="64"/>
        </w:p>
        <w:p w14:paraId="128897A5" w14:textId="4C4B8E08" w:rsidR="00891044" w:rsidRPr="00931DCE" w:rsidRDefault="00891044" w:rsidP="00AC1938">
          <w:pPr>
            <w:spacing w:after="0" w:line="240" w:lineRule="auto"/>
            <w:jc w:val="both"/>
            <w:rPr>
              <w:rFonts w:ascii="Times New Roman" w:hAnsi="Times New Roman"/>
              <w:sz w:val="24"/>
              <w:szCs w:val="24"/>
              <w:u w:val="single"/>
            </w:rPr>
          </w:pPr>
        </w:p>
        <w:p w14:paraId="6B86F558" w14:textId="77777777" w:rsidR="00AC1938" w:rsidRPr="00931DCE" w:rsidRDefault="00AC1938" w:rsidP="00AC1938">
          <w:pPr>
            <w:spacing w:after="0" w:line="240" w:lineRule="auto"/>
            <w:jc w:val="both"/>
            <w:rPr>
              <w:rFonts w:ascii="Times New Roman" w:hAnsi="Times New Roman"/>
              <w:sz w:val="24"/>
              <w:szCs w:val="24"/>
            </w:rPr>
          </w:pPr>
          <w:r w:rsidRPr="00931DCE">
            <w:rPr>
              <w:rFonts w:ascii="Times New Roman" w:hAnsi="Times New Roman"/>
              <w:sz w:val="24"/>
              <w:szCs w:val="24"/>
            </w:rPr>
            <w:t>A continuación, se detalla los conceptos correspondientes a adquisición de bienes y servicios el cual se discrimina así:</w:t>
          </w:r>
        </w:p>
        <w:p w14:paraId="26A5AB65" w14:textId="77777777" w:rsidR="0024455F" w:rsidRDefault="0024455F" w:rsidP="00AC1938">
          <w:pPr>
            <w:spacing w:after="0" w:line="240" w:lineRule="auto"/>
            <w:jc w:val="both"/>
            <w:rPr>
              <w:rFonts w:ascii="Times New Roman" w:hAnsi="Times New Roman"/>
              <w:sz w:val="24"/>
              <w:szCs w:val="24"/>
            </w:rPr>
          </w:pPr>
        </w:p>
        <w:tbl>
          <w:tblPr>
            <w:tblW w:w="903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CellMar>
              <w:top w:w="15" w:type="dxa"/>
              <w:left w:w="70" w:type="dxa"/>
              <w:bottom w:w="15" w:type="dxa"/>
              <w:right w:w="70" w:type="dxa"/>
            </w:tblCellMar>
            <w:tblLook w:val="04A0" w:firstRow="1" w:lastRow="0" w:firstColumn="1" w:lastColumn="0" w:noHBand="0" w:noVBand="1"/>
          </w:tblPr>
          <w:tblGrid>
            <w:gridCol w:w="2154"/>
            <w:gridCol w:w="751"/>
            <w:gridCol w:w="1003"/>
            <w:gridCol w:w="1140"/>
            <w:gridCol w:w="807"/>
            <w:gridCol w:w="860"/>
            <w:gridCol w:w="1465"/>
            <w:gridCol w:w="969"/>
          </w:tblGrid>
          <w:tr w:rsidR="002536EC" w:rsidRPr="00DF7191" w14:paraId="67868E2E" w14:textId="77777777" w:rsidTr="00CE72C7">
            <w:trPr>
              <w:trHeight w:val="467"/>
              <w:tblHeader/>
            </w:trPr>
            <w:tc>
              <w:tcPr>
                <w:tcW w:w="5000" w:type="dxa"/>
                <w:gridSpan w:val="4"/>
                <w:vMerge w:val="restart"/>
                <w:vAlign w:val="center"/>
                <w:hideMark/>
              </w:tcPr>
              <w:p w14:paraId="1896C4E9" w14:textId="77777777" w:rsidR="002536EC" w:rsidRPr="002536EC" w:rsidRDefault="002536EC" w:rsidP="002536EC">
                <w:pPr>
                  <w:spacing w:after="0" w:line="240" w:lineRule="auto"/>
                  <w:jc w:val="center"/>
                  <w:rPr>
                    <w:rFonts w:ascii="Times New Roman" w:eastAsia="Times New Roman" w:hAnsi="Times New Roman"/>
                    <w:b/>
                    <w:sz w:val="16"/>
                    <w:szCs w:val="16"/>
                    <w:lang w:eastAsia="es-CO"/>
                  </w:rPr>
                </w:pPr>
                <w:r w:rsidRPr="002536EC">
                  <w:rPr>
                    <w:rFonts w:ascii="Times New Roman" w:eastAsia="Times New Roman" w:hAnsi="Times New Roman"/>
                    <w:b/>
                    <w:sz w:val="16"/>
                    <w:szCs w:val="16"/>
                    <w:lang w:eastAsia="es-CO"/>
                  </w:rPr>
                  <w:t>ASOCIACIÓN DE DATOS</w:t>
                </w:r>
              </w:p>
            </w:tc>
            <w:tc>
              <w:tcPr>
                <w:tcW w:w="4030" w:type="dxa"/>
                <w:gridSpan w:val="4"/>
                <w:vAlign w:val="center"/>
                <w:hideMark/>
              </w:tcPr>
              <w:p w14:paraId="6B0CDCFC" w14:textId="77777777" w:rsidR="002536EC" w:rsidRPr="002536EC" w:rsidRDefault="002536EC" w:rsidP="002536EC">
                <w:pPr>
                  <w:spacing w:after="0" w:line="240" w:lineRule="auto"/>
                  <w:jc w:val="center"/>
                  <w:rPr>
                    <w:rFonts w:ascii="Times New Roman" w:eastAsia="Times New Roman" w:hAnsi="Times New Roman"/>
                    <w:b/>
                    <w:sz w:val="16"/>
                    <w:szCs w:val="16"/>
                    <w:lang w:eastAsia="es-CO"/>
                  </w:rPr>
                </w:pPr>
                <w:r w:rsidRPr="002536EC">
                  <w:rPr>
                    <w:rFonts w:ascii="Times New Roman" w:eastAsia="Times New Roman" w:hAnsi="Times New Roman"/>
                    <w:b/>
                    <w:sz w:val="16"/>
                    <w:szCs w:val="16"/>
                    <w:lang w:eastAsia="es-CO"/>
                  </w:rPr>
                  <w:t>DETALLES DE LA TRANSACCIÓN</w:t>
                </w:r>
                <w:r w:rsidRPr="002536EC">
                  <w:rPr>
                    <w:rFonts w:ascii="Times New Roman" w:eastAsia="Times New Roman" w:hAnsi="Times New Roman"/>
                    <w:b/>
                    <w:sz w:val="16"/>
                    <w:szCs w:val="16"/>
                    <w:lang w:eastAsia="es-CO"/>
                  </w:rPr>
                  <w:br/>
                  <w:t>(reporte agrupado por datos comunes de asociación)</w:t>
                </w:r>
              </w:p>
            </w:tc>
          </w:tr>
          <w:tr w:rsidR="002536EC" w:rsidRPr="00DF7191" w14:paraId="264C4AE9" w14:textId="77777777" w:rsidTr="00CE72C7">
            <w:trPr>
              <w:trHeight w:val="365"/>
              <w:tblHeader/>
            </w:trPr>
            <w:tc>
              <w:tcPr>
                <w:tcW w:w="5000" w:type="dxa"/>
                <w:gridSpan w:val="4"/>
                <w:vMerge/>
                <w:vAlign w:val="center"/>
                <w:hideMark/>
              </w:tcPr>
              <w:p w14:paraId="30096470" w14:textId="77777777" w:rsidR="002536EC" w:rsidRPr="002536EC" w:rsidRDefault="002536EC" w:rsidP="002536EC">
                <w:pPr>
                  <w:spacing w:after="0" w:line="240" w:lineRule="auto"/>
                  <w:rPr>
                    <w:rFonts w:ascii="Times New Roman" w:eastAsia="Times New Roman" w:hAnsi="Times New Roman"/>
                    <w:b/>
                    <w:sz w:val="16"/>
                    <w:szCs w:val="16"/>
                    <w:lang w:eastAsia="es-CO"/>
                  </w:rPr>
                </w:pPr>
              </w:p>
            </w:tc>
            <w:tc>
              <w:tcPr>
                <w:tcW w:w="1629" w:type="dxa"/>
                <w:gridSpan w:val="2"/>
                <w:vAlign w:val="center"/>
                <w:hideMark/>
              </w:tcPr>
              <w:p w14:paraId="735EDB79" w14:textId="77777777" w:rsidR="002536EC" w:rsidRPr="002536EC" w:rsidRDefault="002536EC" w:rsidP="002536EC">
                <w:pPr>
                  <w:spacing w:after="0" w:line="240" w:lineRule="auto"/>
                  <w:jc w:val="center"/>
                  <w:rPr>
                    <w:rFonts w:ascii="Times New Roman" w:eastAsia="Times New Roman" w:hAnsi="Times New Roman"/>
                    <w:b/>
                    <w:sz w:val="16"/>
                    <w:szCs w:val="16"/>
                    <w:lang w:eastAsia="es-CO"/>
                  </w:rPr>
                </w:pPr>
                <w:r w:rsidRPr="002536EC">
                  <w:rPr>
                    <w:rFonts w:ascii="Times New Roman" w:eastAsia="Times New Roman" w:hAnsi="Times New Roman"/>
                    <w:b/>
                    <w:sz w:val="16"/>
                    <w:szCs w:val="16"/>
                    <w:lang w:eastAsia="es-CO"/>
                  </w:rPr>
                  <w:t>PLAZO</w:t>
                </w:r>
                <w:r w:rsidRPr="002536EC">
                  <w:rPr>
                    <w:rFonts w:ascii="Times New Roman" w:eastAsia="Times New Roman" w:hAnsi="Times New Roman"/>
                    <w:b/>
                    <w:sz w:val="16"/>
                    <w:szCs w:val="16"/>
                    <w:lang w:eastAsia="es-CO"/>
                  </w:rPr>
                  <w:br/>
                  <w:t>(rango en # meses)</w:t>
                </w:r>
              </w:p>
            </w:tc>
            <w:tc>
              <w:tcPr>
                <w:tcW w:w="1431" w:type="dxa"/>
                <w:vMerge w:val="restart"/>
                <w:vAlign w:val="center"/>
                <w:hideMark/>
              </w:tcPr>
              <w:p w14:paraId="1916B967" w14:textId="77777777" w:rsidR="002536EC" w:rsidRPr="002536EC" w:rsidRDefault="002536EC" w:rsidP="002536EC">
                <w:pPr>
                  <w:spacing w:after="0" w:line="240" w:lineRule="auto"/>
                  <w:jc w:val="center"/>
                  <w:rPr>
                    <w:rFonts w:ascii="Times New Roman" w:eastAsia="Times New Roman" w:hAnsi="Times New Roman"/>
                    <w:b/>
                    <w:sz w:val="16"/>
                    <w:szCs w:val="16"/>
                    <w:lang w:eastAsia="es-CO"/>
                  </w:rPr>
                </w:pPr>
                <w:r w:rsidRPr="002536EC">
                  <w:rPr>
                    <w:rFonts w:ascii="Times New Roman" w:eastAsia="Times New Roman" w:hAnsi="Times New Roman"/>
                    <w:b/>
                    <w:sz w:val="16"/>
                    <w:szCs w:val="16"/>
                    <w:lang w:eastAsia="es-CO"/>
                  </w:rPr>
                  <w:t>RESTRICCIONES</w:t>
                </w:r>
              </w:p>
            </w:tc>
            <w:tc>
              <w:tcPr>
                <w:tcW w:w="969" w:type="dxa"/>
                <w:vMerge w:val="restart"/>
                <w:vAlign w:val="center"/>
                <w:hideMark/>
              </w:tcPr>
              <w:p w14:paraId="17D3756B" w14:textId="77777777" w:rsidR="002536EC" w:rsidRPr="002536EC" w:rsidRDefault="002536EC" w:rsidP="002536EC">
                <w:pPr>
                  <w:spacing w:after="0" w:line="240" w:lineRule="auto"/>
                  <w:jc w:val="center"/>
                  <w:rPr>
                    <w:rFonts w:ascii="Times New Roman" w:eastAsia="Times New Roman" w:hAnsi="Times New Roman"/>
                    <w:b/>
                    <w:sz w:val="16"/>
                    <w:szCs w:val="16"/>
                    <w:lang w:eastAsia="es-CO"/>
                  </w:rPr>
                </w:pPr>
                <w:r w:rsidRPr="002536EC">
                  <w:rPr>
                    <w:rFonts w:ascii="Times New Roman" w:eastAsia="Times New Roman" w:hAnsi="Times New Roman"/>
                    <w:b/>
                    <w:sz w:val="16"/>
                    <w:szCs w:val="16"/>
                    <w:lang w:eastAsia="es-CO"/>
                  </w:rPr>
                  <w:t>TASA DE INTERES</w:t>
                </w:r>
                <w:r w:rsidRPr="002536EC">
                  <w:rPr>
                    <w:rFonts w:ascii="Times New Roman" w:eastAsia="Times New Roman" w:hAnsi="Times New Roman"/>
                    <w:b/>
                    <w:sz w:val="16"/>
                    <w:szCs w:val="16"/>
                    <w:lang w:eastAsia="es-CO"/>
                  </w:rPr>
                  <w:br/>
                  <w:t>(%)</w:t>
                </w:r>
              </w:p>
            </w:tc>
          </w:tr>
          <w:tr w:rsidR="005248F8" w:rsidRPr="00DF7191" w14:paraId="7A0C0362" w14:textId="77777777" w:rsidTr="00CE72C7">
            <w:trPr>
              <w:trHeight w:val="245"/>
              <w:tblHeader/>
            </w:trPr>
            <w:tc>
              <w:tcPr>
                <w:tcW w:w="2154" w:type="dxa"/>
                <w:vAlign w:val="center"/>
                <w:hideMark/>
              </w:tcPr>
              <w:p w14:paraId="57E29998" w14:textId="77777777" w:rsidR="002536EC" w:rsidRPr="002536EC" w:rsidRDefault="002536EC" w:rsidP="002536EC">
                <w:pPr>
                  <w:spacing w:after="0" w:line="240" w:lineRule="auto"/>
                  <w:jc w:val="center"/>
                  <w:rPr>
                    <w:rFonts w:ascii="Times New Roman" w:eastAsia="Times New Roman" w:hAnsi="Times New Roman"/>
                    <w:b/>
                    <w:sz w:val="16"/>
                    <w:szCs w:val="16"/>
                    <w:lang w:eastAsia="es-CO"/>
                  </w:rPr>
                </w:pPr>
                <w:r w:rsidRPr="002536EC">
                  <w:rPr>
                    <w:rFonts w:ascii="Times New Roman" w:eastAsia="Times New Roman" w:hAnsi="Times New Roman"/>
                    <w:b/>
                    <w:sz w:val="16"/>
                    <w:szCs w:val="16"/>
                    <w:lang w:eastAsia="es-CO"/>
                  </w:rPr>
                  <w:t>TIPO DE TERCEROS</w:t>
                </w:r>
              </w:p>
            </w:tc>
            <w:tc>
              <w:tcPr>
                <w:tcW w:w="751" w:type="dxa"/>
                <w:vAlign w:val="center"/>
                <w:hideMark/>
              </w:tcPr>
              <w:p w14:paraId="2B2B4AF7" w14:textId="77777777" w:rsidR="002536EC" w:rsidRPr="002536EC" w:rsidRDefault="002536EC" w:rsidP="002536EC">
                <w:pPr>
                  <w:spacing w:after="0" w:line="240" w:lineRule="auto"/>
                  <w:jc w:val="center"/>
                  <w:rPr>
                    <w:rFonts w:ascii="Times New Roman" w:eastAsia="Times New Roman" w:hAnsi="Times New Roman"/>
                    <w:b/>
                    <w:sz w:val="16"/>
                    <w:szCs w:val="16"/>
                    <w:lang w:eastAsia="es-CO"/>
                  </w:rPr>
                </w:pPr>
                <w:r w:rsidRPr="002536EC">
                  <w:rPr>
                    <w:rFonts w:ascii="Times New Roman" w:eastAsia="Times New Roman" w:hAnsi="Times New Roman"/>
                    <w:b/>
                    <w:sz w:val="16"/>
                    <w:szCs w:val="16"/>
                    <w:lang w:eastAsia="es-CO"/>
                  </w:rPr>
                  <w:t>PN / PJ / ECP</w:t>
                </w:r>
              </w:p>
            </w:tc>
            <w:tc>
              <w:tcPr>
                <w:tcW w:w="980" w:type="dxa"/>
                <w:vAlign w:val="center"/>
                <w:hideMark/>
              </w:tcPr>
              <w:p w14:paraId="36E7AB0A" w14:textId="77777777" w:rsidR="002536EC" w:rsidRPr="002536EC" w:rsidRDefault="002536EC" w:rsidP="002536EC">
                <w:pPr>
                  <w:spacing w:after="0" w:line="240" w:lineRule="auto"/>
                  <w:jc w:val="center"/>
                  <w:rPr>
                    <w:rFonts w:ascii="Times New Roman" w:eastAsia="Times New Roman" w:hAnsi="Times New Roman"/>
                    <w:b/>
                    <w:sz w:val="16"/>
                    <w:szCs w:val="16"/>
                    <w:lang w:eastAsia="es-CO"/>
                  </w:rPr>
                </w:pPr>
                <w:r w:rsidRPr="002536EC">
                  <w:rPr>
                    <w:rFonts w:ascii="Times New Roman" w:eastAsia="Times New Roman" w:hAnsi="Times New Roman"/>
                    <w:b/>
                    <w:sz w:val="16"/>
                    <w:szCs w:val="16"/>
                    <w:lang w:eastAsia="es-CO"/>
                  </w:rPr>
                  <w:t>CANTIDAD</w:t>
                </w:r>
              </w:p>
            </w:tc>
            <w:tc>
              <w:tcPr>
                <w:tcW w:w="1114" w:type="dxa"/>
                <w:vAlign w:val="center"/>
                <w:hideMark/>
              </w:tcPr>
              <w:p w14:paraId="70997925" w14:textId="77777777" w:rsidR="002536EC" w:rsidRPr="002536EC" w:rsidRDefault="002536EC" w:rsidP="002536EC">
                <w:pPr>
                  <w:spacing w:after="0" w:line="240" w:lineRule="auto"/>
                  <w:jc w:val="center"/>
                  <w:rPr>
                    <w:rFonts w:ascii="Times New Roman" w:eastAsia="Times New Roman" w:hAnsi="Times New Roman"/>
                    <w:b/>
                    <w:sz w:val="16"/>
                    <w:szCs w:val="16"/>
                    <w:lang w:eastAsia="es-CO"/>
                  </w:rPr>
                </w:pPr>
                <w:r w:rsidRPr="002536EC">
                  <w:rPr>
                    <w:rFonts w:ascii="Times New Roman" w:eastAsia="Times New Roman" w:hAnsi="Times New Roman"/>
                    <w:b/>
                    <w:sz w:val="16"/>
                    <w:szCs w:val="16"/>
                    <w:lang w:eastAsia="es-CO"/>
                  </w:rPr>
                  <w:t>VALOR EN LIBROS</w:t>
                </w:r>
              </w:p>
            </w:tc>
            <w:tc>
              <w:tcPr>
                <w:tcW w:w="788" w:type="dxa"/>
                <w:vAlign w:val="center"/>
                <w:hideMark/>
              </w:tcPr>
              <w:p w14:paraId="4AC96A77" w14:textId="77777777" w:rsidR="002536EC" w:rsidRPr="002536EC" w:rsidRDefault="002536EC" w:rsidP="002536EC">
                <w:pPr>
                  <w:spacing w:after="0" w:line="240" w:lineRule="auto"/>
                  <w:jc w:val="center"/>
                  <w:rPr>
                    <w:rFonts w:ascii="Times New Roman" w:eastAsia="Times New Roman" w:hAnsi="Times New Roman"/>
                    <w:b/>
                    <w:sz w:val="16"/>
                    <w:szCs w:val="16"/>
                    <w:lang w:eastAsia="es-CO"/>
                  </w:rPr>
                </w:pPr>
                <w:r w:rsidRPr="002536EC">
                  <w:rPr>
                    <w:rFonts w:ascii="Times New Roman" w:eastAsia="Times New Roman" w:hAnsi="Times New Roman"/>
                    <w:b/>
                    <w:sz w:val="16"/>
                    <w:szCs w:val="16"/>
                    <w:lang w:eastAsia="es-CO"/>
                  </w:rPr>
                  <w:t>MÍNIMO</w:t>
                </w:r>
              </w:p>
            </w:tc>
            <w:tc>
              <w:tcPr>
                <w:tcW w:w="840" w:type="dxa"/>
                <w:vAlign w:val="center"/>
                <w:hideMark/>
              </w:tcPr>
              <w:p w14:paraId="2C0631F8" w14:textId="77777777" w:rsidR="002536EC" w:rsidRPr="002536EC" w:rsidRDefault="002536EC" w:rsidP="002536EC">
                <w:pPr>
                  <w:spacing w:after="0" w:line="240" w:lineRule="auto"/>
                  <w:jc w:val="center"/>
                  <w:rPr>
                    <w:rFonts w:ascii="Times New Roman" w:eastAsia="Times New Roman" w:hAnsi="Times New Roman"/>
                    <w:b/>
                    <w:sz w:val="16"/>
                    <w:szCs w:val="16"/>
                    <w:lang w:eastAsia="es-CO"/>
                  </w:rPr>
                </w:pPr>
                <w:r w:rsidRPr="002536EC">
                  <w:rPr>
                    <w:rFonts w:ascii="Times New Roman" w:eastAsia="Times New Roman" w:hAnsi="Times New Roman"/>
                    <w:b/>
                    <w:sz w:val="16"/>
                    <w:szCs w:val="16"/>
                    <w:lang w:eastAsia="es-CO"/>
                  </w:rPr>
                  <w:t>MÁXIMO</w:t>
                </w:r>
              </w:p>
            </w:tc>
            <w:tc>
              <w:tcPr>
                <w:tcW w:w="1431" w:type="dxa"/>
                <w:vMerge/>
                <w:vAlign w:val="center"/>
                <w:hideMark/>
              </w:tcPr>
              <w:p w14:paraId="04B7CFAA" w14:textId="77777777" w:rsidR="002536EC" w:rsidRPr="002536EC" w:rsidRDefault="002536EC" w:rsidP="002536EC">
                <w:pPr>
                  <w:spacing w:after="0" w:line="240" w:lineRule="auto"/>
                  <w:rPr>
                    <w:rFonts w:ascii="Times New Roman" w:eastAsia="Times New Roman" w:hAnsi="Times New Roman"/>
                    <w:b/>
                    <w:sz w:val="16"/>
                    <w:szCs w:val="16"/>
                    <w:lang w:eastAsia="es-CO"/>
                  </w:rPr>
                </w:pPr>
              </w:p>
            </w:tc>
            <w:tc>
              <w:tcPr>
                <w:tcW w:w="969" w:type="dxa"/>
                <w:vMerge/>
                <w:vAlign w:val="center"/>
                <w:hideMark/>
              </w:tcPr>
              <w:p w14:paraId="1AA654B2" w14:textId="77777777" w:rsidR="002536EC" w:rsidRPr="002536EC" w:rsidRDefault="002536EC" w:rsidP="002536EC">
                <w:pPr>
                  <w:spacing w:after="0" w:line="240" w:lineRule="auto"/>
                  <w:rPr>
                    <w:rFonts w:ascii="Times New Roman" w:eastAsia="Times New Roman" w:hAnsi="Times New Roman"/>
                    <w:b/>
                    <w:sz w:val="16"/>
                    <w:szCs w:val="16"/>
                    <w:lang w:eastAsia="es-CO"/>
                  </w:rPr>
                </w:pPr>
              </w:p>
            </w:tc>
          </w:tr>
          <w:tr w:rsidR="002536EC" w:rsidRPr="00DF7191" w14:paraId="06D25F51" w14:textId="77777777" w:rsidTr="00DE0481">
            <w:trPr>
              <w:trHeight w:val="125"/>
            </w:trPr>
            <w:tc>
              <w:tcPr>
                <w:tcW w:w="2154" w:type="dxa"/>
                <w:noWrap/>
                <w:vAlign w:val="center"/>
                <w:hideMark/>
              </w:tcPr>
              <w:p w14:paraId="39EAB4D2" w14:textId="77777777" w:rsidR="002536EC" w:rsidRPr="002536EC" w:rsidRDefault="002536EC" w:rsidP="002536EC">
                <w:pPr>
                  <w:spacing w:after="0" w:line="240" w:lineRule="auto"/>
                  <w:rPr>
                    <w:rFonts w:ascii="Times New Roman" w:eastAsia="Times New Roman" w:hAnsi="Times New Roman"/>
                    <w:b/>
                    <w:sz w:val="16"/>
                    <w:szCs w:val="16"/>
                    <w:lang w:eastAsia="es-CO"/>
                  </w:rPr>
                </w:pPr>
                <w:r w:rsidRPr="002536EC">
                  <w:rPr>
                    <w:rFonts w:ascii="Times New Roman" w:eastAsia="Times New Roman" w:hAnsi="Times New Roman"/>
                    <w:b/>
                    <w:sz w:val="16"/>
                    <w:szCs w:val="16"/>
                    <w:lang w:eastAsia="es-CO"/>
                  </w:rPr>
                  <w:t>ADQUISICIÓN DE BIENES Y SERVICIOS NACIONALES</w:t>
                </w:r>
              </w:p>
            </w:tc>
            <w:tc>
              <w:tcPr>
                <w:tcW w:w="751" w:type="dxa"/>
                <w:noWrap/>
                <w:vAlign w:val="center"/>
                <w:hideMark/>
              </w:tcPr>
              <w:p w14:paraId="7C27BD9E" w14:textId="77777777" w:rsidR="002536EC" w:rsidRPr="002536EC" w:rsidRDefault="002536EC" w:rsidP="002536EC">
                <w:pPr>
                  <w:spacing w:after="0" w:line="240" w:lineRule="auto"/>
                  <w:rPr>
                    <w:rFonts w:ascii="Times New Roman" w:eastAsia="Times New Roman" w:hAnsi="Times New Roman"/>
                    <w:b/>
                    <w:sz w:val="16"/>
                    <w:szCs w:val="16"/>
                    <w:lang w:eastAsia="es-CO"/>
                  </w:rPr>
                </w:pPr>
              </w:p>
            </w:tc>
            <w:tc>
              <w:tcPr>
                <w:tcW w:w="980" w:type="dxa"/>
                <w:noWrap/>
                <w:vAlign w:val="center"/>
                <w:hideMark/>
              </w:tcPr>
              <w:p w14:paraId="1BA254BB" w14:textId="77777777" w:rsidR="002536EC" w:rsidRPr="00DF7191" w:rsidRDefault="002536EC" w:rsidP="002536EC">
                <w:pPr>
                  <w:spacing w:after="0" w:line="240" w:lineRule="auto"/>
                  <w:rPr>
                    <w:rFonts w:ascii="Times New Roman" w:eastAsia="Times New Roman" w:hAnsi="Times New Roman"/>
                    <w:sz w:val="16"/>
                    <w:szCs w:val="16"/>
                    <w:lang w:eastAsia="es-CO"/>
                  </w:rPr>
                </w:pPr>
              </w:p>
            </w:tc>
            <w:tc>
              <w:tcPr>
                <w:tcW w:w="1114" w:type="dxa"/>
                <w:noWrap/>
                <w:vAlign w:val="center"/>
                <w:hideMark/>
              </w:tcPr>
              <w:p w14:paraId="3D994700" w14:textId="77777777" w:rsidR="002536EC" w:rsidRPr="002536EC" w:rsidRDefault="002536EC" w:rsidP="002536EC">
                <w:pPr>
                  <w:spacing w:after="0" w:line="240" w:lineRule="auto"/>
                  <w:jc w:val="right"/>
                  <w:rPr>
                    <w:rFonts w:ascii="Times New Roman" w:eastAsia="Times New Roman" w:hAnsi="Times New Roman"/>
                    <w:b/>
                    <w:sz w:val="16"/>
                    <w:szCs w:val="16"/>
                    <w:lang w:eastAsia="es-CO"/>
                  </w:rPr>
                </w:pPr>
                <w:r w:rsidRPr="002536EC">
                  <w:rPr>
                    <w:rFonts w:ascii="Times New Roman" w:eastAsia="Times New Roman" w:hAnsi="Times New Roman"/>
                    <w:b/>
                    <w:sz w:val="16"/>
                    <w:szCs w:val="16"/>
                    <w:lang w:eastAsia="es-CO"/>
                  </w:rPr>
                  <w:t xml:space="preserve">32.627.457.518 </w:t>
                </w:r>
              </w:p>
            </w:tc>
            <w:tc>
              <w:tcPr>
                <w:tcW w:w="788" w:type="dxa"/>
                <w:noWrap/>
                <w:vAlign w:val="center"/>
                <w:hideMark/>
              </w:tcPr>
              <w:p w14:paraId="3C45A643" w14:textId="77777777" w:rsidR="002536EC" w:rsidRPr="002536EC" w:rsidRDefault="002536EC" w:rsidP="002536EC">
                <w:pPr>
                  <w:spacing w:after="0" w:line="240" w:lineRule="auto"/>
                  <w:jc w:val="right"/>
                  <w:rPr>
                    <w:rFonts w:ascii="Times New Roman" w:eastAsia="Times New Roman" w:hAnsi="Times New Roman"/>
                    <w:b/>
                    <w:sz w:val="16"/>
                    <w:szCs w:val="16"/>
                    <w:lang w:eastAsia="es-CO"/>
                  </w:rPr>
                </w:pPr>
              </w:p>
            </w:tc>
            <w:tc>
              <w:tcPr>
                <w:tcW w:w="840" w:type="dxa"/>
                <w:noWrap/>
                <w:vAlign w:val="center"/>
                <w:hideMark/>
              </w:tcPr>
              <w:p w14:paraId="57083B52" w14:textId="77777777" w:rsidR="002536EC" w:rsidRPr="00DF7191" w:rsidRDefault="002536EC" w:rsidP="002536EC">
                <w:pPr>
                  <w:spacing w:after="0" w:line="240" w:lineRule="auto"/>
                  <w:rPr>
                    <w:rFonts w:ascii="Times New Roman" w:eastAsia="Times New Roman" w:hAnsi="Times New Roman"/>
                    <w:sz w:val="16"/>
                    <w:szCs w:val="16"/>
                    <w:lang w:eastAsia="es-CO"/>
                  </w:rPr>
                </w:pPr>
              </w:p>
            </w:tc>
            <w:tc>
              <w:tcPr>
                <w:tcW w:w="1431" w:type="dxa"/>
                <w:noWrap/>
                <w:vAlign w:val="center"/>
                <w:hideMark/>
              </w:tcPr>
              <w:p w14:paraId="71D8909A" w14:textId="77777777" w:rsidR="002536EC" w:rsidRPr="00DF7191" w:rsidRDefault="002536EC" w:rsidP="002536EC">
                <w:pPr>
                  <w:spacing w:after="0" w:line="240" w:lineRule="auto"/>
                  <w:jc w:val="center"/>
                  <w:rPr>
                    <w:rFonts w:ascii="Times New Roman" w:eastAsia="Times New Roman" w:hAnsi="Times New Roman"/>
                    <w:sz w:val="16"/>
                    <w:szCs w:val="16"/>
                    <w:lang w:eastAsia="es-CO"/>
                  </w:rPr>
                </w:pPr>
              </w:p>
            </w:tc>
            <w:tc>
              <w:tcPr>
                <w:tcW w:w="969" w:type="dxa"/>
                <w:noWrap/>
                <w:vAlign w:val="center"/>
                <w:hideMark/>
              </w:tcPr>
              <w:p w14:paraId="1C305FA8" w14:textId="77777777" w:rsidR="002536EC" w:rsidRPr="002536EC" w:rsidRDefault="002536EC" w:rsidP="002536EC">
                <w:pPr>
                  <w:spacing w:after="0" w:line="240" w:lineRule="auto"/>
                  <w:jc w:val="center"/>
                  <w:rPr>
                    <w:rFonts w:ascii="Times New Roman" w:eastAsia="Times New Roman" w:hAnsi="Times New Roman"/>
                    <w:b/>
                    <w:sz w:val="16"/>
                    <w:szCs w:val="16"/>
                    <w:lang w:eastAsia="es-CO"/>
                  </w:rPr>
                </w:pPr>
                <w:r w:rsidRPr="002536EC">
                  <w:rPr>
                    <w:rFonts w:ascii="Times New Roman" w:eastAsia="Times New Roman" w:hAnsi="Times New Roman"/>
                    <w:b/>
                    <w:sz w:val="16"/>
                    <w:szCs w:val="16"/>
                    <w:lang w:eastAsia="es-CO"/>
                  </w:rPr>
                  <w:t xml:space="preserve">0,0 </w:t>
                </w:r>
              </w:p>
            </w:tc>
          </w:tr>
          <w:tr w:rsidR="002536EC" w:rsidRPr="00DF7191" w14:paraId="5E35CA6B" w14:textId="77777777" w:rsidTr="00DE0481">
            <w:trPr>
              <w:trHeight w:val="125"/>
            </w:trPr>
            <w:tc>
              <w:tcPr>
                <w:tcW w:w="2154" w:type="dxa"/>
                <w:noWrap/>
                <w:vAlign w:val="center"/>
                <w:hideMark/>
              </w:tcPr>
              <w:p w14:paraId="4F9F4B24" w14:textId="77777777" w:rsidR="002536EC" w:rsidRPr="002536EC" w:rsidRDefault="002536EC" w:rsidP="002536EC">
                <w:pPr>
                  <w:spacing w:after="0" w:line="240" w:lineRule="auto"/>
                  <w:rPr>
                    <w:rFonts w:ascii="Times New Roman" w:eastAsia="Times New Roman" w:hAnsi="Times New Roman"/>
                    <w:b/>
                    <w:sz w:val="16"/>
                    <w:szCs w:val="16"/>
                    <w:lang w:eastAsia="es-CO"/>
                  </w:rPr>
                </w:pPr>
                <w:r w:rsidRPr="002536EC">
                  <w:rPr>
                    <w:rFonts w:ascii="Times New Roman" w:eastAsia="Times New Roman" w:hAnsi="Times New Roman"/>
                    <w:b/>
                    <w:sz w:val="16"/>
                    <w:szCs w:val="16"/>
                    <w:lang w:eastAsia="es-CO"/>
                  </w:rPr>
                  <w:lastRenderedPageBreak/>
                  <w:t>Bienes y servicios</w:t>
                </w:r>
              </w:p>
            </w:tc>
            <w:tc>
              <w:tcPr>
                <w:tcW w:w="751" w:type="dxa"/>
                <w:noWrap/>
                <w:vAlign w:val="center"/>
                <w:hideMark/>
              </w:tcPr>
              <w:p w14:paraId="2D127E12" w14:textId="77777777" w:rsidR="002536EC" w:rsidRPr="002536EC" w:rsidRDefault="002536EC" w:rsidP="002536EC">
                <w:pPr>
                  <w:spacing w:after="0" w:line="240" w:lineRule="auto"/>
                  <w:rPr>
                    <w:rFonts w:ascii="Times New Roman" w:eastAsia="Times New Roman" w:hAnsi="Times New Roman"/>
                    <w:b/>
                    <w:sz w:val="16"/>
                    <w:szCs w:val="16"/>
                    <w:lang w:eastAsia="es-CO"/>
                  </w:rPr>
                </w:pPr>
              </w:p>
            </w:tc>
            <w:tc>
              <w:tcPr>
                <w:tcW w:w="980" w:type="dxa"/>
                <w:noWrap/>
                <w:vAlign w:val="center"/>
                <w:hideMark/>
              </w:tcPr>
              <w:p w14:paraId="397B31C9" w14:textId="77777777" w:rsidR="002536EC" w:rsidRPr="00DF7191" w:rsidRDefault="002536EC" w:rsidP="002536EC">
                <w:pPr>
                  <w:spacing w:after="0" w:line="240" w:lineRule="auto"/>
                  <w:rPr>
                    <w:rFonts w:ascii="Times New Roman" w:eastAsia="Times New Roman" w:hAnsi="Times New Roman"/>
                    <w:sz w:val="16"/>
                    <w:szCs w:val="16"/>
                    <w:lang w:eastAsia="es-CO"/>
                  </w:rPr>
                </w:pPr>
              </w:p>
            </w:tc>
            <w:tc>
              <w:tcPr>
                <w:tcW w:w="1114" w:type="dxa"/>
                <w:noWrap/>
                <w:vAlign w:val="center"/>
                <w:hideMark/>
              </w:tcPr>
              <w:p w14:paraId="4631BD2B" w14:textId="77777777" w:rsidR="002536EC" w:rsidRPr="002536EC" w:rsidRDefault="002536EC" w:rsidP="002536EC">
                <w:pPr>
                  <w:spacing w:after="0" w:line="240" w:lineRule="auto"/>
                  <w:jc w:val="right"/>
                  <w:rPr>
                    <w:rFonts w:ascii="Times New Roman" w:eastAsia="Times New Roman" w:hAnsi="Times New Roman"/>
                    <w:b/>
                    <w:sz w:val="16"/>
                    <w:szCs w:val="16"/>
                    <w:lang w:eastAsia="es-CO"/>
                  </w:rPr>
                </w:pPr>
                <w:r w:rsidRPr="002536EC">
                  <w:rPr>
                    <w:rFonts w:ascii="Times New Roman" w:eastAsia="Times New Roman" w:hAnsi="Times New Roman"/>
                    <w:b/>
                    <w:sz w:val="16"/>
                    <w:szCs w:val="16"/>
                    <w:lang w:eastAsia="es-CO"/>
                  </w:rPr>
                  <w:t xml:space="preserve">1.068.638.956 </w:t>
                </w:r>
              </w:p>
            </w:tc>
            <w:tc>
              <w:tcPr>
                <w:tcW w:w="788" w:type="dxa"/>
                <w:noWrap/>
                <w:vAlign w:val="center"/>
                <w:hideMark/>
              </w:tcPr>
              <w:p w14:paraId="7D32E998" w14:textId="77777777" w:rsidR="002536EC" w:rsidRPr="002536EC" w:rsidRDefault="002536EC" w:rsidP="002536EC">
                <w:pPr>
                  <w:spacing w:after="0" w:line="240" w:lineRule="auto"/>
                  <w:jc w:val="right"/>
                  <w:rPr>
                    <w:rFonts w:ascii="Times New Roman" w:eastAsia="Times New Roman" w:hAnsi="Times New Roman"/>
                    <w:b/>
                    <w:sz w:val="16"/>
                    <w:szCs w:val="16"/>
                    <w:lang w:eastAsia="es-CO"/>
                  </w:rPr>
                </w:pPr>
              </w:p>
            </w:tc>
            <w:tc>
              <w:tcPr>
                <w:tcW w:w="840" w:type="dxa"/>
                <w:noWrap/>
                <w:vAlign w:val="center"/>
                <w:hideMark/>
              </w:tcPr>
              <w:p w14:paraId="2538574B" w14:textId="77777777" w:rsidR="002536EC" w:rsidRPr="00DF7191" w:rsidRDefault="002536EC" w:rsidP="002536EC">
                <w:pPr>
                  <w:spacing w:after="0" w:line="240" w:lineRule="auto"/>
                  <w:rPr>
                    <w:rFonts w:ascii="Times New Roman" w:eastAsia="Times New Roman" w:hAnsi="Times New Roman"/>
                    <w:sz w:val="16"/>
                    <w:szCs w:val="16"/>
                    <w:lang w:eastAsia="es-CO"/>
                  </w:rPr>
                </w:pPr>
              </w:p>
            </w:tc>
            <w:tc>
              <w:tcPr>
                <w:tcW w:w="1431" w:type="dxa"/>
                <w:noWrap/>
                <w:vAlign w:val="center"/>
                <w:hideMark/>
              </w:tcPr>
              <w:p w14:paraId="7D79A173" w14:textId="77777777" w:rsidR="002536EC" w:rsidRPr="00DF7191" w:rsidRDefault="002536EC" w:rsidP="002536EC">
                <w:pPr>
                  <w:spacing w:after="0" w:line="240" w:lineRule="auto"/>
                  <w:jc w:val="center"/>
                  <w:rPr>
                    <w:rFonts w:ascii="Times New Roman" w:eastAsia="Times New Roman" w:hAnsi="Times New Roman"/>
                    <w:sz w:val="16"/>
                    <w:szCs w:val="16"/>
                    <w:lang w:eastAsia="es-CO"/>
                  </w:rPr>
                </w:pPr>
              </w:p>
            </w:tc>
            <w:tc>
              <w:tcPr>
                <w:tcW w:w="969" w:type="dxa"/>
                <w:noWrap/>
                <w:vAlign w:val="center"/>
                <w:hideMark/>
              </w:tcPr>
              <w:p w14:paraId="3E33A460" w14:textId="77777777" w:rsidR="002536EC" w:rsidRPr="002536EC" w:rsidRDefault="002536EC" w:rsidP="002536EC">
                <w:pPr>
                  <w:spacing w:after="0" w:line="240" w:lineRule="auto"/>
                  <w:jc w:val="center"/>
                  <w:rPr>
                    <w:rFonts w:ascii="Times New Roman" w:eastAsia="Times New Roman" w:hAnsi="Times New Roman"/>
                    <w:b/>
                    <w:sz w:val="16"/>
                    <w:szCs w:val="16"/>
                    <w:lang w:eastAsia="es-CO"/>
                  </w:rPr>
                </w:pPr>
                <w:r w:rsidRPr="002536EC">
                  <w:rPr>
                    <w:rFonts w:ascii="Times New Roman" w:eastAsia="Times New Roman" w:hAnsi="Times New Roman"/>
                    <w:b/>
                    <w:sz w:val="16"/>
                    <w:szCs w:val="16"/>
                    <w:lang w:eastAsia="es-CO"/>
                  </w:rPr>
                  <w:t xml:space="preserve">0,0 </w:t>
                </w:r>
              </w:p>
            </w:tc>
          </w:tr>
          <w:tr w:rsidR="002536EC" w:rsidRPr="00DF7191" w14:paraId="1E4FCE19" w14:textId="77777777" w:rsidTr="00DE0481">
            <w:trPr>
              <w:trHeight w:val="135"/>
            </w:trPr>
            <w:tc>
              <w:tcPr>
                <w:tcW w:w="2154" w:type="dxa"/>
                <w:vAlign w:val="center"/>
                <w:hideMark/>
              </w:tcPr>
              <w:p w14:paraId="50A35904" w14:textId="77777777" w:rsidR="002536EC" w:rsidRPr="002536EC" w:rsidRDefault="002536EC" w:rsidP="002536EC">
                <w:pPr>
                  <w:spacing w:after="0" w:line="240" w:lineRule="auto"/>
                  <w:rPr>
                    <w:rFonts w:ascii="Times New Roman" w:eastAsia="Times New Roman" w:hAnsi="Times New Roman"/>
                    <w:sz w:val="16"/>
                    <w:szCs w:val="16"/>
                    <w:lang w:eastAsia="es-CO"/>
                  </w:rPr>
                </w:pPr>
                <w:r w:rsidRPr="002536EC">
                  <w:rPr>
                    <w:rFonts w:ascii="Times New Roman" w:eastAsia="Times New Roman" w:hAnsi="Times New Roman"/>
                    <w:sz w:val="16"/>
                    <w:szCs w:val="16"/>
                    <w:lang w:eastAsia="es-CO"/>
                  </w:rPr>
                  <w:t>Nacionales</w:t>
                </w:r>
              </w:p>
            </w:tc>
            <w:tc>
              <w:tcPr>
                <w:tcW w:w="751" w:type="dxa"/>
                <w:noWrap/>
                <w:vAlign w:val="center"/>
                <w:hideMark/>
              </w:tcPr>
              <w:p w14:paraId="259AC8BE" w14:textId="77777777" w:rsidR="002536EC" w:rsidRPr="002536EC" w:rsidRDefault="002536EC" w:rsidP="002536EC">
                <w:pPr>
                  <w:spacing w:after="0" w:line="240" w:lineRule="auto"/>
                  <w:jc w:val="center"/>
                  <w:rPr>
                    <w:rFonts w:ascii="Times New Roman" w:eastAsia="Times New Roman" w:hAnsi="Times New Roman"/>
                    <w:sz w:val="16"/>
                    <w:szCs w:val="16"/>
                    <w:lang w:eastAsia="es-CO"/>
                  </w:rPr>
                </w:pPr>
                <w:r w:rsidRPr="002536EC">
                  <w:rPr>
                    <w:rFonts w:ascii="Times New Roman" w:eastAsia="Times New Roman" w:hAnsi="Times New Roman"/>
                    <w:sz w:val="16"/>
                    <w:szCs w:val="16"/>
                    <w:lang w:eastAsia="es-CO"/>
                  </w:rPr>
                  <w:t>PN</w:t>
                </w:r>
              </w:p>
            </w:tc>
            <w:tc>
              <w:tcPr>
                <w:tcW w:w="980" w:type="dxa"/>
                <w:noWrap/>
                <w:vAlign w:val="center"/>
                <w:hideMark/>
              </w:tcPr>
              <w:p w14:paraId="3E13F624" w14:textId="77777777" w:rsidR="002536EC" w:rsidRPr="002536EC" w:rsidRDefault="002536EC" w:rsidP="002536EC">
                <w:pPr>
                  <w:spacing w:after="0" w:line="240" w:lineRule="auto"/>
                  <w:jc w:val="center"/>
                  <w:rPr>
                    <w:rFonts w:ascii="Times New Roman" w:eastAsia="Times New Roman" w:hAnsi="Times New Roman"/>
                    <w:sz w:val="16"/>
                    <w:szCs w:val="16"/>
                    <w:lang w:eastAsia="es-CO"/>
                  </w:rPr>
                </w:pPr>
                <w:r w:rsidRPr="002536EC">
                  <w:rPr>
                    <w:rFonts w:ascii="Times New Roman" w:eastAsia="Times New Roman" w:hAnsi="Times New Roman"/>
                    <w:sz w:val="16"/>
                    <w:szCs w:val="16"/>
                    <w:lang w:eastAsia="es-CO"/>
                  </w:rPr>
                  <w:t>3</w:t>
                </w:r>
              </w:p>
            </w:tc>
            <w:tc>
              <w:tcPr>
                <w:tcW w:w="1114" w:type="dxa"/>
                <w:noWrap/>
                <w:vAlign w:val="center"/>
                <w:hideMark/>
              </w:tcPr>
              <w:p w14:paraId="1ED6AA1B" w14:textId="77777777" w:rsidR="002536EC" w:rsidRPr="002536EC" w:rsidRDefault="002536EC" w:rsidP="002536EC">
                <w:pPr>
                  <w:spacing w:after="0" w:line="240" w:lineRule="auto"/>
                  <w:jc w:val="right"/>
                  <w:rPr>
                    <w:rFonts w:ascii="Times New Roman" w:eastAsia="Times New Roman" w:hAnsi="Times New Roman"/>
                    <w:sz w:val="16"/>
                    <w:szCs w:val="16"/>
                    <w:lang w:eastAsia="es-CO"/>
                  </w:rPr>
                </w:pPr>
                <w:r w:rsidRPr="002536EC">
                  <w:rPr>
                    <w:rFonts w:ascii="Times New Roman" w:eastAsia="Times New Roman" w:hAnsi="Times New Roman"/>
                    <w:sz w:val="16"/>
                    <w:szCs w:val="16"/>
                    <w:lang w:eastAsia="es-CO"/>
                  </w:rPr>
                  <w:t xml:space="preserve">12.418.721 </w:t>
                </w:r>
              </w:p>
            </w:tc>
            <w:tc>
              <w:tcPr>
                <w:tcW w:w="788" w:type="dxa"/>
                <w:noWrap/>
                <w:vAlign w:val="center"/>
                <w:hideMark/>
              </w:tcPr>
              <w:p w14:paraId="2C489E48" w14:textId="77777777" w:rsidR="002536EC" w:rsidRPr="002536EC" w:rsidRDefault="002536EC" w:rsidP="002536EC">
                <w:pPr>
                  <w:spacing w:after="0" w:line="240" w:lineRule="auto"/>
                  <w:jc w:val="right"/>
                  <w:rPr>
                    <w:rFonts w:ascii="Times New Roman" w:eastAsia="Times New Roman" w:hAnsi="Times New Roman"/>
                    <w:sz w:val="16"/>
                    <w:szCs w:val="16"/>
                    <w:lang w:eastAsia="es-CO"/>
                  </w:rPr>
                </w:pPr>
                <w:r w:rsidRPr="002536EC">
                  <w:rPr>
                    <w:rFonts w:ascii="Times New Roman" w:eastAsia="Times New Roman" w:hAnsi="Times New Roman"/>
                    <w:sz w:val="16"/>
                    <w:szCs w:val="16"/>
                    <w:lang w:eastAsia="es-CO"/>
                  </w:rPr>
                  <w:t>0</w:t>
                </w:r>
              </w:p>
            </w:tc>
            <w:tc>
              <w:tcPr>
                <w:tcW w:w="840" w:type="dxa"/>
                <w:noWrap/>
                <w:vAlign w:val="center"/>
                <w:hideMark/>
              </w:tcPr>
              <w:p w14:paraId="78ED0D24" w14:textId="77777777" w:rsidR="002536EC" w:rsidRPr="002536EC" w:rsidRDefault="002536EC" w:rsidP="002536EC">
                <w:pPr>
                  <w:spacing w:after="0" w:line="240" w:lineRule="auto"/>
                  <w:jc w:val="center"/>
                  <w:rPr>
                    <w:rFonts w:ascii="Times New Roman" w:eastAsia="Times New Roman" w:hAnsi="Times New Roman"/>
                    <w:sz w:val="16"/>
                    <w:szCs w:val="16"/>
                    <w:lang w:eastAsia="es-CO"/>
                  </w:rPr>
                </w:pPr>
                <w:r w:rsidRPr="002536EC">
                  <w:rPr>
                    <w:rFonts w:ascii="Times New Roman" w:eastAsia="Times New Roman" w:hAnsi="Times New Roman"/>
                    <w:sz w:val="16"/>
                    <w:szCs w:val="16"/>
                    <w:lang w:eastAsia="es-CO"/>
                  </w:rPr>
                  <w:t>1</w:t>
                </w:r>
              </w:p>
            </w:tc>
            <w:tc>
              <w:tcPr>
                <w:tcW w:w="1431" w:type="dxa"/>
                <w:noWrap/>
                <w:vAlign w:val="center"/>
                <w:hideMark/>
              </w:tcPr>
              <w:p w14:paraId="391E07E1" w14:textId="77777777" w:rsidR="002536EC" w:rsidRPr="002536EC" w:rsidRDefault="002536EC" w:rsidP="00DF7191">
                <w:pPr>
                  <w:spacing w:after="0" w:line="240" w:lineRule="auto"/>
                  <w:jc w:val="center"/>
                  <w:rPr>
                    <w:rFonts w:ascii="Times New Roman" w:eastAsia="Times New Roman" w:hAnsi="Times New Roman"/>
                    <w:sz w:val="16"/>
                    <w:szCs w:val="16"/>
                    <w:lang w:eastAsia="es-CO"/>
                  </w:rPr>
                </w:pPr>
                <w:r w:rsidRPr="002536EC">
                  <w:rPr>
                    <w:rFonts w:ascii="Times New Roman" w:eastAsia="Times New Roman" w:hAnsi="Times New Roman"/>
                    <w:sz w:val="16"/>
                    <w:szCs w:val="16"/>
                    <w:lang w:eastAsia="es-CO"/>
                  </w:rPr>
                  <w:t>No aplica</w:t>
                </w:r>
              </w:p>
            </w:tc>
            <w:tc>
              <w:tcPr>
                <w:tcW w:w="969" w:type="dxa"/>
                <w:noWrap/>
                <w:vAlign w:val="center"/>
                <w:hideMark/>
              </w:tcPr>
              <w:p w14:paraId="5021087F" w14:textId="77777777" w:rsidR="002536EC" w:rsidRPr="002536EC" w:rsidRDefault="002536EC" w:rsidP="002536EC">
                <w:pPr>
                  <w:spacing w:after="0" w:line="240" w:lineRule="auto"/>
                  <w:jc w:val="center"/>
                  <w:rPr>
                    <w:rFonts w:ascii="Times New Roman" w:eastAsia="Times New Roman" w:hAnsi="Times New Roman"/>
                    <w:sz w:val="16"/>
                    <w:szCs w:val="16"/>
                    <w:lang w:eastAsia="es-CO"/>
                  </w:rPr>
                </w:pPr>
                <w:r w:rsidRPr="002536EC">
                  <w:rPr>
                    <w:rFonts w:ascii="Times New Roman" w:eastAsia="Times New Roman" w:hAnsi="Times New Roman"/>
                    <w:sz w:val="16"/>
                    <w:szCs w:val="16"/>
                    <w:lang w:eastAsia="es-CO"/>
                  </w:rPr>
                  <w:t>0</w:t>
                </w:r>
              </w:p>
            </w:tc>
          </w:tr>
          <w:tr w:rsidR="002536EC" w:rsidRPr="00DF7191" w14:paraId="627751E4" w14:textId="77777777" w:rsidTr="00DE0481">
            <w:trPr>
              <w:trHeight w:val="135"/>
            </w:trPr>
            <w:tc>
              <w:tcPr>
                <w:tcW w:w="2154" w:type="dxa"/>
                <w:vAlign w:val="center"/>
                <w:hideMark/>
              </w:tcPr>
              <w:p w14:paraId="76A26660" w14:textId="77777777" w:rsidR="002536EC" w:rsidRPr="002536EC" w:rsidRDefault="002536EC" w:rsidP="002536EC">
                <w:pPr>
                  <w:spacing w:after="0" w:line="240" w:lineRule="auto"/>
                  <w:rPr>
                    <w:rFonts w:ascii="Times New Roman" w:eastAsia="Times New Roman" w:hAnsi="Times New Roman"/>
                    <w:sz w:val="16"/>
                    <w:szCs w:val="16"/>
                    <w:lang w:eastAsia="es-CO"/>
                  </w:rPr>
                </w:pPr>
                <w:r w:rsidRPr="002536EC">
                  <w:rPr>
                    <w:rFonts w:ascii="Times New Roman" w:eastAsia="Times New Roman" w:hAnsi="Times New Roman"/>
                    <w:sz w:val="16"/>
                    <w:szCs w:val="16"/>
                    <w:lang w:eastAsia="es-CO"/>
                  </w:rPr>
                  <w:t>Nacionales</w:t>
                </w:r>
              </w:p>
            </w:tc>
            <w:tc>
              <w:tcPr>
                <w:tcW w:w="751" w:type="dxa"/>
                <w:noWrap/>
                <w:vAlign w:val="center"/>
                <w:hideMark/>
              </w:tcPr>
              <w:p w14:paraId="4F3E7426" w14:textId="77777777" w:rsidR="002536EC" w:rsidRPr="002536EC" w:rsidRDefault="002536EC" w:rsidP="002536EC">
                <w:pPr>
                  <w:spacing w:after="0" w:line="240" w:lineRule="auto"/>
                  <w:jc w:val="center"/>
                  <w:rPr>
                    <w:rFonts w:ascii="Times New Roman" w:eastAsia="Times New Roman" w:hAnsi="Times New Roman"/>
                    <w:sz w:val="16"/>
                    <w:szCs w:val="16"/>
                    <w:lang w:eastAsia="es-CO"/>
                  </w:rPr>
                </w:pPr>
                <w:r w:rsidRPr="002536EC">
                  <w:rPr>
                    <w:rFonts w:ascii="Times New Roman" w:eastAsia="Times New Roman" w:hAnsi="Times New Roman"/>
                    <w:sz w:val="16"/>
                    <w:szCs w:val="16"/>
                    <w:lang w:eastAsia="es-CO"/>
                  </w:rPr>
                  <w:t>PJ</w:t>
                </w:r>
              </w:p>
            </w:tc>
            <w:tc>
              <w:tcPr>
                <w:tcW w:w="980" w:type="dxa"/>
                <w:noWrap/>
                <w:vAlign w:val="center"/>
                <w:hideMark/>
              </w:tcPr>
              <w:p w14:paraId="29FAB8A3" w14:textId="77777777" w:rsidR="002536EC" w:rsidRPr="002536EC" w:rsidRDefault="002536EC" w:rsidP="002536EC">
                <w:pPr>
                  <w:spacing w:after="0" w:line="240" w:lineRule="auto"/>
                  <w:jc w:val="center"/>
                  <w:rPr>
                    <w:rFonts w:ascii="Times New Roman" w:eastAsia="Times New Roman" w:hAnsi="Times New Roman"/>
                    <w:sz w:val="16"/>
                    <w:szCs w:val="16"/>
                    <w:lang w:eastAsia="es-CO"/>
                  </w:rPr>
                </w:pPr>
                <w:r w:rsidRPr="002536EC">
                  <w:rPr>
                    <w:rFonts w:ascii="Times New Roman" w:eastAsia="Times New Roman" w:hAnsi="Times New Roman"/>
                    <w:sz w:val="16"/>
                    <w:szCs w:val="16"/>
                    <w:lang w:eastAsia="es-CO"/>
                  </w:rPr>
                  <w:t>11</w:t>
                </w:r>
              </w:p>
            </w:tc>
            <w:tc>
              <w:tcPr>
                <w:tcW w:w="1114" w:type="dxa"/>
                <w:noWrap/>
                <w:vAlign w:val="center"/>
                <w:hideMark/>
              </w:tcPr>
              <w:p w14:paraId="128A0F19" w14:textId="77777777" w:rsidR="002536EC" w:rsidRPr="002536EC" w:rsidRDefault="002536EC" w:rsidP="002536EC">
                <w:pPr>
                  <w:spacing w:after="0" w:line="240" w:lineRule="auto"/>
                  <w:jc w:val="right"/>
                  <w:rPr>
                    <w:rFonts w:ascii="Times New Roman" w:eastAsia="Times New Roman" w:hAnsi="Times New Roman"/>
                    <w:sz w:val="16"/>
                    <w:szCs w:val="16"/>
                    <w:lang w:eastAsia="es-CO"/>
                  </w:rPr>
                </w:pPr>
                <w:r w:rsidRPr="002536EC">
                  <w:rPr>
                    <w:rFonts w:ascii="Times New Roman" w:eastAsia="Times New Roman" w:hAnsi="Times New Roman"/>
                    <w:sz w:val="16"/>
                    <w:szCs w:val="16"/>
                    <w:lang w:eastAsia="es-CO"/>
                  </w:rPr>
                  <w:t xml:space="preserve">1.056.220.235 </w:t>
                </w:r>
              </w:p>
            </w:tc>
            <w:tc>
              <w:tcPr>
                <w:tcW w:w="788" w:type="dxa"/>
                <w:noWrap/>
                <w:vAlign w:val="center"/>
                <w:hideMark/>
              </w:tcPr>
              <w:p w14:paraId="5571E94E" w14:textId="77777777" w:rsidR="002536EC" w:rsidRPr="002536EC" w:rsidRDefault="002536EC" w:rsidP="002536EC">
                <w:pPr>
                  <w:spacing w:after="0" w:line="240" w:lineRule="auto"/>
                  <w:jc w:val="right"/>
                  <w:rPr>
                    <w:rFonts w:ascii="Times New Roman" w:eastAsia="Times New Roman" w:hAnsi="Times New Roman"/>
                    <w:sz w:val="16"/>
                    <w:szCs w:val="16"/>
                    <w:lang w:eastAsia="es-CO"/>
                  </w:rPr>
                </w:pPr>
                <w:r w:rsidRPr="002536EC">
                  <w:rPr>
                    <w:rFonts w:ascii="Times New Roman" w:eastAsia="Times New Roman" w:hAnsi="Times New Roman"/>
                    <w:sz w:val="16"/>
                    <w:szCs w:val="16"/>
                    <w:lang w:eastAsia="es-CO"/>
                  </w:rPr>
                  <w:t>0</w:t>
                </w:r>
              </w:p>
            </w:tc>
            <w:tc>
              <w:tcPr>
                <w:tcW w:w="840" w:type="dxa"/>
                <w:noWrap/>
                <w:vAlign w:val="center"/>
                <w:hideMark/>
              </w:tcPr>
              <w:p w14:paraId="0E102A28" w14:textId="77777777" w:rsidR="002536EC" w:rsidRPr="002536EC" w:rsidRDefault="002536EC" w:rsidP="002536EC">
                <w:pPr>
                  <w:spacing w:after="0" w:line="240" w:lineRule="auto"/>
                  <w:jc w:val="center"/>
                  <w:rPr>
                    <w:rFonts w:ascii="Times New Roman" w:eastAsia="Times New Roman" w:hAnsi="Times New Roman"/>
                    <w:sz w:val="16"/>
                    <w:szCs w:val="16"/>
                    <w:lang w:eastAsia="es-CO"/>
                  </w:rPr>
                </w:pPr>
                <w:r w:rsidRPr="002536EC">
                  <w:rPr>
                    <w:rFonts w:ascii="Times New Roman" w:eastAsia="Times New Roman" w:hAnsi="Times New Roman"/>
                    <w:sz w:val="16"/>
                    <w:szCs w:val="16"/>
                    <w:lang w:eastAsia="es-CO"/>
                  </w:rPr>
                  <w:t>1</w:t>
                </w:r>
              </w:p>
            </w:tc>
            <w:tc>
              <w:tcPr>
                <w:tcW w:w="1431" w:type="dxa"/>
                <w:noWrap/>
                <w:vAlign w:val="center"/>
                <w:hideMark/>
              </w:tcPr>
              <w:p w14:paraId="1D2E0BB0" w14:textId="77777777" w:rsidR="002536EC" w:rsidRPr="002536EC" w:rsidRDefault="002536EC" w:rsidP="00DF7191">
                <w:pPr>
                  <w:spacing w:after="0" w:line="240" w:lineRule="auto"/>
                  <w:jc w:val="center"/>
                  <w:rPr>
                    <w:rFonts w:ascii="Times New Roman" w:eastAsia="Times New Roman" w:hAnsi="Times New Roman"/>
                    <w:sz w:val="16"/>
                    <w:szCs w:val="16"/>
                    <w:lang w:eastAsia="es-CO"/>
                  </w:rPr>
                </w:pPr>
                <w:r w:rsidRPr="002536EC">
                  <w:rPr>
                    <w:rFonts w:ascii="Times New Roman" w:eastAsia="Times New Roman" w:hAnsi="Times New Roman"/>
                    <w:sz w:val="16"/>
                    <w:szCs w:val="16"/>
                    <w:lang w:eastAsia="es-CO"/>
                  </w:rPr>
                  <w:t>No aplica</w:t>
                </w:r>
              </w:p>
            </w:tc>
            <w:tc>
              <w:tcPr>
                <w:tcW w:w="969" w:type="dxa"/>
                <w:noWrap/>
                <w:vAlign w:val="center"/>
                <w:hideMark/>
              </w:tcPr>
              <w:p w14:paraId="0A831989" w14:textId="77777777" w:rsidR="002536EC" w:rsidRPr="002536EC" w:rsidRDefault="002536EC" w:rsidP="002536EC">
                <w:pPr>
                  <w:spacing w:after="0" w:line="240" w:lineRule="auto"/>
                  <w:jc w:val="center"/>
                  <w:rPr>
                    <w:rFonts w:ascii="Times New Roman" w:eastAsia="Times New Roman" w:hAnsi="Times New Roman"/>
                    <w:sz w:val="16"/>
                    <w:szCs w:val="16"/>
                    <w:lang w:eastAsia="es-CO"/>
                  </w:rPr>
                </w:pPr>
                <w:r w:rsidRPr="002536EC">
                  <w:rPr>
                    <w:rFonts w:ascii="Times New Roman" w:eastAsia="Times New Roman" w:hAnsi="Times New Roman"/>
                    <w:sz w:val="16"/>
                    <w:szCs w:val="16"/>
                    <w:lang w:eastAsia="es-CO"/>
                  </w:rPr>
                  <w:t>0</w:t>
                </w:r>
              </w:p>
            </w:tc>
          </w:tr>
          <w:tr w:rsidR="002536EC" w:rsidRPr="00DF7191" w14:paraId="57DE7DE5" w14:textId="77777777" w:rsidTr="00DE0481">
            <w:trPr>
              <w:trHeight w:val="125"/>
            </w:trPr>
            <w:tc>
              <w:tcPr>
                <w:tcW w:w="2154" w:type="dxa"/>
                <w:noWrap/>
                <w:vAlign w:val="center"/>
                <w:hideMark/>
              </w:tcPr>
              <w:p w14:paraId="168D8FB7" w14:textId="77777777" w:rsidR="002536EC" w:rsidRPr="002536EC" w:rsidRDefault="002536EC" w:rsidP="002536EC">
                <w:pPr>
                  <w:spacing w:after="0" w:line="240" w:lineRule="auto"/>
                  <w:rPr>
                    <w:rFonts w:ascii="Times New Roman" w:eastAsia="Times New Roman" w:hAnsi="Times New Roman"/>
                    <w:b/>
                    <w:sz w:val="16"/>
                    <w:szCs w:val="16"/>
                    <w:lang w:eastAsia="es-CO"/>
                  </w:rPr>
                </w:pPr>
                <w:r w:rsidRPr="002536EC">
                  <w:rPr>
                    <w:rFonts w:ascii="Times New Roman" w:eastAsia="Times New Roman" w:hAnsi="Times New Roman"/>
                    <w:b/>
                    <w:sz w:val="16"/>
                    <w:szCs w:val="16"/>
                    <w:lang w:eastAsia="es-CO"/>
                  </w:rPr>
                  <w:t>Proyectos de inversión</w:t>
                </w:r>
              </w:p>
            </w:tc>
            <w:tc>
              <w:tcPr>
                <w:tcW w:w="751" w:type="dxa"/>
                <w:noWrap/>
                <w:vAlign w:val="center"/>
                <w:hideMark/>
              </w:tcPr>
              <w:p w14:paraId="4FCF2AEF" w14:textId="77777777" w:rsidR="002536EC" w:rsidRPr="002536EC" w:rsidRDefault="002536EC" w:rsidP="002536EC">
                <w:pPr>
                  <w:spacing w:after="0" w:line="240" w:lineRule="auto"/>
                  <w:rPr>
                    <w:rFonts w:ascii="Times New Roman" w:eastAsia="Times New Roman" w:hAnsi="Times New Roman"/>
                    <w:b/>
                    <w:sz w:val="16"/>
                    <w:szCs w:val="16"/>
                    <w:lang w:eastAsia="es-CO"/>
                  </w:rPr>
                </w:pPr>
              </w:p>
            </w:tc>
            <w:tc>
              <w:tcPr>
                <w:tcW w:w="980" w:type="dxa"/>
                <w:noWrap/>
                <w:vAlign w:val="center"/>
                <w:hideMark/>
              </w:tcPr>
              <w:p w14:paraId="59AEE94A" w14:textId="77777777" w:rsidR="002536EC" w:rsidRPr="00DF7191" w:rsidRDefault="002536EC" w:rsidP="002536EC">
                <w:pPr>
                  <w:spacing w:after="0" w:line="240" w:lineRule="auto"/>
                  <w:rPr>
                    <w:rFonts w:ascii="Times New Roman" w:eastAsia="Times New Roman" w:hAnsi="Times New Roman"/>
                    <w:sz w:val="16"/>
                    <w:szCs w:val="16"/>
                    <w:lang w:eastAsia="es-CO"/>
                  </w:rPr>
                </w:pPr>
              </w:p>
            </w:tc>
            <w:tc>
              <w:tcPr>
                <w:tcW w:w="1114" w:type="dxa"/>
                <w:noWrap/>
                <w:vAlign w:val="center"/>
                <w:hideMark/>
              </w:tcPr>
              <w:p w14:paraId="2638AD40" w14:textId="77777777" w:rsidR="002536EC" w:rsidRPr="002536EC" w:rsidRDefault="002536EC" w:rsidP="002536EC">
                <w:pPr>
                  <w:spacing w:after="0" w:line="240" w:lineRule="auto"/>
                  <w:jc w:val="right"/>
                  <w:rPr>
                    <w:rFonts w:ascii="Times New Roman" w:eastAsia="Times New Roman" w:hAnsi="Times New Roman"/>
                    <w:b/>
                    <w:sz w:val="16"/>
                    <w:szCs w:val="16"/>
                    <w:lang w:eastAsia="es-CO"/>
                  </w:rPr>
                </w:pPr>
                <w:r w:rsidRPr="002536EC">
                  <w:rPr>
                    <w:rFonts w:ascii="Times New Roman" w:eastAsia="Times New Roman" w:hAnsi="Times New Roman"/>
                    <w:b/>
                    <w:sz w:val="16"/>
                    <w:szCs w:val="16"/>
                    <w:lang w:eastAsia="es-CO"/>
                  </w:rPr>
                  <w:t xml:space="preserve">31.558.818.562 </w:t>
                </w:r>
              </w:p>
            </w:tc>
            <w:tc>
              <w:tcPr>
                <w:tcW w:w="788" w:type="dxa"/>
                <w:noWrap/>
                <w:vAlign w:val="center"/>
                <w:hideMark/>
              </w:tcPr>
              <w:p w14:paraId="675B4345" w14:textId="77777777" w:rsidR="002536EC" w:rsidRPr="002536EC" w:rsidRDefault="002536EC" w:rsidP="002536EC">
                <w:pPr>
                  <w:spacing w:after="0" w:line="240" w:lineRule="auto"/>
                  <w:jc w:val="right"/>
                  <w:rPr>
                    <w:rFonts w:ascii="Times New Roman" w:eastAsia="Times New Roman" w:hAnsi="Times New Roman"/>
                    <w:b/>
                    <w:sz w:val="16"/>
                    <w:szCs w:val="16"/>
                    <w:lang w:eastAsia="es-CO"/>
                  </w:rPr>
                </w:pPr>
              </w:p>
            </w:tc>
            <w:tc>
              <w:tcPr>
                <w:tcW w:w="840" w:type="dxa"/>
                <w:noWrap/>
                <w:vAlign w:val="center"/>
                <w:hideMark/>
              </w:tcPr>
              <w:p w14:paraId="333091CC" w14:textId="77777777" w:rsidR="002536EC" w:rsidRPr="00DF7191" w:rsidRDefault="002536EC" w:rsidP="002536EC">
                <w:pPr>
                  <w:spacing w:after="0" w:line="240" w:lineRule="auto"/>
                  <w:rPr>
                    <w:rFonts w:ascii="Times New Roman" w:eastAsia="Times New Roman" w:hAnsi="Times New Roman"/>
                    <w:sz w:val="16"/>
                    <w:szCs w:val="16"/>
                    <w:lang w:eastAsia="es-CO"/>
                  </w:rPr>
                </w:pPr>
              </w:p>
            </w:tc>
            <w:tc>
              <w:tcPr>
                <w:tcW w:w="1431" w:type="dxa"/>
                <w:noWrap/>
                <w:vAlign w:val="center"/>
                <w:hideMark/>
              </w:tcPr>
              <w:p w14:paraId="69560FE1" w14:textId="77777777" w:rsidR="002536EC" w:rsidRPr="00DF7191" w:rsidRDefault="002536EC" w:rsidP="002536EC">
                <w:pPr>
                  <w:spacing w:after="0" w:line="240" w:lineRule="auto"/>
                  <w:jc w:val="center"/>
                  <w:rPr>
                    <w:rFonts w:ascii="Times New Roman" w:eastAsia="Times New Roman" w:hAnsi="Times New Roman"/>
                    <w:sz w:val="16"/>
                    <w:szCs w:val="16"/>
                    <w:lang w:eastAsia="es-CO"/>
                  </w:rPr>
                </w:pPr>
              </w:p>
            </w:tc>
            <w:tc>
              <w:tcPr>
                <w:tcW w:w="969" w:type="dxa"/>
                <w:noWrap/>
                <w:vAlign w:val="center"/>
                <w:hideMark/>
              </w:tcPr>
              <w:p w14:paraId="25AC2399" w14:textId="77777777" w:rsidR="002536EC" w:rsidRPr="002536EC" w:rsidRDefault="002536EC" w:rsidP="002536EC">
                <w:pPr>
                  <w:spacing w:after="0" w:line="240" w:lineRule="auto"/>
                  <w:jc w:val="center"/>
                  <w:rPr>
                    <w:rFonts w:ascii="Times New Roman" w:eastAsia="Times New Roman" w:hAnsi="Times New Roman"/>
                    <w:b/>
                    <w:sz w:val="16"/>
                    <w:szCs w:val="16"/>
                    <w:lang w:eastAsia="es-CO"/>
                  </w:rPr>
                </w:pPr>
                <w:r w:rsidRPr="002536EC">
                  <w:rPr>
                    <w:rFonts w:ascii="Times New Roman" w:eastAsia="Times New Roman" w:hAnsi="Times New Roman"/>
                    <w:b/>
                    <w:sz w:val="16"/>
                    <w:szCs w:val="16"/>
                    <w:lang w:eastAsia="es-CO"/>
                  </w:rPr>
                  <w:t xml:space="preserve">0,0 </w:t>
                </w:r>
              </w:p>
            </w:tc>
          </w:tr>
          <w:tr w:rsidR="002536EC" w:rsidRPr="00DF7191" w14:paraId="1917B71C" w14:textId="77777777" w:rsidTr="00DE0481">
            <w:trPr>
              <w:trHeight w:val="135"/>
            </w:trPr>
            <w:tc>
              <w:tcPr>
                <w:tcW w:w="2154" w:type="dxa"/>
                <w:vAlign w:val="center"/>
                <w:hideMark/>
              </w:tcPr>
              <w:p w14:paraId="0D90A7D1" w14:textId="77777777" w:rsidR="002536EC" w:rsidRPr="002536EC" w:rsidRDefault="002536EC" w:rsidP="002536EC">
                <w:pPr>
                  <w:spacing w:after="0" w:line="240" w:lineRule="auto"/>
                  <w:rPr>
                    <w:rFonts w:ascii="Times New Roman" w:eastAsia="Times New Roman" w:hAnsi="Times New Roman"/>
                    <w:sz w:val="16"/>
                    <w:szCs w:val="16"/>
                    <w:lang w:eastAsia="es-CO"/>
                  </w:rPr>
                </w:pPr>
                <w:r w:rsidRPr="002536EC">
                  <w:rPr>
                    <w:rFonts w:ascii="Times New Roman" w:eastAsia="Times New Roman" w:hAnsi="Times New Roman"/>
                    <w:sz w:val="16"/>
                    <w:szCs w:val="16"/>
                    <w:lang w:eastAsia="es-CO"/>
                  </w:rPr>
                  <w:t>Nacionales</w:t>
                </w:r>
              </w:p>
            </w:tc>
            <w:tc>
              <w:tcPr>
                <w:tcW w:w="751" w:type="dxa"/>
                <w:noWrap/>
                <w:vAlign w:val="center"/>
                <w:hideMark/>
              </w:tcPr>
              <w:p w14:paraId="0182A671" w14:textId="77777777" w:rsidR="002536EC" w:rsidRPr="002536EC" w:rsidRDefault="002536EC" w:rsidP="002536EC">
                <w:pPr>
                  <w:spacing w:after="0" w:line="240" w:lineRule="auto"/>
                  <w:jc w:val="center"/>
                  <w:rPr>
                    <w:rFonts w:ascii="Times New Roman" w:eastAsia="Times New Roman" w:hAnsi="Times New Roman"/>
                    <w:sz w:val="16"/>
                    <w:szCs w:val="16"/>
                    <w:lang w:eastAsia="es-CO"/>
                  </w:rPr>
                </w:pPr>
                <w:r w:rsidRPr="002536EC">
                  <w:rPr>
                    <w:rFonts w:ascii="Times New Roman" w:eastAsia="Times New Roman" w:hAnsi="Times New Roman"/>
                    <w:sz w:val="16"/>
                    <w:szCs w:val="16"/>
                    <w:lang w:eastAsia="es-CO"/>
                  </w:rPr>
                  <w:t>PN</w:t>
                </w:r>
              </w:p>
            </w:tc>
            <w:tc>
              <w:tcPr>
                <w:tcW w:w="980" w:type="dxa"/>
                <w:noWrap/>
                <w:vAlign w:val="center"/>
                <w:hideMark/>
              </w:tcPr>
              <w:p w14:paraId="0C37E24B" w14:textId="77777777" w:rsidR="002536EC" w:rsidRPr="002536EC" w:rsidRDefault="002536EC" w:rsidP="002536EC">
                <w:pPr>
                  <w:spacing w:after="0" w:line="240" w:lineRule="auto"/>
                  <w:jc w:val="center"/>
                  <w:rPr>
                    <w:rFonts w:ascii="Times New Roman" w:eastAsia="Times New Roman" w:hAnsi="Times New Roman"/>
                    <w:sz w:val="16"/>
                    <w:szCs w:val="16"/>
                    <w:lang w:eastAsia="es-CO"/>
                  </w:rPr>
                </w:pPr>
                <w:r w:rsidRPr="002536EC">
                  <w:rPr>
                    <w:rFonts w:ascii="Times New Roman" w:eastAsia="Times New Roman" w:hAnsi="Times New Roman"/>
                    <w:sz w:val="16"/>
                    <w:szCs w:val="16"/>
                    <w:lang w:eastAsia="es-CO"/>
                  </w:rPr>
                  <w:t>179</w:t>
                </w:r>
              </w:p>
            </w:tc>
            <w:tc>
              <w:tcPr>
                <w:tcW w:w="1114" w:type="dxa"/>
                <w:noWrap/>
                <w:vAlign w:val="center"/>
                <w:hideMark/>
              </w:tcPr>
              <w:p w14:paraId="56F11549" w14:textId="77777777" w:rsidR="002536EC" w:rsidRPr="002536EC" w:rsidRDefault="002536EC" w:rsidP="002536EC">
                <w:pPr>
                  <w:spacing w:after="0" w:line="240" w:lineRule="auto"/>
                  <w:jc w:val="right"/>
                  <w:rPr>
                    <w:rFonts w:ascii="Times New Roman" w:eastAsia="Times New Roman" w:hAnsi="Times New Roman"/>
                    <w:sz w:val="16"/>
                    <w:szCs w:val="16"/>
                    <w:lang w:eastAsia="es-CO"/>
                  </w:rPr>
                </w:pPr>
                <w:r w:rsidRPr="002536EC">
                  <w:rPr>
                    <w:rFonts w:ascii="Times New Roman" w:eastAsia="Times New Roman" w:hAnsi="Times New Roman"/>
                    <w:sz w:val="16"/>
                    <w:szCs w:val="16"/>
                    <w:lang w:eastAsia="es-CO"/>
                  </w:rPr>
                  <w:t xml:space="preserve">1.111.590.402 </w:t>
                </w:r>
              </w:p>
            </w:tc>
            <w:tc>
              <w:tcPr>
                <w:tcW w:w="788" w:type="dxa"/>
                <w:noWrap/>
                <w:vAlign w:val="center"/>
                <w:hideMark/>
              </w:tcPr>
              <w:p w14:paraId="79CA8624" w14:textId="77777777" w:rsidR="002536EC" w:rsidRPr="002536EC" w:rsidRDefault="002536EC" w:rsidP="002536EC">
                <w:pPr>
                  <w:spacing w:after="0" w:line="240" w:lineRule="auto"/>
                  <w:jc w:val="right"/>
                  <w:rPr>
                    <w:rFonts w:ascii="Times New Roman" w:eastAsia="Times New Roman" w:hAnsi="Times New Roman"/>
                    <w:sz w:val="16"/>
                    <w:szCs w:val="16"/>
                    <w:lang w:eastAsia="es-CO"/>
                  </w:rPr>
                </w:pPr>
                <w:r w:rsidRPr="002536EC">
                  <w:rPr>
                    <w:rFonts w:ascii="Times New Roman" w:eastAsia="Times New Roman" w:hAnsi="Times New Roman"/>
                    <w:sz w:val="16"/>
                    <w:szCs w:val="16"/>
                    <w:lang w:eastAsia="es-CO"/>
                  </w:rPr>
                  <w:t>0</w:t>
                </w:r>
              </w:p>
            </w:tc>
            <w:tc>
              <w:tcPr>
                <w:tcW w:w="840" w:type="dxa"/>
                <w:noWrap/>
                <w:vAlign w:val="center"/>
                <w:hideMark/>
              </w:tcPr>
              <w:p w14:paraId="69891BE5" w14:textId="77777777" w:rsidR="002536EC" w:rsidRPr="002536EC" w:rsidRDefault="002536EC" w:rsidP="002536EC">
                <w:pPr>
                  <w:spacing w:after="0" w:line="240" w:lineRule="auto"/>
                  <w:jc w:val="center"/>
                  <w:rPr>
                    <w:rFonts w:ascii="Times New Roman" w:eastAsia="Times New Roman" w:hAnsi="Times New Roman"/>
                    <w:sz w:val="16"/>
                    <w:szCs w:val="16"/>
                    <w:lang w:eastAsia="es-CO"/>
                  </w:rPr>
                </w:pPr>
                <w:r w:rsidRPr="002536EC">
                  <w:rPr>
                    <w:rFonts w:ascii="Times New Roman" w:eastAsia="Times New Roman" w:hAnsi="Times New Roman"/>
                    <w:sz w:val="16"/>
                    <w:szCs w:val="16"/>
                    <w:lang w:eastAsia="es-CO"/>
                  </w:rPr>
                  <w:t>1</w:t>
                </w:r>
              </w:p>
            </w:tc>
            <w:tc>
              <w:tcPr>
                <w:tcW w:w="1431" w:type="dxa"/>
                <w:noWrap/>
                <w:vAlign w:val="center"/>
                <w:hideMark/>
              </w:tcPr>
              <w:p w14:paraId="4C00141B" w14:textId="77777777" w:rsidR="002536EC" w:rsidRPr="002536EC" w:rsidRDefault="002536EC" w:rsidP="00DF7191">
                <w:pPr>
                  <w:spacing w:after="0" w:line="240" w:lineRule="auto"/>
                  <w:jc w:val="center"/>
                  <w:rPr>
                    <w:rFonts w:ascii="Times New Roman" w:eastAsia="Times New Roman" w:hAnsi="Times New Roman"/>
                    <w:sz w:val="16"/>
                    <w:szCs w:val="16"/>
                    <w:lang w:eastAsia="es-CO"/>
                  </w:rPr>
                </w:pPr>
                <w:r w:rsidRPr="002536EC">
                  <w:rPr>
                    <w:rFonts w:ascii="Times New Roman" w:eastAsia="Times New Roman" w:hAnsi="Times New Roman"/>
                    <w:sz w:val="16"/>
                    <w:szCs w:val="16"/>
                    <w:lang w:eastAsia="es-CO"/>
                  </w:rPr>
                  <w:t>No aplica</w:t>
                </w:r>
              </w:p>
            </w:tc>
            <w:tc>
              <w:tcPr>
                <w:tcW w:w="969" w:type="dxa"/>
                <w:noWrap/>
                <w:vAlign w:val="center"/>
                <w:hideMark/>
              </w:tcPr>
              <w:p w14:paraId="3A102993" w14:textId="77777777" w:rsidR="002536EC" w:rsidRPr="002536EC" w:rsidRDefault="002536EC" w:rsidP="002536EC">
                <w:pPr>
                  <w:spacing w:after="0" w:line="240" w:lineRule="auto"/>
                  <w:jc w:val="center"/>
                  <w:rPr>
                    <w:rFonts w:ascii="Times New Roman" w:eastAsia="Times New Roman" w:hAnsi="Times New Roman"/>
                    <w:sz w:val="16"/>
                    <w:szCs w:val="16"/>
                    <w:lang w:eastAsia="es-CO"/>
                  </w:rPr>
                </w:pPr>
                <w:r w:rsidRPr="002536EC">
                  <w:rPr>
                    <w:rFonts w:ascii="Times New Roman" w:eastAsia="Times New Roman" w:hAnsi="Times New Roman"/>
                    <w:sz w:val="16"/>
                    <w:szCs w:val="16"/>
                    <w:lang w:eastAsia="es-CO"/>
                  </w:rPr>
                  <w:t>0</w:t>
                </w:r>
              </w:p>
            </w:tc>
          </w:tr>
          <w:tr w:rsidR="002536EC" w:rsidRPr="00DF7191" w14:paraId="422998EB" w14:textId="77777777" w:rsidTr="00DE0481">
            <w:trPr>
              <w:trHeight w:val="135"/>
            </w:trPr>
            <w:tc>
              <w:tcPr>
                <w:tcW w:w="2154" w:type="dxa"/>
                <w:vAlign w:val="center"/>
                <w:hideMark/>
              </w:tcPr>
              <w:p w14:paraId="3DD86452" w14:textId="77777777" w:rsidR="002536EC" w:rsidRPr="002536EC" w:rsidRDefault="002536EC" w:rsidP="002536EC">
                <w:pPr>
                  <w:spacing w:after="0" w:line="240" w:lineRule="auto"/>
                  <w:rPr>
                    <w:rFonts w:ascii="Times New Roman" w:eastAsia="Times New Roman" w:hAnsi="Times New Roman"/>
                    <w:sz w:val="16"/>
                    <w:szCs w:val="16"/>
                    <w:lang w:eastAsia="es-CO"/>
                  </w:rPr>
                </w:pPr>
                <w:r w:rsidRPr="002536EC">
                  <w:rPr>
                    <w:rFonts w:ascii="Times New Roman" w:eastAsia="Times New Roman" w:hAnsi="Times New Roman"/>
                    <w:sz w:val="16"/>
                    <w:szCs w:val="16"/>
                    <w:lang w:eastAsia="es-CO"/>
                  </w:rPr>
                  <w:t>Nacionales</w:t>
                </w:r>
              </w:p>
            </w:tc>
            <w:tc>
              <w:tcPr>
                <w:tcW w:w="751" w:type="dxa"/>
                <w:noWrap/>
                <w:vAlign w:val="center"/>
                <w:hideMark/>
              </w:tcPr>
              <w:p w14:paraId="318D6BA4" w14:textId="77777777" w:rsidR="002536EC" w:rsidRPr="002536EC" w:rsidRDefault="002536EC" w:rsidP="002536EC">
                <w:pPr>
                  <w:spacing w:after="0" w:line="240" w:lineRule="auto"/>
                  <w:jc w:val="center"/>
                  <w:rPr>
                    <w:rFonts w:ascii="Times New Roman" w:eastAsia="Times New Roman" w:hAnsi="Times New Roman"/>
                    <w:sz w:val="16"/>
                    <w:szCs w:val="16"/>
                    <w:lang w:eastAsia="es-CO"/>
                  </w:rPr>
                </w:pPr>
                <w:r w:rsidRPr="002536EC">
                  <w:rPr>
                    <w:rFonts w:ascii="Times New Roman" w:eastAsia="Times New Roman" w:hAnsi="Times New Roman"/>
                    <w:sz w:val="16"/>
                    <w:szCs w:val="16"/>
                    <w:lang w:eastAsia="es-CO"/>
                  </w:rPr>
                  <w:t>PJ</w:t>
                </w:r>
              </w:p>
            </w:tc>
            <w:tc>
              <w:tcPr>
                <w:tcW w:w="980" w:type="dxa"/>
                <w:noWrap/>
                <w:vAlign w:val="center"/>
                <w:hideMark/>
              </w:tcPr>
              <w:p w14:paraId="196741DB" w14:textId="77777777" w:rsidR="002536EC" w:rsidRPr="002536EC" w:rsidRDefault="002536EC" w:rsidP="002536EC">
                <w:pPr>
                  <w:spacing w:after="0" w:line="240" w:lineRule="auto"/>
                  <w:jc w:val="center"/>
                  <w:rPr>
                    <w:rFonts w:ascii="Times New Roman" w:eastAsia="Times New Roman" w:hAnsi="Times New Roman"/>
                    <w:sz w:val="16"/>
                    <w:szCs w:val="16"/>
                    <w:lang w:eastAsia="es-CO"/>
                  </w:rPr>
                </w:pPr>
                <w:r w:rsidRPr="002536EC">
                  <w:rPr>
                    <w:rFonts w:ascii="Times New Roman" w:eastAsia="Times New Roman" w:hAnsi="Times New Roman"/>
                    <w:sz w:val="16"/>
                    <w:szCs w:val="16"/>
                    <w:lang w:eastAsia="es-CO"/>
                  </w:rPr>
                  <w:t>27</w:t>
                </w:r>
              </w:p>
            </w:tc>
            <w:tc>
              <w:tcPr>
                <w:tcW w:w="1114" w:type="dxa"/>
                <w:noWrap/>
                <w:vAlign w:val="center"/>
                <w:hideMark/>
              </w:tcPr>
              <w:p w14:paraId="295628C8" w14:textId="77777777" w:rsidR="002536EC" w:rsidRPr="002536EC" w:rsidRDefault="002536EC" w:rsidP="002536EC">
                <w:pPr>
                  <w:spacing w:after="0" w:line="240" w:lineRule="auto"/>
                  <w:jc w:val="right"/>
                  <w:rPr>
                    <w:rFonts w:ascii="Times New Roman" w:eastAsia="Times New Roman" w:hAnsi="Times New Roman"/>
                    <w:sz w:val="16"/>
                    <w:szCs w:val="16"/>
                    <w:lang w:eastAsia="es-CO"/>
                  </w:rPr>
                </w:pPr>
                <w:r w:rsidRPr="002536EC">
                  <w:rPr>
                    <w:rFonts w:ascii="Times New Roman" w:eastAsia="Times New Roman" w:hAnsi="Times New Roman"/>
                    <w:sz w:val="16"/>
                    <w:szCs w:val="16"/>
                    <w:lang w:eastAsia="es-CO"/>
                  </w:rPr>
                  <w:t xml:space="preserve">30.447.228.160 </w:t>
                </w:r>
              </w:p>
            </w:tc>
            <w:tc>
              <w:tcPr>
                <w:tcW w:w="788" w:type="dxa"/>
                <w:noWrap/>
                <w:vAlign w:val="center"/>
                <w:hideMark/>
              </w:tcPr>
              <w:p w14:paraId="6967394D" w14:textId="77777777" w:rsidR="002536EC" w:rsidRPr="002536EC" w:rsidRDefault="002536EC" w:rsidP="002536EC">
                <w:pPr>
                  <w:spacing w:after="0" w:line="240" w:lineRule="auto"/>
                  <w:jc w:val="right"/>
                  <w:rPr>
                    <w:rFonts w:ascii="Times New Roman" w:eastAsia="Times New Roman" w:hAnsi="Times New Roman"/>
                    <w:sz w:val="16"/>
                    <w:szCs w:val="16"/>
                    <w:lang w:eastAsia="es-CO"/>
                  </w:rPr>
                </w:pPr>
                <w:r w:rsidRPr="002536EC">
                  <w:rPr>
                    <w:rFonts w:ascii="Times New Roman" w:eastAsia="Times New Roman" w:hAnsi="Times New Roman"/>
                    <w:sz w:val="16"/>
                    <w:szCs w:val="16"/>
                    <w:lang w:eastAsia="es-CO"/>
                  </w:rPr>
                  <w:t>0</w:t>
                </w:r>
              </w:p>
            </w:tc>
            <w:tc>
              <w:tcPr>
                <w:tcW w:w="840" w:type="dxa"/>
                <w:noWrap/>
                <w:vAlign w:val="center"/>
                <w:hideMark/>
              </w:tcPr>
              <w:p w14:paraId="380E251A" w14:textId="77777777" w:rsidR="002536EC" w:rsidRPr="002536EC" w:rsidRDefault="002536EC" w:rsidP="002536EC">
                <w:pPr>
                  <w:spacing w:after="0" w:line="240" w:lineRule="auto"/>
                  <w:jc w:val="center"/>
                  <w:rPr>
                    <w:rFonts w:ascii="Times New Roman" w:eastAsia="Times New Roman" w:hAnsi="Times New Roman"/>
                    <w:sz w:val="16"/>
                    <w:szCs w:val="16"/>
                    <w:lang w:eastAsia="es-CO"/>
                  </w:rPr>
                </w:pPr>
                <w:r w:rsidRPr="002536EC">
                  <w:rPr>
                    <w:rFonts w:ascii="Times New Roman" w:eastAsia="Times New Roman" w:hAnsi="Times New Roman"/>
                    <w:sz w:val="16"/>
                    <w:szCs w:val="16"/>
                    <w:lang w:eastAsia="es-CO"/>
                  </w:rPr>
                  <w:t>1</w:t>
                </w:r>
              </w:p>
            </w:tc>
            <w:tc>
              <w:tcPr>
                <w:tcW w:w="1431" w:type="dxa"/>
                <w:noWrap/>
                <w:vAlign w:val="center"/>
                <w:hideMark/>
              </w:tcPr>
              <w:p w14:paraId="11B22007" w14:textId="77777777" w:rsidR="002536EC" w:rsidRPr="002536EC" w:rsidRDefault="002536EC" w:rsidP="00DF7191">
                <w:pPr>
                  <w:spacing w:after="0" w:line="240" w:lineRule="auto"/>
                  <w:jc w:val="center"/>
                  <w:rPr>
                    <w:rFonts w:ascii="Times New Roman" w:eastAsia="Times New Roman" w:hAnsi="Times New Roman"/>
                    <w:sz w:val="16"/>
                    <w:szCs w:val="16"/>
                    <w:lang w:eastAsia="es-CO"/>
                  </w:rPr>
                </w:pPr>
                <w:r w:rsidRPr="002536EC">
                  <w:rPr>
                    <w:rFonts w:ascii="Times New Roman" w:eastAsia="Times New Roman" w:hAnsi="Times New Roman"/>
                    <w:sz w:val="16"/>
                    <w:szCs w:val="16"/>
                    <w:lang w:eastAsia="es-CO"/>
                  </w:rPr>
                  <w:t>No aplica</w:t>
                </w:r>
              </w:p>
            </w:tc>
            <w:tc>
              <w:tcPr>
                <w:tcW w:w="969" w:type="dxa"/>
                <w:noWrap/>
                <w:vAlign w:val="center"/>
                <w:hideMark/>
              </w:tcPr>
              <w:p w14:paraId="79836E40" w14:textId="77777777" w:rsidR="002536EC" w:rsidRPr="002536EC" w:rsidRDefault="002536EC" w:rsidP="002536EC">
                <w:pPr>
                  <w:spacing w:after="0" w:line="240" w:lineRule="auto"/>
                  <w:jc w:val="center"/>
                  <w:rPr>
                    <w:rFonts w:ascii="Times New Roman" w:eastAsia="Times New Roman" w:hAnsi="Times New Roman"/>
                    <w:sz w:val="16"/>
                    <w:szCs w:val="16"/>
                    <w:lang w:eastAsia="es-CO"/>
                  </w:rPr>
                </w:pPr>
                <w:r w:rsidRPr="002536EC">
                  <w:rPr>
                    <w:rFonts w:ascii="Times New Roman" w:eastAsia="Times New Roman" w:hAnsi="Times New Roman"/>
                    <w:sz w:val="16"/>
                    <w:szCs w:val="16"/>
                    <w:lang w:eastAsia="es-CO"/>
                  </w:rPr>
                  <w:t>0</w:t>
                </w:r>
              </w:p>
            </w:tc>
          </w:tr>
        </w:tbl>
        <w:p w14:paraId="3A588F9A" w14:textId="0D99ABFC" w:rsidR="007B5635" w:rsidRPr="00931DCE" w:rsidRDefault="00AD2026" w:rsidP="00C5392C">
          <w:pPr>
            <w:spacing w:after="0" w:line="240" w:lineRule="auto"/>
            <w:jc w:val="both"/>
            <w:rPr>
              <w:rFonts w:ascii="Times New Roman" w:hAnsi="Times New Roman"/>
              <w:sz w:val="14"/>
              <w:szCs w:val="14"/>
            </w:rPr>
          </w:pPr>
          <w:r w:rsidRPr="00931DCE">
            <w:rPr>
              <w:rFonts w:ascii="Times New Roman" w:hAnsi="Times New Roman"/>
              <w:sz w:val="14"/>
              <w:szCs w:val="14"/>
            </w:rPr>
            <w:t>Cifras expresadas en pesos</w:t>
          </w:r>
        </w:p>
        <w:p w14:paraId="08021772" w14:textId="77777777" w:rsidR="00C5392C" w:rsidRPr="00931DCE" w:rsidRDefault="00C5392C" w:rsidP="00C5392C">
          <w:pPr>
            <w:spacing w:after="0" w:line="240" w:lineRule="auto"/>
            <w:jc w:val="both"/>
            <w:rPr>
              <w:rFonts w:ascii="Times New Roman" w:hAnsi="Times New Roman"/>
              <w:sz w:val="24"/>
              <w:szCs w:val="24"/>
            </w:rPr>
          </w:pPr>
        </w:p>
        <w:p w14:paraId="282CF456" w14:textId="4B8CB1F3" w:rsidR="00C5392C" w:rsidRPr="00931DCE" w:rsidRDefault="007B5635" w:rsidP="00C5392C">
          <w:pPr>
            <w:spacing w:after="0" w:line="240" w:lineRule="auto"/>
            <w:jc w:val="both"/>
            <w:rPr>
              <w:rFonts w:ascii="Times New Roman" w:hAnsi="Times New Roman"/>
              <w:sz w:val="24"/>
              <w:szCs w:val="24"/>
            </w:rPr>
          </w:pPr>
          <w:r w:rsidRPr="00931DCE">
            <w:rPr>
              <w:rFonts w:ascii="Times New Roman" w:hAnsi="Times New Roman"/>
              <w:sz w:val="24"/>
              <w:szCs w:val="24"/>
            </w:rPr>
            <w:t xml:space="preserve">En Adquisición de bienes y servicios nacionales, compuesta por </w:t>
          </w:r>
          <w:r w:rsidRPr="00931DCE">
            <w:rPr>
              <w:rFonts w:ascii="Times New Roman" w:hAnsi="Times New Roman"/>
              <w:i/>
              <w:iCs/>
              <w:sz w:val="24"/>
              <w:szCs w:val="24"/>
            </w:rPr>
            <w:t>Bienes y servicios</w:t>
          </w:r>
          <w:r w:rsidRPr="00931DCE">
            <w:rPr>
              <w:rFonts w:ascii="Times New Roman" w:hAnsi="Times New Roman"/>
              <w:sz w:val="24"/>
              <w:szCs w:val="24"/>
            </w:rPr>
            <w:t xml:space="preserve"> por valor de $</w:t>
          </w:r>
          <w:r w:rsidR="009643DF">
            <w:rPr>
              <w:rFonts w:ascii="Times New Roman" w:hAnsi="Times New Roman"/>
              <w:sz w:val="24"/>
              <w:szCs w:val="24"/>
            </w:rPr>
            <w:t>1.068.638.956</w:t>
          </w:r>
          <w:r w:rsidRPr="00931DCE">
            <w:rPr>
              <w:rFonts w:ascii="Times New Roman" w:hAnsi="Times New Roman"/>
              <w:sz w:val="24"/>
              <w:szCs w:val="24"/>
            </w:rPr>
            <w:t xml:space="preserve">, en la cual se registra la compra de bienes y servicios pendientes de pago que fueron recibidos a satisfacción, entre los que se encuentran: </w:t>
          </w:r>
          <w:r w:rsidRPr="001940F2">
            <w:rPr>
              <w:rFonts w:ascii="Times New Roman" w:hAnsi="Times New Roman"/>
              <w:sz w:val="24"/>
              <w:szCs w:val="24"/>
            </w:rPr>
            <w:t>1) elementos y útiles de oficina; 2) renovaciones de licencias y soporte de la plataforma de seguridad</w:t>
          </w:r>
          <w:r w:rsidR="0077014B" w:rsidRPr="001940F2">
            <w:rPr>
              <w:rFonts w:ascii="Times New Roman" w:hAnsi="Times New Roman"/>
              <w:sz w:val="24"/>
              <w:szCs w:val="24"/>
            </w:rPr>
            <w:t>;</w:t>
          </w:r>
          <w:r w:rsidRPr="001940F2">
            <w:rPr>
              <w:rFonts w:ascii="Times New Roman" w:hAnsi="Times New Roman"/>
              <w:sz w:val="24"/>
              <w:szCs w:val="24"/>
            </w:rPr>
            <w:t xml:space="preserve"> </w:t>
          </w:r>
          <w:r w:rsidR="008A52E2" w:rsidRPr="001940F2">
            <w:rPr>
              <w:rFonts w:ascii="Times New Roman" w:hAnsi="Times New Roman"/>
              <w:sz w:val="24"/>
              <w:szCs w:val="24"/>
            </w:rPr>
            <w:t>3)</w:t>
          </w:r>
          <w:r w:rsidR="00557115" w:rsidRPr="001940F2">
            <w:rPr>
              <w:rFonts w:ascii="Times New Roman" w:hAnsi="Times New Roman"/>
              <w:sz w:val="24"/>
              <w:szCs w:val="24"/>
            </w:rPr>
            <w:t xml:space="preserve"> </w:t>
          </w:r>
          <w:r w:rsidR="00557115" w:rsidRPr="00401D70">
            <w:rPr>
              <w:rFonts w:ascii="Times New Roman" w:hAnsi="Times New Roman"/>
              <w:sz w:val="24"/>
              <w:szCs w:val="24"/>
            </w:rPr>
            <w:t>r</w:t>
          </w:r>
          <w:r w:rsidR="0018385F" w:rsidRPr="00401D70">
            <w:rPr>
              <w:rFonts w:ascii="Times New Roman" w:hAnsi="Times New Roman"/>
              <w:sz w:val="24"/>
              <w:szCs w:val="24"/>
            </w:rPr>
            <w:t>econocimiento por daños ocasionados por fuerza mayor</w:t>
          </w:r>
          <w:r w:rsidR="00026383" w:rsidRPr="00401D70">
            <w:rPr>
              <w:rFonts w:ascii="Times New Roman" w:hAnsi="Times New Roman"/>
              <w:sz w:val="24"/>
              <w:szCs w:val="24"/>
            </w:rPr>
            <w:t>;</w:t>
          </w:r>
          <w:r w:rsidR="00026383" w:rsidRPr="001940F2">
            <w:rPr>
              <w:rFonts w:ascii="Times New Roman" w:hAnsi="Times New Roman"/>
              <w:sz w:val="24"/>
              <w:szCs w:val="24"/>
            </w:rPr>
            <w:t xml:space="preserve"> </w:t>
          </w:r>
          <w:r w:rsidR="00026383" w:rsidRPr="00401D70">
            <w:rPr>
              <w:rFonts w:ascii="Times New Roman" w:hAnsi="Times New Roman"/>
              <w:sz w:val="24"/>
              <w:szCs w:val="24"/>
            </w:rPr>
            <w:t>4</w:t>
          </w:r>
          <w:r w:rsidR="008A52E2" w:rsidRPr="00401D70">
            <w:rPr>
              <w:rFonts w:ascii="Times New Roman" w:hAnsi="Times New Roman"/>
              <w:sz w:val="24"/>
              <w:szCs w:val="24"/>
            </w:rPr>
            <w:t>)</w:t>
          </w:r>
          <w:r w:rsidR="00557115" w:rsidRPr="00401D70">
            <w:rPr>
              <w:rFonts w:ascii="Times New Roman" w:hAnsi="Times New Roman"/>
              <w:sz w:val="24"/>
              <w:szCs w:val="24"/>
            </w:rPr>
            <w:t xml:space="preserve"> d</w:t>
          </w:r>
          <w:r w:rsidR="0077014B" w:rsidRPr="00401D70">
            <w:rPr>
              <w:rFonts w:ascii="Times New Roman" w:hAnsi="Times New Roman"/>
              <w:sz w:val="24"/>
              <w:szCs w:val="24"/>
            </w:rPr>
            <w:t>otación y elementos de uso institucional,</w:t>
          </w:r>
          <w:r w:rsidRPr="00401D70">
            <w:rPr>
              <w:rFonts w:ascii="Times New Roman" w:hAnsi="Times New Roman"/>
              <w:sz w:val="24"/>
              <w:szCs w:val="24"/>
            </w:rPr>
            <w:t xml:space="preserve"> entre otros</w:t>
          </w:r>
          <w:r w:rsidR="00C5392C" w:rsidRPr="00931DCE">
            <w:rPr>
              <w:rFonts w:ascii="Times New Roman" w:hAnsi="Times New Roman"/>
              <w:sz w:val="24"/>
              <w:szCs w:val="24"/>
            </w:rPr>
            <w:t>.</w:t>
          </w:r>
        </w:p>
        <w:p w14:paraId="0A469291" w14:textId="77777777" w:rsidR="00C5392C" w:rsidRPr="00931DCE" w:rsidRDefault="00C5392C" w:rsidP="00C5392C">
          <w:pPr>
            <w:spacing w:after="0" w:line="240" w:lineRule="auto"/>
            <w:jc w:val="both"/>
            <w:rPr>
              <w:rFonts w:ascii="Times New Roman" w:hAnsi="Times New Roman"/>
              <w:sz w:val="24"/>
              <w:szCs w:val="24"/>
            </w:rPr>
          </w:pPr>
        </w:p>
        <w:p w14:paraId="2BC3F040" w14:textId="6F8DD46B" w:rsidR="007B5635" w:rsidRPr="00931DCE" w:rsidRDefault="00C5392C" w:rsidP="00C5392C">
          <w:pPr>
            <w:spacing w:after="0" w:line="240" w:lineRule="auto"/>
            <w:jc w:val="both"/>
            <w:rPr>
              <w:rFonts w:ascii="Times New Roman" w:hAnsi="Times New Roman"/>
              <w:sz w:val="24"/>
              <w:szCs w:val="24"/>
            </w:rPr>
          </w:pPr>
          <w:r w:rsidRPr="00931DCE">
            <w:rPr>
              <w:rFonts w:ascii="Times New Roman" w:hAnsi="Times New Roman"/>
              <w:sz w:val="24"/>
              <w:szCs w:val="24"/>
            </w:rPr>
            <w:t xml:space="preserve">En </w:t>
          </w:r>
          <w:r w:rsidR="007B5635" w:rsidRPr="00931DCE">
            <w:rPr>
              <w:rFonts w:ascii="Times New Roman" w:hAnsi="Times New Roman"/>
              <w:i/>
              <w:iCs/>
              <w:sz w:val="24"/>
              <w:szCs w:val="24"/>
            </w:rPr>
            <w:t>Proyectos de inversión</w:t>
          </w:r>
          <w:r w:rsidR="007B5635" w:rsidRPr="00931DCE">
            <w:rPr>
              <w:rFonts w:ascii="Times New Roman" w:hAnsi="Times New Roman"/>
              <w:sz w:val="24"/>
              <w:szCs w:val="24"/>
            </w:rPr>
            <w:t xml:space="preserve"> por valor de $</w:t>
          </w:r>
          <w:r w:rsidR="00CD63D3">
            <w:rPr>
              <w:rFonts w:ascii="Times New Roman" w:hAnsi="Times New Roman"/>
              <w:sz w:val="24"/>
              <w:szCs w:val="24"/>
            </w:rPr>
            <w:t>31.558.81</w:t>
          </w:r>
          <w:r w:rsidR="00AB5B21">
            <w:rPr>
              <w:rFonts w:ascii="Times New Roman" w:hAnsi="Times New Roman"/>
              <w:sz w:val="24"/>
              <w:szCs w:val="24"/>
            </w:rPr>
            <w:t>8</w:t>
          </w:r>
          <w:r w:rsidR="00CD63D3">
            <w:rPr>
              <w:rFonts w:ascii="Times New Roman" w:hAnsi="Times New Roman"/>
              <w:sz w:val="24"/>
              <w:szCs w:val="24"/>
            </w:rPr>
            <w:t>.56</w:t>
          </w:r>
          <w:r w:rsidR="00997EE9">
            <w:rPr>
              <w:rFonts w:ascii="Times New Roman" w:hAnsi="Times New Roman"/>
              <w:sz w:val="24"/>
              <w:szCs w:val="24"/>
            </w:rPr>
            <w:t>2</w:t>
          </w:r>
          <w:r w:rsidR="007B5635" w:rsidRPr="00931DCE">
            <w:rPr>
              <w:rFonts w:ascii="Times New Roman" w:hAnsi="Times New Roman"/>
              <w:sz w:val="24"/>
              <w:szCs w:val="24"/>
            </w:rPr>
            <w:t xml:space="preserve">, correspondientes al registro de las obligaciones contractuales adquiridas y pendientes de pago a 31 de diciembre de </w:t>
          </w:r>
          <w:r w:rsidR="00EF6E05" w:rsidRPr="00931DCE">
            <w:rPr>
              <w:rFonts w:ascii="Times New Roman" w:hAnsi="Times New Roman"/>
              <w:sz w:val="24"/>
              <w:szCs w:val="24"/>
            </w:rPr>
            <w:t>202</w:t>
          </w:r>
          <w:r w:rsidR="003A1600">
            <w:rPr>
              <w:rFonts w:ascii="Times New Roman" w:hAnsi="Times New Roman"/>
              <w:sz w:val="24"/>
              <w:szCs w:val="24"/>
            </w:rPr>
            <w:t>3</w:t>
          </w:r>
          <w:r w:rsidR="007B5635" w:rsidRPr="00931DCE">
            <w:rPr>
              <w:rFonts w:ascii="Times New Roman" w:hAnsi="Times New Roman"/>
              <w:sz w:val="24"/>
              <w:szCs w:val="24"/>
            </w:rPr>
            <w:t xml:space="preserve">, entre las que están: </w:t>
          </w:r>
          <w:r w:rsidR="007B5635" w:rsidRPr="007B51D4">
            <w:rPr>
              <w:rFonts w:ascii="Times New Roman" w:hAnsi="Times New Roman"/>
              <w:sz w:val="24"/>
              <w:szCs w:val="24"/>
            </w:rPr>
            <w:t xml:space="preserve">1) honorarios asociados a contratos de prestación de servicios; 2) </w:t>
          </w:r>
          <w:r w:rsidR="007F7F62" w:rsidRPr="007B51D4">
            <w:rPr>
              <w:rFonts w:ascii="Times New Roman" w:hAnsi="Times New Roman"/>
              <w:sz w:val="24"/>
              <w:szCs w:val="24"/>
            </w:rPr>
            <w:t>actividades de mantenimiento, conservación y mejoramiento de la infraestructura</w:t>
          </w:r>
          <w:r w:rsidR="0096017F" w:rsidRPr="007B51D4">
            <w:rPr>
              <w:rFonts w:ascii="Times New Roman" w:hAnsi="Times New Roman"/>
              <w:sz w:val="24"/>
              <w:szCs w:val="24"/>
            </w:rPr>
            <w:t xml:space="preserve">; </w:t>
          </w:r>
          <w:r w:rsidR="007B5635" w:rsidRPr="007B51D4">
            <w:rPr>
              <w:rFonts w:ascii="Times New Roman" w:hAnsi="Times New Roman"/>
              <w:sz w:val="24"/>
              <w:szCs w:val="24"/>
            </w:rPr>
            <w:t xml:space="preserve">3) </w:t>
          </w:r>
          <w:r w:rsidR="005D7398" w:rsidRPr="007B51D4">
            <w:rPr>
              <w:rFonts w:ascii="Times New Roman" w:hAnsi="Times New Roman"/>
              <w:sz w:val="24"/>
              <w:szCs w:val="24"/>
            </w:rPr>
            <w:t>interventorías</w:t>
          </w:r>
          <w:r w:rsidR="007B51D4" w:rsidRPr="007B51D4">
            <w:rPr>
              <w:rFonts w:ascii="Times New Roman" w:hAnsi="Times New Roman"/>
              <w:sz w:val="24"/>
              <w:szCs w:val="24"/>
            </w:rPr>
            <w:t xml:space="preserve"> </w:t>
          </w:r>
          <w:r w:rsidR="005D7398" w:rsidRPr="007B51D4">
            <w:rPr>
              <w:rFonts w:ascii="Times New Roman" w:hAnsi="Times New Roman"/>
              <w:sz w:val="24"/>
              <w:szCs w:val="24"/>
            </w:rPr>
            <w:t xml:space="preserve">y </w:t>
          </w:r>
          <w:r w:rsidR="007B5635" w:rsidRPr="007B51D4">
            <w:rPr>
              <w:rFonts w:ascii="Times New Roman" w:hAnsi="Times New Roman"/>
              <w:sz w:val="24"/>
              <w:szCs w:val="24"/>
            </w:rPr>
            <w:t>consultoría</w:t>
          </w:r>
          <w:r w:rsidR="00D853CA" w:rsidRPr="007B51D4">
            <w:rPr>
              <w:rFonts w:ascii="Times New Roman" w:hAnsi="Times New Roman"/>
              <w:sz w:val="24"/>
              <w:szCs w:val="24"/>
            </w:rPr>
            <w:t>s</w:t>
          </w:r>
          <w:r w:rsidR="007B5635" w:rsidRPr="007B51D4">
            <w:rPr>
              <w:rFonts w:ascii="Times New Roman" w:hAnsi="Times New Roman"/>
              <w:sz w:val="24"/>
              <w:szCs w:val="24"/>
            </w:rPr>
            <w:t xml:space="preserve"> especializada</w:t>
          </w:r>
          <w:r w:rsidR="005D7398" w:rsidRPr="007B51D4">
            <w:rPr>
              <w:rFonts w:ascii="Times New Roman" w:hAnsi="Times New Roman"/>
              <w:sz w:val="24"/>
              <w:szCs w:val="24"/>
            </w:rPr>
            <w:t>s</w:t>
          </w:r>
          <w:r w:rsidR="00901126" w:rsidRPr="007B51D4">
            <w:rPr>
              <w:rFonts w:ascii="Times New Roman" w:hAnsi="Times New Roman"/>
              <w:sz w:val="24"/>
              <w:szCs w:val="24"/>
            </w:rPr>
            <w:t xml:space="preserve">; 4) </w:t>
          </w:r>
          <w:r w:rsidR="00901126">
            <w:rPr>
              <w:rFonts w:ascii="Times New Roman" w:hAnsi="Times New Roman"/>
              <w:sz w:val="24"/>
              <w:szCs w:val="24"/>
            </w:rPr>
            <w:t>a</w:t>
          </w:r>
          <w:r w:rsidR="007A1D08" w:rsidRPr="00DA529D">
            <w:rPr>
              <w:rFonts w:ascii="Times New Roman" w:hAnsi="Times New Roman"/>
              <w:sz w:val="24"/>
              <w:szCs w:val="24"/>
            </w:rPr>
            <w:t>portes estatales por vigencias futuras para los proyectos de concesión</w:t>
          </w:r>
          <w:r w:rsidR="007B5635" w:rsidRPr="007B51D4">
            <w:rPr>
              <w:rFonts w:ascii="Times New Roman" w:hAnsi="Times New Roman"/>
              <w:sz w:val="24"/>
              <w:szCs w:val="24"/>
            </w:rPr>
            <w:t>, entre otros.</w:t>
          </w:r>
        </w:p>
        <w:p w14:paraId="035E4965" w14:textId="77777777" w:rsidR="00C5392C" w:rsidRPr="00931DCE" w:rsidRDefault="00C5392C" w:rsidP="00C5392C">
          <w:pPr>
            <w:spacing w:after="0" w:line="240" w:lineRule="auto"/>
            <w:jc w:val="both"/>
            <w:rPr>
              <w:rFonts w:ascii="Times New Roman" w:hAnsi="Times New Roman"/>
              <w:sz w:val="24"/>
              <w:szCs w:val="24"/>
            </w:rPr>
          </w:pPr>
        </w:p>
        <w:p w14:paraId="16E48285" w14:textId="06268164" w:rsidR="007B5635" w:rsidRPr="00931DCE" w:rsidRDefault="00920C78" w:rsidP="007B5635">
          <w:pPr>
            <w:spacing w:after="0" w:line="240" w:lineRule="auto"/>
            <w:jc w:val="both"/>
            <w:rPr>
              <w:rFonts w:ascii="Times New Roman" w:hAnsi="Times New Roman"/>
              <w:sz w:val="24"/>
              <w:szCs w:val="24"/>
            </w:rPr>
          </w:pPr>
          <w:r>
            <w:rPr>
              <w:rFonts w:ascii="Times New Roman" w:hAnsi="Times New Roman"/>
              <w:sz w:val="24"/>
              <w:szCs w:val="24"/>
            </w:rPr>
            <w:t>La partida más representativa e</w:t>
          </w:r>
          <w:r w:rsidRPr="00305E3E">
            <w:rPr>
              <w:rFonts w:ascii="Times New Roman" w:hAnsi="Times New Roman"/>
              <w:sz w:val="24"/>
              <w:szCs w:val="24"/>
            </w:rPr>
            <w:t xml:space="preserve">n proyectos de inversión </w:t>
          </w:r>
          <w:r>
            <w:rPr>
              <w:rFonts w:ascii="Times New Roman" w:hAnsi="Times New Roman"/>
              <w:sz w:val="24"/>
              <w:szCs w:val="24"/>
            </w:rPr>
            <w:t xml:space="preserve">corresponde a un </w:t>
          </w:r>
          <w:r w:rsidRPr="001B3660">
            <w:rPr>
              <w:rFonts w:ascii="Times New Roman" w:hAnsi="Times New Roman"/>
              <w:sz w:val="24"/>
              <w:szCs w:val="24"/>
            </w:rPr>
            <w:t xml:space="preserve">valor </w:t>
          </w:r>
          <w:r w:rsidRPr="00972B34">
            <w:rPr>
              <w:rFonts w:ascii="Times New Roman" w:hAnsi="Times New Roman"/>
              <w:sz w:val="24"/>
              <w:szCs w:val="24"/>
            </w:rPr>
            <w:t>de $</w:t>
          </w:r>
          <w:r w:rsidR="00DA06D0" w:rsidRPr="009A46BB">
            <w:rPr>
              <w:rFonts w:ascii="Times New Roman" w:hAnsi="Times New Roman"/>
            </w:rPr>
            <w:t xml:space="preserve"> </w:t>
          </w:r>
          <w:r w:rsidR="00DA06D0" w:rsidRPr="00DA06D0">
            <w:rPr>
              <w:rFonts w:ascii="Times New Roman" w:hAnsi="Times New Roman"/>
              <w:sz w:val="24"/>
              <w:szCs w:val="24"/>
            </w:rPr>
            <w:t>10</w:t>
          </w:r>
          <w:r w:rsidR="00C90E9F">
            <w:rPr>
              <w:rFonts w:ascii="Times New Roman" w:hAnsi="Times New Roman"/>
              <w:sz w:val="24"/>
              <w:szCs w:val="24"/>
            </w:rPr>
            <w:t>.</w:t>
          </w:r>
          <w:r w:rsidR="00DA06D0" w:rsidRPr="00DA06D0">
            <w:rPr>
              <w:rFonts w:ascii="Times New Roman" w:hAnsi="Times New Roman"/>
              <w:sz w:val="24"/>
              <w:szCs w:val="24"/>
            </w:rPr>
            <w:t>892</w:t>
          </w:r>
          <w:r w:rsidR="00C90E9F">
            <w:rPr>
              <w:rFonts w:ascii="Times New Roman" w:hAnsi="Times New Roman"/>
              <w:sz w:val="24"/>
              <w:szCs w:val="24"/>
            </w:rPr>
            <w:t>.</w:t>
          </w:r>
          <w:r w:rsidR="00DA06D0" w:rsidRPr="00DA06D0">
            <w:rPr>
              <w:rFonts w:ascii="Times New Roman" w:hAnsi="Times New Roman"/>
              <w:sz w:val="24"/>
              <w:szCs w:val="24"/>
            </w:rPr>
            <w:t>715</w:t>
          </w:r>
          <w:r w:rsidR="00C90E9F">
            <w:rPr>
              <w:rFonts w:ascii="Times New Roman" w:hAnsi="Times New Roman"/>
              <w:sz w:val="24"/>
              <w:szCs w:val="24"/>
            </w:rPr>
            <w:t>.</w:t>
          </w:r>
          <w:r w:rsidR="00DA06D0" w:rsidRPr="00DA06D0">
            <w:rPr>
              <w:rFonts w:ascii="Times New Roman" w:hAnsi="Times New Roman"/>
              <w:sz w:val="24"/>
              <w:szCs w:val="24"/>
            </w:rPr>
            <w:t>991</w:t>
          </w:r>
          <w:r w:rsidRPr="00972B34">
            <w:rPr>
              <w:rFonts w:ascii="Times New Roman" w:hAnsi="Times New Roman"/>
              <w:sz w:val="24"/>
              <w:szCs w:val="24"/>
            </w:rPr>
            <w:t xml:space="preserve">, que corresponde </w:t>
          </w:r>
          <w:r w:rsidR="002A173A">
            <w:rPr>
              <w:rFonts w:ascii="Times New Roman" w:hAnsi="Times New Roman"/>
              <w:sz w:val="24"/>
              <w:szCs w:val="24"/>
            </w:rPr>
            <w:t>al valor del capital de</w:t>
          </w:r>
          <w:r w:rsidRPr="00972B34">
            <w:rPr>
              <w:rFonts w:ascii="Times New Roman" w:hAnsi="Times New Roman"/>
              <w:sz w:val="24"/>
              <w:szCs w:val="24"/>
            </w:rPr>
            <w:t xml:space="preserve"> la deuda reconocida a favor</w:t>
          </w:r>
          <w:r w:rsidRPr="00890013">
            <w:rPr>
              <w:rFonts w:ascii="Times New Roman" w:hAnsi="Times New Roman"/>
              <w:sz w:val="24"/>
              <w:szCs w:val="24"/>
            </w:rPr>
            <w:t xml:space="preserve"> de la CONCESIONARIA VIAL DE LOS ANDES S.A. COVIANDES S.A., del proyecto Vial Bogotá Villavicencio, correspondiente a los Diseños Etapa 4 (Sector 1A), de acuerdo con el</w:t>
          </w:r>
          <w:r>
            <w:rPr>
              <w:rFonts w:ascii="Times New Roman" w:hAnsi="Times New Roman"/>
              <w:sz w:val="24"/>
              <w:szCs w:val="24"/>
            </w:rPr>
            <w:t xml:space="preserve"> </w:t>
          </w:r>
          <w:r w:rsidRPr="00890013">
            <w:rPr>
              <w:rFonts w:ascii="Times New Roman" w:hAnsi="Times New Roman"/>
              <w:sz w:val="24"/>
              <w:szCs w:val="24"/>
            </w:rPr>
            <w:t xml:space="preserve">Acta de finalización </w:t>
          </w:r>
          <w:r>
            <w:rPr>
              <w:rFonts w:ascii="Times New Roman" w:hAnsi="Times New Roman"/>
              <w:sz w:val="24"/>
              <w:szCs w:val="24"/>
            </w:rPr>
            <w:t xml:space="preserve">de </w:t>
          </w:r>
          <w:r w:rsidRPr="00890013">
            <w:rPr>
              <w:rFonts w:ascii="Times New Roman" w:hAnsi="Times New Roman"/>
              <w:sz w:val="24"/>
              <w:szCs w:val="24"/>
            </w:rPr>
            <w:t xml:space="preserve">obra del 01 de noviembre de 2017 y Diseños Etapa 6A (Puente La Quiña), </w:t>
          </w:r>
          <w:r>
            <w:rPr>
              <w:rFonts w:ascii="Times New Roman" w:hAnsi="Times New Roman"/>
              <w:sz w:val="24"/>
              <w:szCs w:val="24"/>
            </w:rPr>
            <w:t>con el A</w:t>
          </w:r>
          <w:r w:rsidRPr="00890013">
            <w:rPr>
              <w:rFonts w:ascii="Times New Roman" w:hAnsi="Times New Roman"/>
              <w:sz w:val="24"/>
              <w:szCs w:val="24"/>
            </w:rPr>
            <w:t>cta de finalización de obra del 23 de abril del 2018</w:t>
          </w:r>
          <w:r>
            <w:rPr>
              <w:rFonts w:ascii="Times New Roman" w:hAnsi="Times New Roman"/>
              <w:sz w:val="24"/>
              <w:szCs w:val="24"/>
            </w:rPr>
            <w:t>.</w:t>
          </w:r>
        </w:p>
        <w:p w14:paraId="77F39C9C" w14:textId="70804FB5" w:rsidR="007B5635" w:rsidRPr="00931DCE" w:rsidRDefault="007B5635" w:rsidP="007B5635">
          <w:pPr>
            <w:spacing w:after="0" w:line="240" w:lineRule="auto"/>
            <w:jc w:val="both"/>
            <w:rPr>
              <w:rFonts w:ascii="Times New Roman" w:hAnsi="Times New Roman"/>
              <w:sz w:val="24"/>
              <w:szCs w:val="24"/>
            </w:rPr>
          </w:pPr>
        </w:p>
        <w:p w14:paraId="31EE0CF6" w14:textId="71F5061B" w:rsidR="00B8096C" w:rsidRDefault="00B8096C" w:rsidP="00B8096C">
          <w:pPr>
            <w:jc w:val="both"/>
            <w:rPr>
              <w:rFonts w:ascii="Times New Roman" w:hAnsi="Times New Roman"/>
              <w:sz w:val="24"/>
              <w:szCs w:val="24"/>
            </w:rPr>
          </w:pPr>
          <w:r w:rsidRPr="7C752056">
            <w:rPr>
              <w:rFonts w:ascii="Times New Roman" w:hAnsi="Times New Roman"/>
              <w:sz w:val="24"/>
              <w:szCs w:val="24"/>
            </w:rPr>
            <w:t xml:space="preserve">Los intereses corrientes de esta deuda se encuentran registrados en el código contable 246092001-Intereses de laudos arbitrales y conciliaciones extrajudiciales, así: </w:t>
          </w:r>
        </w:p>
        <w:p w14:paraId="1473F8AF" w14:textId="77777777" w:rsidR="00B8096C" w:rsidRPr="002A57DF" w:rsidRDefault="00B8096C" w:rsidP="00E60BAB">
          <w:pPr>
            <w:pStyle w:val="Prrafodelista"/>
            <w:numPr>
              <w:ilvl w:val="0"/>
              <w:numId w:val="55"/>
            </w:numPr>
            <w:autoSpaceDE w:val="0"/>
            <w:autoSpaceDN w:val="0"/>
            <w:adjustRightInd w:val="0"/>
            <w:spacing w:after="0" w:line="240" w:lineRule="auto"/>
            <w:jc w:val="both"/>
            <w:rPr>
              <w:rFonts w:ascii="Times New Roman" w:eastAsiaTheme="minorEastAsia" w:hAnsi="Times New Roman"/>
              <w:sz w:val="24"/>
              <w:szCs w:val="24"/>
              <w14:ligatures w14:val="standardContextual"/>
            </w:rPr>
          </w:pPr>
          <w:r>
            <w:rPr>
              <w:rFonts w:ascii="Times New Roman" w:hAnsi="Times New Roman"/>
              <w:sz w:val="24"/>
              <w:szCs w:val="24"/>
              <w:lang w:eastAsia="es-CO"/>
            </w:rPr>
            <w:t xml:space="preserve">Un valor de $5.246.863.902, por concepto de Diseños Etapa 4 (Sector 1A), teniendo en cuenta la decisión del Amigable componedor del 23 de enero de 2015. (El valor de los intereses de esta deuda se revela en la </w:t>
          </w:r>
          <w:r w:rsidRPr="7C752056">
            <w:rPr>
              <w:rFonts w:ascii="Times New Roman" w:eastAsiaTheme="minorEastAsia" w:hAnsi="Times New Roman"/>
              <w:sz w:val="24"/>
              <w:szCs w:val="24"/>
              <w14:ligatures w14:val="standardContextual"/>
            </w:rPr>
            <w:t>NOTA 21. CUENTAS POR PAGAR – 21.1.5. Créditos judiciales- Laudos arbitrales y conciliaciones extrajudiciales e intereses)</w:t>
          </w:r>
        </w:p>
        <w:p w14:paraId="401817B5" w14:textId="77777777" w:rsidR="00B8096C" w:rsidRPr="002A57DF" w:rsidRDefault="00B8096C" w:rsidP="00E60BAB">
          <w:pPr>
            <w:pStyle w:val="Prrafodelista"/>
            <w:numPr>
              <w:ilvl w:val="0"/>
              <w:numId w:val="55"/>
            </w:numPr>
            <w:autoSpaceDE w:val="0"/>
            <w:autoSpaceDN w:val="0"/>
            <w:adjustRightInd w:val="0"/>
            <w:spacing w:after="0" w:line="240" w:lineRule="auto"/>
            <w:jc w:val="both"/>
            <w:rPr>
              <w:rFonts w:ascii="Times New Roman" w:eastAsiaTheme="minorEastAsia" w:hAnsi="Times New Roman"/>
              <w:sz w:val="24"/>
              <w:szCs w:val="24"/>
              <w14:ligatures w14:val="standardContextual"/>
            </w:rPr>
          </w:pPr>
          <w:r>
            <w:rPr>
              <w:rFonts w:ascii="Times New Roman" w:hAnsi="Times New Roman"/>
              <w:sz w:val="24"/>
              <w:szCs w:val="24"/>
              <w:lang w:eastAsia="es-CO"/>
            </w:rPr>
            <w:t>Un valor de $1.254.477.</w:t>
          </w:r>
          <w:r w:rsidRPr="007B169E">
            <w:rPr>
              <w:rFonts w:ascii="Times New Roman" w:hAnsi="Times New Roman"/>
              <w:sz w:val="24"/>
              <w:szCs w:val="24"/>
              <w:lang w:eastAsia="es-CO"/>
            </w:rPr>
            <w:t>076,</w:t>
          </w:r>
          <w:r>
            <w:rPr>
              <w:rFonts w:ascii="Times New Roman" w:hAnsi="Times New Roman"/>
              <w:sz w:val="24"/>
              <w:szCs w:val="24"/>
              <w:lang w:eastAsia="es-CO"/>
            </w:rPr>
            <w:t xml:space="preserve"> por concepto de Diseños Etapa 6A (Puente la Quiña)</w:t>
          </w:r>
          <w:r>
            <w:rPr>
              <w:rFonts w:ascii="Times New Roman" w:hAnsi="Times New Roman"/>
              <w:sz w:val="24"/>
              <w:szCs w:val="24"/>
            </w:rPr>
            <w:t xml:space="preserve">, </w:t>
          </w:r>
          <w:r>
            <w:rPr>
              <w:rFonts w:ascii="Times New Roman" w:hAnsi="Times New Roman"/>
              <w:sz w:val="24"/>
              <w:szCs w:val="24"/>
              <w:lang w:eastAsia="es-CO"/>
            </w:rPr>
            <w:t xml:space="preserve">teniendo en cuenta la decisión del Amigable componedor del 23 de enero de 2015. (El valor de los intereses de esta deuda se revela en la </w:t>
          </w:r>
          <w:r w:rsidRPr="7C752056">
            <w:rPr>
              <w:rFonts w:ascii="Times New Roman" w:eastAsiaTheme="minorEastAsia" w:hAnsi="Times New Roman"/>
              <w:sz w:val="24"/>
              <w:szCs w:val="24"/>
              <w14:ligatures w14:val="standardContextual"/>
            </w:rPr>
            <w:t>NOTA 21. CUENTAS POR PAGAR – 21.1.5. Créditos judiciales- Laudos arbitrales y conciliaciones extrajudiciales e intereses)</w:t>
          </w:r>
        </w:p>
        <w:p w14:paraId="77525530" w14:textId="08DED0B2" w:rsidR="00B8096C" w:rsidRPr="00931DCE" w:rsidRDefault="00B8096C" w:rsidP="00B8096C">
          <w:pPr>
            <w:ind w:left="708" w:hanging="708"/>
            <w:jc w:val="both"/>
            <w:rPr>
              <w:rFonts w:ascii="Times New Roman" w:hAnsi="Times New Roman"/>
              <w:sz w:val="24"/>
              <w:szCs w:val="24"/>
            </w:rPr>
          </w:pPr>
        </w:p>
        <w:p w14:paraId="2C9B1BDC" w14:textId="6A9550B7" w:rsidR="00F45149" w:rsidRPr="00931DCE" w:rsidRDefault="00F45149" w:rsidP="00F45149">
          <w:pPr>
            <w:spacing w:after="0" w:line="240" w:lineRule="auto"/>
            <w:jc w:val="both"/>
            <w:rPr>
              <w:rFonts w:ascii="Times New Roman" w:hAnsi="Times New Roman"/>
              <w:sz w:val="24"/>
              <w:szCs w:val="24"/>
            </w:rPr>
          </w:pPr>
          <w:r w:rsidRPr="00931DCE">
            <w:rPr>
              <w:rFonts w:ascii="Times New Roman" w:hAnsi="Times New Roman"/>
              <w:sz w:val="24"/>
              <w:szCs w:val="24"/>
            </w:rPr>
            <w:lastRenderedPageBreak/>
            <w:t xml:space="preserve">A continuación, se detallan las condiciones de esta cuenta por pagar:  </w:t>
          </w:r>
        </w:p>
        <w:p w14:paraId="6FB32D39" w14:textId="0E4AA37D" w:rsidR="00F45149" w:rsidRPr="00931DCE" w:rsidRDefault="00F45149" w:rsidP="1676A090">
          <w:pPr>
            <w:spacing w:after="0" w:line="240" w:lineRule="auto"/>
            <w:jc w:val="both"/>
            <w:rPr>
              <w:rFonts w:ascii="Times New Roman" w:hAnsi="Times New Roman"/>
              <w:sz w:val="24"/>
              <w:szCs w:val="24"/>
            </w:rPr>
          </w:pPr>
        </w:p>
        <w:tbl>
          <w:tblPr>
            <w:tblW w:w="8969" w:type="dxa"/>
            <w:tblLayout w:type="fixed"/>
            <w:tblLook w:val="04A0" w:firstRow="1" w:lastRow="0" w:firstColumn="1" w:lastColumn="0" w:noHBand="0" w:noVBand="1"/>
          </w:tblPr>
          <w:tblGrid>
            <w:gridCol w:w="670"/>
            <w:gridCol w:w="1150"/>
            <w:gridCol w:w="897"/>
            <w:gridCol w:w="380"/>
            <w:gridCol w:w="425"/>
            <w:gridCol w:w="1753"/>
            <w:gridCol w:w="546"/>
            <w:gridCol w:w="2299"/>
            <w:gridCol w:w="849"/>
          </w:tblGrid>
          <w:tr w:rsidR="1676A090" w14:paraId="65BE55BD" w14:textId="77777777" w:rsidTr="00515E7E">
            <w:trPr>
              <w:trHeight w:val="630"/>
            </w:trPr>
            <w:tc>
              <w:tcPr>
                <w:tcW w:w="2717" w:type="dxa"/>
                <w:gridSpan w:val="3"/>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127689C1" w14:textId="1B8064B7" w:rsidR="1676A090" w:rsidRDefault="1676A090" w:rsidP="1676A090">
                <w:pPr>
                  <w:spacing w:after="0"/>
                  <w:ind w:left="-20" w:right="-20"/>
                  <w:jc w:val="center"/>
                </w:pPr>
                <w:r w:rsidRPr="1676A090">
                  <w:rPr>
                    <w:rFonts w:ascii="Times New Roman" w:eastAsia="Times New Roman" w:hAnsi="Times New Roman"/>
                    <w:b/>
                    <w:bCs/>
                    <w:color w:val="000000" w:themeColor="text1"/>
                    <w:sz w:val="12"/>
                    <w:szCs w:val="12"/>
                  </w:rPr>
                  <w:t>ASOCIACIÓN DE DATOS</w:t>
                </w:r>
              </w:p>
            </w:tc>
            <w:tc>
              <w:tcPr>
                <w:tcW w:w="3104" w:type="dxa"/>
                <w:gridSpan w:val="4"/>
                <w:tcBorders>
                  <w:top w:val="single" w:sz="8" w:space="0" w:color="A6A6A6" w:themeColor="background1" w:themeShade="A6"/>
                  <w:left w:val="nil"/>
                  <w:bottom w:val="single" w:sz="8" w:space="0" w:color="A6A6A6" w:themeColor="background1" w:themeShade="A6"/>
                  <w:right w:val="nil"/>
                </w:tcBorders>
                <w:tcMar>
                  <w:left w:w="70" w:type="dxa"/>
                  <w:right w:w="70" w:type="dxa"/>
                </w:tcMar>
                <w:vAlign w:val="center"/>
              </w:tcPr>
              <w:p w14:paraId="100931E8" w14:textId="37AB63F5" w:rsidR="1676A090" w:rsidRDefault="1676A090" w:rsidP="1676A090">
                <w:pPr>
                  <w:spacing w:after="0"/>
                  <w:ind w:left="-20" w:right="-20"/>
                  <w:jc w:val="center"/>
                </w:pPr>
                <w:r w:rsidRPr="1676A090">
                  <w:rPr>
                    <w:rFonts w:ascii="Times New Roman" w:eastAsia="Times New Roman" w:hAnsi="Times New Roman"/>
                    <w:b/>
                    <w:bCs/>
                    <w:color w:val="000000" w:themeColor="text1"/>
                    <w:sz w:val="12"/>
                    <w:szCs w:val="12"/>
                  </w:rPr>
                  <w:t>DETALLES DE LA TRANSACCIÓN</w:t>
                </w:r>
                <w:r>
                  <w:br/>
                </w:r>
                <w:r w:rsidRPr="1676A090">
                  <w:rPr>
                    <w:rFonts w:ascii="Times New Roman" w:eastAsia="Times New Roman" w:hAnsi="Times New Roman"/>
                    <w:b/>
                    <w:bCs/>
                    <w:color w:val="000000" w:themeColor="text1"/>
                    <w:sz w:val="12"/>
                    <w:szCs w:val="12"/>
                  </w:rPr>
                  <w:t xml:space="preserve"> (reporte agrupado por datos comunes de asociación)</w:t>
                </w:r>
              </w:p>
            </w:tc>
            <w:tc>
              <w:tcPr>
                <w:tcW w:w="3148" w:type="dxa"/>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1BB15BF9" w14:textId="474ED64E" w:rsidR="1676A090" w:rsidRDefault="1676A090" w:rsidP="1676A090">
                <w:pPr>
                  <w:spacing w:after="0"/>
                  <w:ind w:left="-20" w:right="-20"/>
                  <w:jc w:val="center"/>
                </w:pPr>
                <w:r w:rsidRPr="1676A090">
                  <w:rPr>
                    <w:rFonts w:ascii="Times New Roman" w:eastAsia="Times New Roman" w:hAnsi="Times New Roman"/>
                    <w:b/>
                    <w:bCs/>
                    <w:color w:val="000000" w:themeColor="text1"/>
                    <w:sz w:val="12"/>
                    <w:szCs w:val="12"/>
                  </w:rPr>
                  <w:t>SEGUIMIENTO A INCUMPLIMIENTOS E INFRACCIONES</w:t>
                </w:r>
              </w:p>
            </w:tc>
          </w:tr>
          <w:tr w:rsidR="1676A090" w14:paraId="6E98CD4D" w14:textId="77777777" w:rsidTr="00515E7E">
            <w:trPr>
              <w:trHeight w:val="570"/>
            </w:trPr>
            <w:tc>
              <w:tcPr>
                <w:tcW w:w="2717" w:type="dxa"/>
                <w:gridSpan w:val="3"/>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Mar>
                  <w:left w:w="70" w:type="dxa"/>
                  <w:right w:w="70" w:type="dxa"/>
                </w:tcMar>
                <w:vAlign w:val="center"/>
              </w:tcPr>
              <w:p w14:paraId="7A61A1B4" w14:textId="77777777" w:rsidR="005456E3" w:rsidRDefault="005456E3"/>
            </w:tc>
            <w:tc>
              <w:tcPr>
                <w:tcW w:w="805" w:type="dxa"/>
                <w:gridSpan w:val="2"/>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Mar>
                  <w:left w:w="70" w:type="dxa"/>
                  <w:right w:w="70" w:type="dxa"/>
                </w:tcMar>
                <w:vAlign w:val="center"/>
              </w:tcPr>
              <w:p w14:paraId="16D25616" w14:textId="756817CD" w:rsidR="1676A090" w:rsidRDefault="1676A090" w:rsidP="1676A090">
                <w:pPr>
                  <w:spacing w:after="0"/>
                  <w:ind w:left="-20" w:right="-20"/>
                  <w:jc w:val="center"/>
                </w:pPr>
                <w:r w:rsidRPr="1676A090">
                  <w:rPr>
                    <w:rFonts w:ascii="Times New Roman" w:eastAsia="Times New Roman" w:hAnsi="Times New Roman"/>
                    <w:b/>
                    <w:bCs/>
                    <w:color w:val="000000" w:themeColor="text1"/>
                    <w:sz w:val="12"/>
                    <w:szCs w:val="12"/>
                  </w:rPr>
                  <w:t>PLAZO</w:t>
                </w:r>
                <w:r>
                  <w:br/>
                </w:r>
                <w:r w:rsidRPr="1676A090">
                  <w:rPr>
                    <w:rFonts w:ascii="Times New Roman" w:eastAsia="Times New Roman" w:hAnsi="Times New Roman"/>
                    <w:b/>
                    <w:bCs/>
                    <w:color w:val="000000" w:themeColor="text1"/>
                    <w:sz w:val="12"/>
                    <w:szCs w:val="12"/>
                  </w:rPr>
                  <w:t xml:space="preserve"> (rango en # meses)</w:t>
                </w:r>
              </w:p>
            </w:tc>
            <w:tc>
              <w:tcPr>
                <w:tcW w:w="1753" w:type="dxa"/>
                <w:tcBorders>
                  <w:top w:val="nil"/>
                  <w:left w:val="nil"/>
                  <w:bottom w:val="single" w:sz="8" w:space="0" w:color="A6A6A6" w:themeColor="background1" w:themeShade="A6"/>
                  <w:right w:val="single" w:sz="8" w:space="0" w:color="A6A6A6" w:themeColor="background1" w:themeShade="A6"/>
                </w:tcBorders>
                <w:tcMar>
                  <w:left w:w="70" w:type="dxa"/>
                  <w:right w:w="70" w:type="dxa"/>
                </w:tcMar>
                <w:vAlign w:val="center"/>
              </w:tcPr>
              <w:p w14:paraId="7DEFC766" w14:textId="1EAC068E" w:rsidR="1676A090" w:rsidRDefault="1676A090" w:rsidP="1676A090">
                <w:pPr>
                  <w:spacing w:after="0"/>
                  <w:ind w:left="-20" w:right="-20"/>
                  <w:jc w:val="center"/>
                </w:pPr>
                <w:r w:rsidRPr="1676A090">
                  <w:rPr>
                    <w:rFonts w:ascii="Times New Roman" w:eastAsia="Times New Roman" w:hAnsi="Times New Roman"/>
                    <w:b/>
                    <w:bCs/>
                    <w:color w:val="000000" w:themeColor="text1"/>
                    <w:sz w:val="12"/>
                    <w:szCs w:val="12"/>
                  </w:rPr>
                  <w:t>DETALLE DE LAS CONDICIONES DE LA CUENTA POR PAGAR</w:t>
                </w:r>
              </w:p>
            </w:tc>
            <w:tc>
              <w:tcPr>
                <w:tcW w:w="546"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1974F57" w14:textId="609E064C" w:rsidR="1676A090" w:rsidRDefault="1676A090" w:rsidP="1676A090">
                <w:pPr>
                  <w:spacing w:after="0"/>
                  <w:ind w:left="-20" w:right="-20"/>
                  <w:jc w:val="center"/>
                </w:pPr>
                <w:r w:rsidRPr="1676A090">
                  <w:rPr>
                    <w:rFonts w:ascii="Times New Roman" w:eastAsia="Times New Roman" w:hAnsi="Times New Roman"/>
                    <w:b/>
                    <w:bCs/>
                    <w:color w:val="000000" w:themeColor="text1"/>
                    <w:sz w:val="12"/>
                    <w:szCs w:val="12"/>
                  </w:rPr>
                  <w:t>TASA DE INTERES</w:t>
                </w:r>
                <w:r>
                  <w:br/>
                </w:r>
                <w:r w:rsidRPr="1676A090">
                  <w:rPr>
                    <w:rFonts w:ascii="Times New Roman" w:eastAsia="Times New Roman" w:hAnsi="Times New Roman"/>
                    <w:b/>
                    <w:bCs/>
                    <w:color w:val="000000" w:themeColor="text1"/>
                    <w:sz w:val="12"/>
                    <w:szCs w:val="12"/>
                  </w:rPr>
                  <w:t xml:space="preserve"> (%)</w:t>
                </w:r>
              </w:p>
            </w:tc>
            <w:tc>
              <w:tcPr>
                <w:tcW w:w="229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41CDE63" w14:textId="593B53D9" w:rsidR="1676A090" w:rsidRDefault="1676A090" w:rsidP="1676A090">
                <w:pPr>
                  <w:spacing w:after="0"/>
                  <w:ind w:left="-20" w:right="-20"/>
                  <w:jc w:val="center"/>
                </w:pPr>
                <w:r w:rsidRPr="1676A090">
                  <w:rPr>
                    <w:rFonts w:ascii="Times New Roman" w:eastAsia="Times New Roman" w:hAnsi="Times New Roman"/>
                    <w:b/>
                    <w:bCs/>
                    <w:color w:val="000000" w:themeColor="text1"/>
                    <w:sz w:val="12"/>
                    <w:szCs w:val="12"/>
                  </w:rPr>
                  <w:t>DETALLE DEL INCUMPLIMIENTO O INFRACCIÓN</w:t>
                </w:r>
              </w:p>
            </w:tc>
            <w:tc>
              <w:tcPr>
                <w:tcW w:w="849"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1D955E4D" w14:textId="4A58D137" w:rsidR="1676A090" w:rsidRDefault="1676A090" w:rsidP="1676A090">
                <w:pPr>
                  <w:spacing w:after="0"/>
                  <w:ind w:left="-20" w:right="-20"/>
                  <w:jc w:val="center"/>
                </w:pPr>
                <w:r w:rsidRPr="1676A090">
                  <w:rPr>
                    <w:rFonts w:ascii="Times New Roman" w:eastAsia="Times New Roman" w:hAnsi="Times New Roman"/>
                    <w:b/>
                    <w:bCs/>
                    <w:color w:val="000000" w:themeColor="text1"/>
                    <w:sz w:val="12"/>
                    <w:szCs w:val="12"/>
                  </w:rPr>
                  <w:t>¿Se presenta renegociación o corrección?</w:t>
                </w:r>
              </w:p>
            </w:tc>
          </w:tr>
          <w:tr w:rsidR="1676A090" w14:paraId="01084915" w14:textId="77777777" w:rsidTr="00515E7E">
            <w:trPr>
              <w:trHeight w:val="360"/>
            </w:trPr>
            <w:tc>
              <w:tcPr>
                <w:tcW w:w="670" w:type="dxa"/>
                <w:tcBorders>
                  <w:top w:val="nil"/>
                  <w:left w:val="single" w:sz="8" w:space="0" w:color="A6A6A6" w:themeColor="background1" w:themeShade="A6"/>
                  <w:bottom w:val="single" w:sz="8" w:space="0" w:color="auto"/>
                  <w:right w:val="single" w:sz="8" w:space="0" w:color="A6A6A6" w:themeColor="background1" w:themeShade="A6"/>
                </w:tcBorders>
                <w:tcMar>
                  <w:left w:w="70" w:type="dxa"/>
                  <w:right w:w="70" w:type="dxa"/>
                </w:tcMar>
                <w:vAlign w:val="center"/>
              </w:tcPr>
              <w:p w14:paraId="782C302E" w14:textId="606A84A9" w:rsidR="1676A090" w:rsidRDefault="1676A090" w:rsidP="1676A090">
                <w:pPr>
                  <w:spacing w:after="0"/>
                  <w:ind w:left="-20" w:right="-20"/>
                  <w:jc w:val="center"/>
                </w:pPr>
                <w:r w:rsidRPr="1676A090">
                  <w:rPr>
                    <w:rFonts w:ascii="Times New Roman" w:eastAsia="Times New Roman" w:hAnsi="Times New Roman"/>
                    <w:b/>
                    <w:bCs/>
                    <w:color w:val="000000" w:themeColor="text1"/>
                    <w:sz w:val="12"/>
                    <w:szCs w:val="12"/>
                  </w:rPr>
                  <w:t>NIT/CC</w:t>
                </w:r>
              </w:p>
            </w:tc>
            <w:tc>
              <w:tcPr>
                <w:tcW w:w="1150" w:type="dxa"/>
                <w:tcBorders>
                  <w:top w:val="nil"/>
                  <w:left w:val="single" w:sz="8" w:space="0" w:color="A6A6A6" w:themeColor="background1" w:themeShade="A6"/>
                  <w:bottom w:val="single" w:sz="8" w:space="0" w:color="auto"/>
                  <w:right w:val="single" w:sz="8" w:space="0" w:color="A6A6A6" w:themeColor="background1" w:themeShade="A6"/>
                </w:tcBorders>
                <w:tcMar>
                  <w:left w:w="70" w:type="dxa"/>
                  <w:right w:w="70" w:type="dxa"/>
                </w:tcMar>
                <w:vAlign w:val="center"/>
              </w:tcPr>
              <w:p w14:paraId="5B588E32" w14:textId="66EB08FB" w:rsidR="1676A090" w:rsidRDefault="1676A090" w:rsidP="1676A090">
                <w:pPr>
                  <w:spacing w:after="0"/>
                  <w:ind w:left="-20" w:right="-20"/>
                  <w:jc w:val="center"/>
                </w:pPr>
                <w:r w:rsidRPr="1676A090">
                  <w:rPr>
                    <w:rFonts w:ascii="Times New Roman" w:eastAsia="Times New Roman" w:hAnsi="Times New Roman"/>
                    <w:b/>
                    <w:bCs/>
                    <w:color w:val="000000" w:themeColor="text1"/>
                    <w:sz w:val="12"/>
                    <w:szCs w:val="12"/>
                  </w:rPr>
                  <w:t>RAZÓN SOCIAL</w:t>
                </w:r>
              </w:p>
            </w:tc>
            <w:tc>
              <w:tcPr>
                <w:tcW w:w="897" w:type="dxa"/>
                <w:tcBorders>
                  <w:top w:val="nil"/>
                  <w:left w:val="single" w:sz="8" w:space="0" w:color="A6A6A6" w:themeColor="background1" w:themeShade="A6"/>
                  <w:bottom w:val="single" w:sz="8" w:space="0" w:color="auto"/>
                  <w:right w:val="single" w:sz="8" w:space="0" w:color="A6A6A6" w:themeColor="background1" w:themeShade="A6"/>
                </w:tcBorders>
                <w:tcMar>
                  <w:left w:w="70" w:type="dxa"/>
                  <w:right w:w="70" w:type="dxa"/>
                </w:tcMar>
                <w:vAlign w:val="center"/>
              </w:tcPr>
              <w:p w14:paraId="56DDC8F8" w14:textId="19DF27D8" w:rsidR="1676A090" w:rsidRDefault="1676A090" w:rsidP="1676A090">
                <w:pPr>
                  <w:spacing w:after="0"/>
                  <w:ind w:left="-20" w:right="-20"/>
                  <w:jc w:val="center"/>
                </w:pPr>
                <w:r w:rsidRPr="1676A090">
                  <w:rPr>
                    <w:rFonts w:ascii="Times New Roman" w:eastAsia="Times New Roman" w:hAnsi="Times New Roman"/>
                    <w:b/>
                    <w:bCs/>
                    <w:color w:val="000000" w:themeColor="text1"/>
                    <w:sz w:val="12"/>
                    <w:szCs w:val="12"/>
                  </w:rPr>
                  <w:t>VALOR EN LIBROS</w:t>
                </w:r>
              </w:p>
            </w:tc>
            <w:tc>
              <w:tcPr>
                <w:tcW w:w="3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1CB2241" w14:textId="273E12E7" w:rsidR="1676A090" w:rsidRDefault="1676A090" w:rsidP="1676A090">
                <w:pPr>
                  <w:spacing w:after="0"/>
                  <w:ind w:left="-20" w:right="-20"/>
                  <w:jc w:val="center"/>
                </w:pPr>
                <w:r w:rsidRPr="1676A090">
                  <w:rPr>
                    <w:rFonts w:ascii="Times New Roman" w:eastAsia="Times New Roman" w:hAnsi="Times New Roman"/>
                    <w:b/>
                    <w:bCs/>
                    <w:color w:val="000000" w:themeColor="text1"/>
                    <w:sz w:val="12"/>
                    <w:szCs w:val="12"/>
                  </w:rPr>
                  <w:t>MÍN.</w:t>
                </w:r>
              </w:p>
            </w:tc>
            <w:tc>
              <w:tcPr>
                <w:tcW w:w="425"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4D31D1B0" w14:textId="13B6D66E" w:rsidR="1676A090" w:rsidRDefault="1676A090" w:rsidP="1676A090">
                <w:pPr>
                  <w:spacing w:after="0"/>
                  <w:ind w:left="-20" w:right="-20"/>
                  <w:jc w:val="center"/>
                </w:pPr>
                <w:r w:rsidRPr="1676A090">
                  <w:rPr>
                    <w:rFonts w:ascii="Times New Roman" w:eastAsia="Times New Roman" w:hAnsi="Times New Roman"/>
                    <w:b/>
                    <w:bCs/>
                    <w:color w:val="000000" w:themeColor="text1"/>
                    <w:sz w:val="12"/>
                    <w:szCs w:val="12"/>
                  </w:rPr>
                  <w:t>MÁX.</w:t>
                </w:r>
              </w:p>
            </w:tc>
            <w:tc>
              <w:tcPr>
                <w:tcW w:w="1753"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6AC615B6" w14:textId="77777777" w:rsidR="005456E3" w:rsidRDefault="005456E3"/>
            </w:tc>
            <w:tc>
              <w:tcPr>
                <w:tcW w:w="546"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2227509E" w14:textId="77777777" w:rsidR="005456E3" w:rsidRDefault="005456E3"/>
            </w:tc>
            <w:tc>
              <w:tcPr>
                <w:tcW w:w="2299"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47B801AF" w14:textId="77777777" w:rsidR="005456E3" w:rsidRDefault="005456E3"/>
            </w:tc>
            <w:tc>
              <w:tcPr>
                <w:tcW w:w="849"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6E82026" w14:textId="77777777" w:rsidR="005456E3" w:rsidRDefault="005456E3"/>
            </w:tc>
          </w:tr>
          <w:tr w:rsidR="1676A090" w14:paraId="101144FF" w14:textId="77777777" w:rsidTr="00515E7E">
            <w:trPr>
              <w:trHeight w:val="3855"/>
            </w:trPr>
            <w:tc>
              <w:tcPr>
                <w:tcW w:w="670" w:type="dxa"/>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59A3B87D" w14:textId="398CCB0F" w:rsidR="1676A090" w:rsidRDefault="1676A090" w:rsidP="1676A090">
                <w:pPr>
                  <w:spacing w:after="0"/>
                  <w:ind w:left="-20" w:right="-20"/>
                </w:pPr>
                <w:r w:rsidRPr="1676A090">
                  <w:rPr>
                    <w:rFonts w:ascii="Times New Roman" w:eastAsia="Times New Roman" w:hAnsi="Times New Roman"/>
                    <w:color w:val="000000" w:themeColor="text1"/>
                    <w:sz w:val="12"/>
                    <w:szCs w:val="12"/>
                  </w:rPr>
                  <w:t>800235872</w:t>
                </w:r>
              </w:p>
            </w:tc>
            <w:tc>
              <w:tcPr>
                <w:tcW w:w="1150" w:type="dxa"/>
                <w:tcBorders>
                  <w:top w:val="single" w:sz="8" w:space="0" w:color="auto"/>
                  <w:left w:val="single" w:sz="8" w:space="0" w:color="auto"/>
                  <w:bottom w:val="single" w:sz="8" w:space="0" w:color="A6A6A6" w:themeColor="background1" w:themeShade="A6"/>
                  <w:right w:val="single" w:sz="8" w:space="0" w:color="auto"/>
                </w:tcBorders>
                <w:tcMar>
                  <w:left w:w="70" w:type="dxa"/>
                  <w:right w:w="70" w:type="dxa"/>
                </w:tcMar>
                <w:vAlign w:val="center"/>
              </w:tcPr>
              <w:p w14:paraId="2B0D4BE6" w14:textId="447A44F2" w:rsidR="1676A090" w:rsidRDefault="1676A090" w:rsidP="1676A090">
                <w:pPr>
                  <w:spacing w:after="0"/>
                  <w:ind w:left="-20" w:right="-20"/>
                  <w:jc w:val="center"/>
                </w:pPr>
                <w:r w:rsidRPr="1676A090">
                  <w:rPr>
                    <w:rFonts w:ascii="Times New Roman" w:eastAsia="Times New Roman" w:hAnsi="Times New Roman"/>
                    <w:color w:val="000000" w:themeColor="text1"/>
                    <w:sz w:val="12"/>
                    <w:szCs w:val="12"/>
                  </w:rPr>
                  <w:t>CONCESIONARIA VIAL DE LOS ANDES S.A. COVIANDES S.A.</w:t>
                </w:r>
              </w:p>
            </w:tc>
            <w:tc>
              <w:tcPr>
                <w:tcW w:w="897" w:type="dxa"/>
                <w:tcBorders>
                  <w:top w:val="single" w:sz="8" w:space="0" w:color="auto"/>
                  <w:left w:val="single" w:sz="8" w:space="0" w:color="auto"/>
                  <w:bottom w:val="single" w:sz="8" w:space="0" w:color="A6A6A6" w:themeColor="background1" w:themeShade="A6"/>
                  <w:right w:val="single" w:sz="8" w:space="0" w:color="A6A6A6" w:themeColor="background1" w:themeShade="A6"/>
                </w:tcBorders>
                <w:tcMar>
                  <w:left w:w="70" w:type="dxa"/>
                  <w:right w:w="70" w:type="dxa"/>
                </w:tcMar>
                <w:vAlign w:val="center"/>
              </w:tcPr>
              <w:p w14:paraId="6847EDC1" w14:textId="7742096A" w:rsidR="1676A090" w:rsidRDefault="1676A090" w:rsidP="1676A090">
                <w:pPr>
                  <w:spacing w:after="0"/>
                  <w:ind w:left="-20" w:right="-20"/>
                  <w:jc w:val="right"/>
                </w:pPr>
                <w:r w:rsidRPr="1676A090">
                  <w:rPr>
                    <w:rFonts w:ascii="Times New Roman" w:eastAsia="Times New Roman" w:hAnsi="Times New Roman"/>
                    <w:color w:val="000000" w:themeColor="text1"/>
                    <w:sz w:val="12"/>
                    <w:szCs w:val="12"/>
                  </w:rPr>
                  <w:t xml:space="preserve">10.892.715.991 </w:t>
                </w:r>
              </w:p>
            </w:tc>
            <w:tc>
              <w:tcPr>
                <w:tcW w:w="38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53B69C0" w14:textId="686525A2" w:rsidR="1676A090" w:rsidRDefault="1676A090" w:rsidP="1676A090">
                <w:pPr>
                  <w:spacing w:after="0"/>
                  <w:ind w:left="-20" w:right="-20"/>
                  <w:jc w:val="center"/>
                </w:pPr>
                <w:r w:rsidRPr="1676A090">
                  <w:rPr>
                    <w:rFonts w:ascii="Times New Roman" w:eastAsia="Times New Roman" w:hAnsi="Times New Roman"/>
                    <w:color w:val="000000" w:themeColor="text1"/>
                    <w:sz w:val="12"/>
                    <w:szCs w:val="12"/>
                  </w:rPr>
                  <w:t>1</w:t>
                </w:r>
              </w:p>
            </w:tc>
            <w:tc>
              <w:tcPr>
                <w:tcW w:w="42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20BC157" w14:textId="47580A78" w:rsidR="1676A090" w:rsidRDefault="1676A090" w:rsidP="1676A090">
                <w:pPr>
                  <w:spacing w:after="0"/>
                  <w:ind w:left="-20" w:right="-20"/>
                  <w:jc w:val="center"/>
                </w:pPr>
                <w:r w:rsidRPr="1676A090">
                  <w:rPr>
                    <w:rFonts w:ascii="Times New Roman" w:eastAsia="Times New Roman" w:hAnsi="Times New Roman"/>
                    <w:color w:val="000000" w:themeColor="text1"/>
                    <w:sz w:val="12"/>
                    <w:szCs w:val="12"/>
                  </w:rPr>
                  <w:t>1</w:t>
                </w:r>
              </w:p>
            </w:tc>
            <w:tc>
              <w:tcPr>
                <w:tcW w:w="1753" w:type="dxa"/>
                <w:tcBorders>
                  <w:top w:val="nil"/>
                  <w:left w:val="single" w:sz="8" w:space="0" w:color="auto"/>
                  <w:bottom w:val="single" w:sz="8" w:space="0" w:color="auto"/>
                  <w:right w:val="single" w:sz="8" w:space="0" w:color="A6A6A6" w:themeColor="background1" w:themeShade="A6"/>
                </w:tcBorders>
                <w:tcMar>
                  <w:left w:w="70" w:type="dxa"/>
                  <w:right w:w="70" w:type="dxa"/>
                </w:tcMar>
                <w:vAlign w:val="center"/>
              </w:tcPr>
              <w:p w14:paraId="540C9942" w14:textId="4AC7E931" w:rsidR="1676A090" w:rsidRDefault="1676A090" w:rsidP="1676A090">
                <w:pPr>
                  <w:spacing w:after="0"/>
                  <w:ind w:left="-20" w:right="-20"/>
                </w:pPr>
                <w:r w:rsidRPr="1676A090">
                  <w:rPr>
                    <w:rFonts w:ascii="Times New Roman" w:eastAsia="Times New Roman" w:hAnsi="Times New Roman"/>
                    <w:color w:val="000000" w:themeColor="text1"/>
                    <w:sz w:val="12"/>
                    <w:szCs w:val="12"/>
                  </w:rPr>
                  <w:t>La Agencia tenía 30 días calendario para cancelar una cuenta de cobro por obra con su respectiva Acta de finalización que para Diseños Etapa 4 (Sector 1A), fue el 1 de noviembre de 2017, y para Diseños Etapa 6A (Puente La Quiña) fue el 23 de abril del 2018. Finalizado este plazo se reconocerán intereses, según la cuarta decisión del capítulo 8 del trámite de amigable composición de enero de 2015, intereses que se reconocerán hasta que la ANI cumpla con el compromiso de pago.</w:t>
                </w:r>
                <w:r>
                  <w:br/>
                </w:r>
                <w:r w:rsidRPr="1676A090">
                  <w:rPr>
                    <w:rFonts w:ascii="Times New Roman" w:eastAsia="Times New Roman" w:hAnsi="Times New Roman"/>
                    <w:color w:val="000000" w:themeColor="text1"/>
                    <w:sz w:val="12"/>
                    <w:szCs w:val="12"/>
                  </w:rPr>
                  <w:t xml:space="preserve"> </w:t>
                </w:r>
                <w:r>
                  <w:br/>
                </w:r>
                <w:r w:rsidRPr="1676A090">
                  <w:rPr>
                    <w:rFonts w:ascii="Times New Roman" w:eastAsia="Times New Roman" w:hAnsi="Times New Roman"/>
                    <w:color w:val="000000" w:themeColor="text1"/>
                    <w:sz w:val="12"/>
                    <w:szCs w:val="12"/>
                  </w:rPr>
                  <w:t xml:space="preserve">Los intereses se causan 30 días después de la fecha de las actas de finalización de las obras, que para Diseños Etapa 4 (Sector 1A), se materializó la deuda el 1 de diciembre de 2017, por lo tanto se reconocen intereses a partir del 2 de diciembre de 2017, y para Diseños Etapa 6A (Puente La Quiña), se materializó la deuda el 23 de mayo de 2018, por lo tanto se reconocen intereses a partir del 24 de mayo de 2018. </w:t>
                </w:r>
                <w:r>
                  <w:br/>
                </w:r>
                <w:r>
                  <w:br/>
                </w:r>
                <w:r w:rsidRPr="1676A090">
                  <w:rPr>
                    <w:rFonts w:ascii="Times New Roman" w:eastAsia="Times New Roman" w:hAnsi="Times New Roman"/>
                    <w:color w:val="000000" w:themeColor="text1"/>
                    <w:sz w:val="12"/>
                    <w:szCs w:val="12"/>
                  </w:rPr>
                  <w:t>La tasa real anual de interés, según el Adicional No. 1 al contrato de concesión 444 de 1994, es 11,33% EA, que equivale a una tasa diaria real 0,029%.</w:t>
                </w:r>
              </w:p>
            </w:tc>
            <w:tc>
              <w:tcPr>
                <w:tcW w:w="546" w:type="dxa"/>
                <w:tcBorders>
                  <w:top w:val="nil"/>
                  <w:left w:val="single" w:sz="8" w:space="0" w:color="A6A6A6" w:themeColor="background1" w:themeShade="A6"/>
                  <w:bottom w:val="single" w:sz="8" w:space="0" w:color="auto"/>
                  <w:right w:val="single" w:sz="8" w:space="0" w:color="A6A6A6" w:themeColor="background1" w:themeShade="A6"/>
                </w:tcBorders>
                <w:tcMar>
                  <w:left w:w="70" w:type="dxa"/>
                  <w:right w:w="70" w:type="dxa"/>
                </w:tcMar>
                <w:vAlign w:val="center"/>
              </w:tcPr>
              <w:p w14:paraId="2C2502A1" w14:textId="3373A4B1" w:rsidR="1676A090" w:rsidRDefault="1676A090" w:rsidP="1676A090">
                <w:pPr>
                  <w:spacing w:after="0"/>
                  <w:ind w:left="-20" w:right="-20"/>
                  <w:jc w:val="center"/>
                </w:pPr>
                <w:r w:rsidRPr="1676A090">
                  <w:rPr>
                    <w:rFonts w:ascii="Times New Roman" w:eastAsia="Times New Roman" w:hAnsi="Times New Roman"/>
                    <w:color w:val="000000" w:themeColor="text1"/>
                    <w:sz w:val="12"/>
                    <w:szCs w:val="12"/>
                  </w:rPr>
                  <w:t>11,33% EA</w:t>
                </w:r>
              </w:p>
            </w:tc>
            <w:tc>
              <w:tcPr>
                <w:tcW w:w="2299" w:type="dxa"/>
                <w:tcBorders>
                  <w:top w:val="nil"/>
                  <w:left w:val="single" w:sz="8" w:space="0" w:color="A6A6A6" w:themeColor="background1" w:themeShade="A6"/>
                  <w:bottom w:val="single" w:sz="8" w:space="0" w:color="auto"/>
                  <w:right w:val="single" w:sz="8" w:space="0" w:color="A6A6A6" w:themeColor="background1" w:themeShade="A6"/>
                </w:tcBorders>
                <w:tcMar>
                  <w:left w:w="70" w:type="dxa"/>
                  <w:right w:w="70" w:type="dxa"/>
                </w:tcMar>
                <w:vAlign w:val="center"/>
              </w:tcPr>
              <w:p w14:paraId="4FB00E59" w14:textId="251B5C6B" w:rsidR="1676A090" w:rsidRDefault="1676A090" w:rsidP="1676A090">
                <w:pPr>
                  <w:spacing w:after="0"/>
                  <w:ind w:left="-20" w:right="-20"/>
                </w:pPr>
                <w:r w:rsidRPr="1676A090">
                  <w:rPr>
                    <w:rFonts w:ascii="Times New Roman" w:eastAsia="Times New Roman" w:hAnsi="Times New Roman"/>
                    <w:color w:val="000000" w:themeColor="text1"/>
                    <w:sz w:val="12"/>
                    <w:szCs w:val="12"/>
                  </w:rPr>
                  <w:t>La cuenta por pagar al Concesionario, nace como consecuencia del agotamiento de los recursos en el Fondo Contingente denominado “Diseños”, por lo tanto, no se ha cancelado por parte de la Agencia la cuenta de cobro remitida por el Concesionario.</w:t>
                </w:r>
                <w:r>
                  <w:br/>
                </w:r>
                <w:r w:rsidRPr="1676A090">
                  <w:rPr>
                    <w:rFonts w:ascii="Times New Roman" w:eastAsia="Times New Roman" w:hAnsi="Times New Roman"/>
                    <w:color w:val="000000" w:themeColor="text1"/>
                    <w:sz w:val="12"/>
                    <w:szCs w:val="12"/>
                  </w:rPr>
                  <w:t xml:space="preserve"> </w:t>
                </w:r>
                <w:r>
                  <w:br/>
                </w:r>
                <w:r w:rsidRPr="1676A090">
                  <w:rPr>
                    <w:rFonts w:ascii="Times New Roman" w:eastAsia="Times New Roman" w:hAnsi="Times New Roman"/>
                    <w:color w:val="000000" w:themeColor="text1"/>
                    <w:sz w:val="12"/>
                    <w:szCs w:val="12"/>
                  </w:rPr>
                  <w:t>La Agencia Nacional de Infraestructura se encuentra gestionando los diferentes medios alternativos al interior de la misma, con el fin de obtener los recursos necesarios para cumplir con los compromisos anteriormente descritos con presupuesto de la Entidad.</w:t>
                </w:r>
              </w:p>
            </w:tc>
            <w:tc>
              <w:tcPr>
                <w:tcW w:w="849" w:type="dxa"/>
                <w:tcBorders>
                  <w:top w:val="nil"/>
                  <w:left w:val="single" w:sz="8" w:space="0" w:color="A6A6A6" w:themeColor="background1" w:themeShade="A6"/>
                  <w:bottom w:val="single" w:sz="8" w:space="0" w:color="auto"/>
                  <w:right w:val="single" w:sz="8" w:space="0" w:color="A6A6A6" w:themeColor="background1" w:themeShade="A6"/>
                </w:tcBorders>
                <w:tcMar>
                  <w:left w:w="70" w:type="dxa"/>
                  <w:right w:w="70" w:type="dxa"/>
                </w:tcMar>
                <w:vAlign w:val="center"/>
              </w:tcPr>
              <w:p w14:paraId="50E419FD" w14:textId="6D448A09" w:rsidR="1676A090" w:rsidRDefault="1676A090" w:rsidP="1676A090">
                <w:pPr>
                  <w:spacing w:after="0"/>
                  <w:ind w:left="-20" w:right="-20"/>
                  <w:jc w:val="center"/>
                </w:pPr>
                <w:r w:rsidRPr="1676A090">
                  <w:rPr>
                    <w:rFonts w:ascii="Times New Roman" w:eastAsia="Times New Roman" w:hAnsi="Times New Roman"/>
                    <w:color w:val="000000" w:themeColor="text1"/>
                    <w:sz w:val="12"/>
                    <w:szCs w:val="12"/>
                  </w:rPr>
                  <w:t>No</w:t>
                </w:r>
              </w:p>
            </w:tc>
          </w:tr>
          <w:tr w:rsidR="00515E7E" w14:paraId="154EF609" w14:textId="77777777" w:rsidTr="00515E7E">
            <w:trPr>
              <w:trHeight w:val="2182"/>
            </w:trPr>
            <w:tc>
              <w:tcPr>
                <w:tcW w:w="6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A8929CB" w14:textId="2B626E62" w:rsidR="00515E7E" w:rsidRDefault="00515E7E" w:rsidP="00515E7E">
                <w:pPr>
                  <w:spacing w:after="0"/>
                  <w:ind w:left="-20" w:right="-20"/>
                </w:pPr>
                <w:r w:rsidRPr="1676A090">
                  <w:rPr>
                    <w:rFonts w:ascii="Times New Roman" w:eastAsia="Times New Roman" w:hAnsi="Times New Roman"/>
                    <w:color w:val="000000" w:themeColor="text1"/>
                    <w:sz w:val="12"/>
                    <w:szCs w:val="12"/>
                  </w:rPr>
                  <w:t>900793991</w:t>
                </w:r>
              </w:p>
            </w:tc>
            <w:tc>
              <w:tcPr>
                <w:tcW w:w="11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774FE4D" w14:textId="73968051" w:rsidR="00515E7E" w:rsidRDefault="00515E7E" w:rsidP="00515E7E">
                <w:pPr>
                  <w:spacing w:after="0"/>
                  <w:ind w:left="-20" w:right="-20"/>
                  <w:jc w:val="center"/>
                </w:pPr>
                <w:r w:rsidRPr="1676A090">
                  <w:rPr>
                    <w:rFonts w:ascii="Times New Roman" w:eastAsia="Times New Roman" w:hAnsi="Times New Roman"/>
                    <w:color w:val="000000" w:themeColor="text1"/>
                    <w:sz w:val="12"/>
                    <w:szCs w:val="12"/>
                  </w:rPr>
                  <w:t>AUTOPISTAS DEL NORDESTE S.A.S.</w:t>
                </w:r>
              </w:p>
            </w:tc>
            <w:tc>
              <w:tcPr>
                <w:tcW w:w="897"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C1DA9FD" w14:textId="47FC55AB" w:rsidR="00515E7E" w:rsidRDefault="00515E7E" w:rsidP="00515E7E">
                <w:pPr>
                  <w:spacing w:after="0"/>
                  <w:ind w:left="-20" w:right="-20"/>
                  <w:jc w:val="right"/>
                </w:pPr>
                <w:r w:rsidRPr="1676A090">
                  <w:rPr>
                    <w:rFonts w:ascii="Times New Roman" w:eastAsia="Times New Roman" w:hAnsi="Times New Roman"/>
                    <w:color w:val="000000" w:themeColor="text1"/>
                    <w:sz w:val="12"/>
                    <w:szCs w:val="12"/>
                  </w:rPr>
                  <w:t>709.885.437</w:t>
                </w:r>
              </w:p>
            </w:tc>
            <w:tc>
              <w:tcPr>
                <w:tcW w:w="38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DB8D6F1" w14:textId="7ABA34C8" w:rsidR="00515E7E" w:rsidRPr="00515E7E" w:rsidRDefault="00515E7E" w:rsidP="00515E7E">
                <w:pPr>
                  <w:spacing w:after="0"/>
                  <w:ind w:left="-20" w:right="-20"/>
                  <w:jc w:val="center"/>
                </w:pPr>
                <w:r w:rsidRPr="00515E7E">
                  <w:rPr>
                    <w:rFonts w:ascii="Times New Roman" w:eastAsia="Times New Roman" w:hAnsi="Times New Roman"/>
                    <w:color w:val="000000" w:themeColor="text1"/>
                    <w:sz w:val="12"/>
                    <w:szCs w:val="12"/>
                    <w:lang w:eastAsia="es-CO"/>
                  </w:rPr>
                  <w:t>N/A</w:t>
                </w:r>
              </w:p>
            </w:tc>
            <w:tc>
              <w:tcPr>
                <w:tcW w:w="42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2DA4976" w14:textId="7B8CB187" w:rsidR="00515E7E" w:rsidRPr="00515E7E" w:rsidRDefault="00515E7E" w:rsidP="00515E7E">
                <w:pPr>
                  <w:spacing w:after="0"/>
                  <w:ind w:left="-20" w:right="-20"/>
                  <w:jc w:val="center"/>
                </w:pPr>
                <w:r w:rsidRPr="00515E7E">
                  <w:rPr>
                    <w:rFonts w:ascii="Times New Roman" w:eastAsia="Times New Roman" w:hAnsi="Times New Roman"/>
                    <w:color w:val="000000" w:themeColor="text1"/>
                    <w:sz w:val="14"/>
                    <w:szCs w:val="14"/>
                    <w:lang w:eastAsia="es-CO"/>
                  </w:rPr>
                  <w:t>N/A</w:t>
                </w:r>
              </w:p>
            </w:tc>
            <w:tc>
              <w:tcPr>
                <w:tcW w:w="1753" w:type="dxa"/>
                <w:tcBorders>
                  <w:top w:val="single" w:sz="8" w:space="0" w:color="auto"/>
                  <w:left w:val="single" w:sz="8" w:space="0" w:color="auto"/>
                  <w:bottom w:val="single" w:sz="8" w:space="0" w:color="auto"/>
                  <w:right w:val="single" w:sz="8" w:space="0" w:color="A6A6A6" w:themeColor="background1" w:themeShade="A6"/>
                </w:tcBorders>
                <w:tcMar>
                  <w:left w:w="70" w:type="dxa"/>
                  <w:right w:w="70" w:type="dxa"/>
                </w:tcMar>
                <w:vAlign w:val="center"/>
              </w:tcPr>
              <w:p w14:paraId="5284DC6D" w14:textId="77777777" w:rsidR="00515E7E" w:rsidRPr="00515E7E" w:rsidRDefault="00515E7E" w:rsidP="00515E7E">
                <w:pPr>
                  <w:autoSpaceDE w:val="0"/>
                  <w:autoSpaceDN w:val="0"/>
                  <w:adjustRightInd w:val="0"/>
                  <w:spacing w:after="0" w:line="240" w:lineRule="auto"/>
                  <w:rPr>
                    <w:rFonts w:ascii="Times New Roman" w:eastAsiaTheme="minorHAnsi" w:hAnsi="Times New Roman"/>
                    <w:sz w:val="14"/>
                    <w:szCs w:val="14"/>
                    <w14:ligatures w14:val="standardContextual"/>
                  </w:rPr>
                </w:pPr>
                <w:r w:rsidRPr="00515E7E">
                  <w:rPr>
                    <w:rFonts w:ascii="Times New Roman" w:eastAsiaTheme="minorHAnsi" w:hAnsi="Times New Roman"/>
                    <w:sz w:val="14"/>
                    <w:szCs w:val="14"/>
                    <w14:ligatures w14:val="standardContextual"/>
                  </w:rPr>
                  <w:t>La decisión del Componedor no incluye intereses, sino la actualización de los gastos y</w:t>
                </w:r>
              </w:p>
              <w:p w14:paraId="1054BA65" w14:textId="4E091E0F" w:rsidR="00515E7E" w:rsidRPr="00515E7E" w:rsidRDefault="00515E7E" w:rsidP="00515E7E">
                <w:pPr>
                  <w:spacing w:after="0"/>
                  <w:ind w:left="-20" w:right="-20"/>
                </w:pPr>
                <w:r w:rsidRPr="00515E7E">
                  <w:rPr>
                    <w:rFonts w:ascii="Times New Roman" w:eastAsiaTheme="minorHAnsi" w:hAnsi="Times New Roman"/>
                    <w:sz w:val="14"/>
                    <w:szCs w:val="14"/>
                    <w14:ligatures w14:val="standardContextual"/>
                  </w:rPr>
                  <w:t>costos en los que incurrió el Concesionario en los estudios y diseños.</w:t>
                </w:r>
              </w:p>
            </w:tc>
            <w:tc>
              <w:tcPr>
                <w:tcW w:w="546" w:type="dxa"/>
                <w:tcBorders>
                  <w:top w:val="single" w:sz="8" w:space="0" w:color="auto"/>
                  <w:left w:val="single" w:sz="8" w:space="0" w:color="A6A6A6" w:themeColor="background1" w:themeShade="A6"/>
                  <w:bottom w:val="single" w:sz="8" w:space="0" w:color="auto"/>
                  <w:right w:val="single" w:sz="8" w:space="0" w:color="A6A6A6" w:themeColor="background1" w:themeShade="A6"/>
                </w:tcBorders>
                <w:tcMar>
                  <w:left w:w="70" w:type="dxa"/>
                  <w:right w:w="70" w:type="dxa"/>
                </w:tcMar>
                <w:vAlign w:val="center"/>
              </w:tcPr>
              <w:p w14:paraId="61F66701" w14:textId="106D41FD" w:rsidR="00515E7E" w:rsidRPr="00515E7E" w:rsidRDefault="00515E7E" w:rsidP="00515E7E">
                <w:pPr>
                  <w:spacing w:after="0"/>
                  <w:ind w:left="-20" w:right="-20"/>
                  <w:jc w:val="center"/>
                </w:pPr>
                <w:r w:rsidRPr="00515E7E">
                  <w:rPr>
                    <w:rFonts w:ascii="Times New Roman" w:eastAsia="Times New Roman" w:hAnsi="Times New Roman"/>
                    <w:color w:val="000000" w:themeColor="text1"/>
                    <w:sz w:val="12"/>
                    <w:szCs w:val="12"/>
                    <w:lang w:eastAsia="es-CO"/>
                  </w:rPr>
                  <w:t>N/A</w:t>
                </w:r>
              </w:p>
            </w:tc>
            <w:tc>
              <w:tcPr>
                <w:tcW w:w="2299" w:type="dxa"/>
                <w:tcBorders>
                  <w:top w:val="single" w:sz="8" w:space="0" w:color="auto"/>
                  <w:left w:val="single" w:sz="8" w:space="0" w:color="A6A6A6" w:themeColor="background1" w:themeShade="A6"/>
                  <w:bottom w:val="single" w:sz="8" w:space="0" w:color="auto"/>
                  <w:right w:val="single" w:sz="8" w:space="0" w:color="A6A6A6" w:themeColor="background1" w:themeShade="A6"/>
                </w:tcBorders>
                <w:tcMar>
                  <w:left w:w="70" w:type="dxa"/>
                  <w:right w:w="70" w:type="dxa"/>
                </w:tcMar>
                <w:vAlign w:val="center"/>
              </w:tcPr>
              <w:p w14:paraId="0DCB370E" w14:textId="77777777" w:rsidR="00515E7E" w:rsidRPr="00515E7E" w:rsidRDefault="00515E7E" w:rsidP="00515E7E">
                <w:pPr>
                  <w:autoSpaceDE w:val="0"/>
                  <w:autoSpaceDN w:val="0"/>
                  <w:adjustRightInd w:val="0"/>
                  <w:spacing w:after="0" w:line="240" w:lineRule="auto"/>
                  <w:jc w:val="both"/>
                  <w:rPr>
                    <w:rFonts w:ascii="Times New Roman" w:eastAsia="Times New Roman" w:hAnsi="Times New Roman"/>
                    <w:color w:val="000000" w:themeColor="text1"/>
                    <w:sz w:val="12"/>
                    <w:szCs w:val="12"/>
                    <w:lang w:eastAsia="es-CO"/>
                  </w:rPr>
                </w:pPr>
                <w:r w:rsidRPr="00515E7E">
                  <w:rPr>
                    <w:rFonts w:ascii="Times New Roman" w:eastAsia="Times New Roman" w:hAnsi="Times New Roman"/>
                    <w:color w:val="000000" w:themeColor="text1"/>
                    <w:sz w:val="12"/>
                    <w:szCs w:val="12"/>
                    <w:lang w:eastAsia="es-CO"/>
                  </w:rPr>
                  <w:t>Para la vigencia 2023, se tenían los recursos en el rubro de sentencias y conciliaciones ANI</w:t>
                </w:r>
              </w:p>
              <w:p w14:paraId="480BC16B" w14:textId="77777777" w:rsidR="00515E7E" w:rsidRPr="00515E7E" w:rsidRDefault="00515E7E" w:rsidP="00515E7E">
                <w:pPr>
                  <w:autoSpaceDE w:val="0"/>
                  <w:autoSpaceDN w:val="0"/>
                  <w:adjustRightInd w:val="0"/>
                  <w:spacing w:after="0" w:line="240" w:lineRule="auto"/>
                  <w:jc w:val="both"/>
                  <w:rPr>
                    <w:rFonts w:ascii="Times New Roman" w:eastAsia="Times New Roman" w:hAnsi="Times New Roman"/>
                    <w:color w:val="000000" w:themeColor="text1"/>
                    <w:sz w:val="12"/>
                    <w:szCs w:val="12"/>
                    <w:lang w:eastAsia="es-CO"/>
                  </w:rPr>
                </w:pPr>
                <w:r w:rsidRPr="00515E7E">
                  <w:rPr>
                    <w:rFonts w:ascii="Times New Roman" w:eastAsia="Times New Roman" w:hAnsi="Times New Roman"/>
                    <w:color w:val="000000" w:themeColor="text1"/>
                    <w:sz w:val="12"/>
                    <w:szCs w:val="12"/>
                    <w:lang w:eastAsia="es-CO"/>
                  </w:rPr>
                  <w:t>para pagar este Laudo, sin embargo, cuando se requirió a la DIAN en diciembre de 2023, si el concesionario Autopistas del Nordeste y/o sus accionistas tenían saldos pendientes con esta Entidad, esta informó en enero de 2024 que efectivamente unos accionistas tenían compromisos con la DIAN y, por lo tanto, no se debería realizar el pago. Como la información fue tardía ya caducaron los recursos disponibles en la vigencia 2023 por lo que dicho abono no prosperó.</w:t>
                </w:r>
              </w:p>
              <w:p w14:paraId="4DE2B4B6" w14:textId="4A893BE2" w:rsidR="00515E7E" w:rsidRPr="00515E7E" w:rsidRDefault="00515E7E" w:rsidP="00515E7E">
                <w:pPr>
                  <w:spacing w:after="0"/>
                  <w:ind w:left="-20" w:right="-20"/>
                </w:pPr>
              </w:p>
            </w:tc>
            <w:tc>
              <w:tcPr>
                <w:tcW w:w="849" w:type="dxa"/>
                <w:tcBorders>
                  <w:top w:val="single" w:sz="8" w:space="0" w:color="auto"/>
                  <w:left w:val="single" w:sz="8" w:space="0" w:color="A6A6A6" w:themeColor="background1" w:themeShade="A6"/>
                  <w:bottom w:val="single" w:sz="8" w:space="0" w:color="auto"/>
                  <w:right w:val="single" w:sz="8" w:space="0" w:color="A6A6A6" w:themeColor="background1" w:themeShade="A6"/>
                </w:tcBorders>
                <w:tcMar>
                  <w:left w:w="70" w:type="dxa"/>
                  <w:right w:w="70" w:type="dxa"/>
                </w:tcMar>
                <w:vAlign w:val="center"/>
              </w:tcPr>
              <w:p w14:paraId="53120810" w14:textId="7B4BA1E6" w:rsidR="00515E7E" w:rsidRPr="00515E7E" w:rsidRDefault="00515E7E" w:rsidP="00515E7E">
                <w:pPr>
                  <w:spacing w:after="0"/>
                  <w:ind w:left="-20" w:right="-20"/>
                  <w:jc w:val="center"/>
                </w:pPr>
                <w:r w:rsidRPr="00515E7E">
                  <w:rPr>
                    <w:rFonts w:ascii="Times New Roman" w:eastAsia="Times New Roman" w:hAnsi="Times New Roman"/>
                    <w:color w:val="000000" w:themeColor="text1"/>
                    <w:sz w:val="12"/>
                    <w:szCs w:val="12"/>
                    <w:lang w:eastAsia="es-CO"/>
                  </w:rPr>
                  <w:t>No</w:t>
                </w:r>
              </w:p>
            </w:tc>
          </w:tr>
        </w:tbl>
        <w:p w14:paraId="7FBB061E" w14:textId="38E40EDE" w:rsidR="00B8096C" w:rsidRDefault="00B8096C" w:rsidP="00B8096C">
          <w:pPr>
            <w:jc w:val="both"/>
            <w:rPr>
              <w:rFonts w:ascii="Times New Roman" w:hAnsi="Times New Roman"/>
              <w:sz w:val="14"/>
              <w:szCs w:val="14"/>
            </w:rPr>
          </w:pPr>
          <w:r w:rsidRPr="7C752056">
            <w:rPr>
              <w:rFonts w:ascii="Times New Roman" w:hAnsi="Times New Roman"/>
              <w:sz w:val="14"/>
              <w:szCs w:val="14"/>
            </w:rPr>
            <w:t>Cifras expresadas en pesos</w:t>
          </w:r>
        </w:p>
        <w:p w14:paraId="44E697E5" w14:textId="6CB050D2" w:rsidR="00B8096C" w:rsidRDefault="00B8096C" w:rsidP="00B8096C">
          <w:pPr>
            <w:jc w:val="both"/>
            <w:rPr>
              <w:rFonts w:ascii="Times New Roman" w:hAnsi="Times New Roman"/>
              <w:sz w:val="14"/>
              <w:szCs w:val="14"/>
            </w:rPr>
          </w:pPr>
        </w:p>
        <w:p w14:paraId="5D5E14B7" w14:textId="77777777" w:rsidR="00B8096C" w:rsidRDefault="00B8096C" w:rsidP="7C752056">
          <w:pPr>
            <w:autoSpaceDE w:val="0"/>
            <w:autoSpaceDN w:val="0"/>
            <w:adjustRightInd w:val="0"/>
            <w:spacing w:after="0" w:line="240" w:lineRule="auto"/>
            <w:jc w:val="both"/>
            <w:rPr>
              <w:rFonts w:ascii="Times New Roman" w:eastAsiaTheme="minorEastAsia" w:hAnsi="Times New Roman"/>
              <w:sz w:val="24"/>
              <w:szCs w:val="24"/>
              <w14:ligatures w14:val="standardContextual"/>
            </w:rPr>
          </w:pPr>
          <w:r w:rsidRPr="7C752056">
            <w:rPr>
              <w:rFonts w:ascii="Times New Roman" w:eastAsiaTheme="minorEastAsia" w:hAnsi="Times New Roman"/>
              <w:sz w:val="24"/>
              <w:szCs w:val="24"/>
              <w14:ligatures w14:val="standardContextual"/>
            </w:rPr>
            <w:t>La Cuenta por pagar al Concesionar por los diseños de la Etapa 4 (Sector 1A), nace debido a que los recursos del Fondo Contingente denominado “Diseños”, fueron insuficientes para cancelar por parte de la Agencia la totalidad de la cuenta de cobro remitida por el Concesionario soportada por la respectiva Acta de finalización de obra (Diseños de la etapa 4 Sector 1A del 01 de noviembre de 2017), por lo tanto, se origina para la ANI una deuda reconocida.</w:t>
          </w:r>
        </w:p>
        <w:p w14:paraId="7D4D993A" w14:textId="0A264D49" w:rsidR="00B8096C" w:rsidRPr="00F01668" w:rsidRDefault="00B8096C" w:rsidP="7C752056">
          <w:pPr>
            <w:autoSpaceDE w:val="0"/>
            <w:autoSpaceDN w:val="0"/>
            <w:adjustRightInd w:val="0"/>
            <w:spacing w:after="0" w:line="240" w:lineRule="auto"/>
            <w:jc w:val="both"/>
            <w:rPr>
              <w:rFonts w:ascii="Times New Roman" w:eastAsiaTheme="minorEastAsia" w:hAnsi="Times New Roman"/>
              <w:sz w:val="24"/>
              <w:szCs w:val="24"/>
              <w14:ligatures w14:val="standardContextual"/>
            </w:rPr>
          </w:pPr>
        </w:p>
        <w:p w14:paraId="24FC43BA" w14:textId="77777777" w:rsidR="00B8096C" w:rsidRDefault="00B8096C" w:rsidP="7C752056">
          <w:pPr>
            <w:autoSpaceDE w:val="0"/>
            <w:autoSpaceDN w:val="0"/>
            <w:adjustRightInd w:val="0"/>
            <w:spacing w:after="0" w:line="240" w:lineRule="auto"/>
            <w:jc w:val="both"/>
            <w:rPr>
              <w:rFonts w:ascii="Times New Roman" w:eastAsiaTheme="minorEastAsia" w:hAnsi="Times New Roman"/>
              <w:sz w:val="24"/>
              <w:szCs w:val="24"/>
              <w14:ligatures w14:val="standardContextual"/>
            </w:rPr>
          </w:pPr>
          <w:r w:rsidRPr="7C752056">
            <w:rPr>
              <w:rFonts w:ascii="Times New Roman" w:eastAsiaTheme="minorEastAsia" w:hAnsi="Times New Roman"/>
              <w:sz w:val="24"/>
              <w:szCs w:val="24"/>
              <w14:ligatures w14:val="standardContextual"/>
            </w:rPr>
            <w:t xml:space="preserve">La suma adeudada surte actualizaciones de IPC entre la fecha de reconocimiento de la deuda hasta la fecha de pago o la fecha en la cual se realiza el cierre de la vigencia respectiva. </w:t>
          </w:r>
        </w:p>
        <w:p w14:paraId="7CBF0192" w14:textId="18183D8B" w:rsidR="00B8096C" w:rsidRDefault="00B8096C" w:rsidP="7C752056">
          <w:pPr>
            <w:autoSpaceDE w:val="0"/>
            <w:autoSpaceDN w:val="0"/>
            <w:adjustRightInd w:val="0"/>
            <w:spacing w:after="0" w:line="240" w:lineRule="auto"/>
            <w:jc w:val="both"/>
            <w:rPr>
              <w:rFonts w:ascii="Times New Roman" w:eastAsiaTheme="minorEastAsia" w:hAnsi="Times New Roman"/>
              <w:sz w:val="24"/>
              <w:szCs w:val="24"/>
              <w14:ligatures w14:val="standardContextual"/>
            </w:rPr>
          </w:pPr>
        </w:p>
        <w:p w14:paraId="46AC376C" w14:textId="77777777" w:rsidR="00B8096C" w:rsidRDefault="00B8096C" w:rsidP="7C752056">
          <w:pPr>
            <w:autoSpaceDE w:val="0"/>
            <w:autoSpaceDN w:val="0"/>
            <w:adjustRightInd w:val="0"/>
            <w:spacing w:after="0" w:line="240" w:lineRule="auto"/>
            <w:jc w:val="both"/>
            <w:rPr>
              <w:rFonts w:ascii="Times New Roman" w:eastAsiaTheme="minorEastAsia" w:hAnsi="Times New Roman"/>
              <w:sz w:val="24"/>
              <w:szCs w:val="24"/>
              <w14:ligatures w14:val="standardContextual"/>
            </w:rPr>
          </w:pPr>
          <w:r w:rsidRPr="7C752056">
            <w:rPr>
              <w:rFonts w:ascii="Times New Roman" w:eastAsiaTheme="minorEastAsia" w:hAnsi="Times New Roman"/>
              <w:sz w:val="24"/>
              <w:szCs w:val="24"/>
              <w14:ligatures w14:val="standardContextual"/>
            </w:rPr>
            <w:t xml:space="preserve">Los intereses, se calculan según lo definido por el panel de amigable componedor de enero de 2015, en su decisión del capítulo 8, es decir que se causan 30 dias después de la fecha de las actas de finalización de obras. </w:t>
          </w:r>
        </w:p>
        <w:p w14:paraId="57D70DF6" w14:textId="1A5F6AA2" w:rsidR="00B8096C" w:rsidRDefault="00B8096C" w:rsidP="7C752056">
          <w:pPr>
            <w:autoSpaceDE w:val="0"/>
            <w:autoSpaceDN w:val="0"/>
            <w:adjustRightInd w:val="0"/>
            <w:spacing w:after="0" w:line="240" w:lineRule="auto"/>
            <w:jc w:val="both"/>
            <w:rPr>
              <w:rFonts w:ascii="Times New Roman" w:eastAsiaTheme="minorEastAsia" w:hAnsi="Times New Roman"/>
              <w:sz w:val="24"/>
              <w:szCs w:val="24"/>
              <w14:ligatures w14:val="standardContextual"/>
            </w:rPr>
          </w:pPr>
        </w:p>
        <w:p w14:paraId="703F8D80" w14:textId="77777777" w:rsidR="00B8096C" w:rsidRDefault="00B8096C" w:rsidP="7C752056">
          <w:pPr>
            <w:autoSpaceDE w:val="0"/>
            <w:autoSpaceDN w:val="0"/>
            <w:adjustRightInd w:val="0"/>
            <w:spacing w:after="0" w:line="240" w:lineRule="auto"/>
            <w:jc w:val="both"/>
            <w:rPr>
              <w:rFonts w:ascii="Times New Roman" w:eastAsiaTheme="minorEastAsia" w:hAnsi="Times New Roman"/>
              <w:sz w:val="24"/>
              <w:szCs w:val="24"/>
              <w14:ligatures w14:val="standardContextual"/>
            </w:rPr>
          </w:pPr>
          <w:r w:rsidRPr="7C752056">
            <w:rPr>
              <w:rFonts w:ascii="Times New Roman" w:eastAsiaTheme="minorEastAsia" w:hAnsi="Times New Roman"/>
              <w:sz w:val="24"/>
              <w:szCs w:val="24"/>
              <w14:ligatures w14:val="standardContextual"/>
            </w:rPr>
            <w:t>La tasa real anual de interés, según el Adicional 1 al contrato de concesión 444 de 1994, es de 11,33%EA, equivalente a una tasa periódica diaria real de 0.029%.</w:t>
          </w:r>
        </w:p>
        <w:p w14:paraId="5124605C" w14:textId="0F6756C6" w:rsidR="00B8096C" w:rsidRPr="00F01668" w:rsidRDefault="00B8096C" w:rsidP="7C752056">
          <w:pPr>
            <w:autoSpaceDE w:val="0"/>
            <w:autoSpaceDN w:val="0"/>
            <w:adjustRightInd w:val="0"/>
            <w:spacing w:after="0" w:line="240" w:lineRule="auto"/>
            <w:jc w:val="both"/>
            <w:rPr>
              <w:rFonts w:ascii="Times New Roman" w:eastAsiaTheme="minorEastAsia" w:hAnsi="Times New Roman"/>
              <w:sz w:val="24"/>
              <w:szCs w:val="24"/>
              <w14:ligatures w14:val="standardContextual"/>
            </w:rPr>
          </w:pPr>
        </w:p>
        <w:p w14:paraId="7B9182CF" w14:textId="77777777" w:rsidR="00B8096C" w:rsidRDefault="00B8096C" w:rsidP="7C752056">
          <w:pPr>
            <w:autoSpaceDE w:val="0"/>
            <w:autoSpaceDN w:val="0"/>
            <w:adjustRightInd w:val="0"/>
            <w:spacing w:after="0" w:line="240" w:lineRule="auto"/>
            <w:jc w:val="both"/>
            <w:rPr>
              <w:rFonts w:ascii="Times New Roman" w:eastAsiaTheme="minorEastAsia" w:hAnsi="Times New Roman"/>
              <w:sz w:val="24"/>
              <w:szCs w:val="24"/>
              <w14:ligatures w14:val="standardContextual"/>
            </w:rPr>
          </w:pPr>
          <w:r w:rsidRPr="7C752056">
            <w:rPr>
              <w:rFonts w:ascii="Times New Roman" w:eastAsiaTheme="minorEastAsia" w:hAnsi="Times New Roman"/>
              <w:sz w:val="24"/>
              <w:szCs w:val="24"/>
              <w14:ligatures w14:val="standardContextual"/>
            </w:rPr>
            <w:t xml:space="preserve">El Valor presupuestado contractualmente para la Etapa 4 - Sector 1A, es de $ 191.817 millones de pesos (Dic-2008) y el valor definitivo de los diseños fue de: $ 241.761 millones de pesos (Dic-2008), la diferencia a reconocer por este rubro es de $49.944 millones de pesos (Dic-2008), equivalentes a $ 69.084.429.799 pesos de Noviembre de 2017. </w:t>
          </w:r>
        </w:p>
        <w:p w14:paraId="185433CA" w14:textId="4FACA6B1" w:rsidR="00B8096C" w:rsidRPr="00F01668" w:rsidRDefault="00B8096C" w:rsidP="7C752056">
          <w:pPr>
            <w:autoSpaceDE w:val="0"/>
            <w:autoSpaceDN w:val="0"/>
            <w:adjustRightInd w:val="0"/>
            <w:spacing w:after="0" w:line="240" w:lineRule="auto"/>
            <w:jc w:val="both"/>
            <w:rPr>
              <w:rFonts w:ascii="Times New Roman" w:eastAsiaTheme="minorEastAsia" w:hAnsi="Times New Roman"/>
              <w:sz w:val="24"/>
              <w:szCs w:val="24"/>
              <w14:ligatures w14:val="standardContextual"/>
            </w:rPr>
          </w:pPr>
        </w:p>
        <w:p w14:paraId="71539822" w14:textId="77777777" w:rsidR="00B8096C" w:rsidRDefault="00B8096C" w:rsidP="7C752056">
          <w:pPr>
            <w:autoSpaceDE w:val="0"/>
            <w:autoSpaceDN w:val="0"/>
            <w:adjustRightInd w:val="0"/>
            <w:spacing w:after="0" w:line="240" w:lineRule="auto"/>
            <w:jc w:val="both"/>
            <w:rPr>
              <w:rFonts w:ascii="Times New Roman" w:eastAsiaTheme="minorEastAsia" w:hAnsi="Times New Roman"/>
              <w:sz w:val="24"/>
              <w:szCs w:val="24"/>
              <w14:ligatures w14:val="standardContextual"/>
            </w:rPr>
          </w:pPr>
          <w:r w:rsidRPr="7C752056">
            <w:rPr>
              <w:rFonts w:ascii="Times New Roman" w:eastAsiaTheme="minorEastAsia" w:hAnsi="Times New Roman"/>
              <w:sz w:val="24"/>
              <w:szCs w:val="24"/>
              <w14:ligatures w14:val="standardContextual"/>
            </w:rPr>
            <w:t>Que al corte del 30 de septiembre de 2017 se contaba con recursos disponibles en el Fondo de Pasivos Contingentes administrado por la Fiduprevisora para el riesgo de Diseños por $65.452 millones de pesos. Se realizaron 2 pagos por este concepto así:</w:t>
          </w:r>
        </w:p>
        <w:p w14:paraId="2F0042B2" w14:textId="3B41666B" w:rsidR="00B8096C" w:rsidRDefault="00B8096C" w:rsidP="7C752056">
          <w:pPr>
            <w:autoSpaceDE w:val="0"/>
            <w:autoSpaceDN w:val="0"/>
            <w:adjustRightInd w:val="0"/>
            <w:spacing w:after="0" w:line="240" w:lineRule="auto"/>
            <w:jc w:val="both"/>
            <w:rPr>
              <w:rFonts w:ascii="Times New Roman" w:eastAsiaTheme="minorEastAsia" w:hAnsi="Times New Roman"/>
              <w:sz w:val="24"/>
              <w:szCs w:val="24"/>
              <w14:ligatures w14:val="standardContextual"/>
            </w:rPr>
          </w:pPr>
        </w:p>
        <w:p w14:paraId="380B6155" w14:textId="77777777" w:rsidR="00B8096C" w:rsidRDefault="00B8096C" w:rsidP="00E60BAB">
          <w:pPr>
            <w:pStyle w:val="Prrafodelista"/>
            <w:numPr>
              <w:ilvl w:val="0"/>
              <w:numId w:val="168"/>
            </w:numPr>
            <w:autoSpaceDE w:val="0"/>
            <w:autoSpaceDN w:val="0"/>
            <w:adjustRightInd w:val="0"/>
            <w:spacing w:after="0" w:line="240" w:lineRule="auto"/>
            <w:jc w:val="both"/>
            <w:rPr>
              <w:rFonts w:ascii="Times New Roman" w:eastAsiaTheme="minorEastAsia" w:hAnsi="Times New Roman"/>
              <w:sz w:val="24"/>
              <w:szCs w:val="24"/>
              <w14:ligatures w14:val="standardContextual"/>
            </w:rPr>
          </w:pPr>
          <w:r w:rsidRPr="7C752056">
            <w:rPr>
              <w:rFonts w:ascii="Times New Roman" w:eastAsiaTheme="minorEastAsia" w:hAnsi="Times New Roman"/>
              <w:sz w:val="24"/>
              <w:szCs w:val="24"/>
              <w14:ligatures w14:val="standardContextual"/>
            </w:rPr>
            <w:t xml:space="preserve">Resolución 1700 del 16 de diciembre de 2017 y Resolución 0481 del 20 de marzo de 2018, respuesta al recurso de reposición al Concesionario, por valor de $66.851.500.536 el día 04 de abril de 2018, </w:t>
          </w:r>
        </w:p>
        <w:p w14:paraId="27A1DC56" w14:textId="77777777" w:rsidR="00B8096C" w:rsidRPr="00454282" w:rsidRDefault="00B8096C" w:rsidP="00E60BAB">
          <w:pPr>
            <w:pStyle w:val="Prrafodelista"/>
            <w:numPr>
              <w:ilvl w:val="0"/>
              <w:numId w:val="168"/>
            </w:numPr>
            <w:autoSpaceDE w:val="0"/>
            <w:autoSpaceDN w:val="0"/>
            <w:adjustRightInd w:val="0"/>
            <w:spacing w:after="0" w:line="240" w:lineRule="auto"/>
            <w:jc w:val="both"/>
            <w:rPr>
              <w:rFonts w:ascii="Times New Roman" w:eastAsiaTheme="minorEastAsia" w:hAnsi="Times New Roman"/>
              <w:sz w:val="24"/>
              <w:szCs w:val="24"/>
              <w14:ligatures w14:val="standardContextual"/>
            </w:rPr>
          </w:pPr>
          <w:r w:rsidRPr="7C752056">
            <w:rPr>
              <w:rFonts w:ascii="Times New Roman" w:eastAsiaTheme="minorEastAsia" w:hAnsi="Times New Roman"/>
              <w:sz w:val="24"/>
              <w:szCs w:val="24"/>
              <w14:ligatures w14:val="standardContextual"/>
            </w:rPr>
            <w:t>Resolución 1078 del 21 de junio de 2018, por valor de $ 670.708.414 el día 04 de julio de 2018,</w:t>
          </w:r>
        </w:p>
        <w:p w14:paraId="078E9CA6" w14:textId="1BCDC2C6" w:rsidR="00B8096C" w:rsidRDefault="00B8096C" w:rsidP="7C752056">
          <w:pPr>
            <w:autoSpaceDE w:val="0"/>
            <w:autoSpaceDN w:val="0"/>
            <w:adjustRightInd w:val="0"/>
            <w:spacing w:after="0" w:line="240" w:lineRule="auto"/>
            <w:jc w:val="both"/>
            <w:rPr>
              <w:rFonts w:ascii="Times New Roman" w:eastAsiaTheme="minorEastAsia" w:hAnsi="Times New Roman"/>
              <w:sz w:val="24"/>
              <w:szCs w:val="24"/>
              <w14:ligatures w14:val="standardContextual"/>
            </w:rPr>
          </w:pPr>
        </w:p>
        <w:p w14:paraId="051C31C6" w14:textId="77777777" w:rsidR="00B8096C" w:rsidRDefault="00B8096C" w:rsidP="7C752056">
          <w:pPr>
            <w:autoSpaceDE w:val="0"/>
            <w:autoSpaceDN w:val="0"/>
            <w:adjustRightInd w:val="0"/>
            <w:spacing w:after="0" w:line="240" w:lineRule="auto"/>
            <w:jc w:val="both"/>
            <w:rPr>
              <w:rFonts w:ascii="Times New Roman" w:eastAsiaTheme="minorEastAsia" w:hAnsi="Times New Roman"/>
              <w:sz w:val="24"/>
              <w:szCs w:val="24"/>
              <w14:ligatures w14:val="standardContextual"/>
            </w:rPr>
          </w:pPr>
          <w:r w:rsidRPr="7C752056">
            <w:rPr>
              <w:rFonts w:ascii="Times New Roman" w:eastAsiaTheme="minorEastAsia" w:hAnsi="Times New Roman"/>
              <w:sz w:val="24"/>
              <w:szCs w:val="24"/>
              <w14:ligatures w14:val="standardContextual"/>
            </w:rPr>
            <w:t>De tal forma, que se agotan los recursos del fondo Contingente para el Rubro de Diseños, quedando un saldo a reconocer al Concesionario de $5.825.953.777 pesos, reflejados en el formato de deuda como deuda reconocida.</w:t>
          </w:r>
        </w:p>
        <w:p w14:paraId="25AE2584" w14:textId="297B29B5" w:rsidR="00B8096C" w:rsidRPr="00F01668" w:rsidRDefault="00B8096C" w:rsidP="7C752056">
          <w:pPr>
            <w:autoSpaceDE w:val="0"/>
            <w:autoSpaceDN w:val="0"/>
            <w:adjustRightInd w:val="0"/>
            <w:spacing w:after="0" w:line="240" w:lineRule="auto"/>
            <w:jc w:val="both"/>
            <w:rPr>
              <w:rFonts w:ascii="Times New Roman" w:eastAsiaTheme="minorEastAsia" w:hAnsi="Times New Roman"/>
              <w:sz w:val="24"/>
              <w:szCs w:val="24"/>
              <w14:ligatures w14:val="standardContextual"/>
            </w:rPr>
          </w:pPr>
        </w:p>
        <w:p w14:paraId="24E1EF5A" w14:textId="77777777" w:rsidR="00B8096C" w:rsidRDefault="00B8096C" w:rsidP="7C752056">
          <w:pPr>
            <w:autoSpaceDE w:val="0"/>
            <w:autoSpaceDN w:val="0"/>
            <w:adjustRightInd w:val="0"/>
            <w:spacing w:after="0" w:line="240" w:lineRule="auto"/>
            <w:jc w:val="both"/>
            <w:rPr>
              <w:rFonts w:ascii="Times New Roman" w:eastAsiaTheme="minorEastAsia" w:hAnsi="Times New Roman"/>
              <w:sz w:val="24"/>
              <w:szCs w:val="24"/>
              <w14:ligatures w14:val="standardContextual"/>
            </w:rPr>
          </w:pPr>
          <w:r w:rsidRPr="7C752056">
            <w:rPr>
              <w:rFonts w:ascii="Times New Roman" w:eastAsiaTheme="minorEastAsia" w:hAnsi="Times New Roman"/>
              <w:sz w:val="24"/>
              <w:szCs w:val="24"/>
              <w14:ligatures w14:val="standardContextual"/>
            </w:rPr>
            <w:t>Posteriormente, el día 19 de octubre de 2017 la Agencia solicitó a la Concesionaria Vial de los Andes S.A.S hacer uso de los recursos a favor de la ANI por concepto de mayor valor recaudado por peajes dada la obtención del Ingreso Real en noviembre de 2019 por valor de $291.219.384, con el fin de abonarlos al capital adeudado por los diseños de la etapa 4 -sector 1A.</w:t>
          </w:r>
        </w:p>
        <w:p w14:paraId="0AA82498" w14:textId="6F131C3A" w:rsidR="00B8096C" w:rsidRPr="00F01668" w:rsidRDefault="00B8096C" w:rsidP="7C752056">
          <w:pPr>
            <w:autoSpaceDE w:val="0"/>
            <w:autoSpaceDN w:val="0"/>
            <w:adjustRightInd w:val="0"/>
            <w:spacing w:after="0" w:line="240" w:lineRule="auto"/>
            <w:jc w:val="both"/>
            <w:rPr>
              <w:rFonts w:ascii="Times New Roman" w:eastAsiaTheme="minorEastAsia" w:hAnsi="Times New Roman"/>
              <w:sz w:val="24"/>
              <w:szCs w:val="24"/>
              <w14:ligatures w14:val="standardContextual"/>
            </w:rPr>
          </w:pPr>
        </w:p>
        <w:p w14:paraId="6F9086F9" w14:textId="3EC7A384" w:rsidR="00B8096C" w:rsidRDefault="00B8096C" w:rsidP="7C752056">
          <w:pPr>
            <w:autoSpaceDE w:val="0"/>
            <w:autoSpaceDN w:val="0"/>
            <w:adjustRightInd w:val="0"/>
            <w:spacing w:after="0" w:line="240" w:lineRule="auto"/>
            <w:jc w:val="both"/>
            <w:rPr>
              <w:rFonts w:ascii="Times New Roman" w:eastAsiaTheme="minorEastAsia" w:hAnsi="Times New Roman"/>
              <w:sz w:val="24"/>
              <w:szCs w:val="24"/>
              <w14:ligatures w14:val="standardContextual"/>
            </w:rPr>
          </w:pPr>
          <w:r w:rsidRPr="7C752056">
            <w:rPr>
              <w:rFonts w:ascii="Times New Roman" w:eastAsiaTheme="minorEastAsia" w:hAnsi="Times New Roman"/>
              <w:sz w:val="24"/>
              <w:szCs w:val="24"/>
              <w14:ligatures w14:val="standardContextual"/>
            </w:rPr>
            <w:t xml:space="preserve">La Agencia Nacional de Infraestructura se encuentra gestionando los diferentes medios alternativos al interior de </w:t>
          </w:r>
          <w:r w:rsidR="00A80702" w:rsidRPr="2A5EB36E">
            <w:rPr>
              <w:rFonts w:ascii="Times New Roman" w:eastAsiaTheme="minorEastAsia" w:hAnsi="Times New Roman"/>
              <w:sz w:val="24"/>
              <w:szCs w:val="24"/>
              <w14:ligatures w14:val="standardContextual"/>
            </w:rPr>
            <w:t>esta</w:t>
          </w:r>
          <w:r w:rsidRPr="7C752056">
            <w:rPr>
              <w:rFonts w:ascii="Times New Roman" w:eastAsiaTheme="minorEastAsia" w:hAnsi="Times New Roman"/>
              <w:sz w:val="24"/>
              <w:szCs w:val="24"/>
              <w14:ligatures w14:val="standardContextual"/>
            </w:rPr>
            <w:t>, con el fin de obtener los recursos necesarios para cumplir con los compromisos anteriormente descritos con presupuesto de la Entidad.</w:t>
          </w:r>
        </w:p>
        <w:p w14:paraId="169701A9" w14:textId="113603FE" w:rsidR="00B8096C" w:rsidRPr="00F01668" w:rsidRDefault="00B8096C" w:rsidP="7C752056">
          <w:pPr>
            <w:autoSpaceDE w:val="0"/>
            <w:autoSpaceDN w:val="0"/>
            <w:adjustRightInd w:val="0"/>
            <w:spacing w:after="0" w:line="240" w:lineRule="auto"/>
            <w:jc w:val="both"/>
            <w:rPr>
              <w:rFonts w:ascii="Times New Roman" w:eastAsiaTheme="minorEastAsia" w:hAnsi="Times New Roman"/>
              <w:sz w:val="24"/>
              <w:szCs w:val="24"/>
              <w14:ligatures w14:val="standardContextual"/>
            </w:rPr>
          </w:pPr>
        </w:p>
        <w:p w14:paraId="3A2765F8" w14:textId="77777777" w:rsidR="00B8096C" w:rsidRDefault="00B8096C" w:rsidP="7C752056">
          <w:pPr>
            <w:autoSpaceDE w:val="0"/>
            <w:autoSpaceDN w:val="0"/>
            <w:adjustRightInd w:val="0"/>
            <w:spacing w:after="0" w:line="240" w:lineRule="auto"/>
            <w:jc w:val="both"/>
            <w:rPr>
              <w:rFonts w:ascii="Times New Roman" w:eastAsiaTheme="minorEastAsia" w:hAnsi="Times New Roman"/>
              <w:sz w:val="24"/>
              <w:szCs w:val="24"/>
              <w14:ligatures w14:val="standardContextual"/>
            </w:rPr>
          </w:pPr>
          <w:r w:rsidRPr="7C752056">
            <w:rPr>
              <w:rFonts w:ascii="Times New Roman" w:eastAsiaTheme="minorEastAsia" w:hAnsi="Times New Roman"/>
              <w:sz w:val="24"/>
              <w:szCs w:val="24"/>
              <w14:ligatures w14:val="standardContextual"/>
            </w:rPr>
            <w:t>Por otra parte, la cuenta por pagar al Concesionario por los diseños del Puente la Quiña, nace como consecuencia del agotamiento de los recursos del Fondo de Pasivos Contingentes denominado “Diseños”, por lo tanto, no se ha cancelado la cuenta de cobro remitida por el Concesionario junto con el Acta de finalización de obra (Diseños de la Etapa 6A – Puente la Quiña del 23 de abril de 2018).</w:t>
          </w:r>
        </w:p>
        <w:p w14:paraId="147FB011" w14:textId="612EAC5D" w:rsidR="00B8096C" w:rsidRPr="00F01668" w:rsidRDefault="00B8096C" w:rsidP="7C752056">
          <w:pPr>
            <w:autoSpaceDE w:val="0"/>
            <w:autoSpaceDN w:val="0"/>
            <w:adjustRightInd w:val="0"/>
            <w:spacing w:after="0" w:line="240" w:lineRule="auto"/>
            <w:jc w:val="both"/>
            <w:rPr>
              <w:rFonts w:ascii="Times New Roman" w:eastAsiaTheme="minorEastAsia" w:hAnsi="Times New Roman"/>
              <w:sz w:val="24"/>
              <w:szCs w:val="24"/>
              <w14:ligatures w14:val="standardContextual"/>
            </w:rPr>
          </w:pPr>
        </w:p>
        <w:p w14:paraId="01922EE8" w14:textId="77777777" w:rsidR="00B8096C" w:rsidRDefault="00B8096C" w:rsidP="7C752056">
          <w:pPr>
            <w:autoSpaceDE w:val="0"/>
            <w:autoSpaceDN w:val="0"/>
            <w:adjustRightInd w:val="0"/>
            <w:spacing w:after="0" w:line="240" w:lineRule="auto"/>
            <w:jc w:val="both"/>
            <w:rPr>
              <w:rFonts w:ascii="Times New Roman" w:eastAsiaTheme="minorEastAsia" w:hAnsi="Times New Roman"/>
              <w:sz w:val="24"/>
              <w:szCs w:val="24"/>
              <w14:ligatures w14:val="standardContextual"/>
            </w:rPr>
          </w:pPr>
          <w:r w:rsidRPr="7C752056">
            <w:rPr>
              <w:rFonts w:ascii="Times New Roman" w:eastAsiaTheme="minorEastAsia" w:hAnsi="Times New Roman"/>
              <w:sz w:val="24"/>
              <w:szCs w:val="24"/>
              <w14:ligatures w14:val="standardContextual"/>
            </w:rPr>
            <w:lastRenderedPageBreak/>
            <w:t xml:space="preserve">La suma adeudada surte actualizaciones de IPC entre la fecha de reconocimiento de la deuda hasta la fecha de pago o la fecha en la cual se realiza el cierre de la vigencia respectiva. </w:t>
          </w:r>
        </w:p>
        <w:p w14:paraId="601E2CA2" w14:textId="51522FA5" w:rsidR="00B8096C" w:rsidRPr="00F01668" w:rsidRDefault="00B8096C" w:rsidP="7C752056">
          <w:pPr>
            <w:autoSpaceDE w:val="0"/>
            <w:autoSpaceDN w:val="0"/>
            <w:adjustRightInd w:val="0"/>
            <w:spacing w:after="0" w:line="240" w:lineRule="auto"/>
            <w:jc w:val="both"/>
            <w:rPr>
              <w:rFonts w:ascii="Times New Roman" w:eastAsiaTheme="minorEastAsia" w:hAnsi="Times New Roman"/>
              <w:sz w:val="24"/>
              <w:szCs w:val="24"/>
              <w14:ligatures w14:val="standardContextual"/>
            </w:rPr>
          </w:pPr>
        </w:p>
        <w:p w14:paraId="00A31F18" w14:textId="51265DD8" w:rsidR="00B8096C" w:rsidRDefault="00B8096C" w:rsidP="7C752056">
          <w:pPr>
            <w:autoSpaceDE w:val="0"/>
            <w:autoSpaceDN w:val="0"/>
            <w:adjustRightInd w:val="0"/>
            <w:spacing w:after="0" w:line="240" w:lineRule="auto"/>
            <w:jc w:val="both"/>
            <w:rPr>
              <w:rFonts w:ascii="Times New Roman" w:eastAsiaTheme="minorEastAsia" w:hAnsi="Times New Roman"/>
              <w:sz w:val="24"/>
              <w:szCs w:val="24"/>
              <w14:ligatures w14:val="standardContextual"/>
            </w:rPr>
          </w:pPr>
          <w:r w:rsidRPr="7C752056">
            <w:rPr>
              <w:rFonts w:ascii="Times New Roman" w:eastAsiaTheme="minorEastAsia" w:hAnsi="Times New Roman"/>
              <w:sz w:val="24"/>
              <w:szCs w:val="24"/>
              <w14:ligatures w14:val="standardContextual"/>
            </w:rPr>
            <w:t xml:space="preserve">Los intereses, se calculan según lo definido por el panel de amigable componedor de enero de 2015, en su decisión del capítulo 8, es decir que se causan 30 </w:t>
          </w:r>
          <w:r w:rsidR="00A80702" w:rsidRPr="2A5EB36E">
            <w:rPr>
              <w:rFonts w:ascii="Times New Roman" w:eastAsiaTheme="minorEastAsia" w:hAnsi="Times New Roman"/>
              <w:sz w:val="24"/>
              <w:szCs w:val="24"/>
              <w14:ligatures w14:val="standardContextual"/>
            </w:rPr>
            <w:t>días</w:t>
          </w:r>
          <w:r w:rsidRPr="7C752056">
            <w:rPr>
              <w:rFonts w:ascii="Times New Roman" w:eastAsiaTheme="minorEastAsia" w:hAnsi="Times New Roman"/>
              <w:sz w:val="24"/>
              <w:szCs w:val="24"/>
              <w14:ligatures w14:val="standardContextual"/>
            </w:rPr>
            <w:t xml:space="preserve"> después del a fecha de las actas de finalización de obras.</w:t>
          </w:r>
        </w:p>
        <w:p w14:paraId="0CEC8B4D" w14:textId="37561DF5" w:rsidR="00B8096C" w:rsidRPr="00F01668" w:rsidRDefault="00B8096C" w:rsidP="7C752056">
          <w:pPr>
            <w:autoSpaceDE w:val="0"/>
            <w:autoSpaceDN w:val="0"/>
            <w:adjustRightInd w:val="0"/>
            <w:spacing w:after="0" w:line="240" w:lineRule="auto"/>
            <w:jc w:val="both"/>
            <w:rPr>
              <w:rFonts w:ascii="Times New Roman" w:eastAsiaTheme="minorEastAsia" w:hAnsi="Times New Roman"/>
              <w:sz w:val="24"/>
              <w:szCs w:val="24"/>
              <w14:ligatures w14:val="standardContextual"/>
            </w:rPr>
          </w:pPr>
        </w:p>
        <w:p w14:paraId="69A8C98F" w14:textId="77777777" w:rsidR="00B8096C" w:rsidRPr="00F01668" w:rsidRDefault="00B8096C" w:rsidP="7C752056">
          <w:pPr>
            <w:autoSpaceDE w:val="0"/>
            <w:autoSpaceDN w:val="0"/>
            <w:adjustRightInd w:val="0"/>
            <w:spacing w:after="0" w:line="240" w:lineRule="auto"/>
            <w:jc w:val="both"/>
            <w:rPr>
              <w:rFonts w:ascii="Times New Roman" w:eastAsiaTheme="minorEastAsia" w:hAnsi="Times New Roman"/>
              <w:sz w:val="24"/>
              <w:szCs w:val="24"/>
              <w14:ligatures w14:val="standardContextual"/>
            </w:rPr>
          </w:pPr>
          <w:r w:rsidRPr="7C752056">
            <w:rPr>
              <w:rFonts w:ascii="Times New Roman" w:eastAsiaTheme="minorEastAsia" w:hAnsi="Times New Roman"/>
              <w:sz w:val="24"/>
              <w:szCs w:val="24"/>
              <w14:ligatures w14:val="standardContextual"/>
            </w:rPr>
            <w:t>La tasa real anual de interés, según el Adicional 1 al contrato de concesión 444 de 1994, es de 11,33%EA, equivalente a una tasa periódica diaria real de 0.029%.</w:t>
          </w:r>
        </w:p>
        <w:p w14:paraId="0B496E52" w14:textId="6E6AD8D1" w:rsidR="00B8096C" w:rsidRDefault="00B8096C" w:rsidP="7C752056">
          <w:pPr>
            <w:autoSpaceDE w:val="0"/>
            <w:autoSpaceDN w:val="0"/>
            <w:adjustRightInd w:val="0"/>
            <w:spacing w:after="0" w:line="240" w:lineRule="auto"/>
            <w:jc w:val="both"/>
            <w:rPr>
              <w:rFonts w:ascii="Times New Roman" w:eastAsiaTheme="minorEastAsia" w:hAnsi="Times New Roman"/>
              <w:sz w:val="24"/>
              <w:szCs w:val="24"/>
              <w14:ligatures w14:val="standardContextual"/>
            </w:rPr>
          </w:pPr>
        </w:p>
        <w:p w14:paraId="1B1A0939" w14:textId="77777777" w:rsidR="00B8096C" w:rsidRDefault="00B8096C" w:rsidP="7C752056">
          <w:pPr>
            <w:autoSpaceDE w:val="0"/>
            <w:autoSpaceDN w:val="0"/>
            <w:adjustRightInd w:val="0"/>
            <w:spacing w:after="0" w:line="240" w:lineRule="auto"/>
            <w:jc w:val="both"/>
            <w:rPr>
              <w:rFonts w:ascii="Times New Roman" w:eastAsiaTheme="minorEastAsia" w:hAnsi="Times New Roman"/>
              <w:sz w:val="24"/>
              <w:szCs w:val="24"/>
              <w14:ligatures w14:val="standardContextual"/>
            </w:rPr>
          </w:pPr>
          <w:r w:rsidRPr="7C752056">
            <w:rPr>
              <w:rFonts w:ascii="Times New Roman" w:eastAsiaTheme="minorEastAsia" w:hAnsi="Times New Roman"/>
              <w:sz w:val="24"/>
              <w:szCs w:val="24"/>
              <w14:ligatures w14:val="standardContextual"/>
            </w:rPr>
            <w:t>El valor de la deuda es de $932.445.832 pesos de diciembre de 2008, equivalentes a $1.321.321.164 de abril de 2018. La ANI no ha realizado abonos, lo anterior, con ocasión de la falta de recursos en la cuenta de Diseños del Fondo Contingente en la Fiduprevisora por el pago de los diseños definitivos de la Etapa 6A -Puente la Quiña del Sector 6A. La Agencia Nacional de Infraestructura se encuentra gestionando los diferentes medios alternativos al interior de la misma, con el fin de obtener los recursos necesarios para cumplir con los compromisos anteriormente descritos con presupuesto de la Entidad.</w:t>
          </w:r>
        </w:p>
        <w:p w14:paraId="062C1338" w14:textId="548E2B7F" w:rsidR="00F45149" w:rsidRPr="00931DCE" w:rsidRDefault="00F45149" w:rsidP="00AC1938">
          <w:pPr>
            <w:spacing w:after="0" w:line="240" w:lineRule="auto"/>
            <w:jc w:val="both"/>
            <w:rPr>
              <w:rFonts w:ascii="Times New Roman" w:hAnsi="Times New Roman"/>
              <w:sz w:val="24"/>
              <w:szCs w:val="24"/>
              <w:u w:val="single"/>
            </w:rPr>
          </w:pPr>
        </w:p>
        <w:p w14:paraId="2DC84C85" w14:textId="2E1CF9B5" w:rsidR="00A80702" w:rsidRDefault="3504B927" w:rsidP="6E3FFE26">
          <w:pPr>
            <w:autoSpaceDE w:val="0"/>
            <w:autoSpaceDN w:val="0"/>
            <w:adjustRightInd w:val="0"/>
            <w:spacing w:line="240" w:lineRule="auto"/>
            <w:ind w:left="-20" w:right="-20"/>
            <w:jc w:val="both"/>
          </w:pPr>
          <w:r w:rsidRPr="6E3FFE26">
            <w:rPr>
              <w14:ligatures w14:val="standardContextual"/>
            </w:rPr>
            <w:t>￼</w:t>
          </w:r>
          <w:r w:rsidRPr="6E3FFE26">
            <w:rPr>
              <w:rFonts w:ascii="Times New Roman" w:eastAsia="Times New Roman" w:hAnsi="Times New Roman"/>
              <w:sz w:val="24"/>
              <w:szCs w:val="24"/>
            </w:rPr>
            <w:t xml:space="preserve">Así mismo, en la subcuenta contable proyectos de inversión se registró un valor de $709.885.437, correspondiente a la deuda reconocida a nombre de </w:t>
          </w:r>
          <w:r w:rsidR="00A80702">
            <w:br/>
          </w:r>
          <w:r w:rsidRPr="6E3FFE26">
            <w:rPr>
              <w:rFonts w:ascii="Times New Roman" w:eastAsia="Times New Roman" w:hAnsi="Times New Roman"/>
              <w:sz w:val="24"/>
              <w:szCs w:val="24"/>
            </w:rPr>
            <w:t>Autopistas del Nordeste S.A.S., del proyecto de concesión Conexión Norte, contrato No. 009 de 2014, valor que corresponde al reconocimiento de los costos por los estudios y diseños realizados para el mejoramiento del puente sobre el rio Cauca Carlos Lleras restrepo conforme a lo dispuesto en la “Decisión adoptada por los Amigables Componedores de fecha de 31 de octubre de 2018.</w:t>
          </w:r>
        </w:p>
        <w:p w14:paraId="5F4D8B1C" w14:textId="25320277" w:rsidR="00A80702" w:rsidRDefault="3504B927" w:rsidP="6E3FFE26">
          <w:pPr>
            <w:autoSpaceDE w:val="0"/>
            <w:autoSpaceDN w:val="0"/>
            <w:adjustRightInd w:val="0"/>
            <w:spacing w:after="0" w:line="240" w:lineRule="auto"/>
            <w:ind w:left="-20" w:right="-20"/>
            <w:jc w:val="both"/>
          </w:pPr>
          <w:r w:rsidRPr="6E3FFE26">
            <w:rPr>
              <w:rFonts w:ascii="Times New Roman" w:eastAsia="Times New Roman" w:hAnsi="Times New Roman"/>
              <w:sz w:val="24"/>
              <w:szCs w:val="24"/>
            </w:rPr>
            <w:t xml:space="preserve"> “(…)SÉPTIMO: Declarar que la ANI debe reconocer al Concesionario debidamente actualizados todos los gastos, costos y desembolsos en que el mismo haya incurrido en la elaboración de los estudios de hidráulica y socavación.(…)” y Laudo emitido el pasado 11 de mayo de 20</w:t>
          </w:r>
          <w:r w:rsidRPr="6E3FFE26">
            <w:rPr>
              <w:rFonts w:ascii="Times New Roman" w:eastAsia="Times New Roman" w:hAnsi="Times New Roman"/>
              <w:b/>
              <w:bCs/>
              <w:sz w:val="24"/>
              <w:szCs w:val="24"/>
            </w:rPr>
            <w:t>2</w:t>
          </w:r>
          <w:r w:rsidRPr="6E3FFE26">
            <w:rPr>
              <w:rFonts w:ascii="Times New Roman" w:eastAsia="Times New Roman" w:hAnsi="Times New Roman"/>
              <w:sz w:val="24"/>
              <w:szCs w:val="24"/>
            </w:rPr>
            <w:t>2 dentro del Tribunal de Arbitramento convocado por la Agencia Nacional de Infraestructura – ANI, en el marco del Contrato de Concesión No. 009 de 2014 del Proyecto Vial Autopista Conexión Norte: “(…)Profiere laudo que pone fin al proceso y que resuelve las diferencias surgidas entre Agencia Nacional de Infraestructura – ANI, parte convocante y Autopistas del Nordeste S.A.S en la cual se ratifica la decisión del amigable componedor del 31 de octubre de 2018.(…)”</w:t>
          </w:r>
        </w:p>
        <w:p w14:paraId="5CADCAEE" w14:textId="27E23ABA" w:rsidR="00A80702" w:rsidRDefault="3504B927" w:rsidP="6E3FFE26">
          <w:pPr>
            <w:autoSpaceDE w:val="0"/>
            <w:autoSpaceDN w:val="0"/>
            <w:adjustRightInd w:val="0"/>
            <w:spacing w:after="0" w:line="240" w:lineRule="auto"/>
            <w:ind w:left="-20" w:right="-20"/>
            <w:jc w:val="both"/>
            <w:rPr>
              <w:rFonts w:ascii="Times New Roman" w:eastAsia="Times New Roman" w:hAnsi="Times New Roman"/>
              <w:sz w:val="24"/>
              <w:szCs w:val="24"/>
            </w:rPr>
          </w:pPr>
          <w:r w:rsidRPr="6E3FFE26">
            <w:rPr>
              <w:rFonts w:ascii="Times New Roman" w:eastAsia="Times New Roman" w:hAnsi="Times New Roman"/>
              <w:sz w:val="24"/>
              <w:szCs w:val="24"/>
            </w:rPr>
            <w:t xml:space="preserve"> </w:t>
          </w:r>
        </w:p>
        <w:p w14:paraId="748454B2" w14:textId="77777777" w:rsidR="0017347B" w:rsidRDefault="0017347B" w:rsidP="0017347B">
          <w:pPr>
            <w:autoSpaceDE w:val="0"/>
            <w:autoSpaceDN w:val="0"/>
            <w:adjustRightInd w:val="0"/>
            <w:spacing w:after="0" w:line="240" w:lineRule="auto"/>
            <w:jc w:val="both"/>
            <w:rPr>
              <w:rFonts w:ascii="Times New Roman" w:eastAsiaTheme="minorHAnsi" w:hAnsi="Times New Roman"/>
              <w:sz w:val="24"/>
              <w:szCs w:val="24"/>
              <w14:ligatures w14:val="standardContextual"/>
            </w:rPr>
          </w:pPr>
          <w:r w:rsidRPr="0017347B">
            <w:rPr>
              <w:rFonts w:ascii="Times New Roman" w:eastAsiaTheme="minorHAnsi" w:hAnsi="Times New Roman"/>
              <w:sz w:val="24"/>
              <w:szCs w:val="24"/>
              <w14:ligatures w14:val="standardContextual"/>
            </w:rPr>
            <w:t>Por tanto, la decisión del Componedor no incluye intereses, sino la actualización de los gastos y costos en los que incurrió el Concesionario en los estudios y diseños.</w:t>
          </w:r>
        </w:p>
        <w:p w14:paraId="72B5CD84" w14:textId="77777777" w:rsidR="0017347B" w:rsidRDefault="0017347B" w:rsidP="6E3FFE26">
          <w:pPr>
            <w:autoSpaceDE w:val="0"/>
            <w:autoSpaceDN w:val="0"/>
            <w:adjustRightInd w:val="0"/>
            <w:spacing w:after="0" w:line="240" w:lineRule="auto"/>
            <w:ind w:left="-20" w:right="-20"/>
            <w:jc w:val="both"/>
          </w:pPr>
        </w:p>
        <w:p w14:paraId="1048B5B3" w14:textId="66AD5FB8" w:rsidR="00A80702" w:rsidRDefault="3504B927" w:rsidP="6E3FFE26">
          <w:pPr>
            <w:autoSpaceDE w:val="0"/>
            <w:autoSpaceDN w:val="0"/>
            <w:adjustRightInd w:val="0"/>
            <w:spacing w:after="0" w:line="240" w:lineRule="auto"/>
            <w:ind w:left="-20" w:right="-20"/>
            <w:jc w:val="both"/>
          </w:pPr>
          <w:r w:rsidRPr="6E3FFE26">
            <w:rPr>
              <w:rFonts w:ascii="Times New Roman" w:eastAsia="Times New Roman" w:hAnsi="Times New Roman"/>
              <w:sz w:val="24"/>
              <w:szCs w:val="24"/>
            </w:rPr>
            <w:t>Las facturas por reconocer: CC-2016-10-07 ($163.660.360) pagada 13-10-2016, P1589 ($171.025.076) pagada 12-12-2016, P1669 ($65.977.895) pagada 24-03-2017, P1948 ($81.907.376) pagada 23-11-2017, pagada a Pedelta Nit 900.345.143-0, por concepto de los estudios y diseños de la ampliación del puente Carlos Lleras. Estos valores son actualizados desde la fecha del pago hasta el 31 de octubre de 2023.</w:t>
          </w:r>
        </w:p>
        <w:p w14:paraId="57FFC6E0" w14:textId="651B999E" w:rsidR="00A80702" w:rsidRDefault="3504B927" w:rsidP="6E3FFE26">
          <w:pPr>
            <w:autoSpaceDE w:val="0"/>
            <w:autoSpaceDN w:val="0"/>
            <w:adjustRightInd w:val="0"/>
            <w:spacing w:after="0" w:line="240" w:lineRule="auto"/>
            <w:ind w:left="-20" w:right="-20"/>
            <w:jc w:val="both"/>
          </w:pPr>
          <w:r w:rsidRPr="6E3FFE26">
            <w:rPr>
              <w:rFonts w:ascii="Times New Roman" w:eastAsia="Times New Roman" w:hAnsi="Times New Roman"/>
              <w:sz w:val="24"/>
              <w:szCs w:val="24"/>
            </w:rPr>
            <w:t xml:space="preserve">Para la vigencia 2023, se tenían los recursos en el rubro de sentencias y conciliaciones ANI para pagar este Laudo, sin embargo, cuando se requirió a la DIAN en diciembre de 2023, si el concesionario Autopistas del Nordeste y/o sus accionistas tenían saldos pendientes con esta </w:t>
          </w:r>
          <w:r w:rsidRPr="6E3FFE26">
            <w:rPr>
              <w:rFonts w:ascii="Times New Roman" w:eastAsia="Times New Roman" w:hAnsi="Times New Roman"/>
              <w:sz w:val="24"/>
              <w:szCs w:val="24"/>
            </w:rPr>
            <w:lastRenderedPageBreak/>
            <w:t>Entidad, esta informó en enero de 2024 que efectivamente unos accionistas tenían compromisos con la DIAN y, por lo tanto, no se debería realizar el pago. Como la información fue tardía ya caducaron los recursos disponibles en la vigencia 2023 por lo que dicho abono no prosperó.</w:t>
          </w:r>
        </w:p>
        <w:p w14:paraId="1E31CD98" w14:textId="181F1EFA" w:rsidR="00A80702" w:rsidRDefault="3504B927" w:rsidP="6E3FFE26">
          <w:pPr>
            <w:autoSpaceDE w:val="0"/>
            <w:autoSpaceDN w:val="0"/>
            <w:adjustRightInd w:val="0"/>
            <w:spacing w:after="0" w:line="240" w:lineRule="auto"/>
            <w:ind w:left="-20" w:right="-20"/>
            <w:jc w:val="both"/>
            <w:rPr>
              <w:rFonts w:ascii="Times New Roman" w:eastAsia="Times New Roman" w:hAnsi="Times New Roman"/>
              <w:sz w:val="24"/>
              <w:szCs w:val="24"/>
            </w:rPr>
          </w:pPr>
          <w:r w:rsidRPr="6E3FFE26">
            <w:rPr>
              <w:rFonts w:ascii="Times New Roman" w:eastAsia="Times New Roman" w:hAnsi="Times New Roman"/>
              <w:sz w:val="24"/>
              <w:szCs w:val="24"/>
            </w:rPr>
            <w:t>Finalmente se informa que a la fecha no se ha realizado ningún pago por parte de la ANI.</w:t>
          </w:r>
        </w:p>
        <w:p w14:paraId="1D6AA466" w14:textId="2127ED47" w:rsidR="00A80702" w:rsidRDefault="3504B927" w:rsidP="3B5D63BB">
          <w:pPr>
            <w:autoSpaceDE w:val="0"/>
            <w:autoSpaceDN w:val="0"/>
            <w:adjustRightInd w:val="0"/>
            <w:spacing w:after="0" w:line="240" w:lineRule="auto"/>
            <w:ind w:left="-20" w:right="-20"/>
            <w:jc w:val="both"/>
          </w:pPr>
          <w:r w:rsidRPr="6E3FFE26">
            <w:rPr>
              <w:rFonts w:ascii="Times New Roman" w:eastAsia="Times New Roman" w:hAnsi="Times New Roman"/>
              <w:sz w:val="24"/>
              <w:szCs w:val="24"/>
            </w:rPr>
            <w:t>Se informa que, para los pagos de sentencias y conciliaciones, se debe dar aplicación a los artículos 192 y 195 de la Ley 1437 de 2011 o Código de Procedimiento Administrativo y de lo Contencioso Administrativo (CPACA</w:t>
          </w:r>
          <w:r w:rsidRPr="3B5D63BB">
            <w:rPr>
              <w:rFonts w:ascii="Times New Roman" w:eastAsia="Times New Roman" w:hAnsi="Times New Roman"/>
              <w:sz w:val="24"/>
              <w:szCs w:val="24"/>
            </w:rPr>
            <w:t>).</w:t>
          </w:r>
        </w:p>
        <w:p w14:paraId="203D6E59" w14:textId="6FBF0C2B" w:rsidR="007E03C5" w:rsidRPr="00931DCE" w:rsidRDefault="007E03C5" w:rsidP="00AC1938">
          <w:pPr>
            <w:spacing w:after="0" w:line="240" w:lineRule="auto"/>
            <w:rPr>
              <w:rFonts w:ascii="Times New Roman" w:hAnsi="Times New Roman"/>
            </w:rPr>
          </w:pPr>
        </w:p>
        <w:p w14:paraId="34B3F4C3" w14:textId="4ACF275E" w:rsidR="007E03C5" w:rsidRPr="00931DCE" w:rsidRDefault="007E03C5">
          <w:pPr>
            <w:pStyle w:val="Ttulo3"/>
            <w:numPr>
              <w:ilvl w:val="2"/>
              <w:numId w:val="3"/>
            </w:numPr>
            <w:spacing w:line="240" w:lineRule="auto"/>
            <w:ind w:left="709" w:hanging="709"/>
            <w:rPr>
              <w:rFonts w:cs="Times New Roman"/>
              <w:color w:val="1F3864" w:themeColor="accent1" w:themeShade="80"/>
            </w:rPr>
          </w:pPr>
          <w:bookmarkStart w:id="65" w:name="_Toc159952401"/>
          <w:r w:rsidRPr="00931DCE">
            <w:rPr>
              <w:rFonts w:cs="Times New Roman"/>
              <w:color w:val="1F3864" w:themeColor="accent1" w:themeShade="80"/>
            </w:rPr>
            <w:t>Recursos a favor de terceros</w:t>
          </w:r>
          <w:bookmarkEnd w:id="65"/>
        </w:p>
        <w:p w14:paraId="08260C28" w14:textId="78A60764" w:rsidR="007E03C5" w:rsidRPr="00931DCE" w:rsidRDefault="007E03C5" w:rsidP="00AC1938">
          <w:pPr>
            <w:spacing w:after="0" w:line="240" w:lineRule="auto"/>
            <w:rPr>
              <w:rFonts w:ascii="Times New Roman" w:hAnsi="Times New Roman"/>
            </w:rPr>
          </w:pPr>
        </w:p>
        <w:p w14:paraId="156C3B35" w14:textId="5A559124" w:rsidR="00B959C0" w:rsidRPr="00931DCE" w:rsidRDefault="005E753C" w:rsidP="00B959C0">
          <w:pPr>
            <w:spacing w:after="0" w:line="240" w:lineRule="auto"/>
            <w:rPr>
              <w:rFonts w:ascii="Times New Roman" w:hAnsi="Times New Roman"/>
              <w:sz w:val="24"/>
              <w:szCs w:val="24"/>
            </w:rPr>
          </w:pPr>
          <w:r w:rsidRPr="00931DCE">
            <w:rPr>
              <w:rFonts w:ascii="Times New Roman" w:hAnsi="Times New Roman"/>
              <w:sz w:val="24"/>
              <w:szCs w:val="24"/>
            </w:rPr>
            <w:t>Al cierre del período contable, se presenta el siguiente saldo:</w:t>
          </w:r>
        </w:p>
        <w:p w14:paraId="350B1B18" w14:textId="77777777" w:rsidR="00EE6089" w:rsidRDefault="00EE6089" w:rsidP="00B959C0">
          <w:pPr>
            <w:spacing w:after="0" w:line="240" w:lineRule="auto"/>
            <w:rPr>
              <w:rFonts w:ascii="Times New Roman" w:hAnsi="Times New Roman"/>
              <w:sz w:val="24"/>
              <w:szCs w:val="24"/>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CellMar>
              <w:left w:w="70" w:type="dxa"/>
              <w:right w:w="70" w:type="dxa"/>
            </w:tblCellMar>
            <w:tblLook w:val="04A0" w:firstRow="1" w:lastRow="0" w:firstColumn="1" w:lastColumn="0" w:noHBand="0" w:noVBand="1"/>
          </w:tblPr>
          <w:tblGrid>
            <w:gridCol w:w="2959"/>
            <w:gridCol w:w="659"/>
            <w:gridCol w:w="1003"/>
            <w:gridCol w:w="1080"/>
            <w:gridCol w:w="807"/>
            <w:gridCol w:w="860"/>
            <w:gridCol w:w="758"/>
            <w:gridCol w:w="843"/>
          </w:tblGrid>
          <w:tr w:rsidR="00C72FAD" w:rsidRPr="00C72FAD" w14:paraId="0C87657D" w14:textId="77777777" w:rsidTr="00D84C69">
            <w:trPr>
              <w:trHeight w:val="283"/>
            </w:trPr>
            <w:tc>
              <w:tcPr>
                <w:tcW w:w="3075" w:type="pct"/>
                <w:gridSpan w:val="4"/>
                <w:vMerge w:val="restart"/>
                <w:shd w:val="clear" w:color="auto" w:fill="auto"/>
                <w:vAlign w:val="center"/>
                <w:hideMark/>
              </w:tcPr>
              <w:p w14:paraId="353ABEBF" w14:textId="77777777" w:rsidR="00C72FAD" w:rsidRPr="009A46BB" w:rsidRDefault="00C72FAD" w:rsidP="00C72FAD">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ASOCIACIÓN DE DATOS</w:t>
                </w:r>
              </w:p>
            </w:tc>
            <w:tc>
              <w:tcPr>
                <w:tcW w:w="1925" w:type="pct"/>
                <w:gridSpan w:val="4"/>
                <w:shd w:val="clear" w:color="auto" w:fill="auto"/>
                <w:vAlign w:val="center"/>
                <w:hideMark/>
              </w:tcPr>
              <w:p w14:paraId="29B47F61" w14:textId="77777777" w:rsidR="00C72FAD" w:rsidRPr="009A46BB" w:rsidRDefault="00C72FAD" w:rsidP="00C72FAD">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DETALLES DE LA TRANSACCIÓN</w:t>
                </w:r>
                <w:r w:rsidRPr="009A46BB">
                  <w:rPr>
                    <w:rFonts w:ascii="Times New Roman" w:eastAsia="Times New Roman" w:hAnsi="Times New Roman"/>
                    <w:b/>
                    <w:sz w:val="16"/>
                    <w:szCs w:val="16"/>
                    <w:lang w:eastAsia="es-CO"/>
                  </w:rPr>
                  <w:br/>
                  <w:t>(reporte agrupado por datos comunes de asociación)</w:t>
                </w:r>
              </w:p>
            </w:tc>
          </w:tr>
          <w:tr w:rsidR="00C72FAD" w:rsidRPr="00C72FAD" w14:paraId="2D1E1538" w14:textId="77777777" w:rsidTr="00D84C69">
            <w:trPr>
              <w:trHeight w:val="283"/>
            </w:trPr>
            <w:tc>
              <w:tcPr>
                <w:tcW w:w="3075" w:type="pct"/>
                <w:gridSpan w:val="4"/>
                <w:vMerge/>
                <w:vAlign w:val="center"/>
                <w:hideMark/>
              </w:tcPr>
              <w:p w14:paraId="414D1732" w14:textId="77777777" w:rsidR="00C72FAD" w:rsidRPr="009A46BB" w:rsidRDefault="00C72FAD" w:rsidP="00C72FAD">
                <w:pPr>
                  <w:spacing w:after="0" w:line="240" w:lineRule="auto"/>
                  <w:rPr>
                    <w:rFonts w:ascii="Times New Roman" w:eastAsia="Times New Roman" w:hAnsi="Times New Roman"/>
                    <w:b/>
                    <w:sz w:val="16"/>
                    <w:szCs w:val="16"/>
                    <w:lang w:eastAsia="es-CO"/>
                  </w:rPr>
                </w:pPr>
              </w:p>
            </w:tc>
            <w:tc>
              <w:tcPr>
                <w:tcW w:w="956" w:type="pct"/>
                <w:gridSpan w:val="2"/>
                <w:shd w:val="clear" w:color="auto" w:fill="auto"/>
                <w:vAlign w:val="center"/>
                <w:hideMark/>
              </w:tcPr>
              <w:p w14:paraId="457FA823" w14:textId="77777777" w:rsidR="00C72FAD" w:rsidRPr="009A46BB" w:rsidRDefault="00C72FAD" w:rsidP="00C72FAD">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PLAZO</w:t>
                </w:r>
                <w:r w:rsidRPr="009A46BB">
                  <w:rPr>
                    <w:rFonts w:ascii="Times New Roman" w:eastAsia="Times New Roman" w:hAnsi="Times New Roman"/>
                    <w:b/>
                    <w:sz w:val="16"/>
                    <w:szCs w:val="16"/>
                    <w:lang w:eastAsia="es-CO"/>
                  </w:rPr>
                  <w:br/>
                  <w:t>(rango en # meses)</w:t>
                </w:r>
              </w:p>
            </w:tc>
            <w:tc>
              <w:tcPr>
                <w:tcW w:w="481" w:type="pct"/>
                <w:vMerge w:val="restart"/>
                <w:shd w:val="clear" w:color="auto" w:fill="auto"/>
                <w:textDirection w:val="btLr"/>
                <w:vAlign w:val="center"/>
                <w:hideMark/>
              </w:tcPr>
              <w:p w14:paraId="4D6231C9" w14:textId="77777777" w:rsidR="00C72FAD" w:rsidRPr="009A46BB" w:rsidRDefault="00C72FAD" w:rsidP="006755A4">
                <w:pPr>
                  <w:spacing w:after="0" w:line="240" w:lineRule="auto"/>
                  <w:ind w:left="113" w:right="113"/>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RESTRICCIONES</w:t>
                </w:r>
              </w:p>
            </w:tc>
            <w:tc>
              <w:tcPr>
                <w:tcW w:w="488" w:type="pct"/>
                <w:vMerge w:val="restart"/>
                <w:shd w:val="clear" w:color="auto" w:fill="auto"/>
                <w:vAlign w:val="center"/>
                <w:hideMark/>
              </w:tcPr>
              <w:p w14:paraId="4B1CDB83" w14:textId="77777777" w:rsidR="00C72FAD" w:rsidRPr="009A46BB" w:rsidRDefault="00C72FAD" w:rsidP="00C72FAD">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TASA DE INTERES</w:t>
                </w:r>
                <w:r w:rsidRPr="009A46BB">
                  <w:rPr>
                    <w:rFonts w:ascii="Times New Roman" w:eastAsia="Times New Roman" w:hAnsi="Times New Roman"/>
                    <w:b/>
                    <w:sz w:val="16"/>
                    <w:szCs w:val="16"/>
                    <w:lang w:eastAsia="es-CO"/>
                  </w:rPr>
                  <w:br/>
                  <w:t>(%)</w:t>
                </w:r>
              </w:p>
            </w:tc>
          </w:tr>
          <w:tr w:rsidR="00C72FAD" w:rsidRPr="00C72FAD" w14:paraId="75EC80FF" w14:textId="77777777" w:rsidTr="00D84C69">
            <w:trPr>
              <w:trHeight w:val="283"/>
            </w:trPr>
            <w:tc>
              <w:tcPr>
                <w:tcW w:w="1453" w:type="pct"/>
                <w:shd w:val="clear" w:color="auto" w:fill="auto"/>
                <w:vAlign w:val="center"/>
                <w:hideMark/>
              </w:tcPr>
              <w:p w14:paraId="7620DD02" w14:textId="77777777" w:rsidR="00C72FAD" w:rsidRPr="009A46BB" w:rsidRDefault="00C72FAD" w:rsidP="00C72FAD">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TIPO DE TERCEROS</w:t>
                </w:r>
              </w:p>
            </w:tc>
            <w:tc>
              <w:tcPr>
                <w:tcW w:w="472" w:type="pct"/>
                <w:shd w:val="clear" w:color="auto" w:fill="auto"/>
                <w:vAlign w:val="center"/>
                <w:hideMark/>
              </w:tcPr>
              <w:p w14:paraId="65CB837F" w14:textId="77777777" w:rsidR="00C72FAD" w:rsidRPr="009A46BB" w:rsidRDefault="00C72FAD" w:rsidP="00C72FAD">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PN / PJ / ECP</w:t>
                </w:r>
              </w:p>
            </w:tc>
            <w:tc>
              <w:tcPr>
                <w:tcW w:w="443" w:type="pct"/>
                <w:shd w:val="clear" w:color="auto" w:fill="auto"/>
                <w:vAlign w:val="center"/>
                <w:hideMark/>
              </w:tcPr>
              <w:p w14:paraId="4B807D06" w14:textId="77777777" w:rsidR="00C72FAD" w:rsidRPr="009A46BB" w:rsidRDefault="00C72FAD" w:rsidP="00C72FAD">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CANTIDAD</w:t>
                </w:r>
              </w:p>
            </w:tc>
            <w:tc>
              <w:tcPr>
                <w:tcW w:w="707" w:type="pct"/>
                <w:shd w:val="clear" w:color="auto" w:fill="auto"/>
                <w:vAlign w:val="center"/>
                <w:hideMark/>
              </w:tcPr>
              <w:p w14:paraId="1B491983" w14:textId="77777777" w:rsidR="00C72FAD" w:rsidRPr="009A46BB" w:rsidRDefault="00C72FAD" w:rsidP="00C72FAD">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VALOR EN LIBROS</w:t>
                </w:r>
              </w:p>
            </w:tc>
            <w:tc>
              <w:tcPr>
                <w:tcW w:w="404" w:type="pct"/>
                <w:shd w:val="clear" w:color="auto" w:fill="auto"/>
                <w:vAlign w:val="center"/>
                <w:hideMark/>
              </w:tcPr>
              <w:p w14:paraId="5E647142" w14:textId="77777777" w:rsidR="00C72FAD" w:rsidRPr="009A46BB" w:rsidRDefault="00C72FAD" w:rsidP="00C72FAD">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MÍNIMO</w:t>
                </w:r>
              </w:p>
            </w:tc>
            <w:tc>
              <w:tcPr>
                <w:tcW w:w="552" w:type="pct"/>
                <w:shd w:val="clear" w:color="auto" w:fill="auto"/>
                <w:vAlign w:val="center"/>
                <w:hideMark/>
              </w:tcPr>
              <w:p w14:paraId="4E59D36F" w14:textId="77777777" w:rsidR="00C72FAD" w:rsidRPr="009A46BB" w:rsidRDefault="00C72FAD" w:rsidP="00C72FAD">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MÁXIMO</w:t>
                </w:r>
              </w:p>
            </w:tc>
            <w:tc>
              <w:tcPr>
                <w:tcW w:w="481" w:type="pct"/>
                <w:vMerge/>
                <w:vAlign w:val="center"/>
                <w:hideMark/>
              </w:tcPr>
              <w:p w14:paraId="671116B9" w14:textId="77777777" w:rsidR="00C72FAD" w:rsidRPr="009A46BB" w:rsidRDefault="00C72FAD" w:rsidP="00C72FAD">
                <w:pPr>
                  <w:spacing w:after="0" w:line="240" w:lineRule="auto"/>
                  <w:rPr>
                    <w:rFonts w:ascii="Times New Roman" w:eastAsia="Times New Roman" w:hAnsi="Times New Roman"/>
                    <w:b/>
                    <w:sz w:val="16"/>
                    <w:szCs w:val="16"/>
                    <w:lang w:eastAsia="es-CO"/>
                  </w:rPr>
                </w:pPr>
              </w:p>
            </w:tc>
            <w:tc>
              <w:tcPr>
                <w:tcW w:w="488" w:type="pct"/>
                <w:vMerge/>
                <w:vAlign w:val="center"/>
                <w:hideMark/>
              </w:tcPr>
              <w:p w14:paraId="15A1A967" w14:textId="77777777" w:rsidR="00C72FAD" w:rsidRPr="009A46BB" w:rsidRDefault="00C72FAD" w:rsidP="00C72FAD">
                <w:pPr>
                  <w:spacing w:after="0" w:line="240" w:lineRule="auto"/>
                  <w:rPr>
                    <w:rFonts w:ascii="Times New Roman" w:eastAsia="Times New Roman" w:hAnsi="Times New Roman"/>
                    <w:b/>
                    <w:sz w:val="16"/>
                    <w:szCs w:val="16"/>
                    <w:lang w:eastAsia="es-CO"/>
                  </w:rPr>
                </w:pPr>
              </w:p>
            </w:tc>
          </w:tr>
          <w:tr w:rsidR="00C72FAD" w:rsidRPr="00C72FAD" w14:paraId="2FF2AD2C" w14:textId="77777777" w:rsidTr="00D84C69">
            <w:trPr>
              <w:trHeight w:val="283"/>
            </w:trPr>
            <w:tc>
              <w:tcPr>
                <w:tcW w:w="1453" w:type="pct"/>
                <w:shd w:val="clear" w:color="auto" w:fill="auto"/>
                <w:noWrap/>
                <w:vAlign w:val="center"/>
                <w:hideMark/>
              </w:tcPr>
              <w:p w14:paraId="0D1DB9C4" w14:textId="77777777" w:rsidR="00C72FAD" w:rsidRPr="009A46BB" w:rsidRDefault="00C72FAD" w:rsidP="00C72FAD">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RECURSOS A FAVOR DE TERCEROS</w:t>
                </w:r>
              </w:p>
            </w:tc>
            <w:tc>
              <w:tcPr>
                <w:tcW w:w="472" w:type="pct"/>
                <w:shd w:val="clear" w:color="auto" w:fill="auto"/>
                <w:noWrap/>
                <w:vAlign w:val="center"/>
                <w:hideMark/>
              </w:tcPr>
              <w:p w14:paraId="486C42E2" w14:textId="77777777" w:rsidR="00C72FAD" w:rsidRPr="009A46BB" w:rsidRDefault="00C72FAD" w:rsidP="00C72FAD">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443" w:type="pct"/>
                <w:shd w:val="clear" w:color="auto" w:fill="auto"/>
                <w:noWrap/>
                <w:vAlign w:val="center"/>
                <w:hideMark/>
              </w:tcPr>
              <w:p w14:paraId="7C4EB828" w14:textId="77777777" w:rsidR="00C72FAD" w:rsidRPr="009A46BB" w:rsidRDefault="00C72FAD" w:rsidP="00C72FAD">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707" w:type="pct"/>
                <w:shd w:val="clear" w:color="auto" w:fill="auto"/>
                <w:noWrap/>
                <w:vAlign w:val="center"/>
                <w:hideMark/>
              </w:tcPr>
              <w:p w14:paraId="72FBD17C" w14:textId="77777777" w:rsidR="00C72FAD" w:rsidRPr="009A46BB" w:rsidRDefault="00C72FAD" w:rsidP="00C72FAD">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5.877.715.418 </w:t>
                </w:r>
              </w:p>
            </w:tc>
            <w:tc>
              <w:tcPr>
                <w:tcW w:w="404" w:type="pct"/>
                <w:shd w:val="clear" w:color="auto" w:fill="auto"/>
                <w:noWrap/>
                <w:vAlign w:val="center"/>
                <w:hideMark/>
              </w:tcPr>
              <w:p w14:paraId="41A08519" w14:textId="77777777" w:rsidR="00C72FAD" w:rsidRPr="009A46BB" w:rsidRDefault="00C72FAD" w:rsidP="00C72FAD">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552" w:type="pct"/>
                <w:shd w:val="clear" w:color="auto" w:fill="auto"/>
                <w:noWrap/>
                <w:vAlign w:val="center"/>
                <w:hideMark/>
              </w:tcPr>
              <w:p w14:paraId="461EDE15" w14:textId="77777777" w:rsidR="00C72FAD" w:rsidRPr="009A46BB" w:rsidRDefault="00C72FAD" w:rsidP="00C72FAD">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481" w:type="pct"/>
                <w:shd w:val="clear" w:color="auto" w:fill="auto"/>
                <w:noWrap/>
                <w:vAlign w:val="center"/>
                <w:hideMark/>
              </w:tcPr>
              <w:p w14:paraId="293AA8D7" w14:textId="77777777" w:rsidR="00C72FAD" w:rsidRPr="009A46BB" w:rsidRDefault="00C72FAD" w:rsidP="00C72FAD">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488" w:type="pct"/>
                <w:shd w:val="clear" w:color="auto" w:fill="auto"/>
                <w:noWrap/>
                <w:vAlign w:val="center"/>
                <w:hideMark/>
              </w:tcPr>
              <w:p w14:paraId="4A6C1872" w14:textId="77777777" w:rsidR="00C72FAD" w:rsidRPr="009A46BB" w:rsidRDefault="00C72FAD" w:rsidP="00C72FAD">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0,0 </w:t>
                </w:r>
              </w:p>
            </w:tc>
          </w:tr>
          <w:tr w:rsidR="00C72FAD" w:rsidRPr="00C72FAD" w14:paraId="5547B0F8" w14:textId="77777777" w:rsidTr="00D84C69">
            <w:trPr>
              <w:trHeight w:val="283"/>
            </w:trPr>
            <w:tc>
              <w:tcPr>
                <w:tcW w:w="1453" w:type="pct"/>
                <w:shd w:val="clear" w:color="auto" w:fill="auto"/>
                <w:noWrap/>
                <w:vAlign w:val="center"/>
                <w:hideMark/>
              </w:tcPr>
              <w:p w14:paraId="0BEA5012" w14:textId="77777777" w:rsidR="00C72FAD" w:rsidRPr="009A46BB" w:rsidRDefault="00C72FAD" w:rsidP="00C72FAD">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Cobro cartera de terceros</w:t>
                </w:r>
              </w:p>
            </w:tc>
            <w:tc>
              <w:tcPr>
                <w:tcW w:w="472" w:type="pct"/>
                <w:shd w:val="clear" w:color="auto" w:fill="auto"/>
                <w:noWrap/>
                <w:vAlign w:val="center"/>
                <w:hideMark/>
              </w:tcPr>
              <w:p w14:paraId="370E8946" w14:textId="77777777" w:rsidR="00C72FAD" w:rsidRPr="009A46BB" w:rsidRDefault="00C72FAD" w:rsidP="00C72FAD">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443" w:type="pct"/>
                <w:shd w:val="clear" w:color="auto" w:fill="auto"/>
                <w:noWrap/>
                <w:vAlign w:val="center"/>
                <w:hideMark/>
              </w:tcPr>
              <w:p w14:paraId="43B507E3" w14:textId="77777777" w:rsidR="00C72FAD" w:rsidRPr="009A46BB" w:rsidRDefault="00C72FAD" w:rsidP="00C72FAD">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707" w:type="pct"/>
                <w:shd w:val="clear" w:color="auto" w:fill="auto"/>
                <w:noWrap/>
                <w:vAlign w:val="center"/>
                <w:hideMark/>
              </w:tcPr>
              <w:p w14:paraId="12FC77EB" w14:textId="77777777" w:rsidR="00C72FAD" w:rsidRPr="009A46BB" w:rsidRDefault="00C72FAD" w:rsidP="00C72FAD">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252.340.778 </w:t>
                </w:r>
              </w:p>
            </w:tc>
            <w:tc>
              <w:tcPr>
                <w:tcW w:w="404" w:type="pct"/>
                <w:shd w:val="clear" w:color="auto" w:fill="auto"/>
                <w:noWrap/>
                <w:vAlign w:val="center"/>
                <w:hideMark/>
              </w:tcPr>
              <w:p w14:paraId="7A912DC9" w14:textId="77777777" w:rsidR="00C72FAD" w:rsidRPr="009A46BB" w:rsidRDefault="00C72FAD" w:rsidP="00C72FAD">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552" w:type="pct"/>
                <w:shd w:val="clear" w:color="auto" w:fill="auto"/>
                <w:noWrap/>
                <w:vAlign w:val="center"/>
                <w:hideMark/>
              </w:tcPr>
              <w:p w14:paraId="2E9679CC" w14:textId="77777777" w:rsidR="00C72FAD" w:rsidRPr="009A46BB" w:rsidRDefault="00C72FAD" w:rsidP="00C72FAD">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481" w:type="pct"/>
                <w:shd w:val="clear" w:color="auto" w:fill="auto"/>
                <w:noWrap/>
                <w:vAlign w:val="center"/>
                <w:hideMark/>
              </w:tcPr>
              <w:p w14:paraId="5DCB51A9" w14:textId="77777777" w:rsidR="00C72FAD" w:rsidRPr="009A46BB" w:rsidRDefault="00C72FAD" w:rsidP="00C72FAD">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488" w:type="pct"/>
                <w:shd w:val="clear" w:color="auto" w:fill="auto"/>
                <w:noWrap/>
                <w:vAlign w:val="center"/>
                <w:hideMark/>
              </w:tcPr>
              <w:p w14:paraId="5C08B655" w14:textId="77777777" w:rsidR="00C72FAD" w:rsidRPr="009A46BB" w:rsidRDefault="00C72FAD" w:rsidP="00C72FAD">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0,0 </w:t>
                </w:r>
              </w:p>
            </w:tc>
          </w:tr>
          <w:tr w:rsidR="00C72FAD" w:rsidRPr="00C72FAD" w14:paraId="191F0364" w14:textId="77777777" w:rsidTr="00D84C69">
            <w:trPr>
              <w:trHeight w:val="283"/>
            </w:trPr>
            <w:tc>
              <w:tcPr>
                <w:tcW w:w="1453" w:type="pct"/>
                <w:shd w:val="clear" w:color="auto" w:fill="auto"/>
                <w:vAlign w:val="center"/>
                <w:hideMark/>
              </w:tcPr>
              <w:p w14:paraId="3A5D0EFC" w14:textId="77777777" w:rsidR="00C72FAD" w:rsidRPr="009A46BB" w:rsidRDefault="00C72FAD" w:rsidP="00C72FAD">
                <w:pPr>
                  <w:spacing w:after="0" w:line="240" w:lineRule="auto"/>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Nacionales</w:t>
                </w:r>
              </w:p>
            </w:tc>
            <w:tc>
              <w:tcPr>
                <w:tcW w:w="472" w:type="pct"/>
                <w:shd w:val="clear" w:color="auto" w:fill="auto"/>
                <w:noWrap/>
                <w:vAlign w:val="center"/>
                <w:hideMark/>
              </w:tcPr>
              <w:p w14:paraId="1F149AD0" w14:textId="77777777" w:rsidR="00C72FAD" w:rsidRPr="009A46BB" w:rsidRDefault="00C72FAD" w:rsidP="00C72FAD">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PJ</w:t>
                </w:r>
              </w:p>
            </w:tc>
            <w:tc>
              <w:tcPr>
                <w:tcW w:w="443" w:type="pct"/>
                <w:shd w:val="clear" w:color="auto" w:fill="auto"/>
                <w:noWrap/>
                <w:vAlign w:val="center"/>
                <w:hideMark/>
              </w:tcPr>
              <w:p w14:paraId="7483D90D" w14:textId="77777777" w:rsidR="00C72FAD" w:rsidRPr="009A46BB" w:rsidRDefault="00C72FAD" w:rsidP="00C72FAD">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w:t>
                </w:r>
              </w:p>
            </w:tc>
            <w:tc>
              <w:tcPr>
                <w:tcW w:w="707" w:type="pct"/>
                <w:shd w:val="clear" w:color="auto" w:fill="auto"/>
                <w:noWrap/>
                <w:vAlign w:val="center"/>
                <w:hideMark/>
              </w:tcPr>
              <w:p w14:paraId="012AD079" w14:textId="77777777" w:rsidR="00C72FAD" w:rsidRPr="009A46BB" w:rsidRDefault="00C72FAD" w:rsidP="00C72FAD">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 xml:space="preserve">252.340.778 </w:t>
                </w:r>
              </w:p>
            </w:tc>
            <w:tc>
              <w:tcPr>
                <w:tcW w:w="404" w:type="pct"/>
                <w:shd w:val="clear" w:color="auto" w:fill="auto"/>
                <w:noWrap/>
                <w:vAlign w:val="center"/>
                <w:hideMark/>
              </w:tcPr>
              <w:p w14:paraId="628C5219" w14:textId="77777777" w:rsidR="00C72FAD" w:rsidRPr="009A46BB" w:rsidRDefault="00C72FAD" w:rsidP="00C72FAD">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NA</w:t>
                </w:r>
              </w:p>
            </w:tc>
            <w:tc>
              <w:tcPr>
                <w:tcW w:w="552" w:type="pct"/>
                <w:shd w:val="clear" w:color="auto" w:fill="auto"/>
                <w:noWrap/>
                <w:vAlign w:val="center"/>
                <w:hideMark/>
              </w:tcPr>
              <w:p w14:paraId="3C36865D" w14:textId="77777777" w:rsidR="00C72FAD" w:rsidRPr="009A46BB" w:rsidRDefault="00C72FAD" w:rsidP="00C72FAD">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NA</w:t>
                </w:r>
              </w:p>
            </w:tc>
            <w:tc>
              <w:tcPr>
                <w:tcW w:w="481" w:type="pct"/>
                <w:shd w:val="clear" w:color="auto" w:fill="auto"/>
                <w:noWrap/>
                <w:vAlign w:val="center"/>
                <w:hideMark/>
              </w:tcPr>
              <w:p w14:paraId="12CD77B4" w14:textId="77777777" w:rsidR="00C72FAD" w:rsidRPr="009A46BB" w:rsidRDefault="00C72FAD" w:rsidP="00C72FAD">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No aplica</w:t>
                </w:r>
              </w:p>
            </w:tc>
            <w:tc>
              <w:tcPr>
                <w:tcW w:w="488" w:type="pct"/>
                <w:shd w:val="clear" w:color="auto" w:fill="auto"/>
                <w:noWrap/>
                <w:vAlign w:val="center"/>
                <w:hideMark/>
              </w:tcPr>
              <w:p w14:paraId="6F75E6AA" w14:textId="77777777" w:rsidR="00C72FAD" w:rsidRPr="009A46BB" w:rsidRDefault="00C72FAD" w:rsidP="00C72FAD">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NA</w:t>
                </w:r>
              </w:p>
            </w:tc>
          </w:tr>
          <w:tr w:rsidR="00C72FAD" w:rsidRPr="00C72FAD" w14:paraId="62D19D5E" w14:textId="77777777" w:rsidTr="00D84C69">
            <w:trPr>
              <w:trHeight w:val="283"/>
            </w:trPr>
            <w:tc>
              <w:tcPr>
                <w:tcW w:w="1453" w:type="pct"/>
                <w:shd w:val="clear" w:color="auto" w:fill="auto"/>
                <w:noWrap/>
                <w:vAlign w:val="center"/>
                <w:hideMark/>
              </w:tcPr>
              <w:p w14:paraId="55D1E214" w14:textId="77777777" w:rsidR="00C72FAD" w:rsidRPr="009A46BB" w:rsidRDefault="00C72FAD" w:rsidP="00C72FAD">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Recaudos por clasificar</w:t>
                </w:r>
              </w:p>
            </w:tc>
            <w:tc>
              <w:tcPr>
                <w:tcW w:w="472" w:type="pct"/>
                <w:shd w:val="clear" w:color="auto" w:fill="auto"/>
                <w:noWrap/>
                <w:vAlign w:val="center"/>
                <w:hideMark/>
              </w:tcPr>
              <w:p w14:paraId="6FDAEF6E" w14:textId="77777777" w:rsidR="00C72FAD" w:rsidRPr="009A46BB" w:rsidRDefault="00C72FAD" w:rsidP="00C72FAD">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443" w:type="pct"/>
                <w:shd w:val="clear" w:color="auto" w:fill="auto"/>
                <w:noWrap/>
                <w:vAlign w:val="center"/>
                <w:hideMark/>
              </w:tcPr>
              <w:p w14:paraId="3D204AD1" w14:textId="77777777" w:rsidR="00C72FAD" w:rsidRPr="009A46BB" w:rsidRDefault="00C72FAD" w:rsidP="00C72FAD">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707" w:type="pct"/>
                <w:shd w:val="clear" w:color="auto" w:fill="auto"/>
                <w:noWrap/>
                <w:vAlign w:val="center"/>
                <w:hideMark/>
              </w:tcPr>
              <w:p w14:paraId="1AE31782" w14:textId="77777777" w:rsidR="00C72FAD" w:rsidRPr="009A46BB" w:rsidRDefault="00C72FAD" w:rsidP="00C72FAD">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3.722.097.022 </w:t>
                </w:r>
              </w:p>
            </w:tc>
            <w:tc>
              <w:tcPr>
                <w:tcW w:w="404" w:type="pct"/>
                <w:shd w:val="clear" w:color="auto" w:fill="auto"/>
                <w:noWrap/>
                <w:vAlign w:val="center"/>
                <w:hideMark/>
              </w:tcPr>
              <w:p w14:paraId="15099911" w14:textId="77777777" w:rsidR="00C72FAD" w:rsidRPr="009A46BB" w:rsidRDefault="00C72FAD" w:rsidP="00C72FAD">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552" w:type="pct"/>
                <w:shd w:val="clear" w:color="auto" w:fill="auto"/>
                <w:noWrap/>
                <w:vAlign w:val="center"/>
                <w:hideMark/>
              </w:tcPr>
              <w:p w14:paraId="2C41D58D" w14:textId="77777777" w:rsidR="00C72FAD" w:rsidRPr="009A46BB" w:rsidRDefault="00C72FAD" w:rsidP="00C72FAD">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481" w:type="pct"/>
                <w:shd w:val="clear" w:color="auto" w:fill="auto"/>
                <w:noWrap/>
                <w:vAlign w:val="center"/>
                <w:hideMark/>
              </w:tcPr>
              <w:p w14:paraId="74AA5AC9" w14:textId="77777777" w:rsidR="00C72FAD" w:rsidRPr="009A46BB" w:rsidRDefault="00C72FAD" w:rsidP="00C72FAD">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488" w:type="pct"/>
                <w:shd w:val="clear" w:color="auto" w:fill="auto"/>
                <w:noWrap/>
                <w:vAlign w:val="center"/>
                <w:hideMark/>
              </w:tcPr>
              <w:p w14:paraId="4669C5AF" w14:textId="77777777" w:rsidR="00C72FAD" w:rsidRPr="009A46BB" w:rsidRDefault="00C72FAD" w:rsidP="00C72FAD">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0,0 </w:t>
                </w:r>
              </w:p>
            </w:tc>
          </w:tr>
          <w:tr w:rsidR="00C72FAD" w:rsidRPr="00C72FAD" w14:paraId="483FFD8F" w14:textId="77777777" w:rsidTr="00D84C69">
            <w:trPr>
              <w:trHeight w:val="283"/>
            </w:trPr>
            <w:tc>
              <w:tcPr>
                <w:tcW w:w="1453" w:type="pct"/>
                <w:shd w:val="clear" w:color="auto" w:fill="auto"/>
                <w:vAlign w:val="center"/>
                <w:hideMark/>
              </w:tcPr>
              <w:p w14:paraId="1E8F1457" w14:textId="77777777" w:rsidR="00C72FAD" w:rsidRPr="009A46BB" w:rsidRDefault="00C72FAD" w:rsidP="00C72FAD">
                <w:pPr>
                  <w:spacing w:after="0" w:line="240" w:lineRule="auto"/>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Nacionales</w:t>
                </w:r>
              </w:p>
            </w:tc>
            <w:tc>
              <w:tcPr>
                <w:tcW w:w="472" w:type="pct"/>
                <w:shd w:val="clear" w:color="auto" w:fill="auto"/>
                <w:noWrap/>
                <w:vAlign w:val="center"/>
                <w:hideMark/>
              </w:tcPr>
              <w:p w14:paraId="720C0460" w14:textId="77777777" w:rsidR="00C72FAD" w:rsidRPr="009A46BB" w:rsidRDefault="00C72FAD" w:rsidP="00C72FAD">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PJ</w:t>
                </w:r>
              </w:p>
            </w:tc>
            <w:tc>
              <w:tcPr>
                <w:tcW w:w="443" w:type="pct"/>
                <w:shd w:val="clear" w:color="auto" w:fill="auto"/>
                <w:noWrap/>
                <w:vAlign w:val="center"/>
                <w:hideMark/>
              </w:tcPr>
              <w:p w14:paraId="5210CE9C" w14:textId="77777777" w:rsidR="00C72FAD" w:rsidRPr="009A46BB" w:rsidRDefault="00C72FAD" w:rsidP="00C72FAD">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w:t>
                </w:r>
              </w:p>
            </w:tc>
            <w:tc>
              <w:tcPr>
                <w:tcW w:w="707" w:type="pct"/>
                <w:shd w:val="clear" w:color="auto" w:fill="auto"/>
                <w:noWrap/>
                <w:vAlign w:val="center"/>
                <w:hideMark/>
              </w:tcPr>
              <w:p w14:paraId="69D31AB3" w14:textId="77777777" w:rsidR="00C72FAD" w:rsidRPr="009A46BB" w:rsidRDefault="00C72FAD" w:rsidP="00C72FAD">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 xml:space="preserve">3.722.097.022 </w:t>
                </w:r>
              </w:p>
            </w:tc>
            <w:tc>
              <w:tcPr>
                <w:tcW w:w="404" w:type="pct"/>
                <w:shd w:val="clear" w:color="auto" w:fill="auto"/>
                <w:noWrap/>
                <w:vAlign w:val="center"/>
                <w:hideMark/>
              </w:tcPr>
              <w:p w14:paraId="62B431AC" w14:textId="77777777" w:rsidR="00C72FAD" w:rsidRPr="009A46BB" w:rsidRDefault="00C72FAD" w:rsidP="00C72FAD">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NA</w:t>
                </w:r>
              </w:p>
            </w:tc>
            <w:tc>
              <w:tcPr>
                <w:tcW w:w="552" w:type="pct"/>
                <w:shd w:val="clear" w:color="auto" w:fill="auto"/>
                <w:noWrap/>
                <w:vAlign w:val="center"/>
                <w:hideMark/>
              </w:tcPr>
              <w:p w14:paraId="35E27BDC" w14:textId="77777777" w:rsidR="00C72FAD" w:rsidRPr="009A46BB" w:rsidRDefault="00C72FAD" w:rsidP="00C72FAD">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NA</w:t>
                </w:r>
              </w:p>
            </w:tc>
            <w:tc>
              <w:tcPr>
                <w:tcW w:w="481" w:type="pct"/>
                <w:shd w:val="clear" w:color="auto" w:fill="auto"/>
                <w:noWrap/>
                <w:vAlign w:val="center"/>
                <w:hideMark/>
              </w:tcPr>
              <w:p w14:paraId="4CB681BC" w14:textId="77777777" w:rsidR="00C72FAD" w:rsidRPr="009A46BB" w:rsidRDefault="00C72FAD" w:rsidP="00C72FAD">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No aplica</w:t>
                </w:r>
              </w:p>
            </w:tc>
            <w:tc>
              <w:tcPr>
                <w:tcW w:w="488" w:type="pct"/>
                <w:shd w:val="clear" w:color="auto" w:fill="auto"/>
                <w:noWrap/>
                <w:vAlign w:val="center"/>
                <w:hideMark/>
              </w:tcPr>
              <w:p w14:paraId="109BE8D5" w14:textId="77777777" w:rsidR="00C72FAD" w:rsidRPr="009A46BB" w:rsidRDefault="00C72FAD" w:rsidP="00C72FAD">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NA</w:t>
                </w:r>
              </w:p>
            </w:tc>
          </w:tr>
          <w:tr w:rsidR="00C72FAD" w:rsidRPr="00C72FAD" w14:paraId="2D8069DD" w14:textId="77777777" w:rsidTr="00D84C69">
            <w:trPr>
              <w:trHeight w:val="283"/>
            </w:trPr>
            <w:tc>
              <w:tcPr>
                <w:tcW w:w="1453" w:type="pct"/>
                <w:shd w:val="clear" w:color="auto" w:fill="auto"/>
                <w:noWrap/>
                <w:vAlign w:val="center"/>
                <w:hideMark/>
              </w:tcPr>
              <w:p w14:paraId="59EF2A0B" w14:textId="77777777" w:rsidR="00C72FAD" w:rsidRPr="009A46BB" w:rsidRDefault="00C72FAD" w:rsidP="00C72FAD">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Estampillas</w:t>
                </w:r>
              </w:p>
            </w:tc>
            <w:tc>
              <w:tcPr>
                <w:tcW w:w="472" w:type="pct"/>
                <w:shd w:val="clear" w:color="auto" w:fill="auto"/>
                <w:noWrap/>
                <w:vAlign w:val="center"/>
                <w:hideMark/>
              </w:tcPr>
              <w:p w14:paraId="472CD2B2" w14:textId="77777777" w:rsidR="00C72FAD" w:rsidRPr="009A46BB" w:rsidRDefault="00C72FAD" w:rsidP="00C72FAD">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443" w:type="pct"/>
                <w:shd w:val="clear" w:color="auto" w:fill="auto"/>
                <w:noWrap/>
                <w:vAlign w:val="center"/>
                <w:hideMark/>
              </w:tcPr>
              <w:p w14:paraId="1D9BC351" w14:textId="77777777" w:rsidR="00C72FAD" w:rsidRPr="009A46BB" w:rsidRDefault="00C72FAD" w:rsidP="00C72FAD">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707" w:type="pct"/>
                <w:shd w:val="clear" w:color="auto" w:fill="auto"/>
                <w:noWrap/>
                <w:vAlign w:val="center"/>
                <w:hideMark/>
              </w:tcPr>
              <w:p w14:paraId="7BA0CD4B" w14:textId="77777777" w:rsidR="00C72FAD" w:rsidRPr="009A46BB" w:rsidRDefault="00C72FAD" w:rsidP="00C72FAD">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106.849.561 </w:t>
                </w:r>
              </w:p>
            </w:tc>
            <w:tc>
              <w:tcPr>
                <w:tcW w:w="404" w:type="pct"/>
                <w:shd w:val="clear" w:color="auto" w:fill="auto"/>
                <w:noWrap/>
                <w:vAlign w:val="center"/>
                <w:hideMark/>
              </w:tcPr>
              <w:p w14:paraId="62F0B267" w14:textId="77777777" w:rsidR="00C72FAD" w:rsidRPr="009A46BB" w:rsidRDefault="00C72FAD" w:rsidP="00C72FAD">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552" w:type="pct"/>
                <w:shd w:val="clear" w:color="auto" w:fill="auto"/>
                <w:noWrap/>
                <w:vAlign w:val="center"/>
                <w:hideMark/>
              </w:tcPr>
              <w:p w14:paraId="46F8F282" w14:textId="77777777" w:rsidR="00C72FAD" w:rsidRPr="009A46BB" w:rsidRDefault="00C72FAD" w:rsidP="00C72FAD">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481" w:type="pct"/>
                <w:shd w:val="clear" w:color="auto" w:fill="auto"/>
                <w:noWrap/>
                <w:vAlign w:val="center"/>
                <w:hideMark/>
              </w:tcPr>
              <w:p w14:paraId="577C3DF1" w14:textId="77777777" w:rsidR="00C72FAD" w:rsidRPr="009A46BB" w:rsidRDefault="00C72FAD" w:rsidP="00C72FAD">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488" w:type="pct"/>
                <w:shd w:val="clear" w:color="auto" w:fill="auto"/>
                <w:noWrap/>
                <w:vAlign w:val="center"/>
                <w:hideMark/>
              </w:tcPr>
              <w:p w14:paraId="546122C9" w14:textId="77777777" w:rsidR="00C72FAD" w:rsidRPr="009A46BB" w:rsidRDefault="00C72FAD" w:rsidP="00C72FAD">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0,0 </w:t>
                </w:r>
              </w:p>
            </w:tc>
          </w:tr>
          <w:tr w:rsidR="00C72FAD" w:rsidRPr="00C72FAD" w14:paraId="4803A00C" w14:textId="77777777" w:rsidTr="00D84C69">
            <w:trPr>
              <w:trHeight w:val="283"/>
            </w:trPr>
            <w:tc>
              <w:tcPr>
                <w:tcW w:w="1453" w:type="pct"/>
                <w:shd w:val="clear" w:color="auto" w:fill="auto"/>
                <w:vAlign w:val="center"/>
                <w:hideMark/>
              </w:tcPr>
              <w:p w14:paraId="326A0BE4" w14:textId="77777777" w:rsidR="00C72FAD" w:rsidRPr="009A46BB" w:rsidRDefault="00C72FAD" w:rsidP="00C72FAD">
                <w:pPr>
                  <w:spacing w:after="0" w:line="240" w:lineRule="auto"/>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Nacionales</w:t>
                </w:r>
              </w:p>
            </w:tc>
            <w:tc>
              <w:tcPr>
                <w:tcW w:w="472" w:type="pct"/>
                <w:shd w:val="clear" w:color="auto" w:fill="auto"/>
                <w:noWrap/>
                <w:vAlign w:val="center"/>
                <w:hideMark/>
              </w:tcPr>
              <w:p w14:paraId="2957040B" w14:textId="77777777" w:rsidR="00C72FAD" w:rsidRPr="009A46BB" w:rsidRDefault="00C72FAD" w:rsidP="00C72FAD">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PJ</w:t>
                </w:r>
              </w:p>
            </w:tc>
            <w:tc>
              <w:tcPr>
                <w:tcW w:w="443" w:type="pct"/>
                <w:shd w:val="clear" w:color="auto" w:fill="auto"/>
                <w:noWrap/>
                <w:vAlign w:val="center"/>
                <w:hideMark/>
              </w:tcPr>
              <w:p w14:paraId="0A42E826" w14:textId="77777777" w:rsidR="00C72FAD" w:rsidRPr="009A46BB" w:rsidRDefault="00C72FAD" w:rsidP="00C72FAD">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w:t>
                </w:r>
              </w:p>
            </w:tc>
            <w:tc>
              <w:tcPr>
                <w:tcW w:w="707" w:type="pct"/>
                <w:shd w:val="clear" w:color="auto" w:fill="auto"/>
                <w:noWrap/>
                <w:vAlign w:val="center"/>
                <w:hideMark/>
              </w:tcPr>
              <w:p w14:paraId="43D0BE97" w14:textId="77777777" w:rsidR="00C72FAD" w:rsidRPr="009A46BB" w:rsidRDefault="00C72FAD" w:rsidP="00C72FAD">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 xml:space="preserve">106.849.561 </w:t>
                </w:r>
              </w:p>
            </w:tc>
            <w:tc>
              <w:tcPr>
                <w:tcW w:w="404" w:type="pct"/>
                <w:shd w:val="clear" w:color="auto" w:fill="auto"/>
                <w:noWrap/>
                <w:vAlign w:val="center"/>
                <w:hideMark/>
              </w:tcPr>
              <w:p w14:paraId="3A2C76F4" w14:textId="77777777" w:rsidR="00C72FAD" w:rsidRPr="009A46BB" w:rsidRDefault="00C72FAD" w:rsidP="00C72FAD">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NA</w:t>
                </w:r>
              </w:p>
            </w:tc>
            <w:tc>
              <w:tcPr>
                <w:tcW w:w="552" w:type="pct"/>
                <w:shd w:val="clear" w:color="auto" w:fill="auto"/>
                <w:noWrap/>
                <w:vAlign w:val="center"/>
                <w:hideMark/>
              </w:tcPr>
              <w:p w14:paraId="56DC4F26" w14:textId="77777777" w:rsidR="00C72FAD" w:rsidRPr="009A46BB" w:rsidRDefault="00C72FAD" w:rsidP="00C72FAD">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NA</w:t>
                </w:r>
              </w:p>
            </w:tc>
            <w:tc>
              <w:tcPr>
                <w:tcW w:w="481" w:type="pct"/>
                <w:shd w:val="clear" w:color="auto" w:fill="auto"/>
                <w:noWrap/>
                <w:vAlign w:val="center"/>
                <w:hideMark/>
              </w:tcPr>
              <w:p w14:paraId="5CD53CD8" w14:textId="77777777" w:rsidR="00C72FAD" w:rsidRPr="009A46BB" w:rsidRDefault="00C72FAD" w:rsidP="00C72FAD">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No aplica</w:t>
                </w:r>
              </w:p>
            </w:tc>
            <w:tc>
              <w:tcPr>
                <w:tcW w:w="488" w:type="pct"/>
                <w:shd w:val="clear" w:color="auto" w:fill="auto"/>
                <w:noWrap/>
                <w:vAlign w:val="center"/>
                <w:hideMark/>
              </w:tcPr>
              <w:p w14:paraId="7B8C14B7" w14:textId="77777777" w:rsidR="00C72FAD" w:rsidRPr="009A46BB" w:rsidRDefault="00C72FAD" w:rsidP="00C72FAD">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NA</w:t>
                </w:r>
              </w:p>
            </w:tc>
          </w:tr>
          <w:tr w:rsidR="00C72FAD" w:rsidRPr="00C72FAD" w14:paraId="36218C3D" w14:textId="77777777" w:rsidTr="00D84C69">
            <w:trPr>
              <w:trHeight w:val="283"/>
            </w:trPr>
            <w:tc>
              <w:tcPr>
                <w:tcW w:w="1453" w:type="pct"/>
                <w:shd w:val="clear" w:color="auto" w:fill="auto"/>
                <w:noWrap/>
                <w:vAlign w:val="center"/>
                <w:hideMark/>
              </w:tcPr>
              <w:p w14:paraId="4E1FD808" w14:textId="77777777" w:rsidR="00C72FAD" w:rsidRPr="009A46BB" w:rsidRDefault="00C72FAD" w:rsidP="00C72FAD">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Otros recursos a favor de terceros</w:t>
                </w:r>
              </w:p>
            </w:tc>
            <w:tc>
              <w:tcPr>
                <w:tcW w:w="472" w:type="pct"/>
                <w:shd w:val="clear" w:color="auto" w:fill="auto"/>
                <w:noWrap/>
                <w:vAlign w:val="center"/>
                <w:hideMark/>
              </w:tcPr>
              <w:p w14:paraId="36AF856C" w14:textId="77777777" w:rsidR="00C72FAD" w:rsidRPr="009A46BB" w:rsidRDefault="00C72FAD" w:rsidP="00C72FAD">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443" w:type="pct"/>
                <w:shd w:val="clear" w:color="auto" w:fill="auto"/>
                <w:noWrap/>
                <w:vAlign w:val="center"/>
                <w:hideMark/>
              </w:tcPr>
              <w:p w14:paraId="069E43E6" w14:textId="77777777" w:rsidR="00C72FAD" w:rsidRPr="009A46BB" w:rsidRDefault="00C72FAD" w:rsidP="00C72FAD">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707" w:type="pct"/>
                <w:shd w:val="clear" w:color="auto" w:fill="auto"/>
                <w:noWrap/>
                <w:vAlign w:val="center"/>
                <w:hideMark/>
              </w:tcPr>
              <w:p w14:paraId="009F82DC" w14:textId="77777777" w:rsidR="00C72FAD" w:rsidRPr="009A46BB" w:rsidRDefault="00C72FAD" w:rsidP="00C72FAD">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1.796.428.057 </w:t>
                </w:r>
              </w:p>
            </w:tc>
            <w:tc>
              <w:tcPr>
                <w:tcW w:w="404" w:type="pct"/>
                <w:shd w:val="clear" w:color="auto" w:fill="auto"/>
                <w:noWrap/>
                <w:vAlign w:val="center"/>
                <w:hideMark/>
              </w:tcPr>
              <w:p w14:paraId="026BDD29" w14:textId="77777777" w:rsidR="00C72FAD" w:rsidRPr="009A46BB" w:rsidRDefault="00C72FAD" w:rsidP="00C72FAD">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552" w:type="pct"/>
                <w:shd w:val="clear" w:color="auto" w:fill="auto"/>
                <w:noWrap/>
                <w:vAlign w:val="center"/>
                <w:hideMark/>
              </w:tcPr>
              <w:p w14:paraId="7F1019F3" w14:textId="77777777" w:rsidR="00C72FAD" w:rsidRPr="009A46BB" w:rsidRDefault="00C72FAD" w:rsidP="00C72FAD">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481" w:type="pct"/>
                <w:shd w:val="clear" w:color="auto" w:fill="auto"/>
                <w:noWrap/>
                <w:vAlign w:val="center"/>
                <w:hideMark/>
              </w:tcPr>
              <w:p w14:paraId="27C0837D" w14:textId="77777777" w:rsidR="00C72FAD" w:rsidRPr="009A46BB" w:rsidRDefault="00C72FAD" w:rsidP="00C72FAD">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488" w:type="pct"/>
                <w:shd w:val="clear" w:color="auto" w:fill="auto"/>
                <w:noWrap/>
                <w:vAlign w:val="center"/>
                <w:hideMark/>
              </w:tcPr>
              <w:p w14:paraId="1F811579" w14:textId="77777777" w:rsidR="00C72FAD" w:rsidRPr="009A46BB" w:rsidRDefault="00C72FAD" w:rsidP="00C72FAD">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0,0 </w:t>
                </w:r>
              </w:p>
            </w:tc>
          </w:tr>
          <w:tr w:rsidR="00C72FAD" w:rsidRPr="00C72FAD" w14:paraId="270BC234" w14:textId="77777777" w:rsidTr="00D84C69">
            <w:trPr>
              <w:trHeight w:val="283"/>
            </w:trPr>
            <w:tc>
              <w:tcPr>
                <w:tcW w:w="1453" w:type="pct"/>
                <w:shd w:val="clear" w:color="auto" w:fill="auto"/>
                <w:vAlign w:val="center"/>
                <w:hideMark/>
              </w:tcPr>
              <w:p w14:paraId="400DCC5D" w14:textId="77777777" w:rsidR="00C72FAD" w:rsidRPr="009A46BB" w:rsidRDefault="00C72FAD" w:rsidP="00C72FAD">
                <w:pPr>
                  <w:spacing w:after="0" w:line="240" w:lineRule="auto"/>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Nacionales</w:t>
                </w:r>
              </w:p>
            </w:tc>
            <w:tc>
              <w:tcPr>
                <w:tcW w:w="472" w:type="pct"/>
                <w:shd w:val="clear" w:color="auto" w:fill="auto"/>
                <w:noWrap/>
                <w:vAlign w:val="center"/>
                <w:hideMark/>
              </w:tcPr>
              <w:p w14:paraId="6C65DB35" w14:textId="77777777" w:rsidR="00C72FAD" w:rsidRPr="009A46BB" w:rsidRDefault="00C72FAD" w:rsidP="00C72FAD">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PJ</w:t>
                </w:r>
              </w:p>
            </w:tc>
            <w:tc>
              <w:tcPr>
                <w:tcW w:w="443" w:type="pct"/>
                <w:shd w:val="clear" w:color="auto" w:fill="auto"/>
                <w:noWrap/>
                <w:vAlign w:val="center"/>
                <w:hideMark/>
              </w:tcPr>
              <w:p w14:paraId="1A976EC7" w14:textId="77777777" w:rsidR="00C72FAD" w:rsidRPr="009A46BB" w:rsidRDefault="00C72FAD" w:rsidP="00C72FAD">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w:t>
                </w:r>
              </w:p>
            </w:tc>
            <w:tc>
              <w:tcPr>
                <w:tcW w:w="707" w:type="pct"/>
                <w:shd w:val="clear" w:color="auto" w:fill="auto"/>
                <w:noWrap/>
                <w:vAlign w:val="center"/>
                <w:hideMark/>
              </w:tcPr>
              <w:p w14:paraId="3E8178C6" w14:textId="77777777" w:rsidR="00C72FAD" w:rsidRPr="009A46BB" w:rsidRDefault="00C72FAD" w:rsidP="00C72FAD">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 xml:space="preserve">1.796.428.057 </w:t>
                </w:r>
              </w:p>
            </w:tc>
            <w:tc>
              <w:tcPr>
                <w:tcW w:w="404" w:type="pct"/>
                <w:shd w:val="clear" w:color="auto" w:fill="auto"/>
                <w:noWrap/>
                <w:vAlign w:val="center"/>
                <w:hideMark/>
              </w:tcPr>
              <w:p w14:paraId="08030B6A" w14:textId="77777777" w:rsidR="00C72FAD" w:rsidRPr="009A46BB" w:rsidRDefault="00C72FAD" w:rsidP="00C72FAD">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NA</w:t>
                </w:r>
              </w:p>
            </w:tc>
            <w:tc>
              <w:tcPr>
                <w:tcW w:w="552" w:type="pct"/>
                <w:shd w:val="clear" w:color="auto" w:fill="auto"/>
                <w:noWrap/>
                <w:vAlign w:val="center"/>
                <w:hideMark/>
              </w:tcPr>
              <w:p w14:paraId="77D99FEC" w14:textId="77777777" w:rsidR="00C72FAD" w:rsidRPr="009A46BB" w:rsidRDefault="00C72FAD" w:rsidP="00C72FAD">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NA</w:t>
                </w:r>
              </w:p>
            </w:tc>
            <w:tc>
              <w:tcPr>
                <w:tcW w:w="481" w:type="pct"/>
                <w:shd w:val="clear" w:color="auto" w:fill="auto"/>
                <w:noWrap/>
                <w:vAlign w:val="center"/>
                <w:hideMark/>
              </w:tcPr>
              <w:p w14:paraId="72D90656" w14:textId="77777777" w:rsidR="00C72FAD" w:rsidRPr="009A46BB" w:rsidRDefault="00C72FAD" w:rsidP="00C72FAD">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No aplica</w:t>
                </w:r>
              </w:p>
            </w:tc>
            <w:tc>
              <w:tcPr>
                <w:tcW w:w="488" w:type="pct"/>
                <w:shd w:val="clear" w:color="auto" w:fill="auto"/>
                <w:noWrap/>
                <w:vAlign w:val="center"/>
                <w:hideMark/>
              </w:tcPr>
              <w:p w14:paraId="0AD4F6C6" w14:textId="77777777" w:rsidR="00C72FAD" w:rsidRPr="009A46BB" w:rsidRDefault="00C72FAD" w:rsidP="00C72FAD">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NA</w:t>
                </w:r>
              </w:p>
            </w:tc>
          </w:tr>
        </w:tbl>
        <w:p w14:paraId="7D71618D" w14:textId="77777777" w:rsidR="00C72FAD" w:rsidRPr="00931DCE" w:rsidRDefault="00C72FAD" w:rsidP="00C72FAD">
          <w:pPr>
            <w:spacing w:after="0" w:line="240" w:lineRule="auto"/>
            <w:rPr>
              <w:rFonts w:ascii="Times New Roman" w:hAnsi="Times New Roman"/>
              <w:sz w:val="14"/>
              <w:szCs w:val="14"/>
            </w:rPr>
          </w:pPr>
          <w:r w:rsidRPr="00931DCE">
            <w:rPr>
              <w:rFonts w:ascii="Times New Roman" w:hAnsi="Times New Roman"/>
              <w:sz w:val="14"/>
              <w:szCs w:val="14"/>
            </w:rPr>
            <w:t>Cifras expresadas en pesos</w:t>
          </w:r>
        </w:p>
        <w:p w14:paraId="58F99E5E" w14:textId="77777777" w:rsidR="00C72FAD" w:rsidRPr="00E6500C" w:rsidRDefault="00C72FAD" w:rsidP="00B959C0">
          <w:pPr>
            <w:spacing w:after="0" w:line="240" w:lineRule="auto"/>
            <w:rPr>
              <w:rFonts w:ascii="Times New Roman" w:hAnsi="Times New Roman"/>
              <w:sz w:val="14"/>
              <w:szCs w:val="14"/>
            </w:rPr>
          </w:pPr>
        </w:p>
        <w:p w14:paraId="1746FB26" w14:textId="4CA5B691" w:rsidR="0091085F" w:rsidRPr="00CC7002" w:rsidRDefault="0011048E" w:rsidP="00B959C0">
          <w:pPr>
            <w:spacing w:after="0" w:line="240" w:lineRule="auto"/>
            <w:jc w:val="both"/>
            <w:rPr>
              <w:rFonts w:ascii="Times New Roman" w:hAnsi="Times New Roman"/>
              <w:sz w:val="24"/>
              <w:szCs w:val="24"/>
            </w:rPr>
          </w:pPr>
          <w:r w:rsidRPr="00E6500C">
            <w:rPr>
              <w:rFonts w:ascii="Times New Roman" w:hAnsi="Times New Roman"/>
              <w:sz w:val="24"/>
              <w:szCs w:val="24"/>
            </w:rPr>
            <w:t xml:space="preserve">La </w:t>
          </w:r>
          <w:r w:rsidR="00CC6432" w:rsidRPr="00E6500C">
            <w:rPr>
              <w:rFonts w:ascii="Times New Roman" w:hAnsi="Times New Roman"/>
              <w:sz w:val="24"/>
              <w:szCs w:val="24"/>
            </w:rPr>
            <w:t>c</w:t>
          </w:r>
          <w:r w:rsidRPr="00E6500C">
            <w:rPr>
              <w:rFonts w:ascii="Times New Roman" w:hAnsi="Times New Roman"/>
              <w:sz w:val="24"/>
              <w:szCs w:val="24"/>
            </w:rPr>
            <w:t>ifra de $</w:t>
          </w:r>
          <w:r w:rsidR="00CC6432" w:rsidRPr="00E6500C">
            <w:rPr>
              <w:rFonts w:ascii="Times New Roman" w:hAnsi="Times New Roman"/>
              <w:sz w:val="24"/>
              <w:szCs w:val="24"/>
            </w:rPr>
            <w:t xml:space="preserve">252.340.778 evidenciada </w:t>
          </w:r>
          <w:r w:rsidR="00AF1C52" w:rsidRPr="00E6500C">
            <w:rPr>
              <w:rFonts w:ascii="Times New Roman" w:hAnsi="Times New Roman"/>
              <w:sz w:val="24"/>
              <w:szCs w:val="24"/>
            </w:rPr>
            <w:t xml:space="preserve">en cobro de </w:t>
          </w:r>
          <w:r w:rsidR="003F1B51" w:rsidRPr="00E6500C">
            <w:rPr>
              <w:rFonts w:ascii="Times New Roman" w:hAnsi="Times New Roman"/>
              <w:sz w:val="24"/>
              <w:szCs w:val="24"/>
            </w:rPr>
            <w:t xml:space="preserve">cartera de </w:t>
          </w:r>
          <w:r w:rsidR="00BB2609" w:rsidRPr="00E6500C">
            <w:rPr>
              <w:rFonts w:ascii="Times New Roman" w:hAnsi="Times New Roman"/>
              <w:sz w:val="24"/>
              <w:szCs w:val="24"/>
            </w:rPr>
            <w:t xml:space="preserve">terceros </w:t>
          </w:r>
          <w:r w:rsidR="00BB2609">
            <w:rPr>
              <w:rFonts w:ascii="Times New Roman" w:hAnsi="Times New Roman"/>
              <w:sz w:val="24"/>
              <w:szCs w:val="24"/>
            </w:rPr>
            <w:t>a</w:t>
          </w:r>
          <w:r w:rsidR="00D938E5">
            <w:rPr>
              <w:rFonts w:ascii="Times New Roman" w:hAnsi="Times New Roman"/>
              <w:sz w:val="24"/>
              <w:szCs w:val="24"/>
            </w:rPr>
            <w:t xml:space="preserve"> nombre del Ministerio</w:t>
          </w:r>
          <w:r w:rsidR="00372561" w:rsidRPr="00E6500C">
            <w:rPr>
              <w:rFonts w:ascii="Times New Roman" w:hAnsi="Times New Roman"/>
              <w:sz w:val="24"/>
              <w:szCs w:val="24"/>
            </w:rPr>
            <w:t xml:space="preserve"> del In</w:t>
          </w:r>
          <w:r w:rsidR="00D46B96" w:rsidRPr="00E6500C">
            <w:rPr>
              <w:rFonts w:ascii="Times New Roman" w:hAnsi="Times New Roman"/>
              <w:sz w:val="24"/>
              <w:szCs w:val="24"/>
            </w:rPr>
            <w:t xml:space="preserve">terior por concepto de </w:t>
          </w:r>
          <w:r w:rsidR="00062603">
            <w:rPr>
              <w:rFonts w:ascii="Times New Roman" w:hAnsi="Times New Roman"/>
              <w:sz w:val="24"/>
              <w:szCs w:val="24"/>
            </w:rPr>
            <w:t xml:space="preserve">cuentas </w:t>
          </w:r>
          <w:r w:rsidR="004D668A">
            <w:rPr>
              <w:rFonts w:ascii="Times New Roman" w:hAnsi="Times New Roman"/>
              <w:sz w:val="24"/>
              <w:szCs w:val="24"/>
            </w:rPr>
            <w:t xml:space="preserve">por </w:t>
          </w:r>
          <w:r w:rsidR="00BB2609" w:rsidRPr="00CC7002">
            <w:rPr>
              <w:rFonts w:ascii="Times New Roman" w:hAnsi="Times New Roman"/>
              <w:sz w:val="24"/>
              <w:szCs w:val="24"/>
            </w:rPr>
            <w:t>p</w:t>
          </w:r>
          <w:r w:rsidR="00704B60" w:rsidRPr="00CC7002">
            <w:rPr>
              <w:rFonts w:ascii="Times New Roman" w:hAnsi="Times New Roman"/>
              <w:sz w:val="24"/>
              <w:szCs w:val="24"/>
            </w:rPr>
            <w:t xml:space="preserve">agar </w:t>
          </w:r>
          <w:r w:rsidR="00BB2609" w:rsidRPr="00CC7002">
            <w:rPr>
              <w:rFonts w:ascii="Times New Roman" w:hAnsi="Times New Roman"/>
              <w:sz w:val="24"/>
              <w:szCs w:val="24"/>
            </w:rPr>
            <w:t>v</w:t>
          </w:r>
          <w:r w:rsidR="00704B60" w:rsidRPr="00CC7002">
            <w:rPr>
              <w:rFonts w:ascii="Times New Roman" w:hAnsi="Times New Roman"/>
              <w:sz w:val="24"/>
              <w:szCs w:val="24"/>
            </w:rPr>
            <w:t xml:space="preserve">igencia 2023 y pagadas con las órdenes de pago </w:t>
          </w:r>
          <w:r w:rsidR="00E43FEA" w:rsidRPr="00CC7002">
            <w:rPr>
              <w:rFonts w:ascii="Times New Roman" w:hAnsi="Times New Roman"/>
              <w:sz w:val="24"/>
              <w:szCs w:val="24"/>
            </w:rPr>
            <w:t>en febrero de 2024</w:t>
          </w:r>
          <w:r w:rsidR="00704B60" w:rsidRPr="00CC7002">
            <w:rPr>
              <w:rFonts w:ascii="Times New Roman" w:hAnsi="Times New Roman"/>
              <w:sz w:val="24"/>
              <w:szCs w:val="24"/>
            </w:rPr>
            <w:t xml:space="preserve">, misma fecha en la que se compensaron las deducciones a favor del Ministerio del Interior, a través de </w:t>
          </w:r>
          <w:r w:rsidR="004E4F26">
            <w:rPr>
              <w:rFonts w:ascii="Times New Roman" w:hAnsi="Times New Roman"/>
              <w:sz w:val="24"/>
              <w:szCs w:val="24"/>
            </w:rPr>
            <w:t>d</w:t>
          </w:r>
          <w:r w:rsidR="00704B60" w:rsidRPr="00CC7002">
            <w:rPr>
              <w:rFonts w:ascii="Times New Roman" w:hAnsi="Times New Roman"/>
              <w:sz w:val="24"/>
              <w:szCs w:val="24"/>
            </w:rPr>
            <w:t xml:space="preserve">ocumento de </w:t>
          </w:r>
          <w:r w:rsidR="004E4F26">
            <w:rPr>
              <w:rFonts w:ascii="Times New Roman" w:hAnsi="Times New Roman"/>
              <w:sz w:val="24"/>
              <w:szCs w:val="24"/>
            </w:rPr>
            <w:t>r</w:t>
          </w:r>
          <w:r w:rsidR="00704B60" w:rsidRPr="00CC7002">
            <w:rPr>
              <w:rFonts w:ascii="Times New Roman" w:hAnsi="Times New Roman"/>
              <w:sz w:val="24"/>
              <w:szCs w:val="24"/>
            </w:rPr>
            <w:t xml:space="preserve">ecaudo </w:t>
          </w:r>
          <w:r w:rsidR="00EB5864" w:rsidRPr="00CC7002">
            <w:rPr>
              <w:rFonts w:ascii="Times New Roman" w:hAnsi="Times New Roman"/>
              <w:sz w:val="24"/>
              <w:szCs w:val="24"/>
            </w:rPr>
            <w:t>por</w:t>
          </w:r>
          <w:r w:rsidR="00704B60" w:rsidRPr="00CC7002">
            <w:rPr>
              <w:rFonts w:ascii="Times New Roman" w:hAnsi="Times New Roman"/>
              <w:sz w:val="24"/>
              <w:szCs w:val="24"/>
            </w:rPr>
            <w:t xml:space="preserve"> </w:t>
          </w:r>
          <w:r w:rsidR="003E29C6">
            <w:rPr>
              <w:rFonts w:ascii="Times New Roman" w:hAnsi="Times New Roman"/>
              <w:sz w:val="24"/>
              <w:szCs w:val="24"/>
            </w:rPr>
            <w:t>c</w:t>
          </w:r>
          <w:r w:rsidR="00704B60" w:rsidRPr="00CC7002">
            <w:rPr>
              <w:rFonts w:ascii="Times New Roman" w:hAnsi="Times New Roman"/>
              <w:sz w:val="24"/>
              <w:szCs w:val="24"/>
            </w:rPr>
            <w:t>lasificar</w:t>
          </w:r>
          <w:r w:rsidR="00EB5864" w:rsidRPr="00CC7002">
            <w:rPr>
              <w:rFonts w:ascii="Times New Roman" w:hAnsi="Times New Roman"/>
              <w:sz w:val="24"/>
              <w:szCs w:val="24"/>
            </w:rPr>
            <w:t>.</w:t>
          </w:r>
        </w:p>
        <w:p w14:paraId="1FABB5DF" w14:textId="77777777" w:rsidR="0091085F" w:rsidRPr="0029473C" w:rsidRDefault="0091085F" w:rsidP="00B959C0">
          <w:pPr>
            <w:spacing w:after="0" w:line="240" w:lineRule="auto"/>
            <w:jc w:val="both"/>
            <w:rPr>
              <w:rFonts w:ascii="Times New Roman" w:hAnsi="Times New Roman"/>
              <w:sz w:val="24"/>
              <w:szCs w:val="24"/>
              <w:highlight w:val="blue"/>
            </w:rPr>
          </w:pPr>
        </w:p>
        <w:p w14:paraId="32A8DB6C" w14:textId="34EDDD4F" w:rsidR="004902C2" w:rsidRPr="00145E4B" w:rsidRDefault="00B959C0" w:rsidP="00B959C0">
          <w:pPr>
            <w:spacing w:after="0" w:line="240" w:lineRule="auto"/>
            <w:jc w:val="both"/>
            <w:rPr>
              <w:rFonts w:ascii="Times New Roman" w:hAnsi="Times New Roman"/>
              <w:sz w:val="24"/>
              <w:szCs w:val="24"/>
            </w:rPr>
          </w:pPr>
          <w:r w:rsidRPr="00145E4B">
            <w:rPr>
              <w:rFonts w:ascii="Times New Roman" w:hAnsi="Times New Roman"/>
              <w:sz w:val="24"/>
              <w:szCs w:val="24"/>
            </w:rPr>
            <w:t xml:space="preserve">El valor de </w:t>
          </w:r>
          <w:r w:rsidR="001E6F39" w:rsidRPr="00145E4B">
            <w:rPr>
              <w:rFonts w:ascii="Times New Roman" w:hAnsi="Times New Roman"/>
              <w:sz w:val="24"/>
              <w:szCs w:val="24"/>
            </w:rPr>
            <w:t>$3.722.097.022</w:t>
          </w:r>
          <w:r w:rsidRPr="00145E4B">
            <w:rPr>
              <w:rFonts w:ascii="Times New Roman" w:hAnsi="Times New Roman"/>
              <w:sz w:val="24"/>
              <w:szCs w:val="24"/>
            </w:rPr>
            <w:t xml:space="preserve"> en recaudos por clasificar </w:t>
          </w:r>
          <w:r w:rsidR="004902C2" w:rsidRPr="00145E4B">
            <w:rPr>
              <w:rFonts w:ascii="Times New Roman" w:hAnsi="Times New Roman"/>
              <w:sz w:val="24"/>
              <w:szCs w:val="24"/>
            </w:rPr>
            <w:t>obedece</w:t>
          </w:r>
          <w:r w:rsidRPr="00145E4B">
            <w:rPr>
              <w:rFonts w:ascii="Times New Roman" w:hAnsi="Times New Roman"/>
              <w:sz w:val="24"/>
              <w:szCs w:val="24"/>
            </w:rPr>
            <w:t xml:space="preserve"> a partidas por devolver y/o reintegrar </w:t>
          </w:r>
          <w:r w:rsidR="00115973">
            <w:rPr>
              <w:rFonts w:ascii="Times New Roman" w:hAnsi="Times New Roman"/>
              <w:sz w:val="24"/>
              <w:szCs w:val="24"/>
            </w:rPr>
            <w:t>a EPS y</w:t>
          </w:r>
          <w:r w:rsidR="0008534C">
            <w:rPr>
              <w:rFonts w:ascii="Times New Roman" w:hAnsi="Times New Roman"/>
              <w:sz w:val="24"/>
              <w:szCs w:val="24"/>
            </w:rPr>
            <w:t xml:space="preserve"> </w:t>
          </w:r>
          <w:r w:rsidR="0099558C">
            <w:rPr>
              <w:rFonts w:ascii="Times New Roman" w:hAnsi="Times New Roman"/>
              <w:sz w:val="24"/>
              <w:szCs w:val="24"/>
            </w:rPr>
            <w:t>algunos terceros</w:t>
          </w:r>
          <w:r w:rsidR="0008534C">
            <w:rPr>
              <w:rFonts w:ascii="Times New Roman" w:hAnsi="Times New Roman"/>
              <w:sz w:val="24"/>
              <w:szCs w:val="24"/>
            </w:rPr>
            <w:t xml:space="preserve"> que se encuentra pendiente </w:t>
          </w:r>
          <w:r w:rsidR="005F1617">
            <w:rPr>
              <w:rFonts w:ascii="Times New Roman" w:hAnsi="Times New Roman"/>
              <w:sz w:val="24"/>
              <w:szCs w:val="24"/>
            </w:rPr>
            <w:t xml:space="preserve">su destinación, por la naturaleza de estas cuentas </w:t>
          </w:r>
          <w:r w:rsidR="006A5E73">
            <w:rPr>
              <w:rFonts w:ascii="Times New Roman" w:hAnsi="Times New Roman"/>
              <w:sz w:val="24"/>
              <w:szCs w:val="24"/>
            </w:rPr>
            <w:t xml:space="preserve">no aplica condiciones tales como: </w:t>
          </w:r>
          <w:r w:rsidR="0058390F">
            <w:rPr>
              <w:rFonts w:ascii="Times New Roman" w:hAnsi="Times New Roman"/>
              <w:sz w:val="24"/>
              <w:szCs w:val="24"/>
            </w:rPr>
            <w:t>p</w:t>
          </w:r>
          <w:r w:rsidR="006A5E73">
            <w:rPr>
              <w:rFonts w:ascii="Times New Roman" w:hAnsi="Times New Roman"/>
              <w:sz w:val="24"/>
              <w:szCs w:val="24"/>
            </w:rPr>
            <w:t>lazo, tasa de interés</w:t>
          </w:r>
          <w:r w:rsidR="00CB33E9">
            <w:rPr>
              <w:rFonts w:ascii="Times New Roman" w:hAnsi="Times New Roman"/>
              <w:sz w:val="24"/>
              <w:szCs w:val="24"/>
            </w:rPr>
            <w:t xml:space="preserve"> y vencimiento.</w:t>
          </w:r>
        </w:p>
        <w:p w14:paraId="6058856F" w14:textId="77777777" w:rsidR="00B959C0" w:rsidRPr="00931DCE" w:rsidRDefault="00B959C0" w:rsidP="00B959C0">
          <w:pPr>
            <w:spacing w:after="0" w:line="240" w:lineRule="auto"/>
            <w:jc w:val="both"/>
            <w:rPr>
              <w:rFonts w:ascii="Times New Roman" w:hAnsi="Times New Roman"/>
              <w:sz w:val="24"/>
              <w:szCs w:val="24"/>
            </w:rPr>
          </w:pPr>
        </w:p>
        <w:p w14:paraId="79235BE1" w14:textId="4B0EE259" w:rsidR="00B959C0" w:rsidRPr="00931DCE" w:rsidRDefault="005E753C" w:rsidP="00B959C0">
          <w:pPr>
            <w:spacing w:after="0" w:line="240" w:lineRule="auto"/>
            <w:jc w:val="both"/>
            <w:rPr>
              <w:rFonts w:ascii="Times New Roman" w:hAnsi="Times New Roman"/>
              <w:sz w:val="24"/>
              <w:szCs w:val="24"/>
            </w:rPr>
          </w:pPr>
          <w:r w:rsidRPr="00931DCE">
            <w:rPr>
              <w:rFonts w:ascii="Times New Roman" w:hAnsi="Times New Roman"/>
              <w:sz w:val="24"/>
              <w:szCs w:val="24"/>
            </w:rPr>
            <w:t>Esta</w:t>
          </w:r>
          <w:r w:rsidR="00B959C0" w:rsidRPr="00931DCE">
            <w:rPr>
              <w:rFonts w:ascii="Times New Roman" w:hAnsi="Times New Roman"/>
              <w:sz w:val="24"/>
              <w:szCs w:val="24"/>
            </w:rPr>
            <w:t xml:space="preserve"> cuenta por pagar recaudos por clasificar</w:t>
          </w:r>
          <w:r w:rsidR="007E5AA3" w:rsidRPr="00931DCE">
            <w:rPr>
              <w:rFonts w:ascii="Times New Roman" w:hAnsi="Times New Roman"/>
              <w:sz w:val="24"/>
              <w:szCs w:val="24"/>
            </w:rPr>
            <w:t xml:space="preserve"> no</w:t>
          </w:r>
          <w:r w:rsidR="00B959C0" w:rsidRPr="00931DCE">
            <w:rPr>
              <w:rFonts w:ascii="Times New Roman" w:hAnsi="Times New Roman"/>
              <w:sz w:val="24"/>
              <w:szCs w:val="24"/>
            </w:rPr>
            <w:t xml:space="preserve"> tiene restricciones, no aplica tasa de interés, no requiere seguimiento a cumplimiento de infracciones, no hay lugar a detalles de la renegociación o corrección de la infracción, eso significa que tampoco aplica nuevas restricciones, plazo mínimo y máximo y nueva tasa de interés.</w:t>
          </w:r>
        </w:p>
        <w:p w14:paraId="1131F5D2" w14:textId="77777777" w:rsidR="00857833" w:rsidRPr="0029473C" w:rsidRDefault="00857833" w:rsidP="00B959C0">
          <w:pPr>
            <w:spacing w:after="0" w:line="240" w:lineRule="auto"/>
            <w:jc w:val="both"/>
            <w:rPr>
              <w:rFonts w:ascii="Times New Roman" w:hAnsi="Times New Roman"/>
              <w:sz w:val="24"/>
              <w:szCs w:val="24"/>
              <w:highlight w:val="blue"/>
            </w:rPr>
          </w:pPr>
        </w:p>
        <w:p w14:paraId="3EEBAB01" w14:textId="56FC9A1D" w:rsidR="000A7938" w:rsidRPr="00E6500C" w:rsidRDefault="00857833" w:rsidP="000A7938">
          <w:pPr>
            <w:spacing w:after="0" w:line="240" w:lineRule="auto"/>
            <w:jc w:val="both"/>
            <w:rPr>
              <w:rFonts w:ascii="Times New Roman" w:hAnsi="Times New Roman"/>
              <w:sz w:val="24"/>
              <w:szCs w:val="24"/>
            </w:rPr>
          </w:pPr>
          <w:r w:rsidRPr="00F00F70">
            <w:rPr>
              <w:rFonts w:ascii="Times New Roman" w:hAnsi="Times New Roman"/>
              <w:sz w:val="24"/>
              <w:szCs w:val="24"/>
            </w:rPr>
            <w:t xml:space="preserve">En estampillas </w:t>
          </w:r>
          <w:r w:rsidR="002E7AFF" w:rsidRPr="00F00F70">
            <w:rPr>
              <w:rFonts w:ascii="Times New Roman" w:hAnsi="Times New Roman"/>
              <w:sz w:val="24"/>
              <w:szCs w:val="24"/>
            </w:rPr>
            <w:t>a nombre d</w:t>
          </w:r>
          <w:r w:rsidR="00F67DE5" w:rsidRPr="00F00F70">
            <w:rPr>
              <w:rFonts w:ascii="Times New Roman" w:hAnsi="Times New Roman"/>
              <w:sz w:val="24"/>
              <w:szCs w:val="24"/>
            </w:rPr>
            <w:t xml:space="preserve">el Ministerio de Educación </w:t>
          </w:r>
          <w:r w:rsidR="00925498" w:rsidRPr="00F00F70">
            <w:rPr>
              <w:rFonts w:ascii="Times New Roman" w:hAnsi="Times New Roman"/>
              <w:sz w:val="24"/>
              <w:szCs w:val="24"/>
            </w:rPr>
            <w:t>Nacional</w:t>
          </w:r>
          <w:r w:rsidR="00115DA9" w:rsidRPr="00F00F70">
            <w:rPr>
              <w:rFonts w:ascii="Times New Roman" w:hAnsi="Times New Roman"/>
              <w:sz w:val="24"/>
              <w:szCs w:val="24"/>
            </w:rPr>
            <w:t xml:space="preserve"> por valor de $106.849.</w:t>
          </w:r>
          <w:r w:rsidR="005D5CE9" w:rsidRPr="00F00F70">
            <w:rPr>
              <w:rFonts w:ascii="Times New Roman" w:hAnsi="Times New Roman"/>
              <w:sz w:val="24"/>
              <w:szCs w:val="24"/>
            </w:rPr>
            <w:t>561 corresponde a</w:t>
          </w:r>
          <w:r w:rsidR="000A7938" w:rsidRPr="000A7938">
            <w:rPr>
              <w:rFonts w:ascii="Times New Roman" w:hAnsi="Times New Roman"/>
              <w:sz w:val="24"/>
              <w:szCs w:val="24"/>
            </w:rPr>
            <w:t xml:space="preserve"> </w:t>
          </w:r>
          <w:r w:rsidR="00194269">
            <w:rPr>
              <w:rFonts w:ascii="Times New Roman" w:hAnsi="Times New Roman"/>
              <w:sz w:val="24"/>
              <w:szCs w:val="24"/>
            </w:rPr>
            <w:t xml:space="preserve">la deducción por estampilla </w:t>
          </w:r>
          <w:r w:rsidR="00EC71F2">
            <w:rPr>
              <w:rFonts w:ascii="Times New Roman" w:hAnsi="Times New Roman"/>
              <w:sz w:val="24"/>
              <w:szCs w:val="24"/>
            </w:rPr>
            <w:t xml:space="preserve">practicada </w:t>
          </w:r>
          <w:r w:rsidR="00576C02">
            <w:rPr>
              <w:rFonts w:ascii="Times New Roman" w:hAnsi="Times New Roman"/>
              <w:sz w:val="24"/>
              <w:szCs w:val="24"/>
            </w:rPr>
            <w:t>en</w:t>
          </w:r>
          <w:r w:rsidR="00DC439B">
            <w:rPr>
              <w:rFonts w:ascii="Times New Roman" w:hAnsi="Times New Roman"/>
              <w:sz w:val="24"/>
              <w:szCs w:val="24"/>
            </w:rPr>
            <w:t xml:space="preserve"> </w:t>
          </w:r>
          <w:r w:rsidR="003074F3">
            <w:rPr>
              <w:rFonts w:ascii="Times New Roman" w:hAnsi="Times New Roman"/>
              <w:sz w:val="24"/>
              <w:szCs w:val="24"/>
            </w:rPr>
            <w:t>cuentas por pagar</w:t>
          </w:r>
          <w:r w:rsidR="00576C02">
            <w:rPr>
              <w:rFonts w:ascii="Times New Roman" w:hAnsi="Times New Roman"/>
              <w:sz w:val="24"/>
              <w:szCs w:val="24"/>
            </w:rPr>
            <w:t xml:space="preserve"> del cierre de la</w:t>
          </w:r>
          <w:r w:rsidR="000A7938" w:rsidRPr="00CC7002">
            <w:rPr>
              <w:rFonts w:ascii="Times New Roman" w:hAnsi="Times New Roman"/>
              <w:sz w:val="24"/>
              <w:szCs w:val="24"/>
            </w:rPr>
            <w:t xml:space="preserve"> vigencia 2023 y pagadas con las órdenes de pago en febrero de 2024, misma fecha en la que </w:t>
          </w:r>
          <w:r w:rsidR="000A7938" w:rsidRPr="00CC7002">
            <w:rPr>
              <w:rFonts w:ascii="Times New Roman" w:hAnsi="Times New Roman"/>
              <w:sz w:val="24"/>
              <w:szCs w:val="24"/>
            </w:rPr>
            <w:lastRenderedPageBreak/>
            <w:t>se compensaron las deducciones a favor</w:t>
          </w:r>
          <w:r w:rsidR="005F300F">
            <w:rPr>
              <w:rFonts w:ascii="Times New Roman" w:hAnsi="Times New Roman"/>
              <w:sz w:val="24"/>
              <w:szCs w:val="24"/>
            </w:rPr>
            <w:t xml:space="preserve"> de dicho Ministerio</w:t>
          </w:r>
          <w:r w:rsidR="000A7938" w:rsidRPr="00CC7002">
            <w:rPr>
              <w:rFonts w:ascii="Times New Roman" w:hAnsi="Times New Roman"/>
              <w:sz w:val="24"/>
              <w:szCs w:val="24"/>
            </w:rPr>
            <w:t xml:space="preserve">, a través de </w:t>
          </w:r>
          <w:r w:rsidR="000A7938">
            <w:rPr>
              <w:rFonts w:ascii="Times New Roman" w:hAnsi="Times New Roman"/>
              <w:sz w:val="24"/>
              <w:szCs w:val="24"/>
            </w:rPr>
            <w:t>d</w:t>
          </w:r>
          <w:r w:rsidR="000A7938" w:rsidRPr="00CC7002">
            <w:rPr>
              <w:rFonts w:ascii="Times New Roman" w:hAnsi="Times New Roman"/>
              <w:sz w:val="24"/>
              <w:szCs w:val="24"/>
            </w:rPr>
            <w:t xml:space="preserve">ocumento de </w:t>
          </w:r>
          <w:r w:rsidR="000A7938">
            <w:rPr>
              <w:rFonts w:ascii="Times New Roman" w:hAnsi="Times New Roman"/>
              <w:sz w:val="24"/>
              <w:szCs w:val="24"/>
            </w:rPr>
            <w:t>r</w:t>
          </w:r>
          <w:r w:rsidR="000A7938" w:rsidRPr="00CC7002">
            <w:rPr>
              <w:rFonts w:ascii="Times New Roman" w:hAnsi="Times New Roman"/>
              <w:sz w:val="24"/>
              <w:szCs w:val="24"/>
            </w:rPr>
            <w:t xml:space="preserve">ecaudo por </w:t>
          </w:r>
          <w:r w:rsidR="000A7938">
            <w:rPr>
              <w:rFonts w:ascii="Times New Roman" w:hAnsi="Times New Roman"/>
              <w:sz w:val="24"/>
              <w:szCs w:val="24"/>
            </w:rPr>
            <w:t>c</w:t>
          </w:r>
          <w:r w:rsidR="000A7938" w:rsidRPr="00CC7002">
            <w:rPr>
              <w:rFonts w:ascii="Times New Roman" w:hAnsi="Times New Roman"/>
              <w:sz w:val="24"/>
              <w:szCs w:val="24"/>
            </w:rPr>
            <w:t>lasificar.</w:t>
          </w:r>
        </w:p>
        <w:p w14:paraId="37335B8C" w14:textId="720C0B45" w:rsidR="00B959C0" w:rsidRPr="0029473C" w:rsidRDefault="00B959C0" w:rsidP="00B959C0">
          <w:pPr>
            <w:spacing w:after="0" w:line="240" w:lineRule="auto"/>
            <w:jc w:val="both"/>
            <w:rPr>
              <w:rFonts w:ascii="Times New Roman" w:hAnsi="Times New Roman"/>
              <w:sz w:val="24"/>
              <w:szCs w:val="24"/>
              <w:highlight w:val="blue"/>
            </w:rPr>
          </w:pPr>
        </w:p>
        <w:p w14:paraId="05FA20AA" w14:textId="1EA00B7D" w:rsidR="00B959C0" w:rsidRPr="00931DCE" w:rsidRDefault="00B959C0" w:rsidP="00B959C0">
          <w:pPr>
            <w:spacing w:after="0" w:line="240" w:lineRule="auto"/>
            <w:jc w:val="both"/>
            <w:rPr>
              <w:rFonts w:ascii="Times New Roman" w:hAnsi="Times New Roman"/>
              <w:sz w:val="24"/>
              <w:szCs w:val="24"/>
            </w:rPr>
          </w:pPr>
          <w:r w:rsidRPr="00931DCE">
            <w:rPr>
              <w:rFonts w:ascii="Times New Roman" w:hAnsi="Times New Roman"/>
              <w:sz w:val="24"/>
              <w:szCs w:val="24"/>
            </w:rPr>
            <w:t xml:space="preserve">El valor de </w:t>
          </w:r>
          <w:r w:rsidR="00622BDE" w:rsidRPr="00931DCE">
            <w:rPr>
              <w:rFonts w:ascii="Times New Roman" w:hAnsi="Times New Roman"/>
              <w:sz w:val="24"/>
              <w:szCs w:val="24"/>
            </w:rPr>
            <w:t>$1.796.428.057</w:t>
          </w:r>
          <w:r w:rsidRPr="00931DCE">
            <w:rPr>
              <w:rFonts w:ascii="Times New Roman" w:hAnsi="Times New Roman"/>
              <w:sz w:val="24"/>
              <w:szCs w:val="24"/>
            </w:rPr>
            <w:t>, en otros recaudos a favor de terceros a nombre de Unión Temporal Devinorte, obedece el pago efectuado por este concesionario producto de fallo resuelto en el Laudo arbitral y que se encuentra pendiente por definir por el área competente la destinación</w:t>
          </w:r>
          <w:r w:rsidR="0012578A" w:rsidRPr="00931DCE">
            <w:rPr>
              <w:rFonts w:ascii="Times New Roman" w:hAnsi="Times New Roman"/>
              <w:sz w:val="24"/>
              <w:szCs w:val="24"/>
            </w:rPr>
            <w:t xml:space="preserve"> final de estos </w:t>
          </w:r>
          <w:r w:rsidRPr="00931DCE">
            <w:rPr>
              <w:rFonts w:ascii="Times New Roman" w:hAnsi="Times New Roman"/>
              <w:sz w:val="24"/>
              <w:szCs w:val="24"/>
            </w:rPr>
            <w:t>recursos.</w:t>
          </w:r>
        </w:p>
        <w:p w14:paraId="14767626" w14:textId="4ABEE1DB" w:rsidR="00412233" w:rsidRPr="00931DCE" w:rsidRDefault="00412233" w:rsidP="00AC1938">
          <w:pPr>
            <w:spacing w:after="0" w:line="240" w:lineRule="auto"/>
            <w:rPr>
              <w:rFonts w:ascii="Times New Roman" w:hAnsi="Times New Roman"/>
            </w:rPr>
          </w:pPr>
        </w:p>
        <w:p w14:paraId="5B7C2985" w14:textId="296F2B8E" w:rsidR="005D72D7" w:rsidRPr="00145E4B" w:rsidRDefault="008B41EB" w:rsidP="005D72D7">
          <w:pPr>
            <w:spacing w:after="0" w:line="240" w:lineRule="auto"/>
            <w:jc w:val="both"/>
            <w:rPr>
              <w:rFonts w:ascii="Times New Roman" w:hAnsi="Times New Roman"/>
              <w:sz w:val="24"/>
              <w:szCs w:val="24"/>
            </w:rPr>
          </w:pPr>
          <w:r>
            <w:rPr>
              <w:rFonts w:ascii="Times New Roman" w:hAnsi="Times New Roman"/>
            </w:rPr>
            <w:t>Por último</w:t>
          </w:r>
          <w:r w:rsidR="7D0F6737" w:rsidRPr="34D7128A">
            <w:rPr>
              <w:rFonts w:ascii="Times New Roman" w:hAnsi="Times New Roman"/>
            </w:rPr>
            <w:t>,</w:t>
          </w:r>
          <w:r>
            <w:rPr>
              <w:rFonts w:ascii="Times New Roman" w:hAnsi="Times New Roman"/>
            </w:rPr>
            <w:t xml:space="preserve"> se resalta que los pasivos </w:t>
          </w:r>
          <w:r w:rsidR="00E942C5">
            <w:rPr>
              <w:rFonts w:ascii="Times New Roman" w:hAnsi="Times New Roman"/>
            </w:rPr>
            <w:t>Recursos a favor de Terceros</w:t>
          </w:r>
          <w:r w:rsidR="005D72D7">
            <w:rPr>
              <w:rFonts w:ascii="Times New Roman" w:hAnsi="Times New Roman"/>
            </w:rPr>
            <w:t xml:space="preserve"> </w:t>
          </w:r>
          <w:r w:rsidR="005D72D7" w:rsidRPr="00145E4B">
            <w:rPr>
              <w:rFonts w:ascii="Times New Roman" w:hAnsi="Times New Roman"/>
              <w:sz w:val="24"/>
              <w:szCs w:val="24"/>
            </w:rPr>
            <w:t>no tiene</w:t>
          </w:r>
          <w:r w:rsidR="005D72D7">
            <w:rPr>
              <w:rFonts w:ascii="Times New Roman" w:hAnsi="Times New Roman"/>
              <w:sz w:val="24"/>
              <w:szCs w:val="24"/>
            </w:rPr>
            <w:t>n</w:t>
          </w:r>
          <w:r w:rsidR="005D72D7" w:rsidRPr="00145E4B">
            <w:rPr>
              <w:rFonts w:ascii="Times New Roman" w:hAnsi="Times New Roman"/>
              <w:sz w:val="24"/>
              <w:szCs w:val="24"/>
            </w:rPr>
            <w:t xml:space="preserve"> restricciones, no aplica tasa de interés, no requiere seguimiento a cumplimiento de infracciones, no hay lugar a detalles de la renegociación o corrección de la infracción, tampoco aplica nuevas restricciones, plazo mínimo y máximo y nueva tasa de interés.</w:t>
          </w:r>
        </w:p>
        <w:p w14:paraId="403E5E21" w14:textId="020B620C" w:rsidR="008B41EB" w:rsidRPr="00931DCE" w:rsidRDefault="0008534C" w:rsidP="00AC1938">
          <w:pPr>
            <w:spacing w:after="0" w:line="240" w:lineRule="auto"/>
            <w:rPr>
              <w:rFonts w:ascii="Times New Roman" w:hAnsi="Times New Roman"/>
            </w:rPr>
          </w:pPr>
          <w:r>
            <w:rPr>
              <w:rFonts w:ascii="Times New Roman" w:hAnsi="Times New Roman"/>
            </w:rPr>
            <w:t xml:space="preserve"> </w:t>
          </w:r>
        </w:p>
        <w:p w14:paraId="5CDD9C5E" w14:textId="12DADA53" w:rsidR="007E03C5" w:rsidRPr="00931DCE" w:rsidRDefault="007E03C5">
          <w:pPr>
            <w:pStyle w:val="Ttulo3"/>
            <w:numPr>
              <w:ilvl w:val="2"/>
              <w:numId w:val="3"/>
            </w:numPr>
            <w:spacing w:line="240" w:lineRule="auto"/>
            <w:ind w:left="709" w:hanging="709"/>
            <w:rPr>
              <w:rFonts w:cs="Times New Roman"/>
              <w:color w:val="1F3864" w:themeColor="accent1" w:themeShade="80"/>
            </w:rPr>
          </w:pPr>
          <w:bookmarkStart w:id="66" w:name="_Toc159952402"/>
          <w:r w:rsidRPr="00931DCE">
            <w:rPr>
              <w:rFonts w:cs="Times New Roman"/>
              <w:color w:val="1F3864" w:themeColor="accent1" w:themeShade="80"/>
            </w:rPr>
            <w:t>Descuentos de nomina</w:t>
          </w:r>
          <w:bookmarkEnd w:id="66"/>
        </w:p>
        <w:p w14:paraId="70F66AC2" w14:textId="155CE927" w:rsidR="007E03C5" w:rsidRPr="00931DCE" w:rsidRDefault="007E03C5" w:rsidP="00A73E91">
          <w:pPr>
            <w:spacing w:after="0" w:line="240" w:lineRule="auto"/>
            <w:rPr>
              <w:rFonts w:ascii="Times New Roman" w:hAnsi="Times New Roman"/>
            </w:rPr>
          </w:pPr>
        </w:p>
        <w:p w14:paraId="4336F54A" w14:textId="77777777" w:rsidR="00CC6E5A" w:rsidRPr="00931DCE" w:rsidRDefault="00CC6E5A" w:rsidP="00CC6E5A">
          <w:pPr>
            <w:spacing w:after="0" w:line="240" w:lineRule="auto"/>
            <w:jc w:val="both"/>
            <w:rPr>
              <w:rFonts w:ascii="Times New Roman" w:hAnsi="Times New Roman"/>
              <w:sz w:val="24"/>
              <w:szCs w:val="24"/>
            </w:rPr>
          </w:pPr>
          <w:r w:rsidRPr="00931DCE">
            <w:rPr>
              <w:rFonts w:ascii="Times New Roman" w:hAnsi="Times New Roman"/>
              <w:sz w:val="24"/>
              <w:szCs w:val="24"/>
            </w:rPr>
            <w:t>La composición de descuentos de nómina es la siguiente:</w:t>
          </w:r>
        </w:p>
        <w:p w14:paraId="45330476" w14:textId="77777777" w:rsidR="00A452FF" w:rsidRDefault="00A452FF" w:rsidP="00CC6E5A">
          <w:pPr>
            <w:spacing w:after="0" w:line="240" w:lineRule="auto"/>
            <w:jc w:val="both"/>
            <w:rPr>
              <w:rFonts w:ascii="Times New Roman" w:hAnsi="Times New Roman"/>
              <w:sz w:val="24"/>
              <w:szCs w:val="24"/>
            </w:rPr>
          </w:pPr>
        </w:p>
        <w:tbl>
          <w:tblPr>
            <w:tblW w:w="932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CellMar>
              <w:left w:w="70" w:type="dxa"/>
              <w:right w:w="70" w:type="dxa"/>
            </w:tblCellMar>
            <w:tblLook w:val="04A0" w:firstRow="1" w:lastRow="0" w:firstColumn="1" w:lastColumn="0" w:noHBand="0" w:noVBand="1"/>
          </w:tblPr>
          <w:tblGrid>
            <w:gridCol w:w="2501"/>
            <w:gridCol w:w="885"/>
            <w:gridCol w:w="1174"/>
            <w:gridCol w:w="1213"/>
            <w:gridCol w:w="839"/>
            <w:gridCol w:w="949"/>
            <w:gridCol w:w="889"/>
            <w:gridCol w:w="877"/>
          </w:tblGrid>
          <w:tr w:rsidR="003E22D4" w:rsidRPr="003E22D4" w14:paraId="184228B9" w14:textId="77777777" w:rsidTr="00B05B9E">
            <w:trPr>
              <w:trHeight w:val="305"/>
            </w:trPr>
            <w:tc>
              <w:tcPr>
                <w:tcW w:w="5773" w:type="dxa"/>
                <w:gridSpan w:val="4"/>
                <w:vMerge w:val="restart"/>
                <w:shd w:val="clear" w:color="auto" w:fill="auto"/>
                <w:vAlign w:val="center"/>
                <w:hideMark/>
              </w:tcPr>
              <w:p w14:paraId="59224785" w14:textId="77777777" w:rsidR="003E22D4" w:rsidRPr="009A46BB" w:rsidRDefault="003E22D4" w:rsidP="003E22D4">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ASOCIACIÓN DE DATOS</w:t>
                </w:r>
              </w:p>
            </w:tc>
            <w:tc>
              <w:tcPr>
                <w:tcW w:w="3554" w:type="dxa"/>
                <w:gridSpan w:val="4"/>
                <w:shd w:val="clear" w:color="auto" w:fill="auto"/>
                <w:vAlign w:val="center"/>
                <w:hideMark/>
              </w:tcPr>
              <w:p w14:paraId="131E9B8D" w14:textId="77777777" w:rsidR="003E22D4" w:rsidRPr="009A46BB" w:rsidRDefault="003E22D4" w:rsidP="003E22D4">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DETALLES DE LA TRANSACCIÓN</w:t>
                </w:r>
                <w:r w:rsidRPr="009A46BB">
                  <w:rPr>
                    <w:rFonts w:ascii="Times New Roman" w:eastAsia="Times New Roman" w:hAnsi="Times New Roman"/>
                    <w:b/>
                    <w:sz w:val="16"/>
                    <w:szCs w:val="16"/>
                    <w:lang w:eastAsia="es-CO"/>
                  </w:rPr>
                  <w:br/>
                  <w:t>(reporte agrupado por datos comunes de asociación)</w:t>
                </w:r>
              </w:p>
            </w:tc>
          </w:tr>
          <w:tr w:rsidR="003E22D4" w:rsidRPr="003E22D4" w14:paraId="0E3BF874" w14:textId="77777777" w:rsidTr="00B05B9E">
            <w:trPr>
              <w:trHeight w:val="305"/>
            </w:trPr>
            <w:tc>
              <w:tcPr>
                <w:tcW w:w="5773" w:type="dxa"/>
                <w:gridSpan w:val="4"/>
                <w:vMerge/>
                <w:vAlign w:val="center"/>
                <w:hideMark/>
              </w:tcPr>
              <w:p w14:paraId="3D20F309" w14:textId="77777777" w:rsidR="003E22D4" w:rsidRPr="009A46BB" w:rsidRDefault="003E22D4" w:rsidP="003E22D4">
                <w:pPr>
                  <w:spacing w:after="0" w:line="240" w:lineRule="auto"/>
                  <w:rPr>
                    <w:rFonts w:ascii="Times New Roman" w:eastAsia="Times New Roman" w:hAnsi="Times New Roman"/>
                    <w:b/>
                    <w:sz w:val="16"/>
                    <w:szCs w:val="16"/>
                    <w:lang w:eastAsia="es-CO"/>
                  </w:rPr>
                </w:pPr>
              </w:p>
            </w:tc>
            <w:tc>
              <w:tcPr>
                <w:tcW w:w="1788" w:type="dxa"/>
                <w:gridSpan w:val="2"/>
                <w:shd w:val="clear" w:color="auto" w:fill="auto"/>
                <w:vAlign w:val="center"/>
                <w:hideMark/>
              </w:tcPr>
              <w:p w14:paraId="34187218" w14:textId="77777777" w:rsidR="003E22D4" w:rsidRPr="009A46BB" w:rsidRDefault="003E22D4" w:rsidP="003E22D4">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PLAZO</w:t>
                </w:r>
                <w:r w:rsidRPr="009A46BB">
                  <w:rPr>
                    <w:rFonts w:ascii="Times New Roman" w:eastAsia="Times New Roman" w:hAnsi="Times New Roman"/>
                    <w:b/>
                    <w:sz w:val="16"/>
                    <w:szCs w:val="16"/>
                    <w:lang w:eastAsia="es-CO"/>
                  </w:rPr>
                  <w:br/>
                  <w:t>(rango en # meses)</w:t>
                </w:r>
              </w:p>
            </w:tc>
            <w:tc>
              <w:tcPr>
                <w:tcW w:w="889" w:type="dxa"/>
                <w:vMerge w:val="restart"/>
                <w:shd w:val="clear" w:color="auto" w:fill="auto"/>
                <w:textDirection w:val="btLr"/>
                <w:vAlign w:val="center"/>
                <w:hideMark/>
              </w:tcPr>
              <w:p w14:paraId="28DDC3AF" w14:textId="77777777" w:rsidR="003E22D4" w:rsidRPr="009A46BB" w:rsidRDefault="003E22D4" w:rsidP="006755A4">
                <w:pPr>
                  <w:spacing w:after="0" w:line="240" w:lineRule="auto"/>
                  <w:ind w:left="113" w:right="113"/>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RESTRICCIONES</w:t>
                </w:r>
              </w:p>
            </w:tc>
            <w:tc>
              <w:tcPr>
                <w:tcW w:w="876" w:type="dxa"/>
                <w:vMerge w:val="restart"/>
                <w:shd w:val="clear" w:color="auto" w:fill="auto"/>
                <w:vAlign w:val="center"/>
                <w:hideMark/>
              </w:tcPr>
              <w:p w14:paraId="5EA8D68E" w14:textId="77777777" w:rsidR="003E22D4" w:rsidRPr="009A46BB" w:rsidRDefault="003E22D4" w:rsidP="003E22D4">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TASA DE INTERES</w:t>
                </w:r>
                <w:r w:rsidRPr="009A46BB">
                  <w:rPr>
                    <w:rFonts w:ascii="Times New Roman" w:eastAsia="Times New Roman" w:hAnsi="Times New Roman"/>
                    <w:b/>
                    <w:sz w:val="16"/>
                    <w:szCs w:val="16"/>
                    <w:lang w:eastAsia="es-CO"/>
                  </w:rPr>
                  <w:br/>
                  <w:t>(%)</w:t>
                </w:r>
              </w:p>
            </w:tc>
          </w:tr>
          <w:tr w:rsidR="003E22D4" w:rsidRPr="003E22D4" w14:paraId="6F8F8F44" w14:textId="77777777" w:rsidTr="00B05B9E">
            <w:trPr>
              <w:trHeight w:val="305"/>
            </w:trPr>
            <w:tc>
              <w:tcPr>
                <w:tcW w:w="2501" w:type="dxa"/>
                <w:shd w:val="clear" w:color="auto" w:fill="auto"/>
                <w:vAlign w:val="center"/>
                <w:hideMark/>
              </w:tcPr>
              <w:p w14:paraId="2DB73F13" w14:textId="77777777" w:rsidR="003E22D4" w:rsidRPr="009A46BB" w:rsidRDefault="003E22D4" w:rsidP="006755A4">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TIPO DE TERCEROS</w:t>
                </w:r>
              </w:p>
            </w:tc>
            <w:tc>
              <w:tcPr>
                <w:tcW w:w="885" w:type="dxa"/>
                <w:shd w:val="clear" w:color="auto" w:fill="auto"/>
                <w:vAlign w:val="center"/>
                <w:hideMark/>
              </w:tcPr>
              <w:p w14:paraId="69FB99EF" w14:textId="77777777" w:rsidR="003E22D4" w:rsidRPr="009A46BB" w:rsidRDefault="003E22D4" w:rsidP="003E22D4">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PN / PJ / ECP</w:t>
                </w:r>
              </w:p>
            </w:tc>
            <w:tc>
              <w:tcPr>
                <w:tcW w:w="1174" w:type="dxa"/>
                <w:shd w:val="clear" w:color="auto" w:fill="auto"/>
                <w:vAlign w:val="center"/>
                <w:hideMark/>
              </w:tcPr>
              <w:p w14:paraId="744D6473" w14:textId="77777777" w:rsidR="003E22D4" w:rsidRPr="009A46BB" w:rsidRDefault="003E22D4" w:rsidP="003E22D4">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CANTIDAD</w:t>
                </w:r>
              </w:p>
            </w:tc>
            <w:tc>
              <w:tcPr>
                <w:tcW w:w="1212" w:type="dxa"/>
                <w:shd w:val="clear" w:color="auto" w:fill="auto"/>
                <w:vAlign w:val="center"/>
                <w:hideMark/>
              </w:tcPr>
              <w:p w14:paraId="58138EEE" w14:textId="77777777" w:rsidR="003E22D4" w:rsidRPr="009A46BB" w:rsidRDefault="003E22D4" w:rsidP="003E22D4">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VALOR EN LIBROS</w:t>
                </w:r>
              </w:p>
            </w:tc>
            <w:tc>
              <w:tcPr>
                <w:tcW w:w="839" w:type="dxa"/>
                <w:shd w:val="clear" w:color="auto" w:fill="auto"/>
                <w:vAlign w:val="center"/>
                <w:hideMark/>
              </w:tcPr>
              <w:p w14:paraId="015F23BF" w14:textId="77777777" w:rsidR="003E22D4" w:rsidRPr="009A46BB" w:rsidRDefault="003E22D4" w:rsidP="003E22D4">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MÍNIMO</w:t>
                </w:r>
              </w:p>
            </w:tc>
            <w:tc>
              <w:tcPr>
                <w:tcW w:w="949" w:type="dxa"/>
                <w:shd w:val="clear" w:color="auto" w:fill="auto"/>
                <w:vAlign w:val="center"/>
                <w:hideMark/>
              </w:tcPr>
              <w:p w14:paraId="39EAFD5A" w14:textId="77777777" w:rsidR="003E22D4" w:rsidRPr="009A46BB" w:rsidRDefault="003E22D4" w:rsidP="003E22D4">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MÁXIMO</w:t>
                </w:r>
              </w:p>
            </w:tc>
            <w:tc>
              <w:tcPr>
                <w:tcW w:w="889" w:type="dxa"/>
                <w:vMerge/>
                <w:vAlign w:val="center"/>
                <w:hideMark/>
              </w:tcPr>
              <w:p w14:paraId="07062A8F" w14:textId="77777777" w:rsidR="003E22D4" w:rsidRPr="009A46BB" w:rsidRDefault="003E22D4" w:rsidP="003E22D4">
                <w:pPr>
                  <w:spacing w:after="0" w:line="240" w:lineRule="auto"/>
                  <w:rPr>
                    <w:rFonts w:ascii="Times New Roman" w:eastAsia="Times New Roman" w:hAnsi="Times New Roman"/>
                    <w:b/>
                    <w:sz w:val="16"/>
                    <w:szCs w:val="16"/>
                    <w:lang w:eastAsia="es-CO"/>
                  </w:rPr>
                </w:pPr>
              </w:p>
            </w:tc>
            <w:tc>
              <w:tcPr>
                <w:tcW w:w="876" w:type="dxa"/>
                <w:vMerge/>
                <w:vAlign w:val="center"/>
                <w:hideMark/>
              </w:tcPr>
              <w:p w14:paraId="129B6C1F" w14:textId="77777777" w:rsidR="003E22D4" w:rsidRPr="009A46BB" w:rsidRDefault="003E22D4" w:rsidP="003E22D4">
                <w:pPr>
                  <w:spacing w:after="0" w:line="240" w:lineRule="auto"/>
                  <w:rPr>
                    <w:rFonts w:ascii="Times New Roman" w:eastAsia="Times New Roman" w:hAnsi="Times New Roman"/>
                    <w:b/>
                    <w:sz w:val="16"/>
                    <w:szCs w:val="16"/>
                    <w:lang w:eastAsia="es-CO"/>
                  </w:rPr>
                </w:pPr>
              </w:p>
            </w:tc>
          </w:tr>
          <w:tr w:rsidR="003E22D4" w:rsidRPr="003E22D4" w14:paraId="576D1F1D" w14:textId="77777777" w:rsidTr="00B05B9E">
            <w:trPr>
              <w:trHeight w:val="228"/>
            </w:trPr>
            <w:tc>
              <w:tcPr>
                <w:tcW w:w="2501" w:type="dxa"/>
                <w:shd w:val="clear" w:color="auto" w:fill="auto"/>
                <w:noWrap/>
                <w:vAlign w:val="center"/>
                <w:hideMark/>
              </w:tcPr>
              <w:p w14:paraId="717811C5" w14:textId="77777777" w:rsidR="003E22D4" w:rsidRPr="009A46BB" w:rsidRDefault="003E22D4" w:rsidP="003E22D4">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DESCUENTOS DE NÓMINA</w:t>
                </w:r>
              </w:p>
            </w:tc>
            <w:tc>
              <w:tcPr>
                <w:tcW w:w="885" w:type="dxa"/>
                <w:shd w:val="clear" w:color="auto" w:fill="auto"/>
                <w:noWrap/>
                <w:vAlign w:val="center"/>
                <w:hideMark/>
              </w:tcPr>
              <w:p w14:paraId="264EAC54" w14:textId="77777777" w:rsidR="003E22D4" w:rsidRPr="009A46BB" w:rsidRDefault="003E22D4" w:rsidP="003E22D4">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1174" w:type="dxa"/>
                <w:shd w:val="clear" w:color="auto" w:fill="auto"/>
                <w:noWrap/>
                <w:vAlign w:val="center"/>
                <w:hideMark/>
              </w:tcPr>
              <w:p w14:paraId="3335CC70" w14:textId="77777777" w:rsidR="003E22D4" w:rsidRPr="009A46BB" w:rsidRDefault="003E22D4" w:rsidP="003E22D4">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1212" w:type="dxa"/>
                <w:shd w:val="clear" w:color="auto" w:fill="auto"/>
                <w:noWrap/>
                <w:vAlign w:val="center"/>
                <w:hideMark/>
              </w:tcPr>
              <w:p w14:paraId="31F0A7D3" w14:textId="77777777" w:rsidR="003E22D4" w:rsidRPr="009A46BB" w:rsidRDefault="003E22D4" w:rsidP="003E22D4">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48.449.067 </w:t>
                </w:r>
              </w:p>
            </w:tc>
            <w:tc>
              <w:tcPr>
                <w:tcW w:w="839" w:type="dxa"/>
                <w:shd w:val="clear" w:color="auto" w:fill="auto"/>
                <w:noWrap/>
                <w:vAlign w:val="center"/>
                <w:hideMark/>
              </w:tcPr>
              <w:p w14:paraId="786319E6" w14:textId="77777777" w:rsidR="003E22D4" w:rsidRPr="009A46BB" w:rsidRDefault="003E22D4" w:rsidP="003E22D4">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949" w:type="dxa"/>
                <w:shd w:val="clear" w:color="auto" w:fill="auto"/>
                <w:noWrap/>
                <w:vAlign w:val="center"/>
                <w:hideMark/>
              </w:tcPr>
              <w:p w14:paraId="0CE57B01" w14:textId="77777777" w:rsidR="003E22D4" w:rsidRPr="009A46BB" w:rsidRDefault="003E22D4" w:rsidP="003E22D4">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889" w:type="dxa"/>
                <w:shd w:val="clear" w:color="auto" w:fill="auto"/>
                <w:noWrap/>
                <w:vAlign w:val="center"/>
                <w:hideMark/>
              </w:tcPr>
              <w:p w14:paraId="5AAC7EF2" w14:textId="77777777" w:rsidR="003E22D4" w:rsidRPr="009A46BB" w:rsidRDefault="003E22D4" w:rsidP="003E22D4">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876" w:type="dxa"/>
                <w:shd w:val="clear" w:color="auto" w:fill="auto"/>
                <w:noWrap/>
                <w:vAlign w:val="center"/>
                <w:hideMark/>
              </w:tcPr>
              <w:p w14:paraId="268F02DA" w14:textId="77777777" w:rsidR="003E22D4" w:rsidRPr="009A46BB" w:rsidRDefault="003E22D4" w:rsidP="003E22D4">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0,0 </w:t>
                </w:r>
              </w:p>
            </w:tc>
          </w:tr>
          <w:tr w:rsidR="003E22D4" w:rsidRPr="003E22D4" w14:paraId="0D44318D" w14:textId="77777777" w:rsidTr="00B05B9E">
            <w:trPr>
              <w:trHeight w:val="119"/>
            </w:trPr>
            <w:tc>
              <w:tcPr>
                <w:tcW w:w="2501" w:type="dxa"/>
                <w:shd w:val="clear" w:color="auto" w:fill="auto"/>
                <w:noWrap/>
                <w:vAlign w:val="center"/>
                <w:hideMark/>
              </w:tcPr>
              <w:p w14:paraId="104F850A" w14:textId="77777777" w:rsidR="003E22D4" w:rsidRPr="009A46BB" w:rsidRDefault="003E22D4" w:rsidP="003E22D4">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Aportes a fondos pensionales</w:t>
                </w:r>
              </w:p>
            </w:tc>
            <w:tc>
              <w:tcPr>
                <w:tcW w:w="885" w:type="dxa"/>
                <w:shd w:val="clear" w:color="auto" w:fill="auto"/>
                <w:noWrap/>
                <w:vAlign w:val="center"/>
                <w:hideMark/>
              </w:tcPr>
              <w:p w14:paraId="55AF7A84" w14:textId="77777777" w:rsidR="003E22D4" w:rsidRPr="009A46BB" w:rsidRDefault="003E22D4" w:rsidP="003E22D4">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1174" w:type="dxa"/>
                <w:shd w:val="clear" w:color="auto" w:fill="auto"/>
                <w:noWrap/>
                <w:vAlign w:val="center"/>
                <w:hideMark/>
              </w:tcPr>
              <w:p w14:paraId="47FC0866" w14:textId="77777777" w:rsidR="003E22D4" w:rsidRPr="009A46BB" w:rsidRDefault="003E22D4" w:rsidP="003E22D4">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1212" w:type="dxa"/>
                <w:shd w:val="clear" w:color="auto" w:fill="auto"/>
                <w:noWrap/>
                <w:vAlign w:val="center"/>
                <w:hideMark/>
              </w:tcPr>
              <w:p w14:paraId="2ADB00DB" w14:textId="77777777" w:rsidR="003E22D4" w:rsidRPr="009A46BB" w:rsidRDefault="003E22D4" w:rsidP="003E22D4">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1.350.900 </w:t>
                </w:r>
              </w:p>
            </w:tc>
            <w:tc>
              <w:tcPr>
                <w:tcW w:w="839" w:type="dxa"/>
                <w:shd w:val="clear" w:color="auto" w:fill="auto"/>
                <w:noWrap/>
                <w:vAlign w:val="center"/>
                <w:hideMark/>
              </w:tcPr>
              <w:p w14:paraId="2EBC9632" w14:textId="77777777" w:rsidR="003E22D4" w:rsidRPr="009A46BB" w:rsidRDefault="003E22D4" w:rsidP="003E22D4">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949" w:type="dxa"/>
                <w:shd w:val="clear" w:color="auto" w:fill="auto"/>
                <w:noWrap/>
                <w:vAlign w:val="center"/>
                <w:hideMark/>
              </w:tcPr>
              <w:p w14:paraId="13DABE54" w14:textId="77777777" w:rsidR="003E22D4" w:rsidRPr="009A46BB" w:rsidRDefault="003E22D4" w:rsidP="003E22D4">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889" w:type="dxa"/>
                <w:shd w:val="clear" w:color="auto" w:fill="auto"/>
                <w:noWrap/>
                <w:vAlign w:val="center"/>
                <w:hideMark/>
              </w:tcPr>
              <w:p w14:paraId="49C45EE7" w14:textId="77777777" w:rsidR="003E22D4" w:rsidRPr="009A46BB" w:rsidRDefault="003E22D4" w:rsidP="003E22D4">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876" w:type="dxa"/>
                <w:shd w:val="clear" w:color="auto" w:fill="auto"/>
                <w:noWrap/>
                <w:vAlign w:val="center"/>
                <w:hideMark/>
              </w:tcPr>
              <w:p w14:paraId="0D799B36" w14:textId="77777777" w:rsidR="003E22D4" w:rsidRPr="009A46BB" w:rsidRDefault="003E22D4" w:rsidP="003E22D4">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0,0 </w:t>
                </w:r>
              </w:p>
            </w:tc>
          </w:tr>
          <w:tr w:rsidR="003E22D4" w:rsidRPr="003E22D4" w14:paraId="7C14CB7E" w14:textId="77777777" w:rsidTr="00B05B9E">
            <w:trPr>
              <w:trHeight w:val="136"/>
            </w:trPr>
            <w:tc>
              <w:tcPr>
                <w:tcW w:w="2501" w:type="dxa"/>
                <w:shd w:val="clear" w:color="auto" w:fill="auto"/>
                <w:vAlign w:val="center"/>
                <w:hideMark/>
              </w:tcPr>
              <w:p w14:paraId="0C2D93EA" w14:textId="77777777" w:rsidR="003E22D4" w:rsidRPr="009A46BB" w:rsidRDefault="003E22D4" w:rsidP="003E22D4">
                <w:pPr>
                  <w:spacing w:after="0" w:line="240" w:lineRule="auto"/>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Nacionales</w:t>
                </w:r>
              </w:p>
            </w:tc>
            <w:tc>
              <w:tcPr>
                <w:tcW w:w="885" w:type="dxa"/>
                <w:shd w:val="clear" w:color="auto" w:fill="auto"/>
                <w:noWrap/>
                <w:vAlign w:val="center"/>
                <w:hideMark/>
              </w:tcPr>
              <w:p w14:paraId="4B90397F" w14:textId="77777777" w:rsidR="003E22D4" w:rsidRPr="009A46BB" w:rsidRDefault="003E22D4" w:rsidP="003E22D4">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PJ</w:t>
                </w:r>
              </w:p>
            </w:tc>
            <w:tc>
              <w:tcPr>
                <w:tcW w:w="1174" w:type="dxa"/>
                <w:shd w:val="clear" w:color="auto" w:fill="auto"/>
                <w:noWrap/>
                <w:vAlign w:val="center"/>
                <w:hideMark/>
              </w:tcPr>
              <w:p w14:paraId="76FA8D88" w14:textId="77777777" w:rsidR="003E22D4" w:rsidRPr="009A46BB" w:rsidRDefault="003E22D4" w:rsidP="003E22D4">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w:t>
                </w:r>
              </w:p>
            </w:tc>
            <w:tc>
              <w:tcPr>
                <w:tcW w:w="1212" w:type="dxa"/>
                <w:shd w:val="clear" w:color="auto" w:fill="auto"/>
                <w:noWrap/>
                <w:vAlign w:val="center"/>
                <w:hideMark/>
              </w:tcPr>
              <w:p w14:paraId="051496CB" w14:textId="77777777" w:rsidR="003E22D4" w:rsidRPr="009A46BB" w:rsidRDefault="003E22D4" w:rsidP="003E22D4">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 xml:space="preserve">1.350.900 </w:t>
                </w:r>
              </w:p>
            </w:tc>
            <w:tc>
              <w:tcPr>
                <w:tcW w:w="839" w:type="dxa"/>
                <w:shd w:val="clear" w:color="auto" w:fill="auto"/>
                <w:noWrap/>
                <w:vAlign w:val="center"/>
                <w:hideMark/>
              </w:tcPr>
              <w:p w14:paraId="01E98AF2" w14:textId="77777777" w:rsidR="003E22D4" w:rsidRPr="009A46BB" w:rsidRDefault="003E22D4" w:rsidP="003E22D4">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0</w:t>
                </w:r>
              </w:p>
            </w:tc>
            <w:tc>
              <w:tcPr>
                <w:tcW w:w="949" w:type="dxa"/>
                <w:shd w:val="clear" w:color="auto" w:fill="auto"/>
                <w:noWrap/>
                <w:vAlign w:val="center"/>
                <w:hideMark/>
              </w:tcPr>
              <w:p w14:paraId="778404EE" w14:textId="77777777" w:rsidR="003E22D4" w:rsidRPr="009A46BB" w:rsidRDefault="003E22D4" w:rsidP="003E22D4">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w:t>
                </w:r>
              </w:p>
            </w:tc>
            <w:tc>
              <w:tcPr>
                <w:tcW w:w="889" w:type="dxa"/>
                <w:shd w:val="clear" w:color="auto" w:fill="auto"/>
                <w:noWrap/>
                <w:vAlign w:val="center"/>
                <w:hideMark/>
              </w:tcPr>
              <w:p w14:paraId="1EBE2650" w14:textId="77777777" w:rsidR="003E22D4" w:rsidRPr="009A46BB" w:rsidRDefault="003E22D4" w:rsidP="003E22D4">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No aplica</w:t>
                </w:r>
              </w:p>
            </w:tc>
            <w:tc>
              <w:tcPr>
                <w:tcW w:w="876" w:type="dxa"/>
                <w:shd w:val="clear" w:color="auto" w:fill="auto"/>
                <w:noWrap/>
                <w:vAlign w:val="center"/>
                <w:hideMark/>
              </w:tcPr>
              <w:p w14:paraId="7FD07B3D" w14:textId="77777777" w:rsidR="003E22D4" w:rsidRPr="009A46BB" w:rsidRDefault="003E22D4" w:rsidP="003E22D4">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0</w:t>
                </w:r>
              </w:p>
            </w:tc>
          </w:tr>
          <w:tr w:rsidR="003E22D4" w:rsidRPr="003E22D4" w14:paraId="382A5BC3" w14:textId="77777777" w:rsidTr="00B05B9E">
            <w:trPr>
              <w:trHeight w:val="305"/>
            </w:trPr>
            <w:tc>
              <w:tcPr>
                <w:tcW w:w="2501" w:type="dxa"/>
                <w:shd w:val="clear" w:color="auto" w:fill="auto"/>
                <w:noWrap/>
                <w:vAlign w:val="center"/>
                <w:hideMark/>
              </w:tcPr>
              <w:p w14:paraId="44CF9630" w14:textId="77777777" w:rsidR="003E22D4" w:rsidRPr="009A46BB" w:rsidRDefault="003E22D4" w:rsidP="003E22D4">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Aportes a seguridad social en salud</w:t>
                </w:r>
              </w:p>
            </w:tc>
            <w:tc>
              <w:tcPr>
                <w:tcW w:w="885" w:type="dxa"/>
                <w:shd w:val="clear" w:color="auto" w:fill="auto"/>
                <w:noWrap/>
                <w:vAlign w:val="center"/>
                <w:hideMark/>
              </w:tcPr>
              <w:p w14:paraId="6AC17B30" w14:textId="77777777" w:rsidR="003E22D4" w:rsidRPr="009A46BB" w:rsidRDefault="003E22D4" w:rsidP="003E22D4">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1174" w:type="dxa"/>
                <w:shd w:val="clear" w:color="auto" w:fill="auto"/>
                <w:noWrap/>
                <w:vAlign w:val="center"/>
                <w:hideMark/>
              </w:tcPr>
              <w:p w14:paraId="1B9FD2C8" w14:textId="77777777" w:rsidR="003E22D4" w:rsidRPr="009A46BB" w:rsidRDefault="003E22D4" w:rsidP="003E22D4">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1212" w:type="dxa"/>
                <w:shd w:val="clear" w:color="auto" w:fill="auto"/>
                <w:noWrap/>
                <w:vAlign w:val="center"/>
                <w:hideMark/>
              </w:tcPr>
              <w:p w14:paraId="5D65FD2C" w14:textId="77777777" w:rsidR="003E22D4" w:rsidRPr="009A46BB" w:rsidRDefault="003E22D4" w:rsidP="003E22D4">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901.500 </w:t>
                </w:r>
              </w:p>
            </w:tc>
            <w:tc>
              <w:tcPr>
                <w:tcW w:w="839" w:type="dxa"/>
                <w:shd w:val="clear" w:color="auto" w:fill="auto"/>
                <w:noWrap/>
                <w:vAlign w:val="center"/>
                <w:hideMark/>
              </w:tcPr>
              <w:p w14:paraId="2CAE7BDE" w14:textId="77777777" w:rsidR="003E22D4" w:rsidRPr="009A46BB" w:rsidRDefault="003E22D4" w:rsidP="003E22D4">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949" w:type="dxa"/>
                <w:shd w:val="clear" w:color="auto" w:fill="auto"/>
                <w:noWrap/>
                <w:vAlign w:val="center"/>
                <w:hideMark/>
              </w:tcPr>
              <w:p w14:paraId="3CD2C94B" w14:textId="77777777" w:rsidR="003E22D4" w:rsidRPr="009A46BB" w:rsidRDefault="003E22D4" w:rsidP="003E22D4">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889" w:type="dxa"/>
                <w:shd w:val="clear" w:color="auto" w:fill="auto"/>
                <w:noWrap/>
                <w:vAlign w:val="center"/>
                <w:hideMark/>
              </w:tcPr>
              <w:p w14:paraId="7D810D52" w14:textId="77777777" w:rsidR="003E22D4" w:rsidRPr="009A46BB" w:rsidRDefault="003E22D4" w:rsidP="003E22D4">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876" w:type="dxa"/>
                <w:shd w:val="clear" w:color="auto" w:fill="auto"/>
                <w:noWrap/>
                <w:vAlign w:val="center"/>
                <w:hideMark/>
              </w:tcPr>
              <w:p w14:paraId="5AE90324" w14:textId="77777777" w:rsidR="003E22D4" w:rsidRPr="009A46BB" w:rsidRDefault="003E22D4" w:rsidP="003E22D4">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0,0 </w:t>
                </w:r>
              </w:p>
            </w:tc>
          </w:tr>
          <w:tr w:rsidR="003E22D4" w:rsidRPr="003E22D4" w14:paraId="2FEBA351" w14:textId="77777777" w:rsidTr="00B05B9E">
            <w:trPr>
              <w:trHeight w:val="116"/>
            </w:trPr>
            <w:tc>
              <w:tcPr>
                <w:tcW w:w="2501" w:type="dxa"/>
                <w:shd w:val="clear" w:color="auto" w:fill="auto"/>
                <w:vAlign w:val="center"/>
                <w:hideMark/>
              </w:tcPr>
              <w:p w14:paraId="4C0F1FF5" w14:textId="77777777" w:rsidR="003E22D4" w:rsidRPr="009A46BB" w:rsidRDefault="003E22D4" w:rsidP="003E22D4">
                <w:pPr>
                  <w:spacing w:after="0" w:line="240" w:lineRule="auto"/>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Nacionales</w:t>
                </w:r>
              </w:p>
            </w:tc>
            <w:tc>
              <w:tcPr>
                <w:tcW w:w="885" w:type="dxa"/>
                <w:shd w:val="clear" w:color="auto" w:fill="auto"/>
                <w:noWrap/>
                <w:vAlign w:val="center"/>
                <w:hideMark/>
              </w:tcPr>
              <w:p w14:paraId="7B49C4DB" w14:textId="77777777" w:rsidR="003E22D4" w:rsidRPr="009A46BB" w:rsidRDefault="003E22D4" w:rsidP="003E22D4">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PJ</w:t>
                </w:r>
              </w:p>
            </w:tc>
            <w:tc>
              <w:tcPr>
                <w:tcW w:w="1174" w:type="dxa"/>
                <w:shd w:val="clear" w:color="auto" w:fill="auto"/>
                <w:noWrap/>
                <w:vAlign w:val="center"/>
                <w:hideMark/>
              </w:tcPr>
              <w:p w14:paraId="5811F101" w14:textId="77777777" w:rsidR="003E22D4" w:rsidRPr="009A46BB" w:rsidRDefault="003E22D4" w:rsidP="003E22D4">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3</w:t>
                </w:r>
              </w:p>
            </w:tc>
            <w:tc>
              <w:tcPr>
                <w:tcW w:w="1212" w:type="dxa"/>
                <w:shd w:val="clear" w:color="auto" w:fill="auto"/>
                <w:noWrap/>
                <w:vAlign w:val="center"/>
                <w:hideMark/>
              </w:tcPr>
              <w:p w14:paraId="43579F7C" w14:textId="77777777" w:rsidR="003E22D4" w:rsidRPr="009A46BB" w:rsidRDefault="003E22D4" w:rsidP="003E22D4">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 xml:space="preserve">901.500 </w:t>
                </w:r>
              </w:p>
            </w:tc>
            <w:tc>
              <w:tcPr>
                <w:tcW w:w="839" w:type="dxa"/>
                <w:shd w:val="clear" w:color="auto" w:fill="auto"/>
                <w:noWrap/>
                <w:vAlign w:val="center"/>
                <w:hideMark/>
              </w:tcPr>
              <w:p w14:paraId="138E3603" w14:textId="77777777" w:rsidR="003E22D4" w:rsidRPr="009A46BB" w:rsidRDefault="003E22D4" w:rsidP="003E22D4">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0</w:t>
                </w:r>
              </w:p>
            </w:tc>
            <w:tc>
              <w:tcPr>
                <w:tcW w:w="949" w:type="dxa"/>
                <w:shd w:val="clear" w:color="auto" w:fill="auto"/>
                <w:noWrap/>
                <w:vAlign w:val="center"/>
                <w:hideMark/>
              </w:tcPr>
              <w:p w14:paraId="51BABC06" w14:textId="77777777" w:rsidR="003E22D4" w:rsidRPr="009A46BB" w:rsidRDefault="003E22D4" w:rsidP="003E22D4">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w:t>
                </w:r>
              </w:p>
            </w:tc>
            <w:tc>
              <w:tcPr>
                <w:tcW w:w="889" w:type="dxa"/>
                <w:shd w:val="clear" w:color="auto" w:fill="auto"/>
                <w:noWrap/>
                <w:vAlign w:val="center"/>
                <w:hideMark/>
              </w:tcPr>
              <w:p w14:paraId="03CC0F18" w14:textId="77777777" w:rsidR="003E22D4" w:rsidRPr="009A46BB" w:rsidRDefault="003E22D4" w:rsidP="003E22D4">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No aplica</w:t>
                </w:r>
              </w:p>
            </w:tc>
            <w:tc>
              <w:tcPr>
                <w:tcW w:w="876" w:type="dxa"/>
                <w:shd w:val="clear" w:color="auto" w:fill="auto"/>
                <w:noWrap/>
                <w:vAlign w:val="center"/>
                <w:hideMark/>
              </w:tcPr>
              <w:p w14:paraId="466BC830" w14:textId="77777777" w:rsidR="003E22D4" w:rsidRPr="009A46BB" w:rsidRDefault="003E22D4" w:rsidP="003E22D4">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0</w:t>
                </w:r>
              </w:p>
            </w:tc>
          </w:tr>
          <w:tr w:rsidR="003E22D4" w:rsidRPr="003E22D4" w14:paraId="2912E515" w14:textId="77777777" w:rsidTr="00B05B9E">
            <w:trPr>
              <w:trHeight w:val="134"/>
            </w:trPr>
            <w:tc>
              <w:tcPr>
                <w:tcW w:w="2501" w:type="dxa"/>
                <w:shd w:val="clear" w:color="auto" w:fill="auto"/>
                <w:noWrap/>
                <w:vAlign w:val="center"/>
                <w:hideMark/>
              </w:tcPr>
              <w:p w14:paraId="7DE53802" w14:textId="77777777" w:rsidR="003E22D4" w:rsidRPr="009A46BB" w:rsidRDefault="003E22D4" w:rsidP="003E22D4">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Embargos judiciales</w:t>
                </w:r>
              </w:p>
            </w:tc>
            <w:tc>
              <w:tcPr>
                <w:tcW w:w="885" w:type="dxa"/>
                <w:shd w:val="clear" w:color="auto" w:fill="auto"/>
                <w:noWrap/>
                <w:vAlign w:val="center"/>
                <w:hideMark/>
              </w:tcPr>
              <w:p w14:paraId="5DA29FE8" w14:textId="77777777" w:rsidR="003E22D4" w:rsidRPr="009A46BB" w:rsidRDefault="003E22D4" w:rsidP="003E22D4">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1174" w:type="dxa"/>
                <w:shd w:val="clear" w:color="auto" w:fill="auto"/>
                <w:noWrap/>
                <w:vAlign w:val="center"/>
                <w:hideMark/>
              </w:tcPr>
              <w:p w14:paraId="42DD78CC" w14:textId="77777777" w:rsidR="003E22D4" w:rsidRPr="009A46BB" w:rsidRDefault="003E22D4" w:rsidP="003E22D4">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1212" w:type="dxa"/>
                <w:shd w:val="clear" w:color="auto" w:fill="auto"/>
                <w:noWrap/>
                <w:vAlign w:val="center"/>
                <w:hideMark/>
              </w:tcPr>
              <w:p w14:paraId="45700B11" w14:textId="77777777" w:rsidR="003E22D4" w:rsidRPr="009A46BB" w:rsidRDefault="003E22D4" w:rsidP="003E22D4">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2.886.667 </w:t>
                </w:r>
              </w:p>
            </w:tc>
            <w:tc>
              <w:tcPr>
                <w:tcW w:w="839" w:type="dxa"/>
                <w:shd w:val="clear" w:color="auto" w:fill="auto"/>
                <w:noWrap/>
                <w:vAlign w:val="center"/>
                <w:hideMark/>
              </w:tcPr>
              <w:p w14:paraId="766566A9" w14:textId="77777777" w:rsidR="003E22D4" w:rsidRPr="009A46BB" w:rsidRDefault="003E22D4" w:rsidP="003E22D4">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949" w:type="dxa"/>
                <w:shd w:val="clear" w:color="auto" w:fill="auto"/>
                <w:noWrap/>
                <w:vAlign w:val="center"/>
                <w:hideMark/>
              </w:tcPr>
              <w:p w14:paraId="2B205948" w14:textId="77777777" w:rsidR="003E22D4" w:rsidRPr="009A46BB" w:rsidRDefault="003E22D4" w:rsidP="003E22D4">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889" w:type="dxa"/>
                <w:shd w:val="clear" w:color="auto" w:fill="auto"/>
                <w:noWrap/>
                <w:vAlign w:val="center"/>
                <w:hideMark/>
              </w:tcPr>
              <w:p w14:paraId="130DEA9D" w14:textId="77777777" w:rsidR="003E22D4" w:rsidRPr="009A46BB" w:rsidRDefault="003E22D4" w:rsidP="003E22D4">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876" w:type="dxa"/>
                <w:shd w:val="clear" w:color="auto" w:fill="auto"/>
                <w:noWrap/>
                <w:vAlign w:val="center"/>
                <w:hideMark/>
              </w:tcPr>
              <w:p w14:paraId="17EE3924" w14:textId="77777777" w:rsidR="003E22D4" w:rsidRPr="009A46BB" w:rsidRDefault="003E22D4" w:rsidP="003E22D4">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0,0 </w:t>
                </w:r>
              </w:p>
            </w:tc>
          </w:tr>
          <w:tr w:rsidR="003E22D4" w:rsidRPr="003E22D4" w14:paraId="062CA7AA" w14:textId="77777777" w:rsidTr="00B05B9E">
            <w:trPr>
              <w:trHeight w:val="80"/>
            </w:trPr>
            <w:tc>
              <w:tcPr>
                <w:tcW w:w="2501" w:type="dxa"/>
                <w:shd w:val="clear" w:color="auto" w:fill="auto"/>
                <w:vAlign w:val="center"/>
                <w:hideMark/>
              </w:tcPr>
              <w:p w14:paraId="54EB29A6" w14:textId="77777777" w:rsidR="003E22D4" w:rsidRPr="009A46BB" w:rsidRDefault="003E22D4" w:rsidP="003E22D4">
                <w:pPr>
                  <w:spacing w:after="0" w:line="240" w:lineRule="auto"/>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Nacionales</w:t>
                </w:r>
              </w:p>
            </w:tc>
            <w:tc>
              <w:tcPr>
                <w:tcW w:w="885" w:type="dxa"/>
                <w:shd w:val="clear" w:color="auto" w:fill="auto"/>
                <w:noWrap/>
                <w:vAlign w:val="center"/>
                <w:hideMark/>
              </w:tcPr>
              <w:p w14:paraId="5CA9A908" w14:textId="77777777" w:rsidR="003E22D4" w:rsidRPr="009A46BB" w:rsidRDefault="003E22D4" w:rsidP="003E22D4">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PJ</w:t>
                </w:r>
              </w:p>
            </w:tc>
            <w:tc>
              <w:tcPr>
                <w:tcW w:w="1174" w:type="dxa"/>
                <w:shd w:val="clear" w:color="auto" w:fill="auto"/>
                <w:noWrap/>
                <w:vAlign w:val="center"/>
                <w:hideMark/>
              </w:tcPr>
              <w:p w14:paraId="73C68F0A" w14:textId="77777777" w:rsidR="003E22D4" w:rsidRPr="009A46BB" w:rsidRDefault="003E22D4" w:rsidP="003E22D4">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w:t>
                </w:r>
              </w:p>
            </w:tc>
            <w:tc>
              <w:tcPr>
                <w:tcW w:w="1212" w:type="dxa"/>
                <w:shd w:val="clear" w:color="auto" w:fill="auto"/>
                <w:noWrap/>
                <w:vAlign w:val="center"/>
                <w:hideMark/>
              </w:tcPr>
              <w:p w14:paraId="236A6B7F" w14:textId="77777777" w:rsidR="003E22D4" w:rsidRPr="009A46BB" w:rsidRDefault="003E22D4" w:rsidP="003E22D4">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 xml:space="preserve">2.886.667 </w:t>
                </w:r>
              </w:p>
            </w:tc>
            <w:tc>
              <w:tcPr>
                <w:tcW w:w="839" w:type="dxa"/>
                <w:shd w:val="clear" w:color="auto" w:fill="auto"/>
                <w:noWrap/>
                <w:vAlign w:val="center"/>
                <w:hideMark/>
              </w:tcPr>
              <w:p w14:paraId="44AA9A2A" w14:textId="77777777" w:rsidR="003E22D4" w:rsidRPr="009A46BB" w:rsidRDefault="003E22D4" w:rsidP="003E22D4">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0</w:t>
                </w:r>
              </w:p>
            </w:tc>
            <w:tc>
              <w:tcPr>
                <w:tcW w:w="949" w:type="dxa"/>
                <w:shd w:val="clear" w:color="auto" w:fill="auto"/>
                <w:noWrap/>
                <w:vAlign w:val="center"/>
                <w:hideMark/>
              </w:tcPr>
              <w:p w14:paraId="5FE90B7B" w14:textId="77777777" w:rsidR="003E22D4" w:rsidRPr="009A46BB" w:rsidRDefault="003E22D4" w:rsidP="003E22D4">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w:t>
                </w:r>
              </w:p>
            </w:tc>
            <w:tc>
              <w:tcPr>
                <w:tcW w:w="889" w:type="dxa"/>
                <w:shd w:val="clear" w:color="auto" w:fill="auto"/>
                <w:noWrap/>
                <w:vAlign w:val="center"/>
                <w:hideMark/>
              </w:tcPr>
              <w:p w14:paraId="0A6A5FCE" w14:textId="77777777" w:rsidR="003E22D4" w:rsidRPr="009A46BB" w:rsidRDefault="003E22D4" w:rsidP="003E22D4">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No aplica</w:t>
                </w:r>
              </w:p>
            </w:tc>
            <w:tc>
              <w:tcPr>
                <w:tcW w:w="876" w:type="dxa"/>
                <w:shd w:val="clear" w:color="auto" w:fill="auto"/>
                <w:noWrap/>
                <w:vAlign w:val="center"/>
                <w:hideMark/>
              </w:tcPr>
              <w:p w14:paraId="2DEA0774" w14:textId="77777777" w:rsidR="003E22D4" w:rsidRPr="009A46BB" w:rsidRDefault="003E22D4" w:rsidP="003E22D4">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0</w:t>
                </w:r>
              </w:p>
            </w:tc>
          </w:tr>
          <w:tr w:rsidR="003E22D4" w:rsidRPr="003E22D4" w14:paraId="625A66AA" w14:textId="77777777" w:rsidTr="00B05B9E">
            <w:trPr>
              <w:trHeight w:val="305"/>
            </w:trPr>
            <w:tc>
              <w:tcPr>
                <w:tcW w:w="2501" w:type="dxa"/>
                <w:shd w:val="clear" w:color="auto" w:fill="auto"/>
                <w:noWrap/>
                <w:vAlign w:val="center"/>
                <w:hideMark/>
              </w:tcPr>
              <w:p w14:paraId="7A28D2E9" w14:textId="77777777" w:rsidR="003E22D4" w:rsidRPr="009A46BB" w:rsidRDefault="003E22D4" w:rsidP="003E22D4">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Cuenta de ahorro para el fomento de la construcción (afc)</w:t>
                </w:r>
              </w:p>
            </w:tc>
            <w:tc>
              <w:tcPr>
                <w:tcW w:w="885" w:type="dxa"/>
                <w:shd w:val="clear" w:color="auto" w:fill="auto"/>
                <w:noWrap/>
                <w:vAlign w:val="center"/>
                <w:hideMark/>
              </w:tcPr>
              <w:p w14:paraId="0B3030A8" w14:textId="77777777" w:rsidR="003E22D4" w:rsidRPr="009A46BB" w:rsidRDefault="003E22D4" w:rsidP="003E22D4">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1174" w:type="dxa"/>
                <w:shd w:val="clear" w:color="auto" w:fill="auto"/>
                <w:noWrap/>
                <w:vAlign w:val="center"/>
                <w:hideMark/>
              </w:tcPr>
              <w:p w14:paraId="52C741D2" w14:textId="77777777" w:rsidR="003E22D4" w:rsidRPr="009A46BB" w:rsidRDefault="003E22D4" w:rsidP="003E22D4">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1212" w:type="dxa"/>
                <w:shd w:val="clear" w:color="auto" w:fill="auto"/>
                <w:noWrap/>
                <w:vAlign w:val="center"/>
                <w:hideMark/>
              </w:tcPr>
              <w:p w14:paraId="4134F63F" w14:textId="77777777" w:rsidR="003E22D4" w:rsidRPr="009A46BB" w:rsidRDefault="003E22D4" w:rsidP="003E22D4">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23.310.000 </w:t>
                </w:r>
              </w:p>
            </w:tc>
            <w:tc>
              <w:tcPr>
                <w:tcW w:w="839" w:type="dxa"/>
                <w:shd w:val="clear" w:color="auto" w:fill="auto"/>
                <w:noWrap/>
                <w:vAlign w:val="center"/>
                <w:hideMark/>
              </w:tcPr>
              <w:p w14:paraId="27D7AA60" w14:textId="77777777" w:rsidR="003E22D4" w:rsidRPr="009A46BB" w:rsidRDefault="003E22D4" w:rsidP="003E22D4">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949" w:type="dxa"/>
                <w:shd w:val="clear" w:color="auto" w:fill="auto"/>
                <w:noWrap/>
                <w:vAlign w:val="center"/>
                <w:hideMark/>
              </w:tcPr>
              <w:p w14:paraId="17AFF666" w14:textId="77777777" w:rsidR="003E22D4" w:rsidRPr="009A46BB" w:rsidRDefault="003E22D4" w:rsidP="003E22D4">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889" w:type="dxa"/>
                <w:shd w:val="clear" w:color="auto" w:fill="auto"/>
                <w:noWrap/>
                <w:vAlign w:val="center"/>
                <w:hideMark/>
              </w:tcPr>
              <w:p w14:paraId="548C7282" w14:textId="77777777" w:rsidR="003E22D4" w:rsidRPr="009A46BB" w:rsidRDefault="003E22D4" w:rsidP="003E22D4">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876" w:type="dxa"/>
                <w:shd w:val="clear" w:color="auto" w:fill="auto"/>
                <w:noWrap/>
                <w:vAlign w:val="center"/>
                <w:hideMark/>
              </w:tcPr>
              <w:p w14:paraId="2B11BBB2" w14:textId="77777777" w:rsidR="003E22D4" w:rsidRPr="009A46BB" w:rsidRDefault="003E22D4" w:rsidP="003E22D4">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0,0 </w:t>
                </w:r>
              </w:p>
            </w:tc>
          </w:tr>
          <w:tr w:rsidR="003E22D4" w:rsidRPr="003E22D4" w14:paraId="02A2704C" w14:textId="77777777" w:rsidTr="00B05B9E">
            <w:trPr>
              <w:trHeight w:val="232"/>
            </w:trPr>
            <w:tc>
              <w:tcPr>
                <w:tcW w:w="2501" w:type="dxa"/>
                <w:shd w:val="clear" w:color="auto" w:fill="auto"/>
                <w:vAlign w:val="center"/>
                <w:hideMark/>
              </w:tcPr>
              <w:p w14:paraId="41218124" w14:textId="77777777" w:rsidR="003E22D4" w:rsidRPr="009A46BB" w:rsidRDefault="003E22D4" w:rsidP="003E22D4">
                <w:pPr>
                  <w:spacing w:after="0" w:line="240" w:lineRule="auto"/>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Nacionales</w:t>
                </w:r>
              </w:p>
            </w:tc>
            <w:tc>
              <w:tcPr>
                <w:tcW w:w="885" w:type="dxa"/>
                <w:shd w:val="clear" w:color="auto" w:fill="auto"/>
                <w:noWrap/>
                <w:vAlign w:val="center"/>
                <w:hideMark/>
              </w:tcPr>
              <w:p w14:paraId="3D6425CF" w14:textId="77777777" w:rsidR="003E22D4" w:rsidRPr="009A46BB" w:rsidRDefault="003E22D4" w:rsidP="003E22D4">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PJ</w:t>
                </w:r>
              </w:p>
            </w:tc>
            <w:tc>
              <w:tcPr>
                <w:tcW w:w="1174" w:type="dxa"/>
                <w:shd w:val="clear" w:color="auto" w:fill="auto"/>
                <w:noWrap/>
                <w:vAlign w:val="center"/>
                <w:hideMark/>
              </w:tcPr>
              <w:p w14:paraId="460B46F9" w14:textId="77777777" w:rsidR="003E22D4" w:rsidRPr="009A46BB" w:rsidRDefault="003E22D4" w:rsidP="003E22D4">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4</w:t>
                </w:r>
              </w:p>
            </w:tc>
            <w:tc>
              <w:tcPr>
                <w:tcW w:w="1212" w:type="dxa"/>
                <w:shd w:val="clear" w:color="auto" w:fill="auto"/>
                <w:noWrap/>
                <w:vAlign w:val="center"/>
                <w:hideMark/>
              </w:tcPr>
              <w:p w14:paraId="39AE90F4" w14:textId="77777777" w:rsidR="003E22D4" w:rsidRPr="009A46BB" w:rsidRDefault="003E22D4" w:rsidP="003E22D4">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 xml:space="preserve">23.310.000 </w:t>
                </w:r>
              </w:p>
            </w:tc>
            <w:tc>
              <w:tcPr>
                <w:tcW w:w="839" w:type="dxa"/>
                <w:shd w:val="clear" w:color="auto" w:fill="auto"/>
                <w:noWrap/>
                <w:vAlign w:val="center"/>
                <w:hideMark/>
              </w:tcPr>
              <w:p w14:paraId="78FBB9F4" w14:textId="77777777" w:rsidR="003E22D4" w:rsidRPr="009A46BB" w:rsidRDefault="003E22D4" w:rsidP="003E22D4">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0</w:t>
                </w:r>
              </w:p>
            </w:tc>
            <w:tc>
              <w:tcPr>
                <w:tcW w:w="949" w:type="dxa"/>
                <w:shd w:val="clear" w:color="auto" w:fill="auto"/>
                <w:noWrap/>
                <w:vAlign w:val="center"/>
                <w:hideMark/>
              </w:tcPr>
              <w:p w14:paraId="6C19B342" w14:textId="77777777" w:rsidR="003E22D4" w:rsidRPr="009A46BB" w:rsidRDefault="003E22D4" w:rsidP="003E22D4">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w:t>
                </w:r>
              </w:p>
            </w:tc>
            <w:tc>
              <w:tcPr>
                <w:tcW w:w="889" w:type="dxa"/>
                <w:shd w:val="clear" w:color="auto" w:fill="auto"/>
                <w:noWrap/>
                <w:vAlign w:val="center"/>
                <w:hideMark/>
              </w:tcPr>
              <w:p w14:paraId="30FEE14A" w14:textId="77777777" w:rsidR="003E22D4" w:rsidRPr="009A46BB" w:rsidRDefault="003E22D4" w:rsidP="003E22D4">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No aplica</w:t>
                </w:r>
              </w:p>
            </w:tc>
            <w:tc>
              <w:tcPr>
                <w:tcW w:w="876" w:type="dxa"/>
                <w:shd w:val="clear" w:color="auto" w:fill="auto"/>
                <w:noWrap/>
                <w:vAlign w:val="center"/>
                <w:hideMark/>
              </w:tcPr>
              <w:p w14:paraId="3D15A687" w14:textId="77777777" w:rsidR="003E22D4" w:rsidRPr="009A46BB" w:rsidRDefault="003E22D4" w:rsidP="003E22D4">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0</w:t>
                </w:r>
              </w:p>
            </w:tc>
          </w:tr>
          <w:tr w:rsidR="003E22D4" w:rsidRPr="003E22D4" w14:paraId="49E7358B" w14:textId="77777777" w:rsidTr="00B05B9E">
            <w:trPr>
              <w:trHeight w:val="109"/>
            </w:trPr>
            <w:tc>
              <w:tcPr>
                <w:tcW w:w="2501" w:type="dxa"/>
                <w:shd w:val="clear" w:color="auto" w:fill="auto"/>
                <w:noWrap/>
                <w:vAlign w:val="center"/>
                <w:hideMark/>
              </w:tcPr>
              <w:p w14:paraId="2CBAD2A0" w14:textId="77777777" w:rsidR="003E22D4" w:rsidRPr="009A46BB" w:rsidRDefault="003E22D4" w:rsidP="003E22D4">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Otros descuentos de nómina</w:t>
                </w:r>
              </w:p>
            </w:tc>
            <w:tc>
              <w:tcPr>
                <w:tcW w:w="885" w:type="dxa"/>
                <w:shd w:val="clear" w:color="auto" w:fill="auto"/>
                <w:noWrap/>
                <w:vAlign w:val="center"/>
                <w:hideMark/>
              </w:tcPr>
              <w:p w14:paraId="162F14C1" w14:textId="77777777" w:rsidR="003E22D4" w:rsidRPr="009A46BB" w:rsidRDefault="003E22D4" w:rsidP="003E22D4">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1174" w:type="dxa"/>
                <w:shd w:val="clear" w:color="auto" w:fill="auto"/>
                <w:noWrap/>
                <w:vAlign w:val="center"/>
                <w:hideMark/>
              </w:tcPr>
              <w:p w14:paraId="273BE550" w14:textId="77777777" w:rsidR="003E22D4" w:rsidRPr="009A46BB" w:rsidRDefault="003E22D4" w:rsidP="003E22D4">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1212" w:type="dxa"/>
                <w:shd w:val="clear" w:color="auto" w:fill="auto"/>
                <w:noWrap/>
                <w:vAlign w:val="center"/>
                <w:hideMark/>
              </w:tcPr>
              <w:p w14:paraId="3FD9068E" w14:textId="77777777" w:rsidR="003E22D4" w:rsidRPr="009A46BB" w:rsidRDefault="003E22D4" w:rsidP="003E22D4">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20.000.000 </w:t>
                </w:r>
              </w:p>
            </w:tc>
            <w:tc>
              <w:tcPr>
                <w:tcW w:w="839" w:type="dxa"/>
                <w:shd w:val="clear" w:color="auto" w:fill="auto"/>
                <w:noWrap/>
                <w:vAlign w:val="center"/>
                <w:hideMark/>
              </w:tcPr>
              <w:p w14:paraId="03DD3CEC" w14:textId="77777777" w:rsidR="003E22D4" w:rsidRPr="009A46BB" w:rsidRDefault="003E22D4" w:rsidP="003E22D4">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949" w:type="dxa"/>
                <w:shd w:val="clear" w:color="auto" w:fill="auto"/>
                <w:noWrap/>
                <w:vAlign w:val="center"/>
                <w:hideMark/>
              </w:tcPr>
              <w:p w14:paraId="5976DA36" w14:textId="77777777" w:rsidR="003E22D4" w:rsidRPr="009A46BB" w:rsidRDefault="003E22D4" w:rsidP="003E22D4">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889" w:type="dxa"/>
                <w:shd w:val="clear" w:color="auto" w:fill="auto"/>
                <w:noWrap/>
                <w:vAlign w:val="center"/>
                <w:hideMark/>
              </w:tcPr>
              <w:p w14:paraId="3F9E3776" w14:textId="77777777" w:rsidR="003E22D4" w:rsidRPr="009A46BB" w:rsidRDefault="003E22D4" w:rsidP="003E22D4">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876" w:type="dxa"/>
                <w:shd w:val="clear" w:color="auto" w:fill="auto"/>
                <w:noWrap/>
                <w:vAlign w:val="center"/>
                <w:hideMark/>
              </w:tcPr>
              <w:p w14:paraId="33C28EA6" w14:textId="77777777" w:rsidR="003E22D4" w:rsidRPr="009A46BB" w:rsidRDefault="003E22D4" w:rsidP="003E22D4">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0,0 </w:t>
                </w:r>
              </w:p>
            </w:tc>
          </w:tr>
          <w:tr w:rsidR="003E22D4" w:rsidRPr="003E22D4" w14:paraId="2C30E1F9" w14:textId="77777777" w:rsidTr="00B05B9E">
            <w:trPr>
              <w:trHeight w:val="196"/>
            </w:trPr>
            <w:tc>
              <w:tcPr>
                <w:tcW w:w="2501" w:type="dxa"/>
                <w:shd w:val="clear" w:color="auto" w:fill="auto"/>
                <w:vAlign w:val="center"/>
                <w:hideMark/>
              </w:tcPr>
              <w:p w14:paraId="45FDFB06" w14:textId="77777777" w:rsidR="003E22D4" w:rsidRPr="009A46BB" w:rsidRDefault="003E22D4" w:rsidP="003E22D4">
                <w:pPr>
                  <w:spacing w:after="0" w:line="240" w:lineRule="auto"/>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Nacionales</w:t>
                </w:r>
              </w:p>
            </w:tc>
            <w:tc>
              <w:tcPr>
                <w:tcW w:w="885" w:type="dxa"/>
                <w:shd w:val="clear" w:color="auto" w:fill="auto"/>
                <w:noWrap/>
                <w:vAlign w:val="center"/>
                <w:hideMark/>
              </w:tcPr>
              <w:p w14:paraId="3B93F3BD" w14:textId="77777777" w:rsidR="003E22D4" w:rsidRPr="009A46BB" w:rsidRDefault="003E22D4" w:rsidP="003E22D4">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PJ</w:t>
                </w:r>
              </w:p>
            </w:tc>
            <w:tc>
              <w:tcPr>
                <w:tcW w:w="1174" w:type="dxa"/>
                <w:shd w:val="clear" w:color="auto" w:fill="auto"/>
                <w:noWrap/>
                <w:vAlign w:val="center"/>
                <w:hideMark/>
              </w:tcPr>
              <w:p w14:paraId="35FA7C57" w14:textId="77777777" w:rsidR="003E22D4" w:rsidRPr="009A46BB" w:rsidRDefault="003E22D4" w:rsidP="003E22D4">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w:t>
                </w:r>
              </w:p>
            </w:tc>
            <w:tc>
              <w:tcPr>
                <w:tcW w:w="1212" w:type="dxa"/>
                <w:shd w:val="clear" w:color="auto" w:fill="auto"/>
                <w:noWrap/>
                <w:vAlign w:val="center"/>
                <w:hideMark/>
              </w:tcPr>
              <w:p w14:paraId="6580F7E9" w14:textId="77777777" w:rsidR="003E22D4" w:rsidRPr="009A46BB" w:rsidRDefault="003E22D4" w:rsidP="003E22D4">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 xml:space="preserve">20.000.000 </w:t>
                </w:r>
              </w:p>
            </w:tc>
            <w:tc>
              <w:tcPr>
                <w:tcW w:w="839" w:type="dxa"/>
                <w:shd w:val="clear" w:color="auto" w:fill="auto"/>
                <w:noWrap/>
                <w:vAlign w:val="center"/>
                <w:hideMark/>
              </w:tcPr>
              <w:p w14:paraId="1FB38B79" w14:textId="77777777" w:rsidR="003E22D4" w:rsidRPr="009A46BB" w:rsidRDefault="003E22D4" w:rsidP="003E22D4">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0</w:t>
                </w:r>
              </w:p>
            </w:tc>
            <w:tc>
              <w:tcPr>
                <w:tcW w:w="949" w:type="dxa"/>
                <w:shd w:val="clear" w:color="auto" w:fill="auto"/>
                <w:noWrap/>
                <w:vAlign w:val="center"/>
                <w:hideMark/>
              </w:tcPr>
              <w:p w14:paraId="45FA7507" w14:textId="77777777" w:rsidR="003E22D4" w:rsidRPr="009A46BB" w:rsidRDefault="003E22D4" w:rsidP="003E22D4">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w:t>
                </w:r>
              </w:p>
            </w:tc>
            <w:tc>
              <w:tcPr>
                <w:tcW w:w="889" w:type="dxa"/>
                <w:shd w:val="clear" w:color="auto" w:fill="auto"/>
                <w:noWrap/>
                <w:vAlign w:val="center"/>
                <w:hideMark/>
              </w:tcPr>
              <w:p w14:paraId="34685FBE" w14:textId="77777777" w:rsidR="003E22D4" w:rsidRPr="009A46BB" w:rsidRDefault="003E22D4" w:rsidP="003E22D4">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No aplica</w:t>
                </w:r>
              </w:p>
            </w:tc>
            <w:tc>
              <w:tcPr>
                <w:tcW w:w="876" w:type="dxa"/>
                <w:shd w:val="clear" w:color="auto" w:fill="auto"/>
                <w:noWrap/>
                <w:vAlign w:val="center"/>
                <w:hideMark/>
              </w:tcPr>
              <w:p w14:paraId="232DB977" w14:textId="77777777" w:rsidR="003E22D4" w:rsidRPr="009A46BB" w:rsidRDefault="003E22D4" w:rsidP="003E22D4">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0</w:t>
                </w:r>
              </w:p>
            </w:tc>
          </w:tr>
        </w:tbl>
        <w:p w14:paraId="0D54D299" w14:textId="645F904A" w:rsidR="00CC6E5A" w:rsidRPr="00C430AC" w:rsidRDefault="00AD2026" w:rsidP="00CC6E5A">
          <w:pPr>
            <w:spacing w:after="0" w:line="240" w:lineRule="auto"/>
            <w:jc w:val="both"/>
            <w:rPr>
              <w:rFonts w:ascii="Times New Roman" w:hAnsi="Times New Roman"/>
              <w:sz w:val="24"/>
              <w:szCs w:val="24"/>
            </w:rPr>
          </w:pPr>
          <w:r w:rsidRPr="00931DCE">
            <w:rPr>
              <w:rFonts w:ascii="Times New Roman" w:hAnsi="Times New Roman"/>
              <w:sz w:val="14"/>
              <w:szCs w:val="14"/>
            </w:rPr>
            <w:t>Cifras expresadas en pesos</w:t>
          </w:r>
        </w:p>
        <w:p w14:paraId="4E82E1A2" w14:textId="77777777" w:rsidR="00CC6E5A" w:rsidRPr="00931DCE" w:rsidRDefault="00CC6E5A" w:rsidP="00CC6E5A">
          <w:pPr>
            <w:spacing w:after="0" w:line="240" w:lineRule="auto"/>
            <w:jc w:val="both"/>
            <w:rPr>
              <w:rFonts w:ascii="Times New Roman" w:hAnsi="Times New Roman"/>
              <w:sz w:val="24"/>
              <w:szCs w:val="24"/>
            </w:rPr>
          </w:pPr>
        </w:p>
        <w:p w14:paraId="0A1FE930" w14:textId="2415F673" w:rsidR="00CC6E5A" w:rsidRPr="00931DCE" w:rsidRDefault="00CC6E5A" w:rsidP="00193509">
          <w:pPr>
            <w:spacing w:after="0" w:line="240" w:lineRule="auto"/>
            <w:ind w:firstLine="1"/>
            <w:jc w:val="both"/>
            <w:rPr>
              <w:rFonts w:ascii="Times New Roman" w:hAnsi="Times New Roman"/>
              <w:sz w:val="24"/>
              <w:szCs w:val="24"/>
            </w:rPr>
          </w:pPr>
          <w:r w:rsidRPr="00931DCE">
            <w:rPr>
              <w:rFonts w:ascii="Times New Roman" w:hAnsi="Times New Roman"/>
              <w:sz w:val="24"/>
              <w:szCs w:val="24"/>
            </w:rPr>
            <w:t xml:space="preserve">El valor de </w:t>
          </w:r>
          <w:r w:rsidR="008A4AF7">
            <w:rPr>
              <w:rFonts w:ascii="Times New Roman" w:hAnsi="Times New Roman"/>
              <w:sz w:val="24"/>
              <w:szCs w:val="24"/>
            </w:rPr>
            <w:t>$</w:t>
          </w:r>
          <w:r w:rsidR="00A419D0">
            <w:rPr>
              <w:rFonts w:ascii="Times New Roman" w:hAnsi="Times New Roman"/>
              <w:sz w:val="24"/>
              <w:szCs w:val="24"/>
            </w:rPr>
            <w:t>23.310.000</w:t>
          </w:r>
          <w:r w:rsidRPr="00931DCE">
            <w:rPr>
              <w:rFonts w:ascii="Times New Roman" w:hAnsi="Times New Roman"/>
              <w:sz w:val="24"/>
              <w:szCs w:val="24"/>
            </w:rPr>
            <w:t xml:space="preserve"> en la cuenta descuentos de nómina, corresponde al registro de las obligaciones adquiridas referente a cuentas de ahorro para el fomento de la construcción (AFC) que solicitan los contratistas de la Entidad, los cuales son consignados en el mes de enero del 20</w:t>
          </w:r>
          <w:r w:rsidR="008A65D8">
            <w:rPr>
              <w:rFonts w:ascii="Times New Roman" w:hAnsi="Times New Roman"/>
              <w:sz w:val="24"/>
              <w:szCs w:val="24"/>
            </w:rPr>
            <w:t>23</w:t>
          </w:r>
          <w:r w:rsidRPr="00931DCE">
            <w:rPr>
              <w:rFonts w:ascii="Times New Roman" w:hAnsi="Times New Roman"/>
              <w:sz w:val="24"/>
              <w:szCs w:val="24"/>
            </w:rPr>
            <w:t xml:space="preserve"> a la cuenta que corresponda.</w:t>
          </w:r>
        </w:p>
        <w:p w14:paraId="4F597357" w14:textId="77777777" w:rsidR="00A27485" w:rsidRPr="00931DCE" w:rsidRDefault="00A27485" w:rsidP="00CC6E5A">
          <w:pPr>
            <w:spacing w:after="0" w:line="240" w:lineRule="auto"/>
            <w:jc w:val="both"/>
            <w:rPr>
              <w:rFonts w:ascii="Times New Roman" w:hAnsi="Times New Roman"/>
              <w:sz w:val="24"/>
              <w:szCs w:val="24"/>
            </w:rPr>
          </w:pPr>
        </w:p>
        <w:p w14:paraId="3FBED763" w14:textId="20479C33" w:rsidR="00CC6E5A" w:rsidRPr="00931DCE" w:rsidRDefault="009B5901" w:rsidP="00CC6E5A">
          <w:pPr>
            <w:spacing w:after="0" w:line="240" w:lineRule="auto"/>
            <w:jc w:val="both"/>
            <w:rPr>
              <w:rFonts w:ascii="Times New Roman" w:hAnsi="Times New Roman"/>
              <w:sz w:val="24"/>
              <w:szCs w:val="24"/>
            </w:rPr>
          </w:pPr>
          <w:r w:rsidRPr="00931DCE">
            <w:rPr>
              <w:rFonts w:ascii="Times New Roman" w:hAnsi="Times New Roman"/>
              <w:sz w:val="24"/>
              <w:szCs w:val="24"/>
            </w:rPr>
            <w:t>L</w:t>
          </w:r>
          <w:r w:rsidR="00CC6E5A" w:rsidRPr="00931DCE">
            <w:rPr>
              <w:rFonts w:ascii="Times New Roman" w:hAnsi="Times New Roman"/>
              <w:sz w:val="24"/>
              <w:szCs w:val="24"/>
            </w:rPr>
            <w:t>os valores registrados, no tienen restricciones y tampoco se tiene contractualmente pactado tasa de interés.</w:t>
          </w:r>
        </w:p>
        <w:p w14:paraId="59389CD5" w14:textId="77777777" w:rsidR="00A73E91" w:rsidRPr="00931DCE" w:rsidRDefault="00A73E91" w:rsidP="00A73E91">
          <w:pPr>
            <w:spacing w:after="0" w:line="240" w:lineRule="auto"/>
            <w:rPr>
              <w:rFonts w:ascii="Times New Roman" w:hAnsi="Times New Roman"/>
            </w:rPr>
          </w:pPr>
        </w:p>
        <w:p w14:paraId="02555066" w14:textId="77777777" w:rsidR="005655CE" w:rsidRPr="00931DCE" w:rsidRDefault="005655CE" w:rsidP="005655CE">
          <w:pPr>
            <w:spacing w:after="0" w:line="240" w:lineRule="auto"/>
            <w:rPr>
              <w:rFonts w:ascii="Times New Roman" w:hAnsi="Times New Roman"/>
            </w:rPr>
          </w:pPr>
        </w:p>
        <w:p w14:paraId="1DFA0710" w14:textId="7E7529D6" w:rsidR="005655CE" w:rsidRPr="00931DCE" w:rsidRDefault="005655CE">
          <w:pPr>
            <w:pStyle w:val="Ttulo3"/>
            <w:numPr>
              <w:ilvl w:val="2"/>
              <w:numId w:val="3"/>
            </w:numPr>
            <w:spacing w:line="240" w:lineRule="auto"/>
            <w:ind w:left="709" w:hanging="709"/>
            <w:rPr>
              <w:rFonts w:cs="Times New Roman"/>
              <w:color w:val="1F3864" w:themeColor="accent1" w:themeShade="80"/>
            </w:rPr>
          </w:pPr>
          <w:bookmarkStart w:id="67" w:name="_Toc159952403"/>
          <w:r w:rsidRPr="00931DCE">
            <w:rPr>
              <w:rFonts w:cs="Times New Roman"/>
              <w:color w:val="1F3864" w:themeColor="accent1" w:themeShade="80"/>
            </w:rPr>
            <w:t>Impuestos, Contribuciones y Tasas</w:t>
          </w:r>
          <w:bookmarkEnd w:id="67"/>
        </w:p>
        <w:p w14:paraId="56C262A5" w14:textId="77777777" w:rsidR="003D4685" w:rsidRPr="00931DCE" w:rsidRDefault="003D4685" w:rsidP="003D4685">
          <w:pPr>
            <w:spacing w:after="0" w:line="240" w:lineRule="auto"/>
            <w:jc w:val="both"/>
            <w:rPr>
              <w:rFonts w:ascii="Times New Roman" w:hAnsi="Times New Roman"/>
              <w:sz w:val="24"/>
              <w:szCs w:val="24"/>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ayout w:type="fixed"/>
            <w:tblCellMar>
              <w:left w:w="70" w:type="dxa"/>
              <w:right w:w="70" w:type="dxa"/>
            </w:tblCellMar>
            <w:tblLook w:val="04A0" w:firstRow="1" w:lastRow="0" w:firstColumn="1" w:lastColumn="0" w:noHBand="0" w:noVBand="1"/>
          </w:tblPr>
          <w:tblGrid>
            <w:gridCol w:w="2520"/>
            <w:gridCol w:w="825"/>
            <w:gridCol w:w="1003"/>
            <w:gridCol w:w="1175"/>
            <w:gridCol w:w="848"/>
            <w:gridCol w:w="960"/>
            <w:gridCol w:w="759"/>
            <w:gridCol w:w="879"/>
          </w:tblGrid>
          <w:tr w:rsidR="00112097" w:rsidRPr="00112097" w14:paraId="3D9ED4BF" w14:textId="77777777" w:rsidTr="00D94FC9">
            <w:trPr>
              <w:trHeight w:val="340"/>
              <w:tblHeader/>
            </w:trPr>
            <w:tc>
              <w:tcPr>
                <w:tcW w:w="3079" w:type="pct"/>
                <w:gridSpan w:val="4"/>
                <w:vMerge w:val="restart"/>
                <w:shd w:val="clear" w:color="auto" w:fill="auto"/>
                <w:vAlign w:val="center"/>
                <w:hideMark/>
              </w:tcPr>
              <w:p w14:paraId="7375DE1A" w14:textId="77777777" w:rsidR="00112097" w:rsidRPr="009A46BB" w:rsidRDefault="00112097" w:rsidP="00112097">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lastRenderedPageBreak/>
                  <w:t>ASOCIACIÓN DE DATOS</w:t>
                </w:r>
              </w:p>
            </w:tc>
            <w:tc>
              <w:tcPr>
                <w:tcW w:w="1921" w:type="pct"/>
                <w:gridSpan w:val="4"/>
                <w:shd w:val="clear" w:color="auto" w:fill="auto"/>
                <w:vAlign w:val="center"/>
                <w:hideMark/>
              </w:tcPr>
              <w:p w14:paraId="0BD676F9" w14:textId="77777777" w:rsidR="00112097" w:rsidRPr="009A46BB" w:rsidRDefault="00112097" w:rsidP="00112097">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DETALLES DE LA TRANSACCIÓN</w:t>
                </w:r>
                <w:r w:rsidRPr="009A46BB">
                  <w:rPr>
                    <w:rFonts w:ascii="Times New Roman" w:eastAsia="Times New Roman" w:hAnsi="Times New Roman"/>
                    <w:b/>
                    <w:sz w:val="16"/>
                    <w:szCs w:val="16"/>
                    <w:lang w:eastAsia="es-CO"/>
                  </w:rPr>
                  <w:br/>
                  <w:t>(reporte agrupado por datos comunes de asociación)</w:t>
                </w:r>
              </w:p>
            </w:tc>
          </w:tr>
          <w:tr w:rsidR="00112097" w:rsidRPr="00112097" w14:paraId="1082A3BC" w14:textId="77777777" w:rsidTr="00D94FC9">
            <w:trPr>
              <w:trHeight w:val="340"/>
              <w:tblHeader/>
            </w:trPr>
            <w:tc>
              <w:tcPr>
                <w:tcW w:w="3079" w:type="pct"/>
                <w:gridSpan w:val="4"/>
                <w:vMerge/>
                <w:vAlign w:val="center"/>
                <w:hideMark/>
              </w:tcPr>
              <w:p w14:paraId="11547643" w14:textId="77777777" w:rsidR="00112097" w:rsidRPr="009A46BB" w:rsidRDefault="00112097" w:rsidP="00112097">
                <w:pPr>
                  <w:spacing w:after="0" w:line="240" w:lineRule="auto"/>
                  <w:rPr>
                    <w:rFonts w:ascii="Times New Roman" w:eastAsia="Times New Roman" w:hAnsi="Times New Roman"/>
                    <w:b/>
                    <w:sz w:val="16"/>
                    <w:szCs w:val="16"/>
                    <w:lang w:eastAsia="es-CO"/>
                  </w:rPr>
                </w:pPr>
              </w:p>
            </w:tc>
            <w:tc>
              <w:tcPr>
                <w:tcW w:w="1008" w:type="pct"/>
                <w:gridSpan w:val="2"/>
                <w:shd w:val="clear" w:color="auto" w:fill="auto"/>
                <w:vAlign w:val="center"/>
                <w:hideMark/>
              </w:tcPr>
              <w:p w14:paraId="704997C4" w14:textId="77777777" w:rsidR="00112097" w:rsidRPr="009A46BB" w:rsidRDefault="00112097" w:rsidP="00112097">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PLAZO</w:t>
                </w:r>
                <w:r w:rsidRPr="009A46BB">
                  <w:rPr>
                    <w:rFonts w:ascii="Times New Roman" w:eastAsia="Times New Roman" w:hAnsi="Times New Roman"/>
                    <w:b/>
                    <w:sz w:val="16"/>
                    <w:szCs w:val="16"/>
                    <w:lang w:eastAsia="es-CO"/>
                  </w:rPr>
                  <w:br/>
                  <w:t>(rango en # meses)</w:t>
                </w:r>
              </w:p>
            </w:tc>
            <w:tc>
              <w:tcPr>
                <w:tcW w:w="423" w:type="pct"/>
                <w:vMerge w:val="restart"/>
                <w:shd w:val="clear" w:color="auto" w:fill="auto"/>
                <w:textDirection w:val="btLr"/>
                <w:vAlign w:val="center"/>
                <w:hideMark/>
              </w:tcPr>
              <w:p w14:paraId="52503995" w14:textId="77777777" w:rsidR="00112097" w:rsidRPr="009A46BB" w:rsidRDefault="00112097" w:rsidP="006755A4">
                <w:pPr>
                  <w:spacing w:after="0" w:line="240" w:lineRule="auto"/>
                  <w:ind w:left="113" w:right="113"/>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RESTRICCIONES</w:t>
                </w:r>
              </w:p>
            </w:tc>
            <w:tc>
              <w:tcPr>
                <w:tcW w:w="489" w:type="pct"/>
                <w:vMerge w:val="restart"/>
                <w:shd w:val="clear" w:color="auto" w:fill="auto"/>
                <w:vAlign w:val="center"/>
                <w:hideMark/>
              </w:tcPr>
              <w:p w14:paraId="6ABDDAE0" w14:textId="77777777" w:rsidR="00112097" w:rsidRPr="009A46BB" w:rsidRDefault="00112097" w:rsidP="00112097">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TASA DE INTERES</w:t>
                </w:r>
                <w:r w:rsidRPr="009A46BB">
                  <w:rPr>
                    <w:rFonts w:ascii="Times New Roman" w:eastAsia="Times New Roman" w:hAnsi="Times New Roman"/>
                    <w:b/>
                    <w:sz w:val="16"/>
                    <w:szCs w:val="16"/>
                    <w:lang w:eastAsia="es-CO"/>
                  </w:rPr>
                  <w:br/>
                  <w:t>(%)</w:t>
                </w:r>
              </w:p>
            </w:tc>
          </w:tr>
          <w:tr w:rsidR="00112097" w:rsidRPr="00112097" w14:paraId="4E5BC069" w14:textId="77777777" w:rsidTr="00D94FC9">
            <w:trPr>
              <w:trHeight w:val="290"/>
              <w:tblHeader/>
            </w:trPr>
            <w:tc>
              <w:tcPr>
                <w:tcW w:w="1405" w:type="pct"/>
                <w:shd w:val="clear" w:color="auto" w:fill="auto"/>
                <w:vAlign w:val="center"/>
                <w:hideMark/>
              </w:tcPr>
              <w:p w14:paraId="7ED02D66" w14:textId="77777777" w:rsidR="00112097" w:rsidRPr="009A46BB" w:rsidRDefault="00112097" w:rsidP="00112097">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TIPO DE TERCEROS</w:t>
                </w:r>
              </w:p>
            </w:tc>
            <w:tc>
              <w:tcPr>
                <w:tcW w:w="460" w:type="pct"/>
                <w:shd w:val="clear" w:color="auto" w:fill="auto"/>
                <w:vAlign w:val="center"/>
                <w:hideMark/>
              </w:tcPr>
              <w:p w14:paraId="136A948C" w14:textId="77777777" w:rsidR="00112097" w:rsidRPr="009A46BB" w:rsidRDefault="00112097" w:rsidP="00112097">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PN / PJ / ECP</w:t>
                </w:r>
              </w:p>
            </w:tc>
            <w:tc>
              <w:tcPr>
                <w:tcW w:w="559" w:type="pct"/>
                <w:shd w:val="clear" w:color="auto" w:fill="auto"/>
                <w:vAlign w:val="center"/>
                <w:hideMark/>
              </w:tcPr>
              <w:p w14:paraId="7AD18750" w14:textId="77777777" w:rsidR="00112097" w:rsidRPr="009A46BB" w:rsidRDefault="00112097" w:rsidP="00112097">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CANTIDAD</w:t>
                </w:r>
              </w:p>
            </w:tc>
            <w:tc>
              <w:tcPr>
                <w:tcW w:w="655" w:type="pct"/>
                <w:shd w:val="clear" w:color="auto" w:fill="auto"/>
                <w:vAlign w:val="center"/>
                <w:hideMark/>
              </w:tcPr>
              <w:p w14:paraId="5340FAB4" w14:textId="77777777" w:rsidR="00112097" w:rsidRPr="009A46BB" w:rsidRDefault="00112097" w:rsidP="00112097">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VALOR EN LIBROS</w:t>
                </w:r>
              </w:p>
            </w:tc>
            <w:tc>
              <w:tcPr>
                <w:tcW w:w="473" w:type="pct"/>
                <w:shd w:val="clear" w:color="auto" w:fill="auto"/>
                <w:vAlign w:val="center"/>
                <w:hideMark/>
              </w:tcPr>
              <w:p w14:paraId="7EDEA1EE" w14:textId="77777777" w:rsidR="00112097" w:rsidRPr="009A46BB" w:rsidRDefault="00112097" w:rsidP="00112097">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MÍNIMO</w:t>
                </w:r>
              </w:p>
            </w:tc>
            <w:tc>
              <w:tcPr>
                <w:tcW w:w="535" w:type="pct"/>
                <w:shd w:val="clear" w:color="auto" w:fill="auto"/>
                <w:vAlign w:val="center"/>
                <w:hideMark/>
              </w:tcPr>
              <w:p w14:paraId="3DF71FCC" w14:textId="77777777" w:rsidR="00112097" w:rsidRPr="009A46BB" w:rsidRDefault="00112097" w:rsidP="00112097">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MÁXIMO</w:t>
                </w:r>
              </w:p>
            </w:tc>
            <w:tc>
              <w:tcPr>
                <w:tcW w:w="423" w:type="pct"/>
                <w:vMerge/>
                <w:vAlign w:val="center"/>
                <w:hideMark/>
              </w:tcPr>
              <w:p w14:paraId="4C8BA429" w14:textId="77777777" w:rsidR="00112097" w:rsidRPr="009A46BB" w:rsidRDefault="00112097" w:rsidP="00112097">
                <w:pPr>
                  <w:spacing w:after="0" w:line="240" w:lineRule="auto"/>
                  <w:rPr>
                    <w:rFonts w:ascii="Times New Roman" w:eastAsia="Times New Roman" w:hAnsi="Times New Roman"/>
                    <w:b/>
                    <w:sz w:val="16"/>
                    <w:szCs w:val="16"/>
                    <w:lang w:eastAsia="es-CO"/>
                  </w:rPr>
                </w:pPr>
              </w:p>
            </w:tc>
            <w:tc>
              <w:tcPr>
                <w:tcW w:w="489" w:type="pct"/>
                <w:vMerge/>
                <w:vAlign w:val="center"/>
                <w:hideMark/>
              </w:tcPr>
              <w:p w14:paraId="24258493" w14:textId="77777777" w:rsidR="00112097" w:rsidRPr="009A46BB" w:rsidRDefault="00112097" w:rsidP="00112097">
                <w:pPr>
                  <w:spacing w:after="0" w:line="240" w:lineRule="auto"/>
                  <w:rPr>
                    <w:rFonts w:ascii="Times New Roman" w:eastAsia="Times New Roman" w:hAnsi="Times New Roman"/>
                    <w:b/>
                    <w:sz w:val="16"/>
                    <w:szCs w:val="16"/>
                    <w:lang w:eastAsia="es-CO"/>
                  </w:rPr>
                </w:pPr>
              </w:p>
            </w:tc>
          </w:tr>
          <w:tr w:rsidR="00112097" w:rsidRPr="00112097" w14:paraId="6D11F786" w14:textId="77777777" w:rsidTr="006755A4">
            <w:trPr>
              <w:trHeight w:val="340"/>
            </w:trPr>
            <w:tc>
              <w:tcPr>
                <w:tcW w:w="1405" w:type="pct"/>
                <w:shd w:val="clear" w:color="auto" w:fill="auto"/>
                <w:noWrap/>
                <w:vAlign w:val="center"/>
                <w:hideMark/>
              </w:tcPr>
              <w:p w14:paraId="30F16126" w14:textId="77777777" w:rsidR="00112097" w:rsidRPr="009A46BB" w:rsidRDefault="00112097" w:rsidP="00112097">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Licencias, registro y salvoconducto</w:t>
                </w:r>
              </w:p>
            </w:tc>
            <w:tc>
              <w:tcPr>
                <w:tcW w:w="460" w:type="pct"/>
                <w:shd w:val="clear" w:color="auto" w:fill="auto"/>
                <w:noWrap/>
                <w:vAlign w:val="center"/>
                <w:hideMark/>
              </w:tcPr>
              <w:p w14:paraId="3728C2F3" w14:textId="77777777" w:rsidR="00112097" w:rsidRPr="009A46BB" w:rsidRDefault="00112097" w:rsidP="00112097">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559" w:type="pct"/>
                <w:shd w:val="clear" w:color="auto" w:fill="auto"/>
                <w:noWrap/>
                <w:vAlign w:val="center"/>
                <w:hideMark/>
              </w:tcPr>
              <w:p w14:paraId="31CBBD71" w14:textId="77777777" w:rsidR="00112097" w:rsidRPr="009A46BB" w:rsidRDefault="00112097" w:rsidP="00112097">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655" w:type="pct"/>
                <w:shd w:val="clear" w:color="auto" w:fill="auto"/>
                <w:noWrap/>
                <w:vAlign w:val="center"/>
                <w:hideMark/>
              </w:tcPr>
              <w:p w14:paraId="702F77BB" w14:textId="77777777" w:rsidR="00112097" w:rsidRPr="009A46BB" w:rsidRDefault="00112097" w:rsidP="00112097">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83.607.000 </w:t>
                </w:r>
              </w:p>
            </w:tc>
            <w:tc>
              <w:tcPr>
                <w:tcW w:w="473" w:type="pct"/>
                <w:shd w:val="clear" w:color="auto" w:fill="auto"/>
                <w:noWrap/>
                <w:vAlign w:val="center"/>
                <w:hideMark/>
              </w:tcPr>
              <w:p w14:paraId="68113F69" w14:textId="77777777" w:rsidR="00112097" w:rsidRPr="009A46BB" w:rsidRDefault="00112097" w:rsidP="00112097">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535" w:type="pct"/>
                <w:shd w:val="clear" w:color="auto" w:fill="auto"/>
                <w:noWrap/>
                <w:vAlign w:val="center"/>
                <w:hideMark/>
              </w:tcPr>
              <w:p w14:paraId="78BA905C" w14:textId="77777777" w:rsidR="00112097" w:rsidRPr="009A46BB" w:rsidRDefault="00112097" w:rsidP="00112097">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423" w:type="pct"/>
                <w:shd w:val="clear" w:color="auto" w:fill="auto"/>
                <w:noWrap/>
                <w:vAlign w:val="center"/>
                <w:hideMark/>
              </w:tcPr>
              <w:p w14:paraId="284104DF" w14:textId="77777777" w:rsidR="00112097" w:rsidRPr="009A46BB" w:rsidRDefault="00112097" w:rsidP="00112097">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489" w:type="pct"/>
                <w:shd w:val="clear" w:color="auto" w:fill="auto"/>
                <w:noWrap/>
                <w:vAlign w:val="center"/>
                <w:hideMark/>
              </w:tcPr>
              <w:p w14:paraId="6164A4C5" w14:textId="77777777" w:rsidR="00112097" w:rsidRPr="009A46BB" w:rsidRDefault="00112097" w:rsidP="00112097">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0,0 </w:t>
                </w:r>
              </w:p>
            </w:tc>
          </w:tr>
          <w:tr w:rsidR="00112097" w:rsidRPr="00112097" w14:paraId="316EF36B" w14:textId="77777777" w:rsidTr="006755A4">
            <w:trPr>
              <w:trHeight w:val="340"/>
            </w:trPr>
            <w:tc>
              <w:tcPr>
                <w:tcW w:w="1405" w:type="pct"/>
                <w:shd w:val="clear" w:color="auto" w:fill="auto"/>
                <w:vAlign w:val="center"/>
                <w:hideMark/>
              </w:tcPr>
              <w:p w14:paraId="6551C757" w14:textId="77777777" w:rsidR="00112097" w:rsidRPr="009A46BB" w:rsidRDefault="00112097" w:rsidP="00112097">
                <w:pPr>
                  <w:spacing w:after="0" w:line="240" w:lineRule="auto"/>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Nacionales</w:t>
                </w:r>
              </w:p>
            </w:tc>
            <w:tc>
              <w:tcPr>
                <w:tcW w:w="460" w:type="pct"/>
                <w:shd w:val="clear" w:color="auto" w:fill="auto"/>
                <w:noWrap/>
                <w:vAlign w:val="center"/>
                <w:hideMark/>
              </w:tcPr>
              <w:p w14:paraId="0D593198" w14:textId="77777777" w:rsidR="00112097" w:rsidRPr="009A46BB" w:rsidRDefault="00112097" w:rsidP="00112097">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PJ</w:t>
                </w:r>
              </w:p>
            </w:tc>
            <w:tc>
              <w:tcPr>
                <w:tcW w:w="559" w:type="pct"/>
                <w:shd w:val="clear" w:color="auto" w:fill="auto"/>
                <w:noWrap/>
                <w:vAlign w:val="center"/>
                <w:hideMark/>
              </w:tcPr>
              <w:p w14:paraId="31D057A8" w14:textId="77777777" w:rsidR="00112097" w:rsidRPr="009A46BB" w:rsidRDefault="00112097" w:rsidP="00112097">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w:t>
                </w:r>
              </w:p>
            </w:tc>
            <w:tc>
              <w:tcPr>
                <w:tcW w:w="655" w:type="pct"/>
                <w:shd w:val="clear" w:color="auto" w:fill="auto"/>
                <w:noWrap/>
                <w:vAlign w:val="center"/>
                <w:hideMark/>
              </w:tcPr>
              <w:p w14:paraId="20BF8DCB" w14:textId="77777777" w:rsidR="00112097" w:rsidRPr="009A46BB" w:rsidRDefault="00112097" w:rsidP="00112097">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 xml:space="preserve">83.607.000 </w:t>
                </w:r>
              </w:p>
            </w:tc>
            <w:tc>
              <w:tcPr>
                <w:tcW w:w="473" w:type="pct"/>
                <w:shd w:val="clear" w:color="auto" w:fill="auto"/>
                <w:noWrap/>
                <w:vAlign w:val="center"/>
                <w:hideMark/>
              </w:tcPr>
              <w:p w14:paraId="6FAF5C57" w14:textId="77777777" w:rsidR="00112097" w:rsidRPr="009A46BB" w:rsidRDefault="00112097" w:rsidP="00112097">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0</w:t>
                </w:r>
              </w:p>
            </w:tc>
            <w:tc>
              <w:tcPr>
                <w:tcW w:w="535" w:type="pct"/>
                <w:shd w:val="clear" w:color="auto" w:fill="auto"/>
                <w:noWrap/>
                <w:vAlign w:val="center"/>
                <w:hideMark/>
              </w:tcPr>
              <w:p w14:paraId="35766D44" w14:textId="77777777" w:rsidR="00112097" w:rsidRPr="009A46BB" w:rsidRDefault="00112097" w:rsidP="00112097">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w:t>
                </w:r>
              </w:p>
            </w:tc>
            <w:tc>
              <w:tcPr>
                <w:tcW w:w="423" w:type="pct"/>
                <w:shd w:val="clear" w:color="auto" w:fill="auto"/>
                <w:noWrap/>
                <w:vAlign w:val="center"/>
                <w:hideMark/>
              </w:tcPr>
              <w:p w14:paraId="1B4AA6B1" w14:textId="77777777" w:rsidR="00112097" w:rsidRPr="009A46BB" w:rsidRDefault="00112097" w:rsidP="00112097">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No aplica</w:t>
                </w:r>
              </w:p>
            </w:tc>
            <w:tc>
              <w:tcPr>
                <w:tcW w:w="489" w:type="pct"/>
                <w:shd w:val="clear" w:color="auto" w:fill="auto"/>
                <w:noWrap/>
                <w:vAlign w:val="center"/>
                <w:hideMark/>
              </w:tcPr>
              <w:p w14:paraId="19E997BD" w14:textId="77777777" w:rsidR="00112097" w:rsidRPr="009A46BB" w:rsidRDefault="00112097" w:rsidP="00112097">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0</w:t>
                </w:r>
              </w:p>
            </w:tc>
          </w:tr>
        </w:tbl>
        <w:p w14:paraId="2A2325CB" w14:textId="3E05712F" w:rsidR="003D4685" w:rsidRPr="00931DCE" w:rsidRDefault="00AD2026" w:rsidP="003D4685">
          <w:pPr>
            <w:spacing w:after="0" w:line="240" w:lineRule="auto"/>
            <w:rPr>
              <w:rFonts w:ascii="Times New Roman" w:hAnsi="Times New Roman"/>
              <w:sz w:val="14"/>
              <w:szCs w:val="14"/>
            </w:rPr>
          </w:pPr>
          <w:r w:rsidRPr="00931DCE">
            <w:rPr>
              <w:rFonts w:ascii="Times New Roman" w:hAnsi="Times New Roman"/>
              <w:sz w:val="14"/>
              <w:szCs w:val="14"/>
            </w:rPr>
            <w:t>Cifras expresadas en pesos</w:t>
          </w:r>
        </w:p>
        <w:p w14:paraId="0D494863" w14:textId="77777777" w:rsidR="00D94FC9" w:rsidRDefault="00D94FC9" w:rsidP="008B5EF2">
          <w:pPr>
            <w:spacing w:after="0" w:line="240" w:lineRule="auto"/>
            <w:jc w:val="both"/>
            <w:rPr>
              <w:rFonts w:ascii="Times New Roman" w:hAnsi="Times New Roman"/>
              <w:sz w:val="24"/>
              <w:szCs w:val="24"/>
            </w:rPr>
          </w:pPr>
        </w:p>
        <w:p w14:paraId="60CA5B56" w14:textId="10D66E11" w:rsidR="008B5EF2" w:rsidRPr="00931DCE" w:rsidRDefault="003D4685" w:rsidP="008B5EF2">
          <w:pPr>
            <w:spacing w:after="0" w:line="240" w:lineRule="auto"/>
            <w:jc w:val="both"/>
            <w:rPr>
              <w:rFonts w:ascii="Times New Roman" w:hAnsi="Times New Roman"/>
              <w:sz w:val="24"/>
              <w:szCs w:val="24"/>
            </w:rPr>
          </w:pPr>
          <w:r w:rsidRPr="00931DCE">
            <w:rPr>
              <w:rFonts w:ascii="Times New Roman" w:hAnsi="Times New Roman"/>
              <w:sz w:val="24"/>
              <w:szCs w:val="24"/>
            </w:rPr>
            <w:t xml:space="preserve">En licencias, registro y salvoconducto se </w:t>
          </w:r>
          <w:r w:rsidR="00BE7300" w:rsidRPr="00931DCE">
            <w:rPr>
              <w:rFonts w:ascii="Times New Roman" w:hAnsi="Times New Roman"/>
              <w:sz w:val="24"/>
              <w:szCs w:val="24"/>
            </w:rPr>
            <w:t>reconoce</w:t>
          </w:r>
          <w:r w:rsidRPr="00931DCE">
            <w:rPr>
              <w:rFonts w:ascii="Times New Roman" w:hAnsi="Times New Roman"/>
              <w:sz w:val="24"/>
              <w:szCs w:val="24"/>
            </w:rPr>
            <w:t xml:space="preserve"> el valor pendiente de pago por concepto de la expedición por parte de la ANLA de Licencia</w:t>
          </w:r>
          <w:r w:rsidR="00316846">
            <w:rPr>
              <w:rFonts w:ascii="Times New Roman" w:hAnsi="Times New Roman"/>
              <w:sz w:val="24"/>
              <w:szCs w:val="24"/>
            </w:rPr>
            <w:t>s</w:t>
          </w:r>
          <w:r w:rsidRPr="00931DCE">
            <w:rPr>
              <w:rFonts w:ascii="Times New Roman" w:hAnsi="Times New Roman"/>
              <w:sz w:val="24"/>
              <w:szCs w:val="24"/>
            </w:rPr>
            <w:t xml:space="preserve"> Ambiental</w:t>
          </w:r>
          <w:r w:rsidR="00316846">
            <w:rPr>
              <w:rFonts w:ascii="Times New Roman" w:hAnsi="Times New Roman"/>
              <w:sz w:val="24"/>
              <w:szCs w:val="24"/>
            </w:rPr>
            <w:t>es</w:t>
          </w:r>
          <w:r w:rsidRPr="00931DCE">
            <w:rPr>
              <w:rFonts w:ascii="Times New Roman" w:hAnsi="Times New Roman"/>
              <w:sz w:val="24"/>
              <w:szCs w:val="24"/>
            </w:rPr>
            <w:t xml:space="preserve"> -, por valor de </w:t>
          </w:r>
          <w:r w:rsidR="00316846">
            <w:rPr>
              <w:rFonts w:ascii="Times New Roman" w:hAnsi="Times New Roman"/>
              <w:sz w:val="24"/>
              <w:szCs w:val="24"/>
            </w:rPr>
            <w:t>$</w:t>
          </w:r>
          <w:r w:rsidR="00A930D3">
            <w:rPr>
              <w:rFonts w:ascii="Times New Roman" w:hAnsi="Times New Roman"/>
              <w:sz w:val="24"/>
              <w:szCs w:val="24"/>
            </w:rPr>
            <w:t>83.607.000</w:t>
          </w:r>
          <w:r w:rsidRPr="00931DCE">
            <w:rPr>
              <w:rFonts w:ascii="Times New Roman" w:hAnsi="Times New Roman"/>
              <w:sz w:val="24"/>
              <w:szCs w:val="24"/>
            </w:rPr>
            <w:t xml:space="preserve"> a favor de Fondo Nacional Ambiental -FONAM (ANLA); esta cuenta por pagar generó operación reciproca y a 31 de diciembre de </w:t>
          </w:r>
          <w:r w:rsidR="00EF6E05" w:rsidRPr="00931DCE">
            <w:rPr>
              <w:rFonts w:ascii="Times New Roman" w:hAnsi="Times New Roman"/>
              <w:sz w:val="24"/>
              <w:szCs w:val="24"/>
            </w:rPr>
            <w:t>202</w:t>
          </w:r>
          <w:r w:rsidR="00A930D3">
            <w:rPr>
              <w:rFonts w:ascii="Times New Roman" w:hAnsi="Times New Roman"/>
              <w:sz w:val="24"/>
              <w:szCs w:val="24"/>
            </w:rPr>
            <w:t>3.</w:t>
          </w:r>
          <w:r w:rsidRPr="00931DCE">
            <w:rPr>
              <w:rFonts w:ascii="Times New Roman" w:hAnsi="Times New Roman"/>
              <w:sz w:val="24"/>
              <w:szCs w:val="24"/>
            </w:rPr>
            <w:t xml:space="preserve"> </w:t>
          </w:r>
          <w:r w:rsidR="00B85079" w:rsidRPr="00931DCE">
            <w:rPr>
              <w:rFonts w:ascii="Times New Roman" w:hAnsi="Times New Roman"/>
              <w:sz w:val="24"/>
              <w:szCs w:val="24"/>
            </w:rPr>
            <w:t>E</w:t>
          </w:r>
          <w:r w:rsidRPr="00931DCE">
            <w:rPr>
              <w:rFonts w:ascii="Times New Roman" w:hAnsi="Times New Roman"/>
              <w:sz w:val="24"/>
              <w:szCs w:val="24"/>
            </w:rPr>
            <w:t xml:space="preserve">sta cuenta por pagar no tiene restricciones y tampoco se tiene contractualmente pactado tasa de </w:t>
          </w:r>
          <w:r w:rsidR="00D15A37" w:rsidRPr="00931DCE">
            <w:rPr>
              <w:rFonts w:ascii="Times New Roman" w:hAnsi="Times New Roman"/>
              <w:sz w:val="24"/>
              <w:szCs w:val="24"/>
            </w:rPr>
            <w:t>interés.</w:t>
          </w:r>
        </w:p>
        <w:p w14:paraId="18141AAA" w14:textId="77777777" w:rsidR="00D15A37" w:rsidRPr="00931DCE" w:rsidRDefault="00D15A37" w:rsidP="008B5EF2">
          <w:pPr>
            <w:spacing w:after="0" w:line="240" w:lineRule="auto"/>
            <w:jc w:val="both"/>
            <w:rPr>
              <w:rFonts w:ascii="Times New Roman" w:hAnsi="Times New Roman"/>
              <w:sz w:val="24"/>
              <w:szCs w:val="24"/>
            </w:rPr>
          </w:pPr>
        </w:p>
        <w:p w14:paraId="45FE7BF2" w14:textId="77777777" w:rsidR="008B5EF2" w:rsidRPr="00931DCE" w:rsidRDefault="008B5EF2" w:rsidP="008B5EF2">
          <w:pPr>
            <w:spacing w:after="0" w:line="240" w:lineRule="auto"/>
            <w:rPr>
              <w:rFonts w:ascii="Times New Roman" w:hAnsi="Times New Roman"/>
            </w:rPr>
          </w:pPr>
        </w:p>
        <w:p w14:paraId="54BF5673" w14:textId="223C6AA8" w:rsidR="008B5EF2" w:rsidRPr="00931DCE" w:rsidRDefault="00062F63">
          <w:pPr>
            <w:pStyle w:val="Ttulo3"/>
            <w:numPr>
              <w:ilvl w:val="2"/>
              <w:numId w:val="3"/>
            </w:numPr>
            <w:tabs>
              <w:tab w:val="left" w:pos="851"/>
            </w:tabs>
            <w:spacing w:line="240" w:lineRule="auto"/>
            <w:ind w:left="709" w:hanging="709"/>
            <w:rPr>
              <w:rFonts w:cs="Times New Roman"/>
              <w:color w:val="1F3864" w:themeColor="accent1" w:themeShade="80"/>
            </w:rPr>
          </w:pPr>
          <w:r w:rsidRPr="00931DCE">
            <w:rPr>
              <w:rFonts w:cs="Times New Roman"/>
              <w:color w:val="1F3864" w:themeColor="accent1" w:themeShade="80"/>
            </w:rPr>
            <w:t xml:space="preserve"> </w:t>
          </w:r>
          <w:bookmarkStart w:id="68" w:name="_Toc159952404"/>
          <w:r w:rsidR="008B5EF2" w:rsidRPr="00931DCE">
            <w:rPr>
              <w:rFonts w:cs="Times New Roman"/>
              <w:color w:val="1F3864" w:themeColor="accent1" w:themeShade="80"/>
            </w:rPr>
            <w:t>Créditos judiciales</w:t>
          </w:r>
          <w:bookmarkEnd w:id="68"/>
        </w:p>
        <w:p w14:paraId="52BA419D" w14:textId="7E0103E7" w:rsidR="008B5EF2" w:rsidRPr="00931DCE" w:rsidRDefault="008B5EF2" w:rsidP="00D83C05">
          <w:pPr>
            <w:spacing w:after="0" w:line="240" w:lineRule="auto"/>
            <w:rPr>
              <w:rFonts w:ascii="Times New Roman" w:hAnsi="Times New Roman"/>
              <w:sz w:val="24"/>
              <w:szCs w:val="24"/>
            </w:rPr>
          </w:pPr>
        </w:p>
        <w:p w14:paraId="7E05C095" w14:textId="1ACD3E84" w:rsidR="00D1631B" w:rsidRDefault="00D1631B" w:rsidP="00D1631B">
          <w:pPr>
            <w:pStyle w:val="Default"/>
            <w:rPr>
              <w:rFonts w:ascii="Times New Roman" w:hAnsi="Times New Roman"/>
            </w:rPr>
          </w:pPr>
          <w:r w:rsidRPr="3538F2C1">
            <w:rPr>
              <w:rFonts w:ascii="Times New Roman" w:hAnsi="Times New Roman"/>
            </w:rPr>
            <w:t>Representa un 3,4% del total del pasivo, registra un saldo a 31 de diciembre de 2023 por valor de $1.761.756.788.961, por concepto de sentencias condenatorias ejecutoriadas y laudos arbitrales o acuerdos de conciliación extrajudicial, con el siguiente detalle:</w:t>
          </w:r>
        </w:p>
        <w:p w14:paraId="11E01D0B" w14:textId="77777777" w:rsidR="00FC2584" w:rsidRPr="00931DCE" w:rsidRDefault="00FC2584" w:rsidP="00FC2584">
          <w:pPr>
            <w:pStyle w:val="Default"/>
            <w:rPr>
              <w:rFonts w:ascii="Times New Roman" w:hAnsi="Times New Roman" w:cs="Times New Roman"/>
            </w:rPr>
          </w:pPr>
        </w:p>
        <w:p w14:paraId="5DC6F5F4" w14:textId="77777777" w:rsidR="00FC2584" w:rsidRPr="00931DCE" w:rsidRDefault="00FC2584" w:rsidP="00D1631B">
          <w:pPr>
            <w:pStyle w:val="Default"/>
            <w:rPr>
              <w:rFonts w:ascii="Times New Roman" w:hAnsi="Times New Roman" w:cs="Times New Roman"/>
              <w:b/>
              <w:bCs/>
            </w:rPr>
          </w:pPr>
          <w:r w:rsidRPr="00931DCE">
            <w:rPr>
              <w:rFonts w:ascii="Times New Roman" w:hAnsi="Times New Roman" w:cs="Times New Roman"/>
              <w:b/>
              <w:bCs/>
            </w:rPr>
            <w:t xml:space="preserve">Sentencias e intereses de sentencias </w:t>
          </w:r>
        </w:p>
        <w:p w14:paraId="34D66C01" w14:textId="77777777" w:rsidR="00FC2584" w:rsidRPr="00931DCE" w:rsidRDefault="00FC2584" w:rsidP="00FC2584">
          <w:pPr>
            <w:pStyle w:val="Default"/>
            <w:rPr>
              <w:rFonts w:ascii="Times New Roman" w:hAnsi="Times New Roman" w:cs="Times New Roman"/>
            </w:rPr>
          </w:pPr>
        </w:p>
        <w:p w14:paraId="20FA3E74" w14:textId="15EE0615" w:rsidR="00FC2584" w:rsidRPr="00931DCE" w:rsidRDefault="00FC2584" w:rsidP="00FC2584">
          <w:pPr>
            <w:spacing w:after="0" w:line="240" w:lineRule="auto"/>
            <w:jc w:val="both"/>
            <w:rPr>
              <w:rFonts w:ascii="Times New Roman" w:hAnsi="Times New Roman"/>
              <w:sz w:val="24"/>
              <w:szCs w:val="24"/>
            </w:rPr>
          </w:pPr>
          <w:r w:rsidRPr="00931DCE">
            <w:rPr>
              <w:rFonts w:ascii="Times New Roman" w:hAnsi="Times New Roman"/>
              <w:sz w:val="24"/>
              <w:szCs w:val="24"/>
            </w:rPr>
            <w:t xml:space="preserve">Al cierre </w:t>
          </w:r>
          <w:r w:rsidR="00D15A37" w:rsidRPr="00931DCE">
            <w:rPr>
              <w:rFonts w:ascii="Times New Roman" w:hAnsi="Times New Roman"/>
              <w:sz w:val="24"/>
              <w:szCs w:val="24"/>
            </w:rPr>
            <w:t>del período contable</w:t>
          </w:r>
          <w:r w:rsidRPr="00931DCE">
            <w:rPr>
              <w:rFonts w:ascii="Times New Roman" w:hAnsi="Times New Roman"/>
              <w:sz w:val="24"/>
              <w:szCs w:val="24"/>
            </w:rPr>
            <w:t>, la Agencia cuenta con procesos judiciales terminados desfavorables, con sentencia condenatoria ejecutoriada, los cuales presentan un saldo total de $</w:t>
          </w:r>
          <w:r w:rsidR="00D910AE" w:rsidRPr="00D910AE">
            <w:rPr>
              <w:rFonts w:ascii="Times New Roman" w:hAnsi="Times New Roman"/>
              <w:sz w:val="24"/>
              <w:szCs w:val="24"/>
            </w:rPr>
            <w:t>117.415.281</w:t>
          </w:r>
          <w:r w:rsidRPr="00931DCE">
            <w:rPr>
              <w:rFonts w:ascii="Times New Roman" w:hAnsi="Times New Roman"/>
              <w:sz w:val="24"/>
              <w:szCs w:val="24"/>
            </w:rPr>
            <w:t xml:space="preserve"> que comprenden a los conceptos de sentencias, intereses de sentencias, costas procesales, e IVA que cobra el Banco Agrario de Colombia, por la constitución de depósitos judiciales; el detalle de los </w:t>
          </w:r>
          <w:r w:rsidR="002E59FB" w:rsidRPr="00931DCE">
            <w:rPr>
              <w:rFonts w:ascii="Times New Roman" w:hAnsi="Times New Roman"/>
              <w:sz w:val="24"/>
              <w:szCs w:val="24"/>
            </w:rPr>
            <w:t xml:space="preserve">procesos de expropiación y comisión </w:t>
          </w:r>
          <w:r w:rsidRPr="00931DCE">
            <w:rPr>
              <w:rFonts w:ascii="Times New Roman" w:hAnsi="Times New Roman"/>
              <w:sz w:val="24"/>
              <w:szCs w:val="24"/>
            </w:rPr>
            <w:t>terceros es el siguiente:</w:t>
          </w:r>
        </w:p>
        <w:p w14:paraId="3B3AA4AF" w14:textId="77777777" w:rsidR="00FC2584" w:rsidRPr="00931DCE" w:rsidRDefault="00FC2584" w:rsidP="00FC2584">
          <w:pPr>
            <w:pStyle w:val="Default"/>
            <w:rPr>
              <w:rFonts w:ascii="Times New Roman" w:hAnsi="Times New Roman" w:cs="Times New Roman"/>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CellMar>
              <w:left w:w="70" w:type="dxa"/>
              <w:right w:w="70" w:type="dxa"/>
            </w:tblCellMar>
            <w:tblLook w:val="04A0" w:firstRow="1" w:lastRow="0" w:firstColumn="1" w:lastColumn="0" w:noHBand="0" w:noVBand="1"/>
          </w:tblPr>
          <w:tblGrid>
            <w:gridCol w:w="2886"/>
            <w:gridCol w:w="950"/>
            <w:gridCol w:w="890"/>
            <w:gridCol w:w="950"/>
            <w:gridCol w:w="2362"/>
            <w:gridCol w:w="931"/>
          </w:tblGrid>
          <w:tr w:rsidR="00AB5287" w:rsidRPr="00F60CB9" w14:paraId="50D34D6A" w14:textId="77777777" w:rsidTr="00F4317C">
            <w:trPr>
              <w:trHeight w:val="20"/>
            </w:trPr>
            <w:tc>
              <w:tcPr>
                <w:tcW w:w="1618" w:type="pct"/>
                <w:vMerge w:val="restart"/>
                <w:shd w:val="clear" w:color="000000" w:fill="FFFFFF"/>
                <w:vAlign w:val="center"/>
                <w:hideMark/>
              </w:tcPr>
              <w:p w14:paraId="0B53B7D8" w14:textId="77777777" w:rsidR="00AB5287" w:rsidRPr="00F60CB9" w:rsidRDefault="00AB5287" w:rsidP="004E7A73">
                <w:pPr>
                  <w:spacing w:after="0" w:line="240" w:lineRule="auto"/>
                  <w:jc w:val="center"/>
                  <w:rPr>
                    <w:rFonts w:ascii="Times New Roman" w:eastAsia="Times New Roman" w:hAnsi="Times New Roman"/>
                    <w:b/>
                    <w:bCs/>
                    <w:sz w:val="18"/>
                    <w:szCs w:val="18"/>
                    <w:lang w:eastAsia="es-CO"/>
                  </w:rPr>
                </w:pPr>
                <w:r w:rsidRPr="00F60CB9">
                  <w:rPr>
                    <w:rFonts w:ascii="Times New Roman" w:eastAsia="Times New Roman" w:hAnsi="Times New Roman"/>
                    <w:b/>
                    <w:bCs/>
                    <w:sz w:val="18"/>
                    <w:szCs w:val="18"/>
                    <w:lang w:eastAsia="es-CO"/>
                  </w:rPr>
                  <w:t>CONCEPTO</w:t>
                </w:r>
              </w:p>
            </w:tc>
            <w:tc>
              <w:tcPr>
                <w:tcW w:w="487" w:type="pct"/>
                <w:vMerge w:val="restart"/>
                <w:shd w:val="clear" w:color="000000" w:fill="FFFFFF"/>
                <w:vAlign w:val="center"/>
                <w:hideMark/>
              </w:tcPr>
              <w:p w14:paraId="25C09D35" w14:textId="77777777" w:rsidR="00AB5287" w:rsidRPr="00F60CB9" w:rsidRDefault="00AB5287" w:rsidP="004E7A73">
                <w:pPr>
                  <w:spacing w:after="0" w:line="240" w:lineRule="auto"/>
                  <w:jc w:val="right"/>
                  <w:rPr>
                    <w:rFonts w:ascii="Times New Roman" w:eastAsia="Times New Roman" w:hAnsi="Times New Roman"/>
                    <w:b/>
                    <w:bCs/>
                    <w:sz w:val="18"/>
                    <w:szCs w:val="18"/>
                    <w:lang w:eastAsia="es-CO"/>
                  </w:rPr>
                </w:pPr>
                <w:r w:rsidRPr="00F60CB9">
                  <w:rPr>
                    <w:rFonts w:ascii="Times New Roman" w:eastAsia="Times New Roman" w:hAnsi="Times New Roman"/>
                    <w:b/>
                    <w:bCs/>
                    <w:sz w:val="18"/>
                    <w:szCs w:val="18"/>
                    <w:lang w:eastAsia="es-CO"/>
                  </w:rPr>
                  <w:t>VALOR</w:t>
                </w:r>
              </w:p>
            </w:tc>
            <w:tc>
              <w:tcPr>
                <w:tcW w:w="1042" w:type="pct"/>
                <w:gridSpan w:val="2"/>
                <w:shd w:val="clear" w:color="000000" w:fill="FFFFFF"/>
                <w:vAlign w:val="center"/>
                <w:hideMark/>
              </w:tcPr>
              <w:p w14:paraId="695BB585" w14:textId="77777777" w:rsidR="00AB5287" w:rsidRPr="00F60CB9" w:rsidRDefault="00AB5287" w:rsidP="004E7A73">
                <w:pPr>
                  <w:spacing w:after="0" w:line="240" w:lineRule="auto"/>
                  <w:jc w:val="center"/>
                  <w:rPr>
                    <w:rFonts w:ascii="Times New Roman" w:eastAsia="Times New Roman" w:hAnsi="Times New Roman"/>
                    <w:b/>
                    <w:bCs/>
                    <w:sz w:val="18"/>
                    <w:szCs w:val="18"/>
                    <w:lang w:eastAsia="es-CO"/>
                  </w:rPr>
                </w:pPr>
                <w:r w:rsidRPr="00F60CB9">
                  <w:rPr>
                    <w:rFonts w:ascii="Times New Roman" w:eastAsia="Times New Roman" w:hAnsi="Times New Roman"/>
                    <w:b/>
                    <w:bCs/>
                    <w:sz w:val="18"/>
                    <w:szCs w:val="18"/>
                    <w:lang w:eastAsia="es-CO"/>
                  </w:rPr>
                  <w:t>PLAZO EN MESES</w:t>
                </w:r>
              </w:p>
            </w:tc>
            <w:tc>
              <w:tcPr>
                <w:tcW w:w="1326" w:type="pct"/>
                <w:vMerge w:val="restart"/>
                <w:shd w:val="clear" w:color="000000" w:fill="FFFFFF"/>
                <w:vAlign w:val="center"/>
                <w:hideMark/>
              </w:tcPr>
              <w:p w14:paraId="7E4FA327" w14:textId="77777777" w:rsidR="00AB5287" w:rsidRPr="00F60CB9" w:rsidRDefault="00AB5287" w:rsidP="004E7A73">
                <w:pPr>
                  <w:spacing w:after="0" w:line="240" w:lineRule="auto"/>
                  <w:jc w:val="center"/>
                  <w:rPr>
                    <w:rFonts w:ascii="Times New Roman" w:eastAsia="Times New Roman" w:hAnsi="Times New Roman"/>
                    <w:b/>
                    <w:bCs/>
                    <w:sz w:val="18"/>
                    <w:szCs w:val="18"/>
                    <w:lang w:eastAsia="es-CO"/>
                  </w:rPr>
                </w:pPr>
                <w:r w:rsidRPr="00F60CB9">
                  <w:rPr>
                    <w:rFonts w:ascii="Times New Roman" w:eastAsia="Times New Roman" w:hAnsi="Times New Roman"/>
                    <w:b/>
                    <w:bCs/>
                    <w:sz w:val="18"/>
                    <w:szCs w:val="18"/>
                    <w:lang w:eastAsia="es-CO"/>
                  </w:rPr>
                  <w:t>DETALLE DE LAS CONDICIONES D ELA CUENTA POR PAGAR</w:t>
                </w:r>
              </w:p>
            </w:tc>
            <w:tc>
              <w:tcPr>
                <w:tcW w:w="526" w:type="pct"/>
                <w:vMerge w:val="restart"/>
                <w:shd w:val="clear" w:color="000000" w:fill="FFFFFF"/>
                <w:vAlign w:val="center"/>
                <w:hideMark/>
              </w:tcPr>
              <w:p w14:paraId="50330854" w14:textId="77777777" w:rsidR="00AB5287" w:rsidRPr="00F60CB9" w:rsidRDefault="00AB5287" w:rsidP="004E7A73">
                <w:pPr>
                  <w:spacing w:after="0" w:line="240" w:lineRule="auto"/>
                  <w:jc w:val="center"/>
                  <w:rPr>
                    <w:rFonts w:ascii="Times New Roman" w:eastAsia="Times New Roman" w:hAnsi="Times New Roman"/>
                    <w:b/>
                    <w:bCs/>
                    <w:sz w:val="18"/>
                    <w:szCs w:val="18"/>
                    <w:lang w:eastAsia="es-CO"/>
                  </w:rPr>
                </w:pPr>
                <w:r w:rsidRPr="00F60CB9">
                  <w:rPr>
                    <w:rFonts w:ascii="Times New Roman" w:eastAsia="Times New Roman" w:hAnsi="Times New Roman"/>
                    <w:b/>
                    <w:bCs/>
                    <w:sz w:val="18"/>
                    <w:szCs w:val="18"/>
                    <w:lang w:eastAsia="es-CO"/>
                  </w:rPr>
                  <w:t>TASA DE INTERES</w:t>
                </w:r>
              </w:p>
            </w:tc>
          </w:tr>
          <w:tr w:rsidR="00AB5287" w:rsidRPr="00F60CB9" w14:paraId="2519E319" w14:textId="77777777" w:rsidTr="00F4317C">
            <w:trPr>
              <w:trHeight w:val="450"/>
            </w:trPr>
            <w:tc>
              <w:tcPr>
                <w:tcW w:w="1618" w:type="pct"/>
                <w:vMerge/>
                <w:vAlign w:val="center"/>
                <w:hideMark/>
              </w:tcPr>
              <w:p w14:paraId="554DBF9C" w14:textId="77777777" w:rsidR="00AB5287" w:rsidRPr="00F60CB9" w:rsidRDefault="00AB5287" w:rsidP="004E7A73">
                <w:pPr>
                  <w:spacing w:after="0" w:line="240" w:lineRule="auto"/>
                  <w:rPr>
                    <w:rFonts w:ascii="Times New Roman" w:eastAsia="Times New Roman" w:hAnsi="Times New Roman"/>
                    <w:b/>
                    <w:bCs/>
                    <w:sz w:val="18"/>
                    <w:szCs w:val="18"/>
                    <w:lang w:eastAsia="es-CO"/>
                  </w:rPr>
                </w:pPr>
              </w:p>
            </w:tc>
            <w:tc>
              <w:tcPr>
                <w:tcW w:w="487" w:type="pct"/>
                <w:vMerge/>
                <w:shd w:val="clear" w:color="000000" w:fill="FFFFFF"/>
                <w:vAlign w:val="center"/>
                <w:hideMark/>
              </w:tcPr>
              <w:p w14:paraId="22BCB74A" w14:textId="77777777" w:rsidR="00AB5287" w:rsidRPr="00F60CB9" w:rsidRDefault="00AB5287" w:rsidP="004E7A73">
                <w:pPr>
                  <w:spacing w:after="0" w:line="240" w:lineRule="auto"/>
                  <w:jc w:val="right"/>
                  <w:rPr>
                    <w:rFonts w:ascii="Times New Roman" w:eastAsia="Times New Roman" w:hAnsi="Times New Roman"/>
                    <w:b/>
                    <w:bCs/>
                    <w:sz w:val="18"/>
                    <w:szCs w:val="18"/>
                    <w:lang w:eastAsia="es-CO"/>
                  </w:rPr>
                </w:pPr>
              </w:p>
            </w:tc>
            <w:tc>
              <w:tcPr>
                <w:tcW w:w="504" w:type="pct"/>
                <w:vMerge w:val="restart"/>
                <w:shd w:val="clear" w:color="000000" w:fill="FFFFFF"/>
                <w:vAlign w:val="center"/>
                <w:hideMark/>
              </w:tcPr>
              <w:p w14:paraId="3CD04FC6" w14:textId="77777777" w:rsidR="00AB5287" w:rsidRPr="00F60CB9" w:rsidRDefault="00AB5287" w:rsidP="004E7A73">
                <w:pPr>
                  <w:spacing w:after="0" w:line="240" w:lineRule="auto"/>
                  <w:jc w:val="center"/>
                  <w:rPr>
                    <w:rFonts w:ascii="Times New Roman" w:eastAsia="Times New Roman" w:hAnsi="Times New Roman"/>
                    <w:b/>
                    <w:bCs/>
                    <w:sz w:val="18"/>
                    <w:szCs w:val="18"/>
                    <w:lang w:eastAsia="es-CO"/>
                  </w:rPr>
                </w:pPr>
                <w:r w:rsidRPr="00F60CB9">
                  <w:rPr>
                    <w:rFonts w:ascii="Times New Roman" w:eastAsia="Times New Roman" w:hAnsi="Times New Roman"/>
                    <w:b/>
                    <w:bCs/>
                    <w:sz w:val="18"/>
                    <w:szCs w:val="18"/>
                    <w:lang w:eastAsia="es-CO"/>
                  </w:rPr>
                  <w:t>MÍNIMO</w:t>
                </w:r>
              </w:p>
            </w:tc>
            <w:tc>
              <w:tcPr>
                <w:tcW w:w="538" w:type="pct"/>
                <w:vMerge w:val="restart"/>
                <w:shd w:val="clear" w:color="000000" w:fill="FFFFFF"/>
                <w:vAlign w:val="center"/>
                <w:hideMark/>
              </w:tcPr>
              <w:p w14:paraId="1E913A1F" w14:textId="77777777" w:rsidR="00AB5287" w:rsidRPr="00F60CB9" w:rsidRDefault="00AB5287" w:rsidP="004E7A73">
                <w:pPr>
                  <w:spacing w:after="0" w:line="240" w:lineRule="auto"/>
                  <w:jc w:val="center"/>
                  <w:rPr>
                    <w:rFonts w:ascii="Times New Roman" w:eastAsia="Times New Roman" w:hAnsi="Times New Roman"/>
                    <w:b/>
                    <w:bCs/>
                    <w:sz w:val="18"/>
                    <w:szCs w:val="18"/>
                    <w:lang w:eastAsia="es-CO"/>
                  </w:rPr>
                </w:pPr>
                <w:r w:rsidRPr="00F60CB9">
                  <w:rPr>
                    <w:rFonts w:ascii="Times New Roman" w:eastAsia="Times New Roman" w:hAnsi="Times New Roman"/>
                    <w:b/>
                    <w:bCs/>
                    <w:sz w:val="18"/>
                    <w:szCs w:val="18"/>
                    <w:lang w:eastAsia="es-CO"/>
                  </w:rPr>
                  <w:t>MÁXIMO</w:t>
                </w:r>
              </w:p>
            </w:tc>
            <w:tc>
              <w:tcPr>
                <w:tcW w:w="1326" w:type="pct"/>
                <w:vMerge/>
                <w:vAlign w:val="center"/>
                <w:hideMark/>
              </w:tcPr>
              <w:p w14:paraId="446F6CE9" w14:textId="77777777" w:rsidR="00AB5287" w:rsidRPr="00F60CB9" w:rsidRDefault="00AB5287" w:rsidP="004E7A73">
                <w:pPr>
                  <w:spacing w:after="0" w:line="240" w:lineRule="auto"/>
                  <w:rPr>
                    <w:rFonts w:ascii="Times New Roman" w:eastAsia="Times New Roman" w:hAnsi="Times New Roman"/>
                    <w:b/>
                    <w:bCs/>
                    <w:sz w:val="18"/>
                    <w:szCs w:val="18"/>
                    <w:lang w:eastAsia="es-CO"/>
                  </w:rPr>
                </w:pPr>
              </w:p>
            </w:tc>
            <w:tc>
              <w:tcPr>
                <w:tcW w:w="526" w:type="pct"/>
                <w:vMerge/>
                <w:vAlign w:val="center"/>
                <w:hideMark/>
              </w:tcPr>
              <w:p w14:paraId="01B20296" w14:textId="77777777" w:rsidR="00AB5287" w:rsidRPr="00F60CB9" w:rsidRDefault="00AB5287" w:rsidP="004E7A73">
                <w:pPr>
                  <w:spacing w:after="0" w:line="240" w:lineRule="auto"/>
                  <w:jc w:val="center"/>
                  <w:rPr>
                    <w:rFonts w:ascii="Times New Roman" w:eastAsia="Times New Roman" w:hAnsi="Times New Roman"/>
                    <w:b/>
                    <w:bCs/>
                    <w:sz w:val="18"/>
                    <w:szCs w:val="18"/>
                    <w:lang w:eastAsia="es-CO"/>
                  </w:rPr>
                </w:pPr>
              </w:p>
            </w:tc>
          </w:tr>
          <w:tr w:rsidR="00AB5287" w:rsidRPr="00F60CB9" w14:paraId="4A0331AA" w14:textId="77777777" w:rsidTr="00092474">
            <w:trPr>
              <w:trHeight w:val="314"/>
            </w:trPr>
            <w:tc>
              <w:tcPr>
                <w:tcW w:w="1618" w:type="pct"/>
                <w:shd w:val="clear" w:color="000000" w:fill="FFFFFF"/>
                <w:noWrap/>
                <w:vAlign w:val="center"/>
                <w:hideMark/>
              </w:tcPr>
              <w:p w14:paraId="6D2A0F2C" w14:textId="77777777" w:rsidR="00AB5287" w:rsidRPr="00F60CB9" w:rsidRDefault="00AB5287" w:rsidP="004E7A73">
                <w:pPr>
                  <w:spacing w:after="0" w:line="240" w:lineRule="auto"/>
                  <w:rPr>
                    <w:rFonts w:ascii="Times New Roman" w:eastAsia="Times New Roman" w:hAnsi="Times New Roman"/>
                    <w:b/>
                    <w:bCs/>
                    <w:sz w:val="18"/>
                    <w:szCs w:val="18"/>
                    <w:lang w:eastAsia="es-CO"/>
                  </w:rPr>
                </w:pPr>
                <w:r w:rsidRPr="00F60CB9">
                  <w:rPr>
                    <w:rFonts w:ascii="Times New Roman" w:eastAsia="Times New Roman" w:hAnsi="Times New Roman"/>
                    <w:b/>
                    <w:bCs/>
                    <w:sz w:val="18"/>
                    <w:szCs w:val="18"/>
                    <w:lang w:eastAsia="es-CO"/>
                  </w:rPr>
                  <w:t>Sentencias e Intereses de sentencias</w:t>
                </w:r>
              </w:p>
            </w:tc>
            <w:tc>
              <w:tcPr>
                <w:tcW w:w="487" w:type="pct"/>
                <w:shd w:val="clear" w:color="000000" w:fill="FFFFFF"/>
                <w:noWrap/>
                <w:vAlign w:val="center"/>
                <w:hideMark/>
              </w:tcPr>
              <w:p w14:paraId="0194FAB5" w14:textId="2DF347A9" w:rsidR="00AB5287" w:rsidRPr="00F60CB9" w:rsidRDefault="00C167BD" w:rsidP="004E7A73">
                <w:pPr>
                  <w:spacing w:after="0" w:line="240" w:lineRule="auto"/>
                  <w:jc w:val="right"/>
                  <w:rPr>
                    <w:rFonts w:ascii="Times New Roman" w:eastAsia="Times New Roman" w:hAnsi="Times New Roman"/>
                    <w:b/>
                    <w:bCs/>
                    <w:sz w:val="18"/>
                    <w:szCs w:val="18"/>
                    <w:lang w:eastAsia="es-CO"/>
                  </w:rPr>
                </w:pPr>
                <w:r>
                  <w:rPr>
                    <w:rFonts w:ascii="Times New Roman" w:eastAsia="Times New Roman" w:hAnsi="Times New Roman"/>
                    <w:b/>
                    <w:bCs/>
                    <w:sz w:val="18"/>
                    <w:szCs w:val="18"/>
                    <w:lang w:eastAsia="es-CO"/>
                  </w:rPr>
                  <w:t>95.096.131</w:t>
                </w:r>
              </w:p>
            </w:tc>
            <w:tc>
              <w:tcPr>
                <w:tcW w:w="504" w:type="pct"/>
                <w:vMerge/>
                <w:shd w:val="clear" w:color="000000" w:fill="FFFFFF"/>
                <w:noWrap/>
                <w:vAlign w:val="center"/>
                <w:hideMark/>
              </w:tcPr>
              <w:p w14:paraId="4B629EA3" w14:textId="77777777" w:rsidR="00AB5287" w:rsidRPr="00F60CB9" w:rsidRDefault="00AB5287" w:rsidP="004E7A73">
                <w:pPr>
                  <w:spacing w:after="0" w:line="240" w:lineRule="auto"/>
                  <w:rPr>
                    <w:rFonts w:ascii="Times New Roman" w:eastAsia="Times New Roman" w:hAnsi="Times New Roman"/>
                    <w:b/>
                    <w:bCs/>
                    <w:sz w:val="18"/>
                    <w:szCs w:val="18"/>
                    <w:lang w:eastAsia="es-CO"/>
                  </w:rPr>
                </w:pPr>
              </w:p>
            </w:tc>
            <w:tc>
              <w:tcPr>
                <w:tcW w:w="538" w:type="pct"/>
                <w:vMerge/>
                <w:shd w:val="clear" w:color="000000" w:fill="FFFFFF"/>
                <w:noWrap/>
                <w:vAlign w:val="center"/>
                <w:hideMark/>
              </w:tcPr>
              <w:p w14:paraId="216CA57D" w14:textId="77777777" w:rsidR="00AB5287" w:rsidRPr="00F60CB9" w:rsidRDefault="00AB5287" w:rsidP="004E7A73">
                <w:pPr>
                  <w:spacing w:after="0" w:line="240" w:lineRule="auto"/>
                  <w:jc w:val="center"/>
                  <w:rPr>
                    <w:rFonts w:ascii="Times New Roman" w:eastAsia="Times New Roman" w:hAnsi="Times New Roman"/>
                    <w:b/>
                    <w:bCs/>
                    <w:sz w:val="18"/>
                    <w:szCs w:val="18"/>
                    <w:lang w:eastAsia="es-CO"/>
                  </w:rPr>
                </w:pPr>
              </w:p>
            </w:tc>
            <w:tc>
              <w:tcPr>
                <w:tcW w:w="1326" w:type="pct"/>
                <w:vMerge/>
                <w:shd w:val="clear" w:color="000000" w:fill="FFFFFF"/>
                <w:noWrap/>
                <w:vAlign w:val="center"/>
                <w:hideMark/>
              </w:tcPr>
              <w:p w14:paraId="60157C48" w14:textId="77777777" w:rsidR="00AB5287" w:rsidRPr="00F60CB9" w:rsidRDefault="00AB5287" w:rsidP="004E7A73">
                <w:pPr>
                  <w:spacing w:after="0" w:line="240" w:lineRule="auto"/>
                  <w:rPr>
                    <w:rFonts w:ascii="Times New Roman" w:eastAsia="Times New Roman" w:hAnsi="Times New Roman"/>
                    <w:b/>
                    <w:bCs/>
                    <w:sz w:val="18"/>
                    <w:szCs w:val="18"/>
                    <w:lang w:eastAsia="es-CO"/>
                  </w:rPr>
                </w:pPr>
              </w:p>
            </w:tc>
            <w:tc>
              <w:tcPr>
                <w:tcW w:w="526" w:type="pct"/>
                <w:vMerge/>
                <w:shd w:val="clear" w:color="000000" w:fill="FFFFFF"/>
                <w:noWrap/>
                <w:vAlign w:val="center"/>
                <w:hideMark/>
              </w:tcPr>
              <w:p w14:paraId="334DC820" w14:textId="77777777" w:rsidR="00AB5287" w:rsidRPr="00F60CB9" w:rsidRDefault="00AB5287" w:rsidP="004E7A73">
                <w:pPr>
                  <w:spacing w:after="0" w:line="240" w:lineRule="auto"/>
                  <w:jc w:val="center"/>
                  <w:rPr>
                    <w:rFonts w:ascii="Times New Roman" w:eastAsia="Times New Roman" w:hAnsi="Times New Roman"/>
                    <w:b/>
                    <w:bCs/>
                    <w:sz w:val="18"/>
                    <w:szCs w:val="18"/>
                    <w:lang w:eastAsia="es-CO"/>
                  </w:rPr>
                </w:pPr>
              </w:p>
            </w:tc>
          </w:tr>
          <w:tr w:rsidR="00AB5287" w:rsidRPr="00F60CB9" w14:paraId="3E99BDEF" w14:textId="77777777" w:rsidTr="00F4317C">
            <w:trPr>
              <w:trHeight w:val="552"/>
            </w:trPr>
            <w:tc>
              <w:tcPr>
                <w:tcW w:w="1618" w:type="pct"/>
                <w:shd w:val="clear" w:color="auto" w:fill="auto"/>
                <w:noWrap/>
                <w:vAlign w:val="center"/>
                <w:hideMark/>
              </w:tcPr>
              <w:p w14:paraId="0AD3C49F" w14:textId="77777777" w:rsidR="00AB5287" w:rsidRPr="00C167BD" w:rsidRDefault="00AB5287" w:rsidP="004E7A73">
                <w:pPr>
                  <w:spacing w:after="0" w:line="240" w:lineRule="auto"/>
                  <w:rPr>
                    <w:rFonts w:ascii="Times New Roman" w:eastAsia="Times New Roman" w:hAnsi="Times New Roman"/>
                    <w:color w:val="000000"/>
                    <w:sz w:val="18"/>
                    <w:szCs w:val="18"/>
                    <w:lang w:eastAsia="es-CO"/>
                  </w:rPr>
                </w:pPr>
                <w:r w:rsidRPr="00C167BD">
                  <w:rPr>
                    <w:rFonts w:ascii="Times New Roman" w:eastAsia="Times New Roman" w:hAnsi="Times New Roman"/>
                    <w:color w:val="000000"/>
                    <w:sz w:val="18"/>
                    <w:szCs w:val="18"/>
                    <w:lang w:eastAsia="es-CO"/>
                  </w:rPr>
                  <w:t>Ricardo Alberto Zambrano Molina</w:t>
                </w:r>
              </w:p>
            </w:tc>
            <w:tc>
              <w:tcPr>
                <w:tcW w:w="487" w:type="pct"/>
                <w:shd w:val="clear" w:color="auto" w:fill="auto"/>
                <w:noWrap/>
                <w:vAlign w:val="center"/>
                <w:hideMark/>
              </w:tcPr>
              <w:p w14:paraId="792AC2F4" w14:textId="0E6DD76C" w:rsidR="00AB5287" w:rsidRPr="00F60CB9" w:rsidRDefault="00AB5287" w:rsidP="004E7A73">
                <w:pPr>
                  <w:spacing w:after="0" w:line="240" w:lineRule="auto"/>
                  <w:jc w:val="right"/>
                  <w:rPr>
                    <w:rFonts w:ascii="Times New Roman" w:eastAsia="Times New Roman" w:hAnsi="Times New Roman"/>
                    <w:color w:val="000000"/>
                    <w:sz w:val="18"/>
                    <w:szCs w:val="18"/>
                    <w:lang w:eastAsia="es-CO"/>
                  </w:rPr>
                </w:pPr>
                <w:r w:rsidRPr="00F60CB9">
                  <w:rPr>
                    <w:rFonts w:ascii="Times New Roman" w:eastAsia="Times New Roman" w:hAnsi="Times New Roman"/>
                    <w:color w:val="000000"/>
                    <w:sz w:val="18"/>
                    <w:szCs w:val="18"/>
                    <w:lang w:eastAsia="es-CO"/>
                  </w:rPr>
                  <w:t>90.8</w:t>
                </w:r>
                <w:r w:rsidR="00C167BD">
                  <w:rPr>
                    <w:rFonts w:ascii="Times New Roman" w:eastAsia="Times New Roman" w:hAnsi="Times New Roman"/>
                    <w:color w:val="000000"/>
                    <w:sz w:val="18"/>
                    <w:szCs w:val="18"/>
                    <w:lang w:eastAsia="es-CO"/>
                  </w:rPr>
                  <w:t>52.600</w:t>
                </w:r>
              </w:p>
            </w:tc>
            <w:tc>
              <w:tcPr>
                <w:tcW w:w="504" w:type="pct"/>
                <w:shd w:val="clear" w:color="000000" w:fill="FFFFFF"/>
                <w:noWrap/>
                <w:vAlign w:val="center"/>
                <w:hideMark/>
              </w:tcPr>
              <w:p w14:paraId="7885F782" w14:textId="77777777" w:rsidR="00AB5287" w:rsidRPr="00F60CB9" w:rsidRDefault="00AB5287" w:rsidP="004E7A73">
                <w:pPr>
                  <w:spacing w:after="0" w:line="240" w:lineRule="auto"/>
                  <w:jc w:val="center"/>
                  <w:rPr>
                    <w:rFonts w:ascii="Times New Roman" w:eastAsia="Times New Roman" w:hAnsi="Times New Roman"/>
                    <w:sz w:val="18"/>
                    <w:szCs w:val="18"/>
                    <w:lang w:eastAsia="es-CO"/>
                  </w:rPr>
                </w:pPr>
                <w:r w:rsidRPr="00F60CB9">
                  <w:rPr>
                    <w:rFonts w:ascii="Times New Roman" w:eastAsia="Times New Roman" w:hAnsi="Times New Roman"/>
                    <w:sz w:val="18"/>
                    <w:szCs w:val="18"/>
                    <w:lang w:eastAsia="es-CO"/>
                  </w:rPr>
                  <w:t>1</w:t>
                </w:r>
              </w:p>
            </w:tc>
            <w:tc>
              <w:tcPr>
                <w:tcW w:w="538" w:type="pct"/>
                <w:shd w:val="clear" w:color="000000" w:fill="FFFFFF"/>
                <w:noWrap/>
                <w:vAlign w:val="center"/>
                <w:hideMark/>
              </w:tcPr>
              <w:p w14:paraId="46753395" w14:textId="77777777" w:rsidR="00AB5287" w:rsidRPr="00F60CB9" w:rsidRDefault="00AB5287" w:rsidP="004E7A73">
                <w:pPr>
                  <w:spacing w:after="0" w:line="240" w:lineRule="auto"/>
                  <w:jc w:val="center"/>
                  <w:rPr>
                    <w:rFonts w:ascii="Times New Roman" w:eastAsia="Times New Roman" w:hAnsi="Times New Roman"/>
                    <w:sz w:val="18"/>
                    <w:szCs w:val="18"/>
                    <w:lang w:eastAsia="es-CO"/>
                  </w:rPr>
                </w:pPr>
                <w:r w:rsidRPr="00F60CB9">
                  <w:rPr>
                    <w:rFonts w:ascii="Times New Roman" w:eastAsia="Times New Roman" w:hAnsi="Times New Roman"/>
                    <w:sz w:val="18"/>
                    <w:szCs w:val="18"/>
                    <w:lang w:eastAsia="es-CO"/>
                  </w:rPr>
                  <w:t>10</w:t>
                </w:r>
              </w:p>
            </w:tc>
            <w:tc>
              <w:tcPr>
                <w:tcW w:w="1326" w:type="pct"/>
                <w:shd w:val="clear" w:color="000000" w:fill="FFFFFF"/>
                <w:vAlign w:val="center"/>
                <w:hideMark/>
              </w:tcPr>
              <w:p w14:paraId="1948B0A0" w14:textId="77777777" w:rsidR="00AB5287" w:rsidRPr="00F60CB9" w:rsidRDefault="00AB5287" w:rsidP="004E7A73">
                <w:pPr>
                  <w:spacing w:after="0" w:line="240" w:lineRule="auto"/>
                  <w:jc w:val="both"/>
                  <w:rPr>
                    <w:rFonts w:ascii="Times New Roman" w:eastAsia="Times New Roman" w:hAnsi="Times New Roman"/>
                    <w:sz w:val="18"/>
                    <w:szCs w:val="18"/>
                    <w:lang w:eastAsia="es-CO"/>
                  </w:rPr>
                </w:pPr>
                <w:r w:rsidRPr="00F60CB9">
                  <w:rPr>
                    <w:rFonts w:ascii="Times New Roman" w:eastAsia="Times New Roman" w:hAnsi="Times New Roman"/>
                    <w:sz w:val="18"/>
                    <w:szCs w:val="18"/>
                    <w:lang w:eastAsia="es-CO"/>
                  </w:rPr>
                  <w:t xml:space="preserve">En trámite validación de pago por terceros por concepto de condena y costas </w:t>
                </w:r>
              </w:p>
            </w:tc>
            <w:tc>
              <w:tcPr>
                <w:tcW w:w="526" w:type="pct"/>
                <w:shd w:val="clear" w:color="000000" w:fill="FFFFFF"/>
                <w:noWrap/>
                <w:vAlign w:val="center"/>
                <w:hideMark/>
              </w:tcPr>
              <w:p w14:paraId="14ACA745" w14:textId="77777777" w:rsidR="00AB5287" w:rsidRPr="00F60CB9" w:rsidRDefault="00AB5287" w:rsidP="004E7A73">
                <w:pPr>
                  <w:spacing w:after="0" w:line="240" w:lineRule="auto"/>
                  <w:jc w:val="center"/>
                  <w:rPr>
                    <w:rFonts w:ascii="Times New Roman" w:eastAsia="Times New Roman" w:hAnsi="Times New Roman"/>
                    <w:sz w:val="18"/>
                    <w:szCs w:val="18"/>
                    <w:lang w:eastAsia="es-CO"/>
                  </w:rPr>
                </w:pPr>
                <w:r w:rsidRPr="00F60CB9">
                  <w:rPr>
                    <w:rFonts w:ascii="Times New Roman" w:eastAsia="Times New Roman" w:hAnsi="Times New Roman"/>
                    <w:sz w:val="18"/>
                    <w:szCs w:val="18"/>
                    <w:lang w:eastAsia="es-CO"/>
                  </w:rPr>
                  <w:t>DTF</w:t>
                </w:r>
              </w:p>
            </w:tc>
          </w:tr>
          <w:tr w:rsidR="00AB5287" w:rsidRPr="00F60CB9" w14:paraId="4AF35DF0" w14:textId="77777777" w:rsidTr="00F4317C">
            <w:trPr>
              <w:trHeight w:val="20"/>
            </w:trPr>
            <w:tc>
              <w:tcPr>
                <w:tcW w:w="1618" w:type="pct"/>
                <w:shd w:val="clear" w:color="auto" w:fill="auto"/>
                <w:noWrap/>
                <w:vAlign w:val="center"/>
              </w:tcPr>
              <w:p w14:paraId="2B1858AF" w14:textId="6B1F0B6E" w:rsidR="00AB5287" w:rsidRPr="00C167BD" w:rsidRDefault="004E7A73" w:rsidP="004E7A73">
                <w:pPr>
                  <w:spacing w:after="0" w:line="240" w:lineRule="auto"/>
                  <w:rPr>
                    <w:rFonts w:ascii="Times New Roman" w:eastAsia="Times New Roman" w:hAnsi="Times New Roman"/>
                    <w:color w:val="000000"/>
                    <w:sz w:val="18"/>
                    <w:szCs w:val="18"/>
                    <w:lang w:eastAsia="es-CO"/>
                  </w:rPr>
                </w:pPr>
                <w:r w:rsidRPr="00C167BD">
                  <w:rPr>
                    <w:rFonts w:ascii="Times New Roman" w:eastAsia="Times New Roman" w:hAnsi="Times New Roman"/>
                    <w:color w:val="000000"/>
                    <w:sz w:val="18"/>
                    <w:szCs w:val="18"/>
                    <w:lang w:eastAsia="es-CO"/>
                  </w:rPr>
                  <w:t>José</w:t>
                </w:r>
                <w:r w:rsidR="00AB5287" w:rsidRPr="00C167BD">
                  <w:rPr>
                    <w:rFonts w:ascii="Times New Roman" w:eastAsia="Times New Roman" w:hAnsi="Times New Roman"/>
                    <w:color w:val="000000"/>
                    <w:sz w:val="18"/>
                    <w:szCs w:val="18"/>
                    <w:lang w:eastAsia="es-CO"/>
                  </w:rPr>
                  <w:t xml:space="preserve"> Luis Cacua </w:t>
                </w:r>
                <w:r w:rsidRPr="00C167BD">
                  <w:rPr>
                    <w:rFonts w:ascii="Times New Roman" w:eastAsia="Times New Roman" w:hAnsi="Times New Roman"/>
                    <w:color w:val="000000"/>
                    <w:sz w:val="18"/>
                    <w:szCs w:val="18"/>
                    <w:lang w:eastAsia="es-CO"/>
                  </w:rPr>
                  <w:t>Pérez</w:t>
                </w:r>
              </w:p>
            </w:tc>
            <w:tc>
              <w:tcPr>
                <w:tcW w:w="487" w:type="pct"/>
                <w:shd w:val="clear" w:color="000000" w:fill="FFFFFF"/>
                <w:noWrap/>
                <w:vAlign w:val="center"/>
              </w:tcPr>
              <w:p w14:paraId="600F09C3" w14:textId="6261F508" w:rsidR="00AB5287" w:rsidRPr="00F60CB9" w:rsidRDefault="00AB5287" w:rsidP="004E7A73">
                <w:pPr>
                  <w:spacing w:after="0" w:line="240" w:lineRule="auto"/>
                  <w:jc w:val="right"/>
                  <w:rPr>
                    <w:rFonts w:ascii="Times New Roman" w:eastAsia="Times New Roman" w:hAnsi="Times New Roman"/>
                    <w:sz w:val="18"/>
                    <w:szCs w:val="18"/>
                    <w:lang w:eastAsia="es-CO"/>
                  </w:rPr>
                </w:pPr>
                <w:r w:rsidRPr="00F60CB9">
                  <w:rPr>
                    <w:rFonts w:ascii="Times New Roman" w:eastAsia="Times New Roman" w:hAnsi="Times New Roman"/>
                    <w:color w:val="000000"/>
                    <w:sz w:val="18"/>
                    <w:szCs w:val="18"/>
                    <w:lang w:eastAsia="es-CO"/>
                  </w:rPr>
                  <w:t>243</w:t>
                </w:r>
                <w:r w:rsidR="00C167BD">
                  <w:rPr>
                    <w:rFonts w:ascii="Times New Roman" w:eastAsia="Times New Roman" w:hAnsi="Times New Roman"/>
                    <w:color w:val="000000"/>
                    <w:sz w:val="18"/>
                    <w:szCs w:val="18"/>
                    <w:lang w:eastAsia="es-CO"/>
                  </w:rPr>
                  <w:t>.531</w:t>
                </w:r>
              </w:p>
            </w:tc>
            <w:tc>
              <w:tcPr>
                <w:tcW w:w="504" w:type="pct"/>
                <w:shd w:val="clear" w:color="000000" w:fill="FFFFFF"/>
                <w:noWrap/>
                <w:vAlign w:val="center"/>
              </w:tcPr>
              <w:p w14:paraId="3BF67607" w14:textId="77777777" w:rsidR="00AB5287" w:rsidRPr="00F60CB9" w:rsidRDefault="00AB5287" w:rsidP="004E7A73">
                <w:pPr>
                  <w:spacing w:after="0" w:line="240" w:lineRule="auto"/>
                  <w:jc w:val="center"/>
                  <w:rPr>
                    <w:rFonts w:ascii="Times New Roman" w:eastAsia="Times New Roman" w:hAnsi="Times New Roman"/>
                    <w:sz w:val="18"/>
                    <w:szCs w:val="18"/>
                    <w:lang w:eastAsia="es-CO"/>
                  </w:rPr>
                </w:pPr>
                <w:r w:rsidRPr="00F60CB9">
                  <w:rPr>
                    <w:rFonts w:ascii="Times New Roman" w:eastAsia="Times New Roman" w:hAnsi="Times New Roman"/>
                    <w:sz w:val="18"/>
                    <w:szCs w:val="18"/>
                    <w:lang w:eastAsia="es-CO"/>
                  </w:rPr>
                  <w:t>1</w:t>
                </w:r>
              </w:p>
            </w:tc>
            <w:tc>
              <w:tcPr>
                <w:tcW w:w="538" w:type="pct"/>
                <w:shd w:val="clear" w:color="000000" w:fill="FFFFFF"/>
                <w:noWrap/>
                <w:vAlign w:val="center"/>
              </w:tcPr>
              <w:p w14:paraId="791AAB81" w14:textId="77777777" w:rsidR="00AB5287" w:rsidRPr="00F60CB9" w:rsidRDefault="00AB5287" w:rsidP="004E7A73">
                <w:pPr>
                  <w:spacing w:after="0" w:line="240" w:lineRule="auto"/>
                  <w:jc w:val="center"/>
                  <w:rPr>
                    <w:rFonts w:ascii="Times New Roman" w:eastAsia="Times New Roman" w:hAnsi="Times New Roman"/>
                    <w:sz w:val="18"/>
                    <w:szCs w:val="18"/>
                    <w:lang w:eastAsia="es-CO"/>
                  </w:rPr>
                </w:pPr>
                <w:r w:rsidRPr="00F60CB9">
                  <w:rPr>
                    <w:rFonts w:ascii="Times New Roman" w:eastAsia="Times New Roman" w:hAnsi="Times New Roman"/>
                    <w:sz w:val="18"/>
                    <w:szCs w:val="18"/>
                    <w:lang w:eastAsia="es-CO"/>
                  </w:rPr>
                  <w:t>10</w:t>
                </w:r>
              </w:p>
            </w:tc>
            <w:tc>
              <w:tcPr>
                <w:tcW w:w="1326" w:type="pct"/>
                <w:shd w:val="clear" w:color="000000" w:fill="FFFFFF"/>
                <w:vAlign w:val="center"/>
              </w:tcPr>
              <w:p w14:paraId="0F326037" w14:textId="77777777" w:rsidR="00AB5287" w:rsidRPr="00F60CB9" w:rsidRDefault="00AB5287" w:rsidP="004E7A73">
                <w:pPr>
                  <w:spacing w:after="0" w:line="240" w:lineRule="auto"/>
                  <w:jc w:val="both"/>
                  <w:rPr>
                    <w:rFonts w:ascii="Times New Roman" w:eastAsia="Times New Roman" w:hAnsi="Times New Roman"/>
                    <w:sz w:val="18"/>
                    <w:szCs w:val="18"/>
                    <w:lang w:eastAsia="es-CO"/>
                  </w:rPr>
                </w:pPr>
                <w:r w:rsidRPr="00F60CB9">
                  <w:rPr>
                    <w:rFonts w:ascii="Times New Roman" w:eastAsia="Times New Roman" w:hAnsi="Times New Roman"/>
                    <w:sz w:val="18"/>
                    <w:szCs w:val="18"/>
                    <w:lang w:eastAsia="es-CO"/>
                  </w:rPr>
                  <w:t>En trámite cumplimiento de requisitos para el trámite de pago</w:t>
                </w:r>
              </w:p>
            </w:tc>
            <w:tc>
              <w:tcPr>
                <w:tcW w:w="526" w:type="pct"/>
                <w:shd w:val="clear" w:color="000000" w:fill="FFFFFF"/>
                <w:noWrap/>
                <w:vAlign w:val="center"/>
              </w:tcPr>
              <w:p w14:paraId="1AA1C445" w14:textId="77777777" w:rsidR="00AB5287" w:rsidRPr="00F60CB9" w:rsidRDefault="00AB5287" w:rsidP="004E7A73">
                <w:pPr>
                  <w:spacing w:after="0" w:line="240" w:lineRule="auto"/>
                  <w:jc w:val="center"/>
                  <w:rPr>
                    <w:rFonts w:ascii="Times New Roman" w:eastAsia="Times New Roman" w:hAnsi="Times New Roman"/>
                    <w:sz w:val="18"/>
                    <w:szCs w:val="18"/>
                    <w:lang w:eastAsia="es-CO"/>
                  </w:rPr>
                </w:pPr>
                <w:r w:rsidRPr="00F60CB9">
                  <w:rPr>
                    <w:rFonts w:ascii="Times New Roman" w:eastAsia="Times New Roman" w:hAnsi="Times New Roman"/>
                    <w:sz w:val="18"/>
                    <w:szCs w:val="18"/>
                    <w:lang w:eastAsia="es-CO"/>
                  </w:rPr>
                  <w:t>N/A</w:t>
                </w:r>
              </w:p>
            </w:tc>
          </w:tr>
          <w:tr w:rsidR="00AB5287" w:rsidRPr="00F60CB9" w14:paraId="73593A96" w14:textId="77777777" w:rsidTr="00F4317C">
            <w:trPr>
              <w:trHeight w:val="20"/>
            </w:trPr>
            <w:tc>
              <w:tcPr>
                <w:tcW w:w="1618" w:type="pct"/>
                <w:shd w:val="clear" w:color="auto" w:fill="auto"/>
                <w:noWrap/>
                <w:vAlign w:val="center"/>
                <w:hideMark/>
              </w:tcPr>
              <w:p w14:paraId="756795FA" w14:textId="77777777" w:rsidR="00AB5287" w:rsidRPr="00C167BD" w:rsidRDefault="00AB5287" w:rsidP="004E7A73">
                <w:pPr>
                  <w:spacing w:after="0" w:line="240" w:lineRule="auto"/>
                  <w:rPr>
                    <w:rFonts w:ascii="Times New Roman" w:eastAsia="Times New Roman" w:hAnsi="Times New Roman"/>
                    <w:color w:val="000000"/>
                    <w:sz w:val="18"/>
                    <w:szCs w:val="18"/>
                    <w:lang w:eastAsia="es-CO"/>
                  </w:rPr>
                </w:pPr>
                <w:r w:rsidRPr="00C167BD">
                  <w:rPr>
                    <w:rFonts w:ascii="Times New Roman" w:eastAsia="Times New Roman" w:hAnsi="Times New Roman"/>
                    <w:color w:val="000000"/>
                    <w:sz w:val="18"/>
                    <w:szCs w:val="18"/>
                    <w:lang w:eastAsia="es-CO"/>
                  </w:rPr>
                  <w:t xml:space="preserve">Tren de Occidente S.A. </w:t>
                </w:r>
              </w:p>
            </w:tc>
            <w:tc>
              <w:tcPr>
                <w:tcW w:w="487" w:type="pct"/>
                <w:shd w:val="clear" w:color="000000" w:fill="FFFFFF"/>
                <w:noWrap/>
                <w:vAlign w:val="center"/>
                <w:hideMark/>
              </w:tcPr>
              <w:p w14:paraId="21F19733" w14:textId="06CE35DA" w:rsidR="00AB5287" w:rsidRPr="00F60CB9" w:rsidRDefault="00AB5287" w:rsidP="00C167BD">
                <w:pPr>
                  <w:spacing w:after="0" w:line="240" w:lineRule="auto"/>
                  <w:jc w:val="right"/>
                  <w:rPr>
                    <w:rFonts w:ascii="Times New Roman" w:eastAsia="Times New Roman" w:hAnsi="Times New Roman"/>
                    <w:sz w:val="18"/>
                    <w:szCs w:val="18"/>
                    <w:lang w:eastAsia="es-CO"/>
                  </w:rPr>
                </w:pPr>
                <w:r w:rsidRPr="00F60CB9">
                  <w:rPr>
                    <w:rFonts w:ascii="Times New Roman" w:eastAsia="Times New Roman" w:hAnsi="Times New Roman"/>
                    <w:sz w:val="18"/>
                    <w:szCs w:val="18"/>
                    <w:lang w:eastAsia="es-CO"/>
                  </w:rPr>
                  <w:t>4.000</w:t>
                </w:r>
                <w:r w:rsidR="00C167BD">
                  <w:rPr>
                    <w:rFonts w:ascii="Times New Roman" w:eastAsia="Times New Roman" w:hAnsi="Times New Roman"/>
                    <w:sz w:val="18"/>
                    <w:szCs w:val="18"/>
                    <w:lang w:eastAsia="es-CO"/>
                  </w:rPr>
                  <w:t>.000</w:t>
                </w:r>
                <w:r w:rsidRPr="00F60CB9">
                  <w:rPr>
                    <w:rFonts w:ascii="Times New Roman" w:eastAsia="Times New Roman" w:hAnsi="Times New Roman"/>
                    <w:sz w:val="18"/>
                    <w:szCs w:val="18"/>
                    <w:lang w:eastAsia="es-CO"/>
                  </w:rPr>
                  <w:t xml:space="preserve"> </w:t>
                </w:r>
              </w:p>
            </w:tc>
            <w:tc>
              <w:tcPr>
                <w:tcW w:w="504" w:type="pct"/>
                <w:shd w:val="clear" w:color="000000" w:fill="FFFFFF"/>
                <w:noWrap/>
                <w:vAlign w:val="center"/>
                <w:hideMark/>
              </w:tcPr>
              <w:p w14:paraId="4C425146" w14:textId="77777777" w:rsidR="00AB5287" w:rsidRPr="00F60CB9" w:rsidRDefault="00AB5287" w:rsidP="004E7A73">
                <w:pPr>
                  <w:spacing w:after="0" w:line="240" w:lineRule="auto"/>
                  <w:jc w:val="center"/>
                  <w:rPr>
                    <w:rFonts w:ascii="Times New Roman" w:eastAsia="Times New Roman" w:hAnsi="Times New Roman"/>
                    <w:sz w:val="18"/>
                    <w:szCs w:val="18"/>
                    <w:lang w:eastAsia="es-CO"/>
                  </w:rPr>
                </w:pPr>
                <w:r w:rsidRPr="00F60CB9">
                  <w:rPr>
                    <w:rFonts w:ascii="Times New Roman" w:eastAsia="Times New Roman" w:hAnsi="Times New Roman"/>
                    <w:sz w:val="18"/>
                    <w:szCs w:val="18"/>
                    <w:lang w:eastAsia="es-CO"/>
                  </w:rPr>
                  <w:t>1</w:t>
                </w:r>
              </w:p>
            </w:tc>
            <w:tc>
              <w:tcPr>
                <w:tcW w:w="538" w:type="pct"/>
                <w:shd w:val="clear" w:color="000000" w:fill="FFFFFF"/>
                <w:noWrap/>
                <w:vAlign w:val="center"/>
                <w:hideMark/>
              </w:tcPr>
              <w:p w14:paraId="2734CACA" w14:textId="77777777" w:rsidR="00AB5287" w:rsidRPr="00F60CB9" w:rsidRDefault="00AB5287" w:rsidP="004E7A73">
                <w:pPr>
                  <w:spacing w:after="0" w:line="240" w:lineRule="auto"/>
                  <w:jc w:val="center"/>
                  <w:rPr>
                    <w:rFonts w:ascii="Times New Roman" w:eastAsia="Times New Roman" w:hAnsi="Times New Roman"/>
                    <w:sz w:val="18"/>
                    <w:szCs w:val="18"/>
                    <w:lang w:eastAsia="es-CO"/>
                  </w:rPr>
                </w:pPr>
                <w:r w:rsidRPr="00F60CB9">
                  <w:rPr>
                    <w:rFonts w:ascii="Times New Roman" w:eastAsia="Times New Roman" w:hAnsi="Times New Roman"/>
                    <w:sz w:val="18"/>
                    <w:szCs w:val="18"/>
                    <w:lang w:eastAsia="es-CO"/>
                  </w:rPr>
                  <w:t> 10</w:t>
                </w:r>
              </w:p>
            </w:tc>
            <w:tc>
              <w:tcPr>
                <w:tcW w:w="1326" w:type="pct"/>
                <w:shd w:val="clear" w:color="000000" w:fill="FFFFFF"/>
                <w:vAlign w:val="center"/>
                <w:hideMark/>
              </w:tcPr>
              <w:p w14:paraId="2F54717D" w14:textId="77777777" w:rsidR="00AB5287" w:rsidRPr="00F60CB9" w:rsidRDefault="00AB5287" w:rsidP="004E7A73">
                <w:pPr>
                  <w:spacing w:after="0" w:line="240" w:lineRule="auto"/>
                  <w:jc w:val="both"/>
                  <w:rPr>
                    <w:rFonts w:ascii="Times New Roman" w:eastAsia="Times New Roman" w:hAnsi="Times New Roman"/>
                    <w:sz w:val="18"/>
                    <w:szCs w:val="18"/>
                    <w:lang w:eastAsia="es-CO"/>
                  </w:rPr>
                </w:pPr>
                <w:r w:rsidRPr="00F60CB9">
                  <w:rPr>
                    <w:rFonts w:ascii="Times New Roman" w:eastAsia="Times New Roman" w:hAnsi="Times New Roman"/>
                    <w:sz w:val="18"/>
                    <w:szCs w:val="18"/>
                    <w:lang w:eastAsia="es-CO"/>
                  </w:rPr>
                  <w:t>En trámite cumplimiento de requisitos para el trámite de pago</w:t>
                </w:r>
              </w:p>
            </w:tc>
            <w:tc>
              <w:tcPr>
                <w:tcW w:w="526" w:type="pct"/>
                <w:shd w:val="clear" w:color="000000" w:fill="FFFFFF"/>
                <w:noWrap/>
                <w:vAlign w:val="center"/>
                <w:hideMark/>
              </w:tcPr>
              <w:p w14:paraId="55929489" w14:textId="77777777" w:rsidR="00AB5287" w:rsidRPr="00F60CB9" w:rsidRDefault="00AB5287" w:rsidP="004E7A73">
                <w:pPr>
                  <w:spacing w:after="0" w:line="240" w:lineRule="auto"/>
                  <w:jc w:val="center"/>
                  <w:rPr>
                    <w:rFonts w:ascii="Times New Roman" w:eastAsia="Times New Roman" w:hAnsi="Times New Roman"/>
                    <w:sz w:val="18"/>
                    <w:szCs w:val="18"/>
                    <w:lang w:eastAsia="es-CO"/>
                  </w:rPr>
                </w:pPr>
                <w:r w:rsidRPr="00F60CB9">
                  <w:rPr>
                    <w:rFonts w:ascii="Times New Roman" w:eastAsia="Times New Roman" w:hAnsi="Times New Roman"/>
                    <w:sz w:val="18"/>
                    <w:szCs w:val="18"/>
                    <w:lang w:eastAsia="es-CO"/>
                  </w:rPr>
                  <w:t>N/A</w:t>
                </w:r>
              </w:p>
            </w:tc>
          </w:tr>
        </w:tbl>
        <w:p w14:paraId="6311129E" w14:textId="77777777" w:rsidR="00D15A37" w:rsidRPr="00931DCE" w:rsidRDefault="00D15A37" w:rsidP="00FC2584">
          <w:pPr>
            <w:spacing w:after="0" w:line="240" w:lineRule="auto"/>
            <w:jc w:val="both"/>
            <w:rPr>
              <w:rFonts w:ascii="Times New Roman" w:hAnsi="Times New Roman"/>
              <w:sz w:val="14"/>
              <w:szCs w:val="14"/>
            </w:rPr>
          </w:pPr>
        </w:p>
        <w:p w14:paraId="0695DFE3" w14:textId="3C249912" w:rsidR="00FC2584" w:rsidRPr="00931DCE" w:rsidRDefault="00AD2026" w:rsidP="00FC2584">
          <w:pPr>
            <w:spacing w:after="0" w:line="240" w:lineRule="auto"/>
            <w:jc w:val="both"/>
            <w:rPr>
              <w:rFonts w:ascii="Times New Roman" w:hAnsi="Times New Roman"/>
              <w:sz w:val="14"/>
              <w:szCs w:val="14"/>
            </w:rPr>
          </w:pPr>
          <w:r w:rsidRPr="00931DCE">
            <w:rPr>
              <w:rFonts w:ascii="Times New Roman" w:hAnsi="Times New Roman"/>
              <w:sz w:val="14"/>
              <w:szCs w:val="14"/>
            </w:rPr>
            <w:t>Cifras expresadas en pesos</w:t>
          </w:r>
        </w:p>
        <w:p w14:paraId="3EBAB65F" w14:textId="77777777" w:rsidR="00FC2584" w:rsidRPr="00931DCE" w:rsidRDefault="00FC2584" w:rsidP="00FC2584">
          <w:pPr>
            <w:spacing w:after="0" w:line="240" w:lineRule="auto"/>
            <w:jc w:val="both"/>
            <w:rPr>
              <w:rFonts w:ascii="Times New Roman" w:hAnsi="Times New Roman"/>
              <w:b/>
              <w:bCs/>
              <w:sz w:val="24"/>
              <w:szCs w:val="24"/>
            </w:rPr>
          </w:pPr>
        </w:p>
        <w:p w14:paraId="390361A4" w14:textId="5D99887E" w:rsidR="00FC2584" w:rsidRPr="00931DCE" w:rsidRDefault="00FC2584" w:rsidP="00E14F56">
          <w:pPr>
            <w:spacing w:after="0" w:line="240" w:lineRule="auto"/>
            <w:jc w:val="both"/>
            <w:rPr>
              <w:rFonts w:ascii="Times New Roman" w:hAnsi="Times New Roman"/>
              <w:sz w:val="24"/>
              <w:szCs w:val="24"/>
            </w:rPr>
          </w:pPr>
          <w:r w:rsidRPr="00931DCE">
            <w:rPr>
              <w:rFonts w:ascii="Times New Roman" w:hAnsi="Times New Roman"/>
              <w:sz w:val="24"/>
              <w:szCs w:val="24"/>
            </w:rPr>
            <w:t xml:space="preserve">Para las sentencias relacionadas en el cuadro anterior, la Agencia no presenta incumplimiento en las condiciones de pago del principal, del plazo ni de los intereses. </w:t>
          </w:r>
        </w:p>
        <w:p w14:paraId="4C75F243" w14:textId="77777777" w:rsidR="00E14F56" w:rsidRPr="00931DCE" w:rsidRDefault="00E14F56" w:rsidP="00E14F56">
          <w:pPr>
            <w:spacing w:after="0" w:line="240" w:lineRule="auto"/>
            <w:jc w:val="both"/>
            <w:rPr>
              <w:rFonts w:ascii="Times New Roman" w:hAnsi="Times New Roman"/>
              <w:sz w:val="24"/>
              <w:szCs w:val="24"/>
            </w:rPr>
          </w:pPr>
        </w:p>
        <w:p w14:paraId="51C595D0" w14:textId="28B47E6F" w:rsidR="00FC2584" w:rsidRPr="00931DCE" w:rsidRDefault="00FC2584" w:rsidP="00FC2584">
          <w:pPr>
            <w:spacing w:after="0" w:line="240" w:lineRule="auto"/>
            <w:jc w:val="both"/>
            <w:rPr>
              <w:rFonts w:ascii="Times New Roman" w:hAnsi="Times New Roman"/>
              <w:i/>
              <w:iCs/>
              <w:sz w:val="24"/>
              <w:szCs w:val="24"/>
            </w:rPr>
          </w:pPr>
          <w:r w:rsidRPr="00931DCE">
            <w:rPr>
              <w:rFonts w:ascii="Times New Roman" w:hAnsi="Times New Roman"/>
              <w:sz w:val="24"/>
              <w:szCs w:val="24"/>
            </w:rPr>
            <w:t xml:space="preserve">Baja en cuentas: </w:t>
          </w:r>
          <w:r w:rsidR="002522F5">
            <w:rPr>
              <w:rFonts w:ascii="Times New Roman" w:hAnsi="Times New Roman"/>
              <w:sz w:val="24"/>
              <w:szCs w:val="24"/>
            </w:rPr>
            <w:t xml:space="preserve">Para el año 2023 no se realizó bajo en cuentas de Sentencias </w:t>
          </w:r>
        </w:p>
        <w:p w14:paraId="2411201C" w14:textId="77777777" w:rsidR="00FC2584" w:rsidRPr="00931DCE" w:rsidRDefault="00FC2584" w:rsidP="00FC2584">
          <w:pPr>
            <w:autoSpaceDE w:val="0"/>
            <w:autoSpaceDN w:val="0"/>
            <w:adjustRightInd w:val="0"/>
            <w:spacing w:after="0" w:line="240" w:lineRule="auto"/>
            <w:ind w:right="900"/>
            <w:jc w:val="both"/>
            <w:rPr>
              <w:rFonts w:ascii="Times New Roman" w:hAnsi="Times New Roman"/>
              <w:i/>
              <w:iCs/>
              <w:sz w:val="24"/>
              <w:szCs w:val="24"/>
            </w:rPr>
          </w:pPr>
        </w:p>
        <w:p w14:paraId="4CB1B2DD" w14:textId="77777777" w:rsidR="00FC2584" w:rsidRPr="00931DCE" w:rsidRDefault="00FC2584" w:rsidP="00FC2584">
          <w:pPr>
            <w:autoSpaceDE w:val="0"/>
            <w:autoSpaceDN w:val="0"/>
            <w:adjustRightInd w:val="0"/>
            <w:spacing w:after="0" w:line="240" w:lineRule="auto"/>
            <w:ind w:left="709" w:right="900"/>
            <w:jc w:val="both"/>
            <w:rPr>
              <w:rFonts w:ascii="Times New Roman" w:hAnsi="Times New Roman"/>
              <w:i/>
              <w:iCs/>
              <w:sz w:val="24"/>
              <w:szCs w:val="24"/>
            </w:rPr>
          </w:pPr>
        </w:p>
        <w:p w14:paraId="5827B0F5" w14:textId="77777777" w:rsidR="00FC2584" w:rsidRPr="00931DCE" w:rsidRDefault="00FC2584" w:rsidP="00E60BAB">
          <w:pPr>
            <w:pStyle w:val="Prrafodelista"/>
            <w:numPr>
              <w:ilvl w:val="0"/>
              <w:numId w:val="55"/>
            </w:numPr>
            <w:spacing w:after="0" w:line="240" w:lineRule="auto"/>
            <w:ind w:left="284" w:hanging="284"/>
            <w:jc w:val="both"/>
            <w:rPr>
              <w:rFonts w:ascii="Times New Roman" w:hAnsi="Times New Roman"/>
              <w:sz w:val="24"/>
              <w:szCs w:val="24"/>
            </w:rPr>
          </w:pPr>
          <w:r w:rsidRPr="00931DCE">
            <w:rPr>
              <w:rFonts w:ascii="Times New Roman" w:hAnsi="Times New Roman"/>
              <w:b/>
              <w:bCs/>
              <w:sz w:val="24"/>
              <w:szCs w:val="24"/>
            </w:rPr>
            <w:t>Laudos arbitrales y conciliaciones extrajudiciales e intereses:</w:t>
          </w:r>
        </w:p>
        <w:p w14:paraId="05BC9DB2" w14:textId="77777777" w:rsidR="00FC2584" w:rsidRPr="00931DCE" w:rsidRDefault="00FC2584" w:rsidP="00FC2584">
          <w:pPr>
            <w:pStyle w:val="Prrafodelista"/>
            <w:spacing w:after="0" w:line="240" w:lineRule="auto"/>
            <w:ind w:left="0"/>
            <w:jc w:val="both"/>
            <w:rPr>
              <w:rFonts w:ascii="Times New Roman" w:hAnsi="Times New Roman"/>
              <w:sz w:val="16"/>
              <w:szCs w:val="16"/>
            </w:rPr>
          </w:pPr>
        </w:p>
        <w:p w14:paraId="2FFA5E5A" w14:textId="2B73391E" w:rsidR="00FC2584" w:rsidRPr="00931DCE" w:rsidRDefault="00FC2584" w:rsidP="00FC2584">
          <w:pPr>
            <w:spacing w:after="0" w:line="240" w:lineRule="auto"/>
            <w:jc w:val="both"/>
            <w:rPr>
              <w:rFonts w:ascii="Times New Roman" w:hAnsi="Times New Roman"/>
              <w:sz w:val="24"/>
              <w:szCs w:val="24"/>
            </w:rPr>
          </w:pPr>
          <w:r w:rsidRPr="00931DCE">
            <w:rPr>
              <w:rFonts w:ascii="Times New Roman" w:hAnsi="Times New Roman"/>
              <w:sz w:val="24"/>
              <w:szCs w:val="24"/>
            </w:rPr>
            <w:t xml:space="preserve">Con relación a los Laudos arbitrales y conciliaciones extrajudiciales, se registra un saldo a 31 de diciembre de </w:t>
          </w:r>
          <w:r w:rsidR="00EF6E05" w:rsidRPr="00931DCE">
            <w:rPr>
              <w:rFonts w:ascii="Times New Roman" w:hAnsi="Times New Roman"/>
              <w:sz w:val="24"/>
              <w:szCs w:val="24"/>
            </w:rPr>
            <w:t>202</w:t>
          </w:r>
          <w:r w:rsidR="00A67109">
            <w:rPr>
              <w:rFonts w:ascii="Times New Roman" w:hAnsi="Times New Roman"/>
              <w:sz w:val="24"/>
              <w:szCs w:val="24"/>
            </w:rPr>
            <w:t>3</w:t>
          </w:r>
          <w:r w:rsidRPr="00931DCE">
            <w:rPr>
              <w:rFonts w:ascii="Times New Roman" w:hAnsi="Times New Roman"/>
              <w:sz w:val="24"/>
              <w:szCs w:val="24"/>
            </w:rPr>
            <w:t xml:space="preserve"> por valor total de $</w:t>
          </w:r>
          <w:r w:rsidR="00A00271" w:rsidRPr="00A00271">
            <w:rPr>
              <w:rFonts w:ascii="Times New Roman" w:hAnsi="Times New Roman"/>
              <w:sz w:val="24"/>
              <w:szCs w:val="24"/>
            </w:rPr>
            <w:t>1</w:t>
          </w:r>
          <w:r w:rsidR="00A00271">
            <w:rPr>
              <w:rFonts w:ascii="Times New Roman" w:hAnsi="Times New Roman"/>
              <w:sz w:val="24"/>
              <w:szCs w:val="24"/>
            </w:rPr>
            <w:t>.</w:t>
          </w:r>
          <w:r w:rsidR="00A00271" w:rsidRPr="00A00271">
            <w:rPr>
              <w:rFonts w:ascii="Times New Roman" w:hAnsi="Times New Roman"/>
              <w:sz w:val="24"/>
              <w:szCs w:val="24"/>
            </w:rPr>
            <w:t>761</w:t>
          </w:r>
          <w:r w:rsidR="00A00271">
            <w:rPr>
              <w:rFonts w:ascii="Times New Roman" w:hAnsi="Times New Roman"/>
              <w:sz w:val="24"/>
              <w:szCs w:val="24"/>
            </w:rPr>
            <w:t>.</w:t>
          </w:r>
          <w:r w:rsidR="00A00271" w:rsidRPr="00A00271">
            <w:rPr>
              <w:rFonts w:ascii="Times New Roman" w:hAnsi="Times New Roman"/>
              <w:sz w:val="24"/>
              <w:szCs w:val="24"/>
            </w:rPr>
            <w:t>639</w:t>
          </w:r>
          <w:r w:rsidR="00A00271">
            <w:rPr>
              <w:rFonts w:ascii="Times New Roman" w:hAnsi="Times New Roman"/>
              <w:sz w:val="24"/>
              <w:szCs w:val="24"/>
            </w:rPr>
            <w:t>.</w:t>
          </w:r>
          <w:r w:rsidR="00A00271" w:rsidRPr="00A00271">
            <w:rPr>
              <w:rFonts w:ascii="Times New Roman" w:hAnsi="Times New Roman"/>
              <w:sz w:val="24"/>
              <w:szCs w:val="24"/>
            </w:rPr>
            <w:t>373</w:t>
          </w:r>
          <w:r w:rsidR="00A00271">
            <w:rPr>
              <w:rFonts w:ascii="Times New Roman" w:hAnsi="Times New Roman"/>
              <w:sz w:val="24"/>
              <w:szCs w:val="24"/>
            </w:rPr>
            <w:t>.</w:t>
          </w:r>
          <w:r w:rsidR="00A00271" w:rsidRPr="00A00271">
            <w:rPr>
              <w:rFonts w:ascii="Times New Roman" w:hAnsi="Times New Roman"/>
              <w:sz w:val="24"/>
              <w:szCs w:val="24"/>
            </w:rPr>
            <w:t>680</w:t>
          </w:r>
          <w:r w:rsidRPr="00931DCE">
            <w:rPr>
              <w:rFonts w:ascii="Times New Roman" w:hAnsi="Times New Roman"/>
              <w:sz w:val="24"/>
              <w:szCs w:val="24"/>
            </w:rPr>
            <w:t xml:space="preserve">, relacionadas con Tribunales de Arbitramento, suma que comprenden el valor del capital más los correspondientes intereses, </w:t>
          </w:r>
          <w:r w:rsidR="00C802C7" w:rsidRPr="00931DCE">
            <w:rPr>
              <w:rFonts w:ascii="Times New Roman" w:hAnsi="Times New Roman"/>
              <w:sz w:val="24"/>
              <w:szCs w:val="24"/>
            </w:rPr>
            <w:t>a</w:t>
          </w:r>
          <w:r w:rsidR="00C802C7">
            <w:rPr>
              <w:rFonts w:ascii="Times New Roman" w:hAnsi="Times New Roman"/>
              <w:sz w:val="24"/>
              <w:szCs w:val="24"/>
            </w:rPr>
            <w:t>sí</w:t>
          </w:r>
          <w:r w:rsidRPr="00931DCE">
            <w:rPr>
              <w:rFonts w:ascii="Times New Roman" w:hAnsi="Times New Roman"/>
              <w:sz w:val="24"/>
              <w:szCs w:val="24"/>
            </w:rPr>
            <w:t xml:space="preserve">: </w:t>
          </w:r>
          <w:r w:rsidRPr="00931DCE">
            <w:rPr>
              <w:rFonts w:ascii="Times New Roman" w:hAnsi="Times New Roman"/>
              <w:b/>
              <w:bCs/>
              <w:sz w:val="24"/>
              <w:szCs w:val="24"/>
            </w:rPr>
            <w:t>i)</w:t>
          </w:r>
          <w:r w:rsidRPr="00931DCE">
            <w:rPr>
              <w:rFonts w:ascii="Times New Roman" w:hAnsi="Times New Roman"/>
              <w:sz w:val="24"/>
              <w:szCs w:val="24"/>
            </w:rPr>
            <w:t xml:space="preserve"> Laudos arbitrales ejecutoriados y, </w:t>
          </w:r>
          <w:r w:rsidRPr="00BE264E">
            <w:rPr>
              <w:rFonts w:ascii="Times New Roman" w:hAnsi="Times New Roman"/>
              <w:b/>
              <w:sz w:val="24"/>
              <w:szCs w:val="24"/>
            </w:rPr>
            <w:t>ii)</w:t>
          </w:r>
          <w:r w:rsidRPr="00BE264E">
            <w:rPr>
              <w:rFonts w:ascii="Times New Roman" w:hAnsi="Times New Roman"/>
              <w:sz w:val="24"/>
              <w:szCs w:val="24"/>
            </w:rPr>
            <w:t xml:space="preserve"> Reconocimiento de </w:t>
          </w:r>
          <w:r w:rsidR="007D2013" w:rsidRPr="00BE264E">
            <w:rPr>
              <w:rFonts w:ascii="Times New Roman" w:hAnsi="Times New Roman"/>
              <w:sz w:val="24"/>
              <w:szCs w:val="24"/>
            </w:rPr>
            <w:t>condena en costas</w:t>
          </w:r>
          <w:r w:rsidRPr="00BE264E">
            <w:rPr>
              <w:rFonts w:ascii="Times New Roman" w:hAnsi="Times New Roman"/>
              <w:sz w:val="24"/>
              <w:szCs w:val="24"/>
            </w:rPr>
            <w:t xml:space="preserve"> y </w:t>
          </w:r>
          <w:r w:rsidR="007D2013" w:rsidRPr="00BE264E">
            <w:rPr>
              <w:rFonts w:ascii="Times New Roman" w:hAnsi="Times New Roman"/>
              <w:sz w:val="24"/>
              <w:szCs w:val="24"/>
            </w:rPr>
            <w:t>agencias en derecho</w:t>
          </w:r>
          <w:r w:rsidRPr="00BE264E">
            <w:rPr>
              <w:rFonts w:ascii="Times New Roman" w:hAnsi="Times New Roman"/>
              <w:sz w:val="24"/>
              <w:szCs w:val="24"/>
            </w:rPr>
            <w:t>, y su composición es la siguiente:</w:t>
          </w:r>
        </w:p>
        <w:p w14:paraId="33026E60" w14:textId="246D64E5" w:rsidR="00FC2584" w:rsidRPr="00931DCE" w:rsidRDefault="00FC2584" w:rsidP="00FC2584">
          <w:pPr>
            <w:spacing w:after="0" w:line="240" w:lineRule="auto"/>
            <w:jc w:val="both"/>
            <w:rPr>
              <w:rFonts w:ascii="Times New Roman" w:hAnsi="Times New Roman"/>
              <w:sz w:val="16"/>
              <w:szCs w:val="16"/>
              <w:highlight w:val="green"/>
            </w:rPr>
          </w:pPr>
        </w:p>
        <w:tbl>
          <w:tblPr>
            <w:tblW w:w="0" w:type="auto"/>
            <w:tblLayout w:type="fixed"/>
            <w:tblLook w:val="04A0" w:firstRow="1" w:lastRow="0" w:firstColumn="1" w:lastColumn="0" w:noHBand="0" w:noVBand="1"/>
          </w:tblPr>
          <w:tblGrid>
            <w:gridCol w:w="869"/>
            <w:gridCol w:w="2329"/>
            <w:gridCol w:w="1328"/>
            <w:gridCol w:w="988"/>
            <w:gridCol w:w="971"/>
            <w:gridCol w:w="1799"/>
            <w:gridCol w:w="685"/>
          </w:tblGrid>
          <w:tr w:rsidR="33B62C26" w14:paraId="08E20301" w14:textId="77777777" w:rsidTr="006F410F">
            <w:trPr>
              <w:trHeight w:val="258"/>
              <w:tblHeader/>
            </w:trPr>
            <w:tc>
              <w:tcPr>
                <w:tcW w:w="4526" w:type="dxa"/>
                <w:gridSpan w:val="3"/>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7F7225BD" w14:textId="34CC9062" w:rsidR="33B62C26" w:rsidRDefault="33B62C26" w:rsidP="33B62C26">
                <w:pPr>
                  <w:spacing w:after="0"/>
                  <w:ind w:left="-20" w:right="-20"/>
                  <w:jc w:val="center"/>
                </w:pPr>
                <w:r w:rsidRPr="33B62C26">
                  <w:rPr>
                    <w:rFonts w:ascii="Times New Roman" w:eastAsia="Times New Roman" w:hAnsi="Times New Roman"/>
                    <w:b/>
                    <w:bCs/>
                    <w:color w:val="000000" w:themeColor="text1"/>
                    <w:sz w:val="14"/>
                    <w:szCs w:val="14"/>
                  </w:rPr>
                  <w:t>ASOCIACIÓN DE DATOS</w:t>
                </w:r>
              </w:p>
            </w:tc>
            <w:tc>
              <w:tcPr>
                <w:tcW w:w="4443" w:type="dxa"/>
                <w:gridSpan w:val="4"/>
                <w:tcBorders>
                  <w:top w:val="single" w:sz="8" w:space="0" w:color="A6A6A6" w:themeColor="background1" w:themeShade="A6"/>
                  <w:left w:val="nil"/>
                  <w:bottom w:val="single" w:sz="8" w:space="0" w:color="A6A6A6" w:themeColor="background1" w:themeShade="A6"/>
                  <w:right w:val="nil"/>
                </w:tcBorders>
                <w:tcMar>
                  <w:left w:w="70" w:type="dxa"/>
                  <w:right w:w="70" w:type="dxa"/>
                </w:tcMar>
                <w:vAlign w:val="center"/>
              </w:tcPr>
              <w:p w14:paraId="2CB85551" w14:textId="1486B772" w:rsidR="33B62C26" w:rsidRDefault="33B62C26" w:rsidP="33B62C26">
                <w:pPr>
                  <w:spacing w:after="0"/>
                  <w:ind w:left="-20" w:right="-20"/>
                  <w:jc w:val="center"/>
                </w:pPr>
                <w:r w:rsidRPr="33B62C26">
                  <w:rPr>
                    <w:rFonts w:ascii="Times New Roman" w:eastAsia="Times New Roman" w:hAnsi="Times New Roman"/>
                    <w:b/>
                    <w:bCs/>
                    <w:color w:val="000000" w:themeColor="text1"/>
                    <w:sz w:val="14"/>
                    <w:szCs w:val="14"/>
                  </w:rPr>
                  <w:t>DETALLES DE LA TRANSACCIÓN</w:t>
                </w:r>
                <w:r>
                  <w:br/>
                </w:r>
                <w:r w:rsidRPr="33B62C26">
                  <w:rPr>
                    <w:rFonts w:ascii="Times New Roman" w:eastAsia="Times New Roman" w:hAnsi="Times New Roman"/>
                    <w:b/>
                    <w:bCs/>
                    <w:color w:val="000000" w:themeColor="text1"/>
                    <w:sz w:val="14"/>
                    <w:szCs w:val="14"/>
                  </w:rPr>
                  <w:t xml:space="preserve"> (reporte agrupado por datos comunes de asociación)</w:t>
                </w:r>
              </w:p>
            </w:tc>
          </w:tr>
          <w:tr w:rsidR="33B62C26" w14:paraId="508FF376" w14:textId="77777777" w:rsidTr="006F410F">
            <w:trPr>
              <w:trHeight w:val="320"/>
              <w:tblHeader/>
            </w:trPr>
            <w:tc>
              <w:tcPr>
                <w:tcW w:w="4526" w:type="dxa"/>
                <w:gridSpan w:val="3"/>
                <w:vMerge/>
                <w:tcBorders>
                  <w:left w:val="single" w:sz="0" w:space="0" w:color="A6A6A6" w:themeColor="background1" w:themeShade="A6"/>
                  <w:bottom w:val="single" w:sz="0" w:space="0" w:color="A6A6A6" w:themeColor="background1" w:themeShade="A6"/>
                  <w:right w:val="single" w:sz="0" w:space="0" w:color="A6A6A6" w:themeColor="background1" w:themeShade="A6"/>
                </w:tcBorders>
                <w:vAlign w:val="center"/>
              </w:tcPr>
              <w:p w14:paraId="7B4DFE3C" w14:textId="77777777" w:rsidR="005937E2" w:rsidRDefault="005937E2"/>
            </w:tc>
            <w:tc>
              <w:tcPr>
                <w:tcW w:w="1959" w:type="dxa"/>
                <w:gridSpan w:val="2"/>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Mar>
                  <w:left w:w="70" w:type="dxa"/>
                  <w:right w:w="70" w:type="dxa"/>
                </w:tcMar>
                <w:vAlign w:val="center"/>
              </w:tcPr>
              <w:p w14:paraId="6022A8CA" w14:textId="6F24A8DC" w:rsidR="33B62C26" w:rsidRDefault="33B62C26" w:rsidP="33B62C26">
                <w:pPr>
                  <w:spacing w:after="0"/>
                  <w:ind w:left="-20" w:right="-20"/>
                  <w:jc w:val="center"/>
                </w:pPr>
                <w:r w:rsidRPr="33B62C26">
                  <w:rPr>
                    <w:rFonts w:ascii="Times New Roman" w:eastAsia="Times New Roman" w:hAnsi="Times New Roman"/>
                    <w:b/>
                    <w:bCs/>
                    <w:color w:val="000000" w:themeColor="text1"/>
                    <w:sz w:val="14"/>
                    <w:szCs w:val="14"/>
                  </w:rPr>
                  <w:t>PLAZO</w:t>
                </w:r>
                <w:r>
                  <w:br/>
                </w:r>
                <w:r w:rsidRPr="33B62C26">
                  <w:rPr>
                    <w:rFonts w:ascii="Times New Roman" w:eastAsia="Times New Roman" w:hAnsi="Times New Roman"/>
                    <w:b/>
                    <w:bCs/>
                    <w:color w:val="000000" w:themeColor="text1"/>
                    <w:sz w:val="14"/>
                    <w:szCs w:val="14"/>
                  </w:rPr>
                  <w:t xml:space="preserve"> (rango en # meses)</w:t>
                </w:r>
              </w:p>
            </w:tc>
            <w:tc>
              <w:tcPr>
                <w:tcW w:w="1799" w:type="dxa"/>
                <w:vMerge w:val="restart"/>
                <w:tcBorders>
                  <w:top w:val="nil"/>
                  <w:left w:val="nil"/>
                  <w:bottom w:val="single" w:sz="8" w:space="0" w:color="A6A6A6" w:themeColor="background1" w:themeShade="A6"/>
                  <w:right w:val="single" w:sz="8" w:space="0" w:color="A6A6A6" w:themeColor="background1" w:themeShade="A6"/>
                </w:tcBorders>
                <w:tcMar>
                  <w:left w:w="70" w:type="dxa"/>
                  <w:right w:w="70" w:type="dxa"/>
                </w:tcMar>
                <w:vAlign w:val="center"/>
              </w:tcPr>
              <w:p w14:paraId="381D481D" w14:textId="73A891F6" w:rsidR="33B62C26" w:rsidRDefault="33B62C26" w:rsidP="33B62C26">
                <w:pPr>
                  <w:spacing w:after="0"/>
                  <w:ind w:left="-20" w:right="-20"/>
                  <w:jc w:val="center"/>
                </w:pPr>
                <w:r w:rsidRPr="33B62C26">
                  <w:rPr>
                    <w:rFonts w:ascii="Times New Roman" w:eastAsia="Times New Roman" w:hAnsi="Times New Roman"/>
                    <w:b/>
                    <w:bCs/>
                    <w:color w:val="000000" w:themeColor="text1"/>
                    <w:sz w:val="14"/>
                    <w:szCs w:val="14"/>
                  </w:rPr>
                  <w:t>DETALLE DE LAS CONDICIONES DE LA CUENTA POR PAGAR</w:t>
                </w:r>
              </w:p>
            </w:tc>
            <w:tc>
              <w:tcPr>
                <w:tcW w:w="685" w:type="dxa"/>
                <w:vMerge w:val="restart"/>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188E3E78" w14:textId="0EA59884" w:rsidR="33B62C26" w:rsidRDefault="33B62C26" w:rsidP="33B62C26">
                <w:pPr>
                  <w:spacing w:after="0"/>
                  <w:ind w:left="-20" w:right="-20"/>
                  <w:jc w:val="center"/>
                </w:pPr>
                <w:r w:rsidRPr="33B62C26">
                  <w:rPr>
                    <w:rFonts w:ascii="Times New Roman" w:eastAsia="Times New Roman" w:hAnsi="Times New Roman"/>
                    <w:b/>
                    <w:bCs/>
                    <w:color w:val="000000" w:themeColor="text1"/>
                    <w:sz w:val="14"/>
                    <w:szCs w:val="14"/>
                  </w:rPr>
                  <w:t>TASA DE INTERES</w:t>
                </w:r>
                <w:r>
                  <w:br/>
                </w:r>
                <w:r w:rsidRPr="33B62C26">
                  <w:rPr>
                    <w:rFonts w:ascii="Times New Roman" w:eastAsia="Times New Roman" w:hAnsi="Times New Roman"/>
                    <w:b/>
                    <w:bCs/>
                    <w:color w:val="000000" w:themeColor="text1"/>
                    <w:sz w:val="14"/>
                    <w:szCs w:val="14"/>
                  </w:rPr>
                  <w:t xml:space="preserve"> (%)</w:t>
                </w:r>
              </w:p>
            </w:tc>
          </w:tr>
          <w:tr w:rsidR="33B62C26" w14:paraId="3FD43FCF" w14:textId="77777777" w:rsidTr="006F410F">
            <w:trPr>
              <w:trHeight w:val="240"/>
              <w:tblHeader/>
            </w:trPr>
            <w:tc>
              <w:tcPr>
                <w:tcW w:w="869"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581F8DD" w14:textId="2BFEA242" w:rsidR="33B62C26" w:rsidRDefault="33B62C26" w:rsidP="33B62C26">
                <w:pPr>
                  <w:spacing w:after="0"/>
                  <w:ind w:left="-20" w:right="-20"/>
                  <w:jc w:val="center"/>
                </w:pPr>
                <w:r w:rsidRPr="33B62C26">
                  <w:rPr>
                    <w:rFonts w:ascii="Times New Roman" w:eastAsia="Times New Roman" w:hAnsi="Times New Roman"/>
                    <w:b/>
                    <w:bCs/>
                    <w:color w:val="000000" w:themeColor="text1"/>
                    <w:sz w:val="14"/>
                    <w:szCs w:val="14"/>
                  </w:rPr>
                  <w:t>NIT/CC</w:t>
                </w:r>
              </w:p>
            </w:tc>
            <w:tc>
              <w:tcPr>
                <w:tcW w:w="2329"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7BE8FA7" w14:textId="5E060009" w:rsidR="33B62C26" w:rsidRDefault="33B62C26" w:rsidP="33B62C26">
                <w:pPr>
                  <w:spacing w:after="0"/>
                  <w:ind w:left="-20" w:right="-20"/>
                  <w:jc w:val="center"/>
                </w:pPr>
                <w:r w:rsidRPr="33B62C26">
                  <w:rPr>
                    <w:rFonts w:ascii="Times New Roman" w:eastAsia="Times New Roman" w:hAnsi="Times New Roman"/>
                    <w:b/>
                    <w:bCs/>
                    <w:color w:val="000000" w:themeColor="text1"/>
                    <w:sz w:val="14"/>
                    <w:szCs w:val="14"/>
                  </w:rPr>
                  <w:t>RAZÓN SOCIAL</w:t>
                </w:r>
              </w:p>
            </w:tc>
            <w:tc>
              <w:tcPr>
                <w:tcW w:w="1328"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4A0543E6" w14:textId="0B7D6022" w:rsidR="33B62C26" w:rsidRDefault="33B62C26" w:rsidP="33B62C26">
                <w:pPr>
                  <w:spacing w:after="0"/>
                  <w:ind w:left="-20" w:right="-20"/>
                  <w:jc w:val="center"/>
                </w:pPr>
                <w:r w:rsidRPr="33B62C26">
                  <w:rPr>
                    <w:rFonts w:ascii="Times New Roman" w:eastAsia="Times New Roman" w:hAnsi="Times New Roman"/>
                    <w:b/>
                    <w:bCs/>
                    <w:color w:val="000000" w:themeColor="text1"/>
                    <w:sz w:val="14"/>
                    <w:szCs w:val="14"/>
                  </w:rPr>
                  <w:t xml:space="preserve"> VALOR EN LIBROS </w:t>
                </w:r>
              </w:p>
            </w:tc>
            <w:tc>
              <w:tcPr>
                <w:tcW w:w="9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24CCAB9E" w14:textId="77E9175E" w:rsidR="33B62C26" w:rsidRDefault="33B62C26" w:rsidP="33B62C26">
                <w:pPr>
                  <w:spacing w:after="0"/>
                  <w:ind w:left="-20" w:right="-20"/>
                  <w:jc w:val="center"/>
                </w:pPr>
                <w:r w:rsidRPr="33B62C26">
                  <w:rPr>
                    <w:rFonts w:ascii="Times New Roman" w:eastAsia="Times New Roman" w:hAnsi="Times New Roman"/>
                    <w:b/>
                    <w:bCs/>
                    <w:color w:val="000000" w:themeColor="text1"/>
                    <w:sz w:val="14"/>
                    <w:szCs w:val="14"/>
                  </w:rPr>
                  <w:t>MÍNIMO</w:t>
                </w:r>
              </w:p>
            </w:tc>
            <w:tc>
              <w:tcPr>
                <w:tcW w:w="971"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7001A97D" w14:textId="6DE66F57" w:rsidR="33B62C26" w:rsidRDefault="33B62C26" w:rsidP="33B62C26">
                <w:pPr>
                  <w:spacing w:after="0"/>
                  <w:ind w:left="-20" w:right="-20"/>
                  <w:jc w:val="center"/>
                </w:pPr>
                <w:r w:rsidRPr="33B62C26">
                  <w:rPr>
                    <w:rFonts w:ascii="Times New Roman" w:eastAsia="Times New Roman" w:hAnsi="Times New Roman"/>
                    <w:b/>
                    <w:bCs/>
                    <w:color w:val="000000" w:themeColor="text1"/>
                    <w:sz w:val="14"/>
                    <w:szCs w:val="14"/>
                  </w:rPr>
                  <w:t>MÁXIMO</w:t>
                </w:r>
              </w:p>
            </w:tc>
            <w:tc>
              <w:tcPr>
                <w:tcW w:w="1799" w:type="dxa"/>
                <w:vMerge/>
                <w:tcBorders>
                  <w:left w:val="nil"/>
                  <w:bottom w:val="single" w:sz="0" w:space="0" w:color="A6A6A6" w:themeColor="background1" w:themeShade="A6"/>
                  <w:right w:val="single" w:sz="0" w:space="0" w:color="A6A6A6" w:themeColor="background1" w:themeShade="A6"/>
                </w:tcBorders>
                <w:vAlign w:val="center"/>
              </w:tcPr>
              <w:p w14:paraId="46510559" w14:textId="77777777" w:rsidR="005937E2" w:rsidRDefault="005937E2"/>
            </w:tc>
            <w:tc>
              <w:tcPr>
                <w:tcW w:w="685" w:type="dxa"/>
                <w:vMerge/>
                <w:tcBorders>
                  <w:left w:val="single" w:sz="0" w:space="0" w:color="A6A6A6" w:themeColor="background1" w:themeShade="A6"/>
                  <w:bottom w:val="single" w:sz="0" w:space="0" w:color="A6A6A6" w:themeColor="background1" w:themeShade="A6"/>
                  <w:right w:val="single" w:sz="0" w:space="0" w:color="A6A6A6" w:themeColor="background1" w:themeShade="A6"/>
                </w:tcBorders>
                <w:vAlign w:val="center"/>
              </w:tcPr>
              <w:p w14:paraId="4C47D893" w14:textId="77777777" w:rsidR="005937E2" w:rsidRDefault="005937E2"/>
            </w:tc>
          </w:tr>
          <w:tr w:rsidR="33B62C26" w14:paraId="0B93F4CA" w14:textId="77777777" w:rsidTr="006F410F">
            <w:trPr>
              <w:trHeight w:val="68"/>
            </w:trPr>
            <w:tc>
              <w:tcPr>
                <w:tcW w:w="3198" w:type="dxa"/>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6432CD65" w14:textId="14EE17E0" w:rsidR="33B62C26" w:rsidRDefault="33B62C26" w:rsidP="33B62C26">
                <w:pPr>
                  <w:spacing w:after="0"/>
                  <w:ind w:left="-20" w:right="-20"/>
                  <w:jc w:val="center"/>
                </w:pPr>
                <w:r w:rsidRPr="33B62C26">
                  <w:rPr>
                    <w:rFonts w:ascii="Times New Roman" w:eastAsia="Times New Roman" w:hAnsi="Times New Roman"/>
                    <w:b/>
                    <w:bCs/>
                    <w:color w:val="000000" w:themeColor="text1"/>
                    <w:sz w:val="14"/>
                    <w:szCs w:val="14"/>
                  </w:rPr>
                  <w:t>LAUDOS ARBITRALES E INTERESES</w:t>
                </w:r>
              </w:p>
            </w:tc>
            <w:tc>
              <w:tcPr>
                <w:tcW w:w="1328" w:type="dxa"/>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Mar>
                  <w:left w:w="70" w:type="dxa"/>
                  <w:right w:w="70" w:type="dxa"/>
                </w:tcMar>
                <w:vAlign w:val="center"/>
              </w:tcPr>
              <w:p w14:paraId="5A2C9292" w14:textId="1B73B417" w:rsidR="33B62C26" w:rsidRDefault="33B62C26" w:rsidP="33B62C26">
                <w:pPr>
                  <w:spacing w:after="0"/>
                  <w:ind w:left="-20" w:right="-20"/>
                </w:pPr>
                <w:r w:rsidRPr="33B62C26">
                  <w:rPr>
                    <w:rFonts w:ascii="Times New Roman" w:eastAsia="Times New Roman" w:hAnsi="Times New Roman"/>
                    <w:b/>
                    <w:bCs/>
                    <w:color w:val="000000" w:themeColor="text1"/>
                    <w:sz w:val="14"/>
                    <w:szCs w:val="14"/>
                  </w:rPr>
                  <w:t xml:space="preserve">           1.761.639.373.680 </w:t>
                </w:r>
              </w:p>
            </w:tc>
            <w:tc>
              <w:tcPr>
                <w:tcW w:w="9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5580111A" w14:textId="3AEA0317" w:rsidR="33B62C26" w:rsidRDefault="33B62C26" w:rsidP="33B62C26">
                <w:pPr>
                  <w:spacing w:after="0"/>
                  <w:ind w:left="-20" w:right="-20"/>
                  <w:jc w:val="center"/>
                </w:pPr>
                <w:r w:rsidRPr="33B62C26">
                  <w:rPr>
                    <w:rFonts w:ascii="Times New Roman" w:eastAsia="Times New Roman" w:hAnsi="Times New Roman"/>
                    <w:b/>
                    <w:bCs/>
                    <w:color w:val="000000" w:themeColor="text1"/>
                    <w:sz w:val="14"/>
                    <w:szCs w:val="14"/>
                  </w:rPr>
                  <w:t xml:space="preserve"> </w:t>
                </w:r>
              </w:p>
            </w:tc>
            <w:tc>
              <w:tcPr>
                <w:tcW w:w="97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75158F70" w14:textId="2B59BF67" w:rsidR="33B62C26" w:rsidRDefault="33B62C26" w:rsidP="33B62C26">
                <w:pPr>
                  <w:spacing w:after="0"/>
                  <w:ind w:left="-20" w:right="-20"/>
                  <w:jc w:val="center"/>
                </w:pPr>
                <w:r w:rsidRPr="33B62C26">
                  <w:rPr>
                    <w:rFonts w:ascii="Times New Roman" w:eastAsia="Times New Roman" w:hAnsi="Times New Roman"/>
                    <w:b/>
                    <w:bCs/>
                    <w:color w:val="000000" w:themeColor="text1"/>
                    <w:sz w:val="14"/>
                    <w:szCs w:val="14"/>
                  </w:rPr>
                  <w:t xml:space="preserve"> </w:t>
                </w:r>
              </w:p>
            </w:tc>
            <w:tc>
              <w:tcPr>
                <w:tcW w:w="1799"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BADBAAE" w14:textId="4AE4077D" w:rsidR="33B62C26" w:rsidRDefault="33B62C26" w:rsidP="33B62C26">
                <w:pPr>
                  <w:spacing w:after="0"/>
                  <w:ind w:left="-20" w:right="-20"/>
                  <w:jc w:val="center"/>
                </w:pPr>
                <w:r w:rsidRPr="33B62C26">
                  <w:rPr>
                    <w:rFonts w:ascii="Times New Roman" w:eastAsia="Times New Roman" w:hAnsi="Times New Roman"/>
                    <w:b/>
                    <w:bCs/>
                    <w:color w:val="000000" w:themeColor="text1"/>
                    <w:sz w:val="14"/>
                    <w:szCs w:val="14"/>
                  </w:rPr>
                  <w:t xml:space="preserve"> </w:t>
                </w:r>
              </w:p>
            </w:tc>
            <w:tc>
              <w:tcPr>
                <w:tcW w:w="685"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62567BA5" w14:textId="1CBC5399" w:rsidR="33B62C26" w:rsidRDefault="33B62C26" w:rsidP="33B62C26">
                <w:pPr>
                  <w:spacing w:after="0"/>
                  <w:ind w:left="-20" w:right="-20"/>
                  <w:jc w:val="center"/>
                </w:pPr>
                <w:r w:rsidRPr="33B62C26">
                  <w:rPr>
                    <w:rFonts w:ascii="Times New Roman" w:eastAsia="Times New Roman" w:hAnsi="Times New Roman"/>
                    <w:b/>
                    <w:bCs/>
                    <w:color w:val="000000" w:themeColor="text1"/>
                    <w:sz w:val="14"/>
                    <w:szCs w:val="14"/>
                  </w:rPr>
                  <w:t xml:space="preserve"> </w:t>
                </w:r>
              </w:p>
            </w:tc>
          </w:tr>
          <w:tr w:rsidR="33B62C26" w14:paraId="32480A0C" w14:textId="77777777" w:rsidTr="006F410F">
            <w:trPr>
              <w:trHeight w:val="129"/>
            </w:trPr>
            <w:tc>
              <w:tcPr>
                <w:tcW w:w="3198" w:type="dxa"/>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69B0A933" w14:textId="3D70203F" w:rsidR="33B62C26" w:rsidRDefault="33B62C26" w:rsidP="33B62C26">
                <w:pPr>
                  <w:spacing w:after="0"/>
                  <w:ind w:left="-20" w:right="-20"/>
                  <w:jc w:val="center"/>
                </w:pPr>
                <w:r w:rsidRPr="33B62C26">
                  <w:rPr>
                    <w:rFonts w:ascii="Times New Roman" w:eastAsia="Times New Roman" w:hAnsi="Times New Roman"/>
                    <w:b/>
                    <w:bCs/>
                    <w:color w:val="000000" w:themeColor="text1"/>
                    <w:sz w:val="14"/>
                    <w:szCs w:val="14"/>
                  </w:rPr>
                  <w:t xml:space="preserve">i) Laudos arbitrales ejecutoriados </w:t>
                </w:r>
              </w:p>
            </w:tc>
            <w:tc>
              <w:tcPr>
                <w:tcW w:w="1328" w:type="dxa"/>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Mar>
                  <w:left w:w="70" w:type="dxa"/>
                  <w:right w:w="70" w:type="dxa"/>
                </w:tcMar>
                <w:vAlign w:val="center"/>
              </w:tcPr>
              <w:p w14:paraId="6A058193" w14:textId="767E27F9" w:rsidR="33B62C26" w:rsidRDefault="33B62C26" w:rsidP="33B62C26">
                <w:pPr>
                  <w:spacing w:after="0"/>
                  <w:ind w:left="-20" w:right="-20"/>
                </w:pPr>
                <w:r w:rsidRPr="33B62C26">
                  <w:rPr>
                    <w:rFonts w:ascii="Times New Roman" w:eastAsia="Times New Roman" w:hAnsi="Times New Roman"/>
                    <w:b/>
                    <w:bCs/>
                    <w:color w:val="000000" w:themeColor="text1"/>
                    <w:sz w:val="14"/>
                    <w:szCs w:val="14"/>
                  </w:rPr>
                  <w:t xml:space="preserve">           1.758.176.498.467 </w:t>
                </w:r>
              </w:p>
            </w:tc>
            <w:tc>
              <w:tcPr>
                <w:tcW w:w="9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4651033B" w14:textId="73563AC0" w:rsidR="33B62C26" w:rsidRDefault="33B62C26" w:rsidP="33B62C26">
                <w:pPr>
                  <w:spacing w:after="0"/>
                  <w:ind w:left="-20" w:right="-20"/>
                </w:pPr>
                <w:r w:rsidRPr="33B62C26">
                  <w:rPr>
                    <w:rFonts w:ascii="Times New Roman" w:eastAsia="Times New Roman" w:hAnsi="Times New Roman"/>
                    <w:b/>
                    <w:bCs/>
                    <w:color w:val="000000" w:themeColor="text1"/>
                    <w:sz w:val="14"/>
                    <w:szCs w:val="14"/>
                  </w:rPr>
                  <w:t xml:space="preserve"> </w:t>
                </w:r>
              </w:p>
            </w:tc>
            <w:tc>
              <w:tcPr>
                <w:tcW w:w="97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2B77169" w14:textId="1C76EAA3" w:rsidR="33B62C26" w:rsidRDefault="33B62C26" w:rsidP="33B62C26">
                <w:pPr>
                  <w:spacing w:after="0"/>
                  <w:ind w:left="-20" w:right="-20"/>
                  <w:jc w:val="center"/>
                </w:pPr>
                <w:r w:rsidRPr="33B62C26">
                  <w:rPr>
                    <w:rFonts w:ascii="Times New Roman" w:eastAsia="Times New Roman" w:hAnsi="Times New Roman"/>
                    <w:b/>
                    <w:bCs/>
                    <w:color w:val="000000" w:themeColor="text1"/>
                    <w:sz w:val="14"/>
                    <w:szCs w:val="14"/>
                  </w:rPr>
                  <w:t xml:space="preserve"> </w:t>
                </w:r>
              </w:p>
            </w:tc>
            <w:tc>
              <w:tcPr>
                <w:tcW w:w="179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13C571B" w14:textId="34ED79C1" w:rsidR="33B62C26" w:rsidRDefault="33B62C26" w:rsidP="33B62C26">
                <w:pPr>
                  <w:spacing w:after="0"/>
                  <w:ind w:left="-20" w:right="-20"/>
                </w:pPr>
                <w:r w:rsidRPr="33B62C26">
                  <w:rPr>
                    <w:rFonts w:ascii="Times New Roman" w:eastAsia="Times New Roman" w:hAnsi="Times New Roman"/>
                    <w:b/>
                    <w:bCs/>
                    <w:color w:val="000000" w:themeColor="text1"/>
                    <w:sz w:val="14"/>
                    <w:szCs w:val="14"/>
                  </w:rPr>
                  <w:t xml:space="preserve"> </w:t>
                </w:r>
              </w:p>
            </w:tc>
            <w:tc>
              <w:tcPr>
                <w:tcW w:w="6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65DE52F" w14:textId="74A267AD" w:rsidR="33B62C26" w:rsidRDefault="33B62C26" w:rsidP="33B62C26">
                <w:pPr>
                  <w:spacing w:after="0"/>
                  <w:ind w:left="-20" w:right="-20"/>
                  <w:jc w:val="center"/>
                </w:pPr>
                <w:r w:rsidRPr="33B62C26">
                  <w:rPr>
                    <w:rFonts w:ascii="Times New Roman" w:eastAsia="Times New Roman" w:hAnsi="Times New Roman"/>
                    <w:b/>
                    <w:bCs/>
                    <w:color w:val="000000" w:themeColor="text1"/>
                    <w:sz w:val="14"/>
                    <w:szCs w:val="14"/>
                  </w:rPr>
                  <w:t xml:space="preserve"> </w:t>
                </w:r>
              </w:p>
            </w:tc>
          </w:tr>
          <w:tr w:rsidR="33B62C26" w14:paraId="6BAD3EA5" w14:textId="77777777" w:rsidTr="33B62C26">
            <w:trPr>
              <w:trHeight w:val="900"/>
            </w:trPr>
            <w:tc>
              <w:tcPr>
                <w:tcW w:w="86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1A521032" w14:textId="1A27B5B6" w:rsidR="33B62C26" w:rsidRDefault="33B62C26" w:rsidP="33B62C26">
                <w:pPr>
                  <w:spacing w:after="0"/>
                  <w:ind w:left="-20" w:right="-20"/>
                  <w:jc w:val="right"/>
                </w:pPr>
                <w:r w:rsidRPr="33B62C26">
                  <w:rPr>
                    <w:rFonts w:ascii="Times New Roman" w:eastAsia="Times New Roman" w:hAnsi="Times New Roman"/>
                    <w:color w:val="000000" w:themeColor="text1"/>
                    <w:sz w:val="14"/>
                    <w:szCs w:val="14"/>
                  </w:rPr>
                  <w:t>830059605</w:t>
                </w:r>
              </w:p>
            </w:tc>
            <w:tc>
              <w:tcPr>
                <w:tcW w:w="2329"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51568608" w14:textId="1307F153" w:rsidR="33B62C26" w:rsidRDefault="33B62C26" w:rsidP="33B62C26">
                <w:pPr>
                  <w:spacing w:after="0"/>
                  <w:ind w:left="-20" w:right="-20"/>
                  <w:jc w:val="center"/>
                </w:pPr>
                <w:r w:rsidRPr="33B62C26">
                  <w:rPr>
                    <w:rFonts w:ascii="Times New Roman" w:eastAsia="Times New Roman" w:hAnsi="Times New Roman"/>
                    <w:color w:val="000000" w:themeColor="text1"/>
                    <w:sz w:val="14"/>
                    <w:szCs w:val="14"/>
                  </w:rPr>
                  <w:t>UNION TEMPORAL DESARROLLO VIAL DEL VALLE DEL CAUCA Y CAUCA</w:t>
                </w:r>
              </w:p>
            </w:tc>
            <w:tc>
              <w:tcPr>
                <w:tcW w:w="132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24D47403" w14:textId="51FB581B" w:rsidR="33B62C26" w:rsidRDefault="33B62C26" w:rsidP="33B62C26">
                <w:pPr>
                  <w:spacing w:after="0"/>
                  <w:ind w:left="-20" w:right="-20"/>
                </w:pPr>
                <w:r w:rsidRPr="33B62C26">
                  <w:rPr>
                    <w:rFonts w:ascii="Times New Roman" w:eastAsia="Times New Roman" w:hAnsi="Times New Roman"/>
                    <w:color w:val="000000" w:themeColor="text1"/>
                    <w:sz w:val="14"/>
                    <w:szCs w:val="14"/>
                  </w:rPr>
                  <w:t xml:space="preserve">                            1.253.437.112.859 </w:t>
                </w:r>
              </w:p>
            </w:tc>
            <w:tc>
              <w:tcPr>
                <w:tcW w:w="9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CD9C782" w14:textId="0F4E3F84" w:rsidR="33B62C26" w:rsidRDefault="33B62C26" w:rsidP="33B62C26">
                <w:pPr>
                  <w:spacing w:after="0"/>
                  <w:ind w:left="-20" w:right="-20"/>
                  <w:jc w:val="center"/>
                </w:pPr>
                <w:r w:rsidRPr="33B62C26">
                  <w:rPr>
                    <w:rFonts w:ascii="Times New Roman" w:eastAsia="Times New Roman" w:hAnsi="Times New Roman"/>
                    <w:color w:val="000000" w:themeColor="text1"/>
                    <w:sz w:val="14"/>
                    <w:szCs w:val="14"/>
                  </w:rPr>
                  <w:t>1</w:t>
                </w:r>
              </w:p>
            </w:tc>
            <w:tc>
              <w:tcPr>
                <w:tcW w:w="97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489A110E" w14:textId="12E1A125" w:rsidR="33B62C26" w:rsidRDefault="33B62C26" w:rsidP="33B62C26">
                <w:pPr>
                  <w:spacing w:after="0"/>
                  <w:ind w:left="-20" w:right="-20"/>
                  <w:jc w:val="center"/>
                </w:pPr>
                <w:r w:rsidRPr="33B62C26">
                  <w:rPr>
                    <w:rFonts w:ascii="Times New Roman" w:eastAsia="Times New Roman" w:hAnsi="Times New Roman"/>
                    <w:color w:val="000000" w:themeColor="text1"/>
                    <w:sz w:val="14"/>
                    <w:szCs w:val="14"/>
                  </w:rPr>
                  <w:t>10</w:t>
                </w:r>
              </w:p>
            </w:tc>
            <w:tc>
              <w:tcPr>
                <w:tcW w:w="179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9DABBB4" w14:textId="653B32EC" w:rsidR="33B62C26" w:rsidRDefault="33B62C26" w:rsidP="33B62C26">
                <w:pPr>
                  <w:spacing w:after="0"/>
                  <w:ind w:left="-20" w:right="-20"/>
                  <w:jc w:val="center"/>
                </w:pPr>
                <w:r w:rsidRPr="33B62C26">
                  <w:rPr>
                    <w:rFonts w:ascii="Times New Roman" w:eastAsia="Times New Roman" w:hAnsi="Times New Roman"/>
                    <w:color w:val="000000" w:themeColor="text1"/>
                    <w:sz w:val="14"/>
                    <w:szCs w:val="14"/>
                  </w:rPr>
                  <w:t>El marco de referencia inicial que el tribunal señala, está constituido por los artículos 192 y 195 del Código de Procedimiento Administrativo y de lo Contencioso Administrativo.</w:t>
                </w:r>
              </w:p>
            </w:tc>
            <w:tc>
              <w:tcPr>
                <w:tcW w:w="6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68B7B9BC" w14:textId="224AAC76" w:rsidR="33B62C26" w:rsidRDefault="33B62C26" w:rsidP="33B62C26">
                <w:pPr>
                  <w:spacing w:after="0"/>
                  <w:ind w:left="-20" w:right="-20"/>
                  <w:jc w:val="center"/>
                </w:pPr>
                <w:r w:rsidRPr="33B62C26">
                  <w:rPr>
                    <w:rFonts w:ascii="Times New Roman" w:eastAsia="Times New Roman" w:hAnsi="Times New Roman"/>
                    <w:color w:val="000000" w:themeColor="text1"/>
                    <w:sz w:val="14"/>
                    <w:szCs w:val="14"/>
                  </w:rPr>
                  <w:t>DTF</w:t>
                </w:r>
              </w:p>
            </w:tc>
          </w:tr>
          <w:tr w:rsidR="33B62C26" w14:paraId="54B5E81A" w14:textId="77777777" w:rsidTr="33B62C26">
            <w:trPr>
              <w:trHeight w:val="1260"/>
            </w:trPr>
            <w:tc>
              <w:tcPr>
                <w:tcW w:w="86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6AF550D9" w14:textId="55860471" w:rsidR="33B62C26" w:rsidRPr="006F410F" w:rsidRDefault="33B62C26" w:rsidP="33B62C26">
                <w:pPr>
                  <w:spacing w:after="0"/>
                  <w:ind w:left="-20" w:right="-20"/>
                  <w:jc w:val="right"/>
                </w:pPr>
                <w:r w:rsidRPr="006F410F">
                  <w:rPr>
                    <w:rFonts w:ascii="Times New Roman" w:eastAsia="Times New Roman" w:hAnsi="Times New Roman"/>
                    <w:color w:val="000000" w:themeColor="text1"/>
                    <w:sz w:val="14"/>
                    <w:szCs w:val="14"/>
                  </w:rPr>
                  <w:t>900330374</w:t>
                </w:r>
              </w:p>
            </w:tc>
            <w:tc>
              <w:tcPr>
                <w:tcW w:w="232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75DFA349" w14:textId="442F4BCD" w:rsidR="33B62C26" w:rsidRPr="006F410F" w:rsidRDefault="33B62C26" w:rsidP="33B62C26">
                <w:pPr>
                  <w:spacing w:after="0"/>
                  <w:ind w:left="-20" w:right="-20"/>
                  <w:jc w:val="center"/>
                </w:pPr>
                <w:r w:rsidRPr="006F410F">
                  <w:rPr>
                    <w:rFonts w:ascii="Times New Roman" w:eastAsia="Times New Roman" w:hAnsi="Times New Roman"/>
                    <w:color w:val="000000" w:themeColor="text1"/>
                    <w:sz w:val="14"/>
                    <w:szCs w:val="14"/>
                  </w:rPr>
                  <w:t>CONSORCIO VIAL HELIOS</w:t>
                </w:r>
              </w:p>
            </w:tc>
            <w:tc>
              <w:tcPr>
                <w:tcW w:w="132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5C340DF" w14:textId="3CF7676B" w:rsidR="33B62C26" w:rsidRPr="006F410F" w:rsidRDefault="33B62C26" w:rsidP="33B62C26">
                <w:pPr>
                  <w:spacing w:after="0"/>
                  <w:ind w:left="-20" w:right="-20"/>
                </w:pPr>
                <w:r w:rsidRPr="006F410F">
                  <w:rPr>
                    <w:rFonts w:ascii="Times New Roman" w:eastAsia="Times New Roman" w:hAnsi="Times New Roman"/>
                    <w:color w:val="000000" w:themeColor="text1"/>
                    <w:sz w:val="14"/>
                    <w:szCs w:val="14"/>
                  </w:rPr>
                  <w:t xml:space="preserve">                              160.466.368.271 </w:t>
                </w:r>
              </w:p>
            </w:tc>
            <w:tc>
              <w:tcPr>
                <w:tcW w:w="988" w:type="dxa"/>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tcMar>
                  <w:left w:w="70" w:type="dxa"/>
                  <w:right w:w="70" w:type="dxa"/>
                </w:tcMar>
                <w:vAlign w:val="center"/>
              </w:tcPr>
              <w:p w14:paraId="2956DADA" w14:textId="696B03FD" w:rsidR="33B62C26" w:rsidRPr="006F410F" w:rsidRDefault="33B62C26" w:rsidP="33B62C26">
                <w:pPr>
                  <w:spacing w:after="0"/>
                  <w:ind w:left="-20" w:right="-20"/>
                  <w:jc w:val="center"/>
                </w:pPr>
                <w:r w:rsidRPr="006F410F">
                  <w:rPr>
                    <w:rFonts w:ascii="Times New Roman" w:eastAsia="Times New Roman" w:hAnsi="Times New Roman"/>
                    <w:color w:val="000000" w:themeColor="text1"/>
                    <w:sz w:val="14"/>
                    <w:szCs w:val="14"/>
                  </w:rPr>
                  <w:t>1</w:t>
                </w:r>
              </w:p>
            </w:tc>
            <w:tc>
              <w:tcPr>
                <w:tcW w:w="971" w:type="dxa"/>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tcMar>
                  <w:left w:w="70" w:type="dxa"/>
                  <w:right w:w="70" w:type="dxa"/>
                </w:tcMar>
                <w:vAlign w:val="center"/>
              </w:tcPr>
              <w:p w14:paraId="06040117" w14:textId="6A1DCB48" w:rsidR="33B62C26" w:rsidRPr="006F410F" w:rsidRDefault="33B62C26" w:rsidP="33B62C26">
                <w:pPr>
                  <w:spacing w:after="0"/>
                  <w:ind w:left="-20" w:right="-20"/>
                  <w:jc w:val="center"/>
                </w:pPr>
                <w:r w:rsidRPr="006F410F">
                  <w:rPr>
                    <w:rFonts w:ascii="Times New Roman" w:eastAsia="Times New Roman" w:hAnsi="Times New Roman"/>
                    <w:color w:val="000000" w:themeColor="text1"/>
                    <w:sz w:val="14"/>
                    <w:szCs w:val="14"/>
                  </w:rPr>
                  <w:t>10</w:t>
                </w:r>
              </w:p>
            </w:tc>
            <w:tc>
              <w:tcPr>
                <w:tcW w:w="1799" w:type="dxa"/>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tcMar>
                  <w:left w:w="70" w:type="dxa"/>
                  <w:right w:w="70" w:type="dxa"/>
                </w:tcMar>
                <w:vAlign w:val="center"/>
              </w:tcPr>
              <w:p w14:paraId="424EBB85" w14:textId="0E8D5339" w:rsidR="33B62C26" w:rsidRPr="006F410F" w:rsidRDefault="33B62C26" w:rsidP="33B62C26">
                <w:pPr>
                  <w:spacing w:after="0"/>
                  <w:ind w:left="-20" w:right="-20"/>
                  <w:jc w:val="center"/>
                </w:pPr>
                <w:r w:rsidRPr="006F410F">
                  <w:rPr>
                    <w:rFonts w:ascii="Times New Roman" w:eastAsia="Times New Roman" w:hAnsi="Times New Roman"/>
                    <w:color w:val="000000" w:themeColor="text1"/>
                    <w:sz w:val="14"/>
                    <w:szCs w:val="14"/>
                  </w:rPr>
                  <w:t>Los pagos de sentencias y conciliaciones, se debe dar aplicación a los artículos 192 y 195 de la Ley 1437 de 2011 o Código de Procedimiento Administrativo y de lo Contencioso Administrativo (CPACA)</w:t>
                </w:r>
              </w:p>
            </w:tc>
            <w:tc>
              <w:tcPr>
                <w:tcW w:w="685" w:type="dxa"/>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tcMar>
                  <w:left w:w="70" w:type="dxa"/>
                  <w:right w:w="70" w:type="dxa"/>
                </w:tcMar>
                <w:vAlign w:val="center"/>
              </w:tcPr>
              <w:p w14:paraId="33053D3F" w14:textId="62C5E705" w:rsidR="33B62C26" w:rsidRPr="006F410F" w:rsidRDefault="33B62C26" w:rsidP="33B62C26">
                <w:pPr>
                  <w:spacing w:after="0"/>
                  <w:ind w:left="-20" w:right="-20"/>
                  <w:jc w:val="center"/>
                </w:pPr>
                <w:r w:rsidRPr="006F410F">
                  <w:rPr>
                    <w:rFonts w:ascii="Times New Roman" w:eastAsia="Times New Roman" w:hAnsi="Times New Roman"/>
                    <w:color w:val="000000" w:themeColor="text1"/>
                    <w:sz w:val="14"/>
                    <w:szCs w:val="14"/>
                  </w:rPr>
                  <w:t>DTF</w:t>
                </w:r>
              </w:p>
            </w:tc>
          </w:tr>
          <w:tr w:rsidR="33B62C26" w14:paraId="209CD13F" w14:textId="77777777" w:rsidTr="33B62C26">
            <w:trPr>
              <w:trHeight w:val="1440"/>
            </w:trPr>
            <w:tc>
              <w:tcPr>
                <w:tcW w:w="86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472984CE" w14:textId="37D1CF13" w:rsidR="33B62C26" w:rsidRPr="006F410F" w:rsidRDefault="33B62C26" w:rsidP="33B62C26">
                <w:pPr>
                  <w:spacing w:after="0"/>
                  <w:ind w:left="-20" w:right="-20"/>
                  <w:jc w:val="right"/>
                </w:pPr>
                <w:r w:rsidRPr="006F410F">
                  <w:rPr>
                    <w:rFonts w:ascii="Times New Roman" w:eastAsia="Times New Roman" w:hAnsi="Times New Roman"/>
                    <w:color w:val="000000" w:themeColor="text1"/>
                    <w:sz w:val="14"/>
                    <w:szCs w:val="14"/>
                  </w:rPr>
                  <w:t>900979054</w:t>
                </w:r>
              </w:p>
            </w:tc>
            <w:tc>
              <w:tcPr>
                <w:tcW w:w="232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FB1C85A" w14:textId="20BC1792" w:rsidR="33B62C26" w:rsidRPr="006F410F" w:rsidRDefault="33B62C26" w:rsidP="33B62C26">
                <w:pPr>
                  <w:spacing w:after="0"/>
                  <w:ind w:left="-20" w:right="-20"/>
                  <w:jc w:val="center"/>
                </w:pPr>
                <w:r w:rsidRPr="006F410F">
                  <w:rPr>
                    <w:rFonts w:ascii="Times New Roman" w:eastAsia="Times New Roman" w:hAnsi="Times New Roman"/>
                    <w:color w:val="000000" w:themeColor="text1"/>
                    <w:sz w:val="14"/>
                    <w:szCs w:val="14"/>
                  </w:rPr>
                  <w:t>VIA PACIFICO S A S EN LIQUIDACION</w:t>
                </w:r>
              </w:p>
            </w:tc>
            <w:tc>
              <w:tcPr>
                <w:tcW w:w="1328"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33D9FD74" w14:textId="127BB0F1" w:rsidR="33B62C26" w:rsidRPr="006F410F" w:rsidRDefault="33B62C26" w:rsidP="33B62C26">
                <w:pPr>
                  <w:spacing w:after="0"/>
                  <w:ind w:left="-20" w:right="-20"/>
                </w:pPr>
                <w:r w:rsidRPr="006F410F">
                  <w:rPr>
                    <w:rFonts w:ascii="Times New Roman" w:eastAsia="Times New Roman" w:hAnsi="Times New Roman"/>
                    <w:color w:val="000000" w:themeColor="text1"/>
                    <w:sz w:val="14"/>
                    <w:szCs w:val="14"/>
                  </w:rPr>
                  <w:t xml:space="preserve">                                71.984.527.892 </w:t>
                </w:r>
              </w:p>
            </w:tc>
            <w:tc>
              <w:tcPr>
                <w:tcW w:w="9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75D451D9" w14:textId="0BB1FAF4" w:rsidR="33B62C26" w:rsidRPr="006F410F" w:rsidRDefault="33B62C26" w:rsidP="33B62C26">
                <w:pPr>
                  <w:spacing w:after="0"/>
                  <w:ind w:left="-20" w:right="-20"/>
                  <w:jc w:val="center"/>
                </w:pPr>
                <w:r w:rsidRPr="006F410F">
                  <w:rPr>
                    <w:rFonts w:ascii="Times New Roman" w:eastAsia="Times New Roman" w:hAnsi="Times New Roman"/>
                    <w:color w:val="000000" w:themeColor="text1"/>
                    <w:sz w:val="14"/>
                    <w:szCs w:val="14"/>
                  </w:rPr>
                  <w:t>1</w:t>
                </w:r>
              </w:p>
            </w:tc>
            <w:tc>
              <w:tcPr>
                <w:tcW w:w="97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2331BEA" w14:textId="475F3FD3" w:rsidR="33B62C26" w:rsidRPr="006F410F" w:rsidRDefault="33B62C26" w:rsidP="33B62C26">
                <w:pPr>
                  <w:spacing w:after="0"/>
                  <w:ind w:left="-20" w:right="-20"/>
                  <w:jc w:val="center"/>
                </w:pPr>
                <w:r w:rsidRPr="006F410F">
                  <w:rPr>
                    <w:rFonts w:ascii="Times New Roman" w:eastAsia="Times New Roman" w:hAnsi="Times New Roman"/>
                    <w:color w:val="000000" w:themeColor="text1"/>
                    <w:sz w:val="14"/>
                    <w:szCs w:val="14"/>
                  </w:rPr>
                  <w:t>10</w:t>
                </w:r>
              </w:p>
            </w:tc>
            <w:tc>
              <w:tcPr>
                <w:tcW w:w="179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4BAE396B" w14:textId="226727D5" w:rsidR="33B62C26" w:rsidRPr="006F410F" w:rsidRDefault="33B62C26" w:rsidP="33B62C26">
                <w:pPr>
                  <w:spacing w:after="0"/>
                  <w:ind w:left="-20" w:right="-20"/>
                  <w:jc w:val="center"/>
                </w:pPr>
                <w:r w:rsidRPr="006F410F">
                  <w:rPr>
                    <w:rFonts w:ascii="Times New Roman" w:eastAsia="Times New Roman" w:hAnsi="Times New Roman"/>
                    <w:color w:val="000000" w:themeColor="text1"/>
                    <w:sz w:val="14"/>
                    <w:szCs w:val="14"/>
                  </w:rPr>
                  <w:t>La oportunidad para pagar la suma ordenada y la causación de intereses atendrá los tiempos y formas fijados en los artículos 192 y 195 del Código de Procedimiento Administrativo y de lo Contencioso Administrativo.</w:t>
                </w:r>
              </w:p>
            </w:tc>
            <w:tc>
              <w:tcPr>
                <w:tcW w:w="6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A0211EE" w14:textId="65163555" w:rsidR="33B62C26" w:rsidRPr="006F410F" w:rsidRDefault="33B62C26" w:rsidP="33B62C26">
                <w:pPr>
                  <w:spacing w:after="0"/>
                  <w:ind w:left="-20" w:right="-20"/>
                  <w:jc w:val="center"/>
                </w:pPr>
                <w:r w:rsidRPr="006F410F">
                  <w:rPr>
                    <w:rFonts w:ascii="Times New Roman" w:eastAsia="Times New Roman" w:hAnsi="Times New Roman"/>
                    <w:color w:val="000000" w:themeColor="text1"/>
                    <w:sz w:val="14"/>
                    <w:szCs w:val="14"/>
                  </w:rPr>
                  <w:t>DTF</w:t>
                </w:r>
              </w:p>
            </w:tc>
          </w:tr>
          <w:tr w:rsidR="002D5974" w14:paraId="7BADBF1F" w14:textId="77777777" w:rsidTr="33B62C26">
            <w:trPr>
              <w:trHeight w:val="1260"/>
            </w:trPr>
            <w:tc>
              <w:tcPr>
                <w:tcW w:w="86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549C1D6C" w14:textId="51C93982" w:rsidR="002D5974" w:rsidRPr="006F410F" w:rsidRDefault="002D5974" w:rsidP="002D5974">
                <w:pPr>
                  <w:spacing w:after="0"/>
                  <w:ind w:left="-20" w:right="-20"/>
                  <w:jc w:val="right"/>
                </w:pPr>
                <w:r w:rsidRPr="006F410F">
                  <w:rPr>
                    <w:rFonts w:ascii="Times New Roman" w:eastAsia="Times New Roman" w:hAnsi="Times New Roman"/>
                    <w:color w:val="000000" w:themeColor="text1"/>
                    <w:sz w:val="14"/>
                    <w:szCs w:val="14"/>
                  </w:rPr>
                  <w:t>800235872</w:t>
                </w:r>
              </w:p>
            </w:tc>
            <w:tc>
              <w:tcPr>
                <w:tcW w:w="232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256E69F6" w14:textId="2D553AF0" w:rsidR="002D5974" w:rsidRPr="006F410F" w:rsidRDefault="002D5974" w:rsidP="002D5974">
                <w:pPr>
                  <w:spacing w:after="0"/>
                  <w:ind w:left="-20" w:right="-20"/>
                  <w:jc w:val="center"/>
                </w:pPr>
                <w:r w:rsidRPr="006F410F">
                  <w:rPr>
                    <w:rFonts w:ascii="Times New Roman" w:eastAsia="Times New Roman" w:hAnsi="Times New Roman"/>
                    <w:color w:val="000000" w:themeColor="text1"/>
                    <w:sz w:val="14"/>
                    <w:szCs w:val="14"/>
                  </w:rPr>
                  <w:t>CONCESIONARIA VIAL DE LOS ANDES S.A.S. COVIANDES S.A.S.</w:t>
                </w:r>
              </w:p>
            </w:tc>
            <w:tc>
              <w:tcPr>
                <w:tcW w:w="132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5B0088F5" w14:textId="1F75DC01" w:rsidR="002D5974" w:rsidRPr="006F410F" w:rsidRDefault="002D5974" w:rsidP="002D5974">
                <w:pPr>
                  <w:spacing w:after="0"/>
                  <w:ind w:left="-20" w:right="-20"/>
                </w:pPr>
                <w:r w:rsidRPr="006F410F">
                  <w:rPr>
                    <w:rFonts w:ascii="Times New Roman" w:eastAsia="Times New Roman" w:hAnsi="Times New Roman"/>
                    <w:color w:val="000000" w:themeColor="text1"/>
                    <w:sz w:val="14"/>
                    <w:szCs w:val="14"/>
                  </w:rPr>
                  <w:t xml:space="preserve">                                 71.918.669.730 </w:t>
                </w:r>
              </w:p>
            </w:tc>
            <w:tc>
              <w:tcPr>
                <w:tcW w:w="988" w:type="dxa"/>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tcMar>
                  <w:left w:w="70" w:type="dxa"/>
                  <w:right w:w="70" w:type="dxa"/>
                </w:tcMar>
                <w:vAlign w:val="center"/>
              </w:tcPr>
              <w:p w14:paraId="0F752B2E" w14:textId="61DF0398" w:rsidR="002D5974" w:rsidRPr="002D5974" w:rsidRDefault="002D5974" w:rsidP="002D5974">
                <w:pPr>
                  <w:spacing w:after="0"/>
                  <w:ind w:left="-20" w:right="-20"/>
                  <w:jc w:val="center"/>
                </w:pPr>
                <w:r w:rsidRPr="002D5974">
                  <w:rPr>
                    <w:rFonts w:ascii="Times New Roman" w:eastAsia="Times New Roman" w:hAnsi="Times New Roman"/>
                    <w:color w:val="000000" w:themeColor="text1"/>
                    <w:sz w:val="14"/>
                    <w:szCs w:val="14"/>
                    <w:lang w:eastAsia="es-CO"/>
                  </w:rPr>
                  <w:t>N/A</w:t>
                </w:r>
              </w:p>
            </w:tc>
            <w:tc>
              <w:tcPr>
                <w:tcW w:w="971" w:type="dxa"/>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tcMar>
                  <w:left w:w="70" w:type="dxa"/>
                  <w:right w:w="70" w:type="dxa"/>
                </w:tcMar>
                <w:vAlign w:val="center"/>
              </w:tcPr>
              <w:p w14:paraId="6AB80601" w14:textId="7FCE9439" w:rsidR="002D5974" w:rsidRPr="002D5974" w:rsidRDefault="002D5974" w:rsidP="002D5974">
                <w:pPr>
                  <w:spacing w:after="0"/>
                  <w:ind w:left="-20" w:right="-20"/>
                  <w:jc w:val="center"/>
                </w:pPr>
                <w:r w:rsidRPr="002D5974">
                  <w:rPr>
                    <w:rFonts w:ascii="Times New Roman" w:eastAsia="Times New Roman" w:hAnsi="Times New Roman"/>
                    <w:color w:val="000000" w:themeColor="text1"/>
                    <w:sz w:val="14"/>
                    <w:szCs w:val="14"/>
                    <w:lang w:eastAsia="es-CO"/>
                  </w:rPr>
                  <w:t>N/A</w:t>
                </w:r>
              </w:p>
            </w:tc>
            <w:tc>
              <w:tcPr>
                <w:tcW w:w="1799" w:type="dxa"/>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tcMar>
                  <w:left w:w="70" w:type="dxa"/>
                  <w:right w:w="70" w:type="dxa"/>
                </w:tcMar>
                <w:vAlign w:val="center"/>
              </w:tcPr>
              <w:p w14:paraId="6D42AEF9" w14:textId="77777777" w:rsidR="002D5974" w:rsidRPr="002D5974" w:rsidRDefault="002D5974" w:rsidP="002D5974">
                <w:pPr>
                  <w:autoSpaceDE w:val="0"/>
                  <w:autoSpaceDN w:val="0"/>
                  <w:adjustRightInd w:val="0"/>
                  <w:spacing w:after="0" w:line="240" w:lineRule="auto"/>
                  <w:jc w:val="center"/>
                  <w:rPr>
                    <w:rFonts w:ascii="Times New Roman" w:eastAsiaTheme="minorHAnsi" w:hAnsi="Times New Roman"/>
                    <w:i/>
                    <w:iCs/>
                    <w:sz w:val="14"/>
                    <w:szCs w:val="14"/>
                    <w14:ligatures w14:val="standardContextual"/>
                  </w:rPr>
                </w:pPr>
                <w:r w:rsidRPr="002D5974">
                  <w:rPr>
                    <w:rFonts w:ascii="Times New Roman" w:eastAsiaTheme="minorHAnsi" w:hAnsi="Times New Roman"/>
                    <w:i/>
                    <w:iCs/>
                    <w:sz w:val="14"/>
                    <w:szCs w:val="14"/>
                    <w14:ligatures w14:val="standardContextual"/>
                  </w:rPr>
                  <w:t>(2.3) En relación con esta pretensión de condena, el Tribunal condenará a la ANI a pagar a</w:t>
                </w:r>
              </w:p>
              <w:p w14:paraId="323F719B" w14:textId="77777777" w:rsidR="002D5974" w:rsidRPr="002D5974" w:rsidRDefault="002D5974" w:rsidP="002D5974">
                <w:pPr>
                  <w:autoSpaceDE w:val="0"/>
                  <w:autoSpaceDN w:val="0"/>
                  <w:adjustRightInd w:val="0"/>
                  <w:spacing w:after="0" w:line="240" w:lineRule="auto"/>
                  <w:jc w:val="center"/>
                  <w:rPr>
                    <w:rFonts w:ascii="Times New Roman" w:eastAsiaTheme="minorHAnsi" w:hAnsi="Times New Roman"/>
                    <w:i/>
                    <w:iCs/>
                    <w:sz w:val="14"/>
                    <w:szCs w:val="14"/>
                    <w14:ligatures w14:val="standardContextual"/>
                  </w:rPr>
                </w:pPr>
                <w:r w:rsidRPr="002D5974">
                  <w:rPr>
                    <w:rFonts w:ascii="Times New Roman" w:eastAsiaTheme="minorHAnsi" w:hAnsi="Times New Roman"/>
                    <w:i/>
                    <w:iCs/>
                    <w:sz w:val="14"/>
                    <w:szCs w:val="14"/>
                    <w14:ligatures w14:val="standardContextual"/>
                  </w:rPr>
                  <w:t>favor de COVIANDES, el mayor valor de obra correspondiente a excavación y presoporte</w:t>
                </w:r>
              </w:p>
              <w:p w14:paraId="46F6178F" w14:textId="77777777" w:rsidR="002D5974" w:rsidRPr="002D5974" w:rsidRDefault="002D5974" w:rsidP="002D5974">
                <w:pPr>
                  <w:autoSpaceDE w:val="0"/>
                  <w:autoSpaceDN w:val="0"/>
                  <w:adjustRightInd w:val="0"/>
                  <w:spacing w:after="0" w:line="240" w:lineRule="auto"/>
                  <w:jc w:val="center"/>
                  <w:rPr>
                    <w:rFonts w:ascii="Times New Roman" w:eastAsiaTheme="minorHAnsi" w:hAnsi="Times New Roman"/>
                    <w:i/>
                    <w:iCs/>
                    <w:sz w:val="14"/>
                    <w:szCs w:val="14"/>
                    <w14:ligatures w14:val="standardContextual"/>
                  </w:rPr>
                </w:pPr>
                <w:r w:rsidRPr="002D5974">
                  <w:rPr>
                    <w:rFonts w:ascii="Times New Roman" w:eastAsiaTheme="minorHAnsi" w:hAnsi="Times New Roman"/>
                    <w:i/>
                    <w:iCs/>
                    <w:sz w:val="14"/>
                    <w:szCs w:val="14"/>
                    <w14:ligatures w14:val="standardContextual"/>
                  </w:rPr>
                  <w:t>en la construcción de los túneles, dejado de reconocer y pagar durante la ejecución</w:t>
                </w:r>
              </w:p>
              <w:p w14:paraId="5FD12247" w14:textId="69F29107" w:rsidR="002D5974" w:rsidRPr="002D5974" w:rsidRDefault="002D5974" w:rsidP="002D5974">
                <w:pPr>
                  <w:spacing w:after="0"/>
                  <w:ind w:left="-20" w:right="-20"/>
                  <w:jc w:val="center"/>
                </w:pPr>
                <w:r w:rsidRPr="002D5974">
                  <w:rPr>
                    <w:rFonts w:ascii="Times New Roman" w:eastAsiaTheme="minorHAnsi" w:hAnsi="Times New Roman"/>
                    <w:i/>
                    <w:iCs/>
                    <w:sz w:val="14"/>
                    <w:szCs w:val="14"/>
                    <w14:ligatures w14:val="standardContextual"/>
                  </w:rPr>
                  <w:t>contractual tal como resultó probado en el proceso, actualizados con el IPC desde diciembre de 2008.:</w:t>
                </w:r>
              </w:p>
            </w:tc>
            <w:tc>
              <w:tcPr>
                <w:tcW w:w="685" w:type="dxa"/>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tcMar>
                  <w:left w:w="70" w:type="dxa"/>
                  <w:right w:w="70" w:type="dxa"/>
                </w:tcMar>
                <w:vAlign w:val="center"/>
              </w:tcPr>
              <w:p w14:paraId="50A7715F" w14:textId="770B7763" w:rsidR="002D5974" w:rsidRPr="002D5974" w:rsidRDefault="002D5974" w:rsidP="002D5974">
                <w:pPr>
                  <w:spacing w:after="0"/>
                  <w:ind w:left="-20" w:right="-20"/>
                  <w:jc w:val="center"/>
                </w:pPr>
                <w:r w:rsidRPr="002D5974">
                  <w:rPr>
                    <w:rFonts w:ascii="Times New Roman" w:eastAsia="Times New Roman" w:hAnsi="Times New Roman"/>
                    <w:color w:val="000000" w:themeColor="text1"/>
                    <w:sz w:val="14"/>
                    <w:szCs w:val="14"/>
                    <w:lang w:eastAsia="es-CO"/>
                  </w:rPr>
                  <w:t>IPC</w:t>
                </w:r>
              </w:p>
            </w:tc>
          </w:tr>
          <w:tr w:rsidR="33B62C26" w14:paraId="2F9F79E9" w14:textId="77777777" w:rsidTr="33B62C26">
            <w:trPr>
              <w:trHeight w:val="1260"/>
            </w:trPr>
            <w:tc>
              <w:tcPr>
                <w:tcW w:w="86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258E1BFC" w14:textId="32CAC0CB" w:rsidR="33B62C26" w:rsidRPr="006F410F" w:rsidRDefault="33B62C26" w:rsidP="33B62C26">
                <w:pPr>
                  <w:spacing w:after="0"/>
                  <w:ind w:left="-20" w:right="-20"/>
                  <w:jc w:val="right"/>
                </w:pPr>
                <w:r w:rsidRPr="006F410F">
                  <w:rPr>
                    <w:rFonts w:ascii="Times New Roman" w:eastAsia="Times New Roman" w:hAnsi="Times New Roman"/>
                    <w:color w:val="000000" w:themeColor="text1"/>
                    <w:sz w:val="14"/>
                    <w:szCs w:val="14"/>
                  </w:rPr>
                  <w:t>900920562</w:t>
                </w:r>
              </w:p>
            </w:tc>
            <w:tc>
              <w:tcPr>
                <w:tcW w:w="232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72E11358" w14:textId="7312AFE7" w:rsidR="33B62C26" w:rsidRPr="006F410F" w:rsidRDefault="33B62C26" w:rsidP="33B62C26">
                <w:pPr>
                  <w:spacing w:after="0"/>
                  <w:ind w:left="-20" w:right="-20"/>
                  <w:jc w:val="center"/>
                </w:pPr>
                <w:r w:rsidRPr="006F410F">
                  <w:rPr>
                    <w:rFonts w:ascii="Times New Roman" w:eastAsia="Times New Roman" w:hAnsi="Times New Roman"/>
                    <w:color w:val="000000" w:themeColor="text1"/>
                    <w:sz w:val="14"/>
                    <w:szCs w:val="14"/>
                  </w:rPr>
                  <w:t>CONCESION VIAS DEL NUS S.A.S</w:t>
                </w:r>
              </w:p>
            </w:tc>
            <w:tc>
              <w:tcPr>
                <w:tcW w:w="132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1FEA0612" w14:textId="47F7905F" w:rsidR="33B62C26" w:rsidRPr="006F410F" w:rsidRDefault="33B62C26" w:rsidP="33B62C26">
                <w:pPr>
                  <w:spacing w:after="0"/>
                  <w:ind w:left="-20" w:right="-20"/>
                </w:pPr>
                <w:r w:rsidRPr="006F410F">
                  <w:rPr>
                    <w:rFonts w:ascii="Times New Roman" w:eastAsia="Times New Roman" w:hAnsi="Times New Roman"/>
                    <w:color w:val="000000" w:themeColor="text1"/>
                    <w:sz w:val="14"/>
                    <w:szCs w:val="14"/>
                  </w:rPr>
                  <w:t xml:space="preserve">                                67.878.917.586 </w:t>
                </w:r>
              </w:p>
            </w:tc>
            <w:tc>
              <w:tcPr>
                <w:tcW w:w="988" w:type="dxa"/>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tcMar>
                  <w:left w:w="70" w:type="dxa"/>
                  <w:right w:w="70" w:type="dxa"/>
                </w:tcMar>
                <w:vAlign w:val="center"/>
              </w:tcPr>
              <w:p w14:paraId="26A539EA" w14:textId="3895B2EE" w:rsidR="33B62C26" w:rsidRPr="006F410F" w:rsidRDefault="33B62C26" w:rsidP="33B62C26">
                <w:pPr>
                  <w:spacing w:after="0"/>
                  <w:ind w:left="-20" w:right="-20"/>
                  <w:jc w:val="center"/>
                </w:pPr>
                <w:r w:rsidRPr="006F410F">
                  <w:rPr>
                    <w:rFonts w:ascii="Times New Roman" w:eastAsia="Times New Roman" w:hAnsi="Times New Roman"/>
                    <w:color w:val="000000" w:themeColor="text1"/>
                    <w:sz w:val="14"/>
                    <w:szCs w:val="14"/>
                  </w:rPr>
                  <w:t>1</w:t>
                </w:r>
              </w:p>
            </w:tc>
            <w:tc>
              <w:tcPr>
                <w:tcW w:w="971" w:type="dxa"/>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tcMar>
                  <w:left w:w="70" w:type="dxa"/>
                  <w:right w:w="70" w:type="dxa"/>
                </w:tcMar>
                <w:vAlign w:val="center"/>
              </w:tcPr>
              <w:p w14:paraId="3501769D" w14:textId="1273C553" w:rsidR="33B62C26" w:rsidRPr="006F410F" w:rsidRDefault="33B62C26" w:rsidP="33B62C26">
                <w:pPr>
                  <w:spacing w:after="0"/>
                  <w:ind w:left="-20" w:right="-20"/>
                  <w:jc w:val="center"/>
                </w:pPr>
                <w:r w:rsidRPr="006F410F">
                  <w:rPr>
                    <w:rFonts w:ascii="Times New Roman" w:eastAsia="Times New Roman" w:hAnsi="Times New Roman"/>
                    <w:color w:val="000000" w:themeColor="text1"/>
                    <w:sz w:val="14"/>
                    <w:szCs w:val="14"/>
                  </w:rPr>
                  <w:t>10</w:t>
                </w:r>
              </w:p>
            </w:tc>
            <w:tc>
              <w:tcPr>
                <w:tcW w:w="1799" w:type="dxa"/>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tcMar>
                  <w:left w:w="70" w:type="dxa"/>
                  <w:right w:w="70" w:type="dxa"/>
                </w:tcMar>
                <w:vAlign w:val="center"/>
              </w:tcPr>
              <w:p w14:paraId="632850B2" w14:textId="72799436" w:rsidR="33B62C26" w:rsidRPr="006F410F" w:rsidRDefault="33B62C26" w:rsidP="33B62C26">
                <w:pPr>
                  <w:spacing w:after="0"/>
                  <w:ind w:left="-20" w:right="-20"/>
                  <w:jc w:val="center"/>
                </w:pPr>
                <w:r w:rsidRPr="006F410F">
                  <w:rPr>
                    <w:rFonts w:ascii="Times New Roman" w:eastAsia="Times New Roman" w:hAnsi="Times New Roman"/>
                    <w:color w:val="000000" w:themeColor="text1"/>
                    <w:sz w:val="14"/>
                    <w:szCs w:val="14"/>
                  </w:rPr>
                  <w:t>Los pagos de sentencias y conciliaciones, se debe dar aplicación a los artículos 192 y 195 de la Ley 1437 de 2011 o Código de Procedimiento Administrativo y de lo Contencioso Administrativo (CPACA)</w:t>
                </w:r>
              </w:p>
            </w:tc>
            <w:tc>
              <w:tcPr>
                <w:tcW w:w="685" w:type="dxa"/>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tcMar>
                  <w:left w:w="70" w:type="dxa"/>
                  <w:right w:w="70" w:type="dxa"/>
                </w:tcMar>
                <w:vAlign w:val="center"/>
              </w:tcPr>
              <w:p w14:paraId="004EC1FD" w14:textId="384405D1" w:rsidR="33B62C26" w:rsidRPr="006F410F" w:rsidRDefault="33B62C26" w:rsidP="33B62C26">
                <w:pPr>
                  <w:spacing w:after="0"/>
                  <w:ind w:left="-20" w:right="-20"/>
                  <w:jc w:val="center"/>
                </w:pPr>
                <w:r w:rsidRPr="006F410F">
                  <w:rPr>
                    <w:rFonts w:ascii="Times New Roman" w:eastAsia="Times New Roman" w:hAnsi="Times New Roman"/>
                    <w:color w:val="000000" w:themeColor="text1"/>
                    <w:sz w:val="14"/>
                    <w:szCs w:val="14"/>
                  </w:rPr>
                  <w:t>DTF</w:t>
                </w:r>
              </w:p>
            </w:tc>
          </w:tr>
          <w:tr w:rsidR="33B62C26" w14:paraId="14D9BC82" w14:textId="77777777" w:rsidTr="33B62C26">
            <w:trPr>
              <w:trHeight w:val="1800"/>
            </w:trPr>
            <w:tc>
              <w:tcPr>
                <w:tcW w:w="86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DE8E899" w14:textId="368DF407" w:rsidR="33B62C26" w:rsidRDefault="33B62C26" w:rsidP="33B62C26">
                <w:pPr>
                  <w:spacing w:after="0"/>
                  <w:ind w:left="-20" w:right="-20"/>
                  <w:jc w:val="right"/>
                </w:pPr>
                <w:r w:rsidRPr="33B62C26">
                  <w:rPr>
                    <w:rFonts w:ascii="Times New Roman" w:eastAsia="Times New Roman" w:hAnsi="Times New Roman"/>
                    <w:color w:val="000000" w:themeColor="text1"/>
                    <w:sz w:val="14"/>
                    <w:szCs w:val="14"/>
                  </w:rPr>
                  <w:lastRenderedPageBreak/>
                  <w:t>901371481</w:t>
                </w:r>
              </w:p>
            </w:tc>
            <w:tc>
              <w:tcPr>
                <w:tcW w:w="232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55C672E2" w14:textId="0BCCC10E" w:rsidR="33B62C26" w:rsidRDefault="33B62C26" w:rsidP="33B62C26">
                <w:pPr>
                  <w:spacing w:after="0"/>
                  <w:ind w:left="-20" w:right="-20"/>
                  <w:jc w:val="center"/>
                </w:pPr>
                <w:r w:rsidRPr="33B62C26">
                  <w:rPr>
                    <w:rFonts w:ascii="Times New Roman" w:eastAsia="Times New Roman" w:hAnsi="Times New Roman"/>
                    <w:color w:val="000000" w:themeColor="text1"/>
                    <w:sz w:val="14"/>
                    <w:szCs w:val="14"/>
                  </w:rPr>
                  <w:t>BTS CONCESIONARIO S.A.S.</w:t>
                </w:r>
              </w:p>
            </w:tc>
            <w:tc>
              <w:tcPr>
                <w:tcW w:w="132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27BD95AD" w14:textId="190A1D3E" w:rsidR="33B62C26" w:rsidRDefault="33B62C26" w:rsidP="33B62C26">
                <w:pPr>
                  <w:spacing w:after="0"/>
                  <w:ind w:left="-20" w:right="-20"/>
                </w:pPr>
                <w:r w:rsidRPr="33B62C26">
                  <w:rPr>
                    <w:rFonts w:ascii="Times New Roman" w:eastAsia="Times New Roman" w:hAnsi="Times New Roman"/>
                    <w:color w:val="000000" w:themeColor="text1"/>
                    <w:sz w:val="14"/>
                    <w:szCs w:val="14"/>
                  </w:rPr>
                  <w:t xml:space="preserve">                                65.523.813.489 </w:t>
                </w:r>
              </w:p>
            </w:tc>
            <w:tc>
              <w:tcPr>
                <w:tcW w:w="9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AC06530" w14:textId="1569F923" w:rsidR="33B62C26" w:rsidRDefault="33B62C26" w:rsidP="33B62C26">
                <w:pPr>
                  <w:spacing w:after="0"/>
                  <w:ind w:left="-20" w:right="-20"/>
                  <w:jc w:val="center"/>
                </w:pPr>
                <w:r w:rsidRPr="33B62C26">
                  <w:rPr>
                    <w:rFonts w:ascii="Times New Roman" w:eastAsia="Times New Roman" w:hAnsi="Times New Roman"/>
                    <w:color w:val="000000" w:themeColor="text1"/>
                    <w:sz w:val="14"/>
                    <w:szCs w:val="14"/>
                  </w:rPr>
                  <w:t>N/A</w:t>
                </w:r>
              </w:p>
            </w:tc>
            <w:tc>
              <w:tcPr>
                <w:tcW w:w="97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2DD59AE7" w14:textId="20BC6F4F" w:rsidR="33B62C26" w:rsidRDefault="33B62C26" w:rsidP="33B62C26">
                <w:pPr>
                  <w:spacing w:after="0"/>
                  <w:ind w:left="-20" w:right="-20"/>
                  <w:jc w:val="center"/>
                </w:pPr>
                <w:r w:rsidRPr="33B62C26">
                  <w:rPr>
                    <w:rFonts w:ascii="Times New Roman" w:eastAsia="Times New Roman" w:hAnsi="Times New Roman"/>
                    <w:color w:val="000000" w:themeColor="text1"/>
                    <w:sz w:val="14"/>
                    <w:szCs w:val="14"/>
                  </w:rPr>
                  <w:t>N/A</w:t>
                </w:r>
              </w:p>
            </w:tc>
            <w:tc>
              <w:tcPr>
                <w:tcW w:w="179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72A9EB53" w14:textId="27CA9AF3" w:rsidR="33B62C26" w:rsidRDefault="33B62C26" w:rsidP="33B62C26">
                <w:pPr>
                  <w:spacing w:after="0"/>
                  <w:ind w:left="-20" w:right="-20"/>
                  <w:jc w:val="center"/>
                </w:pPr>
                <w:r w:rsidRPr="33B62C26">
                  <w:rPr>
                    <w:rFonts w:ascii="Times New Roman" w:eastAsia="Times New Roman" w:hAnsi="Times New Roman"/>
                    <w:color w:val="000000" w:themeColor="text1"/>
                    <w:sz w:val="14"/>
                    <w:szCs w:val="14"/>
                  </w:rPr>
                  <w:t>La ANI deberá proceder con la aplicación de las cláusulas 27.3 y 49 del contrato de Concesión No 0377 de 2002, es decir el reconocimiento de intereses remuneratorios del DTF +5 puntos porcentuales al final del mes en el que se adquiera el último predio y el reconocimiento de intereses de mora a partir del mes décimo octavo (18).</w:t>
                </w:r>
              </w:p>
            </w:tc>
            <w:tc>
              <w:tcPr>
                <w:tcW w:w="6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6B30D63" w14:textId="24DDF30C" w:rsidR="33B62C26" w:rsidRDefault="33B62C26" w:rsidP="33B62C26">
                <w:pPr>
                  <w:spacing w:after="0"/>
                  <w:ind w:left="-20" w:right="-20"/>
                  <w:jc w:val="center"/>
                </w:pPr>
                <w:r w:rsidRPr="33B62C26">
                  <w:rPr>
                    <w:rFonts w:ascii="Times New Roman" w:eastAsia="Times New Roman" w:hAnsi="Times New Roman"/>
                    <w:color w:val="000000" w:themeColor="text1"/>
                    <w:sz w:val="14"/>
                    <w:szCs w:val="14"/>
                  </w:rPr>
                  <w:t>N/A</w:t>
                </w:r>
              </w:p>
            </w:tc>
          </w:tr>
          <w:tr w:rsidR="33B62C26" w14:paraId="5B2A96C1" w14:textId="77777777" w:rsidTr="33B62C26">
            <w:trPr>
              <w:trHeight w:val="1080"/>
            </w:trPr>
            <w:tc>
              <w:tcPr>
                <w:tcW w:w="86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67C758B6" w14:textId="39C993D8" w:rsidR="33B62C26" w:rsidRDefault="33B62C26" w:rsidP="33B62C26">
                <w:pPr>
                  <w:spacing w:after="0"/>
                  <w:ind w:left="-20" w:right="-20"/>
                  <w:jc w:val="right"/>
                </w:pPr>
                <w:r w:rsidRPr="33B62C26">
                  <w:rPr>
                    <w:rFonts w:ascii="Times New Roman" w:eastAsia="Times New Roman" w:hAnsi="Times New Roman"/>
                    <w:color w:val="000000" w:themeColor="text1"/>
                    <w:sz w:val="14"/>
                    <w:szCs w:val="14"/>
                  </w:rPr>
                  <w:t>900164310</w:t>
                </w:r>
              </w:p>
            </w:tc>
            <w:tc>
              <w:tcPr>
                <w:tcW w:w="232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5F7AA4F6" w14:textId="1265214D" w:rsidR="33B62C26" w:rsidRDefault="33B62C26" w:rsidP="33B62C26">
                <w:pPr>
                  <w:spacing w:after="0"/>
                  <w:ind w:left="-20" w:right="-20"/>
                  <w:jc w:val="center"/>
                </w:pPr>
                <w:r w:rsidRPr="33B62C26">
                  <w:rPr>
                    <w:rFonts w:ascii="Times New Roman" w:eastAsia="Times New Roman" w:hAnsi="Times New Roman"/>
                    <w:color w:val="000000" w:themeColor="text1"/>
                    <w:sz w:val="14"/>
                    <w:szCs w:val="14"/>
                  </w:rPr>
                  <w:t>CONCESIONARIA SAN RAFAEL S A</w:t>
                </w:r>
              </w:p>
            </w:tc>
            <w:tc>
              <w:tcPr>
                <w:tcW w:w="132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4A660309" w14:textId="4AA9D9C9" w:rsidR="33B62C26" w:rsidRDefault="33B62C26" w:rsidP="33B62C26">
                <w:pPr>
                  <w:spacing w:after="0"/>
                  <w:ind w:left="-20" w:right="-20"/>
                </w:pPr>
                <w:r w:rsidRPr="33B62C26">
                  <w:rPr>
                    <w:rFonts w:ascii="Times New Roman" w:eastAsia="Times New Roman" w:hAnsi="Times New Roman"/>
                    <w:color w:val="000000" w:themeColor="text1"/>
                    <w:sz w:val="14"/>
                    <w:szCs w:val="14"/>
                  </w:rPr>
                  <w:t xml:space="preserve">                               60.645.428.820 </w:t>
                </w:r>
              </w:p>
            </w:tc>
            <w:tc>
              <w:tcPr>
                <w:tcW w:w="9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4FAB9D9A" w14:textId="17F53E78" w:rsidR="33B62C26" w:rsidRDefault="33B62C26" w:rsidP="33B62C26">
                <w:pPr>
                  <w:spacing w:after="0"/>
                  <w:ind w:left="-20" w:right="-20"/>
                  <w:jc w:val="center"/>
                </w:pPr>
                <w:r w:rsidRPr="33B62C26">
                  <w:rPr>
                    <w:rFonts w:ascii="Times New Roman" w:eastAsia="Times New Roman" w:hAnsi="Times New Roman"/>
                    <w:color w:val="000000" w:themeColor="text1"/>
                    <w:sz w:val="14"/>
                    <w:szCs w:val="14"/>
                  </w:rPr>
                  <w:t>1</w:t>
                </w:r>
              </w:p>
            </w:tc>
            <w:tc>
              <w:tcPr>
                <w:tcW w:w="97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6C16398C" w14:textId="446683F3" w:rsidR="33B62C26" w:rsidRDefault="33B62C26" w:rsidP="33B62C26">
                <w:pPr>
                  <w:spacing w:after="0"/>
                  <w:ind w:left="-20" w:right="-20"/>
                  <w:jc w:val="center"/>
                </w:pPr>
                <w:r w:rsidRPr="33B62C26">
                  <w:rPr>
                    <w:rFonts w:ascii="Times New Roman" w:eastAsia="Times New Roman" w:hAnsi="Times New Roman"/>
                    <w:color w:val="000000" w:themeColor="text1"/>
                    <w:sz w:val="14"/>
                    <w:szCs w:val="14"/>
                  </w:rPr>
                  <w:t>10</w:t>
                </w:r>
              </w:p>
            </w:tc>
            <w:tc>
              <w:tcPr>
                <w:tcW w:w="179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4C6F2D6" w14:textId="304595CC" w:rsidR="33B62C26" w:rsidRDefault="33B62C26" w:rsidP="33B62C26">
                <w:pPr>
                  <w:spacing w:after="0"/>
                  <w:ind w:left="-20" w:right="-20"/>
                  <w:jc w:val="center"/>
                </w:pPr>
                <w:r w:rsidRPr="33B62C26">
                  <w:rPr>
                    <w:rFonts w:ascii="Times New Roman" w:eastAsia="Times New Roman" w:hAnsi="Times New Roman"/>
                    <w:color w:val="000000" w:themeColor="text1"/>
                    <w:sz w:val="14"/>
                    <w:szCs w:val="14"/>
                  </w:rPr>
                  <w:t>Como quiera que el Laudo no fijó las reglas para liquidación de intereses, se debe dar aplicación a lo dispuesto en los artículos 192 y 195 de la Ley 1437 de 2011 (CPACA).</w:t>
                </w:r>
              </w:p>
            </w:tc>
            <w:tc>
              <w:tcPr>
                <w:tcW w:w="6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F825480" w14:textId="5B8DA7A0" w:rsidR="33B62C26" w:rsidRDefault="33B62C26" w:rsidP="33B62C26">
                <w:pPr>
                  <w:spacing w:after="0"/>
                  <w:ind w:left="-20" w:right="-20"/>
                  <w:jc w:val="center"/>
                </w:pPr>
                <w:r w:rsidRPr="33B62C26">
                  <w:rPr>
                    <w:rFonts w:ascii="Times New Roman" w:eastAsia="Times New Roman" w:hAnsi="Times New Roman"/>
                    <w:color w:val="000000" w:themeColor="text1"/>
                    <w:sz w:val="14"/>
                    <w:szCs w:val="14"/>
                  </w:rPr>
                  <w:t>DTF</w:t>
                </w:r>
              </w:p>
            </w:tc>
          </w:tr>
          <w:tr w:rsidR="33B62C26" w14:paraId="091B4A8E" w14:textId="77777777" w:rsidTr="006F410F">
            <w:trPr>
              <w:trHeight w:val="365"/>
            </w:trPr>
            <w:tc>
              <w:tcPr>
                <w:tcW w:w="86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4E16CB5" w14:textId="7E89BE7A" w:rsidR="33B62C26" w:rsidRDefault="33B62C26" w:rsidP="33B62C26">
                <w:pPr>
                  <w:spacing w:after="0"/>
                  <w:ind w:left="-20" w:right="-20"/>
                  <w:jc w:val="right"/>
                </w:pPr>
                <w:r w:rsidRPr="33B62C26">
                  <w:rPr>
                    <w:rFonts w:ascii="Times New Roman" w:eastAsia="Times New Roman" w:hAnsi="Times New Roman"/>
                    <w:color w:val="000000" w:themeColor="text1"/>
                    <w:sz w:val="14"/>
                    <w:szCs w:val="14"/>
                  </w:rPr>
                  <w:t>900871368</w:t>
                </w:r>
              </w:p>
            </w:tc>
            <w:tc>
              <w:tcPr>
                <w:tcW w:w="232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6D1FB28E" w14:textId="6A383E30" w:rsidR="33B62C26" w:rsidRDefault="33B62C26" w:rsidP="33B62C26">
                <w:pPr>
                  <w:spacing w:after="0"/>
                  <w:ind w:left="-20" w:right="-20"/>
                  <w:jc w:val="center"/>
                </w:pPr>
                <w:r w:rsidRPr="33B62C26">
                  <w:rPr>
                    <w:rFonts w:ascii="Times New Roman" w:eastAsia="Times New Roman" w:hAnsi="Times New Roman"/>
                    <w:color w:val="000000" w:themeColor="text1"/>
                    <w:sz w:val="14"/>
                    <w:szCs w:val="14"/>
                  </w:rPr>
                  <w:t>CONCESIONARIA RUTA DEL CACAO S.A.S.</w:t>
                </w:r>
              </w:p>
            </w:tc>
            <w:tc>
              <w:tcPr>
                <w:tcW w:w="132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4EA8432E" w14:textId="3B4D747D" w:rsidR="33B62C26" w:rsidRDefault="33B62C26" w:rsidP="33B62C26">
                <w:pPr>
                  <w:spacing w:after="0"/>
                  <w:ind w:left="-20" w:right="-20"/>
                </w:pPr>
                <w:r w:rsidRPr="33B62C26">
                  <w:rPr>
                    <w:rFonts w:ascii="Times New Roman" w:eastAsia="Times New Roman" w:hAnsi="Times New Roman"/>
                    <w:color w:val="000000" w:themeColor="text1"/>
                    <w:sz w:val="14"/>
                    <w:szCs w:val="14"/>
                  </w:rPr>
                  <w:t xml:space="preserve">                                  5.938.571.424 </w:t>
                </w:r>
              </w:p>
            </w:tc>
            <w:tc>
              <w:tcPr>
                <w:tcW w:w="9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64DF1BAB" w14:textId="063560D9" w:rsidR="33B62C26" w:rsidRDefault="33B62C26" w:rsidP="33B62C26">
                <w:pPr>
                  <w:spacing w:after="0"/>
                  <w:ind w:left="-20" w:right="-20"/>
                  <w:jc w:val="center"/>
                </w:pPr>
                <w:r w:rsidRPr="33B62C26">
                  <w:rPr>
                    <w:rFonts w:ascii="Times New Roman" w:eastAsia="Times New Roman" w:hAnsi="Times New Roman"/>
                    <w:color w:val="000000" w:themeColor="text1"/>
                    <w:sz w:val="14"/>
                    <w:szCs w:val="14"/>
                  </w:rPr>
                  <w:t>1</w:t>
                </w:r>
              </w:p>
            </w:tc>
            <w:tc>
              <w:tcPr>
                <w:tcW w:w="97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F7C62D9" w14:textId="1BCB7BC2" w:rsidR="33B62C26" w:rsidRDefault="33B62C26" w:rsidP="33B62C26">
                <w:pPr>
                  <w:spacing w:after="0"/>
                  <w:ind w:left="-20" w:right="-20"/>
                  <w:jc w:val="center"/>
                </w:pPr>
                <w:r w:rsidRPr="33B62C26">
                  <w:rPr>
                    <w:rFonts w:ascii="Times New Roman" w:eastAsia="Times New Roman" w:hAnsi="Times New Roman"/>
                    <w:color w:val="000000" w:themeColor="text1"/>
                    <w:sz w:val="14"/>
                    <w:szCs w:val="14"/>
                  </w:rPr>
                  <w:t>10</w:t>
                </w:r>
              </w:p>
            </w:tc>
            <w:tc>
              <w:tcPr>
                <w:tcW w:w="179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7D2DC0C5" w14:textId="455D5029" w:rsidR="33B62C26" w:rsidRDefault="33B62C26" w:rsidP="33B62C26">
                <w:pPr>
                  <w:spacing w:after="0"/>
                  <w:ind w:left="-20" w:right="-20"/>
                  <w:jc w:val="center"/>
                </w:pPr>
                <w:r w:rsidRPr="33B62C26">
                  <w:rPr>
                    <w:rFonts w:ascii="Times New Roman" w:eastAsia="Times New Roman" w:hAnsi="Times New Roman"/>
                    <w:color w:val="000000" w:themeColor="text1"/>
                    <w:sz w:val="14"/>
                    <w:szCs w:val="14"/>
                  </w:rPr>
                  <w:t>Artículos 192 y 195 del Código de Procedimiento Administrativo y de lo Contencioso Administrativo.</w:t>
                </w:r>
              </w:p>
            </w:tc>
            <w:tc>
              <w:tcPr>
                <w:tcW w:w="6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2F58BEF5" w14:textId="232F2081" w:rsidR="33B62C26" w:rsidRDefault="33B62C26" w:rsidP="33B62C26">
                <w:pPr>
                  <w:spacing w:after="0"/>
                  <w:ind w:left="-20" w:right="-20"/>
                  <w:jc w:val="center"/>
                </w:pPr>
                <w:r w:rsidRPr="33B62C26">
                  <w:rPr>
                    <w:rFonts w:ascii="Times New Roman" w:eastAsia="Times New Roman" w:hAnsi="Times New Roman"/>
                    <w:color w:val="000000" w:themeColor="text1"/>
                    <w:sz w:val="14"/>
                    <w:szCs w:val="14"/>
                  </w:rPr>
                  <w:t>DTF</w:t>
                </w:r>
              </w:p>
            </w:tc>
          </w:tr>
          <w:tr w:rsidR="33B62C26" w14:paraId="02056075" w14:textId="77777777" w:rsidTr="33B62C26">
            <w:trPr>
              <w:trHeight w:val="1260"/>
            </w:trPr>
            <w:tc>
              <w:tcPr>
                <w:tcW w:w="86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5ADFF009" w14:textId="0600A02D" w:rsidR="33B62C26" w:rsidRDefault="33B62C26" w:rsidP="33B62C26">
                <w:pPr>
                  <w:spacing w:after="0"/>
                  <w:ind w:left="-20" w:right="-20"/>
                  <w:jc w:val="right"/>
                </w:pPr>
                <w:r w:rsidRPr="33B62C26">
                  <w:rPr>
                    <w:rFonts w:ascii="Times New Roman" w:eastAsia="Times New Roman" w:hAnsi="Times New Roman"/>
                    <w:color w:val="000000" w:themeColor="text1"/>
                    <w:sz w:val="14"/>
                    <w:szCs w:val="14"/>
                  </w:rPr>
                  <w:t>900162704</w:t>
                </w:r>
              </w:p>
            </w:tc>
            <w:tc>
              <w:tcPr>
                <w:tcW w:w="232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50F492A8" w14:textId="47B5164B" w:rsidR="33B62C26" w:rsidRDefault="33B62C26" w:rsidP="33B62C26">
                <w:pPr>
                  <w:spacing w:after="0"/>
                  <w:ind w:left="-20" w:right="-20"/>
                  <w:jc w:val="center"/>
                </w:pPr>
                <w:r w:rsidRPr="33B62C26">
                  <w:rPr>
                    <w:rFonts w:ascii="Times New Roman" w:eastAsia="Times New Roman" w:hAnsi="Times New Roman"/>
                    <w:color w:val="000000" w:themeColor="text1"/>
                    <w:sz w:val="14"/>
                    <w:szCs w:val="14"/>
                  </w:rPr>
                  <w:t>CONCESIONARIA SAN SIMON S A</w:t>
                </w:r>
              </w:p>
            </w:tc>
            <w:tc>
              <w:tcPr>
                <w:tcW w:w="132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5EEBFB63" w14:textId="3ACA6E39" w:rsidR="33B62C26" w:rsidRDefault="33B62C26" w:rsidP="33B62C26">
                <w:pPr>
                  <w:spacing w:after="0"/>
                  <w:ind w:left="-20" w:right="-20"/>
                </w:pPr>
                <w:r w:rsidRPr="33B62C26">
                  <w:rPr>
                    <w:rFonts w:ascii="Times New Roman" w:eastAsia="Times New Roman" w:hAnsi="Times New Roman"/>
                    <w:color w:val="000000" w:themeColor="text1"/>
                    <w:sz w:val="14"/>
                    <w:szCs w:val="14"/>
                  </w:rPr>
                  <w:t xml:space="preserve">                                     383.088.396 </w:t>
                </w:r>
              </w:p>
            </w:tc>
            <w:tc>
              <w:tcPr>
                <w:tcW w:w="9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B3973B3" w14:textId="2720B03E" w:rsidR="33B62C26" w:rsidRDefault="33B62C26" w:rsidP="33B62C26">
                <w:pPr>
                  <w:spacing w:after="0"/>
                  <w:ind w:left="-20" w:right="-20"/>
                  <w:jc w:val="center"/>
                </w:pPr>
                <w:r w:rsidRPr="33B62C26">
                  <w:rPr>
                    <w:rFonts w:ascii="Times New Roman" w:eastAsia="Times New Roman" w:hAnsi="Times New Roman"/>
                    <w:color w:val="000000" w:themeColor="text1"/>
                    <w:sz w:val="14"/>
                    <w:szCs w:val="14"/>
                  </w:rPr>
                  <w:t>N/A</w:t>
                </w:r>
              </w:p>
            </w:tc>
            <w:tc>
              <w:tcPr>
                <w:tcW w:w="97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4BD29ECA" w14:textId="570DEFAC" w:rsidR="33B62C26" w:rsidRDefault="33B62C26" w:rsidP="33B62C26">
                <w:pPr>
                  <w:spacing w:after="0"/>
                  <w:ind w:left="-20" w:right="-20"/>
                  <w:jc w:val="center"/>
                </w:pPr>
                <w:r w:rsidRPr="33B62C26">
                  <w:rPr>
                    <w:rFonts w:ascii="Times New Roman" w:eastAsia="Times New Roman" w:hAnsi="Times New Roman"/>
                    <w:color w:val="000000" w:themeColor="text1"/>
                    <w:sz w:val="14"/>
                    <w:szCs w:val="14"/>
                  </w:rPr>
                  <w:t>N/A</w:t>
                </w:r>
              </w:p>
            </w:tc>
            <w:tc>
              <w:tcPr>
                <w:tcW w:w="179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210B404B" w14:textId="41620652" w:rsidR="33B62C26" w:rsidRDefault="33B62C26" w:rsidP="33B62C26">
                <w:pPr>
                  <w:spacing w:after="0"/>
                  <w:ind w:left="-20" w:right="-20"/>
                  <w:jc w:val="center"/>
                </w:pPr>
                <w:r w:rsidRPr="33B62C26">
                  <w:rPr>
                    <w:rFonts w:ascii="Times New Roman" w:eastAsia="Times New Roman" w:hAnsi="Times New Roman"/>
                    <w:color w:val="000000" w:themeColor="text1"/>
                    <w:sz w:val="14"/>
                    <w:szCs w:val="14"/>
                  </w:rPr>
                  <w:t>Deuda reconocida correspondiente a intereses liquidados entre el 01 de octubre de 2021 y el 30 de diciembre de 2021. Se espera hacer un cruce de cuentas en el Acta de Liquidación del contrato que se está tramitando con el Concesionario.</w:t>
                </w:r>
              </w:p>
            </w:tc>
            <w:tc>
              <w:tcPr>
                <w:tcW w:w="6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1BC6BB99" w14:textId="5F26DAAD" w:rsidR="33B62C26" w:rsidRDefault="33B62C26" w:rsidP="33B62C26">
                <w:pPr>
                  <w:spacing w:after="0"/>
                  <w:ind w:left="-20" w:right="-20"/>
                  <w:jc w:val="center"/>
                </w:pPr>
                <w:r w:rsidRPr="33B62C26">
                  <w:rPr>
                    <w:rFonts w:ascii="Times New Roman" w:eastAsia="Times New Roman" w:hAnsi="Times New Roman"/>
                    <w:color w:val="000000" w:themeColor="text1"/>
                    <w:sz w:val="14"/>
                    <w:szCs w:val="14"/>
                  </w:rPr>
                  <w:t>DTF</w:t>
                </w:r>
              </w:p>
            </w:tc>
          </w:tr>
          <w:tr w:rsidR="33B62C26" w14:paraId="1C80C979" w14:textId="77777777" w:rsidTr="33B62C26">
            <w:trPr>
              <w:trHeight w:val="285"/>
            </w:trPr>
            <w:tc>
              <w:tcPr>
                <w:tcW w:w="3198" w:type="dxa"/>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4D1F798E" w14:textId="5C89D2E7" w:rsidR="33B62C26" w:rsidRDefault="33B62C26" w:rsidP="33B62C26">
                <w:pPr>
                  <w:spacing w:after="0"/>
                  <w:ind w:left="-20" w:right="-20"/>
                  <w:jc w:val="center"/>
                </w:pPr>
                <w:r w:rsidRPr="33B62C26">
                  <w:rPr>
                    <w:rFonts w:ascii="Times New Roman" w:eastAsia="Times New Roman" w:hAnsi="Times New Roman"/>
                    <w:b/>
                    <w:bCs/>
                    <w:color w:val="000000" w:themeColor="text1"/>
                    <w:sz w:val="14"/>
                    <w:szCs w:val="14"/>
                  </w:rPr>
                  <w:t>ii) Reconocimiento de condena en costas y agencias en derecho</w:t>
                </w:r>
              </w:p>
            </w:tc>
            <w:tc>
              <w:tcPr>
                <w:tcW w:w="1328" w:type="dxa"/>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Mar>
                  <w:left w:w="70" w:type="dxa"/>
                  <w:right w:w="70" w:type="dxa"/>
                </w:tcMar>
                <w:vAlign w:val="center"/>
              </w:tcPr>
              <w:p w14:paraId="5282FE04" w14:textId="5BED6BBC" w:rsidR="33B62C26" w:rsidRDefault="33B62C26" w:rsidP="33B62C26">
                <w:pPr>
                  <w:spacing w:after="0"/>
                  <w:ind w:left="-20" w:right="-20"/>
                </w:pPr>
                <w:r w:rsidRPr="33B62C26">
                  <w:rPr>
                    <w:rFonts w:ascii="Times New Roman" w:eastAsia="Times New Roman" w:hAnsi="Times New Roman"/>
                    <w:b/>
                    <w:bCs/>
                    <w:color w:val="000000" w:themeColor="text1"/>
                    <w:sz w:val="14"/>
                    <w:szCs w:val="14"/>
                  </w:rPr>
                  <w:t xml:space="preserve">                  3.462.875.213 </w:t>
                </w:r>
              </w:p>
            </w:tc>
            <w:tc>
              <w:tcPr>
                <w:tcW w:w="9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11590774" w14:textId="56C87B0B" w:rsidR="33B62C26" w:rsidRDefault="33B62C26" w:rsidP="33B62C26">
                <w:pPr>
                  <w:spacing w:after="0"/>
                  <w:ind w:left="-20" w:right="-20"/>
                </w:pPr>
                <w:r w:rsidRPr="33B62C26">
                  <w:rPr>
                    <w:rFonts w:ascii="Times New Roman" w:eastAsia="Times New Roman" w:hAnsi="Times New Roman"/>
                    <w:b/>
                    <w:bCs/>
                    <w:color w:val="000000" w:themeColor="text1"/>
                    <w:sz w:val="14"/>
                    <w:szCs w:val="14"/>
                  </w:rPr>
                  <w:t xml:space="preserve"> </w:t>
                </w:r>
              </w:p>
            </w:tc>
            <w:tc>
              <w:tcPr>
                <w:tcW w:w="97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735E2DE3" w14:textId="6998DC3A" w:rsidR="33B62C26" w:rsidRDefault="33B62C26" w:rsidP="33B62C26">
                <w:pPr>
                  <w:spacing w:after="0"/>
                  <w:ind w:left="-20" w:right="-20"/>
                  <w:jc w:val="center"/>
                </w:pPr>
                <w:r w:rsidRPr="33B62C26">
                  <w:rPr>
                    <w:rFonts w:ascii="Times New Roman" w:eastAsia="Times New Roman" w:hAnsi="Times New Roman"/>
                    <w:b/>
                    <w:bCs/>
                    <w:color w:val="000000" w:themeColor="text1"/>
                    <w:sz w:val="14"/>
                    <w:szCs w:val="14"/>
                  </w:rPr>
                  <w:t xml:space="preserve"> </w:t>
                </w:r>
              </w:p>
            </w:tc>
            <w:tc>
              <w:tcPr>
                <w:tcW w:w="179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56074D6" w14:textId="4FDF9668" w:rsidR="33B62C26" w:rsidRDefault="33B62C26" w:rsidP="33B62C26">
                <w:pPr>
                  <w:spacing w:after="0"/>
                  <w:ind w:left="-20" w:right="-20"/>
                </w:pPr>
                <w:r w:rsidRPr="33B62C26">
                  <w:rPr>
                    <w:rFonts w:ascii="Times New Roman" w:eastAsia="Times New Roman" w:hAnsi="Times New Roman"/>
                    <w:b/>
                    <w:bCs/>
                    <w:color w:val="000000" w:themeColor="text1"/>
                    <w:sz w:val="14"/>
                    <w:szCs w:val="14"/>
                  </w:rPr>
                  <w:t xml:space="preserve"> </w:t>
                </w:r>
              </w:p>
            </w:tc>
            <w:tc>
              <w:tcPr>
                <w:tcW w:w="6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74204C07" w14:textId="75403157" w:rsidR="33B62C26" w:rsidRDefault="33B62C26" w:rsidP="33B62C26">
                <w:pPr>
                  <w:spacing w:after="0"/>
                  <w:ind w:left="-20" w:right="-20"/>
                  <w:jc w:val="center"/>
                </w:pPr>
                <w:r w:rsidRPr="33B62C26">
                  <w:rPr>
                    <w:rFonts w:ascii="Times New Roman" w:eastAsia="Times New Roman" w:hAnsi="Times New Roman"/>
                    <w:b/>
                    <w:bCs/>
                    <w:color w:val="000000" w:themeColor="text1"/>
                    <w:sz w:val="14"/>
                    <w:szCs w:val="14"/>
                  </w:rPr>
                  <w:t xml:space="preserve"> </w:t>
                </w:r>
              </w:p>
            </w:tc>
          </w:tr>
          <w:tr w:rsidR="33B62C26" w14:paraId="23E9FC7B" w14:textId="77777777" w:rsidTr="33B62C26">
            <w:trPr>
              <w:trHeight w:val="600"/>
            </w:trPr>
            <w:tc>
              <w:tcPr>
                <w:tcW w:w="86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A8DD85A" w14:textId="42B2DD1F" w:rsidR="33B62C26" w:rsidRPr="006F410F" w:rsidRDefault="33B62C26" w:rsidP="33B62C26">
                <w:pPr>
                  <w:spacing w:after="0"/>
                  <w:ind w:left="-20" w:right="-20"/>
                  <w:jc w:val="right"/>
                </w:pPr>
                <w:r w:rsidRPr="006F410F">
                  <w:rPr>
                    <w:rFonts w:ascii="Times New Roman" w:eastAsia="Times New Roman" w:hAnsi="Times New Roman"/>
                    <w:color w:val="000000" w:themeColor="text1"/>
                    <w:sz w:val="14"/>
                    <w:szCs w:val="14"/>
                  </w:rPr>
                  <w:t>800235872</w:t>
                </w:r>
              </w:p>
            </w:tc>
            <w:tc>
              <w:tcPr>
                <w:tcW w:w="2329"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779CD727" w14:textId="64F8F5A7" w:rsidR="33B62C26" w:rsidRPr="006F410F" w:rsidRDefault="33B62C26" w:rsidP="33B62C26">
                <w:pPr>
                  <w:spacing w:after="0"/>
                  <w:ind w:left="-20" w:right="-20"/>
                  <w:jc w:val="center"/>
                </w:pPr>
                <w:r w:rsidRPr="006F410F">
                  <w:rPr>
                    <w:rFonts w:ascii="Times New Roman" w:eastAsia="Times New Roman" w:hAnsi="Times New Roman"/>
                    <w:color w:val="000000" w:themeColor="text1"/>
                    <w:sz w:val="14"/>
                    <w:szCs w:val="14"/>
                  </w:rPr>
                  <w:t>CONCESIONARIA VIAL DE LOS ANDES S.A.S. COVIANDES S.A.S.</w:t>
                </w:r>
              </w:p>
            </w:tc>
            <w:tc>
              <w:tcPr>
                <w:tcW w:w="132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2DAAFC5" w14:textId="793B099E" w:rsidR="33B62C26" w:rsidRPr="006F410F" w:rsidRDefault="33B62C26" w:rsidP="33B62C26">
                <w:pPr>
                  <w:spacing w:after="0"/>
                  <w:ind w:left="-20" w:right="-20"/>
                </w:pPr>
                <w:r w:rsidRPr="006F410F">
                  <w:rPr>
                    <w:rFonts w:ascii="Times New Roman" w:eastAsia="Times New Roman" w:hAnsi="Times New Roman"/>
                    <w:color w:val="000000" w:themeColor="text1"/>
                    <w:sz w:val="14"/>
                    <w:szCs w:val="14"/>
                  </w:rPr>
                  <w:t xml:space="preserve">                                  2.272.875.213 </w:t>
                </w:r>
              </w:p>
            </w:tc>
            <w:tc>
              <w:tcPr>
                <w:tcW w:w="98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CA9AD5A" w14:textId="1A2A4AB4" w:rsidR="33B62C26" w:rsidRPr="006F410F" w:rsidRDefault="33B62C26" w:rsidP="33B62C26">
                <w:pPr>
                  <w:spacing w:after="0"/>
                  <w:ind w:left="-20" w:right="-20"/>
                  <w:jc w:val="center"/>
                </w:pPr>
                <w:r w:rsidRPr="006F410F">
                  <w:rPr>
                    <w:rFonts w:ascii="Times New Roman" w:eastAsia="Times New Roman" w:hAnsi="Times New Roman"/>
                    <w:color w:val="000000" w:themeColor="text1"/>
                    <w:sz w:val="14"/>
                    <w:szCs w:val="14"/>
                  </w:rPr>
                  <w:t xml:space="preserve"> </w:t>
                </w:r>
              </w:p>
            </w:tc>
            <w:tc>
              <w:tcPr>
                <w:tcW w:w="97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1EEE299F" w14:textId="5029BE4C" w:rsidR="33B62C26" w:rsidRPr="006F410F" w:rsidRDefault="33B62C26" w:rsidP="33B62C26">
                <w:pPr>
                  <w:spacing w:after="0"/>
                  <w:ind w:left="-20" w:right="-20"/>
                  <w:jc w:val="center"/>
                </w:pPr>
                <w:r w:rsidRPr="006F410F">
                  <w:rPr>
                    <w:rFonts w:ascii="Times New Roman" w:eastAsia="Times New Roman" w:hAnsi="Times New Roman"/>
                    <w:color w:val="000000" w:themeColor="text1"/>
                    <w:sz w:val="14"/>
                    <w:szCs w:val="14"/>
                  </w:rPr>
                  <w:t xml:space="preserve"> </w:t>
                </w:r>
              </w:p>
            </w:tc>
            <w:tc>
              <w:tcPr>
                <w:tcW w:w="179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4B2352BA" w14:textId="381FBD26" w:rsidR="33B62C26" w:rsidRPr="006F410F" w:rsidRDefault="33B62C26" w:rsidP="33B62C26">
                <w:pPr>
                  <w:spacing w:after="0"/>
                  <w:ind w:left="-20" w:right="-20"/>
                  <w:jc w:val="center"/>
                </w:pPr>
                <w:r w:rsidRPr="006F410F">
                  <w:rPr>
                    <w:rFonts w:ascii="Times New Roman" w:eastAsia="Times New Roman" w:hAnsi="Times New Roman"/>
                    <w:color w:val="000000" w:themeColor="text1"/>
                    <w:sz w:val="14"/>
                    <w:szCs w:val="14"/>
                  </w:rPr>
                  <w:t xml:space="preserve"> </w:t>
                </w:r>
              </w:p>
            </w:tc>
            <w:tc>
              <w:tcPr>
                <w:tcW w:w="6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3859F7A" w14:textId="1964517E" w:rsidR="33B62C26" w:rsidRPr="006F410F" w:rsidRDefault="33B62C26" w:rsidP="33B62C26">
                <w:pPr>
                  <w:spacing w:after="0"/>
                  <w:ind w:left="-20" w:right="-20"/>
                  <w:jc w:val="center"/>
                </w:pPr>
                <w:r w:rsidRPr="006F410F">
                  <w:rPr>
                    <w:rFonts w:ascii="Times New Roman" w:eastAsia="Times New Roman" w:hAnsi="Times New Roman"/>
                    <w:color w:val="000000" w:themeColor="text1"/>
                    <w:sz w:val="14"/>
                    <w:szCs w:val="14"/>
                  </w:rPr>
                  <w:t xml:space="preserve"> </w:t>
                </w:r>
              </w:p>
            </w:tc>
          </w:tr>
          <w:tr w:rsidR="33B62C26" w14:paraId="0BE88269" w14:textId="77777777" w:rsidTr="33B62C26">
            <w:trPr>
              <w:trHeight w:val="1260"/>
            </w:trPr>
            <w:tc>
              <w:tcPr>
                <w:tcW w:w="86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51FD2635" w14:textId="2AFF02FC" w:rsidR="33B62C26" w:rsidRPr="006F410F" w:rsidRDefault="33B62C26" w:rsidP="33B62C26">
                <w:pPr>
                  <w:spacing w:after="0"/>
                  <w:ind w:left="-20" w:right="-20"/>
                  <w:jc w:val="right"/>
                </w:pPr>
                <w:r w:rsidRPr="006F410F">
                  <w:rPr>
                    <w:rFonts w:ascii="Times New Roman" w:eastAsia="Times New Roman" w:hAnsi="Times New Roman"/>
                    <w:color w:val="000000" w:themeColor="text1"/>
                    <w:sz w:val="14"/>
                    <w:szCs w:val="14"/>
                  </w:rPr>
                  <w:t>900920562</w:t>
                </w:r>
              </w:p>
            </w:tc>
            <w:tc>
              <w:tcPr>
                <w:tcW w:w="232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2C21A547" w14:textId="3005C165" w:rsidR="33B62C26" w:rsidRPr="006F410F" w:rsidRDefault="33B62C26" w:rsidP="33B62C26">
                <w:pPr>
                  <w:spacing w:after="0"/>
                  <w:ind w:left="-20" w:right="-20"/>
                  <w:jc w:val="center"/>
                </w:pPr>
                <w:r w:rsidRPr="006F410F">
                  <w:rPr>
                    <w:rFonts w:ascii="Times New Roman" w:eastAsia="Times New Roman" w:hAnsi="Times New Roman"/>
                    <w:color w:val="000000" w:themeColor="text1"/>
                    <w:sz w:val="14"/>
                    <w:szCs w:val="14"/>
                  </w:rPr>
                  <w:t>CONCESION VIAS DEL NUS S.A.S</w:t>
                </w:r>
              </w:p>
            </w:tc>
            <w:tc>
              <w:tcPr>
                <w:tcW w:w="132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83BBC41" w14:textId="49843ECC" w:rsidR="33B62C26" w:rsidRPr="006F410F" w:rsidRDefault="33B62C26" w:rsidP="33B62C26">
                <w:pPr>
                  <w:spacing w:after="0"/>
                  <w:ind w:left="-20" w:right="-20"/>
                </w:pPr>
                <w:r w:rsidRPr="006F410F">
                  <w:rPr>
                    <w:rFonts w:ascii="Times New Roman" w:eastAsia="Times New Roman" w:hAnsi="Times New Roman"/>
                    <w:color w:val="000000" w:themeColor="text1"/>
                    <w:sz w:val="14"/>
                    <w:szCs w:val="14"/>
                  </w:rPr>
                  <w:t xml:space="preserve">                                   1.190.000.000 </w:t>
                </w:r>
              </w:p>
            </w:tc>
            <w:tc>
              <w:tcPr>
                <w:tcW w:w="988" w:type="dxa"/>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tcMar>
                  <w:left w:w="70" w:type="dxa"/>
                  <w:right w:w="70" w:type="dxa"/>
                </w:tcMar>
                <w:vAlign w:val="center"/>
              </w:tcPr>
              <w:p w14:paraId="0E0F05D1" w14:textId="46B98DBB" w:rsidR="33B62C26" w:rsidRPr="006F410F" w:rsidRDefault="33B62C26" w:rsidP="33B62C26">
                <w:pPr>
                  <w:spacing w:after="0"/>
                  <w:ind w:left="-20" w:right="-20"/>
                  <w:jc w:val="center"/>
                </w:pPr>
                <w:r w:rsidRPr="006F410F">
                  <w:rPr>
                    <w:rFonts w:ascii="Times New Roman" w:eastAsia="Times New Roman" w:hAnsi="Times New Roman"/>
                    <w:color w:val="000000" w:themeColor="text1"/>
                    <w:sz w:val="14"/>
                    <w:szCs w:val="14"/>
                  </w:rPr>
                  <w:t>1</w:t>
                </w:r>
              </w:p>
            </w:tc>
            <w:tc>
              <w:tcPr>
                <w:tcW w:w="971" w:type="dxa"/>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tcMar>
                  <w:left w:w="70" w:type="dxa"/>
                  <w:right w:w="70" w:type="dxa"/>
                </w:tcMar>
                <w:vAlign w:val="center"/>
              </w:tcPr>
              <w:p w14:paraId="0E4BBC35" w14:textId="3B121231" w:rsidR="33B62C26" w:rsidRPr="006F410F" w:rsidRDefault="33B62C26" w:rsidP="33B62C26">
                <w:pPr>
                  <w:spacing w:after="0"/>
                  <w:ind w:left="-20" w:right="-20"/>
                  <w:jc w:val="center"/>
                </w:pPr>
                <w:r w:rsidRPr="006F410F">
                  <w:rPr>
                    <w:rFonts w:ascii="Times New Roman" w:eastAsia="Times New Roman" w:hAnsi="Times New Roman"/>
                    <w:color w:val="000000" w:themeColor="text1"/>
                    <w:sz w:val="14"/>
                    <w:szCs w:val="14"/>
                  </w:rPr>
                  <w:t>10</w:t>
                </w:r>
              </w:p>
            </w:tc>
            <w:tc>
              <w:tcPr>
                <w:tcW w:w="1799" w:type="dxa"/>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tcMar>
                  <w:left w:w="70" w:type="dxa"/>
                  <w:right w:w="70" w:type="dxa"/>
                </w:tcMar>
                <w:vAlign w:val="center"/>
              </w:tcPr>
              <w:p w14:paraId="4817B6B1" w14:textId="2FDC829C" w:rsidR="33B62C26" w:rsidRPr="006F410F" w:rsidRDefault="33B62C26" w:rsidP="33B62C26">
                <w:pPr>
                  <w:spacing w:after="0"/>
                  <w:ind w:left="-20" w:right="-20"/>
                  <w:jc w:val="center"/>
                </w:pPr>
                <w:r w:rsidRPr="006F410F">
                  <w:rPr>
                    <w:rFonts w:ascii="Times New Roman" w:eastAsia="Times New Roman" w:hAnsi="Times New Roman"/>
                    <w:color w:val="000000" w:themeColor="text1"/>
                    <w:sz w:val="14"/>
                    <w:szCs w:val="14"/>
                  </w:rPr>
                  <w:t>Los pagos de sentencias y conciliaciones, se debe dar aplicación a los artículos 192 y 195 de la Ley 1437 de 2011 o Código de Procedimiento Administrativo y de lo Contencioso Administrativo (CPACA)</w:t>
                </w:r>
              </w:p>
            </w:tc>
            <w:tc>
              <w:tcPr>
                <w:tcW w:w="685" w:type="dxa"/>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tcMar>
                  <w:left w:w="70" w:type="dxa"/>
                  <w:right w:w="70" w:type="dxa"/>
                </w:tcMar>
                <w:vAlign w:val="center"/>
              </w:tcPr>
              <w:p w14:paraId="3B88A04A" w14:textId="5B9ED29D" w:rsidR="33B62C26" w:rsidRPr="006F410F" w:rsidRDefault="33B62C26" w:rsidP="33B62C26">
                <w:pPr>
                  <w:spacing w:after="0"/>
                  <w:ind w:left="-20" w:right="-20"/>
                  <w:jc w:val="center"/>
                </w:pPr>
                <w:r w:rsidRPr="006F410F">
                  <w:rPr>
                    <w:rFonts w:ascii="Times New Roman" w:eastAsia="Times New Roman" w:hAnsi="Times New Roman"/>
                    <w:color w:val="000000" w:themeColor="text1"/>
                    <w:sz w:val="14"/>
                    <w:szCs w:val="14"/>
                  </w:rPr>
                  <w:t>DTF</w:t>
                </w:r>
              </w:p>
            </w:tc>
          </w:tr>
        </w:tbl>
        <w:p w14:paraId="141DC7BC" w14:textId="038D11DC" w:rsidR="00D15A37" w:rsidRPr="00931DCE" w:rsidRDefault="00D15A37" w:rsidP="00FC2584">
          <w:pPr>
            <w:spacing w:after="0" w:line="240" w:lineRule="auto"/>
            <w:jc w:val="both"/>
            <w:rPr>
              <w:rFonts w:ascii="Times New Roman" w:hAnsi="Times New Roman"/>
              <w:sz w:val="24"/>
              <w:szCs w:val="24"/>
            </w:rPr>
          </w:pPr>
        </w:p>
        <w:p w14:paraId="4D1E806F" w14:textId="77777777" w:rsidR="00D15A37" w:rsidRPr="005F1B0E" w:rsidRDefault="00D15A37" w:rsidP="00FC2584">
          <w:pPr>
            <w:spacing w:after="0" w:line="240" w:lineRule="auto"/>
            <w:jc w:val="both"/>
            <w:rPr>
              <w:rFonts w:ascii="Times New Roman" w:hAnsi="Times New Roman"/>
              <w:color w:val="1F3864" w:themeColor="accent1" w:themeShade="80"/>
              <w:sz w:val="24"/>
              <w:szCs w:val="24"/>
            </w:rPr>
          </w:pPr>
        </w:p>
        <w:p w14:paraId="48A55C3E" w14:textId="77777777" w:rsidR="00FC2584" w:rsidRPr="005F1B0E" w:rsidRDefault="00FC2584" w:rsidP="00E60BAB">
          <w:pPr>
            <w:pStyle w:val="Prrafodelista"/>
            <w:numPr>
              <w:ilvl w:val="0"/>
              <w:numId w:val="59"/>
            </w:numPr>
            <w:spacing w:line="259" w:lineRule="auto"/>
            <w:ind w:left="851" w:hanging="283"/>
            <w:jc w:val="both"/>
            <w:rPr>
              <w:rFonts w:ascii="Times New Roman" w:hAnsi="Times New Roman"/>
              <w:b/>
              <w:color w:val="1F3864" w:themeColor="accent1" w:themeShade="80"/>
              <w:sz w:val="24"/>
              <w:szCs w:val="24"/>
              <w:u w:val="single"/>
            </w:rPr>
          </w:pPr>
          <w:r w:rsidRPr="005F1B0E">
            <w:rPr>
              <w:rFonts w:ascii="Times New Roman" w:hAnsi="Times New Roman"/>
              <w:b/>
              <w:color w:val="1F3864" w:themeColor="accent1" w:themeShade="80"/>
              <w:sz w:val="24"/>
              <w:szCs w:val="24"/>
              <w:u w:val="single"/>
            </w:rPr>
            <w:t>Laudos arbitrales ejecutoriados</w:t>
          </w:r>
        </w:p>
        <w:p w14:paraId="0AD097EF" w14:textId="77777777" w:rsidR="00FC2584" w:rsidRPr="00931DCE" w:rsidRDefault="00FC2584" w:rsidP="00FC2584">
          <w:pPr>
            <w:pStyle w:val="Prrafodelista"/>
            <w:spacing w:after="0" w:line="240" w:lineRule="auto"/>
            <w:ind w:left="0"/>
            <w:jc w:val="both"/>
            <w:rPr>
              <w:rFonts w:ascii="Times New Roman" w:hAnsi="Times New Roman"/>
              <w:sz w:val="24"/>
              <w:szCs w:val="24"/>
            </w:rPr>
          </w:pPr>
        </w:p>
        <w:p w14:paraId="7F616464" w14:textId="6268325B" w:rsidR="00FC2584" w:rsidRPr="00931DCE" w:rsidRDefault="00FC2584" w:rsidP="00FC2584">
          <w:pPr>
            <w:pStyle w:val="Prrafodelista"/>
            <w:spacing w:after="0" w:line="240" w:lineRule="auto"/>
            <w:ind w:left="0"/>
            <w:jc w:val="both"/>
            <w:rPr>
              <w:rFonts w:ascii="Times New Roman" w:hAnsi="Times New Roman"/>
              <w:sz w:val="24"/>
              <w:szCs w:val="24"/>
            </w:rPr>
          </w:pPr>
          <w:r w:rsidRPr="00931DCE">
            <w:rPr>
              <w:rFonts w:ascii="Times New Roman" w:hAnsi="Times New Roman"/>
              <w:sz w:val="24"/>
              <w:szCs w:val="24"/>
            </w:rPr>
            <w:t xml:space="preserve">Con relación a los Laudos Arbitrales ejecutoriados, el valor a 31 de diciembre de </w:t>
          </w:r>
          <w:r w:rsidR="00EF6E05" w:rsidRPr="00931DCE">
            <w:rPr>
              <w:rFonts w:ascii="Times New Roman" w:hAnsi="Times New Roman"/>
              <w:sz w:val="24"/>
              <w:szCs w:val="24"/>
            </w:rPr>
            <w:t>202</w:t>
          </w:r>
          <w:r w:rsidR="001C3B02">
            <w:rPr>
              <w:rFonts w:ascii="Times New Roman" w:hAnsi="Times New Roman"/>
              <w:sz w:val="24"/>
              <w:szCs w:val="24"/>
            </w:rPr>
            <w:t>3</w:t>
          </w:r>
          <w:r w:rsidRPr="00931DCE">
            <w:rPr>
              <w:rFonts w:ascii="Times New Roman" w:hAnsi="Times New Roman"/>
              <w:sz w:val="24"/>
              <w:szCs w:val="24"/>
            </w:rPr>
            <w:t xml:space="preserve"> asciende a la suma de $</w:t>
          </w:r>
          <w:r w:rsidR="009E080C" w:rsidRPr="009E080C">
            <w:rPr>
              <w:rFonts w:ascii="Times New Roman" w:hAnsi="Times New Roman"/>
              <w:sz w:val="24"/>
              <w:szCs w:val="24"/>
            </w:rPr>
            <w:t>1</w:t>
          </w:r>
          <w:r w:rsidR="009E080C">
            <w:rPr>
              <w:rFonts w:ascii="Times New Roman" w:hAnsi="Times New Roman"/>
              <w:sz w:val="24"/>
              <w:szCs w:val="24"/>
            </w:rPr>
            <w:t>.</w:t>
          </w:r>
          <w:r w:rsidR="00E049BF" w:rsidRPr="00E049BF">
            <w:rPr>
              <w:rFonts w:ascii="Times New Roman" w:hAnsi="Times New Roman"/>
              <w:sz w:val="24"/>
              <w:szCs w:val="24"/>
            </w:rPr>
            <w:t>758</w:t>
          </w:r>
          <w:r w:rsidR="00E049BF">
            <w:rPr>
              <w:rFonts w:ascii="Times New Roman" w:hAnsi="Times New Roman"/>
              <w:sz w:val="24"/>
              <w:szCs w:val="24"/>
            </w:rPr>
            <w:t>.</w:t>
          </w:r>
          <w:r w:rsidR="00E049BF" w:rsidRPr="00E049BF">
            <w:rPr>
              <w:rFonts w:ascii="Times New Roman" w:hAnsi="Times New Roman"/>
              <w:sz w:val="24"/>
              <w:szCs w:val="24"/>
            </w:rPr>
            <w:t>176</w:t>
          </w:r>
          <w:r w:rsidR="009E080C">
            <w:rPr>
              <w:rFonts w:ascii="Times New Roman" w:hAnsi="Times New Roman"/>
              <w:sz w:val="24"/>
              <w:szCs w:val="24"/>
            </w:rPr>
            <w:t>.</w:t>
          </w:r>
          <w:r w:rsidR="009E080C" w:rsidRPr="009E080C">
            <w:rPr>
              <w:rFonts w:ascii="Times New Roman" w:hAnsi="Times New Roman"/>
              <w:sz w:val="24"/>
              <w:szCs w:val="24"/>
            </w:rPr>
            <w:t>498</w:t>
          </w:r>
          <w:r w:rsidR="009E080C">
            <w:rPr>
              <w:rFonts w:ascii="Times New Roman" w:hAnsi="Times New Roman"/>
              <w:sz w:val="24"/>
              <w:szCs w:val="24"/>
            </w:rPr>
            <w:t>.</w:t>
          </w:r>
          <w:r w:rsidR="00E049BF" w:rsidRPr="00E049BF">
            <w:rPr>
              <w:rFonts w:ascii="Times New Roman" w:hAnsi="Times New Roman"/>
              <w:sz w:val="24"/>
              <w:szCs w:val="24"/>
            </w:rPr>
            <w:t>467</w:t>
          </w:r>
          <w:r w:rsidRPr="00931DCE">
            <w:rPr>
              <w:rFonts w:ascii="Times New Roman" w:hAnsi="Times New Roman"/>
              <w:sz w:val="24"/>
              <w:szCs w:val="24"/>
            </w:rPr>
            <w:t xml:space="preserve">, correspondientes al valor del capital y los intereses, de los siguientes terceros: </w:t>
          </w:r>
        </w:p>
        <w:p w14:paraId="565555D9" w14:textId="77777777" w:rsidR="00FC2584" w:rsidRPr="00931DCE" w:rsidRDefault="00FC2584" w:rsidP="00FC2584">
          <w:pPr>
            <w:spacing w:after="0" w:line="240" w:lineRule="auto"/>
            <w:ind w:left="708"/>
            <w:jc w:val="both"/>
            <w:rPr>
              <w:rFonts w:ascii="Times New Roman" w:hAnsi="Times New Roman"/>
              <w:sz w:val="14"/>
              <w:szCs w:val="14"/>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CellMar>
              <w:left w:w="70" w:type="dxa"/>
              <w:right w:w="70" w:type="dxa"/>
            </w:tblCellMar>
            <w:tblLook w:val="04A0" w:firstRow="1" w:lastRow="0" w:firstColumn="1" w:lastColumn="0" w:noHBand="0" w:noVBand="1"/>
          </w:tblPr>
          <w:tblGrid>
            <w:gridCol w:w="1208"/>
            <w:gridCol w:w="3417"/>
            <w:gridCol w:w="1492"/>
            <w:gridCol w:w="1360"/>
            <w:gridCol w:w="1492"/>
          </w:tblGrid>
          <w:tr w:rsidR="005526A9" w:rsidRPr="005526A9" w14:paraId="58F28309" w14:textId="77777777" w:rsidTr="00D94FC9">
            <w:trPr>
              <w:trHeight w:val="340"/>
              <w:tblHeader/>
              <w:jc w:val="center"/>
            </w:trPr>
            <w:tc>
              <w:tcPr>
                <w:tcW w:w="673" w:type="pct"/>
                <w:shd w:val="clear" w:color="auto" w:fill="auto"/>
                <w:vAlign w:val="center"/>
                <w:hideMark/>
              </w:tcPr>
              <w:p w14:paraId="4BE4C102" w14:textId="77777777" w:rsidR="005526A9" w:rsidRPr="009A46BB" w:rsidRDefault="005526A9" w:rsidP="005526A9">
                <w:pPr>
                  <w:spacing w:after="0" w:line="240" w:lineRule="auto"/>
                  <w:jc w:val="center"/>
                  <w:rPr>
                    <w:rFonts w:ascii="Times New Roman" w:eastAsia="Times New Roman" w:hAnsi="Times New Roman"/>
                    <w:b/>
                    <w:color w:val="000000"/>
                    <w:sz w:val="16"/>
                    <w:szCs w:val="16"/>
                    <w:lang w:eastAsia="es-CO"/>
                  </w:rPr>
                </w:pPr>
                <w:r w:rsidRPr="009A46BB">
                  <w:rPr>
                    <w:rFonts w:ascii="Times New Roman" w:eastAsia="Times New Roman" w:hAnsi="Times New Roman"/>
                    <w:b/>
                    <w:color w:val="000000"/>
                    <w:sz w:val="16"/>
                    <w:szCs w:val="16"/>
                    <w:lang w:eastAsia="es-CO"/>
                  </w:rPr>
                  <w:t>Identificación</w:t>
                </w:r>
              </w:p>
            </w:tc>
            <w:tc>
              <w:tcPr>
                <w:tcW w:w="1905" w:type="pct"/>
                <w:shd w:val="clear" w:color="auto" w:fill="auto"/>
                <w:vAlign w:val="center"/>
                <w:hideMark/>
              </w:tcPr>
              <w:p w14:paraId="21CD59E5" w14:textId="77777777" w:rsidR="005526A9" w:rsidRPr="009A46BB" w:rsidRDefault="005526A9" w:rsidP="005526A9">
                <w:pPr>
                  <w:spacing w:after="0" w:line="240" w:lineRule="auto"/>
                  <w:jc w:val="center"/>
                  <w:rPr>
                    <w:rFonts w:ascii="Times New Roman" w:eastAsia="Times New Roman" w:hAnsi="Times New Roman"/>
                    <w:b/>
                    <w:color w:val="000000"/>
                    <w:sz w:val="16"/>
                    <w:szCs w:val="16"/>
                    <w:lang w:eastAsia="es-CO"/>
                  </w:rPr>
                </w:pPr>
                <w:r w:rsidRPr="009A46BB">
                  <w:rPr>
                    <w:rFonts w:ascii="Times New Roman" w:eastAsia="Times New Roman" w:hAnsi="Times New Roman"/>
                    <w:b/>
                    <w:color w:val="000000"/>
                    <w:sz w:val="16"/>
                    <w:szCs w:val="16"/>
                    <w:lang w:eastAsia="es-CO"/>
                  </w:rPr>
                  <w:t>Tercero</w:t>
                </w:r>
              </w:p>
            </w:tc>
            <w:tc>
              <w:tcPr>
                <w:tcW w:w="832" w:type="pct"/>
                <w:shd w:val="clear" w:color="auto" w:fill="auto"/>
                <w:vAlign w:val="center"/>
                <w:hideMark/>
              </w:tcPr>
              <w:p w14:paraId="5DFE7CCF" w14:textId="77777777" w:rsidR="005526A9" w:rsidRPr="009A46BB" w:rsidRDefault="005526A9" w:rsidP="005526A9">
                <w:pPr>
                  <w:spacing w:after="0" w:line="240" w:lineRule="auto"/>
                  <w:jc w:val="center"/>
                  <w:rPr>
                    <w:rFonts w:ascii="Times New Roman" w:eastAsia="Times New Roman" w:hAnsi="Times New Roman"/>
                    <w:b/>
                    <w:color w:val="000000"/>
                    <w:sz w:val="16"/>
                    <w:szCs w:val="16"/>
                    <w:lang w:eastAsia="es-CO"/>
                  </w:rPr>
                </w:pPr>
                <w:r w:rsidRPr="009A46BB">
                  <w:rPr>
                    <w:rFonts w:ascii="Times New Roman" w:eastAsia="Times New Roman" w:hAnsi="Times New Roman"/>
                    <w:b/>
                    <w:color w:val="000000"/>
                    <w:sz w:val="16"/>
                    <w:szCs w:val="16"/>
                    <w:lang w:eastAsia="es-CO"/>
                  </w:rPr>
                  <w:t>Valor Capital</w:t>
                </w:r>
              </w:p>
            </w:tc>
            <w:tc>
              <w:tcPr>
                <w:tcW w:w="758" w:type="pct"/>
                <w:shd w:val="clear" w:color="auto" w:fill="auto"/>
                <w:vAlign w:val="center"/>
                <w:hideMark/>
              </w:tcPr>
              <w:p w14:paraId="0706EA25" w14:textId="77777777" w:rsidR="005526A9" w:rsidRPr="009A46BB" w:rsidRDefault="005526A9" w:rsidP="005526A9">
                <w:pPr>
                  <w:spacing w:after="0" w:line="240" w:lineRule="auto"/>
                  <w:jc w:val="center"/>
                  <w:rPr>
                    <w:rFonts w:ascii="Times New Roman" w:eastAsia="Times New Roman" w:hAnsi="Times New Roman"/>
                    <w:b/>
                    <w:color w:val="000000"/>
                    <w:sz w:val="16"/>
                    <w:szCs w:val="16"/>
                    <w:lang w:eastAsia="es-CO"/>
                  </w:rPr>
                </w:pPr>
                <w:r w:rsidRPr="009A46BB">
                  <w:rPr>
                    <w:rFonts w:ascii="Times New Roman" w:eastAsia="Times New Roman" w:hAnsi="Times New Roman"/>
                    <w:b/>
                    <w:color w:val="000000"/>
                    <w:sz w:val="16"/>
                    <w:szCs w:val="16"/>
                    <w:lang w:eastAsia="es-CO"/>
                  </w:rPr>
                  <w:t>Valor Intereses</w:t>
                </w:r>
              </w:p>
            </w:tc>
            <w:tc>
              <w:tcPr>
                <w:tcW w:w="832" w:type="pct"/>
                <w:shd w:val="clear" w:color="auto" w:fill="auto"/>
                <w:vAlign w:val="center"/>
                <w:hideMark/>
              </w:tcPr>
              <w:p w14:paraId="2F5131DC" w14:textId="77777777" w:rsidR="005526A9" w:rsidRPr="009A46BB" w:rsidRDefault="005526A9" w:rsidP="005526A9">
                <w:pPr>
                  <w:spacing w:after="0" w:line="240" w:lineRule="auto"/>
                  <w:jc w:val="center"/>
                  <w:rPr>
                    <w:rFonts w:ascii="Times New Roman" w:eastAsia="Times New Roman" w:hAnsi="Times New Roman"/>
                    <w:b/>
                    <w:color w:val="000000"/>
                    <w:sz w:val="16"/>
                    <w:szCs w:val="16"/>
                    <w:lang w:eastAsia="es-CO"/>
                  </w:rPr>
                </w:pPr>
                <w:r w:rsidRPr="009A46BB">
                  <w:rPr>
                    <w:rFonts w:ascii="Times New Roman" w:eastAsia="Times New Roman" w:hAnsi="Times New Roman"/>
                    <w:b/>
                    <w:color w:val="000000"/>
                    <w:sz w:val="16"/>
                    <w:szCs w:val="16"/>
                    <w:lang w:eastAsia="es-CO"/>
                  </w:rPr>
                  <w:t>Total</w:t>
                </w:r>
              </w:p>
            </w:tc>
          </w:tr>
          <w:tr w:rsidR="005526A9" w:rsidRPr="005526A9" w14:paraId="77D44023" w14:textId="77777777" w:rsidTr="005D15F4">
            <w:trPr>
              <w:trHeight w:val="340"/>
              <w:jc w:val="center"/>
            </w:trPr>
            <w:tc>
              <w:tcPr>
                <w:tcW w:w="673" w:type="pct"/>
                <w:shd w:val="clear" w:color="auto" w:fill="auto"/>
                <w:noWrap/>
                <w:vAlign w:val="center"/>
                <w:hideMark/>
              </w:tcPr>
              <w:p w14:paraId="6A99E05C" w14:textId="77777777" w:rsidR="005526A9" w:rsidRPr="009A46BB" w:rsidRDefault="005526A9" w:rsidP="005526A9">
                <w:pPr>
                  <w:spacing w:after="0" w:line="240" w:lineRule="auto"/>
                  <w:jc w:val="right"/>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830059605</w:t>
                </w:r>
              </w:p>
            </w:tc>
            <w:tc>
              <w:tcPr>
                <w:tcW w:w="1905" w:type="pct"/>
                <w:shd w:val="clear" w:color="auto" w:fill="auto"/>
                <w:vAlign w:val="center"/>
                <w:hideMark/>
              </w:tcPr>
              <w:p w14:paraId="2C411F6F" w14:textId="77777777" w:rsidR="005526A9" w:rsidRPr="009A46BB" w:rsidRDefault="005526A9" w:rsidP="005526A9">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UNION TEMPORAL DESARROLLO VIAL DEL VALLE DEL CAUCA Y CAUCA</w:t>
                </w:r>
              </w:p>
            </w:tc>
            <w:tc>
              <w:tcPr>
                <w:tcW w:w="832" w:type="pct"/>
                <w:shd w:val="clear" w:color="auto" w:fill="auto"/>
                <w:noWrap/>
                <w:vAlign w:val="center"/>
                <w:hideMark/>
              </w:tcPr>
              <w:p w14:paraId="595FC262" w14:textId="0F99A22F" w:rsidR="005526A9" w:rsidRPr="009A46BB" w:rsidRDefault="005526A9" w:rsidP="005526A9">
                <w:pPr>
                  <w:spacing w:after="0" w:line="240" w:lineRule="auto"/>
                  <w:jc w:val="right"/>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 xml:space="preserve"> 795.967.095.128 </w:t>
                </w:r>
              </w:p>
            </w:tc>
            <w:tc>
              <w:tcPr>
                <w:tcW w:w="758" w:type="pct"/>
                <w:shd w:val="clear" w:color="auto" w:fill="auto"/>
                <w:noWrap/>
                <w:vAlign w:val="center"/>
                <w:hideMark/>
              </w:tcPr>
              <w:p w14:paraId="49B11A5E" w14:textId="53F9BC44" w:rsidR="005526A9" w:rsidRPr="009A46BB" w:rsidRDefault="005526A9" w:rsidP="006755A4">
                <w:pPr>
                  <w:spacing w:after="0" w:line="240" w:lineRule="auto"/>
                  <w:jc w:val="center"/>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 xml:space="preserve">457.470.017.731 </w:t>
                </w:r>
              </w:p>
            </w:tc>
            <w:tc>
              <w:tcPr>
                <w:tcW w:w="832" w:type="pct"/>
                <w:shd w:val="clear" w:color="auto" w:fill="auto"/>
                <w:noWrap/>
                <w:vAlign w:val="center"/>
                <w:hideMark/>
              </w:tcPr>
              <w:p w14:paraId="2A4D7027" w14:textId="394F6DB3" w:rsidR="005526A9" w:rsidRPr="009A46BB" w:rsidRDefault="005526A9" w:rsidP="005526A9">
                <w:pPr>
                  <w:spacing w:after="0" w:line="240" w:lineRule="auto"/>
                  <w:jc w:val="right"/>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 xml:space="preserve">1.253.437.112.859 </w:t>
                </w:r>
              </w:p>
            </w:tc>
          </w:tr>
          <w:tr w:rsidR="005526A9" w:rsidRPr="005526A9" w14:paraId="2EDAA35E" w14:textId="77777777" w:rsidTr="005D15F4">
            <w:trPr>
              <w:trHeight w:val="340"/>
              <w:jc w:val="center"/>
            </w:trPr>
            <w:tc>
              <w:tcPr>
                <w:tcW w:w="673" w:type="pct"/>
                <w:shd w:val="clear" w:color="auto" w:fill="auto"/>
                <w:noWrap/>
                <w:vAlign w:val="center"/>
                <w:hideMark/>
              </w:tcPr>
              <w:p w14:paraId="24AD72DB" w14:textId="77777777" w:rsidR="005526A9" w:rsidRPr="009A46BB" w:rsidRDefault="005526A9" w:rsidP="005526A9">
                <w:pPr>
                  <w:spacing w:after="0" w:line="240" w:lineRule="auto"/>
                  <w:jc w:val="right"/>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900330374</w:t>
                </w:r>
              </w:p>
            </w:tc>
            <w:tc>
              <w:tcPr>
                <w:tcW w:w="1905" w:type="pct"/>
                <w:shd w:val="clear" w:color="auto" w:fill="auto"/>
                <w:vAlign w:val="center"/>
                <w:hideMark/>
              </w:tcPr>
              <w:p w14:paraId="2D1C0404" w14:textId="77777777" w:rsidR="005526A9" w:rsidRPr="009A46BB" w:rsidRDefault="005526A9" w:rsidP="005526A9">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CONSORCIO VIAL HELIOS</w:t>
                </w:r>
              </w:p>
            </w:tc>
            <w:tc>
              <w:tcPr>
                <w:tcW w:w="832" w:type="pct"/>
                <w:shd w:val="clear" w:color="auto" w:fill="auto"/>
                <w:noWrap/>
                <w:vAlign w:val="center"/>
                <w:hideMark/>
              </w:tcPr>
              <w:p w14:paraId="26D2D9BB" w14:textId="4F71444A" w:rsidR="005526A9" w:rsidRPr="009A46BB" w:rsidRDefault="005526A9" w:rsidP="005526A9">
                <w:pPr>
                  <w:spacing w:after="0" w:line="240" w:lineRule="auto"/>
                  <w:jc w:val="right"/>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 xml:space="preserve"> 160.466.368.272 </w:t>
                </w:r>
              </w:p>
            </w:tc>
            <w:tc>
              <w:tcPr>
                <w:tcW w:w="758" w:type="pct"/>
                <w:shd w:val="clear" w:color="auto" w:fill="auto"/>
                <w:noWrap/>
                <w:vAlign w:val="center"/>
                <w:hideMark/>
              </w:tcPr>
              <w:p w14:paraId="01F7B154" w14:textId="3BE7DB84" w:rsidR="005526A9" w:rsidRPr="009A46BB" w:rsidRDefault="005526A9" w:rsidP="005526A9">
                <w:pPr>
                  <w:spacing w:after="0" w:line="240" w:lineRule="auto"/>
                  <w:jc w:val="right"/>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 xml:space="preserve"> -   </w:t>
                </w:r>
              </w:p>
            </w:tc>
            <w:tc>
              <w:tcPr>
                <w:tcW w:w="832" w:type="pct"/>
                <w:shd w:val="clear" w:color="auto" w:fill="auto"/>
                <w:noWrap/>
                <w:vAlign w:val="center"/>
                <w:hideMark/>
              </w:tcPr>
              <w:p w14:paraId="165AA78E" w14:textId="69C5207C" w:rsidR="005526A9" w:rsidRPr="009A46BB" w:rsidRDefault="005526A9" w:rsidP="005526A9">
                <w:pPr>
                  <w:spacing w:after="0" w:line="240" w:lineRule="auto"/>
                  <w:jc w:val="right"/>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 xml:space="preserve">   160.466.368.271 </w:t>
                </w:r>
              </w:p>
            </w:tc>
          </w:tr>
          <w:tr w:rsidR="005526A9" w:rsidRPr="005526A9" w14:paraId="70273643" w14:textId="77777777" w:rsidTr="005D15F4">
            <w:trPr>
              <w:trHeight w:val="340"/>
              <w:jc w:val="center"/>
            </w:trPr>
            <w:tc>
              <w:tcPr>
                <w:tcW w:w="673" w:type="pct"/>
                <w:shd w:val="clear" w:color="auto" w:fill="auto"/>
                <w:noWrap/>
                <w:vAlign w:val="center"/>
                <w:hideMark/>
              </w:tcPr>
              <w:p w14:paraId="14BA2125" w14:textId="77777777" w:rsidR="005526A9" w:rsidRPr="009A46BB" w:rsidRDefault="005526A9" w:rsidP="005526A9">
                <w:pPr>
                  <w:spacing w:after="0" w:line="240" w:lineRule="auto"/>
                  <w:jc w:val="right"/>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900979054</w:t>
                </w:r>
              </w:p>
            </w:tc>
            <w:tc>
              <w:tcPr>
                <w:tcW w:w="1905" w:type="pct"/>
                <w:shd w:val="clear" w:color="auto" w:fill="auto"/>
                <w:vAlign w:val="center"/>
                <w:hideMark/>
              </w:tcPr>
              <w:p w14:paraId="439653AB" w14:textId="77777777" w:rsidR="005526A9" w:rsidRPr="009A46BB" w:rsidRDefault="005526A9" w:rsidP="005526A9">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VIA PACIFICO S A S EN LIQUIDACION</w:t>
                </w:r>
              </w:p>
            </w:tc>
            <w:tc>
              <w:tcPr>
                <w:tcW w:w="832" w:type="pct"/>
                <w:shd w:val="clear" w:color="auto" w:fill="auto"/>
                <w:noWrap/>
                <w:vAlign w:val="center"/>
                <w:hideMark/>
              </w:tcPr>
              <w:p w14:paraId="7914AF0B" w14:textId="15BE1BD8" w:rsidR="005526A9" w:rsidRPr="009A46BB" w:rsidRDefault="005526A9" w:rsidP="005526A9">
                <w:pPr>
                  <w:spacing w:after="0" w:line="240" w:lineRule="auto"/>
                  <w:jc w:val="right"/>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 xml:space="preserve">   61.673.121.199 </w:t>
                </w:r>
              </w:p>
            </w:tc>
            <w:tc>
              <w:tcPr>
                <w:tcW w:w="758" w:type="pct"/>
                <w:shd w:val="clear" w:color="auto" w:fill="auto"/>
                <w:noWrap/>
                <w:vAlign w:val="center"/>
                <w:hideMark/>
              </w:tcPr>
              <w:p w14:paraId="298C36BA" w14:textId="727511CD" w:rsidR="005526A9" w:rsidRPr="009A46BB" w:rsidRDefault="005526A9" w:rsidP="005526A9">
                <w:pPr>
                  <w:spacing w:after="0" w:line="240" w:lineRule="auto"/>
                  <w:jc w:val="right"/>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 xml:space="preserve"> 10.311.406.693 </w:t>
                </w:r>
              </w:p>
            </w:tc>
            <w:tc>
              <w:tcPr>
                <w:tcW w:w="832" w:type="pct"/>
                <w:shd w:val="clear" w:color="auto" w:fill="auto"/>
                <w:noWrap/>
                <w:vAlign w:val="center"/>
                <w:hideMark/>
              </w:tcPr>
              <w:p w14:paraId="031C4F9F" w14:textId="50C35F5E" w:rsidR="005526A9" w:rsidRPr="009A46BB" w:rsidRDefault="005526A9" w:rsidP="005526A9">
                <w:pPr>
                  <w:spacing w:after="0" w:line="240" w:lineRule="auto"/>
                  <w:jc w:val="right"/>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 xml:space="preserve"> 71.984.527.892 </w:t>
                </w:r>
              </w:p>
            </w:tc>
          </w:tr>
          <w:tr w:rsidR="005526A9" w:rsidRPr="005526A9" w14:paraId="5440C64C" w14:textId="77777777" w:rsidTr="005D15F4">
            <w:trPr>
              <w:trHeight w:val="340"/>
              <w:jc w:val="center"/>
            </w:trPr>
            <w:tc>
              <w:tcPr>
                <w:tcW w:w="673" w:type="pct"/>
                <w:shd w:val="clear" w:color="auto" w:fill="auto"/>
                <w:noWrap/>
                <w:vAlign w:val="center"/>
                <w:hideMark/>
              </w:tcPr>
              <w:p w14:paraId="2B59AEB1" w14:textId="77777777" w:rsidR="005526A9" w:rsidRPr="009A46BB" w:rsidRDefault="005526A9" w:rsidP="005526A9">
                <w:pPr>
                  <w:spacing w:after="0" w:line="240" w:lineRule="auto"/>
                  <w:jc w:val="right"/>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lastRenderedPageBreak/>
                  <w:t>800235872</w:t>
                </w:r>
              </w:p>
            </w:tc>
            <w:tc>
              <w:tcPr>
                <w:tcW w:w="1905" w:type="pct"/>
                <w:shd w:val="clear" w:color="auto" w:fill="auto"/>
                <w:vAlign w:val="center"/>
                <w:hideMark/>
              </w:tcPr>
              <w:p w14:paraId="2A8F7A91" w14:textId="77777777" w:rsidR="005526A9" w:rsidRPr="009A46BB" w:rsidRDefault="005526A9" w:rsidP="005526A9">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CONCESIONARIA VIAL DE LOS ANDES S.A.S. COVIANDES S.A.S.</w:t>
                </w:r>
              </w:p>
            </w:tc>
            <w:tc>
              <w:tcPr>
                <w:tcW w:w="832" w:type="pct"/>
                <w:shd w:val="clear" w:color="auto" w:fill="auto"/>
                <w:noWrap/>
                <w:vAlign w:val="center"/>
                <w:hideMark/>
              </w:tcPr>
              <w:p w14:paraId="5D5DE457" w14:textId="7CEC8F56" w:rsidR="005526A9" w:rsidRPr="009A46BB" w:rsidRDefault="005526A9" w:rsidP="005526A9">
                <w:pPr>
                  <w:spacing w:after="0" w:line="240" w:lineRule="auto"/>
                  <w:jc w:val="right"/>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 xml:space="preserve">   58.811.004.302 </w:t>
                </w:r>
              </w:p>
            </w:tc>
            <w:tc>
              <w:tcPr>
                <w:tcW w:w="758" w:type="pct"/>
                <w:shd w:val="clear" w:color="auto" w:fill="auto"/>
                <w:noWrap/>
                <w:vAlign w:val="center"/>
                <w:hideMark/>
              </w:tcPr>
              <w:p w14:paraId="760DCB5F" w14:textId="1A43C3DD" w:rsidR="005526A9" w:rsidRPr="009A46BB" w:rsidRDefault="005526A9" w:rsidP="005526A9">
                <w:pPr>
                  <w:spacing w:after="0" w:line="240" w:lineRule="auto"/>
                  <w:jc w:val="right"/>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 xml:space="preserve">   13.107.665.428 </w:t>
                </w:r>
              </w:p>
            </w:tc>
            <w:tc>
              <w:tcPr>
                <w:tcW w:w="832" w:type="pct"/>
                <w:shd w:val="clear" w:color="auto" w:fill="auto"/>
                <w:noWrap/>
                <w:vAlign w:val="center"/>
                <w:hideMark/>
              </w:tcPr>
              <w:p w14:paraId="0A3FFFB0" w14:textId="2D58336F" w:rsidR="005526A9" w:rsidRPr="009A46BB" w:rsidRDefault="005526A9" w:rsidP="005526A9">
                <w:pPr>
                  <w:spacing w:after="0" w:line="240" w:lineRule="auto"/>
                  <w:jc w:val="right"/>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 xml:space="preserve"> 71.918.669.730 </w:t>
                </w:r>
              </w:p>
            </w:tc>
          </w:tr>
          <w:tr w:rsidR="005526A9" w:rsidRPr="005526A9" w14:paraId="249C1958" w14:textId="77777777" w:rsidTr="005D15F4">
            <w:trPr>
              <w:trHeight w:val="340"/>
              <w:jc w:val="center"/>
            </w:trPr>
            <w:tc>
              <w:tcPr>
                <w:tcW w:w="673" w:type="pct"/>
                <w:shd w:val="clear" w:color="auto" w:fill="auto"/>
                <w:noWrap/>
                <w:vAlign w:val="center"/>
                <w:hideMark/>
              </w:tcPr>
              <w:p w14:paraId="540436C3" w14:textId="77777777" w:rsidR="005526A9" w:rsidRPr="009A46BB" w:rsidRDefault="005526A9" w:rsidP="005526A9">
                <w:pPr>
                  <w:spacing w:after="0" w:line="240" w:lineRule="auto"/>
                  <w:jc w:val="right"/>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900920562</w:t>
                </w:r>
              </w:p>
            </w:tc>
            <w:tc>
              <w:tcPr>
                <w:tcW w:w="1905" w:type="pct"/>
                <w:shd w:val="clear" w:color="auto" w:fill="auto"/>
                <w:vAlign w:val="center"/>
                <w:hideMark/>
              </w:tcPr>
              <w:p w14:paraId="40B5B8EC" w14:textId="77777777" w:rsidR="005526A9" w:rsidRPr="009A46BB" w:rsidRDefault="005526A9" w:rsidP="005526A9">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CONCESION VIAS DEL NUS S.A.S</w:t>
                </w:r>
              </w:p>
            </w:tc>
            <w:tc>
              <w:tcPr>
                <w:tcW w:w="832" w:type="pct"/>
                <w:shd w:val="clear" w:color="auto" w:fill="auto"/>
                <w:noWrap/>
                <w:vAlign w:val="center"/>
                <w:hideMark/>
              </w:tcPr>
              <w:p w14:paraId="168406A9" w14:textId="16B41AFD" w:rsidR="005526A9" w:rsidRPr="009A46BB" w:rsidRDefault="005526A9" w:rsidP="005526A9">
                <w:pPr>
                  <w:spacing w:after="0" w:line="240" w:lineRule="auto"/>
                  <w:jc w:val="right"/>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 xml:space="preserve">   67.878.917.586 </w:t>
                </w:r>
              </w:p>
            </w:tc>
            <w:tc>
              <w:tcPr>
                <w:tcW w:w="758" w:type="pct"/>
                <w:shd w:val="clear" w:color="auto" w:fill="auto"/>
                <w:noWrap/>
                <w:vAlign w:val="center"/>
                <w:hideMark/>
              </w:tcPr>
              <w:p w14:paraId="62003B76" w14:textId="77777777" w:rsidR="005526A9" w:rsidRPr="009A46BB" w:rsidRDefault="005526A9" w:rsidP="005526A9">
                <w:pPr>
                  <w:spacing w:after="0" w:line="240" w:lineRule="auto"/>
                  <w:jc w:val="right"/>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 </w:t>
                </w:r>
              </w:p>
            </w:tc>
            <w:tc>
              <w:tcPr>
                <w:tcW w:w="832" w:type="pct"/>
                <w:shd w:val="clear" w:color="auto" w:fill="auto"/>
                <w:noWrap/>
                <w:vAlign w:val="center"/>
                <w:hideMark/>
              </w:tcPr>
              <w:p w14:paraId="3DF6154E" w14:textId="42F8B88D" w:rsidR="005526A9" w:rsidRPr="009A46BB" w:rsidRDefault="005526A9" w:rsidP="005526A9">
                <w:pPr>
                  <w:spacing w:after="0" w:line="240" w:lineRule="auto"/>
                  <w:jc w:val="right"/>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 xml:space="preserve"> 67.878.917.586 </w:t>
                </w:r>
              </w:p>
            </w:tc>
          </w:tr>
          <w:tr w:rsidR="005526A9" w:rsidRPr="005526A9" w14:paraId="5BCAFEA9" w14:textId="77777777" w:rsidTr="005D15F4">
            <w:trPr>
              <w:trHeight w:val="340"/>
              <w:jc w:val="center"/>
            </w:trPr>
            <w:tc>
              <w:tcPr>
                <w:tcW w:w="673" w:type="pct"/>
                <w:shd w:val="clear" w:color="auto" w:fill="auto"/>
                <w:noWrap/>
                <w:vAlign w:val="center"/>
                <w:hideMark/>
              </w:tcPr>
              <w:p w14:paraId="13850DCD" w14:textId="77777777" w:rsidR="005526A9" w:rsidRPr="009A46BB" w:rsidRDefault="005526A9" w:rsidP="005526A9">
                <w:pPr>
                  <w:spacing w:after="0" w:line="240" w:lineRule="auto"/>
                  <w:jc w:val="right"/>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901371481</w:t>
                </w:r>
              </w:p>
            </w:tc>
            <w:tc>
              <w:tcPr>
                <w:tcW w:w="1905" w:type="pct"/>
                <w:shd w:val="clear" w:color="auto" w:fill="auto"/>
                <w:vAlign w:val="center"/>
                <w:hideMark/>
              </w:tcPr>
              <w:p w14:paraId="726F3A3A" w14:textId="77777777" w:rsidR="005526A9" w:rsidRPr="009A46BB" w:rsidRDefault="005526A9" w:rsidP="005526A9">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BTS CONCESIONARIO S.A.S.</w:t>
                </w:r>
              </w:p>
            </w:tc>
            <w:tc>
              <w:tcPr>
                <w:tcW w:w="832" w:type="pct"/>
                <w:shd w:val="clear" w:color="auto" w:fill="auto"/>
                <w:noWrap/>
                <w:vAlign w:val="center"/>
                <w:hideMark/>
              </w:tcPr>
              <w:p w14:paraId="3019AB39" w14:textId="7DE6C8B3" w:rsidR="005526A9" w:rsidRPr="009A46BB" w:rsidRDefault="005526A9" w:rsidP="005526A9">
                <w:pPr>
                  <w:spacing w:after="0" w:line="240" w:lineRule="auto"/>
                  <w:jc w:val="right"/>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 xml:space="preserve">   65.523.813.489 </w:t>
                </w:r>
              </w:p>
            </w:tc>
            <w:tc>
              <w:tcPr>
                <w:tcW w:w="758" w:type="pct"/>
                <w:shd w:val="clear" w:color="auto" w:fill="auto"/>
                <w:noWrap/>
                <w:vAlign w:val="center"/>
                <w:hideMark/>
              </w:tcPr>
              <w:p w14:paraId="63CA6FC3" w14:textId="52B51B0B" w:rsidR="005526A9" w:rsidRPr="009A46BB" w:rsidRDefault="005526A9" w:rsidP="005526A9">
                <w:pPr>
                  <w:spacing w:after="0" w:line="240" w:lineRule="auto"/>
                  <w:jc w:val="right"/>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 xml:space="preserve"> -   </w:t>
                </w:r>
              </w:p>
            </w:tc>
            <w:tc>
              <w:tcPr>
                <w:tcW w:w="832" w:type="pct"/>
                <w:shd w:val="clear" w:color="auto" w:fill="auto"/>
                <w:noWrap/>
                <w:vAlign w:val="center"/>
                <w:hideMark/>
              </w:tcPr>
              <w:p w14:paraId="682E85AC" w14:textId="67D1F902" w:rsidR="005526A9" w:rsidRPr="009A46BB" w:rsidRDefault="005526A9" w:rsidP="005526A9">
                <w:pPr>
                  <w:spacing w:after="0" w:line="240" w:lineRule="auto"/>
                  <w:jc w:val="right"/>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 xml:space="preserve"> 65.523.813.489 </w:t>
                </w:r>
              </w:p>
            </w:tc>
          </w:tr>
          <w:tr w:rsidR="005526A9" w:rsidRPr="005526A9" w14:paraId="1F44A4D9" w14:textId="77777777" w:rsidTr="005D15F4">
            <w:trPr>
              <w:trHeight w:val="340"/>
              <w:jc w:val="center"/>
            </w:trPr>
            <w:tc>
              <w:tcPr>
                <w:tcW w:w="673" w:type="pct"/>
                <w:shd w:val="clear" w:color="auto" w:fill="auto"/>
                <w:noWrap/>
                <w:vAlign w:val="center"/>
                <w:hideMark/>
              </w:tcPr>
              <w:p w14:paraId="159877CF" w14:textId="77777777" w:rsidR="005526A9" w:rsidRPr="009A46BB" w:rsidRDefault="005526A9" w:rsidP="005526A9">
                <w:pPr>
                  <w:spacing w:after="0" w:line="240" w:lineRule="auto"/>
                  <w:jc w:val="right"/>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900164310</w:t>
                </w:r>
              </w:p>
            </w:tc>
            <w:tc>
              <w:tcPr>
                <w:tcW w:w="1905" w:type="pct"/>
                <w:shd w:val="clear" w:color="auto" w:fill="auto"/>
                <w:vAlign w:val="center"/>
                <w:hideMark/>
              </w:tcPr>
              <w:p w14:paraId="1538EE95" w14:textId="77777777" w:rsidR="005526A9" w:rsidRPr="009A46BB" w:rsidRDefault="005526A9" w:rsidP="005526A9">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CONCESIONARIA SAN RAFAEL S A</w:t>
                </w:r>
              </w:p>
            </w:tc>
            <w:tc>
              <w:tcPr>
                <w:tcW w:w="832" w:type="pct"/>
                <w:shd w:val="clear" w:color="auto" w:fill="auto"/>
                <w:noWrap/>
                <w:vAlign w:val="center"/>
                <w:hideMark/>
              </w:tcPr>
              <w:p w14:paraId="44258E50" w14:textId="37A29D46" w:rsidR="005526A9" w:rsidRPr="009A46BB" w:rsidRDefault="005526A9" w:rsidP="005526A9">
                <w:pPr>
                  <w:spacing w:after="0" w:line="240" w:lineRule="auto"/>
                  <w:jc w:val="right"/>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 xml:space="preserve">   54.970.996.982 </w:t>
                </w:r>
              </w:p>
            </w:tc>
            <w:tc>
              <w:tcPr>
                <w:tcW w:w="758" w:type="pct"/>
                <w:shd w:val="clear" w:color="auto" w:fill="auto"/>
                <w:noWrap/>
                <w:vAlign w:val="center"/>
                <w:hideMark/>
              </w:tcPr>
              <w:p w14:paraId="6FD17823" w14:textId="45CAAE80" w:rsidR="005526A9" w:rsidRPr="009A46BB" w:rsidRDefault="005526A9" w:rsidP="005526A9">
                <w:pPr>
                  <w:spacing w:after="0" w:line="240" w:lineRule="auto"/>
                  <w:jc w:val="right"/>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 xml:space="preserve"> 5.674.431.838 </w:t>
                </w:r>
              </w:p>
            </w:tc>
            <w:tc>
              <w:tcPr>
                <w:tcW w:w="832" w:type="pct"/>
                <w:shd w:val="clear" w:color="auto" w:fill="auto"/>
                <w:noWrap/>
                <w:vAlign w:val="center"/>
                <w:hideMark/>
              </w:tcPr>
              <w:p w14:paraId="51FAD831" w14:textId="158DD611" w:rsidR="005526A9" w:rsidRPr="009A46BB" w:rsidRDefault="005526A9" w:rsidP="005526A9">
                <w:pPr>
                  <w:spacing w:after="0" w:line="240" w:lineRule="auto"/>
                  <w:jc w:val="right"/>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 xml:space="preserve"> 60.645.428.820 </w:t>
                </w:r>
              </w:p>
            </w:tc>
          </w:tr>
          <w:tr w:rsidR="005526A9" w:rsidRPr="005526A9" w14:paraId="1060CF61" w14:textId="77777777" w:rsidTr="005D15F4">
            <w:trPr>
              <w:trHeight w:val="340"/>
              <w:jc w:val="center"/>
            </w:trPr>
            <w:tc>
              <w:tcPr>
                <w:tcW w:w="673" w:type="pct"/>
                <w:shd w:val="clear" w:color="auto" w:fill="auto"/>
                <w:noWrap/>
                <w:vAlign w:val="center"/>
                <w:hideMark/>
              </w:tcPr>
              <w:p w14:paraId="2774D287" w14:textId="77777777" w:rsidR="005526A9" w:rsidRPr="009A46BB" w:rsidRDefault="005526A9" w:rsidP="005526A9">
                <w:pPr>
                  <w:spacing w:after="0" w:line="240" w:lineRule="auto"/>
                  <w:jc w:val="right"/>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900871368</w:t>
                </w:r>
              </w:p>
            </w:tc>
            <w:tc>
              <w:tcPr>
                <w:tcW w:w="1905" w:type="pct"/>
                <w:shd w:val="clear" w:color="auto" w:fill="auto"/>
                <w:vAlign w:val="center"/>
                <w:hideMark/>
              </w:tcPr>
              <w:p w14:paraId="47BD59A3" w14:textId="77777777" w:rsidR="005526A9" w:rsidRPr="009A46BB" w:rsidRDefault="005526A9" w:rsidP="005526A9">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CONCESIONARIA RUTA DEL CACAO S.A.S.</w:t>
                </w:r>
              </w:p>
            </w:tc>
            <w:tc>
              <w:tcPr>
                <w:tcW w:w="832" w:type="pct"/>
                <w:shd w:val="clear" w:color="auto" w:fill="auto"/>
                <w:noWrap/>
                <w:vAlign w:val="center"/>
                <w:hideMark/>
              </w:tcPr>
              <w:p w14:paraId="46249ED3" w14:textId="1E37103A" w:rsidR="005526A9" w:rsidRPr="009A46BB" w:rsidRDefault="005526A9" w:rsidP="005526A9">
                <w:pPr>
                  <w:spacing w:after="0" w:line="240" w:lineRule="auto"/>
                  <w:jc w:val="right"/>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 xml:space="preserve"> 5.768.990.160 </w:t>
                </w:r>
              </w:p>
            </w:tc>
            <w:tc>
              <w:tcPr>
                <w:tcW w:w="758" w:type="pct"/>
                <w:shd w:val="clear" w:color="auto" w:fill="auto"/>
                <w:noWrap/>
                <w:vAlign w:val="center"/>
                <w:hideMark/>
              </w:tcPr>
              <w:p w14:paraId="05EDF1FA" w14:textId="275D4725" w:rsidR="005526A9" w:rsidRPr="009A46BB" w:rsidRDefault="005526A9" w:rsidP="005526A9">
                <w:pPr>
                  <w:spacing w:after="0" w:line="240" w:lineRule="auto"/>
                  <w:jc w:val="right"/>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 xml:space="preserve">169.581.264 </w:t>
                </w:r>
              </w:p>
            </w:tc>
            <w:tc>
              <w:tcPr>
                <w:tcW w:w="832" w:type="pct"/>
                <w:shd w:val="clear" w:color="auto" w:fill="auto"/>
                <w:noWrap/>
                <w:vAlign w:val="center"/>
                <w:hideMark/>
              </w:tcPr>
              <w:p w14:paraId="1468B7D3" w14:textId="270BE346" w:rsidR="005526A9" w:rsidRPr="009A46BB" w:rsidRDefault="005526A9" w:rsidP="005526A9">
                <w:pPr>
                  <w:spacing w:after="0" w:line="240" w:lineRule="auto"/>
                  <w:jc w:val="right"/>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 xml:space="preserve">   5.938.571.424 </w:t>
                </w:r>
              </w:p>
            </w:tc>
          </w:tr>
          <w:tr w:rsidR="005526A9" w:rsidRPr="005526A9" w14:paraId="39D1B54E" w14:textId="77777777" w:rsidTr="005D15F4">
            <w:trPr>
              <w:trHeight w:val="340"/>
              <w:jc w:val="center"/>
            </w:trPr>
            <w:tc>
              <w:tcPr>
                <w:tcW w:w="673" w:type="pct"/>
                <w:shd w:val="clear" w:color="auto" w:fill="auto"/>
                <w:noWrap/>
                <w:vAlign w:val="center"/>
                <w:hideMark/>
              </w:tcPr>
              <w:p w14:paraId="6D0078C7" w14:textId="77777777" w:rsidR="005526A9" w:rsidRPr="009A46BB" w:rsidRDefault="005526A9" w:rsidP="005526A9">
                <w:pPr>
                  <w:spacing w:after="0" w:line="240" w:lineRule="auto"/>
                  <w:jc w:val="right"/>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900162704</w:t>
                </w:r>
              </w:p>
            </w:tc>
            <w:tc>
              <w:tcPr>
                <w:tcW w:w="1905" w:type="pct"/>
                <w:shd w:val="clear" w:color="auto" w:fill="auto"/>
                <w:vAlign w:val="center"/>
                <w:hideMark/>
              </w:tcPr>
              <w:p w14:paraId="46266181" w14:textId="77777777" w:rsidR="005526A9" w:rsidRPr="009A46BB" w:rsidRDefault="005526A9" w:rsidP="005526A9">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CONCESIONARIA SAN SIMON S A</w:t>
                </w:r>
              </w:p>
            </w:tc>
            <w:tc>
              <w:tcPr>
                <w:tcW w:w="832" w:type="pct"/>
                <w:shd w:val="clear" w:color="auto" w:fill="auto"/>
                <w:noWrap/>
                <w:vAlign w:val="center"/>
                <w:hideMark/>
              </w:tcPr>
              <w:p w14:paraId="49776B67" w14:textId="039C4260" w:rsidR="005526A9" w:rsidRPr="009A46BB" w:rsidRDefault="005526A9" w:rsidP="005526A9">
                <w:pPr>
                  <w:spacing w:after="0" w:line="240" w:lineRule="auto"/>
                  <w:jc w:val="right"/>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 xml:space="preserve">-   </w:t>
                </w:r>
              </w:p>
            </w:tc>
            <w:tc>
              <w:tcPr>
                <w:tcW w:w="758" w:type="pct"/>
                <w:shd w:val="clear" w:color="auto" w:fill="auto"/>
                <w:noWrap/>
                <w:vAlign w:val="center"/>
                <w:hideMark/>
              </w:tcPr>
              <w:p w14:paraId="05602A95" w14:textId="47395A24" w:rsidR="005526A9" w:rsidRPr="009A46BB" w:rsidRDefault="005526A9" w:rsidP="005526A9">
                <w:pPr>
                  <w:spacing w:after="0" w:line="240" w:lineRule="auto"/>
                  <w:jc w:val="right"/>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 xml:space="preserve">383.088.396 </w:t>
                </w:r>
              </w:p>
            </w:tc>
            <w:tc>
              <w:tcPr>
                <w:tcW w:w="832" w:type="pct"/>
                <w:shd w:val="clear" w:color="auto" w:fill="auto"/>
                <w:noWrap/>
                <w:vAlign w:val="center"/>
                <w:hideMark/>
              </w:tcPr>
              <w:p w14:paraId="554E59A3" w14:textId="133D7209" w:rsidR="005526A9" w:rsidRPr="009A46BB" w:rsidRDefault="005526A9" w:rsidP="005526A9">
                <w:pPr>
                  <w:spacing w:after="0" w:line="240" w:lineRule="auto"/>
                  <w:jc w:val="right"/>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 xml:space="preserve">  383.088.396 </w:t>
                </w:r>
              </w:p>
            </w:tc>
          </w:tr>
          <w:tr w:rsidR="005526A9" w:rsidRPr="005526A9" w14:paraId="61AD99AA" w14:textId="77777777" w:rsidTr="005D15F4">
            <w:trPr>
              <w:trHeight w:val="340"/>
              <w:jc w:val="center"/>
            </w:trPr>
            <w:tc>
              <w:tcPr>
                <w:tcW w:w="2578" w:type="pct"/>
                <w:gridSpan w:val="2"/>
                <w:shd w:val="clear" w:color="auto" w:fill="auto"/>
                <w:noWrap/>
                <w:vAlign w:val="center"/>
                <w:hideMark/>
              </w:tcPr>
              <w:p w14:paraId="5AC1CF05" w14:textId="4E7733F1" w:rsidR="005526A9" w:rsidRPr="009A46BB" w:rsidRDefault="006755A4" w:rsidP="006755A4">
                <w:pPr>
                  <w:spacing w:after="0" w:line="240" w:lineRule="auto"/>
                  <w:rPr>
                    <w:rFonts w:ascii="Times New Roman" w:eastAsia="Times New Roman" w:hAnsi="Times New Roman"/>
                    <w:b/>
                    <w:color w:val="000000"/>
                    <w:sz w:val="16"/>
                    <w:szCs w:val="16"/>
                    <w:lang w:eastAsia="es-CO"/>
                  </w:rPr>
                </w:pPr>
                <w:r w:rsidRPr="009A46BB">
                  <w:rPr>
                    <w:rFonts w:ascii="Times New Roman" w:eastAsia="Times New Roman" w:hAnsi="Times New Roman"/>
                    <w:b/>
                    <w:bCs/>
                    <w:color w:val="000000"/>
                    <w:sz w:val="16"/>
                    <w:szCs w:val="16"/>
                    <w:lang w:eastAsia="es-CO"/>
                  </w:rPr>
                  <w:t> </w:t>
                </w:r>
                <w:r w:rsidR="005526A9" w:rsidRPr="009A46BB">
                  <w:rPr>
                    <w:rFonts w:ascii="Times New Roman" w:eastAsia="Times New Roman" w:hAnsi="Times New Roman"/>
                    <w:b/>
                    <w:color w:val="000000"/>
                    <w:sz w:val="16"/>
                    <w:szCs w:val="16"/>
                    <w:lang w:eastAsia="es-CO"/>
                  </w:rPr>
                  <w:t>TOTAL</w:t>
                </w:r>
              </w:p>
            </w:tc>
            <w:tc>
              <w:tcPr>
                <w:tcW w:w="832" w:type="pct"/>
                <w:shd w:val="clear" w:color="auto" w:fill="auto"/>
                <w:noWrap/>
                <w:vAlign w:val="center"/>
                <w:hideMark/>
              </w:tcPr>
              <w:p w14:paraId="582FCC34" w14:textId="6A5A6DA9" w:rsidR="005526A9" w:rsidRPr="009A46BB" w:rsidRDefault="005526A9" w:rsidP="006755A4">
                <w:pPr>
                  <w:spacing w:after="0" w:line="240" w:lineRule="auto"/>
                  <w:jc w:val="center"/>
                  <w:rPr>
                    <w:rFonts w:ascii="Times New Roman" w:eastAsia="Times New Roman" w:hAnsi="Times New Roman"/>
                    <w:b/>
                    <w:color w:val="000000"/>
                    <w:sz w:val="16"/>
                    <w:szCs w:val="16"/>
                    <w:lang w:eastAsia="es-CO"/>
                  </w:rPr>
                </w:pPr>
                <w:r w:rsidRPr="009A46BB">
                  <w:rPr>
                    <w:rFonts w:ascii="Times New Roman" w:eastAsia="Times New Roman" w:hAnsi="Times New Roman"/>
                    <w:b/>
                    <w:color w:val="000000"/>
                    <w:sz w:val="16"/>
                    <w:szCs w:val="16"/>
                    <w:lang w:eastAsia="es-CO"/>
                  </w:rPr>
                  <w:t xml:space="preserve">1.271.060.307.118 </w:t>
                </w:r>
              </w:p>
            </w:tc>
            <w:tc>
              <w:tcPr>
                <w:tcW w:w="758" w:type="pct"/>
                <w:shd w:val="clear" w:color="auto" w:fill="auto"/>
                <w:noWrap/>
                <w:vAlign w:val="center"/>
                <w:hideMark/>
              </w:tcPr>
              <w:p w14:paraId="3CB9DB7B" w14:textId="2A2DE209" w:rsidR="005526A9" w:rsidRPr="009A46BB" w:rsidRDefault="005526A9" w:rsidP="006755A4">
                <w:pPr>
                  <w:spacing w:after="0" w:line="240" w:lineRule="auto"/>
                  <w:jc w:val="center"/>
                  <w:rPr>
                    <w:rFonts w:ascii="Times New Roman" w:eastAsia="Times New Roman" w:hAnsi="Times New Roman"/>
                    <w:b/>
                    <w:color w:val="000000"/>
                    <w:sz w:val="16"/>
                    <w:szCs w:val="16"/>
                    <w:lang w:eastAsia="es-CO"/>
                  </w:rPr>
                </w:pPr>
                <w:r w:rsidRPr="009A46BB">
                  <w:rPr>
                    <w:rFonts w:ascii="Times New Roman" w:eastAsia="Times New Roman" w:hAnsi="Times New Roman"/>
                    <w:b/>
                    <w:color w:val="000000"/>
                    <w:sz w:val="16"/>
                    <w:szCs w:val="16"/>
                    <w:lang w:eastAsia="es-CO"/>
                  </w:rPr>
                  <w:t xml:space="preserve">487.116.191.350 </w:t>
                </w:r>
              </w:p>
            </w:tc>
            <w:tc>
              <w:tcPr>
                <w:tcW w:w="832" w:type="pct"/>
                <w:shd w:val="clear" w:color="auto" w:fill="auto"/>
                <w:noWrap/>
                <w:vAlign w:val="center"/>
                <w:hideMark/>
              </w:tcPr>
              <w:p w14:paraId="4125C970" w14:textId="3223A835" w:rsidR="005526A9" w:rsidRPr="009A46BB" w:rsidRDefault="005526A9" w:rsidP="005526A9">
                <w:pPr>
                  <w:spacing w:after="0" w:line="240" w:lineRule="auto"/>
                  <w:jc w:val="right"/>
                  <w:rPr>
                    <w:rFonts w:ascii="Times New Roman" w:eastAsia="Times New Roman" w:hAnsi="Times New Roman"/>
                    <w:b/>
                    <w:color w:val="000000"/>
                    <w:sz w:val="16"/>
                    <w:szCs w:val="16"/>
                    <w:lang w:eastAsia="es-CO"/>
                  </w:rPr>
                </w:pPr>
                <w:r w:rsidRPr="009A46BB">
                  <w:rPr>
                    <w:rFonts w:ascii="Times New Roman" w:eastAsia="Times New Roman" w:hAnsi="Times New Roman"/>
                    <w:b/>
                    <w:color w:val="000000"/>
                    <w:sz w:val="16"/>
                    <w:szCs w:val="16"/>
                    <w:lang w:eastAsia="es-CO"/>
                  </w:rPr>
                  <w:t xml:space="preserve">1.758.176.498.467 </w:t>
                </w:r>
              </w:p>
            </w:tc>
          </w:tr>
        </w:tbl>
        <w:p w14:paraId="3079B3AD" w14:textId="3D452D7D" w:rsidR="00FC2584" w:rsidRPr="00931DCE" w:rsidRDefault="005D077C" w:rsidP="006755A4">
          <w:pPr>
            <w:spacing w:after="0" w:line="240" w:lineRule="auto"/>
            <w:jc w:val="both"/>
            <w:rPr>
              <w:rFonts w:ascii="Times New Roman" w:hAnsi="Times New Roman"/>
              <w:sz w:val="14"/>
              <w:szCs w:val="14"/>
            </w:rPr>
          </w:pPr>
          <w:r w:rsidRPr="00931DCE">
            <w:rPr>
              <w:rFonts w:ascii="Times New Roman" w:hAnsi="Times New Roman"/>
              <w:sz w:val="14"/>
              <w:szCs w:val="14"/>
            </w:rPr>
            <w:t xml:space="preserve"> </w:t>
          </w:r>
          <w:r w:rsidR="00AD2026" w:rsidRPr="00931DCE">
            <w:rPr>
              <w:rFonts w:ascii="Times New Roman" w:hAnsi="Times New Roman"/>
              <w:sz w:val="14"/>
              <w:szCs w:val="14"/>
            </w:rPr>
            <w:t>Cifras expresadas en pesos</w:t>
          </w:r>
        </w:p>
        <w:p w14:paraId="47EECE83" w14:textId="77777777" w:rsidR="00FC2584" w:rsidRPr="00931DCE" w:rsidRDefault="00FC2584" w:rsidP="00FC2584">
          <w:pPr>
            <w:pStyle w:val="Prrafodelista"/>
            <w:spacing w:after="0" w:line="240" w:lineRule="auto"/>
            <w:ind w:left="0"/>
            <w:jc w:val="both"/>
            <w:rPr>
              <w:rFonts w:ascii="Times New Roman" w:hAnsi="Times New Roman"/>
              <w:sz w:val="24"/>
              <w:szCs w:val="24"/>
            </w:rPr>
          </w:pPr>
        </w:p>
        <w:p w14:paraId="71723AE0" w14:textId="5C3D3DEB" w:rsidR="7E6F8C32" w:rsidRDefault="7E6F8C32" w:rsidP="4203F14C">
          <w:pPr>
            <w:spacing w:after="0" w:line="240" w:lineRule="auto"/>
            <w:jc w:val="both"/>
            <w:rPr>
              <w:rFonts w:ascii="Times New Roman" w:eastAsia="Times New Roman" w:hAnsi="Times New Roman"/>
            </w:rPr>
          </w:pPr>
          <w:r w:rsidRPr="4203F14C">
            <w:rPr>
              <w:rFonts w:ascii="Times New Roman" w:eastAsia="Times New Roman" w:hAnsi="Times New Roman"/>
              <w:sz w:val="24"/>
              <w:szCs w:val="24"/>
            </w:rPr>
            <w:t xml:space="preserve">- </w:t>
          </w:r>
          <w:r w:rsidR="561F2AC0" w:rsidRPr="4203F14C">
            <w:rPr>
              <w:rFonts w:ascii="Times New Roman" w:eastAsia="Times New Roman" w:hAnsi="Times New Roman"/>
              <w:sz w:val="24"/>
              <w:szCs w:val="24"/>
            </w:rPr>
            <w:t xml:space="preserve">Un valor de $1.253.437.112.859 (capital e intereses), por la deuda reconocida a nombre de la Unión Temporal Desarrollo Vial del Valle del Cauca y Cauca, del proyecto de Concesión Malla Vial del Valle del Cauca y Cauca, por el Laudo Arbitral No. 15811 del 25 de septiembre de 2020, corregido mediante Auto 43 del 7 de octubre de 2020, ejecutoriado el 9 de octubre de 2020, por medio del cual se liquida el Adicional No. 13 al Contrato de concesión No. 005 de 1999 y sus Otrosíes, el cual fue declarado Nulo de oficio en 2016. </w:t>
          </w:r>
        </w:p>
        <w:p w14:paraId="03F36098" w14:textId="7D65FD78" w:rsidR="561F2AC0" w:rsidRDefault="561F2AC0" w:rsidP="4203F14C">
          <w:pPr>
            <w:spacing w:after="0" w:line="240" w:lineRule="auto"/>
            <w:jc w:val="both"/>
            <w:rPr>
              <w:rFonts w:ascii="Times New Roman" w:eastAsia="Times New Roman" w:hAnsi="Times New Roman"/>
            </w:rPr>
          </w:pPr>
          <w:r w:rsidRPr="4203F14C">
            <w:rPr>
              <w:rFonts w:ascii="Times New Roman" w:eastAsia="Times New Roman" w:hAnsi="Times New Roman"/>
              <w:sz w:val="24"/>
              <w:szCs w:val="24"/>
            </w:rPr>
            <w:t xml:space="preserve"> </w:t>
          </w:r>
        </w:p>
        <w:p w14:paraId="1A1ABB90" w14:textId="58CDD66B" w:rsidR="561F2AC0" w:rsidRDefault="561F2AC0" w:rsidP="4203F14C">
          <w:pPr>
            <w:ind w:right="-20"/>
            <w:jc w:val="both"/>
            <w:rPr>
              <w:rFonts w:ascii="Times New Roman" w:eastAsia="Times New Roman" w:hAnsi="Times New Roman"/>
            </w:rPr>
          </w:pPr>
          <w:r w:rsidRPr="6161EC86">
            <w:rPr>
              <w:rFonts w:ascii="Times New Roman" w:eastAsia="Times New Roman" w:hAnsi="Times New Roman"/>
              <w:sz w:val="24"/>
              <w:szCs w:val="24"/>
            </w:rPr>
            <w:t>Los intereses moratorios a la DTF, contados desde la fecha de ejecutoria del Laudo hasta el 18/05/2022, fecha en la que se cumplen los 10 meses en que los intereses se calculan con la DTF, según lo establecido en el artículo 192 del CPACA (los 10 meses se cuentan sin incluir el periodo en el que estuvo suspendido el Laudo), después de los 10 meses, es decir a partir del 19 de mayo de 2022 se empezó a generar intereses moratorios a la tasa comercial.</w:t>
          </w:r>
        </w:p>
        <w:p w14:paraId="4F975C34" w14:textId="01F90D9A" w:rsidR="561F2AC0" w:rsidRDefault="561F2AC0" w:rsidP="4203F14C">
          <w:pPr>
            <w:ind w:right="-20"/>
            <w:jc w:val="both"/>
            <w:rPr>
              <w:rFonts w:ascii="Times New Roman" w:eastAsia="Times New Roman" w:hAnsi="Times New Roman"/>
            </w:rPr>
          </w:pPr>
          <w:r w:rsidRPr="6161EC86">
            <w:rPr>
              <w:rFonts w:ascii="Times New Roman" w:eastAsia="Times New Roman" w:hAnsi="Times New Roman"/>
              <w:sz w:val="24"/>
              <w:szCs w:val="24"/>
            </w:rPr>
            <w:t>Con Memorando No. 20245050035403 del 22 de febrero 2024, la Gerencia Financiera de la Vicepresidencia Ejecutiva, exponen las gestiones realizadas para dar cumplimiento al pago parcial de dicho Laudo: iniciando mediante oficio radicado ANI No. 20225000261511 de 29 de agosto de 2022 ante el Ministerio de Hacienda y Crédito Público, el trámite de abono de capital con el cupo disponible de Títulos de Tesorería TES para la vigencia 2022. El 31 de mayo de 2023, el Ministerio de Hacienda y Crédito Público envió correo electrónico con observaciones para el trámite de reconocimiento de Laudo Arbitral. Posterior a ello, la A</w:t>
          </w:r>
          <w:r w:rsidR="007B0E76">
            <w:rPr>
              <w:rFonts w:ascii="Times New Roman" w:eastAsia="Times New Roman" w:hAnsi="Times New Roman"/>
              <w:sz w:val="24"/>
              <w:szCs w:val="24"/>
            </w:rPr>
            <w:t>NI</w:t>
          </w:r>
          <w:r w:rsidRPr="6161EC86">
            <w:rPr>
              <w:rFonts w:ascii="Times New Roman" w:eastAsia="Times New Roman" w:hAnsi="Times New Roman"/>
              <w:sz w:val="24"/>
              <w:szCs w:val="24"/>
            </w:rPr>
            <w:t xml:space="preserve"> gestionó ante el Concesionario la identificación de los beneficiarios del pago, y ante la Dian las deudas pendientes de los beneficiarios finales ante esa entidad tributaria. </w:t>
          </w:r>
        </w:p>
        <w:p w14:paraId="709278CC" w14:textId="421CA686" w:rsidR="561F2AC0" w:rsidRDefault="561F2AC0" w:rsidP="4203F14C">
          <w:pPr>
            <w:ind w:right="-20"/>
            <w:jc w:val="both"/>
            <w:rPr>
              <w:rFonts w:ascii="Times New Roman" w:eastAsia="Times New Roman" w:hAnsi="Times New Roman"/>
              <w:sz w:val="24"/>
              <w:szCs w:val="24"/>
            </w:rPr>
          </w:pPr>
          <w:r w:rsidRPr="6161EC86">
            <w:rPr>
              <w:rFonts w:ascii="Times New Roman" w:eastAsia="Times New Roman" w:hAnsi="Times New Roman"/>
              <w:sz w:val="24"/>
              <w:szCs w:val="24"/>
            </w:rPr>
            <w:t>La A</w:t>
          </w:r>
          <w:r w:rsidR="00B35699">
            <w:rPr>
              <w:rFonts w:ascii="Times New Roman" w:eastAsia="Times New Roman" w:hAnsi="Times New Roman"/>
              <w:sz w:val="24"/>
              <w:szCs w:val="24"/>
            </w:rPr>
            <w:t>NI</w:t>
          </w:r>
          <w:r w:rsidRPr="6161EC86">
            <w:rPr>
              <w:rFonts w:ascii="Times New Roman" w:eastAsia="Times New Roman" w:hAnsi="Times New Roman"/>
              <w:sz w:val="24"/>
              <w:szCs w:val="24"/>
            </w:rPr>
            <w:t xml:space="preserve"> recibió oficio radicado ANI No. 20234090946982 del 23 de agosto de 2023 del Ministerio de Hacienda y Crédito Público donde solicitó la identificación de los beneficiarios finales del pago del laudo. No obstante lo anterior</w:t>
          </w:r>
          <w:r w:rsidR="00B35699">
            <w:rPr>
              <w:rFonts w:ascii="Times New Roman" w:eastAsia="Times New Roman" w:hAnsi="Times New Roman"/>
              <w:sz w:val="24"/>
              <w:szCs w:val="24"/>
            </w:rPr>
            <w:t>,</w:t>
          </w:r>
          <w:r w:rsidRPr="6161EC86">
            <w:rPr>
              <w:rFonts w:ascii="Times New Roman" w:eastAsia="Times New Roman" w:hAnsi="Times New Roman"/>
              <w:sz w:val="24"/>
              <w:szCs w:val="24"/>
            </w:rPr>
            <w:t xml:space="preserve"> el 28 de agosto de 2023, el Ministerio de Hacienda devolvió sin trámite la solicitud de pago a través de Títulos de Tesorería TES, Clase B en el oficio con radicado ANI No, 20234090965832 al considerar que aún no existía claridad respecto a los beneficiarios sujetos de reconocimiento de pago. A través del oficio con radicado ANI No. 20234090969502 del 29 de agosto de 2023, el concesionario aclara los beneficiarios económicos finales del pago del laudo, por cuanto a esa fecha se habían realizado cesiones de los derechos económicos así:</w:t>
          </w:r>
        </w:p>
        <w:p w14:paraId="4C4860A9" w14:textId="77777777" w:rsidR="00D94FC9" w:rsidRDefault="00D94FC9" w:rsidP="4203F14C">
          <w:pPr>
            <w:ind w:right="-20"/>
            <w:jc w:val="both"/>
            <w:rPr>
              <w:rFonts w:ascii="Times New Roman" w:eastAsia="Times New Roman" w:hAnsi="Times New Roman"/>
            </w:rPr>
          </w:pPr>
        </w:p>
        <w:tbl>
          <w:tblPr>
            <w:tblStyle w:val="Tablaconcuadrcula"/>
            <w:tblW w:w="0" w:type="auto"/>
            <w:tblLayout w:type="fixed"/>
            <w:tblLook w:val="04A0" w:firstRow="1" w:lastRow="0" w:firstColumn="1" w:lastColumn="0" w:noHBand="0" w:noVBand="1"/>
          </w:tblPr>
          <w:tblGrid>
            <w:gridCol w:w="3555"/>
            <w:gridCol w:w="2490"/>
            <w:gridCol w:w="2535"/>
          </w:tblGrid>
          <w:tr w:rsidR="6161EC86" w14:paraId="1852A967" w14:textId="77777777" w:rsidTr="4203F14C">
            <w:trPr>
              <w:trHeight w:val="300"/>
            </w:trPr>
            <w:tc>
              <w:tcPr>
                <w:tcW w:w="35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41A410" w14:textId="2C318AF1" w:rsidR="6161EC86" w:rsidRDefault="6161EC86" w:rsidP="6161EC86">
                <w:pPr>
                  <w:spacing w:after="0" w:line="254" w:lineRule="auto"/>
                  <w:ind w:left="-20" w:right="-20"/>
                  <w:jc w:val="center"/>
                </w:pPr>
                <w:r w:rsidRPr="6161EC86">
                  <w:rPr>
                    <w:rFonts w:ascii="Times New Roman" w:eastAsia="Times New Roman" w:hAnsi="Times New Roman"/>
                    <w:sz w:val="14"/>
                    <w:szCs w:val="14"/>
                    <w:lang w:val="es"/>
                  </w:rPr>
                  <w:lastRenderedPageBreak/>
                  <w:t>Beneficiarios originales del Beneficiarios del Laudo Arbitral</w:t>
                </w:r>
              </w:p>
            </w:tc>
            <w:tc>
              <w:tcPr>
                <w:tcW w:w="24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BA2568" w14:textId="3902DA68" w:rsidR="6161EC86" w:rsidRDefault="6161EC86" w:rsidP="6161EC86">
                <w:pPr>
                  <w:spacing w:after="0" w:line="254" w:lineRule="auto"/>
                  <w:ind w:left="-20" w:right="-20"/>
                  <w:jc w:val="center"/>
                </w:pPr>
                <w:r w:rsidRPr="6161EC86">
                  <w:rPr>
                    <w:rFonts w:ascii="Times New Roman" w:eastAsia="Times New Roman" w:hAnsi="Times New Roman"/>
                    <w:sz w:val="14"/>
                    <w:szCs w:val="14"/>
                    <w:lang w:val="es"/>
                  </w:rPr>
                  <w:t>Beneficiarios del Laudo Arbitral a Laudo Arbitral agosto 23 de 2023</w:t>
                </w:r>
              </w:p>
            </w:tc>
            <w:tc>
              <w:tcPr>
                <w:tcW w:w="25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A8BDD3" w14:textId="367FFE18" w:rsidR="6161EC86" w:rsidRDefault="6161EC86" w:rsidP="6161EC86">
                <w:pPr>
                  <w:spacing w:after="0" w:line="254" w:lineRule="auto"/>
                  <w:ind w:left="-20" w:right="-20"/>
                  <w:jc w:val="center"/>
                </w:pPr>
                <w:r w:rsidRPr="6161EC86">
                  <w:rPr>
                    <w:rFonts w:ascii="Times New Roman" w:eastAsia="Times New Roman" w:hAnsi="Times New Roman"/>
                    <w:sz w:val="14"/>
                    <w:szCs w:val="14"/>
                    <w:lang w:val="es"/>
                  </w:rPr>
                  <w:t>%</w:t>
                </w:r>
              </w:p>
            </w:tc>
          </w:tr>
          <w:tr w:rsidR="6161EC86" w14:paraId="286BBF56" w14:textId="77777777" w:rsidTr="4203F14C">
            <w:trPr>
              <w:trHeight w:val="300"/>
            </w:trPr>
            <w:tc>
              <w:tcPr>
                <w:tcW w:w="35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DB4137" w14:textId="1F659412" w:rsidR="6161EC86" w:rsidRDefault="6161EC86" w:rsidP="6161EC86">
                <w:pPr>
                  <w:spacing w:after="0" w:line="254" w:lineRule="auto"/>
                  <w:ind w:left="-20" w:right="-20"/>
                  <w:jc w:val="center"/>
                </w:pPr>
                <w:r w:rsidRPr="6161EC86">
                  <w:rPr>
                    <w:rFonts w:ascii="Times New Roman" w:eastAsia="Times New Roman" w:hAnsi="Times New Roman"/>
                    <w:sz w:val="14"/>
                    <w:szCs w:val="14"/>
                    <w:lang w:val="es"/>
                  </w:rPr>
                  <w:t>Pavimentos Colombia S.A.S. Il</w:t>
                </w:r>
              </w:p>
            </w:tc>
            <w:tc>
              <w:tcPr>
                <w:tcW w:w="24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5D9443" w14:textId="719C857B" w:rsidR="6161EC86" w:rsidRDefault="6161EC86" w:rsidP="6161EC86">
                <w:pPr>
                  <w:spacing w:after="0" w:line="254" w:lineRule="auto"/>
                  <w:ind w:left="-20" w:right="-20"/>
                  <w:jc w:val="center"/>
                </w:pPr>
                <w:r w:rsidRPr="6161EC86">
                  <w:rPr>
                    <w:rFonts w:ascii="Times New Roman" w:eastAsia="Times New Roman" w:hAnsi="Times New Roman"/>
                    <w:sz w:val="14"/>
                    <w:szCs w:val="14"/>
                    <w:lang w:val="es"/>
                  </w:rPr>
                  <w:t>Patrimonio Autónomo BONA FIDE Representado por Renta 4 Global Fiduciaria S.A.</w:t>
                </w:r>
              </w:p>
            </w:tc>
            <w:tc>
              <w:tcPr>
                <w:tcW w:w="25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7BC66E" w14:textId="46A9AB87" w:rsidR="6161EC86" w:rsidRDefault="6161EC86" w:rsidP="6161EC86">
                <w:pPr>
                  <w:spacing w:after="0" w:line="254" w:lineRule="auto"/>
                  <w:ind w:left="-20" w:right="-20"/>
                  <w:jc w:val="center"/>
                </w:pPr>
                <w:r w:rsidRPr="6161EC86">
                  <w:rPr>
                    <w:rFonts w:ascii="Times New Roman" w:eastAsia="Times New Roman" w:hAnsi="Times New Roman"/>
                    <w:sz w:val="14"/>
                    <w:szCs w:val="14"/>
                    <w:lang w:val="es"/>
                  </w:rPr>
                  <w:t>26 y 2/3</w:t>
                </w:r>
              </w:p>
            </w:tc>
          </w:tr>
          <w:tr w:rsidR="6161EC86" w14:paraId="7CD49499" w14:textId="77777777" w:rsidTr="4203F14C">
            <w:trPr>
              <w:trHeight w:val="300"/>
            </w:trPr>
            <w:tc>
              <w:tcPr>
                <w:tcW w:w="35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EE2E98" w14:textId="2CAA1987" w:rsidR="6161EC86" w:rsidRDefault="6161EC86" w:rsidP="6161EC86">
                <w:pPr>
                  <w:spacing w:after="0" w:line="254" w:lineRule="auto"/>
                  <w:ind w:left="-20" w:right="-20"/>
                  <w:jc w:val="center"/>
                </w:pPr>
                <w:r w:rsidRPr="6161EC86">
                  <w:rPr>
                    <w:rFonts w:ascii="Times New Roman" w:eastAsia="Times New Roman" w:hAnsi="Times New Roman"/>
                    <w:sz w:val="14"/>
                    <w:szCs w:val="14"/>
                    <w:lang w:val="es"/>
                  </w:rPr>
                  <w:t>María Victoria Solarte Daza</w:t>
                </w:r>
              </w:p>
            </w:tc>
            <w:tc>
              <w:tcPr>
                <w:tcW w:w="24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00EB00" w14:textId="2E515E1D" w:rsidR="6161EC86" w:rsidRDefault="6161EC86" w:rsidP="6161EC86">
                <w:pPr>
                  <w:spacing w:after="0" w:line="254" w:lineRule="auto"/>
                  <w:ind w:left="-20" w:right="-20"/>
                  <w:jc w:val="center"/>
                </w:pPr>
                <w:r w:rsidRPr="6161EC86">
                  <w:rPr>
                    <w:rFonts w:ascii="Times New Roman" w:eastAsia="Times New Roman" w:hAnsi="Times New Roman"/>
                    <w:sz w:val="14"/>
                    <w:szCs w:val="14"/>
                    <w:lang w:val="es"/>
                  </w:rPr>
                  <w:t>Inversiones Sisol S.A.S</w:t>
                </w:r>
              </w:p>
            </w:tc>
            <w:tc>
              <w:tcPr>
                <w:tcW w:w="25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5D740D" w14:textId="2FB0D477" w:rsidR="6161EC86" w:rsidRDefault="6161EC86" w:rsidP="6161EC86">
                <w:pPr>
                  <w:spacing w:after="0" w:line="254" w:lineRule="auto"/>
                  <w:ind w:left="-20" w:right="-20"/>
                  <w:jc w:val="center"/>
                </w:pPr>
                <w:r w:rsidRPr="6161EC86">
                  <w:rPr>
                    <w:rFonts w:ascii="Times New Roman" w:eastAsia="Times New Roman" w:hAnsi="Times New Roman"/>
                    <w:sz w:val="14"/>
                    <w:szCs w:val="14"/>
                    <w:lang w:val="es"/>
                  </w:rPr>
                  <w:t>22</w:t>
                </w:r>
              </w:p>
            </w:tc>
          </w:tr>
          <w:tr w:rsidR="6161EC86" w14:paraId="1EA7C394" w14:textId="77777777" w:rsidTr="4203F14C">
            <w:trPr>
              <w:trHeight w:val="300"/>
            </w:trPr>
            <w:tc>
              <w:tcPr>
                <w:tcW w:w="35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C0CB65" w14:textId="37E4CED3" w:rsidR="6161EC86" w:rsidRDefault="6161EC86" w:rsidP="6161EC86">
                <w:pPr>
                  <w:spacing w:after="0" w:line="254" w:lineRule="auto"/>
                  <w:ind w:left="-20" w:right="-20"/>
                  <w:jc w:val="center"/>
                </w:pPr>
                <w:r w:rsidRPr="6161EC86">
                  <w:rPr>
                    <w:rFonts w:ascii="Times New Roman" w:eastAsia="Times New Roman" w:hAnsi="Times New Roman"/>
                    <w:sz w:val="14"/>
                    <w:szCs w:val="14"/>
                    <w:lang w:val="es"/>
                  </w:rPr>
                  <w:t>Carlos Alberto Solarte Solarte S.A.S</w:t>
                </w:r>
              </w:p>
            </w:tc>
            <w:tc>
              <w:tcPr>
                <w:tcW w:w="24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286764" w14:textId="48D6202D" w:rsidR="6161EC86" w:rsidRDefault="6161EC86" w:rsidP="6161EC86">
                <w:pPr>
                  <w:spacing w:after="0" w:line="254" w:lineRule="auto"/>
                  <w:ind w:left="-20" w:right="-20"/>
                  <w:jc w:val="center"/>
                </w:pPr>
                <w:r w:rsidRPr="6161EC86">
                  <w:rPr>
                    <w:rFonts w:ascii="Times New Roman" w:eastAsia="Times New Roman" w:hAnsi="Times New Roman"/>
                    <w:sz w:val="14"/>
                    <w:szCs w:val="14"/>
                    <w:lang w:val="es"/>
                  </w:rPr>
                  <w:t>Carlos Alberto Solarte S.A.S</w:t>
                </w:r>
              </w:p>
            </w:tc>
            <w:tc>
              <w:tcPr>
                <w:tcW w:w="25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170A54" w14:textId="1648E648" w:rsidR="6161EC86" w:rsidRDefault="6161EC86" w:rsidP="6161EC86">
                <w:pPr>
                  <w:spacing w:after="0" w:line="254" w:lineRule="auto"/>
                  <w:ind w:left="-20" w:right="-20"/>
                  <w:jc w:val="center"/>
                </w:pPr>
                <w:r w:rsidRPr="6161EC86">
                  <w:rPr>
                    <w:rFonts w:ascii="Times New Roman" w:eastAsia="Times New Roman" w:hAnsi="Times New Roman"/>
                    <w:sz w:val="14"/>
                    <w:szCs w:val="14"/>
                    <w:lang w:val="es"/>
                  </w:rPr>
                  <w:t>18 y 1/3</w:t>
                </w:r>
              </w:p>
            </w:tc>
          </w:tr>
          <w:tr w:rsidR="6161EC86" w14:paraId="6E9ECA19" w14:textId="77777777" w:rsidTr="4203F14C">
            <w:trPr>
              <w:trHeight w:val="300"/>
            </w:trPr>
            <w:tc>
              <w:tcPr>
                <w:tcW w:w="35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047FEE" w14:textId="63FA8CC0" w:rsidR="6161EC86" w:rsidRDefault="6161EC86" w:rsidP="6161EC86">
                <w:pPr>
                  <w:spacing w:after="0" w:line="254" w:lineRule="auto"/>
                  <w:ind w:left="-20" w:right="-20"/>
                  <w:jc w:val="center"/>
                </w:pPr>
                <w:r w:rsidRPr="6161EC86">
                  <w:rPr>
                    <w:rFonts w:ascii="Times New Roman" w:eastAsia="Times New Roman" w:hAnsi="Times New Roman"/>
                    <w:sz w:val="14"/>
                    <w:szCs w:val="14"/>
                    <w:lang w:val="es"/>
                  </w:rPr>
                  <w:t>Carlos Alberto Solarte Solarte</w:t>
                </w:r>
              </w:p>
            </w:tc>
            <w:tc>
              <w:tcPr>
                <w:tcW w:w="24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087D04" w14:textId="50964D28" w:rsidR="6161EC86" w:rsidRDefault="6161EC86" w:rsidP="6161EC86">
                <w:pPr>
                  <w:spacing w:after="0" w:line="254" w:lineRule="auto"/>
                  <w:ind w:left="-20" w:right="-20"/>
                  <w:jc w:val="center"/>
                </w:pPr>
                <w:r w:rsidRPr="6161EC86">
                  <w:rPr>
                    <w:rFonts w:ascii="Times New Roman" w:eastAsia="Times New Roman" w:hAnsi="Times New Roman"/>
                    <w:sz w:val="14"/>
                    <w:szCs w:val="14"/>
                    <w:lang w:val="es"/>
                  </w:rPr>
                  <w:t>Parkenal S.A.S</w:t>
                </w:r>
              </w:p>
            </w:tc>
            <w:tc>
              <w:tcPr>
                <w:tcW w:w="25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95AD4F" w14:textId="4CDBF75A" w:rsidR="6161EC86" w:rsidRDefault="6161EC86" w:rsidP="6161EC86">
                <w:pPr>
                  <w:spacing w:after="0" w:line="254" w:lineRule="auto"/>
                  <w:ind w:left="-20" w:right="-20"/>
                  <w:jc w:val="center"/>
                </w:pPr>
                <w:r w:rsidRPr="6161EC86">
                  <w:rPr>
                    <w:rFonts w:ascii="Times New Roman" w:eastAsia="Times New Roman" w:hAnsi="Times New Roman"/>
                    <w:sz w:val="14"/>
                    <w:szCs w:val="14"/>
                    <w:lang w:val="es"/>
                  </w:rPr>
                  <w:t>18 y 1/3</w:t>
                </w:r>
              </w:p>
            </w:tc>
          </w:tr>
          <w:tr w:rsidR="6161EC86" w14:paraId="5719E44E" w14:textId="77777777" w:rsidTr="4203F14C">
            <w:trPr>
              <w:trHeight w:val="300"/>
            </w:trPr>
            <w:tc>
              <w:tcPr>
                <w:tcW w:w="35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6B4A3E" w14:textId="3D83AB7A" w:rsidR="6161EC86" w:rsidRDefault="6161EC86" w:rsidP="6161EC86">
                <w:pPr>
                  <w:spacing w:after="0" w:line="254" w:lineRule="auto"/>
                  <w:ind w:left="-20" w:right="-20"/>
                  <w:jc w:val="center"/>
                </w:pPr>
                <w:r w:rsidRPr="6161EC86">
                  <w:rPr>
                    <w:rFonts w:ascii="Times New Roman" w:eastAsia="Times New Roman" w:hAnsi="Times New Roman"/>
                    <w:sz w:val="14"/>
                    <w:szCs w:val="14"/>
                    <w:lang w:val="es"/>
                  </w:rPr>
                  <w:t>Luis Fernando Solarte Viveros</w:t>
                </w:r>
              </w:p>
              <w:p w14:paraId="70449D98" w14:textId="7F0F75BC" w:rsidR="6161EC86" w:rsidRDefault="6161EC86" w:rsidP="6161EC86">
                <w:pPr>
                  <w:spacing w:after="0" w:line="254" w:lineRule="auto"/>
                  <w:ind w:left="-20" w:right="-20"/>
                  <w:jc w:val="center"/>
                </w:pPr>
                <w:r w:rsidRPr="6161EC86">
                  <w:rPr>
                    <w:rFonts w:ascii="Times New Roman" w:eastAsia="Times New Roman" w:hAnsi="Times New Roman"/>
                    <w:sz w:val="14"/>
                    <w:szCs w:val="14"/>
                    <w:lang w:val="es"/>
                  </w:rPr>
                  <w:t>Gabriel David Solarte Viveros</w:t>
                </w:r>
              </w:p>
              <w:p w14:paraId="05F0237A" w14:textId="00C3CA63" w:rsidR="6161EC86" w:rsidRDefault="6161EC86" w:rsidP="6161EC86">
                <w:pPr>
                  <w:spacing w:after="0" w:line="254" w:lineRule="auto"/>
                  <w:ind w:left="-20" w:right="-20"/>
                  <w:jc w:val="center"/>
                </w:pPr>
                <w:r w:rsidRPr="6161EC86">
                  <w:rPr>
                    <w:rFonts w:ascii="Times New Roman" w:eastAsia="Times New Roman" w:hAnsi="Times New Roman"/>
                    <w:sz w:val="14"/>
                    <w:szCs w:val="14"/>
                    <w:lang w:val="es"/>
                  </w:rPr>
                  <w:t>Diego Alejandro Solarte Viveros</w:t>
                </w:r>
              </w:p>
            </w:tc>
            <w:tc>
              <w:tcPr>
                <w:tcW w:w="24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19D9AD" w14:textId="5BBDA276" w:rsidR="6161EC86" w:rsidRDefault="6161EC86" w:rsidP="6161EC86">
                <w:pPr>
                  <w:spacing w:after="0" w:line="254" w:lineRule="auto"/>
                  <w:ind w:left="-20" w:right="-20"/>
                  <w:jc w:val="center"/>
                </w:pPr>
                <w:r w:rsidRPr="6161EC86">
                  <w:rPr>
                    <w:rFonts w:ascii="Times New Roman" w:eastAsia="Times New Roman" w:hAnsi="Times New Roman"/>
                    <w:sz w:val="14"/>
                    <w:szCs w:val="14"/>
                    <w:lang w:val="es"/>
                  </w:rPr>
                  <w:t>Patrimonio Autónomo Unión Global No. 344000 — Fiduciaria Alianza</w:t>
                </w:r>
              </w:p>
            </w:tc>
            <w:tc>
              <w:tcPr>
                <w:tcW w:w="25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E892F8" w14:textId="211FD455" w:rsidR="6161EC86" w:rsidRDefault="6161EC86" w:rsidP="6161EC86">
                <w:pPr>
                  <w:spacing w:after="0" w:line="254" w:lineRule="auto"/>
                  <w:ind w:left="-20" w:right="-20"/>
                  <w:jc w:val="center"/>
                </w:pPr>
                <w:r w:rsidRPr="6161EC86">
                  <w:rPr>
                    <w:rFonts w:ascii="Times New Roman" w:eastAsia="Times New Roman" w:hAnsi="Times New Roman"/>
                    <w:sz w:val="14"/>
                    <w:szCs w:val="14"/>
                    <w:lang w:val="es"/>
                  </w:rPr>
                  <w:t>11</w:t>
                </w:r>
              </w:p>
            </w:tc>
          </w:tr>
          <w:tr w:rsidR="6161EC86" w14:paraId="72671797" w14:textId="77777777" w:rsidTr="4203F14C">
            <w:trPr>
              <w:trHeight w:val="300"/>
            </w:trPr>
            <w:tc>
              <w:tcPr>
                <w:tcW w:w="35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0E4DA1" w14:textId="2288F291" w:rsidR="6161EC86" w:rsidRDefault="6161EC86" w:rsidP="6161EC86">
                <w:pPr>
                  <w:spacing w:after="0" w:line="254" w:lineRule="auto"/>
                  <w:ind w:left="-20" w:right="-20"/>
                  <w:jc w:val="center"/>
                </w:pPr>
                <w:r w:rsidRPr="6161EC86">
                  <w:rPr>
                    <w:rFonts w:ascii="Times New Roman" w:eastAsia="Times New Roman" w:hAnsi="Times New Roman"/>
                    <w:sz w:val="14"/>
                    <w:szCs w:val="14"/>
                    <w:lang w:val="es"/>
                  </w:rPr>
                  <w:t>Luis Fernando Solarte Marcillo</w:t>
                </w:r>
              </w:p>
            </w:tc>
            <w:tc>
              <w:tcPr>
                <w:tcW w:w="24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4DF7C6" w14:textId="0DB7F5E9" w:rsidR="6161EC86" w:rsidRDefault="6161EC86" w:rsidP="6161EC86">
                <w:pPr>
                  <w:spacing w:after="0" w:line="254" w:lineRule="auto"/>
                  <w:ind w:left="-20" w:right="-20"/>
                  <w:jc w:val="center"/>
                </w:pPr>
                <w:r w:rsidRPr="6161EC86">
                  <w:rPr>
                    <w:rFonts w:ascii="Times New Roman" w:eastAsia="Times New Roman" w:hAnsi="Times New Roman"/>
                    <w:sz w:val="14"/>
                    <w:szCs w:val="14"/>
                    <w:lang w:val="es"/>
                  </w:rPr>
                  <w:t>Luis Fernando Solarte Marcillo</w:t>
                </w:r>
              </w:p>
            </w:tc>
            <w:tc>
              <w:tcPr>
                <w:tcW w:w="25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B067EE" w14:textId="22A4A329" w:rsidR="6161EC86" w:rsidRDefault="6161EC86" w:rsidP="6161EC86">
                <w:pPr>
                  <w:spacing w:after="0" w:line="254" w:lineRule="auto"/>
                  <w:ind w:left="-20" w:right="-20"/>
                  <w:jc w:val="center"/>
                </w:pPr>
                <w:r w:rsidRPr="6161EC86">
                  <w:rPr>
                    <w:rFonts w:ascii="Times New Roman" w:eastAsia="Times New Roman" w:hAnsi="Times New Roman"/>
                    <w:sz w:val="14"/>
                    <w:szCs w:val="14"/>
                    <w:lang w:val="es"/>
                  </w:rPr>
                  <w:t>3 y 2/3</w:t>
                </w:r>
              </w:p>
            </w:tc>
          </w:tr>
          <w:tr w:rsidR="6161EC86" w14:paraId="456D4DC0" w14:textId="77777777" w:rsidTr="4203F14C">
            <w:trPr>
              <w:trHeight w:val="300"/>
            </w:trPr>
            <w:tc>
              <w:tcPr>
                <w:tcW w:w="35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7C17DC" w14:textId="56984D9F" w:rsidR="6161EC86" w:rsidRDefault="6161EC86" w:rsidP="6161EC86">
                <w:pPr>
                  <w:spacing w:after="0" w:line="254" w:lineRule="auto"/>
                  <w:ind w:left="-20" w:right="-20"/>
                  <w:jc w:val="center"/>
                </w:pPr>
                <w:r w:rsidRPr="6161EC86">
                  <w:rPr>
                    <w:rFonts w:ascii="Times New Roman" w:eastAsia="Times New Roman" w:hAnsi="Times New Roman"/>
                    <w:sz w:val="14"/>
                    <w:szCs w:val="14"/>
                    <w:lang w:val="es"/>
                  </w:rPr>
                  <w:t>Total</w:t>
                </w:r>
              </w:p>
            </w:tc>
            <w:tc>
              <w:tcPr>
                <w:tcW w:w="24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51CC52" w14:textId="5DC7CB59" w:rsidR="6161EC86" w:rsidRDefault="6161EC86" w:rsidP="6161EC86">
                <w:pPr>
                  <w:spacing w:after="0" w:line="254" w:lineRule="auto"/>
                  <w:ind w:left="-20" w:right="-20"/>
                  <w:jc w:val="center"/>
                </w:pPr>
                <w:r w:rsidRPr="6161EC86">
                  <w:rPr>
                    <w:rFonts w:ascii="Times New Roman" w:eastAsia="Times New Roman" w:hAnsi="Times New Roman"/>
                    <w:sz w:val="14"/>
                    <w:szCs w:val="14"/>
                    <w:lang w:val="es"/>
                  </w:rPr>
                  <w:t xml:space="preserve"> </w:t>
                </w:r>
              </w:p>
            </w:tc>
            <w:tc>
              <w:tcPr>
                <w:tcW w:w="25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1D1430" w14:textId="7D4C3124" w:rsidR="6161EC86" w:rsidRDefault="6161EC86" w:rsidP="6161EC86">
                <w:pPr>
                  <w:spacing w:after="0" w:line="254" w:lineRule="auto"/>
                  <w:ind w:left="-20" w:right="-20"/>
                  <w:jc w:val="center"/>
                </w:pPr>
                <w:r w:rsidRPr="6161EC86">
                  <w:rPr>
                    <w:rFonts w:ascii="Times New Roman" w:eastAsia="Times New Roman" w:hAnsi="Times New Roman"/>
                    <w:sz w:val="14"/>
                    <w:szCs w:val="14"/>
                    <w:lang w:val="es"/>
                  </w:rPr>
                  <w:t>100%</w:t>
                </w:r>
              </w:p>
            </w:tc>
          </w:tr>
        </w:tbl>
        <w:p w14:paraId="04860766" w14:textId="21F5613A" w:rsidR="561F2AC0" w:rsidRDefault="561F2AC0" w:rsidP="6161EC86">
          <w:pPr>
            <w:ind w:right="-20"/>
            <w:jc w:val="both"/>
            <w:rPr>
              <w:rFonts w:ascii="Times New Roman" w:eastAsia="Times New Roman" w:hAnsi="Times New Roman"/>
            </w:rPr>
          </w:pPr>
          <w:r w:rsidRPr="6161EC86">
            <w:rPr>
              <w:rFonts w:ascii="Times New Roman" w:eastAsia="Times New Roman" w:hAnsi="Times New Roman"/>
              <w:sz w:val="24"/>
              <w:szCs w:val="24"/>
            </w:rPr>
            <w:t xml:space="preserve"> </w:t>
          </w:r>
        </w:p>
        <w:p w14:paraId="25F25CD0" w14:textId="0B2A408B" w:rsidR="561F2AC0" w:rsidRDefault="561F2AC0" w:rsidP="6161EC86">
          <w:pPr>
            <w:ind w:right="-20"/>
            <w:jc w:val="both"/>
            <w:rPr>
              <w:rFonts w:ascii="Times New Roman" w:eastAsia="Times New Roman" w:hAnsi="Times New Roman"/>
            </w:rPr>
          </w:pPr>
          <w:r w:rsidRPr="6161EC86">
            <w:rPr>
              <w:rFonts w:ascii="Times New Roman" w:eastAsia="Times New Roman" w:hAnsi="Times New Roman"/>
              <w:sz w:val="24"/>
              <w:szCs w:val="24"/>
            </w:rPr>
            <w:t>Por su parte la Dirección de Impuestos y Aduanas Nacionales atendió la solicitud mediante oficio 13227456507429 del 12 de septiembre de 2023. Seguidamente, el 19 de octubre de 2023 la ANI emite RESOLUCIÓN No. —20235000013605 “Por medio de la cual se revocan las Resoluciones No.20235000007075 del 9 de junio de 2023 y No. 20235000003535 del 27 de marzo de 2023 en su totalidad, y se ordena el pago de $203.700.000.000. Mediante oficio con Radicado ANI No.: 20235000391111 del 30 de octubre de 2023 se remitido la resolución No 20235000013605 al Ministerio de Hacienda y Crédito Público para el pago correspondiente. El 28 de diciembre de 2023 el Ministerio de Hacienda y Crédito público mediante radicado No 2-2023-069912 oficializa el cierre del trámite sin pago.</w:t>
          </w:r>
        </w:p>
        <w:p w14:paraId="1ECA9476" w14:textId="22AF1214" w:rsidR="561F2AC0" w:rsidRDefault="005E2367" w:rsidP="4203F14C">
          <w:pPr>
            <w:ind w:right="-20"/>
            <w:jc w:val="both"/>
            <w:rPr>
              <w:rFonts w:ascii="Times New Roman" w:eastAsia="Times New Roman" w:hAnsi="Times New Roman"/>
              <w:sz w:val="24"/>
              <w:szCs w:val="24"/>
            </w:rPr>
          </w:pPr>
          <w:r w:rsidRPr="6161EC86">
            <w:rPr>
              <w:rFonts w:ascii="Times New Roman" w:eastAsia="Times New Roman" w:hAnsi="Times New Roman"/>
              <w:sz w:val="24"/>
              <w:szCs w:val="24"/>
            </w:rPr>
            <w:t>Con corte al 31 de diciembre de 2023, el Ministerio de Hacienda no realizó el pago solicitado</w:t>
          </w:r>
          <w:r w:rsidR="00C447D3">
            <w:rPr>
              <w:rFonts w:ascii="Times New Roman" w:eastAsia="Times New Roman" w:hAnsi="Times New Roman"/>
              <w:sz w:val="24"/>
              <w:szCs w:val="24"/>
            </w:rPr>
            <w:t xml:space="preserve"> </w:t>
          </w:r>
          <w:r w:rsidR="561F2AC0" w:rsidRPr="6161EC86">
            <w:rPr>
              <w:rFonts w:ascii="Times New Roman" w:eastAsia="Times New Roman" w:hAnsi="Times New Roman"/>
              <w:sz w:val="24"/>
              <w:szCs w:val="24"/>
            </w:rPr>
            <w:t>por la Agencia Nacional de Infraestructura, por lo que se tramitará de nuevo el abono a capital con Títulos de Tesorería TES en la vigencia 2024 y de acuerdo con el cupo disponible para dicha vigencia. Finalmente, el capital de la deuda no tiene variación, quedando un saldo de capital pendiente por pagar a la Unión Temporal así:</w:t>
          </w:r>
        </w:p>
        <w:p w14:paraId="71D9E10F" w14:textId="77777777" w:rsidR="004E0C75" w:rsidRDefault="004E0C75" w:rsidP="4203F14C">
          <w:pPr>
            <w:ind w:right="-20"/>
            <w:jc w:val="both"/>
            <w:rPr>
              <w:rFonts w:ascii="Times New Roman" w:eastAsia="Times New Roman" w:hAnsi="Times New Roman"/>
            </w:rPr>
          </w:pPr>
        </w:p>
        <w:tbl>
          <w:tblPr>
            <w:tblStyle w:val="Tablaconcuadrcula"/>
            <w:tblW w:w="5000" w:type="pct"/>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blBorders>
            <w:tblLook w:val="06A0" w:firstRow="1" w:lastRow="0" w:firstColumn="1" w:lastColumn="0" w:noHBand="1" w:noVBand="1"/>
          </w:tblPr>
          <w:tblGrid>
            <w:gridCol w:w="1163"/>
            <w:gridCol w:w="1822"/>
            <w:gridCol w:w="1534"/>
            <w:gridCol w:w="1568"/>
            <w:gridCol w:w="1116"/>
            <w:gridCol w:w="1756"/>
          </w:tblGrid>
          <w:tr w:rsidR="00C07D20" w:rsidRPr="0011020F" w14:paraId="5F7ACF7C" w14:textId="77777777" w:rsidTr="001C0B49">
            <w:trPr>
              <w:trHeight w:val="270"/>
            </w:trPr>
            <w:tc>
              <w:tcPr>
                <w:tcW w:w="649" w:type="pct"/>
                <w:shd w:val="clear" w:color="auto" w:fill="FFFFFF" w:themeFill="background1"/>
                <w:tcMar>
                  <w:left w:w="108" w:type="dxa"/>
                  <w:right w:w="108" w:type="dxa"/>
                </w:tcMar>
                <w:vAlign w:val="center"/>
              </w:tcPr>
              <w:p w14:paraId="0AACFD04" w14:textId="061C6029" w:rsidR="6161EC86" w:rsidRPr="0011020F" w:rsidRDefault="6161EC86" w:rsidP="6161EC86">
                <w:pPr>
                  <w:spacing w:after="0" w:line="254" w:lineRule="auto"/>
                  <w:ind w:left="-20" w:right="-20"/>
                  <w:rPr>
                    <w:sz w:val="16"/>
                    <w:szCs w:val="16"/>
                  </w:rPr>
                </w:pPr>
                <w:r w:rsidRPr="0011020F">
                  <w:rPr>
                    <w:rFonts w:ascii="Times New Roman" w:eastAsia="Times New Roman" w:hAnsi="Times New Roman"/>
                    <w:b/>
                    <w:color w:val="000000" w:themeColor="text1"/>
                    <w:sz w:val="16"/>
                    <w:szCs w:val="16"/>
                  </w:rPr>
                  <w:t>AÑOS *</w:t>
                </w:r>
              </w:p>
            </w:tc>
            <w:tc>
              <w:tcPr>
                <w:tcW w:w="1017" w:type="pct"/>
                <w:shd w:val="clear" w:color="auto" w:fill="FFFFFF" w:themeFill="background1"/>
                <w:tcMar>
                  <w:left w:w="108" w:type="dxa"/>
                  <w:right w:w="108" w:type="dxa"/>
                </w:tcMar>
                <w:vAlign w:val="center"/>
              </w:tcPr>
              <w:p w14:paraId="72669446" w14:textId="7C8F8506" w:rsidR="6161EC86" w:rsidRPr="0011020F" w:rsidRDefault="6161EC86" w:rsidP="6161EC86">
                <w:pPr>
                  <w:spacing w:after="0" w:line="254" w:lineRule="auto"/>
                  <w:ind w:left="-20" w:right="-20"/>
                  <w:jc w:val="center"/>
                  <w:rPr>
                    <w:sz w:val="16"/>
                    <w:szCs w:val="16"/>
                  </w:rPr>
                </w:pPr>
                <w:r w:rsidRPr="0011020F">
                  <w:rPr>
                    <w:rFonts w:ascii="Times New Roman" w:eastAsia="Times New Roman" w:hAnsi="Times New Roman"/>
                    <w:b/>
                    <w:color w:val="000000" w:themeColor="text1"/>
                    <w:sz w:val="16"/>
                    <w:szCs w:val="16"/>
                  </w:rPr>
                  <w:t>2020</w:t>
                </w:r>
              </w:p>
            </w:tc>
            <w:tc>
              <w:tcPr>
                <w:tcW w:w="856" w:type="pct"/>
                <w:shd w:val="clear" w:color="auto" w:fill="FFFFFF" w:themeFill="background1"/>
                <w:tcMar>
                  <w:left w:w="108" w:type="dxa"/>
                  <w:right w:w="108" w:type="dxa"/>
                </w:tcMar>
                <w:vAlign w:val="center"/>
              </w:tcPr>
              <w:p w14:paraId="010A8ECA" w14:textId="2B3329E4" w:rsidR="6161EC86" w:rsidRPr="0011020F" w:rsidRDefault="6161EC86" w:rsidP="6161EC86">
                <w:pPr>
                  <w:spacing w:after="0" w:line="254" w:lineRule="auto"/>
                  <w:ind w:left="-20" w:right="-20"/>
                  <w:jc w:val="center"/>
                  <w:rPr>
                    <w:sz w:val="16"/>
                    <w:szCs w:val="16"/>
                  </w:rPr>
                </w:pPr>
                <w:r w:rsidRPr="0011020F">
                  <w:rPr>
                    <w:rFonts w:ascii="Times New Roman" w:eastAsia="Times New Roman" w:hAnsi="Times New Roman"/>
                    <w:b/>
                    <w:color w:val="000000" w:themeColor="text1"/>
                    <w:sz w:val="16"/>
                    <w:szCs w:val="16"/>
                  </w:rPr>
                  <w:t>2021</w:t>
                </w:r>
              </w:p>
            </w:tc>
            <w:tc>
              <w:tcPr>
                <w:tcW w:w="875" w:type="pct"/>
                <w:shd w:val="clear" w:color="auto" w:fill="FFFFFF" w:themeFill="background1"/>
                <w:tcMar>
                  <w:left w:w="108" w:type="dxa"/>
                  <w:right w:w="108" w:type="dxa"/>
                </w:tcMar>
                <w:vAlign w:val="center"/>
              </w:tcPr>
              <w:p w14:paraId="46588FC1" w14:textId="5BEEA649" w:rsidR="6161EC86" w:rsidRPr="0011020F" w:rsidRDefault="6161EC86" w:rsidP="6161EC86">
                <w:pPr>
                  <w:spacing w:after="0" w:line="254" w:lineRule="auto"/>
                  <w:ind w:left="-20" w:right="-20"/>
                  <w:jc w:val="center"/>
                  <w:rPr>
                    <w:sz w:val="16"/>
                    <w:szCs w:val="16"/>
                  </w:rPr>
                </w:pPr>
                <w:r w:rsidRPr="0011020F">
                  <w:rPr>
                    <w:rFonts w:ascii="Times New Roman" w:eastAsia="Times New Roman" w:hAnsi="Times New Roman"/>
                    <w:b/>
                    <w:color w:val="000000" w:themeColor="text1"/>
                    <w:sz w:val="16"/>
                    <w:szCs w:val="16"/>
                  </w:rPr>
                  <w:t>2022</w:t>
                </w:r>
              </w:p>
            </w:tc>
            <w:tc>
              <w:tcPr>
                <w:tcW w:w="623" w:type="pct"/>
                <w:shd w:val="clear" w:color="auto" w:fill="FFFFFF" w:themeFill="background1"/>
                <w:tcMar>
                  <w:left w:w="108" w:type="dxa"/>
                  <w:right w:w="108" w:type="dxa"/>
                </w:tcMar>
              </w:tcPr>
              <w:p w14:paraId="40301953" w14:textId="59D09983" w:rsidR="6161EC86" w:rsidRPr="0011020F" w:rsidRDefault="6161EC86" w:rsidP="6161EC86">
                <w:pPr>
                  <w:spacing w:after="0" w:line="254" w:lineRule="auto"/>
                  <w:ind w:left="-20" w:right="-20"/>
                  <w:jc w:val="center"/>
                  <w:rPr>
                    <w:sz w:val="16"/>
                    <w:szCs w:val="16"/>
                  </w:rPr>
                </w:pPr>
                <w:r w:rsidRPr="0011020F">
                  <w:rPr>
                    <w:rFonts w:ascii="Times New Roman" w:eastAsia="Times New Roman" w:hAnsi="Times New Roman"/>
                    <w:b/>
                    <w:color w:val="000000" w:themeColor="text1"/>
                    <w:sz w:val="16"/>
                    <w:szCs w:val="16"/>
                  </w:rPr>
                  <w:t>2023</w:t>
                </w:r>
              </w:p>
            </w:tc>
            <w:tc>
              <w:tcPr>
                <w:tcW w:w="980" w:type="pct"/>
                <w:shd w:val="clear" w:color="auto" w:fill="FFFFFF" w:themeFill="background1"/>
                <w:tcMar>
                  <w:left w:w="108" w:type="dxa"/>
                  <w:right w:w="108" w:type="dxa"/>
                </w:tcMar>
                <w:vAlign w:val="center"/>
              </w:tcPr>
              <w:p w14:paraId="024D094E" w14:textId="6BF61F6A" w:rsidR="6161EC86" w:rsidRPr="0011020F" w:rsidRDefault="6161EC86" w:rsidP="6161EC86">
                <w:pPr>
                  <w:spacing w:after="0" w:line="254" w:lineRule="auto"/>
                  <w:ind w:left="-20" w:right="-20"/>
                  <w:jc w:val="center"/>
                  <w:rPr>
                    <w:sz w:val="16"/>
                    <w:szCs w:val="16"/>
                  </w:rPr>
                </w:pPr>
                <w:r w:rsidRPr="0011020F">
                  <w:rPr>
                    <w:rFonts w:ascii="Times New Roman" w:eastAsia="Times New Roman" w:hAnsi="Times New Roman"/>
                    <w:b/>
                    <w:color w:val="000000" w:themeColor="text1"/>
                    <w:sz w:val="16"/>
                    <w:szCs w:val="16"/>
                  </w:rPr>
                  <w:t>TOTAL</w:t>
                </w:r>
              </w:p>
            </w:tc>
          </w:tr>
          <w:tr w:rsidR="00EF2E18" w:rsidRPr="0011020F" w14:paraId="3E314D82" w14:textId="77777777" w:rsidTr="001C0B49">
            <w:trPr>
              <w:trHeight w:val="300"/>
            </w:trPr>
            <w:tc>
              <w:tcPr>
                <w:tcW w:w="649" w:type="pct"/>
                <w:shd w:val="clear" w:color="auto" w:fill="FFFFFF" w:themeFill="background1"/>
                <w:tcMar>
                  <w:left w:w="108" w:type="dxa"/>
                  <w:right w:w="108" w:type="dxa"/>
                </w:tcMar>
                <w:vAlign w:val="center"/>
              </w:tcPr>
              <w:p w14:paraId="7AC909E5" w14:textId="1020D250" w:rsidR="6161EC86" w:rsidRPr="0011020F" w:rsidRDefault="6161EC86" w:rsidP="6161EC86">
                <w:pPr>
                  <w:spacing w:after="0" w:line="254" w:lineRule="auto"/>
                  <w:ind w:left="-20" w:right="-20"/>
                  <w:rPr>
                    <w:sz w:val="16"/>
                    <w:szCs w:val="16"/>
                  </w:rPr>
                </w:pPr>
                <w:r w:rsidRPr="0011020F">
                  <w:rPr>
                    <w:rFonts w:ascii="Times New Roman" w:eastAsia="Times New Roman" w:hAnsi="Times New Roman"/>
                    <w:color w:val="000000" w:themeColor="text1"/>
                    <w:sz w:val="16"/>
                    <w:szCs w:val="16"/>
                  </w:rPr>
                  <w:t xml:space="preserve">CAPITAL </w:t>
                </w:r>
              </w:p>
            </w:tc>
            <w:tc>
              <w:tcPr>
                <w:tcW w:w="1017" w:type="pct"/>
                <w:shd w:val="clear" w:color="auto" w:fill="FFFFFF" w:themeFill="background1"/>
                <w:tcMar>
                  <w:left w:w="108" w:type="dxa"/>
                  <w:right w:w="108" w:type="dxa"/>
                </w:tcMar>
                <w:vAlign w:val="center"/>
              </w:tcPr>
              <w:p w14:paraId="0612A4B7" w14:textId="339DBBD5" w:rsidR="6161EC86" w:rsidRPr="0011020F" w:rsidRDefault="6161EC86" w:rsidP="6161EC86">
                <w:pPr>
                  <w:spacing w:after="0" w:line="254" w:lineRule="auto"/>
                  <w:ind w:left="-20" w:right="-20"/>
                  <w:rPr>
                    <w:sz w:val="16"/>
                    <w:szCs w:val="16"/>
                  </w:rPr>
                </w:pPr>
                <w:r w:rsidRPr="0011020F">
                  <w:rPr>
                    <w:rFonts w:ascii="Times New Roman" w:eastAsia="Times New Roman" w:hAnsi="Times New Roman"/>
                    <w:color w:val="000000" w:themeColor="text1"/>
                    <w:sz w:val="16"/>
                    <w:szCs w:val="16"/>
                  </w:rPr>
                  <w:t xml:space="preserve"> $ 806.851.796.508 </w:t>
                </w:r>
              </w:p>
            </w:tc>
            <w:tc>
              <w:tcPr>
                <w:tcW w:w="856" w:type="pct"/>
                <w:shd w:val="clear" w:color="auto" w:fill="FFFFFF" w:themeFill="background1"/>
                <w:tcMar>
                  <w:left w:w="108" w:type="dxa"/>
                  <w:right w:w="108" w:type="dxa"/>
                </w:tcMar>
                <w:vAlign w:val="center"/>
              </w:tcPr>
              <w:p w14:paraId="7F345157" w14:textId="1F69161F" w:rsidR="6161EC86" w:rsidRPr="0011020F" w:rsidRDefault="6161EC86" w:rsidP="6161EC86">
                <w:pPr>
                  <w:spacing w:after="0" w:line="254" w:lineRule="auto"/>
                  <w:ind w:left="-20" w:right="-20"/>
                  <w:jc w:val="center"/>
                  <w:rPr>
                    <w:sz w:val="16"/>
                    <w:szCs w:val="16"/>
                  </w:rPr>
                </w:pPr>
                <w:r w:rsidRPr="0011020F">
                  <w:rPr>
                    <w:rFonts w:ascii="Times New Roman" w:eastAsia="Times New Roman" w:hAnsi="Times New Roman"/>
                    <w:color w:val="000000" w:themeColor="text1"/>
                    <w:sz w:val="16"/>
                    <w:szCs w:val="16"/>
                  </w:rPr>
                  <w:t xml:space="preserve"> $                       </w:t>
                </w:r>
              </w:p>
            </w:tc>
            <w:tc>
              <w:tcPr>
                <w:tcW w:w="875" w:type="pct"/>
                <w:shd w:val="clear" w:color="auto" w:fill="FFFFFF" w:themeFill="background1"/>
                <w:tcMar>
                  <w:left w:w="108" w:type="dxa"/>
                  <w:right w:w="108" w:type="dxa"/>
                </w:tcMar>
                <w:vAlign w:val="center"/>
              </w:tcPr>
              <w:p w14:paraId="5F79D25F" w14:textId="1A2CF398" w:rsidR="6161EC86" w:rsidRPr="0011020F" w:rsidRDefault="6161EC86" w:rsidP="6161EC86">
                <w:pPr>
                  <w:spacing w:after="0" w:line="254" w:lineRule="auto"/>
                  <w:ind w:left="-20" w:right="-20"/>
                  <w:jc w:val="center"/>
                  <w:rPr>
                    <w:sz w:val="16"/>
                    <w:szCs w:val="16"/>
                  </w:rPr>
                </w:pPr>
                <w:r w:rsidRPr="0011020F">
                  <w:rPr>
                    <w:rFonts w:ascii="Times New Roman" w:eastAsia="Times New Roman" w:hAnsi="Times New Roman"/>
                    <w:color w:val="000000" w:themeColor="text1"/>
                    <w:sz w:val="16"/>
                    <w:szCs w:val="16"/>
                  </w:rPr>
                  <w:t xml:space="preserve"> $                           </w:t>
                </w:r>
              </w:p>
            </w:tc>
            <w:tc>
              <w:tcPr>
                <w:tcW w:w="623" w:type="pct"/>
                <w:shd w:val="clear" w:color="auto" w:fill="FFFFFF" w:themeFill="background1"/>
                <w:tcMar>
                  <w:left w:w="108" w:type="dxa"/>
                  <w:right w:w="108" w:type="dxa"/>
                </w:tcMar>
                <w:vAlign w:val="center"/>
              </w:tcPr>
              <w:p w14:paraId="06FEF4B8" w14:textId="6660E217" w:rsidR="6161EC86" w:rsidRPr="0011020F" w:rsidRDefault="6161EC86" w:rsidP="6161EC86">
                <w:pPr>
                  <w:spacing w:after="0" w:line="254" w:lineRule="auto"/>
                  <w:ind w:left="-20" w:right="-20"/>
                  <w:jc w:val="center"/>
                  <w:rPr>
                    <w:sz w:val="16"/>
                    <w:szCs w:val="16"/>
                  </w:rPr>
                </w:pPr>
                <w:r w:rsidRPr="0011020F">
                  <w:rPr>
                    <w:rFonts w:ascii="Times New Roman" w:eastAsia="Times New Roman" w:hAnsi="Times New Roman"/>
                    <w:color w:val="000000" w:themeColor="text1"/>
                    <w:sz w:val="16"/>
                    <w:szCs w:val="16"/>
                  </w:rPr>
                  <w:t>$-</w:t>
                </w:r>
              </w:p>
              <w:p w14:paraId="1CDBDBD9" w14:textId="04DE6A10" w:rsidR="6161EC86" w:rsidRPr="0011020F" w:rsidRDefault="6161EC86" w:rsidP="6161EC86">
                <w:pPr>
                  <w:spacing w:after="0" w:line="254" w:lineRule="auto"/>
                  <w:ind w:left="-20" w:right="-20"/>
                  <w:jc w:val="center"/>
                  <w:rPr>
                    <w:sz w:val="16"/>
                    <w:szCs w:val="16"/>
                  </w:rPr>
                </w:pPr>
              </w:p>
            </w:tc>
            <w:tc>
              <w:tcPr>
                <w:tcW w:w="980" w:type="pct"/>
                <w:shd w:val="clear" w:color="auto" w:fill="FFFFFF" w:themeFill="background1"/>
                <w:tcMar>
                  <w:left w:w="108" w:type="dxa"/>
                  <w:right w:w="108" w:type="dxa"/>
                </w:tcMar>
                <w:vAlign w:val="center"/>
              </w:tcPr>
              <w:p w14:paraId="7F60E295" w14:textId="1BE6E6AC" w:rsidR="6161EC86" w:rsidRPr="0011020F" w:rsidRDefault="6161EC86" w:rsidP="6161EC86">
                <w:pPr>
                  <w:spacing w:after="0" w:line="254" w:lineRule="auto"/>
                  <w:ind w:left="-20" w:right="-20"/>
                  <w:jc w:val="center"/>
                  <w:rPr>
                    <w:sz w:val="16"/>
                    <w:szCs w:val="16"/>
                  </w:rPr>
                </w:pPr>
                <w:r w:rsidRPr="0011020F">
                  <w:rPr>
                    <w:rFonts w:ascii="Times New Roman" w:eastAsia="Times New Roman" w:hAnsi="Times New Roman"/>
                    <w:color w:val="000000" w:themeColor="text1"/>
                    <w:sz w:val="16"/>
                    <w:szCs w:val="16"/>
                  </w:rPr>
                  <w:t xml:space="preserve"> $    806.851.796.508 </w:t>
                </w:r>
              </w:p>
            </w:tc>
          </w:tr>
          <w:tr w:rsidR="00C07D20" w:rsidRPr="0011020F" w14:paraId="54B60F6C" w14:textId="77777777" w:rsidTr="001C0B49">
            <w:trPr>
              <w:trHeight w:val="270"/>
            </w:trPr>
            <w:tc>
              <w:tcPr>
                <w:tcW w:w="649" w:type="pct"/>
                <w:shd w:val="clear" w:color="auto" w:fill="FFFFFF" w:themeFill="background1"/>
                <w:tcMar>
                  <w:left w:w="108" w:type="dxa"/>
                  <w:right w:w="108" w:type="dxa"/>
                </w:tcMar>
                <w:vAlign w:val="center"/>
              </w:tcPr>
              <w:p w14:paraId="1FD4DFA2" w14:textId="480853A5" w:rsidR="6161EC86" w:rsidRPr="0011020F" w:rsidRDefault="6161EC86" w:rsidP="6161EC86">
                <w:pPr>
                  <w:spacing w:after="0" w:line="254" w:lineRule="auto"/>
                  <w:ind w:left="-20" w:right="-20"/>
                  <w:rPr>
                    <w:sz w:val="16"/>
                    <w:szCs w:val="16"/>
                  </w:rPr>
                </w:pPr>
                <w:r w:rsidRPr="0011020F">
                  <w:rPr>
                    <w:rFonts w:ascii="Times New Roman" w:eastAsia="Times New Roman" w:hAnsi="Times New Roman"/>
                    <w:color w:val="000000" w:themeColor="text1"/>
                    <w:sz w:val="16"/>
                    <w:szCs w:val="16"/>
                  </w:rPr>
                  <w:t>ABONO CAPITAL</w:t>
                </w:r>
              </w:p>
            </w:tc>
            <w:tc>
              <w:tcPr>
                <w:tcW w:w="1017" w:type="pct"/>
                <w:shd w:val="clear" w:color="auto" w:fill="FFFFFF" w:themeFill="background1"/>
                <w:tcMar>
                  <w:left w:w="108" w:type="dxa"/>
                  <w:right w:w="108" w:type="dxa"/>
                </w:tcMar>
                <w:vAlign w:val="center"/>
              </w:tcPr>
              <w:p w14:paraId="40701A07" w14:textId="31602DE2" w:rsidR="6161EC86" w:rsidRPr="0011020F" w:rsidRDefault="6161EC86" w:rsidP="6161EC86">
                <w:pPr>
                  <w:spacing w:after="0" w:line="254" w:lineRule="auto"/>
                  <w:ind w:left="-20" w:right="-20"/>
                  <w:jc w:val="center"/>
                  <w:rPr>
                    <w:sz w:val="16"/>
                    <w:szCs w:val="16"/>
                  </w:rPr>
                </w:pPr>
                <w:r w:rsidRPr="0011020F">
                  <w:rPr>
                    <w:rFonts w:ascii="Times New Roman" w:eastAsia="Times New Roman" w:hAnsi="Times New Roman"/>
                    <w:color w:val="000000" w:themeColor="text1"/>
                    <w:sz w:val="16"/>
                    <w:szCs w:val="16"/>
                  </w:rPr>
                  <w:t xml:space="preserve"> $                              </w:t>
                </w:r>
              </w:p>
            </w:tc>
            <w:tc>
              <w:tcPr>
                <w:tcW w:w="856" w:type="pct"/>
                <w:shd w:val="clear" w:color="auto" w:fill="FFFFFF" w:themeFill="background1"/>
                <w:tcMar>
                  <w:left w:w="108" w:type="dxa"/>
                  <w:right w:w="108" w:type="dxa"/>
                </w:tcMar>
                <w:vAlign w:val="center"/>
              </w:tcPr>
              <w:p w14:paraId="1F1F2F4C" w14:textId="6437A27A" w:rsidR="6161EC86" w:rsidRPr="0011020F" w:rsidRDefault="6161EC86" w:rsidP="6161EC86">
                <w:pPr>
                  <w:spacing w:after="0" w:line="254" w:lineRule="auto"/>
                  <w:ind w:left="-20" w:right="-20"/>
                  <w:jc w:val="center"/>
                  <w:rPr>
                    <w:sz w:val="16"/>
                    <w:szCs w:val="16"/>
                  </w:rPr>
                </w:pPr>
                <w:r w:rsidRPr="0011020F">
                  <w:rPr>
                    <w:rFonts w:ascii="Times New Roman" w:eastAsia="Times New Roman" w:hAnsi="Times New Roman"/>
                    <w:color w:val="000000" w:themeColor="text1"/>
                    <w:sz w:val="16"/>
                    <w:szCs w:val="16"/>
                  </w:rPr>
                  <w:t xml:space="preserve"> $                          </w:t>
                </w:r>
              </w:p>
            </w:tc>
            <w:tc>
              <w:tcPr>
                <w:tcW w:w="875" w:type="pct"/>
                <w:shd w:val="clear" w:color="auto" w:fill="FFFFFF" w:themeFill="background1"/>
                <w:tcMar>
                  <w:left w:w="108" w:type="dxa"/>
                  <w:right w:w="108" w:type="dxa"/>
                </w:tcMar>
                <w:vAlign w:val="center"/>
              </w:tcPr>
              <w:p w14:paraId="09BABF62" w14:textId="353FB0AF" w:rsidR="6161EC86" w:rsidRPr="0011020F" w:rsidRDefault="6161EC86" w:rsidP="6161EC86">
                <w:pPr>
                  <w:spacing w:after="0" w:line="254" w:lineRule="auto"/>
                  <w:ind w:left="-20" w:right="-20"/>
                  <w:jc w:val="center"/>
                  <w:rPr>
                    <w:sz w:val="16"/>
                    <w:szCs w:val="16"/>
                  </w:rPr>
                </w:pPr>
                <w:r w:rsidRPr="0011020F">
                  <w:rPr>
                    <w:rFonts w:ascii="Times New Roman" w:eastAsia="Times New Roman" w:hAnsi="Times New Roman"/>
                    <w:color w:val="000000" w:themeColor="text1"/>
                    <w:sz w:val="16"/>
                    <w:szCs w:val="16"/>
                  </w:rPr>
                  <w:t xml:space="preserve">-$ 10.884.701.380 </w:t>
                </w:r>
              </w:p>
            </w:tc>
            <w:tc>
              <w:tcPr>
                <w:tcW w:w="623" w:type="pct"/>
                <w:shd w:val="clear" w:color="auto" w:fill="FFFFFF" w:themeFill="background1"/>
                <w:tcMar>
                  <w:left w:w="108" w:type="dxa"/>
                  <w:right w:w="108" w:type="dxa"/>
                </w:tcMar>
                <w:vAlign w:val="center"/>
              </w:tcPr>
              <w:p w14:paraId="36741CA6" w14:textId="7327F309" w:rsidR="6161EC86" w:rsidRPr="0011020F" w:rsidRDefault="6161EC86" w:rsidP="6161EC86">
                <w:pPr>
                  <w:spacing w:after="0" w:line="254" w:lineRule="auto"/>
                  <w:ind w:left="-20" w:right="-20"/>
                  <w:jc w:val="center"/>
                  <w:rPr>
                    <w:sz w:val="16"/>
                    <w:szCs w:val="16"/>
                  </w:rPr>
                </w:pPr>
                <w:r w:rsidRPr="0011020F">
                  <w:rPr>
                    <w:rFonts w:ascii="Times New Roman" w:eastAsia="Times New Roman" w:hAnsi="Times New Roman"/>
                    <w:color w:val="000000" w:themeColor="text1"/>
                    <w:sz w:val="16"/>
                    <w:szCs w:val="16"/>
                  </w:rPr>
                  <w:t>$-</w:t>
                </w:r>
              </w:p>
            </w:tc>
            <w:tc>
              <w:tcPr>
                <w:tcW w:w="980" w:type="pct"/>
                <w:shd w:val="clear" w:color="auto" w:fill="FFFFFF" w:themeFill="background1"/>
                <w:tcMar>
                  <w:left w:w="108" w:type="dxa"/>
                  <w:right w:w="108" w:type="dxa"/>
                </w:tcMar>
                <w:vAlign w:val="center"/>
              </w:tcPr>
              <w:p w14:paraId="45BAC805" w14:textId="25A1E1E5" w:rsidR="6161EC86" w:rsidRPr="0011020F" w:rsidRDefault="6161EC86" w:rsidP="6161EC86">
                <w:pPr>
                  <w:spacing w:after="0" w:line="254" w:lineRule="auto"/>
                  <w:ind w:left="-20" w:right="-20"/>
                  <w:jc w:val="center"/>
                  <w:rPr>
                    <w:sz w:val="16"/>
                    <w:szCs w:val="16"/>
                  </w:rPr>
                </w:pPr>
                <w:r w:rsidRPr="0011020F">
                  <w:rPr>
                    <w:rFonts w:ascii="Times New Roman" w:eastAsia="Times New Roman" w:hAnsi="Times New Roman"/>
                    <w:color w:val="000000" w:themeColor="text1"/>
                    <w:sz w:val="16"/>
                    <w:szCs w:val="16"/>
                  </w:rPr>
                  <w:t>-$      10.884.701.380</w:t>
                </w:r>
              </w:p>
            </w:tc>
          </w:tr>
          <w:tr w:rsidR="6161EC86" w:rsidRPr="0011020F" w14:paraId="25612DA0" w14:textId="77777777" w:rsidTr="001C0B49">
            <w:trPr>
              <w:trHeight w:val="270"/>
            </w:trPr>
            <w:tc>
              <w:tcPr>
                <w:tcW w:w="3397" w:type="pct"/>
                <w:gridSpan w:val="4"/>
                <w:tcMar>
                  <w:left w:w="108" w:type="dxa"/>
                  <w:right w:w="108" w:type="dxa"/>
                </w:tcMar>
                <w:vAlign w:val="bottom"/>
              </w:tcPr>
              <w:p w14:paraId="063BA349" w14:textId="7FA3D98E" w:rsidR="6161EC86" w:rsidRPr="0011020F" w:rsidRDefault="6161EC86" w:rsidP="6161EC86">
                <w:pPr>
                  <w:spacing w:after="0" w:line="254" w:lineRule="auto"/>
                  <w:ind w:left="-20" w:right="-20"/>
                  <w:jc w:val="center"/>
                  <w:rPr>
                    <w:sz w:val="16"/>
                    <w:szCs w:val="16"/>
                  </w:rPr>
                </w:pPr>
                <w:r w:rsidRPr="0011020F">
                  <w:rPr>
                    <w:rFonts w:ascii="Times New Roman" w:eastAsia="Times New Roman" w:hAnsi="Times New Roman"/>
                    <w:b/>
                    <w:color w:val="000000" w:themeColor="text1"/>
                    <w:sz w:val="16"/>
                    <w:szCs w:val="16"/>
                  </w:rPr>
                  <w:t>Saldo a capital pendiente por pagar a la UT Desarrollo Vial</w:t>
                </w:r>
              </w:p>
            </w:tc>
            <w:tc>
              <w:tcPr>
                <w:tcW w:w="623" w:type="pct"/>
                <w:shd w:val="clear" w:color="auto" w:fill="FFFFFF" w:themeFill="background1"/>
                <w:tcMar>
                  <w:left w:w="108" w:type="dxa"/>
                  <w:right w:w="108" w:type="dxa"/>
                </w:tcMar>
              </w:tcPr>
              <w:p w14:paraId="1166096C" w14:textId="7CD978F4" w:rsidR="6161EC86" w:rsidRPr="0011020F" w:rsidRDefault="6161EC86" w:rsidP="6161EC86">
                <w:pPr>
                  <w:spacing w:after="0" w:line="254" w:lineRule="auto"/>
                  <w:ind w:left="-20" w:right="-20"/>
                  <w:jc w:val="center"/>
                  <w:rPr>
                    <w:sz w:val="16"/>
                    <w:szCs w:val="16"/>
                  </w:rPr>
                </w:pPr>
                <w:r w:rsidRPr="0011020F">
                  <w:rPr>
                    <w:rFonts w:ascii="Times New Roman" w:eastAsia="Times New Roman" w:hAnsi="Times New Roman"/>
                    <w:b/>
                    <w:color w:val="000000" w:themeColor="text1"/>
                    <w:sz w:val="16"/>
                    <w:szCs w:val="16"/>
                  </w:rPr>
                  <w:t xml:space="preserve"> </w:t>
                </w:r>
              </w:p>
            </w:tc>
            <w:tc>
              <w:tcPr>
                <w:tcW w:w="980" w:type="pct"/>
                <w:shd w:val="clear" w:color="auto" w:fill="FFFFFF" w:themeFill="background1"/>
                <w:tcMar>
                  <w:left w:w="108" w:type="dxa"/>
                  <w:right w:w="108" w:type="dxa"/>
                </w:tcMar>
                <w:vAlign w:val="center"/>
              </w:tcPr>
              <w:p w14:paraId="055F117E" w14:textId="66059956" w:rsidR="6161EC86" w:rsidRPr="0011020F" w:rsidRDefault="6161EC86" w:rsidP="6161EC86">
                <w:pPr>
                  <w:spacing w:after="0" w:line="254" w:lineRule="auto"/>
                  <w:ind w:left="-20" w:right="-20"/>
                  <w:jc w:val="center"/>
                  <w:rPr>
                    <w:sz w:val="16"/>
                    <w:szCs w:val="16"/>
                  </w:rPr>
                </w:pPr>
                <w:r w:rsidRPr="0011020F">
                  <w:rPr>
                    <w:rFonts w:ascii="Times New Roman" w:eastAsia="Times New Roman" w:hAnsi="Times New Roman"/>
                    <w:b/>
                    <w:color w:val="000000" w:themeColor="text1"/>
                    <w:sz w:val="16"/>
                    <w:szCs w:val="16"/>
                  </w:rPr>
                  <w:t xml:space="preserve"> $    795.967.095.128</w:t>
                </w:r>
              </w:p>
            </w:tc>
          </w:tr>
        </w:tbl>
        <w:p w14:paraId="568C797E" w14:textId="09F18C68" w:rsidR="005E2367" w:rsidRPr="002B7FF0" w:rsidRDefault="005E2367" w:rsidP="0EAED656">
          <w:pPr>
            <w:spacing w:after="0" w:line="240" w:lineRule="auto"/>
            <w:jc w:val="both"/>
            <w:rPr>
              <w:rFonts w:ascii="Times New Roman" w:eastAsiaTheme="minorEastAsia" w:hAnsi="Times New Roman"/>
              <w:sz w:val="24"/>
              <w:szCs w:val="24"/>
              <w14:ligatures w14:val="standardContextual"/>
            </w:rPr>
          </w:pPr>
        </w:p>
        <w:p w14:paraId="6FA52C4D" w14:textId="68BFFE8E" w:rsidR="4C078685" w:rsidRDefault="4C078685" w:rsidP="55299B54">
          <w:pPr>
            <w:spacing w:line="276" w:lineRule="auto"/>
            <w:ind w:left="-20" w:right="-20"/>
            <w:jc w:val="both"/>
            <w:rPr>
              <w:rFonts w:ascii="Times New Roman" w:eastAsia="OpenSymbol" w:hAnsi="Times New Roman"/>
              <w:color w:val="000000" w:themeColor="text1"/>
              <w:lang w:eastAsia="es-CO"/>
            </w:rPr>
          </w:pPr>
          <w:r w:rsidRPr="55299B54">
            <w:rPr>
              <w:rFonts w:ascii="Times New Roman" w:hAnsi="Times New Roman"/>
              <w:sz w:val="24"/>
              <w:szCs w:val="24"/>
            </w:rPr>
            <w:t>-</w:t>
          </w:r>
          <w:r w:rsidRPr="55299B54">
            <w:rPr>
              <w:rFonts w:ascii="Times New Roman" w:eastAsia="Times New Roman" w:hAnsi="Times New Roman"/>
              <w:sz w:val="24"/>
              <w:szCs w:val="24"/>
            </w:rPr>
            <w:t xml:space="preserve"> Un valor de $160.466.368.271 (capital), por la deuda reconocida a nombre del Consorcio Vial Helios, del proyecto de concesión Ruta del Sol Sector 1, por los valores adeudados del acuerdo conciliatorio del 15 de febrero de 2022 y lo decretado en el Laudo Arbitral No. 131704 del 25 de mayo de 2023, y resolución de aclaraciones de fecha 02 de junio de 2023.</w:t>
          </w:r>
        </w:p>
        <w:p w14:paraId="49845D24" w14:textId="48ADF6C1" w:rsidR="4C078685" w:rsidRDefault="4C078685" w:rsidP="55299B54">
          <w:pPr>
            <w:spacing w:line="276" w:lineRule="auto"/>
            <w:ind w:left="-20" w:right="-20"/>
            <w:jc w:val="both"/>
          </w:pPr>
          <w:r w:rsidRPr="55299B54">
            <w:rPr>
              <w:rFonts w:ascii="Times New Roman" w:eastAsia="Times New Roman" w:hAnsi="Times New Roman"/>
              <w:sz w:val="24"/>
              <w:szCs w:val="24"/>
            </w:rPr>
            <w:t>Para los pagos de sentencias y conciliaciones, se debe dar aplicación a los artículos 192 y 195 de la Ley 1437 de 2011 o Código de Procedimiento Administrativo y de lo Contencioso Administrativo, :</w:t>
          </w:r>
          <w:r w:rsidRPr="55299B54">
            <w:rPr>
              <w:rFonts w:cs="Calibri"/>
            </w:rPr>
            <w:t xml:space="preserve">  </w:t>
          </w:r>
          <w:r w:rsidRPr="55299B54">
            <w:rPr>
              <w:rFonts w:ascii="Times New Roman" w:eastAsia="Times New Roman" w:hAnsi="Times New Roman"/>
              <w:sz w:val="24"/>
              <w:szCs w:val="24"/>
            </w:rPr>
            <w:t xml:space="preserve">Los intereses moratorios a la DTF, contados desde la fecha de ejecutoria del Laudo hasta  la fecha en la que se cumplen los 10 meses en que los intereses se calculan con la </w:t>
          </w:r>
          <w:r w:rsidRPr="55299B54">
            <w:rPr>
              <w:rFonts w:ascii="Times New Roman" w:eastAsia="Times New Roman" w:hAnsi="Times New Roman"/>
              <w:sz w:val="24"/>
              <w:szCs w:val="24"/>
            </w:rPr>
            <w:lastRenderedPageBreak/>
            <w:t xml:space="preserve">DTF, según lo establecido en el artículo 192 del CPACA, después de los 10 meses, se empieza a generar intereses moratorios a la tasa comercial. </w:t>
          </w:r>
        </w:p>
        <w:p w14:paraId="0AED73D6" w14:textId="78F2D9C7" w:rsidR="4C078685" w:rsidRDefault="4C078685" w:rsidP="55299B54">
          <w:pPr>
            <w:spacing w:line="276" w:lineRule="auto"/>
            <w:ind w:left="-20" w:right="-20"/>
            <w:jc w:val="both"/>
          </w:pPr>
          <w:r w:rsidRPr="55299B54">
            <w:rPr>
              <w:rFonts w:ascii="Times New Roman" w:eastAsia="Times New Roman" w:hAnsi="Times New Roman"/>
              <w:sz w:val="24"/>
              <w:szCs w:val="24"/>
            </w:rPr>
            <w:t>Con Memorando No. 20245050035403 del 22 de febrero 2024, la Gerencia Financiera de la Vicepresidencia Ejecutiva, exponen las gestiones realizadas para dar cumplimiento al pago parcial de dicho Laudo:</w:t>
          </w:r>
        </w:p>
        <w:p w14:paraId="0E05E41B" w14:textId="0EC57CC6" w:rsidR="4C078685" w:rsidRDefault="4C078685" w:rsidP="55299B54">
          <w:pPr>
            <w:ind w:left="-20" w:right="-20"/>
            <w:jc w:val="both"/>
          </w:pPr>
          <w:r w:rsidRPr="55299B54">
            <w:rPr>
              <w:rFonts w:ascii="Times New Roman" w:eastAsia="Times New Roman" w:hAnsi="Times New Roman"/>
              <w:color w:val="000000" w:themeColor="text1"/>
              <w:sz w:val="24"/>
              <w:szCs w:val="24"/>
            </w:rPr>
            <w:t xml:space="preserve"> </w:t>
          </w:r>
        </w:p>
        <w:p w14:paraId="58DB874B" w14:textId="404AB10C" w:rsidR="005E2367" w:rsidRDefault="005E2367" w:rsidP="55299B54">
          <w:pPr>
            <w:pStyle w:val="Prrafodelista"/>
            <w:numPr>
              <w:ilvl w:val="0"/>
              <w:numId w:val="202"/>
            </w:numPr>
            <w:spacing w:after="0"/>
            <w:ind w:left="-20" w:right="-20"/>
            <w:jc w:val="both"/>
            <w:rPr>
              <w:rFonts w:ascii="Times New Roman" w:eastAsia="Times New Roman" w:hAnsi="Times New Roman"/>
              <w:sz w:val="24"/>
              <w:szCs w:val="24"/>
            </w:rPr>
          </w:pPr>
          <w:r w:rsidRPr="55299B54">
            <w:rPr>
              <w:rFonts w:ascii="Times New Roman" w:eastAsia="Times New Roman" w:hAnsi="Times New Roman"/>
              <w:sz w:val="24"/>
              <w:szCs w:val="24"/>
            </w:rPr>
            <w:t>ACUERDO CONCILIATORIO</w:t>
          </w:r>
        </w:p>
        <w:p w14:paraId="51E8040D" w14:textId="364DBDE0" w:rsidR="4C078685" w:rsidRDefault="4C078685" w:rsidP="55299B54">
          <w:pPr>
            <w:ind w:left="-20" w:right="-20"/>
            <w:jc w:val="both"/>
          </w:pPr>
          <w:r w:rsidRPr="55299B54">
            <w:rPr>
              <w:rFonts w:ascii="Times New Roman" w:eastAsia="Times New Roman" w:hAnsi="Times New Roman"/>
              <w:sz w:val="24"/>
              <w:szCs w:val="24"/>
            </w:rPr>
            <w:t xml:space="preserve"> </w:t>
          </w:r>
        </w:p>
        <w:p w14:paraId="3C521846" w14:textId="17777EAC" w:rsidR="4C078685" w:rsidRDefault="4C078685" w:rsidP="55299B54">
          <w:pPr>
            <w:ind w:left="-20" w:right="-20"/>
            <w:jc w:val="both"/>
          </w:pPr>
          <w:r w:rsidRPr="55299B54">
            <w:rPr>
              <w:rFonts w:ascii="Times New Roman" w:eastAsia="Times New Roman" w:hAnsi="Times New Roman"/>
              <w:sz w:val="24"/>
              <w:szCs w:val="24"/>
            </w:rPr>
            <w:t>El Concesionario el 28 de junio de 2021 radicó ante el Centro de Arbitraje y Conciliación de la Cámara de Comercio de Bogotá una demanda arbitral en contra de la ANI. La Agencia, el 28 de octubre de 2021 presentó ante el tribunal de arbitramento demanda de reconvención en contra del Concesionario</w:t>
          </w:r>
          <w:r w:rsidR="007A7704">
            <w:rPr>
              <w:rFonts w:ascii="Times New Roman" w:eastAsia="Times New Roman" w:hAnsi="Times New Roman"/>
              <w:sz w:val="24"/>
              <w:szCs w:val="24"/>
            </w:rPr>
            <w:t>, y p</w:t>
          </w:r>
          <w:r w:rsidRPr="55299B54">
            <w:rPr>
              <w:rFonts w:ascii="Times New Roman" w:eastAsia="Times New Roman" w:hAnsi="Times New Roman"/>
              <w:sz w:val="24"/>
              <w:szCs w:val="24"/>
            </w:rPr>
            <w:t xml:space="preserve">osteriormente </w:t>
          </w:r>
          <w:r w:rsidR="007A7704">
            <w:rPr>
              <w:rFonts w:ascii="Times New Roman" w:eastAsia="Times New Roman" w:hAnsi="Times New Roman"/>
              <w:sz w:val="24"/>
              <w:szCs w:val="24"/>
            </w:rPr>
            <w:t>presentó</w:t>
          </w:r>
          <w:r w:rsidR="00F25CBA">
            <w:rPr>
              <w:rFonts w:ascii="Times New Roman" w:eastAsia="Times New Roman" w:hAnsi="Times New Roman"/>
              <w:sz w:val="24"/>
              <w:szCs w:val="24"/>
            </w:rPr>
            <w:t xml:space="preserve"> </w:t>
          </w:r>
          <w:r w:rsidRPr="55299B54">
            <w:rPr>
              <w:rFonts w:ascii="Times New Roman" w:eastAsia="Times New Roman" w:hAnsi="Times New Roman"/>
              <w:sz w:val="24"/>
              <w:szCs w:val="24"/>
            </w:rPr>
            <w:t>reforma a dicha demanda el 1 de diciembre de 2021.</w:t>
          </w:r>
        </w:p>
        <w:p w14:paraId="60009428" w14:textId="16515AB5" w:rsidR="4C078685" w:rsidRDefault="4C078685" w:rsidP="55299B54">
          <w:pPr>
            <w:ind w:left="-20" w:right="-20"/>
            <w:jc w:val="both"/>
          </w:pPr>
          <w:r w:rsidRPr="55299B54">
            <w:rPr>
              <w:rFonts w:ascii="Times New Roman" w:eastAsia="Times New Roman" w:hAnsi="Times New Roman"/>
              <w:sz w:val="24"/>
              <w:szCs w:val="24"/>
            </w:rPr>
            <w:t>El 15 de febrero de 2022, la Agencia y el Consorcio Vial Helios, suscribieron el acuerdo conciliatorio parcial de algunas pretensiones contenidas en la demanda reformada y en la de demanda de reconvención reformada</w:t>
          </w:r>
          <w:r w:rsidR="0031502C">
            <w:rPr>
              <w:rFonts w:ascii="Times New Roman" w:eastAsia="Times New Roman" w:hAnsi="Times New Roman"/>
              <w:sz w:val="24"/>
              <w:szCs w:val="24"/>
            </w:rPr>
            <w:t xml:space="preserve">. Dentro del mencionado acuerdo se conciliaron pretensiones </w:t>
          </w:r>
          <w:r w:rsidR="003F069A">
            <w:rPr>
              <w:rFonts w:ascii="Times New Roman" w:eastAsia="Times New Roman" w:hAnsi="Times New Roman"/>
              <w:sz w:val="24"/>
              <w:szCs w:val="24"/>
            </w:rPr>
            <w:t>a favor del Concesionario</w:t>
          </w:r>
          <w:r w:rsidR="0031502C">
            <w:rPr>
              <w:rFonts w:ascii="Times New Roman" w:eastAsia="Times New Roman" w:hAnsi="Times New Roman"/>
              <w:sz w:val="24"/>
              <w:szCs w:val="24"/>
            </w:rPr>
            <w:t xml:space="preserve"> </w:t>
          </w:r>
          <w:r w:rsidRPr="55299B54">
            <w:rPr>
              <w:rFonts w:ascii="Times New Roman" w:eastAsia="Times New Roman" w:hAnsi="Times New Roman"/>
              <w:sz w:val="24"/>
              <w:szCs w:val="24"/>
            </w:rPr>
            <w:t>a cargo de Títulos de Tesorería TES.</w:t>
          </w:r>
        </w:p>
        <w:p w14:paraId="74CBEC3F" w14:textId="1EC55F28" w:rsidR="005E2367" w:rsidRDefault="005E2367" w:rsidP="55299B54">
          <w:pPr>
            <w:ind w:left="-20" w:right="-20"/>
            <w:jc w:val="both"/>
          </w:pPr>
          <w:r w:rsidRPr="55299B54">
            <w:rPr>
              <w:rFonts w:ascii="Times New Roman" w:eastAsia="Times New Roman" w:hAnsi="Times New Roman"/>
              <w:sz w:val="24"/>
              <w:szCs w:val="24"/>
            </w:rPr>
            <w:t>Mediante Auto No. 30 del 1 de junio de 2022 el Tribunal aprobó íntegramente el ACUERDO</w:t>
          </w:r>
          <w:r w:rsidR="0031502C">
            <w:rPr>
              <w:rFonts w:ascii="Times New Roman" w:eastAsia="Times New Roman" w:hAnsi="Times New Roman"/>
              <w:sz w:val="24"/>
              <w:szCs w:val="24"/>
            </w:rPr>
            <w:t xml:space="preserve"> </w:t>
          </w:r>
          <w:r w:rsidRPr="55299B54">
            <w:rPr>
              <w:rFonts w:ascii="Times New Roman" w:eastAsia="Times New Roman" w:hAnsi="Times New Roman"/>
              <w:sz w:val="24"/>
              <w:szCs w:val="24"/>
            </w:rPr>
            <w:t>CONCILIATORIO PARCIAL (presentado por las partes en audiencia de 21 de febrero anterior y resolvió reponer el Auto No. 28 del pasado 24 de mayo de 2022 por medio del cual se daba la aprobación parcial.</w:t>
          </w:r>
        </w:p>
        <w:p w14:paraId="4B7CEDB3" w14:textId="47BEBFEA" w:rsidR="4C078685" w:rsidRDefault="4C078685" w:rsidP="55299B54">
          <w:pPr>
            <w:ind w:left="-20" w:right="-20"/>
            <w:jc w:val="both"/>
          </w:pPr>
          <w:r w:rsidRPr="55299B54">
            <w:rPr>
              <w:rFonts w:ascii="Times New Roman" w:eastAsia="Times New Roman" w:hAnsi="Times New Roman"/>
              <w:sz w:val="24"/>
              <w:szCs w:val="24"/>
            </w:rPr>
            <w:t xml:space="preserve">En virtud del pago acordado, La AGENCIA expidió la resolución 20225000017605 de 29 de octubre de 2022, mediante la cual se ordenó el pago de una suma de dinero correspondiente al Acuerdo Conciliatorio Parcial suscrito entre la Agencia Nacional de Infraestructura y El Consorcio Vial Helios el 15 de febrero de 2022. </w:t>
          </w:r>
          <w:r w:rsidR="00545B53">
            <w:rPr>
              <w:rFonts w:ascii="Times New Roman" w:eastAsia="Times New Roman" w:hAnsi="Times New Roman"/>
              <w:sz w:val="24"/>
              <w:szCs w:val="24"/>
            </w:rPr>
            <w:t xml:space="preserve">Sin embargo, </w:t>
          </w:r>
          <w:r w:rsidRPr="55299B54">
            <w:rPr>
              <w:rFonts w:ascii="Times New Roman" w:eastAsia="Times New Roman" w:hAnsi="Times New Roman"/>
              <w:sz w:val="24"/>
              <w:szCs w:val="24"/>
            </w:rPr>
            <w:t xml:space="preserve">no se pudo realizar el pago de la resolución por cuanto se encontró </w:t>
          </w:r>
          <w:r w:rsidR="00545B53" w:rsidRPr="55299B54">
            <w:rPr>
              <w:rFonts w:ascii="Times New Roman" w:eastAsia="Times New Roman" w:hAnsi="Times New Roman"/>
              <w:sz w:val="24"/>
              <w:szCs w:val="24"/>
            </w:rPr>
            <w:t>que,</w:t>
          </w:r>
          <w:r w:rsidRPr="55299B54">
            <w:rPr>
              <w:rFonts w:ascii="Times New Roman" w:eastAsia="Times New Roman" w:hAnsi="Times New Roman"/>
              <w:sz w:val="24"/>
              <w:szCs w:val="24"/>
            </w:rPr>
            <w:t xml:space="preserve"> a uno de los integrantes del Consorcio Vial Helios, la Sociedad </w:t>
          </w:r>
          <w:r w:rsidRPr="55299B54">
            <w:rPr>
              <w:rFonts w:ascii="Times New Roman" w:eastAsia="Times New Roman" w:hAnsi="Times New Roman"/>
              <w:i/>
              <w:iCs/>
              <w:sz w:val="24"/>
              <w:szCs w:val="24"/>
            </w:rPr>
            <w:t xml:space="preserve">CSS. </w:t>
          </w:r>
          <w:r w:rsidRPr="55299B54">
            <w:rPr>
              <w:rFonts w:ascii="Times New Roman" w:eastAsia="Times New Roman" w:hAnsi="Times New Roman"/>
              <w:sz w:val="24"/>
              <w:szCs w:val="24"/>
            </w:rPr>
            <w:t>CONSTRUCTORES S.A. NIT 832.006.599-5, le figuraba deuda exigible por concepto de las cuotas 2 y 3 del impuesto sobre la renta del periodo gravable 2021.</w:t>
          </w:r>
        </w:p>
        <w:p w14:paraId="6F6F0363" w14:textId="0199C651" w:rsidR="4C078685" w:rsidRDefault="4C078685" w:rsidP="55299B54">
          <w:pPr>
            <w:ind w:left="-20" w:right="-20"/>
            <w:jc w:val="both"/>
          </w:pPr>
          <w:r w:rsidRPr="55299B54">
            <w:rPr>
              <w:rFonts w:ascii="Times New Roman" w:eastAsia="Times New Roman" w:hAnsi="Times New Roman"/>
              <w:sz w:val="24"/>
              <w:szCs w:val="24"/>
            </w:rPr>
            <w:t>La Dirección de Impuestos y Aduanas Nacionales – DIAN, informó que emitió Resolución de compensación (ST) No. 608-008467 de 13 de septiembre de 2022, mediante la cual resolvió compensar el valor de $13.969.939.000 a la sociedad CSS. CONSTRUCTORES S.A. NIT 832.006.599-5. Esta última entidad renunció a términos y se abstuvo de interponer recurso contra el acto administrativo, quedando ejecutoriada el 21 de septiembre de 2022.</w:t>
          </w:r>
        </w:p>
        <w:p w14:paraId="1EF0776A" w14:textId="4F0F6387" w:rsidR="4C078685" w:rsidRDefault="4C078685" w:rsidP="55299B54">
          <w:pPr>
            <w:ind w:left="-20" w:right="-20"/>
            <w:jc w:val="both"/>
          </w:pPr>
          <w:r w:rsidRPr="55299B54">
            <w:rPr>
              <w:rFonts w:ascii="Times New Roman" w:eastAsia="Times New Roman" w:hAnsi="Times New Roman"/>
              <w:sz w:val="24"/>
              <w:szCs w:val="24"/>
            </w:rPr>
            <w:t>La AGENCIA, expidió las resoluciones 20235000007095 de 09 de junio de 2023 y 20235000009405 del 31 de julio de 2023, mediante la cuales se ordenó el pago del Acuerdo Conciliatorio Parcial suscrito entre la Agencia Nacional de Infraestructura y El Consorcio Vial Helios</w:t>
          </w:r>
          <w:r w:rsidR="001C667C">
            <w:rPr>
              <w:rFonts w:ascii="Times New Roman" w:eastAsia="Times New Roman" w:hAnsi="Times New Roman"/>
              <w:sz w:val="24"/>
              <w:szCs w:val="24"/>
            </w:rPr>
            <w:t>, p</w:t>
          </w:r>
          <w:r w:rsidRPr="55299B54">
            <w:rPr>
              <w:rFonts w:ascii="Times New Roman" w:eastAsia="Times New Roman" w:hAnsi="Times New Roman"/>
              <w:sz w:val="24"/>
              <w:szCs w:val="24"/>
            </w:rPr>
            <w:t xml:space="preserve">ero tampoco se pudo realizar el pago, por cuanto la DIAN con comunicado 1100199481- 3037, indica que se referenció una obligación fiscal pendiente de pago por parte otro de los integrantes del Consorcio, la sociedad CONSTRUCTORA CONCONCRETO S.A., </w:t>
          </w:r>
          <w:r w:rsidRPr="55299B54">
            <w:rPr>
              <w:rFonts w:ascii="Times New Roman" w:eastAsia="Times New Roman" w:hAnsi="Times New Roman"/>
              <w:sz w:val="24"/>
              <w:szCs w:val="24"/>
            </w:rPr>
            <w:lastRenderedPageBreak/>
            <w:t>emitiendo Resolución de compensación (ST) No. 608-06766 de 16 de agosto de 2023, mediante la cual resolvió compensar el valor de $7.502.387.000) a la sociedad CONSTRUCTORA CONCONCRETO S.A con NIT 890.901.110-8. Esta última entidad renunció a términos y se abstuvo de interponer recurso contra el acto administrativo, quedando ejecutoriada el 8 de septiembre de 2023.</w:t>
          </w:r>
        </w:p>
        <w:p w14:paraId="5C4F746E" w14:textId="77777777" w:rsidR="006B7FF3" w:rsidRPr="006B3542" w:rsidRDefault="4C078685" w:rsidP="006B7FF3">
          <w:pPr>
            <w:autoSpaceDE w:val="0"/>
            <w:autoSpaceDN w:val="0"/>
            <w:adjustRightInd w:val="0"/>
            <w:spacing w:after="0" w:line="240" w:lineRule="auto"/>
            <w:jc w:val="both"/>
            <w:rPr>
              <w:rFonts w:ascii="Times New Roman" w:eastAsiaTheme="minorHAnsi" w:hAnsi="Times New Roman"/>
              <w:sz w:val="24"/>
              <w:szCs w:val="24"/>
              <w14:ligatures w14:val="standardContextual"/>
            </w:rPr>
          </w:pPr>
          <w:r w:rsidRPr="55299B54">
            <w:rPr>
              <w:rFonts w:ascii="Times New Roman" w:eastAsia="Times New Roman" w:hAnsi="Times New Roman"/>
              <w:sz w:val="24"/>
              <w:szCs w:val="24"/>
            </w:rPr>
            <w:t xml:space="preserve">El 10 de noviembre de 2023, la </w:t>
          </w:r>
          <w:r w:rsidR="00C47811">
            <w:rPr>
              <w:rFonts w:ascii="Times New Roman" w:eastAsia="Times New Roman" w:hAnsi="Times New Roman"/>
              <w:sz w:val="24"/>
              <w:szCs w:val="24"/>
            </w:rPr>
            <w:t>A</w:t>
          </w:r>
          <w:r w:rsidRPr="55299B54">
            <w:rPr>
              <w:rFonts w:ascii="Times New Roman" w:eastAsia="Times New Roman" w:hAnsi="Times New Roman"/>
              <w:sz w:val="24"/>
              <w:szCs w:val="24"/>
            </w:rPr>
            <w:t>gencia expidió la resolución 20235000014935, “por medio de la cual se ordena el pago de una suma de dinero correspondiente al Acuerdo Conciliatorio</w:t>
          </w:r>
          <w:r w:rsidR="00C47811">
            <w:rPr>
              <w:rFonts w:ascii="Times New Roman" w:eastAsia="Times New Roman" w:hAnsi="Times New Roman"/>
              <w:sz w:val="24"/>
              <w:szCs w:val="24"/>
            </w:rPr>
            <w:t xml:space="preserve"> </w:t>
          </w:r>
          <w:r w:rsidRPr="55299B54">
            <w:rPr>
              <w:rFonts w:ascii="Times New Roman" w:eastAsia="Times New Roman" w:hAnsi="Times New Roman"/>
              <w:sz w:val="24"/>
              <w:szCs w:val="24"/>
            </w:rPr>
            <w:t>Parcial</w:t>
          </w:r>
          <w:r w:rsidR="004A4BBC">
            <w:rPr>
              <w:rFonts w:ascii="Times New Roman" w:eastAsia="Times New Roman" w:hAnsi="Times New Roman"/>
              <w:sz w:val="24"/>
              <w:szCs w:val="24"/>
            </w:rPr>
            <w:t xml:space="preserve"> </w:t>
          </w:r>
          <w:r w:rsidR="006B7FF3" w:rsidRPr="006B3542">
            <w:rPr>
              <w:rFonts w:ascii="Times New Roman" w:eastAsiaTheme="minorHAnsi" w:hAnsi="Times New Roman"/>
              <w:sz w:val="24"/>
              <w:szCs w:val="24"/>
              <w14:ligatures w14:val="standardContextual"/>
            </w:rPr>
            <w:t>suscrito entre la Agencia Nacional de Infraestructura y El Consorcio Vial Helios el 15</w:t>
          </w:r>
          <w:r w:rsidR="006B7FF3">
            <w:rPr>
              <w:rFonts w:ascii="Times New Roman" w:eastAsiaTheme="minorHAnsi" w:hAnsi="Times New Roman"/>
              <w:sz w:val="24"/>
              <w:szCs w:val="24"/>
              <w14:ligatures w14:val="standardContextual"/>
            </w:rPr>
            <w:t xml:space="preserve"> </w:t>
          </w:r>
          <w:r w:rsidR="006B7FF3" w:rsidRPr="006B3542">
            <w:rPr>
              <w:rFonts w:ascii="Times New Roman" w:eastAsiaTheme="minorHAnsi" w:hAnsi="Times New Roman"/>
              <w:sz w:val="24"/>
              <w:szCs w:val="24"/>
              <w14:ligatures w14:val="standardContextual"/>
            </w:rPr>
            <w:t>de febrero de 2022 y aprobado el 02 de junio de 2022 por el Tribunal Arbitral a favor del</w:t>
          </w:r>
        </w:p>
        <w:p w14:paraId="2F2C48CB" w14:textId="6F328230" w:rsidR="004A4BBC" w:rsidRDefault="006B7FF3" w:rsidP="006B7FF3">
          <w:pPr>
            <w:ind w:left="-20" w:right="-20"/>
            <w:jc w:val="both"/>
            <w:rPr>
              <w:rFonts w:ascii="Times New Roman" w:eastAsia="Times New Roman" w:hAnsi="Times New Roman"/>
              <w:sz w:val="24"/>
              <w:szCs w:val="24"/>
            </w:rPr>
          </w:pPr>
          <w:r w:rsidRPr="006B3542">
            <w:rPr>
              <w:rFonts w:ascii="Times New Roman" w:eastAsiaTheme="minorHAnsi" w:hAnsi="Times New Roman"/>
              <w:sz w:val="24"/>
              <w:szCs w:val="24"/>
              <w14:ligatures w14:val="standardContextual"/>
            </w:rPr>
            <w:t>CONSORCIO VIAL HELIOS dentro del Contrato de Concesión Vial No.002 de 2010”.</w:t>
          </w:r>
        </w:p>
        <w:p w14:paraId="799435D5" w14:textId="68A129F9" w:rsidR="4C078685" w:rsidRDefault="4C078685" w:rsidP="55299B54">
          <w:pPr>
            <w:ind w:left="-20" w:right="-20"/>
            <w:jc w:val="both"/>
          </w:pPr>
          <w:r w:rsidRPr="55299B54">
            <w:rPr>
              <w:rFonts w:ascii="Times New Roman" w:eastAsia="Times New Roman" w:hAnsi="Times New Roman"/>
              <w:sz w:val="24"/>
              <w:szCs w:val="24"/>
            </w:rPr>
            <w:t>Mediante oficio radicado 20234091156222 de 09 de octubre de 2023 el Concesionario y sus consorciados mediante poderes especiales indicaron que aceptan la propuesta realizada por la Agencia ($46.257.479.693</w:t>
          </w:r>
          <w:r w:rsidR="006B7FF3">
            <w:rPr>
              <w:rFonts w:ascii="Times New Roman" w:eastAsia="Times New Roman" w:hAnsi="Times New Roman"/>
              <w:sz w:val="24"/>
              <w:szCs w:val="24"/>
            </w:rPr>
            <w:t>)</w:t>
          </w:r>
          <w:r w:rsidRPr="55299B54">
            <w:rPr>
              <w:rFonts w:ascii="Times New Roman" w:eastAsia="Times New Roman" w:hAnsi="Times New Roman"/>
              <w:sz w:val="24"/>
              <w:szCs w:val="24"/>
            </w:rPr>
            <w:t xml:space="preserve"> con títulos de Tesorería TES Clase B con las condiciones financieras establecidas para el año 2023, realizando los siguientes descuentos:</w:t>
          </w:r>
        </w:p>
        <w:tbl>
          <w:tblPr>
            <w:tblStyle w:val="Tablaconcuadrcula"/>
            <w:tblW w:w="0" w:type="auto"/>
            <w:jc w:val="center"/>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3851"/>
            <w:gridCol w:w="1897"/>
          </w:tblGrid>
          <w:tr w:rsidR="55299B54" w14:paraId="6F2B1122" w14:textId="77777777" w:rsidTr="00092474">
            <w:trPr>
              <w:trHeight w:val="202"/>
              <w:jc w:val="center"/>
            </w:trPr>
            <w:tc>
              <w:tcPr>
                <w:tcW w:w="3851" w:type="dxa"/>
                <w:tcMar>
                  <w:left w:w="108" w:type="dxa"/>
                  <w:right w:w="108" w:type="dxa"/>
                </w:tcMar>
              </w:tcPr>
              <w:p w14:paraId="7A276513" w14:textId="08F12FD6" w:rsidR="55299B54" w:rsidRDefault="4C078685" w:rsidP="55299B54">
                <w:pPr>
                  <w:spacing w:after="0" w:line="254" w:lineRule="auto"/>
                  <w:ind w:left="-20" w:right="-20"/>
                  <w:jc w:val="both"/>
                </w:pPr>
                <w:r w:rsidRPr="55299B54">
                  <w:rPr>
                    <w:rFonts w:ascii="Times New Roman" w:eastAsia="Times New Roman" w:hAnsi="Times New Roman"/>
                    <w:sz w:val="24"/>
                    <w:szCs w:val="24"/>
                  </w:rPr>
                  <w:t xml:space="preserve"> </w:t>
                </w:r>
                <w:r w:rsidR="55299B54" w:rsidRPr="55299B54">
                  <w:rPr>
                    <w:rFonts w:ascii="Times New Roman" w:eastAsia="Times New Roman" w:hAnsi="Times New Roman"/>
                    <w:b/>
                    <w:bCs/>
                    <w:sz w:val="14"/>
                    <w:szCs w:val="14"/>
                    <w:lang w:val="es"/>
                  </w:rPr>
                  <w:t>Descripción</w:t>
                </w:r>
              </w:p>
            </w:tc>
            <w:tc>
              <w:tcPr>
                <w:tcW w:w="1897" w:type="dxa"/>
                <w:tcMar>
                  <w:left w:w="108" w:type="dxa"/>
                  <w:right w:w="108" w:type="dxa"/>
                </w:tcMar>
              </w:tcPr>
              <w:p w14:paraId="787AB8D9" w14:textId="408EFB96" w:rsidR="55299B54" w:rsidRDefault="55299B54" w:rsidP="55299B54">
                <w:pPr>
                  <w:spacing w:after="0" w:line="254" w:lineRule="auto"/>
                  <w:ind w:left="-20" w:right="-20"/>
                  <w:jc w:val="both"/>
                </w:pPr>
                <w:r w:rsidRPr="55299B54">
                  <w:rPr>
                    <w:rFonts w:ascii="Times New Roman" w:eastAsia="Times New Roman" w:hAnsi="Times New Roman"/>
                    <w:b/>
                    <w:bCs/>
                    <w:sz w:val="14"/>
                    <w:szCs w:val="14"/>
                    <w:lang w:val="es"/>
                  </w:rPr>
                  <w:t>Valor ($COP)</w:t>
                </w:r>
              </w:p>
              <w:p w14:paraId="20930674" w14:textId="3F48AEF4" w:rsidR="55299B54" w:rsidRDefault="55299B54" w:rsidP="55299B54">
                <w:pPr>
                  <w:spacing w:after="0" w:line="254" w:lineRule="auto"/>
                  <w:ind w:left="-20" w:right="-20"/>
                  <w:jc w:val="both"/>
                </w:pPr>
                <w:r w:rsidRPr="55299B54">
                  <w:rPr>
                    <w:rFonts w:ascii="Times New Roman" w:eastAsia="Times New Roman" w:hAnsi="Times New Roman"/>
                    <w:sz w:val="14"/>
                    <w:szCs w:val="14"/>
                    <w:lang w:val="es"/>
                  </w:rPr>
                  <w:t xml:space="preserve"> </w:t>
                </w:r>
              </w:p>
            </w:tc>
          </w:tr>
          <w:tr w:rsidR="55299B54" w14:paraId="7A1FCD80" w14:textId="77777777" w:rsidTr="00092474">
            <w:trPr>
              <w:trHeight w:val="202"/>
              <w:jc w:val="center"/>
            </w:trPr>
            <w:tc>
              <w:tcPr>
                <w:tcW w:w="3851" w:type="dxa"/>
                <w:tcMar>
                  <w:left w:w="108" w:type="dxa"/>
                  <w:right w:w="108" w:type="dxa"/>
                </w:tcMar>
              </w:tcPr>
              <w:p w14:paraId="6FF0731E" w14:textId="20BFFB48" w:rsidR="55299B54" w:rsidRDefault="55299B54" w:rsidP="55299B54">
                <w:pPr>
                  <w:spacing w:after="0" w:line="254" w:lineRule="auto"/>
                  <w:ind w:left="-20" w:right="-20"/>
                  <w:jc w:val="both"/>
                </w:pPr>
                <w:r w:rsidRPr="55299B54">
                  <w:rPr>
                    <w:rFonts w:ascii="Times New Roman" w:eastAsia="Times New Roman" w:hAnsi="Times New Roman"/>
                    <w:sz w:val="14"/>
                    <w:szCs w:val="14"/>
                    <w:lang w:val="es"/>
                  </w:rPr>
                  <w:t>Oferta TES mediante comunicación Rad No. 20225000202911 de 11 de julio de 2022</w:t>
                </w:r>
              </w:p>
              <w:p w14:paraId="69DEA46C" w14:textId="7CC7F369" w:rsidR="55299B54" w:rsidRDefault="55299B54" w:rsidP="55299B54">
                <w:pPr>
                  <w:spacing w:after="0" w:line="254" w:lineRule="auto"/>
                  <w:ind w:left="-20" w:right="-20"/>
                  <w:jc w:val="both"/>
                </w:pPr>
                <w:r w:rsidRPr="55299B54">
                  <w:rPr>
                    <w:rFonts w:ascii="Times New Roman" w:eastAsia="Times New Roman" w:hAnsi="Times New Roman"/>
                    <w:sz w:val="14"/>
                    <w:szCs w:val="14"/>
                    <w:lang w:val="es"/>
                  </w:rPr>
                  <w:t>y aceptación de oferta mediante Radicado No. radicado 20224090826592 de 27 de julio 2022.</w:t>
                </w:r>
              </w:p>
            </w:tc>
            <w:tc>
              <w:tcPr>
                <w:tcW w:w="1897" w:type="dxa"/>
                <w:tcMar>
                  <w:left w:w="108" w:type="dxa"/>
                  <w:right w:w="108" w:type="dxa"/>
                </w:tcMar>
              </w:tcPr>
              <w:p w14:paraId="356759BE" w14:textId="675E3213" w:rsidR="55299B54" w:rsidRDefault="55299B54" w:rsidP="005C56A4">
                <w:pPr>
                  <w:spacing w:after="0" w:line="254" w:lineRule="auto"/>
                  <w:ind w:left="-20" w:right="-20"/>
                  <w:jc w:val="right"/>
                </w:pPr>
                <w:r w:rsidRPr="55299B54">
                  <w:rPr>
                    <w:rFonts w:ascii="Times New Roman" w:eastAsia="Times New Roman" w:hAnsi="Times New Roman"/>
                    <w:sz w:val="14"/>
                    <w:szCs w:val="14"/>
                    <w:lang w:val="es"/>
                  </w:rPr>
                  <w:t>$ 46.257.479.693</w:t>
                </w:r>
              </w:p>
              <w:p w14:paraId="26B6EBF0" w14:textId="2F99CAD0" w:rsidR="55299B54" w:rsidRDefault="55299B54" w:rsidP="005C56A4">
                <w:pPr>
                  <w:spacing w:after="0" w:line="254" w:lineRule="auto"/>
                  <w:ind w:left="-20" w:right="-20"/>
                  <w:jc w:val="right"/>
                </w:pPr>
                <w:r w:rsidRPr="55299B54">
                  <w:rPr>
                    <w:rFonts w:ascii="Times New Roman" w:eastAsia="Times New Roman" w:hAnsi="Times New Roman"/>
                    <w:sz w:val="14"/>
                    <w:szCs w:val="14"/>
                    <w:lang w:val="es"/>
                  </w:rPr>
                  <w:t xml:space="preserve"> </w:t>
                </w:r>
              </w:p>
            </w:tc>
          </w:tr>
          <w:tr w:rsidR="55299B54" w14:paraId="43B70CAD" w14:textId="77777777" w:rsidTr="00092474">
            <w:trPr>
              <w:trHeight w:val="202"/>
              <w:jc w:val="center"/>
            </w:trPr>
            <w:tc>
              <w:tcPr>
                <w:tcW w:w="3851" w:type="dxa"/>
                <w:tcMar>
                  <w:left w:w="108" w:type="dxa"/>
                  <w:right w:w="108" w:type="dxa"/>
                </w:tcMar>
              </w:tcPr>
              <w:p w14:paraId="610FC2B4" w14:textId="41ADE3C9" w:rsidR="55299B54" w:rsidRDefault="55299B54" w:rsidP="55299B54">
                <w:pPr>
                  <w:spacing w:after="0" w:line="254" w:lineRule="auto"/>
                  <w:ind w:left="-20" w:right="-20"/>
                  <w:jc w:val="both"/>
                </w:pPr>
                <w:r w:rsidRPr="55299B54">
                  <w:rPr>
                    <w:rFonts w:ascii="Times New Roman" w:eastAsia="Times New Roman" w:hAnsi="Times New Roman"/>
                    <w:sz w:val="14"/>
                    <w:szCs w:val="14"/>
                    <w:lang w:val="es"/>
                  </w:rPr>
                  <w:t>Valor Resolución DIAN de compensación (ST) No. 608-008467 del 13 de septiembre de 2022, ejecutoriada el 21 de septiembre de 2022</w:t>
                </w:r>
              </w:p>
            </w:tc>
            <w:tc>
              <w:tcPr>
                <w:tcW w:w="1897" w:type="dxa"/>
                <w:tcMar>
                  <w:left w:w="108" w:type="dxa"/>
                  <w:right w:w="108" w:type="dxa"/>
                </w:tcMar>
              </w:tcPr>
              <w:p w14:paraId="07EBED3B" w14:textId="646239A0" w:rsidR="55299B54" w:rsidRDefault="55299B54" w:rsidP="005C56A4">
                <w:pPr>
                  <w:spacing w:after="0" w:line="254" w:lineRule="auto"/>
                  <w:ind w:left="-20" w:right="-20"/>
                  <w:jc w:val="right"/>
                </w:pPr>
                <w:r w:rsidRPr="55299B54">
                  <w:rPr>
                    <w:rFonts w:ascii="Times New Roman" w:eastAsia="Times New Roman" w:hAnsi="Times New Roman"/>
                    <w:sz w:val="14"/>
                    <w:szCs w:val="14"/>
                    <w:lang w:val="es"/>
                  </w:rPr>
                  <w:t>-$ 13.969.939.000</w:t>
                </w:r>
              </w:p>
            </w:tc>
          </w:tr>
          <w:tr w:rsidR="55299B54" w14:paraId="75524A9A" w14:textId="77777777" w:rsidTr="00092474">
            <w:trPr>
              <w:trHeight w:val="202"/>
              <w:jc w:val="center"/>
            </w:trPr>
            <w:tc>
              <w:tcPr>
                <w:tcW w:w="3851" w:type="dxa"/>
                <w:tcMar>
                  <w:left w:w="108" w:type="dxa"/>
                  <w:right w:w="108" w:type="dxa"/>
                </w:tcMar>
              </w:tcPr>
              <w:p w14:paraId="676E896F" w14:textId="56BBE412" w:rsidR="55299B54" w:rsidRDefault="55299B54" w:rsidP="55299B54">
                <w:pPr>
                  <w:spacing w:after="0" w:line="254" w:lineRule="auto"/>
                  <w:ind w:left="-20" w:right="-20"/>
                  <w:jc w:val="both"/>
                </w:pPr>
                <w:r w:rsidRPr="55299B54">
                  <w:rPr>
                    <w:rFonts w:ascii="Times New Roman" w:eastAsia="Times New Roman" w:hAnsi="Times New Roman"/>
                    <w:sz w:val="14"/>
                    <w:szCs w:val="14"/>
                    <w:lang w:val="es"/>
                  </w:rPr>
                  <w:t>Valor Resolución DIAN de compensación (ST) No. 608-006766 del 16 de agosto de 2023, ejecutoriada el 8 de septiembre de 2023</w:t>
                </w:r>
              </w:p>
            </w:tc>
            <w:tc>
              <w:tcPr>
                <w:tcW w:w="1897" w:type="dxa"/>
                <w:tcMar>
                  <w:left w:w="108" w:type="dxa"/>
                  <w:right w:w="108" w:type="dxa"/>
                </w:tcMar>
              </w:tcPr>
              <w:p w14:paraId="0D877AE4" w14:textId="70329849" w:rsidR="55299B54" w:rsidRDefault="55299B54" w:rsidP="005C56A4">
                <w:pPr>
                  <w:spacing w:after="0" w:line="254" w:lineRule="auto"/>
                  <w:ind w:left="-20" w:right="-20"/>
                  <w:jc w:val="right"/>
                </w:pPr>
                <w:r w:rsidRPr="55299B54">
                  <w:rPr>
                    <w:rFonts w:ascii="Times New Roman" w:eastAsia="Times New Roman" w:hAnsi="Times New Roman"/>
                    <w:sz w:val="14"/>
                    <w:szCs w:val="14"/>
                    <w:lang w:val="es"/>
                  </w:rPr>
                  <w:t>-$ 7.502.387.000</w:t>
                </w:r>
              </w:p>
            </w:tc>
          </w:tr>
          <w:tr w:rsidR="55299B54" w14:paraId="2E690F31" w14:textId="77777777" w:rsidTr="00092474">
            <w:trPr>
              <w:trHeight w:val="174"/>
              <w:jc w:val="center"/>
            </w:trPr>
            <w:tc>
              <w:tcPr>
                <w:tcW w:w="3851" w:type="dxa"/>
                <w:tcMar>
                  <w:left w:w="108" w:type="dxa"/>
                  <w:right w:w="108" w:type="dxa"/>
                </w:tcMar>
              </w:tcPr>
              <w:p w14:paraId="42E1CF8A" w14:textId="33A964A9" w:rsidR="55299B54" w:rsidRDefault="55299B54" w:rsidP="55299B54">
                <w:pPr>
                  <w:spacing w:after="0" w:line="254" w:lineRule="auto"/>
                  <w:ind w:left="-20" w:right="-20"/>
                  <w:jc w:val="both"/>
                </w:pPr>
                <w:r w:rsidRPr="55299B54">
                  <w:rPr>
                    <w:rFonts w:ascii="Times New Roman" w:eastAsia="Times New Roman" w:hAnsi="Times New Roman"/>
                    <w:b/>
                    <w:bCs/>
                    <w:sz w:val="14"/>
                    <w:szCs w:val="14"/>
                    <w:lang w:val="es"/>
                  </w:rPr>
                  <w:t>TOTAL A PAGAR</w:t>
                </w:r>
              </w:p>
            </w:tc>
            <w:tc>
              <w:tcPr>
                <w:tcW w:w="1897" w:type="dxa"/>
                <w:tcMar>
                  <w:left w:w="108" w:type="dxa"/>
                  <w:right w:w="108" w:type="dxa"/>
                </w:tcMar>
              </w:tcPr>
              <w:p w14:paraId="16791F4A" w14:textId="12961C41" w:rsidR="55299B54" w:rsidRDefault="55299B54" w:rsidP="005C56A4">
                <w:pPr>
                  <w:spacing w:after="0" w:line="254" w:lineRule="auto"/>
                  <w:ind w:left="-20" w:right="-20"/>
                  <w:jc w:val="right"/>
                </w:pPr>
                <w:r w:rsidRPr="55299B54">
                  <w:rPr>
                    <w:rFonts w:ascii="Times New Roman" w:eastAsia="Times New Roman" w:hAnsi="Times New Roman"/>
                    <w:b/>
                    <w:bCs/>
                    <w:sz w:val="14"/>
                    <w:szCs w:val="14"/>
                    <w:lang w:val="es"/>
                  </w:rPr>
                  <w:t>$ 24.785.153.693</w:t>
                </w:r>
                <w:r w:rsidRPr="55299B54">
                  <w:rPr>
                    <w:rFonts w:ascii="Times New Roman" w:eastAsia="Times New Roman" w:hAnsi="Times New Roman"/>
                    <w:sz w:val="14"/>
                    <w:szCs w:val="14"/>
                    <w:lang w:val="es"/>
                  </w:rPr>
                  <w:t xml:space="preserve"> </w:t>
                </w:r>
              </w:p>
            </w:tc>
          </w:tr>
        </w:tbl>
        <w:p w14:paraId="1A578B33" w14:textId="77777777" w:rsidR="006D0158" w:rsidRDefault="61598E34" w:rsidP="006D0158">
          <w:pPr>
            <w:ind w:left="-20" w:right="-20"/>
            <w:jc w:val="both"/>
          </w:pPr>
          <w:r w:rsidRPr="55299B54">
            <w:rPr>
              <w:rFonts w:ascii="Times New Roman" w:eastAsia="Times New Roman" w:hAnsi="Times New Roman"/>
              <w:color w:val="000000" w:themeColor="text1"/>
              <w:sz w:val="24"/>
              <w:szCs w:val="24"/>
            </w:rPr>
            <w:t xml:space="preserve"> </w:t>
          </w:r>
        </w:p>
        <w:p w14:paraId="55CC5BC0" w14:textId="0E3120A9" w:rsidR="005E2367" w:rsidRDefault="005E2367" w:rsidP="55299B54">
          <w:pPr>
            <w:ind w:left="-20" w:right="-20"/>
            <w:jc w:val="both"/>
          </w:pPr>
          <w:r w:rsidRPr="55299B54">
            <w:rPr>
              <w:rFonts w:ascii="Times New Roman" w:eastAsia="Times New Roman" w:hAnsi="Times New Roman"/>
              <w:sz w:val="24"/>
              <w:szCs w:val="24"/>
            </w:rPr>
            <w:t>Terminada la vigencia 2023, no se pudo pagar con Títulos de Tesorería TES a favor del Consorcio Vial Helios del proyecto Ruta del Sol 1, según la Resolución No. 20235000014935</w:t>
          </w:r>
          <w:r w:rsidR="006D0158">
            <w:rPr>
              <w:rFonts w:ascii="Times New Roman" w:eastAsia="Times New Roman" w:hAnsi="Times New Roman"/>
              <w:sz w:val="24"/>
              <w:szCs w:val="24"/>
            </w:rPr>
            <w:t xml:space="preserve"> </w:t>
          </w:r>
          <w:r w:rsidRPr="55299B54">
            <w:rPr>
              <w:rFonts w:ascii="Times New Roman" w:eastAsia="Times New Roman" w:hAnsi="Times New Roman"/>
              <w:sz w:val="24"/>
              <w:szCs w:val="24"/>
            </w:rPr>
            <w:t>del 10 de noviembre de 2023, ya que se presentaron inconvenientes en obtener una de las certificaciones de la DIAN, necesarias para culminar el proceso y aunque la información se radicó completa al Ministerio de Hacienda y Crédito Público en diciembre de 2023, se nos informó que, por cierre de vigencia, no se pudo terminar el trámite.</w:t>
          </w:r>
        </w:p>
        <w:p w14:paraId="273842D1" w14:textId="61C26FF2" w:rsidR="61598E34" w:rsidRDefault="61598E34" w:rsidP="55299B54">
          <w:pPr>
            <w:ind w:left="-20" w:right="-20"/>
            <w:jc w:val="both"/>
          </w:pPr>
          <w:r w:rsidRPr="55299B54">
            <w:rPr>
              <w:rFonts w:ascii="Times New Roman" w:eastAsia="Times New Roman" w:hAnsi="Times New Roman"/>
              <w:sz w:val="24"/>
              <w:szCs w:val="24"/>
            </w:rPr>
            <w:t xml:space="preserve"> </w:t>
          </w:r>
        </w:p>
        <w:p w14:paraId="4BF764CE" w14:textId="28A3CCE4" w:rsidR="005E2367" w:rsidRDefault="005E2367" w:rsidP="55299B54">
          <w:pPr>
            <w:pStyle w:val="Prrafodelista"/>
            <w:numPr>
              <w:ilvl w:val="0"/>
              <w:numId w:val="202"/>
            </w:numPr>
            <w:spacing w:after="0"/>
            <w:ind w:left="-20" w:right="-20"/>
            <w:jc w:val="both"/>
            <w:rPr>
              <w:rFonts w:ascii="Times New Roman" w:eastAsia="Times New Roman" w:hAnsi="Times New Roman"/>
              <w:sz w:val="24"/>
              <w:szCs w:val="24"/>
            </w:rPr>
          </w:pPr>
          <w:r w:rsidRPr="55299B54">
            <w:rPr>
              <w:rFonts w:ascii="Times New Roman" w:eastAsia="Times New Roman" w:hAnsi="Times New Roman"/>
              <w:sz w:val="24"/>
              <w:szCs w:val="24"/>
            </w:rPr>
            <w:t>LAUDO ARBITRAL</w:t>
          </w:r>
        </w:p>
        <w:p w14:paraId="3330CFDC" w14:textId="04C83EBB" w:rsidR="61598E34" w:rsidRDefault="61598E34" w:rsidP="55299B54">
          <w:pPr>
            <w:ind w:left="720" w:right="-20"/>
            <w:jc w:val="both"/>
          </w:pPr>
          <w:r w:rsidRPr="55299B54">
            <w:rPr>
              <w:rFonts w:ascii="Times New Roman" w:eastAsia="Times New Roman" w:hAnsi="Times New Roman"/>
              <w:sz w:val="24"/>
              <w:szCs w:val="24"/>
            </w:rPr>
            <w:t xml:space="preserve"> </w:t>
          </w:r>
        </w:p>
        <w:p w14:paraId="33D5E50C" w14:textId="452C5565" w:rsidR="005E2367" w:rsidRDefault="005E2367" w:rsidP="55299B54">
          <w:pPr>
            <w:ind w:left="-20" w:right="-20"/>
            <w:jc w:val="both"/>
          </w:pPr>
          <w:r w:rsidRPr="55299B54">
            <w:rPr>
              <w:rFonts w:ascii="Times New Roman" w:eastAsia="Times New Roman" w:hAnsi="Times New Roman"/>
              <w:sz w:val="24"/>
              <w:szCs w:val="24"/>
            </w:rPr>
            <w:t xml:space="preserve">Laudo arbitral del 25 mayo de 2023, aclarado por auto del 2 de junio de 2023, y para el cual la Agencia interpuso recurso de anulación de fecha 21 de julio de 2023, el cual fue admitido el 18 de septiembre de 2023, suspendiendo temporalmente su cumplimiento en los numerales decimocuarto, trigésimo quinto, trigésimo sexto y (ii) (iii) y (iv) del numeral cuadragésimo cuarto. El laudo arbitral quedó en firme por la decisión del Consejo de Estado del 27 de octubre de 2023, mediante la cual se declaró infundado el recurso extraordinario de anulación interpuesto por la Agencia el 21 de julio de 2023. </w:t>
          </w:r>
        </w:p>
        <w:p w14:paraId="44B3E96E" w14:textId="4F891137" w:rsidR="005E2367" w:rsidRDefault="005E2367" w:rsidP="55299B54">
          <w:pPr>
            <w:ind w:left="-20" w:right="-20"/>
            <w:jc w:val="both"/>
          </w:pPr>
          <w:r w:rsidRPr="55299B54">
            <w:rPr>
              <w:rFonts w:ascii="Times New Roman" w:eastAsia="Times New Roman" w:hAnsi="Times New Roman"/>
              <w:sz w:val="24"/>
              <w:szCs w:val="24"/>
            </w:rPr>
            <w:lastRenderedPageBreak/>
            <w:t>En la demanda, más precisamente, en su reforma, después de la conciliación entre las partes dentro del trámite arbitral, el Consorcio Vial Helios, formuló pretensiones para declarar el</w:t>
          </w:r>
          <w:r w:rsidR="006D0158">
            <w:rPr>
              <w:rFonts w:ascii="Times New Roman" w:eastAsia="Times New Roman" w:hAnsi="Times New Roman"/>
              <w:sz w:val="24"/>
              <w:szCs w:val="24"/>
            </w:rPr>
            <w:t xml:space="preserve"> </w:t>
          </w:r>
          <w:r w:rsidRPr="55299B54">
            <w:rPr>
              <w:rFonts w:ascii="Times New Roman" w:eastAsia="Times New Roman" w:hAnsi="Times New Roman"/>
              <w:sz w:val="24"/>
              <w:szCs w:val="24"/>
            </w:rPr>
            <w:t>incumplimiento de la ANI, en lo relativo a los rendimientos financieros generados y no generados (bien porque la ANI no consignó en tiempo o no consignó los aportes al patrimonio</w:t>
          </w:r>
          <w:r w:rsidR="006D0158">
            <w:rPr>
              <w:rFonts w:ascii="Times New Roman" w:eastAsia="Times New Roman" w:hAnsi="Times New Roman"/>
              <w:sz w:val="24"/>
              <w:szCs w:val="24"/>
            </w:rPr>
            <w:t xml:space="preserve"> </w:t>
          </w:r>
          <w:r w:rsidRPr="55299B54">
            <w:rPr>
              <w:rFonts w:ascii="Times New Roman" w:eastAsia="Times New Roman" w:hAnsi="Times New Roman"/>
              <w:sz w:val="24"/>
              <w:szCs w:val="24"/>
            </w:rPr>
            <w:t>autónomo de la concesión) y también por no pagar la remuneración del 2% del recaudo del peaje El Korán.</w:t>
          </w:r>
        </w:p>
        <w:p w14:paraId="0459EC30" w14:textId="38B6F727" w:rsidR="005E2367" w:rsidRDefault="005E2367" w:rsidP="55299B54">
          <w:pPr>
            <w:ind w:left="-20" w:right="-20"/>
            <w:jc w:val="both"/>
          </w:pPr>
          <w:r w:rsidRPr="55299B54">
            <w:rPr>
              <w:rFonts w:ascii="Times New Roman" w:eastAsia="Times New Roman" w:hAnsi="Times New Roman"/>
              <w:sz w:val="24"/>
              <w:szCs w:val="24"/>
            </w:rPr>
            <w:t>Las Pretensiones relacionadas con el incumplimiento de la AGENCIA NACIONAL DE INFRAESTRUCTURA en el pago de los Rendimientos Financieros generados en la Cuenta</w:t>
          </w:r>
          <w:r w:rsidR="003F18DF">
            <w:rPr>
              <w:rFonts w:ascii="Times New Roman" w:eastAsia="Times New Roman" w:hAnsi="Times New Roman"/>
              <w:sz w:val="24"/>
              <w:szCs w:val="24"/>
            </w:rPr>
            <w:t xml:space="preserve"> </w:t>
          </w:r>
          <w:r w:rsidRPr="55299B54">
            <w:rPr>
              <w:rFonts w:ascii="Times New Roman" w:eastAsia="Times New Roman" w:hAnsi="Times New Roman"/>
              <w:sz w:val="24"/>
              <w:szCs w:val="24"/>
            </w:rPr>
            <w:t>Aportes INCO, fueron resueltas en el numeral Cuadragésimo Cuarto del laudo atacado. Este numeral dispuso: “CONDENAR a la Agencia Nacional de Infraestructura – ANI a pagar a Consorcio Vial Helios las siguientes sumas:</w:t>
          </w:r>
        </w:p>
        <w:tbl>
          <w:tblPr>
            <w:tblW w:w="0" w:type="auto"/>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blBorders>
            <w:tblLayout w:type="fixed"/>
            <w:tblLook w:val="06A0" w:firstRow="1" w:lastRow="0" w:firstColumn="1" w:lastColumn="0" w:noHBand="1" w:noVBand="1"/>
          </w:tblPr>
          <w:tblGrid>
            <w:gridCol w:w="5253"/>
            <w:gridCol w:w="1790"/>
            <w:gridCol w:w="1739"/>
          </w:tblGrid>
          <w:tr w:rsidR="55299B54" w14:paraId="07ADF709" w14:textId="77777777" w:rsidTr="00092474">
            <w:trPr>
              <w:trHeight w:val="285"/>
            </w:trPr>
            <w:tc>
              <w:tcPr>
                <w:tcW w:w="5253" w:type="dxa"/>
                <w:tcMar>
                  <w:top w:w="15" w:type="dxa"/>
                  <w:left w:w="15" w:type="dxa"/>
                  <w:right w:w="15" w:type="dxa"/>
                </w:tcMar>
                <w:vAlign w:val="center"/>
              </w:tcPr>
              <w:p w14:paraId="4D722D82" w14:textId="7FE89B37" w:rsidR="55299B54" w:rsidRDefault="61598E34" w:rsidP="55299B54">
                <w:pPr>
                  <w:spacing w:after="0" w:line="254" w:lineRule="auto"/>
                  <w:ind w:left="-20" w:right="-20"/>
                  <w:jc w:val="center"/>
                </w:pPr>
                <w:r w:rsidRPr="55299B54">
                  <w:rPr>
                    <w:rFonts w:ascii="Times New Roman" w:eastAsia="Times New Roman" w:hAnsi="Times New Roman"/>
                    <w:sz w:val="24"/>
                    <w:szCs w:val="24"/>
                  </w:rPr>
                  <w:t xml:space="preserve"> </w:t>
                </w:r>
                <w:r w:rsidR="55299B54" w:rsidRPr="55299B54">
                  <w:rPr>
                    <w:rFonts w:ascii="Times New Roman" w:eastAsia="Times New Roman" w:hAnsi="Times New Roman"/>
                    <w:b/>
                    <w:bCs/>
                    <w:sz w:val="14"/>
                    <w:szCs w:val="14"/>
                  </w:rPr>
                  <w:t>DETALLE DEUDA RUTA DEL SOL 1</w:t>
                </w:r>
              </w:p>
            </w:tc>
            <w:tc>
              <w:tcPr>
                <w:tcW w:w="1790" w:type="dxa"/>
                <w:tcMar>
                  <w:top w:w="15" w:type="dxa"/>
                  <w:left w:w="15" w:type="dxa"/>
                  <w:right w:w="15" w:type="dxa"/>
                </w:tcMar>
                <w:vAlign w:val="center"/>
              </w:tcPr>
              <w:p w14:paraId="56B41FC6" w14:textId="6CE9399E" w:rsidR="55299B54" w:rsidRDefault="55299B54" w:rsidP="55299B54">
                <w:pPr>
                  <w:spacing w:after="0" w:line="254" w:lineRule="auto"/>
                  <w:ind w:left="-20" w:right="-20"/>
                  <w:jc w:val="center"/>
                </w:pPr>
                <w:r w:rsidRPr="55299B54">
                  <w:rPr>
                    <w:rFonts w:ascii="Times New Roman" w:eastAsia="Times New Roman" w:hAnsi="Times New Roman"/>
                    <w:color w:val="000000" w:themeColor="text1"/>
                    <w:sz w:val="14"/>
                    <w:szCs w:val="14"/>
                  </w:rPr>
                  <w:t>V/PARCIAL</w:t>
                </w:r>
              </w:p>
            </w:tc>
            <w:tc>
              <w:tcPr>
                <w:tcW w:w="1739" w:type="dxa"/>
                <w:tcMar>
                  <w:top w:w="15" w:type="dxa"/>
                  <w:left w:w="15" w:type="dxa"/>
                  <w:right w:w="15" w:type="dxa"/>
                </w:tcMar>
                <w:vAlign w:val="center"/>
              </w:tcPr>
              <w:p w14:paraId="42F30EB1" w14:textId="0E0C86FA" w:rsidR="55299B54" w:rsidRDefault="55299B54" w:rsidP="55299B54">
                <w:pPr>
                  <w:spacing w:after="0" w:line="254" w:lineRule="auto"/>
                  <w:ind w:left="-20" w:right="-20"/>
                  <w:jc w:val="center"/>
                </w:pPr>
                <w:r w:rsidRPr="55299B54">
                  <w:rPr>
                    <w:rFonts w:ascii="Times New Roman" w:eastAsia="Times New Roman" w:hAnsi="Times New Roman"/>
                    <w:sz w:val="14"/>
                    <w:szCs w:val="14"/>
                  </w:rPr>
                  <w:t>V/TOTAL</w:t>
                </w:r>
              </w:p>
            </w:tc>
          </w:tr>
          <w:tr w:rsidR="55299B54" w14:paraId="3C126AB3" w14:textId="77777777" w:rsidTr="00092474">
            <w:trPr>
              <w:trHeight w:val="120"/>
            </w:trPr>
            <w:tc>
              <w:tcPr>
                <w:tcW w:w="5253" w:type="dxa"/>
                <w:tcMar>
                  <w:top w:w="15" w:type="dxa"/>
                  <w:left w:w="15" w:type="dxa"/>
                  <w:right w:w="15" w:type="dxa"/>
                </w:tcMar>
                <w:vAlign w:val="center"/>
              </w:tcPr>
              <w:p w14:paraId="4BE6ED0F" w14:textId="22785B4F" w:rsidR="55299B54" w:rsidRDefault="55299B54" w:rsidP="55299B54">
                <w:pPr>
                  <w:spacing w:after="0" w:line="254" w:lineRule="auto"/>
                  <w:ind w:left="-20" w:right="-20"/>
                </w:pPr>
                <w:r w:rsidRPr="55299B54">
                  <w:rPr>
                    <w:rFonts w:ascii="Times New Roman" w:eastAsia="Times New Roman" w:hAnsi="Times New Roman"/>
                    <w:b/>
                    <w:bCs/>
                    <w:color w:val="000000" w:themeColor="text1"/>
                    <w:sz w:val="14"/>
                    <w:szCs w:val="14"/>
                  </w:rPr>
                  <w:t>LAUDO ARBITRAL</w:t>
                </w:r>
              </w:p>
            </w:tc>
            <w:tc>
              <w:tcPr>
                <w:tcW w:w="1790" w:type="dxa"/>
                <w:tcMar>
                  <w:top w:w="15" w:type="dxa"/>
                  <w:left w:w="15" w:type="dxa"/>
                  <w:right w:w="15" w:type="dxa"/>
                </w:tcMar>
                <w:vAlign w:val="center"/>
              </w:tcPr>
              <w:p w14:paraId="1B176B61" w14:textId="482E9B41" w:rsidR="55299B54" w:rsidRDefault="55299B54" w:rsidP="55299B54">
                <w:pPr>
                  <w:spacing w:after="0" w:line="254" w:lineRule="auto"/>
                  <w:ind w:left="-20" w:right="-20"/>
                  <w:jc w:val="center"/>
                </w:pPr>
                <w:r w:rsidRPr="55299B54">
                  <w:rPr>
                    <w:rFonts w:ascii="Times New Roman" w:eastAsia="Times New Roman" w:hAnsi="Times New Roman"/>
                    <w:color w:val="000000" w:themeColor="text1"/>
                    <w:sz w:val="14"/>
                    <w:szCs w:val="14"/>
                  </w:rPr>
                  <w:t xml:space="preserve"> </w:t>
                </w:r>
              </w:p>
            </w:tc>
            <w:tc>
              <w:tcPr>
                <w:tcW w:w="1739" w:type="dxa"/>
                <w:tcMar>
                  <w:top w:w="15" w:type="dxa"/>
                  <w:left w:w="15" w:type="dxa"/>
                  <w:right w:w="15" w:type="dxa"/>
                </w:tcMar>
                <w:vAlign w:val="center"/>
              </w:tcPr>
              <w:p w14:paraId="4E031648" w14:textId="4167F182" w:rsidR="55299B54" w:rsidRDefault="55299B54" w:rsidP="55299B54">
                <w:pPr>
                  <w:spacing w:after="0" w:line="254" w:lineRule="auto"/>
                  <w:ind w:left="-20" w:right="-20"/>
                  <w:jc w:val="right"/>
                </w:pPr>
                <w:r w:rsidRPr="55299B54">
                  <w:rPr>
                    <w:rFonts w:ascii="Times New Roman" w:eastAsia="Times New Roman" w:hAnsi="Times New Roman"/>
                    <w:b/>
                    <w:bCs/>
                    <w:sz w:val="14"/>
                    <w:szCs w:val="14"/>
                  </w:rPr>
                  <w:t>$ 135.681.214.578,00</w:t>
                </w:r>
              </w:p>
            </w:tc>
          </w:tr>
          <w:tr w:rsidR="55299B54" w14:paraId="5C1F67CF" w14:textId="77777777" w:rsidTr="00092474">
            <w:trPr>
              <w:trHeight w:val="465"/>
            </w:trPr>
            <w:tc>
              <w:tcPr>
                <w:tcW w:w="5253" w:type="dxa"/>
                <w:tcMar>
                  <w:top w:w="15" w:type="dxa"/>
                  <w:left w:w="15" w:type="dxa"/>
                  <w:right w:w="15" w:type="dxa"/>
                </w:tcMar>
                <w:vAlign w:val="center"/>
              </w:tcPr>
              <w:p w14:paraId="2D4DE9F0" w14:textId="1F7D7386" w:rsidR="55299B54" w:rsidRDefault="55299B54" w:rsidP="55299B54">
                <w:pPr>
                  <w:spacing w:after="0" w:line="254" w:lineRule="auto"/>
                  <w:ind w:left="-20" w:right="-20"/>
                  <w:jc w:val="both"/>
                </w:pPr>
                <w:r w:rsidRPr="55299B54">
                  <w:rPr>
                    <w:rFonts w:ascii="Times New Roman" w:eastAsia="Times New Roman" w:hAnsi="Times New Roman"/>
                    <w:color w:val="000000" w:themeColor="text1"/>
                    <w:sz w:val="14"/>
                    <w:szCs w:val="14"/>
                  </w:rPr>
                  <w:t>Rendimientos financieros generados en la Cuenta Aportes INCO que no fueron pagados según el laudo arbitral del 25 de mayo de 2023.</w:t>
                </w:r>
              </w:p>
            </w:tc>
            <w:tc>
              <w:tcPr>
                <w:tcW w:w="1790" w:type="dxa"/>
                <w:tcMar>
                  <w:top w:w="15" w:type="dxa"/>
                  <w:left w:w="15" w:type="dxa"/>
                  <w:right w:w="15" w:type="dxa"/>
                </w:tcMar>
                <w:vAlign w:val="center"/>
              </w:tcPr>
              <w:p w14:paraId="1DD1856F" w14:textId="4CA0E198" w:rsidR="55299B54" w:rsidRDefault="55299B54" w:rsidP="55299B54">
                <w:pPr>
                  <w:spacing w:after="0" w:line="254" w:lineRule="auto"/>
                  <w:ind w:left="-20" w:right="-20"/>
                  <w:jc w:val="right"/>
                </w:pPr>
                <w:r w:rsidRPr="55299B54">
                  <w:rPr>
                    <w:rFonts w:ascii="Times New Roman" w:eastAsia="Times New Roman" w:hAnsi="Times New Roman"/>
                    <w:color w:val="000000" w:themeColor="text1"/>
                    <w:sz w:val="14"/>
                    <w:szCs w:val="14"/>
                  </w:rPr>
                  <w:t>$ 84.535.435.421,00</w:t>
                </w:r>
              </w:p>
            </w:tc>
            <w:tc>
              <w:tcPr>
                <w:tcW w:w="1739" w:type="dxa"/>
                <w:tcMar>
                  <w:top w:w="15" w:type="dxa"/>
                  <w:left w:w="15" w:type="dxa"/>
                  <w:right w:w="15" w:type="dxa"/>
                </w:tcMar>
                <w:vAlign w:val="bottom"/>
              </w:tcPr>
              <w:p w14:paraId="4B10956A" w14:textId="78BBE4E9" w:rsidR="55299B54" w:rsidRDefault="55299B54" w:rsidP="55299B54">
                <w:pPr>
                  <w:spacing w:after="0" w:line="254" w:lineRule="auto"/>
                  <w:ind w:left="-20" w:right="-20"/>
                  <w:jc w:val="right"/>
                </w:pPr>
                <w:r w:rsidRPr="55299B54">
                  <w:rPr>
                    <w:rFonts w:ascii="Times New Roman" w:eastAsia="Times New Roman" w:hAnsi="Times New Roman"/>
                    <w:sz w:val="14"/>
                    <w:szCs w:val="14"/>
                  </w:rPr>
                  <w:t xml:space="preserve"> </w:t>
                </w:r>
              </w:p>
            </w:tc>
          </w:tr>
          <w:tr w:rsidR="55299B54" w14:paraId="2C4A1499" w14:textId="77777777" w:rsidTr="00092474">
            <w:trPr>
              <w:trHeight w:val="615"/>
            </w:trPr>
            <w:tc>
              <w:tcPr>
                <w:tcW w:w="5253" w:type="dxa"/>
                <w:tcMar>
                  <w:top w:w="15" w:type="dxa"/>
                  <w:left w:w="15" w:type="dxa"/>
                  <w:right w:w="15" w:type="dxa"/>
                </w:tcMar>
                <w:vAlign w:val="center"/>
              </w:tcPr>
              <w:p w14:paraId="752842EA" w14:textId="4A2D6D25" w:rsidR="55299B54" w:rsidRDefault="55299B54" w:rsidP="55299B54">
                <w:pPr>
                  <w:spacing w:after="0" w:line="254" w:lineRule="auto"/>
                  <w:ind w:left="-20" w:right="-20"/>
                  <w:jc w:val="both"/>
                </w:pPr>
                <w:r w:rsidRPr="55299B54">
                  <w:rPr>
                    <w:rFonts w:ascii="Times New Roman" w:eastAsia="Times New Roman" w:hAnsi="Times New Roman"/>
                    <w:color w:val="000000" w:themeColor="text1"/>
                    <w:sz w:val="14"/>
                    <w:szCs w:val="14"/>
                  </w:rPr>
                  <w:t>Rendimientos financieros no generados y no pagados por el incumplimiento en el pago del aporte de la vigencia de 2019, suma que se ha actualizado a la fecha del laudo. (Laudo arbitral del 25 de mayo de 2023) (*)</w:t>
                </w:r>
              </w:p>
            </w:tc>
            <w:tc>
              <w:tcPr>
                <w:tcW w:w="1790" w:type="dxa"/>
                <w:tcMar>
                  <w:top w:w="15" w:type="dxa"/>
                  <w:left w:w="15" w:type="dxa"/>
                  <w:right w:w="15" w:type="dxa"/>
                </w:tcMar>
                <w:vAlign w:val="center"/>
              </w:tcPr>
              <w:p w14:paraId="39B7F725" w14:textId="3E6C8AC4" w:rsidR="55299B54" w:rsidRDefault="55299B54" w:rsidP="55299B54">
                <w:pPr>
                  <w:spacing w:after="0" w:line="254" w:lineRule="auto"/>
                  <w:ind w:left="-20" w:right="-20"/>
                  <w:jc w:val="right"/>
                </w:pPr>
                <w:r w:rsidRPr="55299B54">
                  <w:rPr>
                    <w:rFonts w:ascii="Times New Roman" w:eastAsia="Times New Roman" w:hAnsi="Times New Roman"/>
                    <w:color w:val="000000" w:themeColor="text1"/>
                    <w:sz w:val="14"/>
                    <w:szCs w:val="14"/>
                  </w:rPr>
                  <w:t>$ 6.335.494.586,00</w:t>
                </w:r>
              </w:p>
            </w:tc>
            <w:tc>
              <w:tcPr>
                <w:tcW w:w="1739" w:type="dxa"/>
                <w:tcMar>
                  <w:top w:w="15" w:type="dxa"/>
                  <w:left w:w="15" w:type="dxa"/>
                  <w:right w:w="15" w:type="dxa"/>
                </w:tcMar>
                <w:vAlign w:val="bottom"/>
              </w:tcPr>
              <w:p w14:paraId="3565152E" w14:textId="20C82127" w:rsidR="55299B54" w:rsidRDefault="55299B54" w:rsidP="55299B54">
                <w:pPr>
                  <w:spacing w:after="0" w:line="254" w:lineRule="auto"/>
                  <w:ind w:left="-20" w:right="-20"/>
                  <w:jc w:val="right"/>
                </w:pPr>
                <w:r w:rsidRPr="55299B54">
                  <w:rPr>
                    <w:rFonts w:ascii="Times New Roman" w:eastAsia="Times New Roman" w:hAnsi="Times New Roman"/>
                    <w:sz w:val="14"/>
                    <w:szCs w:val="14"/>
                  </w:rPr>
                  <w:t xml:space="preserve"> </w:t>
                </w:r>
              </w:p>
            </w:tc>
          </w:tr>
          <w:tr w:rsidR="55299B54" w14:paraId="65333A2B" w14:textId="77777777" w:rsidTr="00092474">
            <w:trPr>
              <w:trHeight w:val="615"/>
            </w:trPr>
            <w:tc>
              <w:tcPr>
                <w:tcW w:w="5253" w:type="dxa"/>
                <w:tcMar>
                  <w:top w:w="15" w:type="dxa"/>
                  <w:left w:w="15" w:type="dxa"/>
                  <w:right w:w="15" w:type="dxa"/>
                </w:tcMar>
                <w:vAlign w:val="center"/>
              </w:tcPr>
              <w:p w14:paraId="0414755E" w14:textId="2B30A418" w:rsidR="55299B54" w:rsidRDefault="55299B54" w:rsidP="55299B54">
                <w:pPr>
                  <w:spacing w:after="0" w:line="254" w:lineRule="auto"/>
                  <w:ind w:left="-20" w:right="-20"/>
                  <w:jc w:val="both"/>
                </w:pPr>
                <w:r w:rsidRPr="55299B54">
                  <w:rPr>
                    <w:rFonts w:ascii="Times New Roman" w:eastAsia="Times New Roman" w:hAnsi="Times New Roman"/>
                    <w:color w:val="000000" w:themeColor="text1"/>
                    <w:sz w:val="14"/>
                    <w:szCs w:val="14"/>
                  </w:rPr>
                  <w:t>Rendimientos financieros no generados y no pagados por el incumplimiento en el pago de aportes de la vigencia 2020, suma que se ha actualizado a la fecha del laudo. (Laudo arbitral del 25 de mayo de 2023) (*)</w:t>
                </w:r>
              </w:p>
            </w:tc>
            <w:tc>
              <w:tcPr>
                <w:tcW w:w="1790" w:type="dxa"/>
                <w:tcMar>
                  <w:top w:w="15" w:type="dxa"/>
                  <w:left w:w="15" w:type="dxa"/>
                  <w:right w:w="15" w:type="dxa"/>
                </w:tcMar>
                <w:vAlign w:val="center"/>
              </w:tcPr>
              <w:p w14:paraId="6412283B" w14:textId="2C246583" w:rsidR="55299B54" w:rsidRDefault="55299B54" w:rsidP="55299B54">
                <w:pPr>
                  <w:spacing w:after="0" w:line="254" w:lineRule="auto"/>
                  <w:ind w:left="-20" w:right="-20"/>
                  <w:jc w:val="right"/>
                </w:pPr>
                <w:r w:rsidRPr="55299B54">
                  <w:rPr>
                    <w:rFonts w:ascii="Times New Roman" w:eastAsia="Times New Roman" w:hAnsi="Times New Roman"/>
                    <w:color w:val="000000" w:themeColor="text1"/>
                    <w:sz w:val="14"/>
                    <w:szCs w:val="14"/>
                  </w:rPr>
                  <w:t>$ 768.636.278,00</w:t>
                </w:r>
              </w:p>
            </w:tc>
            <w:tc>
              <w:tcPr>
                <w:tcW w:w="1739" w:type="dxa"/>
                <w:tcMar>
                  <w:top w:w="15" w:type="dxa"/>
                  <w:left w:w="15" w:type="dxa"/>
                  <w:right w:w="15" w:type="dxa"/>
                </w:tcMar>
                <w:vAlign w:val="bottom"/>
              </w:tcPr>
              <w:p w14:paraId="66FC1CAB" w14:textId="4F5A2F47" w:rsidR="55299B54" w:rsidRDefault="55299B54" w:rsidP="55299B54">
                <w:pPr>
                  <w:spacing w:after="0" w:line="254" w:lineRule="auto"/>
                  <w:ind w:left="-20" w:right="-20"/>
                  <w:jc w:val="right"/>
                </w:pPr>
                <w:r w:rsidRPr="55299B54">
                  <w:rPr>
                    <w:rFonts w:ascii="Times New Roman" w:eastAsia="Times New Roman" w:hAnsi="Times New Roman"/>
                    <w:sz w:val="14"/>
                    <w:szCs w:val="14"/>
                  </w:rPr>
                  <w:t xml:space="preserve"> </w:t>
                </w:r>
              </w:p>
            </w:tc>
          </w:tr>
          <w:tr w:rsidR="55299B54" w14:paraId="45A3F01A" w14:textId="77777777" w:rsidTr="00092474">
            <w:trPr>
              <w:trHeight w:val="540"/>
            </w:trPr>
            <w:tc>
              <w:tcPr>
                <w:tcW w:w="5253" w:type="dxa"/>
                <w:tcMar>
                  <w:top w:w="15" w:type="dxa"/>
                  <w:left w:w="15" w:type="dxa"/>
                  <w:right w:w="15" w:type="dxa"/>
                </w:tcMar>
                <w:vAlign w:val="center"/>
              </w:tcPr>
              <w:p w14:paraId="5EB03A46" w14:textId="7EDBF100" w:rsidR="55299B54" w:rsidRDefault="55299B54" w:rsidP="55299B54">
                <w:pPr>
                  <w:spacing w:after="0" w:line="254" w:lineRule="auto"/>
                  <w:ind w:left="-20" w:right="-20"/>
                  <w:jc w:val="both"/>
                </w:pPr>
                <w:r w:rsidRPr="55299B54">
                  <w:rPr>
                    <w:rFonts w:ascii="Times New Roman" w:eastAsia="Times New Roman" w:hAnsi="Times New Roman"/>
                    <w:color w:val="000000" w:themeColor="text1"/>
                    <w:sz w:val="14"/>
                    <w:szCs w:val="14"/>
                  </w:rPr>
                  <w:t>Intereses moratorios sobre los rendimientos financieros generados en la Cuenta Aportes INCO que no fueron pagados respecto de los hitos señalados en la parte motiva de la providencia. (Laudo arbitral del 25 de mayo de 2023) (*)</w:t>
                </w:r>
              </w:p>
            </w:tc>
            <w:tc>
              <w:tcPr>
                <w:tcW w:w="1790" w:type="dxa"/>
                <w:tcMar>
                  <w:top w:w="15" w:type="dxa"/>
                  <w:left w:w="15" w:type="dxa"/>
                  <w:right w:w="15" w:type="dxa"/>
                </w:tcMar>
                <w:vAlign w:val="center"/>
              </w:tcPr>
              <w:p w14:paraId="1C83C9C6" w14:textId="584DFED7" w:rsidR="55299B54" w:rsidRDefault="55299B54" w:rsidP="55299B54">
                <w:pPr>
                  <w:spacing w:after="0" w:line="254" w:lineRule="auto"/>
                  <w:ind w:left="-20" w:right="-20"/>
                  <w:jc w:val="right"/>
                </w:pPr>
                <w:r w:rsidRPr="55299B54">
                  <w:rPr>
                    <w:rFonts w:ascii="Times New Roman" w:eastAsia="Times New Roman" w:hAnsi="Times New Roman"/>
                    <w:color w:val="000000" w:themeColor="text1"/>
                    <w:sz w:val="14"/>
                    <w:szCs w:val="14"/>
                  </w:rPr>
                  <w:t>$ 44.041.648.293,00</w:t>
                </w:r>
              </w:p>
            </w:tc>
            <w:tc>
              <w:tcPr>
                <w:tcW w:w="1739" w:type="dxa"/>
                <w:tcMar>
                  <w:top w:w="15" w:type="dxa"/>
                  <w:left w:w="15" w:type="dxa"/>
                  <w:right w:w="15" w:type="dxa"/>
                </w:tcMar>
                <w:vAlign w:val="bottom"/>
              </w:tcPr>
              <w:p w14:paraId="35FB2875" w14:textId="768DFBB4" w:rsidR="55299B54" w:rsidRDefault="55299B54" w:rsidP="55299B54">
                <w:pPr>
                  <w:spacing w:after="0" w:line="254" w:lineRule="auto"/>
                  <w:ind w:left="-20" w:right="-20"/>
                  <w:jc w:val="right"/>
                </w:pPr>
                <w:r w:rsidRPr="55299B54">
                  <w:rPr>
                    <w:rFonts w:ascii="Times New Roman" w:eastAsia="Times New Roman" w:hAnsi="Times New Roman"/>
                    <w:sz w:val="14"/>
                    <w:szCs w:val="14"/>
                  </w:rPr>
                  <w:t xml:space="preserve"> </w:t>
                </w:r>
              </w:p>
            </w:tc>
          </w:tr>
        </w:tbl>
        <w:p w14:paraId="420C16F7" w14:textId="2A26A0B1" w:rsidR="61598E34" w:rsidRDefault="61598E34" w:rsidP="55299B54">
          <w:pPr>
            <w:ind w:left="-20" w:right="-20"/>
            <w:jc w:val="both"/>
          </w:pPr>
          <w:r w:rsidRPr="55299B54">
            <w:rPr>
              <w:rFonts w:ascii="Times New Roman" w:eastAsia="Times New Roman" w:hAnsi="Times New Roman"/>
              <w:sz w:val="14"/>
              <w:szCs w:val="14"/>
            </w:rPr>
            <w:t xml:space="preserve"> Cifras expresadas en pesos. Valores sin incluir intereses moratorios</w:t>
          </w:r>
        </w:p>
        <w:p w14:paraId="2E1E37BF" w14:textId="681EB493" w:rsidR="004D18A4" w:rsidRDefault="004D18A4" w:rsidP="004D18A4">
          <w:pPr>
            <w:pStyle w:val="Prrafodelista"/>
            <w:spacing w:after="0" w:line="240" w:lineRule="auto"/>
            <w:ind w:left="0"/>
            <w:jc w:val="both"/>
            <w:rPr>
              <w:rFonts w:ascii="Times New Roman" w:hAnsi="Times New Roman"/>
              <w:sz w:val="24"/>
              <w:szCs w:val="24"/>
            </w:rPr>
          </w:pPr>
        </w:p>
        <w:p w14:paraId="092CE2F0" w14:textId="6D065818" w:rsidR="007A23CA" w:rsidRDefault="007A23CA" w:rsidP="00E60BAB">
          <w:pPr>
            <w:pStyle w:val="Prrafodelista"/>
            <w:numPr>
              <w:ilvl w:val="0"/>
              <w:numId w:val="58"/>
            </w:numPr>
            <w:spacing w:after="0" w:line="240" w:lineRule="auto"/>
            <w:ind w:left="0" w:hanging="142"/>
            <w:jc w:val="both"/>
            <w:rPr>
              <w:rFonts w:ascii="Times New Roman" w:hAnsi="Times New Roman"/>
              <w:sz w:val="24"/>
              <w:szCs w:val="24"/>
            </w:rPr>
          </w:pPr>
          <w:r w:rsidRPr="3CE1B775">
            <w:rPr>
              <w:rFonts w:ascii="Times New Roman" w:hAnsi="Times New Roman"/>
              <w:sz w:val="24"/>
              <w:szCs w:val="24"/>
            </w:rPr>
            <w:t xml:space="preserve">Un valor de $71.984.527.892 (capital e intereses), correspondiente a la deuda reconocida a nombre de la Vía Pacifico S.A.S-En liquidación, del proyecto de concesión IP VIAL AL PUERTO, Contrato No. 003 del 6 de julio de 2016, por el Laudo Arbitral Trámite No. 123019 proferido el 8 de junio de 2022, corregido de oficio mediante Acta No. 30 del 6 de julio de 2022, </w:t>
          </w:r>
          <w:r w:rsidRPr="55299B54">
            <w:rPr>
              <w:rFonts w:ascii="Times New Roman" w:hAnsi="Times New Roman"/>
              <w:sz w:val="24"/>
              <w:szCs w:val="24"/>
            </w:rPr>
            <w:t>en el que condena a la Agencia Nacional de Infraestructura a pagar a favor del Concesionario por concepto de ajuste de la liquidación del Contrato.</w:t>
          </w:r>
        </w:p>
        <w:p w14:paraId="42851E0F" w14:textId="47C687C6" w:rsidR="007A23CA" w:rsidRDefault="007A23CA" w:rsidP="55299B54">
          <w:pPr>
            <w:rPr>
              <w:rFonts w:ascii="Times New Roman" w:hAnsi="Times New Roman"/>
              <w:sz w:val="24"/>
              <w:szCs w:val="24"/>
            </w:rPr>
          </w:pPr>
        </w:p>
        <w:p w14:paraId="43B397E8" w14:textId="4E553FE9" w:rsidR="007A23CA" w:rsidRDefault="007A23CA" w:rsidP="55299B54">
          <w:pPr>
            <w:jc w:val="both"/>
            <w:rPr>
              <w:rFonts w:ascii="Times New Roman" w:hAnsi="Times New Roman"/>
            </w:rPr>
          </w:pPr>
          <w:r w:rsidRPr="55299B54">
            <w:rPr>
              <w:rFonts w:ascii="Times New Roman" w:hAnsi="Times New Roman"/>
              <w:sz w:val="24"/>
              <w:szCs w:val="24"/>
            </w:rPr>
            <w:t xml:space="preserve">Mediante Memorando ANI No. </w:t>
          </w:r>
          <w:r w:rsidR="70C19F51" w:rsidRPr="55299B54">
            <w:rPr>
              <w:rFonts w:ascii="Times New Roman" w:hAnsi="Times New Roman"/>
              <w:sz w:val="24"/>
              <w:szCs w:val="24"/>
            </w:rPr>
            <w:t>20227010094453 del 01/08/2022 el GIT de Defensa Judicia</w:t>
          </w:r>
          <w:r w:rsidR="1BA7C216" w:rsidRPr="55299B54">
            <w:rPr>
              <w:rFonts w:ascii="Times New Roman" w:hAnsi="Times New Roman"/>
              <w:sz w:val="24"/>
              <w:szCs w:val="24"/>
            </w:rPr>
            <w:t>l</w:t>
          </w:r>
          <w:r w:rsidR="70C19F51" w:rsidRPr="55299B54">
            <w:rPr>
              <w:rFonts w:ascii="Times New Roman" w:hAnsi="Times New Roman"/>
              <w:sz w:val="24"/>
              <w:szCs w:val="24"/>
            </w:rPr>
            <w:t xml:space="preserve"> ANI informa que</w:t>
          </w:r>
          <w:r w:rsidR="004D02C2">
            <w:rPr>
              <w:rFonts w:ascii="Times New Roman" w:hAnsi="Times New Roman"/>
              <w:sz w:val="24"/>
              <w:szCs w:val="24"/>
            </w:rPr>
            <w:t xml:space="preserve"> </w:t>
          </w:r>
          <w:r w:rsidR="70C19F51" w:rsidRPr="55299B54">
            <w:rPr>
              <w:rFonts w:ascii="Times New Roman" w:hAnsi="Times New Roman"/>
              <w:sz w:val="24"/>
              <w:szCs w:val="24"/>
            </w:rPr>
            <w:t xml:space="preserve">presentó solicitud de aclaración y/o complementación por parte del Concesionario, la cual fue resuelta mediante Auto 51 de 8 de julio de 2022, mediante el cual el Tribunal procede a corregir el numeral (74 ) de la parte resolutiva del laudo arbitral proferido el 8 de junio de 2022, condenando a la Entidad al pago de $61.673.121.199, y determina que, la oportunidad para pagar la suma ordenada y la causación de intereses atendrá los tiempos y formas fijados en los artículos 192 y 195 del Código de Procedimiento Administrativo y de lo Contencioso Administrativo. </w:t>
          </w:r>
        </w:p>
        <w:p w14:paraId="5BE8A264" w14:textId="2545877D" w:rsidR="007A23CA" w:rsidRDefault="007A23CA" w:rsidP="55299B54">
          <w:pPr>
            <w:jc w:val="both"/>
            <w:rPr>
              <w:rFonts w:ascii="Times New Roman" w:hAnsi="Times New Roman"/>
            </w:rPr>
          </w:pPr>
          <w:r w:rsidRPr="55299B54">
            <w:rPr>
              <w:rFonts w:ascii="Times New Roman" w:hAnsi="Times New Roman"/>
              <w:sz w:val="24"/>
              <w:szCs w:val="24"/>
            </w:rPr>
            <w:t xml:space="preserve">Sin embargo, el 19 de agosto de 2022, la Agencia Nacional de Infraestructura presentó Recurso de Anulación con solicitud de suspensión provisional de cumplimiento de este, contra el Laudo Arbitral de fecha 8 de junio de 2022, corregido de oficio mediante Acta No. 30 de 6 de agosto de 2022; el cual, mediante Auto de 21 de noviembre de 2022, notificado el 29 de del mismo </w:t>
          </w:r>
          <w:r w:rsidRPr="55299B54">
            <w:rPr>
              <w:rFonts w:ascii="Times New Roman" w:hAnsi="Times New Roman"/>
              <w:sz w:val="24"/>
              <w:szCs w:val="24"/>
            </w:rPr>
            <w:lastRenderedPageBreak/>
            <w:t>año, el Consejo de Estado admitió el Recurso de Anulación presentado por la ANI, accediendo además a la solitud provisional de cumplimiento de Laudo solicitado por la Entidad.</w:t>
          </w:r>
        </w:p>
        <w:p w14:paraId="196CBB44" w14:textId="714B2291" w:rsidR="70C19F51" w:rsidRDefault="70C19F51" w:rsidP="55299B54">
          <w:pPr>
            <w:jc w:val="both"/>
            <w:rPr>
              <w:rFonts w:ascii="Times New Roman" w:hAnsi="Times New Roman"/>
            </w:rPr>
          </w:pPr>
          <w:r w:rsidRPr="55299B54">
            <w:rPr>
              <w:rFonts w:ascii="Times New Roman" w:hAnsi="Times New Roman"/>
              <w:sz w:val="24"/>
              <w:szCs w:val="24"/>
            </w:rPr>
            <w:t xml:space="preserve">Finalmente, por Memorando ANI 20237010123743 del 18 de agosto de 2023, el GIT de Defensa Judicial comunicó que el día 16 de agosto de 2022, se notificó el fallo del Consejo de Estado dentro del proceso con radicado 11001-03-26-000-2022- 00174-00, en el que decidió lo siguiente: “PRIMERO. DECLÁRASE INFUNDADO el recurso de anulación por la Agencia Nacional de Infraestructura-ANI contra el laudo arbitral proferido el 8 de junio de 2022, convocado para resolver las controversias entre la entidad y Vía Pacífico SAS." </w:t>
          </w:r>
        </w:p>
        <w:p w14:paraId="6C98C709" w14:textId="62C8C3F7" w:rsidR="70C19F51" w:rsidRPr="00410AC4" w:rsidRDefault="70C19F51" w:rsidP="55299B54">
          <w:pPr>
            <w:jc w:val="both"/>
            <w:rPr>
              <w:rFonts w:ascii="Times New Roman" w:hAnsi="Times New Roman"/>
            </w:rPr>
          </w:pPr>
          <w:r w:rsidRPr="55299B54">
            <w:rPr>
              <w:rFonts w:ascii="Times New Roman" w:hAnsi="Times New Roman"/>
              <w:sz w:val="24"/>
              <w:szCs w:val="24"/>
            </w:rPr>
            <w:t xml:space="preserve">Así las cosas, las condenas impuestas a entidades públicas consistentes en el pago o devolución de una suma de dinero serán cumplidas en un plazo máximo de diez (10) meses, contados a partir de la fecha de la ejecutoria de la sentencia y generan intereses moratorios a la tasa de la </w:t>
          </w:r>
          <w:r w:rsidRPr="00410AC4">
            <w:rPr>
              <w:rFonts w:ascii="Times New Roman" w:hAnsi="Times New Roman"/>
              <w:sz w:val="24"/>
              <w:szCs w:val="24"/>
            </w:rPr>
            <w:t>DTF desde su ejecutoria.</w:t>
          </w:r>
        </w:p>
        <w:p w14:paraId="19624592" w14:textId="77777777" w:rsidR="00410AC4" w:rsidRPr="00410AC4" w:rsidRDefault="00410AC4" w:rsidP="00410AC4">
          <w:pPr>
            <w:autoSpaceDE w:val="0"/>
            <w:autoSpaceDN w:val="0"/>
            <w:adjustRightInd w:val="0"/>
            <w:spacing w:after="0" w:line="240" w:lineRule="auto"/>
            <w:jc w:val="both"/>
            <w:rPr>
              <w:rFonts w:ascii="Times New Roman" w:hAnsi="Times New Roman"/>
              <w:i/>
              <w:iCs/>
              <w:sz w:val="24"/>
              <w:szCs w:val="24"/>
              <w:lang w:eastAsia="es-CO"/>
            </w:rPr>
          </w:pPr>
          <w:r w:rsidRPr="00410AC4">
            <w:rPr>
              <w:rFonts w:ascii="Times New Roman" w:hAnsi="Times New Roman"/>
              <w:sz w:val="24"/>
              <w:szCs w:val="24"/>
              <w:lang w:eastAsia="es-CO"/>
            </w:rPr>
            <w:t xml:space="preserve">Así mismo, se informa que el proyecto no cuenta con recursos para cubrir esta obligación, por lo cual, </w:t>
          </w:r>
          <w:r w:rsidRPr="00410AC4">
            <w:rPr>
              <w:rFonts w:ascii="Times New Roman" w:hAnsi="Times New Roman"/>
              <w:i/>
              <w:iCs/>
              <w:sz w:val="24"/>
              <w:szCs w:val="24"/>
              <w:lang w:eastAsia="es-CO"/>
            </w:rPr>
            <w:t>en el Proyecto de Presupuesto 2024, radicado ANI No. 20233100033313 del 1 de marzo de 2023, se informó</w:t>
          </w:r>
        </w:p>
        <w:p w14:paraId="6A13B22D" w14:textId="77777777" w:rsidR="00410AC4" w:rsidRPr="00410AC4" w:rsidRDefault="00410AC4" w:rsidP="00410AC4">
          <w:pPr>
            <w:ind w:left="284" w:right="-20"/>
            <w:jc w:val="both"/>
            <w:rPr>
              <w:rFonts w:ascii="Times New Roman" w:hAnsi="Times New Roman"/>
              <w:i/>
              <w:iCs/>
              <w:sz w:val="24"/>
              <w:szCs w:val="24"/>
              <w:lang w:eastAsia="es-CO"/>
            </w:rPr>
          </w:pPr>
        </w:p>
        <w:p w14:paraId="10A754C6" w14:textId="77777777" w:rsidR="00410AC4" w:rsidRPr="00410AC4" w:rsidRDefault="00410AC4" w:rsidP="00410AC4">
          <w:pPr>
            <w:autoSpaceDE w:val="0"/>
            <w:autoSpaceDN w:val="0"/>
            <w:adjustRightInd w:val="0"/>
            <w:spacing w:after="0" w:line="240" w:lineRule="auto"/>
            <w:ind w:left="567" w:right="1041"/>
            <w:jc w:val="both"/>
            <w:rPr>
              <w:rFonts w:ascii="Times New Roman" w:hAnsi="Times New Roman"/>
              <w:i/>
              <w:iCs/>
              <w:sz w:val="18"/>
              <w:szCs w:val="18"/>
              <w:lang w:eastAsia="es-CO"/>
            </w:rPr>
          </w:pPr>
          <w:r w:rsidRPr="00410AC4">
            <w:rPr>
              <w:rFonts w:ascii="Times New Roman" w:hAnsi="Times New Roman"/>
              <w:i/>
              <w:iCs/>
              <w:sz w:val="18"/>
              <w:szCs w:val="18"/>
              <w:lang w:eastAsia="es-CO"/>
            </w:rPr>
            <w:t xml:space="preserve">“(...) Concepto: Necesidad a pagar con TES vigencia 2024 </w:t>
          </w:r>
        </w:p>
        <w:p w14:paraId="7E6BDD08" w14:textId="77777777" w:rsidR="00410AC4" w:rsidRPr="00410AC4" w:rsidRDefault="00410AC4" w:rsidP="00410AC4">
          <w:pPr>
            <w:autoSpaceDE w:val="0"/>
            <w:autoSpaceDN w:val="0"/>
            <w:adjustRightInd w:val="0"/>
            <w:spacing w:after="0" w:line="240" w:lineRule="auto"/>
            <w:ind w:left="567" w:right="1041"/>
            <w:jc w:val="both"/>
            <w:rPr>
              <w:rFonts w:ascii="Times New Roman" w:hAnsi="Times New Roman"/>
              <w:i/>
              <w:iCs/>
              <w:sz w:val="18"/>
              <w:szCs w:val="18"/>
              <w:lang w:eastAsia="es-CO"/>
            </w:rPr>
          </w:pPr>
        </w:p>
        <w:p w14:paraId="0B0B8973" w14:textId="77777777" w:rsidR="00410AC4" w:rsidRPr="00410AC4" w:rsidRDefault="00410AC4" w:rsidP="00410AC4">
          <w:pPr>
            <w:autoSpaceDE w:val="0"/>
            <w:autoSpaceDN w:val="0"/>
            <w:adjustRightInd w:val="0"/>
            <w:spacing w:after="0" w:line="240" w:lineRule="auto"/>
            <w:ind w:left="567" w:right="1041"/>
            <w:jc w:val="both"/>
            <w:rPr>
              <w:rFonts w:ascii="Times New Roman" w:hAnsi="Times New Roman"/>
              <w:i/>
              <w:iCs/>
              <w:sz w:val="18"/>
              <w:szCs w:val="18"/>
              <w:lang w:eastAsia="es-CO"/>
            </w:rPr>
          </w:pPr>
          <w:r w:rsidRPr="00410AC4">
            <w:rPr>
              <w:rFonts w:ascii="Times New Roman" w:hAnsi="Times New Roman"/>
              <w:i/>
              <w:iCs/>
              <w:sz w:val="18"/>
              <w:szCs w:val="18"/>
              <w:lang w:eastAsia="es-CO"/>
            </w:rPr>
            <w:t>Descripción: Laudo Arbitral del 08 de junio de 2022- Acta 30, Auto 51 del 6 de julio de 2022, por concepto de desacuerdo en el valor de la liquidación efectuada mediante Acta de Liquidación bilateral de fecha mayo de 2020, correspondiente a la terminación anticipada en fase de preconstrucción del contrato 003 de 2016.</w:t>
          </w:r>
        </w:p>
        <w:p w14:paraId="54A4B8E6" w14:textId="77777777" w:rsidR="00410AC4" w:rsidRPr="00410AC4" w:rsidRDefault="00410AC4" w:rsidP="00410AC4">
          <w:pPr>
            <w:autoSpaceDE w:val="0"/>
            <w:autoSpaceDN w:val="0"/>
            <w:adjustRightInd w:val="0"/>
            <w:spacing w:after="0" w:line="240" w:lineRule="auto"/>
            <w:ind w:left="567" w:right="1041"/>
            <w:jc w:val="both"/>
            <w:rPr>
              <w:rFonts w:ascii="Times New Roman" w:hAnsi="Times New Roman"/>
              <w:i/>
              <w:iCs/>
              <w:sz w:val="18"/>
              <w:szCs w:val="18"/>
              <w:lang w:eastAsia="es-CO"/>
            </w:rPr>
          </w:pPr>
        </w:p>
        <w:p w14:paraId="4E562B44" w14:textId="77777777" w:rsidR="00410AC4" w:rsidRPr="00410AC4" w:rsidRDefault="00410AC4" w:rsidP="00410AC4">
          <w:pPr>
            <w:ind w:left="567" w:right="1041"/>
            <w:jc w:val="both"/>
            <w:rPr>
              <w:rFonts w:ascii="Times New Roman" w:hAnsi="Times New Roman"/>
              <w:i/>
              <w:iCs/>
              <w:sz w:val="18"/>
              <w:szCs w:val="18"/>
              <w:lang w:eastAsia="es-CO"/>
            </w:rPr>
          </w:pPr>
          <w:r w:rsidRPr="00410AC4">
            <w:rPr>
              <w:rFonts w:ascii="Times New Roman" w:hAnsi="Times New Roman"/>
              <w:i/>
              <w:iCs/>
              <w:sz w:val="18"/>
              <w:szCs w:val="18"/>
              <w:lang w:eastAsia="es-CO"/>
            </w:rPr>
            <w:t>Valor: $103.071.109.303”</w:t>
          </w:r>
        </w:p>
        <w:p w14:paraId="5AC6B621" w14:textId="77777777" w:rsidR="00410AC4" w:rsidRPr="00410AC4" w:rsidRDefault="00410AC4" w:rsidP="00410AC4">
          <w:pPr>
            <w:autoSpaceDE w:val="0"/>
            <w:autoSpaceDN w:val="0"/>
            <w:adjustRightInd w:val="0"/>
            <w:spacing w:after="0" w:line="240" w:lineRule="auto"/>
            <w:jc w:val="both"/>
            <w:rPr>
              <w:rFonts w:ascii="Times New Roman" w:hAnsi="Times New Roman"/>
              <w:sz w:val="24"/>
              <w:szCs w:val="24"/>
              <w:lang w:eastAsia="es-CO"/>
            </w:rPr>
          </w:pPr>
          <w:r w:rsidRPr="00410AC4">
            <w:rPr>
              <w:rFonts w:ascii="Times New Roman" w:hAnsi="Times New Roman"/>
              <w:sz w:val="24"/>
              <w:szCs w:val="24"/>
              <w:lang w:eastAsia="es-CO"/>
            </w:rPr>
            <w:t>Desde la Vicepresidencia Ejecutiva no se han desarrollado actividades de renegociación de la deuda toda vez que no se cuenta con los recursos para poder negociar.</w:t>
          </w:r>
        </w:p>
        <w:p w14:paraId="1445F572" w14:textId="77777777" w:rsidR="00410AC4" w:rsidRPr="00410AC4" w:rsidRDefault="00410AC4" w:rsidP="00410AC4">
          <w:pPr>
            <w:autoSpaceDE w:val="0"/>
            <w:autoSpaceDN w:val="0"/>
            <w:adjustRightInd w:val="0"/>
            <w:spacing w:after="0" w:line="240" w:lineRule="auto"/>
            <w:jc w:val="both"/>
            <w:rPr>
              <w:rFonts w:ascii="Times New Roman" w:hAnsi="Times New Roman"/>
              <w:sz w:val="24"/>
              <w:szCs w:val="24"/>
              <w:lang w:eastAsia="es-CO"/>
            </w:rPr>
          </w:pPr>
        </w:p>
        <w:p w14:paraId="5AE5C7A4" w14:textId="77777777" w:rsidR="00410AC4" w:rsidRPr="007101A4" w:rsidRDefault="00410AC4" w:rsidP="00410AC4">
          <w:pPr>
            <w:autoSpaceDE w:val="0"/>
            <w:autoSpaceDN w:val="0"/>
            <w:adjustRightInd w:val="0"/>
            <w:spacing w:after="0" w:line="240" w:lineRule="auto"/>
            <w:jc w:val="both"/>
            <w:rPr>
              <w:rFonts w:ascii="Times New Roman" w:eastAsia="Times New Roman" w:hAnsi="Times New Roman"/>
              <w:sz w:val="24"/>
              <w:szCs w:val="24"/>
            </w:rPr>
          </w:pPr>
          <w:r w:rsidRPr="00410AC4">
            <w:rPr>
              <w:rFonts w:ascii="Times New Roman" w:hAnsi="Times New Roman"/>
              <w:sz w:val="24"/>
              <w:szCs w:val="24"/>
              <w:lang w:eastAsia="es-CO"/>
            </w:rPr>
            <w:t>Finalmente, es pertinente informar que la deuda que presenta el Proyecto IP VIA AL PUERTO, se ha informado mediante formato 006 radicados semestralmente durante el año 2023. Adicionalmente, se ha reportado la información en el Anteproyecto presentado en el año 2023 para la vigencia 2024, radicado ANI No. 20233100033313 del 1 de marzo de 2023</w:t>
          </w:r>
          <w:r w:rsidRPr="00410AC4">
            <w:rPr>
              <w:rFonts w:ascii="Times New Roman" w:hAnsi="Times New Roman"/>
              <w:i/>
              <w:iCs/>
              <w:sz w:val="24"/>
              <w:szCs w:val="24"/>
              <w:lang w:eastAsia="es-CO"/>
            </w:rPr>
            <w:t>.</w:t>
          </w:r>
        </w:p>
        <w:p w14:paraId="67592296" w14:textId="77777777" w:rsidR="00410AC4" w:rsidRDefault="00410AC4" w:rsidP="55299B54">
          <w:pPr>
            <w:jc w:val="both"/>
            <w:rPr>
              <w:rFonts w:ascii="Times New Roman" w:hAnsi="Times New Roman"/>
              <w:sz w:val="24"/>
              <w:szCs w:val="24"/>
            </w:rPr>
          </w:pPr>
        </w:p>
        <w:p w14:paraId="26CB7555" w14:textId="1F23E348" w:rsidR="70C19F51" w:rsidRDefault="70C19F51" w:rsidP="55299B54">
          <w:pPr>
            <w:jc w:val="both"/>
            <w:rPr>
              <w:rFonts w:ascii="Times New Roman" w:hAnsi="Times New Roman"/>
            </w:rPr>
          </w:pPr>
          <w:r w:rsidRPr="55299B54">
            <w:rPr>
              <w:rFonts w:ascii="Times New Roman" w:hAnsi="Times New Roman"/>
              <w:sz w:val="24"/>
              <w:szCs w:val="24"/>
            </w:rPr>
            <w:t xml:space="preserve">Por lo anterior, con la información disponible con corte al 31 de diciembre de 2023, se establecieron la deuda por concepto de intereses de $10.311.406.693, que adicionados al capital representan $71.984.527.892. </w:t>
          </w:r>
        </w:p>
        <w:p w14:paraId="31255504" w14:textId="79D272F4" w:rsidR="4A14CA75" w:rsidRDefault="4A14CA75" w:rsidP="4A14CA75">
          <w:pPr>
            <w:spacing w:after="0" w:line="240" w:lineRule="auto"/>
            <w:jc w:val="both"/>
            <w:rPr>
              <w:rFonts w:ascii="Times New Roman" w:eastAsiaTheme="minorEastAsia" w:hAnsi="Times New Roman"/>
              <w:sz w:val="24"/>
              <w:szCs w:val="24"/>
            </w:rPr>
          </w:pPr>
        </w:p>
        <w:p w14:paraId="511E3035" w14:textId="79D272F4" w:rsidR="002A1FDA" w:rsidRDefault="648E840B" w:rsidP="4A14CA75">
          <w:pPr>
            <w:autoSpaceDE w:val="0"/>
            <w:autoSpaceDN w:val="0"/>
            <w:adjustRightInd w:val="0"/>
            <w:spacing w:after="0" w:line="240" w:lineRule="auto"/>
            <w:jc w:val="both"/>
            <w:rPr>
              <w:rFonts w:ascii="Times New Roman" w:hAnsi="Times New Roman"/>
            </w:rPr>
          </w:pPr>
          <w:r w:rsidRPr="4A14CA75">
            <w:rPr>
              <w:rFonts w:ascii="Times New Roman" w:hAnsi="Times New Roman"/>
              <w:sz w:val="24"/>
              <w:szCs w:val="24"/>
            </w:rPr>
            <w:t xml:space="preserve">- </w:t>
          </w:r>
          <w:r w:rsidR="005E1D3D" w:rsidRPr="00CE12B9">
            <w:rPr>
              <w:rFonts w:ascii="Times New Roman" w:hAnsi="Times New Roman"/>
              <w:sz w:val="24"/>
              <w:szCs w:val="24"/>
            </w:rPr>
            <w:t>Un valor de $</w:t>
          </w:r>
          <w:r w:rsidR="00776CA9" w:rsidRPr="00CE12B9">
            <w:rPr>
              <w:rFonts w:ascii="Times New Roman" w:hAnsi="Times New Roman"/>
              <w:sz w:val="24"/>
              <w:szCs w:val="24"/>
            </w:rPr>
            <w:t>71.918.669.73</w:t>
          </w:r>
          <w:r w:rsidR="00776CA9" w:rsidRPr="00C65978">
            <w:rPr>
              <w:rFonts w:ascii="Times New Roman" w:hAnsi="Times New Roman"/>
              <w:sz w:val="24"/>
              <w:szCs w:val="24"/>
            </w:rPr>
            <w:t>0</w:t>
          </w:r>
          <w:r w:rsidR="002A1FDA">
            <w:rPr>
              <w:rFonts w:ascii="Times New Roman" w:hAnsi="Times New Roman"/>
              <w:sz w:val="24"/>
              <w:szCs w:val="24"/>
            </w:rPr>
            <w:t xml:space="preserve"> (capital e intereses)</w:t>
          </w:r>
          <w:r w:rsidR="005E1D3D" w:rsidRPr="00CE12B9">
            <w:rPr>
              <w:rFonts w:ascii="Times New Roman" w:hAnsi="Times New Roman"/>
              <w:sz w:val="24"/>
              <w:szCs w:val="24"/>
            </w:rPr>
            <w:t xml:space="preserve">, </w:t>
          </w:r>
          <w:r w:rsidR="00CE12B9" w:rsidRPr="00CE12B9">
            <w:rPr>
              <w:rFonts w:ascii="Times New Roman" w:hAnsi="Times New Roman"/>
              <w:sz w:val="24"/>
              <w:szCs w:val="24"/>
            </w:rPr>
            <w:t xml:space="preserve">por la deuda reconocida a nombre de la </w:t>
          </w:r>
          <w:r w:rsidR="002A1FDA">
            <w:rPr>
              <w:rFonts w:ascii="Times New Roman" w:hAnsi="Times New Roman"/>
              <w:sz w:val="24"/>
              <w:szCs w:val="24"/>
            </w:rPr>
            <w:t>C</w:t>
          </w:r>
          <w:r w:rsidR="002A1FDA" w:rsidRPr="00E65FAA">
            <w:rPr>
              <w:rFonts w:ascii="Times New Roman" w:hAnsi="Times New Roman"/>
              <w:sz w:val="24"/>
              <w:szCs w:val="24"/>
            </w:rPr>
            <w:t xml:space="preserve">oncesionaria </w:t>
          </w:r>
          <w:r w:rsidR="002A1FDA">
            <w:rPr>
              <w:rFonts w:ascii="Times New Roman" w:hAnsi="Times New Roman"/>
              <w:sz w:val="24"/>
              <w:szCs w:val="24"/>
            </w:rPr>
            <w:t>V</w:t>
          </w:r>
          <w:r w:rsidR="002A1FDA" w:rsidRPr="00E65FAA">
            <w:rPr>
              <w:rFonts w:ascii="Times New Roman" w:hAnsi="Times New Roman"/>
              <w:sz w:val="24"/>
              <w:szCs w:val="24"/>
            </w:rPr>
            <w:t xml:space="preserve">ial de los </w:t>
          </w:r>
          <w:r w:rsidR="002A1FDA">
            <w:rPr>
              <w:rFonts w:ascii="Times New Roman" w:hAnsi="Times New Roman"/>
              <w:sz w:val="24"/>
              <w:szCs w:val="24"/>
            </w:rPr>
            <w:t>A</w:t>
          </w:r>
          <w:r w:rsidR="002A1FDA" w:rsidRPr="00E65FAA">
            <w:rPr>
              <w:rFonts w:ascii="Times New Roman" w:hAnsi="Times New Roman"/>
              <w:sz w:val="24"/>
              <w:szCs w:val="24"/>
            </w:rPr>
            <w:t>ndes S.A.S. COVIANDES S.A.S.</w:t>
          </w:r>
          <w:r w:rsidR="00CE12B9" w:rsidRPr="00CE12B9">
            <w:rPr>
              <w:rFonts w:ascii="Times New Roman" w:hAnsi="Times New Roman"/>
              <w:sz w:val="24"/>
              <w:szCs w:val="24"/>
            </w:rPr>
            <w:t xml:space="preserve">, del proyecto de </w:t>
          </w:r>
          <w:r w:rsidR="002A1FDA">
            <w:rPr>
              <w:rFonts w:ascii="Times New Roman" w:hAnsi="Times New Roman"/>
              <w:sz w:val="24"/>
              <w:szCs w:val="24"/>
            </w:rPr>
            <w:t>c</w:t>
          </w:r>
          <w:r w:rsidR="00CE12B9" w:rsidRPr="00CE12B9">
            <w:rPr>
              <w:rFonts w:ascii="Times New Roman" w:hAnsi="Times New Roman"/>
              <w:sz w:val="24"/>
              <w:szCs w:val="24"/>
            </w:rPr>
            <w:t xml:space="preserve">oncesión </w:t>
          </w:r>
          <w:r w:rsidR="002A1FDA">
            <w:rPr>
              <w:rFonts w:ascii="Times New Roman" w:hAnsi="Times New Roman"/>
              <w:sz w:val="24"/>
              <w:szCs w:val="24"/>
            </w:rPr>
            <w:t>Bogotá Villavicencio</w:t>
          </w:r>
          <w:r w:rsidR="009F7A4C">
            <w:rPr>
              <w:rFonts w:ascii="Times New Roman" w:hAnsi="Times New Roman"/>
              <w:sz w:val="24"/>
              <w:szCs w:val="24"/>
            </w:rPr>
            <w:t xml:space="preserve">, que corresponde a: </w:t>
          </w:r>
        </w:p>
        <w:p w14:paraId="51E3D964" w14:textId="77777777" w:rsidR="002A1FDA" w:rsidRDefault="002A1FDA" w:rsidP="002A1FDA">
          <w:pPr>
            <w:pStyle w:val="Prrafodelista"/>
            <w:autoSpaceDE w:val="0"/>
            <w:autoSpaceDN w:val="0"/>
            <w:adjustRightInd w:val="0"/>
            <w:spacing w:after="0" w:line="240" w:lineRule="auto"/>
            <w:ind w:left="142"/>
            <w:jc w:val="both"/>
            <w:rPr>
              <w:rFonts w:ascii="Times New Roman" w:hAnsi="Times New Roman"/>
              <w:sz w:val="24"/>
              <w:szCs w:val="24"/>
            </w:rPr>
          </w:pPr>
        </w:p>
        <w:p w14:paraId="7858968A" w14:textId="420A0B6D" w:rsidR="00CE12B9" w:rsidRPr="00CE12B9" w:rsidRDefault="00710AE6" w:rsidP="00E60BAB">
          <w:pPr>
            <w:pStyle w:val="Prrafodelista"/>
            <w:numPr>
              <w:ilvl w:val="0"/>
              <w:numId w:val="55"/>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El capital </w:t>
          </w:r>
          <w:r w:rsidR="00246E0C">
            <w:rPr>
              <w:rFonts w:ascii="Times New Roman" w:hAnsi="Times New Roman"/>
              <w:sz w:val="24"/>
              <w:szCs w:val="24"/>
            </w:rPr>
            <w:t xml:space="preserve">por valor de </w:t>
          </w:r>
          <w:r w:rsidR="00610809">
            <w:rPr>
              <w:rFonts w:ascii="Times New Roman" w:hAnsi="Times New Roman"/>
              <w:sz w:val="24"/>
              <w:szCs w:val="24"/>
            </w:rPr>
            <w:t xml:space="preserve">$58.811.004.302 </w:t>
          </w:r>
          <w:r>
            <w:rPr>
              <w:rFonts w:ascii="Times New Roman" w:hAnsi="Times New Roman"/>
              <w:sz w:val="24"/>
              <w:szCs w:val="24"/>
            </w:rPr>
            <w:t>y los intereses por valor de $</w:t>
          </w:r>
          <w:r w:rsidR="00370358">
            <w:rPr>
              <w:rFonts w:ascii="Times New Roman" w:hAnsi="Times New Roman"/>
              <w:sz w:val="24"/>
              <w:szCs w:val="24"/>
            </w:rPr>
            <w:t>6.606.324.451</w:t>
          </w:r>
          <w:r>
            <w:rPr>
              <w:rFonts w:ascii="Times New Roman" w:hAnsi="Times New Roman"/>
              <w:sz w:val="24"/>
              <w:szCs w:val="24"/>
            </w:rPr>
            <w:t xml:space="preserve">, del </w:t>
          </w:r>
          <w:r w:rsidR="00CE12B9" w:rsidRPr="00CE12B9">
            <w:rPr>
              <w:rFonts w:ascii="Times New Roman" w:hAnsi="Times New Roman"/>
              <w:sz w:val="24"/>
              <w:szCs w:val="24"/>
            </w:rPr>
            <w:t xml:space="preserve">Laudo Arbitral No. </w:t>
          </w:r>
          <w:r w:rsidR="00C667A8" w:rsidRPr="00C667A8">
            <w:rPr>
              <w:rFonts w:ascii="Times New Roman" w:hAnsi="Times New Roman"/>
              <w:sz w:val="24"/>
              <w:szCs w:val="24"/>
            </w:rPr>
            <w:t>128411</w:t>
          </w:r>
          <w:r w:rsidR="00CE12B9" w:rsidRPr="00CE12B9">
            <w:rPr>
              <w:rFonts w:ascii="Times New Roman" w:hAnsi="Times New Roman"/>
              <w:sz w:val="24"/>
              <w:szCs w:val="24"/>
            </w:rPr>
            <w:t xml:space="preserve"> del 2</w:t>
          </w:r>
          <w:r w:rsidR="004D6164">
            <w:rPr>
              <w:rFonts w:ascii="Times New Roman" w:hAnsi="Times New Roman"/>
              <w:sz w:val="24"/>
              <w:szCs w:val="24"/>
            </w:rPr>
            <w:t>0</w:t>
          </w:r>
          <w:r w:rsidR="00CE12B9" w:rsidRPr="00CE12B9">
            <w:rPr>
              <w:rFonts w:ascii="Times New Roman" w:hAnsi="Times New Roman"/>
              <w:sz w:val="24"/>
              <w:szCs w:val="24"/>
            </w:rPr>
            <w:t xml:space="preserve"> de </w:t>
          </w:r>
          <w:r w:rsidR="004D6164">
            <w:rPr>
              <w:rFonts w:ascii="Times New Roman" w:hAnsi="Times New Roman"/>
              <w:sz w:val="24"/>
              <w:szCs w:val="24"/>
            </w:rPr>
            <w:t>dic</w:t>
          </w:r>
          <w:r w:rsidR="00CE12B9" w:rsidRPr="00CE12B9">
            <w:rPr>
              <w:rFonts w:ascii="Times New Roman" w:hAnsi="Times New Roman"/>
              <w:sz w:val="24"/>
              <w:szCs w:val="24"/>
            </w:rPr>
            <w:t>iembre de 202</w:t>
          </w:r>
          <w:r w:rsidR="004D6164">
            <w:rPr>
              <w:rFonts w:ascii="Times New Roman" w:hAnsi="Times New Roman"/>
              <w:sz w:val="24"/>
              <w:szCs w:val="24"/>
            </w:rPr>
            <w:t>2</w:t>
          </w:r>
          <w:r w:rsidR="002D1B52">
            <w:rPr>
              <w:rFonts w:ascii="Times New Roman" w:hAnsi="Times New Roman"/>
              <w:sz w:val="24"/>
              <w:szCs w:val="24"/>
            </w:rPr>
            <w:t>.</w:t>
          </w:r>
        </w:p>
        <w:p w14:paraId="7E1FB219" w14:textId="0ABB3BB6" w:rsidR="00EE1314" w:rsidRDefault="002D1B52" w:rsidP="00E60BAB">
          <w:pPr>
            <w:pStyle w:val="Prrafodelista"/>
            <w:numPr>
              <w:ilvl w:val="0"/>
              <w:numId w:val="55"/>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lang w:eastAsia="es-CO"/>
            </w:rPr>
            <w:lastRenderedPageBreak/>
            <w:t xml:space="preserve">Los intereses por valor de </w:t>
          </w:r>
          <w:r w:rsidR="00550EF3">
            <w:rPr>
              <w:rFonts w:ascii="Times New Roman" w:hAnsi="Times New Roman"/>
              <w:sz w:val="24"/>
              <w:szCs w:val="24"/>
              <w:lang w:eastAsia="es-CO"/>
            </w:rPr>
            <w:t>$5.246.863.902</w:t>
          </w:r>
          <w:r w:rsidR="00F97225">
            <w:rPr>
              <w:rFonts w:ascii="Times New Roman" w:hAnsi="Times New Roman"/>
              <w:sz w:val="24"/>
              <w:szCs w:val="24"/>
              <w:lang w:eastAsia="es-CO"/>
            </w:rPr>
            <w:t>,</w:t>
          </w:r>
          <w:r>
            <w:rPr>
              <w:rFonts w:ascii="Times New Roman" w:hAnsi="Times New Roman"/>
              <w:sz w:val="24"/>
              <w:szCs w:val="24"/>
              <w:lang w:eastAsia="es-CO"/>
            </w:rPr>
            <w:t xml:space="preserve"> por concepto de </w:t>
          </w:r>
          <w:r w:rsidR="00283C42">
            <w:rPr>
              <w:rFonts w:ascii="Times New Roman" w:hAnsi="Times New Roman"/>
              <w:sz w:val="24"/>
              <w:szCs w:val="24"/>
              <w:lang w:eastAsia="es-CO"/>
            </w:rPr>
            <w:t>Diseños Etapa 4 (Sector 1A)</w:t>
          </w:r>
          <w:r w:rsidR="003E2020">
            <w:rPr>
              <w:rFonts w:ascii="Times New Roman" w:hAnsi="Times New Roman"/>
              <w:sz w:val="24"/>
              <w:szCs w:val="24"/>
              <w:lang w:eastAsia="es-CO"/>
            </w:rPr>
            <w:t>, teniendo en cuenta la decisión del Amigable componedo</w:t>
          </w:r>
          <w:r w:rsidR="00B0600C">
            <w:rPr>
              <w:rFonts w:ascii="Times New Roman" w:hAnsi="Times New Roman"/>
              <w:sz w:val="24"/>
              <w:szCs w:val="24"/>
              <w:lang w:eastAsia="es-CO"/>
            </w:rPr>
            <w:t>r del 23 de enero de 2015.</w:t>
          </w:r>
          <w:r w:rsidR="00B0440B">
            <w:rPr>
              <w:rFonts w:ascii="Times New Roman" w:hAnsi="Times New Roman"/>
              <w:sz w:val="24"/>
              <w:szCs w:val="24"/>
              <w:lang w:eastAsia="es-CO"/>
            </w:rPr>
            <w:t xml:space="preserve"> (El valor del capital de esta deuda se revela en la </w:t>
          </w:r>
          <w:r w:rsidR="00B0440B">
            <w:rPr>
              <w:rFonts w:ascii="Times New Roman" w:eastAsiaTheme="minorHAnsi" w:hAnsi="Times New Roman"/>
              <w:sz w:val="24"/>
              <w:szCs w:val="24"/>
              <w14:ligatures w14:val="standardContextual"/>
            </w:rPr>
            <w:t>NOTA 21. CUENTAS POR PAGAR – 21.1.1. Adquisición de bienes y servicios nacionales- Proyectos de inversión)</w:t>
          </w:r>
        </w:p>
        <w:p w14:paraId="7DF6963C" w14:textId="77777777" w:rsidR="00B0440B" w:rsidRPr="00B90884" w:rsidRDefault="00B0440B" w:rsidP="00E60BAB">
          <w:pPr>
            <w:pStyle w:val="Prrafodelista"/>
            <w:numPr>
              <w:ilvl w:val="0"/>
              <w:numId w:val="55"/>
            </w:numPr>
            <w:autoSpaceDE w:val="0"/>
            <w:autoSpaceDN w:val="0"/>
            <w:adjustRightInd w:val="0"/>
            <w:spacing w:after="0" w:line="240" w:lineRule="auto"/>
            <w:jc w:val="both"/>
            <w:rPr>
              <w:rFonts w:ascii="Times New Roman" w:hAnsi="Times New Roman"/>
              <w:sz w:val="24"/>
              <w:szCs w:val="24"/>
            </w:rPr>
          </w:pPr>
          <w:r w:rsidRPr="00B90884">
            <w:rPr>
              <w:rFonts w:ascii="Times New Roman" w:hAnsi="Times New Roman"/>
              <w:sz w:val="24"/>
              <w:szCs w:val="24"/>
              <w:lang w:eastAsia="es-CO"/>
            </w:rPr>
            <w:t>Los intereses por valor de $1.254.477.076, por concepto de Diseños Etapa 6A (Puente la Quiña)</w:t>
          </w:r>
          <w:r w:rsidRPr="00B90884">
            <w:rPr>
              <w:rFonts w:ascii="Times New Roman" w:hAnsi="Times New Roman"/>
              <w:sz w:val="24"/>
              <w:szCs w:val="24"/>
            </w:rPr>
            <w:t xml:space="preserve">, </w:t>
          </w:r>
          <w:r w:rsidRPr="00B90884">
            <w:rPr>
              <w:rFonts w:ascii="Times New Roman" w:hAnsi="Times New Roman"/>
              <w:sz w:val="24"/>
              <w:szCs w:val="24"/>
              <w:lang w:eastAsia="es-CO"/>
            </w:rPr>
            <w:t>teniendo en cuenta la decisión del Amigable componedor del 23 de enero de 2015.</w:t>
          </w:r>
          <w:r>
            <w:rPr>
              <w:rFonts w:ascii="Times New Roman" w:hAnsi="Times New Roman"/>
              <w:sz w:val="24"/>
              <w:szCs w:val="24"/>
              <w:lang w:eastAsia="es-CO"/>
            </w:rPr>
            <w:t xml:space="preserve"> (El valor del capital de esta deuda se revela en la </w:t>
          </w:r>
          <w:r>
            <w:rPr>
              <w:rFonts w:ascii="Times New Roman" w:eastAsiaTheme="minorHAnsi" w:hAnsi="Times New Roman"/>
              <w:sz w:val="24"/>
              <w:szCs w:val="24"/>
              <w14:ligatures w14:val="standardContextual"/>
            </w:rPr>
            <w:t>NOTA 21. CUENTAS POR PAGAR – 21.1.1. Adquisición de bienes y servicios nacionales- Proyectos de inversión)</w:t>
          </w:r>
        </w:p>
        <w:p w14:paraId="77EE880F" w14:textId="77777777" w:rsidR="00B0440B" w:rsidRPr="00B90884" w:rsidRDefault="00B0440B" w:rsidP="00B0440B">
          <w:pPr>
            <w:pStyle w:val="Prrafodelista"/>
            <w:autoSpaceDE w:val="0"/>
            <w:autoSpaceDN w:val="0"/>
            <w:adjustRightInd w:val="0"/>
            <w:spacing w:after="0" w:line="240" w:lineRule="auto"/>
            <w:jc w:val="both"/>
            <w:rPr>
              <w:rFonts w:ascii="Times New Roman" w:hAnsi="Times New Roman"/>
              <w:sz w:val="24"/>
              <w:szCs w:val="24"/>
            </w:rPr>
          </w:pPr>
        </w:p>
        <w:p w14:paraId="14E6A8DA" w14:textId="77777777" w:rsidR="00B0440B" w:rsidRPr="00E932E0" w:rsidRDefault="00B0440B" w:rsidP="00B0440B">
          <w:pPr>
            <w:autoSpaceDE w:val="0"/>
            <w:autoSpaceDN w:val="0"/>
            <w:adjustRightInd w:val="0"/>
            <w:spacing w:after="0" w:line="240" w:lineRule="auto"/>
            <w:jc w:val="both"/>
            <w:rPr>
              <w:rFonts w:ascii="Times New Roman" w:hAnsi="Times New Roman"/>
              <w:sz w:val="24"/>
              <w:szCs w:val="24"/>
              <w:highlight w:val="cyan"/>
            </w:rPr>
          </w:pPr>
          <w:r>
            <w:rPr>
              <w:rFonts w:ascii="Times New Roman" w:eastAsiaTheme="minorHAnsi" w:hAnsi="Times New Roman"/>
              <w:sz w:val="24"/>
              <w:szCs w:val="24"/>
              <w14:ligatures w14:val="standardContextual"/>
            </w:rPr>
            <w:t xml:space="preserve">Con relación al </w:t>
          </w:r>
          <w:r w:rsidRPr="00E932E0">
            <w:rPr>
              <w:rFonts w:ascii="Times New Roman" w:eastAsiaTheme="minorHAnsi" w:hAnsi="Times New Roman"/>
              <w:sz w:val="24"/>
              <w:szCs w:val="24"/>
              <w14:ligatures w14:val="standardContextual"/>
            </w:rPr>
            <w:t>Laudo Arbitral del 20 de diciembre de 2022 se CONDENÓ a la ANI, a</w:t>
          </w:r>
          <w:r>
            <w:rPr>
              <w:rFonts w:ascii="Times New Roman" w:eastAsiaTheme="minorHAnsi" w:hAnsi="Times New Roman"/>
              <w:sz w:val="24"/>
              <w:szCs w:val="24"/>
              <w14:ligatures w14:val="standardContextual"/>
            </w:rPr>
            <w:t xml:space="preserve"> </w:t>
          </w:r>
          <w:r w:rsidRPr="00E932E0">
            <w:rPr>
              <w:rFonts w:ascii="Times New Roman" w:eastAsiaTheme="minorHAnsi" w:hAnsi="Times New Roman"/>
              <w:sz w:val="24"/>
              <w:szCs w:val="24"/>
              <w14:ligatures w14:val="standardContextual"/>
            </w:rPr>
            <w:t>reconocer y pagar a favor de COVIANDES S.A.S., de conformidad con lo acordado por las</w:t>
          </w:r>
          <w:r>
            <w:rPr>
              <w:rFonts w:ascii="Times New Roman" w:eastAsiaTheme="minorHAnsi" w:hAnsi="Times New Roman"/>
              <w:sz w:val="24"/>
              <w:szCs w:val="24"/>
              <w14:ligatures w14:val="standardContextual"/>
            </w:rPr>
            <w:t xml:space="preserve"> </w:t>
          </w:r>
          <w:r w:rsidRPr="00E932E0">
            <w:rPr>
              <w:rFonts w:ascii="Times New Roman" w:eastAsiaTheme="minorHAnsi" w:hAnsi="Times New Roman"/>
              <w:sz w:val="24"/>
              <w:szCs w:val="24"/>
              <w14:ligatures w14:val="standardContextual"/>
            </w:rPr>
            <w:t>partes en la cláusula Décima Primera del Adicional No. 1 de 2010, las siguientes sumas de</w:t>
          </w:r>
          <w:r>
            <w:rPr>
              <w:rFonts w:ascii="Times New Roman" w:eastAsiaTheme="minorHAnsi" w:hAnsi="Times New Roman"/>
              <w:sz w:val="24"/>
              <w:szCs w:val="24"/>
              <w14:ligatures w14:val="standardContextual"/>
            </w:rPr>
            <w:t xml:space="preserve"> </w:t>
          </w:r>
          <w:r w:rsidRPr="00E932E0">
            <w:rPr>
              <w:rFonts w:ascii="Times New Roman" w:eastAsiaTheme="minorHAnsi" w:hAnsi="Times New Roman"/>
              <w:sz w:val="24"/>
              <w:szCs w:val="24"/>
              <w14:ligatures w14:val="standardContextual"/>
            </w:rPr>
            <w:t>dinero por el mayor valor de obra correspondiente a excavaciones y pre-soporte en la</w:t>
          </w:r>
          <w:r>
            <w:rPr>
              <w:rFonts w:ascii="Times New Roman" w:eastAsiaTheme="minorHAnsi" w:hAnsi="Times New Roman"/>
              <w:sz w:val="24"/>
              <w:szCs w:val="24"/>
              <w14:ligatures w14:val="standardContextual"/>
            </w:rPr>
            <w:t xml:space="preserve"> </w:t>
          </w:r>
          <w:r w:rsidRPr="00E932E0">
            <w:rPr>
              <w:rFonts w:ascii="Times New Roman" w:eastAsiaTheme="minorHAnsi" w:hAnsi="Times New Roman"/>
              <w:sz w:val="24"/>
              <w:szCs w:val="24"/>
              <w14:ligatures w14:val="standardContextual"/>
            </w:rPr>
            <w:t>construcción de los túneles, dejados de reconocer y pagar durante la ejecución contractual,</w:t>
          </w:r>
          <w:r>
            <w:rPr>
              <w:rFonts w:ascii="Times New Roman" w:eastAsiaTheme="minorHAnsi" w:hAnsi="Times New Roman"/>
              <w:sz w:val="24"/>
              <w:szCs w:val="24"/>
              <w14:ligatures w14:val="standardContextual"/>
            </w:rPr>
            <w:t xml:space="preserve"> </w:t>
          </w:r>
          <w:r w:rsidRPr="00E932E0">
            <w:rPr>
              <w:rFonts w:ascii="Times New Roman" w:eastAsiaTheme="minorHAnsi" w:hAnsi="Times New Roman"/>
              <w:sz w:val="24"/>
              <w:szCs w:val="24"/>
              <w14:ligatures w14:val="standardContextual"/>
            </w:rPr>
            <w:t>así: "Enfilajes" la suma de:</w:t>
          </w:r>
        </w:p>
        <w:p w14:paraId="6FE88158" w14:textId="77777777" w:rsidR="00B0440B" w:rsidRPr="00E932E0" w:rsidRDefault="00B0440B" w:rsidP="00B0440B">
          <w:pPr>
            <w:pStyle w:val="Prrafodelista"/>
            <w:autoSpaceDE w:val="0"/>
            <w:autoSpaceDN w:val="0"/>
            <w:adjustRightInd w:val="0"/>
            <w:spacing w:after="0" w:line="240" w:lineRule="auto"/>
            <w:ind w:left="284"/>
            <w:jc w:val="both"/>
            <w:rPr>
              <w:rFonts w:ascii="Times New Roman" w:hAnsi="Times New Roman"/>
              <w:sz w:val="24"/>
              <w:szCs w:val="24"/>
              <w:highlight w:val="cyan"/>
            </w:rPr>
          </w:pPr>
        </w:p>
        <w:p w14:paraId="45B6F81E" w14:textId="77777777" w:rsidR="00B0440B" w:rsidRPr="00E932E0" w:rsidRDefault="00B0440B" w:rsidP="00B0440B">
          <w:pPr>
            <w:pStyle w:val="Prrafodelista"/>
            <w:autoSpaceDE w:val="0"/>
            <w:autoSpaceDN w:val="0"/>
            <w:adjustRightInd w:val="0"/>
            <w:spacing w:after="0" w:line="240" w:lineRule="auto"/>
            <w:ind w:left="284"/>
            <w:jc w:val="both"/>
            <w:rPr>
              <w:rFonts w:ascii="Times New Roman" w:hAnsi="Times New Roman"/>
              <w:sz w:val="24"/>
              <w:szCs w:val="24"/>
              <w:highlight w:val="cyan"/>
            </w:rPr>
          </w:pPr>
        </w:p>
        <w:p w14:paraId="17596726" w14:textId="77777777" w:rsidR="00B0440B" w:rsidRPr="00E964A0" w:rsidRDefault="00B0440B" w:rsidP="00E60BAB">
          <w:pPr>
            <w:pStyle w:val="Prrafodelista"/>
            <w:numPr>
              <w:ilvl w:val="0"/>
              <w:numId w:val="170"/>
            </w:numPr>
            <w:autoSpaceDE w:val="0"/>
            <w:autoSpaceDN w:val="0"/>
            <w:adjustRightInd w:val="0"/>
            <w:spacing w:after="0" w:line="240" w:lineRule="auto"/>
            <w:jc w:val="both"/>
            <w:rPr>
              <w:rFonts w:ascii="Times New Roman" w:eastAsiaTheme="minorHAnsi" w:hAnsi="Times New Roman"/>
              <w:sz w:val="24"/>
              <w:szCs w:val="24"/>
              <w14:ligatures w14:val="standardContextual"/>
            </w:rPr>
          </w:pPr>
          <w:r w:rsidRPr="00E964A0">
            <w:rPr>
              <w:rFonts w:ascii="Times New Roman" w:eastAsiaTheme="minorHAnsi" w:hAnsi="Times New Roman"/>
              <w:sz w:val="24"/>
              <w:szCs w:val="24"/>
              <w14:ligatures w14:val="standardContextual"/>
            </w:rPr>
            <w:t>DOSCIENTOS OCHO MILLONES OCHOCIENTOS OCHENTA Y CINCO MIL CUATROCIENTOS CUARENTA PESOS ($208.885.440) de 2008, que a la fecha de este Laudo debidamente actualizados equivalen a TRESCIENTOS SETENTA Y DOS MILLONES CUATROCIENTOS SESENTA Y DOS MIL CUATROCIENTOS NOVENTA Y UN PESOS ($372.462.491);</w:t>
          </w:r>
        </w:p>
        <w:p w14:paraId="5BD6E4E2" w14:textId="77777777" w:rsidR="00B0440B" w:rsidRPr="00E932E0" w:rsidRDefault="00B0440B" w:rsidP="298E9614">
          <w:pPr>
            <w:autoSpaceDE w:val="0"/>
            <w:autoSpaceDN w:val="0"/>
            <w:adjustRightInd w:val="0"/>
            <w:spacing w:after="0" w:line="240" w:lineRule="auto"/>
            <w:jc w:val="both"/>
            <w:rPr>
              <w:rFonts w:ascii="Times New Roman" w:eastAsiaTheme="minorHAnsi" w:hAnsi="Times New Roman"/>
              <w:sz w:val="24"/>
              <w:szCs w:val="24"/>
              <w14:ligatures w14:val="standardContextual"/>
            </w:rPr>
          </w:pPr>
        </w:p>
        <w:p w14:paraId="5E17A843" w14:textId="77777777" w:rsidR="00B0440B" w:rsidRPr="00E964A0" w:rsidRDefault="00B0440B" w:rsidP="00E60BAB">
          <w:pPr>
            <w:pStyle w:val="Prrafodelista"/>
            <w:numPr>
              <w:ilvl w:val="0"/>
              <w:numId w:val="170"/>
            </w:numPr>
            <w:autoSpaceDE w:val="0"/>
            <w:autoSpaceDN w:val="0"/>
            <w:adjustRightInd w:val="0"/>
            <w:spacing w:after="0" w:line="240" w:lineRule="auto"/>
            <w:jc w:val="both"/>
            <w:rPr>
              <w:rFonts w:ascii="Times New Roman" w:eastAsiaTheme="minorHAnsi" w:hAnsi="Times New Roman"/>
              <w:sz w:val="24"/>
              <w:szCs w:val="24"/>
              <w14:ligatures w14:val="standardContextual"/>
            </w:rPr>
          </w:pPr>
          <w:r w:rsidRPr="00E964A0">
            <w:rPr>
              <w:rFonts w:ascii="Times New Roman" w:eastAsiaTheme="minorHAnsi" w:hAnsi="Times New Roman"/>
              <w:sz w:val="24"/>
              <w:szCs w:val="24"/>
              <w14:ligatures w14:val="standardContextual"/>
            </w:rPr>
            <w:t>"Bombeo" la suma de: VEINTINUEVE MIL TRESCIENTOS SEIS MILLONES CUATROCIENTOS DIECISIETE MIL TRESCIENTOS CINCUENTA Y TRES PESOS ($29.306.417.353) de 2008, que a la fecha de este Laudo debidamente actualizados equivalen a la suma de CINCUENTA Y DOS MIL DOSCIENTOS CINCUENTA Y SEIS MILLONES CIENTO TRECE MIL DOSCIENTOS TREINTA Y CUATRO PESOS ($52.256.113.234);</w:t>
          </w:r>
        </w:p>
        <w:p w14:paraId="4C9EFD56" w14:textId="77777777" w:rsidR="00B0440B" w:rsidRDefault="00B0440B" w:rsidP="00B0440B">
          <w:pPr>
            <w:autoSpaceDE w:val="0"/>
            <w:autoSpaceDN w:val="0"/>
            <w:adjustRightInd w:val="0"/>
            <w:spacing w:after="0" w:line="240" w:lineRule="auto"/>
            <w:jc w:val="both"/>
            <w:rPr>
              <w:rFonts w:ascii="Times New Roman" w:eastAsia="OpenSymbol" w:hAnsi="Times New Roman"/>
              <w:sz w:val="24"/>
              <w:szCs w:val="24"/>
              <w14:ligatures w14:val="standardContextual"/>
            </w:rPr>
          </w:pPr>
        </w:p>
        <w:p w14:paraId="0A69B4C5" w14:textId="77777777" w:rsidR="00B0440B" w:rsidRPr="00E964A0" w:rsidRDefault="00B0440B" w:rsidP="00E60BAB">
          <w:pPr>
            <w:pStyle w:val="Prrafodelista"/>
            <w:numPr>
              <w:ilvl w:val="0"/>
              <w:numId w:val="170"/>
            </w:numPr>
            <w:autoSpaceDE w:val="0"/>
            <w:autoSpaceDN w:val="0"/>
            <w:adjustRightInd w:val="0"/>
            <w:spacing w:after="0" w:line="240" w:lineRule="auto"/>
            <w:jc w:val="both"/>
            <w:rPr>
              <w:rFonts w:ascii="Times New Roman" w:eastAsiaTheme="minorHAnsi" w:hAnsi="Times New Roman"/>
              <w:sz w:val="24"/>
              <w:szCs w:val="24"/>
              <w14:ligatures w14:val="standardContextual"/>
            </w:rPr>
          </w:pPr>
          <w:r w:rsidRPr="00E964A0">
            <w:rPr>
              <w:rFonts w:ascii="Times New Roman" w:eastAsiaTheme="minorHAnsi" w:hAnsi="Times New Roman"/>
              <w:sz w:val="24"/>
              <w:szCs w:val="24"/>
              <w14:ligatures w14:val="standardContextual"/>
            </w:rPr>
            <w:t>"Extracción de derrumbes" la suma de SETENTA MILLONES OCHOCIENTOS NOVENTA Y SEIS MIL PESOS ($70.896.000) de 2008, que a la fecha de este Laudo debidamente actualizados equivalen a la suma de CIENTO VEINTISÉIS MILLONES CUATROCIENTOS CATORCE MIL DOSCIENTOS SETENTA Y DOS PESOS ($126.414.272);</w:t>
          </w:r>
        </w:p>
        <w:p w14:paraId="1448ABF5" w14:textId="77777777" w:rsidR="00B0440B" w:rsidRPr="00E932E0" w:rsidRDefault="00B0440B" w:rsidP="298E9614">
          <w:pPr>
            <w:autoSpaceDE w:val="0"/>
            <w:autoSpaceDN w:val="0"/>
            <w:adjustRightInd w:val="0"/>
            <w:spacing w:after="0" w:line="240" w:lineRule="auto"/>
            <w:jc w:val="both"/>
            <w:rPr>
              <w:rFonts w:ascii="Times New Roman" w:eastAsiaTheme="minorHAnsi" w:hAnsi="Times New Roman"/>
              <w:sz w:val="24"/>
              <w:szCs w:val="24"/>
              <w14:ligatures w14:val="standardContextual"/>
            </w:rPr>
          </w:pPr>
        </w:p>
        <w:p w14:paraId="42F986EF" w14:textId="012E8485" w:rsidR="00B0440B" w:rsidRPr="00E964A0" w:rsidRDefault="00B0440B" w:rsidP="00E60BAB">
          <w:pPr>
            <w:pStyle w:val="Prrafodelista"/>
            <w:numPr>
              <w:ilvl w:val="0"/>
              <w:numId w:val="170"/>
            </w:numPr>
            <w:autoSpaceDE w:val="0"/>
            <w:autoSpaceDN w:val="0"/>
            <w:adjustRightInd w:val="0"/>
            <w:spacing w:after="0" w:line="240" w:lineRule="auto"/>
            <w:jc w:val="both"/>
            <w:rPr>
              <w:rFonts w:ascii="Times New Roman" w:hAnsi="Times New Roman"/>
              <w:sz w:val="24"/>
              <w:szCs w:val="24"/>
            </w:rPr>
          </w:pPr>
          <w:r w:rsidRPr="00E964A0">
            <w:rPr>
              <w:rFonts w:ascii="Times New Roman" w:eastAsiaTheme="minorHAnsi" w:hAnsi="Times New Roman"/>
              <w:sz w:val="24"/>
              <w:szCs w:val="24"/>
              <w14:ligatures w14:val="standardContextual"/>
            </w:rPr>
            <w:t xml:space="preserve">"Transporte de materiales de derrumbes" la suma de NOVENTA Y OCHO MILLONES SEISCIENTOS NUEVE MIL OCHOCIENTOS OCHENTA Y SEIS PESOS ($98.609.886) de 2008, que la fecha de este Laudo debidamente actualizados </w:t>
          </w:r>
          <w:r w:rsidR="005F1B0E" w:rsidRPr="00E964A0">
            <w:rPr>
              <w:rFonts w:ascii="Times New Roman" w:eastAsiaTheme="minorHAnsi" w:hAnsi="Times New Roman"/>
              <w:sz w:val="24"/>
              <w:szCs w:val="24"/>
              <w14:ligatures w14:val="standardContextual"/>
            </w:rPr>
            <w:t>equivale</w:t>
          </w:r>
          <w:r w:rsidRPr="00E964A0">
            <w:rPr>
              <w:rFonts w:ascii="Times New Roman" w:eastAsiaTheme="minorHAnsi" w:hAnsi="Times New Roman"/>
              <w:sz w:val="24"/>
              <w:szCs w:val="24"/>
              <w14:ligatures w14:val="standardContextual"/>
            </w:rPr>
            <w:t xml:space="preserve"> a la suma de CIENTO SETENTA Y CINCO MILLONES OCHOCIENTOS TREINTA MIL SETECIENTOS CINCUENTA Y UN PESOS ($175.830.751).</w:t>
          </w:r>
        </w:p>
        <w:p w14:paraId="072D6D70" w14:textId="7F4DEF24" w:rsidR="60247136" w:rsidRDefault="60247136" w:rsidP="60247136">
          <w:pPr>
            <w:spacing w:after="0" w:line="240" w:lineRule="auto"/>
            <w:jc w:val="both"/>
            <w:rPr>
              <w:rFonts w:ascii="Times New Roman" w:hAnsi="Times New Roman"/>
            </w:rPr>
          </w:pPr>
        </w:p>
        <w:p w14:paraId="7BB60742" w14:textId="77777777" w:rsidR="00194E1B" w:rsidRPr="00194E1B" w:rsidRDefault="00194E1B" w:rsidP="00194E1B">
          <w:pPr>
            <w:autoSpaceDE w:val="0"/>
            <w:autoSpaceDN w:val="0"/>
            <w:adjustRightInd w:val="0"/>
            <w:spacing w:after="0" w:line="240" w:lineRule="auto"/>
            <w:jc w:val="both"/>
            <w:rPr>
              <w:rFonts w:ascii="Times New Roman" w:hAnsi="Times New Roman"/>
              <w:sz w:val="24"/>
              <w:szCs w:val="24"/>
              <w:lang w:eastAsia="es-CO"/>
            </w:rPr>
          </w:pPr>
          <w:r w:rsidRPr="00194E1B">
            <w:rPr>
              <w:rFonts w:ascii="Times New Roman" w:hAnsi="Times New Roman"/>
              <w:sz w:val="24"/>
              <w:szCs w:val="24"/>
              <w:lang w:eastAsia="es-CO"/>
            </w:rPr>
            <w:t>Para el Riesgo Geológico, el Laudo Arbitral no expresa literalmente que se deben reconocer intereses en el resuelve Primero:</w:t>
          </w:r>
        </w:p>
        <w:p w14:paraId="11417853" w14:textId="77777777" w:rsidR="00194E1B" w:rsidRPr="00194E1B" w:rsidRDefault="00194E1B" w:rsidP="00194E1B">
          <w:pPr>
            <w:autoSpaceDE w:val="0"/>
            <w:autoSpaceDN w:val="0"/>
            <w:adjustRightInd w:val="0"/>
            <w:spacing w:after="0" w:line="240" w:lineRule="auto"/>
            <w:jc w:val="both"/>
            <w:rPr>
              <w:rFonts w:ascii="Times New Roman" w:hAnsi="Times New Roman"/>
              <w:sz w:val="24"/>
              <w:szCs w:val="24"/>
              <w:lang w:eastAsia="es-CO"/>
            </w:rPr>
          </w:pPr>
        </w:p>
        <w:p w14:paraId="17B1B9AF" w14:textId="77777777" w:rsidR="00194E1B" w:rsidRPr="00194E1B" w:rsidRDefault="00194E1B" w:rsidP="00194E1B">
          <w:pPr>
            <w:autoSpaceDE w:val="0"/>
            <w:autoSpaceDN w:val="0"/>
            <w:adjustRightInd w:val="0"/>
            <w:spacing w:after="0" w:line="240" w:lineRule="auto"/>
            <w:ind w:left="567" w:right="1041"/>
            <w:jc w:val="both"/>
            <w:rPr>
              <w:rFonts w:ascii="Times New Roman" w:hAnsi="Times New Roman"/>
              <w:i/>
              <w:iCs/>
              <w:sz w:val="18"/>
              <w:szCs w:val="18"/>
              <w:lang w:eastAsia="es-CO"/>
            </w:rPr>
          </w:pPr>
          <w:r w:rsidRPr="00194E1B">
            <w:rPr>
              <w:rFonts w:ascii="Times New Roman" w:hAnsi="Times New Roman"/>
              <w:b/>
              <w:bCs/>
              <w:i/>
              <w:iCs/>
              <w:sz w:val="18"/>
              <w:szCs w:val="18"/>
              <w:lang w:eastAsia="es-CO"/>
            </w:rPr>
            <w:lastRenderedPageBreak/>
            <w:t xml:space="preserve">Primero: </w:t>
          </w:r>
          <w:r w:rsidRPr="00194E1B">
            <w:rPr>
              <w:rFonts w:ascii="Times New Roman" w:hAnsi="Times New Roman"/>
              <w:i/>
              <w:iCs/>
              <w:sz w:val="18"/>
              <w:szCs w:val="18"/>
              <w:lang w:eastAsia="es-CO"/>
            </w:rPr>
            <w:t>DECLARAR probadas y, por consiguiente, la prosperidad de las excepciones denominadas: 4.4. “IMPROCEDENCIA DEL RECONOCIMIENTO DE INTERESES" y “4.6. LOS DISEÑOS DEFINITIVOS ANTE LOS CUALES DEBE ANALIZARSE EL ACAECIMIENTO DEL RIESGO GEOLÓGICO CORRESPONDEN A LOS DISEÑOS FASE III AVALADOS POR LA INTERVENTORÍA”, interpuestas por la AGENCIA NACIONAL DE INFRAESTRUCTURA -ANI- frente a la demanda arbitral reformada formulada en su contra por CONCESIONARIA VIAL DE LOS ANDES S.A. -COVIANDES S.A.- en los precisos términos y por lo expuesto en la parte motiva.</w:t>
          </w:r>
        </w:p>
        <w:p w14:paraId="182D2486" w14:textId="77777777" w:rsidR="00194E1B" w:rsidRPr="00194E1B" w:rsidRDefault="00194E1B" w:rsidP="00194E1B">
          <w:pPr>
            <w:autoSpaceDE w:val="0"/>
            <w:autoSpaceDN w:val="0"/>
            <w:adjustRightInd w:val="0"/>
            <w:spacing w:after="0" w:line="240" w:lineRule="auto"/>
            <w:jc w:val="both"/>
            <w:rPr>
              <w:rFonts w:ascii="Times New Roman" w:hAnsi="Times New Roman"/>
              <w:color w:val="FF0000"/>
              <w:sz w:val="24"/>
              <w:szCs w:val="24"/>
            </w:rPr>
          </w:pPr>
        </w:p>
        <w:p w14:paraId="16DEFA21" w14:textId="77777777" w:rsidR="00194E1B" w:rsidRPr="00194E1B" w:rsidRDefault="00194E1B" w:rsidP="00194E1B">
          <w:pPr>
            <w:autoSpaceDE w:val="0"/>
            <w:autoSpaceDN w:val="0"/>
            <w:adjustRightInd w:val="0"/>
            <w:spacing w:after="0" w:line="240" w:lineRule="auto"/>
            <w:jc w:val="both"/>
            <w:rPr>
              <w:rFonts w:ascii="Times New Roman" w:hAnsi="Times New Roman"/>
              <w:sz w:val="24"/>
              <w:szCs w:val="24"/>
              <w:lang w:eastAsia="es-CO"/>
            </w:rPr>
          </w:pPr>
          <w:r w:rsidRPr="00194E1B">
            <w:rPr>
              <w:rFonts w:ascii="Times New Roman" w:hAnsi="Times New Roman"/>
              <w:sz w:val="24"/>
              <w:szCs w:val="24"/>
              <w:lang w:eastAsia="es-CO"/>
            </w:rPr>
            <w:t>Sin embargo, el Laudo si realiza la actualización de los valores a noviembre de 2022 así:</w:t>
          </w:r>
        </w:p>
        <w:p w14:paraId="032E887A" w14:textId="77777777" w:rsidR="00194E1B" w:rsidRPr="00194E1B" w:rsidRDefault="00194E1B" w:rsidP="00194E1B">
          <w:pPr>
            <w:autoSpaceDE w:val="0"/>
            <w:autoSpaceDN w:val="0"/>
            <w:adjustRightInd w:val="0"/>
            <w:spacing w:after="0" w:line="240" w:lineRule="auto"/>
            <w:jc w:val="both"/>
            <w:rPr>
              <w:rFonts w:ascii="Times New Roman" w:hAnsi="Times New Roman"/>
              <w:sz w:val="24"/>
              <w:szCs w:val="24"/>
              <w:lang w:eastAsia="es-CO"/>
            </w:rPr>
          </w:pPr>
        </w:p>
        <w:p w14:paraId="2B36648C" w14:textId="77777777" w:rsidR="00194E1B" w:rsidRPr="00194E1B" w:rsidRDefault="00194E1B" w:rsidP="00194E1B">
          <w:pPr>
            <w:autoSpaceDE w:val="0"/>
            <w:autoSpaceDN w:val="0"/>
            <w:adjustRightInd w:val="0"/>
            <w:spacing w:after="0" w:line="240" w:lineRule="auto"/>
            <w:ind w:left="567" w:right="1041"/>
            <w:jc w:val="both"/>
            <w:rPr>
              <w:rFonts w:ascii="Times New Roman" w:hAnsi="Times New Roman"/>
              <w:i/>
              <w:iCs/>
              <w:sz w:val="18"/>
              <w:szCs w:val="18"/>
              <w:lang w:eastAsia="es-CO"/>
            </w:rPr>
          </w:pPr>
          <w:r w:rsidRPr="00194E1B">
            <w:rPr>
              <w:rFonts w:ascii="Times New Roman" w:eastAsia="OpenSymbol" w:hAnsi="Times New Roman"/>
              <w:sz w:val="18"/>
              <w:szCs w:val="18"/>
              <w:lang w:eastAsia="es-CO"/>
            </w:rPr>
            <w:t xml:space="preserve">· </w:t>
          </w:r>
          <w:r w:rsidRPr="00194E1B">
            <w:rPr>
              <w:rFonts w:ascii="Times New Roman" w:hAnsi="Times New Roman"/>
              <w:i/>
              <w:iCs/>
              <w:sz w:val="18"/>
              <w:szCs w:val="18"/>
              <w:lang w:eastAsia="es-CO"/>
            </w:rPr>
            <w:t xml:space="preserve">(2.3) En relación con esta pretensión de condena, el Tribunal condenará a la ANI a pagar a favor de COVIANDES, el mayor valor de obra correspondiente a excavación y presoporte en la construcción de los túneles, dejado de reconocer y pagar durante la ejecución contractual tal como resultó probado en el proceso, actualizados con el IPC desde diciembre de </w:t>
          </w:r>
          <w:r w:rsidRPr="00194E1B">
            <w:rPr>
              <w:rFonts w:ascii="Times New Roman" w:eastAsia="Times New Roman" w:hAnsi="Times New Roman"/>
              <w:i/>
              <w:iCs/>
              <w:sz w:val="18"/>
              <w:szCs w:val="18"/>
              <w:lang w:val="es"/>
            </w:rPr>
            <w:t>2008</w:t>
          </w:r>
          <w:r w:rsidRPr="00194E1B">
            <w:rPr>
              <w:rFonts w:ascii="Times New Roman" w:eastAsia="Times New Roman" w:hAnsi="Times New Roman"/>
              <w:i/>
              <w:iCs/>
              <w:sz w:val="18"/>
              <w:szCs w:val="18"/>
              <w:vertAlign w:val="superscript"/>
              <w:lang w:val="es"/>
            </w:rPr>
            <w:t>269</w:t>
          </w:r>
          <w:r w:rsidRPr="00194E1B">
            <w:rPr>
              <w:rFonts w:ascii="Times New Roman" w:hAnsi="Times New Roman"/>
              <w:i/>
              <w:iCs/>
              <w:sz w:val="18"/>
              <w:szCs w:val="18"/>
              <w:lang w:eastAsia="es-CO"/>
            </w:rPr>
            <w:t>, así:</w:t>
          </w:r>
        </w:p>
        <w:p w14:paraId="42937BAB" w14:textId="77777777" w:rsidR="00194E1B" w:rsidRDefault="00194E1B" w:rsidP="00642940">
          <w:pPr>
            <w:autoSpaceDE w:val="0"/>
            <w:autoSpaceDN w:val="0"/>
            <w:adjustRightInd w:val="0"/>
            <w:spacing w:after="0" w:line="240" w:lineRule="auto"/>
            <w:jc w:val="both"/>
            <w:rPr>
              <w:rFonts w:ascii="Times New Roman" w:eastAsiaTheme="minorEastAsia" w:hAnsi="Times New Roman"/>
              <w:sz w:val="24"/>
              <w:szCs w:val="24"/>
              <w14:ligatures w14:val="standardContextual"/>
            </w:rPr>
          </w:pPr>
        </w:p>
        <w:tbl>
          <w:tblPr>
            <w:tblStyle w:val="Tablaconcuadrcula"/>
            <w:tblW w:w="0" w:type="auto"/>
            <w:jc w:val="center"/>
            <w:tblLayout w:type="fixed"/>
            <w:tblLook w:val="01E0" w:firstRow="1" w:lastRow="1" w:firstColumn="1" w:lastColumn="1" w:noHBand="0" w:noVBand="0"/>
          </w:tblPr>
          <w:tblGrid>
            <w:gridCol w:w="1687"/>
            <w:gridCol w:w="1276"/>
            <w:gridCol w:w="1134"/>
            <w:gridCol w:w="1417"/>
          </w:tblGrid>
          <w:tr w:rsidR="00F425E5" w:rsidRPr="00620AC4" w14:paraId="6114CE9F" w14:textId="77777777" w:rsidTr="0094013D">
            <w:trPr>
              <w:trHeight w:val="210"/>
              <w:jc w:val="center"/>
            </w:trPr>
            <w:tc>
              <w:tcPr>
                <w:tcW w:w="1687"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3990A9" w14:textId="77777777" w:rsidR="00F425E5" w:rsidRPr="00F425E5" w:rsidRDefault="00F425E5" w:rsidP="0094013D">
                <w:pPr>
                  <w:spacing w:before="120"/>
                  <w:ind w:left="55" w:right="6"/>
                  <w:jc w:val="both"/>
                  <w:rPr>
                    <w:rFonts w:ascii="Times New Roman" w:eastAsia="Arial" w:hAnsi="Times New Roman"/>
                    <w:b/>
                    <w:bCs/>
                    <w:i/>
                    <w:iCs/>
                    <w:sz w:val="14"/>
                    <w:szCs w:val="14"/>
                    <w:lang w:val="es"/>
                  </w:rPr>
                </w:pPr>
                <w:r w:rsidRPr="00F425E5">
                  <w:rPr>
                    <w:rFonts w:ascii="Times New Roman" w:eastAsia="Arial" w:hAnsi="Times New Roman"/>
                    <w:b/>
                    <w:bCs/>
                    <w:i/>
                    <w:iCs/>
                    <w:sz w:val="14"/>
                    <w:szCs w:val="14"/>
                    <w:lang w:val="es"/>
                  </w:rPr>
                  <w:t>ITEM</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6F4C14" w14:textId="77777777" w:rsidR="00F425E5" w:rsidRPr="00F425E5" w:rsidRDefault="00F425E5" w:rsidP="0094013D">
                <w:pPr>
                  <w:spacing w:before="11"/>
                  <w:ind w:left="65" w:right="-20"/>
                  <w:jc w:val="both"/>
                  <w:rPr>
                    <w:rFonts w:ascii="Times New Roman" w:eastAsia="Arial" w:hAnsi="Times New Roman"/>
                    <w:b/>
                    <w:bCs/>
                    <w:i/>
                    <w:iCs/>
                    <w:sz w:val="14"/>
                    <w:szCs w:val="14"/>
                    <w:lang w:val="es"/>
                  </w:rPr>
                </w:pPr>
                <w:r w:rsidRPr="00F425E5">
                  <w:rPr>
                    <w:rFonts w:ascii="Times New Roman" w:eastAsia="Arial" w:hAnsi="Times New Roman"/>
                    <w:b/>
                    <w:bCs/>
                    <w:i/>
                    <w:iCs/>
                    <w:sz w:val="14"/>
                    <w:szCs w:val="14"/>
                    <w:lang w:val="es"/>
                  </w:rPr>
                  <w:t>Valor Inicial</w:t>
                </w:r>
              </w:p>
            </w:tc>
            <w:tc>
              <w:tcPr>
                <w:tcW w:w="1134"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C68D4F" w14:textId="77777777" w:rsidR="00F425E5" w:rsidRPr="00F425E5" w:rsidRDefault="00F425E5" w:rsidP="0094013D">
                <w:pPr>
                  <w:spacing w:before="11"/>
                  <w:ind w:left="69" w:right="-20"/>
                  <w:jc w:val="both"/>
                  <w:rPr>
                    <w:rFonts w:ascii="Times New Roman" w:eastAsia="Arial" w:hAnsi="Times New Roman"/>
                    <w:b/>
                    <w:bCs/>
                    <w:i/>
                    <w:iCs/>
                    <w:sz w:val="14"/>
                    <w:szCs w:val="14"/>
                    <w:lang w:val="es"/>
                  </w:rPr>
                </w:pPr>
                <w:r w:rsidRPr="00F425E5">
                  <w:rPr>
                    <w:rFonts w:ascii="Times New Roman" w:eastAsia="Arial" w:hAnsi="Times New Roman"/>
                    <w:b/>
                    <w:bCs/>
                    <w:i/>
                    <w:iCs/>
                    <w:sz w:val="14"/>
                    <w:szCs w:val="14"/>
                    <w:lang w:val="es"/>
                  </w:rPr>
                  <w:t>Factor</w:t>
                </w:r>
              </w:p>
              <w:p w14:paraId="1D27D4B6" w14:textId="77777777" w:rsidR="00F425E5" w:rsidRPr="00F425E5" w:rsidRDefault="00F425E5" w:rsidP="0094013D">
                <w:pPr>
                  <w:spacing w:before="33"/>
                  <w:ind w:left="69" w:right="41"/>
                  <w:jc w:val="both"/>
                  <w:rPr>
                    <w:rFonts w:ascii="Times New Roman" w:eastAsia="Arial" w:hAnsi="Times New Roman"/>
                    <w:b/>
                    <w:bCs/>
                    <w:i/>
                    <w:iCs/>
                    <w:sz w:val="14"/>
                    <w:szCs w:val="14"/>
                    <w:lang w:val="es"/>
                  </w:rPr>
                </w:pPr>
                <w:r w:rsidRPr="00F425E5">
                  <w:rPr>
                    <w:rFonts w:ascii="Times New Roman" w:eastAsia="Arial" w:hAnsi="Times New Roman"/>
                    <w:b/>
                    <w:bCs/>
                    <w:i/>
                    <w:iCs/>
                    <w:sz w:val="14"/>
                    <w:szCs w:val="14"/>
                    <w:lang w:val="es"/>
                  </w:rPr>
                  <w:t>Actualización</w:t>
                </w:r>
              </w:p>
            </w:tc>
            <w:tc>
              <w:tcPr>
                <w:tcW w:w="1417" w:type="dxa"/>
                <w:tcBorders>
                  <w:top w:val="single" w:sz="8" w:space="0" w:color="000000" w:themeColor="text1"/>
                  <w:left w:val="single" w:sz="8" w:space="0" w:color="000000" w:themeColor="text1"/>
                  <w:bottom w:val="single" w:sz="8" w:space="0" w:color="000000" w:themeColor="text1"/>
                  <w:right w:val="single" w:sz="12" w:space="0" w:color="000000" w:themeColor="text1"/>
                </w:tcBorders>
              </w:tcPr>
              <w:p w14:paraId="1C1808C2" w14:textId="77777777" w:rsidR="00F425E5" w:rsidRPr="00F425E5" w:rsidRDefault="00F425E5" w:rsidP="0094013D">
                <w:pPr>
                  <w:spacing w:before="11"/>
                  <w:ind w:left="66" w:right="-20"/>
                  <w:jc w:val="both"/>
                  <w:rPr>
                    <w:rFonts w:ascii="Times New Roman" w:eastAsia="Arial" w:hAnsi="Times New Roman"/>
                    <w:b/>
                    <w:bCs/>
                    <w:i/>
                    <w:iCs/>
                    <w:sz w:val="14"/>
                    <w:szCs w:val="14"/>
                    <w:lang w:val="es"/>
                  </w:rPr>
                </w:pPr>
                <w:r w:rsidRPr="00F425E5">
                  <w:rPr>
                    <w:rFonts w:ascii="Times New Roman" w:eastAsia="Arial" w:hAnsi="Times New Roman"/>
                    <w:b/>
                    <w:bCs/>
                    <w:i/>
                    <w:iCs/>
                    <w:sz w:val="14"/>
                    <w:szCs w:val="14"/>
                    <w:lang w:val="es"/>
                  </w:rPr>
                  <w:t>Valor Actualizado</w:t>
                </w:r>
              </w:p>
            </w:tc>
          </w:tr>
          <w:tr w:rsidR="00F425E5" w:rsidRPr="00620AC4" w14:paraId="59888CFE" w14:textId="77777777" w:rsidTr="0094013D">
            <w:trPr>
              <w:trHeight w:val="210"/>
              <w:jc w:val="center"/>
            </w:trPr>
            <w:tc>
              <w:tcPr>
                <w:tcW w:w="1687" w:type="dxa"/>
                <w:vMerge/>
                <w:tcBorders>
                  <w:left w:val="single" w:sz="0" w:space="0" w:color="000000" w:themeColor="text1"/>
                  <w:bottom w:val="single" w:sz="0" w:space="0" w:color="000000" w:themeColor="text1"/>
                  <w:right w:val="single" w:sz="0" w:space="0" w:color="000000" w:themeColor="text1"/>
                </w:tcBorders>
                <w:vAlign w:val="center"/>
              </w:tcPr>
              <w:p w14:paraId="764782EC" w14:textId="77777777" w:rsidR="00F425E5" w:rsidRPr="00F425E5" w:rsidRDefault="00F425E5" w:rsidP="0094013D">
                <w:pPr>
                  <w:jc w:val="both"/>
                  <w:rPr>
                    <w:rFonts w:ascii="Times New Roman" w:hAnsi="Times New Roman"/>
                    <w:sz w:val="14"/>
                    <w:szCs w:val="14"/>
                  </w:rPr>
                </w:pPr>
              </w:p>
            </w:tc>
            <w:tc>
              <w:tcPr>
                <w:tcW w:w="1276" w:type="dxa"/>
                <w:tcBorders>
                  <w:top w:val="single" w:sz="8" w:space="0" w:color="000000" w:themeColor="text1"/>
                  <w:left w:val="nil"/>
                  <w:bottom w:val="single" w:sz="8" w:space="0" w:color="000000" w:themeColor="text1"/>
                  <w:right w:val="single" w:sz="8" w:space="0" w:color="000000" w:themeColor="text1"/>
                </w:tcBorders>
              </w:tcPr>
              <w:p w14:paraId="30769DC8" w14:textId="77777777" w:rsidR="00F425E5" w:rsidRPr="00F425E5" w:rsidRDefault="00F425E5" w:rsidP="0094013D">
                <w:pPr>
                  <w:spacing w:before="11"/>
                  <w:ind w:left="61" w:right="-20"/>
                  <w:jc w:val="both"/>
                  <w:rPr>
                    <w:rFonts w:ascii="Times New Roman" w:eastAsia="Arial" w:hAnsi="Times New Roman"/>
                    <w:b/>
                    <w:bCs/>
                    <w:i/>
                    <w:iCs/>
                    <w:sz w:val="14"/>
                    <w:szCs w:val="14"/>
                    <w:lang w:val="es"/>
                  </w:rPr>
                </w:pPr>
                <w:r w:rsidRPr="00F425E5">
                  <w:rPr>
                    <w:rFonts w:ascii="Times New Roman" w:eastAsia="Arial" w:hAnsi="Times New Roman"/>
                    <w:b/>
                    <w:bCs/>
                    <w:i/>
                    <w:iCs/>
                    <w:sz w:val="14"/>
                    <w:szCs w:val="14"/>
                    <w:lang w:val="es"/>
                  </w:rPr>
                  <w:t>(Dic 2008)</w:t>
                </w:r>
              </w:p>
            </w:tc>
            <w:tc>
              <w:tcPr>
                <w:tcW w:w="1134" w:type="dxa"/>
                <w:vMerge/>
                <w:tcBorders>
                  <w:left w:val="single" w:sz="0" w:space="0" w:color="000000" w:themeColor="text1"/>
                  <w:bottom w:val="single" w:sz="0" w:space="0" w:color="000000" w:themeColor="text1"/>
                  <w:right w:val="single" w:sz="0" w:space="0" w:color="000000" w:themeColor="text1"/>
                </w:tcBorders>
                <w:vAlign w:val="center"/>
              </w:tcPr>
              <w:p w14:paraId="518FD9D9" w14:textId="77777777" w:rsidR="00F425E5" w:rsidRPr="00F425E5" w:rsidRDefault="00F425E5" w:rsidP="0094013D">
                <w:pPr>
                  <w:jc w:val="both"/>
                  <w:rPr>
                    <w:rFonts w:ascii="Times New Roman" w:hAnsi="Times New Roman"/>
                    <w:sz w:val="14"/>
                    <w:szCs w:val="14"/>
                  </w:rPr>
                </w:pPr>
              </w:p>
            </w:tc>
            <w:tc>
              <w:tcPr>
                <w:tcW w:w="1417" w:type="dxa"/>
                <w:tcBorders>
                  <w:top w:val="single" w:sz="8" w:space="0" w:color="000000" w:themeColor="text1"/>
                  <w:left w:val="nil"/>
                  <w:bottom w:val="single" w:sz="8" w:space="0" w:color="000000" w:themeColor="text1"/>
                  <w:right w:val="single" w:sz="12" w:space="0" w:color="000000" w:themeColor="text1"/>
                </w:tcBorders>
              </w:tcPr>
              <w:p w14:paraId="16A52BA8" w14:textId="77777777" w:rsidR="00F425E5" w:rsidRPr="00F425E5" w:rsidRDefault="00F425E5" w:rsidP="0094013D">
                <w:pPr>
                  <w:spacing w:before="11"/>
                  <w:ind w:left="61" w:right="-20"/>
                  <w:jc w:val="both"/>
                  <w:rPr>
                    <w:rFonts w:ascii="Times New Roman" w:eastAsia="Arial" w:hAnsi="Times New Roman"/>
                    <w:b/>
                    <w:bCs/>
                    <w:i/>
                    <w:iCs/>
                    <w:sz w:val="14"/>
                    <w:szCs w:val="14"/>
                    <w:lang w:val="es"/>
                  </w:rPr>
                </w:pPr>
                <w:r w:rsidRPr="00F425E5">
                  <w:rPr>
                    <w:rFonts w:ascii="Times New Roman" w:eastAsia="Arial" w:hAnsi="Times New Roman"/>
                    <w:b/>
                    <w:bCs/>
                    <w:i/>
                    <w:iCs/>
                    <w:sz w:val="14"/>
                    <w:szCs w:val="14"/>
                    <w:lang w:val="es"/>
                  </w:rPr>
                  <w:t>(Nov 2022)</w:t>
                </w:r>
              </w:p>
            </w:tc>
          </w:tr>
          <w:tr w:rsidR="00F425E5" w:rsidRPr="00620AC4" w14:paraId="12A08385" w14:textId="77777777" w:rsidTr="0094013D">
            <w:trPr>
              <w:trHeight w:val="195"/>
              <w:jc w:val="center"/>
            </w:trPr>
            <w:tc>
              <w:tcPr>
                <w:tcW w:w="1687" w:type="dxa"/>
                <w:tcBorders>
                  <w:top w:val="nil"/>
                  <w:left w:val="single" w:sz="8" w:space="0" w:color="000000" w:themeColor="text1"/>
                  <w:bottom w:val="single" w:sz="8" w:space="0" w:color="000000" w:themeColor="text1"/>
                  <w:right w:val="single" w:sz="8" w:space="0" w:color="000000" w:themeColor="text1"/>
                </w:tcBorders>
              </w:tcPr>
              <w:p w14:paraId="6695D89E" w14:textId="77777777" w:rsidR="00F425E5" w:rsidRPr="00F425E5" w:rsidRDefault="00F425E5" w:rsidP="0094013D">
                <w:pPr>
                  <w:spacing w:before="11"/>
                  <w:ind w:left="49" w:right="13"/>
                  <w:jc w:val="both"/>
                  <w:rPr>
                    <w:rFonts w:ascii="Times New Roman" w:hAnsi="Times New Roman"/>
                    <w:i/>
                    <w:iCs/>
                    <w:sz w:val="14"/>
                    <w:szCs w:val="14"/>
                    <w:lang w:val="es"/>
                  </w:rPr>
                </w:pPr>
                <w:r w:rsidRPr="00F425E5">
                  <w:rPr>
                    <w:rFonts w:ascii="Times New Roman" w:hAnsi="Times New Roman"/>
                    <w:i/>
                    <w:iCs/>
                    <w:sz w:val="14"/>
                    <w:szCs w:val="14"/>
                    <w:lang w:val="es"/>
                  </w:rPr>
                  <w:t>Enfilajes</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A41844" w14:textId="77777777" w:rsidR="00F425E5" w:rsidRPr="00F425E5" w:rsidRDefault="00F425E5" w:rsidP="0094013D">
                <w:pPr>
                  <w:tabs>
                    <w:tab w:val="left" w:pos="464"/>
                  </w:tabs>
                  <w:spacing w:before="11"/>
                  <w:ind w:left="7" w:right="-20"/>
                  <w:jc w:val="both"/>
                  <w:rPr>
                    <w:rFonts w:ascii="Times New Roman" w:hAnsi="Times New Roman"/>
                    <w:i/>
                    <w:iCs/>
                    <w:sz w:val="14"/>
                    <w:szCs w:val="14"/>
                    <w:lang w:val="es"/>
                  </w:rPr>
                </w:pPr>
                <w:r w:rsidRPr="00F425E5">
                  <w:rPr>
                    <w:rFonts w:ascii="Times New Roman" w:hAnsi="Times New Roman"/>
                    <w:i/>
                    <w:iCs/>
                    <w:sz w:val="14"/>
                    <w:szCs w:val="14"/>
                    <w:lang w:val="es"/>
                  </w:rPr>
                  <w:t>$208.885.440</w:t>
                </w:r>
              </w:p>
            </w:tc>
            <w:tc>
              <w:tcPr>
                <w:tcW w:w="1134" w:type="dxa"/>
                <w:tcBorders>
                  <w:top w:val="nil"/>
                  <w:left w:val="single" w:sz="8" w:space="0" w:color="000000" w:themeColor="text1"/>
                  <w:bottom w:val="single" w:sz="8" w:space="0" w:color="000000" w:themeColor="text1"/>
                  <w:right w:val="single" w:sz="8" w:space="0" w:color="000000" w:themeColor="text1"/>
                </w:tcBorders>
              </w:tcPr>
              <w:p w14:paraId="3B43ADA3" w14:textId="77777777" w:rsidR="00F425E5" w:rsidRPr="00F425E5" w:rsidRDefault="00F425E5" w:rsidP="0094013D">
                <w:pPr>
                  <w:spacing w:before="11"/>
                  <w:ind w:left="-20" w:right="63"/>
                  <w:jc w:val="both"/>
                  <w:rPr>
                    <w:rFonts w:ascii="Times New Roman" w:hAnsi="Times New Roman"/>
                    <w:i/>
                    <w:iCs/>
                    <w:sz w:val="14"/>
                    <w:szCs w:val="14"/>
                    <w:lang w:val="es"/>
                  </w:rPr>
                </w:pPr>
                <w:r w:rsidRPr="00F425E5">
                  <w:rPr>
                    <w:rFonts w:ascii="Times New Roman" w:hAnsi="Times New Roman"/>
                    <w:i/>
                    <w:iCs/>
                    <w:sz w:val="14"/>
                    <w:szCs w:val="14"/>
                    <w:lang w:val="es"/>
                  </w:rPr>
                  <w:t>1,7831</w:t>
                </w:r>
              </w:p>
            </w:tc>
            <w:tc>
              <w:tcPr>
                <w:tcW w:w="1417" w:type="dxa"/>
                <w:tcBorders>
                  <w:top w:val="single" w:sz="8" w:space="0" w:color="000000" w:themeColor="text1"/>
                  <w:left w:val="single" w:sz="8" w:space="0" w:color="000000" w:themeColor="text1"/>
                  <w:bottom w:val="single" w:sz="8" w:space="0" w:color="000000" w:themeColor="text1"/>
                  <w:right w:val="single" w:sz="12" w:space="0" w:color="000000" w:themeColor="text1"/>
                </w:tcBorders>
              </w:tcPr>
              <w:p w14:paraId="2E692440" w14:textId="77777777" w:rsidR="00F425E5" w:rsidRPr="00F425E5" w:rsidRDefault="00F425E5" w:rsidP="0094013D">
                <w:pPr>
                  <w:tabs>
                    <w:tab w:val="left" w:pos="762"/>
                  </w:tabs>
                  <w:spacing w:before="11"/>
                  <w:ind w:left="8" w:right="-20"/>
                  <w:jc w:val="both"/>
                  <w:rPr>
                    <w:rFonts w:ascii="Times New Roman" w:hAnsi="Times New Roman"/>
                    <w:i/>
                    <w:iCs/>
                    <w:sz w:val="14"/>
                    <w:szCs w:val="14"/>
                    <w:lang w:val="es"/>
                  </w:rPr>
                </w:pPr>
                <w:r w:rsidRPr="00F425E5">
                  <w:rPr>
                    <w:rFonts w:ascii="Times New Roman" w:hAnsi="Times New Roman"/>
                    <w:i/>
                    <w:iCs/>
                    <w:sz w:val="14"/>
                    <w:szCs w:val="14"/>
                    <w:lang w:val="es"/>
                  </w:rPr>
                  <w:t>$372.462.491</w:t>
                </w:r>
              </w:p>
            </w:tc>
          </w:tr>
          <w:tr w:rsidR="00F425E5" w:rsidRPr="00620AC4" w14:paraId="59F29243" w14:textId="77777777" w:rsidTr="0094013D">
            <w:trPr>
              <w:trHeight w:val="195"/>
              <w:jc w:val="center"/>
            </w:trPr>
            <w:tc>
              <w:tcPr>
                <w:tcW w:w="16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E237BF" w14:textId="77777777" w:rsidR="00F425E5" w:rsidRPr="00F425E5" w:rsidRDefault="00F425E5" w:rsidP="0094013D">
                <w:pPr>
                  <w:spacing w:before="11"/>
                  <w:ind w:left="49" w:right="29"/>
                  <w:jc w:val="both"/>
                  <w:rPr>
                    <w:rFonts w:ascii="Times New Roman" w:hAnsi="Times New Roman"/>
                    <w:i/>
                    <w:iCs/>
                    <w:sz w:val="14"/>
                    <w:szCs w:val="14"/>
                    <w:lang w:val="es"/>
                  </w:rPr>
                </w:pPr>
                <w:r w:rsidRPr="00F425E5">
                  <w:rPr>
                    <w:rFonts w:ascii="Times New Roman" w:hAnsi="Times New Roman"/>
                    <w:i/>
                    <w:iCs/>
                    <w:sz w:val="14"/>
                    <w:szCs w:val="14"/>
                    <w:lang w:val="es"/>
                  </w:rPr>
                  <w:t>Bombeo</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81573B" w14:textId="77777777" w:rsidR="00F425E5" w:rsidRPr="00F425E5" w:rsidRDefault="00F425E5" w:rsidP="0094013D">
                <w:pPr>
                  <w:spacing w:before="11"/>
                  <w:ind w:left="7" w:right="10"/>
                  <w:jc w:val="both"/>
                  <w:rPr>
                    <w:rFonts w:ascii="Times New Roman" w:hAnsi="Times New Roman"/>
                    <w:i/>
                    <w:iCs/>
                    <w:sz w:val="14"/>
                    <w:szCs w:val="14"/>
                    <w:lang w:val="es"/>
                  </w:rPr>
                </w:pPr>
                <w:r w:rsidRPr="00F425E5">
                  <w:rPr>
                    <w:rFonts w:ascii="Times New Roman" w:hAnsi="Times New Roman"/>
                    <w:i/>
                    <w:iCs/>
                    <w:sz w:val="14"/>
                    <w:szCs w:val="14"/>
                    <w:lang w:val="es"/>
                  </w:rPr>
                  <w:t>$ 29.306.417.353</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FC38CB" w14:textId="77777777" w:rsidR="00F425E5" w:rsidRPr="00F425E5" w:rsidRDefault="00F425E5" w:rsidP="0094013D">
                <w:pPr>
                  <w:spacing w:before="11"/>
                  <w:ind w:left="-20" w:right="63"/>
                  <w:jc w:val="both"/>
                  <w:rPr>
                    <w:rFonts w:ascii="Times New Roman" w:hAnsi="Times New Roman"/>
                    <w:i/>
                    <w:iCs/>
                    <w:sz w:val="14"/>
                    <w:szCs w:val="14"/>
                    <w:lang w:val="es"/>
                  </w:rPr>
                </w:pPr>
                <w:r w:rsidRPr="00F425E5">
                  <w:rPr>
                    <w:rFonts w:ascii="Times New Roman" w:hAnsi="Times New Roman"/>
                    <w:i/>
                    <w:iCs/>
                    <w:sz w:val="14"/>
                    <w:szCs w:val="14"/>
                    <w:lang w:val="es"/>
                  </w:rPr>
                  <w:t>1,7831</w:t>
                </w:r>
              </w:p>
            </w:tc>
            <w:tc>
              <w:tcPr>
                <w:tcW w:w="1417" w:type="dxa"/>
                <w:tcBorders>
                  <w:top w:val="single" w:sz="8" w:space="0" w:color="000000" w:themeColor="text1"/>
                  <w:left w:val="single" w:sz="8" w:space="0" w:color="000000" w:themeColor="text1"/>
                  <w:bottom w:val="single" w:sz="8" w:space="0" w:color="000000" w:themeColor="text1"/>
                  <w:right w:val="single" w:sz="12" w:space="0" w:color="000000" w:themeColor="text1"/>
                </w:tcBorders>
              </w:tcPr>
              <w:p w14:paraId="361B8CBA" w14:textId="77777777" w:rsidR="00F425E5" w:rsidRPr="00F425E5" w:rsidRDefault="00F425E5" w:rsidP="0094013D">
                <w:pPr>
                  <w:tabs>
                    <w:tab w:val="left" w:pos="601"/>
                  </w:tabs>
                  <w:spacing w:before="11"/>
                  <w:ind w:left="32" w:right="-20"/>
                  <w:jc w:val="both"/>
                  <w:rPr>
                    <w:rFonts w:ascii="Times New Roman" w:hAnsi="Times New Roman"/>
                    <w:i/>
                    <w:iCs/>
                    <w:sz w:val="14"/>
                    <w:szCs w:val="14"/>
                    <w:lang w:val="es"/>
                  </w:rPr>
                </w:pPr>
                <w:r w:rsidRPr="00F425E5">
                  <w:rPr>
                    <w:rFonts w:ascii="Times New Roman" w:hAnsi="Times New Roman"/>
                    <w:i/>
                    <w:iCs/>
                    <w:sz w:val="14"/>
                    <w:szCs w:val="14"/>
                    <w:lang w:val="es"/>
                  </w:rPr>
                  <w:t>$52.256.113.234</w:t>
                </w:r>
              </w:p>
            </w:tc>
          </w:tr>
          <w:tr w:rsidR="00F425E5" w:rsidRPr="00620AC4" w14:paraId="1E4628E3" w14:textId="77777777" w:rsidTr="0094013D">
            <w:trPr>
              <w:trHeight w:val="195"/>
              <w:jc w:val="center"/>
            </w:trPr>
            <w:tc>
              <w:tcPr>
                <w:tcW w:w="16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E1F43F" w14:textId="77777777" w:rsidR="00F425E5" w:rsidRPr="00F425E5" w:rsidRDefault="00F425E5" w:rsidP="0094013D">
                <w:pPr>
                  <w:spacing w:before="11"/>
                  <w:ind w:left="49" w:right="55"/>
                  <w:jc w:val="both"/>
                  <w:rPr>
                    <w:rFonts w:ascii="Times New Roman" w:hAnsi="Times New Roman"/>
                    <w:i/>
                    <w:iCs/>
                    <w:sz w:val="14"/>
                    <w:szCs w:val="14"/>
                    <w:lang w:val="es"/>
                  </w:rPr>
                </w:pPr>
                <w:r w:rsidRPr="00F425E5">
                  <w:rPr>
                    <w:rFonts w:ascii="Times New Roman" w:hAnsi="Times New Roman"/>
                    <w:i/>
                    <w:iCs/>
                    <w:sz w:val="14"/>
                    <w:szCs w:val="14"/>
                    <w:lang w:val="es"/>
                  </w:rPr>
                  <w:t>Extracción de Derrumbes.</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6401E7" w14:textId="77777777" w:rsidR="00F425E5" w:rsidRPr="00F425E5" w:rsidRDefault="00F425E5" w:rsidP="0094013D">
                <w:pPr>
                  <w:tabs>
                    <w:tab w:val="left" w:pos="556"/>
                  </w:tabs>
                  <w:spacing w:before="11"/>
                  <w:ind w:left="24" w:right="-20"/>
                  <w:jc w:val="both"/>
                  <w:rPr>
                    <w:rFonts w:ascii="Times New Roman" w:hAnsi="Times New Roman"/>
                    <w:i/>
                    <w:iCs/>
                    <w:sz w:val="14"/>
                    <w:szCs w:val="14"/>
                    <w:lang w:val="es"/>
                  </w:rPr>
                </w:pPr>
                <w:r w:rsidRPr="00F425E5">
                  <w:rPr>
                    <w:rFonts w:ascii="Times New Roman" w:hAnsi="Times New Roman"/>
                    <w:i/>
                    <w:iCs/>
                    <w:sz w:val="14"/>
                    <w:szCs w:val="14"/>
                    <w:lang w:val="es"/>
                  </w:rPr>
                  <w:t>$70.896.000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AA0623" w14:textId="77777777" w:rsidR="00F425E5" w:rsidRPr="00F425E5" w:rsidRDefault="00F425E5" w:rsidP="0094013D">
                <w:pPr>
                  <w:spacing w:before="11"/>
                  <w:ind w:left="-20" w:right="63"/>
                  <w:jc w:val="both"/>
                  <w:rPr>
                    <w:rFonts w:ascii="Times New Roman" w:hAnsi="Times New Roman"/>
                    <w:i/>
                    <w:iCs/>
                    <w:sz w:val="14"/>
                    <w:szCs w:val="14"/>
                    <w:lang w:val="es"/>
                  </w:rPr>
                </w:pPr>
                <w:r w:rsidRPr="00F425E5">
                  <w:rPr>
                    <w:rFonts w:ascii="Times New Roman" w:hAnsi="Times New Roman"/>
                    <w:i/>
                    <w:iCs/>
                    <w:sz w:val="14"/>
                    <w:szCs w:val="14"/>
                    <w:lang w:val="es"/>
                  </w:rPr>
                  <w:t>1,7831</w:t>
                </w:r>
              </w:p>
            </w:tc>
            <w:tc>
              <w:tcPr>
                <w:tcW w:w="1417" w:type="dxa"/>
                <w:tcBorders>
                  <w:top w:val="single" w:sz="8" w:space="0" w:color="000000" w:themeColor="text1"/>
                  <w:left w:val="single" w:sz="8" w:space="0" w:color="000000" w:themeColor="text1"/>
                  <w:bottom w:val="single" w:sz="8" w:space="0" w:color="000000" w:themeColor="text1"/>
                  <w:right w:val="single" w:sz="12" w:space="0" w:color="000000" w:themeColor="text1"/>
                </w:tcBorders>
              </w:tcPr>
              <w:p w14:paraId="4CBA3312" w14:textId="77777777" w:rsidR="00F425E5" w:rsidRPr="00F425E5" w:rsidRDefault="00F425E5" w:rsidP="0094013D">
                <w:pPr>
                  <w:tabs>
                    <w:tab w:val="left" w:pos="762"/>
                  </w:tabs>
                  <w:spacing w:before="11"/>
                  <w:ind w:left="8" w:right="-20"/>
                  <w:jc w:val="both"/>
                  <w:rPr>
                    <w:rFonts w:ascii="Times New Roman" w:hAnsi="Times New Roman"/>
                    <w:i/>
                    <w:iCs/>
                    <w:sz w:val="14"/>
                    <w:szCs w:val="14"/>
                    <w:lang w:val="es"/>
                  </w:rPr>
                </w:pPr>
                <w:r w:rsidRPr="00F425E5">
                  <w:rPr>
                    <w:rFonts w:ascii="Times New Roman" w:hAnsi="Times New Roman"/>
                    <w:i/>
                    <w:iCs/>
                    <w:sz w:val="14"/>
                    <w:szCs w:val="14"/>
                    <w:lang w:val="es"/>
                  </w:rPr>
                  <w:t>$126.414.272</w:t>
                </w:r>
              </w:p>
            </w:tc>
          </w:tr>
          <w:tr w:rsidR="00F425E5" w:rsidRPr="00620AC4" w14:paraId="520A23F4" w14:textId="77777777" w:rsidTr="0094013D">
            <w:trPr>
              <w:trHeight w:val="195"/>
              <w:jc w:val="center"/>
            </w:trPr>
            <w:tc>
              <w:tcPr>
                <w:tcW w:w="168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9B3CCC" w14:textId="77777777" w:rsidR="00F425E5" w:rsidRPr="00F425E5" w:rsidRDefault="00F425E5" w:rsidP="0094013D">
                <w:pPr>
                  <w:spacing w:before="11"/>
                  <w:ind w:left="49" w:right="13"/>
                  <w:jc w:val="both"/>
                  <w:rPr>
                    <w:rFonts w:ascii="Times New Roman" w:hAnsi="Times New Roman"/>
                    <w:i/>
                    <w:iCs/>
                    <w:sz w:val="14"/>
                    <w:szCs w:val="14"/>
                    <w:lang w:val="es"/>
                  </w:rPr>
                </w:pPr>
                <w:r w:rsidRPr="00F425E5">
                  <w:rPr>
                    <w:rFonts w:ascii="Times New Roman" w:hAnsi="Times New Roman"/>
                    <w:i/>
                    <w:iCs/>
                    <w:sz w:val="14"/>
                    <w:szCs w:val="14"/>
                    <w:lang w:val="es"/>
                  </w:rPr>
                  <w:t>Transportes de materiales de derrumbes</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7817A7" w14:textId="77777777" w:rsidR="00F425E5" w:rsidRPr="00F425E5" w:rsidRDefault="00F425E5" w:rsidP="0094013D">
                <w:pPr>
                  <w:tabs>
                    <w:tab w:val="left" w:pos="556"/>
                  </w:tabs>
                  <w:spacing w:before="11"/>
                  <w:ind w:left="24" w:right="-20"/>
                  <w:jc w:val="both"/>
                  <w:rPr>
                    <w:rFonts w:ascii="Times New Roman" w:hAnsi="Times New Roman"/>
                    <w:i/>
                    <w:iCs/>
                    <w:sz w:val="14"/>
                    <w:szCs w:val="14"/>
                    <w:lang w:val="es"/>
                  </w:rPr>
                </w:pPr>
                <w:r w:rsidRPr="00F425E5">
                  <w:rPr>
                    <w:rFonts w:ascii="Times New Roman" w:hAnsi="Times New Roman"/>
                    <w:i/>
                    <w:iCs/>
                    <w:sz w:val="14"/>
                    <w:szCs w:val="14"/>
                    <w:lang w:val="es"/>
                  </w:rPr>
                  <w:t>$98.609.886</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304EB0" w14:textId="77777777" w:rsidR="00F425E5" w:rsidRPr="00F425E5" w:rsidRDefault="00F425E5" w:rsidP="0094013D">
                <w:pPr>
                  <w:spacing w:before="11"/>
                  <w:ind w:left="-20" w:right="63"/>
                  <w:jc w:val="both"/>
                  <w:rPr>
                    <w:rFonts w:ascii="Times New Roman" w:hAnsi="Times New Roman"/>
                    <w:i/>
                    <w:iCs/>
                    <w:sz w:val="14"/>
                    <w:szCs w:val="14"/>
                    <w:lang w:val="es"/>
                  </w:rPr>
                </w:pPr>
                <w:r w:rsidRPr="00F425E5">
                  <w:rPr>
                    <w:rFonts w:ascii="Times New Roman" w:hAnsi="Times New Roman"/>
                    <w:i/>
                    <w:iCs/>
                    <w:sz w:val="14"/>
                    <w:szCs w:val="14"/>
                    <w:lang w:val="es"/>
                  </w:rPr>
                  <w:t>1,7831</w:t>
                </w:r>
              </w:p>
            </w:tc>
            <w:tc>
              <w:tcPr>
                <w:tcW w:w="1417" w:type="dxa"/>
                <w:tcBorders>
                  <w:top w:val="single" w:sz="8" w:space="0" w:color="000000" w:themeColor="text1"/>
                  <w:left w:val="single" w:sz="8" w:space="0" w:color="000000" w:themeColor="text1"/>
                  <w:bottom w:val="single" w:sz="8" w:space="0" w:color="000000" w:themeColor="text1"/>
                  <w:right w:val="single" w:sz="12" w:space="0" w:color="000000" w:themeColor="text1"/>
                </w:tcBorders>
              </w:tcPr>
              <w:p w14:paraId="2C479ACB" w14:textId="77777777" w:rsidR="00F425E5" w:rsidRPr="00F425E5" w:rsidRDefault="00F425E5" w:rsidP="0094013D">
                <w:pPr>
                  <w:tabs>
                    <w:tab w:val="left" w:pos="762"/>
                  </w:tabs>
                  <w:spacing w:before="11"/>
                  <w:ind w:left="8" w:right="-20"/>
                  <w:jc w:val="both"/>
                  <w:rPr>
                    <w:rFonts w:ascii="Times New Roman" w:hAnsi="Times New Roman"/>
                    <w:i/>
                    <w:iCs/>
                    <w:sz w:val="14"/>
                    <w:szCs w:val="14"/>
                    <w:lang w:val="es"/>
                  </w:rPr>
                </w:pPr>
                <w:r w:rsidRPr="00F425E5">
                  <w:rPr>
                    <w:rFonts w:ascii="Times New Roman" w:hAnsi="Times New Roman"/>
                    <w:i/>
                    <w:iCs/>
                    <w:sz w:val="14"/>
                    <w:szCs w:val="14"/>
                    <w:lang w:val="es"/>
                  </w:rPr>
                  <w:t>$175.830.751</w:t>
                </w:r>
              </w:p>
            </w:tc>
          </w:tr>
          <w:tr w:rsidR="00F425E5" w:rsidRPr="00620AC4" w14:paraId="16EF1963" w14:textId="77777777" w:rsidTr="0094013D">
            <w:trPr>
              <w:trHeight w:val="195"/>
              <w:jc w:val="center"/>
            </w:trPr>
            <w:tc>
              <w:tcPr>
                <w:tcW w:w="1687" w:type="dxa"/>
                <w:tcBorders>
                  <w:top w:val="single" w:sz="8" w:space="0" w:color="000000" w:themeColor="text1"/>
                  <w:left w:val="single" w:sz="8" w:space="0" w:color="000000" w:themeColor="text1"/>
                  <w:bottom w:val="single" w:sz="12" w:space="0" w:color="000000" w:themeColor="text1"/>
                  <w:right w:val="single" w:sz="8" w:space="0" w:color="000000" w:themeColor="text1"/>
                </w:tcBorders>
              </w:tcPr>
              <w:p w14:paraId="6A12290C" w14:textId="77777777" w:rsidR="00F425E5" w:rsidRPr="00F425E5" w:rsidRDefault="00F425E5" w:rsidP="0094013D">
                <w:pPr>
                  <w:spacing w:before="11"/>
                  <w:ind w:left="49" w:right="9"/>
                  <w:jc w:val="both"/>
                  <w:rPr>
                    <w:rFonts w:ascii="Times New Roman" w:eastAsia="Arial" w:hAnsi="Times New Roman"/>
                    <w:b/>
                    <w:bCs/>
                    <w:i/>
                    <w:iCs/>
                    <w:sz w:val="14"/>
                    <w:szCs w:val="14"/>
                    <w:lang w:val="es"/>
                  </w:rPr>
                </w:pPr>
                <w:r w:rsidRPr="00F425E5">
                  <w:rPr>
                    <w:rFonts w:ascii="Times New Roman" w:eastAsia="Arial" w:hAnsi="Times New Roman"/>
                    <w:b/>
                    <w:bCs/>
                    <w:i/>
                    <w:iCs/>
                    <w:sz w:val="14"/>
                    <w:szCs w:val="14"/>
                    <w:lang w:val="es"/>
                  </w:rPr>
                  <w:t>TOTAL</w:t>
                </w:r>
              </w:p>
            </w:tc>
            <w:tc>
              <w:tcPr>
                <w:tcW w:w="1276" w:type="dxa"/>
                <w:tcBorders>
                  <w:top w:val="single" w:sz="8" w:space="0" w:color="000000" w:themeColor="text1"/>
                  <w:left w:val="single" w:sz="8" w:space="0" w:color="000000" w:themeColor="text1"/>
                  <w:bottom w:val="single" w:sz="12" w:space="0" w:color="000000" w:themeColor="text1"/>
                  <w:right w:val="single" w:sz="8" w:space="0" w:color="000000" w:themeColor="text1"/>
                </w:tcBorders>
              </w:tcPr>
              <w:p w14:paraId="55BD904B" w14:textId="77777777" w:rsidR="00F425E5" w:rsidRPr="00F425E5" w:rsidRDefault="00F425E5" w:rsidP="0094013D">
                <w:pPr>
                  <w:spacing w:before="11"/>
                  <w:ind w:left="24" w:right="-20"/>
                  <w:jc w:val="both"/>
                  <w:rPr>
                    <w:rFonts w:ascii="Times New Roman" w:eastAsia="Arial" w:hAnsi="Times New Roman"/>
                    <w:b/>
                    <w:bCs/>
                    <w:i/>
                    <w:iCs/>
                    <w:sz w:val="14"/>
                    <w:szCs w:val="14"/>
                    <w:lang w:val="es"/>
                  </w:rPr>
                </w:pPr>
                <w:r w:rsidRPr="00F425E5">
                  <w:rPr>
                    <w:rFonts w:ascii="Times New Roman" w:eastAsia="Arial" w:hAnsi="Times New Roman"/>
                    <w:b/>
                    <w:bCs/>
                    <w:i/>
                    <w:iCs/>
                    <w:sz w:val="14"/>
                    <w:szCs w:val="14"/>
                    <w:lang w:val="es"/>
                  </w:rPr>
                  <w:t>$ 29.684.808.679</w:t>
                </w:r>
              </w:p>
            </w:tc>
            <w:tc>
              <w:tcPr>
                <w:tcW w:w="1134" w:type="dxa"/>
                <w:tcBorders>
                  <w:top w:val="single" w:sz="8" w:space="0" w:color="000000" w:themeColor="text1"/>
                  <w:left w:val="single" w:sz="8" w:space="0" w:color="000000" w:themeColor="text1"/>
                  <w:bottom w:val="single" w:sz="12" w:space="0" w:color="000000" w:themeColor="text1"/>
                  <w:right w:val="single" w:sz="8" w:space="0" w:color="000000" w:themeColor="text1"/>
                </w:tcBorders>
              </w:tcPr>
              <w:p w14:paraId="64556C67" w14:textId="77777777" w:rsidR="00F425E5" w:rsidRPr="00F425E5" w:rsidRDefault="00F425E5" w:rsidP="0094013D">
                <w:pPr>
                  <w:spacing w:before="11"/>
                  <w:ind w:left="-20" w:right="63"/>
                  <w:jc w:val="both"/>
                  <w:rPr>
                    <w:rFonts w:ascii="Times New Roman" w:eastAsia="Arial" w:hAnsi="Times New Roman"/>
                    <w:b/>
                    <w:bCs/>
                    <w:i/>
                    <w:iCs/>
                    <w:sz w:val="14"/>
                    <w:szCs w:val="14"/>
                    <w:lang w:val="es"/>
                  </w:rPr>
                </w:pPr>
                <w:r w:rsidRPr="00F425E5">
                  <w:rPr>
                    <w:rFonts w:ascii="Times New Roman" w:eastAsia="Arial" w:hAnsi="Times New Roman"/>
                    <w:b/>
                    <w:bCs/>
                    <w:i/>
                    <w:iCs/>
                    <w:sz w:val="14"/>
                    <w:szCs w:val="14"/>
                    <w:lang w:val="es"/>
                  </w:rPr>
                  <w:t>1,7831</w:t>
                </w:r>
              </w:p>
            </w:tc>
            <w:tc>
              <w:tcPr>
                <w:tcW w:w="1417" w:type="dxa"/>
                <w:tcBorders>
                  <w:top w:val="single" w:sz="8" w:space="0" w:color="000000" w:themeColor="text1"/>
                  <w:left w:val="single" w:sz="8" w:space="0" w:color="000000" w:themeColor="text1"/>
                  <w:bottom w:val="single" w:sz="12" w:space="0" w:color="000000" w:themeColor="text1"/>
                  <w:right w:val="single" w:sz="12" w:space="0" w:color="000000" w:themeColor="text1"/>
                </w:tcBorders>
              </w:tcPr>
              <w:p w14:paraId="3C2C9F7C" w14:textId="77777777" w:rsidR="00F425E5" w:rsidRPr="00F425E5" w:rsidRDefault="00F425E5" w:rsidP="0094013D">
                <w:pPr>
                  <w:tabs>
                    <w:tab w:val="left" w:pos="581"/>
                  </w:tabs>
                  <w:spacing w:before="11"/>
                  <w:ind w:left="37" w:right="-20"/>
                  <w:jc w:val="both"/>
                  <w:rPr>
                    <w:rFonts w:ascii="Times New Roman" w:eastAsia="Arial" w:hAnsi="Times New Roman"/>
                    <w:b/>
                    <w:bCs/>
                    <w:i/>
                    <w:iCs/>
                    <w:sz w:val="14"/>
                    <w:szCs w:val="14"/>
                    <w:lang w:val="es"/>
                  </w:rPr>
                </w:pPr>
                <w:r w:rsidRPr="00F425E5">
                  <w:rPr>
                    <w:rFonts w:ascii="Times New Roman" w:eastAsia="Arial" w:hAnsi="Times New Roman"/>
                    <w:b/>
                    <w:bCs/>
                    <w:i/>
                    <w:iCs/>
                    <w:sz w:val="14"/>
                    <w:szCs w:val="14"/>
                    <w:lang w:val="es"/>
                  </w:rPr>
                  <w:t>$52.930.820.748</w:t>
                </w:r>
              </w:p>
            </w:tc>
          </w:tr>
        </w:tbl>
        <w:p w14:paraId="75927258" w14:textId="77777777" w:rsidR="00F425E5" w:rsidRDefault="00F425E5" w:rsidP="00642940">
          <w:pPr>
            <w:autoSpaceDE w:val="0"/>
            <w:autoSpaceDN w:val="0"/>
            <w:adjustRightInd w:val="0"/>
            <w:spacing w:after="0" w:line="240" w:lineRule="auto"/>
            <w:jc w:val="both"/>
            <w:rPr>
              <w:rFonts w:ascii="Times New Roman" w:eastAsiaTheme="minorEastAsia" w:hAnsi="Times New Roman"/>
              <w:sz w:val="24"/>
              <w:szCs w:val="24"/>
              <w14:ligatures w14:val="standardContextual"/>
            </w:rPr>
          </w:pPr>
        </w:p>
        <w:p w14:paraId="1A185E6A" w14:textId="77777777" w:rsidR="00194E1B" w:rsidRDefault="00194E1B" w:rsidP="00642940">
          <w:pPr>
            <w:autoSpaceDE w:val="0"/>
            <w:autoSpaceDN w:val="0"/>
            <w:adjustRightInd w:val="0"/>
            <w:spacing w:after="0" w:line="240" w:lineRule="auto"/>
            <w:jc w:val="both"/>
            <w:rPr>
              <w:rFonts w:ascii="Times New Roman" w:eastAsiaTheme="minorEastAsia" w:hAnsi="Times New Roman"/>
              <w:sz w:val="24"/>
              <w:szCs w:val="24"/>
              <w14:ligatures w14:val="standardContextual"/>
            </w:rPr>
          </w:pPr>
        </w:p>
        <w:p w14:paraId="60241E3D" w14:textId="77777777" w:rsidR="001C253A" w:rsidRDefault="001C253A" w:rsidP="001C253A">
          <w:pPr>
            <w:autoSpaceDE w:val="0"/>
            <w:autoSpaceDN w:val="0"/>
            <w:adjustRightInd w:val="0"/>
            <w:spacing w:after="0" w:line="240" w:lineRule="auto"/>
            <w:jc w:val="both"/>
            <w:rPr>
              <w:rFonts w:ascii="Times New Roman" w:hAnsi="Times New Roman"/>
              <w:sz w:val="24"/>
              <w:szCs w:val="24"/>
              <w:lang w:eastAsia="es-CO"/>
            </w:rPr>
          </w:pPr>
          <w:r w:rsidRPr="001C253A">
            <w:rPr>
              <w:rFonts w:ascii="Times New Roman" w:hAnsi="Times New Roman"/>
              <w:sz w:val="24"/>
              <w:szCs w:val="24"/>
              <w:lang w:eastAsia="es-CO"/>
            </w:rPr>
            <w:t>Por lo tanto, se interpreta que se deben actualizar los valores adeudados al concesionario al momento del pago de estos.</w:t>
          </w:r>
        </w:p>
        <w:p w14:paraId="4FDE5CD9" w14:textId="77777777" w:rsidR="00194E1B" w:rsidRDefault="00194E1B" w:rsidP="00642940">
          <w:pPr>
            <w:autoSpaceDE w:val="0"/>
            <w:autoSpaceDN w:val="0"/>
            <w:adjustRightInd w:val="0"/>
            <w:spacing w:after="0" w:line="240" w:lineRule="auto"/>
            <w:jc w:val="both"/>
            <w:rPr>
              <w:rFonts w:ascii="Times New Roman" w:eastAsiaTheme="minorEastAsia" w:hAnsi="Times New Roman"/>
              <w:sz w:val="24"/>
              <w:szCs w:val="24"/>
              <w14:ligatures w14:val="standardContextual"/>
            </w:rPr>
          </w:pPr>
        </w:p>
        <w:p w14:paraId="3951A315" w14:textId="77777777" w:rsidR="00194E1B" w:rsidRDefault="00194E1B" w:rsidP="00642940">
          <w:pPr>
            <w:autoSpaceDE w:val="0"/>
            <w:autoSpaceDN w:val="0"/>
            <w:adjustRightInd w:val="0"/>
            <w:spacing w:after="0" w:line="240" w:lineRule="auto"/>
            <w:jc w:val="both"/>
            <w:rPr>
              <w:rFonts w:ascii="Times New Roman" w:eastAsiaTheme="minorEastAsia" w:hAnsi="Times New Roman"/>
              <w:sz w:val="24"/>
              <w:szCs w:val="24"/>
              <w14:ligatures w14:val="standardContextual"/>
            </w:rPr>
          </w:pPr>
        </w:p>
        <w:p w14:paraId="1ECCA4D0" w14:textId="0BEA1F78" w:rsidR="00642940" w:rsidRPr="00A8540B" w:rsidRDefault="00642940" w:rsidP="00642940">
          <w:pPr>
            <w:autoSpaceDE w:val="0"/>
            <w:autoSpaceDN w:val="0"/>
            <w:adjustRightInd w:val="0"/>
            <w:spacing w:after="0" w:line="240" w:lineRule="auto"/>
            <w:jc w:val="both"/>
            <w:rPr>
              <w:rFonts w:ascii="Times New Roman" w:hAnsi="Times New Roman"/>
              <w:sz w:val="24"/>
              <w:szCs w:val="24"/>
            </w:rPr>
          </w:pPr>
          <w:r w:rsidRPr="33270F29">
            <w:rPr>
              <w:rFonts w:ascii="Times New Roman" w:eastAsiaTheme="minorEastAsia" w:hAnsi="Times New Roman"/>
              <w:sz w:val="24"/>
              <w:szCs w:val="24"/>
              <w14:ligatures w14:val="standardContextual"/>
            </w:rPr>
            <w:t>Desde la Vicepresidencia Ejecutiva se informó del Laudo de Riesgo Geológico a la Vicepresidencia de Gestión Corporativa y a la Vicepresidencia de Planeación, con el fin que exista la posibilidad de pagar dicho Laudo con Títulos TES.</w:t>
          </w:r>
        </w:p>
        <w:p w14:paraId="48B2CC0D" w14:textId="282934E5" w:rsidR="00642940" w:rsidRDefault="00642940" w:rsidP="33270F29">
          <w:pPr>
            <w:spacing w:after="0" w:line="240" w:lineRule="auto"/>
            <w:jc w:val="both"/>
            <w:rPr>
              <w:rFonts w:ascii="Times New Roman" w:eastAsiaTheme="minorEastAsia" w:hAnsi="Times New Roman"/>
              <w:sz w:val="24"/>
              <w:szCs w:val="24"/>
            </w:rPr>
          </w:pPr>
        </w:p>
        <w:p w14:paraId="1E406824" w14:textId="659493E2" w:rsidR="00642940" w:rsidRPr="00B90884" w:rsidRDefault="2EF9F668" w:rsidP="00B875CB">
          <w:pPr>
            <w:autoSpaceDE w:val="0"/>
            <w:autoSpaceDN w:val="0"/>
            <w:adjustRightInd w:val="0"/>
            <w:spacing w:after="0" w:line="240" w:lineRule="auto"/>
            <w:ind w:hanging="142"/>
            <w:jc w:val="both"/>
            <w:rPr>
              <w:rFonts w:ascii="Times New Roman" w:eastAsia="OpenSymbol" w:hAnsi="Times New Roman"/>
              <w:color w:val="000000"/>
              <w:lang w:eastAsia="es-CO"/>
            </w:rPr>
          </w:pPr>
          <w:r w:rsidRPr="4619451A">
            <w:rPr>
              <w:rFonts w:ascii="Times New Roman" w:hAnsi="Times New Roman"/>
              <w:sz w:val="24"/>
              <w:szCs w:val="24"/>
            </w:rPr>
            <w:t xml:space="preserve">- </w:t>
          </w:r>
          <w:r w:rsidR="00642940" w:rsidRPr="1F921885">
            <w:rPr>
              <w:rFonts w:ascii="Times New Roman" w:hAnsi="Times New Roman"/>
              <w:sz w:val="24"/>
              <w:szCs w:val="24"/>
            </w:rPr>
            <w:t>Un valor de $67.878.917.586 (capital), por la deuda reconocida a nombre de la Concesión Vías del Nus S.A.S, del proyecto de concesión IP Vías del Nus, Contrato No. 001 de 2016, por el Laudo Arbitral No. 135526 del 07 de noviembre de 2023, y resolución de aclaraciones y complementaciones del 20 de noviembre de 2023.</w:t>
          </w:r>
        </w:p>
        <w:p w14:paraId="27E7F60F" w14:textId="77777777" w:rsidR="00642940" w:rsidRDefault="00642940" w:rsidP="00642940">
          <w:pPr>
            <w:pStyle w:val="Prrafodelista"/>
            <w:autoSpaceDE w:val="0"/>
            <w:autoSpaceDN w:val="0"/>
            <w:adjustRightInd w:val="0"/>
            <w:spacing w:after="0" w:line="240" w:lineRule="auto"/>
            <w:ind w:left="142"/>
            <w:jc w:val="both"/>
            <w:rPr>
              <w:rFonts w:ascii="Times New Roman" w:hAnsi="Times New Roman"/>
              <w:sz w:val="24"/>
              <w:szCs w:val="24"/>
            </w:rPr>
          </w:pPr>
        </w:p>
        <w:p w14:paraId="08D77425" w14:textId="77777777" w:rsidR="00642940" w:rsidRDefault="00642940" w:rsidP="1F921885">
          <w:pPr>
            <w:autoSpaceDE w:val="0"/>
            <w:autoSpaceDN w:val="0"/>
            <w:adjustRightInd w:val="0"/>
            <w:spacing w:after="0" w:line="240" w:lineRule="auto"/>
            <w:jc w:val="both"/>
            <w:rPr>
              <w:rFonts w:ascii="Times New Roman" w:eastAsiaTheme="minorHAnsi" w:hAnsi="Times New Roman"/>
              <w:sz w:val="24"/>
              <w:szCs w:val="24"/>
              <w14:ligatures w14:val="standardContextual"/>
            </w:rPr>
          </w:pPr>
          <w:r w:rsidRPr="005405DC">
            <w:rPr>
              <w:rFonts w:ascii="Times New Roman" w:eastAsiaTheme="minorHAnsi" w:hAnsi="Times New Roman"/>
              <w:sz w:val="24"/>
              <w:szCs w:val="24"/>
              <w14:ligatures w14:val="standardContextual"/>
            </w:rPr>
            <w:t>El 23 de febrero de 2022 la sociedad CONCESION VÍAS DEL NUS S.A.S. – VINUS S.A.S.,</w:t>
          </w:r>
          <w:r>
            <w:rPr>
              <w:rFonts w:ascii="Times New Roman" w:eastAsiaTheme="minorHAnsi" w:hAnsi="Times New Roman"/>
              <w:sz w:val="24"/>
              <w:szCs w:val="24"/>
              <w14:ligatures w14:val="standardContextual"/>
            </w:rPr>
            <w:t xml:space="preserve"> </w:t>
          </w:r>
          <w:r w:rsidRPr="005405DC">
            <w:rPr>
              <w:rFonts w:ascii="Times New Roman" w:eastAsiaTheme="minorHAnsi" w:hAnsi="Times New Roman"/>
              <w:sz w:val="24"/>
              <w:szCs w:val="24"/>
              <w14:ligatures w14:val="standardContextual"/>
            </w:rPr>
            <w:t>por intermedio de apoderado especial, solicitó al Centro de Arbitraje, Conciliación y Amigable</w:t>
          </w:r>
          <w:r>
            <w:rPr>
              <w:rFonts w:ascii="Times New Roman" w:eastAsiaTheme="minorHAnsi" w:hAnsi="Times New Roman"/>
              <w:sz w:val="24"/>
              <w:szCs w:val="24"/>
              <w14:ligatures w14:val="standardContextual"/>
            </w:rPr>
            <w:t xml:space="preserve"> </w:t>
          </w:r>
          <w:r w:rsidRPr="005405DC">
            <w:rPr>
              <w:rFonts w:ascii="Times New Roman" w:eastAsiaTheme="minorHAnsi" w:hAnsi="Times New Roman"/>
              <w:sz w:val="24"/>
              <w:szCs w:val="24"/>
              <w14:ligatures w14:val="standardContextual"/>
            </w:rPr>
            <w:t>Composición de la Cámara de Comercio de Bogotá (en adelante “el Centro de Arbitraje”) la</w:t>
          </w:r>
          <w:r>
            <w:rPr>
              <w:rFonts w:ascii="Times New Roman" w:eastAsiaTheme="minorHAnsi" w:hAnsi="Times New Roman"/>
              <w:sz w:val="24"/>
              <w:szCs w:val="24"/>
              <w14:ligatures w14:val="standardContextual"/>
            </w:rPr>
            <w:t xml:space="preserve"> </w:t>
          </w:r>
          <w:r w:rsidRPr="005405DC">
            <w:rPr>
              <w:rFonts w:ascii="Times New Roman" w:eastAsiaTheme="minorHAnsi" w:hAnsi="Times New Roman"/>
              <w:sz w:val="24"/>
              <w:szCs w:val="24"/>
              <w14:ligatures w14:val="standardContextual"/>
            </w:rPr>
            <w:t>integración de un Tribunal Arbitral para dirimir sus controversias con la AGENCIA NACIONAL</w:t>
          </w:r>
          <w:r>
            <w:rPr>
              <w:rFonts w:ascii="Times New Roman" w:eastAsiaTheme="minorHAnsi" w:hAnsi="Times New Roman"/>
              <w:sz w:val="24"/>
              <w:szCs w:val="24"/>
              <w14:ligatures w14:val="standardContextual"/>
            </w:rPr>
            <w:t xml:space="preserve"> </w:t>
          </w:r>
          <w:r w:rsidRPr="005405DC">
            <w:rPr>
              <w:rFonts w:ascii="Times New Roman" w:eastAsiaTheme="minorHAnsi" w:hAnsi="Times New Roman"/>
              <w:sz w:val="24"/>
              <w:szCs w:val="24"/>
              <w14:ligatures w14:val="standardContextual"/>
            </w:rPr>
            <w:t>DE INFRAESTRUCTURA – ANI, derivadas del Contrato de Concesión 001 de 2016, por la</w:t>
          </w:r>
          <w:r>
            <w:rPr>
              <w:rFonts w:ascii="Times New Roman" w:eastAsiaTheme="minorHAnsi" w:hAnsi="Times New Roman"/>
              <w:sz w:val="24"/>
              <w:szCs w:val="24"/>
              <w14:ligatures w14:val="standardContextual"/>
            </w:rPr>
            <w:t xml:space="preserve"> </w:t>
          </w:r>
          <w:r w:rsidRPr="005405DC">
            <w:rPr>
              <w:rFonts w:ascii="Times New Roman" w:eastAsiaTheme="minorHAnsi" w:hAnsi="Times New Roman"/>
              <w:sz w:val="24"/>
              <w:szCs w:val="24"/>
              <w14:ligatures w14:val="standardContextual"/>
            </w:rPr>
            <w:t>NO entrega del peaje de Niquia y las consecuencias que esto conlleva.</w:t>
          </w:r>
          <w:r>
            <w:rPr>
              <w:rFonts w:ascii="Times New Roman" w:eastAsiaTheme="minorHAnsi" w:hAnsi="Times New Roman"/>
              <w:sz w:val="24"/>
              <w:szCs w:val="24"/>
              <w14:ligatures w14:val="standardContextual"/>
            </w:rPr>
            <w:t xml:space="preserve"> </w:t>
          </w:r>
        </w:p>
        <w:p w14:paraId="4C8F68FC" w14:textId="77777777" w:rsidR="00642940" w:rsidRDefault="00642940" w:rsidP="1F921885">
          <w:pPr>
            <w:autoSpaceDE w:val="0"/>
            <w:autoSpaceDN w:val="0"/>
            <w:adjustRightInd w:val="0"/>
            <w:spacing w:after="0" w:line="240" w:lineRule="auto"/>
            <w:jc w:val="both"/>
            <w:rPr>
              <w:rFonts w:ascii="Times New Roman" w:eastAsiaTheme="minorHAnsi" w:hAnsi="Times New Roman"/>
              <w:sz w:val="24"/>
              <w:szCs w:val="24"/>
              <w14:ligatures w14:val="standardContextual"/>
            </w:rPr>
          </w:pPr>
        </w:p>
        <w:p w14:paraId="1F27F4F5" w14:textId="6AE5012E" w:rsidR="00642940" w:rsidRPr="005405DC" w:rsidRDefault="00642940" w:rsidP="55299B54">
          <w:pPr>
            <w:spacing w:after="0" w:line="240" w:lineRule="auto"/>
            <w:jc w:val="both"/>
            <w:rPr>
              <w:rFonts w:ascii="Times New Roman" w:eastAsiaTheme="minorEastAsia" w:hAnsi="Times New Roman"/>
              <w:sz w:val="24"/>
              <w:szCs w:val="24"/>
            </w:rPr>
          </w:pPr>
          <w:r w:rsidRPr="55299B54">
            <w:rPr>
              <w:rFonts w:ascii="Times New Roman" w:eastAsiaTheme="minorEastAsia" w:hAnsi="Times New Roman"/>
              <w:sz w:val="24"/>
              <w:szCs w:val="24"/>
              <w14:ligatures w14:val="standardContextual"/>
            </w:rPr>
            <w:t>A través del laudo del 7 de noviembre de 2023, finaliza el Proceso Arbitral convocado ante el</w:t>
          </w:r>
          <w:r w:rsidRPr="55299B54">
            <w:rPr>
              <w:rFonts w:ascii="Times New Roman" w:eastAsiaTheme="minorEastAsia" w:hAnsi="Times New Roman"/>
              <w:sz w:val="24"/>
              <w:szCs w:val="24"/>
            </w:rPr>
            <w:t xml:space="preserve"> Centro de Arbitraje y Conciliación de la Cámara de Comercio de Bogotá, con radicación</w:t>
          </w:r>
          <w:r w:rsidR="71C350F0" w:rsidRPr="55299B54">
            <w:rPr>
              <w:rFonts w:ascii="Times New Roman" w:eastAsiaTheme="minorEastAsia" w:hAnsi="Times New Roman"/>
              <w:sz w:val="24"/>
              <w:szCs w:val="24"/>
            </w:rPr>
            <w:t xml:space="preserve"> </w:t>
          </w:r>
          <w:r w:rsidRPr="55299B54">
            <w:rPr>
              <w:rFonts w:ascii="Times New Roman" w:eastAsiaTheme="minorEastAsia" w:hAnsi="Times New Roman"/>
              <w:sz w:val="24"/>
              <w:szCs w:val="24"/>
            </w:rPr>
            <w:lastRenderedPageBreak/>
            <w:t>135526, indicando</w:t>
          </w:r>
          <w:r w:rsidR="0F44AFB3" w:rsidRPr="55299B54">
            <w:rPr>
              <w:rFonts w:ascii="Times New Roman" w:eastAsiaTheme="minorEastAsia" w:hAnsi="Times New Roman"/>
              <w:sz w:val="24"/>
              <w:szCs w:val="24"/>
            </w:rPr>
            <w:t xml:space="preserve"> la condena </w:t>
          </w:r>
          <w:r w:rsidRPr="55299B54">
            <w:rPr>
              <w:rFonts w:ascii="Times New Roman" w:eastAsiaTheme="minorEastAsia" w:hAnsi="Times New Roman"/>
              <w:sz w:val="24"/>
              <w:szCs w:val="24"/>
            </w:rPr>
            <w:t xml:space="preserve">a la </w:t>
          </w:r>
          <w:r w:rsidR="0F44AFB3" w:rsidRPr="55299B54">
            <w:rPr>
              <w:rFonts w:ascii="Times New Roman" w:eastAsiaTheme="minorEastAsia" w:hAnsi="Times New Roman"/>
              <w:sz w:val="24"/>
              <w:szCs w:val="24"/>
            </w:rPr>
            <w:t>Agencia</w:t>
          </w:r>
          <w:r w:rsidRPr="55299B54">
            <w:rPr>
              <w:rFonts w:ascii="Times New Roman" w:eastAsiaTheme="minorEastAsia" w:hAnsi="Times New Roman"/>
              <w:sz w:val="24"/>
              <w:szCs w:val="24"/>
            </w:rPr>
            <w:t xml:space="preserve"> a pagar $67.878.917.586, que representa los ingresos del Proyecto no obtenidos entre el 2 de agosto de 2021 y marzo de 2023, por la ausencia del Peaje de Niquia.</w:t>
          </w:r>
          <w:r w:rsidR="7A360EE9" w:rsidRPr="55299B54">
            <w:rPr>
              <w:rFonts w:ascii="Times New Roman" w:eastAsiaTheme="minorEastAsia" w:hAnsi="Times New Roman"/>
              <w:sz w:val="24"/>
              <w:szCs w:val="24"/>
            </w:rPr>
            <w:t xml:space="preserve"> Así como </w:t>
          </w:r>
          <w:r w:rsidRPr="55299B54">
            <w:rPr>
              <w:rFonts w:ascii="Times New Roman" w:eastAsiaTheme="minorEastAsia" w:hAnsi="Times New Roman"/>
              <w:sz w:val="24"/>
              <w:szCs w:val="24"/>
            </w:rPr>
            <w:t>pagar $1.190’000.000, por concepto de costas</w:t>
          </w:r>
          <w:r w:rsidR="6392FB2E" w:rsidRPr="55299B54">
            <w:rPr>
              <w:rFonts w:ascii="Times New Roman" w:eastAsiaTheme="minorEastAsia" w:hAnsi="Times New Roman"/>
              <w:sz w:val="24"/>
              <w:szCs w:val="24"/>
            </w:rPr>
            <w:t>.</w:t>
          </w:r>
        </w:p>
        <w:p w14:paraId="479A2886" w14:textId="3AA98D12" w:rsidR="4619451A" w:rsidRDefault="4619451A" w:rsidP="4619451A">
          <w:pPr>
            <w:spacing w:after="0" w:line="240" w:lineRule="auto"/>
            <w:ind w:left="567" w:right="900"/>
            <w:jc w:val="both"/>
            <w:rPr>
              <w:rFonts w:ascii="Times New Roman" w:eastAsiaTheme="minorEastAsia" w:hAnsi="Times New Roman"/>
              <w:i/>
              <w:iCs/>
              <w:sz w:val="18"/>
              <w:szCs w:val="18"/>
            </w:rPr>
          </w:pPr>
        </w:p>
        <w:p w14:paraId="5AED1FF0" w14:textId="77777777" w:rsidR="00642940" w:rsidRPr="00183F19" w:rsidRDefault="00642940" w:rsidP="00642940">
          <w:pPr>
            <w:autoSpaceDE w:val="0"/>
            <w:autoSpaceDN w:val="0"/>
            <w:adjustRightInd w:val="0"/>
            <w:spacing w:after="0" w:line="240" w:lineRule="auto"/>
            <w:jc w:val="both"/>
            <w:rPr>
              <w:rFonts w:ascii="Times New Roman" w:hAnsi="Times New Roman"/>
              <w:sz w:val="24"/>
              <w:szCs w:val="24"/>
            </w:rPr>
          </w:pPr>
          <w:r w:rsidRPr="1F921885">
            <w:rPr>
              <w:rFonts w:ascii="Times New Roman" w:hAnsi="Times New Roman"/>
              <w:sz w:val="24"/>
              <w:szCs w:val="24"/>
            </w:rPr>
            <w:t xml:space="preserve">Con respecto al valor de la condena en costas en contra de la ANI para este trámite arbitral, se detalla más adelante en el numeral </w:t>
          </w:r>
          <w:r w:rsidRPr="1F921885">
            <w:rPr>
              <w:rFonts w:ascii="Times New Roman" w:hAnsi="Times New Roman"/>
              <w:b/>
              <w:bCs/>
              <w:i/>
              <w:iCs/>
              <w:sz w:val="24"/>
              <w:szCs w:val="24"/>
            </w:rPr>
            <w:t>ii)</w:t>
          </w:r>
          <w:r w:rsidRPr="1F921885">
            <w:rPr>
              <w:rFonts w:ascii="Times New Roman" w:hAnsi="Times New Roman"/>
              <w:i/>
              <w:iCs/>
              <w:sz w:val="24"/>
              <w:szCs w:val="24"/>
            </w:rPr>
            <w:t xml:space="preserve"> Reconocimiento de condena en costas y agencias en derecho.</w:t>
          </w:r>
          <w:r w:rsidRPr="1F921885">
            <w:rPr>
              <w:rFonts w:ascii="Times New Roman" w:hAnsi="Times New Roman"/>
              <w:sz w:val="24"/>
              <w:szCs w:val="24"/>
            </w:rPr>
            <w:t xml:space="preserve">, valor que se encuentra registrado en la subcuenta contable Laudos arbitrales. </w:t>
          </w:r>
        </w:p>
        <w:p w14:paraId="4377D8C5" w14:textId="77777777" w:rsidR="001C253A" w:rsidRPr="00762F57" w:rsidRDefault="001C253A" w:rsidP="001C253A">
          <w:pPr>
            <w:autoSpaceDE w:val="0"/>
            <w:autoSpaceDN w:val="0"/>
            <w:adjustRightInd w:val="0"/>
            <w:spacing w:after="0" w:line="240" w:lineRule="auto"/>
            <w:jc w:val="both"/>
            <w:rPr>
              <w:rFonts w:ascii="Times New Roman" w:hAnsi="Times New Roman"/>
              <w:sz w:val="24"/>
              <w:szCs w:val="24"/>
            </w:rPr>
          </w:pPr>
          <w:r w:rsidRPr="001C253A">
            <w:rPr>
              <w:rFonts w:ascii="Times New Roman" w:hAnsi="Times New Roman"/>
              <w:sz w:val="24"/>
              <w:szCs w:val="24"/>
            </w:rPr>
            <w:t>Esos recursos y liquidación de sus intereses deberán pagarse conforme los artículos 192 y 195 del CPACA, que en todo caso tiene como plazo máximo de diez (10) meses, contados a partir de la fecha de la ejecutoria de la sentencia (Laudo en este caso).</w:t>
          </w:r>
        </w:p>
        <w:p w14:paraId="55EF1839" w14:textId="77777777" w:rsidR="00642940" w:rsidRDefault="00642940" w:rsidP="1F921885">
          <w:pPr>
            <w:autoSpaceDE w:val="0"/>
            <w:autoSpaceDN w:val="0"/>
            <w:adjustRightInd w:val="0"/>
            <w:spacing w:after="0" w:line="240" w:lineRule="auto"/>
            <w:jc w:val="both"/>
            <w:rPr>
              <w:rFonts w:ascii="Times New Roman" w:eastAsiaTheme="minorEastAsia" w:hAnsi="Times New Roman"/>
              <w:sz w:val="24"/>
              <w:szCs w:val="24"/>
              <w14:ligatures w14:val="standardContextual"/>
            </w:rPr>
          </w:pPr>
        </w:p>
        <w:p w14:paraId="50811AF9" w14:textId="77777777" w:rsidR="00642940" w:rsidRPr="005405DC" w:rsidRDefault="00642940" w:rsidP="1F921885">
          <w:pPr>
            <w:autoSpaceDE w:val="0"/>
            <w:autoSpaceDN w:val="0"/>
            <w:adjustRightInd w:val="0"/>
            <w:spacing w:after="0" w:line="240" w:lineRule="auto"/>
            <w:jc w:val="both"/>
            <w:rPr>
              <w:rFonts w:ascii="Times New Roman" w:eastAsiaTheme="minorHAnsi" w:hAnsi="Times New Roman"/>
              <w:sz w:val="24"/>
              <w:szCs w:val="24"/>
              <w14:ligatures w14:val="standardContextual"/>
            </w:rPr>
          </w:pPr>
          <w:r w:rsidRPr="005405DC">
            <w:rPr>
              <w:rFonts w:ascii="Times New Roman" w:eastAsiaTheme="minorHAnsi" w:hAnsi="Times New Roman"/>
              <w:sz w:val="24"/>
              <w:szCs w:val="24"/>
              <w14:ligatures w14:val="standardContextual"/>
            </w:rPr>
            <w:t>Hasta el momento no se han generado pagos o abonos a la deuda, toda vez que es un laudo</w:t>
          </w:r>
          <w:r>
            <w:rPr>
              <w:rFonts w:ascii="Times New Roman" w:eastAsiaTheme="minorHAnsi" w:hAnsi="Times New Roman"/>
              <w:sz w:val="24"/>
              <w:szCs w:val="24"/>
              <w14:ligatures w14:val="standardContextual"/>
            </w:rPr>
            <w:t xml:space="preserve"> </w:t>
          </w:r>
          <w:r w:rsidRPr="005405DC">
            <w:rPr>
              <w:rFonts w:ascii="Times New Roman" w:eastAsiaTheme="minorHAnsi" w:hAnsi="Times New Roman"/>
              <w:sz w:val="24"/>
              <w:szCs w:val="24"/>
              <w14:ligatures w14:val="standardContextual"/>
            </w:rPr>
            <w:t>arbitral proferido en el último trimestre del año 2023.</w:t>
          </w:r>
        </w:p>
        <w:p w14:paraId="03F49B40" w14:textId="77777777" w:rsidR="00642940" w:rsidRPr="005405DC" w:rsidRDefault="00642940" w:rsidP="1F921885">
          <w:pPr>
            <w:pStyle w:val="Prrafodelista"/>
            <w:autoSpaceDE w:val="0"/>
            <w:autoSpaceDN w:val="0"/>
            <w:adjustRightInd w:val="0"/>
            <w:spacing w:after="0" w:line="240" w:lineRule="auto"/>
            <w:ind w:left="142"/>
            <w:jc w:val="both"/>
            <w:rPr>
              <w:rFonts w:ascii="Times New Roman" w:eastAsiaTheme="minorHAnsi" w:hAnsi="Times New Roman"/>
              <w:sz w:val="24"/>
              <w:szCs w:val="24"/>
              <w14:ligatures w14:val="standardContextual"/>
            </w:rPr>
          </w:pPr>
        </w:p>
        <w:p w14:paraId="59F4A317" w14:textId="77777777" w:rsidR="00642940" w:rsidRPr="000931A1" w:rsidRDefault="00642940" w:rsidP="1F921885">
          <w:pPr>
            <w:autoSpaceDE w:val="0"/>
            <w:autoSpaceDN w:val="0"/>
            <w:adjustRightInd w:val="0"/>
            <w:spacing w:after="0" w:line="240" w:lineRule="auto"/>
            <w:jc w:val="both"/>
            <w:rPr>
              <w:rFonts w:ascii="Times New Roman" w:eastAsiaTheme="minorHAnsi" w:hAnsi="Times New Roman"/>
              <w:sz w:val="24"/>
              <w:szCs w:val="24"/>
              <w14:ligatures w14:val="standardContextual"/>
            </w:rPr>
          </w:pPr>
          <w:r w:rsidRPr="005405DC">
            <w:rPr>
              <w:rFonts w:ascii="Times New Roman" w:eastAsiaTheme="minorHAnsi" w:hAnsi="Times New Roman"/>
              <w:sz w:val="24"/>
              <w:szCs w:val="24"/>
              <w14:ligatures w14:val="standardContextual"/>
            </w:rPr>
            <w:t>Para esta cuenta por pagar, la Agencia no presenta incumplimiento en las condiciones de</w:t>
          </w:r>
          <w:r>
            <w:rPr>
              <w:rFonts w:ascii="Times New Roman" w:eastAsiaTheme="minorHAnsi" w:hAnsi="Times New Roman"/>
              <w:sz w:val="24"/>
              <w:szCs w:val="24"/>
              <w14:ligatures w14:val="standardContextual"/>
            </w:rPr>
            <w:t xml:space="preserve"> </w:t>
          </w:r>
          <w:r w:rsidRPr="005405DC">
            <w:rPr>
              <w:rFonts w:ascii="Times New Roman" w:eastAsiaTheme="minorHAnsi" w:hAnsi="Times New Roman"/>
              <w:sz w:val="24"/>
              <w:szCs w:val="24"/>
              <w14:ligatures w14:val="standardContextual"/>
            </w:rPr>
            <w:t>pago del principal, del plazo ni de los intereses, ni tampoco se ha realizado ningún pago a</w:t>
          </w:r>
          <w:r>
            <w:rPr>
              <w:rFonts w:ascii="Times New Roman" w:eastAsiaTheme="minorHAnsi" w:hAnsi="Times New Roman"/>
              <w:sz w:val="24"/>
              <w:szCs w:val="24"/>
              <w14:ligatures w14:val="standardContextual"/>
            </w:rPr>
            <w:t xml:space="preserve"> </w:t>
          </w:r>
          <w:r w:rsidRPr="000931A1">
            <w:rPr>
              <w:rFonts w:ascii="Times New Roman" w:eastAsiaTheme="minorHAnsi" w:hAnsi="Times New Roman"/>
              <w:sz w:val="24"/>
              <w:szCs w:val="24"/>
              <w14:ligatures w14:val="standardContextual"/>
            </w:rPr>
            <w:t>la deuda.</w:t>
          </w:r>
        </w:p>
        <w:p w14:paraId="3F987CA1" w14:textId="77777777" w:rsidR="00F42579" w:rsidRDefault="00F42579" w:rsidP="00F42579">
          <w:pPr>
            <w:pStyle w:val="Prrafodelista"/>
            <w:autoSpaceDE w:val="0"/>
            <w:autoSpaceDN w:val="0"/>
            <w:adjustRightInd w:val="0"/>
            <w:spacing w:after="0" w:line="240" w:lineRule="auto"/>
            <w:ind w:left="142"/>
            <w:jc w:val="both"/>
            <w:rPr>
              <w:rFonts w:ascii="Times New Roman" w:hAnsi="Times New Roman"/>
              <w:sz w:val="24"/>
              <w:szCs w:val="24"/>
            </w:rPr>
          </w:pPr>
        </w:p>
        <w:p w14:paraId="2B9DE490" w14:textId="6A9D9C93" w:rsidR="00FD6A9B" w:rsidRPr="00B90884" w:rsidRDefault="17A6B614" w:rsidP="005336EC">
          <w:pPr>
            <w:autoSpaceDE w:val="0"/>
            <w:autoSpaceDN w:val="0"/>
            <w:adjustRightInd w:val="0"/>
            <w:spacing w:after="0" w:line="240" w:lineRule="auto"/>
            <w:ind w:hanging="142"/>
            <w:jc w:val="both"/>
            <w:rPr>
              <w:rFonts w:ascii="Times New Roman" w:hAnsi="Times New Roman"/>
              <w:color w:val="000000"/>
              <w:lang w:eastAsia="es-CO"/>
            </w:rPr>
          </w:pPr>
          <w:r w:rsidRPr="4619451A">
            <w:rPr>
              <w:rFonts w:ascii="Times New Roman" w:hAnsi="Times New Roman"/>
              <w:sz w:val="24"/>
              <w:szCs w:val="24"/>
            </w:rPr>
            <w:t xml:space="preserve">- </w:t>
          </w:r>
          <w:r w:rsidR="00FD6A9B" w:rsidRPr="1A7ADF63">
            <w:rPr>
              <w:rFonts w:ascii="Times New Roman" w:hAnsi="Times New Roman"/>
              <w:sz w:val="24"/>
              <w:szCs w:val="24"/>
            </w:rPr>
            <w:t xml:space="preserve">Un valor de $65.523.813.489, </w:t>
          </w:r>
          <w:r w:rsidR="00FD6A9B" w:rsidRPr="1A7ADF63">
            <w:rPr>
              <w:rFonts w:ascii="Times New Roman" w:hAnsi="Times New Roman"/>
              <w:color w:val="000000" w:themeColor="text1"/>
              <w:sz w:val="24"/>
              <w:szCs w:val="24"/>
              <w:lang w:eastAsia="es-CO"/>
            </w:rPr>
            <w:t xml:space="preserve">corresponde a la liquidación por concepto de capital de predios adquiridos por el Concesionario, deuda reconocida por la ANI, a favor de BTS Concesionario S.A.S., del proyecto de concesión Briceño Tunja Sogamoso, de conformidad con el Laudo Arbitral No. 4677, corresponde al </w:t>
          </w:r>
          <w:r w:rsidR="00FD6A9B" w:rsidRPr="1A7ADF63">
            <w:rPr>
              <w:rFonts w:ascii="Times New Roman" w:hAnsi="Times New Roman"/>
              <w:i/>
              <w:iCs/>
              <w:color w:val="000000" w:themeColor="text1"/>
              <w:sz w:val="24"/>
              <w:szCs w:val="24"/>
              <w:lang w:eastAsia="es-CO"/>
            </w:rPr>
            <w:t xml:space="preserve">“Fondeo Predial - Clausula 27.3 y Predios Adicionales Trayectos 8, 9, 10 Y 17”. </w:t>
          </w:r>
        </w:p>
        <w:p w14:paraId="6356333D" w14:textId="77777777" w:rsidR="00FD6A9B" w:rsidRDefault="00FD6A9B" w:rsidP="00FD6A9B">
          <w:pPr>
            <w:pStyle w:val="Prrafodelista"/>
            <w:autoSpaceDE w:val="0"/>
            <w:autoSpaceDN w:val="0"/>
            <w:adjustRightInd w:val="0"/>
            <w:spacing w:after="0" w:line="240" w:lineRule="auto"/>
            <w:ind w:left="284" w:firstLine="708"/>
            <w:jc w:val="both"/>
            <w:rPr>
              <w:rFonts w:ascii="Times New Roman" w:eastAsia="OpenSymbol" w:hAnsi="Times New Roman"/>
              <w:color w:val="000000"/>
              <w:sz w:val="24"/>
              <w:szCs w:val="24"/>
              <w:highlight w:val="green"/>
              <w:lang w:eastAsia="es-CO"/>
            </w:rPr>
          </w:pPr>
        </w:p>
        <w:p w14:paraId="7CF89D92" w14:textId="77777777" w:rsidR="00FD6A9B" w:rsidRPr="00B223E9" w:rsidRDefault="00FD6A9B" w:rsidP="1A7ADF63">
          <w:pPr>
            <w:autoSpaceDE w:val="0"/>
            <w:autoSpaceDN w:val="0"/>
            <w:adjustRightInd w:val="0"/>
            <w:spacing w:after="0" w:line="240" w:lineRule="auto"/>
            <w:jc w:val="both"/>
            <w:rPr>
              <w:rFonts w:ascii="Times New Roman" w:eastAsiaTheme="minorHAnsi" w:hAnsi="Times New Roman"/>
              <w:sz w:val="24"/>
              <w:szCs w:val="24"/>
              <w14:ligatures w14:val="standardContextual"/>
            </w:rPr>
          </w:pPr>
          <w:r w:rsidRPr="00B223E9">
            <w:rPr>
              <w:rFonts w:ascii="Times New Roman" w:eastAsiaTheme="minorHAnsi" w:hAnsi="Times New Roman"/>
              <w:sz w:val="24"/>
              <w:szCs w:val="24"/>
              <w14:ligatures w14:val="standardContextual"/>
            </w:rPr>
            <w:t>El concesionario CSS Constructores mediante radicado 4677 promovió demanda arbitral en</w:t>
          </w:r>
          <w:r>
            <w:rPr>
              <w:rFonts w:ascii="Times New Roman" w:eastAsiaTheme="minorHAnsi" w:hAnsi="Times New Roman"/>
              <w:sz w:val="24"/>
              <w:szCs w:val="24"/>
              <w14:ligatures w14:val="standardContextual"/>
            </w:rPr>
            <w:t xml:space="preserve"> </w:t>
          </w:r>
          <w:r w:rsidRPr="00B223E9">
            <w:rPr>
              <w:rFonts w:ascii="Times New Roman" w:eastAsiaTheme="minorHAnsi" w:hAnsi="Times New Roman"/>
              <w:sz w:val="24"/>
              <w:szCs w:val="24"/>
              <w14:ligatures w14:val="standardContextual"/>
            </w:rPr>
            <w:t>contra de la ANI, en lo referente a la adquisición predial, la pretensión tenía que ver con el</w:t>
          </w:r>
          <w:r>
            <w:rPr>
              <w:rFonts w:ascii="Times New Roman" w:eastAsiaTheme="minorHAnsi" w:hAnsi="Times New Roman"/>
              <w:sz w:val="24"/>
              <w:szCs w:val="24"/>
              <w14:ligatures w14:val="standardContextual"/>
            </w:rPr>
            <w:t xml:space="preserve"> </w:t>
          </w:r>
          <w:r w:rsidRPr="00B223E9">
            <w:rPr>
              <w:rFonts w:ascii="Times New Roman" w:eastAsiaTheme="minorHAnsi" w:hAnsi="Times New Roman"/>
              <w:sz w:val="24"/>
              <w:szCs w:val="24"/>
              <w14:ligatures w14:val="standardContextual"/>
            </w:rPr>
            <w:t>reconocimiento de los fondeos adicionales más intereses aportados por el concesionario</w:t>
          </w:r>
          <w:r>
            <w:rPr>
              <w:rFonts w:ascii="Times New Roman" w:eastAsiaTheme="minorHAnsi" w:hAnsi="Times New Roman"/>
              <w:sz w:val="24"/>
              <w:szCs w:val="24"/>
              <w14:ligatures w14:val="standardContextual"/>
            </w:rPr>
            <w:t xml:space="preserve"> </w:t>
          </w:r>
          <w:r w:rsidRPr="00B223E9">
            <w:rPr>
              <w:rFonts w:ascii="Times New Roman" w:eastAsiaTheme="minorHAnsi" w:hAnsi="Times New Roman"/>
              <w:sz w:val="24"/>
              <w:szCs w:val="24"/>
              <w14:ligatures w14:val="standardContextual"/>
            </w:rPr>
            <w:t>para la gestión predial del proyecto, el primero (1) de febrero de 2019 el tribunal profirió Laudo</w:t>
          </w:r>
          <w:r>
            <w:rPr>
              <w:rFonts w:ascii="Times New Roman" w:eastAsiaTheme="minorHAnsi" w:hAnsi="Times New Roman"/>
              <w:sz w:val="24"/>
              <w:szCs w:val="24"/>
              <w14:ligatures w14:val="standardContextual"/>
            </w:rPr>
            <w:t xml:space="preserve"> </w:t>
          </w:r>
          <w:r w:rsidRPr="00B223E9">
            <w:rPr>
              <w:rFonts w:ascii="Times New Roman" w:eastAsiaTheme="minorHAnsi" w:hAnsi="Times New Roman"/>
              <w:sz w:val="24"/>
              <w:szCs w:val="24"/>
              <w14:ligatures w14:val="standardContextual"/>
            </w:rPr>
            <w:t xml:space="preserve">Arbitral en </w:t>
          </w:r>
          <w:r w:rsidRPr="0054104D">
            <w:rPr>
              <w:rFonts w:ascii="Times New Roman" w:eastAsiaTheme="minorHAnsi" w:hAnsi="Times New Roman"/>
              <w:sz w:val="24"/>
              <w:szCs w:val="24"/>
              <w14:ligatures w14:val="standardContextual"/>
            </w:rPr>
            <w:t>donde niega la pretensión del demandante, por</w:t>
          </w:r>
          <w:r w:rsidRPr="00B223E9">
            <w:rPr>
              <w:rFonts w:ascii="Times New Roman" w:eastAsiaTheme="minorHAnsi" w:hAnsi="Times New Roman"/>
              <w:sz w:val="24"/>
              <w:szCs w:val="24"/>
              <w14:ligatures w14:val="standardContextual"/>
            </w:rPr>
            <w:t xml:space="preserve"> lo que la ANI deberá proceder con</w:t>
          </w:r>
        </w:p>
        <w:p w14:paraId="47BC56D9" w14:textId="1CD7C3BE" w:rsidR="00FD6A9B" w:rsidRDefault="00FD6A9B" w:rsidP="1A7ADF63">
          <w:pPr>
            <w:autoSpaceDE w:val="0"/>
            <w:autoSpaceDN w:val="0"/>
            <w:adjustRightInd w:val="0"/>
            <w:spacing w:after="0" w:line="240" w:lineRule="auto"/>
            <w:jc w:val="both"/>
            <w:rPr>
              <w:rFonts w:ascii="Times New Roman" w:eastAsiaTheme="minorHAnsi" w:hAnsi="Times New Roman"/>
              <w:sz w:val="24"/>
              <w:szCs w:val="24"/>
              <w14:ligatures w14:val="standardContextual"/>
            </w:rPr>
          </w:pPr>
          <w:r w:rsidRPr="00B223E9">
            <w:rPr>
              <w:rFonts w:ascii="Times New Roman" w:eastAsiaTheme="minorHAnsi" w:hAnsi="Times New Roman"/>
              <w:sz w:val="24"/>
              <w:szCs w:val="24"/>
              <w14:ligatures w14:val="standardContextual"/>
            </w:rPr>
            <w:t>la aplicación de las cláusulas 27.3 y 49 del contrato de Concesión No 0377 de 2002, es decir</w:t>
          </w:r>
          <w:r w:rsidR="00885731">
            <w:rPr>
              <w:rFonts w:ascii="Times New Roman" w:eastAsiaTheme="minorHAnsi" w:hAnsi="Times New Roman"/>
              <w:sz w:val="24"/>
              <w:szCs w:val="24"/>
              <w14:ligatures w14:val="standardContextual"/>
            </w:rPr>
            <w:t xml:space="preserve"> </w:t>
          </w:r>
          <w:r w:rsidRPr="00B223E9">
            <w:rPr>
              <w:rFonts w:ascii="Times New Roman" w:eastAsiaTheme="minorHAnsi" w:hAnsi="Times New Roman"/>
              <w:sz w:val="24"/>
              <w:szCs w:val="24"/>
              <w14:ligatures w14:val="standardContextual"/>
            </w:rPr>
            <w:t>el reconocimiento de intereses remuneratorios del DTF +5 puntos porcentuales al final del</w:t>
          </w:r>
          <w:r>
            <w:rPr>
              <w:rFonts w:ascii="Times New Roman" w:eastAsiaTheme="minorHAnsi" w:hAnsi="Times New Roman"/>
              <w:sz w:val="24"/>
              <w:szCs w:val="24"/>
              <w14:ligatures w14:val="standardContextual"/>
            </w:rPr>
            <w:t xml:space="preserve"> </w:t>
          </w:r>
          <w:r w:rsidRPr="00B223E9">
            <w:rPr>
              <w:rFonts w:ascii="Times New Roman" w:eastAsiaTheme="minorHAnsi" w:hAnsi="Times New Roman"/>
              <w:sz w:val="24"/>
              <w:szCs w:val="24"/>
              <w14:ligatures w14:val="standardContextual"/>
            </w:rPr>
            <w:t>mes en el que se adquiera el último predio y el reconocimiento de intereses de mora a partir</w:t>
          </w:r>
          <w:r w:rsidR="00EF3EF9">
            <w:rPr>
              <w:rFonts w:ascii="Times New Roman" w:eastAsiaTheme="minorHAnsi" w:hAnsi="Times New Roman"/>
              <w:sz w:val="24"/>
              <w:szCs w:val="24"/>
              <w14:ligatures w14:val="standardContextual"/>
            </w:rPr>
            <w:t xml:space="preserve"> </w:t>
          </w:r>
          <w:r w:rsidRPr="00B223E9">
            <w:rPr>
              <w:rFonts w:ascii="Times New Roman" w:eastAsiaTheme="minorHAnsi" w:hAnsi="Times New Roman"/>
              <w:sz w:val="24"/>
              <w:szCs w:val="24"/>
              <w14:ligatures w14:val="standardContextual"/>
            </w:rPr>
            <w:t>del mes décimo octavo (18)</w:t>
          </w:r>
          <w:r>
            <w:rPr>
              <w:rFonts w:ascii="Times New Roman" w:eastAsiaTheme="minorHAnsi" w:hAnsi="Times New Roman"/>
              <w:sz w:val="24"/>
              <w:szCs w:val="24"/>
              <w14:ligatures w14:val="standardContextual"/>
            </w:rPr>
            <w:t>.</w:t>
          </w:r>
        </w:p>
        <w:p w14:paraId="1F5CA8A9" w14:textId="77777777" w:rsidR="00FD6A9B" w:rsidRPr="00B223E9" w:rsidRDefault="00FD6A9B" w:rsidP="1A7ADF63">
          <w:pPr>
            <w:autoSpaceDE w:val="0"/>
            <w:autoSpaceDN w:val="0"/>
            <w:adjustRightInd w:val="0"/>
            <w:spacing w:after="0" w:line="240" w:lineRule="auto"/>
            <w:jc w:val="both"/>
            <w:rPr>
              <w:rFonts w:ascii="Times New Roman" w:eastAsiaTheme="minorHAnsi" w:hAnsi="Times New Roman"/>
              <w:sz w:val="24"/>
              <w:szCs w:val="24"/>
              <w14:ligatures w14:val="standardContextual"/>
            </w:rPr>
          </w:pPr>
        </w:p>
        <w:p w14:paraId="40BF2F77" w14:textId="179B73F3" w:rsidR="00FD6A9B" w:rsidRPr="00B223E9" w:rsidRDefault="00FD6A9B" w:rsidP="1A7ADF63">
          <w:pPr>
            <w:autoSpaceDE w:val="0"/>
            <w:autoSpaceDN w:val="0"/>
            <w:adjustRightInd w:val="0"/>
            <w:spacing w:after="0" w:line="240" w:lineRule="auto"/>
            <w:jc w:val="both"/>
            <w:rPr>
              <w:rFonts w:ascii="Times New Roman" w:eastAsiaTheme="minorHAnsi" w:hAnsi="Times New Roman"/>
              <w:sz w:val="24"/>
              <w:szCs w:val="24"/>
              <w14:ligatures w14:val="standardContextual"/>
            </w:rPr>
          </w:pPr>
          <w:r w:rsidRPr="00B223E9">
            <w:rPr>
              <w:rFonts w:ascii="Times New Roman" w:eastAsiaTheme="minorHAnsi" w:hAnsi="Times New Roman"/>
              <w:sz w:val="24"/>
              <w:szCs w:val="24"/>
              <w14:ligatures w14:val="standardContextual"/>
            </w:rPr>
            <w:t>La interventoría del Contrato de Concesión Consorcio Interventor ANI, reportó para la</w:t>
          </w:r>
          <w:r>
            <w:rPr>
              <w:rFonts w:ascii="Times New Roman" w:eastAsiaTheme="minorHAnsi" w:hAnsi="Times New Roman"/>
              <w:sz w:val="24"/>
              <w:szCs w:val="24"/>
              <w14:ligatures w14:val="standardContextual"/>
            </w:rPr>
            <w:t xml:space="preserve"> </w:t>
          </w:r>
          <w:r w:rsidRPr="00B223E9">
            <w:rPr>
              <w:rFonts w:ascii="Times New Roman" w:eastAsiaTheme="minorHAnsi" w:hAnsi="Times New Roman"/>
              <w:sz w:val="24"/>
              <w:szCs w:val="24"/>
              <w14:ligatures w14:val="standardContextual"/>
            </w:rPr>
            <w:t>vigencia</w:t>
          </w:r>
          <w:r>
            <w:rPr>
              <w:rFonts w:ascii="Times New Roman" w:eastAsiaTheme="minorHAnsi" w:hAnsi="Times New Roman"/>
              <w:sz w:val="24"/>
              <w:szCs w:val="24"/>
              <w14:ligatures w14:val="standardContextual"/>
            </w:rPr>
            <w:t xml:space="preserve"> </w:t>
          </w:r>
          <w:r w:rsidRPr="00B223E9">
            <w:rPr>
              <w:rFonts w:ascii="Times New Roman" w:eastAsiaTheme="minorHAnsi" w:hAnsi="Times New Roman"/>
              <w:sz w:val="24"/>
              <w:szCs w:val="24"/>
              <w14:ligatures w14:val="standardContextual"/>
            </w:rPr>
            <w:t>2023 gestión predial por la suma de $57.599.923 consolidándose el valor a</w:t>
          </w:r>
          <w:r>
            <w:rPr>
              <w:rFonts w:ascii="Times New Roman" w:eastAsiaTheme="minorHAnsi" w:hAnsi="Times New Roman"/>
              <w:sz w:val="24"/>
              <w:szCs w:val="24"/>
              <w14:ligatures w14:val="standardContextual"/>
            </w:rPr>
            <w:t xml:space="preserve"> </w:t>
          </w:r>
          <w:r w:rsidRPr="00B223E9">
            <w:rPr>
              <w:rFonts w:ascii="Times New Roman" w:eastAsiaTheme="minorHAnsi" w:hAnsi="Times New Roman"/>
              <w:sz w:val="24"/>
              <w:szCs w:val="24"/>
              <w14:ligatures w14:val="standardContextual"/>
            </w:rPr>
            <w:t>reembolsar al</w:t>
          </w:r>
          <w:r>
            <w:rPr>
              <w:rFonts w:ascii="Times New Roman" w:eastAsiaTheme="minorHAnsi" w:hAnsi="Times New Roman"/>
              <w:sz w:val="24"/>
              <w:szCs w:val="24"/>
              <w14:ligatures w14:val="standardContextual"/>
            </w:rPr>
            <w:t xml:space="preserve"> </w:t>
          </w:r>
          <w:r w:rsidRPr="00B223E9">
            <w:rPr>
              <w:rFonts w:ascii="Times New Roman" w:eastAsiaTheme="minorHAnsi" w:hAnsi="Times New Roman"/>
              <w:sz w:val="24"/>
              <w:szCs w:val="24"/>
              <w14:ligatures w14:val="standardContextual"/>
            </w:rPr>
            <w:t>concesionario en la suma de $65.523.813.489</w:t>
          </w:r>
          <w:r w:rsidR="00691A1A">
            <w:rPr>
              <w:rFonts w:ascii="Times New Roman" w:eastAsiaTheme="minorHAnsi" w:hAnsi="Times New Roman"/>
              <w:sz w:val="24"/>
              <w:szCs w:val="24"/>
              <w14:ligatures w14:val="standardContextual"/>
            </w:rPr>
            <w:t>.</w:t>
          </w:r>
        </w:p>
        <w:p w14:paraId="018CBA6E" w14:textId="77777777" w:rsidR="00FD6A9B" w:rsidRPr="00B223E9" w:rsidRDefault="00FD6A9B" w:rsidP="1A7ADF63">
          <w:pPr>
            <w:pStyle w:val="Prrafodelista"/>
            <w:autoSpaceDE w:val="0"/>
            <w:autoSpaceDN w:val="0"/>
            <w:adjustRightInd w:val="0"/>
            <w:spacing w:after="0" w:line="240" w:lineRule="auto"/>
            <w:ind w:left="284" w:firstLine="708"/>
            <w:jc w:val="both"/>
            <w:rPr>
              <w:rFonts w:ascii="Times New Roman" w:eastAsiaTheme="minorHAnsi" w:hAnsi="Times New Roman"/>
              <w:sz w:val="24"/>
              <w:szCs w:val="24"/>
              <w14:ligatures w14:val="standardContextual"/>
            </w:rPr>
          </w:pPr>
        </w:p>
        <w:p w14:paraId="2E000629" w14:textId="109686BD" w:rsidR="00FD6A9B" w:rsidRDefault="00FD6A9B" w:rsidP="1A7ADF63">
          <w:pPr>
            <w:autoSpaceDE w:val="0"/>
            <w:autoSpaceDN w:val="0"/>
            <w:adjustRightInd w:val="0"/>
            <w:spacing w:after="0" w:line="240" w:lineRule="auto"/>
            <w:jc w:val="both"/>
            <w:rPr>
              <w:rFonts w:ascii="Times New Roman" w:eastAsiaTheme="minorHAnsi" w:hAnsi="Times New Roman"/>
              <w:sz w:val="24"/>
              <w:szCs w:val="24"/>
              <w14:ligatures w14:val="standardContextual"/>
            </w:rPr>
          </w:pPr>
          <w:r w:rsidRPr="00B223E9">
            <w:rPr>
              <w:rFonts w:ascii="Times New Roman" w:eastAsiaTheme="minorHAnsi" w:hAnsi="Times New Roman"/>
              <w:sz w:val="24"/>
              <w:szCs w:val="24"/>
              <w14:ligatures w14:val="standardContextual"/>
            </w:rPr>
            <w:t>En la vigencia 2023 el Ministerio de Hacienda y Crédito Público mediante radicado No 2-2023-065842 del 07 de diciembre de 2023 autorizo el plan de aportes al Fondo de</w:t>
          </w:r>
          <w:r>
            <w:rPr>
              <w:rFonts w:ascii="Times New Roman" w:eastAsiaTheme="minorHAnsi" w:hAnsi="Times New Roman"/>
              <w:sz w:val="24"/>
              <w:szCs w:val="24"/>
              <w14:ligatures w14:val="standardContextual"/>
            </w:rPr>
            <w:t xml:space="preserve"> </w:t>
          </w:r>
          <w:r w:rsidRPr="00B223E9">
            <w:rPr>
              <w:rFonts w:ascii="Times New Roman" w:eastAsiaTheme="minorHAnsi" w:hAnsi="Times New Roman"/>
              <w:sz w:val="24"/>
              <w:szCs w:val="24"/>
              <w14:ligatures w14:val="standardContextual"/>
            </w:rPr>
            <w:t>Contingencias de Entidades Estatales en la suma de $60.185.000.000 para la vigencia 2024</w:t>
          </w:r>
          <w:r w:rsidR="00AF2C9D">
            <w:rPr>
              <w:rFonts w:ascii="Times New Roman" w:eastAsiaTheme="minorHAnsi" w:hAnsi="Times New Roman"/>
              <w:sz w:val="24"/>
              <w:szCs w:val="24"/>
              <w14:ligatures w14:val="standardContextual"/>
            </w:rPr>
            <w:t xml:space="preserve"> </w:t>
          </w:r>
          <w:r w:rsidRPr="00B223E9">
            <w:rPr>
              <w:rFonts w:ascii="Times New Roman" w:eastAsiaTheme="minorHAnsi" w:hAnsi="Times New Roman"/>
              <w:sz w:val="24"/>
              <w:szCs w:val="24"/>
              <w14:ligatures w14:val="standardContextual"/>
            </w:rPr>
            <w:t>en el marco de la activación del Riesgo predial del proyecto.</w:t>
          </w:r>
        </w:p>
        <w:p w14:paraId="51F92CC5" w14:textId="77777777" w:rsidR="00FD6A9B" w:rsidRPr="00B223E9" w:rsidRDefault="00FD6A9B" w:rsidP="1A7ADF63">
          <w:pPr>
            <w:autoSpaceDE w:val="0"/>
            <w:autoSpaceDN w:val="0"/>
            <w:adjustRightInd w:val="0"/>
            <w:spacing w:after="0" w:line="240" w:lineRule="auto"/>
            <w:jc w:val="both"/>
            <w:rPr>
              <w:rFonts w:ascii="Times New Roman" w:eastAsiaTheme="minorHAnsi" w:hAnsi="Times New Roman"/>
              <w:sz w:val="24"/>
              <w:szCs w:val="24"/>
              <w14:ligatures w14:val="standardContextual"/>
            </w:rPr>
          </w:pPr>
        </w:p>
        <w:p w14:paraId="5F3769E7" w14:textId="77777777" w:rsidR="00FD6A9B" w:rsidRPr="00B223E9" w:rsidRDefault="00FD6A9B" w:rsidP="1A7ADF63">
          <w:pPr>
            <w:autoSpaceDE w:val="0"/>
            <w:autoSpaceDN w:val="0"/>
            <w:adjustRightInd w:val="0"/>
            <w:spacing w:after="0" w:line="240" w:lineRule="auto"/>
            <w:jc w:val="both"/>
            <w:rPr>
              <w:rFonts w:ascii="Times New Roman" w:eastAsiaTheme="minorHAnsi" w:hAnsi="Times New Roman"/>
              <w:sz w:val="24"/>
              <w:szCs w:val="24"/>
              <w14:ligatures w14:val="standardContextual"/>
            </w:rPr>
          </w:pPr>
          <w:r w:rsidRPr="00B223E9">
            <w:rPr>
              <w:rFonts w:ascii="Times New Roman" w:eastAsiaTheme="minorHAnsi" w:hAnsi="Times New Roman"/>
              <w:sz w:val="24"/>
              <w:szCs w:val="24"/>
              <w14:ligatures w14:val="standardContextual"/>
            </w:rPr>
            <w:t>Finalmente es pertinente mencionar que para el periodo fiscal 2023, no se culminó la gestión</w:t>
          </w:r>
        </w:p>
        <w:p w14:paraId="6F05E978" w14:textId="6BE6AD77" w:rsidR="00C46FC5" w:rsidRDefault="00FD6A9B" w:rsidP="1A7ADF63">
          <w:pPr>
            <w:spacing w:after="0" w:line="240" w:lineRule="auto"/>
            <w:jc w:val="both"/>
            <w:rPr>
              <w:rFonts w:ascii="Times New Roman" w:eastAsiaTheme="minorHAnsi" w:hAnsi="Times New Roman"/>
              <w:sz w:val="24"/>
              <w:szCs w:val="24"/>
              <w14:ligatures w14:val="standardContextual"/>
            </w:rPr>
          </w:pPr>
          <w:r w:rsidRPr="00B223E9">
            <w:rPr>
              <w:rFonts w:ascii="Times New Roman" w:eastAsiaTheme="minorHAnsi" w:hAnsi="Times New Roman"/>
              <w:sz w:val="24"/>
              <w:szCs w:val="24"/>
              <w14:ligatures w14:val="standardContextual"/>
            </w:rPr>
            <w:t>predial del proyecto por lo que para esta vigencia no se hizo exigible la obligación de pago por</w:t>
          </w:r>
          <w:r>
            <w:rPr>
              <w:rFonts w:ascii="Times New Roman" w:eastAsiaTheme="minorHAnsi" w:hAnsi="Times New Roman"/>
              <w:sz w:val="24"/>
              <w:szCs w:val="24"/>
              <w14:ligatures w14:val="standardContextual"/>
            </w:rPr>
            <w:t xml:space="preserve"> </w:t>
          </w:r>
          <w:r w:rsidRPr="00B223E9">
            <w:rPr>
              <w:rFonts w:ascii="Times New Roman" w:eastAsiaTheme="minorHAnsi" w:hAnsi="Times New Roman"/>
              <w:sz w:val="24"/>
              <w:szCs w:val="24"/>
              <w14:ligatures w14:val="standardContextual"/>
            </w:rPr>
            <w:t>parte de la ANI.</w:t>
          </w:r>
        </w:p>
        <w:p w14:paraId="02684C56" w14:textId="210395B0" w:rsidR="00FD6A9B" w:rsidRPr="005C56A4" w:rsidRDefault="004E0E7E" w:rsidP="004E0E7E">
          <w:pPr>
            <w:spacing w:before="100" w:beforeAutospacing="1" w:after="100" w:afterAutospacing="1" w:line="240" w:lineRule="auto"/>
            <w:jc w:val="both"/>
            <w:rPr>
              <w:rFonts w:ascii="Times New Roman" w:hAnsi="Times New Roman"/>
              <w:sz w:val="24"/>
              <w:szCs w:val="24"/>
            </w:rPr>
          </w:pPr>
          <w:r w:rsidRPr="005C56A4">
            <w:rPr>
              <w:rFonts w:ascii="Times New Roman" w:hAnsi="Times New Roman"/>
              <w:sz w:val="24"/>
              <w:szCs w:val="24"/>
            </w:rPr>
            <w:lastRenderedPageBreak/>
            <w:t>Para esta cuenta por pagar, la Agencia no presenta incumplimiento en las condiciones de pago del principal, del plazo ni de los intereses, ni tampoco se ha realizado ningún pago a la deuda.</w:t>
          </w:r>
        </w:p>
        <w:p w14:paraId="4FC08F2B" w14:textId="461CB6D5" w:rsidR="00324ACD" w:rsidRPr="00B90884" w:rsidRDefault="00324ACD" w:rsidP="00E60BAB">
          <w:pPr>
            <w:pStyle w:val="Prrafodelista"/>
            <w:numPr>
              <w:ilvl w:val="0"/>
              <w:numId w:val="58"/>
            </w:numPr>
            <w:spacing w:after="0" w:line="240" w:lineRule="auto"/>
            <w:ind w:left="0" w:hanging="142"/>
            <w:jc w:val="both"/>
            <w:rPr>
              <w:rFonts w:ascii="Times New Roman" w:hAnsi="Times New Roman"/>
              <w:sz w:val="24"/>
              <w:szCs w:val="24"/>
            </w:rPr>
          </w:pPr>
          <w:r w:rsidRPr="1C10EE48">
            <w:rPr>
              <w:rFonts w:ascii="Times New Roman" w:hAnsi="Times New Roman"/>
              <w:sz w:val="24"/>
              <w:szCs w:val="24"/>
            </w:rPr>
            <w:t xml:space="preserve">Un valor de $60.645.428.820 (capital e intereses), por la deuda reconocida a nombre de la Concesionaria San Rafael S.A., del proyecto Girardot Ibagué Cajamarca, Contrato No. 007 del 13 de agosto de 2007, por los Laudos Arbitrales Trámite No. 116306 proferido el 12 de abril de 2021, en </w:t>
          </w:r>
          <w:r w:rsidRPr="1C10EE48">
            <w:rPr>
              <w:rFonts w:ascii="Times New Roman" w:eastAsiaTheme="minorEastAsia" w:hAnsi="Times New Roman"/>
              <w:sz w:val="24"/>
              <w:szCs w:val="24"/>
            </w:rPr>
            <w:t xml:space="preserve">el cual ordenó a la ANI pagar al Concesionario </w:t>
          </w:r>
          <w:r w:rsidRPr="1C10EE48">
            <w:rPr>
              <w:rFonts w:ascii="Times New Roman" w:hAnsi="Times New Roman"/>
              <w:sz w:val="24"/>
              <w:szCs w:val="24"/>
            </w:rPr>
            <w:t xml:space="preserve">el valor de las obras de la Avenida Pedro Tafur y Trámite No. 130853 del 14 de marzo de 2023, y resolución de aclaraciones el 23 de marzo de 2023. </w:t>
          </w:r>
        </w:p>
        <w:p w14:paraId="294140B6" w14:textId="74B5F7D4" w:rsidR="00324ACD" w:rsidRDefault="00324ACD" w:rsidP="00324ACD">
          <w:pPr>
            <w:spacing w:after="0" w:line="240" w:lineRule="auto"/>
            <w:jc w:val="both"/>
            <w:rPr>
              <w:rFonts w:ascii="Times New Roman" w:hAnsi="Times New Roman"/>
              <w:sz w:val="24"/>
              <w:szCs w:val="24"/>
            </w:rPr>
          </w:pPr>
        </w:p>
        <w:p w14:paraId="475C42A9" w14:textId="29E2E7D0" w:rsidR="00324ACD" w:rsidRPr="00272D25" w:rsidRDefault="00324ACD" w:rsidP="00E60BAB">
          <w:pPr>
            <w:pStyle w:val="Prrafodelista"/>
            <w:numPr>
              <w:ilvl w:val="0"/>
              <w:numId w:val="171"/>
            </w:numPr>
            <w:spacing w:after="0" w:line="240" w:lineRule="auto"/>
            <w:jc w:val="both"/>
            <w:rPr>
              <w:rFonts w:ascii="Times New Roman" w:hAnsi="Times New Roman"/>
              <w:sz w:val="24"/>
              <w:szCs w:val="24"/>
            </w:rPr>
          </w:pPr>
          <w:r w:rsidRPr="1C10EE48">
            <w:rPr>
              <w:rFonts w:ascii="Times New Roman" w:hAnsi="Times New Roman"/>
              <w:sz w:val="24"/>
              <w:szCs w:val="24"/>
            </w:rPr>
            <w:t>Laudos Arbitrales Trámite No. 116306 del 12 de abril de 2021</w:t>
          </w:r>
        </w:p>
        <w:p w14:paraId="39761E3E" w14:textId="20E51681" w:rsidR="00324ACD" w:rsidRDefault="00324ACD" w:rsidP="00324ACD">
          <w:pPr>
            <w:spacing w:after="0" w:line="240" w:lineRule="auto"/>
            <w:jc w:val="both"/>
            <w:rPr>
              <w:rFonts w:ascii="Times New Roman" w:hAnsi="Times New Roman"/>
              <w:sz w:val="24"/>
              <w:szCs w:val="24"/>
            </w:rPr>
          </w:pPr>
        </w:p>
        <w:p w14:paraId="037309FE" w14:textId="77777777" w:rsidR="00324ACD" w:rsidRDefault="00324ACD" w:rsidP="1C10EE48">
          <w:pPr>
            <w:autoSpaceDE w:val="0"/>
            <w:autoSpaceDN w:val="0"/>
            <w:adjustRightInd w:val="0"/>
            <w:spacing w:after="0" w:line="240" w:lineRule="auto"/>
            <w:jc w:val="both"/>
            <w:rPr>
              <w:rFonts w:ascii="Times New Roman" w:eastAsiaTheme="minorEastAsia" w:hAnsi="Times New Roman"/>
              <w:sz w:val="24"/>
              <w:szCs w:val="24"/>
              <w14:ligatures w14:val="standardContextual"/>
            </w:rPr>
          </w:pPr>
          <w:r w:rsidRPr="1C10EE48">
            <w:rPr>
              <w:rFonts w:ascii="Times New Roman" w:eastAsiaTheme="minorEastAsia" w:hAnsi="Times New Roman"/>
              <w:sz w:val="24"/>
              <w:szCs w:val="24"/>
              <w14:ligatures w14:val="standardContextual"/>
            </w:rPr>
            <w:t>El Laudo arbitral del 12 de abril de 2021, ordenó a la ANI pagar al Concesionario San Rafael S.A. el valor de las obras de la Avenida Pedro Tafur, valor que indexado al corte del mes de diciembre de 2023 corresponde a la suma de $2.394.810.797. Ahora, como quiera que el Laudo no fijó las reglas para liquidación de intereses, se debe dar aplicación a lo dispuesto en los artículos 192 y 195 de la Ley</w:t>
          </w:r>
          <w:r w:rsidRPr="1C10EE48">
            <w:rPr>
              <w:rFonts w:ascii="Times New Roman" w:eastAsiaTheme="minorEastAsia" w:hAnsi="Times New Roman"/>
              <w:b/>
              <w:bCs/>
              <w:sz w:val="24"/>
              <w:szCs w:val="24"/>
              <w14:ligatures w14:val="standardContextual"/>
            </w:rPr>
            <w:t xml:space="preserve"> </w:t>
          </w:r>
          <w:r w:rsidRPr="1C10EE48">
            <w:rPr>
              <w:rFonts w:ascii="Times New Roman" w:eastAsiaTheme="minorEastAsia" w:hAnsi="Times New Roman"/>
              <w:sz w:val="24"/>
              <w:szCs w:val="24"/>
              <w14:ligatures w14:val="standardContextual"/>
            </w:rPr>
            <w:t>1437 de 2011 (CPACA), En ese orden, la suma de intereses liquidados a la Tasa DTF. E.A corresponde a la suma de $ 446.487.453 para un total de deuda por este concepto de $2.841.298.251. con corte a 31/12/2023.</w:t>
          </w:r>
        </w:p>
        <w:p w14:paraId="6F53041A" w14:textId="11F21B8F" w:rsidR="00324ACD" w:rsidRPr="007316AF" w:rsidRDefault="00324ACD" w:rsidP="1C10EE48">
          <w:pPr>
            <w:autoSpaceDE w:val="0"/>
            <w:autoSpaceDN w:val="0"/>
            <w:adjustRightInd w:val="0"/>
            <w:spacing w:after="0" w:line="240" w:lineRule="auto"/>
            <w:jc w:val="both"/>
            <w:rPr>
              <w:rFonts w:ascii="Times New Roman" w:eastAsiaTheme="minorEastAsia" w:hAnsi="Times New Roman"/>
              <w:sz w:val="24"/>
              <w:szCs w:val="24"/>
              <w14:ligatures w14:val="standardContextual"/>
            </w:rPr>
          </w:pPr>
        </w:p>
        <w:p w14:paraId="5ED14770" w14:textId="77777777" w:rsidR="00324ACD" w:rsidRPr="007316AF" w:rsidRDefault="00324ACD" w:rsidP="00324ACD">
          <w:pPr>
            <w:autoSpaceDE w:val="0"/>
            <w:autoSpaceDN w:val="0"/>
            <w:adjustRightInd w:val="0"/>
            <w:spacing w:after="0" w:line="240" w:lineRule="auto"/>
            <w:jc w:val="both"/>
            <w:rPr>
              <w:rFonts w:ascii="Times New Roman" w:hAnsi="Times New Roman"/>
              <w:sz w:val="24"/>
              <w:szCs w:val="24"/>
            </w:rPr>
          </w:pPr>
          <w:r w:rsidRPr="1C10EE48">
            <w:rPr>
              <w:rFonts w:ascii="Times New Roman" w:eastAsiaTheme="minorEastAsia" w:hAnsi="Times New Roman"/>
              <w:sz w:val="24"/>
              <w:szCs w:val="24"/>
              <w14:ligatures w14:val="standardContextual"/>
            </w:rPr>
            <w:t>Así mismo el Laudo ordenó revocar la instrucción impartida a la Fiduciaria Colpatria S.A., dirigida a efectuar la disminución del tramo 6 de Ciclo ruta en la remuneración de la Concesionaria San Rafael S.A efectuada en su momento por valor de $2.830.049.145. Ahora, si bien dicha suma no corresponde a una condena por cuanto se trata de retrotraer una operación financiera de unos recursos que existen en la subcuenta del P.A. del proyecto, se deberá tener en cuenta los rendimientos financieros, los cuales al corte del mes de diciembre de 2023 corresponden a $858.630.074, para un total de deuda por este concepto de $3.688.679.219. En ese orden, la operación financiera para retrotraer la disminución aplicada a la Concesión corresponde a la suma de $6.529.977.469 con corte a 31/12/2023.</w:t>
          </w:r>
        </w:p>
        <w:p w14:paraId="1DAE8668" w14:textId="52F5F65F" w:rsidR="00324ACD" w:rsidRPr="007316AF" w:rsidRDefault="00324ACD" w:rsidP="00324ACD">
          <w:pPr>
            <w:spacing w:after="0" w:line="240" w:lineRule="auto"/>
            <w:jc w:val="both"/>
            <w:rPr>
              <w:rFonts w:ascii="Times New Roman" w:hAnsi="Times New Roman"/>
              <w:sz w:val="24"/>
              <w:szCs w:val="24"/>
            </w:rPr>
          </w:pPr>
        </w:p>
        <w:p w14:paraId="2A1A3CB3" w14:textId="77777777" w:rsidR="00984093" w:rsidRPr="00984093" w:rsidRDefault="00324ACD" w:rsidP="00984093">
          <w:pPr>
            <w:autoSpaceDE w:val="0"/>
            <w:autoSpaceDN w:val="0"/>
            <w:adjustRightInd w:val="0"/>
            <w:spacing w:after="0" w:line="240" w:lineRule="auto"/>
            <w:jc w:val="both"/>
            <w:rPr>
              <w:rFonts w:ascii="Times New Roman" w:eastAsiaTheme="minorEastAsia" w:hAnsi="Times New Roman"/>
              <w:sz w:val="24"/>
              <w:szCs w:val="24"/>
              <w14:ligatures w14:val="standardContextual"/>
            </w:rPr>
          </w:pPr>
          <w:r w:rsidRPr="1C10EE48">
            <w:rPr>
              <w:rFonts w:ascii="Times New Roman" w:eastAsiaTheme="minorEastAsia" w:hAnsi="Times New Roman"/>
              <w:sz w:val="24"/>
              <w:szCs w:val="24"/>
              <w14:ligatures w14:val="standardContextual"/>
            </w:rPr>
            <w:t>Finalmente, cabe indicar que el día 8 de junio de 2021 la ANI interpuso un Recurso Extraordinario de Anulación contra el Laudo. Así las cosas, se debe esperar la decisión por parte del Consejo de Estado respecto del Recurso de Anulación Interpuesto por la ANI para saber si procede o no la condena en contra de la ANI. Se precisa que en caso de que proceda el pago al Concesionario se realizara con cargo a los recursos que se encuentran en la Subcuenta de Excedentes del proyecto, los cuales se generan por las disminuciones aplicadas a la remuneración del concesionario por los incumplimientos presentados por el mismo de acuerdo con la Cláusula 26 del Contrato de Concesión</w:t>
          </w:r>
          <w:r w:rsidRPr="1C10EE48">
            <w:rPr>
              <w:rFonts w:ascii="Times New Roman" w:eastAsiaTheme="minorEastAsia" w:hAnsi="Times New Roman"/>
              <w:b/>
              <w:bCs/>
              <w:sz w:val="24"/>
              <w:szCs w:val="24"/>
              <w14:ligatures w14:val="standardContextual"/>
            </w:rPr>
            <w:t>.</w:t>
          </w:r>
          <w:r w:rsidR="00984093">
            <w:rPr>
              <w:rFonts w:ascii="Times New Roman" w:eastAsiaTheme="minorEastAsia" w:hAnsi="Times New Roman"/>
              <w:b/>
              <w:bCs/>
              <w:sz w:val="24"/>
              <w:szCs w:val="24"/>
              <w14:ligatures w14:val="standardContextual"/>
            </w:rPr>
            <w:t xml:space="preserve"> </w:t>
          </w:r>
          <w:r w:rsidR="00984093" w:rsidRPr="00984093">
            <w:rPr>
              <w:rFonts w:ascii="Times New Roman" w:eastAsiaTheme="minorEastAsia" w:hAnsi="Times New Roman"/>
              <w:sz w:val="24"/>
              <w:szCs w:val="24"/>
              <w14:ligatures w14:val="standardContextual"/>
            </w:rPr>
            <w:t>En caso de ser insuficientes los recursos se deberá tramitar el pago con fuente de recursos del rubro de sentencias y conciliaciones o por TES.</w:t>
          </w:r>
        </w:p>
        <w:p w14:paraId="4B66FAC7" w14:textId="4B976FF3" w:rsidR="00324ACD" w:rsidRPr="007316AF" w:rsidRDefault="00324ACD" w:rsidP="1C10EE48">
          <w:pPr>
            <w:autoSpaceDE w:val="0"/>
            <w:autoSpaceDN w:val="0"/>
            <w:adjustRightInd w:val="0"/>
            <w:spacing w:after="0" w:line="240" w:lineRule="auto"/>
            <w:jc w:val="both"/>
            <w:rPr>
              <w:rFonts w:ascii="Times New Roman" w:eastAsiaTheme="minorEastAsia" w:hAnsi="Times New Roman"/>
              <w:b/>
              <w:bCs/>
              <w:sz w:val="24"/>
              <w:szCs w:val="24"/>
              <w14:ligatures w14:val="standardContextual"/>
            </w:rPr>
          </w:pPr>
        </w:p>
        <w:p w14:paraId="1163DA8F" w14:textId="77777777" w:rsidR="00324ACD" w:rsidRPr="007316AF" w:rsidRDefault="00324ACD" w:rsidP="1C10EE48">
          <w:pPr>
            <w:autoSpaceDE w:val="0"/>
            <w:autoSpaceDN w:val="0"/>
            <w:adjustRightInd w:val="0"/>
            <w:spacing w:after="0" w:line="240" w:lineRule="auto"/>
            <w:jc w:val="both"/>
            <w:rPr>
              <w:rFonts w:ascii="Times New Roman" w:eastAsiaTheme="minorEastAsia" w:hAnsi="Times New Roman"/>
              <w:sz w:val="24"/>
              <w:szCs w:val="24"/>
              <w14:ligatures w14:val="standardContextual"/>
            </w:rPr>
          </w:pPr>
          <w:r w:rsidRPr="1C10EE48">
            <w:rPr>
              <w:rFonts w:ascii="Times New Roman" w:eastAsiaTheme="minorEastAsia" w:hAnsi="Times New Roman"/>
              <w:sz w:val="24"/>
              <w:szCs w:val="24"/>
              <w14:ligatures w14:val="standardContextual"/>
            </w:rPr>
            <w:t>Con la información disponible con corte al 31 de diciembre de 2023, se informa que no se ha</w:t>
          </w:r>
        </w:p>
        <w:p w14:paraId="3EC4596B" w14:textId="77777777" w:rsidR="00324ACD" w:rsidRPr="007316AF" w:rsidRDefault="00324ACD" w:rsidP="00324ACD">
          <w:pPr>
            <w:spacing w:after="0" w:line="240" w:lineRule="auto"/>
            <w:jc w:val="both"/>
            <w:rPr>
              <w:rFonts w:ascii="Times New Roman" w:hAnsi="Times New Roman"/>
              <w:sz w:val="24"/>
              <w:szCs w:val="24"/>
            </w:rPr>
          </w:pPr>
          <w:r w:rsidRPr="1C10EE48">
            <w:rPr>
              <w:rFonts w:ascii="Times New Roman" w:eastAsiaTheme="minorEastAsia" w:hAnsi="Times New Roman"/>
              <w:sz w:val="24"/>
              <w:szCs w:val="24"/>
              <w14:ligatures w14:val="standardContextual"/>
            </w:rPr>
            <w:t>realizado pago.</w:t>
          </w:r>
        </w:p>
        <w:p w14:paraId="57E014F3" w14:textId="353A05A5" w:rsidR="00324ACD" w:rsidRPr="005C56A4" w:rsidRDefault="00324ACD" w:rsidP="005C56A4">
          <w:pPr>
            <w:spacing w:after="0" w:line="240" w:lineRule="auto"/>
            <w:jc w:val="both"/>
            <w:rPr>
              <w:rFonts w:ascii="Times New Roman" w:hAnsi="Times New Roman"/>
              <w:sz w:val="24"/>
              <w:szCs w:val="24"/>
              <w:highlight w:val="green"/>
            </w:rPr>
          </w:pPr>
        </w:p>
        <w:p w14:paraId="4A909335" w14:textId="79CFB419" w:rsidR="00324ACD" w:rsidRPr="00272D25" w:rsidRDefault="00324ACD" w:rsidP="00E60BAB">
          <w:pPr>
            <w:pStyle w:val="Prrafodelista"/>
            <w:numPr>
              <w:ilvl w:val="0"/>
              <w:numId w:val="171"/>
            </w:numPr>
            <w:spacing w:after="0" w:line="240" w:lineRule="auto"/>
            <w:jc w:val="both"/>
            <w:rPr>
              <w:rFonts w:ascii="Times New Roman" w:hAnsi="Times New Roman"/>
              <w:sz w:val="24"/>
              <w:szCs w:val="24"/>
            </w:rPr>
          </w:pPr>
          <w:r w:rsidRPr="1C10EE48">
            <w:rPr>
              <w:rFonts w:ascii="Times New Roman" w:hAnsi="Times New Roman"/>
              <w:sz w:val="24"/>
              <w:szCs w:val="24"/>
            </w:rPr>
            <w:t>Laudos Arbitrales Trámite No. 130853 del 14 de marzo de 2023</w:t>
          </w:r>
        </w:p>
        <w:p w14:paraId="276C256F" w14:textId="29B0A808" w:rsidR="00324ACD" w:rsidRDefault="00324ACD" w:rsidP="00324ACD">
          <w:pPr>
            <w:spacing w:after="0" w:line="240" w:lineRule="auto"/>
            <w:jc w:val="both"/>
            <w:rPr>
              <w:rFonts w:ascii="Times New Roman" w:hAnsi="Times New Roman"/>
              <w:sz w:val="24"/>
              <w:szCs w:val="24"/>
            </w:rPr>
          </w:pPr>
        </w:p>
        <w:p w14:paraId="7AE4CA3E" w14:textId="77777777" w:rsidR="00324ACD" w:rsidRDefault="00324ACD" w:rsidP="1C10EE48">
          <w:pPr>
            <w:autoSpaceDE w:val="0"/>
            <w:autoSpaceDN w:val="0"/>
            <w:adjustRightInd w:val="0"/>
            <w:spacing w:after="0" w:line="240" w:lineRule="auto"/>
            <w:jc w:val="both"/>
            <w:rPr>
              <w:rFonts w:ascii="Times New Roman" w:eastAsiaTheme="minorEastAsia" w:hAnsi="Times New Roman"/>
              <w:sz w:val="24"/>
              <w:szCs w:val="24"/>
              <w14:ligatures w14:val="standardContextual"/>
            </w:rPr>
          </w:pPr>
          <w:r w:rsidRPr="1C10EE48">
            <w:rPr>
              <w:rFonts w:ascii="Times New Roman" w:eastAsiaTheme="minorEastAsia" w:hAnsi="Times New Roman"/>
              <w:sz w:val="24"/>
              <w:szCs w:val="24"/>
              <w14:ligatures w14:val="standardContextual"/>
            </w:rPr>
            <w:lastRenderedPageBreak/>
            <w:t>El Laudo arbitral del 14 de marzo de 2023, ordenó a la ANI pagar al Concesionario San Rafael S.A. las siguientes pretensiones:</w:t>
          </w:r>
        </w:p>
        <w:p w14:paraId="362FB232" w14:textId="400FEFE1" w:rsidR="00324ACD" w:rsidRPr="001B4D52" w:rsidRDefault="00324ACD" w:rsidP="1C10EE48">
          <w:pPr>
            <w:autoSpaceDE w:val="0"/>
            <w:autoSpaceDN w:val="0"/>
            <w:adjustRightInd w:val="0"/>
            <w:spacing w:after="0" w:line="240" w:lineRule="auto"/>
            <w:jc w:val="both"/>
            <w:rPr>
              <w:rFonts w:ascii="Times New Roman" w:eastAsiaTheme="minorEastAsia" w:hAnsi="Times New Roman"/>
              <w:sz w:val="24"/>
              <w:szCs w:val="24"/>
              <w14:ligatures w14:val="standardContextual"/>
            </w:rPr>
          </w:pPr>
        </w:p>
        <w:p w14:paraId="5ED403CD" w14:textId="77777777" w:rsidR="00324ACD" w:rsidRDefault="00324ACD" w:rsidP="1C10EE48">
          <w:pPr>
            <w:autoSpaceDE w:val="0"/>
            <w:autoSpaceDN w:val="0"/>
            <w:adjustRightInd w:val="0"/>
            <w:spacing w:after="0" w:line="240" w:lineRule="auto"/>
            <w:ind w:left="567" w:right="900"/>
            <w:jc w:val="both"/>
            <w:rPr>
              <w:rFonts w:ascii="Times New Roman" w:eastAsiaTheme="minorEastAsia" w:hAnsi="Times New Roman"/>
              <w:i/>
              <w:iCs/>
              <w:sz w:val="18"/>
              <w:szCs w:val="18"/>
              <w14:ligatures w14:val="standardContextual"/>
            </w:rPr>
          </w:pPr>
          <w:r w:rsidRPr="1C10EE48">
            <w:rPr>
              <w:rFonts w:ascii="Times New Roman" w:eastAsiaTheme="minorEastAsia" w:hAnsi="Times New Roman"/>
              <w:i/>
              <w:iCs/>
              <w:sz w:val="18"/>
              <w:szCs w:val="18"/>
              <w14:ligatures w14:val="standardContextual"/>
            </w:rPr>
            <w:t>“DÉCIMO TERCERO. - Por las razones expuestas en la parte considerativa y como efecto de las declaraciones que anteceden, condenar a la ANI a restituir al Concesionario la suma de $7.906.349.205 con fecha de corte a 31 de octubre de 2021, descontada a título de sanción contractual frente al Hito num. 17 relativo a la ejecución de la Segunda Calzada. En consecuencia, PROSPERA la pretensión VIGÉSIMA NOVENA de la demanda reformada de CSR.”</w:t>
          </w:r>
        </w:p>
        <w:p w14:paraId="06A2AEEF" w14:textId="122B9035" w:rsidR="00324ACD" w:rsidRPr="001B4D52" w:rsidRDefault="00324ACD" w:rsidP="1C10EE48">
          <w:pPr>
            <w:autoSpaceDE w:val="0"/>
            <w:autoSpaceDN w:val="0"/>
            <w:adjustRightInd w:val="0"/>
            <w:spacing w:after="0" w:line="240" w:lineRule="auto"/>
            <w:ind w:left="567" w:right="900"/>
            <w:jc w:val="both"/>
            <w:rPr>
              <w:rFonts w:ascii="Times New Roman" w:eastAsiaTheme="minorEastAsia" w:hAnsi="Times New Roman"/>
              <w:i/>
              <w:iCs/>
              <w:sz w:val="18"/>
              <w:szCs w:val="18"/>
              <w14:ligatures w14:val="standardContextual"/>
            </w:rPr>
          </w:pPr>
        </w:p>
        <w:p w14:paraId="2A1DCA09" w14:textId="77777777" w:rsidR="00324ACD" w:rsidRDefault="00324ACD" w:rsidP="1C10EE48">
          <w:pPr>
            <w:autoSpaceDE w:val="0"/>
            <w:autoSpaceDN w:val="0"/>
            <w:adjustRightInd w:val="0"/>
            <w:spacing w:after="0" w:line="240" w:lineRule="auto"/>
            <w:ind w:left="567" w:right="900"/>
            <w:jc w:val="both"/>
            <w:rPr>
              <w:rFonts w:ascii="Times New Roman" w:eastAsiaTheme="minorEastAsia" w:hAnsi="Times New Roman"/>
              <w:i/>
              <w:iCs/>
              <w:sz w:val="18"/>
              <w:szCs w:val="18"/>
              <w14:ligatures w14:val="standardContextual"/>
            </w:rPr>
          </w:pPr>
          <w:r w:rsidRPr="1C10EE48">
            <w:rPr>
              <w:rFonts w:ascii="Times New Roman" w:eastAsiaTheme="minorEastAsia" w:hAnsi="Times New Roman"/>
              <w:i/>
              <w:iCs/>
              <w:sz w:val="18"/>
              <w:szCs w:val="18"/>
              <w14:ligatures w14:val="standardContextual"/>
            </w:rPr>
            <w:t>“DÉCIMO CUARTO. - Por las razones expuestas en la parte considerativa y como efecto de las declaraciones que anteceden, condenar a la ANI a restituir al Concesionario suma de $1.459.378.430 con fecha de corte a 31 de agosto de 2021, descontada a título de sanción contractual frente a la Ciclorruta Buenos Aires – Gualanday. En consecuencia, PROSPERA la pretensión TRIGÉSIMA de la demanda reformada de CSR.”</w:t>
          </w:r>
        </w:p>
        <w:p w14:paraId="53DC927C" w14:textId="302D196F" w:rsidR="00324ACD" w:rsidRPr="001B4D52" w:rsidRDefault="00324ACD" w:rsidP="1C10EE48">
          <w:pPr>
            <w:autoSpaceDE w:val="0"/>
            <w:autoSpaceDN w:val="0"/>
            <w:adjustRightInd w:val="0"/>
            <w:spacing w:after="0" w:line="240" w:lineRule="auto"/>
            <w:ind w:left="567" w:right="900"/>
            <w:jc w:val="both"/>
            <w:rPr>
              <w:rFonts w:ascii="Times New Roman" w:eastAsiaTheme="minorEastAsia" w:hAnsi="Times New Roman"/>
              <w:i/>
              <w:iCs/>
              <w:sz w:val="18"/>
              <w:szCs w:val="18"/>
              <w14:ligatures w14:val="standardContextual"/>
            </w:rPr>
          </w:pPr>
        </w:p>
        <w:p w14:paraId="4FEC895F" w14:textId="77777777" w:rsidR="00324ACD" w:rsidRDefault="00324ACD" w:rsidP="1C10EE48">
          <w:pPr>
            <w:autoSpaceDE w:val="0"/>
            <w:autoSpaceDN w:val="0"/>
            <w:adjustRightInd w:val="0"/>
            <w:spacing w:after="0" w:line="240" w:lineRule="auto"/>
            <w:ind w:left="567" w:right="900"/>
            <w:jc w:val="both"/>
            <w:rPr>
              <w:rFonts w:ascii="Times New Roman" w:eastAsiaTheme="minorEastAsia" w:hAnsi="Times New Roman"/>
              <w:i/>
              <w:iCs/>
              <w:sz w:val="18"/>
              <w:szCs w:val="18"/>
              <w14:ligatures w14:val="standardContextual"/>
            </w:rPr>
          </w:pPr>
          <w:r w:rsidRPr="1C10EE48">
            <w:rPr>
              <w:rFonts w:ascii="Times New Roman" w:eastAsiaTheme="minorEastAsia" w:hAnsi="Times New Roman"/>
              <w:i/>
              <w:iCs/>
              <w:sz w:val="18"/>
              <w:szCs w:val="18"/>
              <w14:ligatures w14:val="standardContextual"/>
            </w:rPr>
            <w:t>“DÉCIMO QUINTO. - Por las razones expuestas en la parte considerativa y como efecto de las declaraciones que anteceden, condenar a la ANI a restituir al Concesionario la suma de $ 19.298.395.044,50 con fecha de corte a 31 de octubre de 2021, descontada a título de sanción contractual respecto del Índice de Estado de la Vía y Deflectometría del Pavimento. En consecuencia, PROSPERA la pretensión TRIGÉSIMA PRIMERA de la demanda reformada de CSR.”</w:t>
          </w:r>
        </w:p>
        <w:p w14:paraId="405ED1AF" w14:textId="4DB56929" w:rsidR="00324ACD" w:rsidRPr="001B4D52" w:rsidRDefault="00324ACD" w:rsidP="1C10EE48">
          <w:pPr>
            <w:autoSpaceDE w:val="0"/>
            <w:autoSpaceDN w:val="0"/>
            <w:adjustRightInd w:val="0"/>
            <w:spacing w:after="0" w:line="240" w:lineRule="auto"/>
            <w:ind w:left="567" w:right="900"/>
            <w:jc w:val="both"/>
            <w:rPr>
              <w:rFonts w:ascii="Times New Roman" w:eastAsiaTheme="minorEastAsia" w:hAnsi="Times New Roman"/>
              <w:i/>
              <w:iCs/>
              <w:sz w:val="18"/>
              <w:szCs w:val="18"/>
              <w14:ligatures w14:val="standardContextual"/>
            </w:rPr>
          </w:pPr>
        </w:p>
        <w:p w14:paraId="109F0E0E" w14:textId="77777777" w:rsidR="00324ACD" w:rsidRDefault="00324ACD" w:rsidP="1C10EE48">
          <w:pPr>
            <w:autoSpaceDE w:val="0"/>
            <w:autoSpaceDN w:val="0"/>
            <w:adjustRightInd w:val="0"/>
            <w:spacing w:after="0" w:line="240" w:lineRule="auto"/>
            <w:ind w:left="567" w:right="900"/>
            <w:jc w:val="both"/>
            <w:rPr>
              <w:rFonts w:ascii="Times New Roman" w:eastAsiaTheme="minorEastAsia" w:hAnsi="Times New Roman"/>
              <w:i/>
              <w:iCs/>
              <w:sz w:val="18"/>
              <w:szCs w:val="18"/>
              <w14:ligatures w14:val="standardContextual"/>
            </w:rPr>
          </w:pPr>
          <w:r w:rsidRPr="1C10EE48">
            <w:rPr>
              <w:rFonts w:ascii="Times New Roman" w:eastAsiaTheme="minorEastAsia" w:hAnsi="Times New Roman"/>
              <w:i/>
              <w:iCs/>
              <w:sz w:val="18"/>
              <w:szCs w:val="18"/>
              <w14:ligatures w14:val="standardContextual"/>
            </w:rPr>
            <w:t>“DÉCIMA OCTAVA. - Como consecuencia de las declaraciones contenidas en las Pretensiones Octava y Novena, condenar a la ANI a pagar a CONCESIONARIA SAN RAFAEL S.A. la suma de $ 11.950.403.183 que incluye la actualización solicitada en la pretensión segunda subsidiaria a la vigésima por concepto del establecimiento de la ecuación económica del Contrato de Concesión afectada por los impactos en la disminución del tráfico y los ingresos por cuenta de la pandemia del Coronavirus COVID 19, conforme a la liquidación que obra en la parte motiva.” (...)</w:t>
          </w:r>
        </w:p>
        <w:p w14:paraId="40EADCA5" w14:textId="1378F973" w:rsidR="00324ACD" w:rsidRPr="001B4D52" w:rsidRDefault="00324ACD" w:rsidP="1C10EE48">
          <w:pPr>
            <w:autoSpaceDE w:val="0"/>
            <w:autoSpaceDN w:val="0"/>
            <w:adjustRightInd w:val="0"/>
            <w:spacing w:after="0" w:line="240" w:lineRule="auto"/>
            <w:ind w:left="567" w:right="900"/>
            <w:jc w:val="both"/>
            <w:rPr>
              <w:rFonts w:ascii="Times New Roman" w:eastAsiaTheme="minorEastAsia" w:hAnsi="Times New Roman"/>
              <w:i/>
              <w:iCs/>
              <w:sz w:val="18"/>
              <w:szCs w:val="18"/>
              <w14:ligatures w14:val="standardContextual"/>
            </w:rPr>
          </w:pPr>
        </w:p>
        <w:p w14:paraId="0D1F6A34" w14:textId="77777777" w:rsidR="00324ACD" w:rsidRDefault="00324ACD" w:rsidP="1C10EE48">
          <w:pPr>
            <w:tabs>
              <w:tab w:val="left" w:pos="7230"/>
              <w:tab w:val="left" w:pos="7513"/>
            </w:tabs>
            <w:autoSpaceDE w:val="0"/>
            <w:autoSpaceDN w:val="0"/>
            <w:adjustRightInd w:val="0"/>
            <w:spacing w:after="0" w:line="240" w:lineRule="auto"/>
            <w:ind w:right="49"/>
            <w:jc w:val="both"/>
            <w:rPr>
              <w:rFonts w:ascii="Times New Roman" w:eastAsiaTheme="minorEastAsia" w:hAnsi="Times New Roman"/>
              <w:sz w:val="24"/>
              <w:szCs w:val="24"/>
              <w14:ligatures w14:val="standardContextual"/>
            </w:rPr>
          </w:pPr>
          <w:r w:rsidRPr="1C10EE48">
            <w:rPr>
              <w:rFonts w:ascii="Times New Roman" w:eastAsiaTheme="minorEastAsia" w:hAnsi="Times New Roman"/>
              <w:sz w:val="24"/>
              <w:szCs w:val="24"/>
              <w14:ligatures w14:val="standardContextual"/>
            </w:rPr>
            <w:t>Las sumas anteriormente presentadas, de acuerdo con lo establecido en el laudo se deben actualizar hasta la fecha en la cual la ANI tiene la obligación de realizar el pago, razón por la cual las cifras se actualizan a marzo de 2023 fecha en la cual se da el fallo del laudo.</w:t>
          </w:r>
        </w:p>
        <w:p w14:paraId="093A1294" w14:textId="03D104E2" w:rsidR="00324ACD" w:rsidRPr="006B09A3" w:rsidRDefault="00324ACD" w:rsidP="1C10EE48">
          <w:pPr>
            <w:tabs>
              <w:tab w:val="left" w:pos="7230"/>
              <w:tab w:val="left" w:pos="7513"/>
            </w:tabs>
            <w:autoSpaceDE w:val="0"/>
            <w:autoSpaceDN w:val="0"/>
            <w:adjustRightInd w:val="0"/>
            <w:spacing w:after="0" w:line="240" w:lineRule="auto"/>
            <w:ind w:right="49"/>
            <w:jc w:val="both"/>
            <w:rPr>
              <w:rFonts w:ascii="Times New Roman" w:eastAsiaTheme="minorEastAsia" w:hAnsi="Times New Roman"/>
              <w:sz w:val="24"/>
              <w:szCs w:val="24"/>
              <w14:ligatures w14:val="standardContextual"/>
            </w:rPr>
          </w:pPr>
        </w:p>
        <w:p w14:paraId="13E76866" w14:textId="77777777" w:rsidR="00324ACD" w:rsidRPr="001B4D52" w:rsidRDefault="00324ACD" w:rsidP="1C10EE48">
          <w:pPr>
            <w:autoSpaceDE w:val="0"/>
            <w:autoSpaceDN w:val="0"/>
            <w:adjustRightInd w:val="0"/>
            <w:spacing w:after="0" w:line="240" w:lineRule="auto"/>
            <w:ind w:left="567" w:right="900"/>
            <w:jc w:val="both"/>
            <w:rPr>
              <w:rFonts w:ascii="Times New Roman" w:eastAsiaTheme="minorEastAsia" w:hAnsi="Times New Roman"/>
              <w:i/>
              <w:iCs/>
              <w:sz w:val="18"/>
              <w:szCs w:val="18"/>
              <w14:ligatures w14:val="standardContextual"/>
            </w:rPr>
          </w:pPr>
          <w:r w:rsidRPr="1C10EE48">
            <w:rPr>
              <w:rFonts w:ascii="Times New Roman" w:eastAsiaTheme="minorEastAsia" w:hAnsi="Times New Roman"/>
              <w:i/>
              <w:iCs/>
              <w:sz w:val="18"/>
              <w:szCs w:val="18"/>
              <w14:ligatures w14:val="standardContextual"/>
            </w:rPr>
            <w:t>“DÉCIMO NOVENO. - Como consecuencia de la prosperidad parcial de las Pretensiones vigésima novena, trigésima y trigésima primera condenar a la ANI al pago de las sumas de dinero allí indicadas, debidamente actualizadas, hasta la fecha de su pago efectivo. En consecuencia, PROSPERA, la pretensión SEGUNDA SUBSIDIARIA A LA TRIGÉSIMA TERCERA de la demanda reformada de CSR.”</w:t>
          </w:r>
        </w:p>
        <w:p w14:paraId="2F9CC01C" w14:textId="0ADEC84F" w:rsidR="00324ACD" w:rsidRDefault="00324ACD" w:rsidP="1C10EE48">
          <w:pPr>
            <w:spacing w:after="0" w:line="240" w:lineRule="auto"/>
            <w:jc w:val="both"/>
            <w:rPr>
              <w:rFonts w:ascii="Arial-ItalicMT" w:eastAsiaTheme="minorEastAsia" w:hAnsi="Arial-ItalicMT" w:cs="Arial-ItalicMT"/>
              <w:i/>
              <w:iCs/>
              <w:sz w:val="20"/>
              <w:szCs w:val="20"/>
              <w14:ligatures w14:val="standardContextual"/>
            </w:rPr>
          </w:pPr>
        </w:p>
        <w:tbl>
          <w:tblPr>
            <w:tblW w:w="6374"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CellMar>
              <w:left w:w="70" w:type="dxa"/>
              <w:right w:w="70" w:type="dxa"/>
            </w:tblCellMar>
            <w:tblLook w:val="04A0" w:firstRow="1" w:lastRow="0" w:firstColumn="1" w:lastColumn="0" w:noHBand="0" w:noVBand="1"/>
          </w:tblPr>
          <w:tblGrid>
            <w:gridCol w:w="2122"/>
            <w:gridCol w:w="2126"/>
            <w:gridCol w:w="2126"/>
          </w:tblGrid>
          <w:tr w:rsidR="00324ACD" w:rsidRPr="001B4D52" w14:paraId="2051D6F6" w14:textId="77777777" w:rsidTr="005F1B0E">
            <w:trPr>
              <w:trHeight w:val="675"/>
              <w:tblHeader/>
              <w:jc w:val="center"/>
            </w:trPr>
            <w:tc>
              <w:tcPr>
                <w:tcW w:w="2122" w:type="dxa"/>
                <w:shd w:val="clear" w:color="auto" w:fill="auto"/>
                <w:vAlign w:val="center"/>
                <w:hideMark/>
              </w:tcPr>
              <w:p w14:paraId="2B82CEB6" w14:textId="77777777" w:rsidR="00324ACD" w:rsidRPr="001B4D52" w:rsidRDefault="00324ACD" w:rsidP="00FB40D8">
                <w:pPr>
                  <w:spacing w:after="0" w:line="240" w:lineRule="auto"/>
                  <w:ind w:left="-195" w:firstLine="195"/>
                  <w:jc w:val="center"/>
                  <w:rPr>
                    <w:rFonts w:ascii="Times New Roman" w:eastAsia="Times New Roman" w:hAnsi="Times New Roman"/>
                    <w:b/>
                    <w:bCs/>
                    <w:color w:val="000000" w:themeColor="text1"/>
                    <w:sz w:val="14"/>
                    <w:szCs w:val="14"/>
                    <w:lang w:eastAsia="es-CO"/>
                  </w:rPr>
                </w:pPr>
                <w:r w:rsidRPr="001B4D52">
                  <w:rPr>
                    <w:rFonts w:ascii="Times New Roman" w:eastAsia="Times New Roman" w:hAnsi="Times New Roman"/>
                    <w:b/>
                    <w:bCs/>
                    <w:color w:val="000000" w:themeColor="text1"/>
                    <w:sz w:val="14"/>
                    <w:szCs w:val="14"/>
                    <w:lang w:eastAsia="es-CO"/>
                  </w:rPr>
                  <w:t>CONCEPTO</w:t>
                </w:r>
              </w:p>
            </w:tc>
            <w:tc>
              <w:tcPr>
                <w:tcW w:w="2126" w:type="dxa"/>
                <w:shd w:val="clear" w:color="auto" w:fill="auto"/>
                <w:vAlign w:val="center"/>
                <w:hideMark/>
              </w:tcPr>
              <w:p w14:paraId="5440DC1B" w14:textId="77777777" w:rsidR="00324ACD" w:rsidRPr="001B4D52" w:rsidRDefault="00324ACD" w:rsidP="00FB40D8">
                <w:pPr>
                  <w:spacing w:after="0" w:line="240" w:lineRule="auto"/>
                  <w:ind w:left="-195" w:firstLine="195"/>
                  <w:jc w:val="center"/>
                  <w:rPr>
                    <w:rFonts w:ascii="Times New Roman" w:eastAsia="Times New Roman" w:hAnsi="Times New Roman"/>
                    <w:b/>
                    <w:bCs/>
                    <w:color w:val="000000" w:themeColor="text1"/>
                    <w:sz w:val="14"/>
                    <w:szCs w:val="14"/>
                    <w:lang w:eastAsia="es-CO"/>
                  </w:rPr>
                </w:pPr>
                <w:r w:rsidRPr="001B4D52">
                  <w:rPr>
                    <w:rFonts w:ascii="Times New Roman" w:eastAsia="Times New Roman" w:hAnsi="Times New Roman"/>
                    <w:b/>
                    <w:bCs/>
                    <w:color w:val="000000" w:themeColor="text1"/>
                    <w:sz w:val="14"/>
                    <w:szCs w:val="14"/>
                    <w:lang w:eastAsia="es-CO"/>
                  </w:rPr>
                  <w:t>VR DISMINUIDO (marzo 2022)</w:t>
                </w:r>
              </w:p>
            </w:tc>
            <w:tc>
              <w:tcPr>
                <w:tcW w:w="2126" w:type="dxa"/>
                <w:shd w:val="clear" w:color="auto" w:fill="auto"/>
                <w:vAlign w:val="center"/>
                <w:hideMark/>
              </w:tcPr>
              <w:p w14:paraId="5748D64B" w14:textId="77777777" w:rsidR="00324ACD" w:rsidRPr="001B4D52" w:rsidRDefault="00324ACD" w:rsidP="00FB40D8">
                <w:pPr>
                  <w:spacing w:after="0" w:line="240" w:lineRule="auto"/>
                  <w:ind w:left="-195" w:firstLine="195"/>
                  <w:jc w:val="center"/>
                  <w:rPr>
                    <w:rFonts w:ascii="Times New Roman" w:eastAsia="Times New Roman" w:hAnsi="Times New Roman"/>
                    <w:b/>
                    <w:bCs/>
                    <w:color w:val="000000" w:themeColor="text1"/>
                    <w:sz w:val="14"/>
                    <w:szCs w:val="14"/>
                    <w:lang w:eastAsia="es-CO"/>
                  </w:rPr>
                </w:pPr>
                <w:r w:rsidRPr="001B4D52">
                  <w:rPr>
                    <w:rFonts w:ascii="Times New Roman" w:eastAsia="Times New Roman" w:hAnsi="Times New Roman"/>
                    <w:b/>
                    <w:bCs/>
                    <w:color w:val="000000" w:themeColor="text1"/>
                    <w:sz w:val="14"/>
                    <w:szCs w:val="14"/>
                    <w:lang w:eastAsia="es-CO"/>
                  </w:rPr>
                  <w:t>PESOS de Marzo 2023 (FECHA DEL FALLO DEL LAUDO)</w:t>
                </w:r>
              </w:p>
            </w:tc>
          </w:tr>
          <w:tr w:rsidR="00324ACD" w:rsidRPr="001B4D52" w14:paraId="5359E7A0" w14:textId="77777777" w:rsidTr="005F1B0E">
            <w:trPr>
              <w:trHeight w:val="225"/>
              <w:jc w:val="center"/>
            </w:trPr>
            <w:tc>
              <w:tcPr>
                <w:tcW w:w="2122" w:type="dxa"/>
                <w:shd w:val="clear" w:color="auto" w:fill="auto"/>
                <w:noWrap/>
                <w:vAlign w:val="bottom"/>
                <w:hideMark/>
              </w:tcPr>
              <w:p w14:paraId="7EB05B6D" w14:textId="77777777" w:rsidR="00324ACD" w:rsidRPr="001B4D52" w:rsidRDefault="00324ACD" w:rsidP="00FB40D8">
                <w:pPr>
                  <w:spacing w:after="0" w:line="240" w:lineRule="auto"/>
                  <w:ind w:left="-195" w:firstLine="195"/>
                  <w:rPr>
                    <w:rFonts w:ascii="Times New Roman" w:eastAsia="Times New Roman" w:hAnsi="Times New Roman"/>
                    <w:color w:val="000000"/>
                    <w:sz w:val="14"/>
                    <w:szCs w:val="14"/>
                    <w:lang w:eastAsia="es-CO"/>
                  </w:rPr>
                </w:pPr>
                <w:r w:rsidRPr="001B4D52">
                  <w:rPr>
                    <w:rFonts w:ascii="Times New Roman" w:eastAsia="Times New Roman" w:hAnsi="Times New Roman"/>
                    <w:color w:val="000000"/>
                    <w:sz w:val="14"/>
                    <w:szCs w:val="14"/>
                    <w:lang w:eastAsia="es-CO"/>
                  </w:rPr>
                  <w:t>SEGUNDA CALZADA</w:t>
                </w:r>
              </w:p>
            </w:tc>
            <w:tc>
              <w:tcPr>
                <w:tcW w:w="2126" w:type="dxa"/>
                <w:shd w:val="clear" w:color="auto" w:fill="auto"/>
                <w:noWrap/>
                <w:vAlign w:val="bottom"/>
                <w:hideMark/>
              </w:tcPr>
              <w:p w14:paraId="4EB0706A" w14:textId="77777777" w:rsidR="00324ACD" w:rsidRPr="001B4D52" w:rsidRDefault="00324ACD" w:rsidP="00FB40D8">
                <w:pPr>
                  <w:spacing w:after="0" w:line="240" w:lineRule="auto"/>
                  <w:ind w:left="-195" w:firstLine="195"/>
                  <w:jc w:val="right"/>
                  <w:rPr>
                    <w:rFonts w:ascii="Times New Roman" w:eastAsia="Times New Roman" w:hAnsi="Times New Roman"/>
                    <w:color w:val="000000"/>
                    <w:sz w:val="14"/>
                    <w:szCs w:val="14"/>
                    <w:lang w:eastAsia="es-CO"/>
                  </w:rPr>
                </w:pPr>
                <w:r w:rsidRPr="001B4D52">
                  <w:rPr>
                    <w:rFonts w:ascii="Times New Roman" w:eastAsia="Times New Roman" w:hAnsi="Times New Roman"/>
                    <w:color w:val="000000"/>
                    <w:sz w:val="14"/>
                    <w:szCs w:val="14"/>
                    <w:lang w:eastAsia="es-CO"/>
                  </w:rPr>
                  <w:t>$ 9.855.789.945,00</w:t>
                </w:r>
              </w:p>
            </w:tc>
            <w:tc>
              <w:tcPr>
                <w:tcW w:w="2126" w:type="dxa"/>
                <w:shd w:val="clear" w:color="auto" w:fill="auto"/>
                <w:noWrap/>
                <w:vAlign w:val="bottom"/>
                <w:hideMark/>
              </w:tcPr>
              <w:p w14:paraId="61D56A3F" w14:textId="77777777" w:rsidR="00324ACD" w:rsidRPr="001B4D52" w:rsidRDefault="00324ACD" w:rsidP="00FB40D8">
                <w:pPr>
                  <w:spacing w:after="0" w:line="240" w:lineRule="auto"/>
                  <w:ind w:left="-195" w:firstLine="195"/>
                  <w:jc w:val="right"/>
                  <w:rPr>
                    <w:rFonts w:ascii="Times New Roman" w:eastAsia="Times New Roman" w:hAnsi="Times New Roman"/>
                    <w:color w:val="000000"/>
                    <w:sz w:val="14"/>
                    <w:szCs w:val="14"/>
                    <w:lang w:eastAsia="es-CO"/>
                  </w:rPr>
                </w:pPr>
                <w:r w:rsidRPr="001B4D52">
                  <w:rPr>
                    <w:rFonts w:ascii="Times New Roman" w:eastAsia="Times New Roman" w:hAnsi="Times New Roman"/>
                    <w:color w:val="000000"/>
                    <w:sz w:val="14"/>
                    <w:szCs w:val="14"/>
                    <w:lang w:eastAsia="es-CO"/>
                  </w:rPr>
                  <w:t>$ 11.900.213.406,74</w:t>
                </w:r>
              </w:p>
            </w:tc>
          </w:tr>
          <w:tr w:rsidR="00324ACD" w:rsidRPr="001B4D52" w14:paraId="7DD14E04" w14:textId="77777777" w:rsidTr="005F1B0E">
            <w:trPr>
              <w:trHeight w:val="225"/>
              <w:jc w:val="center"/>
            </w:trPr>
            <w:tc>
              <w:tcPr>
                <w:tcW w:w="2122" w:type="dxa"/>
                <w:shd w:val="clear" w:color="auto" w:fill="auto"/>
                <w:noWrap/>
                <w:vAlign w:val="bottom"/>
                <w:hideMark/>
              </w:tcPr>
              <w:p w14:paraId="3B17BED1" w14:textId="77777777" w:rsidR="00324ACD" w:rsidRPr="001B4D52" w:rsidRDefault="00324ACD" w:rsidP="00FB40D8">
                <w:pPr>
                  <w:spacing w:after="0" w:line="240" w:lineRule="auto"/>
                  <w:ind w:left="-195" w:firstLine="195"/>
                  <w:rPr>
                    <w:rFonts w:ascii="Times New Roman" w:eastAsia="Times New Roman" w:hAnsi="Times New Roman"/>
                    <w:color w:val="000000"/>
                    <w:sz w:val="14"/>
                    <w:szCs w:val="14"/>
                    <w:lang w:eastAsia="es-CO"/>
                  </w:rPr>
                </w:pPr>
                <w:r w:rsidRPr="001B4D52">
                  <w:rPr>
                    <w:rFonts w:ascii="Times New Roman" w:eastAsia="Times New Roman" w:hAnsi="Times New Roman"/>
                    <w:color w:val="000000"/>
                    <w:sz w:val="14"/>
                    <w:szCs w:val="14"/>
                    <w:lang w:eastAsia="es-CO"/>
                  </w:rPr>
                  <w:t>INDICE DE ESTADO</w:t>
                </w:r>
              </w:p>
            </w:tc>
            <w:tc>
              <w:tcPr>
                <w:tcW w:w="2126" w:type="dxa"/>
                <w:shd w:val="clear" w:color="auto" w:fill="auto"/>
                <w:noWrap/>
                <w:vAlign w:val="bottom"/>
                <w:hideMark/>
              </w:tcPr>
              <w:p w14:paraId="19001BAA" w14:textId="77777777" w:rsidR="00324ACD" w:rsidRPr="001B4D52" w:rsidRDefault="00324ACD" w:rsidP="00FB40D8">
                <w:pPr>
                  <w:spacing w:after="0" w:line="240" w:lineRule="auto"/>
                  <w:ind w:left="-195" w:firstLine="195"/>
                  <w:jc w:val="right"/>
                  <w:rPr>
                    <w:rFonts w:ascii="Times New Roman" w:eastAsia="Times New Roman" w:hAnsi="Times New Roman"/>
                    <w:color w:val="000000"/>
                    <w:sz w:val="14"/>
                    <w:szCs w:val="14"/>
                    <w:lang w:eastAsia="es-CO"/>
                  </w:rPr>
                </w:pPr>
                <w:r w:rsidRPr="001B4D52">
                  <w:rPr>
                    <w:rFonts w:ascii="Times New Roman" w:eastAsia="Times New Roman" w:hAnsi="Times New Roman"/>
                    <w:color w:val="000000"/>
                    <w:sz w:val="14"/>
                    <w:szCs w:val="14"/>
                    <w:lang w:eastAsia="es-CO"/>
                  </w:rPr>
                  <w:t>$ 20.598.022.204,50</w:t>
                </w:r>
              </w:p>
            </w:tc>
            <w:tc>
              <w:tcPr>
                <w:tcW w:w="2126" w:type="dxa"/>
                <w:shd w:val="clear" w:color="auto" w:fill="auto"/>
                <w:noWrap/>
                <w:vAlign w:val="bottom"/>
                <w:hideMark/>
              </w:tcPr>
              <w:p w14:paraId="34320407" w14:textId="77777777" w:rsidR="00324ACD" w:rsidRPr="001B4D52" w:rsidRDefault="00324ACD" w:rsidP="00FB40D8">
                <w:pPr>
                  <w:spacing w:after="0" w:line="240" w:lineRule="auto"/>
                  <w:ind w:left="-195" w:firstLine="195"/>
                  <w:jc w:val="right"/>
                  <w:rPr>
                    <w:rFonts w:ascii="Times New Roman" w:eastAsia="Times New Roman" w:hAnsi="Times New Roman"/>
                    <w:color w:val="000000"/>
                    <w:sz w:val="14"/>
                    <w:szCs w:val="14"/>
                    <w:lang w:eastAsia="es-CO"/>
                  </w:rPr>
                </w:pPr>
                <w:r w:rsidRPr="001B4D52">
                  <w:rPr>
                    <w:rFonts w:ascii="Times New Roman" w:eastAsia="Times New Roman" w:hAnsi="Times New Roman"/>
                    <w:color w:val="000000"/>
                    <w:sz w:val="14"/>
                    <w:szCs w:val="14"/>
                    <w:lang w:eastAsia="es-CO"/>
                  </w:rPr>
                  <w:t>$ 27.636.710.592,52</w:t>
                </w:r>
              </w:p>
            </w:tc>
          </w:tr>
          <w:tr w:rsidR="00324ACD" w:rsidRPr="001B4D52" w14:paraId="697820B6" w14:textId="77777777" w:rsidTr="005F1B0E">
            <w:trPr>
              <w:trHeight w:val="225"/>
              <w:jc w:val="center"/>
            </w:trPr>
            <w:tc>
              <w:tcPr>
                <w:tcW w:w="2122" w:type="dxa"/>
                <w:shd w:val="clear" w:color="auto" w:fill="auto"/>
                <w:noWrap/>
                <w:vAlign w:val="bottom"/>
                <w:hideMark/>
              </w:tcPr>
              <w:p w14:paraId="61AAE89C" w14:textId="77777777" w:rsidR="00324ACD" w:rsidRPr="001B4D52" w:rsidRDefault="00324ACD" w:rsidP="00FB40D8">
                <w:pPr>
                  <w:spacing w:after="0" w:line="240" w:lineRule="auto"/>
                  <w:ind w:left="-195" w:firstLine="195"/>
                  <w:rPr>
                    <w:rFonts w:ascii="Times New Roman" w:eastAsia="Times New Roman" w:hAnsi="Times New Roman"/>
                    <w:color w:val="000000"/>
                    <w:sz w:val="14"/>
                    <w:szCs w:val="14"/>
                    <w:lang w:eastAsia="es-CO"/>
                  </w:rPr>
                </w:pPr>
                <w:r w:rsidRPr="001B4D52">
                  <w:rPr>
                    <w:rFonts w:ascii="Times New Roman" w:eastAsia="Times New Roman" w:hAnsi="Times New Roman"/>
                    <w:color w:val="000000"/>
                    <w:sz w:val="14"/>
                    <w:szCs w:val="14"/>
                    <w:lang w:eastAsia="es-CO"/>
                  </w:rPr>
                  <w:t>CICLORURA BUENOS AIRES</w:t>
                </w:r>
              </w:p>
            </w:tc>
            <w:tc>
              <w:tcPr>
                <w:tcW w:w="2126" w:type="dxa"/>
                <w:shd w:val="clear" w:color="auto" w:fill="auto"/>
                <w:noWrap/>
                <w:vAlign w:val="bottom"/>
                <w:hideMark/>
              </w:tcPr>
              <w:p w14:paraId="74AA9DEF" w14:textId="77777777" w:rsidR="00324ACD" w:rsidRPr="001B4D52" w:rsidRDefault="00324ACD" w:rsidP="00FB40D8">
                <w:pPr>
                  <w:spacing w:after="0" w:line="240" w:lineRule="auto"/>
                  <w:ind w:left="-195" w:firstLine="195"/>
                  <w:jc w:val="right"/>
                  <w:rPr>
                    <w:rFonts w:ascii="Times New Roman" w:eastAsia="Times New Roman" w:hAnsi="Times New Roman"/>
                    <w:color w:val="000000"/>
                    <w:sz w:val="14"/>
                    <w:szCs w:val="14"/>
                    <w:lang w:eastAsia="es-CO"/>
                  </w:rPr>
                </w:pPr>
                <w:r w:rsidRPr="001B4D52">
                  <w:rPr>
                    <w:rFonts w:ascii="Times New Roman" w:eastAsia="Times New Roman" w:hAnsi="Times New Roman"/>
                    <w:color w:val="000000"/>
                    <w:sz w:val="14"/>
                    <w:szCs w:val="14"/>
                    <w:lang w:eastAsia="es-CO"/>
                  </w:rPr>
                  <w:t>$ 5.648.168.405,00</w:t>
                </w:r>
              </w:p>
            </w:tc>
            <w:tc>
              <w:tcPr>
                <w:tcW w:w="2126" w:type="dxa"/>
                <w:shd w:val="clear" w:color="auto" w:fill="auto"/>
                <w:noWrap/>
                <w:vAlign w:val="bottom"/>
                <w:hideMark/>
              </w:tcPr>
              <w:p w14:paraId="5079BDEE" w14:textId="77777777" w:rsidR="00324ACD" w:rsidRPr="001B4D52" w:rsidRDefault="00324ACD" w:rsidP="00FB40D8">
                <w:pPr>
                  <w:spacing w:after="0" w:line="240" w:lineRule="auto"/>
                  <w:ind w:left="-195" w:firstLine="195"/>
                  <w:jc w:val="right"/>
                  <w:rPr>
                    <w:rFonts w:ascii="Times New Roman" w:eastAsia="Times New Roman" w:hAnsi="Times New Roman"/>
                    <w:color w:val="000000"/>
                    <w:sz w:val="14"/>
                    <w:szCs w:val="14"/>
                    <w:lang w:eastAsia="es-CO"/>
                  </w:rPr>
                </w:pPr>
                <w:r w:rsidRPr="001B4D52">
                  <w:rPr>
                    <w:rFonts w:ascii="Times New Roman" w:eastAsia="Times New Roman" w:hAnsi="Times New Roman"/>
                    <w:color w:val="000000"/>
                    <w:sz w:val="14"/>
                    <w:szCs w:val="14"/>
                    <w:lang w:eastAsia="es-CO"/>
                  </w:rPr>
                  <w:t>$ 6.618.561.201,48</w:t>
                </w:r>
              </w:p>
            </w:tc>
          </w:tr>
          <w:tr w:rsidR="00324ACD" w:rsidRPr="001B4D52" w14:paraId="443DEF92" w14:textId="77777777" w:rsidTr="005F1B0E">
            <w:trPr>
              <w:trHeight w:val="225"/>
              <w:jc w:val="center"/>
            </w:trPr>
            <w:tc>
              <w:tcPr>
                <w:tcW w:w="2122" w:type="dxa"/>
                <w:shd w:val="clear" w:color="auto" w:fill="auto"/>
                <w:noWrap/>
                <w:vAlign w:val="bottom"/>
                <w:hideMark/>
              </w:tcPr>
              <w:p w14:paraId="408BCA5F" w14:textId="77777777" w:rsidR="00324ACD" w:rsidRPr="001B4D52" w:rsidRDefault="00324ACD" w:rsidP="00FB40D8">
                <w:pPr>
                  <w:spacing w:after="0" w:line="240" w:lineRule="auto"/>
                  <w:ind w:left="-195" w:firstLine="195"/>
                  <w:rPr>
                    <w:rFonts w:ascii="Times New Roman" w:eastAsia="Times New Roman" w:hAnsi="Times New Roman"/>
                    <w:color w:val="000000"/>
                    <w:sz w:val="14"/>
                    <w:szCs w:val="14"/>
                    <w:lang w:eastAsia="es-CO"/>
                  </w:rPr>
                </w:pPr>
                <w:r w:rsidRPr="001B4D52">
                  <w:rPr>
                    <w:rFonts w:ascii="Times New Roman" w:eastAsia="Times New Roman" w:hAnsi="Times New Roman"/>
                    <w:color w:val="000000"/>
                    <w:sz w:val="14"/>
                    <w:szCs w:val="14"/>
                    <w:lang w:eastAsia="es-CO"/>
                  </w:rPr>
                  <w:t>TRAMO 6</w:t>
                </w:r>
              </w:p>
            </w:tc>
            <w:tc>
              <w:tcPr>
                <w:tcW w:w="2126" w:type="dxa"/>
                <w:shd w:val="clear" w:color="auto" w:fill="auto"/>
                <w:noWrap/>
                <w:vAlign w:val="bottom"/>
                <w:hideMark/>
              </w:tcPr>
              <w:p w14:paraId="4DDF79B3" w14:textId="77777777" w:rsidR="00324ACD" w:rsidRPr="001B4D52" w:rsidRDefault="00324ACD" w:rsidP="00FB40D8">
                <w:pPr>
                  <w:spacing w:after="0" w:line="240" w:lineRule="auto"/>
                  <w:ind w:left="-195" w:firstLine="195"/>
                  <w:jc w:val="right"/>
                  <w:rPr>
                    <w:rFonts w:ascii="Times New Roman" w:eastAsia="Times New Roman" w:hAnsi="Times New Roman"/>
                    <w:color w:val="000000"/>
                    <w:sz w:val="14"/>
                    <w:szCs w:val="14"/>
                    <w:lang w:eastAsia="es-CO"/>
                  </w:rPr>
                </w:pPr>
                <w:r w:rsidRPr="001B4D52">
                  <w:rPr>
                    <w:rFonts w:ascii="Times New Roman" w:eastAsia="Times New Roman" w:hAnsi="Times New Roman"/>
                    <w:color w:val="000000"/>
                    <w:sz w:val="14"/>
                    <w:szCs w:val="14"/>
                    <w:lang w:eastAsia="es-CO"/>
                  </w:rPr>
                  <w:t>$ 3.821.169.892,50</w:t>
                </w:r>
              </w:p>
            </w:tc>
            <w:tc>
              <w:tcPr>
                <w:tcW w:w="2126" w:type="dxa"/>
                <w:shd w:val="clear" w:color="auto" w:fill="auto"/>
                <w:noWrap/>
                <w:vAlign w:val="bottom"/>
                <w:hideMark/>
              </w:tcPr>
              <w:p w14:paraId="114CA40B" w14:textId="77777777" w:rsidR="00324ACD" w:rsidRPr="001B4D52" w:rsidRDefault="00324ACD" w:rsidP="00FB40D8">
                <w:pPr>
                  <w:spacing w:after="0" w:line="240" w:lineRule="auto"/>
                  <w:ind w:left="-195" w:firstLine="195"/>
                  <w:jc w:val="right"/>
                  <w:rPr>
                    <w:rFonts w:ascii="Times New Roman" w:eastAsia="Times New Roman" w:hAnsi="Times New Roman"/>
                    <w:color w:val="000000"/>
                    <w:sz w:val="14"/>
                    <w:szCs w:val="14"/>
                    <w:lang w:eastAsia="es-CO"/>
                  </w:rPr>
                </w:pPr>
                <w:r w:rsidRPr="001B4D52">
                  <w:rPr>
                    <w:rFonts w:ascii="Times New Roman" w:eastAsia="Times New Roman" w:hAnsi="Times New Roman"/>
                    <w:color w:val="000000"/>
                    <w:sz w:val="14"/>
                    <w:szCs w:val="14"/>
                    <w:lang w:eastAsia="es-CO"/>
                  </w:rPr>
                  <w:t>$ 4.997.493.860,93</w:t>
                </w:r>
              </w:p>
            </w:tc>
          </w:tr>
          <w:tr w:rsidR="00324ACD" w:rsidRPr="001B4D52" w14:paraId="3EA66BD1" w14:textId="77777777" w:rsidTr="005F1B0E">
            <w:trPr>
              <w:trHeight w:val="225"/>
              <w:jc w:val="center"/>
            </w:trPr>
            <w:tc>
              <w:tcPr>
                <w:tcW w:w="2122" w:type="dxa"/>
                <w:shd w:val="clear" w:color="auto" w:fill="auto"/>
                <w:noWrap/>
                <w:vAlign w:val="bottom"/>
                <w:hideMark/>
              </w:tcPr>
              <w:p w14:paraId="171C8903" w14:textId="77777777" w:rsidR="00324ACD" w:rsidRPr="001B4D52" w:rsidRDefault="00324ACD" w:rsidP="00FB40D8">
                <w:pPr>
                  <w:spacing w:after="0" w:line="240" w:lineRule="auto"/>
                  <w:ind w:left="-195" w:firstLine="195"/>
                  <w:rPr>
                    <w:rFonts w:ascii="Times New Roman" w:eastAsia="Times New Roman" w:hAnsi="Times New Roman"/>
                    <w:color w:val="000000"/>
                    <w:sz w:val="14"/>
                    <w:szCs w:val="14"/>
                    <w:lang w:eastAsia="es-CO"/>
                  </w:rPr>
                </w:pPr>
                <w:r w:rsidRPr="001B4D52">
                  <w:rPr>
                    <w:rFonts w:ascii="Times New Roman" w:eastAsia="Times New Roman" w:hAnsi="Times New Roman"/>
                    <w:color w:val="000000"/>
                    <w:sz w:val="14"/>
                    <w:szCs w:val="14"/>
                    <w:lang w:eastAsia="es-CO"/>
                  </w:rPr>
                  <w:t>COVID</w:t>
                </w:r>
              </w:p>
            </w:tc>
            <w:tc>
              <w:tcPr>
                <w:tcW w:w="2126" w:type="dxa"/>
                <w:shd w:val="clear" w:color="auto" w:fill="auto"/>
                <w:noWrap/>
                <w:vAlign w:val="bottom"/>
                <w:hideMark/>
              </w:tcPr>
              <w:p w14:paraId="3CC0EAD1" w14:textId="77777777" w:rsidR="00324ACD" w:rsidRPr="001B4D52" w:rsidRDefault="00324ACD" w:rsidP="00FB40D8">
                <w:pPr>
                  <w:spacing w:after="0" w:line="240" w:lineRule="auto"/>
                  <w:ind w:left="-195" w:firstLine="195"/>
                  <w:jc w:val="right"/>
                  <w:rPr>
                    <w:rFonts w:ascii="Times New Roman" w:eastAsia="Times New Roman" w:hAnsi="Times New Roman"/>
                    <w:color w:val="000000"/>
                    <w:sz w:val="14"/>
                    <w:szCs w:val="14"/>
                    <w:lang w:eastAsia="es-CO"/>
                  </w:rPr>
                </w:pPr>
                <w:r w:rsidRPr="001B4D52">
                  <w:rPr>
                    <w:rFonts w:ascii="Times New Roman" w:eastAsia="Times New Roman" w:hAnsi="Times New Roman"/>
                    <w:color w:val="000000"/>
                    <w:sz w:val="14"/>
                    <w:szCs w:val="14"/>
                    <w:lang w:eastAsia="es-CO"/>
                  </w:rPr>
                  <w:t>$ 10.183.291.810,00</w:t>
                </w:r>
              </w:p>
            </w:tc>
            <w:tc>
              <w:tcPr>
                <w:tcW w:w="2126" w:type="dxa"/>
                <w:shd w:val="clear" w:color="auto" w:fill="auto"/>
                <w:noWrap/>
                <w:vAlign w:val="bottom"/>
                <w:hideMark/>
              </w:tcPr>
              <w:p w14:paraId="4FFD2CA4" w14:textId="77777777" w:rsidR="00324ACD" w:rsidRPr="001B4D52" w:rsidRDefault="00324ACD" w:rsidP="00FB40D8">
                <w:pPr>
                  <w:spacing w:after="0" w:line="240" w:lineRule="auto"/>
                  <w:ind w:left="-195" w:firstLine="195"/>
                  <w:jc w:val="right"/>
                  <w:rPr>
                    <w:rFonts w:ascii="Times New Roman" w:eastAsia="Times New Roman" w:hAnsi="Times New Roman"/>
                    <w:color w:val="000000"/>
                    <w:sz w:val="14"/>
                    <w:szCs w:val="14"/>
                    <w:lang w:eastAsia="es-CO"/>
                  </w:rPr>
                </w:pPr>
                <w:r w:rsidRPr="001B4D52">
                  <w:rPr>
                    <w:rFonts w:ascii="Times New Roman" w:eastAsia="Times New Roman" w:hAnsi="Times New Roman"/>
                    <w:color w:val="000000"/>
                    <w:sz w:val="14"/>
                    <w:szCs w:val="14"/>
                    <w:lang w:eastAsia="es-CO"/>
                  </w:rPr>
                  <w:t>$ 11.950.403.183,00</w:t>
                </w:r>
              </w:p>
            </w:tc>
          </w:tr>
          <w:tr w:rsidR="00324ACD" w:rsidRPr="001B4D52" w14:paraId="799557DC" w14:textId="77777777" w:rsidTr="005F1B0E">
            <w:trPr>
              <w:trHeight w:val="225"/>
              <w:jc w:val="center"/>
            </w:trPr>
            <w:tc>
              <w:tcPr>
                <w:tcW w:w="2122" w:type="dxa"/>
                <w:shd w:val="clear" w:color="auto" w:fill="auto"/>
                <w:noWrap/>
                <w:vAlign w:val="bottom"/>
                <w:hideMark/>
              </w:tcPr>
              <w:p w14:paraId="1182FB68" w14:textId="77777777" w:rsidR="00324ACD" w:rsidRPr="001B4D52" w:rsidRDefault="00324ACD" w:rsidP="00FB40D8">
                <w:pPr>
                  <w:spacing w:after="0" w:line="240" w:lineRule="auto"/>
                  <w:ind w:left="-195" w:firstLine="195"/>
                  <w:rPr>
                    <w:rFonts w:ascii="Times New Roman" w:eastAsia="Times New Roman" w:hAnsi="Times New Roman"/>
                    <w:b/>
                    <w:bCs/>
                    <w:color w:val="000000" w:themeColor="text1"/>
                    <w:sz w:val="14"/>
                    <w:szCs w:val="14"/>
                    <w:lang w:eastAsia="es-CO"/>
                  </w:rPr>
                </w:pPr>
                <w:r w:rsidRPr="001B4D52">
                  <w:rPr>
                    <w:rFonts w:ascii="Times New Roman" w:eastAsia="Times New Roman" w:hAnsi="Times New Roman"/>
                    <w:b/>
                    <w:bCs/>
                    <w:color w:val="000000" w:themeColor="text1"/>
                    <w:sz w:val="14"/>
                    <w:szCs w:val="14"/>
                    <w:lang w:eastAsia="es-CO"/>
                  </w:rPr>
                  <w:t>TOTAL</w:t>
                </w:r>
              </w:p>
            </w:tc>
            <w:tc>
              <w:tcPr>
                <w:tcW w:w="2126" w:type="dxa"/>
                <w:shd w:val="clear" w:color="auto" w:fill="auto"/>
                <w:noWrap/>
                <w:vAlign w:val="bottom"/>
                <w:hideMark/>
              </w:tcPr>
              <w:p w14:paraId="68F38D62" w14:textId="77777777" w:rsidR="00324ACD" w:rsidRPr="001B4D52" w:rsidRDefault="00324ACD" w:rsidP="00FB40D8">
                <w:pPr>
                  <w:spacing w:after="0" w:line="240" w:lineRule="auto"/>
                  <w:ind w:left="-195" w:firstLine="195"/>
                  <w:jc w:val="right"/>
                  <w:rPr>
                    <w:rFonts w:ascii="Times New Roman" w:eastAsia="Times New Roman" w:hAnsi="Times New Roman"/>
                    <w:b/>
                    <w:bCs/>
                    <w:color w:val="000000" w:themeColor="text1"/>
                    <w:sz w:val="14"/>
                    <w:szCs w:val="14"/>
                    <w:lang w:eastAsia="es-CO"/>
                  </w:rPr>
                </w:pPr>
                <w:r w:rsidRPr="001B4D52">
                  <w:rPr>
                    <w:rFonts w:ascii="Times New Roman" w:eastAsia="Times New Roman" w:hAnsi="Times New Roman"/>
                    <w:b/>
                    <w:bCs/>
                    <w:color w:val="000000" w:themeColor="text1"/>
                    <w:sz w:val="14"/>
                    <w:szCs w:val="14"/>
                    <w:lang w:eastAsia="es-CO"/>
                  </w:rPr>
                  <w:t>$ 50.106.442.257,00</w:t>
                </w:r>
              </w:p>
            </w:tc>
            <w:tc>
              <w:tcPr>
                <w:tcW w:w="2126" w:type="dxa"/>
                <w:shd w:val="clear" w:color="auto" w:fill="auto"/>
                <w:noWrap/>
                <w:vAlign w:val="bottom"/>
                <w:hideMark/>
              </w:tcPr>
              <w:p w14:paraId="6283E92D" w14:textId="77777777" w:rsidR="00324ACD" w:rsidRPr="001B4D52" w:rsidRDefault="00324ACD" w:rsidP="00FB40D8">
                <w:pPr>
                  <w:spacing w:after="0" w:line="240" w:lineRule="auto"/>
                  <w:ind w:left="-195" w:firstLine="195"/>
                  <w:jc w:val="right"/>
                  <w:rPr>
                    <w:rFonts w:ascii="Times New Roman" w:eastAsia="Times New Roman" w:hAnsi="Times New Roman"/>
                    <w:b/>
                    <w:bCs/>
                    <w:color w:val="000000" w:themeColor="text1"/>
                    <w:sz w:val="14"/>
                    <w:szCs w:val="14"/>
                    <w:lang w:eastAsia="es-CO"/>
                  </w:rPr>
                </w:pPr>
                <w:r w:rsidRPr="001B4D52">
                  <w:rPr>
                    <w:rFonts w:ascii="Times New Roman" w:eastAsia="Times New Roman" w:hAnsi="Times New Roman"/>
                    <w:b/>
                    <w:bCs/>
                    <w:color w:val="000000" w:themeColor="text1"/>
                    <w:sz w:val="14"/>
                    <w:szCs w:val="14"/>
                    <w:lang w:eastAsia="es-CO"/>
                  </w:rPr>
                  <w:t>$ 63.103.382.244,67</w:t>
                </w:r>
              </w:p>
            </w:tc>
          </w:tr>
        </w:tbl>
        <w:p w14:paraId="71587E11" w14:textId="14FF2D22" w:rsidR="00324ACD" w:rsidRDefault="00324ACD" w:rsidP="00324ACD">
          <w:pPr>
            <w:spacing w:after="0" w:line="240" w:lineRule="auto"/>
            <w:jc w:val="both"/>
            <w:rPr>
              <w:rFonts w:ascii="Times New Roman" w:hAnsi="Times New Roman"/>
              <w:sz w:val="24"/>
              <w:szCs w:val="24"/>
            </w:rPr>
          </w:pPr>
        </w:p>
        <w:p w14:paraId="6AE948C9" w14:textId="77777777" w:rsidR="00324ACD" w:rsidRPr="003721CB" w:rsidRDefault="00324ACD" w:rsidP="1C10EE48">
          <w:pPr>
            <w:autoSpaceDE w:val="0"/>
            <w:autoSpaceDN w:val="0"/>
            <w:adjustRightInd w:val="0"/>
            <w:spacing w:after="0" w:line="240" w:lineRule="auto"/>
            <w:jc w:val="both"/>
            <w:rPr>
              <w:rFonts w:ascii="Times New Roman" w:eastAsiaTheme="minorEastAsia" w:hAnsi="Times New Roman"/>
              <w:sz w:val="24"/>
              <w:szCs w:val="24"/>
              <w14:ligatures w14:val="standardContextual"/>
            </w:rPr>
          </w:pPr>
          <w:r w:rsidRPr="1C10EE48">
            <w:rPr>
              <w:rFonts w:ascii="Times New Roman" w:eastAsiaTheme="minorEastAsia" w:hAnsi="Times New Roman"/>
              <w:sz w:val="24"/>
              <w:szCs w:val="24"/>
              <w14:ligatures w14:val="standardContextual"/>
            </w:rPr>
            <w:t>Ahora, como quiera que el Laudo no fijó las reglas para liquidación de intereses, se debe dar aplicación a lo dispuesto en los artículos 192 y 195 de la Ley 1437 de 2011 (CPACA), En ese orden, la suma de intereses liquidados a la Tasa DTF. E.A corresponde a la suma de $10.082.754.795 para una deuda total de $ 73.186.137.039.</w:t>
          </w:r>
        </w:p>
        <w:p w14:paraId="129A358B" w14:textId="787E2D26" w:rsidR="00324ACD" w:rsidRPr="003721CB" w:rsidRDefault="00324ACD" w:rsidP="1C10EE48">
          <w:pPr>
            <w:spacing w:after="0" w:line="240" w:lineRule="auto"/>
            <w:jc w:val="both"/>
            <w:rPr>
              <w:rFonts w:ascii="Times New Roman" w:eastAsiaTheme="minorEastAsia" w:hAnsi="Times New Roman"/>
              <w:sz w:val="24"/>
              <w:szCs w:val="24"/>
              <w14:ligatures w14:val="standardContextual"/>
            </w:rPr>
          </w:pPr>
        </w:p>
        <w:p w14:paraId="4104C5FA" w14:textId="77777777" w:rsidR="00324ACD" w:rsidRPr="003721CB" w:rsidRDefault="00324ACD" w:rsidP="00324ACD">
          <w:pPr>
            <w:autoSpaceDE w:val="0"/>
            <w:autoSpaceDN w:val="0"/>
            <w:adjustRightInd w:val="0"/>
            <w:spacing w:after="0" w:line="240" w:lineRule="auto"/>
            <w:jc w:val="both"/>
            <w:rPr>
              <w:rFonts w:ascii="Times New Roman" w:hAnsi="Times New Roman"/>
              <w:sz w:val="24"/>
              <w:szCs w:val="24"/>
            </w:rPr>
          </w:pPr>
          <w:r w:rsidRPr="1C10EE48">
            <w:rPr>
              <w:rFonts w:ascii="Times New Roman" w:eastAsiaTheme="minorEastAsia" w:hAnsi="Times New Roman"/>
              <w:sz w:val="24"/>
              <w:szCs w:val="24"/>
              <w14:ligatures w14:val="standardContextual"/>
            </w:rPr>
            <w:t xml:space="preserve">Se informa que el 23 de agosto de 2023 se realiza un abono a la deuda anteriormente relacionada por valor de $ 23.440.000.000, quedando una deuda de capital por valor de </w:t>
          </w:r>
          <w:r w:rsidRPr="1C10EE48">
            <w:rPr>
              <w:rFonts w:ascii="Times New Roman" w:eastAsiaTheme="minorEastAsia" w:hAnsi="Times New Roman"/>
              <w:sz w:val="24"/>
              <w:szCs w:val="24"/>
              <w14:ligatures w14:val="standardContextual"/>
            </w:rPr>
            <w:lastRenderedPageBreak/>
            <w:t>$49.746.137.039, la suma de intereses liquidados a la Tasa DTF. E.A con corte a diciembre de 2023 corresponde a la suma de $4.369.314.312.</w:t>
          </w:r>
        </w:p>
        <w:p w14:paraId="6F2BCF4D" w14:textId="1CBBD51E" w:rsidR="00324ACD" w:rsidRPr="00B90884" w:rsidRDefault="00324ACD" w:rsidP="00324ACD">
          <w:pPr>
            <w:spacing w:after="0" w:line="240" w:lineRule="auto"/>
            <w:jc w:val="both"/>
            <w:rPr>
              <w:rFonts w:ascii="Times New Roman" w:hAnsi="Times New Roman"/>
              <w:sz w:val="24"/>
              <w:szCs w:val="24"/>
            </w:rPr>
          </w:pPr>
        </w:p>
        <w:p w14:paraId="7EBCA1BF" w14:textId="6B1D92DF" w:rsidR="00324ACD" w:rsidRPr="00B90884" w:rsidRDefault="00324ACD" w:rsidP="00E60BAB">
          <w:pPr>
            <w:pStyle w:val="Prrafodelista"/>
            <w:numPr>
              <w:ilvl w:val="0"/>
              <w:numId w:val="58"/>
            </w:numPr>
            <w:autoSpaceDE w:val="0"/>
            <w:autoSpaceDN w:val="0"/>
            <w:adjustRightInd w:val="0"/>
            <w:spacing w:after="0" w:line="240" w:lineRule="auto"/>
            <w:ind w:left="0" w:hanging="142"/>
            <w:jc w:val="both"/>
            <w:rPr>
              <w:rFonts w:ascii="Times New Roman" w:hAnsi="Times New Roman"/>
              <w:sz w:val="24"/>
              <w:szCs w:val="24"/>
            </w:rPr>
          </w:pPr>
          <w:r w:rsidRPr="1C10EE48">
            <w:rPr>
              <w:rFonts w:ascii="Times New Roman" w:hAnsi="Times New Roman"/>
              <w:sz w:val="24"/>
              <w:szCs w:val="24"/>
            </w:rPr>
            <w:t xml:space="preserve">Un valor de $5.938.571.424 (capital e intereses), por la deuda reconocida a nombre de la Concesionaria Ruta del Cacao S.A.S., del proyecto de Concesión Bucaramanga Barrancabermeja Yondo, por el Laudo Arbitral No. </w:t>
          </w:r>
          <w:r w:rsidRPr="1C10EE48">
            <w:rPr>
              <w:rFonts w:ascii="Times New Roman" w:eastAsia="Arial" w:hAnsi="Times New Roman"/>
              <w:sz w:val="24"/>
              <w:szCs w:val="24"/>
            </w:rPr>
            <w:t>127211</w:t>
          </w:r>
          <w:r w:rsidRPr="1C10EE48">
            <w:rPr>
              <w:rFonts w:ascii="Times New Roman" w:hAnsi="Times New Roman"/>
              <w:sz w:val="24"/>
              <w:szCs w:val="24"/>
            </w:rPr>
            <w:t xml:space="preserve"> del </w:t>
          </w:r>
          <w:r w:rsidRPr="1C10EE48">
            <w:rPr>
              <w:rFonts w:ascii="Times New Roman" w:eastAsia="Arial" w:hAnsi="Times New Roman"/>
              <w:sz w:val="24"/>
              <w:szCs w:val="24"/>
            </w:rPr>
            <w:t>17 de junio de 2022</w:t>
          </w:r>
          <w:r w:rsidRPr="1C10EE48">
            <w:rPr>
              <w:rFonts w:ascii="Times New Roman" w:hAnsi="Times New Roman"/>
              <w:sz w:val="24"/>
              <w:szCs w:val="24"/>
            </w:rPr>
            <w:t xml:space="preserve">, en donde en el </w:t>
          </w:r>
          <w:r w:rsidRPr="1C10EE48">
            <w:rPr>
              <w:rFonts w:ascii="Times New Roman" w:eastAsia="Arial" w:hAnsi="Times New Roman"/>
              <w:sz w:val="24"/>
              <w:szCs w:val="24"/>
            </w:rPr>
            <w:t xml:space="preserve">resuelve Decimoctavo y Decimonoveno condenó a la ANI, así: </w:t>
          </w:r>
        </w:p>
        <w:p w14:paraId="2596286E" w14:textId="666A5835" w:rsidR="00324ACD" w:rsidRDefault="00324ACD" w:rsidP="00324ACD">
          <w:pPr>
            <w:pStyle w:val="Prrafodelista"/>
            <w:autoSpaceDE w:val="0"/>
            <w:autoSpaceDN w:val="0"/>
            <w:adjustRightInd w:val="0"/>
            <w:spacing w:after="0" w:line="240" w:lineRule="auto"/>
            <w:ind w:left="142"/>
            <w:jc w:val="both"/>
            <w:rPr>
              <w:rFonts w:ascii="Times New Roman" w:eastAsia="Arial" w:hAnsi="Times New Roman"/>
              <w:sz w:val="24"/>
              <w:szCs w:val="24"/>
            </w:rPr>
          </w:pPr>
        </w:p>
        <w:p w14:paraId="0C99CA2C" w14:textId="77777777" w:rsidR="00324ACD" w:rsidRPr="003457CE" w:rsidRDefault="00324ACD" w:rsidP="00324ACD">
          <w:pPr>
            <w:autoSpaceDE w:val="0"/>
            <w:autoSpaceDN w:val="0"/>
            <w:adjustRightInd w:val="0"/>
            <w:spacing w:after="0" w:line="240" w:lineRule="auto"/>
            <w:jc w:val="both"/>
            <w:rPr>
              <w:rFonts w:ascii="Times New Roman" w:eastAsia="Arial" w:hAnsi="Times New Roman"/>
              <w:sz w:val="24"/>
              <w:szCs w:val="24"/>
            </w:rPr>
          </w:pPr>
          <w:r w:rsidRPr="1C10EE48">
            <w:rPr>
              <w:rFonts w:ascii="Times New Roman" w:eastAsiaTheme="minorEastAsia" w:hAnsi="Times New Roman"/>
              <w:sz w:val="24"/>
              <w:szCs w:val="24"/>
              <w14:ligatures w14:val="standardContextual"/>
            </w:rPr>
            <w:t>En Laudo Arbitral del 17 de junio de 2022 No. 127211 Ruta del Cacao – ANI, en el resuelve Decimoctavo se condena a la ANI:</w:t>
          </w:r>
        </w:p>
        <w:p w14:paraId="71E0066D" w14:textId="208B8DAF" w:rsidR="00FC2584" w:rsidRDefault="00FC2584" w:rsidP="00FC2584">
          <w:pPr>
            <w:pStyle w:val="Prrafodelista"/>
            <w:autoSpaceDE w:val="0"/>
            <w:autoSpaceDN w:val="0"/>
            <w:adjustRightInd w:val="0"/>
            <w:spacing w:after="0" w:line="240" w:lineRule="auto"/>
            <w:ind w:left="142"/>
            <w:jc w:val="both"/>
            <w:rPr>
              <w:rFonts w:ascii="Times New Roman" w:eastAsia="Arial" w:hAnsi="Times New Roman"/>
              <w:sz w:val="24"/>
              <w:szCs w:val="24"/>
            </w:rPr>
          </w:pPr>
        </w:p>
        <w:p w14:paraId="3A6384C6" w14:textId="5C750F8B" w:rsidR="00FC2584" w:rsidRPr="00EB178D" w:rsidRDefault="00C46FC5" w:rsidP="00324ACD">
          <w:pPr>
            <w:tabs>
              <w:tab w:val="left" w:pos="7938"/>
            </w:tabs>
            <w:ind w:left="567" w:right="900"/>
            <w:jc w:val="both"/>
            <w:rPr>
              <w:rFonts w:ascii="Times New Roman" w:hAnsi="Times New Roman"/>
              <w:sz w:val="18"/>
              <w:szCs w:val="18"/>
            </w:rPr>
          </w:pPr>
          <w:r w:rsidRPr="00EB178D">
            <w:rPr>
              <w:rFonts w:ascii="Times New Roman" w:eastAsia="Arial" w:hAnsi="Times New Roman"/>
              <w:i/>
              <w:sz w:val="18"/>
              <w:szCs w:val="18"/>
            </w:rPr>
            <w:t>“</w:t>
          </w:r>
          <w:r w:rsidR="00FC2584" w:rsidRPr="00EB178D">
            <w:rPr>
              <w:rFonts w:ascii="Times New Roman" w:eastAsia="Arial" w:hAnsi="Times New Roman"/>
              <w:i/>
              <w:sz w:val="18"/>
              <w:szCs w:val="18"/>
            </w:rPr>
            <w:t xml:space="preserve">Decimoctavo. Condenar a la Agencia Nacional de Infraestructura a pagar a la Concesionaria Ruta del Cacao S.A.S., la suma actualizada de </w:t>
          </w:r>
          <w:r w:rsidR="00FC2584" w:rsidRPr="00EB178D">
            <w:rPr>
              <w:rFonts w:ascii="Times New Roman" w:eastAsia="Arial" w:hAnsi="Times New Roman"/>
              <w:b/>
              <w:i/>
              <w:sz w:val="18"/>
              <w:szCs w:val="18"/>
            </w:rPr>
            <w:t>CINCO MIL SETECIENTOS SESENTA Y OCHO MILLONES NOVECIENTOS NOVENTA MIL CIENTO SESENTA PESOS ($5.768.990.160)</w:t>
          </w:r>
          <w:r w:rsidR="00FC2584" w:rsidRPr="00EB178D">
            <w:rPr>
              <w:rFonts w:ascii="Times New Roman" w:eastAsia="Arial" w:hAnsi="Times New Roman"/>
              <w:i/>
              <w:sz w:val="18"/>
              <w:szCs w:val="18"/>
            </w:rPr>
            <w:t xml:space="preserve"> por concepto de los costos incurridos por la Concesionaria relacionados con actividades y obras que la Convocada debe asumir por razón de los riesgos a su cargo, incluidos los costos incurridos por actividades y obras adelantadas para asegurar la estabilidad y transitabilidad del Subsector 2.2, desde el recibo de dicha vía hasta la suscripción del Acta de Terminación de la Unidad Funcional 2. Por lo anterior, prosperan las Pretensiones de condena 4.1., 4.3. y 4.4. formuladas por la Convocante en la demanda reformada.</w:t>
          </w:r>
        </w:p>
        <w:p w14:paraId="16E97F77" w14:textId="41EC42F1" w:rsidR="00FC2584" w:rsidRPr="00EB178D" w:rsidRDefault="00FC2584" w:rsidP="00324ACD">
          <w:pPr>
            <w:tabs>
              <w:tab w:val="left" w:pos="7938"/>
            </w:tabs>
            <w:ind w:left="567" w:right="900"/>
            <w:jc w:val="both"/>
            <w:rPr>
              <w:rFonts w:ascii="Times New Roman" w:eastAsia="Arial" w:hAnsi="Times New Roman"/>
              <w:i/>
              <w:sz w:val="18"/>
              <w:szCs w:val="18"/>
            </w:rPr>
          </w:pPr>
          <w:r w:rsidRPr="00EB178D">
            <w:rPr>
              <w:rFonts w:ascii="Times New Roman" w:eastAsia="Arial" w:hAnsi="Times New Roman"/>
              <w:i/>
              <w:sz w:val="18"/>
              <w:szCs w:val="18"/>
            </w:rPr>
            <w:t xml:space="preserve">Decimonoveno. Condenar a la Agencia Nacional de Infraestructura a pagar a la Concesionaria Ruta del Cacao S.A.S., el monto actualizado de </w:t>
          </w:r>
          <w:r w:rsidRPr="00EB178D">
            <w:rPr>
              <w:rFonts w:ascii="Times New Roman" w:eastAsia="Arial" w:hAnsi="Times New Roman"/>
              <w:b/>
              <w:i/>
              <w:sz w:val="18"/>
              <w:szCs w:val="18"/>
            </w:rPr>
            <w:t>MIL CIENTO UN MILLONES NOVECIENTOS SESENTA Y SEIS MIL NOVECIENTOS CUARENTA Y NUEVE PESOS ($1.101.966.949</w:t>
          </w:r>
          <w:r w:rsidRPr="00EB178D">
            <w:rPr>
              <w:rFonts w:ascii="Times New Roman" w:eastAsia="Arial" w:hAnsi="Times New Roman"/>
              <w:i/>
              <w:sz w:val="18"/>
              <w:szCs w:val="18"/>
            </w:rPr>
            <w:t>), por concepto de las Deducciones por Desempeño efectuadas sobre la retribución por el incumplimiento de los Indicadores del Apéndice Técnico 4 en el Subsector 2.2. de la Unidad Funcional 2 y en los Subsectores 3.2 y 3.3 de la Unidad Funcional 3 del Proyecto. Por lo anterior, prosperan las Pretensiones de condena 4.2. y 4.4. de la demanda reformada.</w:t>
          </w:r>
          <w:r w:rsidR="00C46FC5" w:rsidRPr="00EB178D">
            <w:rPr>
              <w:rFonts w:ascii="Times New Roman" w:eastAsia="Arial" w:hAnsi="Times New Roman"/>
              <w:i/>
              <w:sz w:val="18"/>
              <w:szCs w:val="18"/>
            </w:rPr>
            <w:t>”</w:t>
          </w:r>
        </w:p>
        <w:p w14:paraId="16CBC26A" w14:textId="77777777" w:rsidR="00FC2584" w:rsidRPr="00EB178D" w:rsidRDefault="00FC2584" w:rsidP="00324ACD">
          <w:pPr>
            <w:jc w:val="both"/>
            <w:rPr>
              <w:rFonts w:ascii="Times New Roman" w:hAnsi="Times New Roman"/>
              <w:sz w:val="24"/>
              <w:szCs w:val="24"/>
            </w:rPr>
          </w:pPr>
          <w:r w:rsidRPr="00EB178D">
            <w:rPr>
              <w:rFonts w:ascii="Times New Roman" w:eastAsia="Arial" w:hAnsi="Times New Roman"/>
              <w:color w:val="000000" w:themeColor="text1"/>
              <w:sz w:val="24"/>
              <w:szCs w:val="24"/>
            </w:rPr>
            <w:t>Por su parte en el resuelve Vigésimo y Vigésimo primero se establece el pago de intereses moratorios:</w:t>
          </w:r>
        </w:p>
        <w:p w14:paraId="21EE093E" w14:textId="4805441B" w:rsidR="00FC2584" w:rsidRPr="00EB178D" w:rsidRDefault="00C46FC5" w:rsidP="00324ACD">
          <w:pPr>
            <w:ind w:left="567" w:right="900"/>
            <w:jc w:val="both"/>
            <w:rPr>
              <w:rFonts w:ascii="Times New Roman" w:hAnsi="Times New Roman"/>
              <w:sz w:val="18"/>
              <w:szCs w:val="18"/>
            </w:rPr>
          </w:pPr>
          <w:r w:rsidRPr="00EB178D">
            <w:rPr>
              <w:rFonts w:ascii="Times New Roman" w:eastAsia="Arial" w:hAnsi="Times New Roman"/>
              <w:i/>
              <w:color w:val="000000" w:themeColor="text1"/>
              <w:sz w:val="18"/>
              <w:szCs w:val="18"/>
            </w:rPr>
            <w:t>“</w:t>
          </w:r>
          <w:r w:rsidR="00FC2584" w:rsidRPr="00EB178D">
            <w:rPr>
              <w:rFonts w:ascii="Times New Roman" w:eastAsia="Arial" w:hAnsi="Times New Roman"/>
              <w:i/>
              <w:color w:val="000000" w:themeColor="text1"/>
              <w:sz w:val="18"/>
              <w:szCs w:val="18"/>
            </w:rPr>
            <w:t>Vigésimo. Condenar a la Agencia Nacional de Infraestructura a pagar a la Concesionaria Ruta del Cacao S.A.S. intereses moratorios sobre todas las sumas a las que se encuentre obligada en los términos de los artículos 192 y 195 del Código de Procedimiento Administrativo y de lo Contencioso Administrativo.</w:t>
          </w:r>
        </w:p>
        <w:p w14:paraId="43E553DC" w14:textId="006F07A1" w:rsidR="00FC2584" w:rsidRPr="00EB178D" w:rsidRDefault="00FC2584" w:rsidP="00324ACD">
          <w:pPr>
            <w:spacing w:after="0" w:line="240" w:lineRule="auto"/>
            <w:ind w:left="567" w:right="900"/>
            <w:jc w:val="both"/>
            <w:rPr>
              <w:rFonts w:ascii="Times New Roman" w:eastAsia="Arial" w:hAnsi="Times New Roman"/>
              <w:i/>
              <w:sz w:val="18"/>
              <w:szCs w:val="18"/>
            </w:rPr>
          </w:pPr>
          <w:r w:rsidRPr="00EB178D">
            <w:rPr>
              <w:rFonts w:ascii="Times New Roman" w:eastAsia="Arial" w:hAnsi="Times New Roman"/>
              <w:i/>
              <w:sz w:val="18"/>
              <w:szCs w:val="18"/>
            </w:rPr>
            <w:t>Vigésimo primero. Ordenar a la Agencia Nacional de Infraestructura pagar a la Concesionaria Ruta del Cacao S.A.S. las condenas impartidas en esta providencia, en los términos establecidos por los artículos 192 y 195 del Código de Procedimiento Administrativo y de lo Contencioso Administrativo. No prospera la Pretensión de condena 4.6. por cuanto el término para el pago será el que establecen los artículos mencionados.</w:t>
          </w:r>
          <w:r w:rsidR="00C46FC5" w:rsidRPr="00EB178D">
            <w:rPr>
              <w:rFonts w:ascii="Times New Roman" w:eastAsia="Arial" w:hAnsi="Times New Roman"/>
              <w:i/>
              <w:sz w:val="18"/>
              <w:szCs w:val="18"/>
            </w:rPr>
            <w:t>”</w:t>
          </w:r>
        </w:p>
        <w:p w14:paraId="3E846B07" w14:textId="5635CCD4" w:rsidR="009F73EB" w:rsidRPr="008E28AC" w:rsidRDefault="009F73EB" w:rsidP="00C46FC5">
          <w:pPr>
            <w:spacing w:after="0" w:line="240" w:lineRule="auto"/>
            <w:ind w:left="284" w:right="190"/>
            <w:jc w:val="both"/>
            <w:rPr>
              <w:rFonts w:ascii="Times New Roman" w:eastAsia="Arial" w:hAnsi="Times New Roman"/>
              <w:i/>
              <w:sz w:val="24"/>
              <w:szCs w:val="24"/>
              <w:highlight w:val="cyan"/>
            </w:rPr>
          </w:pPr>
        </w:p>
        <w:p w14:paraId="27A928F9" w14:textId="77777777" w:rsidR="00324ACD" w:rsidRPr="00FF0D65" w:rsidRDefault="00324ACD" w:rsidP="1C10EE48">
          <w:pPr>
            <w:autoSpaceDE w:val="0"/>
            <w:autoSpaceDN w:val="0"/>
            <w:adjustRightInd w:val="0"/>
            <w:spacing w:after="0" w:line="240" w:lineRule="auto"/>
            <w:jc w:val="both"/>
            <w:rPr>
              <w:rFonts w:ascii="Times New Roman" w:eastAsia="Arial" w:hAnsi="Times New Roman"/>
              <w:i/>
              <w:iCs/>
              <w:sz w:val="24"/>
              <w:szCs w:val="24"/>
              <w:highlight w:val="cyan"/>
            </w:rPr>
          </w:pPr>
          <w:r w:rsidRPr="1C10EE48">
            <w:rPr>
              <w:rFonts w:ascii="Times New Roman" w:eastAsiaTheme="minorEastAsia" w:hAnsi="Times New Roman"/>
              <w:sz w:val="24"/>
              <w:szCs w:val="24"/>
              <w14:ligatures w14:val="standardContextual"/>
            </w:rPr>
            <w:t xml:space="preserve">Mediante oficio con radicado ANI 20225000399811 del 9 de diciembre de 2022, se solicitó a Fiduciaria Bancolombia S.A. atender el pago de la condena en el resuelve </w:t>
          </w:r>
          <w:r w:rsidRPr="1C10EE48">
            <w:rPr>
              <w:rFonts w:ascii="Times New Roman" w:eastAsiaTheme="minorEastAsia" w:hAnsi="Times New Roman"/>
              <w:i/>
              <w:iCs/>
              <w:sz w:val="24"/>
              <w:szCs w:val="24"/>
              <w14:ligatures w14:val="standardContextual"/>
            </w:rPr>
            <w:t xml:space="preserve">Decimonoveno. Condenar a la Agencia Nacional de Infraestructura a pagar a la Concesionaria Ruta del Cacao S.A.S., el monto actualizado de </w:t>
          </w:r>
          <w:r w:rsidRPr="1C10EE48">
            <w:rPr>
              <w:rFonts w:ascii="Times New Roman" w:eastAsiaTheme="minorEastAsia" w:hAnsi="Times New Roman"/>
              <w:b/>
              <w:bCs/>
              <w:i/>
              <w:iCs/>
              <w:sz w:val="24"/>
              <w:szCs w:val="24"/>
              <w14:ligatures w14:val="standardContextual"/>
            </w:rPr>
            <w:t>MIL CIENTO UN MILLONES NOVECIENTOS SESENTA Y SEIS MIL NOVECIENTOS CUARENTA Y NUEVE PESOS ($1.101.966.949</w:t>
          </w:r>
          <w:r w:rsidRPr="1C10EE48">
            <w:rPr>
              <w:rFonts w:ascii="Times New Roman" w:eastAsiaTheme="minorEastAsia" w:hAnsi="Times New Roman"/>
              <w:i/>
              <w:iCs/>
              <w:sz w:val="24"/>
              <w:szCs w:val="24"/>
              <w14:ligatures w14:val="standardContextual"/>
            </w:rPr>
            <w:t>), por concepto de las Deducciones por Desempeño efectuadas sobre la retribución por el incumplimiento de los Indicadores del Apéndice Técnico 4 en el Subsector 2.2. de la Unidad Funcional 2 y en los Subsectores 3.2 y 3.3 de la Unidad Funcional 3 del Proyecto. Por lo anterior, prosperan las Pretensiones de condena 4.2. y 4.4. de la demanda reformada.</w:t>
          </w:r>
        </w:p>
        <w:p w14:paraId="1F959467" w14:textId="78AB90AB" w:rsidR="00324ACD" w:rsidRPr="00FF0D65" w:rsidRDefault="00324ACD" w:rsidP="1C10EE48">
          <w:pPr>
            <w:spacing w:after="0" w:line="240" w:lineRule="auto"/>
            <w:ind w:left="284" w:right="190"/>
            <w:jc w:val="both"/>
            <w:rPr>
              <w:rFonts w:ascii="Times New Roman" w:eastAsia="Arial" w:hAnsi="Times New Roman"/>
              <w:i/>
              <w:iCs/>
              <w:sz w:val="24"/>
              <w:szCs w:val="24"/>
              <w:highlight w:val="cyan"/>
            </w:rPr>
          </w:pPr>
        </w:p>
        <w:p w14:paraId="486AF2E2" w14:textId="77777777" w:rsidR="00324ACD" w:rsidRPr="00FF0D65" w:rsidRDefault="00324ACD" w:rsidP="1C10EE48">
          <w:pPr>
            <w:autoSpaceDE w:val="0"/>
            <w:autoSpaceDN w:val="0"/>
            <w:adjustRightInd w:val="0"/>
            <w:spacing w:after="0" w:line="240" w:lineRule="auto"/>
            <w:jc w:val="both"/>
            <w:rPr>
              <w:rFonts w:ascii="Times New Roman" w:eastAsiaTheme="minorEastAsia" w:hAnsi="Times New Roman"/>
              <w:sz w:val="24"/>
              <w:szCs w:val="24"/>
              <w14:ligatures w14:val="standardContextual"/>
            </w:rPr>
          </w:pPr>
          <w:r w:rsidRPr="1C10EE48">
            <w:rPr>
              <w:rFonts w:ascii="Times New Roman" w:eastAsiaTheme="minorEastAsia" w:hAnsi="Times New Roman"/>
              <w:sz w:val="24"/>
              <w:szCs w:val="24"/>
              <w14:ligatures w14:val="standardContextual"/>
            </w:rPr>
            <w:lastRenderedPageBreak/>
            <w:t>Lo anterior en concordancia con el memorando con radicado ANI No. 20221010133833 del 3 de noviembre de 2022 mediante el cual el área jurídica emite concepto favorable para el pago de la mencionada condena con recursos de la Subcuenta Excedentes ANI, se autoriza trasladar desde la cuenta de ahorros No. 30673533490 – Subcuenta Excedentes ANI a la cuenta de ahorros No. 031-000309-68 de Bancolombia (correspondiente a la Cuenta Recaudo) perteneciente al P.A. Acreedores, la suma de MIL CIENTO CUARENTA Y OCHO MILLONES SEISCIENTOS VEINTIUN MIL DOSCIENTOS CUARENTA Y CUATRO PESOS ($1.148.621.244,00) M/CTE. Discriminado de la siguiente manera:</w:t>
          </w:r>
        </w:p>
        <w:p w14:paraId="49F49C2C" w14:textId="667B3539" w:rsidR="00324ACD" w:rsidRPr="00FF0D65" w:rsidRDefault="00324ACD" w:rsidP="1C10EE48">
          <w:pPr>
            <w:spacing w:after="0" w:line="240" w:lineRule="auto"/>
            <w:ind w:left="284" w:right="190"/>
            <w:jc w:val="both"/>
            <w:rPr>
              <w:rFonts w:ascii="Times New Roman" w:eastAsiaTheme="minorEastAsia" w:hAnsi="Times New Roman"/>
              <w:sz w:val="24"/>
              <w:szCs w:val="24"/>
              <w14:ligatures w14:val="standardContextual"/>
            </w:rPr>
          </w:pPr>
        </w:p>
        <w:tbl>
          <w:tblPr>
            <w:tblStyle w:val="Tablaconcuadrcula"/>
            <w:tblW w:w="2122"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ayout w:type="fixed"/>
            <w:tblLook w:val="06A0" w:firstRow="1" w:lastRow="0" w:firstColumn="1" w:lastColumn="0" w:noHBand="1" w:noVBand="1"/>
          </w:tblPr>
          <w:tblGrid>
            <w:gridCol w:w="704"/>
            <w:gridCol w:w="1418"/>
          </w:tblGrid>
          <w:tr w:rsidR="00324ACD" w:rsidRPr="007538B8" w14:paraId="2E278DB2" w14:textId="77777777" w:rsidTr="005F1B0E">
            <w:trPr>
              <w:trHeight w:val="225"/>
              <w:jc w:val="center"/>
            </w:trPr>
            <w:tc>
              <w:tcPr>
                <w:tcW w:w="704" w:type="dxa"/>
                <w:tcMar>
                  <w:top w:w="15" w:type="dxa"/>
                  <w:left w:w="15" w:type="dxa"/>
                  <w:right w:w="15" w:type="dxa"/>
                </w:tcMar>
                <w:vAlign w:val="bottom"/>
              </w:tcPr>
              <w:p w14:paraId="4818162E" w14:textId="77777777" w:rsidR="00324ACD" w:rsidRPr="007538B8" w:rsidRDefault="00324ACD" w:rsidP="00FB40D8">
                <w:pPr>
                  <w:jc w:val="both"/>
                  <w:rPr>
                    <w:rFonts w:ascii="Times New Roman" w:eastAsia="Arial" w:hAnsi="Times New Roman"/>
                    <w:color w:val="000000" w:themeColor="text1"/>
                    <w:sz w:val="14"/>
                    <w:szCs w:val="14"/>
                  </w:rPr>
                </w:pPr>
                <w:r w:rsidRPr="007538B8">
                  <w:rPr>
                    <w:rFonts w:ascii="Times New Roman" w:eastAsia="Arial" w:hAnsi="Times New Roman"/>
                    <w:color w:val="000000" w:themeColor="text1"/>
                    <w:sz w:val="14"/>
                    <w:szCs w:val="14"/>
                  </w:rPr>
                  <w:t>Capital</w:t>
                </w:r>
              </w:p>
            </w:tc>
            <w:tc>
              <w:tcPr>
                <w:tcW w:w="1418" w:type="dxa"/>
                <w:tcMar>
                  <w:top w:w="15" w:type="dxa"/>
                  <w:left w:w="15" w:type="dxa"/>
                  <w:right w:w="15" w:type="dxa"/>
                </w:tcMar>
                <w:vAlign w:val="bottom"/>
              </w:tcPr>
              <w:p w14:paraId="5F17C684" w14:textId="77777777" w:rsidR="00324ACD" w:rsidRPr="007538B8" w:rsidRDefault="00324ACD" w:rsidP="00FB40D8">
                <w:pPr>
                  <w:jc w:val="right"/>
                  <w:rPr>
                    <w:rFonts w:ascii="Times New Roman" w:eastAsia="Arial" w:hAnsi="Times New Roman"/>
                    <w:color w:val="000000" w:themeColor="text1"/>
                    <w:sz w:val="14"/>
                    <w:szCs w:val="14"/>
                  </w:rPr>
                </w:pPr>
                <w:r w:rsidRPr="007538B8">
                  <w:rPr>
                    <w:rFonts w:ascii="Times New Roman" w:eastAsia="Arial" w:hAnsi="Times New Roman"/>
                    <w:color w:val="000000" w:themeColor="text1"/>
                    <w:sz w:val="14"/>
                    <w:szCs w:val="14"/>
                  </w:rPr>
                  <w:t>$          1.101.966.949</w:t>
                </w:r>
              </w:p>
            </w:tc>
          </w:tr>
          <w:tr w:rsidR="00324ACD" w:rsidRPr="007538B8" w14:paraId="5141DCE3" w14:textId="77777777" w:rsidTr="005F1B0E">
            <w:trPr>
              <w:trHeight w:val="225"/>
              <w:jc w:val="center"/>
            </w:trPr>
            <w:tc>
              <w:tcPr>
                <w:tcW w:w="704" w:type="dxa"/>
                <w:tcMar>
                  <w:top w:w="15" w:type="dxa"/>
                  <w:left w:w="15" w:type="dxa"/>
                  <w:right w:w="15" w:type="dxa"/>
                </w:tcMar>
                <w:vAlign w:val="bottom"/>
              </w:tcPr>
              <w:p w14:paraId="3E73B40A" w14:textId="77777777" w:rsidR="00324ACD" w:rsidRPr="007538B8" w:rsidRDefault="00324ACD" w:rsidP="00FB40D8">
                <w:pPr>
                  <w:jc w:val="both"/>
                  <w:rPr>
                    <w:rFonts w:ascii="Times New Roman" w:eastAsia="Arial" w:hAnsi="Times New Roman"/>
                    <w:color w:val="000000" w:themeColor="text1"/>
                    <w:sz w:val="14"/>
                    <w:szCs w:val="14"/>
                  </w:rPr>
                </w:pPr>
                <w:r w:rsidRPr="007538B8">
                  <w:rPr>
                    <w:rFonts w:ascii="Times New Roman" w:eastAsia="Arial" w:hAnsi="Times New Roman"/>
                    <w:color w:val="000000" w:themeColor="text1"/>
                    <w:sz w:val="14"/>
                    <w:szCs w:val="14"/>
                  </w:rPr>
                  <w:t>Intereses</w:t>
                </w:r>
              </w:p>
            </w:tc>
            <w:tc>
              <w:tcPr>
                <w:tcW w:w="1418" w:type="dxa"/>
                <w:tcMar>
                  <w:top w:w="15" w:type="dxa"/>
                  <w:left w:w="15" w:type="dxa"/>
                  <w:right w:w="15" w:type="dxa"/>
                </w:tcMar>
                <w:vAlign w:val="bottom"/>
              </w:tcPr>
              <w:p w14:paraId="77CEBD52" w14:textId="77777777" w:rsidR="00324ACD" w:rsidRPr="007538B8" w:rsidRDefault="00324ACD" w:rsidP="00FB40D8">
                <w:pPr>
                  <w:jc w:val="right"/>
                  <w:rPr>
                    <w:rFonts w:ascii="Times New Roman" w:eastAsia="Arial" w:hAnsi="Times New Roman"/>
                    <w:color w:val="000000" w:themeColor="text1"/>
                    <w:sz w:val="14"/>
                    <w:szCs w:val="14"/>
                  </w:rPr>
                </w:pPr>
                <w:r w:rsidRPr="007538B8">
                  <w:rPr>
                    <w:rFonts w:ascii="Times New Roman" w:eastAsia="Arial" w:hAnsi="Times New Roman"/>
                    <w:color w:val="000000" w:themeColor="text1"/>
                    <w:sz w:val="14"/>
                    <w:szCs w:val="14"/>
                  </w:rPr>
                  <w:t>$                  46.654.295</w:t>
                </w:r>
              </w:p>
            </w:tc>
          </w:tr>
          <w:tr w:rsidR="00324ACD" w:rsidRPr="007538B8" w14:paraId="54B6FEBE" w14:textId="77777777" w:rsidTr="005F1B0E">
            <w:trPr>
              <w:trHeight w:val="225"/>
              <w:jc w:val="center"/>
            </w:trPr>
            <w:tc>
              <w:tcPr>
                <w:tcW w:w="704" w:type="dxa"/>
                <w:tcMar>
                  <w:top w:w="15" w:type="dxa"/>
                  <w:left w:w="15" w:type="dxa"/>
                  <w:right w:w="15" w:type="dxa"/>
                </w:tcMar>
                <w:vAlign w:val="bottom"/>
              </w:tcPr>
              <w:p w14:paraId="66C3D218" w14:textId="77777777" w:rsidR="00324ACD" w:rsidRPr="007538B8" w:rsidRDefault="00324ACD" w:rsidP="00FB40D8">
                <w:pPr>
                  <w:jc w:val="both"/>
                  <w:rPr>
                    <w:rFonts w:ascii="Times New Roman" w:eastAsia="Arial" w:hAnsi="Times New Roman"/>
                    <w:b/>
                    <w:color w:val="000000" w:themeColor="text1"/>
                    <w:sz w:val="14"/>
                    <w:szCs w:val="14"/>
                  </w:rPr>
                </w:pPr>
                <w:r w:rsidRPr="007538B8">
                  <w:rPr>
                    <w:rFonts w:ascii="Times New Roman" w:eastAsia="Arial" w:hAnsi="Times New Roman"/>
                    <w:b/>
                    <w:color w:val="000000" w:themeColor="text1"/>
                    <w:sz w:val="14"/>
                    <w:szCs w:val="14"/>
                  </w:rPr>
                  <w:t>Total</w:t>
                </w:r>
              </w:p>
            </w:tc>
            <w:tc>
              <w:tcPr>
                <w:tcW w:w="1418" w:type="dxa"/>
                <w:tcMar>
                  <w:top w:w="15" w:type="dxa"/>
                  <w:left w:w="15" w:type="dxa"/>
                  <w:right w:w="15" w:type="dxa"/>
                </w:tcMar>
                <w:vAlign w:val="bottom"/>
              </w:tcPr>
              <w:p w14:paraId="015FD690" w14:textId="77777777" w:rsidR="00324ACD" w:rsidRPr="007538B8" w:rsidRDefault="00324ACD" w:rsidP="00FB40D8">
                <w:pPr>
                  <w:jc w:val="right"/>
                  <w:rPr>
                    <w:rFonts w:ascii="Times New Roman" w:eastAsia="Arial" w:hAnsi="Times New Roman"/>
                    <w:b/>
                    <w:color w:val="000000" w:themeColor="text1"/>
                    <w:sz w:val="14"/>
                    <w:szCs w:val="14"/>
                  </w:rPr>
                </w:pPr>
                <w:r w:rsidRPr="007538B8">
                  <w:rPr>
                    <w:rFonts w:ascii="Times New Roman" w:eastAsia="Arial" w:hAnsi="Times New Roman"/>
                    <w:b/>
                    <w:color w:val="000000" w:themeColor="text1"/>
                    <w:sz w:val="14"/>
                    <w:szCs w:val="14"/>
                  </w:rPr>
                  <w:t>$          1.148.621.244</w:t>
                </w:r>
              </w:p>
            </w:tc>
          </w:tr>
        </w:tbl>
        <w:p w14:paraId="0B57B437" w14:textId="77777777" w:rsidR="00324ACD" w:rsidRPr="00FF0D65" w:rsidRDefault="00324ACD" w:rsidP="1C10EE48">
          <w:pPr>
            <w:spacing w:after="0" w:line="240" w:lineRule="auto"/>
            <w:ind w:right="190"/>
            <w:jc w:val="both"/>
            <w:rPr>
              <w:rFonts w:ascii="Times New Roman" w:eastAsia="Arial" w:hAnsi="Times New Roman"/>
              <w:i/>
              <w:iCs/>
              <w:sz w:val="24"/>
              <w:szCs w:val="24"/>
              <w:highlight w:val="cyan"/>
            </w:rPr>
          </w:pPr>
          <w:r w:rsidRPr="1C10EE48">
            <w:rPr>
              <w:rFonts w:ascii="Times New Roman" w:eastAsiaTheme="minorEastAsia" w:hAnsi="Times New Roman"/>
              <w:sz w:val="14"/>
              <w:szCs w:val="14"/>
              <w14:ligatures w14:val="standardContextual"/>
            </w:rPr>
            <w:t xml:space="preserve">                                                                                                Cifras expresadas en pesos</w:t>
          </w:r>
        </w:p>
        <w:p w14:paraId="3EA96438" w14:textId="3176E99A" w:rsidR="00324ACD" w:rsidRDefault="00324ACD" w:rsidP="1C10EE48">
          <w:pPr>
            <w:autoSpaceDE w:val="0"/>
            <w:autoSpaceDN w:val="0"/>
            <w:adjustRightInd w:val="0"/>
            <w:spacing w:after="0" w:line="240" w:lineRule="auto"/>
            <w:jc w:val="both"/>
            <w:rPr>
              <w:rFonts w:ascii="Times New Roman" w:eastAsiaTheme="minorEastAsia" w:hAnsi="Times New Roman"/>
              <w:sz w:val="24"/>
              <w:szCs w:val="24"/>
              <w14:ligatures w14:val="standardContextual"/>
            </w:rPr>
          </w:pPr>
        </w:p>
        <w:p w14:paraId="037681B4" w14:textId="77777777" w:rsidR="00324ACD" w:rsidRPr="00FF0D65" w:rsidRDefault="00324ACD" w:rsidP="1C10EE48">
          <w:pPr>
            <w:autoSpaceDE w:val="0"/>
            <w:autoSpaceDN w:val="0"/>
            <w:adjustRightInd w:val="0"/>
            <w:spacing w:after="0" w:line="240" w:lineRule="auto"/>
            <w:jc w:val="both"/>
            <w:rPr>
              <w:rFonts w:ascii="Times New Roman" w:eastAsiaTheme="minorEastAsia" w:hAnsi="Times New Roman"/>
              <w:sz w:val="24"/>
              <w:szCs w:val="24"/>
              <w14:ligatures w14:val="standardContextual"/>
            </w:rPr>
          </w:pPr>
          <w:r w:rsidRPr="1C10EE48">
            <w:rPr>
              <w:rFonts w:ascii="Times New Roman" w:eastAsiaTheme="minorEastAsia" w:hAnsi="Times New Roman"/>
              <w:sz w:val="24"/>
              <w:szCs w:val="24"/>
              <w14:ligatures w14:val="standardContextual"/>
            </w:rPr>
            <w:t>Mediante memorando No. 20225000160073 del 21 de diciembre de 2022 se informa el pago</w:t>
          </w:r>
        </w:p>
        <w:p w14:paraId="745A8332" w14:textId="77777777" w:rsidR="00324ACD" w:rsidRDefault="00324ACD" w:rsidP="1C10EE48">
          <w:pPr>
            <w:autoSpaceDE w:val="0"/>
            <w:autoSpaceDN w:val="0"/>
            <w:adjustRightInd w:val="0"/>
            <w:spacing w:after="0" w:line="240" w:lineRule="auto"/>
            <w:jc w:val="both"/>
            <w:rPr>
              <w:rFonts w:ascii="Times New Roman" w:eastAsiaTheme="minorEastAsia" w:hAnsi="Times New Roman"/>
              <w:sz w:val="24"/>
              <w:szCs w:val="24"/>
              <w14:ligatures w14:val="standardContextual"/>
            </w:rPr>
          </w:pPr>
          <w:r w:rsidRPr="1C10EE48">
            <w:rPr>
              <w:rFonts w:ascii="Times New Roman" w:eastAsiaTheme="minorEastAsia" w:hAnsi="Times New Roman"/>
              <w:sz w:val="24"/>
              <w:szCs w:val="24"/>
              <w14:ligatures w14:val="standardContextual"/>
            </w:rPr>
            <w:t>a todas las áreas de la ANI.</w:t>
          </w:r>
        </w:p>
        <w:p w14:paraId="4F6806D4" w14:textId="415D85EB" w:rsidR="00324ACD" w:rsidRPr="00FF0D65" w:rsidRDefault="00324ACD" w:rsidP="1C10EE48">
          <w:pPr>
            <w:autoSpaceDE w:val="0"/>
            <w:autoSpaceDN w:val="0"/>
            <w:adjustRightInd w:val="0"/>
            <w:spacing w:after="0" w:line="240" w:lineRule="auto"/>
            <w:jc w:val="both"/>
            <w:rPr>
              <w:rFonts w:ascii="Times New Roman" w:eastAsiaTheme="minorEastAsia" w:hAnsi="Times New Roman"/>
              <w:sz w:val="24"/>
              <w:szCs w:val="24"/>
              <w14:ligatures w14:val="standardContextual"/>
            </w:rPr>
          </w:pPr>
        </w:p>
        <w:p w14:paraId="64DAE1FC" w14:textId="77777777" w:rsidR="00324ACD" w:rsidRDefault="00324ACD" w:rsidP="1C10EE48">
          <w:pPr>
            <w:autoSpaceDE w:val="0"/>
            <w:autoSpaceDN w:val="0"/>
            <w:adjustRightInd w:val="0"/>
            <w:spacing w:after="0" w:line="240" w:lineRule="auto"/>
            <w:jc w:val="both"/>
            <w:rPr>
              <w:rFonts w:ascii="Times New Roman" w:eastAsiaTheme="minorEastAsia" w:hAnsi="Times New Roman"/>
              <w:sz w:val="24"/>
              <w:szCs w:val="24"/>
              <w14:ligatures w14:val="standardContextual"/>
            </w:rPr>
          </w:pPr>
          <w:r w:rsidRPr="1C10EE48">
            <w:rPr>
              <w:rFonts w:ascii="Times New Roman" w:eastAsiaTheme="minorEastAsia" w:hAnsi="Times New Roman"/>
              <w:sz w:val="24"/>
              <w:szCs w:val="24"/>
              <w14:ligatures w14:val="standardContextual"/>
            </w:rPr>
            <w:t xml:space="preserve">Con respecto a la condena del resuelve décimo octavo por valor de </w:t>
          </w:r>
          <w:r w:rsidRPr="1C10EE48">
            <w:rPr>
              <w:rFonts w:ascii="Times New Roman" w:eastAsiaTheme="minorEastAsia" w:hAnsi="Times New Roman"/>
              <w:b/>
              <w:bCs/>
              <w:sz w:val="24"/>
              <w:szCs w:val="24"/>
              <w14:ligatures w14:val="standardContextual"/>
            </w:rPr>
            <w:t>CINCO MIL SETECIENTOS SESENTA Y OCHO MILLONES NOVECIENTOS NOVENTA MIL CIENTO SESENTA PESOS ($5.768.990.160)</w:t>
          </w:r>
          <w:r w:rsidRPr="1C10EE48">
            <w:rPr>
              <w:rFonts w:ascii="Times New Roman" w:eastAsiaTheme="minorEastAsia" w:hAnsi="Times New Roman"/>
              <w:sz w:val="24"/>
              <w:szCs w:val="24"/>
              <w14:ligatures w14:val="standardContextual"/>
            </w:rPr>
            <w:t>, con corte al 31 de diciembre de 2023 no se había realizado pago.</w:t>
          </w:r>
        </w:p>
        <w:p w14:paraId="3C1C5AC3" w14:textId="5FD5653A" w:rsidR="00324ACD" w:rsidRPr="00FF0D65" w:rsidRDefault="00324ACD" w:rsidP="1C10EE48">
          <w:pPr>
            <w:autoSpaceDE w:val="0"/>
            <w:autoSpaceDN w:val="0"/>
            <w:adjustRightInd w:val="0"/>
            <w:spacing w:after="0" w:line="240" w:lineRule="auto"/>
            <w:jc w:val="both"/>
            <w:rPr>
              <w:rFonts w:ascii="Times New Roman" w:eastAsiaTheme="minorEastAsia" w:hAnsi="Times New Roman"/>
              <w:sz w:val="24"/>
              <w:szCs w:val="24"/>
              <w14:ligatures w14:val="standardContextual"/>
            </w:rPr>
          </w:pPr>
        </w:p>
        <w:p w14:paraId="26D2B8FE" w14:textId="77777777" w:rsidR="00324ACD" w:rsidRPr="00FF0D65" w:rsidRDefault="00324ACD" w:rsidP="1C10EE48">
          <w:pPr>
            <w:autoSpaceDE w:val="0"/>
            <w:autoSpaceDN w:val="0"/>
            <w:adjustRightInd w:val="0"/>
            <w:spacing w:after="0" w:line="240" w:lineRule="auto"/>
            <w:jc w:val="both"/>
            <w:rPr>
              <w:rFonts w:ascii="Times New Roman" w:eastAsiaTheme="minorEastAsia" w:hAnsi="Times New Roman"/>
              <w:sz w:val="24"/>
              <w:szCs w:val="24"/>
              <w14:ligatures w14:val="standardContextual"/>
            </w:rPr>
          </w:pPr>
          <w:r w:rsidRPr="1C10EE48">
            <w:rPr>
              <w:rFonts w:ascii="Times New Roman" w:eastAsiaTheme="minorEastAsia" w:hAnsi="Times New Roman"/>
              <w:sz w:val="24"/>
              <w:szCs w:val="24"/>
              <w14:ligatures w14:val="standardContextual"/>
            </w:rPr>
            <w:t>En el año 2023 y en concordancia con lo manifestado en el formato Liquidación de la Deuda GCSP-F-006, con oficio RDC-2023-12-04448-S del 26 de diciembre de 2023 el beneficiario presento solicitud para su pago ante la entidad, de conformidad con lo señalado en los artículos 192 y 195 del Código de Procedimiento Administrativo y de lo Contencioso Administrativo. El valor actualizado al corte de dicha vigencia presentado en el formato de liquidación de la deuda se presentó:</w:t>
          </w:r>
        </w:p>
        <w:p w14:paraId="7D0FAD0E" w14:textId="67C42698" w:rsidR="00324ACD" w:rsidRPr="00FF0D65" w:rsidRDefault="00324ACD" w:rsidP="1C10EE48">
          <w:pPr>
            <w:spacing w:after="0" w:line="240" w:lineRule="auto"/>
            <w:ind w:left="284" w:right="190"/>
            <w:jc w:val="both"/>
            <w:rPr>
              <w:rFonts w:ascii="Times New Roman" w:eastAsiaTheme="minorEastAsia" w:hAnsi="Times New Roman"/>
              <w:sz w:val="24"/>
              <w:szCs w:val="24"/>
              <w14:ligatures w14:val="standardContextual"/>
            </w:rPr>
          </w:pPr>
        </w:p>
        <w:tbl>
          <w:tblPr>
            <w:tblStyle w:val="Tablaconcuadrcula"/>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ook w:val="06A0" w:firstRow="1" w:lastRow="0" w:firstColumn="1" w:lastColumn="0" w:noHBand="1" w:noVBand="1"/>
          </w:tblPr>
          <w:tblGrid>
            <w:gridCol w:w="846"/>
            <w:gridCol w:w="1417"/>
          </w:tblGrid>
          <w:tr w:rsidR="00324ACD" w:rsidRPr="007538B8" w14:paraId="5248850F" w14:textId="77777777" w:rsidTr="005F1B0E">
            <w:trPr>
              <w:trHeight w:val="225"/>
              <w:jc w:val="center"/>
            </w:trPr>
            <w:tc>
              <w:tcPr>
                <w:tcW w:w="846" w:type="dxa"/>
                <w:tcMar>
                  <w:top w:w="15" w:type="dxa"/>
                  <w:left w:w="15" w:type="dxa"/>
                  <w:right w:w="15" w:type="dxa"/>
                </w:tcMar>
                <w:vAlign w:val="bottom"/>
              </w:tcPr>
              <w:p w14:paraId="5D6EE88C" w14:textId="77777777" w:rsidR="00324ACD" w:rsidRPr="007538B8" w:rsidRDefault="00324ACD" w:rsidP="00FB40D8">
                <w:pPr>
                  <w:jc w:val="both"/>
                  <w:rPr>
                    <w:rFonts w:ascii="Times New Roman" w:eastAsia="Arial" w:hAnsi="Times New Roman"/>
                    <w:color w:val="000000" w:themeColor="text1"/>
                    <w:sz w:val="14"/>
                    <w:szCs w:val="14"/>
                  </w:rPr>
                </w:pPr>
                <w:r w:rsidRPr="007538B8">
                  <w:rPr>
                    <w:rFonts w:ascii="Times New Roman" w:eastAsia="Arial" w:hAnsi="Times New Roman"/>
                    <w:color w:val="000000" w:themeColor="text1"/>
                    <w:sz w:val="14"/>
                    <w:szCs w:val="14"/>
                  </w:rPr>
                  <w:t>Capital</w:t>
                </w:r>
              </w:p>
            </w:tc>
            <w:tc>
              <w:tcPr>
                <w:tcW w:w="1417" w:type="dxa"/>
                <w:tcMar>
                  <w:top w:w="15" w:type="dxa"/>
                  <w:left w:w="15" w:type="dxa"/>
                  <w:right w:w="15" w:type="dxa"/>
                </w:tcMar>
                <w:vAlign w:val="bottom"/>
              </w:tcPr>
              <w:p w14:paraId="02DC2372" w14:textId="77777777" w:rsidR="00324ACD" w:rsidRPr="007538B8" w:rsidRDefault="00324ACD" w:rsidP="00FB40D8">
                <w:pPr>
                  <w:jc w:val="both"/>
                  <w:rPr>
                    <w:rFonts w:ascii="Times New Roman" w:eastAsia="Arial" w:hAnsi="Times New Roman"/>
                    <w:color w:val="000000" w:themeColor="text1"/>
                    <w:sz w:val="14"/>
                    <w:szCs w:val="14"/>
                  </w:rPr>
                </w:pPr>
                <w:r w:rsidRPr="007538B8">
                  <w:rPr>
                    <w:rFonts w:ascii="Times New Roman" w:eastAsia="Arial" w:hAnsi="Times New Roman"/>
                    <w:color w:val="000000" w:themeColor="text1"/>
                    <w:sz w:val="14"/>
                    <w:szCs w:val="14"/>
                  </w:rPr>
                  <w:t>$          5.768.990.160</w:t>
                </w:r>
              </w:p>
            </w:tc>
          </w:tr>
          <w:tr w:rsidR="00324ACD" w:rsidRPr="007538B8" w14:paraId="1571F158" w14:textId="77777777" w:rsidTr="005F1B0E">
            <w:trPr>
              <w:trHeight w:val="225"/>
              <w:jc w:val="center"/>
            </w:trPr>
            <w:tc>
              <w:tcPr>
                <w:tcW w:w="846" w:type="dxa"/>
                <w:tcMar>
                  <w:top w:w="15" w:type="dxa"/>
                  <w:left w:w="15" w:type="dxa"/>
                  <w:right w:w="15" w:type="dxa"/>
                </w:tcMar>
                <w:vAlign w:val="bottom"/>
              </w:tcPr>
              <w:p w14:paraId="43257694" w14:textId="77777777" w:rsidR="00324ACD" w:rsidRPr="007538B8" w:rsidRDefault="00324ACD" w:rsidP="00FB40D8">
                <w:pPr>
                  <w:jc w:val="both"/>
                  <w:rPr>
                    <w:rFonts w:ascii="Times New Roman" w:eastAsia="Arial" w:hAnsi="Times New Roman"/>
                    <w:color w:val="000000" w:themeColor="text1"/>
                    <w:sz w:val="14"/>
                    <w:szCs w:val="14"/>
                  </w:rPr>
                </w:pPr>
                <w:r w:rsidRPr="007538B8">
                  <w:rPr>
                    <w:rFonts w:ascii="Times New Roman" w:eastAsia="Arial" w:hAnsi="Times New Roman"/>
                    <w:color w:val="000000" w:themeColor="text1"/>
                    <w:sz w:val="14"/>
                    <w:szCs w:val="14"/>
                  </w:rPr>
                  <w:t>Intereses</w:t>
                </w:r>
              </w:p>
            </w:tc>
            <w:tc>
              <w:tcPr>
                <w:tcW w:w="1417" w:type="dxa"/>
                <w:tcMar>
                  <w:top w:w="15" w:type="dxa"/>
                  <w:left w:w="15" w:type="dxa"/>
                  <w:right w:w="15" w:type="dxa"/>
                </w:tcMar>
                <w:vAlign w:val="bottom"/>
              </w:tcPr>
              <w:p w14:paraId="0F42EC5A" w14:textId="77777777" w:rsidR="00324ACD" w:rsidRPr="007538B8" w:rsidRDefault="00324ACD" w:rsidP="00FB40D8">
                <w:pPr>
                  <w:jc w:val="both"/>
                  <w:rPr>
                    <w:rFonts w:ascii="Times New Roman" w:eastAsia="Arial" w:hAnsi="Times New Roman"/>
                    <w:color w:val="000000" w:themeColor="text1"/>
                    <w:sz w:val="14"/>
                    <w:szCs w:val="14"/>
                  </w:rPr>
                </w:pPr>
                <w:r w:rsidRPr="007538B8">
                  <w:rPr>
                    <w:rFonts w:ascii="Times New Roman" w:eastAsia="Arial" w:hAnsi="Times New Roman"/>
                    <w:color w:val="000000" w:themeColor="text1"/>
                    <w:sz w:val="14"/>
                    <w:szCs w:val="14"/>
                  </w:rPr>
                  <w:t>$             169.581.264</w:t>
                </w:r>
              </w:p>
            </w:tc>
          </w:tr>
          <w:tr w:rsidR="00324ACD" w:rsidRPr="007538B8" w14:paraId="5DBED673" w14:textId="77777777" w:rsidTr="005F1B0E">
            <w:trPr>
              <w:trHeight w:val="225"/>
              <w:jc w:val="center"/>
            </w:trPr>
            <w:tc>
              <w:tcPr>
                <w:tcW w:w="846" w:type="dxa"/>
                <w:tcMar>
                  <w:top w:w="15" w:type="dxa"/>
                  <w:left w:w="15" w:type="dxa"/>
                  <w:right w:w="15" w:type="dxa"/>
                </w:tcMar>
                <w:vAlign w:val="bottom"/>
              </w:tcPr>
              <w:p w14:paraId="4F447CBB" w14:textId="77777777" w:rsidR="00324ACD" w:rsidRPr="007538B8" w:rsidRDefault="00324ACD" w:rsidP="00FB40D8">
                <w:pPr>
                  <w:jc w:val="both"/>
                  <w:rPr>
                    <w:rFonts w:ascii="Times New Roman" w:eastAsia="Arial" w:hAnsi="Times New Roman"/>
                    <w:b/>
                    <w:bCs/>
                    <w:color w:val="000000" w:themeColor="text1"/>
                    <w:sz w:val="14"/>
                    <w:szCs w:val="14"/>
                  </w:rPr>
                </w:pPr>
                <w:r w:rsidRPr="007538B8">
                  <w:rPr>
                    <w:rFonts w:ascii="Times New Roman" w:eastAsia="Arial" w:hAnsi="Times New Roman"/>
                    <w:b/>
                    <w:bCs/>
                    <w:color w:val="000000" w:themeColor="text1"/>
                    <w:sz w:val="14"/>
                    <w:szCs w:val="14"/>
                  </w:rPr>
                  <w:t>Total</w:t>
                </w:r>
              </w:p>
            </w:tc>
            <w:tc>
              <w:tcPr>
                <w:tcW w:w="1417" w:type="dxa"/>
                <w:tcMar>
                  <w:top w:w="15" w:type="dxa"/>
                  <w:left w:w="15" w:type="dxa"/>
                  <w:right w:w="15" w:type="dxa"/>
                </w:tcMar>
                <w:vAlign w:val="bottom"/>
              </w:tcPr>
              <w:p w14:paraId="117201E1" w14:textId="77777777" w:rsidR="00324ACD" w:rsidRPr="007538B8" w:rsidRDefault="00324ACD" w:rsidP="00FB40D8">
                <w:pPr>
                  <w:jc w:val="both"/>
                  <w:rPr>
                    <w:rFonts w:ascii="Times New Roman" w:eastAsia="Arial" w:hAnsi="Times New Roman"/>
                    <w:b/>
                    <w:bCs/>
                    <w:color w:val="000000" w:themeColor="text1"/>
                    <w:sz w:val="14"/>
                    <w:szCs w:val="14"/>
                  </w:rPr>
                </w:pPr>
                <w:r w:rsidRPr="007538B8">
                  <w:rPr>
                    <w:rFonts w:ascii="Times New Roman" w:eastAsia="Arial" w:hAnsi="Times New Roman"/>
                    <w:b/>
                    <w:bCs/>
                    <w:color w:val="000000" w:themeColor="text1"/>
                    <w:sz w:val="14"/>
                    <w:szCs w:val="14"/>
                  </w:rPr>
                  <w:t>$          5.938.571.424</w:t>
                </w:r>
              </w:p>
            </w:tc>
          </w:tr>
        </w:tbl>
        <w:p w14:paraId="7D35DF14" w14:textId="77777777" w:rsidR="00324ACD" w:rsidRDefault="00324ACD" w:rsidP="1C10EE48">
          <w:pPr>
            <w:autoSpaceDE w:val="0"/>
            <w:autoSpaceDN w:val="0"/>
            <w:adjustRightInd w:val="0"/>
            <w:spacing w:after="0" w:line="240" w:lineRule="auto"/>
            <w:ind w:left="2124" w:firstLine="708"/>
            <w:jc w:val="both"/>
            <w:rPr>
              <w:rFonts w:ascii="Times New Roman" w:eastAsiaTheme="minorEastAsia" w:hAnsi="Times New Roman"/>
              <w:sz w:val="14"/>
              <w:szCs w:val="14"/>
              <w14:ligatures w14:val="standardContextual"/>
            </w:rPr>
          </w:pPr>
          <w:r w:rsidRPr="1C10EE48">
            <w:rPr>
              <w:rFonts w:ascii="Times New Roman" w:eastAsiaTheme="minorEastAsia" w:hAnsi="Times New Roman"/>
              <w:sz w:val="14"/>
              <w:szCs w:val="14"/>
              <w14:ligatures w14:val="standardContextual"/>
            </w:rPr>
            <w:t xml:space="preserve">             Cifras expresadas en pesos</w:t>
          </w:r>
        </w:p>
        <w:p w14:paraId="16BBF249" w14:textId="6BFAF59C" w:rsidR="00324ACD" w:rsidRPr="00B96A55" w:rsidRDefault="00324ACD" w:rsidP="1C10EE48">
          <w:pPr>
            <w:autoSpaceDE w:val="0"/>
            <w:autoSpaceDN w:val="0"/>
            <w:adjustRightInd w:val="0"/>
            <w:spacing w:after="0" w:line="240" w:lineRule="auto"/>
            <w:ind w:left="2124" w:firstLine="708"/>
            <w:jc w:val="both"/>
            <w:rPr>
              <w:rFonts w:ascii="Times New Roman" w:eastAsiaTheme="minorEastAsia" w:hAnsi="Times New Roman"/>
              <w:sz w:val="14"/>
              <w:szCs w:val="14"/>
              <w14:ligatures w14:val="standardContextual"/>
            </w:rPr>
          </w:pPr>
        </w:p>
        <w:p w14:paraId="434AA346" w14:textId="77777777" w:rsidR="00324ACD" w:rsidRPr="00FF0D65" w:rsidRDefault="00324ACD" w:rsidP="1C10EE48">
          <w:pPr>
            <w:autoSpaceDE w:val="0"/>
            <w:autoSpaceDN w:val="0"/>
            <w:adjustRightInd w:val="0"/>
            <w:spacing w:after="0" w:line="240" w:lineRule="auto"/>
            <w:jc w:val="both"/>
            <w:rPr>
              <w:rFonts w:ascii="Times New Roman" w:eastAsiaTheme="minorEastAsia" w:hAnsi="Times New Roman"/>
              <w:sz w:val="24"/>
              <w:szCs w:val="24"/>
              <w14:ligatures w14:val="standardContextual"/>
            </w:rPr>
          </w:pPr>
          <w:r w:rsidRPr="1C10EE48">
            <w:rPr>
              <w:rFonts w:ascii="Times New Roman" w:eastAsiaTheme="minorEastAsia" w:hAnsi="Times New Roman"/>
              <w:sz w:val="24"/>
              <w:szCs w:val="24"/>
              <w14:ligatures w14:val="standardContextual"/>
            </w:rPr>
            <w:t>Así, en la vigencia 2023 mediante Resolución No. 20237010018795 del 29 de diciembre de</w:t>
          </w:r>
        </w:p>
        <w:p w14:paraId="21669C95" w14:textId="4BC1F6D2" w:rsidR="00324ACD" w:rsidRPr="00FF0D65" w:rsidRDefault="00324ACD" w:rsidP="1C10EE48">
          <w:pPr>
            <w:autoSpaceDE w:val="0"/>
            <w:autoSpaceDN w:val="0"/>
            <w:adjustRightInd w:val="0"/>
            <w:spacing w:after="0" w:line="240" w:lineRule="auto"/>
            <w:jc w:val="both"/>
            <w:rPr>
              <w:rFonts w:ascii="Times New Roman" w:eastAsiaTheme="minorEastAsia" w:hAnsi="Times New Roman"/>
              <w:i/>
              <w:iCs/>
              <w:sz w:val="24"/>
              <w:szCs w:val="24"/>
              <w14:ligatures w14:val="standardContextual"/>
            </w:rPr>
          </w:pPr>
          <w:r w:rsidRPr="1C10EE48">
            <w:rPr>
              <w:rFonts w:ascii="Times New Roman" w:eastAsiaTheme="minorEastAsia" w:hAnsi="Times New Roman"/>
              <w:sz w:val="24"/>
              <w:szCs w:val="24"/>
              <w14:ligatures w14:val="standardContextual"/>
            </w:rPr>
            <w:t>2023 se indica “Por</w:t>
          </w:r>
          <w:r w:rsidRPr="1C10EE48">
            <w:rPr>
              <w:rFonts w:ascii="Times New Roman" w:eastAsiaTheme="minorEastAsia" w:hAnsi="Times New Roman"/>
              <w:i/>
              <w:iCs/>
              <w:sz w:val="24"/>
              <w:szCs w:val="24"/>
              <w14:ligatures w14:val="standardContextual"/>
            </w:rPr>
            <w:t xml:space="preserve"> la cual se reconoce el gasto y se ordena el pago parcial de la condena</w:t>
          </w:r>
        </w:p>
        <w:p w14:paraId="7891C609" w14:textId="77777777" w:rsidR="00324ACD" w:rsidRPr="00FF0D65" w:rsidRDefault="00324ACD" w:rsidP="1C10EE48">
          <w:pPr>
            <w:autoSpaceDE w:val="0"/>
            <w:autoSpaceDN w:val="0"/>
            <w:adjustRightInd w:val="0"/>
            <w:spacing w:after="0" w:line="240" w:lineRule="auto"/>
            <w:jc w:val="both"/>
            <w:rPr>
              <w:rFonts w:ascii="Times New Roman" w:eastAsiaTheme="minorEastAsia" w:hAnsi="Times New Roman"/>
              <w:i/>
              <w:iCs/>
              <w:sz w:val="24"/>
              <w:szCs w:val="24"/>
              <w14:ligatures w14:val="standardContextual"/>
            </w:rPr>
          </w:pPr>
          <w:r w:rsidRPr="1C10EE48">
            <w:rPr>
              <w:rFonts w:ascii="Times New Roman" w:eastAsiaTheme="minorEastAsia" w:hAnsi="Times New Roman"/>
              <w:i/>
              <w:iCs/>
              <w:sz w:val="24"/>
              <w:szCs w:val="24"/>
              <w14:ligatures w14:val="standardContextual"/>
            </w:rPr>
            <w:t>impuesta mediante laudo proferido el 17 de junio de 2022, por el tribunal convocado por la</w:t>
          </w:r>
        </w:p>
        <w:p w14:paraId="0B67332B" w14:textId="77777777" w:rsidR="00324ACD" w:rsidRPr="00FF0D65" w:rsidRDefault="00324ACD" w:rsidP="1C10EE48">
          <w:pPr>
            <w:autoSpaceDE w:val="0"/>
            <w:autoSpaceDN w:val="0"/>
            <w:adjustRightInd w:val="0"/>
            <w:spacing w:after="0" w:line="240" w:lineRule="auto"/>
            <w:jc w:val="both"/>
            <w:rPr>
              <w:rFonts w:ascii="Times New Roman" w:eastAsiaTheme="minorEastAsia" w:hAnsi="Times New Roman"/>
              <w:sz w:val="24"/>
              <w:szCs w:val="24"/>
              <w14:ligatures w14:val="standardContextual"/>
            </w:rPr>
          </w:pPr>
          <w:r w:rsidRPr="1C10EE48">
            <w:rPr>
              <w:rFonts w:ascii="Times New Roman" w:eastAsiaTheme="minorEastAsia" w:hAnsi="Times New Roman"/>
              <w:i/>
              <w:iCs/>
              <w:sz w:val="24"/>
              <w:szCs w:val="24"/>
              <w14:ligatures w14:val="standardContextual"/>
            </w:rPr>
            <w:t xml:space="preserve">Concesionaria Ruta del Cacao S.A.S contra la Agencia Nacional de Infraestructura con Radicado CCB 127211” </w:t>
          </w:r>
          <w:r w:rsidRPr="1C10EE48">
            <w:rPr>
              <w:rFonts w:ascii="Times New Roman" w:eastAsiaTheme="minorEastAsia" w:hAnsi="Times New Roman"/>
              <w:sz w:val="24"/>
              <w:szCs w:val="24"/>
              <w14:ligatures w14:val="standardContextual"/>
            </w:rPr>
            <w:t>De esta manera, en el Articulo Segundo del Resuelve se manifiesta</w:t>
          </w:r>
        </w:p>
        <w:p w14:paraId="1122C1AE" w14:textId="77777777" w:rsidR="00324ACD" w:rsidRPr="00FF0D65" w:rsidRDefault="00324ACD" w:rsidP="1C10EE48">
          <w:pPr>
            <w:autoSpaceDE w:val="0"/>
            <w:autoSpaceDN w:val="0"/>
            <w:adjustRightInd w:val="0"/>
            <w:spacing w:after="0" w:line="240" w:lineRule="auto"/>
            <w:jc w:val="both"/>
            <w:rPr>
              <w:rFonts w:ascii="Times New Roman" w:eastAsia="Arial" w:hAnsi="Times New Roman"/>
              <w:i/>
              <w:iCs/>
              <w:sz w:val="24"/>
              <w:szCs w:val="24"/>
              <w:highlight w:val="cyan"/>
            </w:rPr>
          </w:pPr>
          <w:r w:rsidRPr="1C10EE48">
            <w:rPr>
              <w:rFonts w:ascii="Times New Roman" w:eastAsiaTheme="minorEastAsia" w:hAnsi="Times New Roman"/>
              <w:sz w:val="24"/>
              <w:szCs w:val="24"/>
              <w14:ligatures w14:val="standardContextual"/>
            </w:rPr>
            <w:t>que el pago parcial a favor de PA FIDUCIARIA BANCOLOMBIA será de $ 4.848.392.441,92, valor que fue pagado con Recursos Nación/Laudos Arbitrales el 31 enero de 2024.</w:t>
          </w:r>
        </w:p>
        <w:p w14:paraId="7D6CE781" w14:textId="460507AB" w:rsidR="00324ACD" w:rsidRDefault="00324ACD" w:rsidP="1C10EE48">
          <w:pPr>
            <w:spacing w:after="0" w:line="240" w:lineRule="auto"/>
            <w:ind w:left="284" w:right="190"/>
            <w:jc w:val="both"/>
            <w:rPr>
              <w:rFonts w:ascii="Times New Roman" w:eastAsia="Arial" w:hAnsi="Times New Roman"/>
              <w:i/>
              <w:iCs/>
              <w:sz w:val="24"/>
              <w:szCs w:val="24"/>
              <w:highlight w:val="cyan"/>
            </w:rPr>
          </w:pPr>
        </w:p>
        <w:p w14:paraId="55FA4203" w14:textId="6D784456" w:rsidR="00324ACD" w:rsidRPr="00B90884" w:rsidRDefault="00324ACD" w:rsidP="00E60BAB">
          <w:pPr>
            <w:pStyle w:val="Prrafodelista"/>
            <w:numPr>
              <w:ilvl w:val="0"/>
              <w:numId w:val="57"/>
            </w:numPr>
            <w:autoSpaceDE w:val="0"/>
            <w:autoSpaceDN w:val="0"/>
            <w:adjustRightInd w:val="0"/>
            <w:spacing w:after="0" w:line="240" w:lineRule="auto"/>
            <w:ind w:left="0" w:hanging="142"/>
            <w:jc w:val="both"/>
            <w:rPr>
              <w:rFonts w:ascii="Times New Roman" w:hAnsi="Times New Roman"/>
              <w:sz w:val="24"/>
              <w:szCs w:val="24"/>
            </w:rPr>
          </w:pPr>
          <w:r w:rsidRPr="1C10EE48">
            <w:rPr>
              <w:rFonts w:ascii="Times New Roman" w:hAnsi="Times New Roman"/>
              <w:sz w:val="24"/>
              <w:szCs w:val="24"/>
            </w:rPr>
            <w:t xml:space="preserve">Un valor de $383.088.396, corresponde a los intereses liquidados desde el 01 de octubre al 30 de diciembre de 2021, con una tasa de interés pactada a la DTF, a favor de la Concesionaria San Simón S.A., del proyecto Área Metropolitana de Cúcuta, Contrato 006 de 2007, del </w:t>
          </w:r>
          <w:r w:rsidRPr="1C10EE48">
            <w:rPr>
              <w:rFonts w:ascii="Times New Roman" w:hAnsi="Times New Roman"/>
              <w:sz w:val="24"/>
              <w:szCs w:val="24"/>
            </w:rPr>
            <w:lastRenderedPageBreak/>
            <w:t xml:space="preserve">Acuerdo Conciliatorio, suscrito por las partes el 16 de julio de 2019, y aprobado por el Tribunal de Arbitramiento el 30 de agosto de 2019, a título de compensación por terminación anticipada del contrato de concesión.  </w:t>
          </w:r>
        </w:p>
        <w:p w14:paraId="7CC35A8F" w14:textId="47308953" w:rsidR="00324ACD" w:rsidRDefault="00324ACD" w:rsidP="00324ACD">
          <w:pPr>
            <w:spacing w:after="0" w:line="240" w:lineRule="auto"/>
            <w:jc w:val="both"/>
            <w:rPr>
              <w:rFonts w:ascii="Times New Roman" w:hAnsi="Times New Roman"/>
              <w:sz w:val="24"/>
              <w:szCs w:val="24"/>
              <w:highlight w:val="green"/>
            </w:rPr>
          </w:pPr>
        </w:p>
        <w:p w14:paraId="6D76083F" w14:textId="77777777" w:rsidR="00324ACD" w:rsidRDefault="00324ACD" w:rsidP="1C10EE48">
          <w:pPr>
            <w:autoSpaceDE w:val="0"/>
            <w:autoSpaceDN w:val="0"/>
            <w:adjustRightInd w:val="0"/>
            <w:spacing w:after="0" w:line="240" w:lineRule="auto"/>
            <w:jc w:val="both"/>
            <w:rPr>
              <w:rFonts w:ascii="Times New Roman" w:eastAsiaTheme="minorEastAsia" w:hAnsi="Times New Roman"/>
              <w:sz w:val="24"/>
              <w:szCs w:val="24"/>
              <w14:ligatures w14:val="standardContextual"/>
            </w:rPr>
          </w:pPr>
          <w:r w:rsidRPr="1C10EE48">
            <w:rPr>
              <w:rFonts w:ascii="Times New Roman" w:eastAsiaTheme="minorEastAsia" w:hAnsi="Times New Roman"/>
              <w:sz w:val="24"/>
              <w:szCs w:val="24"/>
              <w14:ligatures w14:val="standardContextual"/>
            </w:rPr>
            <w:t xml:space="preserve">El proyecto Área Metropolitana de Cúcuta mediante Acuerdo Conciliatorio se aprueba la terminación anticipada al contrato el día 31 de julio de 2019, para lo cual se establece el pago de la deuda a favor del Concesionario con TES, el Ministerio de Hacienda y Crédito Público cancela la deuda por valor de $61.343.903.336,oo el día 30 de diciembre de 2021, la cual estaba liquidada a 30 de septiembre de 2021, el valor de $383.088.396,oo reportado en el formato 006 corresponde a los intereses generados desde el 1 de octubre de 2021 hasta el 30 de diciembre de 2021, fecha en la cual el MHCP pagó el capital adeudado, este valor es fijo y se espera hacer cruce de cuentas en el Acta de liquidación del Contrato </w:t>
          </w:r>
        </w:p>
        <w:p w14:paraId="0C98F085" w14:textId="77777777" w:rsidR="00FC2584" w:rsidRDefault="00FC2584" w:rsidP="00324ACD">
          <w:pPr>
            <w:autoSpaceDE w:val="0"/>
            <w:autoSpaceDN w:val="0"/>
            <w:adjustRightInd w:val="0"/>
            <w:spacing w:after="0" w:line="240" w:lineRule="auto"/>
            <w:jc w:val="both"/>
            <w:rPr>
              <w:rFonts w:ascii="Times New Roman" w:eastAsiaTheme="minorHAnsi" w:hAnsi="Times New Roman"/>
              <w:sz w:val="24"/>
              <w:szCs w:val="24"/>
              <w14:ligatures w14:val="standardContextual"/>
            </w:rPr>
          </w:pPr>
        </w:p>
        <w:p w14:paraId="624FC6ED" w14:textId="77777777" w:rsidR="00FC2584" w:rsidRPr="00931DCE" w:rsidRDefault="00FC2584" w:rsidP="00324ACD">
          <w:pPr>
            <w:spacing w:after="0" w:line="240" w:lineRule="auto"/>
            <w:jc w:val="both"/>
            <w:rPr>
              <w:rFonts w:ascii="Times New Roman" w:hAnsi="Times New Roman"/>
              <w:sz w:val="24"/>
              <w:szCs w:val="24"/>
            </w:rPr>
          </w:pPr>
          <w:r w:rsidRPr="00C544E5">
            <w:rPr>
              <w:rFonts w:ascii="Times New Roman" w:hAnsi="Times New Roman"/>
              <w:sz w:val="24"/>
              <w:szCs w:val="24"/>
            </w:rPr>
            <w:t>Para esta cuenta por pagar, la Agencia no presenta incumplimiento en las condiciones de pago del principal, del plazo ni de los intereses, teniendo en cuenta que el valor que se adeuda al concesionario es un valor fijo que no se modifica, y se espera hacer un cruce de cuentas en el Acta de Liquidación del contrato que se está tramitando con el Concesionario; tampoco se ha realizado ningún pago a la deuda.</w:t>
          </w:r>
          <w:r w:rsidRPr="00931DCE">
            <w:rPr>
              <w:rFonts w:ascii="Times New Roman" w:hAnsi="Times New Roman"/>
              <w:sz w:val="24"/>
              <w:szCs w:val="24"/>
            </w:rPr>
            <w:t xml:space="preserve"> </w:t>
          </w:r>
        </w:p>
        <w:p w14:paraId="298F5D2C" w14:textId="77777777" w:rsidR="00FC2584" w:rsidRDefault="00FC2584" w:rsidP="00324ACD">
          <w:pPr>
            <w:autoSpaceDE w:val="0"/>
            <w:autoSpaceDN w:val="0"/>
            <w:adjustRightInd w:val="0"/>
            <w:spacing w:after="0" w:line="240" w:lineRule="auto"/>
            <w:jc w:val="both"/>
            <w:rPr>
              <w:rFonts w:ascii="Times New Roman" w:eastAsiaTheme="minorHAnsi" w:hAnsi="Times New Roman"/>
              <w:sz w:val="24"/>
              <w:szCs w:val="24"/>
              <w14:ligatures w14:val="standardContextual"/>
            </w:rPr>
          </w:pPr>
        </w:p>
        <w:p w14:paraId="66AD45FF" w14:textId="73C42F7D" w:rsidR="00FC2584" w:rsidRPr="00931DCE" w:rsidRDefault="00764E05" w:rsidP="00E60BAB">
          <w:pPr>
            <w:pStyle w:val="Prrafodelista"/>
            <w:numPr>
              <w:ilvl w:val="0"/>
              <w:numId w:val="59"/>
            </w:numPr>
            <w:spacing w:line="259" w:lineRule="auto"/>
            <w:ind w:left="851" w:hanging="283"/>
            <w:jc w:val="both"/>
            <w:rPr>
              <w:rFonts w:ascii="Times New Roman" w:hAnsi="Times New Roman"/>
              <w:sz w:val="24"/>
              <w:szCs w:val="24"/>
              <w:u w:val="single"/>
            </w:rPr>
          </w:pPr>
          <w:r w:rsidRPr="00BE264E">
            <w:rPr>
              <w:rFonts w:ascii="Times New Roman" w:hAnsi="Times New Roman"/>
              <w:sz w:val="24"/>
              <w:szCs w:val="24"/>
            </w:rPr>
            <w:t>Reconocimiento de condena en costas y agencias en derecho</w:t>
          </w:r>
        </w:p>
        <w:p w14:paraId="00B54E3D" w14:textId="1B284D41" w:rsidR="00324ACD" w:rsidRPr="00B90884" w:rsidRDefault="00324ACD" w:rsidP="00324ACD">
          <w:pPr>
            <w:pStyle w:val="Prrafodelista"/>
            <w:jc w:val="both"/>
            <w:rPr>
              <w:rFonts w:ascii="Times New Roman" w:hAnsi="Times New Roman"/>
              <w:sz w:val="24"/>
              <w:szCs w:val="24"/>
            </w:rPr>
          </w:pPr>
        </w:p>
        <w:p w14:paraId="46872219" w14:textId="0614B5B1" w:rsidR="00324ACD" w:rsidRPr="00B90884" w:rsidRDefault="00FC2584" w:rsidP="00324ACD">
          <w:pPr>
            <w:pStyle w:val="Prrafodelista"/>
            <w:spacing w:after="0" w:line="240" w:lineRule="auto"/>
            <w:ind w:left="0"/>
            <w:jc w:val="both"/>
            <w:rPr>
              <w:rFonts w:ascii="Times New Roman" w:hAnsi="Times New Roman"/>
              <w:sz w:val="24"/>
              <w:szCs w:val="24"/>
            </w:rPr>
          </w:pPr>
          <w:r w:rsidRPr="00931DCE">
            <w:rPr>
              <w:rFonts w:ascii="Times New Roman" w:hAnsi="Times New Roman"/>
              <w:sz w:val="24"/>
              <w:szCs w:val="24"/>
            </w:rPr>
            <w:t xml:space="preserve">A 31 de diciembre de </w:t>
          </w:r>
          <w:r w:rsidR="00EF6E05" w:rsidRPr="00CB5D6D">
            <w:rPr>
              <w:rFonts w:ascii="Times New Roman" w:hAnsi="Times New Roman"/>
              <w:sz w:val="24"/>
              <w:szCs w:val="24"/>
            </w:rPr>
            <w:t>202</w:t>
          </w:r>
          <w:r w:rsidR="00764E05" w:rsidRPr="00CB5D6D">
            <w:rPr>
              <w:rFonts w:ascii="Times New Roman" w:hAnsi="Times New Roman"/>
              <w:sz w:val="24"/>
              <w:szCs w:val="24"/>
            </w:rPr>
            <w:t>3</w:t>
          </w:r>
          <w:r w:rsidRPr="00931DCE">
            <w:rPr>
              <w:rFonts w:ascii="Times New Roman" w:hAnsi="Times New Roman"/>
              <w:sz w:val="24"/>
              <w:szCs w:val="24"/>
            </w:rPr>
            <w:t>, se constituyeron las siguientes cuentas por pagar por valor de $</w:t>
          </w:r>
          <w:r w:rsidR="00CB5D6D" w:rsidRPr="00CB5D6D">
            <w:rPr>
              <w:rFonts w:ascii="Times New Roman" w:hAnsi="Times New Roman"/>
              <w:sz w:val="24"/>
              <w:szCs w:val="24"/>
            </w:rPr>
            <w:t>3.462.875.213</w:t>
          </w:r>
          <w:r w:rsidRPr="00931DCE">
            <w:rPr>
              <w:rFonts w:ascii="Times New Roman" w:hAnsi="Times New Roman"/>
              <w:sz w:val="24"/>
              <w:szCs w:val="24"/>
            </w:rPr>
            <w:t xml:space="preserve">, </w:t>
          </w:r>
          <w:r w:rsidR="0002668D">
            <w:rPr>
              <w:rFonts w:ascii="Times New Roman" w:hAnsi="Times New Roman"/>
              <w:sz w:val="24"/>
              <w:szCs w:val="24"/>
            </w:rPr>
            <w:t xml:space="preserve">por el reconocimiento de </w:t>
          </w:r>
          <w:r w:rsidR="008431FB">
            <w:rPr>
              <w:rFonts w:ascii="Times New Roman" w:hAnsi="Times New Roman"/>
              <w:sz w:val="24"/>
              <w:szCs w:val="24"/>
            </w:rPr>
            <w:t xml:space="preserve">las </w:t>
          </w:r>
          <w:r w:rsidR="0002668D">
            <w:rPr>
              <w:rFonts w:ascii="Times New Roman" w:hAnsi="Times New Roman"/>
              <w:sz w:val="24"/>
              <w:szCs w:val="24"/>
            </w:rPr>
            <w:t>condena</w:t>
          </w:r>
          <w:r w:rsidR="008431FB">
            <w:rPr>
              <w:rFonts w:ascii="Times New Roman" w:hAnsi="Times New Roman"/>
              <w:sz w:val="24"/>
              <w:szCs w:val="24"/>
            </w:rPr>
            <w:t>s</w:t>
          </w:r>
          <w:r w:rsidR="00973F76">
            <w:rPr>
              <w:rFonts w:ascii="Times New Roman" w:hAnsi="Times New Roman"/>
              <w:sz w:val="24"/>
              <w:szCs w:val="24"/>
            </w:rPr>
            <w:t xml:space="preserve"> </w:t>
          </w:r>
          <w:r w:rsidR="0002668D">
            <w:rPr>
              <w:rFonts w:ascii="Times New Roman" w:hAnsi="Times New Roman"/>
              <w:sz w:val="24"/>
              <w:szCs w:val="24"/>
            </w:rPr>
            <w:t>en costas y agencias en derecho</w:t>
          </w:r>
          <w:r w:rsidR="008431FB">
            <w:rPr>
              <w:rFonts w:ascii="Times New Roman" w:hAnsi="Times New Roman"/>
              <w:sz w:val="24"/>
              <w:szCs w:val="24"/>
            </w:rPr>
            <w:t xml:space="preserve"> en contra de la ANI</w:t>
          </w:r>
          <w:r w:rsidR="00973F76">
            <w:rPr>
              <w:rFonts w:ascii="Times New Roman" w:hAnsi="Times New Roman"/>
              <w:sz w:val="24"/>
              <w:szCs w:val="24"/>
            </w:rPr>
            <w:t>, decretadas en Laudos Arbitrales</w:t>
          </w:r>
          <w:r w:rsidRPr="00931DCE">
            <w:rPr>
              <w:rFonts w:ascii="Times New Roman" w:hAnsi="Times New Roman"/>
              <w:sz w:val="24"/>
              <w:szCs w:val="24"/>
            </w:rPr>
            <w:t xml:space="preserve">, de los siguientes procesos: </w:t>
          </w:r>
        </w:p>
        <w:p w14:paraId="1A100891" w14:textId="461FDF26" w:rsidR="00FC2584" w:rsidRPr="00931DCE" w:rsidRDefault="00FC2584" w:rsidP="00FC2584">
          <w:pPr>
            <w:pStyle w:val="Prrafodelista"/>
            <w:spacing w:after="0" w:line="240" w:lineRule="auto"/>
            <w:ind w:left="0"/>
            <w:jc w:val="both"/>
            <w:rPr>
              <w:rFonts w:ascii="Times New Roman" w:hAnsi="Times New Roman"/>
              <w:sz w:val="24"/>
              <w:szCs w:val="24"/>
            </w:rPr>
          </w:pPr>
        </w:p>
        <w:p w14:paraId="74256668" w14:textId="77777777" w:rsidR="00FC2584" w:rsidRPr="00931DCE" w:rsidRDefault="00FC2584" w:rsidP="00FC2584">
          <w:pPr>
            <w:pStyle w:val="Prrafodelista"/>
            <w:spacing w:after="0" w:line="240" w:lineRule="auto"/>
            <w:ind w:left="0"/>
            <w:jc w:val="both"/>
            <w:rPr>
              <w:rFonts w:ascii="Times New Roman" w:hAnsi="Times New Roman"/>
              <w:sz w:val="24"/>
              <w:szCs w:val="24"/>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CellMar>
              <w:left w:w="70" w:type="dxa"/>
              <w:right w:w="70" w:type="dxa"/>
            </w:tblCellMar>
            <w:tblLook w:val="04A0" w:firstRow="1" w:lastRow="0" w:firstColumn="1" w:lastColumn="0" w:noHBand="0" w:noVBand="1"/>
          </w:tblPr>
          <w:tblGrid>
            <w:gridCol w:w="1126"/>
            <w:gridCol w:w="2412"/>
            <w:gridCol w:w="1702"/>
            <w:gridCol w:w="2549"/>
            <w:gridCol w:w="1180"/>
          </w:tblGrid>
          <w:tr w:rsidR="00255DF5" w:rsidRPr="00255DF5" w14:paraId="4C0D5B60" w14:textId="77777777" w:rsidTr="00154488">
            <w:trPr>
              <w:trHeight w:val="523"/>
              <w:jc w:val="center"/>
            </w:trPr>
            <w:tc>
              <w:tcPr>
                <w:tcW w:w="628" w:type="pct"/>
                <w:shd w:val="clear" w:color="auto" w:fill="auto"/>
                <w:vAlign w:val="center"/>
                <w:hideMark/>
              </w:tcPr>
              <w:p w14:paraId="718BA010" w14:textId="77777777" w:rsidR="00255DF5" w:rsidRPr="009A46BB" w:rsidRDefault="00255DF5" w:rsidP="00255DF5">
                <w:pPr>
                  <w:spacing w:after="0" w:line="240" w:lineRule="auto"/>
                  <w:jc w:val="center"/>
                  <w:rPr>
                    <w:rFonts w:ascii="Times New Roman" w:eastAsia="Times New Roman" w:hAnsi="Times New Roman"/>
                    <w:b/>
                    <w:color w:val="000000"/>
                    <w:sz w:val="16"/>
                    <w:szCs w:val="16"/>
                    <w:lang w:eastAsia="es-CO"/>
                  </w:rPr>
                </w:pPr>
                <w:r w:rsidRPr="009A46BB">
                  <w:rPr>
                    <w:rFonts w:ascii="Times New Roman" w:eastAsia="Times New Roman" w:hAnsi="Times New Roman"/>
                    <w:b/>
                    <w:color w:val="000000"/>
                    <w:sz w:val="16"/>
                    <w:szCs w:val="16"/>
                    <w:lang w:eastAsia="es-CO"/>
                  </w:rPr>
                  <w:t>Identificación</w:t>
                </w:r>
              </w:p>
            </w:tc>
            <w:tc>
              <w:tcPr>
                <w:tcW w:w="1345" w:type="pct"/>
                <w:shd w:val="clear" w:color="auto" w:fill="auto"/>
                <w:vAlign w:val="center"/>
                <w:hideMark/>
              </w:tcPr>
              <w:p w14:paraId="14888CC3" w14:textId="77777777" w:rsidR="00255DF5" w:rsidRPr="009A46BB" w:rsidRDefault="00255DF5" w:rsidP="00255DF5">
                <w:pPr>
                  <w:spacing w:after="0" w:line="240" w:lineRule="auto"/>
                  <w:jc w:val="center"/>
                  <w:rPr>
                    <w:rFonts w:ascii="Times New Roman" w:eastAsia="Times New Roman" w:hAnsi="Times New Roman"/>
                    <w:b/>
                    <w:color w:val="000000"/>
                    <w:sz w:val="16"/>
                    <w:szCs w:val="16"/>
                    <w:lang w:eastAsia="es-CO"/>
                  </w:rPr>
                </w:pPr>
                <w:r w:rsidRPr="009A46BB">
                  <w:rPr>
                    <w:rFonts w:ascii="Times New Roman" w:eastAsia="Times New Roman" w:hAnsi="Times New Roman"/>
                    <w:b/>
                    <w:color w:val="000000"/>
                    <w:sz w:val="16"/>
                    <w:szCs w:val="16"/>
                    <w:lang w:eastAsia="es-CO"/>
                  </w:rPr>
                  <w:t>Descripción</w:t>
                </w:r>
              </w:p>
            </w:tc>
            <w:tc>
              <w:tcPr>
                <w:tcW w:w="949" w:type="pct"/>
                <w:shd w:val="clear" w:color="auto" w:fill="auto"/>
                <w:vAlign w:val="center"/>
                <w:hideMark/>
              </w:tcPr>
              <w:p w14:paraId="558CCD8F" w14:textId="77777777" w:rsidR="00255DF5" w:rsidRPr="009A46BB" w:rsidRDefault="00255DF5" w:rsidP="00255DF5">
                <w:pPr>
                  <w:spacing w:after="0" w:line="240" w:lineRule="auto"/>
                  <w:jc w:val="center"/>
                  <w:rPr>
                    <w:rFonts w:ascii="Times New Roman" w:eastAsia="Times New Roman" w:hAnsi="Times New Roman"/>
                    <w:b/>
                    <w:color w:val="000000"/>
                    <w:sz w:val="16"/>
                    <w:szCs w:val="16"/>
                    <w:lang w:eastAsia="es-CO"/>
                  </w:rPr>
                </w:pPr>
                <w:r w:rsidRPr="009A46BB">
                  <w:rPr>
                    <w:rFonts w:ascii="Times New Roman" w:eastAsia="Times New Roman" w:hAnsi="Times New Roman"/>
                    <w:b/>
                    <w:color w:val="000000"/>
                    <w:sz w:val="16"/>
                    <w:szCs w:val="16"/>
                    <w:lang w:eastAsia="es-CO"/>
                  </w:rPr>
                  <w:t>No. Radicado Cámara de Comercio de Bogotá</w:t>
                </w:r>
              </w:p>
            </w:tc>
            <w:tc>
              <w:tcPr>
                <w:tcW w:w="1421" w:type="pct"/>
                <w:shd w:val="clear" w:color="auto" w:fill="auto"/>
                <w:vAlign w:val="center"/>
                <w:hideMark/>
              </w:tcPr>
              <w:p w14:paraId="15B6D40C" w14:textId="77777777" w:rsidR="00255DF5" w:rsidRPr="009A46BB" w:rsidRDefault="00255DF5" w:rsidP="00255DF5">
                <w:pPr>
                  <w:spacing w:after="0" w:line="240" w:lineRule="auto"/>
                  <w:jc w:val="center"/>
                  <w:rPr>
                    <w:rFonts w:ascii="Times New Roman" w:eastAsia="Times New Roman" w:hAnsi="Times New Roman"/>
                    <w:b/>
                    <w:color w:val="000000"/>
                    <w:sz w:val="16"/>
                    <w:szCs w:val="16"/>
                    <w:lang w:eastAsia="es-CO"/>
                  </w:rPr>
                </w:pPr>
                <w:r w:rsidRPr="009A46BB">
                  <w:rPr>
                    <w:rFonts w:ascii="Times New Roman" w:eastAsia="Times New Roman" w:hAnsi="Times New Roman"/>
                    <w:b/>
                    <w:color w:val="000000"/>
                    <w:sz w:val="16"/>
                    <w:szCs w:val="16"/>
                    <w:lang w:eastAsia="es-CO"/>
                  </w:rPr>
                  <w:t>Documento fijación de valor</w:t>
                </w:r>
              </w:p>
            </w:tc>
            <w:tc>
              <w:tcPr>
                <w:tcW w:w="658" w:type="pct"/>
                <w:shd w:val="clear" w:color="auto" w:fill="auto"/>
                <w:vAlign w:val="center"/>
                <w:hideMark/>
              </w:tcPr>
              <w:p w14:paraId="21F195D2" w14:textId="77777777" w:rsidR="00255DF5" w:rsidRPr="009A46BB" w:rsidRDefault="00255DF5" w:rsidP="00255DF5">
                <w:pPr>
                  <w:spacing w:after="0" w:line="240" w:lineRule="auto"/>
                  <w:jc w:val="center"/>
                  <w:rPr>
                    <w:rFonts w:ascii="Times New Roman" w:eastAsia="Times New Roman" w:hAnsi="Times New Roman"/>
                    <w:b/>
                    <w:color w:val="000000"/>
                    <w:sz w:val="16"/>
                    <w:szCs w:val="16"/>
                    <w:lang w:eastAsia="es-CO"/>
                  </w:rPr>
                </w:pPr>
                <w:r w:rsidRPr="009A46BB">
                  <w:rPr>
                    <w:rFonts w:ascii="Times New Roman" w:eastAsia="Times New Roman" w:hAnsi="Times New Roman"/>
                    <w:b/>
                    <w:color w:val="000000"/>
                    <w:sz w:val="16"/>
                    <w:szCs w:val="16"/>
                    <w:lang w:eastAsia="es-CO"/>
                  </w:rPr>
                  <w:t>Condena en costas y agencias en derecho</w:t>
                </w:r>
              </w:p>
            </w:tc>
          </w:tr>
          <w:tr w:rsidR="00255DF5" w:rsidRPr="00255DF5" w14:paraId="28678F8C" w14:textId="77777777" w:rsidTr="00154488">
            <w:trPr>
              <w:trHeight w:val="364"/>
              <w:jc w:val="center"/>
            </w:trPr>
            <w:tc>
              <w:tcPr>
                <w:tcW w:w="628" w:type="pct"/>
                <w:shd w:val="clear" w:color="auto" w:fill="auto"/>
                <w:noWrap/>
                <w:vAlign w:val="center"/>
                <w:hideMark/>
              </w:tcPr>
              <w:p w14:paraId="377753A8" w14:textId="77777777" w:rsidR="00255DF5" w:rsidRPr="009A46BB" w:rsidRDefault="00255DF5" w:rsidP="009832CF">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800235872</w:t>
                </w:r>
              </w:p>
            </w:tc>
            <w:tc>
              <w:tcPr>
                <w:tcW w:w="1345" w:type="pct"/>
                <w:shd w:val="clear" w:color="auto" w:fill="auto"/>
                <w:vAlign w:val="center"/>
                <w:hideMark/>
              </w:tcPr>
              <w:p w14:paraId="77D12F71" w14:textId="77777777" w:rsidR="00255DF5" w:rsidRPr="009A46BB" w:rsidRDefault="00255DF5" w:rsidP="00255DF5">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CONCESIONARIA VIAL DE LOS ANDES S.A.S. COVIANDES S.A.S.</w:t>
                </w:r>
              </w:p>
            </w:tc>
            <w:tc>
              <w:tcPr>
                <w:tcW w:w="949" w:type="pct"/>
                <w:shd w:val="clear" w:color="auto" w:fill="auto"/>
                <w:vAlign w:val="center"/>
                <w:hideMark/>
              </w:tcPr>
              <w:p w14:paraId="2F15F2F8" w14:textId="77777777" w:rsidR="00255DF5" w:rsidRPr="009A46BB" w:rsidRDefault="00255DF5" w:rsidP="009832CF">
                <w:pPr>
                  <w:spacing w:after="0" w:line="240" w:lineRule="auto"/>
                  <w:jc w:val="center"/>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128517</w:t>
                </w:r>
              </w:p>
            </w:tc>
            <w:tc>
              <w:tcPr>
                <w:tcW w:w="1421" w:type="pct"/>
                <w:shd w:val="clear" w:color="auto" w:fill="auto"/>
                <w:vAlign w:val="center"/>
                <w:hideMark/>
              </w:tcPr>
              <w:p w14:paraId="7816E3BD" w14:textId="77777777" w:rsidR="00255DF5" w:rsidRPr="009A46BB" w:rsidRDefault="00255DF5" w:rsidP="00255DF5">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Laudo arbitral del 10/11/2023. Aclaraciones y/o complementaciones Auto No. 53 del 27/11/2023.</w:t>
                </w:r>
              </w:p>
            </w:tc>
            <w:tc>
              <w:tcPr>
                <w:tcW w:w="658" w:type="pct"/>
                <w:shd w:val="clear" w:color="auto" w:fill="auto"/>
                <w:noWrap/>
                <w:vAlign w:val="center"/>
                <w:hideMark/>
              </w:tcPr>
              <w:p w14:paraId="212BCD16" w14:textId="0123FFC7" w:rsidR="00255DF5" w:rsidRPr="009A46BB" w:rsidRDefault="00255DF5" w:rsidP="00255DF5">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 xml:space="preserve">   2.272.875.213 </w:t>
                </w:r>
              </w:p>
            </w:tc>
          </w:tr>
          <w:tr w:rsidR="00255DF5" w:rsidRPr="00255DF5" w14:paraId="7B1E7B89" w14:textId="77777777" w:rsidTr="00154488">
            <w:trPr>
              <w:trHeight w:val="500"/>
              <w:jc w:val="center"/>
            </w:trPr>
            <w:tc>
              <w:tcPr>
                <w:tcW w:w="628" w:type="pct"/>
                <w:shd w:val="clear" w:color="auto" w:fill="auto"/>
                <w:noWrap/>
                <w:vAlign w:val="center"/>
                <w:hideMark/>
              </w:tcPr>
              <w:p w14:paraId="27FABD6F" w14:textId="77777777" w:rsidR="00255DF5" w:rsidRPr="009A46BB" w:rsidRDefault="00255DF5" w:rsidP="009832CF">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900920562</w:t>
                </w:r>
              </w:p>
            </w:tc>
            <w:tc>
              <w:tcPr>
                <w:tcW w:w="1345" w:type="pct"/>
                <w:shd w:val="clear" w:color="auto" w:fill="auto"/>
                <w:vAlign w:val="center"/>
                <w:hideMark/>
              </w:tcPr>
              <w:p w14:paraId="5942216A" w14:textId="77777777" w:rsidR="00255DF5" w:rsidRPr="009A46BB" w:rsidRDefault="00255DF5" w:rsidP="00255DF5">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CONCESION VIAS DEL NUS S.A.S</w:t>
                </w:r>
              </w:p>
            </w:tc>
            <w:tc>
              <w:tcPr>
                <w:tcW w:w="949" w:type="pct"/>
                <w:shd w:val="clear" w:color="auto" w:fill="auto"/>
                <w:vAlign w:val="center"/>
                <w:hideMark/>
              </w:tcPr>
              <w:p w14:paraId="5908D465" w14:textId="77777777" w:rsidR="00255DF5" w:rsidRPr="009A46BB" w:rsidRDefault="00255DF5" w:rsidP="009832CF">
                <w:pPr>
                  <w:spacing w:after="0" w:line="240" w:lineRule="auto"/>
                  <w:jc w:val="center"/>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135526</w:t>
                </w:r>
              </w:p>
            </w:tc>
            <w:tc>
              <w:tcPr>
                <w:tcW w:w="1421" w:type="pct"/>
                <w:shd w:val="clear" w:color="auto" w:fill="auto"/>
                <w:vAlign w:val="center"/>
                <w:hideMark/>
              </w:tcPr>
              <w:p w14:paraId="42C90E51" w14:textId="77777777" w:rsidR="00255DF5" w:rsidRPr="009A46BB" w:rsidRDefault="00255DF5" w:rsidP="00255DF5">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Laudo arbitral del 07/11/2023. Aclaraciones y/o complementaciones 20/11/2023.</w:t>
                </w:r>
              </w:p>
            </w:tc>
            <w:tc>
              <w:tcPr>
                <w:tcW w:w="658" w:type="pct"/>
                <w:shd w:val="clear" w:color="auto" w:fill="auto"/>
                <w:noWrap/>
                <w:vAlign w:val="center"/>
                <w:hideMark/>
              </w:tcPr>
              <w:p w14:paraId="36371B48" w14:textId="7297E7FD" w:rsidR="00255DF5" w:rsidRPr="009A46BB" w:rsidRDefault="00255DF5" w:rsidP="00255DF5">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 xml:space="preserve">   1.190.000.000 </w:t>
                </w:r>
              </w:p>
            </w:tc>
          </w:tr>
          <w:tr w:rsidR="00255DF5" w:rsidRPr="00255DF5" w14:paraId="5ADB7A69" w14:textId="77777777" w:rsidTr="00154488">
            <w:trPr>
              <w:trHeight w:val="300"/>
              <w:jc w:val="center"/>
            </w:trPr>
            <w:tc>
              <w:tcPr>
                <w:tcW w:w="1972" w:type="pct"/>
                <w:gridSpan w:val="2"/>
                <w:shd w:val="clear" w:color="auto" w:fill="auto"/>
                <w:noWrap/>
                <w:vAlign w:val="center"/>
                <w:hideMark/>
              </w:tcPr>
              <w:p w14:paraId="5B762390" w14:textId="77777777" w:rsidR="00255DF5" w:rsidRPr="009A46BB" w:rsidRDefault="00255DF5" w:rsidP="00255DF5">
                <w:pPr>
                  <w:spacing w:after="0" w:line="240" w:lineRule="auto"/>
                  <w:jc w:val="center"/>
                  <w:rPr>
                    <w:rFonts w:ascii="Times New Roman" w:eastAsia="Times New Roman" w:hAnsi="Times New Roman"/>
                    <w:b/>
                    <w:color w:val="000000"/>
                    <w:sz w:val="16"/>
                    <w:szCs w:val="16"/>
                    <w:lang w:eastAsia="es-CO"/>
                  </w:rPr>
                </w:pPr>
                <w:r w:rsidRPr="009A46BB">
                  <w:rPr>
                    <w:rFonts w:ascii="Times New Roman" w:eastAsia="Times New Roman" w:hAnsi="Times New Roman"/>
                    <w:b/>
                    <w:color w:val="000000"/>
                    <w:sz w:val="16"/>
                    <w:szCs w:val="16"/>
                    <w:lang w:eastAsia="es-CO"/>
                  </w:rPr>
                  <w:t>TOTAL</w:t>
                </w:r>
              </w:p>
            </w:tc>
            <w:tc>
              <w:tcPr>
                <w:tcW w:w="949" w:type="pct"/>
                <w:shd w:val="clear" w:color="auto" w:fill="auto"/>
                <w:noWrap/>
                <w:vAlign w:val="center"/>
                <w:hideMark/>
              </w:tcPr>
              <w:p w14:paraId="5E3F419F" w14:textId="77777777" w:rsidR="00255DF5" w:rsidRPr="009A46BB" w:rsidRDefault="00255DF5" w:rsidP="00255DF5">
                <w:pPr>
                  <w:spacing w:after="0" w:line="240" w:lineRule="auto"/>
                  <w:jc w:val="center"/>
                  <w:rPr>
                    <w:rFonts w:ascii="Times New Roman" w:eastAsia="Times New Roman" w:hAnsi="Times New Roman"/>
                    <w:b/>
                    <w:color w:val="000000"/>
                    <w:sz w:val="16"/>
                    <w:szCs w:val="16"/>
                    <w:lang w:eastAsia="es-CO"/>
                  </w:rPr>
                </w:pPr>
                <w:r w:rsidRPr="009A46BB">
                  <w:rPr>
                    <w:rFonts w:ascii="Times New Roman" w:eastAsia="Times New Roman" w:hAnsi="Times New Roman"/>
                    <w:b/>
                    <w:color w:val="000000"/>
                    <w:sz w:val="16"/>
                    <w:szCs w:val="16"/>
                    <w:lang w:eastAsia="es-CO"/>
                  </w:rPr>
                  <w:t> </w:t>
                </w:r>
              </w:p>
            </w:tc>
            <w:tc>
              <w:tcPr>
                <w:tcW w:w="1421" w:type="pct"/>
                <w:shd w:val="clear" w:color="auto" w:fill="auto"/>
                <w:noWrap/>
                <w:vAlign w:val="center"/>
                <w:hideMark/>
              </w:tcPr>
              <w:p w14:paraId="3BC569B2" w14:textId="77777777" w:rsidR="00255DF5" w:rsidRPr="009A46BB" w:rsidRDefault="00255DF5" w:rsidP="00255DF5">
                <w:pPr>
                  <w:spacing w:after="0" w:line="240" w:lineRule="auto"/>
                  <w:jc w:val="center"/>
                  <w:rPr>
                    <w:rFonts w:ascii="Times New Roman" w:eastAsia="Times New Roman" w:hAnsi="Times New Roman"/>
                    <w:b/>
                    <w:color w:val="000000"/>
                    <w:sz w:val="16"/>
                    <w:szCs w:val="16"/>
                    <w:lang w:eastAsia="es-CO"/>
                  </w:rPr>
                </w:pPr>
                <w:r w:rsidRPr="009A46BB">
                  <w:rPr>
                    <w:rFonts w:ascii="Times New Roman" w:eastAsia="Times New Roman" w:hAnsi="Times New Roman"/>
                    <w:b/>
                    <w:color w:val="000000"/>
                    <w:sz w:val="16"/>
                    <w:szCs w:val="16"/>
                    <w:lang w:eastAsia="es-CO"/>
                  </w:rPr>
                  <w:t> </w:t>
                </w:r>
              </w:p>
            </w:tc>
            <w:tc>
              <w:tcPr>
                <w:tcW w:w="658" w:type="pct"/>
                <w:shd w:val="clear" w:color="auto" w:fill="auto"/>
                <w:noWrap/>
                <w:vAlign w:val="center"/>
                <w:hideMark/>
              </w:tcPr>
              <w:p w14:paraId="1F74B1F3" w14:textId="279C724C" w:rsidR="00255DF5" w:rsidRPr="009A46BB" w:rsidRDefault="00255DF5" w:rsidP="00255DF5">
                <w:pPr>
                  <w:spacing w:after="0" w:line="240" w:lineRule="auto"/>
                  <w:rPr>
                    <w:rFonts w:ascii="Times New Roman" w:eastAsia="Times New Roman" w:hAnsi="Times New Roman"/>
                    <w:b/>
                    <w:color w:val="000000"/>
                    <w:sz w:val="16"/>
                    <w:szCs w:val="16"/>
                    <w:lang w:eastAsia="es-CO"/>
                  </w:rPr>
                </w:pPr>
                <w:r w:rsidRPr="009A46BB">
                  <w:rPr>
                    <w:rFonts w:ascii="Times New Roman" w:eastAsia="Times New Roman" w:hAnsi="Times New Roman"/>
                    <w:b/>
                    <w:color w:val="000000"/>
                    <w:sz w:val="16"/>
                    <w:szCs w:val="16"/>
                    <w:lang w:eastAsia="es-CO"/>
                  </w:rPr>
                  <w:t xml:space="preserve">   3.462.875.213 </w:t>
                </w:r>
              </w:p>
            </w:tc>
          </w:tr>
        </w:tbl>
        <w:p w14:paraId="32F48746" w14:textId="284DB995" w:rsidR="00FC2584" w:rsidRPr="00931DCE" w:rsidRDefault="00FC2584" w:rsidP="009832CF">
          <w:pPr>
            <w:spacing w:after="0" w:line="240" w:lineRule="auto"/>
            <w:jc w:val="both"/>
            <w:rPr>
              <w:rFonts w:ascii="Times New Roman" w:hAnsi="Times New Roman"/>
              <w:b/>
              <w:bCs/>
              <w:sz w:val="24"/>
              <w:szCs w:val="24"/>
            </w:rPr>
          </w:pPr>
          <w:r w:rsidRPr="00931DCE">
            <w:rPr>
              <w:rFonts w:ascii="Times New Roman" w:hAnsi="Times New Roman"/>
              <w:sz w:val="14"/>
              <w:szCs w:val="14"/>
            </w:rPr>
            <w:t xml:space="preserve"> </w:t>
          </w:r>
          <w:r w:rsidR="00AD2026" w:rsidRPr="00931DCE">
            <w:rPr>
              <w:rFonts w:ascii="Times New Roman" w:hAnsi="Times New Roman"/>
              <w:sz w:val="14"/>
              <w:szCs w:val="14"/>
            </w:rPr>
            <w:t>Cifras expresadas en pesos</w:t>
          </w:r>
        </w:p>
        <w:p w14:paraId="2BAFFF8D" w14:textId="163FAC4D" w:rsidR="00F55678" w:rsidRPr="00BB38BB" w:rsidRDefault="00FC2584" w:rsidP="00BB38BB">
          <w:pPr>
            <w:spacing w:after="0" w:line="240" w:lineRule="auto"/>
            <w:ind w:left="284"/>
            <w:jc w:val="both"/>
            <w:rPr>
              <w:rFonts w:ascii="Times New Roman" w:hAnsi="Times New Roman"/>
              <w:sz w:val="24"/>
              <w:szCs w:val="24"/>
              <w:highlight w:val="cyan"/>
            </w:rPr>
          </w:pPr>
          <w:r w:rsidRPr="00931DCE">
            <w:rPr>
              <w:rFonts w:ascii="Times New Roman" w:hAnsi="Times New Roman"/>
              <w:b/>
              <w:bCs/>
              <w:sz w:val="16"/>
              <w:szCs w:val="16"/>
            </w:rPr>
            <w:t xml:space="preserve">  </w:t>
          </w:r>
        </w:p>
        <w:p w14:paraId="3F6464F9" w14:textId="235ED703" w:rsidR="00FC2584" w:rsidRPr="00931DCE" w:rsidRDefault="00FC2584" w:rsidP="00FC2584">
          <w:pPr>
            <w:spacing w:after="0" w:line="240" w:lineRule="auto"/>
            <w:jc w:val="both"/>
            <w:rPr>
              <w:rFonts w:ascii="Times New Roman" w:hAnsi="Times New Roman"/>
              <w:sz w:val="24"/>
              <w:szCs w:val="24"/>
            </w:rPr>
          </w:pPr>
          <w:r w:rsidRPr="00BB38BB">
            <w:rPr>
              <w:rFonts w:ascii="Times New Roman" w:hAnsi="Times New Roman"/>
              <w:sz w:val="24"/>
              <w:szCs w:val="24"/>
            </w:rPr>
            <w:t>Para estas cuentas por pagar, la Agencia no presenta incumplimiento en las condiciones de pago del principal, del plazo ni de los intereses, toda vez que no se tiene norma que establezca término máximo de pago; tampoco se ha realizado ningún pago a la deuda.</w:t>
          </w:r>
          <w:r w:rsidRPr="00931DCE">
            <w:rPr>
              <w:rFonts w:ascii="Times New Roman" w:hAnsi="Times New Roman"/>
              <w:sz w:val="24"/>
              <w:szCs w:val="24"/>
            </w:rPr>
            <w:t xml:space="preserve"> </w:t>
          </w:r>
        </w:p>
        <w:p w14:paraId="098286C4" w14:textId="77777777" w:rsidR="00FC2584" w:rsidRPr="00931DCE" w:rsidRDefault="00FC2584" w:rsidP="00FC2584">
          <w:pPr>
            <w:pStyle w:val="Prrafodelista"/>
            <w:spacing w:after="0" w:line="240" w:lineRule="auto"/>
            <w:jc w:val="both"/>
            <w:rPr>
              <w:rFonts w:ascii="Times New Roman" w:hAnsi="Times New Roman"/>
              <w:sz w:val="24"/>
              <w:szCs w:val="24"/>
            </w:rPr>
          </w:pPr>
        </w:p>
        <w:p w14:paraId="6F78CCAA" w14:textId="77777777" w:rsidR="00FC2584" w:rsidRPr="00931DCE" w:rsidRDefault="00FC2584" w:rsidP="00FC2584">
          <w:pPr>
            <w:spacing w:after="0" w:line="240" w:lineRule="auto"/>
            <w:jc w:val="both"/>
            <w:rPr>
              <w:rFonts w:ascii="Times New Roman" w:hAnsi="Times New Roman"/>
              <w:b/>
              <w:bCs/>
              <w:sz w:val="24"/>
              <w:szCs w:val="24"/>
            </w:rPr>
          </w:pPr>
          <w:r w:rsidRPr="00931DCE">
            <w:rPr>
              <w:rFonts w:ascii="Times New Roman" w:hAnsi="Times New Roman"/>
              <w:b/>
              <w:bCs/>
              <w:sz w:val="24"/>
              <w:szCs w:val="24"/>
            </w:rPr>
            <w:t>Laudos Arbitrales dados de baja, total o parcialmente – Ganancias reconocida en el resultado del periodo y razones de la baja en cuentas</w:t>
          </w:r>
        </w:p>
        <w:p w14:paraId="08509032" w14:textId="77777777" w:rsidR="00FC2584" w:rsidRPr="00931DCE" w:rsidRDefault="00FC2584" w:rsidP="00FC2584">
          <w:pPr>
            <w:pStyle w:val="Prrafodelista"/>
            <w:spacing w:after="0" w:line="240" w:lineRule="auto"/>
            <w:jc w:val="both"/>
            <w:rPr>
              <w:rFonts w:ascii="Times New Roman" w:hAnsi="Times New Roman"/>
              <w:sz w:val="24"/>
              <w:szCs w:val="24"/>
            </w:rPr>
          </w:pPr>
        </w:p>
        <w:p w14:paraId="103103F3" w14:textId="56321E32" w:rsidR="00FC2584" w:rsidRPr="00931DCE" w:rsidRDefault="46A13ABA" w:rsidP="23508383">
          <w:pPr>
            <w:spacing w:after="0" w:line="240" w:lineRule="auto"/>
            <w:ind w:left="-20" w:right="-20"/>
            <w:jc w:val="both"/>
          </w:pPr>
          <w:r w:rsidRPr="23508383">
            <w:rPr>
              <w:rFonts w:ascii="Times New Roman" w:eastAsia="Times New Roman" w:hAnsi="Times New Roman"/>
              <w:sz w:val="24"/>
              <w:szCs w:val="24"/>
            </w:rPr>
            <w:t xml:space="preserve">Se representó una Ganancia por baja en cuentas de cuentas por pagar, por valor de $131.315.936, a nombre de la Concesionaria Ruta del Cacao S.A.S., producto de la actualización de la deuda reportada </w:t>
          </w:r>
          <w:r w:rsidRPr="23508383">
            <w:rPr>
              <w:rFonts w:ascii="Times New Roman" w:eastAsia="Times New Roman" w:hAnsi="Times New Roman"/>
              <w:color w:val="000000" w:themeColor="text1"/>
              <w:sz w:val="24"/>
              <w:szCs w:val="24"/>
            </w:rPr>
            <w:t xml:space="preserve">en el formato GCSP-F-006-Liquidación de la deuda a 31 de diciembre de 2023 del  proyecto BUCARAMANGA- BARRANCA -YONDO, Contrato </w:t>
          </w:r>
          <w:r w:rsidRPr="23508383">
            <w:rPr>
              <w:rFonts w:ascii="Times New Roman" w:eastAsia="Times New Roman" w:hAnsi="Times New Roman"/>
              <w:color w:val="000000" w:themeColor="text1"/>
              <w:sz w:val="24"/>
              <w:szCs w:val="24"/>
            </w:rPr>
            <w:lastRenderedPageBreak/>
            <w:t xml:space="preserve">No. 013 del 15 de agosto de 2015, por el </w:t>
          </w:r>
          <w:r w:rsidRPr="23508383">
            <w:rPr>
              <w:rFonts w:ascii="Times New Roman" w:eastAsia="Times New Roman" w:hAnsi="Times New Roman"/>
              <w:sz w:val="24"/>
              <w:szCs w:val="24"/>
            </w:rPr>
            <w:t>Laudo arbitral No. 127211, ejecutoriado el 17/06/2022, en</w:t>
          </w:r>
          <w:r w:rsidRPr="23508383">
            <w:rPr>
              <w:rFonts w:ascii="Times New Roman" w:eastAsia="Times New Roman" w:hAnsi="Times New Roman"/>
              <w:color w:val="000000" w:themeColor="text1"/>
              <w:sz w:val="24"/>
              <w:szCs w:val="24"/>
            </w:rPr>
            <w:t xml:space="preserve"> donde reportaron una </w:t>
          </w:r>
          <w:r w:rsidRPr="23508383">
            <w:rPr>
              <w:rFonts w:ascii="Times New Roman" w:eastAsia="Times New Roman" w:hAnsi="Times New Roman"/>
              <w:sz w:val="24"/>
              <w:szCs w:val="24"/>
            </w:rPr>
            <w:t>d</w:t>
          </w:r>
          <w:r w:rsidRPr="23508383">
            <w:rPr>
              <w:rFonts w:ascii="Times New Roman" w:eastAsia="Times New Roman" w:hAnsi="Times New Roman"/>
              <w:color w:val="000000" w:themeColor="text1"/>
              <w:sz w:val="24"/>
              <w:szCs w:val="24"/>
            </w:rPr>
            <w:t>isminución del valor de los intereses con respecto al reporte anterior (30 de junio de 2023), intereses causados en la vigencia 2023, por valor de $600.052.781 y en vigencias anteriores por valor de $131.315.936.</w:t>
          </w:r>
        </w:p>
        <w:p w14:paraId="26325AB2" w14:textId="55E00166" w:rsidR="00FC2584" w:rsidRPr="00931DCE" w:rsidRDefault="00FC2584" w:rsidP="00FC2584">
          <w:pPr>
            <w:spacing w:after="0" w:line="240" w:lineRule="auto"/>
            <w:rPr>
              <w:rFonts w:ascii="Times New Roman" w:hAnsi="Times New Roman"/>
              <w:sz w:val="24"/>
              <w:szCs w:val="24"/>
            </w:rPr>
          </w:pPr>
        </w:p>
        <w:p w14:paraId="4E4C0227" w14:textId="17C5DDED" w:rsidR="26CFEA49" w:rsidRDefault="69F08E3A" w:rsidP="57C322BD">
          <w:pPr>
            <w:spacing w:line="254" w:lineRule="auto"/>
            <w:ind w:left="-20" w:right="-20"/>
            <w:jc w:val="both"/>
          </w:pPr>
          <w:r w:rsidRPr="57C322BD">
            <w:rPr>
              <w:rFonts w:ascii="Times New Roman" w:eastAsia="Times New Roman" w:hAnsi="Times New Roman"/>
              <w:color w:val="000000" w:themeColor="text1"/>
              <w:sz w:val="24"/>
              <w:szCs w:val="24"/>
            </w:rPr>
            <w:t>El ajuste del valor de los intereses se produjo con la RESOLUCIÓN No. 20237010018795 del 29-12-2023 de la Agencia Nacional de Infraestructura “</w:t>
          </w:r>
          <w:r w:rsidRPr="57C322BD">
            <w:rPr>
              <w:rFonts w:ascii="Times New Roman" w:eastAsia="Times New Roman" w:hAnsi="Times New Roman"/>
              <w:i/>
              <w:iCs/>
              <w:sz w:val="24"/>
              <w:szCs w:val="24"/>
            </w:rPr>
            <w:t xml:space="preserve">Por la cual se reconoce el gasto y se ordena el pago parcial de la condena impuesta mediante laudo proferido el 17 de junio de 2022, por el tribunal convocado por la Concesionaria Ruta del Cacao S.A.S. contra la Agencia Nacional de Infraestructura con Radicado CCB 127211”; </w:t>
          </w:r>
          <w:r w:rsidRPr="57C322BD">
            <w:rPr>
              <w:rFonts w:ascii="Times New Roman" w:eastAsia="Times New Roman" w:hAnsi="Times New Roman"/>
              <w:sz w:val="24"/>
              <w:szCs w:val="24"/>
            </w:rPr>
            <w:t>e</w:t>
          </w:r>
          <w:r w:rsidRPr="57C322BD">
            <w:rPr>
              <w:rFonts w:ascii="Times New Roman" w:eastAsia="Times New Roman" w:hAnsi="Times New Roman"/>
              <w:color w:val="000000" w:themeColor="text1"/>
              <w:sz w:val="24"/>
              <w:szCs w:val="24"/>
            </w:rPr>
            <w:t xml:space="preserve">n esta resolución, se indica que el Concesionario presentó la cuenta de cobro el 26 de diciembre de 2023, e igualmente indica que: </w:t>
          </w:r>
        </w:p>
        <w:p w14:paraId="497F948A" w14:textId="4D366E2D" w:rsidR="26CFEA49" w:rsidRDefault="69F08E3A" w:rsidP="57C322BD">
          <w:pPr>
            <w:spacing w:line="254" w:lineRule="auto"/>
            <w:ind w:left="1275" w:right="900"/>
            <w:jc w:val="both"/>
          </w:pPr>
          <w:r w:rsidRPr="57C322BD">
            <w:rPr>
              <w:rFonts w:ascii="Times New Roman" w:eastAsia="Times New Roman" w:hAnsi="Times New Roman"/>
              <w:i/>
              <w:iCs/>
              <w:sz w:val="24"/>
              <w:szCs w:val="24"/>
            </w:rPr>
            <w:t>“(…)</w:t>
          </w:r>
        </w:p>
        <w:p w14:paraId="6A3B359B" w14:textId="5D9B354A" w:rsidR="26CFEA49" w:rsidRDefault="69F08E3A" w:rsidP="57C322BD">
          <w:pPr>
            <w:spacing w:after="0" w:line="240" w:lineRule="auto"/>
            <w:ind w:left="1275" w:right="900"/>
            <w:jc w:val="both"/>
          </w:pPr>
          <w:r w:rsidRPr="57C322BD">
            <w:rPr>
              <w:rFonts w:ascii="Times New Roman" w:eastAsia="Times New Roman" w:hAnsi="Times New Roman"/>
              <w:b/>
              <w:bCs/>
              <w:i/>
              <w:iCs/>
              <w:sz w:val="24"/>
              <w:szCs w:val="24"/>
              <w:u w:val="single"/>
            </w:rPr>
            <w:t>Se da claridad en que del periodo del 6 de octubre de 2022 al 25 de diciembre de 2023, cesaron los intereses a favor del concesionario, de conformidad a lo señalado en la Ley 1437 de 2011</w:t>
          </w:r>
          <w:r w:rsidRPr="57C322BD">
            <w:rPr>
              <w:rFonts w:ascii="Times New Roman" w:eastAsia="Times New Roman" w:hAnsi="Times New Roman"/>
              <w:i/>
              <w:iCs/>
              <w:sz w:val="24"/>
              <w:szCs w:val="24"/>
            </w:rPr>
            <w:t xml:space="preserve"> que indica en su artículo 192 Cumplimiento de sentencias o conciliaciones por parte de las entidades públicas, lo siguiente: (...) “Cumplidos tres (3) meses desde la ejecutoria de la providencia que imponga o liquide una condena o de la que apruebe una conciliación, sin que los beneficiarios hayan acudido ante la entidad responsable para hacerla efectiva, cesará la causación de intereses desde entonces hasta cuando se presente la solicitud.” (...)</w:t>
          </w:r>
        </w:p>
        <w:p w14:paraId="240186F0" w14:textId="5AFF5C55" w:rsidR="26CFEA49" w:rsidRDefault="69F08E3A" w:rsidP="57C322BD">
          <w:pPr>
            <w:spacing w:after="0" w:line="240" w:lineRule="auto"/>
            <w:ind w:left="1275" w:right="900"/>
          </w:pPr>
          <w:r w:rsidRPr="55299B54">
            <w:rPr>
              <w:rFonts w:ascii="Times New Roman" w:eastAsia="Times New Roman" w:hAnsi="Times New Roman"/>
              <w:i/>
              <w:iCs/>
              <w:sz w:val="24"/>
              <w:szCs w:val="24"/>
            </w:rPr>
            <w:t xml:space="preserve"> (…)”  </w:t>
          </w:r>
          <w:r w:rsidRPr="55299B54">
            <w:rPr>
              <w:rFonts w:ascii="Times New Roman" w:eastAsia="Times New Roman" w:hAnsi="Times New Roman"/>
              <w:sz w:val="24"/>
              <w:szCs w:val="24"/>
            </w:rPr>
            <w:t>Subrayado y negrita fuera de texto</w:t>
          </w:r>
        </w:p>
        <w:p w14:paraId="6449C174" w14:textId="6EA9B99A" w:rsidR="55299B54" w:rsidRDefault="55299B54" w:rsidP="55299B54">
          <w:pPr>
            <w:spacing w:after="0" w:line="240" w:lineRule="auto"/>
            <w:rPr>
              <w:rFonts w:ascii="Times New Roman" w:eastAsia="Times New Roman" w:hAnsi="Times New Roman"/>
              <w:sz w:val="24"/>
              <w:szCs w:val="24"/>
            </w:rPr>
          </w:pPr>
        </w:p>
        <w:p w14:paraId="583AD984" w14:textId="0CC728EB" w:rsidR="26CFEA49" w:rsidRDefault="69F08E3A" w:rsidP="26CFEA49">
          <w:pPr>
            <w:spacing w:after="0" w:line="240" w:lineRule="auto"/>
          </w:pPr>
          <w:r w:rsidRPr="55299B54">
            <w:rPr>
              <w:rFonts w:ascii="Times New Roman" w:eastAsia="Times New Roman" w:hAnsi="Times New Roman"/>
              <w:sz w:val="24"/>
              <w:szCs w:val="24"/>
            </w:rPr>
            <w:t>La contrapartida de este registro se produjo en la subcuenta contable 4.8.02.20.006 Ganancia por bajas en cuentas de cuentas por pagar - Créditos Judiciales.</w:t>
          </w:r>
        </w:p>
        <w:p w14:paraId="7CAF8982" w14:textId="77777777" w:rsidR="00FC2584" w:rsidRPr="00931DCE" w:rsidRDefault="00FC2584" w:rsidP="00D83C05">
          <w:pPr>
            <w:spacing w:after="0" w:line="240" w:lineRule="auto"/>
            <w:rPr>
              <w:rFonts w:ascii="Times New Roman" w:hAnsi="Times New Roman"/>
              <w:sz w:val="24"/>
              <w:szCs w:val="24"/>
            </w:rPr>
          </w:pPr>
        </w:p>
        <w:p w14:paraId="35F2BB2B" w14:textId="02EFE4F7" w:rsidR="00D83C05" w:rsidRPr="00931DCE" w:rsidRDefault="00D83C05" w:rsidP="00AA54A5">
          <w:pPr>
            <w:pStyle w:val="Ttulo3"/>
            <w:numPr>
              <w:ilvl w:val="2"/>
              <w:numId w:val="3"/>
            </w:numPr>
            <w:tabs>
              <w:tab w:val="left" w:pos="851"/>
            </w:tabs>
            <w:spacing w:line="240" w:lineRule="auto"/>
            <w:ind w:left="709" w:hanging="709"/>
            <w:rPr>
              <w:rFonts w:cs="Times New Roman"/>
              <w:color w:val="1F3864" w:themeColor="accent1" w:themeShade="80"/>
            </w:rPr>
          </w:pPr>
          <w:bookmarkStart w:id="69" w:name="_Toc159952405"/>
          <w:r w:rsidRPr="00931DCE">
            <w:rPr>
              <w:rFonts w:cs="Times New Roman"/>
              <w:color w:val="1F3864" w:themeColor="accent1" w:themeShade="80"/>
            </w:rPr>
            <w:t>Otras cuentas por pagar</w:t>
          </w:r>
          <w:bookmarkEnd w:id="69"/>
        </w:p>
        <w:p w14:paraId="68C61F1B" w14:textId="77777777" w:rsidR="00600A32" w:rsidRPr="00931DCE" w:rsidRDefault="00600A32" w:rsidP="00D83C05">
          <w:pPr>
            <w:spacing w:after="0" w:line="240" w:lineRule="auto"/>
            <w:rPr>
              <w:rFonts w:ascii="Times New Roman" w:hAnsi="Times New Roman"/>
              <w:sz w:val="24"/>
              <w:szCs w:val="24"/>
            </w:rPr>
          </w:pPr>
        </w:p>
        <w:p w14:paraId="2C58F4EE" w14:textId="59D0CB52" w:rsidR="008D7204" w:rsidRPr="00931DCE" w:rsidRDefault="008D7204" w:rsidP="004A000E">
          <w:pPr>
            <w:spacing w:after="0" w:line="240" w:lineRule="auto"/>
            <w:jc w:val="both"/>
            <w:rPr>
              <w:rFonts w:ascii="Times New Roman" w:hAnsi="Times New Roman"/>
              <w:sz w:val="24"/>
              <w:szCs w:val="24"/>
            </w:rPr>
          </w:pPr>
          <w:r w:rsidRPr="00931DCE">
            <w:rPr>
              <w:rFonts w:ascii="Times New Roman" w:hAnsi="Times New Roman"/>
              <w:sz w:val="24"/>
              <w:szCs w:val="24"/>
            </w:rPr>
            <w:t>En otras cuentas por pagar se reflejan los siguientes conceptos</w:t>
          </w:r>
          <w:r w:rsidR="00070C05" w:rsidRPr="00931DCE">
            <w:rPr>
              <w:rFonts w:ascii="Times New Roman" w:hAnsi="Times New Roman"/>
              <w:sz w:val="24"/>
              <w:szCs w:val="24"/>
            </w:rPr>
            <w:t>:</w:t>
          </w:r>
        </w:p>
        <w:p w14:paraId="43043D05" w14:textId="77777777" w:rsidR="00EB19D1" w:rsidRDefault="00EB19D1" w:rsidP="004A000E">
          <w:pPr>
            <w:spacing w:after="0" w:line="240" w:lineRule="auto"/>
            <w:jc w:val="both"/>
            <w:rPr>
              <w:rFonts w:ascii="Times New Roman" w:hAnsi="Times New Roman"/>
              <w:sz w:val="24"/>
              <w:szCs w:val="24"/>
            </w:rPr>
          </w:pPr>
        </w:p>
        <w:tbl>
          <w:tblPr>
            <w:tblW w:w="493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CellMar>
              <w:left w:w="70" w:type="dxa"/>
              <w:right w:w="70" w:type="dxa"/>
            </w:tblCellMar>
            <w:tblLook w:val="04A0" w:firstRow="1" w:lastRow="0" w:firstColumn="1" w:lastColumn="0" w:noHBand="0" w:noVBand="1"/>
          </w:tblPr>
          <w:tblGrid>
            <w:gridCol w:w="2483"/>
            <w:gridCol w:w="858"/>
            <w:gridCol w:w="1003"/>
            <w:gridCol w:w="1237"/>
            <w:gridCol w:w="807"/>
            <w:gridCol w:w="860"/>
            <w:gridCol w:w="758"/>
            <w:gridCol w:w="843"/>
          </w:tblGrid>
          <w:tr w:rsidR="00761342" w:rsidRPr="00761342" w14:paraId="2E86DD79" w14:textId="77777777" w:rsidTr="00D94FC9">
            <w:trPr>
              <w:trHeight w:val="340"/>
              <w:tblHeader/>
            </w:trPr>
            <w:tc>
              <w:tcPr>
                <w:tcW w:w="3124" w:type="pct"/>
                <w:gridSpan w:val="4"/>
                <w:vMerge w:val="restart"/>
                <w:shd w:val="clear" w:color="auto" w:fill="auto"/>
                <w:vAlign w:val="center"/>
                <w:hideMark/>
              </w:tcPr>
              <w:p w14:paraId="6611476E" w14:textId="77777777" w:rsidR="00761342" w:rsidRPr="009A46BB" w:rsidRDefault="00761342" w:rsidP="00761342">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ASOCIACIÓN DE DATOS</w:t>
                </w:r>
              </w:p>
            </w:tc>
            <w:tc>
              <w:tcPr>
                <w:tcW w:w="1876" w:type="pct"/>
                <w:gridSpan w:val="4"/>
                <w:shd w:val="clear" w:color="auto" w:fill="auto"/>
                <w:vAlign w:val="center"/>
                <w:hideMark/>
              </w:tcPr>
              <w:p w14:paraId="3FEE2825" w14:textId="77777777" w:rsidR="00761342" w:rsidRPr="009A46BB" w:rsidRDefault="00761342" w:rsidP="00761342">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DETALLES DE LA TRANSACCIÓN</w:t>
                </w:r>
                <w:r w:rsidRPr="009A46BB">
                  <w:rPr>
                    <w:rFonts w:ascii="Times New Roman" w:eastAsia="Times New Roman" w:hAnsi="Times New Roman"/>
                    <w:b/>
                    <w:sz w:val="16"/>
                    <w:szCs w:val="16"/>
                    <w:lang w:eastAsia="es-CO"/>
                  </w:rPr>
                  <w:br/>
                  <w:t>(reporte agrupado por datos comunes de asociación)</w:t>
                </w:r>
              </w:p>
            </w:tc>
          </w:tr>
          <w:tr w:rsidR="00761342" w:rsidRPr="00761342" w14:paraId="692D5B66" w14:textId="77777777" w:rsidTr="00D94FC9">
            <w:trPr>
              <w:trHeight w:val="340"/>
              <w:tblHeader/>
            </w:trPr>
            <w:tc>
              <w:tcPr>
                <w:tcW w:w="3124" w:type="pct"/>
                <w:gridSpan w:val="4"/>
                <w:vMerge/>
                <w:vAlign w:val="center"/>
                <w:hideMark/>
              </w:tcPr>
              <w:p w14:paraId="06EB301F" w14:textId="77777777" w:rsidR="00761342" w:rsidRPr="009A46BB" w:rsidRDefault="00761342" w:rsidP="00761342">
                <w:pPr>
                  <w:spacing w:after="0" w:line="240" w:lineRule="auto"/>
                  <w:rPr>
                    <w:rFonts w:ascii="Times New Roman" w:eastAsia="Times New Roman" w:hAnsi="Times New Roman"/>
                    <w:b/>
                    <w:sz w:val="16"/>
                    <w:szCs w:val="16"/>
                    <w:lang w:eastAsia="es-CO"/>
                  </w:rPr>
                </w:pPr>
              </w:p>
            </w:tc>
            <w:tc>
              <w:tcPr>
                <w:tcW w:w="942" w:type="pct"/>
                <w:gridSpan w:val="2"/>
                <w:shd w:val="clear" w:color="auto" w:fill="auto"/>
                <w:vAlign w:val="center"/>
                <w:hideMark/>
              </w:tcPr>
              <w:p w14:paraId="07A1BB7B" w14:textId="77777777" w:rsidR="00761342" w:rsidRPr="009A46BB" w:rsidRDefault="00761342" w:rsidP="00761342">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PLAZO</w:t>
                </w:r>
                <w:r w:rsidRPr="009A46BB">
                  <w:rPr>
                    <w:rFonts w:ascii="Times New Roman" w:eastAsia="Times New Roman" w:hAnsi="Times New Roman"/>
                    <w:b/>
                    <w:sz w:val="16"/>
                    <w:szCs w:val="16"/>
                    <w:lang w:eastAsia="es-CO"/>
                  </w:rPr>
                  <w:br/>
                  <w:t>(rango en # meses)</w:t>
                </w:r>
              </w:p>
            </w:tc>
            <w:tc>
              <w:tcPr>
                <w:tcW w:w="458" w:type="pct"/>
                <w:vMerge w:val="restart"/>
                <w:shd w:val="clear" w:color="auto" w:fill="auto"/>
                <w:textDirection w:val="btLr"/>
                <w:vAlign w:val="center"/>
                <w:hideMark/>
              </w:tcPr>
              <w:p w14:paraId="62A20339" w14:textId="77777777" w:rsidR="00761342" w:rsidRPr="009A46BB" w:rsidRDefault="00761342" w:rsidP="009832CF">
                <w:pPr>
                  <w:spacing w:after="0" w:line="240" w:lineRule="auto"/>
                  <w:ind w:left="113" w:right="113"/>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RESTRICCIONES</w:t>
                </w:r>
              </w:p>
            </w:tc>
            <w:tc>
              <w:tcPr>
                <w:tcW w:w="476" w:type="pct"/>
                <w:vMerge w:val="restart"/>
                <w:shd w:val="clear" w:color="auto" w:fill="auto"/>
                <w:vAlign w:val="center"/>
                <w:hideMark/>
              </w:tcPr>
              <w:p w14:paraId="7C627B9E" w14:textId="77777777" w:rsidR="00761342" w:rsidRPr="009A46BB" w:rsidRDefault="00761342" w:rsidP="00761342">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TASA DE INTERES</w:t>
                </w:r>
                <w:r w:rsidRPr="009A46BB">
                  <w:rPr>
                    <w:rFonts w:ascii="Times New Roman" w:eastAsia="Times New Roman" w:hAnsi="Times New Roman"/>
                    <w:b/>
                    <w:sz w:val="16"/>
                    <w:szCs w:val="16"/>
                    <w:lang w:eastAsia="es-CO"/>
                  </w:rPr>
                  <w:br/>
                  <w:t>(%)</w:t>
                </w:r>
              </w:p>
            </w:tc>
          </w:tr>
          <w:tr w:rsidR="00761342" w:rsidRPr="00761342" w14:paraId="0AFE1A11" w14:textId="77777777" w:rsidTr="00D94FC9">
            <w:trPr>
              <w:trHeight w:val="340"/>
              <w:tblHeader/>
            </w:trPr>
            <w:tc>
              <w:tcPr>
                <w:tcW w:w="1279" w:type="pct"/>
                <w:shd w:val="clear" w:color="auto" w:fill="auto"/>
                <w:vAlign w:val="center"/>
                <w:hideMark/>
              </w:tcPr>
              <w:p w14:paraId="0C1853C4" w14:textId="77777777" w:rsidR="00761342" w:rsidRPr="009A46BB" w:rsidRDefault="00761342" w:rsidP="00761342">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TIPO DE TERCEROS</w:t>
                </w:r>
              </w:p>
            </w:tc>
            <w:tc>
              <w:tcPr>
                <w:tcW w:w="532" w:type="pct"/>
                <w:shd w:val="clear" w:color="auto" w:fill="auto"/>
                <w:vAlign w:val="center"/>
                <w:hideMark/>
              </w:tcPr>
              <w:p w14:paraId="1C523569" w14:textId="77777777" w:rsidR="00761342" w:rsidRPr="009A46BB" w:rsidRDefault="00761342" w:rsidP="00761342">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PN / PJ / ECP</w:t>
                </w:r>
              </w:p>
            </w:tc>
            <w:tc>
              <w:tcPr>
                <w:tcW w:w="567" w:type="pct"/>
                <w:shd w:val="clear" w:color="auto" w:fill="auto"/>
                <w:vAlign w:val="center"/>
                <w:hideMark/>
              </w:tcPr>
              <w:p w14:paraId="18D7C142" w14:textId="77777777" w:rsidR="00761342" w:rsidRPr="009A46BB" w:rsidRDefault="00761342" w:rsidP="00761342">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CANTIDAD</w:t>
                </w:r>
              </w:p>
            </w:tc>
            <w:tc>
              <w:tcPr>
                <w:tcW w:w="746" w:type="pct"/>
                <w:shd w:val="clear" w:color="auto" w:fill="auto"/>
                <w:vAlign w:val="center"/>
                <w:hideMark/>
              </w:tcPr>
              <w:p w14:paraId="281DB8BA" w14:textId="77777777" w:rsidR="00761342" w:rsidRPr="009A46BB" w:rsidRDefault="00761342" w:rsidP="00761342">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VALOR EN LIBROS</w:t>
                </w:r>
              </w:p>
            </w:tc>
            <w:tc>
              <w:tcPr>
                <w:tcW w:w="456" w:type="pct"/>
                <w:shd w:val="clear" w:color="auto" w:fill="auto"/>
                <w:vAlign w:val="center"/>
                <w:hideMark/>
              </w:tcPr>
              <w:p w14:paraId="17447072" w14:textId="77777777" w:rsidR="00761342" w:rsidRPr="009A46BB" w:rsidRDefault="00761342" w:rsidP="00761342">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MÍNIMO</w:t>
                </w:r>
              </w:p>
            </w:tc>
            <w:tc>
              <w:tcPr>
                <w:tcW w:w="486" w:type="pct"/>
                <w:shd w:val="clear" w:color="auto" w:fill="auto"/>
                <w:vAlign w:val="center"/>
                <w:hideMark/>
              </w:tcPr>
              <w:p w14:paraId="379A73B8" w14:textId="77777777" w:rsidR="00761342" w:rsidRPr="009A46BB" w:rsidRDefault="00761342" w:rsidP="00761342">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MÁXIMO</w:t>
                </w:r>
              </w:p>
            </w:tc>
            <w:tc>
              <w:tcPr>
                <w:tcW w:w="458" w:type="pct"/>
                <w:vMerge/>
                <w:vAlign w:val="center"/>
                <w:hideMark/>
              </w:tcPr>
              <w:p w14:paraId="3B563D6D" w14:textId="77777777" w:rsidR="00761342" w:rsidRPr="009A46BB" w:rsidRDefault="00761342" w:rsidP="00761342">
                <w:pPr>
                  <w:spacing w:after="0" w:line="240" w:lineRule="auto"/>
                  <w:rPr>
                    <w:rFonts w:ascii="Times New Roman" w:eastAsia="Times New Roman" w:hAnsi="Times New Roman"/>
                    <w:b/>
                    <w:sz w:val="16"/>
                    <w:szCs w:val="16"/>
                    <w:lang w:eastAsia="es-CO"/>
                  </w:rPr>
                </w:pPr>
              </w:p>
            </w:tc>
            <w:tc>
              <w:tcPr>
                <w:tcW w:w="476" w:type="pct"/>
                <w:vMerge/>
                <w:vAlign w:val="center"/>
                <w:hideMark/>
              </w:tcPr>
              <w:p w14:paraId="767F416E" w14:textId="77777777" w:rsidR="00761342" w:rsidRPr="009A46BB" w:rsidRDefault="00761342" w:rsidP="00761342">
                <w:pPr>
                  <w:spacing w:after="0" w:line="240" w:lineRule="auto"/>
                  <w:rPr>
                    <w:rFonts w:ascii="Times New Roman" w:eastAsia="Times New Roman" w:hAnsi="Times New Roman"/>
                    <w:b/>
                    <w:sz w:val="16"/>
                    <w:szCs w:val="16"/>
                    <w:lang w:eastAsia="es-CO"/>
                  </w:rPr>
                </w:pPr>
              </w:p>
            </w:tc>
          </w:tr>
          <w:tr w:rsidR="00761342" w:rsidRPr="00761342" w14:paraId="001A09B1" w14:textId="77777777" w:rsidTr="005D15F4">
            <w:trPr>
              <w:trHeight w:val="340"/>
            </w:trPr>
            <w:tc>
              <w:tcPr>
                <w:tcW w:w="1279" w:type="pct"/>
                <w:shd w:val="clear" w:color="auto" w:fill="auto"/>
                <w:noWrap/>
                <w:vAlign w:val="center"/>
                <w:hideMark/>
              </w:tcPr>
              <w:p w14:paraId="513AB074" w14:textId="77777777" w:rsidR="00761342" w:rsidRPr="009A46BB" w:rsidRDefault="00761342" w:rsidP="00761342">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OTRAS CUENTAS POR PAGAR</w:t>
                </w:r>
              </w:p>
            </w:tc>
            <w:tc>
              <w:tcPr>
                <w:tcW w:w="532" w:type="pct"/>
                <w:shd w:val="clear" w:color="auto" w:fill="auto"/>
                <w:noWrap/>
                <w:vAlign w:val="center"/>
                <w:hideMark/>
              </w:tcPr>
              <w:p w14:paraId="53902768" w14:textId="77777777" w:rsidR="00761342" w:rsidRPr="009A46BB" w:rsidRDefault="00761342" w:rsidP="00761342">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567" w:type="pct"/>
                <w:shd w:val="clear" w:color="auto" w:fill="auto"/>
                <w:noWrap/>
                <w:vAlign w:val="center"/>
                <w:hideMark/>
              </w:tcPr>
              <w:p w14:paraId="5C44B5BE" w14:textId="77777777" w:rsidR="00761342" w:rsidRPr="009A46BB" w:rsidRDefault="00761342" w:rsidP="00761342">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746" w:type="pct"/>
                <w:shd w:val="clear" w:color="auto" w:fill="auto"/>
                <w:noWrap/>
                <w:vAlign w:val="center"/>
                <w:hideMark/>
              </w:tcPr>
              <w:p w14:paraId="52FD289E" w14:textId="77777777" w:rsidR="00761342" w:rsidRPr="009A46BB" w:rsidRDefault="00761342" w:rsidP="00761342">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850.567.636 </w:t>
                </w:r>
              </w:p>
            </w:tc>
            <w:tc>
              <w:tcPr>
                <w:tcW w:w="456" w:type="pct"/>
                <w:shd w:val="clear" w:color="auto" w:fill="auto"/>
                <w:noWrap/>
                <w:vAlign w:val="center"/>
                <w:hideMark/>
              </w:tcPr>
              <w:p w14:paraId="550C1322" w14:textId="77777777" w:rsidR="00761342" w:rsidRPr="009A46BB" w:rsidRDefault="00761342" w:rsidP="00761342">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486" w:type="pct"/>
                <w:shd w:val="clear" w:color="auto" w:fill="auto"/>
                <w:noWrap/>
                <w:vAlign w:val="center"/>
                <w:hideMark/>
              </w:tcPr>
              <w:p w14:paraId="4B46E21B" w14:textId="77777777" w:rsidR="00761342" w:rsidRPr="009A46BB" w:rsidRDefault="00761342" w:rsidP="00761342">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458" w:type="pct"/>
                <w:shd w:val="clear" w:color="auto" w:fill="auto"/>
                <w:noWrap/>
                <w:vAlign w:val="center"/>
                <w:hideMark/>
              </w:tcPr>
              <w:p w14:paraId="795D0F14" w14:textId="77777777" w:rsidR="00761342" w:rsidRPr="009A46BB" w:rsidRDefault="00761342" w:rsidP="00761342">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476" w:type="pct"/>
                <w:shd w:val="clear" w:color="auto" w:fill="auto"/>
                <w:noWrap/>
                <w:vAlign w:val="center"/>
                <w:hideMark/>
              </w:tcPr>
              <w:p w14:paraId="02187A57" w14:textId="77777777" w:rsidR="00761342" w:rsidRPr="009A46BB" w:rsidRDefault="00761342" w:rsidP="00761342">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0,0 </w:t>
                </w:r>
              </w:p>
            </w:tc>
          </w:tr>
          <w:tr w:rsidR="00761342" w:rsidRPr="00761342" w14:paraId="10DFC7AE" w14:textId="77777777" w:rsidTr="005D15F4">
            <w:trPr>
              <w:trHeight w:val="340"/>
            </w:trPr>
            <w:tc>
              <w:tcPr>
                <w:tcW w:w="1279" w:type="pct"/>
                <w:shd w:val="clear" w:color="auto" w:fill="auto"/>
                <w:noWrap/>
                <w:vAlign w:val="center"/>
                <w:hideMark/>
              </w:tcPr>
              <w:p w14:paraId="01F2739E" w14:textId="77777777" w:rsidR="00761342" w:rsidRPr="009A46BB" w:rsidRDefault="00761342" w:rsidP="00761342">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Viáticos y gastos de viaje</w:t>
                </w:r>
              </w:p>
            </w:tc>
            <w:tc>
              <w:tcPr>
                <w:tcW w:w="532" w:type="pct"/>
                <w:shd w:val="clear" w:color="auto" w:fill="auto"/>
                <w:noWrap/>
                <w:vAlign w:val="center"/>
                <w:hideMark/>
              </w:tcPr>
              <w:p w14:paraId="4D4A343B" w14:textId="77777777" w:rsidR="00761342" w:rsidRPr="009A46BB" w:rsidRDefault="00761342" w:rsidP="00761342">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567" w:type="pct"/>
                <w:shd w:val="clear" w:color="auto" w:fill="auto"/>
                <w:noWrap/>
                <w:vAlign w:val="center"/>
                <w:hideMark/>
              </w:tcPr>
              <w:p w14:paraId="32C2A219" w14:textId="77777777" w:rsidR="00761342" w:rsidRPr="009A46BB" w:rsidRDefault="00761342" w:rsidP="00761342">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746" w:type="pct"/>
                <w:shd w:val="clear" w:color="auto" w:fill="auto"/>
                <w:noWrap/>
                <w:vAlign w:val="center"/>
                <w:hideMark/>
              </w:tcPr>
              <w:p w14:paraId="6FD155FF" w14:textId="77777777" w:rsidR="00761342" w:rsidRPr="009A46BB" w:rsidRDefault="00761342" w:rsidP="00761342">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535.050 </w:t>
                </w:r>
              </w:p>
            </w:tc>
            <w:tc>
              <w:tcPr>
                <w:tcW w:w="456" w:type="pct"/>
                <w:shd w:val="clear" w:color="auto" w:fill="auto"/>
                <w:noWrap/>
                <w:vAlign w:val="center"/>
                <w:hideMark/>
              </w:tcPr>
              <w:p w14:paraId="4CDD0B53" w14:textId="77777777" w:rsidR="00761342" w:rsidRPr="009A46BB" w:rsidRDefault="00761342" w:rsidP="00761342">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486" w:type="pct"/>
                <w:shd w:val="clear" w:color="auto" w:fill="auto"/>
                <w:noWrap/>
                <w:vAlign w:val="center"/>
                <w:hideMark/>
              </w:tcPr>
              <w:p w14:paraId="57085A60" w14:textId="77777777" w:rsidR="00761342" w:rsidRPr="009A46BB" w:rsidRDefault="00761342" w:rsidP="00761342">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458" w:type="pct"/>
                <w:shd w:val="clear" w:color="auto" w:fill="auto"/>
                <w:noWrap/>
                <w:vAlign w:val="center"/>
                <w:hideMark/>
              </w:tcPr>
              <w:p w14:paraId="767FEBF0" w14:textId="77777777" w:rsidR="00761342" w:rsidRPr="009A46BB" w:rsidRDefault="00761342" w:rsidP="00761342">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476" w:type="pct"/>
                <w:shd w:val="clear" w:color="auto" w:fill="auto"/>
                <w:noWrap/>
                <w:vAlign w:val="center"/>
                <w:hideMark/>
              </w:tcPr>
              <w:p w14:paraId="248B58F0" w14:textId="77777777" w:rsidR="00761342" w:rsidRPr="009A46BB" w:rsidRDefault="00761342" w:rsidP="00761342">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0,0 </w:t>
                </w:r>
              </w:p>
            </w:tc>
          </w:tr>
          <w:tr w:rsidR="00761342" w:rsidRPr="00761342" w14:paraId="37ED04B1" w14:textId="77777777" w:rsidTr="005D15F4">
            <w:trPr>
              <w:trHeight w:val="340"/>
            </w:trPr>
            <w:tc>
              <w:tcPr>
                <w:tcW w:w="1279" w:type="pct"/>
                <w:shd w:val="clear" w:color="auto" w:fill="auto"/>
                <w:vAlign w:val="center"/>
                <w:hideMark/>
              </w:tcPr>
              <w:p w14:paraId="73FC258A" w14:textId="77777777" w:rsidR="00761342" w:rsidRPr="009A46BB" w:rsidRDefault="00761342" w:rsidP="00761342">
                <w:pPr>
                  <w:spacing w:after="0" w:line="240" w:lineRule="auto"/>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Nacionales</w:t>
                </w:r>
              </w:p>
            </w:tc>
            <w:tc>
              <w:tcPr>
                <w:tcW w:w="532" w:type="pct"/>
                <w:shd w:val="clear" w:color="auto" w:fill="auto"/>
                <w:noWrap/>
                <w:vAlign w:val="center"/>
                <w:hideMark/>
              </w:tcPr>
              <w:p w14:paraId="2B391C57" w14:textId="77777777" w:rsidR="00761342" w:rsidRPr="009A46BB" w:rsidRDefault="00761342" w:rsidP="00761342">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PN</w:t>
                </w:r>
              </w:p>
            </w:tc>
            <w:tc>
              <w:tcPr>
                <w:tcW w:w="567" w:type="pct"/>
                <w:shd w:val="clear" w:color="auto" w:fill="auto"/>
                <w:noWrap/>
                <w:vAlign w:val="center"/>
                <w:hideMark/>
              </w:tcPr>
              <w:p w14:paraId="4900FD29" w14:textId="77777777" w:rsidR="00761342" w:rsidRPr="009A46BB" w:rsidRDefault="00761342" w:rsidP="00761342">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2</w:t>
                </w:r>
              </w:p>
            </w:tc>
            <w:tc>
              <w:tcPr>
                <w:tcW w:w="746" w:type="pct"/>
                <w:shd w:val="clear" w:color="auto" w:fill="auto"/>
                <w:noWrap/>
                <w:vAlign w:val="center"/>
                <w:hideMark/>
              </w:tcPr>
              <w:p w14:paraId="45FCF9A4" w14:textId="77777777" w:rsidR="00761342" w:rsidRPr="009A46BB" w:rsidRDefault="00761342" w:rsidP="00761342">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 xml:space="preserve">535.050 </w:t>
                </w:r>
              </w:p>
            </w:tc>
            <w:tc>
              <w:tcPr>
                <w:tcW w:w="456" w:type="pct"/>
                <w:shd w:val="clear" w:color="auto" w:fill="auto"/>
                <w:noWrap/>
                <w:vAlign w:val="center"/>
                <w:hideMark/>
              </w:tcPr>
              <w:p w14:paraId="1501EA10" w14:textId="77777777" w:rsidR="00761342" w:rsidRPr="009A46BB" w:rsidRDefault="00761342" w:rsidP="00761342">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 </w:t>
                </w:r>
              </w:p>
            </w:tc>
            <w:tc>
              <w:tcPr>
                <w:tcW w:w="486" w:type="pct"/>
                <w:shd w:val="clear" w:color="auto" w:fill="auto"/>
                <w:noWrap/>
                <w:vAlign w:val="center"/>
                <w:hideMark/>
              </w:tcPr>
              <w:p w14:paraId="057D275B" w14:textId="77777777" w:rsidR="00761342" w:rsidRPr="009A46BB" w:rsidRDefault="00761342" w:rsidP="00761342">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 </w:t>
                </w:r>
              </w:p>
            </w:tc>
            <w:tc>
              <w:tcPr>
                <w:tcW w:w="458" w:type="pct"/>
                <w:shd w:val="clear" w:color="auto" w:fill="auto"/>
                <w:noWrap/>
                <w:vAlign w:val="center"/>
                <w:hideMark/>
              </w:tcPr>
              <w:p w14:paraId="2D5B82BC" w14:textId="77777777" w:rsidR="00761342" w:rsidRPr="009A46BB" w:rsidRDefault="00761342" w:rsidP="00761342">
                <w:pPr>
                  <w:spacing w:after="0" w:line="240" w:lineRule="auto"/>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 </w:t>
                </w:r>
              </w:p>
            </w:tc>
            <w:tc>
              <w:tcPr>
                <w:tcW w:w="476" w:type="pct"/>
                <w:shd w:val="clear" w:color="auto" w:fill="auto"/>
                <w:noWrap/>
                <w:vAlign w:val="center"/>
                <w:hideMark/>
              </w:tcPr>
              <w:p w14:paraId="2AB33460" w14:textId="77777777" w:rsidR="00761342" w:rsidRPr="009A46BB" w:rsidRDefault="00761342" w:rsidP="00761342">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 </w:t>
                </w:r>
              </w:p>
            </w:tc>
          </w:tr>
          <w:tr w:rsidR="00761342" w:rsidRPr="00761342" w14:paraId="15543C3B" w14:textId="77777777" w:rsidTr="005D15F4">
            <w:trPr>
              <w:trHeight w:val="340"/>
            </w:trPr>
            <w:tc>
              <w:tcPr>
                <w:tcW w:w="1279" w:type="pct"/>
                <w:shd w:val="clear" w:color="auto" w:fill="auto"/>
                <w:noWrap/>
                <w:vAlign w:val="center"/>
                <w:hideMark/>
              </w:tcPr>
              <w:p w14:paraId="1AD9CE86" w14:textId="77777777" w:rsidR="00761342" w:rsidRPr="009A46BB" w:rsidRDefault="00761342" w:rsidP="00761342">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Aportes al icbf y sena</w:t>
                </w:r>
              </w:p>
            </w:tc>
            <w:tc>
              <w:tcPr>
                <w:tcW w:w="532" w:type="pct"/>
                <w:shd w:val="clear" w:color="auto" w:fill="auto"/>
                <w:noWrap/>
                <w:vAlign w:val="center"/>
                <w:hideMark/>
              </w:tcPr>
              <w:p w14:paraId="30D4A473" w14:textId="77777777" w:rsidR="00761342" w:rsidRPr="009A46BB" w:rsidRDefault="00761342" w:rsidP="00761342">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567" w:type="pct"/>
                <w:shd w:val="clear" w:color="auto" w:fill="auto"/>
                <w:noWrap/>
                <w:vAlign w:val="center"/>
                <w:hideMark/>
              </w:tcPr>
              <w:p w14:paraId="68B5AB56" w14:textId="77777777" w:rsidR="00761342" w:rsidRPr="009A46BB" w:rsidRDefault="00761342" w:rsidP="00761342">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746" w:type="pct"/>
                <w:shd w:val="clear" w:color="auto" w:fill="auto"/>
                <w:noWrap/>
                <w:vAlign w:val="center"/>
                <w:hideMark/>
              </w:tcPr>
              <w:p w14:paraId="1C7B0119" w14:textId="77777777" w:rsidR="00761342" w:rsidRPr="009A46BB" w:rsidRDefault="00761342" w:rsidP="00761342">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8.154.600 </w:t>
                </w:r>
              </w:p>
            </w:tc>
            <w:tc>
              <w:tcPr>
                <w:tcW w:w="456" w:type="pct"/>
                <w:shd w:val="clear" w:color="auto" w:fill="auto"/>
                <w:noWrap/>
                <w:vAlign w:val="center"/>
                <w:hideMark/>
              </w:tcPr>
              <w:p w14:paraId="35E5E36A" w14:textId="77777777" w:rsidR="00761342" w:rsidRPr="009A46BB" w:rsidRDefault="00761342" w:rsidP="00761342">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486" w:type="pct"/>
                <w:shd w:val="clear" w:color="auto" w:fill="auto"/>
                <w:noWrap/>
                <w:vAlign w:val="center"/>
                <w:hideMark/>
              </w:tcPr>
              <w:p w14:paraId="4F523059" w14:textId="77777777" w:rsidR="00761342" w:rsidRPr="009A46BB" w:rsidRDefault="00761342" w:rsidP="00761342">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458" w:type="pct"/>
                <w:shd w:val="clear" w:color="auto" w:fill="auto"/>
                <w:noWrap/>
                <w:vAlign w:val="center"/>
                <w:hideMark/>
              </w:tcPr>
              <w:p w14:paraId="1F15B42E" w14:textId="77777777" w:rsidR="00761342" w:rsidRPr="009A46BB" w:rsidRDefault="00761342" w:rsidP="00761342">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476" w:type="pct"/>
                <w:shd w:val="clear" w:color="auto" w:fill="auto"/>
                <w:noWrap/>
                <w:vAlign w:val="center"/>
                <w:hideMark/>
              </w:tcPr>
              <w:p w14:paraId="1EAE0721" w14:textId="77777777" w:rsidR="00761342" w:rsidRPr="009A46BB" w:rsidRDefault="00761342" w:rsidP="00761342">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0,0 </w:t>
                </w:r>
              </w:p>
            </w:tc>
          </w:tr>
          <w:tr w:rsidR="00761342" w:rsidRPr="00761342" w14:paraId="71BCC783" w14:textId="77777777" w:rsidTr="005D15F4">
            <w:trPr>
              <w:trHeight w:val="340"/>
            </w:trPr>
            <w:tc>
              <w:tcPr>
                <w:tcW w:w="1279" w:type="pct"/>
                <w:shd w:val="clear" w:color="auto" w:fill="auto"/>
                <w:vAlign w:val="center"/>
                <w:hideMark/>
              </w:tcPr>
              <w:p w14:paraId="5B976299" w14:textId="77777777" w:rsidR="00761342" w:rsidRPr="009A46BB" w:rsidRDefault="00761342" w:rsidP="00761342">
                <w:pPr>
                  <w:spacing w:after="0" w:line="240" w:lineRule="auto"/>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Nacionales</w:t>
                </w:r>
              </w:p>
            </w:tc>
            <w:tc>
              <w:tcPr>
                <w:tcW w:w="532" w:type="pct"/>
                <w:shd w:val="clear" w:color="auto" w:fill="auto"/>
                <w:noWrap/>
                <w:vAlign w:val="center"/>
                <w:hideMark/>
              </w:tcPr>
              <w:p w14:paraId="59AE6624" w14:textId="77777777" w:rsidR="00761342" w:rsidRPr="009A46BB" w:rsidRDefault="00761342" w:rsidP="00761342">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PJ</w:t>
                </w:r>
              </w:p>
            </w:tc>
            <w:tc>
              <w:tcPr>
                <w:tcW w:w="567" w:type="pct"/>
                <w:shd w:val="clear" w:color="auto" w:fill="auto"/>
                <w:noWrap/>
                <w:vAlign w:val="center"/>
                <w:hideMark/>
              </w:tcPr>
              <w:p w14:paraId="129155C3" w14:textId="77777777" w:rsidR="00761342" w:rsidRPr="009A46BB" w:rsidRDefault="00761342" w:rsidP="00761342">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2</w:t>
                </w:r>
              </w:p>
            </w:tc>
            <w:tc>
              <w:tcPr>
                <w:tcW w:w="746" w:type="pct"/>
                <w:shd w:val="clear" w:color="auto" w:fill="auto"/>
                <w:noWrap/>
                <w:vAlign w:val="center"/>
                <w:hideMark/>
              </w:tcPr>
              <w:p w14:paraId="6C93D5C8" w14:textId="77777777" w:rsidR="00761342" w:rsidRPr="009A46BB" w:rsidRDefault="00761342" w:rsidP="00761342">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 xml:space="preserve">8.154.600 </w:t>
                </w:r>
              </w:p>
            </w:tc>
            <w:tc>
              <w:tcPr>
                <w:tcW w:w="456" w:type="pct"/>
                <w:shd w:val="clear" w:color="auto" w:fill="auto"/>
                <w:noWrap/>
                <w:vAlign w:val="center"/>
                <w:hideMark/>
              </w:tcPr>
              <w:p w14:paraId="7E7D3F7B" w14:textId="77777777" w:rsidR="00761342" w:rsidRPr="009A46BB" w:rsidRDefault="00761342" w:rsidP="00761342">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0</w:t>
                </w:r>
              </w:p>
            </w:tc>
            <w:tc>
              <w:tcPr>
                <w:tcW w:w="486" w:type="pct"/>
                <w:shd w:val="clear" w:color="auto" w:fill="auto"/>
                <w:noWrap/>
                <w:vAlign w:val="center"/>
                <w:hideMark/>
              </w:tcPr>
              <w:p w14:paraId="25F94C31" w14:textId="77777777" w:rsidR="00761342" w:rsidRPr="009A46BB" w:rsidRDefault="00761342" w:rsidP="00761342">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w:t>
                </w:r>
              </w:p>
            </w:tc>
            <w:tc>
              <w:tcPr>
                <w:tcW w:w="458" w:type="pct"/>
                <w:shd w:val="clear" w:color="auto" w:fill="auto"/>
                <w:noWrap/>
                <w:vAlign w:val="center"/>
                <w:hideMark/>
              </w:tcPr>
              <w:p w14:paraId="67ECCD0A" w14:textId="77777777" w:rsidR="00761342" w:rsidRPr="009A46BB" w:rsidRDefault="00761342" w:rsidP="00761342">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No aplica</w:t>
                </w:r>
              </w:p>
            </w:tc>
            <w:tc>
              <w:tcPr>
                <w:tcW w:w="476" w:type="pct"/>
                <w:shd w:val="clear" w:color="auto" w:fill="auto"/>
                <w:noWrap/>
                <w:vAlign w:val="center"/>
                <w:hideMark/>
              </w:tcPr>
              <w:p w14:paraId="0282DF4A" w14:textId="77777777" w:rsidR="00761342" w:rsidRPr="009A46BB" w:rsidRDefault="00761342" w:rsidP="00761342">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0</w:t>
                </w:r>
              </w:p>
            </w:tc>
          </w:tr>
          <w:tr w:rsidR="00761342" w:rsidRPr="00761342" w14:paraId="4A8FFCE4" w14:textId="77777777" w:rsidTr="005D15F4">
            <w:trPr>
              <w:trHeight w:val="340"/>
            </w:trPr>
            <w:tc>
              <w:tcPr>
                <w:tcW w:w="1279" w:type="pct"/>
                <w:shd w:val="clear" w:color="auto" w:fill="auto"/>
                <w:noWrap/>
                <w:vAlign w:val="center"/>
                <w:hideMark/>
              </w:tcPr>
              <w:p w14:paraId="723EDE2E" w14:textId="77777777" w:rsidR="00761342" w:rsidRPr="009A46BB" w:rsidRDefault="00761342" w:rsidP="00761342">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Honorarios</w:t>
                </w:r>
              </w:p>
            </w:tc>
            <w:tc>
              <w:tcPr>
                <w:tcW w:w="532" w:type="pct"/>
                <w:shd w:val="clear" w:color="auto" w:fill="auto"/>
                <w:noWrap/>
                <w:vAlign w:val="center"/>
                <w:hideMark/>
              </w:tcPr>
              <w:p w14:paraId="70DE89B6" w14:textId="77777777" w:rsidR="00761342" w:rsidRPr="009A46BB" w:rsidRDefault="00761342" w:rsidP="00761342">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567" w:type="pct"/>
                <w:shd w:val="clear" w:color="auto" w:fill="auto"/>
                <w:noWrap/>
                <w:vAlign w:val="center"/>
                <w:hideMark/>
              </w:tcPr>
              <w:p w14:paraId="245606D3" w14:textId="77777777" w:rsidR="00761342" w:rsidRPr="009A46BB" w:rsidRDefault="00761342" w:rsidP="00761342">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746" w:type="pct"/>
                <w:shd w:val="clear" w:color="auto" w:fill="auto"/>
                <w:noWrap/>
                <w:vAlign w:val="center"/>
                <w:hideMark/>
              </w:tcPr>
              <w:p w14:paraId="1350A24C" w14:textId="77777777" w:rsidR="00761342" w:rsidRPr="009A46BB" w:rsidRDefault="00761342" w:rsidP="00761342">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164.918.763 </w:t>
                </w:r>
              </w:p>
            </w:tc>
            <w:tc>
              <w:tcPr>
                <w:tcW w:w="456" w:type="pct"/>
                <w:shd w:val="clear" w:color="auto" w:fill="auto"/>
                <w:noWrap/>
                <w:vAlign w:val="center"/>
                <w:hideMark/>
              </w:tcPr>
              <w:p w14:paraId="176F08B1" w14:textId="77777777" w:rsidR="00761342" w:rsidRPr="009A46BB" w:rsidRDefault="00761342" w:rsidP="00761342">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486" w:type="pct"/>
                <w:shd w:val="clear" w:color="auto" w:fill="auto"/>
                <w:noWrap/>
                <w:vAlign w:val="center"/>
                <w:hideMark/>
              </w:tcPr>
              <w:p w14:paraId="19AD21EE" w14:textId="77777777" w:rsidR="00761342" w:rsidRPr="009A46BB" w:rsidRDefault="00761342" w:rsidP="00761342">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458" w:type="pct"/>
                <w:shd w:val="clear" w:color="auto" w:fill="auto"/>
                <w:noWrap/>
                <w:vAlign w:val="center"/>
                <w:hideMark/>
              </w:tcPr>
              <w:p w14:paraId="21FB60B5" w14:textId="77777777" w:rsidR="00761342" w:rsidRPr="009A46BB" w:rsidRDefault="00761342" w:rsidP="00761342">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476" w:type="pct"/>
                <w:shd w:val="clear" w:color="auto" w:fill="auto"/>
                <w:noWrap/>
                <w:vAlign w:val="center"/>
                <w:hideMark/>
              </w:tcPr>
              <w:p w14:paraId="43B9D0E7" w14:textId="77777777" w:rsidR="00761342" w:rsidRPr="009A46BB" w:rsidRDefault="00761342" w:rsidP="00761342">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0,0 </w:t>
                </w:r>
              </w:p>
            </w:tc>
          </w:tr>
          <w:tr w:rsidR="00761342" w:rsidRPr="00761342" w14:paraId="31A62C35" w14:textId="77777777" w:rsidTr="005D15F4">
            <w:trPr>
              <w:trHeight w:val="340"/>
            </w:trPr>
            <w:tc>
              <w:tcPr>
                <w:tcW w:w="1279" w:type="pct"/>
                <w:shd w:val="clear" w:color="auto" w:fill="auto"/>
                <w:vAlign w:val="center"/>
                <w:hideMark/>
              </w:tcPr>
              <w:p w14:paraId="10E5A1E7" w14:textId="77777777" w:rsidR="00761342" w:rsidRPr="009A46BB" w:rsidRDefault="00761342" w:rsidP="00761342">
                <w:pPr>
                  <w:spacing w:after="0" w:line="240" w:lineRule="auto"/>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lastRenderedPageBreak/>
                  <w:t>Nacionales</w:t>
                </w:r>
              </w:p>
            </w:tc>
            <w:tc>
              <w:tcPr>
                <w:tcW w:w="532" w:type="pct"/>
                <w:shd w:val="clear" w:color="auto" w:fill="auto"/>
                <w:noWrap/>
                <w:vAlign w:val="center"/>
                <w:hideMark/>
              </w:tcPr>
              <w:p w14:paraId="5480E40C" w14:textId="77777777" w:rsidR="00761342" w:rsidRPr="009A46BB" w:rsidRDefault="00761342" w:rsidP="00761342">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PN</w:t>
                </w:r>
              </w:p>
            </w:tc>
            <w:tc>
              <w:tcPr>
                <w:tcW w:w="567" w:type="pct"/>
                <w:shd w:val="clear" w:color="auto" w:fill="auto"/>
                <w:noWrap/>
                <w:vAlign w:val="center"/>
                <w:hideMark/>
              </w:tcPr>
              <w:p w14:paraId="6FB984FC" w14:textId="77777777" w:rsidR="00761342" w:rsidRPr="009A46BB" w:rsidRDefault="00761342" w:rsidP="00761342">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w:t>
                </w:r>
              </w:p>
            </w:tc>
            <w:tc>
              <w:tcPr>
                <w:tcW w:w="746" w:type="pct"/>
                <w:shd w:val="clear" w:color="auto" w:fill="auto"/>
                <w:noWrap/>
                <w:vAlign w:val="center"/>
                <w:hideMark/>
              </w:tcPr>
              <w:p w14:paraId="3B2FB594" w14:textId="77777777" w:rsidR="00761342" w:rsidRPr="009A46BB" w:rsidRDefault="00761342" w:rsidP="00761342">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 xml:space="preserve">22.447.540 </w:t>
                </w:r>
              </w:p>
            </w:tc>
            <w:tc>
              <w:tcPr>
                <w:tcW w:w="456" w:type="pct"/>
                <w:shd w:val="clear" w:color="auto" w:fill="auto"/>
                <w:noWrap/>
                <w:vAlign w:val="center"/>
                <w:hideMark/>
              </w:tcPr>
              <w:p w14:paraId="3055B653" w14:textId="77777777" w:rsidR="00761342" w:rsidRPr="009A46BB" w:rsidRDefault="00761342" w:rsidP="00761342">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0</w:t>
                </w:r>
              </w:p>
            </w:tc>
            <w:tc>
              <w:tcPr>
                <w:tcW w:w="486" w:type="pct"/>
                <w:shd w:val="clear" w:color="auto" w:fill="auto"/>
                <w:noWrap/>
                <w:vAlign w:val="center"/>
                <w:hideMark/>
              </w:tcPr>
              <w:p w14:paraId="63405389" w14:textId="77777777" w:rsidR="00761342" w:rsidRPr="009A46BB" w:rsidRDefault="00761342" w:rsidP="00761342">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w:t>
                </w:r>
              </w:p>
            </w:tc>
            <w:tc>
              <w:tcPr>
                <w:tcW w:w="458" w:type="pct"/>
                <w:shd w:val="clear" w:color="auto" w:fill="auto"/>
                <w:noWrap/>
                <w:vAlign w:val="center"/>
                <w:hideMark/>
              </w:tcPr>
              <w:p w14:paraId="35D19041" w14:textId="77777777" w:rsidR="00761342" w:rsidRPr="009A46BB" w:rsidRDefault="00761342" w:rsidP="00761342">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No aplica</w:t>
                </w:r>
              </w:p>
            </w:tc>
            <w:tc>
              <w:tcPr>
                <w:tcW w:w="476" w:type="pct"/>
                <w:shd w:val="clear" w:color="auto" w:fill="auto"/>
                <w:noWrap/>
                <w:vAlign w:val="center"/>
                <w:hideMark/>
              </w:tcPr>
              <w:p w14:paraId="4397CD27" w14:textId="77777777" w:rsidR="00761342" w:rsidRPr="009A46BB" w:rsidRDefault="00761342" w:rsidP="00761342">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0</w:t>
                </w:r>
              </w:p>
            </w:tc>
          </w:tr>
          <w:tr w:rsidR="00761342" w:rsidRPr="00761342" w14:paraId="66B5ECAA" w14:textId="77777777" w:rsidTr="005D15F4">
            <w:trPr>
              <w:trHeight w:val="340"/>
            </w:trPr>
            <w:tc>
              <w:tcPr>
                <w:tcW w:w="1279" w:type="pct"/>
                <w:shd w:val="clear" w:color="auto" w:fill="auto"/>
                <w:vAlign w:val="center"/>
                <w:hideMark/>
              </w:tcPr>
              <w:p w14:paraId="4EFABB54" w14:textId="77777777" w:rsidR="00761342" w:rsidRPr="009A46BB" w:rsidRDefault="00761342" w:rsidP="00761342">
                <w:pPr>
                  <w:spacing w:after="0" w:line="240" w:lineRule="auto"/>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Nacionales</w:t>
                </w:r>
              </w:p>
            </w:tc>
            <w:tc>
              <w:tcPr>
                <w:tcW w:w="532" w:type="pct"/>
                <w:shd w:val="clear" w:color="auto" w:fill="auto"/>
                <w:noWrap/>
                <w:vAlign w:val="center"/>
                <w:hideMark/>
              </w:tcPr>
              <w:p w14:paraId="03F169B3" w14:textId="77777777" w:rsidR="00761342" w:rsidRPr="009A46BB" w:rsidRDefault="00761342" w:rsidP="00761342">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PJ</w:t>
                </w:r>
              </w:p>
            </w:tc>
            <w:tc>
              <w:tcPr>
                <w:tcW w:w="567" w:type="pct"/>
                <w:shd w:val="clear" w:color="auto" w:fill="auto"/>
                <w:noWrap/>
                <w:vAlign w:val="center"/>
                <w:hideMark/>
              </w:tcPr>
              <w:p w14:paraId="5F70A5E2" w14:textId="77777777" w:rsidR="00761342" w:rsidRPr="009A46BB" w:rsidRDefault="00761342" w:rsidP="00761342">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4</w:t>
                </w:r>
              </w:p>
            </w:tc>
            <w:tc>
              <w:tcPr>
                <w:tcW w:w="746" w:type="pct"/>
                <w:shd w:val="clear" w:color="auto" w:fill="auto"/>
                <w:noWrap/>
                <w:vAlign w:val="center"/>
                <w:hideMark/>
              </w:tcPr>
              <w:p w14:paraId="7F98AF3B" w14:textId="77777777" w:rsidR="00761342" w:rsidRPr="009A46BB" w:rsidRDefault="00761342" w:rsidP="00761342">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 xml:space="preserve">142.471.223 </w:t>
                </w:r>
              </w:p>
            </w:tc>
            <w:tc>
              <w:tcPr>
                <w:tcW w:w="456" w:type="pct"/>
                <w:shd w:val="clear" w:color="auto" w:fill="auto"/>
                <w:noWrap/>
                <w:vAlign w:val="center"/>
                <w:hideMark/>
              </w:tcPr>
              <w:p w14:paraId="1F876C5D" w14:textId="77777777" w:rsidR="00761342" w:rsidRPr="009A46BB" w:rsidRDefault="00761342" w:rsidP="00761342">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0</w:t>
                </w:r>
              </w:p>
            </w:tc>
            <w:tc>
              <w:tcPr>
                <w:tcW w:w="486" w:type="pct"/>
                <w:shd w:val="clear" w:color="auto" w:fill="auto"/>
                <w:noWrap/>
                <w:vAlign w:val="center"/>
                <w:hideMark/>
              </w:tcPr>
              <w:p w14:paraId="2954DE10" w14:textId="77777777" w:rsidR="00761342" w:rsidRPr="009A46BB" w:rsidRDefault="00761342" w:rsidP="00761342">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w:t>
                </w:r>
              </w:p>
            </w:tc>
            <w:tc>
              <w:tcPr>
                <w:tcW w:w="458" w:type="pct"/>
                <w:shd w:val="clear" w:color="auto" w:fill="auto"/>
                <w:noWrap/>
                <w:vAlign w:val="center"/>
                <w:hideMark/>
              </w:tcPr>
              <w:p w14:paraId="37D7E115" w14:textId="77777777" w:rsidR="00761342" w:rsidRPr="009A46BB" w:rsidRDefault="00761342" w:rsidP="00761342">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No aplica</w:t>
                </w:r>
              </w:p>
            </w:tc>
            <w:tc>
              <w:tcPr>
                <w:tcW w:w="476" w:type="pct"/>
                <w:shd w:val="clear" w:color="auto" w:fill="auto"/>
                <w:noWrap/>
                <w:vAlign w:val="center"/>
                <w:hideMark/>
              </w:tcPr>
              <w:p w14:paraId="6FE2B13A" w14:textId="77777777" w:rsidR="00761342" w:rsidRPr="009A46BB" w:rsidRDefault="00761342" w:rsidP="00761342">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0</w:t>
                </w:r>
              </w:p>
            </w:tc>
          </w:tr>
          <w:tr w:rsidR="00761342" w:rsidRPr="00761342" w14:paraId="26DEB964" w14:textId="77777777" w:rsidTr="005D15F4">
            <w:trPr>
              <w:trHeight w:val="340"/>
            </w:trPr>
            <w:tc>
              <w:tcPr>
                <w:tcW w:w="1279" w:type="pct"/>
                <w:shd w:val="clear" w:color="auto" w:fill="auto"/>
                <w:noWrap/>
                <w:vAlign w:val="center"/>
                <w:hideMark/>
              </w:tcPr>
              <w:p w14:paraId="6C45137E" w14:textId="77777777" w:rsidR="00761342" w:rsidRPr="009A46BB" w:rsidRDefault="00761342" w:rsidP="00761342">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Servicios</w:t>
                </w:r>
              </w:p>
            </w:tc>
            <w:tc>
              <w:tcPr>
                <w:tcW w:w="532" w:type="pct"/>
                <w:shd w:val="clear" w:color="auto" w:fill="auto"/>
                <w:noWrap/>
                <w:vAlign w:val="center"/>
                <w:hideMark/>
              </w:tcPr>
              <w:p w14:paraId="3109AB88" w14:textId="77777777" w:rsidR="00761342" w:rsidRPr="009A46BB" w:rsidRDefault="00761342" w:rsidP="00761342">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567" w:type="pct"/>
                <w:shd w:val="clear" w:color="auto" w:fill="auto"/>
                <w:noWrap/>
                <w:vAlign w:val="center"/>
                <w:hideMark/>
              </w:tcPr>
              <w:p w14:paraId="5B064377" w14:textId="77777777" w:rsidR="00761342" w:rsidRPr="009A46BB" w:rsidRDefault="00761342" w:rsidP="00761342">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746" w:type="pct"/>
                <w:shd w:val="clear" w:color="auto" w:fill="auto"/>
                <w:noWrap/>
                <w:vAlign w:val="center"/>
                <w:hideMark/>
              </w:tcPr>
              <w:p w14:paraId="1A571BE0" w14:textId="77777777" w:rsidR="00761342" w:rsidRPr="009A46BB" w:rsidRDefault="00761342" w:rsidP="00761342">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672.628.053 </w:t>
                </w:r>
              </w:p>
            </w:tc>
            <w:tc>
              <w:tcPr>
                <w:tcW w:w="456" w:type="pct"/>
                <w:shd w:val="clear" w:color="auto" w:fill="auto"/>
                <w:noWrap/>
                <w:vAlign w:val="center"/>
                <w:hideMark/>
              </w:tcPr>
              <w:p w14:paraId="1AD52C94" w14:textId="77777777" w:rsidR="00761342" w:rsidRPr="009A46BB" w:rsidRDefault="00761342" w:rsidP="00761342">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486" w:type="pct"/>
                <w:shd w:val="clear" w:color="auto" w:fill="auto"/>
                <w:noWrap/>
                <w:vAlign w:val="center"/>
                <w:hideMark/>
              </w:tcPr>
              <w:p w14:paraId="7F1BF930" w14:textId="77777777" w:rsidR="00761342" w:rsidRPr="009A46BB" w:rsidRDefault="00761342" w:rsidP="00761342">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458" w:type="pct"/>
                <w:shd w:val="clear" w:color="auto" w:fill="auto"/>
                <w:noWrap/>
                <w:vAlign w:val="center"/>
                <w:hideMark/>
              </w:tcPr>
              <w:p w14:paraId="6F3394F4" w14:textId="77777777" w:rsidR="00761342" w:rsidRPr="009A46BB" w:rsidRDefault="00761342" w:rsidP="00761342">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476" w:type="pct"/>
                <w:shd w:val="clear" w:color="auto" w:fill="auto"/>
                <w:noWrap/>
                <w:vAlign w:val="center"/>
                <w:hideMark/>
              </w:tcPr>
              <w:p w14:paraId="28E651D9" w14:textId="77777777" w:rsidR="00761342" w:rsidRPr="009A46BB" w:rsidRDefault="00761342" w:rsidP="00761342">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0,0 </w:t>
                </w:r>
              </w:p>
            </w:tc>
          </w:tr>
          <w:tr w:rsidR="00761342" w:rsidRPr="00761342" w14:paraId="185BDB08" w14:textId="77777777" w:rsidTr="005D15F4">
            <w:trPr>
              <w:trHeight w:val="340"/>
            </w:trPr>
            <w:tc>
              <w:tcPr>
                <w:tcW w:w="1279" w:type="pct"/>
                <w:shd w:val="clear" w:color="auto" w:fill="auto"/>
                <w:vAlign w:val="center"/>
                <w:hideMark/>
              </w:tcPr>
              <w:p w14:paraId="497AF6B6" w14:textId="77777777" w:rsidR="00761342" w:rsidRPr="009A46BB" w:rsidRDefault="00761342" w:rsidP="00761342">
                <w:pPr>
                  <w:spacing w:after="0" w:line="240" w:lineRule="auto"/>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Nacionales</w:t>
                </w:r>
              </w:p>
            </w:tc>
            <w:tc>
              <w:tcPr>
                <w:tcW w:w="532" w:type="pct"/>
                <w:shd w:val="clear" w:color="auto" w:fill="auto"/>
                <w:noWrap/>
                <w:vAlign w:val="center"/>
                <w:hideMark/>
              </w:tcPr>
              <w:p w14:paraId="0D57859A" w14:textId="77777777" w:rsidR="00761342" w:rsidRPr="009A46BB" w:rsidRDefault="00761342" w:rsidP="00761342">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PN</w:t>
                </w:r>
              </w:p>
            </w:tc>
            <w:tc>
              <w:tcPr>
                <w:tcW w:w="567" w:type="pct"/>
                <w:shd w:val="clear" w:color="auto" w:fill="auto"/>
                <w:noWrap/>
                <w:vAlign w:val="center"/>
                <w:hideMark/>
              </w:tcPr>
              <w:p w14:paraId="71AD247B" w14:textId="77777777" w:rsidR="00761342" w:rsidRPr="009A46BB" w:rsidRDefault="00761342" w:rsidP="00761342">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26</w:t>
                </w:r>
              </w:p>
            </w:tc>
            <w:tc>
              <w:tcPr>
                <w:tcW w:w="746" w:type="pct"/>
                <w:shd w:val="clear" w:color="auto" w:fill="auto"/>
                <w:noWrap/>
                <w:vAlign w:val="center"/>
                <w:hideMark/>
              </w:tcPr>
              <w:p w14:paraId="1A5D8416" w14:textId="77777777" w:rsidR="00761342" w:rsidRPr="009A46BB" w:rsidRDefault="00761342" w:rsidP="00761342">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 xml:space="preserve">220.027.071 </w:t>
                </w:r>
              </w:p>
            </w:tc>
            <w:tc>
              <w:tcPr>
                <w:tcW w:w="456" w:type="pct"/>
                <w:shd w:val="clear" w:color="auto" w:fill="auto"/>
                <w:noWrap/>
                <w:vAlign w:val="center"/>
                <w:hideMark/>
              </w:tcPr>
              <w:p w14:paraId="10A10E25" w14:textId="77777777" w:rsidR="00761342" w:rsidRPr="009A46BB" w:rsidRDefault="00761342" w:rsidP="00761342">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0</w:t>
                </w:r>
              </w:p>
            </w:tc>
            <w:tc>
              <w:tcPr>
                <w:tcW w:w="486" w:type="pct"/>
                <w:shd w:val="clear" w:color="auto" w:fill="auto"/>
                <w:noWrap/>
                <w:vAlign w:val="center"/>
                <w:hideMark/>
              </w:tcPr>
              <w:p w14:paraId="0DA8663B" w14:textId="77777777" w:rsidR="00761342" w:rsidRPr="009A46BB" w:rsidRDefault="00761342" w:rsidP="00761342">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w:t>
                </w:r>
              </w:p>
            </w:tc>
            <w:tc>
              <w:tcPr>
                <w:tcW w:w="458" w:type="pct"/>
                <w:shd w:val="clear" w:color="auto" w:fill="auto"/>
                <w:noWrap/>
                <w:vAlign w:val="center"/>
                <w:hideMark/>
              </w:tcPr>
              <w:p w14:paraId="10668F2C" w14:textId="77777777" w:rsidR="00761342" w:rsidRPr="009A46BB" w:rsidRDefault="00761342" w:rsidP="00761342">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No aplica</w:t>
                </w:r>
              </w:p>
            </w:tc>
            <w:tc>
              <w:tcPr>
                <w:tcW w:w="476" w:type="pct"/>
                <w:shd w:val="clear" w:color="auto" w:fill="auto"/>
                <w:noWrap/>
                <w:vAlign w:val="center"/>
                <w:hideMark/>
              </w:tcPr>
              <w:p w14:paraId="498F4521" w14:textId="77777777" w:rsidR="00761342" w:rsidRPr="009A46BB" w:rsidRDefault="00761342" w:rsidP="00761342">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0</w:t>
                </w:r>
              </w:p>
            </w:tc>
          </w:tr>
          <w:tr w:rsidR="00761342" w:rsidRPr="00761342" w14:paraId="150A5515" w14:textId="77777777" w:rsidTr="005D15F4">
            <w:trPr>
              <w:trHeight w:val="340"/>
            </w:trPr>
            <w:tc>
              <w:tcPr>
                <w:tcW w:w="1279" w:type="pct"/>
                <w:shd w:val="clear" w:color="auto" w:fill="auto"/>
                <w:vAlign w:val="center"/>
                <w:hideMark/>
              </w:tcPr>
              <w:p w14:paraId="16EE85CB" w14:textId="77777777" w:rsidR="00761342" w:rsidRPr="009A46BB" w:rsidRDefault="00761342" w:rsidP="00761342">
                <w:pPr>
                  <w:spacing w:after="0" w:line="240" w:lineRule="auto"/>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Nacionales</w:t>
                </w:r>
              </w:p>
            </w:tc>
            <w:tc>
              <w:tcPr>
                <w:tcW w:w="532" w:type="pct"/>
                <w:shd w:val="clear" w:color="auto" w:fill="auto"/>
                <w:noWrap/>
                <w:vAlign w:val="center"/>
                <w:hideMark/>
              </w:tcPr>
              <w:p w14:paraId="578F85F3" w14:textId="77777777" w:rsidR="00761342" w:rsidRPr="009A46BB" w:rsidRDefault="00761342" w:rsidP="00761342">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PJ</w:t>
                </w:r>
              </w:p>
            </w:tc>
            <w:tc>
              <w:tcPr>
                <w:tcW w:w="567" w:type="pct"/>
                <w:shd w:val="clear" w:color="auto" w:fill="auto"/>
                <w:noWrap/>
                <w:vAlign w:val="center"/>
                <w:hideMark/>
              </w:tcPr>
              <w:p w14:paraId="3812A6E0" w14:textId="77777777" w:rsidR="00761342" w:rsidRPr="009A46BB" w:rsidRDefault="00761342" w:rsidP="00761342">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14</w:t>
                </w:r>
              </w:p>
            </w:tc>
            <w:tc>
              <w:tcPr>
                <w:tcW w:w="746" w:type="pct"/>
                <w:shd w:val="clear" w:color="auto" w:fill="auto"/>
                <w:noWrap/>
                <w:vAlign w:val="center"/>
                <w:hideMark/>
              </w:tcPr>
              <w:p w14:paraId="3E98B2EC" w14:textId="77777777" w:rsidR="00761342" w:rsidRPr="009A46BB" w:rsidRDefault="00761342" w:rsidP="00761342">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 xml:space="preserve">452.600.982 </w:t>
                </w:r>
              </w:p>
            </w:tc>
            <w:tc>
              <w:tcPr>
                <w:tcW w:w="456" w:type="pct"/>
                <w:shd w:val="clear" w:color="auto" w:fill="auto"/>
                <w:noWrap/>
                <w:vAlign w:val="center"/>
                <w:hideMark/>
              </w:tcPr>
              <w:p w14:paraId="0314CF85" w14:textId="77777777" w:rsidR="00761342" w:rsidRPr="009A46BB" w:rsidRDefault="00761342" w:rsidP="00761342">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0</w:t>
                </w:r>
              </w:p>
            </w:tc>
            <w:tc>
              <w:tcPr>
                <w:tcW w:w="486" w:type="pct"/>
                <w:shd w:val="clear" w:color="auto" w:fill="auto"/>
                <w:noWrap/>
                <w:vAlign w:val="center"/>
                <w:hideMark/>
              </w:tcPr>
              <w:p w14:paraId="5069D53E" w14:textId="77777777" w:rsidR="00761342" w:rsidRPr="009A46BB" w:rsidRDefault="00761342" w:rsidP="00761342">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w:t>
                </w:r>
              </w:p>
            </w:tc>
            <w:tc>
              <w:tcPr>
                <w:tcW w:w="458" w:type="pct"/>
                <w:shd w:val="clear" w:color="auto" w:fill="auto"/>
                <w:noWrap/>
                <w:vAlign w:val="center"/>
                <w:hideMark/>
              </w:tcPr>
              <w:p w14:paraId="072680A6" w14:textId="77777777" w:rsidR="00761342" w:rsidRPr="009A46BB" w:rsidRDefault="00761342" w:rsidP="00761342">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No aplica</w:t>
                </w:r>
              </w:p>
            </w:tc>
            <w:tc>
              <w:tcPr>
                <w:tcW w:w="476" w:type="pct"/>
                <w:shd w:val="clear" w:color="auto" w:fill="auto"/>
                <w:noWrap/>
                <w:vAlign w:val="center"/>
                <w:hideMark/>
              </w:tcPr>
              <w:p w14:paraId="6B22119B" w14:textId="77777777" w:rsidR="00761342" w:rsidRPr="009A46BB" w:rsidRDefault="00761342" w:rsidP="00761342">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0</w:t>
                </w:r>
              </w:p>
            </w:tc>
          </w:tr>
          <w:tr w:rsidR="00761342" w:rsidRPr="00761342" w14:paraId="04B0107E" w14:textId="77777777" w:rsidTr="005D15F4">
            <w:trPr>
              <w:trHeight w:val="340"/>
            </w:trPr>
            <w:tc>
              <w:tcPr>
                <w:tcW w:w="1279" w:type="pct"/>
                <w:shd w:val="clear" w:color="auto" w:fill="auto"/>
                <w:noWrap/>
                <w:vAlign w:val="center"/>
                <w:hideMark/>
              </w:tcPr>
              <w:p w14:paraId="486EBE27" w14:textId="77777777" w:rsidR="00761342" w:rsidRPr="009A46BB" w:rsidRDefault="00761342" w:rsidP="00761342">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Arrendamiento operativo</w:t>
                </w:r>
              </w:p>
            </w:tc>
            <w:tc>
              <w:tcPr>
                <w:tcW w:w="532" w:type="pct"/>
                <w:shd w:val="clear" w:color="auto" w:fill="auto"/>
                <w:noWrap/>
                <w:vAlign w:val="center"/>
                <w:hideMark/>
              </w:tcPr>
              <w:p w14:paraId="5B81A87F" w14:textId="77777777" w:rsidR="00761342" w:rsidRPr="009A46BB" w:rsidRDefault="00761342" w:rsidP="00761342">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567" w:type="pct"/>
                <w:shd w:val="clear" w:color="auto" w:fill="auto"/>
                <w:noWrap/>
                <w:vAlign w:val="center"/>
                <w:hideMark/>
              </w:tcPr>
              <w:p w14:paraId="1829F12C" w14:textId="77777777" w:rsidR="00761342" w:rsidRPr="009A46BB" w:rsidRDefault="00761342" w:rsidP="00761342">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746" w:type="pct"/>
                <w:shd w:val="clear" w:color="auto" w:fill="auto"/>
                <w:noWrap/>
                <w:vAlign w:val="center"/>
                <w:hideMark/>
              </w:tcPr>
              <w:p w14:paraId="1C15E114" w14:textId="77777777" w:rsidR="00761342" w:rsidRPr="009A46BB" w:rsidRDefault="00761342" w:rsidP="00761342">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1.334.167 </w:t>
                </w:r>
              </w:p>
            </w:tc>
            <w:tc>
              <w:tcPr>
                <w:tcW w:w="456" w:type="pct"/>
                <w:shd w:val="clear" w:color="auto" w:fill="auto"/>
                <w:noWrap/>
                <w:vAlign w:val="center"/>
                <w:hideMark/>
              </w:tcPr>
              <w:p w14:paraId="0E6889AB" w14:textId="77777777" w:rsidR="00761342" w:rsidRPr="009A46BB" w:rsidRDefault="00761342" w:rsidP="00761342">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486" w:type="pct"/>
                <w:shd w:val="clear" w:color="auto" w:fill="auto"/>
                <w:noWrap/>
                <w:vAlign w:val="center"/>
                <w:hideMark/>
              </w:tcPr>
              <w:p w14:paraId="5B7630F2" w14:textId="77777777" w:rsidR="00761342" w:rsidRPr="009A46BB" w:rsidRDefault="00761342" w:rsidP="00761342">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458" w:type="pct"/>
                <w:shd w:val="clear" w:color="auto" w:fill="auto"/>
                <w:noWrap/>
                <w:vAlign w:val="center"/>
                <w:hideMark/>
              </w:tcPr>
              <w:p w14:paraId="6040AD39" w14:textId="77777777" w:rsidR="00761342" w:rsidRPr="009A46BB" w:rsidRDefault="00761342" w:rsidP="00761342">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476" w:type="pct"/>
                <w:shd w:val="clear" w:color="auto" w:fill="auto"/>
                <w:noWrap/>
                <w:vAlign w:val="center"/>
                <w:hideMark/>
              </w:tcPr>
              <w:p w14:paraId="2C424078" w14:textId="77777777" w:rsidR="00761342" w:rsidRPr="009A46BB" w:rsidRDefault="00761342" w:rsidP="00761342">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0,0 </w:t>
                </w:r>
              </w:p>
            </w:tc>
          </w:tr>
          <w:tr w:rsidR="00761342" w:rsidRPr="00761342" w14:paraId="6BC5EAE6" w14:textId="77777777" w:rsidTr="005D15F4">
            <w:trPr>
              <w:trHeight w:val="340"/>
            </w:trPr>
            <w:tc>
              <w:tcPr>
                <w:tcW w:w="1279" w:type="pct"/>
                <w:shd w:val="clear" w:color="auto" w:fill="auto"/>
                <w:vAlign w:val="center"/>
                <w:hideMark/>
              </w:tcPr>
              <w:p w14:paraId="71755D87" w14:textId="77777777" w:rsidR="00761342" w:rsidRPr="009A46BB" w:rsidRDefault="00761342" w:rsidP="00761342">
                <w:pPr>
                  <w:spacing w:after="0" w:line="240" w:lineRule="auto"/>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Nacionales</w:t>
                </w:r>
              </w:p>
            </w:tc>
            <w:tc>
              <w:tcPr>
                <w:tcW w:w="532" w:type="pct"/>
                <w:shd w:val="clear" w:color="auto" w:fill="auto"/>
                <w:noWrap/>
                <w:vAlign w:val="center"/>
                <w:hideMark/>
              </w:tcPr>
              <w:p w14:paraId="3E92073E" w14:textId="77777777" w:rsidR="00761342" w:rsidRPr="009A46BB" w:rsidRDefault="00761342" w:rsidP="00761342">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PJ</w:t>
                </w:r>
              </w:p>
            </w:tc>
            <w:tc>
              <w:tcPr>
                <w:tcW w:w="567" w:type="pct"/>
                <w:shd w:val="clear" w:color="auto" w:fill="auto"/>
                <w:noWrap/>
                <w:vAlign w:val="center"/>
                <w:hideMark/>
              </w:tcPr>
              <w:p w14:paraId="032CB177" w14:textId="77777777" w:rsidR="00761342" w:rsidRPr="009A46BB" w:rsidRDefault="00761342" w:rsidP="00761342">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w:t>
                </w:r>
              </w:p>
            </w:tc>
            <w:tc>
              <w:tcPr>
                <w:tcW w:w="746" w:type="pct"/>
                <w:shd w:val="clear" w:color="auto" w:fill="auto"/>
                <w:noWrap/>
                <w:vAlign w:val="center"/>
                <w:hideMark/>
              </w:tcPr>
              <w:p w14:paraId="64A0D0D5" w14:textId="77777777" w:rsidR="00761342" w:rsidRPr="009A46BB" w:rsidRDefault="00761342" w:rsidP="00761342">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 xml:space="preserve">1.334.167 </w:t>
                </w:r>
              </w:p>
            </w:tc>
            <w:tc>
              <w:tcPr>
                <w:tcW w:w="456" w:type="pct"/>
                <w:shd w:val="clear" w:color="auto" w:fill="auto"/>
                <w:noWrap/>
                <w:vAlign w:val="center"/>
                <w:hideMark/>
              </w:tcPr>
              <w:p w14:paraId="08787AD7" w14:textId="77777777" w:rsidR="00761342" w:rsidRPr="009A46BB" w:rsidRDefault="00761342" w:rsidP="00761342">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0</w:t>
                </w:r>
              </w:p>
            </w:tc>
            <w:tc>
              <w:tcPr>
                <w:tcW w:w="486" w:type="pct"/>
                <w:shd w:val="clear" w:color="auto" w:fill="auto"/>
                <w:noWrap/>
                <w:vAlign w:val="center"/>
                <w:hideMark/>
              </w:tcPr>
              <w:p w14:paraId="110D2D1A" w14:textId="77777777" w:rsidR="00761342" w:rsidRPr="009A46BB" w:rsidRDefault="00761342" w:rsidP="00761342">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w:t>
                </w:r>
              </w:p>
            </w:tc>
            <w:tc>
              <w:tcPr>
                <w:tcW w:w="458" w:type="pct"/>
                <w:shd w:val="clear" w:color="auto" w:fill="auto"/>
                <w:noWrap/>
                <w:vAlign w:val="center"/>
                <w:hideMark/>
              </w:tcPr>
              <w:p w14:paraId="4187EB41" w14:textId="77777777" w:rsidR="00761342" w:rsidRPr="009A46BB" w:rsidRDefault="00761342" w:rsidP="00761342">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No aplica</w:t>
                </w:r>
              </w:p>
            </w:tc>
            <w:tc>
              <w:tcPr>
                <w:tcW w:w="476" w:type="pct"/>
                <w:shd w:val="clear" w:color="auto" w:fill="auto"/>
                <w:noWrap/>
                <w:vAlign w:val="center"/>
                <w:hideMark/>
              </w:tcPr>
              <w:p w14:paraId="1658E7EB" w14:textId="77777777" w:rsidR="00761342" w:rsidRPr="009A46BB" w:rsidRDefault="00761342" w:rsidP="00761342">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0</w:t>
                </w:r>
              </w:p>
            </w:tc>
          </w:tr>
          <w:tr w:rsidR="00761342" w:rsidRPr="00761342" w14:paraId="5016B625" w14:textId="77777777" w:rsidTr="005D15F4">
            <w:trPr>
              <w:trHeight w:val="340"/>
            </w:trPr>
            <w:tc>
              <w:tcPr>
                <w:tcW w:w="1279" w:type="pct"/>
                <w:shd w:val="clear" w:color="auto" w:fill="auto"/>
                <w:noWrap/>
                <w:vAlign w:val="center"/>
                <w:hideMark/>
              </w:tcPr>
              <w:p w14:paraId="22D1732A" w14:textId="77777777" w:rsidR="00761342" w:rsidRPr="009A46BB" w:rsidRDefault="00761342" w:rsidP="00761342">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Otras cuentas por pagar</w:t>
                </w:r>
              </w:p>
            </w:tc>
            <w:tc>
              <w:tcPr>
                <w:tcW w:w="532" w:type="pct"/>
                <w:shd w:val="clear" w:color="auto" w:fill="auto"/>
                <w:noWrap/>
                <w:vAlign w:val="center"/>
                <w:hideMark/>
              </w:tcPr>
              <w:p w14:paraId="583BE49A" w14:textId="77777777" w:rsidR="00761342" w:rsidRPr="009A46BB" w:rsidRDefault="00761342" w:rsidP="00761342">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567" w:type="pct"/>
                <w:shd w:val="clear" w:color="auto" w:fill="auto"/>
                <w:noWrap/>
                <w:vAlign w:val="center"/>
                <w:hideMark/>
              </w:tcPr>
              <w:p w14:paraId="0CBDD9B1" w14:textId="77777777" w:rsidR="00761342" w:rsidRPr="009A46BB" w:rsidRDefault="00761342" w:rsidP="00761342">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746" w:type="pct"/>
                <w:shd w:val="clear" w:color="auto" w:fill="auto"/>
                <w:noWrap/>
                <w:vAlign w:val="center"/>
                <w:hideMark/>
              </w:tcPr>
              <w:p w14:paraId="6A55046F" w14:textId="77777777" w:rsidR="00761342" w:rsidRPr="009A46BB" w:rsidRDefault="00761342" w:rsidP="00761342">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2.997.003 </w:t>
                </w:r>
              </w:p>
            </w:tc>
            <w:tc>
              <w:tcPr>
                <w:tcW w:w="456" w:type="pct"/>
                <w:shd w:val="clear" w:color="auto" w:fill="auto"/>
                <w:noWrap/>
                <w:vAlign w:val="center"/>
                <w:hideMark/>
              </w:tcPr>
              <w:p w14:paraId="5A980BCF" w14:textId="77777777" w:rsidR="00761342" w:rsidRPr="009A46BB" w:rsidRDefault="00761342" w:rsidP="00761342">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486" w:type="pct"/>
                <w:shd w:val="clear" w:color="auto" w:fill="auto"/>
                <w:noWrap/>
                <w:vAlign w:val="center"/>
                <w:hideMark/>
              </w:tcPr>
              <w:p w14:paraId="1609FD36" w14:textId="77777777" w:rsidR="00761342" w:rsidRPr="009A46BB" w:rsidRDefault="00761342" w:rsidP="00761342">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458" w:type="pct"/>
                <w:shd w:val="clear" w:color="auto" w:fill="auto"/>
                <w:noWrap/>
                <w:vAlign w:val="center"/>
                <w:hideMark/>
              </w:tcPr>
              <w:p w14:paraId="1843C182" w14:textId="77777777" w:rsidR="00761342" w:rsidRPr="009A46BB" w:rsidRDefault="00761342" w:rsidP="00761342">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w:t>
                </w:r>
              </w:p>
            </w:tc>
            <w:tc>
              <w:tcPr>
                <w:tcW w:w="476" w:type="pct"/>
                <w:shd w:val="clear" w:color="auto" w:fill="auto"/>
                <w:noWrap/>
                <w:vAlign w:val="center"/>
                <w:hideMark/>
              </w:tcPr>
              <w:p w14:paraId="7A63573D" w14:textId="77777777" w:rsidR="00761342" w:rsidRPr="009A46BB" w:rsidRDefault="00761342" w:rsidP="00761342">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0,0 </w:t>
                </w:r>
              </w:p>
            </w:tc>
          </w:tr>
          <w:tr w:rsidR="00761342" w:rsidRPr="00761342" w14:paraId="03FCBE9D" w14:textId="77777777" w:rsidTr="005D15F4">
            <w:trPr>
              <w:trHeight w:val="340"/>
            </w:trPr>
            <w:tc>
              <w:tcPr>
                <w:tcW w:w="1279" w:type="pct"/>
                <w:shd w:val="clear" w:color="auto" w:fill="auto"/>
                <w:vAlign w:val="center"/>
                <w:hideMark/>
              </w:tcPr>
              <w:p w14:paraId="1256945E" w14:textId="77777777" w:rsidR="00761342" w:rsidRPr="009A46BB" w:rsidRDefault="00761342" w:rsidP="00761342">
                <w:pPr>
                  <w:spacing w:after="0" w:line="240" w:lineRule="auto"/>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Nacionales</w:t>
                </w:r>
              </w:p>
            </w:tc>
            <w:tc>
              <w:tcPr>
                <w:tcW w:w="532" w:type="pct"/>
                <w:shd w:val="clear" w:color="auto" w:fill="auto"/>
                <w:noWrap/>
                <w:vAlign w:val="center"/>
                <w:hideMark/>
              </w:tcPr>
              <w:p w14:paraId="1E869558" w14:textId="77777777" w:rsidR="00761342" w:rsidRPr="009A46BB" w:rsidRDefault="00761342" w:rsidP="00761342">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PJ</w:t>
                </w:r>
              </w:p>
            </w:tc>
            <w:tc>
              <w:tcPr>
                <w:tcW w:w="567" w:type="pct"/>
                <w:shd w:val="clear" w:color="auto" w:fill="auto"/>
                <w:noWrap/>
                <w:vAlign w:val="center"/>
                <w:hideMark/>
              </w:tcPr>
              <w:p w14:paraId="2C1C177A" w14:textId="77777777" w:rsidR="00761342" w:rsidRPr="009A46BB" w:rsidRDefault="00761342" w:rsidP="00761342">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w:t>
                </w:r>
              </w:p>
            </w:tc>
            <w:tc>
              <w:tcPr>
                <w:tcW w:w="746" w:type="pct"/>
                <w:shd w:val="clear" w:color="auto" w:fill="auto"/>
                <w:noWrap/>
                <w:vAlign w:val="center"/>
                <w:hideMark/>
              </w:tcPr>
              <w:p w14:paraId="4CBD7A3D" w14:textId="77777777" w:rsidR="00761342" w:rsidRPr="009A46BB" w:rsidRDefault="00761342" w:rsidP="00761342">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 xml:space="preserve">2.997.003 </w:t>
                </w:r>
              </w:p>
            </w:tc>
            <w:tc>
              <w:tcPr>
                <w:tcW w:w="456" w:type="pct"/>
                <w:shd w:val="clear" w:color="auto" w:fill="auto"/>
                <w:noWrap/>
                <w:vAlign w:val="center"/>
                <w:hideMark/>
              </w:tcPr>
              <w:p w14:paraId="1C07449D" w14:textId="77777777" w:rsidR="00761342" w:rsidRPr="009A46BB" w:rsidRDefault="00761342" w:rsidP="00761342">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0</w:t>
                </w:r>
              </w:p>
            </w:tc>
            <w:tc>
              <w:tcPr>
                <w:tcW w:w="486" w:type="pct"/>
                <w:shd w:val="clear" w:color="auto" w:fill="auto"/>
                <w:noWrap/>
                <w:vAlign w:val="center"/>
                <w:hideMark/>
              </w:tcPr>
              <w:p w14:paraId="5DDFF554" w14:textId="77777777" w:rsidR="00761342" w:rsidRPr="009A46BB" w:rsidRDefault="00761342" w:rsidP="00761342">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w:t>
                </w:r>
              </w:p>
            </w:tc>
            <w:tc>
              <w:tcPr>
                <w:tcW w:w="458" w:type="pct"/>
                <w:shd w:val="clear" w:color="auto" w:fill="auto"/>
                <w:noWrap/>
                <w:vAlign w:val="center"/>
                <w:hideMark/>
              </w:tcPr>
              <w:p w14:paraId="73D37D7D" w14:textId="77777777" w:rsidR="00761342" w:rsidRPr="009A46BB" w:rsidRDefault="00761342" w:rsidP="00761342">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No aplica</w:t>
                </w:r>
              </w:p>
            </w:tc>
            <w:tc>
              <w:tcPr>
                <w:tcW w:w="476" w:type="pct"/>
                <w:shd w:val="clear" w:color="auto" w:fill="auto"/>
                <w:noWrap/>
                <w:vAlign w:val="center"/>
                <w:hideMark/>
              </w:tcPr>
              <w:p w14:paraId="13822CC8" w14:textId="77777777" w:rsidR="00761342" w:rsidRPr="009A46BB" w:rsidRDefault="00761342" w:rsidP="00761342">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0</w:t>
                </w:r>
              </w:p>
            </w:tc>
          </w:tr>
        </w:tbl>
        <w:p w14:paraId="1FFD5870" w14:textId="49B90D0B" w:rsidR="00070C05" w:rsidRPr="00931DCE" w:rsidRDefault="00AD2026" w:rsidP="00070C05">
          <w:pPr>
            <w:spacing w:after="0" w:line="240" w:lineRule="auto"/>
            <w:jc w:val="both"/>
            <w:rPr>
              <w:rFonts w:ascii="Times New Roman" w:hAnsi="Times New Roman"/>
              <w:sz w:val="14"/>
              <w:szCs w:val="14"/>
            </w:rPr>
          </w:pPr>
          <w:r w:rsidRPr="00931DCE">
            <w:rPr>
              <w:rFonts w:ascii="Times New Roman" w:hAnsi="Times New Roman"/>
              <w:sz w:val="14"/>
              <w:szCs w:val="14"/>
            </w:rPr>
            <w:t>Cifras expresadas en pesos</w:t>
          </w:r>
        </w:p>
        <w:p w14:paraId="419A909B" w14:textId="6828E14A" w:rsidR="3C64F13B" w:rsidRDefault="3C64F13B" w:rsidP="3C64F13B">
          <w:pPr>
            <w:spacing w:after="0" w:line="240" w:lineRule="auto"/>
            <w:jc w:val="both"/>
            <w:rPr>
              <w:rFonts w:ascii="Times New Roman" w:hAnsi="Times New Roman"/>
              <w:sz w:val="14"/>
              <w:szCs w:val="14"/>
            </w:rPr>
          </w:pPr>
        </w:p>
        <w:p w14:paraId="51834C6A" w14:textId="3274FD63" w:rsidR="00215CC6" w:rsidRPr="00931DCE" w:rsidRDefault="00215CC6" w:rsidP="00215CC6">
          <w:pPr>
            <w:spacing w:after="0" w:line="240" w:lineRule="auto"/>
            <w:jc w:val="both"/>
            <w:rPr>
              <w:rFonts w:ascii="Times New Roman" w:hAnsi="Times New Roman"/>
              <w:sz w:val="14"/>
              <w:szCs w:val="14"/>
            </w:rPr>
          </w:pPr>
        </w:p>
        <w:p w14:paraId="7E2B9CC4" w14:textId="77777777" w:rsidR="0039558B" w:rsidRDefault="0039558B" w:rsidP="0039558B">
          <w:pPr>
            <w:pStyle w:val="Default"/>
            <w:jc w:val="both"/>
            <w:rPr>
              <w:rFonts w:ascii="Times New Roman" w:hAnsi="Times New Roman" w:cs="Times New Roman"/>
              <w:b/>
              <w:bCs/>
              <w:color w:val="auto"/>
            </w:rPr>
          </w:pPr>
          <w:r w:rsidRPr="00EC5817">
            <w:rPr>
              <w:rFonts w:ascii="Times New Roman" w:hAnsi="Times New Roman" w:cs="Times New Roman"/>
              <w:b/>
              <w:bCs/>
              <w:color w:val="auto"/>
            </w:rPr>
            <w:t xml:space="preserve">Garantías contractuales </w:t>
          </w:r>
          <w:r>
            <w:rPr>
              <w:rFonts w:ascii="Times New Roman" w:hAnsi="Times New Roman" w:cs="Times New Roman"/>
              <w:b/>
              <w:bCs/>
              <w:color w:val="auto"/>
            </w:rPr>
            <w:t>–</w:t>
          </w:r>
          <w:r w:rsidRPr="00EC5817">
            <w:rPr>
              <w:rFonts w:ascii="Times New Roman" w:hAnsi="Times New Roman" w:cs="Times New Roman"/>
              <w:b/>
              <w:bCs/>
              <w:color w:val="auto"/>
            </w:rPr>
            <w:t xml:space="preserve"> concesiones</w:t>
          </w:r>
          <w:r>
            <w:rPr>
              <w:rFonts w:ascii="Times New Roman" w:hAnsi="Times New Roman" w:cs="Times New Roman"/>
              <w:b/>
              <w:bCs/>
              <w:color w:val="auto"/>
            </w:rPr>
            <w:t xml:space="preserve"> - Ba</w:t>
          </w:r>
          <w:r w:rsidRPr="00EC5817">
            <w:rPr>
              <w:rFonts w:ascii="Times New Roman" w:hAnsi="Times New Roman" w:cs="Times New Roman"/>
              <w:b/>
              <w:bCs/>
              <w:color w:val="auto"/>
            </w:rPr>
            <w:t>ja en cuentas, total o parcialmente</w:t>
          </w:r>
          <w:r>
            <w:rPr>
              <w:rFonts w:ascii="Times New Roman" w:hAnsi="Times New Roman" w:cs="Times New Roman"/>
              <w:b/>
              <w:bCs/>
              <w:color w:val="auto"/>
            </w:rPr>
            <w:t xml:space="preserve"> - G</w:t>
          </w:r>
          <w:r w:rsidRPr="00EC5817">
            <w:rPr>
              <w:rFonts w:ascii="Times New Roman" w:hAnsi="Times New Roman" w:cs="Times New Roman"/>
              <w:b/>
              <w:bCs/>
              <w:color w:val="auto"/>
            </w:rPr>
            <w:t xml:space="preserve">anancia reconocida en el resultado del periodo y las razones de su baja en cuentas. </w:t>
          </w:r>
        </w:p>
        <w:p w14:paraId="13A82F6E" w14:textId="77777777" w:rsidR="006E5B21" w:rsidRDefault="006E5B21" w:rsidP="3C64F13B">
          <w:pPr>
            <w:spacing w:after="0" w:line="240" w:lineRule="auto"/>
            <w:ind w:left="-20" w:right="-20"/>
            <w:jc w:val="both"/>
            <w:rPr>
              <w:rFonts w:ascii="Times New Roman" w:eastAsia="Times New Roman" w:hAnsi="Times New Roman"/>
              <w:color w:val="000000" w:themeColor="text1"/>
              <w:sz w:val="24"/>
              <w:szCs w:val="24"/>
            </w:rPr>
          </w:pPr>
        </w:p>
        <w:p w14:paraId="7CCAB9AC" w14:textId="475D8FCD" w:rsidR="25F22885" w:rsidRDefault="005C23E9" w:rsidP="00A86275">
          <w:pPr>
            <w:spacing w:after="0" w:line="240" w:lineRule="auto"/>
            <w:ind w:right="-20"/>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Esta cuenta no posee valor a 31 de diciembre, por cuanto s</w:t>
          </w:r>
          <w:r w:rsidR="48D71576" w:rsidRPr="3C64F13B">
            <w:rPr>
              <w:rFonts w:ascii="Times New Roman" w:eastAsia="Times New Roman" w:hAnsi="Times New Roman"/>
              <w:color w:val="000000" w:themeColor="text1"/>
              <w:sz w:val="24"/>
              <w:szCs w:val="24"/>
            </w:rPr>
            <w:t>e canceló el saldo contable de la subcuenta Garantías contractuales – concesiones, por valor de $270.641.373 a nombre del tercero Autopistas del Café S.A., proyecto Armenia Pereira Manizales, Contrato 113 de 1997, por cuanto la Vicepresidencia Ejecutiva mediante el GCSP-F-006-Liquidación de la deuda, reportó valor cero ($0) como deuda a favor del Concesionario relacionado con los intereses liquidados hasta el 21 de julio de 2021, por la Garantía de Ingreso 2020, por cuanto el Concesionario renunció a esos intereses de acuerdo con la cláusula séptima del otrosí No. 26 al contrato de concesión No. 0113 de 1997, indicando que el Concesionario recibió a satisfacción la totalidad del pago correspondiente al déficit del recaudo del año 2020 frente al Ingreso Mínimo Garantizado pactado, por lo que, a la fecha, la ANI está a paz y salvo por todo concepto (capital e Intereses) en relación con esta obligación.</w:t>
          </w:r>
        </w:p>
        <w:p w14:paraId="38F949B0" w14:textId="77777777" w:rsidR="0039558B" w:rsidRDefault="0039558B" w:rsidP="3C64F13B">
          <w:pPr>
            <w:spacing w:after="0" w:line="240" w:lineRule="auto"/>
            <w:ind w:left="-20" w:right="-20"/>
            <w:jc w:val="both"/>
          </w:pPr>
        </w:p>
        <w:p w14:paraId="02A2BF08" w14:textId="00EA5A60" w:rsidR="25F22885" w:rsidRDefault="48D71576" w:rsidP="3C64F13B">
          <w:pPr>
            <w:spacing w:after="0" w:line="240" w:lineRule="auto"/>
            <w:ind w:left="-20" w:right="-20"/>
            <w:jc w:val="both"/>
          </w:pPr>
          <w:r w:rsidRPr="3C64F13B">
            <w:rPr>
              <w:rFonts w:ascii="Times New Roman" w:eastAsia="Times New Roman" w:hAnsi="Times New Roman"/>
              <w:sz w:val="24"/>
              <w:szCs w:val="24"/>
            </w:rPr>
            <w:t>La contrapartida de este registro se produjo en la subcuenta contable 3.1.09.01.002 Corrección de errores de un periodo contable anterior, por cuanto fueron Hechos ocurridos después del cierre contable de la vigencia 2022.</w:t>
          </w:r>
        </w:p>
        <w:p w14:paraId="1CECBAAD" w14:textId="719240E8" w:rsidR="25F22885" w:rsidRPr="005C23E9" w:rsidRDefault="25F22885" w:rsidP="25F22885">
          <w:pPr>
            <w:spacing w:after="0" w:line="240" w:lineRule="auto"/>
            <w:jc w:val="both"/>
            <w:rPr>
              <w:rFonts w:ascii="Times New Roman" w:hAnsi="Times New Roman"/>
              <w:sz w:val="24"/>
              <w:szCs w:val="24"/>
            </w:rPr>
          </w:pPr>
        </w:p>
        <w:p w14:paraId="5A0BE722" w14:textId="086447B1" w:rsidR="00070C05" w:rsidRPr="00931DCE" w:rsidRDefault="005C23E9" w:rsidP="00215CC6">
          <w:pPr>
            <w:spacing w:after="0" w:line="240" w:lineRule="auto"/>
            <w:jc w:val="both"/>
            <w:rPr>
              <w:rFonts w:ascii="Times New Roman" w:hAnsi="Times New Roman"/>
              <w:sz w:val="24"/>
              <w:szCs w:val="24"/>
            </w:rPr>
          </w:pPr>
          <w:r>
            <w:rPr>
              <w:rFonts w:ascii="Times New Roman" w:hAnsi="Times New Roman"/>
              <w:sz w:val="24"/>
              <w:szCs w:val="24"/>
            </w:rPr>
            <w:t xml:space="preserve">El resto de las Otras Cuentas por pagar con </w:t>
          </w:r>
          <w:r w:rsidR="000F5584" w:rsidRPr="4E86AEC8">
            <w:rPr>
              <w:rFonts w:ascii="Times New Roman" w:hAnsi="Times New Roman"/>
              <w:sz w:val="24"/>
              <w:szCs w:val="24"/>
            </w:rPr>
            <w:t>valores pendientes a 31 de diciembre</w:t>
          </w:r>
          <w:r>
            <w:rPr>
              <w:rFonts w:ascii="Times New Roman" w:hAnsi="Times New Roman"/>
              <w:sz w:val="24"/>
              <w:szCs w:val="24"/>
            </w:rPr>
            <w:t xml:space="preserve"> de bienes o servicios</w:t>
          </w:r>
          <w:r w:rsidR="000F5584" w:rsidRPr="4E86AEC8">
            <w:rPr>
              <w:rFonts w:ascii="Times New Roman" w:hAnsi="Times New Roman"/>
              <w:sz w:val="24"/>
              <w:szCs w:val="24"/>
            </w:rPr>
            <w:t xml:space="preserve"> recibidos a satisfacción corresponden: i) </w:t>
          </w:r>
          <w:r w:rsidR="00070C05" w:rsidRPr="4E86AEC8">
            <w:rPr>
              <w:rFonts w:ascii="Times New Roman" w:hAnsi="Times New Roman"/>
              <w:sz w:val="24"/>
              <w:szCs w:val="24"/>
            </w:rPr>
            <w:t>$</w:t>
          </w:r>
          <w:r w:rsidR="3EC12E19" w:rsidRPr="4E86AEC8">
            <w:rPr>
              <w:rFonts w:ascii="Times New Roman" w:hAnsi="Times New Roman"/>
              <w:sz w:val="24"/>
              <w:szCs w:val="24"/>
            </w:rPr>
            <w:t>535.050</w:t>
          </w:r>
          <w:r w:rsidR="1BA7BCFC" w:rsidRPr="4E86AEC8">
            <w:rPr>
              <w:rFonts w:ascii="Times New Roman" w:hAnsi="Times New Roman"/>
              <w:sz w:val="24"/>
              <w:szCs w:val="24"/>
            </w:rPr>
            <w:t xml:space="preserve"> </w:t>
          </w:r>
          <w:r w:rsidR="000F5584" w:rsidRPr="4E86AEC8">
            <w:rPr>
              <w:rFonts w:ascii="Times New Roman" w:hAnsi="Times New Roman"/>
              <w:sz w:val="24"/>
              <w:szCs w:val="24"/>
            </w:rPr>
            <w:t xml:space="preserve">por concepto de </w:t>
          </w:r>
          <w:r w:rsidR="00070C05" w:rsidRPr="4E86AEC8">
            <w:rPr>
              <w:rFonts w:ascii="Times New Roman" w:hAnsi="Times New Roman"/>
              <w:sz w:val="24"/>
              <w:szCs w:val="24"/>
            </w:rPr>
            <w:t>viáticos y gastos de viaje</w:t>
          </w:r>
          <w:r w:rsidR="42A6391E" w:rsidRPr="4E86AEC8">
            <w:rPr>
              <w:rFonts w:ascii="Times New Roman" w:hAnsi="Times New Roman"/>
              <w:sz w:val="24"/>
              <w:szCs w:val="24"/>
            </w:rPr>
            <w:t xml:space="preserve">, </w:t>
          </w:r>
          <w:r w:rsidR="000F5584" w:rsidRPr="4E86AEC8">
            <w:rPr>
              <w:rFonts w:ascii="Times New Roman" w:hAnsi="Times New Roman"/>
              <w:sz w:val="24"/>
              <w:szCs w:val="24"/>
            </w:rPr>
            <w:t xml:space="preserve">ii) </w:t>
          </w:r>
          <w:r w:rsidR="00070C05" w:rsidRPr="4E86AEC8">
            <w:rPr>
              <w:rFonts w:ascii="Times New Roman" w:hAnsi="Times New Roman"/>
              <w:sz w:val="24"/>
              <w:szCs w:val="24"/>
            </w:rPr>
            <w:t>$</w:t>
          </w:r>
          <w:r w:rsidR="3BE79126" w:rsidRPr="4E86AEC8">
            <w:rPr>
              <w:rFonts w:ascii="Times New Roman" w:hAnsi="Times New Roman"/>
              <w:sz w:val="24"/>
              <w:szCs w:val="24"/>
            </w:rPr>
            <w:t>164.918.763</w:t>
          </w:r>
          <w:r w:rsidR="000F5584" w:rsidRPr="4E86AEC8">
            <w:rPr>
              <w:rFonts w:ascii="Times New Roman" w:hAnsi="Times New Roman"/>
              <w:sz w:val="24"/>
              <w:szCs w:val="24"/>
            </w:rPr>
            <w:t xml:space="preserve">, por concepto de </w:t>
          </w:r>
          <w:r w:rsidR="00070C05" w:rsidRPr="4E86AEC8">
            <w:rPr>
              <w:rFonts w:ascii="Times New Roman" w:hAnsi="Times New Roman"/>
              <w:sz w:val="24"/>
              <w:szCs w:val="24"/>
            </w:rPr>
            <w:t>Honorarios</w:t>
          </w:r>
          <w:r w:rsidR="000F5584" w:rsidRPr="4E86AEC8">
            <w:rPr>
              <w:rFonts w:ascii="Times New Roman" w:hAnsi="Times New Roman"/>
              <w:sz w:val="24"/>
              <w:szCs w:val="24"/>
            </w:rPr>
            <w:t xml:space="preserve"> a favor de contratistas</w:t>
          </w:r>
          <w:r w:rsidR="00070C05" w:rsidRPr="4E86AEC8">
            <w:rPr>
              <w:rFonts w:ascii="Times New Roman" w:hAnsi="Times New Roman"/>
              <w:sz w:val="24"/>
              <w:szCs w:val="24"/>
            </w:rPr>
            <w:t xml:space="preserve"> y </w:t>
          </w:r>
          <w:r w:rsidR="000F5584" w:rsidRPr="4E86AEC8">
            <w:rPr>
              <w:rFonts w:ascii="Times New Roman" w:hAnsi="Times New Roman"/>
              <w:sz w:val="24"/>
              <w:szCs w:val="24"/>
            </w:rPr>
            <w:t xml:space="preserve">ii) </w:t>
          </w:r>
          <w:r w:rsidR="00070C05" w:rsidRPr="4E86AEC8">
            <w:rPr>
              <w:rFonts w:ascii="Times New Roman" w:hAnsi="Times New Roman"/>
              <w:sz w:val="24"/>
              <w:szCs w:val="24"/>
            </w:rPr>
            <w:t>$</w:t>
          </w:r>
          <w:r w:rsidR="5E30FD27" w:rsidRPr="4E86AEC8">
            <w:rPr>
              <w:rFonts w:ascii="Times New Roman" w:hAnsi="Times New Roman"/>
              <w:sz w:val="24"/>
              <w:szCs w:val="24"/>
            </w:rPr>
            <w:t>672.628.053</w:t>
          </w:r>
          <w:r w:rsidR="00070C05" w:rsidRPr="4E86AEC8">
            <w:rPr>
              <w:rFonts w:ascii="Times New Roman" w:hAnsi="Times New Roman"/>
              <w:sz w:val="24"/>
              <w:szCs w:val="24"/>
            </w:rPr>
            <w:t>,</w:t>
          </w:r>
          <w:r w:rsidR="000F5584" w:rsidRPr="4E86AEC8">
            <w:rPr>
              <w:rFonts w:ascii="Times New Roman" w:hAnsi="Times New Roman"/>
              <w:sz w:val="24"/>
              <w:szCs w:val="24"/>
            </w:rPr>
            <w:t xml:space="preserve"> por concepto de </w:t>
          </w:r>
          <w:r w:rsidR="00070C05" w:rsidRPr="4E86AEC8">
            <w:rPr>
              <w:rFonts w:ascii="Times New Roman" w:hAnsi="Times New Roman"/>
              <w:sz w:val="24"/>
              <w:szCs w:val="24"/>
            </w:rPr>
            <w:t>servicios</w:t>
          </w:r>
          <w:r w:rsidR="000F5584" w:rsidRPr="4E86AEC8">
            <w:rPr>
              <w:rFonts w:ascii="Times New Roman" w:hAnsi="Times New Roman"/>
              <w:sz w:val="24"/>
              <w:szCs w:val="24"/>
            </w:rPr>
            <w:t xml:space="preserve"> a favor de contratistas</w:t>
          </w:r>
          <w:r w:rsidR="57F054D4" w:rsidRPr="4E86AEC8">
            <w:rPr>
              <w:rFonts w:ascii="Times New Roman" w:hAnsi="Times New Roman"/>
              <w:sz w:val="24"/>
              <w:szCs w:val="24"/>
            </w:rPr>
            <w:t>.</w:t>
          </w:r>
          <w:r>
            <w:rPr>
              <w:rFonts w:ascii="Times New Roman" w:hAnsi="Times New Roman"/>
              <w:sz w:val="24"/>
              <w:szCs w:val="24"/>
            </w:rPr>
            <w:t xml:space="preserve"> </w:t>
          </w:r>
          <w:r w:rsidR="00070C05" w:rsidRPr="00931DCE">
            <w:rPr>
              <w:rFonts w:ascii="Times New Roman" w:hAnsi="Times New Roman"/>
              <w:sz w:val="24"/>
              <w:szCs w:val="24"/>
            </w:rPr>
            <w:t>El valor de $2.997</w:t>
          </w:r>
          <w:r>
            <w:rPr>
              <w:rFonts w:ascii="Times New Roman" w:hAnsi="Times New Roman"/>
              <w:sz w:val="24"/>
              <w:szCs w:val="24"/>
            </w:rPr>
            <w:t>.003</w:t>
          </w:r>
          <w:r w:rsidR="00070C05" w:rsidRPr="00931DCE">
            <w:rPr>
              <w:rFonts w:ascii="Times New Roman" w:hAnsi="Times New Roman"/>
              <w:sz w:val="24"/>
              <w:szCs w:val="24"/>
            </w:rPr>
            <w:t xml:space="preserve">, corresponde a un mayor valor girado por TURISTREN LTDA. pendiente de reintegrar. </w:t>
          </w:r>
        </w:p>
        <w:p w14:paraId="15AEF3AC" w14:textId="77777777" w:rsidR="00070C05" w:rsidRPr="00931DCE" w:rsidRDefault="00070C05" w:rsidP="00215CC6">
          <w:pPr>
            <w:spacing w:after="0" w:line="240" w:lineRule="auto"/>
            <w:jc w:val="both"/>
            <w:rPr>
              <w:rFonts w:ascii="Times New Roman" w:hAnsi="Times New Roman"/>
              <w:sz w:val="24"/>
              <w:szCs w:val="24"/>
            </w:rPr>
          </w:pPr>
        </w:p>
        <w:p w14:paraId="73C6CBAC" w14:textId="42263DA0" w:rsidR="00070C05" w:rsidRPr="00931DCE" w:rsidRDefault="00070C05" w:rsidP="005C23E9">
          <w:pPr>
            <w:spacing w:after="0" w:line="240" w:lineRule="auto"/>
            <w:jc w:val="both"/>
            <w:rPr>
              <w:rFonts w:ascii="Times New Roman" w:hAnsi="Times New Roman"/>
              <w:sz w:val="24"/>
              <w:szCs w:val="24"/>
            </w:rPr>
          </w:pPr>
          <w:r w:rsidRPr="00931DCE">
            <w:rPr>
              <w:rFonts w:ascii="Times New Roman" w:hAnsi="Times New Roman"/>
              <w:sz w:val="24"/>
              <w:szCs w:val="24"/>
            </w:rPr>
            <w:t xml:space="preserve">En la vigencia </w:t>
          </w:r>
          <w:r w:rsidR="00EF6E05" w:rsidRPr="4E86AEC8">
            <w:rPr>
              <w:rFonts w:ascii="Times New Roman" w:hAnsi="Times New Roman"/>
              <w:sz w:val="24"/>
              <w:szCs w:val="24"/>
            </w:rPr>
            <w:t>202</w:t>
          </w:r>
          <w:r w:rsidR="3F8F56BE" w:rsidRPr="4E86AEC8">
            <w:rPr>
              <w:rFonts w:ascii="Times New Roman" w:hAnsi="Times New Roman"/>
              <w:sz w:val="24"/>
              <w:szCs w:val="24"/>
            </w:rPr>
            <w:t>3</w:t>
          </w:r>
          <w:r w:rsidRPr="00931DCE">
            <w:rPr>
              <w:rFonts w:ascii="Times New Roman" w:hAnsi="Times New Roman"/>
              <w:sz w:val="24"/>
              <w:szCs w:val="24"/>
            </w:rPr>
            <w:t xml:space="preserve">, no se infringen los plazos o incumple con el pago del principal, intereses o cláusulas de reembolso, ni se realizó corrección de la infracción o renegociación de las </w:t>
          </w:r>
          <w:r w:rsidRPr="00931DCE">
            <w:rPr>
              <w:rFonts w:ascii="Times New Roman" w:hAnsi="Times New Roman"/>
              <w:sz w:val="24"/>
              <w:szCs w:val="24"/>
            </w:rPr>
            <w:lastRenderedPageBreak/>
            <w:t>condiciones de las cuentas por pagar, antes de la fecha para la publicación de los estados financieros.</w:t>
          </w:r>
        </w:p>
        <w:p w14:paraId="7E0410A6" w14:textId="77777777" w:rsidR="00EC5332" w:rsidRDefault="00EC5332" w:rsidP="00EC5332">
          <w:pPr>
            <w:spacing w:after="0" w:line="240" w:lineRule="auto"/>
            <w:rPr>
              <w:rFonts w:ascii="Times New Roman" w:hAnsi="Times New Roman"/>
            </w:rPr>
          </w:pPr>
        </w:p>
        <w:p w14:paraId="7A040C99" w14:textId="77777777" w:rsidR="00B22200" w:rsidRPr="00931DCE" w:rsidRDefault="00B22200" w:rsidP="00EC5332">
          <w:pPr>
            <w:spacing w:after="0" w:line="240" w:lineRule="auto"/>
            <w:rPr>
              <w:rFonts w:ascii="Times New Roman" w:hAnsi="Times New Roman"/>
            </w:rPr>
          </w:pPr>
        </w:p>
        <w:p w14:paraId="44F6E862" w14:textId="6B5726B4" w:rsidR="00C93FE3" w:rsidRPr="00931DCE" w:rsidRDefault="00C93FE3" w:rsidP="00EC5332">
          <w:pPr>
            <w:pStyle w:val="Ttulo1"/>
            <w:rPr>
              <w:rFonts w:cs="Times New Roman"/>
            </w:rPr>
          </w:pPr>
          <w:bookmarkStart w:id="70" w:name="_Toc159952406"/>
          <w:r w:rsidRPr="00931DCE">
            <w:rPr>
              <w:rFonts w:cs="Times New Roman"/>
            </w:rPr>
            <w:t>NOTA 2</w:t>
          </w:r>
          <w:r w:rsidR="00B51A07" w:rsidRPr="00931DCE">
            <w:rPr>
              <w:rFonts w:cs="Times New Roman"/>
            </w:rPr>
            <w:t>2</w:t>
          </w:r>
          <w:r w:rsidRPr="00931DCE">
            <w:rPr>
              <w:rFonts w:cs="Times New Roman"/>
            </w:rPr>
            <w:t>. BENEFICIOS A LOS EMPLEADOS</w:t>
          </w:r>
          <w:bookmarkEnd w:id="70"/>
        </w:p>
        <w:p w14:paraId="0F88E582" w14:textId="77777777" w:rsidR="00B51A07" w:rsidRPr="00931DCE" w:rsidRDefault="00B51A07" w:rsidP="00EC5332">
          <w:pPr>
            <w:spacing w:after="0" w:line="240" w:lineRule="auto"/>
            <w:jc w:val="both"/>
            <w:rPr>
              <w:rFonts w:ascii="Times New Roman" w:hAnsi="Times New Roman"/>
              <w:b/>
              <w:sz w:val="24"/>
              <w:szCs w:val="24"/>
            </w:rPr>
          </w:pPr>
        </w:p>
        <w:p w14:paraId="11D965ED" w14:textId="526B9A17" w:rsidR="00B51A07" w:rsidRPr="00931DCE" w:rsidRDefault="00B51A07" w:rsidP="00EC5332">
          <w:pPr>
            <w:pStyle w:val="Ttulo2"/>
            <w:numPr>
              <w:ilvl w:val="0"/>
              <w:numId w:val="0"/>
            </w:numPr>
            <w:spacing w:line="240" w:lineRule="auto"/>
            <w:rPr>
              <w:rFonts w:cs="Times New Roman"/>
              <w:szCs w:val="22"/>
            </w:rPr>
          </w:pPr>
          <w:bookmarkStart w:id="71" w:name="_Toc159952407"/>
          <w:r w:rsidRPr="00931DCE">
            <w:rPr>
              <w:rFonts w:cs="Times New Roman"/>
              <w:szCs w:val="22"/>
            </w:rPr>
            <w:t>Com</w:t>
          </w:r>
          <w:r w:rsidR="005313E1">
            <w:rPr>
              <w:rFonts w:cs="Times New Roman"/>
              <w:szCs w:val="22"/>
            </w:rPr>
            <w:t>p</w:t>
          </w:r>
          <w:r w:rsidRPr="00931DCE">
            <w:rPr>
              <w:rFonts w:cs="Times New Roman"/>
              <w:szCs w:val="22"/>
            </w:rPr>
            <w:t>osición</w:t>
          </w:r>
          <w:bookmarkEnd w:id="71"/>
        </w:p>
        <w:p w14:paraId="0B686C26" w14:textId="24A60654" w:rsidR="00E351B1" w:rsidRPr="00931DCE" w:rsidRDefault="00E351B1" w:rsidP="00693ADA">
          <w:pPr>
            <w:spacing w:after="0" w:line="240" w:lineRule="auto"/>
            <w:jc w:val="both"/>
            <w:rPr>
              <w:rFonts w:ascii="Times New Roman" w:hAnsi="Times New Roman"/>
              <w:sz w:val="24"/>
              <w:szCs w:val="24"/>
              <w:u w:val="single"/>
            </w:rPr>
          </w:pPr>
        </w:p>
        <w:p w14:paraId="3D4346B4" w14:textId="77777777" w:rsidR="00FC7C22" w:rsidRPr="00931DCE" w:rsidRDefault="00FC7C22" w:rsidP="00FC7C22">
          <w:pPr>
            <w:spacing w:after="0" w:line="240" w:lineRule="auto"/>
            <w:jc w:val="both"/>
            <w:rPr>
              <w:rFonts w:ascii="Times New Roman" w:hAnsi="Times New Roman"/>
              <w:sz w:val="24"/>
              <w:szCs w:val="24"/>
            </w:rPr>
          </w:pPr>
          <w:r w:rsidRPr="00931DCE">
            <w:rPr>
              <w:rFonts w:ascii="Times New Roman" w:hAnsi="Times New Roman"/>
              <w:sz w:val="24"/>
              <w:szCs w:val="20"/>
            </w:rPr>
            <w:t>Son las retribuciones que la entidad proporciona a sus trabajadores a cambio de sus servicios, incluyendo, cuando haya lugar, beneficios por terminación del vínculo laboral o contractual. Incluyen los beneficios suministrados directamente a los empleados, como los que se proporcionan a sus sobrevivientes, beneficiarios y/o sustitutos, según lo establecido en la normatividad vigente, en los acuerdos contractuales o en las obligaciones implícitas que dan origen al beneficio.</w:t>
          </w:r>
        </w:p>
        <w:p w14:paraId="58FC493F" w14:textId="77777777" w:rsidR="00FC7C22" w:rsidRPr="00931DCE" w:rsidRDefault="00FC7C22" w:rsidP="00FC7C22">
          <w:pPr>
            <w:spacing w:after="0" w:line="240" w:lineRule="auto"/>
            <w:jc w:val="both"/>
            <w:rPr>
              <w:rFonts w:ascii="Times New Roman" w:hAnsi="Times New Roman"/>
              <w:sz w:val="24"/>
              <w:szCs w:val="20"/>
            </w:rPr>
          </w:pPr>
        </w:p>
        <w:p w14:paraId="6192D844" w14:textId="77777777" w:rsidR="00FC7C22" w:rsidRDefault="00FC7C22" w:rsidP="00FC7C22">
          <w:pPr>
            <w:spacing w:after="0" w:line="240" w:lineRule="auto"/>
            <w:jc w:val="both"/>
            <w:rPr>
              <w:rFonts w:ascii="Times New Roman" w:hAnsi="Times New Roman"/>
              <w:sz w:val="24"/>
              <w:szCs w:val="20"/>
            </w:rPr>
          </w:pPr>
          <w:r w:rsidRPr="00931DCE">
            <w:rPr>
              <w:rFonts w:ascii="Times New Roman" w:hAnsi="Times New Roman"/>
              <w:sz w:val="24"/>
              <w:szCs w:val="20"/>
            </w:rPr>
            <w:t>De la clasificación de beneficios a empleados definida en el Marco Normativo, la entidad cuenta únicamente con los de corto plazo que incluyen a los empleados de nómina de planta.</w:t>
          </w:r>
        </w:p>
        <w:p w14:paraId="7B2B2D95" w14:textId="77777777" w:rsidR="00B22200" w:rsidRPr="00931DCE" w:rsidRDefault="00B22200" w:rsidP="00FC7C22">
          <w:pPr>
            <w:spacing w:after="0" w:line="240" w:lineRule="auto"/>
            <w:jc w:val="both"/>
            <w:rPr>
              <w:rFonts w:ascii="Times New Roman" w:hAnsi="Times New Roman"/>
              <w:sz w:val="24"/>
              <w:szCs w:val="20"/>
            </w:rPr>
          </w:pPr>
        </w:p>
        <w:tbl>
          <w:tblPr>
            <w:tblW w:w="4928"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CellMar>
              <w:left w:w="70" w:type="dxa"/>
              <w:right w:w="70" w:type="dxa"/>
            </w:tblCellMar>
            <w:tblLook w:val="04A0" w:firstRow="1" w:lastRow="0" w:firstColumn="1" w:lastColumn="0" w:noHBand="0" w:noVBand="1"/>
          </w:tblPr>
          <w:tblGrid>
            <w:gridCol w:w="1043"/>
            <w:gridCol w:w="797"/>
            <w:gridCol w:w="3128"/>
            <w:gridCol w:w="1420"/>
            <w:gridCol w:w="1140"/>
            <w:gridCol w:w="1312"/>
          </w:tblGrid>
          <w:tr w:rsidR="00FF6554" w:rsidRPr="00FF6554" w14:paraId="7E4BA4EA" w14:textId="77777777" w:rsidTr="00B22200">
            <w:trPr>
              <w:trHeight w:val="347"/>
            </w:trPr>
            <w:tc>
              <w:tcPr>
                <w:tcW w:w="2810" w:type="pct"/>
                <w:gridSpan w:val="3"/>
                <w:shd w:val="clear" w:color="auto" w:fill="auto"/>
                <w:vAlign w:val="center"/>
                <w:hideMark/>
              </w:tcPr>
              <w:p w14:paraId="1D9FB2F4" w14:textId="77777777" w:rsidR="00FF6554" w:rsidRPr="009A46BB" w:rsidRDefault="00FF6554" w:rsidP="00FF6554">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DESCRIPCIÓN</w:t>
                </w:r>
              </w:p>
            </w:tc>
            <w:tc>
              <w:tcPr>
                <w:tcW w:w="1448" w:type="pct"/>
                <w:gridSpan w:val="2"/>
                <w:shd w:val="clear" w:color="auto" w:fill="auto"/>
                <w:vAlign w:val="center"/>
                <w:hideMark/>
              </w:tcPr>
              <w:p w14:paraId="12A0F4A3" w14:textId="77777777" w:rsidR="00FF6554" w:rsidRPr="009A46BB" w:rsidRDefault="00FF6554" w:rsidP="00FF6554">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SALDOS A CORTES DE VIGENCIA</w:t>
                </w:r>
              </w:p>
            </w:tc>
            <w:tc>
              <w:tcPr>
                <w:tcW w:w="742" w:type="pct"/>
                <w:shd w:val="clear" w:color="auto" w:fill="auto"/>
                <w:vAlign w:val="center"/>
                <w:hideMark/>
              </w:tcPr>
              <w:p w14:paraId="43D5DB52" w14:textId="77777777" w:rsidR="00FF6554" w:rsidRPr="009A46BB" w:rsidRDefault="00FF6554" w:rsidP="00FF6554">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VARIACIÓN</w:t>
                </w:r>
              </w:p>
            </w:tc>
          </w:tr>
          <w:tr w:rsidR="00FF6554" w:rsidRPr="00306B1D" w14:paraId="528FCA12" w14:textId="77777777" w:rsidTr="00B22200">
            <w:trPr>
              <w:trHeight w:val="347"/>
            </w:trPr>
            <w:tc>
              <w:tcPr>
                <w:tcW w:w="590" w:type="pct"/>
                <w:shd w:val="clear" w:color="auto" w:fill="auto"/>
                <w:vAlign w:val="center"/>
                <w:hideMark/>
              </w:tcPr>
              <w:p w14:paraId="370293D4" w14:textId="77777777" w:rsidR="00FF6554" w:rsidRPr="009A46BB" w:rsidRDefault="00FF6554" w:rsidP="00FF6554">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CÓDIGO CONTABLE</w:t>
                </w:r>
              </w:p>
            </w:tc>
            <w:tc>
              <w:tcPr>
                <w:tcW w:w="451" w:type="pct"/>
                <w:shd w:val="clear" w:color="auto" w:fill="auto"/>
                <w:vAlign w:val="center"/>
                <w:hideMark/>
              </w:tcPr>
              <w:p w14:paraId="78EDF85D" w14:textId="77777777" w:rsidR="00FF6554" w:rsidRPr="009A46BB" w:rsidRDefault="00FF6554" w:rsidP="00FF6554">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NAT</w:t>
                </w:r>
              </w:p>
            </w:tc>
            <w:tc>
              <w:tcPr>
                <w:tcW w:w="1769" w:type="pct"/>
                <w:shd w:val="clear" w:color="auto" w:fill="auto"/>
                <w:vAlign w:val="center"/>
                <w:hideMark/>
              </w:tcPr>
              <w:p w14:paraId="5C5E0B82" w14:textId="77777777" w:rsidR="00FF6554" w:rsidRPr="009A46BB" w:rsidRDefault="00FF6554" w:rsidP="00FF6554">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CONCEPTO</w:t>
                </w:r>
              </w:p>
            </w:tc>
            <w:tc>
              <w:tcPr>
                <w:tcW w:w="803" w:type="pct"/>
                <w:shd w:val="clear" w:color="auto" w:fill="auto"/>
                <w:vAlign w:val="center"/>
                <w:hideMark/>
              </w:tcPr>
              <w:p w14:paraId="1EEC60A8" w14:textId="77777777" w:rsidR="00FF6554" w:rsidRPr="009A46BB" w:rsidRDefault="00FF6554" w:rsidP="00FF6554">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2023 </w:t>
                </w:r>
              </w:p>
            </w:tc>
            <w:tc>
              <w:tcPr>
                <w:tcW w:w="645" w:type="pct"/>
                <w:shd w:val="clear" w:color="auto" w:fill="auto"/>
                <w:vAlign w:val="center"/>
                <w:hideMark/>
              </w:tcPr>
              <w:p w14:paraId="6D44CC1E" w14:textId="77777777" w:rsidR="00FF6554" w:rsidRPr="009A46BB" w:rsidRDefault="00FF6554" w:rsidP="00FF6554">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2022 </w:t>
                </w:r>
              </w:p>
            </w:tc>
            <w:tc>
              <w:tcPr>
                <w:tcW w:w="742" w:type="pct"/>
                <w:shd w:val="clear" w:color="auto" w:fill="auto"/>
                <w:vAlign w:val="center"/>
                <w:hideMark/>
              </w:tcPr>
              <w:p w14:paraId="035798DB" w14:textId="77777777" w:rsidR="00FF6554" w:rsidRPr="009A46BB" w:rsidRDefault="00FF6554" w:rsidP="00FF6554">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VALOR VARIACIÓN</w:t>
                </w:r>
              </w:p>
            </w:tc>
          </w:tr>
          <w:tr w:rsidR="00FF6554" w:rsidRPr="00306B1D" w14:paraId="7F252655" w14:textId="77777777" w:rsidTr="00B22200">
            <w:trPr>
              <w:trHeight w:val="90"/>
            </w:trPr>
            <w:tc>
              <w:tcPr>
                <w:tcW w:w="590" w:type="pct"/>
                <w:shd w:val="clear" w:color="auto" w:fill="auto"/>
                <w:noWrap/>
                <w:vAlign w:val="center"/>
                <w:hideMark/>
              </w:tcPr>
              <w:p w14:paraId="7147FD70" w14:textId="77777777" w:rsidR="00FF6554" w:rsidRPr="009A46BB" w:rsidRDefault="00FF6554" w:rsidP="00FF6554">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2.5</w:t>
                </w:r>
              </w:p>
            </w:tc>
            <w:tc>
              <w:tcPr>
                <w:tcW w:w="451" w:type="pct"/>
                <w:shd w:val="clear" w:color="auto" w:fill="auto"/>
                <w:noWrap/>
                <w:vAlign w:val="center"/>
                <w:hideMark/>
              </w:tcPr>
              <w:p w14:paraId="71D296EA" w14:textId="77777777" w:rsidR="00FF6554" w:rsidRPr="009A46BB" w:rsidRDefault="00FF6554" w:rsidP="00FF6554">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Cr</w:t>
                </w:r>
              </w:p>
            </w:tc>
            <w:tc>
              <w:tcPr>
                <w:tcW w:w="1769" w:type="pct"/>
                <w:shd w:val="clear" w:color="auto" w:fill="auto"/>
                <w:vAlign w:val="center"/>
                <w:hideMark/>
              </w:tcPr>
              <w:p w14:paraId="36F47822" w14:textId="77777777" w:rsidR="00FF6554" w:rsidRPr="009A46BB" w:rsidRDefault="00FF6554" w:rsidP="00B52B5C">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BENEFICIOS A LOS EMPLEADOS</w:t>
                </w:r>
              </w:p>
            </w:tc>
            <w:tc>
              <w:tcPr>
                <w:tcW w:w="803" w:type="pct"/>
                <w:shd w:val="clear" w:color="auto" w:fill="auto"/>
                <w:noWrap/>
                <w:vAlign w:val="center"/>
                <w:hideMark/>
              </w:tcPr>
              <w:p w14:paraId="5BB18432" w14:textId="36906FF9" w:rsidR="00FF6554" w:rsidRPr="009A46BB" w:rsidRDefault="00FF6554" w:rsidP="00FF6554">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6.033.284.578</w:t>
                </w:r>
              </w:p>
            </w:tc>
            <w:tc>
              <w:tcPr>
                <w:tcW w:w="645" w:type="pct"/>
                <w:shd w:val="clear" w:color="auto" w:fill="auto"/>
                <w:noWrap/>
                <w:vAlign w:val="center"/>
                <w:hideMark/>
              </w:tcPr>
              <w:p w14:paraId="442955D2" w14:textId="30DD4AF4" w:rsidR="00FF6554" w:rsidRPr="009A46BB" w:rsidRDefault="00FF6554" w:rsidP="00FF6554">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5.278.519.823</w:t>
                </w:r>
              </w:p>
            </w:tc>
            <w:tc>
              <w:tcPr>
                <w:tcW w:w="742" w:type="pct"/>
                <w:shd w:val="clear" w:color="auto" w:fill="auto"/>
                <w:noWrap/>
                <w:vAlign w:val="center"/>
                <w:hideMark/>
              </w:tcPr>
              <w:p w14:paraId="00CE2319" w14:textId="6EAC3372" w:rsidR="00FF6554" w:rsidRPr="009A46BB" w:rsidRDefault="00FF6554" w:rsidP="00FF6554">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754.764.755</w:t>
                </w:r>
              </w:p>
            </w:tc>
          </w:tr>
          <w:tr w:rsidR="00FF6554" w:rsidRPr="00306B1D" w14:paraId="28982DF1" w14:textId="77777777" w:rsidTr="00B22200">
            <w:trPr>
              <w:trHeight w:val="178"/>
            </w:trPr>
            <w:tc>
              <w:tcPr>
                <w:tcW w:w="590" w:type="pct"/>
                <w:shd w:val="clear" w:color="auto" w:fill="auto"/>
                <w:noWrap/>
                <w:vAlign w:val="center"/>
                <w:hideMark/>
              </w:tcPr>
              <w:p w14:paraId="4F3C8A2F" w14:textId="77777777" w:rsidR="00FF6554" w:rsidRPr="009A46BB" w:rsidRDefault="00FF6554" w:rsidP="00FF6554">
                <w:pPr>
                  <w:spacing w:after="0" w:line="240" w:lineRule="auto"/>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2.5.11</w:t>
                </w:r>
              </w:p>
            </w:tc>
            <w:tc>
              <w:tcPr>
                <w:tcW w:w="451" w:type="pct"/>
                <w:shd w:val="clear" w:color="auto" w:fill="auto"/>
                <w:noWrap/>
                <w:vAlign w:val="center"/>
                <w:hideMark/>
              </w:tcPr>
              <w:p w14:paraId="608E0377" w14:textId="77777777" w:rsidR="00FF6554" w:rsidRPr="009A46BB" w:rsidRDefault="00FF6554" w:rsidP="00FF6554">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Cr</w:t>
                </w:r>
              </w:p>
            </w:tc>
            <w:tc>
              <w:tcPr>
                <w:tcW w:w="1769" w:type="pct"/>
                <w:shd w:val="clear" w:color="auto" w:fill="auto"/>
                <w:vAlign w:val="center"/>
                <w:hideMark/>
              </w:tcPr>
              <w:p w14:paraId="4327D6A1" w14:textId="77777777" w:rsidR="00FF6554" w:rsidRPr="009A46BB" w:rsidRDefault="00FF6554" w:rsidP="00FF6554">
                <w:pPr>
                  <w:spacing w:after="0" w:line="240" w:lineRule="auto"/>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Beneficios a los empleados a corto plazo</w:t>
                </w:r>
              </w:p>
            </w:tc>
            <w:tc>
              <w:tcPr>
                <w:tcW w:w="803" w:type="pct"/>
                <w:shd w:val="clear" w:color="auto" w:fill="auto"/>
                <w:noWrap/>
                <w:vAlign w:val="center"/>
                <w:hideMark/>
              </w:tcPr>
              <w:p w14:paraId="6A61B5A1" w14:textId="4A3C51B3" w:rsidR="00FF6554" w:rsidRPr="009A46BB" w:rsidRDefault="00FF6554" w:rsidP="00FF6554">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6.033.284.578</w:t>
                </w:r>
              </w:p>
            </w:tc>
            <w:tc>
              <w:tcPr>
                <w:tcW w:w="645" w:type="pct"/>
                <w:shd w:val="clear" w:color="auto" w:fill="auto"/>
                <w:noWrap/>
                <w:vAlign w:val="center"/>
                <w:hideMark/>
              </w:tcPr>
              <w:p w14:paraId="4181C4D8" w14:textId="1B5D15DE" w:rsidR="00FF6554" w:rsidRPr="009A46BB" w:rsidRDefault="00FF6554" w:rsidP="00FF6554">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5.278.519.823</w:t>
                </w:r>
              </w:p>
            </w:tc>
            <w:tc>
              <w:tcPr>
                <w:tcW w:w="742" w:type="pct"/>
                <w:shd w:val="clear" w:color="auto" w:fill="auto"/>
                <w:noWrap/>
                <w:vAlign w:val="center"/>
                <w:hideMark/>
              </w:tcPr>
              <w:p w14:paraId="2A6966C4" w14:textId="35C694D2" w:rsidR="00FF6554" w:rsidRPr="009A46BB" w:rsidRDefault="00FF6554" w:rsidP="00FF6554">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754.764.755</w:t>
                </w:r>
              </w:p>
            </w:tc>
          </w:tr>
          <w:tr w:rsidR="00FF6554" w:rsidRPr="00FF6554" w14:paraId="7F9314FB" w14:textId="77777777" w:rsidTr="00B22200">
            <w:trPr>
              <w:trHeight w:val="269"/>
            </w:trPr>
            <w:tc>
              <w:tcPr>
                <w:tcW w:w="1041" w:type="pct"/>
                <w:gridSpan w:val="2"/>
                <w:vMerge w:val="restart"/>
                <w:shd w:val="clear" w:color="auto" w:fill="auto"/>
                <w:vAlign w:val="center"/>
                <w:hideMark/>
              </w:tcPr>
              <w:p w14:paraId="71274DFD" w14:textId="77777777" w:rsidR="00FF6554" w:rsidRPr="009A46BB" w:rsidRDefault="00FF6554" w:rsidP="00FF6554">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Beneficios</w:t>
                </w:r>
                <w:r w:rsidRPr="009A46BB">
                  <w:rPr>
                    <w:rFonts w:ascii="Times New Roman" w:eastAsia="Times New Roman" w:hAnsi="Times New Roman"/>
                    <w:b/>
                    <w:sz w:val="16"/>
                    <w:szCs w:val="16"/>
                    <w:lang w:eastAsia="es-CO"/>
                  </w:rPr>
                  <w:br/>
                  <w:t>(-) Plan de Activos</w:t>
                </w:r>
                <w:r w:rsidRPr="009A46BB">
                  <w:rPr>
                    <w:rFonts w:ascii="Times New Roman" w:eastAsia="Times New Roman" w:hAnsi="Times New Roman"/>
                    <w:b/>
                    <w:sz w:val="16"/>
                    <w:szCs w:val="16"/>
                    <w:lang w:eastAsia="es-CO"/>
                  </w:rPr>
                  <w:br/>
                  <w:t>_______________</w:t>
                </w:r>
                <w:r w:rsidRPr="009A46BB">
                  <w:rPr>
                    <w:rFonts w:ascii="Times New Roman" w:eastAsia="Times New Roman" w:hAnsi="Times New Roman"/>
                    <w:b/>
                    <w:sz w:val="16"/>
                    <w:szCs w:val="16"/>
                    <w:lang w:eastAsia="es-CO"/>
                  </w:rPr>
                  <w:br/>
                  <w:t>(=) NETO</w:t>
                </w:r>
              </w:p>
            </w:tc>
            <w:tc>
              <w:tcPr>
                <w:tcW w:w="1769" w:type="pct"/>
                <w:vMerge w:val="restart"/>
                <w:shd w:val="clear" w:color="auto" w:fill="auto"/>
                <w:vAlign w:val="center"/>
                <w:hideMark/>
              </w:tcPr>
              <w:p w14:paraId="0BE7E224" w14:textId="61D7DA64" w:rsidR="00FF6554" w:rsidRPr="009A46BB" w:rsidRDefault="00FF6554" w:rsidP="00B52B5C">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RESULTADO NETO DE LOS BENEFICIOS</w:t>
                </w:r>
                <w:r w:rsidR="00154488">
                  <w:rPr>
                    <w:rFonts w:ascii="Times New Roman" w:eastAsia="Times New Roman" w:hAnsi="Times New Roman"/>
                    <w:b/>
                    <w:sz w:val="16"/>
                    <w:szCs w:val="16"/>
                    <w:lang w:eastAsia="es-CO"/>
                  </w:rPr>
                  <w:t xml:space="preserve"> </w:t>
                </w:r>
              </w:p>
            </w:tc>
            <w:tc>
              <w:tcPr>
                <w:tcW w:w="803" w:type="pct"/>
                <w:vMerge w:val="restart"/>
                <w:shd w:val="clear" w:color="auto" w:fill="auto"/>
                <w:noWrap/>
                <w:vAlign w:val="center"/>
                <w:hideMark/>
              </w:tcPr>
              <w:p w14:paraId="59DB4309" w14:textId="07A1D5EC" w:rsidR="00FF6554" w:rsidRPr="009A46BB" w:rsidRDefault="00FF6554" w:rsidP="007211FD">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6.033.284.578</w:t>
                </w:r>
              </w:p>
            </w:tc>
            <w:tc>
              <w:tcPr>
                <w:tcW w:w="645" w:type="pct"/>
                <w:vMerge w:val="restart"/>
                <w:shd w:val="clear" w:color="auto" w:fill="auto"/>
                <w:noWrap/>
                <w:vAlign w:val="center"/>
                <w:hideMark/>
              </w:tcPr>
              <w:p w14:paraId="4BA7A6CE" w14:textId="12513D12" w:rsidR="00FF6554" w:rsidRPr="009A46BB" w:rsidRDefault="00FF6554" w:rsidP="007211FD">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5.278.519.823</w:t>
                </w:r>
              </w:p>
            </w:tc>
            <w:tc>
              <w:tcPr>
                <w:tcW w:w="742" w:type="pct"/>
                <w:vMerge w:val="restart"/>
                <w:shd w:val="clear" w:color="auto" w:fill="auto"/>
                <w:noWrap/>
                <w:vAlign w:val="center"/>
                <w:hideMark/>
              </w:tcPr>
              <w:p w14:paraId="79B7144F" w14:textId="612C66A5" w:rsidR="00FF6554" w:rsidRPr="009A46BB" w:rsidRDefault="00FF6554" w:rsidP="00FF6554">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754.764.755</w:t>
                </w:r>
              </w:p>
            </w:tc>
          </w:tr>
          <w:tr w:rsidR="00FF6554" w:rsidRPr="00306B1D" w14:paraId="475E9156" w14:textId="77777777" w:rsidTr="00B22200">
            <w:trPr>
              <w:trHeight w:val="347"/>
            </w:trPr>
            <w:tc>
              <w:tcPr>
                <w:tcW w:w="1041" w:type="pct"/>
                <w:gridSpan w:val="2"/>
                <w:vMerge/>
                <w:vAlign w:val="center"/>
                <w:hideMark/>
              </w:tcPr>
              <w:p w14:paraId="4898CBCE" w14:textId="77777777" w:rsidR="00FF6554" w:rsidRPr="009A46BB" w:rsidRDefault="00FF6554" w:rsidP="00FF6554">
                <w:pPr>
                  <w:spacing w:after="0" w:line="240" w:lineRule="auto"/>
                  <w:rPr>
                    <w:rFonts w:ascii="Times New Roman" w:eastAsia="Times New Roman" w:hAnsi="Times New Roman"/>
                    <w:b/>
                    <w:sz w:val="16"/>
                    <w:szCs w:val="16"/>
                    <w:lang w:eastAsia="es-CO"/>
                  </w:rPr>
                </w:pPr>
              </w:p>
            </w:tc>
            <w:tc>
              <w:tcPr>
                <w:tcW w:w="1769" w:type="pct"/>
                <w:vMerge/>
                <w:vAlign w:val="center"/>
                <w:hideMark/>
              </w:tcPr>
              <w:p w14:paraId="28CF89F6" w14:textId="77777777" w:rsidR="00FF6554" w:rsidRPr="009A46BB" w:rsidRDefault="00FF6554" w:rsidP="00FF6554">
                <w:pPr>
                  <w:spacing w:after="0" w:line="240" w:lineRule="auto"/>
                  <w:rPr>
                    <w:rFonts w:ascii="Times New Roman" w:eastAsia="Times New Roman" w:hAnsi="Times New Roman"/>
                    <w:b/>
                    <w:sz w:val="16"/>
                    <w:szCs w:val="16"/>
                    <w:lang w:eastAsia="es-CO"/>
                  </w:rPr>
                </w:pPr>
              </w:p>
            </w:tc>
            <w:tc>
              <w:tcPr>
                <w:tcW w:w="803" w:type="pct"/>
                <w:vMerge/>
                <w:vAlign w:val="center"/>
                <w:hideMark/>
              </w:tcPr>
              <w:p w14:paraId="3CEC59F7" w14:textId="77777777" w:rsidR="00FF6554" w:rsidRPr="009A46BB" w:rsidRDefault="00FF6554" w:rsidP="007211FD">
                <w:pPr>
                  <w:spacing w:after="0" w:line="240" w:lineRule="auto"/>
                  <w:jc w:val="right"/>
                  <w:rPr>
                    <w:rFonts w:ascii="Times New Roman" w:eastAsia="Times New Roman" w:hAnsi="Times New Roman"/>
                    <w:b/>
                    <w:sz w:val="16"/>
                    <w:szCs w:val="16"/>
                    <w:lang w:eastAsia="es-CO"/>
                  </w:rPr>
                </w:pPr>
              </w:p>
            </w:tc>
            <w:tc>
              <w:tcPr>
                <w:tcW w:w="645" w:type="pct"/>
                <w:vMerge/>
                <w:vAlign w:val="center"/>
                <w:hideMark/>
              </w:tcPr>
              <w:p w14:paraId="52442A07" w14:textId="77777777" w:rsidR="00FF6554" w:rsidRPr="009A46BB" w:rsidRDefault="00FF6554" w:rsidP="007211FD">
                <w:pPr>
                  <w:spacing w:after="0" w:line="240" w:lineRule="auto"/>
                  <w:jc w:val="right"/>
                  <w:rPr>
                    <w:rFonts w:ascii="Times New Roman" w:eastAsia="Times New Roman" w:hAnsi="Times New Roman"/>
                    <w:b/>
                    <w:sz w:val="16"/>
                    <w:szCs w:val="16"/>
                    <w:lang w:eastAsia="es-CO"/>
                  </w:rPr>
                </w:pPr>
              </w:p>
            </w:tc>
            <w:tc>
              <w:tcPr>
                <w:tcW w:w="742" w:type="pct"/>
                <w:vMerge/>
                <w:vAlign w:val="center"/>
                <w:hideMark/>
              </w:tcPr>
              <w:p w14:paraId="1C0D2B75" w14:textId="77777777" w:rsidR="00FF6554" w:rsidRPr="009A46BB" w:rsidRDefault="00FF6554" w:rsidP="007211FD">
                <w:pPr>
                  <w:spacing w:after="0" w:line="240" w:lineRule="auto"/>
                  <w:jc w:val="right"/>
                  <w:rPr>
                    <w:rFonts w:ascii="Times New Roman" w:eastAsia="Times New Roman" w:hAnsi="Times New Roman"/>
                    <w:b/>
                    <w:sz w:val="16"/>
                    <w:szCs w:val="16"/>
                    <w:lang w:eastAsia="es-CO"/>
                  </w:rPr>
                </w:pPr>
              </w:p>
            </w:tc>
          </w:tr>
          <w:tr w:rsidR="00FF6554" w:rsidRPr="00306B1D" w14:paraId="22FBCFCD" w14:textId="77777777" w:rsidTr="00B22200">
            <w:trPr>
              <w:trHeight w:val="269"/>
            </w:trPr>
            <w:tc>
              <w:tcPr>
                <w:tcW w:w="1041" w:type="pct"/>
                <w:gridSpan w:val="2"/>
                <w:vMerge/>
                <w:vAlign w:val="center"/>
                <w:hideMark/>
              </w:tcPr>
              <w:p w14:paraId="11FA6DD5" w14:textId="77777777" w:rsidR="00FF6554" w:rsidRPr="009A46BB" w:rsidRDefault="00FF6554" w:rsidP="00FF6554">
                <w:pPr>
                  <w:spacing w:after="0" w:line="240" w:lineRule="auto"/>
                  <w:rPr>
                    <w:rFonts w:ascii="Times New Roman" w:eastAsia="Times New Roman" w:hAnsi="Times New Roman"/>
                    <w:b/>
                    <w:sz w:val="16"/>
                    <w:szCs w:val="16"/>
                    <w:lang w:eastAsia="es-CO"/>
                  </w:rPr>
                </w:pPr>
              </w:p>
            </w:tc>
            <w:tc>
              <w:tcPr>
                <w:tcW w:w="1769" w:type="pct"/>
                <w:vMerge/>
                <w:vAlign w:val="center"/>
                <w:hideMark/>
              </w:tcPr>
              <w:p w14:paraId="4F5432D5" w14:textId="77777777" w:rsidR="00FF6554" w:rsidRPr="009A46BB" w:rsidRDefault="00FF6554" w:rsidP="00FF6554">
                <w:pPr>
                  <w:spacing w:after="0" w:line="240" w:lineRule="auto"/>
                  <w:rPr>
                    <w:rFonts w:ascii="Times New Roman" w:eastAsia="Times New Roman" w:hAnsi="Times New Roman"/>
                    <w:b/>
                    <w:sz w:val="16"/>
                    <w:szCs w:val="16"/>
                    <w:lang w:eastAsia="es-CO"/>
                  </w:rPr>
                </w:pPr>
              </w:p>
            </w:tc>
            <w:tc>
              <w:tcPr>
                <w:tcW w:w="803" w:type="pct"/>
                <w:vMerge/>
                <w:vAlign w:val="center"/>
                <w:hideMark/>
              </w:tcPr>
              <w:p w14:paraId="6C2F06E5" w14:textId="77777777" w:rsidR="00FF6554" w:rsidRPr="009A46BB" w:rsidRDefault="00FF6554" w:rsidP="007211FD">
                <w:pPr>
                  <w:spacing w:after="0" w:line="240" w:lineRule="auto"/>
                  <w:jc w:val="right"/>
                  <w:rPr>
                    <w:rFonts w:ascii="Times New Roman" w:eastAsia="Times New Roman" w:hAnsi="Times New Roman"/>
                    <w:b/>
                    <w:sz w:val="16"/>
                    <w:szCs w:val="16"/>
                    <w:lang w:eastAsia="es-CO"/>
                  </w:rPr>
                </w:pPr>
              </w:p>
            </w:tc>
            <w:tc>
              <w:tcPr>
                <w:tcW w:w="645" w:type="pct"/>
                <w:vMerge/>
                <w:vAlign w:val="center"/>
                <w:hideMark/>
              </w:tcPr>
              <w:p w14:paraId="63286026" w14:textId="77777777" w:rsidR="00FF6554" w:rsidRPr="009A46BB" w:rsidRDefault="00FF6554" w:rsidP="007211FD">
                <w:pPr>
                  <w:spacing w:after="0" w:line="240" w:lineRule="auto"/>
                  <w:jc w:val="right"/>
                  <w:rPr>
                    <w:rFonts w:ascii="Times New Roman" w:eastAsia="Times New Roman" w:hAnsi="Times New Roman"/>
                    <w:b/>
                    <w:sz w:val="16"/>
                    <w:szCs w:val="16"/>
                    <w:lang w:eastAsia="es-CO"/>
                  </w:rPr>
                </w:pPr>
              </w:p>
            </w:tc>
            <w:tc>
              <w:tcPr>
                <w:tcW w:w="742" w:type="pct"/>
                <w:vMerge/>
                <w:vAlign w:val="center"/>
                <w:hideMark/>
              </w:tcPr>
              <w:p w14:paraId="1EFD6D72" w14:textId="77777777" w:rsidR="00FF6554" w:rsidRPr="009A46BB" w:rsidRDefault="00FF6554" w:rsidP="007211FD">
                <w:pPr>
                  <w:spacing w:after="0" w:line="240" w:lineRule="auto"/>
                  <w:jc w:val="right"/>
                  <w:rPr>
                    <w:rFonts w:ascii="Times New Roman" w:eastAsia="Times New Roman" w:hAnsi="Times New Roman"/>
                    <w:b/>
                    <w:sz w:val="16"/>
                    <w:szCs w:val="16"/>
                    <w:lang w:eastAsia="es-CO"/>
                  </w:rPr>
                </w:pPr>
              </w:p>
            </w:tc>
          </w:tr>
          <w:tr w:rsidR="00FF6554" w:rsidRPr="00306B1D" w14:paraId="14D99B97" w14:textId="77777777" w:rsidTr="00B22200">
            <w:trPr>
              <w:trHeight w:val="65"/>
            </w:trPr>
            <w:tc>
              <w:tcPr>
                <w:tcW w:w="1041" w:type="pct"/>
                <w:gridSpan w:val="2"/>
                <w:vMerge/>
                <w:vAlign w:val="center"/>
                <w:hideMark/>
              </w:tcPr>
              <w:p w14:paraId="315FC2C4" w14:textId="77777777" w:rsidR="00FF6554" w:rsidRPr="009A46BB" w:rsidRDefault="00FF6554" w:rsidP="00FF6554">
                <w:pPr>
                  <w:spacing w:after="0" w:line="240" w:lineRule="auto"/>
                  <w:rPr>
                    <w:rFonts w:ascii="Times New Roman" w:eastAsia="Times New Roman" w:hAnsi="Times New Roman"/>
                    <w:b/>
                    <w:sz w:val="16"/>
                    <w:szCs w:val="16"/>
                    <w:lang w:eastAsia="es-CO"/>
                  </w:rPr>
                </w:pPr>
              </w:p>
            </w:tc>
            <w:tc>
              <w:tcPr>
                <w:tcW w:w="1769" w:type="pct"/>
                <w:shd w:val="clear" w:color="auto" w:fill="auto"/>
                <w:vAlign w:val="center"/>
                <w:hideMark/>
              </w:tcPr>
              <w:p w14:paraId="41BFA422" w14:textId="77777777" w:rsidR="00FF6554" w:rsidRPr="009A46BB" w:rsidRDefault="00FF6554" w:rsidP="00B52B5C">
                <w:pPr>
                  <w:spacing w:after="0" w:line="240" w:lineRule="auto"/>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A corto plazo</w:t>
                </w:r>
              </w:p>
            </w:tc>
            <w:tc>
              <w:tcPr>
                <w:tcW w:w="803" w:type="pct"/>
                <w:shd w:val="clear" w:color="auto" w:fill="auto"/>
                <w:noWrap/>
                <w:vAlign w:val="center"/>
                <w:hideMark/>
              </w:tcPr>
              <w:p w14:paraId="70087867" w14:textId="125794E8" w:rsidR="00FF6554" w:rsidRPr="009A46BB" w:rsidRDefault="00FF6554" w:rsidP="007211FD">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6.033.284.578</w:t>
                </w:r>
              </w:p>
            </w:tc>
            <w:tc>
              <w:tcPr>
                <w:tcW w:w="645" w:type="pct"/>
                <w:shd w:val="clear" w:color="auto" w:fill="auto"/>
                <w:noWrap/>
                <w:vAlign w:val="center"/>
                <w:hideMark/>
              </w:tcPr>
              <w:p w14:paraId="0FFFEF46" w14:textId="268C144A" w:rsidR="00FF6554" w:rsidRPr="009A46BB" w:rsidRDefault="00FF6554" w:rsidP="007211FD">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5.278.519.823</w:t>
                </w:r>
              </w:p>
            </w:tc>
            <w:tc>
              <w:tcPr>
                <w:tcW w:w="742" w:type="pct"/>
                <w:shd w:val="clear" w:color="auto" w:fill="auto"/>
                <w:noWrap/>
                <w:vAlign w:val="center"/>
                <w:hideMark/>
              </w:tcPr>
              <w:p w14:paraId="688AFA9D" w14:textId="0C3496D3" w:rsidR="00FF6554" w:rsidRPr="009A46BB" w:rsidRDefault="00FF6554" w:rsidP="00FF6554">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754.764.755</w:t>
                </w:r>
              </w:p>
            </w:tc>
          </w:tr>
        </w:tbl>
        <w:p w14:paraId="02BAE145" w14:textId="6536C080" w:rsidR="00FC7C22" w:rsidRPr="00931DCE" w:rsidRDefault="00FC7C22" w:rsidP="00FC7C22">
          <w:pPr>
            <w:spacing w:after="0" w:line="240" w:lineRule="auto"/>
            <w:jc w:val="both"/>
            <w:rPr>
              <w:rFonts w:ascii="Times New Roman" w:hAnsi="Times New Roman"/>
              <w:sz w:val="14"/>
              <w:szCs w:val="10"/>
            </w:rPr>
          </w:pPr>
          <w:r w:rsidRPr="00931DCE">
            <w:rPr>
              <w:rFonts w:ascii="Times New Roman" w:hAnsi="Times New Roman"/>
              <w:sz w:val="14"/>
              <w:szCs w:val="10"/>
            </w:rPr>
            <w:t>Cifra en miles de pesos</w:t>
          </w:r>
        </w:p>
        <w:p w14:paraId="1611470D" w14:textId="77777777" w:rsidR="00881813" w:rsidRPr="00931DCE" w:rsidRDefault="00881813" w:rsidP="00EB2858">
          <w:pPr>
            <w:spacing w:after="0" w:line="240" w:lineRule="auto"/>
            <w:jc w:val="both"/>
            <w:rPr>
              <w:rFonts w:ascii="Times New Roman" w:hAnsi="Times New Roman"/>
              <w:sz w:val="24"/>
              <w:szCs w:val="24"/>
              <w:u w:val="single"/>
            </w:rPr>
          </w:pPr>
        </w:p>
        <w:p w14:paraId="400991FF" w14:textId="4B5D5812" w:rsidR="00E351B1" w:rsidRPr="00931DCE" w:rsidRDefault="0078139C">
          <w:pPr>
            <w:pStyle w:val="Ttulo2"/>
            <w:numPr>
              <w:ilvl w:val="1"/>
              <w:numId w:val="14"/>
            </w:numPr>
            <w:ind w:left="567" w:hanging="567"/>
            <w:rPr>
              <w:rFonts w:cs="Times New Roman"/>
              <w:szCs w:val="22"/>
            </w:rPr>
          </w:pPr>
          <w:bookmarkStart w:id="72" w:name="_Toc159952408"/>
          <w:r w:rsidRPr="00931DCE">
            <w:rPr>
              <w:rFonts w:cs="Times New Roman"/>
              <w:szCs w:val="22"/>
            </w:rPr>
            <w:t>Beneficios a los empleados a corto plazo</w:t>
          </w:r>
          <w:bookmarkEnd w:id="72"/>
        </w:p>
        <w:p w14:paraId="18C7DE49" w14:textId="04DD317A" w:rsidR="00B202E2" w:rsidRPr="00931DCE" w:rsidRDefault="00B202E2" w:rsidP="006F68E4">
          <w:pPr>
            <w:spacing w:after="0" w:line="240" w:lineRule="auto"/>
            <w:rPr>
              <w:rFonts w:ascii="Times New Roman" w:hAnsi="Times New Roman"/>
            </w:rPr>
          </w:pPr>
        </w:p>
        <w:p w14:paraId="3BD4D3CD" w14:textId="77777777" w:rsidR="00FC7C22" w:rsidRPr="00931DCE" w:rsidRDefault="00FC7C22" w:rsidP="006F68E4">
          <w:pPr>
            <w:spacing w:after="0" w:line="240" w:lineRule="auto"/>
            <w:jc w:val="both"/>
            <w:rPr>
              <w:rFonts w:ascii="Times New Roman" w:hAnsi="Times New Roman"/>
              <w:sz w:val="24"/>
              <w:szCs w:val="24"/>
              <w:lang w:val="es-MX"/>
            </w:rPr>
          </w:pPr>
          <w:r w:rsidRPr="00931DCE">
            <w:rPr>
              <w:rFonts w:ascii="Times New Roman" w:hAnsi="Times New Roman"/>
              <w:sz w:val="24"/>
              <w:szCs w:val="24"/>
              <w:lang w:val="es-MX"/>
            </w:rPr>
            <w:t>Los beneficios a los empleados a corto plazo son aquellos otorgados a los trabajadores que hayan prestado sus servicios a la entidad durante el periodo contable y cuya obligación de pago vence dentro de los 12 meses siguientes al cierre de dicho periodo.</w:t>
          </w:r>
        </w:p>
        <w:p w14:paraId="6ECE2BD2" w14:textId="77777777" w:rsidR="00FC7C22" w:rsidRPr="00931DCE" w:rsidRDefault="00FC7C22" w:rsidP="006F68E4">
          <w:pPr>
            <w:spacing w:after="0" w:line="240" w:lineRule="auto"/>
            <w:jc w:val="both"/>
            <w:rPr>
              <w:rFonts w:ascii="Times New Roman" w:hAnsi="Times New Roman"/>
              <w:sz w:val="24"/>
              <w:szCs w:val="24"/>
              <w:lang w:val="es-MX"/>
            </w:rPr>
          </w:pPr>
        </w:p>
        <w:p w14:paraId="76741B03" w14:textId="77777777" w:rsidR="00FC7C22" w:rsidRPr="00931DCE" w:rsidRDefault="00FC7C22" w:rsidP="006F68E4">
          <w:pPr>
            <w:spacing w:after="0" w:line="240" w:lineRule="auto"/>
            <w:jc w:val="both"/>
            <w:rPr>
              <w:rFonts w:ascii="Times New Roman" w:hAnsi="Times New Roman"/>
              <w:sz w:val="24"/>
              <w:szCs w:val="24"/>
              <w:lang w:val="es-MX"/>
            </w:rPr>
          </w:pPr>
          <w:r w:rsidRPr="00931DCE">
            <w:rPr>
              <w:rFonts w:ascii="Times New Roman" w:hAnsi="Times New Roman"/>
              <w:sz w:val="24"/>
              <w:szCs w:val="24"/>
              <w:lang w:val="es-MX"/>
            </w:rPr>
            <w:t>Estos beneficios están representados en los siguientes conceptos: sueldos y salarios (horas extras y festivos, prima técnica, bonificaciones, auxilio de transporte y subsidio de alimentación), cesantías, vacaciones, prima de vacaciones, prima de servicios, prima de navidad, licencias, bonificaciones, aportes a riesgos laborales, capacitación, bienestar social y estímulos, aportes a fondos pensionales, seguridad social en salud y cajas de compensación familiar e incapacidades.</w:t>
          </w:r>
        </w:p>
        <w:p w14:paraId="5F3D2884" w14:textId="77777777" w:rsidR="00FC7C22" w:rsidRPr="00931DCE" w:rsidRDefault="00FC7C22" w:rsidP="00FC7C22">
          <w:pPr>
            <w:spacing w:after="0" w:line="240" w:lineRule="auto"/>
            <w:jc w:val="both"/>
            <w:rPr>
              <w:rFonts w:ascii="Times New Roman" w:hAnsi="Times New Roman"/>
              <w:sz w:val="24"/>
              <w:szCs w:val="24"/>
              <w:lang w:val="es-MX"/>
            </w:rPr>
          </w:pPr>
        </w:p>
        <w:p w14:paraId="025B57A6" w14:textId="06E07F7D" w:rsidR="002A4C38" w:rsidRPr="00637827" w:rsidRDefault="00FC7C22" w:rsidP="002A4C38">
          <w:pPr>
            <w:spacing w:after="0" w:line="240" w:lineRule="auto"/>
            <w:jc w:val="both"/>
            <w:rPr>
              <w:rFonts w:ascii="Times New Roman" w:hAnsi="Times New Roman"/>
              <w:sz w:val="24"/>
              <w:szCs w:val="24"/>
              <w:lang w:val="es-MX"/>
            </w:rPr>
          </w:pPr>
          <w:r w:rsidRPr="00931DCE">
            <w:rPr>
              <w:rFonts w:ascii="Times New Roman" w:hAnsi="Times New Roman"/>
              <w:sz w:val="24"/>
              <w:szCs w:val="24"/>
              <w:lang w:val="es-MX"/>
            </w:rPr>
            <w:t>A continuación, se detallan los valores que afectaran el resultado:</w:t>
          </w:r>
        </w:p>
        <w:p w14:paraId="300921B2" w14:textId="77777777" w:rsidR="00B52B5C" w:rsidRPr="009A46BB" w:rsidRDefault="00B52B5C" w:rsidP="002A4C38">
          <w:pPr>
            <w:spacing w:after="0" w:line="240" w:lineRule="auto"/>
            <w:jc w:val="both"/>
            <w:rPr>
              <w:rFonts w:ascii="Times New Roman" w:hAnsi="Times New Roman"/>
              <w:sz w:val="24"/>
              <w:szCs w:val="24"/>
              <w:lang w:val="es-MX"/>
            </w:rPr>
          </w:pPr>
        </w:p>
        <w:p w14:paraId="7709F87D" w14:textId="77777777" w:rsidR="00154488" w:rsidRDefault="00154488" w:rsidP="00FF330C">
          <w:pPr>
            <w:spacing w:after="0" w:line="240" w:lineRule="auto"/>
            <w:jc w:val="center"/>
            <w:rPr>
              <w:rFonts w:ascii="Times New Roman" w:eastAsia="Times New Roman" w:hAnsi="Times New Roman"/>
              <w:b/>
              <w:color w:val="000000"/>
              <w:sz w:val="18"/>
              <w:szCs w:val="18"/>
              <w:lang w:eastAsia="es-CO"/>
            </w:rPr>
            <w:sectPr w:rsidR="00154488" w:rsidSect="00376BDD">
              <w:type w:val="continuous"/>
              <w:pgSz w:w="12240" w:h="15840"/>
              <w:pgMar w:top="1418" w:right="1418" w:bottom="1418" w:left="1843" w:header="680" w:footer="709" w:gutter="0"/>
              <w:pgNumType w:start="79"/>
              <w:cols w:space="708"/>
              <w:titlePg/>
              <w:docGrid w:linePitch="360"/>
            </w:sectPr>
          </w:pPr>
        </w:p>
        <w:tbl>
          <w:tblPr>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CellMar>
              <w:left w:w="70" w:type="dxa"/>
              <w:right w:w="70" w:type="dxa"/>
            </w:tblCellMar>
            <w:tblLook w:val="04A0" w:firstRow="1" w:lastRow="0" w:firstColumn="1" w:lastColumn="0" w:noHBand="0" w:noVBand="1"/>
          </w:tblPr>
          <w:tblGrid>
            <w:gridCol w:w="2985"/>
            <w:gridCol w:w="1140"/>
          </w:tblGrid>
          <w:tr w:rsidR="00FF330C" w:rsidRPr="00FB6A24" w14:paraId="7529A13F" w14:textId="77777777" w:rsidTr="00D04986">
            <w:trPr>
              <w:trHeight w:val="283"/>
              <w:tblHeader/>
              <w:jc w:val="center"/>
            </w:trPr>
            <w:tc>
              <w:tcPr>
                <w:tcW w:w="0" w:type="auto"/>
                <w:shd w:val="clear" w:color="auto" w:fill="auto"/>
                <w:noWrap/>
                <w:vAlign w:val="center"/>
                <w:hideMark/>
              </w:tcPr>
              <w:p w14:paraId="22857CB0" w14:textId="77777777" w:rsidR="00FF330C" w:rsidRPr="00FB6A24" w:rsidRDefault="00FF330C" w:rsidP="00D04986">
                <w:pPr>
                  <w:rPr>
                    <w:rFonts w:ascii="Times New Roman" w:hAnsi="Times New Roman"/>
                    <w:sz w:val="16"/>
                    <w:szCs w:val="16"/>
                  </w:rPr>
                </w:pPr>
                <w:r w:rsidRPr="00FB6A24">
                  <w:rPr>
                    <w:rFonts w:ascii="Times New Roman" w:hAnsi="Times New Roman"/>
                    <w:sz w:val="16"/>
                    <w:szCs w:val="16"/>
                  </w:rPr>
                  <w:t>CONCEPTO</w:t>
                </w:r>
              </w:p>
            </w:tc>
            <w:tc>
              <w:tcPr>
                <w:tcW w:w="0" w:type="auto"/>
                <w:shd w:val="clear" w:color="auto" w:fill="auto"/>
                <w:noWrap/>
                <w:vAlign w:val="center"/>
                <w:hideMark/>
              </w:tcPr>
              <w:p w14:paraId="760D3EA8" w14:textId="77777777" w:rsidR="00FF330C" w:rsidRPr="00FB6A24" w:rsidRDefault="00FF330C" w:rsidP="00D04986">
                <w:pPr>
                  <w:jc w:val="right"/>
                  <w:rPr>
                    <w:rFonts w:ascii="Times New Roman" w:hAnsi="Times New Roman"/>
                    <w:sz w:val="16"/>
                    <w:szCs w:val="16"/>
                  </w:rPr>
                </w:pPr>
                <w:r w:rsidRPr="00FB6A24">
                  <w:rPr>
                    <w:rFonts w:ascii="Times New Roman" w:hAnsi="Times New Roman"/>
                    <w:sz w:val="16"/>
                    <w:szCs w:val="16"/>
                  </w:rPr>
                  <w:t>VALOR</w:t>
                </w:r>
              </w:p>
            </w:tc>
          </w:tr>
          <w:tr w:rsidR="00FF330C" w:rsidRPr="00FB6A24" w14:paraId="1536B4DF" w14:textId="77777777" w:rsidTr="00D04986">
            <w:trPr>
              <w:trHeight w:val="283"/>
              <w:jc w:val="center"/>
            </w:trPr>
            <w:tc>
              <w:tcPr>
                <w:tcW w:w="0" w:type="auto"/>
                <w:shd w:val="clear" w:color="auto" w:fill="auto"/>
                <w:vAlign w:val="center"/>
                <w:hideMark/>
              </w:tcPr>
              <w:p w14:paraId="591BF595" w14:textId="77777777" w:rsidR="00FF330C" w:rsidRPr="00FB6A24" w:rsidRDefault="00FF330C" w:rsidP="00D04986">
                <w:pPr>
                  <w:rPr>
                    <w:rFonts w:ascii="Times New Roman" w:hAnsi="Times New Roman"/>
                    <w:sz w:val="16"/>
                    <w:szCs w:val="16"/>
                  </w:rPr>
                </w:pPr>
                <w:r w:rsidRPr="00FB6A24">
                  <w:rPr>
                    <w:rFonts w:ascii="Times New Roman" w:hAnsi="Times New Roman"/>
                    <w:sz w:val="16"/>
                    <w:szCs w:val="16"/>
                  </w:rPr>
                  <w:t>Sueldos</w:t>
                </w:r>
              </w:p>
            </w:tc>
            <w:tc>
              <w:tcPr>
                <w:tcW w:w="0" w:type="auto"/>
                <w:shd w:val="clear" w:color="auto" w:fill="auto"/>
                <w:vAlign w:val="center"/>
                <w:hideMark/>
              </w:tcPr>
              <w:p w14:paraId="20A92D2C" w14:textId="278543C4" w:rsidR="00FF330C" w:rsidRPr="00FB6A24" w:rsidRDefault="00FF330C" w:rsidP="00D04986">
                <w:pPr>
                  <w:jc w:val="right"/>
                  <w:rPr>
                    <w:rFonts w:ascii="Times New Roman" w:hAnsi="Times New Roman"/>
                    <w:sz w:val="16"/>
                    <w:szCs w:val="16"/>
                  </w:rPr>
                </w:pPr>
                <w:r w:rsidRPr="00FB6A24">
                  <w:rPr>
                    <w:rFonts w:ascii="Times New Roman" w:hAnsi="Times New Roman"/>
                    <w:sz w:val="16"/>
                    <w:szCs w:val="16"/>
                  </w:rPr>
                  <w:t xml:space="preserve">30.626.901.866 </w:t>
                </w:r>
              </w:p>
            </w:tc>
          </w:tr>
          <w:tr w:rsidR="00FF330C" w:rsidRPr="00FB6A24" w14:paraId="58453E4F" w14:textId="77777777" w:rsidTr="00D04986">
            <w:trPr>
              <w:trHeight w:val="283"/>
              <w:jc w:val="center"/>
            </w:trPr>
            <w:tc>
              <w:tcPr>
                <w:tcW w:w="0" w:type="auto"/>
                <w:shd w:val="clear" w:color="auto" w:fill="auto"/>
                <w:vAlign w:val="center"/>
                <w:hideMark/>
              </w:tcPr>
              <w:p w14:paraId="6EC59837" w14:textId="77777777" w:rsidR="00FF330C" w:rsidRPr="00FB6A24" w:rsidRDefault="00FF330C" w:rsidP="00D04986">
                <w:pPr>
                  <w:rPr>
                    <w:rFonts w:ascii="Times New Roman" w:hAnsi="Times New Roman"/>
                    <w:sz w:val="16"/>
                    <w:szCs w:val="16"/>
                  </w:rPr>
                </w:pPr>
                <w:r w:rsidRPr="00FB6A24">
                  <w:rPr>
                    <w:rFonts w:ascii="Times New Roman" w:hAnsi="Times New Roman"/>
                    <w:sz w:val="16"/>
                    <w:szCs w:val="16"/>
                  </w:rPr>
                  <w:t>Horas extras y festivos</w:t>
                </w:r>
              </w:p>
            </w:tc>
            <w:tc>
              <w:tcPr>
                <w:tcW w:w="0" w:type="auto"/>
                <w:shd w:val="clear" w:color="auto" w:fill="auto"/>
                <w:vAlign w:val="center"/>
                <w:hideMark/>
              </w:tcPr>
              <w:p w14:paraId="2D6D6194" w14:textId="3E0D0286" w:rsidR="00FF330C" w:rsidRPr="00FB6A24" w:rsidRDefault="00FF330C" w:rsidP="00D04986">
                <w:pPr>
                  <w:jc w:val="right"/>
                  <w:rPr>
                    <w:rFonts w:ascii="Times New Roman" w:hAnsi="Times New Roman"/>
                    <w:sz w:val="16"/>
                    <w:szCs w:val="16"/>
                  </w:rPr>
                </w:pPr>
                <w:r w:rsidRPr="00FB6A24">
                  <w:rPr>
                    <w:rFonts w:ascii="Times New Roman" w:hAnsi="Times New Roman"/>
                    <w:sz w:val="16"/>
                    <w:szCs w:val="16"/>
                  </w:rPr>
                  <w:t xml:space="preserve">122.574.284 </w:t>
                </w:r>
              </w:p>
            </w:tc>
          </w:tr>
          <w:tr w:rsidR="00FF330C" w:rsidRPr="00FB6A24" w14:paraId="67D759AB" w14:textId="77777777" w:rsidTr="00D04986">
            <w:trPr>
              <w:trHeight w:val="283"/>
              <w:jc w:val="center"/>
            </w:trPr>
            <w:tc>
              <w:tcPr>
                <w:tcW w:w="0" w:type="auto"/>
                <w:shd w:val="clear" w:color="auto" w:fill="auto"/>
                <w:vAlign w:val="center"/>
                <w:hideMark/>
              </w:tcPr>
              <w:p w14:paraId="73744AD7" w14:textId="77777777" w:rsidR="00FF330C" w:rsidRPr="00FB6A24" w:rsidRDefault="00FF330C" w:rsidP="00D04986">
                <w:pPr>
                  <w:rPr>
                    <w:rFonts w:ascii="Times New Roman" w:hAnsi="Times New Roman"/>
                    <w:sz w:val="16"/>
                    <w:szCs w:val="16"/>
                  </w:rPr>
                </w:pPr>
                <w:r w:rsidRPr="00FB6A24">
                  <w:rPr>
                    <w:rFonts w:ascii="Times New Roman" w:hAnsi="Times New Roman"/>
                    <w:sz w:val="16"/>
                    <w:szCs w:val="16"/>
                  </w:rPr>
                  <w:t>Prima técnica</w:t>
                </w:r>
              </w:p>
            </w:tc>
            <w:tc>
              <w:tcPr>
                <w:tcW w:w="0" w:type="auto"/>
                <w:shd w:val="clear" w:color="auto" w:fill="auto"/>
                <w:vAlign w:val="center"/>
                <w:hideMark/>
              </w:tcPr>
              <w:p w14:paraId="4F681AC2" w14:textId="6BE3386B" w:rsidR="00FF330C" w:rsidRPr="00FB6A24" w:rsidRDefault="00FF330C" w:rsidP="00D04986">
                <w:pPr>
                  <w:jc w:val="right"/>
                  <w:rPr>
                    <w:rFonts w:ascii="Times New Roman" w:hAnsi="Times New Roman"/>
                    <w:sz w:val="16"/>
                    <w:szCs w:val="16"/>
                  </w:rPr>
                </w:pPr>
                <w:r w:rsidRPr="00FB6A24">
                  <w:rPr>
                    <w:rFonts w:ascii="Times New Roman" w:hAnsi="Times New Roman"/>
                    <w:sz w:val="16"/>
                    <w:szCs w:val="16"/>
                  </w:rPr>
                  <w:t xml:space="preserve"> 4.986.073.373 </w:t>
                </w:r>
              </w:p>
            </w:tc>
          </w:tr>
          <w:tr w:rsidR="00FF330C" w:rsidRPr="00FB6A24" w14:paraId="5B58EE9C" w14:textId="77777777" w:rsidTr="00D04986">
            <w:trPr>
              <w:trHeight w:val="283"/>
              <w:jc w:val="center"/>
            </w:trPr>
            <w:tc>
              <w:tcPr>
                <w:tcW w:w="0" w:type="auto"/>
                <w:shd w:val="clear" w:color="auto" w:fill="auto"/>
                <w:vAlign w:val="center"/>
                <w:hideMark/>
              </w:tcPr>
              <w:p w14:paraId="4B97E31E" w14:textId="77777777" w:rsidR="00FF330C" w:rsidRPr="00FB6A24" w:rsidRDefault="00FF330C" w:rsidP="00D04986">
                <w:pPr>
                  <w:rPr>
                    <w:rFonts w:ascii="Times New Roman" w:hAnsi="Times New Roman"/>
                    <w:sz w:val="16"/>
                    <w:szCs w:val="16"/>
                  </w:rPr>
                </w:pPr>
                <w:r w:rsidRPr="00FB6A24">
                  <w:rPr>
                    <w:rFonts w:ascii="Times New Roman" w:hAnsi="Times New Roman"/>
                    <w:sz w:val="16"/>
                    <w:szCs w:val="16"/>
                  </w:rPr>
                  <w:t>Bonificaciones</w:t>
                </w:r>
              </w:p>
            </w:tc>
            <w:tc>
              <w:tcPr>
                <w:tcW w:w="0" w:type="auto"/>
                <w:shd w:val="clear" w:color="auto" w:fill="auto"/>
                <w:vAlign w:val="center"/>
                <w:hideMark/>
              </w:tcPr>
              <w:p w14:paraId="1CF0C241" w14:textId="766CB64A" w:rsidR="00FF330C" w:rsidRPr="00FB6A24" w:rsidRDefault="00FF330C" w:rsidP="00D04986">
                <w:pPr>
                  <w:jc w:val="right"/>
                  <w:rPr>
                    <w:rFonts w:ascii="Times New Roman" w:hAnsi="Times New Roman"/>
                    <w:sz w:val="16"/>
                    <w:szCs w:val="16"/>
                  </w:rPr>
                </w:pPr>
                <w:r w:rsidRPr="00FB6A24">
                  <w:rPr>
                    <w:rFonts w:ascii="Times New Roman" w:hAnsi="Times New Roman"/>
                    <w:sz w:val="16"/>
                    <w:szCs w:val="16"/>
                  </w:rPr>
                  <w:t xml:space="preserve"> 1.033.660.944 </w:t>
                </w:r>
              </w:p>
            </w:tc>
          </w:tr>
          <w:tr w:rsidR="00FF330C" w:rsidRPr="00FB6A24" w14:paraId="098B8495" w14:textId="77777777" w:rsidTr="00D04986">
            <w:trPr>
              <w:trHeight w:val="283"/>
              <w:jc w:val="center"/>
            </w:trPr>
            <w:tc>
              <w:tcPr>
                <w:tcW w:w="0" w:type="auto"/>
                <w:shd w:val="clear" w:color="auto" w:fill="auto"/>
                <w:vAlign w:val="center"/>
                <w:hideMark/>
              </w:tcPr>
              <w:p w14:paraId="7DC6BCF2" w14:textId="77777777" w:rsidR="00FF330C" w:rsidRPr="00FB6A24" w:rsidRDefault="00FF330C" w:rsidP="00D04986">
                <w:pPr>
                  <w:rPr>
                    <w:rFonts w:ascii="Times New Roman" w:hAnsi="Times New Roman"/>
                    <w:sz w:val="16"/>
                    <w:szCs w:val="16"/>
                  </w:rPr>
                </w:pPr>
                <w:r w:rsidRPr="00FB6A24">
                  <w:rPr>
                    <w:rFonts w:ascii="Times New Roman" w:hAnsi="Times New Roman"/>
                    <w:sz w:val="16"/>
                    <w:szCs w:val="16"/>
                  </w:rPr>
                  <w:lastRenderedPageBreak/>
                  <w:t>Auxilio de transporte</w:t>
                </w:r>
              </w:p>
            </w:tc>
            <w:tc>
              <w:tcPr>
                <w:tcW w:w="0" w:type="auto"/>
                <w:shd w:val="clear" w:color="auto" w:fill="auto"/>
                <w:vAlign w:val="center"/>
                <w:hideMark/>
              </w:tcPr>
              <w:p w14:paraId="4C4B8DCB" w14:textId="5512E1C0" w:rsidR="00FF330C" w:rsidRPr="00FB6A24" w:rsidRDefault="00FF330C" w:rsidP="00D04986">
                <w:pPr>
                  <w:jc w:val="right"/>
                  <w:rPr>
                    <w:rFonts w:ascii="Times New Roman" w:hAnsi="Times New Roman"/>
                    <w:sz w:val="16"/>
                    <w:szCs w:val="16"/>
                  </w:rPr>
                </w:pPr>
                <w:r w:rsidRPr="00FB6A24">
                  <w:rPr>
                    <w:rFonts w:ascii="Times New Roman" w:hAnsi="Times New Roman"/>
                    <w:sz w:val="16"/>
                    <w:szCs w:val="16"/>
                  </w:rPr>
                  <w:t xml:space="preserve">4.766.544 </w:t>
                </w:r>
              </w:p>
            </w:tc>
          </w:tr>
          <w:tr w:rsidR="00FF330C" w:rsidRPr="00FB6A24" w14:paraId="6646F4C0" w14:textId="77777777" w:rsidTr="00D04986">
            <w:trPr>
              <w:trHeight w:val="283"/>
              <w:jc w:val="center"/>
            </w:trPr>
            <w:tc>
              <w:tcPr>
                <w:tcW w:w="0" w:type="auto"/>
                <w:shd w:val="clear" w:color="auto" w:fill="auto"/>
                <w:vAlign w:val="center"/>
                <w:hideMark/>
              </w:tcPr>
              <w:p w14:paraId="486A07D1" w14:textId="77777777" w:rsidR="00FF330C" w:rsidRPr="00FB6A24" w:rsidRDefault="00FF330C" w:rsidP="00D04986">
                <w:pPr>
                  <w:rPr>
                    <w:rFonts w:ascii="Times New Roman" w:hAnsi="Times New Roman"/>
                    <w:sz w:val="16"/>
                    <w:szCs w:val="16"/>
                  </w:rPr>
                </w:pPr>
                <w:r w:rsidRPr="00FB6A24">
                  <w:rPr>
                    <w:rFonts w:ascii="Times New Roman" w:hAnsi="Times New Roman"/>
                    <w:sz w:val="16"/>
                    <w:szCs w:val="16"/>
                  </w:rPr>
                  <w:t>Subsidio de alimentación</w:t>
                </w:r>
              </w:p>
            </w:tc>
            <w:tc>
              <w:tcPr>
                <w:tcW w:w="0" w:type="auto"/>
                <w:shd w:val="clear" w:color="auto" w:fill="auto"/>
                <w:vAlign w:val="center"/>
                <w:hideMark/>
              </w:tcPr>
              <w:p w14:paraId="26BAC5E7" w14:textId="7FD676CA" w:rsidR="00FF330C" w:rsidRPr="00FB6A24" w:rsidRDefault="00FF330C" w:rsidP="00D04986">
                <w:pPr>
                  <w:jc w:val="right"/>
                  <w:rPr>
                    <w:rFonts w:ascii="Times New Roman" w:hAnsi="Times New Roman"/>
                    <w:sz w:val="16"/>
                    <w:szCs w:val="16"/>
                  </w:rPr>
                </w:pPr>
                <w:r w:rsidRPr="00FB6A24">
                  <w:rPr>
                    <w:rFonts w:ascii="Times New Roman" w:hAnsi="Times New Roman"/>
                    <w:sz w:val="16"/>
                    <w:szCs w:val="16"/>
                  </w:rPr>
                  <w:t xml:space="preserve">2.826.754 </w:t>
                </w:r>
              </w:p>
            </w:tc>
          </w:tr>
          <w:tr w:rsidR="00FF330C" w:rsidRPr="00FB6A24" w14:paraId="33B65140" w14:textId="77777777" w:rsidTr="00D04986">
            <w:trPr>
              <w:trHeight w:val="283"/>
              <w:jc w:val="center"/>
            </w:trPr>
            <w:tc>
              <w:tcPr>
                <w:tcW w:w="0" w:type="auto"/>
                <w:shd w:val="clear" w:color="auto" w:fill="auto"/>
                <w:vAlign w:val="center"/>
                <w:hideMark/>
              </w:tcPr>
              <w:p w14:paraId="4B284EAE" w14:textId="77777777" w:rsidR="00FF330C" w:rsidRPr="00FB6A24" w:rsidRDefault="00FF330C" w:rsidP="00D04986">
                <w:pPr>
                  <w:rPr>
                    <w:rFonts w:ascii="Times New Roman" w:hAnsi="Times New Roman"/>
                    <w:sz w:val="16"/>
                    <w:szCs w:val="16"/>
                  </w:rPr>
                </w:pPr>
                <w:r w:rsidRPr="00FB6A24">
                  <w:rPr>
                    <w:rFonts w:ascii="Times New Roman" w:hAnsi="Times New Roman"/>
                    <w:sz w:val="16"/>
                    <w:szCs w:val="16"/>
                  </w:rPr>
                  <w:t>Aportes a cajas de compensación familiar</w:t>
                </w:r>
              </w:p>
            </w:tc>
            <w:tc>
              <w:tcPr>
                <w:tcW w:w="0" w:type="auto"/>
                <w:shd w:val="clear" w:color="auto" w:fill="auto"/>
                <w:vAlign w:val="center"/>
                <w:hideMark/>
              </w:tcPr>
              <w:p w14:paraId="645F3663" w14:textId="0E12B871" w:rsidR="00FF330C" w:rsidRPr="00FB6A24" w:rsidRDefault="00FF330C" w:rsidP="00D04986">
                <w:pPr>
                  <w:jc w:val="right"/>
                  <w:rPr>
                    <w:rFonts w:ascii="Times New Roman" w:hAnsi="Times New Roman"/>
                    <w:sz w:val="16"/>
                    <w:szCs w:val="16"/>
                  </w:rPr>
                </w:pPr>
                <w:r w:rsidRPr="00FB6A24">
                  <w:rPr>
                    <w:rFonts w:ascii="Times New Roman" w:hAnsi="Times New Roman"/>
                    <w:sz w:val="16"/>
                    <w:szCs w:val="16"/>
                  </w:rPr>
                  <w:t xml:space="preserve"> 1.539.693.200 </w:t>
                </w:r>
              </w:p>
            </w:tc>
          </w:tr>
          <w:tr w:rsidR="00FF330C" w:rsidRPr="00FB6A24" w14:paraId="26061A07" w14:textId="77777777" w:rsidTr="00D04986">
            <w:trPr>
              <w:trHeight w:val="283"/>
              <w:jc w:val="center"/>
            </w:trPr>
            <w:tc>
              <w:tcPr>
                <w:tcW w:w="0" w:type="auto"/>
                <w:shd w:val="clear" w:color="auto" w:fill="auto"/>
                <w:vAlign w:val="center"/>
                <w:hideMark/>
              </w:tcPr>
              <w:p w14:paraId="7457E38E" w14:textId="77777777" w:rsidR="00FF330C" w:rsidRPr="00FB6A24" w:rsidRDefault="00FF330C" w:rsidP="00D04986">
                <w:pPr>
                  <w:rPr>
                    <w:rFonts w:ascii="Times New Roman" w:hAnsi="Times New Roman"/>
                    <w:sz w:val="16"/>
                    <w:szCs w:val="16"/>
                  </w:rPr>
                </w:pPr>
                <w:r w:rsidRPr="00FB6A24">
                  <w:rPr>
                    <w:rFonts w:ascii="Times New Roman" w:hAnsi="Times New Roman"/>
                    <w:sz w:val="16"/>
                    <w:szCs w:val="16"/>
                  </w:rPr>
                  <w:t>Cotizaciones a seguridad social en salud</w:t>
                </w:r>
              </w:p>
            </w:tc>
            <w:tc>
              <w:tcPr>
                <w:tcW w:w="0" w:type="auto"/>
                <w:shd w:val="clear" w:color="auto" w:fill="auto"/>
                <w:vAlign w:val="center"/>
                <w:hideMark/>
              </w:tcPr>
              <w:p w14:paraId="6AC1C096" w14:textId="7F0F3E9D" w:rsidR="00FF330C" w:rsidRPr="00FB6A24" w:rsidRDefault="00FF330C" w:rsidP="00D04986">
                <w:pPr>
                  <w:jc w:val="right"/>
                  <w:rPr>
                    <w:rFonts w:ascii="Times New Roman" w:hAnsi="Times New Roman"/>
                    <w:sz w:val="16"/>
                    <w:szCs w:val="16"/>
                  </w:rPr>
                </w:pPr>
                <w:r w:rsidRPr="00FB6A24">
                  <w:rPr>
                    <w:rFonts w:ascii="Times New Roman" w:hAnsi="Times New Roman"/>
                    <w:sz w:val="16"/>
                    <w:szCs w:val="16"/>
                  </w:rPr>
                  <w:t xml:space="preserve"> 3.039.408.366 </w:t>
                </w:r>
              </w:p>
            </w:tc>
          </w:tr>
          <w:tr w:rsidR="00FF330C" w:rsidRPr="00FB6A24" w14:paraId="0CE4D8AD" w14:textId="77777777" w:rsidTr="00D04986">
            <w:trPr>
              <w:trHeight w:val="283"/>
              <w:jc w:val="center"/>
            </w:trPr>
            <w:tc>
              <w:tcPr>
                <w:tcW w:w="0" w:type="auto"/>
                <w:shd w:val="clear" w:color="auto" w:fill="auto"/>
                <w:vAlign w:val="center"/>
                <w:hideMark/>
              </w:tcPr>
              <w:p w14:paraId="532148B9" w14:textId="77777777" w:rsidR="00FF330C" w:rsidRPr="00FB6A24" w:rsidRDefault="00FF330C" w:rsidP="00D04986">
                <w:pPr>
                  <w:rPr>
                    <w:rFonts w:ascii="Times New Roman" w:hAnsi="Times New Roman"/>
                    <w:sz w:val="16"/>
                    <w:szCs w:val="16"/>
                  </w:rPr>
                </w:pPr>
                <w:r w:rsidRPr="00FB6A24">
                  <w:rPr>
                    <w:rFonts w:ascii="Times New Roman" w:hAnsi="Times New Roman"/>
                    <w:sz w:val="16"/>
                    <w:szCs w:val="16"/>
                  </w:rPr>
                  <w:t>Cotizaciones a riesgos laborales</w:t>
                </w:r>
              </w:p>
            </w:tc>
            <w:tc>
              <w:tcPr>
                <w:tcW w:w="0" w:type="auto"/>
                <w:shd w:val="clear" w:color="auto" w:fill="auto"/>
                <w:vAlign w:val="center"/>
                <w:hideMark/>
              </w:tcPr>
              <w:p w14:paraId="3EEFB44E" w14:textId="4850149B" w:rsidR="00FF330C" w:rsidRPr="00FB6A24" w:rsidRDefault="00FF330C" w:rsidP="00D04986">
                <w:pPr>
                  <w:jc w:val="right"/>
                  <w:rPr>
                    <w:rFonts w:ascii="Times New Roman" w:hAnsi="Times New Roman"/>
                    <w:sz w:val="16"/>
                    <w:szCs w:val="16"/>
                  </w:rPr>
                </w:pPr>
                <w:r w:rsidRPr="00FB6A24">
                  <w:rPr>
                    <w:rFonts w:ascii="Times New Roman" w:hAnsi="Times New Roman"/>
                    <w:sz w:val="16"/>
                    <w:szCs w:val="16"/>
                  </w:rPr>
                  <w:t xml:space="preserve">197.384.100 </w:t>
                </w:r>
              </w:p>
            </w:tc>
          </w:tr>
          <w:tr w:rsidR="00FF330C" w:rsidRPr="00FB6A24" w14:paraId="29422049" w14:textId="77777777" w:rsidTr="00D04986">
            <w:trPr>
              <w:trHeight w:val="283"/>
              <w:jc w:val="center"/>
            </w:trPr>
            <w:tc>
              <w:tcPr>
                <w:tcW w:w="0" w:type="auto"/>
                <w:shd w:val="clear" w:color="auto" w:fill="auto"/>
                <w:vAlign w:val="center"/>
                <w:hideMark/>
              </w:tcPr>
              <w:p w14:paraId="42590B23" w14:textId="77777777" w:rsidR="00FF330C" w:rsidRPr="00FB6A24" w:rsidRDefault="00FF330C" w:rsidP="00D04986">
                <w:pPr>
                  <w:rPr>
                    <w:rFonts w:ascii="Times New Roman" w:hAnsi="Times New Roman"/>
                    <w:sz w:val="16"/>
                    <w:szCs w:val="16"/>
                  </w:rPr>
                </w:pPr>
                <w:r w:rsidRPr="00FB6A24">
                  <w:rPr>
                    <w:rFonts w:ascii="Times New Roman" w:hAnsi="Times New Roman"/>
                    <w:sz w:val="16"/>
                    <w:szCs w:val="16"/>
                  </w:rPr>
                  <w:t>Cotizaciones a entidades administradoras del régimen de ahorro individual</w:t>
                </w:r>
              </w:p>
            </w:tc>
            <w:tc>
              <w:tcPr>
                <w:tcW w:w="0" w:type="auto"/>
                <w:shd w:val="clear" w:color="auto" w:fill="auto"/>
                <w:vAlign w:val="center"/>
                <w:hideMark/>
              </w:tcPr>
              <w:p w14:paraId="6D0D1095" w14:textId="4013C105" w:rsidR="00FF330C" w:rsidRPr="00FB6A24" w:rsidRDefault="00FF330C" w:rsidP="00D04986">
                <w:pPr>
                  <w:jc w:val="right"/>
                  <w:rPr>
                    <w:rFonts w:ascii="Times New Roman" w:hAnsi="Times New Roman"/>
                    <w:sz w:val="16"/>
                    <w:szCs w:val="16"/>
                  </w:rPr>
                </w:pPr>
                <w:r w:rsidRPr="00FB6A24">
                  <w:rPr>
                    <w:rFonts w:ascii="Times New Roman" w:hAnsi="Times New Roman"/>
                    <w:sz w:val="16"/>
                    <w:szCs w:val="16"/>
                  </w:rPr>
                  <w:t xml:space="preserve"> 4.277.790.465 </w:t>
                </w:r>
              </w:p>
            </w:tc>
          </w:tr>
          <w:tr w:rsidR="00FF330C" w:rsidRPr="00FB6A24" w14:paraId="7B16D833" w14:textId="77777777" w:rsidTr="00D04986">
            <w:trPr>
              <w:trHeight w:val="283"/>
              <w:jc w:val="center"/>
            </w:trPr>
            <w:tc>
              <w:tcPr>
                <w:tcW w:w="0" w:type="auto"/>
                <w:shd w:val="clear" w:color="auto" w:fill="auto"/>
                <w:vAlign w:val="center"/>
                <w:hideMark/>
              </w:tcPr>
              <w:p w14:paraId="68DD699B" w14:textId="4582494A" w:rsidR="00FF330C" w:rsidRPr="00FB6A24" w:rsidRDefault="00FF330C" w:rsidP="00D04986">
                <w:pPr>
                  <w:rPr>
                    <w:rFonts w:ascii="Times New Roman" w:hAnsi="Times New Roman"/>
                    <w:sz w:val="16"/>
                    <w:szCs w:val="16"/>
                  </w:rPr>
                </w:pPr>
                <w:r w:rsidRPr="00FB6A24">
                  <w:rPr>
                    <w:rFonts w:ascii="Times New Roman" w:hAnsi="Times New Roman"/>
                    <w:sz w:val="16"/>
                    <w:szCs w:val="16"/>
                  </w:rPr>
                  <w:t>Aportes al ICBF</w:t>
                </w:r>
              </w:p>
            </w:tc>
            <w:tc>
              <w:tcPr>
                <w:tcW w:w="0" w:type="auto"/>
                <w:shd w:val="clear" w:color="auto" w:fill="auto"/>
                <w:vAlign w:val="center"/>
                <w:hideMark/>
              </w:tcPr>
              <w:p w14:paraId="11295E64" w14:textId="5EDEBCD5" w:rsidR="00FF330C" w:rsidRPr="00FB6A24" w:rsidRDefault="00FF330C" w:rsidP="00D04986">
                <w:pPr>
                  <w:jc w:val="right"/>
                  <w:rPr>
                    <w:rFonts w:ascii="Times New Roman" w:hAnsi="Times New Roman"/>
                    <w:sz w:val="16"/>
                    <w:szCs w:val="16"/>
                  </w:rPr>
                </w:pPr>
                <w:r w:rsidRPr="00FB6A24">
                  <w:rPr>
                    <w:rFonts w:ascii="Times New Roman" w:hAnsi="Times New Roman"/>
                    <w:sz w:val="16"/>
                    <w:szCs w:val="16"/>
                  </w:rPr>
                  <w:t xml:space="preserve"> 1.154.793.100 </w:t>
                </w:r>
              </w:p>
            </w:tc>
          </w:tr>
          <w:tr w:rsidR="00FF330C" w:rsidRPr="00FB6A24" w14:paraId="5F021EDA" w14:textId="77777777" w:rsidTr="00D04986">
            <w:trPr>
              <w:trHeight w:val="283"/>
              <w:jc w:val="center"/>
            </w:trPr>
            <w:tc>
              <w:tcPr>
                <w:tcW w:w="0" w:type="auto"/>
                <w:shd w:val="clear" w:color="auto" w:fill="auto"/>
                <w:vAlign w:val="center"/>
                <w:hideMark/>
              </w:tcPr>
              <w:p w14:paraId="36710D5F" w14:textId="02DDA149" w:rsidR="00FF330C" w:rsidRPr="00FB6A24" w:rsidRDefault="00FF330C" w:rsidP="00D04986">
                <w:pPr>
                  <w:rPr>
                    <w:rFonts w:ascii="Times New Roman" w:hAnsi="Times New Roman"/>
                    <w:sz w:val="16"/>
                    <w:szCs w:val="16"/>
                  </w:rPr>
                </w:pPr>
                <w:r w:rsidRPr="00FB6A24">
                  <w:rPr>
                    <w:rFonts w:ascii="Times New Roman" w:hAnsi="Times New Roman"/>
                    <w:sz w:val="16"/>
                    <w:szCs w:val="16"/>
                  </w:rPr>
                  <w:t>Aportes al SENA</w:t>
                </w:r>
              </w:p>
            </w:tc>
            <w:tc>
              <w:tcPr>
                <w:tcW w:w="0" w:type="auto"/>
                <w:shd w:val="clear" w:color="auto" w:fill="auto"/>
                <w:vAlign w:val="center"/>
                <w:hideMark/>
              </w:tcPr>
              <w:p w14:paraId="2A1ABE45" w14:textId="2CE3B005" w:rsidR="00FF330C" w:rsidRPr="00FB6A24" w:rsidRDefault="00FF330C" w:rsidP="00D04986">
                <w:pPr>
                  <w:jc w:val="right"/>
                  <w:rPr>
                    <w:rFonts w:ascii="Times New Roman" w:hAnsi="Times New Roman"/>
                    <w:sz w:val="16"/>
                    <w:szCs w:val="16"/>
                  </w:rPr>
                </w:pPr>
                <w:r w:rsidRPr="00FB6A24">
                  <w:rPr>
                    <w:rFonts w:ascii="Times New Roman" w:hAnsi="Times New Roman"/>
                    <w:sz w:val="16"/>
                    <w:szCs w:val="16"/>
                  </w:rPr>
                  <w:t xml:space="preserve">769.916.000 </w:t>
                </w:r>
              </w:p>
            </w:tc>
          </w:tr>
          <w:tr w:rsidR="00FF330C" w:rsidRPr="00FB6A24" w14:paraId="6AA4FD0B" w14:textId="77777777" w:rsidTr="00D04986">
            <w:trPr>
              <w:trHeight w:val="283"/>
              <w:jc w:val="center"/>
            </w:trPr>
            <w:tc>
              <w:tcPr>
                <w:tcW w:w="0" w:type="auto"/>
                <w:shd w:val="clear" w:color="auto" w:fill="auto"/>
                <w:vAlign w:val="center"/>
                <w:hideMark/>
              </w:tcPr>
              <w:p w14:paraId="6F667D77" w14:textId="77777777" w:rsidR="00FF330C" w:rsidRPr="00FB6A24" w:rsidRDefault="00FF330C" w:rsidP="00D04986">
                <w:pPr>
                  <w:rPr>
                    <w:rFonts w:ascii="Times New Roman" w:hAnsi="Times New Roman"/>
                    <w:sz w:val="16"/>
                    <w:szCs w:val="16"/>
                  </w:rPr>
                </w:pPr>
                <w:r w:rsidRPr="00FB6A24">
                  <w:rPr>
                    <w:rFonts w:ascii="Times New Roman" w:hAnsi="Times New Roman"/>
                    <w:sz w:val="16"/>
                    <w:szCs w:val="16"/>
                  </w:rPr>
                  <w:t>Vacaciones</w:t>
                </w:r>
              </w:p>
            </w:tc>
            <w:tc>
              <w:tcPr>
                <w:tcW w:w="0" w:type="auto"/>
                <w:shd w:val="clear" w:color="auto" w:fill="auto"/>
                <w:vAlign w:val="center"/>
                <w:hideMark/>
              </w:tcPr>
              <w:p w14:paraId="49E82A20" w14:textId="38EE51D2" w:rsidR="00FF330C" w:rsidRPr="00FB6A24" w:rsidRDefault="00FF330C" w:rsidP="00D04986">
                <w:pPr>
                  <w:jc w:val="right"/>
                  <w:rPr>
                    <w:rFonts w:ascii="Times New Roman" w:hAnsi="Times New Roman"/>
                    <w:sz w:val="16"/>
                    <w:szCs w:val="16"/>
                  </w:rPr>
                </w:pPr>
                <w:r w:rsidRPr="00FB6A24">
                  <w:rPr>
                    <w:rFonts w:ascii="Times New Roman" w:hAnsi="Times New Roman"/>
                    <w:sz w:val="16"/>
                    <w:szCs w:val="16"/>
                  </w:rPr>
                  <w:t xml:space="preserve"> 2.639.385.845 </w:t>
                </w:r>
              </w:p>
            </w:tc>
          </w:tr>
          <w:tr w:rsidR="00FF330C" w:rsidRPr="00FB6A24" w14:paraId="5129F352" w14:textId="77777777" w:rsidTr="00D04986">
            <w:trPr>
              <w:trHeight w:val="283"/>
              <w:jc w:val="center"/>
            </w:trPr>
            <w:tc>
              <w:tcPr>
                <w:tcW w:w="0" w:type="auto"/>
                <w:shd w:val="clear" w:color="auto" w:fill="auto"/>
                <w:vAlign w:val="center"/>
                <w:hideMark/>
              </w:tcPr>
              <w:p w14:paraId="568C6CA8" w14:textId="77777777" w:rsidR="00FF330C" w:rsidRPr="00FB6A24" w:rsidRDefault="00FF330C" w:rsidP="00D04986">
                <w:pPr>
                  <w:rPr>
                    <w:rFonts w:ascii="Times New Roman" w:hAnsi="Times New Roman"/>
                    <w:sz w:val="16"/>
                    <w:szCs w:val="16"/>
                  </w:rPr>
                </w:pPr>
                <w:r w:rsidRPr="00FB6A24">
                  <w:rPr>
                    <w:rFonts w:ascii="Times New Roman" w:hAnsi="Times New Roman"/>
                    <w:sz w:val="16"/>
                    <w:szCs w:val="16"/>
                  </w:rPr>
                  <w:t>Cesantías</w:t>
                </w:r>
              </w:p>
            </w:tc>
            <w:tc>
              <w:tcPr>
                <w:tcW w:w="0" w:type="auto"/>
                <w:shd w:val="clear" w:color="auto" w:fill="auto"/>
                <w:vAlign w:val="center"/>
                <w:hideMark/>
              </w:tcPr>
              <w:p w14:paraId="643144D1" w14:textId="3E11D442" w:rsidR="00FF330C" w:rsidRPr="00FB6A24" w:rsidRDefault="00FF330C" w:rsidP="00D04986">
                <w:pPr>
                  <w:jc w:val="right"/>
                  <w:rPr>
                    <w:rFonts w:ascii="Times New Roman" w:hAnsi="Times New Roman"/>
                    <w:sz w:val="16"/>
                    <w:szCs w:val="16"/>
                  </w:rPr>
                </w:pPr>
                <w:r w:rsidRPr="00FB6A24">
                  <w:rPr>
                    <w:rFonts w:ascii="Times New Roman" w:hAnsi="Times New Roman"/>
                    <w:sz w:val="16"/>
                    <w:szCs w:val="16"/>
                  </w:rPr>
                  <w:t xml:space="preserve"> 3.609.534.235 </w:t>
                </w:r>
              </w:p>
            </w:tc>
          </w:tr>
          <w:tr w:rsidR="00FF330C" w:rsidRPr="00FB6A24" w14:paraId="1E297F5A" w14:textId="77777777" w:rsidTr="00D04986">
            <w:trPr>
              <w:trHeight w:val="283"/>
              <w:jc w:val="center"/>
            </w:trPr>
            <w:tc>
              <w:tcPr>
                <w:tcW w:w="0" w:type="auto"/>
                <w:shd w:val="clear" w:color="auto" w:fill="auto"/>
                <w:vAlign w:val="center"/>
                <w:hideMark/>
              </w:tcPr>
              <w:p w14:paraId="5168721F" w14:textId="77777777" w:rsidR="00FF330C" w:rsidRPr="00FB6A24" w:rsidRDefault="00FF330C" w:rsidP="00D04986">
                <w:pPr>
                  <w:rPr>
                    <w:rFonts w:ascii="Times New Roman" w:hAnsi="Times New Roman"/>
                    <w:sz w:val="16"/>
                    <w:szCs w:val="16"/>
                  </w:rPr>
                </w:pPr>
                <w:r w:rsidRPr="00FB6A24">
                  <w:rPr>
                    <w:rFonts w:ascii="Times New Roman" w:hAnsi="Times New Roman"/>
                    <w:sz w:val="16"/>
                    <w:szCs w:val="16"/>
                  </w:rPr>
                  <w:t>Prima de vacaciones</w:t>
                </w:r>
              </w:p>
            </w:tc>
            <w:tc>
              <w:tcPr>
                <w:tcW w:w="0" w:type="auto"/>
                <w:shd w:val="clear" w:color="auto" w:fill="auto"/>
                <w:vAlign w:val="center"/>
                <w:hideMark/>
              </w:tcPr>
              <w:p w14:paraId="2EEEE73B" w14:textId="71274E85" w:rsidR="00FF330C" w:rsidRPr="00FB6A24" w:rsidRDefault="00FF330C" w:rsidP="00D04986">
                <w:pPr>
                  <w:jc w:val="right"/>
                  <w:rPr>
                    <w:rFonts w:ascii="Times New Roman" w:hAnsi="Times New Roman"/>
                    <w:sz w:val="16"/>
                    <w:szCs w:val="16"/>
                  </w:rPr>
                </w:pPr>
                <w:r w:rsidRPr="00FB6A24">
                  <w:rPr>
                    <w:rFonts w:ascii="Times New Roman" w:hAnsi="Times New Roman"/>
                    <w:sz w:val="16"/>
                    <w:szCs w:val="16"/>
                  </w:rPr>
                  <w:t xml:space="preserve"> 1.788.152.574 </w:t>
                </w:r>
              </w:p>
            </w:tc>
          </w:tr>
          <w:tr w:rsidR="00FF330C" w:rsidRPr="00FB6A24" w14:paraId="0BB50AB4" w14:textId="77777777" w:rsidTr="00D04986">
            <w:trPr>
              <w:trHeight w:val="283"/>
              <w:jc w:val="center"/>
            </w:trPr>
            <w:tc>
              <w:tcPr>
                <w:tcW w:w="0" w:type="auto"/>
                <w:shd w:val="clear" w:color="auto" w:fill="auto"/>
                <w:vAlign w:val="center"/>
                <w:hideMark/>
              </w:tcPr>
              <w:p w14:paraId="39076D06" w14:textId="77777777" w:rsidR="00FF330C" w:rsidRPr="00FB6A24" w:rsidRDefault="00FF330C" w:rsidP="00D04986">
                <w:pPr>
                  <w:rPr>
                    <w:rFonts w:ascii="Times New Roman" w:hAnsi="Times New Roman"/>
                    <w:sz w:val="16"/>
                    <w:szCs w:val="16"/>
                  </w:rPr>
                </w:pPr>
                <w:r w:rsidRPr="00FB6A24">
                  <w:rPr>
                    <w:rFonts w:ascii="Times New Roman" w:hAnsi="Times New Roman"/>
                    <w:sz w:val="16"/>
                    <w:szCs w:val="16"/>
                  </w:rPr>
                  <w:t>Prima de navidad</w:t>
                </w:r>
              </w:p>
            </w:tc>
            <w:tc>
              <w:tcPr>
                <w:tcW w:w="0" w:type="auto"/>
                <w:shd w:val="clear" w:color="auto" w:fill="auto"/>
                <w:vAlign w:val="center"/>
                <w:hideMark/>
              </w:tcPr>
              <w:p w14:paraId="6CEE4409" w14:textId="4671D12F" w:rsidR="00FF330C" w:rsidRPr="00FB6A24" w:rsidRDefault="00FF330C" w:rsidP="00D04986">
                <w:pPr>
                  <w:jc w:val="right"/>
                  <w:rPr>
                    <w:rFonts w:ascii="Times New Roman" w:hAnsi="Times New Roman"/>
                    <w:sz w:val="16"/>
                    <w:szCs w:val="16"/>
                  </w:rPr>
                </w:pPr>
                <w:r w:rsidRPr="00FB6A24">
                  <w:rPr>
                    <w:rFonts w:ascii="Times New Roman" w:hAnsi="Times New Roman"/>
                    <w:sz w:val="16"/>
                    <w:szCs w:val="16"/>
                  </w:rPr>
                  <w:t xml:space="preserve"> 3.124.278.198 </w:t>
                </w:r>
              </w:p>
            </w:tc>
          </w:tr>
          <w:tr w:rsidR="00FF330C" w:rsidRPr="00FB6A24" w14:paraId="2C7D433E" w14:textId="77777777" w:rsidTr="00D04986">
            <w:trPr>
              <w:trHeight w:val="283"/>
              <w:jc w:val="center"/>
            </w:trPr>
            <w:tc>
              <w:tcPr>
                <w:tcW w:w="0" w:type="auto"/>
                <w:shd w:val="clear" w:color="auto" w:fill="auto"/>
                <w:vAlign w:val="center"/>
                <w:hideMark/>
              </w:tcPr>
              <w:p w14:paraId="3B685190" w14:textId="77777777" w:rsidR="00FF330C" w:rsidRPr="00FB6A24" w:rsidRDefault="00FF330C" w:rsidP="00D04986">
                <w:pPr>
                  <w:rPr>
                    <w:rFonts w:ascii="Times New Roman" w:hAnsi="Times New Roman"/>
                    <w:sz w:val="16"/>
                    <w:szCs w:val="16"/>
                  </w:rPr>
                </w:pPr>
                <w:r w:rsidRPr="00FB6A24">
                  <w:rPr>
                    <w:rFonts w:ascii="Times New Roman" w:hAnsi="Times New Roman"/>
                    <w:sz w:val="16"/>
                    <w:szCs w:val="16"/>
                  </w:rPr>
                  <w:t>Prima de servicios</w:t>
                </w:r>
              </w:p>
            </w:tc>
            <w:tc>
              <w:tcPr>
                <w:tcW w:w="0" w:type="auto"/>
                <w:shd w:val="clear" w:color="auto" w:fill="auto"/>
                <w:vAlign w:val="center"/>
                <w:hideMark/>
              </w:tcPr>
              <w:p w14:paraId="2C0DE7AB" w14:textId="61D74883" w:rsidR="00FF330C" w:rsidRPr="00FB6A24" w:rsidRDefault="00FF330C" w:rsidP="00D04986">
                <w:pPr>
                  <w:jc w:val="right"/>
                  <w:rPr>
                    <w:rFonts w:ascii="Times New Roman" w:hAnsi="Times New Roman"/>
                    <w:sz w:val="16"/>
                    <w:szCs w:val="16"/>
                  </w:rPr>
                </w:pPr>
                <w:r w:rsidRPr="00FB6A24">
                  <w:rPr>
                    <w:rFonts w:ascii="Times New Roman" w:hAnsi="Times New Roman"/>
                    <w:sz w:val="16"/>
                    <w:szCs w:val="16"/>
                  </w:rPr>
                  <w:t xml:space="preserve"> 1.540.576.373 </w:t>
                </w:r>
              </w:p>
            </w:tc>
          </w:tr>
          <w:tr w:rsidR="00FF330C" w:rsidRPr="00FB6A24" w14:paraId="1E1D692A" w14:textId="77777777" w:rsidTr="00D04986">
            <w:trPr>
              <w:trHeight w:val="283"/>
              <w:jc w:val="center"/>
            </w:trPr>
            <w:tc>
              <w:tcPr>
                <w:tcW w:w="0" w:type="auto"/>
                <w:shd w:val="clear" w:color="auto" w:fill="auto"/>
                <w:vAlign w:val="center"/>
                <w:hideMark/>
              </w:tcPr>
              <w:p w14:paraId="5C897D3C" w14:textId="77777777" w:rsidR="00FF330C" w:rsidRPr="00FB6A24" w:rsidRDefault="00FF330C" w:rsidP="00D04986">
                <w:pPr>
                  <w:rPr>
                    <w:rFonts w:ascii="Times New Roman" w:hAnsi="Times New Roman"/>
                    <w:sz w:val="16"/>
                    <w:szCs w:val="16"/>
                  </w:rPr>
                </w:pPr>
                <w:r w:rsidRPr="00FB6A24">
                  <w:rPr>
                    <w:rFonts w:ascii="Times New Roman" w:hAnsi="Times New Roman"/>
                    <w:sz w:val="16"/>
                    <w:szCs w:val="16"/>
                  </w:rPr>
                  <w:t>Bonificación especial de recreación</w:t>
                </w:r>
              </w:p>
            </w:tc>
            <w:tc>
              <w:tcPr>
                <w:tcW w:w="0" w:type="auto"/>
                <w:shd w:val="clear" w:color="auto" w:fill="auto"/>
                <w:vAlign w:val="center"/>
                <w:hideMark/>
              </w:tcPr>
              <w:p w14:paraId="21964D3A" w14:textId="428FEE80" w:rsidR="00FF330C" w:rsidRPr="00FB6A24" w:rsidRDefault="00FF330C" w:rsidP="00D04986">
                <w:pPr>
                  <w:jc w:val="right"/>
                  <w:rPr>
                    <w:rFonts w:ascii="Times New Roman" w:hAnsi="Times New Roman"/>
                    <w:sz w:val="16"/>
                    <w:szCs w:val="16"/>
                  </w:rPr>
                </w:pPr>
                <w:r w:rsidRPr="00FB6A24">
                  <w:rPr>
                    <w:rFonts w:ascii="Times New Roman" w:hAnsi="Times New Roman"/>
                    <w:sz w:val="16"/>
                    <w:szCs w:val="16"/>
                  </w:rPr>
                  <w:t xml:space="preserve">205.636.952 </w:t>
                </w:r>
              </w:p>
            </w:tc>
          </w:tr>
          <w:tr w:rsidR="00FF330C" w:rsidRPr="00FB6A24" w14:paraId="076DFEC4" w14:textId="77777777" w:rsidTr="00D04986">
            <w:trPr>
              <w:trHeight w:val="283"/>
              <w:jc w:val="center"/>
            </w:trPr>
            <w:tc>
              <w:tcPr>
                <w:tcW w:w="0" w:type="auto"/>
                <w:shd w:val="clear" w:color="auto" w:fill="auto"/>
                <w:vAlign w:val="center"/>
                <w:hideMark/>
              </w:tcPr>
              <w:p w14:paraId="6958217C" w14:textId="77777777" w:rsidR="00FF330C" w:rsidRPr="00FB6A24" w:rsidRDefault="00FF330C" w:rsidP="00D04986">
                <w:pPr>
                  <w:rPr>
                    <w:rFonts w:ascii="Times New Roman" w:hAnsi="Times New Roman"/>
                    <w:sz w:val="16"/>
                    <w:szCs w:val="16"/>
                  </w:rPr>
                </w:pPr>
                <w:r w:rsidRPr="00FB6A24">
                  <w:rPr>
                    <w:rFonts w:ascii="Times New Roman" w:hAnsi="Times New Roman"/>
                    <w:sz w:val="16"/>
                    <w:szCs w:val="16"/>
                  </w:rPr>
                  <w:t>Capacitación, bienestar social y estímulos</w:t>
                </w:r>
              </w:p>
            </w:tc>
            <w:tc>
              <w:tcPr>
                <w:tcW w:w="0" w:type="auto"/>
                <w:shd w:val="clear" w:color="auto" w:fill="auto"/>
                <w:vAlign w:val="center"/>
                <w:hideMark/>
              </w:tcPr>
              <w:p w14:paraId="750978D8" w14:textId="17C0390A" w:rsidR="00FF330C" w:rsidRPr="00FB6A24" w:rsidRDefault="00FF330C" w:rsidP="00D04986">
                <w:pPr>
                  <w:jc w:val="right"/>
                  <w:rPr>
                    <w:rFonts w:ascii="Times New Roman" w:hAnsi="Times New Roman"/>
                    <w:sz w:val="16"/>
                    <w:szCs w:val="16"/>
                  </w:rPr>
                </w:pPr>
                <w:r w:rsidRPr="00FB6A24">
                  <w:rPr>
                    <w:rFonts w:ascii="Times New Roman" w:hAnsi="Times New Roman"/>
                    <w:sz w:val="16"/>
                    <w:szCs w:val="16"/>
                  </w:rPr>
                  <w:t xml:space="preserve">705.845.498 </w:t>
                </w:r>
              </w:p>
            </w:tc>
          </w:tr>
          <w:tr w:rsidR="00FF330C" w:rsidRPr="00FB6A24" w14:paraId="1645ACC0" w14:textId="77777777" w:rsidTr="00D04986">
            <w:trPr>
              <w:trHeight w:val="283"/>
              <w:jc w:val="center"/>
            </w:trPr>
            <w:tc>
              <w:tcPr>
                <w:tcW w:w="0" w:type="auto"/>
                <w:shd w:val="clear" w:color="auto" w:fill="auto"/>
                <w:vAlign w:val="center"/>
                <w:hideMark/>
              </w:tcPr>
              <w:p w14:paraId="21D36844" w14:textId="77777777" w:rsidR="00FF330C" w:rsidRPr="00FB6A24" w:rsidRDefault="00FF330C" w:rsidP="00D04986">
                <w:pPr>
                  <w:rPr>
                    <w:rFonts w:ascii="Times New Roman" w:hAnsi="Times New Roman"/>
                    <w:sz w:val="16"/>
                    <w:szCs w:val="16"/>
                  </w:rPr>
                </w:pPr>
                <w:r w:rsidRPr="00FB6A24">
                  <w:rPr>
                    <w:rFonts w:ascii="Times New Roman" w:hAnsi="Times New Roman"/>
                    <w:sz w:val="16"/>
                    <w:szCs w:val="16"/>
                  </w:rPr>
                  <w:t>Gastos de viaje</w:t>
                </w:r>
              </w:p>
            </w:tc>
            <w:tc>
              <w:tcPr>
                <w:tcW w:w="0" w:type="auto"/>
                <w:shd w:val="clear" w:color="auto" w:fill="auto"/>
                <w:vAlign w:val="center"/>
                <w:hideMark/>
              </w:tcPr>
              <w:p w14:paraId="4653C1FC" w14:textId="7D412F37" w:rsidR="00FF330C" w:rsidRPr="00FB6A24" w:rsidRDefault="00FF330C" w:rsidP="00D04986">
                <w:pPr>
                  <w:jc w:val="right"/>
                  <w:rPr>
                    <w:rFonts w:ascii="Times New Roman" w:hAnsi="Times New Roman"/>
                    <w:sz w:val="16"/>
                    <w:szCs w:val="16"/>
                  </w:rPr>
                </w:pPr>
                <w:r w:rsidRPr="00FB6A24">
                  <w:rPr>
                    <w:rFonts w:ascii="Times New Roman" w:hAnsi="Times New Roman"/>
                    <w:sz w:val="16"/>
                    <w:szCs w:val="16"/>
                  </w:rPr>
                  <w:t xml:space="preserve">  46.006.659 </w:t>
                </w:r>
              </w:p>
            </w:tc>
          </w:tr>
          <w:tr w:rsidR="00FF330C" w:rsidRPr="00FB6A24" w14:paraId="2A7F32A2" w14:textId="77777777" w:rsidTr="00D04986">
            <w:trPr>
              <w:trHeight w:val="283"/>
              <w:jc w:val="center"/>
            </w:trPr>
            <w:tc>
              <w:tcPr>
                <w:tcW w:w="0" w:type="auto"/>
                <w:shd w:val="clear" w:color="auto" w:fill="auto"/>
                <w:vAlign w:val="center"/>
                <w:hideMark/>
              </w:tcPr>
              <w:p w14:paraId="0A01112D" w14:textId="77777777" w:rsidR="00FF330C" w:rsidRPr="00FB6A24" w:rsidRDefault="00FF330C" w:rsidP="00D04986">
                <w:pPr>
                  <w:rPr>
                    <w:rFonts w:ascii="Times New Roman" w:hAnsi="Times New Roman"/>
                    <w:sz w:val="16"/>
                    <w:szCs w:val="16"/>
                  </w:rPr>
                </w:pPr>
                <w:r w:rsidRPr="00FB6A24">
                  <w:rPr>
                    <w:rFonts w:ascii="Times New Roman" w:hAnsi="Times New Roman"/>
                    <w:sz w:val="16"/>
                    <w:szCs w:val="16"/>
                  </w:rPr>
                  <w:t>Otros gastos de personal diversos</w:t>
                </w:r>
              </w:p>
            </w:tc>
            <w:tc>
              <w:tcPr>
                <w:tcW w:w="0" w:type="auto"/>
                <w:shd w:val="clear" w:color="auto" w:fill="auto"/>
                <w:vAlign w:val="center"/>
                <w:hideMark/>
              </w:tcPr>
              <w:p w14:paraId="65FCB380" w14:textId="6AB9680D" w:rsidR="00FF330C" w:rsidRPr="00FB6A24" w:rsidRDefault="00FF330C" w:rsidP="00D04986">
                <w:pPr>
                  <w:jc w:val="right"/>
                  <w:rPr>
                    <w:rFonts w:ascii="Times New Roman" w:hAnsi="Times New Roman"/>
                    <w:sz w:val="16"/>
                    <w:szCs w:val="16"/>
                  </w:rPr>
                </w:pPr>
                <w:r w:rsidRPr="00FB6A24">
                  <w:rPr>
                    <w:rFonts w:ascii="Times New Roman" w:hAnsi="Times New Roman"/>
                    <w:sz w:val="16"/>
                    <w:szCs w:val="16"/>
                  </w:rPr>
                  <w:t xml:space="preserve">2.320.000 </w:t>
                </w:r>
              </w:p>
            </w:tc>
          </w:tr>
        </w:tbl>
        <w:p w14:paraId="548EC9F2" w14:textId="77777777" w:rsidR="00154488" w:rsidRDefault="00154488" w:rsidP="00FB6A24">
          <w:pPr>
            <w:spacing w:after="0" w:line="240" w:lineRule="auto"/>
            <w:jc w:val="both"/>
            <w:rPr>
              <w:rFonts w:ascii="Times New Roman" w:hAnsi="Times New Roman"/>
              <w:sz w:val="14"/>
              <w:szCs w:val="10"/>
            </w:rPr>
            <w:sectPr w:rsidR="00154488" w:rsidSect="00376BDD">
              <w:type w:val="continuous"/>
              <w:pgSz w:w="12240" w:h="15840"/>
              <w:pgMar w:top="1418" w:right="1418" w:bottom="1418" w:left="1843" w:header="680" w:footer="709" w:gutter="0"/>
              <w:pgNumType w:start="112"/>
              <w:cols w:num="2" w:space="708"/>
              <w:titlePg/>
              <w:docGrid w:linePitch="360"/>
            </w:sectPr>
          </w:pPr>
        </w:p>
        <w:p w14:paraId="58F210B5" w14:textId="3F181E5B" w:rsidR="00FC7C22" w:rsidRPr="00062D48" w:rsidRDefault="00FC7C22" w:rsidP="00FB6A24">
          <w:pPr>
            <w:spacing w:after="0" w:line="240" w:lineRule="auto"/>
            <w:jc w:val="both"/>
            <w:rPr>
              <w:rFonts w:ascii="Times New Roman" w:hAnsi="Times New Roman"/>
              <w:sz w:val="14"/>
              <w:szCs w:val="10"/>
            </w:rPr>
          </w:pPr>
          <w:r w:rsidRPr="00931DCE">
            <w:rPr>
              <w:rFonts w:ascii="Times New Roman" w:hAnsi="Times New Roman"/>
              <w:sz w:val="14"/>
              <w:szCs w:val="10"/>
            </w:rPr>
            <w:t>Cifra en miles de pesos</w:t>
          </w:r>
        </w:p>
        <w:p w14:paraId="5977DF05" w14:textId="77777777" w:rsidR="00FC7C22" w:rsidRPr="00931DCE" w:rsidRDefault="00FC7C22" w:rsidP="00FC7C22">
          <w:pPr>
            <w:spacing w:after="0" w:line="240" w:lineRule="auto"/>
            <w:jc w:val="both"/>
            <w:rPr>
              <w:rFonts w:ascii="Times New Roman" w:hAnsi="Times New Roman"/>
              <w:sz w:val="24"/>
              <w:szCs w:val="24"/>
              <w:lang w:val="es-MX"/>
            </w:rPr>
          </w:pPr>
        </w:p>
        <w:p w14:paraId="66B3B8E7" w14:textId="77777777" w:rsidR="00FC7C22" w:rsidRDefault="00FC7C22" w:rsidP="00FC7C22">
          <w:pPr>
            <w:spacing w:after="0" w:line="240" w:lineRule="auto"/>
            <w:jc w:val="both"/>
            <w:rPr>
              <w:rFonts w:ascii="Times New Roman" w:hAnsi="Times New Roman"/>
              <w:sz w:val="24"/>
              <w:szCs w:val="24"/>
              <w:lang w:val="es-MX"/>
            </w:rPr>
          </w:pPr>
          <w:r w:rsidRPr="00931DCE">
            <w:rPr>
              <w:rFonts w:ascii="Times New Roman" w:hAnsi="Times New Roman"/>
              <w:sz w:val="24"/>
              <w:szCs w:val="24"/>
              <w:lang w:val="es-MX"/>
            </w:rPr>
            <w:t>Y los valores pendientes por pagar así:</w:t>
          </w:r>
        </w:p>
        <w:p w14:paraId="6C85CB9B" w14:textId="77777777" w:rsidR="00B22200" w:rsidRPr="00931DCE" w:rsidRDefault="00B22200" w:rsidP="00FC7C22">
          <w:pPr>
            <w:spacing w:after="0" w:line="240" w:lineRule="auto"/>
            <w:jc w:val="both"/>
            <w:rPr>
              <w:rFonts w:ascii="Times New Roman" w:hAnsi="Times New Roman"/>
              <w:sz w:val="24"/>
              <w:szCs w:val="24"/>
              <w:lang w:val="es-MX"/>
            </w:rPr>
          </w:pPr>
        </w:p>
        <w:p w14:paraId="17C959F3" w14:textId="77777777" w:rsidR="00FC7C22" w:rsidRPr="00931DCE" w:rsidRDefault="00FC7C22" w:rsidP="00FC7C22">
          <w:pPr>
            <w:spacing w:after="0" w:line="240" w:lineRule="auto"/>
            <w:jc w:val="both"/>
            <w:rPr>
              <w:rFonts w:ascii="Times New Roman" w:hAnsi="Times New Roman"/>
              <w:sz w:val="24"/>
              <w:szCs w:val="24"/>
              <w:lang w:val="es-MX"/>
            </w:rPr>
          </w:pPr>
        </w:p>
        <w:tbl>
          <w:tblPr>
            <w:tblW w:w="4919" w:type="pct"/>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CellMar>
              <w:left w:w="70" w:type="dxa"/>
              <w:right w:w="70" w:type="dxa"/>
            </w:tblCellMar>
            <w:tblLook w:val="04A0" w:firstRow="1" w:lastRow="0" w:firstColumn="1" w:lastColumn="0" w:noHBand="0" w:noVBand="1"/>
          </w:tblPr>
          <w:tblGrid>
            <w:gridCol w:w="1414"/>
            <w:gridCol w:w="683"/>
            <w:gridCol w:w="4560"/>
            <w:gridCol w:w="2167"/>
          </w:tblGrid>
          <w:tr w:rsidR="00C36E69" w:rsidRPr="00B22200" w14:paraId="5B9F08B2" w14:textId="77777777" w:rsidTr="00037300">
            <w:trPr>
              <w:trHeight w:val="283"/>
            </w:trPr>
            <w:tc>
              <w:tcPr>
                <w:tcW w:w="1188" w:type="pct"/>
                <w:gridSpan w:val="2"/>
                <w:vMerge w:val="restart"/>
                <w:shd w:val="clear" w:color="auto" w:fill="auto"/>
                <w:vAlign w:val="center"/>
                <w:hideMark/>
              </w:tcPr>
              <w:p w14:paraId="223033AF" w14:textId="77777777" w:rsidR="00C36E69" w:rsidRPr="00B22200" w:rsidRDefault="00C36E69">
                <w:pPr>
                  <w:spacing w:after="0" w:line="240" w:lineRule="auto"/>
                  <w:jc w:val="center"/>
                  <w:rPr>
                    <w:rFonts w:ascii="Times New Roman" w:eastAsia="Times New Roman" w:hAnsi="Times New Roman"/>
                    <w:b/>
                    <w:sz w:val="14"/>
                    <w:szCs w:val="14"/>
                    <w:lang w:eastAsia="es-CO"/>
                  </w:rPr>
                </w:pPr>
                <w:r w:rsidRPr="00B22200">
                  <w:rPr>
                    <w:rFonts w:ascii="Times New Roman" w:eastAsia="Times New Roman" w:hAnsi="Times New Roman"/>
                    <w:b/>
                    <w:sz w:val="14"/>
                    <w:szCs w:val="14"/>
                    <w:lang w:eastAsia="es-CO"/>
                  </w:rPr>
                  <w:t>ID</w:t>
                </w:r>
              </w:p>
            </w:tc>
            <w:tc>
              <w:tcPr>
                <w:tcW w:w="2584" w:type="pct"/>
                <w:vMerge w:val="restart"/>
                <w:shd w:val="clear" w:color="auto" w:fill="auto"/>
                <w:vAlign w:val="center"/>
                <w:hideMark/>
              </w:tcPr>
              <w:p w14:paraId="2E3B7FF7" w14:textId="77777777" w:rsidR="00C36E69" w:rsidRPr="00B22200" w:rsidRDefault="00C36E69">
                <w:pPr>
                  <w:spacing w:after="0" w:line="240" w:lineRule="auto"/>
                  <w:jc w:val="center"/>
                  <w:rPr>
                    <w:rFonts w:ascii="Times New Roman" w:eastAsia="Times New Roman" w:hAnsi="Times New Roman"/>
                    <w:b/>
                    <w:sz w:val="14"/>
                    <w:szCs w:val="14"/>
                    <w:lang w:eastAsia="es-CO"/>
                  </w:rPr>
                </w:pPr>
                <w:r w:rsidRPr="00B22200">
                  <w:rPr>
                    <w:rFonts w:ascii="Times New Roman" w:eastAsia="Times New Roman" w:hAnsi="Times New Roman"/>
                    <w:b/>
                    <w:sz w:val="14"/>
                    <w:szCs w:val="14"/>
                    <w:lang w:eastAsia="es-CO"/>
                  </w:rPr>
                  <w:t>DESCRIPCIÓN</w:t>
                </w:r>
              </w:p>
            </w:tc>
            <w:tc>
              <w:tcPr>
                <w:tcW w:w="1228" w:type="pct"/>
                <w:vMerge w:val="restart"/>
                <w:shd w:val="clear" w:color="auto" w:fill="auto"/>
                <w:vAlign w:val="center"/>
                <w:hideMark/>
              </w:tcPr>
              <w:p w14:paraId="3BA8F3D5" w14:textId="77777777" w:rsidR="00C36E69" w:rsidRPr="00B22200" w:rsidRDefault="00C36E69">
                <w:pPr>
                  <w:spacing w:after="0" w:line="240" w:lineRule="auto"/>
                  <w:jc w:val="center"/>
                  <w:rPr>
                    <w:rFonts w:ascii="Times New Roman" w:eastAsia="Times New Roman" w:hAnsi="Times New Roman"/>
                    <w:b/>
                    <w:sz w:val="14"/>
                    <w:szCs w:val="14"/>
                    <w:lang w:eastAsia="es-CO"/>
                  </w:rPr>
                </w:pPr>
                <w:r w:rsidRPr="00B22200">
                  <w:rPr>
                    <w:rFonts w:ascii="Times New Roman" w:eastAsia="Times New Roman" w:hAnsi="Times New Roman"/>
                    <w:b/>
                    <w:sz w:val="14"/>
                    <w:szCs w:val="14"/>
                    <w:lang w:eastAsia="es-CO"/>
                  </w:rPr>
                  <w:t>SALDO</w:t>
                </w:r>
              </w:p>
            </w:tc>
          </w:tr>
          <w:tr w:rsidR="00C36E69" w:rsidRPr="00B22200" w14:paraId="1469F02E" w14:textId="77777777" w:rsidTr="00037300">
            <w:trPr>
              <w:trHeight w:val="269"/>
            </w:trPr>
            <w:tc>
              <w:tcPr>
                <w:tcW w:w="1188" w:type="pct"/>
                <w:gridSpan w:val="2"/>
                <w:vMerge/>
                <w:vAlign w:val="center"/>
                <w:hideMark/>
              </w:tcPr>
              <w:p w14:paraId="7F1D7817" w14:textId="77777777" w:rsidR="00C36E69" w:rsidRPr="00B22200" w:rsidRDefault="00C36E69">
                <w:pPr>
                  <w:spacing w:after="0" w:line="240" w:lineRule="auto"/>
                  <w:rPr>
                    <w:rFonts w:ascii="Times New Roman" w:eastAsia="Times New Roman" w:hAnsi="Times New Roman"/>
                    <w:b/>
                    <w:sz w:val="14"/>
                    <w:szCs w:val="14"/>
                    <w:lang w:eastAsia="es-CO"/>
                  </w:rPr>
                </w:pPr>
              </w:p>
            </w:tc>
            <w:tc>
              <w:tcPr>
                <w:tcW w:w="2584" w:type="pct"/>
                <w:vMerge/>
                <w:vAlign w:val="center"/>
                <w:hideMark/>
              </w:tcPr>
              <w:p w14:paraId="28950BFC" w14:textId="77777777" w:rsidR="00C36E69" w:rsidRPr="00B22200" w:rsidRDefault="00C36E69">
                <w:pPr>
                  <w:spacing w:after="0" w:line="240" w:lineRule="auto"/>
                  <w:rPr>
                    <w:rFonts w:ascii="Times New Roman" w:eastAsia="Times New Roman" w:hAnsi="Times New Roman"/>
                    <w:b/>
                    <w:sz w:val="14"/>
                    <w:szCs w:val="14"/>
                    <w:lang w:eastAsia="es-CO"/>
                  </w:rPr>
                </w:pPr>
              </w:p>
            </w:tc>
            <w:tc>
              <w:tcPr>
                <w:tcW w:w="1228" w:type="pct"/>
                <w:vMerge/>
                <w:vAlign w:val="center"/>
                <w:hideMark/>
              </w:tcPr>
              <w:p w14:paraId="78F97F50" w14:textId="77777777" w:rsidR="00C36E69" w:rsidRPr="00B22200" w:rsidRDefault="00C36E69">
                <w:pPr>
                  <w:spacing w:after="0" w:line="240" w:lineRule="auto"/>
                  <w:rPr>
                    <w:rFonts w:ascii="Times New Roman" w:eastAsia="Times New Roman" w:hAnsi="Times New Roman"/>
                    <w:b/>
                    <w:sz w:val="14"/>
                    <w:szCs w:val="14"/>
                    <w:lang w:eastAsia="es-CO"/>
                  </w:rPr>
                </w:pPr>
              </w:p>
            </w:tc>
          </w:tr>
          <w:tr w:rsidR="00C36E69" w:rsidRPr="00B22200" w14:paraId="03C1DD97" w14:textId="77777777" w:rsidTr="00037300">
            <w:trPr>
              <w:trHeight w:val="283"/>
            </w:trPr>
            <w:tc>
              <w:tcPr>
                <w:tcW w:w="801" w:type="pct"/>
                <w:shd w:val="clear" w:color="auto" w:fill="auto"/>
                <w:vAlign w:val="center"/>
                <w:hideMark/>
              </w:tcPr>
              <w:p w14:paraId="3F2FD29A" w14:textId="77777777" w:rsidR="00C36E69" w:rsidRPr="00B22200" w:rsidRDefault="00C36E69">
                <w:pPr>
                  <w:spacing w:after="0" w:line="240" w:lineRule="auto"/>
                  <w:jc w:val="center"/>
                  <w:rPr>
                    <w:rFonts w:ascii="Times New Roman" w:eastAsia="Times New Roman" w:hAnsi="Times New Roman"/>
                    <w:b/>
                    <w:sz w:val="14"/>
                    <w:szCs w:val="14"/>
                    <w:lang w:eastAsia="es-CO"/>
                  </w:rPr>
                </w:pPr>
                <w:r w:rsidRPr="00B22200">
                  <w:rPr>
                    <w:rFonts w:ascii="Times New Roman" w:eastAsia="Times New Roman" w:hAnsi="Times New Roman"/>
                    <w:b/>
                    <w:sz w:val="14"/>
                    <w:szCs w:val="14"/>
                    <w:lang w:eastAsia="es-CO"/>
                  </w:rPr>
                  <w:t>CÓDIGO CONTABLE</w:t>
                </w:r>
              </w:p>
            </w:tc>
            <w:tc>
              <w:tcPr>
                <w:tcW w:w="387" w:type="pct"/>
                <w:shd w:val="clear" w:color="auto" w:fill="auto"/>
                <w:vAlign w:val="center"/>
                <w:hideMark/>
              </w:tcPr>
              <w:p w14:paraId="28AF3923" w14:textId="77777777" w:rsidR="00C36E69" w:rsidRPr="00B22200" w:rsidRDefault="00C36E69">
                <w:pPr>
                  <w:spacing w:after="0" w:line="240" w:lineRule="auto"/>
                  <w:jc w:val="center"/>
                  <w:rPr>
                    <w:rFonts w:ascii="Times New Roman" w:eastAsia="Times New Roman" w:hAnsi="Times New Roman"/>
                    <w:b/>
                    <w:sz w:val="14"/>
                    <w:szCs w:val="14"/>
                    <w:lang w:eastAsia="es-CO"/>
                  </w:rPr>
                </w:pPr>
                <w:r w:rsidRPr="00B22200">
                  <w:rPr>
                    <w:rFonts w:ascii="Times New Roman" w:eastAsia="Times New Roman" w:hAnsi="Times New Roman"/>
                    <w:b/>
                    <w:sz w:val="14"/>
                    <w:szCs w:val="14"/>
                    <w:lang w:eastAsia="es-CO"/>
                  </w:rPr>
                  <w:t>NAT</w:t>
                </w:r>
              </w:p>
            </w:tc>
            <w:tc>
              <w:tcPr>
                <w:tcW w:w="2584" w:type="pct"/>
                <w:shd w:val="clear" w:color="auto" w:fill="auto"/>
                <w:vAlign w:val="center"/>
                <w:hideMark/>
              </w:tcPr>
              <w:p w14:paraId="652FA95D" w14:textId="77777777" w:rsidR="00C36E69" w:rsidRPr="00B22200" w:rsidRDefault="00C36E69">
                <w:pPr>
                  <w:spacing w:after="0" w:line="240" w:lineRule="auto"/>
                  <w:jc w:val="center"/>
                  <w:rPr>
                    <w:rFonts w:ascii="Times New Roman" w:eastAsia="Times New Roman" w:hAnsi="Times New Roman"/>
                    <w:b/>
                    <w:sz w:val="14"/>
                    <w:szCs w:val="14"/>
                    <w:lang w:eastAsia="es-CO"/>
                  </w:rPr>
                </w:pPr>
                <w:r w:rsidRPr="00B22200">
                  <w:rPr>
                    <w:rFonts w:ascii="Times New Roman" w:eastAsia="Times New Roman" w:hAnsi="Times New Roman"/>
                    <w:b/>
                    <w:sz w:val="14"/>
                    <w:szCs w:val="14"/>
                    <w:lang w:eastAsia="es-CO"/>
                  </w:rPr>
                  <w:t>CONCEPTO</w:t>
                </w:r>
              </w:p>
            </w:tc>
            <w:tc>
              <w:tcPr>
                <w:tcW w:w="1228" w:type="pct"/>
                <w:shd w:val="clear" w:color="auto" w:fill="auto"/>
                <w:vAlign w:val="center"/>
                <w:hideMark/>
              </w:tcPr>
              <w:p w14:paraId="708130B8" w14:textId="77777777" w:rsidR="00C36E69" w:rsidRPr="00B22200" w:rsidRDefault="00C36E69">
                <w:pPr>
                  <w:spacing w:after="0" w:line="240" w:lineRule="auto"/>
                  <w:jc w:val="center"/>
                  <w:rPr>
                    <w:rFonts w:ascii="Times New Roman" w:eastAsia="Times New Roman" w:hAnsi="Times New Roman"/>
                    <w:b/>
                    <w:sz w:val="14"/>
                    <w:szCs w:val="14"/>
                    <w:lang w:eastAsia="es-CO"/>
                  </w:rPr>
                </w:pPr>
                <w:r w:rsidRPr="00B22200">
                  <w:rPr>
                    <w:rFonts w:ascii="Times New Roman" w:eastAsia="Times New Roman" w:hAnsi="Times New Roman"/>
                    <w:b/>
                    <w:sz w:val="14"/>
                    <w:szCs w:val="14"/>
                    <w:lang w:eastAsia="es-CO"/>
                  </w:rPr>
                  <w:t>VALOR EN LIBROS</w:t>
                </w:r>
              </w:p>
            </w:tc>
          </w:tr>
          <w:tr w:rsidR="00C36E69" w:rsidRPr="00B22200" w14:paraId="6492B9B2" w14:textId="77777777" w:rsidTr="00037300">
            <w:trPr>
              <w:trHeight w:val="283"/>
            </w:trPr>
            <w:tc>
              <w:tcPr>
                <w:tcW w:w="801" w:type="pct"/>
                <w:shd w:val="clear" w:color="auto" w:fill="auto"/>
                <w:noWrap/>
                <w:vAlign w:val="center"/>
                <w:hideMark/>
              </w:tcPr>
              <w:p w14:paraId="3F5EAA25" w14:textId="77777777" w:rsidR="00C36E69" w:rsidRPr="00B22200" w:rsidRDefault="00C36E69">
                <w:pPr>
                  <w:spacing w:after="0" w:line="240" w:lineRule="auto"/>
                  <w:rPr>
                    <w:rFonts w:ascii="Times New Roman" w:eastAsia="Times New Roman" w:hAnsi="Times New Roman"/>
                    <w:b/>
                    <w:sz w:val="14"/>
                    <w:szCs w:val="14"/>
                    <w:lang w:eastAsia="es-CO"/>
                  </w:rPr>
                </w:pPr>
                <w:r w:rsidRPr="00B22200">
                  <w:rPr>
                    <w:rFonts w:ascii="Times New Roman" w:eastAsia="Times New Roman" w:hAnsi="Times New Roman"/>
                    <w:b/>
                    <w:sz w:val="14"/>
                    <w:szCs w:val="14"/>
                    <w:lang w:eastAsia="es-CO"/>
                  </w:rPr>
                  <w:t>2.5.11</w:t>
                </w:r>
              </w:p>
            </w:tc>
            <w:tc>
              <w:tcPr>
                <w:tcW w:w="387" w:type="pct"/>
                <w:shd w:val="clear" w:color="auto" w:fill="auto"/>
                <w:noWrap/>
                <w:vAlign w:val="center"/>
                <w:hideMark/>
              </w:tcPr>
              <w:p w14:paraId="2DB22170" w14:textId="77777777" w:rsidR="00C36E69" w:rsidRPr="00B22200" w:rsidRDefault="00C36E69">
                <w:pPr>
                  <w:spacing w:after="0" w:line="240" w:lineRule="auto"/>
                  <w:jc w:val="center"/>
                  <w:rPr>
                    <w:rFonts w:ascii="Times New Roman" w:eastAsia="Times New Roman" w:hAnsi="Times New Roman"/>
                    <w:b/>
                    <w:sz w:val="14"/>
                    <w:szCs w:val="14"/>
                    <w:lang w:eastAsia="es-CO"/>
                  </w:rPr>
                </w:pPr>
                <w:r w:rsidRPr="00B22200">
                  <w:rPr>
                    <w:rFonts w:ascii="Times New Roman" w:eastAsia="Times New Roman" w:hAnsi="Times New Roman"/>
                    <w:b/>
                    <w:sz w:val="14"/>
                    <w:szCs w:val="14"/>
                    <w:lang w:eastAsia="es-CO"/>
                  </w:rPr>
                  <w:t>Cr</w:t>
                </w:r>
              </w:p>
            </w:tc>
            <w:tc>
              <w:tcPr>
                <w:tcW w:w="2584" w:type="pct"/>
                <w:shd w:val="clear" w:color="auto" w:fill="auto"/>
                <w:noWrap/>
                <w:vAlign w:val="center"/>
                <w:hideMark/>
              </w:tcPr>
              <w:p w14:paraId="25B990EB" w14:textId="77777777" w:rsidR="00C36E69" w:rsidRPr="00B22200" w:rsidRDefault="00C36E69">
                <w:pPr>
                  <w:spacing w:after="0" w:line="240" w:lineRule="auto"/>
                  <w:rPr>
                    <w:rFonts w:ascii="Times New Roman" w:eastAsia="Times New Roman" w:hAnsi="Times New Roman"/>
                    <w:b/>
                    <w:sz w:val="14"/>
                    <w:szCs w:val="14"/>
                    <w:lang w:eastAsia="es-CO"/>
                  </w:rPr>
                </w:pPr>
                <w:r w:rsidRPr="00B22200">
                  <w:rPr>
                    <w:rFonts w:ascii="Times New Roman" w:eastAsia="Times New Roman" w:hAnsi="Times New Roman"/>
                    <w:b/>
                    <w:sz w:val="14"/>
                    <w:szCs w:val="14"/>
                    <w:lang w:eastAsia="es-CO"/>
                  </w:rPr>
                  <w:t>BENEFICIOS A LOS EMPLEADOS A CORTO PLAZO</w:t>
                </w:r>
              </w:p>
            </w:tc>
            <w:tc>
              <w:tcPr>
                <w:tcW w:w="1228" w:type="pct"/>
                <w:shd w:val="clear" w:color="auto" w:fill="auto"/>
                <w:noWrap/>
                <w:vAlign w:val="center"/>
                <w:hideMark/>
              </w:tcPr>
              <w:p w14:paraId="5AF948EF" w14:textId="1854B77C" w:rsidR="00C36E69" w:rsidRPr="00B22200" w:rsidRDefault="00C36E69">
                <w:pPr>
                  <w:spacing w:after="0" w:line="240" w:lineRule="auto"/>
                  <w:jc w:val="right"/>
                  <w:rPr>
                    <w:rFonts w:ascii="Times New Roman" w:eastAsia="Times New Roman" w:hAnsi="Times New Roman"/>
                    <w:b/>
                    <w:sz w:val="14"/>
                    <w:szCs w:val="14"/>
                    <w:lang w:eastAsia="es-CO"/>
                  </w:rPr>
                </w:pPr>
                <w:r w:rsidRPr="00B22200">
                  <w:rPr>
                    <w:rFonts w:ascii="Times New Roman" w:eastAsia="Times New Roman" w:hAnsi="Times New Roman"/>
                    <w:b/>
                    <w:sz w:val="14"/>
                    <w:szCs w:val="14"/>
                    <w:lang w:eastAsia="es-CO"/>
                  </w:rPr>
                  <w:t xml:space="preserve">6.033.284.578 </w:t>
                </w:r>
              </w:p>
            </w:tc>
          </w:tr>
          <w:tr w:rsidR="00C36E69" w:rsidRPr="00B22200" w14:paraId="1265F12B" w14:textId="77777777" w:rsidTr="00037300">
            <w:trPr>
              <w:trHeight w:val="283"/>
            </w:trPr>
            <w:tc>
              <w:tcPr>
                <w:tcW w:w="801" w:type="pct"/>
                <w:shd w:val="clear" w:color="auto" w:fill="auto"/>
                <w:noWrap/>
                <w:vAlign w:val="center"/>
                <w:hideMark/>
              </w:tcPr>
              <w:p w14:paraId="6BEACFF5" w14:textId="77777777" w:rsidR="00C36E69" w:rsidRPr="00B22200" w:rsidRDefault="00C36E69">
                <w:pPr>
                  <w:spacing w:after="0" w:line="240" w:lineRule="auto"/>
                  <w:rPr>
                    <w:rFonts w:ascii="Times New Roman" w:eastAsia="Times New Roman" w:hAnsi="Times New Roman"/>
                    <w:sz w:val="14"/>
                    <w:szCs w:val="14"/>
                    <w:lang w:eastAsia="es-CO"/>
                  </w:rPr>
                </w:pPr>
                <w:r w:rsidRPr="00B22200">
                  <w:rPr>
                    <w:rFonts w:ascii="Times New Roman" w:eastAsia="Times New Roman" w:hAnsi="Times New Roman"/>
                    <w:sz w:val="14"/>
                    <w:szCs w:val="14"/>
                    <w:lang w:eastAsia="es-CO"/>
                  </w:rPr>
                  <w:t>2.5.11.01</w:t>
                </w:r>
              </w:p>
            </w:tc>
            <w:tc>
              <w:tcPr>
                <w:tcW w:w="387" w:type="pct"/>
                <w:shd w:val="clear" w:color="auto" w:fill="auto"/>
                <w:noWrap/>
                <w:vAlign w:val="center"/>
                <w:hideMark/>
              </w:tcPr>
              <w:p w14:paraId="2A38D23B" w14:textId="77777777" w:rsidR="00C36E69" w:rsidRPr="00B22200" w:rsidRDefault="00C36E69">
                <w:pPr>
                  <w:spacing w:after="0" w:line="240" w:lineRule="auto"/>
                  <w:jc w:val="center"/>
                  <w:rPr>
                    <w:rFonts w:ascii="Times New Roman" w:eastAsia="Times New Roman" w:hAnsi="Times New Roman"/>
                    <w:sz w:val="14"/>
                    <w:szCs w:val="14"/>
                    <w:lang w:eastAsia="es-CO"/>
                  </w:rPr>
                </w:pPr>
                <w:r w:rsidRPr="00B22200">
                  <w:rPr>
                    <w:rFonts w:ascii="Times New Roman" w:eastAsia="Times New Roman" w:hAnsi="Times New Roman"/>
                    <w:sz w:val="14"/>
                    <w:szCs w:val="14"/>
                    <w:lang w:eastAsia="es-CO"/>
                  </w:rPr>
                  <w:t>Cr</w:t>
                </w:r>
              </w:p>
            </w:tc>
            <w:tc>
              <w:tcPr>
                <w:tcW w:w="2584" w:type="pct"/>
                <w:shd w:val="clear" w:color="auto" w:fill="auto"/>
                <w:noWrap/>
                <w:vAlign w:val="center"/>
                <w:hideMark/>
              </w:tcPr>
              <w:p w14:paraId="60E5EE62" w14:textId="77777777" w:rsidR="00C36E69" w:rsidRPr="00B22200" w:rsidRDefault="00C36E69">
                <w:pPr>
                  <w:spacing w:after="0" w:line="240" w:lineRule="auto"/>
                  <w:rPr>
                    <w:rFonts w:ascii="Times New Roman" w:eastAsia="Times New Roman" w:hAnsi="Times New Roman"/>
                    <w:sz w:val="14"/>
                    <w:szCs w:val="14"/>
                    <w:lang w:eastAsia="es-CO"/>
                  </w:rPr>
                </w:pPr>
                <w:r w:rsidRPr="00B22200">
                  <w:rPr>
                    <w:rFonts w:ascii="Times New Roman" w:eastAsia="Times New Roman" w:hAnsi="Times New Roman"/>
                    <w:sz w:val="14"/>
                    <w:szCs w:val="14"/>
                    <w:lang w:eastAsia="es-CO"/>
                  </w:rPr>
                  <w:t>Nómina por pagar</w:t>
                </w:r>
              </w:p>
            </w:tc>
            <w:tc>
              <w:tcPr>
                <w:tcW w:w="1228" w:type="pct"/>
                <w:shd w:val="clear" w:color="auto" w:fill="auto"/>
                <w:noWrap/>
                <w:vAlign w:val="center"/>
                <w:hideMark/>
              </w:tcPr>
              <w:p w14:paraId="6FF71458" w14:textId="367C5722" w:rsidR="00C36E69" w:rsidRPr="00B22200" w:rsidRDefault="00C36E69">
                <w:pPr>
                  <w:spacing w:after="0" w:line="240" w:lineRule="auto"/>
                  <w:jc w:val="right"/>
                  <w:rPr>
                    <w:rFonts w:ascii="Times New Roman" w:eastAsia="Times New Roman" w:hAnsi="Times New Roman"/>
                    <w:sz w:val="14"/>
                    <w:szCs w:val="14"/>
                    <w:lang w:eastAsia="es-CO"/>
                  </w:rPr>
                </w:pPr>
                <w:r w:rsidRPr="00B22200">
                  <w:rPr>
                    <w:rFonts w:ascii="Times New Roman" w:eastAsia="Times New Roman" w:hAnsi="Times New Roman"/>
                    <w:sz w:val="14"/>
                    <w:szCs w:val="14"/>
                    <w:lang w:eastAsia="es-CO"/>
                  </w:rPr>
                  <w:t xml:space="preserve">15.044.735 </w:t>
                </w:r>
              </w:p>
            </w:tc>
          </w:tr>
          <w:tr w:rsidR="00C36E69" w:rsidRPr="00B22200" w14:paraId="0DEB3726" w14:textId="77777777" w:rsidTr="00037300">
            <w:trPr>
              <w:trHeight w:val="283"/>
            </w:trPr>
            <w:tc>
              <w:tcPr>
                <w:tcW w:w="801" w:type="pct"/>
                <w:shd w:val="clear" w:color="auto" w:fill="auto"/>
                <w:noWrap/>
                <w:vAlign w:val="center"/>
                <w:hideMark/>
              </w:tcPr>
              <w:p w14:paraId="6BE1C952" w14:textId="77777777" w:rsidR="00C36E69" w:rsidRPr="00B22200" w:rsidRDefault="00C36E69">
                <w:pPr>
                  <w:spacing w:after="0" w:line="240" w:lineRule="auto"/>
                  <w:rPr>
                    <w:rFonts w:ascii="Times New Roman" w:eastAsia="Times New Roman" w:hAnsi="Times New Roman"/>
                    <w:sz w:val="14"/>
                    <w:szCs w:val="14"/>
                    <w:lang w:eastAsia="es-CO"/>
                  </w:rPr>
                </w:pPr>
                <w:r w:rsidRPr="00B22200">
                  <w:rPr>
                    <w:rFonts w:ascii="Times New Roman" w:eastAsia="Times New Roman" w:hAnsi="Times New Roman"/>
                    <w:sz w:val="14"/>
                    <w:szCs w:val="14"/>
                    <w:lang w:eastAsia="es-CO"/>
                  </w:rPr>
                  <w:t>2.5.11.02</w:t>
                </w:r>
              </w:p>
            </w:tc>
            <w:tc>
              <w:tcPr>
                <w:tcW w:w="387" w:type="pct"/>
                <w:shd w:val="clear" w:color="auto" w:fill="auto"/>
                <w:noWrap/>
                <w:vAlign w:val="center"/>
                <w:hideMark/>
              </w:tcPr>
              <w:p w14:paraId="4FF552AA" w14:textId="77777777" w:rsidR="00C36E69" w:rsidRPr="00B22200" w:rsidRDefault="00C36E69">
                <w:pPr>
                  <w:spacing w:after="0" w:line="240" w:lineRule="auto"/>
                  <w:jc w:val="center"/>
                  <w:rPr>
                    <w:rFonts w:ascii="Times New Roman" w:eastAsia="Times New Roman" w:hAnsi="Times New Roman"/>
                    <w:sz w:val="14"/>
                    <w:szCs w:val="14"/>
                    <w:lang w:eastAsia="es-CO"/>
                  </w:rPr>
                </w:pPr>
                <w:r w:rsidRPr="00B22200">
                  <w:rPr>
                    <w:rFonts w:ascii="Times New Roman" w:eastAsia="Times New Roman" w:hAnsi="Times New Roman"/>
                    <w:sz w:val="14"/>
                    <w:szCs w:val="14"/>
                    <w:lang w:eastAsia="es-CO"/>
                  </w:rPr>
                  <w:t>Cr</w:t>
                </w:r>
              </w:p>
            </w:tc>
            <w:tc>
              <w:tcPr>
                <w:tcW w:w="2584" w:type="pct"/>
                <w:shd w:val="clear" w:color="auto" w:fill="auto"/>
                <w:noWrap/>
                <w:vAlign w:val="center"/>
                <w:hideMark/>
              </w:tcPr>
              <w:p w14:paraId="1171119D" w14:textId="77777777" w:rsidR="00C36E69" w:rsidRPr="00B22200" w:rsidRDefault="00C36E69">
                <w:pPr>
                  <w:spacing w:after="0" w:line="240" w:lineRule="auto"/>
                  <w:rPr>
                    <w:rFonts w:ascii="Times New Roman" w:eastAsia="Times New Roman" w:hAnsi="Times New Roman"/>
                    <w:sz w:val="14"/>
                    <w:szCs w:val="14"/>
                    <w:lang w:eastAsia="es-CO"/>
                  </w:rPr>
                </w:pPr>
                <w:r w:rsidRPr="00B22200">
                  <w:rPr>
                    <w:rFonts w:ascii="Times New Roman" w:eastAsia="Times New Roman" w:hAnsi="Times New Roman"/>
                    <w:sz w:val="14"/>
                    <w:szCs w:val="14"/>
                    <w:lang w:eastAsia="es-CO"/>
                  </w:rPr>
                  <w:t>Cesantías</w:t>
                </w:r>
              </w:p>
            </w:tc>
            <w:tc>
              <w:tcPr>
                <w:tcW w:w="1228" w:type="pct"/>
                <w:shd w:val="clear" w:color="auto" w:fill="auto"/>
                <w:noWrap/>
                <w:vAlign w:val="center"/>
                <w:hideMark/>
              </w:tcPr>
              <w:p w14:paraId="39BD5CF2" w14:textId="13CC100B" w:rsidR="00C36E69" w:rsidRPr="00B22200" w:rsidRDefault="00C36E69">
                <w:pPr>
                  <w:spacing w:after="0" w:line="240" w:lineRule="auto"/>
                  <w:jc w:val="right"/>
                  <w:rPr>
                    <w:rFonts w:ascii="Times New Roman" w:eastAsia="Times New Roman" w:hAnsi="Times New Roman"/>
                    <w:sz w:val="14"/>
                    <w:szCs w:val="14"/>
                    <w:lang w:eastAsia="es-CO"/>
                  </w:rPr>
                </w:pPr>
                <w:r w:rsidRPr="00B22200">
                  <w:rPr>
                    <w:rFonts w:ascii="Times New Roman" w:eastAsia="Times New Roman" w:hAnsi="Times New Roman"/>
                    <w:sz w:val="14"/>
                    <w:szCs w:val="14"/>
                    <w:lang w:eastAsia="es-CO"/>
                  </w:rPr>
                  <w:t xml:space="preserve">24.934.774 </w:t>
                </w:r>
              </w:p>
            </w:tc>
          </w:tr>
          <w:tr w:rsidR="00C36E69" w:rsidRPr="00B22200" w14:paraId="7BDFD450" w14:textId="77777777" w:rsidTr="00037300">
            <w:trPr>
              <w:trHeight w:val="283"/>
            </w:trPr>
            <w:tc>
              <w:tcPr>
                <w:tcW w:w="801" w:type="pct"/>
                <w:shd w:val="clear" w:color="auto" w:fill="auto"/>
                <w:noWrap/>
                <w:vAlign w:val="center"/>
                <w:hideMark/>
              </w:tcPr>
              <w:p w14:paraId="13AF6C92" w14:textId="77777777" w:rsidR="00C36E69" w:rsidRPr="00B22200" w:rsidRDefault="00C36E69">
                <w:pPr>
                  <w:spacing w:after="0" w:line="240" w:lineRule="auto"/>
                  <w:rPr>
                    <w:rFonts w:ascii="Times New Roman" w:eastAsia="Times New Roman" w:hAnsi="Times New Roman"/>
                    <w:sz w:val="14"/>
                    <w:szCs w:val="14"/>
                    <w:lang w:eastAsia="es-CO"/>
                  </w:rPr>
                </w:pPr>
                <w:r w:rsidRPr="00B22200">
                  <w:rPr>
                    <w:rFonts w:ascii="Times New Roman" w:eastAsia="Times New Roman" w:hAnsi="Times New Roman"/>
                    <w:sz w:val="14"/>
                    <w:szCs w:val="14"/>
                    <w:lang w:eastAsia="es-CO"/>
                  </w:rPr>
                  <w:t>2.5.11.04</w:t>
                </w:r>
              </w:p>
            </w:tc>
            <w:tc>
              <w:tcPr>
                <w:tcW w:w="387" w:type="pct"/>
                <w:shd w:val="clear" w:color="auto" w:fill="auto"/>
                <w:noWrap/>
                <w:vAlign w:val="center"/>
                <w:hideMark/>
              </w:tcPr>
              <w:p w14:paraId="4BE4E69E" w14:textId="77777777" w:rsidR="00C36E69" w:rsidRPr="00B22200" w:rsidRDefault="00C36E69">
                <w:pPr>
                  <w:spacing w:after="0" w:line="240" w:lineRule="auto"/>
                  <w:jc w:val="center"/>
                  <w:rPr>
                    <w:rFonts w:ascii="Times New Roman" w:eastAsia="Times New Roman" w:hAnsi="Times New Roman"/>
                    <w:sz w:val="14"/>
                    <w:szCs w:val="14"/>
                    <w:lang w:eastAsia="es-CO"/>
                  </w:rPr>
                </w:pPr>
                <w:r w:rsidRPr="00B22200">
                  <w:rPr>
                    <w:rFonts w:ascii="Times New Roman" w:eastAsia="Times New Roman" w:hAnsi="Times New Roman"/>
                    <w:sz w:val="14"/>
                    <w:szCs w:val="14"/>
                    <w:lang w:eastAsia="es-CO"/>
                  </w:rPr>
                  <w:t>Cr</w:t>
                </w:r>
              </w:p>
            </w:tc>
            <w:tc>
              <w:tcPr>
                <w:tcW w:w="2584" w:type="pct"/>
                <w:shd w:val="clear" w:color="auto" w:fill="auto"/>
                <w:noWrap/>
                <w:vAlign w:val="center"/>
                <w:hideMark/>
              </w:tcPr>
              <w:p w14:paraId="2770237A" w14:textId="77777777" w:rsidR="00C36E69" w:rsidRPr="00B22200" w:rsidRDefault="00C36E69">
                <w:pPr>
                  <w:spacing w:after="0" w:line="240" w:lineRule="auto"/>
                  <w:rPr>
                    <w:rFonts w:ascii="Times New Roman" w:eastAsia="Times New Roman" w:hAnsi="Times New Roman"/>
                    <w:sz w:val="14"/>
                    <w:szCs w:val="14"/>
                    <w:lang w:eastAsia="es-CO"/>
                  </w:rPr>
                </w:pPr>
                <w:r w:rsidRPr="00B22200">
                  <w:rPr>
                    <w:rFonts w:ascii="Times New Roman" w:eastAsia="Times New Roman" w:hAnsi="Times New Roman"/>
                    <w:sz w:val="14"/>
                    <w:szCs w:val="14"/>
                    <w:lang w:eastAsia="es-CO"/>
                  </w:rPr>
                  <w:t>Vacaciones</w:t>
                </w:r>
              </w:p>
            </w:tc>
            <w:tc>
              <w:tcPr>
                <w:tcW w:w="1228" w:type="pct"/>
                <w:shd w:val="clear" w:color="auto" w:fill="auto"/>
                <w:noWrap/>
                <w:vAlign w:val="center"/>
                <w:hideMark/>
              </w:tcPr>
              <w:p w14:paraId="140DBE43" w14:textId="602A7C0F" w:rsidR="00C36E69" w:rsidRPr="00B22200" w:rsidRDefault="00C36E69">
                <w:pPr>
                  <w:spacing w:after="0" w:line="240" w:lineRule="auto"/>
                  <w:jc w:val="right"/>
                  <w:rPr>
                    <w:rFonts w:ascii="Times New Roman" w:eastAsia="Times New Roman" w:hAnsi="Times New Roman"/>
                    <w:sz w:val="14"/>
                    <w:szCs w:val="14"/>
                    <w:lang w:eastAsia="es-CO"/>
                  </w:rPr>
                </w:pPr>
                <w:r w:rsidRPr="00B22200">
                  <w:rPr>
                    <w:rFonts w:ascii="Times New Roman" w:eastAsia="Times New Roman" w:hAnsi="Times New Roman"/>
                    <w:sz w:val="14"/>
                    <w:szCs w:val="14"/>
                    <w:lang w:eastAsia="es-CO"/>
                  </w:rPr>
                  <w:t xml:space="preserve">2.627.836.444 </w:t>
                </w:r>
              </w:p>
            </w:tc>
          </w:tr>
          <w:tr w:rsidR="00C36E69" w:rsidRPr="00B22200" w14:paraId="1D65EAD8" w14:textId="77777777" w:rsidTr="00037300">
            <w:trPr>
              <w:trHeight w:val="283"/>
            </w:trPr>
            <w:tc>
              <w:tcPr>
                <w:tcW w:w="801" w:type="pct"/>
                <w:shd w:val="clear" w:color="auto" w:fill="auto"/>
                <w:noWrap/>
                <w:vAlign w:val="center"/>
                <w:hideMark/>
              </w:tcPr>
              <w:p w14:paraId="54E108C2" w14:textId="77777777" w:rsidR="00C36E69" w:rsidRPr="00B22200" w:rsidRDefault="00C36E69">
                <w:pPr>
                  <w:spacing w:after="0" w:line="240" w:lineRule="auto"/>
                  <w:rPr>
                    <w:rFonts w:ascii="Times New Roman" w:eastAsia="Times New Roman" w:hAnsi="Times New Roman"/>
                    <w:sz w:val="14"/>
                    <w:szCs w:val="14"/>
                    <w:lang w:eastAsia="es-CO"/>
                  </w:rPr>
                </w:pPr>
                <w:r w:rsidRPr="00B22200">
                  <w:rPr>
                    <w:rFonts w:ascii="Times New Roman" w:eastAsia="Times New Roman" w:hAnsi="Times New Roman"/>
                    <w:sz w:val="14"/>
                    <w:szCs w:val="14"/>
                    <w:lang w:eastAsia="es-CO"/>
                  </w:rPr>
                  <w:t>2.5.11.05</w:t>
                </w:r>
              </w:p>
            </w:tc>
            <w:tc>
              <w:tcPr>
                <w:tcW w:w="387" w:type="pct"/>
                <w:shd w:val="clear" w:color="auto" w:fill="auto"/>
                <w:noWrap/>
                <w:vAlign w:val="center"/>
                <w:hideMark/>
              </w:tcPr>
              <w:p w14:paraId="5819D284" w14:textId="77777777" w:rsidR="00C36E69" w:rsidRPr="00B22200" w:rsidRDefault="00C36E69">
                <w:pPr>
                  <w:spacing w:after="0" w:line="240" w:lineRule="auto"/>
                  <w:jc w:val="center"/>
                  <w:rPr>
                    <w:rFonts w:ascii="Times New Roman" w:eastAsia="Times New Roman" w:hAnsi="Times New Roman"/>
                    <w:sz w:val="14"/>
                    <w:szCs w:val="14"/>
                    <w:lang w:eastAsia="es-CO"/>
                  </w:rPr>
                </w:pPr>
                <w:r w:rsidRPr="00B22200">
                  <w:rPr>
                    <w:rFonts w:ascii="Times New Roman" w:eastAsia="Times New Roman" w:hAnsi="Times New Roman"/>
                    <w:sz w:val="14"/>
                    <w:szCs w:val="14"/>
                    <w:lang w:eastAsia="es-CO"/>
                  </w:rPr>
                  <w:t>Cr</w:t>
                </w:r>
              </w:p>
            </w:tc>
            <w:tc>
              <w:tcPr>
                <w:tcW w:w="2584" w:type="pct"/>
                <w:shd w:val="clear" w:color="auto" w:fill="auto"/>
                <w:noWrap/>
                <w:vAlign w:val="center"/>
                <w:hideMark/>
              </w:tcPr>
              <w:p w14:paraId="71ADFC33" w14:textId="77777777" w:rsidR="00C36E69" w:rsidRPr="00B22200" w:rsidRDefault="00C36E69">
                <w:pPr>
                  <w:spacing w:after="0" w:line="240" w:lineRule="auto"/>
                  <w:rPr>
                    <w:rFonts w:ascii="Times New Roman" w:eastAsia="Times New Roman" w:hAnsi="Times New Roman"/>
                    <w:sz w:val="14"/>
                    <w:szCs w:val="14"/>
                    <w:lang w:eastAsia="es-CO"/>
                  </w:rPr>
                </w:pPr>
                <w:r w:rsidRPr="00B22200">
                  <w:rPr>
                    <w:rFonts w:ascii="Times New Roman" w:eastAsia="Times New Roman" w:hAnsi="Times New Roman"/>
                    <w:sz w:val="14"/>
                    <w:szCs w:val="14"/>
                    <w:lang w:eastAsia="es-CO"/>
                  </w:rPr>
                  <w:t>Prima de vacaciones</w:t>
                </w:r>
              </w:p>
            </w:tc>
            <w:tc>
              <w:tcPr>
                <w:tcW w:w="1228" w:type="pct"/>
                <w:shd w:val="clear" w:color="auto" w:fill="auto"/>
                <w:noWrap/>
                <w:vAlign w:val="center"/>
                <w:hideMark/>
              </w:tcPr>
              <w:p w14:paraId="3AB12019" w14:textId="47FE690F" w:rsidR="00C36E69" w:rsidRPr="00B22200" w:rsidRDefault="00C36E69">
                <w:pPr>
                  <w:spacing w:after="0" w:line="240" w:lineRule="auto"/>
                  <w:jc w:val="right"/>
                  <w:rPr>
                    <w:rFonts w:ascii="Times New Roman" w:eastAsia="Times New Roman" w:hAnsi="Times New Roman"/>
                    <w:sz w:val="14"/>
                    <w:szCs w:val="14"/>
                    <w:lang w:eastAsia="es-CO"/>
                  </w:rPr>
                </w:pPr>
                <w:r w:rsidRPr="00B22200">
                  <w:rPr>
                    <w:rFonts w:ascii="Times New Roman" w:eastAsia="Times New Roman" w:hAnsi="Times New Roman"/>
                    <w:sz w:val="14"/>
                    <w:szCs w:val="14"/>
                    <w:lang w:eastAsia="es-CO"/>
                  </w:rPr>
                  <w:t xml:space="preserve">1.877.026.024 </w:t>
                </w:r>
              </w:p>
            </w:tc>
          </w:tr>
          <w:tr w:rsidR="00C36E69" w:rsidRPr="00B22200" w14:paraId="191B97D6" w14:textId="77777777" w:rsidTr="00037300">
            <w:trPr>
              <w:trHeight w:val="283"/>
            </w:trPr>
            <w:tc>
              <w:tcPr>
                <w:tcW w:w="801" w:type="pct"/>
                <w:shd w:val="clear" w:color="auto" w:fill="auto"/>
                <w:noWrap/>
                <w:vAlign w:val="center"/>
                <w:hideMark/>
              </w:tcPr>
              <w:p w14:paraId="69EF2420" w14:textId="77777777" w:rsidR="00C36E69" w:rsidRPr="00B22200" w:rsidRDefault="00C36E69">
                <w:pPr>
                  <w:spacing w:after="0" w:line="240" w:lineRule="auto"/>
                  <w:rPr>
                    <w:rFonts w:ascii="Times New Roman" w:eastAsia="Times New Roman" w:hAnsi="Times New Roman"/>
                    <w:sz w:val="14"/>
                    <w:szCs w:val="14"/>
                    <w:lang w:eastAsia="es-CO"/>
                  </w:rPr>
                </w:pPr>
                <w:r w:rsidRPr="00B22200">
                  <w:rPr>
                    <w:rFonts w:ascii="Times New Roman" w:eastAsia="Times New Roman" w:hAnsi="Times New Roman"/>
                    <w:sz w:val="14"/>
                    <w:szCs w:val="14"/>
                    <w:lang w:eastAsia="es-CO"/>
                  </w:rPr>
                  <w:t>2.5.11.06</w:t>
                </w:r>
              </w:p>
            </w:tc>
            <w:tc>
              <w:tcPr>
                <w:tcW w:w="387" w:type="pct"/>
                <w:shd w:val="clear" w:color="auto" w:fill="auto"/>
                <w:noWrap/>
                <w:vAlign w:val="center"/>
                <w:hideMark/>
              </w:tcPr>
              <w:p w14:paraId="1649E0A8" w14:textId="77777777" w:rsidR="00C36E69" w:rsidRPr="00B22200" w:rsidRDefault="00C36E69">
                <w:pPr>
                  <w:spacing w:after="0" w:line="240" w:lineRule="auto"/>
                  <w:jc w:val="center"/>
                  <w:rPr>
                    <w:rFonts w:ascii="Times New Roman" w:eastAsia="Times New Roman" w:hAnsi="Times New Roman"/>
                    <w:sz w:val="14"/>
                    <w:szCs w:val="14"/>
                    <w:lang w:eastAsia="es-CO"/>
                  </w:rPr>
                </w:pPr>
                <w:r w:rsidRPr="00B22200">
                  <w:rPr>
                    <w:rFonts w:ascii="Times New Roman" w:eastAsia="Times New Roman" w:hAnsi="Times New Roman"/>
                    <w:sz w:val="14"/>
                    <w:szCs w:val="14"/>
                    <w:lang w:eastAsia="es-CO"/>
                  </w:rPr>
                  <w:t>Cr</w:t>
                </w:r>
              </w:p>
            </w:tc>
            <w:tc>
              <w:tcPr>
                <w:tcW w:w="2584" w:type="pct"/>
                <w:shd w:val="clear" w:color="auto" w:fill="auto"/>
                <w:noWrap/>
                <w:vAlign w:val="center"/>
                <w:hideMark/>
              </w:tcPr>
              <w:p w14:paraId="2B3C3844" w14:textId="77777777" w:rsidR="00C36E69" w:rsidRPr="00B22200" w:rsidRDefault="00C36E69">
                <w:pPr>
                  <w:spacing w:after="0" w:line="240" w:lineRule="auto"/>
                  <w:rPr>
                    <w:rFonts w:ascii="Times New Roman" w:eastAsia="Times New Roman" w:hAnsi="Times New Roman"/>
                    <w:sz w:val="14"/>
                    <w:szCs w:val="14"/>
                    <w:lang w:eastAsia="es-CO"/>
                  </w:rPr>
                </w:pPr>
                <w:r w:rsidRPr="00B22200">
                  <w:rPr>
                    <w:rFonts w:ascii="Times New Roman" w:eastAsia="Times New Roman" w:hAnsi="Times New Roman"/>
                    <w:sz w:val="14"/>
                    <w:szCs w:val="14"/>
                    <w:lang w:eastAsia="es-CO"/>
                  </w:rPr>
                  <w:t>Prima de servicios</w:t>
                </w:r>
              </w:p>
            </w:tc>
            <w:tc>
              <w:tcPr>
                <w:tcW w:w="1228" w:type="pct"/>
                <w:shd w:val="clear" w:color="auto" w:fill="auto"/>
                <w:noWrap/>
                <w:vAlign w:val="center"/>
                <w:hideMark/>
              </w:tcPr>
              <w:p w14:paraId="40475B20" w14:textId="566D11D9" w:rsidR="00C36E69" w:rsidRPr="00B22200" w:rsidRDefault="00C36E69">
                <w:pPr>
                  <w:spacing w:after="0" w:line="240" w:lineRule="auto"/>
                  <w:jc w:val="right"/>
                  <w:rPr>
                    <w:rFonts w:ascii="Times New Roman" w:eastAsia="Times New Roman" w:hAnsi="Times New Roman"/>
                    <w:sz w:val="14"/>
                    <w:szCs w:val="14"/>
                    <w:lang w:eastAsia="es-CO"/>
                  </w:rPr>
                </w:pPr>
                <w:r w:rsidRPr="00B22200">
                  <w:rPr>
                    <w:rFonts w:ascii="Times New Roman" w:eastAsia="Times New Roman" w:hAnsi="Times New Roman"/>
                    <w:sz w:val="14"/>
                    <w:szCs w:val="14"/>
                    <w:lang w:eastAsia="es-CO"/>
                  </w:rPr>
                  <w:t xml:space="preserve">723.484.404 </w:t>
                </w:r>
              </w:p>
            </w:tc>
          </w:tr>
          <w:tr w:rsidR="00C36E69" w:rsidRPr="00B22200" w14:paraId="417B27DC" w14:textId="77777777" w:rsidTr="00037300">
            <w:trPr>
              <w:trHeight w:val="283"/>
            </w:trPr>
            <w:tc>
              <w:tcPr>
                <w:tcW w:w="801" w:type="pct"/>
                <w:shd w:val="clear" w:color="auto" w:fill="auto"/>
                <w:noWrap/>
                <w:vAlign w:val="center"/>
                <w:hideMark/>
              </w:tcPr>
              <w:p w14:paraId="529CBC3E" w14:textId="77777777" w:rsidR="00C36E69" w:rsidRPr="00B22200" w:rsidRDefault="00C36E69">
                <w:pPr>
                  <w:spacing w:after="0" w:line="240" w:lineRule="auto"/>
                  <w:rPr>
                    <w:rFonts w:ascii="Times New Roman" w:eastAsia="Times New Roman" w:hAnsi="Times New Roman"/>
                    <w:sz w:val="14"/>
                    <w:szCs w:val="14"/>
                    <w:lang w:eastAsia="es-CO"/>
                  </w:rPr>
                </w:pPr>
                <w:r w:rsidRPr="00B22200">
                  <w:rPr>
                    <w:rFonts w:ascii="Times New Roman" w:eastAsia="Times New Roman" w:hAnsi="Times New Roman"/>
                    <w:sz w:val="14"/>
                    <w:szCs w:val="14"/>
                    <w:lang w:eastAsia="es-CO"/>
                  </w:rPr>
                  <w:t>2.5.11.07</w:t>
                </w:r>
              </w:p>
            </w:tc>
            <w:tc>
              <w:tcPr>
                <w:tcW w:w="387" w:type="pct"/>
                <w:shd w:val="clear" w:color="auto" w:fill="auto"/>
                <w:noWrap/>
                <w:vAlign w:val="center"/>
                <w:hideMark/>
              </w:tcPr>
              <w:p w14:paraId="61EE65A5" w14:textId="77777777" w:rsidR="00C36E69" w:rsidRPr="00B22200" w:rsidRDefault="00C36E69">
                <w:pPr>
                  <w:spacing w:after="0" w:line="240" w:lineRule="auto"/>
                  <w:jc w:val="center"/>
                  <w:rPr>
                    <w:rFonts w:ascii="Times New Roman" w:eastAsia="Times New Roman" w:hAnsi="Times New Roman"/>
                    <w:sz w:val="14"/>
                    <w:szCs w:val="14"/>
                    <w:lang w:eastAsia="es-CO"/>
                  </w:rPr>
                </w:pPr>
                <w:r w:rsidRPr="00B22200">
                  <w:rPr>
                    <w:rFonts w:ascii="Times New Roman" w:eastAsia="Times New Roman" w:hAnsi="Times New Roman"/>
                    <w:sz w:val="14"/>
                    <w:szCs w:val="14"/>
                    <w:lang w:eastAsia="es-CO"/>
                  </w:rPr>
                  <w:t>Cr</w:t>
                </w:r>
              </w:p>
            </w:tc>
            <w:tc>
              <w:tcPr>
                <w:tcW w:w="2584" w:type="pct"/>
                <w:shd w:val="clear" w:color="auto" w:fill="auto"/>
                <w:noWrap/>
                <w:vAlign w:val="center"/>
                <w:hideMark/>
              </w:tcPr>
              <w:p w14:paraId="11BE63F4" w14:textId="77777777" w:rsidR="00C36E69" w:rsidRPr="00B22200" w:rsidRDefault="00C36E69">
                <w:pPr>
                  <w:spacing w:after="0" w:line="240" w:lineRule="auto"/>
                  <w:rPr>
                    <w:rFonts w:ascii="Times New Roman" w:eastAsia="Times New Roman" w:hAnsi="Times New Roman"/>
                    <w:sz w:val="14"/>
                    <w:szCs w:val="14"/>
                    <w:lang w:eastAsia="es-CO"/>
                  </w:rPr>
                </w:pPr>
                <w:r w:rsidRPr="00B22200">
                  <w:rPr>
                    <w:rFonts w:ascii="Times New Roman" w:eastAsia="Times New Roman" w:hAnsi="Times New Roman"/>
                    <w:sz w:val="14"/>
                    <w:szCs w:val="14"/>
                    <w:lang w:eastAsia="es-CO"/>
                  </w:rPr>
                  <w:t>Prima de navidad</w:t>
                </w:r>
              </w:p>
            </w:tc>
            <w:tc>
              <w:tcPr>
                <w:tcW w:w="1228" w:type="pct"/>
                <w:shd w:val="clear" w:color="auto" w:fill="auto"/>
                <w:noWrap/>
                <w:vAlign w:val="center"/>
                <w:hideMark/>
              </w:tcPr>
              <w:p w14:paraId="500D4887" w14:textId="19A047A0" w:rsidR="00C36E69" w:rsidRPr="00B22200" w:rsidRDefault="00C36E69">
                <w:pPr>
                  <w:spacing w:after="0" w:line="240" w:lineRule="auto"/>
                  <w:jc w:val="right"/>
                  <w:rPr>
                    <w:rFonts w:ascii="Times New Roman" w:eastAsia="Times New Roman" w:hAnsi="Times New Roman"/>
                    <w:sz w:val="14"/>
                    <w:szCs w:val="14"/>
                    <w:lang w:eastAsia="es-CO"/>
                  </w:rPr>
                </w:pPr>
                <w:r w:rsidRPr="00B22200">
                  <w:rPr>
                    <w:rFonts w:ascii="Times New Roman" w:eastAsia="Times New Roman" w:hAnsi="Times New Roman"/>
                    <w:sz w:val="14"/>
                    <w:szCs w:val="14"/>
                    <w:lang w:eastAsia="es-CO"/>
                  </w:rPr>
                  <w:t xml:space="preserve">62.697.227 </w:t>
                </w:r>
              </w:p>
            </w:tc>
          </w:tr>
          <w:tr w:rsidR="00C36E69" w:rsidRPr="00B22200" w14:paraId="28A0F02E" w14:textId="77777777" w:rsidTr="00037300">
            <w:trPr>
              <w:trHeight w:val="283"/>
            </w:trPr>
            <w:tc>
              <w:tcPr>
                <w:tcW w:w="801" w:type="pct"/>
                <w:shd w:val="clear" w:color="auto" w:fill="auto"/>
                <w:noWrap/>
                <w:vAlign w:val="center"/>
                <w:hideMark/>
              </w:tcPr>
              <w:p w14:paraId="2CB4E77C" w14:textId="77777777" w:rsidR="00C36E69" w:rsidRPr="00B22200" w:rsidRDefault="00C36E69">
                <w:pPr>
                  <w:spacing w:after="0" w:line="240" w:lineRule="auto"/>
                  <w:rPr>
                    <w:rFonts w:ascii="Times New Roman" w:eastAsia="Times New Roman" w:hAnsi="Times New Roman"/>
                    <w:sz w:val="14"/>
                    <w:szCs w:val="14"/>
                    <w:lang w:eastAsia="es-CO"/>
                  </w:rPr>
                </w:pPr>
                <w:r w:rsidRPr="00B22200">
                  <w:rPr>
                    <w:rFonts w:ascii="Times New Roman" w:eastAsia="Times New Roman" w:hAnsi="Times New Roman"/>
                    <w:sz w:val="14"/>
                    <w:szCs w:val="14"/>
                    <w:lang w:eastAsia="es-CO"/>
                  </w:rPr>
                  <w:t>2.5.11.09</w:t>
                </w:r>
              </w:p>
            </w:tc>
            <w:tc>
              <w:tcPr>
                <w:tcW w:w="387" w:type="pct"/>
                <w:shd w:val="clear" w:color="auto" w:fill="auto"/>
                <w:noWrap/>
                <w:vAlign w:val="center"/>
                <w:hideMark/>
              </w:tcPr>
              <w:p w14:paraId="33213B3E" w14:textId="77777777" w:rsidR="00C36E69" w:rsidRPr="00B22200" w:rsidRDefault="00C36E69">
                <w:pPr>
                  <w:spacing w:after="0" w:line="240" w:lineRule="auto"/>
                  <w:jc w:val="center"/>
                  <w:rPr>
                    <w:rFonts w:ascii="Times New Roman" w:eastAsia="Times New Roman" w:hAnsi="Times New Roman"/>
                    <w:sz w:val="14"/>
                    <w:szCs w:val="14"/>
                    <w:lang w:eastAsia="es-CO"/>
                  </w:rPr>
                </w:pPr>
                <w:r w:rsidRPr="00B22200">
                  <w:rPr>
                    <w:rFonts w:ascii="Times New Roman" w:eastAsia="Times New Roman" w:hAnsi="Times New Roman"/>
                    <w:sz w:val="14"/>
                    <w:szCs w:val="14"/>
                    <w:lang w:eastAsia="es-CO"/>
                  </w:rPr>
                  <w:t>Cr</w:t>
                </w:r>
              </w:p>
            </w:tc>
            <w:tc>
              <w:tcPr>
                <w:tcW w:w="2584" w:type="pct"/>
                <w:shd w:val="clear" w:color="auto" w:fill="auto"/>
                <w:noWrap/>
                <w:vAlign w:val="center"/>
                <w:hideMark/>
              </w:tcPr>
              <w:p w14:paraId="1CEA8009" w14:textId="77777777" w:rsidR="00C36E69" w:rsidRPr="00B22200" w:rsidRDefault="00C36E69">
                <w:pPr>
                  <w:spacing w:after="0" w:line="240" w:lineRule="auto"/>
                  <w:rPr>
                    <w:rFonts w:ascii="Times New Roman" w:eastAsia="Times New Roman" w:hAnsi="Times New Roman"/>
                    <w:sz w:val="14"/>
                    <w:szCs w:val="14"/>
                    <w:lang w:eastAsia="es-CO"/>
                  </w:rPr>
                </w:pPr>
                <w:r w:rsidRPr="00B22200">
                  <w:rPr>
                    <w:rFonts w:ascii="Times New Roman" w:eastAsia="Times New Roman" w:hAnsi="Times New Roman"/>
                    <w:sz w:val="14"/>
                    <w:szCs w:val="14"/>
                    <w:lang w:eastAsia="es-CO"/>
                  </w:rPr>
                  <w:t>Bonificaciones</w:t>
                </w:r>
              </w:p>
            </w:tc>
            <w:tc>
              <w:tcPr>
                <w:tcW w:w="1228" w:type="pct"/>
                <w:shd w:val="clear" w:color="auto" w:fill="auto"/>
                <w:noWrap/>
                <w:vAlign w:val="center"/>
                <w:hideMark/>
              </w:tcPr>
              <w:p w14:paraId="6B3E89D2" w14:textId="3B8347E5" w:rsidR="00C36E69" w:rsidRPr="00B22200" w:rsidRDefault="00C36E69">
                <w:pPr>
                  <w:spacing w:after="0" w:line="240" w:lineRule="auto"/>
                  <w:jc w:val="right"/>
                  <w:rPr>
                    <w:rFonts w:ascii="Times New Roman" w:eastAsia="Times New Roman" w:hAnsi="Times New Roman"/>
                    <w:sz w:val="14"/>
                    <w:szCs w:val="14"/>
                    <w:lang w:eastAsia="es-CO"/>
                  </w:rPr>
                </w:pPr>
                <w:r w:rsidRPr="00B22200">
                  <w:rPr>
                    <w:rFonts w:ascii="Times New Roman" w:eastAsia="Times New Roman" w:hAnsi="Times New Roman"/>
                    <w:sz w:val="14"/>
                    <w:szCs w:val="14"/>
                    <w:lang w:eastAsia="es-CO"/>
                  </w:rPr>
                  <w:t xml:space="preserve">677.453.610 </w:t>
                </w:r>
              </w:p>
            </w:tc>
          </w:tr>
          <w:tr w:rsidR="00C36E69" w:rsidRPr="00B22200" w14:paraId="7B772E95" w14:textId="77777777" w:rsidTr="00037300">
            <w:trPr>
              <w:trHeight w:val="283"/>
            </w:trPr>
            <w:tc>
              <w:tcPr>
                <w:tcW w:w="801" w:type="pct"/>
                <w:shd w:val="clear" w:color="auto" w:fill="auto"/>
                <w:noWrap/>
                <w:vAlign w:val="center"/>
                <w:hideMark/>
              </w:tcPr>
              <w:p w14:paraId="412ADB4B" w14:textId="77777777" w:rsidR="00C36E69" w:rsidRPr="00B22200" w:rsidRDefault="00C36E69">
                <w:pPr>
                  <w:spacing w:after="0" w:line="240" w:lineRule="auto"/>
                  <w:rPr>
                    <w:rFonts w:ascii="Times New Roman" w:eastAsia="Times New Roman" w:hAnsi="Times New Roman"/>
                    <w:sz w:val="14"/>
                    <w:szCs w:val="14"/>
                    <w:lang w:eastAsia="es-CO"/>
                  </w:rPr>
                </w:pPr>
                <w:r w:rsidRPr="00B22200">
                  <w:rPr>
                    <w:rFonts w:ascii="Times New Roman" w:eastAsia="Times New Roman" w:hAnsi="Times New Roman"/>
                    <w:sz w:val="14"/>
                    <w:szCs w:val="14"/>
                    <w:lang w:eastAsia="es-CO"/>
                  </w:rPr>
                  <w:t>2.5.11.11</w:t>
                </w:r>
              </w:p>
            </w:tc>
            <w:tc>
              <w:tcPr>
                <w:tcW w:w="387" w:type="pct"/>
                <w:shd w:val="clear" w:color="auto" w:fill="auto"/>
                <w:noWrap/>
                <w:vAlign w:val="center"/>
                <w:hideMark/>
              </w:tcPr>
              <w:p w14:paraId="242BAA22" w14:textId="77777777" w:rsidR="00C36E69" w:rsidRPr="00B22200" w:rsidRDefault="00C36E69">
                <w:pPr>
                  <w:spacing w:after="0" w:line="240" w:lineRule="auto"/>
                  <w:jc w:val="center"/>
                  <w:rPr>
                    <w:rFonts w:ascii="Times New Roman" w:eastAsia="Times New Roman" w:hAnsi="Times New Roman"/>
                    <w:sz w:val="14"/>
                    <w:szCs w:val="14"/>
                    <w:lang w:eastAsia="es-CO"/>
                  </w:rPr>
                </w:pPr>
                <w:r w:rsidRPr="00B22200">
                  <w:rPr>
                    <w:rFonts w:ascii="Times New Roman" w:eastAsia="Times New Roman" w:hAnsi="Times New Roman"/>
                    <w:sz w:val="14"/>
                    <w:szCs w:val="14"/>
                    <w:lang w:eastAsia="es-CO"/>
                  </w:rPr>
                  <w:t>Cr</w:t>
                </w:r>
              </w:p>
            </w:tc>
            <w:tc>
              <w:tcPr>
                <w:tcW w:w="2584" w:type="pct"/>
                <w:shd w:val="clear" w:color="auto" w:fill="auto"/>
                <w:noWrap/>
                <w:vAlign w:val="center"/>
                <w:hideMark/>
              </w:tcPr>
              <w:p w14:paraId="3A2AA4AE" w14:textId="77777777" w:rsidR="00C36E69" w:rsidRPr="00B22200" w:rsidRDefault="00C36E69">
                <w:pPr>
                  <w:spacing w:after="0" w:line="240" w:lineRule="auto"/>
                  <w:rPr>
                    <w:rFonts w:ascii="Times New Roman" w:eastAsia="Times New Roman" w:hAnsi="Times New Roman"/>
                    <w:sz w:val="14"/>
                    <w:szCs w:val="14"/>
                    <w:lang w:eastAsia="es-CO"/>
                  </w:rPr>
                </w:pPr>
                <w:r w:rsidRPr="00B22200">
                  <w:rPr>
                    <w:rFonts w:ascii="Times New Roman" w:eastAsia="Times New Roman" w:hAnsi="Times New Roman"/>
                    <w:sz w:val="14"/>
                    <w:szCs w:val="14"/>
                    <w:lang w:eastAsia="es-CO"/>
                  </w:rPr>
                  <w:t>Aportes a riesgos laborales</w:t>
                </w:r>
              </w:p>
            </w:tc>
            <w:tc>
              <w:tcPr>
                <w:tcW w:w="1228" w:type="pct"/>
                <w:shd w:val="clear" w:color="auto" w:fill="auto"/>
                <w:noWrap/>
                <w:vAlign w:val="center"/>
                <w:hideMark/>
              </w:tcPr>
              <w:p w14:paraId="10FC883F" w14:textId="129D1AF1" w:rsidR="00C36E69" w:rsidRPr="00B22200" w:rsidRDefault="00C36E69">
                <w:pPr>
                  <w:spacing w:after="0" w:line="240" w:lineRule="auto"/>
                  <w:jc w:val="right"/>
                  <w:rPr>
                    <w:rFonts w:ascii="Times New Roman" w:eastAsia="Times New Roman" w:hAnsi="Times New Roman"/>
                    <w:sz w:val="14"/>
                    <w:szCs w:val="14"/>
                    <w:lang w:eastAsia="es-CO"/>
                  </w:rPr>
                </w:pPr>
                <w:r w:rsidRPr="00B22200">
                  <w:rPr>
                    <w:rFonts w:ascii="Times New Roman" w:eastAsia="Times New Roman" w:hAnsi="Times New Roman"/>
                    <w:sz w:val="14"/>
                    <w:szCs w:val="14"/>
                    <w:lang w:eastAsia="es-CO"/>
                  </w:rPr>
                  <w:t xml:space="preserve">1.205.900 </w:t>
                </w:r>
              </w:p>
            </w:tc>
          </w:tr>
          <w:tr w:rsidR="00C36E69" w:rsidRPr="00B22200" w14:paraId="19A2E5FA" w14:textId="77777777" w:rsidTr="00037300">
            <w:trPr>
              <w:trHeight w:val="283"/>
            </w:trPr>
            <w:tc>
              <w:tcPr>
                <w:tcW w:w="801" w:type="pct"/>
                <w:shd w:val="clear" w:color="auto" w:fill="auto"/>
                <w:noWrap/>
                <w:vAlign w:val="center"/>
                <w:hideMark/>
              </w:tcPr>
              <w:p w14:paraId="2642FC52" w14:textId="77777777" w:rsidR="00C36E69" w:rsidRPr="00B22200" w:rsidRDefault="00C36E69">
                <w:pPr>
                  <w:spacing w:after="0" w:line="240" w:lineRule="auto"/>
                  <w:rPr>
                    <w:rFonts w:ascii="Times New Roman" w:eastAsia="Times New Roman" w:hAnsi="Times New Roman"/>
                    <w:sz w:val="14"/>
                    <w:szCs w:val="14"/>
                    <w:lang w:eastAsia="es-CO"/>
                  </w:rPr>
                </w:pPr>
                <w:r w:rsidRPr="00B22200">
                  <w:rPr>
                    <w:rFonts w:ascii="Times New Roman" w:eastAsia="Times New Roman" w:hAnsi="Times New Roman"/>
                    <w:sz w:val="14"/>
                    <w:szCs w:val="14"/>
                    <w:lang w:eastAsia="es-CO"/>
                  </w:rPr>
                  <w:t>2.5.11.22</w:t>
                </w:r>
              </w:p>
            </w:tc>
            <w:tc>
              <w:tcPr>
                <w:tcW w:w="387" w:type="pct"/>
                <w:shd w:val="clear" w:color="auto" w:fill="auto"/>
                <w:noWrap/>
                <w:vAlign w:val="center"/>
                <w:hideMark/>
              </w:tcPr>
              <w:p w14:paraId="72D6A8BB" w14:textId="77777777" w:rsidR="00C36E69" w:rsidRPr="00B22200" w:rsidRDefault="00C36E69">
                <w:pPr>
                  <w:spacing w:after="0" w:line="240" w:lineRule="auto"/>
                  <w:jc w:val="center"/>
                  <w:rPr>
                    <w:rFonts w:ascii="Times New Roman" w:eastAsia="Times New Roman" w:hAnsi="Times New Roman"/>
                    <w:sz w:val="14"/>
                    <w:szCs w:val="14"/>
                    <w:lang w:eastAsia="es-CO"/>
                  </w:rPr>
                </w:pPr>
                <w:r w:rsidRPr="00B22200">
                  <w:rPr>
                    <w:rFonts w:ascii="Times New Roman" w:eastAsia="Times New Roman" w:hAnsi="Times New Roman"/>
                    <w:sz w:val="14"/>
                    <w:szCs w:val="14"/>
                    <w:lang w:eastAsia="es-CO"/>
                  </w:rPr>
                  <w:t>Cr</w:t>
                </w:r>
              </w:p>
            </w:tc>
            <w:tc>
              <w:tcPr>
                <w:tcW w:w="2584" w:type="pct"/>
                <w:shd w:val="clear" w:color="auto" w:fill="auto"/>
                <w:noWrap/>
                <w:vAlign w:val="center"/>
                <w:hideMark/>
              </w:tcPr>
              <w:p w14:paraId="3014110F" w14:textId="58D7D593" w:rsidR="00C36E69" w:rsidRPr="00B22200" w:rsidRDefault="00C36E69">
                <w:pPr>
                  <w:spacing w:after="0" w:line="240" w:lineRule="auto"/>
                  <w:rPr>
                    <w:rFonts w:ascii="Times New Roman" w:eastAsia="Times New Roman" w:hAnsi="Times New Roman"/>
                    <w:sz w:val="14"/>
                    <w:szCs w:val="14"/>
                    <w:lang w:eastAsia="es-CO"/>
                  </w:rPr>
                </w:pPr>
                <w:r w:rsidRPr="00B22200">
                  <w:rPr>
                    <w:rFonts w:ascii="Times New Roman" w:eastAsia="Times New Roman" w:hAnsi="Times New Roman"/>
                    <w:sz w:val="14"/>
                    <w:szCs w:val="14"/>
                    <w:lang w:eastAsia="es-CO"/>
                  </w:rPr>
                  <w:t xml:space="preserve">Aportes a fondos pensionales </w:t>
                </w:r>
                <w:r w:rsidR="00771F5C" w:rsidRPr="00B22200">
                  <w:rPr>
                    <w:rFonts w:ascii="Times New Roman" w:eastAsia="Times New Roman" w:hAnsi="Times New Roman"/>
                    <w:sz w:val="14"/>
                    <w:szCs w:val="14"/>
                    <w:lang w:eastAsia="es-CO"/>
                  </w:rPr>
                  <w:t>–</w:t>
                </w:r>
                <w:r w:rsidRPr="00B22200">
                  <w:rPr>
                    <w:rFonts w:ascii="Times New Roman" w:eastAsia="Times New Roman" w:hAnsi="Times New Roman"/>
                    <w:sz w:val="14"/>
                    <w:szCs w:val="14"/>
                    <w:lang w:eastAsia="es-CO"/>
                  </w:rPr>
                  <w:t xml:space="preserve"> empleador</w:t>
                </w:r>
              </w:p>
            </w:tc>
            <w:tc>
              <w:tcPr>
                <w:tcW w:w="1228" w:type="pct"/>
                <w:shd w:val="clear" w:color="auto" w:fill="auto"/>
                <w:noWrap/>
                <w:vAlign w:val="center"/>
                <w:hideMark/>
              </w:tcPr>
              <w:p w14:paraId="0CDF417F" w14:textId="0FB676BA" w:rsidR="00C36E69" w:rsidRPr="00B22200" w:rsidRDefault="00C36E69">
                <w:pPr>
                  <w:spacing w:after="0" w:line="240" w:lineRule="auto"/>
                  <w:jc w:val="right"/>
                  <w:rPr>
                    <w:rFonts w:ascii="Times New Roman" w:eastAsia="Times New Roman" w:hAnsi="Times New Roman"/>
                    <w:sz w:val="14"/>
                    <w:szCs w:val="14"/>
                    <w:lang w:eastAsia="es-CO"/>
                  </w:rPr>
                </w:pPr>
                <w:r w:rsidRPr="00B22200">
                  <w:rPr>
                    <w:rFonts w:ascii="Times New Roman" w:eastAsia="Times New Roman" w:hAnsi="Times New Roman"/>
                    <w:sz w:val="14"/>
                    <w:szCs w:val="14"/>
                    <w:lang w:eastAsia="es-CO"/>
                  </w:rPr>
                  <w:t xml:space="preserve">4.847.000 </w:t>
                </w:r>
              </w:p>
            </w:tc>
          </w:tr>
          <w:tr w:rsidR="00C36E69" w:rsidRPr="00B22200" w14:paraId="00AB38D0" w14:textId="77777777" w:rsidTr="00037300">
            <w:trPr>
              <w:trHeight w:val="283"/>
            </w:trPr>
            <w:tc>
              <w:tcPr>
                <w:tcW w:w="801" w:type="pct"/>
                <w:shd w:val="clear" w:color="auto" w:fill="auto"/>
                <w:noWrap/>
                <w:vAlign w:val="center"/>
                <w:hideMark/>
              </w:tcPr>
              <w:p w14:paraId="195D5E25" w14:textId="77777777" w:rsidR="00C36E69" w:rsidRPr="00B22200" w:rsidRDefault="00C36E69">
                <w:pPr>
                  <w:spacing w:after="0" w:line="240" w:lineRule="auto"/>
                  <w:rPr>
                    <w:rFonts w:ascii="Times New Roman" w:eastAsia="Times New Roman" w:hAnsi="Times New Roman"/>
                    <w:sz w:val="14"/>
                    <w:szCs w:val="14"/>
                    <w:lang w:eastAsia="es-CO"/>
                  </w:rPr>
                </w:pPr>
                <w:r w:rsidRPr="00B22200">
                  <w:rPr>
                    <w:rFonts w:ascii="Times New Roman" w:eastAsia="Times New Roman" w:hAnsi="Times New Roman"/>
                    <w:sz w:val="14"/>
                    <w:szCs w:val="14"/>
                    <w:lang w:eastAsia="es-CO"/>
                  </w:rPr>
                  <w:t>2.5.11.23</w:t>
                </w:r>
              </w:p>
            </w:tc>
            <w:tc>
              <w:tcPr>
                <w:tcW w:w="387" w:type="pct"/>
                <w:shd w:val="clear" w:color="auto" w:fill="auto"/>
                <w:noWrap/>
                <w:vAlign w:val="center"/>
                <w:hideMark/>
              </w:tcPr>
              <w:p w14:paraId="2DF17F5E" w14:textId="77777777" w:rsidR="00C36E69" w:rsidRPr="00B22200" w:rsidRDefault="00C36E69">
                <w:pPr>
                  <w:spacing w:after="0" w:line="240" w:lineRule="auto"/>
                  <w:jc w:val="center"/>
                  <w:rPr>
                    <w:rFonts w:ascii="Times New Roman" w:eastAsia="Times New Roman" w:hAnsi="Times New Roman"/>
                    <w:sz w:val="14"/>
                    <w:szCs w:val="14"/>
                    <w:lang w:eastAsia="es-CO"/>
                  </w:rPr>
                </w:pPr>
                <w:r w:rsidRPr="00B22200">
                  <w:rPr>
                    <w:rFonts w:ascii="Times New Roman" w:eastAsia="Times New Roman" w:hAnsi="Times New Roman"/>
                    <w:sz w:val="14"/>
                    <w:szCs w:val="14"/>
                    <w:lang w:eastAsia="es-CO"/>
                  </w:rPr>
                  <w:t>Cr</w:t>
                </w:r>
              </w:p>
            </w:tc>
            <w:tc>
              <w:tcPr>
                <w:tcW w:w="2584" w:type="pct"/>
                <w:shd w:val="clear" w:color="auto" w:fill="auto"/>
                <w:noWrap/>
                <w:vAlign w:val="center"/>
                <w:hideMark/>
              </w:tcPr>
              <w:p w14:paraId="24B00F65" w14:textId="54060326" w:rsidR="00C36E69" w:rsidRPr="00B22200" w:rsidRDefault="00C36E69">
                <w:pPr>
                  <w:spacing w:after="0" w:line="240" w:lineRule="auto"/>
                  <w:rPr>
                    <w:rFonts w:ascii="Times New Roman" w:eastAsia="Times New Roman" w:hAnsi="Times New Roman"/>
                    <w:sz w:val="14"/>
                    <w:szCs w:val="14"/>
                    <w:lang w:eastAsia="es-CO"/>
                  </w:rPr>
                </w:pPr>
                <w:r w:rsidRPr="00B22200">
                  <w:rPr>
                    <w:rFonts w:ascii="Times New Roman" w:eastAsia="Times New Roman" w:hAnsi="Times New Roman"/>
                    <w:sz w:val="14"/>
                    <w:szCs w:val="14"/>
                    <w:lang w:eastAsia="es-CO"/>
                  </w:rPr>
                  <w:t xml:space="preserve">Aportes a seguridad social en salud </w:t>
                </w:r>
                <w:r w:rsidR="00771F5C" w:rsidRPr="00B22200">
                  <w:rPr>
                    <w:rFonts w:ascii="Times New Roman" w:eastAsia="Times New Roman" w:hAnsi="Times New Roman"/>
                    <w:sz w:val="14"/>
                    <w:szCs w:val="14"/>
                    <w:lang w:eastAsia="es-CO"/>
                  </w:rPr>
                  <w:t>–</w:t>
                </w:r>
                <w:r w:rsidRPr="00B22200">
                  <w:rPr>
                    <w:rFonts w:ascii="Times New Roman" w:eastAsia="Times New Roman" w:hAnsi="Times New Roman"/>
                    <w:sz w:val="14"/>
                    <w:szCs w:val="14"/>
                    <w:lang w:eastAsia="es-CO"/>
                  </w:rPr>
                  <w:t xml:space="preserve"> empleador</w:t>
                </w:r>
              </w:p>
            </w:tc>
            <w:tc>
              <w:tcPr>
                <w:tcW w:w="1228" w:type="pct"/>
                <w:shd w:val="clear" w:color="auto" w:fill="auto"/>
                <w:noWrap/>
                <w:vAlign w:val="center"/>
                <w:hideMark/>
              </w:tcPr>
              <w:p w14:paraId="114B4BCB" w14:textId="1AD74259" w:rsidR="00C36E69" w:rsidRPr="00B22200" w:rsidRDefault="00C36E69">
                <w:pPr>
                  <w:spacing w:after="0" w:line="240" w:lineRule="auto"/>
                  <w:jc w:val="right"/>
                  <w:rPr>
                    <w:rFonts w:ascii="Times New Roman" w:eastAsia="Times New Roman" w:hAnsi="Times New Roman"/>
                    <w:sz w:val="14"/>
                    <w:szCs w:val="14"/>
                    <w:lang w:eastAsia="es-CO"/>
                  </w:rPr>
                </w:pPr>
                <w:r w:rsidRPr="00B22200">
                  <w:rPr>
                    <w:rFonts w:ascii="Times New Roman" w:eastAsia="Times New Roman" w:hAnsi="Times New Roman"/>
                    <w:sz w:val="14"/>
                    <w:szCs w:val="14"/>
                    <w:lang w:eastAsia="es-CO"/>
                  </w:rPr>
                  <w:t xml:space="preserve">3.421.800 </w:t>
                </w:r>
              </w:p>
            </w:tc>
          </w:tr>
          <w:tr w:rsidR="00C36E69" w:rsidRPr="00B22200" w14:paraId="46626A6A" w14:textId="77777777" w:rsidTr="00037300">
            <w:trPr>
              <w:trHeight w:val="283"/>
            </w:trPr>
            <w:tc>
              <w:tcPr>
                <w:tcW w:w="801" w:type="pct"/>
                <w:shd w:val="clear" w:color="auto" w:fill="auto"/>
                <w:noWrap/>
                <w:vAlign w:val="center"/>
                <w:hideMark/>
              </w:tcPr>
              <w:p w14:paraId="43AF3889" w14:textId="77777777" w:rsidR="00C36E69" w:rsidRPr="00B22200" w:rsidRDefault="00C36E69">
                <w:pPr>
                  <w:spacing w:after="0" w:line="240" w:lineRule="auto"/>
                  <w:rPr>
                    <w:rFonts w:ascii="Times New Roman" w:eastAsia="Times New Roman" w:hAnsi="Times New Roman"/>
                    <w:sz w:val="14"/>
                    <w:szCs w:val="14"/>
                    <w:lang w:eastAsia="es-CO"/>
                  </w:rPr>
                </w:pPr>
                <w:r w:rsidRPr="00B22200">
                  <w:rPr>
                    <w:rFonts w:ascii="Times New Roman" w:eastAsia="Times New Roman" w:hAnsi="Times New Roman"/>
                    <w:sz w:val="14"/>
                    <w:szCs w:val="14"/>
                    <w:lang w:eastAsia="es-CO"/>
                  </w:rPr>
                  <w:t>2.5.11.24</w:t>
                </w:r>
              </w:p>
            </w:tc>
            <w:tc>
              <w:tcPr>
                <w:tcW w:w="387" w:type="pct"/>
                <w:shd w:val="clear" w:color="auto" w:fill="auto"/>
                <w:noWrap/>
                <w:vAlign w:val="center"/>
                <w:hideMark/>
              </w:tcPr>
              <w:p w14:paraId="3418C9B8" w14:textId="77777777" w:rsidR="00C36E69" w:rsidRPr="00B22200" w:rsidRDefault="00C36E69">
                <w:pPr>
                  <w:spacing w:after="0" w:line="240" w:lineRule="auto"/>
                  <w:jc w:val="center"/>
                  <w:rPr>
                    <w:rFonts w:ascii="Times New Roman" w:eastAsia="Times New Roman" w:hAnsi="Times New Roman"/>
                    <w:sz w:val="14"/>
                    <w:szCs w:val="14"/>
                    <w:lang w:eastAsia="es-CO"/>
                  </w:rPr>
                </w:pPr>
                <w:r w:rsidRPr="00B22200">
                  <w:rPr>
                    <w:rFonts w:ascii="Times New Roman" w:eastAsia="Times New Roman" w:hAnsi="Times New Roman"/>
                    <w:sz w:val="14"/>
                    <w:szCs w:val="14"/>
                    <w:lang w:eastAsia="es-CO"/>
                  </w:rPr>
                  <w:t>Cr</w:t>
                </w:r>
              </w:p>
            </w:tc>
            <w:tc>
              <w:tcPr>
                <w:tcW w:w="2584" w:type="pct"/>
                <w:shd w:val="clear" w:color="auto" w:fill="auto"/>
                <w:noWrap/>
                <w:vAlign w:val="center"/>
                <w:hideMark/>
              </w:tcPr>
              <w:p w14:paraId="35FF7701" w14:textId="77777777" w:rsidR="00C36E69" w:rsidRPr="00B22200" w:rsidRDefault="00C36E69">
                <w:pPr>
                  <w:spacing w:after="0" w:line="240" w:lineRule="auto"/>
                  <w:rPr>
                    <w:rFonts w:ascii="Times New Roman" w:eastAsia="Times New Roman" w:hAnsi="Times New Roman"/>
                    <w:sz w:val="14"/>
                    <w:szCs w:val="14"/>
                    <w:lang w:eastAsia="es-CO"/>
                  </w:rPr>
                </w:pPr>
                <w:r w:rsidRPr="00B22200">
                  <w:rPr>
                    <w:rFonts w:ascii="Times New Roman" w:eastAsia="Times New Roman" w:hAnsi="Times New Roman"/>
                    <w:sz w:val="14"/>
                    <w:szCs w:val="14"/>
                    <w:lang w:eastAsia="es-CO"/>
                  </w:rPr>
                  <w:t>Aportes a cajas de compensación familiar</w:t>
                </w:r>
              </w:p>
            </w:tc>
            <w:tc>
              <w:tcPr>
                <w:tcW w:w="1228" w:type="pct"/>
                <w:shd w:val="clear" w:color="auto" w:fill="auto"/>
                <w:noWrap/>
                <w:vAlign w:val="center"/>
                <w:hideMark/>
              </w:tcPr>
              <w:p w14:paraId="24852F11" w14:textId="25A4F5FB" w:rsidR="00C36E69" w:rsidRPr="00B22200" w:rsidRDefault="00C36E69">
                <w:pPr>
                  <w:spacing w:after="0" w:line="240" w:lineRule="auto"/>
                  <w:jc w:val="right"/>
                  <w:rPr>
                    <w:rFonts w:ascii="Times New Roman" w:eastAsia="Times New Roman" w:hAnsi="Times New Roman"/>
                    <w:sz w:val="14"/>
                    <w:szCs w:val="14"/>
                    <w:lang w:eastAsia="es-CO"/>
                  </w:rPr>
                </w:pPr>
                <w:r w:rsidRPr="00B22200">
                  <w:rPr>
                    <w:rFonts w:ascii="Times New Roman" w:eastAsia="Times New Roman" w:hAnsi="Times New Roman"/>
                    <w:sz w:val="14"/>
                    <w:szCs w:val="14"/>
                    <w:lang w:eastAsia="es-CO"/>
                  </w:rPr>
                  <w:t xml:space="preserve">6.523.300 </w:t>
                </w:r>
              </w:p>
            </w:tc>
          </w:tr>
          <w:tr w:rsidR="00C36E69" w:rsidRPr="00B22200" w14:paraId="461374E1" w14:textId="77777777" w:rsidTr="00037300">
            <w:trPr>
              <w:trHeight w:val="283"/>
            </w:trPr>
            <w:tc>
              <w:tcPr>
                <w:tcW w:w="801" w:type="pct"/>
                <w:shd w:val="clear" w:color="auto" w:fill="auto"/>
                <w:noWrap/>
                <w:vAlign w:val="center"/>
                <w:hideMark/>
              </w:tcPr>
              <w:p w14:paraId="489942C4" w14:textId="77777777" w:rsidR="00C36E69" w:rsidRPr="00B22200" w:rsidRDefault="00C36E69">
                <w:pPr>
                  <w:spacing w:after="0" w:line="240" w:lineRule="auto"/>
                  <w:rPr>
                    <w:rFonts w:ascii="Times New Roman" w:eastAsia="Times New Roman" w:hAnsi="Times New Roman"/>
                    <w:sz w:val="14"/>
                    <w:szCs w:val="14"/>
                    <w:lang w:eastAsia="es-CO"/>
                  </w:rPr>
                </w:pPr>
                <w:r w:rsidRPr="00B22200">
                  <w:rPr>
                    <w:rFonts w:ascii="Times New Roman" w:eastAsia="Times New Roman" w:hAnsi="Times New Roman"/>
                    <w:sz w:val="14"/>
                    <w:szCs w:val="14"/>
                    <w:lang w:eastAsia="es-CO"/>
                  </w:rPr>
                  <w:t>2.5.11.25</w:t>
                </w:r>
              </w:p>
            </w:tc>
            <w:tc>
              <w:tcPr>
                <w:tcW w:w="387" w:type="pct"/>
                <w:shd w:val="clear" w:color="auto" w:fill="auto"/>
                <w:noWrap/>
                <w:vAlign w:val="center"/>
                <w:hideMark/>
              </w:tcPr>
              <w:p w14:paraId="3AA34660" w14:textId="77777777" w:rsidR="00C36E69" w:rsidRPr="00B22200" w:rsidRDefault="00C36E69">
                <w:pPr>
                  <w:spacing w:after="0" w:line="240" w:lineRule="auto"/>
                  <w:jc w:val="center"/>
                  <w:rPr>
                    <w:rFonts w:ascii="Times New Roman" w:eastAsia="Times New Roman" w:hAnsi="Times New Roman"/>
                    <w:sz w:val="14"/>
                    <w:szCs w:val="14"/>
                    <w:lang w:eastAsia="es-CO"/>
                  </w:rPr>
                </w:pPr>
                <w:r w:rsidRPr="00B22200">
                  <w:rPr>
                    <w:rFonts w:ascii="Times New Roman" w:eastAsia="Times New Roman" w:hAnsi="Times New Roman"/>
                    <w:sz w:val="14"/>
                    <w:szCs w:val="14"/>
                    <w:lang w:eastAsia="es-CO"/>
                  </w:rPr>
                  <w:t>Cr</w:t>
                </w:r>
              </w:p>
            </w:tc>
            <w:tc>
              <w:tcPr>
                <w:tcW w:w="2584" w:type="pct"/>
                <w:shd w:val="clear" w:color="auto" w:fill="auto"/>
                <w:noWrap/>
                <w:vAlign w:val="center"/>
                <w:hideMark/>
              </w:tcPr>
              <w:p w14:paraId="24CF9D4E" w14:textId="77777777" w:rsidR="00C36E69" w:rsidRPr="00B22200" w:rsidRDefault="00C36E69">
                <w:pPr>
                  <w:spacing w:after="0" w:line="240" w:lineRule="auto"/>
                  <w:rPr>
                    <w:rFonts w:ascii="Times New Roman" w:eastAsia="Times New Roman" w:hAnsi="Times New Roman"/>
                    <w:sz w:val="14"/>
                    <w:szCs w:val="14"/>
                    <w:lang w:eastAsia="es-CO"/>
                  </w:rPr>
                </w:pPr>
                <w:r w:rsidRPr="00B22200">
                  <w:rPr>
                    <w:rFonts w:ascii="Times New Roman" w:eastAsia="Times New Roman" w:hAnsi="Times New Roman"/>
                    <w:sz w:val="14"/>
                    <w:szCs w:val="14"/>
                    <w:lang w:eastAsia="es-CO"/>
                  </w:rPr>
                  <w:t>Incapacidades</w:t>
                </w:r>
              </w:p>
            </w:tc>
            <w:tc>
              <w:tcPr>
                <w:tcW w:w="1228" w:type="pct"/>
                <w:shd w:val="clear" w:color="auto" w:fill="auto"/>
                <w:noWrap/>
                <w:vAlign w:val="center"/>
                <w:hideMark/>
              </w:tcPr>
              <w:p w14:paraId="4BD2774D" w14:textId="28CF334E" w:rsidR="00C36E69" w:rsidRPr="00B22200" w:rsidRDefault="00C36E69">
                <w:pPr>
                  <w:spacing w:after="0" w:line="240" w:lineRule="auto"/>
                  <w:jc w:val="right"/>
                  <w:rPr>
                    <w:rFonts w:ascii="Times New Roman" w:eastAsia="Times New Roman" w:hAnsi="Times New Roman"/>
                    <w:sz w:val="14"/>
                    <w:szCs w:val="14"/>
                    <w:lang w:eastAsia="es-CO"/>
                  </w:rPr>
                </w:pPr>
                <w:r w:rsidRPr="00B22200">
                  <w:rPr>
                    <w:rFonts w:ascii="Times New Roman" w:eastAsia="Times New Roman" w:hAnsi="Times New Roman"/>
                    <w:sz w:val="14"/>
                    <w:szCs w:val="14"/>
                    <w:lang w:eastAsia="es-CO"/>
                  </w:rPr>
                  <w:t xml:space="preserve">8.809.360 </w:t>
                </w:r>
              </w:p>
            </w:tc>
          </w:tr>
        </w:tbl>
        <w:p w14:paraId="14263303" w14:textId="3CCA73F2" w:rsidR="00FC7C22" w:rsidRPr="00931DCE" w:rsidRDefault="00FC7C22" w:rsidP="00FC7C22">
          <w:pPr>
            <w:spacing w:after="0" w:line="240" w:lineRule="auto"/>
            <w:jc w:val="both"/>
            <w:rPr>
              <w:rFonts w:ascii="Times New Roman" w:hAnsi="Times New Roman"/>
              <w:sz w:val="14"/>
              <w:szCs w:val="10"/>
            </w:rPr>
          </w:pPr>
          <w:r w:rsidRPr="00931DCE">
            <w:rPr>
              <w:rFonts w:ascii="Times New Roman" w:hAnsi="Times New Roman"/>
              <w:sz w:val="14"/>
              <w:szCs w:val="10"/>
            </w:rPr>
            <w:t>Cifra en miles de pesos</w:t>
          </w:r>
        </w:p>
        <w:p w14:paraId="094D71FA" w14:textId="77777777" w:rsidR="001A2BE3" w:rsidRDefault="001A2BE3" w:rsidP="00B36ABA">
          <w:pPr>
            <w:spacing w:after="0" w:line="240" w:lineRule="auto"/>
            <w:jc w:val="both"/>
            <w:rPr>
              <w:rFonts w:ascii="Times New Roman" w:hAnsi="Times New Roman"/>
              <w:sz w:val="24"/>
              <w:szCs w:val="24"/>
            </w:rPr>
          </w:pPr>
        </w:p>
        <w:p w14:paraId="2103E606" w14:textId="685E6B76" w:rsidR="00B36ABA" w:rsidRPr="001A2BE3" w:rsidRDefault="00B36ABA" w:rsidP="00B36ABA">
          <w:pPr>
            <w:spacing w:after="0" w:line="240" w:lineRule="auto"/>
            <w:jc w:val="both"/>
            <w:rPr>
              <w:rFonts w:ascii="Times New Roman" w:eastAsia="Arial MT" w:hAnsi="Times New Roman"/>
              <w:sz w:val="24"/>
              <w:szCs w:val="24"/>
              <w:lang w:val="es-ES"/>
            </w:rPr>
          </w:pPr>
          <w:r w:rsidRPr="001A2BE3">
            <w:rPr>
              <w:rFonts w:ascii="Times New Roman" w:hAnsi="Times New Roman"/>
              <w:sz w:val="24"/>
              <w:szCs w:val="24"/>
            </w:rPr>
            <w:t xml:space="preserve">Dentro de los beneficios a corto plazo por </w:t>
          </w:r>
          <w:r w:rsidRPr="001A2BE3">
            <w:rPr>
              <w:rFonts w:ascii="Times New Roman" w:hAnsi="Times New Roman"/>
              <w:sz w:val="24"/>
              <w:szCs w:val="24"/>
              <w:lang w:val="es-MX"/>
            </w:rPr>
            <w:t xml:space="preserve">capacitación, bienestar social y estímulos, la Agencia otorgó mediante Resolución No </w:t>
          </w:r>
          <w:r w:rsidRPr="001A2BE3">
            <w:rPr>
              <w:rFonts w:ascii="Times New Roman" w:hAnsi="Times New Roman"/>
              <w:color w:val="000000"/>
              <w:sz w:val="24"/>
              <w:szCs w:val="24"/>
              <w:shd w:val="clear" w:color="auto" w:fill="FFFFFF"/>
            </w:rPr>
            <w:t xml:space="preserve">20234030009575 de 1 de agosto de 2023 </w:t>
          </w:r>
          <w:r w:rsidRPr="001A2BE3">
            <w:rPr>
              <w:rFonts w:ascii="Times New Roman" w:eastAsia="Arial MT" w:hAnsi="Times New Roman"/>
              <w:sz w:val="24"/>
              <w:szCs w:val="24"/>
              <w:lang w:val="es-ES"/>
            </w:rPr>
            <w:t>auxilio educativo a 25 servidores de carrera administrativa, libre</w:t>
          </w:r>
          <w:r w:rsidRPr="001A2BE3">
            <w:rPr>
              <w:rFonts w:ascii="Times New Roman" w:eastAsia="Arial MT" w:hAnsi="Times New Roman"/>
              <w:spacing w:val="1"/>
              <w:sz w:val="24"/>
              <w:szCs w:val="24"/>
              <w:lang w:val="es-ES"/>
            </w:rPr>
            <w:t xml:space="preserve"> </w:t>
          </w:r>
          <w:r w:rsidRPr="001A2BE3">
            <w:rPr>
              <w:rFonts w:ascii="Times New Roman" w:eastAsia="Arial MT" w:hAnsi="Times New Roman"/>
              <w:sz w:val="24"/>
              <w:szCs w:val="24"/>
              <w:lang w:val="es-ES"/>
            </w:rPr>
            <w:t>nombramiento</w:t>
          </w:r>
          <w:r w:rsidRPr="001A2BE3">
            <w:rPr>
              <w:rFonts w:ascii="Times New Roman" w:eastAsia="Arial MT" w:hAnsi="Times New Roman"/>
              <w:spacing w:val="-4"/>
              <w:sz w:val="24"/>
              <w:szCs w:val="24"/>
              <w:lang w:val="es-ES"/>
            </w:rPr>
            <w:t xml:space="preserve"> </w:t>
          </w:r>
          <w:r w:rsidRPr="001A2BE3">
            <w:rPr>
              <w:rFonts w:ascii="Times New Roman" w:eastAsia="Arial MT" w:hAnsi="Times New Roman"/>
              <w:sz w:val="24"/>
              <w:szCs w:val="24"/>
              <w:lang w:val="es-ES"/>
            </w:rPr>
            <w:t>y</w:t>
          </w:r>
          <w:r w:rsidRPr="001A2BE3">
            <w:rPr>
              <w:rFonts w:ascii="Times New Roman" w:eastAsia="Arial MT" w:hAnsi="Times New Roman"/>
              <w:spacing w:val="-5"/>
              <w:sz w:val="24"/>
              <w:szCs w:val="24"/>
              <w:lang w:val="es-ES"/>
            </w:rPr>
            <w:t xml:space="preserve"> </w:t>
          </w:r>
          <w:r w:rsidRPr="001A2BE3">
            <w:rPr>
              <w:rFonts w:ascii="Times New Roman" w:eastAsia="Arial MT" w:hAnsi="Times New Roman"/>
              <w:sz w:val="24"/>
              <w:szCs w:val="24"/>
              <w:lang w:val="es-ES"/>
            </w:rPr>
            <w:t>remoción</w:t>
          </w:r>
          <w:r w:rsidRPr="001A2BE3">
            <w:rPr>
              <w:rFonts w:ascii="Times New Roman" w:eastAsia="Arial MT" w:hAnsi="Times New Roman"/>
              <w:spacing w:val="-4"/>
              <w:sz w:val="24"/>
              <w:szCs w:val="24"/>
              <w:lang w:val="es-ES"/>
            </w:rPr>
            <w:t xml:space="preserve"> </w:t>
          </w:r>
          <w:r w:rsidRPr="001A2BE3">
            <w:rPr>
              <w:rFonts w:ascii="Times New Roman" w:eastAsia="Arial MT" w:hAnsi="Times New Roman"/>
              <w:sz w:val="24"/>
              <w:szCs w:val="24"/>
              <w:lang w:val="es-ES"/>
            </w:rPr>
            <w:t>y</w:t>
          </w:r>
          <w:r w:rsidRPr="001A2BE3">
            <w:rPr>
              <w:rFonts w:ascii="Times New Roman" w:eastAsia="Arial MT" w:hAnsi="Times New Roman"/>
              <w:spacing w:val="-3"/>
              <w:sz w:val="24"/>
              <w:szCs w:val="24"/>
              <w:lang w:val="es-ES"/>
            </w:rPr>
            <w:t xml:space="preserve"> </w:t>
          </w:r>
          <w:r w:rsidRPr="001A2BE3">
            <w:rPr>
              <w:rFonts w:ascii="Times New Roman" w:eastAsia="Arial MT" w:hAnsi="Times New Roman"/>
              <w:sz w:val="24"/>
              <w:szCs w:val="24"/>
              <w:lang w:val="es-ES"/>
            </w:rPr>
            <w:t xml:space="preserve">provisionales por valor total de $50.000.000, beneficiados mediante convocatoria publicada el 17 de mayo de 2023, sin embargo el 16 de junio se amplió este plazo hasta el 21 de junio de 2023, en la resolución mencionada anteriormente los recursos se distribuirían y asignarían según la siguiente tabla sin que exceda el valor anual del programa educativo. </w:t>
          </w:r>
        </w:p>
        <w:p w14:paraId="2D9C3093" w14:textId="77777777" w:rsidR="00B36ABA" w:rsidRPr="001A2BE3" w:rsidRDefault="00B36ABA" w:rsidP="00B36ABA">
          <w:pPr>
            <w:spacing w:after="0" w:line="240" w:lineRule="auto"/>
            <w:jc w:val="both"/>
            <w:rPr>
              <w:rFonts w:ascii="Times New Roman" w:eastAsia="Arial MT" w:hAnsi="Times New Roman"/>
              <w:sz w:val="14"/>
              <w:szCs w:val="14"/>
              <w:lang w:val="es-ES"/>
            </w:rPr>
          </w:pPr>
        </w:p>
        <w:p w14:paraId="5C003A50" w14:textId="77777777" w:rsidR="00B36ABA" w:rsidRPr="001A2BE3" w:rsidRDefault="00B36ABA" w:rsidP="00B36ABA">
          <w:pPr>
            <w:spacing w:after="0" w:line="240" w:lineRule="auto"/>
            <w:jc w:val="both"/>
            <w:rPr>
              <w:rFonts w:ascii="Times New Roman" w:eastAsia="Arial MT" w:hAnsi="Times New Roman"/>
              <w:sz w:val="24"/>
              <w:szCs w:val="24"/>
              <w:lang w:val="es-ES"/>
            </w:rPr>
          </w:pPr>
          <w:r w:rsidRPr="001A2BE3">
            <w:rPr>
              <w:rFonts w:ascii="Times New Roman" w:eastAsia="Arial MT" w:hAnsi="Times New Roman"/>
              <w:sz w:val="24"/>
              <w:szCs w:val="24"/>
              <w:lang w:val="es-ES"/>
            </w:rPr>
            <w:lastRenderedPageBreak/>
            <w:t>El excedente de los recursos presupuestados se asignará en partes iguales entre todos los postulados y fue transferida directamente a cada institución educativa, según la siguiente tabla:</w:t>
          </w:r>
        </w:p>
        <w:p w14:paraId="3DD325D0" w14:textId="77777777" w:rsidR="001A2BE3" w:rsidRPr="009251CD" w:rsidRDefault="001A2BE3" w:rsidP="00B36ABA">
          <w:pPr>
            <w:spacing w:after="0" w:line="240" w:lineRule="auto"/>
            <w:jc w:val="both"/>
            <w:rPr>
              <w:rFonts w:ascii="Times New Roman" w:eastAsia="Arial MT" w:hAnsi="Times New Roman"/>
              <w:iCs/>
              <w:sz w:val="20"/>
              <w:szCs w:val="20"/>
              <w:lang w:val="es-ES"/>
            </w:rPr>
          </w:pPr>
        </w:p>
        <w:p w14:paraId="0FC9F0C6" w14:textId="77777777" w:rsidR="00B36ABA" w:rsidRPr="00D4358D" w:rsidRDefault="00B36ABA" w:rsidP="00B36ABA">
          <w:pPr>
            <w:spacing w:after="0" w:line="240" w:lineRule="auto"/>
            <w:jc w:val="both"/>
            <w:rPr>
              <w:rFonts w:ascii="Times New Roman" w:eastAsia="Arial MT" w:hAnsi="Times New Roman"/>
              <w:iCs/>
              <w:sz w:val="14"/>
              <w:szCs w:val="14"/>
              <w:lang w:val="es-ES"/>
            </w:rPr>
          </w:pPr>
        </w:p>
        <w:tbl>
          <w:tblPr>
            <w:tblStyle w:val="TableNormal9"/>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ook w:val="01E0" w:firstRow="1" w:lastRow="1" w:firstColumn="1" w:lastColumn="1" w:noHBand="0" w:noVBand="0"/>
          </w:tblPr>
          <w:tblGrid>
            <w:gridCol w:w="2279"/>
            <w:gridCol w:w="1908"/>
          </w:tblGrid>
          <w:tr w:rsidR="00B36ABA" w:rsidRPr="009251CD" w14:paraId="07C52568" w14:textId="77777777" w:rsidTr="00DE0481">
            <w:trPr>
              <w:trHeight w:val="397"/>
              <w:tblHeader/>
              <w:jc w:val="center"/>
            </w:trPr>
            <w:tc>
              <w:tcPr>
                <w:tcW w:w="0" w:type="auto"/>
                <w:vAlign w:val="center"/>
              </w:tcPr>
              <w:p w14:paraId="51268A03" w14:textId="77777777" w:rsidR="00B36ABA" w:rsidRPr="009A46BB" w:rsidRDefault="00B36ABA">
                <w:pPr>
                  <w:pStyle w:val="TableParagraph"/>
                  <w:ind w:left="246" w:right="234"/>
                  <w:jc w:val="center"/>
                  <w:rPr>
                    <w:rFonts w:cs="Times New Roman"/>
                    <w:b/>
                    <w:sz w:val="18"/>
                    <w:szCs w:val="18"/>
                  </w:rPr>
                </w:pPr>
                <w:r w:rsidRPr="009A46BB">
                  <w:rPr>
                    <w:rFonts w:cs="Times New Roman"/>
                    <w:b/>
                    <w:sz w:val="18"/>
                    <w:szCs w:val="18"/>
                  </w:rPr>
                  <w:t>Ingresos</w:t>
                </w:r>
                <w:r w:rsidRPr="009A46BB">
                  <w:rPr>
                    <w:rFonts w:cs="Times New Roman"/>
                    <w:b/>
                    <w:spacing w:val="-5"/>
                    <w:sz w:val="18"/>
                    <w:szCs w:val="18"/>
                  </w:rPr>
                  <w:t xml:space="preserve"> </w:t>
                </w:r>
                <w:r w:rsidRPr="009A46BB">
                  <w:rPr>
                    <w:rFonts w:cs="Times New Roman"/>
                    <w:b/>
                    <w:sz w:val="18"/>
                    <w:szCs w:val="18"/>
                  </w:rPr>
                  <w:t>totales</w:t>
                </w:r>
              </w:p>
            </w:tc>
            <w:tc>
              <w:tcPr>
                <w:tcW w:w="0" w:type="auto"/>
                <w:vAlign w:val="center"/>
              </w:tcPr>
              <w:p w14:paraId="4E8963C4" w14:textId="77777777" w:rsidR="00B36ABA" w:rsidRPr="009A46BB" w:rsidRDefault="00B36ABA">
                <w:pPr>
                  <w:pStyle w:val="TableParagraph"/>
                  <w:ind w:left="356" w:right="210" w:hanging="112"/>
                  <w:rPr>
                    <w:rFonts w:cs="Times New Roman"/>
                    <w:b/>
                    <w:sz w:val="18"/>
                    <w:szCs w:val="18"/>
                  </w:rPr>
                </w:pPr>
                <w:r w:rsidRPr="009A46BB">
                  <w:rPr>
                    <w:rFonts w:cs="Times New Roman"/>
                    <w:b/>
                    <w:sz w:val="18"/>
                    <w:szCs w:val="18"/>
                  </w:rPr>
                  <w:t>Auxilio por SMLV</w:t>
                </w:r>
              </w:p>
            </w:tc>
          </w:tr>
          <w:tr w:rsidR="00B36ABA" w:rsidRPr="009251CD" w14:paraId="534C4705" w14:textId="77777777" w:rsidTr="00DE0481">
            <w:trPr>
              <w:trHeight w:val="397"/>
              <w:jc w:val="center"/>
            </w:trPr>
            <w:tc>
              <w:tcPr>
                <w:tcW w:w="0" w:type="auto"/>
                <w:vAlign w:val="center"/>
              </w:tcPr>
              <w:p w14:paraId="3138BA09" w14:textId="77777777" w:rsidR="00B36ABA" w:rsidRPr="009A46BB" w:rsidRDefault="00B36ABA">
                <w:pPr>
                  <w:pStyle w:val="TableParagraph"/>
                  <w:ind w:left="246" w:right="235"/>
                  <w:jc w:val="center"/>
                  <w:rPr>
                    <w:rFonts w:cs="Times New Roman"/>
                    <w:sz w:val="18"/>
                    <w:szCs w:val="18"/>
                  </w:rPr>
                </w:pPr>
                <w:r w:rsidRPr="009A46BB">
                  <w:rPr>
                    <w:rFonts w:cs="Times New Roman"/>
                    <w:sz w:val="18"/>
                    <w:szCs w:val="18"/>
                  </w:rPr>
                  <w:t>Mayor a 18.001 0.5</w:t>
                </w:r>
              </w:p>
            </w:tc>
            <w:tc>
              <w:tcPr>
                <w:tcW w:w="0" w:type="auto"/>
                <w:vAlign w:val="center"/>
              </w:tcPr>
              <w:p w14:paraId="6845A809" w14:textId="77777777" w:rsidR="00B36ABA" w:rsidRPr="009A46BB" w:rsidRDefault="00B36ABA">
                <w:pPr>
                  <w:pStyle w:val="TableParagraph"/>
                  <w:jc w:val="center"/>
                  <w:rPr>
                    <w:rFonts w:cs="Times New Roman"/>
                    <w:sz w:val="18"/>
                    <w:szCs w:val="18"/>
                  </w:rPr>
                </w:pPr>
                <w:r w:rsidRPr="009A46BB">
                  <w:rPr>
                    <w:rFonts w:cs="Times New Roman"/>
                    <w:sz w:val="18"/>
                    <w:szCs w:val="18"/>
                  </w:rPr>
                  <w:t>0.5</w:t>
                </w:r>
              </w:p>
            </w:tc>
          </w:tr>
          <w:tr w:rsidR="00B36ABA" w:rsidRPr="009251CD" w14:paraId="19521364" w14:textId="77777777" w:rsidTr="00DE0481">
            <w:trPr>
              <w:trHeight w:val="397"/>
              <w:jc w:val="center"/>
            </w:trPr>
            <w:tc>
              <w:tcPr>
                <w:tcW w:w="0" w:type="auto"/>
                <w:vAlign w:val="center"/>
              </w:tcPr>
              <w:p w14:paraId="304D7E48" w14:textId="77777777" w:rsidR="00B36ABA" w:rsidRPr="009A46BB" w:rsidRDefault="00B36ABA">
                <w:pPr>
                  <w:pStyle w:val="TableParagraph"/>
                  <w:ind w:left="246" w:right="235"/>
                  <w:jc w:val="center"/>
                  <w:rPr>
                    <w:rFonts w:cs="Times New Roman"/>
                    <w:sz w:val="18"/>
                    <w:szCs w:val="18"/>
                  </w:rPr>
                </w:pPr>
                <w:r w:rsidRPr="009A46BB">
                  <w:rPr>
                    <w:rFonts w:cs="Times New Roman"/>
                    <w:sz w:val="18"/>
                    <w:szCs w:val="18"/>
                  </w:rPr>
                  <w:t>Entre 12.001 y 18.000 1</w:t>
                </w:r>
              </w:p>
            </w:tc>
            <w:tc>
              <w:tcPr>
                <w:tcW w:w="0" w:type="auto"/>
                <w:vAlign w:val="center"/>
              </w:tcPr>
              <w:p w14:paraId="27F2667A" w14:textId="77777777" w:rsidR="00B36ABA" w:rsidRPr="009A46BB" w:rsidRDefault="00B36ABA">
                <w:pPr>
                  <w:pStyle w:val="TableParagraph"/>
                  <w:jc w:val="center"/>
                  <w:rPr>
                    <w:rFonts w:cs="Times New Roman"/>
                    <w:sz w:val="18"/>
                    <w:szCs w:val="18"/>
                  </w:rPr>
                </w:pPr>
                <w:r w:rsidRPr="009A46BB">
                  <w:rPr>
                    <w:rFonts w:cs="Times New Roman"/>
                    <w:sz w:val="18"/>
                    <w:szCs w:val="18"/>
                  </w:rPr>
                  <w:t>1</w:t>
                </w:r>
              </w:p>
            </w:tc>
          </w:tr>
          <w:tr w:rsidR="00B36ABA" w:rsidRPr="009251CD" w14:paraId="35BAE69D" w14:textId="77777777" w:rsidTr="00DE0481">
            <w:trPr>
              <w:trHeight w:val="397"/>
              <w:jc w:val="center"/>
            </w:trPr>
            <w:tc>
              <w:tcPr>
                <w:tcW w:w="0" w:type="auto"/>
                <w:vAlign w:val="center"/>
              </w:tcPr>
              <w:p w14:paraId="7CBE9839" w14:textId="77777777" w:rsidR="00B36ABA" w:rsidRPr="009A46BB" w:rsidRDefault="00B36ABA">
                <w:pPr>
                  <w:pStyle w:val="TableParagraph"/>
                  <w:ind w:left="246" w:right="235"/>
                  <w:jc w:val="center"/>
                  <w:rPr>
                    <w:rFonts w:cs="Times New Roman"/>
                    <w:sz w:val="18"/>
                    <w:szCs w:val="18"/>
                  </w:rPr>
                </w:pPr>
                <w:r w:rsidRPr="009A46BB">
                  <w:rPr>
                    <w:rFonts w:cs="Times New Roman"/>
                    <w:sz w:val="18"/>
                    <w:szCs w:val="18"/>
                  </w:rPr>
                  <w:t>Entre 6.801 y 12.000 1.5</w:t>
                </w:r>
              </w:p>
            </w:tc>
            <w:tc>
              <w:tcPr>
                <w:tcW w:w="0" w:type="auto"/>
                <w:vAlign w:val="center"/>
              </w:tcPr>
              <w:p w14:paraId="36E2CC0D" w14:textId="77777777" w:rsidR="00B36ABA" w:rsidRPr="009A46BB" w:rsidRDefault="00B36ABA">
                <w:pPr>
                  <w:pStyle w:val="TableParagraph"/>
                  <w:jc w:val="center"/>
                  <w:rPr>
                    <w:rFonts w:cs="Times New Roman"/>
                    <w:sz w:val="18"/>
                    <w:szCs w:val="18"/>
                  </w:rPr>
                </w:pPr>
                <w:r w:rsidRPr="009A46BB">
                  <w:rPr>
                    <w:rFonts w:cs="Times New Roman"/>
                    <w:sz w:val="18"/>
                    <w:szCs w:val="18"/>
                  </w:rPr>
                  <w:t>1.5</w:t>
                </w:r>
              </w:p>
            </w:tc>
          </w:tr>
          <w:tr w:rsidR="00B36ABA" w:rsidRPr="009251CD" w14:paraId="01742125" w14:textId="77777777" w:rsidTr="00DE0481">
            <w:trPr>
              <w:trHeight w:val="397"/>
              <w:jc w:val="center"/>
            </w:trPr>
            <w:tc>
              <w:tcPr>
                <w:tcW w:w="0" w:type="auto"/>
                <w:vAlign w:val="center"/>
              </w:tcPr>
              <w:p w14:paraId="5E2DF158" w14:textId="77777777" w:rsidR="00B36ABA" w:rsidRPr="009A46BB" w:rsidRDefault="00B36ABA">
                <w:pPr>
                  <w:pStyle w:val="TableParagraph"/>
                  <w:ind w:left="246" w:right="235"/>
                  <w:jc w:val="center"/>
                  <w:rPr>
                    <w:rFonts w:cs="Times New Roman"/>
                    <w:sz w:val="18"/>
                    <w:szCs w:val="18"/>
                  </w:rPr>
                </w:pPr>
                <w:r w:rsidRPr="009A46BB">
                  <w:rPr>
                    <w:rFonts w:cs="Times New Roman"/>
                    <w:sz w:val="18"/>
                    <w:szCs w:val="18"/>
                  </w:rPr>
                  <w:t>Menor a 6.800 2</w:t>
                </w:r>
              </w:p>
            </w:tc>
            <w:tc>
              <w:tcPr>
                <w:tcW w:w="0" w:type="auto"/>
                <w:vAlign w:val="center"/>
              </w:tcPr>
              <w:p w14:paraId="2390B4C8" w14:textId="77777777" w:rsidR="00B36ABA" w:rsidRPr="009A46BB" w:rsidRDefault="00B36ABA">
                <w:pPr>
                  <w:pStyle w:val="TableParagraph"/>
                  <w:ind w:left="15"/>
                  <w:jc w:val="center"/>
                  <w:rPr>
                    <w:rFonts w:cs="Times New Roman"/>
                    <w:sz w:val="18"/>
                    <w:szCs w:val="18"/>
                  </w:rPr>
                </w:pPr>
                <w:r w:rsidRPr="009A46BB">
                  <w:rPr>
                    <w:rFonts w:cs="Times New Roman"/>
                    <w:sz w:val="18"/>
                    <w:szCs w:val="18"/>
                  </w:rPr>
                  <w:t>2</w:t>
                </w:r>
              </w:p>
            </w:tc>
          </w:tr>
        </w:tbl>
        <w:p w14:paraId="5F283CAA" w14:textId="77777777" w:rsidR="00B36ABA" w:rsidRPr="00D4358D" w:rsidRDefault="00B36ABA" w:rsidP="00B36ABA">
          <w:pPr>
            <w:spacing w:after="0" w:line="240" w:lineRule="auto"/>
            <w:jc w:val="both"/>
            <w:rPr>
              <w:rFonts w:ascii="Times New Roman" w:hAnsi="Times New Roman"/>
              <w:sz w:val="14"/>
              <w:szCs w:val="14"/>
            </w:rPr>
          </w:pPr>
        </w:p>
        <w:p w14:paraId="25AC36C1" w14:textId="77777777" w:rsidR="00B36ABA" w:rsidRPr="001A2BE3" w:rsidRDefault="00B36ABA" w:rsidP="00B36ABA">
          <w:pPr>
            <w:spacing w:after="0" w:line="240" w:lineRule="auto"/>
            <w:jc w:val="both"/>
            <w:rPr>
              <w:rFonts w:ascii="Times New Roman" w:eastAsia="Arial MT" w:hAnsi="Times New Roman"/>
              <w:sz w:val="24"/>
              <w:szCs w:val="24"/>
              <w:lang w:val="es-ES"/>
            </w:rPr>
          </w:pPr>
          <w:r w:rsidRPr="001A2BE3">
            <w:rPr>
              <w:rFonts w:ascii="Times New Roman" w:hAnsi="Times New Roman"/>
              <w:sz w:val="24"/>
              <w:szCs w:val="24"/>
            </w:rPr>
            <w:t>Y mediante resolución 20234030017585 de 15 de diciembre 2023 otorgó incentivos institucionales no pecuniario a los 5 mejores servidores públicos de carrera administrativa por nivel jerárquico, y de libre nombramiento y remoción, de acuerdo con la siguiente metodología:</w:t>
          </w:r>
        </w:p>
        <w:p w14:paraId="5ABD45C1" w14:textId="77777777" w:rsidR="00B36ABA" w:rsidRPr="00D4358D" w:rsidRDefault="00B36ABA" w:rsidP="00B36ABA">
          <w:pPr>
            <w:pStyle w:val="Textoindependiente"/>
            <w:rPr>
              <w:sz w:val="12"/>
              <w:szCs w:val="12"/>
            </w:rPr>
          </w:pPr>
        </w:p>
        <w:p w14:paraId="2A29ED6F" w14:textId="77777777" w:rsidR="00B36ABA" w:rsidRPr="009251CD" w:rsidRDefault="00B36ABA" w:rsidP="00B36ABA">
          <w:pPr>
            <w:tabs>
              <w:tab w:val="left" w:pos="8505"/>
            </w:tabs>
            <w:spacing w:after="0" w:line="240" w:lineRule="auto"/>
            <w:ind w:left="284" w:right="333"/>
            <w:jc w:val="both"/>
            <w:rPr>
              <w:rFonts w:ascii="Times New Roman" w:hAnsi="Times New Roman"/>
              <w:i/>
              <w:w w:val="90"/>
              <w:sz w:val="20"/>
              <w:szCs w:val="20"/>
            </w:rPr>
          </w:pPr>
          <w:r w:rsidRPr="009251CD">
            <w:rPr>
              <w:rFonts w:ascii="Times New Roman" w:hAnsi="Times New Roman"/>
              <w:i/>
              <w:w w:val="85"/>
              <w:sz w:val="20"/>
              <w:szCs w:val="20"/>
            </w:rPr>
            <w:t>“Para otorgar el incentivo se tendrá en cuenta el nivel sobresaliente de los empleados, con base en la</w:t>
          </w:r>
          <w:r w:rsidRPr="009251CD">
            <w:rPr>
              <w:rFonts w:ascii="Times New Roman" w:hAnsi="Times New Roman"/>
              <w:i/>
              <w:spacing w:val="1"/>
              <w:w w:val="85"/>
              <w:sz w:val="20"/>
              <w:szCs w:val="20"/>
            </w:rPr>
            <w:t xml:space="preserve"> </w:t>
          </w:r>
          <w:r w:rsidRPr="009251CD">
            <w:rPr>
              <w:rFonts w:ascii="Times New Roman" w:hAnsi="Times New Roman"/>
              <w:i/>
              <w:spacing w:val="-1"/>
              <w:w w:val="85"/>
              <w:sz w:val="20"/>
              <w:szCs w:val="20"/>
            </w:rPr>
            <w:t xml:space="preserve">calificación </w:t>
          </w:r>
          <w:r w:rsidRPr="009251CD">
            <w:rPr>
              <w:rFonts w:ascii="Times New Roman" w:hAnsi="Times New Roman"/>
              <w:i/>
              <w:w w:val="85"/>
              <w:sz w:val="20"/>
              <w:szCs w:val="20"/>
            </w:rPr>
            <w:t>definitiva en firme, resultante de la evaluación del desempeño laboral, correspondiente al periodo</w:t>
          </w:r>
          <w:r w:rsidRPr="009251CD">
            <w:rPr>
              <w:rFonts w:ascii="Times New Roman" w:hAnsi="Times New Roman"/>
              <w:i/>
              <w:spacing w:val="-49"/>
              <w:w w:val="85"/>
              <w:sz w:val="20"/>
              <w:szCs w:val="20"/>
            </w:rPr>
            <w:t xml:space="preserve"> </w:t>
          </w:r>
          <w:r w:rsidRPr="009251CD">
            <w:rPr>
              <w:rFonts w:ascii="Times New Roman" w:hAnsi="Times New Roman"/>
              <w:i/>
              <w:w w:val="90"/>
              <w:sz w:val="20"/>
              <w:szCs w:val="20"/>
            </w:rPr>
            <w:t>inmediatamente</w:t>
          </w:r>
          <w:r w:rsidRPr="009251CD">
            <w:rPr>
              <w:rFonts w:ascii="Times New Roman" w:hAnsi="Times New Roman"/>
              <w:i/>
              <w:spacing w:val="-7"/>
              <w:w w:val="90"/>
              <w:sz w:val="20"/>
              <w:szCs w:val="20"/>
            </w:rPr>
            <w:t xml:space="preserve"> </w:t>
          </w:r>
          <w:r w:rsidRPr="009251CD">
            <w:rPr>
              <w:rFonts w:ascii="Times New Roman" w:hAnsi="Times New Roman"/>
              <w:i/>
              <w:w w:val="90"/>
              <w:sz w:val="20"/>
              <w:szCs w:val="20"/>
            </w:rPr>
            <w:t>anterior</w:t>
          </w:r>
          <w:r w:rsidRPr="009251CD">
            <w:rPr>
              <w:rFonts w:ascii="Times New Roman" w:hAnsi="Times New Roman"/>
              <w:i/>
              <w:spacing w:val="-8"/>
              <w:w w:val="90"/>
              <w:sz w:val="20"/>
              <w:szCs w:val="20"/>
            </w:rPr>
            <w:t xml:space="preserve"> </w:t>
          </w:r>
          <w:r w:rsidRPr="009251CD">
            <w:rPr>
              <w:rFonts w:ascii="Times New Roman" w:hAnsi="Times New Roman"/>
              <w:i/>
              <w:w w:val="90"/>
              <w:sz w:val="20"/>
              <w:szCs w:val="20"/>
            </w:rPr>
            <w:t>a</w:t>
          </w:r>
          <w:r w:rsidRPr="009251CD">
            <w:rPr>
              <w:rFonts w:ascii="Times New Roman" w:hAnsi="Times New Roman"/>
              <w:i/>
              <w:spacing w:val="-9"/>
              <w:w w:val="90"/>
              <w:sz w:val="20"/>
              <w:szCs w:val="20"/>
            </w:rPr>
            <w:t xml:space="preserve"> </w:t>
          </w:r>
          <w:r w:rsidRPr="009251CD">
            <w:rPr>
              <w:rFonts w:ascii="Times New Roman" w:hAnsi="Times New Roman"/>
              <w:i/>
              <w:w w:val="90"/>
              <w:sz w:val="20"/>
              <w:szCs w:val="20"/>
            </w:rPr>
            <w:t>la</w:t>
          </w:r>
          <w:r w:rsidRPr="009251CD">
            <w:rPr>
              <w:rFonts w:ascii="Times New Roman" w:hAnsi="Times New Roman"/>
              <w:i/>
              <w:spacing w:val="-10"/>
              <w:w w:val="90"/>
              <w:sz w:val="20"/>
              <w:szCs w:val="20"/>
            </w:rPr>
            <w:t xml:space="preserve"> </w:t>
          </w:r>
          <w:r w:rsidRPr="009251CD">
            <w:rPr>
              <w:rFonts w:ascii="Times New Roman" w:hAnsi="Times New Roman"/>
              <w:i/>
              <w:w w:val="90"/>
              <w:sz w:val="20"/>
              <w:szCs w:val="20"/>
            </w:rPr>
            <w:t>fecha</w:t>
          </w:r>
          <w:r w:rsidRPr="009251CD">
            <w:rPr>
              <w:rFonts w:ascii="Times New Roman" w:hAnsi="Times New Roman"/>
              <w:i/>
              <w:spacing w:val="-8"/>
              <w:w w:val="90"/>
              <w:sz w:val="20"/>
              <w:szCs w:val="20"/>
            </w:rPr>
            <w:t xml:space="preserve"> </w:t>
          </w:r>
          <w:r w:rsidRPr="009251CD">
            <w:rPr>
              <w:rFonts w:ascii="Times New Roman" w:hAnsi="Times New Roman"/>
              <w:i/>
              <w:w w:val="90"/>
              <w:sz w:val="20"/>
              <w:szCs w:val="20"/>
            </w:rPr>
            <w:t>de</w:t>
          </w:r>
          <w:r w:rsidRPr="009251CD">
            <w:rPr>
              <w:rFonts w:ascii="Times New Roman" w:hAnsi="Times New Roman"/>
              <w:i/>
              <w:spacing w:val="-10"/>
              <w:w w:val="90"/>
              <w:sz w:val="20"/>
              <w:szCs w:val="20"/>
            </w:rPr>
            <w:t xml:space="preserve"> </w:t>
          </w:r>
          <w:r w:rsidRPr="009251CD">
            <w:rPr>
              <w:rFonts w:ascii="Times New Roman" w:hAnsi="Times New Roman"/>
              <w:i/>
              <w:w w:val="90"/>
              <w:sz w:val="20"/>
              <w:szCs w:val="20"/>
            </w:rPr>
            <w:t>la</w:t>
          </w:r>
          <w:r w:rsidRPr="009251CD">
            <w:rPr>
              <w:rFonts w:ascii="Times New Roman" w:hAnsi="Times New Roman"/>
              <w:i/>
              <w:spacing w:val="-10"/>
              <w:w w:val="90"/>
              <w:sz w:val="20"/>
              <w:szCs w:val="20"/>
            </w:rPr>
            <w:t xml:space="preserve"> </w:t>
          </w:r>
          <w:r w:rsidRPr="009251CD">
            <w:rPr>
              <w:rFonts w:ascii="Times New Roman" w:hAnsi="Times New Roman"/>
              <w:i/>
              <w:w w:val="90"/>
              <w:sz w:val="20"/>
              <w:szCs w:val="20"/>
            </w:rPr>
            <w:t>postulación.</w:t>
          </w:r>
        </w:p>
        <w:p w14:paraId="25867984" w14:textId="77777777" w:rsidR="00B36ABA" w:rsidRPr="00D4358D" w:rsidRDefault="00B36ABA" w:rsidP="00B36ABA">
          <w:pPr>
            <w:tabs>
              <w:tab w:val="left" w:pos="8505"/>
            </w:tabs>
            <w:spacing w:after="0" w:line="240" w:lineRule="auto"/>
            <w:ind w:left="284" w:right="333"/>
            <w:jc w:val="both"/>
            <w:rPr>
              <w:rFonts w:ascii="Times New Roman" w:hAnsi="Times New Roman"/>
              <w:i/>
              <w:sz w:val="14"/>
              <w:szCs w:val="14"/>
            </w:rPr>
          </w:pPr>
        </w:p>
        <w:p w14:paraId="32F08DA7" w14:textId="77777777" w:rsidR="00B36ABA" w:rsidRPr="009251CD" w:rsidRDefault="00B36ABA" w:rsidP="00B36ABA">
          <w:pPr>
            <w:tabs>
              <w:tab w:val="left" w:pos="8505"/>
            </w:tabs>
            <w:spacing w:after="0" w:line="240" w:lineRule="auto"/>
            <w:ind w:left="284" w:right="333"/>
            <w:jc w:val="both"/>
            <w:rPr>
              <w:rFonts w:ascii="Times New Roman" w:hAnsi="Times New Roman"/>
              <w:i/>
              <w:w w:val="80"/>
              <w:sz w:val="20"/>
              <w:szCs w:val="20"/>
            </w:rPr>
          </w:pPr>
          <w:r w:rsidRPr="009251CD">
            <w:rPr>
              <w:rFonts w:ascii="Times New Roman" w:hAnsi="Times New Roman"/>
              <w:i/>
              <w:w w:val="85"/>
              <w:sz w:val="20"/>
              <w:szCs w:val="20"/>
            </w:rPr>
            <w:t>El Grupo Interno de Trabajo de Talento Humano seleccionará a los mejores empleados por nivel jerárquico,</w:t>
          </w:r>
          <w:r w:rsidRPr="009251CD">
            <w:rPr>
              <w:rFonts w:ascii="Times New Roman" w:hAnsi="Times New Roman"/>
              <w:i/>
              <w:spacing w:val="1"/>
              <w:w w:val="85"/>
              <w:sz w:val="20"/>
              <w:szCs w:val="20"/>
            </w:rPr>
            <w:t xml:space="preserve"> </w:t>
          </w:r>
          <w:r w:rsidRPr="009251CD">
            <w:rPr>
              <w:rFonts w:ascii="Times New Roman" w:hAnsi="Times New Roman"/>
              <w:i/>
              <w:w w:val="80"/>
              <w:sz w:val="20"/>
              <w:szCs w:val="20"/>
            </w:rPr>
            <w:t>entre</w:t>
          </w:r>
          <w:r w:rsidRPr="009251CD">
            <w:rPr>
              <w:rFonts w:ascii="Times New Roman" w:hAnsi="Times New Roman"/>
              <w:i/>
              <w:spacing w:val="4"/>
              <w:w w:val="80"/>
              <w:sz w:val="20"/>
              <w:szCs w:val="20"/>
            </w:rPr>
            <w:t xml:space="preserve"> </w:t>
          </w:r>
          <w:r w:rsidRPr="009251CD">
            <w:rPr>
              <w:rFonts w:ascii="Times New Roman" w:hAnsi="Times New Roman"/>
              <w:i/>
              <w:w w:val="80"/>
              <w:sz w:val="20"/>
              <w:szCs w:val="20"/>
            </w:rPr>
            <w:t>quienes</w:t>
          </w:r>
          <w:r w:rsidRPr="009251CD">
            <w:rPr>
              <w:rFonts w:ascii="Times New Roman" w:hAnsi="Times New Roman"/>
              <w:i/>
              <w:spacing w:val="7"/>
              <w:w w:val="80"/>
              <w:sz w:val="20"/>
              <w:szCs w:val="20"/>
            </w:rPr>
            <w:t xml:space="preserve"> </w:t>
          </w:r>
          <w:r w:rsidRPr="009251CD">
            <w:rPr>
              <w:rFonts w:ascii="Times New Roman" w:hAnsi="Times New Roman"/>
              <w:i/>
              <w:w w:val="80"/>
              <w:sz w:val="20"/>
              <w:szCs w:val="20"/>
            </w:rPr>
            <w:t>hayan</w:t>
          </w:r>
          <w:r w:rsidRPr="009251CD">
            <w:rPr>
              <w:rFonts w:ascii="Times New Roman" w:hAnsi="Times New Roman"/>
              <w:i/>
              <w:spacing w:val="7"/>
              <w:w w:val="80"/>
              <w:sz w:val="20"/>
              <w:szCs w:val="20"/>
            </w:rPr>
            <w:t xml:space="preserve"> </w:t>
          </w:r>
          <w:r w:rsidRPr="009251CD">
            <w:rPr>
              <w:rFonts w:ascii="Times New Roman" w:hAnsi="Times New Roman"/>
              <w:i/>
              <w:w w:val="80"/>
              <w:sz w:val="20"/>
              <w:szCs w:val="20"/>
            </w:rPr>
            <w:t>obtenido</w:t>
          </w:r>
          <w:r w:rsidRPr="009251CD">
            <w:rPr>
              <w:rFonts w:ascii="Times New Roman" w:hAnsi="Times New Roman"/>
              <w:i/>
              <w:spacing w:val="7"/>
              <w:w w:val="80"/>
              <w:sz w:val="20"/>
              <w:szCs w:val="20"/>
            </w:rPr>
            <w:t xml:space="preserve"> </w:t>
          </w:r>
          <w:r w:rsidRPr="009251CD">
            <w:rPr>
              <w:rFonts w:ascii="Times New Roman" w:hAnsi="Times New Roman"/>
              <w:i/>
              <w:w w:val="80"/>
              <w:sz w:val="20"/>
              <w:szCs w:val="20"/>
            </w:rPr>
            <w:t>la</w:t>
          </w:r>
          <w:r w:rsidRPr="009251CD">
            <w:rPr>
              <w:rFonts w:ascii="Times New Roman" w:hAnsi="Times New Roman"/>
              <w:i/>
              <w:spacing w:val="7"/>
              <w:w w:val="80"/>
              <w:sz w:val="20"/>
              <w:szCs w:val="20"/>
            </w:rPr>
            <w:t xml:space="preserve"> </w:t>
          </w:r>
          <w:r w:rsidRPr="009251CD">
            <w:rPr>
              <w:rFonts w:ascii="Times New Roman" w:hAnsi="Times New Roman"/>
              <w:i/>
              <w:w w:val="80"/>
              <w:sz w:val="20"/>
              <w:szCs w:val="20"/>
            </w:rPr>
            <w:t>más</w:t>
          </w:r>
          <w:r w:rsidRPr="009251CD">
            <w:rPr>
              <w:rFonts w:ascii="Times New Roman" w:hAnsi="Times New Roman"/>
              <w:i/>
              <w:spacing w:val="5"/>
              <w:w w:val="80"/>
              <w:sz w:val="20"/>
              <w:szCs w:val="20"/>
            </w:rPr>
            <w:t xml:space="preserve"> </w:t>
          </w:r>
          <w:r w:rsidRPr="009251CD">
            <w:rPr>
              <w:rFonts w:ascii="Times New Roman" w:hAnsi="Times New Roman"/>
              <w:i/>
              <w:w w:val="80"/>
              <w:sz w:val="20"/>
              <w:szCs w:val="20"/>
            </w:rPr>
            <w:t>alta</w:t>
          </w:r>
          <w:r w:rsidRPr="009251CD">
            <w:rPr>
              <w:rFonts w:ascii="Times New Roman" w:hAnsi="Times New Roman"/>
              <w:i/>
              <w:spacing w:val="7"/>
              <w:w w:val="80"/>
              <w:sz w:val="20"/>
              <w:szCs w:val="20"/>
            </w:rPr>
            <w:t xml:space="preserve"> </w:t>
          </w:r>
          <w:r w:rsidRPr="009251CD">
            <w:rPr>
              <w:rFonts w:ascii="Times New Roman" w:hAnsi="Times New Roman"/>
              <w:i/>
              <w:w w:val="80"/>
              <w:sz w:val="20"/>
              <w:szCs w:val="20"/>
            </w:rPr>
            <w:t>calificación,</w:t>
          </w:r>
          <w:r w:rsidRPr="009251CD">
            <w:rPr>
              <w:rFonts w:ascii="Times New Roman" w:hAnsi="Times New Roman"/>
              <w:i/>
              <w:spacing w:val="6"/>
              <w:w w:val="80"/>
              <w:sz w:val="20"/>
              <w:szCs w:val="20"/>
            </w:rPr>
            <w:t xml:space="preserve"> </w:t>
          </w:r>
          <w:r w:rsidRPr="009251CD">
            <w:rPr>
              <w:rFonts w:ascii="Times New Roman" w:hAnsi="Times New Roman"/>
              <w:i/>
              <w:w w:val="80"/>
              <w:sz w:val="20"/>
              <w:szCs w:val="20"/>
            </w:rPr>
            <w:t>de</w:t>
          </w:r>
          <w:r w:rsidRPr="009251CD">
            <w:rPr>
              <w:rFonts w:ascii="Times New Roman" w:hAnsi="Times New Roman"/>
              <w:i/>
              <w:spacing w:val="5"/>
              <w:w w:val="80"/>
              <w:sz w:val="20"/>
              <w:szCs w:val="20"/>
            </w:rPr>
            <w:t xml:space="preserve"> </w:t>
          </w:r>
          <w:r w:rsidRPr="009251CD">
            <w:rPr>
              <w:rFonts w:ascii="Times New Roman" w:hAnsi="Times New Roman"/>
              <w:i/>
              <w:w w:val="80"/>
              <w:sz w:val="20"/>
              <w:szCs w:val="20"/>
            </w:rPr>
            <w:t>acuerdo</w:t>
          </w:r>
          <w:r w:rsidRPr="009251CD">
            <w:rPr>
              <w:rFonts w:ascii="Times New Roman" w:hAnsi="Times New Roman"/>
              <w:i/>
              <w:spacing w:val="7"/>
              <w:w w:val="80"/>
              <w:sz w:val="20"/>
              <w:szCs w:val="20"/>
            </w:rPr>
            <w:t xml:space="preserve"> </w:t>
          </w:r>
          <w:r w:rsidRPr="009251CD">
            <w:rPr>
              <w:rFonts w:ascii="Times New Roman" w:hAnsi="Times New Roman"/>
              <w:i/>
              <w:w w:val="80"/>
              <w:sz w:val="20"/>
              <w:szCs w:val="20"/>
            </w:rPr>
            <w:t>con</w:t>
          </w:r>
          <w:r w:rsidRPr="009251CD">
            <w:rPr>
              <w:rFonts w:ascii="Times New Roman" w:hAnsi="Times New Roman"/>
              <w:i/>
              <w:spacing w:val="7"/>
              <w:w w:val="80"/>
              <w:sz w:val="20"/>
              <w:szCs w:val="20"/>
            </w:rPr>
            <w:t xml:space="preserve"> </w:t>
          </w:r>
          <w:r w:rsidRPr="009251CD">
            <w:rPr>
              <w:rFonts w:ascii="Times New Roman" w:hAnsi="Times New Roman"/>
              <w:i/>
              <w:w w:val="80"/>
              <w:sz w:val="20"/>
              <w:szCs w:val="20"/>
            </w:rPr>
            <w:t>la</w:t>
          </w:r>
          <w:r w:rsidRPr="009251CD">
            <w:rPr>
              <w:rFonts w:ascii="Times New Roman" w:hAnsi="Times New Roman"/>
              <w:i/>
              <w:spacing w:val="5"/>
              <w:w w:val="80"/>
              <w:sz w:val="20"/>
              <w:szCs w:val="20"/>
            </w:rPr>
            <w:t xml:space="preserve"> </w:t>
          </w:r>
          <w:r w:rsidRPr="009251CD">
            <w:rPr>
              <w:rFonts w:ascii="Times New Roman" w:hAnsi="Times New Roman"/>
              <w:i/>
              <w:w w:val="80"/>
              <w:sz w:val="20"/>
              <w:szCs w:val="20"/>
            </w:rPr>
            <w:t>evaluación</w:t>
          </w:r>
          <w:r w:rsidRPr="009251CD">
            <w:rPr>
              <w:rFonts w:ascii="Times New Roman" w:hAnsi="Times New Roman"/>
              <w:i/>
              <w:spacing w:val="7"/>
              <w:w w:val="80"/>
              <w:sz w:val="20"/>
              <w:szCs w:val="20"/>
            </w:rPr>
            <w:t xml:space="preserve"> </w:t>
          </w:r>
          <w:r w:rsidRPr="009251CD">
            <w:rPr>
              <w:rFonts w:ascii="Times New Roman" w:hAnsi="Times New Roman"/>
              <w:i/>
              <w:w w:val="80"/>
              <w:sz w:val="20"/>
              <w:szCs w:val="20"/>
            </w:rPr>
            <w:t>del</w:t>
          </w:r>
          <w:r w:rsidRPr="009251CD">
            <w:rPr>
              <w:rFonts w:ascii="Times New Roman" w:hAnsi="Times New Roman"/>
              <w:i/>
              <w:spacing w:val="7"/>
              <w:w w:val="80"/>
              <w:sz w:val="20"/>
              <w:szCs w:val="20"/>
            </w:rPr>
            <w:t xml:space="preserve"> </w:t>
          </w:r>
          <w:r w:rsidRPr="009251CD">
            <w:rPr>
              <w:rFonts w:ascii="Times New Roman" w:hAnsi="Times New Roman"/>
              <w:i/>
              <w:w w:val="80"/>
              <w:sz w:val="20"/>
              <w:szCs w:val="20"/>
            </w:rPr>
            <w:t>desempeño</w:t>
          </w:r>
          <w:r w:rsidRPr="009251CD">
            <w:rPr>
              <w:rFonts w:ascii="Times New Roman" w:hAnsi="Times New Roman"/>
              <w:i/>
              <w:spacing w:val="7"/>
              <w:w w:val="80"/>
              <w:sz w:val="20"/>
              <w:szCs w:val="20"/>
            </w:rPr>
            <w:t xml:space="preserve"> </w:t>
          </w:r>
          <w:r w:rsidRPr="009251CD">
            <w:rPr>
              <w:rFonts w:ascii="Times New Roman" w:hAnsi="Times New Roman"/>
              <w:i/>
              <w:w w:val="80"/>
              <w:sz w:val="20"/>
              <w:szCs w:val="20"/>
            </w:rPr>
            <w:t>laboral.</w:t>
          </w:r>
        </w:p>
        <w:p w14:paraId="51770B32" w14:textId="77777777" w:rsidR="00B36ABA" w:rsidRPr="00D4358D" w:rsidRDefault="00B36ABA" w:rsidP="00B36ABA">
          <w:pPr>
            <w:tabs>
              <w:tab w:val="left" w:pos="8505"/>
            </w:tabs>
            <w:spacing w:after="0" w:line="240" w:lineRule="auto"/>
            <w:ind w:left="284" w:right="333"/>
            <w:jc w:val="both"/>
            <w:rPr>
              <w:rFonts w:ascii="Times New Roman" w:hAnsi="Times New Roman"/>
              <w:i/>
              <w:sz w:val="10"/>
              <w:szCs w:val="10"/>
            </w:rPr>
          </w:pPr>
        </w:p>
        <w:p w14:paraId="5EF55A99" w14:textId="77777777" w:rsidR="00B36ABA" w:rsidRPr="009251CD" w:rsidRDefault="00B36ABA" w:rsidP="00B36ABA">
          <w:pPr>
            <w:tabs>
              <w:tab w:val="left" w:pos="8505"/>
            </w:tabs>
            <w:spacing w:after="0" w:line="240" w:lineRule="auto"/>
            <w:ind w:left="284" w:right="333"/>
            <w:jc w:val="both"/>
            <w:rPr>
              <w:rFonts w:ascii="Times New Roman" w:hAnsi="Times New Roman"/>
              <w:i/>
              <w:sz w:val="20"/>
              <w:szCs w:val="20"/>
            </w:rPr>
          </w:pPr>
          <w:r w:rsidRPr="009251CD">
            <w:rPr>
              <w:rFonts w:ascii="Times New Roman" w:hAnsi="Times New Roman"/>
              <w:i/>
              <w:w w:val="80"/>
              <w:sz w:val="20"/>
              <w:szCs w:val="20"/>
            </w:rPr>
            <w:t>En caso de presentarse empate, se definirá el ganador por la cantidad de capacitaciones certificables que haya</w:t>
          </w:r>
          <w:r w:rsidRPr="009251CD">
            <w:rPr>
              <w:rFonts w:ascii="Times New Roman" w:hAnsi="Times New Roman"/>
              <w:i/>
              <w:spacing w:val="1"/>
              <w:w w:val="80"/>
              <w:sz w:val="20"/>
              <w:szCs w:val="20"/>
            </w:rPr>
            <w:t xml:space="preserve"> </w:t>
          </w:r>
          <w:r w:rsidRPr="009251CD">
            <w:rPr>
              <w:rFonts w:ascii="Times New Roman" w:hAnsi="Times New Roman"/>
              <w:i/>
              <w:w w:val="80"/>
              <w:sz w:val="20"/>
              <w:szCs w:val="20"/>
            </w:rPr>
            <w:t>asistido</w:t>
          </w:r>
          <w:r w:rsidRPr="009251CD">
            <w:rPr>
              <w:rFonts w:ascii="Times New Roman" w:hAnsi="Times New Roman"/>
              <w:i/>
              <w:spacing w:val="10"/>
              <w:w w:val="80"/>
              <w:sz w:val="20"/>
              <w:szCs w:val="20"/>
            </w:rPr>
            <w:t xml:space="preserve"> </w:t>
          </w:r>
          <w:r w:rsidRPr="009251CD">
            <w:rPr>
              <w:rFonts w:ascii="Times New Roman" w:hAnsi="Times New Roman"/>
              <w:i/>
              <w:w w:val="80"/>
              <w:sz w:val="20"/>
              <w:szCs w:val="20"/>
            </w:rPr>
            <w:t>en</w:t>
          </w:r>
          <w:r w:rsidRPr="009251CD">
            <w:rPr>
              <w:rFonts w:ascii="Times New Roman" w:hAnsi="Times New Roman"/>
              <w:i/>
              <w:spacing w:val="8"/>
              <w:w w:val="80"/>
              <w:sz w:val="20"/>
              <w:szCs w:val="20"/>
            </w:rPr>
            <w:t xml:space="preserve"> </w:t>
          </w:r>
          <w:r w:rsidRPr="009251CD">
            <w:rPr>
              <w:rFonts w:ascii="Times New Roman" w:hAnsi="Times New Roman"/>
              <w:i/>
              <w:w w:val="80"/>
              <w:sz w:val="20"/>
              <w:szCs w:val="20"/>
            </w:rPr>
            <w:t>la</w:t>
          </w:r>
          <w:r w:rsidRPr="009251CD">
            <w:rPr>
              <w:rFonts w:ascii="Times New Roman" w:hAnsi="Times New Roman"/>
              <w:i/>
              <w:spacing w:val="9"/>
              <w:w w:val="80"/>
              <w:sz w:val="20"/>
              <w:szCs w:val="20"/>
            </w:rPr>
            <w:t xml:space="preserve"> </w:t>
          </w:r>
          <w:r w:rsidRPr="009251CD">
            <w:rPr>
              <w:rFonts w:ascii="Times New Roman" w:hAnsi="Times New Roman"/>
              <w:i/>
              <w:w w:val="80"/>
              <w:sz w:val="20"/>
              <w:szCs w:val="20"/>
            </w:rPr>
            <w:t>misma</w:t>
          </w:r>
          <w:r w:rsidRPr="009251CD">
            <w:rPr>
              <w:rFonts w:ascii="Times New Roman" w:hAnsi="Times New Roman"/>
              <w:i/>
              <w:spacing w:val="10"/>
              <w:w w:val="80"/>
              <w:sz w:val="20"/>
              <w:szCs w:val="20"/>
            </w:rPr>
            <w:t xml:space="preserve"> </w:t>
          </w:r>
          <w:r w:rsidRPr="009251CD">
            <w:rPr>
              <w:rFonts w:ascii="Times New Roman" w:hAnsi="Times New Roman"/>
              <w:i/>
              <w:w w:val="80"/>
              <w:sz w:val="20"/>
              <w:szCs w:val="20"/>
            </w:rPr>
            <w:t>vigencia</w:t>
          </w:r>
          <w:r w:rsidRPr="009251CD">
            <w:rPr>
              <w:rFonts w:ascii="Times New Roman" w:hAnsi="Times New Roman"/>
              <w:i/>
              <w:spacing w:val="11"/>
              <w:w w:val="80"/>
              <w:sz w:val="20"/>
              <w:szCs w:val="20"/>
            </w:rPr>
            <w:t xml:space="preserve"> </w:t>
          </w:r>
          <w:r w:rsidRPr="009251CD">
            <w:rPr>
              <w:rFonts w:ascii="Times New Roman" w:hAnsi="Times New Roman"/>
              <w:i/>
              <w:w w:val="80"/>
              <w:sz w:val="20"/>
              <w:szCs w:val="20"/>
            </w:rPr>
            <w:t>de</w:t>
          </w:r>
          <w:r w:rsidRPr="009251CD">
            <w:rPr>
              <w:rFonts w:ascii="Times New Roman" w:hAnsi="Times New Roman"/>
              <w:i/>
              <w:spacing w:val="8"/>
              <w:w w:val="80"/>
              <w:sz w:val="20"/>
              <w:szCs w:val="20"/>
            </w:rPr>
            <w:t xml:space="preserve"> </w:t>
          </w:r>
          <w:r w:rsidRPr="009251CD">
            <w:rPr>
              <w:rFonts w:ascii="Times New Roman" w:hAnsi="Times New Roman"/>
              <w:i/>
              <w:w w:val="80"/>
              <w:sz w:val="20"/>
              <w:szCs w:val="20"/>
            </w:rPr>
            <w:t>la</w:t>
          </w:r>
          <w:r w:rsidRPr="009251CD">
            <w:rPr>
              <w:rFonts w:ascii="Times New Roman" w:hAnsi="Times New Roman"/>
              <w:i/>
              <w:spacing w:val="11"/>
              <w:w w:val="80"/>
              <w:sz w:val="20"/>
              <w:szCs w:val="20"/>
            </w:rPr>
            <w:t xml:space="preserve"> </w:t>
          </w:r>
          <w:r w:rsidRPr="009251CD">
            <w:rPr>
              <w:rFonts w:ascii="Times New Roman" w:hAnsi="Times New Roman"/>
              <w:i/>
              <w:w w:val="80"/>
              <w:sz w:val="20"/>
              <w:szCs w:val="20"/>
            </w:rPr>
            <w:t>evaluación</w:t>
          </w:r>
          <w:r w:rsidRPr="009251CD">
            <w:rPr>
              <w:rFonts w:ascii="Times New Roman" w:hAnsi="Times New Roman"/>
              <w:i/>
              <w:spacing w:val="10"/>
              <w:w w:val="80"/>
              <w:sz w:val="20"/>
              <w:szCs w:val="20"/>
            </w:rPr>
            <w:t xml:space="preserve"> </w:t>
          </w:r>
          <w:r w:rsidRPr="009251CD">
            <w:rPr>
              <w:rFonts w:ascii="Times New Roman" w:hAnsi="Times New Roman"/>
              <w:i/>
              <w:w w:val="80"/>
              <w:sz w:val="20"/>
              <w:szCs w:val="20"/>
            </w:rPr>
            <w:t>en</w:t>
          </w:r>
          <w:r w:rsidRPr="009251CD">
            <w:rPr>
              <w:rFonts w:ascii="Times New Roman" w:hAnsi="Times New Roman"/>
              <w:i/>
              <w:spacing w:val="9"/>
              <w:w w:val="80"/>
              <w:sz w:val="20"/>
              <w:szCs w:val="20"/>
            </w:rPr>
            <w:t xml:space="preserve"> </w:t>
          </w:r>
          <w:r w:rsidRPr="009251CD">
            <w:rPr>
              <w:rFonts w:ascii="Times New Roman" w:hAnsi="Times New Roman"/>
              <w:i/>
              <w:w w:val="80"/>
              <w:sz w:val="20"/>
              <w:szCs w:val="20"/>
            </w:rPr>
            <w:t>firme</w:t>
          </w:r>
          <w:r w:rsidRPr="009251CD">
            <w:rPr>
              <w:rFonts w:ascii="Times New Roman" w:hAnsi="Times New Roman"/>
              <w:i/>
              <w:spacing w:val="10"/>
              <w:w w:val="80"/>
              <w:sz w:val="20"/>
              <w:szCs w:val="20"/>
            </w:rPr>
            <w:t xml:space="preserve"> </w:t>
          </w:r>
          <w:r w:rsidRPr="009251CD">
            <w:rPr>
              <w:rFonts w:ascii="Times New Roman" w:hAnsi="Times New Roman"/>
              <w:i/>
              <w:w w:val="80"/>
              <w:sz w:val="20"/>
              <w:szCs w:val="20"/>
            </w:rPr>
            <w:t>y</w:t>
          </w:r>
          <w:r w:rsidRPr="009251CD">
            <w:rPr>
              <w:rFonts w:ascii="Times New Roman" w:hAnsi="Times New Roman"/>
              <w:i/>
              <w:spacing w:val="9"/>
              <w:w w:val="80"/>
              <w:sz w:val="20"/>
              <w:szCs w:val="20"/>
            </w:rPr>
            <w:t xml:space="preserve"> </w:t>
          </w:r>
          <w:r w:rsidRPr="009251CD">
            <w:rPr>
              <w:rFonts w:ascii="Times New Roman" w:hAnsi="Times New Roman"/>
              <w:i/>
              <w:w w:val="80"/>
              <w:sz w:val="20"/>
              <w:szCs w:val="20"/>
            </w:rPr>
            <w:t>que</w:t>
          </w:r>
          <w:r w:rsidRPr="009251CD">
            <w:rPr>
              <w:rFonts w:ascii="Times New Roman" w:hAnsi="Times New Roman"/>
              <w:i/>
              <w:spacing w:val="8"/>
              <w:w w:val="80"/>
              <w:sz w:val="20"/>
              <w:szCs w:val="20"/>
            </w:rPr>
            <w:t xml:space="preserve"> </w:t>
          </w:r>
          <w:r w:rsidRPr="009251CD">
            <w:rPr>
              <w:rFonts w:ascii="Times New Roman" w:hAnsi="Times New Roman"/>
              <w:i/>
              <w:w w:val="80"/>
              <w:sz w:val="20"/>
              <w:szCs w:val="20"/>
            </w:rPr>
            <w:t>hagan</w:t>
          </w:r>
          <w:r w:rsidRPr="009251CD">
            <w:rPr>
              <w:rFonts w:ascii="Times New Roman" w:hAnsi="Times New Roman"/>
              <w:i/>
              <w:spacing w:val="11"/>
              <w:w w:val="80"/>
              <w:sz w:val="20"/>
              <w:szCs w:val="20"/>
            </w:rPr>
            <w:t xml:space="preserve"> </w:t>
          </w:r>
          <w:r w:rsidRPr="009251CD">
            <w:rPr>
              <w:rFonts w:ascii="Times New Roman" w:hAnsi="Times New Roman"/>
              <w:i/>
              <w:w w:val="80"/>
              <w:sz w:val="20"/>
              <w:szCs w:val="20"/>
            </w:rPr>
            <w:t>parte</w:t>
          </w:r>
          <w:r w:rsidRPr="009251CD">
            <w:rPr>
              <w:rFonts w:ascii="Times New Roman" w:hAnsi="Times New Roman"/>
              <w:i/>
              <w:spacing w:val="10"/>
              <w:w w:val="80"/>
              <w:sz w:val="20"/>
              <w:szCs w:val="20"/>
            </w:rPr>
            <w:t xml:space="preserve"> </w:t>
          </w:r>
          <w:r w:rsidRPr="009251CD">
            <w:rPr>
              <w:rFonts w:ascii="Times New Roman" w:hAnsi="Times New Roman"/>
              <w:i/>
              <w:w w:val="80"/>
              <w:sz w:val="20"/>
              <w:szCs w:val="20"/>
            </w:rPr>
            <w:t>del</w:t>
          </w:r>
          <w:r w:rsidRPr="009251CD">
            <w:rPr>
              <w:rFonts w:ascii="Times New Roman" w:hAnsi="Times New Roman"/>
              <w:i/>
              <w:spacing w:val="9"/>
              <w:w w:val="80"/>
              <w:sz w:val="20"/>
              <w:szCs w:val="20"/>
            </w:rPr>
            <w:t xml:space="preserve"> </w:t>
          </w:r>
          <w:r w:rsidRPr="009251CD">
            <w:rPr>
              <w:rFonts w:ascii="Times New Roman" w:hAnsi="Times New Roman"/>
              <w:i/>
              <w:w w:val="80"/>
              <w:sz w:val="20"/>
              <w:szCs w:val="20"/>
            </w:rPr>
            <w:t>Plan</w:t>
          </w:r>
          <w:r w:rsidRPr="009251CD">
            <w:rPr>
              <w:rFonts w:ascii="Times New Roman" w:hAnsi="Times New Roman"/>
              <w:i/>
              <w:spacing w:val="10"/>
              <w:w w:val="80"/>
              <w:sz w:val="20"/>
              <w:szCs w:val="20"/>
            </w:rPr>
            <w:t xml:space="preserve"> </w:t>
          </w:r>
          <w:r w:rsidRPr="009251CD">
            <w:rPr>
              <w:rFonts w:ascii="Times New Roman" w:hAnsi="Times New Roman"/>
              <w:i/>
              <w:w w:val="80"/>
              <w:sz w:val="20"/>
              <w:szCs w:val="20"/>
            </w:rPr>
            <w:t>Institucional</w:t>
          </w:r>
          <w:r w:rsidRPr="009251CD">
            <w:rPr>
              <w:rFonts w:ascii="Times New Roman" w:hAnsi="Times New Roman"/>
              <w:i/>
              <w:spacing w:val="11"/>
              <w:w w:val="80"/>
              <w:sz w:val="20"/>
              <w:szCs w:val="20"/>
            </w:rPr>
            <w:t xml:space="preserve"> </w:t>
          </w:r>
          <w:r w:rsidRPr="009251CD">
            <w:rPr>
              <w:rFonts w:ascii="Times New Roman" w:hAnsi="Times New Roman"/>
              <w:i/>
              <w:w w:val="80"/>
              <w:sz w:val="20"/>
              <w:szCs w:val="20"/>
            </w:rPr>
            <w:t>de</w:t>
          </w:r>
          <w:r w:rsidRPr="009251CD">
            <w:rPr>
              <w:rFonts w:ascii="Times New Roman" w:hAnsi="Times New Roman"/>
              <w:i/>
              <w:spacing w:val="10"/>
              <w:w w:val="80"/>
              <w:sz w:val="20"/>
              <w:szCs w:val="20"/>
            </w:rPr>
            <w:t xml:space="preserve"> </w:t>
          </w:r>
          <w:r w:rsidRPr="009251CD">
            <w:rPr>
              <w:rFonts w:ascii="Times New Roman" w:hAnsi="Times New Roman"/>
              <w:i/>
              <w:w w:val="80"/>
              <w:sz w:val="20"/>
              <w:szCs w:val="20"/>
            </w:rPr>
            <w:t>Capacitación.</w:t>
          </w:r>
          <w:r w:rsidRPr="009251CD">
            <w:rPr>
              <w:rFonts w:ascii="Times New Roman" w:hAnsi="Times New Roman"/>
              <w:i/>
              <w:spacing w:val="1"/>
              <w:w w:val="80"/>
              <w:sz w:val="20"/>
              <w:szCs w:val="20"/>
            </w:rPr>
            <w:t xml:space="preserve"> </w:t>
          </w:r>
          <w:r w:rsidRPr="009251CD">
            <w:rPr>
              <w:rFonts w:ascii="Times New Roman" w:hAnsi="Times New Roman"/>
              <w:i/>
              <w:w w:val="80"/>
              <w:sz w:val="20"/>
              <w:szCs w:val="20"/>
            </w:rPr>
            <w:t>En</w:t>
          </w:r>
          <w:r w:rsidRPr="009251CD">
            <w:rPr>
              <w:rFonts w:ascii="Times New Roman" w:hAnsi="Times New Roman"/>
              <w:i/>
              <w:spacing w:val="9"/>
              <w:w w:val="80"/>
              <w:sz w:val="20"/>
              <w:szCs w:val="20"/>
            </w:rPr>
            <w:t xml:space="preserve"> </w:t>
          </w:r>
          <w:r w:rsidRPr="009251CD">
            <w:rPr>
              <w:rFonts w:ascii="Times New Roman" w:hAnsi="Times New Roman"/>
              <w:i/>
              <w:w w:val="80"/>
              <w:sz w:val="20"/>
              <w:szCs w:val="20"/>
            </w:rPr>
            <w:t>caso</w:t>
          </w:r>
          <w:r w:rsidRPr="009251CD">
            <w:rPr>
              <w:rFonts w:ascii="Times New Roman" w:hAnsi="Times New Roman"/>
              <w:i/>
              <w:spacing w:val="12"/>
              <w:w w:val="80"/>
              <w:sz w:val="20"/>
              <w:szCs w:val="20"/>
            </w:rPr>
            <w:t xml:space="preserve"> </w:t>
          </w:r>
          <w:r w:rsidRPr="009251CD">
            <w:rPr>
              <w:rFonts w:ascii="Times New Roman" w:hAnsi="Times New Roman"/>
              <w:i/>
              <w:w w:val="80"/>
              <w:sz w:val="20"/>
              <w:szCs w:val="20"/>
            </w:rPr>
            <w:t>de</w:t>
          </w:r>
          <w:r w:rsidRPr="009251CD">
            <w:rPr>
              <w:rFonts w:ascii="Times New Roman" w:hAnsi="Times New Roman"/>
              <w:i/>
              <w:spacing w:val="10"/>
              <w:w w:val="80"/>
              <w:sz w:val="20"/>
              <w:szCs w:val="20"/>
            </w:rPr>
            <w:t xml:space="preserve"> </w:t>
          </w:r>
          <w:r w:rsidRPr="009251CD">
            <w:rPr>
              <w:rFonts w:ascii="Times New Roman" w:hAnsi="Times New Roman"/>
              <w:i/>
              <w:w w:val="80"/>
              <w:sz w:val="20"/>
              <w:szCs w:val="20"/>
            </w:rPr>
            <w:t>que</w:t>
          </w:r>
          <w:r w:rsidRPr="009251CD">
            <w:rPr>
              <w:rFonts w:ascii="Times New Roman" w:hAnsi="Times New Roman"/>
              <w:i/>
              <w:spacing w:val="12"/>
              <w:w w:val="80"/>
              <w:sz w:val="20"/>
              <w:szCs w:val="20"/>
            </w:rPr>
            <w:t xml:space="preserve"> </w:t>
          </w:r>
          <w:r w:rsidRPr="009251CD">
            <w:rPr>
              <w:rFonts w:ascii="Times New Roman" w:hAnsi="Times New Roman"/>
              <w:i/>
              <w:w w:val="80"/>
              <w:sz w:val="20"/>
              <w:szCs w:val="20"/>
            </w:rPr>
            <w:t>persista</w:t>
          </w:r>
          <w:r w:rsidRPr="009251CD">
            <w:rPr>
              <w:rFonts w:ascii="Times New Roman" w:hAnsi="Times New Roman"/>
              <w:i/>
              <w:spacing w:val="12"/>
              <w:w w:val="80"/>
              <w:sz w:val="20"/>
              <w:szCs w:val="20"/>
            </w:rPr>
            <w:t xml:space="preserve"> </w:t>
          </w:r>
          <w:r w:rsidRPr="009251CD">
            <w:rPr>
              <w:rFonts w:ascii="Times New Roman" w:hAnsi="Times New Roman"/>
              <w:i/>
              <w:w w:val="80"/>
              <w:sz w:val="20"/>
              <w:szCs w:val="20"/>
            </w:rPr>
            <w:t>el</w:t>
          </w:r>
          <w:r w:rsidRPr="009251CD">
            <w:rPr>
              <w:rFonts w:ascii="Times New Roman" w:hAnsi="Times New Roman"/>
              <w:i/>
              <w:spacing w:val="10"/>
              <w:w w:val="80"/>
              <w:sz w:val="20"/>
              <w:szCs w:val="20"/>
            </w:rPr>
            <w:t xml:space="preserve"> </w:t>
          </w:r>
          <w:r w:rsidRPr="009251CD">
            <w:rPr>
              <w:rFonts w:ascii="Times New Roman" w:hAnsi="Times New Roman"/>
              <w:i/>
              <w:w w:val="80"/>
              <w:sz w:val="20"/>
              <w:szCs w:val="20"/>
            </w:rPr>
            <w:t>empate</w:t>
          </w:r>
          <w:r w:rsidRPr="009251CD">
            <w:rPr>
              <w:rFonts w:ascii="Times New Roman" w:hAnsi="Times New Roman"/>
              <w:i/>
              <w:spacing w:val="12"/>
              <w:w w:val="80"/>
              <w:sz w:val="20"/>
              <w:szCs w:val="20"/>
            </w:rPr>
            <w:t xml:space="preserve"> </w:t>
          </w:r>
          <w:r w:rsidRPr="009251CD">
            <w:rPr>
              <w:rFonts w:ascii="Times New Roman" w:hAnsi="Times New Roman"/>
              <w:i/>
              <w:w w:val="80"/>
              <w:sz w:val="20"/>
              <w:szCs w:val="20"/>
            </w:rPr>
            <w:t>se</w:t>
          </w:r>
          <w:r w:rsidRPr="009251CD">
            <w:rPr>
              <w:rFonts w:ascii="Times New Roman" w:hAnsi="Times New Roman"/>
              <w:i/>
              <w:spacing w:val="10"/>
              <w:w w:val="80"/>
              <w:sz w:val="20"/>
              <w:szCs w:val="20"/>
            </w:rPr>
            <w:t xml:space="preserve"> </w:t>
          </w:r>
          <w:r w:rsidRPr="009251CD">
            <w:rPr>
              <w:rFonts w:ascii="Times New Roman" w:hAnsi="Times New Roman"/>
              <w:i/>
              <w:w w:val="80"/>
              <w:sz w:val="20"/>
              <w:szCs w:val="20"/>
            </w:rPr>
            <w:t>realizará</w:t>
          </w:r>
          <w:r w:rsidRPr="009251CD">
            <w:rPr>
              <w:rFonts w:ascii="Times New Roman" w:hAnsi="Times New Roman"/>
              <w:i/>
              <w:spacing w:val="11"/>
              <w:w w:val="80"/>
              <w:sz w:val="20"/>
              <w:szCs w:val="20"/>
            </w:rPr>
            <w:t xml:space="preserve"> </w:t>
          </w:r>
          <w:r w:rsidRPr="009251CD">
            <w:rPr>
              <w:rFonts w:ascii="Times New Roman" w:hAnsi="Times New Roman"/>
              <w:i/>
              <w:w w:val="80"/>
              <w:sz w:val="20"/>
              <w:szCs w:val="20"/>
            </w:rPr>
            <w:t>por</w:t>
          </w:r>
          <w:r w:rsidRPr="009251CD">
            <w:rPr>
              <w:rFonts w:ascii="Times New Roman" w:hAnsi="Times New Roman"/>
              <w:i/>
              <w:spacing w:val="10"/>
              <w:w w:val="80"/>
              <w:sz w:val="20"/>
              <w:szCs w:val="20"/>
            </w:rPr>
            <w:t xml:space="preserve"> </w:t>
          </w:r>
          <w:r w:rsidRPr="009251CD">
            <w:rPr>
              <w:rFonts w:ascii="Times New Roman" w:hAnsi="Times New Roman"/>
              <w:i/>
              <w:w w:val="80"/>
              <w:sz w:val="20"/>
              <w:szCs w:val="20"/>
            </w:rPr>
            <w:t>sorteo</w:t>
          </w:r>
          <w:r w:rsidRPr="009251CD">
            <w:rPr>
              <w:rFonts w:ascii="Times New Roman" w:hAnsi="Times New Roman"/>
              <w:i/>
              <w:spacing w:val="12"/>
              <w:w w:val="80"/>
              <w:sz w:val="20"/>
              <w:szCs w:val="20"/>
            </w:rPr>
            <w:t xml:space="preserve"> </w:t>
          </w:r>
          <w:r w:rsidRPr="009251CD">
            <w:rPr>
              <w:rFonts w:ascii="Times New Roman" w:hAnsi="Times New Roman"/>
              <w:i/>
              <w:w w:val="80"/>
              <w:sz w:val="20"/>
              <w:szCs w:val="20"/>
            </w:rPr>
            <w:t>a</w:t>
          </w:r>
          <w:r w:rsidRPr="009251CD">
            <w:rPr>
              <w:rFonts w:ascii="Times New Roman" w:hAnsi="Times New Roman"/>
              <w:i/>
              <w:spacing w:val="10"/>
              <w:w w:val="80"/>
              <w:sz w:val="20"/>
              <w:szCs w:val="20"/>
            </w:rPr>
            <w:t xml:space="preserve"> </w:t>
          </w:r>
          <w:r w:rsidRPr="009251CD">
            <w:rPr>
              <w:rFonts w:ascii="Times New Roman" w:hAnsi="Times New Roman"/>
              <w:i/>
              <w:w w:val="80"/>
              <w:sz w:val="20"/>
              <w:szCs w:val="20"/>
            </w:rPr>
            <w:t>través</w:t>
          </w:r>
          <w:r w:rsidRPr="009251CD">
            <w:rPr>
              <w:rFonts w:ascii="Times New Roman" w:hAnsi="Times New Roman"/>
              <w:i/>
              <w:spacing w:val="12"/>
              <w:w w:val="80"/>
              <w:sz w:val="20"/>
              <w:szCs w:val="20"/>
            </w:rPr>
            <w:t xml:space="preserve"> </w:t>
          </w:r>
          <w:r w:rsidRPr="009251CD">
            <w:rPr>
              <w:rFonts w:ascii="Times New Roman" w:hAnsi="Times New Roman"/>
              <w:i/>
              <w:w w:val="80"/>
              <w:sz w:val="20"/>
              <w:szCs w:val="20"/>
            </w:rPr>
            <w:t>del</w:t>
          </w:r>
          <w:r w:rsidRPr="009251CD">
            <w:rPr>
              <w:rFonts w:ascii="Times New Roman" w:hAnsi="Times New Roman"/>
              <w:i/>
              <w:spacing w:val="12"/>
              <w:w w:val="80"/>
              <w:sz w:val="20"/>
              <w:szCs w:val="20"/>
            </w:rPr>
            <w:t xml:space="preserve"> </w:t>
          </w:r>
          <w:r w:rsidRPr="009251CD">
            <w:rPr>
              <w:rFonts w:ascii="Times New Roman" w:hAnsi="Times New Roman"/>
              <w:i/>
              <w:w w:val="80"/>
              <w:sz w:val="20"/>
              <w:szCs w:val="20"/>
            </w:rPr>
            <w:t>sistema</w:t>
          </w:r>
          <w:r w:rsidRPr="009251CD">
            <w:rPr>
              <w:rFonts w:ascii="Times New Roman" w:hAnsi="Times New Roman"/>
              <w:i/>
              <w:spacing w:val="10"/>
              <w:w w:val="80"/>
              <w:sz w:val="20"/>
              <w:szCs w:val="20"/>
            </w:rPr>
            <w:t xml:space="preserve"> </w:t>
          </w:r>
          <w:r w:rsidRPr="009251CD">
            <w:rPr>
              <w:rFonts w:ascii="Times New Roman" w:hAnsi="Times New Roman"/>
              <w:i/>
              <w:w w:val="80"/>
              <w:sz w:val="20"/>
              <w:szCs w:val="20"/>
            </w:rPr>
            <w:t>de</w:t>
          </w:r>
          <w:r w:rsidRPr="009251CD">
            <w:rPr>
              <w:rFonts w:ascii="Times New Roman" w:hAnsi="Times New Roman"/>
              <w:i/>
              <w:spacing w:val="12"/>
              <w:w w:val="80"/>
              <w:sz w:val="20"/>
              <w:szCs w:val="20"/>
            </w:rPr>
            <w:t xml:space="preserve"> </w:t>
          </w:r>
          <w:r w:rsidRPr="009251CD">
            <w:rPr>
              <w:rFonts w:ascii="Times New Roman" w:hAnsi="Times New Roman"/>
              <w:i/>
              <w:w w:val="80"/>
              <w:sz w:val="20"/>
              <w:szCs w:val="20"/>
            </w:rPr>
            <w:t>balotas,</w:t>
          </w:r>
          <w:r w:rsidRPr="009251CD">
            <w:rPr>
              <w:rFonts w:ascii="Times New Roman" w:hAnsi="Times New Roman"/>
              <w:i/>
              <w:spacing w:val="12"/>
              <w:w w:val="80"/>
              <w:sz w:val="20"/>
              <w:szCs w:val="20"/>
            </w:rPr>
            <w:t xml:space="preserve"> </w:t>
          </w:r>
          <w:r w:rsidRPr="009251CD">
            <w:rPr>
              <w:rFonts w:ascii="Times New Roman" w:hAnsi="Times New Roman"/>
              <w:i/>
              <w:w w:val="80"/>
              <w:sz w:val="20"/>
              <w:szCs w:val="20"/>
            </w:rPr>
            <w:t>el</w:t>
          </w:r>
          <w:r w:rsidRPr="009251CD">
            <w:rPr>
              <w:rFonts w:ascii="Times New Roman" w:hAnsi="Times New Roman"/>
              <w:i/>
              <w:spacing w:val="10"/>
              <w:w w:val="80"/>
              <w:sz w:val="20"/>
              <w:szCs w:val="20"/>
            </w:rPr>
            <w:t xml:space="preserve"> </w:t>
          </w:r>
          <w:r w:rsidRPr="009251CD">
            <w:rPr>
              <w:rFonts w:ascii="Times New Roman" w:hAnsi="Times New Roman"/>
              <w:i/>
              <w:w w:val="80"/>
              <w:sz w:val="20"/>
              <w:szCs w:val="20"/>
            </w:rPr>
            <w:t>cual</w:t>
          </w:r>
          <w:r w:rsidRPr="009251CD">
            <w:rPr>
              <w:rFonts w:ascii="Times New Roman" w:hAnsi="Times New Roman"/>
              <w:i/>
              <w:spacing w:val="12"/>
              <w:w w:val="80"/>
              <w:sz w:val="20"/>
              <w:szCs w:val="20"/>
            </w:rPr>
            <w:t xml:space="preserve"> </w:t>
          </w:r>
          <w:r w:rsidRPr="009251CD">
            <w:rPr>
              <w:rFonts w:ascii="Times New Roman" w:hAnsi="Times New Roman"/>
              <w:i/>
              <w:w w:val="80"/>
              <w:sz w:val="20"/>
              <w:szCs w:val="20"/>
            </w:rPr>
            <w:t>será</w:t>
          </w:r>
          <w:r w:rsidRPr="009251CD">
            <w:rPr>
              <w:rFonts w:ascii="Times New Roman" w:hAnsi="Times New Roman"/>
              <w:i/>
              <w:spacing w:val="9"/>
              <w:w w:val="80"/>
              <w:sz w:val="20"/>
              <w:szCs w:val="20"/>
            </w:rPr>
            <w:t xml:space="preserve"> </w:t>
          </w:r>
          <w:r w:rsidRPr="009251CD">
            <w:rPr>
              <w:rFonts w:ascii="Times New Roman" w:hAnsi="Times New Roman"/>
              <w:i/>
              <w:w w:val="80"/>
              <w:sz w:val="20"/>
              <w:szCs w:val="20"/>
            </w:rPr>
            <w:t>realizado</w:t>
          </w:r>
          <w:r w:rsidRPr="009251CD">
            <w:rPr>
              <w:rFonts w:ascii="Times New Roman" w:hAnsi="Times New Roman"/>
              <w:i/>
              <w:spacing w:val="1"/>
              <w:w w:val="80"/>
              <w:sz w:val="20"/>
              <w:szCs w:val="20"/>
            </w:rPr>
            <w:t xml:space="preserve"> </w:t>
          </w:r>
          <w:r w:rsidRPr="009251CD">
            <w:rPr>
              <w:rFonts w:ascii="Times New Roman" w:hAnsi="Times New Roman"/>
              <w:i/>
              <w:w w:val="85"/>
              <w:sz w:val="20"/>
              <w:szCs w:val="20"/>
            </w:rPr>
            <w:t>en presencia de los empleados candidatos a ser seleccionado como mejor empleado por nivel jerárquico y la</w:t>
          </w:r>
          <w:r w:rsidRPr="009251CD">
            <w:rPr>
              <w:rFonts w:ascii="Times New Roman" w:hAnsi="Times New Roman"/>
              <w:i/>
              <w:spacing w:val="-49"/>
              <w:w w:val="85"/>
              <w:sz w:val="20"/>
              <w:szCs w:val="20"/>
            </w:rPr>
            <w:t xml:space="preserve"> </w:t>
          </w:r>
          <w:r w:rsidRPr="009251CD">
            <w:rPr>
              <w:rFonts w:ascii="Times New Roman" w:hAnsi="Times New Roman"/>
              <w:i/>
              <w:w w:val="90"/>
              <w:sz w:val="20"/>
              <w:szCs w:val="20"/>
            </w:rPr>
            <w:t>Comisión</w:t>
          </w:r>
          <w:r w:rsidRPr="009251CD">
            <w:rPr>
              <w:rFonts w:ascii="Times New Roman" w:hAnsi="Times New Roman"/>
              <w:i/>
              <w:spacing w:val="-6"/>
              <w:w w:val="90"/>
              <w:sz w:val="20"/>
              <w:szCs w:val="20"/>
            </w:rPr>
            <w:t xml:space="preserve"> </w:t>
          </w:r>
          <w:r w:rsidRPr="009251CD">
            <w:rPr>
              <w:rFonts w:ascii="Times New Roman" w:hAnsi="Times New Roman"/>
              <w:i/>
              <w:w w:val="90"/>
              <w:sz w:val="20"/>
              <w:szCs w:val="20"/>
            </w:rPr>
            <w:t>de</w:t>
          </w:r>
          <w:r w:rsidRPr="009251CD">
            <w:rPr>
              <w:rFonts w:ascii="Times New Roman" w:hAnsi="Times New Roman"/>
              <w:i/>
              <w:spacing w:val="-7"/>
              <w:w w:val="90"/>
              <w:sz w:val="20"/>
              <w:szCs w:val="20"/>
            </w:rPr>
            <w:t xml:space="preserve"> </w:t>
          </w:r>
          <w:r w:rsidRPr="009251CD">
            <w:rPr>
              <w:rFonts w:ascii="Times New Roman" w:hAnsi="Times New Roman"/>
              <w:i/>
              <w:w w:val="90"/>
              <w:sz w:val="20"/>
              <w:szCs w:val="20"/>
            </w:rPr>
            <w:t>Personal.</w:t>
          </w:r>
        </w:p>
        <w:p w14:paraId="05A18CD5" w14:textId="77777777" w:rsidR="00B36ABA" w:rsidRPr="00D4358D" w:rsidRDefault="00B36ABA" w:rsidP="00B36ABA">
          <w:pPr>
            <w:pStyle w:val="Textoindependiente"/>
            <w:tabs>
              <w:tab w:val="left" w:pos="8505"/>
            </w:tabs>
            <w:ind w:left="284" w:right="333"/>
            <w:rPr>
              <w:i/>
              <w:sz w:val="8"/>
              <w:szCs w:val="8"/>
            </w:rPr>
          </w:pPr>
        </w:p>
        <w:p w14:paraId="21A4746A" w14:textId="77777777" w:rsidR="00B36ABA" w:rsidRPr="009251CD" w:rsidRDefault="00B36ABA" w:rsidP="00B36ABA">
          <w:pPr>
            <w:tabs>
              <w:tab w:val="left" w:pos="8505"/>
            </w:tabs>
            <w:spacing w:after="0" w:line="240" w:lineRule="auto"/>
            <w:ind w:left="284" w:right="333"/>
            <w:jc w:val="both"/>
            <w:rPr>
              <w:rFonts w:ascii="Times New Roman" w:hAnsi="Times New Roman"/>
              <w:i/>
              <w:sz w:val="20"/>
              <w:szCs w:val="20"/>
            </w:rPr>
          </w:pPr>
          <w:r w:rsidRPr="009251CD">
            <w:rPr>
              <w:rFonts w:ascii="Times New Roman" w:hAnsi="Times New Roman"/>
              <w:i/>
              <w:w w:val="80"/>
              <w:sz w:val="20"/>
              <w:szCs w:val="20"/>
            </w:rPr>
            <w:t>El servidor público que haya sido seleccionado como el mejor empleado de carrera administrativa, no podrá ser</w:t>
          </w:r>
          <w:r w:rsidRPr="009251CD">
            <w:rPr>
              <w:rFonts w:ascii="Times New Roman" w:hAnsi="Times New Roman"/>
              <w:i/>
              <w:spacing w:val="1"/>
              <w:w w:val="80"/>
              <w:sz w:val="20"/>
              <w:szCs w:val="20"/>
            </w:rPr>
            <w:t xml:space="preserve"> </w:t>
          </w:r>
          <w:r w:rsidRPr="009251CD">
            <w:rPr>
              <w:rFonts w:ascii="Times New Roman" w:hAnsi="Times New Roman"/>
              <w:i/>
              <w:w w:val="85"/>
              <w:sz w:val="20"/>
              <w:szCs w:val="20"/>
            </w:rPr>
            <w:t>seleccionado como el mejor servidor público de carrera del nivel técnico, profesional o asesor; según</w:t>
          </w:r>
          <w:r w:rsidRPr="009251CD">
            <w:rPr>
              <w:rFonts w:ascii="Times New Roman" w:hAnsi="Times New Roman"/>
              <w:i/>
              <w:spacing w:val="1"/>
              <w:w w:val="85"/>
              <w:sz w:val="20"/>
              <w:szCs w:val="20"/>
            </w:rPr>
            <w:t xml:space="preserve"> </w:t>
          </w:r>
          <w:r w:rsidRPr="009251CD">
            <w:rPr>
              <w:rFonts w:ascii="Times New Roman" w:hAnsi="Times New Roman"/>
              <w:i/>
              <w:w w:val="80"/>
              <w:sz w:val="20"/>
              <w:szCs w:val="20"/>
            </w:rPr>
            <w:t>corresponda, en cuyo caso se postulará al incentivo al servidor público que haya ocupado el segundo lugar de la</w:t>
          </w:r>
          <w:r w:rsidRPr="009251CD">
            <w:rPr>
              <w:rFonts w:ascii="Times New Roman" w:hAnsi="Times New Roman"/>
              <w:i/>
              <w:spacing w:val="1"/>
              <w:w w:val="80"/>
              <w:sz w:val="20"/>
              <w:szCs w:val="20"/>
            </w:rPr>
            <w:t xml:space="preserve"> </w:t>
          </w:r>
          <w:r w:rsidRPr="009251CD">
            <w:rPr>
              <w:rFonts w:ascii="Times New Roman" w:hAnsi="Times New Roman"/>
              <w:i/>
              <w:w w:val="85"/>
              <w:sz w:val="20"/>
              <w:szCs w:val="20"/>
            </w:rPr>
            <w:t>calificación</w:t>
          </w:r>
          <w:r w:rsidRPr="009251CD">
            <w:rPr>
              <w:rFonts w:ascii="Times New Roman" w:hAnsi="Times New Roman"/>
              <w:i/>
              <w:spacing w:val="-4"/>
              <w:w w:val="85"/>
              <w:sz w:val="20"/>
              <w:szCs w:val="20"/>
            </w:rPr>
            <w:t xml:space="preserve"> </w:t>
          </w:r>
          <w:r w:rsidRPr="009251CD">
            <w:rPr>
              <w:rFonts w:ascii="Times New Roman" w:hAnsi="Times New Roman"/>
              <w:i/>
              <w:w w:val="85"/>
              <w:sz w:val="20"/>
              <w:szCs w:val="20"/>
            </w:rPr>
            <w:t>más</w:t>
          </w:r>
          <w:r w:rsidRPr="009251CD">
            <w:rPr>
              <w:rFonts w:ascii="Times New Roman" w:hAnsi="Times New Roman"/>
              <w:i/>
              <w:spacing w:val="-5"/>
              <w:w w:val="85"/>
              <w:sz w:val="20"/>
              <w:szCs w:val="20"/>
            </w:rPr>
            <w:t xml:space="preserve"> </w:t>
          </w:r>
          <w:r w:rsidRPr="009251CD">
            <w:rPr>
              <w:rFonts w:ascii="Times New Roman" w:hAnsi="Times New Roman"/>
              <w:i/>
              <w:w w:val="85"/>
              <w:sz w:val="20"/>
              <w:szCs w:val="20"/>
            </w:rPr>
            <w:t>alta</w:t>
          </w:r>
          <w:r w:rsidRPr="009251CD">
            <w:rPr>
              <w:rFonts w:ascii="Times New Roman" w:hAnsi="Times New Roman"/>
              <w:i/>
              <w:spacing w:val="-4"/>
              <w:w w:val="85"/>
              <w:sz w:val="20"/>
              <w:szCs w:val="20"/>
            </w:rPr>
            <w:t xml:space="preserve"> </w:t>
          </w:r>
          <w:r w:rsidRPr="009251CD">
            <w:rPr>
              <w:rFonts w:ascii="Times New Roman" w:hAnsi="Times New Roman"/>
              <w:i/>
              <w:w w:val="85"/>
              <w:sz w:val="20"/>
              <w:szCs w:val="20"/>
            </w:rPr>
            <w:t>de</w:t>
          </w:r>
          <w:r w:rsidRPr="009251CD">
            <w:rPr>
              <w:rFonts w:ascii="Times New Roman" w:hAnsi="Times New Roman"/>
              <w:i/>
              <w:spacing w:val="-5"/>
              <w:w w:val="85"/>
              <w:sz w:val="20"/>
              <w:szCs w:val="20"/>
            </w:rPr>
            <w:t xml:space="preserve"> </w:t>
          </w:r>
          <w:r w:rsidRPr="009251CD">
            <w:rPr>
              <w:rFonts w:ascii="Times New Roman" w:hAnsi="Times New Roman"/>
              <w:i/>
              <w:w w:val="85"/>
              <w:sz w:val="20"/>
              <w:szCs w:val="20"/>
            </w:rPr>
            <w:t>la</w:t>
          </w:r>
          <w:r w:rsidRPr="009251CD">
            <w:rPr>
              <w:rFonts w:ascii="Times New Roman" w:hAnsi="Times New Roman"/>
              <w:i/>
              <w:spacing w:val="-4"/>
              <w:w w:val="85"/>
              <w:sz w:val="20"/>
              <w:szCs w:val="20"/>
            </w:rPr>
            <w:t xml:space="preserve"> </w:t>
          </w:r>
          <w:r w:rsidRPr="009251CD">
            <w:rPr>
              <w:rFonts w:ascii="Times New Roman" w:hAnsi="Times New Roman"/>
              <w:i/>
              <w:w w:val="85"/>
              <w:sz w:val="20"/>
              <w:szCs w:val="20"/>
            </w:rPr>
            <w:t>evaluación</w:t>
          </w:r>
          <w:r w:rsidRPr="009251CD">
            <w:rPr>
              <w:rFonts w:ascii="Times New Roman" w:hAnsi="Times New Roman"/>
              <w:i/>
              <w:spacing w:val="-4"/>
              <w:w w:val="85"/>
              <w:sz w:val="20"/>
              <w:szCs w:val="20"/>
            </w:rPr>
            <w:t xml:space="preserve"> </w:t>
          </w:r>
          <w:r w:rsidRPr="009251CD">
            <w:rPr>
              <w:rFonts w:ascii="Times New Roman" w:hAnsi="Times New Roman"/>
              <w:i/>
              <w:w w:val="85"/>
              <w:sz w:val="20"/>
              <w:szCs w:val="20"/>
            </w:rPr>
            <w:t>del</w:t>
          </w:r>
          <w:r w:rsidRPr="009251CD">
            <w:rPr>
              <w:rFonts w:ascii="Times New Roman" w:hAnsi="Times New Roman"/>
              <w:i/>
              <w:spacing w:val="-5"/>
              <w:w w:val="85"/>
              <w:sz w:val="20"/>
              <w:szCs w:val="20"/>
            </w:rPr>
            <w:t xml:space="preserve"> </w:t>
          </w:r>
          <w:r w:rsidRPr="009251CD">
            <w:rPr>
              <w:rFonts w:ascii="Times New Roman" w:hAnsi="Times New Roman"/>
              <w:i/>
              <w:w w:val="85"/>
              <w:sz w:val="20"/>
              <w:szCs w:val="20"/>
            </w:rPr>
            <w:t>desempeño</w:t>
          </w:r>
          <w:r w:rsidRPr="009251CD">
            <w:rPr>
              <w:rFonts w:ascii="Times New Roman" w:hAnsi="Times New Roman"/>
              <w:i/>
              <w:spacing w:val="-2"/>
              <w:w w:val="85"/>
              <w:sz w:val="20"/>
              <w:szCs w:val="20"/>
            </w:rPr>
            <w:t xml:space="preserve"> </w:t>
          </w:r>
          <w:r w:rsidRPr="009251CD">
            <w:rPr>
              <w:rFonts w:ascii="Times New Roman" w:hAnsi="Times New Roman"/>
              <w:i/>
              <w:w w:val="85"/>
              <w:sz w:val="20"/>
              <w:szCs w:val="20"/>
            </w:rPr>
            <w:t>laboral.</w:t>
          </w:r>
          <w:r w:rsidRPr="009251CD">
            <w:rPr>
              <w:rFonts w:ascii="Times New Roman" w:hAnsi="Times New Roman"/>
              <w:i/>
              <w:spacing w:val="-3"/>
              <w:w w:val="85"/>
              <w:sz w:val="20"/>
              <w:szCs w:val="20"/>
            </w:rPr>
            <w:t xml:space="preserve"> </w:t>
          </w:r>
          <w:r w:rsidRPr="009251CD">
            <w:rPr>
              <w:rFonts w:ascii="Times New Roman" w:hAnsi="Times New Roman"/>
              <w:i/>
              <w:w w:val="85"/>
              <w:sz w:val="20"/>
              <w:szCs w:val="20"/>
            </w:rPr>
            <w:t>(…)”</w:t>
          </w:r>
        </w:p>
        <w:p w14:paraId="3D12C05A" w14:textId="77777777" w:rsidR="00B36ABA" w:rsidRPr="00D4358D" w:rsidRDefault="00B36ABA" w:rsidP="00B36ABA">
          <w:pPr>
            <w:spacing w:after="0" w:line="240" w:lineRule="auto"/>
            <w:jc w:val="both"/>
            <w:rPr>
              <w:rFonts w:ascii="Times New Roman" w:hAnsi="Times New Roman"/>
              <w:sz w:val="8"/>
              <w:szCs w:val="8"/>
              <w:lang w:val="es-MX"/>
            </w:rPr>
          </w:pPr>
        </w:p>
        <w:p w14:paraId="136A1F3B" w14:textId="77777777" w:rsidR="00B36ABA" w:rsidRPr="001A2BE3" w:rsidRDefault="00B36ABA" w:rsidP="00B36ABA">
          <w:pPr>
            <w:spacing w:after="0" w:line="240" w:lineRule="auto"/>
            <w:jc w:val="both"/>
            <w:rPr>
              <w:rFonts w:ascii="Times New Roman" w:hAnsi="Times New Roman"/>
              <w:color w:val="000000"/>
              <w:shd w:val="clear" w:color="auto" w:fill="FFFFFF"/>
            </w:rPr>
          </w:pPr>
          <w:r w:rsidRPr="001A2BE3">
            <w:rPr>
              <w:rFonts w:ascii="Times New Roman" w:hAnsi="Times New Roman"/>
              <w:sz w:val="24"/>
              <w:szCs w:val="24"/>
              <w:lang w:val="es-MX"/>
            </w:rPr>
            <w:t xml:space="preserve">La cuantía de las remuneraciones del personal directivo de la Agencia como los sueldos, Prima Técnica No Factor Salarial y Prima Alta Dirección No Factor Salaria Semestral se rigen por lo establecido en el decreto 0905 de 2023: </w:t>
          </w:r>
          <w:r w:rsidRPr="001A2BE3">
            <w:rPr>
              <w:rFonts w:ascii="Times New Roman" w:hAnsi="Times New Roman"/>
              <w:i/>
              <w:sz w:val="24"/>
              <w:szCs w:val="24"/>
              <w:lang w:val="es-MX"/>
            </w:rPr>
            <w:t>“</w:t>
          </w:r>
          <w:r w:rsidRPr="001A2BE3">
            <w:rPr>
              <w:rFonts w:ascii="Times New Roman" w:hAnsi="Times New Roman"/>
              <w:i/>
              <w:color w:val="000000"/>
              <w:sz w:val="24"/>
              <w:szCs w:val="24"/>
              <w:shd w:val="clear" w:color="auto" w:fill="FFFFFF"/>
            </w:rPr>
            <w:t>Por el cual se fijan las remuneraciones de los empleos que sean desempeñados por empleados públicos de la Rama Ejecutiva, Corporaciones Autónomas Regionales y de Desarrollo Sostenible, y se dictan otras disposiciones.”</w:t>
          </w:r>
        </w:p>
        <w:p w14:paraId="693CC870" w14:textId="77777777" w:rsidR="00B36ABA" w:rsidRPr="00D4358D" w:rsidRDefault="00B36ABA" w:rsidP="00B36ABA">
          <w:pPr>
            <w:spacing w:after="0" w:line="240" w:lineRule="auto"/>
            <w:jc w:val="both"/>
            <w:rPr>
              <w:rFonts w:ascii="Times New Roman" w:hAnsi="Times New Roman"/>
              <w:color w:val="000000"/>
              <w:sz w:val="12"/>
              <w:szCs w:val="12"/>
              <w:shd w:val="clear" w:color="auto" w:fill="FFFFFF"/>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ayout w:type="fixed"/>
            <w:tblCellMar>
              <w:left w:w="70" w:type="dxa"/>
              <w:right w:w="70" w:type="dxa"/>
            </w:tblCellMar>
            <w:tblLook w:val="04A0" w:firstRow="1" w:lastRow="0" w:firstColumn="1" w:lastColumn="0" w:noHBand="0" w:noVBand="1"/>
          </w:tblPr>
          <w:tblGrid>
            <w:gridCol w:w="2972"/>
            <w:gridCol w:w="4537"/>
            <w:gridCol w:w="1460"/>
          </w:tblGrid>
          <w:tr w:rsidR="00B36ABA" w:rsidRPr="00B22200" w14:paraId="2793BEFC" w14:textId="77777777" w:rsidTr="00D62C56">
            <w:trPr>
              <w:trHeight w:val="340"/>
              <w:tblHeader/>
              <w:jc w:val="center"/>
            </w:trPr>
            <w:tc>
              <w:tcPr>
                <w:tcW w:w="1657" w:type="pct"/>
                <w:shd w:val="clear" w:color="auto" w:fill="auto"/>
                <w:noWrap/>
                <w:vAlign w:val="center"/>
                <w:hideMark/>
              </w:tcPr>
              <w:p w14:paraId="5BE25EC1" w14:textId="77777777" w:rsidR="00B36ABA" w:rsidRPr="00B22200" w:rsidRDefault="00B36ABA">
                <w:pPr>
                  <w:spacing w:after="0" w:line="240" w:lineRule="auto"/>
                  <w:jc w:val="center"/>
                  <w:rPr>
                    <w:rFonts w:ascii="Times New Roman" w:eastAsia="Times New Roman" w:hAnsi="Times New Roman"/>
                    <w:b/>
                    <w:color w:val="000000"/>
                    <w:sz w:val="14"/>
                    <w:szCs w:val="14"/>
                    <w:lang w:eastAsia="es-CO"/>
                  </w:rPr>
                </w:pPr>
                <w:r w:rsidRPr="00B22200">
                  <w:rPr>
                    <w:rFonts w:ascii="Times New Roman" w:eastAsia="Times New Roman" w:hAnsi="Times New Roman"/>
                    <w:b/>
                    <w:color w:val="000000"/>
                    <w:sz w:val="14"/>
                    <w:szCs w:val="14"/>
                    <w:lang w:eastAsia="es-CO"/>
                  </w:rPr>
                  <w:t>CARGO</w:t>
                </w:r>
              </w:p>
            </w:tc>
            <w:tc>
              <w:tcPr>
                <w:tcW w:w="2528" w:type="pct"/>
                <w:shd w:val="clear" w:color="auto" w:fill="auto"/>
                <w:noWrap/>
                <w:vAlign w:val="center"/>
                <w:hideMark/>
              </w:tcPr>
              <w:p w14:paraId="165A0BCD" w14:textId="77777777" w:rsidR="00B36ABA" w:rsidRPr="00B22200" w:rsidRDefault="00B36ABA">
                <w:pPr>
                  <w:spacing w:after="0" w:line="240" w:lineRule="auto"/>
                  <w:jc w:val="center"/>
                  <w:rPr>
                    <w:rFonts w:ascii="Times New Roman" w:eastAsia="Times New Roman" w:hAnsi="Times New Roman"/>
                    <w:b/>
                    <w:color w:val="000000"/>
                    <w:sz w:val="14"/>
                    <w:szCs w:val="14"/>
                    <w:lang w:eastAsia="es-CO"/>
                  </w:rPr>
                </w:pPr>
                <w:r w:rsidRPr="00B22200">
                  <w:rPr>
                    <w:rFonts w:ascii="Times New Roman" w:eastAsia="Times New Roman" w:hAnsi="Times New Roman"/>
                    <w:b/>
                    <w:color w:val="000000"/>
                    <w:sz w:val="14"/>
                    <w:szCs w:val="14"/>
                    <w:lang w:eastAsia="es-CO"/>
                  </w:rPr>
                  <w:t>NATURALEZA</w:t>
                </w:r>
              </w:p>
            </w:tc>
            <w:tc>
              <w:tcPr>
                <w:tcW w:w="814" w:type="pct"/>
                <w:shd w:val="clear" w:color="auto" w:fill="auto"/>
                <w:noWrap/>
                <w:vAlign w:val="center"/>
                <w:hideMark/>
              </w:tcPr>
              <w:p w14:paraId="17836A5A" w14:textId="77777777" w:rsidR="00B36ABA" w:rsidRPr="00B22200" w:rsidRDefault="00B36ABA">
                <w:pPr>
                  <w:spacing w:after="0" w:line="240" w:lineRule="auto"/>
                  <w:jc w:val="center"/>
                  <w:rPr>
                    <w:rFonts w:ascii="Times New Roman" w:eastAsia="Times New Roman" w:hAnsi="Times New Roman"/>
                    <w:b/>
                    <w:color w:val="000000"/>
                    <w:sz w:val="14"/>
                    <w:szCs w:val="14"/>
                    <w:lang w:eastAsia="es-CO"/>
                  </w:rPr>
                </w:pPr>
                <w:r w:rsidRPr="00B22200">
                  <w:rPr>
                    <w:rFonts w:ascii="Times New Roman" w:eastAsia="Times New Roman" w:hAnsi="Times New Roman"/>
                    <w:b/>
                    <w:color w:val="000000"/>
                    <w:sz w:val="14"/>
                    <w:szCs w:val="14"/>
                    <w:lang w:eastAsia="es-CO"/>
                  </w:rPr>
                  <w:t>CUANTÍA</w:t>
                </w:r>
              </w:p>
            </w:tc>
          </w:tr>
          <w:tr w:rsidR="00B36ABA" w:rsidRPr="00B22200" w14:paraId="458854B8" w14:textId="77777777" w:rsidTr="00D62C56">
            <w:trPr>
              <w:trHeight w:val="340"/>
              <w:jc w:val="center"/>
            </w:trPr>
            <w:tc>
              <w:tcPr>
                <w:tcW w:w="1657" w:type="pct"/>
                <w:vMerge w:val="restart"/>
                <w:shd w:val="clear" w:color="auto" w:fill="auto"/>
                <w:noWrap/>
                <w:vAlign w:val="center"/>
                <w:hideMark/>
              </w:tcPr>
              <w:p w14:paraId="6A129D8A" w14:textId="77777777" w:rsidR="00B36ABA" w:rsidRPr="00B22200" w:rsidRDefault="00B36ABA">
                <w:pPr>
                  <w:spacing w:after="0" w:line="240" w:lineRule="auto"/>
                  <w:rPr>
                    <w:rFonts w:ascii="Times New Roman" w:eastAsia="Times New Roman" w:hAnsi="Times New Roman"/>
                    <w:color w:val="000000"/>
                    <w:sz w:val="14"/>
                    <w:szCs w:val="14"/>
                    <w:lang w:eastAsia="es-CO"/>
                  </w:rPr>
                </w:pPr>
                <w:r w:rsidRPr="00B22200">
                  <w:rPr>
                    <w:rFonts w:ascii="Times New Roman" w:eastAsia="Times New Roman" w:hAnsi="Times New Roman"/>
                    <w:color w:val="000000"/>
                    <w:sz w:val="14"/>
                    <w:szCs w:val="14"/>
                    <w:lang w:eastAsia="es-CO"/>
                  </w:rPr>
                  <w:t>Presidente De La Agencia E1 - 07</w:t>
                </w:r>
              </w:p>
            </w:tc>
            <w:tc>
              <w:tcPr>
                <w:tcW w:w="2528" w:type="pct"/>
                <w:shd w:val="clear" w:color="auto" w:fill="auto"/>
                <w:noWrap/>
                <w:vAlign w:val="center"/>
                <w:hideMark/>
              </w:tcPr>
              <w:p w14:paraId="6732A8B9" w14:textId="77777777" w:rsidR="00B36ABA" w:rsidRPr="00B22200" w:rsidRDefault="00B36ABA">
                <w:pPr>
                  <w:spacing w:after="0" w:line="240" w:lineRule="auto"/>
                  <w:rPr>
                    <w:rFonts w:ascii="Times New Roman" w:eastAsia="Times New Roman" w:hAnsi="Times New Roman"/>
                    <w:color w:val="000000"/>
                    <w:sz w:val="14"/>
                    <w:szCs w:val="14"/>
                    <w:lang w:eastAsia="es-CO"/>
                  </w:rPr>
                </w:pPr>
                <w:r w:rsidRPr="00B22200">
                  <w:rPr>
                    <w:rFonts w:ascii="Times New Roman" w:eastAsia="Times New Roman" w:hAnsi="Times New Roman"/>
                    <w:color w:val="000000"/>
                    <w:sz w:val="14"/>
                    <w:szCs w:val="14"/>
                    <w:lang w:eastAsia="es-CO"/>
                  </w:rPr>
                  <w:t>Sueldo Básico</w:t>
                </w:r>
              </w:p>
            </w:tc>
            <w:tc>
              <w:tcPr>
                <w:tcW w:w="814" w:type="pct"/>
                <w:shd w:val="clear" w:color="auto" w:fill="auto"/>
                <w:noWrap/>
                <w:vAlign w:val="center"/>
              </w:tcPr>
              <w:p w14:paraId="1D7FA923" w14:textId="77777777" w:rsidR="00B36ABA" w:rsidRPr="00B22200" w:rsidRDefault="00B36ABA">
                <w:pPr>
                  <w:spacing w:after="0" w:line="240" w:lineRule="auto"/>
                  <w:jc w:val="right"/>
                  <w:rPr>
                    <w:rFonts w:ascii="Times New Roman" w:eastAsia="Times New Roman" w:hAnsi="Times New Roman"/>
                    <w:color w:val="000000"/>
                    <w:sz w:val="14"/>
                    <w:szCs w:val="14"/>
                    <w:lang w:eastAsia="es-CO"/>
                  </w:rPr>
                </w:pPr>
                <w:r w:rsidRPr="00B22200">
                  <w:rPr>
                    <w:rFonts w:ascii="Times New Roman" w:eastAsia="Times New Roman" w:hAnsi="Times New Roman"/>
                    <w:color w:val="000000"/>
                    <w:sz w:val="14"/>
                    <w:szCs w:val="14"/>
                    <w:lang w:eastAsia="es-CO"/>
                  </w:rPr>
                  <w:t>24.238.741</w:t>
                </w:r>
              </w:p>
            </w:tc>
          </w:tr>
          <w:tr w:rsidR="00B36ABA" w:rsidRPr="00B22200" w14:paraId="7B9C7186" w14:textId="77777777" w:rsidTr="00D62C56">
            <w:trPr>
              <w:trHeight w:val="340"/>
              <w:jc w:val="center"/>
            </w:trPr>
            <w:tc>
              <w:tcPr>
                <w:tcW w:w="1657" w:type="pct"/>
                <w:vMerge/>
                <w:vAlign w:val="center"/>
                <w:hideMark/>
              </w:tcPr>
              <w:p w14:paraId="1A26E8BE" w14:textId="77777777" w:rsidR="00B36ABA" w:rsidRPr="00B22200" w:rsidRDefault="00B36ABA">
                <w:pPr>
                  <w:spacing w:after="0" w:line="240" w:lineRule="auto"/>
                  <w:rPr>
                    <w:rFonts w:ascii="Times New Roman" w:eastAsia="Times New Roman" w:hAnsi="Times New Roman"/>
                    <w:color w:val="000000"/>
                    <w:sz w:val="14"/>
                    <w:szCs w:val="14"/>
                    <w:lang w:eastAsia="es-CO"/>
                  </w:rPr>
                </w:pPr>
              </w:p>
            </w:tc>
            <w:tc>
              <w:tcPr>
                <w:tcW w:w="2528" w:type="pct"/>
                <w:shd w:val="clear" w:color="auto" w:fill="auto"/>
                <w:noWrap/>
                <w:vAlign w:val="center"/>
                <w:hideMark/>
              </w:tcPr>
              <w:p w14:paraId="61BB88F4" w14:textId="77777777" w:rsidR="00B36ABA" w:rsidRPr="00B22200" w:rsidRDefault="00B36ABA">
                <w:pPr>
                  <w:spacing w:after="0" w:line="240" w:lineRule="auto"/>
                  <w:rPr>
                    <w:rFonts w:ascii="Times New Roman" w:eastAsia="Times New Roman" w:hAnsi="Times New Roman"/>
                    <w:color w:val="000000"/>
                    <w:sz w:val="14"/>
                    <w:szCs w:val="14"/>
                    <w:lang w:eastAsia="es-CO"/>
                  </w:rPr>
                </w:pPr>
                <w:r w:rsidRPr="00B22200">
                  <w:rPr>
                    <w:rFonts w:ascii="Times New Roman" w:eastAsia="Times New Roman" w:hAnsi="Times New Roman"/>
                    <w:color w:val="000000"/>
                    <w:sz w:val="14"/>
                    <w:szCs w:val="14"/>
                    <w:lang w:eastAsia="es-CO"/>
                  </w:rPr>
                  <w:t>Prima Técnica Factor Salarial</w:t>
                </w:r>
              </w:p>
            </w:tc>
            <w:tc>
              <w:tcPr>
                <w:tcW w:w="814" w:type="pct"/>
                <w:shd w:val="clear" w:color="auto" w:fill="auto"/>
                <w:noWrap/>
              </w:tcPr>
              <w:p w14:paraId="7281E0DD" w14:textId="0317A0FB" w:rsidR="00B36ABA" w:rsidRPr="00B22200" w:rsidRDefault="00B36ABA" w:rsidP="00D62C56">
                <w:pPr>
                  <w:spacing w:after="0" w:line="240" w:lineRule="auto"/>
                  <w:ind w:left="708" w:hanging="708"/>
                  <w:jc w:val="right"/>
                  <w:rPr>
                    <w:rFonts w:ascii="Times New Roman" w:eastAsia="Times New Roman" w:hAnsi="Times New Roman"/>
                    <w:color w:val="000000"/>
                    <w:sz w:val="14"/>
                    <w:szCs w:val="14"/>
                    <w:lang w:eastAsia="es-CO"/>
                  </w:rPr>
                </w:pPr>
                <w:r w:rsidRPr="00B22200">
                  <w:rPr>
                    <w:rFonts w:ascii="Times New Roman" w:eastAsia="Times New Roman" w:hAnsi="Times New Roman"/>
                    <w:color w:val="000000"/>
                    <w:sz w:val="14"/>
                    <w:szCs w:val="14"/>
                    <w:lang w:eastAsia="es-CO"/>
                  </w:rPr>
                  <w:t>14.300.857</w:t>
                </w:r>
              </w:p>
            </w:tc>
          </w:tr>
          <w:tr w:rsidR="00B36ABA" w:rsidRPr="00B22200" w14:paraId="42495D35" w14:textId="77777777" w:rsidTr="00D62C56">
            <w:trPr>
              <w:trHeight w:val="340"/>
              <w:jc w:val="center"/>
            </w:trPr>
            <w:tc>
              <w:tcPr>
                <w:tcW w:w="1657" w:type="pct"/>
                <w:vMerge/>
                <w:vAlign w:val="center"/>
                <w:hideMark/>
              </w:tcPr>
              <w:p w14:paraId="3BBC099B" w14:textId="77777777" w:rsidR="00B36ABA" w:rsidRPr="00B22200" w:rsidRDefault="00B36ABA">
                <w:pPr>
                  <w:spacing w:after="0" w:line="240" w:lineRule="auto"/>
                  <w:rPr>
                    <w:rFonts w:ascii="Times New Roman" w:eastAsia="Times New Roman" w:hAnsi="Times New Roman"/>
                    <w:color w:val="000000"/>
                    <w:sz w:val="14"/>
                    <w:szCs w:val="14"/>
                    <w:lang w:eastAsia="es-CO"/>
                  </w:rPr>
                </w:pPr>
              </w:p>
            </w:tc>
            <w:tc>
              <w:tcPr>
                <w:tcW w:w="2528" w:type="pct"/>
                <w:shd w:val="clear" w:color="auto" w:fill="auto"/>
                <w:vAlign w:val="center"/>
                <w:hideMark/>
              </w:tcPr>
              <w:p w14:paraId="37C956C0" w14:textId="77777777" w:rsidR="00B36ABA" w:rsidRPr="00B22200" w:rsidRDefault="00B36ABA">
                <w:pPr>
                  <w:spacing w:after="0" w:line="240" w:lineRule="auto"/>
                  <w:rPr>
                    <w:rFonts w:ascii="Times New Roman" w:eastAsia="Times New Roman" w:hAnsi="Times New Roman"/>
                    <w:color w:val="000000"/>
                    <w:sz w:val="14"/>
                    <w:szCs w:val="14"/>
                    <w:lang w:eastAsia="es-CO"/>
                  </w:rPr>
                </w:pPr>
                <w:r w:rsidRPr="00B22200">
                  <w:rPr>
                    <w:rFonts w:ascii="Times New Roman" w:eastAsia="Times New Roman" w:hAnsi="Times New Roman"/>
                    <w:color w:val="000000"/>
                    <w:sz w:val="14"/>
                    <w:szCs w:val="14"/>
                    <w:lang w:eastAsia="es-CO"/>
                  </w:rPr>
                  <w:t xml:space="preserve">Prima Alta Dirección No Factor Salarial Semestral </w:t>
                </w:r>
              </w:p>
            </w:tc>
            <w:tc>
              <w:tcPr>
                <w:tcW w:w="814" w:type="pct"/>
                <w:shd w:val="clear" w:color="auto" w:fill="auto"/>
                <w:noWrap/>
              </w:tcPr>
              <w:p w14:paraId="4211DC9D" w14:textId="5E3DE30D" w:rsidR="00B36ABA" w:rsidRPr="00B22200" w:rsidRDefault="00B36ABA" w:rsidP="00D62C56">
                <w:pPr>
                  <w:spacing w:after="0" w:line="240" w:lineRule="auto"/>
                  <w:jc w:val="right"/>
                  <w:rPr>
                    <w:rFonts w:ascii="Times New Roman" w:eastAsia="Times New Roman" w:hAnsi="Times New Roman"/>
                    <w:color w:val="000000"/>
                    <w:sz w:val="14"/>
                    <w:szCs w:val="14"/>
                    <w:lang w:eastAsia="es-CO"/>
                  </w:rPr>
                </w:pPr>
                <w:r w:rsidRPr="00B22200">
                  <w:rPr>
                    <w:rFonts w:ascii="Times New Roman" w:eastAsia="Times New Roman" w:hAnsi="Times New Roman"/>
                    <w:color w:val="000000"/>
                    <w:sz w:val="14"/>
                    <w:szCs w:val="14"/>
                    <w:lang w:eastAsia="es-CO"/>
                  </w:rPr>
                  <w:t>77.079.196</w:t>
                </w:r>
              </w:p>
            </w:tc>
          </w:tr>
          <w:tr w:rsidR="00B36ABA" w:rsidRPr="00B22200" w14:paraId="6D119803" w14:textId="77777777" w:rsidTr="00D62C56">
            <w:trPr>
              <w:trHeight w:val="340"/>
              <w:jc w:val="center"/>
            </w:trPr>
            <w:tc>
              <w:tcPr>
                <w:tcW w:w="1657" w:type="pct"/>
                <w:vMerge w:val="restart"/>
                <w:shd w:val="clear" w:color="auto" w:fill="auto"/>
                <w:noWrap/>
                <w:vAlign w:val="center"/>
                <w:hideMark/>
              </w:tcPr>
              <w:p w14:paraId="0EEE92AF" w14:textId="77777777" w:rsidR="00D62C56" w:rsidRPr="00B22200" w:rsidRDefault="00B36ABA">
                <w:pPr>
                  <w:spacing w:after="0" w:line="240" w:lineRule="auto"/>
                  <w:rPr>
                    <w:rFonts w:ascii="Times New Roman" w:eastAsia="Times New Roman" w:hAnsi="Times New Roman"/>
                    <w:color w:val="000000"/>
                    <w:sz w:val="14"/>
                    <w:szCs w:val="14"/>
                    <w:lang w:eastAsia="es-CO"/>
                  </w:rPr>
                </w:pPr>
                <w:r w:rsidRPr="00B22200">
                  <w:rPr>
                    <w:rFonts w:ascii="Times New Roman" w:eastAsia="Times New Roman" w:hAnsi="Times New Roman"/>
                    <w:color w:val="000000"/>
                    <w:sz w:val="14"/>
                    <w:szCs w:val="14"/>
                    <w:lang w:eastAsia="es-CO"/>
                  </w:rPr>
                  <w:t xml:space="preserve">Vicepresidente De Planeación, Riesgos </w:t>
                </w:r>
              </w:p>
              <w:p w14:paraId="1389A2DB" w14:textId="32D7769F" w:rsidR="00B36ABA" w:rsidRPr="00B22200" w:rsidRDefault="00B36ABA">
                <w:pPr>
                  <w:spacing w:after="0" w:line="240" w:lineRule="auto"/>
                  <w:rPr>
                    <w:rFonts w:ascii="Times New Roman" w:eastAsia="Times New Roman" w:hAnsi="Times New Roman"/>
                    <w:color w:val="000000"/>
                    <w:sz w:val="14"/>
                    <w:szCs w:val="14"/>
                    <w:lang w:eastAsia="es-CO"/>
                  </w:rPr>
                </w:pPr>
                <w:r w:rsidRPr="00B22200">
                  <w:rPr>
                    <w:rFonts w:ascii="Times New Roman" w:eastAsia="Times New Roman" w:hAnsi="Times New Roman"/>
                    <w:color w:val="000000"/>
                    <w:sz w:val="14"/>
                    <w:szCs w:val="14"/>
                    <w:lang w:eastAsia="es-CO"/>
                  </w:rPr>
                  <w:t>Y Entorno E2 -05</w:t>
                </w:r>
              </w:p>
            </w:tc>
            <w:tc>
              <w:tcPr>
                <w:tcW w:w="2528" w:type="pct"/>
                <w:shd w:val="clear" w:color="auto" w:fill="auto"/>
                <w:noWrap/>
                <w:vAlign w:val="center"/>
                <w:hideMark/>
              </w:tcPr>
              <w:p w14:paraId="223974EA" w14:textId="77777777" w:rsidR="00B36ABA" w:rsidRPr="00B22200" w:rsidRDefault="00B36ABA">
                <w:pPr>
                  <w:spacing w:after="0" w:line="240" w:lineRule="auto"/>
                  <w:rPr>
                    <w:rFonts w:ascii="Times New Roman" w:eastAsia="Times New Roman" w:hAnsi="Times New Roman"/>
                    <w:color w:val="000000"/>
                    <w:sz w:val="14"/>
                    <w:szCs w:val="14"/>
                    <w:lang w:eastAsia="es-CO"/>
                  </w:rPr>
                </w:pPr>
                <w:r w:rsidRPr="00B22200">
                  <w:rPr>
                    <w:rFonts w:ascii="Times New Roman" w:eastAsia="Times New Roman" w:hAnsi="Times New Roman"/>
                    <w:color w:val="000000"/>
                    <w:sz w:val="14"/>
                    <w:szCs w:val="14"/>
                    <w:lang w:eastAsia="es-CO"/>
                  </w:rPr>
                  <w:t>Sueldo Básico</w:t>
                </w:r>
              </w:p>
            </w:tc>
            <w:tc>
              <w:tcPr>
                <w:tcW w:w="814" w:type="pct"/>
                <w:shd w:val="clear" w:color="auto" w:fill="auto"/>
                <w:noWrap/>
                <w:vAlign w:val="center"/>
              </w:tcPr>
              <w:p w14:paraId="1147082E" w14:textId="77777777" w:rsidR="00B36ABA" w:rsidRPr="00B22200" w:rsidRDefault="00B36ABA">
                <w:pPr>
                  <w:spacing w:after="0" w:line="240" w:lineRule="auto"/>
                  <w:jc w:val="right"/>
                  <w:rPr>
                    <w:rFonts w:ascii="Times New Roman" w:eastAsia="Times New Roman" w:hAnsi="Times New Roman"/>
                    <w:color w:val="000000"/>
                    <w:sz w:val="14"/>
                    <w:szCs w:val="14"/>
                    <w:lang w:eastAsia="es-CO"/>
                  </w:rPr>
                </w:pPr>
                <w:r w:rsidRPr="00B22200">
                  <w:rPr>
                    <w:rFonts w:ascii="Times New Roman" w:eastAsia="Times New Roman" w:hAnsi="Times New Roman"/>
                    <w:color w:val="000000"/>
                    <w:sz w:val="14"/>
                    <w:szCs w:val="14"/>
                    <w:lang w:eastAsia="es-CO"/>
                  </w:rPr>
                  <w:t>20.684.477</w:t>
                </w:r>
              </w:p>
            </w:tc>
          </w:tr>
          <w:tr w:rsidR="00B36ABA" w:rsidRPr="00B22200" w14:paraId="0FFCCD61" w14:textId="77777777" w:rsidTr="00D62C56">
            <w:trPr>
              <w:trHeight w:val="340"/>
              <w:jc w:val="center"/>
            </w:trPr>
            <w:tc>
              <w:tcPr>
                <w:tcW w:w="1657" w:type="pct"/>
                <w:vMerge/>
                <w:vAlign w:val="center"/>
                <w:hideMark/>
              </w:tcPr>
              <w:p w14:paraId="570199FC" w14:textId="77777777" w:rsidR="00B36ABA" w:rsidRPr="00B22200" w:rsidRDefault="00B36ABA">
                <w:pPr>
                  <w:spacing w:after="0" w:line="240" w:lineRule="auto"/>
                  <w:rPr>
                    <w:rFonts w:ascii="Times New Roman" w:eastAsia="Times New Roman" w:hAnsi="Times New Roman"/>
                    <w:color w:val="000000"/>
                    <w:sz w:val="14"/>
                    <w:szCs w:val="14"/>
                    <w:lang w:eastAsia="es-CO"/>
                  </w:rPr>
                </w:pPr>
              </w:p>
            </w:tc>
            <w:tc>
              <w:tcPr>
                <w:tcW w:w="2528" w:type="pct"/>
                <w:shd w:val="clear" w:color="auto" w:fill="auto"/>
                <w:noWrap/>
                <w:vAlign w:val="center"/>
                <w:hideMark/>
              </w:tcPr>
              <w:p w14:paraId="737D2BCA" w14:textId="77777777" w:rsidR="00B36ABA" w:rsidRPr="00B22200" w:rsidRDefault="00B36ABA">
                <w:pPr>
                  <w:spacing w:after="0" w:line="240" w:lineRule="auto"/>
                  <w:rPr>
                    <w:rFonts w:ascii="Times New Roman" w:eastAsia="Times New Roman" w:hAnsi="Times New Roman"/>
                    <w:color w:val="000000"/>
                    <w:sz w:val="14"/>
                    <w:szCs w:val="14"/>
                    <w:lang w:eastAsia="es-CO"/>
                  </w:rPr>
                </w:pPr>
                <w:r w:rsidRPr="00B22200">
                  <w:rPr>
                    <w:rFonts w:ascii="Times New Roman" w:eastAsia="Times New Roman" w:hAnsi="Times New Roman"/>
                    <w:color w:val="000000"/>
                    <w:sz w:val="14"/>
                    <w:szCs w:val="14"/>
                    <w:lang w:eastAsia="es-CO"/>
                  </w:rPr>
                  <w:t>Prima Técnica Factor Salarial</w:t>
                </w:r>
              </w:p>
            </w:tc>
            <w:tc>
              <w:tcPr>
                <w:tcW w:w="814" w:type="pct"/>
                <w:shd w:val="clear" w:color="auto" w:fill="auto"/>
                <w:noWrap/>
                <w:vAlign w:val="center"/>
              </w:tcPr>
              <w:p w14:paraId="2405DD05" w14:textId="77777777" w:rsidR="00B36ABA" w:rsidRPr="00B22200" w:rsidRDefault="00B36ABA">
                <w:pPr>
                  <w:spacing w:after="0" w:line="240" w:lineRule="auto"/>
                  <w:jc w:val="right"/>
                  <w:rPr>
                    <w:rFonts w:ascii="Times New Roman" w:eastAsia="Times New Roman" w:hAnsi="Times New Roman"/>
                    <w:color w:val="000000"/>
                    <w:sz w:val="14"/>
                    <w:szCs w:val="14"/>
                    <w:lang w:eastAsia="es-CO"/>
                  </w:rPr>
                </w:pPr>
                <w:r w:rsidRPr="00B22200">
                  <w:rPr>
                    <w:rFonts w:ascii="Times New Roman" w:eastAsia="Times New Roman" w:hAnsi="Times New Roman"/>
                    <w:color w:val="000000"/>
                    <w:sz w:val="14"/>
                    <w:szCs w:val="14"/>
                    <w:lang w:eastAsia="es-CO"/>
                  </w:rPr>
                  <w:t>10.342.238</w:t>
                </w:r>
              </w:p>
            </w:tc>
          </w:tr>
          <w:tr w:rsidR="00B36ABA" w:rsidRPr="00B22200" w14:paraId="7B8EE4ED" w14:textId="77777777" w:rsidTr="00D62C56">
            <w:trPr>
              <w:trHeight w:val="340"/>
              <w:jc w:val="center"/>
            </w:trPr>
            <w:tc>
              <w:tcPr>
                <w:tcW w:w="1657" w:type="pct"/>
                <w:vMerge w:val="restart"/>
                <w:shd w:val="clear" w:color="auto" w:fill="auto"/>
                <w:noWrap/>
                <w:vAlign w:val="center"/>
                <w:hideMark/>
              </w:tcPr>
              <w:p w14:paraId="705FBD6E" w14:textId="77777777" w:rsidR="00B36ABA" w:rsidRPr="00B22200" w:rsidRDefault="00B36ABA">
                <w:pPr>
                  <w:spacing w:after="0" w:line="240" w:lineRule="auto"/>
                  <w:rPr>
                    <w:rFonts w:ascii="Times New Roman" w:eastAsia="Times New Roman" w:hAnsi="Times New Roman"/>
                    <w:color w:val="000000"/>
                    <w:sz w:val="14"/>
                    <w:szCs w:val="14"/>
                    <w:lang w:eastAsia="es-CO"/>
                  </w:rPr>
                </w:pPr>
                <w:r w:rsidRPr="00B22200">
                  <w:rPr>
                    <w:rFonts w:ascii="Times New Roman" w:eastAsia="Times New Roman" w:hAnsi="Times New Roman"/>
                    <w:color w:val="000000"/>
                    <w:sz w:val="14"/>
                    <w:szCs w:val="14"/>
                    <w:lang w:eastAsia="es-CO"/>
                  </w:rPr>
                  <w:t>Vicepresidente De Estructuración E2 -05</w:t>
                </w:r>
              </w:p>
            </w:tc>
            <w:tc>
              <w:tcPr>
                <w:tcW w:w="2528" w:type="pct"/>
                <w:shd w:val="clear" w:color="auto" w:fill="auto"/>
                <w:noWrap/>
                <w:vAlign w:val="center"/>
                <w:hideMark/>
              </w:tcPr>
              <w:p w14:paraId="23F311D5" w14:textId="77777777" w:rsidR="00B36ABA" w:rsidRPr="00B22200" w:rsidRDefault="00B36ABA">
                <w:pPr>
                  <w:spacing w:after="0" w:line="240" w:lineRule="auto"/>
                  <w:rPr>
                    <w:rFonts w:ascii="Times New Roman" w:eastAsia="Times New Roman" w:hAnsi="Times New Roman"/>
                    <w:color w:val="000000"/>
                    <w:sz w:val="14"/>
                    <w:szCs w:val="14"/>
                    <w:lang w:eastAsia="es-CO"/>
                  </w:rPr>
                </w:pPr>
                <w:r w:rsidRPr="00B22200">
                  <w:rPr>
                    <w:rFonts w:ascii="Times New Roman" w:eastAsia="Times New Roman" w:hAnsi="Times New Roman"/>
                    <w:color w:val="000000"/>
                    <w:sz w:val="14"/>
                    <w:szCs w:val="14"/>
                    <w:lang w:eastAsia="es-CO"/>
                  </w:rPr>
                  <w:t>Sueldo Básico</w:t>
                </w:r>
              </w:p>
            </w:tc>
            <w:tc>
              <w:tcPr>
                <w:tcW w:w="814" w:type="pct"/>
                <w:shd w:val="clear" w:color="auto" w:fill="auto"/>
                <w:noWrap/>
                <w:vAlign w:val="center"/>
              </w:tcPr>
              <w:p w14:paraId="3EFFEF5F" w14:textId="77777777" w:rsidR="00B36ABA" w:rsidRPr="00B22200" w:rsidRDefault="00B36ABA">
                <w:pPr>
                  <w:spacing w:after="0" w:line="240" w:lineRule="auto"/>
                  <w:jc w:val="right"/>
                  <w:rPr>
                    <w:rFonts w:ascii="Times New Roman" w:eastAsia="Times New Roman" w:hAnsi="Times New Roman"/>
                    <w:color w:val="000000"/>
                    <w:sz w:val="14"/>
                    <w:szCs w:val="14"/>
                    <w:lang w:eastAsia="es-CO"/>
                  </w:rPr>
                </w:pPr>
                <w:r w:rsidRPr="00B22200">
                  <w:rPr>
                    <w:rFonts w:ascii="Times New Roman" w:eastAsia="Times New Roman" w:hAnsi="Times New Roman"/>
                    <w:color w:val="000000"/>
                    <w:sz w:val="14"/>
                    <w:szCs w:val="14"/>
                    <w:lang w:eastAsia="es-CO"/>
                  </w:rPr>
                  <w:t>20.684.477</w:t>
                </w:r>
              </w:p>
            </w:tc>
          </w:tr>
          <w:tr w:rsidR="00B36ABA" w:rsidRPr="00B22200" w14:paraId="2F58CE4C" w14:textId="77777777" w:rsidTr="00D62C56">
            <w:trPr>
              <w:trHeight w:val="340"/>
              <w:jc w:val="center"/>
            </w:trPr>
            <w:tc>
              <w:tcPr>
                <w:tcW w:w="1657" w:type="pct"/>
                <w:vMerge/>
                <w:vAlign w:val="center"/>
                <w:hideMark/>
              </w:tcPr>
              <w:p w14:paraId="33F15B00" w14:textId="77777777" w:rsidR="00B36ABA" w:rsidRPr="00B22200" w:rsidRDefault="00B36ABA">
                <w:pPr>
                  <w:spacing w:after="0" w:line="240" w:lineRule="auto"/>
                  <w:rPr>
                    <w:rFonts w:ascii="Times New Roman" w:eastAsia="Times New Roman" w:hAnsi="Times New Roman"/>
                    <w:color w:val="000000"/>
                    <w:sz w:val="14"/>
                    <w:szCs w:val="14"/>
                    <w:lang w:eastAsia="es-CO"/>
                  </w:rPr>
                </w:pPr>
              </w:p>
            </w:tc>
            <w:tc>
              <w:tcPr>
                <w:tcW w:w="2528" w:type="pct"/>
                <w:shd w:val="clear" w:color="auto" w:fill="auto"/>
                <w:noWrap/>
                <w:vAlign w:val="center"/>
                <w:hideMark/>
              </w:tcPr>
              <w:p w14:paraId="4D3CCF10" w14:textId="77777777" w:rsidR="00B36ABA" w:rsidRPr="00B22200" w:rsidRDefault="00B36ABA">
                <w:pPr>
                  <w:spacing w:after="0" w:line="240" w:lineRule="auto"/>
                  <w:rPr>
                    <w:rFonts w:ascii="Times New Roman" w:eastAsia="Times New Roman" w:hAnsi="Times New Roman"/>
                    <w:color w:val="000000"/>
                    <w:sz w:val="14"/>
                    <w:szCs w:val="14"/>
                    <w:lang w:eastAsia="es-CO"/>
                  </w:rPr>
                </w:pPr>
                <w:r w:rsidRPr="00B22200">
                  <w:rPr>
                    <w:rFonts w:ascii="Times New Roman" w:eastAsia="Times New Roman" w:hAnsi="Times New Roman"/>
                    <w:color w:val="000000"/>
                    <w:sz w:val="14"/>
                    <w:szCs w:val="14"/>
                    <w:lang w:eastAsia="es-CO"/>
                  </w:rPr>
                  <w:t>Prima Técnica Factor Salarial</w:t>
                </w:r>
              </w:p>
            </w:tc>
            <w:tc>
              <w:tcPr>
                <w:tcW w:w="814" w:type="pct"/>
                <w:shd w:val="clear" w:color="auto" w:fill="auto"/>
                <w:noWrap/>
                <w:vAlign w:val="center"/>
              </w:tcPr>
              <w:p w14:paraId="30E07E44" w14:textId="77777777" w:rsidR="00B36ABA" w:rsidRPr="00B22200" w:rsidRDefault="00B36ABA">
                <w:pPr>
                  <w:spacing w:after="0" w:line="240" w:lineRule="auto"/>
                  <w:jc w:val="right"/>
                  <w:rPr>
                    <w:rFonts w:ascii="Times New Roman" w:eastAsia="Times New Roman" w:hAnsi="Times New Roman"/>
                    <w:color w:val="000000"/>
                    <w:sz w:val="14"/>
                    <w:szCs w:val="14"/>
                    <w:lang w:eastAsia="es-CO"/>
                  </w:rPr>
                </w:pPr>
                <w:r w:rsidRPr="00B22200">
                  <w:rPr>
                    <w:rFonts w:ascii="Times New Roman" w:eastAsia="Times New Roman" w:hAnsi="Times New Roman"/>
                    <w:color w:val="000000"/>
                    <w:sz w:val="14"/>
                    <w:szCs w:val="14"/>
                    <w:lang w:eastAsia="es-CO"/>
                  </w:rPr>
                  <w:t>10.342.238</w:t>
                </w:r>
              </w:p>
            </w:tc>
          </w:tr>
          <w:tr w:rsidR="00B36ABA" w:rsidRPr="00B22200" w14:paraId="1BC8200E" w14:textId="77777777" w:rsidTr="00D62C56">
            <w:trPr>
              <w:trHeight w:val="340"/>
              <w:jc w:val="center"/>
            </w:trPr>
            <w:tc>
              <w:tcPr>
                <w:tcW w:w="1657" w:type="pct"/>
                <w:vMerge w:val="restart"/>
                <w:shd w:val="clear" w:color="auto" w:fill="auto"/>
                <w:noWrap/>
                <w:vAlign w:val="center"/>
                <w:hideMark/>
              </w:tcPr>
              <w:p w14:paraId="7CEEFA0B" w14:textId="77777777" w:rsidR="00B36ABA" w:rsidRPr="00B22200" w:rsidRDefault="00B36ABA">
                <w:pPr>
                  <w:spacing w:after="0" w:line="240" w:lineRule="auto"/>
                  <w:rPr>
                    <w:rFonts w:ascii="Times New Roman" w:eastAsia="Times New Roman" w:hAnsi="Times New Roman"/>
                    <w:color w:val="000000"/>
                    <w:sz w:val="14"/>
                    <w:szCs w:val="14"/>
                    <w:lang w:eastAsia="es-CO"/>
                  </w:rPr>
                </w:pPr>
                <w:r w:rsidRPr="00B22200">
                  <w:rPr>
                    <w:rFonts w:ascii="Times New Roman" w:eastAsia="Times New Roman" w:hAnsi="Times New Roman"/>
                    <w:color w:val="000000"/>
                    <w:sz w:val="14"/>
                    <w:szCs w:val="14"/>
                    <w:lang w:eastAsia="es-CO"/>
                  </w:rPr>
                  <w:t>Vicepresidente Ejecutivo E2 -05</w:t>
                </w:r>
              </w:p>
            </w:tc>
            <w:tc>
              <w:tcPr>
                <w:tcW w:w="2528" w:type="pct"/>
                <w:shd w:val="clear" w:color="auto" w:fill="auto"/>
                <w:noWrap/>
                <w:vAlign w:val="center"/>
                <w:hideMark/>
              </w:tcPr>
              <w:p w14:paraId="76FB804A" w14:textId="77777777" w:rsidR="00B36ABA" w:rsidRPr="00B22200" w:rsidRDefault="00B36ABA">
                <w:pPr>
                  <w:spacing w:after="0" w:line="240" w:lineRule="auto"/>
                  <w:rPr>
                    <w:rFonts w:ascii="Times New Roman" w:eastAsia="Times New Roman" w:hAnsi="Times New Roman"/>
                    <w:color w:val="000000"/>
                    <w:sz w:val="14"/>
                    <w:szCs w:val="14"/>
                    <w:lang w:eastAsia="es-CO"/>
                  </w:rPr>
                </w:pPr>
                <w:r w:rsidRPr="00B22200">
                  <w:rPr>
                    <w:rFonts w:ascii="Times New Roman" w:eastAsia="Times New Roman" w:hAnsi="Times New Roman"/>
                    <w:color w:val="000000"/>
                    <w:sz w:val="14"/>
                    <w:szCs w:val="14"/>
                    <w:lang w:eastAsia="es-CO"/>
                  </w:rPr>
                  <w:t>Sueldo Básico</w:t>
                </w:r>
              </w:p>
            </w:tc>
            <w:tc>
              <w:tcPr>
                <w:tcW w:w="814" w:type="pct"/>
                <w:shd w:val="clear" w:color="auto" w:fill="auto"/>
                <w:noWrap/>
                <w:vAlign w:val="center"/>
              </w:tcPr>
              <w:p w14:paraId="2975804F" w14:textId="77777777" w:rsidR="00B36ABA" w:rsidRPr="00B22200" w:rsidRDefault="00B36ABA">
                <w:pPr>
                  <w:spacing w:after="0" w:line="240" w:lineRule="auto"/>
                  <w:jc w:val="right"/>
                  <w:rPr>
                    <w:rFonts w:ascii="Times New Roman" w:eastAsia="Times New Roman" w:hAnsi="Times New Roman"/>
                    <w:color w:val="000000"/>
                    <w:sz w:val="14"/>
                    <w:szCs w:val="14"/>
                    <w:lang w:eastAsia="es-CO"/>
                  </w:rPr>
                </w:pPr>
                <w:r w:rsidRPr="00B22200">
                  <w:rPr>
                    <w:rFonts w:ascii="Times New Roman" w:eastAsia="Times New Roman" w:hAnsi="Times New Roman"/>
                    <w:color w:val="000000"/>
                    <w:sz w:val="14"/>
                    <w:szCs w:val="14"/>
                    <w:lang w:eastAsia="es-CO"/>
                  </w:rPr>
                  <w:t>20.684.477</w:t>
                </w:r>
              </w:p>
            </w:tc>
          </w:tr>
          <w:tr w:rsidR="00B36ABA" w:rsidRPr="00B22200" w14:paraId="6E52602E" w14:textId="77777777" w:rsidTr="00D62C56">
            <w:trPr>
              <w:trHeight w:val="340"/>
              <w:jc w:val="center"/>
            </w:trPr>
            <w:tc>
              <w:tcPr>
                <w:tcW w:w="1657" w:type="pct"/>
                <w:vMerge/>
                <w:vAlign w:val="center"/>
                <w:hideMark/>
              </w:tcPr>
              <w:p w14:paraId="67828C41" w14:textId="77777777" w:rsidR="00B36ABA" w:rsidRPr="00B22200" w:rsidRDefault="00B36ABA">
                <w:pPr>
                  <w:spacing w:after="0" w:line="240" w:lineRule="auto"/>
                  <w:rPr>
                    <w:rFonts w:ascii="Times New Roman" w:eastAsia="Times New Roman" w:hAnsi="Times New Roman"/>
                    <w:color w:val="000000"/>
                    <w:sz w:val="14"/>
                    <w:szCs w:val="14"/>
                    <w:lang w:eastAsia="es-CO"/>
                  </w:rPr>
                </w:pPr>
              </w:p>
            </w:tc>
            <w:tc>
              <w:tcPr>
                <w:tcW w:w="2528" w:type="pct"/>
                <w:shd w:val="clear" w:color="auto" w:fill="auto"/>
                <w:noWrap/>
                <w:vAlign w:val="center"/>
                <w:hideMark/>
              </w:tcPr>
              <w:p w14:paraId="164B8B48" w14:textId="77777777" w:rsidR="00B36ABA" w:rsidRPr="00B22200" w:rsidRDefault="00B36ABA">
                <w:pPr>
                  <w:spacing w:after="0" w:line="240" w:lineRule="auto"/>
                  <w:rPr>
                    <w:rFonts w:ascii="Times New Roman" w:eastAsia="Times New Roman" w:hAnsi="Times New Roman"/>
                    <w:color w:val="000000"/>
                    <w:sz w:val="14"/>
                    <w:szCs w:val="14"/>
                    <w:lang w:eastAsia="es-CO"/>
                  </w:rPr>
                </w:pPr>
                <w:r w:rsidRPr="00B22200">
                  <w:rPr>
                    <w:rFonts w:ascii="Times New Roman" w:eastAsia="Times New Roman" w:hAnsi="Times New Roman"/>
                    <w:color w:val="000000"/>
                    <w:sz w:val="14"/>
                    <w:szCs w:val="14"/>
                    <w:lang w:eastAsia="es-CO"/>
                  </w:rPr>
                  <w:t>Prima Técnica No Factor Salarial</w:t>
                </w:r>
              </w:p>
            </w:tc>
            <w:tc>
              <w:tcPr>
                <w:tcW w:w="814" w:type="pct"/>
                <w:shd w:val="clear" w:color="auto" w:fill="auto"/>
                <w:noWrap/>
                <w:vAlign w:val="center"/>
              </w:tcPr>
              <w:p w14:paraId="6B2B11AF" w14:textId="77777777" w:rsidR="00B36ABA" w:rsidRPr="00B22200" w:rsidRDefault="00B36ABA">
                <w:pPr>
                  <w:spacing w:after="0" w:line="240" w:lineRule="auto"/>
                  <w:jc w:val="right"/>
                  <w:rPr>
                    <w:rFonts w:ascii="Times New Roman" w:eastAsia="Times New Roman" w:hAnsi="Times New Roman"/>
                    <w:color w:val="000000"/>
                    <w:sz w:val="14"/>
                    <w:szCs w:val="14"/>
                    <w:lang w:eastAsia="es-CO"/>
                  </w:rPr>
                </w:pPr>
                <w:r w:rsidRPr="00B22200">
                  <w:rPr>
                    <w:rFonts w:ascii="Times New Roman" w:eastAsia="Times New Roman" w:hAnsi="Times New Roman"/>
                    <w:color w:val="000000"/>
                    <w:sz w:val="14"/>
                    <w:szCs w:val="14"/>
                    <w:lang w:eastAsia="es-CO"/>
                  </w:rPr>
                  <w:t>10.342.238</w:t>
                </w:r>
              </w:p>
            </w:tc>
          </w:tr>
          <w:tr w:rsidR="00B36ABA" w:rsidRPr="00B22200" w14:paraId="679CF9EF" w14:textId="77777777" w:rsidTr="00D62C56">
            <w:trPr>
              <w:trHeight w:val="340"/>
              <w:jc w:val="center"/>
            </w:trPr>
            <w:tc>
              <w:tcPr>
                <w:tcW w:w="1657" w:type="pct"/>
                <w:vMerge w:val="restart"/>
                <w:shd w:val="clear" w:color="auto" w:fill="auto"/>
                <w:noWrap/>
                <w:vAlign w:val="center"/>
                <w:hideMark/>
              </w:tcPr>
              <w:p w14:paraId="6940BD6B" w14:textId="77777777" w:rsidR="00B36ABA" w:rsidRPr="00B22200" w:rsidRDefault="00B36ABA">
                <w:pPr>
                  <w:spacing w:after="0" w:line="240" w:lineRule="auto"/>
                  <w:rPr>
                    <w:rFonts w:ascii="Times New Roman" w:eastAsia="Times New Roman" w:hAnsi="Times New Roman"/>
                    <w:color w:val="000000"/>
                    <w:sz w:val="14"/>
                    <w:szCs w:val="14"/>
                    <w:lang w:eastAsia="es-CO"/>
                  </w:rPr>
                </w:pPr>
                <w:r w:rsidRPr="00B22200">
                  <w:rPr>
                    <w:rFonts w:ascii="Times New Roman" w:eastAsia="Times New Roman" w:hAnsi="Times New Roman"/>
                    <w:color w:val="000000"/>
                    <w:sz w:val="14"/>
                    <w:szCs w:val="14"/>
                    <w:lang w:eastAsia="es-CO"/>
                  </w:rPr>
                  <w:t>Vicepresidente De Gestión Contractual E2 -05</w:t>
                </w:r>
              </w:p>
            </w:tc>
            <w:tc>
              <w:tcPr>
                <w:tcW w:w="2528" w:type="pct"/>
                <w:shd w:val="clear" w:color="auto" w:fill="auto"/>
                <w:noWrap/>
                <w:vAlign w:val="center"/>
                <w:hideMark/>
              </w:tcPr>
              <w:p w14:paraId="73AFA3AF" w14:textId="77777777" w:rsidR="00B36ABA" w:rsidRPr="00B22200" w:rsidRDefault="00B36ABA">
                <w:pPr>
                  <w:spacing w:after="0" w:line="240" w:lineRule="auto"/>
                  <w:rPr>
                    <w:rFonts w:ascii="Times New Roman" w:eastAsia="Times New Roman" w:hAnsi="Times New Roman"/>
                    <w:color w:val="000000"/>
                    <w:sz w:val="14"/>
                    <w:szCs w:val="14"/>
                    <w:lang w:eastAsia="es-CO"/>
                  </w:rPr>
                </w:pPr>
                <w:r w:rsidRPr="00B22200">
                  <w:rPr>
                    <w:rFonts w:ascii="Times New Roman" w:eastAsia="Times New Roman" w:hAnsi="Times New Roman"/>
                    <w:color w:val="000000"/>
                    <w:sz w:val="14"/>
                    <w:szCs w:val="14"/>
                    <w:lang w:eastAsia="es-CO"/>
                  </w:rPr>
                  <w:t>Sueldo Básico</w:t>
                </w:r>
              </w:p>
            </w:tc>
            <w:tc>
              <w:tcPr>
                <w:tcW w:w="814" w:type="pct"/>
                <w:shd w:val="clear" w:color="auto" w:fill="auto"/>
                <w:noWrap/>
                <w:vAlign w:val="center"/>
              </w:tcPr>
              <w:p w14:paraId="34276D68" w14:textId="77777777" w:rsidR="00B36ABA" w:rsidRPr="00B22200" w:rsidRDefault="00B36ABA">
                <w:pPr>
                  <w:spacing w:after="0" w:line="240" w:lineRule="auto"/>
                  <w:jc w:val="right"/>
                  <w:rPr>
                    <w:rFonts w:ascii="Times New Roman" w:eastAsia="Times New Roman" w:hAnsi="Times New Roman"/>
                    <w:color w:val="000000"/>
                    <w:sz w:val="14"/>
                    <w:szCs w:val="14"/>
                    <w:lang w:eastAsia="es-CO"/>
                  </w:rPr>
                </w:pPr>
                <w:r w:rsidRPr="00B22200">
                  <w:rPr>
                    <w:rFonts w:ascii="Times New Roman" w:eastAsia="Times New Roman" w:hAnsi="Times New Roman"/>
                    <w:color w:val="000000"/>
                    <w:sz w:val="14"/>
                    <w:szCs w:val="14"/>
                    <w:lang w:eastAsia="es-CO"/>
                  </w:rPr>
                  <w:t>20.684.477</w:t>
                </w:r>
              </w:p>
            </w:tc>
          </w:tr>
          <w:tr w:rsidR="00B36ABA" w:rsidRPr="00B22200" w14:paraId="1E3B6D30" w14:textId="77777777" w:rsidTr="00D62C56">
            <w:trPr>
              <w:trHeight w:val="340"/>
              <w:jc w:val="center"/>
            </w:trPr>
            <w:tc>
              <w:tcPr>
                <w:tcW w:w="1657" w:type="pct"/>
                <w:vMerge/>
                <w:vAlign w:val="center"/>
                <w:hideMark/>
              </w:tcPr>
              <w:p w14:paraId="0C2D26C9" w14:textId="77777777" w:rsidR="00B36ABA" w:rsidRPr="00B22200" w:rsidRDefault="00B36ABA">
                <w:pPr>
                  <w:spacing w:after="0" w:line="240" w:lineRule="auto"/>
                  <w:rPr>
                    <w:rFonts w:ascii="Times New Roman" w:eastAsia="Times New Roman" w:hAnsi="Times New Roman"/>
                    <w:color w:val="000000"/>
                    <w:sz w:val="14"/>
                    <w:szCs w:val="14"/>
                    <w:lang w:eastAsia="es-CO"/>
                  </w:rPr>
                </w:pPr>
              </w:p>
            </w:tc>
            <w:tc>
              <w:tcPr>
                <w:tcW w:w="2528" w:type="pct"/>
                <w:shd w:val="clear" w:color="auto" w:fill="auto"/>
                <w:noWrap/>
                <w:vAlign w:val="center"/>
                <w:hideMark/>
              </w:tcPr>
              <w:p w14:paraId="3B35A225" w14:textId="77777777" w:rsidR="00B36ABA" w:rsidRPr="00B22200" w:rsidRDefault="00B36ABA">
                <w:pPr>
                  <w:spacing w:after="0" w:line="240" w:lineRule="auto"/>
                  <w:rPr>
                    <w:rFonts w:ascii="Times New Roman" w:eastAsia="Times New Roman" w:hAnsi="Times New Roman"/>
                    <w:color w:val="000000"/>
                    <w:sz w:val="14"/>
                    <w:szCs w:val="14"/>
                    <w:lang w:eastAsia="es-CO"/>
                  </w:rPr>
                </w:pPr>
                <w:r w:rsidRPr="00B22200">
                  <w:rPr>
                    <w:rFonts w:ascii="Times New Roman" w:eastAsia="Times New Roman" w:hAnsi="Times New Roman"/>
                    <w:color w:val="000000"/>
                    <w:sz w:val="14"/>
                    <w:szCs w:val="14"/>
                    <w:lang w:eastAsia="es-CO"/>
                  </w:rPr>
                  <w:t>Prima Técnica Factor Salarial</w:t>
                </w:r>
              </w:p>
            </w:tc>
            <w:tc>
              <w:tcPr>
                <w:tcW w:w="814" w:type="pct"/>
                <w:shd w:val="clear" w:color="auto" w:fill="auto"/>
                <w:noWrap/>
                <w:vAlign w:val="center"/>
              </w:tcPr>
              <w:p w14:paraId="139A36F7" w14:textId="77777777" w:rsidR="00B36ABA" w:rsidRPr="00B22200" w:rsidRDefault="00B36ABA">
                <w:pPr>
                  <w:spacing w:after="0" w:line="240" w:lineRule="auto"/>
                  <w:jc w:val="right"/>
                  <w:rPr>
                    <w:rFonts w:ascii="Times New Roman" w:eastAsia="Times New Roman" w:hAnsi="Times New Roman"/>
                    <w:color w:val="000000"/>
                    <w:sz w:val="14"/>
                    <w:szCs w:val="14"/>
                    <w:lang w:eastAsia="es-CO"/>
                  </w:rPr>
                </w:pPr>
                <w:r w:rsidRPr="00B22200">
                  <w:rPr>
                    <w:rFonts w:ascii="Times New Roman" w:eastAsia="Times New Roman" w:hAnsi="Times New Roman"/>
                    <w:color w:val="000000"/>
                    <w:sz w:val="14"/>
                    <w:szCs w:val="14"/>
                    <w:lang w:eastAsia="es-CO"/>
                  </w:rPr>
                  <w:t>12.119.371</w:t>
                </w:r>
              </w:p>
            </w:tc>
          </w:tr>
          <w:tr w:rsidR="00B36ABA" w:rsidRPr="00B22200" w14:paraId="303A680C" w14:textId="77777777" w:rsidTr="00D62C56">
            <w:trPr>
              <w:trHeight w:val="340"/>
              <w:jc w:val="center"/>
            </w:trPr>
            <w:tc>
              <w:tcPr>
                <w:tcW w:w="1657" w:type="pct"/>
                <w:vMerge w:val="restart"/>
                <w:shd w:val="clear" w:color="auto" w:fill="auto"/>
                <w:noWrap/>
                <w:vAlign w:val="center"/>
                <w:hideMark/>
              </w:tcPr>
              <w:p w14:paraId="68D87A8A" w14:textId="77777777" w:rsidR="00B36ABA" w:rsidRPr="00B22200" w:rsidRDefault="00B36ABA">
                <w:pPr>
                  <w:spacing w:after="0" w:line="240" w:lineRule="auto"/>
                  <w:rPr>
                    <w:rFonts w:ascii="Times New Roman" w:eastAsia="Times New Roman" w:hAnsi="Times New Roman"/>
                    <w:color w:val="000000"/>
                    <w:sz w:val="14"/>
                    <w:szCs w:val="14"/>
                    <w:lang w:eastAsia="es-CO"/>
                  </w:rPr>
                </w:pPr>
                <w:r w:rsidRPr="00B22200">
                  <w:rPr>
                    <w:rFonts w:ascii="Times New Roman" w:eastAsia="Times New Roman" w:hAnsi="Times New Roman"/>
                    <w:color w:val="000000"/>
                    <w:sz w:val="14"/>
                    <w:szCs w:val="14"/>
                    <w:lang w:eastAsia="es-CO"/>
                  </w:rPr>
                  <w:t>Vicepresidente Jurídico E2 -05</w:t>
                </w:r>
              </w:p>
            </w:tc>
            <w:tc>
              <w:tcPr>
                <w:tcW w:w="2528" w:type="pct"/>
                <w:shd w:val="clear" w:color="auto" w:fill="auto"/>
                <w:noWrap/>
                <w:vAlign w:val="center"/>
                <w:hideMark/>
              </w:tcPr>
              <w:p w14:paraId="53E1F180" w14:textId="77777777" w:rsidR="00B36ABA" w:rsidRPr="00B22200" w:rsidRDefault="00B36ABA">
                <w:pPr>
                  <w:spacing w:after="0" w:line="240" w:lineRule="auto"/>
                  <w:rPr>
                    <w:rFonts w:ascii="Times New Roman" w:eastAsia="Times New Roman" w:hAnsi="Times New Roman"/>
                    <w:color w:val="000000"/>
                    <w:sz w:val="14"/>
                    <w:szCs w:val="14"/>
                    <w:lang w:eastAsia="es-CO"/>
                  </w:rPr>
                </w:pPr>
                <w:r w:rsidRPr="00B22200">
                  <w:rPr>
                    <w:rFonts w:ascii="Times New Roman" w:eastAsia="Times New Roman" w:hAnsi="Times New Roman"/>
                    <w:color w:val="000000"/>
                    <w:sz w:val="14"/>
                    <w:szCs w:val="14"/>
                    <w:lang w:eastAsia="es-CO"/>
                  </w:rPr>
                  <w:t>Sueldo Básico</w:t>
                </w:r>
              </w:p>
            </w:tc>
            <w:tc>
              <w:tcPr>
                <w:tcW w:w="814" w:type="pct"/>
                <w:shd w:val="clear" w:color="auto" w:fill="auto"/>
                <w:noWrap/>
                <w:vAlign w:val="center"/>
              </w:tcPr>
              <w:p w14:paraId="1DFA8E86" w14:textId="77777777" w:rsidR="00B36ABA" w:rsidRPr="00B22200" w:rsidRDefault="00B36ABA">
                <w:pPr>
                  <w:spacing w:after="0" w:line="240" w:lineRule="auto"/>
                  <w:jc w:val="right"/>
                  <w:rPr>
                    <w:rFonts w:ascii="Times New Roman" w:eastAsia="Times New Roman" w:hAnsi="Times New Roman"/>
                    <w:color w:val="000000"/>
                    <w:sz w:val="14"/>
                    <w:szCs w:val="14"/>
                    <w:lang w:eastAsia="es-CO"/>
                  </w:rPr>
                </w:pPr>
                <w:r w:rsidRPr="00B22200">
                  <w:rPr>
                    <w:rFonts w:ascii="Times New Roman" w:eastAsia="Times New Roman" w:hAnsi="Times New Roman"/>
                    <w:color w:val="000000"/>
                    <w:sz w:val="14"/>
                    <w:szCs w:val="14"/>
                    <w:lang w:eastAsia="es-CO"/>
                  </w:rPr>
                  <w:t>20.684.477</w:t>
                </w:r>
              </w:p>
            </w:tc>
          </w:tr>
          <w:tr w:rsidR="00B36ABA" w:rsidRPr="00B22200" w14:paraId="7FCC520F" w14:textId="77777777" w:rsidTr="00D62C56">
            <w:trPr>
              <w:trHeight w:val="340"/>
              <w:jc w:val="center"/>
            </w:trPr>
            <w:tc>
              <w:tcPr>
                <w:tcW w:w="1657" w:type="pct"/>
                <w:vMerge/>
                <w:vAlign w:val="center"/>
                <w:hideMark/>
              </w:tcPr>
              <w:p w14:paraId="4BB66522" w14:textId="77777777" w:rsidR="00B36ABA" w:rsidRPr="00B22200" w:rsidRDefault="00B36ABA">
                <w:pPr>
                  <w:spacing w:after="0" w:line="240" w:lineRule="auto"/>
                  <w:rPr>
                    <w:rFonts w:ascii="Times New Roman" w:eastAsia="Times New Roman" w:hAnsi="Times New Roman"/>
                    <w:color w:val="000000"/>
                    <w:sz w:val="14"/>
                    <w:szCs w:val="14"/>
                    <w:lang w:eastAsia="es-CO"/>
                  </w:rPr>
                </w:pPr>
              </w:p>
            </w:tc>
            <w:tc>
              <w:tcPr>
                <w:tcW w:w="2528" w:type="pct"/>
                <w:shd w:val="clear" w:color="auto" w:fill="auto"/>
                <w:noWrap/>
                <w:vAlign w:val="center"/>
                <w:hideMark/>
              </w:tcPr>
              <w:p w14:paraId="2F529BD9" w14:textId="77777777" w:rsidR="00B36ABA" w:rsidRPr="00B22200" w:rsidRDefault="00B36ABA">
                <w:pPr>
                  <w:spacing w:after="0" w:line="240" w:lineRule="auto"/>
                  <w:rPr>
                    <w:rFonts w:ascii="Times New Roman" w:eastAsia="Times New Roman" w:hAnsi="Times New Roman"/>
                    <w:color w:val="000000"/>
                    <w:sz w:val="14"/>
                    <w:szCs w:val="14"/>
                    <w:lang w:eastAsia="es-CO"/>
                  </w:rPr>
                </w:pPr>
                <w:r w:rsidRPr="00B22200">
                  <w:rPr>
                    <w:rFonts w:ascii="Times New Roman" w:eastAsia="Times New Roman" w:hAnsi="Times New Roman"/>
                    <w:color w:val="000000"/>
                    <w:sz w:val="14"/>
                    <w:szCs w:val="14"/>
                    <w:lang w:eastAsia="es-CO"/>
                  </w:rPr>
                  <w:t>Prima Técnica No Factor Salarial</w:t>
                </w:r>
              </w:p>
            </w:tc>
            <w:tc>
              <w:tcPr>
                <w:tcW w:w="814" w:type="pct"/>
                <w:shd w:val="clear" w:color="auto" w:fill="auto"/>
                <w:noWrap/>
                <w:vAlign w:val="center"/>
              </w:tcPr>
              <w:p w14:paraId="0F31AD26" w14:textId="77777777" w:rsidR="00B36ABA" w:rsidRPr="00B22200" w:rsidRDefault="00B36ABA">
                <w:pPr>
                  <w:spacing w:after="0" w:line="240" w:lineRule="auto"/>
                  <w:jc w:val="right"/>
                  <w:rPr>
                    <w:rFonts w:ascii="Times New Roman" w:eastAsia="Times New Roman" w:hAnsi="Times New Roman"/>
                    <w:color w:val="000000"/>
                    <w:sz w:val="14"/>
                    <w:szCs w:val="14"/>
                    <w:lang w:eastAsia="es-CO"/>
                  </w:rPr>
                </w:pPr>
                <w:r w:rsidRPr="00B22200">
                  <w:rPr>
                    <w:rFonts w:ascii="Times New Roman" w:eastAsia="Times New Roman" w:hAnsi="Times New Roman"/>
                    <w:color w:val="000000"/>
                    <w:sz w:val="14"/>
                    <w:szCs w:val="14"/>
                    <w:lang w:eastAsia="es-CO"/>
                  </w:rPr>
                  <w:t>10.342.238</w:t>
                </w:r>
              </w:p>
            </w:tc>
          </w:tr>
          <w:tr w:rsidR="00B36ABA" w:rsidRPr="00B22200" w14:paraId="028D0CAE" w14:textId="77777777" w:rsidTr="00D62C56">
            <w:trPr>
              <w:trHeight w:val="340"/>
              <w:jc w:val="center"/>
            </w:trPr>
            <w:tc>
              <w:tcPr>
                <w:tcW w:w="1657" w:type="pct"/>
                <w:vMerge w:val="restart"/>
                <w:shd w:val="clear" w:color="auto" w:fill="auto"/>
                <w:noWrap/>
                <w:vAlign w:val="center"/>
                <w:hideMark/>
              </w:tcPr>
              <w:p w14:paraId="5C74FFAF" w14:textId="77777777" w:rsidR="00B36ABA" w:rsidRPr="00B22200" w:rsidRDefault="00B36ABA">
                <w:pPr>
                  <w:spacing w:after="0" w:line="240" w:lineRule="auto"/>
                  <w:rPr>
                    <w:rFonts w:ascii="Times New Roman" w:eastAsia="Times New Roman" w:hAnsi="Times New Roman"/>
                    <w:color w:val="000000"/>
                    <w:sz w:val="14"/>
                    <w:szCs w:val="14"/>
                    <w:lang w:eastAsia="es-CO"/>
                  </w:rPr>
                </w:pPr>
                <w:r w:rsidRPr="00B22200">
                  <w:rPr>
                    <w:rFonts w:ascii="Times New Roman" w:eastAsia="Times New Roman" w:hAnsi="Times New Roman"/>
                    <w:color w:val="000000"/>
                    <w:sz w:val="14"/>
                    <w:szCs w:val="14"/>
                    <w:lang w:eastAsia="es-CO"/>
                  </w:rPr>
                  <w:t>Vicepresidente De Gestión Corporativa E2 -05</w:t>
                </w:r>
              </w:p>
            </w:tc>
            <w:tc>
              <w:tcPr>
                <w:tcW w:w="2528" w:type="pct"/>
                <w:shd w:val="clear" w:color="auto" w:fill="auto"/>
                <w:noWrap/>
                <w:vAlign w:val="center"/>
                <w:hideMark/>
              </w:tcPr>
              <w:p w14:paraId="0F81CEB1" w14:textId="77777777" w:rsidR="00B36ABA" w:rsidRPr="00B22200" w:rsidRDefault="00B36ABA">
                <w:pPr>
                  <w:spacing w:after="0" w:line="240" w:lineRule="auto"/>
                  <w:rPr>
                    <w:rFonts w:ascii="Times New Roman" w:eastAsia="Times New Roman" w:hAnsi="Times New Roman"/>
                    <w:color w:val="000000"/>
                    <w:sz w:val="14"/>
                    <w:szCs w:val="14"/>
                    <w:lang w:eastAsia="es-CO"/>
                  </w:rPr>
                </w:pPr>
                <w:r w:rsidRPr="00B22200">
                  <w:rPr>
                    <w:rFonts w:ascii="Times New Roman" w:eastAsia="Times New Roman" w:hAnsi="Times New Roman"/>
                    <w:color w:val="000000"/>
                    <w:sz w:val="14"/>
                    <w:szCs w:val="14"/>
                    <w:lang w:eastAsia="es-CO"/>
                  </w:rPr>
                  <w:t>Sueldo Básico</w:t>
                </w:r>
              </w:p>
            </w:tc>
            <w:tc>
              <w:tcPr>
                <w:tcW w:w="814" w:type="pct"/>
                <w:shd w:val="clear" w:color="auto" w:fill="auto"/>
                <w:noWrap/>
                <w:vAlign w:val="center"/>
              </w:tcPr>
              <w:p w14:paraId="01E32848" w14:textId="77777777" w:rsidR="00B36ABA" w:rsidRPr="00B22200" w:rsidRDefault="00B36ABA">
                <w:pPr>
                  <w:spacing w:after="0" w:line="240" w:lineRule="auto"/>
                  <w:jc w:val="right"/>
                  <w:rPr>
                    <w:rFonts w:ascii="Times New Roman" w:eastAsia="Times New Roman" w:hAnsi="Times New Roman"/>
                    <w:color w:val="000000"/>
                    <w:sz w:val="14"/>
                    <w:szCs w:val="14"/>
                    <w:lang w:eastAsia="es-CO"/>
                  </w:rPr>
                </w:pPr>
                <w:r w:rsidRPr="00B22200">
                  <w:rPr>
                    <w:rFonts w:ascii="Times New Roman" w:eastAsia="Times New Roman" w:hAnsi="Times New Roman"/>
                    <w:color w:val="000000"/>
                    <w:sz w:val="14"/>
                    <w:szCs w:val="14"/>
                    <w:lang w:eastAsia="es-CO"/>
                  </w:rPr>
                  <w:t>20.684.477</w:t>
                </w:r>
              </w:p>
            </w:tc>
          </w:tr>
          <w:tr w:rsidR="00B36ABA" w:rsidRPr="00B22200" w14:paraId="4E9AF639" w14:textId="77777777" w:rsidTr="00D62C56">
            <w:trPr>
              <w:trHeight w:val="340"/>
              <w:jc w:val="center"/>
            </w:trPr>
            <w:tc>
              <w:tcPr>
                <w:tcW w:w="1657" w:type="pct"/>
                <w:vMerge/>
                <w:vAlign w:val="center"/>
                <w:hideMark/>
              </w:tcPr>
              <w:p w14:paraId="782C1D5E" w14:textId="77777777" w:rsidR="00B36ABA" w:rsidRPr="00B22200" w:rsidRDefault="00B36ABA">
                <w:pPr>
                  <w:spacing w:after="0" w:line="240" w:lineRule="auto"/>
                  <w:rPr>
                    <w:rFonts w:ascii="Times New Roman" w:eastAsia="Times New Roman" w:hAnsi="Times New Roman"/>
                    <w:color w:val="000000"/>
                    <w:sz w:val="14"/>
                    <w:szCs w:val="14"/>
                    <w:lang w:eastAsia="es-CO"/>
                  </w:rPr>
                </w:pPr>
              </w:p>
            </w:tc>
            <w:tc>
              <w:tcPr>
                <w:tcW w:w="2528" w:type="pct"/>
                <w:shd w:val="clear" w:color="auto" w:fill="auto"/>
                <w:noWrap/>
                <w:vAlign w:val="center"/>
                <w:hideMark/>
              </w:tcPr>
              <w:p w14:paraId="4F6F8BCA" w14:textId="77777777" w:rsidR="00B36ABA" w:rsidRPr="00B22200" w:rsidRDefault="00B36ABA">
                <w:pPr>
                  <w:spacing w:after="0" w:line="240" w:lineRule="auto"/>
                  <w:rPr>
                    <w:rFonts w:ascii="Times New Roman" w:eastAsia="Times New Roman" w:hAnsi="Times New Roman"/>
                    <w:color w:val="000000"/>
                    <w:sz w:val="14"/>
                    <w:szCs w:val="14"/>
                    <w:lang w:eastAsia="es-CO"/>
                  </w:rPr>
                </w:pPr>
                <w:r w:rsidRPr="00B22200">
                  <w:rPr>
                    <w:rFonts w:ascii="Times New Roman" w:eastAsia="Times New Roman" w:hAnsi="Times New Roman"/>
                    <w:color w:val="000000"/>
                    <w:sz w:val="14"/>
                    <w:szCs w:val="14"/>
                    <w:lang w:eastAsia="es-CO"/>
                  </w:rPr>
                  <w:t>Prima Técnica Factor Salarial</w:t>
                </w:r>
              </w:p>
            </w:tc>
            <w:tc>
              <w:tcPr>
                <w:tcW w:w="814" w:type="pct"/>
                <w:shd w:val="clear" w:color="auto" w:fill="auto"/>
                <w:noWrap/>
                <w:vAlign w:val="center"/>
              </w:tcPr>
              <w:p w14:paraId="0552A545" w14:textId="77777777" w:rsidR="00B36ABA" w:rsidRPr="00B22200" w:rsidRDefault="00B36ABA">
                <w:pPr>
                  <w:spacing w:after="0" w:line="240" w:lineRule="auto"/>
                  <w:jc w:val="right"/>
                  <w:rPr>
                    <w:rFonts w:ascii="Times New Roman" w:eastAsia="Times New Roman" w:hAnsi="Times New Roman"/>
                    <w:color w:val="000000"/>
                    <w:sz w:val="14"/>
                    <w:szCs w:val="14"/>
                    <w:lang w:eastAsia="es-CO"/>
                  </w:rPr>
                </w:pPr>
                <w:r w:rsidRPr="00B22200">
                  <w:rPr>
                    <w:rFonts w:ascii="Times New Roman" w:eastAsia="Times New Roman" w:hAnsi="Times New Roman"/>
                    <w:color w:val="000000"/>
                    <w:sz w:val="14"/>
                    <w:szCs w:val="14"/>
                    <w:lang w:eastAsia="es-CO"/>
                  </w:rPr>
                  <w:t>12.203.841</w:t>
                </w:r>
              </w:p>
            </w:tc>
          </w:tr>
        </w:tbl>
        <w:p w14:paraId="50338298" w14:textId="77777777" w:rsidR="001A2BE3" w:rsidRDefault="001A2BE3" w:rsidP="00B36ABA">
          <w:pPr>
            <w:spacing w:after="0" w:line="240" w:lineRule="auto"/>
            <w:jc w:val="both"/>
            <w:rPr>
              <w:rFonts w:ascii="Times New Roman" w:hAnsi="Times New Roman"/>
              <w:sz w:val="20"/>
              <w:szCs w:val="20"/>
            </w:rPr>
          </w:pPr>
        </w:p>
        <w:p w14:paraId="29E4BE5A" w14:textId="6CCB5973" w:rsidR="00B36ABA" w:rsidRPr="001A2BE3" w:rsidRDefault="00B36ABA" w:rsidP="00B36ABA">
          <w:pPr>
            <w:spacing w:after="0" w:line="240" w:lineRule="auto"/>
            <w:jc w:val="both"/>
            <w:rPr>
              <w:rFonts w:ascii="Times New Roman" w:hAnsi="Times New Roman"/>
              <w:sz w:val="24"/>
              <w:szCs w:val="24"/>
            </w:rPr>
          </w:pPr>
          <w:r w:rsidRPr="001A2BE3">
            <w:rPr>
              <w:rFonts w:ascii="Times New Roman" w:hAnsi="Times New Roman"/>
              <w:sz w:val="24"/>
              <w:szCs w:val="24"/>
            </w:rPr>
            <w:t>Para la vigencia 2023 realizó capacitaciones a sus funcionarios y contratistas para aportar en el fortalecimiento de sus aptitudes y desarrollar sus destrezas para así contribuir al logro de los objetivos de la entidad, tal y como se evidencia en el siguiente cuadro:</w:t>
          </w:r>
        </w:p>
        <w:p w14:paraId="47674DC6" w14:textId="77777777" w:rsidR="00B36ABA" w:rsidRDefault="00B36ABA" w:rsidP="00B36ABA">
          <w:pPr>
            <w:rPr>
              <w:rFonts w:ascii="Times New Roman" w:hAnsi="Times New Roman"/>
              <w:sz w:val="20"/>
              <w:szCs w:val="20"/>
            </w:rPr>
          </w:pPr>
        </w:p>
        <w:p w14:paraId="46F69DC0" w14:textId="77777777" w:rsidR="00B22200" w:rsidRDefault="00B22200" w:rsidP="00B36ABA">
          <w:pPr>
            <w:rPr>
              <w:rFonts w:ascii="Times New Roman" w:hAnsi="Times New Roman"/>
              <w:sz w:val="20"/>
              <w:szCs w:val="20"/>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CellMar>
              <w:left w:w="70" w:type="dxa"/>
              <w:right w:w="70" w:type="dxa"/>
            </w:tblCellMar>
            <w:tblLook w:val="04A0" w:firstRow="1" w:lastRow="0" w:firstColumn="1" w:lastColumn="0" w:noHBand="0" w:noVBand="1"/>
          </w:tblPr>
          <w:tblGrid>
            <w:gridCol w:w="421"/>
            <w:gridCol w:w="6446"/>
            <w:gridCol w:w="1021"/>
            <w:gridCol w:w="1081"/>
          </w:tblGrid>
          <w:tr w:rsidR="00B36ABA" w:rsidRPr="00E27B04" w14:paraId="576DBF44" w14:textId="77777777" w:rsidTr="007C57E6">
            <w:trPr>
              <w:cantSplit/>
              <w:trHeight w:val="1088"/>
              <w:tblHeader/>
            </w:trPr>
            <w:tc>
              <w:tcPr>
                <w:tcW w:w="235" w:type="pct"/>
                <w:shd w:val="clear" w:color="auto" w:fill="auto"/>
                <w:noWrap/>
                <w:textDirection w:val="btLr"/>
                <w:vAlign w:val="center"/>
                <w:hideMark/>
              </w:tcPr>
              <w:p w14:paraId="611F7EEB" w14:textId="77777777" w:rsidR="00B36ABA" w:rsidRPr="009A46BB" w:rsidRDefault="00B36ABA" w:rsidP="00F4317C">
                <w:pPr>
                  <w:spacing w:after="0" w:line="240" w:lineRule="auto"/>
                  <w:ind w:left="113" w:right="113"/>
                  <w:jc w:val="center"/>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Entidad</w:t>
                </w:r>
              </w:p>
            </w:tc>
            <w:tc>
              <w:tcPr>
                <w:tcW w:w="3594" w:type="pct"/>
                <w:shd w:val="clear" w:color="auto" w:fill="auto"/>
                <w:noWrap/>
                <w:vAlign w:val="center"/>
                <w:hideMark/>
              </w:tcPr>
              <w:p w14:paraId="1054DCFC" w14:textId="77777777" w:rsidR="00B36ABA" w:rsidRPr="009A46BB" w:rsidRDefault="00B36ABA">
                <w:pPr>
                  <w:spacing w:after="0" w:line="240" w:lineRule="auto"/>
                  <w:jc w:val="center"/>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Evento de capacitación</w:t>
                </w:r>
              </w:p>
            </w:tc>
            <w:tc>
              <w:tcPr>
                <w:tcW w:w="569" w:type="pct"/>
                <w:shd w:val="clear" w:color="auto" w:fill="auto"/>
                <w:noWrap/>
                <w:vAlign w:val="center"/>
                <w:hideMark/>
              </w:tcPr>
              <w:p w14:paraId="22AE5A55" w14:textId="77777777" w:rsidR="00B36ABA" w:rsidRPr="009A46BB" w:rsidRDefault="00B36ABA">
                <w:pPr>
                  <w:spacing w:after="0" w:line="240" w:lineRule="auto"/>
                  <w:jc w:val="center"/>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Contratista</w:t>
                </w:r>
              </w:p>
            </w:tc>
            <w:tc>
              <w:tcPr>
                <w:tcW w:w="603" w:type="pct"/>
                <w:shd w:val="clear" w:color="auto" w:fill="auto"/>
                <w:noWrap/>
                <w:vAlign w:val="center"/>
                <w:hideMark/>
              </w:tcPr>
              <w:p w14:paraId="15CC3DDB" w14:textId="77777777" w:rsidR="00B36ABA" w:rsidRPr="009A46BB" w:rsidRDefault="00B36ABA">
                <w:pPr>
                  <w:spacing w:after="0" w:line="240" w:lineRule="auto"/>
                  <w:jc w:val="center"/>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Funcionario</w:t>
                </w:r>
              </w:p>
            </w:tc>
          </w:tr>
          <w:tr w:rsidR="00B36ABA" w:rsidRPr="00E27B04" w14:paraId="78B2CBD1" w14:textId="77777777" w:rsidTr="007C57E6">
            <w:trPr>
              <w:trHeight w:val="283"/>
            </w:trPr>
            <w:tc>
              <w:tcPr>
                <w:tcW w:w="235" w:type="pct"/>
                <w:vMerge w:val="restart"/>
                <w:shd w:val="clear" w:color="auto" w:fill="auto"/>
                <w:noWrap/>
                <w:textDirection w:val="btLr"/>
                <w:vAlign w:val="center"/>
                <w:hideMark/>
              </w:tcPr>
              <w:p w14:paraId="284F8333" w14:textId="77777777" w:rsidR="00B36ABA" w:rsidRPr="009A46BB" w:rsidRDefault="00B36ABA" w:rsidP="00F4317C">
                <w:pPr>
                  <w:spacing w:after="0" w:line="240" w:lineRule="auto"/>
                  <w:ind w:left="113" w:right="113"/>
                  <w:jc w:val="center"/>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ANI</w:t>
                </w:r>
              </w:p>
            </w:tc>
            <w:tc>
              <w:tcPr>
                <w:tcW w:w="3594" w:type="pct"/>
                <w:shd w:val="clear" w:color="auto" w:fill="auto"/>
                <w:noWrap/>
                <w:vAlign w:val="center"/>
                <w:hideMark/>
              </w:tcPr>
              <w:p w14:paraId="0D68F9CC"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Aclaración procedimiento frente a provisionalidad</w:t>
                </w:r>
              </w:p>
            </w:tc>
            <w:tc>
              <w:tcPr>
                <w:tcW w:w="569" w:type="pct"/>
                <w:shd w:val="clear" w:color="auto" w:fill="auto"/>
                <w:noWrap/>
                <w:vAlign w:val="center"/>
                <w:hideMark/>
              </w:tcPr>
              <w:p w14:paraId="0F43B86A"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0</w:t>
                </w:r>
              </w:p>
            </w:tc>
            <w:tc>
              <w:tcPr>
                <w:tcW w:w="603" w:type="pct"/>
                <w:shd w:val="clear" w:color="auto" w:fill="auto"/>
                <w:noWrap/>
                <w:vAlign w:val="center"/>
                <w:hideMark/>
              </w:tcPr>
              <w:p w14:paraId="340681EA"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14</w:t>
                </w:r>
              </w:p>
            </w:tc>
          </w:tr>
          <w:tr w:rsidR="00B36ABA" w:rsidRPr="00E27B04" w14:paraId="42DEE92F" w14:textId="77777777" w:rsidTr="007C57E6">
            <w:trPr>
              <w:trHeight w:val="283"/>
            </w:trPr>
            <w:tc>
              <w:tcPr>
                <w:tcW w:w="235" w:type="pct"/>
                <w:vMerge/>
                <w:vAlign w:val="center"/>
                <w:hideMark/>
              </w:tcPr>
              <w:p w14:paraId="7E41FAA5" w14:textId="77777777" w:rsidR="00B36ABA" w:rsidRPr="009A46BB" w:rsidRDefault="00B36ABA">
                <w:pPr>
                  <w:spacing w:after="0" w:line="240" w:lineRule="auto"/>
                  <w:rPr>
                    <w:rFonts w:ascii="Times New Roman" w:eastAsia="Times New Roman" w:hAnsi="Times New Roman"/>
                    <w:b/>
                    <w:color w:val="000000"/>
                    <w:sz w:val="18"/>
                    <w:szCs w:val="18"/>
                    <w:lang w:eastAsia="es-CO"/>
                  </w:rPr>
                </w:pPr>
              </w:p>
            </w:tc>
            <w:tc>
              <w:tcPr>
                <w:tcW w:w="3594" w:type="pct"/>
                <w:shd w:val="clear" w:color="auto" w:fill="auto"/>
                <w:noWrap/>
                <w:vAlign w:val="center"/>
                <w:hideMark/>
              </w:tcPr>
              <w:p w14:paraId="44399788"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ANISCOPIO - Contrato de prestación de servicio</w:t>
                </w:r>
              </w:p>
            </w:tc>
            <w:tc>
              <w:tcPr>
                <w:tcW w:w="569" w:type="pct"/>
                <w:shd w:val="clear" w:color="auto" w:fill="auto"/>
                <w:noWrap/>
                <w:vAlign w:val="center"/>
                <w:hideMark/>
              </w:tcPr>
              <w:p w14:paraId="70772587"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96</w:t>
                </w:r>
              </w:p>
            </w:tc>
            <w:tc>
              <w:tcPr>
                <w:tcW w:w="603" w:type="pct"/>
                <w:shd w:val="clear" w:color="auto" w:fill="auto"/>
                <w:noWrap/>
                <w:vAlign w:val="center"/>
                <w:hideMark/>
              </w:tcPr>
              <w:p w14:paraId="25E7A62E"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26</w:t>
                </w:r>
              </w:p>
            </w:tc>
          </w:tr>
          <w:tr w:rsidR="00B36ABA" w:rsidRPr="00E27B04" w14:paraId="59A32D97" w14:textId="77777777" w:rsidTr="007C57E6">
            <w:trPr>
              <w:trHeight w:val="283"/>
            </w:trPr>
            <w:tc>
              <w:tcPr>
                <w:tcW w:w="235" w:type="pct"/>
                <w:vMerge/>
                <w:vAlign w:val="center"/>
                <w:hideMark/>
              </w:tcPr>
              <w:p w14:paraId="7CA48BEF" w14:textId="77777777" w:rsidR="00B36ABA" w:rsidRPr="009A46BB" w:rsidRDefault="00B36ABA">
                <w:pPr>
                  <w:spacing w:after="0" w:line="240" w:lineRule="auto"/>
                  <w:rPr>
                    <w:rFonts w:ascii="Times New Roman" w:eastAsia="Times New Roman" w:hAnsi="Times New Roman"/>
                    <w:b/>
                    <w:color w:val="000000"/>
                    <w:sz w:val="18"/>
                    <w:szCs w:val="18"/>
                    <w:lang w:eastAsia="es-CO"/>
                  </w:rPr>
                </w:pPr>
              </w:p>
            </w:tc>
            <w:tc>
              <w:tcPr>
                <w:tcW w:w="3594" w:type="pct"/>
                <w:shd w:val="clear" w:color="auto" w:fill="auto"/>
                <w:noWrap/>
                <w:vAlign w:val="center"/>
                <w:hideMark/>
              </w:tcPr>
              <w:p w14:paraId="4F994430"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ANISCOPIO - Modo Carretero</w:t>
                </w:r>
              </w:p>
            </w:tc>
            <w:tc>
              <w:tcPr>
                <w:tcW w:w="569" w:type="pct"/>
                <w:shd w:val="clear" w:color="auto" w:fill="auto"/>
                <w:noWrap/>
                <w:vAlign w:val="center"/>
                <w:hideMark/>
              </w:tcPr>
              <w:p w14:paraId="45D9C2B9"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80</w:t>
                </w:r>
              </w:p>
            </w:tc>
            <w:tc>
              <w:tcPr>
                <w:tcW w:w="603" w:type="pct"/>
                <w:shd w:val="clear" w:color="auto" w:fill="auto"/>
                <w:noWrap/>
                <w:vAlign w:val="center"/>
                <w:hideMark/>
              </w:tcPr>
              <w:p w14:paraId="4E101284"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42</w:t>
                </w:r>
              </w:p>
            </w:tc>
          </w:tr>
          <w:tr w:rsidR="00B36ABA" w:rsidRPr="00E27B04" w14:paraId="4624D9C5" w14:textId="77777777" w:rsidTr="007C57E6">
            <w:trPr>
              <w:trHeight w:val="283"/>
            </w:trPr>
            <w:tc>
              <w:tcPr>
                <w:tcW w:w="235" w:type="pct"/>
                <w:vMerge/>
                <w:vAlign w:val="center"/>
                <w:hideMark/>
              </w:tcPr>
              <w:p w14:paraId="6418D950" w14:textId="77777777" w:rsidR="00B36ABA" w:rsidRPr="009A46BB" w:rsidRDefault="00B36ABA">
                <w:pPr>
                  <w:spacing w:after="0" w:line="240" w:lineRule="auto"/>
                  <w:rPr>
                    <w:rFonts w:ascii="Times New Roman" w:eastAsia="Times New Roman" w:hAnsi="Times New Roman"/>
                    <w:b/>
                    <w:color w:val="000000"/>
                    <w:sz w:val="18"/>
                    <w:szCs w:val="18"/>
                    <w:lang w:eastAsia="es-CO"/>
                  </w:rPr>
                </w:pPr>
              </w:p>
            </w:tc>
            <w:tc>
              <w:tcPr>
                <w:tcW w:w="3594" w:type="pct"/>
                <w:shd w:val="clear" w:color="auto" w:fill="auto"/>
                <w:noWrap/>
                <w:vAlign w:val="center"/>
                <w:hideMark/>
              </w:tcPr>
              <w:p w14:paraId="2855BBA3"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ANISCOPIO - Modo Carretero - Información Predial</w:t>
                </w:r>
              </w:p>
            </w:tc>
            <w:tc>
              <w:tcPr>
                <w:tcW w:w="569" w:type="pct"/>
                <w:shd w:val="clear" w:color="auto" w:fill="auto"/>
                <w:noWrap/>
                <w:vAlign w:val="center"/>
                <w:hideMark/>
              </w:tcPr>
              <w:p w14:paraId="7C0C336E"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61</w:t>
                </w:r>
              </w:p>
            </w:tc>
            <w:tc>
              <w:tcPr>
                <w:tcW w:w="603" w:type="pct"/>
                <w:shd w:val="clear" w:color="auto" w:fill="auto"/>
                <w:noWrap/>
                <w:vAlign w:val="center"/>
                <w:hideMark/>
              </w:tcPr>
              <w:p w14:paraId="7B1DED48"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29</w:t>
                </w:r>
              </w:p>
            </w:tc>
          </w:tr>
          <w:tr w:rsidR="00B36ABA" w:rsidRPr="00E27B04" w14:paraId="1C844465" w14:textId="77777777" w:rsidTr="007C57E6">
            <w:trPr>
              <w:trHeight w:val="283"/>
            </w:trPr>
            <w:tc>
              <w:tcPr>
                <w:tcW w:w="235" w:type="pct"/>
                <w:vMerge/>
                <w:vAlign w:val="center"/>
                <w:hideMark/>
              </w:tcPr>
              <w:p w14:paraId="0EC322BA" w14:textId="77777777" w:rsidR="00B36ABA" w:rsidRPr="009A46BB" w:rsidRDefault="00B36ABA">
                <w:pPr>
                  <w:spacing w:after="0" w:line="240" w:lineRule="auto"/>
                  <w:rPr>
                    <w:rFonts w:ascii="Times New Roman" w:eastAsia="Times New Roman" w:hAnsi="Times New Roman"/>
                    <w:b/>
                    <w:color w:val="000000"/>
                    <w:sz w:val="18"/>
                    <w:szCs w:val="18"/>
                    <w:lang w:eastAsia="es-CO"/>
                  </w:rPr>
                </w:pPr>
              </w:p>
            </w:tc>
            <w:tc>
              <w:tcPr>
                <w:tcW w:w="3594" w:type="pct"/>
                <w:shd w:val="clear" w:color="auto" w:fill="auto"/>
                <w:noWrap/>
                <w:vAlign w:val="center"/>
                <w:hideMark/>
              </w:tcPr>
              <w:p w14:paraId="6F17E9F9" w14:textId="40049AF2"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ANISCOPIO </w:t>
                </w:r>
                <w:r w:rsidR="00771F5C" w:rsidRPr="009A46BB">
                  <w:rPr>
                    <w:rFonts w:ascii="Times New Roman" w:eastAsia="Times New Roman" w:hAnsi="Times New Roman"/>
                    <w:color w:val="000000"/>
                    <w:sz w:val="18"/>
                    <w:szCs w:val="18"/>
                    <w:lang w:eastAsia="es-CO"/>
                  </w:rPr>
                  <w:t>–</w:t>
                </w:r>
                <w:r w:rsidRPr="009A46BB">
                  <w:rPr>
                    <w:rFonts w:ascii="Times New Roman" w:eastAsia="Times New Roman" w:hAnsi="Times New Roman"/>
                    <w:color w:val="000000"/>
                    <w:sz w:val="18"/>
                    <w:szCs w:val="18"/>
                    <w:lang w:eastAsia="es-CO"/>
                  </w:rPr>
                  <w:t xml:space="preserve"> Peajes</w:t>
                </w:r>
              </w:p>
            </w:tc>
            <w:tc>
              <w:tcPr>
                <w:tcW w:w="569" w:type="pct"/>
                <w:shd w:val="clear" w:color="auto" w:fill="auto"/>
                <w:noWrap/>
                <w:vAlign w:val="center"/>
                <w:hideMark/>
              </w:tcPr>
              <w:p w14:paraId="0377DC56"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39</w:t>
                </w:r>
              </w:p>
            </w:tc>
            <w:tc>
              <w:tcPr>
                <w:tcW w:w="603" w:type="pct"/>
                <w:shd w:val="clear" w:color="auto" w:fill="auto"/>
                <w:noWrap/>
                <w:vAlign w:val="center"/>
                <w:hideMark/>
              </w:tcPr>
              <w:p w14:paraId="284C91DB"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19</w:t>
                </w:r>
              </w:p>
            </w:tc>
          </w:tr>
          <w:tr w:rsidR="00B36ABA" w:rsidRPr="00E27B04" w14:paraId="6D78EB6A" w14:textId="77777777" w:rsidTr="007C57E6">
            <w:trPr>
              <w:trHeight w:val="283"/>
            </w:trPr>
            <w:tc>
              <w:tcPr>
                <w:tcW w:w="235" w:type="pct"/>
                <w:vMerge/>
                <w:vAlign w:val="center"/>
                <w:hideMark/>
              </w:tcPr>
              <w:p w14:paraId="19409542" w14:textId="77777777" w:rsidR="00B36ABA" w:rsidRPr="009A46BB" w:rsidRDefault="00B36ABA">
                <w:pPr>
                  <w:spacing w:after="0" w:line="240" w:lineRule="auto"/>
                  <w:rPr>
                    <w:rFonts w:ascii="Times New Roman" w:eastAsia="Times New Roman" w:hAnsi="Times New Roman"/>
                    <w:b/>
                    <w:color w:val="000000"/>
                    <w:sz w:val="18"/>
                    <w:szCs w:val="18"/>
                    <w:lang w:eastAsia="es-CO"/>
                  </w:rPr>
                </w:pPr>
              </w:p>
            </w:tc>
            <w:tc>
              <w:tcPr>
                <w:tcW w:w="3594" w:type="pct"/>
                <w:shd w:val="clear" w:color="auto" w:fill="auto"/>
                <w:vAlign w:val="center"/>
                <w:hideMark/>
              </w:tcPr>
              <w:p w14:paraId="5DAAD227"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Buenas prácticas para la prevención del atropellamiento de fauna en vías concesionadas</w:t>
                </w:r>
              </w:p>
            </w:tc>
            <w:tc>
              <w:tcPr>
                <w:tcW w:w="569" w:type="pct"/>
                <w:shd w:val="clear" w:color="auto" w:fill="auto"/>
                <w:noWrap/>
                <w:vAlign w:val="center"/>
                <w:hideMark/>
              </w:tcPr>
              <w:p w14:paraId="7D4CFF73"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21</w:t>
                </w:r>
              </w:p>
            </w:tc>
            <w:tc>
              <w:tcPr>
                <w:tcW w:w="603" w:type="pct"/>
                <w:shd w:val="clear" w:color="auto" w:fill="auto"/>
                <w:noWrap/>
                <w:vAlign w:val="center"/>
                <w:hideMark/>
              </w:tcPr>
              <w:p w14:paraId="0DF0E474"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15</w:t>
                </w:r>
              </w:p>
            </w:tc>
          </w:tr>
          <w:tr w:rsidR="00B36ABA" w:rsidRPr="00E27B04" w14:paraId="396F2A70" w14:textId="77777777" w:rsidTr="007C57E6">
            <w:trPr>
              <w:trHeight w:val="283"/>
            </w:trPr>
            <w:tc>
              <w:tcPr>
                <w:tcW w:w="235" w:type="pct"/>
                <w:vMerge/>
                <w:vAlign w:val="center"/>
                <w:hideMark/>
              </w:tcPr>
              <w:p w14:paraId="52EC20F7" w14:textId="77777777" w:rsidR="00B36ABA" w:rsidRPr="009A46BB" w:rsidRDefault="00B36ABA">
                <w:pPr>
                  <w:spacing w:after="0" w:line="240" w:lineRule="auto"/>
                  <w:rPr>
                    <w:rFonts w:ascii="Times New Roman" w:eastAsia="Times New Roman" w:hAnsi="Times New Roman"/>
                    <w:b/>
                    <w:color w:val="000000"/>
                    <w:sz w:val="18"/>
                    <w:szCs w:val="18"/>
                    <w:lang w:eastAsia="es-CO"/>
                  </w:rPr>
                </w:pPr>
              </w:p>
            </w:tc>
            <w:tc>
              <w:tcPr>
                <w:tcW w:w="3594" w:type="pct"/>
                <w:shd w:val="clear" w:color="auto" w:fill="auto"/>
                <w:noWrap/>
                <w:vAlign w:val="center"/>
                <w:hideMark/>
              </w:tcPr>
              <w:p w14:paraId="47B98D74"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Capacitación EDL -CNSC</w:t>
                </w:r>
              </w:p>
            </w:tc>
            <w:tc>
              <w:tcPr>
                <w:tcW w:w="569" w:type="pct"/>
                <w:shd w:val="clear" w:color="auto" w:fill="auto"/>
                <w:noWrap/>
                <w:vAlign w:val="center"/>
                <w:hideMark/>
              </w:tcPr>
              <w:p w14:paraId="3474804B"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3</w:t>
                </w:r>
              </w:p>
            </w:tc>
            <w:tc>
              <w:tcPr>
                <w:tcW w:w="603" w:type="pct"/>
                <w:shd w:val="clear" w:color="auto" w:fill="auto"/>
                <w:noWrap/>
                <w:vAlign w:val="center"/>
                <w:hideMark/>
              </w:tcPr>
              <w:p w14:paraId="746A9F53"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29</w:t>
                </w:r>
              </w:p>
            </w:tc>
          </w:tr>
          <w:tr w:rsidR="00B36ABA" w:rsidRPr="00E27B04" w14:paraId="6AE30E2A" w14:textId="77777777" w:rsidTr="007C57E6">
            <w:trPr>
              <w:trHeight w:val="283"/>
            </w:trPr>
            <w:tc>
              <w:tcPr>
                <w:tcW w:w="235" w:type="pct"/>
                <w:vMerge/>
                <w:vAlign w:val="center"/>
                <w:hideMark/>
              </w:tcPr>
              <w:p w14:paraId="78BBEB1E" w14:textId="77777777" w:rsidR="00B36ABA" w:rsidRPr="009A46BB" w:rsidRDefault="00B36ABA">
                <w:pPr>
                  <w:spacing w:after="0" w:line="240" w:lineRule="auto"/>
                  <w:rPr>
                    <w:rFonts w:ascii="Times New Roman" w:eastAsia="Times New Roman" w:hAnsi="Times New Roman"/>
                    <w:b/>
                    <w:color w:val="000000"/>
                    <w:sz w:val="18"/>
                    <w:szCs w:val="18"/>
                    <w:lang w:eastAsia="es-CO"/>
                  </w:rPr>
                </w:pPr>
              </w:p>
            </w:tc>
            <w:tc>
              <w:tcPr>
                <w:tcW w:w="3594" w:type="pct"/>
                <w:shd w:val="clear" w:color="auto" w:fill="auto"/>
                <w:noWrap/>
                <w:vAlign w:val="center"/>
                <w:hideMark/>
              </w:tcPr>
              <w:p w14:paraId="5C37D555"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Charla PMI</w:t>
                </w:r>
              </w:p>
            </w:tc>
            <w:tc>
              <w:tcPr>
                <w:tcW w:w="569" w:type="pct"/>
                <w:shd w:val="clear" w:color="auto" w:fill="auto"/>
                <w:noWrap/>
                <w:vAlign w:val="center"/>
                <w:hideMark/>
              </w:tcPr>
              <w:p w14:paraId="65000C65"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16</w:t>
                </w:r>
              </w:p>
            </w:tc>
            <w:tc>
              <w:tcPr>
                <w:tcW w:w="603" w:type="pct"/>
                <w:shd w:val="clear" w:color="auto" w:fill="auto"/>
                <w:noWrap/>
                <w:vAlign w:val="center"/>
                <w:hideMark/>
              </w:tcPr>
              <w:p w14:paraId="4DE87BD2"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12</w:t>
                </w:r>
              </w:p>
            </w:tc>
          </w:tr>
          <w:tr w:rsidR="00B36ABA" w:rsidRPr="00E27B04" w14:paraId="6147B659" w14:textId="77777777" w:rsidTr="007C57E6">
            <w:trPr>
              <w:trHeight w:val="283"/>
            </w:trPr>
            <w:tc>
              <w:tcPr>
                <w:tcW w:w="235" w:type="pct"/>
                <w:vMerge/>
                <w:vAlign w:val="center"/>
                <w:hideMark/>
              </w:tcPr>
              <w:p w14:paraId="23A34A29" w14:textId="77777777" w:rsidR="00B36ABA" w:rsidRPr="009A46BB" w:rsidRDefault="00B36ABA">
                <w:pPr>
                  <w:spacing w:after="0" w:line="240" w:lineRule="auto"/>
                  <w:rPr>
                    <w:rFonts w:ascii="Times New Roman" w:eastAsia="Times New Roman" w:hAnsi="Times New Roman"/>
                    <w:b/>
                    <w:color w:val="000000"/>
                    <w:sz w:val="18"/>
                    <w:szCs w:val="18"/>
                    <w:lang w:eastAsia="es-CO"/>
                  </w:rPr>
                </w:pPr>
              </w:p>
            </w:tc>
            <w:tc>
              <w:tcPr>
                <w:tcW w:w="3594" w:type="pct"/>
                <w:shd w:val="clear" w:color="auto" w:fill="auto"/>
                <w:noWrap/>
                <w:vAlign w:val="center"/>
                <w:hideMark/>
              </w:tcPr>
              <w:p w14:paraId="4A60C5C2"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Charla preventiva Control Disciplinario Interno</w:t>
                </w:r>
              </w:p>
            </w:tc>
            <w:tc>
              <w:tcPr>
                <w:tcW w:w="569" w:type="pct"/>
                <w:shd w:val="clear" w:color="auto" w:fill="auto"/>
                <w:noWrap/>
                <w:vAlign w:val="center"/>
                <w:hideMark/>
              </w:tcPr>
              <w:p w14:paraId="7D8F8C86"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214</w:t>
                </w:r>
              </w:p>
            </w:tc>
            <w:tc>
              <w:tcPr>
                <w:tcW w:w="603" w:type="pct"/>
                <w:shd w:val="clear" w:color="auto" w:fill="auto"/>
                <w:noWrap/>
                <w:vAlign w:val="center"/>
                <w:hideMark/>
              </w:tcPr>
              <w:p w14:paraId="070EE3D9"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218</w:t>
                </w:r>
              </w:p>
            </w:tc>
          </w:tr>
          <w:tr w:rsidR="00B36ABA" w:rsidRPr="00E27B04" w14:paraId="5DBB9616" w14:textId="77777777" w:rsidTr="007C57E6">
            <w:trPr>
              <w:trHeight w:val="283"/>
            </w:trPr>
            <w:tc>
              <w:tcPr>
                <w:tcW w:w="235" w:type="pct"/>
                <w:vMerge/>
                <w:vAlign w:val="center"/>
                <w:hideMark/>
              </w:tcPr>
              <w:p w14:paraId="172B6F38" w14:textId="77777777" w:rsidR="00B36ABA" w:rsidRPr="009A46BB" w:rsidRDefault="00B36ABA">
                <w:pPr>
                  <w:spacing w:after="0" w:line="240" w:lineRule="auto"/>
                  <w:rPr>
                    <w:rFonts w:ascii="Times New Roman" w:eastAsia="Times New Roman" w:hAnsi="Times New Roman"/>
                    <w:b/>
                    <w:color w:val="000000"/>
                    <w:sz w:val="18"/>
                    <w:szCs w:val="18"/>
                    <w:lang w:eastAsia="es-CO"/>
                  </w:rPr>
                </w:pPr>
              </w:p>
            </w:tc>
            <w:tc>
              <w:tcPr>
                <w:tcW w:w="3594" w:type="pct"/>
                <w:shd w:val="clear" w:color="auto" w:fill="auto"/>
                <w:noWrap/>
                <w:vAlign w:val="center"/>
                <w:hideMark/>
              </w:tcPr>
              <w:p w14:paraId="7856669F"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Conferencia El Castillo</w:t>
                </w:r>
              </w:p>
            </w:tc>
            <w:tc>
              <w:tcPr>
                <w:tcW w:w="569" w:type="pct"/>
                <w:shd w:val="clear" w:color="auto" w:fill="auto"/>
                <w:noWrap/>
                <w:vAlign w:val="center"/>
                <w:hideMark/>
              </w:tcPr>
              <w:p w14:paraId="25ABD335"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34</w:t>
                </w:r>
              </w:p>
            </w:tc>
            <w:tc>
              <w:tcPr>
                <w:tcW w:w="603" w:type="pct"/>
                <w:shd w:val="clear" w:color="auto" w:fill="auto"/>
                <w:noWrap/>
                <w:vAlign w:val="center"/>
                <w:hideMark/>
              </w:tcPr>
              <w:p w14:paraId="4BD24C07"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40</w:t>
                </w:r>
              </w:p>
            </w:tc>
          </w:tr>
          <w:tr w:rsidR="00B36ABA" w:rsidRPr="00E27B04" w14:paraId="3B162A57" w14:textId="77777777" w:rsidTr="007C57E6">
            <w:trPr>
              <w:trHeight w:val="283"/>
            </w:trPr>
            <w:tc>
              <w:tcPr>
                <w:tcW w:w="235" w:type="pct"/>
                <w:vMerge/>
                <w:vAlign w:val="center"/>
                <w:hideMark/>
              </w:tcPr>
              <w:p w14:paraId="0079B944" w14:textId="77777777" w:rsidR="00B36ABA" w:rsidRPr="009A46BB" w:rsidRDefault="00B36ABA">
                <w:pPr>
                  <w:spacing w:after="0" w:line="240" w:lineRule="auto"/>
                  <w:rPr>
                    <w:rFonts w:ascii="Times New Roman" w:eastAsia="Times New Roman" w:hAnsi="Times New Roman"/>
                    <w:b/>
                    <w:color w:val="000000"/>
                    <w:sz w:val="18"/>
                    <w:szCs w:val="18"/>
                    <w:lang w:eastAsia="es-CO"/>
                  </w:rPr>
                </w:pPr>
              </w:p>
            </w:tc>
            <w:tc>
              <w:tcPr>
                <w:tcW w:w="3594" w:type="pct"/>
                <w:shd w:val="clear" w:color="auto" w:fill="auto"/>
                <w:noWrap/>
                <w:vAlign w:val="center"/>
                <w:hideMark/>
              </w:tcPr>
              <w:p w14:paraId="58C50F10"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Conferencia Multiproyectos y Gestión de Portafolios PMO</w:t>
                </w:r>
              </w:p>
            </w:tc>
            <w:tc>
              <w:tcPr>
                <w:tcW w:w="569" w:type="pct"/>
                <w:shd w:val="clear" w:color="auto" w:fill="auto"/>
                <w:noWrap/>
                <w:vAlign w:val="center"/>
                <w:hideMark/>
              </w:tcPr>
              <w:p w14:paraId="1ADFBCD8"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10</w:t>
                </w:r>
              </w:p>
            </w:tc>
            <w:tc>
              <w:tcPr>
                <w:tcW w:w="603" w:type="pct"/>
                <w:shd w:val="clear" w:color="auto" w:fill="auto"/>
                <w:noWrap/>
                <w:vAlign w:val="center"/>
                <w:hideMark/>
              </w:tcPr>
              <w:p w14:paraId="145C7C38"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15</w:t>
                </w:r>
              </w:p>
            </w:tc>
          </w:tr>
          <w:tr w:rsidR="00B36ABA" w:rsidRPr="00E27B04" w14:paraId="18A61348" w14:textId="77777777" w:rsidTr="007C57E6">
            <w:trPr>
              <w:trHeight w:val="283"/>
            </w:trPr>
            <w:tc>
              <w:tcPr>
                <w:tcW w:w="235" w:type="pct"/>
                <w:vMerge/>
                <w:vAlign w:val="center"/>
                <w:hideMark/>
              </w:tcPr>
              <w:p w14:paraId="5C6315B5" w14:textId="77777777" w:rsidR="00B36ABA" w:rsidRPr="009A46BB" w:rsidRDefault="00B36ABA">
                <w:pPr>
                  <w:spacing w:after="0" w:line="240" w:lineRule="auto"/>
                  <w:rPr>
                    <w:rFonts w:ascii="Times New Roman" w:eastAsia="Times New Roman" w:hAnsi="Times New Roman"/>
                    <w:b/>
                    <w:color w:val="000000"/>
                    <w:sz w:val="18"/>
                    <w:szCs w:val="18"/>
                    <w:lang w:eastAsia="es-CO"/>
                  </w:rPr>
                </w:pPr>
              </w:p>
            </w:tc>
            <w:tc>
              <w:tcPr>
                <w:tcW w:w="3594" w:type="pct"/>
                <w:shd w:val="clear" w:color="auto" w:fill="auto"/>
                <w:vAlign w:val="center"/>
                <w:hideMark/>
              </w:tcPr>
              <w:p w14:paraId="6044B33E"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Control Disciplinario Interno. </w:t>
                </w:r>
                <w:r w:rsidRPr="009A46BB">
                  <w:rPr>
                    <w:rFonts w:ascii="Times New Roman" w:eastAsia="Times New Roman" w:hAnsi="Times New Roman"/>
                    <w:color w:val="000000"/>
                    <w:sz w:val="18"/>
                    <w:szCs w:val="18"/>
                    <w:lang w:eastAsia="es-CO"/>
                  </w:rPr>
                  <w:br/>
                  <w:t>Prevención, atención y sanación violencia contra la mujer en el ámbito laboral - Comité de Convivencia</w:t>
                </w:r>
              </w:p>
            </w:tc>
            <w:tc>
              <w:tcPr>
                <w:tcW w:w="569" w:type="pct"/>
                <w:shd w:val="clear" w:color="auto" w:fill="auto"/>
                <w:noWrap/>
                <w:vAlign w:val="center"/>
                <w:hideMark/>
              </w:tcPr>
              <w:p w14:paraId="469D4058"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w:t>
                </w:r>
              </w:p>
            </w:tc>
            <w:tc>
              <w:tcPr>
                <w:tcW w:w="603" w:type="pct"/>
                <w:shd w:val="clear" w:color="auto" w:fill="auto"/>
                <w:noWrap/>
                <w:vAlign w:val="center"/>
                <w:hideMark/>
              </w:tcPr>
              <w:p w14:paraId="19BA3C40"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5</w:t>
                </w:r>
              </w:p>
            </w:tc>
          </w:tr>
          <w:tr w:rsidR="00B36ABA" w:rsidRPr="00E27B04" w14:paraId="51DB9194" w14:textId="77777777" w:rsidTr="007C57E6">
            <w:trPr>
              <w:trHeight w:val="283"/>
            </w:trPr>
            <w:tc>
              <w:tcPr>
                <w:tcW w:w="235" w:type="pct"/>
                <w:vMerge/>
                <w:vAlign w:val="center"/>
                <w:hideMark/>
              </w:tcPr>
              <w:p w14:paraId="363E7531" w14:textId="77777777" w:rsidR="00B36ABA" w:rsidRPr="009A46BB" w:rsidRDefault="00B36ABA">
                <w:pPr>
                  <w:spacing w:after="0" w:line="240" w:lineRule="auto"/>
                  <w:rPr>
                    <w:rFonts w:ascii="Times New Roman" w:eastAsia="Times New Roman" w:hAnsi="Times New Roman"/>
                    <w:b/>
                    <w:color w:val="000000"/>
                    <w:sz w:val="18"/>
                    <w:szCs w:val="18"/>
                    <w:lang w:eastAsia="es-CO"/>
                  </w:rPr>
                </w:pPr>
              </w:p>
            </w:tc>
            <w:tc>
              <w:tcPr>
                <w:tcW w:w="3594" w:type="pct"/>
                <w:shd w:val="clear" w:color="auto" w:fill="auto"/>
                <w:vAlign w:val="center"/>
                <w:hideMark/>
              </w:tcPr>
              <w:p w14:paraId="1522AFF2"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Conversatorio virtual "Experiencias significativas de gestión ambiental en proyectos de transporte concesionados por la ANI"</w:t>
                </w:r>
              </w:p>
            </w:tc>
            <w:tc>
              <w:tcPr>
                <w:tcW w:w="569" w:type="pct"/>
                <w:shd w:val="clear" w:color="auto" w:fill="auto"/>
                <w:noWrap/>
                <w:vAlign w:val="center"/>
                <w:hideMark/>
              </w:tcPr>
              <w:p w14:paraId="6EC493E7"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51</w:t>
                </w:r>
              </w:p>
            </w:tc>
            <w:tc>
              <w:tcPr>
                <w:tcW w:w="603" w:type="pct"/>
                <w:shd w:val="clear" w:color="auto" w:fill="auto"/>
                <w:noWrap/>
                <w:vAlign w:val="center"/>
                <w:hideMark/>
              </w:tcPr>
              <w:p w14:paraId="066AFF94"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27</w:t>
                </w:r>
              </w:p>
            </w:tc>
          </w:tr>
          <w:tr w:rsidR="00B36ABA" w:rsidRPr="00E27B04" w14:paraId="4037D9A4" w14:textId="77777777" w:rsidTr="007C57E6">
            <w:trPr>
              <w:trHeight w:val="283"/>
            </w:trPr>
            <w:tc>
              <w:tcPr>
                <w:tcW w:w="235" w:type="pct"/>
                <w:vMerge/>
                <w:vAlign w:val="center"/>
                <w:hideMark/>
              </w:tcPr>
              <w:p w14:paraId="6F6CB92C" w14:textId="77777777" w:rsidR="00B36ABA" w:rsidRPr="009A46BB" w:rsidRDefault="00B36ABA">
                <w:pPr>
                  <w:spacing w:after="0" w:line="240" w:lineRule="auto"/>
                  <w:rPr>
                    <w:rFonts w:ascii="Times New Roman" w:eastAsia="Times New Roman" w:hAnsi="Times New Roman"/>
                    <w:b/>
                    <w:color w:val="000000"/>
                    <w:sz w:val="18"/>
                    <w:szCs w:val="18"/>
                    <w:lang w:eastAsia="es-CO"/>
                  </w:rPr>
                </w:pPr>
              </w:p>
            </w:tc>
            <w:tc>
              <w:tcPr>
                <w:tcW w:w="3594" w:type="pct"/>
                <w:shd w:val="clear" w:color="auto" w:fill="auto"/>
                <w:noWrap/>
                <w:vAlign w:val="center"/>
                <w:hideMark/>
              </w:tcPr>
              <w:p w14:paraId="3908C818"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El Juego de las 3RS</w:t>
                </w:r>
              </w:p>
            </w:tc>
            <w:tc>
              <w:tcPr>
                <w:tcW w:w="569" w:type="pct"/>
                <w:shd w:val="clear" w:color="auto" w:fill="auto"/>
                <w:noWrap/>
                <w:vAlign w:val="center"/>
                <w:hideMark/>
              </w:tcPr>
              <w:p w14:paraId="20F104FB"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5</w:t>
                </w:r>
              </w:p>
            </w:tc>
            <w:tc>
              <w:tcPr>
                <w:tcW w:w="603" w:type="pct"/>
                <w:shd w:val="clear" w:color="auto" w:fill="auto"/>
                <w:noWrap/>
                <w:vAlign w:val="center"/>
                <w:hideMark/>
              </w:tcPr>
              <w:p w14:paraId="5958D6DE"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7</w:t>
                </w:r>
              </w:p>
            </w:tc>
          </w:tr>
          <w:tr w:rsidR="00B36ABA" w:rsidRPr="00E27B04" w14:paraId="31C6F249" w14:textId="77777777" w:rsidTr="007C57E6">
            <w:trPr>
              <w:trHeight w:val="283"/>
            </w:trPr>
            <w:tc>
              <w:tcPr>
                <w:tcW w:w="235" w:type="pct"/>
                <w:vMerge/>
                <w:vAlign w:val="center"/>
                <w:hideMark/>
              </w:tcPr>
              <w:p w14:paraId="39A53DFF" w14:textId="77777777" w:rsidR="00B36ABA" w:rsidRPr="009A46BB" w:rsidRDefault="00B36ABA">
                <w:pPr>
                  <w:spacing w:after="0" w:line="240" w:lineRule="auto"/>
                  <w:rPr>
                    <w:rFonts w:ascii="Times New Roman" w:eastAsia="Times New Roman" w:hAnsi="Times New Roman"/>
                    <w:b/>
                    <w:color w:val="000000"/>
                    <w:sz w:val="18"/>
                    <w:szCs w:val="18"/>
                    <w:lang w:eastAsia="es-CO"/>
                  </w:rPr>
                </w:pPr>
              </w:p>
            </w:tc>
            <w:tc>
              <w:tcPr>
                <w:tcW w:w="3594" w:type="pct"/>
                <w:shd w:val="clear" w:color="auto" w:fill="auto"/>
                <w:noWrap/>
                <w:vAlign w:val="center"/>
                <w:hideMark/>
              </w:tcPr>
              <w:p w14:paraId="13483C2D"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Estrategias para el consumo sostenible del agua</w:t>
                </w:r>
              </w:p>
            </w:tc>
            <w:tc>
              <w:tcPr>
                <w:tcW w:w="569" w:type="pct"/>
                <w:shd w:val="clear" w:color="auto" w:fill="auto"/>
                <w:noWrap/>
                <w:vAlign w:val="center"/>
                <w:hideMark/>
              </w:tcPr>
              <w:p w14:paraId="55394A56"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w:t>
                </w:r>
              </w:p>
            </w:tc>
            <w:tc>
              <w:tcPr>
                <w:tcW w:w="603" w:type="pct"/>
                <w:shd w:val="clear" w:color="auto" w:fill="auto"/>
                <w:noWrap/>
                <w:vAlign w:val="center"/>
                <w:hideMark/>
              </w:tcPr>
              <w:p w14:paraId="11E5A3BB"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9</w:t>
                </w:r>
              </w:p>
            </w:tc>
          </w:tr>
          <w:tr w:rsidR="00B36ABA" w:rsidRPr="00E27B04" w14:paraId="2D730ABF" w14:textId="77777777" w:rsidTr="007C57E6">
            <w:trPr>
              <w:trHeight w:val="283"/>
            </w:trPr>
            <w:tc>
              <w:tcPr>
                <w:tcW w:w="235" w:type="pct"/>
                <w:vMerge/>
                <w:vAlign w:val="center"/>
                <w:hideMark/>
              </w:tcPr>
              <w:p w14:paraId="38499A96" w14:textId="77777777" w:rsidR="00B36ABA" w:rsidRPr="009A46BB" w:rsidRDefault="00B36ABA">
                <w:pPr>
                  <w:spacing w:after="0" w:line="240" w:lineRule="auto"/>
                  <w:rPr>
                    <w:rFonts w:ascii="Times New Roman" w:eastAsia="Times New Roman" w:hAnsi="Times New Roman"/>
                    <w:b/>
                    <w:color w:val="000000"/>
                    <w:sz w:val="18"/>
                    <w:szCs w:val="18"/>
                    <w:lang w:eastAsia="es-CO"/>
                  </w:rPr>
                </w:pPr>
              </w:p>
            </w:tc>
            <w:tc>
              <w:tcPr>
                <w:tcW w:w="3594" w:type="pct"/>
                <w:shd w:val="clear" w:color="auto" w:fill="auto"/>
                <w:noWrap/>
                <w:vAlign w:val="center"/>
                <w:hideMark/>
              </w:tcPr>
              <w:p w14:paraId="7ABC2B94"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Evaluación del Desempeño Laboral</w:t>
                </w:r>
              </w:p>
            </w:tc>
            <w:tc>
              <w:tcPr>
                <w:tcW w:w="569" w:type="pct"/>
                <w:shd w:val="clear" w:color="auto" w:fill="auto"/>
                <w:noWrap/>
                <w:vAlign w:val="center"/>
                <w:hideMark/>
              </w:tcPr>
              <w:p w14:paraId="1FE0CAB9"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w:t>
                </w:r>
              </w:p>
            </w:tc>
            <w:tc>
              <w:tcPr>
                <w:tcW w:w="603" w:type="pct"/>
                <w:shd w:val="clear" w:color="auto" w:fill="auto"/>
                <w:noWrap/>
                <w:vAlign w:val="center"/>
                <w:hideMark/>
              </w:tcPr>
              <w:p w14:paraId="0DCDDBB9"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111</w:t>
                </w:r>
              </w:p>
            </w:tc>
          </w:tr>
          <w:tr w:rsidR="00B36ABA" w:rsidRPr="00E27B04" w14:paraId="39E00236" w14:textId="77777777" w:rsidTr="007C57E6">
            <w:trPr>
              <w:trHeight w:val="283"/>
            </w:trPr>
            <w:tc>
              <w:tcPr>
                <w:tcW w:w="235" w:type="pct"/>
                <w:vMerge/>
                <w:vAlign w:val="center"/>
                <w:hideMark/>
              </w:tcPr>
              <w:p w14:paraId="31700041" w14:textId="77777777" w:rsidR="00B36ABA" w:rsidRPr="009A46BB" w:rsidRDefault="00B36ABA">
                <w:pPr>
                  <w:spacing w:after="0" w:line="240" w:lineRule="auto"/>
                  <w:rPr>
                    <w:rFonts w:ascii="Times New Roman" w:eastAsia="Times New Roman" w:hAnsi="Times New Roman"/>
                    <w:b/>
                    <w:color w:val="000000"/>
                    <w:sz w:val="18"/>
                    <w:szCs w:val="18"/>
                    <w:lang w:eastAsia="es-CO"/>
                  </w:rPr>
                </w:pPr>
              </w:p>
            </w:tc>
            <w:tc>
              <w:tcPr>
                <w:tcW w:w="3594" w:type="pct"/>
                <w:shd w:val="clear" w:color="auto" w:fill="auto"/>
                <w:noWrap/>
                <w:vAlign w:val="center"/>
                <w:hideMark/>
              </w:tcPr>
              <w:p w14:paraId="30C6804D"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Fuentes no convencionales de energía</w:t>
                </w:r>
              </w:p>
            </w:tc>
            <w:tc>
              <w:tcPr>
                <w:tcW w:w="569" w:type="pct"/>
                <w:shd w:val="clear" w:color="auto" w:fill="auto"/>
                <w:noWrap/>
                <w:vAlign w:val="center"/>
                <w:hideMark/>
              </w:tcPr>
              <w:p w14:paraId="4A34D6C6"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12</w:t>
                </w:r>
              </w:p>
            </w:tc>
            <w:tc>
              <w:tcPr>
                <w:tcW w:w="603" w:type="pct"/>
                <w:shd w:val="clear" w:color="auto" w:fill="auto"/>
                <w:noWrap/>
                <w:vAlign w:val="center"/>
                <w:hideMark/>
              </w:tcPr>
              <w:p w14:paraId="68204ABC"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w:t>
                </w:r>
              </w:p>
            </w:tc>
          </w:tr>
          <w:tr w:rsidR="00B36ABA" w:rsidRPr="00E27B04" w14:paraId="75EC84D8" w14:textId="77777777" w:rsidTr="007C57E6">
            <w:trPr>
              <w:trHeight w:val="283"/>
            </w:trPr>
            <w:tc>
              <w:tcPr>
                <w:tcW w:w="235" w:type="pct"/>
                <w:vMerge/>
                <w:vAlign w:val="center"/>
                <w:hideMark/>
              </w:tcPr>
              <w:p w14:paraId="61C1AB61" w14:textId="77777777" w:rsidR="00B36ABA" w:rsidRPr="009A46BB" w:rsidRDefault="00B36ABA">
                <w:pPr>
                  <w:spacing w:after="0" w:line="240" w:lineRule="auto"/>
                  <w:rPr>
                    <w:rFonts w:ascii="Times New Roman" w:eastAsia="Times New Roman" w:hAnsi="Times New Roman"/>
                    <w:b/>
                    <w:color w:val="000000"/>
                    <w:sz w:val="18"/>
                    <w:szCs w:val="18"/>
                    <w:lang w:eastAsia="es-CO"/>
                  </w:rPr>
                </w:pPr>
              </w:p>
            </w:tc>
            <w:tc>
              <w:tcPr>
                <w:tcW w:w="3594" w:type="pct"/>
                <w:shd w:val="clear" w:color="auto" w:fill="auto"/>
                <w:noWrap/>
                <w:vAlign w:val="center"/>
                <w:hideMark/>
              </w:tcPr>
              <w:p w14:paraId="5DD8994E"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Gemelos Digitales Bentely - ANI </w:t>
                </w:r>
              </w:p>
            </w:tc>
            <w:tc>
              <w:tcPr>
                <w:tcW w:w="569" w:type="pct"/>
                <w:shd w:val="clear" w:color="auto" w:fill="auto"/>
                <w:noWrap/>
                <w:vAlign w:val="center"/>
                <w:hideMark/>
              </w:tcPr>
              <w:p w14:paraId="597E22D8"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7</w:t>
                </w:r>
              </w:p>
            </w:tc>
            <w:tc>
              <w:tcPr>
                <w:tcW w:w="603" w:type="pct"/>
                <w:shd w:val="clear" w:color="auto" w:fill="auto"/>
                <w:noWrap/>
                <w:vAlign w:val="center"/>
                <w:hideMark/>
              </w:tcPr>
              <w:p w14:paraId="570BACAE"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3</w:t>
                </w:r>
              </w:p>
            </w:tc>
          </w:tr>
          <w:tr w:rsidR="00B36ABA" w:rsidRPr="00E27B04" w14:paraId="49B40888" w14:textId="77777777" w:rsidTr="007C57E6">
            <w:trPr>
              <w:trHeight w:val="283"/>
            </w:trPr>
            <w:tc>
              <w:tcPr>
                <w:tcW w:w="235" w:type="pct"/>
                <w:vMerge/>
                <w:vAlign w:val="center"/>
                <w:hideMark/>
              </w:tcPr>
              <w:p w14:paraId="0DB1596B" w14:textId="77777777" w:rsidR="00B36ABA" w:rsidRPr="009A46BB" w:rsidRDefault="00B36ABA">
                <w:pPr>
                  <w:spacing w:after="0" w:line="240" w:lineRule="auto"/>
                  <w:rPr>
                    <w:rFonts w:ascii="Times New Roman" w:eastAsia="Times New Roman" w:hAnsi="Times New Roman"/>
                    <w:b/>
                    <w:color w:val="000000"/>
                    <w:sz w:val="18"/>
                    <w:szCs w:val="18"/>
                    <w:lang w:eastAsia="es-CO"/>
                  </w:rPr>
                </w:pPr>
              </w:p>
            </w:tc>
            <w:tc>
              <w:tcPr>
                <w:tcW w:w="3594" w:type="pct"/>
                <w:shd w:val="clear" w:color="auto" w:fill="auto"/>
                <w:noWrap/>
                <w:vAlign w:val="center"/>
                <w:hideMark/>
              </w:tcPr>
              <w:p w14:paraId="67C01697"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Generalidades Trabajo a distancia</w:t>
                </w:r>
              </w:p>
            </w:tc>
            <w:tc>
              <w:tcPr>
                <w:tcW w:w="569" w:type="pct"/>
                <w:shd w:val="clear" w:color="auto" w:fill="auto"/>
                <w:noWrap/>
                <w:vAlign w:val="center"/>
                <w:hideMark/>
              </w:tcPr>
              <w:p w14:paraId="4F2F8BF3"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w:t>
                </w:r>
              </w:p>
            </w:tc>
            <w:tc>
              <w:tcPr>
                <w:tcW w:w="603" w:type="pct"/>
                <w:shd w:val="clear" w:color="auto" w:fill="auto"/>
                <w:noWrap/>
                <w:vAlign w:val="center"/>
                <w:hideMark/>
              </w:tcPr>
              <w:p w14:paraId="6E18D519"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78</w:t>
                </w:r>
              </w:p>
            </w:tc>
          </w:tr>
          <w:tr w:rsidR="00B36ABA" w:rsidRPr="00E27B04" w14:paraId="421249FC" w14:textId="77777777" w:rsidTr="007C57E6">
            <w:trPr>
              <w:trHeight w:val="283"/>
            </w:trPr>
            <w:tc>
              <w:tcPr>
                <w:tcW w:w="235" w:type="pct"/>
                <w:vMerge/>
                <w:vAlign w:val="center"/>
                <w:hideMark/>
              </w:tcPr>
              <w:p w14:paraId="1AB82B57" w14:textId="77777777" w:rsidR="00B36ABA" w:rsidRPr="009A46BB" w:rsidRDefault="00B36ABA">
                <w:pPr>
                  <w:spacing w:after="0" w:line="240" w:lineRule="auto"/>
                  <w:rPr>
                    <w:rFonts w:ascii="Times New Roman" w:eastAsia="Times New Roman" w:hAnsi="Times New Roman"/>
                    <w:b/>
                    <w:color w:val="000000"/>
                    <w:sz w:val="18"/>
                    <w:szCs w:val="18"/>
                    <w:lang w:eastAsia="es-CO"/>
                  </w:rPr>
                </w:pPr>
              </w:p>
            </w:tc>
            <w:tc>
              <w:tcPr>
                <w:tcW w:w="3594" w:type="pct"/>
                <w:shd w:val="clear" w:color="auto" w:fill="auto"/>
                <w:noWrap/>
                <w:vAlign w:val="center"/>
                <w:hideMark/>
              </w:tcPr>
              <w:p w14:paraId="26636B98"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Gestión Ambiental sobre riesgos</w:t>
                </w:r>
              </w:p>
            </w:tc>
            <w:tc>
              <w:tcPr>
                <w:tcW w:w="569" w:type="pct"/>
                <w:shd w:val="clear" w:color="auto" w:fill="auto"/>
                <w:noWrap/>
                <w:vAlign w:val="center"/>
                <w:hideMark/>
              </w:tcPr>
              <w:p w14:paraId="4F236888"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35</w:t>
                </w:r>
              </w:p>
            </w:tc>
            <w:tc>
              <w:tcPr>
                <w:tcW w:w="603" w:type="pct"/>
                <w:shd w:val="clear" w:color="auto" w:fill="auto"/>
                <w:noWrap/>
                <w:vAlign w:val="center"/>
                <w:hideMark/>
              </w:tcPr>
              <w:p w14:paraId="1C6DF9BB"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19</w:t>
                </w:r>
              </w:p>
            </w:tc>
          </w:tr>
          <w:tr w:rsidR="00B36ABA" w:rsidRPr="00E27B04" w14:paraId="29A435C9" w14:textId="77777777" w:rsidTr="007C57E6">
            <w:trPr>
              <w:trHeight w:val="283"/>
            </w:trPr>
            <w:tc>
              <w:tcPr>
                <w:tcW w:w="235" w:type="pct"/>
                <w:vMerge/>
                <w:vAlign w:val="center"/>
                <w:hideMark/>
              </w:tcPr>
              <w:p w14:paraId="52AD1439" w14:textId="77777777" w:rsidR="00B36ABA" w:rsidRPr="009A46BB" w:rsidRDefault="00B36ABA">
                <w:pPr>
                  <w:spacing w:after="0" w:line="240" w:lineRule="auto"/>
                  <w:rPr>
                    <w:rFonts w:ascii="Times New Roman" w:eastAsia="Times New Roman" w:hAnsi="Times New Roman"/>
                    <w:b/>
                    <w:color w:val="000000"/>
                    <w:sz w:val="18"/>
                    <w:szCs w:val="18"/>
                    <w:lang w:eastAsia="es-CO"/>
                  </w:rPr>
                </w:pPr>
              </w:p>
            </w:tc>
            <w:tc>
              <w:tcPr>
                <w:tcW w:w="3594" w:type="pct"/>
                <w:shd w:val="clear" w:color="auto" w:fill="auto"/>
                <w:noWrap/>
                <w:vAlign w:val="center"/>
                <w:hideMark/>
              </w:tcPr>
              <w:p w14:paraId="54EDBA14"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Gestión Documental</w:t>
                </w:r>
              </w:p>
            </w:tc>
            <w:tc>
              <w:tcPr>
                <w:tcW w:w="569" w:type="pct"/>
                <w:shd w:val="clear" w:color="auto" w:fill="auto"/>
                <w:noWrap/>
                <w:vAlign w:val="center"/>
                <w:hideMark/>
              </w:tcPr>
              <w:p w14:paraId="3F087645"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49</w:t>
                </w:r>
              </w:p>
            </w:tc>
            <w:tc>
              <w:tcPr>
                <w:tcW w:w="603" w:type="pct"/>
                <w:shd w:val="clear" w:color="auto" w:fill="auto"/>
                <w:noWrap/>
                <w:vAlign w:val="center"/>
                <w:hideMark/>
              </w:tcPr>
              <w:p w14:paraId="42AE0936"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39</w:t>
                </w:r>
              </w:p>
            </w:tc>
          </w:tr>
          <w:tr w:rsidR="00B36ABA" w:rsidRPr="00E27B04" w14:paraId="2F4DF12A" w14:textId="77777777" w:rsidTr="007C57E6">
            <w:trPr>
              <w:trHeight w:val="283"/>
            </w:trPr>
            <w:tc>
              <w:tcPr>
                <w:tcW w:w="235" w:type="pct"/>
                <w:vMerge/>
                <w:vAlign w:val="center"/>
                <w:hideMark/>
              </w:tcPr>
              <w:p w14:paraId="1BB01958" w14:textId="77777777" w:rsidR="00B36ABA" w:rsidRPr="009A46BB" w:rsidRDefault="00B36ABA">
                <w:pPr>
                  <w:spacing w:after="0" w:line="240" w:lineRule="auto"/>
                  <w:rPr>
                    <w:rFonts w:ascii="Times New Roman" w:eastAsia="Times New Roman" w:hAnsi="Times New Roman"/>
                    <w:b/>
                    <w:color w:val="000000"/>
                    <w:sz w:val="18"/>
                    <w:szCs w:val="18"/>
                    <w:lang w:eastAsia="es-CO"/>
                  </w:rPr>
                </w:pPr>
              </w:p>
            </w:tc>
            <w:tc>
              <w:tcPr>
                <w:tcW w:w="3594" w:type="pct"/>
                <w:shd w:val="clear" w:color="auto" w:fill="auto"/>
                <w:noWrap/>
                <w:vAlign w:val="center"/>
                <w:hideMark/>
              </w:tcPr>
              <w:p w14:paraId="4DC8F6B8"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Inducción</w:t>
                </w:r>
              </w:p>
            </w:tc>
            <w:tc>
              <w:tcPr>
                <w:tcW w:w="569" w:type="pct"/>
                <w:shd w:val="clear" w:color="auto" w:fill="auto"/>
                <w:noWrap/>
                <w:vAlign w:val="center"/>
                <w:hideMark/>
              </w:tcPr>
              <w:p w14:paraId="31ADE210"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19</w:t>
                </w:r>
              </w:p>
            </w:tc>
            <w:tc>
              <w:tcPr>
                <w:tcW w:w="603" w:type="pct"/>
                <w:shd w:val="clear" w:color="auto" w:fill="auto"/>
                <w:noWrap/>
                <w:vAlign w:val="center"/>
                <w:hideMark/>
              </w:tcPr>
              <w:p w14:paraId="76C644E5"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44</w:t>
                </w:r>
              </w:p>
            </w:tc>
          </w:tr>
          <w:tr w:rsidR="00B36ABA" w:rsidRPr="00E27B04" w14:paraId="6EF96623" w14:textId="77777777" w:rsidTr="007C57E6">
            <w:trPr>
              <w:trHeight w:val="283"/>
            </w:trPr>
            <w:tc>
              <w:tcPr>
                <w:tcW w:w="235" w:type="pct"/>
                <w:vMerge/>
                <w:vAlign w:val="center"/>
                <w:hideMark/>
              </w:tcPr>
              <w:p w14:paraId="5C29A85B" w14:textId="77777777" w:rsidR="00B36ABA" w:rsidRPr="009A46BB" w:rsidRDefault="00B36ABA">
                <w:pPr>
                  <w:spacing w:after="0" w:line="240" w:lineRule="auto"/>
                  <w:rPr>
                    <w:rFonts w:ascii="Times New Roman" w:eastAsia="Times New Roman" w:hAnsi="Times New Roman"/>
                    <w:b/>
                    <w:color w:val="000000"/>
                    <w:sz w:val="18"/>
                    <w:szCs w:val="18"/>
                    <w:lang w:eastAsia="es-CO"/>
                  </w:rPr>
                </w:pPr>
              </w:p>
            </w:tc>
            <w:tc>
              <w:tcPr>
                <w:tcW w:w="3594" w:type="pct"/>
                <w:shd w:val="clear" w:color="auto" w:fill="auto"/>
                <w:noWrap/>
                <w:vAlign w:val="center"/>
                <w:hideMark/>
              </w:tcPr>
              <w:p w14:paraId="452C8B91"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Inducción General</w:t>
                </w:r>
              </w:p>
            </w:tc>
            <w:tc>
              <w:tcPr>
                <w:tcW w:w="569" w:type="pct"/>
                <w:shd w:val="clear" w:color="auto" w:fill="auto"/>
                <w:noWrap/>
                <w:vAlign w:val="center"/>
                <w:hideMark/>
              </w:tcPr>
              <w:p w14:paraId="58F311B7"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5</w:t>
                </w:r>
              </w:p>
            </w:tc>
            <w:tc>
              <w:tcPr>
                <w:tcW w:w="603" w:type="pct"/>
                <w:shd w:val="clear" w:color="auto" w:fill="auto"/>
                <w:noWrap/>
                <w:vAlign w:val="center"/>
                <w:hideMark/>
              </w:tcPr>
              <w:p w14:paraId="7FFB83BA"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7</w:t>
                </w:r>
              </w:p>
            </w:tc>
          </w:tr>
          <w:tr w:rsidR="00B36ABA" w:rsidRPr="00E27B04" w14:paraId="7DA4BE69" w14:textId="77777777" w:rsidTr="007C57E6">
            <w:trPr>
              <w:trHeight w:val="283"/>
            </w:trPr>
            <w:tc>
              <w:tcPr>
                <w:tcW w:w="235" w:type="pct"/>
                <w:vMerge/>
                <w:vAlign w:val="center"/>
                <w:hideMark/>
              </w:tcPr>
              <w:p w14:paraId="70D03862" w14:textId="77777777" w:rsidR="00B36ABA" w:rsidRPr="009A46BB" w:rsidRDefault="00B36ABA">
                <w:pPr>
                  <w:spacing w:after="0" w:line="240" w:lineRule="auto"/>
                  <w:rPr>
                    <w:rFonts w:ascii="Times New Roman" w:eastAsia="Times New Roman" w:hAnsi="Times New Roman"/>
                    <w:b/>
                    <w:color w:val="000000"/>
                    <w:sz w:val="18"/>
                    <w:szCs w:val="18"/>
                    <w:lang w:eastAsia="es-CO"/>
                  </w:rPr>
                </w:pPr>
              </w:p>
            </w:tc>
            <w:tc>
              <w:tcPr>
                <w:tcW w:w="3594" w:type="pct"/>
                <w:shd w:val="clear" w:color="auto" w:fill="auto"/>
                <w:noWrap/>
                <w:vAlign w:val="center"/>
                <w:hideMark/>
              </w:tcPr>
              <w:p w14:paraId="7F10088D"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Innovación Pública</w:t>
                </w:r>
              </w:p>
            </w:tc>
            <w:tc>
              <w:tcPr>
                <w:tcW w:w="569" w:type="pct"/>
                <w:shd w:val="clear" w:color="auto" w:fill="auto"/>
                <w:noWrap/>
                <w:vAlign w:val="center"/>
                <w:hideMark/>
              </w:tcPr>
              <w:p w14:paraId="2524FA4B"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3</w:t>
                </w:r>
              </w:p>
            </w:tc>
            <w:tc>
              <w:tcPr>
                <w:tcW w:w="603" w:type="pct"/>
                <w:shd w:val="clear" w:color="auto" w:fill="auto"/>
                <w:noWrap/>
                <w:vAlign w:val="center"/>
                <w:hideMark/>
              </w:tcPr>
              <w:p w14:paraId="16A2C679"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9</w:t>
                </w:r>
              </w:p>
            </w:tc>
          </w:tr>
          <w:tr w:rsidR="00B36ABA" w:rsidRPr="00E27B04" w14:paraId="43653450" w14:textId="77777777" w:rsidTr="007C57E6">
            <w:trPr>
              <w:trHeight w:val="283"/>
            </w:trPr>
            <w:tc>
              <w:tcPr>
                <w:tcW w:w="235" w:type="pct"/>
                <w:vMerge/>
                <w:vAlign w:val="center"/>
                <w:hideMark/>
              </w:tcPr>
              <w:p w14:paraId="3429B3A9" w14:textId="77777777" w:rsidR="00B36ABA" w:rsidRPr="009A46BB" w:rsidRDefault="00B36ABA">
                <w:pPr>
                  <w:spacing w:after="0" w:line="240" w:lineRule="auto"/>
                  <w:rPr>
                    <w:rFonts w:ascii="Times New Roman" w:eastAsia="Times New Roman" w:hAnsi="Times New Roman"/>
                    <w:b/>
                    <w:color w:val="000000"/>
                    <w:sz w:val="18"/>
                    <w:szCs w:val="18"/>
                    <w:lang w:eastAsia="es-CO"/>
                  </w:rPr>
                </w:pPr>
              </w:p>
            </w:tc>
            <w:tc>
              <w:tcPr>
                <w:tcW w:w="3594" w:type="pct"/>
                <w:shd w:val="clear" w:color="auto" w:fill="auto"/>
                <w:noWrap/>
                <w:vAlign w:val="center"/>
                <w:hideMark/>
              </w:tcPr>
              <w:p w14:paraId="3EDE3B6D"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Intégrate con ANISCOPIO</w:t>
                </w:r>
              </w:p>
            </w:tc>
            <w:tc>
              <w:tcPr>
                <w:tcW w:w="569" w:type="pct"/>
                <w:shd w:val="clear" w:color="auto" w:fill="auto"/>
                <w:noWrap/>
                <w:vAlign w:val="center"/>
                <w:hideMark/>
              </w:tcPr>
              <w:p w14:paraId="6E9AA70D"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70</w:t>
                </w:r>
              </w:p>
            </w:tc>
            <w:tc>
              <w:tcPr>
                <w:tcW w:w="603" w:type="pct"/>
                <w:shd w:val="clear" w:color="auto" w:fill="auto"/>
                <w:noWrap/>
                <w:vAlign w:val="center"/>
                <w:hideMark/>
              </w:tcPr>
              <w:p w14:paraId="3E07917D"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41</w:t>
                </w:r>
              </w:p>
            </w:tc>
          </w:tr>
          <w:tr w:rsidR="00B36ABA" w:rsidRPr="00E27B04" w14:paraId="4BF4ADBB" w14:textId="77777777" w:rsidTr="007C57E6">
            <w:trPr>
              <w:trHeight w:val="283"/>
            </w:trPr>
            <w:tc>
              <w:tcPr>
                <w:tcW w:w="235" w:type="pct"/>
                <w:vMerge/>
                <w:vAlign w:val="center"/>
                <w:hideMark/>
              </w:tcPr>
              <w:p w14:paraId="1C94BAFB" w14:textId="77777777" w:rsidR="00B36ABA" w:rsidRPr="009A46BB" w:rsidRDefault="00B36ABA">
                <w:pPr>
                  <w:spacing w:after="0" w:line="240" w:lineRule="auto"/>
                  <w:rPr>
                    <w:rFonts w:ascii="Times New Roman" w:eastAsia="Times New Roman" w:hAnsi="Times New Roman"/>
                    <w:b/>
                    <w:color w:val="000000"/>
                    <w:sz w:val="18"/>
                    <w:szCs w:val="18"/>
                    <w:lang w:eastAsia="es-CO"/>
                  </w:rPr>
                </w:pPr>
              </w:p>
            </w:tc>
            <w:tc>
              <w:tcPr>
                <w:tcW w:w="3594" w:type="pct"/>
                <w:shd w:val="clear" w:color="auto" w:fill="auto"/>
                <w:noWrap/>
                <w:vAlign w:val="center"/>
                <w:hideMark/>
              </w:tcPr>
              <w:p w14:paraId="10D5E177" w14:textId="1A657268"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Jenga - Conoce el Rio </w:t>
                </w:r>
                <w:r w:rsidR="00D04986" w:rsidRPr="009A46BB">
                  <w:rPr>
                    <w:rFonts w:ascii="Times New Roman" w:eastAsia="Times New Roman" w:hAnsi="Times New Roman"/>
                    <w:color w:val="000000"/>
                    <w:sz w:val="18"/>
                    <w:szCs w:val="18"/>
                    <w:lang w:eastAsia="es-CO"/>
                  </w:rPr>
                  <w:t>Bogotá</w:t>
                </w:r>
              </w:p>
            </w:tc>
            <w:tc>
              <w:tcPr>
                <w:tcW w:w="569" w:type="pct"/>
                <w:shd w:val="clear" w:color="auto" w:fill="auto"/>
                <w:noWrap/>
                <w:vAlign w:val="center"/>
                <w:hideMark/>
              </w:tcPr>
              <w:p w14:paraId="78374122"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6</w:t>
                </w:r>
              </w:p>
            </w:tc>
            <w:tc>
              <w:tcPr>
                <w:tcW w:w="603" w:type="pct"/>
                <w:shd w:val="clear" w:color="auto" w:fill="auto"/>
                <w:noWrap/>
                <w:vAlign w:val="center"/>
                <w:hideMark/>
              </w:tcPr>
              <w:p w14:paraId="7ACAAA50"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6</w:t>
                </w:r>
              </w:p>
            </w:tc>
          </w:tr>
          <w:tr w:rsidR="00B36ABA" w:rsidRPr="00E27B04" w14:paraId="08C6A639" w14:textId="77777777" w:rsidTr="007C57E6">
            <w:trPr>
              <w:trHeight w:val="283"/>
            </w:trPr>
            <w:tc>
              <w:tcPr>
                <w:tcW w:w="235" w:type="pct"/>
                <w:vMerge/>
                <w:vAlign w:val="center"/>
                <w:hideMark/>
              </w:tcPr>
              <w:p w14:paraId="04B9C3B7" w14:textId="77777777" w:rsidR="00B36ABA" w:rsidRPr="009A46BB" w:rsidRDefault="00B36ABA">
                <w:pPr>
                  <w:spacing w:after="0" w:line="240" w:lineRule="auto"/>
                  <w:rPr>
                    <w:rFonts w:ascii="Times New Roman" w:eastAsia="Times New Roman" w:hAnsi="Times New Roman"/>
                    <w:b/>
                    <w:color w:val="000000"/>
                    <w:sz w:val="18"/>
                    <w:szCs w:val="18"/>
                    <w:lang w:eastAsia="es-CO"/>
                  </w:rPr>
                </w:pPr>
              </w:p>
            </w:tc>
            <w:tc>
              <w:tcPr>
                <w:tcW w:w="3594" w:type="pct"/>
                <w:shd w:val="clear" w:color="auto" w:fill="auto"/>
                <w:noWrap/>
                <w:vAlign w:val="center"/>
                <w:hideMark/>
              </w:tcPr>
              <w:p w14:paraId="659602B8"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Lenguaje Claro</w:t>
                </w:r>
              </w:p>
            </w:tc>
            <w:tc>
              <w:tcPr>
                <w:tcW w:w="569" w:type="pct"/>
                <w:shd w:val="clear" w:color="auto" w:fill="auto"/>
                <w:noWrap/>
                <w:vAlign w:val="center"/>
                <w:hideMark/>
              </w:tcPr>
              <w:p w14:paraId="46F3325F"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0</w:t>
                </w:r>
              </w:p>
            </w:tc>
            <w:tc>
              <w:tcPr>
                <w:tcW w:w="603" w:type="pct"/>
                <w:shd w:val="clear" w:color="auto" w:fill="auto"/>
                <w:noWrap/>
                <w:vAlign w:val="center"/>
                <w:hideMark/>
              </w:tcPr>
              <w:p w14:paraId="7AE04511"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w:t>
                </w:r>
              </w:p>
            </w:tc>
          </w:tr>
          <w:tr w:rsidR="00B36ABA" w:rsidRPr="00E27B04" w14:paraId="57809D99" w14:textId="77777777" w:rsidTr="007C57E6">
            <w:trPr>
              <w:trHeight w:val="283"/>
            </w:trPr>
            <w:tc>
              <w:tcPr>
                <w:tcW w:w="235" w:type="pct"/>
                <w:vMerge/>
                <w:vAlign w:val="center"/>
                <w:hideMark/>
              </w:tcPr>
              <w:p w14:paraId="47E394B9" w14:textId="77777777" w:rsidR="00B36ABA" w:rsidRPr="009A46BB" w:rsidRDefault="00B36ABA">
                <w:pPr>
                  <w:spacing w:after="0" w:line="240" w:lineRule="auto"/>
                  <w:rPr>
                    <w:rFonts w:ascii="Times New Roman" w:eastAsia="Times New Roman" w:hAnsi="Times New Roman"/>
                    <w:b/>
                    <w:color w:val="000000"/>
                    <w:sz w:val="18"/>
                    <w:szCs w:val="18"/>
                    <w:lang w:eastAsia="es-CO"/>
                  </w:rPr>
                </w:pPr>
              </w:p>
            </w:tc>
            <w:tc>
              <w:tcPr>
                <w:tcW w:w="3594" w:type="pct"/>
                <w:shd w:val="clear" w:color="auto" w:fill="auto"/>
                <w:noWrap/>
                <w:vAlign w:val="center"/>
                <w:hideMark/>
              </w:tcPr>
              <w:p w14:paraId="00CD6A02"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Ley 1010 de 2006 Acoso Laboral</w:t>
                </w:r>
              </w:p>
            </w:tc>
            <w:tc>
              <w:tcPr>
                <w:tcW w:w="569" w:type="pct"/>
                <w:shd w:val="clear" w:color="auto" w:fill="auto"/>
                <w:noWrap/>
                <w:vAlign w:val="center"/>
                <w:hideMark/>
              </w:tcPr>
              <w:p w14:paraId="6368784F"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0</w:t>
                </w:r>
              </w:p>
            </w:tc>
            <w:tc>
              <w:tcPr>
                <w:tcW w:w="603" w:type="pct"/>
                <w:shd w:val="clear" w:color="auto" w:fill="auto"/>
                <w:noWrap/>
                <w:vAlign w:val="center"/>
                <w:hideMark/>
              </w:tcPr>
              <w:p w14:paraId="39DC67A3"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4</w:t>
                </w:r>
              </w:p>
            </w:tc>
          </w:tr>
          <w:tr w:rsidR="00B36ABA" w:rsidRPr="00E27B04" w14:paraId="40B9BAA8" w14:textId="77777777" w:rsidTr="007C57E6">
            <w:trPr>
              <w:trHeight w:val="283"/>
            </w:trPr>
            <w:tc>
              <w:tcPr>
                <w:tcW w:w="235" w:type="pct"/>
                <w:vMerge/>
                <w:vAlign w:val="center"/>
                <w:hideMark/>
              </w:tcPr>
              <w:p w14:paraId="7C2AD80F" w14:textId="77777777" w:rsidR="00B36ABA" w:rsidRPr="009A46BB" w:rsidRDefault="00B36ABA">
                <w:pPr>
                  <w:spacing w:after="0" w:line="240" w:lineRule="auto"/>
                  <w:rPr>
                    <w:rFonts w:ascii="Times New Roman" w:eastAsia="Times New Roman" w:hAnsi="Times New Roman"/>
                    <w:b/>
                    <w:color w:val="000000"/>
                    <w:sz w:val="18"/>
                    <w:szCs w:val="18"/>
                    <w:lang w:eastAsia="es-CO"/>
                  </w:rPr>
                </w:pPr>
              </w:p>
            </w:tc>
            <w:tc>
              <w:tcPr>
                <w:tcW w:w="3594" w:type="pct"/>
                <w:shd w:val="clear" w:color="auto" w:fill="auto"/>
                <w:noWrap/>
                <w:vAlign w:val="center"/>
                <w:hideMark/>
              </w:tcPr>
              <w:p w14:paraId="12AFC3B8"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Mix metodológico Multiproyectos OPM</w:t>
                </w:r>
              </w:p>
            </w:tc>
            <w:tc>
              <w:tcPr>
                <w:tcW w:w="569" w:type="pct"/>
                <w:shd w:val="clear" w:color="auto" w:fill="auto"/>
                <w:noWrap/>
                <w:vAlign w:val="center"/>
                <w:hideMark/>
              </w:tcPr>
              <w:p w14:paraId="7BF41E84"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7</w:t>
                </w:r>
              </w:p>
            </w:tc>
            <w:tc>
              <w:tcPr>
                <w:tcW w:w="603" w:type="pct"/>
                <w:shd w:val="clear" w:color="auto" w:fill="auto"/>
                <w:noWrap/>
                <w:vAlign w:val="center"/>
                <w:hideMark/>
              </w:tcPr>
              <w:p w14:paraId="5F43A264"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6</w:t>
                </w:r>
              </w:p>
            </w:tc>
          </w:tr>
          <w:tr w:rsidR="00B36ABA" w:rsidRPr="00E27B04" w14:paraId="66CA37B7" w14:textId="77777777" w:rsidTr="007C57E6">
            <w:trPr>
              <w:trHeight w:val="283"/>
            </w:trPr>
            <w:tc>
              <w:tcPr>
                <w:tcW w:w="235" w:type="pct"/>
                <w:vMerge/>
                <w:vAlign w:val="center"/>
                <w:hideMark/>
              </w:tcPr>
              <w:p w14:paraId="303AA130" w14:textId="77777777" w:rsidR="00B36ABA" w:rsidRPr="009A46BB" w:rsidRDefault="00B36ABA">
                <w:pPr>
                  <w:spacing w:after="0" w:line="240" w:lineRule="auto"/>
                  <w:rPr>
                    <w:rFonts w:ascii="Times New Roman" w:eastAsia="Times New Roman" w:hAnsi="Times New Roman"/>
                    <w:b/>
                    <w:color w:val="000000"/>
                    <w:sz w:val="18"/>
                    <w:szCs w:val="18"/>
                    <w:lang w:eastAsia="es-CO"/>
                  </w:rPr>
                </w:pPr>
              </w:p>
            </w:tc>
            <w:tc>
              <w:tcPr>
                <w:tcW w:w="3594" w:type="pct"/>
                <w:shd w:val="clear" w:color="auto" w:fill="auto"/>
                <w:noWrap/>
                <w:vAlign w:val="center"/>
                <w:hideMark/>
              </w:tcPr>
              <w:p w14:paraId="54468654"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Ojo con el Clima</w:t>
                </w:r>
              </w:p>
            </w:tc>
            <w:tc>
              <w:tcPr>
                <w:tcW w:w="569" w:type="pct"/>
                <w:shd w:val="clear" w:color="auto" w:fill="auto"/>
                <w:noWrap/>
                <w:vAlign w:val="center"/>
                <w:hideMark/>
              </w:tcPr>
              <w:p w14:paraId="309C20D4"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4</w:t>
                </w:r>
              </w:p>
            </w:tc>
            <w:tc>
              <w:tcPr>
                <w:tcW w:w="603" w:type="pct"/>
                <w:shd w:val="clear" w:color="auto" w:fill="auto"/>
                <w:noWrap/>
                <w:vAlign w:val="center"/>
                <w:hideMark/>
              </w:tcPr>
              <w:p w14:paraId="70A43676"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w:t>
                </w:r>
              </w:p>
            </w:tc>
          </w:tr>
          <w:tr w:rsidR="00B36ABA" w:rsidRPr="00E27B04" w14:paraId="5B736CCC" w14:textId="77777777" w:rsidTr="007C57E6">
            <w:trPr>
              <w:trHeight w:val="283"/>
            </w:trPr>
            <w:tc>
              <w:tcPr>
                <w:tcW w:w="235" w:type="pct"/>
                <w:vMerge/>
                <w:vAlign w:val="center"/>
                <w:hideMark/>
              </w:tcPr>
              <w:p w14:paraId="76C84237" w14:textId="77777777" w:rsidR="00B36ABA" w:rsidRPr="009A46BB" w:rsidRDefault="00B36ABA">
                <w:pPr>
                  <w:spacing w:after="0" w:line="240" w:lineRule="auto"/>
                  <w:rPr>
                    <w:rFonts w:ascii="Times New Roman" w:eastAsia="Times New Roman" w:hAnsi="Times New Roman"/>
                    <w:b/>
                    <w:color w:val="000000"/>
                    <w:sz w:val="18"/>
                    <w:szCs w:val="18"/>
                    <w:lang w:eastAsia="es-CO"/>
                  </w:rPr>
                </w:pPr>
              </w:p>
            </w:tc>
            <w:tc>
              <w:tcPr>
                <w:tcW w:w="3594" w:type="pct"/>
                <w:shd w:val="clear" w:color="auto" w:fill="auto"/>
                <w:noWrap/>
                <w:vAlign w:val="center"/>
                <w:hideMark/>
              </w:tcPr>
              <w:p w14:paraId="7BA136E8"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Optimización Tributaria con Skandia</w:t>
                </w:r>
              </w:p>
            </w:tc>
            <w:tc>
              <w:tcPr>
                <w:tcW w:w="569" w:type="pct"/>
                <w:shd w:val="clear" w:color="auto" w:fill="auto"/>
                <w:noWrap/>
                <w:vAlign w:val="center"/>
                <w:hideMark/>
              </w:tcPr>
              <w:p w14:paraId="72C45717"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22</w:t>
                </w:r>
              </w:p>
            </w:tc>
            <w:tc>
              <w:tcPr>
                <w:tcW w:w="603" w:type="pct"/>
                <w:shd w:val="clear" w:color="auto" w:fill="auto"/>
                <w:noWrap/>
                <w:vAlign w:val="center"/>
                <w:hideMark/>
              </w:tcPr>
              <w:p w14:paraId="714E1473"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14</w:t>
                </w:r>
              </w:p>
            </w:tc>
          </w:tr>
          <w:tr w:rsidR="00B36ABA" w:rsidRPr="00E27B04" w14:paraId="0DCA877B" w14:textId="77777777" w:rsidTr="007C57E6">
            <w:trPr>
              <w:trHeight w:val="283"/>
            </w:trPr>
            <w:tc>
              <w:tcPr>
                <w:tcW w:w="235" w:type="pct"/>
                <w:vMerge/>
                <w:vAlign w:val="center"/>
                <w:hideMark/>
              </w:tcPr>
              <w:p w14:paraId="7621B309" w14:textId="77777777" w:rsidR="00B36ABA" w:rsidRPr="009A46BB" w:rsidRDefault="00B36ABA">
                <w:pPr>
                  <w:spacing w:after="0" w:line="240" w:lineRule="auto"/>
                  <w:rPr>
                    <w:rFonts w:ascii="Times New Roman" w:eastAsia="Times New Roman" w:hAnsi="Times New Roman"/>
                    <w:b/>
                    <w:color w:val="000000"/>
                    <w:sz w:val="18"/>
                    <w:szCs w:val="18"/>
                    <w:lang w:eastAsia="es-CO"/>
                  </w:rPr>
                </w:pPr>
              </w:p>
            </w:tc>
            <w:tc>
              <w:tcPr>
                <w:tcW w:w="3594" w:type="pct"/>
                <w:shd w:val="clear" w:color="auto" w:fill="auto"/>
                <w:noWrap/>
                <w:vAlign w:val="center"/>
                <w:hideMark/>
              </w:tcPr>
              <w:p w14:paraId="05DE53D0"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Peligros y riesgos identificados desde Seguridad y Salud para la ANI</w:t>
                </w:r>
              </w:p>
            </w:tc>
            <w:tc>
              <w:tcPr>
                <w:tcW w:w="569" w:type="pct"/>
                <w:shd w:val="clear" w:color="auto" w:fill="auto"/>
                <w:noWrap/>
                <w:vAlign w:val="center"/>
                <w:hideMark/>
              </w:tcPr>
              <w:p w14:paraId="3D4209A3"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14</w:t>
                </w:r>
              </w:p>
            </w:tc>
            <w:tc>
              <w:tcPr>
                <w:tcW w:w="603" w:type="pct"/>
                <w:shd w:val="clear" w:color="auto" w:fill="auto"/>
                <w:noWrap/>
                <w:vAlign w:val="center"/>
                <w:hideMark/>
              </w:tcPr>
              <w:p w14:paraId="29787919"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20</w:t>
                </w:r>
              </w:p>
            </w:tc>
          </w:tr>
          <w:tr w:rsidR="00B36ABA" w:rsidRPr="00E27B04" w14:paraId="72282E88" w14:textId="77777777" w:rsidTr="007C57E6">
            <w:trPr>
              <w:trHeight w:val="283"/>
            </w:trPr>
            <w:tc>
              <w:tcPr>
                <w:tcW w:w="235" w:type="pct"/>
                <w:vMerge/>
                <w:vAlign w:val="center"/>
                <w:hideMark/>
              </w:tcPr>
              <w:p w14:paraId="2DBC3388" w14:textId="77777777" w:rsidR="00B36ABA" w:rsidRPr="009A46BB" w:rsidRDefault="00B36ABA">
                <w:pPr>
                  <w:spacing w:after="0" w:line="240" w:lineRule="auto"/>
                  <w:rPr>
                    <w:rFonts w:ascii="Times New Roman" w:eastAsia="Times New Roman" w:hAnsi="Times New Roman"/>
                    <w:b/>
                    <w:color w:val="000000"/>
                    <w:sz w:val="18"/>
                    <w:szCs w:val="18"/>
                    <w:lang w:eastAsia="es-CO"/>
                  </w:rPr>
                </w:pPr>
              </w:p>
            </w:tc>
            <w:tc>
              <w:tcPr>
                <w:tcW w:w="3594" w:type="pct"/>
                <w:shd w:val="clear" w:color="auto" w:fill="auto"/>
                <w:noWrap/>
                <w:vAlign w:val="center"/>
                <w:hideMark/>
              </w:tcPr>
              <w:p w14:paraId="2811A493"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Plásticos de un solo uso</w:t>
                </w:r>
              </w:p>
            </w:tc>
            <w:tc>
              <w:tcPr>
                <w:tcW w:w="569" w:type="pct"/>
                <w:shd w:val="clear" w:color="auto" w:fill="auto"/>
                <w:noWrap/>
                <w:vAlign w:val="center"/>
                <w:hideMark/>
              </w:tcPr>
              <w:p w14:paraId="47E36FC5"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11</w:t>
                </w:r>
              </w:p>
            </w:tc>
            <w:tc>
              <w:tcPr>
                <w:tcW w:w="603" w:type="pct"/>
                <w:shd w:val="clear" w:color="auto" w:fill="auto"/>
                <w:noWrap/>
                <w:vAlign w:val="center"/>
                <w:hideMark/>
              </w:tcPr>
              <w:p w14:paraId="7B43C6A2"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w:t>
                </w:r>
              </w:p>
            </w:tc>
          </w:tr>
          <w:tr w:rsidR="00B36ABA" w:rsidRPr="00E27B04" w14:paraId="199AEE50" w14:textId="77777777" w:rsidTr="007C57E6">
            <w:trPr>
              <w:trHeight w:val="283"/>
            </w:trPr>
            <w:tc>
              <w:tcPr>
                <w:tcW w:w="235" w:type="pct"/>
                <w:vMerge/>
                <w:vAlign w:val="center"/>
                <w:hideMark/>
              </w:tcPr>
              <w:p w14:paraId="0A8E1703" w14:textId="77777777" w:rsidR="00B36ABA" w:rsidRPr="009A46BB" w:rsidRDefault="00B36ABA">
                <w:pPr>
                  <w:spacing w:after="0" w:line="240" w:lineRule="auto"/>
                  <w:rPr>
                    <w:rFonts w:ascii="Times New Roman" w:eastAsia="Times New Roman" w:hAnsi="Times New Roman"/>
                    <w:b/>
                    <w:color w:val="000000"/>
                    <w:sz w:val="18"/>
                    <w:szCs w:val="18"/>
                    <w:lang w:eastAsia="es-CO"/>
                  </w:rPr>
                </w:pPr>
              </w:p>
            </w:tc>
            <w:tc>
              <w:tcPr>
                <w:tcW w:w="3594" w:type="pct"/>
                <w:shd w:val="clear" w:color="auto" w:fill="auto"/>
                <w:noWrap/>
                <w:vAlign w:val="center"/>
                <w:hideMark/>
              </w:tcPr>
              <w:p w14:paraId="08158E75"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Política de Transparencia y Antisoborno</w:t>
                </w:r>
              </w:p>
            </w:tc>
            <w:tc>
              <w:tcPr>
                <w:tcW w:w="569" w:type="pct"/>
                <w:shd w:val="clear" w:color="auto" w:fill="auto"/>
                <w:noWrap/>
                <w:vAlign w:val="center"/>
                <w:hideMark/>
              </w:tcPr>
              <w:p w14:paraId="3E06D31B"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w:t>
                </w:r>
              </w:p>
            </w:tc>
            <w:tc>
              <w:tcPr>
                <w:tcW w:w="603" w:type="pct"/>
                <w:shd w:val="clear" w:color="auto" w:fill="auto"/>
                <w:noWrap/>
                <w:vAlign w:val="center"/>
                <w:hideMark/>
              </w:tcPr>
              <w:p w14:paraId="26DD79EB"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30</w:t>
                </w:r>
              </w:p>
            </w:tc>
          </w:tr>
          <w:tr w:rsidR="00B36ABA" w:rsidRPr="00E27B04" w14:paraId="21B6FDD8" w14:textId="77777777" w:rsidTr="007C57E6">
            <w:trPr>
              <w:trHeight w:val="283"/>
            </w:trPr>
            <w:tc>
              <w:tcPr>
                <w:tcW w:w="235" w:type="pct"/>
                <w:vMerge/>
                <w:vAlign w:val="center"/>
                <w:hideMark/>
              </w:tcPr>
              <w:p w14:paraId="67B5208B" w14:textId="77777777" w:rsidR="00B36ABA" w:rsidRPr="009A46BB" w:rsidRDefault="00B36ABA">
                <w:pPr>
                  <w:spacing w:after="0" w:line="240" w:lineRule="auto"/>
                  <w:rPr>
                    <w:rFonts w:ascii="Times New Roman" w:eastAsia="Times New Roman" w:hAnsi="Times New Roman"/>
                    <w:b/>
                    <w:color w:val="000000"/>
                    <w:sz w:val="18"/>
                    <w:szCs w:val="18"/>
                    <w:lang w:eastAsia="es-CO"/>
                  </w:rPr>
                </w:pPr>
              </w:p>
            </w:tc>
            <w:tc>
              <w:tcPr>
                <w:tcW w:w="3594" w:type="pct"/>
                <w:shd w:val="clear" w:color="auto" w:fill="auto"/>
                <w:noWrap/>
                <w:vAlign w:val="center"/>
                <w:hideMark/>
              </w:tcPr>
              <w:p w14:paraId="2AAE5827"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Sensibilización sobre Derechos de Petición</w:t>
                </w:r>
              </w:p>
            </w:tc>
            <w:tc>
              <w:tcPr>
                <w:tcW w:w="569" w:type="pct"/>
                <w:shd w:val="clear" w:color="auto" w:fill="auto"/>
                <w:noWrap/>
                <w:vAlign w:val="center"/>
                <w:hideMark/>
              </w:tcPr>
              <w:p w14:paraId="7D7899F8"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89</w:t>
                </w:r>
              </w:p>
            </w:tc>
            <w:tc>
              <w:tcPr>
                <w:tcW w:w="603" w:type="pct"/>
                <w:shd w:val="clear" w:color="auto" w:fill="auto"/>
                <w:noWrap/>
                <w:vAlign w:val="center"/>
                <w:hideMark/>
              </w:tcPr>
              <w:p w14:paraId="16B7BC14"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39</w:t>
                </w:r>
              </w:p>
            </w:tc>
          </w:tr>
          <w:tr w:rsidR="00B36ABA" w:rsidRPr="00E27B04" w14:paraId="75324707" w14:textId="77777777" w:rsidTr="007C57E6">
            <w:trPr>
              <w:trHeight w:val="283"/>
            </w:trPr>
            <w:tc>
              <w:tcPr>
                <w:tcW w:w="235" w:type="pct"/>
                <w:vMerge/>
                <w:vAlign w:val="center"/>
                <w:hideMark/>
              </w:tcPr>
              <w:p w14:paraId="04351240" w14:textId="77777777" w:rsidR="00B36ABA" w:rsidRPr="009A46BB" w:rsidRDefault="00B36ABA">
                <w:pPr>
                  <w:spacing w:after="0" w:line="240" w:lineRule="auto"/>
                  <w:rPr>
                    <w:rFonts w:ascii="Times New Roman" w:eastAsia="Times New Roman" w:hAnsi="Times New Roman"/>
                    <w:b/>
                    <w:color w:val="000000"/>
                    <w:sz w:val="18"/>
                    <w:szCs w:val="18"/>
                    <w:lang w:eastAsia="es-CO"/>
                  </w:rPr>
                </w:pPr>
              </w:p>
            </w:tc>
            <w:tc>
              <w:tcPr>
                <w:tcW w:w="3594" w:type="pct"/>
                <w:shd w:val="clear" w:color="auto" w:fill="auto"/>
                <w:noWrap/>
                <w:vAlign w:val="center"/>
                <w:hideMark/>
              </w:tcPr>
              <w:p w14:paraId="0309DF5F"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Separación y manejo de residuos</w:t>
                </w:r>
              </w:p>
            </w:tc>
            <w:tc>
              <w:tcPr>
                <w:tcW w:w="569" w:type="pct"/>
                <w:shd w:val="clear" w:color="auto" w:fill="auto"/>
                <w:noWrap/>
                <w:vAlign w:val="center"/>
                <w:hideMark/>
              </w:tcPr>
              <w:p w14:paraId="2CCAE2E1"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14</w:t>
                </w:r>
              </w:p>
            </w:tc>
            <w:tc>
              <w:tcPr>
                <w:tcW w:w="603" w:type="pct"/>
                <w:shd w:val="clear" w:color="auto" w:fill="auto"/>
                <w:noWrap/>
                <w:vAlign w:val="center"/>
                <w:hideMark/>
              </w:tcPr>
              <w:p w14:paraId="7E6EA163"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w:t>
                </w:r>
              </w:p>
            </w:tc>
          </w:tr>
          <w:tr w:rsidR="00B36ABA" w:rsidRPr="00E27B04" w14:paraId="7D77588A" w14:textId="77777777" w:rsidTr="007C57E6">
            <w:trPr>
              <w:trHeight w:val="283"/>
            </w:trPr>
            <w:tc>
              <w:tcPr>
                <w:tcW w:w="235" w:type="pct"/>
                <w:vMerge/>
                <w:vAlign w:val="center"/>
                <w:hideMark/>
              </w:tcPr>
              <w:p w14:paraId="24DBBF52" w14:textId="77777777" w:rsidR="00B36ABA" w:rsidRPr="009A46BB" w:rsidRDefault="00B36ABA">
                <w:pPr>
                  <w:spacing w:after="0" w:line="240" w:lineRule="auto"/>
                  <w:rPr>
                    <w:rFonts w:ascii="Times New Roman" w:eastAsia="Times New Roman" w:hAnsi="Times New Roman"/>
                    <w:b/>
                    <w:color w:val="000000"/>
                    <w:sz w:val="18"/>
                    <w:szCs w:val="18"/>
                    <w:lang w:eastAsia="es-CO"/>
                  </w:rPr>
                </w:pPr>
              </w:p>
            </w:tc>
            <w:tc>
              <w:tcPr>
                <w:tcW w:w="3594" w:type="pct"/>
                <w:shd w:val="clear" w:color="auto" w:fill="auto"/>
                <w:noWrap/>
                <w:vAlign w:val="center"/>
                <w:hideMark/>
              </w:tcPr>
              <w:p w14:paraId="1D47764C"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Socialización Teletrabajo</w:t>
                </w:r>
              </w:p>
            </w:tc>
            <w:tc>
              <w:tcPr>
                <w:tcW w:w="569" w:type="pct"/>
                <w:shd w:val="clear" w:color="auto" w:fill="auto"/>
                <w:noWrap/>
                <w:vAlign w:val="center"/>
                <w:hideMark/>
              </w:tcPr>
              <w:p w14:paraId="5991FC5A"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3</w:t>
                </w:r>
              </w:p>
            </w:tc>
            <w:tc>
              <w:tcPr>
                <w:tcW w:w="603" w:type="pct"/>
                <w:shd w:val="clear" w:color="auto" w:fill="auto"/>
                <w:noWrap/>
                <w:vAlign w:val="center"/>
                <w:hideMark/>
              </w:tcPr>
              <w:p w14:paraId="508AF21E"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155</w:t>
                </w:r>
              </w:p>
            </w:tc>
          </w:tr>
          <w:tr w:rsidR="00B36ABA" w:rsidRPr="00E27B04" w14:paraId="42C7E7F4" w14:textId="77777777" w:rsidTr="007C57E6">
            <w:trPr>
              <w:trHeight w:val="283"/>
            </w:trPr>
            <w:tc>
              <w:tcPr>
                <w:tcW w:w="235" w:type="pct"/>
                <w:vMerge/>
                <w:vAlign w:val="center"/>
                <w:hideMark/>
              </w:tcPr>
              <w:p w14:paraId="668C98B2" w14:textId="77777777" w:rsidR="00B36ABA" w:rsidRPr="009A46BB" w:rsidRDefault="00B36ABA">
                <w:pPr>
                  <w:spacing w:after="0" w:line="240" w:lineRule="auto"/>
                  <w:rPr>
                    <w:rFonts w:ascii="Times New Roman" w:eastAsia="Times New Roman" w:hAnsi="Times New Roman"/>
                    <w:b/>
                    <w:color w:val="000000"/>
                    <w:sz w:val="18"/>
                    <w:szCs w:val="18"/>
                    <w:lang w:eastAsia="es-CO"/>
                  </w:rPr>
                </w:pPr>
              </w:p>
            </w:tc>
            <w:tc>
              <w:tcPr>
                <w:tcW w:w="3594" w:type="pct"/>
                <w:shd w:val="clear" w:color="auto" w:fill="auto"/>
                <w:noWrap/>
                <w:vAlign w:val="center"/>
                <w:hideMark/>
              </w:tcPr>
              <w:p w14:paraId="3ACADA87"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Teletrabajo "Cambio Cultural y Organizacional</w:t>
                </w:r>
              </w:p>
            </w:tc>
            <w:tc>
              <w:tcPr>
                <w:tcW w:w="569" w:type="pct"/>
                <w:shd w:val="clear" w:color="auto" w:fill="auto"/>
                <w:noWrap/>
                <w:vAlign w:val="center"/>
                <w:hideMark/>
              </w:tcPr>
              <w:p w14:paraId="132E3C2C"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7</w:t>
                </w:r>
              </w:p>
            </w:tc>
            <w:tc>
              <w:tcPr>
                <w:tcW w:w="603" w:type="pct"/>
                <w:shd w:val="clear" w:color="auto" w:fill="auto"/>
                <w:noWrap/>
                <w:vAlign w:val="center"/>
                <w:hideMark/>
              </w:tcPr>
              <w:p w14:paraId="6FC71044"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95</w:t>
                </w:r>
              </w:p>
            </w:tc>
          </w:tr>
          <w:tr w:rsidR="00B36ABA" w:rsidRPr="00E27B04" w14:paraId="771BD2AD" w14:textId="77777777" w:rsidTr="007C57E6">
            <w:trPr>
              <w:trHeight w:val="283"/>
            </w:trPr>
            <w:tc>
              <w:tcPr>
                <w:tcW w:w="235" w:type="pct"/>
                <w:vMerge/>
                <w:vAlign w:val="center"/>
                <w:hideMark/>
              </w:tcPr>
              <w:p w14:paraId="0A1A612C" w14:textId="77777777" w:rsidR="00B36ABA" w:rsidRPr="009A46BB" w:rsidRDefault="00B36ABA">
                <w:pPr>
                  <w:spacing w:after="0" w:line="240" w:lineRule="auto"/>
                  <w:rPr>
                    <w:rFonts w:ascii="Times New Roman" w:eastAsia="Times New Roman" w:hAnsi="Times New Roman"/>
                    <w:b/>
                    <w:color w:val="000000"/>
                    <w:sz w:val="18"/>
                    <w:szCs w:val="18"/>
                    <w:lang w:eastAsia="es-CO"/>
                  </w:rPr>
                </w:pPr>
              </w:p>
            </w:tc>
            <w:tc>
              <w:tcPr>
                <w:tcW w:w="3594" w:type="pct"/>
                <w:shd w:val="clear" w:color="auto" w:fill="auto"/>
                <w:noWrap/>
                <w:vAlign w:val="center"/>
                <w:hideMark/>
              </w:tcPr>
              <w:p w14:paraId="310E8D2F"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Trabajo doméstico y del cuidado no remunerado</w:t>
                </w:r>
              </w:p>
            </w:tc>
            <w:tc>
              <w:tcPr>
                <w:tcW w:w="569" w:type="pct"/>
                <w:shd w:val="clear" w:color="auto" w:fill="auto"/>
                <w:noWrap/>
                <w:vAlign w:val="center"/>
                <w:hideMark/>
              </w:tcPr>
              <w:p w14:paraId="164B0065"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17</w:t>
                </w:r>
              </w:p>
            </w:tc>
            <w:tc>
              <w:tcPr>
                <w:tcW w:w="603" w:type="pct"/>
                <w:shd w:val="clear" w:color="auto" w:fill="auto"/>
                <w:noWrap/>
                <w:vAlign w:val="center"/>
                <w:hideMark/>
              </w:tcPr>
              <w:p w14:paraId="565ADEA2"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15</w:t>
                </w:r>
              </w:p>
            </w:tc>
          </w:tr>
          <w:tr w:rsidR="00B36ABA" w:rsidRPr="00E27B04" w14:paraId="4D880076" w14:textId="77777777" w:rsidTr="007C57E6">
            <w:trPr>
              <w:trHeight w:val="283"/>
            </w:trPr>
            <w:tc>
              <w:tcPr>
                <w:tcW w:w="235" w:type="pct"/>
                <w:vMerge/>
                <w:vAlign w:val="center"/>
                <w:hideMark/>
              </w:tcPr>
              <w:p w14:paraId="016E3149" w14:textId="77777777" w:rsidR="00B36ABA" w:rsidRPr="009A46BB" w:rsidRDefault="00B36ABA">
                <w:pPr>
                  <w:spacing w:after="0" w:line="240" w:lineRule="auto"/>
                  <w:rPr>
                    <w:rFonts w:ascii="Times New Roman" w:eastAsia="Times New Roman" w:hAnsi="Times New Roman"/>
                    <w:b/>
                    <w:color w:val="000000"/>
                    <w:sz w:val="18"/>
                    <w:szCs w:val="18"/>
                    <w:lang w:eastAsia="es-CO"/>
                  </w:rPr>
                </w:pPr>
              </w:p>
            </w:tc>
            <w:tc>
              <w:tcPr>
                <w:tcW w:w="3594" w:type="pct"/>
                <w:shd w:val="clear" w:color="auto" w:fill="auto"/>
                <w:noWrap/>
                <w:vAlign w:val="center"/>
                <w:hideMark/>
              </w:tcPr>
              <w:p w14:paraId="7B656980" w14:textId="77777777" w:rsidR="00B36ABA" w:rsidRPr="009A46BB" w:rsidRDefault="00B36ABA">
                <w:pPr>
                  <w:spacing w:after="0" w:line="240" w:lineRule="auto"/>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Subtotal</w:t>
                </w:r>
              </w:p>
            </w:tc>
            <w:tc>
              <w:tcPr>
                <w:tcW w:w="569" w:type="pct"/>
                <w:shd w:val="clear" w:color="auto" w:fill="auto"/>
                <w:noWrap/>
                <w:vAlign w:val="center"/>
                <w:hideMark/>
              </w:tcPr>
              <w:p w14:paraId="7C8D453D" w14:textId="77777777" w:rsidR="00B36ABA" w:rsidRPr="009A46BB" w:rsidRDefault="00B36ABA">
                <w:pPr>
                  <w:spacing w:after="0" w:line="240" w:lineRule="auto"/>
                  <w:jc w:val="center"/>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1038</w:t>
                </w:r>
              </w:p>
            </w:tc>
            <w:tc>
              <w:tcPr>
                <w:tcW w:w="603" w:type="pct"/>
                <w:shd w:val="clear" w:color="auto" w:fill="auto"/>
                <w:noWrap/>
                <w:vAlign w:val="center"/>
                <w:hideMark/>
              </w:tcPr>
              <w:p w14:paraId="52A6368F" w14:textId="77777777" w:rsidR="00B36ABA" w:rsidRPr="009A46BB" w:rsidRDefault="00B36ABA">
                <w:pPr>
                  <w:spacing w:after="0" w:line="240" w:lineRule="auto"/>
                  <w:jc w:val="center"/>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1268</w:t>
                </w:r>
              </w:p>
            </w:tc>
          </w:tr>
          <w:tr w:rsidR="00B36ABA" w:rsidRPr="00E27B04" w14:paraId="06B37D9A" w14:textId="77777777" w:rsidTr="007C57E6">
            <w:trPr>
              <w:trHeight w:val="283"/>
            </w:trPr>
            <w:tc>
              <w:tcPr>
                <w:tcW w:w="235" w:type="pct"/>
                <w:vMerge w:val="restart"/>
                <w:shd w:val="clear" w:color="auto" w:fill="auto"/>
                <w:noWrap/>
                <w:textDirection w:val="btLr"/>
                <w:vAlign w:val="center"/>
                <w:hideMark/>
              </w:tcPr>
              <w:p w14:paraId="75869A03" w14:textId="77777777" w:rsidR="00B36ABA" w:rsidRPr="009A46BB" w:rsidRDefault="00B36ABA" w:rsidP="00F4317C">
                <w:pPr>
                  <w:spacing w:after="0" w:line="240" w:lineRule="auto"/>
                  <w:ind w:left="113" w:right="113"/>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ARL</w:t>
                </w:r>
              </w:p>
            </w:tc>
            <w:tc>
              <w:tcPr>
                <w:tcW w:w="3594" w:type="pct"/>
                <w:shd w:val="clear" w:color="auto" w:fill="auto"/>
                <w:noWrap/>
                <w:vAlign w:val="center"/>
                <w:hideMark/>
              </w:tcPr>
              <w:p w14:paraId="47CF5B8D"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Acoso Sexual</w:t>
                </w:r>
              </w:p>
            </w:tc>
            <w:tc>
              <w:tcPr>
                <w:tcW w:w="569" w:type="pct"/>
                <w:shd w:val="clear" w:color="auto" w:fill="auto"/>
                <w:noWrap/>
                <w:vAlign w:val="center"/>
                <w:hideMark/>
              </w:tcPr>
              <w:p w14:paraId="78F810CD"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7</w:t>
                </w:r>
              </w:p>
            </w:tc>
            <w:tc>
              <w:tcPr>
                <w:tcW w:w="603" w:type="pct"/>
                <w:shd w:val="clear" w:color="auto" w:fill="auto"/>
                <w:noWrap/>
                <w:vAlign w:val="center"/>
                <w:hideMark/>
              </w:tcPr>
              <w:p w14:paraId="5FA98DD8"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5</w:t>
                </w:r>
              </w:p>
            </w:tc>
          </w:tr>
          <w:tr w:rsidR="00B36ABA" w:rsidRPr="00E27B04" w14:paraId="4CE6BBCC" w14:textId="77777777" w:rsidTr="007C57E6">
            <w:trPr>
              <w:trHeight w:val="283"/>
            </w:trPr>
            <w:tc>
              <w:tcPr>
                <w:tcW w:w="235" w:type="pct"/>
                <w:vMerge/>
                <w:vAlign w:val="center"/>
                <w:hideMark/>
              </w:tcPr>
              <w:p w14:paraId="2EE6202A" w14:textId="77777777" w:rsidR="00B36ABA" w:rsidRPr="009A46BB" w:rsidRDefault="00B36ABA">
                <w:pPr>
                  <w:spacing w:after="0" w:line="240" w:lineRule="auto"/>
                  <w:rPr>
                    <w:rFonts w:ascii="Times New Roman" w:eastAsia="Times New Roman" w:hAnsi="Times New Roman"/>
                    <w:color w:val="000000"/>
                    <w:sz w:val="18"/>
                    <w:szCs w:val="18"/>
                    <w:lang w:eastAsia="es-CO"/>
                  </w:rPr>
                </w:pPr>
              </w:p>
            </w:tc>
            <w:tc>
              <w:tcPr>
                <w:tcW w:w="3594" w:type="pct"/>
                <w:shd w:val="clear" w:color="auto" w:fill="auto"/>
                <w:noWrap/>
                <w:vAlign w:val="center"/>
                <w:hideMark/>
              </w:tcPr>
              <w:p w14:paraId="4D6CACF8"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Control de Incendios</w:t>
                </w:r>
              </w:p>
            </w:tc>
            <w:tc>
              <w:tcPr>
                <w:tcW w:w="569" w:type="pct"/>
                <w:shd w:val="clear" w:color="auto" w:fill="auto"/>
                <w:noWrap/>
                <w:vAlign w:val="center"/>
                <w:hideMark/>
              </w:tcPr>
              <w:p w14:paraId="5D348B65"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w:t>
                </w:r>
              </w:p>
            </w:tc>
            <w:tc>
              <w:tcPr>
                <w:tcW w:w="603" w:type="pct"/>
                <w:shd w:val="clear" w:color="auto" w:fill="auto"/>
                <w:noWrap/>
                <w:vAlign w:val="center"/>
                <w:hideMark/>
              </w:tcPr>
              <w:p w14:paraId="43D491B6"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w:t>
                </w:r>
              </w:p>
            </w:tc>
          </w:tr>
          <w:tr w:rsidR="00B36ABA" w:rsidRPr="00E27B04" w14:paraId="4D97C63F" w14:textId="77777777" w:rsidTr="007C57E6">
            <w:trPr>
              <w:trHeight w:val="283"/>
            </w:trPr>
            <w:tc>
              <w:tcPr>
                <w:tcW w:w="235" w:type="pct"/>
                <w:vMerge/>
                <w:vAlign w:val="center"/>
                <w:hideMark/>
              </w:tcPr>
              <w:p w14:paraId="4ABF624B" w14:textId="77777777" w:rsidR="00B36ABA" w:rsidRPr="009A46BB" w:rsidRDefault="00B36ABA">
                <w:pPr>
                  <w:spacing w:after="0" w:line="240" w:lineRule="auto"/>
                  <w:rPr>
                    <w:rFonts w:ascii="Times New Roman" w:eastAsia="Times New Roman" w:hAnsi="Times New Roman"/>
                    <w:color w:val="000000"/>
                    <w:sz w:val="18"/>
                    <w:szCs w:val="18"/>
                    <w:lang w:eastAsia="es-CO"/>
                  </w:rPr>
                </w:pPr>
              </w:p>
            </w:tc>
            <w:tc>
              <w:tcPr>
                <w:tcW w:w="3594" w:type="pct"/>
                <w:shd w:val="clear" w:color="auto" w:fill="auto"/>
                <w:noWrap/>
                <w:vAlign w:val="center"/>
                <w:hideMark/>
              </w:tcPr>
              <w:p w14:paraId="2B2AA147"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Efectos del Alcohol en la vía</w:t>
                </w:r>
              </w:p>
            </w:tc>
            <w:tc>
              <w:tcPr>
                <w:tcW w:w="569" w:type="pct"/>
                <w:shd w:val="clear" w:color="auto" w:fill="auto"/>
                <w:noWrap/>
                <w:vAlign w:val="center"/>
                <w:hideMark/>
              </w:tcPr>
              <w:p w14:paraId="1D79E5F4"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5</w:t>
                </w:r>
              </w:p>
            </w:tc>
            <w:tc>
              <w:tcPr>
                <w:tcW w:w="603" w:type="pct"/>
                <w:shd w:val="clear" w:color="auto" w:fill="auto"/>
                <w:noWrap/>
                <w:vAlign w:val="center"/>
                <w:hideMark/>
              </w:tcPr>
              <w:p w14:paraId="68778E37"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w:t>
                </w:r>
              </w:p>
            </w:tc>
          </w:tr>
          <w:tr w:rsidR="00B36ABA" w:rsidRPr="00E27B04" w14:paraId="3F690BA9" w14:textId="77777777" w:rsidTr="007C57E6">
            <w:trPr>
              <w:trHeight w:val="283"/>
            </w:trPr>
            <w:tc>
              <w:tcPr>
                <w:tcW w:w="235" w:type="pct"/>
                <w:vMerge/>
                <w:vAlign w:val="center"/>
                <w:hideMark/>
              </w:tcPr>
              <w:p w14:paraId="529D38CD" w14:textId="77777777" w:rsidR="00B36ABA" w:rsidRPr="009A46BB" w:rsidRDefault="00B36ABA">
                <w:pPr>
                  <w:spacing w:after="0" w:line="240" w:lineRule="auto"/>
                  <w:rPr>
                    <w:rFonts w:ascii="Times New Roman" w:eastAsia="Times New Roman" w:hAnsi="Times New Roman"/>
                    <w:color w:val="000000"/>
                    <w:sz w:val="18"/>
                    <w:szCs w:val="18"/>
                    <w:lang w:eastAsia="es-CO"/>
                  </w:rPr>
                </w:pPr>
              </w:p>
            </w:tc>
            <w:tc>
              <w:tcPr>
                <w:tcW w:w="3594" w:type="pct"/>
                <w:shd w:val="clear" w:color="auto" w:fill="auto"/>
                <w:noWrap/>
                <w:vAlign w:val="center"/>
                <w:hideMark/>
              </w:tcPr>
              <w:p w14:paraId="7498E91C"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Estilos de vida y hábitos saludables</w:t>
                </w:r>
              </w:p>
            </w:tc>
            <w:tc>
              <w:tcPr>
                <w:tcW w:w="569" w:type="pct"/>
                <w:shd w:val="clear" w:color="auto" w:fill="auto"/>
                <w:noWrap/>
                <w:vAlign w:val="center"/>
                <w:hideMark/>
              </w:tcPr>
              <w:p w14:paraId="2933D2CE"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21</w:t>
                </w:r>
              </w:p>
            </w:tc>
            <w:tc>
              <w:tcPr>
                <w:tcW w:w="603" w:type="pct"/>
                <w:shd w:val="clear" w:color="auto" w:fill="auto"/>
                <w:noWrap/>
                <w:vAlign w:val="center"/>
                <w:hideMark/>
              </w:tcPr>
              <w:p w14:paraId="442AF796"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23</w:t>
                </w:r>
              </w:p>
            </w:tc>
          </w:tr>
          <w:tr w:rsidR="00B36ABA" w:rsidRPr="00E27B04" w14:paraId="5E14C447" w14:textId="77777777" w:rsidTr="007C57E6">
            <w:trPr>
              <w:trHeight w:val="283"/>
            </w:trPr>
            <w:tc>
              <w:tcPr>
                <w:tcW w:w="235" w:type="pct"/>
                <w:vMerge/>
                <w:vAlign w:val="center"/>
                <w:hideMark/>
              </w:tcPr>
              <w:p w14:paraId="3BF127E3" w14:textId="77777777" w:rsidR="00B36ABA" w:rsidRPr="009A46BB" w:rsidRDefault="00B36ABA">
                <w:pPr>
                  <w:spacing w:after="0" w:line="240" w:lineRule="auto"/>
                  <w:rPr>
                    <w:rFonts w:ascii="Times New Roman" w:eastAsia="Times New Roman" w:hAnsi="Times New Roman"/>
                    <w:color w:val="000000"/>
                    <w:sz w:val="18"/>
                    <w:szCs w:val="18"/>
                    <w:lang w:eastAsia="es-CO"/>
                  </w:rPr>
                </w:pPr>
              </w:p>
            </w:tc>
            <w:tc>
              <w:tcPr>
                <w:tcW w:w="3594" w:type="pct"/>
                <w:shd w:val="clear" w:color="auto" w:fill="auto"/>
                <w:noWrap/>
                <w:vAlign w:val="center"/>
                <w:hideMark/>
              </w:tcPr>
              <w:p w14:paraId="2D9412F9"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Generalidades en Seguridad Vial</w:t>
                </w:r>
              </w:p>
            </w:tc>
            <w:tc>
              <w:tcPr>
                <w:tcW w:w="569" w:type="pct"/>
                <w:shd w:val="clear" w:color="auto" w:fill="auto"/>
                <w:noWrap/>
                <w:vAlign w:val="center"/>
                <w:hideMark/>
              </w:tcPr>
              <w:p w14:paraId="24A89654"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9</w:t>
                </w:r>
              </w:p>
            </w:tc>
            <w:tc>
              <w:tcPr>
                <w:tcW w:w="603" w:type="pct"/>
                <w:shd w:val="clear" w:color="auto" w:fill="auto"/>
                <w:noWrap/>
                <w:vAlign w:val="center"/>
                <w:hideMark/>
              </w:tcPr>
              <w:p w14:paraId="729BCD02"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6</w:t>
                </w:r>
              </w:p>
            </w:tc>
          </w:tr>
          <w:tr w:rsidR="00B36ABA" w:rsidRPr="00E27B04" w14:paraId="7B8D11C4" w14:textId="77777777" w:rsidTr="007C57E6">
            <w:trPr>
              <w:trHeight w:val="283"/>
            </w:trPr>
            <w:tc>
              <w:tcPr>
                <w:tcW w:w="235" w:type="pct"/>
                <w:vMerge/>
                <w:vAlign w:val="center"/>
                <w:hideMark/>
              </w:tcPr>
              <w:p w14:paraId="5DBAD00D" w14:textId="77777777" w:rsidR="00B36ABA" w:rsidRPr="009A46BB" w:rsidRDefault="00B36ABA">
                <w:pPr>
                  <w:spacing w:after="0" w:line="240" w:lineRule="auto"/>
                  <w:rPr>
                    <w:rFonts w:ascii="Times New Roman" w:eastAsia="Times New Roman" w:hAnsi="Times New Roman"/>
                    <w:color w:val="000000"/>
                    <w:sz w:val="18"/>
                    <w:szCs w:val="18"/>
                    <w:lang w:eastAsia="es-CO"/>
                  </w:rPr>
                </w:pPr>
              </w:p>
            </w:tc>
            <w:tc>
              <w:tcPr>
                <w:tcW w:w="3594" w:type="pct"/>
                <w:shd w:val="clear" w:color="auto" w:fill="auto"/>
                <w:noWrap/>
                <w:vAlign w:val="center"/>
                <w:hideMark/>
              </w:tcPr>
              <w:p w14:paraId="62CC7104"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Investigación de accidentes de trabajo </w:t>
                </w:r>
              </w:p>
            </w:tc>
            <w:tc>
              <w:tcPr>
                <w:tcW w:w="569" w:type="pct"/>
                <w:shd w:val="clear" w:color="auto" w:fill="auto"/>
                <w:noWrap/>
                <w:vAlign w:val="center"/>
                <w:hideMark/>
              </w:tcPr>
              <w:p w14:paraId="58188EAD"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w:t>
                </w:r>
              </w:p>
            </w:tc>
            <w:tc>
              <w:tcPr>
                <w:tcW w:w="603" w:type="pct"/>
                <w:shd w:val="clear" w:color="auto" w:fill="auto"/>
                <w:noWrap/>
                <w:vAlign w:val="center"/>
                <w:hideMark/>
              </w:tcPr>
              <w:p w14:paraId="41267616"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6</w:t>
                </w:r>
              </w:p>
            </w:tc>
          </w:tr>
          <w:tr w:rsidR="00B36ABA" w:rsidRPr="00E27B04" w14:paraId="0611F3D7" w14:textId="77777777" w:rsidTr="007C57E6">
            <w:trPr>
              <w:trHeight w:val="283"/>
            </w:trPr>
            <w:tc>
              <w:tcPr>
                <w:tcW w:w="235" w:type="pct"/>
                <w:vMerge/>
                <w:vAlign w:val="center"/>
                <w:hideMark/>
              </w:tcPr>
              <w:p w14:paraId="6DEF7BFE" w14:textId="77777777" w:rsidR="00B36ABA" w:rsidRPr="009A46BB" w:rsidRDefault="00B36ABA">
                <w:pPr>
                  <w:spacing w:after="0" w:line="240" w:lineRule="auto"/>
                  <w:rPr>
                    <w:rFonts w:ascii="Times New Roman" w:eastAsia="Times New Roman" w:hAnsi="Times New Roman"/>
                    <w:color w:val="000000"/>
                    <w:sz w:val="18"/>
                    <w:szCs w:val="18"/>
                    <w:lang w:eastAsia="es-CO"/>
                  </w:rPr>
                </w:pPr>
              </w:p>
            </w:tc>
            <w:tc>
              <w:tcPr>
                <w:tcW w:w="3594" w:type="pct"/>
                <w:shd w:val="clear" w:color="auto" w:fill="auto"/>
                <w:noWrap/>
                <w:vAlign w:val="center"/>
                <w:hideMark/>
              </w:tcPr>
              <w:p w14:paraId="1774BFC7"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Liderazgo y manejo de emergencias</w:t>
                </w:r>
              </w:p>
            </w:tc>
            <w:tc>
              <w:tcPr>
                <w:tcW w:w="569" w:type="pct"/>
                <w:shd w:val="clear" w:color="auto" w:fill="auto"/>
                <w:noWrap/>
                <w:vAlign w:val="center"/>
                <w:hideMark/>
              </w:tcPr>
              <w:p w14:paraId="74EDFC8C"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4</w:t>
                </w:r>
              </w:p>
            </w:tc>
            <w:tc>
              <w:tcPr>
                <w:tcW w:w="603" w:type="pct"/>
                <w:shd w:val="clear" w:color="auto" w:fill="auto"/>
                <w:noWrap/>
                <w:vAlign w:val="center"/>
                <w:hideMark/>
              </w:tcPr>
              <w:p w14:paraId="68FE7D18"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6</w:t>
                </w:r>
              </w:p>
            </w:tc>
          </w:tr>
          <w:tr w:rsidR="00B36ABA" w:rsidRPr="00E27B04" w14:paraId="330933D7" w14:textId="77777777" w:rsidTr="007C57E6">
            <w:trPr>
              <w:trHeight w:val="283"/>
            </w:trPr>
            <w:tc>
              <w:tcPr>
                <w:tcW w:w="235" w:type="pct"/>
                <w:vMerge/>
                <w:vAlign w:val="center"/>
                <w:hideMark/>
              </w:tcPr>
              <w:p w14:paraId="79C424B7" w14:textId="77777777" w:rsidR="00B36ABA" w:rsidRPr="009A46BB" w:rsidRDefault="00B36ABA">
                <w:pPr>
                  <w:spacing w:after="0" w:line="240" w:lineRule="auto"/>
                  <w:rPr>
                    <w:rFonts w:ascii="Times New Roman" w:eastAsia="Times New Roman" w:hAnsi="Times New Roman"/>
                    <w:color w:val="000000"/>
                    <w:sz w:val="18"/>
                    <w:szCs w:val="18"/>
                    <w:lang w:eastAsia="es-CO"/>
                  </w:rPr>
                </w:pPr>
              </w:p>
            </w:tc>
            <w:tc>
              <w:tcPr>
                <w:tcW w:w="3594" w:type="pct"/>
                <w:shd w:val="clear" w:color="auto" w:fill="auto"/>
                <w:noWrap/>
                <w:vAlign w:val="center"/>
                <w:hideMark/>
              </w:tcPr>
              <w:p w14:paraId="74C187B9"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Manejo de estrés</w:t>
                </w:r>
              </w:p>
            </w:tc>
            <w:tc>
              <w:tcPr>
                <w:tcW w:w="569" w:type="pct"/>
                <w:shd w:val="clear" w:color="auto" w:fill="auto"/>
                <w:noWrap/>
                <w:vAlign w:val="center"/>
                <w:hideMark/>
              </w:tcPr>
              <w:p w14:paraId="3F80BF2A"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18</w:t>
                </w:r>
              </w:p>
            </w:tc>
            <w:tc>
              <w:tcPr>
                <w:tcW w:w="603" w:type="pct"/>
                <w:shd w:val="clear" w:color="auto" w:fill="auto"/>
                <w:noWrap/>
                <w:vAlign w:val="center"/>
                <w:hideMark/>
              </w:tcPr>
              <w:p w14:paraId="49328AF2"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22</w:t>
                </w:r>
              </w:p>
            </w:tc>
          </w:tr>
          <w:tr w:rsidR="00B36ABA" w:rsidRPr="00E27B04" w14:paraId="49DAA0DA" w14:textId="77777777" w:rsidTr="007C57E6">
            <w:trPr>
              <w:trHeight w:val="283"/>
            </w:trPr>
            <w:tc>
              <w:tcPr>
                <w:tcW w:w="235" w:type="pct"/>
                <w:vMerge/>
                <w:vAlign w:val="center"/>
                <w:hideMark/>
              </w:tcPr>
              <w:p w14:paraId="0316955A" w14:textId="77777777" w:rsidR="00B36ABA" w:rsidRPr="009A46BB" w:rsidRDefault="00B36ABA">
                <w:pPr>
                  <w:spacing w:after="0" w:line="240" w:lineRule="auto"/>
                  <w:rPr>
                    <w:rFonts w:ascii="Times New Roman" w:eastAsia="Times New Roman" w:hAnsi="Times New Roman"/>
                    <w:color w:val="000000"/>
                    <w:sz w:val="18"/>
                    <w:szCs w:val="18"/>
                    <w:lang w:eastAsia="es-CO"/>
                  </w:rPr>
                </w:pPr>
              </w:p>
            </w:tc>
            <w:tc>
              <w:tcPr>
                <w:tcW w:w="3594" w:type="pct"/>
                <w:shd w:val="clear" w:color="auto" w:fill="auto"/>
                <w:noWrap/>
                <w:vAlign w:val="center"/>
                <w:hideMark/>
              </w:tcPr>
              <w:p w14:paraId="146C53CC"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Peligro Eléctrico</w:t>
                </w:r>
              </w:p>
            </w:tc>
            <w:tc>
              <w:tcPr>
                <w:tcW w:w="569" w:type="pct"/>
                <w:shd w:val="clear" w:color="auto" w:fill="auto"/>
                <w:noWrap/>
                <w:vAlign w:val="center"/>
                <w:hideMark/>
              </w:tcPr>
              <w:p w14:paraId="1AD77222"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5</w:t>
                </w:r>
              </w:p>
            </w:tc>
            <w:tc>
              <w:tcPr>
                <w:tcW w:w="603" w:type="pct"/>
                <w:shd w:val="clear" w:color="auto" w:fill="auto"/>
                <w:noWrap/>
                <w:vAlign w:val="center"/>
                <w:hideMark/>
              </w:tcPr>
              <w:p w14:paraId="56425599"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w:t>
                </w:r>
              </w:p>
            </w:tc>
          </w:tr>
          <w:tr w:rsidR="00B36ABA" w:rsidRPr="00E27B04" w14:paraId="2588CB71" w14:textId="77777777" w:rsidTr="007C57E6">
            <w:trPr>
              <w:trHeight w:val="283"/>
            </w:trPr>
            <w:tc>
              <w:tcPr>
                <w:tcW w:w="235" w:type="pct"/>
                <w:vMerge/>
                <w:vAlign w:val="center"/>
                <w:hideMark/>
              </w:tcPr>
              <w:p w14:paraId="6359B5F7" w14:textId="77777777" w:rsidR="00B36ABA" w:rsidRPr="009A46BB" w:rsidRDefault="00B36ABA">
                <w:pPr>
                  <w:spacing w:after="0" w:line="240" w:lineRule="auto"/>
                  <w:rPr>
                    <w:rFonts w:ascii="Times New Roman" w:eastAsia="Times New Roman" w:hAnsi="Times New Roman"/>
                    <w:color w:val="000000"/>
                    <w:sz w:val="18"/>
                    <w:szCs w:val="18"/>
                    <w:lang w:eastAsia="es-CO"/>
                  </w:rPr>
                </w:pPr>
              </w:p>
            </w:tc>
            <w:tc>
              <w:tcPr>
                <w:tcW w:w="3594" w:type="pct"/>
                <w:shd w:val="clear" w:color="auto" w:fill="auto"/>
                <w:noWrap/>
                <w:vAlign w:val="center"/>
                <w:hideMark/>
              </w:tcPr>
              <w:p w14:paraId="03A6BEB8"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Prevención de la fatiga y distracción en la vía</w:t>
                </w:r>
              </w:p>
            </w:tc>
            <w:tc>
              <w:tcPr>
                <w:tcW w:w="569" w:type="pct"/>
                <w:shd w:val="clear" w:color="auto" w:fill="auto"/>
                <w:noWrap/>
                <w:vAlign w:val="center"/>
                <w:hideMark/>
              </w:tcPr>
              <w:p w14:paraId="2EEF413B"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6</w:t>
                </w:r>
              </w:p>
            </w:tc>
            <w:tc>
              <w:tcPr>
                <w:tcW w:w="603" w:type="pct"/>
                <w:shd w:val="clear" w:color="auto" w:fill="auto"/>
                <w:noWrap/>
                <w:vAlign w:val="center"/>
                <w:hideMark/>
              </w:tcPr>
              <w:p w14:paraId="2BA64A9A"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5</w:t>
                </w:r>
              </w:p>
            </w:tc>
          </w:tr>
          <w:tr w:rsidR="00B36ABA" w:rsidRPr="00E27B04" w14:paraId="720EC583" w14:textId="77777777" w:rsidTr="007C57E6">
            <w:trPr>
              <w:trHeight w:val="283"/>
            </w:trPr>
            <w:tc>
              <w:tcPr>
                <w:tcW w:w="235" w:type="pct"/>
                <w:vMerge/>
                <w:vAlign w:val="center"/>
                <w:hideMark/>
              </w:tcPr>
              <w:p w14:paraId="0BF16B32" w14:textId="77777777" w:rsidR="00B36ABA" w:rsidRPr="009A46BB" w:rsidRDefault="00B36ABA">
                <w:pPr>
                  <w:spacing w:after="0" w:line="240" w:lineRule="auto"/>
                  <w:rPr>
                    <w:rFonts w:ascii="Times New Roman" w:eastAsia="Times New Roman" w:hAnsi="Times New Roman"/>
                    <w:color w:val="000000"/>
                    <w:sz w:val="18"/>
                    <w:szCs w:val="18"/>
                    <w:lang w:eastAsia="es-CO"/>
                  </w:rPr>
                </w:pPr>
              </w:p>
            </w:tc>
            <w:tc>
              <w:tcPr>
                <w:tcW w:w="3594" w:type="pct"/>
                <w:shd w:val="clear" w:color="auto" w:fill="auto"/>
                <w:noWrap/>
                <w:vAlign w:val="center"/>
                <w:hideMark/>
              </w:tcPr>
              <w:p w14:paraId="47AA1908"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Prevención de Lesiones Deportivas</w:t>
                </w:r>
              </w:p>
            </w:tc>
            <w:tc>
              <w:tcPr>
                <w:tcW w:w="569" w:type="pct"/>
                <w:shd w:val="clear" w:color="auto" w:fill="auto"/>
                <w:noWrap/>
                <w:vAlign w:val="center"/>
                <w:hideMark/>
              </w:tcPr>
              <w:p w14:paraId="638F26C3"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22</w:t>
                </w:r>
              </w:p>
            </w:tc>
            <w:tc>
              <w:tcPr>
                <w:tcW w:w="603" w:type="pct"/>
                <w:shd w:val="clear" w:color="auto" w:fill="auto"/>
                <w:noWrap/>
                <w:vAlign w:val="center"/>
                <w:hideMark/>
              </w:tcPr>
              <w:p w14:paraId="05CF0566"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22</w:t>
                </w:r>
              </w:p>
            </w:tc>
          </w:tr>
          <w:tr w:rsidR="00B36ABA" w:rsidRPr="00E27B04" w14:paraId="4EFE7520" w14:textId="77777777" w:rsidTr="007C57E6">
            <w:trPr>
              <w:trHeight w:val="283"/>
            </w:trPr>
            <w:tc>
              <w:tcPr>
                <w:tcW w:w="235" w:type="pct"/>
                <w:vMerge/>
                <w:vAlign w:val="center"/>
                <w:hideMark/>
              </w:tcPr>
              <w:p w14:paraId="3BBC19EB" w14:textId="77777777" w:rsidR="00B36ABA" w:rsidRPr="009A46BB" w:rsidRDefault="00B36ABA">
                <w:pPr>
                  <w:spacing w:after="0" w:line="240" w:lineRule="auto"/>
                  <w:rPr>
                    <w:rFonts w:ascii="Times New Roman" w:eastAsia="Times New Roman" w:hAnsi="Times New Roman"/>
                    <w:color w:val="000000"/>
                    <w:sz w:val="18"/>
                    <w:szCs w:val="18"/>
                    <w:lang w:eastAsia="es-CO"/>
                  </w:rPr>
                </w:pPr>
              </w:p>
            </w:tc>
            <w:tc>
              <w:tcPr>
                <w:tcW w:w="3594" w:type="pct"/>
                <w:shd w:val="clear" w:color="auto" w:fill="auto"/>
                <w:noWrap/>
                <w:vAlign w:val="center"/>
                <w:hideMark/>
              </w:tcPr>
              <w:p w14:paraId="3A3B126E"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Prevención del consumo de alcohol, tabaco y sustancias psicoactivas</w:t>
                </w:r>
              </w:p>
            </w:tc>
            <w:tc>
              <w:tcPr>
                <w:tcW w:w="569" w:type="pct"/>
                <w:shd w:val="clear" w:color="auto" w:fill="auto"/>
                <w:noWrap/>
                <w:vAlign w:val="center"/>
                <w:hideMark/>
              </w:tcPr>
              <w:p w14:paraId="073ED96F"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6</w:t>
                </w:r>
              </w:p>
            </w:tc>
            <w:tc>
              <w:tcPr>
                <w:tcW w:w="603" w:type="pct"/>
                <w:shd w:val="clear" w:color="auto" w:fill="auto"/>
                <w:noWrap/>
                <w:vAlign w:val="center"/>
                <w:hideMark/>
              </w:tcPr>
              <w:p w14:paraId="11283824"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11</w:t>
                </w:r>
              </w:p>
            </w:tc>
          </w:tr>
          <w:tr w:rsidR="00B36ABA" w:rsidRPr="00E27B04" w14:paraId="287461C3" w14:textId="77777777" w:rsidTr="007C57E6">
            <w:trPr>
              <w:trHeight w:val="283"/>
            </w:trPr>
            <w:tc>
              <w:tcPr>
                <w:tcW w:w="235" w:type="pct"/>
                <w:vMerge/>
                <w:vAlign w:val="center"/>
                <w:hideMark/>
              </w:tcPr>
              <w:p w14:paraId="12E0215F" w14:textId="77777777" w:rsidR="00B36ABA" w:rsidRPr="009A46BB" w:rsidRDefault="00B36ABA">
                <w:pPr>
                  <w:spacing w:after="0" w:line="240" w:lineRule="auto"/>
                  <w:rPr>
                    <w:rFonts w:ascii="Times New Roman" w:eastAsia="Times New Roman" w:hAnsi="Times New Roman"/>
                    <w:color w:val="000000"/>
                    <w:sz w:val="18"/>
                    <w:szCs w:val="18"/>
                    <w:lang w:eastAsia="es-CO"/>
                  </w:rPr>
                </w:pPr>
              </w:p>
            </w:tc>
            <w:tc>
              <w:tcPr>
                <w:tcW w:w="3594" w:type="pct"/>
                <w:shd w:val="clear" w:color="auto" w:fill="auto"/>
                <w:noWrap/>
                <w:vAlign w:val="center"/>
                <w:hideMark/>
              </w:tcPr>
              <w:p w14:paraId="3B6CFDB2"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Primeros Auxilios Brigadistas</w:t>
                </w:r>
              </w:p>
            </w:tc>
            <w:tc>
              <w:tcPr>
                <w:tcW w:w="569" w:type="pct"/>
                <w:shd w:val="clear" w:color="auto" w:fill="auto"/>
                <w:noWrap/>
                <w:vAlign w:val="center"/>
                <w:hideMark/>
              </w:tcPr>
              <w:p w14:paraId="5F4D7ABE"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4</w:t>
                </w:r>
              </w:p>
            </w:tc>
            <w:tc>
              <w:tcPr>
                <w:tcW w:w="603" w:type="pct"/>
                <w:shd w:val="clear" w:color="auto" w:fill="auto"/>
                <w:noWrap/>
                <w:vAlign w:val="center"/>
                <w:hideMark/>
              </w:tcPr>
              <w:p w14:paraId="3A6AA623"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5</w:t>
                </w:r>
              </w:p>
            </w:tc>
          </w:tr>
          <w:tr w:rsidR="00B36ABA" w:rsidRPr="00E27B04" w14:paraId="75627486" w14:textId="77777777" w:rsidTr="007C57E6">
            <w:trPr>
              <w:trHeight w:val="283"/>
            </w:trPr>
            <w:tc>
              <w:tcPr>
                <w:tcW w:w="235" w:type="pct"/>
                <w:vMerge/>
                <w:vAlign w:val="center"/>
                <w:hideMark/>
              </w:tcPr>
              <w:p w14:paraId="13D72F8A" w14:textId="77777777" w:rsidR="00B36ABA" w:rsidRPr="009A46BB" w:rsidRDefault="00B36ABA">
                <w:pPr>
                  <w:spacing w:after="0" w:line="240" w:lineRule="auto"/>
                  <w:rPr>
                    <w:rFonts w:ascii="Times New Roman" w:eastAsia="Times New Roman" w:hAnsi="Times New Roman"/>
                    <w:color w:val="000000"/>
                    <w:sz w:val="18"/>
                    <w:szCs w:val="18"/>
                    <w:lang w:eastAsia="es-CO"/>
                  </w:rPr>
                </w:pPr>
              </w:p>
            </w:tc>
            <w:tc>
              <w:tcPr>
                <w:tcW w:w="3594" w:type="pct"/>
                <w:shd w:val="clear" w:color="auto" w:fill="auto"/>
                <w:noWrap/>
                <w:vAlign w:val="center"/>
                <w:hideMark/>
              </w:tcPr>
              <w:p w14:paraId="41476F5D"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Primeros Auxilios Viales</w:t>
                </w:r>
              </w:p>
            </w:tc>
            <w:tc>
              <w:tcPr>
                <w:tcW w:w="569" w:type="pct"/>
                <w:shd w:val="clear" w:color="auto" w:fill="auto"/>
                <w:noWrap/>
                <w:vAlign w:val="center"/>
                <w:hideMark/>
              </w:tcPr>
              <w:p w14:paraId="6C881F65"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6</w:t>
                </w:r>
              </w:p>
            </w:tc>
            <w:tc>
              <w:tcPr>
                <w:tcW w:w="603" w:type="pct"/>
                <w:shd w:val="clear" w:color="auto" w:fill="auto"/>
                <w:noWrap/>
                <w:vAlign w:val="center"/>
                <w:hideMark/>
              </w:tcPr>
              <w:p w14:paraId="3D295303"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5</w:t>
                </w:r>
              </w:p>
            </w:tc>
          </w:tr>
          <w:tr w:rsidR="00B36ABA" w:rsidRPr="00E27B04" w14:paraId="5A32C7FF" w14:textId="77777777" w:rsidTr="007C57E6">
            <w:trPr>
              <w:trHeight w:val="283"/>
            </w:trPr>
            <w:tc>
              <w:tcPr>
                <w:tcW w:w="235" w:type="pct"/>
                <w:vMerge/>
                <w:vAlign w:val="center"/>
                <w:hideMark/>
              </w:tcPr>
              <w:p w14:paraId="5D1D4219" w14:textId="77777777" w:rsidR="00B36ABA" w:rsidRPr="009A46BB" w:rsidRDefault="00B36ABA">
                <w:pPr>
                  <w:spacing w:after="0" w:line="240" w:lineRule="auto"/>
                  <w:rPr>
                    <w:rFonts w:ascii="Times New Roman" w:eastAsia="Times New Roman" w:hAnsi="Times New Roman"/>
                    <w:color w:val="000000"/>
                    <w:sz w:val="18"/>
                    <w:szCs w:val="18"/>
                    <w:lang w:eastAsia="es-CO"/>
                  </w:rPr>
                </w:pPr>
              </w:p>
            </w:tc>
            <w:tc>
              <w:tcPr>
                <w:tcW w:w="3594" w:type="pct"/>
                <w:shd w:val="clear" w:color="auto" w:fill="auto"/>
                <w:noWrap/>
                <w:vAlign w:val="center"/>
                <w:hideMark/>
              </w:tcPr>
              <w:p w14:paraId="467D9804"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Resolución de Conflictos - Integrantes Comité de Convivencia</w:t>
                </w:r>
              </w:p>
            </w:tc>
            <w:tc>
              <w:tcPr>
                <w:tcW w:w="569" w:type="pct"/>
                <w:shd w:val="clear" w:color="auto" w:fill="auto"/>
                <w:noWrap/>
                <w:vAlign w:val="center"/>
                <w:hideMark/>
              </w:tcPr>
              <w:p w14:paraId="5B3DB09C"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w:t>
                </w:r>
              </w:p>
            </w:tc>
            <w:tc>
              <w:tcPr>
                <w:tcW w:w="603" w:type="pct"/>
                <w:shd w:val="clear" w:color="auto" w:fill="auto"/>
                <w:noWrap/>
                <w:vAlign w:val="center"/>
                <w:hideMark/>
              </w:tcPr>
              <w:p w14:paraId="68AD44BC"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3</w:t>
                </w:r>
              </w:p>
            </w:tc>
          </w:tr>
          <w:tr w:rsidR="00B36ABA" w:rsidRPr="00E27B04" w14:paraId="57B45519" w14:textId="77777777" w:rsidTr="007C57E6">
            <w:trPr>
              <w:trHeight w:val="283"/>
            </w:trPr>
            <w:tc>
              <w:tcPr>
                <w:tcW w:w="235" w:type="pct"/>
                <w:vMerge/>
                <w:vAlign w:val="center"/>
                <w:hideMark/>
              </w:tcPr>
              <w:p w14:paraId="692F6A76" w14:textId="77777777" w:rsidR="00B36ABA" w:rsidRPr="009A46BB" w:rsidRDefault="00B36ABA">
                <w:pPr>
                  <w:spacing w:after="0" w:line="240" w:lineRule="auto"/>
                  <w:rPr>
                    <w:rFonts w:ascii="Times New Roman" w:eastAsia="Times New Roman" w:hAnsi="Times New Roman"/>
                    <w:color w:val="000000"/>
                    <w:sz w:val="18"/>
                    <w:szCs w:val="18"/>
                    <w:lang w:eastAsia="es-CO"/>
                  </w:rPr>
                </w:pPr>
              </w:p>
            </w:tc>
            <w:tc>
              <w:tcPr>
                <w:tcW w:w="3594" w:type="pct"/>
                <w:shd w:val="clear" w:color="auto" w:fill="auto"/>
                <w:noWrap/>
                <w:vAlign w:val="center"/>
                <w:hideMark/>
              </w:tcPr>
              <w:p w14:paraId="5B140F20"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Roles y responsabilidades</w:t>
                </w:r>
              </w:p>
            </w:tc>
            <w:tc>
              <w:tcPr>
                <w:tcW w:w="569" w:type="pct"/>
                <w:shd w:val="clear" w:color="auto" w:fill="auto"/>
                <w:noWrap/>
                <w:vAlign w:val="center"/>
                <w:hideMark/>
              </w:tcPr>
              <w:p w14:paraId="2B952BCC"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0</w:t>
                </w:r>
              </w:p>
            </w:tc>
            <w:tc>
              <w:tcPr>
                <w:tcW w:w="603" w:type="pct"/>
                <w:shd w:val="clear" w:color="auto" w:fill="auto"/>
                <w:noWrap/>
                <w:vAlign w:val="center"/>
                <w:hideMark/>
              </w:tcPr>
              <w:p w14:paraId="14BDFD8A"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7</w:t>
                </w:r>
              </w:p>
            </w:tc>
          </w:tr>
          <w:tr w:rsidR="00B36ABA" w:rsidRPr="00E27B04" w14:paraId="60042E54" w14:textId="77777777" w:rsidTr="007C57E6">
            <w:trPr>
              <w:trHeight w:val="283"/>
            </w:trPr>
            <w:tc>
              <w:tcPr>
                <w:tcW w:w="235" w:type="pct"/>
                <w:vMerge/>
                <w:vAlign w:val="center"/>
                <w:hideMark/>
              </w:tcPr>
              <w:p w14:paraId="3C31823D" w14:textId="77777777" w:rsidR="00B36ABA" w:rsidRPr="009A46BB" w:rsidRDefault="00B36ABA">
                <w:pPr>
                  <w:spacing w:after="0" w:line="240" w:lineRule="auto"/>
                  <w:rPr>
                    <w:rFonts w:ascii="Times New Roman" w:eastAsia="Times New Roman" w:hAnsi="Times New Roman"/>
                    <w:color w:val="000000"/>
                    <w:sz w:val="18"/>
                    <w:szCs w:val="18"/>
                    <w:lang w:eastAsia="es-CO"/>
                  </w:rPr>
                </w:pPr>
              </w:p>
            </w:tc>
            <w:tc>
              <w:tcPr>
                <w:tcW w:w="3594" w:type="pct"/>
                <w:shd w:val="clear" w:color="auto" w:fill="auto"/>
                <w:noWrap/>
                <w:vAlign w:val="center"/>
                <w:hideMark/>
              </w:tcPr>
              <w:p w14:paraId="525E360D"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Sustancias Psicoactivas</w:t>
                </w:r>
              </w:p>
            </w:tc>
            <w:tc>
              <w:tcPr>
                <w:tcW w:w="569" w:type="pct"/>
                <w:shd w:val="clear" w:color="auto" w:fill="auto"/>
                <w:noWrap/>
                <w:vAlign w:val="center"/>
                <w:hideMark/>
              </w:tcPr>
              <w:p w14:paraId="034C6D0A"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16</w:t>
                </w:r>
              </w:p>
            </w:tc>
            <w:tc>
              <w:tcPr>
                <w:tcW w:w="603" w:type="pct"/>
                <w:shd w:val="clear" w:color="auto" w:fill="auto"/>
                <w:noWrap/>
                <w:vAlign w:val="center"/>
                <w:hideMark/>
              </w:tcPr>
              <w:p w14:paraId="25FFC3B8"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13</w:t>
                </w:r>
              </w:p>
            </w:tc>
          </w:tr>
          <w:tr w:rsidR="00B36ABA" w:rsidRPr="00E27B04" w14:paraId="2BFEEBF7" w14:textId="77777777" w:rsidTr="007C57E6">
            <w:trPr>
              <w:trHeight w:val="283"/>
            </w:trPr>
            <w:tc>
              <w:tcPr>
                <w:tcW w:w="235" w:type="pct"/>
                <w:vMerge/>
                <w:vAlign w:val="center"/>
                <w:hideMark/>
              </w:tcPr>
              <w:p w14:paraId="1B723E1C" w14:textId="77777777" w:rsidR="00B36ABA" w:rsidRPr="009A46BB" w:rsidRDefault="00B36ABA">
                <w:pPr>
                  <w:spacing w:after="0" w:line="240" w:lineRule="auto"/>
                  <w:rPr>
                    <w:rFonts w:ascii="Times New Roman" w:eastAsia="Times New Roman" w:hAnsi="Times New Roman"/>
                    <w:color w:val="000000"/>
                    <w:sz w:val="18"/>
                    <w:szCs w:val="18"/>
                    <w:lang w:eastAsia="es-CO"/>
                  </w:rPr>
                </w:pPr>
              </w:p>
            </w:tc>
            <w:tc>
              <w:tcPr>
                <w:tcW w:w="3594" w:type="pct"/>
                <w:shd w:val="clear" w:color="auto" w:fill="auto"/>
                <w:noWrap/>
                <w:vAlign w:val="center"/>
                <w:hideMark/>
              </w:tcPr>
              <w:p w14:paraId="08C579BD"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Velocidad Segura</w:t>
                </w:r>
              </w:p>
            </w:tc>
            <w:tc>
              <w:tcPr>
                <w:tcW w:w="569" w:type="pct"/>
                <w:shd w:val="clear" w:color="auto" w:fill="auto"/>
                <w:noWrap/>
                <w:vAlign w:val="center"/>
                <w:hideMark/>
              </w:tcPr>
              <w:p w14:paraId="1ADBF8AA"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4</w:t>
                </w:r>
              </w:p>
            </w:tc>
            <w:tc>
              <w:tcPr>
                <w:tcW w:w="603" w:type="pct"/>
                <w:shd w:val="clear" w:color="auto" w:fill="auto"/>
                <w:noWrap/>
                <w:vAlign w:val="center"/>
                <w:hideMark/>
              </w:tcPr>
              <w:p w14:paraId="03DF63A9"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3</w:t>
                </w:r>
              </w:p>
            </w:tc>
          </w:tr>
          <w:tr w:rsidR="00B36ABA" w:rsidRPr="00E27B04" w14:paraId="4C85FD77" w14:textId="77777777" w:rsidTr="007C57E6">
            <w:trPr>
              <w:trHeight w:val="283"/>
            </w:trPr>
            <w:tc>
              <w:tcPr>
                <w:tcW w:w="235" w:type="pct"/>
                <w:vMerge/>
                <w:vAlign w:val="center"/>
                <w:hideMark/>
              </w:tcPr>
              <w:p w14:paraId="6DAF2497" w14:textId="77777777" w:rsidR="00B36ABA" w:rsidRPr="009A46BB" w:rsidRDefault="00B36ABA">
                <w:pPr>
                  <w:spacing w:after="0" w:line="240" w:lineRule="auto"/>
                  <w:rPr>
                    <w:rFonts w:ascii="Times New Roman" w:eastAsia="Times New Roman" w:hAnsi="Times New Roman"/>
                    <w:color w:val="000000"/>
                    <w:sz w:val="18"/>
                    <w:szCs w:val="18"/>
                    <w:lang w:eastAsia="es-CO"/>
                  </w:rPr>
                </w:pPr>
              </w:p>
            </w:tc>
            <w:tc>
              <w:tcPr>
                <w:tcW w:w="3594" w:type="pct"/>
                <w:shd w:val="clear" w:color="auto" w:fill="auto"/>
                <w:noWrap/>
                <w:vAlign w:val="center"/>
                <w:hideMark/>
              </w:tcPr>
              <w:p w14:paraId="731BA818" w14:textId="77777777" w:rsidR="00B36ABA" w:rsidRPr="009A46BB" w:rsidRDefault="00B36ABA">
                <w:pPr>
                  <w:spacing w:after="0" w:line="240" w:lineRule="auto"/>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Subtotal</w:t>
                </w:r>
              </w:p>
            </w:tc>
            <w:tc>
              <w:tcPr>
                <w:tcW w:w="569" w:type="pct"/>
                <w:shd w:val="clear" w:color="auto" w:fill="auto"/>
                <w:noWrap/>
                <w:vAlign w:val="center"/>
                <w:hideMark/>
              </w:tcPr>
              <w:p w14:paraId="070C88A6" w14:textId="77777777" w:rsidR="00B36ABA" w:rsidRPr="009A46BB" w:rsidRDefault="00B36ABA">
                <w:pPr>
                  <w:spacing w:after="0" w:line="240" w:lineRule="auto"/>
                  <w:jc w:val="center"/>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136</w:t>
                </w:r>
              </w:p>
            </w:tc>
            <w:tc>
              <w:tcPr>
                <w:tcW w:w="603" w:type="pct"/>
                <w:shd w:val="clear" w:color="auto" w:fill="auto"/>
                <w:noWrap/>
                <w:vAlign w:val="center"/>
                <w:hideMark/>
              </w:tcPr>
              <w:p w14:paraId="06E2F963" w14:textId="77777777" w:rsidR="00B36ABA" w:rsidRPr="009A46BB" w:rsidRDefault="00B36ABA">
                <w:pPr>
                  <w:spacing w:after="0" w:line="240" w:lineRule="auto"/>
                  <w:jc w:val="center"/>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147</w:t>
                </w:r>
              </w:p>
            </w:tc>
          </w:tr>
          <w:tr w:rsidR="00B36ABA" w:rsidRPr="00E27B04" w14:paraId="10E019D6" w14:textId="77777777" w:rsidTr="007C57E6">
            <w:trPr>
              <w:trHeight w:val="340"/>
            </w:trPr>
            <w:tc>
              <w:tcPr>
                <w:tcW w:w="235" w:type="pct"/>
                <w:vMerge w:val="restart"/>
                <w:shd w:val="clear" w:color="auto" w:fill="auto"/>
                <w:noWrap/>
                <w:textDirection w:val="btLr"/>
                <w:vAlign w:val="center"/>
                <w:hideMark/>
              </w:tcPr>
              <w:p w14:paraId="4B59A867" w14:textId="77777777" w:rsidR="00B36ABA" w:rsidRPr="009A46BB" w:rsidRDefault="00B36ABA" w:rsidP="00F4317C">
                <w:pPr>
                  <w:spacing w:after="0" w:line="240" w:lineRule="auto"/>
                  <w:ind w:left="113" w:right="113"/>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DAFP</w:t>
                </w:r>
              </w:p>
            </w:tc>
            <w:tc>
              <w:tcPr>
                <w:tcW w:w="3594" w:type="pct"/>
                <w:shd w:val="clear" w:color="auto" w:fill="auto"/>
                <w:noWrap/>
                <w:vAlign w:val="center"/>
                <w:hideMark/>
              </w:tcPr>
              <w:p w14:paraId="499E6005"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Nuevo Modelo de la Gerencia Pública</w:t>
                </w:r>
              </w:p>
            </w:tc>
            <w:tc>
              <w:tcPr>
                <w:tcW w:w="569" w:type="pct"/>
                <w:shd w:val="clear" w:color="auto" w:fill="auto"/>
                <w:noWrap/>
                <w:vAlign w:val="center"/>
                <w:hideMark/>
              </w:tcPr>
              <w:p w14:paraId="5BD6692B"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w:t>
                </w:r>
              </w:p>
            </w:tc>
            <w:tc>
              <w:tcPr>
                <w:tcW w:w="603" w:type="pct"/>
                <w:shd w:val="clear" w:color="auto" w:fill="auto"/>
                <w:noWrap/>
                <w:vAlign w:val="center"/>
                <w:hideMark/>
              </w:tcPr>
              <w:p w14:paraId="4B8D9028"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9</w:t>
                </w:r>
              </w:p>
            </w:tc>
          </w:tr>
          <w:tr w:rsidR="00B36ABA" w:rsidRPr="00E27B04" w14:paraId="4EC24C46" w14:textId="77777777" w:rsidTr="007C57E6">
            <w:trPr>
              <w:trHeight w:val="404"/>
            </w:trPr>
            <w:tc>
              <w:tcPr>
                <w:tcW w:w="235" w:type="pct"/>
                <w:vMerge/>
                <w:vAlign w:val="center"/>
                <w:hideMark/>
              </w:tcPr>
              <w:p w14:paraId="004BEF47" w14:textId="77777777" w:rsidR="00B36ABA" w:rsidRPr="009A46BB" w:rsidRDefault="00B36ABA">
                <w:pPr>
                  <w:spacing w:after="0" w:line="240" w:lineRule="auto"/>
                  <w:rPr>
                    <w:rFonts w:ascii="Times New Roman" w:eastAsia="Times New Roman" w:hAnsi="Times New Roman"/>
                    <w:color w:val="000000"/>
                    <w:sz w:val="18"/>
                    <w:szCs w:val="18"/>
                    <w:lang w:eastAsia="es-CO"/>
                  </w:rPr>
                </w:pPr>
              </w:p>
            </w:tc>
            <w:tc>
              <w:tcPr>
                <w:tcW w:w="3594" w:type="pct"/>
                <w:shd w:val="clear" w:color="auto" w:fill="auto"/>
                <w:noWrap/>
                <w:vAlign w:val="center"/>
                <w:hideMark/>
              </w:tcPr>
              <w:p w14:paraId="7C2723AC" w14:textId="77777777" w:rsidR="00B36ABA" w:rsidRPr="009A46BB" w:rsidRDefault="00B36ABA">
                <w:pPr>
                  <w:spacing w:after="0" w:line="240" w:lineRule="auto"/>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Subtotal</w:t>
                </w:r>
              </w:p>
            </w:tc>
            <w:tc>
              <w:tcPr>
                <w:tcW w:w="569" w:type="pct"/>
                <w:shd w:val="clear" w:color="auto" w:fill="auto"/>
                <w:noWrap/>
                <w:vAlign w:val="center"/>
                <w:hideMark/>
              </w:tcPr>
              <w:p w14:paraId="04907620" w14:textId="77777777" w:rsidR="00B36ABA" w:rsidRPr="009A46BB" w:rsidRDefault="00B36ABA">
                <w:pPr>
                  <w:spacing w:after="0" w:line="240" w:lineRule="auto"/>
                  <w:jc w:val="center"/>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265</w:t>
                </w:r>
              </w:p>
            </w:tc>
            <w:tc>
              <w:tcPr>
                <w:tcW w:w="603" w:type="pct"/>
                <w:shd w:val="clear" w:color="auto" w:fill="auto"/>
                <w:noWrap/>
                <w:vAlign w:val="center"/>
                <w:hideMark/>
              </w:tcPr>
              <w:p w14:paraId="3510560F" w14:textId="77777777" w:rsidR="00B36ABA" w:rsidRPr="009A46BB" w:rsidRDefault="00B36ABA">
                <w:pPr>
                  <w:spacing w:after="0" w:line="240" w:lineRule="auto"/>
                  <w:jc w:val="center"/>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296</w:t>
                </w:r>
              </w:p>
            </w:tc>
          </w:tr>
          <w:tr w:rsidR="00B36ABA" w:rsidRPr="00E27B04" w14:paraId="0AF4B145" w14:textId="77777777" w:rsidTr="007C57E6">
            <w:trPr>
              <w:trHeight w:val="834"/>
            </w:trPr>
            <w:tc>
              <w:tcPr>
                <w:tcW w:w="235" w:type="pct"/>
                <w:vMerge w:val="restart"/>
                <w:shd w:val="clear" w:color="auto" w:fill="auto"/>
                <w:noWrap/>
                <w:textDirection w:val="btLr"/>
                <w:vAlign w:val="center"/>
                <w:hideMark/>
              </w:tcPr>
              <w:p w14:paraId="0EF4F692" w14:textId="77777777" w:rsidR="00B36ABA" w:rsidRPr="009A46BB" w:rsidRDefault="00B36ABA" w:rsidP="00F4317C">
                <w:pPr>
                  <w:spacing w:after="0" w:line="240" w:lineRule="auto"/>
                  <w:ind w:left="113" w:right="113"/>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lastRenderedPageBreak/>
                  <w:t>COMPENSAR</w:t>
                </w:r>
              </w:p>
            </w:tc>
            <w:tc>
              <w:tcPr>
                <w:tcW w:w="3594" w:type="pct"/>
                <w:shd w:val="clear" w:color="auto" w:fill="auto"/>
                <w:noWrap/>
                <w:vAlign w:val="center"/>
                <w:hideMark/>
              </w:tcPr>
              <w:p w14:paraId="66A3EA0C"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Formador de formadores</w:t>
                </w:r>
              </w:p>
            </w:tc>
            <w:tc>
              <w:tcPr>
                <w:tcW w:w="569" w:type="pct"/>
                <w:shd w:val="clear" w:color="auto" w:fill="auto"/>
                <w:noWrap/>
                <w:vAlign w:val="center"/>
                <w:hideMark/>
              </w:tcPr>
              <w:p w14:paraId="3956B23D"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w:t>
                </w:r>
              </w:p>
            </w:tc>
            <w:tc>
              <w:tcPr>
                <w:tcW w:w="603" w:type="pct"/>
                <w:shd w:val="clear" w:color="auto" w:fill="auto"/>
                <w:noWrap/>
                <w:vAlign w:val="center"/>
                <w:hideMark/>
              </w:tcPr>
              <w:p w14:paraId="4E00ACDE"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13</w:t>
                </w:r>
              </w:p>
            </w:tc>
          </w:tr>
          <w:tr w:rsidR="00B36ABA" w:rsidRPr="00E27B04" w14:paraId="5AA83A49" w14:textId="77777777" w:rsidTr="007C57E6">
            <w:trPr>
              <w:trHeight w:val="555"/>
            </w:trPr>
            <w:tc>
              <w:tcPr>
                <w:tcW w:w="235" w:type="pct"/>
                <w:vMerge/>
                <w:vAlign w:val="center"/>
                <w:hideMark/>
              </w:tcPr>
              <w:p w14:paraId="684157C4" w14:textId="77777777" w:rsidR="00B36ABA" w:rsidRPr="009A46BB" w:rsidRDefault="00B36ABA">
                <w:pPr>
                  <w:spacing w:after="0" w:line="240" w:lineRule="auto"/>
                  <w:rPr>
                    <w:rFonts w:ascii="Times New Roman" w:eastAsia="Times New Roman" w:hAnsi="Times New Roman"/>
                    <w:color w:val="000000"/>
                    <w:sz w:val="18"/>
                    <w:szCs w:val="18"/>
                    <w:lang w:eastAsia="es-CO"/>
                  </w:rPr>
                </w:pPr>
              </w:p>
            </w:tc>
            <w:tc>
              <w:tcPr>
                <w:tcW w:w="3594" w:type="pct"/>
                <w:shd w:val="clear" w:color="auto" w:fill="auto"/>
                <w:noWrap/>
                <w:vAlign w:val="center"/>
                <w:hideMark/>
              </w:tcPr>
              <w:p w14:paraId="2DD0E0C8" w14:textId="77777777" w:rsidR="00B36ABA" w:rsidRPr="009A46BB" w:rsidRDefault="00B36ABA">
                <w:pPr>
                  <w:spacing w:after="0" w:line="240" w:lineRule="auto"/>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Subtotal</w:t>
                </w:r>
              </w:p>
            </w:tc>
            <w:tc>
              <w:tcPr>
                <w:tcW w:w="569" w:type="pct"/>
                <w:shd w:val="clear" w:color="auto" w:fill="auto"/>
                <w:noWrap/>
                <w:vAlign w:val="center"/>
                <w:hideMark/>
              </w:tcPr>
              <w:p w14:paraId="414C25AF" w14:textId="77777777" w:rsidR="00B36ABA" w:rsidRPr="009A46BB" w:rsidRDefault="00B36ABA">
                <w:pPr>
                  <w:spacing w:after="0" w:line="240" w:lineRule="auto"/>
                  <w:jc w:val="center"/>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2</w:t>
                </w:r>
              </w:p>
            </w:tc>
            <w:tc>
              <w:tcPr>
                <w:tcW w:w="603" w:type="pct"/>
                <w:shd w:val="clear" w:color="auto" w:fill="auto"/>
                <w:noWrap/>
                <w:vAlign w:val="center"/>
                <w:hideMark/>
              </w:tcPr>
              <w:p w14:paraId="214E79ED" w14:textId="77777777" w:rsidR="00B36ABA" w:rsidRPr="009A46BB" w:rsidRDefault="00B36ABA">
                <w:pPr>
                  <w:spacing w:after="0" w:line="240" w:lineRule="auto"/>
                  <w:jc w:val="center"/>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13</w:t>
                </w:r>
              </w:p>
            </w:tc>
          </w:tr>
          <w:tr w:rsidR="00B36ABA" w:rsidRPr="00E27B04" w14:paraId="2F3F7959" w14:textId="77777777" w:rsidTr="007C57E6">
            <w:trPr>
              <w:trHeight w:val="711"/>
            </w:trPr>
            <w:tc>
              <w:tcPr>
                <w:tcW w:w="235" w:type="pct"/>
                <w:vMerge w:val="restart"/>
                <w:shd w:val="clear" w:color="auto" w:fill="auto"/>
                <w:noWrap/>
                <w:textDirection w:val="btLr"/>
                <w:vAlign w:val="center"/>
                <w:hideMark/>
              </w:tcPr>
              <w:p w14:paraId="02D0DD69" w14:textId="77777777" w:rsidR="00B36ABA" w:rsidRPr="009A46BB" w:rsidRDefault="00B36ABA" w:rsidP="00F4317C">
                <w:pPr>
                  <w:spacing w:after="0" w:line="240" w:lineRule="auto"/>
                  <w:ind w:left="113" w:right="113"/>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UN. ROSARIO</w:t>
                </w:r>
              </w:p>
            </w:tc>
            <w:tc>
              <w:tcPr>
                <w:tcW w:w="3594" w:type="pct"/>
                <w:shd w:val="clear" w:color="auto" w:fill="auto"/>
                <w:vAlign w:val="center"/>
                <w:hideMark/>
              </w:tcPr>
              <w:p w14:paraId="21CAC549"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Programa de la “Maestría en estructuración ágil de proyectos de alta complejidad” de la Universidad del Rosario.</w:t>
                </w:r>
              </w:p>
            </w:tc>
            <w:tc>
              <w:tcPr>
                <w:tcW w:w="569" w:type="pct"/>
                <w:shd w:val="clear" w:color="auto" w:fill="auto"/>
                <w:noWrap/>
                <w:vAlign w:val="center"/>
                <w:hideMark/>
              </w:tcPr>
              <w:p w14:paraId="7AFF4794"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25</w:t>
                </w:r>
              </w:p>
            </w:tc>
            <w:tc>
              <w:tcPr>
                <w:tcW w:w="603" w:type="pct"/>
                <w:shd w:val="clear" w:color="auto" w:fill="auto"/>
                <w:noWrap/>
                <w:vAlign w:val="center"/>
                <w:hideMark/>
              </w:tcPr>
              <w:p w14:paraId="2E69E33D"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21</w:t>
                </w:r>
              </w:p>
            </w:tc>
          </w:tr>
          <w:tr w:rsidR="00B36ABA" w:rsidRPr="00E27B04" w14:paraId="22326E95" w14:textId="77777777" w:rsidTr="007C57E6">
            <w:trPr>
              <w:trHeight w:val="668"/>
            </w:trPr>
            <w:tc>
              <w:tcPr>
                <w:tcW w:w="235" w:type="pct"/>
                <w:vMerge/>
                <w:vAlign w:val="center"/>
                <w:hideMark/>
              </w:tcPr>
              <w:p w14:paraId="311F0B2C" w14:textId="77777777" w:rsidR="00B36ABA" w:rsidRPr="009A46BB" w:rsidRDefault="00B36ABA">
                <w:pPr>
                  <w:spacing w:after="0" w:line="240" w:lineRule="auto"/>
                  <w:rPr>
                    <w:rFonts w:ascii="Times New Roman" w:eastAsia="Times New Roman" w:hAnsi="Times New Roman"/>
                    <w:color w:val="000000"/>
                    <w:sz w:val="18"/>
                    <w:szCs w:val="18"/>
                    <w:lang w:eastAsia="es-CO"/>
                  </w:rPr>
                </w:pPr>
              </w:p>
            </w:tc>
            <w:tc>
              <w:tcPr>
                <w:tcW w:w="3594" w:type="pct"/>
                <w:shd w:val="clear" w:color="auto" w:fill="auto"/>
                <w:noWrap/>
                <w:vAlign w:val="center"/>
                <w:hideMark/>
              </w:tcPr>
              <w:p w14:paraId="0EFC6789" w14:textId="77777777" w:rsidR="00B36ABA" w:rsidRPr="009A46BB" w:rsidRDefault="00B36ABA">
                <w:pPr>
                  <w:spacing w:after="0" w:line="240" w:lineRule="auto"/>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Subtotal</w:t>
                </w:r>
              </w:p>
            </w:tc>
            <w:tc>
              <w:tcPr>
                <w:tcW w:w="569" w:type="pct"/>
                <w:shd w:val="clear" w:color="auto" w:fill="auto"/>
                <w:noWrap/>
                <w:vAlign w:val="center"/>
                <w:hideMark/>
              </w:tcPr>
              <w:p w14:paraId="041CB05D" w14:textId="77777777" w:rsidR="00B36ABA" w:rsidRPr="009A46BB" w:rsidRDefault="00B36ABA">
                <w:pPr>
                  <w:spacing w:after="0" w:line="240" w:lineRule="auto"/>
                  <w:jc w:val="center"/>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25</w:t>
                </w:r>
              </w:p>
            </w:tc>
            <w:tc>
              <w:tcPr>
                <w:tcW w:w="603" w:type="pct"/>
                <w:shd w:val="clear" w:color="auto" w:fill="auto"/>
                <w:noWrap/>
                <w:vAlign w:val="center"/>
                <w:hideMark/>
              </w:tcPr>
              <w:p w14:paraId="5BA69F19" w14:textId="77777777" w:rsidR="00B36ABA" w:rsidRPr="009A46BB" w:rsidRDefault="00B36ABA">
                <w:pPr>
                  <w:spacing w:after="0" w:line="240" w:lineRule="auto"/>
                  <w:jc w:val="center"/>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21</w:t>
                </w:r>
              </w:p>
            </w:tc>
          </w:tr>
          <w:tr w:rsidR="00B36ABA" w:rsidRPr="00E27B04" w14:paraId="535B7231" w14:textId="77777777" w:rsidTr="007C57E6">
            <w:trPr>
              <w:trHeight w:val="419"/>
            </w:trPr>
            <w:tc>
              <w:tcPr>
                <w:tcW w:w="235" w:type="pct"/>
                <w:vMerge w:val="restart"/>
                <w:shd w:val="clear" w:color="auto" w:fill="auto"/>
                <w:noWrap/>
                <w:textDirection w:val="btLr"/>
                <w:vAlign w:val="center"/>
                <w:hideMark/>
              </w:tcPr>
              <w:p w14:paraId="03C8FE35" w14:textId="77777777" w:rsidR="00B36ABA" w:rsidRPr="009A46BB" w:rsidRDefault="00B36ABA" w:rsidP="00F4317C">
                <w:pPr>
                  <w:spacing w:after="0" w:line="240" w:lineRule="auto"/>
                  <w:ind w:left="113" w:right="113"/>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UN. DE LA RIOJA</w:t>
                </w:r>
              </w:p>
            </w:tc>
            <w:tc>
              <w:tcPr>
                <w:tcW w:w="3594" w:type="pct"/>
                <w:shd w:val="clear" w:color="auto" w:fill="auto"/>
                <w:noWrap/>
                <w:vAlign w:val="center"/>
                <w:hideMark/>
              </w:tcPr>
              <w:p w14:paraId="50CCF3F2"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Habilidades blandas y gestión del cambio</w:t>
                </w:r>
              </w:p>
            </w:tc>
            <w:tc>
              <w:tcPr>
                <w:tcW w:w="569" w:type="pct"/>
                <w:shd w:val="clear" w:color="auto" w:fill="auto"/>
                <w:noWrap/>
                <w:vAlign w:val="center"/>
                <w:hideMark/>
              </w:tcPr>
              <w:p w14:paraId="61B769B2"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19</w:t>
                </w:r>
              </w:p>
            </w:tc>
            <w:tc>
              <w:tcPr>
                <w:tcW w:w="603" w:type="pct"/>
                <w:shd w:val="clear" w:color="auto" w:fill="auto"/>
                <w:noWrap/>
                <w:vAlign w:val="center"/>
                <w:hideMark/>
              </w:tcPr>
              <w:p w14:paraId="545EC940"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17</w:t>
                </w:r>
              </w:p>
            </w:tc>
          </w:tr>
          <w:tr w:rsidR="00B36ABA" w:rsidRPr="00E27B04" w14:paraId="07E6DEEE" w14:textId="77777777" w:rsidTr="007C57E6">
            <w:trPr>
              <w:trHeight w:val="412"/>
            </w:trPr>
            <w:tc>
              <w:tcPr>
                <w:tcW w:w="235" w:type="pct"/>
                <w:vMerge/>
                <w:vAlign w:val="center"/>
                <w:hideMark/>
              </w:tcPr>
              <w:p w14:paraId="7638A8C0" w14:textId="77777777" w:rsidR="00B36ABA" w:rsidRPr="009A46BB" w:rsidRDefault="00B36ABA">
                <w:pPr>
                  <w:spacing w:after="0" w:line="240" w:lineRule="auto"/>
                  <w:rPr>
                    <w:rFonts w:ascii="Times New Roman" w:eastAsia="Times New Roman" w:hAnsi="Times New Roman"/>
                    <w:color w:val="000000"/>
                    <w:sz w:val="18"/>
                    <w:szCs w:val="18"/>
                    <w:lang w:eastAsia="es-CO"/>
                  </w:rPr>
                </w:pPr>
              </w:p>
            </w:tc>
            <w:tc>
              <w:tcPr>
                <w:tcW w:w="3594" w:type="pct"/>
                <w:shd w:val="clear" w:color="auto" w:fill="auto"/>
                <w:noWrap/>
                <w:vAlign w:val="center"/>
                <w:hideMark/>
              </w:tcPr>
              <w:p w14:paraId="76AEBD9D"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Inteligencia emocional en las finanzas</w:t>
                </w:r>
              </w:p>
            </w:tc>
            <w:tc>
              <w:tcPr>
                <w:tcW w:w="569" w:type="pct"/>
                <w:shd w:val="clear" w:color="auto" w:fill="auto"/>
                <w:noWrap/>
                <w:vAlign w:val="center"/>
                <w:hideMark/>
              </w:tcPr>
              <w:p w14:paraId="28AD3795"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15</w:t>
                </w:r>
              </w:p>
            </w:tc>
            <w:tc>
              <w:tcPr>
                <w:tcW w:w="603" w:type="pct"/>
                <w:shd w:val="clear" w:color="auto" w:fill="auto"/>
                <w:noWrap/>
                <w:vAlign w:val="center"/>
                <w:hideMark/>
              </w:tcPr>
              <w:p w14:paraId="183A193C"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14</w:t>
                </w:r>
              </w:p>
            </w:tc>
          </w:tr>
          <w:tr w:rsidR="00B36ABA" w:rsidRPr="00E27B04" w14:paraId="3C9FC7E6" w14:textId="77777777" w:rsidTr="007C57E6">
            <w:trPr>
              <w:trHeight w:val="404"/>
            </w:trPr>
            <w:tc>
              <w:tcPr>
                <w:tcW w:w="235" w:type="pct"/>
                <w:vMerge/>
                <w:vAlign w:val="center"/>
                <w:hideMark/>
              </w:tcPr>
              <w:p w14:paraId="3F02F28E" w14:textId="77777777" w:rsidR="00B36ABA" w:rsidRPr="009A46BB" w:rsidRDefault="00B36ABA">
                <w:pPr>
                  <w:spacing w:after="0" w:line="240" w:lineRule="auto"/>
                  <w:rPr>
                    <w:rFonts w:ascii="Times New Roman" w:eastAsia="Times New Roman" w:hAnsi="Times New Roman"/>
                    <w:color w:val="000000"/>
                    <w:sz w:val="18"/>
                    <w:szCs w:val="18"/>
                    <w:lang w:eastAsia="es-CO"/>
                  </w:rPr>
                </w:pPr>
              </w:p>
            </w:tc>
            <w:tc>
              <w:tcPr>
                <w:tcW w:w="3594" w:type="pct"/>
                <w:shd w:val="clear" w:color="auto" w:fill="auto"/>
                <w:noWrap/>
                <w:vAlign w:val="center"/>
                <w:hideMark/>
              </w:tcPr>
              <w:p w14:paraId="6F1FFDDC"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Salud mental en el trabajo</w:t>
                </w:r>
              </w:p>
            </w:tc>
            <w:tc>
              <w:tcPr>
                <w:tcW w:w="569" w:type="pct"/>
                <w:shd w:val="clear" w:color="auto" w:fill="auto"/>
                <w:noWrap/>
                <w:vAlign w:val="center"/>
                <w:hideMark/>
              </w:tcPr>
              <w:p w14:paraId="395ADDAE"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11</w:t>
                </w:r>
              </w:p>
            </w:tc>
            <w:tc>
              <w:tcPr>
                <w:tcW w:w="603" w:type="pct"/>
                <w:shd w:val="clear" w:color="auto" w:fill="auto"/>
                <w:noWrap/>
                <w:vAlign w:val="center"/>
                <w:hideMark/>
              </w:tcPr>
              <w:p w14:paraId="6DF72051"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10</w:t>
                </w:r>
              </w:p>
            </w:tc>
          </w:tr>
          <w:tr w:rsidR="00B36ABA" w:rsidRPr="00E27B04" w14:paraId="482132B9" w14:textId="77777777" w:rsidTr="007C57E6">
            <w:trPr>
              <w:trHeight w:val="424"/>
            </w:trPr>
            <w:tc>
              <w:tcPr>
                <w:tcW w:w="235" w:type="pct"/>
                <w:vMerge/>
                <w:vAlign w:val="center"/>
                <w:hideMark/>
              </w:tcPr>
              <w:p w14:paraId="58C4A1CA" w14:textId="77777777" w:rsidR="00B36ABA" w:rsidRPr="009A46BB" w:rsidRDefault="00B36ABA">
                <w:pPr>
                  <w:spacing w:after="0" w:line="240" w:lineRule="auto"/>
                  <w:rPr>
                    <w:rFonts w:ascii="Times New Roman" w:eastAsia="Times New Roman" w:hAnsi="Times New Roman"/>
                    <w:color w:val="000000"/>
                    <w:sz w:val="18"/>
                    <w:szCs w:val="18"/>
                    <w:lang w:eastAsia="es-CO"/>
                  </w:rPr>
                </w:pPr>
              </w:p>
            </w:tc>
            <w:tc>
              <w:tcPr>
                <w:tcW w:w="3594" w:type="pct"/>
                <w:shd w:val="clear" w:color="auto" w:fill="auto"/>
                <w:noWrap/>
                <w:vAlign w:val="center"/>
                <w:hideMark/>
              </w:tcPr>
              <w:p w14:paraId="0A7F970E" w14:textId="77777777" w:rsidR="00B36ABA" w:rsidRPr="009A46BB" w:rsidRDefault="00B36ABA">
                <w:pPr>
                  <w:spacing w:after="0" w:line="240" w:lineRule="auto"/>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Subtotal</w:t>
                </w:r>
              </w:p>
            </w:tc>
            <w:tc>
              <w:tcPr>
                <w:tcW w:w="569" w:type="pct"/>
                <w:shd w:val="clear" w:color="auto" w:fill="auto"/>
                <w:noWrap/>
                <w:vAlign w:val="center"/>
                <w:hideMark/>
              </w:tcPr>
              <w:p w14:paraId="5BD2B14D" w14:textId="77777777" w:rsidR="00B36ABA" w:rsidRPr="009A46BB" w:rsidRDefault="00B36ABA">
                <w:pPr>
                  <w:spacing w:after="0" w:line="240" w:lineRule="auto"/>
                  <w:jc w:val="center"/>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45</w:t>
                </w:r>
              </w:p>
            </w:tc>
            <w:tc>
              <w:tcPr>
                <w:tcW w:w="603" w:type="pct"/>
                <w:shd w:val="clear" w:color="auto" w:fill="auto"/>
                <w:noWrap/>
                <w:vAlign w:val="center"/>
                <w:hideMark/>
              </w:tcPr>
              <w:p w14:paraId="3CE8C02C" w14:textId="77777777" w:rsidR="00B36ABA" w:rsidRPr="009A46BB" w:rsidRDefault="00B36ABA">
                <w:pPr>
                  <w:spacing w:after="0" w:line="240" w:lineRule="auto"/>
                  <w:jc w:val="center"/>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41</w:t>
                </w:r>
              </w:p>
            </w:tc>
          </w:tr>
          <w:tr w:rsidR="00B36ABA" w:rsidRPr="00E27B04" w14:paraId="59E32C38" w14:textId="77777777" w:rsidTr="007C57E6">
            <w:trPr>
              <w:trHeight w:val="283"/>
            </w:trPr>
            <w:tc>
              <w:tcPr>
                <w:tcW w:w="235" w:type="pct"/>
                <w:vMerge w:val="restart"/>
                <w:shd w:val="clear" w:color="auto" w:fill="auto"/>
                <w:noWrap/>
                <w:textDirection w:val="btLr"/>
                <w:vAlign w:val="center"/>
                <w:hideMark/>
              </w:tcPr>
              <w:p w14:paraId="3CA3BBC6" w14:textId="77777777" w:rsidR="00B36ABA" w:rsidRPr="009A46BB" w:rsidRDefault="00B36ABA" w:rsidP="00F4317C">
                <w:pPr>
                  <w:spacing w:after="0" w:line="240" w:lineRule="auto"/>
                  <w:ind w:left="113" w:right="113"/>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UNIV. NAL</w:t>
                </w:r>
              </w:p>
            </w:tc>
            <w:tc>
              <w:tcPr>
                <w:tcW w:w="3594" w:type="pct"/>
                <w:shd w:val="clear" w:color="auto" w:fill="auto"/>
                <w:noWrap/>
                <w:vAlign w:val="center"/>
                <w:hideMark/>
              </w:tcPr>
              <w:p w14:paraId="7067693A"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Contratación Estatal</w:t>
                </w:r>
              </w:p>
            </w:tc>
            <w:tc>
              <w:tcPr>
                <w:tcW w:w="569" w:type="pct"/>
                <w:shd w:val="clear" w:color="auto" w:fill="auto"/>
                <w:noWrap/>
                <w:vAlign w:val="center"/>
                <w:hideMark/>
              </w:tcPr>
              <w:p w14:paraId="4A3CCF27"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0</w:t>
                </w:r>
              </w:p>
            </w:tc>
            <w:tc>
              <w:tcPr>
                <w:tcW w:w="603" w:type="pct"/>
                <w:shd w:val="clear" w:color="auto" w:fill="auto"/>
                <w:noWrap/>
                <w:vAlign w:val="center"/>
                <w:hideMark/>
              </w:tcPr>
              <w:p w14:paraId="19E3F964"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29</w:t>
                </w:r>
              </w:p>
            </w:tc>
          </w:tr>
          <w:tr w:rsidR="00B36ABA" w:rsidRPr="00E27B04" w14:paraId="353C2F74" w14:textId="77777777" w:rsidTr="007C57E6">
            <w:trPr>
              <w:trHeight w:val="283"/>
            </w:trPr>
            <w:tc>
              <w:tcPr>
                <w:tcW w:w="235" w:type="pct"/>
                <w:vMerge/>
                <w:vAlign w:val="center"/>
                <w:hideMark/>
              </w:tcPr>
              <w:p w14:paraId="7B2457B4" w14:textId="77777777" w:rsidR="00B36ABA" w:rsidRPr="009A46BB" w:rsidRDefault="00B36ABA">
                <w:pPr>
                  <w:spacing w:after="0" w:line="240" w:lineRule="auto"/>
                  <w:rPr>
                    <w:rFonts w:ascii="Times New Roman" w:eastAsia="Times New Roman" w:hAnsi="Times New Roman"/>
                    <w:color w:val="000000"/>
                    <w:sz w:val="18"/>
                    <w:szCs w:val="18"/>
                    <w:lang w:eastAsia="es-CO"/>
                  </w:rPr>
                </w:pPr>
              </w:p>
            </w:tc>
            <w:tc>
              <w:tcPr>
                <w:tcW w:w="3594" w:type="pct"/>
                <w:shd w:val="clear" w:color="auto" w:fill="auto"/>
                <w:noWrap/>
                <w:vAlign w:val="center"/>
                <w:hideMark/>
              </w:tcPr>
              <w:p w14:paraId="3C457BCB"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Defensa Judicial (Justicia Arbitral y Amigable Composición)</w:t>
                </w:r>
              </w:p>
            </w:tc>
            <w:tc>
              <w:tcPr>
                <w:tcW w:w="569" w:type="pct"/>
                <w:shd w:val="clear" w:color="auto" w:fill="auto"/>
                <w:noWrap/>
                <w:vAlign w:val="center"/>
                <w:hideMark/>
              </w:tcPr>
              <w:p w14:paraId="50AAE7B2"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0</w:t>
                </w:r>
              </w:p>
            </w:tc>
            <w:tc>
              <w:tcPr>
                <w:tcW w:w="603" w:type="pct"/>
                <w:shd w:val="clear" w:color="auto" w:fill="auto"/>
                <w:noWrap/>
                <w:vAlign w:val="center"/>
                <w:hideMark/>
              </w:tcPr>
              <w:p w14:paraId="47878668"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17</w:t>
                </w:r>
              </w:p>
            </w:tc>
          </w:tr>
          <w:tr w:rsidR="00B36ABA" w:rsidRPr="00E27B04" w14:paraId="1BE858F0" w14:textId="77777777" w:rsidTr="007C57E6">
            <w:trPr>
              <w:trHeight w:val="283"/>
            </w:trPr>
            <w:tc>
              <w:tcPr>
                <w:tcW w:w="235" w:type="pct"/>
                <w:vMerge/>
                <w:vAlign w:val="center"/>
                <w:hideMark/>
              </w:tcPr>
              <w:p w14:paraId="60F54FA7" w14:textId="77777777" w:rsidR="00B36ABA" w:rsidRPr="009A46BB" w:rsidRDefault="00B36ABA">
                <w:pPr>
                  <w:spacing w:after="0" w:line="240" w:lineRule="auto"/>
                  <w:rPr>
                    <w:rFonts w:ascii="Times New Roman" w:eastAsia="Times New Roman" w:hAnsi="Times New Roman"/>
                    <w:color w:val="000000"/>
                    <w:sz w:val="18"/>
                    <w:szCs w:val="18"/>
                    <w:lang w:eastAsia="es-CO"/>
                  </w:rPr>
                </w:pPr>
              </w:p>
            </w:tc>
            <w:tc>
              <w:tcPr>
                <w:tcW w:w="3594" w:type="pct"/>
                <w:shd w:val="clear" w:color="auto" w:fill="auto"/>
                <w:noWrap/>
                <w:vAlign w:val="center"/>
                <w:hideMark/>
              </w:tcPr>
              <w:p w14:paraId="3DFDA3B1"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Gestión / Administración de los Riesgos</w:t>
                </w:r>
              </w:p>
            </w:tc>
            <w:tc>
              <w:tcPr>
                <w:tcW w:w="569" w:type="pct"/>
                <w:shd w:val="clear" w:color="auto" w:fill="auto"/>
                <w:noWrap/>
                <w:vAlign w:val="center"/>
                <w:hideMark/>
              </w:tcPr>
              <w:p w14:paraId="467D97F7"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0</w:t>
                </w:r>
              </w:p>
            </w:tc>
            <w:tc>
              <w:tcPr>
                <w:tcW w:w="603" w:type="pct"/>
                <w:shd w:val="clear" w:color="auto" w:fill="auto"/>
                <w:noWrap/>
                <w:vAlign w:val="center"/>
                <w:hideMark/>
              </w:tcPr>
              <w:p w14:paraId="5B3BB053"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37</w:t>
                </w:r>
              </w:p>
            </w:tc>
          </w:tr>
          <w:tr w:rsidR="00B36ABA" w:rsidRPr="00E27B04" w14:paraId="738E1D83" w14:textId="77777777" w:rsidTr="007C57E6">
            <w:trPr>
              <w:trHeight w:val="283"/>
            </w:trPr>
            <w:tc>
              <w:tcPr>
                <w:tcW w:w="235" w:type="pct"/>
                <w:vMerge/>
                <w:vAlign w:val="center"/>
                <w:hideMark/>
              </w:tcPr>
              <w:p w14:paraId="3BA8C189" w14:textId="77777777" w:rsidR="00B36ABA" w:rsidRPr="009A46BB" w:rsidRDefault="00B36ABA">
                <w:pPr>
                  <w:spacing w:after="0" w:line="240" w:lineRule="auto"/>
                  <w:rPr>
                    <w:rFonts w:ascii="Times New Roman" w:eastAsia="Times New Roman" w:hAnsi="Times New Roman"/>
                    <w:color w:val="000000"/>
                    <w:sz w:val="18"/>
                    <w:szCs w:val="18"/>
                    <w:lang w:eastAsia="es-CO"/>
                  </w:rPr>
                </w:pPr>
              </w:p>
            </w:tc>
            <w:tc>
              <w:tcPr>
                <w:tcW w:w="3594" w:type="pct"/>
                <w:shd w:val="clear" w:color="auto" w:fill="auto"/>
                <w:noWrap/>
                <w:vAlign w:val="center"/>
                <w:hideMark/>
              </w:tcPr>
              <w:p w14:paraId="54157026"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Herramientas para estructurar el conocimiento</w:t>
                </w:r>
              </w:p>
            </w:tc>
            <w:tc>
              <w:tcPr>
                <w:tcW w:w="569" w:type="pct"/>
                <w:shd w:val="clear" w:color="auto" w:fill="auto"/>
                <w:noWrap/>
                <w:vAlign w:val="center"/>
                <w:hideMark/>
              </w:tcPr>
              <w:p w14:paraId="557C314D"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0</w:t>
                </w:r>
              </w:p>
            </w:tc>
            <w:tc>
              <w:tcPr>
                <w:tcW w:w="603" w:type="pct"/>
                <w:shd w:val="clear" w:color="auto" w:fill="auto"/>
                <w:noWrap/>
                <w:vAlign w:val="center"/>
                <w:hideMark/>
              </w:tcPr>
              <w:p w14:paraId="187C4C77"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14</w:t>
                </w:r>
              </w:p>
            </w:tc>
          </w:tr>
          <w:tr w:rsidR="00B36ABA" w:rsidRPr="00E27B04" w14:paraId="032E65F6" w14:textId="77777777" w:rsidTr="007C57E6">
            <w:trPr>
              <w:trHeight w:val="283"/>
            </w:trPr>
            <w:tc>
              <w:tcPr>
                <w:tcW w:w="235" w:type="pct"/>
                <w:vMerge/>
                <w:vAlign w:val="center"/>
                <w:hideMark/>
              </w:tcPr>
              <w:p w14:paraId="2E0F11D8" w14:textId="77777777" w:rsidR="00B36ABA" w:rsidRPr="009A46BB" w:rsidRDefault="00B36ABA">
                <w:pPr>
                  <w:spacing w:after="0" w:line="240" w:lineRule="auto"/>
                  <w:rPr>
                    <w:rFonts w:ascii="Times New Roman" w:eastAsia="Times New Roman" w:hAnsi="Times New Roman"/>
                    <w:color w:val="000000"/>
                    <w:sz w:val="18"/>
                    <w:szCs w:val="18"/>
                    <w:lang w:eastAsia="es-CO"/>
                  </w:rPr>
                </w:pPr>
              </w:p>
            </w:tc>
            <w:tc>
              <w:tcPr>
                <w:tcW w:w="3594" w:type="pct"/>
                <w:shd w:val="clear" w:color="auto" w:fill="auto"/>
                <w:noWrap/>
                <w:vAlign w:val="center"/>
                <w:hideMark/>
              </w:tcPr>
              <w:p w14:paraId="132C4AA3"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Herramientas para Estructurar el Conocimiento</w:t>
                </w:r>
              </w:p>
            </w:tc>
            <w:tc>
              <w:tcPr>
                <w:tcW w:w="569" w:type="pct"/>
                <w:shd w:val="clear" w:color="auto" w:fill="auto"/>
                <w:noWrap/>
                <w:vAlign w:val="center"/>
                <w:hideMark/>
              </w:tcPr>
              <w:p w14:paraId="2538076A"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0</w:t>
                </w:r>
              </w:p>
            </w:tc>
            <w:tc>
              <w:tcPr>
                <w:tcW w:w="603" w:type="pct"/>
                <w:shd w:val="clear" w:color="auto" w:fill="auto"/>
                <w:noWrap/>
                <w:vAlign w:val="center"/>
                <w:hideMark/>
              </w:tcPr>
              <w:p w14:paraId="718129D3"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14</w:t>
                </w:r>
              </w:p>
            </w:tc>
          </w:tr>
          <w:tr w:rsidR="00B36ABA" w:rsidRPr="00E27B04" w14:paraId="19298F84" w14:textId="77777777" w:rsidTr="007C57E6">
            <w:trPr>
              <w:trHeight w:val="283"/>
            </w:trPr>
            <w:tc>
              <w:tcPr>
                <w:tcW w:w="235" w:type="pct"/>
                <w:vMerge/>
                <w:vAlign w:val="center"/>
                <w:hideMark/>
              </w:tcPr>
              <w:p w14:paraId="260A4DD5" w14:textId="77777777" w:rsidR="00B36ABA" w:rsidRPr="009A46BB" w:rsidRDefault="00B36ABA">
                <w:pPr>
                  <w:spacing w:after="0" w:line="240" w:lineRule="auto"/>
                  <w:rPr>
                    <w:rFonts w:ascii="Times New Roman" w:eastAsia="Times New Roman" w:hAnsi="Times New Roman"/>
                    <w:color w:val="000000"/>
                    <w:sz w:val="18"/>
                    <w:szCs w:val="18"/>
                    <w:lang w:eastAsia="es-CO"/>
                  </w:rPr>
                </w:pPr>
              </w:p>
            </w:tc>
            <w:tc>
              <w:tcPr>
                <w:tcW w:w="3594" w:type="pct"/>
                <w:shd w:val="clear" w:color="auto" w:fill="auto"/>
                <w:noWrap/>
                <w:vAlign w:val="center"/>
                <w:hideMark/>
              </w:tcPr>
              <w:p w14:paraId="7458B873"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Metodología BIM - Gerencia de Proyectos</w:t>
                </w:r>
              </w:p>
            </w:tc>
            <w:tc>
              <w:tcPr>
                <w:tcW w:w="569" w:type="pct"/>
                <w:shd w:val="clear" w:color="auto" w:fill="auto"/>
                <w:noWrap/>
                <w:vAlign w:val="center"/>
                <w:hideMark/>
              </w:tcPr>
              <w:p w14:paraId="0AA8FCFB"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0</w:t>
                </w:r>
              </w:p>
            </w:tc>
            <w:tc>
              <w:tcPr>
                <w:tcW w:w="603" w:type="pct"/>
                <w:shd w:val="clear" w:color="auto" w:fill="auto"/>
                <w:noWrap/>
                <w:vAlign w:val="center"/>
                <w:hideMark/>
              </w:tcPr>
              <w:p w14:paraId="0FFDDD90"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25</w:t>
                </w:r>
              </w:p>
            </w:tc>
          </w:tr>
          <w:tr w:rsidR="00B36ABA" w:rsidRPr="00E27B04" w14:paraId="13AFC67A" w14:textId="77777777" w:rsidTr="007C57E6">
            <w:trPr>
              <w:trHeight w:val="283"/>
            </w:trPr>
            <w:tc>
              <w:tcPr>
                <w:tcW w:w="235" w:type="pct"/>
                <w:vMerge/>
                <w:vAlign w:val="center"/>
                <w:hideMark/>
              </w:tcPr>
              <w:p w14:paraId="6A738940" w14:textId="77777777" w:rsidR="00B36ABA" w:rsidRPr="009A46BB" w:rsidRDefault="00B36ABA">
                <w:pPr>
                  <w:spacing w:after="0" w:line="240" w:lineRule="auto"/>
                  <w:rPr>
                    <w:rFonts w:ascii="Times New Roman" w:eastAsia="Times New Roman" w:hAnsi="Times New Roman"/>
                    <w:color w:val="000000"/>
                    <w:sz w:val="18"/>
                    <w:szCs w:val="18"/>
                    <w:lang w:eastAsia="es-CO"/>
                  </w:rPr>
                </w:pPr>
              </w:p>
            </w:tc>
            <w:tc>
              <w:tcPr>
                <w:tcW w:w="3594" w:type="pct"/>
                <w:shd w:val="clear" w:color="auto" w:fill="auto"/>
                <w:vAlign w:val="center"/>
                <w:hideMark/>
              </w:tcPr>
              <w:p w14:paraId="6D655555"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Modelos de Seguimiento a la inversión pública y mediciones de desempeño</w:t>
                </w:r>
              </w:p>
            </w:tc>
            <w:tc>
              <w:tcPr>
                <w:tcW w:w="569" w:type="pct"/>
                <w:shd w:val="clear" w:color="auto" w:fill="auto"/>
                <w:noWrap/>
                <w:vAlign w:val="center"/>
                <w:hideMark/>
              </w:tcPr>
              <w:p w14:paraId="63878C19"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0</w:t>
                </w:r>
              </w:p>
            </w:tc>
            <w:tc>
              <w:tcPr>
                <w:tcW w:w="603" w:type="pct"/>
                <w:shd w:val="clear" w:color="auto" w:fill="auto"/>
                <w:noWrap/>
                <w:vAlign w:val="center"/>
                <w:hideMark/>
              </w:tcPr>
              <w:p w14:paraId="62167C6A"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19</w:t>
                </w:r>
              </w:p>
            </w:tc>
          </w:tr>
          <w:tr w:rsidR="00B36ABA" w:rsidRPr="00E27B04" w14:paraId="61BB42BD" w14:textId="77777777" w:rsidTr="007C57E6">
            <w:trPr>
              <w:trHeight w:val="283"/>
            </w:trPr>
            <w:tc>
              <w:tcPr>
                <w:tcW w:w="235" w:type="pct"/>
                <w:vMerge/>
                <w:vAlign w:val="center"/>
                <w:hideMark/>
              </w:tcPr>
              <w:p w14:paraId="595DF33C" w14:textId="77777777" w:rsidR="00B36ABA" w:rsidRPr="009A46BB" w:rsidRDefault="00B36ABA">
                <w:pPr>
                  <w:spacing w:after="0" w:line="240" w:lineRule="auto"/>
                  <w:rPr>
                    <w:rFonts w:ascii="Times New Roman" w:eastAsia="Times New Roman" w:hAnsi="Times New Roman"/>
                    <w:color w:val="000000"/>
                    <w:sz w:val="18"/>
                    <w:szCs w:val="18"/>
                    <w:lang w:eastAsia="es-CO"/>
                  </w:rPr>
                </w:pPr>
              </w:p>
            </w:tc>
            <w:tc>
              <w:tcPr>
                <w:tcW w:w="3594" w:type="pct"/>
                <w:shd w:val="clear" w:color="auto" w:fill="auto"/>
                <w:noWrap/>
                <w:vAlign w:val="center"/>
                <w:hideMark/>
              </w:tcPr>
              <w:p w14:paraId="0449387D"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Operación de Sistemas de Información</w:t>
                </w:r>
              </w:p>
            </w:tc>
            <w:tc>
              <w:tcPr>
                <w:tcW w:w="569" w:type="pct"/>
                <w:shd w:val="clear" w:color="auto" w:fill="auto"/>
                <w:noWrap/>
                <w:vAlign w:val="center"/>
                <w:hideMark/>
              </w:tcPr>
              <w:p w14:paraId="0808D846"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0</w:t>
                </w:r>
              </w:p>
            </w:tc>
            <w:tc>
              <w:tcPr>
                <w:tcW w:w="603" w:type="pct"/>
                <w:shd w:val="clear" w:color="auto" w:fill="auto"/>
                <w:noWrap/>
                <w:vAlign w:val="center"/>
                <w:hideMark/>
              </w:tcPr>
              <w:p w14:paraId="565DA622"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14</w:t>
                </w:r>
              </w:p>
            </w:tc>
          </w:tr>
          <w:tr w:rsidR="00B36ABA" w:rsidRPr="00E27B04" w14:paraId="0ABD4131" w14:textId="77777777" w:rsidTr="007C57E6">
            <w:trPr>
              <w:trHeight w:val="283"/>
            </w:trPr>
            <w:tc>
              <w:tcPr>
                <w:tcW w:w="235" w:type="pct"/>
                <w:vMerge/>
                <w:vAlign w:val="center"/>
                <w:hideMark/>
              </w:tcPr>
              <w:p w14:paraId="67FC2513" w14:textId="77777777" w:rsidR="00B36ABA" w:rsidRPr="009A46BB" w:rsidRDefault="00B36ABA">
                <w:pPr>
                  <w:spacing w:after="0" w:line="240" w:lineRule="auto"/>
                  <w:rPr>
                    <w:rFonts w:ascii="Times New Roman" w:eastAsia="Times New Roman" w:hAnsi="Times New Roman"/>
                    <w:color w:val="000000"/>
                    <w:sz w:val="18"/>
                    <w:szCs w:val="18"/>
                    <w:lang w:eastAsia="es-CO"/>
                  </w:rPr>
                </w:pPr>
              </w:p>
            </w:tc>
            <w:tc>
              <w:tcPr>
                <w:tcW w:w="3594" w:type="pct"/>
                <w:shd w:val="clear" w:color="auto" w:fill="auto"/>
                <w:noWrap/>
                <w:vAlign w:val="center"/>
                <w:hideMark/>
              </w:tcPr>
              <w:p w14:paraId="4F2730A1"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PMP Mejores Prácticas de Dirección de proyectos</w:t>
                </w:r>
              </w:p>
            </w:tc>
            <w:tc>
              <w:tcPr>
                <w:tcW w:w="569" w:type="pct"/>
                <w:shd w:val="clear" w:color="auto" w:fill="auto"/>
                <w:noWrap/>
                <w:vAlign w:val="center"/>
                <w:hideMark/>
              </w:tcPr>
              <w:p w14:paraId="2D816B74"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0</w:t>
                </w:r>
              </w:p>
            </w:tc>
            <w:tc>
              <w:tcPr>
                <w:tcW w:w="603" w:type="pct"/>
                <w:shd w:val="clear" w:color="auto" w:fill="auto"/>
                <w:noWrap/>
                <w:vAlign w:val="center"/>
                <w:hideMark/>
              </w:tcPr>
              <w:p w14:paraId="5904083F"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30</w:t>
                </w:r>
              </w:p>
            </w:tc>
          </w:tr>
          <w:tr w:rsidR="00B36ABA" w:rsidRPr="00E27B04" w14:paraId="0948F426" w14:textId="77777777" w:rsidTr="007C57E6">
            <w:trPr>
              <w:trHeight w:val="283"/>
            </w:trPr>
            <w:tc>
              <w:tcPr>
                <w:tcW w:w="235" w:type="pct"/>
                <w:vMerge/>
                <w:vAlign w:val="center"/>
                <w:hideMark/>
              </w:tcPr>
              <w:p w14:paraId="197AA249" w14:textId="77777777" w:rsidR="00B36ABA" w:rsidRPr="009A46BB" w:rsidRDefault="00B36ABA">
                <w:pPr>
                  <w:spacing w:after="0" w:line="240" w:lineRule="auto"/>
                  <w:rPr>
                    <w:rFonts w:ascii="Times New Roman" w:eastAsia="Times New Roman" w:hAnsi="Times New Roman"/>
                    <w:color w:val="000000"/>
                    <w:sz w:val="18"/>
                    <w:szCs w:val="18"/>
                    <w:lang w:eastAsia="es-CO"/>
                  </w:rPr>
                </w:pPr>
              </w:p>
            </w:tc>
            <w:tc>
              <w:tcPr>
                <w:tcW w:w="3594" w:type="pct"/>
                <w:shd w:val="clear" w:color="auto" w:fill="auto"/>
                <w:noWrap/>
                <w:vAlign w:val="center"/>
                <w:hideMark/>
              </w:tcPr>
              <w:p w14:paraId="10B087D0"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Power BI y Funciones Dax</w:t>
                </w:r>
              </w:p>
            </w:tc>
            <w:tc>
              <w:tcPr>
                <w:tcW w:w="569" w:type="pct"/>
                <w:shd w:val="clear" w:color="auto" w:fill="auto"/>
                <w:noWrap/>
                <w:vAlign w:val="center"/>
                <w:hideMark/>
              </w:tcPr>
              <w:p w14:paraId="5F57005E"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0</w:t>
                </w:r>
              </w:p>
            </w:tc>
            <w:tc>
              <w:tcPr>
                <w:tcW w:w="603" w:type="pct"/>
                <w:shd w:val="clear" w:color="auto" w:fill="auto"/>
                <w:noWrap/>
                <w:vAlign w:val="center"/>
                <w:hideMark/>
              </w:tcPr>
              <w:p w14:paraId="27B5ECC4"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19</w:t>
                </w:r>
              </w:p>
            </w:tc>
          </w:tr>
          <w:tr w:rsidR="00B36ABA" w:rsidRPr="00E27B04" w14:paraId="7D89C14F" w14:textId="77777777" w:rsidTr="007C57E6">
            <w:trPr>
              <w:trHeight w:val="283"/>
            </w:trPr>
            <w:tc>
              <w:tcPr>
                <w:tcW w:w="235" w:type="pct"/>
                <w:vMerge/>
                <w:vAlign w:val="center"/>
                <w:hideMark/>
              </w:tcPr>
              <w:p w14:paraId="4ECAFA38" w14:textId="77777777" w:rsidR="00B36ABA" w:rsidRPr="009A46BB" w:rsidRDefault="00B36ABA">
                <w:pPr>
                  <w:spacing w:after="0" w:line="240" w:lineRule="auto"/>
                  <w:rPr>
                    <w:rFonts w:ascii="Times New Roman" w:eastAsia="Times New Roman" w:hAnsi="Times New Roman"/>
                    <w:color w:val="000000"/>
                    <w:sz w:val="18"/>
                    <w:szCs w:val="18"/>
                    <w:lang w:eastAsia="es-CO"/>
                  </w:rPr>
                </w:pPr>
              </w:p>
            </w:tc>
            <w:tc>
              <w:tcPr>
                <w:tcW w:w="3594" w:type="pct"/>
                <w:shd w:val="clear" w:color="auto" w:fill="auto"/>
                <w:noWrap/>
                <w:vAlign w:val="center"/>
                <w:hideMark/>
              </w:tcPr>
              <w:p w14:paraId="5BEE1AD2"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Prevención del Daño Antijurídico</w:t>
                </w:r>
              </w:p>
            </w:tc>
            <w:tc>
              <w:tcPr>
                <w:tcW w:w="569" w:type="pct"/>
                <w:shd w:val="clear" w:color="auto" w:fill="auto"/>
                <w:noWrap/>
                <w:vAlign w:val="center"/>
                <w:hideMark/>
              </w:tcPr>
              <w:p w14:paraId="5887DA61"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0</w:t>
                </w:r>
              </w:p>
            </w:tc>
            <w:tc>
              <w:tcPr>
                <w:tcW w:w="603" w:type="pct"/>
                <w:shd w:val="clear" w:color="auto" w:fill="auto"/>
                <w:noWrap/>
                <w:vAlign w:val="center"/>
                <w:hideMark/>
              </w:tcPr>
              <w:p w14:paraId="6ED1B13F"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10</w:t>
                </w:r>
              </w:p>
            </w:tc>
          </w:tr>
          <w:tr w:rsidR="00B36ABA" w:rsidRPr="00E27B04" w14:paraId="01D71038" w14:textId="77777777" w:rsidTr="007C57E6">
            <w:trPr>
              <w:trHeight w:val="283"/>
            </w:trPr>
            <w:tc>
              <w:tcPr>
                <w:tcW w:w="235" w:type="pct"/>
                <w:vMerge/>
                <w:vAlign w:val="center"/>
                <w:hideMark/>
              </w:tcPr>
              <w:p w14:paraId="28C9E49E" w14:textId="77777777" w:rsidR="00B36ABA" w:rsidRPr="009A46BB" w:rsidRDefault="00B36ABA">
                <w:pPr>
                  <w:spacing w:after="0" w:line="240" w:lineRule="auto"/>
                  <w:rPr>
                    <w:rFonts w:ascii="Times New Roman" w:eastAsia="Times New Roman" w:hAnsi="Times New Roman"/>
                    <w:color w:val="000000"/>
                    <w:sz w:val="18"/>
                    <w:szCs w:val="18"/>
                    <w:lang w:eastAsia="es-CO"/>
                  </w:rPr>
                </w:pPr>
              </w:p>
            </w:tc>
            <w:tc>
              <w:tcPr>
                <w:tcW w:w="3594" w:type="pct"/>
                <w:shd w:val="clear" w:color="auto" w:fill="auto"/>
                <w:vAlign w:val="center"/>
                <w:hideMark/>
              </w:tcPr>
              <w:p w14:paraId="6454510C"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Servicio al ciudadano y participación ciudadana (ATENCIÓN A PERSONAS SEGÚN GRUPOS)</w:t>
                </w:r>
              </w:p>
            </w:tc>
            <w:tc>
              <w:tcPr>
                <w:tcW w:w="569" w:type="pct"/>
                <w:shd w:val="clear" w:color="auto" w:fill="auto"/>
                <w:noWrap/>
                <w:vAlign w:val="center"/>
                <w:hideMark/>
              </w:tcPr>
              <w:p w14:paraId="11B6166C"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3</w:t>
                </w:r>
              </w:p>
            </w:tc>
            <w:tc>
              <w:tcPr>
                <w:tcW w:w="603" w:type="pct"/>
                <w:shd w:val="clear" w:color="auto" w:fill="auto"/>
                <w:noWrap/>
                <w:vAlign w:val="center"/>
                <w:hideMark/>
              </w:tcPr>
              <w:p w14:paraId="1186F7A4"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12</w:t>
                </w:r>
              </w:p>
            </w:tc>
          </w:tr>
          <w:tr w:rsidR="00B36ABA" w:rsidRPr="00E27B04" w14:paraId="1C5F85B8" w14:textId="77777777" w:rsidTr="007C57E6">
            <w:trPr>
              <w:trHeight w:val="283"/>
            </w:trPr>
            <w:tc>
              <w:tcPr>
                <w:tcW w:w="235" w:type="pct"/>
                <w:vMerge/>
                <w:vAlign w:val="center"/>
                <w:hideMark/>
              </w:tcPr>
              <w:p w14:paraId="3295EC51" w14:textId="77777777" w:rsidR="00B36ABA" w:rsidRPr="009A46BB" w:rsidRDefault="00B36ABA">
                <w:pPr>
                  <w:spacing w:after="0" w:line="240" w:lineRule="auto"/>
                  <w:rPr>
                    <w:rFonts w:ascii="Times New Roman" w:eastAsia="Times New Roman" w:hAnsi="Times New Roman"/>
                    <w:color w:val="000000"/>
                    <w:sz w:val="18"/>
                    <w:szCs w:val="18"/>
                    <w:lang w:eastAsia="es-CO"/>
                  </w:rPr>
                </w:pPr>
              </w:p>
            </w:tc>
            <w:tc>
              <w:tcPr>
                <w:tcW w:w="3594" w:type="pct"/>
                <w:shd w:val="clear" w:color="auto" w:fill="auto"/>
                <w:noWrap/>
                <w:vAlign w:val="center"/>
                <w:hideMark/>
              </w:tcPr>
              <w:p w14:paraId="3C97AD34" w14:textId="77777777" w:rsidR="00B36ABA" w:rsidRPr="009A46BB" w:rsidRDefault="00B36ABA">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Técnicas y métodos de redacción de textos institucionales (lenguaje claro)</w:t>
                </w:r>
              </w:p>
            </w:tc>
            <w:tc>
              <w:tcPr>
                <w:tcW w:w="569" w:type="pct"/>
                <w:shd w:val="clear" w:color="auto" w:fill="auto"/>
                <w:noWrap/>
                <w:vAlign w:val="center"/>
                <w:hideMark/>
              </w:tcPr>
              <w:p w14:paraId="21DC8334"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0</w:t>
                </w:r>
              </w:p>
            </w:tc>
            <w:tc>
              <w:tcPr>
                <w:tcW w:w="603" w:type="pct"/>
                <w:shd w:val="clear" w:color="auto" w:fill="auto"/>
                <w:noWrap/>
                <w:vAlign w:val="center"/>
                <w:hideMark/>
              </w:tcPr>
              <w:p w14:paraId="23A2172B" w14:textId="77777777" w:rsidR="00B36ABA" w:rsidRPr="009A46BB" w:rsidRDefault="00B36ABA">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28</w:t>
                </w:r>
              </w:p>
            </w:tc>
          </w:tr>
          <w:tr w:rsidR="00B36ABA" w:rsidRPr="00E27B04" w14:paraId="63CE6200" w14:textId="77777777" w:rsidTr="007C57E6">
            <w:trPr>
              <w:trHeight w:val="283"/>
            </w:trPr>
            <w:tc>
              <w:tcPr>
                <w:tcW w:w="235" w:type="pct"/>
                <w:vMerge/>
                <w:vAlign w:val="center"/>
                <w:hideMark/>
              </w:tcPr>
              <w:p w14:paraId="1799A70F" w14:textId="77777777" w:rsidR="00B36ABA" w:rsidRPr="009A46BB" w:rsidRDefault="00B36ABA">
                <w:pPr>
                  <w:spacing w:after="0" w:line="240" w:lineRule="auto"/>
                  <w:rPr>
                    <w:rFonts w:ascii="Times New Roman" w:eastAsia="Times New Roman" w:hAnsi="Times New Roman"/>
                    <w:color w:val="000000"/>
                    <w:sz w:val="18"/>
                    <w:szCs w:val="18"/>
                    <w:lang w:eastAsia="es-CO"/>
                  </w:rPr>
                </w:pPr>
              </w:p>
            </w:tc>
            <w:tc>
              <w:tcPr>
                <w:tcW w:w="3594" w:type="pct"/>
                <w:shd w:val="clear" w:color="auto" w:fill="auto"/>
                <w:noWrap/>
                <w:vAlign w:val="center"/>
                <w:hideMark/>
              </w:tcPr>
              <w:p w14:paraId="7CAA9B4D" w14:textId="77777777" w:rsidR="00B36ABA" w:rsidRPr="009A46BB" w:rsidRDefault="00B36ABA">
                <w:pPr>
                  <w:spacing w:after="0" w:line="240" w:lineRule="auto"/>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Subtotal</w:t>
                </w:r>
              </w:p>
            </w:tc>
            <w:tc>
              <w:tcPr>
                <w:tcW w:w="569" w:type="pct"/>
                <w:shd w:val="clear" w:color="auto" w:fill="auto"/>
                <w:noWrap/>
                <w:vAlign w:val="center"/>
                <w:hideMark/>
              </w:tcPr>
              <w:p w14:paraId="3814C34C" w14:textId="77777777" w:rsidR="00B36ABA" w:rsidRPr="009A46BB" w:rsidRDefault="00B36ABA">
                <w:pPr>
                  <w:spacing w:after="0" w:line="240" w:lineRule="auto"/>
                  <w:jc w:val="center"/>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3</w:t>
                </w:r>
              </w:p>
            </w:tc>
            <w:tc>
              <w:tcPr>
                <w:tcW w:w="603" w:type="pct"/>
                <w:shd w:val="clear" w:color="auto" w:fill="auto"/>
                <w:noWrap/>
                <w:vAlign w:val="center"/>
                <w:hideMark/>
              </w:tcPr>
              <w:p w14:paraId="0F950ADC" w14:textId="77777777" w:rsidR="00B36ABA" w:rsidRPr="009A46BB" w:rsidRDefault="00B36ABA">
                <w:pPr>
                  <w:spacing w:after="0" w:line="240" w:lineRule="auto"/>
                  <w:jc w:val="center"/>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268</w:t>
                </w:r>
              </w:p>
            </w:tc>
          </w:tr>
        </w:tbl>
        <w:p w14:paraId="49C0D2C2" w14:textId="05623891" w:rsidR="00B202E2" w:rsidRPr="00931DCE" w:rsidRDefault="00B202E2" w:rsidP="00A94518">
          <w:pPr>
            <w:spacing w:after="0" w:line="240" w:lineRule="auto"/>
            <w:rPr>
              <w:rFonts w:ascii="Times New Roman" w:hAnsi="Times New Roman"/>
            </w:rPr>
          </w:pPr>
        </w:p>
        <w:p w14:paraId="7C65C096" w14:textId="70A559D2" w:rsidR="00567A22" w:rsidRPr="00931DCE" w:rsidRDefault="00F249E8" w:rsidP="00A94518">
          <w:pPr>
            <w:pStyle w:val="Ttulo1"/>
            <w:rPr>
              <w:rFonts w:cs="Times New Roman"/>
            </w:rPr>
          </w:pPr>
          <w:bookmarkStart w:id="73" w:name="_Toc159952409"/>
          <w:r w:rsidRPr="00931DCE">
            <w:rPr>
              <w:rFonts w:cs="Times New Roman"/>
            </w:rPr>
            <w:t>NOTA 2</w:t>
          </w:r>
          <w:r w:rsidR="0019476F" w:rsidRPr="00931DCE">
            <w:rPr>
              <w:rFonts w:cs="Times New Roman"/>
            </w:rPr>
            <w:t>3</w:t>
          </w:r>
          <w:r w:rsidRPr="00931DCE">
            <w:rPr>
              <w:rFonts w:cs="Times New Roman"/>
            </w:rPr>
            <w:t>. PROVISIONES</w:t>
          </w:r>
          <w:bookmarkEnd w:id="73"/>
        </w:p>
        <w:p w14:paraId="61CC7A73" w14:textId="77777777" w:rsidR="007A0A1C" w:rsidRPr="00931DCE" w:rsidRDefault="007A0A1C" w:rsidP="00A94518">
          <w:pPr>
            <w:spacing w:after="0" w:line="240" w:lineRule="auto"/>
            <w:jc w:val="both"/>
            <w:rPr>
              <w:rFonts w:ascii="Times New Roman" w:hAnsi="Times New Roman"/>
              <w:b/>
              <w:sz w:val="18"/>
              <w:szCs w:val="18"/>
            </w:rPr>
          </w:pPr>
        </w:p>
        <w:p w14:paraId="7C827540" w14:textId="5E7994D7" w:rsidR="007A0A1C" w:rsidRPr="00931DCE" w:rsidRDefault="007A0A1C" w:rsidP="00A94518">
          <w:pPr>
            <w:pStyle w:val="Ttulo2"/>
            <w:numPr>
              <w:ilvl w:val="0"/>
              <w:numId w:val="0"/>
            </w:numPr>
            <w:spacing w:line="240" w:lineRule="auto"/>
            <w:rPr>
              <w:rFonts w:cs="Times New Roman"/>
              <w:szCs w:val="22"/>
            </w:rPr>
          </w:pPr>
          <w:bookmarkStart w:id="74" w:name="_Toc159952410"/>
          <w:r w:rsidRPr="00931DCE">
            <w:rPr>
              <w:rFonts w:cs="Times New Roman"/>
              <w:szCs w:val="22"/>
            </w:rPr>
            <w:t>Composición</w:t>
          </w:r>
          <w:bookmarkEnd w:id="74"/>
        </w:p>
        <w:p w14:paraId="4855E7F2" w14:textId="77777777" w:rsidR="00940B17" w:rsidRPr="00931DCE" w:rsidRDefault="00940B17" w:rsidP="00A94518">
          <w:pPr>
            <w:spacing w:after="0" w:line="240" w:lineRule="auto"/>
            <w:jc w:val="both"/>
            <w:rPr>
              <w:rFonts w:ascii="Times New Roman" w:hAnsi="Times New Roman"/>
              <w:sz w:val="24"/>
              <w:szCs w:val="24"/>
            </w:rPr>
          </w:pPr>
        </w:p>
        <w:p w14:paraId="49240E9E" w14:textId="36B4710A" w:rsidR="0019582D" w:rsidRPr="00931DCE" w:rsidRDefault="0019582D" w:rsidP="0092478C">
          <w:pPr>
            <w:spacing w:after="0" w:line="240" w:lineRule="auto"/>
            <w:jc w:val="both"/>
            <w:rPr>
              <w:rFonts w:ascii="Times New Roman" w:hAnsi="Times New Roman"/>
              <w:i/>
              <w:iCs/>
              <w:sz w:val="24"/>
              <w:szCs w:val="24"/>
            </w:rPr>
          </w:pPr>
          <w:r w:rsidRPr="00931DCE">
            <w:rPr>
              <w:rFonts w:ascii="Times New Roman" w:hAnsi="Times New Roman"/>
              <w:sz w:val="24"/>
              <w:szCs w:val="24"/>
            </w:rPr>
            <w:t>Representan el</w:t>
          </w:r>
          <w:r w:rsidR="00F176DF">
            <w:rPr>
              <w:rFonts w:ascii="Times New Roman" w:hAnsi="Times New Roman"/>
              <w:sz w:val="24"/>
              <w:szCs w:val="24"/>
            </w:rPr>
            <w:t xml:space="preserve"> 4,</w:t>
          </w:r>
          <w:r w:rsidR="004B1152">
            <w:rPr>
              <w:rFonts w:ascii="Times New Roman" w:hAnsi="Times New Roman"/>
              <w:sz w:val="24"/>
              <w:szCs w:val="24"/>
            </w:rPr>
            <w:t>3</w:t>
          </w:r>
          <w:r w:rsidR="00F176DF">
            <w:rPr>
              <w:rFonts w:ascii="Times New Roman" w:hAnsi="Times New Roman"/>
              <w:sz w:val="24"/>
              <w:szCs w:val="24"/>
            </w:rPr>
            <w:t>0</w:t>
          </w:r>
          <w:r w:rsidRPr="00931DCE">
            <w:rPr>
              <w:rFonts w:ascii="Times New Roman" w:hAnsi="Times New Roman"/>
              <w:sz w:val="24"/>
              <w:szCs w:val="24"/>
            </w:rPr>
            <w:t>% del total del pasivo y corresponde</w:t>
          </w:r>
          <w:r w:rsidR="00CA3B10">
            <w:rPr>
              <w:rFonts w:ascii="Times New Roman" w:hAnsi="Times New Roman"/>
              <w:sz w:val="24"/>
              <w:szCs w:val="24"/>
            </w:rPr>
            <w:t xml:space="preserve"> principalmente</w:t>
          </w:r>
          <w:r w:rsidRPr="00931DCE">
            <w:rPr>
              <w:rFonts w:ascii="Times New Roman" w:hAnsi="Times New Roman"/>
              <w:sz w:val="24"/>
              <w:szCs w:val="24"/>
            </w:rPr>
            <w:t xml:space="preserve"> a los procesos judiciales y tr</w:t>
          </w:r>
          <w:r w:rsidR="00CA3B10">
            <w:rPr>
              <w:rFonts w:ascii="Times New Roman" w:hAnsi="Times New Roman"/>
              <w:sz w:val="24"/>
              <w:szCs w:val="24"/>
            </w:rPr>
            <w:t>á</w:t>
          </w:r>
          <w:r w:rsidRPr="00931DCE">
            <w:rPr>
              <w:rFonts w:ascii="Times New Roman" w:hAnsi="Times New Roman"/>
              <w:sz w:val="24"/>
              <w:szCs w:val="24"/>
            </w:rPr>
            <w:t xml:space="preserve">mites arbitrales en los que la entidad es parte demandada y que en aplicación a la metodología establecida en la Resolución ANI No. 521 de 2018 </w:t>
          </w:r>
          <w:r w:rsidRPr="00931DCE">
            <w:rPr>
              <w:rFonts w:ascii="Times New Roman" w:hAnsi="Times New Roman"/>
              <w:i/>
              <w:iCs/>
              <w:sz w:val="24"/>
              <w:szCs w:val="24"/>
            </w:rPr>
            <w:t xml:space="preserve">"Por medio de la cual se adopta la metodología para el cálculo de la provisión contable de los procesos judiciales, trámites arbitrales y conciliaciones extrajudiciales en contra de la Agencia Nacional de Infraestructura y se establece el procedimiento para el reporte de la información para el </w:t>
          </w:r>
          <w:r w:rsidRPr="00931DCE">
            <w:rPr>
              <w:rFonts w:ascii="Times New Roman" w:hAnsi="Times New Roman"/>
              <w:i/>
              <w:iCs/>
              <w:sz w:val="24"/>
              <w:szCs w:val="24"/>
            </w:rPr>
            <w:lastRenderedPageBreak/>
            <w:t>registro"</w:t>
          </w:r>
          <w:r w:rsidRPr="00931DCE">
            <w:rPr>
              <w:rFonts w:ascii="Times New Roman" w:hAnsi="Times New Roman"/>
              <w:sz w:val="24"/>
              <w:szCs w:val="24"/>
            </w:rPr>
            <w:t>, da como resultado una calificación del riesgo “</w:t>
          </w:r>
          <w:r w:rsidRPr="00931DCE">
            <w:rPr>
              <w:rFonts w:ascii="Times New Roman" w:hAnsi="Times New Roman"/>
              <w:sz w:val="24"/>
              <w:szCs w:val="24"/>
              <w:u w:val="single"/>
            </w:rPr>
            <w:t>Alto</w:t>
          </w:r>
          <w:r w:rsidRPr="00931DCE">
            <w:rPr>
              <w:rFonts w:ascii="Times New Roman" w:hAnsi="Times New Roman"/>
              <w:sz w:val="24"/>
              <w:szCs w:val="24"/>
            </w:rPr>
            <w:t>”</w:t>
          </w:r>
          <w:r w:rsidRPr="00931DCE">
            <w:rPr>
              <w:rStyle w:val="Refdenotaalpie"/>
              <w:rFonts w:ascii="Times New Roman" w:hAnsi="Times New Roman"/>
              <w:sz w:val="24"/>
              <w:szCs w:val="24"/>
            </w:rPr>
            <w:footnoteReference w:id="2"/>
          </w:r>
          <w:r w:rsidRPr="00931DCE">
            <w:rPr>
              <w:rFonts w:ascii="Times New Roman" w:hAnsi="Times New Roman"/>
              <w:sz w:val="24"/>
              <w:szCs w:val="24"/>
            </w:rPr>
            <w:t xml:space="preserve">.  Dichos procesos son informados por el Grupo Interno de Trabajo de Defensa Judicial de la Vicepresidencia Jurídica, mediante el formato </w:t>
          </w:r>
          <w:r w:rsidRPr="00931DCE">
            <w:rPr>
              <w:rFonts w:ascii="Times New Roman" w:hAnsi="Times New Roman"/>
              <w:i/>
              <w:iCs/>
              <w:sz w:val="24"/>
              <w:szCs w:val="24"/>
            </w:rPr>
            <w:t>“GEJU-F-010–Reporte Procesos Judiciales”.</w:t>
          </w:r>
        </w:p>
        <w:p w14:paraId="0DF2E248" w14:textId="77777777" w:rsidR="0092478C" w:rsidRPr="00931DCE" w:rsidRDefault="0092478C" w:rsidP="0092478C">
          <w:pPr>
            <w:spacing w:after="0" w:line="240" w:lineRule="auto"/>
            <w:jc w:val="both"/>
            <w:rPr>
              <w:rFonts w:ascii="Times New Roman" w:hAnsi="Times New Roman"/>
              <w:sz w:val="24"/>
              <w:szCs w:val="24"/>
            </w:rPr>
          </w:pPr>
        </w:p>
        <w:tbl>
          <w:tblPr>
            <w:tblW w:w="5000" w:type="pct"/>
            <w:jc w:val="center"/>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CellMar>
              <w:left w:w="70" w:type="dxa"/>
              <w:right w:w="70" w:type="dxa"/>
            </w:tblCellMar>
            <w:tblLook w:val="04A0" w:firstRow="1" w:lastRow="0" w:firstColumn="1" w:lastColumn="0" w:noHBand="0" w:noVBand="1"/>
          </w:tblPr>
          <w:tblGrid>
            <w:gridCol w:w="1398"/>
            <w:gridCol w:w="633"/>
            <w:gridCol w:w="1677"/>
            <w:gridCol w:w="1808"/>
            <w:gridCol w:w="1645"/>
            <w:gridCol w:w="1808"/>
          </w:tblGrid>
          <w:tr w:rsidR="00755539" w:rsidRPr="00323C5A" w14:paraId="0AA03DA2" w14:textId="77777777" w:rsidTr="006C322F">
            <w:trPr>
              <w:trHeight w:val="570"/>
              <w:jc w:val="center"/>
            </w:trPr>
            <w:tc>
              <w:tcPr>
                <w:tcW w:w="779" w:type="pct"/>
                <w:shd w:val="clear" w:color="auto" w:fill="auto"/>
                <w:vAlign w:val="center"/>
                <w:hideMark/>
              </w:tcPr>
              <w:p w14:paraId="6F3690D4" w14:textId="77777777" w:rsidR="00323C5A" w:rsidRPr="009A46BB" w:rsidRDefault="00323C5A" w:rsidP="00323C5A">
                <w:pPr>
                  <w:spacing w:after="0" w:line="240" w:lineRule="auto"/>
                  <w:jc w:val="center"/>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CÓDIGO CONTABLE</w:t>
                </w:r>
              </w:p>
            </w:tc>
            <w:tc>
              <w:tcPr>
                <w:tcW w:w="353" w:type="pct"/>
                <w:shd w:val="clear" w:color="auto" w:fill="auto"/>
                <w:vAlign w:val="center"/>
                <w:hideMark/>
              </w:tcPr>
              <w:p w14:paraId="1B5F01F7" w14:textId="77777777" w:rsidR="00323C5A" w:rsidRPr="009A46BB" w:rsidRDefault="00323C5A" w:rsidP="00323C5A">
                <w:pPr>
                  <w:spacing w:after="0" w:line="240" w:lineRule="auto"/>
                  <w:jc w:val="center"/>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NAT</w:t>
                </w:r>
              </w:p>
            </w:tc>
            <w:tc>
              <w:tcPr>
                <w:tcW w:w="935" w:type="pct"/>
                <w:shd w:val="clear" w:color="auto" w:fill="auto"/>
                <w:vAlign w:val="center"/>
                <w:hideMark/>
              </w:tcPr>
              <w:p w14:paraId="26DB1867" w14:textId="77777777" w:rsidR="00323C5A" w:rsidRPr="009A46BB" w:rsidRDefault="00323C5A" w:rsidP="00323C5A">
                <w:pPr>
                  <w:spacing w:after="0" w:line="240" w:lineRule="auto"/>
                  <w:jc w:val="center"/>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CONCEPTO</w:t>
                </w:r>
              </w:p>
            </w:tc>
            <w:tc>
              <w:tcPr>
                <w:tcW w:w="1008" w:type="pct"/>
                <w:shd w:val="clear" w:color="auto" w:fill="auto"/>
                <w:vAlign w:val="center"/>
                <w:hideMark/>
              </w:tcPr>
              <w:p w14:paraId="3E43FFAF" w14:textId="77777777" w:rsidR="00323C5A" w:rsidRPr="009A46BB" w:rsidRDefault="00323C5A" w:rsidP="00323C5A">
                <w:pPr>
                  <w:spacing w:after="0" w:line="240" w:lineRule="auto"/>
                  <w:jc w:val="center"/>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 xml:space="preserve">2023 </w:t>
                </w:r>
              </w:p>
            </w:tc>
            <w:tc>
              <w:tcPr>
                <w:tcW w:w="917" w:type="pct"/>
                <w:shd w:val="clear" w:color="auto" w:fill="auto"/>
                <w:vAlign w:val="center"/>
                <w:hideMark/>
              </w:tcPr>
              <w:p w14:paraId="51B4B55D" w14:textId="77777777" w:rsidR="00323C5A" w:rsidRPr="009A46BB" w:rsidRDefault="00323C5A" w:rsidP="00323C5A">
                <w:pPr>
                  <w:spacing w:after="0" w:line="240" w:lineRule="auto"/>
                  <w:jc w:val="center"/>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 xml:space="preserve">2022 </w:t>
                </w:r>
              </w:p>
            </w:tc>
            <w:tc>
              <w:tcPr>
                <w:tcW w:w="1008" w:type="pct"/>
                <w:shd w:val="clear" w:color="auto" w:fill="auto"/>
                <w:vAlign w:val="center"/>
                <w:hideMark/>
              </w:tcPr>
              <w:p w14:paraId="1C9E93FE" w14:textId="77777777" w:rsidR="00323C5A" w:rsidRPr="009A46BB" w:rsidRDefault="00323C5A" w:rsidP="00323C5A">
                <w:pPr>
                  <w:spacing w:after="0" w:line="240" w:lineRule="auto"/>
                  <w:jc w:val="center"/>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VALOR VARIACIÓN</w:t>
                </w:r>
              </w:p>
            </w:tc>
          </w:tr>
          <w:tr w:rsidR="00755539" w:rsidRPr="00323C5A" w14:paraId="29B8E785" w14:textId="77777777" w:rsidTr="006C322F">
            <w:trPr>
              <w:trHeight w:val="285"/>
              <w:jc w:val="center"/>
            </w:trPr>
            <w:tc>
              <w:tcPr>
                <w:tcW w:w="779" w:type="pct"/>
                <w:shd w:val="clear" w:color="auto" w:fill="auto"/>
                <w:noWrap/>
                <w:vAlign w:val="center"/>
                <w:hideMark/>
              </w:tcPr>
              <w:p w14:paraId="406938D5" w14:textId="77777777" w:rsidR="00323C5A" w:rsidRPr="009A46BB" w:rsidRDefault="00323C5A" w:rsidP="00323C5A">
                <w:pPr>
                  <w:spacing w:after="0" w:line="240" w:lineRule="auto"/>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2.7</w:t>
                </w:r>
              </w:p>
            </w:tc>
            <w:tc>
              <w:tcPr>
                <w:tcW w:w="353" w:type="pct"/>
                <w:shd w:val="clear" w:color="auto" w:fill="auto"/>
                <w:noWrap/>
                <w:vAlign w:val="center"/>
                <w:hideMark/>
              </w:tcPr>
              <w:p w14:paraId="1FB61A13" w14:textId="77777777" w:rsidR="00323C5A" w:rsidRPr="009A46BB" w:rsidRDefault="00323C5A" w:rsidP="00323C5A">
                <w:pPr>
                  <w:spacing w:after="0" w:line="240" w:lineRule="auto"/>
                  <w:jc w:val="center"/>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Cr</w:t>
                </w:r>
              </w:p>
            </w:tc>
            <w:tc>
              <w:tcPr>
                <w:tcW w:w="935" w:type="pct"/>
                <w:shd w:val="clear" w:color="auto" w:fill="auto"/>
                <w:vAlign w:val="center"/>
                <w:hideMark/>
              </w:tcPr>
              <w:p w14:paraId="28130473" w14:textId="77777777" w:rsidR="00323C5A" w:rsidRPr="009A46BB" w:rsidRDefault="00323C5A" w:rsidP="00323C5A">
                <w:pPr>
                  <w:spacing w:after="0" w:line="240" w:lineRule="auto"/>
                  <w:jc w:val="center"/>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PROVISIONES</w:t>
                </w:r>
              </w:p>
            </w:tc>
            <w:tc>
              <w:tcPr>
                <w:tcW w:w="1008" w:type="pct"/>
                <w:shd w:val="clear" w:color="auto" w:fill="auto"/>
                <w:noWrap/>
                <w:vAlign w:val="center"/>
                <w:hideMark/>
              </w:tcPr>
              <w:p w14:paraId="7C9E766E" w14:textId="77777777" w:rsidR="00323C5A" w:rsidRPr="009A46BB" w:rsidRDefault="00323C5A" w:rsidP="00323C5A">
                <w:pPr>
                  <w:spacing w:after="0" w:line="240" w:lineRule="auto"/>
                  <w:jc w:val="right"/>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2.210.262.583.110</w:t>
                </w:r>
              </w:p>
            </w:tc>
            <w:tc>
              <w:tcPr>
                <w:tcW w:w="917" w:type="pct"/>
                <w:shd w:val="clear" w:color="auto" w:fill="auto"/>
                <w:noWrap/>
                <w:vAlign w:val="center"/>
                <w:hideMark/>
              </w:tcPr>
              <w:p w14:paraId="6632652D" w14:textId="2EBCC3E0" w:rsidR="00323C5A" w:rsidRPr="009A46BB" w:rsidRDefault="00323C5A" w:rsidP="00323C5A">
                <w:pPr>
                  <w:spacing w:after="0" w:line="240" w:lineRule="auto"/>
                  <w:jc w:val="right"/>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752.937.312.70</w:t>
                </w:r>
                <w:r w:rsidR="00281B4B">
                  <w:rPr>
                    <w:rFonts w:ascii="Times New Roman" w:eastAsia="Times New Roman" w:hAnsi="Times New Roman"/>
                    <w:b/>
                    <w:sz w:val="18"/>
                    <w:szCs w:val="18"/>
                    <w:lang w:eastAsia="es-CO"/>
                  </w:rPr>
                  <w:t>1</w:t>
                </w:r>
              </w:p>
            </w:tc>
            <w:tc>
              <w:tcPr>
                <w:tcW w:w="1008" w:type="pct"/>
                <w:shd w:val="clear" w:color="auto" w:fill="auto"/>
                <w:noWrap/>
                <w:vAlign w:val="center"/>
                <w:hideMark/>
              </w:tcPr>
              <w:p w14:paraId="36605C12" w14:textId="0D11E5AF" w:rsidR="00323C5A" w:rsidRPr="009A46BB" w:rsidRDefault="00323C5A" w:rsidP="00323C5A">
                <w:pPr>
                  <w:spacing w:after="0" w:line="240" w:lineRule="auto"/>
                  <w:jc w:val="right"/>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1.457.325.270.4</w:t>
                </w:r>
                <w:r w:rsidR="00281B4B">
                  <w:rPr>
                    <w:rFonts w:ascii="Times New Roman" w:eastAsia="Times New Roman" w:hAnsi="Times New Roman"/>
                    <w:b/>
                    <w:sz w:val="18"/>
                    <w:szCs w:val="18"/>
                    <w:lang w:eastAsia="es-CO"/>
                  </w:rPr>
                  <w:t>09</w:t>
                </w:r>
              </w:p>
            </w:tc>
          </w:tr>
          <w:tr w:rsidR="00755539" w:rsidRPr="00323C5A" w14:paraId="1EC7D0DF" w14:textId="77777777" w:rsidTr="006C322F">
            <w:trPr>
              <w:trHeight w:val="300"/>
              <w:jc w:val="center"/>
            </w:trPr>
            <w:tc>
              <w:tcPr>
                <w:tcW w:w="779" w:type="pct"/>
                <w:shd w:val="clear" w:color="auto" w:fill="auto"/>
                <w:noWrap/>
                <w:vAlign w:val="center"/>
                <w:hideMark/>
              </w:tcPr>
              <w:p w14:paraId="3596B002" w14:textId="77777777" w:rsidR="00323C5A" w:rsidRPr="009A46BB" w:rsidRDefault="00323C5A" w:rsidP="00323C5A">
                <w:pPr>
                  <w:spacing w:after="0" w:line="240" w:lineRule="auto"/>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2.7.01</w:t>
                </w:r>
              </w:p>
            </w:tc>
            <w:tc>
              <w:tcPr>
                <w:tcW w:w="353" w:type="pct"/>
                <w:shd w:val="clear" w:color="auto" w:fill="auto"/>
                <w:noWrap/>
                <w:vAlign w:val="center"/>
                <w:hideMark/>
              </w:tcPr>
              <w:p w14:paraId="70EB1CA2" w14:textId="77777777" w:rsidR="00323C5A" w:rsidRPr="009A46BB" w:rsidRDefault="00323C5A" w:rsidP="00323C5A">
                <w:pPr>
                  <w:spacing w:after="0" w:line="240" w:lineRule="auto"/>
                  <w:jc w:val="center"/>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Cr</w:t>
                </w:r>
              </w:p>
            </w:tc>
            <w:tc>
              <w:tcPr>
                <w:tcW w:w="935" w:type="pct"/>
                <w:shd w:val="clear" w:color="auto" w:fill="auto"/>
                <w:vAlign w:val="center"/>
                <w:hideMark/>
              </w:tcPr>
              <w:p w14:paraId="06B65FE0" w14:textId="77777777" w:rsidR="00323C5A" w:rsidRPr="009A46BB" w:rsidRDefault="00323C5A" w:rsidP="00323C5A">
                <w:pPr>
                  <w:spacing w:after="0" w:line="240" w:lineRule="auto"/>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Litigios y demandas</w:t>
                </w:r>
              </w:p>
            </w:tc>
            <w:tc>
              <w:tcPr>
                <w:tcW w:w="1008" w:type="pct"/>
                <w:shd w:val="clear" w:color="auto" w:fill="auto"/>
                <w:noWrap/>
                <w:vAlign w:val="center"/>
                <w:hideMark/>
              </w:tcPr>
              <w:p w14:paraId="1D88D2F1" w14:textId="77777777" w:rsidR="00323C5A" w:rsidRPr="009A46BB" w:rsidRDefault="00323C5A" w:rsidP="00323C5A">
                <w:pPr>
                  <w:spacing w:after="0" w:line="240" w:lineRule="auto"/>
                  <w:jc w:val="right"/>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2.209.324.783.674</w:t>
                </w:r>
              </w:p>
            </w:tc>
            <w:tc>
              <w:tcPr>
                <w:tcW w:w="917" w:type="pct"/>
                <w:shd w:val="clear" w:color="auto" w:fill="auto"/>
                <w:noWrap/>
                <w:vAlign w:val="center"/>
                <w:hideMark/>
              </w:tcPr>
              <w:p w14:paraId="251134BB" w14:textId="67036C0D" w:rsidR="00323C5A" w:rsidRPr="009A46BB" w:rsidRDefault="00323C5A" w:rsidP="00323C5A">
                <w:pPr>
                  <w:spacing w:after="0" w:line="240" w:lineRule="auto"/>
                  <w:jc w:val="right"/>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752.937.312.70</w:t>
                </w:r>
                <w:r w:rsidR="00281B4B">
                  <w:rPr>
                    <w:rFonts w:ascii="Times New Roman" w:eastAsia="Times New Roman" w:hAnsi="Times New Roman"/>
                    <w:sz w:val="18"/>
                    <w:szCs w:val="18"/>
                    <w:lang w:eastAsia="es-CO"/>
                  </w:rPr>
                  <w:t>1</w:t>
                </w:r>
              </w:p>
            </w:tc>
            <w:tc>
              <w:tcPr>
                <w:tcW w:w="1008" w:type="pct"/>
                <w:shd w:val="clear" w:color="auto" w:fill="auto"/>
                <w:noWrap/>
                <w:vAlign w:val="center"/>
                <w:hideMark/>
              </w:tcPr>
              <w:p w14:paraId="2020A0DC" w14:textId="137744F7" w:rsidR="00323C5A" w:rsidRPr="009A46BB" w:rsidRDefault="00323C5A" w:rsidP="00323C5A">
                <w:pPr>
                  <w:spacing w:after="0" w:line="240" w:lineRule="auto"/>
                  <w:jc w:val="right"/>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1.456.387.470.97</w:t>
                </w:r>
                <w:r w:rsidR="00281B4B">
                  <w:rPr>
                    <w:rFonts w:ascii="Times New Roman" w:eastAsia="Times New Roman" w:hAnsi="Times New Roman"/>
                    <w:sz w:val="18"/>
                    <w:szCs w:val="18"/>
                    <w:lang w:eastAsia="es-CO"/>
                  </w:rPr>
                  <w:t>3</w:t>
                </w:r>
              </w:p>
            </w:tc>
          </w:tr>
          <w:tr w:rsidR="00755539" w:rsidRPr="00323C5A" w14:paraId="05D254E7" w14:textId="77777777" w:rsidTr="006C322F">
            <w:trPr>
              <w:trHeight w:val="300"/>
              <w:jc w:val="center"/>
            </w:trPr>
            <w:tc>
              <w:tcPr>
                <w:tcW w:w="779" w:type="pct"/>
                <w:shd w:val="clear" w:color="auto" w:fill="auto"/>
                <w:noWrap/>
                <w:vAlign w:val="center"/>
                <w:hideMark/>
              </w:tcPr>
              <w:p w14:paraId="72A4B048" w14:textId="77777777" w:rsidR="00323C5A" w:rsidRPr="009A46BB" w:rsidRDefault="00323C5A" w:rsidP="00323C5A">
                <w:pPr>
                  <w:spacing w:after="0" w:line="240" w:lineRule="auto"/>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2.7.90</w:t>
                </w:r>
              </w:p>
            </w:tc>
            <w:tc>
              <w:tcPr>
                <w:tcW w:w="353" w:type="pct"/>
                <w:shd w:val="clear" w:color="auto" w:fill="auto"/>
                <w:noWrap/>
                <w:vAlign w:val="center"/>
                <w:hideMark/>
              </w:tcPr>
              <w:p w14:paraId="330BBFFB" w14:textId="77777777" w:rsidR="00323C5A" w:rsidRPr="009A46BB" w:rsidRDefault="00323C5A" w:rsidP="00323C5A">
                <w:pPr>
                  <w:spacing w:after="0" w:line="240" w:lineRule="auto"/>
                  <w:jc w:val="center"/>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Cr</w:t>
                </w:r>
              </w:p>
            </w:tc>
            <w:tc>
              <w:tcPr>
                <w:tcW w:w="935" w:type="pct"/>
                <w:shd w:val="clear" w:color="auto" w:fill="auto"/>
                <w:vAlign w:val="center"/>
                <w:hideMark/>
              </w:tcPr>
              <w:p w14:paraId="64D0C38B" w14:textId="77777777" w:rsidR="00323C5A" w:rsidRPr="009A46BB" w:rsidRDefault="00323C5A" w:rsidP="00323C5A">
                <w:pPr>
                  <w:spacing w:after="0" w:line="240" w:lineRule="auto"/>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Provisiones diversas</w:t>
                </w:r>
              </w:p>
            </w:tc>
            <w:tc>
              <w:tcPr>
                <w:tcW w:w="1008" w:type="pct"/>
                <w:shd w:val="clear" w:color="auto" w:fill="auto"/>
                <w:noWrap/>
                <w:vAlign w:val="center"/>
                <w:hideMark/>
              </w:tcPr>
              <w:p w14:paraId="37EA90A6" w14:textId="77777777" w:rsidR="00323C5A" w:rsidRPr="009A46BB" w:rsidRDefault="00323C5A" w:rsidP="00323C5A">
                <w:pPr>
                  <w:spacing w:after="0" w:line="240" w:lineRule="auto"/>
                  <w:jc w:val="right"/>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937.799.436</w:t>
                </w:r>
              </w:p>
            </w:tc>
            <w:tc>
              <w:tcPr>
                <w:tcW w:w="917" w:type="pct"/>
                <w:shd w:val="clear" w:color="auto" w:fill="auto"/>
                <w:noWrap/>
                <w:vAlign w:val="center"/>
                <w:hideMark/>
              </w:tcPr>
              <w:p w14:paraId="3CBC1263" w14:textId="77777777" w:rsidR="00323C5A" w:rsidRPr="009A46BB" w:rsidRDefault="00323C5A" w:rsidP="00323C5A">
                <w:pPr>
                  <w:spacing w:after="0" w:line="240" w:lineRule="auto"/>
                  <w:jc w:val="right"/>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0</w:t>
                </w:r>
              </w:p>
            </w:tc>
            <w:tc>
              <w:tcPr>
                <w:tcW w:w="1008" w:type="pct"/>
                <w:shd w:val="clear" w:color="auto" w:fill="auto"/>
                <w:noWrap/>
                <w:vAlign w:val="center"/>
                <w:hideMark/>
              </w:tcPr>
              <w:p w14:paraId="161A30E4" w14:textId="77777777" w:rsidR="00323C5A" w:rsidRPr="009A46BB" w:rsidRDefault="00323C5A" w:rsidP="00323C5A">
                <w:pPr>
                  <w:spacing w:after="0" w:line="240" w:lineRule="auto"/>
                  <w:jc w:val="right"/>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937.799.436</w:t>
                </w:r>
              </w:p>
            </w:tc>
          </w:tr>
        </w:tbl>
        <w:p w14:paraId="313AA9BC" w14:textId="671CA415" w:rsidR="0092478C" w:rsidRPr="00931DCE" w:rsidRDefault="00AD2026" w:rsidP="00755539">
          <w:pPr>
            <w:spacing w:after="0" w:line="240" w:lineRule="auto"/>
            <w:jc w:val="both"/>
            <w:rPr>
              <w:rFonts w:ascii="Times New Roman" w:hAnsi="Times New Roman"/>
              <w:sz w:val="14"/>
              <w:szCs w:val="14"/>
            </w:rPr>
          </w:pPr>
          <w:r w:rsidRPr="00931DCE">
            <w:rPr>
              <w:rFonts w:ascii="Times New Roman" w:hAnsi="Times New Roman"/>
              <w:sz w:val="14"/>
              <w:szCs w:val="14"/>
            </w:rPr>
            <w:t>Cifras expresadas en pesos</w:t>
          </w:r>
          <w:r w:rsidR="0019582D" w:rsidRPr="00931DCE">
            <w:rPr>
              <w:rFonts w:ascii="Times New Roman" w:hAnsi="Times New Roman"/>
              <w:sz w:val="14"/>
              <w:szCs w:val="14"/>
            </w:rPr>
            <w:t xml:space="preserve"> </w:t>
          </w:r>
        </w:p>
        <w:p w14:paraId="0AA3BEF8" w14:textId="77777777" w:rsidR="0092478C" w:rsidRDefault="0092478C" w:rsidP="0092478C">
          <w:pPr>
            <w:spacing w:after="0" w:line="240" w:lineRule="auto"/>
            <w:jc w:val="both"/>
            <w:rPr>
              <w:rFonts w:ascii="Times New Roman" w:hAnsi="Times New Roman"/>
              <w:sz w:val="24"/>
              <w:szCs w:val="24"/>
            </w:rPr>
          </w:pPr>
        </w:p>
        <w:p w14:paraId="3AA637FE" w14:textId="77777777" w:rsidR="00BA7856" w:rsidRDefault="00BA7856" w:rsidP="00BA7856">
          <w:pPr>
            <w:spacing w:after="0" w:line="240" w:lineRule="auto"/>
            <w:jc w:val="both"/>
            <w:rPr>
              <w:rFonts w:ascii="Times New Roman" w:hAnsi="Times New Roman"/>
              <w:sz w:val="24"/>
              <w:szCs w:val="24"/>
            </w:rPr>
          </w:pPr>
          <w:r>
            <w:rPr>
              <w:rFonts w:ascii="Times New Roman" w:hAnsi="Times New Roman"/>
              <w:sz w:val="24"/>
              <w:szCs w:val="24"/>
            </w:rPr>
            <w:t xml:space="preserve">Se indica, que el saldo de la cuenta PROVISIONES año 2023, se reporta como no corriente. </w:t>
          </w:r>
        </w:p>
        <w:p w14:paraId="11633555" w14:textId="77777777" w:rsidR="00F70158" w:rsidRDefault="00F70158" w:rsidP="0092478C">
          <w:pPr>
            <w:spacing w:after="0" w:line="240" w:lineRule="auto"/>
            <w:jc w:val="both"/>
            <w:rPr>
              <w:rFonts w:ascii="Times New Roman" w:hAnsi="Times New Roman"/>
              <w:sz w:val="24"/>
              <w:szCs w:val="24"/>
            </w:rPr>
          </w:pPr>
        </w:p>
        <w:p w14:paraId="3D749DFF" w14:textId="2B99400B" w:rsidR="007A0A1C" w:rsidRPr="00931DCE" w:rsidRDefault="0076667D">
          <w:pPr>
            <w:pStyle w:val="Ttulo2"/>
            <w:numPr>
              <w:ilvl w:val="1"/>
              <w:numId w:val="15"/>
            </w:numPr>
            <w:spacing w:line="240" w:lineRule="auto"/>
            <w:ind w:left="567" w:hanging="567"/>
            <w:rPr>
              <w:rFonts w:cs="Times New Roman"/>
              <w:szCs w:val="22"/>
            </w:rPr>
          </w:pPr>
          <w:bookmarkStart w:id="75" w:name="_Toc159952411"/>
          <w:r w:rsidRPr="00931DCE">
            <w:rPr>
              <w:rFonts w:cs="Times New Roman"/>
              <w:szCs w:val="22"/>
            </w:rPr>
            <w:t>Litigios y demandas</w:t>
          </w:r>
          <w:bookmarkEnd w:id="75"/>
        </w:p>
        <w:p w14:paraId="44C3D49A" w14:textId="3F077975" w:rsidR="00560E55" w:rsidRPr="00931DCE" w:rsidRDefault="00560E55" w:rsidP="0092478C">
          <w:pPr>
            <w:spacing w:after="0" w:line="240" w:lineRule="auto"/>
            <w:jc w:val="both"/>
            <w:rPr>
              <w:rFonts w:ascii="Times New Roman" w:hAnsi="Times New Roman"/>
              <w:sz w:val="18"/>
              <w:szCs w:val="18"/>
            </w:rPr>
          </w:pPr>
        </w:p>
        <w:p w14:paraId="2CE183C7" w14:textId="5537347C" w:rsidR="0019582D" w:rsidRDefault="0019582D" w:rsidP="0092478C">
          <w:pPr>
            <w:spacing w:after="0" w:line="240" w:lineRule="auto"/>
            <w:jc w:val="both"/>
            <w:rPr>
              <w:rFonts w:ascii="Times New Roman" w:hAnsi="Times New Roman"/>
              <w:sz w:val="24"/>
              <w:szCs w:val="24"/>
            </w:rPr>
          </w:pPr>
          <w:r w:rsidRPr="00931DCE">
            <w:rPr>
              <w:rFonts w:ascii="Times New Roman" w:hAnsi="Times New Roman"/>
              <w:sz w:val="24"/>
              <w:szCs w:val="24"/>
            </w:rPr>
            <w:t xml:space="preserve">Los criterios de valor considerados para la estimación de las provisiones corresponden a la metodología de la calificación del riesgo y provisión contable, contenida en la Resolución ANI No. 521 de 2018 que acoge lo establecido mediante Resolución No. 353 de 2016 de la ANDJE. Por su parte, la incertidumbre relativa al valor o el plazo para el pago está dada por el tiempo de duración de los procesos judiciales y trámites arbitrales. </w:t>
          </w:r>
        </w:p>
        <w:p w14:paraId="185FFAFF" w14:textId="77777777" w:rsidR="00E02F29" w:rsidRDefault="00E02F29" w:rsidP="0092478C">
          <w:pPr>
            <w:spacing w:after="0" w:line="240" w:lineRule="auto"/>
            <w:jc w:val="both"/>
            <w:rPr>
              <w:rFonts w:ascii="Times New Roman" w:hAnsi="Times New Roman"/>
              <w:sz w:val="24"/>
              <w:szCs w:val="24"/>
            </w:rPr>
          </w:pPr>
        </w:p>
        <w:tbl>
          <w:tblPr>
            <w:tblW w:w="4965" w:type="pct"/>
            <w:jc w:val="center"/>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CellMar>
              <w:left w:w="70" w:type="dxa"/>
              <w:right w:w="70" w:type="dxa"/>
            </w:tblCellMar>
            <w:tblLook w:val="04A0" w:firstRow="1" w:lastRow="0" w:firstColumn="1" w:lastColumn="0" w:noHBand="0" w:noVBand="1"/>
          </w:tblPr>
          <w:tblGrid>
            <w:gridCol w:w="1215"/>
            <w:gridCol w:w="636"/>
            <w:gridCol w:w="2228"/>
            <w:gridCol w:w="1673"/>
            <w:gridCol w:w="1487"/>
            <w:gridCol w:w="1667"/>
          </w:tblGrid>
          <w:tr w:rsidR="00E02F29" w:rsidRPr="00E02F29" w14:paraId="2E087A28" w14:textId="77777777" w:rsidTr="006C322F">
            <w:trPr>
              <w:trHeight w:val="300"/>
              <w:jc w:val="center"/>
            </w:trPr>
            <w:tc>
              <w:tcPr>
                <w:tcW w:w="5000" w:type="pct"/>
                <w:gridSpan w:val="6"/>
                <w:shd w:val="clear" w:color="auto" w:fill="auto"/>
                <w:vAlign w:val="center"/>
                <w:hideMark/>
              </w:tcPr>
              <w:p w14:paraId="007BF23B" w14:textId="77777777" w:rsidR="00E02F29" w:rsidRPr="009A46BB" w:rsidRDefault="00E02F29" w:rsidP="00E02F29">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COMPORTAMIENTO A NIVEL DE SUBCUENTA </w:t>
                </w:r>
              </w:p>
            </w:tc>
          </w:tr>
          <w:tr w:rsidR="00E02F29" w:rsidRPr="00E02F29" w14:paraId="71D18235" w14:textId="77777777" w:rsidTr="006C322F">
            <w:trPr>
              <w:trHeight w:val="570"/>
              <w:jc w:val="center"/>
            </w:trPr>
            <w:tc>
              <w:tcPr>
                <w:tcW w:w="682" w:type="pct"/>
                <w:shd w:val="clear" w:color="auto" w:fill="auto"/>
                <w:vAlign w:val="center"/>
                <w:hideMark/>
              </w:tcPr>
              <w:p w14:paraId="16431745" w14:textId="77777777" w:rsidR="00E02F29" w:rsidRPr="009A46BB" w:rsidRDefault="00E02F29" w:rsidP="00E02F29">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CÓDIGO CONTABLE</w:t>
                </w:r>
              </w:p>
            </w:tc>
            <w:tc>
              <w:tcPr>
                <w:tcW w:w="357" w:type="pct"/>
                <w:shd w:val="clear" w:color="auto" w:fill="auto"/>
                <w:vAlign w:val="center"/>
                <w:hideMark/>
              </w:tcPr>
              <w:p w14:paraId="26E05CAA" w14:textId="77777777" w:rsidR="00E02F29" w:rsidRPr="009A46BB" w:rsidRDefault="00E02F29" w:rsidP="00E02F29">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NAT</w:t>
                </w:r>
              </w:p>
            </w:tc>
            <w:tc>
              <w:tcPr>
                <w:tcW w:w="1251" w:type="pct"/>
                <w:shd w:val="clear" w:color="auto" w:fill="auto"/>
                <w:vAlign w:val="center"/>
                <w:hideMark/>
              </w:tcPr>
              <w:p w14:paraId="084FB67F" w14:textId="77777777" w:rsidR="00E02F29" w:rsidRPr="009A46BB" w:rsidRDefault="00E02F29" w:rsidP="00E02F29">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CONCEPTO</w:t>
                </w:r>
              </w:p>
            </w:tc>
            <w:tc>
              <w:tcPr>
                <w:tcW w:w="939" w:type="pct"/>
                <w:shd w:val="clear" w:color="auto" w:fill="auto"/>
                <w:vAlign w:val="center"/>
                <w:hideMark/>
              </w:tcPr>
              <w:p w14:paraId="7518E1F7" w14:textId="77777777" w:rsidR="00E02F29" w:rsidRPr="009A46BB" w:rsidRDefault="00E02F29" w:rsidP="00E02F29">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2023 </w:t>
                </w:r>
              </w:p>
            </w:tc>
            <w:tc>
              <w:tcPr>
                <w:tcW w:w="835" w:type="pct"/>
                <w:shd w:val="clear" w:color="auto" w:fill="auto"/>
                <w:vAlign w:val="center"/>
                <w:hideMark/>
              </w:tcPr>
              <w:p w14:paraId="56A1AF49" w14:textId="77777777" w:rsidR="00E02F29" w:rsidRPr="009A46BB" w:rsidRDefault="00E02F29" w:rsidP="00E02F29">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 xml:space="preserve">2022 </w:t>
                </w:r>
              </w:p>
            </w:tc>
            <w:tc>
              <w:tcPr>
                <w:tcW w:w="938" w:type="pct"/>
                <w:shd w:val="clear" w:color="auto" w:fill="auto"/>
                <w:vAlign w:val="center"/>
                <w:hideMark/>
              </w:tcPr>
              <w:p w14:paraId="13CE70FE" w14:textId="77777777" w:rsidR="00E02F29" w:rsidRPr="009A46BB" w:rsidRDefault="00E02F29" w:rsidP="00E02F29">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VALOR VARIACIÓN</w:t>
                </w:r>
              </w:p>
            </w:tc>
          </w:tr>
          <w:tr w:rsidR="00E02F29" w:rsidRPr="00E02F29" w14:paraId="520E8D38" w14:textId="77777777" w:rsidTr="006C322F">
            <w:trPr>
              <w:trHeight w:val="300"/>
              <w:jc w:val="center"/>
            </w:trPr>
            <w:tc>
              <w:tcPr>
                <w:tcW w:w="682" w:type="pct"/>
                <w:shd w:val="clear" w:color="auto" w:fill="auto"/>
                <w:noWrap/>
                <w:vAlign w:val="center"/>
                <w:hideMark/>
              </w:tcPr>
              <w:p w14:paraId="0D7D2577" w14:textId="77777777" w:rsidR="00E02F29" w:rsidRPr="009A46BB" w:rsidRDefault="00E02F29" w:rsidP="00E02F29">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2.7</w:t>
                </w:r>
              </w:p>
            </w:tc>
            <w:tc>
              <w:tcPr>
                <w:tcW w:w="357" w:type="pct"/>
                <w:shd w:val="clear" w:color="auto" w:fill="auto"/>
                <w:noWrap/>
                <w:vAlign w:val="center"/>
                <w:hideMark/>
              </w:tcPr>
              <w:p w14:paraId="1513039A" w14:textId="77777777" w:rsidR="00E02F29" w:rsidRPr="009A46BB" w:rsidRDefault="00E02F29" w:rsidP="00E02F29">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Cr</w:t>
                </w:r>
              </w:p>
            </w:tc>
            <w:tc>
              <w:tcPr>
                <w:tcW w:w="1251" w:type="pct"/>
                <w:shd w:val="clear" w:color="auto" w:fill="auto"/>
                <w:vAlign w:val="center"/>
                <w:hideMark/>
              </w:tcPr>
              <w:p w14:paraId="157DD55C" w14:textId="77777777" w:rsidR="00E02F29" w:rsidRPr="009A46BB" w:rsidRDefault="00E02F29" w:rsidP="00E02F29">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PROVISIONES</w:t>
                </w:r>
              </w:p>
            </w:tc>
            <w:tc>
              <w:tcPr>
                <w:tcW w:w="939" w:type="pct"/>
                <w:shd w:val="clear" w:color="auto" w:fill="auto"/>
                <w:noWrap/>
                <w:vAlign w:val="center"/>
                <w:hideMark/>
              </w:tcPr>
              <w:p w14:paraId="176ED68F" w14:textId="77777777" w:rsidR="00E02F29" w:rsidRPr="009A46BB" w:rsidRDefault="00E02F29" w:rsidP="00E02F29">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2.210.262.583.110</w:t>
                </w:r>
              </w:p>
            </w:tc>
            <w:tc>
              <w:tcPr>
                <w:tcW w:w="835" w:type="pct"/>
                <w:shd w:val="clear" w:color="auto" w:fill="auto"/>
                <w:noWrap/>
                <w:vAlign w:val="center"/>
                <w:hideMark/>
              </w:tcPr>
              <w:p w14:paraId="1229DEE7" w14:textId="4850098A" w:rsidR="00E02F29" w:rsidRPr="009A46BB" w:rsidRDefault="00E02F29" w:rsidP="00E02F29">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752.937.312.70</w:t>
                </w:r>
                <w:r w:rsidR="00281B4B">
                  <w:rPr>
                    <w:rFonts w:ascii="Times New Roman" w:eastAsia="Times New Roman" w:hAnsi="Times New Roman"/>
                    <w:b/>
                    <w:sz w:val="16"/>
                    <w:szCs w:val="16"/>
                    <w:lang w:eastAsia="es-CO"/>
                  </w:rPr>
                  <w:t>1</w:t>
                </w:r>
              </w:p>
            </w:tc>
            <w:tc>
              <w:tcPr>
                <w:tcW w:w="938" w:type="pct"/>
                <w:shd w:val="clear" w:color="auto" w:fill="auto"/>
                <w:noWrap/>
                <w:vAlign w:val="center"/>
                <w:hideMark/>
              </w:tcPr>
              <w:p w14:paraId="6B590B2C" w14:textId="12341945" w:rsidR="00E02F29" w:rsidRPr="009A46BB" w:rsidRDefault="00E02F29" w:rsidP="00E02F29">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1.457.325.270.40</w:t>
                </w:r>
                <w:r w:rsidR="00281B4B">
                  <w:rPr>
                    <w:rFonts w:ascii="Times New Roman" w:eastAsia="Times New Roman" w:hAnsi="Times New Roman"/>
                    <w:b/>
                    <w:sz w:val="16"/>
                    <w:szCs w:val="16"/>
                    <w:lang w:eastAsia="es-CO"/>
                  </w:rPr>
                  <w:t>9</w:t>
                </w:r>
              </w:p>
            </w:tc>
          </w:tr>
          <w:tr w:rsidR="00E02F29" w:rsidRPr="00E02F29" w14:paraId="581B5E28" w14:textId="77777777" w:rsidTr="006C322F">
            <w:trPr>
              <w:trHeight w:val="300"/>
              <w:jc w:val="center"/>
            </w:trPr>
            <w:tc>
              <w:tcPr>
                <w:tcW w:w="682" w:type="pct"/>
                <w:shd w:val="clear" w:color="auto" w:fill="auto"/>
                <w:noWrap/>
                <w:vAlign w:val="center"/>
                <w:hideMark/>
              </w:tcPr>
              <w:p w14:paraId="134C8F76" w14:textId="77777777" w:rsidR="00E02F29" w:rsidRPr="009A46BB" w:rsidRDefault="00E02F29" w:rsidP="00E02F29">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2.7.01</w:t>
                </w:r>
              </w:p>
            </w:tc>
            <w:tc>
              <w:tcPr>
                <w:tcW w:w="357" w:type="pct"/>
                <w:shd w:val="clear" w:color="auto" w:fill="auto"/>
                <w:noWrap/>
                <w:vAlign w:val="center"/>
                <w:hideMark/>
              </w:tcPr>
              <w:p w14:paraId="7B286DD7" w14:textId="77777777" w:rsidR="00E02F29" w:rsidRPr="009A46BB" w:rsidRDefault="00E02F29" w:rsidP="00E02F29">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Cr</w:t>
                </w:r>
              </w:p>
            </w:tc>
            <w:tc>
              <w:tcPr>
                <w:tcW w:w="1251" w:type="pct"/>
                <w:shd w:val="clear" w:color="auto" w:fill="auto"/>
                <w:vAlign w:val="center"/>
                <w:hideMark/>
              </w:tcPr>
              <w:p w14:paraId="590AD85A" w14:textId="77777777" w:rsidR="00E02F29" w:rsidRPr="009A46BB" w:rsidRDefault="00E02F29" w:rsidP="00E02F29">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Litigios y demandas</w:t>
                </w:r>
              </w:p>
            </w:tc>
            <w:tc>
              <w:tcPr>
                <w:tcW w:w="939" w:type="pct"/>
                <w:shd w:val="clear" w:color="auto" w:fill="auto"/>
                <w:noWrap/>
                <w:vAlign w:val="center"/>
                <w:hideMark/>
              </w:tcPr>
              <w:p w14:paraId="101AC94B" w14:textId="77777777" w:rsidR="00E02F29" w:rsidRPr="009A46BB" w:rsidRDefault="00E02F29" w:rsidP="00E02F29">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2.209.324.783.674</w:t>
                </w:r>
              </w:p>
            </w:tc>
            <w:tc>
              <w:tcPr>
                <w:tcW w:w="835" w:type="pct"/>
                <w:shd w:val="clear" w:color="auto" w:fill="auto"/>
                <w:noWrap/>
                <w:vAlign w:val="center"/>
                <w:hideMark/>
              </w:tcPr>
              <w:p w14:paraId="6EA8F87E" w14:textId="04A1413D" w:rsidR="00E02F29" w:rsidRPr="009A46BB" w:rsidRDefault="00E02F29" w:rsidP="00E02F29">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752.937.312.70</w:t>
                </w:r>
                <w:r w:rsidR="00281B4B">
                  <w:rPr>
                    <w:rFonts w:ascii="Times New Roman" w:eastAsia="Times New Roman" w:hAnsi="Times New Roman"/>
                    <w:b/>
                    <w:sz w:val="16"/>
                    <w:szCs w:val="16"/>
                    <w:lang w:eastAsia="es-CO"/>
                  </w:rPr>
                  <w:t>1</w:t>
                </w:r>
              </w:p>
            </w:tc>
            <w:tc>
              <w:tcPr>
                <w:tcW w:w="938" w:type="pct"/>
                <w:shd w:val="clear" w:color="auto" w:fill="auto"/>
                <w:noWrap/>
                <w:vAlign w:val="center"/>
                <w:hideMark/>
              </w:tcPr>
              <w:p w14:paraId="6351E718" w14:textId="639B9EAD" w:rsidR="00E02F29" w:rsidRPr="009A46BB" w:rsidRDefault="00E02F29" w:rsidP="00E02F29">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1.456.387.470.97</w:t>
                </w:r>
                <w:r w:rsidR="00281B4B">
                  <w:rPr>
                    <w:rFonts w:ascii="Times New Roman" w:eastAsia="Times New Roman" w:hAnsi="Times New Roman"/>
                    <w:b/>
                    <w:sz w:val="16"/>
                    <w:szCs w:val="16"/>
                    <w:lang w:eastAsia="es-CO"/>
                  </w:rPr>
                  <w:t>3</w:t>
                </w:r>
              </w:p>
            </w:tc>
          </w:tr>
          <w:tr w:rsidR="00E02F29" w:rsidRPr="00E02F29" w14:paraId="0D0B6286" w14:textId="77777777" w:rsidTr="006C322F">
            <w:trPr>
              <w:trHeight w:val="300"/>
              <w:jc w:val="center"/>
            </w:trPr>
            <w:tc>
              <w:tcPr>
                <w:tcW w:w="682" w:type="pct"/>
                <w:shd w:val="clear" w:color="auto" w:fill="auto"/>
                <w:noWrap/>
                <w:vAlign w:val="center"/>
                <w:hideMark/>
              </w:tcPr>
              <w:p w14:paraId="2CF80797" w14:textId="77777777" w:rsidR="00E02F29" w:rsidRPr="009A46BB" w:rsidRDefault="00E02F29" w:rsidP="00E02F29">
                <w:pPr>
                  <w:spacing w:after="0" w:line="240" w:lineRule="auto"/>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2.7.01.01</w:t>
                </w:r>
              </w:p>
            </w:tc>
            <w:tc>
              <w:tcPr>
                <w:tcW w:w="357" w:type="pct"/>
                <w:shd w:val="clear" w:color="auto" w:fill="auto"/>
                <w:noWrap/>
                <w:vAlign w:val="center"/>
                <w:hideMark/>
              </w:tcPr>
              <w:p w14:paraId="4247E447" w14:textId="77777777" w:rsidR="00E02F29" w:rsidRPr="009A46BB" w:rsidRDefault="00E02F29" w:rsidP="00E02F29">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Cr</w:t>
                </w:r>
              </w:p>
            </w:tc>
            <w:tc>
              <w:tcPr>
                <w:tcW w:w="1251" w:type="pct"/>
                <w:shd w:val="clear" w:color="auto" w:fill="auto"/>
                <w:vAlign w:val="center"/>
                <w:hideMark/>
              </w:tcPr>
              <w:p w14:paraId="5B0D4904" w14:textId="77777777" w:rsidR="00E02F29" w:rsidRPr="009A46BB" w:rsidRDefault="00E02F29" w:rsidP="00E02F29">
                <w:pPr>
                  <w:spacing w:after="0" w:line="240" w:lineRule="auto"/>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Civiles</w:t>
                </w:r>
              </w:p>
            </w:tc>
            <w:tc>
              <w:tcPr>
                <w:tcW w:w="939" w:type="pct"/>
                <w:shd w:val="clear" w:color="auto" w:fill="auto"/>
                <w:noWrap/>
                <w:vAlign w:val="center"/>
                <w:hideMark/>
              </w:tcPr>
              <w:p w14:paraId="27B6F466" w14:textId="77777777" w:rsidR="00E02F29" w:rsidRPr="009A46BB" w:rsidRDefault="00E02F29" w:rsidP="00E02F29">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7.963.088.541</w:t>
                </w:r>
              </w:p>
            </w:tc>
            <w:tc>
              <w:tcPr>
                <w:tcW w:w="835" w:type="pct"/>
                <w:shd w:val="clear" w:color="auto" w:fill="auto"/>
                <w:noWrap/>
                <w:vAlign w:val="center"/>
                <w:hideMark/>
              </w:tcPr>
              <w:p w14:paraId="30CAADA5" w14:textId="77777777" w:rsidR="00E02F29" w:rsidRPr="009A46BB" w:rsidRDefault="00E02F29" w:rsidP="00E02F29">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8.649.436.071</w:t>
                </w:r>
              </w:p>
            </w:tc>
            <w:tc>
              <w:tcPr>
                <w:tcW w:w="938" w:type="pct"/>
                <w:shd w:val="clear" w:color="auto" w:fill="auto"/>
                <w:noWrap/>
                <w:vAlign w:val="center"/>
                <w:hideMark/>
              </w:tcPr>
              <w:p w14:paraId="6A745C72" w14:textId="77777777" w:rsidR="00E02F29" w:rsidRPr="009A46BB" w:rsidRDefault="00E02F29" w:rsidP="00E02F29">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-686.347.530</w:t>
                </w:r>
              </w:p>
            </w:tc>
          </w:tr>
          <w:tr w:rsidR="00E02F29" w:rsidRPr="00E02F29" w14:paraId="677B1E26" w14:textId="77777777" w:rsidTr="006C322F">
            <w:trPr>
              <w:trHeight w:val="300"/>
              <w:jc w:val="center"/>
            </w:trPr>
            <w:tc>
              <w:tcPr>
                <w:tcW w:w="682" w:type="pct"/>
                <w:shd w:val="clear" w:color="auto" w:fill="auto"/>
                <w:noWrap/>
                <w:vAlign w:val="center"/>
                <w:hideMark/>
              </w:tcPr>
              <w:p w14:paraId="08CF71BF" w14:textId="77777777" w:rsidR="00E02F29" w:rsidRPr="009A46BB" w:rsidRDefault="00E02F29" w:rsidP="00E02F29">
                <w:pPr>
                  <w:spacing w:after="0" w:line="240" w:lineRule="auto"/>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2.7.01.03</w:t>
                </w:r>
              </w:p>
            </w:tc>
            <w:tc>
              <w:tcPr>
                <w:tcW w:w="357" w:type="pct"/>
                <w:shd w:val="clear" w:color="auto" w:fill="auto"/>
                <w:noWrap/>
                <w:vAlign w:val="center"/>
                <w:hideMark/>
              </w:tcPr>
              <w:p w14:paraId="194B4F4E" w14:textId="77777777" w:rsidR="00E02F29" w:rsidRPr="009A46BB" w:rsidRDefault="00E02F29" w:rsidP="00E02F29">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Cr</w:t>
                </w:r>
              </w:p>
            </w:tc>
            <w:tc>
              <w:tcPr>
                <w:tcW w:w="1251" w:type="pct"/>
                <w:shd w:val="clear" w:color="auto" w:fill="auto"/>
                <w:vAlign w:val="center"/>
                <w:hideMark/>
              </w:tcPr>
              <w:p w14:paraId="792E2F89" w14:textId="77777777" w:rsidR="00E02F29" w:rsidRPr="009A46BB" w:rsidRDefault="00E02F29" w:rsidP="00E02F29">
                <w:pPr>
                  <w:spacing w:after="0" w:line="240" w:lineRule="auto"/>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Administrativas</w:t>
                </w:r>
              </w:p>
            </w:tc>
            <w:tc>
              <w:tcPr>
                <w:tcW w:w="939" w:type="pct"/>
                <w:shd w:val="clear" w:color="auto" w:fill="auto"/>
                <w:noWrap/>
                <w:vAlign w:val="center"/>
                <w:hideMark/>
              </w:tcPr>
              <w:p w14:paraId="7BE2908E" w14:textId="77777777" w:rsidR="00E02F29" w:rsidRPr="009A46BB" w:rsidRDefault="00E02F29" w:rsidP="00E02F29">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1.303.826.628.102</w:t>
                </w:r>
              </w:p>
            </w:tc>
            <w:tc>
              <w:tcPr>
                <w:tcW w:w="835" w:type="pct"/>
                <w:shd w:val="clear" w:color="auto" w:fill="auto"/>
                <w:noWrap/>
                <w:vAlign w:val="center"/>
                <w:hideMark/>
              </w:tcPr>
              <w:p w14:paraId="3DD0861B" w14:textId="77777777" w:rsidR="00E02F29" w:rsidRPr="009A46BB" w:rsidRDefault="00E02F29" w:rsidP="00E02F29">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91.888.305.771</w:t>
                </w:r>
              </w:p>
            </w:tc>
            <w:tc>
              <w:tcPr>
                <w:tcW w:w="938" w:type="pct"/>
                <w:shd w:val="clear" w:color="auto" w:fill="auto"/>
                <w:noWrap/>
                <w:vAlign w:val="center"/>
                <w:hideMark/>
              </w:tcPr>
              <w:p w14:paraId="03B590A8" w14:textId="77777777" w:rsidR="00E02F29" w:rsidRPr="009A46BB" w:rsidRDefault="00E02F29" w:rsidP="00E02F29">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1.211.938.322.331</w:t>
                </w:r>
              </w:p>
            </w:tc>
          </w:tr>
          <w:tr w:rsidR="00E02F29" w:rsidRPr="00E02F29" w14:paraId="1802C7EA" w14:textId="77777777" w:rsidTr="006C322F">
            <w:trPr>
              <w:trHeight w:val="300"/>
              <w:jc w:val="center"/>
            </w:trPr>
            <w:tc>
              <w:tcPr>
                <w:tcW w:w="682" w:type="pct"/>
                <w:shd w:val="clear" w:color="auto" w:fill="auto"/>
                <w:noWrap/>
                <w:vAlign w:val="center"/>
                <w:hideMark/>
              </w:tcPr>
              <w:p w14:paraId="79407C94" w14:textId="77777777" w:rsidR="00E02F29" w:rsidRPr="009A46BB" w:rsidRDefault="00E02F29" w:rsidP="00E02F29">
                <w:pPr>
                  <w:spacing w:after="0" w:line="240" w:lineRule="auto"/>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2.7.01.05</w:t>
                </w:r>
              </w:p>
            </w:tc>
            <w:tc>
              <w:tcPr>
                <w:tcW w:w="357" w:type="pct"/>
                <w:shd w:val="clear" w:color="auto" w:fill="auto"/>
                <w:noWrap/>
                <w:vAlign w:val="center"/>
                <w:hideMark/>
              </w:tcPr>
              <w:p w14:paraId="39F845BB" w14:textId="77777777" w:rsidR="00E02F29" w:rsidRPr="009A46BB" w:rsidRDefault="00E02F29" w:rsidP="00E02F29">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Cr</w:t>
                </w:r>
              </w:p>
            </w:tc>
            <w:tc>
              <w:tcPr>
                <w:tcW w:w="1251" w:type="pct"/>
                <w:shd w:val="clear" w:color="auto" w:fill="auto"/>
                <w:vAlign w:val="center"/>
                <w:hideMark/>
              </w:tcPr>
              <w:p w14:paraId="0497FC77" w14:textId="77777777" w:rsidR="00E02F29" w:rsidRPr="009A46BB" w:rsidRDefault="00E02F29" w:rsidP="00E02F29">
                <w:pPr>
                  <w:spacing w:after="0" w:line="240" w:lineRule="auto"/>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Laborales</w:t>
                </w:r>
              </w:p>
            </w:tc>
            <w:tc>
              <w:tcPr>
                <w:tcW w:w="939" w:type="pct"/>
                <w:shd w:val="clear" w:color="auto" w:fill="auto"/>
                <w:noWrap/>
                <w:vAlign w:val="center"/>
                <w:hideMark/>
              </w:tcPr>
              <w:p w14:paraId="55BD196D" w14:textId="77777777" w:rsidR="00E02F29" w:rsidRPr="009A46BB" w:rsidRDefault="00E02F29" w:rsidP="00E02F29">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290.785.600</w:t>
                </w:r>
              </w:p>
            </w:tc>
            <w:tc>
              <w:tcPr>
                <w:tcW w:w="835" w:type="pct"/>
                <w:shd w:val="clear" w:color="auto" w:fill="auto"/>
                <w:noWrap/>
                <w:vAlign w:val="center"/>
                <w:hideMark/>
              </w:tcPr>
              <w:p w14:paraId="52854D47" w14:textId="77777777" w:rsidR="00E02F29" w:rsidRPr="009A46BB" w:rsidRDefault="00E02F29" w:rsidP="00E02F29">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105.916.514</w:t>
                </w:r>
              </w:p>
            </w:tc>
            <w:tc>
              <w:tcPr>
                <w:tcW w:w="938" w:type="pct"/>
                <w:shd w:val="clear" w:color="auto" w:fill="auto"/>
                <w:noWrap/>
                <w:vAlign w:val="center"/>
                <w:hideMark/>
              </w:tcPr>
              <w:p w14:paraId="5EF27F19" w14:textId="77777777" w:rsidR="00E02F29" w:rsidRPr="009A46BB" w:rsidRDefault="00E02F29" w:rsidP="00E02F29">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184.869.086</w:t>
                </w:r>
              </w:p>
            </w:tc>
          </w:tr>
          <w:tr w:rsidR="00E02F29" w:rsidRPr="00E02F29" w14:paraId="4439E95B" w14:textId="77777777" w:rsidTr="006C322F">
            <w:trPr>
              <w:trHeight w:val="300"/>
              <w:jc w:val="center"/>
            </w:trPr>
            <w:tc>
              <w:tcPr>
                <w:tcW w:w="682" w:type="pct"/>
                <w:shd w:val="clear" w:color="auto" w:fill="auto"/>
                <w:noWrap/>
                <w:vAlign w:val="center"/>
                <w:hideMark/>
              </w:tcPr>
              <w:p w14:paraId="3DBC09B7" w14:textId="77777777" w:rsidR="00E02F29" w:rsidRPr="009A46BB" w:rsidRDefault="00E02F29" w:rsidP="00E02F29">
                <w:pPr>
                  <w:spacing w:after="0" w:line="240" w:lineRule="auto"/>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2.7.01.90</w:t>
                </w:r>
              </w:p>
            </w:tc>
            <w:tc>
              <w:tcPr>
                <w:tcW w:w="357" w:type="pct"/>
                <w:shd w:val="clear" w:color="auto" w:fill="auto"/>
                <w:noWrap/>
                <w:vAlign w:val="center"/>
                <w:hideMark/>
              </w:tcPr>
              <w:p w14:paraId="71CD83AD" w14:textId="77777777" w:rsidR="00E02F29" w:rsidRPr="009A46BB" w:rsidRDefault="00E02F29" w:rsidP="00E02F29">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Cr</w:t>
                </w:r>
              </w:p>
            </w:tc>
            <w:tc>
              <w:tcPr>
                <w:tcW w:w="1251" w:type="pct"/>
                <w:shd w:val="clear" w:color="auto" w:fill="auto"/>
                <w:vAlign w:val="center"/>
                <w:hideMark/>
              </w:tcPr>
              <w:p w14:paraId="744167A6" w14:textId="77777777" w:rsidR="00E02F29" w:rsidRPr="009A46BB" w:rsidRDefault="00E02F29" w:rsidP="00E02F29">
                <w:pPr>
                  <w:spacing w:after="0" w:line="240" w:lineRule="auto"/>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Otros litigios y demandas</w:t>
                </w:r>
              </w:p>
            </w:tc>
            <w:tc>
              <w:tcPr>
                <w:tcW w:w="939" w:type="pct"/>
                <w:shd w:val="clear" w:color="auto" w:fill="auto"/>
                <w:noWrap/>
                <w:vAlign w:val="center"/>
                <w:hideMark/>
              </w:tcPr>
              <w:p w14:paraId="0C32496A" w14:textId="77777777" w:rsidR="00E02F29" w:rsidRPr="009A46BB" w:rsidRDefault="00E02F29" w:rsidP="00E02F29">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897.244.281.431</w:t>
                </w:r>
              </w:p>
            </w:tc>
            <w:tc>
              <w:tcPr>
                <w:tcW w:w="835" w:type="pct"/>
                <w:shd w:val="clear" w:color="auto" w:fill="auto"/>
                <w:noWrap/>
                <w:vAlign w:val="center"/>
                <w:hideMark/>
              </w:tcPr>
              <w:p w14:paraId="00370F99" w14:textId="5C193F98" w:rsidR="00E02F29" w:rsidRPr="009A46BB" w:rsidRDefault="00E02F29" w:rsidP="00E02F29">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652.293.654.34</w:t>
                </w:r>
                <w:r w:rsidR="00281B4B">
                  <w:rPr>
                    <w:rFonts w:ascii="Times New Roman" w:eastAsia="Times New Roman" w:hAnsi="Times New Roman"/>
                    <w:sz w:val="16"/>
                    <w:szCs w:val="16"/>
                    <w:lang w:eastAsia="es-CO"/>
                  </w:rPr>
                  <w:t>5</w:t>
                </w:r>
              </w:p>
            </w:tc>
            <w:tc>
              <w:tcPr>
                <w:tcW w:w="938" w:type="pct"/>
                <w:shd w:val="clear" w:color="auto" w:fill="auto"/>
                <w:noWrap/>
                <w:vAlign w:val="center"/>
                <w:hideMark/>
              </w:tcPr>
              <w:p w14:paraId="5B5E1AE0" w14:textId="3A0A4DC5" w:rsidR="00E02F29" w:rsidRPr="009A46BB" w:rsidRDefault="00E02F29" w:rsidP="00E02F29">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244.950.627.08</w:t>
                </w:r>
                <w:r w:rsidR="00281B4B">
                  <w:rPr>
                    <w:rFonts w:ascii="Times New Roman" w:eastAsia="Times New Roman" w:hAnsi="Times New Roman"/>
                    <w:sz w:val="16"/>
                    <w:szCs w:val="16"/>
                    <w:lang w:eastAsia="es-CO"/>
                  </w:rPr>
                  <w:t>6</w:t>
                </w:r>
              </w:p>
            </w:tc>
          </w:tr>
          <w:tr w:rsidR="00E02F29" w:rsidRPr="00E02F29" w14:paraId="0E8FAE7D" w14:textId="77777777" w:rsidTr="006C322F">
            <w:trPr>
              <w:trHeight w:val="300"/>
              <w:jc w:val="center"/>
            </w:trPr>
            <w:tc>
              <w:tcPr>
                <w:tcW w:w="682" w:type="pct"/>
                <w:shd w:val="clear" w:color="auto" w:fill="auto"/>
                <w:noWrap/>
                <w:vAlign w:val="center"/>
                <w:hideMark/>
              </w:tcPr>
              <w:p w14:paraId="7CBA1216" w14:textId="77777777" w:rsidR="00E02F29" w:rsidRPr="009A46BB" w:rsidRDefault="00E02F29" w:rsidP="00E02F29">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2.7.90</w:t>
                </w:r>
              </w:p>
            </w:tc>
            <w:tc>
              <w:tcPr>
                <w:tcW w:w="357" w:type="pct"/>
                <w:shd w:val="clear" w:color="auto" w:fill="auto"/>
                <w:noWrap/>
                <w:vAlign w:val="center"/>
                <w:hideMark/>
              </w:tcPr>
              <w:p w14:paraId="0954C185" w14:textId="77777777" w:rsidR="00E02F29" w:rsidRPr="009A46BB" w:rsidRDefault="00E02F29" w:rsidP="00E02F29">
                <w:pPr>
                  <w:spacing w:after="0" w:line="240" w:lineRule="auto"/>
                  <w:jc w:val="center"/>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Cr</w:t>
                </w:r>
              </w:p>
            </w:tc>
            <w:tc>
              <w:tcPr>
                <w:tcW w:w="1251" w:type="pct"/>
                <w:shd w:val="clear" w:color="auto" w:fill="auto"/>
                <w:vAlign w:val="center"/>
                <w:hideMark/>
              </w:tcPr>
              <w:p w14:paraId="1390B19C" w14:textId="77777777" w:rsidR="00E02F29" w:rsidRPr="009A46BB" w:rsidRDefault="00E02F29" w:rsidP="00E02F29">
                <w:pPr>
                  <w:spacing w:after="0" w:line="240" w:lineRule="auto"/>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Provisiones diversas</w:t>
                </w:r>
              </w:p>
            </w:tc>
            <w:tc>
              <w:tcPr>
                <w:tcW w:w="939" w:type="pct"/>
                <w:shd w:val="clear" w:color="auto" w:fill="auto"/>
                <w:noWrap/>
                <w:vAlign w:val="center"/>
                <w:hideMark/>
              </w:tcPr>
              <w:p w14:paraId="30FA5A2E" w14:textId="77777777" w:rsidR="00E02F29" w:rsidRPr="009A46BB" w:rsidRDefault="00E02F29" w:rsidP="00E02F29">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937.799.436</w:t>
                </w:r>
              </w:p>
            </w:tc>
            <w:tc>
              <w:tcPr>
                <w:tcW w:w="835" w:type="pct"/>
                <w:shd w:val="clear" w:color="auto" w:fill="auto"/>
                <w:noWrap/>
                <w:vAlign w:val="center"/>
                <w:hideMark/>
              </w:tcPr>
              <w:p w14:paraId="0F626C82" w14:textId="77777777" w:rsidR="00E02F29" w:rsidRPr="009A46BB" w:rsidRDefault="00E02F29" w:rsidP="00E02F29">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0</w:t>
                </w:r>
              </w:p>
            </w:tc>
            <w:tc>
              <w:tcPr>
                <w:tcW w:w="938" w:type="pct"/>
                <w:shd w:val="clear" w:color="auto" w:fill="auto"/>
                <w:noWrap/>
                <w:vAlign w:val="center"/>
                <w:hideMark/>
              </w:tcPr>
              <w:p w14:paraId="4DE969E1" w14:textId="77777777" w:rsidR="00E02F29" w:rsidRPr="009A46BB" w:rsidRDefault="00E02F29" w:rsidP="00E02F29">
                <w:pPr>
                  <w:spacing w:after="0" w:line="240" w:lineRule="auto"/>
                  <w:jc w:val="right"/>
                  <w:rPr>
                    <w:rFonts w:ascii="Times New Roman" w:eastAsia="Times New Roman" w:hAnsi="Times New Roman"/>
                    <w:b/>
                    <w:sz w:val="16"/>
                    <w:szCs w:val="16"/>
                    <w:lang w:eastAsia="es-CO"/>
                  </w:rPr>
                </w:pPr>
                <w:r w:rsidRPr="009A46BB">
                  <w:rPr>
                    <w:rFonts w:ascii="Times New Roman" w:eastAsia="Times New Roman" w:hAnsi="Times New Roman"/>
                    <w:b/>
                    <w:sz w:val="16"/>
                    <w:szCs w:val="16"/>
                    <w:lang w:eastAsia="es-CO"/>
                  </w:rPr>
                  <w:t>937.799.436</w:t>
                </w:r>
              </w:p>
            </w:tc>
          </w:tr>
          <w:tr w:rsidR="00E02F29" w:rsidRPr="00E02F29" w14:paraId="26BB49BE" w14:textId="77777777" w:rsidTr="006C322F">
            <w:trPr>
              <w:trHeight w:val="300"/>
              <w:jc w:val="center"/>
            </w:trPr>
            <w:tc>
              <w:tcPr>
                <w:tcW w:w="682" w:type="pct"/>
                <w:shd w:val="clear" w:color="auto" w:fill="auto"/>
                <w:noWrap/>
                <w:vAlign w:val="center"/>
                <w:hideMark/>
              </w:tcPr>
              <w:p w14:paraId="3925AB68" w14:textId="77777777" w:rsidR="00E02F29" w:rsidRPr="009A46BB" w:rsidRDefault="00E02F29" w:rsidP="00E02F29">
                <w:pPr>
                  <w:spacing w:after="0" w:line="240" w:lineRule="auto"/>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2.7.90.90</w:t>
                </w:r>
              </w:p>
            </w:tc>
            <w:tc>
              <w:tcPr>
                <w:tcW w:w="357" w:type="pct"/>
                <w:shd w:val="clear" w:color="auto" w:fill="auto"/>
                <w:noWrap/>
                <w:vAlign w:val="center"/>
                <w:hideMark/>
              </w:tcPr>
              <w:p w14:paraId="752D7EE2" w14:textId="77777777" w:rsidR="00E02F29" w:rsidRPr="009A46BB" w:rsidRDefault="00E02F29" w:rsidP="00E02F29">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Cr</w:t>
                </w:r>
              </w:p>
            </w:tc>
            <w:tc>
              <w:tcPr>
                <w:tcW w:w="1251" w:type="pct"/>
                <w:shd w:val="clear" w:color="auto" w:fill="auto"/>
                <w:vAlign w:val="center"/>
                <w:hideMark/>
              </w:tcPr>
              <w:p w14:paraId="6D699697" w14:textId="77777777" w:rsidR="00E02F29" w:rsidRPr="009A46BB" w:rsidRDefault="00E02F29" w:rsidP="00E02F29">
                <w:pPr>
                  <w:spacing w:after="0" w:line="240" w:lineRule="auto"/>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Otras provisiones diversas</w:t>
                </w:r>
              </w:p>
            </w:tc>
            <w:tc>
              <w:tcPr>
                <w:tcW w:w="939" w:type="pct"/>
                <w:shd w:val="clear" w:color="auto" w:fill="auto"/>
                <w:noWrap/>
                <w:vAlign w:val="center"/>
                <w:hideMark/>
              </w:tcPr>
              <w:p w14:paraId="06C30DAE" w14:textId="77777777" w:rsidR="00E02F29" w:rsidRPr="009A46BB" w:rsidRDefault="00E02F29" w:rsidP="00E02F29">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937.799.436</w:t>
                </w:r>
              </w:p>
            </w:tc>
            <w:tc>
              <w:tcPr>
                <w:tcW w:w="835" w:type="pct"/>
                <w:shd w:val="clear" w:color="auto" w:fill="auto"/>
                <w:noWrap/>
                <w:vAlign w:val="center"/>
                <w:hideMark/>
              </w:tcPr>
              <w:p w14:paraId="03F07234" w14:textId="77777777" w:rsidR="00E02F29" w:rsidRPr="009A46BB" w:rsidRDefault="00E02F29" w:rsidP="00E02F29">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0</w:t>
                </w:r>
              </w:p>
            </w:tc>
            <w:tc>
              <w:tcPr>
                <w:tcW w:w="938" w:type="pct"/>
                <w:shd w:val="clear" w:color="auto" w:fill="auto"/>
                <w:noWrap/>
                <w:vAlign w:val="center"/>
                <w:hideMark/>
              </w:tcPr>
              <w:p w14:paraId="3A59EBE3" w14:textId="77777777" w:rsidR="00E02F29" w:rsidRPr="009A46BB" w:rsidRDefault="00E02F29" w:rsidP="00E02F29">
                <w:pPr>
                  <w:spacing w:after="0" w:line="240" w:lineRule="auto"/>
                  <w:jc w:val="right"/>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937.799.436</w:t>
                </w:r>
              </w:p>
            </w:tc>
          </w:tr>
        </w:tbl>
        <w:p w14:paraId="1DBB3642" w14:textId="4B443B9F" w:rsidR="0019582D" w:rsidRDefault="00E02F29" w:rsidP="00E02F29">
          <w:pPr>
            <w:spacing w:after="0" w:line="240" w:lineRule="auto"/>
            <w:jc w:val="both"/>
            <w:rPr>
              <w:rFonts w:ascii="Times New Roman" w:hAnsi="Times New Roman"/>
              <w:sz w:val="14"/>
              <w:szCs w:val="14"/>
            </w:rPr>
          </w:pPr>
          <w:r>
            <w:rPr>
              <w:rFonts w:ascii="Times New Roman" w:hAnsi="Times New Roman"/>
              <w:sz w:val="14"/>
              <w:szCs w:val="14"/>
            </w:rPr>
            <w:t xml:space="preserve">  </w:t>
          </w:r>
          <w:r w:rsidR="00AD2026" w:rsidRPr="00931DCE">
            <w:rPr>
              <w:rFonts w:ascii="Times New Roman" w:hAnsi="Times New Roman"/>
              <w:sz w:val="14"/>
              <w:szCs w:val="14"/>
            </w:rPr>
            <w:t>Cifras expresadas en pesos</w:t>
          </w:r>
          <w:r w:rsidR="0019582D" w:rsidRPr="00931DCE">
            <w:rPr>
              <w:rFonts w:ascii="Times New Roman" w:hAnsi="Times New Roman"/>
              <w:sz w:val="14"/>
              <w:szCs w:val="14"/>
            </w:rPr>
            <w:t xml:space="preserve"> </w:t>
          </w:r>
        </w:p>
        <w:p w14:paraId="4082D726" w14:textId="77777777" w:rsidR="00E02F29" w:rsidRPr="00E02F29" w:rsidRDefault="00E02F29" w:rsidP="00E02F29">
          <w:pPr>
            <w:spacing w:after="0" w:line="240" w:lineRule="auto"/>
            <w:jc w:val="both"/>
            <w:rPr>
              <w:rFonts w:ascii="Times New Roman" w:hAnsi="Times New Roman"/>
              <w:sz w:val="14"/>
              <w:szCs w:val="10"/>
            </w:rPr>
          </w:pPr>
        </w:p>
        <w:p w14:paraId="321D3142" w14:textId="0839B795" w:rsidR="0019582D" w:rsidRPr="00931DCE" w:rsidRDefault="003B1EDA" w:rsidP="003B1EDA">
          <w:pPr>
            <w:spacing w:after="0" w:line="240" w:lineRule="auto"/>
            <w:jc w:val="both"/>
            <w:rPr>
              <w:rFonts w:ascii="Times New Roman" w:hAnsi="Times New Roman"/>
              <w:sz w:val="24"/>
              <w:szCs w:val="24"/>
            </w:rPr>
          </w:pPr>
          <w:r w:rsidRPr="00931DCE">
            <w:rPr>
              <w:rFonts w:ascii="Times New Roman" w:hAnsi="Times New Roman"/>
              <w:sz w:val="24"/>
              <w:szCs w:val="24"/>
            </w:rPr>
            <w:t>A continuación, presentamos el comportamiento de los litigios y demandas:</w:t>
          </w:r>
        </w:p>
        <w:p w14:paraId="091F4CA3" w14:textId="77777777" w:rsidR="00162331" w:rsidRPr="00931DCE" w:rsidRDefault="00162331" w:rsidP="00162331">
          <w:pPr>
            <w:spacing w:after="0" w:line="240" w:lineRule="auto"/>
            <w:jc w:val="both"/>
            <w:rPr>
              <w:rFonts w:ascii="Times New Roman" w:hAnsi="Times New Roman"/>
              <w:sz w:val="14"/>
              <w:szCs w:val="10"/>
              <w:highlight w:val="yellow"/>
            </w:rPr>
          </w:pPr>
        </w:p>
        <w:tbl>
          <w:tblPr>
            <w:tblW w:w="5000" w:type="pct"/>
            <w:jc w:val="center"/>
            <w:tblCellMar>
              <w:left w:w="70" w:type="dxa"/>
              <w:right w:w="70" w:type="dxa"/>
            </w:tblCellMar>
            <w:tblLook w:val="04A0" w:firstRow="1" w:lastRow="0" w:firstColumn="1" w:lastColumn="0" w:noHBand="0" w:noVBand="1"/>
          </w:tblPr>
          <w:tblGrid>
            <w:gridCol w:w="1766"/>
            <w:gridCol w:w="319"/>
            <w:gridCol w:w="312"/>
            <w:gridCol w:w="1085"/>
            <w:gridCol w:w="1190"/>
            <w:gridCol w:w="625"/>
            <w:gridCol w:w="1085"/>
            <w:gridCol w:w="312"/>
            <w:gridCol w:w="1085"/>
            <w:gridCol w:w="1190"/>
          </w:tblGrid>
          <w:tr w:rsidR="0094700D" w:rsidRPr="0094700D" w14:paraId="60753221" w14:textId="77777777" w:rsidTr="00D62C56">
            <w:trPr>
              <w:trHeight w:val="300"/>
              <w:jc w:val="center"/>
            </w:trPr>
            <w:tc>
              <w:tcPr>
                <w:tcW w:w="1414" w:type="pct"/>
                <w:gridSpan w:val="3"/>
                <w:vMerge w:val="restart"/>
                <w:tcBorders>
                  <w:top w:val="single" w:sz="4" w:space="0" w:color="A6A6A6"/>
                  <w:left w:val="single" w:sz="4" w:space="0" w:color="A6A6A6"/>
                  <w:bottom w:val="single" w:sz="6" w:space="0" w:color="A6A6A6"/>
                  <w:right w:val="single" w:sz="6" w:space="0" w:color="A6A6A6"/>
                </w:tcBorders>
                <w:shd w:val="clear" w:color="auto" w:fill="auto"/>
                <w:vAlign w:val="center"/>
                <w:hideMark/>
              </w:tcPr>
              <w:p w14:paraId="5925C5A3" w14:textId="77777777" w:rsidR="0094700D" w:rsidRPr="009A46BB" w:rsidRDefault="0094700D" w:rsidP="0094700D">
                <w:pPr>
                  <w:spacing w:after="0" w:line="240" w:lineRule="auto"/>
                  <w:jc w:val="center"/>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ASOCIACIÓN DE DATOS</w:t>
                </w:r>
              </w:p>
            </w:tc>
            <w:tc>
              <w:tcPr>
                <w:tcW w:w="3586" w:type="pct"/>
                <w:gridSpan w:val="7"/>
                <w:tcBorders>
                  <w:top w:val="single" w:sz="4" w:space="0" w:color="A6A6A6"/>
                  <w:left w:val="single" w:sz="6" w:space="0" w:color="A6A6A6"/>
                  <w:bottom w:val="single" w:sz="6" w:space="0" w:color="A6A6A6"/>
                  <w:right w:val="single" w:sz="4" w:space="0" w:color="A6A6A6"/>
                </w:tcBorders>
                <w:shd w:val="clear" w:color="auto" w:fill="auto"/>
                <w:vAlign w:val="center"/>
                <w:hideMark/>
              </w:tcPr>
              <w:p w14:paraId="191BF43B" w14:textId="77777777" w:rsidR="0094700D" w:rsidRPr="009A46BB" w:rsidRDefault="0094700D" w:rsidP="0094700D">
                <w:pPr>
                  <w:spacing w:after="0" w:line="240" w:lineRule="auto"/>
                  <w:jc w:val="center"/>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VALOR EN LIBROS - CORTE 2023</w:t>
                </w:r>
              </w:p>
            </w:tc>
          </w:tr>
          <w:tr w:rsidR="0094700D" w:rsidRPr="0094700D" w14:paraId="04EB33A5" w14:textId="77777777" w:rsidTr="00D62C56">
            <w:trPr>
              <w:trHeight w:val="300"/>
              <w:jc w:val="center"/>
            </w:trPr>
            <w:tc>
              <w:tcPr>
                <w:tcW w:w="1414" w:type="pct"/>
                <w:gridSpan w:val="3"/>
                <w:vMerge/>
                <w:tcBorders>
                  <w:top w:val="single" w:sz="6" w:space="0" w:color="A6A6A6"/>
                  <w:left w:val="single" w:sz="4" w:space="0" w:color="A6A6A6"/>
                  <w:bottom w:val="single" w:sz="6" w:space="0" w:color="A6A6A6"/>
                  <w:right w:val="single" w:sz="6" w:space="0" w:color="A6A6A6"/>
                </w:tcBorders>
                <w:vAlign w:val="center"/>
                <w:hideMark/>
              </w:tcPr>
              <w:p w14:paraId="0B110CC2" w14:textId="77777777" w:rsidR="0094700D" w:rsidRPr="009A46BB" w:rsidRDefault="0094700D" w:rsidP="0094700D">
                <w:pPr>
                  <w:spacing w:after="0" w:line="240" w:lineRule="auto"/>
                  <w:rPr>
                    <w:rFonts w:ascii="Times New Roman" w:eastAsia="Times New Roman" w:hAnsi="Times New Roman"/>
                    <w:b/>
                    <w:sz w:val="14"/>
                    <w:szCs w:val="14"/>
                    <w:lang w:eastAsia="es-CO"/>
                  </w:rPr>
                </w:pPr>
              </w:p>
            </w:tc>
            <w:tc>
              <w:tcPr>
                <w:tcW w:w="605" w:type="pct"/>
                <w:tcBorders>
                  <w:top w:val="single" w:sz="6" w:space="0" w:color="A6A6A6"/>
                  <w:left w:val="single" w:sz="6" w:space="0" w:color="A6A6A6"/>
                  <w:bottom w:val="single" w:sz="6" w:space="0" w:color="A6A6A6"/>
                  <w:right w:val="single" w:sz="6" w:space="0" w:color="A6A6A6"/>
                </w:tcBorders>
                <w:shd w:val="clear" w:color="auto" w:fill="auto"/>
                <w:vAlign w:val="center"/>
                <w:hideMark/>
              </w:tcPr>
              <w:p w14:paraId="2823301E" w14:textId="77777777" w:rsidR="0094700D" w:rsidRPr="009A46BB" w:rsidRDefault="0094700D" w:rsidP="0094700D">
                <w:pPr>
                  <w:spacing w:after="0" w:line="240" w:lineRule="auto"/>
                  <w:jc w:val="center"/>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INICIAL</w:t>
                </w:r>
              </w:p>
            </w:tc>
            <w:tc>
              <w:tcPr>
                <w:tcW w:w="884" w:type="pct"/>
                <w:gridSpan w:val="2"/>
                <w:tcBorders>
                  <w:top w:val="single" w:sz="6" w:space="0" w:color="A6A6A6"/>
                  <w:left w:val="single" w:sz="6" w:space="0" w:color="A6A6A6"/>
                  <w:bottom w:val="single" w:sz="6" w:space="0" w:color="A6A6A6"/>
                  <w:right w:val="single" w:sz="6" w:space="0" w:color="A6A6A6"/>
                </w:tcBorders>
                <w:shd w:val="clear" w:color="auto" w:fill="auto"/>
                <w:vAlign w:val="center"/>
                <w:hideMark/>
              </w:tcPr>
              <w:p w14:paraId="68F9A6DE" w14:textId="77777777" w:rsidR="0094700D" w:rsidRPr="009A46BB" w:rsidRDefault="0094700D" w:rsidP="0094700D">
                <w:pPr>
                  <w:spacing w:after="0" w:line="240" w:lineRule="auto"/>
                  <w:jc w:val="center"/>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ADICIONES (CR)</w:t>
                </w:r>
              </w:p>
            </w:tc>
            <w:tc>
              <w:tcPr>
                <w:tcW w:w="1434" w:type="pct"/>
                <w:gridSpan w:val="3"/>
                <w:tcBorders>
                  <w:top w:val="single" w:sz="6" w:space="0" w:color="A6A6A6"/>
                  <w:left w:val="single" w:sz="6" w:space="0" w:color="A6A6A6"/>
                  <w:bottom w:val="single" w:sz="6" w:space="0" w:color="A6A6A6"/>
                  <w:right w:val="single" w:sz="6" w:space="0" w:color="A6A6A6"/>
                </w:tcBorders>
                <w:shd w:val="clear" w:color="auto" w:fill="auto"/>
                <w:vAlign w:val="center"/>
                <w:hideMark/>
              </w:tcPr>
              <w:p w14:paraId="4C8386C9" w14:textId="77777777" w:rsidR="0094700D" w:rsidRPr="009A46BB" w:rsidRDefault="0094700D" w:rsidP="0094700D">
                <w:pPr>
                  <w:spacing w:after="0" w:line="240" w:lineRule="auto"/>
                  <w:jc w:val="center"/>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DISMINUCIONES (DB)</w:t>
                </w:r>
              </w:p>
            </w:tc>
            <w:tc>
              <w:tcPr>
                <w:tcW w:w="663" w:type="pct"/>
                <w:tcBorders>
                  <w:top w:val="single" w:sz="6" w:space="0" w:color="A6A6A6"/>
                  <w:left w:val="single" w:sz="6" w:space="0" w:color="A6A6A6"/>
                  <w:bottom w:val="single" w:sz="6" w:space="0" w:color="A6A6A6"/>
                  <w:right w:val="single" w:sz="4" w:space="0" w:color="A6A6A6"/>
                </w:tcBorders>
                <w:shd w:val="clear" w:color="auto" w:fill="auto"/>
                <w:vAlign w:val="center"/>
                <w:hideMark/>
              </w:tcPr>
              <w:p w14:paraId="6CD6BBB0" w14:textId="77777777" w:rsidR="0094700D" w:rsidRPr="009A46BB" w:rsidRDefault="0094700D" w:rsidP="0094700D">
                <w:pPr>
                  <w:spacing w:after="0" w:line="240" w:lineRule="auto"/>
                  <w:jc w:val="center"/>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FINAL</w:t>
                </w:r>
              </w:p>
            </w:tc>
          </w:tr>
          <w:tr w:rsidR="0094700D" w:rsidRPr="0094700D" w14:paraId="34CF731F" w14:textId="77777777" w:rsidTr="00D62C56">
            <w:trPr>
              <w:cantSplit/>
              <w:trHeight w:val="1338"/>
              <w:jc w:val="center"/>
            </w:trPr>
            <w:tc>
              <w:tcPr>
                <w:tcW w:w="985" w:type="pct"/>
                <w:tcBorders>
                  <w:top w:val="single" w:sz="6" w:space="0" w:color="A6A6A6"/>
                  <w:left w:val="single" w:sz="4" w:space="0" w:color="A6A6A6"/>
                  <w:bottom w:val="single" w:sz="6" w:space="0" w:color="A6A6A6"/>
                  <w:right w:val="single" w:sz="6" w:space="0" w:color="A6A6A6"/>
                </w:tcBorders>
                <w:shd w:val="clear" w:color="auto" w:fill="auto"/>
                <w:textDirection w:val="btLr"/>
                <w:vAlign w:val="center"/>
                <w:hideMark/>
              </w:tcPr>
              <w:p w14:paraId="4E28F936" w14:textId="77777777" w:rsidR="0094700D" w:rsidRPr="009A46BB" w:rsidRDefault="0094700D" w:rsidP="00D62C56">
                <w:pPr>
                  <w:spacing w:after="0" w:line="240" w:lineRule="auto"/>
                  <w:ind w:left="113" w:right="113"/>
                  <w:jc w:val="center"/>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TIPO DE TERCEROS</w:t>
                </w:r>
              </w:p>
            </w:tc>
            <w:tc>
              <w:tcPr>
                <w:tcW w:w="255" w:type="pct"/>
                <w:tcBorders>
                  <w:top w:val="single" w:sz="6" w:space="0" w:color="A6A6A6"/>
                  <w:left w:val="single" w:sz="6" w:space="0" w:color="A6A6A6"/>
                  <w:bottom w:val="single" w:sz="6" w:space="0" w:color="A6A6A6"/>
                  <w:right w:val="single" w:sz="6" w:space="0" w:color="A6A6A6"/>
                </w:tcBorders>
                <w:shd w:val="clear" w:color="auto" w:fill="auto"/>
                <w:textDirection w:val="btLr"/>
                <w:vAlign w:val="center"/>
                <w:hideMark/>
              </w:tcPr>
              <w:p w14:paraId="14ED7645" w14:textId="77777777" w:rsidR="0094700D" w:rsidRPr="009A46BB" w:rsidRDefault="0094700D" w:rsidP="00D62C56">
                <w:pPr>
                  <w:spacing w:after="0" w:line="240" w:lineRule="auto"/>
                  <w:ind w:left="113" w:right="113"/>
                  <w:jc w:val="center"/>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PN / PJ / ECP</w:t>
                </w:r>
              </w:p>
            </w:tc>
            <w:tc>
              <w:tcPr>
                <w:tcW w:w="174" w:type="pct"/>
                <w:tcBorders>
                  <w:top w:val="single" w:sz="6" w:space="0" w:color="A6A6A6"/>
                  <w:left w:val="single" w:sz="6" w:space="0" w:color="A6A6A6"/>
                  <w:bottom w:val="single" w:sz="6" w:space="0" w:color="A6A6A6"/>
                  <w:right w:val="single" w:sz="6" w:space="0" w:color="A6A6A6"/>
                </w:tcBorders>
                <w:shd w:val="clear" w:color="auto" w:fill="auto"/>
                <w:textDirection w:val="btLr"/>
                <w:vAlign w:val="center"/>
                <w:hideMark/>
              </w:tcPr>
              <w:p w14:paraId="74DEECE3" w14:textId="77777777" w:rsidR="0094700D" w:rsidRPr="009A46BB" w:rsidRDefault="0094700D" w:rsidP="00D62C56">
                <w:pPr>
                  <w:spacing w:after="0" w:line="240" w:lineRule="auto"/>
                  <w:ind w:left="113" w:right="113"/>
                  <w:jc w:val="center"/>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CANTIDAD</w:t>
                </w:r>
              </w:p>
            </w:tc>
            <w:tc>
              <w:tcPr>
                <w:tcW w:w="605" w:type="pct"/>
                <w:tcBorders>
                  <w:top w:val="single" w:sz="6" w:space="0" w:color="A6A6A6"/>
                  <w:left w:val="single" w:sz="6" w:space="0" w:color="A6A6A6"/>
                  <w:bottom w:val="single" w:sz="6" w:space="0" w:color="A6A6A6"/>
                  <w:right w:val="single" w:sz="6" w:space="0" w:color="A6A6A6"/>
                </w:tcBorders>
                <w:shd w:val="clear" w:color="auto" w:fill="auto"/>
                <w:textDirection w:val="btLr"/>
                <w:vAlign w:val="center"/>
                <w:hideMark/>
              </w:tcPr>
              <w:p w14:paraId="2732A6AB" w14:textId="77777777" w:rsidR="0094700D" w:rsidRPr="009A46BB" w:rsidRDefault="0094700D" w:rsidP="00D62C56">
                <w:pPr>
                  <w:spacing w:after="0" w:line="240" w:lineRule="auto"/>
                  <w:ind w:left="113" w:right="113"/>
                  <w:jc w:val="center"/>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SALDO INICIAL</w:t>
                </w:r>
              </w:p>
            </w:tc>
            <w:tc>
              <w:tcPr>
                <w:tcW w:w="429" w:type="pct"/>
                <w:tcBorders>
                  <w:top w:val="single" w:sz="6" w:space="0" w:color="A6A6A6"/>
                  <w:left w:val="single" w:sz="6" w:space="0" w:color="A6A6A6"/>
                  <w:bottom w:val="single" w:sz="6" w:space="0" w:color="A6A6A6"/>
                  <w:right w:val="single" w:sz="6" w:space="0" w:color="A6A6A6"/>
                </w:tcBorders>
                <w:shd w:val="clear" w:color="auto" w:fill="auto"/>
                <w:textDirection w:val="btLr"/>
                <w:vAlign w:val="center"/>
                <w:hideMark/>
              </w:tcPr>
              <w:p w14:paraId="5D30BEAB" w14:textId="77777777" w:rsidR="0094700D" w:rsidRPr="009A46BB" w:rsidRDefault="0094700D" w:rsidP="00D62C56">
                <w:pPr>
                  <w:spacing w:after="0" w:line="240" w:lineRule="auto"/>
                  <w:ind w:left="113" w:right="113"/>
                  <w:jc w:val="center"/>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INCREMENTO DE LA PROVISIÓN</w:t>
                </w:r>
              </w:p>
            </w:tc>
            <w:tc>
              <w:tcPr>
                <w:tcW w:w="455" w:type="pct"/>
                <w:tcBorders>
                  <w:top w:val="single" w:sz="6" w:space="0" w:color="A6A6A6"/>
                  <w:left w:val="single" w:sz="6" w:space="0" w:color="A6A6A6"/>
                  <w:bottom w:val="single" w:sz="6" w:space="0" w:color="A6A6A6"/>
                  <w:right w:val="single" w:sz="6" w:space="0" w:color="A6A6A6"/>
                </w:tcBorders>
                <w:shd w:val="clear" w:color="auto" w:fill="auto"/>
                <w:textDirection w:val="btLr"/>
                <w:vAlign w:val="center"/>
                <w:hideMark/>
              </w:tcPr>
              <w:p w14:paraId="320F8A14" w14:textId="77777777" w:rsidR="0094700D" w:rsidRPr="009A46BB" w:rsidRDefault="0094700D" w:rsidP="00D62C56">
                <w:pPr>
                  <w:spacing w:after="0" w:line="240" w:lineRule="auto"/>
                  <w:ind w:left="113" w:right="113"/>
                  <w:jc w:val="center"/>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AJUSTES POR CAMBIOS EN LA MEDICIÓN</w:t>
                </w:r>
              </w:p>
            </w:tc>
            <w:tc>
              <w:tcPr>
                <w:tcW w:w="605" w:type="pct"/>
                <w:tcBorders>
                  <w:top w:val="single" w:sz="6" w:space="0" w:color="A6A6A6"/>
                  <w:left w:val="single" w:sz="6" w:space="0" w:color="A6A6A6"/>
                  <w:bottom w:val="single" w:sz="6" w:space="0" w:color="A6A6A6"/>
                  <w:right w:val="single" w:sz="6" w:space="0" w:color="A6A6A6"/>
                </w:tcBorders>
                <w:shd w:val="clear" w:color="auto" w:fill="auto"/>
                <w:textDirection w:val="btLr"/>
                <w:vAlign w:val="center"/>
                <w:hideMark/>
              </w:tcPr>
              <w:p w14:paraId="1930E095" w14:textId="77777777" w:rsidR="0094700D" w:rsidRPr="009A46BB" w:rsidRDefault="0094700D" w:rsidP="00D62C56">
                <w:pPr>
                  <w:spacing w:after="0" w:line="240" w:lineRule="auto"/>
                  <w:ind w:left="113" w:right="113"/>
                  <w:jc w:val="center"/>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DECREMENTOS DE LA PROVISIÓN</w:t>
                </w:r>
              </w:p>
            </w:tc>
            <w:tc>
              <w:tcPr>
                <w:tcW w:w="224" w:type="pct"/>
                <w:tcBorders>
                  <w:top w:val="single" w:sz="6" w:space="0" w:color="A6A6A6"/>
                  <w:left w:val="single" w:sz="6" w:space="0" w:color="A6A6A6"/>
                  <w:bottom w:val="single" w:sz="6" w:space="0" w:color="A6A6A6"/>
                  <w:right w:val="single" w:sz="6" w:space="0" w:color="A6A6A6"/>
                </w:tcBorders>
                <w:shd w:val="clear" w:color="auto" w:fill="auto"/>
                <w:textDirection w:val="btLr"/>
                <w:vAlign w:val="center"/>
                <w:hideMark/>
              </w:tcPr>
              <w:p w14:paraId="03247A44" w14:textId="77777777" w:rsidR="0094700D" w:rsidRPr="009A46BB" w:rsidRDefault="0094700D" w:rsidP="00D62C56">
                <w:pPr>
                  <w:spacing w:after="0" w:line="240" w:lineRule="auto"/>
                  <w:ind w:left="113" w:right="113"/>
                  <w:jc w:val="center"/>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AJUSTES POR CAMBIOS EN LA MEDICIÓN</w:t>
                </w:r>
              </w:p>
            </w:tc>
            <w:tc>
              <w:tcPr>
                <w:tcW w:w="605" w:type="pct"/>
                <w:tcBorders>
                  <w:top w:val="single" w:sz="6" w:space="0" w:color="A6A6A6"/>
                  <w:left w:val="single" w:sz="6" w:space="0" w:color="A6A6A6"/>
                  <w:bottom w:val="single" w:sz="6" w:space="0" w:color="A6A6A6"/>
                  <w:right w:val="single" w:sz="6" w:space="0" w:color="A6A6A6"/>
                </w:tcBorders>
                <w:shd w:val="clear" w:color="auto" w:fill="auto"/>
                <w:textDirection w:val="btLr"/>
                <w:vAlign w:val="center"/>
                <w:hideMark/>
              </w:tcPr>
              <w:p w14:paraId="297336C8" w14:textId="77777777" w:rsidR="0094700D" w:rsidRPr="009A46BB" w:rsidRDefault="0094700D" w:rsidP="00D62C56">
                <w:pPr>
                  <w:spacing w:after="0" w:line="240" w:lineRule="auto"/>
                  <w:ind w:left="113" w:right="113"/>
                  <w:jc w:val="center"/>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VALORES NO UTILIZADOS, O REVERSADOS DEL PERIODO</w:t>
                </w:r>
              </w:p>
            </w:tc>
            <w:tc>
              <w:tcPr>
                <w:tcW w:w="663" w:type="pct"/>
                <w:tcBorders>
                  <w:top w:val="single" w:sz="6" w:space="0" w:color="A6A6A6"/>
                  <w:left w:val="single" w:sz="6" w:space="0" w:color="A6A6A6"/>
                  <w:bottom w:val="single" w:sz="6" w:space="0" w:color="A6A6A6"/>
                  <w:right w:val="single" w:sz="4" w:space="0" w:color="A6A6A6"/>
                </w:tcBorders>
                <w:shd w:val="clear" w:color="auto" w:fill="auto"/>
                <w:textDirection w:val="btLr"/>
                <w:vAlign w:val="center"/>
                <w:hideMark/>
              </w:tcPr>
              <w:p w14:paraId="4409535A" w14:textId="77777777" w:rsidR="0094700D" w:rsidRPr="009A46BB" w:rsidRDefault="0094700D" w:rsidP="00D62C56">
                <w:pPr>
                  <w:spacing w:after="0" w:line="240" w:lineRule="auto"/>
                  <w:ind w:left="113" w:right="113"/>
                  <w:jc w:val="center"/>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SALDO FINAL</w:t>
                </w:r>
              </w:p>
            </w:tc>
          </w:tr>
          <w:tr w:rsidR="0094700D" w:rsidRPr="0094700D" w14:paraId="54953058" w14:textId="77777777" w:rsidTr="00D62C56">
            <w:trPr>
              <w:trHeight w:val="285"/>
              <w:jc w:val="center"/>
            </w:trPr>
            <w:tc>
              <w:tcPr>
                <w:tcW w:w="985" w:type="pct"/>
                <w:tcBorders>
                  <w:top w:val="single" w:sz="6" w:space="0" w:color="A6A6A6"/>
                  <w:left w:val="single" w:sz="4" w:space="0" w:color="A6A6A6"/>
                  <w:bottom w:val="single" w:sz="6" w:space="0" w:color="A6A6A6"/>
                  <w:right w:val="single" w:sz="6" w:space="0" w:color="A6A6A6"/>
                </w:tcBorders>
                <w:shd w:val="clear" w:color="auto" w:fill="auto"/>
                <w:noWrap/>
                <w:vAlign w:val="center"/>
                <w:hideMark/>
              </w:tcPr>
              <w:p w14:paraId="1580346C" w14:textId="77777777" w:rsidR="0094700D" w:rsidRPr="009A46BB" w:rsidRDefault="0094700D" w:rsidP="0094700D">
                <w:pPr>
                  <w:spacing w:after="0" w:line="240" w:lineRule="auto"/>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LITIGIOS Y DEMANDAS</w:t>
                </w:r>
              </w:p>
            </w:tc>
            <w:tc>
              <w:tcPr>
                <w:tcW w:w="255"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7267C3A3" w14:textId="77777777" w:rsidR="0094700D" w:rsidRPr="009A46BB" w:rsidRDefault="0094700D" w:rsidP="0094700D">
                <w:pPr>
                  <w:spacing w:after="0" w:line="240" w:lineRule="auto"/>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 </w:t>
                </w:r>
              </w:p>
            </w:tc>
            <w:tc>
              <w:tcPr>
                <w:tcW w:w="174"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11C92B18" w14:textId="77777777" w:rsidR="0094700D" w:rsidRPr="009A46BB" w:rsidRDefault="0094700D" w:rsidP="0094700D">
                <w:pPr>
                  <w:spacing w:after="0" w:line="240" w:lineRule="auto"/>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 </w:t>
                </w:r>
              </w:p>
            </w:tc>
            <w:tc>
              <w:tcPr>
                <w:tcW w:w="605"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6D86FA54" w14:textId="77777777" w:rsidR="0094700D" w:rsidRPr="009A46BB" w:rsidRDefault="0094700D" w:rsidP="0094700D">
                <w:pPr>
                  <w:spacing w:after="0" w:line="240" w:lineRule="auto"/>
                  <w:jc w:val="right"/>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 xml:space="preserve">752.937.312.700 </w:t>
                </w:r>
              </w:p>
            </w:tc>
            <w:tc>
              <w:tcPr>
                <w:tcW w:w="429"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6E3E54B6" w14:textId="77777777" w:rsidR="0094700D" w:rsidRPr="009A46BB" w:rsidRDefault="0094700D" w:rsidP="0094700D">
                <w:pPr>
                  <w:spacing w:after="0" w:line="240" w:lineRule="auto"/>
                  <w:jc w:val="right"/>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 xml:space="preserve">1.944.078.980.191 </w:t>
                </w:r>
              </w:p>
            </w:tc>
            <w:tc>
              <w:tcPr>
                <w:tcW w:w="455"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6844AF0B" w14:textId="77777777" w:rsidR="0094700D" w:rsidRPr="009A46BB" w:rsidRDefault="0094700D" w:rsidP="0094700D">
                <w:pPr>
                  <w:spacing w:after="0" w:line="240" w:lineRule="auto"/>
                  <w:jc w:val="right"/>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 xml:space="preserve">0 </w:t>
                </w:r>
              </w:p>
            </w:tc>
            <w:tc>
              <w:tcPr>
                <w:tcW w:w="605"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2DFC2C9D" w14:textId="77777777" w:rsidR="0094700D" w:rsidRPr="009A46BB" w:rsidRDefault="0094700D" w:rsidP="0094700D">
                <w:pPr>
                  <w:spacing w:after="0" w:line="240" w:lineRule="auto"/>
                  <w:jc w:val="right"/>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 xml:space="preserve">344.158.672.498 </w:t>
                </w:r>
              </w:p>
            </w:tc>
            <w:tc>
              <w:tcPr>
                <w:tcW w:w="224"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3E4840ED" w14:textId="77777777" w:rsidR="0094700D" w:rsidRPr="009A46BB" w:rsidRDefault="0094700D" w:rsidP="0094700D">
                <w:pPr>
                  <w:spacing w:after="0" w:line="240" w:lineRule="auto"/>
                  <w:jc w:val="right"/>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 xml:space="preserve">0 </w:t>
                </w:r>
              </w:p>
            </w:tc>
            <w:tc>
              <w:tcPr>
                <w:tcW w:w="605"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74EF9F48" w14:textId="77777777" w:rsidR="0094700D" w:rsidRPr="009A46BB" w:rsidRDefault="0094700D" w:rsidP="0094700D">
                <w:pPr>
                  <w:spacing w:after="0" w:line="240" w:lineRule="auto"/>
                  <w:jc w:val="right"/>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 xml:space="preserve">143.532.836.719 </w:t>
                </w:r>
              </w:p>
            </w:tc>
            <w:tc>
              <w:tcPr>
                <w:tcW w:w="663" w:type="pct"/>
                <w:tcBorders>
                  <w:top w:val="single" w:sz="6" w:space="0" w:color="A6A6A6"/>
                  <w:left w:val="single" w:sz="6" w:space="0" w:color="A6A6A6"/>
                  <w:bottom w:val="single" w:sz="6" w:space="0" w:color="A6A6A6"/>
                  <w:right w:val="single" w:sz="4" w:space="0" w:color="A6A6A6"/>
                </w:tcBorders>
                <w:shd w:val="clear" w:color="auto" w:fill="auto"/>
                <w:noWrap/>
                <w:vAlign w:val="center"/>
                <w:hideMark/>
              </w:tcPr>
              <w:p w14:paraId="27BE8F89" w14:textId="77777777" w:rsidR="0094700D" w:rsidRPr="009A46BB" w:rsidRDefault="0094700D" w:rsidP="0094700D">
                <w:pPr>
                  <w:spacing w:after="0" w:line="240" w:lineRule="auto"/>
                  <w:jc w:val="right"/>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 xml:space="preserve">2.209.324.783.674 </w:t>
                </w:r>
              </w:p>
            </w:tc>
          </w:tr>
          <w:tr w:rsidR="0094700D" w:rsidRPr="0094700D" w14:paraId="7397F928" w14:textId="77777777" w:rsidTr="00D62C56">
            <w:trPr>
              <w:trHeight w:val="285"/>
              <w:jc w:val="center"/>
            </w:trPr>
            <w:tc>
              <w:tcPr>
                <w:tcW w:w="985" w:type="pct"/>
                <w:tcBorders>
                  <w:top w:val="single" w:sz="6" w:space="0" w:color="A6A6A6"/>
                  <w:left w:val="single" w:sz="4" w:space="0" w:color="A6A6A6"/>
                  <w:bottom w:val="single" w:sz="6" w:space="0" w:color="A6A6A6"/>
                  <w:right w:val="single" w:sz="6" w:space="0" w:color="A6A6A6"/>
                </w:tcBorders>
                <w:shd w:val="clear" w:color="auto" w:fill="auto"/>
                <w:noWrap/>
                <w:vAlign w:val="center"/>
                <w:hideMark/>
              </w:tcPr>
              <w:p w14:paraId="7A6C74EF" w14:textId="77777777" w:rsidR="0094700D" w:rsidRPr="009A46BB" w:rsidRDefault="0094700D" w:rsidP="0094700D">
                <w:pPr>
                  <w:spacing w:after="0" w:line="240" w:lineRule="auto"/>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lastRenderedPageBreak/>
                  <w:t>Civiles</w:t>
                </w:r>
              </w:p>
            </w:tc>
            <w:tc>
              <w:tcPr>
                <w:tcW w:w="255"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2DCEF447" w14:textId="77777777" w:rsidR="0094700D" w:rsidRPr="009A46BB" w:rsidRDefault="0094700D" w:rsidP="0094700D">
                <w:pPr>
                  <w:spacing w:after="0" w:line="240" w:lineRule="auto"/>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 </w:t>
                </w:r>
              </w:p>
            </w:tc>
            <w:tc>
              <w:tcPr>
                <w:tcW w:w="174"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777E2094" w14:textId="77777777" w:rsidR="0094700D" w:rsidRPr="009A46BB" w:rsidRDefault="0094700D" w:rsidP="0094700D">
                <w:pPr>
                  <w:spacing w:after="0" w:line="240" w:lineRule="auto"/>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 </w:t>
                </w:r>
              </w:p>
            </w:tc>
            <w:tc>
              <w:tcPr>
                <w:tcW w:w="605"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3CB4D756" w14:textId="77777777" w:rsidR="0094700D" w:rsidRPr="009A46BB" w:rsidRDefault="0094700D" w:rsidP="0094700D">
                <w:pPr>
                  <w:spacing w:after="0" w:line="240" w:lineRule="auto"/>
                  <w:jc w:val="right"/>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 xml:space="preserve">8.649.436.071 </w:t>
                </w:r>
              </w:p>
            </w:tc>
            <w:tc>
              <w:tcPr>
                <w:tcW w:w="429"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00B5C49B" w14:textId="77777777" w:rsidR="0094700D" w:rsidRPr="009A46BB" w:rsidRDefault="0094700D" w:rsidP="0094700D">
                <w:pPr>
                  <w:spacing w:after="0" w:line="240" w:lineRule="auto"/>
                  <w:jc w:val="right"/>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 xml:space="preserve">95.010.941 </w:t>
                </w:r>
              </w:p>
            </w:tc>
            <w:tc>
              <w:tcPr>
                <w:tcW w:w="455"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584410ED" w14:textId="77777777" w:rsidR="0094700D" w:rsidRPr="009A46BB" w:rsidRDefault="0094700D" w:rsidP="0094700D">
                <w:pPr>
                  <w:spacing w:after="0" w:line="240" w:lineRule="auto"/>
                  <w:jc w:val="right"/>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 xml:space="preserve">0 </w:t>
                </w:r>
              </w:p>
            </w:tc>
            <w:tc>
              <w:tcPr>
                <w:tcW w:w="605"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464A2ACA" w14:textId="77777777" w:rsidR="0094700D" w:rsidRPr="009A46BB" w:rsidRDefault="0094700D" w:rsidP="0094700D">
                <w:pPr>
                  <w:spacing w:after="0" w:line="240" w:lineRule="auto"/>
                  <w:jc w:val="right"/>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 xml:space="preserve">781.358.471 </w:t>
                </w:r>
              </w:p>
            </w:tc>
            <w:tc>
              <w:tcPr>
                <w:tcW w:w="224"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265872C2" w14:textId="77777777" w:rsidR="0094700D" w:rsidRPr="009A46BB" w:rsidRDefault="0094700D" w:rsidP="0094700D">
                <w:pPr>
                  <w:spacing w:after="0" w:line="240" w:lineRule="auto"/>
                  <w:jc w:val="right"/>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 xml:space="preserve">0 </w:t>
                </w:r>
              </w:p>
            </w:tc>
            <w:tc>
              <w:tcPr>
                <w:tcW w:w="605"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2A373B1E" w14:textId="77777777" w:rsidR="0094700D" w:rsidRPr="009A46BB" w:rsidRDefault="0094700D" w:rsidP="0094700D">
                <w:pPr>
                  <w:spacing w:after="0" w:line="240" w:lineRule="auto"/>
                  <w:jc w:val="right"/>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 xml:space="preserve">0 </w:t>
                </w:r>
              </w:p>
            </w:tc>
            <w:tc>
              <w:tcPr>
                <w:tcW w:w="663" w:type="pct"/>
                <w:tcBorders>
                  <w:top w:val="single" w:sz="6" w:space="0" w:color="A6A6A6"/>
                  <w:left w:val="single" w:sz="6" w:space="0" w:color="A6A6A6"/>
                  <w:bottom w:val="single" w:sz="6" w:space="0" w:color="A6A6A6"/>
                  <w:right w:val="single" w:sz="4" w:space="0" w:color="A6A6A6"/>
                </w:tcBorders>
                <w:shd w:val="clear" w:color="auto" w:fill="auto"/>
                <w:noWrap/>
                <w:vAlign w:val="center"/>
                <w:hideMark/>
              </w:tcPr>
              <w:p w14:paraId="23E3C20C" w14:textId="77777777" w:rsidR="0094700D" w:rsidRPr="009A46BB" w:rsidRDefault="0094700D" w:rsidP="0094700D">
                <w:pPr>
                  <w:spacing w:after="0" w:line="240" w:lineRule="auto"/>
                  <w:jc w:val="right"/>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 xml:space="preserve">7.963.088.541 </w:t>
                </w:r>
              </w:p>
            </w:tc>
          </w:tr>
          <w:tr w:rsidR="0094700D" w:rsidRPr="0094700D" w14:paraId="573D21E6" w14:textId="77777777" w:rsidTr="00D62C56">
            <w:trPr>
              <w:trHeight w:val="300"/>
              <w:jc w:val="center"/>
            </w:trPr>
            <w:tc>
              <w:tcPr>
                <w:tcW w:w="985" w:type="pct"/>
                <w:tcBorders>
                  <w:top w:val="single" w:sz="6" w:space="0" w:color="A6A6A6"/>
                  <w:left w:val="single" w:sz="4" w:space="0" w:color="A6A6A6"/>
                  <w:bottom w:val="single" w:sz="6" w:space="0" w:color="A6A6A6"/>
                  <w:right w:val="single" w:sz="6" w:space="0" w:color="A6A6A6"/>
                </w:tcBorders>
                <w:shd w:val="clear" w:color="auto" w:fill="auto"/>
                <w:vAlign w:val="center"/>
                <w:hideMark/>
              </w:tcPr>
              <w:p w14:paraId="283E7994" w14:textId="77777777" w:rsidR="0094700D" w:rsidRPr="009A46BB" w:rsidRDefault="0094700D" w:rsidP="0094700D">
                <w:pPr>
                  <w:spacing w:after="0" w:line="240" w:lineRule="auto"/>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Nacionales</w:t>
                </w:r>
              </w:p>
            </w:tc>
            <w:tc>
              <w:tcPr>
                <w:tcW w:w="255"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7FCAFAF4" w14:textId="77777777" w:rsidR="0094700D" w:rsidRPr="009A46BB" w:rsidRDefault="0094700D" w:rsidP="0094700D">
                <w:pPr>
                  <w:spacing w:after="0" w:line="240" w:lineRule="auto"/>
                  <w:jc w:val="center"/>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PJ</w:t>
                </w:r>
              </w:p>
            </w:tc>
            <w:tc>
              <w:tcPr>
                <w:tcW w:w="174"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290A5AD4" w14:textId="77777777" w:rsidR="0094700D" w:rsidRPr="009A46BB" w:rsidRDefault="0094700D" w:rsidP="0094700D">
                <w:pPr>
                  <w:spacing w:after="0" w:line="240" w:lineRule="auto"/>
                  <w:jc w:val="center"/>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9</w:t>
                </w:r>
              </w:p>
            </w:tc>
            <w:tc>
              <w:tcPr>
                <w:tcW w:w="605"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0D4B37FB" w14:textId="77777777" w:rsidR="0094700D" w:rsidRPr="009A46BB" w:rsidRDefault="0094700D" w:rsidP="0094700D">
                <w:pPr>
                  <w:spacing w:after="0" w:line="240" w:lineRule="auto"/>
                  <w:jc w:val="right"/>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 xml:space="preserve">8.649.436.071 </w:t>
                </w:r>
              </w:p>
            </w:tc>
            <w:tc>
              <w:tcPr>
                <w:tcW w:w="429"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19AF5E2B" w14:textId="77777777" w:rsidR="0094700D" w:rsidRPr="009A46BB" w:rsidRDefault="0094700D" w:rsidP="0094700D">
                <w:pPr>
                  <w:spacing w:after="0" w:line="240" w:lineRule="auto"/>
                  <w:jc w:val="right"/>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 xml:space="preserve">95.010.941 </w:t>
                </w:r>
              </w:p>
            </w:tc>
            <w:tc>
              <w:tcPr>
                <w:tcW w:w="455"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77BC641F" w14:textId="77777777" w:rsidR="0094700D" w:rsidRPr="009A46BB" w:rsidRDefault="0094700D" w:rsidP="0094700D">
                <w:pPr>
                  <w:spacing w:after="0" w:line="240" w:lineRule="auto"/>
                  <w:jc w:val="right"/>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 xml:space="preserve">0 </w:t>
                </w:r>
              </w:p>
            </w:tc>
            <w:tc>
              <w:tcPr>
                <w:tcW w:w="605"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1159E490" w14:textId="77777777" w:rsidR="0094700D" w:rsidRPr="009A46BB" w:rsidRDefault="0094700D" w:rsidP="0094700D">
                <w:pPr>
                  <w:spacing w:after="0" w:line="240" w:lineRule="auto"/>
                  <w:jc w:val="right"/>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 xml:space="preserve">781.358.471 </w:t>
                </w:r>
              </w:p>
            </w:tc>
            <w:tc>
              <w:tcPr>
                <w:tcW w:w="224"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40A21FFC" w14:textId="77777777" w:rsidR="0094700D" w:rsidRPr="009A46BB" w:rsidRDefault="0094700D" w:rsidP="0094700D">
                <w:pPr>
                  <w:spacing w:after="0" w:line="240" w:lineRule="auto"/>
                  <w:jc w:val="right"/>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 xml:space="preserve">0 </w:t>
                </w:r>
              </w:p>
            </w:tc>
            <w:tc>
              <w:tcPr>
                <w:tcW w:w="605"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26B1DED0" w14:textId="77777777" w:rsidR="0094700D" w:rsidRPr="009A46BB" w:rsidRDefault="0094700D" w:rsidP="0094700D">
                <w:pPr>
                  <w:spacing w:after="0" w:line="240" w:lineRule="auto"/>
                  <w:jc w:val="right"/>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 xml:space="preserve">0 </w:t>
                </w:r>
              </w:p>
            </w:tc>
            <w:tc>
              <w:tcPr>
                <w:tcW w:w="663" w:type="pct"/>
                <w:tcBorders>
                  <w:top w:val="single" w:sz="6" w:space="0" w:color="A6A6A6"/>
                  <w:left w:val="single" w:sz="6" w:space="0" w:color="A6A6A6"/>
                  <w:bottom w:val="single" w:sz="6" w:space="0" w:color="A6A6A6"/>
                  <w:right w:val="single" w:sz="4" w:space="0" w:color="A6A6A6"/>
                </w:tcBorders>
                <w:shd w:val="clear" w:color="auto" w:fill="auto"/>
                <w:noWrap/>
                <w:vAlign w:val="center"/>
                <w:hideMark/>
              </w:tcPr>
              <w:p w14:paraId="10BDAA5B" w14:textId="77777777" w:rsidR="0094700D" w:rsidRPr="009A46BB" w:rsidRDefault="0094700D" w:rsidP="0094700D">
                <w:pPr>
                  <w:spacing w:after="0" w:line="240" w:lineRule="auto"/>
                  <w:jc w:val="right"/>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 xml:space="preserve">7.963.088.541 </w:t>
                </w:r>
              </w:p>
            </w:tc>
          </w:tr>
          <w:tr w:rsidR="0094700D" w:rsidRPr="0094700D" w14:paraId="500AEECF" w14:textId="77777777" w:rsidTr="00D62C56">
            <w:trPr>
              <w:trHeight w:val="285"/>
              <w:jc w:val="center"/>
            </w:trPr>
            <w:tc>
              <w:tcPr>
                <w:tcW w:w="985" w:type="pct"/>
                <w:tcBorders>
                  <w:top w:val="single" w:sz="6" w:space="0" w:color="A6A6A6"/>
                  <w:left w:val="single" w:sz="4" w:space="0" w:color="A6A6A6"/>
                  <w:bottom w:val="single" w:sz="6" w:space="0" w:color="A6A6A6"/>
                  <w:right w:val="single" w:sz="6" w:space="0" w:color="A6A6A6"/>
                </w:tcBorders>
                <w:shd w:val="clear" w:color="auto" w:fill="auto"/>
                <w:noWrap/>
                <w:vAlign w:val="center"/>
                <w:hideMark/>
              </w:tcPr>
              <w:p w14:paraId="5F4A6146" w14:textId="77777777" w:rsidR="0094700D" w:rsidRPr="009A46BB" w:rsidRDefault="0094700D" w:rsidP="0094700D">
                <w:pPr>
                  <w:spacing w:after="0" w:line="240" w:lineRule="auto"/>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Administrativas</w:t>
                </w:r>
              </w:p>
            </w:tc>
            <w:tc>
              <w:tcPr>
                <w:tcW w:w="255"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4382A9C6" w14:textId="77777777" w:rsidR="0094700D" w:rsidRPr="009A46BB" w:rsidRDefault="0094700D" w:rsidP="0094700D">
                <w:pPr>
                  <w:spacing w:after="0" w:line="240" w:lineRule="auto"/>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 </w:t>
                </w:r>
              </w:p>
            </w:tc>
            <w:tc>
              <w:tcPr>
                <w:tcW w:w="174"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06B7E7A0" w14:textId="77777777" w:rsidR="0094700D" w:rsidRPr="009A46BB" w:rsidRDefault="0094700D" w:rsidP="0094700D">
                <w:pPr>
                  <w:spacing w:after="0" w:line="240" w:lineRule="auto"/>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 </w:t>
                </w:r>
              </w:p>
            </w:tc>
            <w:tc>
              <w:tcPr>
                <w:tcW w:w="605"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583D9EAB" w14:textId="77777777" w:rsidR="0094700D" w:rsidRPr="009A46BB" w:rsidRDefault="0094700D" w:rsidP="0094700D">
                <w:pPr>
                  <w:spacing w:after="0" w:line="240" w:lineRule="auto"/>
                  <w:jc w:val="right"/>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 xml:space="preserve">91.888.305.771 </w:t>
                </w:r>
              </w:p>
            </w:tc>
            <w:tc>
              <w:tcPr>
                <w:tcW w:w="429"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4EFCF324" w14:textId="77777777" w:rsidR="0094700D" w:rsidRPr="009A46BB" w:rsidRDefault="0094700D" w:rsidP="0094700D">
                <w:pPr>
                  <w:spacing w:after="0" w:line="240" w:lineRule="auto"/>
                  <w:jc w:val="right"/>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 xml:space="preserve">1.240.301.009.922 </w:t>
                </w:r>
              </w:p>
            </w:tc>
            <w:tc>
              <w:tcPr>
                <w:tcW w:w="455"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590890EE" w14:textId="77777777" w:rsidR="0094700D" w:rsidRPr="009A46BB" w:rsidRDefault="0094700D" w:rsidP="0094700D">
                <w:pPr>
                  <w:spacing w:after="0" w:line="240" w:lineRule="auto"/>
                  <w:jc w:val="right"/>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 xml:space="preserve">0 </w:t>
                </w:r>
              </w:p>
            </w:tc>
            <w:tc>
              <w:tcPr>
                <w:tcW w:w="605"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38ACE708" w14:textId="77777777" w:rsidR="0094700D" w:rsidRPr="009A46BB" w:rsidRDefault="0094700D" w:rsidP="0094700D">
                <w:pPr>
                  <w:spacing w:after="0" w:line="240" w:lineRule="auto"/>
                  <w:jc w:val="right"/>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 xml:space="preserve">23.697.888.728 </w:t>
                </w:r>
              </w:p>
            </w:tc>
            <w:tc>
              <w:tcPr>
                <w:tcW w:w="224"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5C27FF50" w14:textId="77777777" w:rsidR="0094700D" w:rsidRPr="009A46BB" w:rsidRDefault="0094700D" w:rsidP="0094700D">
                <w:pPr>
                  <w:spacing w:after="0" w:line="240" w:lineRule="auto"/>
                  <w:jc w:val="right"/>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 xml:space="preserve">0 </w:t>
                </w:r>
              </w:p>
            </w:tc>
            <w:tc>
              <w:tcPr>
                <w:tcW w:w="605"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057A7F00" w14:textId="77777777" w:rsidR="0094700D" w:rsidRPr="009A46BB" w:rsidRDefault="0094700D" w:rsidP="0094700D">
                <w:pPr>
                  <w:spacing w:after="0" w:line="240" w:lineRule="auto"/>
                  <w:jc w:val="right"/>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 xml:space="preserve">4.664.798.863 </w:t>
                </w:r>
              </w:p>
            </w:tc>
            <w:tc>
              <w:tcPr>
                <w:tcW w:w="663" w:type="pct"/>
                <w:tcBorders>
                  <w:top w:val="single" w:sz="6" w:space="0" w:color="A6A6A6"/>
                  <w:left w:val="single" w:sz="6" w:space="0" w:color="A6A6A6"/>
                  <w:bottom w:val="single" w:sz="6" w:space="0" w:color="A6A6A6"/>
                  <w:right w:val="single" w:sz="4" w:space="0" w:color="A6A6A6"/>
                </w:tcBorders>
                <w:shd w:val="clear" w:color="auto" w:fill="auto"/>
                <w:noWrap/>
                <w:vAlign w:val="center"/>
                <w:hideMark/>
              </w:tcPr>
              <w:p w14:paraId="4766DBCC" w14:textId="77777777" w:rsidR="0094700D" w:rsidRPr="009A46BB" w:rsidRDefault="0094700D" w:rsidP="0094700D">
                <w:pPr>
                  <w:spacing w:after="0" w:line="240" w:lineRule="auto"/>
                  <w:jc w:val="right"/>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 xml:space="preserve">1.303.826.628.102 </w:t>
                </w:r>
              </w:p>
            </w:tc>
          </w:tr>
          <w:tr w:rsidR="0094700D" w:rsidRPr="0094700D" w14:paraId="59822D4A" w14:textId="77777777" w:rsidTr="00D62C56">
            <w:trPr>
              <w:trHeight w:val="300"/>
              <w:jc w:val="center"/>
            </w:trPr>
            <w:tc>
              <w:tcPr>
                <w:tcW w:w="985" w:type="pct"/>
                <w:tcBorders>
                  <w:top w:val="single" w:sz="6" w:space="0" w:color="A6A6A6"/>
                  <w:left w:val="single" w:sz="4" w:space="0" w:color="A6A6A6"/>
                  <w:bottom w:val="single" w:sz="6" w:space="0" w:color="A6A6A6"/>
                  <w:right w:val="single" w:sz="6" w:space="0" w:color="A6A6A6"/>
                </w:tcBorders>
                <w:shd w:val="clear" w:color="auto" w:fill="auto"/>
                <w:vAlign w:val="center"/>
                <w:hideMark/>
              </w:tcPr>
              <w:p w14:paraId="4E7862E6" w14:textId="77777777" w:rsidR="0094700D" w:rsidRPr="009A46BB" w:rsidRDefault="0094700D" w:rsidP="0094700D">
                <w:pPr>
                  <w:spacing w:after="0" w:line="240" w:lineRule="auto"/>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Nacionales</w:t>
                </w:r>
              </w:p>
            </w:tc>
            <w:tc>
              <w:tcPr>
                <w:tcW w:w="255"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7B76FA60" w14:textId="77777777" w:rsidR="0094700D" w:rsidRPr="009A46BB" w:rsidRDefault="0094700D" w:rsidP="0094700D">
                <w:pPr>
                  <w:spacing w:after="0" w:line="240" w:lineRule="auto"/>
                  <w:jc w:val="center"/>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PN</w:t>
                </w:r>
              </w:p>
            </w:tc>
            <w:tc>
              <w:tcPr>
                <w:tcW w:w="174"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1E703980" w14:textId="77777777" w:rsidR="0094700D" w:rsidRPr="009A46BB" w:rsidRDefault="0094700D" w:rsidP="0094700D">
                <w:pPr>
                  <w:spacing w:after="0" w:line="240" w:lineRule="auto"/>
                  <w:jc w:val="center"/>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67</w:t>
                </w:r>
              </w:p>
            </w:tc>
            <w:tc>
              <w:tcPr>
                <w:tcW w:w="605"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525AAA75" w14:textId="77777777" w:rsidR="0094700D" w:rsidRPr="009A46BB" w:rsidRDefault="0094700D" w:rsidP="0094700D">
                <w:pPr>
                  <w:spacing w:after="0" w:line="240" w:lineRule="auto"/>
                  <w:jc w:val="right"/>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 xml:space="preserve">44.963.936.540 </w:t>
                </w:r>
              </w:p>
            </w:tc>
            <w:tc>
              <w:tcPr>
                <w:tcW w:w="429"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7B4A24DD" w14:textId="77777777" w:rsidR="0094700D" w:rsidRPr="009A46BB" w:rsidRDefault="0094700D" w:rsidP="0094700D">
                <w:pPr>
                  <w:spacing w:after="0" w:line="240" w:lineRule="auto"/>
                  <w:jc w:val="right"/>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 xml:space="preserve">44.060.838.790 </w:t>
                </w:r>
              </w:p>
            </w:tc>
            <w:tc>
              <w:tcPr>
                <w:tcW w:w="455"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667534BC" w14:textId="77777777" w:rsidR="0094700D" w:rsidRPr="009A46BB" w:rsidRDefault="0094700D" w:rsidP="0094700D">
                <w:pPr>
                  <w:spacing w:after="0" w:line="240" w:lineRule="auto"/>
                  <w:jc w:val="right"/>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 xml:space="preserve">0 </w:t>
                </w:r>
              </w:p>
            </w:tc>
            <w:tc>
              <w:tcPr>
                <w:tcW w:w="605"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3974F347" w14:textId="77777777" w:rsidR="0094700D" w:rsidRPr="009A46BB" w:rsidRDefault="0094700D" w:rsidP="0094700D">
                <w:pPr>
                  <w:spacing w:after="0" w:line="240" w:lineRule="auto"/>
                  <w:jc w:val="right"/>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 xml:space="preserve">23.443.305.962 </w:t>
                </w:r>
              </w:p>
            </w:tc>
            <w:tc>
              <w:tcPr>
                <w:tcW w:w="224"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56A5C29C" w14:textId="77777777" w:rsidR="0094700D" w:rsidRPr="009A46BB" w:rsidRDefault="0094700D" w:rsidP="0094700D">
                <w:pPr>
                  <w:spacing w:after="0" w:line="240" w:lineRule="auto"/>
                  <w:jc w:val="right"/>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 xml:space="preserve">0 </w:t>
                </w:r>
              </w:p>
            </w:tc>
            <w:tc>
              <w:tcPr>
                <w:tcW w:w="605"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3027B004" w14:textId="77777777" w:rsidR="0094700D" w:rsidRPr="009A46BB" w:rsidRDefault="0094700D" w:rsidP="0094700D">
                <w:pPr>
                  <w:spacing w:after="0" w:line="240" w:lineRule="auto"/>
                  <w:jc w:val="right"/>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 xml:space="preserve">4.664.798.863 </w:t>
                </w:r>
              </w:p>
            </w:tc>
            <w:tc>
              <w:tcPr>
                <w:tcW w:w="663" w:type="pct"/>
                <w:tcBorders>
                  <w:top w:val="single" w:sz="6" w:space="0" w:color="A6A6A6"/>
                  <w:left w:val="single" w:sz="6" w:space="0" w:color="A6A6A6"/>
                  <w:bottom w:val="single" w:sz="6" w:space="0" w:color="A6A6A6"/>
                  <w:right w:val="single" w:sz="4" w:space="0" w:color="A6A6A6"/>
                </w:tcBorders>
                <w:shd w:val="clear" w:color="auto" w:fill="auto"/>
                <w:noWrap/>
                <w:vAlign w:val="center"/>
                <w:hideMark/>
              </w:tcPr>
              <w:p w14:paraId="7D985F05" w14:textId="77777777" w:rsidR="0094700D" w:rsidRPr="009A46BB" w:rsidRDefault="0094700D" w:rsidP="0094700D">
                <w:pPr>
                  <w:spacing w:after="0" w:line="240" w:lineRule="auto"/>
                  <w:jc w:val="right"/>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 xml:space="preserve">60.916.670.505 </w:t>
                </w:r>
              </w:p>
            </w:tc>
          </w:tr>
          <w:tr w:rsidR="0094700D" w:rsidRPr="0094700D" w14:paraId="5DA27FCE" w14:textId="77777777" w:rsidTr="00D62C56">
            <w:trPr>
              <w:trHeight w:val="300"/>
              <w:jc w:val="center"/>
            </w:trPr>
            <w:tc>
              <w:tcPr>
                <w:tcW w:w="985" w:type="pct"/>
                <w:tcBorders>
                  <w:top w:val="single" w:sz="6" w:space="0" w:color="A6A6A6"/>
                  <w:left w:val="single" w:sz="4" w:space="0" w:color="A6A6A6"/>
                  <w:bottom w:val="single" w:sz="6" w:space="0" w:color="A6A6A6"/>
                  <w:right w:val="single" w:sz="6" w:space="0" w:color="A6A6A6"/>
                </w:tcBorders>
                <w:shd w:val="clear" w:color="auto" w:fill="auto"/>
                <w:vAlign w:val="center"/>
                <w:hideMark/>
              </w:tcPr>
              <w:p w14:paraId="72104E11" w14:textId="77777777" w:rsidR="0094700D" w:rsidRPr="009A46BB" w:rsidRDefault="0094700D" w:rsidP="0094700D">
                <w:pPr>
                  <w:spacing w:after="0" w:line="240" w:lineRule="auto"/>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Nacionales</w:t>
                </w:r>
              </w:p>
            </w:tc>
            <w:tc>
              <w:tcPr>
                <w:tcW w:w="255"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768FC860" w14:textId="77777777" w:rsidR="0094700D" w:rsidRPr="009A46BB" w:rsidRDefault="0094700D" w:rsidP="0094700D">
                <w:pPr>
                  <w:spacing w:after="0" w:line="240" w:lineRule="auto"/>
                  <w:jc w:val="center"/>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PJ</w:t>
                </w:r>
              </w:p>
            </w:tc>
            <w:tc>
              <w:tcPr>
                <w:tcW w:w="174"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050701CA" w14:textId="77777777" w:rsidR="0094700D" w:rsidRPr="009A46BB" w:rsidRDefault="0094700D" w:rsidP="0094700D">
                <w:pPr>
                  <w:spacing w:after="0" w:line="240" w:lineRule="auto"/>
                  <w:jc w:val="center"/>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11</w:t>
                </w:r>
              </w:p>
            </w:tc>
            <w:tc>
              <w:tcPr>
                <w:tcW w:w="605"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78DC600C" w14:textId="77777777" w:rsidR="0094700D" w:rsidRPr="009A46BB" w:rsidRDefault="0094700D" w:rsidP="0094700D">
                <w:pPr>
                  <w:spacing w:after="0" w:line="240" w:lineRule="auto"/>
                  <w:jc w:val="right"/>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 xml:space="preserve">46.924.369.231 </w:t>
                </w:r>
              </w:p>
            </w:tc>
            <w:tc>
              <w:tcPr>
                <w:tcW w:w="429"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395D9902" w14:textId="77777777" w:rsidR="0094700D" w:rsidRPr="009A46BB" w:rsidRDefault="0094700D" w:rsidP="0094700D">
                <w:pPr>
                  <w:spacing w:after="0" w:line="240" w:lineRule="auto"/>
                  <w:jc w:val="right"/>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 xml:space="preserve">1.196.240.171.132 </w:t>
                </w:r>
              </w:p>
            </w:tc>
            <w:tc>
              <w:tcPr>
                <w:tcW w:w="455"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56C3A3E3" w14:textId="77777777" w:rsidR="0094700D" w:rsidRPr="009A46BB" w:rsidRDefault="0094700D" w:rsidP="0094700D">
                <w:pPr>
                  <w:spacing w:after="0" w:line="240" w:lineRule="auto"/>
                  <w:jc w:val="right"/>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 xml:space="preserve">0 </w:t>
                </w:r>
              </w:p>
            </w:tc>
            <w:tc>
              <w:tcPr>
                <w:tcW w:w="605"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2A732437" w14:textId="77777777" w:rsidR="0094700D" w:rsidRPr="009A46BB" w:rsidRDefault="0094700D" w:rsidP="0094700D">
                <w:pPr>
                  <w:spacing w:after="0" w:line="240" w:lineRule="auto"/>
                  <w:jc w:val="right"/>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 xml:space="preserve">254.582.766 </w:t>
                </w:r>
              </w:p>
            </w:tc>
            <w:tc>
              <w:tcPr>
                <w:tcW w:w="224"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1E412946" w14:textId="77777777" w:rsidR="0094700D" w:rsidRPr="009A46BB" w:rsidRDefault="0094700D" w:rsidP="0094700D">
                <w:pPr>
                  <w:spacing w:after="0" w:line="240" w:lineRule="auto"/>
                  <w:jc w:val="right"/>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 xml:space="preserve">0 </w:t>
                </w:r>
              </w:p>
            </w:tc>
            <w:tc>
              <w:tcPr>
                <w:tcW w:w="605"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44D92D5C" w14:textId="77777777" w:rsidR="0094700D" w:rsidRPr="009A46BB" w:rsidRDefault="0094700D" w:rsidP="0094700D">
                <w:pPr>
                  <w:spacing w:after="0" w:line="240" w:lineRule="auto"/>
                  <w:jc w:val="right"/>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 xml:space="preserve">0 </w:t>
                </w:r>
              </w:p>
            </w:tc>
            <w:tc>
              <w:tcPr>
                <w:tcW w:w="663" w:type="pct"/>
                <w:tcBorders>
                  <w:top w:val="single" w:sz="6" w:space="0" w:color="A6A6A6"/>
                  <w:left w:val="single" w:sz="6" w:space="0" w:color="A6A6A6"/>
                  <w:bottom w:val="single" w:sz="6" w:space="0" w:color="A6A6A6"/>
                  <w:right w:val="single" w:sz="4" w:space="0" w:color="A6A6A6"/>
                </w:tcBorders>
                <w:shd w:val="clear" w:color="auto" w:fill="auto"/>
                <w:noWrap/>
                <w:vAlign w:val="center"/>
                <w:hideMark/>
              </w:tcPr>
              <w:p w14:paraId="5AADEE79" w14:textId="77777777" w:rsidR="0094700D" w:rsidRPr="009A46BB" w:rsidRDefault="0094700D" w:rsidP="0094700D">
                <w:pPr>
                  <w:spacing w:after="0" w:line="240" w:lineRule="auto"/>
                  <w:jc w:val="right"/>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 xml:space="preserve">1.242.909.957.597 </w:t>
                </w:r>
              </w:p>
            </w:tc>
          </w:tr>
          <w:tr w:rsidR="0094700D" w:rsidRPr="0094700D" w14:paraId="2CFEB009" w14:textId="77777777" w:rsidTr="00D62C56">
            <w:trPr>
              <w:trHeight w:val="285"/>
              <w:jc w:val="center"/>
            </w:trPr>
            <w:tc>
              <w:tcPr>
                <w:tcW w:w="985" w:type="pct"/>
                <w:tcBorders>
                  <w:top w:val="single" w:sz="6" w:space="0" w:color="A6A6A6"/>
                  <w:left w:val="single" w:sz="4" w:space="0" w:color="A6A6A6"/>
                  <w:bottom w:val="single" w:sz="6" w:space="0" w:color="A6A6A6"/>
                  <w:right w:val="single" w:sz="6" w:space="0" w:color="A6A6A6"/>
                </w:tcBorders>
                <w:shd w:val="clear" w:color="auto" w:fill="auto"/>
                <w:noWrap/>
                <w:vAlign w:val="center"/>
                <w:hideMark/>
              </w:tcPr>
              <w:p w14:paraId="3E0DF899" w14:textId="77777777" w:rsidR="0094700D" w:rsidRPr="009A46BB" w:rsidRDefault="0094700D" w:rsidP="0094700D">
                <w:pPr>
                  <w:spacing w:after="0" w:line="240" w:lineRule="auto"/>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Laborales</w:t>
                </w:r>
              </w:p>
            </w:tc>
            <w:tc>
              <w:tcPr>
                <w:tcW w:w="255"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3906DB9A" w14:textId="77777777" w:rsidR="0094700D" w:rsidRPr="009A46BB" w:rsidRDefault="0094700D" w:rsidP="0094700D">
                <w:pPr>
                  <w:spacing w:after="0" w:line="240" w:lineRule="auto"/>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 </w:t>
                </w:r>
              </w:p>
            </w:tc>
            <w:tc>
              <w:tcPr>
                <w:tcW w:w="174"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57236A80" w14:textId="77777777" w:rsidR="0094700D" w:rsidRPr="009A46BB" w:rsidRDefault="0094700D" w:rsidP="0094700D">
                <w:pPr>
                  <w:spacing w:after="0" w:line="240" w:lineRule="auto"/>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 </w:t>
                </w:r>
              </w:p>
            </w:tc>
            <w:tc>
              <w:tcPr>
                <w:tcW w:w="605"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04B99C40" w14:textId="77777777" w:rsidR="0094700D" w:rsidRPr="009A46BB" w:rsidRDefault="0094700D" w:rsidP="0094700D">
                <w:pPr>
                  <w:spacing w:after="0" w:line="240" w:lineRule="auto"/>
                  <w:jc w:val="right"/>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 xml:space="preserve">105.916.514 </w:t>
                </w:r>
              </w:p>
            </w:tc>
            <w:tc>
              <w:tcPr>
                <w:tcW w:w="429"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5FABFE5E" w14:textId="77777777" w:rsidR="0094700D" w:rsidRPr="009A46BB" w:rsidRDefault="0094700D" w:rsidP="0094700D">
                <w:pPr>
                  <w:spacing w:after="0" w:line="240" w:lineRule="auto"/>
                  <w:jc w:val="right"/>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 xml:space="preserve">269.959.228 </w:t>
                </w:r>
              </w:p>
            </w:tc>
            <w:tc>
              <w:tcPr>
                <w:tcW w:w="455"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644A420D" w14:textId="77777777" w:rsidR="0094700D" w:rsidRPr="009A46BB" w:rsidRDefault="0094700D" w:rsidP="0094700D">
                <w:pPr>
                  <w:spacing w:after="0" w:line="240" w:lineRule="auto"/>
                  <w:jc w:val="right"/>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 xml:space="preserve">0 </w:t>
                </w:r>
              </w:p>
            </w:tc>
            <w:tc>
              <w:tcPr>
                <w:tcW w:w="605"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0FD4C7C4" w14:textId="77777777" w:rsidR="0094700D" w:rsidRPr="009A46BB" w:rsidRDefault="0094700D" w:rsidP="0094700D">
                <w:pPr>
                  <w:spacing w:after="0" w:line="240" w:lineRule="auto"/>
                  <w:jc w:val="right"/>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 xml:space="preserve">85.090.142 </w:t>
                </w:r>
              </w:p>
            </w:tc>
            <w:tc>
              <w:tcPr>
                <w:tcW w:w="224"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710051EA" w14:textId="77777777" w:rsidR="0094700D" w:rsidRPr="009A46BB" w:rsidRDefault="0094700D" w:rsidP="0094700D">
                <w:pPr>
                  <w:spacing w:after="0" w:line="240" w:lineRule="auto"/>
                  <w:jc w:val="right"/>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 xml:space="preserve">0 </w:t>
                </w:r>
              </w:p>
            </w:tc>
            <w:tc>
              <w:tcPr>
                <w:tcW w:w="605"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34536230" w14:textId="77777777" w:rsidR="0094700D" w:rsidRPr="009A46BB" w:rsidRDefault="0094700D" w:rsidP="0094700D">
                <w:pPr>
                  <w:spacing w:after="0" w:line="240" w:lineRule="auto"/>
                  <w:jc w:val="right"/>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 xml:space="preserve">0 </w:t>
                </w:r>
              </w:p>
            </w:tc>
            <w:tc>
              <w:tcPr>
                <w:tcW w:w="663" w:type="pct"/>
                <w:tcBorders>
                  <w:top w:val="single" w:sz="6" w:space="0" w:color="A6A6A6"/>
                  <w:left w:val="single" w:sz="6" w:space="0" w:color="A6A6A6"/>
                  <w:bottom w:val="single" w:sz="6" w:space="0" w:color="A6A6A6"/>
                  <w:right w:val="single" w:sz="4" w:space="0" w:color="A6A6A6"/>
                </w:tcBorders>
                <w:shd w:val="clear" w:color="auto" w:fill="auto"/>
                <w:noWrap/>
                <w:vAlign w:val="center"/>
                <w:hideMark/>
              </w:tcPr>
              <w:p w14:paraId="7DEA9FBA" w14:textId="77777777" w:rsidR="0094700D" w:rsidRPr="009A46BB" w:rsidRDefault="0094700D" w:rsidP="0094700D">
                <w:pPr>
                  <w:spacing w:after="0" w:line="240" w:lineRule="auto"/>
                  <w:jc w:val="right"/>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 xml:space="preserve">290.785.600 </w:t>
                </w:r>
              </w:p>
            </w:tc>
          </w:tr>
          <w:tr w:rsidR="0094700D" w:rsidRPr="0094700D" w14:paraId="5052B3BB" w14:textId="77777777" w:rsidTr="00D62C56">
            <w:trPr>
              <w:trHeight w:val="300"/>
              <w:jc w:val="center"/>
            </w:trPr>
            <w:tc>
              <w:tcPr>
                <w:tcW w:w="985" w:type="pct"/>
                <w:tcBorders>
                  <w:top w:val="single" w:sz="6" w:space="0" w:color="A6A6A6"/>
                  <w:left w:val="single" w:sz="4" w:space="0" w:color="A6A6A6"/>
                  <w:bottom w:val="single" w:sz="6" w:space="0" w:color="A6A6A6"/>
                  <w:right w:val="single" w:sz="6" w:space="0" w:color="A6A6A6"/>
                </w:tcBorders>
                <w:shd w:val="clear" w:color="auto" w:fill="auto"/>
                <w:vAlign w:val="center"/>
                <w:hideMark/>
              </w:tcPr>
              <w:p w14:paraId="41B420B6" w14:textId="77777777" w:rsidR="0094700D" w:rsidRPr="009A46BB" w:rsidRDefault="0094700D" w:rsidP="0094700D">
                <w:pPr>
                  <w:spacing w:after="0" w:line="240" w:lineRule="auto"/>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Nacionales</w:t>
                </w:r>
              </w:p>
            </w:tc>
            <w:tc>
              <w:tcPr>
                <w:tcW w:w="255"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3657BEFC" w14:textId="77777777" w:rsidR="0094700D" w:rsidRPr="009A46BB" w:rsidRDefault="0094700D" w:rsidP="0094700D">
                <w:pPr>
                  <w:spacing w:after="0" w:line="240" w:lineRule="auto"/>
                  <w:jc w:val="center"/>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PN</w:t>
                </w:r>
              </w:p>
            </w:tc>
            <w:tc>
              <w:tcPr>
                <w:tcW w:w="174"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5F468D5B" w14:textId="77777777" w:rsidR="0094700D" w:rsidRPr="009A46BB" w:rsidRDefault="0094700D" w:rsidP="0094700D">
                <w:pPr>
                  <w:spacing w:after="0" w:line="240" w:lineRule="auto"/>
                  <w:jc w:val="center"/>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4</w:t>
                </w:r>
              </w:p>
            </w:tc>
            <w:tc>
              <w:tcPr>
                <w:tcW w:w="605"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30A9C4A9" w14:textId="77777777" w:rsidR="0094700D" w:rsidRPr="009A46BB" w:rsidRDefault="0094700D" w:rsidP="0094700D">
                <w:pPr>
                  <w:spacing w:after="0" w:line="240" w:lineRule="auto"/>
                  <w:jc w:val="right"/>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 xml:space="preserve">105.916.514 </w:t>
                </w:r>
              </w:p>
            </w:tc>
            <w:tc>
              <w:tcPr>
                <w:tcW w:w="429"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7BEA50BF" w14:textId="77777777" w:rsidR="0094700D" w:rsidRPr="009A46BB" w:rsidRDefault="0094700D" w:rsidP="0094700D">
                <w:pPr>
                  <w:spacing w:after="0" w:line="240" w:lineRule="auto"/>
                  <w:jc w:val="right"/>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 xml:space="preserve">269.959.228 </w:t>
                </w:r>
              </w:p>
            </w:tc>
            <w:tc>
              <w:tcPr>
                <w:tcW w:w="455"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6728A8EB" w14:textId="77777777" w:rsidR="0094700D" w:rsidRPr="009A46BB" w:rsidRDefault="0094700D" w:rsidP="0094700D">
                <w:pPr>
                  <w:spacing w:after="0" w:line="240" w:lineRule="auto"/>
                  <w:jc w:val="right"/>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 xml:space="preserve">0 </w:t>
                </w:r>
              </w:p>
            </w:tc>
            <w:tc>
              <w:tcPr>
                <w:tcW w:w="605"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1DE53131" w14:textId="77777777" w:rsidR="0094700D" w:rsidRPr="009A46BB" w:rsidRDefault="0094700D" w:rsidP="0094700D">
                <w:pPr>
                  <w:spacing w:after="0" w:line="240" w:lineRule="auto"/>
                  <w:jc w:val="right"/>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 xml:space="preserve">85.090.142 </w:t>
                </w:r>
              </w:p>
            </w:tc>
            <w:tc>
              <w:tcPr>
                <w:tcW w:w="224"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7C9CD4E7" w14:textId="77777777" w:rsidR="0094700D" w:rsidRPr="009A46BB" w:rsidRDefault="0094700D" w:rsidP="0094700D">
                <w:pPr>
                  <w:spacing w:after="0" w:line="240" w:lineRule="auto"/>
                  <w:jc w:val="right"/>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 xml:space="preserve">0 </w:t>
                </w:r>
              </w:p>
            </w:tc>
            <w:tc>
              <w:tcPr>
                <w:tcW w:w="605"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27A09349" w14:textId="77777777" w:rsidR="0094700D" w:rsidRPr="009A46BB" w:rsidRDefault="0094700D" w:rsidP="0094700D">
                <w:pPr>
                  <w:spacing w:after="0" w:line="240" w:lineRule="auto"/>
                  <w:jc w:val="right"/>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 xml:space="preserve">0 </w:t>
                </w:r>
              </w:p>
            </w:tc>
            <w:tc>
              <w:tcPr>
                <w:tcW w:w="663" w:type="pct"/>
                <w:tcBorders>
                  <w:top w:val="single" w:sz="6" w:space="0" w:color="A6A6A6"/>
                  <w:left w:val="single" w:sz="6" w:space="0" w:color="A6A6A6"/>
                  <w:bottom w:val="single" w:sz="6" w:space="0" w:color="A6A6A6"/>
                  <w:right w:val="single" w:sz="4" w:space="0" w:color="A6A6A6"/>
                </w:tcBorders>
                <w:shd w:val="clear" w:color="auto" w:fill="auto"/>
                <w:noWrap/>
                <w:vAlign w:val="center"/>
                <w:hideMark/>
              </w:tcPr>
              <w:p w14:paraId="563F2A9D" w14:textId="77777777" w:rsidR="0094700D" w:rsidRPr="009A46BB" w:rsidRDefault="0094700D" w:rsidP="0094700D">
                <w:pPr>
                  <w:spacing w:after="0" w:line="240" w:lineRule="auto"/>
                  <w:jc w:val="right"/>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 xml:space="preserve">290.785.600 </w:t>
                </w:r>
              </w:p>
            </w:tc>
          </w:tr>
          <w:tr w:rsidR="0094700D" w:rsidRPr="0094700D" w14:paraId="351E0651" w14:textId="77777777" w:rsidTr="00D62C56">
            <w:trPr>
              <w:trHeight w:val="285"/>
              <w:jc w:val="center"/>
            </w:trPr>
            <w:tc>
              <w:tcPr>
                <w:tcW w:w="985" w:type="pct"/>
                <w:tcBorders>
                  <w:top w:val="single" w:sz="6" w:space="0" w:color="A6A6A6"/>
                  <w:left w:val="single" w:sz="4" w:space="0" w:color="A6A6A6"/>
                  <w:bottom w:val="single" w:sz="6" w:space="0" w:color="A6A6A6"/>
                  <w:right w:val="single" w:sz="6" w:space="0" w:color="A6A6A6"/>
                </w:tcBorders>
                <w:shd w:val="clear" w:color="auto" w:fill="auto"/>
                <w:noWrap/>
                <w:vAlign w:val="center"/>
                <w:hideMark/>
              </w:tcPr>
              <w:p w14:paraId="0FC5FFF4" w14:textId="77777777" w:rsidR="0094700D" w:rsidRPr="009A46BB" w:rsidRDefault="0094700D" w:rsidP="0094700D">
                <w:pPr>
                  <w:spacing w:after="0" w:line="240" w:lineRule="auto"/>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Otros litigios y demandas</w:t>
                </w:r>
              </w:p>
            </w:tc>
            <w:tc>
              <w:tcPr>
                <w:tcW w:w="255"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39F8E026" w14:textId="77777777" w:rsidR="0094700D" w:rsidRPr="009A46BB" w:rsidRDefault="0094700D" w:rsidP="0094700D">
                <w:pPr>
                  <w:spacing w:after="0" w:line="240" w:lineRule="auto"/>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 </w:t>
                </w:r>
              </w:p>
            </w:tc>
            <w:tc>
              <w:tcPr>
                <w:tcW w:w="174"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1BBBE79A" w14:textId="77777777" w:rsidR="0094700D" w:rsidRPr="009A46BB" w:rsidRDefault="0094700D" w:rsidP="0094700D">
                <w:pPr>
                  <w:spacing w:after="0" w:line="240" w:lineRule="auto"/>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 </w:t>
                </w:r>
              </w:p>
            </w:tc>
            <w:tc>
              <w:tcPr>
                <w:tcW w:w="605"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12B0B19A" w14:textId="77777777" w:rsidR="0094700D" w:rsidRPr="009A46BB" w:rsidRDefault="0094700D" w:rsidP="0094700D">
                <w:pPr>
                  <w:spacing w:after="0" w:line="240" w:lineRule="auto"/>
                  <w:jc w:val="right"/>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 xml:space="preserve">652.293.654.344 </w:t>
                </w:r>
              </w:p>
            </w:tc>
            <w:tc>
              <w:tcPr>
                <w:tcW w:w="429"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1F9A0C55" w14:textId="77777777" w:rsidR="0094700D" w:rsidRPr="009A46BB" w:rsidRDefault="0094700D" w:rsidP="0094700D">
                <w:pPr>
                  <w:spacing w:after="0" w:line="240" w:lineRule="auto"/>
                  <w:jc w:val="right"/>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 xml:space="preserve">703.413.000.100 </w:t>
                </w:r>
              </w:p>
            </w:tc>
            <w:tc>
              <w:tcPr>
                <w:tcW w:w="455"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73D7D2DF" w14:textId="77777777" w:rsidR="0094700D" w:rsidRPr="009A46BB" w:rsidRDefault="0094700D" w:rsidP="0094700D">
                <w:pPr>
                  <w:spacing w:after="0" w:line="240" w:lineRule="auto"/>
                  <w:jc w:val="right"/>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 xml:space="preserve">0 </w:t>
                </w:r>
              </w:p>
            </w:tc>
            <w:tc>
              <w:tcPr>
                <w:tcW w:w="605"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39C1A57B" w14:textId="77777777" w:rsidR="0094700D" w:rsidRPr="009A46BB" w:rsidRDefault="0094700D" w:rsidP="0094700D">
                <w:pPr>
                  <w:spacing w:after="0" w:line="240" w:lineRule="auto"/>
                  <w:jc w:val="right"/>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 xml:space="preserve">319.594.335.157 </w:t>
                </w:r>
              </w:p>
            </w:tc>
            <w:tc>
              <w:tcPr>
                <w:tcW w:w="224"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54F62BE2" w14:textId="77777777" w:rsidR="0094700D" w:rsidRPr="009A46BB" w:rsidRDefault="0094700D" w:rsidP="0094700D">
                <w:pPr>
                  <w:spacing w:after="0" w:line="240" w:lineRule="auto"/>
                  <w:jc w:val="right"/>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 xml:space="preserve">0 </w:t>
                </w:r>
              </w:p>
            </w:tc>
            <w:tc>
              <w:tcPr>
                <w:tcW w:w="605"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02FE72E5" w14:textId="77777777" w:rsidR="0094700D" w:rsidRPr="009A46BB" w:rsidRDefault="0094700D" w:rsidP="0094700D">
                <w:pPr>
                  <w:spacing w:after="0" w:line="240" w:lineRule="auto"/>
                  <w:jc w:val="right"/>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 xml:space="preserve">138.868.037.856 </w:t>
                </w:r>
              </w:p>
            </w:tc>
            <w:tc>
              <w:tcPr>
                <w:tcW w:w="663" w:type="pct"/>
                <w:tcBorders>
                  <w:top w:val="single" w:sz="6" w:space="0" w:color="A6A6A6"/>
                  <w:left w:val="single" w:sz="6" w:space="0" w:color="A6A6A6"/>
                  <w:bottom w:val="single" w:sz="6" w:space="0" w:color="A6A6A6"/>
                  <w:right w:val="single" w:sz="4" w:space="0" w:color="A6A6A6"/>
                </w:tcBorders>
                <w:shd w:val="clear" w:color="auto" w:fill="auto"/>
                <w:noWrap/>
                <w:vAlign w:val="center"/>
                <w:hideMark/>
              </w:tcPr>
              <w:p w14:paraId="768A5CFB" w14:textId="77777777" w:rsidR="0094700D" w:rsidRPr="009A46BB" w:rsidRDefault="0094700D" w:rsidP="0094700D">
                <w:pPr>
                  <w:spacing w:after="0" w:line="240" w:lineRule="auto"/>
                  <w:jc w:val="right"/>
                  <w:rPr>
                    <w:rFonts w:ascii="Times New Roman" w:eastAsia="Times New Roman" w:hAnsi="Times New Roman"/>
                    <w:b/>
                    <w:sz w:val="14"/>
                    <w:szCs w:val="14"/>
                    <w:lang w:eastAsia="es-CO"/>
                  </w:rPr>
                </w:pPr>
                <w:r w:rsidRPr="009A46BB">
                  <w:rPr>
                    <w:rFonts w:ascii="Times New Roman" w:eastAsia="Times New Roman" w:hAnsi="Times New Roman"/>
                    <w:b/>
                    <w:sz w:val="14"/>
                    <w:szCs w:val="14"/>
                    <w:lang w:eastAsia="es-CO"/>
                  </w:rPr>
                  <w:t xml:space="preserve">897.244.281.431 </w:t>
                </w:r>
              </w:p>
            </w:tc>
          </w:tr>
          <w:tr w:rsidR="0094700D" w:rsidRPr="0094700D" w14:paraId="51A990A3" w14:textId="77777777" w:rsidTr="00D62C56">
            <w:trPr>
              <w:trHeight w:val="300"/>
              <w:jc w:val="center"/>
            </w:trPr>
            <w:tc>
              <w:tcPr>
                <w:tcW w:w="985" w:type="pct"/>
                <w:tcBorders>
                  <w:top w:val="single" w:sz="6" w:space="0" w:color="A6A6A6"/>
                  <w:left w:val="single" w:sz="4" w:space="0" w:color="A6A6A6"/>
                  <w:bottom w:val="single" w:sz="4" w:space="0" w:color="A6A6A6"/>
                  <w:right w:val="single" w:sz="6" w:space="0" w:color="A6A6A6"/>
                </w:tcBorders>
                <w:shd w:val="clear" w:color="auto" w:fill="auto"/>
                <w:vAlign w:val="center"/>
                <w:hideMark/>
              </w:tcPr>
              <w:p w14:paraId="5BE52904" w14:textId="77777777" w:rsidR="0094700D" w:rsidRPr="009A46BB" w:rsidRDefault="0094700D" w:rsidP="0094700D">
                <w:pPr>
                  <w:spacing w:after="0" w:line="240" w:lineRule="auto"/>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Nacionales</w:t>
                </w:r>
              </w:p>
            </w:tc>
            <w:tc>
              <w:tcPr>
                <w:tcW w:w="255" w:type="pct"/>
                <w:tcBorders>
                  <w:top w:val="single" w:sz="6" w:space="0" w:color="A6A6A6"/>
                  <w:left w:val="single" w:sz="6" w:space="0" w:color="A6A6A6"/>
                  <w:bottom w:val="single" w:sz="4" w:space="0" w:color="A6A6A6"/>
                  <w:right w:val="single" w:sz="6" w:space="0" w:color="A6A6A6"/>
                </w:tcBorders>
                <w:shd w:val="clear" w:color="auto" w:fill="auto"/>
                <w:noWrap/>
                <w:vAlign w:val="center"/>
                <w:hideMark/>
              </w:tcPr>
              <w:p w14:paraId="01636542" w14:textId="77777777" w:rsidR="0094700D" w:rsidRPr="009A46BB" w:rsidRDefault="0094700D" w:rsidP="0094700D">
                <w:pPr>
                  <w:spacing w:after="0" w:line="240" w:lineRule="auto"/>
                  <w:jc w:val="center"/>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PJ</w:t>
                </w:r>
              </w:p>
            </w:tc>
            <w:tc>
              <w:tcPr>
                <w:tcW w:w="174" w:type="pct"/>
                <w:tcBorders>
                  <w:top w:val="single" w:sz="6" w:space="0" w:color="A6A6A6"/>
                  <w:left w:val="single" w:sz="6" w:space="0" w:color="A6A6A6"/>
                  <w:bottom w:val="single" w:sz="4" w:space="0" w:color="A6A6A6"/>
                  <w:right w:val="single" w:sz="6" w:space="0" w:color="A6A6A6"/>
                </w:tcBorders>
                <w:shd w:val="clear" w:color="auto" w:fill="auto"/>
                <w:noWrap/>
                <w:vAlign w:val="center"/>
                <w:hideMark/>
              </w:tcPr>
              <w:p w14:paraId="5D30508B" w14:textId="77777777" w:rsidR="0094700D" w:rsidRPr="009A46BB" w:rsidRDefault="0094700D" w:rsidP="0094700D">
                <w:pPr>
                  <w:spacing w:after="0" w:line="240" w:lineRule="auto"/>
                  <w:jc w:val="center"/>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6</w:t>
                </w:r>
              </w:p>
            </w:tc>
            <w:tc>
              <w:tcPr>
                <w:tcW w:w="605" w:type="pct"/>
                <w:tcBorders>
                  <w:top w:val="single" w:sz="6" w:space="0" w:color="A6A6A6"/>
                  <w:left w:val="single" w:sz="6" w:space="0" w:color="A6A6A6"/>
                  <w:bottom w:val="single" w:sz="4" w:space="0" w:color="A6A6A6"/>
                  <w:right w:val="single" w:sz="6" w:space="0" w:color="A6A6A6"/>
                </w:tcBorders>
                <w:shd w:val="clear" w:color="auto" w:fill="auto"/>
                <w:noWrap/>
                <w:vAlign w:val="center"/>
                <w:hideMark/>
              </w:tcPr>
              <w:p w14:paraId="218ECDD9" w14:textId="77777777" w:rsidR="0094700D" w:rsidRPr="009A46BB" w:rsidRDefault="0094700D" w:rsidP="0094700D">
                <w:pPr>
                  <w:spacing w:after="0" w:line="240" w:lineRule="auto"/>
                  <w:jc w:val="right"/>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 xml:space="preserve">652.293.654.344 </w:t>
                </w:r>
              </w:p>
            </w:tc>
            <w:tc>
              <w:tcPr>
                <w:tcW w:w="429" w:type="pct"/>
                <w:tcBorders>
                  <w:top w:val="single" w:sz="6" w:space="0" w:color="A6A6A6"/>
                  <w:left w:val="single" w:sz="6" w:space="0" w:color="A6A6A6"/>
                  <w:bottom w:val="single" w:sz="4" w:space="0" w:color="A6A6A6"/>
                  <w:right w:val="single" w:sz="6" w:space="0" w:color="A6A6A6"/>
                </w:tcBorders>
                <w:shd w:val="clear" w:color="auto" w:fill="auto"/>
                <w:noWrap/>
                <w:vAlign w:val="center"/>
                <w:hideMark/>
              </w:tcPr>
              <w:p w14:paraId="7E7BCB9B" w14:textId="77777777" w:rsidR="0094700D" w:rsidRPr="009A46BB" w:rsidRDefault="0094700D" w:rsidP="0094700D">
                <w:pPr>
                  <w:spacing w:after="0" w:line="240" w:lineRule="auto"/>
                  <w:jc w:val="right"/>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 xml:space="preserve">703.413.000.100 </w:t>
                </w:r>
              </w:p>
            </w:tc>
            <w:tc>
              <w:tcPr>
                <w:tcW w:w="455" w:type="pct"/>
                <w:tcBorders>
                  <w:top w:val="single" w:sz="6" w:space="0" w:color="A6A6A6"/>
                  <w:left w:val="single" w:sz="6" w:space="0" w:color="A6A6A6"/>
                  <w:bottom w:val="single" w:sz="4" w:space="0" w:color="A6A6A6"/>
                  <w:right w:val="single" w:sz="6" w:space="0" w:color="A6A6A6"/>
                </w:tcBorders>
                <w:shd w:val="clear" w:color="auto" w:fill="auto"/>
                <w:noWrap/>
                <w:vAlign w:val="center"/>
                <w:hideMark/>
              </w:tcPr>
              <w:p w14:paraId="6E3EE7FA" w14:textId="77777777" w:rsidR="0094700D" w:rsidRPr="009A46BB" w:rsidRDefault="0094700D" w:rsidP="0094700D">
                <w:pPr>
                  <w:spacing w:after="0" w:line="240" w:lineRule="auto"/>
                  <w:jc w:val="right"/>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 xml:space="preserve">0 </w:t>
                </w:r>
              </w:p>
            </w:tc>
            <w:tc>
              <w:tcPr>
                <w:tcW w:w="605" w:type="pct"/>
                <w:tcBorders>
                  <w:top w:val="single" w:sz="6" w:space="0" w:color="A6A6A6"/>
                  <w:left w:val="single" w:sz="6" w:space="0" w:color="A6A6A6"/>
                  <w:bottom w:val="single" w:sz="4" w:space="0" w:color="A6A6A6"/>
                  <w:right w:val="single" w:sz="6" w:space="0" w:color="A6A6A6"/>
                </w:tcBorders>
                <w:shd w:val="clear" w:color="auto" w:fill="auto"/>
                <w:noWrap/>
                <w:vAlign w:val="center"/>
                <w:hideMark/>
              </w:tcPr>
              <w:p w14:paraId="7E564698" w14:textId="77777777" w:rsidR="0094700D" w:rsidRPr="009A46BB" w:rsidRDefault="0094700D" w:rsidP="0094700D">
                <w:pPr>
                  <w:spacing w:after="0" w:line="240" w:lineRule="auto"/>
                  <w:jc w:val="right"/>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 xml:space="preserve">319.594.335.157 </w:t>
                </w:r>
              </w:p>
            </w:tc>
            <w:tc>
              <w:tcPr>
                <w:tcW w:w="224" w:type="pct"/>
                <w:tcBorders>
                  <w:top w:val="single" w:sz="6" w:space="0" w:color="A6A6A6"/>
                  <w:left w:val="single" w:sz="6" w:space="0" w:color="A6A6A6"/>
                  <w:bottom w:val="single" w:sz="4" w:space="0" w:color="A6A6A6"/>
                  <w:right w:val="single" w:sz="6" w:space="0" w:color="A6A6A6"/>
                </w:tcBorders>
                <w:shd w:val="clear" w:color="auto" w:fill="auto"/>
                <w:noWrap/>
                <w:vAlign w:val="center"/>
                <w:hideMark/>
              </w:tcPr>
              <w:p w14:paraId="4EDF4142" w14:textId="77777777" w:rsidR="0094700D" w:rsidRPr="009A46BB" w:rsidRDefault="0094700D" w:rsidP="0094700D">
                <w:pPr>
                  <w:spacing w:after="0" w:line="240" w:lineRule="auto"/>
                  <w:jc w:val="right"/>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 xml:space="preserve">0 </w:t>
                </w:r>
              </w:p>
            </w:tc>
            <w:tc>
              <w:tcPr>
                <w:tcW w:w="605" w:type="pct"/>
                <w:tcBorders>
                  <w:top w:val="single" w:sz="6" w:space="0" w:color="A6A6A6"/>
                  <w:left w:val="single" w:sz="6" w:space="0" w:color="A6A6A6"/>
                  <w:bottom w:val="single" w:sz="4" w:space="0" w:color="A6A6A6"/>
                  <w:right w:val="single" w:sz="6" w:space="0" w:color="A6A6A6"/>
                </w:tcBorders>
                <w:shd w:val="clear" w:color="auto" w:fill="auto"/>
                <w:noWrap/>
                <w:vAlign w:val="center"/>
                <w:hideMark/>
              </w:tcPr>
              <w:p w14:paraId="65D76D8C" w14:textId="77777777" w:rsidR="0094700D" w:rsidRPr="009A46BB" w:rsidRDefault="0094700D" w:rsidP="0094700D">
                <w:pPr>
                  <w:spacing w:after="0" w:line="240" w:lineRule="auto"/>
                  <w:jc w:val="right"/>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 xml:space="preserve">138.868.037.856 </w:t>
                </w:r>
              </w:p>
            </w:tc>
            <w:tc>
              <w:tcPr>
                <w:tcW w:w="663" w:type="pct"/>
                <w:tcBorders>
                  <w:top w:val="single" w:sz="6" w:space="0" w:color="A6A6A6"/>
                  <w:left w:val="single" w:sz="6" w:space="0" w:color="A6A6A6"/>
                  <w:bottom w:val="single" w:sz="4" w:space="0" w:color="A6A6A6"/>
                  <w:right w:val="single" w:sz="4" w:space="0" w:color="A6A6A6"/>
                </w:tcBorders>
                <w:shd w:val="clear" w:color="auto" w:fill="auto"/>
                <w:noWrap/>
                <w:vAlign w:val="center"/>
                <w:hideMark/>
              </w:tcPr>
              <w:p w14:paraId="14927545" w14:textId="77777777" w:rsidR="0094700D" w:rsidRPr="009A46BB" w:rsidRDefault="0094700D" w:rsidP="0094700D">
                <w:pPr>
                  <w:spacing w:after="0" w:line="240" w:lineRule="auto"/>
                  <w:jc w:val="right"/>
                  <w:rPr>
                    <w:rFonts w:ascii="Times New Roman" w:eastAsia="Times New Roman" w:hAnsi="Times New Roman"/>
                    <w:sz w:val="14"/>
                    <w:szCs w:val="14"/>
                    <w:lang w:eastAsia="es-CO"/>
                  </w:rPr>
                </w:pPr>
                <w:r w:rsidRPr="009A46BB">
                  <w:rPr>
                    <w:rFonts w:ascii="Times New Roman" w:eastAsia="Times New Roman" w:hAnsi="Times New Roman"/>
                    <w:sz w:val="14"/>
                    <w:szCs w:val="14"/>
                    <w:lang w:eastAsia="es-CO"/>
                  </w:rPr>
                  <w:t xml:space="preserve">897.244.281.431 </w:t>
                </w:r>
              </w:p>
            </w:tc>
          </w:tr>
        </w:tbl>
        <w:p w14:paraId="49DE64E5" w14:textId="7646B2D7" w:rsidR="0019582D" w:rsidRPr="00931DCE" w:rsidRDefault="00AD2026" w:rsidP="0019582D">
          <w:pPr>
            <w:autoSpaceDE w:val="0"/>
            <w:autoSpaceDN w:val="0"/>
            <w:adjustRightInd w:val="0"/>
            <w:spacing w:after="0" w:line="240" w:lineRule="auto"/>
            <w:jc w:val="both"/>
            <w:rPr>
              <w:rFonts w:ascii="Times New Roman" w:hAnsi="Times New Roman"/>
              <w:color w:val="000000"/>
              <w:sz w:val="14"/>
              <w:szCs w:val="14"/>
            </w:rPr>
          </w:pPr>
          <w:r w:rsidRPr="00931DCE">
            <w:rPr>
              <w:rFonts w:ascii="Times New Roman" w:hAnsi="Times New Roman"/>
              <w:color w:val="000000"/>
              <w:sz w:val="14"/>
              <w:szCs w:val="14"/>
            </w:rPr>
            <w:t>Cifras expresadas en pesos</w:t>
          </w:r>
          <w:r w:rsidR="0019582D" w:rsidRPr="00931DCE">
            <w:rPr>
              <w:rFonts w:ascii="Times New Roman" w:hAnsi="Times New Roman"/>
              <w:color w:val="000000"/>
              <w:sz w:val="14"/>
              <w:szCs w:val="14"/>
            </w:rPr>
            <w:t xml:space="preserve"> </w:t>
          </w:r>
        </w:p>
        <w:p w14:paraId="73D18552" w14:textId="77777777" w:rsidR="0019582D" w:rsidRPr="00931DCE" w:rsidRDefault="0019582D" w:rsidP="0019582D">
          <w:pPr>
            <w:autoSpaceDE w:val="0"/>
            <w:autoSpaceDN w:val="0"/>
            <w:adjustRightInd w:val="0"/>
            <w:spacing w:after="0" w:line="240" w:lineRule="auto"/>
            <w:rPr>
              <w:rFonts w:ascii="Times New Roman" w:hAnsi="Times New Roman"/>
              <w:color w:val="000000"/>
              <w:sz w:val="24"/>
              <w:szCs w:val="24"/>
            </w:rPr>
          </w:pPr>
        </w:p>
        <w:p w14:paraId="47F49CB7" w14:textId="77777777" w:rsidR="0019582D" w:rsidRPr="00931DCE" w:rsidRDefault="0019582D" w:rsidP="0019582D">
          <w:pPr>
            <w:autoSpaceDE w:val="0"/>
            <w:autoSpaceDN w:val="0"/>
            <w:adjustRightInd w:val="0"/>
            <w:spacing w:after="0" w:line="240" w:lineRule="auto"/>
            <w:rPr>
              <w:rFonts w:ascii="Times New Roman" w:hAnsi="Times New Roman"/>
              <w:color w:val="000000"/>
              <w:sz w:val="24"/>
              <w:szCs w:val="24"/>
            </w:rPr>
          </w:pPr>
          <w:r w:rsidRPr="00931DCE">
            <w:rPr>
              <w:rFonts w:ascii="Times New Roman" w:hAnsi="Times New Roman"/>
              <w:color w:val="000000"/>
              <w:sz w:val="24"/>
              <w:szCs w:val="24"/>
            </w:rPr>
            <w:t>Descripción de la naturaleza de la obligación contraída:</w:t>
          </w:r>
        </w:p>
        <w:p w14:paraId="0E2CF120" w14:textId="77777777" w:rsidR="0019582D" w:rsidRPr="00931DCE" w:rsidRDefault="0019582D" w:rsidP="0019582D">
          <w:pPr>
            <w:autoSpaceDE w:val="0"/>
            <w:autoSpaceDN w:val="0"/>
            <w:adjustRightInd w:val="0"/>
            <w:spacing w:after="0" w:line="240" w:lineRule="auto"/>
            <w:rPr>
              <w:rFonts w:ascii="Times New Roman" w:hAnsi="Times New Roman"/>
              <w:color w:val="000000"/>
              <w:sz w:val="24"/>
              <w:szCs w:val="24"/>
            </w:rPr>
          </w:pPr>
        </w:p>
        <w:p w14:paraId="26CCBB02" w14:textId="77777777" w:rsidR="0019582D" w:rsidRDefault="0019582D" w:rsidP="0019582D">
          <w:pPr>
            <w:autoSpaceDE w:val="0"/>
            <w:autoSpaceDN w:val="0"/>
            <w:adjustRightInd w:val="0"/>
            <w:spacing w:after="0" w:line="240" w:lineRule="auto"/>
            <w:jc w:val="both"/>
            <w:rPr>
              <w:rFonts w:ascii="Times New Roman" w:hAnsi="Times New Roman"/>
              <w:color w:val="000000"/>
              <w:sz w:val="24"/>
              <w:szCs w:val="24"/>
            </w:rPr>
          </w:pPr>
        </w:p>
        <w:p w14:paraId="69DBA4D8" w14:textId="77777777" w:rsidR="00905B31" w:rsidRDefault="00905B31" w:rsidP="00905B31">
          <w:pPr>
            <w:autoSpaceDE w:val="0"/>
            <w:autoSpaceDN w:val="0"/>
            <w:adjustRightInd w:val="0"/>
            <w:spacing w:after="0" w:line="240" w:lineRule="auto"/>
            <w:jc w:val="both"/>
            <w:rPr>
              <w:rFonts w:ascii="Times New Roman" w:hAnsi="Times New Roman"/>
              <w:color w:val="000000"/>
              <w:sz w:val="24"/>
              <w:szCs w:val="24"/>
            </w:rPr>
          </w:pPr>
          <w:r w:rsidRPr="00315702">
            <w:rPr>
              <w:rFonts w:ascii="Times New Roman" w:hAnsi="Times New Roman"/>
              <w:b/>
              <w:color w:val="000000"/>
              <w:sz w:val="24"/>
              <w:szCs w:val="24"/>
            </w:rPr>
            <w:t>Civiles:</w:t>
          </w:r>
          <w:r>
            <w:rPr>
              <w:rFonts w:ascii="Times New Roman" w:hAnsi="Times New Roman"/>
              <w:color w:val="000000"/>
              <w:sz w:val="24"/>
              <w:szCs w:val="24"/>
            </w:rPr>
            <w:t xml:space="preserve"> corresponden a nueve (9) procesos, los cuales fueron calificados a 31 de diciembre con riesgo de pérdida alta; de los 9 procesos siete (7) corresponden a restitución de tierras y servidumbre, por lo cual no tienen pretensiones y no son objeto de contabilización. </w:t>
          </w:r>
        </w:p>
        <w:p w14:paraId="2A4FE4F6" w14:textId="77777777" w:rsidR="00905B31" w:rsidRDefault="00905B31" w:rsidP="00905B31">
          <w:pPr>
            <w:autoSpaceDE w:val="0"/>
            <w:autoSpaceDN w:val="0"/>
            <w:adjustRightInd w:val="0"/>
            <w:spacing w:after="0" w:line="240" w:lineRule="auto"/>
            <w:jc w:val="both"/>
            <w:rPr>
              <w:rFonts w:ascii="Times New Roman" w:hAnsi="Times New Roman"/>
              <w:color w:val="000000"/>
              <w:sz w:val="24"/>
              <w:szCs w:val="24"/>
            </w:rPr>
          </w:pPr>
        </w:p>
        <w:p w14:paraId="560F79D2" w14:textId="77777777" w:rsidR="00905B31" w:rsidRDefault="00905B31" w:rsidP="00905B31">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La principal variación en esta subcuenta tiene como causa el cambio en la calificación del riesgo realizada por los apoderados con corte 31 de diciembre de 2023 y de los procesos terminados durante el año. </w:t>
          </w:r>
        </w:p>
        <w:p w14:paraId="2AC15FEE" w14:textId="77777777" w:rsidR="00905B31" w:rsidRDefault="00905B31" w:rsidP="00905B31">
          <w:pPr>
            <w:autoSpaceDE w:val="0"/>
            <w:autoSpaceDN w:val="0"/>
            <w:adjustRightInd w:val="0"/>
            <w:spacing w:after="0" w:line="240" w:lineRule="auto"/>
            <w:jc w:val="both"/>
            <w:rPr>
              <w:rFonts w:ascii="Times New Roman" w:hAnsi="Times New Roman"/>
              <w:color w:val="000000"/>
              <w:sz w:val="24"/>
              <w:szCs w:val="24"/>
            </w:rPr>
          </w:pPr>
        </w:p>
        <w:p w14:paraId="578A03DA" w14:textId="77777777" w:rsidR="00905B31" w:rsidRDefault="00905B31" w:rsidP="00905B31">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A continuación, </w:t>
          </w:r>
          <w:r w:rsidRPr="00E874E2">
            <w:rPr>
              <w:rFonts w:ascii="Times New Roman" w:hAnsi="Times New Roman"/>
              <w:color w:val="000000"/>
              <w:sz w:val="24"/>
              <w:szCs w:val="24"/>
            </w:rPr>
            <w:t>se detalla</w:t>
          </w:r>
          <w:r>
            <w:rPr>
              <w:rFonts w:ascii="Times New Roman" w:hAnsi="Times New Roman"/>
              <w:color w:val="000000"/>
              <w:sz w:val="24"/>
              <w:szCs w:val="24"/>
            </w:rPr>
            <w:t>n los saldos a nivel de terceros</w:t>
          </w:r>
        </w:p>
        <w:p w14:paraId="64C2AC97" w14:textId="77777777" w:rsidR="00905B31" w:rsidRDefault="00905B31" w:rsidP="00905B31">
          <w:pPr>
            <w:autoSpaceDE w:val="0"/>
            <w:autoSpaceDN w:val="0"/>
            <w:adjustRightInd w:val="0"/>
            <w:spacing w:after="0" w:line="240" w:lineRule="auto"/>
            <w:jc w:val="both"/>
            <w:rPr>
              <w:rFonts w:ascii="Times New Roman" w:hAnsi="Times New Roman"/>
              <w:color w:val="000000"/>
              <w:sz w:val="24"/>
              <w:szCs w:val="24"/>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CellMar>
              <w:left w:w="70" w:type="dxa"/>
              <w:right w:w="70" w:type="dxa"/>
            </w:tblCellMar>
            <w:tblLook w:val="04A0" w:firstRow="1" w:lastRow="0" w:firstColumn="1" w:lastColumn="0" w:noHBand="0" w:noVBand="1"/>
          </w:tblPr>
          <w:tblGrid>
            <w:gridCol w:w="3823"/>
            <w:gridCol w:w="1417"/>
            <w:gridCol w:w="1419"/>
            <w:gridCol w:w="2310"/>
          </w:tblGrid>
          <w:tr w:rsidR="0054388B" w:rsidRPr="00E3285C" w14:paraId="09EA2B8E" w14:textId="77777777" w:rsidTr="006C322F">
            <w:trPr>
              <w:trHeight w:val="340"/>
            </w:trPr>
            <w:tc>
              <w:tcPr>
                <w:tcW w:w="2131" w:type="pct"/>
                <w:vAlign w:val="center"/>
              </w:tcPr>
              <w:p w14:paraId="2BFDF933" w14:textId="77777777" w:rsidR="0054388B" w:rsidRPr="00E3285C" w:rsidRDefault="0054388B">
                <w:pPr>
                  <w:spacing w:after="0" w:line="240" w:lineRule="auto"/>
                  <w:jc w:val="center"/>
                  <w:rPr>
                    <w:rFonts w:ascii="Times New Roman" w:eastAsia="Times New Roman" w:hAnsi="Times New Roman"/>
                    <w:b/>
                    <w:bCs/>
                    <w:color w:val="000000"/>
                    <w:sz w:val="18"/>
                    <w:szCs w:val="18"/>
                    <w:lang w:eastAsia="es-CO"/>
                  </w:rPr>
                </w:pPr>
                <w:r w:rsidRPr="00E3285C">
                  <w:rPr>
                    <w:rFonts w:ascii="Times New Roman" w:eastAsia="Times New Roman" w:hAnsi="Times New Roman"/>
                    <w:b/>
                    <w:bCs/>
                    <w:color w:val="000000"/>
                    <w:sz w:val="18"/>
                    <w:szCs w:val="18"/>
                    <w:lang w:eastAsia="es-CO"/>
                  </w:rPr>
                  <w:t>TERCERO</w:t>
                </w:r>
              </w:p>
            </w:tc>
            <w:tc>
              <w:tcPr>
                <w:tcW w:w="790" w:type="pct"/>
                <w:shd w:val="clear" w:color="auto" w:fill="auto"/>
                <w:vAlign w:val="center"/>
                <w:hideMark/>
              </w:tcPr>
              <w:p w14:paraId="494DDB64" w14:textId="77777777" w:rsidR="0054388B" w:rsidRPr="00E3285C" w:rsidRDefault="0054388B">
                <w:pPr>
                  <w:spacing w:after="0" w:line="240" w:lineRule="auto"/>
                  <w:jc w:val="right"/>
                  <w:rPr>
                    <w:rFonts w:ascii="Times New Roman" w:eastAsia="Times New Roman" w:hAnsi="Times New Roman"/>
                    <w:b/>
                    <w:bCs/>
                    <w:color w:val="000000"/>
                    <w:sz w:val="18"/>
                    <w:szCs w:val="18"/>
                    <w:lang w:eastAsia="es-CO"/>
                  </w:rPr>
                </w:pPr>
                <w:r>
                  <w:rPr>
                    <w:rFonts w:ascii="Times New Roman" w:eastAsia="Times New Roman" w:hAnsi="Times New Roman"/>
                    <w:b/>
                    <w:bCs/>
                    <w:color w:val="000000"/>
                    <w:sz w:val="18"/>
                    <w:szCs w:val="18"/>
                    <w:lang w:eastAsia="es-CO"/>
                  </w:rPr>
                  <w:t>2023</w:t>
                </w:r>
              </w:p>
            </w:tc>
            <w:tc>
              <w:tcPr>
                <w:tcW w:w="791" w:type="pct"/>
                <w:vAlign w:val="center"/>
              </w:tcPr>
              <w:p w14:paraId="4AE65834" w14:textId="77777777" w:rsidR="0054388B" w:rsidRPr="00E3285C" w:rsidRDefault="0054388B">
                <w:pPr>
                  <w:spacing w:after="0" w:line="240" w:lineRule="auto"/>
                  <w:jc w:val="right"/>
                  <w:rPr>
                    <w:rFonts w:ascii="Times New Roman" w:eastAsia="Times New Roman" w:hAnsi="Times New Roman"/>
                    <w:b/>
                    <w:bCs/>
                    <w:color w:val="000000"/>
                    <w:sz w:val="18"/>
                    <w:szCs w:val="18"/>
                    <w:lang w:eastAsia="es-CO"/>
                  </w:rPr>
                </w:pPr>
                <w:r>
                  <w:rPr>
                    <w:rFonts w:ascii="Times New Roman" w:eastAsia="Times New Roman" w:hAnsi="Times New Roman"/>
                    <w:b/>
                    <w:bCs/>
                    <w:color w:val="000000"/>
                    <w:sz w:val="18"/>
                    <w:szCs w:val="18"/>
                    <w:lang w:eastAsia="es-CO"/>
                  </w:rPr>
                  <w:t>2022</w:t>
                </w:r>
              </w:p>
            </w:tc>
            <w:tc>
              <w:tcPr>
                <w:tcW w:w="1288" w:type="pct"/>
                <w:vAlign w:val="center"/>
              </w:tcPr>
              <w:p w14:paraId="01D2AAAC" w14:textId="77777777" w:rsidR="0054388B" w:rsidRDefault="0054388B">
                <w:pPr>
                  <w:spacing w:after="0" w:line="240" w:lineRule="auto"/>
                  <w:jc w:val="center"/>
                  <w:rPr>
                    <w:rFonts w:ascii="Times New Roman" w:eastAsia="Times New Roman" w:hAnsi="Times New Roman"/>
                    <w:b/>
                    <w:bCs/>
                    <w:color w:val="000000"/>
                    <w:sz w:val="18"/>
                    <w:szCs w:val="18"/>
                    <w:lang w:eastAsia="es-CO"/>
                  </w:rPr>
                </w:pPr>
                <w:r>
                  <w:rPr>
                    <w:rFonts w:ascii="Times New Roman" w:eastAsia="Times New Roman" w:hAnsi="Times New Roman"/>
                    <w:b/>
                    <w:bCs/>
                    <w:color w:val="000000"/>
                    <w:sz w:val="18"/>
                    <w:szCs w:val="18"/>
                    <w:lang w:eastAsia="es-CO"/>
                  </w:rPr>
                  <w:t>RADICADO PROCESO</w:t>
                </w:r>
              </w:p>
            </w:tc>
          </w:tr>
          <w:tr w:rsidR="0054388B" w:rsidRPr="00E3285C" w14:paraId="3FFD89A4" w14:textId="77777777" w:rsidTr="006C322F">
            <w:trPr>
              <w:trHeight w:val="340"/>
            </w:trPr>
            <w:tc>
              <w:tcPr>
                <w:tcW w:w="2131" w:type="pct"/>
                <w:shd w:val="clear" w:color="auto" w:fill="auto"/>
                <w:vAlign w:val="center"/>
                <w:hideMark/>
              </w:tcPr>
              <w:p w14:paraId="77959A5C" w14:textId="77777777" w:rsidR="0054388B" w:rsidRPr="00E3285C" w:rsidRDefault="0054388B">
                <w:pPr>
                  <w:spacing w:after="0" w:line="240" w:lineRule="auto"/>
                  <w:rPr>
                    <w:rFonts w:ascii="Times New Roman" w:eastAsia="Times New Roman" w:hAnsi="Times New Roman"/>
                    <w:color w:val="000000"/>
                    <w:sz w:val="18"/>
                    <w:szCs w:val="18"/>
                    <w:lang w:eastAsia="es-CO"/>
                  </w:rPr>
                </w:pPr>
                <w:r w:rsidRPr="00E3285C">
                  <w:rPr>
                    <w:rFonts w:ascii="Times New Roman" w:eastAsia="Times New Roman" w:hAnsi="Times New Roman"/>
                    <w:color w:val="000000"/>
                    <w:sz w:val="18"/>
                    <w:szCs w:val="18"/>
                    <w:lang w:eastAsia="es-CO"/>
                  </w:rPr>
                  <w:t xml:space="preserve">Energold </w:t>
                </w:r>
                <w:r>
                  <w:rPr>
                    <w:rFonts w:ascii="Times New Roman" w:eastAsia="Times New Roman" w:hAnsi="Times New Roman"/>
                    <w:color w:val="000000"/>
                    <w:sz w:val="18"/>
                    <w:szCs w:val="18"/>
                    <w:lang w:eastAsia="es-CO"/>
                  </w:rPr>
                  <w:t>d</w:t>
                </w:r>
                <w:r w:rsidRPr="00E3285C">
                  <w:rPr>
                    <w:rFonts w:ascii="Times New Roman" w:eastAsia="Times New Roman" w:hAnsi="Times New Roman"/>
                    <w:color w:val="000000"/>
                    <w:sz w:val="18"/>
                    <w:szCs w:val="18"/>
                    <w:lang w:eastAsia="es-CO"/>
                  </w:rPr>
                  <w:t>e Colombia S.A.S.</w:t>
                </w:r>
              </w:p>
            </w:tc>
            <w:tc>
              <w:tcPr>
                <w:tcW w:w="790" w:type="pct"/>
                <w:shd w:val="clear" w:color="auto" w:fill="auto"/>
                <w:vAlign w:val="center"/>
                <w:hideMark/>
              </w:tcPr>
              <w:p w14:paraId="414FBFF6" w14:textId="77777777" w:rsidR="0054388B" w:rsidRPr="00E3285C" w:rsidRDefault="0054388B">
                <w:pPr>
                  <w:spacing w:after="0" w:line="240" w:lineRule="auto"/>
                  <w:jc w:val="right"/>
                  <w:rPr>
                    <w:rFonts w:ascii="Times New Roman" w:eastAsia="Times New Roman" w:hAnsi="Times New Roman"/>
                    <w:color w:val="000000"/>
                    <w:sz w:val="18"/>
                    <w:szCs w:val="18"/>
                    <w:lang w:eastAsia="es-CO"/>
                  </w:rPr>
                </w:pPr>
                <w:r>
                  <w:rPr>
                    <w:rFonts w:ascii="Times New Roman" w:eastAsia="Times New Roman" w:hAnsi="Times New Roman"/>
                    <w:color w:val="000000"/>
                    <w:sz w:val="18"/>
                    <w:szCs w:val="18"/>
                    <w:lang w:eastAsia="es-CO"/>
                  </w:rPr>
                  <w:t>7.909.000.368</w:t>
                </w:r>
              </w:p>
            </w:tc>
            <w:tc>
              <w:tcPr>
                <w:tcW w:w="791" w:type="pct"/>
                <w:vAlign w:val="center"/>
              </w:tcPr>
              <w:p w14:paraId="2B84175C" w14:textId="77777777" w:rsidR="0054388B" w:rsidRPr="00E3285C" w:rsidRDefault="0054388B">
                <w:pPr>
                  <w:spacing w:after="0" w:line="240" w:lineRule="auto"/>
                  <w:jc w:val="right"/>
                  <w:rPr>
                    <w:rFonts w:ascii="Times New Roman" w:eastAsia="Times New Roman" w:hAnsi="Times New Roman"/>
                    <w:color w:val="000000"/>
                    <w:sz w:val="18"/>
                    <w:szCs w:val="18"/>
                    <w:lang w:eastAsia="es-CO"/>
                  </w:rPr>
                </w:pPr>
                <w:r>
                  <w:rPr>
                    <w:rFonts w:ascii="Times New Roman" w:eastAsia="Times New Roman" w:hAnsi="Times New Roman"/>
                    <w:color w:val="000000"/>
                    <w:sz w:val="18"/>
                    <w:szCs w:val="18"/>
                    <w:lang w:eastAsia="es-CO"/>
                  </w:rPr>
                  <w:t>7.909.000.368</w:t>
                </w:r>
              </w:p>
            </w:tc>
            <w:tc>
              <w:tcPr>
                <w:tcW w:w="1288" w:type="pct"/>
                <w:vAlign w:val="center"/>
              </w:tcPr>
              <w:p w14:paraId="0580F9D8" w14:textId="77777777" w:rsidR="0054388B" w:rsidRPr="00E3285C" w:rsidRDefault="0054388B">
                <w:pPr>
                  <w:spacing w:after="0" w:line="240" w:lineRule="auto"/>
                  <w:jc w:val="right"/>
                  <w:rPr>
                    <w:rFonts w:ascii="Times New Roman" w:eastAsia="Times New Roman" w:hAnsi="Times New Roman"/>
                    <w:color w:val="000000"/>
                    <w:sz w:val="18"/>
                    <w:szCs w:val="18"/>
                    <w:lang w:eastAsia="es-CO"/>
                  </w:rPr>
                </w:pPr>
                <w:r w:rsidRPr="00D16B53">
                  <w:rPr>
                    <w:rFonts w:ascii="Times New Roman" w:eastAsia="Times New Roman" w:hAnsi="Times New Roman"/>
                    <w:color w:val="000000"/>
                    <w:sz w:val="18"/>
                    <w:szCs w:val="18"/>
                    <w:lang w:eastAsia="es-CO"/>
                  </w:rPr>
                  <w:t>54405310300120180000400</w:t>
                </w:r>
              </w:p>
            </w:tc>
          </w:tr>
          <w:tr w:rsidR="0054388B" w:rsidRPr="00E3285C" w14:paraId="114F6D92" w14:textId="77777777" w:rsidTr="006C322F">
            <w:trPr>
              <w:trHeight w:val="340"/>
            </w:trPr>
            <w:tc>
              <w:tcPr>
                <w:tcW w:w="2131" w:type="pct"/>
                <w:shd w:val="clear" w:color="auto" w:fill="auto"/>
                <w:vAlign w:val="center"/>
                <w:hideMark/>
              </w:tcPr>
              <w:p w14:paraId="7C963EED" w14:textId="77777777" w:rsidR="0054388B" w:rsidRPr="00E3285C" w:rsidRDefault="0054388B">
                <w:pPr>
                  <w:spacing w:after="0" w:line="240" w:lineRule="auto"/>
                  <w:rPr>
                    <w:rFonts w:ascii="Times New Roman" w:eastAsia="Times New Roman" w:hAnsi="Times New Roman"/>
                    <w:color w:val="000000"/>
                    <w:sz w:val="18"/>
                    <w:szCs w:val="18"/>
                    <w:lang w:eastAsia="es-CO"/>
                  </w:rPr>
                </w:pPr>
                <w:r w:rsidRPr="00E3285C">
                  <w:rPr>
                    <w:rFonts w:ascii="Times New Roman" w:eastAsia="Times New Roman" w:hAnsi="Times New Roman"/>
                    <w:color w:val="000000"/>
                    <w:sz w:val="18"/>
                    <w:szCs w:val="18"/>
                    <w:lang w:eastAsia="es-CO"/>
                  </w:rPr>
                  <w:t xml:space="preserve">Concesionaria Vial </w:t>
                </w:r>
                <w:r>
                  <w:rPr>
                    <w:rFonts w:ascii="Times New Roman" w:eastAsia="Times New Roman" w:hAnsi="Times New Roman"/>
                    <w:color w:val="000000"/>
                    <w:sz w:val="18"/>
                    <w:szCs w:val="18"/>
                    <w:lang w:eastAsia="es-CO"/>
                  </w:rPr>
                  <w:t>d</w:t>
                </w:r>
                <w:r w:rsidRPr="00E3285C">
                  <w:rPr>
                    <w:rFonts w:ascii="Times New Roman" w:eastAsia="Times New Roman" w:hAnsi="Times New Roman"/>
                    <w:color w:val="000000"/>
                    <w:sz w:val="18"/>
                    <w:szCs w:val="18"/>
                    <w:lang w:eastAsia="es-CO"/>
                  </w:rPr>
                  <w:t>el Pacifico S A S</w:t>
                </w:r>
              </w:p>
            </w:tc>
            <w:tc>
              <w:tcPr>
                <w:tcW w:w="790" w:type="pct"/>
                <w:shd w:val="clear" w:color="auto" w:fill="auto"/>
                <w:vAlign w:val="center"/>
                <w:hideMark/>
              </w:tcPr>
              <w:p w14:paraId="2AF90EF2" w14:textId="77777777" w:rsidR="0054388B" w:rsidRPr="00E3285C" w:rsidRDefault="0054388B">
                <w:pPr>
                  <w:spacing w:after="0" w:line="240" w:lineRule="auto"/>
                  <w:jc w:val="right"/>
                  <w:rPr>
                    <w:rFonts w:ascii="Times New Roman" w:eastAsia="Times New Roman" w:hAnsi="Times New Roman"/>
                    <w:color w:val="000000"/>
                    <w:sz w:val="18"/>
                    <w:szCs w:val="18"/>
                    <w:lang w:eastAsia="es-CO"/>
                  </w:rPr>
                </w:pPr>
                <w:r>
                  <w:rPr>
                    <w:rFonts w:ascii="Times New Roman" w:eastAsia="Times New Roman" w:hAnsi="Times New Roman"/>
                    <w:color w:val="000000"/>
                    <w:sz w:val="18"/>
                    <w:szCs w:val="18"/>
                    <w:lang w:eastAsia="es-CO"/>
                  </w:rPr>
                  <w:t>0</w:t>
                </w:r>
              </w:p>
            </w:tc>
            <w:tc>
              <w:tcPr>
                <w:tcW w:w="791" w:type="pct"/>
                <w:vAlign w:val="center"/>
              </w:tcPr>
              <w:p w14:paraId="2FBF35B4" w14:textId="77777777" w:rsidR="0054388B" w:rsidRPr="00E3285C" w:rsidRDefault="0054388B">
                <w:pPr>
                  <w:spacing w:after="0" w:line="240" w:lineRule="auto"/>
                  <w:jc w:val="right"/>
                  <w:rPr>
                    <w:rFonts w:ascii="Times New Roman" w:eastAsia="Times New Roman" w:hAnsi="Times New Roman"/>
                    <w:color w:val="000000"/>
                    <w:sz w:val="18"/>
                    <w:szCs w:val="18"/>
                    <w:lang w:eastAsia="es-CO"/>
                  </w:rPr>
                </w:pPr>
                <w:r>
                  <w:rPr>
                    <w:rFonts w:ascii="Times New Roman" w:eastAsia="Times New Roman" w:hAnsi="Times New Roman"/>
                    <w:color w:val="000000"/>
                    <w:sz w:val="18"/>
                    <w:szCs w:val="18"/>
                    <w:lang w:eastAsia="es-CO"/>
                  </w:rPr>
                  <w:t>740.435.703</w:t>
                </w:r>
              </w:p>
            </w:tc>
            <w:tc>
              <w:tcPr>
                <w:tcW w:w="1288" w:type="pct"/>
                <w:vAlign w:val="center"/>
              </w:tcPr>
              <w:p w14:paraId="557C016C" w14:textId="77777777" w:rsidR="0054388B" w:rsidRPr="00E3285C" w:rsidRDefault="0054388B">
                <w:pPr>
                  <w:spacing w:after="0" w:line="240" w:lineRule="auto"/>
                  <w:jc w:val="right"/>
                  <w:rPr>
                    <w:rFonts w:ascii="Times New Roman" w:eastAsia="Times New Roman" w:hAnsi="Times New Roman"/>
                    <w:color w:val="000000"/>
                    <w:sz w:val="18"/>
                    <w:szCs w:val="18"/>
                    <w:lang w:eastAsia="es-CO"/>
                  </w:rPr>
                </w:pPr>
                <w:r w:rsidRPr="00590EAF">
                  <w:rPr>
                    <w:rFonts w:ascii="Times New Roman" w:eastAsia="Times New Roman" w:hAnsi="Times New Roman"/>
                    <w:color w:val="000000"/>
                    <w:sz w:val="18"/>
                    <w:szCs w:val="18"/>
                    <w:lang w:eastAsia="es-CO"/>
                  </w:rPr>
                  <w:t>11001310302520180032800</w:t>
                </w:r>
              </w:p>
            </w:tc>
          </w:tr>
          <w:tr w:rsidR="0054388B" w:rsidRPr="00E3285C" w14:paraId="2EAF8B3D" w14:textId="77777777" w:rsidTr="006C322F">
            <w:trPr>
              <w:trHeight w:val="340"/>
            </w:trPr>
            <w:tc>
              <w:tcPr>
                <w:tcW w:w="2131" w:type="pct"/>
                <w:shd w:val="clear" w:color="auto" w:fill="auto"/>
                <w:vAlign w:val="center"/>
              </w:tcPr>
              <w:p w14:paraId="2F2B2BA5" w14:textId="77777777" w:rsidR="0054388B" w:rsidRPr="00E3285C" w:rsidRDefault="0054388B">
                <w:pPr>
                  <w:spacing w:after="0" w:line="240" w:lineRule="auto"/>
                  <w:rPr>
                    <w:rFonts w:ascii="Times New Roman" w:eastAsia="Times New Roman" w:hAnsi="Times New Roman"/>
                    <w:color w:val="000000"/>
                    <w:sz w:val="18"/>
                    <w:szCs w:val="18"/>
                    <w:lang w:eastAsia="es-CO"/>
                  </w:rPr>
                </w:pPr>
                <w:r>
                  <w:rPr>
                    <w:rFonts w:ascii="Times New Roman" w:eastAsia="Times New Roman" w:hAnsi="Times New Roman"/>
                    <w:color w:val="000000"/>
                    <w:sz w:val="18"/>
                    <w:szCs w:val="18"/>
                    <w:lang w:eastAsia="es-CO"/>
                  </w:rPr>
                  <w:t>I</w:t>
                </w:r>
                <w:r w:rsidRPr="0047752B">
                  <w:rPr>
                    <w:rFonts w:ascii="Times New Roman" w:eastAsia="Times New Roman" w:hAnsi="Times New Roman"/>
                    <w:color w:val="000000"/>
                    <w:sz w:val="18"/>
                    <w:szCs w:val="18"/>
                    <w:lang w:eastAsia="es-CO"/>
                  </w:rPr>
                  <w:t>nterconexión Eléctrica S.A. E.S.P.</w:t>
                </w:r>
              </w:p>
            </w:tc>
            <w:tc>
              <w:tcPr>
                <w:tcW w:w="790" w:type="pct"/>
                <w:shd w:val="clear" w:color="auto" w:fill="auto"/>
                <w:vAlign w:val="center"/>
              </w:tcPr>
              <w:p w14:paraId="263615DC" w14:textId="77777777" w:rsidR="0054388B" w:rsidRDefault="0054388B">
                <w:pPr>
                  <w:spacing w:after="0" w:line="240" w:lineRule="auto"/>
                  <w:jc w:val="right"/>
                  <w:rPr>
                    <w:rFonts w:ascii="Times New Roman" w:eastAsia="Times New Roman" w:hAnsi="Times New Roman"/>
                    <w:color w:val="000000"/>
                    <w:sz w:val="18"/>
                    <w:szCs w:val="18"/>
                    <w:lang w:eastAsia="es-CO"/>
                  </w:rPr>
                </w:pPr>
                <w:r>
                  <w:rPr>
                    <w:rFonts w:ascii="Times New Roman" w:eastAsia="Times New Roman" w:hAnsi="Times New Roman"/>
                    <w:color w:val="000000"/>
                    <w:sz w:val="18"/>
                    <w:szCs w:val="18"/>
                    <w:lang w:eastAsia="es-CO"/>
                  </w:rPr>
                  <w:t>54.088.173</w:t>
                </w:r>
              </w:p>
            </w:tc>
            <w:tc>
              <w:tcPr>
                <w:tcW w:w="791" w:type="pct"/>
                <w:vAlign w:val="center"/>
              </w:tcPr>
              <w:p w14:paraId="03F16640" w14:textId="77777777" w:rsidR="0054388B" w:rsidRDefault="0054388B">
                <w:pPr>
                  <w:spacing w:after="0" w:line="240" w:lineRule="auto"/>
                  <w:jc w:val="right"/>
                  <w:rPr>
                    <w:rFonts w:ascii="Times New Roman" w:eastAsia="Times New Roman" w:hAnsi="Times New Roman"/>
                    <w:color w:val="000000"/>
                    <w:sz w:val="18"/>
                    <w:szCs w:val="18"/>
                    <w:lang w:eastAsia="es-CO"/>
                  </w:rPr>
                </w:pPr>
                <w:r>
                  <w:rPr>
                    <w:rFonts w:ascii="Times New Roman" w:eastAsia="Times New Roman" w:hAnsi="Times New Roman"/>
                    <w:color w:val="000000"/>
                    <w:sz w:val="18"/>
                    <w:szCs w:val="18"/>
                    <w:lang w:eastAsia="es-CO"/>
                  </w:rPr>
                  <w:t>0</w:t>
                </w:r>
              </w:p>
            </w:tc>
            <w:tc>
              <w:tcPr>
                <w:tcW w:w="1288" w:type="pct"/>
                <w:vAlign w:val="center"/>
              </w:tcPr>
              <w:p w14:paraId="5EEC6A1C" w14:textId="77777777" w:rsidR="0054388B" w:rsidRPr="00590EAF" w:rsidRDefault="0054388B">
                <w:pPr>
                  <w:spacing w:after="0" w:line="240" w:lineRule="auto"/>
                  <w:jc w:val="right"/>
                  <w:rPr>
                    <w:rFonts w:ascii="Times New Roman" w:eastAsia="Times New Roman" w:hAnsi="Times New Roman"/>
                    <w:color w:val="000000"/>
                    <w:sz w:val="18"/>
                    <w:szCs w:val="18"/>
                    <w:lang w:eastAsia="es-CO"/>
                  </w:rPr>
                </w:pPr>
                <w:r w:rsidRPr="007120D2">
                  <w:rPr>
                    <w:rFonts w:ascii="Times New Roman" w:eastAsia="Times New Roman" w:hAnsi="Times New Roman"/>
                    <w:color w:val="000000"/>
                    <w:sz w:val="18"/>
                    <w:szCs w:val="18"/>
                    <w:lang w:eastAsia="es-CO"/>
                  </w:rPr>
                  <w:t>20011310300120230002900</w:t>
                </w:r>
              </w:p>
            </w:tc>
          </w:tr>
          <w:tr w:rsidR="0054388B" w:rsidRPr="00E3285C" w14:paraId="546EF63E" w14:textId="77777777" w:rsidTr="006C322F">
            <w:trPr>
              <w:trHeight w:val="340"/>
            </w:trPr>
            <w:tc>
              <w:tcPr>
                <w:tcW w:w="2131" w:type="pct"/>
                <w:shd w:val="clear" w:color="auto" w:fill="auto"/>
                <w:vAlign w:val="center"/>
              </w:tcPr>
              <w:p w14:paraId="1F7D7F8D" w14:textId="77777777" w:rsidR="0054388B" w:rsidRPr="00B4471F" w:rsidRDefault="0054388B">
                <w:pPr>
                  <w:spacing w:after="0" w:line="240" w:lineRule="auto"/>
                  <w:rPr>
                    <w:rFonts w:ascii="Times New Roman" w:eastAsia="Times New Roman" w:hAnsi="Times New Roman"/>
                    <w:b/>
                    <w:color w:val="000000"/>
                    <w:sz w:val="18"/>
                    <w:szCs w:val="18"/>
                    <w:lang w:eastAsia="es-CO"/>
                  </w:rPr>
                </w:pPr>
                <w:r w:rsidRPr="00B4471F">
                  <w:rPr>
                    <w:rFonts w:ascii="Times New Roman" w:eastAsia="Times New Roman" w:hAnsi="Times New Roman"/>
                    <w:b/>
                    <w:color w:val="000000"/>
                    <w:sz w:val="18"/>
                    <w:szCs w:val="18"/>
                    <w:lang w:eastAsia="es-CO"/>
                  </w:rPr>
                  <w:t>TOTALES</w:t>
                </w:r>
              </w:p>
            </w:tc>
            <w:tc>
              <w:tcPr>
                <w:tcW w:w="790" w:type="pct"/>
                <w:shd w:val="clear" w:color="auto" w:fill="auto"/>
                <w:vAlign w:val="center"/>
              </w:tcPr>
              <w:p w14:paraId="2C92F647" w14:textId="77777777" w:rsidR="0054388B" w:rsidRPr="00B4471F" w:rsidRDefault="0054388B">
                <w:pPr>
                  <w:spacing w:after="0" w:line="240" w:lineRule="auto"/>
                  <w:jc w:val="right"/>
                  <w:rPr>
                    <w:rFonts w:ascii="Times New Roman" w:eastAsia="Times New Roman" w:hAnsi="Times New Roman"/>
                    <w:b/>
                    <w:color w:val="000000"/>
                    <w:sz w:val="18"/>
                    <w:szCs w:val="18"/>
                    <w:lang w:eastAsia="es-CO"/>
                  </w:rPr>
                </w:pPr>
                <w:r w:rsidRPr="00B4471F">
                  <w:rPr>
                    <w:rFonts w:ascii="Times New Roman" w:eastAsia="Times New Roman" w:hAnsi="Times New Roman"/>
                    <w:b/>
                    <w:color w:val="000000"/>
                    <w:sz w:val="18"/>
                    <w:szCs w:val="18"/>
                    <w:lang w:eastAsia="es-CO"/>
                  </w:rPr>
                  <w:t>7.963.088.541</w:t>
                </w:r>
              </w:p>
            </w:tc>
            <w:tc>
              <w:tcPr>
                <w:tcW w:w="791" w:type="pct"/>
                <w:vAlign w:val="center"/>
              </w:tcPr>
              <w:p w14:paraId="1CFEC229" w14:textId="77777777" w:rsidR="0054388B" w:rsidRPr="00B4471F" w:rsidRDefault="0054388B">
                <w:pPr>
                  <w:spacing w:after="0" w:line="240" w:lineRule="auto"/>
                  <w:jc w:val="right"/>
                  <w:rPr>
                    <w:rFonts w:ascii="Times New Roman" w:eastAsia="Times New Roman" w:hAnsi="Times New Roman"/>
                    <w:b/>
                    <w:color w:val="000000"/>
                    <w:sz w:val="18"/>
                    <w:szCs w:val="18"/>
                    <w:lang w:eastAsia="es-CO"/>
                  </w:rPr>
                </w:pPr>
                <w:r w:rsidRPr="00B4471F">
                  <w:rPr>
                    <w:rFonts w:ascii="Times New Roman" w:eastAsia="Times New Roman" w:hAnsi="Times New Roman"/>
                    <w:b/>
                    <w:color w:val="000000"/>
                    <w:sz w:val="18"/>
                    <w:szCs w:val="18"/>
                    <w:lang w:eastAsia="es-CO"/>
                  </w:rPr>
                  <w:t>8.649.436.071</w:t>
                </w:r>
              </w:p>
            </w:tc>
            <w:tc>
              <w:tcPr>
                <w:tcW w:w="1288" w:type="pct"/>
                <w:vAlign w:val="center"/>
              </w:tcPr>
              <w:p w14:paraId="746B537E" w14:textId="77777777" w:rsidR="0054388B" w:rsidRPr="007120D2" w:rsidRDefault="0054388B">
                <w:pPr>
                  <w:spacing w:after="0" w:line="240" w:lineRule="auto"/>
                  <w:jc w:val="right"/>
                  <w:rPr>
                    <w:rFonts w:ascii="Times New Roman" w:eastAsia="Times New Roman" w:hAnsi="Times New Roman"/>
                    <w:color w:val="000000"/>
                    <w:sz w:val="18"/>
                    <w:szCs w:val="18"/>
                    <w:lang w:eastAsia="es-CO"/>
                  </w:rPr>
                </w:pPr>
              </w:p>
            </w:tc>
          </w:tr>
        </w:tbl>
        <w:p w14:paraId="2B0DC8DD" w14:textId="13B01A35" w:rsidR="0019582D" w:rsidRPr="00931DCE" w:rsidRDefault="00B55FD1" w:rsidP="0019582D">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14"/>
              <w:szCs w:val="14"/>
            </w:rPr>
            <w:t xml:space="preserve">   </w:t>
          </w:r>
          <w:r w:rsidRPr="00D16B53">
            <w:rPr>
              <w:rFonts w:ascii="Times New Roman" w:hAnsi="Times New Roman"/>
              <w:color w:val="000000"/>
              <w:sz w:val="14"/>
              <w:szCs w:val="14"/>
            </w:rPr>
            <w:t>Cifras expresadas en miles de pesos</w:t>
          </w:r>
        </w:p>
        <w:p w14:paraId="45810810" w14:textId="77777777" w:rsidR="0019582D" w:rsidRPr="00931DCE" w:rsidRDefault="0019582D" w:rsidP="0019582D">
          <w:pPr>
            <w:autoSpaceDE w:val="0"/>
            <w:autoSpaceDN w:val="0"/>
            <w:adjustRightInd w:val="0"/>
            <w:spacing w:after="0" w:line="240" w:lineRule="auto"/>
            <w:jc w:val="both"/>
            <w:rPr>
              <w:rFonts w:ascii="Times New Roman" w:hAnsi="Times New Roman"/>
              <w:color w:val="000000"/>
              <w:sz w:val="24"/>
              <w:szCs w:val="24"/>
            </w:rPr>
          </w:pPr>
        </w:p>
        <w:p w14:paraId="4ADF8573" w14:textId="63C2DC0F" w:rsidR="009E5D32" w:rsidRDefault="009E5D32" w:rsidP="009E5D32">
          <w:pPr>
            <w:autoSpaceDE w:val="0"/>
            <w:autoSpaceDN w:val="0"/>
            <w:adjustRightInd w:val="0"/>
            <w:spacing w:after="0" w:line="240" w:lineRule="auto"/>
            <w:jc w:val="both"/>
            <w:rPr>
              <w:rFonts w:ascii="Times New Roman" w:hAnsi="Times New Roman"/>
              <w:color w:val="000000"/>
              <w:sz w:val="24"/>
              <w:szCs w:val="24"/>
            </w:rPr>
          </w:pPr>
          <w:r w:rsidRPr="00791D10">
            <w:rPr>
              <w:rFonts w:ascii="Times New Roman" w:hAnsi="Times New Roman"/>
              <w:b/>
              <w:color w:val="000000"/>
              <w:sz w:val="24"/>
              <w:szCs w:val="24"/>
            </w:rPr>
            <w:t>Administrativos:</w:t>
          </w:r>
          <w:r>
            <w:rPr>
              <w:rFonts w:ascii="Times New Roman" w:hAnsi="Times New Roman"/>
              <w:color w:val="000000"/>
              <w:sz w:val="24"/>
              <w:szCs w:val="24"/>
            </w:rPr>
            <w:t xml:space="preserve"> corresponde a setenta y ocho (78) procesos de los cuales, sesenta y siete (67) son promovidos en ejercicio del medio de control de reparación directa y que conforme a la aplicación de los criterios de calificación del riesgo presentan una probabilidad “Alta” de condena; la mayoría de ellos en etapa de apelación con sentencia desfavorable en primera instancia y, once (11) procesos en ejercicio del medio de acción popular , los cuales no tienen pretensión y por lo tanto no son objeto de contabilización. </w:t>
          </w:r>
        </w:p>
        <w:p w14:paraId="7C0F6B55" w14:textId="77777777" w:rsidR="009E5D32" w:rsidRDefault="009E5D32" w:rsidP="009E5D32">
          <w:pPr>
            <w:autoSpaceDE w:val="0"/>
            <w:autoSpaceDN w:val="0"/>
            <w:adjustRightInd w:val="0"/>
            <w:spacing w:after="0" w:line="240" w:lineRule="auto"/>
            <w:jc w:val="both"/>
            <w:rPr>
              <w:rFonts w:ascii="Times New Roman" w:hAnsi="Times New Roman"/>
              <w:color w:val="000000"/>
              <w:sz w:val="24"/>
              <w:szCs w:val="24"/>
            </w:rPr>
          </w:pPr>
        </w:p>
        <w:p w14:paraId="7695A4EB" w14:textId="77777777" w:rsidR="009E5D32" w:rsidRDefault="009E5D32" w:rsidP="009E5D32">
          <w:pPr>
            <w:autoSpaceDE w:val="0"/>
            <w:autoSpaceDN w:val="0"/>
            <w:adjustRightInd w:val="0"/>
            <w:spacing w:after="0" w:line="240" w:lineRule="auto"/>
            <w:jc w:val="both"/>
            <w:rPr>
              <w:rFonts w:ascii="Times New Roman" w:hAnsi="Times New Roman"/>
              <w:color w:val="000000"/>
              <w:sz w:val="24"/>
              <w:szCs w:val="24"/>
            </w:rPr>
          </w:pPr>
          <w:r w:rsidRPr="00281B4B">
            <w:rPr>
              <w:rFonts w:ascii="Times New Roman" w:hAnsi="Times New Roman"/>
              <w:color w:val="000000"/>
              <w:sz w:val="24"/>
            </w:rPr>
            <w:t>La fecha probable del eventual pago en este tipo de procesos se encuentra prevista entre los dos y cuatro años siguientes.</w:t>
          </w:r>
        </w:p>
        <w:p w14:paraId="65E4D41D" w14:textId="77777777" w:rsidR="009E5D32" w:rsidRDefault="009E5D32" w:rsidP="009E5D32">
          <w:pPr>
            <w:autoSpaceDE w:val="0"/>
            <w:autoSpaceDN w:val="0"/>
            <w:adjustRightInd w:val="0"/>
            <w:spacing w:after="0" w:line="240" w:lineRule="auto"/>
            <w:jc w:val="both"/>
            <w:rPr>
              <w:rFonts w:ascii="Times New Roman" w:hAnsi="Times New Roman"/>
              <w:color w:val="000000"/>
              <w:sz w:val="24"/>
              <w:szCs w:val="24"/>
            </w:rPr>
          </w:pPr>
        </w:p>
        <w:p w14:paraId="16AA4969" w14:textId="77777777" w:rsidR="009E5D32" w:rsidRDefault="009E5D32" w:rsidP="009E5D32">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La determinación del valor de provisión es el resultado de la aplicación de la metodología establecida en la Resolución No. 521 de 2018 que establece, entre otros, que debe registrarse el valor de la condena en concreto como provisión contable y en casos de condena en abstracto debe registrarse el resultado del ejercicio de calificación y provisión.</w:t>
          </w:r>
        </w:p>
        <w:p w14:paraId="271B2E7B" w14:textId="77777777" w:rsidR="009E5D32" w:rsidRDefault="009E5D32" w:rsidP="009E5D32">
          <w:pPr>
            <w:autoSpaceDE w:val="0"/>
            <w:autoSpaceDN w:val="0"/>
            <w:adjustRightInd w:val="0"/>
            <w:spacing w:after="0" w:line="240" w:lineRule="auto"/>
            <w:jc w:val="both"/>
            <w:rPr>
              <w:rFonts w:ascii="Times New Roman" w:hAnsi="Times New Roman"/>
              <w:color w:val="000000"/>
              <w:sz w:val="24"/>
              <w:szCs w:val="24"/>
            </w:rPr>
          </w:pPr>
          <w:r w:rsidRPr="00E874E2">
            <w:rPr>
              <w:rFonts w:ascii="Times New Roman" w:hAnsi="Times New Roman"/>
              <w:color w:val="000000"/>
              <w:sz w:val="24"/>
              <w:szCs w:val="24"/>
            </w:rPr>
            <w:lastRenderedPageBreak/>
            <w:t xml:space="preserve">La principal variación en esta </w:t>
          </w:r>
          <w:r>
            <w:rPr>
              <w:rFonts w:ascii="Times New Roman" w:hAnsi="Times New Roman"/>
              <w:color w:val="000000"/>
              <w:sz w:val="24"/>
              <w:szCs w:val="24"/>
            </w:rPr>
            <w:t>sub</w:t>
          </w:r>
          <w:r w:rsidRPr="00E874E2">
            <w:rPr>
              <w:rFonts w:ascii="Times New Roman" w:hAnsi="Times New Roman"/>
              <w:color w:val="000000"/>
              <w:sz w:val="24"/>
              <w:szCs w:val="24"/>
            </w:rPr>
            <w:t>cuenta se presenta por</w:t>
          </w:r>
          <w:r>
            <w:rPr>
              <w:rFonts w:ascii="Times New Roman" w:hAnsi="Times New Roman"/>
              <w:color w:val="000000"/>
              <w:sz w:val="24"/>
              <w:szCs w:val="24"/>
            </w:rPr>
            <w:t xml:space="preserve">: </w:t>
          </w:r>
        </w:p>
        <w:p w14:paraId="58D2DEFA" w14:textId="77777777" w:rsidR="0019582D" w:rsidRDefault="0019582D" w:rsidP="0019582D">
          <w:pPr>
            <w:autoSpaceDE w:val="0"/>
            <w:autoSpaceDN w:val="0"/>
            <w:adjustRightInd w:val="0"/>
            <w:spacing w:after="0" w:line="240" w:lineRule="auto"/>
            <w:jc w:val="both"/>
            <w:rPr>
              <w:rFonts w:ascii="Times New Roman" w:hAnsi="Times New Roman"/>
              <w:color w:val="000000"/>
              <w:sz w:val="24"/>
              <w:szCs w:val="24"/>
            </w:rPr>
          </w:pPr>
        </w:p>
        <w:p w14:paraId="2CC102CD" w14:textId="77777777" w:rsidR="002D2C3C" w:rsidRPr="00D86A99" w:rsidRDefault="002D2C3C" w:rsidP="00E60BAB">
          <w:pPr>
            <w:pStyle w:val="Prrafodelista"/>
            <w:numPr>
              <w:ilvl w:val="0"/>
              <w:numId w:val="46"/>
            </w:numPr>
            <w:autoSpaceDE w:val="0"/>
            <w:autoSpaceDN w:val="0"/>
            <w:adjustRightInd w:val="0"/>
            <w:spacing w:after="0" w:line="240" w:lineRule="auto"/>
            <w:jc w:val="both"/>
            <w:rPr>
              <w:rFonts w:ascii="Times New Roman" w:hAnsi="Times New Roman"/>
              <w:color w:val="000000"/>
              <w:sz w:val="24"/>
              <w:szCs w:val="24"/>
            </w:rPr>
          </w:pPr>
          <w:r w:rsidRPr="00D86A99">
            <w:rPr>
              <w:rFonts w:ascii="Times New Roman" w:hAnsi="Times New Roman"/>
              <w:color w:val="000000"/>
              <w:sz w:val="24"/>
              <w:szCs w:val="24"/>
            </w:rPr>
            <w:t>la actualización de procesos reconocidos en vigencias anteriores entre otras por: actualización del valor de pretensión de la demanda, modificación del porcentaje de condena en virtud de la sentencia de primera instancia</w:t>
          </w:r>
        </w:p>
        <w:p w14:paraId="03952E1F" w14:textId="77777777" w:rsidR="002D2C3C" w:rsidRPr="00D86A99" w:rsidRDefault="002D2C3C" w:rsidP="00E60BAB">
          <w:pPr>
            <w:pStyle w:val="Prrafodelista"/>
            <w:numPr>
              <w:ilvl w:val="0"/>
              <w:numId w:val="46"/>
            </w:numPr>
            <w:autoSpaceDE w:val="0"/>
            <w:autoSpaceDN w:val="0"/>
            <w:adjustRightInd w:val="0"/>
            <w:spacing w:after="0" w:line="240" w:lineRule="auto"/>
            <w:jc w:val="both"/>
            <w:rPr>
              <w:rFonts w:ascii="Times New Roman" w:hAnsi="Times New Roman"/>
              <w:color w:val="000000"/>
              <w:sz w:val="24"/>
              <w:szCs w:val="24"/>
            </w:rPr>
          </w:pPr>
          <w:r w:rsidRPr="00D86A99">
            <w:rPr>
              <w:rFonts w:ascii="Times New Roman" w:hAnsi="Times New Roman"/>
              <w:color w:val="000000"/>
              <w:sz w:val="24"/>
              <w:szCs w:val="24"/>
            </w:rPr>
            <w:t xml:space="preserve">La inclusión de nuevos procesos a la subcuenta de provisión contable, por cambios procesales o modificación en los criterios de calificación del riesgo por parte de los apoderados. </w:t>
          </w:r>
        </w:p>
        <w:p w14:paraId="0D16FEDB" w14:textId="77777777" w:rsidR="002D2C3C" w:rsidRDefault="002D2C3C" w:rsidP="002D2C3C">
          <w:pPr>
            <w:autoSpaceDE w:val="0"/>
            <w:autoSpaceDN w:val="0"/>
            <w:adjustRightInd w:val="0"/>
            <w:spacing w:after="0" w:line="240" w:lineRule="auto"/>
            <w:jc w:val="both"/>
            <w:rPr>
              <w:rFonts w:ascii="Times New Roman" w:hAnsi="Times New Roman"/>
              <w:color w:val="000000"/>
              <w:sz w:val="24"/>
              <w:szCs w:val="24"/>
            </w:rPr>
          </w:pPr>
        </w:p>
        <w:p w14:paraId="463BD5C0" w14:textId="77777777" w:rsidR="002D2C3C" w:rsidRDefault="002D2C3C" w:rsidP="002D2C3C">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A continuación, </w:t>
          </w:r>
          <w:r w:rsidRPr="00E874E2">
            <w:rPr>
              <w:rFonts w:ascii="Times New Roman" w:hAnsi="Times New Roman"/>
              <w:color w:val="000000"/>
              <w:sz w:val="24"/>
              <w:szCs w:val="24"/>
            </w:rPr>
            <w:t>se detalla</w:t>
          </w:r>
          <w:r>
            <w:rPr>
              <w:rFonts w:ascii="Times New Roman" w:hAnsi="Times New Roman"/>
              <w:color w:val="000000"/>
              <w:sz w:val="24"/>
              <w:szCs w:val="24"/>
            </w:rPr>
            <w:t>n las modificaciones a nivel de terceros</w:t>
          </w:r>
        </w:p>
        <w:p w14:paraId="0083F774" w14:textId="77777777" w:rsidR="004761B8" w:rsidRDefault="004761B8" w:rsidP="002D2C3C">
          <w:pPr>
            <w:autoSpaceDE w:val="0"/>
            <w:autoSpaceDN w:val="0"/>
            <w:adjustRightInd w:val="0"/>
            <w:spacing w:after="0" w:line="240" w:lineRule="auto"/>
            <w:jc w:val="both"/>
            <w:rPr>
              <w:rFonts w:ascii="Times New Roman" w:hAnsi="Times New Roman"/>
              <w:color w:val="000000"/>
              <w:sz w:val="24"/>
              <w:szCs w:val="24"/>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ayout w:type="fixed"/>
            <w:tblCellMar>
              <w:left w:w="70" w:type="dxa"/>
              <w:right w:w="70" w:type="dxa"/>
            </w:tblCellMar>
            <w:tblLook w:val="04A0" w:firstRow="1" w:lastRow="0" w:firstColumn="1" w:lastColumn="0" w:noHBand="0" w:noVBand="1"/>
          </w:tblPr>
          <w:tblGrid>
            <w:gridCol w:w="3683"/>
            <w:gridCol w:w="1702"/>
            <w:gridCol w:w="1275"/>
            <w:gridCol w:w="2309"/>
          </w:tblGrid>
          <w:tr w:rsidR="0054388B" w:rsidRPr="00E522A4" w14:paraId="6CFACBA1" w14:textId="77777777" w:rsidTr="009A5B88">
            <w:trPr>
              <w:trHeight w:val="300"/>
              <w:tblHeader/>
            </w:trPr>
            <w:tc>
              <w:tcPr>
                <w:tcW w:w="2053" w:type="pct"/>
                <w:shd w:val="clear" w:color="auto" w:fill="auto"/>
                <w:vAlign w:val="center"/>
                <w:hideMark/>
              </w:tcPr>
              <w:p w14:paraId="61B8C24E" w14:textId="77777777" w:rsidR="0054388B" w:rsidRPr="009A46BB" w:rsidRDefault="0054388B">
                <w:pPr>
                  <w:spacing w:after="0" w:line="240" w:lineRule="auto"/>
                  <w:jc w:val="center"/>
                  <w:rPr>
                    <w:rFonts w:ascii="Times New Roman" w:eastAsia="Times New Roman" w:hAnsi="Times New Roman"/>
                    <w:b/>
                    <w:color w:val="000000"/>
                    <w:sz w:val="16"/>
                    <w:szCs w:val="16"/>
                    <w:lang w:eastAsia="es-CO"/>
                  </w:rPr>
                </w:pPr>
                <w:r w:rsidRPr="009A46BB">
                  <w:rPr>
                    <w:rFonts w:ascii="Times New Roman" w:eastAsia="Times New Roman" w:hAnsi="Times New Roman"/>
                    <w:b/>
                    <w:color w:val="000000"/>
                    <w:sz w:val="16"/>
                    <w:szCs w:val="16"/>
                    <w:lang w:eastAsia="es-CO"/>
                  </w:rPr>
                  <w:t>TERCERO</w:t>
                </w:r>
              </w:p>
            </w:tc>
            <w:tc>
              <w:tcPr>
                <w:tcW w:w="949" w:type="pct"/>
                <w:shd w:val="clear" w:color="auto" w:fill="auto"/>
                <w:vAlign w:val="center"/>
                <w:hideMark/>
              </w:tcPr>
              <w:p w14:paraId="080307C7" w14:textId="77777777" w:rsidR="0054388B" w:rsidRPr="009A46BB" w:rsidRDefault="0054388B">
                <w:pPr>
                  <w:spacing w:after="0" w:line="240" w:lineRule="auto"/>
                  <w:jc w:val="center"/>
                  <w:rPr>
                    <w:rFonts w:ascii="Times New Roman" w:eastAsia="Times New Roman" w:hAnsi="Times New Roman"/>
                    <w:b/>
                    <w:color w:val="000000"/>
                    <w:sz w:val="16"/>
                    <w:szCs w:val="16"/>
                    <w:lang w:eastAsia="es-CO"/>
                  </w:rPr>
                </w:pPr>
                <w:r w:rsidRPr="009A46BB">
                  <w:rPr>
                    <w:rFonts w:ascii="Times New Roman" w:eastAsia="Times New Roman" w:hAnsi="Times New Roman"/>
                    <w:b/>
                    <w:color w:val="000000"/>
                    <w:sz w:val="16"/>
                    <w:szCs w:val="16"/>
                    <w:lang w:eastAsia="es-CO"/>
                  </w:rPr>
                  <w:t>2023</w:t>
                </w:r>
              </w:p>
            </w:tc>
            <w:tc>
              <w:tcPr>
                <w:tcW w:w="711" w:type="pct"/>
                <w:shd w:val="clear" w:color="auto" w:fill="auto"/>
                <w:vAlign w:val="center"/>
                <w:hideMark/>
              </w:tcPr>
              <w:p w14:paraId="774E0946" w14:textId="77777777" w:rsidR="0054388B" w:rsidRPr="009A46BB" w:rsidRDefault="0054388B">
                <w:pPr>
                  <w:spacing w:after="0" w:line="240" w:lineRule="auto"/>
                  <w:jc w:val="center"/>
                  <w:rPr>
                    <w:rFonts w:ascii="Times New Roman" w:eastAsia="Times New Roman" w:hAnsi="Times New Roman"/>
                    <w:b/>
                    <w:color w:val="000000"/>
                    <w:sz w:val="16"/>
                    <w:szCs w:val="16"/>
                    <w:lang w:eastAsia="es-CO"/>
                  </w:rPr>
                </w:pPr>
                <w:r w:rsidRPr="009A46BB">
                  <w:rPr>
                    <w:rFonts w:ascii="Times New Roman" w:eastAsia="Times New Roman" w:hAnsi="Times New Roman"/>
                    <w:b/>
                    <w:color w:val="000000"/>
                    <w:sz w:val="16"/>
                    <w:szCs w:val="16"/>
                    <w:lang w:eastAsia="es-CO"/>
                  </w:rPr>
                  <w:t>2022</w:t>
                </w:r>
              </w:p>
            </w:tc>
            <w:tc>
              <w:tcPr>
                <w:tcW w:w="1288" w:type="pct"/>
                <w:shd w:val="clear" w:color="auto" w:fill="auto"/>
                <w:noWrap/>
                <w:vAlign w:val="center"/>
                <w:hideMark/>
              </w:tcPr>
              <w:p w14:paraId="07C6B42D" w14:textId="77777777" w:rsidR="0054388B" w:rsidRPr="009A46BB" w:rsidRDefault="0054388B" w:rsidP="009A5B88">
                <w:pPr>
                  <w:spacing w:after="0" w:line="240" w:lineRule="auto"/>
                  <w:jc w:val="center"/>
                  <w:rPr>
                    <w:rFonts w:ascii="Times New Roman" w:eastAsia="Times New Roman" w:hAnsi="Times New Roman"/>
                    <w:b/>
                    <w:color w:val="000000"/>
                    <w:sz w:val="16"/>
                    <w:szCs w:val="16"/>
                    <w:lang w:eastAsia="es-CO"/>
                  </w:rPr>
                </w:pPr>
                <w:r w:rsidRPr="009A46BB">
                  <w:rPr>
                    <w:rFonts w:ascii="Times New Roman" w:eastAsia="Times New Roman" w:hAnsi="Times New Roman"/>
                    <w:b/>
                    <w:color w:val="000000"/>
                    <w:sz w:val="16"/>
                    <w:szCs w:val="16"/>
                    <w:lang w:eastAsia="es-CO"/>
                  </w:rPr>
                  <w:t>RADICADO PROCESO</w:t>
                </w:r>
              </w:p>
            </w:tc>
          </w:tr>
          <w:tr w:rsidR="0054388B" w:rsidRPr="00E522A4" w14:paraId="5D905C5D" w14:textId="77777777" w:rsidTr="009A5B88">
            <w:trPr>
              <w:trHeight w:val="360"/>
            </w:trPr>
            <w:tc>
              <w:tcPr>
                <w:tcW w:w="2053" w:type="pct"/>
                <w:shd w:val="clear" w:color="auto" w:fill="auto"/>
                <w:vAlign w:val="center"/>
                <w:hideMark/>
              </w:tcPr>
              <w:p w14:paraId="6C62E2E9"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POLICIA NACIONAL - DIRECCION LOGISTICA Y FINANCIERA</w:t>
                </w:r>
              </w:p>
            </w:tc>
            <w:tc>
              <w:tcPr>
                <w:tcW w:w="949" w:type="pct"/>
                <w:shd w:val="clear" w:color="auto" w:fill="auto"/>
                <w:noWrap/>
                <w:vAlign w:val="center"/>
                <w:hideMark/>
              </w:tcPr>
              <w:p w14:paraId="28A7F590"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458.195.647</w:t>
                </w:r>
              </w:p>
            </w:tc>
            <w:tc>
              <w:tcPr>
                <w:tcW w:w="711" w:type="pct"/>
                <w:shd w:val="clear" w:color="auto" w:fill="auto"/>
                <w:noWrap/>
                <w:vAlign w:val="center"/>
              </w:tcPr>
              <w:p w14:paraId="4E8464F6" w14:textId="0CE73ABB"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w:t>
                </w:r>
              </w:p>
            </w:tc>
            <w:tc>
              <w:tcPr>
                <w:tcW w:w="1288" w:type="pct"/>
                <w:shd w:val="clear" w:color="auto" w:fill="auto"/>
                <w:noWrap/>
                <w:vAlign w:val="center"/>
                <w:hideMark/>
              </w:tcPr>
              <w:p w14:paraId="48220E6E"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70001233300020220015300</w:t>
                </w:r>
              </w:p>
            </w:tc>
          </w:tr>
          <w:tr w:rsidR="0054388B" w:rsidRPr="00E522A4" w14:paraId="1B467711" w14:textId="77777777" w:rsidTr="00D04986">
            <w:trPr>
              <w:trHeight w:val="381"/>
            </w:trPr>
            <w:tc>
              <w:tcPr>
                <w:tcW w:w="2053" w:type="pct"/>
                <w:shd w:val="clear" w:color="auto" w:fill="auto"/>
                <w:vAlign w:val="center"/>
                <w:hideMark/>
              </w:tcPr>
              <w:p w14:paraId="063443CA"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LEONOR PATRICIA GIRALDO GONZALEZ</w:t>
                </w:r>
              </w:p>
            </w:tc>
            <w:tc>
              <w:tcPr>
                <w:tcW w:w="949" w:type="pct"/>
                <w:shd w:val="clear" w:color="auto" w:fill="auto"/>
                <w:noWrap/>
                <w:vAlign w:val="center"/>
                <w:hideMark/>
              </w:tcPr>
              <w:p w14:paraId="1E19545B"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896.561.461</w:t>
                </w:r>
              </w:p>
            </w:tc>
            <w:tc>
              <w:tcPr>
                <w:tcW w:w="711" w:type="pct"/>
                <w:shd w:val="clear" w:color="auto" w:fill="auto"/>
                <w:noWrap/>
                <w:vAlign w:val="center"/>
              </w:tcPr>
              <w:p w14:paraId="4CC5F4D5" w14:textId="2393B79C"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1.016.632.227</w:t>
                </w:r>
              </w:p>
            </w:tc>
            <w:tc>
              <w:tcPr>
                <w:tcW w:w="1288" w:type="pct"/>
                <w:shd w:val="clear" w:color="auto" w:fill="auto"/>
                <w:noWrap/>
                <w:vAlign w:val="center"/>
                <w:hideMark/>
              </w:tcPr>
              <w:p w14:paraId="614E7E0C"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68001233300020140032803</w:t>
                </w:r>
              </w:p>
            </w:tc>
          </w:tr>
          <w:tr w:rsidR="0054388B" w:rsidRPr="00E522A4" w14:paraId="31292D4E" w14:textId="77777777" w:rsidTr="009A5B88">
            <w:trPr>
              <w:trHeight w:val="245"/>
            </w:trPr>
            <w:tc>
              <w:tcPr>
                <w:tcW w:w="2053" w:type="pct"/>
                <w:shd w:val="clear" w:color="auto" w:fill="auto"/>
                <w:vAlign w:val="center"/>
                <w:hideMark/>
              </w:tcPr>
              <w:p w14:paraId="79527F72"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FLOTA LA MACARENA S A</w:t>
                </w:r>
              </w:p>
            </w:tc>
            <w:tc>
              <w:tcPr>
                <w:tcW w:w="949" w:type="pct"/>
                <w:shd w:val="clear" w:color="auto" w:fill="auto"/>
                <w:noWrap/>
                <w:vAlign w:val="center"/>
                <w:hideMark/>
              </w:tcPr>
              <w:p w14:paraId="6CF02210"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455.546.495</w:t>
                </w:r>
              </w:p>
            </w:tc>
            <w:tc>
              <w:tcPr>
                <w:tcW w:w="711" w:type="pct"/>
                <w:shd w:val="clear" w:color="auto" w:fill="auto"/>
                <w:noWrap/>
                <w:vAlign w:val="center"/>
              </w:tcPr>
              <w:p w14:paraId="53579E25" w14:textId="5A5D9DE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674.993.734</w:t>
                </w:r>
              </w:p>
            </w:tc>
            <w:tc>
              <w:tcPr>
                <w:tcW w:w="1288" w:type="pct"/>
                <w:shd w:val="clear" w:color="auto" w:fill="auto"/>
                <w:noWrap/>
                <w:vAlign w:val="center"/>
                <w:hideMark/>
              </w:tcPr>
              <w:p w14:paraId="635AE5A7"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11001333103520090022300</w:t>
                </w:r>
              </w:p>
            </w:tc>
          </w:tr>
          <w:tr w:rsidR="0054388B" w:rsidRPr="00E522A4" w14:paraId="5DCB98A5" w14:textId="77777777" w:rsidTr="009A5B88">
            <w:trPr>
              <w:trHeight w:val="360"/>
            </w:trPr>
            <w:tc>
              <w:tcPr>
                <w:tcW w:w="2053" w:type="pct"/>
                <w:shd w:val="clear" w:color="auto" w:fill="auto"/>
                <w:vAlign w:val="center"/>
                <w:hideMark/>
              </w:tcPr>
              <w:p w14:paraId="13BBE9EC"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CONCESIONARIA VIAL DE LOS ANDES S.A.S. COVIANDES S.A.S.</w:t>
                </w:r>
              </w:p>
            </w:tc>
            <w:tc>
              <w:tcPr>
                <w:tcW w:w="949" w:type="pct"/>
                <w:shd w:val="clear" w:color="auto" w:fill="auto"/>
                <w:noWrap/>
                <w:vAlign w:val="center"/>
                <w:hideMark/>
              </w:tcPr>
              <w:p w14:paraId="2B09BB62"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4.211.274.806</w:t>
                </w:r>
              </w:p>
            </w:tc>
            <w:tc>
              <w:tcPr>
                <w:tcW w:w="711" w:type="pct"/>
                <w:shd w:val="clear" w:color="auto" w:fill="auto"/>
                <w:noWrap/>
                <w:vAlign w:val="center"/>
              </w:tcPr>
              <w:p w14:paraId="2F665E5E" w14:textId="3DCE3DDE"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w:t>
                </w:r>
              </w:p>
            </w:tc>
            <w:tc>
              <w:tcPr>
                <w:tcW w:w="1288" w:type="pct"/>
                <w:shd w:val="clear" w:color="auto" w:fill="auto"/>
                <w:noWrap/>
                <w:vAlign w:val="center"/>
                <w:hideMark/>
              </w:tcPr>
              <w:p w14:paraId="053F05BB"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11001310303720230029500</w:t>
                </w:r>
              </w:p>
            </w:tc>
          </w:tr>
          <w:tr w:rsidR="0054388B" w:rsidRPr="00E522A4" w14:paraId="24B3DC70" w14:textId="77777777" w:rsidTr="009A5B88">
            <w:trPr>
              <w:trHeight w:val="360"/>
            </w:trPr>
            <w:tc>
              <w:tcPr>
                <w:tcW w:w="2053" w:type="pct"/>
                <w:shd w:val="clear" w:color="auto" w:fill="auto"/>
                <w:vAlign w:val="center"/>
                <w:hideMark/>
              </w:tcPr>
              <w:p w14:paraId="66ABD73E"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CONCESION AEPTO SAN ANDRES Y PROVID SA</w:t>
                </w:r>
              </w:p>
            </w:tc>
            <w:tc>
              <w:tcPr>
                <w:tcW w:w="949" w:type="pct"/>
                <w:shd w:val="clear" w:color="auto" w:fill="auto"/>
                <w:noWrap/>
                <w:vAlign w:val="center"/>
                <w:hideMark/>
              </w:tcPr>
              <w:p w14:paraId="696D558A"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51.003.530.377</w:t>
                </w:r>
              </w:p>
            </w:tc>
            <w:tc>
              <w:tcPr>
                <w:tcW w:w="711" w:type="pct"/>
                <w:shd w:val="clear" w:color="auto" w:fill="auto"/>
                <w:noWrap/>
                <w:vAlign w:val="center"/>
              </w:tcPr>
              <w:p w14:paraId="22777E2E" w14:textId="21650B69"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45.245.736.506</w:t>
                </w:r>
              </w:p>
            </w:tc>
            <w:tc>
              <w:tcPr>
                <w:tcW w:w="1288" w:type="pct"/>
                <w:shd w:val="clear" w:color="auto" w:fill="auto"/>
                <w:noWrap/>
                <w:vAlign w:val="center"/>
                <w:hideMark/>
              </w:tcPr>
              <w:p w14:paraId="5D306587"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88001233300020150004700</w:t>
                </w:r>
              </w:p>
            </w:tc>
          </w:tr>
          <w:tr w:rsidR="0054388B" w:rsidRPr="00E522A4" w14:paraId="5EF4CA11" w14:textId="77777777" w:rsidTr="009A5B88">
            <w:trPr>
              <w:trHeight w:val="540"/>
            </w:trPr>
            <w:tc>
              <w:tcPr>
                <w:tcW w:w="2053" w:type="pct"/>
                <w:shd w:val="clear" w:color="auto" w:fill="auto"/>
                <w:vAlign w:val="center"/>
                <w:hideMark/>
              </w:tcPr>
              <w:p w14:paraId="231C79D9"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UNION TEMPORAL DESARROLLO VIAL DEL VALLE DEL CAUCA Y CAUCA</w:t>
                </w:r>
              </w:p>
            </w:tc>
            <w:tc>
              <w:tcPr>
                <w:tcW w:w="949" w:type="pct"/>
                <w:shd w:val="clear" w:color="auto" w:fill="auto"/>
                <w:noWrap/>
                <w:vAlign w:val="center"/>
                <w:hideMark/>
              </w:tcPr>
              <w:p w14:paraId="167B4669"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1.183.841.203.618</w:t>
                </w:r>
              </w:p>
            </w:tc>
            <w:tc>
              <w:tcPr>
                <w:tcW w:w="711" w:type="pct"/>
                <w:shd w:val="clear" w:color="auto" w:fill="auto"/>
                <w:noWrap/>
                <w:vAlign w:val="center"/>
              </w:tcPr>
              <w:p w14:paraId="1248F60D" w14:textId="360DFCEA"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w:t>
                </w:r>
              </w:p>
            </w:tc>
            <w:tc>
              <w:tcPr>
                <w:tcW w:w="1288" w:type="pct"/>
                <w:shd w:val="clear" w:color="auto" w:fill="auto"/>
                <w:noWrap/>
                <w:vAlign w:val="center"/>
                <w:hideMark/>
              </w:tcPr>
              <w:p w14:paraId="14140447"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76001233300020230009300</w:t>
                </w:r>
              </w:p>
            </w:tc>
          </w:tr>
          <w:tr w:rsidR="0054388B" w:rsidRPr="00E522A4" w14:paraId="210B0B46" w14:textId="77777777" w:rsidTr="009A5B88">
            <w:trPr>
              <w:trHeight w:val="300"/>
            </w:trPr>
            <w:tc>
              <w:tcPr>
                <w:tcW w:w="2053" w:type="pct"/>
                <w:shd w:val="clear" w:color="auto" w:fill="auto"/>
                <w:vAlign w:val="center"/>
                <w:hideMark/>
              </w:tcPr>
              <w:p w14:paraId="6FF8E9CE"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 xml:space="preserve">RAFAEL NAYIB QUINTERO </w:t>
                </w:r>
              </w:p>
            </w:tc>
            <w:tc>
              <w:tcPr>
                <w:tcW w:w="949" w:type="pct"/>
                <w:shd w:val="clear" w:color="auto" w:fill="auto"/>
                <w:noWrap/>
                <w:vAlign w:val="center"/>
                <w:hideMark/>
              </w:tcPr>
              <w:p w14:paraId="3B2E78CD"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3.850.218.452</w:t>
                </w:r>
              </w:p>
            </w:tc>
            <w:tc>
              <w:tcPr>
                <w:tcW w:w="711" w:type="pct"/>
                <w:shd w:val="clear" w:color="auto" w:fill="auto"/>
                <w:noWrap/>
                <w:vAlign w:val="center"/>
              </w:tcPr>
              <w:p w14:paraId="00DD18C8" w14:textId="5E418C8F"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5.116.212.000</w:t>
                </w:r>
              </w:p>
            </w:tc>
            <w:tc>
              <w:tcPr>
                <w:tcW w:w="1288" w:type="pct"/>
                <w:shd w:val="clear" w:color="auto" w:fill="auto"/>
                <w:noWrap/>
                <w:vAlign w:val="center"/>
                <w:hideMark/>
              </w:tcPr>
              <w:p w14:paraId="3D0C6EFF"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25000233600020180003400</w:t>
                </w:r>
              </w:p>
            </w:tc>
          </w:tr>
          <w:tr w:rsidR="0054388B" w:rsidRPr="00E522A4" w14:paraId="7DEFFD6A" w14:textId="77777777" w:rsidTr="009A5B88">
            <w:trPr>
              <w:trHeight w:val="300"/>
            </w:trPr>
            <w:tc>
              <w:tcPr>
                <w:tcW w:w="2053" w:type="pct"/>
                <w:shd w:val="clear" w:color="auto" w:fill="auto"/>
                <w:vAlign w:val="center"/>
                <w:hideMark/>
              </w:tcPr>
              <w:p w14:paraId="3FBC4B2E" w14:textId="7F6E3AF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DANIEL VILLAMIZAR BASTO</w:t>
                </w:r>
              </w:p>
            </w:tc>
            <w:tc>
              <w:tcPr>
                <w:tcW w:w="949" w:type="pct"/>
                <w:shd w:val="clear" w:color="auto" w:fill="auto"/>
                <w:noWrap/>
                <w:vAlign w:val="center"/>
                <w:hideMark/>
              </w:tcPr>
              <w:p w14:paraId="359CF9E1"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683.713</w:t>
                </w:r>
              </w:p>
            </w:tc>
            <w:tc>
              <w:tcPr>
                <w:tcW w:w="711" w:type="pct"/>
                <w:shd w:val="clear" w:color="auto" w:fill="auto"/>
                <w:noWrap/>
                <w:vAlign w:val="center"/>
              </w:tcPr>
              <w:p w14:paraId="622B023B" w14:textId="66CDD01F"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w:t>
                </w:r>
              </w:p>
            </w:tc>
            <w:tc>
              <w:tcPr>
                <w:tcW w:w="1288" w:type="pct"/>
                <w:shd w:val="clear" w:color="auto" w:fill="auto"/>
                <w:noWrap/>
                <w:vAlign w:val="center"/>
                <w:hideMark/>
              </w:tcPr>
              <w:p w14:paraId="270174F1"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68679333300120010174300</w:t>
                </w:r>
              </w:p>
            </w:tc>
          </w:tr>
          <w:tr w:rsidR="0054388B" w:rsidRPr="00E522A4" w14:paraId="1FD14074" w14:textId="77777777" w:rsidTr="009A5B88">
            <w:trPr>
              <w:trHeight w:val="300"/>
            </w:trPr>
            <w:tc>
              <w:tcPr>
                <w:tcW w:w="2053" w:type="pct"/>
                <w:shd w:val="clear" w:color="auto" w:fill="auto"/>
                <w:vAlign w:val="center"/>
                <w:hideMark/>
              </w:tcPr>
              <w:p w14:paraId="7AD9D0BA"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POLLO FRESCO DE COLOMBIA LTDA</w:t>
                </w:r>
              </w:p>
            </w:tc>
            <w:tc>
              <w:tcPr>
                <w:tcW w:w="949" w:type="pct"/>
                <w:shd w:val="clear" w:color="auto" w:fill="auto"/>
                <w:noWrap/>
                <w:vAlign w:val="center"/>
                <w:hideMark/>
              </w:tcPr>
              <w:p w14:paraId="11296E47"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1.826.501.104</w:t>
                </w:r>
              </w:p>
            </w:tc>
            <w:tc>
              <w:tcPr>
                <w:tcW w:w="711" w:type="pct"/>
                <w:shd w:val="clear" w:color="auto" w:fill="auto"/>
                <w:noWrap/>
                <w:vAlign w:val="center"/>
              </w:tcPr>
              <w:p w14:paraId="7D785342" w14:textId="677EBB4D"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50.000.000</w:t>
                </w:r>
              </w:p>
            </w:tc>
            <w:tc>
              <w:tcPr>
                <w:tcW w:w="1288" w:type="pct"/>
                <w:shd w:val="clear" w:color="auto" w:fill="auto"/>
                <w:noWrap/>
                <w:vAlign w:val="center"/>
                <w:hideMark/>
              </w:tcPr>
              <w:p w14:paraId="0C1F1765"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52001233100020090012600</w:t>
                </w:r>
              </w:p>
            </w:tc>
          </w:tr>
          <w:tr w:rsidR="0054388B" w:rsidRPr="00E522A4" w14:paraId="79D95EB9" w14:textId="77777777" w:rsidTr="009A5B88">
            <w:trPr>
              <w:trHeight w:val="300"/>
            </w:trPr>
            <w:tc>
              <w:tcPr>
                <w:tcW w:w="2053" w:type="pct"/>
                <w:shd w:val="clear" w:color="auto" w:fill="auto"/>
                <w:vAlign w:val="center"/>
                <w:hideMark/>
              </w:tcPr>
              <w:p w14:paraId="39A275E9" w14:textId="5FD794C0"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 xml:space="preserve">HECTOR GARCIA </w:t>
                </w:r>
              </w:p>
            </w:tc>
            <w:tc>
              <w:tcPr>
                <w:tcW w:w="949" w:type="pct"/>
                <w:shd w:val="clear" w:color="auto" w:fill="auto"/>
                <w:noWrap/>
                <w:vAlign w:val="center"/>
                <w:hideMark/>
              </w:tcPr>
              <w:p w14:paraId="28924855"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125.381.406</w:t>
                </w:r>
              </w:p>
            </w:tc>
            <w:tc>
              <w:tcPr>
                <w:tcW w:w="711" w:type="pct"/>
                <w:shd w:val="clear" w:color="auto" w:fill="auto"/>
                <w:noWrap/>
                <w:vAlign w:val="center"/>
              </w:tcPr>
              <w:p w14:paraId="0EEDB2CF" w14:textId="69DF4BF9"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58.458.135</w:t>
                </w:r>
              </w:p>
            </w:tc>
            <w:tc>
              <w:tcPr>
                <w:tcW w:w="1288" w:type="pct"/>
                <w:shd w:val="clear" w:color="auto" w:fill="auto"/>
                <w:noWrap/>
                <w:vAlign w:val="center"/>
                <w:hideMark/>
              </w:tcPr>
              <w:p w14:paraId="4FF15F14"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05001333302420170037100</w:t>
                </w:r>
              </w:p>
            </w:tc>
          </w:tr>
          <w:tr w:rsidR="0054388B" w:rsidRPr="00E522A4" w14:paraId="29DB83EE" w14:textId="77777777" w:rsidTr="009A5B88">
            <w:trPr>
              <w:trHeight w:val="300"/>
            </w:trPr>
            <w:tc>
              <w:tcPr>
                <w:tcW w:w="2053" w:type="pct"/>
                <w:shd w:val="clear" w:color="auto" w:fill="auto"/>
                <w:vAlign w:val="center"/>
                <w:hideMark/>
              </w:tcPr>
              <w:p w14:paraId="2313E4F5"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SANDRA ROCIO PALACIOS MORENO</w:t>
                </w:r>
              </w:p>
            </w:tc>
            <w:tc>
              <w:tcPr>
                <w:tcW w:w="949" w:type="pct"/>
                <w:shd w:val="clear" w:color="auto" w:fill="auto"/>
                <w:noWrap/>
                <w:vAlign w:val="center"/>
                <w:hideMark/>
              </w:tcPr>
              <w:p w14:paraId="4D434752"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490.769.139</w:t>
                </w:r>
              </w:p>
            </w:tc>
            <w:tc>
              <w:tcPr>
                <w:tcW w:w="711" w:type="pct"/>
                <w:shd w:val="clear" w:color="auto" w:fill="auto"/>
                <w:noWrap/>
                <w:vAlign w:val="center"/>
              </w:tcPr>
              <w:p w14:paraId="2913F719" w14:textId="5F5AED7A"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50.000.000</w:t>
                </w:r>
              </w:p>
            </w:tc>
            <w:tc>
              <w:tcPr>
                <w:tcW w:w="1288" w:type="pct"/>
                <w:shd w:val="clear" w:color="auto" w:fill="auto"/>
                <w:noWrap/>
                <w:vAlign w:val="center"/>
                <w:hideMark/>
              </w:tcPr>
              <w:p w14:paraId="7DFB398B"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15238333300120130019200</w:t>
                </w:r>
              </w:p>
            </w:tc>
          </w:tr>
          <w:tr w:rsidR="0054388B" w:rsidRPr="00E522A4" w14:paraId="27E372AA" w14:textId="77777777" w:rsidTr="009A5B88">
            <w:trPr>
              <w:trHeight w:val="300"/>
            </w:trPr>
            <w:tc>
              <w:tcPr>
                <w:tcW w:w="2053" w:type="pct"/>
                <w:shd w:val="clear" w:color="auto" w:fill="auto"/>
                <w:vAlign w:val="center"/>
                <w:hideMark/>
              </w:tcPr>
              <w:p w14:paraId="656113CE"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MATEO ANDRES MEJIA DURANGO</w:t>
                </w:r>
              </w:p>
            </w:tc>
            <w:tc>
              <w:tcPr>
                <w:tcW w:w="949" w:type="pct"/>
                <w:shd w:val="clear" w:color="auto" w:fill="auto"/>
                <w:noWrap/>
                <w:vAlign w:val="center"/>
                <w:hideMark/>
              </w:tcPr>
              <w:p w14:paraId="5841B793"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90.479.802</w:t>
                </w:r>
              </w:p>
            </w:tc>
            <w:tc>
              <w:tcPr>
                <w:tcW w:w="711" w:type="pct"/>
                <w:shd w:val="clear" w:color="auto" w:fill="auto"/>
                <w:noWrap/>
                <w:vAlign w:val="center"/>
              </w:tcPr>
              <w:p w14:paraId="6C2C7843" w14:textId="68D3AE28"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90.479.802</w:t>
                </w:r>
              </w:p>
            </w:tc>
            <w:tc>
              <w:tcPr>
                <w:tcW w:w="1288" w:type="pct"/>
                <w:shd w:val="clear" w:color="auto" w:fill="auto"/>
                <w:noWrap/>
                <w:vAlign w:val="center"/>
                <w:hideMark/>
              </w:tcPr>
              <w:p w14:paraId="010E97D5"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23001333300220150020500</w:t>
                </w:r>
              </w:p>
            </w:tc>
          </w:tr>
          <w:tr w:rsidR="0054388B" w:rsidRPr="00E522A4" w14:paraId="1156CDCE" w14:textId="77777777" w:rsidTr="009A5B88">
            <w:trPr>
              <w:trHeight w:val="300"/>
            </w:trPr>
            <w:tc>
              <w:tcPr>
                <w:tcW w:w="2053" w:type="pct"/>
                <w:shd w:val="clear" w:color="auto" w:fill="auto"/>
                <w:vAlign w:val="center"/>
                <w:hideMark/>
              </w:tcPr>
              <w:p w14:paraId="5BB2A4A5"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MARIA TERESA DUQUE ORREGO</w:t>
                </w:r>
              </w:p>
            </w:tc>
            <w:tc>
              <w:tcPr>
                <w:tcW w:w="949" w:type="pct"/>
                <w:shd w:val="clear" w:color="auto" w:fill="auto"/>
                <w:noWrap/>
                <w:vAlign w:val="center"/>
                <w:hideMark/>
              </w:tcPr>
              <w:p w14:paraId="6F633ED1"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1.970.836.414</w:t>
                </w:r>
              </w:p>
            </w:tc>
            <w:tc>
              <w:tcPr>
                <w:tcW w:w="711" w:type="pct"/>
                <w:shd w:val="clear" w:color="auto" w:fill="auto"/>
                <w:noWrap/>
                <w:vAlign w:val="center"/>
              </w:tcPr>
              <w:p w14:paraId="4D6DDD99" w14:textId="27CF201A"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1.765.860.189</w:t>
                </w:r>
              </w:p>
            </w:tc>
            <w:tc>
              <w:tcPr>
                <w:tcW w:w="1288" w:type="pct"/>
                <w:shd w:val="clear" w:color="auto" w:fill="auto"/>
                <w:noWrap/>
                <w:vAlign w:val="center"/>
                <w:hideMark/>
              </w:tcPr>
              <w:p w14:paraId="0ADB1239"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25000233600020180117300</w:t>
                </w:r>
              </w:p>
            </w:tc>
          </w:tr>
          <w:tr w:rsidR="0054388B" w:rsidRPr="00E522A4" w14:paraId="5A9D6680" w14:textId="77777777" w:rsidTr="009A5B88">
            <w:trPr>
              <w:trHeight w:val="360"/>
            </w:trPr>
            <w:tc>
              <w:tcPr>
                <w:tcW w:w="2053" w:type="pct"/>
                <w:shd w:val="clear" w:color="auto" w:fill="auto"/>
                <w:vAlign w:val="center"/>
                <w:hideMark/>
              </w:tcPr>
              <w:p w14:paraId="4A221B0C"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CLAUDIA MARCELA PINZON SANCHEZ</w:t>
                </w:r>
              </w:p>
            </w:tc>
            <w:tc>
              <w:tcPr>
                <w:tcW w:w="949" w:type="pct"/>
                <w:shd w:val="clear" w:color="auto" w:fill="auto"/>
                <w:noWrap/>
                <w:vAlign w:val="center"/>
                <w:hideMark/>
              </w:tcPr>
              <w:p w14:paraId="19747294"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554.876.759</w:t>
                </w:r>
              </w:p>
            </w:tc>
            <w:tc>
              <w:tcPr>
                <w:tcW w:w="711" w:type="pct"/>
                <w:shd w:val="clear" w:color="auto" w:fill="auto"/>
                <w:noWrap/>
                <w:vAlign w:val="center"/>
              </w:tcPr>
              <w:p w14:paraId="235C5BBA" w14:textId="78E12406"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w:t>
                </w:r>
              </w:p>
            </w:tc>
            <w:tc>
              <w:tcPr>
                <w:tcW w:w="1288" w:type="pct"/>
                <w:shd w:val="clear" w:color="auto" w:fill="auto"/>
                <w:noWrap/>
                <w:vAlign w:val="center"/>
                <w:hideMark/>
              </w:tcPr>
              <w:p w14:paraId="2937BEBF"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68001233300020220024600</w:t>
                </w:r>
              </w:p>
            </w:tc>
          </w:tr>
          <w:tr w:rsidR="0054388B" w:rsidRPr="00E522A4" w14:paraId="4A3316A6" w14:textId="77777777" w:rsidTr="009A5B88">
            <w:trPr>
              <w:trHeight w:val="300"/>
            </w:trPr>
            <w:tc>
              <w:tcPr>
                <w:tcW w:w="2053" w:type="pct"/>
                <w:shd w:val="clear" w:color="auto" w:fill="auto"/>
                <w:vAlign w:val="center"/>
                <w:hideMark/>
              </w:tcPr>
              <w:p w14:paraId="6372106B"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LUIS EDUARDO RESTREPO PERCY</w:t>
                </w:r>
              </w:p>
            </w:tc>
            <w:tc>
              <w:tcPr>
                <w:tcW w:w="949" w:type="pct"/>
                <w:shd w:val="clear" w:color="auto" w:fill="auto"/>
                <w:noWrap/>
                <w:vAlign w:val="center"/>
                <w:hideMark/>
              </w:tcPr>
              <w:p w14:paraId="29ECC37F"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580.345.165</w:t>
                </w:r>
              </w:p>
            </w:tc>
            <w:tc>
              <w:tcPr>
                <w:tcW w:w="711" w:type="pct"/>
                <w:shd w:val="clear" w:color="auto" w:fill="auto"/>
                <w:noWrap/>
                <w:vAlign w:val="center"/>
              </w:tcPr>
              <w:p w14:paraId="7B14A4D1" w14:textId="7BC4F1FF"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480.000.000</w:t>
                </w:r>
              </w:p>
            </w:tc>
            <w:tc>
              <w:tcPr>
                <w:tcW w:w="1288" w:type="pct"/>
                <w:shd w:val="clear" w:color="auto" w:fill="auto"/>
                <w:noWrap/>
                <w:vAlign w:val="center"/>
                <w:hideMark/>
              </w:tcPr>
              <w:p w14:paraId="6203E347"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70001333300920180006200</w:t>
                </w:r>
              </w:p>
            </w:tc>
          </w:tr>
          <w:tr w:rsidR="0054388B" w:rsidRPr="00E522A4" w14:paraId="47ABCE3F" w14:textId="77777777" w:rsidTr="009A5B88">
            <w:trPr>
              <w:trHeight w:val="300"/>
            </w:trPr>
            <w:tc>
              <w:tcPr>
                <w:tcW w:w="2053" w:type="pct"/>
                <w:shd w:val="clear" w:color="auto" w:fill="auto"/>
                <w:vAlign w:val="center"/>
                <w:hideMark/>
              </w:tcPr>
              <w:p w14:paraId="24F8C1D0"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SANDRA CORREA TORO</w:t>
                </w:r>
              </w:p>
            </w:tc>
            <w:tc>
              <w:tcPr>
                <w:tcW w:w="949" w:type="pct"/>
                <w:shd w:val="clear" w:color="auto" w:fill="auto"/>
                <w:noWrap/>
                <w:vAlign w:val="center"/>
                <w:hideMark/>
              </w:tcPr>
              <w:p w14:paraId="7630046D"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0</w:t>
                </w:r>
              </w:p>
            </w:tc>
            <w:tc>
              <w:tcPr>
                <w:tcW w:w="711" w:type="pct"/>
                <w:shd w:val="clear" w:color="auto" w:fill="auto"/>
                <w:noWrap/>
                <w:vAlign w:val="center"/>
              </w:tcPr>
              <w:p w14:paraId="2B26CED2" w14:textId="7A56D578"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336.130.934</w:t>
                </w:r>
              </w:p>
            </w:tc>
            <w:tc>
              <w:tcPr>
                <w:tcW w:w="1288" w:type="pct"/>
                <w:shd w:val="clear" w:color="auto" w:fill="auto"/>
                <w:noWrap/>
                <w:vAlign w:val="center"/>
                <w:hideMark/>
              </w:tcPr>
              <w:p w14:paraId="0AD926A2"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17001233100020050105802</w:t>
                </w:r>
              </w:p>
            </w:tc>
          </w:tr>
          <w:tr w:rsidR="0054388B" w:rsidRPr="00E522A4" w14:paraId="3328C062" w14:textId="77777777" w:rsidTr="009A5B88">
            <w:trPr>
              <w:trHeight w:val="300"/>
            </w:trPr>
            <w:tc>
              <w:tcPr>
                <w:tcW w:w="2053" w:type="pct"/>
                <w:shd w:val="clear" w:color="auto" w:fill="auto"/>
                <w:vAlign w:val="center"/>
                <w:hideMark/>
              </w:tcPr>
              <w:p w14:paraId="251425F9" w14:textId="03B6CDBD"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OMAR SOLANO QUIMBAYO</w:t>
                </w:r>
              </w:p>
            </w:tc>
            <w:tc>
              <w:tcPr>
                <w:tcW w:w="949" w:type="pct"/>
                <w:shd w:val="clear" w:color="auto" w:fill="auto"/>
                <w:noWrap/>
                <w:vAlign w:val="center"/>
                <w:hideMark/>
              </w:tcPr>
              <w:p w14:paraId="11018831"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564.599.314</w:t>
                </w:r>
              </w:p>
            </w:tc>
            <w:tc>
              <w:tcPr>
                <w:tcW w:w="711" w:type="pct"/>
                <w:shd w:val="clear" w:color="auto" w:fill="auto"/>
                <w:noWrap/>
                <w:vAlign w:val="center"/>
              </w:tcPr>
              <w:p w14:paraId="02D28543" w14:textId="217C02AF"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w:t>
                </w:r>
              </w:p>
            </w:tc>
            <w:tc>
              <w:tcPr>
                <w:tcW w:w="1288" w:type="pct"/>
                <w:shd w:val="clear" w:color="auto" w:fill="auto"/>
                <w:noWrap/>
                <w:vAlign w:val="center"/>
                <w:hideMark/>
              </w:tcPr>
              <w:p w14:paraId="614F1D6D"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73001333300820190023300</w:t>
                </w:r>
              </w:p>
            </w:tc>
          </w:tr>
          <w:tr w:rsidR="0054388B" w:rsidRPr="00E522A4" w14:paraId="5ADAEF0E" w14:textId="77777777" w:rsidTr="009A5B88">
            <w:trPr>
              <w:trHeight w:val="300"/>
            </w:trPr>
            <w:tc>
              <w:tcPr>
                <w:tcW w:w="2053" w:type="pct"/>
                <w:shd w:val="clear" w:color="auto" w:fill="auto"/>
                <w:vAlign w:val="center"/>
                <w:hideMark/>
              </w:tcPr>
              <w:p w14:paraId="3D693BA7"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MARIA NELLY OLAYA DE CORTES</w:t>
                </w:r>
              </w:p>
            </w:tc>
            <w:tc>
              <w:tcPr>
                <w:tcW w:w="949" w:type="pct"/>
                <w:shd w:val="clear" w:color="auto" w:fill="auto"/>
                <w:noWrap/>
                <w:vAlign w:val="center"/>
                <w:hideMark/>
              </w:tcPr>
              <w:p w14:paraId="09225D86"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508.000.000</w:t>
                </w:r>
              </w:p>
            </w:tc>
            <w:tc>
              <w:tcPr>
                <w:tcW w:w="711" w:type="pct"/>
                <w:shd w:val="clear" w:color="auto" w:fill="auto"/>
                <w:noWrap/>
                <w:vAlign w:val="center"/>
              </w:tcPr>
              <w:p w14:paraId="066A87B8" w14:textId="1A90B1D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508.000.000</w:t>
                </w:r>
              </w:p>
            </w:tc>
            <w:tc>
              <w:tcPr>
                <w:tcW w:w="1288" w:type="pct"/>
                <w:shd w:val="clear" w:color="auto" w:fill="auto"/>
                <w:noWrap/>
                <w:vAlign w:val="center"/>
                <w:hideMark/>
              </w:tcPr>
              <w:p w14:paraId="3FE54D80"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68001333300220160021000</w:t>
                </w:r>
              </w:p>
            </w:tc>
          </w:tr>
          <w:tr w:rsidR="0054388B" w:rsidRPr="00E522A4" w14:paraId="4DC25160" w14:textId="77777777" w:rsidTr="009A5B88">
            <w:trPr>
              <w:trHeight w:val="300"/>
            </w:trPr>
            <w:tc>
              <w:tcPr>
                <w:tcW w:w="2053" w:type="pct"/>
                <w:shd w:val="clear" w:color="auto" w:fill="auto"/>
                <w:vAlign w:val="center"/>
                <w:hideMark/>
              </w:tcPr>
              <w:p w14:paraId="1C11D7D6"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 xml:space="preserve">GLORIA INES MARTINEZ </w:t>
                </w:r>
              </w:p>
            </w:tc>
            <w:tc>
              <w:tcPr>
                <w:tcW w:w="949" w:type="pct"/>
                <w:shd w:val="clear" w:color="auto" w:fill="auto"/>
                <w:noWrap/>
                <w:vAlign w:val="center"/>
                <w:hideMark/>
              </w:tcPr>
              <w:p w14:paraId="7391E7DC"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0</w:t>
                </w:r>
              </w:p>
            </w:tc>
            <w:tc>
              <w:tcPr>
                <w:tcW w:w="711" w:type="pct"/>
                <w:shd w:val="clear" w:color="auto" w:fill="auto"/>
                <w:noWrap/>
                <w:vAlign w:val="center"/>
              </w:tcPr>
              <w:p w14:paraId="3F78C8D3" w14:textId="61C9C75E"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470.287.347</w:t>
                </w:r>
              </w:p>
            </w:tc>
            <w:tc>
              <w:tcPr>
                <w:tcW w:w="1288" w:type="pct"/>
                <w:shd w:val="clear" w:color="auto" w:fill="auto"/>
                <w:noWrap/>
                <w:vAlign w:val="center"/>
                <w:hideMark/>
              </w:tcPr>
              <w:p w14:paraId="17BD21B1"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66001233100020090000302</w:t>
                </w:r>
              </w:p>
            </w:tc>
          </w:tr>
          <w:tr w:rsidR="0054388B" w:rsidRPr="00E522A4" w14:paraId="227676E5" w14:textId="77777777" w:rsidTr="009A5B88">
            <w:trPr>
              <w:trHeight w:val="300"/>
            </w:trPr>
            <w:tc>
              <w:tcPr>
                <w:tcW w:w="2053" w:type="pct"/>
                <w:shd w:val="clear" w:color="auto" w:fill="auto"/>
                <w:vAlign w:val="center"/>
                <w:hideMark/>
              </w:tcPr>
              <w:p w14:paraId="32B8B40E"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OSCAR ANDRES PUERTAS MURILLO</w:t>
                </w:r>
              </w:p>
            </w:tc>
            <w:tc>
              <w:tcPr>
                <w:tcW w:w="949" w:type="pct"/>
                <w:shd w:val="clear" w:color="auto" w:fill="auto"/>
                <w:noWrap/>
                <w:vAlign w:val="center"/>
                <w:hideMark/>
              </w:tcPr>
              <w:p w14:paraId="72E0514D"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0</w:t>
                </w:r>
              </w:p>
            </w:tc>
            <w:tc>
              <w:tcPr>
                <w:tcW w:w="711" w:type="pct"/>
                <w:shd w:val="clear" w:color="auto" w:fill="auto"/>
                <w:noWrap/>
                <w:vAlign w:val="center"/>
              </w:tcPr>
              <w:p w14:paraId="229BFD79" w14:textId="31318F82"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655.695.981</w:t>
                </w:r>
              </w:p>
            </w:tc>
            <w:tc>
              <w:tcPr>
                <w:tcW w:w="1288" w:type="pct"/>
                <w:shd w:val="clear" w:color="auto" w:fill="auto"/>
                <w:noWrap/>
                <w:vAlign w:val="center"/>
                <w:hideMark/>
              </w:tcPr>
              <w:p w14:paraId="5557C03B"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25000232600020110059101</w:t>
                </w:r>
              </w:p>
            </w:tc>
          </w:tr>
          <w:tr w:rsidR="0054388B" w:rsidRPr="00E522A4" w14:paraId="39BBD4CB" w14:textId="77777777" w:rsidTr="009A5B88">
            <w:trPr>
              <w:trHeight w:val="300"/>
            </w:trPr>
            <w:tc>
              <w:tcPr>
                <w:tcW w:w="2053" w:type="pct"/>
                <w:shd w:val="clear" w:color="auto" w:fill="auto"/>
                <w:vAlign w:val="center"/>
                <w:hideMark/>
              </w:tcPr>
              <w:p w14:paraId="35BBF267"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LUZ NELLY RAMIREZ VARGAS</w:t>
                </w:r>
              </w:p>
            </w:tc>
            <w:tc>
              <w:tcPr>
                <w:tcW w:w="949" w:type="pct"/>
                <w:shd w:val="clear" w:color="auto" w:fill="auto"/>
                <w:noWrap/>
                <w:vAlign w:val="center"/>
                <w:hideMark/>
              </w:tcPr>
              <w:p w14:paraId="064F30A3"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1.157.360.176</w:t>
                </w:r>
              </w:p>
            </w:tc>
            <w:tc>
              <w:tcPr>
                <w:tcW w:w="711" w:type="pct"/>
                <w:shd w:val="clear" w:color="auto" w:fill="auto"/>
                <w:noWrap/>
                <w:vAlign w:val="center"/>
              </w:tcPr>
              <w:p w14:paraId="2709A12D" w14:textId="269B6BDF"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352.071.091</w:t>
                </w:r>
              </w:p>
            </w:tc>
            <w:tc>
              <w:tcPr>
                <w:tcW w:w="1288" w:type="pct"/>
                <w:shd w:val="clear" w:color="auto" w:fill="auto"/>
                <w:noWrap/>
                <w:vAlign w:val="center"/>
                <w:hideMark/>
              </w:tcPr>
              <w:p w14:paraId="37790B86"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25000232600020090002802</w:t>
                </w:r>
              </w:p>
            </w:tc>
          </w:tr>
          <w:tr w:rsidR="0054388B" w:rsidRPr="00E522A4" w14:paraId="229EAFE7" w14:textId="77777777" w:rsidTr="009A5B88">
            <w:trPr>
              <w:trHeight w:val="300"/>
            </w:trPr>
            <w:tc>
              <w:tcPr>
                <w:tcW w:w="2053" w:type="pct"/>
                <w:shd w:val="clear" w:color="auto" w:fill="auto"/>
                <w:vAlign w:val="center"/>
                <w:hideMark/>
              </w:tcPr>
              <w:p w14:paraId="75DF43AA" w14:textId="0E058D6A"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LIZETH BENAVIDES MORA</w:t>
                </w:r>
              </w:p>
            </w:tc>
            <w:tc>
              <w:tcPr>
                <w:tcW w:w="949" w:type="pct"/>
                <w:shd w:val="clear" w:color="auto" w:fill="auto"/>
                <w:noWrap/>
                <w:vAlign w:val="center"/>
                <w:hideMark/>
              </w:tcPr>
              <w:p w14:paraId="1133BB62"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684.692.308</w:t>
                </w:r>
              </w:p>
            </w:tc>
            <w:tc>
              <w:tcPr>
                <w:tcW w:w="711" w:type="pct"/>
                <w:shd w:val="clear" w:color="auto" w:fill="auto"/>
                <w:noWrap/>
                <w:vAlign w:val="center"/>
              </w:tcPr>
              <w:p w14:paraId="08A8645D" w14:textId="39A1D052"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597.526.835</w:t>
                </w:r>
              </w:p>
            </w:tc>
            <w:tc>
              <w:tcPr>
                <w:tcW w:w="1288" w:type="pct"/>
                <w:shd w:val="clear" w:color="auto" w:fill="auto"/>
                <w:noWrap/>
                <w:vAlign w:val="center"/>
                <w:hideMark/>
              </w:tcPr>
              <w:p w14:paraId="3F1EFB62"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52001333300520140035200</w:t>
                </w:r>
              </w:p>
            </w:tc>
          </w:tr>
          <w:tr w:rsidR="0054388B" w:rsidRPr="00E522A4" w14:paraId="4A03E649" w14:textId="77777777" w:rsidTr="009A5B88">
            <w:trPr>
              <w:trHeight w:val="300"/>
            </w:trPr>
            <w:tc>
              <w:tcPr>
                <w:tcW w:w="2053" w:type="pct"/>
                <w:shd w:val="clear" w:color="auto" w:fill="auto"/>
                <w:vAlign w:val="center"/>
                <w:hideMark/>
              </w:tcPr>
              <w:p w14:paraId="3CCEE777"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TULIO MANUEL NARVAEZ RAMIREZ</w:t>
                </w:r>
              </w:p>
            </w:tc>
            <w:tc>
              <w:tcPr>
                <w:tcW w:w="949" w:type="pct"/>
                <w:shd w:val="clear" w:color="auto" w:fill="auto"/>
                <w:noWrap/>
                <w:vAlign w:val="center"/>
                <w:hideMark/>
              </w:tcPr>
              <w:p w14:paraId="6892A30F"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805.129.799</w:t>
                </w:r>
              </w:p>
            </w:tc>
            <w:tc>
              <w:tcPr>
                <w:tcW w:w="711" w:type="pct"/>
                <w:shd w:val="clear" w:color="auto" w:fill="auto"/>
                <w:noWrap/>
                <w:vAlign w:val="center"/>
              </w:tcPr>
              <w:p w14:paraId="5C8666B1" w14:textId="12E75241"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646.355.888</w:t>
                </w:r>
              </w:p>
            </w:tc>
            <w:tc>
              <w:tcPr>
                <w:tcW w:w="1288" w:type="pct"/>
                <w:shd w:val="clear" w:color="auto" w:fill="auto"/>
                <w:noWrap/>
                <w:vAlign w:val="center"/>
                <w:hideMark/>
              </w:tcPr>
              <w:p w14:paraId="2B1E71E3"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52001333300320140023100</w:t>
                </w:r>
              </w:p>
            </w:tc>
          </w:tr>
          <w:tr w:rsidR="0054388B" w:rsidRPr="00E522A4" w14:paraId="0E0A917D" w14:textId="77777777" w:rsidTr="009A5B88">
            <w:trPr>
              <w:trHeight w:val="300"/>
            </w:trPr>
            <w:tc>
              <w:tcPr>
                <w:tcW w:w="2053" w:type="pct"/>
                <w:shd w:val="clear" w:color="auto" w:fill="auto"/>
                <w:vAlign w:val="center"/>
                <w:hideMark/>
              </w:tcPr>
              <w:p w14:paraId="12A649AD"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 xml:space="preserve">JOSE GREGORIO BLANCO </w:t>
                </w:r>
              </w:p>
            </w:tc>
            <w:tc>
              <w:tcPr>
                <w:tcW w:w="949" w:type="pct"/>
                <w:shd w:val="clear" w:color="auto" w:fill="auto"/>
                <w:noWrap/>
                <w:vAlign w:val="center"/>
                <w:hideMark/>
              </w:tcPr>
              <w:p w14:paraId="10652C72"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295.086.800</w:t>
                </w:r>
              </w:p>
            </w:tc>
            <w:tc>
              <w:tcPr>
                <w:tcW w:w="711" w:type="pct"/>
                <w:shd w:val="clear" w:color="auto" w:fill="auto"/>
                <w:noWrap/>
                <w:vAlign w:val="center"/>
              </w:tcPr>
              <w:p w14:paraId="1466C68B" w14:textId="1329BE69"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295.086.800</w:t>
                </w:r>
              </w:p>
            </w:tc>
            <w:tc>
              <w:tcPr>
                <w:tcW w:w="1288" w:type="pct"/>
                <w:shd w:val="clear" w:color="auto" w:fill="auto"/>
                <w:noWrap/>
                <w:vAlign w:val="center"/>
                <w:hideMark/>
              </w:tcPr>
              <w:p w14:paraId="45DB6DA8"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25000232600020110022101</w:t>
                </w:r>
              </w:p>
            </w:tc>
          </w:tr>
          <w:tr w:rsidR="0054388B" w:rsidRPr="00E522A4" w14:paraId="26798C6B" w14:textId="77777777" w:rsidTr="009A5B88">
            <w:trPr>
              <w:trHeight w:val="300"/>
            </w:trPr>
            <w:tc>
              <w:tcPr>
                <w:tcW w:w="2053" w:type="pct"/>
                <w:shd w:val="clear" w:color="auto" w:fill="auto"/>
                <w:vAlign w:val="center"/>
                <w:hideMark/>
              </w:tcPr>
              <w:p w14:paraId="467C1884" w14:textId="458230A5"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ZORAIDA SERRANO DE FAJARDO</w:t>
                </w:r>
              </w:p>
            </w:tc>
            <w:tc>
              <w:tcPr>
                <w:tcW w:w="949" w:type="pct"/>
                <w:shd w:val="clear" w:color="auto" w:fill="auto"/>
                <w:noWrap/>
                <w:vAlign w:val="center"/>
                <w:hideMark/>
              </w:tcPr>
              <w:p w14:paraId="21C54AF5"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152.562.378</w:t>
                </w:r>
              </w:p>
            </w:tc>
            <w:tc>
              <w:tcPr>
                <w:tcW w:w="711" w:type="pct"/>
                <w:shd w:val="clear" w:color="auto" w:fill="auto"/>
                <w:noWrap/>
                <w:vAlign w:val="center"/>
              </w:tcPr>
              <w:p w14:paraId="28D96C07" w14:textId="4E88C935"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90.305.519</w:t>
                </w:r>
              </w:p>
            </w:tc>
            <w:tc>
              <w:tcPr>
                <w:tcW w:w="1288" w:type="pct"/>
                <w:shd w:val="clear" w:color="auto" w:fill="auto"/>
                <w:noWrap/>
                <w:vAlign w:val="center"/>
                <w:hideMark/>
              </w:tcPr>
              <w:p w14:paraId="381205E9"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15001233100020080043900</w:t>
                </w:r>
              </w:p>
            </w:tc>
          </w:tr>
          <w:tr w:rsidR="0054388B" w:rsidRPr="00E522A4" w14:paraId="23A4C920" w14:textId="77777777" w:rsidTr="009A5B88">
            <w:trPr>
              <w:trHeight w:val="300"/>
            </w:trPr>
            <w:tc>
              <w:tcPr>
                <w:tcW w:w="2053" w:type="pct"/>
                <w:shd w:val="clear" w:color="auto" w:fill="auto"/>
                <w:vAlign w:val="center"/>
                <w:hideMark/>
              </w:tcPr>
              <w:p w14:paraId="200CB75F"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CARMEN ALICIA HENAO ORTIZ</w:t>
                </w:r>
              </w:p>
            </w:tc>
            <w:tc>
              <w:tcPr>
                <w:tcW w:w="949" w:type="pct"/>
                <w:shd w:val="clear" w:color="auto" w:fill="auto"/>
                <w:noWrap/>
                <w:vAlign w:val="center"/>
                <w:hideMark/>
              </w:tcPr>
              <w:p w14:paraId="22E36A77"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1.745.785.121</w:t>
                </w:r>
              </w:p>
            </w:tc>
            <w:tc>
              <w:tcPr>
                <w:tcW w:w="711" w:type="pct"/>
                <w:shd w:val="clear" w:color="auto" w:fill="auto"/>
                <w:noWrap/>
                <w:vAlign w:val="center"/>
              </w:tcPr>
              <w:p w14:paraId="09781E7E" w14:textId="22E18D88"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28.033.246</w:t>
                </w:r>
              </w:p>
            </w:tc>
            <w:tc>
              <w:tcPr>
                <w:tcW w:w="1288" w:type="pct"/>
                <w:shd w:val="clear" w:color="auto" w:fill="auto"/>
                <w:noWrap/>
                <w:vAlign w:val="center"/>
                <w:hideMark/>
              </w:tcPr>
              <w:p w14:paraId="60367148"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52001333300520130053400</w:t>
                </w:r>
              </w:p>
            </w:tc>
          </w:tr>
          <w:tr w:rsidR="0054388B" w:rsidRPr="00E522A4" w14:paraId="6BC13CF3" w14:textId="77777777" w:rsidTr="009A5B88">
            <w:trPr>
              <w:trHeight w:val="300"/>
            </w:trPr>
            <w:tc>
              <w:tcPr>
                <w:tcW w:w="2053" w:type="pct"/>
                <w:shd w:val="clear" w:color="auto" w:fill="auto"/>
                <w:vAlign w:val="center"/>
                <w:hideMark/>
              </w:tcPr>
              <w:p w14:paraId="03C48EAB"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CARLOS ORLANDO CARO SANCHEZ</w:t>
                </w:r>
              </w:p>
            </w:tc>
            <w:tc>
              <w:tcPr>
                <w:tcW w:w="949" w:type="pct"/>
                <w:shd w:val="clear" w:color="auto" w:fill="auto"/>
                <w:noWrap/>
                <w:vAlign w:val="center"/>
                <w:hideMark/>
              </w:tcPr>
              <w:p w14:paraId="26A1F8E2"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866.122.292</w:t>
                </w:r>
              </w:p>
            </w:tc>
            <w:tc>
              <w:tcPr>
                <w:tcW w:w="711" w:type="pct"/>
                <w:shd w:val="clear" w:color="auto" w:fill="auto"/>
                <w:noWrap/>
                <w:vAlign w:val="center"/>
              </w:tcPr>
              <w:p w14:paraId="2ED5C9DF" w14:textId="7F7A6DCC"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793.298.652</w:t>
                </w:r>
              </w:p>
            </w:tc>
            <w:tc>
              <w:tcPr>
                <w:tcW w:w="1288" w:type="pct"/>
                <w:shd w:val="clear" w:color="auto" w:fill="auto"/>
                <w:noWrap/>
                <w:vAlign w:val="center"/>
                <w:hideMark/>
              </w:tcPr>
              <w:p w14:paraId="5AAE4CB2"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15001233300020120001000</w:t>
                </w:r>
              </w:p>
            </w:tc>
          </w:tr>
          <w:tr w:rsidR="0054388B" w:rsidRPr="00E522A4" w14:paraId="6FC29E7F" w14:textId="77777777" w:rsidTr="009A5B88">
            <w:trPr>
              <w:trHeight w:val="360"/>
            </w:trPr>
            <w:tc>
              <w:tcPr>
                <w:tcW w:w="2053" w:type="pct"/>
                <w:shd w:val="clear" w:color="auto" w:fill="auto"/>
                <w:vAlign w:val="center"/>
                <w:hideMark/>
              </w:tcPr>
              <w:p w14:paraId="6F4C32E1"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OMAR OCAMPO HERNANDEZ VARGAS</w:t>
                </w:r>
              </w:p>
            </w:tc>
            <w:tc>
              <w:tcPr>
                <w:tcW w:w="949" w:type="pct"/>
                <w:shd w:val="clear" w:color="auto" w:fill="auto"/>
                <w:noWrap/>
                <w:vAlign w:val="center"/>
                <w:hideMark/>
              </w:tcPr>
              <w:p w14:paraId="5948E4A3"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181.705.200</w:t>
                </w:r>
              </w:p>
            </w:tc>
            <w:tc>
              <w:tcPr>
                <w:tcW w:w="711" w:type="pct"/>
                <w:shd w:val="clear" w:color="auto" w:fill="auto"/>
                <w:noWrap/>
                <w:vAlign w:val="center"/>
              </w:tcPr>
              <w:p w14:paraId="5C7827A4" w14:textId="3E372D8D"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w:t>
                </w:r>
              </w:p>
            </w:tc>
            <w:tc>
              <w:tcPr>
                <w:tcW w:w="1288" w:type="pct"/>
                <w:shd w:val="clear" w:color="auto" w:fill="auto"/>
                <w:noWrap/>
                <w:vAlign w:val="center"/>
                <w:hideMark/>
              </w:tcPr>
              <w:p w14:paraId="0895A409"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50001233100020120007800</w:t>
                </w:r>
              </w:p>
            </w:tc>
          </w:tr>
          <w:tr w:rsidR="0054388B" w:rsidRPr="00E522A4" w14:paraId="076D32A4" w14:textId="77777777" w:rsidTr="009A5B88">
            <w:trPr>
              <w:trHeight w:val="300"/>
            </w:trPr>
            <w:tc>
              <w:tcPr>
                <w:tcW w:w="2053" w:type="pct"/>
                <w:shd w:val="clear" w:color="auto" w:fill="auto"/>
                <w:vAlign w:val="center"/>
                <w:hideMark/>
              </w:tcPr>
              <w:p w14:paraId="184754F1"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lastRenderedPageBreak/>
                  <w:t>MAGALI ISABEL PADILLA NAVARRO</w:t>
                </w:r>
              </w:p>
            </w:tc>
            <w:tc>
              <w:tcPr>
                <w:tcW w:w="949" w:type="pct"/>
                <w:shd w:val="clear" w:color="auto" w:fill="auto"/>
                <w:noWrap/>
                <w:vAlign w:val="center"/>
                <w:hideMark/>
              </w:tcPr>
              <w:p w14:paraId="03925D1F"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109.069.100</w:t>
                </w:r>
              </w:p>
            </w:tc>
            <w:tc>
              <w:tcPr>
                <w:tcW w:w="711" w:type="pct"/>
                <w:shd w:val="clear" w:color="auto" w:fill="auto"/>
                <w:noWrap/>
                <w:vAlign w:val="center"/>
              </w:tcPr>
              <w:p w14:paraId="210B3140" w14:textId="29F29E76"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109.069.100</w:t>
                </w:r>
              </w:p>
            </w:tc>
            <w:tc>
              <w:tcPr>
                <w:tcW w:w="1288" w:type="pct"/>
                <w:shd w:val="clear" w:color="auto" w:fill="auto"/>
                <w:noWrap/>
                <w:vAlign w:val="center"/>
                <w:hideMark/>
              </w:tcPr>
              <w:p w14:paraId="456D2690"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´23001333170220100032800</w:t>
                </w:r>
              </w:p>
            </w:tc>
          </w:tr>
          <w:tr w:rsidR="0054388B" w:rsidRPr="00E522A4" w14:paraId="57E2904A" w14:textId="77777777" w:rsidTr="009A5B88">
            <w:trPr>
              <w:trHeight w:val="300"/>
            </w:trPr>
            <w:tc>
              <w:tcPr>
                <w:tcW w:w="2053" w:type="pct"/>
                <w:shd w:val="clear" w:color="auto" w:fill="auto"/>
                <w:vAlign w:val="center"/>
                <w:hideMark/>
              </w:tcPr>
              <w:p w14:paraId="033C6645"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MARIA MARTHA JANET SEPULVEDA LANCHEROS</w:t>
                </w:r>
              </w:p>
            </w:tc>
            <w:tc>
              <w:tcPr>
                <w:tcW w:w="949" w:type="pct"/>
                <w:shd w:val="clear" w:color="auto" w:fill="auto"/>
                <w:noWrap/>
                <w:vAlign w:val="center"/>
                <w:hideMark/>
              </w:tcPr>
              <w:p w14:paraId="3F2C0A62"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0</w:t>
                </w:r>
              </w:p>
            </w:tc>
            <w:tc>
              <w:tcPr>
                <w:tcW w:w="711" w:type="pct"/>
                <w:shd w:val="clear" w:color="auto" w:fill="auto"/>
                <w:noWrap/>
                <w:vAlign w:val="center"/>
              </w:tcPr>
              <w:p w14:paraId="1797169E" w14:textId="6A772B3F"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88.760.752</w:t>
                </w:r>
              </w:p>
            </w:tc>
            <w:tc>
              <w:tcPr>
                <w:tcW w:w="1288" w:type="pct"/>
                <w:shd w:val="clear" w:color="auto" w:fill="auto"/>
                <w:noWrap/>
                <w:vAlign w:val="center"/>
                <w:hideMark/>
              </w:tcPr>
              <w:p w14:paraId="1A4B5AAE"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08001333100520110011001</w:t>
                </w:r>
              </w:p>
            </w:tc>
          </w:tr>
          <w:tr w:rsidR="0054388B" w:rsidRPr="00E522A4" w14:paraId="581B4378" w14:textId="77777777" w:rsidTr="009A5B88">
            <w:trPr>
              <w:trHeight w:val="360"/>
            </w:trPr>
            <w:tc>
              <w:tcPr>
                <w:tcW w:w="2053" w:type="pct"/>
                <w:shd w:val="clear" w:color="auto" w:fill="auto"/>
                <w:vAlign w:val="center"/>
                <w:hideMark/>
              </w:tcPr>
              <w:p w14:paraId="29C640E0"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DENIS DEL CARMEN GOMEZ CHAMORRO</w:t>
                </w:r>
              </w:p>
            </w:tc>
            <w:tc>
              <w:tcPr>
                <w:tcW w:w="949" w:type="pct"/>
                <w:shd w:val="clear" w:color="auto" w:fill="auto"/>
                <w:noWrap/>
                <w:vAlign w:val="center"/>
                <w:hideMark/>
              </w:tcPr>
              <w:p w14:paraId="35B38A9F"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234.186.435</w:t>
                </w:r>
              </w:p>
            </w:tc>
            <w:tc>
              <w:tcPr>
                <w:tcW w:w="711" w:type="pct"/>
                <w:shd w:val="clear" w:color="auto" w:fill="auto"/>
                <w:noWrap/>
                <w:vAlign w:val="center"/>
              </w:tcPr>
              <w:p w14:paraId="43D9C6E9" w14:textId="6CD484F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234.186.435</w:t>
                </w:r>
              </w:p>
            </w:tc>
            <w:tc>
              <w:tcPr>
                <w:tcW w:w="1288" w:type="pct"/>
                <w:shd w:val="clear" w:color="auto" w:fill="auto"/>
                <w:noWrap/>
                <w:vAlign w:val="center"/>
                <w:hideMark/>
              </w:tcPr>
              <w:p w14:paraId="14B0A79F"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08001333101020120001700</w:t>
                </w:r>
              </w:p>
            </w:tc>
          </w:tr>
          <w:tr w:rsidR="0054388B" w:rsidRPr="00E522A4" w14:paraId="15C45FF6" w14:textId="77777777" w:rsidTr="009A5B88">
            <w:trPr>
              <w:trHeight w:val="300"/>
            </w:trPr>
            <w:tc>
              <w:tcPr>
                <w:tcW w:w="2053" w:type="pct"/>
                <w:shd w:val="clear" w:color="auto" w:fill="auto"/>
                <w:vAlign w:val="center"/>
                <w:hideMark/>
              </w:tcPr>
              <w:p w14:paraId="28F84217"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LUIS ALBERTO GOMEZ ZULUAGA LUIS ALBERTO</w:t>
                </w:r>
              </w:p>
            </w:tc>
            <w:tc>
              <w:tcPr>
                <w:tcW w:w="949" w:type="pct"/>
                <w:shd w:val="clear" w:color="auto" w:fill="auto"/>
                <w:noWrap/>
                <w:vAlign w:val="center"/>
                <w:hideMark/>
              </w:tcPr>
              <w:p w14:paraId="570C2A9F"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10.066.347.014</w:t>
                </w:r>
              </w:p>
            </w:tc>
            <w:tc>
              <w:tcPr>
                <w:tcW w:w="711" w:type="pct"/>
                <w:shd w:val="clear" w:color="auto" w:fill="auto"/>
                <w:noWrap/>
                <w:vAlign w:val="center"/>
              </w:tcPr>
              <w:p w14:paraId="08CBED6E" w14:textId="3D79596F"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9.625.736.446</w:t>
                </w:r>
              </w:p>
            </w:tc>
            <w:tc>
              <w:tcPr>
                <w:tcW w:w="1288" w:type="pct"/>
                <w:shd w:val="clear" w:color="auto" w:fill="auto"/>
                <w:noWrap/>
                <w:vAlign w:val="center"/>
                <w:hideMark/>
              </w:tcPr>
              <w:p w14:paraId="12605C5F"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05001333100520070002000</w:t>
                </w:r>
              </w:p>
            </w:tc>
          </w:tr>
          <w:tr w:rsidR="0054388B" w:rsidRPr="00E522A4" w14:paraId="77D4C444" w14:textId="77777777" w:rsidTr="009A5B88">
            <w:trPr>
              <w:trHeight w:val="300"/>
            </w:trPr>
            <w:tc>
              <w:tcPr>
                <w:tcW w:w="2053" w:type="pct"/>
                <w:shd w:val="clear" w:color="auto" w:fill="auto"/>
                <w:vAlign w:val="center"/>
                <w:hideMark/>
              </w:tcPr>
              <w:p w14:paraId="29A223BB"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ADELA DE JESUS CARMONA DE MARTINEZ</w:t>
                </w:r>
              </w:p>
            </w:tc>
            <w:tc>
              <w:tcPr>
                <w:tcW w:w="949" w:type="pct"/>
                <w:shd w:val="clear" w:color="auto" w:fill="auto"/>
                <w:noWrap/>
                <w:vAlign w:val="center"/>
                <w:hideMark/>
              </w:tcPr>
              <w:p w14:paraId="4C417BB9"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1.024.426.067</w:t>
                </w:r>
              </w:p>
            </w:tc>
            <w:tc>
              <w:tcPr>
                <w:tcW w:w="711" w:type="pct"/>
                <w:shd w:val="clear" w:color="auto" w:fill="auto"/>
                <w:noWrap/>
                <w:vAlign w:val="center"/>
              </w:tcPr>
              <w:p w14:paraId="07344A4B" w14:textId="15A33BA6"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976.135.311</w:t>
                </w:r>
              </w:p>
            </w:tc>
            <w:tc>
              <w:tcPr>
                <w:tcW w:w="1288" w:type="pct"/>
                <w:shd w:val="clear" w:color="auto" w:fill="auto"/>
                <w:noWrap/>
                <w:vAlign w:val="center"/>
                <w:hideMark/>
              </w:tcPr>
              <w:p w14:paraId="7C12C9CD"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05001333101320070001400</w:t>
                </w:r>
              </w:p>
            </w:tc>
          </w:tr>
          <w:tr w:rsidR="0054388B" w:rsidRPr="00E522A4" w14:paraId="4E44C181" w14:textId="77777777" w:rsidTr="009A5B88">
            <w:trPr>
              <w:trHeight w:val="360"/>
            </w:trPr>
            <w:tc>
              <w:tcPr>
                <w:tcW w:w="2053" w:type="pct"/>
                <w:shd w:val="clear" w:color="auto" w:fill="auto"/>
                <w:vAlign w:val="center"/>
                <w:hideMark/>
              </w:tcPr>
              <w:p w14:paraId="387A5C37"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JOSE ALBERTO GONZALEZ MARTINEZ</w:t>
                </w:r>
              </w:p>
            </w:tc>
            <w:tc>
              <w:tcPr>
                <w:tcW w:w="949" w:type="pct"/>
                <w:shd w:val="clear" w:color="auto" w:fill="auto"/>
                <w:noWrap/>
                <w:vAlign w:val="center"/>
                <w:hideMark/>
              </w:tcPr>
              <w:p w14:paraId="49307908"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2.680.396.713</w:t>
                </w:r>
              </w:p>
            </w:tc>
            <w:tc>
              <w:tcPr>
                <w:tcW w:w="711" w:type="pct"/>
                <w:shd w:val="clear" w:color="auto" w:fill="auto"/>
                <w:noWrap/>
                <w:vAlign w:val="center"/>
              </w:tcPr>
              <w:p w14:paraId="639FF395" w14:textId="146C1584"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357.147.729</w:t>
                </w:r>
              </w:p>
            </w:tc>
            <w:tc>
              <w:tcPr>
                <w:tcW w:w="1288" w:type="pct"/>
                <w:shd w:val="clear" w:color="auto" w:fill="auto"/>
                <w:noWrap/>
                <w:vAlign w:val="center"/>
                <w:hideMark/>
              </w:tcPr>
              <w:p w14:paraId="0A508681"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52001333300420140052101</w:t>
                </w:r>
              </w:p>
            </w:tc>
          </w:tr>
          <w:tr w:rsidR="0054388B" w:rsidRPr="00E522A4" w14:paraId="728A787A" w14:textId="77777777" w:rsidTr="009A5B88">
            <w:trPr>
              <w:trHeight w:val="300"/>
            </w:trPr>
            <w:tc>
              <w:tcPr>
                <w:tcW w:w="2053" w:type="pct"/>
                <w:shd w:val="clear" w:color="auto" w:fill="auto"/>
                <w:vAlign w:val="center"/>
                <w:hideMark/>
              </w:tcPr>
              <w:p w14:paraId="3EC04602"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JUSTO ANTONIO FIGUEREDO DAZA</w:t>
                </w:r>
              </w:p>
            </w:tc>
            <w:tc>
              <w:tcPr>
                <w:tcW w:w="949" w:type="pct"/>
                <w:shd w:val="clear" w:color="auto" w:fill="auto"/>
                <w:noWrap/>
                <w:vAlign w:val="center"/>
                <w:hideMark/>
              </w:tcPr>
              <w:p w14:paraId="714A93E3"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999.378.600</w:t>
                </w:r>
              </w:p>
            </w:tc>
            <w:tc>
              <w:tcPr>
                <w:tcW w:w="711" w:type="pct"/>
                <w:shd w:val="clear" w:color="auto" w:fill="auto"/>
                <w:noWrap/>
                <w:vAlign w:val="center"/>
              </w:tcPr>
              <w:p w14:paraId="55187183" w14:textId="481EF2E8"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589.417.471</w:t>
                </w:r>
              </w:p>
            </w:tc>
            <w:tc>
              <w:tcPr>
                <w:tcW w:w="1288" w:type="pct"/>
                <w:shd w:val="clear" w:color="auto" w:fill="auto"/>
                <w:noWrap/>
                <w:vAlign w:val="center"/>
                <w:hideMark/>
              </w:tcPr>
              <w:p w14:paraId="25C786C8"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11001333103720090024800</w:t>
                </w:r>
              </w:p>
            </w:tc>
          </w:tr>
          <w:tr w:rsidR="0054388B" w:rsidRPr="00E522A4" w14:paraId="73D287CA" w14:textId="77777777" w:rsidTr="009A5B88">
            <w:trPr>
              <w:trHeight w:val="360"/>
            </w:trPr>
            <w:tc>
              <w:tcPr>
                <w:tcW w:w="2053" w:type="pct"/>
                <w:shd w:val="clear" w:color="auto" w:fill="auto"/>
                <w:vAlign w:val="center"/>
                <w:hideMark/>
              </w:tcPr>
              <w:p w14:paraId="453CC7A5"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LILIANA PATRICIA HERRERA PAREJA</w:t>
                </w:r>
              </w:p>
            </w:tc>
            <w:tc>
              <w:tcPr>
                <w:tcW w:w="949" w:type="pct"/>
                <w:shd w:val="clear" w:color="auto" w:fill="auto"/>
                <w:noWrap/>
                <w:vAlign w:val="center"/>
                <w:hideMark/>
              </w:tcPr>
              <w:p w14:paraId="47C3F15D"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0</w:t>
                </w:r>
              </w:p>
            </w:tc>
            <w:tc>
              <w:tcPr>
                <w:tcW w:w="711" w:type="pct"/>
                <w:shd w:val="clear" w:color="auto" w:fill="auto"/>
                <w:noWrap/>
                <w:vAlign w:val="center"/>
              </w:tcPr>
              <w:p w14:paraId="430F5041" w14:textId="1618044C"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521.087.630</w:t>
                </w:r>
              </w:p>
            </w:tc>
            <w:tc>
              <w:tcPr>
                <w:tcW w:w="1288" w:type="pct"/>
                <w:shd w:val="clear" w:color="auto" w:fill="auto"/>
                <w:noWrap/>
                <w:vAlign w:val="center"/>
                <w:hideMark/>
              </w:tcPr>
              <w:p w14:paraId="3D86B4CA"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76147333170120110010000</w:t>
                </w:r>
              </w:p>
            </w:tc>
          </w:tr>
          <w:tr w:rsidR="0054388B" w:rsidRPr="00E522A4" w14:paraId="0B4ED809" w14:textId="77777777" w:rsidTr="009A5B88">
            <w:trPr>
              <w:trHeight w:val="360"/>
            </w:trPr>
            <w:tc>
              <w:tcPr>
                <w:tcW w:w="2053" w:type="pct"/>
                <w:shd w:val="clear" w:color="auto" w:fill="auto"/>
                <w:vAlign w:val="center"/>
                <w:hideMark/>
              </w:tcPr>
              <w:p w14:paraId="6EB04B7D"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AMILCAR ORLANDO CAMARGO SANCHEZ</w:t>
                </w:r>
              </w:p>
            </w:tc>
            <w:tc>
              <w:tcPr>
                <w:tcW w:w="949" w:type="pct"/>
                <w:shd w:val="clear" w:color="auto" w:fill="auto"/>
                <w:noWrap/>
                <w:vAlign w:val="center"/>
                <w:hideMark/>
              </w:tcPr>
              <w:p w14:paraId="7C4CE508"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0</w:t>
                </w:r>
              </w:p>
            </w:tc>
            <w:tc>
              <w:tcPr>
                <w:tcW w:w="711" w:type="pct"/>
                <w:shd w:val="clear" w:color="auto" w:fill="auto"/>
                <w:noWrap/>
                <w:vAlign w:val="center"/>
              </w:tcPr>
              <w:p w14:paraId="2CFB5007" w14:textId="153AA5FA"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8.031.228</w:t>
                </w:r>
              </w:p>
            </w:tc>
            <w:tc>
              <w:tcPr>
                <w:tcW w:w="1288" w:type="pct"/>
                <w:shd w:val="clear" w:color="auto" w:fill="auto"/>
                <w:noWrap/>
                <w:vAlign w:val="center"/>
                <w:hideMark/>
              </w:tcPr>
              <w:p w14:paraId="4039FA94"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76001333300720130042200</w:t>
                </w:r>
              </w:p>
            </w:tc>
          </w:tr>
          <w:tr w:rsidR="0054388B" w:rsidRPr="00E522A4" w14:paraId="0F1FC079" w14:textId="77777777" w:rsidTr="009A5B88">
            <w:trPr>
              <w:trHeight w:val="300"/>
            </w:trPr>
            <w:tc>
              <w:tcPr>
                <w:tcW w:w="2053" w:type="pct"/>
                <w:shd w:val="clear" w:color="auto" w:fill="auto"/>
                <w:vAlign w:val="center"/>
                <w:hideMark/>
              </w:tcPr>
              <w:p w14:paraId="6AC283B2"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LIBIA EUGENIA DURAN BARAJAS</w:t>
                </w:r>
              </w:p>
            </w:tc>
            <w:tc>
              <w:tcPr>
                <w:tcW w:w="949" w:type="pct"/>
                <w:shd w:val="clear" w:color="auto" w:fill="auto"/>
                <w:noWrap/>
                <w:vAlign w:val="center"/>
                <w:hideMark/>
              </w:tcPr>
              <w:p w14:paraId="434326DF"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318.836.437</w:t>
                </w:r>
              </w:p>
            </w:tc>
            <w:tc>
              <w:tcPr>
                <w:tcW w:w="711" w:type="pct"/>
                <w:shd w:val="clear" w:color="auto" w:fill="auto"/>
                <w:noWrap/>
                <w:vAlign w:val="center"/>
              </w:tcPr>
              <w:p w14:paraId="0236FF60" w14:textId="0491946F"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344.567.632</w:t>
                </w:r>
              </w:p>
            </w:tc>
            <w:tc>
              <w:tcPr>
                <w:tcW w:w="1288" w:type="pct"/>
                <w:shd w:val="clear" w:color="auto" w:fill="auto"/>
                <w:noWrap/>
                <w:vAlign w:val="center"/>
                <w:hideMark/>
              </w:tcPr>
              <w:p w14:paraId="12EFA87F"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68001333100120080030302</w:t>
                </w:r>
              </w:p>
            </w:tc>
          </w:tr>
          <w:tr w:rsidR="0054388B" w:rsidRPr="00E522A4" w14:paraId="153CA591" w14:textId="77777777" w:rsidTr="009A5B88">
            <w:trPr>
              <w:trHeight w:val="300"/>
            </w:trPr>
            <w:tc>
              <w:tcPr>
                <w:tcW w:w="2053" w:type="pct"/>
                <w:shd w:val="clear" w:color="auto" w:fill="auto"/>
                <w:vAlign w:val="center"/>
                <w:hideMark/>
              </w:tcPr>
              <w:p w14:paraId="50278C24" w14:textId="4FE3F61D"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GRACILIANO GOMEZ RIOS</w:t>
                </w:r>
              </w:p>
            </w:tc>
            <w:tc>
              <w:tcPr>
                <w:tcW w:w="949" w:type="pct"/>
                <w:shd w:val="clear" w:color="auto" w:fill="auto"/>
                <w:noWrap/>
                <w:vAlign w:val="center"/>
                <w:hideMark/>
              </w:tcPr>
              <w:p w14:paraId="18382509"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161.608.000</w:t>
                </w:r>
              </w:p>
            </w:tc>
            <w:tc>
              <w:tcPr>
                <w:tcW w:w="711" w:type="pct"/>
                <w:shd w:val="clear" w:color="auto" w:fill="auto"/>
                <w:noWrap/>
                <w:vAlign w:val="center"/>
              </w:tcPr>
              <w:p w14:paraId="3CF18996" w14:textId="4D670F1C"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236.494.063</w:t>
                </w:r>
              </w:p>
            </w:tc>
            <w:tc>
              <w:tcPr>
                <w:tcW w:w="1288" w:type="pct"/>
                <w:shd w:val="clear" w:color="auto" w:fill="auto"/>
                <w:noWrap/>
                <w:vAlign w:val="center"/>
                <w:hideMark/>
              </w:tcPr>
              <w:p w14:paraId="193805A1"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68001333301420130016001</w:t>
                </w:r>
              </w:p>
            </w:tc>
          </w:tr>
          <w:tr w:rsidR="0054388B" w:rsidRPr="00E522A4" w14:paraId="29BA28ED" w14:textId="77777777" w:rsidTr="009A5B88">
            <w:trPr>
              <w:trHeight w:val="360"/>
            </w:trPr>
            <w:tc>
              <w:tcPr>
                <w:tcW w:w="2053" w:type="pct"/>
                <w:shd w:val="clear" w:color="auto" w:fill="auto"/>
                <w:vAlign w:val="center"/>
                <w:hideMark/>
              </w:tcPr>
              <w:p w14:paraId="52A8685E"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YARSETH YULIANA FLOREZ MARTINEZ</w:t>
                </w:r>
              </w:p>
            </w:tc>
            <w:tc>
              <w:tcPr>
                <w:tcW w:w="949" w:type="pct"/>
                <w:shd w:val="clear" w:color="auto" w:fill="auto"/>
                <w:noWrap/>
                <w:vAlign w:val="center"/>
                <w:hideMark/>
              </w:tcPr>
              <w:p w14:paraId="21B8BCEF"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859.134.223</w:t>
                </w:r>
              </w:p>
            </w:tc>
            <w:tc>
              <w:tcPr>
                <w:tcW w:w="711" w:type="pct"/>
                <w:shd w:val="clear" w:color="auto" w:fill="auto"/>
                <w:noWrap/>
                <w:vAlign w:val="center"/>
              </w:tcPr>
              <w:p w14:paraId="4734EE0C" w14:textId="031BBDC0"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219.607.549</w:t>
                </w:r>
              </w:p>
            </w:tc>
            <w:tc>
              <w:tcPr>
                <w:tcW w:w="1288" w:type="pct"/>
                <w:shd w:val="clear" w:color="auto" w:fill="auto"/>
                <w:noWrap/>
                <w:vAlign w:val="center"/>
                <w:hideMark/>
              </w:tcPr>
              <w:p w14:paraId="549D184D"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70001333300520140014200</w:t>
                </w:r>
              </w:p>
            </w:tc>
          </w:tr>
          <w:tr w:rsidR="0054388B" w:rsidRPr="00E522A4" w14:paraId="605C3158" w14:textId="77777777" w:rsidTr="009A5B88">
            <w:trPr>
              <w:trHeight w:val="300"/>
            </w:trPr>
            <w:tc>
              <w:tcPr>
                <w:tcW w:w="2053" w:type="pct"/>
                <w:shd w:val="clear" w:color="auto" w:fill="auto"/>
                <w:vAlign w:val="center"/>
                <w:hideMark/>
              </w:tcPr>
              <w:p w14:paraId="65C0D59A" w14:textId="1137C3D5"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OLGA ALMEIDA SARMIENTO</w:t>
                </w:r>
              </w:p>
            </w:tc>
            <w:tc>
              <w:tcPr>
                <w:tcW w:w="949" w:type="pct"/>
                <w:shd w:val="clear" w:color="auto" w:fill="auto"/>
                <w:noWrap/>
                <w:vAlign w:val="center"/>
                <w:hideMark/>
              </w:tcPr>
              <w:p w14:paraId="31CF560E"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259.577.671</w:t>
                </w:r>
              </w:p>
            </w:tc>
            <w:tc>
              <w:tcPr>
                <w:tcW w:w="711" w:type="pct"/>
                <w:shd w:val="clear" w:color="auto" w:fill="auto"/>
                <w:noWrap/>
                <w:vAlign w:val="center"/>
              </w:tcPr>
              <w:p w14:paraId="7A251A25" w14:textId="10DCCC32"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239.481.123</w:t>
                </w:r>
              </w:p>
            </w:tc>
            <w:tc>
              <w:tcPr>
                <w:tcW w:w="1288" w:type="pct"/>
                <w:shd w:val="clear" w:color="auto" w:fill="auto"/>
                <w:noWrap/>
                <w:vAlign w:val="center"/>
                <w:hideMark/>
              </w:tcPr>
              <w:p w14:paraId="7C68ED15"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68001333300820130015301</w:t>
                </w:r>
              </w:p>
            </w:tc>
          </w:tr>
          <w:tr w:rsidR="0054388B" w:rsidRPr="00E522A4" w14:paraId="39665868" w14:textId="77777777" w:rsidTr="009A5B88">
            <w:trPr>
              <w:trHeight w:val="300"/>
            </w:trPr>
            <w:tc>
              <w:tcPr>
                <w:tcW w:w="2053" w:type="pct"/>
                <w:shd w:val="clear" w:color="auto" w:fill="auto"/>
                <w:vAlign w:val="center"/>
                <w:hideMark/>
              </w:tcPr>
              <w:p w14:paraId="4BDDDA67" w14:textId="60286E45"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JAIME MARTINEZ INFANTE</w:t>
                </w:r>
              </w:p>
            </w:tc>
            <w:tc>
              <w:tcPr>
                <w:tcW w:w="949" w:type="pct"/>
                <w:shd w:val="clear" w:color="auto" w:fill="auto"/>
                <w:noWrap/>
                <w:vAlign w:val="center"/>
                <w:hideMark/>
              </w:tcPr>
              <w:p w14:paraId="19108EAB"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425.338.215</w:t>
                </w:r>
              </w:p>
            </w:tc>
            <w:tc>
              <w:tcPr>
                <w:tcW w:w="711" w:type="pct"/>
                <w:shd w:val="clear" w:color="auto" w:fill="auto"/>
                <w:noWrap/>
                <w:vAlign w:val="center"/>
              </w:tcPr>
              <w:p w14:paraId="2B3DE328" w14:textId="63CAC8FB"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312.496.800</w:t>
                </w:r>
              </w:p>
            </w:tc>
            <w:tc>
              <w:tcPr>
                <w:tcW w:w="1288" w:type="pct"/>
                <w:shd w:val="clear" w:color="auto" w:fill="auto"/>
                <w:noWrap/>
                <w:vAlign w:val="center"/>
                <w:hideMark/>
              </w:tcPr>
              <w:p w14:paraId="00402F61"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68001333301020140019200</w:t>
                </w:r>
              </w:p>
            </w:tc>
          </w:tr>
          <w:tr w:rsidR="0054388B" w:rsidRPr="00E522A4" w14:paraId="10929D81" w14:textId="77777777" w:rsidTr="009A5B88">
            <w:trPr>
              <w:trHeight w:val="300"/>
            </w:trPr>
            <w:tc>
              <w:tcPr>
                <w:tcW w:w="2053" w:type="pct"/>
                <w:shd w:val="clear" w:color="auto" w:fill="auto"/>
                <w:vAlign w:val="center"/>
                <w:hideMark/>
              </w:tcPr>
              <w:p w14:paraId="265A6227"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LEIDY PAOLA LEMUS QUINTERO</w:t>
                </w:r>
              </w:p>
            </w:tc>
            <w:tc>
              <w:tcPr>
                <w:tcW w:w="949" w:type="pct"/>
                <w:shd w:val="clear" w:color="auto" w:fill="auto"/>
                <w:noWrap/>
                <w:vAlign w:val="center"/>
                <w:hideMark/>
              </w:tcPr>
              <w:p w14:paraId="74744842"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611.433.948</w:t>
                </w:r>
              </w:p>
            </w:tc>
            <w:tc>
              <w:tcPr>
                <w:tcW w:w="711" w:type="pct"/>
                <w:shd w:val="clear" w:color="auto" w:fill="auto"/>
                <w:noWrap/>
                <w:vAlign w:val="center"/>
              </w:tcPr>
              <w:p w14:paraId="2C0500DE" w14:textId="471EEA70"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277.985.681</w:t>
                </w:r>
              </w:p>
            </w:tc>
            <w:tc>
              <w:tcPr>
                <w:tcW w:w="1288" w:type="pct"/>
                <w:shd w:val="clear" w:color="auto" w:fill="auto"/>
                <w:noWrap/>
                <w:vAlign w:val="center"/>
                <w:hideMark/>
              </w:tcPr>
              <w:p w14:paraId="56FF05E9"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20001333300620130012600</w:t>
                </w:r>
              </w:p>
            </w:tc>
          </w:tr>
          <w:tr w:rsidR="0054388B" w:rsidRPr="00E522A4" w14:paraId="33DD5FCB" w14:textId="77777777" w:rsidTr="009A5B88">
            <w:trPr>
              <w:trHeight w:val="300"/>
            </w:trPr>
            <w:tc>
              <w:tcPr>
                <w:tcW w:w="2053" w:type="pct"/>
                <w:shd w:val="clear" w:color="auto" w:fill="auto"/>
                <w:vAlign w:val="center"/>
                <w:hideMark/>
              </w:tcPr>
              <w:p w14:paraId="63B119E1"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LUIS IGNACIO LARA CASTILLO</w:t>
                </w:r>
              </w:p>
            </w:tc>
            <w:tc>
              <w:tcPr>
                <w:tcW w:w="949" w:type="pct"/>
                <w:shd w:val="clear" w:color="auto" w:fill="auto"/>
                <w:noWrap/>
                <w:vAlign w:val="center"/>
                <w:hideMark/>
              </w:tcPr>
              <w:p w14:paraId="1C3AB989"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76.777.367</w:t>
                </w:r>
              </w:p>
            </w:tc>
            <w:tc>
              <w:tcPr>
                <w:tcW w:w="711" w:type="pct"/>
                <w:shd w:val="clear" w:color="auto" w:fill="auto"/>
                <w:noWrap/>
                <w:vAlign w:val="center"/>
              </w:tcPr>
              <w:p w14:paraId="13EC8CB9" w14:textId="1B3D9D9D"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69.841.871</w:t>
                </w:r>
              </w:p>
            </w:tc>
            <w:tc>
              <w:tcPr>
                <w:tcW w:w="1288" w:type="pct"/>
                <w:shd w:val="clear" w:color="auto" w:fill="auto"/>
                <w:noWrap/>
                <w:vAlign w:val="center"/>
                <w:hideMark/>
              </w:tcPr>
              <w:p w14:paraId="74DF4169"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15001333301320130011600</w:t>
                </w:r>
              </w:p>
            </w:tc>
          </w:tr>
          <w:tr w:rsidR="0054388B" w:rsidRPr="00E522A4" w14:paraId="1B613998" w14:textId="77777777" w:rsidTr="009A5B88">
            <w:trPr>
              <w:trHeight w:val="300"/>
            </w:trPr>
            <w:tc>
              <w:tcPr>
                <w:tcW w:w="2053" w:type="pct"/>
                <w:shd w:val="clear" w:color="auto" w:fill="auto"/>
                <w:vAlign w:val="center"/>
                <w:hideMark/>
              </w:tcPr>
              <w:p w14:paraId="4EB0B1F5"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JHON FREDY TOSCANO ROJAS</w:t>
                </w:r>
              </w:p>
            </w:tc>
            <w:tc>
              <w:tcPr>
                <w:tcW w:w="949" w:type="pct"/>
                <w:shd w:val="clear" w:color="auto" w:fill="auto"/>
                <w:noWrap/>
                <w:vAlign w:val="center"/>
                <w:hideMark/>
              </w:tcPr>
              <w:p w14:paraId="6BA7DB38"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415.292.425</w:t>
                </w:r>
              </w:p>
            </w:tc>
            <w:tc>
              <w:tcPr>
                <w:tcW w:w="711" w:type="pct"/>
                <w:shd w:val="clear" w:color="auto" w:fill="auto"/>
                <w:noWrap/>
                <w:vAlign w:val="center"/>
              </w:tcPr>
              <w:p w14:paraId="2191DDAB" w14:textId="5D8A6F1A"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321.469.540</w:t>
                </w:r>
              </w:p>
            </w:tc>
            <w:tc>
              <w:tcPr>
                <w:tcW w:w="1288" w:type="pct"/>
                <w:shd w:val="clear" w:color="auto" w:fill="auto"/>
                <w:noWrap/>
                <w:vAlign w:val="center"/>
                <w:hideMark/>
              </w:tcPr>
              <w:p w14:paraId="73F1B95E"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68001333300820140039302</w:t>
                </w:r>
              </w:p>
            </w:tc>
          </w:tr>
          <w:tr w:rsidR="0054388B" w:rsidRPr="00E522A4" w14:paraId="1E136105" w14:textId="77777777" w:rsidTr="009A5B88">
            <w:trPr>
              <w:trHeight w:val="300"/>
            </w:trPr>
            <w:tc>
              <w:tcPr>
                <w:tcW w:w="2053" w:type="pct"/>
                <w:shd w:val="clear" w:color="auto" w:fill="auto"/>
                <w:vAlign w:val="center"/>
                <w:hideMark/>
              </w:tcPr>
              <w:p w14:paraId="7BEB4C2A"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JORLY JULIETH PINTA RENTERIA</w:t>
                </w:r>
              </w:p>
            </w:tc>
            <w:tc>
              <w:tcPr>
                <w:tcW w:w="949" w:type="pct"/>
                <w:shd w:val="clear" w:color="auto" w:fill="auto"/>
                <w:noWrap/>
                <w:vAlign w:val="center"/>
                <w:hideMark/>
              </w:tcPr>
              <w:p w14:paraId="0CD5E032"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0</w:t>
                </w:r>
              </w:p>
            </w:tc>
            <w:tc>
              <w:tcPr>
                <w:tcW w:w="711" w:type="pct"/>
                <w:shd w:val="clear" w:color="auto" w:fill="auto"/>
                <w:noWrap/>
                <w:vAlign w:val="center"/>
              </w:tcPr>
              <w:p w14:paraId="0406983D" w14:textId="65A3AFBD"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352.487.809</w:t>
                </w:r>
              </w:p>
            </w:tc>
            <w:tc>
              <w:tcPr>
                <w:tcW w:w="1288" w:type="pct"/>
                <w:shd w:val="clear" w:color="auto" w:fill="auto"/>
                <w:noWrap/>
                <w:vAlign w:val="center"/>
                <w:hideMark/>
              </w:tcPr>
              <w:p w14:paraId="0C0B06DF"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19001333300620160000300</w:t>
                </w:r>
              </w:p>
            </w:tc>
          </w:tr>
          <w:tr w:rsidR="0054388B" w:rsidRPr="00E522A4" w14:paraId="18CF2D2B" w14:textId="77777777" w:rsidTr="009A5B88">
            <w:trPr>
              <w:trHeight w:val="300"/>
            </w:trPr>
            <w:tc>
              <w:tcPr>
                <w:tcW w:w="2053" w:type="pct"/>
                <w:shd w:val="clear" w:color="auto" w:fill="auto"/>
                <w:vAlign w:val="center"/>
                <w:hideMark/>
              </w:tcPr>
              <w:p w14:paraId="687DC5A5"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HERMES ELICIO PINZON VANEGAS</w:t>
                </w:r>
              </w:p>
            </w:tc>
            <w:tc>
              <w:tcPr>
                <w:tcW w:w="949" w:type="pct"/>
                <w:shd w:val="clear" w:color="auto" w:fill="auto"/>
                <w:noWrap/>
                <w:vAlign w:val="center"/>
                <w:hideMark/>
              </w:tcPr>
              <w:p w14:paraId="3C143A10"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2.178.300.430</w:t>
                </w:r>
              </w:p>
            </w:tc>
            <w:tc>
              <w:tcPr>
                <w:tcW w:w="711" w:type="pct"/>
                <w:shd w:val="clear" w:color="auto" w:fill="auto"/>
                <w:noWrap/>
                <w:vAlign w:val="center"/>
              </w:tcPr>
              <w:p w14:paraId="6F043999" w14:textId="4E5F8BA2"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w:t>
                </w:r>
              </w:p>
            </w:tc>
            <w:tc>
              <w:tcPr>
                <w:tcW w:w="1288" w:type="pct"/>
                <w:shd w:val="clear" w:color="auto" w:fill="auto"/>
                <w:noWrap/>
                <w:vAlign w:val="center"/>
                <w:hideMark/>
              </w:tcPr>
              <w:p w14:paraId="10228EDB"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11001333603820150031100</w:t>
                </w:r>
              </w:p>
            </w:tc>
          </w:tr>
          <w:tr w:rsidR="0054388B" w:rsidRPr="00E522A4" w14:paraId="06BBD7C6" w14:textId="77777777" w:rsidTr="009A5B88">
            <w:trPr>
              <w:trHeight w:val="300"/>
            </w:trPr>
            <w:tc>
              <w:tcPr>
                <w:tcW w:w="2053" w:type="pct"/>
                <w:shd w:val="clear" w:color="auto" w:fill="auto"/>
                <w:vAlign w:val="center"/>
                <w:hideMark/>
              </w:tcPr>
              <w:p w14:paraId="5F049AA5"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MARIA ESPERANZA ARDILA SILVA</w:t>
                </w:r>
              </w:p>
            </w:tc>
            <w:tc>
              <w:tcPr>
                <w:tcW w:w="949" w:type="pct"/>
                <w:shd w:val="clear" w:color="auto" w:fill="auto"/>
                <w:noWrap/>
                <w:vAlign w:val="center"/>
                <w:hideMark/>
              </w:tcPr>
              <w:p w14:paraId="4EAD857B"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390.532.433</w:t>
                </w:r>
              </w:p>
            </w:tc>
            <w:tc>
              <w:tcPr>
                <w:tcW w:w="711" w:type="pct"/>
                <w:shd w:val="clear" w:color="auto" w:fill="auto"/>
                <w:noWrap/>
                <w:vAlign w:val="center"/>
              </w:tcPr>
              <w:p w14:paraId="71E69BD8" w14:textId="448AFE01"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175.560.600</w:t>
                </w:r>
              </w:p>
            </w:tc>
            <w:tc>
              <w:tcPr>
                <w:tcW w:w="1288" w:type="pct"/>
                <w:shd w:val="clear" w:color="auto" w:fill="auto"/>
                <w:noWrap/>
                <w:vAlign w:val="center"/>
                <w:hideMark/>
              </w:tcPr>
              <w:p w14:paraId="36F59758"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68081333300220160005300</w:t>
                </w:r>
              </w:p>
            </w:tc>
          </w:tr>
          <w:tr w:rsidR="0054388B" w:rsidRPr="00E522A4" w14:paraId="61CDBCCF" w14:textId="77777777" w:rsidTr="009A5B88">
            <w:trPr>
              <w:trHeight w:val="360"/>
            </w:trPr>
            <w:tc>
              <w:tcPr>
                <w:tcW w:w="2053" w:type="pct"/>
                <w:shd w:val="clear" w:color="auto" w:fill="auto"/>
                <w:vAlign w:val="center"/>
                <w:hideMark/>
              </w:tcPr>
              <w:p w14:paraId="6F51815F"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PEDRO PABLO RODRIGUEZ SANCHEZ</w:t>
                </w:r>
              </w:p>
            </w:tc>
            <w:tc>
              <w:tcPr>
                <w:tcW w:w="949" w:type="pct"/>
                <w:shd w:val="clear" w:color="auto" w:fill="auto"/>
                <w:noWrap/>
                <w:vAlign w:val="center"/>
                <w:hideMark/>
              </w:tcPr>
              <w:p w14:paraId="24DD0D6E"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201.133.766</w:t>
                </w:r>
              </w:p>
            </w:tc>
            <w:tc>
              <w:tcPr>
                <w:tcW w:w="711" w:type="pct"/>
                <w:shd w:val="clear" w:color="auto" w:fill="auto"/>
                <w:noWrap/>
                <w:vAlign w:val="center"/>
              </w:tcPr>
              <w:p w14:paraId="4F58E870" w14:textId="4D07CF7A"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104.480.490</w:t>
                </w:r>
              </w:p>
            </w:tc>
            <w:tc>
              <w:tcPr>
                <w:tcW w:w="1288" w:type="pct"/>
                <w:shd w:val="clear" w:color="auto" w:fill="auto"/>
                <w:noWrap/>
                <w:vAlign w:val="center"/>
                <w:hideMark/>
              </w:tcPr>
              <w:p w14:paraId="20D9E25D"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11001333603320150081300</w:t>
                </w:r>
              </w:p>
            </w:tc>
          </w:tr>
          <w:tr w:rsidR="0054388B" w:rsidRPr="00E522A4" w14:paraId="73FB8E55" w14:textId="77777777" w:rsidTr="009A5B88">
            <w:trPr>
              <w:trHeight w:val="300"/>
            </w:trPr>
            <w:tc>
              <w:tcPr>
                <w:tcW w:w="2053" w:type="pct"/>
                <w:shd w:val="clear" w:color="auto" w:fill="auto"/>
                <w:vAlign w:val="center"/>
                <w:hideMark/>
              </w:tcPr>
              <w:p w14:paraId="2CD145CA"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JOSE AUGUSTO SARMIENTO URREA</w:t>
                </w:r>
              </w:p>
            </w:tc>
            <w:tc>
              <w:tcPr>
                <w:tcW w:w="949" w:type="pct"/>
                <w:shd w:val="clear" w:color="auto" w:fill="auto"/>
                <w:noWrap/>
                <w:vAlign w:val="center"/>
                <w:hideMark/>
              </w:tcPr>
              <w:p w14:paraId="736F2222"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3.518.823.027</w:t>
                </w:r>
              </w:p>
            </w:tc>
            <w:tc>
              <w:tcPr>
                <w:tcW w:w="711" w:type="pct"/>
                <w:shd w:val="clear" w:color="auto" w:fill="auto"/>
                <w:noWrap/>
                <w:vAlign w:val="center"/>
              </w:tcPr>
              <w:p w14:paraId="097D64B2" w14:textId="44CA52E9"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3.356.168.944</w:t>
                </w:r>
              </w:p>
            </w:tc>
            <w:tc>
              <w:tcPr>
                <w:tcW w:w="1288" w:type="pct"/>
                <w:shd w:val="clear" w:color="auto" w:fill="auto"/>
                <w:noWrap/>
                <w:vAlign w:val="center"/>
                <w:hideMark/>
              </w:tcPr>
              <w:p w14:paraId="2A8CBB56"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68001233300020170015800</w:t>
                </w:r>
              </w:p>
            </w:tc>
          </w:tr>
          <w:tr w:rsidR="0054388B" w:rsidRPr="00E522A4" w14:paraId="17B63EDF" w14:textId="77777777" w:rsidTr="009A5B88">
            <w:trPr>
              <w:trHeight w:val="360"/>
            </w:trPr>
            <w:tc>
              <w:tcPr>
                <w:tcW w:w="2053" w:type="pct"/>
                <w:shd w:val="clear" w:color="auto" w:fill="auto"/>
                <w:vAlign w:val="center"/>
                <w:hideMark/>
              </w:tcPr>
              <w:p w14:paraId="149046A5" w14:textId="6F697ACF"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MARIA DEL CARMEN CASTRO VARGAS</w:t>
                </w:r>
              </w:p>
            </w:tc>
            <w:tc>
              <w:tcPr>
                <w:tcW w:w="949" w:type="pct"/>
                <w:shd w:val="clear" w:color="auto" w:fill="auto"/>
                <w:noWrap/>
                <w:vAlign w:val="center"/>
                <w:hideMark/>
              </w:tcPr>
              <w:p w14:paraId="7DF2F3D7"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866.679.485</w:t>
                </w:r>
              </w:p>
            </w:tc>
            <w:tc>
              <w:tcPr>
                <w:tcW w:w="711" w:type="pct"/>
                <w:shd w:val="clear" w:color="auto" w:fill="auto"/>
                <w:noWrap/>
                <w:vAlign w:val="center"/>
              </w:tcPr>
              <w:p w14:paraId="6C817F61" w14:textId="22A834B4"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443.428.136</w:t>
                </w:r>
              </w:p>
            </w:tc>
            <w:tc>
              <w:tcPr>
                <w:tcW w:w="1288" w:type="pct"/>
                <w:shd w:val="clear" w:color="auto" w:fill="auto"/>
                <w:noWrap/>
                <w:vAlign w:val="center"/>
                <w:hideMark/>
              </w:tcPr>
              <w:p w14:paraId="3F00AB3E"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11001333603520130019600</w:t>
                </w:r>
              </w:p>
            </w:tc>
          </w:tr>
          <w:tr w:rsidR="0054388B" w:rsidRPr="00E522A4" w14:paraId="18CEEFB8" w14:textId="77777777" w:rsidTr="009A5B88">
            <w:trPr>
              <w:trHeight w:val="300"/>
            </w:trPr>
            <w:tc>
              <w:tcPr>
                <w:tcW w:w="2053" w:type="pct"/>
                <w:shd w:val="clear" w:color="auto" w:fill="auto"/>
                <w:vAlign w:val="center"/>
                <w:hideMark/>
              </w:tcPr>
              <w:p w14:paraId="4596A037"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CARLOS ROBERTO DIAZ OJEDA</w:t>
                </w:r>
              </w:p>
            </w:tc>
            <w:tc>
              <w:tcPr>
                <w:tcW w:w="949" w:type="pct"/>
                <w:shd w:val="clear" w:color="auto" w:fill="auto"/>
                <w:noWrap/>
                <w:vAlign w:val="center"/>
                <w:hideMark/>
              </w:tcPr>
              <w:p w14:paraId="3E8D4874"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0</w:t>
                </w:r>
              </w:p>
            </w:tc>
            <w:tc>
              <w:tcPr>
                <w:tcW w:w="711" w:type="pct"/>
                <w:shd w:val="clear" w:color="auto" w:fill="auto"/>
                <w:noWrap/>
                <w:vAlign w:val="center"/>
              </w:tcPr>
              <w:p w14:paraId="4D216840" w14:textId="0E775099"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889.146.606</w:t>
                </w:r>
              </w:p>
            </w:tc>
            <w:tc>
              <w:tcPr>
                <w:tcW w:w="1288" w:type="pct"/>
                <w:shd w:val="clear" w:color="auto" w:fill="auto"/>
                <w:noWrap/>
                <w:vAlign w:val="center"/>
                <w:hideMark/>
              </w:tcPr>
              <w:p w14:paraId="15A93E7D"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15238333375220150026200</w:t>
                </w:r>
              </w:p>
            </w:tc>
          </w:tr>
          <w:tr w:rsidR="0054388B" w:rsidRPr="00E522A4" w14:paraId="6285569C" w14:textId="77777777" w:rsidTr="009A5B88">
            <w:trPr>
              <w:trHeight w:val="360"/>
            </w:trPr>
            <w:tc>
              <w:tcPr>
                <w:tcW w:w="2053" w:type="pct"/>
                <w:shd w:val="clear" w:color="auto" w:fill="auto"/>
                <w:vAlign w:val="center"/>
                <w:hideMark/>
              </w:tcPr>
              <w:p w14:paraId="55CF230F"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NICOLAS GUILLERMO ALDANA ZAPATA</w:t>
                </w:r>
              </w:p>
            </w:tc>
            <w:tc>
              <w:tcPr>
                <w:tcW w:w="949" w:type="pct"/>
                <w:shd w:val="clear" w:color="auto" w:fill="auto"/>
                <w:noWrap/>
                <w:vAlign w:val="center"/>
                <w:hideMark/>
              </w:tcPr>
              <w:p w14:paraId="0680DFA7"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81.837.292</w:t>
                </w:r>
              </w:p>
            </w:tc>
            <w:tc>
              <w:tcPr>
                <w:tcW w:w="711" w:type="pct"/>
                <w:shd w:val="clear" w:color="auto" w:fill="auto"/>
                <w:noWrap/>
                <w:vAlign w:val="center"/>
              </w:tcPr>
              <w:p w14:paraId="1910BE0C" w14:textId="624E2200"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5.470.745</w:t>
                </w:r>
              </w:p>
            </w:tc>
            <w:tc>
              <w:tcPr>
                <w:tcW w:w="1288" w:type="pct"/>
                <w:shd w:val="clear" w:color="auto" w:fill="auto"/>
                <w:noWrap/>
                <w:vAlign w:val="center"/>
                <w:hideMark/>
              </w:tcPr>
              <w:p w14:paraId="32578490"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54518333300120140065000</w:t>
                </w:r>
              </w:p>
            </w:tc>
          </w:tr>
          <w:tr w:rsidR="0054388B" w:rsidRPr="00E522A4" w14:paraId="16EA3785" w14:textId="77777777" w:rsidTr="009A5B88">
            <w:trPr>
              <w:trHeight w:val="300"/>
            </w:trPr>
            <w:tc>
              <w:tcPr>
                <w:tcW w:w="2053" w:type="pct"/>
                <w:shd w:val="clear" w:color="auto" w:fill="auto"/>
                <w:vAlign w:val="center"/>
                <w:hideMark/>
              </w:tcPr>
              <w:p w14:paraId="305897C2" w14:textId="0AF3005E"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LUIS MONTOYA URREA</w:t>
                </w:r>
              </w:p>
            </w:tc>
            <w:tc>
              <w:tcPr>
                <w:tcW w:w="949" w:type="pct"/>
                <w:shd w:val="clear" w:color="auto" w:fill="auto"/>
                <w:noWrap/>
                <w:vAlign w:val="center"/>
                <w:hideMark/>
              </w:tcPr>
              <w:p w14:paraId="51C2B555"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5.061.995.505</w:t>
                </w:r>
              </w:p>
            </w:tc>
            <w:tc>
              <w:tcPr>
                <w:tcW w:w="711" w:type="pct"/>
                <w:shd w:val="clear" w:color="auto" w:fill="auto"/>
                <w:noWrap/>
                <w:vAlign w:val="center"/>
              </w:tcPr>
              <w:p w14:paraId="35B35F23" w14:textId="14B702D0"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4.825.504.675</w:t>
                </w:r>
              </w:p>
            </w:tc>
            <w:tc>
              <w:tcPr>
                <w:tcW w:w="1288" w:type="pct"/>
                <w:shd w:val="clear" w:color="auto" w:fill="auto"/>
                <w:noWrap/>
                <w:vAlign w:val="center"/>
                <w:hideMark/>
              </w:tcPr>
              <w:p w14:paraId="3D5592B6" w14:textId="4B80F6E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05001333103020070001600</w:t>
                </w:r>
              </w:p>
            </w:tc>
          </w:tr>
          <w:tr w:rsidR="0054388B" w:rsidRPr="00E522A4" w14:paraId="74C806E2" w14:textId="77777777" w:rsidTr="009A5B88">
            <w:trPr>
              <w:trHeight w:val="300"/>
            </w:trPr>
            <w:tc>
              <w:tcPr>
                <w:tcW w:w="2053" w:type="pct"/>
                <w:shd w:val="clear" w:color="auto" w:fill="auto"/>
                <w:vAlign w:val="center"/>
                <w:hideMark/>
              </w:tcPr>
              <w:p w14:paraId="3260B645" w14:textId="09F06931"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MIRIAM RODRIGUEZ VELEZ</w:t>
                </w:r>
              </w:p>
            </w:tc>
            <w:tc>
              <w:tcPr>
                <w:tcW w:w="949" w:type="pct"/>
                <w:shd w:val="clear" w:color="auto" w:fill="auto"/>
                <w:noWrap/>
                <w:vAlign w:val="center"/>
                <w:hideMark/>
              </w:tcPr>
              <w:p w14:paraId="433D3D73"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0</w:t>
                </w:r>
              </w:p>
            </w:tc>
            <w:tc>
              <w:tcPr>
                <w:tcW w:w="711" w:type="pct"/>
                <w:shd w:val="clear" w:color="auto" w:fill="auto"/>
                <w:noWrap/>
                <w:vAlign w:val="center"/>
              </w:tcPr>
              <w:p w14:paraId="1F6B2A17" w14:textId="5D7C0CB2"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581.931.500</w:t>
                </w:r>
              </w:p>
            </w:tc>
            <w:tc>
              <w:tcPr>
                <w:tcW w:w="1288" w:type="pct"/>
                <w:shd w:val="clear" w:color="auto" w:fill="auto"/>
                <w:noWrap/>
                <w:vAlign w:val="center"/>
                <w:hideMark/>
              </w:tcPr>
              <w:p w14:paraId="6D3A6881"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76111333300220140006300</w:t>
                </w:r>
              </w:p>
            </w:tc>
          </w:tr>
          <w:tr w:rsidR="0054388B" w:rsidRPr="00E522A4" w14:paraId="56352502" w14:textId="77777777" w:rsidTr="009A5B88">
            <w:trPr>
              <w:trHeight w:val="360"/>
            </w:trPr>
            <w:tc>
              <w:tcPr>
                <w:tcW w:w="2053" w:type="pct"/>
                <w:shd w:val="clear" w:color="auto" w:fill="auto"/>
                <w:vAlign w:val="center"/>
                <w:hideMark/>
              </w:tcPr>
              <w:p w14:paraId="38BD0D34"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DINETH ESTELA CABALLERO OROZCO</w:t>
                </w:r>
              </w:p>
            </w:tc>
            <w:tc>
              <w:tcPr>
                <w:tcW w:w="949" w:type="pct"/>
                <w:shd w:val="clear" w:color="auto" w:fill="auto"/>
                <w:noWrap/>
                <w:vAlign w:val="center"/>
                <w:hideMark/>
              </w:tcPr>
              <w:p w14:paraId="47B05C88"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966.153.888</w:t>
                </w:r>
              </w:p>
            </w:tc>
            <w:tc>
              <w:tcPr>
                <w:tcW w:w="711" w:type="pct"/>
                <w:shd w:val="clear" w:color="auto" w:fill="auto"/>
                <w:noWrap/>
                <w:vAlign w:val="center"/>
              </w:tcPr>
              <w:p w14:paraId="53DAA2AC" w14:textId="49C310F1"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w:t>
                </w:r>
              </w:p>
            </w:tc>
            <w:tc>
              <w:tcPr>
                <w:tcW w:w="1288" w:type="pct"/>
                <w:shd w:val="clear" w:color="auto" w:fill="auto"/>
                <w:noWrap/>
                <w:vAlign w:val="center"/>
                <w:hideMark/>
              </w:tcPr>
              <w:p w14:paraId="059F9574"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20001333300620160031000</w:t>
                </w:r>
              </w:p>
            </w:tc>
          </w:tr>
          <w:tr w:rsidR="0054388B" w:rsidRPr="00E522A4" w14:paraId="08402245" w14:textId="77777777" w:rsidTr="009A5B88">
            <w:trPr>
              <w:trHeight w:val="300"/>
            </w:trPr>
            <w:tc>
              <w:tcPr>
                <w:tcW w:w="2053" w:type="pct"/>
                <w:shd w:val="clear" w:color="auto" w:fill="auto"/>
                <w:vAlign w:val="center"/>
                <w:hideMark/>
              </w:tcPr>
              <w:p w14:paraId="4FD99B76" w14:textId="53C89855"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EMILIANO LAMPREA LIGARRETO</w:t>
                </w:r>
              </w:p>
            </w:tc>
            <w:tc>
              <w:tcPr>
                <w:tcW w:w="949" w:type="pct"/>
                <w:shd w:val="clear" w:color="auto" w:fill="auto"/>
                <w:noWrap/>
                <w:vAlign w:val="center"/>
                <w:hideMark/>
              </w:tcPr>
              <w:p w14:paraId="6A2DE09F"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0</w:t>
                </w:r>
              </w:p>
            </w:tc>
            <w:tc>
              <w:tcPr>
                <w:tcW w:w="711" w:type="pct"/>
                <w:shd w:val="clear" w:color="auto" w:fill="auto"/>
                <w:noWrap/>
                <w:vAlign w:val="center"/>
              </w:tcPr>
              <w:p w14:paraId="7D0F1D08" w14:textId="202D7A7B"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181.705.200</w:t>
                </w:r>
              </w:p>
            </w:tc>
            <w:tc>
              <w:tcPr>
                <w:tcW w:w="1288" w:type="pct"/>
                <w:shd w:val="clear" w:color="auto" w:fill="auto"/>
                <w:noWrap/>
                <w:vAlign w:val="center"/>
                <w:hideMark/>
              </w:tcPr>
              <w:p w14:paraId="47D9C3FA"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11001334306320180007900</w:t>
                </w:r>
              </w:p>
            </w:tc>
          </w:tr>
          <w:tr w:rsidR="0054388B" w:rsidRPr="00E522A4" w14:paraId="1EFBF733" w14:textId="77777777" w:rsidTr="009A5B88">
            <w:trPr>
              <w:trHeight w:val="360"/>
            </w:trPr>
            <w:tc>
              <w:tcPr>
                <w:tcW w:w="2053" w:type="pct"/>
                <w:shd w:val="clear" w:color="auto" w:fill="auto"/>
                <w:vAlign w:val="center"/>
                <w:hideMark/>
              </w:tcPr>
              <w:p w14:paraId="1F6F5961"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MARIA VICTORIA CAMACHO FORERO</w:t>
                </w:r>
              </w:p>
            </w:tc>
            <w:tc>
              <w:tcPr>
                <w:tcW w:w="949" w:type="pct"/>
                <w:shd w:val="clear" w:color="auto" w:fill="auto"/>
                <w:noWrap/>
                <w:vAlign w:val="center"/>
                <w:hideMark/>
              </w:tcPr>
              <w:p w14:paraId="0DC4AD71"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308.285.830</w:t>
                </w:r>
              </w:p>
            </w:tc>
            <w:tc>
              <w:tcPr>
                <w:tcW w:w="711" w:type="pct"/>
                <w:shd w:val="clear" w:color="auto" w:fill="auto"/>
                <w:noWrap/>
                <w:vAlign w:val="center"/>
              </w:tcPr>
              <w:p w14:paraId="4D3E7B4D" w14:textId="74DE306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140.332.130</w:t>
                </w:r>
              </w:p>
            </w:tc>
            <w:tc>
              <w:tcPr>
                <w:tcW w:w="1288" w:type="pct"/>
                <w:shd w:val="clear" w:color="auto" w:fill="auto"/>
                <w:noWrap/>
                <w:vAlign w:val="center"/>
                <w:hideMark/>
              </w:tcPr>
              <w:p w14:paraId="710D1C1A"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11001333603220180008100</w:t>
                </w:r>
              </w:p>
            </w:tc>
          </w:tr>
          <w:tr w:rsidR="0054388B" w:rsidRPr="00E522A4" w14:paraId="06C1A074" w14:textId="77777777" w:rsidTr="009A5B88">
            <w:trPr>
              <w:trHeight w:val="300"/>
            </w:trPr>
            <w:tc>
              <w:tcPr>
                <w:tcW w:w="2053" w:type="pct"/>
                <w:shd w:val="clear" w:color="auto" w:fill="auto"/>
                <w:vAlign w:val="center"/>
                <w:hideMark/>
              </w:tcPr>
              <w:p w14:paraId="43472CC7"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DURAN PINILLA Y CIA S. EN C.</w:t>
                </w:r>
              </w:p>
            </w:tc>
            <w:tc>
              <w:tcPr>
                <w:tcW w:w="949" w:type="pct"/>
                <w:shd w:val="clear" w:color="auto" w:fill="auto"/>
                <w:noWrap/>
                <w:vAlign w:val="center"/>
                <w:hideMark/>
              </w:tcPr>
              <w:p w14:paraId="1C8DB28D"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197.994.754</w:t>
                </w:r>
              </w:p>
            </w:tc>
            <w:tc>
              <w:tcPr>
                <w:tcW w:w="711" w:type="pct"/>
                <w:shd w:val="clear" w:color="auto" w:fill="auto"/>
                <w:noWrap/>
                <w:vAlign w:val="center"/>
              </w:tcPr>
              <w:p w14:paraId="0307800D" w14:textId="48A8AA94"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116.513.418</w:t>
                </w:r>
              </w:p>
            </w:tc>
            <w:tc>
              <w:tcPr>
                <w:tcW w:w="1288" w:type="pct"/>
                <w:shd w:val="clear" w:color="auto" w:fill="auto"/>
                <w:noWrap/>
                <w:vAlign w:val="center"/>
                <w:hideMark/>
              </w:tcPr>
              <w:p w14:paraId="51C8285F"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08001333301220130018600</w:t>
                </w:r>
              </w:p>
            </w:tc>
          </w:tr>
          <w:tr w:rsidR="0054388B" w:rsidRPr="00E522A4" w14:paraId="28233DFD" w14:textId="77777777" w:rsidTr="009A5B88">
            <w:trPr>
              <w:trHeight w:val="300"/>
            </w:trPr>
            <w:tc>
              <w:tcPr>
                <w:tcW w:w="2053" w:type="pct"/>
                <w:shd w:val="clear" w:color="auto" w:fill="auto"/>
                <w:vAlign w:val="center"/>
                <w:hideMark/>
              </w:tcPr>
              <w:p w14:paraId="4D3547C0"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ALBA MARIA PATIÑO GIRALDO</w:t>
                </w:r>
              </w:p>
            </w:tc>
            <w:tc>
              <w:tcPr>
                <w:tcW w:w="949" w:type="pct"/>
                <w:shd w:val="clear" w:color="auto" w:fill="auto"/>
                <w:noWrap/>
                <w:vAlign w:val="center"/>
                <w:hideMark/>
              </w:tcPr>
              <w:p w14:paraId="100E60C7"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0</w:t>
                </w:r>
              </w:p>
            </w:tc>
            <w:tc>
              <w:tcPr>
                <w:tcW w:w="711" w:type="pct"/>
                <w:shd w:val="clear" w:color="auto" w:fill="auto"/>
                <w:noWrap/>
                <w:vAlign w:val="center"/>
              </w:tcPr>
              <w:p w14:paraId="12A36579" w14:textId="1133385B"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406.036.461</w:t>
                </w:r>
              </w:p>
            </w:tc>
            <w:tc>
              <w:tcPr>
                <w:tcW w:w="1288" w:type="pct"/>
                <w:shd w:val="clear" w:color="auto" w:fill="auto"/>
                <w:noWrap/>
                <w:vAlign w:val="center"/>
                <w:hideMark/>
              </w:tcPr>
              <w:p w14:paraId="217888C2"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76001233100020080041200</w:t>
                </w:r>
              </w:p>
            </w:tc>
          </w:tr>
          <w:tr w:rsidR="0054388B" w:rsidRPr="00E522A4" w14:paraId="7F4707C3" w14:textId="77777777" w:rsidTr="009A5B88">
            <w:trPr>
              <w:trHeight w:val="300"/>
            </w:trPr>
            <w:tc>
              <w:tcPr>
                <w:tcW w:w="2053" w:type="pct"/>
                <w:shd w:val="clear" w:color="auto" w:fill="auto"/>
                <w:vAlign w:val="center"/>
                <w:hideMark/>
              </w:tcPr>
              <w:p w14:paraId="6B0DDFA2"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JORGE ELIECER AGUDELO DUQUE</w:t>
                </w:r>
              </w:p>
            </w:tc>
            <w:tc>
              <w:tcPr>
                <w:tcW w:w="949" w:type="pct"/>
                <w:shd w:val="clear" w:color="auto" w:fill="auto"/>
                <w:noWrap/>
                <w:vAlign w:val="center"/>
                <w:hideMark/>
              </w:tcPr>
              <w:p w14:paraId="0E494A0F"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496.702.841</w:t>
                </w:r>
              </w:p>
            </w:tc>
            <w:tc>
              <w:tcPr>
                <w:tcW w:w="711" w:type="pct"/>
                <w:shd w:val="clear" w:color="auto" w:fill="auto"/>
                <w:noWrap/>
                <w:vAlign w:val="center"/>
              </w:tcPr>
              <w:p w14:paraId="2CAACCD6" w14:textId="76A96811"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w:t>
                </w:r>
              </w:p>
            </w:tc>
            <w:tc>
              <w:tcPr>
                <w:tcW w:w="1288" w:type="pct"/>
                <w:shd w:val="clear" w:color="auto" w:fill="auto"/>
                <w:noWrap/>
                <w:vAlign w:val="center"/>
                <w:hideMark/>
              </w:tcPr>
              <w:p w14:paraId="2F80E7BD"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05001333301120180037800</w:t>
                </w:r>
              </w:p>
            </w:tc>
          </w:tr>
          <w:tr w:rsidR="0054388B" w:rsidRPr="00E522A4" w14:paraId="7C8BD426" w14:textId="77777777" w:rsidTr="009A5B88">
            <w:trPr>
              <w:trHeight w:val="300"/>
            </w:trPr>
            <w:tc>
              <w:tcPr>
                <w:tcW w:w="2053" w:type="pct"/>
                <w:shd w:val="clear" w:color="auto" w:fill="auto"/>
                <w:vAlign w:val="center"/>
                <w:hideMark/>
              </w:tcPr>
              <w:p w14:paraId="6301B654"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YESICA SENAIDA QUICENO JIMENEZ</w:t>
                </w:r>
              </w:p>
            </w:tc>
            <w:tc>
              <w:tcPr>
                <w:tcW w:w="949" w:type="pct"/>
                <w:shd w:val="clear" w:color="auto" w:fill="auto"/>
                <w:noWrap/>
                <w:vAlign w:val="center"/>
                <w:hideMark/>
              </w:tcPr>
              <w:p w14:paraId="53BCA355"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272.681.798</w:t>
                </w:r>
              </w:p>
            </w:tc>
            <w:tc>
              <w:tcPr>
                <w:tcW w:w="711" w:type="pct"/>
                <w:shd w:val="clear" w:color="auto" w:fill="auto"/>
                <w:noWrap/>
                <w:vAlign w:val="center"/>
              </w:tcPr>
              <w:p w14:paraId="06D2E686" w14:textId="129067C8"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10.000.000</w:t>
                </w:r>
              </w:p>
            </w:tc>
            <w:tc>
              <w:tcPr>
                <w:tcW w:w="1288" w:type="pct"/>
                <w:shd w:val="clear" w:color="auto" w:fill="auto"/>
                <w:noWrap/>
                <w:vAlign w:val="center"/>
                <w:hideMark/>
              </w:tcPr>
              <w:p w14:paraId="63E252B5"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05001333303120190004300</w:t>
                </w:r>
              </w:p>
            </w:tc>
          </w:tr>
          <w:tr w:rsidR="0054388B" w:rsidRPr="00E522A4" w14:paraId="5B47BB40" w14:textId="77777777" w:rsidTr="009A5B88">
            <w:trPr>
              <w:trHeight w:val="300"/>
            </w:trPr>
            <w:tc>
              <w:tcPr>
                <w:tcW w:w="2053" w:type="pct"/>
                <w:shd w:val="clear" w:color="auto" w:fill="auto"/>
                <w:vAlign w:val="center"/>
                <w:hideMark/>
              </w:tcPr>
              <w:p w14:paraId="1B56B350" w14:textId="282DF8C8"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HERNANDO GARCIA ALTURO</w:t>
                </w:r>
              </w:p>
            </w:tc>
            <w:tc>
              <w:tcPr>
                <w:tcW w:w="949" w:type="pct"/>
                <w:shd w:val="clear" w:color="auto" w:fill="auto"/>
                <w:noWrap/>
                <w:vAlign w:val="center"/>
                <w:hideMark/>
              </w:tcPr>
              <w:p w14:paraId="6829C120"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154.527.523</w:t>
                </w:r>
              </w:p>
            </w:tc>
            <w:tc>
              <w:tcPr>
                <w:tcW w:w="711" w:type="pct"/>
                <w:shd w:val="clear" w:color="auto" w:fill="auto"/>
                <w:noWrap/>
                <w:vAlign w:val="center"/>
              </w:tcPr>
              <w:p w14:paraId="24E2EA41" w14:textId="5A40C599"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w:t>
                </w:r>
              </w:p>
            </w:tc>
            <w:tc>
              <w:tcPr>
                <w:tcW w:w="1288" w:type="pct"/>
                <w:shd w:val="clear" w:color="auto" w:fill="auto"/>
                <w:noWrap/>
                <w:vAlign w:val="center"/>
                <w:hideMark/>
              </w:tcPr>
              <w:p w14:paraId="30417C3B"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47001333300420130028700</w:t>
                </w:r>
              </w:p>
            </w:tc>
          </w:tr>
          <w:tr w:rsidR="0054388B" w:rsidRPr="00E522A4" w14:paraId="56936834" w14:textId="77777777" w:rsidTr="009A5B88">
            <w:trPr>
              <w:trHeight w:val="300"/>
            </w:trPr>
            <w:tc>
              <w:tcPr>
                <w:tcW w:w="2053" w:type="pct"/>
                <w:shd w:val="clear" w:color="auto" w:fill="auto"/>
                <w:vAlign w:val="center"/>
                <w:hideMark/>
              </w:tcPr>
              <w:p w14:paraId="69E75B97" w14:textId="5795EB18"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 xml:space="preserve">MAXIMILIANO ARIZA </w:t>
                </w:r>
              </w:p>
            </w:tc>
            <w:tc>
              <w:tcPr>
                <w:tcW w:w="949" w:type="pct"/>
                <w:shd w:val="clear" w:color="auto" w:fill="auto"/>
                <w:noWrap/>
                <w:vAlign w:val="center"/>
                <w:hideMark/>
              </w:tcPr>
              <w:p w14:paraId="6BB1ABC9"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13.860.072</w:t>
                </w:r>
              </w:p>
            </w:tc>
            <w:tc>
              <w:tcPr>
                <w:tcW w:w="711" w:type="pct"/>
                <w:shd w:val="clear" w:color="auto" w:fill="auto"/>
                <w:noWrap/>
                <w:vAlign w:val="center"/>
              </w:tcPr>
              <w:p w14:paraId="1A18287F" w14:textId="6F486089"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13.860.072</w:t>
                </w:r>
              </w:p>
            </w:tc>
            <w:tc>
              <w:tcPr>
                <w:tcW w:w="1288" w:type="pct"/>
                <w:shd w:val="clear" w:color="auto" w:fill="auto"/>
                <w:noWrap/>
                <w:vAlign w:val="center"/>
                <w:hideMark/>
              </w:tcPr>
              <w:p w14:paraId="2BD647F6"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68001333300420190015802</w:t>
                </w:r>
              </w:p>
            </w:tc>
          </w:tr>
          <w:tr w:rsidR="0054388B" w:rsidRPr="00E522A4" w14:paraId="06836F31" w14:textId="77777777" w:rsidTr="009A5B88">
            <w:trPr>
              <w:trHeight w:val="300"/>
            </w:trPr>
            <w:tc>
              <w:tcPr>
                <w:tcW w:w="2053" w:type="pct"/>
                <w:shd w:val="clear" w:color="auto" w:fill="auto"/>
                <w:vAlign w:val="center"/>
                <w:hideMark/>
              </w:tcPr>
              <w:p w14:paraId="701189CD"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ANA MARCELA QUINTERO TOLEDO</w:t>
                </w:r>
              </w:p>
            </w:tc>
            <w:tc>
              <w:tcPr>
                <w:tcW w:w="949" w:type="pct"/>
                <w:shd w:val="clear" w:color="auto" w:fill="auto"/>
                <w:noWrap/>
                <w:vAlign w:val="center"/>
                <w:hideMark/>
              </w:tcPr>
              <w:p w14:paraId="6BE0616D"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174.368.640</w:t>
                </w:r>
              </w:p>
            </w:tc>
            <w:tc>
              <w:tcPr>
                <w:tcW w:w="711" w:type="pct"/>
                <w:shd w:val="clear" w:color="auto" w:fill="auto"/>
                <w:noWrap/>
                <w:vAlign w:val="center"/>
              </w:tcPr>
              <w:p w14:paraId="1A06786E" w14:textId="5B3DF0D3"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w:t>
                </w:r>
              </w:p>
            </w:tc>
            <w:tc>
              <w:tcPr>
                <w:tcW w:w="1288" w:type="pct"/>
                <w:shd w:val="clear" w:color="auto" w:fill="auto"/>
                <w:noWrap/>
                <w:vAlign w:val="center"/>
                <w:hideMark/>
              </w:tcPr>
              <w:p w14:paraId="0546C1BF"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41001333300720190006300</w:t>
                </w:r>
              </w:p>
            </w:tc>
          </w:tr>
          <w:tr w:rsidR="0054388B" w:rsidRPr="00E522A4" w14:paraId="04CE7673" w14:textId="77777777" w:rsidTr="009A5B88">
            <w:trPr>
              <w:trHeight w:val="300"/>
            </w:trPr>
            <w:tc>
              <w:tcPr>
                <w:tcW w:w="2053" w:type="pct"/>
                <w:shd w:val="clear" w:color="auto" w:fill="auto"/>
                <w:vAlign w:val="center"/>
                <w:hideMark/>
              </w:tcPr>
              <w:p w14:paraId="7B4D641E"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lastRenderedPageBreak/>
                  <w:t>CLAUDIA MARCELA PLAZAS LIS</w:t>
                </w:r>
              </w:p>
            </w:tc>
            <w:tc>
              <w:tcPr>
                <w:tcW w:w="949" w:type="pct"/>
                <w:shd w:val="clear" w:color="auto" w:fill="auto"/>
                <w:noWrap/>
                <w:vAlign w:val="center"/>
                <w:hideMark/>
              </w:tcPr>
              <w:p w14:paraId="6306D160"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1.142.662.751</w:t>
                </w:r>
              </w:p>
            </w:tc>
            <w:tc>
              <w:tcPr>
                <w:tcW w:w="711" w:type="pct"/>
                <w:shd w:val="clear" w:color="auto" w:fill="auto"/>
                <w:noWrap/>
                <w:vAlign w:val="center"/>
              </w:tcPr>
              <w:p w14:paraId="179B4118" w14:textId="01E01BD6"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892.187.875</w:t>
                </w:r>
              </w:p>
            </w:tc>
            <w:tc>
              <w:tcPr>
                <w:tcW w:w="1288" w:type="pct"/>
                <w:shd w:val="clear" w:color="auto" w:fill="auto"/>
                <w:noWrap/>
                <w:vAlign w:val="center"/>
                <w:hideMark/>
              </w:tcPr>
              <w:p w14:paraId="3A1CFACE"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41001333300220190019200</w:t>
                </w:r>
              </w:p>
            </w:tc>
          </w:tr>
          <w:tr w:rsidR="0054388B" w:rsidRPr="00E522A4" w14:paraId="3F6B3C51" w14:textId="77777777" w:rsidTr="009A5B88">
            <w:trPr>
              <w:trHeight w:val="300"/>
            </w:trPr>
            <w:tc>
              <w:tcPr>
                <w:tcW w:w="2053" w:type="pct"/>
                <w:shd w:val="clear" w:color="auto" w:fill="auto"/>
                <w:vAlign w:val="center"/>
                <w:hideMark/>
              </w:tcPr>
              <w:p w14:paraId="7FA2C36F" w14:textId="6846502D"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GLADIS PEREZ GUALTEROS</w:t>
                </w:r>
              </w:p>
            </w:tc>
            <w:tc>
              <w:tcPr>
                <w:tcW w:w="949" w:type="pct"/>
                <w:shd w:val="clear" w:color="auto" w:fill="auto"/>
                <w:noWrap/>
                <w:vAlign w:val="center"/>
                <w:hideMark/>
              </w:tcPr>
              <w:p w14:paraId="2230793B"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5.294.733</w:t>
                </w:r>
              </w:p>
            </w:tc>
            <w:tc>
              <w:tcPr>
                <w:tcW w:w="711" w:type="pct"/>
                <w:shd w:val="clear" w:color="auto" w:fill="auto"/>
                <w:noWrap/>
                <w:vAlign w:val="center"/>
              </w:tcPr>
              <w:p w14:paraId="38A7824F" w14:textId="3346E554"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2.907.023</w:t>
                </w:r>
              </w:p>
            </w:tc>
            <w:tc>
              <w:tcPr>
                <w:tcW w:w="1288" w:type="pct"/>
                <w:shd w:val="clear" w:color="auto" w:fill="auto"/>
                <w:noWrap/>
                <w:vAlign w:val="center"/>
                <w:hideMark/>
              </w:tcPr>
              <w:p w14:paraId="0D3EDB2E"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11001334306120190006000</w:t>
                </w:r>
              </w:p>
            </w:tc>
          </w:tr>
          <w:tr w:rsidR="0054388B" w:rsidRPr="00E522A4" w14:paraId="579C3022" w14:textId="77777777" w:rsidTr="009A5B88">
            <w:trPr>
              <w:trHeight w:val="300"/>
            </w:trPr>
            <w:tc>
              <w:tcPr>
                <w:tcW w:w="2053" w:type="pct"/>
                <w:shd w:val="clear" w:color="auto" w:fill="auto"/>
                <w:vAlign w:val="center"/>
                <w:hideMark/>
              </w:tcPr>
              <w:p w14:paraId="0FF5C9A5"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OSCAR AUGUSTO MORENO BERNAL</w:t>
                </w:r>
              </w:p>
            </w:tc>
            <w:tc>
              <w:tcPr>
                <w:tcW w:w="949" w:type="pct"/>
                <w:shd w:val="clear" w:color="auto" w:fill="auto"/>
                <w:noWrap/>
                <w:vAlign w:val="center"/>
                <w:hideMark/>
              </w:tcPr>
              <w:p w14:paraId="634566BA"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1.724.738.241</w:t>
                </w:r>
              </w:p>
            </w:tc>
            <w:tc>
              <w:tcPr>
                <w:tcW w:w="711" w:type="pct"/>
                <w:shd w:val="clear" w:color="auto" w:fill="auto"/>
                <w:noWrap/>
                <w:vAlign w:val="center"/>
              </w:tcPr>
              <w:p w14:paraId="7882D8B7" w14:textId="2B40796F"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1.439.210.501</w:t>
                </w:r>
              </w:p>
            </w:tc>
            <w:tc>
              <w:tcPr>
                <w:tcW w:w="1288" w:type="pct"/>
                <w:shd w:val="clear" w:color="auto" w:fill="auto"/>
                <w:noWrap/>
                <w:vAlign w:val="center"/>
                <w:hideMark/>
              </w:tcPr>
              <w:p w14:paraId="4EC0DAF1"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15001233300020210044500</w:t>
                </w:r>
              </w:p>
            </w:tc>
          </w:tr>
          <w:tr w:rsidR="0054388B" w:rsidRPr="00E522A4" w14:paraId="213F3C2B" w14:textId="77777777" w:rsidTr="009A5B88">
            <w:trPr>
              <w:trHeight w:val="360"/>
            </w:trPr>
            <w:tc>
              <w:tcPr>
                <w:tcW w:w="2053" w:type="pct"/>
                <w:shd w:val="clear" w:color="auto" w:fill="auto"/>
                <w:vAlign w:val="center"/>
                <w:hideMark/>
              </w:tcPr>
              <w:p w14:paraId="1DEF675D"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LEIDYS CAROLINA RAMOS MARTINEZ</w:t>
                </w:r>
              </w:p>
            </w:tc>
            <w:tc>
              <w:tcPr>
                <w:tcW w:w="949" w:type="pct"/>
                <w:shd w:val="clear" w:color="auto" w:fill="auto"/>
                <w:noWrap/>
                <w:vAlign w:val="center"/>
                <w:hideMark/>
              </w:tcPr>
              <w:p w14:paraId="045D1A8E"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0</w:t>
                </w:r>
              </w:p>
            </w:tc>
            <w:tc>
              <w:tcPr>
                <w:tcW w:w="711" w:type="pct"/>
                <w:shd w:val="clear" w:color="auto" w:fill="auto"/>
                <w:noWrap/>
                <w:vAlign w:val="center"/>
              </w:tcPr>
              <w:p w14:paraId="02D05CCE" w14:textId="2AF44C21"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173.497.415</w:t>
                </w:r>
              </w:p>
            </w:tc>
            <w:tc>
              <w:tcPr>
                <w:tcW w:w="1288" w:type="pct"/>
                <w:shd w:val="clear" w:color="auto" w:fill="auto"/>
                <w:noWrap/>
                <w:vAlign w:val="center"/>
                <w:hideMark/>
              </w:tcPr>
              <w:p w14:paraId="0E850C8D"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23001333300620180048100</w:t>
                </w:r>
              </w:p>
            </w:tc>
          </w:tr>
          <w:tr w:rsidR="0054388B" w:rsidRPr="00E522A4" w14:paraId="5149C1B0" w14:textId="77777777" w:rsidTr="009A5B88">
            <w:trPr>
              <w:trHeight w:val="300"/>
            </w:trPr>
            <w:tc>
              <w:tcPr>
                <w:tcW w:w="2053" w:type="pct"/>
                <w:shd w:val="clear" w:color="auto" w:fill="auto"/>
                <w:vAlign w:val="center"/>
                <w:hideMark/>
              </w:tcPr>
              <w:p w14:paraId="11F3F7EB"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JAIME ALONSO LONDOÑO CORREA</w:t>
                </w:r>
              </w:p>
            </w:tc>
            <w:tc>
              <w:tcPr>
                <w:tcW w:w="949" w:type="pct"/>
                <w:shd w:val="clear" w:color="auto" w:fill="auto"/>
                <w:noWrap/>
                <w:vAlign w:val="center"/>
                <w:hideMark/>
              </w:tcPr>
              <w:p w14:paraId="577AB1FC"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278.247.742</w:t>
                </w:r>
              </w:p>
            </w:tc>
            <w:tc>
              <w:tcPr>
                <w:tcW w:w="711" w:type="pct"/>
                <w:shd w:val="clear" w:color="auto" w:fill="auto"/>
                <w:noWrap/>
                <w:vAlign w:val="center"/>
              </w:tcPr>
              <w:p w14:paraId="190AF28E" w14:textId="5D9FEDF9"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w:t>
                </w:r>
              </w:p>
            </w:tc>
            <w:tc>
              <w:tcPr>
                <w:tcW w:w="1288" w:type="pct"/>
                <w:shd w:val="clear" w:color="auto" w:fill="auto"/>
                <w:noWrap/>
                <w:vAlign w:val="center"/>
                <w:hideMark/>
              </w:tcPr>
              <w:p w14:paraId="5407FB8A"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13001333300820200008200</w:t>
                </w:r>
              </w:p>
            </w:tc>
          </w:tr>
          <w:tr w:rsidR="0054388B" w:rsidRPr="00E522A4" w14:paraId="48569525" w14:textId="77777777" w:rsidTr="009A5B88">
            <w:trPr>
              <w:trHeight w:val="300"/>
            </w:trPr>
            <w:tc>
              <w:tcPr>
                <w:tcW w:w="2053" w:type="pct"/>
                <w:shd w:val="clear" w:color="auto" w:fill="auto"/>
                <w:vAlign w:val="center"/>
                <w:hideMark/>
              </w:tcPr>
              <w:p w14:paraId="15984DA3" w14:textId="77777777" w:rsidR="0054388B" w:rsidRPr="009A46BB" w:rsidRDefault="0054388B">
                <w:pPr>
                  <w:spacing w:after="0" w:line="240" w:lineRule="auto"/>
                  <w:rPr>
                    <w:rFonts w:ascii="Times New Roman" w:eastAsia="Times New Roman" w:hAnsi="Times New Roman"/>
                    <w:color w:val="000000"/>
                    <w:sz w:val="16"/>
                    <w:szCs w:val="16"/>
                    <w:lang w:val="en-US" w:eastAsia="es-CO"/>
                  </w:rPr>
                </w:pPr>
                <w:r w:rsidRPr="009A46BB">
                  <w:rPr>
                    <w:rFonts w:ascii="Times New Roman" w:eastAsia="Times New Roman" w:hAnsi="Times New Roman"/>
                    <w:color w:val="000000"/>
                    <w:sz w:val="16"/>
                    <w:szCs w:val="16"/>
                    <w:lang w:val="en-US" w:eastAsia="es-CO"/>
                  </w:rPr>
                  <w:t>ALVIS YEPES S.A.S.</w:t>
                </w:r>
              </w:p>
            </w:tc>
            <w:tc>
              <w:tcPr>
                <w:tcW w:w="949" w:type="pct"/>
                <w:shd w:val="clear" w:color="auto" w:fill="auto"/>
                <w:noWrap/>
                <w:vAlign w:val="center"/>
                <w:hideMark/>
              </w:tcPr>
              <w:p w14:paraId="0EE731BF"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1.158.334.250</w:t>
                </w:r>
              </w:p>
            </w:tc>
            <w:tc>
              <w:tcPr>
                <w:tcW w:w="711" w:type="pct"/>
                <w:shd w:val="clear" w:color="auto" w:fill="auto"/>
                <w:noWrap/>
                <w:vAlign w:val="center"/>
              </w:tcPr>
              <w:p w14:paraId="566C2375" w14:textId="5736FF59"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196.884.000</w:t>
                </w:r>
              </w:p>
            </w:tc>
            <w:tc>
              <w:tcPr>
                <w:tcW w:w="1288" w:type="pct"/>
                <w:shd w:val="clear" w:color="auto" w:fill="auto"/>
                <w:noWrap/>
                <w:vAlign w:val="center"/>
                <w:hideMark/>
              </w:tcPr>
              <w:p w14:paraId="0D992CC1"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13001233300020130065200</w:t>
                </w:r>
              </w:p>
            </w:tc>
          </w:tr>
          <w:tr w:rsidR="0054388B" w:rsidRPr="00E522A4" w14:paraId="351469D8" w14:textId="77777777" w:rsidTr="009A5B88">
            <w:trPr>
              <w:trHeight w:val="360"/>
            </w:trPr>
            <w:tc>
              <w:tcPr>
                <w:tcW w:w="2053" w:type="pct"/>
                <w:shd w:val="clear" w:color="auto" w:fill="auto"/>
                <w:vAlign w:val="center"/>
                <w:hideMark/>
              </w:tcPr>
              <w:p w14:paraId="3CA48CA6"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AGROINVERSIONES POR DICHA S.A.S</w:t>
                </w:r>
              </w:p>
            </w:tc>
            <w:tc>
              <w:tcPr>
                <w:tcW w:w="949" w:type="pct"/>
                <w:shd w:val="clear" w:color="auto" w:fill="auto"/>
                <w:noWrap/>
                <w:vAlign w:val="center"/>
                <w:hideMark/>
              </w:tcPr>
              <w:p w14:paraId="0FB49ED7"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915.710.796</w:t>
                </w:r>
              </w:p>
            </w:tc>
            <w:tc>
              <w:tcPr>
                <w:tcW w:w="711" w:type="pct"/>
                <w:shd w:val="clear" w:color="auto" w:fill="auto"/>
                <w:noWrap/>
                <w:vAlign w:val="center"/>
              </w:tcPr>
              <w:p w14:paraId="1F3E4C1D" w14:textId="2D92405D"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837.125.573</w:t>
                </w:r>
              </w:p>
            </w:tc>
            <w:tc>
              <w:tcPr>
                <w:tcW w:w="1288" w:type="pct"/>
                <w:shd w:val="clear" w:color="auto" w:fill="auto"/>
                <w:noWrap/>
                <w:vAlign w:val="center"/>
                <w:hideMark/>
              </w:tcPr>
              <w:p w14:paraId="33FABC3E"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52001233100020100004900</w:t>
                </w:r>
              </w:p>
            </w:tc>
          </w:tr>
          <w:tr w:rsidR="0054388B" w:rsidRPr="00E522A4" w14:paraId="41CE5E06" w14:textId="77777777" w:rsidTr="009A5B88">
            <w:trPr>
              <w:trHeight w:val="360"/>
            </w:trPr>
            <w:tc>
              <w:tcPr>
                <w:tcW w:w="2053" w:type="pct"/>
                <w:shd w:val="clear" w:color="auto" w:fill="auto"/>
                <w:vAlign w:val="center"/>
                <w:hideMark/>
              </w:tcPr>
              <w:p w14:paraId="6B2D5CB5"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MARTA LUCELLY VALENCIA SALAZAR</w:t>
                </w:r>
              </w:p>
            </w:tc>
            <w:tc>
              <w:tcPr>
                <w:tcW w:w="949" w:type="pct"/>
                <w:shd w:val="clear" w:color="auto" w:fill="auto"/>
                <w:noWrap/>
                <w:vAlign w:val="center"/>
                <w:hideMark/>
              </w:tcPr>
              <w:p w14:paraId="464A7268"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395.950.805</w:t>
                </w:r>
              </w:p>
            </w:tc>
            <w:tc>
              <w:tcPr>
                <w:tcW w:w="711" w:type="pct"/>
                <w:shd w:val="clear" w:color="auto" w:fill="auto"/>
                <w:noWrap/>
                <w:vAlign w:val="center"/>
              </w:tcPr>
              <w:p w14:paraId="3113D3ED" w14:textId="6BA53501"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338.904.413</w:t>
                </w:r>
              </w:p>
            </w:tc>
            <w:tc>
              <w:tcPr>
                <w:tcW w:w="1288" w:type="pct"/>
                <w:shd w:val="clear" w:color="auto" w:fill="auto"/>
                <w:noWrap/>
                <w:vAlign w:val="center"/>
                <w:hideMark/>
              </w:tcPr>
              <w:p w14:paraId="60B60443"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05001333303220210009300</w:t>
                </w:r>
              </w:p>
            </w:tc>
          </w:tr>
          <w:tr w:rsidR="0054388B" w:rsidRPr="00E522A4" w14:paraId="7E91C24A" w14:textId="77777777" w:rsidTr="009A5B88">
            <w:trPr>
              <w:trHeight w:val="300"/>
            </w:trPr>
            <w:tc>
              <w:tcPr>
                <w:tcW w:w="2053" w:type="pct"/>
                <w:shd w:val="clear" w:color="auto" w:fill="auto"/>
                <w:vAlign w:val="center"/>
                <w:hideMark/>
              </w:tcPr>
              <w:p w14:paraId="24F9E44C" w14:textId="2F4F9508"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JUDITH PUELLO DE CORREA</w:t>
                </w:r>
              </w:p>
            </w:tc>
            <w:tc>
              <w:tcPr>
                <w:tcW w:w="949" w:type="pct"/>
                <w:shd w:val="clear" w:color="auto" w:fill="auto"/>
                <w:noWrap/>
                <w:vAlign w:val="center"/>
                <w:hideMark/>
              </w:tcPr>
              <w:p w14:paraId="21B80277"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3.010.777.380</w:t>
                </w:r>
              </w:p>
            </w:tc>
            <w:tc>
              <w:tcPr>
                <w:tcW w:w="711" w:type="pct"/>
                <w:shd w:val="clear" w:color="auto" w:fill="auto"/>
                <w:noWrap/>
                <w:vAlign w:val="center"/>
              </w:tcPr>
              <w:p w14:paraId="2B435451" w14:textId="6AC6B306"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2.552.280.938</w:t>
                </w:r>
              </w:p>
            </w:tc>
            <w:tc>
              <w:tcPr>
                <w:tcW w:w="1288" w:type="pct"/>
                <w:shd w:val="clear" w:color="auto" w:fill="auto"/>
                <w:noWrap/>
                <w:vAlign w:val="center"/>
                <w:hideMark/>
              </w:tcPr>
              <w:p w14:paraId="51066D09"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08001333100620110031800</w:t>
                </w:r>
              </w:p>
            </w:tc>
          </w:tr>
          <w:tr w:rsidR="0054388B" w:rsidRPr="00E522A4" w14:paraId="6A3A8E62" w14:textId="77777777" w:rsidTr="009A5B88">
            <w:trPr>
              <w:trHeight w:val="360"/>
            </w:trPr>
            <w:tc>
              <w:tcPr>
                <w:tcW w:w="2053" w:type="pct"/>
                <w:shd w:val="clear" w:color="auto" w:fill="auto"/>
                <w:vAlign w:val="center"/>
                <w:hideMark/>
              </w:tcPr>
              <w:p w14:paraId="38D790C9"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FRANCENID MERLYN RAMIREZ PATIÑO</w:t>
                </w:r>
              </w:p>
            </w:tc>
            <w:tc>
              <w:tcPr>
                <w:tcW w:w="949" w:type="pct"/>
                <w:shd w:val="clear" w:color="auto" w:fill="auto"/>
                <w:noWrap/>
                <w:vAlign w:val="center"/>
                <w:hideMark/>
              </w:tcPr>
              <w:p w14:paraId="40DA4B42"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3.655.233.537</w:t>
                </w:r>
              </w:p>
            </w:tc>
            <w:tc>
              <w:tcPr>
                <w:tcW w:w="711" w:type="pct"/>
                <w:shd w:val="clear" w:color="auto" w:fill="auto"/>
                <w:noWrap/>
                <w:vAlign w:val="center"/>
              </w:tcPr>
              <w:p w14:paraId="1185ED75" w14:textId="11AF9A38"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w:t>
                </w:r>
              </w:p>
            </w:tc>
            <w:tc>
              <w:tcPr>
                <w:tcW w:w="1288" w:type="pct"/>
                <w:shd w:val="clear" w:color="auto" w:fill="auto"/>
                <w:noWrap/>
                <w:vAlign w:val="center"/>
                <w:hideMark/>
              </w:tcPr>
              <w:p w14:paraId="59F36A1C"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05001333303020220062600</w:t>
                </w:r>
              </w:p>
            </w:tc>
          </w:tr>
          <w:tr w:rsidR="0054388B" w:rsidRPr="00E522A4" w14:paraId="68E4F050" w14:textId="77777777" w:rsidTr="009A5B88">
            <w:trPr>
              <w:trHeight w:val="300"/>
            </w:trPr>
            <w:tc>
              <w:tcPr>
                <w:tcW w:w="2053" w:type="pct"/>
                <w:shd w:val="clear" w:color="auto" w:fill="auto"/>
                <w:vAlign w:val="center"/>
                <w:hideMark/>
              </w:tcPr>
              <w:p w14:paraId="63753A1D"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ADA ALJADIS ORTIZ ANGULO</w:t>
                </w:r>
              </w:p>
            </w:tc>
            <w:tc>
              <w:tcPr>
                <w:tcW w:w="949" w:type="pct"/>
                <w:shd w:val="clear" w:color="auto" w:fill="auto"/>
                <w:noWrap/>
                <w:vAlign w:val="center"/>
                <w:hideMark/>
              </w:tcPr>
              <w:p w14:paraId="234355AF"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379.958.781</w:t>
                </w:r>
              </w:p>
            </w:tc>
            <w:tc>
              <w:tcPr>
                <w:tcW w:w="711" w:type="pct"/>
                <w:shd w:val="clear" w:color="auto" w:fill="auto"/>
                <w:noWrap/>
                <w:vAlign w:val="center"/>
              </w:tcPr>
              <w:p w14:paraId="693AEAAC" w14:textId="03D10C6F"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w:t>
                </w:r>
              </w:p>
            </w:tc>
            <w:tc>
              <w:tcPr>
                <w:tcW w:w="1288" w:type="pct"/>
                <w:shd w:val="clear" w:color="auto" w:fill="auto"/>
                <w:noWrap/>
                <w:vAlign w:val="center"/>
                <w:hideMark/>
              </w:tcPr>
              <w:p w14:paraId="1449A8FF"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44001334000220180026800</w:t>
                </w:r>
              </w:p>
            </w:tc>
          </w:tr>
          <w:tr w:rsidR="0054388B" w:rsidRPr="00E522A4" w14:paraId="3E3D2019" w14:textId="77777777" w:rsidTr="009A5B88">
            <w:trPr>
              <w:trHeight w:val="305"/>
            </w:trPr>
            <w:tc>
              <w:tcPr>
                <w:tcW w:w="2053" w:type="pct"/>
                <w:shd w:val="clear" w:color="auto" w:fill="auto"/>
                <w:vAlign w:val="center"/>
                <w:hideMark/>
              </w:tcPr>
              <w:p w14:paraId="31E41750"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ORFADY DEL ROSARIO VALENCIA CARDENAS</w:t>
                </w:r>
              </w:p>
            </w:tc>
            <w:tc>
              <w:tcPr>
                <w:tcW w:w="949" w:type="pct"/>
                <w:shd w:val="clear" w:color="auto" w:fill="auto"/>
                <w:noWrap/>
                <w:vAlign w:val="center"/>
                <w:hideMark/>
              </w:tcPr>
              <w:p w14:paraId="165F2145"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377.074.742</w:t>
                </w:r>
              </w:p>
            </w:tc>
            <w:tc>
              <w:tcPr>
                <w:tcW w:w="711" w:type="pct"/>
                <w:shd w:val="clear" w:color="auto" w:fill="auto"/>
                <w:noWrap/>
                <w:vAlign w:val="center"/>
              </w:tcPr>
              <w:p w14:paraId="5A8C194D" w14:textId="1A3322D8"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w:t>
                </w:r>
              </w:p>
            </w:tc>
            <w:tc>
              <w:tcPr>
                <w:tcW w:w="1288" w:type="pct"/>
                <w:shd w:val="clear" w:color="auto" w:fill="auto"/>
                <w:noWrap/>
                <w:vAlign w:val="center"/>
                <w:hideMark/>
              </w:tcPr>
              <w:p w14:paraId="4BB37284"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23001333300220220015100</w:t>
                </w:r>
              </w:p>
            </w:tc>
          </w:tr>
          <w:tr w:rsidR="0054388B" w:rsidRPr="00E522A4" w14:paraId="03C3C7BD" w14:textId="77777777" w:rsidTr="009A5B88">
            <w:trPr>
              <w:trHeight w:val="300"/>
            </w:trPr>
            <w:tc>
              <w:tcPr>
                <w:tcW w:w="2053" w:type="pct"/>
                <w:shd w:val="clear" w:color="auto" w:fill="auto"/>
                <w:vAlign w:val="center"/>
                <w:hideMark/>
              </w:tcPr>
              <w:p w14:paraId="4A05395F" w14:textId="6F1397BC"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BERNARDA ZUÑIGA BONET</w:t>
                </w:r>
              </w:p>
            </w:tc>
            <w:tc>
              <w:tcPr>
                <w:tcW w:w="949" w:type="pct"/>
                <w:shd w:val="clear" w:color="auto" w:fill="auto"/>
                <w:noWrap/>
                <w:vAlign w:val="center"/>
                <w:hideMark/>
              </w:tcPr>
              <w:p w14:paraId="4576C6A1"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298.310.082</w:t>
                </w:r>
              </w:p>
            </w:tc>
            <w:tc>
              <w:tcPr>
                <w:tcW w:w="711" w:type="pct"/>
                <w:shd w:val="clear" w:color="auto" w:fill="auto"/>
                <w:noWrap/>
                <w:vAlign w:val="center"/>
              </w:tcPr>
              <w:p w14:paraId="78AEF583" w14:textId="5C0B0C70"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w:t>
                </w:r>
              </w:p>
            </w:tc>
            <w:tc>
              <w:tcPr>
                <w:tcW w:w="1288" w:type="pct"/>
                <w:shd w:val="clear" w:color="auto" w:fill="auto"/>
                <w:noWrap/>
                <w:vAlign w:val="center"/>
                <w:hideMark/>
              </w:tcPr>
              <w:p w14:paraId="6B0D996C"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05001333302320230044600</w:t>
                </w:r>
              </w:p>
            </w:tc>
          </w:tr>
          <w:tr w:rsidR="0054388B" w:rsidRPr="00E522A4" w14:paraId="57B397E3" w14:textId="77777777" w:rsidTr="009A5B88">
            <w:trPr>
              <w:trHeight w:val="300"/>
            </w:trPr>
            <w:tc>
              <w:tcPr>
                <w:tcW w:w="2053" w:type="pct"/>
                <w:shd w:val="clear" w:color="auto" w:fill="auto"/>
                <w:vAlign w:val="center"/>
                <w:hideMark/>
              </w:tcPr>
              <w:p w14:paraId="08D248BF" w14:textId="77777777" w:rsidR="0054388B" w:rsidRPr="009A46BB" w:rsidRDefault="0054388B">
                <w:pPr>
                  <w:spacing w:after="0" w:line="240" w:lineRule="auto"/>
                  <w:rPr>
                    <w:rFonts w:ascii="Times New Roman" w:eastAsia="Times New Roman" w:hAnsi="Times New Roman"/>
                    <w:color w:val="000000"/>
                    <w:sz w:val="16"/>
                    <w:szCs w:val="16"/>
                    <w:lang w:eastAsia="es-CO"/>
                  </w:rPr>
                </w:pPr>
                <w:r w:rsidRPr="009A46BB">
                  <w:rPr>
                    <w:rFonts w:ascii="Times New Roman" w:eastAsia="Times New Roman" w:hAnsi="Times New Roman"/>
                    <w:color w:val="000000"/>
                    <w:sz w:val="16"/>
                    <w:szCs w:val="16"/>
                    <w:lang w:eastAsia="es-CO"/>
                  </w:rPr>
                  <w:t>LUIS MIGUEL DORIA DIAZ</w:t>
                </w:r>
              </w:p>
            </w:tc>
            <w:tc>
              <w:tcPr>
                <w:tcW w:w="949" w:type="pct"/>
                <w:shd w:val="clear" w:color="auto" w:fill="auto"/>
                <w:noWrap/>
                <w:vAlign w:val="center"/>
                <w:hideMark/>
              </w:tcPr>
              <w:p w14:paraId="063D8BE0" w14:textId="77777777"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41.207.017</w:t>
                </w:r>
              </w:p>
            </w:tc>
            <w:tc>
              <w:tcPr>
                <w:tcW w:w="711" w:type="pct"/>
                <w:shd w:val="clear" w:color="auto" w:fill="auto"/>
                <w:noWrap/>
                <w:vAlign w:val="center"/>
              </w:tcPr>
              <w:p w14:paraId="022BC49B" w14:textId="3CBE241A" w:rsidR="0054388B" w:rsidRPr="009A46BB" w:rsidRDefault="0054388B" w:rsidP="004102E7">
                <w:pPr>
                  <w:spacing w:after="0" w:line="240" w:lineRule="auto"/>
                  <w:jc w:val="right"/>
                  <w:rPr>
                    <w:rFonts w:ascii="Times New Roman" w:eastAsia="Times New Roman" w:hAnsi="Times New Roman"/>
                    <w:sz w:val="16"/>
                    <w:szCs w:val="16"/>
                    <w:lang w:eastAsia="es-CO"/>
                  </w:rPr>
                </w:pPr>
                <w:r w:rsidRPr="009A46BB">
                  <w:rPr>
                    <w:rFonts w:ascii="Times New Roman" w:hAnsi="Times New Roman"/>
                    <w:color w:val="000000"/>
                    <w:sz w:val="16"/>
                    <w:szCs w:val="16"/>
                  </w:rPr>
                  <w:t>-</w:t>
                </w:r>
              </w:p>
            </w:tc>
            <w:tc>
              <w:tcPr>
                <w:tcW w:w="1288" w:type="pct"/>
                <w:shd w:val="clear" w:color="auto" w:fill="auto"/>
                <w:noWrap/>
                <w:vAlign w:val="center"/>
                <w:hideMark/>
              </w:tcPr>
              <w:p w14:paraId="64221292"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p>
              <w:p w14:paraId="0A2F67F3" w14:textId="77777777" w:rsidR="0054388B" w:rsidRPr="009A46BB" w:rsidRDefault="0054388B" w:rsidP="009A5B88">
                <w:pPr>
                  <w:spacing w:after="0" w:line="240" w:lineRule="auto"/>
                  <w:jc w:val="center"/>
                  <w:rPr>
                    <w:rFonts w:ascii="Times New Roman" w:eastAsia="Times New Roman" w:hAnsi="Times New Roman"/>
                    <w:sz w:val="16"/>
                    <w:szCs w:val="16"/>
                    <w:lang w:eastAsia="es-CO"/>
                  </w:rPr>
                </w:pPr>
                <w:r w:rsidRPr="009A46BB">
                  <w:rPr>
                    <w:rFonts w:ascii="Times New Roman" w:eastAsia="Times New Roman" w:hAnsi="Times New Roman"/>
                    <w:sz w:val="16"/>
                    <w:szCs w:val="16"/>
                    <w:lang w:eastAsia="es-CO"/>
                  </w:rPr>
                  <w:t>23001333300720220080700</w:t>
                </w:r>
              </w:p>
            </w:tc>
          </w:tr>
          <w:tr w:rsidR="0054388B" w:rsidRPr="00E522A4" w14:paraId="121CD24C" w14:textId="77777777" w:rsidTr="009A5B88">
            <w:trPr>
              <w:trHeight w:val="300"/>
            </w:trPr>
            <w:tc>
              <w:tcPr>
                <w:tcW w:w="2053" w:type="pct"/>
                <w:shd w:val="clear" w:color="auto" w:fill="auto"/>
                <w:vAlign w:val="center"/>
              </w:tcPr>
              <w:p w14:paraId="1FD6CBAA" w14:textId="77777777" w:rsidR="0054388B" w:rsidRPr="009A46BB" w:rsidRDefault="0054388B">
                <w:pPr>
                  <w:spacing w:after="0" w:line="240" w:lineRule="auto"/>
                  <w:rPr>
                    <w:rFonts w:ascii="Times New Roman" w:eastAsia="Times New Roman" w:hAnsi="Times New Roman"/>
                    <w:b/>
                    <w:color w:val="000000"/>
                    <w:sz w:val="16"/>
                    <w:szCs w:val="16"/>
                    <w:lang w:eastAsia="es-CO"/>
                  </w:rPr>
                </w:pPr>
                <w:r w:rsidRPr="009A46BB">
                  <w:rPr>
                    <w:rFonts w:ascii="Times New Roman" w:eastAsia="Times New Roman" w:hAnsi="Times New Roman"/>
                    <w:b/>
                    <w:color w:val="000000"/>
                    <w:sz w:val="16"/>
                    <w:szCs w:val="16"/>
                    <w:lang w:eastAsia="es-CO"/>
                  </w:rPr>
                  <w:t>TOTALES</w:t>
                </w:r>
              </w:p>
              <w:p w14:paraId="0E4FF754" w14:textId="77777777" w:rsidR="0054388B" w:rsidRPr="009A46BB" w:rsidRDefault="0054388B">
                <w:pPr>
                  <w:spacing w:after="0" w:line="240" w:lineRule="auto"/>
                  <w:rPr>
                    <w:rFonts w:ascii="Times New Roman" w:eastAsia="Times New Roman" w:hAnsi="Times New Roman"/>
                    <w:color w:val="000000"/>
                    <w:sz w:val="16"/>
                    <w:szCs w:val="16"/>
                    <w:lang w:eastAsia="es-CO"/>
                  </w:rPr>
                </w:pPr>
              </w:p>
            </w:tc>
            <w:tc>
              <w:tcPr>
                <w:tcW w:w="949" w:type="pct"/>
                <w:shd w:val="clear" w:color="auto" w:fill="auto"/>
                <w:noWrap/>
                <w:vAlign w:val="center"/>
              </w:tcPr>
              <w:p w14:paraId="2CCFF854" w14:textId="77777777" w:rsidR="0054388B" w:rsidRPr="009A46BB" w:rsidRDefault="0054388B">
                <w:pPr>
                  <w:spacing w:after="0" w:line="240" w:lineRule="auto"/>
                  <w:jc w:val="right"/>
                  <w:rPr>
                    <w:rFonts w:ascii="Times New Roman" w:eastAsia="Times New Roman" w:hAnsi="Times New Roman"/>
                    <w:b/>
                    <w:sz w:val="16"/>
                    <w:szCs w:val="16"/>
                    <w:lang w:eastAsia="es-CO"/>
                  </w:rPr>
                </w:pPr>
                <w:r w:rsidRPr="009A46BB">
                  <w:rPr>
                    <w:rFonts w:ascii="Times New Roman" w:hAnsi="Times New Roman"/>
                    <w:b/>
                    <w:color w:val="000000"/>
                    <w:sz w:val="16"/>
                    <w:szCs w:val="16"/>
                  </w:rPr>
                  <w:t>1.303.826.628.102</w:t>
                </w:r>
              </w:p>
            </w:tc>
            <w:tc>
              <w:tcPr>
                <w:tcW w:w="711" w:type="pct"/>
                <w:shd w:val="clear" w:color="auto" w:fill="auto"/>
                <w:noWrap/>
                <w:vAlign w:val="center"/>
              </w:tcPr>
              <w:p w14:paraId="41768BCD" w14:textId="59881326" w:rsidR="0054388B" w:rsidRPr="009A46BB" w:rsidRDefault="0054388B">
                <w:pPr>
                  <w:spacing w:after="0" w:line="240" w:lineRule="auto"/>
                  <w:jc w:val="right"/>
                  <w:rPr>
                    <w:rFonts w:ascii="Times New Roman" w:eastAsia="Times New Roman" w:hAnsi="Times New Roman"/>
                    <w:b/>
                    <w:sz w:val="16"/>
                    <w:szCs w:val="16"/>
                    <w:lang w:eastAsia="es-CO"/>
                  </w:rPr>
                </w:pPr>
                <w:r w:rsidRPr="009A46BB">
                  <w:rPr>
                    <w:rFonts w:ascii="Times New Roman" w:hAnsi="Times New Roman"/>
                    <w:b/>
                    <w:color w:val="000000"/>
                    <w:sz w:val="16"/>
                    <w:szCs w:val="16"/>
                  </w:rPr>
                  <w:t>91.888.305.771</w:t>
                </w:r>
              </w:p>
            </w:tc>
            <w:tc>
              <w:tcPr>
                <w:tcW w:w="1288" w:type="pct"/>
                <w:shd w:val="clear" w:color="auto" w:fill="auto"/>
                <w:noWrap/>
                <w:vAlign w:val="center"/>
              </w:tcPr>
              <w:p w14:paraId="7BDE16C7" w14:textId="77777777" w:rsidR="0054388B" w:rsidRPr="009A46BB" w:rsidRDefault="0054388B" w:rsidP="009A5B88">
                <w:pPr>
                  <w:spacing w:after="0" w:line="240" w:lineRule="auto"/>
                  <w:jc w:val="center"/>
                  <w:rPr>
                    <w:rFonts w:ascii="Times New Roman" w:eastAsia="Times New Roman" w:hAnsi="Times New Roman"/>
                    <w:b/>
                    <w:sz w:val="16"/>
                    <w:szCs w:val="16"/>
                    <w:lang w:eastAsia="es-CO"/>
                  </w:rPr>
                </w:pPr>
              </w:p>
            </w:tc>
          </w:tr>
        </w:tbl>
        <w:p w14:paraId="4A3870CF" w14:textId="77777777" w:rsidR="000A5146" w:rsidRDefault="000A5146" w:rsidP="00005D94">
          <w:pPr>
            <w:autoSpaceDE w:val="0"/>
            <w:autoSpaceDN w:val="0"/>
            <w:adjustRightInd w:val="0"/>
            <w:spacing w:after="0" w:line="240" w:lineRule="auto"/>
            <w:jc w:val="both"/>
            <w:rPr>
              <w:rFonts w:ascii="Times New Roman" w:hAnsi="Times New Roman"/>
              <w:b/>
              <w:color w:val="000000"/>
              <w:sz w:val="24"/>
              <w:szCs w:val="24"/>
            </w:rPr>
          </w:pPr>
        </w:p>
        <w:p w14:paraId="5B83E02E" w14:textId="77777777" w:rsidR="00005D94" w:rsidRDefault="00005D94" w:rsidP="00005D94">
          <w:pPr>
            <w:autoSpaceDE w:val="0"/>
            <w:autoSpaceDN w:val="0"/>
            <w:adjustRightInd w:val="0"/>
            <w:spacing w:after="0" w:line="240" w:lineRule="auto"/>
            <w:jc w:val="both"/>
            <w:rPr>
              <w:rFonts w:ascii="Times New Roman" w:hAnsi="Times New Roman"/>
              <w:color w:val="000000"/>
              <w:sz w:val="24"/>
              <w:szCs w:val="24"/>
            </w:rPr>
          </w:pPr>
          <w:r w:rsidRPr="0045325D">
            <w:rPr>
              <w:rFonts w:ascii="Times New Roman" w:hAnsi="Times New Roman"/>
              <w:b/>
              <w:color w:val="000000"/>
              <w:sz w:val="24"/>
              <w:szCs w:val="24"/>
            </w:rPr>
            <w:t>Laborales:</w:t>
          </w:r>
          <w:r>
            <w:rPr>
              <w:rFonts w:ascii="Times New Roman" w:hAnsi="Times New Roman"/>
              <w:color w:val="000000"/>
              <w:sz w:val="24"/>
              <w:szCs w:val="24"/>
            </w:rPr>
            <w:t xml:space="preserve"> corresponde a cuatro (04) proceso laboral con sentencia desfavorable en primera instancia que conforme a las reglas de la metodología establecidas en la Resolución No. 521 de 2018 debe quedar registrado contablemente por el valor de la condena en primera instancia. </w:t>
          </w:r>
        </w:p>
        <w:p w14:paraId="6D3C2F7B" w14:textId="77777777" w:rsidR="00005D94" w:rsidRDefault="00005D94" w:rsidP="00005D94">
          <w:pPr>
            <w:autoSpaceDE w:val="0"/>
            <w:autoSpaceDN w:val="0"/>
            <w:adjustRightInd w:val="0"/>
            <w:spacing w:after="0" w:line="240" w:lineRule="auto"/>
            <w:jc w:val="both"/>
            <w:rPr>
              <w:rFonts w:ascii="Times New Roman" w:hAnsi="Times New Roman"/>
              <w:color w:val="000000"/>
              <w:sz w:val="24"/>
              <w:szCs w:val="24"/>
            </w:rPr>
          </w:pPr>
        </w:p>
        <w:p w14:paraId="38F67BAB" w14:textId="77777777" w:rsidR="00005D94" w:rsidRDefault="00005D94" w:rsidP="00005D94">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La principal razón de la variación por este tipo de procesos radica en la terminación de los procesos o en la modificación de los criterios para la calificación del riesgo de pérdida.</w:t>
          </w:r>
        </w:p>
        <w:p w14:paraId="62F31DDE" w14:textId="77777777" w:rsidR="00005D94" w:rsidRDefault="00005D94" w:rsidP="00005D94">
          <w:pPr>
            <w:autoSpaceDE w:val="0"/>
            <w:autoSpaceDN w:val="0"/>
            <w:adjustRightInd w:val="0"/>
            <w:spacing w:after="0" w:line="240" w:lineRule="auto"/>
            <w:jc w:val="both"/>
            <w:rPr>
              <w:rFonts w:ascii="Times New Roman" w:hAnsi="Times New Roman"/>
              <w:color w:val="000000"/>
              <w:sz w:val="24"/>
              <w:szCs w:val="24"/>
            </w:rPr>
          </w:pPr>
        </w:p>
        <w:p w14:paraId="23CDCA2E" w14:textId="77777777" w:rsidR="00005D94" w:rsidRDefault="00005D94" w:rsidP="00005D94">
          <w:pPr>
            <w:autoSpaceDE w:val="0"/>
            <w:autoSpaceDN w:val="0"/>
            <w:adjustRightInd w:val="0"/>
            <w:spacing w:after="0" w:line="240" w:lineRule="auto"/>
            <w:jc w:val="both"/>
            <w:rPr>
              <w:rFonts w:ascii="Times New Roman" w:hAnsi="Times New Roman"/>
              <w:color w:val="000000"/>
              <w:sz w:val="24"/>
              <w:szCs w:val="24"/>
            </w:rPr>
          </w:pPr>
          <w:r w:rsidRPr="00024DE7">
            <w:rPr>
              <w:rFonts w:ascii="Times New Roman" w:hAnsi="Times New Roman"/>
              <w:color w:val="000000"/>
              <w:sz w:val="24"/>
            </w:rPr>
            <w:t>El eventual pago se tiene previsto dentro de los tres años siguientes.</w:t>
          </w:r>
          <w:r>
            <w:rPr>
              <w:rFonts w:ascii="Times New Roman" w:hAnsi="Times New Roman"/>
              <w:color w:val="000000"/>
              <w:sz w:val="24"/>
              <w:szCs w:val="24"/>
            </w:rPr>
            <w:t xml:space="preserve"> </w:t>
          </w:r>
        </w:p>
        <w:p w14:paraId="28D21C35" w14:textId="77777777" w:rsidR="00005D94" w:rsidRDefault="00005D94" w:rsidP="00005D94">
          <w:pPr>
            <w:autoSpaceDE w:val="0"/>
            <w:autoSpaceDN w:val="0"/>
            <w:adjustRightInd w:val="0"/>
            <w:spacing w:after="0" w:line="240" w:lineRule="auto"/>
            <w:jc w:val="both"/>
            <w:rPr>
              <w:rFonts w:ascii="Times New Roman" w:hAnsi="Times New Roman"/>
              <w:color w:val="000000"/>
              <w:sz w:val="24"/>
              <w:szCs w:val="24"/>
            </w:rPr>
          </w:pPr>
        </w:p>
        <w:p w14:paraId="1F90DA66" w14:textId="77777777" w:rsidR="00005D94" w:rsidRDefault="00005D94" w:rsidP="00005D94">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A continuación, </w:t>
          </w:r>
          <w:r w:rsidRPr="00E874E2">
            <w:rPr>
              <w:rFonts w:ascii="Times New Roman" w:hAnsi="Times New Roman"/>
              <w:color w:val="000000"/>
              <w:sz w:val="24"/>
              <w:szCs w:val="24"/>
            </w:rPr>
            <w:t>se detalla</w:t>
          </w:r>
          <w:r>
            <w:rPr>
              <w:rFonts w:ascii="Times New Roman" w:hAnsi="Times New Roman"/>
              <w:color w:val="000000"/>
              <w:sz w:val="24"/>
              <w:szCs w:val="24"/>
            </w:rPr>
            <w:t>n los saldos a nivel de terceros</w:t>
          </w:r>
        </w:p>
        <w:p w14:paraId="131736ED" w14:textId="77777777" w:rsidR="00005D94" w:rsidRDefault="00005D94" w:rsidP="00005D94">
          <w:pPr>
            <w:autoSpaceDE w:val="0"/>
            <w:autoSpaceDN w:val="0"/>
            <w:adjustRightInd w:val="0"/>
            <w:spacing w:after="0" w:line="240" w:lineRule="auto"/>
            <w:jc w:val="both"/>
            <w:rPr>
              <w:rFonts w:ascii="Times New Roman" w:hAnsi="Times New Roman"/>
              <w:color w:val="000000"/>
              <w:sz w:val="24"/>
              <w:szCs w:val="24"/>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CellMar>
              <w:left w:w="70" w:type="dxa"/>
              <w:right w:w="70" w:type="dxa"/>
            </w:tblCellMar>
            <w:tblLook w:val="04A0" w:firstRow="1" w:lastRow="0" w:firstColumn="1" w:lastColumn="0" w:noHBand="0" w:noVBand="1"/>
          </w:tblPr>
          <w:tblGrid>
            <w:gridCol w:w="3965"/>
            <w:gridCol w:w="1275"/>
            <w:gridCol w:w="1277"/>
            <w:gridCol w:w="2452"/>
          </w:tblGrid>
          <w:tr w:rsidR="0054388B" w:rsidRPr="00C9145E" w14:paraId="53719852" w14:textId="77777777" w:rsidTr="00737144">
            <w:trPr>
              <w:trHeight w:val="340"/>
            </w:trPr>
            <w:tc>
              <w:tcPr>
                <w:tcW w:w="2210" w:type="pct"/>
                <w:vAlign w:val="center"/>
              </w:tcPr>
              <w:p w14:paraId="7CA2DA97" w14:textId="77777777" w:rsidR="0054388B" w:rsidRPr="00C9145E" w:rsidRDefault="0054388B">
                <w:pPr>
                  <w:spacing w:after="0" w:line="240" w:lineRule="auto"/>
                  <w:jc w:val="center"/>
                  <w:rPr>
                    <w:rFonts w:ascii="Times New Roman" w:eastAsia="Times New Roman" w:hAnsi="Times New Roman"/>
                    <w:b/>
                    <w:bCs/>
                    <w:color w:val="000000"/>
                    <w:sz w:val="18"/>
                    <w:szCs w:val="18"/>
                    <w:lang w:eastAsia="es-CO"/>
                  </w:rPr>
                </w:pPr>
                <w:r w:rsidRPr="00C9145E">
                  <w:rPr>
                    <w:rFonts w:ascii="Times New Roman" w:eastAsia="Times New Roman" w:hAnsi="Times New Roman"/>
                    <w:b/>
                    <w:bCs/>
                    <w:color w:val="000000"/>
                    <w:sz w:val="18"/>
                    <w:szCs w:val="18"/>
                    <w:lang w:eastAsia="es-CO"/>
                  </w:rPr>
                  <w:t>TERCERO</w:t>
                </w:r>
              </w:p>
            </w:tc>
            <w:tc>
              <w:tcPr>
                <w:tcW w:w="711" w:type="pct"/>
                <w:vAlign w:val="center"/>
              </w:tcPr>
              <w:p w14:paraId="0EA8D16A" w14:textId="77777777" w:rsidR="0054388B" w:rsidRDefault="0054388B">
                <w:pPr>
                  <w:spacing w:after="0" w:line="240" w:lineRule="auto"/>
                  <w:jc w:val="center"/>
                  <w:rPr>
                    <w:rFonts w:ascii="Times New Roman" w:eastAsia="Times New Roman" w:hAnsi="Times New Roman"/>
                    <w:b/>
                    <w:bCs/>
                    <w:color w:val="000000"/>
                    <w:sz w:val="18"/>
                    <w:szCs w:val="18"/>
                    <w:lang w:eastAsia="es-CO"/>
                  </w:rPr>
                </w:pPr>
                <w:r>
                  <w:rPr>
                    <w:rFonts w:ascii="Times New Roman" w:eastAsia="Times New Roman" w:hAnsi="Times New Roman"/>
                    <w:b/>
                    <w:bCs/>
                    <w:color w:val="000000"/>
                    <w:sz w:val="18"/>
                    <w:szCs w:val="18"/>
                    <w:lang w:eastAsia="es-CO"/>
                  </w:rPr>
                  <w:t>2023</w:t>
                </w:r>
              </w:p>
            </w:tc>
            <w:tc>
              <w:tcPr>
                <w:tcW w:w="712" w:type="pct"/>
                <w:shd w:val="clear" w:color="auto" w:fill="auto"/>
                <w:vAlign w:val="center"/>
                <w:hideMark/>
              </w:tcPr>
              <w:p w14:paraId="7D767B0A" w14:textId="77777777" w:rsidR="0054388B" w:rsidRPr="00C9145E" w:rsidRDefault="0054388B">
                <w:pPr>
                  <w:spacing w:after="0" w:line="240" w:lineRule="auto"/>
                  <w:jc w:val="center"/>
                  <w:rPr>
                    <w:rFonts w:ascii="Times New Roman" w:eastAsia="Times New Roman" w:hAnsi="Times New Roman"/>
                    <w:b/>
                    <w:bCs/>
                    <w:color w:val="000000"/>
                    <w:sz w:val="18"/>
                    <w:szCs w:val="18"/>
                    <w:lang w:eastAsia="es-CO"/>
                  </w:rPr>
                </w:pPr>
                <w:r>
                  <w:rPr>
                    <w:rFonts w:ascii="Times New Roman" w:eastAsia="Times New Roman" w:hAnsi="Times New Roman"/>
                    <w:b/>
                    <w:bCs/>
                    <w:color w:val="000000"/>
                    <w:sz w:val="18"/>
                    <w:szCs w:val="18"/>
                    <w:lang w:eastAsia="es-CO"/>
                  </w:rPr>
                  <w:t>2022</w:t>
                </w:r>
              </w:p>
            </w:tc>
            <w:tc>
              <w:tcPr>
                <w:tcW w:w="1367" w:type="pct"/>
                <w:vAlign w:val="center"/>
              </w:tcPr>
              <w:p w14:paraId="455B1CED" w14:textId="77777777" w:rsidR="0054388B" w:rsidRDefault="0054388B">
                <w:pPr>
                  <w:spacing w:after="0" w:line="240" w:lineRule="auto"/>
                  <w:jc w:val="center"/>
                  <w:rPr>
                    <w:rFonts w:ascii="Times New Roman" w:eastAsia="Times New Roman" w:hAnsi="Times New Roman"/>
                    <w:b/>
                    <w:bCs/>
                    <w:color w:val="000000"/>
                    <w:sz w:val="18"/>
                    <w:szCs w:val="18"/>
                    <w:lang w:eastAsia="es-CO"/>
                  </w:rPr>
                </w:pPr>
                <w:r>
                  <w:rPr>
                    <w:rFonts w:ascii="Times New Roman" w:eastAsia="Times New Roman" w:hAnsi="Times New Roman"/>
                    <w:b/>
                    <w:bCs/>
                    <w:color w:val="000000"/>
                    <w:sz w:val="18"/>
                    <w:szCs w:val="18"/>
                    <w:lang w:eastAsia="es-CO"/>
                  </w:rPr>
                  <w:t>RADICADO PROCESO</w:t>
                </w:r>
              </w:p>
            </w:tc>
          </w:tr>
          <w:tr w:rsidR="0054388B" w:rsidRPr="00C9145E" w14:paraId="7C97163A" w14:textId="77777777" w:rsidTr="00737144">
            <w:trPr>
              <w:trHeight w:val="340"/>
            </w:trPr>
            <w:tc>
              <w:tcPr>
                <w:tcW w:w="2210" w:type="pct"/>
                <w:shd w:val="clear" w:color="auto" w:fill="auto"/>
                <w:vAlign w:val="center"/>
                <w:hideMark/>
              </w:tcPr>
              <w:p w14:paraId="47ED7507" w14:textId="77777777" w:rsidR="0054388B" w:rsidRPr="00C9145E" w:rsidRDefault="0054388B">
                <w:pPr>
                  <w:spacing w:after="0" w:line="240" w:lineRule="auto"/>
                  <w:rPr>
                    <w:rFonts w:ascii="Times New Roman" w:eastAsia="Times New Roman" w:hAnsi="Times New Roman"/>
                    <w:color w:val="000000"/>
                    <w:sz w:val="18"/>
                    <w:szCs w:val="18"/>
                    <w:lang w:eastAsia="es-CO"/>
                  </w:rPr>
                </w:pPr>
                <w:r w:rsidRPr="00C9145E">
                  <w:rPr>
                    <w:rFonts w:ascii="Times New Roman" w:eastAsia="Times New Roman" w:hAnsi="Times New Roman"/>
                    <w:color w:val="000000"/>
                    <w:sz w:val="18"/>
                    <w:szCs w:val="18"/>
                    <w:lang w:eastAsia="es-CO"/>
                  </w:rPr>
                  <w:t>Luis Fernando Gualteros Gutiérrez</w:t>
                </w:r>
              </w:p>
            </w:tc>
            <w:tc>
              <w:tcPr>
                <w:tcW w:w="711" w:type="pct"/>
                <w:vAlign w:val="center"/>
              </w:tcPr>
              <w:p w14:paraId="7BAF7551" w14:textId="77777777" w:rsidR="0054388B" w:rsidRPr="00C9145E" w:rsidRDefault="0054388B">
                <w:pPr>
                  <w:spacing w:after="0" w:line="240" w:lineRule="auto"/>
                  <w:jc w:val="right"/>
                  <w:rPr>
                    <w:rFonts w:ascii="Times New Roman" w:eastAsia="Times New Roman" w:hAnsi="Times New Roman"/>
                    <w:color w:val="000000"/>
                    <w:sz w:val="18"/>
                    <w:szCs w:val="18"/>
                    <w:lang w:eastAsia="es-CO"/>
                  </w:rPr>
                </w:pPr>
                <w:r>
                  <w:rPr>
                    <w:rFonts w:ascii="Times New Roman" w:eastAsia="Times New Roman" w:hAnsi="Times New Roman"/>
                    <w:color w:val="000000"/>
                    <w:sz w:val="18"/>
                    <w:szCs w:val="18"/>
                    <w:lang w:eastAsia="es-CO"/>
                  </w:rPr>
                  <w:t>22.128.776</w:t>
                </w:r>
              </w:p>
            </w:tc>
            <w:tc>
              <w:tcPr>
                <w:tcW w:w="712" w:type="pct"/>
                <w:shd w:val="clear" w:color="auto" w:fill="auto"/>
                <w:vAlign w:val="center"/>
                <w:hideMark/>
              </w:tcPr>
              <w:p w14:paraId="15349439" w14:textId="77777777" w:rsidR="0054388B" w:rsidRPr="00C9145E" w:rsidRDefault="0054388B">
                <w:pPr>
                  <w:spacing w:after="0" w:line="240" w:lineRule="auto"/>
                  <w:jc w:val="right"/>
                  <w:rPr>
                    <w:rFonts w:ascii="Times New Roman" w:eastAsia="Times New Roman" w:hAnsi="Times New Roman"/>
                    <w:color w:val="000000"/>
                    <w:sz w:val="18"/>
                    <w:szCs w:val="18"/>
                    <w:lang w:eastAsia="es-CO"/>
                  </w:rPr>
                </w:pPr>
                <w:r>
                  <w:rPr>
                    <w:rFonts w:ascii="Times New Roman" w:eastAsia="Times New Roman" w:hAnsi="Times New Roman"/>
                    <w:color w:val="000000"/>
                    <w:sz w:val="18"/>
                    <w:szCs w:val="18"/>
                    <w:lang w:eastAsia="es-CO"/>
                  </w:rPr>
                  <w:t>105.916.514</w:t>
                </w:r>
              </w:p>
            </w:tc>
            <w:tc>
              <w:tcPr>
                <w:tcW w:w="1367" w:type="pct"/>
                <w:vAlign w:val="center"/>
              </w:tcPr>
              <w:p w14:paraId="1D27027C" w14:textId="77777777" w:rsidR="0054388B" w:rsidRPr="00C9145E" w:rsidRDefault="0054388B">
                <w:pPr>
                  <w:spacing w:after="0" w:line="240" w:lineRule="auto"/>
                  <w:jc w:val="right"/>
                  <w:rPr>
                    <w:rFonts w:ascii="Times New Roman" w:eastAsia="Times New Roman" w:hAnsi="Times New Roman"/>
                    <w:color w:val="000000"/>
                    <w:sz w:val="18"/>
                    <w:szCs w:val="18"/>
                    <w:lang w:eastAsia="es-CO"/>
                  </w:rPr>
                </w:pPr>
                <w:r w:rsidRPr="00F75218">
                  <w:rPr>
                    <w:rFonts w:ascii="Times New Roman" w:eastAsia="Times New Roman" w:hAnsi="Times New Roman"/>
                    <w:color w:val="000000"/>
                    <w:sz w:val="18"/>
                    <w:szCs w:val="18"/>
                    <w:lang w:eastAsia="es-CO"/>
                  </w:rPr>
                  <w:t>76001310500320210035100</w:t>
                </w:r>
              </w:p>
            </w:tc>
          </w:tr>
          <w:tr w:rsidR="0054388B" w:rsidRPr="00C9145E" w14:paraId="3C72BFBB" w14:textId="77777777" w:rsidTr="00737144">
            <w:trPr>
              <w:trHeight w:val="340"/>
            </w:trPr>
            <w:tc>
              <w:tcPr>
                <w:tcW w:w="2210" w:type="pct"/>
                <w:shd w:val="clear" w:color="auto" w:fill="auto"/>
                <w:vAlign w:val="center"/>
              </w:tcPr>
              <w:p w14:paraId="4B3C9E57" w14:textId="77777777" w:rsidR="0054388B" w:rsidRPr="00C9145E" w:rsidRDefault="0054388B">
                <w:pPr>
                  <w:spacing w:after="0" w:line="240" w:lineRule="auto"/>
                  <w:rPr>
                    <w:rFonts w:ascii="Times New Roman" w:eastAsia="Times New Roman" w:hAnsi="Times New Roman"/>
                    <w:color w:val="000000"/>
                    <w:sz w:val="18"/>
                    <w:szCs w:val="18"/>
                    <w:lang w:eastAsia="es-CO"/>
                  </w:rPr>
                </w:pPr>
                <w:r w:rsidRPr="00E96DFB">
                  <w:rPr>
                    <w:rFonts w:ascii="Times New Roman" w:eastAsia="Times New Roman" w:hAnsi="Times New Roman"/>
                    <w:color w:val="000000"/>
                    <w:sz w:val="18"/>
                    <w:szCs w:val="18"/>
                    <w:lang w:eastAsia="es-CO"/>
                  </w:rPr>
                  <w:t xml:space="preserve">Ana Beatriz Herrera </w:t>
                </w:r>
                <w:r>
                  <w:rPr>
                    <w:rFonts w:ascii="Times New Roman" w:eastAsia="Times New Roman" w:hAnsi="Times New Roman"/>
                    <w:color w:val="000000"/>
                    <w:sz w:val="18"/>
                    <w:szCs w:val="18"/>
                    <w:lang w:eastAsia="es-CO"/>
                  </w:rPr>
                  <w:t>de G</w:t>
                </w:r>
                <w:r w:rsidRPr="00E96DFB">
                  <w:rPr>
                    <w:rFonts w:ascii="Times New Roman" w:eastAsia="Times New Roman" w:hAnsi="Times New Roman"/>
                    <w:color w:val="000000"/>
                    <w:sz w:val="18"/>
                    <w:szCs w:val="18"/>
                    <w:lang w:eastAsia="es-CO"/>
                  </w:rPr>
                  <w:t>uevara</w:t>
                </w:r>
              </w:p>
            </w:tc>
            <w:tc>
              <w:tcPr>
                <w:tcW w:w="711" w:type="pct"/>
                <w:vAlign w:val="center"/>
              </w:tcPr>
              <w:p w14:paraId="6F933F67" w14:textId="77777777" w:rsidR="0054388B" w:rsidRDefault="0054388B">
                <w:pPr>
                  <w:spacing w:after="0" w:line="240" w:lineRule="auto"/>
                  <w:jc w:val="right"/>
                  <w:rPr>
                    <w:rFonts w:ascii="Times New Roman" w:eastAsia="Times New Roman" w:hAnsi="Times New Roman"/>
                    <w:color w:val="000000"/>
                    <w:sz w:val="18"/>
                    <w:szCs w:val="18"/>
                    <w:lang w:eastAsia="es-CO"/>
                  </w:rPr>
                </w:pPr>
                <w:r>
                  <w:rPr>
                    <w:rFonts w:ascii="Times New Roman" w:eastAsia="Times New Roman" w:hAnsi="Times New Roman"/>
                    <w:color w:val="000000"/>
                    <w:sz w:val="18"/>
                    <w:szCs w:val="18"/>
                    <w:lang w:eastAsia="es-CO"/>
                  </w:rPr>
                  <w:t>223.539.898</w:t>
                </w:r>
              </w:p>
            </w:tc>
            <w:tc>
              <w:tcPr>
                <w:tcW w:w="712" w:type="pct"/>
                <w:shd w:val="clear" w:color="auto" w:fill="auto"/>
                <w:vAlign w:val="center"/>
              </w:tcPr>
              <w:p w14:paraId="7EF43D69" w14:textId="77777777" w:rsidR="0054388B" w:rsidRDefault="0054388B">
                <w:pPr>
                  <w:spacing w:after="0" w:line="240" w:lineRule="auto"/>
                  <w:jc w:val="right"/>
                  <w:rPr>
                    <w:rFonts w:ascii="Times New Roman" w:eastAsia="Times New Roman" w:hAnsi="Times New Roman"/>
                    <w:color w:val="000000"/>
                    <w:sz w:val="18"/>
                    <w:szCs w:val="18"/>
                    <w:lang w:eastAsia="es-CO"/>
                  </w:rPr>
                </w:pPr>
                <w:r>
                  <w:rPr>
                    <w:rFonts w:ascii="Times New Roman" w:eastAsia="Times New Roman" w:hAnsi="Times New Roman"/>
                    <w:color w:val="000000"/>
                    <w:sz w:val="18"/>
                    <w:szCs w:val="18"/>
                    <w:lang w:eastAsia="es-CO"/>
                  </w:rPr>
                  <w:t>0</w:t>
                </w:r>
              </w:p>
            </w:tc>
            <w:tc>
              <w:tcPr>
                <w:tcW w:w="1367" w:type="pct"/>
                <w:vAlign w:val="center"/>
              </w:tcPr>
              <w:p w14:paraId="7AE4F408" w14:textId="77777777" w:rsidR="0054388B" w:rsidRPr="00F75218" w:rsidRDefault="0054388B">
                <w:pPr>
                  <w:spacing w:after="0" w:line="240" w:lineRule="auto"/>
                  <w:jc w:val="right"/>
                  <w:rPr>
                    <w:rFonts w:ascii="Times New Roman" w:eastAsia="Times New Roman" w:hAnsi="Times New Roman"/>
                    <w:color w:val="000000"/>
                    <w:sz w:val="18"/>
                    <w:szCs w:val="18"/>
                    <w:lang w:eastAsia="es-CO"/>
                  </w:rPr>
                </w:pPr>
                <w:r w:rsidRPr="00E96DFB">
                  <w:rPr>
                    <w:rFonts w:ascii="Times New Roman" w:eastAsia="Times New Roman" w:hAnsi="Times New Roman"/>
                    <w:color w:val="000000"/>
                    <w:sz w:val="18"/>
                    <w:szCs w:val="18"/>
                    <w:lang w:eastAsia="es-CO"/>
                  </w:rPr>
                  <w:t>11001310501420130057100</w:t>
                </w:r>
              </w:p>
            </w:tc>
          </w:tr>
          <w:tr w:rsidR="0054388B" w:rsidRPr="00C9145E" w14:paraId="44ACF67C" w14:textId="77777777" w:rsidTr="00737144">
            <w:trPr>
              <w:trHeight w:val="340"/>
            </w:trPr>
            <w:tc>
              <w:tcPr>
                <w:tcW w:w="2210" w:type="pct"/>
                <w:shd w:val="clear" w:color="auto" w:fill="auto"/>
                <w:vAlign w:val="center"/>
              </w:tcPr>
              <w:p w14:paraId="19324745" w14:textId="77777777" w:rsidR="0054388B" w:rsidRPr="00E96DFB" w:rsidRDefault="0054388B">
                <w:pPr>
                  <w:spacing w:after="0" w:line="240" w:lineRule="auto"/>
                  <w:rPr>
                    <w:rFonts w:ascii="Times New Roman" w:eastAsia="Times New Roman" w:hAnsi="Times New Roman"/>
                    <w:color w:val="000000"/>
                    <w:sz w:val="18"/>
                    <w:szCs w:val="18"/>
                    <w:lang w:eastAsia="es-CO"/>
                  </w:rPr>
                </w:pPr>
                <w:r w:rsidRPr="00E96DFB">
                  <w:rPr>
                    <w:rFonts w:ascii="Times New Roman" w:eastAsia="Times New Roman" w:hAnsi="Times New Roman"/>
                    <w:color w:val="000000"/>
                    <w:sz w:val="18"/>
                    <w:szCs w:val="18"/>
                    <w:lang w:eastAsia="es-CO"/>
                  </w:rPr>
                  <w:t>Luis Alberto Villamizar Ríos</w:t>
                </w:r>
              </w:p>
            </w:tc>
            <w:tc>
              <w:tcPr>
                <w:tcW w:w="711" w:type="pct"/>
                <w:vAlign w:val="center"/>
              </w:tcPr>
              <w:p w14:paraId="38E4EFD8" w14:textId="77777777" w:rsidR="0054388B" w:rsidRDefault="0054388B">
                <w:pPr>
                  <w:spacing w:after="0" w:line="240" w:lineRule="auto"/>
                  <w:jc w:val="right"/>
                  <w:rPr>
                    <w:rFonts w:ascii="Times New Roman" w:eastAsia="Times New Roman" w:hAnsi="Times New Roman"/>
                    <w:color w:val="000000"/>
                    <w:sz w:val="18"/>
                    <w:szCs w:val="18"/>
                    <w:lang w:eastAsia="es-CO"/>
                  </w:rPr>
                </w:pPr>
                <w:r>
                  <w:rPr>
                    <w:rFonts w:ascii="Times New Roman" w:eastAsia="Times New Roman" w:hAnsi="Times New Roman"/>
                    <w:color w:val="000000"/>
                    <w:sz w:val="18"/>
                    <w:szCs w:val="18"/>
                    <w:lang w:eastAsia="es-CO"/>
                  </w:rPr>
                  <w:t>22.782.405</w:t>
                </w:r>
              </w:p>
            </w:tc>
            <w:tc>
              <w:tcPr>
                <w:tcW w:w="712" w:type="pct"/>
                <w:shd w:val="clear" w:color="auto" w:fill="auto"/>
                <w:vAlign w:val="center"/>
              </w:tcPr>
              <w:p w14:paraId="41D1F9C6" w14:textId="77777777" w:rsidR="0054388B" w:rsidRDefault="0054388B">
                <w:pPr>
                  <w:spacing w:after="0" w:line="240" w:lineRule="auto"/>
                  <w:jc w:val="right"/>
                  <w:rPr>
                    <w:rFonts w:ascii="Times New Roman" w:eastAsia="Times New Roman" w:hAnsi="Times New Roman"/>
                    <w:color w:val="000000"/>
                    <w:sz w:val="18"/>
                    <w:szCs w:val="18"/>
                    <w:lang w:eastAsia="es-CO"/>
                  </w:rPr>
                </w:pPr>
                <w:r>
                  <w:rPr>
                    <w:rFonts w:ascii="Times New Roman" w:eastAsia="Times New Roman" w:hAnsi="Times New Roman"/>
                    <w:color w:val="000000"/>
                    <w:sz w:val="18"/>
                    <w:szCs w:val="18"/>
                    <w:lang w:eastAsia="es-CO"/>
                  </w:rPr>
                  <w:t>0</w:t>
                </w:r>
              </w:p>
            </w:tc>
            <w:tc>
              <w:tcPr>
                <w:tcW w:w="1367" w:type="pct"/>
                <w:vAlign w:val="center"/>
              </w:tcPr>
              <w:p w14:paraId="2F6805A2" w14:textId="77777777" w:rsidR="0054388B" w:rsidRPr="00F75218" w:rsidRDefault="0054388B">
                <w:pPr>
                  <w:spacing w:after="0" w:line="240" w:lineRule="auto"/>
                  <w:jc w:val="right"/>
                  <w:rPr>
                    <w:rFonts w:ascii="Times New Roman" w:eastAsia="Times New Roman" w:hAnsi="Times New Roman"/>
                    <w:color w:val="000000"/>
                    <w:sz w:val="18"/>
                    <w:szCs w:val="18"/>
                    <w:lang w:eastAsia="es-CO"/>
                  </w:rPr>
                </w:pPr>
                <w:r w:rsidRPr="00E96DFB">
                  <w:rPr>
                    <w:rFonts w:ascii="Times New Roman" w:eastAsia="Times New Roman" w:hAnsi="Times New Roman"/>
                    <w:color w:val="000000"/>
                    <w:sz w:val="18"/>
                    <w:szCs w:val="18"/>
                    <w:lang w:eastAsia="es-CO"/>
                  </w:rPr>
                  <w:t>68001310500120170035700</w:t>
                </w:r>
              </w:p>
            </w:tc>
          </w:tr>
          <w:tr w:rsidR="0054388B" w:rsidRPr="00C9145E" w14:paraId="43D46BE1" w14:textId="77777777" w:rsidTr="00737144">
            <w:trPr>
              <w:trHeight w:val="340"/>
            </w:trPr>
            <w:tc>
              <w:tcPr>
                <w:tcW w:w="2210" w:type="pct"/>
                <w:shd w:val="clear" w:color="auto" w:fill="auto"/>
                <w:vAlign w:val="center"/>
              </w:tcPr>
              <w:p w14:paraId="3A78DCB2" w14:textId="77777777" w:rsidR="0054388B" w:rsidRPr="00E96DFB" w:rsidRDefault="0054388B">
                <w:pPr>
                  <w:spacing w:after="0" w:line="240" w:lineRule="auto"/>
                  <w:rPr>
                    <w:rFonts w:ascii="Times New Roman" w:eastAsia="Times New Roman" w:hAnsi="Times New Roman"/>
                    <w:color w:val="000000"/>
                    <w:sz w:val="18"/>
                    <w:szCs w:val="18"/>
                    <w:lang w:eastAsia="es-CO"/>
                  </w:rPr>
                </w:pPr>
                <w:r w:rsidRPr="00E96DFB">
                  <w:rPr>
                    <w:rFonts w:ascii="Times New Roman" w:eastAsia="Times New Roman" w:hAnsi="Times New Roman"/>
                    <w:color w:val="000000"/>
                    <w:sz w:val="18"/>
                    <w:szCs w:val="18"/>
                    <w:lang w:eastAsia="es-CO"/>
                  </w:rPr>
                  <w:t>Jesús Heriberto Bastidas Bravo</w:t>
                </w:r>
              </w:p>
            </w:tc>
            <w:tc>
              <w:tcPr>
                <w:tcW w:w="711" w:type="pct"/>
                <w:vAlign w:val="center"/>
              </w:tcPr>
              <w:p w14:paraId="49B776D9" w14:textId="77777777" w:rsidR="0054388B" w:rsidRDefault="0054388B">
                <w:pPr>
                  <w:spacing w:after="0" w:line="240" w:lineRule="auto"/>
                  <w:jc w:val="right"/>
                  <w:rPr>
                    <w:rFonts w:ascii="Times New Roman" w:eastAsia="Times New Roman" w:hAnsi="Times New Roman"/>
                    <w:color w:val="000000"/>
                    <w:sz w:val="18"/>
                    <w:szCs w:val="18"/>
                    <w:lang w:eastAsia="es-CO"/>
                  </w:rPr>
                </w:pPr>
                <w:r>
                  <w:rPr>
                    <w:rFonts w:ascii="Times New Roman" w:eastAsia="Times New Roman" w:hAnsi="Times New Roman"/>
                    <w:color w:val="000000"/>
                    <w:sz w:val="18"/>
                    <w:szCs w:val="18"/>
                    <w:lang w:eastAsia="es-CO"/>
                  </w:rPr>
                  <w:t>22.334.521</w:t>
                </w:r>
              </w:p>
            </w:tc>
            <w:tc>
              <w:tcPr>
                <w:tcW w:w="712" w:type="pct"/>
                <w:shd w:val="clear" w:color="auto" w:fill="auto"/>
                <w:vAlign w:val="center"/>
              </w:tcPr>
              <w:p w14:paraId="1E574909" w14:textId="77777777" w:rsidR="0054388B" w:rsidRDefault="0054388B">
                <w:pPr>
                  <w:spacing w:after="0" w:line="240" w:lineRule="auto"/>
                  <w:jc w:val="right"/>
                  <w:rPr>
                    <w:rFonts w:ascii="Times New Roman" w:eastAsia="Times New Roman" w:hAnsi="Times New Roman"/>
                    <w:color w:val="000000"/>
                    <w:sz w:val="18"/>
                    <w:szCs w:val="18"/>
                    <w:lang w:eastAsia="es-CO"/>
                  </w:rPr>
                </w:pPr>
                <w:r>
                  <w:rPr>
                    <w:rFonts w:ascii="Times New Roman" w:eastAsia="Times New Roman" w:hAnsi="Times New Roman"/>
                    <w:color w:val="000000"/>
                    <w:sz w:val="18"/>
                    <w:szCs w:val="18"/>
                    <w:lang w:eastAsia="es-CO"/>
                  </w:rPr>
                  <w:t>0</w:t>
                </w:r>
              </w:p>
            </w:tc>
            <w:tc>
              <w:tcPr>
                <w:tcW w:w="1367" w:type="pct"/>
                <w:vAlign w:val="center"/>
              </w:tcPr>
              <w:p w14:paraId="1599AED2" w14:textId="77777777" w:rsidR="0054388B" w:rsidRPr="00F75218" w:rsidRDefault="0054388B">
                <w:pPr>
                  <w:spacing w:after="0" w:line="240" w:lineRule="auto"/>
                  <w:jc w:val="right"/>
                  <w:rPr>
                    <w:rFonts w:ascii="Times New Roman" w:eastAsia="Times New Roman" w:hAnsi="Times New Roman"/>
                    <w:color w:val="000000"/>
                    <w:sz w:val="18"/>
                    <w:szCs w:val="18"/>
                    <w:lang w:eastAsia="es-CO"/>
                  </w:rPr>
                </w:pPr>
                <w:r w:rsidRPr="00E96DFB">
                  <w:rPr>
                    <w:rFonts w:ascii="Times New Roman" w:eastAsia="Times New Roman" w:hAnsi="Times New Roman"/>
                    <w:color w:val="000000"/>
                    <w:sz w:val="18"/>
                    <w:szCs w:val="18"/>
                    <w:lang w:eastAsia="es-CO"/>
                  </w:rPr>
                  <w:t>76001310501820190069502</w:t>
                </w:r>
              </w:p>
            </w:tc>
          </w:tr>
          <w:tr w:rsidR="0054388B" w:rsidRPr="00C9145E" w14:paraId="05EBAFD5" w14:textId="77777777" w:rsidTr="00737144">
            <w:trPr>
              <w:trHeight w:val="340"/>
            </w:trPr>
            <w:tc>
              <w:tcPr>
                <w:tcW w:w="2210" w:type="pct"/>
                <w:shd w:val="clear" w:color="auto" w:fill="auto"/>
                <w:vAlign w:val="center"/>
              </w:tcPr>
              <w:p w14:paraId="473B7C6A" w14:textId="77777777" w:rsidR="0054388B" w:rsidRPr="00C46A9E" w:rsidRDefault="0054388B">
                <w:pPr>
                  <w:spacing w:after="0" w:line="240" w:lineRule="auto"/>
                  <w:rPr>
                    <w:rFonts w:ascii="Times New Roman" w:eastAsia="Times New Roman" w:hAnsi="Times New Roman"/>
                    <w:b/>
                    <w:color w:val="000000"/>
                    <w:sz w:val="18"/>
                    <w:szCs w:val="18"/>
                    <w:lang w:eastAsia="es-CO"/>
                  </w:rPr>
                </w:pPr>
                <w:r w:rsidRPr="00C46A9E">
                  <w:rPr>
                    <w:rFonts w:ascii="Times New Roman" w:eastAsia="Times New Roman" w:hAnsi="Times New Roman"/>
                    <w:b/>
                    <w:color w:val="000000"/>
                    <w:sz w:val="18"/>
                    <w:szCs w:val="18"/>
                    <w:lang w:eastAsia="es-CO"/>
                  </w:rPr>
                  <w:t>TOTALES</w:t>
                </w:r>
              </w:p>
            </w:tc>
            <w:tc>
              <w:tcPr>
                <w:tcW w:w="711" w:type="pct"/>
                <w:vAlign w:val="center"/>
              </w:tcPr>
              <w:p w14:paraId="5020DB01" w14:textId="77777777" w:rsidR="0054388B" w:rsidRPr="00C46A9E" w:rsidRDefault="0054388B">
                <w:pPr>
                  <w:spacing w:after="0" w:line="240" w:lineRule="auto"/>
                  <w:jc w:val="right"/>
                  <w:rPr>
                    <w:rFonts w:ascii="Times New Roman" w:eastAsia="Times New Roman" w:hAnsi="Times New Roman"/>
                    <w:b/>
                    <w:color w:val="000000"/>
                    <w:sz w:val="18"/>
                    <w:szCs w:val="18"/>
                    <w:lang w:eastAsia="es-CO"/>
                  </w:rPr>
                </w:pPr>
                <w:r w:rsidRPr="00C46A9E">
                  <w:rPr>
                    <w:rFonts w:ascii="Times New Roman" w:eastAsia="Times New Roman" w:hAnsi="Times New Roman"/>
                    <w:b/>
                    <w:color w:val="000000"/>
                    <w:sz w:val="18"/>
                    <w:szCs w:val="18"/>
                    <w:lang w:eastAsia="es-CO"/>
                  </w:rPr>
                  <w:t>290.785.600</w:t>
                </w:r>
              </w:p>
            </w:tc>
            <w:tc>
              <w:tcPr>
                <w:tcW w:w="712" w:type="pct"/>
                <w:shd w:val="clear" w:color="auto" w:fill="auto"/>
                <w:vAlign w:val="center"/>
              </w:tcPr>
              <w:p w14:paraId="177E8FCE" w14:textId="77777777" w:rsidR="0054388B" w:rsidRPr="00C46A9E" w:rsidRDefault="0054388B">
                <w:pPr>
                  <w:spacing w:after="0" w:line="240" w:lineRule="auto"/>
                  <w:jc w:val="right"/>
                  <w:rPr>
                    <w:rFonts w:ascii="Times New Roman" w:eastAsia="Times New Roman" w:hAnsi="Times New Roman"/>
                    <w:b/>
                    <w:color w:val="000000"/>
                    <w:sz w:val="18"/>
                    <w:szCs w:val="18"/>
                    <w:lang w:eastAsia="es-CO"/>
                  </w:rPr>
                </w:pPr>
                <w:r w:rsidRPr="00C46A9E">
                  <w:rPr>
                    <w:rFonts w:ascii="Times New Roman" w:eastAsia="Times New Roman" w:hAnsi="Times New Roman"/>
                    <w:b/>
                    <w:color w:val="000000"/>
                    <w:sz w:val="18"/>
                    <w:szCs w:val="18"/>
                    <w:lang w:eastAsia="es-CO"/>
                  </w:rPr>
                  <w:t>105.916.514</w:t>
                </w:r>
              </w:p>
            </w:tc>
            <w:tc>
              <w:tcPr>
                <w:tcW w:w="1367" w:type="pct"/>
                <w:vAlign w:val="center"/>
              </w:tcPr>
              <w:p w14:paraId="6D5F8E87" w14:textId="77777777" w:rsidR="0054388B" w:rsidRPr="00C46A9E" w:rsidRDefault="0054388B">
                <w:pPr>
                  <w:spacing w:after="0" w:line="240" w:lineRule="auto"/>
                  <w:jc w:val="right"/>
                  <w:rPr>
                    <w:rFonts w:ascii="Times New Roman" w:eastAsia="Times New Roman" w:hAnsi="Times New Roman"/>
                    <w:b/>
                    <w:color w:val="000000"/>
                    <w:sz w:val="18"/>
                    <w:szCs w:val="18"/>
                    <w:lang w:eastAsia="es-CO"/>
                  </w:rPr>
                </w:pPr>
              </w:p>
            </w:tc>
          </w:tr>
        </w:tbl>
        <w:p w14:paraId="3DC52950" w14:textId="60517749" w:rsidR="0054388B" w:rsidRPr="00D16B53" w:rsidRDefault="00B55FD1" w:rsidP="0054388B">
          <w:pPr>
            <w:autoSpaceDE w:val="0"/>
            <w:autoSpaceDN w:val="0"/>
            <w:adjustRightInd w:val="0"/>
            <w:spacing w:after="0" w:line="240" w:lineRule="auto"/>
            <w:jc w:val="both"/>
            <w:rPr>
              <w:rFonts w:ascii="Times New Roman" w:hAnsi="Times New Roman"/>
              <w:color w:val="000000"/>
              <w:sz w:val="14"/>
              <w:szCs w:val="14"/>
            </w:rPr>
          </w:pPr>
          <w:r w:rsidRPr="00D16B53">
            <w:rPr>
              <w:rFonts w:ascii="Times New Roman" w:hAnsi="Times New Roman"/>
              <w:color w:val="000000"/>
              <w:sz w:val="14"/>
              <w:szCs w:val="14"/>
            </w:rPr>
            <w:t>Cifras expresadas en miles de pesos</w:t>
          </w:r>
        </w:p>
        <w:p w14:paraId="533A0923" w14:textId="77777777" w:rsidR="00D00511" w:rsidRPr="00931DCE" w:rsidRDefault="00D00511" w:rsidP="004A000E">
          <w:pPr>
            <w:spacing w:after="0" w:line="240" w:lineRule="auto"/>
            <w:jc w:val="both"/>
            <w:rPr>
              <w:rFonts w:ascii="Times New Roman" w:hAnsi="Times New Roman"/>
              <w:sz w:val="24"/>
              <w:szCs w:val="24"/>
              <w:u w:val="single"/>
            </w:rPr>
          </w:pPr>
        </w:p>
        <w:p w14:paraId="5106A749" w14:textId="06D76E73" w:rsidR="006A654C" w:rsidRDefault="00417D5F" w:rsidP="006A654C">
          <w:pPr>
            <w:spacing w:after="0" w:line="240" w:lineRule="auto"/>
            <w:jc w:val="both"/>
            <w:rPr>
              <w:rFonts w:ascii="Times New Roman" w:hAnsi="Times New Roman"/>
              <w:color w:val="000000"/>
              <w:sz w:val="24"/>
              <w:szCs w:val="24"/>
            </w:rPr>
          </w:pPr>
          <w:r w:rsidRPr="0045325D">
            <w:rPr>
              <w:rFonts w:ascii="Times New Roman" w:hAnsi="Times New Roman"/>
              <w:b/>
              <w:color w:val="000000"/>
              <w:sz w:val="24"/>
              <w:szCs w:val="24"/>
            </w:rPr>
            <w:t>Otros litigios y demandas:</w:t>
          </w:r>
          <w:r w:rsidRPr="00931DCE">
            <w:rPr>
              <w:rFonts w:ascii="Times New Roman" w:hAnsi="Times New Roman"/>
              <w:color w:val="000000"/>
              <w:sz w:val="24"/>
              <w:szCs w:val="24"/>
            </w:rPr>
            <w:t xml:space="preserve"> corresponden a </w:t>
          </w:r>
          <w:r>
            <w:rPr>
              <w:rFonts w:ascii="Times New Roman" w:hAnsi="Times New Roman"/>
              <w:color w:val="000000"/>
              <w:sz w:val="24"/>
              <w:szCs w:val="24"/>
            </w:rPr>
            <w:t>seis (6)</w:t>
          </w:r>
          <w:r w:rsidRPr="00931DCE">
            <w:rPr>
              <w:rFonts w:ascii="Times New Roman" w:hAnsi="Times New Roman"/>
              <w:color w:val="000000"/>
              <w:sz w:val="24"/>
              <w:szCs w:val="24"/>
            </w:rPr>
            <w:t xml:space="preserve"> tramites arbitrales en los que la entidad es convocada, </w:t>
          </w:r>
          <w:r>
            <w:rPr>
              <w:rFonts w:ascii="Times New Roman" w:hAnsi="Times New Roman"/>
              <w:color w:val="000000"/>
              <w:sz w:val="24"/>
              <w:szCs w:val="24"/>
            </w:rPr>
            <w:t xml:space="preserve">de los cuales uno (1) fue notificado en el primer semestre del 2023, tres (3) fueron notificados en el segundo semestre del 2023, uno (1) </w:t>
          </w:r>
          <w:r w:rsidRPr="00931DCE">
            <w:rPr>
              <w:rFonts w:ascii="Times New Roman" w:hAnsi="Times New Roman"/>
              <w:color w:val="000000"/>
              <w:sz w:val="24"/>
              <w:szCs w:val="24"/>
            </w:rPr>
            <w:t>present</w:t>
          </w:r>
          <w:r>
            <w:rPr>
              <w:rFonts w:ascii="Times New Roman" w:hAnsi="Times New Roman"/>
              <w:color w:val="000000"/>
              <w:sz w:val="24"/>
              <w:szCs w:val="24"/>
            </w:rPr>
            <w:t>ó</w:t>
          </w:r>
          <w:r w:rsidRPr="00931DCE">
            <w:rPr>
              <w:rFonts w:ascii="Times New Roman" w:hAnsi="Times New Roman"/>
              <w:color w:val="000000"/>
              <w:sz w:val="24"/>
              <w:szCs w:val="24"/>
            </w:rPr>
            <w:t xml:space="preserve"> </w:t>
          </w:r>
          <w:r>
            <w:rPr>
              <w:rFonts w:ascii="Times New Roman" w:hAnsi="Times New Roman"/>
              <w:color w:val="000000"/>
              <w:sz w:val="24"/>
              <w:szCs w:val="24"/>
            </w:rPr>
            <w:t>aumento</w:t>
          </w:r>
          <w:r w:rsidRPr="00931DCE">
            <w:rPr>
              <w:rFonts w:ascii="Times New Roman" w:hAnsi="Times New Roman"/>
              <w:color w:val="000000"/>
              <w:sz w:val="24"/>
              <w:szCs w:val="24"/>
            </w:rPr>
            <w:t xml:space="preserve"> del valor de la provisión </w:t>
          </w:r>
          <w:r>
            <w:rPr>
              <w:rFonts w:ascii="Times New Roman" w:hAnsi="Times New Roman"/>
              <w:color w:val="000000"/>
              <w:sz w:val="24"/>
              <w:szCs w:val="24"/>
            </w:rPr>
            <w:t>contable en la vigencia 2023 con respecto a la vigencia 2022, y uno (1) tramite arbitral activo, pero con valor $0 de pretensiones y no es objeto de contabilización.</w:t>
          </w:r>
        </w:p>
        <w:p w14:paraId="3B282718" w14:textId="77777777" w:rsidR="00417D5F" w:rsidRDefault="00417D5F" w:rsidP="006A654C">
          <w:pPr>
            <w:spacing w:after="0" w:line="240" w:lineRule="auto"/>
            <w:jc w:val="both"/>
            <w:rPr>
              <w:rFonts w:ascii="Times New Roman" w:hAnsi="Times New Roman"/>
              <w:color w:val="000000"/>
              <w:sz w:val="24"/>
              <w:szCs w:val="24"/>
            </w:rPr>
          </w:pPr>
        </w:p>
        <w:p w14:paraId="6A51A97D" w14:textId="320ED65C" w:rsidR="00AC15D7" w:rsidRPr="00931DCE" w:rsidRDefault="00AC15D7" w:rsidP="00AC15D7">
          <w:pPr>
            <w:tabs>
              <w:tab w:val="left" w:pos="3828"/>
            </w:tab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 xml:space="preserve">Con relación al trámite arbitral No. 137954 contaba con saldo en la vigencia 2022, sin embargo, en la vigencia 2023, cambió el registro de pretensión pasando a Cuentas de Orden. </w:t>
          </w:r>
        </w:p>
        <w:p w14:paraId="59E00C4E" w14:textId="77777777" w:rsidR="00AC15D7" w:rsidRPr="00931DCE" w:rsidRDefault="00AC15D7" w:rsidP="00AC15D7">
          <w:pPr>
            <w:autoSpaceDE w:val="0"/>
            <w:autoSpaceDN w:val="0"/>
            <w:adjustRightInd w:val="0"/>
            <w:spacing w:after="0" w:line="240" w:lineRule="auto"/>
            <w:jc w:val="both"/>
            <w:rPr>
              <w:rFonts w:ascii="Times New Roman" w:hAnsi="Times New Roman"/>
              <w:color w:val="000000"/>
              <w:sz w:val="24"/>
              <w:szCs w:val="24"/>
            </w:rPr>
          </w:pPr>
        </w:p>
        <w:p w14:paraId="0344FBC2" w14:textId="77777777" w:rsidR="00AC15D7" w:rsidRDefault="00AC15D7" w:rsidP="00AC15D7">
          <w:pPr>
            <w:autoSpaceDE w:val="0"/>
            <w:autoSpaceDN w:val="0"/>
            <w:adjustRightInd w:val="0"/>
            <w:spacing w:after="0" w:line="240" w:lineRule="auto"/>
            <w:jc w:val="both"/>
            <w:rPr>
              <w:rFonts w:ascii="Times New Roman" w:hAnsi="Times New Roman"/>
              <w:color w:val="000000"/>
              <w:sz w:val="24"/>
              <w:szCs w:val="24"/>
            </w:rPr>
          </w:pPr>
          <w:r w:rsidRPr="00024DE7">
            <w:rPr>
              <w:rFonts w:ascii="Times New Roman" w:hAnsi="Times New Roman"/>
              <w:color w:val="000000"/>
              <w:sz w:val="24"/>
            </w:rPr>
            <w:t>El eventual pago, se tiene previsto dentro de uno a tres años siguientes.</w:t>
          </w:r>
        </w:p>
        <w:p w14:paraId="5135EB8F" w14:textId="77777777" w:rsidR="00AC15D7" w:rsidRDefault="00AC15D7" w:rsidP="00AC15D7">
          <w:pPr>
            <w:autoSpaceDE w:val="0"/>
            <w:autoSpaceDN w:val="0"/>
            <w:adjustRightInd w:val="0"/>
            <w:spacing w:after="0" w:line="240" w:lineRule="auto"/>
            <w:jc w:val="both"/>
            <w:rPr>
              <w:rFonts w:ascii="Times New Roman" w:hAnsi="Times New Roman"/>
              <w:color w:val="000000"/>
              <w:sz w:val="24"/>
              <w:szCs w:val="24"/>
            </w:rPr>
          </w:pPr>
        </w:p>
        <w:p w14:paraId="70A69FB7" w14:textId="77777777" w:rsidR="00AC15D7" w:rsidRPr="00931DCE" w:rsidRDefault="00AC15D7" w:rsidP="00AC15D7">
          <w:pPr>
            <w:autoSpaceDE w:val="0"/>
            <w:autoSpaceDN w:val="0"/>
            <w:adjustRightInd w:val="0"/>
            <w:spacing w:after="0" w:line="240" w:lineRule="auto"/>
            <w:jc w:val="both"/>
            <w:rPr>
              <w:rFonts w:ascii="Times New Roman" w:hAnsi="Times New Roman"/>
              <w:color w:val="000000"/>
              <w:sz w:val="24"/>
              <w:szCs w:val="24"/>
            </w:rPr>
          </w:pPr>
          <w:r w:rsidRPr="00931DCE">
            <w:rPr>
              <w:rFonts w:ascii="Times New Roman" w:hAnsi="Times New Roman"/>
              <w:color w:val="000000"/>
              <w:sz w:val="24"/>
              <w:szCs w:val="24"/>
            </w:rPr>
            <w:t>A continuación, se detallan los saldos a nivel de terceros</w:t>
          </w:r>
        </w:p>
        <w:p w14:paraId="5C688581" w14:textId="77777777" w:rsidR="00B82BED" w:rsidRDefault="00B82BED" w:rsidP="00AC15D7">
          <w:pPr>
            <w:autoSpaceDE w:val="0"/>
            <w:autoSpaceDN w:val="0"/>
            <w:adjustRightInd w:val="0"/>
            <w:spacing w:after="0" w:line="240" w:lineRule="auto"/>
            <w:jc w:val="both"/>
            <w:rPr>
              <w:rFonts w:ascii="Times New Roman" w:hAnsi="Times New Roman"/>
              <w:color w:val="000000"/>
              <w:sz w:val="24"/>
              <w:szCs w:val="24"/>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CellMar>
              <w:left w:w="70" w:type="dxa"/>
              <w:right w:w="70" w:type="dxa"/>
            </w:tblCellMar>
            <w:tblLook w:val="04A0" w:firstRow="1" w:lastRow="0" w:firstColumn="1" w:lastColumn="0" w:noHBand="0" w:noVBand="1"/>
          </w:tblPr>
          <w:tblGrid>
            <w:gridCol w:w="3954"/>
            <w:gridCol w:w="1640"/>
            <w:gridCol w:w="1355"/>
            <w:gridCol w:w="2020"/>
          </w:tblGrid>
          <w:tr w:rsidR="00A259D9" w:rsidRPr="000205D9" w14:paraId="4CCF7A7D" w14:textId="77777777" w:rsidTr="00024DE7">
            <w:trPr>
              <w:trHeight w:val="20"/>
              <w:tblHeader/>
              <w:jc w:val="center"/>
            </w:trPr>
            <w:tc>
              <w:tcPr>
                <w:tcW w:w="2204" w:type="pct"/>
                <w:vAlign w:val="center"/>
              </w:tcPr>
              <w:p w14:paraId="08F0E6B4" w14:textId="77777777" w:rsidR="00A259D9" w:rsidRPr="009A46BB" w:rsidRDefault="00A259D9">
                <w:pPr>
                  <w:spacing w:after="0" w:line="240" w:lineRule="auto"/>
                  <w:jc w:val="center"/>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TERCERO</w:t>
                </w:r>
              </w:p>
            </w:tc>
            <w:tc>
              <w:tcPr>
                <w:tcW w:w="914" w:type="pct"/>
                <w:vAlign w:val="center"/>
              </w:tcPr>
              <w:p w14:paraId="1CCF49DB" w14:textId="77777777" w:rsidR="00A259D9" w:rsidRPr="009A46BB" w:rsidRDefault="00A259D9">
                <w:pPr>
                  <w:spacing w:after="0" w:line="240" w:lineRule="auto"/>
                  <w:jc w:val="center"/>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2023</w:t>
                </w:r>
              </w:p>
            </w:tc>
            <w:tc>
              <w:tcPr>
                <w:tcW w:w="755" w:type="pct"/>
                <w:shd w:val="clear" w:color="auto" w:fill="auto"/>
                <w:vAlign w:val="center"/>
                <w:hideMark/>
              </w:tcPr>
              <w:p w14:paraId="57510E74" w14:textId="77777777" w:rsidR="00A259D9" w:rsidRPr="009A46BB" w:rsidRDefault="00A259D9">
                <w:pPr>
                  <w:spacing w:after="0" w:line="240" w:lineRule="auto"/>
                  <w:jc w:val="center"/>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2022</w:t>
                </w:r>
              </w:p>
            </w:tc>
            <w:tc>
              <w:tcPr>
                <w:tcW w:w="1126" w:type="pct"/>
                <w:vAlign w:val="center"/>
              </w:tcPr>
              <w:p w14:paraId="5BA4654F" w14:textId="77777777" w:rsidR="00A259D9" w:rsidRPr="009A46BB" w:rsidRDefault="00A259D9">
                <w:pPr>
                  <w:spacing w:after="0" w:line="240" w:lineRule="auto"/>
                  <w:jc w:val="center"/>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RADICADO PROCESO</w:t>
                </w:r>
              </w:p>
            </w:tc>
          </w:tr>
          <w:tr w:rsidR="00A259D9" w:rsidRPr="000205D9" w14:paraId="47CBA19C" w14:textId="77777777" w:rsidTr="009F3810">
            <w:trPr>
              <w:trHeight w:val="20"/>
              <w:jc w:val="center"/>
            </w:trPr>
            <w:tc>
              <w:tcPr>
                <w:tcW w:w="2204" w:type="pct"/>
                <w:shd w:val="clear" w:color="auto" w:fill="auto"/>
                <w:vAlign w:val="center"/>
              </w:tcPr>
              <w:p w14:paraId="4E9AF1BD" w14:textId="77777777" w:rsidR="00A259D9" w:rsidRPr="009A46BB" w:rsidRDefault="00A259D9">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PERIMETRAL ORIENTAL DE BOGOTÁ S.A.S, SHIKUN &amp; BINUI VT AG</w:t>
                </w:r>
              </w:p>
            </w:tc>
            <w:tc>
              <w:tcPr>
                <w:tcW w:w="914" w:type="pct"/>
                <w:vAlign w:val="center"/>
              </w:tcPr>
              <w:p w14:paraId="2938C1D1" w14:textId="77777777" w:rsidR="00A259D9" w:rsidRPr="009A46BB" w:rsidRDefault="00A259D9">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725.550.000.000</w:t>
                </w:r>
              </w:p>
            </w:tc>
            <w:tc>
              <w:tcPr>
                <w:tcW w:w="755" w:type="pct"/>
                <w:shd w:val="clear" w:color="auto" w:fill="auto"/>
                <w:vAlign w:val="center"/>
              </w:tcPr>
              <w:p w14:paraId="017046D2" w14:textId="77777777" w:rsidR="00A259D9" w:rsidRPr="009A46BB" w:rsidRDefault="00A259D9">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513.425.616.488</w:t>
                </w:r>
              </w:p>
            </w:tc>
            <w:tc>
              <w:tcPr>
                <w:tcW w:w="1126" w:type="pct"/>
                <w:vAlign w:val="center"/>
              </w:tcPr>
              <w:p w14:paraId="4B599C3D" w14:textId="77777777" w:rsidR="00A259D9" w:rsidRPr="009A46BB" w:rsidRDefault="00A259D9">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ICDR 01-20-0015-3123</w:t>
                </w:r>
              </w:p>
            </w:tc>
          </w:tr>
          <w:tr w:rsidR="00A259D9" w:rsidRPr="000205D9" w14:paraId="3B23C8F1" w14:textId="77777777" w:rsidTr="009F3810">
            <w:trPr>
              <w:trHeight w:val="20"/>
              <w:jc w:val="center"/>
            </w:trPr>
            <w:tc>
              <w:tcPr>
                <w:tcW w:w="2204" w:type="pct"/>
                <w:shd w:val="clear" w:color="auto" w:fill="auto"/>
                <w:vAlign w:val="center"/>
              </w:tcPr>
              <w:p w14:paraId="6A03AD9E" w14:textId="77777777" w:rsidR="00A259D9" w:rsidRPr="009A46BB" w:rsidRDefault="00A259D9">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CONCESIONARIA VIAL DE LOS ANDES SAS COVIANDES S AS</w:t>
                </w:r>
              </w:p>
            </w:tc>
            <w:tc>
              <w:tcPr>
                <w:tcW w:w="914" w:type="pct"/>
                <w:vAlign w:val="center"/>
              </w:tcPr>
              <w:p w14:paraId="2A287F56" w14:textId="77777777" w:rsidR="00A259D9" w:rsidRPr="009A46BB" w:rsidRDefault="00A259D9">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0</w:t>
                </w:r>
              </w:p>
            </w:tc>
            <w:tc>
              <w:tcPr>
                <w:tcW w:w="755" w:type="pct"/>
                <w:shd w:val="clear" w:color="auto" w:fill="auto"/>
                <w:vAlign w:val="center"/>
              </w:tcPr>
              <w:p w14:paraId="6EA9C029" w14:textId="77777777" w:rsidR="00A259D9" w:rsidRPr="009A46BB" w:rsidRDefault="00A259D9">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138.868.037.856</w:t>
                </w:r>
              </w:p>
            </w:tc>
            <w:tc>
              <w:tcPr>
                <w:tcW w:w="1126" w:type="pct"/>
                <w:vAlign w:val="center"/>
              </w:tcPr>
              <w:p w14:paraId="013DCE66" w14:textId="77777777" w:rsidR="00A259D9" w:rsidRPr="009A46BB" w:rsidRDefault="00A259D9">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137954</w:t>
                </w:r>
              </w:p>
            </w:tc>
          </w:tr>
          <w:tr w:rsidR="00A259D9" w:rsidRPr="000205D9" w14:paraId="520C37E9" w14:textId="77777777" w:rsidTr="009F3810">
            <w:trPr>
              <w:trHeight w:val="20"/>
              <w:jc w:val="center"/>
            </w:trPr>
            <w:tc>
              <w:tcPr>
                <w:tcW w:w="2204" w:type="pct"/>
                <w:shd w:val="clear" w:color="auto" w:fill="auto"/>
                <w:vAlign w:val="center"/>
              </w:tcPr>
              <w:p w14:paraId="66E08DA2" w14:textId="77777777" w:rsidR="00A259D9" w:rsidRPr="009A46BB" w:rsidRDefault="00A259D9">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CONCESIONARIA VIAL DE LOS ANDES SAS COVIANDES S AS</w:t>
                </w:r>
              </w:p>
            </w:tc>
            <w:tc>
              <w:tcPr>
                <w:tcW w:w="914" w:type="pct"/>
                <w:vAlign w:val="center"/>
              </w:tcPr>
              <w:p w14:paraId="4FA65B1D" w14:textId="77777777" w:rsidR="00A259D9" w:rsidRPr="009A46BB" w:rsidRDefault="00A259D9">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7.967.028.616</w:t>
                </w:r>
              </w:p>
            </w:tc>
            <w:tc>
              <w:tcPr>
                <w:tcW w:w="755" w:type="pct"/>
                <w:shd w:val="clear" w:color="auto" w:fill="auto"/>
                <w:vAlign w:val="center"/>
              </w:tcPr>
              <w:p w14:paraId="3C024A84" w14:textId="77777777" w:rsidR="00A259D9" w:rsidRPr="009A46BB" w:rsidRDefault="00A259D9">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0</w:t>
                </w:r>
              </w:p>
            </w:tc>
            <w:tc>
              <w:tcPr>
                <w:tcW w:w="1126" w:type="pct"/>
                <w:vAlign w:val="center"/>
              </w:tcPr>
              <w:p w14:paraId="3EF181C5" w14:textId="77777777" w:rsidR="00A259D9" w:rsidRPr="009A46BB" w:rsidRDefault="00A259D9">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144059</w:t>
                </w:r>
              </w:p>
            </w:tc>
          </w:tr>
          <w:tr w:rsidR="00A259D9" w:rsidRPr="000205D9" w14:paraId="4DC492E6" w14:textId="77777777" w:rsidTr="009F3810">
            <w:trPr>
              <w:trHeight w:val="20"/>
              <w:jc w:val="center"/>
            </w:trPr>
            <w:tc>
              <w:tcPr>
                <w:tcW w:w="2204" w:type="pct"/>
                <w:shd w:val="clear" w:color="auto" w:fill="auto"/>
                <w:vAlign w:val="center"/>
              </w:tcPr>
              <w:p w14:paraId="39C9BB37" w14:textId="77777777" w:rsidR="00A259D9" w:rsidRPr="009A46BB" w:rsidRDefault="00A259D9">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CONCESIONARIA RUTA DEL CACAO S.A.S.</w:t>
                </w:r>
              </w:p>
            </w:tc>
            <w:tc>
              <w:tcPr>
                <w:tcW w:w="914" w:type="pct"/>
                <w:vAlign w:val="center"/>
              </w:tcPr>
              <w:p w14:paraId="0B1FF118" w14:textId="77777777" w:rsidR="00A259D9" w:rsidRPr="009A46BB" w:rsidRDefault="00A259D9">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21.102.245.866</w:t>
                </w:r>
              </w:p>
            </w:tc>
            <w:tc>
              <w:tcPr>
                <w:tcW w:w="755" w:type="pct"/>
                <w:shd w:val="clear" w:color="auto" w:fill="auto"/>
                <w:vAlign w:val="center"/>
              </w:tcPr>
              <w:p w14:paraId="6370DD77" w14:textId="77777777" w:rsidR="00A259D9" w:rsidRPr="009A46BB" w:rsidRDefault="00A259D9">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0</w:t>
                </w:r>
              </w:p>
            </w:tc>
            <w:tc>
              <w:tcPr>
                <w:tcW w:w="1126" w:type="pct"/>
                <w:vAlign w:val="center"/>
              </w:tcPr>
              <w:p w14:paraId="7BECFD76" w14:textId="77777777" w:rsidR="00A259D9" w:rsidRPr="009A46BB" w:rsidRDefault="00A259D9">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139521</w:t>
                </w:r>
              </w:p>
            </w:tc>
          </w:tr>
          <w:tr w:rsidR="00A259D9" w:rsidRPr="000205D9" w14:paraId="33F79BDD" w14:textId="77777777" w:rsidTr="009F3810">
            <w:trPr>
              <w:trHeight w:val="20"/>
              <w:jc w:val="center"/>
            </w:trPr>
            <w:tc>
              <w:tcPr>
                <w:tcW w:w="2204" w:type="pct"/>
                <w:shd w:val="clear" w:color="auto" w:fill="auto"/>
                <w:vAlign w:val="center"/>
              </w:tcPr>
              <w:p w14:paraId="0944654A" w14:textId="77777777" w:rsidR="00A259D9" w:rsidRPr="009A46BB" w:rsidRDefault="00A259D9">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CONCESIONARIA RUTA DEL CACAO S.A.S.</w:t>
                </w:r>
              </w:p>
            </w:tc>
            <w:tc>
              <w:tcPr>
                <w:tcW w:w="914" w:type="pct"/>
                <w:vAlign w:val="center"/>
              </w:tcPr>
              <w:p w14:paraId="1FEE724B" w14:textId="77777777" w:rsidR="00A259D9" w:rsidRPr="009A46BB" w:rsidRDefault="00A259D9">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75.166.792.255</w:t>
                </w:r>
              </w:p>
            </w:tc>
            <w:tc>
              <w:tcPr>
                <w:tcW w:w="755" w:type="pct"/>
                <w:shd w:val="clear" w:color="auto" w:fill="auto"/>
                <w:vAlign w:val="center"/>
              </w:tcPr>
              <w:p w14:paraId="19A379BF" w14:textId="77777777" w:rsidR="00A259D9" w:rsidRPr="009A46BB" w:rsidRDefault="00A259D9">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0</w:t>
                </w:r>
              </w:p>
            </w:tc>
            <w:tc>
              <w:tcPr>
                <w:tcW w:w="1126" w:type="pct"/>
                <w:vAlign w:val="center"/>
              </w:tcPr>
              <w:p w14:paraId="2F824757" w14:textId="77777777" w:rsidR="00A259D9" w:rsidRPr="009A46BB" w:rsidRDefault="00A259D9">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141913</w:t>
                </w:r>
              </w:p>
            </w:tc>
          </w:tr>
          <w:tr w:rsidR="00A259D9" w:rsidRPr="000205D9" w14:paraId="3E2F5BBF" w14:textId="77777777" w:rsidTr="009F3810">
            <w:trPr>
              <w:trHeight w:val="20"/>
              <w:jc w:val="center"/>
            </w:trPr>
            <w:tc>
              <w:tcPr>
                <w:tcW w:w="2204" w:type="pct"/>
                <w:shd w:val="clear" w:color="auto" w:fill="auto"/>
                <w:vAlign w:val="center"/>
              </w:tcPr>
              <w:p w14:paraId="3D233D29" w14:textId="77777777" w:rsidR="00A259D9" w:rsidRPr="009A46BB" w:rsidRDefault="00A259D9">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CONCESIÓN SANTA MARTA PARAGUACHÓN S.A.</w:t>
                </w:r>
              </w:p>
            </w:tc>
            <w:tc>
              <w:tcPr>
                <w:tcW w:w="914" w:type="pct"/>
                <w:vAlign w:val="center"/>
              </w:tcPr>
              <w:p w14:paraId="0BEE1980" w14:textId="77777777" w:rsidR="00A259D9" w:rsidRPr="009A46BB" w:rsidRDefault="00A259D9">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67.458.214.694</w:t>
                </w:r>
              </w:p>
            </w:tc>
            <w:tc>
              <w:tcPr>
                <w:tcW w:w="755" w:type="pct"/>
                <w:shd w:val="clear" w:color="auto" w:fill="auto"/>
                <w:vAlign w:val="center"/>
              </w:tcPr>
              <w:p w14:paraId="4855018A" w14:textId="77777777" w:rsidR="00A259D9" w:rsidRPr="009A46BB" w:rsidRDefault="00A259D9">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0</w:t>
                </w:r>
              </w:p>
            </w:tc>
            <w:tc>
              <w:tcPr>
                <w:tcW w:w="1126" w:type="pct"/>
                <w:vAlign w:val="center"/>
              </w:tcPr>
              <w:p w14:paraId="0028F443" w14:textId="77777777" w:rsidR="00A259D9" w:rsidRPr="009A46BB" w:rsidRDefault="00A259D9">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141971</w:t>
                </w:r>
              </w:p>
            </w:tc>
          </w:tr>
          <w:tr w:rsidR="00A259D9" w:rsidRPr="000205D9" w14:paraId="58FDFB27" w14:textId="77777777" w:rsidTr="009F3810">
            <w:trPr>
              <w:trHeight w:val="20"/>
              <w:jc w:val="center"/>
            </w:trPr>
            <w:tc>
              <w:tcPr>
                <w:tcW w:w="2204" w:type="pct"/>
                <w:shd w:val="clear" w:color="auto" w:fill="auto"/>
                <w:vAlign w:val="center"/>
              </w:tcPr>
              <w:p w14:paraId="39DF8B13" w14:textId="77777777" w:rsidR="00A259D9" w:rsidRPr="009A46BB" w:rsidRDefault="00A259D9">
                <w:pPr>
                  <w:tabs>
                    <w:tab w:val="left" w:pos="2472"/>
                  </w:tabs>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CONCESIONARIA VIAL ANDINA S.A.S. - COVIANDINA S.A.S.</w:t>
                </w:r>
              </w:p>
            </w:tc>
            <w:tc>
              <w:tcPr>
                <w:tcW w:w="914" w:type="pct"/>
                <w:vAlign w:val="center"/>
              </w:tcPr>
              <w:p w14:paraId="4FE73437" w14:textId="77777777" w:rsidR="00A259D9" w:rsidRPr="009A46BB" w:rsidRDefault="00A259D9">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0</w:t>
                </w:r>
              </w:p>
            </w:tc>
            <w:tc>
              <w:tcPr>
                <w:tcW w:w="755" w:type="pct"/>
                <w:shd w:val="clear" w:color="auto" w:fill="auto"/>
                <w:vAlign w:val="center"/>
              </w:tcPr>
              <w:p w14:paraId="73CAF36D" w14:textId="77777777" w:rsidR="00A259D9" w:rsidRPr="009A46BB" w:rsidRDefault="00A259D9">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0</w:t>
                </w:r>
              </w:p>
            </w:tc>
            <w:tc>
              <w:tcPr>
                <w:tcW w:w="1126" w:type="pct"/>
                <w:vAlign w:val="center"/>
              </w:tcPr>
              <w:p w14:paraId="4BE98772" w14:textId="77777777" w:rsidR="00A259D9" w:rsidRPr="009A46BB" w:rsidRDefault="00A259D9">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144342</w:t>
                </w:r>
              </w:p>
            </w:tc>
          </w:tr>
          <w:tr w:rsidR="00A259D9" w:rsidRPr="000205D9" w14:paraId="423D8222" w14:textId="77777777" w:rsidTr="009F3810">
            <w:trPr>
              <w:trHeight w:val="20"/>
              <w:jc w:val="center"/>
            </w:trPr>
            <w:tc>
              <w:tcPr>
                <w:tcW w:w="2204" w:type="pct"/>
                <w:shd w:val="clear" w:color="auto" w:fill="auto"/>
                <w:vAlign w:val="center"/>
              </w:tcPr>
              <w:p w14:paraId="2298DFBC" w14:textId="77777777" w:rsidR="00A259D9" w:rsidRPr="009A46BB" w:rsidRDefault="00A259D9">
                <w:pPr>
                  <w:tabs>
                    <w:tab w:val="left" w:pos="2472"/>
                  </w:tabs>
                  <w:spacing w:after="0" w:line="240" w:lineRule="auto"/>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TOTAL</w:t>
                </w:r>
              </w:p>
            </w:tc>
            <w:tc>
              <w:tcPr>
                <w:tcW w:w="914" w:type="pct"/>
                <w:vAlign w:val="center"/>
              </w:tcPr>
              <w:p w14:paraId="5DCBFD98" w14:textId="77777777" w:rsidR="00A259D9" w:rsidRPr="009A46BB" w:rsidRDefault="00A259D9">
                <w:pPr>
                  <w:spacing w:after="0" w:line="240" w:lineRule="auto"/>
                  <w:jc w:val="right"/>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897.244.281.431</w:t>
                </w:r>
              </w:p>
            </w:tc>
            <w:tc>
              <w:tcPr>
                <w:tcW w:w="755" w:type="pct"/>
                <w:shd w:val="clear" w:color="auto" w:fill="auto"/>
                <w:vAlign w:val="center"/>
              </w:tcPr>
              <w:p w14:paraId="75CCA94D" w14:textId="77777777" w:rsidR="00A259D9" w:rsidRPr="009A46BB" w:rsidRDefault="00A259D9">
                <w:pPr>
                  <w:spacing w:after="0" w:line="240" w:lineRule="auto"/>
                  <w:jc w:val="right"/>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652.293.654.344</w:t>
                </w:r>
              </w:p>
            </w:tc>
            <w:tc>
              <w:tcPr>
                <w:tcW w:w="1126" w:type="pct"/>
                <w:vAlign w:val="center"/>
              </w:tcPr>
              <w:p w14:paraId="4787DD31" w14:textId="77777777" w:rsidR="00A259D9" w:rsidRPr="009A46BB" w:rsidRDefault="00A259D9">
                <w:pPr>
                  <w:spacing w:after="0" w:line="240" w:lineRule="auto"/>
                  <w:jc w:val="right"/>
                  <w:rPr>
                    <w:rFonts w:ascii="Times New Roman" w:eastAsia="Times New Roman" w:hAnsi="Times New Roman"/>
                    <w:color w:val="000000"/>
                    <w:sz w:val="18"/>
                    <w:szCs w:val="18"/>
                    <w:lang w:eastAsia="es-CO"/>
                  </w:rPr>
                </w:pPr>
              </w:p>
            </w:tc>
          </w:tr>
        </w:tbl>
        <w:p w14:paraId="33D36130" w14:textId="22843577" w:rsidR="00B82BED" w:rsidRDefault="00E06ED7" w:rsidP="009A5B88">
          <w:pPr>
            <w:autoSpaceDE w:val="0"/>
            <w:autoSpaceDN w:val="0"/>
            <w:adjustRightInd w:val="0"/>
            <w:spacing w:after="0" w:line="240" w:lineRule="auto"/>
            <w:jc w:val="both"/>
            <w:rPr>
              <w:rFonts w:ascii="Times New Roman" w:hAnsi="Times New Roman"/>
              <w:color w:val="000000"/>
              <w:sz w:val="14"/>
              <w:szCs w:val="14"/>
            </w:rPr>
          </w:pPr>
          <w:r w:rsidRPr="00931DCE">
            <w:rPr>
              <w:rFonts w:ascii="Times New Roman" w:hAnsi="Times New Roman"/>
              <w:color w:val="000000"/>
              <w:sz w:val="14"/>
              <w:szCs w:val="14"/>
            </w:rPr>
            <w:t>Cifras expresadas en pesos</w:t>
          </w:r>
        </w:p>
        <w:p w14:paraId="362605C6" w14:textId="77777777" w:rsidR="00E06ED7" w:rsidRDefault="00E06ED7" w:rsidP="00E06ED7">
          <w:pPr>
            <w:autoSpaceDE w:val="0"/>
            <w:autoSpaceDN w:val="0"/>
            <w:adjustRightInd w:val="0"/>
            <w:spacing w:after="0" w:line="240" w:lineRule="auto"/>
            <w:ind w:firstLine="708"/>
            <w:jc w:val="both"/>
            <w:rPr>
              <w:rFonts w:ascii="Times New Roman" w:hAnsi="Times New Roman"/>
              <w:color w:val="000000"/>
              <w:sz w:val="14"/>
              <w:szCs w:val="14"/>
            </w:rPr>
          </w:pPr>
        </w:p>
        <w:p w14:paraId="07803F4D" w14:textId="77777777" w:rsidR="00203F5F" w:rsidRPr="00931DCE" w:rsidRDefault="00203F5F" w:rsidP="00203F5F">
          <w:pPr>
            <w:autoSpaceDE w:val="0"/>
            <w:autoSpaceDN w:val="0"/>
            <w:adjustRightInd w:val="0"/>
            <w:spacing w:after="0" w:line="240" w:lineRule="auto"/>
            <w:rPr>
              <w:rFonts w:ascii="Times New Roman" w:hAnsi="Times New Roman"/>
              <w:sz w:val="24"/>
              <w:szCs w:val="24"/>
            </w:rPr>
          </w:pPr>
          <w:r w:rsidRPr="00931DCE">
            <w:rPr>
              <w:rFonts w:ascii="Times New Roman" w:hAnsi="Times New Roman"/>
              <w:sz w:val="24"/>
              <w:szCs w:val="24"/>
            </w:rPr>
            <w:t>No presentaron variaciones procedentes de cambios en medición.</w:t>
          </w:r>
        </w:p>
        <w:p w14:paraId="5E09337B" w14:textId="77777777" w:rsidR="00203F5F" w:rsidRPr="00931DCE" w:rsidRDefault="00203F5F" w:rsidP="00203F5F">
          <w:pPr>
            <w:autoSpaceDE w:val="0"/>
            <w:autoSpaceDN w:val="0"/>
            <w:adjustRightInd w:val="0"/>
            <w:spacing w:after="0" w:line="240" w:lineRule="auto"/>
            <w:rPr>
              <w:rFonts w:ascii="Times New Roman" w:hAnsi="Times New Roman"/>
              <w:color w:val="000000"/>
              <w:sz w:val="24"/>
              <w:szCs w:val="24"/>
            </w:rPr>
          </w:pPr>
        </w:p>
        <w:p w14:paraId="2208CC9A" w14:textId="77777777" w:rsidR="00203F5F" w:rsidRPr="00931DCE" w:rsidRDefault="00203F5F" w:rsidP="00203F5F">
          <w:pPr>
            <w:jc w:val="both"/>
            <w:rPr>
              <w:rFonts w:ascii="Times New Roman" w:hAnsi="Times New Roman"/>
              <w:color w:val="000000"/>
              <w:sz w:val="24"/>
              <w:szCs w:val="24"/>
            </w:rPr>
          </w:pPr>
          <w:r w:rsidRPr="00931DCE">
            <w:rPr>
              <w:rFonts w:ascii="Times New Roman" w:hAnsi="Times New Roman"/>
              <w:color w:val="000000"/>
              <w:sz w:val="24"/>
              <w:szCs w:val="24"/>
            </w:rPr>
            <w:t>Conforme los preceptos normativos de la Resolución CGN No. 080 del 02 de junio del 2022, en el considerando, establece:</w:t>
          </w:r>
        </w:p>
        <w:p w14:paraId="469DFE65" w14:textId="77777777" w:rsidR="00203F5F" w:rsidRPr="00931DCE" w:rsidRDefault="00203F5F" w:rsidP="00203F5F">
          <w:pPr>
            <w:ind w:left="142" w:right="190"/>
            <w:jc w:val="both"/>
            <w:rPr>
              <w:rFonts w:ascii="Times New Roman" w:hAnsi="Times New Roman"/>
              <w:color w:val="000000"/>
              <w:sz w:val="20"/>
              <w:szCs w:val="20"/>
            </w:rPr>
          </w:pPr>
          <w:r w:rsidRPr="00931DCE">
            <w:rPr>
              <w:rFonts w:ascii="Times New Roman" w:hAnsi="Times New Roman"/>
              <w:color w:val="000000"/>
              <w:sz w:val="20"/>
              <w:szCs w:val="20"/>
            </w:rPr>
            <w:t>(…)</w:t>
          </w:r>
        </w:p>
        <w:p w14:paraId="3635495A" w14:textId="77777777" w:rsidR="00203F5F" w:rsidRPr="00931DCE" w:rsidRDefault="00203F5F" w:rsidP="00203F5F">
          <w:pPr>
            <w:ind w:left="142" w:right="190"/>
            <w:jc w:val="both"/>
            <w:rPr>
              <w:rFonts w:ascii="Times New Roman" w:hAnsi="Times New Roman"/>
              <w:sz w:val="20"/>
              <w:szCs w:val="20"/>
            </w:rPr>
          </w:pPr>
          <w:r w:rsidRPr="00931DCE">
            <w:rPr>
              <w:rFonts w:ascii="Times New Roman" w:hAnsi="Times New Roman"/>
              <w:i/>
              <w:iCs/>
              <w:sz w:val="20"/>
              <w:szCs w:val="20"/>
            </w:rPr>
            <w:t xml:space="preserve">“Que el inciso tercero del artículo 2.4.4.16. del Decreto 1068 de 2015 dispone que “Si la sentencia ejecutoriada determina que, entre las </w:t>
          </w:r>
          <w:r w:rsidRPr="00931DCE">
            <w:rPr>
              <w:rFonts w:ascii="Times New Roman" w:hAnsi="Times New Roman"/>
              <w:i/>
              <w:iCs/>
              <w:sz w:val="20"/>
              <w:szCs w:val="20"/>
              <w:u w:val="single"/>
            </w:rPr>
            <w:t>Entidades Estatales condenadas al pago de obligaciones dinerarias determinadas para cada una de ellas</w:t>
          </w:r>
          <w:r w:rsidRPr="00931DCE">
            <w:rPr>
              <w:rFonts w:ascii="Times New Roman" w:hAnsi="Times New Roman"/>
              <w:i/>
              <w:iCs/>
              <w:sz w:val="20"/>
              <w:szCs w:val="20"/>
            </w:rPr>
            <w:t xml:space="preserve">, el beneficiario pueda exigir el pago de la totalidad de las mismas a cualquiera de dichas entidades; la Entidad Estatal que realice el pago deberá obtener el reembolso de las cifras canceladas por parte de las entidades respectivas, con tal fin será obligatorio que las Entidades Estatales actúen coordinadamente, de tal manera que la Entidad Estatal que realice el pago en virtud de la solidaridad, obtenga el reembolso que le corresponda”. </w:t>
          </w:r>
          <w:r w:rsidRPr="00931DCE">
            <w:rPr>
              <w:rFonts w:ascii="Times New Roman" w:hAnsi="Times New Roman"/>
              <w:sz w:val="20"/>
              <w:szCs w:val="20"/>
            </w:rPr>
            <w:t xml:space="preserve">(Subrayado fuera de texto) </w:t>
          </w:r>
        </w:p>
        <w:p w14:paraId="354BC14F" w14:textId="77777777" w:rsidR="00203F5F" w:rsidRPr="00931DCE" w:rsidRDefault="00203F5F" w:rsidP="00203F5F">
          <w:pPr>
            <w:jc w:val="both"/>
            <w:rPr>
              <w:rFonts w:ascii="Times New Roman" w:hAnsi="Times New Roman"/>
              <w:sz w:val="24"/>
              <w:szCs w:val="24"/>
            </w:rPr>
          </w:pPr>
          <w:r w:rsidRPr="00931DCE">
            <w:rPr>
              <w:rFonts w:ascii="Times New Roman" w:hAnsi="Times New Roman"/>
              <w:sz w:val="24"/>
              <w:szCs w:val="24"/>
            </w:rPr>
            <w:t xml:space="preserve">Asimismo, en su ARTÍCULO 1º del RESUELVE, establece: </w:t>
          </w:r>
        </w:p>
        <w:p w14:paraId="3643D5B5" w14:textId="77777777" w:rsidR="00203F5F" w:rsidRPr="00931DCE" w:rsidRDefault="00203F5F" w:rsidP="00203F5F">
          <w:pPr>
            <w:pStyle w:val="Default"/>
            <w:ind w:left="142" w:right="190"/>
            <w:rPr>
              <w:rFonts w:ascii="Times New Roman" w:hAnsi="Times New Roman" w:cs="Times New Roman"/>
              <w:sz w:val="20"/>
              <w:szCs w:val="20"/>
            </w:rPr>
          </w:pPr>
          <w:r w:rsidRPr="00931DCE">
            <w:rPr>
              <w:rFonts w:ascii="Times New Roman" w:hAnsi="Times New Roman" w:cs="Times New Roman"/>
              <w:sz w:val="20"/>
              <w:szCs w:val="20"/>
            </w:rPr>
            <w:t xml:space="preserve">(…) </w:t>
          </w:r>
        </w:p>
        <w:p w14:paraId="636A4AB5" w14:textId="77777777" w:rsidR="00203F5F" w:rsidRPr="00931DCE" w:rsidRDefault="00203F5F" w:rsidP="00203F5F">
          <w:pPr>
            <w:spacing w:after="0" w:line="240" w:lineRule="auto"/>
            <w:ind w:left="142" w:right="190"/>
            <w:jc w:val="both"/>
            <w:rPr>
              <w:rFonts w:ascii="Times New Roman" w:hAnsi="Times New Roman"/>
              <w:i/>
              <w:iCs/>
              <w:sz w:val="24"/>
              <w:szCs w:val="24"/>
            </w:rPr>
          </w:pPr>
          <w:r w:rsidRPr="00931DCE">
            <w:rPr>
              <w:rFonts w:ascii="Times New Roman" w:hAnsi="Times New Roman"/>
              <w:i/>
              <w:iCs/>
              <w:sz w:val="20"/>
              <w:szCs w:val="20"/>
            </w:rPr>
            <w:t xml:space="preserve">“El derecho de reembolso es el derecho legal que tiene la entidad demandada o convocada a </w:t>
          </w:r>
          <w:r w:rsidRPr="00931DCE">
            <w:rPr>
              <w:rFonts w:ascii="Times New Roman" w:hAnsi="Times New Roman"/>
              <w:i/>
              <w:iCs/>
              <w:sz w:val="20"/>
              <w:szCs w:val="20"/>
              <w:u w:val="single"/>
            </w:rPr>
            <w:t>exigir que una entidad que no sea parte del litigio o del mecanismo alternativo de solución de conflictos</w:t>
          </w:r>
          <w:r w:rsidRPr="00931DCE">
            <w:rPr>
              <w:rFonts w:ascii="Times New Roman" w:hAnsi="Times New Roman"/>
              <w:i/>
              <w:iCs/>
              <w:sz w:val="20"/>
              <w:szCs w:val="20"/>
            </w:rPr>
            <w:t xml:space="preserve"> le reembolse a la entidad demandada o convocada o le pague directamente al demandante o convocante una parte o la totalidad del desembolso necesario para cancelar la sentencia condenatoria ejecutoriada, laudo arbitral definitivo condenatorio o acta de conciliación extrajudicial”. </w:t>
          </w:r>
          <w:r w:rsidRPr="00931DCE">
            <w:rPr>
              <w:rFonts w:ascii="Times New Roman" w:hAnsi="Times New Roman"/>
              <w:sz w:val="20"/>
              <w:szCs w:val="20"/>
            </w:rPr>
            <w:t>(Subrayado fuera de texto)</w:t>
          </w:r>
        </w:p>
        <w:p w14:paraId="7FC0E64E" w14:textId="77777777" w:rsidR="00203F5F" w:rsidRPr="00931DCE" w:rsidRDefault="00203F5F" w:rsidP="00203F5F">
          <w:pPr>
            <w:spacing w:after="0" w:line="240" w:lineRule="auto"/>
            <w:jc w:val="both"/>
            <w:rPr>
              <w:rFonts w:ascii="Times New Roman" w:hAnsi="Times New Roman"/>
              <w:color w:val="000000"/>
              <w:sz w:val="24"/>
              <w:szCs w:val="24"/>
            </w:rPr>
          </w:pPr>
        </w:p>
        <w:p w14:paraId="26503566" w14:textId="77777777" w:rsidR="00203F5F" w:rsidRPr="00931DCE" w:rsidRDefault="00203F5F" w:rsidP="00203F5F">
          <w:pPr>
            <w:spacing w:after="0" w:line="240" w:lineRule="auto"/>
            <w:jc w:val="both"/>
            <w:rPr>
              <w:rFonts w:ascii="Times New Roman" w:hAnsi="Times New Roman"/>
              <w:color w:val="000000"/>
              <w:sz w:val="24"/>
              <w:szCs w:val="24"/>
            </w:rPr>
          </w:pPr>
          <w:r w:rsidRPr="00931DCE">
            <w:rPr>
              <w:rFonts w:ascii="Times New Roman" w:hAnsi="Times New Roman"/>
              <w:color w:val="000000"/>
              <w:sz w:val="24"/>
              <w:szCs w:val="24"/>
            </w:rPr>
            <w:t>En tal sentido, la Agencia no cuenta con derechos de reembolso sobre los procesos judiciales y Tribunales de arbitramento, entre entidades estatales condenadas al pago de obligaciones dinerarias; igualmente, no tiene un derecho legal a exigir que una entidad que no sea parte del litigio o del mecanismo alternativo de solución de conflictos reembolse una parte o la totalidad del desembolso.</w:t>
          </w:r>
        </w:p>
        <w:p w14:paraId="6E1D55A8" w14:textId="77777777" w:rsidR="00203F5F" w:rsidRPr="00931DCE" w:rsidRDefault="00203F5F" w:rsidP="00203F5F">
          <w:pPr>
            <w:spacing w:after="0" w:line="240" w:lineRule="auto"/>
            <w:jc w:val="both"/>
            <w:rPr>
              <w:rFonts w:ascii="Times New Roman" w:hAnsi="Times New Roman"/>
              <w:color w:val="000000"/>
              <w:sz w:val="24"/>
              <w:szCs w:val="24"/>
            </w:rPr>
          </w:pPr>
        </w:p>
        <w:p w14:paraId="766BF26F" w14:textId="77777777" w:rsidR="00203F5F" w:rsidRPr="00931DCE" w:rsidRDefault="00203F5F" w:rsidP="00203F5F">
          <w:pPr>
            <w:spacing w:after="0" w:line="240" w:lineRule="auto"/>
            <w:jc w:val="both"/>
            <w:rPr>
              <w:rFonts w:ascii="Times New Roman" w:hAnsi="Times New Roman"/>
              <w:color w:val="000000"/>
              <w:sz w:val="24"/>
              <w:szCs w:val="24"/>
            </w:rPr>
          </w:pPr>
          <w:r w:rsidRPr="00931DCE">
            <w:rPr>
              <w:rFonts w:ascii="Times New Roman" w:hAnsi="Times New Roman"/>
              <w:color w:val="000000"/>
              <w:sz w:val="24"/>
              <w:szCs w:val="24"/>
            </w:rPr>
            <w:lastRenderedPageBreak/>
            <w:t>No obstante, puede existir el cobro del porcentaje a cargo del concesionario (Privado) o de las aseguradoras, en virtud de llamamiento en garantía.</w:t>
          </w:r>
        </w:p>
        <w:p w14:paraId="16F19741" w14:textId="77777777" w:rsidR="00E06ED7" w:rsidRPr="00931DCE" w:rsidRDefault="00E06ED7" w:rsidP="00E06ED7">
          <w:pPr>
            <w:autoSpaceDE w:val="0"/>
            <w:autoSpaceDN w:val="0"/>
            <w:adjustRightInd w:val="0"/>
            <w:spacing w:after="0" w:line="240" w:lineRule="auto"/>
            <w:ind w:firstLine="708"/>
            <w:jc w:val="both"/>
            <w:rPr>
              <w:rFonts w:ascii="Times New Roman" w:hAnsi="Times New Roman"/>
              <w:color w:val="000000"/>
              <w:sz w:val="24"/>
              <w:szCs w:val="24"/>
            </w:rPr>
          </w:pPr>
        </w:p>
        <w:p w14:paraId="38928D63" w14:textId="77777777" w:rsidR="00417D5F" w:rsidRPr="00931DCE" w:rsidRDefault="00417D5F" w:rsidP="00E06ED7">
          <w:pPr>
            <w:autoSpaceDE w:val="0"/>
            <w:autoSpaceDN w:val="0"/>
            <w:adjustRightInd w:val="0"/>
            <w:spacing w:after="0" w:line="240" w:lineRule="auto"/>
            <w:ind w:firstLine="708"/>
            <w:jc w:val="both"/>
            <w:rPr>
              <w:rFonts w:ascii="Times New Roman" w:hAnsi="Times New Roman"/>
              <w:color w:val="000000"/>
              <w:sz w:val="24"/>
              <w:szCs w:val="24"/>
            </w:rPr>
          </w:pPr>
        </w:p>
        <w:p w14:paraId="6946E1E9" w14:textId="77777777" w:rsidR="00EF15E7" w:rsidRDefault="00EF15E7" w:rsidP="00EF15E7">
          <w:pPr>
            <w:pStyle w:val="Ttulo2"/>
            <w:numPr>
              <w:ilvl w:val="1"/>
              <w:numId w:val="15"/>
            </w:numPr>
            <w:spacing w:line="240" w:lineRule="auto"/>
            <w:ind w:left="567" w:hanging="567"/>
            <w:rPr>
              <w:rFonts w:cs="Times New Roman"/>
              <w:szCs w:val="22"/>
            </w:rPr>
          </w:pPr>
          <w:bookmarkStart w:id="76" w:name="_Toc159952412"/>
          <w:r>
            <w:rPr>
              <w:rFonts w:cs="Times New Roman"/>
              <w:szCs w:val="22"/>
            </w:rPr>
            <w:t>Provisiones diversas</w:t>
          </w:r>
          <w:bookmarkEnd w:id="76"/>
        </w:p>
        <w:p w14:paraId="5F558467" w14:textId="77777777" w:rsidR="00EF15E7" w:rsidRDefault="00EF15E7" w:rsidP="00EF15E7">
          <w:pPr>
            <w:rPr>
              <w:rFonts w:ascii="Times New Roman" w:hAnsi="Times New Roman"/>
              <w:sz w:val="24"/>
              <w:szCs w:val="24"/>
            </w:rPr>
          </w:pPr>
        </w:p>
        <w:p w14:paraId="0F17829E" w14:textId="6EC55EAC" w:rsidR="00417D5F" w:rsidRPr="00F22DFC" w:rsidRDefault="00EF15E7" w:rsidP="00F22DFC">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sz w:val="24"/>
              <w:szCs w:val="24"/>
            </w:rPr>
            <w:t xml:space="preserve">El saldo en la cuenta contable Provisiones diversas, subcuenta contable Otras provisiones diversas, corresponde a la deuda </w:t>
          </w:r>
          <w:r w:rsidRPr="00497128">
            <w:rPr>
              <w:rFonts w:ascii="Times New Roman" w:hAnsi="Times New Roman"/>
              <w:sz w:val="24"/>
              <w:szCs w:val="24"/>
            </w:rPr>
            <w:t>clasificada en Probable o en Revisión,</w:t>
          </w:r>
          <w:r>
            <w:rPr>
              <w:rFonts w:ascii="Times New Roman" w:hAnsi="Times New Roman"/>
              <w:sz w:val="24"/>
              <w:szCs w:val="24"/>
            </w:rPr>
            <w:t xml:space="preserve"> </w:t>
          </w:r>
          <w:r w:rsidRPr="00497128">
            <w:rPr>
              <w:rFonts w:ascii="Times New Roman" w:hAnsi="Times New Roman"/>
              <w:sz w:val="24"/>
              <w:szCs w:val="24"/>
            </w:rPr>
            <w:t>informada</w:t>
          </w:r>
          <w:r>
            <w:rPr>
              <w:rFonts w:ascii="Times New Roman" w:hAnsi="Times New Roman"/>
              <w:sz w:val="24"/>
              <w:szCs w:val="24"/>
            </w:rPr>
            <w:t xml:space="preserve"> por la Vicepresidencia Ejecutiva</w:t>
          </w:r>
          <w:r w:rsidRPr="00497128">
            <w:rPr>
              <w:rFonts w:ascii="Times New Roman" w:hAnsi="Times New Roman"/>
              <w:sz w:val="24"/>
              <w:szCs w:val="24"/>
            </w:rPr>
            <w:t xml:space="preserve"> en el formato GCSP-F-006-Liquidación de la deuda a 31 de diciembre de 2023, del proyecto</w:t>
          </w:r>
          <w:r>
            <w:rPr>
              <w:rFonts w:ascii="Times New Roman" w:hAnsi="Times New Roman"/>
              <w:sz w:val="24"/>
              <w:szCs w:val="24"/>
            </w:rPr>
            <w:t xml:space="preserve"> de concesión </w:t>
          </w:r>
          <w:r w:rsidRPr="00497128">
            <w:rPr>
              <w:rFonts w:ascii="Times New Roman" w:hAnsi="Times New Roman"/>
              <w:sz w:val="24"/>
              <w:szCs w:val="24"/>
            </w:rPr>
            <w:t>RUTA DEL SOL 1</w:t>
          </w:r>
          <w:r>
            <w:rPr>
              <w:rFonts w:ascii="Times New Roman" w:hAnsi="Times New Roman"/>
              <w:sz w:val="24"/>
              <w:szCs w:val="24"/>
            </w:rPr>
            <w:t xml:space="preserve">, </w:t>
          </w:r>
          <w:r w:rsidRPr="00497128">
            <w:rPr>
              <w:rFonts w:ascii="Times New Roman" w:hAnsi="Times New Roman"/>
              <w:sz w:val="24"/>
              <w:szCs w:val="24"/>
            </w:rPr>
            <w:t>Contrato 002 de 2010</w:t>
          </w:r>
          <w:r>
            <w:rPr>
              <w:rFonts w:ascii="Times New Roman" w:hAnsi="Times New Roman"/>
              <w:sz w:val="24"/>
              <w:szCs w:val="24"/>
            </w:rPr>
            <w:t>, por el c</w:t>
          </w:r>
          <w:r w:rsidRPr="00497128">
            <w:rPr>
              <w:rFonts w:ascii="Times New Roman" w:hAnsi="Times New Roman"/>
              <w:sz w:val="24"/>
              <w:szCs w:val="24"/>
            </w:rPr>
            <w:t>oncepto de liquidación</w:t>
          </w:r>
          <w:r>
            <w:rPr>
              <w:rFonts w:ascii="Times New Roman" w:hAnsi="Times New Roman"/>
              <w:sz w:val="24"/>
              <w:szCs w:val="24"/>
            </w:rPr>
            <w:t xml:space="preserve"> de los v</w:t>
          </w:r>
          <w:r w:rsidRPr="00497128">
            <w:rPr>
              <w:rFonts w:ascii="Times New Roman" w:hAnsi="Times New Roman"/>
              <w:sz w:val="24"/>
              <w:szCs w:val="24"/>
            </w:rPr>
            <w:t>alores por costos ociosos por efectos de las medidas de contingencia implementadas para mitigar el COVID-19.</w:t>
          </w:r>
        </w:p>
        <w:p w14:paraId="1429DE65" w14:textId="77777777" w:rsidR="000C447D" w:rsidRDefault="000C447D" w:rsidP="00EF15E7">
          <w:pPr>
            <w:jc w:val="both"/>
            <w:rPr>
              <w:rFonts w:ascii="Times New Roman" w:hAnsi="Times New Roman"/>
              <w:sz w:val="24"/>
              <w:szCs w:val="24"/>
            </w:rPr>
          </w:pPr>
        </w:p>
        <w:tbl>
          <w:tblPr>
            <w:tblW w:w="4895" w:type="pct"/>
            <w:jc w:val="center"/>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ayout w:type="fixed"/>
            <w:tblCellMar>
              <w:left w:w="70" w:type="dxa"/>
              <w:right w:w="70" w:type="dxa"/>
            </w:tblCellMar>
            <w:tblLook w:val="04A0" w:firstRow="1" w:lastRow="0" w:firstColumn="1" w:lastColumn="0" w:noHBand="0" w:noVBand="1"/>
          </w:tblPr>
          <w:tblGrid>
            <w:gridCol w:w="1010"/>
            <w:gridCol w:w="432"/>
            <w:gridCol w:w="864"/>
            <w:gridCol w:w="713"/>
            <w:gridCol w:w="1017"/>
            <w:gridCol w:w="862"/>
            <w:gridCol w:w="1149"/>
            <w:gridCol w:w="862"/>
            <w:gridCol w:w="1013"/>
            <w:gridCol w:w="859"/>
          </w:tblGrid>
          <w:tr w:rsidR="000C447D" w:rsidRPr="00C73F43" w14:paraId="3B9A94B5" w14:textId="77777777" w:rsidTr="00737144">
            <w:trPr>
              <w:trHeight w:val="300"/>
              <w:jc w:val="center"/>
            </w:trPr>
            <w:tc>
              <w:tcPr>
                <w:tcW w:w="1312" w:type="pct"/>
                <w:gridSpan w:val="3"/>
                <w:vMerge w:val="restart"/>
                <w:shd w:val="clear" w:color="auto" w:fill="auto"/>
                <w:vAlign w:val="center"/>
                <w:hideMark/>
              </w:tcPr>
              <w:p w14:paraId="2D494BEB" w14:textId="77777777" w:rsidR="000C447D" w:rsidRPr="002F30FD" w:rsidRDefault="000C447D">
                <w:pPr>
                  <w:spacing w:after="0" w:line="240" w:lineRule="auto"/>
                  <w:jc w:val="center"/>
                  <w:rPr>
                    <w:rFonts w:ascii="Times New Roman" w:eastAsia="Times New Roman" w:hAnsi="Times New Roman"/>
                    <w:b/>
                    <w:bCs/>
                    <w:sz w:val="12"/>
                    <w:szCs w:val="12"/>
                    <w:lang w:eastAsia="es-CO"/>
                  </w:rPr>
                </w:pPr>
                <w:r w:rsidRPr="002F30FD">
                  <w:rPr>
                    <w:rFonts w:ascii="Times New Roman" w:eastAsia="Times New Roman" w:hAnsi="Times New Roman"/>
                    <w:b/>
                    <w:bCs/>
                    <w:sz w:val="12"/>
                    <w:szCs w:val="12"/>
                    <w:lang w:eastAsia="es-CO"/>
                  </w:rPr>
                  <w:t>ASOCIACIÓN DE DATOS</w:t>
                </w:r>
              </w:p>
            </w:tc>
            <w:tc>
              <w:tcPr>
                <w:tcW w:w="3688" w:type="pct"/>
                <w:gridSpan w:val="7"/>
                <w:shd w:val="clear" w:color="auto" w:fill="auto"/>
                <w:vAlign w:val="center"/>
                <w:hideMark/>
              </w:tcPr>
              <w:p w14:paraId="6FF24053" w14:textId="77777777" w:rsidR="000C447D" w:rsidRPr="002F30FD" w:rsidRDefault="000C447D">
                <w:pPr>
                  <w:spacing w:after="0" w:line="240" w:lineRule="auto"/>
                  <w:jc w:val="center"/>
                  <w:rPr>
                    <w:rFonts w:ascii="Times New Roman" w:eastAsia="Times New Roman" w:hAnsi="Times New Roman"/>
                    <w:b/>
                    <w:bCs/>
                    <w:sz w:val="12"/>
                    <w:szCs w:val="12"/>
                    <w:lang w:eastAsia="es-CO"/>
                  </w:rPr>
                </w:pPr>
                <w:r w:rsidRPr="002F30FD">
                  <w:rPr>
                    <w:rFonts w:ascii="Times New Roman" w:eastAsia="Times New Roman" w:hAnsi="Times New Roman"/>
                    <w:b/>
                    <w:bCs/>
                    <w:sz w:val="12"/>
                    <w:szCs w:val="12"/>
                    <w:lang w:eastAsia="es-CO"/>
                  </w:rPr>
                  <w:t>VALOR EN LIBROS - CORTE 2023</w:t>
                </w:r>
              </w:p>
            </w:tc>
          </w:tr>
          <w:tr w:rsidR="000C447D" w:rsidRPr="00C73F43" w14:paraId="7862BDF3" w14:textId="77777777" w:rsidTr="00737144">
            <w:trPr>
              <w:trHeight w:val="300"/>
              <w:jc w:val="center"/>
            </w:trPr>
            <w:tc>
              <w:tcPr>
                <w:tcW w:w="1312" w:type="pct"/>
                <w:gridSpan w:val="3"/>
                <w:vMerge/>
                <w:vAlign w:val="center"/>
                <w:hideMark/>
              </w:tcPr>
              <w:p w14:paraId="3447B49A" w14:textId="77777777" w:rsidR="000C447D" w:rsidRPr="002F30FD" w:rsidRDefault="000C447D">
                <w:pPr>
                  <w:spacing w:after="0" w:line="240" w:lineRule="auto"/>
                  <w:rPr>
                    <w:rFonts w:ascii="Times New Roman" w:eastAsia="Times New Roman" w:hAnsi="Times New Roman"/>
                    <w:b/>
                    <w:bCs/>
                    <w:sz w:val="12"/>
                    <w:szCs w:val="12"/>
                    <w:lang w:eastAsia="es-CO"/>
                  </w:rPr>
                </w:pPr>
              </w:p>
            </w:tc>
            <w:tc>
              <w:tcPr>
                <w:tcW w:w="406" w:type="pct"/>
                <w:shd w:val="clear" w:color="auto" w:fill="auto"/>
                <w:vAlign w:val="center"/>
                <w:hideMark/>
              </w:tcPr>
              <w:p w14:paraId="3DE85169" w14:textId="77777777" w:rsidR="000C447D" w:rsidRPr="002F30FD" w:rsidRDefault="000C447D">
                <w:pPr>
                  <w:spacing w:after="0" w:line="240" w:lineRule="auto"/>
                  <w:jc w:val="center"/>
                  <w:rPr>
                    <w:rFonts w:ascii="Times New Roman" w:eastAsia="Times New Roman" w:hAnsi="Times New Roman"/>
                    <w:b/>
                    <w:bCs/>
                    <w:sz w:val="12"/>
                    <w:szCs w:val="12"/>
                    <w:lang w:eastAsia="es-CO"/>
                  </w:rPr>
                </w:pPr>
                <w:r w:rsidRPr="002F30FD">
                  <w:rPr>
                    <w:rFonts w:ascii="Times New Roman" w:eastAsia="Times New Roman" w:hAnsi="Times New Roman"/>
                    <w:b/>
                    <w:bCs/>
                    <w:sz w:val="12"/>
                    <w:szCs w:val="12"/>
                    <w:lang w:eastAsia="es-CO"/>
                  </w:rPr>
                  <w:t>INICIAL</w:t>
                </w:r>
              </w:p>
            </w:tc>
            <w:tc>
              <w:tcPr>
                <w:tcW w:w="1070" w:type="pct"/>
                <w:gridSpan w:val="2"/>
                <w:shd w:val="clear" w:color="auto" w:fill="auto"/>
                <w:vAlign w:val="center"/>
                <w:hideMark/>
              </w:tcPr>
              <w:p w14:paraId="1487FE57" w14:textId="77777777" w:rsidR="000C447D" w:rsidRPr="002F30FD" w:rsidRDefault="000C447D">
                <w:pPr>
                  <w:spacing w:after="0" w:line="240" w:lineRule="auto"/>
                  <w:jc w:val="center"/>
                  <w:rPr>
                    <w:rFonts w:ascii="Times New Roman" w:eastAsia="Times New Roman" w:hAnsi="Times New Roman"/>
                    <w:b/>
                    <w:bCs/>
                    <w:sz w:val="12"/>
                    <w:szCs w:val="12"/>
                    <w:lang w:eastAsia="es-CO"/>
                  </w:rPr>
                </w:pPr>
                <w:r w:rsidRPr="002F30FD">
                  <w:rPr>
                    <w:rFonts w:ascii="Times New Roman" w:eastAsia="Times New Roman" w:hAnsi="Times New Roman"/>
                    <w:b/>
                    <w:bCs/>
                    <w:sz w:val="12"/>
                    <w:szCs w:val="12"/>
                    <w:lang w:eastAsia="es-CO"/>
                  </w:rPr>
                  <w:t>ADICIONES (CR)</w:t>
                </w:r>
              </w:p>
            </w:tc>
            <w:tc>
              <w:tcPr>
                <w:tcW w:w="1722" w:type="pct"/>
                <w:gridSpan w:val="3"/>
                <w:shd w:val="clear" w:color="auto" w:fill="auto"/>
                <w:vAlign w:val="center"/>
                <w:hideMark/>
              </w:tcPr>
              <w:p w14:paraId="4035173D" w14:textId="77777777" w:rsidR="000C447D" w:rsidRPr="002F30FD" w:rsidRDefault="000C447D">
                <w:pPr>
                  <w:spacing w:after="0" w:line="240" w:lineRule="auto"/>
                  <w:jc w:val="center"/>
                  <w:rPr>
                    <w:rFonts w:ascii="Times New Roman" w:eastAsia="Times New Roman" w:hAnsi="Times New Roman"/>
                    <w:b/>
                    <w:bCs/>
                    <w:sz w:val="12"/>
                    <w:szCs w:val="12"/>
                    <w:lang w:eastAsia="es-CO"/>
                  </w:rPr>
                </w:pPr>
                <w:r w:rsidRPr="002F30FD">
                  <w:rPr>
                    <w:rFonts w:ascii="Times New Roman" w:eastAsia="Times New Roman" w:hAnsi="Times New Roman"/>
                    <w:b/>
                    <w:bCs/>
                    <w:sz w:val="12"/>
                    <w:szCs w:val="12"/>
                    <w:lang w:eastAsia="es-CO"/>
                  </w:rPr>
                  <w:t>DISMINUCIONES (DB)</w:t>
                </w:r>
              </w:p>
            </w:tc>
            <w:tc>
              <w:tcPr>
                <w:tcW w:w="489" w:type="pct"/>
                <w:shd w:val="clear" w:color="auto" w:fill="auto"/>
                <w:vAlign w:val="center"/>
                <w:hideMark/>
              </w:tcPr>
              <w:p w14:paraId="4FC94B83" w14:textId="77777777" w:rsidR="000C447D" w:rsidRPr="002F30FD" w:rsidRDefault="000C447D">
                <w:pPr>
                  <w:spacing w:after="0" w:line="240" w:lineRule="auto"/>
                  <w:jc w:val="center"/>
                  <w:rPr>
                    <w:rFonts w:ascii="Times New Roman" w:eastAsia="Times New Roman" w:hAnsi="Times New Roman"/>
                    <w:b/>
                    <w:bCs/>
                    <w:sz w:val="12"/>
                    <w:szCs w:val="12"/>
                    <w:lang w:eastAsia="es-CO"/>
                  </w:rPr>
                </w:pPr>
                <w:r w:rsidRPr="002F30FD">
                  <w:rPr>
                    <w:rFonts w:ascii="Times New Roman" w:eastAsia="Times New Roman" w:hAnsi="Times New Roman"/>
                    <w:b/>
                    <w:bCs/>
                    <w:sz w:val="12"/>
                    <w:szCs w:val="12"/>
                    <w:lang w:eastAsia="es-CO"/>
                  </w:rPr>
                  <w:t>FINAL</w:t>
                </w:r>
              </w:p>
            </w:tc>
          </w:tr>
          <w:tr w:rsidR="000C447D" w:rsidRPr="00C73F43" w14:paraId="4B516F6F" w14:textId="77777777" w:rsidTr="00737144">
            <w:trPr>
              <w:trHeight w:val="1140"/>
              <w:jc w:val="center"/>
            </w:trPr>
            <w:tc>
              <w:tcPr>
                <w:tcW w:w="575" w:type="pct"/>
                <w:shd w:val="clear" w:color="auto" w:fill="auto"/>
                <w:vAlign w:val="center"/>
                <w:hideMark/>
              </w:tcPr>
              <w:p w14:paraId="7F1DF98D" w14:textId="77777777" w:rsidR="000C447D" w:rsidRPr="002F30FD" w:rsidRDefault="000C447D">
                <w:pPr>
                  <w:spacing w:after="0" w:line="240" w:lineRule="auto"/>
                  <w:jc w:val="center"/>
                  <w:rPr>
                    <w:rFonts w:ascii="Times New Roman" w:eastAsia="Times New Roman" w:hAnsi="Times New Roman"/>
                    <w:b/>
                    <w:bCs/>
                    <w:sz w:val="12"/>
                    <w:szCs w:val="12"/>
                    <w:lang w:eastAsia="es-CO"/>
                  </w:rPr>
                </w:pPr>
                <w:r w:rsidRPr="002F30FD">
                  <w:rPr>
                    <w:rFonts w:ascii="Times New Roman" w:eastAsia="Times New Roman" w:hAnsi="Times New Roman"/>
                    <w:b/>
                    <w:bCs/>
                    <w:sz w:val="12"/>
                    <w:szCs w:val="12"/>
                    <w:lang w:eastAsia="es-CO"/>
                  </w:rPr>
                  <w:t>TIPO DE TERCEROS</w:t>
                </w:r>
              </w:p>
            </w:tc>
            <w:tc>
              <w:tcPr>
                <w:tcW w:w="246" w:type="pct"/>
                <w:shd w:val="clear" w:color="auto" w:fill="auto"/>
                <w:vAlign w:val="center"/>
                <w:hideMark/>
              </w:tcPr>
              <w:p w14:paraId="3BFB942D" w14:textId="77777777" w:rsidR="000C447D" w:rsidRPr="002F30FD" w:rsidRDefault="000C447D">
                <w:pPr>
                  <w:spacing w:after="0" w:line="240" w:lineRule="auto"/>
                  <w:jc w:val="center"/>
                  <w:rPr>
                    <w:rFonts w:ascii="Times New Roman" w:eastAsia="Times New Roman" w:hAnsi="Times New Roman"/>
                    <w:b/>
                    <w:bCs/>
                    <w:sz w:val="12"/>
                    <w:szCs w:val="12"/>
                    <w:lang w:eastAsia="es-CO"/>
                  </w:rPr>
                </w:pPr>
                <w:r w:rsidRPr="002F30FD">
                  <w:rPr>
                    <w:rFonts w:ascii="Times New Roman" w:eastAsia="Times New Roman" w:hAnsi="Times New Roman"/>
                    <w:b/>
                    <w:bCs/>
                    <w:sz w:val="12"/>
                    <w:szCs w:val="12"/>
                    <w:lang w:eastAsia="es-CO"/>
                  </w:rPr>
                  <w:t>PN / PJ / ECP</w:t>
                </w:r>
              </w:p>
            </w:tc>
            <w:tc>
              <w:tcPr>
                <w:tcW w:w="492" w:type="pct"/>
                <w:shd w:val="clear" w:color="auto" w:fill="auto"/>
                <w:vAlign w:val="center"/>
                <w:hideMark/>
              </w:tcPr>
              <w:p w14:paraId="3D70693A" w14:textId="77777777" w:rsidR="000C447D" w:rsidRPr="002F30FD" w:rsidRDefault="000C447D">
                <w:pPr>
                  <w:spacing w:after="0" w:line="240" w:lineRule="auto"/>
                  <w:jc w:val="center"/>
                  <w:rPr>
                    <w:rFonts w:ascii="Times New Roman" w:eastAsia="Times New Roman" w:hAnsi="Times New Roman"/>
                    <w:b/>
                    <w:bCs/>
                    <w:sz w:val="12"/>
                    <w:szCs w:val="12"/>
                    <w:lang w:eastAsia="es-CO"/>
                  </w:rPr>
                </w:pPr>
                <w:r w:rsidRPr="002F30FD">
                  <w:rPr>
                    <w:rFonts w:ascii="Times New Roman" w:eastAsia="Times New Roman" w:hAnsi="Times New Roman"/>
                    <w:b/>
                    <w:bCs/>
                    <w:sz w:val="12"/>
                    <w:szCs w:val="12"/>
                    <w:lang w:eastAsia="es-CO"/>
                  </w:rPr>
                  <w:t>CANTIDAD</w:t>
                </w:r>
              </w:p>
            </w:tc>
            <w:tc>
              <w:tcPr>
                <w:tcW w:w="406" w:type="pct"/>
                <w:shd w:val="clear" w:color="auto" w:fill="auto"/>
                <w:vAlign w:val="center"/>
                <w:hideMark/>
              </w:tcPr>
              <w:p w14:paraId="1C81989C" w14:textId="77777777" w:rsidR="000C447D" w:rsidRPr="002F30FD" w:rsidRDefault="000C447D">
                <w:pPr>
                  <w:spacing w:after="0" w:line="240" w:lineRule="auto"/>
                  <w:jc w:val="center"/>
                  <w:rPr>
                    <w:rFonts w:ascii="Times New Roman" w:eastAsia="Times New Roman" w:hAnsi="Times New Roman"/>
                    <w:b/>
                    <w:bCs/>
                    <w:sz w:val="12"/>
                    <w:szCs w:val="12"/>
                    <w:lang w:eastAsia="es-CO"/>
                  </w:rPr>
                </w:pPr>
                <w:r w:rsidRPr="002F30FD">
                  <w:rPr>
                    <w:rFonts w:ascii="Times New Roman" w:eastAsia="Times New Roman" w:hAnsi="Times New Roman"/>
                    <w:b/>
                    <w:bCs/>
                    <w:sz w:val="12"/>
                    <w:szCs w:val="12"/>
                    <w:lang w:eastAsia="es-CO"/>
                  </w:rPr>
                  <w:t>SALDO INICIAL</w:t>
                </w:r>
              </w:p>
            </w:tc>
            <w:tc>
              <w:tcPr>
                <w:tcW w:w="579" w:type="pct"/>
                <w:shd w:val="clear" w:color="auto" w:fill="auto"/>
                <w:vAlign w:val="center"/>
                <w:hideMark/>
              </w:tcPr>
              <w:p w14:paraId="32C8578A" w14:textId="77777777" w:rsidR="000C447D" w:rsidRPr="002F30FD" w:rsidRDefault="000C447D">
                <w:pPr>
                  <w:spacing w:after="0" w:line="240" w:lineRule="auto"/>
                  <w:jc w:val="center"/>
                  <w:rPr>
                    <w:rFonts w:ascii="Times New Roman" w:eastAsia="Times New Roman" w:hAnsi="Times New Roman"/>
                    <w:b/>
                    <w:bCs/>
                    <w:sz w:val="12"/>
                    <w:szCs w:val="12"/>
                    <w:lang w:eastAsia="es-CO"/>
                  </w:rPr>
                </w:pPr>
                <w:r w:rsidRPr="002F30FD">
                  <w:rPr>
                    <w:rFonts w:ascii="Times New Roman" w:eastAsia="Times New Roman" w:hAnsi="Times New Roman"/>
                    <w:b/>
                    <w:bCs/>
                    <w:sz w:val="12"/>
                    <w:szCs w:val="12"/>
                    <w:lang w:eastAsia="es-CO"/>
                  </w:rPr>
                  <w:t>INCREMENTO DE LA PROVISIÓN</w:t>
                </w:r>
              </w:p>
            </w:tc>
            <w:tc>
              <w:tcPr>
                <w:tcW w:w="491" w:type="pct"/>
                <w:shd w:val="clear" w:color="auto" w:fill="auto"/>
                <w:vAlign w:val="center"/>
                <w:hideMark/>
              </w:tcPr>
              <w:p w14:paraId="4AD30BD2" w14:textId="77777777" w:rsidR="000C447D" w:rsidRPr="002F30FD" w:rsidRDefault="000C447D">
                <w:pPr>
                  <w:spacing w:after="0" w:line="240" w:lineRule="auto"/>
                  <w:jc w:val="center"/>
                  <w:rPr>
                    <w:rFonts w:ascii="Times New Roman" w:eastAsia="Times New Roman" w:hAnsi="Times New Roman"/>
                    <w:b/>
                    <w:bCs/>
                    <w:sz w:val="12"/>
                    <w:szCs w:val="12"/>
                    <w:lang w:eastAsia="es-CO"/>
                  </w:rPr>
                </w:pPr>
                <w:r w:rsidRPr="002F30FD">
                  <w:rPr>
                    <w:rFonts w:ascii="Times New Roman" w:eastAsia="Times New Roman" w:hAnsi="Times New Roman"/>
                    <w:b/>
                    <w:bCs/>
                    <w:sz w:val="12"/>
                    <w:szCs w:val="12"/>
                    <w:lang w:eastAsia="es-CO"/>
                  </w:rPr>
                  <w:t>AJUSTES POR CAMBIOS EN LA MEDICIÓN</w:t>
                </w:r>
              </w:p>
            </w:tc>
            <w:tc>
              <w:tcPr>
                <w:tcW w:w="654" w:type="pct"/>
                <w:shd w:val="clear" w:color="auto" w:fill="auto"/>
                <w:vAlign w:val="center"/>
                <w:hideMark/>
              </w:tcPr>
              <w:p w14:paraId="1D794418" w14:textId="77777777" w:rsidR="000C447D" w:rsidRPr="002F30FD" w:rsidRDefault="000C447D">
                <w:pPr>
                  <w:spacing w:after="0" w:line="240" w:lineRule="auto"/>
                  <w:jc w:val="center"/>
                  <w:rPr>
                    <w:rFonts w:ascii="Times New Roman" w:eastAsia="Times New Roman" w:hAnsi="Times New Roman"/>
                    <w:b/>
                    <w:bCs/>
                    <w:sz w:val="12"/>
                    <w:szCs w:val="12"/>
                    <w:lang w:eastAsia="es-CO"/>
                  </w:rPr>
                </w:pPr>
                <w:r w:rsidRPr="002F30FD">
                  <w:rPr>
                    <w:rFonts w:ascii="Times New Roman" w:eastAsia="Times New Roman" w:hAnsi="Times New Roman"/>
                    <w:b/>
                    <w:bCs/>
                    <w:sz w:val="12"/>
                    <w:szCs w:val="12"/>
                    <w:lang w:eastAsia="es-CO"/>
                  </w:rPr>
                  <w:t>DECREMENTOS DE LA PROVISIÓN</w:t>
                </w:r>
              </w:p>
            </w:tc>
            <w:tc>
              <w:tcPr>
                <w:tcW w:w="491" w:type="pct"/>
                <w:shd w:val="clear" w:color="auto" w:fill="auto"/>
                <w:vAlign w:val="center"/>
                <w:hideMark/>
              </w:tcPr>
              <w:p w14:paraId="5036072A" w14:textId="77777777" w:rsidR="000C447D" w:rsidRPr="002F30FD" w:rsidRDefault="000C447D">
                <w:pPr>
                  <w:spacing w:after="0" w:line="240" w:lineRule="auto"/>
                  <w:jc w:val="center"/>
                  <w:rPr>
                    <w:rFonts w:ascii="Times New Roman" w:eastAsia="Times New Roman" w:hAnsi="Times New Roman"/>
                    <w:b/>
                    <w:bCs/>
                    <w:sz w:val="12"/>
                    <w:szCs w:val="12"/>
                    <w:lang w:eastAsia="es-CO"/>
                  </w:rPr>
                </w:pPr>
                <w:r w:rsidRPr="002F30FD">
                  <w:rPr>
                    <w:rFonts w:ascii="Times New Roman" w:eastAsia="Times New Roman" w:hAnsi="Times New Roman"/>
                    <w:b/>
                    <w:bCs/>
                    <w:sz w:val="12"/>
                    <w:szCs w:val="12"/>
                    <w:lang w:eastAsia="es-CO"/>
                  </w:rPr>
                  <w:t>AJUSTES POR CAMBIOS EN LA MEDICIÓN</w:t>
                </w:r>
              </w:p>
            </w:tc>
            <w:tc>
              <w:tcPr>
                <w:tcW w:w="576" w:type="pct"/>
                <w:shd w:val="clear" w:color="auto" w:fill="auto"/>
                <w:vAlign w:val="center"/>
                <w:hideMark/>
              </w:tcPr>
              <w:p w14:paraId="43BDA3CF" w14:textId="77777777" w:rsidR="000C447D" w:rsidRPr="002F30FD" w:rsidRDefault="000C447D">
                <w:pPr>
                  <w:spacing w:after="0" w:line="240" w:lineRule="auto"/>
                  <w:jc w:val="center"/>
                  <w:rPr>
                    <w:rFonts w:ascii="Times New Roman" w:eastAsia="Times New Roman" w:hAnsi="Times New Roman"/>
                    <w:b/>
                    <w:bCs/>
                    <w:sz w:val="12"/>
                    <w:szCs w:val="12"/>
                    <w:lang w:eastAsia="es-CO"/>
                  </w:rPr>
                </w:pPr>
                <w:r w:rsidRPr="002F30FD">
                  <w:rPr>
                    <w:rFonts w:ascii="Times New Roman" w:eastAsia="Times New Roman" w:hAnsi="Times New Roman"/>
                    <w:b/>
                    <w:bCs/>
                    <w:sz w:val="12"/>
                    <w:szCs w:val="12"/>
                    <w:lang w:eastAsia="es-CO"/>
                  </w:rPr>
                  <w:t>VALORES NO UTILIZADOS, O REVERSADOS DEL PERIODO</w:t>
                </w:r>
              </w:p>
            </w:tc>
            <w:tc>
              <w:tcPr>
                <w:tcW w:w="489" w:type="pct"/>
                <w:shd w:val="clear" w:color="auto" w:fill="auto"/>
                <w:vAlign w:val="center"/>
                <w:hideMark/>
              </w:tcPr>
              <w:p w14:paraId="5D4215F6" w14:textId="77777777" w:rsidR="000C447D" w:rsidRPr="002F30FD" w:rsidRDefault="000C447D">
                <w:pPr>
                  <w:spacing w:after="0" w:line="240" w:lineRule="auto"/>
                  <w:jc w:val="center"/>
                  <w:rPr>
                    <w:rFonts w:ascii="Times New Roman" w:eastAsia="Times New Roman" w:hAnsi="Times New Roman"/>
                    <w:b/>
                    <w:bCs/>
                    <w:sz w:val="12"/>
                    <w:szCs w:val="12"/>
                    <w:lang w:eastAsia="es-CO"/>
                  </w:rPr>
                </w:pPr>
                <w:r w:rsidRPr="002F30FD">
                  <w:rPr>
                    <w:rFonts w:ascii="Times New Roman" w:eastAsia="Times New Roman" w:hAnsi="Times New Roman"/>
                    <w:b/>
                    <w:bCs/>
                    <w:sz w:val="12"/>
                    <w:szCs w:val="12"/>
                    <w:lang w:eastAsia="es-CO"/>
                  </w:rPr>
                  <w:t>SALDO FINAL</w:t>
                </w:r>
              </w:p>
            </w:tc>
          </w:tr>
          <w:tr w:rsidR="000C447D" w:rsidRPr="00C73F43" w14:paraId="3D6D2A70" w14:textId="77777777" w:rsidTr="00737144">
            <w:trPr>
              <w:trHeight w:val="285"/>
              <w:jc w:val="center"/>
            </w:trPr>
            <w:tc>
              <w:tcPr>
                <w:tcW w:w="575" w:type="pct"/>
                <w:shd w:val="clear" w:color="auto" w:fill="auto"/>
                <w:noWrap/>
                <w:vAlign w:val="center"/>
                <w:hideMark/>
              </w:tcPr>
              <w:p w14:paraId="0E2CD2D7" w14:textId="77777777" w:rsidR="000C447D" w:rsidRPr="002F30FD" w:rsidRDefault="000C447D">
                <w:pPr>
                  <w:spacing w:after="0" w:line="240" w:lineRule="auto"/>
                  <w:rPr>
                    <w:rFonts w:ascii="Times New Roman" w:eastAsia="Times New Roman" w:hAnsi="Times New Roman"/>
                    <w:b/>
                    <w:bCs/>
                    <w:sz w:val="12"/>
                    <w:szCs w:val="12"/>
                    <w:lang w:eastAsia="es-CO"/>
                  </w:rPr>
                </w:pPr>
                <w:r w:rsidRPr="002F30FD">
                  <w:rPr>
                    <w:rFonts w:ascii="Times New Roman" w:eastAsia="Times New Roman" w:hAnsi="Times New Roman"/>
                    <w:b/>
                    <w:bCs/>
                    <w:sz w:val="12"/>
                    <w:szCs w:val="12"/>
                    <w:lang w:eastAsia="es-CO"/>
                  </w:rPr>
                  <w:t>PROVISIONES DIVERSAS</w:t>
                </w:r>
              </w:p>
            </w:tc>
            <w:tc>
              <w:tcPr>
                <w:tcW w:w="246" w:type="pct"/>
                <w:shd w:val="clear" w:color="auto" w:fill="auto"/>
                <w:noWrap/>
                <w:vAlign w:val="center"/>
                <w:hideMark/>
              </w:tcPr>
              <w:p w14:paraId="68A12997" w14:textId="77777777" w:rsidR="000C447D" w:rsidRPr="002F30FD" w:rsidRDefault="000C447D">
                <w:pPr>
                  <w:spacing w:after="0" w:line="240" w:lineRule="auto"/>
                  <w:rPr>
                    <w:rFonts w:ascii="Times New Roman" w:eastAsia="Times New Roman" w:hAnsi="Times New Roman"/>
                    <w:b/>
                    <w:bCs/>
                    <w:sz w:val="12"/>
                    <w:szCs w:val="12"/>
                    <w:lang w:eastAsia="es-CO"/>
                  </w:rPr>
                </w:pPr>
                <w:r w:rsidRPr="002F30FD">
                  <w:rPr>
                    <w:rFonts w:ascii="Times New Roman" w:eastAsia="Times New Roman" w:hAnsi="Times New Roman"/>
                    <w:b/>
                    <w:bCs/>
                    <w:sz w:val="12"/>
                    <w:szCs w:val="12"/>
                    <w:lang w:eastAsia="es-CO"/>
                  </w:rPr>
                  <w:t> </w:t>
                </w:r>
              </w:p>
            </w:tc>
            <w:tc>
              <w:tcPr>
                <w:tcW w:w="492" w:type="pct"/>
                <w:shd w:val="clear" w:color="auto" w:fill="auto"/>
                <w:noWrap/>
                <w:vAlign w:val="center"/>
                <w:hideMark/>
              </w:tcPr>
              <w:p w14:paraId="09C57B7F" w14:textId="77777777" w:rsidR="000C447D" w:rsidRPr="002F30FD" w:rsidRDefault="000C447D">
                <w:pPr>
                  <w:spacing w:after="0" w:line="240" w:lineRule="auto"/>
                  <w:rPr>
                    <w:rFonts w:ascii="Times New Roman" w:eastAsia="Times New Roman" w:hAnsi="Times New Roman"/>
                    <w:b/>
                    <w:bCs/>
                    <w:sz w:val="12"/>
                    <w:szCs w:val="12"/>
                    <w:lang w:eastAsia="es-CO"/>
                  </w:rPr>
                </w:pPr>
                <w:r w:rsidRPr="002F30FD">
                  <w:rPr>
                    <w:rFonts w:ascii="Times New Roman" w:eastAsia="Times New Roman" w:hAnsi="Times New Roman"/>
                    <w:b/>
                    <w:bCs/>
                    <w:sz w:val="12"/>
                    <w:szCs w:val="12"/>
                    <w:lang w:eastAsia="es-CO"/>
                  </w:rPr>
                  <w:t> </w:t>
                </w:r>
              </w:p>
            </w:tc>
            <w:tc>
              <w:tcPr>
                <w:tcW w:w="406" w:type="pct"/>
                <w:shd w:val="clear" w:color="auto" w:fill="auto"/>
                <w:noWrap/>
                <w:vAlign w:val="center"/>
                <w:hideMark/>
              </w:tcPr>
              <w:p w14:paraId="781F715A" w14:textId="77777777" w:rsidR="000C447D" w:rsidRPr="002F30FD" w:rsidRDefault="000C447D">
                <w:pPr>
                  <w:spacing w:after="0" w:line="240" w:lineRule="auto"/>
                  <w:jc w:val="right"/>
                  <w:rPr>
                    <w:rFonts w:ascii="Times New Roman" w:eastAsia="Times New Roman" w:hAnsi="Times New Roman"/>
                    <w:b/>
                    <w:bCs/>
                    <w:sz w:val="12"/>
                    <w:szCs w:val="12"/>
                    <w:lang w:eastAsia="es-CO"/>
                  </w:rPr>
                </w:pPr>
                <w:r w:rsidRPr="002F30FD">
                  <w:rPr>
                    <w:rFonts w:ascii="Times New Roman" w:eastAsia="Times New Roman" w:hAnsi="Times New Roman"/>
                    <w:b/>
                    <w:bCs/>
                    <w:sz w:val="12"/>
                    <w:szCs w:val="12"/>
                    <w:lang w:eastAsia="es-CO"/>
                  </w:rPr>
                  <w:t xml:space="preserve">0 </w:t>
                </w:r>
              </w:p>
            </w:tc>
            <w:tc>
              <w:tcPr>
                <w:tcW w:w="579" w:type="pct"/>
                <w:shd w:val="clear" w:color="auto" w:fill="auto"/>
                <w:noWrap/>
                <w:vAlign w:val="center"/>
                <w:hideMark/>
              </w:tcPr>
              <w:p w14:paraId="694C8F11" w14:textId="77777777" w:rsidR="000C447D" w:rsidRPr="002F30FD" w:rsidRDefault="000C447D">
                <w:pPr>
                  <w:spacing w:after="0" w:line="240" w:lineRule="auto"/>
                  <w:jc w:val="right"/>
                  <w:rPr>
                    <w:rFonts w:ascii="Times New Roman" w:eastAsia="Times New Roman" w:hAnsi="Times New Roman"/>
                    <w:b/>
                    <w:bCs/>
                    <w:sz w:val="12"/>
                    <w:szCs w:val="12"/>
                    <w:lang w:eastAsia="es-CO"/>
                  </w:rPr>
                </w:pPr>
                <w:r w:rsidRPr="002F30FD">
                  <w:rPr>
                    <w:rFonts w:ascii="Times New Roman" w:eastAsia="Times New Roman" w:hAnsi="Times New Roman"/>
                    <w:b/>
                    <w:bCs/>
                    <w:sz w:val="12"/>
                    <w:szCs w:val="12"/>
                    <w:lang w:eastAsia="es-CO"/>
                  </w:rPr>
                  <w:t xml:space="preserve">937.799.436 </w:t>
                </w:r>
              </w:p>
            </w:tc>
            <w:tc>
              <w:tcPr>
                <w:tcW w:w="491" w:type="pct"/>
                <w:shd w:val="clear" w:color="auto" w:fill="auto"/>
                <w:noWrap/>
                <w:vAlign w:val="center"/>
                <w:hideMark/>
              </w:tcPr>
              <w:p w14:paraId="3919654E" w14:textId="77777777" w:rsidR="000C447D" w:rsidRPr="002F30FD" w:rsidRDefault="000C447D">
                <w:pPr>
                  <w:spacing w:after="0" w:line="240" w:lineRule="auto"/>
                  <w:jc w:val="right"/>
                  <w:rPr>
                    <w:rFonts w:ascii="Times New Roman" w:eastAsia="Times New Roman" w:hAnsi="Times New Roman"/>
                    <w:b/>
                    <w:bCs/>
                    <w:sz w:val="12"/>
                    <w:szCs w:val="12"/>
                    <w:lang w:eastAsia="es-CO"/>
                  </w:rPr>
                </w:pPr>
                <w:r w:rsidRPr="002F30FD">
                  <w:rPr>
                    <w:rFonts w:ascii="Times New Roman" w:eastAsia="Times New Roman" w:hAnsi="Times New Roman"/>
                    <w:b/>
                    <w:bCs/>
                    <w:sz w:val="12"/>
                    <w:szCs w:val="12"/>
                    <w:lang w:eastAsia="es-CO"/>
                  </w:rPr>
                  <w:t xml:space="preserve">0 </w:t>
                </w:r>
              </w:p>
            </w:tc>
            <w:tc>
              <w:tcPr>
                <w:tcW w:w="654" w:type="pct"/>
                <w:shd w:val="clear" w:color="auto" w:fill="auto"/>
                <w:noWrap/>
                <w:vAlign w:val="center"/>
                <w:hideMark/>
              </w:tcPr>
              <w:p w14:paraId="1E502AEB" w14:textId="77777777" w:rsidR="000C447D" w:rsidRPr="002F30FD" w:rsidRDefault="000C447D">
                <w:pPr>
                  <w:spacing w:after="0" w:line="240" w:lineRule="auto"/>
                  <w:jc w:val="right"/>
                  <w:rPr>
                    <w:rFonts w:ascii="Times New Roman" w:eastAsia="Times New Roman" w:hAnsi="Times New Roman"/>
                    <w:b/>
                    <w:bCs/>
                    <w:sz w:val="12"/>
                    <w:szCs w:val="12"/>
                    <w:lang w:eastAsia="es-CO"/>
                  </w:rPr>
                </w:pPr>
                <w:r w:rsidRPr="002F30FD">
                  <w:rPr>
                    <w:rFonts w:ascii="Times New Roman" w:eastAsia="Times New Roman" w:hAnsi="Times New Roman"/>
                    <w:b/>
                    <w:bCs/>
                    <w:sz w:val="12"/>
                    <w:szCs w:val="12"/>
                    <w:lang w:eastAsia="es-CO"/>
                  </w:rPr>
                  <w:t xml:space="preserve">0 </w:t>
                </w:r>
              </w:p>
            </w:tc>
            <w:tc>
              <w:tcPr>
                <w:tcW w:w="491" w:type="pct"/>
                <w:shd w:val="clear" w:color="auto" w:fill="auto"/>
                <w:noWrap/>
                <w:vAlign w:val="center"/>
                <w:hideMark/>
              </w:tcPr>
              <w:p w14:paraId="048B3B16" w14:textId="77777777" w:rsidR="000C447D" w:rsidRPr="002F30FD" w:rsidRDefault="000C447D">
                <w:pPr>
                  <w:spacing w:after="0" w:line="240" w:lineRule="auto"/>
                  <w:jc w:val="right"/>
                  <w:rPr>
                    <w:rFonts w:ascii="Times New Roman" w:eastAsia="Times New Roman" w:hAnsi="Times New Roman"/>
                    <w:b/>
                    <w:bCs/>
                    <w:sz w:val="12"/>
                    <w:szCs w:val="12"/>
                    <w:lang w:eastAsia="es-CO"/>
                  </w:rPr>
                </w:pPr>
                <w:r w:rsidRPr="002F30FD">
                  <w:rPr>
                    <w:rFonts w:ascii="Times New Roman" w:eastAsia="Times New Roman" w:hAnsi="Times New Roman"/>
                    <w:b/>
                    <w:bCs/>
                    <w:sz w:val="12"/>
                    <w:szCs w:val="12"/>
                    <w:lang w:eastAsia="es-CO"/>
                  </w:rPr>
                  <w:t xml:space="preserve">0 </w:t>
                </w:r>
              </w:p>
            </w:tc>
            <w:tc>
              <w:tcPr>
                <w:tcW w:w="576" w:type="pct"/>
                <w:shd w:val="clear" w:color="auto" w:fill="auto"/>
                <w:noWrap/>
                <w:vAlign w:val="center"/>
                <w:hideMark/>
              </w:tcPr>
              <w:p w14:paraId="6C6679EE" w14:textId="77777777" w:rsidR="000C447D" w:rsidRPr="002F30FD" w:rsidRDefault="000C447D">
                <w:pPr>
                  <w:spacing w:after="0" w:line="240" w:lineRule="auto"/>
                  <w:jc w:val="right"/>
                  <w:rPr>
                    <w:rFonts w:ascii="Times New Roman" w:eastAsia="Times New Roman" w:hAnsi="Times New Roman"/>
                    <w:b/>
                    <w:bCs/>
                    <w:sz w:val="12"/>
                    <w:szCs w:val="12"/>
                    <w:lang w:eastAsia="es-CO"/>
                  </w:rPr>
                </w:pPr>
                <w:r w:rsidRPr="002F30FD">
                  <w:rPr>
                    <w:rFonts w:ascii="Times New Roman" w:eastAsia="Times New Roman" w:hAnsi="Times New Roman"/>
                    <w:b/>
                    <w:bCs/>
                    <w:sz w:val="12"/>
                    <w:szCs w:val="12"/>
                    <w:lang w:eastAsia="es-CO"/>
                  </w:rPr>
                  <w:t xml:space="preserve">0 </w:t>
                </w:r>
              </w:p>
            </w:tc>
            <w:tc>
              <w:tcPr>
                <w:tcW w:w="489" w:type="pct"/>
                <w:shd w:val="clear" w:color="auto" w:fill="auto"/>
                <w:noWrap/>
                <w:vAlign w:val="center"/>
                <w:hideMark/>
              </w:tcPr>
              <w:p w14:paraId="32608F7B" w14:textId="77777777" w:rsidR="000C447D" w:rsidRPr="002F30FD" w:rsidRDefault="000C447D">
                <w:pPr>
                  <w:spacing w:after="0" w:line="240" w:lineRule="auto"/>
                  <w:jc w:val="right"/>
                  <w:rPr>
                    <w:rFonts w:ascii="Times New Roman" w:eastAsia="Times New Roman" w:hAnsi="Times New Roman"/>
                    <w:b/>
                    <w:bCs/>
                    <w:sz w:val="12"/>
                    <w:szCs w:val="12"/>
                    <w:lang w:eastAsia="es-CO"/>
                  </w:rPr>
                </w:pPr>
                <w:r w:rsidRPr="002F30FD">
                  <w:rPr>
                    <w:rFonts w:ascii="Times New Roman" w:eastAsia="Times New Roman" w:hAnsi="Times New Roman"/>
                    <w:b/>
                    <w:bCs/>
                    <w:sz w:val="12"/>
                    <w:szCs w:val="12"/>
                    <w:lang w:eastAsia="es-CO"/>
                  </w:rPr>
                  <w:t xml:space="preserve">937.799.436 </w:t>
                </w:r>
              </w:p>
            </w:tc>
          </w:tr>
          <w:tr w:rsidR="000C447D" w:rsidRPr="00C73F43" w14:paraId="6D28B0F1" w14:textId="77777777" w:rsidTr="00737144">
            <w:trPr>
              <w:trHeight w:val="285"/>
              <w:jc w:val="center"/>
            </w:trPr>
            <w:tc>
              <w:tcPr>
                <w:tcW w:w="575" w:type="pct"/>
                <w:shd w:val="clear" w:color="auto" w:fill="auto"/>
                <w:noWrap/>
                <w:vAlign w:val="center"/>
                <w:hideMark/>
              </w:tcPr>
              <w:p w14:paraId="2001F2D7" w14:textId="77777777" w:rsidR="000C447D" w:rsidRPr="002F30FD" w:rsidRDefault="000C447D">
                <w:pPr>
                  <w:spacing w:after="0" w:line="240" w:lineRule="auto"/>
                  <w:rPr>
                    <w:rFonts w:ascii="Times New Roman" w:eastAsia="Times New Roman" w:hAnsi="Times New Roman"/>
                    <w:b/>
                    <w:bCs/>
                    <w:sz w:val="12"/>
                    <w:szCs w:val="12"/>
                    <w:lang w:eastAsia="es-CO"/>
                  </w:rPr>
                </w:pPr>
                <w:r w:rsidRPr="002F30FD">
                  <w:rPr>
                    <w:rFonts w:ascii="Times New Roman" w:eastAsia="Times New Roman" w:hAnsi="Times New Roman"/>
                    <w:b/>
                    <w:bCs/>
                    <w:sz w:val="12"/>
                    <w:szCs w:val="12"/>
                    <w:lang w:eastAsia="es-CO"/>
                  </w:rPr>
                  <w:t>Otras provisiones diversas</w:t>
                </w:r>
              </w:p>
            </w:tc>
            <w:tc>
              <w:tcPr>
                <w:tcW w:w="246" w:type="pct"/>
                <w:shd w:val="clear" w:color="auto" w:fill="auto"/>
                <w:noWrap/>
                <w:vAlign w:val="center"/>
                <w:hideMark/>
              </w:tcPr>
              <w:p w14:paraId="05CDE804" w14:textId="77777777" w:rsidR="000C447D" w:rsidRPr="002F30FD" w:rsidRDefault="000C447D">
                <w:pPr>
                  <w:spacing w:after="0" w:line="240" w:lineRule="auto"/>
                  <w:rPr>
                    <w:rFonts w:ascii="Times New Roman" w:eastAsia="Times New Roman" w:hAnsi="Times New Roman"/>
                    <w:b/>
                    <w:bCs/>
                    <w:sz w:val="12"/>
                    <w:szCs w:val="12"/>
                    <w:lang w:eastAsia="es-CO"/>
                  </w:rPr>
                </w:pPr>
                <w:r w:rsidRPr="002F30FD">
                  <w:rPr>
                    <w:rFonts w:ascii="Times New Roman" w:eastAsia="Times New Roman" w:hAnsi="Times New Roman"/>
                    <w:b/>
                    <w:bCs/>
                    <w:sz w:val="12"/>
                    <w:szCs w:val="12"/>
                    <w:lang w:eastAsia="es-CO"/>
                  </w:rPr>
                  <w:t> </w:t>
                </w:r>
              </w:p>
            </w:tc>
            <w:tc>
              <w:tcPr>
                <w:tcW w:w="492" w:type="pct"/>
                <w:shd w:val="clear" w:color="auto" w:fill="auto"/>
                <w:noWrap/>
                <w:vAlign w:val="center"/>
                <w:hideMark/>
              </w:tcPr>
              <w:p w14:paraId="474AA6FD" w14:textId="77777777" w:rsidR="000C447D" w:rsidRPr="002F30FD" w:rsidRDefault="000C447D">
                <w:pPr>
                  <w:spacing w:after="0" w:line="240" w:lineRule="auto"/>
                  <w:rPr>
                    <w:rFonts w:ascii="Times New Roman" w:eastAsia="Times New Roman" w:hAnsi="Times New Roman"/>
                    <w:b/>
                    <w:bCs/>
                    <w:sz w:val="12"/>
                    <w:szCs w:val="12"/>
                    <w:lang w:eastAsia="es-CO"/>
                  </w:rPr>
                </w:pPr>
                <w:r w:rsidRPr="002F30FD">
                  <w:rPr>
                    <w:rFonts w:ascii="Times New Roman" w:eastAsia="Times New Roman" w:hAnsi="Times New Roman"/>
                    <w:b/>
                    <w:bCs/>
                    <w:sz w:val="12"/>
                    <w:szCs w:val="12"/>
                    <w:lang w:eastAsia="es-CO"/>
                  </w:rPr>
                  <w:t> </w:t>
                </w:r>
              </w:p>
            </w:tc>
            <w:tc>
              <w:tcPr>
                <w:tcW w:w="406" w:type="pct"/>
                <w:shd w:val="clear" w:color="auto" w:fill="auto"/>
                <w:noWrap/>
                <w:vAlign w:val="center"/>
                <w:hideMark/>
              </w:tcPr>
              <w:p w14:paraId="15F500F8" w14:textId="77777777" w:rsidR="000C447D" w:rsidRPr="002F30FD" w:rsidRDefault="000C447D">
                <w:pPr>
                  <w:spacing w:after="0" w:line="240" w:lineRule="auto"/>
                  <w:jc w:val="right"/>
                  <w:rPr>
                    <w:rFonts w:ascii="Times New Roman" w:eastAsia="Times New Roman" w:hAnsi="Times New Roman"/>
                    <w:b/>
                    <w:bCs/>
                    <w:sz w:val="12"/>
                    <w:szCs w:val="12"/>
                    <w:lang w:eastAsia="es-CO"/>
                  </w:rPr>
                </w:pPr>
                <w:r w:rsidRPr="002F30FD">
                  <w:rPr>
                    <w:rFonts w:ascii="Times New Roman" w:eastAsia="Times New Roman" w:hAnsi="Times New Roman"/>
                    <w:b/>
                    <w:bCs/>
                    <w:sz w:val="12"/>
                    <w:szCs w:val="12"/>
                    <w:lang w:eastAsia="es-CO"/>
                  </w:rPr>
                  <w:t xml:space="preserve">0 </w:t>
                </w:r>
              </w:p>
            </w:tc>
            <w:tc>
              <w:tcPr>
                <w:tcW w:w="579" w:type="pct"/>
                <w:shd w:val="clear" w:color="auto" w:fill="auto"/>
                <w:noWrap/>
                <w:vAlign w:val="center"/>
                <w:hideMark/>
              </w:tcPr>
              <w:p w14:paraId="7332E163" w14:textId="77777777" w:rsidR="000C447D" w:rsidRPr="002F30FD" w:rsidRDefault="000C447D">
                <w:pPr>
                  <w:spacing w:after="0" w:line="240" w:lineRule="auto"/>
                  <w:jc w:val="right"/>
                  <w:rPr>
                    <w:rFonts w:ascii="Times New Roman" w:eastAsia="Times New Roman" w:hAnsi="Times New Roman"/>
                    <w:b/>
                    <w:bCs/>
                    <w:sz w:val="12"/>
                    <w:szCs w:val="12"/>
                    <w:lang w:eastAsia="es-CO"/>
                  </w:rPr>
                </w:pPr>
                <w:r w:rsidRPr="002F30FD">
                  <w:rPr>
                    <w:rFonts w:ascii="Times New Roman" w:eastAsia="Times New Roman" w:hAnsi="Times New Roman"/>
                    <w:b/>
                    <w:bCs/>
                    <w:sz w:val="12"/>
                    <w:szCs w:val="12"/>
                    <w:lang w:eastAsia="es-CO"/>
                  </w:rPr>
                  <w:t xml:space="preserve">937.799.436 </w:t>
                </w:r>
              </w:p>
            </w:tc>
            <w:tc>
              <w:tcPr>
                <w:tcW w:w="491" w:type="pct"/>
                <w:shd w:val="clear" w:color="auto" w:fill="auto"/>
                <w:noWrap/>
                <w:vAlign w:val="center"/>
                <w:hideMark/>
              </w:tcPr>
              <w:p w14:paraId="01FD951F" w14:textId="77777777" w:rsidR="000C447D" w:rsidRPr="002F30FD" w:rsidRDefault="000C447D">
                <w:pPr>
                  <w:spacing w:after="0" w:line="240" w:lineRule="auto"/>
                  <w:jc w:val="right"/>
                  <w:rPr>
                    <w:rFonts w:ascii="Times New Roman" w:eastAsia="Times New Roman" w:hAnsi="Times New Roman"/>
                    <w:b/>
                    <w:bCs/>
                    <w:sz w:val="12"/>
                    <w:szCs w:val="12"/>
                    <w:lang w:eastAsia="es-CO"/>
                  </w:rPr>
                </w:pPr>
                <w:r w:rsidRPr="002F30FD">
                  <w:rPr>
                    <w:rFonts w:ascii="Times New Roman" w:eastAsia="Times New Roman" w:hAnsi="Times New Roman"/>
                    <w:b/>
                    <w:bCs/>
                    <w:sz w:val="12"/>
                    <w:szCs w:val="12"/>
                    <w:lang w:eastAsia="es-CO"/>
                  </w:rPr>
                  <w:t xml:space="preserve">0 </w:t>
                </w:r>
              </w:p>
            </w:tc>
            <w:tc>
              <w:tcPr>
                <w:tcW w:w="654" w:type="pct"/>
                <w:shd w:val="clear" w:color="auto" w:fill="auto"/>
                <w:noWrap/>
                <w:vAlign w:val="center"/>
                <w:hideMark/>
              </w:tcPr>
              <w:p w14:paraId="784E6701" w14:textId="77777777" w:rsidR="000C447D" w:rsidRPr="002F30FD" w:rsidRDefault="000C447D">
                <w:pPr>
                  <w:spacing w:after="0" w:line="240" w:lineRule="auto"/>
                  <w:jc w:val="right"/>
                  <w:rPr>
                    <w:rFonts w:ascii="Times New Roman" w:eastAsia="Times New Roman" w:hAnsi="Times New Roman"/>
                    <w:b/>
                    <w:bCs/>
                    <w:sz w:val="12"/>
                    <w:szCs w:val="12"/>
                    <w:lang w:eastAsia="es-CO"/>
                  </w:rPr>
                </w:pPr>
                <w:r w:rsidRPr="002F30FD">
                  <w:rPr>
                    <w:rFonts w:ascii="Times New Roman" w:eastAsia="Times New Roman" w:hAnsi="Times New Roman"/>
                    <w:b/>
                    <w:bCs/>
                    <w:sz w:val="12"/>
                    <w:szCs w:val="12"/>
                    <w:lang w:eastAsia="es-CO"/>
                  </w:rPr>
                  <w:t xml:space="preserve">0 </w:t>
                </w:r>
              </w:p>
            </w:tc>
            <w:tc>
              <w:tcPr>
                <w:tcW w:w="491" w:type="pct"/>
                <w:shd w:val="clear" w:color="auto" w:fill="auto"/>
                <w:noWrap/>
                <w:vAlign w:val="center"/>
                <w:hideMark/>
              </w:tcPr>
              <w:p w14:paraId="72D279AA" w14:textId="77777777" w:rsidR="000C447D" w:rsidRPr="002F30FD" w:rsidRDefault="000C447D">
                <w:pPr>
                  <w:spacing w:after="0" w:line="240" w:lineRule="auto"/>
                  <w:jc w:val="right"/>
                  <w:rPr>
                    <w:rFonts w:ascii="Times New Roman" w:eastAsia="Times New Roman" w:hAnsi="Times New Roman"/>
                    <w:b/>
                    <w:bCs/>
                    <w:sz w:val="12"/>
                    <w:szCs w:val="12"/>
                    <w:lang w:eastAsia="es-CO"/>
                  </w:rPr>
                </w:pPr>
                <w:r w:rsidRPr="002F30FD">
                  <w:rPr>
                    <w:rFonts w:ascii="Times New Roman" w:eastAsia="Times New Roman" w:hAnsi="Times New Roman"/>
                    <w:b/>
                    <w:bCs/>
                    <w:sz w:val="12"/>
                    <w:szCs w:val="12"/>
                    <w:lang w:eastAsia="es-CO"/>
                  </w:rPr>
                  <w:t xml:space="preserve">0 </w:t>
                </w:r>
              </w:p>
            </w:tc>
            <w:tc>
              <w:tcPr>
                <w:tcW w:w="576" w:type="pct"/>
                <w:shd w:val="clear" w:color="auto" w:fill="auto"/>
                <w:noWrap/>
                <w:vAlign w:val="center"/>
                <w:hideMark/>
              </w:tcPr>
              <w:p w14:paraId="0F9259AF" w14:textId="77777777" w:rsidR="000C447D" w:rsidRPr="002F30FD" w:rsidRDefault="000C447D">
                <w:pPr>
                  <w:spacing w:after="0" w:line="240" w:lineRule="auto"/>
                  <w:jc w:val="right"/>
                  <w:rPr>
                    <w:rFonts w:ascii="Times New Roman" w:eastAsia="Times New Roman" w:hAnsi="Times New Roman"/>
                    <w:b/>
                    <w:bCs/>
                    <w:sz w:val="12"/>
                    <w:szCs w:val="12"/>
                    <w:lang w:eastAsia="es-CO"/>
                  </w:rPr>
                </w:pPr>
                <w:r w:rsidRPr="002F30FD">
                  <w:rPr>
                    <w:rFonts w:ascii="Times New Roman" w:eastAsia="Times New Roman" w:hAnsi="Times New Roman"/>
                    <w:b/>
                    <w:bCs/>
                    <w:sz w:val="12"/>
                    <w:szCs w:val="12"/>
                    <w:lang w:eastAsia="es-CO"/>
                  </w:rPr>
                  <w:t xml:space="preserve">0 </w:t>
                </w:r>
              </w:p>
            </w:tc>
            <w:tc>
              <w:tcPr>
                <w:tcW w:w="489" w:type="pct"/>
                <w:shd w:val="clear" w:color="auto" w:fill="auto"/>
                <w:noWrap/>
                <w:vAlign w:val="center"/>
                <w:hideMark/>
              </w:tcPr>
              <w:p w14:paraId="7C8749D7" w14:textId="77777777" w:rsidR="000C447D" w:rsidRPr="002F30FD" w:rsidRDefault="000C447D">
                <w:pPr>
                  <w:spacing w:after="0" w:line="240" w:lineRule="auto"/>
                  <w:jc w:val="right"/>
                  <w:rPr>
                    <w:rFonts w:ascii="Times New Roman" w:eastAsia="Times New Roman" w:hAnsi="Times New Roman"/>
                    <w:b/>
                    <w:bCs/>
                    <w:sz w:val="12"/>
                    <w:szCs w:val="12"/>
                    <w:lang w:eastAsia="es-CO"/>
                  </w:rPr>
                </w:pPr>
                <w:r w:rsidRPr="002F30FD">
                  <w:rPr>
                    <w:rFonts w:ascii="Times New Roman" w:eastAsia="Times New Roman" w:hAnsi="Times New Roman"/>
                    <w:b/>
                    <w:bCs/>
                    <w:sz w:val="12"/>
                    <w:szCs w:val="12"/>
                    <w:lang w:eastAsia="es-CO"/>
                  </w:rPr>
                  <w:t xml:space="preserve">937.799.436 </w:t>
                </w:r>
              </w:p>
            </w:tc>
          </w:tr>
          <w:tr w:rsidR="000C447D" w:rsidRPr="00C73F43" w14:paraId="7CE5197A" w14:textId="77777777" w:rsidTr="00737144">
            <w:trPr>
              <w:trHeight w:val="300"/>
              <w:jc w:val="center"/>
            </w:trPr>
            <w:tc>
              <w:tcPr>
                <w:tcW w:w="575" w:type="pct"/>
                <w:shd w:val="clear" w:color="auto" w:fill="auto"/>
                <w:vAlign w:val="center"/>
                <w:hideMark/>
              </w:tcPr>
              <w:p w14:paraId="4D1906DC" w14:textId="77777777" w:rsidR="000C447D" w:rsidRPr="002F30FD" w:rsidRDefault="000C447D">
                <w:pPr>
                  <w:spacing w:after="0" w:line="240" w:lineRule="auto"/>
                  <w:rPr>
                    <w:rFonts w:ascii="Times New Roman" w:eastAsia="Times New Roman" w:hAnsi="Times New Roman"/>
                    <w:sz w:val="12"/>
                    <w:szCs w:val="12"/>
                    <w:lang w:eastAsia="es-CO"/>
                  </w:rPr>
                </w:pPr>
                <w:r w:rsidRPr="002F30FD">
                  <w:rPr>
                    <w:rFonts w:ascii="Times New Roman" w:eastAsia="Times New Roman" w:hAnsi="Times New Roman"/>
                    <w:sz w:val="12"/>
                    <w:szCs w:val="12"/>
                    <w:lang w:eastAsia="es-CO"/>
                  </w:rPr>
                  <w:t>Nacionales</w:t>
                </w:r>
              </w:p>
            </w:tc>
            <w:tc>
              <w:tcPr>
                <w:tcW w:w="246" w:type="pct"/>
                <w:shd w:val="clear" w:color="auto" w:fill="auto"/>
                <w:noWrap/>
                <w:vAlign w:val="center"/>
                <w:hideMark/>
              </w:tcPr>
              <w:p w14:paraId="542902C2" w14:textId="77777777" w:rsidR="000C447D" w:rsidRPr="002F30FD" w:rsidRDefault="000C447D">
                <w:pPr>
                  <w:spacing w:after="0" w:line="240" w:lineRule="auto"/>
                  <w:jc w:val="center"/>
                  <w:rPr>
                    <w:rFonts w:ascii="Times New Roman" w:eastAsia="Times New Roman" w:hAnsi="Times New Roman"/>
                    <w:sz w:val="12"/>
                    <w:szCs w:val="12"/>
                    <w:lang w:eastAsia="es-CO"/>
                  </w:rPr>
                </w:pPr>
                <w:r w:rsidRPr="002F30FD">
                  <w:rPr>
                    <w:rFonts w:ascii="Times New Roman" w:eastAsia="Times New Roman" w:hAnsi="Times New Roman"/>
                    <w:sz w:val="12"/>
                    <w:szCs w:val="12"/>
                    <w:lang w:eastAsia="es-CO"/>
                  </w:rPr>
                  <w:t>PJ</w:t>
                </w:r>
              </w:p>
            </w:tc>
            <w:tc>
              <w:tcPr>
                <w:tcW w:w="492" w:type="pct"/>
                <w:shd w:val="clear" w:color="auto" w:fill="auto"/>
                <w:noWrap/>
                <w:vAlign w:val="center"/>
                <w:hideMark/>
              </w:tcPr>
              <w:p w14:paraId="445BA857" w14:textId="77777777" w:rsidR="000C447D" w:rsidRPr="002F30FD" w:rsidRDefault="000C447D">
                <w:pPr>
                  <w:spacing w:after="0" w:line="240" w:lineRule="auto"/>
                  <w:jc w:val="center"/>
                  <w:rPr>
                    <w:rFonts w:ascii="Times New Roman" w:eastAsia="Times New Roman" w:hAnsi="Times New Roman"/>
                    <w:sz w:val="12"/>
                    <w:szCs w:val="12"/>
                    <w:lang w:eastAsia="es-CO"/>
                  </w:rPr>
                </w:pPr>
                <w:r w:rsidRPr="002F30FD">
                  <w:rPr>
                    <w:rFonts w:ascii="Times New Roman" w:eastAsia="Times New Roman" w:hAnsi="Times New Roman"/>
                    <w:sz w:val="12"/>
                    <w:szCs w:val="12"/>
                    <w:lang w:eastAsia="es-CO"/>
                  </w:rPr>
                  <w:t>1</w:t>
                </w:r>
              </w:p>
            </w:tc>
            <w:tc>
              <w:tcPr>
                <w:tcW w:w="406" w:type="pct"/>
                <w:shd w:val="clear" w:color="auto" w:fill="auto"/>
                <w:noWrap/>
                <w:vAlign w:val="center"/>
                <w:hideMark/>
              </w:tcPr>
              <w:p w14:paraId="0B55DF9C" w14:textId="77777777" w:rsidR="000C447D" w:rsidRPr="002F30FD" w:rsidRDefault="000C447D">
                <w:pPr>
                  <w:spacing w:after="0" w:line="240" w:lineRule="auto"/>
                  <w:jc w:val="right"/>
                  <w:rPr>
                    <w:rFonts w:ascii="Times New Roman" w:eastAsia="Times New Roman" w:hAnsi="Times New Roman"/>
                    <w:sz w:val="12"/>
                    <w:szCs w:val="12"/>
                    <w:lang w:eastAsia="es-CO"/>
                  </w:rPr>
                </w:pPr>
                <w:r w:rsidRPr="002F30FD">
                  <w:rPr>
                    <w:rFonts w:ascii="Times New Roman" w:eastAsia="Times New Roman" w:hAnsi="Times New Roman"/>
                    <w:sz w:val="12"/>
                    <w:szCs w:val="12"/>
                    <w:lang w:eastAsia="es-CO"/>
                  </w:rPr>
                  <w:t xml:space="preserve">0 </w:t>
                </w:r>
              </w:p>
            </w:tc>
            <w:tc>
              <w:tcPr>
                <w:tcW w:w="579" w:type="pct"/>
                <w:shd w:val="clear" w:color="auto" w:fill="auto"/>
                <w:noWrap/>
                <w:vAlign w:val="center"/>
                <w:hideMark/>
              </w:tcPr>
              <w:p w14:paraId="78701A84" w14:textId="77777777" w:rsidR="000C447D" w:rsidRPr="002F30FD" w:rsidRDefault="000C447D">
                <w:pPr>
                  <w:spacing w:after="0" w:line="240" w:lineRule="auto"/>
                  <w:jc w:val="right"/>
                  <w:rPr>
                    <w:rFonts w:ascii="Times New Roman" w:eastAsia="Times New Roman" w:hAnsi="Times New Roman"/>
                    <w:sz w:val="12"/>
                    <w:szCs w:val="12"/>
                    <w:lang w:eastAsia="es-CO"/>
                  </w:rPr>
                </w:pPr>
                <w:r w:rsidRPr="002F30FD">
                  <w:rPr>
                    <w:rFonts w:ascii="Times New Roman" w:eastAsia="Times New Roman" w:hAnsi="Times New Roman"/>
                    <w:sz w:val="12"/>
                    <w:szCs w:val="12"/>
                    <w:lang w:eastAsia="es-CO"/>
                  </w:rPr>
                  <w:t xml:space="preserve">937.799.436 </w:t>
                </w:r>
              </w:p>
            </w:tc>
            <w:tc>
              <w:tcPr>
                <w:tcW w:w="491" w:type="pct"/>
                <w:shd w:val="clear" w:color="auto" w:fill="auto"/>
                <w:noWrap/>
                <w:vAlign w:val="center"/>
                <w:hideMark/>
              </w:tcPr>
              <w:p w14:paraId="7FB638A7" w14:textId="77777777" w:rsidR="000C447D" w:rsidRPr="002F30FD" w:rsidRDefault="000C447D">
                <w:pPr>
                  <w:spacing w:after="0" w:line="240" w:lineRule="auto"/>
                  <w:jc w:val="right"/>
                  <w:rPr>
                    <w:rFonts w:ascii="Times New Roman" w:eastAsia="Times New Roman" w:hAnsi="Times New Roman"/>
                    <w:sz w:val="12"/>
                    <w:szCs w:val="12"/>
                    <w:lang w:eastAsia="es-CO"/>
                  </w:rPr>
                </w:pPr>
                <w:r w:rsidRPr="002F30FD">
                  <w:rPr>
                    <w:rFonts w:ascii="Times New Roman" w:eastAsia="Times New Roman" w:hAnsi="Times New Roman"/>
                    <w:sz w:val="12"/>
                    <w:szCs w:val="12"/>
                    <w:lang w:eastAsia="es-CO"/>
                  </w:rPr>
                  <w:t xml:space="preserve">0 </w:t>
                </w:r>
              </w:p>
            </w:tc>
            <w:tc>
              <w:tcPr>
                <w:tcW w:w="654" w:type="pct"/>
                <w:shd w:val="clear" w:color="auto" w:fill="auto"/>
                <w:noWrap/>
                <w:vAlign w:val="center"/>
                <w:hideMark/>
              </w:tcPr>
              <w:p w14:paraId="0CA864DE" w14:textId="77777777" w:rsidR="000C447D" w:rsidRPr="002F30FD" w:rsidRDefault="000C447D">
                <w:pPr>
                  <w:spacing w:after="0" w:line="240" w:lineRule="auto"/>
                  <w:jc w:val="right"/>
                  <w:rPr>
                    <w:rFonts w:ascii="Times New Roman" w:eastAsia="Times New Roman" w:hAnsi="Times New Roman"/>
                    <w:sz w:val="12"/>
                    <w:szCs w:val="12"/>
                    <w:lang w:eastAsia="es-CO"/>
                  </w:rPr>
                </w:pPr>
                <w:r w:rsidRPr="002F30FD">
                  <w:rPr>
                    <w:rFonts w:ascii="Times New Roman" w:eastAsia="Times New Roman" w:hAnsi="Times New Roman"/>
                    <w:sz w:val="12"/>
                    <w:szCs w:val="12"/>
                    <w:lang w:eastAsia="es-CO"/>
                  </w:rPr>
                  <w:t xml:space="preserve">0 </w:t>
                </w:r>
              </w:p>
            </w:tc>
            <w:tc>
              <w:tcPr>
                <w:tcW w:w="491" w:type="pct"/>
                <w:shd w:val="clear" w:color="auto" w:fill="auto"/>
                <w:noWrap/>
                <w:vAlign w:val="center"/>
                <w:hideMark/>
              </w:tcPr>
              <w:p w14:paraId="3332586A" w14:textId="77777777" w:rsidR="000C447D" w:rsidRPr="002F30FD" w:rsidRDefault="000C447D">
                <w:pPr>
                  <w:spacing w:after="0" w:line="240" w:lineRule="auto"/>
                  <w:jc w:val="right"/>
                  <w:rPr>
                    <w:rFonts w:ascii="Times New Roman" w:eastAsia="Times New Roman" w:hAnsi="Times New Roman"/>
                    <w:sz w:val="12"/>
                    <w:szCs w:val="12"/>
                    <w:lang w:eastAsia="es-CO"/>
                  </w:rPr>
                </w:pPr>
                <w:r w:rsidRPr="002F30FD">
                  <w:rPr>
                    <w:rFonts w:ascii="Times New Roman" w:eastAsia="Times New Roman" w:hAnsi="Times New Roman"/>
                    <w:sz w:val="12"/>
                    <w:szCs w:val="12"/>
                    <w:lang w:eastAsia="es-CO"/>
                  </w:rPr>
                  <w:t xml:space="preserve">0 </w:t>
                </w:r>
              </w:p>
            </w:tc>
            <w:tc>
              <w:tcPr>
                <w:tcW w:w="576" w:type="pct"/>
                <w:shd w:val="clear" w:color="auto" w:fill="auto"/>
                <w:noWrap/>
                <w:vAlign w:val="center"/>
                <w:hideMark/>
              </w:tcPr>
              <w:p w14:paraId="2D76A417" w14:textId="77777777" w:rsidR="000C447D" w:rsidRPr="002F30FD" w:rsidRDefault="000C447D">
                <w:pPr>
                  <w:spacing w:after="0" w:line="240" w:lineRule="auto"/>
                  <w:jc w:val="right"/>
                  <w:rPr>
                    <w:rFonts w:ascii="Times New Roman" w:eastAsia="Times New Roman" w:hAnsi="Times New Roman"/>
                    <w:sz w:val="12"/>
                    <w:szCs w:val="12"/>
                    <w:lang w:eastAsia="es-CO"/>
                  </w:rPr>
                </w:pPr>
                <w:r w:rsidRPr="002F30FD">
                  <w:rPr>
                    <w:rFonts w:ascii="Times New Roman" w:eastAsia="Times New Roman" w:hAnsi="Times New Roman"/>
                    <w:sz w:val="12"/>
                    <w:szCs w:val="12"/>
                    <w:lang w:eastAsia="es-CO"/>
                  </w:rPr>
                  <w:t xml:space="preserve">0 </w:t>
                </w:r>
              </w:p>
            </w:tc>
            <w:tc>
              <w:tcPr>
                <w:tcW w:w="489" w:type="pct"/>
                <w:shd w:val="clear" w:color="auto" w:fill="auto"/>
                <w:noWrap/>
                <w:vAlign w:val="center"/>
                <w:hideMark/>
              </w:tcPr>
              <w:p w14:paraId="3B81C811" w14:textId="77777777" w:rsidR="000C447D" w:rsidRPr="002F30FD" w:rsidRDefault="000C447D">
                <w:pPr>
                  <w:spacing w:after="0" w:line="240" w:lineRule="auto"/>
                  <w:jc w:val="right"/>
                  <w:rPr>
                    <w:rFonts w:ascii="Times New Roman" w:eastAsia="Times New Roman" w:hAnsi="Times New Roman"/>
                    <w:sz w:val="12"/>
                    <w:szCs w:val="12"/>
                    <w:lang w:eastAsia="es-CO"/>
                  </w:rPr>
                </w:pPr>
                <w:r w:rsidRPr="002F30FD">
                  <w:rPr>
                    <w:rFonts w:ascii="Times New Roman" w:eastAsia="Times New Roman" w:hAnsi="Times New Roman"/>
                    <w:sz w:val="12"/>
                    <w:szCs w:val="12"/>
                    <w:lang w:eastAsia="es-CO"/>
                  </w:rPr>
                  <w:t xml:space="preserve">937.799.436 </w:t>
                </w:r>
              </w:p>
            </w:tc>
          </w:tr>
        </w:tbl>
        <w:p w14:paraId="4BC6C5B2" w14:textId="77777777" w:rsidR="00E66DE3" w:rsidRDefault="00E66DE3" w:rsidP="00E06ED7">
          <w:pPr>
            <w:autoSpaceDE w:val="0"/>
            <w:autoSpaceDN w:val="0"/>
            <w:adjustRightInd w:val="0"/>
            <w:spacing w:after="0" w:line="240" w:lineRule="auto"/>
            <w:ind w:firstLine="708"/>
            <w:jc w:val="both"/>
            <w:rPr>
              <w:rFonts w:ascii="Times New Roman" w:hAnsi="Times New Roman"/>
              <w:color w:val="000000"/>
              <w:sz w:val="24"/>
              <w:szCs w:val="24"/>
            </w:rPr>
          </w:pPr>
        </w:p>
        <w:p w14:paraId="0188AD9A" w14:textId="77777777" w:rsidR="00B56661" w:rsidRDefault="00B56661" w:rsidP="00B56661">
          <w:pPr>
            <w:autoSpaceDE w:val="0"/>
            <w:autoSpaceDN w:val="0"/>
            <w:adjustRightInd w:val="0"/>
            <w:spacing w:after="0" w:line="240" w:lineRule="auto"/>
            <w:jc w:val="both"/>
            <w:rPr>
              <w:rFonts w:ascii="Times New Roman" w:eastAsiaTheme="minorHAnsi" w:hAnsi="Times New Roman"/>
              <w:sz w:val="24"/>
              <w:szCs w:val="24"/>
              <w14:ligatures w14:val="standardContextual"/>
            </w:rPr>
          </w:pPr>
          <w:r w:rsidRPr="008F76C1">
            <w:rPr>
              <w:rFonts w:ascii="Times New Roman" w:eastAsiaTheme="minorHAnsi" w:hAnsi="Times New Roman"/>
              <w:sz w:val="24"/>
              <w:szCs w:val="24"/>
              <w14:ligatures w14:val="standardContextual"/>
            </w:rPr>
            <w:t>De acuerdo con lo establecido en el parágrafo segundo del numeral cuarto del Acuerdo</w:t>
          </w:r>
          <w:r>
            <w:rPr>
              <w:rFonts w:ascii="Times New Roman" w:eastAsiaTheme="minorHAnsi" w:hAnsi="Times New Roman"/>
              <w:sz w:val="24"/>
              <w:szCs w:val="24"/>
              <w14:ligatures w14:val="standardContextual"/>
            </w:rPr>
            <w:t xml:space="preserve"> </w:t>
          </w:r>
          <w:r w:rsidRPr="008F76C1">
            <w:rPr>
              <w:rFonts w:ascii="Times New Roman" w:eastAsiaTheme="minorHAnsi" w:hAnsi="Times New Roman"/>
              <w:sz w:val="24"/>
              <w:szCs w:val="24"/>
              <w14:ligatures w14:val="standardContextual"/>
            </w:rPr>
            <w:t>suscrito entre la AGENCIA NACIONAL DE INFRAESTRUCTURA – ANI y los</w:t>
          </w:r>
          <w:r>
            <w:rPr>
              <w:rFonts w:ascii="Times New Roman" w:eastAsiaTheme="minorHAnsi" w:hAnsi="Times New Roman"/>
              <w:sz w:val="24"/>
              <w:szCs w:val="24"/>
              <w14:ligatures w14:val="standardContextual"/>
            </w:rPr>
            <w:t xml:space="preserve"> </w:t>
          </w:r>
          <w:r w:rsidRPr="008F76C1">
            <w:rPr>
              <w:rFonts w:ascii="Times New Roman" w:eastAsiaTheme="minorHAnsi" w:hAnsi="Times New Roman"/>
              <w:sz w:val="24"/>
              <w:szCs w:val="24"/>
              <w14:ligatures w14:val="standardContextual"/>
            </w:rPr>
            <w:t>concesionarios</w:t>
          </w:r>
          <w:r>
            <w:rPr>
              <w:rFonts w:ascii="Times New Roman" w:eastAsiaTheme="minorHAnsi" w:hAnsi="Times New Roman"/>
              <w:sz w:val="24"/>
              <w:szCs w:val="24"/>
              <w14:ligatures w14:val="standardContextual"/>
            </w:rPr>
            <w:t xml:space="preserve"> </w:t>
          </w:r>
          <w:r w:rsidRPr="008F76C1">
            <w:rPr>
              <w:rFonts w:ascii="Times New Roman" w:eastAsiaTheme="minorHAnsi" w:hAnsi="Times New Roman"/>
              <w:sz w:val="24"/>
              <w:szCs w:val="24"/>
              <w14:ligatures w14:val="standardContextual"/>
            </w:rPr>
            <w:t>del modo carretero en razón de la presencia en el territorio nacional de la Pandemia del</w:t>
          </w:r>
          <w:r>
            <w:rPr>
              <w:rFonts w:ascii="Times New Roman" w:eastAsiaTheme="minorHAnsi" w:hAnsi="Times New Roman"/>
              <w:sz w:val="24"/>
              <w:szCs w:val="24"/>
              <w14:ligatures w14:val="standardContextual"/>
            </w:rPr>
            <w:t xml:space="preserve"> </w:t>
          </w:r>
          <w:r w:rsidRPr="008F76C1">
            <w:rPr>
              <w:rFonts w:ascii="Times New Roman" w:eastAsiaTheme="minorHAnsi" w:hAnsi="Times New Roman"/>
              <w:sz w:val="24"/>
              <w:szCs w:val="24"/>
              <w14:ligatures w14:val="standardContextual"/>
            </w:rPr>
            <w:t>COVID -19, aplicables al periodo de paralización del 25/03/2020 al 31/05/2020.</w:t>
          </w:r>
          <w:r>
            <w:rPr>
              <w:rFonts w:ascii="Times New Roman" w:eastAsiaTheme="minorHAnsi" w:hAnsi="Times New Roman"/>
              <w:sz w:val="24"/>
              <w:szCs w:val="24"/>
              <w14:ligatures w14:val="standardContextual"/>
            </w:rPr>
            <w:t xml:space="preserve"> </w:t>
          </w:r>
        </w:p>
        <w:p w14:paraId="7378AA75" w14:textId="77777777" w:rsidR="00B56661" w:rsidRDefault="00B56661" w:rsidP="00B56661">
          <w:pPr>
            <w:autoSpaceDE w:val="0"/>
            <w:autoSpaceDN w:val="0"/>
            <w:adjustRightInd w:val="0"/>
            <w:spacing w:after="0" w:line="240" w:lineRule="auto"/>
            <w:jc w:val="both"/>
            <w:rPr>
              <w:rFonts w:ascii="Times New Roman" w:eastAsiaTheme="minorHAnsi" w:hAnsi="Times New Roman"/>
              <w:sz w:val="24"/>
              <w:szCs w:val="24"/>
              <w14:ligatures w14:val="standardContextual"/>
            </w:rPr>
          </w:pPr>
        </w:p>
        <w:p w14:paraId="77304F93" w14:textId="77777777" w:rsidR="00B56661" w:rsidRPr="008F76C1" w:rsidRDefault="00B56661" w:rsidP="00B56661">
          <w:pPr>
            <w:autoSpaceDE w:val="0"/>
            <w:autoSpaceDN w:val="0"/>
            <w:adjustRightInd w:val="0"/>
            <w:spacing w:after="0" w:line="240" w:lineRule="auto"/>
            <w:jc w:val="both"/>
            <w:rPr>
              <w:rFonts w:ascii="Times New Roman" w:eastAsiaTheme="minorHAnsi" w:hAnsi="Times New Roman"/>
              <w:sz w:val="24"/>
              <w:szCs w:val="24"/>
              <w14:ligatures w14:val="standardContextual"/>
            </w:rPr>
          </w:pPr>
          <w:r w:rsidRPr="008F76C1">
            <w:rPr>
              <w:rFonts w:ascii="Times New Roman" w:eastAsiaTheme="minorHAnsi" w:hAnsi="Times New Roman"/>
              <w:sz w:val="24"/>
              <w:szCs w:val="24"/>
              <w14:ligatures w14:val="standardContextual"/>
            </w:rPr>
            <w:t>El 20 de septiembre de 2023 se recibió de la interventoría MAB, el oficio con radicado ANI</w:t>
          </w:r>
          <w:r>
            <w:rPr>
              <w:rFonts w:ascii="Times New Roman" w:eastAsiaTheme="minorHAnsi" w:hAnsi="Times New Roman"/>
              <w:sz w:val="24"/>
              <w:szCs w:val="24"/>
              <w14:ligatures w14:val="standardContextual"/>
            </w:rPr>
            <w:t xml:space="preserve"> </w:t>
          </w:r>
          <w:r w:rsidRPr="008F76C1">
            <w:rPr>
              <w:rFonts w:ascii="Times New Roman" w:eastAsiaTheme="minorHAnsi" w:hAnsi="Times New Roman"/>
              <w:sz w:val="24"/>
              <w:szCs w:val="24"/>
              <w14:ligatures w14:val="standardContextual"/>
            </w:rPr>
            <w:t>20234091077102 mediante el cual se emite indicando que no existe reconocimiento técnico y</w:t>
          </w:r>
          <w:r>
            <w:rPr>
              <w:rFonts w:ascii="Times New Roman" w:eastAsiaTheme="minorHAnsi" w:hAnsi="Times New Roman"/>
              <w:sz w:val="24"/>
              <w:szCs w:val="24"/>
              <w14:ligatures w14:val="standardContextual"/>
            </w:rPr>
            <w:t xml:space="preserve"> </w:t>
          </w:r>
          <w:r w:rsidRPr="008F76C1">
            <w:rPr>
              <w:rFonts w:ascii="Times New Roman" w:eastAsiaTheme="minorHAnsi" w:hAnsi="Times New Roman"/>
              <w:sz w:val="24"/>
              <w:szCs w:val="24"/>
              <w14:ligatures w14:val="standardContextual"/>
            </w:rPr>
            <w:t>tampoco financiero por los costos ociosos que se pudieron presentar por el Stand-by de la</w:t>
          </w:r>
          <w:r>
            <w:rPr>
              <w:rFonts w:ascii="Times New Roman" w:eastAsiaTheme="minorHAnsi" w:hAnsi="Times New Roman"/>
              <w:sz w:val="24"/>
              <w:szCs w:val="24"/>
              <w14:ligatures w14:val="standardContextual"/>
            </w:rPr>
            <w:t xml:space="preserve"> </w:t>
          </w:r>
          <w:r w:rsidRPr="008F76C1">
            <w:rPr>
              <w:rFonts w:ascii="Times New Roman" w:eastAsiaTheme="minorHAnsi" w:hAnsi="Times New Roman"/>
              <w:sz w:val="24"/>
              <w:szCs w:val="24"/>
              <w14:ligatures w14:val="standardContextual"/>
            </w:rPr>
            <w:t>maquinaria y por tanto desiste de su evaluación de la comunicación CZMV-2-283-0328-22</w:t>
          </w:r>
          <w:r>
            <w:rPr>
              <w:rFonts w:ascii="Times New Roman" w:eastAsiaTheme="minorHAnsi" w:hAnsi="Times New Roman"/>
              <w:sz w:val="24"/>
              <w:szCs w:val="24"/>
              <w14:ligatures w14:val="standardContextual"/>
            </w:rPr>
            <w:t xml:space="preserve"> </w:t>
          </w:r>
          <w:r w:rsidRPr="008F76C1">
            <w:rPr>
              <w:rFonts w:ascii="Times New Roman" w:eastAsiaTheme="minorHAnsi" w:hAnsi="Times New Roman"/>
              <w:sz w:val="24"/>
              <w:szCs w:val="24"/>
              <w14:ligatures w14:val="standardContextual"/>
            </w:rPr>
            <w:t>con radicado ANI 20224090453342 del 25.04.2022 y ratificada por la comunicación CZMV-2-283-0027-23 con radicado ANI 20234090158952 del 10.02.2023.</w:t>
          </w:r>
        </w:p>
        <w:p w14:paraId="1369B690" w14:textId="77777777" w:rsidR="00B56661" w:rsidRDefault="00B56661" w:rsidP="00B56661">
          <w:pPr>
            <w:autoSpaceDE w:val="0"/>
            <w:autoSpaceDN w:val="0"/>
            <w:adjustRightInd w:val="0"/>
            <w:spacing w:after="0" w:line="240" w:lineRule="auto"/>
            <w:jc w:val="both"/>
            <w:rPr>
              <w:rFonts w:ascii="Times New Roman" w:eastAsiaTheme="minorHAnsi" w:hAnsi="Times New Roman"/>
              <w:sz w:val="24"/>
              <w:szCs w:val="24"/>
              <w14:ligatures w14:val="standardContextual"/>
            </w:rPr>
          </w:pPr>
        </w:p>
        <w:p w14:paraId="598D650A" w14:textId="77777777" w:rsidR="00B56661" w:rsidRDefault="00B56661" w:rsidP="00B56661">
          <w:pPr>
            <w:autoSpaceDE w:val="0"/>
            <w:autoSpaceDN w:val="0"/>
            <w:adjustRightInd w:val="0"/>
            <w:spacing w:after="0" w:line="240" w:lineRule="auto"/>
            <w:jc w:val="both"/>
            <w:rPr>
              <w:rFonts w:ascii="Times New Roman" w:eastAsiaTheme="minorHAnsi" w:hAnsi="Times New Roman"/>
              <w:i/>
              <w:iCs/>
              <w:sz w:val="24"/>
              <w:szCs w:val="24"/>
              <w14:ligatures w14:val="standardContextual"/>
            </w:rPr>
          </w:pPr>
          <w:r w:rsidRPr="008F76C1">
            <w:rPr>
              <w:rFonts w:ascii="Times New Roman" w:eastAsiaTheme="minorHAnsi" w:hAnsi="Times New Roman"/>
              <w:sz w:val="24"/>
              <w:szCs w:val="24"/>
              <w14:ligatures w14:val="standardContextual"/>
            </w:rPr>
            <w:t>El 17 de octubre de 2023, se recibió de la interventoría el comunicado CZMV-2-283-0182-23</w:t>
          </w:r>
          <w:r>
            <w:rPr>
              <w:rFonts w:ascii="Times New Roman" w:eastAsiaTheme="minorHAnsi" w:hAnsi="Times New Roman"/>
              <w:sz w:val="24"/>
              <w:szCs w:val="24"/>
              <w14:ligatures w14:val="standardContextual"/>
            </w:rPr>
            <w:t xml:space="preserve"> </w:t>
          </w:r>
          <w:r w:rsidRPr="008F76C1">
            <w:rPr>
              <w:rFonts w:ascii="Times New Roman" w:eastAsiaTheme="minorHAnsi" w:hAnsi="Times New Roman"/>
              <w:sz w:val="24"/>
              <w:szCs w:val="24"/>
              <w14:ligatures w14:val="standardContextual"/>
            </w:rPr>
            <w:t>con radicado ANI 20234091186532 en la cual concluyen que los valores finales avalados al</w:t>
          </w:r>
          <w:r>
            <w:rPr>
              <w:rFonts w:ascii="Times New Roman" w:eastAsiaTheme="minorHAnsi" w:hAnsi="Times New Roman"/>
              <w:sz w:val="24"/>
              <w:szCs w:val="24"/>
              <w14:ligatures w14:val="standardContextual"/>
            </w:rPr>
            <w:t xml:space="preserve"> </w:t>
          </w:r>
          <w:r w:rsidRPr="008F76C1">
            <w:rPr>
              <w:rFonts w:ascii="Times New Roman" w:eastAsiaTheme="minorHAnsi" w:hAnsi="Times New Roman"/>
              <w:sz w:val="24"/>
              <w:szCs w:val="24"/>
              <w14:ligatures w14:val="standardContextual"/>
            </w:rPr>
            <w:t>CONSORCIO VIAL HELIOS como “costos ociosos”, corresponden a la suma de:</w:t>
          </w:r>
          <w:r>
            <w:rPr>
              <w:rFonts w:ascii="Times New Roman" w:eastAsiaTheme="minorHAnsi" w:hAnsi="Times New Roman"/>
              <w:sz w:val="24"/>
              <w:szCs w:val="24"/>
              <w14:ligatures w14:val="standardContextual"/>
            </w:rPr>
            <w:t xml:space="preserve"> </w:t>
          </w:r>
          <w:r w:rsidRPr="008F76C1">
            <w:rPr>
              <w:rFonts w:ascii="Times New Roman" w:eastAsiaTheme="minorHAnsi" w:hAnsi="Times New Roman"/>
              <w:i/>
              <w:iCs/>
              <w:sz w:val="24"/>
              <w:szCs w:val="24"/>
              <w14:ligatures w14:val="standardContextual"/>
            </w:rPr>
            <w:t>Novecientos Treinta y Siete Millones Setecientos Noventa y Nueve Mil Cuatrocientos Treinta y</w:t>
          </w:r>
          <w:r>
            <w:rPr>
              <w:rFonts w:ascii="Times New Roman" w:eastAsiaTheme="minorHAnsi" w:hAnsi="Times New Roman"/>
              <w:i/>
              <w:iCs/>
              <w:sz w:val="24"/>
              <w:szCs w:val="24"/>
              <w14:ligatures w14:val="standardContextual"/>
            </w:rPr>
            <w:t xml:space="preserve"> </w:t>
          </w:r>
          <w:r w:rsidRPr="008F76C1">
            <w:rPr>
              <w:rFonts w:ascii="Times New Roman" w:eastAsiaTheme="minorHAnsi" w:hAnsi="Times New Roman"/>
              <w:i/>
              <w:iCs/>
              <w:sz w:val="24"/>
              <w:szCs w:val="24"/>
              <w14:ligatures w14:val="standardContextual"/>
            </w:rPr>
            <w:t>Seis Pesos M/Cte. ($937.799.436,00)”, así:</w:t>
          </w:r>
        </w:p>
        <w:p w14:paraId="63BB8E56" w14:textId="77777777" w:rsidR="00B3269C" w:rsidRPr="008F76C1" w:rsidRDefault="00B3269C" w:rsidP="00B56661">
          <w:pPr>
            <w:autoSpaceDE w:val="0"/>
            <w:autoSpaceDN w:val="0"/>
            <w:adjustRightInd w:val="0"/>
            <w:spacing w:after="0" w:line="240" w:lineRule="auto"/>
            <w:jc w:val="both"/>
            <w:rPr>
              <w:rFonts w:ascii="Times New Roman" w:eastAsiaTheme="minorHAnsi" w:hAnsi="Times New Roman"/>
              <w:i/>
              <w:iCs/>
              <w:sz w:val="24"/>
              <w:szCs w:val="24"/>
              <w14:ligatures w14:val="standardContextual"/>
            </w:rPr>
          </w:pPr>
        </w:p>
        <w:p w14:paraId="239B0BE4" w14:textId="662B0923" w:rsidR="00E66DE3" w:rsidRDefault="008F332C" w:rsidP="00E06ED7">
          <w:pPr>
            <w:autoSpaceDE w:val="0"/>
            <w:autoSpaceDN w:val="0"/>
            <w:adjustRightInd w:val="0"/>
            <w:spacing w:after="0" w:line="240" w:lineRule="auto"/>
            <w:ind w:firstLine="708"/>
            <w:jc w:val="both"/>
            <w:rPr>
              <w:rFonts w:ascii="Times New Roman" w:hAnsi="Times New Roman"/>
              <w:color w:val="000000"/>
              <w:sz w:val="24"/>
              <w:szCs w:val="24"/>
            </w:rPr>
          </w:pPr>
          <w:r w:rsidRPr="00D859DC">
            <w:rPr>
              <w:rFonts w:ascii="Times New Roman" w:hAnsi="Times New Roman"/>
              <w:noProof/>
              <w:sz w:val="24"/>
              <w:szCs w:val="24"/>
            </w:rPr>
            <w:lastRenderedPageBreak/>
            <w:drawing>
              <wp:inline distT="0" distB="0" distL="0" distR="0" wp14:anchorId="1C0A8199" wp14:editId="5A1A840D">
                <wp:extent cx="3994150" cy="2139315"/>
                <wp:effectExtent l="0" t="0" r="6350" b="0"/>
                <wp:docPr id="19580862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086266"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94150" cy="2139315"/>
                        </a:xfrm>
                        <a:prstGeom prst="rect">
                          <a:avLst/>
                        </a:prstGeom>
                        <a:noFill/>
                        <a:ln>
                          <a:noFill/>
                        </a:ln>
                      </pic:spPr>
                    </pic:pic>
                  </a:graphicData>
                </a:graphic>
              </wp:inline>
            </w:drawing>
          </w:r>
        </w:p>
        <w:p w14:paraId="40DA0C36" w14:textId="0813431F" w:rsidR="00B3269C" w:rsidRDefault="00B3269C" w:rsidP="00E06ED7">
          <w:pPr>
            <w:autoSpaceDE w:val="0"/>
            <w:autoSpaceDN w:val="0"/>
            <w:adjustRightInd w:val="0"/>
            <w:spacing w:after="0" w:line="240" w:lineRule="auto"/>
            <w:ind w:firstLine="708"/>
            <w:jc w:val="both"/>
            <w:rPr>
              <w:rFonts w:ascii="Times New Roman" w:hAnsi="Times New Roman"/>
              <w:color w:val="000000"/>
              <w:sz w:val="24"/>
              <w:szCs w:val="24"/>
            </w:rPr>
          </w:pPr>
          <w:r>
            <w:rPr>
              <w:noProof/>
              <w14:ligatures w14:val="standardContextual"/>
            </w:rPr>
            <w:drawing>
              <wp:inline distT="0" distB="0" distL="0" distR="0" wp14:anchorId="6602A505" wp14:editId="0E81A9D4">
                <wp:extent cx="4008727" cy="923290"/>
                <wp:effectExtent l="0" t="0" r="0" b="0"/>
                <wp:docPr id="913720850"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20850" name="Imagen 1" descr="Tabla&#10;&#10;Descripción generada automáticamente"/>
                        <pic:cNvPicPr/>
                      </pic:nvPicPr>
                      <pic:blipFill rotWithShape="1">
                        <a:blip r:embed="rId15"/>
                        <a:srcRect t="28635"/>
                        <a:stretch/>
                      </pic:blipFill>
                      <pic:spPr bwMode="auto">
                        <a:xfrm>
                          <a:off x="0" y="0"/>
                          <a:ext cx="4028028" cy="927735"/>
                        </a:xfrm>
                        <a:prstGeom prst="rect">
                          <a:avLst/>
                        </a:prstGeom>
                        <a:ln>
                          <a:noFill/>
                        </a:ln>
                        <a:extLst>
                          <a:ext uri="{53640926-AAD7-44D8-BBD7-CCE9431645EC}">
                            <a14:shadowObscured xmlns:a14="http://schemas.microsoft.com/office/drawing/2010/main"/>
                          </a:ext>
                        </a:extLst>
                      </pic:spPr>
                    </pic:pic>
                  </a:graphicData>
                </a:graphic>
              </wp:inline>
            </w:drawing>
          </w:r>
        </w:p>
        <w:p w14:paraId="0E23F596" w14:textId="77777777" w:rsidR="00E66DE3" w:rsidRDefault="00E66DE3" w:rsidP="00E06ED7">
          <w:pPr>
            <w:autoSpaceDE w:val="0"/>
            <w:autoSpaceDN w:val="0"/>
            <w:adjustRightInd w:val="0"/>
            <w:spacing w:after="0" w:line="240" w:lineRule="auto"/>
            <w:ind w:firstLine="708"/>
            <w:jc w:val="both"/>
            <w:rPr>
              <w:rFonts w:ascii="Times New Roman" w:hAnsi="Times New Roman"/>
              <w:color w:val="000000"/>
              <w:sz w:val="24"/>
              <w:szCs w:val="24"/>
            </w:rPr>
          </w:pPr>
        </w:p>
        <w:p w14:paraId="5250EF9D" w14:textId="77777777" w:rsidR="00F22DFC" w:rsidRDefault="00F22DFC" w:rsidP="00F22DFC">
          <w:pPr>
            <w:autoSpaceDE w:val="0"/>
            <w:autoSpaceDN w:val="0"/>
            <w:adjustRightInd w:val="0"/>
            <w:spacing w:after="0" w:line="240" w:lineRule="auto"/>
            <w:jc w:val="both"/>
            <w:rPr>
              <w:rFonts w:ascii="Times New Roman" w:eastAsiaTheme="minorHAnsi" w:hAnsi="Times New Roman"/>
              <w:sz w:val="24"/>
              <w:szCs w:val="24"/>
              <w14:ligatures w14:val="standardContextual"/>
            </w:rPr>
          </w:pPr>
          <w:r w:rsidRPr="0061166E">
            <w:rPr>
              <w:rFonts w:ascii="Times New Roman" w:eastAsiaTheme="minorHAnsi" w:hAnsi="Times New Roman"/>
              <w:sz w:val="24"/>
              <w:szCs w:val="24"/>
              <w14:ligatures w14:val="standardContextual"/>
            </w:rPr>
            <w:t xml:space="preserve">Teniendo en cuenta que a la fecha de presentación </w:t>
          </w:r>
          <w:r>
            <w:rPr>
              <w:rFonts w:ascii="Times New Roman" w:eastAsiaTheme="minorHAnsi" w:hAnsi="Times New Roman"/>
              <w:sz w:val="24"/>
              <w:szCs w:val="24"/>
              <w14:ligatures w14:val="standardContextual"/>
            </w:rPr>
            <w:t xml:space="preserve">de las Notas a los Estados Financiero de la vigencia 2023, </w:t>
          </w:r>
          <w:r w:rsidRPr="0061166E">
            <w:rPr>
              <w:rFonts w:ascii="Times New Roman" w:eastAsiaTheme="minorHAnsi" w:hAnsi="Times New Roman"/>
              <w:sz w:val="24"/>
              <w:szCs w:val="24"/>
              <w14:ligatures w14:val="standardContextual"/>
            </w:rPr>
            <w:t>ya se dio la</w:t>
          </w:r>
          <w:r>
            <w:rPr>
              <w:rFonts w:ascii="Times New Roman" w:eastAsiaTheme="minorHAnsi" w:hAnsi="Times New Roman"/>
              <w:sz w:val="24"/>
              <w:szCs w:val="24"/>
              <w14:ligatures w14:val="standardContextual"/>
            </w:rPr>
            <w:t xml:space="preserve"> </w:t>
          </w:r>
          <w:r w:rsidRPr="0061166E">
            <w:rPr>
              <w:rFonts w:ascii="Times New Roman" w:eastAsiaTheme="minorHAnsi" w:hAnsi="Times New Roman"/>
              <w:sz w:val="24"/>
              <w:szCs w:val="24"/>
              <w14:ligatures w14:val="standardContextual"/>
            </w:rPr>
            <w:t>suscripción del acta de liquidación del contrato de concesión, se establece el uso de los</w:t>
          </w:r>
          <w:r>
            <w:rPr>
              <w:rFonts w:ascii="Times New Roman" w:eastAsiaTheme="minorHAnsi" w:hAnsi="Times New Roman"/>
              <w:sz w:val="24"/>
              <w:szCs w:val="24"/>
              <w14:ligatures w14:val="standardContextual"/>
            </w:rPr>
            <w:t xml:space="preserve"> </w:t>
          </w:r>
          <w:r w:rsidRPr="0061166E">
            <w:rPr>
              <w:rFonts w:ascii="Times New Roman" w:eastAsiaTheme="minorHAnsi" w:hAnsi="Times New Roman"/>
              <w:sz w:val="24"/>
              <w:szCs w:val="24"/>
              <w14:ligatures w14:val="standardContextual"/>
            </w:rPr>
            <w:t>recursos disponibles en el Patrimonio Autónomo para realizar un abono a las sumas de las</w:t>
          </w:r>
          <w:r>
            <w:rPr>
              <w:rFonts w:ascii="Times New Roman" w:eastAsiaTheme="minorHAnsi" w:hAnsi="Times New Roman"/>
              <w:sz w:val="24"/>
              <w:szCs w:val="24"/>
              <w14:ligatures w14:val="standardContextual"/>
            </w:rPr>
            <w:t xml:space="preserve"> </w:t>
          </w:r>
          <w:r w:rsidRPr="0061166E">
            <w:rPr>
              <w:rFonts w:ascii="Times New Roman" w:eastAsiaTheme="minorHAnsi" w:hAnsi="Times New Roman"/>
              <w:sz w:val="24"/>
              <w:szCs w:val="24"/>
              <w14:ligatures w14:val="standardContextual"/>
            </w:rPr>
            <w:t>condenas</w:t>
          </w:r>
          <w:r>
            <w:rPr>
              <w:rFonts w:ascii="Times New Roman" w:eastAsiaTheme="minorHAnsi" w:hAnsi="Times New Roman"/>
              <w:sz w:val="24"/>
              <w:szCs w:val="24"/>
              <w14:ligatures w14:val="standardContextual"/>
            </w:rPr>
            <w:t xml:space="preserve"> a nombre del Consorcio Vial Helios </w:t>
          </w:r>
          <w:r w:rsidRPr="0061166E">
            <w:rPr>
              <w:rFonts w:ascii="Times New Roman" w:eastAsiaTheme="minorHAnsi" w:hAnsi="Times New Roman"/>
              <w:sz w:val="24"/>
              <w:szCs w:val="24"/>
              <w14:ligatures w14:val="standardContextual"/>
            </w:rPr>
            <w:t>durante la vigencia 2024.</w:t>
          </w:r>
        </w:p>
        <w:p w14:paraId="72E9A46B" w14:textId="77777777" w:rsidR="00E66DE3" w:rsidRDefault="00E66DE3" w:rsidP="00024DE7">
          <w:pPr>
            <w:autoSpaceDE w:val="0"/>
            <w:autoSpaceDN w:val="0"/>
            <w:adjustRightInd w:val="0"/>
            <w:spacing w:after="0" w:line="240" w:lineRule="auto"/>
            <w:jc w:val="both"/>
            <w:rPr>
              <w:rFonts w:ascii="Times New Roman" w:hAnsi="Times New Roman"/>
              <w:color w:val="000000"/>
              <w:sz w:val="24"/>
              <w:szCs w:val="24"/>
            </w:rPr>
          </w:pPr>
        </w:p>
        <w:p w14:paraId="08558181" w14:textId="77777777" w:rsidR="00E66DE3" w:rsidRPr="00931DCE" w:rsidRDefault="00E66DE3" w:rsidP="00E06ED7">
          <w:pPr>
            <w:autoSpaceDE w:val="0"/>
            <w:autoSpaceDN w:val="0"/>
            <w:adjustRightInd w:val="0"/>
            <w:spacing w:after="0" w:line="240" w:lineRule="auto"/>
            <w:ind w:firstLine="708"/>
            <w:jc w:val="both"/>
            <w:rPr>
              <w:rFonts w:ascii="Times New Roman" w:hAnsi="Times New Roman"/>
              <w:color w:val="000000"/>
              <w:sz w:val="24"/>
              <w:szCs w:val="24"/>
            </w:rPr>
          </w:pPr>
        </w:p>
        <w:p w14:paraId="7FA14B05" w14:textId="2988A36D" w:rsidR="00C35F05" w:rsidRPr="00931DCE" w:rsidRDefault="00C35F05" w:rsidP="004A000E">
          <w:pPr>
            <w:pStyle w:val="Ttulo1"/>
            <w:rPr>
              <w:rFonts w:cs="Times New Roman"/>
            </w:rPr>
          </w:pPr>
          <w:bookmarkStart w:id="77" w:name="_Toc159952413"/>
          <w:r w:rsidRPr="00931DCE">
            <w:rPr>
              <w:rFonts w:cs="Times New Roman"/>
            </w:rPr>
            <w:t>NOTA 2</w:t>
          </w:r>
          <w:r w:rsidR="00521FE4" w:rsidRPr="00931DCE">
            <w:rPr>
              <w:rFonts w:cs="Times New Roman"/>
            </w:rPr>
            <w:t>4</w:t>
          </w:r>
          <w:r w:rsidRPr="00931DCE">
            <w:rPr>
              <w:rFonts w:cs="Times New Roman"/>
            </w:rPr>
            <w:t>. OTROS PASIVOS</w:t>
          </w:r>
          <w:bookmarkEnd w:id="77"/>
        </w:p>
        <w:p w14:paraId="69C7F6ED" w14:textId="77777777" w:rsidR="00C35F05" w:rsidRPr="00931DCE" w:rsidRDefault="00C35F05" w:rsidP="004A000E">
          <w:pPr>
            <w:spacing w:after="0" w:line="240" w:lineRule="auto"/>
            <w:jc w:val="both"/>
            <w:rPr>
              <w:rFonts w:ascii="Times New Roman" w:hAnsi="Times New Roman"/>
              <w:b/>
              <w:sz w:val="24"/>
              <w:szCs w:val="24"/>
            </w:rPr>
          </w:pPr>
        </w:p>
        <w:p w14:paraId="3758C288" w14:textId="49BC179F" w:rsidR="00C35F05" w:rsidRPr="00931DCE" w:rsidRDefault="00C35F05" w:rsidP="004A000E">
          <w:pPr>
            <w:pStyle w:val="Ttulo2"/>
            <w:numPr>
              <w:ilvl w:val="0"/>
              <w:numId w:val="0"/>
            </w:numPr>
            <w:rPr>
              <w:rFonts w:cs="Times New Roman"/>
              <w:szCs w:val="22"/>
            </w:rPr>
          </w:pPr>
          <w:bookmarkStart w:id="78" w:name="_Toc159952414"/>
          <w:r w:rsidRPr="00931DCE">
            <w:rPr>
              <w:rFonts w:cs="Times New Roman"/>
              <w:szCs w:val="22"/>
            </w:rPr>
            <w:t>Composición</w:t>
          </w:r>
          <w:bookmarkEnd w:id="78"/>
        </w:p>
        <w:p w14:paraId="632BAC7A" w14:textId="6A38FD8A" w:rsidR="00C35F05" w:rsidRPr="00931DCE" w:rsidRDefault="00C35F05" w:rsidP="00376E7E">
          <w:pPr>
            <w:spacing w:after="0" w:line="240" w:lineRule="auto"/>
            <w:jc w:val="both"/>
            <w:rPr>
              <w:rFonts w:ascii="Times New Roman" w:hAnsi="Times New Roman"/>
              <w:b/>
              <w:sz w:val="24"/>
              <w:szCs w:val="24"/>
            </w:rPr>
          </w:pPr>
        </w:p>
        <w:p w14:paraId="0F43C7E1" w14:textId="77777777" w:rsidR="00376E7E" w:rsidRPr="00931DCE" w:rsidRDefault="00376E7E" w:rsidP="00376E7E">
          <w:pPr>
            <w:spacing w:after="0" w:line="240" w:lineRule="auto"/>
            <w:jc w:val="both"/>
            <w:rPr>
              <w:rFonts w:ascii="Times New Roman" w:hAnsi="Times New Roman"/>
              <w:bCs/>
              <w:sz w:val="24"/>
              <w:szCs w:val="24"/>
            </w:rPr>
          </w:pPr>
          <w:r w:rsidRPr="00931DCE">
            <w:rPr>
              <w:rFonts w:ascii="Times New Roman" w:hAnsi="Times New Roman"/>
              <w:bCs/>
              <w:sz w:val="24"/>
              <w:szCs w:val="24"/>
            </w:rPr>
            <w:t>Este grupo representa las obligaciones contraídas por la entidad en lo referente a los recursos recibidos en Administración y otros Pasivos diferidos.</w:t>
          </w:r>
        </w:p>
        <w:p w14:paraId="3657A907" w14:textId="77777777" w:rsidR="00376E7E" w:rsidRPr="00931DCE" w:rsidRDefault="00376E7E" w:rsidP="00376E7E">
          <w:pPr>
            <w:spacing w:after="0" w:line="240" w:lineRule="auto"/>
            <w:jc w:val="both"/>
            <w:rPr>
              <w:rFonts w:ascii="Times New Roman" w:hAnsi="Times New Roman"/>
              <w:bCs/>
              <w:sz w:val="24"/>
              <w:szCs w:val="24"/>
            </w:rPr>
          </w:pPr>
        </w:p>
        <w:p w14:paraId="44CBFE13" w14:textId="1916DDAC" w:rsidR="00162331" w:rsidRPr="00931DCE" w:rsidRDefault="00162331" w:rsidP="57C88483">
          <w:pPr>
            <w:spacing w:after="0" w:line="240" w:lineRule="auto"/>
            <w:jc w:val="both"/>
            <w:rPr>
              <w:rFonts w:ascii="Times New Roman" w:hAnsi="Times New Roman"/>
              <w:sz w:val="14"/>
              <w:szCs w:val="14"/>
            </w:rPr>
          </w:pPr>
        </w:p>
        <w:tbl>
          <w:tblPr>
            <w:tblW w:w="5000" w:type="pct"/>
            <w:jc w:val="center"/>
            <w:tblLook w:val="04A0" w:firstRow="1" w:lastRow="0" w:firstColumn="1" w:lastColumn="0" w:noHBand="0" w:noVBand="1"/>
          </w:tblPr>
          <w:tblGrid>
            <w:gridCol w:w="1193"/>
            <w:gridCol w:w="2415"/>
            <w:gridCol w:w="1810"/>
            <w:gridCol w:w="1726"/>
            <w:gridCol w:w="1815"/>
          </w:tblGrid>
          <w:tr w:rsidR="764167EB" w14:paraId="300E0ADD" w14:textId="77777777" w:rsidTr="009A5B88">
            <w:trPr>
              <w:trHeight w:val="451"/>
              <w:jc w:val="center"/>
            </w:trPr>
            <w:tc>
              <w:tcPr>
                <w:tcW w:w="2014" w:type="pct"/>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6B7AECBB" w14:textId="56A23E9F" w:rsidR="764167EB" w:rsidRPr="009A46BB" w:rsidRDefault="764167EB" w:rsidP="764167EB">
                <w:pPr>
                  <w:spacing w:after="0"/>
                  <w:ind w:left="-20" w:right="-20"/>
                  <w:jc w:val="center"/>
                  <w:rPr>
                    <w:rFonts w:ascii="Times New Roman" w:hAnsi="Times New Roman"/>
                    <w:sz w:val="18"/>
                    <w:szCs w:val="18"/>
                  </w:rPr>
                </w:pPr>
                <w:r w:rsidRPr="009A46BB">
                  <w:rPr>
                    <w:rFonts w:ascii="Times New Roman" w:eastAsia="Times New Roman" w:hAnsi="Times New Roman"/>
                    <w:b/>
                    <w:sz w:val="18"/>
                    <w:szCs w:val="18"/>
                  </w:rPr>
                  <w:t>DESCRIPCIÓN</w:t>
                </w:r>
              </w:p>
            </w:tc>
            <w:tc>
              <w:tcPr>
                <w:tcW w:w="1973" w:type="pct"/>
                <w:gridSpan w:val="2"/>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Mar>
                  <w:left w:w="70" w:type="dxa"/>
                  <w:right w:w="70" w:type="dxa"/>
                </w:tcMar>
                <w:vAlign w:val="center"/>
              </w:tcPr>
              <w:p w14:paraId="0EC2D427" w14:textId="1224C319" w:rsidR="764167EB" w:rsidRPr="009A46BB" w:rsidRDefault="764167EB" w:rsidP="764167EB">
                <w:pPr>
                  <w:spacing w:after="0"/>
                  <w:ind w:left="-20" w:right="-20"/>
                  <w:jc w:val="center"/>
                  <w:rPr>
                    <w:rFonts w:ascii="Times New Roman" w:hAnsi="Times New Roman"/>
                    <w:sz w:val="18"/>
                    <w:szCs w:val="18"/>
                  </w:rPr>
                </w:pPr>
                <w:r w:rsidRPr="009A46BB">
                  <w:rPr>
                    <w:rFonts w:ascii="Times New Roman" w:eastAsia="Times New Roman" w:hAnsi="Times New Roman"/>
                    <w:b/>
                    <w:sz w:val="18"/>
                    <w:szCs w:val="18"/>
                  </w:rPr>
                  <w:t>SALDOS A CORTES DE VIGENCIA</w:t>
                </w:r>
              </w:p>
            </w:tc>
            <w:tc>
              <w:tcPr>
                <w:tcW w:w="1014"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Mar>
                  <w:left w:w="70" w:type="dxa"/>
                  <w:right w:w="70" w:type="dxa"/>
                </w:tcMar>
                <w:vAlign w:val="center"/>
              </w:tcPr>
              <w:p w14:paraId="47B60829" w14:textId="148A0FE0" w:rsidR="764167EB" w:rsidRPr="009A46BB" w:rsidRDefault="764167EB" w:rsidP="764167EB">
                <w:pPr>
                  <w:spacing w:after="0"/>
                  <w:ind w:left="-20" w:right="-20"/>
                  <w:jc w:val="center"/>
                  <w:rPr>
                    <w:rFonts w:ascii="Times New Roman" w:hAnsi="Times New Roman"/>
                    <w:sz w:val="18"/>
                    <w:szCs w:val="18"/>
                  </w:rPr>
                </w:pPr>
                <w:r w:rsidRPr="009A46BB">
                  <w:rPr>
                    <w:rFonts w:ascii="Times New Roman" w:eastAsia="Times New Roman" w:hAnsi="Times New Roman"/>
                    <w:b/>
                    <w:sz w:val="18"/>
                    <w:szCs w:val="18"/>
                  </w:rPr>
                  <w:t>VARIACIÓN</w:t>
                </w:r>
              </w:p>
            </w:tc>
          </w:tr>
          <w:tr w:rsidR="764167EB" w14:paraId="7E70A3A1" w14:textId="77777777" w:rsidTr="009A5B88">
            <w:trPr>
              <w:trHeight w:val="555"/>
              <w:jc w:val="center"/>
            </w:trPr>
            <w:tc>
              <w:tcPr>
                <w:tcW w:w="666"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1414C56E" w14:textId="3C91F56B" w:rsidR="764167EB" w:rsidRPr="009A46BB" w:rsidRDefault="764167EB" w:rsidP="764167EB">
                <w:pPr>
                  <w:spacing w:after="0"/>
                  <w:ind w:left="-20" w:right="-20"/>
                  <w:jc w:val="center"/>
                  <w:rPr>
                    <w:rFonts w:ascii="Times New Roman" w:hAnsi="Times New Roman"/>
                    <w:sz w:val="18"/>
                    <w:szCs w:val="18"/>
                  </w:rPr>
                </w:pPr>
                <w:r w:rsidRPr="009A46BB">
                  <w:rPr>
                    <w:rFonts w:ascii="Times New Roman" w:eastAsia="Times New Roman" w:hAnsi="Times New Roman"/>
                    <w:b/>
                    <w:sz w:val="18"/>
                    <w:szCs w:val="18"/>
                  </w:rPr>
                  <w:t>CÓDIGO CONTABLE</w:t>
                </w:r>
              </w:p>
            </w:tc>
            <w:tc>
              <w:tcPr>
                <w:tcW w:w="1348" w:type="pct"/>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70B5343E" w14:textId="54B25710" w:rsidR="764167EB" w:rsidRPr="009A46BB" w:rsidRDefault="764167EB" w:rsidP="764167EB">
                <w:pPr>
                  <w:spacing w:after="0"/>
                  <w:ind w:left="-20" w:right="-20"/>
                  <w:jc w:val="center"/>
                  <w:rPr>
                    <w:rFonts w:ascii="Times New Roman" w:hAnsi="Times New Roman"/>
                    <w:sz w:val="18"/>
                    <w:szCs w:val="18"/>
                  </w:rPr>
                </w:pPr>
                <w:r w:rsidRPr="009A46BB">
                  <w:rPr>
                    <w:rFonts w:ascii="Times New Roman" w:eastAsia="Times New Roman" w:hAnsi="Times New Roman"/>
                    <w:b/>
                    <w:sz w:val="18"/>
                    <w:szCs w:val="18"/>
                  </w:rPr>
                  <w:t>CONCEPTO</w:t>
                </w:r>
              </w:p>
            </w:tc>
            <w:tc>
              <w:tcPr>
                <w:tcW w:w="101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26E22FEE" w14:textId="5962E415" w:rsidR="764167EB" w:rsidRPr="009A46BB" w:rsidRDefault="764167EB" w:rsidP="764167EB">
                <w:pPr>
                  <w:spacing w:after="0"/>
                  <w:ind w:left="-20" w:right="-20"/>
                  <w:jc w:val="center"/>
                  <w:rPr>
                    <w:rFonts w:ascii="Times New Roman" w:hAnsi="Times New Roman"/>
                    <w:sz w:val="18"/>
                    <w:szCs w:val="18"/>
                  </w:rPr>
                </w:pPr>
                <w:r w:rsidRPr="009A46BB">
                  <w:rPr>
                    <w:rFonts w:ascii="Times New Roman" w:eastAsia="Times New Roman" w:hAnsi="Times New Roman"/>
                    <w:b/>
                    <w:sz w:val="18"/>
                    <w:szCs w:val="18"/>
                  </w:rPr>
                  <w:t xml:space="preserve">2023 </w:t>
                </w:r>
              </w:p>
            </w:tc>
            <w:tc>
              <w:tcPr>
                <w:tcW w:w="963" w:type="pct"/>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6A435F9A" w14:textId="3D3C4700" w:rsidR="764167EB" w:rsidRPr="009A46BB" w:rsidRDefault="764167EB" w:rsidP="764167EB">
                <w:pPr>
                  <w:spacing w:after="0"/>
                  <w:ind w:left="-20" w:right="-20"/>
                  <w:jc w:val="center"/>
                  <w:rPr>
                    <w:rFonts w:ascii="Times New Roman" w:hAnsi="Times New Roman"/>
                    <w:sz w:val="18"/>
                    <w:szCs w:val="18"/>
                  </w:rPr>
                </w:pPr>
                <w:r w:rsidRPr="009A46BB">
                  <w:rPr>
                    <w:rFonts w:ascii="Times New Roman" w:eastAsia="Times New Roman" w:hAnsi="Times New Roman"/>
                    <w:b/>
                    <w:sz w:val="18"/>
                    <w:szCs w:val="18"/>
                  </w:rPr>
                  <w:t xml:space="preserve">2022 </w:t>
                </w:r>
              </w:p>
            </w:tc>
            <w:tc>
              <w:tcPr>
                <w:tcW w:w="1014"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514357E1" w14:textId="71A8D6D8" w:rsidR="764167EB" w:rsidRPr="009A46BB" w:rsidRDefault="764167EB" w:rsidP="764167EB">
                <w:pPr>
                  <w:spacing w:after="0"/>
                  <w:ind w:left="-20" w:right="-20"/>
                  <w:jc w:val="center"/>
                  <w:rPr>
                    <w:rFonts w:ascii="Times New Roman" w:hAnsi="Times New Roman"/>
                    <w:sz w:val="18"/>
                    <w:szCs w:val="18"/>
                  </w:rPr>
                </w:pPr>
                <w:r w:rsidRPr="009A46BB">
                  <w:rPr>
                    <w:rFonts w:ascii="Times New Roman" w:eastAsia="Times New Roman" w:hAnsi="Times New Roman"/>
                    <w:b/>
                    <w:sz w:val="18"/>
                    <w:szCs w:val="18"/>
                  </w:rPr>
                  <w:t>VALOR VARIACIÓN</w:t>
                </w:r>
              </w:p>
            </w:tc>
          </w:tr>
          <w:tr w:rsidR="764167EB" w14:paraId="35B318F8" w14:textId="77777777" w:rsidTr="009A5B88">
            <w:trPr>
              <w:trHeight w:val="270"/>
              <w:jc w:val="center"/>
            </w:trPr>
            <w:tc>
              <w:tcPr>
                <w:tcW w:w="666"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4D8A96A1" w14:textId="440B0BD8" w:rsidR="764167EB" w:rsidRPr="009A46BB" w:rsidRDefault="764167EB" w:rsidP="764167EB">
                <w:pPr>
                  <w:spacing w:after="0"/>
                  <w:ind w:left="-20" w:right="-20"/>
                  <w:rPr>
                    <w:rFonts w:ascii="Times New Roman" w:hAnsi="Times New Roman"/>
                    <w:sz w:val="18"/>
                    <w:szCs w:val="18"/>
                  </w:rPr>
                </w:pPr>
                <w:r w:rsidRPr="009A46BB">
                  <w:rPr>
                    <w:rFonts w:ascii="Times New Roman" w:eastAsia="Times New Roman" w:hAnsi="Times New Roman"/>
                    <w:b/>
                    <w:sz w:val="18"/>
                    <w:szCs w:val="18"/>
                  </w:rPr>
                  <w:t>2.9</w:t>
                </w:r>
              </w:p>
            </w:tc>
            <w:tc>
              <w:tcPr>
                <w:tcW w:w="1348"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5BA279A9" w14:textId="7D7C3BBD" w:rsidR="764167EB" w:rsidRPr="009A46BB" w:rsidRDefault="764167EB" w:rsidP="764167EB">
                <w:pPr>
                  <w:spacing w:after="0"/>
                  <w:ind w:left="-20" w:right="-20"/>
                  <w:jc w:val="center"/>
                  <w:rPr>
                    <w:rFonts w:ascii="Times New Roman" w:hAnsi="Times New Roman"/>
                    <w:sz w:val="18"/>
                    <w:szCs w:val="18"/>
                  </w:rPr>
                </w:pPr>
                <w:r w:rsidRPr="009A46BB">
                  <w:rPr>
                    <w:rFonts w:ascii="Times New Roman" w:eastAsia="Times New Roman" w:hAnsi="Times New Roman"/>
                    <w:b/>
                    <w:sz w:val="18"/>
                    <w:szCs w:val="18"/>
                  </w:rPr>
                  <w:t>OTROS PASIVOS</w:t>
                </w:r>
              </w:p>
            </w:tc>
            <w:tc>
              <w:tcPr>
                <w:tcW w:w="101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66DB1E9C" w14:textId="3E17E930" w:rsidR="764167EB" w:rsidRPr="009A46BB" w:rsidRDefault="764167EB" w:rsidP="764167EB">
                <w:pPr>
                  <w:spacing w:after="0"/>
                  <w:ind w:left="-20" w:right="-20"/>
                  <w:jc w:val="right"/>
                  <w:rPr>
                    <w:rFonts w:ascii="Times New Roman" w:hAnsi="Times New Roman"/>
                    <w:sz w:val="18"/>
                    <w:szCs w:val="18"/>
                  </w:rPr>
                </w:pPr>
                <w:r w:rsidRPr="009A46BB">
                  <w:rPr>
                    <w:rFonts w:ascii="Times New Roman" w:eastAsia="Times New Roman" w:hAnsi="Times New Roman"/>
                    <w:b/>
                    <w:sz w:val="18"/>
                    <w:szCs w:val="18"/>
                  </w:rPr>
                  <w:t>25.893.475.750.703</w:t>
                </w:r>
              </w:p>
            </w:tc>
            <w:tc>
              <w:tcPr>
                <w:tcW w:w="963"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2FE01861" w14:textId="30E24CC2" w:rsidR="764167EB" w:rsidRPr="009A46BB" w:rsidRDefault="764167EB" w:rsidP="764167EB">
                <w:pPr>
                  <w:spacing w:after="0"/>
                  <w:ind w:left="-20" w:right="-20"/>
                  <w:jc w:val="right"/>
                  <w:rPr>
                    <w:rFonts w:ascii="Times New Roman" w:hAnsi="Times New Roman"/>
                    <w:sz w:val="18"/>
                    <w:szCs w:val="18"/>
                  </w:rPr>
                </w:pPr>
                <w:r w:rsidRPr="009A46BB">
                  <w:rPr>
                    <w:rFonts w:ascii="Times New Roman" w:eastAsia="Times New Roman" w:hAnsi="Times New Roman"/>
                    <w:b/>
                    <w:sz w:val="18"/>
                    <w:szCs w:val="18"/>
                  </w:rPr>
                  <w:t>23.020.284.591.375</w:t>
                </w:r>
              </w:p>
            </w:tc>
            <w:tc>
              <w:tcPr>
                <w:tcW w:w="1014"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590DCE3" w14:textId="3F51A5B5" w:rsidR="764167EB" w:rsidRPr="009A46BB" w:rsidRDefault="764167EB" w:rsidP="764167EB">
                <w:pPr>
                  <w:spacing w:after="0"/>
                  <w:ind w:left="-20" w:right="-20"/>
                  <w:jc w:val="right"/>
                  <w:rPr>
                    <w:rFonts w:ascii="Times New Roman" w:hAnsi="Times New Roman"/>
                    <w:sz w:val="18"/>
                    <w:szCs w:val="18"/>
                  </w:rPr>
                </w:pPr>
                <w:r w:rsidRPr="009A46BB">
                  <w:rPr>
                    <w:rFonts w:ascii="Times New Roman" w:eastAsia="Times New Roman" w:hAnsi="Times New Roman"/>
                    <w:b/>
                    <w:sz w:val="18"/>
                    <w:szCs w:val="18"/>
                  </w:rPr>
                  <w:t>2.873.191.159.328</w:t>
                </w:r>
              </w:p>
            </w:tc>
          </w:tr>
          <w:tr w:rsidR="764167EB" w14:paraId="43CF3010" w14:textId="77777777" w:rsidTr="009A5B88">
            <w:trPr>
              <w:trHeight w:val="270"/>
              <w:jc w:val="center"/>
            </w:trPr>
            <w:tc>
              <w:tcPr>
                <w:tcW w:w="666"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786BEE6D" w14:textId="443E119E" w:rsidR="764167EB" w:rsidRPr="009A46BB" w:rsidRDefault="764167EB" w:rsidP="764167EB">
                <w:pPr>
                  <w:spacing w:after="0"/>
                  <w:ind w:left="-20" w:right="-20"/>
                  <w:rPr>
                    <w:rFonts w:ascii="Times New Roman" w:hAnsi="Times New Roman"/>
                    <w:sz w:val="18"/>
                    <w:szCs w:val="18"/>
                  </w:rPr>
                </w:pPr>
                <w:r w:rsidRPr="009A46BB">
                  <w:rPr>
                    <w:rFonts w:ascii="Times New Roman" w:eastAsia="Times New Roman" w:hAnsi="Times New Roman"/>
                    <w:sz w:val="18"/>
                    <w:szCs w:val="18"/>
                  </w:rPr>
                  <w:t>2.9.02</w:t>
                </w:r>
              </w:p>
            </w:tc>
            <w:tc>
              <w:tcPr>
                <w:tcW w:w="1348"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5B9D3A5B" w14:textId="35CD7F19" w:rsidR="764167EB" w:rsidRPr="009A46BB" w:rsidRDefault="764167EB" w:rsidP="764167EB">
                <w:pPr>
                  <w:spacing w:after="0"/>
                  <w:ind w:left="-20" w:right="-20"/>
                  <w:rPr>
                    <w:rFonts w:ascii="Times New Roman" w:hAnsi="Times New Roman"/>
                    <w:sz w:val="18"/>
                    <w:szCs w:val="18"/>
                  </w:rPr>
                </w:pPr>
                <w:r w:rsidRPr="009A46BB">
                  <w:rPr>
                    <w:rFonts w:ascii="Times New Roman" w:eastAsia="Times New Roman" w:hAnsi="Times New Roman"/>
                    <w:sz w:val="18"/>
                    <w:szCs w:val="18"/>
                  </w:rPr>
                  <w:t>Recursos recibidos en administración</w:t>
                </w:r>
              </w:p>
            </w:tc>
            <w:tc>
              <w:tcPr>
                <w:tcW w:w="101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47765D56" w14:textId="390C0E17" w:rsidR="764167EB" w:rsidRPr="009A46BB" w:rsidRDefault="764167EB" w:rsidP="764167EB">
                <w:pPr>
                  <w:spacing w:after="0"/>
                  <w:ind w:left="-20" w:right="-20"/>
                  <w:jc w:val="right"/>
                  <w:rPr>
                    <w:rFonts w:ascii="Times New Roman" w:hAnsi="Times New Roman"/>
                    <w:sz w:val="18"/>
                    <w:szCs w:val="18"/>
                  </w:rPr>
                </w:pPr>
                <w:r w:rsidRPr="009A46BB">
                  <w:rPr>
                    <w:rFonts w:ascii="Times New Roman" w:eastAsia="Times New Roman" w:hAnsi="Times New Roman"/>
                    <w:sz w:val="18"/>
                    <w:szCs w:val="18"/>
                  </w:rPr>
                  <w:t>17.892.798.629</w:t>
                </w:r>
              </w:p>
            </w:tc>
            <w:tc>
              <w:tcPr>
                <w:tcW w:w="963"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47ABDC2F" w14:textId="655D92C7" w:rsidR="764167EB" w:rsidRPr="009A46BB" w:rsidRDefault="764167EB" w:rsidP="764167EB">
                <w:pPr>
                  <w:spacing w:after="0"/>
                  <w:ind w:left="-20" w:right="-20"/>
                  <w:jc w:val="right"/>
                  <w:rPr>
                    <w:rFonts w:ascii="Times New Roman" w:hAnsi="Times New Roman"/>
                    <w:sz w:val="18"/>
                    <w:szCs w:val="18"/>
                  </w:rPr>
                </w:pPr>
                <w:r w:rsidRPr="009A46BB">
                  <w:rPr>
                    <w:rFonts w:ascii="Times New Roman" w:eastAsia="Times New Roman" w:hAnsi="Times New Roman"/>
                    <w:sz w:val="18"/>
                    <w:szCs w:val="18"/>
                  </w:rPr>
                  <w:t>17.892.798.629</w:t>
                </w:r>
              </w:p>
            </w:tc>
            <w:tc>
              <w:tcPr>
                <w:tcW w:w="1014"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9AF650B" w14:textId="312C93C8" w:rsidR="764167EB" w:rsidRPr="009A46BB" w:rsidRDefault="764167EB" w:rsidP="764167EB">
                <w:pPr>
                  <w:spacing w:after="0"/>
                  <w:ind w:left="-20" w:right="-20"/>
                  <w:jc w:val="right"/>
                  <w:rPr>
                    <w:rFonts w:ascii="Times New Roman" w:hAnsi="Times New Roman"/>
                    <w:sz w:val="18"/>
                    <w:szCs w:val="18"/>
                  </w:rPr>
                </w:pPr>
                <w:r w:rsidRPr="009A46BB">
                  <w:rPr>
                    <w:rFonts w:ascii="Times New Roman" w:eastAsia="Times New Roman" w:hAnsi="Times New Roman"/>
                    <w:sz w:val="18"/>
                    <w:szCs w:val="18"/>
                  </w:rPr>
                  <w:t>0</w:t>
                </w:r>
              </w:p>
            </w:tc>
          </w:tr>
          <w:tr w:rsidR="764167EB" w14:paraId="3C847F96" w14:textId="77777777" w:rsidTr="009A5B88">
            <w:trPr>
              <w:trHeight w:val="270"/>
              <w:jc w:val="center"/>
            </w:trPr>
            <w:tc>
              <w:tcPr>
                <w:tcW w:w="666"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E62BBE8" w14:textId="4F193FDA" w:rsidR="764167EB" w:rsidRPr="009A46BB" w:rsidRDefault="764167EB" w:rsidP="764167EB">
                <w:pPr>
                  <w:spacing w:after="0"/>
                  <w:ind w:left="-20" w:right="-20"/>
                  <w:rPr>
                    <w:rFonts w:ascii="Times New Roman" w:hAnsi="Times New Roman"/>
                    <w:sz w:val="18"/>
                    <w:szCs w:val="18"/>
                  </w:rPr>
                </w:pPr>
                <w:r w:rsidRPr="009A46BB">
                  <w:rPr>
                    <w:rFonts w:ascii="Times New Roman" w:eastAsia="Times New Roman" w:hAnsi="Times New Roman"/>
                    <w:sz w:val="18"/>
                    <w:szCs w:val="18"/>
                  </w:rPr>
                  <w:t>2.9.90</w:t>
                </w:r>
              </w:p>
            </w:tc>
            <w:tc>
              <w:tcPr>
                <w:tcW w:w="1348"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5BEC6E11" w14:textId="1251D820" w:rsidR="764167EB" w:rsidRPr="009A46BB" w:rsidRDefault="764167EB" w:rsidP="764167EB">
                <w:pPr>
                  <w:spacing w:after="0"/>
                  <w:ind w:left="-20" w:right="-20"/>
                  <w:rPr>
                    <w:rFonts w:ascii="Times New Roman" w:hAnsi="Times New Roman"/>
                    <w:sz w:val="18"/>
                    <w:szCs w:val="18"/>
                  </w:rPr>
                </w:pPr>
                <w:r w:rsidRPr="009A46BB">
                  <w:rPr>
                    <w:rFonts w:ascii="Times New Roman" w:eastAsia="Times New Roman" w:hAnsi="Times New Roman"/>
                    <w:sz w:val="18"/>
                    <w:szCs w:val="18"/>
                  </w:rPr>
                  <w:t>Otros pasivos diferidos</w:t>
                </w:r>
              </w:p>
            </w:tc>
            <w:tc>
              <w:tcPr>
                <w:tcW w:w="101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7FA1E9A8" w14:textId="4A3AAA84" w:rsidR="764167EB" w:rsidRPr="009A46BB" w:rsidRDefault="764167EB" w:rsidP="764167EB">
                <w:pPr>
                  <w:spacing w:after="0"/>
                  <w:ind w:left="-20" w:right="-20"/>
                  <w:jc w:val="right"/>
                  <w:rPr>
                    <w:rFonts w:ascii="Times New Roman" w:hAnsi="Times New Roman"/>
                    <w:sz w:val="18"/>
                    <w:szCs w:val="18"/>
                  </w:rPr>
                </w:pPr>
                <w:r w:rsidRPr="009A46BB">
                  <w:rPr>
                    <w:rFonts w:ascii="Times New Roman" w:eastAsia="Times New Roman" w:hAnsi="Times New Roman"/>
                    <w:sz w:val="18"/>
                    <w:szCs w:val="18"/>
                  </w:rPr>
                  <w:t>25.875.582.952.074</w:t>
                </w:r>
              </w:p>
            </w:tc>
            <w:tc>
              <w:tcPr>
                <w:tcW w:w="963"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4C5D6241" w14:textId="39982E5A" w:rsidR="764167EB" w:rsidRPr="009A46BB" w:rsidRDefault="764167EB" w:rsidP="764167EB">
                <w:pPr>
                  <w:spacing w:after="0"/>
                  <w:ind w:left="-20" w:right="-20"/>
                  <w:jc w:val="right"/>
                  <w:rPr>
                    <w:rFonts w:ascii="Times New Roman" w:hAnsi="Times New Roman"/>
                    <w:sz w:val="18"/>
                    <w:szCs w:val="18"/>
                  </w:rPr>
                </w:pPr>
                <w:r w:rsidRPr="009A46BB">
                  <w:rPr>
                    <w:rFonts w:ascii="Times New Roman" w:eastAsia="Times New Roman" w:hAnsi="Times New Roman"/>
                    <w:sz w:val="18"/>
                    <w:szCs w:val="18"/>
                  </w:rPr>
                  <w:t>23.002.391.792.746</w:t>
                </w:r>
              </w:p>
            </w:tc>
            <w:tc>
              <w:tcPr>
                <w:tcW w:w="1014"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2CE0250" w14:textId="33C04604" w:rsidR="764167EB" w:rsidRPr="009A46BB" w:rsidRDefault="764167EB" w:rsidP="764167EB">
                <w:pPr>
                  <w:spacing w:after="0"/>
                  <w:ind w:left="-20" w:right="-20"/>
                  <w:jc w:val="right"/>
                  <w:rPr>
                    <w:rFonts w:ascii="Times New Roman" w:hAnsi="Times New Roman"/>
                    <w:sz w:val="18"/>
                    <w:szCs w:val="18"/>
                  </w:rPr>
                </w:pPr>
                <w:r w:rsidRPr="009A46BB">
                  <w:rPr>
                    <w:rFonts w:ascii="Times New Roman" w:eastAsia="Times New Roman" w:hAnsi="Times New Roman"/>
                    <w:sz w:val="18"/>
                    <w:szCs w:val="18"/>
                  </w:rPr>
                  <w:t>2.873.191.159.328</w:t>
                </w:r>
              </w:p>
            </w:tc>
          </w:tr>
        </w:tbl>
        <w:p w14:paraId="376A34F5" w14:textId="0AC2B29F" w:rsidR="00162331" w:rsidRPr="009A46BB" w:rsidRDefault="720ACA95" w:rsidP="764167EB">
          <w:pPr>
            <w:spacing w:after="0" w:line="240" w:lineRule="auto"/>
            <w:ind w:left="-20" w:right="-20"/>
            <w:jc w:val="both"/>
            <w:rPr>
              <w:rFonts w:ascii="Times New Roman" w:hAnsi="Times New Roman"/>
            </w:rPr>
          </w:pPr>
          <w:r w:rsidRPr="764167EB">
            <w:rPr>
              <w:rFonts w:ascii="Times New Roman" w:eastAsia="Times New Roman" w:hAnsi="Times New Roman"/>
              <w:sz w:val="14"/>
              <w:szCs w:val="14"/>
            </w:rPr>
            <w:t xml:space="preserve">  Cifras expresadas en pesos </w:t>
          </w:r>
        </w:p>
        <w:p w14:paraId="2E01FD8C" w14:textId="5B0D8FE5" w:rsidR="00162331" w:rsidRPr="00931DCE" w:rsidRDefault="720ACA95" w:rsidP="764167EB">
          <w:pPr>
            <w:spacing w:after="0" w:line="240" w:lineRule="auto"/>
            <w:ind w:left="-20" w:right="-20"/>
            <w:jc w:val="both"/>
            <w:rPr>
              <w:rFonts w:ascii="Times New Roman" w:hAnsi="Times New Roman"/>
              <w:sz w:val="24"/>
              <w:szCs w:val="24"/>
            </w:rPr>
          </w:pPr>
          <w:r w:rsidRPr="764167EB">
            <w:rPr>
              <w:rFonts w:ascii="Times New Roman" w:eastAsia="Times New Roman" w:hAnsi="Times New Roman"/>
              <w:sz w:val="14"/>
              <w:szCs w:val="14"/>
              <w:highlight w:val="yellow"/>
            </w:rPr>
            <w:t xml:space="preserve"> </w:t>
          </w:r>
        </w:p>
        <w:p w14:paraId="2BA079FC" w14:textId="22B3E9BA" w:rsidR="00376E7E" w:rsidRPr="00931DCE" w:rsidRDefault="00376E7E" w:rsidP="19A3EF7C">
          <w:pPr>
            <w:spacing w:after="0" w:line="240" w:lineRule="auto"/>
            <w:ind w:left="-20" w:right="-20"/>
            <w:jc w:val="both"/>
            <w:rPr>
              <w:rFonts w:ascii="Times New Roman" w:hAnsi="Times New Roman"/>
              <w:bCs/>
              <w:sz w:val="24"/>
              <w:szCs w:val="24"/>
            </w:rPr>
          </w:pPr>
          <w:r w:rsidRPr="00931DCE">
            <w:rPr>
              <w:rFonts w:ascii="Times New Roman" w:hAnsi="Times New Roman"/>
              <w:bCs/>
              <w:sz w:val="24"/>
              <w:szCs w:val="24"/>
            </w:rPr>
            <w:t>Los recursos recibidos en administración atañen al convenio suscrito con el Instituto Nacional de Vías -INVIAS, para administración por parte de la ANI.  Los otros pasivos diferidos se registraron de acuerdo con las técnicas de estimación de los proyectos de concesión de los modos de transporte carretero, férreo, portuario y aeroportuario.</w:t>
          </w:r>
        </w:p>
        <w:p w14:paraId="467471A5" w14:textId="77777777" w:rsidR="00376E7E" w:rsidRPr="00931DCE" w:rsidRDefault="00376E7E" w:rsidP="00376E7E">
          <w:pPr>
            <w:spacing w:after="0" w:line="240" w:lineRule="auto"/>
            <w:jc w:val="both"/>
            <w:rPr>
              <w:rFonts w:ascii="Times New Roman" w:hAnsi="Times New Roman"/>
              <w:bCs/>
              <w:sz w:val="24"/>
              <w:szCs w:val="24"/>
            </w:rPr>
          </w:pPr>
        </w:p>
        <w:p w14:paraId="7C389889" w14:textId="37AA7C07" w:rsidR="00376E7E" w:rsidRPr="00931DCE" w:rsidRDefault="00376E7E" w:rsidP="00376E7E">
          <w:pPr>
            <w:spacing w:after="0" w:line="240" w:lineRule="auto"/>
            <w:jc w:val="both"/>
            <w:rPr>
              <w:rFonts w:ascii="Times New Roman" w:hAnsi="Times New Roman"/>
              <w:sz w:val="24"/>
              <w:szCs w:val="24"/>
            </w:rPr>
          </w:pPr>
          <w:r w:rsidRPr="00931DCE">
            <w:rPr>
              <w:rFonts w:ascii="Times New Roman" w:hAnsi="Times New Roman"/>
              <w:sz w:val="24"/>
              <w:szCs w:val="24"/>
            </w:rPr>
            <w:lastRenderedPageBreak/>
            <w:t xml:space="preserve">Como se indicó en el párrafo anterior, en los Recursos recibidos en administración se </w:t>
          </w:r>
          <w:r w:rsidR="00601786">
            <w:rPr>
              <w:rFonts w:ascii="Times New Roman" w:hAnsi="Times New Roman"/>
              <w:sz w:val="24"/>
              <w:szCs w:val="24"/>
            </w:rPr>
            <w:t>tiene</w:t>
          </w:r>
          <w:r w:rsidRPr="00931DCE">
            <w:rPr>
              <w:rFonts w:ascii="Times New Roman" w:hAnsi="Times New Roman"/>
              <w:sz w:val="24"/>
              <w:szCs w:val="24"/>
            </w:rPr>
            <w:t xml:space="preserve"> </w:t>
          </w:r>
          <w:r w:rsidR="003514B9">
            <w:rPr>
              <w:rFonts w:ascii="Times New Roman" w:hAnsi="Times New Roman"/>
              <w:sz w:val="24"/>
              <w:szCs w:val="24"/>
            </w:rPr>
            <w:t xml:space="preserve">el </w:t>
          </w:r>
          <w:r w:rsidRPr="00931DCE">
            <w:rPr>
              <w:rFonts w:ascii="Times New Roman" w:hAnsi="Times New Roman"/>
              <w:sz w:val="24"/>
              <w:szCs w:val="24"/>
            </w:rPr>
            <w:t>convenio interadministrativo que cumpli</w:t>
          </w:r>
          <w:r w:rsidR="00771F0A">
            <w:rPr>
              <w:rFonts w:ascii="Times New Roman" w:hAnsi="Times New Roman"/>
              <w:sz w:val="24"/>
              <w:szCs w:val="24"/>
            </w:rPr>
            <w:t>ó</w:t>
          </w:r>
          <w:r w:rsidRPr="00931DCE">
            <w:rPr>
              <w:rFonts w:ascii="Times New Roman" w:hAnsi="Times New Roman"/>
              <w:sz w:val="24"/>
              <w:szCs w:val="24"/>
            </w:rPr>
            <w:t xml:space="preserve"> con las condiciones para ser reconocido como recurso recibido en administración, entre estos, los recursos que se recibieron de entidades estatales en desarrollo de convenios interadministrativos y de cooperación en cumplimiento de su cometido estatal;  est</w:t>
          </w:r>
          <w:r w:rsidR="002560F1">
            <w:rPr>
              <w:rFonts w:ascii="Times New Roman" w:hAnsi="Times New Roman"/>
              <w:sz w:val="24"/>
              <w:szCs w:val="24"/>
            </w:rPr>
            <w:t>e</w:t>
          </w:r>
          <w:r w:rsidRPr="00931DCE">
            <w:rPr>
              <w:rFonts w:ascii="Times New Roman" w:hAnsi="Times New Roman"/>
              <w:sz w:val="24"/>
              <w:szCs w:val="24"/>
            </w:rPr>
            <w:t xml:space="preserve"> convenio se miden por el valor inicial recibido, menos las legalizaciones, que se materializan con el informe de avance o seguimiento y el saldo final a su terminación, con el acta de liquidación remitida por el área competente.</w:t>
          </w:r>
        </w:p>
        <w:p w14:paraId="2240B88E" w14:textId="77777777" w:rsidR="00376E7E" w:rsidRPr="00931DCE" w:rsidRDefault="00376E7E" w:rsidP="00376E7E">
          <w:pPr>
            <w:spacing w:after="0" w:line="240" w:lineRule="auto"/>
            <w:jc w:val="both"/>
            <w:rPr>
              <w:rFonts w:ascii="Times New Roman" w:hAnsi="Times New Roman"/>
              <w:sz w:val="24"/>
              <w:szCs w:val="24"/>
            </w:rPr>
          </w:pPr>
        </w:p>
        <w:p w14:paraId="27F4F1EF" w14:textId="459FA845" w:rsidR="00376E7E" w:rsidRPr="00931DCE" w:rsidRDefault="00376E7E" w:rsidP="00376E7E">
          <w:pPr>
            <w:spacing w:after="0" w:line="240" w:lineRule="auto"/>
            <w:jc w:val="both"/>
            <w:rPr>
              <w:rFonts w:ascii="Times New Roman" w:hAnsi="Times New Roman"/>
              <w:sz w:val="24"/>
              <w:szCs w:val="24"/>
            </w:rPr>
          </w:pPr>
          <w:r w:rsidRPr="00931DCE">
            <w:rPr>
              <w:rFonts w:ascii="Times New Roman" w:hAnsi="Times New Roman"/>
              <w:sz w:val="24"/>
              <w:szCs w:val="24"/>
            </w:rPr>
            <w:t xml:space="preserve">Al cierre </w:t>
          </w:r>
          <w:r w:rsidR="00162331" w:rsidRPr="00931DCE">
            <w:rPr>
              <w:rFonts w:ascii="Times New Roman" w:hAnsi="Times New Roman"/>
              <w:sz w:val="24"/>
              <w:szCs w:val="24"/>
            </w:rPr>
            <w:t>del período,</w:t>
          </w:r>
          <w:r w:rsidRPr="00931DCE">
            <w:rPr>
              <w:rFonts w:ascii="Times New Roman" w:hAnsi="Times New Roman"/>
              <w:sz w:val="24"/>
              <w:szCs w:val="24"/>
            </w:rPr>
            <w:t xml:space="preserve"> la Agencia Nacional de Infraestructura tiene registrado en esta cuenta el valor de </w:t>
          </w:r>
          <w:r w:rsidR="00802F70" w:rsidRPr="00931DCE">
            <w:rPr>
              <w:rFonts w:ascii="Times New Roman" w:hAnsi="Times New Roman"/>
              <w:sz w:val="24"/>
              <w:szCs w:val="24"/>
            </w:rPr>
            <w:t>$</w:t>
          </w:r>
          <w:r w:rsidR="00BC1003">
            <w:rPr>
              <w:rFonts w:ascii="Times New Roman" w:hAnsi="Times New Roman"/>
              <w:sz w:val="24"/>
              <w:szCs w:val="24"/>
            </w:rPr>
            <w:t>17.892.</w:t>
          </w:r>
          <w:r w:rsidR="00F23B96">
            <w:rPr>
              <w:rFonts w:ascii="Times New Roman" w:hAnsi="Times New Roman"/>
              <w:sz w:val="24"/>
              <w:szCs w:val="24"/>
            </w:rPr>
            <w:t>798.629</w:t>
          </w:r>
          <w:r w:rsidRPr="00931DCE">
            <w:rPr>
              <w:rFonts w:ascii="Times New Roman" w:hAnsi="Times New Roman"/>
              <w:sz w:val="24"/>
              <w:szCs w:val="24"/>
            </w:rPr>
            <w:t xml:space="preserve"> que corresponde a el Convenio Interadministrativo No 3106 de 2009, suscrito entre el Instituto Nacional de Vías y la Agencia Nacional de Infraestructura por El Objeto es: </w:t>
          </w:r>
          <w:r w:rsidRPr="00931DCE">
            <w:rPr>
              <w:rFonts w:ascii="Times New Roman" w:hAnsi="Times New Roman"/>
              <w:i/>
              <w:iCs/>
              <w:sz w:val="24"/>
              <w:szCs w:val="24"/>
            </w:rPr>
            <w:t>“Aunar esfuerzos para el estudio, diseño y construcción de seis (6) puentes peatonales en la Autopista Sur, Tramo Bosa-Soacha de la carretera Girardot-Silvania-Bogotá. Ruta 4005.” Contrato de Concesión bajo el esquema de APP No. 4 de 2016. Proyecto “Ampliación al Tercer Carril de la Doble Calzada Bogotá – Girardot”.</w:t>
          </w:r>
          <w:r w:rsidRPr="00931DCE">
            <w:rPr>
              <w:rFonts w:ascii="Times New Roman" w:hAnsi="Times New Roman"/>
              <w:sz w:val="24"/>
              <w:szCs w:val="24"/>
            </w:rPr>
            <w:t xml:space="preserve"> </w:t>
          </w:r>
        </w:p>
        <w:p w14:paraId="7AF22933" w14:textId="77777777" w:rsidR="00376E7E" w:rsidRPr="00931DCE" w:rsidRDefault="00376E7E" w:rsidP="00376E7E">
          <w:pPr>
            <w:spacing w:after="0" w:line="240" w:lineRule="auto"/>
            <w:jc w:val="both"/>
            <w:rPr>
              <w:rFonts w:ascii="Times New Roman" w:hAnsi="Times New Roman"/>
              <w:sz w:val="24"/>
              <w:szCs w:val="24"/>
            </w:rPr>
          </w:pPr>
        </w:p>
        <w:p w14:paraId="37237F64" w14:textId="5FAEBFC5" w:rsidR="00376E7E" w:rsidRPr="00931DCE" w:rsidRDefault="00376E7E" w:rsidP="00376E7E">
          <w:pPr>
            <w:spacing w:after="0" w:line="240" w:lineRule="auto"/>
            <w:jc w:val="both"/>
            <w:rPr>
              <w:rFonts w:ascii="Times New Roman" w:hAnsi="Times New Roman"/>
              <w:sz w:val="24"/>
              <w:szCs w:val="24"/>
            </w:rPr>
          </w:pPr>
          <w:r w:rsidRPr="00931DCE">
            <w:rPr>
              <w:rFonts w:ascii="Times New Roman" w:hAnsi="Times New Roman"/>
              <w:sz w:val="24"/>
              <w:szCs w:val="24"/>
            </w:rPr>
            <w:t xml:space="preserve">El saldo de este convenio generó operaciones recíprocas durante los cuatro trimestres del año </w:t>
          </w:r>
          <w:r w:rsidR="00EF6E05" w:rsidRPr="00931DCE">
            <w:rPr>
              <w:rFonts w:ascii="Times New Roman" w:hAnsi="Times New Roman"/>
              <w:sz w:val="24"/>
              <w:szCs w:val="24"/>
            </w:rPr>
            <w:t>202</w:t>
          </w:r>
          <w:r w:rsidR="00804314">
            <w:rPr>
              <w:rFonts w:ascii="Times New Roman" w:hAnsi="Times New Roman"/>
              <w:sz w:val="24"/>
              <w:szCs w:val="24"/>
            </w:rPr>
            <w:t>3</w:t>
          </w:r>
          <w:r w:rsidRPr="00931DCE">
            <w:rPr>
              <w:rFonts w:ascii="Times New Roman" w:hAnsi="Times New Roman"/>
              <w:sz w:val="24"/>
              <w:szCs w:val="24"/>
            </w:rPr>
            <w:t xml:space="preserve"> con el INVIAS , que fueron conciliadas de manera trimestral y reportadas en el CHIP en la cuenta contable correlativa,  en atención a lo  estipulado  en la Resolución 090 de 2020, expedida por la Contaduría General de la Nación, numeral 4  Operaciones Recíprocas, Las siguientes operaciones se reportarán como recíprocas: </w:t>
          </w:r>
          <w:r w:rsidRPr="00931DCE">
            <w:rPr>
              <w:rFonts w:ascii="Times New Roman" w:hAnsi="Times New Roman"/>
              <w:i/>
              <w:iCs/>
              <w:sz w:val="24"/>
              <w:szCs w:val="24"/>
            </w:rPr>
            <w:t>“...El derecho de la entidad que controla los recursos con la obligación de la entidad pública que administra, por los recursos entregados y recibidos en administración…”</w:t>
          </w:r>
          <w:r w:rsidRPr="00931DCE">
            <w:rPr>
              <w:rFonts w:ascii="Times New Roman" w:hAnsi="Times New Roman"/>
              <w:sz w:val="24"/>
              <w:szCs w:val="24"/>
            </w:rPr>
            <w:t xml:space="preserve"> y en concordancia con en el instructivo GADF-I-007 establecido por la Agencia, en el Sistema de Gestión de Calidad . </w:t>
          </w:r>
        </w:p>
        <w:p w14:paraId="21275940" w14:textId="77777777" w:rsidR="00802F70" w:rsidRPr="00931DCE" w:rsidRDefault="00802F70" w:rsidP="00376E7E">
          <w:pPr>
            <w:spacing w:after="0" w:line="240" w:lineRule="auto"/>
            <w:jc w:val="both"/>
            <w:rPr>
              <w:rFonts w:ascii="Times New Roman" w:hAnsi="Times New Roman"/>
              <w:sz w:val="24"/>
              <w:szCs w:val="24"/>
            </w:rPr>
          </w:pPr>
        </w:p>
        <w:p w14:paraId="67DAEE86" w14:textId="4403DF3B" w:rsidR="00376E7E" w:rsidRPr="00931DCE" w:rsidRDefault="00376E7E" w:rsidP="00376E7E">
          <w:pPr>
            <w:spacing w:after="0" w:line="240" w:lineRule="auto"/>
            <w:jc w:val="both"/>
            <w:rPr>
              <w:rFonts w:ascii="Times New Roman" w:hAnsi="Times New Roman"/>
              <w:sz w:val="24"/>
              <w:szCs w:val="24"/>
            </w:rPr>
          </w:pPr>
          <w:r w:rsidRPr="00931DCE">
            <w:rPr>
              <w:rFonts w:ascii="Times New Roman" w:hAnsi="Times New Roman"/>
              <w:sz w:val="24"/>
              <w:szCs w:val="24"/>
            </w:rPr>
            <w:t xml:space="preserve">Durante el año </w:t>
          </w:r>
          <w:r w:rsidR="00EF6E05" w:rsidRPr="00931DCE">
            <w:rPr>
              <w:rFonts w:ascii="Times New Roman" w:hAnsi="Times New Roman"/>
              <w:sz w:val="24"/>
              <w:szCs w:val="24"/>
            </w:rPr>
            <w:t>202</w:t>
          </w:r>
          <w:r w:rsidR="00804314">
            <w:rPr>
              <w:rFonts w:ascii="Times New Roman" w:hAnsi="Times New Roman"/>
              <w:sz w:val="24"/>
              <w:szCs w:val="24"/>
            </w:rPr>
            <w:t>3</w:t>
          </w:r>
          <w:r w:rsidRPr="00931DCE">
            <w:rPr>
              <w:rFonts w:ascii="Times New Roman" w:hAnsi="Times New Roman"/>
              <w:sz w:val="24"/>
              <w:szCs w:val="24"/>
            </w:rPr>
            <w:t xml:space="preserve"> el convenio no tuvo ejecución de recursos.  El saldo pendiente de este convenio se encuentra disponible en la cuenta SCUN – Sistema Único Nacional que administra el Ministerio de Hacienda y Crédito Público, dicha cuenta no genera rendimientos según lo establece el decreto 1238 de 2017, expedido por este mismo Ministerio. </w:t>
          </w:r>
        </w:p>
        <w:p w14:paraId="41F91924" w14:textId="77777777" w:rsidR="00802F70" w:rsidRPr="00931DCE" w:rsidRDefault="00802F70" w:rsidP="00376E7E">
          <w:pPr>
            <w:spacing w:after="0" w:line="240" w:lineRule="auto"/>
            <w:jc w:val="both"/>
            <w:rPr>
              <w:rFonts w:ascii="Times New Roman" w:hAnsi="Times New Roman"/>
              <w:sz w:val="24"/>
              <w:szCs w:val="24"/>
            </w:rPr>
          </w:pPr>
        </w:p>
        <w:p w14:paraId="54FD8AA8" w14:textId="77777777" w:rsidR="00376E7E" w:rsidRPr="00931DCE" w:rsidRDefault="00376E7E" w:rsidP="00376E7E">
          <w:pPr>
            <w:spacing w:after="0" w:line="240" w:lineRule="auto"/>
            <w:jc w:val="both"/>
            <w:rPr>
              <w:rFonts w:ascii="Times New Roman" w:hAnsi="Times New Roman"/>
              <w:sz w:val="24"/>
              <w:szCs w:val="24"/>
            </w:rPr>
          </w:pPr>
          <w:r w:rsidRPr="00931DCE">
            <w:rPr>
              <w:rFonts w:ascii="Times New Roman" w:hAnsi="Times New Roman"/>
              <w:sz w:val="24"/>
              <w:szCs w:val="24"/>
            </w:rPr>
            <w:t>Por último, se indica que la agencia no tiene pasivos para liquidar ni pasivos para trasladar.</w:t>
          </w:r>
        </w:p>
        <w:p w14:paraId="41ADC47F" w14:textId="425825C9" w:rsidR="0006566B" w:rsidRPr="00931DCE" w:rsidRDefault="0006566B" w:rsidP="00376E7E">
          <w:pPr>
            <w:spacing w:after="0" w:line="240" w:lineRule="auto"/>
            <w:jc w:val="both"/>
            <w:rPr>
              <w:rFonts w:ascii="Times New Roman" w:hAnsi="Times New Roman"/>
              <w:sz w:val="24"/>
              <w:szCs w:val="24"/>
            </w:rPr>
          </w:pPr>
        </w:p>
        <w:p w14:paraId="404C2C41" w14:textId="3EA4A79D" w:rsidR="001B65E9" w:rsidRPr="00931DCE" w:rsidRDefault="00EA7F85">
          <w:pPr>
            <w:pStyle w:val="Ttulo2"/>
            <w:numPr>
              <w:ilvl w:val="1"/>
              <w:numId w:val="16"/>
            </w:numPr>
            <w:spacing w:line="240" w:lineRule="auto"/>
            <w:ind w:left="567" w:hanging="567"/>
            <w:rPr>
              <w:rFonts w:cs="Times New Roman"/>
              <w:szCs w:val="24"/>
            </w:rPr>
          </w:pPr>
          <w:bookmarkStart w:id="79" w:name="_Toc159952415"/>
          <w:r w:rsidRPr="00931DCE">
            <w:rPr>
              <w:rFonts w:cs="Times New Roman"/>
              <w:szCs w:val="24"/>
            </w:rPr>
            <w:t>Desglose subcuentas otros.</w:t>
          </w:r>
          <w:bookmarkEnd w:id="79"/>
        </w:p>
        <w:p w14:paraId="454A8345" w14:textId="4DBF044E" w:rsidR="001B65E9" w:rsidRPr="00931DCE" w:rsidRDefault="001B65E9" w:rsidP="00EA7F85">
          <w:pPr>
            <w:spacing w:after="0" w:line="240" w:lineRule="auto"/>
            <w:jc w:val="both"/>
            <w:rPr>
              <w:rFonts w:ascii="Times New Roman" w:hAnsi="Times New Roman"/>
              <w:sz w:val="24"/>
              <w:szCs w:val="24"/>
            </w:rPr>
          </w:pPr>
        </w:p>
        <w:p w14:paraId="40422C97" w14:textId="77777777" w:rsidR="00EA7F85" w:rsidRPr="00931DCE" w:rsidRDefault="00EA7F85" w:rsidP="00EA7F85">
          <w:pPr>
            <w:spacing w:after="0" w:line="240" w:lineRule="auto"/>
            <w:jc w:val="both"/>
            <w:rPr>
              <w:rFonts w:ascii="Times New Roman" w:hAnsi="Times New Roman"/>
              <w:sz w:val="24"/>
              <w:szCs w:val="24"/>
            </w:rPr>
          </w:pPr>
          <w:r w:rsidRPr="00931DCE">
            <w:rPr>
              <w:rFonts w:ascii="Times New Roman" w:hAnsi="Times New Roman"/>
              <w:sz w:val="24"/>
              <w:szCs w:val="24"/>
            </w:rPr>
            <w:t xml:space="preserve">De conformidad con la política contable adoptada, la Agencia, ejerciendo como entidad concedente en un acuerdo de concesión, reconoce en otros pasivos diferidos, el ingreso diferido por concesiones-concedente, en cumplimiento de la norma de acuerdos de concesión desde la perspectiva de la entidad concedente el cual establece, que: cuando la Agencia no tenga una obligación incondicional de pagar (con efectivo o con otro activo financiero) al concesionario por la construcción, desarrollo, adquisición, mejora o rehabilitación de un activo en concesión y, en lugar de ello, le ceda el derecho a obtener ingresos por la explotación de dicho activo o de otro activo generador de ingresos, la Agencia reconocerá un pasivo diferido por los ingresos que surgen del intercambio de activos entre la entidad concedente y el concesionario privado. </w:t>
          </w:r>
        </w:p>
        <w:p w14:paraId="45B580A9" w14:textId="77777777" w:rsidR="00EA7F85" w:rsidRPr="00931DCE" w:rsidRDefault="00EA7F85" w:rsidP="00EA7F85">
          <w:pPr>
            <w:spacing w:after="0" w:line="240" w:lineRule="auto"/>
            <w:jc w:val="both"/>
            <w:rPr>
              <w:rFonts w:ascii="Times New Roman" w:hAnsi="Times New Roman"/>
              <w:sz w:val="24"/>
              <w:szCs w:val="24"/>
            </w:rPr>
          </w:pPr>
        </w:p>
        <w:p w14:paraId="5F15AB22" w14:textId="52F55085" w:rsidR="00EA7F85" w:rsidRPr="00931DCE" w:rsidRDefault="00EA7F85" w:rsidP="00EA7F85">
          <w:pPr>
            <w:spacing w:after="0" w:line="240" w:lineRule="auto"/>
            <w:jc w:val="both"/>
            <w:rPr>
              <w:rFonts w:ascii="Times New Roman" w:hAnsi="Times New Roman"/>
              <w:sz w:val="24"/>
              <w:szCs w:val="24"/>
            </w:rPr>
          </w:pPr>
          <w:r w:rsidRPr="00931DCE">
            <w:rPr>
              <w:rFonts w:ascii="Times New Roman" w:hAnsi="Times New Roman"/>
              <w:sz w:val="24"/>
              <w:szCs w:val="24"/>
            </w:rPr>
            <w:t xml:space="preserve">Para actualizar la información relacionada con los activos concesionados, para el modo carretero la Agencia actualizo la guía que detalla la metodología a utilizar para los proyectos </w:t>
          </w:r>
          <w:r w:rsidRPr="00931DCE">
            <w:rPr>
              <w:rFonts w:ascii="Times New Roman" w:hAnsi="Times New Roman"/>
              <w:sz w:val="24"/>
              <w:szCs w:val="24"/>
            </w:rPr>
            <w:lastRenderedPageBreak/>
            <w:t xml:space="preserve">del modo carretero, y conforme al “Modelos Financieros para Propósitos Contables”, se efectúa la cuantificación del valor a reconocer como activo y su correspondiente pasivo asociado. </w:t>
          </w:r>
        </w:p>
        <w:p w14:paraId="5D532C17" w14:textId="77777777" w:rsidR="00EA7F85" w:rsidRPr="00931DCE" w:rsidRDefault="00EA7F85" w:rsidP="00EA7F85">
          <w:pPr>
            <w:spacing w:after="0" w:line="240" w:lineRule="auto"/>
            <w:jc w:val="both"/>
            <w:rPr>
              <w:rFonts w:ascii="Times New Roman" w:hAnsi="Times New Roman"/>
              <w:sz w:val="24"/>
              <w:szCs w:val="24"/>
            </w:rPr>
          </w:pPr>
        </w:p>
        <w:p w14:paraId="6B98AEC7" w14:textId="77777777" w:rsidR="00EA7F85" w:rsidRPr="00931DCE" w:rsidRDefault="00EA7F85" w:rsidP="00EA7F85">
          <w:pPr>
            <w:spacing w:after="0" w:line="240" w:lineRule="auto"/>
            <w:jc w:val="both"/>
            <w:rPr>
              <w:rFonts w:ascii="Times New Roman" w:hAnsi="Times New Roman"/>
              <w:sz w:val="24"/>
              <w:szCs w:val="24"/>
            </w:rPr>
          </w:pPr>
          <w:r w:rsidRPr="00931DCE">
            <w:rPr>
              <w:rFonts w:ascii="Times New Roman" w:hAnsi="Times New Roman"/>
              <w:sz w:val="24"/>
              <w:szCs w:val="24"/>
            </w:rPr>
            <w:t>Para los modos de transporte Portuario, Férreo y Aeroportuario, la técnica de medición del pasivo diferido se encuentra documentada en la “GADF-I-015 -Guía de reconocimiento del pasivo diferido– Norma de concesiones del Nuevo Marco Normativo para Entidades de Gobierno- Modos Férreo, Puertos y Aeropuertos”.</w:t>
          </w:r>
        </w:p>
        <w:p w14:paraId="5B75FD7B" w14:textId="77777777" w:rsidR="00EA7F85" w:rsidRPr="00931DCE" w:rsidRDefault="00EA7F85" w:rsidP="00EA7F85">
          <w:pPr>
            <w:spacing w:after="0" w:line="240" w:lineRule="auto"/>
            <w:jc w:val="both"/>
            <w:rPr>
              <w:rFonts w:ascii="Times New Roman" w:hAnsi="Times New Roman"/>
              <w:sz w:val="24"/>
              <w:szCs w:val="24"/>
            </w:rPr>
          </w:pPr>
        </w:p>
        <w:p w14:paraId="588A34D1" w14:textId="77777777" w:rsidR="00EA7F85" w:rsidRPr="00931DCE" w:rsidRDefault="00EA7F85" w:rsidP="00EA7F85">
          <w:pPr>
            <w:spacing w:after="0" w:line="240" w:lineRule="auto"/>
            <w:jc w:val="both"/>
            <w:rPr>
              <w:rFonts w:ascii="Times New Roman" w:hAnsi="Times New Roman"/>
              <w:sz w:val="24"/>
              <w:szCs w:val="24"/>
            </w:rPr>
          </w:pPr>
          <w:r w:rsidRPr="00931DCE">
            <w:rPr>
              <w:rFonts w:ascii="Times New Roman" w:hAnsi="Times New Roman"/>
              <w:sz w:val="24"/>
              <w:szCs w:val="24"/>
            </w:rPr>
            <w:t xml:space="preserve">La Agencia, amortiza el pasivo diferido y reconoce un ingreso, teniendo en cuenta el plazo del contrato de concesión, cuando el plazo corresponda a un periodo fijo de explotación, la amortización del pasivo diferido se realiza de manera lineal, teniendo en cuenta los siguientes criterios: </w:t>
          </w:r>
        </w:p>
        <w:p w14:paraId="49192DA9" w14:textId="77777777" w:rsidR="00EA7F85" w:rsidRPr="00931DCE" w:rsidRDefault="00EA7F85" w:rsidP="00EA7F85">
          <w:pPr>
            <w:spacing w:after="0" w:line="240" w:lineRule="auto"/>
            <w:jc w:val="both"/>
            <w:rPr>
              <w:rFonts w:ascii="Times New Roman" w:hAnsi="Times New Roman"/>
              <w:sz w:val="24"/>
              <w:szCs w:val="24"/>
            </w:rPr>
          </w:pPr>
        </w:p>
        <w:p w14:paraId="65F99046" w14:textId="0FFEAA36" w:rsidR="00EA7F85" w:rsidRPr="00931DCE" w:rsidRDefault="00EA7F85" w:rsidP="00E60BAB">
          <w:pPr>
            <w:pStyle w:val="Prrafodelista"/>
            <w:numPr>
              <w:ilvl w:val="0"/>
              <w:numId w:val="46"/>
            </w:numPr>
            <w:spacing w:after="0" w:line="240" w:lineRule="auto"/>
            <w:jc w:val="both"/>
            <w:rPr>
              <w:rFonts w:ascii="Times New Roman" w:hAnsi="Times New Roman"/>
              <w:sz w:val="24"/>
              <w:szCs w:val="24"/>
            </w:rPr>
          </w:pPr>
          <w:r w:rsidRPr="00931DCE">
            <w:rPr>
              <w:rFonts w:ascii="Times New Roman" w:hAnsi="Times New Roman"/>
              <w:sz w:val="24"/>
              <w:szCs w:val="24"/>
            </w:rPr>
            <w:t>El tiempo remanente, el número de años del plazo del acuerdo de concesión pactado contractualmente, las adiciones de inversiones y,</w:t>
          </w:r>
        </w:p>
        <w:p w14:paraId="34150F1C" w14:textId="0AAF7D10" w:rsidR="00EA7F85" w:rsidRPr="00931DCE" w:rsidRDefault="00EA7F85" w:rsidP="00E60BAB">
          <w:pPr>
            <w:pStyle w:val="Prrafodelista"/>
            <w:numPr>
              <w:ilvl w:val="0"/>
              <w:numId w:val="46"/>
            </w:numPr>
            <w:spacing w:after="0" w:line="240" w:lineRule="auto"/>
            <w:jc w:val="both"/>
            <w:rPr>
              <w:rFonts w:ascii="Times New Roman" w:hAnsi="Times New Roman"/>
              <w:sz w:val="24"/>
              <w:szCs w:val="24"/>
            </w:rPr>
          </w:pPr>
          <w:r w:rsidRPr="00931DCE">
            <w:rPr>
              <w:rFonts w:ascii="Times New Roman" w:hAnsi="Times New Roman"/>
              <w:sz w:val="24"/>
              <w:szCs w:val="24"/>
            </w:rPr>
            <w:t>Las actualizaciones realizadas en los periodos de ejecución del contrato</w:t>
          </w:r>
        </w:p>
        <w:p w14:paraId="3337E68C" w14:textId="786FA78F" w:rsidR="00A1191A" w:rsidRPr="00931DCE" w:rsidRDefault="00A1191A" w:rsidP="00376E7E">
          <w:pPr>
            <w:spacing w:after="0" w:line="240" w:lineRule="auto"/>
            <w:jc w:val="both"/>
            <w:rPr>
              <w:rFonts w:ascii="Times New Roman" w:hAnsi="Times New Roman"/>
              <w:sz w:val="24"/>
              <w:szCs w:val="24"/>
            </w:rPr>
          </w:pPr>
        </w:p>
        <w:p w14:paraId="5DD6FA6F" w14:textId="5FE66794" w:rsidR="00842353" w:rsidRPr="00931DCE" w:rsidRDefault="00842353" w:rsidP="00842353">
          <w:pPr>
            <w:pStyle w:val="Default"/>
            <w:jc w:val="both"/>
            <w:rPr>
              <w:rFonts w:ascii="Times New Roman" w:hAnsi="Times New Roman" w:cs="Times New Roman"/>
              <w:color w:val="auto"/>
              <w:lang w:eastAsia="en-US"/>
            </w:rPr>
          </w:pPr>
          <w:r w:rsidRPr="00931DCE">
            <w:rPr>
              <w:rFonts w:ascii="Times New Roman" w:hAnsi="Times New Roman" w:cs="Times New Roman"/>
              <w:color w:val="auto"/>
              <w:lang w:eastAsia="en-US"/>
            </w:rPr>
            <w:t xml:space="preserve">A continuación, se detalla la composición de “Otros pasivos diferidos” por modo de transporte con corte </w:t>
          </w:r>
          <w:r w:rsidR="00EF6E05" w:rsidRPr="2DF357D3">
            <w:rPr>
              <w:rFonts w:ascii="Times New Roman" w:hAnsi="Times New Roman" w:cs="Times New Roman"/>
              <w:color w:val="auto"/>
              <w:lang w:eastAsia="en-US"/>
            </w:rPr>
            <w:t>202</w:t>
          </w:r>
          <w:r w:rsidR="7DF1948A" w:rsidRPr="001A6140">
            <w:rPr>
              <w:rFonts w:ascii="Times New Roman" w:hAnsi="Times New Roman" w:cs="Times New Roman"/>
              <w:color w:val="auto"/>
              <w:lang w:eastAsia="en-US"/>
            </w:rPr>
            <w:t>3</w:t>
          </w:r>
          <w:r w:rsidRPr="2DF357D3">
            <w:rPr>
              <w:rFonts w:ascii="Times New Roman" w:hAnsi="Times New Roman" w:cs="Times New Roman"/>
              <w:color w:val="auto"/>
              <w:lang w:eastAsia="en-US"/>
            </w:rPr>
            <w:t>y</w:t>
          </w:r>
          <w:r w:rsidRPr="00931DCE">
            <w:rPr>
              <w:rFonts w:ascii="Times New Roman" w:hAnsi="Times New Roman" w:cs="Times New Roman"/>
              <w:color w:val="auto"/>
              <w:lang w:eastAsia="en-US"/>
            </w:rPr>
            <w:t xml:space="preserve"> su variación respectos al cierre del año </w:t>
          </w:r>
          <w:r w:rsidR="00EF6E05" w:rsidRPr="2DF357D3">
            <w:rPr>
              <w:rFonts w:ascii="Times New Roman" w:hAnsi="Times New Roman" w:cs="Times New Roman"/>
              <w:color w:val="auto"/>
              <w:lang w:eastAsia="en-US"/>
            </w:rPr>
            <w:t>202</w:t>
          </w:r>
          <w:r w:rsidR="7ED54746" w:rsidRPr="2DF357D3">
            <w:rPr>
              <w:rFonts w:ascii="Times New Roman" w:hAnsi="Times New Roman" w:cs="Times New Roman"/>
              <w:color w:val="auto"/>
              <w:lang w:eastAsia="en-US"/>
            </w:rPr>
            <w:t>2</w:t>
          </w:r>
          <w:r w:rsidRPr="00931DCE">
            <w:rPr>
              <w:rFonts w:ascii="Times New Roman" w:hAnsi="Times New Roman" w:cs="Times New Roman"/>
              <w:color w:val="auto"/>
              <w:lang w:eastAsia="en-US"/>
            </w:rPr>
            <w:t>.</w:t>
          </w:r>
        </w:p>
        <w:p w14:paraId="1B526BD6" w14:textId="77777777" w:rsidR="00842353" w:rsidRPr="00931DCE" w:rsidRDefault="00842353" w:rsidP="00842353">
          <w:pPr>
            <w:spacing w:after="0" w:line="240" w:lineRule="auto"/>
            <w:jc w:val="both"/>
            <w:rPr>
              <w:rFonts w:ascii="Times New Roman" w:hAnsi="Times New Roman"/>
              <w:sz w:val="24"/>
              <w:szCs w:val="24"/>
            </w:rPr>
          </w:pPr>
        </w:p>
        <w:p w14:paraId="37F79E6F" w14:textId="2CD31C59" w:rsidR="00162331" w:rsidRPr="00931DCE" w:rsidRDefault="00162331" w:rsidP="009A5B88">
          <w:pPr>
            <w:spacing w:after="0" w:line="240" w:lineRule="auto"/>
            <w:ind w:left="-20" w:right="-20"/>
            <w:rPr>
              <w:rFonts w:ascii="Times New Roman" w:eastAsia="Times New Roman" w:hAnsi="Times New Roman"/>
              <w:sz w:val="24"/>
              <w:szCs w:val="24"/>
            </w:rPr>
          </w:pPr>
        </w:p>
        <w:tbl>
          <w:tblPr>
            <w:tblW w:w="5000" w:type="pct"/>
            <w:jc w:val="cente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1380"/>
            <w:gridCol w:w="2449"/>
            <w:gridCol w:w="1629"/>
            <w:gridCol w:w="1629"/>
            <w:gridCol w:w="1872"/>
          </w:tblGrid>
          <w:tr w:rsidR="6DF12C46" w14:paraId="50F34EFA" w14:textId="77777777" w:rsidTr="00E8265B">
            <w:trPr>
              <w:trHeight w:val="340"/>
              <w:jc w:val="center"/>
            </w:trPr>
            <w:tc>
              <w:tcPr>
                <w:tcW w:w="2137" w:type="pct"/>
                <w:gridSpan w:val="2"/>
                <w:tcMar>
                  <w:left w:w="70" w:type="dxa"/>
                  <w:right w:w="70" w:type="dxa"/>
                </w:tcMar>
                <w:vAlign w:val="center"/>
              </w:tcPr>
              <w:p w14:paraId="7CBEFAEA" w14:textId="4E662012" w:rsidR="6DF12C46" w:rsidRPr="009A46BB" w:rsidRDefault="6DF12C46" w:rsidP="6DF12C46">
                <w:pPr>
                  <w:spacing w:after="0"/>
                  <w:ind w:left="-20" w:right="-20"/>
                  <w:jc w:val="center"/>
                  <w:rPr>
                    <w:rFonts w:ascii="Times New Roman" w:hAnsi="Times New Roman"/>
                    <w:sz w:val="18"/>
                    <w:szCs w:val="18"/>
                  </w:rPr>
                </w:pPr>
                <w:r w:rsidRPr="009A46BB">
                  <w:rPr>
                    <w:rFonts w:ascii="Times New Roman" w:eastAsia="Times New Roman" w:hAnsi="Times New Roman"/>
                    <w:b/>
                    <w:sz w:val="18"/>
                    <w:szCs w:val="18"/>
                  </w:rPr>
                  <w:t>Ingreso Diferido por Concesiones</w:t>
                </w:r>
              </w:p>
            </w:tc>
            <w:tc>
              <w:tcPr>
                <w:tcW w:w="1818" w:type="pct"/>
                <w:gridSpan w:val="2"/>
                <w:tcMar>
                  <w:left w:w="70" w:type="dxa"/>
                  <w:right w:w="70" w:type="dxa"/>
                </w:tcMar>
                <w:vAlign w:val="center"/>
              </w:tcPr>
              <w:p w14:paraId="55E84245" w14:textId="0E75AA69" w:rsidR="6DF12C46" w:rsidRPr="009A46BB" w:rsidRDefault="6DF12C46" w:rsidP="6DF12C46">
                <w:pPr>
                  <w:spacing w:after="0"/>
                  <w:ind w:left="-20" w:right="-20"/>
                  <w:jc w:val="center"/>
                  <w:rPr>
                    <w:rFonts w:ascii="Times New Roman" w:hAnsi="Times New Roman"/>
                    <w:sz w:val="18"/>
                    <w:szCs w:val="18"/>
                  </w:rPr>
                </w:pPr>
                <w:r w:rsidRPr="009A46BB">
                  <w:rPr>
                    <w:rFonts w:ascii="Times New Roman" w:eastAsia="Times New Roman" w:hAnsi="Times New Roman"/>
                    <w:b/>
                    <w:sz w:val="18"/>
                    <w:szCs w:val="18"/>
                  </w:rPr>
                  <w:t>SALDOS A CORTES DE VIGENCIA</w:t>
                </w:r>
              </w:p>
            </w:tc>
            <w:tc>
              <w:tcPr>
                <w:tcW w:w="1045" w:type="pct"/>
                <w:tcMar>
                  <w:left w:w="70" w:type="dxa"/>
                  <w:right w:w="70" w:type="dxa"/>
                </w:tcMar>
                <w:vAlign w:val="center"/>
              </w:tcPr>
              <w:p w14:paraId="56320AE7" w14:textId="3E943181" w:rsidR="6DF12C46" w:rsidRPr="009A46BB" w:rsidRDefault="6DF12C46" w:rsidP="6DF12C46">
                <w:pPr>
                  <w:spacing w:after="0"/>
                  <w:ind w:left="-20" w:right="-20"/>
                  <w:jc w:val="center"/>
                  <w:rPr>
                    <w:rFonts w:ascii="Times New Roman" w:hAnsi="Times New Roman"/>
                    <w:sz w:val="18"/>
                    <w:szCs w:val="18"/>
                  </w:rPr>
                </w:pPr>
                <w:r w:rsidRPr="009A46BB">
                  <w:rPr>
                    <w:rFonts w:ascii="Times New Roman" w:eastAsia="Times New Roman" w:hAnsi="Times New Roman"/>
                    <w:b/>
                    <w:sz w:val="18"/>
                    <w:szCs w:val="18"/>
                  </w:rPr>
                  <w:t>VARIACIÓN</w:t>
                </w:r>
              </w:p>
            </w:tc>
          </w:tr>
          <w:tr w:rsidR="6DF12C46" w14:paraId="7F4644DE" w14:textId="77777777" w:rsidTr="00E8265B">
            <w:trPr>
              <w:trHeight w:val="340"/>
              <w:jc w:val="center"/>
            </w:trPr>
            <w:tc>
              <w:tcPr>
                <w:tcW w:w="770" w:type="pct"/>
                <w:tcMar>
                  <w:left w:w="70" w:type="dxa"/>
                  <w:right w:w="70" w:type="dxa"/>
                </w:tcMar>
                <w:vAlign w:val="center"/>
              </w:tcPr>
              <w:p w14:paraId="00237E9F" w14:textId="38F8A4DF" w:rsidR="6DF12C46" w:rsidRPr="009A46BB" w:rsidRDefault="6DF12C46" w:rsidP="6DF12C46">
                <w:pPr>
                  <w:spacing w:after="0"/>
                  <w:ind w:left="-20" w:right="-20"/>
                  <w:jc w:val="center"/>
                  <w:rPr>
                    <w:rFonts w:ascii="Times New Roman" w:hAnsi="Times New Roman"/>
                    <w:sz w:val="18"/>
                    <w:szCs w:val="18"/>
                  </w:rPr>
                </w:pPr>
                <w:r w:rsidRPr="009A46BB">
                  <w:rPr>
                    <w:rFonts w:ascii="Times New Roman" w:eastAsia="Times New Roman" w:hAnsi="Times New Roman"/>
                    <w:b/>
                    <w:sz w:val="18"/>
                    <w:szCs w:val="18"/>
                  </w:rPr>
                  <w:t>CÓDIGO CONTABLE</w:t>
                </w:r>
              </w:p>
            </w:tc>
            <w:tc>
              <w:tcPr>
                <w:tcW w:w="1367" w:type="pct"/>
                <w:tcMar>
                  <w:left w:w="70" w:type="dxa"/>
                  <w:right w:w="70" w:type="dxa"/>
                </w:tcMar>
                <w:vAlign w:val="center"/>
              </w:tcPr>
              <w:p w14:paraId="410F7628" w14:textId="720A06AD" w:rsidR="6DF12C46" w:rsidRPr="009A46BB" w:rsidRDefault="6DF12C46" w:rsidP="6DF12C46">
                <w:pPr>
                  <w:spacing w:after="0"/>
                  <w:ind w:left="-20" w:right="-20"/>
                  <w:jc w:val="center"/>
                  <w:rPr>
                    <w:rFonts w:ascii="Times New Roman" w:hAnsi="Times New Roman"/>
                    <w:sz w:val="18"/>
                    <w:szCs w:val="18"/>
                  </w:rPr>
                </w:pPr>
                <w:r w:rsidRPr="009A46BB">
                  <w:rPr>
                    <w:rFonts w:ascii="Times New Roman" w:eastAsia="Times New Roman" w:hAnsi="Times New Roman"/>
                    <w:b/>
                    <w:sz w:val="18"/>
                    <w:szCs w:val="18"/>
                  </w:rPr>
                  <w:t>CONCEPTO</w:t>
                </w:r>
              </w:p>
            </w:tc>
            <w:tc>
              <w:tcPr>
                <w:tcW w:w="909" w:type="pct"/>
                <w:tcMar>
                  <w:left w:w="70" w:type="dxa"/>
                  <w:right w:w="70" w:type="dxa"/>
                </w:tcMar>
                <w:vAlign w:val="center"/>
              </w:tcPr>
              <w:p w14:paraId="41DD2428" w14:textId="12F76B42" w:rsidR="6DF12C46" w:rsidRPr="009A46BB" w:rsidRDefault="6DF12C46" w:rsidP="6DF12C46">
                <w:pPr>
                  <w:spacing w:after="0"/>
                  <w:ind w:left="-20" w:right="-20"/>
                  <w:jc w:val="center"/>
                  <w:rPr>
                    <w:rFonts w:ascii="Times New Roman" w:hAnsi="Times New Roman"/>
                    <w:sz w:val="18"/>
                    <w:szCs w:val="18"/>
                  </w:rPr>
                </w:pPr>
                <w:r w:rsidRPr="009A46BB">
                  <w:rPr>
                    <w:rFonts w:ascii="Times New Roman" w:eastAsia="Times New Roman" w:hAnsi="Times New Roman"/>
                    <w:b/>
                    <w:sz w:val="18"/>
                    <w:szCs w:val="18"/>
                  </w:rPr>
                  <w:t xml:space="preserve">2023 </w:t>
                </w:r>
              </w:p>
            </w:tc>
            <w:tc>
              <w:tcPr>
                <w:tcW w:w="909" w:type="pct"/>
                <w:tcMar>
                  <w:left w:w="70" w:type="dxa"/>
                  <w:right w:w="70" w:type="dxa"/>
                </w:tcMar>
                <w:vAlign w:val="center"/>
              </w:tcPr>
              <w:p w14:paraId="7E2252FB" w14:textId="7C4A99E2" w:rsidR="6DF12C46" w:rsidRPr="009A46BB" w:rsidRDefault="6DF12C46" w:rsidP="6DF12C46">
                <w:pPr>
                  <w:spacing w:after="0"/>
                  <w:ind w:left="-20" w:right="-20"/>
                  <w:jc w:val="center"/>
                  <w:rPr>
                    <w:rFonts w:ascii="Times New Roman" w:hAnsi="Times New Roman"/>
                    <w:sz w:val="18"/>
                    <w:szCs w:val="18"/>
                  </w:rPr>
                </w:pPr>
                <w:r w:rsidRPr="009A46BB">
                  <w:rPr>
                    <w:rFonts w:ascii="Times New Roman" w:eastAsia="Times New Roman" w:hAnsi="Times New Roman"/>
                    <w:b/>
                    <w:sz w:val="18"/>
                    <w:szCs w:val="18"/>
                  </w:rPr>
                  <w:t xml:space="preserve">2022 </w:t>
                </w:r>
              </w:p>
            </w:tc>
            <w:tc>
              <w:tcPr>
                <w:tcW w:w="1045" w:type="pct"/>
                <w:tcMar>
                  <w:left w:w="70" w:type="dxa"/>
                  <w:right w:w="70" w:type="dxa"/>
                </w:tcMar>
                <w:vAlign w:val="center"/>
              </w:tcPr>
              <w:p w14:paraId="1B28B86F" w14:textId="3224A856" w:rsidR="6DF12C46" w:rsidRPr="009A46BB" w:rsidRDefault="6DF12C46" w:rsidP="6DF12C46">
                <w:pPr>
                  <w:spacing w:after="0"/>
                  <w:ind w:left="-20" w:right="-20"/>
                  <w:jc w:val="center"/>
                  <w:rPr>
                    <w:rFonts w:ascii="Times New Roman" w:hAnsi="Times New Roman"/>
                    <w:sz w:val="18"/>
                    <w:szCs w:val="18"/>
                  </w:rPr>
                </w:pPr>
                <w:r w:rsidRPr="009A46BB">
                  <w:rPr>
                    <w:rFonts w:ascii="Times New Roman" w:eastAsia="Times New Roman" w:hAnsi="Times New Roman"/>
                    <w:b/>
                    <w:sz w:val="18"/>
                    <w:szCs w:val="18"/>
                  </w:rPr>
                  <w:t>VALOR VARIACIÓN</w:t>
                </w:r>
              </w:p>
            </w:tc>
          </w:tr>
          <w:tr w:rsidR="6DF12C46" w14:paraId="2D1FBD05" w14:textId="77777777" w:rsidTr="00E8265B">
            <w:trPr>
              <w:trHeight w:val="340"/>
              <w:jc w:val="center"/>
            </w:trPr>
            <w:tc>
              <w:tcPr>
                <w:tcW w:w="770" w:type="pct"/>
                <w:vMerge w:val="restart"/>
                <w:tcMar>
                  <w:left w:w="70" w:type="dxa"/>
                  <w:right w:w="70" w:type="dxa"/>
                </w:tcMar>
                <w:vAlign w:val="center"/>
              </w:tcPr>
              <w:p w14:paraId="725DFF0E" w14:textId="4E8E90C1" w:rsidR="6DF12C46" w:rsidRPr="009A46BB" w:rsidRDefault="6DF12C46" w:rsidP="6DF12C46">
                <w:pPr>
                  <w:spacing w:after="0"/>
                  <w:ind w:left="-20" w:right="-20"/>
                  <w:rPr>
                    <w:rFonts w:ascii="Times New Roman" w:hAnsi="Times New Roman"/>
                    <w:sz w:val="18"/>
                    <w:szCs w:val="18"/>
                  </w:rPr>
                </w:pPr>
                <w:r w:rsidRPr="009A46BB">
                  <w:rPr>
                    <w:rFonts w:ascii="Times New Roman" w:eastAsia="Times New Roman" w:hAnsi="Times New Roman"/>
                    <w:b/>
                    <w:sz w:val="18"/>
                    <w:szCs w:val="18"/>
                  </w:rPr>
                  <w:t>2.9.90.04</w:t>
                </w:r>
              </w:p>
            </w:tc>
            <w:tc>
              <w:tcPr>
                <w:tcW w:w="1367" w:type="pct"/>
                <w:tcMar>
                  <w:left w:w="70" w:type="dxa"/>
                  <w:right w:w="70" w:type="dxa"/>
                </w:tcMar>
                <w:vAlign w:val="center"/>
              </w:tcPr>
              <w:p w14:paraId="0C6F0948" w14:textId="415E4535" w:rsidR="6DF12C46" w:rsidRPr="009A46BB" w:rsidRDefault="6DF12C46" w:rsidP="6DF12C46">
                <w:pPr>
                  <w:spacing w:after="0"/>
                  <w:ind w:left="-20" w:right="-20"/>
                  <w:rPr>
                    <w:rFonts w:ascii="Times New Roman" w:hAnsi="Times New Roman"/>
                    <w:sz w:val="18"/>
                    <w:szCs w:val="18"/>
                  </w:rPr>
                </w:pPr>
                <w:r w:rsidRPr="009A46BB">
                  <w:rPr>
                    <w:rFonts w:ascii="Times New Roman" w:eastAsia="Times New Roman" w:hAnsi="Times New Roman"/>
                    <w:b/>
                    <w:sz w:val="18"/>
                    <w:szCs w:val="18"/>
                  </w:rPr>
                  <w:t>Otros pasivos diferidos</w:t>
                </w:r>
              </w:p>
            </w:tc>
            <w:tc>
              <w:tcPr>
                <w:tcW w:w="909" w:type="pct"/>
                <w:tcMar>
                  <w:left w:w="70" w:type="dxa"/>
                  <w:right w:w="70" w:type="dxa"/>
                </w:tcMar>
                <w:vAlign w:val="center"/>
              </w:tcPr>
              <w:p w14:paraId="5C1B705A" w14:textId="469ABA45" w:rsidR="6DF12C46" w:rsidRPr="009A46BB" w:rsidRDefault="6DF12C46" w:rsidP="6DF12C46">
                <w:pPr>
                  <w:spacing w:after="0"/>
                  <w:ind w:left="-20" w:right="-20"/>
                  <w:jc w:val="right"/>
                  <w:rPr>
                    <w:rFonts w:ascii="Times New Roman" w:hAnsi="Times New Roman"/>
                    <w:sz w:val="18"/>
                    <w:szCs w:val="18"/>
                  </w:rPr>
                </w:pPr>
                <w:r w:rsidRPr="009A46BB">
                  <w:rPr>
                    <w:rFonts w:ascii="Times New Roman" w:eastAsia="Times New Roman" w:hAnsi="Times New Roman"/>
                    <w:b/>
                    <w:sz w:val="18"/>
                    <w:szCs w:val="18"/>
                  </w:rPr>
                  <w:t>25.875.582.952.074</w:t>
                </w:r>
              </w:p>
            </w:tc>
            <w:tc>
              <w:tcPr>
                <w:tcW w:w="909" w:type="pct"/>
                <w:tcMar>
                  <w:left w:w="70" w:type="dxa"/>
                  <w:right w:w="70" w:type="dxa"/>
                </w:tcMar>
                <w:vAlign w:val="center"/>
              </w:tcPr>
              <w:p w14:paraId="6EF4318E" w14:textId="6239690C" w:rsidR="6DF12C46" w:rsidRPr="009A46BB" w:rsidRDefault="6DF12C46" w:rsidP="6DF12C46">
                <w:pPr>
                  <w:spacing w:after="0"/>
                  <w:ind w:left="-20" w:right="-20"/>
                  <w:jc w:val="right"/>
                  <w:rPr>
                    <w:rFonts w:ascii="Times New Roman" w:hAnsi="Times New Roman"/>
                    <w:sz w:val="18"/>
                    <w:szCs w:val="18"/>
                  </w:rPr>
                </w:pPr>
                <w:r w:rsidRPr="009A46BB">
                  <w:rPr>
                    <w:rFonts w:ascii="Times New Roman" w:eastAsia="Times New Roman" w:hAnsi="Times New Roman"/>
                    <w:b/>
                    <w:sz w:val="18"/>
                    <w:szCs w:val="18"/>
                  </w:rPr>
                  <w:t>23.002.391.792.746</w:t>
                </w:r>
              </w:p>
            </w:tc>
            <w:tc>
              <w:tcPr>
                <w:tcW w:w="1045" w:type="pct"/>
                <w:tcMar>
                  <w:left w:w="70" w:type="dxa"/>
                  <w:right w:w="70" w:type="dxa"/>
                </w:tcMar>
                <w:vAlign w:val="center"/>
              </w:tcPr>
              <w:p w14:paraId="05861623" w14:textId="31AE9775" w:rsidR="6DF12C46" w:rsidRPr="009A46BB" w:rsidRDefault="6DF12C46" w:rsidP="6DF12C46">
                <w:pPr>
                  <w:spacing w:after="0"/>
                  <w:ind w:left="-20" w:right="-20"/>
                  <w:jc w:val="right"/>
                  <w:rPr>
                    <w:rFonts w:ascii="Times New Roman" w:hAnsi="Times New Roman"/>
                    <w:sz w:val="18"/>
                    <w:szCs w:val="18"/>
                  </w:rPr>
                </w:pPr>
                <w:r w:rsidRPr="009A46BB">
                  <w:rPr>
                    <w:rFonts w:ascii="Times New Roman" w:eastAsia="Times New Roman" w:hAnsi="Times New Roman"/>
                    <w:b/>
                    <w:sz w:val="18"/>
                    <w:szCs w:val="18"/>
                  </w:rPr>
                  <w:t>2.873.191.159.328</w:t>
                </w:r>
              </w:p>
            </w:tc>
          </w:tr>
          <w:tr w:rsidR="6DF12C46" w14:paraId="7B8B9753" w14:textId="77777777" w:rsidTr="00E8265B">
            <w:trPr>
              <w:trHeight w:val="340"/>
              <w:jc w:val="center"/>
            </w:trPr>
            <w:tc>
              <w:tcPr>
                <w:tcW w:w="770" w:type="pct"/>
                <w:vMerge/>
                <w:tcMar>
                  <w:left w:w="70" w:type="dxa"/>
                  <w:right w:w="70" w:type="dxa"/>
                </w:tcMar>
                <w:vAlign w:val="center"/>
              </w:tcPr>
              <w:p w14:paraId="128739AE" w14:textId="25599198" w:rsidR="6DF12C46" w:rsidRPr="009A46BB" w:rsidRDefault="6DF12C46" w:rsidP="6DF12C46">
                <w:pPr>
                  <w:spacing w:after="0"/>
                  <w:ind w:left="-20" w:right="-20"/>
                  <w:rPr>
                    <w:rFonts w:ascii="Times New Roman" w:hAnsi="Times New Roman"/>
                    <w:sz w:val="18"/>
                    <w:szCs w:val="18"/>
                  </w:rPr>
                </w:pPr>
              </w:p>
            </w:tc>
            <w:tc>
              <w:tcPr>
                <w:tcW w:w="1367" w:type="pct"/>
                <w:tcMar>
                  <w:left w:w="70" w:type="dxa"/>
                  <w:right w:w="70" w:type="dxa"/>
                </w:tcMar>
                <w:vAlign w:val="center"/>
              </w:tcPr>
              <w:p w14:paraId="7E0E777D" w14:textId="5FA8A5AF" w:rsidR="6DF12C46" w:rsidRPr="009A46BB" w:rsidRDefault="6DF12C46" w:rsidP="6DF12C46">
                <w:pPr>
                  <w:spacing w:after="0"/>
                  <w:ind w:left="-20" w:right="-20"/>
                  <w:rPr>
                    <w:rFonts w:ascii="Times New Roman" w:hAnsi="Times New Roman"/>
                    <w:sz w:val="18"/>
                    <w:szCs w:val="18"/>
                  </w:rPr>
                </w:pPr>
                <w:r w:rsidRPr="009A46BB">
                  <w:rPr>
                    <w:rFonts w:ascii="Times New Roman" w:eastAsia="Times New Roman" w:hAnsi="Times New Roman"/>
                    <w:sz w:val="18"/>
                    <w:szCs w:val="18"/>
                  </w:rPr>
                  <w:t>Modo Carretero</w:t>
                </w:r>
              </w:p>
            </w:tc>
            <w:tc>
              <w:tcPr>
                <w:tcW w:w="909" w:type="pct"/>
                <w:tcMar>
                  <w:left w:w="70" w:type="dxa"/>
                  <w:right w:w="70" w:type="dxa"/>
                </w:tcMar>
                <w:vAlign w:val="center"/>
              </w:tcPr>
              <w:p w14:paraId="6D80BE42" w14:textId="72CF6C30" w:rsidR="6DF12C46" w:rsidRPr="009A46BB" w:rsidRDefault="6DF12C46" w:rsidP="6DF12C46">
                <w:pPr>
                  <w:spacing w:after="0"/>
                  <w:ind w:left="-20" w:right="-20"/>
                  <w:jc w:val="right"/>
                  <w:rPr>
                    <w:rFonts w:ascii="Times New Roman" w:hAnsi="Times New Roman"/>
                    <w:sz w:val="18"/>
                    <w:szCs w:val="18"/>
                  </w:rPr>
                </w:pPr>
                <w:r w:rsidRPr="009A46BB">
                  <w:rPr>
                    <w:rFonts w:ascii="Times New Roman" w:eastAsia="Times New Roman" w:hAnsi="Times New Roman"/>
                    <w:sz w:val="18"/>
                    <w:szCs w:val="18"/>
                  </w:rPr>
                  <w:t>20.793.009.572.571</w:t>
                </w:r>
              </w:p>
            </w:tc>
            <w:tc>
              <w:tcPr>
                <w:tcW w:w="909" w:type="pct"/>
                <w:tcMar>
                  <w:left w:w="70" w:type="dxa"/>
                  <w:right w:w="70" w:type="dxa"/>
                </w:tcMar>
                <w:vAlign w:val="center"/>
              </w:tcPr>
              <w:p w14:paraId="7DD145C1" w14:textId="4AE7A8D5" w:rsidR="6DF12C46" w:rsidRPr="009A46BB" w:rsidRDefault="6DF12C46" w:rsidP="6DF12C46">
                <w:pPr>
                  <w:spacing w:after="0"/>
                  <w:ind w:left="-20" w:right="-20"/>
                  <w:jc w:val="right"/>
                  <w:rPr>
                    <w:rFonts w:ascii="Times New Roman" w:hAnsi="Times New Roman"/>
                    <w:sz w:val="18"/>
                    <w:szCs w:val="18"/>
                  </w:rPr>
                </w:pPr>
                <w:r w:rsidRPr="009A46BB">
                  <w:rPr>
                    <w:rFonts w:ascii="Times New Roman" w:eastAsia="Times New Roman" w:hAnsi="Times New Roman"/>
                    <w:sz w:val="18"/>
                    <w:szCs w:val="18"/>
                  </w:rPr>
                  <w:t>18.688.330.331.823</w:t>
                </w:r>
              </w:p>
            </w:tc>
            <w:tc>
              <w:tcPr>
                <w:tcW w:w="1045" w:type="pct"/>
                <w:tcMar>
                  <w:left w:w="70" w:type="dxa"/>
                  <w:right w:w="70" w:type="dxa"/>
                </w:tcMar>
                <w:vAlign w:val="center"/>
              </w:tcPr>
              <w:p w14:paraId="4B3371BC" w14:textId="71808675" w:rsidR="6DF12C46" w:rsidRPr="009A46BB" w:rsidRDefault="6DF12C46" w:rsidP="6DF12C46">
                <w:pPr>
                  <w:spacing w:after="0"/>
                  <w:ind w:left="-20" w:right="-20"/>
                  <w:jc w:val="right"/>
                  <w:rPr>
                    <w:rFonts w:ascii="Times New Roman" w:hAnsi="Times New Roman"/>
                    <w:sz w:val="18"/>
                    <w:szCs w:val="18"/>
                  </w:rPr>
                </w:pPr>
                <w:r w:rsidRPr="009A46BB">
                  <w:rPr>
                    <w:rFonts w:ascii="Times New Roman" w:eastAsia="Times New Roman" w:hAnsi="Times New Roman"/>
                    <w:sz w:val="18"/>
                    <w:szCs w:val="18"/>
                  </w:rPr>
                  <w:t>2.104.679.240.749</w:t>
                </w:r>
              </w:p>
            </w:tc>
          </w:tr>
          <w:tr w:rsidR="6DF12C46" w14:paraId="45531428" w14:textId="77777777" w:rsidTr="00E8265B">
            <w:trPr>
              <w:trHeight w:val="340"/>
              <w:jc w:val="center"/>
            </w:trPr>
            <w:tc>
              <w:tcPr>
                <w:tcW w:w="770" w:type="pct"/>
                <w:vMerge/>
                <w:tcMar>
                  <w:left w:w="70" w:type="dxa"/>
                  <w:right w:w="70" w:type="dxa"/>
                </w:tcMar>
                <w:vAlign w:val="center"/>
              </w:tcPr>
              <w:p w14:paraId="6C2B9095" w14:textId="2B0E9357" w:rsidR="6DF12C46" w:rsidRPr="009A46BB" w:rsidRDefault="6DF12C46" w:rsidP="6DF12C46">
                <w:pPr>
                  <w:spacing w:after="0"/>
                  <w:ind w:left="-20" w:right="-20"/>
                  <w:rPr>
                    <w:rFonts w:ascii="Times New Roman" w:hAnsi="Times New Roman"/>
                    <w:sz w:val="18"/>
                    <w:szCs w:val="18"/>
                  </w:rPr>
                </w:pPr>
              </w:p>
            </w:tc>
            <w:tc>
              <w:tcPr>
                <w:tcW w:w="1367" w:type="pct"/>
                <w:tcMar>
                  <w:left w:w="70" w:type="dxa"/>
                  <w:right w:w="70" w:type="dxa"/>
                </w:tcMar>
                <w:vAlign w:val="center"/>
              </w:tcPr>
              <w:p w14:paraId="033478F9" w14:textId="2AA23FD0" w:rsidR="6DF12C46" w:rsidRPr="009A46BB" w:rsidRDefault="6DF12C46" w:rsidP="6DF12C46">
                <w:pPr>
                  <w:spacing w:after="0"/>
                  <w:ind w:left="-20" w:right="-20"/>
                  <w:rPr>
                    <w:rFonts w:ascii="Times New Roman" w:hAnsi="Times New Roman"/>
                    <w:sz w:val="18"/>
                    <w:szCs w:val="18"/>
                  </w:rPr>
                </w:pPr>
                <w:r w:rsidRPr="009A46BB">
                  <w:rPr>
                    <w:rFonts w:ascii="Times New Roman" w:eastAsia="Times New Roman" w:hAnsi="Times New Roman"/>
                    <w:sz w:val="18"/>
                    <w:szCs w:val="18"/>
                  </w:rPr>
                  <w:t>Modo Portuario</w:t>
                </w:r>
              </w:p>
            </w:tc>
            <w:tc>
              <w:tcPr>
                <w:tcW w:w="909" w:type="pct"/>
                <w:tcMar>
                  <w:left w:w="70" w:type="dxa"/>
                  <w:right w:w="70" w:type="dxa"/>
                </w:tcMar>
                <w:vAlign w:val="center"/>
              </w:tcPr>
              <w:p w14:paraId="553D82B1" w14:textId="1E869B3D" w:rsidR="6DF12C46" w:rsidRPr="009A46BB" w:rsidRDefault="6DF12C46" w:rsidP="6DF12C46">
                <w:pPr>
                  <w:spacing w:after="0"/>
                  <w:ind w:left="-20" w:right="-20"/>
                  <w:jc w:val="right"/>
                  <w:rPr>
                    <w:rFonts w:ascii="Times New Roman" w:hAnsi="Times New Roman"/>
                    <w:sz w:val="18"/>
                    <w:szCs w:val="18"/>
                  </w:rPr>
                </w:pPr>
                <w:r w:rsidRPr="009A46BB">
                  <w:rPr>
                    <w:rFonts w:ascii="Times New Roman" w:eastAsia="Times New Roman" w:hAnsi="Times New Roman"/>
                    <w:sz w:val="18"/>
                    <w:szCs w:val="18"/>
                  </w:rPr>
                  <w:t>4.629.374.758.454</w:t>
                </w:r>
              </w:p>
            </w:tc>
            <w:tc>
              <w:tcPr>
                <w:tcW w:w="909" w:type="pct"/>
                <w:tcMar>
                  <w:left w:w="70" w:type="dxa"/>
                  <w:right w:w="70" w:type="dxa"/>
                </w:tcMar>
                <w:vAlign w:val="center"/>
              </w:tcPr>
              <w:p w14:paraId="64022DD1" w14:textId="45E0DFA7" w:rsidR="6DF12C46" w:rsidRPr="009A46BB" w:rsidRDefault="6DF12C46" w:rsidP="6DF12C46">
                <w:pPr>
                  <w:spacing w:after="0"/>
                  <w:ind w:left="-20" w:right="-20"/>
                  <w:jc w:val="right"/>
                  <w:rPr>
                    <w:rFonts w:ascii="Times New Roman" w:hAnsi="Times New Roman"/>
                    <w:sz w:val="18"/>
                    <w:szCs w:val="18"/>
                  </w:rPr>
                </w:pPr>
                <w:r w:rsidRPr="009A46BB">
                  <w:rPr>
                    <w:rFonts w:ascii="Times New Roman" w:eastAsia="Times New Roman" w:hAnsi="Times New Roman"/>
                    <w:sz w:val="18"/>
                    <w:szCs w:val="18"/>
                  </w:rPr>
                  <w:t>3.870.413.412.650</w:t>
                </w:r>
              </w:p>
            </w:tc>
            <w:tc>
              <w:tcPr>
                <w:tcW w:w="1045" w:type="pct"/>
                <w:tcMar>
                  <w:left w:w="70" w:type="dxa"/>
                  <w:right w:w="70" w:type="dxa"/>
                </w:tcMar>
                <w:vAlign w:val="center"/>
              </w:tcPr>
              <w:p w14:paraId="05605ACF" w14:textId="5AFF2001" w:rsidR="6DF12C46" w:rsidRPr="009A46BB" w:rsidRDefault="6DF12C46" w:rsidP="6DF12C46">
                <w:pPr>
                  <w:spacing w:after="0"/>
                  <w:ind w:left="-20" w:right="-20"/>
                  <w:jc w:val="right"/>
                  <w:rPr>
                    <w:rFonts w:ascii="Times New Roman" w:hAnsi="Times New Roman"/>
                    <w:sz w:val="18"/>
                    <w:szCs w:val="18"/>
                  </w:rPr>
                </w:pPr>
                <w:r w:rsidRPr="009A46BB">
                  <w:rPr>
                    <w:rFonts w:ascii="Times New Roman" w:eastAsia="Times New Roman" w:hAnsi="Times New Roman"/>
                    <w:sz w:val="18"/>
                    <w:szCs w:val="18"/>
                  </w:rPr>
                  <w:t>758.961.345.804</w:t>
                </w:r>
              </w:p>
            </w:tc>
          </w:tr>
          <w:tr w:rsidR="6DF12C46" w14:paraId="1B470E4C" w14:textId="77777777" w:rsidTr="00E8265B">
            <w:trPr>
              <w:trHeight w:val="340"/>
              <w:jc w:val="center"/>
            </w:trPr>
            <w:tc>
              <w:tcPr>
                <w:tcW w:w="770" w:type="pct"/>
                <w:vMerge/>
                <w:tcMar>
                  <w:left w:w="70" w:type="dxa"/>
                  <w:right w:w="70" w:type="dxa"/>
                </w:tcMar>
                <w:vAlign w:val="center"/>
              </w:tcPr>
              <w:p w14:paraId="274305FD" w14:textId="55625A09" w:rsidR="6DF12C46" w:rsidRPr="009A46BB" w:rsidRDefault="6DF12C46" w:rsidP="6DF12C46">
                <w:pPr>
                  <w:spacing w:after="0"/>
                  <w:ind w:left="-20" w:right="-20"/>
                  <w:rPr>
                    <w:rFonts w:ascii="Times New Roman" w:hAnsi="Times New Roman"/>
                    <w:sz w:val="18"/>
                    <w:szCs w:val="18"/>
                  </w:rPr>
                </w:pPr>
              </w:p>
            </w:tc>
            <w:tc>
              <w:tcPr>
                <w:tcW w:w="1367" w:type="pct"/>
                <w:tcMar>
                  <w:left w:w="70" w:type="dxa"/>
                  <w:right w:w="70" w:type="dxa"/>
                </w:tcMar>
                <w:vAlign w:val="center"/>
              </w:tcPr>
              <w:p w14:paraId="098E6D3B" w14:textId="65D2FE63" w:rsidR="6DF12C46" w:rsidRPr="009A46BB" w:rsidRDefault="6DF12C46" w:rsidP="6DF12C46">
                <w:pPr>
                  <w:spacing w:after="0"/>
                  <w:ind w:left="-20" w:right="-20"/>
                  <w:rPr>
                    <w:rFonts w:ascii="Times New Roman" w:hAnsi="Times New Roman"/>
                    <w:sz w:val="18"/>
                    <w:szCs w:val="18"/>
                  </w:rPr>
                </w:pPr>
                <w:r w:rsidRPr="009A46BB">
                  <w:rPr>
                    <w:rFonts w:ascii="Times New Roman" w:eastAsia="Times New Roman" w:hAnsi="Times New Roman"/>
                    <w:sz w:val="18"/>
                    <w:szCs w:val="18"/>
                  </w:rPr>
                  <w:t>Modo Férreo</w:t>
                </w:r>
              </w:p>
            </w:tc>
            <w:tc>
              <w:tcPr>
                <w:tcW w:w="909" w:type="pct"/>
                <w:tcMar>
                  <w:left w:w="70" w:type="dxa"/>
                  <w:right w:w="70" w:type="dxa"/>
                </w:tcMar>
                <w:vAlign w:val="center"/>
              </w:tcPr>
              <w:p w14:paraId="18B70254" w14:textId="56C54302" w:rsidR="6DF12C46" w:rsidRPr="009A46BB" w:rsidRDefault="6DF12C46" w:rsidP="6DF12C46">
                <w:pPr>
                  <w:spacing w:after="0"/>
                  <w:ind w:left="-20" w:right="-20"/>
                  <w:jc w:val="right"/>
                  <w:rPr>
                    <w:rFonts w:ascii="Times New Roman" w:hAnsi="Times New Roman"/>
                    <w:sz w:val="18"/>
                    <w:szCs w:val="18"/>
                  </w:rPr>
                </w:pPr>
                <w:r w:rsidRPr="009A46BB">
                  <w:rPr>
                    <w:rFonts w:ascii="Times New Roman" w:eastAsia="Times New Roman" w:hAnsi="Times New Roman"/>
                    <w:sz w:val="18"/>
                    <w:szCs w:val="18"/>
                  </w:rPr>
                  <w:t>453.198.621.049</w:t>
                </w:r>
              </w:p>
            </w:tc>
            <w:tc>
              <w:tcPr>
                <w:tcW w:w="909" w:type="pct"/>
                <w:tcMar>
                  <w:left w:w="70" w:type="dxa"/>
                  <w:right w:w="70" w:type="dxa"/>
                </w:tcMar>
                <w:vAlign w:val="center"/>
              </w:tcPr>
              <w:p w14:paraId="50CCBB0E" w14:textId="03FA8F65" w:rsidR="6DF12C46" w:rsidRPr="009A46BB" w:rsidRDefault="6DF12C46" w:rsidP="6DF12C46">
                <w:pPr>
                  <w:spacing w:after="0"/>
                  <w:ind w:left="-20" w:right="-20"/>
                  <w:jc w:val="right"/>
                  <w:rPr>
                    <w:rFonts w:ascii="Times New Roman" w:hAnsi="Times New Roman"/>
                    <w:sz w:val="18"/>
                    <w:szCs w:val="18"/>
                  </w:rPr>
                </w:pPr>
                <w:r w:rsidRPr="009A46BB">
                  <w:rPr>
                    <w:rFonts w:ascii="Times New Roman" w:eastAsia="Times New Roman" w:hAnsi="Times New Roman"/>
                    <w:sz w:val="18"/>
                    <w:szCs w:val="18"/>
                  </w:rPr>
                  <w:t>443.648.048.273</w:t>
                </w:r>
              </w:p>
            </w:tc>
            <w:tc>
              <w:tcPr>
                <w:tcW w:w="1045" w:type="pct"/>
                <w:tcMar>
                  <w:left w:w="70" w:type="dxa"/>
                  <w:right w:w="70" w:type="dxa"/>
                </w:tcMar>
                <w:vAlign w:val="center"/>
              </w:tcPr>
              <w:p w14:paraId="28909640" w14:textId="5ED63345" w:rsidR="6DF12C46" w:rsidRPr="009A46BB" w:rsidRDefault="6DF12C46" w:rsidP="6DF12C46">
                <w:pPr>
                  <w:spacing w:after="0"/>
                  <w:ind w:left="-20" w:right="-20"/>
                  <w:jc w:val="right"/>
                  <w:rPr>
                    <w:rFonts w:ascii="Times New Roman" w:hAnsi="Times New Roman"/>
                    <w:sz w:val="18"/>
                    <w:szCs w:val="18"/>
                  </w:rPr>
                </w:pPr>
                <w:r w:rsidRPr="009A46BB">
                  <w:rPr>
                    <w:rFonts w:ascii="Times New Roman" w:eastAsia="Times New Roman" w:hAnsi="Times New Roman"/>
                    <w:sz w:val="18"/>
                    <w:szCs w:val="18"/>
                  </w:rPr>
                  <w:t>9.550.572.776</w:t>
                </w:r>
              </w:p>
            </w:tc>
          </w:tr>
          <w:tr w:rsidR="6DF12C46" w14:paraId="361C2BD0" w14:textId="77777777" w:rsidTr="00E8265B">
            <w:trPr>
              <w:trHeight w:val="340"/>
              <w:jc w:val="center"/>
            </w:trPr>
            <w:tc>
              <w:tcPr>
                <w:tcW w:w="770" w:type="pct"/>
                <w:vMerge/>
                <w:tcMar>
                  <w:left w:w="70" w:type="dxa"/>
                  <w:right w:w="70" w:type="dxa"/>
                </w:tcMar>
                <w:vAlign w:val="center"/>
              </w:tcPr>
              <w:p w14:paraId="446550F1" w14:textId="383DFA73" w:rsidR="6DF12C46" w:rsidRPr="009A46BB" w:rsidRDefault="6DF12C46" w:rsidP="6DF12C46">
                <w:pPr>
                  <w:spacing w:after="0"/>
                  <w:ind w:left="-20" w:right="-20"/>
                  <w:rPr>
                    <w:rFonts w:ascii="Times New Roman" w:hAnsi="Times New Roman"/>
                    <w:sz w:val="18"/>
                    <w:szCs w:val="18"/>
                  </w:rPr>
                </w:pPr>
              </w:p>
            </w:tc>
            <w:tc>
              <w:tcPr>
                <w:tcW w:w="1367" w:type="pct"/>
                <w:tcMar>
                  <w:left w:w="70" w:type="dxa"/>
                  <w:right w:w="70" w:type="dxa"/>
                </w:tcMar>
                <w:vAlign w:val="center"/>
              </w:tcPr>
              <w:p w14:paraId="36FF333D" w14:textId="0CF5EB22" w:rsidR="6DF12C46" w:rsidRPr="009A46BB" w:rsidRDefault="6DF12C46" w:rsidP="6DF12C46">
                <w:pPr>
                  <w:spacing w:after="0"/>
                  <w:ind w:left="-20" w:right="-20"/>
                  <w:rPr>
                    <w:rFonts w:ascii="Times New Roman" w:hAnsi="Times New Roman"/>
                    <w:sz w:val="18"/>
                    <w:szCs w:val="18"/>
                  </w:rPr>
                </w:pPr>
                <w:r w:rsidRPr="009A46BB">
                  <w:rPr>
                    <w:rFonts w:ascii="Times New Roman" w:eastAsia="Times New Roman" w:hAnsi="Times New Roman"/>
                    <w:sz w:val="18"/>
                    <w:szCs w:val="18"/>
                  </w:rPr>
                  <w:t>Modo Aeroportuario</w:t>
                </w:r>
              </w:p>
            </w:tc>
            <w:tc>
              <w:tcPr>
                <w:tcW w:w="909" w:type="pct"/>
                <w:tcMar>
                  <w:left w:w="70" w:type="dxa"/>
                  <w:right w:w="70" w:type="dxa"/>
                </w:tcMar>
                <w:vAlign w:val="center"/>
              </w:tcPr>
              <w:p w14:paraId="01261C76" w14:textId="4CE667A8" w:rsidR="6DF12C46" w:rsidRPr="009A46BB" w:rsidRDefault="6DF12C46" w:rsidP="6DF12C46">
                <w:pPr>
                  <w:spacing w:after="0"/>
                  <w:ind w:left="-20" w:right="-20"/>
                  <w:jc w:val="right"/>
                  <w:rPr>
                    <w:rFonts w:ascii="Times New Roman" w:hAnsi="Times New Roman"/>
                    <w:sz w:val="18"/>
                    <w:szCs w:val="18"/>
                  </w:rPr>
                </w:pPr>
                <w:r w:rsidRPr="009A46BB">
                  <w:rPr>
                    <w:rFonts w:ascii="Times New Roman" w:eastAsia="Times New Roman" w:hAnsi="Times New Roman"/>
                    <w:sz w:val="18"/>
                    <w:szCs w:val="18"/>
                  </w:rPr>
                  <w:t>0</w:t>
                </w:r>
              </w:p>
            </w:tc>
            <w:tc>
              <w:tcPr>
                <w:tcW w:w="909" w:type="pct"/>
                <w:tcMar>
                  <w:left w:w="70" w:type="dxa"/>
                  <w:right w:w="70" w:type="dxa"/>
                </w:tcMar>
                <w:vAlign w:val="center"/>
              </w:tcPr>
              <w:p w14:paraId="0CDD395A" w14:textId="783BFC76" w:rsidR="6DF12C46" w:rsidRPr="009A46BB" w:rsidRDefault="6DF12C46" w:rsidP="6DF12C46">
                <w:pPr>
                  <w:spacing w:after="0"/>
                  <w:ind w:left="-20" w:right="-20"/>
                  <w:jc w:val="right"/>
                  <w:rPr>
                    <w:rFonts w:ascii="Times New Roman" w:hAnsi="Times New Roman"/>
                    <w:sz w:val="18"/>
                    <w:szCs w:val="18"/>
                  </w:rPr>
                </w:pPr>
                <w:r w:rsidRPr="009A46BB">
                  <w:rPr>
                    <w:rFonts w:ascii="Times New Roman" w:eastAsia="Times New Roman" w:hAnsi="Times New Roman"/>
                    <w:sz w:val="18"/>
                    <w:szCs w:val="18"/>
                  </w:rPr>
                  <w:t>0</w:t>
                </w:r>
              </w:p>
            </w:tc>
            <w:tc>
              <w:tcPr>
                <w:tcW w:w="1045" w:type="pct"/>
                <w:tcMar>
                  <w:left w:w="70" w:type="dxa"/>
                  <w:right w:w="70" w:type="dxa"/>
                </w:tcMar>
                <w:vAlign w:val="center"/>
              </w:tcPr>
              <w:p w14:paraId="3A12B65B" w14:textId="0A3D6104" w:rsidR="6DF12C46" w:rsidRPr="009A46BB" w:rsidRDefault="6DF12C46" w:rsidP="6DF12C46">
                <w:pPr>
                  <w:spacing w:after="0"/>
                  <w:ind w:left="-20" w:right="-20"/>
                  <w:jc w:val="right"/>
                  <w:rPr>
                    <w:rFonts w:ascii="Times New Roman" w:hAnsi="Times New Roman"/>
                    <w:sz w:val="18"/>
                    <w:szCs w:val="18"/>
                  </w:rPr>
                </w:pPr>
                <w:r w:rsidRPr="009A46BB">
                  <w:rPr>
                    <w:rFonts w:ascii="Times New Roman" w:eastAsia="Times New Roman" w:hAnsi="Times New Roman"/>
                    <w:sz w:val="18"/>
                    <w:szCs w:val="18"/>
                  </w:rPr>
                  <w:t>0</w:t>
                </w:r>
              </w:p>
            </w:tc>
          </w:tr>
        </w:tbl>
        <w:p w14:paraId="66BBB3A9" w14:textId="65406E7F" w:rsidR="00162331" w:rsidRPr="009A46BB" w:rsidRDefault="3F4528E4" w:rsidP="6DF12C46">
          <w:pPr>
            <w:spacing w:after="0" w:line="240" w:lineRule="auto"/>
            <w:ind w:left="-20" w:right="-20"/>
            <w:jc w:val="both"/>
            <w:rPr>
              <w:rFonts w:ascii="Times New Roman" w:hAnsi="Times New Roman"/>
            </w:rPr>
          </w:pPr>
          <w:r w:rsidRPr="6DF12C46">
            <w:rPr>
              <w:rFonts w:ascii="Times New Roman" w:eastAsia="Times New Roman" w:hAnsi="Times New Roman"/>
              <w:color w:val="000000" w:themeColor="text1"/>
              <w:sz w:val="14"/>
              <w:szCs w:val="14"/>
            </w:rPr>
            <w:t xml:space="preserve"> Cifras expresadas en pesos </w:t>
          </w:r>
        </w:p>
        <w:p w14:paraId="2CD5B349" w14:textId="139B43FD" w:rsidR="4622D3FC" w:rsidRDefault="4622D3FC" w:rsidP="4622D3FC">
          <w:pPr>
            <w:spacing w:after="0" w:line="240" w:lineRule="auto"/>
            <w:ind w:left="-20" w:right="-20"/>
            <w:jc w:val="both"/>
            <w:rPr>
              <w:rFonts w:ascii="Times New Roman" w:eastAsia="Times New Roman" w:hAnsi="Times New Roman"/>
              <w:color w:val="000000" w:themeColor="text1"/>
              <w:sz w:val="24"/>
              <w:szCs w:val="24"/>
            </w:rPr>
          </w:pPr>
        </w:p>
        <w:p w14:paraId="7E964EA4" w14:textId="192BDF43" w:rsidR="4622D3FC" w:rsidRDefault="4622D3FC" w:rsidP="4622D3FC">
          <w:pPr>
            <w:spacing w:after="0" w:line="240" w:lineRule="auto"/>
            <w:ind w:left="-20" w:right="-20"/>
            <w:jc w:val="both"/>
            <w:rPr>
              <w:rFonts w:ascii="Times New Roman" w:eastAsia="Times New Roman" w:hAnsi="Times New Roman"/>
              <w:sz w:val="14"/>
              <w:szCs w:val="14"/>
            </w:rPr>
          </w:pPr>
        </w:p>
        <w:p w14:paraId="6EC981A3" w14:textId="3BA5A6C5" w:rsidR="00842353" w:rsidRPr="00931DCE" w:rsidRDefault="3F4528E4" w:rsidP="59833EBD">
          <w:pPr>
            <w:spacing w:after="0" w:line="240" w:lineRule="auto"/>
            <w:ind w:left="-20" w:right="-20"/>
            <w:jc w:val="both"/>
            <w:rPr>
              <w:rFonts w:ascii="Times New Roman" w:hAnsi="Times New Roman"/>
              <w:color w:val="000000"/>
              <w:sz w:val="24"/>
              <w:szCs w:val="24"/>
            </w:rPr>
          </w:pPr>
          <w:r w:rsidRPr="6DF12C46">
            <w:rPr>
              <w:rFonts w:ascii="Times New Roman" w:eastAsia="Times New Roman" w:hAnsi="Times New Roman"/>
              <w:sz w:val="14"/>
              <w:szCs w:val="14"/>
            </w:rPr>
            <w:t xml:space="preserve"> </w:t>
          </w:r>
          <w:r w:rsidR="00842353" w:rsidRPr="59833EBD">
            <w:rPr>
              <w:rFonts w:ascii="Times New Roman" w:hAnsi="Times New Roman"/>
              <w:color w:val="000000" w:themeColor="text1"/>
              <w:sz w:val="24"/>
              <w:szCs w:val="24"/>
            </w:rPr>
            <w:t xml:space="preserve">Las variaciones presentadas, en las operaciones frente al año </w:t>
          </w:r>
          <w:r w:rsidR="00EF6E05" w:rsidRPr="59833EBD">
            <w:rPr>
              <w:rFonts w:ascii="Times New Roman" w:hAnsi="Times New Roman"/>
              <w:color w:val="000000" w:themeColor="text1"/>
              <w:sz w:val="24"/>
              <w:szCs w:val="24"/>
            </w:rPr>
            <w:t>202</w:t>
          </w:r>
          <w:r w:rsidR="0ED2342C" w:rsidRPr="59833EBD">
            <w:rPr>
              <w:rFonts w:ascii="Times New Roman" w:hAnsi="Times New Roman"/>
              <w:color w:val="000000" w:themeColor="text1"/>
              <w:sz w:val="24"/>
              <w:szCs w:val="24"/>
            </w:rPr>
            <w:t>3</w:t>
          </w:r>
          <w:r w:rsidR="00842353" w:rsidRPr="59833EBD">
            <w:rPr>
              <w:rFonts w:ascii="Times New Roman" w:hAnsi="Times New Roman"/>
              <w:color w:val="000000" w:themeColor="text1"/>
              <w:sz w:val="24"/>
              <w:szCs w:val="24"/>
            </w:rPr>
            <w:t>, obedecieron a:</w:t>
          </w:r>
        </w:p>
        <w:p w14:paraId="437F3A3C" w14:textId="77777777" w:rsidR="00842353" w:rsidRPr="00931DCE" w:rsidRDefault="00842353" w:rsidP="00842353">
          <w:pPr>
            <w:spacing w:after="0" w:line="240" w:lineRule="auto"/>
            <w:jc w:val="both"/>
            <w:rPr>
              <w:rFonts w:ascii="Times New Roman" w:hAnsi="Times New Roman"/>
              <w:color w:val="000000"/>
              <w:sz w:val="24"/>
              <w:szCs w:val="24"/>
            </w:rPr>
          </w:pPr>
        </w:p>
        <w:p w14:paraId="02E9D88E" w14:textId="77777777" w:rsidR="00842353" w:rsidRPr="00931DCE" w:rsidRDefault="00842353" w:rsidP="00E60BAB">
          <w:pPr>
            <w:pStyle w:val="Prrafodelista"/>
            <w:numPr>
              <w:ilvl w:val="0"/>
              <w:numId w:val="48"/>
            </w:numPr>
            <w:spacing w:after="0" w:line="240" w:lineRule="auto"/>
            <w:jc w:val="both"/>
            <w:rPr>
              <w:rFonts w:ascii="Times New Roman" w:hAnsi="Times New Roman"/>
              <w:color w:val="000000"/>
              <w:sz w:val="24"/>
              <w:szCs w:val="24"/>
            </w:rPr>
          </w:pPr>
          <w:r w:rsidRPr="00931DCE">
            <w:rPr>
              <w:rFonts w:ascii="Times New Roman" w:hAnsi="Times New Roman"/>
              <w:color w:val="000000"/>
              <w:sz w:val="24"/>
              <w:szCs w:val="24"/>
            </w:rPr>
            <w:t xml:space="preserve">Modo de transporte carretero: actualización de la red de carretera en aplicación de la técnica de medición establecida. </w:t>
          </w:r>
        </w:p>
        <w:p w14:paraId="6025815F" w14:textId="77777777" w:rsidR="00842353" w:rsidRPr="00931DCE" w:rsidRDefault="00842353" w:rsidP="00E60BAB">
          <w:pPr>
            <w:pStyle w:val="Prrafodelista"/>
            <w:numPr>
              <w:ilvl w:val="0"/>
              <w:numId w:val="48"/>
            </w:numPr>
            <w:spacing w:after="0" w:line="240" w:lineRule="auto"/>
            <w:jc w:val="both"/>
            <w:rPr>
              <w:rFonts w:ascii="Times New Roman" w:hAnsi="Times New Roman"/>
              <w:color w:val="000000"/>
              <w:sz w:val="24"/>
              <w:szCs w:val="24"/>
            </w:rPr>
          </w:pPr>
          <w:r w:rsidRPr="00931DCE">
            <w:rPr>
              <w:rFonts w:ascii="Times New Roman" w:hAnsi="Times New Roman"/>
              <w:color w:val="000000"/>
              <w:sz w:val="24"/>
              <w:szCs w:val="24"/>
            </w:rPr>
            <w:t>Modo de transporte portuario: la actualización de inversiones reportada por los concesionarios.</w:t>
          </w:r>
        </w:p>
        <w:p w14:paraId="19E105CA" w14:textId="77777777" w:rsidR="00842353" w:rsidRPr="00931DCE" w:rsidRDefault="00842353" w:rsidP="00E60BAB">
          <w:pPr>
            <w:pStyle w:val="Prrafodelista"/>
            <w:numPr>
              <w:ilvl w:val="0"/>
              <w:numId w:val="48"/>
            </w:numPr>
            <w:spacing w:after="0" w:line="240" w:lineRule="auto"/>
            <w:jc w:val="both"/>
            <w:rPr>
              <w:rFonts w:ascii="Times New Roman" w:hAnsi="Times New Roman"/>
              <w:color w:val="000000"/>
              <w:sz w:val="24"/>
              <w:szCs w:val="24"/>
            </w:rPr>
          </w:pPr>
          <w:r w:rsidRPr="00931DCE">
            <w:rPr>
              <w:rFonts w:ascii="Times New Roman" w:hAnsi="Times New Roman"/>
              <w:color w:val="000000"/>
              <w:sz w:val="24"/>
              <w:szCs w:val="24"/>
            </w:rPr>
            <w:t>Modo de transporte férreo: la actualización de información remitida por los concesionarios e interventorías.</w:t>
          </w:r>
        </w:p>
        <w:p w14:paraId="6E94CF06" w14:textId="77777777" w:rsidR="00842353" w:rsidRDefault="00842353" w:rsidP="00376E7E">
          <w:pPr>
            <w:spacing w:after="0" w:line="240" w:lineRule="auto"/>
            <w:jc w:val="both"/>
            <w:rPr>
              <w:rFonts w:ascii="Times New Roman" w:hAnsi="Times New Roman"/>
              <w:sz w:val="24"/>
              <w:szCs w:val="24"/>
            </w:rPr>
          </w:pPr>
        </w:p>
        <w:p w14:paraId="7ADEB816" w14:textId="77777777" w:rsidR="00C374BB" w:rsidRDefault="00C374BB" w:rsidP="00376E7E">
          <w:pPr>
            <w:spacing w:after="0" w:line="240" w:lineRule="auto"/>
            <w:jc w:val="both"/>
            <w:rPr>
              <w:rFonts w:ascii="Times New Roman" w:hAnsi="Times New Roman"/>
              <w:sz w:val="24"/>
              <w:szCs w:val="24"/>
            </w:rPr>
          </w:pPr>
        </w:p>
        <w:p w14:paraId="076381EB" w14:textId="77777777" w:rsidR="00C374BB" w:rsidRDefault="00C374BB" w:rsidP="00376E7E">
          <w:pPr>
            <w:spacing w:after="0" w:line="240" w:lineRule="auto"/>
            <w:jc w:val="both"/>
            <w:rPr>
              <w:rFonts w:ascii="Times New Roman" w:hAnsi="Times New Roman"/>
              <w:sz w:val="24"/>
              <w:szCs w:val="24"/>
            </w:rPr>
          </w:pPr>
        </w:p>
        <w:p w14:paraId="1B35BB6E" w14:textId="77777777" w:rsidR="00C374BB" w:rsidRPr="00931DCE" w:rsidRDefault="00C374BB" w:rsidP="00376E7E">
          <w:pPr>
            <w:spacing w:after="0" w:line="240" w:lineRule="auto"/>
            <w:jc w:val="both"/>
            <w:rPr>
              <w:rFonts w:ascii="Times New Roman" w:hAnsi="Times New Roman"/>
              <w:sz w:val="24"/>
              <w:szCs w:val="24"/>
            </w:rPr>
          </w:pPr>
        </w:p>
        <w:p w14:paraId="4D495D93" w14:textId="73DBF7BE" w:rsidR="00CA43D9" w:rsidRPr="00931DCE" w:rsidRDefault="00E70982">
          <w:pPr>
            <w:pStyle w:val="Ttulo2"/>
            <w:numPr>
              <w:ilvl w:val="2"/>
              <w:numId w:val="16"/>
            </w:numPr>
            <w:spacing w:line="240" w:lineRule="auto"/>
            <w:ind w:left="709"/>
            <w:rPr>
              <w:rFonts w:cs="Times New Roman"/>
              <w:szCs w:val="24"/>
            </w:rPr>
          </w:pPr>
          <w:r w:rsidRPr="00931DCE">
            <w:rPr>
              <w:rFonts w:cs="Times New Roman"/>
              <w:szCs w:val="24"/>
            </w:rPr>
            <w:lastRenderedPageBreak/>
            <w:t xml:space="preserve"> </w:t>
          </w:r>
          <w:bookmarkStart w:id="80" w:name="_Toc159952416"/>
          <w:r w:rsidR="00FC1DD7" w:rsidRPr="00931DCE">
            <w:rPr>
              <w:rFonts w:cs="Times New Roman"/>
              <w:szCs w:val="24"/>
            </w:rPr>
            <w:t>Modo Carretero:</w:t>
          </w:r>
          <w:bookmarkEnd w:id="80"/>
        </w:p>
        <w:p w14:paraId="08198DC0" w14:textId="263C356C" w:rsidR="00FC1DD7" w:rsidRPr="00931DCE" w:rsidRDefault="00FC1DD7" w:rsidP="005516AA">
          <w:pPr>
            <w:spacing w:after="0" w:line="240" w:lineRule="auto"/>
            <w:jc w:val="both"/>
            <w:rPr>
              <w:rFonts w:ascii="Times New Roman" w:hAnsi="Times New Roman"/>
              <w:sz w:val="24"/>
              <w:szCs w:val="24"/>
            </w:rPr>
          </w:pPr>
        </w:p>
        <w:p w14:paraId="7800BB23" w14:textId="255303D6" w:rsidR="005516AA" w:rsidRPr="00931DCE" w:rsidRDefault="005516AA" w:rsidP="005516AA">
          <w:pPr>
            <w:spacing w:after="0" w:line="240" w:lineRule="auto"/>
            <w:jc w:val="both"/>
            <w:rPr>
              <w:rFonts w:ascii="Times New Roman" w:hAnsi="Times New Roman"/>
              <w:sz w:val="24"/>
              <w:szCs w:val="24"/>
            </w:rPr>
          </w:pPr>
          <w:r w:rsidRPr="00931DCE">
            <w:rPr>
              <w:rFonts w:ascii="Times New Roman" w:hAnsi="Times New Roman"/>
              <w:sz w:val="24"/>
              <w:szCs w:val="24"/>
            </w:rPr>
            <w:t xml:space="preserve">Al cierre de la vigencia </w:t>
          </w:r>
          <w:r w:rsidR="00EF6E05" w:rsidRPr="009A46BB">
            <w:rPr>
              <w:rFonts w:ascii="Times New Roman" w:hAnsi="Times New Roman"/>
              <w:sz w:val="24"/>
              <w:szCs w:val="24"/>
            </w:rPr>
            <w:t>202</w:t>
          </w:r>
          <w:r w:rsidR="35A70BB6" w:rsidRPr="009A46BB">
            <w:rPr>
              <w:rFonts w:ascii="Times New Roman" w:hAnsi="Times New Roman"/>
              <w:sz w:val="24"/>
              <w:szCs w:val="24"/>
            </w:rPr>
            <w:t>3</w:t>
          </w:r>
          <w:r w:rsidRPr="009A46BB">
            <w:rPr>
              <w:rFonts w:ascii="Times New Roman" w:hAnsi="Times New Roman"/>
              <w:sz w:val="24"/>
              <w:szCs w:val="24"/>
            </w:rPr>
            <w:t>,</w:t>
          </w:r>
          <w:r w:rsidRPr="00931DCE">
            <w:rPr>
              <w:rFonts w:ascii="Times New Roman" w:hAnsi="Times New Roman"/>
              <w:sz w:val="24"/>
              <w:szCs w:val="24"/>
            </w:rPr>
            <w:t xml:space="preserve"> la subcuenta “Ingreso diferido por concesiones-concedente” presentó un aumento con respecto a la vigenci</w:t>
          </w:r>
          <w:r w:rsidRPr="50D34698">
            <w:rPr>
              <w:rFonts w:ascii="Times New Roman" w:eastAsia="Times New Roman" w:hAnsi="Times New Roman"/>
              <w:sz w:val="24"/>
              <w:szCs w:val="24"/>
            </w:rPr>
            <w:t xml:space="preserve">a anterior de $ </w:t>
          </w:r>
          <w:r w:rsidR="762BCC5E" w:rsidRPr="50D34698">
            <w:rPr>
              <w:rFonts w:ascii="Times New Roman" w:eastAsia="Times New Roman" w:hAnsi="Times New Roman"/>
              <w:sz w:val="24"/>
              <w:szCs w:val="24"/>
            </w:rPr>
            <w:t>2.104.679.240.749</w:t>
          </w:r>
          <w:r w:rsidRPr="50D34698">
            <w:rPr>
              <w:rFonts w:ascii="Times New Roman" w:eastAsia="Times New Roman" w:hAnsi="Times New Roman"/>
              <w:sz w:val="24"/>
              <w:szCs w:val="24"/>
            </w:rPr>
            <w:t xml:space="preserve">, </w:t>
          </w:r>
          <w:r w:rsidRPr="009A46BB">
            <w:rPr>
              <w:rFonts w:ascii="Times New Roman" w:hAnsi="Times New Roman"/>
              <w:sz w:val="24"/>
              <w:szCs w:val="24"/>
            </w:rPr>
            <w:t>a</w:t>
          </w:r>
          <w:r w:rsidRPr="00931DCE">
            <w:rPr>
              <w:rFonts w:ascii="Times New Roman" w:hAnsi="Times New Roman"/>
              <w:sz w:val="24"/>
              <w:szCs w:val="24"/>
            </w:rPr>
            <w:t xml:space="preserve"> continuación, se relacionan los saldos que la constituyen, a nivel de tercero:</w:t>
          </w:r>
        </w:p>
        <w:p w14:paraId="4F181471" w14:textId="5FAE2392" w:rsidR="005516AA" w:rsidRPr="00931DCE" w:rsidRDefault="005516AA" w:rsidP="005516AA">
          <w:pPr>
            <w:spacing w:after="0" w:line="240" w:lineRule="auto"/>
            <w:jc w:val="both"/>
            <w:rPr>
              <w:rFonts w:ascii="Times New Roman" w:hAnsi="Times New Roman"/>
              <w:sz w:val="24"/>
              <w:szCs w:val="24"/>
            </w:rPr>
          </w:pPr>
        </w:p>
        <w:p w14:paraId="3E95935C" w14:textId="30F161CA" w:rsidR="7DBB9B86" w:rsidRDefault="7DBB9B86" w:rsidP="45DBE3D4">
          <w:pPr>
            <w:spacing w:after="0" w:line="240" w:lineRule="auto"/>
            <w:ind w:left="-20" w:right="-20"/>
            <w:jc w:val="both"/>
            <w:rPr>
              <w:rFonts w:ascii="Times New Roman" w:eastAsia="Times New Roman" w:hAnsi="Times New Roman"/>
              <w:sz w:val="14"/>
              <w:szCs w:val="14"/>
            </w:rPr>
          </w:pPr>
        </w:p>
        <w:tbl>
          <w:tblPr>
            <w:tblW w:w="9112"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930"/>
            <w:gridCol w:w="3738"/>
            <w:gridCol w:w="1559"/>
            <w:gridCol w:w="1560"/>
            <w:gridCol w:w="1325"/>
          </w:tblGrid>
          <w:tr w:rsidR="0017293B" w14:paraId="5C9D2787" w14:textId="77777777" w:rsidTr="000A5146">
            <w:trPr>
              <w:trHeight w:val="340"/>
              <w:tblHeader/>
            </w:trPr>
            <w:tc>
              <w:tcPr>
                <w:tcW w:w="4668" w:type="dxa"/>
                <w:gridSpan w:val="2"/>
                <w:tcMar>
                  <w:left w:w="70" w:type="dxa"/>
                  <w:right w:w="70" w:type="dxa"/>
                </w:tcMar>
                <w:vAlign w:val="center"/>
              </w:tcPr>
              <w:p w14:paraId="2531EDB6" w14:textId="15542045" w:rsidR="45DBE3D4" w:rsidRPr="009A46BB" w:rsidRDefault="45DBE3D4" w:rsidP="00541E77">
                <w:pPr>
                  <w:spacing w:after="0"/>
                  <w:ind w:left="-20" w:right="-20"/>
                  <w:jc w:val="center"/>
                  <w:rPr>
                    <w:rFonts w:ascii="Times New Roman" w:hAnsi="Times New Roman"/>
                    <w:sz w:val="16"/>
                    <w:szCs w:val="16"/>
                  </w:rPr>
                </w:pPr>
                <w:r w:rsidRPr="45DBE3D4">
                  <w:rPr>
                    <w:rFonts w:ascii="Times New Roman" w:eastAsia="Times New Roman" w:hAnsi="Times New Roman"/>
                    <w:b/>
                    <w:bCs/>
                    <w:color w:val="000000" w:themeColor="text1"/>
                    <w:sz w:val="16"/>
                    <w:szCs w:val="16"/>
                  </w:rPr>
                  <w:t>TERCERO</w:t>
                </w:r>
              </w:p>
            </w:tc>
            <w:tc>
              <w:tcPr>
                <w:tcW w:w="1559" w:type="dxa"/>
                <w:tcMar>
                  <w:left w:w="70" w:type="dxa"/>
                  <w:right w:w="70" w:type="dxa"/>
                </w:tcMar>
                <w:vAlign w:val="center"/>
              </w:tcPr>
              <w:p w14:paraId="5200A695" w14:textId="5DFB87D5" w:rsidR="45DBE3D4" w:rsidRPr="009A46BB" w:rsidRDefault="45DBE3D4" w:rsidP="45DBE3D4">
                <w:pPr>
                  <w:spacing w:after="0"/>
                  <w:ind w:left="-20" w:right="-20"/>
                  <w:jc w:val="center"/>
                  <w:rPr>
                    <w:rFonts w:ascii="Times New Roman" w:hAnsi="Times New Roman"/>
                    <w:sz w:val="16"/>
                    <w:szCs w:val="16"/>
                  </w:rPr>
                </w:pPr>
                <w:r w:rsidRPr="009A46BB">
                  <w:rPr>
                    <w:rFonts w:ascii="Times New Roman" w:eastAsia="Times New Roman" w:hAnsi="Times New Roman"/>
                    <w:b/>
                    <w:bCs/>
                    <w:color w:val="000000" w:themeColor="text1"/>
                    <w:sz w:val="16"/>
                    <w:szCs w:val="16"/>
                  </w:rPr>
                  <w:t>2023</w:t>
                </w:r>
              </w:p>
            </w:tc>
            <w:tc>
              <w:tcPr>
                <w:tcW w:w="1560" w:type="dxa"/>
                <w:tcMar>
                  <w:left w:w="70" w:type="dxa"/>
                  <w:right w:w="70" w:type="dxa"/>
                </w:tcMar>
                <w:vAlign w:val="center"/>
              </w:tcPr>
              <w:p w14:paraId="2B5EB032" w14:textId="1596DF0F" w:rsidR="45DBE3D4" w:rsidRPr="009A46BB" w:rsidRDefault="45DBE3D4" w:rsidP="45DBE3D4">
                <w:pPr>
                  <w:spacing w:after="0"/>
                  <w:ind w:left="-20" w:right="-20"/>
                  <w:jc w:val="center"/>
                  <w:rPr>
                    <w:rFonts w:ascii="Times New Roman" w:hAnsi="Times New Roman"/>
                    <w:sz w:val="16"/>
                    <w:szCs w:val="16"/>
                  </w:rPr>
                </w:pPr>
                <w:r w:rsidRPr="009A46BB">
                  <w:rPr>
                    <w:rFonts w:ascii="Times New Roman" w:eastAsia="Times New Roman" w:hAnsi="Times New Roman"/>
                    <w:b/>
                    <w:bCs/>
                    <w:color w:val="000000" w:themeColor="text1"/>
                    <w:sz w:val="16"/>
                    <w:szCs w:val="16"/>
                  </w:rPr>
                  <w:t>2022</w:t>
                </w:r>
              </w:p>
            </w:tc>
            <w:tc>
              <w:tcPr>
                <w:tcW w:w="1325" w:type="dxa"/>
                <w:tcMar>
                  <w:left w:w="70" w:type="dxa"/>
                  <w:right w:w="70" w:type="dxa"/>
                </w:tcMar>
                <w:vAlign w:val="center"/>
              </w:tcPr>
              <w:p w14:paraId="2D01B620" w14:textId="79B57F47" w:rsidR="45DBE3D4" w:rsidRPr="009A46BB" w:rsidRDefault="45DBE3D4" w:rsidP="45DBE3D4">
                <w:pPr>
                  <w:spacing w:after="0"/>
                  <w:ind w:left="-20" w:right="-20"/>
                  <w:jc w:val="center"/>
                  <w:rPr>
                    <w:rFonts w:ascii="Times New Roman" w:hAnsi="Times New Roman"/>
                    <w:sz w:val="16"/>
                    <w:szCs w:val="16"/>
                  </w:rPr>
                </w:pPr>
                <w:r w:rsidRPr="45DBE3D4">
                  <w:rPr>
                    <w:rFonts w:ascii="Times New Roman" w:eastAsia="Times New Roman" w:hAnsi="Times New Roman"/>
                    <w:b/>
                    <w:bCs/>
                    <w:color w:val="000000" w:themeColor="text1"/>
                    <w:sz w:val="16"/>
                    <w:szCs w:val="16"/>
                  </w:rPr>
                  <w:t>VARIACION</w:t>
                </w:r>
              </w:p>
            </w:tc>
          </w:tr>
          <w:tr w:rsidR="0017293B" w14:paraId="1C06CD84" w14:textId="77777777" w:rsidTr="00DE0481">
            <w:trPr>
              <w:trHeight w:val="340"/>
            </w:trPr>
            <w:tc>
              <w:tcPr>
                <w:tcW w:w="930" w:type="dxa"/>
                <w:tcMar>
                  <w:left w:w="70" w:type="dxa"/>
                  <w:right w:w="70" w:type="dxa"/>
                </w:tcMar>
                <w:vAlign w:val="center"/>
              </w:tcPr>
              <w:p w14:paraId="35E5260A" w14:textId="41FA6371" w:rsidR="45DBE3D4" w:rsidRPr="009A46BB" w:rsidRDefault="45DBE3D4" w:rsidP="45DBE3D4">
                <w:pPr>
                  <w:spacing w:after="0"/>
                  <w:ind w:left="-20" w:right="-20"/>
                  <w:jc w:val="center"/>
                  <w:rPr>
                    <w:rFonts w:ascii="Times New Roman" w:hAnsi="Times New Roman"/>
                    <w:sz w:val="16"/>
                    <w:szCs w:val="16"/>
                  </w:rPr>
                </w:pPr>
                <w:r w:rsidRPr="45DBE3D4">
                  <w:rPr>
                    <w:rFonts w:ascii="Times New Roman" w:eastAsia="Times New Roman" w:hAnsi="Times New Roman"/>
                    <w:color w:val="000000" w:themeColor="text1"/>
                    <w:sz w:val="16"/>
                    <w:szCs w:val="16"/>
                  </w:rPr>
                  <w:t>800235278</w:t>
                </w:r>
              </w:p>
            </w:tc>
            <w:tc>
              <w:tcPr>
                <w:tcW w:w="3738" w:type="dxa"/>
                <w:tcMar>
                  <w:left w:w="70" w:type="dxa"/>
                  <w:right w:w="70" w:type="dxa"/>
                </w:tcMar>
                <w:vAlign w:val="center"/>
              </w:tcPr>
              <w:p w14:paraId="6BF0E202" w14:textId="36CDE51E" w:rsidR="45DBE3D4" w:rsidRPr="009A46BB" w:rsidRDefault="45DBE3D4" w:rsidP="45DBE3D4">
                <w:pPr>
                  <w:spacing w:after="0"/>
                  <w:ind w:left="-20" w:right="-20"/>
                  <w:rPr>
                    <w:rFonts w:ascii="Times New Roman" w:hAnsi="Times New Roman"/>
                    <w:sz w:val="16"/>
                    <w:szCs w:val="16"/>
                  </w:rPr>
                </w:pPr>
                <w:r w:rsidRPr="45DBE3D4">
                  <w:rPr>
                    <w:rFonts w:ascii="Times New Roman" w:eastAsia="Times New Roman" w:hAnsi="Times New Roman"/>
                    <w:color w:val="000000" w:themeColor="text1"/>
                    <w:sz w:val="16"/>
                    <w:szCs w:val="16"/>
                  </w:rPr>
                  <w:t>CONCESION SANTA MARTA PARAGUACHON S.A.</w:t>
                </w:r>
              </w:p>
            </w:tc>
            <w:tc>
              <w:tcPr>
                <w:tcW w:w="1559" w:type="dxa"/>
                <w:tcMar>
                  <w:left w:w="70" w:type="dxa"/>
                  <w:right w:w="70" w:type="dxa"/>
                </w:tcMar>
                <w:vAlign w:val="center"/>
              </w:tcPr>
              <w:p w14:paraId="0ABA07BD" w14:textId="5178DA1D"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105.408.307.947</w:t>
                </w:r>
              </w:p>
            </w:tc>
            <w:tc>
              <w:tcPr>
                <w:tcW w:w="1560" w:type="dxa"/>
                <w:tcMar>
                  <w:left w:w="70" w:type="dxa"/>
                  <w:right w:w="70" w:type="dxa"/>
                </w:tcMar>
                <w:vAlign w:val="center"/>
              </w:tcPr>
              <w:p w14:paraId="0A358639" w14:textId="42D9E7AF"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121.439.154.781</w:t>
                </w:r>
              </w:p>
            </w:tc>
            <w:tc>
              <w:tcPr>
                <w:tcW w:w="1325" w:type="dxa"/>
                <w:tcMar>
                  <w:left w:w="70" w:type="dxa"/>
                  <w:right w:w="70" w:type="dxa"/>
                </w:tcMar>
                <w:vAlign w:val="center"/>
              </w:tcPr>
              <w:p w14:paraId="7F44AA7F" w14:textId="4BD308A2"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-16.030.846.834</w:t>
                </w:r>
              </w:p>
            </w:tc>
          </w:tr>
          <w:tr w:rsidR="45DBE3D4" w14:paraId="169390AC" w14:textId="77777777" w:rsidTr="00DE0481">
            <w:trPr>
              <w:trHeight w:val="340"/>
            </w:trPr>
            <w:tc>
              <w:tcPr>
                <w:tcW w:w="930" w:type="dxa"/>
                <w:tcMar>
                  <w:left w:w="70" w:type="dxa"/>
                  <w:right w:w="70" w:type="dxa"/>
                </w:tcMar>
                <w:vAlign w:val="center"/>
              </w:tcPr>
              <w:p w14:paraId="7781C81F" w14:textId="27F37CE5" w:rsidR="45DBE3D4" w:rsidRPr="009A46BB" w:rsidRDefault="45DBE3D4" w:rsidP="45DBE3D4">
                <w:pPr>
                  <w:spacing w:after="0"/>
                  <w:ind w:left="-20" w:right="-20"/>
                  <w:jc w:val="center"/>
                  <w:rPr>
                    <w:rFonts w:ascii="Times New Roman" w:hAnsi="Times New Roman"/>
                    <w:sz w:val="16"/>
                    <w:szCs w:val="16"/>
                  </w:rPr>
                </w:pPr>
                <w:r w:rsidRPr="45DBE3D4">
                  <w:rPr>
                    <w:rFonts w:ascii="Times New Roman" w:eastAsia="Times New Roman" w:hAnsi="Times New Roman"/>
                    <w:color w:val="000000" w:themeColor="text1"/>
                    <w:sz w:val="16"/>
                    <w:szCs w:val="16"/>
                  </w:rPr>
                  <w:t>800235280</w:t>
                </w:r>
              </w:p>
            </w:tc>
            <w:tc>
              <w:tcPr>
                <w:tcW w:w="3738" w:type="dxa"/>
                <w:tcMar>
                  <w:left w:w="70" w:type="dxa"/>
                  <w:right w:w="70" w:type="dxa"/>
                </w:tcMar>
                <w:vAlign w:val="center"/>
              </w:tcPr>
              <w:p w14:paraId="722D38D1" w14:textId="5FF4CDE3" w:rsidR="45DBE3D4" w:rsidRPr="009A46BB" w:rsidRDefault="45DBE3D4" w:rsidP="45DBE3D4">
                <w:pPr>
                  <w:spacing w:after="0"/>
                  <w:ind w:left="-20" w:right="-20"/>
                  <w:rPr>
                    <w:rFonts w:ascii="Times New Roman" w:hAnsi="Times New Roman"/>
                    <w:sz w:val="16"/>
                    <w:szCs w:val="16"/>
                  </w:rPr>
                </w:pPr>
                <w:r w:rsidRPr="45DBE3D4">
                  <w:rPr>
                    <w:rFonts w:ascii="Times New Roman" w:eastAsia="Times New Roman" w:hAnsi="Times New Roman"/>
                    <w:color w:val="000000" w:themeColor="text1"/>
                    <w:sz w:val="16"/>
                    <w:szCs w:val="16"/>
                  </w:rPr>
                  <w:t>CONCESION SABANA DE OCCIDENTE S.A.S</w:t>
                </w:r>
              </w:p>
            </w:tc>
            <w:tc>
              <w:tcPr>
                <w:tcW w:w="1559" w:type="dxa"/>
                <w:tcMar>
                  <w:left w:w="70" w:type="dxa"/>
                  <w:right w:w="70" w:type="dxa"/>
                </w:tcMar>
                <w:vAlign w:val="center"/>
              </w:tcPr>
              <w:p w14:paraId="0D6ECEA7" w14:textId="1726758E"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189.931.674.005</w:t>
                </w:r>
              </w:p>
            </w:tc>
            <w:tc>
              <w:tcPr>
                <w:tcW w:w="1560" w:type="dxa"/>
                <w:tcMar>
                  <w:left w:w="70" w:type="dxa"/>
                  <w:right w:w="70" w:type="dxa"/>
                </w:tcMar>
                <w:vAlign w:val="center"/>
              </w:tcPr>
              <w:p w14:paraId="5C11D1FB" w14:textId="01B0A9CF"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127.976.000.651</w:t>
                </w:r>
              </w:p>
            </w:tc>
            <w:tc>
              <w:tcPr>
                <w:tcW w:w="1325" w:type="dxa"/>
                <w:tcMar>
                  <w:left w:w="70" w:type="dxa"/>
                  <w:right w:w="70" w:type="dxa"/>
                </w:tcMar>
                <w:vAlign w:val="center"/>
              </w:tcPr>
              <w:p w14:paraId="2FA8EAF1" w14:textId="130D47FA"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61.955.673.354</w:t>
                </w:r>
              </w:p>
            </w:tc>
          </w:tr>
          <w:tr w:rsidR="45DBE3D4" w14:paraId="01059E18" w14:textId="77777777" w:rsidTr="00DE0481">
            <w:trPr>
              <w:trHeight w:val="340"/>
            </w:trPr>
            <w:tc>
              <w:tcPr>
                <w:tcW w:w="930" w:type="dxa"/>
                <w:tcMar>
                  <w:left w:w="70" w:type="dxa"/>
                  <w:right w:w="70" w:type="dxa"/>
                </w:tcMar>
                <w:vAlign w:val="center"/>
              </w:tcPr>
              <w:p w14:paraId="4C689DB6" w14:textId="7D3909C1" w:rsidR="45DBE3D4" w:rsidRPr="009A46BB" w:rsidRDefault="45DBE3D4" w:rsidP="45DBE3D4">
                <w:pPr>
                  <w:spacing w:after="0"/>
                  <w:ind w:left="-20" w:right="-20"/>
                  <w:jc w:val="center"/>
                  <w:rPr>
                    <w:rFonts w:ascii="Times New Roman" w:hAnsi="Times New Roman"/>
                    <w:sz w:val="16"/>
                    <w:szCs w:val="16"/>
                  </w:rPr>
                </w:pPr>
                <w:r w:rsidRPr="45DBE3D4">
                  <w:rPr>
                    <w:rFonts w:ascii="Times New Roman" w:eastAsia="Times New Roman" w:hAnsi="Times New Roman"/>
                    <w:color w:val="000000" w:themeColor="text1"/>
                    <w:sz w:val="16"/>
                    <w:szCs w:val="16"/>
                  </w:rPr>
                  <w:t>811005050</w:t>
                </w:r>
              </w:p>
            </w:tc>
            <w:tc>
              <w:tcPr>
                <w:tcW w:w="3738" w:type="dxa"/>
                <w:tcMar>
                  <w:left w:w="70" w:type="dxa"/>
                  <w:right w:w="70" w:type="dxa"/>
                </w:tcMar>
                <w:vAlign w:val="center"/>
              </w:tcPr>
              <w:p w14:paraId="7D9E402D" w14:textId="05E56504" w:rsidR="45DBE3D4" w:rsidRPr="009A46BB" w:rsidRDefault="45DBE3D4" w:rsidP="45DBE3D4">
                <w:pPr>
                  <w:spacing w:after="0"/>
                  <w:ind w:left="-20" w:right="-20"/>
                  <w:rPr>
                    <w:rFonts w:ascii="Times New Roman" w:hAnsi="Times New Roman"/>
                    <w:sz w:val="16"/>
                    <w:szCs w:val="16"/>
                  </w:rPr>
                </w:pPr>
                <w:r w:rsidRPr="45DBE3D4">
                  <w:rPr>
                    <w:rFonts w:ascii="Times New Roman" w:eastAsia="Times New Roman" w:hAnsi="Times New Roman"/>
                    <w:color w:val="000000" w:themeColor="text1"/>
                    <w:sz w:val="16"/>
                    <w:szCs w:val="16"/>
                  </w:rPr>
                  <w:t>DEVIMED S.A.</w:t>
                </w:r>
              </w:p>
            </w:tc>
            <w:tc>
              <w:tcPr>
                <w:tcW w:w="1559" w:type="dxa"/>
                <w:tcMar>
                  <w:left w:w="70" w:type="dxa"/>
                  <w:right w:w="70" w:type="dxa"/>
                </w:tcMar>
                <w:vAlign w:val="center"/>
              </w:tcPr>
              <w:p w14:paraId="4C36A9C2" w14:textId="6AC08FB6"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126.900.892.936</w:t>
                </w:r>
              </w:p>
            </w:tc>
            <w:tc>
              <w:tcPr>
                <w:tcW w:w="1560" w:type="dxa"/>
                <w:tcMar>
                  <w:left w:w="70" w:type="dxa"/>
                  <w:right w:w="70" w:type="dxa"/>
                </w:tcMar>
                <w:vAlign w:val="center"/>
              </w:tcPr>
              <w:p w14:paraId="3B279E97" w14:textId="1CCF98A4"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177.128.437.077</w:t>
                </w:r>
              </w:p>
            </w:tc>
            <w:tc>
              <w:tcPr>
                <w:tcW w:w="1325" w:type="dxa"/>
                <w:tcMar>
                  <w:left w:w="70" w:type="dxa"/>
                  <w:right w:w="70" w:type="dxa"/>
                </w:tcMar>
                <w:vAlign w:val="center"/>
              </w:tcPr>
              <w:p w14:paraId="294EF9B5" w14:textId="33AAAEA0"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-50.227.544.141</w:t>
                </w:r>
              </w:p>
            </w:tc>
          </w:tr>
          <w:tr w:rsidR="45DBE3D4" w14:paraId="0A36363C" w14:textId="77777777" w:rsidTr="00DE0481">
            <w:trPr>
              <w:trHeight w:val="340"/>
            </w:trPr>
            <w:tc>
              <w:tcPr>
                <w:tcW w:w="930" w:type="dxa"/>
                <w:tcMar>
                  <w:left w:w="70" w:type="dxa"/>
                  <w:right w:w="70" w:type="dxa"/>
                </w:tcMar>
                <w:vAlign w:val="center"/>
              </w:tcPr>
              <w:p w14:paraId="775291FC" w14:textId="01230F46" w:rsidR="45DBE3D4" w:rsidRPr="009A46BB" w:rsidRDefault="45DBE3D4" w:rsidP="45DBE3D4">
                <w:pPr>
                  <w:spacing w:after="0"/>
                  <w:ind w:left="-20" w:right="-20"/>
                  <w:jc w:val="center"/>
                  <w:rPr>
                    <w:rFonts w:ascii="Times New Roman" w:hAnsi="Times New Roman"/>
                    <w:sz w:val="16"/>
                    <w:szCs w:val="16"/>
                  </w:rPr>
                </w:pPr>
                <w:r w:rsidRPr="45DBE3D4">
                  <w:rPr>
                    <w:rFonts w:ascii="Times New Roman" w:eastAsia="Times New Roman" w:hAnsi="Times New Roman"/>
                    <w:color w:val="000000" w:themeColor="text1"/>
                    <w:sz w:val="16"/>
                    <w:szCs w:val="16"/>
                  </w:rPr>
                  <w:t>830006021</w:t>
                </w:r>
              </w:p>
            </w:tc>
            <w:tc>
              <w:tcPr>
                <w:tcW w:w="3738" w:type="dxa"/>
                <w:tcMar>
                  <w:left w:w="70" w:type="dxa"/>
                  <w:right w:w="70" w:type="dxa"/>
                </w:tcMar>
                <w:vAlign w:val="center"/>
              </w:tcPr>
              <w:p w14:paraId="10ED69C6" w14:textId="23AED7AE" w:rsidR="45DBE3D4" w:rsidRPr="009A46BB" w:rsidRDefault="45DBE3D4" w:rsidP="45DBE3D4">
                <w:pPr>
                  <w:spacing w:after="0"/>
                  <w:ind w:left="-20" w:right="-20"/>
                  <w:rPr>
                    <w:rFonts w:ascii="Times New Roman" w:hAnsi="Times New Roman"/>
                    <w:sz w:val="16"/>
                    <w:szCs w:val="16"/>
                  </w:rPr>
                </w:pPr>
                <w:r w:rsidRPr="45DBE3D4">
                  <w:rPr>
                    <w:rFonts w:ascii="Times New Roman" w:eastAsia="Times New Roman" w:hAnsi="Times New Roman"/>
                    <w:color w:val="000000" w:themeColor="text1"/>
                    <w:sz w:val="16"/>
                    <w:szCs w:val="16"/>
                  </w:rPr>
                  <w:t>CONCESIONES CCFC S.A.</w:t>
                </w:r>
              </w:p>
            </w:tc>
            <w:tc>
              <w:tcPr>
                <w:tcW w:w="1559" w:type="dxa"/>
                <w:tcMar>
                  <w:left w:w="70" w:type="dxa"/>
                  <w:right w:w="70" w:type="dxa"/>
                </w:tcMar>
                <w:vAlign w:val="center"/>
              </w:tcPr>
              <w:p w14:paraId="2AB54056" w14:textId="532F06C4"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2.663.270.121</w:t>
                </w:r>
              </w:p>
            </w:tc>
            <w:tc>
              <w:tcPr>
                <w:tcW w:w="1560" w:type="dxa"/>
                <w:tcMar>
                  <w:left w:w="70" w:type="dxa"/>
                  <w:right w:w="70" w:type="dxa"/>
                </w:tcMar>
                <w:vAlign w:val="center"/>
              </w:tcPr>
              <w:p w14:paraId="326DF24F" w14:textId="19DD48FF"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20.375.602.838</w:t>
                </w:r>
              </w:p>
            </w:tc>
            <w:tc>
              <w:tcPr>
                <w:tcW w:w="1325" w:type="dxa"/>
                <w:tcMar>
                  <w:left w:w="70" w:type="dxa"/>
                  <w:right w:w="70" w:type="dxa"/>
                </w:tcMar>
                <w:vAlign w:val="center"/>
              </w:tcPr>
              <w:p w14:paraId="7877C5CB" w14:textId="2E3890A3"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-17.712.332.717</w:t>
                </w:r>
              </w:p>
            </w:tc>
          </w:tr>
          <w:tr w:rsidR="45DBE3D4" w14:paraId="4A127382" w14:textId="77777777" w:rsidTr="00DE0481">
            <w:trPr>
              <w:trHeight w:val="340"/>
            </w:trPr>
            <w:tc>
              <w:tcPr>
                <w:tcW w:w="930" w:type="dxa"/>
                <w:tcMar>
                  <w:left w:w="70" w:type="dxa"/>
                  <w:right w:w="70" w:type="dxa"/>
                </w:tcMar>
                <w:vAlign w:val="center"/>
              </w:tcPr>
              <w:p w14:paraId="77FDD507" w14:textId="76CD1C5F" w:rsidR="45DBE3D4" w:rsidRPr="009A46BB" w:rsidRDefault="45DBE3D4" w:rsidP="45DBE3D4">
                <w:pPr>
                  <w:spacing w:after="0"/>
                  <w:ind w:left="-20" w:right="-20"/>
                  <w:jc w:val="center"/>
                  <w:rPr>
                    <w:rFonts w:ascii="Times New Roman" w:hAnsi="Times New Roman"/>
                    <w:sz w:val="16"/>
                    <w:szCs w:val="16"/>
                  </w:rPr>
                </w:pPr>
                <w:r w:rsidRPr="45DBE3D4">
                  <w:rPr>
                    <w:rFonts w:ascii="Times New Roman" w:eastAsia="Times New Roman" w:hAnsi="Times New Roman"/>
                    <w:color w:val="000000" w:themeColor="text1"/>
                    <w:sz w:val="16"/>
                    <w:szCs w:val="16"/>
                  </w:rPr>
                  <w:t>830025490</w:t>
                </w:r>
              </w:p>
            </w:tc>
            <w:tc>
              <w:tcPr>
                <w:tcW w:w="3738" w:type="dxa"/>
                <w:tcMar>
                  <w:left w:w="70" w:type="dxa"/>
                  <w:right w:w="70" w:type="dxa"/>
                </w:tcMar>
                <w:vAlign w:val="center"/>
              </w:tcPr>
              <w:p w14:paraId="0DA65AAF" w14:textId="1ADC96F9" w:rsidR="45DBE3D4" w:rsidRPr="009A46BB" w:rsidRDefault="45DBE3D4" w:rsidP="45DBE3D4">
                <w:pPr>
                  <w:spacing w:after="0"/>
                  <w:ind w:left="-20" w:right="-20"/>
                  <w:rPr>
                    <w:rFonts w:ascii="Times New Roman" w:hAnsi="Times New Roman"/>
                    <w:sz w:val="16"/>
                    <w:szCs w:val="16"/>
                  </w:rPr>
                </w:pPr>
                <w:r w:rsidRPr="45DBE3D4">
                  <w:rPr>
                    <w:rFonts w:ascii="Times New Roman" w:eastAsia="Times New Roman" w:hAnsi="Times New Roman"/>
                    <w:color w:val="000000" w:themeColor="text1"/>
                    <w:sz w:val="16"/>
                    <w:szCs w:val="16"/>
                  </w:rPr>
                  <w:t>AUTOPISTAS DEL CAFE S.A.</w:t>
                </w:r>
              </w:p>
            </w:tc>
            <w:tc>
              <w:tcPr>
                <w:tcW w:w="1559" w:type="dxa"/>
                <w:tcMar>
                  <w:left w:w="70" w:type="dxa"/>
                  <w:right w:w="70" w:type="dxa"/>
                </w:tcMar>
                <w:vAlign w:val="center"/>
              </w:tcPr>
              <w:p w14:paraId="4487DC74" w14:textId="58C26DA6"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320.358.420.042</w:t>
                </w:r>
              </w:p>
            </w:tc>
            <w:tc>
              <w:tcPr>
                <w:tcW w:w="1560" w:type="dxa"/>
                <w:tcMar>
                  <w:left w:w="70" w:type="dxa"/>
                  <w:right w:w="70" w:type="dxa"/>
                </w:tcMar>
                <w:vAlign w:val="center"/>
              </w:tcPr>
              <w:p w14:paraId="1FE54F3A" w14:textId="0D26AE89"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406.209.026.436</w:t>
                </w:r>
              </w:p>
            </w:tc>
            <w:tc>
              <w:tcPr>
                <w:tcW w:w="1325" w:type="dxa"/>
                <w:tcMar>
                  <w:left w:w="70" w:type="dxa"/>
                  <w:right w:w="70" w:type="dxa"/>
                </w:tcMar>
                <w:vAlign w:val="center"/>
              </w:tcPr>
              <w:p w14:paraId="076AED62" w14:textId="49151783"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-85.850.606.394</w:t>
                </w:r>
              </w:p>
            </w:tc>
          </w:tr>
          <w:tr w:rsidR="45DBE3D4" w14:paraId="2D4C08DB" w14:textId="77777777" w:rsidTr="00DE0481">
            <w:trPr>
              <w:trHeight w:val="340"/>
            </w:trPr>
            <w:tc>
              <w:tcPr>
                <w:tcW w:w="930" w:type="dxa"/>
                <w:tcMar>
                  <w:left w:w="70" w:type="dxa"/>
                  <w:right w:w="70" w:type="dxa"/>
                </w:tcMar>
                <w:vAlign w:val="center"/>
              </w:tcPr>
              <w:p w14:paraId="0EA01B35" w14:textId="1341C178" w:rsidR="45DBE3D4" w:rsidRPr="009A46BB" w:rsidRDefault="45DBE3D4" w:rsidP="45DBE3D4">
                <w:pPr>
                  <w:spacing w:after="0"/>
                  <w:ind w:left="-20" w:right="-20"/>
                  <w:jc w:val="center"/>
                  <w:rPr>
                    <w:rFonts w:ascii="Times New Roman" w:hAnsi="Times New Roman"/>
                    <w:sz w:val="16"/>
                    <w:szCs w:val="16"/>
                  </w:rPr>
                </w:pPr>
                <w:r w:rsidRPr="45DBE3D4">
                  <w:rPr>
                    <w:rFonts w:ascii="Times New Roman" w:eastAsia="Times New Roman" w:hAnsi="Times New Roman"/>
                    <w:color w:val="000000" w:themeColor="text1"/>
                    <w:sz w:val="16"/>
                    <w:szCs w:val="16"/>
                  </w:rPr>
                  <w:t>900135168</w:t>
                </w:r>
              </w:p>
            </w:tc>
            <w:tc>
              <w:tcPr>
                <w:tcW w:w="3738" w:type="dxa"/>
                <w:tcMar>
                  <w:left w:w="70" w:type="dxa"/>
                  <w:right w:w="70" w:type="dxa"/>
                </w:tcMar>
                <w:vAlign w:val="center"/>
              </w:tcPr>
              <w:p w14:paraId="1B9C51DE" w14:textId="24ACBEB0" w:rsidR="45DBE3D4" w:rsidRPr="009A46BB" w:rsidRDefault="45DBE3D4" w:rsidP="45DBE3D4">
                <w:pPr>
                  <w:spacing w:after="0"/>
                  <w:ind w:left="-20" w:right="-20"/>
                  <w:rPr>
                    <w:rFonts w:ascii="Times New Roman" w:hAnsi="Times New Roman"/>
                    <w:sz w:val="16"/>
                    <w:szCs w:val="16"/>
                  </w:rPr>
                </w:pPr>
                <w:r w:rsidRPr="45DBE3D4">
                  <w:rPr>
                    <w:rFonts w:ascii="Times New Roman" w:eastAsia="Times New Roman" w:hAnsi="Times New Roman"/>
                    <w:color w:val="000000" w:themeColor="text1"/>
                    <w:sz w:val="16"/>
                    <w:szCs w:val="16"/>
                  </w:rPr>
                  <w:t>AUTOPISTAS DE LA SABANA S.A.S</w:t>
                </w:r>
              </w:p>
            </w:tc>
            <w:tc>
              <w:tcPr>
                <w:tcW w:w="1559" w:type="dxa"/>
                <w:tcMar>
                  <w:left w:w="70" w:type="dxa"/>
                  <w:right w:w="70" w:type="dxa"/>
                </w:tcMar>
                <w:vAlign w:val="center"/>
              </w:tcPr>
              <w:p w14:paraId="34E7BE9A" w14:textId="1465A182"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23.214.511.875</w:t>
                </w:r>
              </w:p>
            </w:tc>
            <w:tc>
              <w:tcPr>
                <w:tcW w:w="1560" w:type="dxa"/>
                <w:tcMar>
                  <w:left w:w="70" w:type="dxa"/>
                  <w:right w:w="70" w:type="dxa"/>
                </w:tcMar>
                <w:vAlign w:val="center"/>
              </w:tcPr>
              <w:p w14:paraId="27FE3AE4" w14:textId="1ED45523"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60.976.158.616</w:t>
                </w:r>
              </w:p>
            </w:tc>
            <w:tc>
              <w:tcPr>
                <w:tcW w:w="1325" w:type="dxa"/>
                <w:tcMar>
                  <w:left w:w="70" w:type="dxa"/>
                  <w:right w:w="70" w:type="dxa"/>
                </w:tcMar>
                <w:vAlign w:val="center"/>
              </w:tcPr>
              <w:p w14:paraId="0F2F7F99" w14:textId="4E75BE81"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-37.761.646.741</w:t>
                </w:r>
              </w:p>
            </w:tc>
          </w:tr>
          <w:tr w:rsidR="45DBE3D4" w14:paraId="230C2589" w14:textId="77777777" w:rsidTr="00DE0481">
            <w:trPr>
              <w:trHeight w:val="340"/>
            </w:trPr>
            <w:tc>
              <w:tcPr>
                <w:tcW w:w="930" w:type="dxa"/>
                <w:tcMar>
                  <w:left w:w="70" w:type="dxa"/>
                  <w:right w:w="70" w:type="dxa"/>
                </w:tcMar>
                <w:vAlign w:val="center"/>
              </w:tcPr>
              <w:p w14:paraId="72E927D0" w14:textId="7198BAB6" w:rsidR="45DBE3D4" w:rsidRPr="009A46BB" w:rsidRDefault="45DBE3D4" w:rsidP="45DBE3D4">
                <w:pPr>
                  <w:spacing w:after="0"/>
                  <w:ind w:left="-20" w:right="-20"/>
                  <w:jc w:val="center"/>
                  <w:rPr>
                    <w:rFonts w:ascii="Times New Roman" w:hAnsi="Times New Roman"/>
                    <w:sz w:val="16"/>
                    <w:szCs w:val="16"/>
                  </w:rPr>
                </w:pPr>
                <w:r w:rsidRPr="45DBE3D4">
                  <w:rPr>
                    <w:rFonts w:ascii="Times New Roman" w:eastAsia="Times New Roman" w:hAnsi="Times New Roman"/>
                    <w:color w:val="000000" w:themeColor="text1"/>
                    <w:sz w:val="16"/>
                    <w:szCs w:val="16"/>
                  </w:rPr>
                  <w:t>900162704</w:t>
                </w:r>
              </w:p>
            </w:tc>
            <w:tc>
              <w:tcPr>
                <w:tcW w:w="3738" w:type="dxa"/>
                <w:tcMar>
                  <w:left w:w="70" w:type="dxa"/>
                  <w:right w:w="70" w:type="dxa"/>
                </w:tcMar>
                <w:vAlign w:val="center"/>
              </w:tcPr>
              <w:p w14:paraId="6D80D15C" w14:textId="13077920" w:rsidR="45DBE3D4" w:rsidRPr="009A46BB" w:rsidRDefault="45DBE3D4" w:rsidP="45DBE3D4">
                <w:pPr>
                  <w:spacing w:after="0"/>
                  <w:ind w:left="-20" w:right="-20"/>
                  <w:rPr>
                    <w:rFonts w:ascii="Times New Roman" w:hAnsi="Times New Roman"/>
                    <w:sz w:val="16"/>
                    <w:szCs w:val="16"/>
                  </w:rPr>
                </w:pPr>
                <w:r w:rsidRPr="45DBE3D4">
                  <w:rPr>
                    <w:rFonts w:ascii="Times New Roman" w:eastAsia="Times New Roman" w:hAnsi="Times New Roman"/>
                    <w:color w:val="000000" w:themeColor="text1"/>
                    <w:sz w:val="16"/>
                    <w:szCs w:val="16"/>
                  </w:rPr>
                  <w:t>CONCESIONARIA SAN SIMON S A</w:t>
                </w:r>
              </w:p>
            </w:tc>
            <w:tc>
              <w:tcPr>
                <w:tcW w:w="1559" w:type="dxa"/>
                <w:tcMar>
                  <w:left w:w="70" w:type="dxa"/>
                  <w:right w:w="70" w:type="dxa"/>
                </w:tcMar>
                <w:vAlign w:val="center"/>
              </w:tcPr>
              <w:p w14:paraId="095B3540" w14:textId="70180C5E"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20.464.980.598</w:t>
                </w:r>
              </w:p>
            </w:tc>
            <w:tc>
              <w:tcPr>
                <w:tcW w:w="1560" w:type="dxa"/>
                <w:tcMar>
                  <w:left w:w="70" w:type="dxa"/>
                  <w:right w:w="70" w:type="dxa"/>
                </w:tcMar>
                <w:vAlign w:val="center"/>
              </w:tcPr>
              <w:p w14:paraId="0EAE0AE0" w14:textId="50E3483A"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20.464.980.598</w:t>
                </w:r>
              </w:p>
            </w:tc>
            <w:tc>
              <w:tcPr>
                <w:tcW w:w="1325" w:type="dxa"/>
                <w:tcMar>
                  <w:left w:w="70" w:type="dxa"/>
                  <w:right w:w="70" w:type="dxa"/>
                </w:tcMar>
                <w:vAlign w:val="center"/>
              </w:tcPr>
              <w:p w14:paraId="06539554" w14:textId="51153398"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0</w:t>
                </w:r>
              </w:p>
            </w:tc>
          </w:tr>
          <w:tr w:rsidR="45DBE3D4" w14:paraId="344F3074" w14:textId="77777777" w:rsidTr="00DE0481">
            <w:trPr>
              <w:trHeight w:val="340"/>
            </w:trPr>
            <w:tc>
              <w:tcPr>
                <w:tcW w:w="930" w:type="dxa"/>
                <w:tcMar>
                  <w:left w:w="70" w:type="dxa"/>
                  <w:right w:w="70" w:type="dxa"/>
                </w:tcMar>
                <w:vAlign w:val="center"/>
              </w:tcPr>
              <w:p w14:paraId="50027AEC" w14:textId="600B0B24" w:rsidR="45DBE3D4" w:rsidRPr="009A46BB" w:rsidRDefault="45DBE3D4" w:rsidP="45DBE3D4">
                <w:pPr>
                  <w:spacing w:after="0"/>
                  <w:ind w:left="-20" w:right="-20"/>
                  <w:jc w:val="center"/>
                  <w:rPr>
                    <w:rFonts w:ascii="Times New Roman" w:hAnsi="Times New Roman"/>
                    <w:sz w:val="16"/>
                    <w:szCs w:val="16"/>
                  </w:rPr>
                </w:pPr>
                <w:r w:rsidRPr="45DBE3D4">
                  <w:rPr>
                    <w:rFonts w:ascii="Times New Roman" w:eastAsia="Times New Roman" w:hAnsi="Times New Roman"/>
                    <w:color w:val="000000" w:themeColor="text1"/>
                    <w:sz w:val="16"/>
                    <w:szCs w:val="16"/>
                  </w:rPr>
                  <w:t>900373092</w:t>
                </w:r>
              </w:p>
            </w:tc>
            <w:tc>
              <w:tcPr>
                <w:tcW w:w="3738" w:type="dxa"/>
                <w:tcMar>
                  <w:left w:w="70" w:type="dxa"/>
                  <w:right w:w="70" w:type="dxa"/>
                </w:tcMar>
                <w:vAlign w:val="center"/>
              </w:tcPr>
              <w:p w14:paraId="0F0C3978" w14:textId="217543FA" w:rsidR="45DBE3D4" w:rsidRPr="009A46BB" w:rsidRDefault="45DBE3D4" w:rsidP="45DBE3D4">
                <w:pPr>
                  <w:spacing w:after="0"/>
                  <w:ind w:left="-20" w:right="-20"/>
                  <w:rPr>
                    <w:rFonts w:ascii="Times New Roman" w:hAnsi="Times New Roman"/>
                    <w:sz w:val="16"/>
                    <w:szCs w:val="16"/>
                  </w:rPr>
                </w:pPr>
                <w:r w:rsidRPr="45DBE3D4">
                  <w:rPr>
                    <w:rFonts w:ascii="Times New Roman" w:eastAsia="Times New Roman" w:hAnsi="Times New Roman"/>
                    <w:color w:val="000000" w:themeColor="text1"/>
                    <w:sz w:val="16"/>
                    <w:szCs w:val="16"/>
                  </w:rPr>
                  <w:t>YUMA CONCESIONARIA S A - EN REORGANIZACION</w:t>
                </w:r>
              </w:p>
            </w:tc>
            <w:tc>
              <w:tcPr>
                <w:tcW w:w="1559" w:type="dxa"/>
                <w:tcMar>
                  <w:left w:w="70" w:type="dxa"/>
                  <w:right w:w="70" w:type="dxa"/>
                </w:tcMar>
                <w:vAlign w:val="center"/>
              </w:tcPr>
              <w:p w14:paraId="2151E13E" w14:textId="1FF929EC"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443.307.814.266</w:t>
                </w:r>
              </w:p>
            </w:tc>
            <w:tc>
              <w:tcPr>
                <w:tcW w:w="1560" w:type="dxa"/>
                <w:tcMar>
                  <w:left w:w="70" w:type="dxa"/>
                  <w:right w:w="70" w:type="dxa"/>
                </w:tcMar>
                <w:vAlign w:val="center"/>
              </w:tcPr>
              <w:p w14:paraId="5D070152" w14:textId="3C81C300"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266.840.583.775</w:t>
                </w:r>
              </w:p>
            </w:tc>
            <w:tc>
              <w:tcPr>
                <w:tcW w:w="1325" w:type="dxa"/>
                <w:tcMar>
                  <w:left w:w="70" w:type="dxa"/>
                  <w:right w:w="70" w:type="dxa"/>
                </w:tcMar>
                <w:vAlign w:val="center"/>
              </w:tcPr>
              <w:p w14:paraId="735DE771" w14:textId="103943CD"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176.467.230.491</w:t>
                </w:r>
              </w:p>
            </w:tc>
          </w:tr>
          <w:tr w:rsidR="45DBE3D4" w14:paraId="43CFAA20" w14:textId="77777777" w:rsidTr="00DE0481">
            <w:trPr>
              <w:trHeight w:val="340"/>
            </w:trPr>
            <w:tc>
              <w:tcPr>
                <w:tcW w:w="930" w:type="dxa"/>
                <w:tcMar>
                  <w:left w:w="70" w:type="dxa"/>
                  <w:right w:w="70" w:type="dxa"/>
                </w:tcMar>
                <w:vAlign w:val="center"/>
              </w:tcPr>
              <w:p w14:paraId="4E948CC7" w14:textId="5545BC2C" w:rsidR="45DBE3D4" w:rsidRPr="009A46BB" w:rsidRDefault="45DBE3D4" w:rsidP="45DBE3D4">
                <w:pPr>
                  <w:spacing w:after="0"/>
                  <w:ind w:left="-20" w:right="-20"/>
                  <w:jc w:val="center"/>
                  <w:rPr>
                    <w:rFonts w:ascii="Times New Roman" w:hAnsi="Times New Roman"/>
                    <w:sz w:val="16"/>
                    <w:szCs w:val="16"/>
                  </w:rPr>
                </w:pPr>
                <w:r w:rsidRPr="45DBE3D4">
                  <w:rPr>
                    <w:rFonts w:ascii="Times New Roman" w:eastAsia="Times New Roman" w:hAnsi="Times New Roman"/>
                    <w:color w:val="000000" w:themeColor="text1"/>
                    <w:sz w:val="16"/>
                    <w:szCs w:val="16"/>
                  </w:rPr>
                  <w:t>900740893</w:t>
                </w:r>
              </w:p>
            </w:tc>
            <w:tc>
              <w:tcPr>
                <w:tcW w:w="3738" w:type="dxa"/>
                <w:tcMar>
                  <w:left w:w="70" w:type="dxa"/>
                  <w:right w:w="70" w:type="dxa"/>
                </w:tcMar>
                <w:vAlign w:val="center"/>
              </w:tcPr>
              <w:p w14:paraId="4FBD441E" w14:textId="0E0CB530" w:rsidR="45DBE3D4" w:rsidRPr="009A46BB" w:rsidRDefault="45DBE3D4" w:rsidP="45DBE3D4">
                <w:pPr>
                  <w:spacing w:after="0"/>
                  <w:ind w:left="-20" w:right="-20"/>
                  <w:rPr>
                    <w:rFonts w:ascii="Times New Roman" w:hAnsi="Times New Roman"/>
                    <w:sz w:val="16"/>
                    <w:szCs w:val="16"/>
                  </w:rPr>
                </w:pPr>
                <w:r w:rsidRPr="45DBE3D4">
                  <w:rPr>
                    <w:rFonts w:ascii="Times New Roman" w:eastAsia="Times New Roman" w:hAnsi="Times New Roman"/>
                    <w:color w:val="000000" w:themeColor="text1"/>
                    <w:sz w:val="16"/>
                    <w:szCs w:val="16"/>
                  </w:rPr>
                  <w:t>CONCESION LA PINTADA S.A.S.</w:t>
                </w:r>
              </w:p>
            </w:tc>
            <w:tc>
              <w:tcPr>
                <w:tcW w:w="1559" w:type="dxa"/>
                <w:tcMar>
                  <w:left w:w="70" w:type="dxa"/>
                  <w:right w:w="70" w:type="dxa"/>
                </w:tcMar>
                <w:vAlign w:val="center"/>
              </w:tcPr>
              <w:p w14:paraId="1193DB61" w14:textId="209CA63F"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756.347.230.858</w:t>
                </w:r>
              </w:p>
            </w:tc>
            <w:tc>
              <w:tcPr>
                <w:tcW w:w="1560" w:type="dxa"/>
                <w:tcMar>
                  <w:left w:w="70" w:type="dxa"/>
                  <w:right w:w="70" w:type="dxa"/>
                </w:tcMar>
                <w:vAlign w:val="center"/>
              </w:tcPr>
              <w:p w14:paraId="311AFF81" w14:textId="2FC4B519"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790.624.848.868</w:t>
                </w:r>
              </w:p>
            </w:tc>
            <w:tc>
              <w:tcPr>
                <w:tcW w:w="1325" w:type="dxa"/>
                <w:tcMar>
                  <w:left w:w="70" w:type="dxa"/>
                  <w:right w:w="70" w:type="dxa"/>
                </w:tcMar>
                <w:vAlign w:val="center"/>
              </w:tcPr>
              <w:p w14:paraId="51F69E7F" w14:textId="39C62B32"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-34.277.618.010</w:t>
                </w:r>
              </w:p>
            </w:tc>
          </w:tr>
          <w:tr w:rsidR="45DBE3D4" w14:paraId="20972E1D" w14:textId="77777777" w:rsidTr="00DE0481">
            <w:trPr>
              <w:trHeight w:val="340"/>
            </w:trPr>
            <w:tc>
              <w:tcPr>
                <w:tcW w:w="930" w:type="dxa"/>
                <w:tcMar>
                  <w:left w:w="70" w:type="dxa"/>
                  <w:right w:w="70" w:type="dxa"/>
                </w:tcMar>
                <w:vAlign w:val="center"/>
              </w:tcPr>
              <w:p w14:paraId="1EA74293" w14:textId="41E4966D" w:rsidR="45DBE3D4" w:rsidRPr="009A46BB" w:rsidRDefault="45DBE3D4" w:rsidP="45DBE3D4">
                <w:pPr>
                  <w:spacing w:after="0"/>
                  <w:ind w:left="-20" w:right="-20"/>
                  <w:jc w:val="center"/>
                  <w:rPr>
                    <w:rFonts w:ascii="Times New Roman" w:hAnsi="Times New Roman"/>
                    <w:sz w:val="16"/>
                    <w:szCs w:val="16"/>
                  </w:rPr>
                </w:pPr>
                <w:r w:rsidRPr="45DBE3D4">
                  <w:rPr>
                    <w:rFonts w:ascii="Times New Roman" w:eastAsia="Times New Roman" w:hAnsi="Times New Roman"/>
                    <w:color w:val="000000" w:themeColor="text1"/>
                    <w:sz w:val="16"/>
                    <w:szCs w:val="16"/>
                  </w:rPr>
                  <w:t>900744773</w:t>
                </w:r>
              </w:p>
            </w:tc>
            <w:tc>
              <w:tcPr>
                <w:tcW w:w="3738" w:type="dxa"/>
                <w:tcMar>
                  <w:left w:w="70" w:type="dxa"/>
                  <w:right w:w="70" w:type="dxa"/>
                </w:tcMar>
                <w:vAlign w:val="center"/>
              </w:tcPr>
              <w:p w14:paraId="046D79FE" w14:textId="57380B09" w:rsidR="45DBE3D4" w:rsidRPr="009A46BB" w:rsidRDefault="45DBE3D4" w:rsidP="45DBE3D4">
                <w:pPr>
                  <w:spacing w:after="0"/>
                  <w:ind w:left="-20" w:right="-20"/>
                  <w:rPr>
                    <w:rFonts w:ascii="Times New Roman" w:hAnsi="Times New Roman"/>
                    <w:sz w:val="16"/>
                    <w:szCs w:val="16"/>
                  </w:rPr>
                </w:pPr>
                <w:r w:rsidRPr="45DBE3D4">
                  <w:rPr>
                    <w:rFonts w:ascii="Times New Roman" w:eastAsia="Times New Roman" w:hAnsi="Times New Roman"/>
                    <w:color w:val="000000" w:themeColor="text1"/>
                    <w:sz w:val="16"/>
                    <w:szCs w:val="16"/>
                  </w:rPr>
                  <w:t>CONCESIONARIA VIAL DEL PACIFICO S A S</w:t>
                </w:r>
              </w:p>
            </w:tc>
            <w:tc>
              <w:tcPr>
                <w:tcW w:w="1559" w:type="dxa"/>
                <w:tcMar>
                  <w:left w:w="70" w:type="dxa"/>
                  <w:right w:w="70" w:type="dxa"/>
                </w:tcMar>
                <w:vAlign w:val="center"/>
              </w:tcPr>
              <w:p w14:paraId="2C86893E" w14:textId="1165D328"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1.033.561.181.167</w:t>
                </w:r>
              </w:p>
            </w:tc>
            <w:tc>
              <w:tcPr>
                <w:tcW w:w="1560" w:type="dxa"/>
                <w:tcMar>
                  <w:left w:w="70" w:type="dxa"/>
                  <w:right w:w="70" w:type="dxa"/>
                </w:tcMar>
                <w:vAlign w:val="center"/>
              </w:tcPr>
              <w:p w14:paraId="6CDCDFD5" w14:textId="0F090FC6"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1.028.567.527.883</w:t>
                </w:r>
              </w:p>
            </w:tc>
            <w:tc>
              <w:tcPr>
                <w:tcW w:w="1325" w:type="dxa"/>
                <w:tcMar>
                  <w:left w:w="70" w:type="dxa"/>
                  <w:right w:w="70" w:type="dxa"/>
                </w:tcMar>
                <w:vAlign w:val="center"/>
              </w:tcPr>
              <w:p w14:paraId="56783F62" w14:textId="409834E4"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4.993.653.284</w:t>
                </w:r>
              </w:p>
            </w:tc>
          </w:tr>
          <w:tr w:rsidR="45DBE3D4" w14:paraId="3E3022BB" w14:textId="77777777" w:rsidTr="00DE0481">
            <w:trPr>
              <w:trHeight w:val="340"/>
            </w:trPr>
            <w:tc>
              <w:tcPr>
                <w:tcW w:w="930" w:type="dxa"/>
                <w:tcMar>
                  <w:left w:w="70" w:type="dxa"/>
                  <w:right w:w="70" w:type="dxa"/>
                </w:tcMar>
                <w:vAlign w:val="center"/>
              </w:tcPr>
              <w:p w14:paraId="3AB6F0B2" w14:textId="0A16A25C" w:rsidR="45DBE3D4" w:rsidRPr="009A46BB" w:rsidRDefault="45DBE3D4" w:rsidP="45DBE3D4">
                <w:pPr>
                  <w:spacing w:after="0"/>
                  <w:ind w:left="-20" w:right="-20"/>
                  <w:jc w:val="center"/>
                  <w:rPr>
                    <w:rFonts w:ascii="Times New Roman" w:hAnsi="Times New Roman"/>
                    <w:sz w:val="16"/>
                    <w:szCs w:val="16"/>
                  </w:rPr>
                </w:pPr>
                <w:r w:rsidRPr="45DBE3D4">
                  <w:rPr>
                    <w:rFonts w:ascii="Times New Roman" w:eastAsia="Times New Roman" w:hAnsi="Times New Roman"/>
                    <w:color w:val="000000" w:themeColor="text1"/>
                    <w:sz w:val="16"/>
                    <w:szCs w:val="16"/>
                  </w:rPr>
                  <w:t>900745219</w:t>
                </w:r>
              </w:p>
            </w:tc>
            <w:tc>
              <w:tcPr>
                <w:tcW w:w="3738" w:type="dxa"/>
                <w:tcMar>
                  <w:left w:w="70" w:type="dxa"/>
                  <w:right w:w="70" w:type="dxa"/>
                </w:tcMar>
                <w:vAlign w:val="center"/>
              </w:tcPr>
              <w:p w14:paraId="47CA1622" w14:textId="50044F1F" w:rsidR="45DBE3D4" w:rsidRPr="009A46BB" w:rsidRDefault="45DBE3D4" w:rsidP="45DBE3D4">
                <w:pPr>
                  <w:spacing w:after="0"/>
                  <w:ind w:left="-20" w:right="-20"/>
                  <w:rPr>
                    <w:rFonts w:ascii="Times New Roman" w:hAnsi="Times New Roman"/>
                    <w:sz w:val="16"/>
                    <w:szCs w:val="16"/>
                  </w:rPr>
                </w:pPr>
                <w:r w:rsidRPr="45DBE3D4">
                  <w:rPr>
                    <w:rFonts w:ascii="Times New Roman" w:eastAsia="Times New Roman" w:hAnsi="Times New Roman"/>
                    <w:color w:val="000000" w:themeColor="text1"/>
                    <w:sz w:val="16"/>
                    <w:szCs w:val="16"/>
                  </w:rPr>
                  <w:t>CONCESIÓN ALTO MAGDALENA S A S</w:t>
                </w:r>
              </w:p>
            </w:tc>
            <w:tc>
              <w:tcPr>
                <w:tcW w:w="1559" w:type="dxa"/>
                <w:tcMar>
                  <w:left w:w="70" w:type="dxa"/>
                  <w:right w:w="70" w:type="dxa"/>
                </w:tcMar>
                <w:vAlign w:val="center"/>
              </w:tcPr>
              <w:p w14:paraId="73E09915" w14:textId="09560277"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387.960.252.286</w:t>
                </w:r>
              </w:p>
            </w:tc>
            <w:tc>
              <w:tcPr>
                <w:tcW w:w="1560" w:type="dxa"/>
                <w:tcMar>
                  <w:left w:w="70" w:type="dxa"/>
                  <w:right w:w="70" w:type="dxa"/>
                </w:tcMar>
                <w:vAlign w:val="center"/>
              </w:tcPr>
              <w:p w14:paraId="625D1F1B" w14:textId="3F50E607"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412.429.837.924</w:t>
                </w:r>
              </w:p>
            </w:tc>
            <w:tc>
              <w:tcPr>
                <w:tcW w:w="1325" w:type="dxa"/>
                <w:tcMar>
                  <w:left w:w="70" w:type="dxa"/>
                  <w:right w:w="70" w:type="dxa"/>
                </w:tcMar>
                <w:vAlign w:val="center"/>
              </w:tcPr>
              <w:p w14:paraId="77D75407" w14:textId="69D15A89"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-24.469.585.638</w:t>
                </w:r>
              </w:p>
            </w:tc>
          </w:tr>
          <w:tr w:rsidR="45DBE3D4" w14:paraId="37B7A252" w14:textId="77777777" w:rsidTr="00DE0481">
            <w:trPr>
              <w:trHeight w:val="340"/>
            </w:trPr>
            <w:tc>
              <w:tcPr>
                <w:tcW w:w="930" w:type="dxa"/>
                <w:tcMar>
                  <w:left w:w="70" w:type="dxa"/>
                  <w:right w:w="70" w:type="dxa"/>
                </w:tcMar>
                <w:vAlign w:val="center"/>
              </w:tcPr>
              <w:p w14:paraId="735F1260" w14:textId="01229FC1" w:rsidR="45DBE3D4" w:rsidRPr="009A46BB" w:rsidRDefault="45DBE3D4" w:rsidP="45DBE3D4">
                <w:pPr>
                  <w:spacing w:after="0"/>
                  <w:ind w:left="-20" w:right="-20"/>
                  <w:jc w:val="center"/>
                  <w:rPr>
                    <w:rFonts w:ascii="Times New Roman" w:hAnsi="Times New Roman"/>
                    <w:sz w:val="16"/>
                    <w:szCs w:val="16"/>
                  </w:rPr>
                </w:pPr>
                <w:r w:rsidRPr="45DBE3D4">
                  <w:rPr>
                    <w:rFonts w:ascii="Times New Roman" w:eastAsia="Times New Roman" w:hAnsi="Times New Roman"/>
                    <w:color w:val="000000" w:themeColor="text1"/>
                    <w:sz w:val="16"/>
                    <w:szCs w:val="16"/>
                  </w:rPr>
                  <w:t>900761657</w:t>
                </w:r>
              </w:p>
            </w:tc>
            <w:tc>
              <w:tcPr>
                <w:tcW w:w="3738" w:type="dxa"/>
                <w:tcMar>
                  <w:left w:w="70" w:type="dxa"/>
                  <w:right w:w="70" w:type="dxa"/>
                </w:tcMar>
                <w:vAlign w:val="center"/>
              </w:tcPr>
              <w:p w14:paraId="06B968E0" w14:textId="7D697F25" w:rsidR="45DBE3D4" w:rsidRPr="009A46BB" w:rsidRDefault="45DBE3D4" w:rsidP="45DBE3D4">
                <w:pPr>
                  <w:spacing w:after="0"/>
                  <w:ind w:left="-20" w:right="-20"/>
                  <w:rPr>
                    <w:rFonts w:ascii="Times New Roman" w:hAnsi="Times New Roman"/>
                    <w:sz w:val="16"/>
                    <w:szCs w:val="16"/>
                  </w:rPr>
                </w:pPr>
                <w:r w:rsidRPr="45DBE3D4">
                  <w:rPr>
                    <w:rFonts w:ascii="Times New Roman" w:eastAsia="Times New Roman" w:hAnsi="Times New Roman"/>
                    <w:color w:val="000000" w:themeColor="text1"/>
                    <w:sz w:val="16"/>
                    <w:szCs w:val="16"/>
                  </w:rPr>
                  <w:t>PERIMETRAL ORIENTAL DE BOGOTA SAS</w:t>
                </w:r>
              </w:p>
            </w:tc>
            <w:tc>
              <w:tcPr>
                <w:tcW w:w="1559" w:type="dxa"/>
                <w:tcMar>
                  <w:left w:w="70" w:type="dxa"/>
                  <w:right w:w="70" w:type="dxa"/>
                </w:tcMar>
                <w:vAlign w:val="center"/>
              </w:tcPr>
              <w:p w14:paraId="21E20E9C" w14:textId="2A94FAAA"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128.147.829.225</w:t>
                </w:r>
              </w:p>
            </w:tc>
            <w:tc>
              <w:tcPr>
                <w:tcW w:w="1560" w:type="dxa"/>
                <w:tcMar>
                  <w:left w:w="70" w:type="dxa"/>
                  <w:right w:w="70" w:type="dxa"/>
                </w:tcMar>
                <w:vAlign w:val="center"/>
              </w:tcPr>
              <w:p w14:paraId="4107E0F4" w14:textId="6EDE8382"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135.547.401.601</w:t>
                </w:r>
              </w:p>
            </w:tc>
            <w:tc>
              <w:tcPr>
                <w:tcW w:w="1325" w:type="dxa"/>
                <w:tcMar>
                  <w:left w:w="70" w:type="dxa"/>
                  <w:right w:w="70" w:type="dxa"/>
                </w:tcMar>
                <w:vAlign w:val="center"/>
              </w:tcPr>
              <w:p w14:paraId="4F424476" w14:textId="003CF295"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-7.399.572.376</w:t>
                </w:r>
              </w:p>
            </w:tc>
          </w:tr>
          <w:tr w:rsidR="45DBE3D4" w14:paraId="210E0F51" w14:textId="77777777" w:rsidTr="00DE0481">
            <w:trPr>
              <w:trHeight w:val="340"/>
            </w:trPr>
            <w:tc>
              <w:tcPr>
                <w:tcW w:w="930" w:type="dxa"/>
                <w:tcMar>
                  <w:left w:w="70" w:type="dxa"/>
                  <w:right w:w="70" w:type="dxa"/>
                </w:tcMar>
                <w:vAlign w:val="center"/>
              </w:tcPr>
              <w:p w14:paraId="77029EE8" w14:textId="62F2DBCE" w:rsidR="45DBE3D4" w:rsidRPr="009A46BB" w:rsidRDefault="45DBE3D4" w:rsidP="45DBE3D4">
                <w:pPr>
                  <w:spacing w:after="0"/>
                  <w:ind w:left="-20" w:right="-20"/>
                  <w:jc w:val="center"/>
                  <w:rPr>
                    <w:rFonts w:ascii="Times New Roman" w:hAnsi="Times New Roman"/>
                    <w:sz w:val="16"/>
                    <w:szCs w:val="16"/>
                  </w:rPr>
                </w:pPr>
                <w:r w:rsidRPr="45DBE3D4">
                  <w:rPr>
                    <w:rFonts w:ascii="Times New Roman" w:eastAsia="Times New Roman" w:hAnsi="Times New Roman"/>
                    <w:color w:val="000000" w:themeColor="text1"/>
                    <w:sz w:val="16"/>
                    <w:szCs w:val="16"/>
                  </w:rPr>
                  <w:t>900763355</w:t>
                </w:r>
              </w:p>
            </w:tc>
            <w:tc>
              <w:tcPr>
                <w:tcW w:w="3738" w:type="dxa"/>
                <w:tcMar>
                  <w:left w:w="70" w:type="dxa"/>
                  <w:right w:w="70" w:type="dxa"/>
                </w:tcMar>
                <w:vAlign w:val="center"/>
              </w:tcPr>
              <w:p w14:paraId="74DCEDF6" w14:textId="5F9B696B" w:rsidR="45DBE3D4" w:rsidRPr="009A46BB" w:rsidRDefault="45DBE3D4" w:rsidP="45DBE3D4">
                <w:pPr>
                  <w:spacing w:after="0"/>
                  <w:ind w:left="-20" w:right="-20"/>
                  <w:rPr>
                    <w:rFonts w:ascii="Times New Roman" w:hAnsi="Times New Roman"/>
                    <w:sz w:val="16"/>
                    <w:szCs w:val="16"/>
                  </w:rPr>
                </w:pPr>
                <w:r w:rsidRPr="45DBE3D4">
                  <w:rPr>
                    <w:rFonts w:ascii="Times New Roman" w:eastAsia="Times New Roman" w:hAnsi="Times New Roman"/>
                    <w:color w:val="000000" w:themeColor="text1"/>
                    <w:sz w:val="16"/>
                    <w:szCs w:val="16"/>
                  </w:rPr>
                  <w:t>CONCESIÓN COSTERA CARTAGENA BARRANQUILLA S.A.S.</w:t>
                </w:r>
              </w:p>
            </w:tc>
            <w:tc>
              <w:tcPr>
                <w:tcW w:w="1559" w:type="dxa"/>
                <w:tcMar>
                  <w:left w:w="70" w:type="dxa"/>
                  <w:right w:w="70" w:type="dxa"/>
                </w:tcMar>
                <w:vAlign w:val="center"/>
              </w:tcPr>
              <w:p w14:paraId="768B3571" w14:textId="079A3CD3"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443.179.580.718</w:t>
                </w:r>
              </w:p>
            </w:tc>
            <w:tc>
              <w:tcPr>
                <w:tcW w:w="1560" w:type="dxa"/>
                <w:tcMar>
                  <w:left w:w="70" w:type="dxa"/>
                  <w:right w:w="70" w:type="dxa"/>
                </w:tcMar>
                <w:vAlign w:val="center"/>
              </w:tcPr>
              <w:p w14:paraId="2A04E8A5" w14:textId="30B73AF0"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465.142.211.869</w:t>
                </w:r>
              </w:p>
            </w:tc>
            <w:tc>
              <w:tcPr>
                <w:tcW w:w="1325" w:type="dxa"/>
                <w:tcMar>
                  <w:left w:w="70" w:type="dxa"/>
                  <w:right w:w="70" w:type="dxa"/>
                </w:tcMar>
                <w:vAlign w:val="center"/>
              </w:tcPr>
              <w:p w14:paraId="4CB109F6" w14:textId="548040FE"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-21.962.631.151</w:t>
                </w:r>
              </w:p>
            </w:tc>
          </w:tr>
          <w:tr w:rsidR="45DBE3D4" w14:paraId="533DF88B" w14:textId="77777777" w:rsidTr="00DE0481">
            <w:trPr>
              <w:trHeight w:val="340"/>
            </w:trPr>
            <w:tc>
              <w:tcPr>
                <w:tcW w:w="930" w:type="dxa"/>
                <w:tcMar>
                  <w:left w:w="70" w:type="dxa"/>
                  <w:right w:w="70" w:type="dxa"/>
                </w:tcMar>
                <w:vAlign w:val="center"/>
              </w:tcPr>
              <w:p w14:paraId="5B1C5EAE" w14:textId="75F38C55" w:rsidR="45DBE3D4" w:rsidRPr="009A46BB" w:rsidRDefault="45DBE3D4" w:rsidP="45DBE3D4">
                <w:pPr>
                  <w:spacing w:after="0"/>
                  <w:ind w:left="-20" w:right="-20"/>
                  <w:jc w:val="center"/>
                  <w:rPr>
                    <w:rFonts w:ascii="Times New Roman" w:hAnsi="Times New Roman"/>
                    <w:sz w:val="16"/>
                    <w:szCs w:val="16"/>
                  </w:rPr>
                </w:pPr>
                <w:r w:rsidRPr="45DBE3D4">
                  <w:rPr>
                    <w:rFonts w:ascii="Times New Roman" w:eastAsia="Times New Roman" w:hAnsi="Times New Roman"/>
                    <w:color w:val="000000" w:themeColor="text1"/>
                    <w:sz w:val="16"/>
                    <w:szCs w:val="16"/>
                  </w:rPr>
                  <w:t>900763357</w:t>
                </w:r>
              </w:p>
            </w:tc>
            <w:tc>
              <w:tcPr>
                <w:tcW w:w="3738" w:type="dxa"/>
                <w:tcMar>
                  <w:left w:w="70" w:type="dxa"/>
                  <w:right w:w="70" w:type="dxa"/>
                </w:tcMar>
                <w:vAlign w:val="center"/>
              </w:tcPr>
              <w:p w14:paraId="3C5D1420" w14:textId="7001A824" w:rsidR="45DBE3D4" w:rsidRPr="009A46BB" w:rsidRDefault="45DBE3D4" w:rsidP="45DBE3D4">
                <w:pPr>
                  <w:spacing w:after="0"/>
                  <w:ind w:left="-20" w:right="-20"/>
                  <w:rPr>
                    <w:rFonts w:ascii="Times New Roman" w:hAnsi="Times New Roman"/>
                    <w:sz w:val="16"/>
                    <w:szCs w:val="16"/>
                  </w:rPr>
                </w:pPr>
                <w:r w:rsidRPr="45DBE3D4">
                  <w:rPr>
                    <w:rFonts w:ascii="Times New Roman" w:eastAsia="Times New Roman" w:hAnsi="Times New Roman"/>
                    <w:color w:val="000000" w:themeColor="text1"/>
                    <w:sz w:val="16"/>
                    <w:szCs w:val="16"/>
                  </w:rPr>
                  <w:t>CONCESIÓN PACIFICO TRES S.A.S.</w:t>
                </w:r>
              </w:p>
            </w:tc>
            <w:tc>
              <w:tcPr>
                <w:tcW w:w="1559" w:type="dxa"/>
                <w:tcMar>
                  <w:left w:w="70" w:type="dxa"/>
                  <w:right w:w="70" w:type="dxa"/>
                </w:tcMar>
                <w:vAlign w:val="center"/>
              </w:tcPr>
              <w:p w14:paraId="1C03A45B" w14:textId="2BEB9CF9"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642.601.764.475</w:t>
                </w:r>
              </w:p>
            </w:tc>
            <w:tc>
              <w:tcPr>
                <w:tcW w:w="1560" w:type="dxa"/>
                <w:tcMar>
                  <w:left w:w="70" w:type="dxa"/>
                  <w:right w:w="70" w:type="dxa"/>
                </w:tcMar>
                <w:vAlign w:val="center"/>
              </w:tcPr>
              <w:p w14:paraId="673A9019" w14:textId="67F24556"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630.901.247.820</w:t>
                </w:r>
              </w:p>
            </w:tc>
            <w:tc>
              <w:tcPr>
                <w:tcW w:w="1325" w:type="dxa"/>
                <w:tcMar>
                  <w:left w:w="70" w:type="dxa"/>
                  <w:right w:w="70" w:type="dxa"/>
                </w:tcMar>
                <w:vAlign w:val="center"/>
              </w:tcPr>
              <w:p w14:paraId="1F66F1A9" w14:textId="6095296D"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11.700.516.655</w:t>
                </w:r>
              </w:p>
            </w:tc>
          </w:tr>
          <w:tr w:rsidR="45DBE3D4" w14:paraId="22DE31A2" w14:textId="77777777" w:rsidTr="00DE0481">
            <w:trPr>
              <w:trHeight w:val="340"/>
            </w:trPr>
            <w:tc>
              <w:tcPr>
                <w:tcW w:w="930" w:type="dxa"/>
                <w:tcMar>
                  <w:left w:w="70" w:type="dxa"/>
                  <w:right w:w="70" w:type="dxa"/>
                </w:tcMar>
                <w:vAlign w:val="center"/>
              </w:tcPr>
              <w:p w14:paraId="052CB7E0" w14:textId="4F37CE98" w:rsidR="45DBE3D4" w:rsidRPr="009A46BB" w:rsidRDefault="45DBE3D4" w:rsidP="45DBE3D4">
                <w:pPr>
                  <w:spacing w:after="0"/>
                  <w:ind w:left="-20" w:right="-20"/>
                  <w:jc w:val="center"/>
                  <w:rPr>
                    <w:rFonts w:ascii="Times New Roman" w:hAnsi="Times New Roman"/>
                    <w:sz w:val="16"/>
                    <w:szCs w:val="16"/>
                  </w:rPr>
                </w:pPr>
                <w:r w:rsidRPr="45DBE3D4">
                  <w:rPr>
                    <w:rFonts w:ascii="Times New Roman" w:eastAsia="Times New Roman" w:hAnsi="Times New Roman"/>
                    <w:color w:val="000000" w:themeColor="text1"/>
                    <w:sz w:val="16"/>
                    <w:szCs w:val="16"/>
                  </w:rPr>
                  <w:t>900788548</w:t>
                </w:r>
              </w:p>
            </w:tc>
            <w:tc>
              <w:tcPr>
                <w:tcW w:w="3738" w:type="dxa"/>
                <w:tcMar>
                  <w:left w:w="70" w:type="dxa"/>
                  <w:right w:w="70" w:type="dxa"/>
                </w:tcMar>
                <w:vAlign w:val="center"/>
              </w:tcPr>
              <w:p w14:paraId="34486FD7" w14:textId="11E25D43" w:rsidR="45DBE3D4" w:rsidRPr="009A46BB" w:rsidRDefault="45DBE3D4" w:rsidP="45DBE3D4">
                <w:pPr>
                  <w:spacing w:after="0"/>
                  <w:ind w:left="-20" w:right="-20"/>
                  <w:rPr>
                    <w:rFonts w:ascii="Times New Roman" w:hAnsi="Times New Roman"/>
                    <w:sz w:val="16"/>
                    <w:szCs w:val="16"/>
                  </w:rPr>
                </w:pPr>
                <w:r w:rsidRPr="45DBE3D4">
                  <w:rPr>
                    <w:rFonts w:ascii="Times New Roman" w:eastAsia="Times New Roman" w:hAnsi="Times New Roman"/>
                    <w:color w:val="000000" w:themeColor="text1"/>
                    <w:sz w:val="16"/>
                    <w:szCs w:val="16"/>
                  </w:rPr>
                  <w:t>AUTOPISTA RIO MAGDALENA S A S</w:t>
                </w:r>
              </w:p>
            </w:tc>
            <w:tc>
              <w:tcPr>
                <w:tcW w:w="1559" w:type="dxa"/>
                <w:tcMar>
                  <w:left w:w="70" w:type="dxa"/>
                  <w:right w:w="70" w:type="dxa"/>
                </w:tcMar>
                <w:vAlign w:val="center"/>
              </w:tcPr>
              <w:p w14:paraId="7DA9F8CD" w14:textId="05C36722"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450.168.518.015</w:t>
                </w:r>
              </w:p>
            </w:tc>
            <w:tc>
              <w:tcPr>
                <w:tcW w:w="1560" w:type="dxa"/>
                <w:tcMar>
                  <w:left w:w="70" w:type="dxa"/>
                  <w:right w:w="70" w:type="dxa"/>
                </w:tcMar>
                <w:vAlign w:val="center"/>
              </w:tcPr>
              <w:p w14:paraId="55B7963A" w14:textId="0372B255"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366.221.285.884</w:t>
                </w:r>
              </w:p>
            </w:tc>
            <w:tc>
              <w:tcPr>
                <w:tcW w:w="1325" w:type="dxa"/>
                <w:tcMar>
                  <w:left w:w="70" w:type="dxa"/>
                  <w:right w:w="70" w:type="dxa"/>
                </w:tcMar>
                <w:vAlign w:val="center"/>
              </w:tcPr>
              <w:p w14:paraId="79E9B84E" w14:textId="39F9AC01"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83.947.232.131</w:t>
                </w:r>
              </w:p>
            </w:tc>
          </w:tr>
          <w:tr w:rsidR="45DBE3D4" w14:paraId="249582AB" w14:textId="77777777" w:rsidTr="00DE0481">
            <w:trPr>
              <w:trHeight w:val="340"/>
            </w:trPr>
            <w:tc>
              <w:tcPr>
                <w:tcW w:w="930" w:type="dxa"/>
                <w:tcMar>
                  <w:left w:w="70" w:type="dxa"/>
                  <w:right w:w="70" w:type="dxa"/>
                </w:tcMar>
                <w:vAlign w:val="center"/>
              </w:tcPr>
              <w:p w14:paraId="2C042B48" w14:textId="03DF3365" w:rsidR="45DBE3D4" w:rsidRPr="009A46BB" w:rsidRDefault="45DBE3D4" w:rsidP="45DBE3D4">
                <w:pPr>
                  <w:spacing w:after="0"/>
                  <w:ind w:left="-20" w:right="-20"/>
                  <w:jc w:val="center"/>
                  <w:rPr>
                    <w:rFonts w:ascii="Times New Roman" w:hAnsi="Times New Roman"/>
                    <w:sz w:val="16"/>
                    <w:szCs w:val="16"/>
                  </w:rPr>
                </w:pPr>
                <w:r w:rsidRPr="45DBE3D4">
                  <w:rPr>
                    <w:rFonts w:ascii="Times New Roman" w:eastAsia="Times New Roman" w:hAnsi="Times New Roman"/>
                    <w:color w:val="000000" w:themeColor="text1"/>
                    <w:sz w:val="16"/>
                    <w:szCs w:val="16"/>
                  </w:rPr>
                  <w:t>900793991</w:t>
                </w:r>
              </w:p>
            </w:tc>
            <w:tc>
              <w:tcPr>
                <w:tcW w:w="3738" w:type="dxa"/>
                <w:tcMar>
                  <w:left w:w="70" w:type="dxa"/>
                  <w:right w:w="70" w:type="dxa"/>
                </w:tcMar>
                <w:vAlign w:val="center"/>
              </w:tcPr>
              <w:p w14:paraId="367901D7" w14:textId="6D5F7973" w:rsidR="45DBE3D4" w:rsidRPr="009A46BB" w:rsidRDefault="45DBE3D4" w:rsidP="45DBE3D4">
                <w:pPr>
                  <w:spacing w:after="0"/>
                  <w:ind w:left="-20" w:right="-20"/>
                  <w:rPr>
                    <w:rFonts w:ascii="Times New Roman" w:hAnsi="Times New Roman"/>
                    <w:sz w:val="16"/>
                    <w:szCs w:val="16"/>
                  </w:rPr>
                </w:pPr>
                <w:r w:rsidRPr="45DBE3D4">
                  <w:rPr>
                    <w:rFonts w:ascii="Times New Roman" w:eastAsia="Times New Roman" w:hAnsi="Times New Roman"/>
                    <w:color w:val="000000" w:themeColor="text1"/>
                    <w:sz w:val="16"/>
                    <w:szCs w:val="16"/>
                  </w:rPr>
                  <w:t>AUTOPISTAS DEL NORDESTE S.A.S.</w:t>
                </w:r>
              </w:p>
            </w:tc>
            <w:tc>
              <w:tcPr>
                <w:tcW w:w="1559" w:type="dxa"/>
                <w:tcMar>
                  <w:left w:w="70" w:type="dxa"/>
                  <w:right w:w="70" w:type="dxa"/>
                </w:tcMar>
                <w:vAlign w:val="center"/>
              </w:tcPr>
              <w:p w14:paraId="5356A3AC" w14:textId="4C156111"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278.128.244.435</w:t>
                </w:r>
              </w:p>
            </w:tc>
            <w:tc>
              <w:tcPr>
                <w:tcW w:w="1560" w:type="dxa"/>
                <w:tcMar>
                  <w:left w:w="70" w:type="dxa"/>
                  <w:right w:w="70" w:type="dxa"/>
                </w:tcMar>
                <w:vAlign w:val="center"/>
              </w:tcPr>
              <w:p w14:paraId="5D8E82DA" w14:textId="05458AD7"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279.554.525.318</w:t>
                </w:r>
              </w:p>
            </w:tc>
            <w:tc>
              <w:tcPr>
                <w:tcW w:w="1325" w:type="dxa"/>
                <w:tcMar>
                  <w:left w:w="70" w:type="dxa"/>
                  <w:right w:w="70" w:type="dxa"/>
                </w:tcMar>
                <w:vAlign w:val="center"/>
              </w:tcPr>
              <w:p w14:paraId="1430C526" w14:textId="1C963713"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-1.426.280.883</w:t>
                </w:r>
              </w:p>
            </w:tc>
          </w:tr>
          <w:tr w:rsidR="45DBE3D4" w14:paraId="41816590" w14:textId="77777777" w:rsidTr="00DE0481">
            <w:trPr>
              <w:trHeight w:val="340"/>
            </w:trPr>
            <w:tc>
              <w:tcPr>
                <w:tcW w:w="930" w:type="dxa"/>
                <w:tcMar>
                  <w:left w:w="70" w:type="dxa"/>
                  <w:right w:w="70" w:type="dxa"/>
                </w:tcMar>
                <w:vAlign w:val="center"/>
              </w:tcPr>
              <w:p w14:paraId="0C18254E" w14:textId="725AAC0B" w:rsidR="45DBE3D4" w:rsidRPr="009A46BB" w:rsidRDefault="45DBE3D4" w:rsidP="45DBE3D4">
                <w:pPr>
                  <w:spacing w:after="0"/>
                  <w:ind w:left="-20" w:right="-20"/>
                  <w:jc w:val="center"/>
                  <w:rPr>
                    <w:rFonts w:ascii="Times New Roman" w:hAnsi="Times New Roman"/>
                    <w:sz w:val="16"/>
                    <w:szCs w:val="16"/>
                  </w:rPr>
                </w:pPr>
                <w:r w:rsidRPr="45DBE3D4">
                  <w:rPr>
                    <w:rFonts w:ascii="Times New Roman" w:eastAsia="Times New Roman" w:hAnsi="Times New Roman"/>
                    <w:color w:val="000000" w:themeColor="text1"/>
                    <w:sz w:val="16"/>
                    <w:szCs w:val="16"/>
                  </w:rPr>
                  <w:t>900809931</w:t>
                </w:r>
              </w:p>
            </w:tc>
            <w:tc>
              <w:tcPr>
                <w:tcW w:w="3738" w:type="dxa"/>
                <w:tcMar>
                  <w:left w:w="70" w:type="dxa"/>
                  <w:right w:w="70" w:type="dxa"/>
                </w:tcMar>
                <w:vAlign w:val="center"/>
              </w:tcPr>
              <w:p w14:paraId="3DF84484" w14:textId="2AF56BB0" w:rsidR="45DBE3D4" w:rsidRPr="009A46BB" w:rsidRDefault="45DBE3D4" w:rsidP="45DBE3D4">
                <w:pPr>
                  <w:spacing w:after="0"/>
                  <w:ind w:left="-20" w:right="-20"/>
                  <w:rPr>
                    <w:rFonts w:ascii="Times New Roman" w:hAnsi="Times New Roman"/>
                    <w:sz w:val="16"/>
                    <w:szCs w:val="16"/>
                  </w:rPr>
                </w:pPr>
                <w:r w:rsidRPr="45DBE3D4">
                  <w:rPr>
                    <w:rFonts w:ascii="Times New Roman" w:eastAsia="Times New Roman" w:hAnsi="Times New Roman"/>
                    <w:color w:val="000000" w:themeColor="text1"/>
                    <w:sz w:val="16"/>
                    <w:szCs w:val="16"/>
                  </w:rPr>
                  <w:t>CONCESIONARIA NUEVA VIA AL MAR S.A.S</w:t>
                </w:r>
              </w:p>
            </w:tc>
            <w:tc>
              <w:tcPr>
                <w:tcW w:w="1559" w:type="dxa"/>
                <w:tcMar>
                  <w:left w:w="70" w:type="dxa"/>
                  <w:right w:w="70" w:type="dxa"/>
                </w:tcMar>
                <w:vAlign w:val="center"/>
              </w:tcPr>
              <w:p w14:paraId="330EA792" w14:textId="3E86D240"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3.031.493.059</w:t>
                </w:r>
              </w:p>
            </w:tc>
            <w:tc>
              <w:tcPr>
                <w:tcW w:w="1560" w:type="dxa"/>
                <w:tcMar>
                  <w:left w:w="70" w:type="dxa"/>
                  <w:right w:w="70" w:type="dxa"/>
                </w:tcMar>
                <w:vAlign w:val="center"/>
              </w:tcPr>
              <w:p w14:paraId="167EF5E1" w14:textId="4193BE76"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3.031.493.059</w:t>
                </w:r>
              </w:p>
            </w:tc>
            <w:tc>
              <w:tcPr>
                <w:tcW w:w="1325" w:type="dxa"/>
                <w:tcMar>
                  <w:left w:w="70" w:type="dxa"/>
                  <w:right w:w="70" w:type="dxa"/>
                </w:tcMar>
                <w:vAlign w:val="center"/>
              </w:tcPr>
              <w:p w14:paraId="24373153" w14:textId="2F397944"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0</w:t>
                </w:r>
              </w:p>
            </w:tc>
          </w:tr>
          <w:tr w:rsidR="45DBE3D4" w14:paraId="64BA9003" w14:textId="77777777" w:rsidTr="00DE0481">
            <w:trPr>
              <w:trHeight w:val="340"/>
            </w:trPr>
            <w:tc>
              <w:tcPr>
                <w:tcW w:w="930" w:type="dxa"/>
                <w:tcMar>
                  <w:left w:w="70" w:type="dxa"/>
                  <w:right w:w="70" w:type="dxa"/>
                </w:tcMar>
                <w:vAlign w:val="center"/>
              </w:tcPr>
              <w:p w14:paraId="7B4A11C1" w14:textId="01FF2221" w:rsidR="45DBE3D4" w:rsidRPr="009A46BB" w:rsidRDefault="45DBE3D4" w:rsidP="45DBE3D4">
                <w:pPr>
                  <w:spacing w:after="0"/>
                  <w:ind w:left="-20" w:right="-20"/>
                  <w:jc w:val="center"/>
                  <w:rPr>
                    <w:rFonts w:ascii="Times New Roman" w:hAnsi="Times New Roman"/>
                    <w:sz w:val="16"/>
                    <w:szCs w:val="16"/>
                  </w:rPr>
                </w:pPr>
                <w:r w:rsidRPr="45DBE3D4">
                  <w:rPr>
                    <w:rFonts w:ascii="Times New Roman" w:eastAsia="Times New Roman" w:hAnsi="Times New Roman"/>
                    <w:color w:val="000000" w:themeColor="text1"/>
                    <w:sz w:val="16"/>
                    <w:szCs w:val="16"/>
                  </w:rPr>
                  <w:t>900816750</w:t>
                </w:r>
              </w:p>
            </w:tc>
            <w:tc>
              <w:tcPr>
                <w:tcW w:w="3738" w:type="dxa"/>
                <w:tcMar>
                  <w:left w:w="70" w:type="dxa"/>
                  <w:right w:w="70" w:type="dxa"/>
                </w:tcMar>
                <w:vAlign w:val="center"/>
              </w:tcPr>
              <w:p w14:paraId="0FD75698" w14:textId="64136439" w:rsidR="45DBE3D4" w:rsidRPr="009A46BB" w:rsidRDefault="45DBE3D4" w:rsidP="45DBE3D4">
                <w:pPr>
                  <w:spacing w:after="0"/>
                  <w:ind w:left="-20" w:right="-20"/>
                  <w:rPr>
                    <w:rFonts w:ascii="Times New Roman" w:hAnsi="Times New Roman"/>
                    <w:sz w:val="16"/>
                    <w:szCs w:val="16"/>
                  </w:rPr>
                </w:pPr>
                <w:r w:rsidRPr="45DBE3D4">
                  <w:rPr>
                    <w:rFonts w:ascii="Times New Roman" w:eastAsia="Times New Roman" w:hAnsi="Times New Roman"/>
                    <w:color w:val="000000" w:themeColor="text1"/>
                    <w:sz w:val="16"/>
                    <w:szCs w:val="16"/>
                  </w:rPr>
                  <w:t>APP GICA S.A.</w:t>
                </w:r>
              </w:p>
            </w:tc>
            <w:tc>
              <w:tcPr>
                <w:tcW w:w="1559" w:type="dxa"/>
                <w:tcMar>
                  <w:left w:w="70" w:type="dxa"/>
                  <w:right w:w="70" w:type="dxa"/>
                </w:tcMar>
                <w:vAlign w:val="center"/>
              </w:tcPr>
              <w:p w14:paraId="3D78A091" w14:textId="1ABDE076"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451.633.334.463</w:t>
                </w:r>
              </w:p>
            </w:tc>
            <w:tc>
              <w:tcPr>
                <w:tcW w:w="1560" w:type="dxa"/>
                <w:tcMar>
                  <w:left w:w="70" w:type="dxa"/>
                  <w:right w:w="70" w:type="dxa"/>
                </w:tcMar>
                <w:vAlign w:val="center"/>
              </w:tcPr>
              <w:p w14:paraId="0459EE6C" w14:textId="7ADF7444"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466.193.075.938</w:t>
                </w:r>
              </w:p>
            </w:tc>
            <w:tc>
              <w:tcPr>
                <w:tcW w:w="1325" w:type="dxa"/>
                <w:tcMar>
                  <w:left w:w="70" w:type="dxa"/>
                  <w:right w:w="70" w:type="dxa"/>
                </w:tcMar>
                <w:vAlign w:val="center"/>
              </w:tcPr>
              <w:p w14:paraId="2C8D87F3" w14:textId="57BC33A5"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-14.559.741.475</w:t>
                </w:r>
              </w:p>
            </w:tc>
          </w:tr>
          <w:tr w:rsidR="45DBE3D4" w14:paraId="29BC6719" w14:textId="77777777" w:rsidTr="00DE0481">
            <w:trPr>
              <w:trHeight w:val="340"/>
            </w:trPr>
            <w:tc>
              <w:tcPr>
                <w:tcW w:w="930" w:type="dxa"/>
                <w:tcMar>
                  <w:left w:w="70" w:type="dxa"/>
                  <w:right w:w="70" w:type="dxa"/>
                </w:tcMar>
                <w:vAlign w:val="center"/>
              </w:tcPr>
              <w:p w14:paraId="34C26884" w14:textId="624DA2EC" w:rsidR="45DBE3D4" w:rsidRPr="009A46BB" w:rsidRDefault="45DBE3D4" w:rsidP="45DBE3D4">
                <w:pPr>
                  <w:spacing w:after="0"/>
                  <w:ind w:left="-20" w:right="-20"/>
                  <w:jc w:val="center"/>
                  <w:rPr>
                    <w:rFonts w:ascii="Times New Roman" w:hAnsi="Times New Roman"/>
                    <w:sz w:val="16"/>
                    <w:szCs w:val="16"/>
                  </w:rPr>
                </w:pPr>
                <w:r w:rsidRPr="45DBE3D4">
                  <w:rPr>
                    <w:rFonts w:ascii="Times New Roman" w:eastAsia="Times New Roman" w:hAnsi="Times New Roman"/>
                    <w:color w:val="000000" w:themeColor="text1"/>
                    <w:sz w:val="16"/>
                    <w:szCs w:val="16"/>
                  </w:rPr>
                  <w:t>900843297</w:t>
                </w:r>
              </w:p>
            </w:tc>
            <w:tc>
              <w:tcPr>
                <w:tcW w:w="3738" w:type="dxa"/>
                <w:tcMar>
                  <w:left w:w="70" w:type="dxa"/>
                  <w:right w:w="70" w:type="dxa"/>
                </w:tcMar>
                <w:vAlign w:val="center"/>
              </w:tcPr>
              <w:p w14:paraId="161572C7" w14:textId="43396E17" w:rsidR="45DBE3D4" w:rsidRPr="009A46BB" w:rsidRDefault="45DBE3D4" w:rsidP="45DBE3D4">
                <w:pPr>
                  <w:spacing w:after="0"/>
                  <w:ind w:left="-20" w:right="-20"/>
                  <w:rPr>
                    <w:rFonts w:ascii="Times New Roman" w:hAnsi="Times New Roman"/>
                    <w:sz w:val="16"/>
                    <w:szCs w:val="16"/>
                  </w:rPr>
                </w:pPr>
                <w:r w:rsidRPr="45DBE3D4">
                  <w:rPr>
                    <w:rFonts w:ascii="Times New Roman" w:eastAsia="Times New Roman" w:hAnsi="Times New Roman"/>
                    <w:color w:val="000000" w:themeColor="text1"/>
                    <w:sz w:val="16"/>
                    <w:szCs w:val="16"/>
                  </w:rPr>
                  <w:t>CONCESION VIAL DE LOS LLANOS SAS</w:t>
                </w:r>
              </w:p>
            </w:tc>
            <w:tc>
              <w:tcPr>
                <w:tcW w:w="1559" w:type="dxa"/>
                <w:tcMar>
                  <w:left w:w="70" w:type="dxa"/>
                  <w:right w:w="70" w:type="dxa"/>
                </w:tcMar>
                <w:vAlign w:val="center"/>
              </w:tcPr>
              <w:p w14:paraId="1C6A8CD8" w14:textId="7C25311D"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212.319.952.418</w:t>
                </w:r>
              </w:p>
            </w:tc>
            <w:tc>
              <w:tcPr>
                <w:tcW w:w="1560" w:type="dxa"/>
                <w:tcMar>
                  <w:left w:w="70" w:type="dxa"/>
                  <w:right w:w="70" w:type="dxa"/>
                </w:tcMar>
                <w:vAlign w:val="center"/>
              </w:tcPr>
              <w:p w14:paraId="25A7EDD0" w14:textId="47FF343F"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21.780.369.376</w:t>
                </w:r>
              </w:p>
            </w:tc>
            <w:tc>
              <w:tcPr>
                <w:tcW w:w="1325" w:type="dxa"/>
                <w:tcMar>
                  <w:left w:w="70" w:type="dxa"/>
                  <w:right w:w="70" w:type="dxa"/>
                </w:tcMar>
                <w:vAlign w:val="center"/>
              </w:tcPr>
              <w:p w14:paraId="0A190B1A" w14:textId="36205562"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190.539.583.042</w:t>
                </w:r>
              </w:p>
            </w:tc>
          </w:tr>
          <w:tr w:rsidR="45DBE3D4" w14:paraId="492D5C08" w14:textId="77777777" w:rsidTr="00DE0481">
            <w:trPr>
              <w:trHeight w:val="340"/>
            </w:trPr>
            <w:tc>
              <w:tcPr>
                <w:tcW w:w="930" w:type="dxa"/>
                <w:tcMar>
                  <w:left w:w="70" w:type="dxa"/>
                  <w:right w:w="70" w:type="dxa"/>
                </w:tcMar>
                <w:vAlign w:val="center"/>
              </w:tcPr>
              <w:p w14:paraId="02AE5241" w14:textId="3834F93F" w:rsidR="45DBE3D4" w:rsidRPr="009A46BB" w:rsidRDefault="45DBE3D4" w:rsidP="45DBE3D4">
                <w:pPr>
                  <w:spacing w:after="0"/>
                  <w:ind w:left="-20" w:right="-20"/>
                  <w:jc w:val="center"/>
                  <w:rPr>
                    <w:rFonts w:ascii="Times New Roman" w:hAnsi="Times New Roman"/>
                    <w:sz w:val="16"/>
                    <w:szCs w:val="16"/>
                  </w:rPr>
                </w:pPr>
                <w:r w:rsidRPr="45DBE3D4">
                  <w:rPr>
                    <w:rFonts w:ascii="Times New Roman" w:eastAsia="Times New Roman" w:hAnsi="Times New Roman"/>
                    <w:color w:val="000000" w:themeColor="text1"/>
                    <w:sz w:val="16"/>
                    <w:szCs w:val="16"/>
                  </w:rPr>
                  <w:t>900848064</w:t>
                </w:r>
              </w:p>
            </w:tc>
            <w:tc>
              <w:tcPr>
                <w:tcW w:w="3738" w:type="dxa"/>
                <w:tcMar>
                  <w:left w:w="70" w:type="dxa"/>
                  <w:right w:w="70" w:type="dxa"/>
                </w:tcMar>
                <w:vAlign w:val="center"/>
              </w:tcPr>
              <w:p w14:paraId="592F8592" w14:textId="5D354731" w:rsidR="45DBE3D4" w:rsidRPr="009A46BB" w:rsidRDefault="45DBE3D4" w:rsidP="45DBE3D4">
                <w:pPr>
                  <w:spacing w:after="0"/>
                  <w:ind w:left="-20" w:right="-20"/>
                  <w:rPr>
                    <w:rFonts w:ascii="Times New Roman" w:hAnsi="Times New Roman"/>
                    <w:sz w:val="16"/>
                    <w:szCs w:val="16"/>
                  </w:rPr>
                </w:pPr>
                <w:r w:rsidRPr="45DBE3D4">
                  <w:rPr>
                    <w:rFonts w:ascii="Times New Roman" w:eastAsia="Times New Roman" w:hAnsi="Times New Roman"/>
                    <w:color w:val="000000" w:themeColor="text1"/>
                    <w:sz w:val="16"/>
                    <w:szCs w:val="16"/>
                  </w:rPr>
                  <w:t>CONCESIONARIA VIAL ANDINA S A S</w:t>
                </w:r>
              </w:p>
            </w:tc>
            <w:tc>
              <w:tcPr>
                <w:tcW w:w="1559" w:type="dxa"/>
                <w:tcMar>
                  <w:left w:w="70" w:type="dxa"/>
                  <w:right w:w="70" w:type="dxa"/>
                </w:tcMar>
                <w:vAlign w:val="center"/>
              </w:tcPr>
              <w:p w14:paraId="5999F29C" w14:textId="73CA9566"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2.636.269.629.801</w:t>
                </w:r>
              </w:p>
            </w:tc>
            <w:tc>
              <w:tcPr>
                <w:tcW w:w="1560" w:type="dxa"/>
                <w:tcMar>
                  <w:left w:w="70" w:type="dxa"/>
                  <w:right w:w="70" w:type="dxa"/>
                </w:tcMar>
                <w:vAlign w:val="center"/>
              </w:tcPr>
              <w:p w14:paraId="0D533A0A" w14:textId="50AF4C67"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2.703.984.408.410</w:t>
                </w:r>
              </w:p>
            </w:tc>
            <w:tc>
              <w:tcPr>
                <w:tcW w:w="1325" w:type="dxa"/>
                <w:tcMar>
                  <w:left w:w="70" w:type="dxa"/>
                  <w:right w:w="70" w:type="dxa"/>
                </w:tcMar>
                <w:vAlign w:val="center"/>
              </w:tcPr>
              <w:p w14:paraId="4A0BEA3F" w14:textId="66D4A6A2"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-67.714.778.609</w:t>
                </w:r>
              </w:p>
            </w:tc>
          </w:tr>
          <w:tr w:rsidR="45DBE3D4" w14:paraId="320E1FA5" w14:textId="77777777" w:rsidTr="00DE0481">
            <w:trPr>
              <w:trHeight w:val="340"/>
            </w:trPr>
            <w:tc>
              <w:tcPr>
                <w:tcW w:w="930" w:type="dxa"/>
                <w:tcMar>
                  <w:left w:w="70" w:type="dxa"/>
                  <w:right w:w="70" w:type="dxa"/>
                </w:tcMar>
                <w:vAlign w:val="center"/>
              </w:tcPr>
              <w:p w14:paraId="0B9D8FA4" w14:textId="360C09F6" w:rsidR="45DBE3D4" w:rsidRPr="009A46BB" w:rsidRDefault="45DBE3D4" w:rsidP="45DBE3D4">
                <w:pPr>
                  <w:spacing w:after="0"/>
                  <w:ind w:left="-20" w:right="-20"/>
                  <w:jc w:val="center"/>
                  <w:rPr>
                    <w:rFonts w:ascii="Times New Roman" w:hAnsi="Times New Roman"/>
                    <w:sz w:val="16"/>
                    <w:szCs w:val="16"/>
                  </w:rPr>
                </w:pPr>
                <w:r w:rsidRPr="45DBE3D4">
                  <w:rPr>
                    <w:rFonts w:ascii="Times New Roman" w:eastAsia="Times New Roman" w:hAnsi="Times New Roman"/>
                    <w:color w:val="000000" w:themeColor="text1"/>
                    <w:sz w:val="16"/>
                    <w:szCs w:val="16"/>
                  </w:rPr>
                  <w:t>900858096</w:t>
                </w:r>
              </w:p>
            </w:tc>
            <w:tc>
              <w:tcPr>
                <w:tcW w:w="3738" w:type="dxa"/>
                <w:tcMar>
                  <w:left w:w="70" w:type="dxa"/>
                  <w:right w:w="70" w:type="dxa"/>
                </w:tcMar>
                <w:vAlign w:val="center"/>
              </w:tcPr>
              <w:p w14:paraId="0EF2DDCA" w14:textId="20EB9919" w:rsidR="45DBE3D4" w:rsidRPr="009A46BB" w:rsidRDefault="45DBE3D4" w:rsidP="45DBE3D4">
                <w:pPr>
                  <w:spacing w:after="0"/>
                  <w:ind w:left="-20" w:right="-20"/>
                  <w:rPr>
                    <w:rFonts w:ascii="Times New Roman" w:hAnsi="Times New Roman"/>
                    <w:sz w:val="16"/>
                    <w:szCs w:val="16"/>
                  </w:rPr>
                </w:pPr>
                <w:r w:rsidRPr="45DBE3D4">
                  <w:rPr>
                    <w:rFonts w:ascii="Times New Roman" w:eastAsia="Times New Roman" w:hAnsi="Times New Roman"/>
                    <w:color w:val="000000" w:themeColor="text1"/>
                    <w:sz w:val="16"/>
                    <w:szCs w:val="16"/>
                  </w:rPr>
                  <w:t>SOCIEDAD CONCESIONARIA VIAL MONTES DE MARIA SAS</w:t>
                </w:r>
              </w:p>
            </w:tc>
            <w:tc>
              <w:tcPr>
                <w:tcW w:w="1559" w:type="dxa"/>
                <w:tcMar>
                  <w:left w:w="70" w:type="dxa"/>
                  <w:right w:w="70" w:type="dxa"/>
                </w:tcMar>
                <w:vAlign w:val="center"/>
              </w:tcPr>
              <w:p w14:paraId="3E2D7CC1" w14:textId="00AD84D1"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488.741.409.938</w:t>
                </w:r>
              </w:p>
            </w:tc>
            <w:tc>
              <w:tcPr>
                <w:tcW w:w="1560" w:type="dxa"/>
                <w:tcMar>
                  <w:left w:w="70" w:type="dxa"/>
                  <w:right w:w="70" w:type="dxa"/>
                </w:tcMar>
                <w:vAlign w:val="center"/>
              </w:tcPr>
              <w:p w14:paraId="613D08E5" w14:textId="523E39AA"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442.562.973.791</w:t>
                </w:r>
              </w:p>
            </w:tc>
            <w:tc>
              <w:tcPr>
                <w:tcW w:w="1325" w:type="dxa"/>
                <w:tcMar>
                  <w:left w:w="70" w:type="dxa"/>
                  <w:right w:w="70" w:type="dxa"/>
                </w:tcMar>
                <w:vAlign w:val="center"/>
              </w:tcPr>
              <w:p w14:paraId="444C5FFF" w14:textId="5A8ABF3B"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46.178.436.147</w:t>
                </w:r>
              </w:p>
            </w:tc>
          </w:tr>
          <w:tr w:rsidR="45DBE3D4" w14:paraId="293A28A4" w14:textId="77777777" w:rsidTr="00DE0481">
            <w:trPr>
              <w:trHeight w:val="340"/>
            </w:trPr>
            <w:tc>
              <w:tcPr>
                <w:tcW w:w="930" w:type="dxa"/>
                <w:tcMar>
                  <w:left w:w="70" w:type="dxa"/>
                  <w:right w:w="70" w:type="dxa"/>
                </w:tcMar>
                <w:vAlign w:val="center"/>
              </w:tcPr>
              <w:p w14:paraId="70D20CAA" w14:textId="75C36015" w:rsidR="45DBE3D4" w:rsidRPr="009A46BB" w:rsidRDefault="45DBE3D4" w:rsidP="45DBE3D4">
                <w:pPr>
                  <w:spacing w:after="0"/>
                  <w:ind w:left="-20" w:right="-20"/>
                  <w:jc w:val="center"/>
                  <w:rPr>
                    <w:rFonts w:ascii="Times New Roman" w:hAnsi="Times New Roman"/>
                    <w:sz w:val="16"/>
                    <w:szCs w:val="16"/>
                  </w:rPr>
                </w:pPr>
                <w:r w:rsidRPr="45DBE3D4">
                  <w:rPr>
                    <w:rFonts w:ascii="Times New Roman" w:eastAsia="Times New Roman" w:hAnsi="Times New Roman"/>
                    <w:color w:val="000000" w:themeColor="text1"/>
                    <w:sz w:val="16"/>
                    <w:szCs w:val="16"/>
                  </w:rPr>
                  <w:t>900862215</w:t>
                </w:r>
              </w:p>
            </w:tc>
            <w:tc>
              <w:tcPr>
                <w:tcW w:w="3738" w:type="dxa"/>
                <w:tcMar>
                  <w:left w:w="70" w:type="dxa"/>
                  <w:right w:w="70" w:type="dxa"/>
                </w:tcMar>
                <w:vAlign w:val="center"/>
              </w:tcPr>
              <w:p w14:paraId="777AF851" w14:textId="4911A3BB" w:rsidR="45DBE3D4" w:rsidRPr="009A46BB" w:rsidRDefault="45DBE3D4" w:rsidP="45DBE3D4">
                <w:pPr>
                  <w:spacing w:after="0"/>
                  <w:ind w:left="-20" w:right="-20"/>
                  <w:rPr>
                    <w:rFonts w:ascii="Times New Roman" w:hAnsi="Times New Roman"/>
                    <w:sz w:val="16"/>
                    <w:szCs w:val="16"/>
                  </w:rPr>
                </w:pPr>
                <w:r w:rsidRPr="45DBE3D4">
                  <w:rPr>
                    <w:rFonts w:ascii="Times New Roman" w:eastAsia="Times New Roman" w:hAnsi="Times New Roman"/>
                    <w:color w:val="000000" w:themeColor="text1"/>
                    <w:sz w:val="16"/>
                    <w:szCs w:val="16"/>
                  </w:rPr>
                  <w:t>CONCESIONARIA VIAL DEL ORIENTE S A S</w:t>
                </w:r>
              </w:p>
            </w:tc>
            <w:tc>
              <w:tcPr>
                <w:tcW w:w="1559" w:type="dxa"/>
                <w:tcMar>
                  <w:left w:w="70" w:type="dxa"/>
                  <w:right w:w="70" w:type="dxa"/>
                </w:tcMar>
                <w:vAlign w:val="center"/>
              </w:tcPr>
              <w:p w14:paraId="5E8802AC" w14:textId="66C4EB67"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1.211.395.655.087</w:t>
                </w:r>
              </w:p>
            </w:tc>
            <w:tc>
              <w:tcPr>
                <w:tcW w:w="1560" w:type="dxa"/>
                <w:tcMar>
                  <w:left w:w="70" w:type="dxa"/>
                  <w:right w:w="70" w:type="dxa"/>
                </w:tcMar>
                <w:vAlign w:val="center"/>
              </w:tcPr>
              <w:p w14:paraId="0A700BD6" w14:textId="088506F8"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1.154.285.482.347</w:t>
                </w:r>
              </w:p>
            </w:tc>
            <w:tc>
              <w:tcPr>
                <w:tcW w:w="1325" w:type="dxa"/>
                <w:tcMar>
                  <w:left w:w="70" w:type="dxa"/>
                  <w:right w:w="70" w:type="dxa"/>
                </w:tcMar>
                <w:vAlign w:val="center"/>
              </w:tcPr>
              <w:p w14:paraId="0BAC5D8B" w14:textId="233BF829"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57.110.172.740</w:t>
                </w:r>
              </w:p>
            </w:tc>
          </w:tr>
          <w:tr w:rsidR="45DBE3D4" w14:paraId="4F5799A9" w14:textId="77777777" w:rsidTr="00DE0481">
            <w:trPr>
              <w:trHeight w:val="340"/>
            </w:trPr>
            <w:tc>
              <w:tcPr>
                <w:tcW w:w="930" w:type="dxa"/>
                <w:tcMar>
                  <w:left w:w="70" w:type="dxa"/>
                  <w:right w:w="70" w:type="dxa"/>
                </w:tcMar>
                <w:vAlign w:val="center"/>
              </w:tcPr>
              <w:p w14:paraId="5B3830ED" w14:textId="42650609" w:rsidR="45DBE3D4" w:rsidRPr="009A46BB" w:rsidRDefault="45DBE3D4" w:rsidP="45DBE3D4">
                <w:pPr>
                  <w:spacing w:after="0"/>
                  <w:ind w:left="-20" w:right="-20"/>
                  <w:jc w:val="center"/>
                  <w:rPr>
                    <w:rFonts w:ascii="Times New Roman" w:hAnsi="Times New Roman"/>
                    <w:sz w:val="16"/>
                    <w:szCs w:val="16"/>
                  </w:rPr>
                </w:pPr>
                <w:r w:rsidRPr="45DBE3D4">
                  <w:rPr>
                    <w:rFonts w:ascii="Times New Roman" w:eastAsia="Times New Roman" w:hAnsi="Times New Roman"/>
                    <w:color w:val="000000" w:themeColor="text1"/>
                    <w:sz w:val="16"/>
                    <w:szCs w:val="16"/>
                  </w:rPr>
                  <w:t>900864150</w:t>
                </w:r>
              </w:p>
            </w:tc>
            <w:tc>
              <w:tcPr>
                <w:tcW w:w="3738" w:type="dxa"/>
                <w:tcMar>
                  <w:left w:w="70" w:type="dxa"/>
                  <w:right w:w="70" w:type="dxa"/>
                </w:tcMar>
                <w:vAlign w:val="center"/>
              </w:tcPr>
              <w:p w14:paraId="66D59FA5" w14:textId="40F3F02F" w:rsidR="45DBE3D4" w:rsidRPr="009A46BB" w:rsidRDefault="45DBE3D4" w:rsidP="45DBE3D4">
                <w:pPr>
                  <w:spacing w:after="0"/>
                  <w:ind w:left="-20" w:right="-20"/>
                  <w:rPr>
                    <w:rFonts w:ascii="Times New Roman" w:hAnsi="Times New Roman"/>
                    <w:sz w:val="16"/>
                    <w:szCs w:val="16"/>
                  </w:rPr>
                </w:pPr>
                <w:r w:rsidRPr="45DBE3D4">
                  <w:rPr>
                    <w:rFonts w:ascii="Times New Roman" w:eastAsia="Times New Roman" w:hAnsi="Times New Roman"/>
                    <w:color w:val="000000" w:themeColor="text1"/>
                    <w:sz w:val="16"/>
                    <w:szCs w:val="16"/>
                  </w:rPr>
                  <w:t>CONCESIONARIA ALTERNATIVAS VIALES S.A.S.</w:t>
                </w:r>
              </w:p>
            </w:tc>
            <w:tc>
              <w:tcPr>
                <w:tcW w:w="1559" w:type="dxa"/>
                <w:tcMar>
                  <w:left w:w="70" w:type="dxa"/>
                  <w:right w:w="70" w:type="dxa"/>
                </w:tcMar>
                <w:vAlign w:val="center"/>
              </w:tcPr>
              <w:p w14:paraId="40601EE2" w14:textId="49DC1ACE"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902.384.265.091</w:t>
                </w:r>
              </w:p>
            </w:tc>
            <w:tc>
              <w:tcPr>
                <w:tcW w:w="1560" w:type="dxa"/>
                <w:tcMar>
                  <w:left w:w="70" w:type="dxa"/>
                  <w:right w:w="70" w:type="dxa"/>
                </w:tcMar>
                <w:vAlign w:val="center"/>
              </w:tcPr>
              <w:p w14:paraId="0E0F6944" w14:textId="257721F4"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361.796.423.505</w:t>
                </w:r>
              </w:p>
            </w:tc>
            <w:tc>
              <w:tcPr>
                <w:tcW w:w="1325" w:type="dxa"/>
                <w:tcMar>
                  <w:left w:w="70" w:type="dxa"/>
                  <w:right w:w="70" w:type="dxa"/>
                </w:tcMar>
                <w:vAlign w:val="center"/>
              </w:tcPr>
              <w:p w14:paraId="35E550E3" w14:textId="13EBE1B8"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540.587.841.586</w:t>
                </w:r>
              </w:p>
            </w:tc>
          </w:tr>
          <w:tr w:rsidR="45DBE3D4" w14:paraId="02CDCECA" w14:textId="77777777" w:rsidTr="00DE0481">
            <w:trPr>
              <w:trHeight w:val="340"/>
            </w:trPr>
            <w:tc>
              <w:tcPr>
                <w:tcW w:w="930" w:type="dxa"/>
                <w:tcMar>
                  <w:left w:w="70" w:type="dxa"/>
                  <w:right w:w="70" w:type="dxa"/>
                </w:tcMar>
                <w:vAlign w:val="center"/>
              </w:tcPr>
              <w:p w14:paraId="2F4684DE" w14:textId="6258D2D7" w:rsidR="45DBE3D4" w:rsidRPr="009A46BB" w:rsidRDefault="45DBE3D4" w:rsidP="45DBE3D4">
                <w:pPr>
                  <w:spacing w:after="0"/>
                  <w:ind w:left="-20" w:right="-20"/>
                  <w:jc w:val="center"/>
                  <w:rPr>
                    <w:rFonts w:ascii="Times New Roman" w:hAnsi="Times New Roman"/>
                    <w:sz w:val="16"/>
                    <w:szCs w:val="16"/>
                  </w:rPr>
                </w:pPr>
                <w:r w:rsidRPr="45DBE3D4">
                  <w:rPr>
                    <w:rFonts w:ascii="Times New Roman" w:eastAsia="Times New Roman" w:hAnsi="Times New Roman"/>
                    <w:color w:val="000000" w:themeColor="text1"/>
                    <w:sz w:val="16"/>
                    <w:szCs w:val="16"/>
                  </w:rPr>
                  <w:t>900866440</w:t>
                </w:r>
              </w:p>
            </w:tc>
            <w:tc>
              <w:tcPr>
                <w:tcW w:w="3738" w:type="dxa"/>
                <w:tcMar>
                  <w:left w:w="70" w:type="dxa"/>
                  <w:right w:w="70" w:type="dxa"/>
                </w:tcMar>
                <w:vAlign w:val="center"/>
              </w:tcPr>
              <w:p w14:paraId="2630BF9A" w14:textId="5808960F" w:rsidR="45DBE3D4" w:rsidRPr="009A46BB" w:rsidRDefault="45DBE3D4" w:rsidP="45DBE3D4">
                <w:pPr>
                  <w:spacing w:after="0"/>
                  <w:ind w:left="-20" w:right="-20"/>
                  <w:rPr>
                    <w:rFonts w:ascii="Times New Roman" w:hAnsi="Times New Roman"/>
                    <w:sz w:val="16"/>
                    <w:szCs w:val="16"/>
                  </w:rPr>
                </w:pPr>
                <w:r w:rsidRPr="45DBE3D4">
                  <w:rPr>
                    <w:rFonts w:ascii="Times New Roman" w:eastAsia="Times New Roman" w:hAnsi="Times New Roman"/>
                    <w:color w:val="000000" w:themeColor="text1"/>
                    <w:sz w:val="16"/>
                    <w:szCs w:val="16"/>
                  </w:rPr>
                  <w:t>NUEVO CAUCA S A S</w:t>
                </w:r>
              </w:p>
            </w:tc>
            <w:tc>
              <w:tcPr>
                <w:tcW w:w="1559" w:type="dxa"/>
                <w:tcMar>
                  <w:left w:w="70" w:type="dxa"/>
                  <w:right w:w="70" w:type="dxa"/>
                </w:tcMar>
                <w:vAlign w:val="center"/>
              </w:tcPr>
              <w:p w14:paraId="2680FDED" w14:textId="0A55C13D"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168.122.061.078</w:t>
                </w:r>
              </w:p>
            </w:tc>
            <w:tc>
              <w:tcPr>
                <w:tcW w:w="1560" w:type="dxa"/>
                <w:tcMar>
                  <w:left w:w="70" w:type="dxa"/>
                  <w:right w:w="70" w:type="dxa"/>
                </w:tcMar>
                <w:vAlign w:val="center"/>
              </w:tcPr>
              <w:p w14:paraId="1F878BA9" w14:textId="4A330D67"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12.365.136.821</w:t>
                </w:r>
              </w:p>
            </w:tc>
            <w:tc>
              <w:tcPr>
                <w:tcW w:w="1325" w:type="dxa"/>
                <w:tcMar>
                  <w:left w:w="70" w:type="dxa"/>
                  <w:right w:w="70" w:type="dxa"/>
                </w:tcMar>
                <w:vAlign w:val="center"/>
              </w:tcPr>
              <w:p w14:paraId="4F10D120" w14:textId="2D0F0107"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155.756.924.257</w:t>
                </w:r>
              </w:p>
            </w:tc>
          </w:tr>
          <w:tr w:rsidR="45DBE3D4" w14:paraId="1A1BCCAF" w14:textId="77777777" w:rsidTr="00DE0481">
            <w:trPr>
              <w:trHeight w:val="340"/>
            </w:trPr>
            <w:tc>
              <w:tcPr>
                <w:tcW w:w="930" w:type="dxa"/>
                <w:tcMar>
                  <w:left w:w="70" w:type="dxa"/>
                  <w:right w:w="70" w:type="dxa"/>
                </w:tcMar>
                <w:vAlign w:val="center"/>
              </w:tcPr>
              <w:p w14:paraId="044DCF3C" w14:textId="0DD66D0C" w:rsidR="45DBE3D4" w:rsidRPr="009A46BB" w:rsidRDefault="45DBE3D4" w:rsidP="45DBE3D4">
                <w:pPr>
                  <w:spacing w:after="0"/>
                  <w:ind w:left="-20" w:right="-20"/>
                  <w:jc w:val="center"/>
                  <w:rPr>
                    <w:rFonts w:ascii="Times New Roman" w:hAnsi="Times New Roman"/>
                    <w:sz w:val="16"/>
                    <w:szCs w:val="16"/>
                  </w:rPr>
                </w:pPr>
                <w:r w:rsidRPr="45DBE3D4">
                  <w:rPr>
                    <w:rFonts w:ascii="Times New Roman" w:eastAsia="Times New Roman" w:hAnsi="Times New Roman"/>
                    <w:color w:val="000000" w:themeColor="text1"/>
                    <w:sz w:val="16"/>
                    <w:szCs w:val="16"/>
                  </w:rPr>
                  <w:t>900869678</w:t>
                </w:r>
              </w:p>
            </w:tc>
            <w:tc>
              <w:tcPr>
                <w:tcW w:w="3738" w:type="dxa"/>
                <w:tcMar>
                  <w:left w:w="70" w:type="dxa"/>
                  <w:right w:w="70" w:type="dxa"/>
                </w:tcMar>
                <w:vAlign w:val="center"/>
              </w:tcPr>
              <w:p w14:paraId="4F73E501" w14:textId="56613949" w:rsidR="45DBE3D4" w:rsidRPr="009A46BB" w:rsidRDefault="45DBE3D4" w:rsidP="45DBE3D4">
                <w:pPr>
                  <w:spacing w:after="0"/>
                  <w:ind w:left="-20" w:right="-20"/>
                  <w:rPr>
                    <w:rFonts w:ascii="Times New Roman" w:hAnsi="Times New Roman"/>
                    <w:sz w:val="16"/>
                    <w:szCs w:val="16"/>
                  </w:rPr>
                </w:pPr>
                <w:r w:rsidRPr="45DBE3D4">
                  <w:rPr>
                    <w:rFonts w:ascii="Times New Roman" w:eastAsia="Times New Roman" w:hAnsi="Times New Roman"/>
                    <w:color w:val="000000" w:themeColor="text1"/>
                    <w:sz w:val="16"/>
                    <w:szCs w:val="16"/>
                  </w:rPr>
                  <w:t>DESARROLLO VIAL AL MAR   S.A.S</w:t>
                </w:r>
              </w:p>
            </w:tc>
            <w:tc>
              <w:tcPr>
                <w:tcW w:w="1559" w:type="dxa"/>
                <w:tcMar>
                  <w:left w:w="70" w:type="dxa"/>
                  <w:right w:w="70" w:type="dxa"/>
                </w:tcMar>
                <w:vAlign w:val="center"/>
              </w:tcPr>
              <w:p w14:paraId="62FE7D33" w14:textId="3B1FE44C"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394.362.563.617</w:t>
                </w:r>
              </w:p>
            </w:tc>
            <w:tc>
              <w:tcPr>
                <w:tcW w:w="1560" w:type="dxa"/>
                <w:tcMar>
                  <w:left w:w="70" w:type="dxa"/>
                  <w:right w:w="70" w:type="dxa"/>
                </w:tcMar>
                <w:vAlign w:val="center"/>
              </w:tcPr>
              <w:p w14:paraId="4256EDD4" w14:textId="1C045493"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414.405.712.716</w:t>
                </w:r>
              </w:p>
            </w:tc>
            <w:tc>
              <w:tcPr>
                <w:tcW w:w="1325" w:type="dxa"/>
                <w:tcMar>
                  <w:left w:w="70" w:type="dxa"/>
                  <w:right w:w="70" w:type="dxa"/>
                </w:tcMar>
                <w:vAlign w:val="center"/>
              </w:tcPr>
              <w:p w14:paraId="15B0ADD1" w14:textId="297C59E5"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-20.043.149.099</w:t>
                </w:r>
              </w:p>
            </w:tc>
          </w:tr>
          <w:tr w:rsidR="45DBE3D4" w14:paraId="5E52C48D" w14:textId="77777777" w:rsidTr="00DE0481">
            <w:trPr>
              <w:trHeight w:val="340"/>
            </w:trPr>
            <w:tc>
              <w:tcPr>
                <w:tcW w:w="930" w:type="dxa"/>
                <w:tcMar>
                  <w:left w:w="70" w:type="dxa"/>
                  <w:right w:w="70" w:type="dxa"/>
                </w:tcMar>
                <w:vAlign w:val="center"/>
              </w:tcPr>
              <w:p w14:paraId="3B9965ED" w14:textId="2827F9AE" w:rsidR="45DBE3D4" w:rsidRPr="009A46BB" w:rsidRDefault="45DBE3D4" w:rsidP="45DBE3D4">
                <w:pPr>
                  <w:spacing w:after="0"/>
                  <w:ind w:left="-20" w:right="-20"/>
                  <w:jc w:val="center"/>
                  <w:rPr>
                    <w:rFonts w:ascii="Times New Roman" w:hAnsi="Times New Roman"/>
                    <w:sz w:val="16"/>
                    <w:szCs w:val="16"/>
                  </w:rPr>
                </w:pPr>
                <w:r w:rsidRPr="45DBE3D4">
                  <w:rPr>
                    <w:rFonts w:ascii="Times New Roman" w:eastAsia="Times New Roman" w:hAnsi="Times New Roman"/>
                    <w:color w:val="000000" w:themeColor="text1"/>
                    <w:sz w:val="16"/>
                    <w:szCs w:val="16"/>
                  </w:rPr>
                  <w:t>900871368</w:t>
                </w:r>
              </w:p>
            </w:tc>
            <w:tc>
              <w:tcPr>
                <w:tcW w:w="3738" w:type="dxa"/>
                <w:tcMar>
                  <w:left w:w="70" w:type="dxa"/>
                  <w:right w:w="70" w:type="dxa"/>
                </w:tcMar>
                <w:vAlign w:val="center"/>
              </w:tcPr>
              <w:p w14:paraId="60E63E80" w14:textId="388BFA8C" w:rsidR="45DBE3D4" w:rsidRPr="009A46BB" w:rsidRDefault="45DBE3D4" w:rsidP="45DBE3D4">
                <w:pPr>
                  <w:spacing w:after="0"/>
                  <w:ind w:left="-20" w:right="-20"/>
                  <w:rPr>
                    <w:rFonts w:ascii="Times New Roman" w:hAnsi="Times New Roman"/>
                    <w:sz w:val="16"/>
                    <w:szCs w:val="16"/>
                  </w:rPr>
                </w:pPr>
                <w:r w:rsidRPr="45DBE3D4">
                  <w:rPr>
                    <w:rFonts w:ascii="Times New Roman" w:eastAsia="Times New Roman" w:hAnsi="Times New Roman"/>
                    <w:color w:val="000000" w:themeColor="text1"/>
                    <w:sz w:val="16"/>
                    <w:szCs w:val="16"/>
                  </w:rPr>
                  <w:t>CONCESIONARIA RUTA DEL CACAO S.A.S.</w:t>
                </w:r>
              </w:p>
            </w:tc>
            <w:tc>
              <w:tcPr>
                <w:tcW w:w="1559" w:type="dxa"/>
                <w:tcMar>
                  <w:left w:w="70" w:type="dxa"/>
                  <w:right w:w="70" w:type="dxa"/>
                </w:tcMar>
                <w:vAlign w:val="center"/>
              </w:tcPr>
              <w:p w14:paraId="1B511346" w14:textId="50B85B2F"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1.314.007.722.738</w:t>
                </w:r>
              </w:p>
            </w:tc>
            <w:tc>
              <w:tcPr>
                <w:tcW w:w="1560" w:type="dxa"/>
                <w:tcMar>
                  <w:left w:w="70" w:type="dxa"/>
                  <w:right w:w="70" w:type="dxa"/>
                </w:tcMar>
                <w:vAlign w:val="center"/>
              </w:tcPr>
              <w:p w14:paraId="11D44024" w14:textId="494EA60E"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1.261.281.194.071</w:t>
                </w:r>
              </w:p>
            </w:tc>
            <w:tc>
              <w:tcPr>
                <w:tcW w:w="1325" w:type="dxa"/>
                <w:tcMar>
                  <w:left w:w="70" w:type="dxa"/>
                  <w:right w:w="70" w:type="dxa"/>
                </w:tcMar>
                <w:vAlign w:val="center"/>
              </w:tcPr>
              <w:p w14:paraId="61AA7691" w14:textId="4743AE0E"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52.726.528.667</w:t>
                </w:r>
              </w:p>
            </w:tc>
          </w:tr>
          <w:tr w:rsidR="45DBE3D4" w14:paraId="67948147" w14:textId="77777777" w:rsidTr="00DE0481">
            <w:trPr>
              <w:trHeight w:val="340"/>
            </w:trPr>
            <w:tc>
              <w:tcPr>
                <w:tcW w:w="930" w:type="dxa"/>
                <w:tcMar>
                  <w:left w:w="70" w:type="dxa"/>
                  <w:right w:w="70" w:type="dxa"/>
                </w:tcMar>
                <w:vAlign w:val="center"/>
              </w:tcPr>
              <w:p w14:paraId="24A3D884" w14:textId="5408FE70" w:rsidR="45DBE3D4" w:rsidRPr="009A46BB" w:rsidRDefault="45DBE3D4" w:rsidP="45DBE3D4">
                <w:pPr>
                  <w:spacing w:after="0"/>
                  <w:ind w:left="-20" w:right="-20"/>
                  <w:jc w:val="center"/>
                  <w:rPr>
                    <w:rFonts w:ascii="Times New Roman" w:hAnsi="Times New Roman"/>
                    <w:sz w:val="16"/>
                    <w:szCs w:val="16"/>
                  </w:rPr>
                </w:pPr>
                <w:r w:rsidRPr="45DBE3D4">
                  <w:rPr>
                    <w:rFonts w:ascii="Times New Roman" w:eastAsia="Times New Roman" w:hAnsi="Times New Roman"/>
                    <w:color w:val="000000" w:themeColor="text1"/>
                    <w:sz w:val="16"/>
                    <w:szCs w:val="16"/>
                  </w:rPr>
                  <w:t>900880846</w:t>
                </w:r>
              </w:p>
            </w:tc>
            <w:tc>
              <w:tcPr>
                <w:tcW w:w="3738" w:type="dxa"/>
                <w:tcMar>
                  <w:left w:w="70" w:type="dxa"/>
                  <w:right w:w="70" w:type="dxa"/>
                </w:tcMar>
                <w:vAlign w:val="center"/>
              </w:tcPr>
              <w:p w14:paraId="05A0A363" w14:textId="107E405F" w:rsidR="45DBE3D4" w:rsidRPr="009A46BB" w:rsidRDefault="45DBE3D4" w:rsidP="45DBE3D4">
                <w:pPr>
                  <w:spacing w:after="0"/>
                  <w:ind w:left="-20" w:right="-20"/>
                  <w:rPr>
                    <w:rFonts w:ascii="Times New Roman" w:hAnsi="Times New Roman"/>
                    <w:sz w:val="16"/>
                    <w:szCs w:val="16"/>
                  </w:rPr>
                </w:pPr>
                <w:r w:rsidRPr="45DBE3D4">
                  <w:rPr>
                    <w:rFonts w:ascii="Times New Roman" w:eastAsia="Times New Roman" w:hAnsi="Times New Roman"/>
                    <w:color w:val="000000" w:themeColor="text1"/>
                    <w:sz w:val="16"/>
                    <w:szCs w:val="16"/>
                  </w:rPr>
                  <w:t>CONCESIONARIA VIAL UNIÓN DEL SUR S.A.S.</w:t>
                </w:r>
              </w:p>
            </w:tc>
            <w:tc>
              <w:tcPr>
                <w:tcW w:w="1559" w:type="dxa"/>
                <w:tcMar>
                  <w:left w:w="70" w:type="dxa"/>
                  <w:right w:w="70" w:type="dxa"/>
                </w:tcMar>
                <w:vAlign w:val="center"/>
              </w:tcPr>
              <w:p w14:paraId="568D38CB" w14:textId="52F6966E"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962.291.824.330</w:t>
                </w:r>
              </w:p>
            </w:tc>
            <w:tc>
              <w:tcPr>
                <w:tcW w:w="1560" w:type="dxa"/>
                <w:tcMar>
                  <w:left w:w="70" w:type="dxa"/>
                  <w:right w:w="70" w:type="dxa"/>
                </w:tcMar>
                <w:vAlign w:val="center"/>
              </w:tcPr>
              <w:p w14:paraId="7E593DDB" w14:textId="23B339BE"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1.017.834.679.432</w:t>
                </w:r>
              </w:p>
            </w:tc>
            <w:tc>
              <w:tcPr>
                <w:tcW w:w="1325" w:type="dxa"/>
                <w:tcMar>
                  <w:left w:w="70" w:type="dxa"/>
                  <w:right w:w="70" w:type="dxa"/>
                </w:tcMar>
                <w:vAlign w:val="center"/>
              </w:tcPr>
              <w:p w14:paraId="6266594E" w14:textId="1CE68BBE"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-55.542.855.102</w:t>
                </w:r>
              </w:p>
            </w:tc>
          </w:tr>
          <w:tr w:rsidR="45DBE3D4" w14:paraId="52D2E4D6" w14:textId="77777777" w:rsidTr="00DE0481">
            <w:trPr>
              <w:trHeight w:val="340"/>
            </w:trPr>
            <w:tc>
              <w:tcPr>
                <w:tcW w:w="930" w:type="dxa"/>
                <w:tcMar>
                  <w:left w:w="70" w:type="dxa"/>
                  <w:right w:w="70" w:type="dxa"/>
                </w:tcMar>
                <w:vAlign w:val="center"/>
              </w:tcPr>
              <w:p w14:paraId="7C06FD4B" w14:textId="2CA8943F" w:rsidR="45DBE3D4" w:rsidRPr="009A46BB" w:rsidRDefault="45DBE3D4" w:rsidP="45DBE3D4">
                <w:pPr>
                  <w:spacing w:after="0"/>
                  <w:ind w:left="-20" w:right="-20"/>
                  <w:jc w:val="center"/>
                  <w:rPr>
                    <w:rFonts w:ascii="Times New Roman" w:hAnsi="Times New Roman"/>
                    <w:sz w:val="16"/>
                    <w:szCs w:val="16"/>
                  </w:rPr>
                </w:pPr>
                <w:r w:rsidRPr="45DBE3D4">
                  <w:rPr>
                    <w:rFonts w:ascii="Times New Roman" w:eastAsia="Times New Roman" w:hAnsi="Times New Roman"/>
                    <w:color w:val="000000" w:themeColor="text1"/>
                    <w:sz w:val="16"/>
                    <w:szCs w:val="16"/>
                  </w:rPr>
                  <w:t>900894996</w:t>
                </w:r>
              </w:p>
            </w:tc>
            <w:tc>
              <w:tcPr>
                <w:tcW w:w="3738" w:type="dxa"/>
                <w:tcMar>
                  <w:left w:w="70" w:type="dxa"/>
                  <w:right w:w="70" w:type="dxa"/>
                </w:tcMar>
                <w:vAlign w:val="center"/>
              </w:tcPr>
              <w:p w14:paraId="41161F25" w14:textId="68895893" w:rsidR="45DBE3D4" w:rsidRPr="009A46BB" w:rsidRDefault="45DBE3D4" w:rsidP="45DBE3D4">
                <w:pPr>
                  <w:spacing w:after="0"/>
                  <w:ind w:left="-20" w:right="-20"/>
                  <w:rPr>
                    <w:rFonts w:ascii="Times New Roman" w:hAnsi="Times New Roman"/>
                    <w:sz w:val="16"/>
                    <w:szCs w:val="16"/>
                  </w:rPr>
                </w:pPr>
                <w:r w:rsidRPr="45DBE3D4">
                  <w:rPr>
                    <w:rFonts w:ascii="Times New Roman" w:eastAsia="Times New Roman" w:hAnsi="Times New Roman"/>
                    <w:color w:val="000000" w:themeColor="text1"/>
                    <w:sz w:val="16"/>
                    <w:szCs w:val="16"/>
                  </w:rPr>
                  <w:t>CONCESIÒN RUTA AL MAR S.A.S.</w:t>
                </w:r>
              </w:p>
            </w:tc>
            <w:tc>
              <w:tcPr>
                <w:tcW w:w="1559" w:type="dxa"/>
                <w:tcMar>
                  <w:left w:w="70" w:type="dxa"/>
                  <w:right w:w="70" w:type="dxa"/>
                </w:tcMar>
                <w:vAlign w:val="center"/>
              </w:tcPr>
              <w:p w14:paraId="5588B8A3" w14:textId="7BAFEB39"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826.544.234.284</w:t>
                </w:r>
              </w:p>
            </w:tc>
            <w:tc>
              <w:tcPr>
                <w:tcW w:w="1560" w:type="dxa"/>
                <w:tcMar>
                  <w:left w:w="70" w:type="dxa"/>
                  <w:right w:w="70" w:type="dxa"/>
                </w:tcMar>
                <w:vAlign w:val="center"/>
              </w:tcPr>
              <w:p w14:paraId="66D3F83A" w14:textId="1454E0B4"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772.356.670.956</w:t>
                </w:r>
              </w:p>
            </w:tc>
            <w:tc>
              <w:tcPr>
                <w:tcW w:w="1325" w:type="dxa"/>
                <w:tcMar>
                  <w:left w:w="70" w:type="dxa"/>
                  <w:right w:w="70" w:type="dxa"/>
                </w:tcMar>
                <w:vAlign w:val="center"/>
              </w:tcPr>
              <w:p w14:paraId="5E410157" w14:textId="1662CBEA"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54.187.563.328</w:t>
                </w:r>
              </w:p>
            </w:tc>
          </w:tr>
          <w:tr w:rsidR="45DBE3D4" w14:paraId="70799C8A" w14:textId="77777777" w:rsidTr="00DE0481">
            <w:trPr>
              <w:trHeight w:val="340"/>
            </w:trPr>
            <w:tc>
              <w:tcPr>
                <w:tcW w:w="930" w:type="dxa"/>
                <w:tcMar>
                  <w:left w:w="70" w:type="dxa"/>
                  <w:right w:w="70" w:type="dxa"/>
                </w:tcMar>
                <w:vAlign w:val="center"/>
              </w:tcPr>
              <w:p w14:paraId="6EDFEE0F" w14:textId="51D039AF" w:rsidR="45DBE3D4" w:rsidRPr="009A46BB" w:rsidRDefault="45DBE3D4" w:rsidP="45DBE3D4">
                <w:pPr>
                  <w:spacing w:after="0"/>
                  <w:ind w:left="-20" w:right="-20"/>
                  <w:jc w:val="center"/>
                  <w:rPr>
                    <w:rFonts w:ascii="Times New Roman" w:hAnsi="Times New Roman"/>
                    <w:sz w:val="16"/>
                    <w:szCs w:val="16"/>
                  </w:rPr>
                </w:pPr>
                <w:r w:rsidRPr="45DBE3D4">
                  <w:rPr>
                    <w:rFonts w:ascii="Times New Roman" w:eastAsia="Times New Roman" w:hAnsi="Times New Roman"/>
                    <w:color w:val="000000" w:themeColor="text1"/>
                    <w:sz w:val="16"/>
                    <w:szCs w:val="16"/>
                  </w:rPr>
                  <w:t>900902591</w:t>
                </w:r>
              </w:p>
            </w:tc>
            <w:tc>
              <w:tcPr>
                <w:tcW w:w="3738" w:type="dxa"/>
                <w:tcMar>
                  <w:left w:w="70" w:type="dxa"/>
                  <w:right w:w="70" w:type="dxa"/>
                </w:tcMar>
                <w:vAlign w:val="center"/>
              </w:tcPr>
              <w:p w14:paraId="17D153B9" w14:textId="6239B9F3" w:rsidR="45DBE3D4" w:rsidRPr="009A46BB" w:rsidRDefault="45DBE3D4" w:rsidP="45DBE3D4">
                <w:pPr>
                  <w:spacing w:after="0"/>
                  <w:ind w:left="-20" w:right="-20"/>
                  <w:rPr>
                    <w:rFonts w:ascii="Times New Roman" w:hAnsi="Times New Roman"/>
                    <w:sz w:val="16"/>
                    <w:szCs w:val="16"/>
                  </w:rPr>
                </w:pPr>
                <w:r w:rsidRPr="45DBE3D4">
                  <w:rPr>
                    <w:rFonts w:ascii="Times New Roman" w:eastAsia="Times New Roman" w:hAnsi="Times New Roman"/>
                    <w:color w:val="000000" w:themeColor="text1"/>
                    <w:sz w:val="16"/>
                    <w:szCs w:val="16"/>
                  </w:rPr>
                  <w:t>AUTOPISTAS   URABA   SAS</w:t>
                </w:r>
              </w:p>
            </w:tc>
            <w:tc>
              <w:tcPr>
                <w:tcW w:w="1559" w:type="dxa"/>
                <w:tcMar>
                  <w:left w:w="70" w:type="dxa"/>
                  <w:right w:w="70" w:type="dxa"/>
                </w:tcMar>
                <w:vAlign w:val="center"/>
              </w:tcPr>
              <w:p w14:paraId="54287AFE" w14:textId="428C7346"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481.096.645.126</w:t>
                </w:r>
              </w:p>
            </w:tc>
            <w:tc>
              <w:tcPr>
                <w:tcW w:w="1560" w:type="dxa"/>
                <w:tcMar>
                  <w:left w:w="70" w:type="dxa"/>
                  <w:right w:w="70" w:type="dxa"/>
                </w:tcMar>
                <w:vAlign w:val="center"/>
              </w:tcPr>
              <w:p w14:paraId="79A3B946" w14:textId="44ECE8E3"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480.158.071.390</w:t>
                </w:r>
              </w:p>
            </w:tc>
            <w:tc>
              <w:tcPr>
                <w:tcW w:w="1325" w:type="dxa"/>
                <w:tcMar>
                  <w:left w:w="70" w:type="dxa"/>
                  <w:right w:w="70" w:type="dxa"/>
                </w:tcMar>
                <w:vAlign w:val="center"/>
              </w:tcPr>
              <w:p w14:paraId="533422AB" w14:textId="65E2C606"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938.573.736</w:t>
                </w:r>
              </w:p>
            </w:tc>
          </w:tr>
          <w:tr w:rsidR="45DBE3D4" w14:paraId="7A62E1B1" w14:textId="77777777" w:rsidTr="00DE0481">
            <w:trPr>
              <w:trHeight w:val="340"/>
            </w:trPr>
            <w:tc>
              <w:tcPr>
                <w:tcW w:w="930" w:type="dxa"/>
                <w:tcMar>
                  <w:left w:w="70" w:type="dxa"/>
                  <w:right w:w="70" w:type="dxa"/>
                </w:tcMar>
                <w:vAlign w:val="center"/>
              </w:tcPr>
              <w:p w14:paraId="5FAA8086" w14:textId="75389614" w:rsidR="45DBE3D4" w:rsidRPr="009A46BB" w:rsidRDefault="45DBE3D4" w:rsidP="45DBE3D4">
                <w:pPr>
                  <w:spacing w:after="0"/>
                  <w:ind w:left="-20" w:right="-20"/>
                  <w:jc w:val="center"/>
                  <w:rPr>
                    <w:rFonts w:ascii="Times New Roman" w:hAnsi="Times New Roman"/>
                    <w:sz w:val="16"/>
                    <w:szCs w:val="16"/>
                  </w:rPr>
                </w:pPr>
                <w:r w:rsidRPr="45DBE3D4">
                  <w:rPr>
                    <w:rFonts w:ascii="Times New Roman" w:eastAsia="Times New Roman" w:hAnsi="Times New Roman"/>
                    <w:color w:val="000000" w:themeColor="text1"/>
                    <w:sz w:val="16"/>
                    <w:szCs w:val="16"/>
                  </w:rPr>
                  <w:lastRenderedPageBreak/>
                  <w:t>900903279</w:t>
                </w:r>
              </w:p>
            </w:tc>
            <w:tc>
              <w:tcPr>
                <w:tcW w:w="3738" w:type="dxa"/>
                <w:tcMar>
                  <w:left w:w="70" w:type="dxa"/>
                  <w:right w:w="70" w:type="dxa"/>
                </w:tcMar>
                <w:vAlign w:val="center"/>
              </w:tcPr>
              <w:p w14:paraId="6ED4E45A" w14:textId="3C70BED6" w:rsidR="45DBE3D4" w:rsidRPr="009A46BB" w:rsidRDefault="45DBE3D4" w:rsidP="45DBE3D4">
                <w:pPr>
                  <w:spacing w:after="0"/>
                  <w:ind w:left="-20" w:right="-20"/>
                  <w:rPr>
                    <w:rFonts w:ascii="Times New Roman" w:hAnsi="Times New Roman"/>
                    <w:sz w:val="16"/>
                    <w:szCs w:val="16"/>
                  </w:rPr>
                </w:pPr>
                <w:r w:rsidRPr="45DBE3D4">
                  <w:rPr>
                    <w:rFonts w:ascii="Times New Roman" w:eastAsia="Times New Roman" w:hAnsi="Times New Roman"/>
                    <w:color w:val="000000" w:themeColor="text1"/>
                    <w:sz w:val="16"/>
                    <w:szCs w:val="16"/>
                  </w:rPr>
                  <w:t>AUTOVIA NEIVA GIRARDOT S.A.S</w:t>
                </w:r>
              </w:p>
            </w:tc>
            <w:tc>
              <w:tcPr>
                <w:tcW w:w="1559" w:type="dxa"/>
                <w:tcMar>
                  <w:left w:w="70" w:type="dxa"/>
                  <w:right w:w="70" w:type="dxa"/>
                </w:tcMar>
                <w:vAlign w:val="center"/>
              </w:tcPr>
              <w:p w14:paraId="70579314" w14:textId="55F8D11E"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888.262.728.802</w:t>
                </w:r>
              </w:p>
            </w:tc>
            <w:tc>
              <w:tcPr>
                <w:tcW w:w="1560" w:type="dxa"/>
                <w:tcMar>
                  <w:left w:w="70" w:type="dxa"/>
                  <w:right w:w="70" w:type="dxa"/>
                </w:tcMar>
                <w:vAlign w:val="center"/>
              </w:tcPr>
              <w:p w14:paraId="418C0F45" w14:textId="07005460"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877.316.468.826</w:t>
                </w:r>
              </w:p>
            </w:tc>
            <w:tc>
              <w:tcPr>
                <w:tcW w:w="1325" w:type="dxa"/>
                <w:tcMar>
                  <w:left w:w="70" w:type="dxa"/>
                  <w:right w:w="70" w:type="dxa"/>
                </w:tcMar>
                <w:vAlign w:val="center"/>
              </w:tcPr>
              <w:p w14:paraId="48752CDB" w14:textId="6D552C8C"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10.946.259.976</w:t>
                </w:r>
              </w:p>
            </w:tc>
          </w:tr>
          <w:tr w:rsidR="45DBE3D4" w14:paraId="186DE525" w14:textId="77777777" w:rsidTr="00DE0481">
            <w:trPr>
              <w:trHeight w:val="340"/>
            </w:trPr>
            <w:tc>
              <w:tcPr>
                <w:tcW w:w="930" w:type="dxa"/>
                <w:tcMar>
                  <w:left w:w="70" w:type="dxa"/>
                  <w:right w:w="70" w:type="dxa"/>
                </w:tcMar>
                <w:vAlign w:val="center"/>
              </w:tcPr>
              <w:p w14:paraId="32A60B14" w14:textId="1B2D5C76" w:rsidR="45DBE3D4" w:rsidRPr="009A46BB" w:rsidRDefault="45DBE3D4" w:rsidP="45DBE3D4">
                <w:pPr>
                  <w:spacing w:after="0"/>
                  <w:ind w:left="-20" w:right="-20"/>
                  <w:jc w:val="center"/>
                  <w:rPr>
                    <w:rFonts w:ascii="Times New Roman" w:hAnsi="Times New Roman"/>
                    <w:sz w:val="16"/>
                    <w:szCs w:val="16"/>
                  </w:rPr>
                </w:pPr>
                <w:r w:rsidRPr="45DBE3D4">
                  <w:rPr>
                    <w:rFonts w:ascii="Times New Roman" w:eastAsia="Times New Roman" w:hAnsi="Times New Roman"/>
                    <w:color w:val="000000" w:themeColor="text1"/>
                    <w:sz w:val="16"/>
                    <w:szCs w:val="16"/>
                  </w:rPr>
                  <w:t>900920562</w:t>
                </w:r>
              </w:p>
            </w:tc>
            <w:tc>
              <w:tcPr>
                <w:tcW w:w="3738" w:type="dxa"/>
                <w:tcMar>
                  <w:left w:w="70" w:type="dxa"/>
                  <w:right w:w="70" w:type="dxa"/>
                </w:tcMar>
                <w:vAlign w:val="center"/>
              </w:tcPr>
              <w:p w14:paraId="6650ABC7" w14:textId="0BDD073E" w:rsidR="45DBE3D4" w:rsidRPr="009A46BB" w:rsidRDefault="45DBE3D4" w:rsidP="45DBE3D4">
                <w:pPr>
                  <w:spacing w:after="0"/>
                  <w:ind w:left="-20" w:right="-20"/>
                  <w:rPr>
                    <w:rFonts w:ascii="Times New Roman" w:hAnsi="Times New Roman"/>
                    <w:sz w:val="16"/>
                    <w:szCs w:val="16"/>
                  </w:rPr>
                </w:pPr>
                <w:r w:rsidRPr="45DBE3D4">
                  <w:rPr>
                    <w:rFonts w:ascii="Times New Roman" w:eastAsia="Times New Roman" w:hAnsi="Times New Roman"/>
                    <w:color w:val="000000" w:themeColor="text1"/>
                    <w:sz w:val="16"/>
                    <w:szCs w:val="16"/>
                  </w:rPr>
                  <w:t>CONCESION VIAS DEL NUS S.A.S</w:t>
                </w:r>
              </w:p>
            </w:tc>
            <w:tc>
              <w:tcPr>
                <w:tcW w:w="1559" w:type="dxa"/>
                <w:tcMar>
                  <w:left w:w="70" w:type="dxa"/>
                  <w:right w:w="70" w:type="dxa"/>
                </w:tcMar>
                <w:vAlign w:val="center"/>
              </w:tcPr>
              <w:p w14:paraId="2BBAD19A" w14:textId="5F6BAF3B"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1.101.902.433.173</w:t>
                </w:r>
              </w:p>
            </w:tc>
            <w:tc>
              <w:tcPr>
                <w:tcW w:w="1560" w:type="dxa"/>
                <w:tcMar>
                  <w:left w:w="70" w:type="dxa"/>
                  <w:right w:w="70" w:type="dxa"/>
                </w:tcMar>
                <w:vAlign w:val="center"/>
              </w:tcPr>
              <w:p w14:paraId="12CF1609" w14:textId="5781CBAC"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1.152.753.764.846</w:t>
                </w:r>
              </w:p>
            </w:tc>
            <w:tc>
              <w:tcPr>
                <w:tcW w:w="1325" w:type="dxa"/>
                <w:tcMar>
                  <w:left w:w="70" w:type="dxa"/>
                  <w:right w:w="70" w:type="dxa"/>
                </w:tcMar>
                <w:vAlign w:val="center"/>
              </w:tcPr>
              <w:p w14:paraId="7980AED1" w14:textId="0FDF1EB3"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-50.851.331.673</w:t>
                </w:r>
              </w:p>
            </w:tc>
          </w:tr>
          <w:tr w:rsidR="45DBE3D4" w14:paraId="31E839A8" w14:textId="77777777" w:rsidTr="00DE0481">
            <w:trPr>
              <w:trHeight w:val="340"/>
            </w:trPr>
            <w:tc>
              <w:tcPr>
                <w:tcW w:w="930" w:type="dxa"/>
                <w:tcMar>
                  <w:left w:w="70" w:type="dxa"/>
                  <w:right w:w="70" w:type="dxa"/>
                </w:tcMar>
                <w:vAlign w:val="center"/>
              </w:tcPr>
              <w:p w14:paraId="1A3D3615" w14:textId="67785194" w:rsidR="45DBE3D4" w:rsidRPr="009A46BB" w:rsidRDefault="45DBE3D4" w:rsidP="45DBE3D4">
                <w:pPr>
                  <w:spacing w:after="0"/>
                  <w:ind w:left="-20" w:right="-20"/>
                  <w:jc w:val="center"/>
                  <w:rPr>
                    <w:rFonts w:ascii="Times New Roman" w:hAnsi="Times New Roman"/>
                    <w:sz w:val="16"/>
                    <w:szCs w:val="16"/>
                  </w:rPr>
                </w:pPr>
                <w:r w:rsidRPr="45DBE3D4">
                  <w:rPr>
                    <w:rFonts w:ascii="Times New Roman" w:eastAsia="Times New Roman" w:hAnsi="Times New Roman"/>
                    <w:color w:val="000000" w:themeColor="text1"/>
                    <w:sz w:val="16"/>
                    <w:szCs w:val="16"/>
                  </w:rPr>
                  <w:t>900972713</w:t>
                </w:r>
              </w:p>
            </w:tc>
            <w:tc>
              <w:tcPr>
                <w:tcW w:w="3738" w:type="dxa"/>
                <w:tcMar>
                  <w:left w:w="70" w:type="dxa"/>
                  <w:right w:w="70" w:type="dxa"/>
                </w:tcMar>
                <w:vAlign w:val="center"/>
              </w:tcPr>
              <w:p w14:paraId="2643CFAA" w14:textId="34B14BEE" w:rsidR="45DBE3D4" w:rsidRPr="009A46BB" w:rsidRDefault="45DBE3D4" w:rsidP="45DBE3D4">
                <w:pPr>
                  <w:spacing w:after="0"/>
                  <w:ind w:left="-20" w:right="-20"/>
                  <w:rPr>
                    <w:rFonts w:ascii="Times New Roman" w:hAnsi="Times New Roman"/>
                    <w:sz w:val="16"/>
                    <w:szCs w:val="16"/>
                  </w:rPr>
                </w:pPr>
                <w:r w:rsidRPr="45DBE3D4">
                  <w:rPr>
                    <w:rFonts w:ascii="Times New Roman" w:eastAsia="Times New Roman" w:hAnsi="Times New Roman"/>
                    <w:color w:val="000000" w:themeColor="text1"/>
                    <w:sz w:val="16"/>
                    <w:szCs w:val="16"/>
                  </w:rPr>
                  <w:t>AUTOVIA BUCARAMANGA PAMPLONA S.A.S</w:t>
                </w:r>
              </w:p>
            </w:tc>
            <w:tc>
              <w:tcPr>
                <w:tcW w:w="1559" w:type="dxa"/>
                <w:tcMar>
                  <w:left w:w="70" w:type="dxa"/>
                  <w:right w:w="70" w:type="dxa"/>
                </w:tcMar>
                <w:vAlign w:val="center"/>
              </w:tcPr>
              <w:p w14:paraId="7C5C29A9" w14:textId="18D9411A"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42.203.405.369</w:t>
                </w:r>
              </w:p>
            </w:tc>
            <w:tc>
              <w:tcPr>
                <w:tcW w:w="1560" w:type="dxa"/>
                <w:tcMar>
                  <w:left w:w="70" w:type="dxa"/>
                  <w:right w:w="70" w:type="dxa"/>
                </w:tcMar>
                <w:vAlign w:val="center"/>
              </w:tcPr>
              <w:p w14:paraId="59BB8FA5" w14:textId="52ABAD36"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42.203.405.369</w:t>
                </w:r>
              </w:p>
            </w:tc>
            <w:tc>
              <w:tcPr>
                <w:tcW w:w="1325" w:type="dxa"/>
                <w:tcMar>
                  <w:left w:w="70" w:type="dxa"/>
                  <w:right w:w="70" w:type="dxa"/>
                </w:tcMar>
                <w:vAlign w:val="center"/>
              </w:tcPr>
              <w:p w14:paraId="2E48D34A" w14:textId="724341A7"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0</w:t>
                </w:r>
              </w:p>
            </w:tc>
          </w:tr>
          <w:tr w:rsidR="45DBE3D4" w14:paraId="3D0C8D29" w14:textId="77777777" w:rsidTr="00DE0481">
            <w:trPr>
              <w:trHeight w:val="340"/>
            </w:trPr>
            <w:tc>
              <w:tcPr>
                <w:tcW w:w="930" w:type="dxa"/>
                <w:tcMar>
                  <w:left w:w="70" w:type="dxa"/>
                  <w:right w:w="70" w:type="dxa"/>
                </w:tcMar>
                <w:vAlign w:val="center"/>
              </w:tcPr>
              <w:p w14:paraId="226CBF62" w14:textId="75CF23AE" w:rsidR="45DBE3D4" w:rsidRPr="009A46BB" w:rsidRDefault="45DBE3D4" w:rsidP="45DBE3D4">
                <w:pPr>
                  <w:spacing w:after="0"/>
                  <w:ind w:left="-20" w:right="-20"/>
                  <w:jc w:val="center"/>
                  <w:rPr>
                    <w:rFonts w:ascii="Times New Roman" w:hAnsi="Times New Roman"/>
                    <w:sz w:val="16"/>
                    <w:szCs w:val="16"/>
                  </w:rPr>
                </w:pPr>
                <w:r w:rsidRPr="45DBE3D4">
                  <w:rPr>
                    <w:rFonts w:ascii="Times New Roman" w:eastAsia="Times New Roman" w:hAnsi="Times New Roman"/>
                    <w:color w:val="000000" w:themeColor="text1"/>
                    <w:sz w:val="16"/>
                    <w:szCs w:val="16"/>
                  </w:rPr>
                  <w:t>901009478</w:t>
                </w:r>
              </w:p>
            </w:tc>
            <w:tc>
              <w:tcPr>
                <w:tcW w:w="3738" w:type="dxa"/>
                <w:tcMar>
                  <w:left w:w="70" w:type="dxa"/>
                  <w:right w:w="70" w:type="dxa"/>
                </w:tcMar>
                <w:vAlign w:val="center"/>
              </w:tcPr>
              <w:p w14:paraId="7EB7B213" w14:textId="3765CFDA" w:rsidR="45DBE3D4" w:rsidRPr="009A46BB" w:rsidRDefault="45DBE3D4" w:rsidP="45DBE3D4">
                <w:pPr>
                  <w:spacing w:after="0"/>
                  <w:ind w:left="-20" w:right="-20"/>
                  <w:rPr>
                    <w:rFonts w:ascii="Times New Roman" w:hAnsi="Times New Roman"/>
                    <w:sz w:val="16"/>
                    <w:szCs w:val="16"/>
                  </w:rPr>
                </w:pPr>
                <w:r w:rsidRPr="45DBE3D4">
                  <w:rPr>
                    <w:rFonts w:ascii="Times New Roman" w:eastAsia="Times New Roman" w:hAnsi="Times New Roman"/>
                    <w:color w:val="000000" w:themeColor="text1"/>
                    <w:sz w:val="16"/>
                    <w:szCs w:val="16"/>
                  </w:rPr>
                  <w:t>VÍA 40 EXPRESS S.A.S.</w:t>
                </w:r>
              </w:p>
            </w:tc>
            <w:tc>
              <w:tcPr>
                <w:tcW w:w="1559" w:type="dxa"/>
                <w:tcMar>
                  <w:left w:w="70" w:type="dxa"/>
                  <w:right w:w="70" w:type="dxa"/>
                </w:tcMar>
                <w:vAlign w:val="center"/>
              </w:tcPr>
              <w:p w14:paraId="2E6B5265" w14:textId="0BA97016"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1.496.815.243.774</w:t>
                </w:r>
              </w:p>
            </w:tc>
            <w:tc>
              <w:tcPr>
                <w:tcW w:w="1560" w:type="dxa"/>
                <w:tcMar>
                  <w:left w:w="70" w:type="dxa"/>
                  <w:right w:w="70" w:type="dxa"/>
                </w:tcMar>
                <w:vAlign w:val="center"/>
              </w:tcPr>
              <w:p w14:paraId="15AA5957" w14:textId="009C98E9"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685.645.268.715</w:t>
                </w:r>
              </w:p>
            </w:tc>
            <w:tc>
              <w:tcPr>
                <w:tcW w:w="1325" w:type="dxa"/>
                <w:tcMar>
                  <w:left w:w="70" w:type="dxa"/>
                  <w:right w:w="70" w:type="dxa"/>
                </w:tcMar>
                <w:vAlign w:val="center"/>
              </w:tcPr>
              <w:p w14:paraId="55EE792F" w14:textId="12942B31"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811.169.975.059</w:t>
                </w:r>
              </w:p>
            </w:tc>
          </w:tr>
          <w:tr w:rsidR="45DBE3D4" w14:paraId="7480F6F0" w14:textId="77777777" w:rsidTr="00DE0481">
            <w:trPr>
              <w:trHeight w:val="340"/>
            </w:trPr>
            <w:tc>
              <w:tcPr>
                <w:tcW w:w="930" w:type="dxa"/>
                <w:tcMar>
                  <w:left w:w="70" w:type="dxa"/>
                  <w:right w:w="70" w:type="dxa"/>
                </w:tcMar>
                <w:vAlign w:val="center"/>
              </w:tcPr>
              <w:p w14:paraId="73D3CD15" w14:textId="1466A175" w:rsidR="45DBE3D4" w:rsidRPr="009A46BB" w:rsidRDefault="45DBE3D4" w:rsidP="45DBE3D4">
                <w:pPr>
                  <w:spacing w:after="0"/>
                  <w:ind w:left="-20" w:right="-20"/>
                  <w:jc w:val="center"/>
                  <w:rPr>
                    <w:rFonts w:ascii="Times New Roman" w:hAnsi="Times New Roman"/>
                    <w:sz w:val="16"/>
                    <w:szCs w:val="16"/>
                  </w:rPr>
                </w:pPr>
                <w:r w:rsidRPr="45DBE3D4">
                  <w:rPr>
                    <w:rFonts w:ascii="Times New Roman" w:eastAsia="Times New Roman" w:hAnsi="Times New Roman"/>
                    <w:color w:val="000000" w:themeColor="text1"/>
                    <w:sz w:val="16"/>
                    <w:szCs w:val="16"/>
                  </w:rPr>
                  <w:t>901039225</w:t>
                </w:r>
              </w:p>
            </w:tc>
            <w:tc>
              <w:tcPr>
                <w:tcW w:w="3738" w:type="dxa"/>
                <w:tcMar>
                  <w:left w:w="70" w:type="dxa"/>
                  <w:right w:w="70" w:type="dxa"/>
                </w:tcMar>
                <w:vAlign w:val="center"/>
              </w:tcPr>
              <w:p w14:paraId="24805DD2" w14:textId="169B3665" w:rsidR="45DBE3D4" w:rsidRPr="009A46BB" w:rsidRDefault="45DBE3D4" w:rsidP="45DBE3D4">
                <w:pPr>
                  <w:spacing w:after="0"/>
                  <w:ind w:left="-20" w:right="-20"/>
                  <w:rPr>
                    <w:rFonts w:ascii="Times New Roman" w:hAnsi="Times New Roman"/>
                    <w:sz w:val="16"/>
                    <w:szCs w:val="16"/>
                  </w:rPr>
                </w:pPr>
                <w:r w:rsidRPr="45DBE3D4">
                  <w:rPr>
                    <w:rFonts w:ascii="Times New Roman" w:eastAsia="Times New Roman" w:hAnsi="Times New Roman"/>
                    <w:color w:val="000000" w:themeColor="text1"/>
                    <w:sz w:val="16"/>
                    <w:szCs w:val="16"/>
                  </w:rPr>
                  <w:t>ACCESOS NORTE DE BOGOTA S.A.S.</w:t>
                </w:r>
              </w:p>
            </w:tc>
            <w:tc>
              <w:tcPr>
                <w:tcW w:w="1559" w:type="dxa"/>
                <w:tcMar>
                  <w:left w:w="70" w:type="dxa"/>
                  <w:right w:w="70" w:type="dxa"/>
                </w:tcMar>
                <w:vAlign w:val="center"/>
              </w:tcPr>
              <w:p w14:paraId="73858A8C" w14:textId="1F47B8E0"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493.173.828.570</w:t>
                </w:r>
              </w:p>
            </w:tc>
            <w:tc>
              <w:tcPr>
                <w:tcW w:w="1560" w:type="dxa"/>
                <w:tcMar>
                  <w:left w:w="70" w:type="dxa"/>
                  <w:right w:w="70" w:type="dxa"/>
                </w:tcMar>
                <w:vAlign w:val="center"/>
              </w:tcPr>
              <w:p w14:paraId="6AC80E63" w14:textId="230CA722"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428.497.761.018</w:t>
                </w:r>
              </w:p>
            </w:tc>
            <w:tc>
              <w:tcPr>
                <w:tcW w:w="1325" w:type="dxa"/>
                <w:tcMar>
                  <w:left w:w="70" w:type="dxa"/>
                  <w:right w:w="70" w:type="dxa"/>
                </w:tcMar>
                <w:vAlign w:val="center"/>
              </w:tcPr>
              <w:p w14:paraId="77A64CC4" w14:textId="503180A3"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64.676.067.552</w:t>
                </w:r>
              </w:p>
            </w:tc>
          </w:tr>
          <w:tr w:rsidR="45DBE3D4" w14:paraId="4E8D200E" w14:textId="77777777" w:rsidTr="00DE0481">
            <w:trPr>
              <w:trHeight w:val="340"/>
            </w:trPr>
            <w:tc>
              <w:tcPr>
                <w:tcW w:w="930" w:type="dxa"/>
                <w:tcMar>
                  <w:left w:w="70" w:type="dxa"/>
                  <w:right w:w="70" w:type="dxa"/>
                </w:tcMar>
                <w:vAlign w:val="center"/>
              </w:tcPr>
              <w:p w14:paraId="4A2E64FE" w14:textId="7CAEC156" w:rsidR="45DBE3D4" w:rsidRPr="009A46BB" w:rsidRDefault="45DBE3D4" w:rsidP="45DBE3D4">
                <w:pPr>
                  <w:spacing w:after="0"/>
                  <w:ind w:left="-20" w:right="-20"/>
                  <w:jc w:val="center"/>
                  <w:rPr>
                    <w:rFonts w:ascii="Times New Roman" w:hAnsi="Times New Roman"/>
                    <w:sz w:val="16"/>
                    <w:szCs w:val="16"/>
                  </w:rPr>
                </w:pPr>
                <w:r w:rsidRPr="45DBE3D4">
                  <w:rPr>
                    <w:rFonts w:ascii="Times New Roman" w:eastAsia="Times New Roman" w:hAnsi="Times New Roman"/>
                    <w:color w:val="000000" w:themeColor="text1"/>
                    <w:sz w:val="16"/>
                    <w:szCs w:val="16"/>
                  </w:rPr>
                  <w:t>901082545</w:t>
                </w:r>
              </w:p>
            </w:tc>
            <w:tc>
              <w:tcPr>
                <w:tcW w:w="3738" w:type="dxa"/>
                <w:tcMar>
                  <w:left w:w="70" w:type="dxa"/>
                  <w:right w:w="70" w:type="dxa"/>
                </w:tcMar>
                <w:vAlign w:val="center"/>
              </w:tcPr>
              <w:p w14:paraId="2F9DA722" w14:textId="3D8A96AF" w:rsidR="45DBE3D4" w:rsidRPr="009A46BB" w:rsidRDefault="45DBE3D4" w:rsidP="45DBE3D4">
                <w:pPr>
                  <w:spacing w:after="0"/>
                  <w:ind w:left="-20" w:right="-20"/>
                  <w:rPr>
                    <w:rFonts w:ascii="Times New Roman" w:hAnsi="Times New Roman"/>
                    <w:sz w:val="16"/>
                    <w:szCs w:val="16"/>
                  </w:rPr>
                </w:pPr>
                <w:r w:rsidRPr="45DBE3D4">
                  <w:rPr>
                    <w:rFonts w:ascii="Times New Roman" w:eastAsia="Times New Roman" w:hAnsi="Times New Roman"/>
                    <w:color w:val="000000" w:themeColor="text1"/>
                    <w:sz w:val="16"/>
                    <w:szCs w:val="16"/>
                  </w:rPr>
                  <w:t>UNION VIAL RIO PAMPLONITA SAS</w:t>
                </w:r>
              </w:p>
            </w:tc>
            <w:tc>
              <w:tcPr>
                <w:tcW w:w="1559" w:type="dxa"/>
                <w:tcMar>
                  <w:left w:w="70" w:type="dxa"/>
                  <w:right w:w="70" w:type="dxa"/>
                </w:tcMar>
                <w:vAlign w:val="center"/>
              </w:tcPr>
              <w:p w14:paraId="7A4B02C4" w14:textId="60664A1F"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430.675.198.449</w:t>
                </w:r>
              </w:p>
            </w:tc>
            <w:tc>
              <w:tcPr>
                <w:tcW w:w="1560" w:type="dxa"/>
                <w:tcMar>
                  <w:left w:w="70" w:type="dxa"/>
                  <w:right w:w="70" w:type="dxa"/>
                </w:tcMar>
                <w:vAlign w:val="center"/>
              </w:tcPr>
              <w:p w14:paraId="6AE46601" w14:textId="270FA244"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343.664.391.692</w:t>
                </w:r>
              </w:p>
            </w:tc>
            <w:tc>
              <w:tcPr>
                <w:tcW w:w="1325" w:type="dxa"/>
                <w:tcMar>
                  <w:left w:w="70" w:type="dxa"/>
                  <w:right w:w="70" w:type="dxa"/>
                </w:tcMar>
                <w:vAlign w:val="center"/>
              </w:tcPr>
              <w:p w14:paraId="3021D747" w14:textId="56F853F8"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87.010.806.757</w:t>
                </w:r>
              </w:p>
            </w:tc>
          </w:tr>
          <w:tr w:rsidR="45DBE3D4" w14:paraId="395E6E07" w14:textId="77777777" w:rsidTr="00DE0481">
            <w:trPr>
              <w:trHeight w:val="340"/>
            </w:trPr>
            <w:tc>
              <w:tcPr>
                <w:tcW w:w="930" w:type="dxa"/>
                <w:tcMar>
                  <w:left w:w="70" w:type="dxa"/>
                  <w:right w:w="70" w:type="dxa"/>
                </w:tcMar>
                <w:vAlign w:val="center"/>
              </w:tcPr>
              <w:p w14:paraId="0EBA15DC" w14:textId="452FE324" w:rsidR="45DBE3D4" w:rsidRPr="009A46BB" w:rsidRDefault="45DBE3D4" w:rsidP="45DBE3D4">
                <w:pPr>
                  <w:spacing w:after="0"/>
                  <w:ind w:left="-20" w:right="-20"/>
                  <w:jc w:val="center"/>
                  <w:rPr>
                    <w:rFonts w:ascii="Times New Roman" w:hAnsi="Times New Roman"/>
                    <w:sz w:val="16"/>
                    <w:szCs w:val="16"/>
                  </w:rPr>
                </w:pPr>
                <w:r w:rsidRPr="45DBE3D4">
                  <w:rPr>
                    <w:rFonts w:ascii="Times New Roman" w:eastAsia="Times New Roman" w:hAnsi="Times New Roman"/>
                    <w:color w:val="000000" w:themeColor="text1"/>
                    <w:sz w:val="16"/>
                    <w:szCs w:val="16"/>
                  </w:rPr>
                  <w:t>901161505</w:t>
                </w:r>
              </w:p>
            </w:tc>
            <w:tc>
              <w:tcPr>
                <w:tcW w:w="3738" w:type="dxa"/>
                <w:tcMar>
                  <w:left w:w="70" w:type="dxa"/>
                  <w:right w:w="70" w:type="dxa"/>
                </w:tcMar>
                <w:vAlign w:val="center"/>
              </w:tcPr>
              <w:p w14:paraId="2D2EFC28" w14:textId="7796379B" w:rsidR="45DBE3D4" w:rsidRPr="009A46BB" w:rsidRDefault="45DBE3D4" w:rsidP="45DBE3D4">
                <w:pPr>
                  <w:spacing w:after="0"/>
                  <w:ind w:left="-20" w:right="-20"/>
                  <w:rPr>
                    <w:rFonts w:ascii="Times New Roman" w:hAnsi="Times New Roman"/>
                    <w:sz w:val="16"/>
                    <w:szCs w:val="16"/>
                  </w:rPr>
                </w:pPr>
                <w:r w:rsidRPr="45DBE3D4">
                  <w:rPr>
                    <w:rFonts w:ascii="Times New Roman" w:eastAsia="Times New Roman" w:hAnsi="Times New Roman"/>
                    <w:color w:val="000000" w:themeColor="text1"/>
                    <w:sz w:val="16"/>
                    <w:szCs w:val="16"/>
                  </w:rPr>
                  <w:t>CONCESION TRANSVERSAL DEL SISGA S.A.S</w:t>
                </w:r>
              </w:p>
            </w:tc>
            <w:tc>
              <w:tcPr>
                <w:tcW w:w="1559" w:type="dxa"/>
                <w:tcMar>
                  <w:left w:w="70" w:type="dxa"/>
                  <w:right w:w="70" w:type="dxa"/>
                </w:tcMar>
                <w:vAlign w:val="center"/>
              </w:tcPr>
              <w:p w14:paraId="40DCEF70" w14:textId="0EEDE71D"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248.472.986.566</w:t>
                </w:r>
              </w:p>
            </w:tc>
            <w:tc>
              <w:tcPr>
                <w:tcW w:w="1560" w:type="dxa"/>
                <w:tcMar>
                  <w:left w:w="70" w:type="dxa"/>
                  <w:right w:w="70" w:type="dxa"/>
                </w:tcMar>
                <w:vAlign w:val="center"/>
              </w:tcPr>
              <w:p w14:paraId="7FB13819" w14:textId="01EF6DA0"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254.961.953.972</w:t>
                </w:r>
              </w:p>
            </w:tc>
            <w:tc>
              <w:tcPr>
                <w:tcW w:w="1325" w:type="dxa"/>
                <w:tcMar>
                  <w:left w:w="70" w:type="dxa"/>
                  <w:right w:w="70" w:type="dxa"/>
                </w:tcMar>
                <w:vAlign w:val="center"/>
              </w:tcPr>
              <w:p w14:paraId="4752761C" w14:textId="4BC82346"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-6.488.967.406</w:t>
                </w:r>
              </w:p>
            </w:tc>
          </w:tr>
          <w:tr w:rsidR="45DBE3D4" w14:paraId="79F8391C" w14:textId="77777777" w:rsidTr="00DE0481">
            <w:trPr>
              <w:trHeight w:val="340"/>
            </w:trPr>
            <w:tc>
              <w:tcPr>
                <w:tcW w:w="930" w:type="dxa"/>
                <w:tcMar>
                  <w:left w:w="70" w:type="dxa"/>
                  <w:right w:w="70" w:type="dxa"/>
                </w:tcMar>
                <w:vAlign w:val="center"/>
              </w:tcPr>
              <w:p w14:paraId="0ADFEFC0" w14:textId="22B1104D" w:rsidR="45DBE3D4" w:rsidRPr="009A46BB" w:rsidRDefault="45DBE3D4" w:rsidP="45DBE3D4">
                <w:pPr>
                  <w:spacing w:after="0"/>
                  <w:ind w:left="-20" w:right="-20"/>
                  <w:jc w:val="center"/>
                  <w:rPr>
                    <w:rFonts w:ascii="Times New Roman" w:hAnsi="Times New Roman"/>
                    <w:sz w:val="16"/>
                    <w:szCs w:val="16"/>
                  </w:rPr>
                </w:pPr>
                <w:r w:rsidRPr="45DBE3D4">
                  <w:rPr>
                    <w:rFonts w:ascii="Times New Roman" w:eastAsia="Times New Roman" w:hAnsi="Times New Roman"/>
                    <w:color w:val="000000" w:themeColor="text1"/>
                    <w:sz w:val="16"/>
                    <w:szCs w:val="16"/>
                  </w:rPr>
                  <w:t>901371481</w:t>
                </w:r>
              </w:p>
            </w:tc>
            <w:tc>
              <w:tcPr>
                <w:tcW w:w="3738" w:type="dxa"/>
                <w:tcMar>
                  <w:left w:w="70" w:type="dxa"/>
                  <w:right w:w="70" w:type="dxa"/>
                </w:tcMar>
                <w:vAlign w:val="center"/>
              </w:tcPr>
              <w:p w14:paraId="677CC504" w14:textId="5DB32FE7" w:rsidR="45DBE3D4" w:rsidRPr="009A46BB" w:rsidRDefault="45DBE3D4" w:rsidP="45DBE3D4">
                <w:pPr>
                  <w:spacing w:after="0"/>
                  <w:ind w:left="-20" w:right="-20"/>
                  <w:rPr>
                    <w:rFonts w:ascii="Times New Roman" w:hAnsi="Times New Roman"/>
                    <w:sz w:val="16"/>
                    <w:szCs w:val="16"/>
                  </w:rPr>
                </w:pPr>
                <w:r w:rsidRPr="45DBE3D4">
                  <w:rPr>
                    <w:rFonts w:ascii="Times New Roman" w:eastAsia="Times New Roman" w:hAnsi="Times New Roman"/>
                    <w:color w:val="000000" w:themeColor="text1"/>
                    <w:sz w:val="16"/>
                    <w:szCs w:val="16"/>
                  </w:rPr>
                  <w:t>BTS CONCESIONARIO S.A.S.</w:t>
                </w:r>
              </w:p>
            </w:tc>
            <w:tc>
              <w:tcPr>
                <w:tcW w:w="1559" w:type="dxa"/>
                <w:tcMar>
                  <w:left w:w="70" w:type="dxa"/>
                  <w:right w:w="70" w:type="dxa"/>
                </w:tcMar>
                <w:vAlign w:val="center"/>
              </w:tcPr>
              <w:p w14:paraId="40252AC0" w14:textId="7EA6D065"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384.787.568.947</w:t>
                </w:r>
              </w:p>
            </w:tc>
            <w:tc>
              <w:tcPr>
                <w:tcW w:w="1560" w:type="dxa"/>
                <w:tcMar>
                  <w:left w:w="70" w:type="dxa"/>
                  <w:right w:w="70" w:type="dxa"/>
                </w:tcMar>
                <w:vAlign w:val="center"/>
              </w:tcPr>
              <w:p w14:paraId="1C0D6A52" w14:textId="47503301"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403.371.095.794</w:t>
                </w:r>
              </w:p>
            </w:tc>
            <w:tc>
              <w:tcPr>
                <w:tcW w:w="1325" w:type="dxa"/>
                <w:tcMar>
                  <w:left w:w="70" w:type="dxa"/>
                  <w:right w:w="70" w:type="dxa"/>
                </w:tcMar>
                <w:vAlign w:val="center"/>
              </w:tcPr>
              <w:p w14:paraId="2E7F9D3B" w14:textId="1E521202"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-18.583.526.847</w:t>
                </w:r>
              </w:p>
            </w:tc>
          </w:tr>
          <w:tr w:rsidR="45DBE3D4" w14:paraId="032D2C88" w14:textId="77777777" w:rsidTr="00DE0481">
            <w:trPr>
              <w:trHeight w:val="340"/>
            </w:trPr>
            <w:tc>
              <w:tcPr>
                <w:tcW w:w="930" w:type="dxa"/>
                <w:tcMar>
                  <w:left w:w="70" w:type="dxa"/>
                  <w:right w:w="70" w:type="dxa"/>
                </w:tcMar>
                <w:vAlign w:val="center"/>
              </w:tcPr>
              <w:p w14:paraId="4D210660" w14:textId="6F75ECED" w:rsidR="45DBE3D4" w:rsidRPr="009A46BB" w:rsidRDefault="45DBE3D4" w:rsidP="45DBE3D4">
                <w:pPr>
                  <w:spacing w:after="0"/>
                  <w:ind w:left="-20" w:right="-20"/>
                  <w:jc w:val="center"/>
                  <w:rPr>
                    <w:rFonts w:ascii="Times New Roman" w:hAnsi="Times New Roman"/>
                    <w:sz w:val="16"/>
                    <w:szCs w:val="16"/>
                  </w:rPr>
                </w:pPr>
                <w:r w:rsidRPr="45DBE3D4">
                  <w:rPr>
                    <w:rFonts w:ascii="Times New Roman" w:eastAsia="Times New Roman" w:hAnsi="Times New Roman"/>
                    <w:color w:val="000000" w:themeColor="text1"/>
                    <w:sz w:val="16"/>
                    <w:szCs w:val="16"/>
                  </w:rPr>
                  <w:t>901482899</w:t>
                </w:r>
              </w:p>
            </w:tc>
            <w:tc>
              <w:tcPr>
                <w:tcW w:w="3738" w:type="dxa"/>
                <w:tcMar>
                  <w:left w:w="70" w:type="dxa"/>
                  <w:right w:w="70" w:type="dxa"/>
                </w:tcMar>
                <w:vAlign w:val="center"/>
              </w:tcPr>
              <w:p w14:paraId="0BE9543F" w14:textId="38246885" w:rsidR="45DBE3D4" w:rsidRPr="009A46BB" w:rsidRDefault="45DBE3D4" w:rsidP="45DBE3D4">
                <w:pPr>
                  <w:spacing w:after="0"/>
                  <w:ind w:left="-20" w:right="-20"/>
                  <w:rPr>
                    <w:rFonts w:ascii="Times New Roman" w:hAnsi="Times New Roman"/>
                    <w:sz w:val="16"/>
                    <w:szCs w:val="16"/>
                  </w:rPr>
                </w:pPr>
                <w:r w:rsidRPr="45DBE3D4">
                  <w:rPr>
                    <w:rFonts w:ascii="Times New Roman" w:eastAsia="Times New Roman" w:hAnsi="Times New Roman"/>
                    <w:color w:val="000000" w:themeColor="text1"/>
                    <w:sz w:val="16"/>
                    <w:szCs w:val="16"/>
                  </w:rPr>
                  <w:t>CONCESIONARIA RUTA AL SUR S.A.S.</w:t>
                </w:r>
              </w:p>
            </w:tc>
            <w:tc>
              <w:tcPr>
                <w:tcW w:w="1559" w:type="dxa"/>
                <w:tcMar>
                  <w:left w:w="70" w:type="dxa"/>
                  <w:right w:w="70" w:type="dxa"/>
                </w:tcMar>
                <w:vAlign w:val="center"/>
              </w:tcPr>
              <w:p w14:paraId="1771F544" w14:textId="3E35918A"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209.355.224.894</w:t>
                </w:r>
              </w:p>
            </w:tc>
            <w:tc>
              <w:tcPr>
                <w:tcW w:w="1560" w:type="dxa"/>
                <w:tcMar>
                  <w:left w:w="70" w:type="dxa"/>
                  <w:right w:w="70" w:type="dxa"/>
                </w:tcMar>
                <w:vAlign w:val="center"/>
              </w:tcPr>
              <w:p w14:paraId="22F0EA54" w14:textId="436878FA"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46.745.609.802</w:t>
                </w:r>
              </w:p>
            </w:tc>
            <w:tc>
              <w:tcPr>
                <w:tcW w:w="1325" w:type="dxa"/>
                <w:tcMar>
                  <w:left w:w="70" w:type="dxa"/>
                  <w:right w:w="70" w:type="dxa"/>
                </w:tcMar>
                <w:vAlign w:val="center"/>
              </w:tcPr>
              <w:p w14:paraId="38480D3A" w14:textId="73141857"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162.609.615.092</w:t>
                </w:r>
              </w:p>
            </w:tc>
          </w:tr>
          <w:tr w:rsidR="45DBE3D4" w14:paraId="78162605" w14:textId="77777777" w:rsidTr="00DE0481">
            <w:trPr>
              <w:trHeight w:val="340"/>
            </w:trPr>
            <w:tc>
              <w:tcPr>
                <w:tcW w:w="930" w:type="dxa"/>
                <w:tcMar>
                  <w:left w:w="70" w:type="dxa"/>
                  <w:right w:w="70" w:type="dxa"/>
                </w:tcMar>
                <w:vAlign w:val="center"/>
              </w:tcPr>
              <w:p w14:paraId="55BC1D57" w14:textId="19766B8D" w:rsidR="45DBE3D4" w:rsidRPr="009A46BB" w:rsidRDefault="45DBE3D4" w:rsidP="45DBE3D4">
                <w:pPr>
                  <w:spacing w:after="0"/>
                  <w:ind w:left="-20" w:right="-20"/>
                  <w:jc w:val="center"/>
                  <w:rPr>
                    <w:rFonts w:ascii="Times New Roman" w:hAnsi="Times New Roman"/>
                    <w:sz w:val="16"/>
                    <w:szCs w:val="16"/>
                  </w:rPr>
                </w:pPr>
                <w:r w:rsidRPr="45DBE3D4">
                  <w:rPr>
                    <w:rFonts w:ascii="Times New Roman" w:eastAsia="Times New Roman" w:hAnsi="Times New Roman"/>
                    <w:color w:val="000000" w:themeColor="text1"/>
                    <w:sz w:val="16"/>
                    <w:szCs w:val="16"/>
                  </w:rPr>
                  <w:t>901489697</w:t>
                </w:r>
              </w:p>
            </w:tc>
            <w:tc>
              <w:tcPr>
                <w:tcW w:w="3738" w:type="dxa"/>
                <w:tcMar>
                  <w:left w:w="70" w:type="dxa"/>
                  <w:right w:w="70" w:type="dxa"/>
                </w:tcMar>
                <w:vAlign w:val="center"/>
              </w:tcPr>
              <w:p w14:paraId="591E5C80" w14:textId="2CFD7C82" w:rsidR="45DBE3D4" w:rsidRPr="009A46BB" w:rsidRDefault="45DBE3D4" w:rsidP="45DBE3D4">
                <w:pPr>
                  <w:spacing w:after="0"/>
                  <w:ind w:left="-20" w:right="-20"/>
                  <w:rPr>
                    <w:rFonts w:ascii="Times New Roman" w:hAnsi="Times New Roman"/>
                    <w:sz w:val="16"/>
                    <w:szCs w:val="16"/>
                  </w:rPr>
                </w:pPr>
                <w:r w:rsidRPr="45DBE3D4">
                  <w:rPr>
                    <w:rFonts w:ascii="Times New Roman" w:eastAsia="Times New Roman" w:hAnsi="Times New Roman"/>
                    <w:color w:val="000000" w:themeColor="text1"/>
                    <w:sz w:val="16"/>
                    <w:szCs w:val="16"/>
                  </w:rPr>
                  <w:t>CONCESIONARIA RUTAS DEL VALLE S.A.S.</w:t>
                </w:r>
              </w:p>
            </w:tc>
            <w:tc>
              <w:tcPr>
                <w:tcW w:w="1559" w:type="dxa"/>
                <w:tcMar>
                  <w:left w:w="70" w:type="dxa"/>
                  <w:right w:w="70" w:type="dxa"/>
                </w:tcMar>
                <w:vAlign w:val="center"/>
              </w:tcPr>
              <w:p w14:paraId="18F0055D" w14:textId="3AAEE59D"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43.868.674.911</w:t>
                </w:r>
              </w:p>
            </w:tc>
            <w:tc>
              <w:tcPr>
                <w:tcW w:w="1560" w:type="dxa"/>
                <w:tcMar>
                  <w:left w:w="70" w:type="dxa"/>
                  <w:right w:w="70" w:type="dxa"/>
                </w:tcMar>
                <w:vAlign w:val="center"/>
              </w:tcPr>
              <w:p w14:paraId="5C903B23" w14:textId="2AABD5B6"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3.817.725.069</w:t>
                </w:r>
              </w:p>
            </w:tc>
            <w:tc>
              <w:tcPr>
                <w:tcW w:w="1325" w:type="dxa"/>
                <w:tcMar>
                  <w:left w:w="70" w:type="dxa"/>
                  <w:right w:w="70" w:type="dxa"/>
                </w:tcMar>
                <w:vAlign w:val="center"/>
              </w:tcPr>
              <w:p w14:paraId="4071B57D" w14:textId="612D2F9D"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40.050.949.842</w:t>
                </w:r>
              </w:p>
            </w:tc>
          </w:tr>
          <w:tr w:rsidR="45DBE3D4" w14:paraId="282D86A6" w14:textId="77777777" w:rsidTr="00DE0481">
            <w:trPr>
              <w:trHeight w:val="340"/>
            </w:trPr>
            <w:tc>
              <w:tcPr>
                <w:tcW w:w="930" w:type="dxa"/>
                <w:tcMar>
                  <w:left w:w="70" w:type="dxa"/>
                  <w:right w:w="70" w:type="dxa"/>
                </w:tcMar>
                <w:vAlign w:val="center"/>
              </w:tcPr>
              <w:p w14:paraId="50E24235" w14:textId="4EAAF776" w:rsidR="45DBE3D4" w:rsidRPr="009A46BB" w:rsidRDefault="45DBE3D4" w:rsidP="45DBE3D4">
                <w:pPr>
                  <w:spacing w:after="0"/>
                  <w:ind w:left="-20" w:right="-20"/>
                  <w:jc w:val="center"/>
                  <w:rPr>
                    <w:rFonts w:ascii="Times New Roman" w:hAnsi="Times New Roman"/>
                    <w:sz w:val="16"/>
                    <w:szCs w:val="16"/>
                  </w:rPr>
                </w:pPr>
                <w:r w:rsidRPr="45DBE3D4">
                  <w:rPr>
                    <w:rFonts w:ascii="Times New Roman" w:eastAsia="Times New Roman" w:hAnsi="Times New Roman"/>
                    <w:color w:val="000000" w:themeColor="text1"/>
                    <w:sz w:val="16"/>
                    <w:szCs w:val="16"/>
                  </w:rPr>
                  <w:t>901515242</w:t>
                </w:r>
              </w:p>
            </w:tc>
            <w:tc>
              <w:tcPr>
                <w:tcW w:w="3738" w:type="dxa"/>
                <w:tcMar>
                  <w:left w:w="70" w:type="dxa"/>
                  <w:right w:w="70" w:type="dxa"/>
                </w:tcMar>
                <w:vAlign w:val="center"/>
              </w:tcPr>
              <w:p w14:paraId="132337D4" w14:textId="732F6411" w:rsidR="45DBE3D4" w:rsidRPr="009A46BB" w:rsidRDefault="45DBE3D4" w:rsidP="45DBE3D4">
                <w:pPr>
                  <w:spacing w:after="0"/>
                  <w:ind w:left="-20" w:right="-20"/>
                  <w:rPr>
                    <w:rFonts w:ascii="Times New Roman" w:hAnsi="Times New Roman"/>
                    <w:sz w:val="16"/>
                    <w:szCs w:val="16"/>
                  </w:rPr>
                </w:pPr>
                <w:r w:rsidRPr="45DBE3D4">
                  <w:rPr>
                    <w:rFonts w:ascii="Times New Roman" w:eastAsia="Times New Roman" w:hAnsi="Times New Roman"/>
                    <w:color w:val="000000" w:themeColor="text1"/>
                    <w:sz w:val="16"/>
                    <w:szCs w:val="16"/>
                  </w:rPr>
                  <w:t>AUTOPISTAS DEL CARIBE SAS</w:t>
                </w:r>
              </w:p>
            </w:tc>
            <w:tc>
              <w:tcPr>
                <w:tcW w:w="1559" w:type="dxa"/>
                <w:tcMar>
                  <w:left w:w="70" w:type="dxa"/>
                  <w:right w:w="70" w:type="dxa"/>
                </w:tcMar>
                <w:vAlign w:val="center"/>
              </w:tcPr>
              <w:p w14:paraId="28DBC621" w14:textId="642E244E"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26.010.970.033</w:t>
                </w:r>
              </w:p>
            </w:tc>
            <w:tc>
              <w:tcPr>
                <w:tcW w:w="1560" w:type="dxa"/>
                <w:tcMar>
                  <w:left w:w="70" w:type="dxa"/>
                  <w:right w:w="70" w:type="dxa"/>
                </w:tcMar>
                <w:vAlign w:val="center"/>
              </w:tcPr>
              <w:p w14:paraId="5DBC17BA" w14:textId="07594A9D"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26.010.970.033</w:t>
                </w:r>
              </w:p>
            </w:tc>
            <w:tc>
              <w:tcPr>
                <w:tcW w:w="1325" w:type="dxa"/>
                <w:tcMar>
                  <w:left w:w="70" w:type="dxa"/>
                  <w:right w:w="70" w:type="dxa"/>
                </w:tcMar>
                <w:vAlign w:val="center"/>
              </w:tcPr>
              <w:p w14:paraId="4097A2A7" w14:textId="5120F13B"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0</w:t>
                </w:r>
              </w:p>
            </w:tc>
          </w:tr>
          <w:tr w:rsidR="45DBE3D4" w14:paraId="453EAA2A" w14:textId="77777777" w:rsidTr="00DE0481">
            <w:trPr>
              <w:trHeight w:val="340"/>
            </w:trPr>
            <w:tc>
              <w:tcPr>
                <w:tcW w:w="930" w:type="dxa"/>
                <w:tcMar>
                  <w:left w:w="70" w:type="dxa"/>
                  <w:right w:w="70" w:type="dxa"/>
                </w:tcMar>
                <w:vAlign w:val="center"/>
              </w:tcPr>
              <w:p w14:paraId="5527C5DA" w14:textId="6FC50303" w:rsidR="45DBE3D4" w:rsidRPr="009A46BB" w:rsidRDefault="45DBE3D4" w:rsidP="45DBE3D4">
                <w:pPr>
                  <w:spacing w:after="0"/>
                  <w:ind w:left="-20" w:right="-20"/>
                  <w:jc w:val="center"/>
                  <w:rPr>
                    <w:rFonts w:ascii="Times New Roman" w:hAnsi="Times New Roman"/>
                    <w:sz w:val="16"/>
                    <w:szCs w:val="16"/>
                  </w:rPr>
                </w:pPr>
                <w:r w:rsidRPr="45DBE3D4">
                  <w:rPr>
                    <w:rFonts w:ascii="Times New Roman" w:eastAsia="Times New Roman" w:hAnsi="Times New Roman"/>
                    <w:color w:val="000000" w:themeColor="text1"/>
                    <w:sz w:val="16"/>
                    <w:szCs w:val="16"/>
                  </w:rPr>
                  <w:t>901551242</w:t>
                </w:r>
              </w:p>
            </w:tc>
            <w:tc>
              <w:tcPr>
                <w:tcW w:w="3738" w:type="dxa"/>
                <w:tcMar>
                  <w:left w:w="70" w:type="dxa"/>
                  <w:right w:w="70" w:type="dxa"/>
                </w:tcMar>
                <w:vAlign w:val="center"/>
              </w:tcPr>
              <w:p w14:paraId="460E106D" w14:textId="22F1EB12" w:rsidR="45DBE3D4" w:rsidRPr="009A46BB" w:rsidRDefault="45DBE3D4" w:rsidP="45DBE3D4">
                <w:pPr>
                  <w:spacing w:after="0"/>
                  <w:ind w:left="-20" w:right="-20"/>
                  <w:rPr>
                    <w:rFonts w:ascii="Times New Roman" w:hAnsi="Times New Roman"/>
                    <w:sz w:val="16"/>
                    <w:szCs w:val="16"/>
                  </w:rPr>
                </w:pPr>
                <w:r w:rsidRPr="45DBE3D4">
                  <w:rPr>
                    <w:rFonts w:ascii="Times New Roman" w:eastAsia="Times New Roman" w:hAnsi="Times New Roman"/>
                    <w:color w:val="000000" w:themeColor="text1"/>
                    <w:sz w:val="16"/>
                    <w:szCs w:val="16"/>
                  </w:rPr>
                  <w:t>ALO SUR S.A.S</w:t>
                </w:r>
              </w:p>
            </w:tc>
            <w:tc>
              <w:tcPr>
                <w:tcW w:w="1559" w:type="dxa"/>
                <w:tcMar>
                  <w:left w:w="70" w:type="dxa"/>
                  <w:right w:w="70" w:type="dxa"/>
                </w:tcMar>
                <w:vAlign w:val="center"/>
              </w:tcPr>
              <w:p w14:paraId="08F280BC" w14:textId="293B18CE"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96.077.937</w:t>
                </w:r>
              </w:p>
            </w:tc>
            <w:tc>
              <w:tcPr>
                <w:tcW w:w="1560" w:type="dxa"/>
                <w:tcMar>
                  <w:left w:w="70" w:type="dxa"/>
                  <w:right w:w="70" w:type="dxa"/>
                </w:tcMar>
                <w:vAlign w:val="center"/>
              </w:tcPr>
              <w:p w14:paraId="519C1623" w14:textId="5B2335C0"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153.577.937</w:t>
                </w:r>
              </w:p>
            </w:tc>
            <w:tc>
              <w:tcPr>
                <w:tcW w:w="1325" w:type="dxa"/>
                <w:tcMar>
                  <w:left w:w="70" w:type="dxa"/>
                  <w:right w:w="70" w:type="dxa"/>
                </w:tcMar>
                <w:vAlign w:val="center"/>
              </w:tcPr>
              <w:p w14:paraId="5A0C886E" w14:textId="0AF5DE37"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-57.500.000</w:t>
                </w:r>
              </w:p>
            </w:tc>
          </w:tr>
          <w:tr w:rsidR="45DBE3D4" w14:paraId="45D75951" w14:textId="77777777" w:rsidTr="00DE0481">
            <w:trPr>
              <w:trHeight w:val="340"/>
            </w:trPr>
            <w:tc>
              <w:tcPr>
                <w:tcW w:w="930" w:type="dxa"/>
                <w:tcMar>
                  <w:left w:w="70" w:type="dxa"/>
                  <w:right w:w="70" w:type="dxa"/>
                </w:tcMar>
                <w:vAlign w:val="center"/>
              </w:tcPr>
              <w:p w14:paraId="606C9389" w14:textId="290659B0" w:rsidR="45DBE3D4" w:rsidRPr="009A46BB" w:rsidRDefault="45DBE3D4" w:rsidP="45DBE3D4">
                <w:pPr>
                  <w:spacing w:after="0"/>
                  <w:ind w:left="-20" w:right="-20"/>
                  <w:jc w:val="center"/>
                  <w:rPr>
                    <w:rFonts w:ascii="Times New Roman" w:hAnsi="Times New Roman"/>
                    <w:sz w:val="16"/>
                    <w:szCs w:val="16"/>
                  </w:rPr>
                </w:pPr>
                <w:r w:rsidRPr="45DBE3D4">
                  <w:rPr>
                    <w:rFonts w:ascii="Times New Roman" w:eastAsia="Times New Roman" w:hAnsi="Times New Roman"/>
                    <w:color w:val="000000" w:themeColor="text1"/>
                    <w:sz w:val="16"/>
                    <w:szCs w:val="16"/>
                  </w:rPr>
                  <w:t>901580796</w:t>
                </w:r>
              </w:p>
            </w:tc>
            <w:tc>
              <w:tcPr>
                <w:tcW w:w="3738" w:type="dxa"/>
                <w:tcMar>
                  <w:left w:w="70" w:type="dxa"/>
                  <w:right w:w="70" w:type="dxa"/>
                </w:tcMar>
                <w:vAlign w:val="center"/>
              </w:tcPr>
              <w:p w14:paraId="3B89A910" w14:textId="4E78269D" w:rsidR="45DBE3D4" w:rsidRPr="009A46BB" w:rsidRDefault="45DBE3D4" w:rsidP="45DBE3D4">
                <w:pPr>
                  <w:spacing w:after="0"/>
                  <w:ind w:left="-20" w:right="-20"/>
                  <w:rPr>
                    <w:rFonts w:ascii="Times New Roman" w:hAnsi="Times New Roman"/>
                    <w:sz w:val="16"/>
                    <w:szCs w:val="16"/>
                  </w:rPr>
                </w:pPr>
                <w:r w:rsidRPr="45DBE3D4">
                  <w:rPr>
                    <w:rFonts w:ascii="Times New Roman" w:eastAsia="Times New Roman" w:hAnsi="Times New Roman"/>
                    <w:color w:val="000000" w:themeColor="text1"/>
                    <w:sz w:val="16"/>
                    <w:szCs w:val="16"/>
                  </w:rPr>
                  <w:t>CONCESIONARIA RUTA BOGOTÁ NORTE S.A.S</w:t>
                </w:r>
              </w:p>
            </w:tc>
            <w:tc>
              <w:tcPr>
                <w:tcW w:w="1559" w:type="dxa"/>
                <w:tcMar>
                  <w:left w:w="70" w:type="dxa"/>
                  <w:right w:w="70" w:type="dxa"/>
                </w:tcMar>
                <w:vAlign w:val="center"/>
              </w:tcPr>
              <w:p w14:paraId="245EF03B" w14:textId="0934D95C"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1.563.839.113</w:t>
                </w:r>
              </w:p>
            </w:tc>
            <w:tc>
              <w:tcPr>
                <w:tcW w:w="1560" w:type="dxa"/>
                <w:tcMar>
                  <w:left w:w="70" w:type="dxa"/>
                  <w:right w:w="70" w:type="dxa"/>
                </w:tcMar>
                <w:vAlign w:val="center"/>
              </w:tcPr>
              <w:p w14:paraId="50EC5CE0" w14:textId="2EBE9CC7"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235.620.000</w:t>
                </w:r>
              </w:p>
            </w:tc>
            <w:tc>
              <w:tcPr>
                <w:tcW w:w="1325" w:type="dxa"/>
                <w:tcMar>
                  <w:left w:w="70" w:type="dxa"/>
                  <w:right w:w="70" w:type="dxa"/>
                </w:tcMar>
                <w:vAlign w:val="center"/>
              </w:tcPr>
              <w:p w14:paraId="07BA2C76" w14:textId="2DB469D3"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1.328.219.113</w:t>
                </w:r>
              </w:p>
            </w:tc>
          </w:tr>
          <w:tr w:rsidR="45DBE3D4" w14:paraId="36A4FE6D" w14:textId="77777777" w:rsidTr="00DE0481">
            <w:trPr>
              <w:trHeight w:val="340"/>
            </w:trPr>
            <w:tc>
              <w:tcPr>
                <w:tcW w:w="930" w:type="dxa"/>
                <w:tcMar>
                  <w:left w:w="70" w:type="dxa"/>
                  <w:right w:w="70" w:type="dxa"/>
                </w:tcMar>
                <w:vAlign w:val="center"/>
              </w:tcPr>
              <w:p w14:paraId="7E8648DA" w14:textId="61A324C4" w:rsidR="45DBE3D4" w:rsidRPr="009A46BB" w:rsidRDefault="45DBE3D4" w:rsidP="45DBE3D4">
                <w:pPr>
                  <w:spacing w:after="0"/>
                  <w:ind w:left="-20" w:right="-20"/>
                  <w:jc w:val="center"/>
                  <w:rPr>
                    <w:rFonts w:ascii="Times New Roman" w:hAnsi="Times New Roman"/>
                    <w:sz w:val="16"/>
                    <w:szCs w:val="16"/>
                  </w:rPr>
                </w:pPr>
                <w:r w:rsidRPr="45DBE3D4">
                  <w:rPr>
                    <w:rFonts w:ascii="Times New Roman" w:eastAsia="Times New Roman" w:hAnsi="Times New Roman"/>
                    <w:color w:val="000000" w:themeColor="text1"/>
                    <w:sz w:val="16"/>
                    <w:szCs w:val="16"/>
                  </w:rPr>
                  <w:t>901602085</w:t>
                </w:r>
              </w:p>
            </w:tc>
            <w:tc>
              <w:tcPr>
                <w:tcW w:w="3738" w:type="dxa"/>
                <w:tcMar>
                  <w:left w:w="70" w:type="dxa"/>
                  <w:right w:w="70" w:type="dxa"/>
                </w:tcMar>
                <w:vAlign w:val="center"/>
              </w:tcPr>
              <w:p w14:paraId="3D1E5DC5" w14:textId="6E14B35A" w:rsidR="45DBE3D4" w:rsidRPr="009A46BB" w:rsidRDefault="45DBE3D4" w:rsidP="45DBE3D4">
                <w:pPr>
                  <w:spacing w:after="0"/>
                  <w:ind w:left="-20" w:right="-20"/>
                  <w:rPr>
                    <w:rFonts w:ascii="Times New Roman" w:hAnsi="Times New Roman"/>
                    <w:sz w:val="16"/>
                    <w:szCs w:val="16"/>
                  </w:rPr>
                </w:pPr>
                <w:r w:rsidRPr="45DBE3D4">
                  <w:rPr>
                    <w:rFonts w:ascii="Times New Roman" w:eastAsia="Times New Roman" w:hAnsi="Times New Roman"/>
                    <w:color w:val="000000" w:themeColor="text1"/>
                    <w:sz w:val="16"/>
                    <w:szCs w:val="16"/>
                  </w:rPr>
                  <w:t>AUTOPISTA MAGDALENA MEDIO SAS</w:t>
                </w:r>
              </w:p>
            </w:tc>
            <w:tc>
              <w:tcPr>
                <w:tcW w:w="1559" w:type="dxa"/>
                <w:tcMar>
                  <w:left w:w="70" w:type="dxa"/>
                  <w:right w:w="70" w:type="dxa"/>
                </w:tcMar>
                <w:vAlign w:val="center"/>
              </w:tcPr>
              <w:p w14:paraId="1649D10C" w14:textId="2B94A664"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19.942.436.623</w:t>
                </w:r>
              </w:p>
            </w:tc>
            <w:tc>
              <w:tcPr>
                <w:tcW w:w="1560" w:type="dxa"/>
                <w:tcMar>
                  <w:left w:w="70" w:type="dxa"/>
                  <w:right w:w="70" w:type="dxa"/>
                </w:tcMar>
                <w:vAlign w:val="center"/>
              </w:tcPr>
              <w:p w14:paraId="5C3F9BC3" w14:textId="3D9CB12B"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0</w:t>
                </w:r>
              </w:p>
            </w:tc>
            <w:tc>
              <w:tcPr>
                <w:tcW w:w="1325" w:type="dxa"/>
                <w:tcMar>
                  <w:left w:w="70" w:type="dxa"/>
                  <w:right w:w="70" w:type="dxa"/>
                </w:tcMar>
                <w:vAlign w:val="center"/>
              </w:tcPr>
              <w:p w14:paraId="1C2E82BC" w14:textId="7B6622E1"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19.942.436.623</w:t>
                </w:r>
              </w:p>
            </w:tc>
          </w:tr>
          <w:tr w:rsidR="45DBE3D4" w14:paraId="64606D2E" w14:textId="77777777" w:rsidTr="00DE0481">
            <w:trPr>
              <w:trHeight w:val="340"/>
            </w:trPr>
            <w:tc>
              <w:tcPr>
                <w:tcW w:w="930" w:type="dxa"/>
                <w:tcMar>
                  <w:left w:w="70" w:type="dxa"/>
                  <w:right w:w="70" w:type="dxa"/>
                </w:tcMar>
                <w:vAlign w:val="center"/>
              </w:tcPr>
              <w:p w14:paraId="2CD98656" w14:textId="15D1BCBD" w:rsidR="45DBE3D4" w:rsidRPr="009A46BB" w:rsidRDefault="45DBE3D4" w:rsidP="45DBE3D4">
                <w:pPr>
                  <w:spacing w:after="0"/>
                  <w:ind w:left="-20" w:right="-20"/>
                  <w:jc w:val="center"/>
                  <w:rPr>
                    <w:rFonts w:ascii="Times New Roman" w:hAnsi="Times New Roman"/>
                    <w:sz w:val="16"/>
                    <w:szCs w:val="16"/>
                  </w:rPr>
                </w:pPr>
                <w:r w:rsidRPr="45DBE3D4">
                  <w:rPr>
                    <w:rFonts w:ascii="Times New Roman" w:eastAsia="Times New Roman" w:hAnsi="Times New Roman"/>
                    <w:color w:val="000000" w:themeColor="text1"/>
                    <w:sz w:val="16"/>
                    <w:szCs w:val="16"/>
                  </w:rPr>
                  <w:t>901607093</w:t>
                </w:r>
              </w:p>
            </w:tc>
            <w:tc>
              <w:tcPr>
                <w:tcW w:w="3738" w:type="dxa"/>
                <w:tcMar>
                  <w:left w:w="70" w:type="dxa"/>
                  <w:right w:w="70" w:type="dxa"/>
                </w:tcMar>
                <w:vAlign w:val="center"/>
              </w:tcPr>
              <w:p w14:paraId="10418184" w14:textId="7838A2CB" w:rsidR="45DBE3D4" w:rsidRPr="009A46BB" w:rsidRDefault="45DBE3D4" w:rsidP="45DBE3D4">
                <w:pPr>
                  <w:spacing w:after="0"/>
                  <w:ind w:left="-20" w:right="-20"/>
                  <w:rPr>
                    <w:rFonts w:ascii="Times New Roman" w:hAnsi="Times New Roman"/>
                    <w:sz w:val="16"/>
                    <w:szCs w:val="16"/>
                  </w:rPr>
                </w:pPr>
                <w:r w:rsidRPr="45DBE3D4">
                  <w:rPr>
                    <w:rFonts w:ascii="Times New Roman" w:eastAsia="Times New Roman" w:hAnsi="Times New Roman"/>
                    <w:color w:val="000000" w:themeColor="text1"/>
                    <w:sz w:val="16"/>
                    <w:szCs w:val="16"/>
                  </w:rPr>
                  <w:t>AUTOPISTA DEL RIO GRANDE S.A.S</w:t>
                </w:r>
              </w:p>
            </w:tc>
            <w:tc>
              <w:tcPr>
                <w:tcW w:w="1559" w:type="dxa"/>
                <w:tcMar>
                  <w:left w:w="70" w:type="dxa"/>
                  <w:right w:w="70" w:type="dxa"/>
                </w:tcMar>
                <w:vAlign w:val="center"/>
              </w:tcPr>
              <w:p w14:paraId="039EC5E9" w14:textId="71B6B8B0"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1.333.691.412</w:t>
                </w:r>
              </w:p>
            </w:tc>
            <w:tc>
              <w:tcPr>
                <w:tcW w:w="1560" w:type="dxa"/>
                <w:tcMar>
                  <w:left w:w="70" w:type="dxa"/>
                  <w:right w:w="70" w:type="dxa"/>
                </w:tcMar>
                <w:vAlign w:val="center"/>
              </w:tcPr>
              <w:p w14:paraId="54C6FF59" w14:textId="0CA0F4A9"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518.195.000</w:t>
                </w:r>
              </w:p>
            </w:tc>
            <w:tc>
              <w:tcPr>
                <w:tcW w:w="1325" w:type="dxa"/>
                <w:tcMar>
                  <w:left w:w="70" w:type="dxa"/>
                  <w:right w:w="70" w:type="dxa"/>
                </w:tcMar>
                <w:vAlign w:val="center"/>
              </w:tcPr>
              <w:p w14:paraId="3410E32A" w14:textId="7501A702"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color w:val="000000" w:themeColor="text1"/>
                    <w:sz w:val="16"/>
                    <w:szCs w:val="16"/>
                  </w:rPr>
                  <w:t>815.496.412</w:t>
                </w:r>
              </w:p>
            </w:tc>
          </w:tr>
          <w:tr w:rsidR="0017293B" w14:paraId="49262738" w14:textId="77777777" w:rsidTr="00DE0481">
            <w:trPr>
              <w:trHeight w:val="340"/>
            </w:trPr>
            <w:tc>
              <w:tcPr>
                <w:tcW w:w="4668" w:type="dxa"/>
                <w:gridSpan w:val="2"/>
                <w:tcMar>
                  <w:left w:w="70" w:type="dxa"/>
                  <w:right w:w="70" w:type="dxa"/>
                </w:tcMar>
                <w:vAlign w:val="center"/>
              </w:tcPr>
              <w:p w14:paraId="2E331608" w14:textId="01A81201" w:rsidR="45DBE3D4" w:rsidRPr="009A46BB" w:rsidRDefault="45DBE3D4" w:rsidP="45DBE3D4">
                <w:pPr>
                  <w:spacing w:after="0"/>
                  <w:ind w:left="-20" w:right="-20"/>
                  <w:rPr>
                    <w:rFonts w:ascii="Times New Roman" w:hAnsi="Times New Roman"/>
                    <w:sz w:val="16"/>
                    <w:szCs w:val="16"/>
                  </w:rPr>
                </w:pPr>
                <w:r w:rsidRPr="45DBE3D4">
                  <w:rPr>
                    <w:rFonts w:ascii="Times New Roman" w:eastAsia="Times New Roman" w:hAnsi="Times New Roman"/>
                    <w:b/>
                    <w:bCs/>
                    <w:color w:val="000000" w:themeColor="text1"/>
                    <w:sz w:val="16"/>
                    <w:szCs w:val="16"/>
                  </w:rPr>
                  <w:t>TOTAL</w:t>
                </w:r>
              </w:p>
            </w:tc>
            <w:tc>
              <w:tcPr>
                <w:tcW w:w="1559" w:type="dxa"/>
                <w:tcMar>
                  <w:left w:w="70" w:type="dxa"/>
                  <w:right w:w="70" w:type="dxa"/>
                </w:tcMar>
                <w:vAlign w:val="center"/>
              </w:tcPr>
              <w:p w14:paraId="3AFA469A" w14:textId="28B06B0A"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b/>
                    <w:bCs/>
                    <w:color w:val="000000" w:themeColor="text1"/>
                    <w:sz w:val="16"/>
                    <w:szCs w:val="16"/>
                  </w:rPr>
                  <w:t>20.793.009.574.595</w:t>
                </w:r>
              </w:p>
            </w:tc>
            <w:tc>
              <w:tcPr>
                <w:tcW w:w="1560" w:type="dxa"/>
                <w:tcMar>
                  <w:left w:w="70" w:type="dxa"/>
                  <w:right w:w="70" w:type="dxa"/>
                </w:tcMar>
                <w:vAlign w:val="center"/>
              </w:tcPr>
              <w:p w14:paraId="134AA326" w14:textId="2431515E"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b/>
                    <w:bCs/>
                    <w:color w:val="000000" w:themeColor="text1"/>
                    <w:sz w:val="16"/>
                    <w:szCs w:val="16"/>
                  </w:rPr>
                  <w:t>18.688.330.333.846</w:t>
                </w:r>
              </w:p>
            </w:tc>
            <w:tc>
              <w:tcPr>
                <w:tcW w:w="1325" w:type="dxa"/>
                <w:tcMar>
                  <w:left w:w="70" w:type="dxa"/>
                  <w:right w:w="70" w:type="dxa"/>
                </w:tcMar>
                <w:vAlign w:val="center"/>
              </w:tcPr>
              <w:p w14:paraId="2FD7F10E" w14:textId="3C306DE6" w:rsidR="45DBE3D4" w:rsidRPr="009A46BB" w:rsidRDefault="45DBE3D4" w:rsidP="45DBE3D4">
                <w:pPr>
                  <w:spacing w:after="0"/>
                  <w:ind w:left="-20" w:right="-20"/>
                  <w:jc w:val="right"/>
                  <w:rPr>
                    <w:rFonts w:ascii="Times New Roman" w:hAnsi="Times New Roman"/>
                    <w:sz w:val="16"/>
                    <w:szCs w:val="16"/>
                  </w:rPr>
                </w:pPr>
                <w:r w:rsidRPr="45DBE3D4">
                  <w:rPr>
                    <w:rFonts w:ascii="Times New Roman" w:eastAsia="Times New Roman" w:hAnsi="Times New Roman"/>
                    <w:b/>
                    <w:bCs/>
                    <w:color w:val="000000" w:themeColor="text1"/>
                    <w:sz w:val="16"/>
                    <w:szCs w:val="16"/>
                  </w:rPr>
                  <w:t>2.104.679.240.748</w:t>
                </w:r>
              </w:p>
            </w:tc>
          </w:tr>
        </w:tbl>
        <w:p w14:paraId="50537BA9" w14:textId="46D888DA" w:rsidR="005516AA" w:rsidRPr="009A46BB" w:rsidRDefault="00AD2026" w:rsidP="45DBE3D4">
          <w:pPr>
            <w:spacing w:after="0" w:line="240" w:lineRule="auto"/>
            <w:ind w:left="-20" w:right="-20"/>
            <w:jc w:val="both"/>
            <w:rPr>
              <w:rFonts w:ascii="Times New Roman" w:hAnsi="Times New Roman"/>
            </w:rPr>
          </w:pPr>
          <w:r w:rsidRPr="45DBE3D4">
            <w:rPr>
              <w:rFonts w:ascii="Times New Roman" w:eastAsia="Times New Roman" w:hAnsi="Times New Roman"/>
              <w:sz w:val="14"/>
              <w:szCs w:val="14"/>
            </w:rPr>
            <w:t>Cifras expresadas en pesos</w:t>
          </w:r>
          <w:r w:rsidR="005516AA" w:rsidRPr="45DBE3D4">
            <w:rPr>
              <w:rFonts w:ascii="Times New Roman" w:eastAsia="Times New Roman" w:hAnsi="Times New Roman"/>
              <w:sz w:val="14"/>
              <w:szCs w:val="14"/>
            </w:rPr>
            <w:t xml:space="preserve"> </w:t>
          </w:r>
          <w:r w:rsidR="7D6585DC" w:rsidRPr="45DBE3D4">
            <w:rPr>
              <w:rFonts w:ascii="Times New Roman" w:eastAsia="Times New Roman" w:hAnsi="Times New Roman"/>
              <w:sz w:val="14"/>
              <w:szCs w:val="14"/>
            </w:rPr>
            <w:t xml:space="preserve"> </w:t>
          </w:r>
        </w:p>
        <w:p w14:paraId="333AA80D" w14:textId="569ADAB4" w:rsidR="7DBB9B86" w:rsidRPr="009A46BB" w:rsidRDefault="7D6585DC" w:rsidP="45DBE3D4">
          <w:pPr>
            <w:spacing w:after="0" w:line="240" w:lineRule="auto"/>
            <w:ind w:left="-20" w:right="-20"/>
            <w:jc w:val="both"/>
            <w:rPr>
              <w:rFonts w:ascii="Times New Roman" w:hAnsi="Times New Roman"/>
            </w:rPr>
          </w:pPr>
          <w:r w:rsidRPr="45DBE3D4">
            <w:rPr>
              <w:rFonts w:ascii="Times New Roman" w:eastAsia="Times New Roman" w:hAnsi="Times New Roman"/>
              <w:sz w:val="24"/>
              <w:szCs w:val="24"/>
            </w:rPr>
            <w:t xml:space="preserve"> </w:t>
          </w:r>
        </w:p>
        <w:p w14:paraId="6F05D012" w14:textId="00811DEE" w:rsidR="7DBB9B86" w:rsidRPr="009A46BB" w:rsidRDefault="7D6585DC" w:rsidP="45DBE3D4">
          <w:pPr>
            <w:spacing w:after="0" w:line="240" w:lineRule="auto"/>
            <w:ind w:left="-20" w:right="-20"/>
            <w:jc w:val="both"/>
            <w:rPr>
              <w:rFonts w:ascii="Times New Roman" w:hAnsi="Times New Roman"/>
            </w:rPr>
          </w:pPr>
          <w:r w:rsidRPr="45DBE3D4">
            <w:rPr>
              <w:rFonts w:ascii="Times New Roman" w:eastAsia="Times New Roman" w:hAnsi="Times New Roman"/>
              <w:sz w:val="24"/>
              <w:szCs w:val="24"/>
            </w:rPr>
            <w:t xml:space="preserve">El aumento, se sustenta en la actualización del CAPEX y cuantificación del pasivo diferido al cierre de la vigencia 2023, conforme al modelo financiero para propósitos contables-tabla de amortización, información que es remitida a la Vicepresidencia de Gestión Corporativa, por parte de las áreas misionales (Vicepresidencias Ejecutiva). </w:t>
          </w:r>
        </w:p>
        <w:p w14:paraId="629FB2F3" w14:textId="49F22E8B" w:rsidR="7DBB9B86" w:rsidRPr="009A46BB" w:rsidRDefault="7D6585DC" w:rsidP="45DBE3D4">
          <w:pPr>
            <w:spacing w:after="0" w:line="240" w:lineRule="auto"/>
            <w:ind w:left="-20" w:right="-20"/>
            <w:jc w:val="both"/>
            <w:rPr>
              <w:rFonts w:ascii="Times New Roman" w:hAnsi="Times New Roman"/>
            </w:rPr>
          </w:pPr>
          <w:r w:rsidRPr="45DBE3D4">
            <w:rPr>
              <w:rFonts w:ascii="Times New Roman" w:eastAsia="Times New Roman" w:hAnsi="Times New Roman"/>
              <w:sz w:val="24"/>
              <w:szCs w:val="24"/>
            </w:rPr>
            <w:t xml:space="preserve"> </w:t>
          </w:r>
        </w:p>
        <w:p w14:paraId="187BCABF" w14:textId="0214E6CE" w:rsidR="00CF2AB0" w:rsidRDefault="00CF2AB0" w:rsidP="45DBE3D4">
          <w:pPr>
            <w:spacing w:after="0" w:line="240" w:lineRule="auto"/>
            <w:ind w:left="-20" w:right="-20"/>
            <w:jc w:val="both"/>
            <w:rPr>
              <w:rFonts w:ascii="Times New Roman" w:eastAsia="Times New Roman" w:hAnsi="Times New Roman"/>
              <w:sz w:val="24"/>
              <w:szCs w:val="24"/>
            </w:rPr>
          </w:pPr>
        </w:p>
        <w:p w14:paraId="7D1C6433" w14:textId="460A13F4" w:rsidR="0065448C" w:rsidRPr="00931DCE" w:rsidRDefault="00C7365E" w:rsidP="00376E7E">
          <w:pPr>
            <w:pStyle w:val="Ttulo2"/>
            <w:numPr>
              <w:ilvl w:val="0"/>
              <w:numId w:val="0"/>
            </w:numPr>
            <w:spacing w:line="240" w:lineRule="auto"/>
            <w:rPr>
              <w:rFonts w:cs="Times New Roman"/>
            </w:rPr>
          </w:pPr>
          <w:bookmarkStart w:id="81" w:name="_Toc159952417"/>
          <w:r w:rsidRPr="6816ED54">
            <w:rPr>
              <w:rFonts w:cs="Times New Roman"/>
            </w:rPr>
            <w:t>24.1.2</w:t>
          </w:r>
          <w:r w:rsidR="00C429B9" w:rsidRPr="6816ED54">
            <w:rPr>
              <w:rFonts w:cs="Times New Roman"/>
            </w:rPr>
            <w:t>.</w:t>
          </w:r>
          <w:r w:rsidRPr="6816ED54">
            <w:rPr>
              <w:rFonts w:cs="Times New Roman"/>
            </w:rPr>
            <w:t xml:space="preserve"> </w:t>
          </w:r>
          <w:r w:rsidR="00C429B9" w:rsidRPr="6816ED54">
            <w:rPr>
              <w:rFonts w:cs="Times New Roman"/>
            </w:rPr>
            <w:t xml:space="preserve"> </w:t>
          </w:r>
          <w:r w:rsidR="0065448C" w:rsidRPr="6816ED54">
            <w:rPr>
              <w:rFonts w:cs="Times New Roman"/>
            </w:rPr>
            <w:t xml:space="preserve">Modo </w:t>
          </w:r>
          <w:r w:rsidR="003A67FB" w:rsidRPr="6816ED54">
            <w:rPr>
              <w:rFonts w:cs="Times New Roman"/>
            </w:rPr>
            <w:t>Portuario</w:t>
          </w:r>
          <w:r w:rsidR="0065448C" w:rsidRPr="6816ED54">
            <w:rPr>
              <w:rFonts w:cs="Times New Roman"/>
            </w:rPr>
            <w:t>:</w:t>
          </w:r>
          <w:bookmarkEnd w:id="81"/>
        </w:p>
        <w:p w14:paraId="2FE1B136" w14:textId="62FF1C6A" w:rsidR="0065448C" w:rsidRPr="00931DCE" w:rsidRDefault="0065448C" w:rsidP="00376E7E">
          <w:pPr>
            <w:spacing w:after="0" w:line="240" w:lineRule="auto"/>
            <w:jc w:val="both"/>
            <w:rPr>
              <w:rFonts w:ascii="Times New Roman" w:hAnsi="Times New Roman"/>
              <w:sz w:val="24"/>
              <w:szCs w:val="24"/>
            </w:rPr>
          </w:pPr>
        </w:p>
        <w:p w14:paraId="6580326D" w14:textId="0AA5AB2A" w:rsidR="00806E9E" w:rsidRPr="00931DCE" w:rsidRDefault="00806E9E" w:rsidP="00806E9E">
          <w:pPr>
            <w:spacing w:after="0" w:line="240" w:lineRule="auto"/>
            <w:jc w:val="both"/>
            <w:rPr>
              <w:rFonts w:ascii="Times New Roman" w:hAnsi="Times New Roman"/>
              <w:sz w:val="24"/>
              <w:szCs w:val="24"/>
            </w:rPr>
          </w:pPr>
          <w:r w:rsidRPr="00931DCE">
            <w:rPr>
              <w:rFonts w:ascii="Times New Roman" w:hAnsi="Times New Roman"/>
              <w:sz w:val="24"/>
              <w:szCs w:val="24"/>
            </w:rPr>
            <w:t xml:space="preserve">Al cierre de la vigencia </w:t>
          </w:r>
          <w:r w:rsidR="00EF6E05" w:rsidRPr="00931DCE">
            <w:rPr>
              <w:rFonts w:ascii="Times New Roman" w:hAnsi="Times New Roman"/>
              <w:sz w:val="24"/>
              <w:szCs w:val="24"/>
            </w:rPr>
            <w:t>202</w:t>
          </w:r>
          <w:r w:rsidR="00AD24B3">
            <w:rPr>
              <w:rFonts w:ascii="Times New Roman" w:hAnsi="Times New Roman"/>
              <w:sz w:val="24"/>
              <w:szCs w:val="24"/>
            </w:rPr>
            <w:t>3</w:t>
          </w:r>
          <w:r w:rsidRPr="00931DCE">
            <w:rPr>
              <w:rFonts w:ascii="Times New Roman" w:hAnsi="Times New Roman"/>
              <w:sz w:val="24"/>
              <w:szCs w:val="24"/>
            </w:rPr>
            <w:t>, la cuenta correspondiente al ingreso diferido por concesiones - concedente para el modo de transporte portuario, presenta un saldo $</w:t>
          </w:r>
          <w:r w:rsidR="00160195" w:rsidRPr="00160195">
            <w:rPr>
              <w:rFonts w:ascii="Times New Roman" w:hAnsi="Times New Roman"/>
              <w:sz w:val="24"/>
              <w:szCs w:val="24"/>
            </w:rPr>
            <w:t>4</w:t>
          </w:r>
          <w:r w:rsidR="00091940">
            <w:rPr>
              <w:rFonts w:ascii="Times New Roman" w:hAnsi="Times New Roman"/>
              <w:sz w:val="24"/>
              <w:szCs w:val="24"/>
            </w:rPr>
            <w:t>.</w:t>
          </w:r>
          <w:r w:rsidR="00160195" w:rsidRPr="00160195">
            <w:rPr>
              <w:rFonts w:ascii="Times New Roman" w:hAnsi="Times New Roman"/>
              <w:sz w:val="24"/>
              <w:szCs w:val="24"/>
            </w:rPr>
            <w:t>629</w:t>
          </w:r>
          <w:r w:rsidR="00091940">
            <w:rPr>
              <w:rFonts w:ascii="Times New Roman" w:hAnsi="Times New Roman"/>
              <w:sz w:val="24"/>
              <w:szCs w:val="24"/>
            </w:rPr>
            <w:t>.</w:t>
          </w:r>
          <w:r w:rsidR="00160195" w:rsidRPr="00160195">
            <w:rPr>
              <w:rFonts w:ascii="Times New Roman" w:hAnsi="Times New Roman"/>
              <w:sz w:val="24"/>
              <w:szCs w:val="24"/>
            </w:rPr>
            <w:t>374</w:t>
          </w:r>
          <w:r w:rsidR="00F67A60">
            <w:rPr>
              <w:rFonts w:ascii="Times New Roman" w:hAnsi="Times New Roman"/>
              <w:sz w:val="24"/>
              <w:szCs w:val="24"/>
            </w:rPr>
            <w:t>.</w:t>
          </w:r>
          <w:r w:rsidR="00160195" w:rsidRPr="00160195">
            <w:rPr>
              <w:rFonts w:ascii="Times New Roman" w:hAnsi="Times New Roman"/>
              <w:sz w:val="24"/>
              <w:szCs w:val="24"/>
            </w:rPr>
            <w:t>758</w:t>
          </w:r>
          <w:r w:rsidR="00160195">
            <w:rPr>
              <w:rFonts w:ascii="Times New Roman" w:hAnsi="Times New Roman"/>
              <w:sz w:val="24"/>
              <w:szCs w:val="24"/>
            </w:rPr>
            <w:t>.</w:t>
          </w:r>
          <w:r w:rsidR="00160195" w:rsidRPr="00160195">
            <w:rPr>
              <w:rFonts w:ascii="Times New Roman" w:hAnsi="Times New Roman"/>
              <w:sz w:val="24"/>
              <w:szCs w:val="24"/>
            </w:rPr>
            <w:t>453</w:t>
          </w:r>
          <w:r w:rsidRPr="00931DCE">
            <w:rPr>
              <w:rFonts w:ascii="Times New Roman" w:hAnsi="Times New Roman"/>
              <w:sz w:val="24"/>
              <w:szCs w:val="24"/>
            </w:rPr>
            <w:t>, los cuales se detallan en el siguiente cuadro, a nivel de tercero:</w:t>
          </w:r>
        </w:p>
        <w:p w14:paraId="1ABE38D9" w14:textId="4F00B33E" w:rsidR="00DC5DAD" w:rsidRPr="00931DCE" w:rsidRDefault="00DC5DAD" w:rsidP="00DC5DAD">
          <w:pPr>
            <w:spacing w:after="0" w:line="240" w:lineRule="auto"/>
            <w:jc w:val="both"/>
            <w:rPr>
              <w:rFonts w:ascii="Times New Roman" w:hAnsi="Times New Roman"/>
              <w:sz w:val="14"/>
              <w:szCs w:val="10"/>
            </w:rPr>
          </w:pPr>
          <w:r w:rsidRPr="00931DCE">
            <w:rPr>
              <w:rFonts w:ascii="Times New Roman" w:hAnsi="Times New Roman"/>
              <w:sz w:val="14"/>
              <w:szCs w:val="10"/>
            </w:rPr>
            <w:t xml:space="preserve"> </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CellMar>
              <w:left w:w="70" w:type="dxa"/>
              <w:right w:w="70" w:type="dxa"/>
            </w:tblCellMar>
            <w:tblLook w:val="04A0" w:firstRow="1" w:lastRow="0" w:firstColumn="1" w:lastColumn="0" w:noHBand="0" w:noVBand="1"/>
          </w:tblPr>
          <w:tblGrid>
            <w:gridCol w:w="950"/>
            <w:gridCol w:w="3684"/>
            <w:gridCol w:w="1490"/>
            <w:gridCol w:w="1490"/>
            <w:gridCol w:w="1355"/>
          </w:tblGrid>
          <w:tr w:rsidR="00F83328" w:rsidRPr="00F83328" w14:paraId="4C70ECF1" w14:textId="77777777" w:rsidTr="007E5E34">
            <w:trPr>
              <w:trHeight w:val="340"/>
              <w:tblHeader/>
            </w:trPr>
            <w:tc>
              <w:tcPr>
                <w:tcW w:w="0" w:type="auto"/>
                <w:gridSpan w:val="2"/>
                <w:shd w:val="clear" w:color="auto" w:fill="auto"/>
                <w:vAlign w:val="center"/>
                <w:hideMark/>
              </w:tcPr>
              <w:p w14:paraId="499548F3" w14:textId="77777777" w:rsidR="00F83328" w:rsidRPr="009A46BB" w:rsidRDefault="00F83328" w:rsidP="00F83328">
                <w:pPr>
                  <w:spacing w:after="0" w:line="240" w:lineRule="auto"/>
                  <w:jc w:val="center"/>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TERCERO</w:t>
                </w:r>
              </w:p>
            </w:tc>
            <w:tc>
              <w:tcPr>
                <w:tcW w:w="0" w:type="auto"/>
                <w:shd w:val="clear" w:color="auto" w:fill="auto"/>
                <w:vAlign w:val="center"/>
                <w:hideMark/>
              </w:tcPr>
              <w:p w14:paraId="7F1C5C27" w14:textId="77777777" w:rsidR="00F83328" w:rsidRPr="009A46BB" w:rsidRDefault="00F83328" w:rsidP="00F83328">
                <w:pPr>
                  <w:spacing w:after="0" w:line="240" w:lineRule="auto"/>
                  <w:jc w:val="center"/>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2023</w:t>
                </w:r>
              </w:p>
            </w:tc>
            <w:tc>
              <w:tcPr>
                <w:tcW w:w="0" w:type="auto"/>
                <w:shd w:val="clear" w:color="auto" w:fill="auto"/>
                <w:vAlign w:val="center"/>
                <w:hideMark/>
              </w:tcPr>
              <w:p w14:paraId="7E08481D" w14:textId="77777777" w:rsidR="00F83328" w:rsidRPr="009A46BB" w:rsidRDefault="00F83328" w:rsidP="00F83328">
                <w:pPr>
                  <w:spacing w:after="0" w:line="240" w:lineRule="auto"/>
                  <w:jc w:val="center"/>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2022</w:t>
                </w:r>
              </w:p>
            </w:tc>
            <w:tc>
              <w:tcPr>
                <w:tcW w:w="0" w:type="auto"/>
                <w:shd w:val="clear" w:color="auto" w:fill="auto"/>
                <w:vAlign w:val="center"/>
                <w:hideMark/>
              </w:tcPr>
              <w:p w14:paraId="1EC37BCB" w14:textId="77777777" w:rsidR="00F83328" w:rsidRPr="009A46BB" w:rsidRDefault="00F83328" w:rsidP="00F83328">
                <w:pPr>
                  <w:spacing w:after="0" w:line="240" w:lineRule="auto"/>
                  <w:jc w:val="center"/>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VARIACIÓN</w:t>
                </w:r>
              </w:p>
            </w:tc>
          </w:tr>
          <w:tr w:rsidR="00F83328" w:rsidRPr="00F83328" w14:paraId="793E3B23" w14:textId="77777777" w:rsidTr="007E5E34">
            <w:trPr>
              <w:trHeight w:val="340"/>
            </w:trPr>
            <w:tc>
              <w:tcPr>
                <w:tcW w:w="0" w:type="auto"/>
                <w:shd w:val="clear" w:color="auto" w:fill="auto"/>
                <w:vAlign w:val="center"/>
                <w:hideMark/>
              </w:tcPr>
              <w:p w14:paraId="233EBD5B" w14:textId="77777777" w:rsidR="00F83328" w:rsidRPr="009A46BB" w:rsidRDefault="00F83328" w:rsidP="00F83328">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800033858</w:t>
                </w:r>
              </w:p>
            </w:tc>
            <w:tc>
              <w:tcPr>
                <w:tcW w:w="0" w:type="auto"/>
                <w:shd w:val="clear" w:color="auto" w:fill="auto"/>
                <w:vAlign w:val="center"/>
                <w:hideMark/>
              </w:tcPr>
              <w:p w14:paraId="38F323CD" w14:textId="77777777" w:rsidR="00F83328" w:rsidRPr="009A46BB" w:rsidRDefault="00F83328" w:rsidP="00F83328">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Sociedad Portuaria El Cayao S.A E.S. P</w:t>
                </w:r>
              </w:p>
            </w:tc>
            <w:tc>
              <w:tcPr>
                <w:tcW w:w="0" w:type="auto"/>
                <w:shd w:val="clear" w:color="auto" w:fill="auto"/>
                <w:vAlign w:val="center"/>
                <w:hideMark/>
              </w:tcPr>
              <w:p w14:paraId="62B13DD9" w14:textId="419FC725" w:rsidR="00F83328" w:rsidRPr="009A46BB" w:rsidRDefault="00F83328" w:rsidP="00487FD4">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94.108.742.316 </w:t>
                </w:r>
              </w:p>
            </w:tc>
            <w:tc>
              <w:tcPr>
                <w:tcW w:w="0" w:type="auto"/>
                <w:shd w:val="clear" w:color="auto" w:fill="auto"/>
                <w:vAlign w:val="center"/>
                <w:hideMark/>
              </w:tcPr>
              <w:p w14:paraId="449E8785"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101.951.137.509</w:t>
                </w:r>
              </w:p>
            </w:tc>
            <w:tc>
              <w:tcPr>
                <w:tcW w:w="0" w:type="auto"/>
                <w:shd w:val="clear" w:color="auto" w:fill="auto"/>
                <w:vAlign w:val="center"/>
                <w:hideMark/>
              </w:tcPr>
              <w:p w14:paraId="10C1E36B"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-7.842.395.193</w:t>
                </w:r>
              </w:p>
            </w:tc>
          </w:tr>
          <w:tr w:rsidR="00F83328" w:rsidRPr="00F83328" w14:paraId="338B1ABD" w14:textId="77777777" w:rsidTr="007E5E34">
            <w:trPr>
              <w:trHeight w:val="340"/>
            </w:trPr>
            <w:tc>
              <w:tcPr>
                <w:tcW w:w="0" w:type="auto"/>
                <w:shd w:val="clear" w:color="auto" w:fill="auto"/>
                <w:vAlign w:val="center"/>
                <w:hideMark/>
              </w:tcPr>
              <w:p w14:paraId="636FA18D" w14:textId="77777777" w:rsidR="00F83328" w:rsidRPr="009A46BB" w:rsidRDefault="00F83328" w:rsidP="00F83328">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800084048</w:t>
                </w:r>
              </w:p>
            </w:tc>
            <w:tc>
              <w:tcPr>
                <w:tcW w:w="0" w:type="auto"/>
                <w:shd w:val="clear" w:color="auto" w:fill="auto"/>
                <w:vAlign w:val="center"/>
                <w:hideMark/>
              </w:tcPr>
              <w:p w14:paraId="4C959788" w14:textId="77777777" w:rsidR="00F83328" w:rsidRPr="009A46BB" w:rsidRDefault="00F83328" w:rsidP="00F83328">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Sociedad Portuaria Terminal De Contenedores De Buenaventura S.A.</w:t>
                </w:r>
              </w:p>
            </w:tc>
            <w:tc>
              <w:tcPr>
                <w:tcW w:w="0" w:type="auto"/>
                <w:shd w:val="clear" w:color="auto" w:fill="auto"/>
                <w:vAlign w:val="center"/>
                <w:hideMark/>
              </w:tcPr>
              <w:p w14:paraId="21E3192B" w14:textId="1E316DB7" w:rsidR="00F83328" w:rsidRPr="009A46BB" w:rsidRDefault="00F83328" w:rsidP="00487FD4">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426.076.538.781 </w:t>
                </w:r>
              </w:p>
            </w:tc>
            <w:tc>
              <w:tcPr>
                <w:tcW w:w="0" w:type="auto"/>
                <w:shd w:val="clear" w:color="auto" w:fill="auto"/>
                <w:vAlign w:val="center"/>
                <w:hideMark/>
              </w:tcPr>
              <w:p w14:paraId="20495B84"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446.365.897.770</w:t>
                </w:r>
              </w:p>
            </w:tc>
            <w:tc>
              <w:tcPr>
                <w:tcW w:w="0" w:type="auto"/>
                <w:shd w:val="clear" w:color="auto" w:fill="auto"/>
                <w:vAlign w:val="center"/>
                <w:hideMark/>
              </w:tcPr>
              <w:p w14:paraId="3948A913"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-20.289.358.989</w:t>
                </w:r>
              </w:p>
            </w:tc>
          </w:tr>
          <w:tr w:rsidR="00F83328" w:rsidRPr="00F83328" w14:paraId="33F3102F" w14:textId="77777777" w:rsidTr="007E5E34">
            <w:trPr>
              <w:trHeight w:val="340"/>
            </w:trPr>
            <w:tc>
              <w:tcPr>
                <w:tcW w:w="0" w:type="auto"/>
                <w:shd w:val="clear" w:color="auto" w:fill="auto"/>
                <w:vAlign w:val="center"/>
                <w:hideMark/>
              </w:tcPr>
              <w:p w14:paraId="7A8DA085" w14:textId="77777777" w:rsidR="00F83328" w:rsidRPr="009A46BB" w:rsidRDefault="00F83328" w:rsidP="00F83328">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800096464</w:t>
                </w:r>
              </w:p>
            </w:tc>
            <w:tc>
              <w:tcPr>
                <w:tcW w:w="0" w:type="auto"/>
                <w:shd w:val="clear" w:color="auto" w:fill="auto"/>
                <w:vAlign w:val="center"/>
                <w:hideMark/>
              </w:tcPr>
              <w:p w14:paraId="265402AF" w14:textId="77777777" w:rsidR="00F83328" w:rsidRPr="009A46BB" w:rsidRDefault="00F83328" w:rsidP="00F83328">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Puerto De Mamonal S.A.</w:t>
                </w:r>
              </w:p>
            </w:tc>
            <w:tc>
              <w:tcPr>
                <w:tcW w:w="0" w:type="auto"/>
                <w:shd w:val="clear" w:color="auto" w:fill="auto"/>
                <w:vAlign w:val="center"/>
                <w:hideMark/>
              </w:tcPr>
              <w:p w14:paraId="7FF7AA7E" w14:textId="3E8BC6CD" w:rsidR="00F83328" w:rsidRPr="009A46BB" w:rsidRDefault="00F83328" w:rsidP="00487FD4">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31.847.810.321 </w:t>
                </w:r>
              </w:p>
            </w:tc>
            <w:tc>
              <w:tcPr>
                <w:tcW w:w="0" w:type="auto"/>
                <w:shd w:val="clear" w:color="auto" w:fill="auto"/>
                <w:vAlign w:val="center"/>
                <w:hideMark/>
              </w:tcPr>
              <w:p w14:paraId="5B54A972"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34.743.065.805</w:t>
                </w:r>
              </w:p>
            </w:tc>
            <w:tc>
              <w:tcPr>
                <w:tcW w:w="0" w:type="auto"/>
                <w:shd w:val="clear" w:color="auto" w:fill="auto"/>
                <w:vAlign w:val="center"/>
                <w:hideMark/>
              </w:tcPr>
              <w:p w14:paraId="59F5560D"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-2.895.255.484</w:t>
                </w:r>
              </w:p>
            </w:tc>
          </w:tr>
          <w:tr w:rsidR="00F83328" w:rsidRPr="00F83328" w14:paraId="03085BE5" w14:textId="77777777" w:rsidTr="007E5E34">
            <w:trPr>
              <w:trHeight w:val="340"/>
            </w:trPr>
            <w:tc>
              <w:tcPr>
                <w:tcW w:w="0" w:type="auto"/>
                <w:shd w:val="clear" w:color="auto" w:fill="auto"/>
                <w:vAlign w:val="center"/>
                <w:hideMark/>
              </w:tcPr>
              <w:p w14:paraId="0EC09E4A" w14:textId="77777777" w:rsidR="00F83328" w:rsidRPr="009A46BB" w:rsidRDefault="00F83328" w:rsidP="00F83328">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800116164</w:t>
                </w:r>
              </w:p>
            </w:tc>
            <w:tc>
              <w:tcPr>
                <w:tcW w:w="0" w:type="auto"/>
                <w:shd w:val="clear" w:color="auto" w:fill="auto"/>
                <w:vAlign w:val="center"/>
                <w:hideMark/>
              </w:tcPr>
              <w:p w14:paraId="0E852DBD" w14:textId="77777777" w:rsidR="00F83328" w:rsidRPr="009A46BB" w:rsidRDefault="00F83328" w:rsidP="00F83328">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Terminal De Contenedores De Cartagena S.A.</w:t>
                </w:r>
              </w:p>
            </w:tc>
            <w:tc>
              <w:tcPr>
                <w:tcW w:w="0" w:type="auto"/>
                <w:shd w:val="clear" w:color="auto" w:fill="auto"/>
                <w:vAlign w:val="center"/>
                <w:hideMark/>
              </w:tcPr>
              <w:p w14:paraId="26386F9F" w14:textId="13568E40" w:rsidR="00F83328" w:rsidRPr="009A46BB" w:rsidRDefault="00F83328" w:rsidP="00487FD4">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365.612.162.211 </w:t>
                </w:r>
              </w:p>
            </w:tc>
            <w:tc>
              <w:tcPr>
                <w:tcW w:w="0" w:type="auto"/>
                <w:shd w:val="clear" w:color="auto" w:fill="auto"/>
                <w:vAlign w:val="center"/>
                <w:hideMark/>
              </w:tcPr>
              <w:p w14:paraId="5E1EF6EF"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378.727.156.010</w:t>
                </w:r>
              </w:p>
            </w:tc>
            <w:tc>
              <w:tcPr>
                <w:tcW w:w="0" w:type="auto"/>
                <w:shd w:val="clear" w:color="auto" w:fill="auto"/>
                <w:vAlign w:val="center"/>
                <w:hideMark/>
              </w:tcPr>
              <w:p w14:paraId="64F4164C"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-13.114.993.799</w:t>
                </w:r>
              </w:p>
            </w:tc>
          </w:tr>
          <w:tr w:rsidR="00F83328" w:rsidRPr="00F83328" w14:paraId="5496C7CF" w14:textId="77777777" w:rsidTr="007E5E34">
            <w:trPr>
              <w:trHeight w:val="340"/>
            </w:trPr>
            <w:tc>
              <w:tcPr>
                <w:tcW w:w="0" w:type="auto"/>
                <w:shd w:val="clear" w:color="auto" w:fill="auto"/>
                <w:vAlign w:val="center"/>
                <w:hideMark/>
              </w:tcPr>
              <w:p w14:paraId="72BA2473" w14:textId="77777777" w:rsidR="00F83328" w:rsidRPr="009A46BB" w:rsidRDefault="00F83328" w:rsidP="00F83328">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800153687</w:t>
                </w:r>
              </w:p>
            </w:tc>
            <w:tc>
              <w:tcPr>
                <w:tcW w:w="0" w:type="auto"/>
                <w:shd w:val="clear" w:color="auto" w:fill="auto"/>
                <w:vAlign w:val="center"/>
                <w:hideMark/>
              </w:tcPr>
              <w:p w14:paraId="6A153BD3" w14:textId="77777777" w:rsidR="00F83328" w:rsidRPr="009A46BB" w:rsidRDefault="00F83328" w:rsidP="00F83328">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American Port Company Inc.</w:t>
                </w:r>
              </w:p>
            </w:tc>
            <w:tc>
              <w:tcPr>
                <w:tcW w:w="0" w:type="auto"/>
                <w:shd w:val="clear" w:color="auto" w:fill="auto"/>
                <w:vAlign w:val="center"/>
                <w:hideMark/>
              </w:tcPr>
              <w:p w14:paraId="4BA4FBB9" w14:textId="4EA26135" w:rsidR="00F83328" w:rsidRPr="009A46BB" w:rsidRDefault="00F83328" w:rsidP="00487FD4">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344.133.850.981 </w:t>
                </w:r>
              </w:p>
            </w:tc>
            <w:tc>
              <w:tcPr>
                <w:tcW w:w="0" w:type="auto"/>
                <w:shd w:val="clear" w:color="auto" w:fill="auto"/>
                <w:vAlign w:val="center"/>
                <w:hideMark/>
              </w:tcPr>
              <w:p w14:paraId="1359BB88"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362.246.158.928</w:t>
                </w:r>
              </w:p>
            </w:tc>
            <w:tc>
              <w:tcPr>
                <w:tcW w:w="0" w:type="auto"/>
                <w:shd w:val="clear" w:color="auto" w:fill="auto"/>
                <w:vAlign w:val="center"/>
                <w:hideMark/>
              </w:tcPr>
              <w:p w14:paraId="747C0348"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-18.112.307.947</w:t>
                </w:r>
              </w:p>
            </w:tc>
          </w:tr>
          <w:tr w:rsidR="00F83328" w:rsidRPr="00F83328" w14:paraId="089E5B60" w14:textId="77777777" w:rsidTr="007E5E34">
            <w:trPr>
              <w:trHeight w:val="340"/>
            </w:trPr>
            <w:tc>
              <w:tcPr>
                <w:tcW w:w="0" w:type="auto"/>
                <w:shd w:val="clear" w:color="auto" w:fill="auto"/>
                <w:vAlign w:val="center"/>
                <w:hideMark/>
              </w:tcPr>
              <w:p w14:paraId="377C2458" w14:textId="77777777" w:rsidR="00F83328" w:rsidRPr="009A46BB" w:rsidRDefault="00F83328" w:rsidP="00F83328">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800156044</w:t>
                </w:r>
              </w:p>
            </w:tc>
            <w:tc>
              <w:tcPr>
                <w:tcW w:w="0" w:type="auto"/>
                <w:shd w:val="clear" w:color="auto" w:fill="auto"/>
                <w:vAlign w:val="center"/>
                <w:hideMark/>
              </w:tcPr>
              <w:p w14:paraId="308B1D22" w14:textId="77777777" w:rsidR="00F83328" w:rsidRPr="009A46BB" w:rsidRDefault="00F83328" w:rsidP="00F83328">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compañía De Puertos Asociados S.A.</w:t>
                </w:r>
              </w:p>
            </w:tc>
            <w:tc>
              <w:tcPr>
                <w:tcW w:w="0" w:type="auto"/>
                <w:shd w:val="clear" w:color="auto" w:fill="auto"/>
                <w:vAlign w:val="center"/>
                <w:hideMark/>
              </w:tcPr>
              <w:p w14:paraId="63E98108" w14:textId="4678167B" w:rsidR="00F83328" w:rsidRPr="009A46BB" w:rsidRDefault="00F83328" w:rsidP="00487FD4">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125.252.515.903 </w:t>
                </w:r>
              </w:p>
            </w:tc>
            <w:tc>
              <w:tcPr>
                <w:tcW w:w="0" w:type="auto"/>
                <w:shd w:val="clear" w:color="auto" w:fill="auto"/>
                <w:vAlign w:val="center"/>
                <w:hideMark/>
              </w:tcPr>
              <w:p w14:paraId="10080E63"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107.070.741.000</w:t>
                </w:r>
              </w:p>
            </w:tc>
            <w:tc>
              <w:tcPr>
                <w:tcW w:w="0" w:type="auto"/>
                <w:shd w:val="clear" w:color="auto" w:fill="auto"/>
                <w:vAlign w:val="center"/>
                <w:hideMark/>
              </w:tcPr>
              <w:p w14:paraId="201CB6D2"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18.181.774.903</w:t>
                </w:r>
              </w:p>
            </w:tc>
          </w:tr>
          <w:tr w:rsidR="00F83328" w:rsidRPr="00F83328" w14:paraId="1E17E0B0" w14:textId="77777777" w:rsidTr="007E5E34">
            <w:trPr>
              <w:trHeight w:val="340"/>
            </w:trPr>
            <w:tc>
              <w:tcPr>
                <w:tcW w:w="0" w:type="auto"/>
                <w:shd w:val="clear" w:color="auto" w:fill="auto"/>
                <w:vAlign w:val="center"/>
                <w:hideMark/>
              </w:tcPr>
              <w:p w14:paraId="3E24377C" w14:textId="77777777" w:rsidR="00F83328" w:rsidRPr="009A46BB" w:rsidRDefault="00F83328" w:rsidP="00F83328">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800187234</w:t>
                </w:r>
              </w:p>
            </w:tc>
            <w:tc>
              <w:tcPr>
                <w:tcW w:w="0" w:type="auto"/>
                <w:shd w:val="clear" w:color="auto" w:fill="auto"/>
                <w:vAlign w:val="center"/>
                <w:hideMark/>
              </w:tcPr>
              <w:p w14:paraId="0E716013" w14:textId="77777777" w:rsidR="00F83328" w:rsidRPr="009A46BB" w:rsidRDefault="00F83328" w:rsidP="00F83328">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Sociedad Portuaria Regional De Santa Marta S. A</w:t>
                </w:r>
              </w:p>
            </w:tc>
            <w:tc>
              <w:tcPr>
                <w:tcW w:w="0" w:type="auto"/>
                <w:shd w:val="clear" w:color="auto" w:fill="auto"/>
                <w:vAlign w:val="center"/>
                <w:hideMark/>
              </w:tcPr>
              <w:p w14:paraId="2E7F6C14" w14:textId="08033990" w:rsidR="00F83328" w:rsidRPr="009A46BB" w:rsidRDefault="00F83328" w:rsidP="00487FD4">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133.239.039.718 </w:t>
                </w:r>
              </w:p>
            </w:tc>
            <w:tc>
              <w:tcPr>
                <w:tcW w:w="0" w:type="auto"/>
                <w:shd w:val="clear" w:color="auto" w:fill="auto"/>
                <w:vAlign w:val="center"/>
                <w:hideMark/>
              </w:tcPr>
              <w:p w14:paraId="6962176D"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96.010.697.220</w:t>
                </w:r>
              </w:p>
            </w:tc>
            <w:tc>
              <w:tcPr>
                <w:tcW w:w="0" w:type="auto"/>
                <w:shd w:val="clear" w:color="auto" w:fill="auto"/>
                <w:vAlign w:val="center"/>
                <w:hideMark/>
              </w:tcPr>
              <w:p w14:paraId="73299A78"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37.228.342.498</w:t>
                </w:r>
              </w:p>
            </w:tc>
          </w:tr>
          <w:tr w:rsidR="00F83328" w:rsidRPr="00F83328" w14:paraId="052BA624" w14:textId="77777777" w:rsidTr="007E5E34">
            <w:trPr>
              <w:trHeight w:val="340"/>
            </w:trPr>
            <w:tc>
              <w:tcPr>
                <w:tcW w:w="0" w:type="auto"/>
                <w:shd w:val="clear" w:color="auto" w:fill="auto"/>
                <w:vAlign w:val="center"/>
                <w:hideMark/>
              </w:tcPr>
              <w:p w14:paraId="1513736B" w14:textId="77777777" w:rsidR="00F83328" w:rsidRPr="009A46BB" w:rsidRDefault="00F83328" w:rsidP="00F83328">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800200969</w:t>
                </w:r>
              </w:p>
            </w:tc>
            <w:tc>
              <w:tcPr>
                <w:tcW w:w="0" w:type="auto"/>
                <w:shd w:val="clear" w:color="auto" w:fill="auto"/>
                <w:vAlign w:val="center"/>
                <w:hideMark/>
              </w:tcPr>
              <w:p w14:paraId="263F7B2E" w14:textId="77777777" w:rsidR="00F83328" w:rsidRPr="009A46BB" w:rsidRDefault="00F83328" w:rsidP="00F83328">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Sociedad Portuaria Regional De Cartagena S.A. </w:t>
                </w:r>
              </w:p>
            </w:tc>
            <w:tc>
              <w:tcPr>
                <w:tcW w:w="0" w:type="auto"/>
                <w:shd w:val="clear" w:color="auto" w:fill="auto"/>
                <w:vAlign w:val="center"/>
                <w:hideMark/>
              </w:tcPr>
              <w:p w14:paraId="6C656D19" w14:textId="7EC40AB9" w:rsidR="00F83328" w:rsidRPr="009A46BB" w:rsidRDefault="00F83328" w:rsidP="00487FD4">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172.050.894.342 </w:t>
                </w:r>
              </w:p>
            </w:tc>
            <w:tc>
              <w:tcPr>
                <w:tcW w:w="0" w:type="auto"/>
                <w:shd w:val="clear" w:color="auto" w:fill="auto"/>
                <w:vAlign w:val="center"/>
                <w:hideMark/>
              </w:tcPr>
              <w:p w14:paraId="0A174CAD"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170.757.007.037</w:t>
                </w:r>
              </w:p>
            </w:tc>
            <w:tc>
              <w:tcPr>
                <w:tcW w:w="0" w:type="auto"/>
                <w:shd w:val="clear" w:color="auto" w:fill="auto"/>
                <w:vAlign w:val="center"/>
                <w:hideMark/>
              </w:tcPr>
              <w:p w14:paraId="3AE52E3D"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1.293.887.305</w:t>
                </w:r>
              </w:p>
            </w:tc>
          </w:tr>
          <w:tr w:rsidR="00F83328" w:rsidRPr="00F83328" w14:paraId="4158BFAC" w14:textId="77777777" w:rsidTr="007E5E34">
            <w:trPr>
              <w:trHeight w:val="340"/>
            </w:trPr>
            <w:tc>
              <w:tcPr>
                <w:tcW w:w="0" w:type="auto"/>
                <w:shd w:val="clear" w:color="auto" w:fill="auto"/>
                <w:vAlign w:val="center"/>
                <w:hideMark/>
              </w:tcPr>
              <w:p w14:paraId="76916D98" w14:textId="77777777" w:rsidR="00F83328" w:rsidRPr="009A46BB" w:rsidRDefault="00F83328" w:rsidP="00F83328">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lastRenderedPageBreak/>
                  <w:t>800206129</w:t>
                </w:r>
              </w:p>
            </w:tc>
            <w:tc>
              <w:tcPr>
                <w:tcW w:w="0" w:type="auto"/>
                <w:shd w:val="clear" w:color="auto" w:fill="auto"/>
                <w:vAlign w:val="center"/>
                <w:hideMark/>
              </w:tcPr>
              <w:p w14:paraId="44265B1A" w14:textId="77777777" w:rsidR="00F83328" w:rsidRPr="009A46BB" w:rsidRDefault="00F83328" w:rsidP="00F83328">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Puerto Buenavista S. A</w:t>
                </w:r>
              </w:p>
            </w:tc>
            <w:tc>
              <w:tcPr>
                <w:tcW w:w="0" w:type="auto"/>
                <w:shd w:val="clear" w:color="auto" w:fill="auto"/>
                <w:vAlign w:val="center"/>
                <w:hideMark/>
              </w:tcPr>
              <w:p w14:paraId="0E81CA17" w14:textId="41DC4B00" w:rsidR="00F83328" w:rsidRPr="009A46BB" w:rsidRDefault="00F83328" w:rsidP="00487FD4">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6.535.580.611 </w:t>
                </w:r>
              </w:p>
            </w:tc>
            <w:tc>
              <w:tcPr>
                <w:tcW w:w="0" w:type="auto"/>
                <w:shd w:val="clear" w:color="auto" w:fill="auto"/>
                <w:vAlign w:val="center"/>
                <w:hideMark/>
              </w:tcPr>
              <w:p w14:paraId="24329F70"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7.019.697.693</w:t>
                </w:r>
              </w:p>
            </w:tc>
            <w:tc>
              <w:tcPr>
                <w:tcW w:w="0" w:type="auto"/>
                <w:shd w:val="clear" w:color="auto" w:fill="auto"/>
                <w:vAlign w:val="center"/>
                <w:hideMark/>
              </w:tcPr>
              <w:p w14:paraId="451B3F50"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-484.117.082</w:t>
                </w:r>
              </w:p>
            </w:tc>
          </w:tr>
          <w:tr w:rsidR="00F83328" w:rsidRPr="00F83328" w14:paraId="52C9ABB3" w14:textId="77777777" w:rsidTr="007E5E34">
            <w:trPr>
              <w:trHeight w:val="340"/>
            </w:trPr>
            <w:tc>
              <w:tcPr>
                <w:tcW w:w="0" w:type="auto"/>
                <w:shd w:val="clear" w:color="auto" w:fill="auto"/>
                <w:vAlign w:val="center"/>
                <w:hideMark/>
              </w:tcPr>
              <w:p w14:paraId="04BDFAA3" w14:textId="77777777" w:rsidR="00F83328" w:rsidRPr="009A46BB" w:rsidRDefault="00F83328" w:rsidP="00F83328">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800215775</w:t>
                </w:r>
              </w:p>
            </w:tc>
            <w:tc>
              <w:tcPr>
                <w:tcW w:w="0" w:type="auto"/>
                <w:shd w:val="clear" w:color="auto" w:fill="auto"/>
                <w:vAlign w:val="center"/>
                <w:hideMark/>
              </w:tcPr>
              <w:p w14:paraId="0744E7D4" w14:textId="77777777" w:rsidR="00F83328" w:rsidRPr="009A46BB" w:rsidRDefault="00F83328" w:rsidP="00F83328">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Sociedad Portuaria Regional De Buenaventura S.A. S.P.R. Bun</w:t>
                </w:r>
              </w:p>
            </w:tc>
            <w:tc>
              <w:tcPr>
                <w:tcW w:w="0" w:type="auto"/>
                <w:shd w:val="clear" w:color="auto" w:fill="auto"/>
                <w:vAlign w:val="center"/>
                <w:hideMark/>
              </w:tcPr>
              <w:p w14:paraId="797E74B9" w14:textId="3B361924" w:rsidR="00F83328" w:rsidRPr="009A46BB" w:rsidRDefault="00F83328" w:rsidP="00487FD4">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248.327.286.923 </w:t>
                </w:r>
              </w:p>
            </w:tc>
            <w:tc>
              <w:tcPr>
                <w:tcW w:w="0" w:type="auto"/>
                <w:shd w:val="clear" w:color="auto" w:fill="auto"/>
                <w:vAlign w:val="center"/>
                <w:hideMark/>
              </w:tcPr>
              <w:p w14:paraId="0350CCB4"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264.767.311.098</w:t>
                </w:r>
              </w:p>
            </w:tc>
            <w:tc>
              <w:tcPr>
                <w:tcW w:w="0" w:type="auto"/>
                <w:shd w:val="clear" w:color="auto" w:fill="auto"/>
                <w:vAlign w:val="center"/>
                <w:hideMark/>
              </w:tcPr>
              <w:p w14:paraId="4DC9D3A8"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-16.440.024.175</w:t>
                </w:r>
              </w:p>
            </w:tc>
          </w:tr>
          <w:tr w:rsidR="00F83328" w:rsidRPr="00F83328" w14:paraId="08EDAAD3" w14:textId="77777777" w:rsidTr="007E5E34">
            <w:trPr>
              <w:trHeight w:val="340"/>
            </w:trPr>
            <w:tc>
              <w:tcPr>
                <w:tcW w:w="0" w:type="auto"/>
                <w:shd w:val="clear" w:color="auto" w:fill="auto"/>
                <w:vAlign w:val="center"/>
                <w:hideMark/>
              </w:tcPr>
              <w:p w14:paraId="1DCCD070" w14:textId="77777777" w:rsidR="00F83328" w:rsidRPr="009A46BB" w:rsidRDefault="00F83328" w:rsidP="00F83328">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800251163</w:t>
                </w:r>
              </w:p>
            </w:tc>
            <w:tc>
              <w:tcPr>
                <w:tcW w:w="0" w:type="auto"/>
                <w:shd w:val="clear" w:color="auto" w:fill="auto"/>
                <w:vAlign w:val="center"/>
                <w:hideMark/>
              </w:tcPr>
              <w:p w14:paraId="55652D6E" w14:textId="77777777" w:rsidR="00F83328" w:rsidRPr="009A46BB" w:rsidRDefault="00F83328" w:rsidP="00F83328">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Oleoducto Central S.A.S</w:t>
                </w:r>
              </w:p>
            </w:tc>
            <w:tc>
              <w:tcPr>
                <w:tcW w:w="0" w:type="auto"/>
                <w:shd w:val="clear" w:color="auto" w:fill="auto"/>
                <w:vAlign w:val="center"/>
                <w:hideMark/>
              </w:tcPr>
              <w:p w14:paraId="258CBF83" w14:textId="256F4143" w:rsidR="00F83328" w:rsidRPr="009A46BB" w:rsidRDefault="00F83328" w:rsidP="00487FD4">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200.095.115.117 </w:t>
                </w:r>
              </w:p>
            </w:tc>
            <w:tc>
              <w:tcPr>
                <w:tcW w:w="0" w:type="auto"/>
                <w:shd w:val="clear" w:color="auto" w:fill="auto"/>
                <w:vAlign w:val="center"/>
                <w:hideMark/>
              </w:tcPr>
              <w:p w14:paraId="239BC34F"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204.803.354.817</w:t>
                </w:r>
              </w:p>
            </w:tc>
            <w:tc>
              <w:tcPr>
                <w:tcW w:w="0" w:type="auto"/>
                <w:shd w:val="clear" w:color="auto" w:fill="auto"/>
                <w:vAlign w:val="center"/>
                <w:hideMark/>
              </w:tcPr>
              <w:p w14:paraId="29A06273"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-4.708.239.700</w:t>
                </w:r>
              </w:p>
            </w:tc>
          </w:tr>
          <w:tr w:rsidR="00F83328" w:rsidRPr="00F83328" w14:paraId="099F84F2" w14:textId="77777777" w:rsidTr="007E5E34">
            <w:trPr>
              <w:trHeight w:val="340"/>
            </w:trPr>
            <w:tc>
              <w:tcPr>
                <w:tcW w:w="0" w:type="auto"/>
                <w:shd w:val="clear" w:color="auto" w:fill="auto"/>
                <w:vAlign w:val="center"/>
                <w:hideMark/>
              </w:tcPr>
              <w:p w14:paraId="20BF1A59" w14:textId="77777777" w:rsidR="00F83328" w:rsidRPr="009A46BB" w:rsidRDefault="00F83328" w:rsidP="00F83328">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806008240</w:t>
                </w:r>
              </w:p>
            </w:tc>
            <w:tc>
              <w:tcPr>
                <w:tcW w:w="0" w:type="auto"/>
                <w:shd w:val="clear" w:color="auto" w:fill="auto"/>
                <w:vAlign w:val="center"/>
                <w:hideMark/>
              </w:tcPr>
              <w:p w14:paraId="5E629CED" w14:textId="77777777" w:rsidR="00F83328" w:rsidRPr="009A46BB" w:rsidRDefault="00F83328" w:rsidP="00F83328">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Atunamar LTDA</w:t>
                </w:r>
              </w:p>
            </w:tc>
            <w:tc>
              <w:tcPr>
                <w:tcW w:w="0" w:type="auto"/>
                <w:shd w:val="clear" w:color="auto" w:fill="auto"/>
                <w:vAlign w:val="center"/>
                <w:hideMark/>
              </w:tcPr>
              <w:p w14:paraId="082B0CB6" w14:textId="3827703F" w:rsidR="00F83328" w:rsidRPr="009A46BB" w:rsidRDefault="00F83328" w:rsidP="00487FD4">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345.738.664 </w:t>
                </w:r>
              </w:p>
            </w:tc>
            <w:tc>
              <w:tcPr>
                <w:tcW w:w="0" w:type="auto"/>
                <w:shd w:val="clear" w:color="auto" w:fill="auto"/>
                <w:vAlign w:val="center"/>
                <w:hideMark/>
              </w:tcPr>
              <w:p w14:paraId="76936912"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128.694.484</w:t>
                </w:r>
              </w:p>
            </w:tc>
            <w:tc>
              <w:tcPr>
                <w:tcW w:w="0" w:type="auto"/>
                <w:shd w:val="clear" w:color="auto" w:fill="auto"/>
                <w:vAlign w:val="center"/>
                <w:hideMark/>
              </w:tcPr>
              <w:p w14:paraId="1032D845"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217.044.180</w:t>
                </w:r>
              </w:p>
            </w:tc>
          </w:tr>
          <w:tr w:rsidR="00F83328" w:rsidRPr="00F83328" w14:paraId="2F46BCC4" w14:textId="77777777" w:rsidTr="007E5E34">
            <w:trPr>
              <w:trHeight w:val="340"/>
            </w:trPr>
            <w:tc>
              <w:tcPr>
                <w:tcW w:w="0" w:type="auto"/>
                <w:shd w:val="clear" w:color="auto" w:fill="auto"/>
                <w:vAlign w:val="center"/>
                <w:hideMark/>
              </w:tcPr>
              <w:p w14:paraId="47BBDC08" w14:textId="77777777" w:rsidR="00F83328" w:rsidRPr="009A46BB" w:rsidRDefault="00F83328" w:rsidP="00F83328">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806012654</w:t>
                </w:r>
              </w:p>
            </w:tc>
            <w:tc>
              <w:tcPr>
                <w:tcW w:w="0" w:type="auto"/>
                <w:shd w:val="clear" w:color="auto" w:fill="auto"/>
                <w:vAlign w:val="center"/>
                <w:hideMark/>
              </w:tcPr>
              <w:p w14:paraId="0CF4E784" w14:textId="77777777" w:rsidR="00F83328" w:rsidRPr="009A46BB" w:rsidRDefault="00F83328" w:rsidP="00F83328">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Sociedad Portuaria Del Dique S.A.</w:t>
                </w:r>
              </w:p>
            </w:tc>
            <w:tc>
              <w:tcPr>
                <w:tcW w:w="0" w:type="auto"/>
                <w:shd w:val="clear" w:color="auto" w:fill="auto"/>
                <w:vAlign w:val="center"/>
                <w:hideMark/>
              </w:tcPr>
              <w:p w14:paraId="2A6266CE" w14:textId="0369E3AD" w:rsidR="00F83328" w:rsidRPr="009A46BB" w:rsidRDefault="00F83328" w:rsidP="00487FD4">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439.702.861 </w:t>
                </w:r>
              </w:p>
            </w:tc>
            <w:tc>
              <w:tcPr>
                <w:tcW w:w="0" w:type="auto"/>
                <w:shd w:val="clear" w:color="auto" w:fill="auto"/>
                <w:vAlign w:val="center"/>
                <w:hideMark/>
              </w:tcPr>
              <w:p w14:paraId="1C0EBAFD"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879.405.722</w:t>
                </w:r>
              </w:p>
            </w:tc>
            <w:tc>
              <w:tcPr>
                <w:tcW w:w="0" w:type="auto"/>
                <w:shd w:val="clear" w:color="auto" w:fill="auto"/>
                <w:vAlign w:val="center"/>
                <w:hideMark/>
              </w:tcPr>
              <w:p w14:paraId="7C2840B1"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-439.702.861</w:t>
                </w:r>
              </w:p>
            </w:tc>
          </w:tr>
          <w:tr w:rsidR="00F83328" w:rsidRPr="00F83328" w14:paraId="7FECA969" w14:textId="77777777" w:rsidTr="007E5E34">
            <w:trPr>
              <w:trHeight w:val="340"/>
            </w:trPr>
            <w:tc>
              <w:tcPr>
                <w:tcW w:w="0" w:type="auto"/>
                <w:shd w:val="clear" w:color="auto" w:fill="auto"/>
                <w:vAlign w:val="center"/>
                <w:hideMark/>
              </w:tcPr>
              <w:p w14:paraId="47C4656C" w14:textId="77777777" w:rsidR="00F83328" w:rsidRPr="009A46BB" w:rsidRDefault="00F83328" w:rsidP="00F83328">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806016414</w:t>
                </w:r>
              </w:p>
            </w:tc>
            <w:tc>
              <w:tcPr>
                <w:tcW w:w="0" w:type="auto"/>
                <w:shd w:val="clear" w:color="auto" w:fill="auto"/>
                <w:vAlign w:val="center"/>
                <w:hideMark/>
              </w:tcPr>
              <w:p w14:paraId="5473BF3E" w14:textId="77777777" w:rsidR="00F83328" w:rsidRPr="009A46BB" w:rsidRDefault="00F83328" w:rsidP="00F83328">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Sociedad Portuaria Olefinas Y Derivados S.A.</w:t>
                </w:r>
              </w:p>
            </w:tc>
            <w:tc>
              <w:tcPr>
                <w:tcW w:w="0" w:type="auto"/>
                <w:shd w:val="clear" w:color="auto" w:fill="auto"/>
                <w:vAlign w:val="center"/>
                <w:hideMark/>
              </w:tcPr>
              <w:p w14:paraId="777C93A6" w14:textId="5D3862D4" w:rsidR="00F83328" w:rsidRPr="009A46BB" w:rsidRDefault="00F83328" w:rsidP="00487FD4">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4.639.026.366 </w:t>
                </w:r>
              </w:p>
            </w:tc>
            <w:tc>
              <w:tcPr>
                <w:tcW w:w="0" w:type="auto"/>
                <w:shd w:val="clear" w:color="auto" w:fill="auto"/>
                <w:vAlign w:val="center"/>
                <w:hideMark/>
              </w:tcPr>
              <w:p w14:paraId="01393740"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4.944.862.339</w:t>
                </w:r>
              </w:p>
            </w:tc>
            <w:tc>
              <w:tcPr>
                <w:tcW w:w="0" w:type="auto"/>
                <w:shd w:val="clear" w:color="auto" w:fill="auto"/>
                <w:vAlign w:val="center"/>
                <w:hideMark/>
              </w:tcPr>
              <w:p w14:paraId="0B09541E"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-305.835.973</w:t>
                </w:r>
              </w:p>
            </w:tc>
          </w:tr>
          <w:tr w:rsidR="00F83328" w:rsidRPr="00F83328" w14:paraId="043E3DF7" w14:textId="77777777" w:rsidTr="007E5E34">
            <w:trPr>
              <w:trHeight w:val="340"/>
            </w:trPr>
            <w:tc>
              <w:tcPr>
                <w:tcW w:w="0" w:type="auto"/>
                <w:shd w:val="clear" w:color="auto" w:fill="auto"/>
                <w:vAlign w:val="center"/>
                <w:hideMark/>
              </w:tcPr>
              <w:p w14:paraId="352C146C" w14:textId="77777777" w:rsidR="00F83328" w:rsidRPr="009A46BB" w:rsidRDefault="00F83328" w:rsidP="00F83328">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806016841</w:t>
                </w:r>
              </w:p>
            </w:tc>
            <w:tc>
              <w:tcPr>
                <w:tcW w:w="0" w:type="auto"/>
                <w:shd w:val="clear" w:color="auto" w:fill="auto"/>
                <w:vAlign w:val="center"/>
                <w:hideMark/>
              </w:tcPr>
              <w:p w14:paraId="77184B6C" w14:textId="77777777" w:rsidR="00F83328" w:rsidRPr="009A46BB" w:rsidRDefault="00F83328" w:rsidP="00F83328">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Sociedad Portuaria Transmarsyp S.A.</w:t>
                </w:r>
              </w:p>
            </w:tc>
            <w:tc>
              <w:tcPr>
                <w:tcW w:w="0" w:type="auto"/>
                <w:shd w:val="clear" w:color="auto" w:fill="auto"/>
                <w:vAlign w:val="center"/>
                <w:hideMark/>
              </w:tcPr>
              <w:p w14:paraId="7A12666B" w14:textId="01D19E97" w:rsidR="00F83328" w:rsidRPr="009A46BB" w:rsidRDefault="00F83328" w:rsidP="00487FD4">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347.660.066 </w:t>
                </w:r>
              </w:p>
            </w:tc>
            <w:tc>
              <w:tcPr>
                <w:tcW w:w="0" w:type="auto"/>
                <w:shd w:val="clear" w:color="auto" w:fill="auto"/>
                <w:vAlign w:val="center"/>
                <w:hideMark/>
              </w:tcPr>
              <w:p w14:paraId="2EEFFE33"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463.546.755</w:t>
                </w:r>
              </w:p>
            </w:tc>
            <w:tc>
              <w:tcPr>
                <w:tcW w:w="0" w:type="auto"/>
                <w:shd w:val="clear" w:color="auto" w:fill="auto"/>
                <w:vAlign w:val="center"/>
                <w:hideMark/>
              </w:tcPr>
              <w:p w14:paraId="47F7B096"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-115.886.689</w:t>
                </w:r>
              </w:p>
            </w:tc>
          </w:tr>
          <w:tr w:rsidR="00F83328" w:rsidRPr="00F83328" w14:paraId="0BB1F76C" w14:textId="77777777" w:rsidTr="007E5E34">
            <w:trPr>
              <w:trHeight w:val="340"/>
            </w:trPr>
            <w:tc>
              <w:tcPr>
                <w:tcW w:w="0" w:type="auto"/>
                <w:shd w:val="clear" w:color="auto" w:fill="auto"/>
                <w:vAlign w:val="center"/>
                <w:hideMark/>
              </w:tcPr>
              <w:p w14:paraId="62DBED8B" w14:textId="77777777" w:rsidR="00F83328" w:rsidRPr="009A46BB" w:rsidRDefault="00F83328" w:rsidP="00F83328">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830020263</w:t>
                </w:r>
              </w:p>
            </w:tc>
            <w:tc>
              <w:tcPr>
                <w:tcW w:w="0" w:type="auto"/>
                <w:shd w:val="clear" w:color="auto" w:fill="auto"/>
                <w:vAlign w:val="center"/>
                <w:hideMark/>
              </w:tcPr>
              <w:p w14:paraId="2A34CBE8" w14:textId="77777777" w:rsidR="00F83328" w:rsidRPr="009A46BB" w:rsidRDefault="00F83328" w:rsidP="00F83328">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Grupo Portuario S.A.</w:t>
                </w:r>
              </w:p>
            </w:tc>
            <w:tc>
              <w:tcPr>
                <w:tcW w:w="0" w:type="auto"/>
                <w:shd w:val="clear" w:color="auto" w:fill="auto"/>
                <w:vAlign w:val="center"/>
                <w:hideMark/>
              </w:tcPr>
              <w:p w14:paraId="467F5806" w14:textId="61BDAD84" w:rsidR="00F83328" w:rsidRPr="009A46BB" w:rsidRDefault="00F83328" w:rsidP="00487FD4">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9.360.733.066 </w:t>
                </w:r>
              </w:p>
            </w:tc>
            <w:tc>
              <w:tcPr>
                <w:tcW w:w="0" w:type="auto"/>
                <w:shd w:val="clear" w:color="auto" w:fill="auto"/>
                <w:vAlign w:val="center"/>
                <w:hideMark/>
              </w:tcPr>
              <w:p w14:paraId="1E60C8BB"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11.102.068.354</w:t>
                </w:r>
              </w:p>
            </w:tc>
            <w:tc>
              <w:tcPr>
                <w:tcW w:w="0" w:type="auto"/>
                <w:shd w:val="clear" w:color="auto" w:fill="auto"/>
                <w:vAlign w:val="center"/>
                <w:hideMark/>
              </w:tcPr>
              <w:p w14:paraId="02016CA7"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-1.741.335.288</w:t>
                </w:r>
              </w:p>
            </w:tc>
          </w:tr>
          <w:tr w:rsidR="00F83328" w:rsidRPr="00F83328" w14:paraId="12A051A5" w14:textId="77777777" w:rsidTr="007E5E34">
            <w:trPr>
              <w:trHeight w:val="340"/>
            </w:trPr>
            <w:tc>
              <w:tcPr>
                <w:tcW w:w="0" w:type="auto"/>
                <w:shd w:val="clear" w:color="auto" w:fill="auto"/>
                <w:vAlign w:val="center"/>
                <w:hideMark/>
              </w:tcPr>
              <w:p w14:paraId="456D98EB" w14:textId="77777777" w:rsidR="00F83328" w:rsidRPr="009A46BB" w:rsidRDefault="00F83328" w:rsidP="00F83328">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830078038</w:t>
                </w:r>
              </w:p>
            </w:tc>
            <w:tc>
              <w:tcPr>
                <w:tcW w:w="0" w:type="auto"/>
                <w:shd w:val="clear" w:color="auto" w:fill="auto"/>
                <w:vAlign w:val="center"/>
                <w:hideMark/>
              </w:tcPr>
              <w:p w14:paraId="18904010" w14:textId="77777777" w:rsidR="00F83328" w:rsidRPr="009A46BB" w:rsidRDefault="00F83328" w:rsidP="00F83328">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Cerrajón Zona Norte S A</w:t>
                </w:r>
              </w:p>
            </w:tc>
            <w:tc>
              <w:tcPr>
                <w:tcW w:w="0" w:type="auto"/>
                <w:shd w:val="clear" w:color="auto" w:fill="auto"/>
                <w:vAlign w:val="center"/>
                <w:hideMark/>
              </w:tcPr>
              <w:p w14:paraId="70F6620D" w14:textId="44B696AB" w:rsidR="00F83328" w:rsidRPr="009A46BB" w:rsidRDefault="00F83328" w:rsidP="00487FD4">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149.456.248.311 </w:t>
                </w:r>
              </w:p>
            </w:tc>
            <w:tc>
              <w:tcPr>
                <w:tcW w:w="0" w:type="auto"/>
                <w:shd w:val="clear" w:color="auto" w:fill="auto"/>
                <w:vAlign w:val="center"/>
                <w:hideMark/>
              </w:tcPr>
              <w:p w14:paraId="371C8E6D"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164.401.873.142</w:t>
                </w:r>
              </w:p>
            </w:tc>
            <w:tc>
              <w:tcPr>
                <w:tcW w:w="0" w:type="auto"/>
                <w:shd w:val="clear" w:color="auto" w:fill="auto"/>
                <w:vAlign w:val="center"/>
                <w:hideMark/>
              </w:tcPr>
              <w:p w14:paraId="5D90AF42"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-14.945.624.831</w:t>
                </w:r>
              </w:p>
            </w:tc>
          </w:tr>
          <w:tr w:rsidR="00F83328" w:rsidRPr="00F83328" w14:paraId="7FE7481D" w14:textId="77777777" w:rsidTr="007E5E34">
            <w:trPr>
              <w:trHeight w:val="340"/>
            </w:trPr>
            <w:tc>
              <w:tcPr>
                <w:tcW w:w="0" w:type="auto"/>
                <w:shd w:val="clear" w:color="auto" w:fill="auto"/>
                <w:vAlign w:val="center"/>
                <w:hideMark/>
              </w:tcPr>
              <w:p w14:paraId="2B68D22D" w14:textId="77777777" w:rsidR="00F83328" w:rsidRPr="009A46BB" w:rsidRDefault="00F83328" w:rsidP="00F83328">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830117995</w:t>
                </w:r>
              </w:p>
            </w:tc>
            <w:tc>
              <w:tcPr>
                <w:tcW w:w="0" w:type="auto"/>
                <w:shd w:val="clear" w:color="auto" w:fill="auto"/>
                <w:vAlign w:val="center"/>
                <w:hideMark/>
              </w:tcPr>
              <w:p w14:paraId="6F53DAC4" w14:textId="77777777" w:rsidR="00F83328" w:rsidRPr="009A46BB" w:rsidRDefault="00F83328" w:rsidP="00F83328">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Sociedad Portuaria Palermo S. A</w:t>
                </w:r>
              </w:p>
            </w:tc>
            <w:tc>
              <w:tcPr>
                <w:tcW w:w="0" w:type="auto"/>
                <w:shd w:val="clear" w:color="auto" w:fill="auto"/>
                <w:vAlign w:val="center"/>
                <w:hideMark/>
              </w:tcPr>
              <w:p w14:paraId="7EFC89E9" w14:textId="2BBEF650" w:rsidR="00F83328" w:rsidRPr="009A46BB" w:rsidRDefault="00F83328" w:rsidP="00487FD4">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43.602.625 </w:t>
                </w:r>
              </w:p>
            </w:tc>
            <w:tc>
              <w:tcPr>
                <w:tcW w:w="0" w:type="auto"/>
                <w:shd w:val="clear" w:color="auto" w:fill="auto"/>
                <w:vAlign w:val="center"/>
                <w:hideMark/>
              </w:tcPr>
              <w:p w14:paraId="3943A176"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65.403.937</w:t>
                </w:r>
              </w:p>
            </w:tc>
            <w:tc>
              <w:tcPr>
                <w:tcW w:w="0" w:type="auto"/>
                <w:shd w:val="clear" w:color="auto" w:fill="auto"/>
                <w:vAlign w:val="center"/>
                <w:hideMark/>
              </w:tcPr>
              <w:p w14:paraId="72960268"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-21.801.312</w:t>
                </w:r>
              </w:p>
            </w:tc>
          </w:tr>
          <w:tr w:rsidR="00F83328" w:rsidRPr="00F83328" w14:paraId="143D24D2" w14:textId="77777777" w:rsidTr="007E5E34">
            <w:trPr>
              <w:trHeight w:val="340"/>
            </w:trPr>
            <w:tc>
              <w:tcPr>
                <w:tcW w:w="0" w:type="auto"/>
                <w:shd w:val="clear" w:color="auto" w:fill="auto"/>
                <w:vAlign w:val="center"/>
                <w:hideMark/>
              </w:tcPr>
              <w:p w14:paraId="66C675F2" w14:textId="77777777" w:rsidR="00F83328" w:rsidRPr="009A46BB" w:rsidRDefault="00F83328" w:rsidP="00F83328">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835000149</w:t>
                </w:r>
              </w:p>
            </w:tc>
            <w:tc>
              <w:tcPr>
                <w:tcW w:w="0" w:type="auto"/>
                <w:shd w:val="clear" w:color="auto" w:fill="auto"/>
                <w:vAlign w:val="center"/>
                <w:hideMark/>
              </w:tcPr>
              <w:p w14:paraId="66A7B707" w14:textId="77777777" w:rsidR="00F83328" w:rsidRPr="009A46BB" w:rsidRDefault="00F83328" w:rsidP="00F83328">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Sociedad Puerto Industrial Aguadulce S.A.</w:t>
                </w:r>
              </w:p>
            </w:tc>
            <w:tc>
              <w:tcPr>
                <w:tcW w:w="0" w:type="auto"/>
                <w:shd w:val="clear" w:color="auto" w:fill="auto"/>
                <w:vAlign w:val="center"/>
                <w:hideMark/>
              </w:tcPr>
              <w:p w14:paraId="4B2579E2" w14:textId="57FC2CE2" w:rsidR="00F83328" w:rsidRPr="009A46BB" w:rsidRDefault="00F83328" w:rsidP="00487FD4">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569.708.856.280 </w:t>
                </w:r>
              </w:p>
            </w:tc>
            <w:tc>
              <w:tcPr>
                <w:tcW w:w="0" w:type="auto"/>
                <w:shd w:val="clear" w:color="auto" w:fill="auto"/>
                <w:vAlign w:val="center"/>
                <w:hideMark/>
              </w:tcPr>
              <w:p w14:paraId="77C1B3FB"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599.937.552.223</w:t>
                </w:r>
              </w:p>
            </w:tc>
            <w:tc>
              <w:tcPr>
                <w:tcW w:w="0" w:type="auto"/>
                <w:shd w:val="clear" w:color="auto" w:fill="auto"/>
                <w:vAlign w:val="center"/>
                <w:hideMark/>
              </w:tcPr>
              <w:p w14:paraId="5D229F11"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-30.228.695.943</w:t>
                </w:r>
              </w:p>
            </w:tc>
          </w:tr>
          <w:tr w:rsidR="00F83328" w:rsidRPr="00F83328" w14:paraId="69A940FC" w14:textId="77777777" w:rsidTr="007E5E34">
            <w:trPr>
              <w:trHeight w:val="340"/>
            </w:trPr>
            <w:tc>
              <w:tcPr>
                <w:tcW w:w="0" w:type="auto"/>
                <w:shd w:val="clear" w:color="auto" w:fill="auto"/>
                <w:vAlign w:val="center"/>
                <w:hideMark/>
              </w:tcPr>
              <w:p w14:paraId="08BA575F" w14:textId="77777777" w:rsidR="00F83328" w:rsidRPr="009A46BB" w:rsidRDefault="00F83328" w:rsidP="00F83328">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839000348</w:t>
                </w:r>
              </w:p>
            </w:tc>
            <w:tc>
              <w:tcPr>
                <w:tcW w:w="0" w:type="auto"/>
                <w:shd w:val="clear" w:color="auto" w:fill="auto"/>
                <w:vAlign w:val="center"/>
                <w:hideMark/>
              </w:tcPr>
              <w:p w14:paraId="6FB68B22" w14:textId="77777777" w:rsidR="00F83328" w:rsidRPr="009A46BB" w:rsidRDefault="00F83328" w:rsidP="00F83328">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Sociedad Portuaria De La Península</w:t>
                </w:r>
              </w:p>
            </w:tc>
            <w:tc>
              <w:tcPr>
                <w:tcW w:w="0" w:type="auto"/>
                <w:shd w:val="clear" w:color="auto" w:fill="auto"/>
                <w:vAlign w:val="center"/>
                <w:hideMark/>
              </w:tcPr>
              <w:p w14:paraId="49049D53" w14:textId="0052C16F" w:rsidR="00F83328" w:rsidRPr="009A46BB" w:rsidRDefault="00F83328" w:rsidP="00487FD4">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285.293.215 </w:t>
                </w:r>
              </w:p>
            </w:tc>
            <w:tc>
              <w:tcPr>
                <w:tcW w:w="0" w:type="auto"/>
                <w:shd w:val="clear" w:color="auto" w:fill="auto"/>
                <w:vAlign w:val="center"/>
                <w:hideMark/>
              </w:tcPr>
              <w:p w14:paraId="51144A4D"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304.312.763</w:t>
                </w:r>
              </w:p>
            </w:tc>
            <w:tc>
              <w:tcPr>
                <w:tcW w:w="0" w:type="auto"/>
                <w:shd w:val="clear" w:color="auto" w:fill="auto"/>
                <w:vAlign w:val="center"/>
                <w:hideMark/>
              </w:tcPr>
              <w:p w14:paraId="12733AF3"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-19.019.548</w:t>
                </w:r>
              </w:p>
            </w:tc>
          </w:tr>
          <w:tr w:rsidR="00F83328" w:rsidRPr="00F83328" w14:paraId="2412057E" w14:textId="77777777" w:rsidTr="007E5E34">
            <w:trPr>
              <w:trHeight w:val="340"/>
            </w:trPr>
            <w:tc>
              <w:tcPr>
                <w:tcW w:w="0" w:type="auto"/>
                <w:shd w:val="clear" w:color="auto" w:fill="auto"/>
                <w:vAlign w:val="center"/>
                <w:hideMark/>
              </w:tcPr>
              <w:p w14:paraId="1D2EF30B" w14:textId="77777777" w:rsidR="00F83328" w:rsidRPr="009A46BB" w:rsidRDefault="00F83328" w:rsidP="00F83328">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840000082</w:t>
                </w:r>
              </w:p>
            </w:tc>
            <w:tc>
              <w:tcPr>
                <w:tcW w:w="0" w:type="auto"/>
                <w:shd w:val="clear" w:color="auto" w:fill="auto"/>
                <w:vAlign w:val="center"/>
                <w:hideMark/>
              </w:tcPr>
              <w:p w14:paraId="2D2EAB43" w14:textId="77777777" w:rsidR="00F83328" w:rsidRPr="009A46BB" w:rsidRDefault="00F83328" w:rsidP="00F83328">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Romero Y Burgos   CIA S En C</w:t>
                </w:r>
              </w:p>
            </w:tc>
            <w:tc>
              <w:tcPr>
                <w:tcW w:w="0" w:type="auto"/>
                <w:shd w:val="clear" w:color="auto" w:fill="auto"/>
                <w:vAlign w:val="center"/>
                <w:hideMark/>
              </w:tcPr>
              <w:p w14:paraId="726D0101" w14:textId="01D35EF3" w:rsidR="00F83328" w:rsidRPr="009A46BB" w:rsidRDefault="00F83328" w:rsidP="00487FD4">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12.549.584 </w:t>
                </w:r>
              </w:p>
            </w:tc>
            <w:tc>
              <w:tcPr>
                <w:tcW w:w="0" w:type="auto"/>
                <w:shd w:val="clear" w:color="auto" w:fill="auto"/>
                <w:vAlign w:val="center"/>
                <w:hideMark/>
              </w:tcPr>
              <w:p w14:paraId="5ACC7122"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13.943.982</w:t>
                </w:r>
              </w:p>
            </w:tc>
            <w:tc>
              <w:tcPr>
                <w:tcW w:w="0" w:type="auto"/>
                <w:shd w:val="clear" w:color="auto" w:fill="auto"/>
                <w:vAlign w:val="center"/>
                <w:hideMark/>
              </w:tcPr>
              <w:p w14:paraId="701D033C"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-1.394.398</w:t>
                </w:r>
              </w:p>
            </w:tc>
          </w:tr>
          <w:tr w:rsidR="00F83328" w:rsidRPr="00F83328" w14:paraId="4797817C" w14:textId="77777777" w:rsidTr="007E5E34">
            <w:trPr>
              <w:trHeight w:val="340"/>
            </w:trPr>
            <w:tc>
              <w:tcPr>
                <w:tcW w:w="0" w:type="auto"/>
                <w:shd w:val="clear" w:color="auto" w:fill="auto"/>
                <w:vAlign w:val="center"/>
                <w:hideMark/>
              </w:tcPr>
              <w:p w14:paraId="62696D71" w14:textId="77777777" w:rsidR="00F83328" w:rsidRPr="009A46BB" w:rsidRDefault="00F83328" w:rsidP="00F83328">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841000270</w:t>
                </w:r>
              </w:p>
            </w:tc>
            <w:tc>
              <w:tcPr>
                <w:tcW w:w="0" w:type="auto"/>
                <w:shd w:val="clear" w:color="auto" w:fill="auto"/>
                <w:vAlign w:val="center"/>
                <w:hideMark/>
              </w:tcPr>
              <w:p w14:paraId="01986A83" w14:textId="77777777" w:rsidR="00F83328" w:rsidRPr="009A46BB" w:rsidRDefault="00F83328" w:rsidP="00F83328">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Portuaria Punta De Vaca S.A.</w:t>
                </w:r>
              </w:p>
            </w:tc>
            <w:tc>
              <w:tcPr>
                <w:tcW w:w="0" w:type="auto"/>
                <w:shd w:val="clear" w:color="auto" w:fill="auto"/>
                <w:vAlign w:val="center"/>
                <w:hideMark/>
              </w:tcPr>
              <w:p w14:paraId="4F3ACAA0" w14:textId="24EE366B" w:rsidR="00F83328" w:rsidRPr="009A46BB" w:rsidRDefault="00F83328" w:rsidP="00487FD4">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86.358.774 </w:t>
                </w:r>
              </w:p>
            </w:tc>
            <w:tc>
              <w:tcPr>
                <w:tcW w:w="0" w:type="auto"/>
                <w:shd w:val="clear" w:color="auto" w:fill="auto"/>
                <w:vAlign w:val="center"/>
                <w:hideMark/>
              </w:tcPr>
              <w:p w14:paraId="1D7C4E52"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103.630.529</w:t>
                </w:r>
              </w:p>
            </w:tc>
            <w:tc>
              <w:tcPr>
                <w:tcW w:w="0" w:type="auto"/>
                <w:shd w:val="clear" w:color="auto" w:fill="auto"/>
                <w:vAlign w:val="center"/>
                <w:hideMark/>
              </w:tcPr>
              <w:p w14:paraId="44D557D6"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-17.271.755</w:t>
                </w:r>
              </w:p>
            </w:tc>
          </w:tr>
          <w:tr w:rsidR="00F83328" w:rsidRPr="00F83328" w14:paraId="3CDE324B" w14:textId="77777777" w:rsidTr="007E5E34">
            <w:trPr>
              <w:trHeight w:val="340"/>
            </w:trPr>
            <w:tc>
              <w:tcPr>
                <w:tcW w:w="0" w:type="auto"/>
                <w:shd w:val="clear" w:color="auto" w:fill="auto"/>
                <w:vAlign w:val="center"/>
                <w:hideMark/>
              </w:tcPr>
              <w:p w14:paraId="1A4F5C99" w14:textId="77777777" w:rsidR="00F83328" w:rsidRPr="009A46BB" w:rsidRDefault="00F83328" w:rsidP="00F83328">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860009873</w:t>
                </w:r>
              </w:p>
            </w:tc>
            <w:tc>
              <w:tcPr>
                <w:tcW w:w="0" w:type="auto"/>
                <w:shd w:val="clear" w:color="auto" w:fill="auto"/>
                <w:vAlign w:val="center"/>
                <w:hideMark/>
              </w:tcPr>
              <w:p w14:paraId="71A0184B" w14:textId="77777777" w:rsidR="00F83328" w:rsidRPr="009A46BB" w:rsidRDefault="00F83328" w:rsidP="00F83328">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Sociedad Portuaria Puerto Bahia S. A</w:t>
                </w:r>
              </w:p>
            </w:tc>
            <w:tc>
              <w:tcPr>
                <w:tcW w:w="0" w:type="auto"/>
                <w:shd w:val="clear" w:color="auto" w:fill="auto"/>
                <w:vAlign w:val="center"/>
                <w:hideMark/>
              </w:tcPr>
              <w:p w14:paraId="25D0F6B9" w14:textId="705B13C5" w:rsidR="00F83328" w:rsidRPr="009A46BB" w:rsidRDefault="00F83328" w:rsidP="00487FD4">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117.671.305.300 </w:t>
                </w:r>
              </w:p>
            </w:tc>
            <w:tc>
              <w:tcPr>
                <w:tcW w:w="0" w:type="auto"/>
                <w:shd w:val="clear" w:color="auto" w:fill="auto"/>
                <w:vAlign w:val="center"/>
                <w:hideMark/>
              </w:tcPr>
              <w:p w14:paraId="5C95EC40"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132.380.218.463</w:t>
                </w:r>
              </w:p>
            </w:tc>
            <w:tc>
              <w:tcPr>
                <w:tcW w:w="0" w:type="auto"/>
                <w:shd w:val="clear" w:color="auto" w:fill="auto"/>
                <w:vAlign w:val="center"/>
                <w:hideMark/>
              </w:tcPr>
              <w:p w14:paraId="7E95334E"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-14.708.913.163</w:t>
                </w:r>
              </w:p>
            </w:tc>
          </w:tr>
          <w:tr w:rsidR="00F83328" w:rsidRPr="00F83328" w14:paraId="1E124CD2" w14:textId="77777777" w:rsidTr="007E5E34">
            <w:trPr>
              <w:trHeight w:val="340"/>
            </w:trPr>
            <w:tc>
              <w:tcPr>
                <w:tcW w:w="0" w:type="auto"/>
                <w:shd w:val="clear" w:color="auto" w:fill="auto"/>
                <w:vAlign w:val="center"/>
                <w:hideMark/>
              </w:tcPr>
              <w:p w14:paraId="333C43EF" w14:textId="77777777" w:rsidR="00F83328" w:rsidRPr="009A46BB" w:rsidRDefault="00F83328" w:rsidP="00F83328">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860040201</w:t>
                </w:r>
              </w:p>
            </w:tc>
            <w:tc>
              <w:tcPr>
                <w:tcW w:w="0" w:type="auto"/>
                <w:shd w:val="clear" w:color="auto" w:fill="auto"/>
                <w:vAlign w:val="center"/>
                <w:hideMark/>
              </w:tcPr>
              <w:p w14:paraId="2A06F5C0" w14:textId="77777777" w:rsidR="00F83328" w:rsidRPr="009A46BB" w:rsidRDefault="00F83328" w:rsidP="00F83328">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Vopak Colombia S. A</w:t>
                </w:r>
              </w:p>
            </w:tc>
            <w:tc>
              <w:tcPr>
                <w:tcW w:w="0" w:type="auto"/>
                <w:shd w:val="clear" w:color="auto" w:fill="auto"/>
                <w:vAlign w:val="center"/>
                <w:hideMark/>
              </w:tcPr>
              <w:p w14:paraId="680E9CFE" w14:textId="71126439" w:rsidR="00F83328" w:rsidRPr="009A46BB" w:rsidRDefault="00F83328" w:rsidP="00487FD4">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1.691.618.160 </w:t>
                </w:r>
              </w:p>
            </w:tc>
            <w:tc>
              <w:tcPr>
                <w:tcW w:w="0" w:type="auto"/>
                <w:shd w:val="clear" w:color="auto" w:fill="auto"/>
                <w:vAlign w:val="center"/>
                <w:hideMark/>
              </w:tcPr>
              <w:p w14:paraId="13A998BD"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2.069.216.364</w:t>
                </w:r>
              </w:p>
            </w:tc>
            <w:tc>
              <w:tcPr>
                <w:tcW w:w="0" w:type="auto"/>
                <w:shd w:val="clear" w:color="auto" w:fill="auto"/>
                <w:vAlign w:val="center"/>
                <w:hideMark/>
              </w:tcPr>
              <w:p w14:paraId="6C5543AE"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-377.598.204</w:t>
                </w:r>
              </w:p>
            </w:tc>
          </w:tr>
          <w:tr w:rsidR="00F83328" w:rsidRPr="00F83328" w14:paraId="6A230F96" w14:textId="77777777" w:rsidTr="007E5E34">
            <w:trPr>
              <w:trHeight w:val="340"/>
            </w:trPr>
            <w:tc>
              <w:tcPr>
                <w:tcW w:w="0" w:type="auto"/>
                <w:shd w:val="clear" w:color="auto" w:fill="auto"/>
                <w:vAlign w:val="center"/>
                <w:hideMark/>
              </w:tcPr>
              <w:p w14:paraId="3F19C944" w14:textId="77777777" w:rsidR="00F83328" w:rsidRPr="009A46BB" w:rsidRDefault="00F83328" w:rsidP="00F83328">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860053976</w:t>
                </w:r>
              </w:p>
            </w:tc>
            <w:tc>
              <w:tcPr>
                <w:tcW w:w="0" w:type="auto"/>
                <w:shd w:val="clear" w:color="auto" w:fill="auto"/>
                <w:vAlign w:val="center"/>
                <w:hideMark/>
              </w:tcPr>
              <w:p w14:paraId="5B4AF949" w14:textId="77777777" w:rsidR="00F83328" w:rsidRPr="009A46BB" w:rsidRDefault="00F83328" w:rsidP="00F83328">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Algranel S.A.</w:t>
                </w:r>
              </w:p>
            </w:tc>
            <w:tc>
              <w:tcPr>
                <w:tcW w:w="0" w:type="auto"/>
                <w:shd w:val="clear" w:color="auto" w:fill="auto"/>
                <w:vAlign w:val="center"/>
                <w:hideMark/>
              </w:tcPr>
              <w:p w14:paraId="664A5F93" w14:textId="699BE20E" w:rsidR="00F83328" w:rsidRPr="009A46BB" w:rsidRDefault="00F83328" w:rsidP="00487FD4">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22.583.648.220 </w:t>
                </w:r>
              </w:p>
            </w:tc>
            <w:tc>
              <w:tcPr>
                <w:tcW w:w="0" w:type="auto"/>
                <w:shd w:val="clear" w:color="auto" w:fill="auto"/>
                <w:vAlign w:val="center"/>
                <w:hideMark/>
              </w:tcPr>
              <w:p w14:paraId="4E41867C"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19.230.021.487</w:t>
                </w:r>
              </w:p>
            </w:tc>
            <w:tc>
              <w:tcPr>
                <w:tcW w:w="0" w:type="auto"/>
                <w:shd w:val="clear" w:color="auto" w:fill="auto"/>
                <w:vAlign w:val="center"/>
                <w:hideMark/>
              </w:tcPr>
              <w:p w14:paraId="42D11518"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3.353.626.733</w:t>
                </w:r>
              </w:p>
            </w:tc>
          </w:tr>
          <w:tr w:rsidR="00F83328" w:rsidRPr="00F83328" w14:paraId="2B2918C4" w14:textId="77777777" w:rsidTr="007E5E34">
            <w:trPr>
              <w:trHeight w:val="340"/>
            </w:trPr>
            <w:tc>
              <w:tcPr>
                <w:tcW w:w="0" w:type="auto"/>
                <w:shd w:val="clear" w:color="auto" w:fill="auto"/>
                <w:vAlign w:val="center"/>
                <w:hideMark/>
              </w:tcPr>
              <w:p w14:paraId="5E19CD79" w14:textId="77777777" w:rsidR="00F83328" w:rsidRPr="009A46BB" w:rsidRDefault="00F83328" w:rsidP="00F83328">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890106493</w:t>
                </w:r>
              </w:p>
            </w:tc>
            <w:tc>
              <w:tcPr>
                <w:tcW w:w="0" w:type="auto"/>
                <w:shd w:val="clear" w:color="auto" w:fill="auto"/>
                <w:vAlign w:val="center"/>
                <w:hideMark/>
              </w:tcPr>
              <w:p w14:paraId="1EEC8EF3" w14:textId="77777777" w:rsidR="00F83328" w:rsidRPr="009A46BB" w:rsidRDefault="00F83328" w:rsidP="00F83328">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Transpetrol Ltda.</w:t>
                </w:r>
              </w:p>
            </w:tc>
            <w:tc>
              <w:tcPr>
                <w:tcW w:w="0" w:type="auto"/>
                <w:shd w:val="clear" w:color="auto" w:fill="auto"/>
                <w:vAlign w:val="center"/>
                <w:hideMark/>
              </w:tcPr>
              <w:p w14:paraId="7434BAA5" w14:textId="1C3C1CF6" w:rsidR="00F83328" w:rsidRPr="009A46BB" w:rsidRDefault="00F83328" w:rsidP="00487FD4">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62.570.831 </w:t>
                </w:r>
              </w:p>
            </w:tc>
            <w:tc>
              <w:tcPr>
                <w:tcW w:w="0" w:type="auto"/>
                <w:shd w:val="clear" w:color="auto" w:fill="auto"/>
                <w:vAlign w:val="center"/>
                <w:hideMark/>
              </w:tcPr>
              <w:p w14:paraId="25E938E4"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69.523.146</w:t>
                </w:r>
              </w:p>
            </w:tc>
            <w:tc>
              <w:tcPr>
                <w:tcW w:w="0" w:type="auto"/>
                <w:shd w:val="clear" w:color="auto" w:fill="auto"/>
                <w:vAlign w:val="center"/>
                <w:hideMark/>
              </w:tcPr>
              <w:p w14:paraId="7F383A7F"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-6.952.315</w:t>
                </w:r>
              </w:p>
            </w:tc>
          </w:tr>
          <w:tr w:rsidR="00F83328" w:rsidRPr="00F83328" w14:paraId="43890D50" w14:textId="77777777" w:rsidTr="007E5E34">
            <w:trPr>
              <w:trHeight w:val="340"/>
            </w:trPr>
            <w:tc>
              <w:tcPr>
                <w:tcW w:w="0" w:type="auto"/>
                <w:shd w:val="clear" w:color="auto" w:fill="auto"/>
                <w:vAlign w:val="center"/>
                <w:hideMark/>
              </w:tcPr>
              <w:p w14:paraId="62A7F024" w14:textId="77777777" w:rsidR="00F83328" w:rsidRPr="009A46BB" w:rsidRDefault="00F83328" w:rsidP="00F83328">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890401435</w:t>
                </w:r>
              </w:p>
            </w:tc>
            <w:tc>
              <w:tcPr>
                <w:tcW w:w="0" w:type="auto"/>
                <w:shd w:val="clear" w:color="auto" w:fill="auto"/>
                <w:vAlign w:val="center"/>
                <w:hideMark/>
              </w:tcPr>
              <w:p w14:paraId="5FB48638" w14:textId="77777777" w:rsidR="00F83328" w:rsidRPr="009A46BB" w:rsidRDefault="00F83328" w:rsidP="00F83328">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Sociedad Portuaria Operadora Internacional S.A..</w:t>
                </w:r>
              </w:p>
            </w:tc>
            <w:tc>
              <w:tcPr>
                <w:tcW w:w="0" w:type="auto"/>
                <w:shd w:val="clear" w:color="auto" w:fill="auto"/>
                <w:vAlign w:val="center"/>
                <w:hideMark/>
              </w:tcPr>
              <w:p w14:paraId="2B8DF6D3" w14:textId="492FD618" w:rsidR="00F83328" w:rsidRPr="009A46BB" w:rsidRDefault="00F83328" w:rsidP="00487FD4">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2.729.288.473 </w:t>
                </w:r>
              </w:p>
            </w:tc>
            <w:tc>
              <w:tcPr>
                <w:tcW w:w="0" w:type="auto"/>
                <w:shd w:val="clear" w:color="auto" w:fill="auto"/>
                <w:vAlign w:val="center"/>
                <w:hideMark/>
              </w:tcPr>
              <w:p w14:paraId="0042C663"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2.989.220.708</w:t>
                </w:r>
              </w:p>
            </w:tc>
            <w:tc>
              <w:tcPr>
                <w:tcW w:w="0" w:type="auto"/>
                <w:shd w:val="clear" w:color="auto" w:fill="auto"/>
                <w:vAlign w:val="center"/>
                <w:hideMark/>
              </w:tcPr>
              <w:p w14:paraId="1CC16D41"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-259.932.235</w:t>
                </w:r>
              </w:p>
            </w:tc>
          </w:tr>
          <w:tr w:rsidR="00F83328" w:rsidRPr="00F83328" w14:paraId="2789293F" w14:textId="77777777" w:rsidTr="007E5E34">
            <w:trPr>
              <w:trHeight w:val="340"/>
            </w:trPr>
            <w:tc>
              <w:tcPr>
                <w:tcW w:w="0" w:type="auto"/>
                <w:shd w:val="clear" w:color="auto" w:fill="auto"/>
                <w:vAlign w:val="center"/>
                <w:hideMark/>
              </w:tcPr>
              <w:p w14:paraId="7BD08ED9" w14:textId="77777777" w:rsidR="00F83328" w:rsidRPr="009A46BB" w:rsidRDefault="00F83328" w:rsidP="00F83328">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899999068</w:t>
                </w:r>
              </w:p>
            </w:tc>
            <w:tc>
              <w:tcPr>
                <w:tcW w:w="0" w:type="auto"/>
                <w:shd w:val="clear" w:color="auto" w:fill="auto"/>
                <w:vAlign w:val="center"/>
                <w:hideMark/>
              </w:tcPr>
              <w:p w14:paraId="0B052467" w14:textId="77777777" w:rsidR="00F83328" w:rsidRPr="009A46BB" w:rsidRDefault="00F83328" w:rsidP="00F83328">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Ecopetrol S A</w:t>
                </w:r>
              </w:p>
            </w:tc>
            <w:tc>
              <w:tcPr>
                <w:tcW w:w="0" w:type="auto"/>
                <w:shd w:val="clear" w:color="auto" w:fill="auto"/>
                <w:vAlign w:val="center"/>
                <w:hideMark/>
              </w:tcPr>
              <w:p w14:paraId="5F5249C6" w14:textId="4B35308F" w:rsidR="00F83328" w:rsidRPr="009A46BB" w:rsidRDefault="00F83328" w:rsidP="00487FD4">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142.995.178.772 </w:t>
                </w:r>
              </w:p>
            </w:tc>
            <w:tc>
              <w:tcPr>
                <w:tcW w:w="0" w:type="auto"/>
                <w:shd w:val="clear" w:color="auto" w:fill="auto"/>
                <w:vAlign w:val="center"/>
                <w:hideMark/>
              </w:tcPr>
              <w:p w14:paraId="72E52045"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100.312.153.713</w:t>
                </w:r>
              </w:p>
            </w:tc>
            <w:tc>
              <w:tcPr>
                <w:tcW w:w="0" w:type="auto"/>
                <w:shd w:val="clear" w:color="auto" w:fill="auto"/>
                <w:vAlign w:val="center"/>
                <w:hideMark/>
              </w:tcPr>
              <w:p w14:paraId="5B13F41F"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42.683.025.059</w:t>
                </w:r>
              </w:p>
            </w:tc>
          </w:tr>
          <w:tr w:rsidR="00F83328" w:rsidRPr="00F83328" w14:paraId="55E70252" w14:textId="77777777" w:rsidTr="007E5E34">
            <w:trPr>
              <w:trHeight w:val="340"/>
            </w:trPr>
            <w:tc>
              <w:tcPr>
                <w:tcW w:w="0" w:type="auto"/>
                <w:shd w:val="clear" w:color="auto" w:fill="auto"/>
                <w:vAlign w:val="center"/>
                <w:hideMark/>
              </w:tcPr>
              <w:p w14:paraId="54002383" w14:textId="77777777" w:rsidR="00F83328" w:rsidRPr="009A46BB" w:rsidRDefault="00F83328" w:rsidP="00F83328">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899999162</w:t>
                </w:r>
              </w:p>
            </w:tc>
            <w:tc>
              <w:tcPr>
                <w:tcW w:w="0" w:type="auto"/>
                <w:shd w:val="clear" w:color="auto" w:fill="auto"/>
                <w:vAlign w:val="center"/>
                <w:hideMark/>
              </w:tcPr>
              <w:p w14:paraId="245F3953" w14:textId="77777777" w:rsidR="00F83328" w:rsidRPr="009A46BB" w:rsidRDefault="00F83328" w:rsidP="00F83328">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Agencia logística De Las Fuerzas Militares</w:t>
                </w:r>
              </w:p>
            </w:tc>
            <w:tc>
              <w:tcPr>
                <w:tcW w:w="0" w:type="auto"/>
                <w:shd w:val="clear" w:color="auto" w:fill="auto"/>
                <w:vAlign w:val="center"/>
                <w:hideMark/>
              </w:tcPr>
              <w:p w14:paraId="7426EBBB" w14:textId="5294AF9F" w:rsidR="00F83328" w:rsidRPr="009A46BB" w:rsidRDefault="00F83328" w:rsidP="00487FD4">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57.433.671 </w:t>
                </w:r>
              </w:p>
            </w:tc>
            <w:tc>
              <w:tcPr>
                <w:tcW w:w="0" w:type="auto"/>
                <w:shd w:val="clear" w:color="auto" w:fill="auto"/>
                <w:vAlign w:val="center"/>
                <w:hideMark/>
              </w:tcPr>
              <w:p w14:paraId="142E692F"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114.867.342</w:t>
                </w:r>
              </w:p>
            </w:tc>
            <w:tc>
              <w:tcPr>
                <w:tcW w:w="0" w:type="auto"/>
                <w:shd w:val="clear" w:color="auto" w:fill="auto"/>
                <w:vAlign w:val="center"/>
                <w:hideMark/>
              </w:tcPr>
              <w:p w14:paraId="5385FA7A"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-57.433.671</w:t>
                </w:r>
              </w:p>
            </w:tc>
          </w:tr>
          <w:tr w:rsidR="00F83328" w:rsidRPr="00F83328" w14:paraId="19610D72" w14:textId="77777777" w:rsidTr="007E5E34">
            <w:trPr>
              <w:trHeight w:val="340"/>
            </w:trPr>
            <w:tc>
              <w:tcPr>
                <w:tcW w:w="0" w:type="auto"/>
                <w:shd w:val="clear" w:color="auto" w:fill="auto"/>
                <w:vAlign w:val="center"/>
                <w:hideMark/>
              </w:tcPr>
              <w:p w14:paraId="1A50E220" w14:textId="77777777" w:rsidR="00F83328" w:rsidRPr="009A46BB" w:rsidRDefault="00F83328" w:rsidP="00F83328">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900096574</w:t>
                </w:r>
              </w:p>
            </w:tc>
            <w:tc>
              <w:tcPr>
                <w:tcW w:w="0" w:type="auto"/>
                <w:shd w:val="clear" w:color="auto" w:fill="auto"/>
                <w:vAlign w:val="center"/>
                <w:hideMark/>
              </w:tcPr>
              <w:p w14:paraId="2BFFB367" w14:textId="77777777" w:rsidR="00F83328" w:rsidRPr="009A46BB" w:rsidRDefault="00F83328" w:rsidP="00F83328">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Puerto Brisa S.A.</w:t>
                </w:r>
              </w:p>
            </w:tc>
            <w:tc>
              <w:tcPr>
                <w:tcW w:w="0" w:type="auto"/>
                <w:shd w:val="clear" w:color="auto" w:fill="auto"/>
                <w:vAlign w:val="center"/>
                <w:hideMark/>
              </w:tcPr>
              <w:p w14:paraId="0B923EBA" w14:textId="2EAA7C72" w:rsidR="00F83328" w:rsidRPr="009A46BB" w:rsidRDefault="00F83328" w:rsidP="00487FD4">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88.559.592.405 </w:t>
                </w:r>
              </w:p>
            </w:tc>
            <w:tc>
              <w:tcPr>
                <w:tcW w:w="0" w:type="auto"/>
                <w:shd w:val="clear" w:color="auto" w:fill="auto"/>
                <w:vAlign w:val="center"/>
                <w:hideMark/>
              </w:tcPr>
              <w:p w14:paraId="047D23EA"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93.768.980.194</w:t>
                </w:r>
              </w:p>
            </w:tc>
            <w:tc>
              <w:tcPr>
                <w:tcW w:w="0" w:type="auto"/>
                <w:shd w:val="clear" w:color="auto" w:fill="auto"/>
                <w:vAlign w:val="center"/>
                <w:hideMark/>
              </w:tcPr>
              <w:p w14:paraId="4FD78047"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-5.209.387.789</w:t>
                </w:r>
              </w:p>
            </w:tc>
          </w:tr>
          <w:tr w:rsidR="00F83328" w:rsidRPr="00F83328" w14:paraId="43A98D66" w14:textId="77777777" w:rsidTr="007E5E34">
            <w:trPr>
              <w:trHeight w:val="340"/>
            </w:trPr>
            <w:tc>
              <w:tcPr>
                <w:tcW w:w="0" w:type="auto"/>
                <w:shd w:val="clear" w:color="auto" w:fill="auto"/>
                <w:vAlign w:val="center"/>
                <w:hideMark/>
              </w:tcPr>
              <w:p w14:paraId="3B4D863C" w14:textId="77777777" w:rsidR="00F83328" w:rsidRPr="009A46BB" w:rsidRDefault="00F83328" w:rsidP="00F83328">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900106818</w:t>
                </w:r>
              </w:p>
            </w:tc>
            <w:tc>
              <w:tcPr>
                <w:tcW w:w="0" w:type="auto"/>
                <w:shd w:val="clear" w:color="auto" w:fill="auto"/>
                <w:vAlign w:val="center"/>
                <w:hideMark/>
              </w:tcPr>
              <w:p w14:paraId="28239200" w14:textId="77777777" w:rsidR="00F83328" w:rsidRPr="009A46BB" w:rsidRDefault="00F83328" w:rsidP="00F83328">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Sociedad Portuaria Bavaria S.A.</w:t>
                </w:r>
              </w:p>
            </w:tc>
            <w:tc>
              <w:tcPr>
                <w:tcW w:w="0" w:type="auto"/>
                <w:shd w:val="clear" w:color="auto" w:fill="auto"/>
                <w:vAlign w:val="center"/>
                <w:hideMark/>
              </w:tcPr>
              <w:p w14:paraId="77A4DA8B" w14:textId="1DC94A24" w:rsidR="00F83328" w:rsidRPr="009A46BB" w:rsidRDefault="00F83328" w:rsidP="00487FD4">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6.145.536.077 </w:t>
                </w:r>
              </w:p>
            </w:tc>
            <w:tc>
              <w:tcPr>
                <w:tcW w:w="0" w:type="auto"/>
                <w:shd w:val="clear" w:color="auto" w:fill="auto"/>
                <w:vAlign w:val="center"/>
                <w:hideMark/>
              </w:tcPr>
              <w:p w14:paraId="0A6110D1"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7.164.750.807</w:t>
                </w:r>
              </w:p>
            </w:tc>
            <w:tc>
              <w:tcPr>
                <w:tcW w:w="0" w:type="auto"/>
                <w:shd w:val="clear" w:color="auto" w:fill="auto"/>
                <w:vAlign w:val="center"/>
                <w:hideMark/>
              </w:tcPr>
              <w:p w14:paraId="48CEE164"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-1.019.214.730</w:t>
                </w:r>
              </w:p>
            </w:tc>
          </w:tr>
          <w:tr w:rsidR="00F83328" w:rsidRPr="00F83328" w14:paraId="43144B4B" w14:textId="77777777" w:rsidTr="007E5E34">
            <w:trPr>
              <w:trHeight w:val="340"/>
            </w:trPr>
            <w:tc>
              <w:tcPr>
                <w:tcW w:w="0" w:type="auto"/>
                <w:shd w:val="clear" w:color="auto" w:fill="auto"/>
                <w:vAlign w:val="center"/>
                <w:hideMark/>
              </w:tcPr>
              <w:p w14:paraId="5AA25440" w14:textId="77777777" w:rsidR="00F83328" w:rsidRPr="009A46BB" w:rsidRDefault="00F83328" w:rsidP="00F83328">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900112515</w:t>
                </w:r>
              </w:p>
            </w:tc>
            <w:tc>
              <w:tcPr>
                <w:tcW w:w="0" w:type="auto"/>
                <w:shd w:val="clear" w:color="auto" w:fill="auto"/>
                <w:vAlign w:val="center"/>
                <w:hideMark/>
              </w:tcPr>
              <w:p w14:paraId="2086FF0F" w14:textId="77777777" w:rsidR="00F83328" w:rsidRPr="009A46BB" w:rsidRDefault="00F83328" w:rsidP="00F83328">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Refinería De Cartagena S.A.S</w:t>
                </w:r>
              </w:p>
            </w:tc>
            <w:tc>
              <w:tcPr>
                <w:tcW w:w="0" w:type="auto"/>
                <w:shd w:val="clear" w:color="auto" w:fill="auto"/>
                <w:vAlign w:val="center"/>
                <w:hideMark/>
              </w:tcPr>
              <w:p w14:paraId="75F393D3" w14:textId="4073F27D" w:rsidR="00F83328" w:rsidRPr="009A46BB" w:rsidRDefault="00F83328" w:rsidP="00487FD4">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7.469.497.492 </w:t>
                </w:r>
              </w:p>
            </w:tc>
            <w:tc>
              <w:tcPr>
                <w:tcW w:w="0" w:type="auto"/>
                <w:shd w:val="clear" w:color="auto" w:fill="auto"/>
                <w:vAlign w:val="center"/>
                <w:hideMark/>
              </w:tcPr>
              <w:p w14:paraId="1C7AFA65"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8.091.955.616</w:t>
                </w:r>
              </w:p>
            </w:tc>
            <w:tc>
              <w:tcPr>
                <w:tcW w:w="0" w:type="auto"/>
                <w:shd w:val="clear" w:color="auto" w:fill="auto"/>
                <w:vAlign w:val="center"/>
                <w:hideMark/>
              </w:tcPr>
              <w:p w14:paraId="34E4A82B"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-622.458.124</w:t>
                </w:r>
              </w:p>
            </w:tc>
          </w:tr>
          <w:tr w:rsidR="00F83328" w:rsidRPr="00F83328" w14:paraId="391CFDC0" w14:textId="77777777" w:rsidTr="007E5E34">
            <w:trPr>
              <w:trHeight w:val="340"/>
            </w:trPr>
            <w:tc>
              <w:tcPr>
                <w:tcW w:w="0" w:type="auto"/>
                <w:shd w:val="clear" w:color="auto" w:fill="auto"/>
                <w:vAlign w:val="center"/>
                <w:hideMark/>
              </w:tcPr>
              <w:p w14:paraId="7C9955A2" w14:textId="77777777" w:rsidR="00F83328" w:rsidRPr="009A46BB" w:rsidRDefault="00F83328" w:rsidP="00F83328">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900135202</w:t>
                </w:r>
              </w:p>
            </w:tc>
            <w:tc>
              <w:tcPr>
                <w:tcW w:w="0" w:type="auto"/>
                <w:shd w:val="clear" w:color="auto" w:fill="auto"/>
                <w:vAlign w:val="center"/>
                <w:hideMark/>
              </w:tcPr>
              <w:p w14:paraId="21771C71" w14:textId="77777777" w:rsidR="00F83328" w:rsidRPr="009A46BB" w:rsidRDefault="00F83328" w:rsidP="00F83328">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Petróleos Y Derivados De Colombia S.A.</w:t>
                </w:r>
              </w:p>
            </w:tc>
            <w:tc>
              <w:tcPr>
                <w:tcW w:w="0" w:type="auto"/>
                <w:shd w:val="clear" w:color="auto" w:fill="auto"/>
                <w:vAlign w:val="center"/>
                <w:hideMark/>
              </w:tcPr>
              <w:p w14:paraId="718AE6CD" w14:textId="06128FB5" w:rsidR="00F83328" w:rsidRPr="009A46BB" w:rsidRDefault="00F83328" w:rsidP="00487FD4">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400.048.745 </w:t>
                </w:r>
              </w:p>
            </w:tc>
            <w:tc>
              <w:tcPr>
                <w:tcW w:w="0" w:type="auto"/>
                <w:shd w:val="clear" w:color="auto" w:fill="auto"/>
                <w:vAlign w:val="center"/>
                <w:hideMark/>
              </w:tcPr>
              <w:p w14:paraId="78C538CF"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298.992.322</w:t>
                </w:r>
              </w:p>
            </w:tc>
            <w:tc>
              <w:tcPr>
                <w:tcW w:w="0" w:type="auto"/>
                <w:shd w:val="clear" w:color="auto" w:fill="auto"/>
                <w:vAlign w:val="center"/>
                <w:hideMark/>
              </w:tcPr>
              <w:p w14:paraId="41216498"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101.056.423</w:t>
                </w:r>
              </w:p>
            </w:tc>
          </w:tr>
          <w:tr w:rsidR="00F83328" w:rsidRPr="00F83328" w14:paraId="50F538C7" w14:textId="77777777" w:rsidTr="007E5E34">
            <w:trPr>
              <w:trHeight w:val="340"/>
            </w:trPr>
            <w:tc>
              <w:tcPr>
                <w:tcW w:w="0" w:type="auto"/>
                <w:shd w:val="clear" w:color="auto" w:fill="auto"/>
                <w:vAlign w:val="center"/>
                <w:hideMark/>
              </w:tcPr>
              <w:p w14:paraId="283F831F" w14:textId="77777777" w:rsidR="00F83328" w:rsidRPr="009A46BB" w:rsidRDefault="00F83328" w:rsidP="00F83328">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900162335</w:t>
                </w:r>
              </w:p>
            </w:tc>
            <w:tc>
              <w:tcPr>
                <w:tcW w:w="0" w:type="auto"/>
                <w:shd w:val="clear" w:color="auto" w:fill="auto"/>
                <w:vAlign w:val="center"/>
                <w:hideMark/>
              </w:tcPr>
              <w:p w14:paraId="279603F8" w14:textId="77777777" w:rsidR="00F83328" w:rsidRPr="009A46BB" w:rsidRDefault="00F83328" w:rsidP="00F83328">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Sociedad Portuaria Dexton S.A.</w:t>
                </w:r>
              </w:p>
            </w:tc>
            <w:tc>
              <w:tcPr>
                <w:tcW w:w="0" w:type="auto"/>
                <w:shd w:val="clear" w:color="auto" w:fill="auto"/>
                <w:vAlign w:val="center"/>
                <w:hideMark/>
              </w:tcPr>
              <w:p w14:paraId="4123146A" w14:textId="111FD777" w:rsidR="00F83328" w:rsidRPr="009A46BB" w:rsidRDefault="00F83328" w:rsidP="00487FD4">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1.876.608.842 </w:t>
                </w:r>
              </w:p>
            </w:tc>
            <w:tc>
              <w:tcPr>
                <w:tcW w:w="0" w:type="auto"/>
                <w:shd w:val="clear" w:color="auto" w:fill="auto"/>
                <w:vAlign w:val="center"/>
                <w:hideMark/>
              </w:tcPr>
              <w:p w14:paraId="79D2FFBF"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2.111.184.948</w:t>
                </w:r>
              </w:p>
            </w:tc>
            <w:tc>
              <w:tcPr>
                <w:tcW w:w="0" w:type="auto"/>
                <w:shd w:val="clear" w:color="auto" w:fill="auto"/>
                <w:vAlign w:val="center"/>
                <w:hideMark/>
              </w:tcPr>
              <w:p w14:paraId="2EAA290A"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-234.576.106</w:t>
                </w:r>
              </w:p>
            </w:tc>
          </w:tr>
          <w:tr w:rsidR="00F83328" w:rsidRPr="00F83328" w14:paraId="2D3C6653" w14:textId="77777777" w:rsidTr="007E5E34">
            <w:trPr>
              <w:trHeight w:val="340"/>
            </w:trPr>
            <w:tc>
              <w:tcPr>
                <w:tcW w:w="0" w:type="auto"/>
                <w:shd w:val="clear" w:color="auto" w:fill="auto"/>
                <w:vAlign w:val="center"/>
                <w:hideMark/>
              </w:tcPr>
              <w:p w14:paraId="6A900375" w14:textId="77777777" w:rsidR="00F83328" w:rsidRPr="009A46BB" w:rsidRDefault="00F83328" w:rsidP="00F83328">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900164755</w:t>
                </w:r>
              </w:p>
            </w:tc>
            <w:tc>
              <w:tcPr>
                <w:tcW w:w="0" w:type="auto"/>
                <w:shd w:val="clear" w:color="auto" w:fill="auto"/>
                <w:vAlign w:val="center"/>
                <w:hideMark/>
              </w:tcPr>
              <w:p w14:paraId="31E17F30" w14:textId="77777777" w:rsidR="00F83328" w:rsidRPr="009A46BB" w:rsidRDefault="00F83328" w:rsidP="00F83328">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Zona Franca Argos S.A.S.</w:t>
                </w:r>
              </w:p>
            </w:tc>
            <w:tc>
              <w:tcPr>
                <w:tcW w:w="0" w:type="auto"/>
                <w:shd w:val="clear" w:color="auto" w:fill="auto"/>
                <w:vAlign w:val="center"/>
                <w:hideMark/>
              </w:tcPr>
              <w:p w14:paraId="32D92C8E" w14:textId="0D99B95D" w:rsidR="00F83328" w:rsidRPr="009A46BB" w:rsidRDefault="00F83328" w:rsidP="00487FD4">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99.607.973.069 </w:t>
                </w:r>
              </w:p>
            </w:tc>
            <w:tc>
              <w:tcPr>
                <w:tcW w:w="0" w:type="auto"/>
                <w:shd w:val="clear" w:color="auto" w:fill="auto"/>
                <w:vAlign w:val="center"/>
                <w:hideMark/>
              </w:tcPr>
              <w:p w14:paraId="508F0E70"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71.560.351.917</w:t>
                </w:r>
              </w:p>
            </w:tc>
            <w:tc>
              <w:tcPr>
                <w:tcW w:w="0" w:type="auto"/>
                <w:shd w:val="clear" w:color="auto" w:fill="auto"/>
                <w:vAlign w:val="center"/>
                <w:hideMark/>
              </w:tcPr>
              <w:p w14:paraId="1B29CA23"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28.047.621.152</w:t>
                </w:r>
              </w:p>
            </w:tc>
          </w:tr>
          <w:tr w:rsidR="00F83328" w:rsidRPr="00F83328" w14:paraId="2646FFAF" w14:textId="77777777" w:rsidTr="007E5E34">
            <w:trPr>
              <w:trHeight w:val="340"/>
            </w:trPr>
            <w:tc>
              <w:tcPr>
                <w:tcW w:w="0" w:type="auto"/>
                <w:shd w:val="clear" w:color="auto" w:fill="auto"/>
                <w:vAlign w:val="center"/>
                <w:hideMark/>
              </w:tcPr>
              <w:p w14:paraId="012E4E2E" w14:textId="77777777" w:rsidR="00F83328" w:rsidRPr="009A46BB" w:rsidRDefault="00F83328" w:rsidP="00F83328">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900188593</w:t>
                </w:r>
              </w:p>
            </w:tc>
            <w:tc>
              <w:tcPr>
                <w:tcW w:w="0" w:type="auto"/>
                <w:shd w:val="clear" w:color="auto" w:fill="auto"/>
                <w:vAlign w:val="center"/>
                <w:hideMark/>
              </w:tcPr>
              <w:p w14:paraId="6879EDE3" w14:textId="77777777" w:rsidR="00F83328" w:rsidRPr="009A46BB" w:rsidRDefault="00F83328" w:rsidP="00F83328">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Puerto Bahia Colombia De Uraba Sa</w:t>
                </w:r>
              </w:p>
            </w:tc>
            <w:tc>
              <w:tcPr>
                <w:tcW w:w="0" w:type="auto"/>
                <w:shd w:val="clear" w:color="auto" w:fill="auto"/>
                <w:vAlign w:val="center"/>
                <w:hideMark/>
              </w:tcPr>
              <w:p w14:paraId="28A7F9A1" w14:textId="456860BC" w:rsidR="00F83328" w:rsidRPr="009A46BB" w:rsidRDefault="00F83328" w:rsidP="00487FD4">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880.877.072.498 </w:t>
                </w:r>
              </w:p>
            </w:tc>
            <w:tc>
              <w:tcPr>
                <w:tcW w:w="0" w:type="auto"/>
                <w:shd w:val="clear" w:color="auto" w:fill="auto"/>
                <w:vAlign w:val="center"/>
                <w:hideMark/>
              </w:tcPr>
              <w:p w14:paraId="4F206476"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86.365.151.691</w:t>
                </w:r>
              </w:p>
            </w:tc>
            <w:tc>
              <w:tcPr>
                <w:tcW w:w="0" w:type="auto"/>
                <w:shd w:val="clear" w:color="auto" w:fill="auto"/>
                <w:vAlign w:val="center"/>
                <w:hideMark/>
              </w:tcPr>
              <w:p w14:paraId="28BAEDF1"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794.511.920.807</w:t>
                </w:r>
              </w:p>
            </w:tc>
          </w:tr>
          <w:tr w:rsidR="00F83328" w:rsidRPr="00F83328" w14:paraId="113EC955" w14:textId="77777777" w:rsidTr="007E5E34">
            <w:trPr>
              <w:trHeight w:val="340"/>
            </w:trPr>
            <w:tc>
              <w:tcPr>
                <w:tcW w:w="0" w:type="auto"/>
                <w:shd w:val="clear" w:color="auto" w:fill="auto"/>
                <w:vAlign w:val="center"/>
                <w:hideMark/>
              </w:tcPr>
              <w:p w14:paraId="0CCB9AD8" w14:textId="77777777" w:rsidR="00F83328" w:rsidRPr="009A46BB" w:rsidRDefault="00F83328" w:rsidP="00F83328">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900243279</w:t>
                </w:r>
              </w:p>
            </w:tc>
            <w:tc>
              <w:tcPr>
                <w:tcW w:w="0" w:type="auto"/>
                <w:shd w:val="clear" w:color="auto" w:fill="auto"/>
                <w:vAlign w:val="center"/>
                <w:hideMark/>
              </w:tcPr>
              <w:p w14:paraId="7A0001C5" w14:textId="77777777" w:rsidR="00F83328" w:rsidRPr="009A46BB" w:rsidRDefault="00F83328" w:rsidP="00F83328">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Sociedad Portuaria Puerto Hondo S.A.</w:t>
                </w:r>
              </w:p>
            </w:tc>
            <w:tc>
              <w:tcPr>
                <w:tcW w:w="0" w:type="auto"/>
                <w:shd w:val="clear" w:color="auto" w:fill="auto"/>
                <w:vAlign w:val="center"/>
                <w:hideMark/>
              </w:tcPr>
              <w:p w14:paraId="6D50D055" w14:textId="104D0190" w:rsidR="00F83328" w:rsidRPr="009A46BB" w:rsidRDefault="00F83328" w:rsidP="00487FD4">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605.978.769 </w:t>
                </w:r>
              </w:p>
            </w:tc>
            <w:tc>
              <w:tcPr>
                <w:tcW w:w="0" w:type="auto"/>
                <w:shd w:val="clear" w:color="auto" w:fill="auto"/>
                <w:vAlign w:val="center"/>
                <w:hideMark/>
              </w:tcPr>
              <w:p w14:paraId="50555120"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681.726.115</w:t>
                </w:r>
              </w:p>
            </w:tc>
            <w:tc>
              <w:tcPr>
                <w:tcW w:w="0" w:type="auto"/>
                <w:shd w:val="clear" w:color="auto" w:fill="auto"/>
                <w:vAlign w:val="center"/>
                <w:hideMark/>
              </w:tcPr>
              <w:p w14:paraId="74162964"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-75.747.346</w:t>
                </w:r>
              </w:p>
            </w:tc>
          </w:tr>
          <w:tr w:rsidR="00F83328" w:rsidRPr="00F83328" w14:paraId="32AF1CA3" w14:textId="77777777" w:rsidTr="007E5E34">
            <w:trPr>
              <w:trHeight w:val="340"/>
            </w:trPr>
            <w:tc>
              <w:tcPr>
                <w:tcW w:w="0" w:type="auto"/>
                <w:shd w:val="clear" w:color="auto" w:fill="auto"/>
                <w:vAlign w:val="center"/>
                <w:hideMark/>
              </w:tcPr>
              <w:p w14:paraId="30BE79DA" w14:textId="77777777" w:rsidR="00F83328" w:rsidRPr="009A46BB" w:rsidRDefault="00F83328" w:rsidP="00F83328">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900257792</w:t>
                </w:r>
              </w:p>
            </w:tc>
            <w:tc>
              <w:tcPr>
                <w:tcW w:w="0" w:type="auto"/>
                <w:shd w:val="clear" w:color="auto" w:fill="auto"/>
                <w:vAlign w:val="center"/>
                <w:hideMark/>
              </w:tcPr>
              <w:p w14:paraId="16556DF9" w14:textId="77777777" w:rsidR="00F83328" w:rsidRPr="009A46BB" w:rsidRDefault="00F83328" w:rsidP="00F83328">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Oiltalking Colombia S.A.</w:t>
                </w:r>
              </w:p>
            </w:tc>
            <w:tc>
              <w:tcPr>
                <w:tcW w:w="0" w:type="auto"/>
                <w:shd w:val="clear" w:color="auto" w:fill="auto"/>
                <w:vAlign w:val="center"/>
                <w:hideMark/>
              </w:tcPr>
              <w:p w14:paraId="6668B1C3" w14:textId="23FF9173" w:rsidR="00F83328" w:rsidRPr="009A46BB" w:rsidRDefault="00F83328" w:rsidP="00487FD4">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6.341.178.289 </w:t>
                </w:r>
              </w:p>
            </w:tc>
            <w:tc>
              <w:tcPr>
                <w:tcW w:w="0" w:type="auto"/>
                <w:shd w:val="clear" w:color="auto" w:fill="auto"/>
                <w:vAlign w:val="center"/>
                <w:hideMark/>
              </w:tcPr>
              <w:p w14:paraId="59786A8B"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6.133.466.994</w:t>
                </w:r>
              </w:p>
            </w:tc>
            <w:tc>
              <w:tcPr>
                <w:tcW w:w="0" w:type="auto"/>
                <w:shd w:val="clear" w:color="auto" w:fill="auto"/>
                <w:vAlign w:val="center"/>
                <w:hideMark/>
              </w:tcPr>
              <w:p w14:paraId="7B9C3521"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207.711.295</w:t>
                </w:r>
              </w:p>
            </w:tc>
          </w:tr>
          <w:tr w:rsidR="00F83328" w:rsidRPr="00F83328" w14:paraId="34D36BC9" w14:textId="77777777" w:rsidTr="007E5E34">
            <w:trPr>
              <w:trHeight w:val="340"/>
            </w:trPr>
            <w:tc>
              <w:tcPr>
                <w:tcW w:w="0" w:type="auto"/>
                <w:shd w:val="clear" w:color="auto" w:fill="auto"/>
                <w:vAlign w:val="center"/>
                <w:hideMark/>
              </w:tcPr>
              <w:p w14:paraId="02EA778E" w14:textId="77777777" w:rsidR="00F83328" w:rsidRPr="009A46BB" w:rsidRDefault="00F83328" w:rsidP="00F83328">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900273253</w:t>
                </w:r>
              </w:p>
            </w:tc>
            <w:tc>
              <w:tcPr>
                <w:tcW w:w="0" w:type="auto"/>
                <w:shd w:val="clear" w:color="auto" w:fill="auto"/>
                <w:vAlign w:val="center"/>
                <w:hideMark/>
              </w:tcPr>
              <w:p w14:paraId="77F929FF" w14:textId="77777777" w:rsidR="00F83328" w:rsidRPr="009A46BB" w:rsidRDefault="00F83328" w:rsidP="00F83328">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Sociedad Portuaria Puerto Nuevo S.A.</w:t>
                </w:r>
              </w:p>
            </w:tc>
            <w:tc>
              <w:tcPr>
                <w:tcW w:w="0" w:type="auto"/>
                <w:shd w:val="clear" w:color="auto" w:fill="auto"/>
                <w:vAlign w:val="center"/>
                <w:hideMark/>
              </w:tcPr>
              <w:p w14:paraId="2CCD0A4F" w14:textId="75A9059C" w:rsidR="00F83328" w:rsidRPr="009A46BB" w:rsidRDefault="00F83328" w:rsidP="00487FD4">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305.193.393.946 </w:t>
                </w:r>
              </w:p>
            </w:tc>
            <w:tc>
              <w:tcPr>
                <w:tcW w:w="0" w:type="auto"/>
                <w:shd w:val="clear" w:color="auto" w:fill="auto"/>
                <w:vAlign w:val="center"/>
                <w:hideMark/>
              </w:tcPr>
              <w:p w14:paraId="51114E0B"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322.148.582.499</w:t>
                </w:r>
              </w:p>
            </w:tc>
            <w:tc>
              <w:tcPr>
                <w:tcW w:w="0" w:type="auto"/>
                <w:shd w:val="clear" w:color="auto" w:fill="auto"/>
                <w:vAlign w:val="center"/>
                <w:hideMark/>
              </w:tcPr>
              <w:p w14:paraId="1FEBD191"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-16.955.188.553</w:t>
                </w:r>
              </w:p>
            </w:tc>
          </w:tr>
          <w:tr w:rsidR="00F83328" w:rsidRPr="00F83328" w14:paraId="39C84158" w14:textId="77777777" w:rsidTr="007E5E34">
            <w:trPr>
              <w:trHeight w:val="340"/>
            </w:trPr>
            <w:tc>
              <w:tcPr>
                <w:tcW w:w="0" w:type="auto"/>
                <w:shd w:val="clear" w:color="auto" w:fill="auto"/>
                <w:vAlign w:val="center"/>
                <w:hideMark/>
              </w:tcPr>
              <w:p w14:paraId="2DDADC22" w14:textId="77777777" w:rsidR="00F83328" w:rsidRPr="009A46BB" w:rsidRDefault="00F83328" w:rsidP="00F83328">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900325249</w:t>
                </w:r>
              </w:p>
            </w:tc>
            <w:tc>
              <w:tcPr>
                <w:tcW w:w="0" w:type="auto"/>
                <w:shd w:val="clear" w:color="auto" w:fill="auto"/>
                <w:vAlign w:val="center"/>
                <w:hideMark/>
              </w:tcPr>
              <w:p w14:paraId="403BBD39" w14:textId="77777777" w:rsidR="00F83328" w:rsidRPr="009A46BB" w:rsidRDefault="00F83328" w:rsidP="00F83328">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Sociedad Portuaria Central Cartagena S. A</w:t>
                </w:r>
              </w:p>
            </w:tc>
            <w:tc>
              <w:tcPr>
                <w:tcW w:w="0" w:type="auto"/>
                <w:shd w:val="clear" w:color="auto" w:fill="auto"/>
                <w:vAlign w:val="center"/>
                <w:hideMark/>
              </w:tcPr>
              <w:p w14:paraId="4ED70860" w14:textId="7049212A" w:rsidR="00F83328" w:rsidRPr="009A46BB" w:rsidRDefault="00F83328" w:rsidP="00487FD4">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3.228.529.862 </w:t>
                </w:r>
              </w:p>
            </w:tc>
            <w:tc>
              <w:tcPr>
                <w:tcW w:w="0" w:type="auto"/>
                <w:shd w:val="clear" w:color="auto" w:fill="auto"/>
                <w:vAlign w:val="center"/>
                <w:hideMark/>
              </w:tcPr>
              <w:p w14:paraId="2A692E75"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3.689.748.414</w:t>
                </w:r>
              </w:p>
            </w:tc>
            <w:tc>
              <w:tcPr>
                <w:tcW w:w="0" w:type="auto"/>
                <w:shd w:val="clear" w:color="auto" w:fill="auto"/>
                <w:vAlign w:val="center"/>
                <w:hideMark/>
              </w:tcPr>
              <w:p w14:paraId="20280158"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-461.218.552</w:t>
                </w:r>
              </w:p>
            </w:tc>
          </w:tr>
          <w:tr w:rsidR="00F83328" w:rsidRPr="00F83328" w14:paraId="1CF0F53C" w14:textId="77777777" w:rsidTr="007E5E34">
            <w:trPr>
              <w:trHeight w:val="340"/>
            </w:trPr>
            <w:tc>
              <w:tcPr>
                <w:tcW w:w="0" w:type="auto"/>
                <w:shd w:val="clear" w:color="auto" w:fill="auto"/>
                <w:vAlign w:val="center"/>
                <w:hideMark/>
              </w:tcPr>
              <w:p w14:paraId="527FA588" w14:textId="77777777" w:rsidR="00F83328" w:rsidRPr="009A46BB" w:rsidRDefault="00F83328" w:rsidP="00F83328">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900531210</w:t>
                </w:r>
              </w:p>
            </w:tc>
            <w:tc>
              <w:tcPr>
                <w:tcW w:w="0" w:type="auto"/>
                <w:shd w:val="clear" w:color="auto" w:fill="auto"/>
                <w:vAlign w:val="center"/>
                <w:hideMark/>
              </w:tcPr>
              <w:p w14:paraId="05FE4713" w14:textId="77777777" w:rsidR="00F83328" w:rsidRPr="009A46BB" w:rsidRDefault="00F83328" w:rsidP="00F83328">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Cenit Transporte Y Logística De Hidrocarburos S.A.S.</w:t>
                </w:r>
              </w:p>
            </w:tc>
            <w:tc>
              <w:tcPr>
                <w:tcW w:w="0" w:type="auto"/>
                <w:shd w:val="clear" w:color="auto" w:fill="auto"/>
                <w:vAlign w:val="center"/>
                <w:hideMark/>
              </w:tcPr>
              <w:p w14:paraId="06F95044" w14:textId="408A2CE3" w:rsidR="00F83328" w:rsidRPr="009A46BB" w:rsidRDefault="00F83328" w:rsidP="00487FD4">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39.368.911.167 </w:t>
                </w:r>
              </w:p>
            </w:tc>
            <w:tc>
              <w:tcPr>
                <w:tcW w:w="0" w:type="auto"/>
                <w:shd w:val="clear" w:color="auto" w:fill="auto"/>
                <w:vAlign w:val="center"/>
                <w:hideMark/>
              </w:tcPr>
              <w:p w14:paraId="2588E233"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35.923.175.075</w:t>
                </w:r>
              </w:p>
            </w:tc>
            <w:tc>
              <w:tcPr>
                <w:tcW w:w="0" w:type="auto"/>
                <w:shd w:val="clear" w:color="auto" w:fill="auto"/>
                <w:vAlign w:val="center"/>
                <w:hideMark/>
              </w:tcPr>
              <w:p w14:paraId="0F5A796D"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3.445.736.092</w:t>
                </w:r>
              </w:p>
            </w:tc>
          </w:tr>
          <w:tr w:rsidR="00F83328" w:rsidRPr="00F83328" w14:paraId="361C95BF" w14:textId="77777777" w:rsidTr="007E5E34">
            <w:trPr>
              <w:trHeight w:val="340"/>
            </w:trPr>
            <w:tc>
              <w:tcPr>
                <w:tcW w:w="0" w:type="auto"/>
                <w:shd w:val="clear" w:color="auto" w:fill="auto"/>
                <w:vAlign w:val="center"/>
                <w:hideMark/>
              </w:tcPr>
              <w:p w14:paraId="62FCBFD5" w14:textId="77777777" w:rsidR="00F83328" w:rsidRPr="009A46BB" w:rsidRDefault="00F83328" w:rsidP="00F83328">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900677144</w:t>
                </w:r>
              </w:p>
            </w:tc>
            <w:tc>
              <w:tcPr>
                <w:tcW w:w="0" w:type="auto"/>
                <w:shd w:val="clear" w:color="auto" w:fill="auto"/>
                <w:vAlign w:val="center"/>
                <w:hideMark/>
              </w:tcPr>
              <w:p w14:paraId="155841B2" w14:textId="77777777" w:rsidR="00F83328" w:rsidRPr="009A46BB" w:rsidRDefault="00F83328" w:rsidP="00F83328">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Sociedad Portuaria Terminal De Ifo's S.A.</w:t>
                </w:r>
              </w:p>
            </w:tc>
            <w:tc>
              <w:tcPr>
                <w:tcW w:w="0" w:type="auto"/>
                <w:shd w:val="clear" w:color="auto" w:fill="auto"/>
                <w:vAlign w:val="center"/>
                <w:hideMark/>
              </w:tcPr>
              <w:p w14:paraId="75DD120B" w14:textId="0FE8D836" w:rsidR="00F83328" w:rsidRPr="009A46BB" w:rsidRDefault="00F83328" w:rsidP="00487FD4">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1.391.571.596 </w:t>
                </w:r>
              </w:p>
            </w:tc>
            <w:tc>
              <w:tcPr>
                <w:tcW w:w="0" w:type="auto"/>
                <w:shd w:val="clear" w:color="auto" w:fill="auto"/>
                <w:vAlign w:val="center"/>
                <w:hideMark/>
              </w:tcPr>
              <w:p w14:paraId="3D0A1BAB"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1.518.078.105</w:t>
                </w:r>
              </w:p>
            </w:tc>
            <w:tc>
              <w:tcPr>
                <w:tcW w:w="0" w:type="auto"/>
                <w:shd w:val="clear" w:color="auto" w:fill="auto"/>
                <w:vAlign w:val="center"/>
                <w:hideMark/>
              </w:tcPr>
              <w:p w14:paraId="47D449B6"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-126.506.509</w:t>
                </w:r>
              </w:p>
            </w:tc>
          </w:tr>
          <w:tr w:rsidR="00F83328" w:rsidRPr="00F83328" w14:paraId="78901E16" w14:textId="77777777" w:rsidTr="007E5E34">
            <w:trPr>
              <w:trHeight w:val="340"/>
            </w:trPr>
            <w:tc>
              <w:tcPr>
                <w:tcW w:w="0" w:type="auto"/>
                <w:shd w:val="clear" w:color="auto" w:fill="auto"/>
                <w:vAlign w:val="center"/>
                <w:hideMark/>
              </w:tcPr>
              <w:p w14:paraId="01A996EF" w14:textId="77777777" w:rsidR="00F83328" w:rsidRPr="009A46BB" w:rsidRDefault="00F83328" w:rsidP="00F83328">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lastRenderedPageBreak/>
                  <w:t>900815014</w:t>
                </w:r>
              </w:p>
            </w:tc>
            <w:tc>
              <w:tcPr>
                <w:tcW w:w="0" w:type="auto"/>
                <w:shd w:val="clear" w:color="auto" w:fill="auto"/>
                <w:vAlign w:val="center"/>
                <w:hideMark/>
              </w:tcPr>
              <w:p w14:paraId="620FFA6E" w14:textId="77777777" w:rsidR="00F83328" w:rsidRPr="009A46BB" w:rsidRDefault="00F83328" w:rsidP="00F83328">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Coremar Shore Base Sa</w:t>
                </w:r>
              </w:p>
            </w:tc>
            <w:tc>
              <w:tcPr>
                <w:tcW w:w="0" w:type="auto"/>
                <w:shd w:val="clear" w:color="auto" w:fill="auto"/>
                <w:vAlign w:val="center"/>
                <w:hideMark/>
              </w:tcPr>
              <w:p w14:paraId="1A07433A" w14:textId="72BB37A0" w:rsidR="00F83328" w:rsidRPr="009A46BB" w:rsidRDefault="00F83328" w:rsidP="00487FD4">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1.769.368.936 </w:t>
                </w:r>
              </w:p>
            </w:tc>
            <w:tc>
              <w:tcPr>
                <w:tcW w:w="0" w:type="auto"/>
                <w:shd w:val="clear" w:color="auto" w:fill="auto"/>
                <w:vAlign w:val="center"/>
                <w:hideMark/>
              </w:tcPr>
              <w:p w14:paraId="23AAD147"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1.452.584.332</w:t>
                </w:r>
              </w:p>
            </w:tc>
            <w:tc>
              <w:tcPr>
                <w:tcW w:w="0" w:type="auto"/>
                <w:shd w:val="clear" w:color="auto" w:fill="auto"/>
                <w:vAlign w:val="center"/>
                <w:hideMark/>
              </w:tcPr>
              <w:p w14:paraId="6B2B5606"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316.784.604</w:t>
                </w:r>
              </w:p>
            </w:tc>
          </w:tr>
          <w:tr w:rsidR="00F83328" w:rsidRPr="00F83328" w14:paraId="7A98431D" w14:textId="77777777" w:rsidTr="007E5E34">
            <w:trPr>
              <w:trHeight w:val="340"/>
            </w:trPr>
            <w:tc>
              <w:tcPr>
                <w:tcW w:w="0" w:type="auto"/>
                <w:shd w:val="clear" w:color="auto" w:fill="auto"/>
                <w:vAlign w:val="center"/>
                <w:hideMark/>
              </w:tcPr>
              <w:p w14:paraId="4BDF2036" w14:textId="77777777" w:rsidR="00F83328" w:rsidRPr="009A46BB" w:rsidRDefault="00F83328" w:rsidP="00F83328">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900944661</w:t>
                </w:r>
              </w:p>
            </w:tc>
            <w:tc>
              <w:tcPr>
                <w:tcW w:w="0" w:type="auto"/>
                <w:shd w:val="clear" w:color="auto" w:fill="auto"/>
                <w:vAlign w:val="center"/>
                <w:hideMark/>
              </w:tcPr>
              <w:p w14:paraId="49E398F3" w14:textId="77777777" w:rsidR="00F83328" w:rsidRPr="009A46BB" w:rsidRDefault="00F83328" w:rsidP="00F83328">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Nueva Sociedad Portuaria Zona Atlántica   S A</w:t>
                </w:r>
              </w:p>
            </w:tc>
            <w:tc>
              <w:tcPr>
                <w:tcW w:w="0" w:type="auto"/>
                <w:shd w:val="clear" w:color="auto" w:fill="auto"/>
                <w:vAlign w:val="center"/>
                <w:hideMark/>
              </w:tcPr>
              <w:p w14:paraId="3B6F7A3E" w14:textId="1351F52E" w:rsidR="00F83328" w:rsidRPr="009A46BB" w:rsidRDefault="00F83328" w:rsidP="00487FD4">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1.450.828.800 </w:t>
                </w:r>
              </w:p>
            </w:tc>
            <w:tc>
              <w:tcPr>
                <w:tcW w:w="0" w:type="auto"/>
                <w:shd w:val="clear" w:color="auto" w:fill="auto"/>
                <w:vAlign w:val="center"/>
                <w:hideMark/>
              </w:tcPr>
              <w:p w14:paraId="3EB17FCE"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162.232.277</w:t>
                </w:r>
              </w:p>
            </w:tc>
            <w:tc>
              <w:tcPr>
                <w:tcW w:w="0" w:type="auto"/>
                <w:shd w:val="clear" w:color="auto" w:fill="auto"/>
                <w:vAlign w:val="center"/>
                <w:hideMark/>
              </w:tcPr>
              <w:p w14:paraId="3A80CF2A"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1.288.596.523</w:t>
                </w:r>
              </w:p>
            </w:tc>
          </w:tr>
          <w:tr w:rsidR="00F83328" w:rsidRPr="00F83328" w14:paraId="0BD7560D" w14:textId="77777777" w:rsidTr="007E5E34">
            <w:trPr>
              <w:trHeight w:val="340"/>
            </w:trPr>
            <w:tc>
              <w:tcPr>
                <w:tcW w:w="0" w:type="auto"/>
                <w:shd w:val="clear" w:color="auto" w:fill="auto"/>
                <w:vAlign w:val="center"/>
                <w:hideMark/>
              </w:tcPr>
              <w:p w14:paraId="3E53ACF7" w14:textId="77777777" w:rsidR="00F83328" w:rsidRPr="009A46BB" w:rsidRDefault="00F83328" w:rsidP="00F83328">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901045599</w:t>
                </w:r>
              </w:p>
            </w:tc>
            <w:tc>
              <w:tcPr>
                <w:tcW w:w="0" w:type="auto"/>
                <w:shd w:val="clear" w:color="auto" w:fill="auto"/>
                <w:vAlign w:val="center"/>
                <w:hideMark/>
              </w:tcPr>
              <w:p w14:paraId="2B1F5C45" w14:textId="77777777" w:rsidR="00F83328" w:rsidRPr="009A46BB" w:rsidRDefault="00F83328" w:rsidP="00F83328">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Puertos Del Caribe Sociedad Portuaria S A</w:t>
                </w:r>
              </w:p>
            </w:tc>
            <w:tc>
              <w:tcPr>
                <w:tcW w:w="0" w:type="auto"/>
                <w:shd w:val="clear" w:color="auto" w:fill="auto"/>
                <w:vAlign w:val="center"/>
                <w:hideMark/>
              </w:tcPr>
              <w:p w14:paraId="6D23830E" w14:textId="2278B7DA" w:rsidR="00F83328" w:rsidRPr="009A46BB" w:rsidRDefault="00F83328" w:rsidP="00487FD4">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558.373.668 </w:t>
                </w:r>
              </w:p>
            </w:tc>
            <w:tc>
              <w:tcPr>
                <w:tcW w:w="0" w:type="auto"/>
                <w:shd w:val="clear" w:color="auto" w:fill="auto"/>
                <w:vAlign w:val="center"/>
                <w:hideMark/>
              </w:tcPr>
              <w:p w14:paraId="06678E93"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582.134.250</w:t>
                </w:r>
              </w:p>
            </w:tc>
            <w:tc>
              <w:tcPr>
                <w:tcW w:w="0" w:type="auto"/>
                <w:shd w:val="clear" w:color="auto" w:fill="auto"/>
                <w:vAlign w:val="center"/>
                <w:hideMark/>
              </w:tcPr>
              <w:p w14:paraId="4DD552D3"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-23.760.582</w:t>
                </w:r>
              </w:p>
            </w:tc>
          </w:tr>
          <w:tr w:rsidR="00F83328" w:rsidRPr="00F83328" w14:paraId="297CCEDE" w14:textId="77777777" w:rsidTr="007E5E34">
            <w:trPr>
              <w:trHeight w:val="340"/>
            </w:trPr>
            <w:tc>
              <w:tcPr>
                <w:tcW w:w="0" w:type="auto"/>
                <w:shd w:val="clear" w:color="auto" w:fill="auto"/>
                <w:vAlign w:val="center"/>
                <w:hideMark/>
              </w:tcPr>
              <w:p w14:paraId="5F0CEBB1" w14:textId="77777777" w:rsidR="00F83328" w:rsidRPr="009A46BB" w:rsidRDefault="00F83328" w:rsidP="00F83328">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901057588</w:t>
                </w:r>
              </w:p>
            </w:tc>
            <w:tc>
              <w:tcPr>
                <w:tcW w:w="0" w:type="auto"/>
                <w:shd w:val="clear" w:color="auto" w:fill="auto"/>
                <w:vAlign w:val="center"/>
                <w:hideMark/>
              </w:tcPr>
              <w:p w14:paraId="0DBABD45" w14:textId="77777777" w:rsidR="00F83328" w:rsidRPr="009A46BB" w:rsidRDefault="00F83328" w:rsidP="00F83328">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Sociedad Portuaria Regional Tumaco Pacific Port S. A</w:t>
                </w:r>
              </w:p>
            </w:tc>
            <w:tc>
              <w:tcPr>
                <w:tcW w:w="0" w:type="auto"/>
                <w:shd w:val="clear" w:color="auto" w:fill="auto"/>
                <w:vAlign w:val="center"/>
                <w:hideMark/>
              </w:tcPr>
              <w:p w14:paraId="4FFBBCFC" w14:textId="0C31DD92" w:rsidR="00F83328" w:rsidRPr="009A46BB" w:rsidRDefault="00F83328" w:rsidP="00487FD4">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13.737.064.355 </w:t>
                </w:r>
              </w:p>
            </w:tc>
            <w:tc>
              <w:tcPr>
                <w:tcW w:w="0" w:type="auto"/>
                <w:shd w:val="clear" w:color="auto" w:fill="auto"/>
                <w:vAlign w:val="center"/>
                <w:hideMark/>
              </w:tcPr>
              <w:p w14:paraId="078DDCE0"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14.321.620.285</w:t>
                </w:r>
              </w:p>
            </w:tc>
            <w:tc>
              <w:tcPr>
                <w:tcW w:w="0" w:type="auto"/>
                <w:shd w:val="clear" w:color="auto" w:fill="auto"/>
                <w:vAlign w:val="center"/>
                <w:hideMark/>
              </w:tcPr>
              <w:p w14:paraId="685F423B"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-584.555.930</w:t>
                </w:r>
              </w:p>
            </w:tc>
          </w:tr>
          <w:tr w:rsidR="00F83328" w:rsidRPr="00F83328" w14:paraId="27072B73" w14:textId="77777777" w:rsidTr="007E5E34">
            <w:trPr>
              <w:trHeight w:val="340"/>
            </w:trPr>
            <w:tc>
              <w:tcPr>
                <w:tcW w:w="0" w:type="auto"/>
                <w:shd w:val="clear" w:color="auto" w:fill="auto"/>
                <w:vAlign w:val="center"/>
                <w:hideMark/>
              </w:tcPr>
              <w:p w14:paraId="3418D0AC" w14:textId="77777777" w:rsidR="00F83328" w:rsidRPr="009A46BB" w:rsidRDefault="00F83328" w:rsidP="00F83328">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901077888</w:t>
                </w:r>
              </w:p>
            </w:tc>
            <w:tc>
              <w:tcPr>
                <w:tcW w:w="0" w:type="auto"/>
                <w:shd w:val="clear" w:color="auto" w:fill="auto"/>
                <w:vAlign w:val="center"/>
                <w:hideMark/>
              </w:tcPr>
              <w:p w14:paraId="370A2EE7" w14:textId="77777777" w:rsidR="00F83328" w:rsidRPr="009A46BB" w:rsidRDefault="00F83328" w:rsidP="00F83328">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Sociedad Portuaria Bita RM S.A.</w:t>
                </w:r>
              </w:p>
            </w:tc>
            <w:tc>
              <w:tcPr>
                <w:tcW w:w="0" w:type="auto"/>
                <w:shd w:val="clear" w:color="auto" w:fill="auto"/>
                <w:vAlign w:val="center"/>
                <w:hideMark/>
              </w:tcPr>
              <w:p w14:paraId="1CB61449" w14:textId="661E4566" w:rsidR="00F83328" w:rsidRPr="009A46BB" w:rsidRDefault="00F83328" w:rsidP="00487FD4">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996.879.474 </w:t>
                </w:r>
              </w:p>
            </w:tc>
            <w:tc>
              <w:tcPr>
                <w:tcW w:w="0" w:type="auto"/>
                <w:shd w:val="clear" w:color="auto" w:fill="auto"/>
                <w:vAlign w:val="center"/>
                <w:hideMark/>
              </w:tcPr>
              <w:p w14:paraId="1034E91F"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465.956.469</w:t>
                </w:r>
              </w:p>
            </w:tc>
            <w:tc>
              <w:tcPr>
                <w:tcW w:w="0" w:type="auto"/>
                <w:shd w:val="clear" w:color="auto" w:fill="auto"/>
                <w:vAlign w:val="center"/>
                <w:hideMark/>
              </w:tcPr>
              <w:p w14:paraId="58E0115E" w14:textId="77777777" w:rsidR="00F83328" w:rsidRPr="009A46BB" w:rsidRDefault="00F83328" w:rsidP="00F8332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530.923.005</w:t>
                </w:r>
              </w:p>
            </w:tc>
          </w:tr>
          <w:tr w:rsidR="00F83328" w:rsidRPr="00F83328" w14:paraId="3E4CE80B" w14:textId="77777777" w:rsidTr="007E5E34">
            <w:trPr>
              <w:trHeight w:val="340"/>
            </w:trPr>
            <w:tc>
              <w:tcPr>
                <w:tcW w:w="0" w:type="auto"/>
                <w:gridSpan w:val="2"/>
                <w:shd w:val="clear" w:color="auto" w:fill="auto"/>
                <w:vAlign w:val="center"/>
                <w:hideMark/>
              </w:tcPr>
              <w:p w14:paraId="591AAE9F" w14:textId="77777777" w:rsidR="00F83328" w:rsidRPr="009A46BB" w:rsidRDefault="00F83328" w:rsidP="00F83328">
                <w:pPr>
                  <w:spacing w:after="0" w:line="240" w:lineRule="auto"/>
                  <w:jc w:val="center"/>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TOTAL</w:t>
                </w:r>
              </w:p>
            </w:tc>
            <w:tc>
              <w:tcPr>
                <w:tcW w:w="0" w:type="auto"/>
                <w:shd w:val="clear" w:color="auto" w:fill="auto"/>
                <w:vAlign w:val="center"/>
                <w:hideMark/>
              </w:tcPr>
              <w:p w14:paraId="6FA9ED6A" w14:textId="32593ED6" w:rsidR="00F83328" w:rsidRPr="009A46BB" w:rsidRDefault="00F83328" w:rsidP="00F83328">
                <w:pPr>
                  <w:spacing w:after="0" w:line="240" w:lineRule="auto"/>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 xml:space="preserve">4.629.374.758.453 </w:t>
                </w:r>
              </w:p>
            </w:tc>
            <w:tc>
              <w:tcPr>
                <w:tcW w:w="0" w:type="auto"/>
                <w:shd w:val="clear" w:color="auto" w:fill="auto"/>
                <w:vAlign w:val="center"/>
                <w:hideMark/>
              </w:tcPr>
              <w:p w14:paraId="6505EBAC" w14:textId="77777777" w:rsidR="00F83328" w:rsidRPr="009A46BB" w:rsidRDefault="00F83328" w:rsidP="00F83328">
                <w:pPr>
                  <w:spacing w:after="0" w:line="240" w:lineRule="auto"/>
                  <w:jc w:val="right"/>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3.870.413.412.650</w:t>
                </w:r>
              </w:p>
            </w:tc>
            <w:tc>
              <w:tcPr>
                <w:tcW w:w="0" w:type="auto"/>
                <w:shd w:val="clear" w:color="auto" w:fill="auto"/>
                <w:vAlign w:val="center"/>
                <w:hideMark/>
              </w:tcPr>
              <w:p w14:paraId="2F2F228B" w14:textId="77777777" w:rsidR="00F83328" w:rsidRPr="009A46BB" w:rsidRDefault="00F83328" w:rsidP="00F83328">
                <w:pPr>
                  <w:spacing w:after="0" w:line="240" w:lineRule="auto"/>
                  <w:jc w:val="right"/>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758.961.345.803</w:t>
                </w:r>
              </w:p>
            </w:tc>
          </w:tr>
        </w:tbl>
        <w:p w14:paraId="7EE98DF8" w14:textId="4B0B3F4E" w:rsidR="00806E9E" w:rsidRPr="00931DCE" w:rsidRDefault="00AD2026" w:rsidP="00806E9E">
          <w:pPr>
            <w:spacing w:after="0" w:line="240" w:lineRule="auto"/>
            <w:jc w:val="both"/>
            <w:rPr>
              <w:rFonts w:ascii="Times New Roman" w:hAnsi="Times New Roman"/>
              <w:sz w:val="14"/>
              <w:szCs w:val="14"/>
            </w:rPr>
          </w:pPr>
          <w:r w:rsidRPr="00931DCE">
            <w:rPr>
              <w:rFonts w:ascii="Times New Roman" w:hAnsi="Times New Roman"/>
              <w:sz w:val="14"/>
              <w:szCs w:val="14"/>
            </w:rPr>
            <w:t>Cifras expresadas en pesos</w:t>
          </w:r>
          <w:r w:rsidR="00806E9E" w:rsidRPr="00931DCE">
            <w:rPr>
              <w:rFonts w:ascii="Times New Roman" w:hAnsi="Times New Roman"/>
              <w:sz w:val="14"/>
              <w:szCs w:val="14"/>
            </w:rPr>
            <w:t xml:space="preserve"> </w:t>
          </w:r>
        </w:p>
        <w:p w14:paraId="51E020C9" w14:textId="77777777" w:rsidR="00A1191A" w:rsidRPr="00931DCE" w:rsidRDefault="00A1191A" w:rsidP="00376E7E">
          <w:pPr>
            <w:spacing w:after="0" w:line="240" w:lineRule="auto"/>
            <w:jc w:val="both"/>
            <w:rPr>
              <w:rFonts w:ascii="Times New Roman" w:hAnsi="Times New Roman"/>
              <w:sz w:val="24"/>
              <w:szCs w:val="24"/>
            </w:rPr>
          </w:pPr>
        </w:p>
        <w:p w14:paraId="58DB0196" w14:textId="0BAC5933" w:rsidR="00E70982" w:rsidRPr="00931DCE" w:rsidRDefault="00EE69E5" w:rsidP="00376E7E">
          <w:pPr>
            <w:pStyle w:val="Ttulo2"/>
            <w:numPr>
              <w:ilvl w:val="0"/>
              <w:numId w:val="0"/>
            </w:numPr>
            <w:spacing w:line="240" w:lineRule="auto"/>
            <w:rPr>
              <w:rFonts w:cs="Times New Roman"/>
              <w:szCs w:val="24"/>
            </w:rPr>
          </w:pPr>
          <w:bookmarkStart w:id="82" w:name="_Toc159952418"/>
          <w:r w:rsidRPr="00931DCE">
            <w:rPr>
              <w:rFonts w:cs="Times New Roman"/>
              <w:szCs w:val="24"/>
            </w:rPr>
            <w:t>24.1.3</w:t>
          </w:r>
          <w:r w:rsidR="00C429B9" w:rsidRPr="00931DCE">
            <w:rPr>
              <w:rFonts w:cs="Times New Roman"/>
              <w:szCs w:val="24"/>
            </w:rPr>
            <w:t xml:space="preserve">. </w:t>
          </w:r>
          <w:r w:rsidRPr="00931DCE">
            <w:rPr>
              <w:rFonts w:cs="Times New Roman"/>
              <w:szCs w:val="24"/>
            </w:rPr>
            <w:t xml:space="preserve"> </w:t>
          </w:r>
          <w:r w:rsidR="00E70982" w:rsidRPr="00931DCE">
            <w:rPr>
              <w:rFonts w:cs="Times New Roman"/>
              <w:szCs w:val="24"/>
            </w:rPr>
            <w:t xml:space="preserve">Modo </w:t>
          </w:r>
          <w:r w:rsidR="00EB26C5" w:rsidRPr="00931DCE">
            <w:rPr>
              <w:rFonts w:cs="Times New Roman"/>
              <w:szCs w:val="24"/>
            </w:rPr>
            <w:t>Férreo</w:t>
          </w:r>
          <w:r w:rsidR="00E70982" w:rsidRPr="00931DCE">
            <w:rPr>
              <w:rFonts w:cs="Times New Roman"/>
              <w:szCs w:val="24"/>
            </w:rPr>
            <w:t>:</w:t>
          </w:r>
          <w:bookmarkEnd w:id="82"/>
        </w:p>
        <w:p w14:paraId="375CF08D" w14:textId="46DDCCFF" w:rsidR="00E70982" w:rsidRPr="00931DCE" w:rsidRDefault="00E70982" w:rsidP="00376E7E">
          <w:pPr>
            <w:spacing w:after="0" w:line="240" w:lineRule="auto"/>
            <w:jc w:val="both"/>
            <w:rPr>
              <w:rFonts w:ascii="Times New Roman" w:hAnsi="Times New Roman"/>
              <w:sz w:val="24"/>
              <w:szCs w:val="24"/>
            </w:rPr>
          </w:pPr>
        </w:p>
        <w:p w14:paraId="4DA25581" w14:textId="15F945B6" w:rsidR="00EB26C5" w:rsidRPr="00931DCE" w:rsidRDefault="00EB26C5" w:rsidP="00EB26C5">
          <w:pPr>
            <w:spacing w:after="0" w:line="240" w:lineRule="auto"/>
            <w:jc w:val="both"/>
            <w:rPr>
              <w:rFonts w:ascii="Times New Roman" w:hAnsi="Times New Roman"/>
              <w:sz w:val="24"/>
              <w:szCs w:val="24"/>
            </w:rPr>
          </w:pPr>
          <w:r w:rsidRPr="00931DCE">
            <w:rPr>
              <w:rFonts w:ascii="Times New Roman" w:hAnsi="Times New Roman"/>
              <w:sz w:val="24"/>
              <w:szCs w:val="24"/>
            </w:rPr>
            <w:t xml:space="preserve">Presenta un saldo de </w:t>
          </w:r>
          <w:r w:rsidR="008231AC">
            <w:rPr>
              <w:rFonts w:ascii="Times New Roman" w:hAnsi="Times New Roman"/>
              <w:sz w:val="24"/>
              <w:szCs w:val="24"/>
            </w:rPr>
            <w:t>$</w:t>
          </w:r>
          <w:r w:rsidR="002626BA">
            <w:rPr>
              <w:rFonts w:ascii="Times New Roman" w:hAnsi="Times New Roman"/>
              <w:sz w:val="24"/>
              <w:szCs w:val="24"/>
            </w:rPr>
            <w:t>453.19</w:t>
          </w:r>
          <w:r w:rsidR="0078045E">
            <w:rPr>
              <w:rFonts w:ascii="Times New Roman" w:hAnsi="Times New Roman"/>
              <w:sz w:val="24"/>
              <w:szCs w:val="24"/>
            </w:rPr>
            <w:t>8.621.049</w:t>
          </w:r>
          <w:r w:rsidRPr="00931DCE">
            <w:rPr>
              <w:rFonts w:ascii="Times New Roman" w:hAnsi="Times New Roman"/>
              <w:sz w:val="24"/>
              <w:szCs w:val="24"/>
            </w:rPr>
            <w:t xml:space="preserve"> al cierre la vigencia </w:t>
          </w:r>
          <w:r w:rsidR="00EF6E05" w:rsidRPr="00931DCE">
            <w:rPr>
              <w:rFonts w:ascii="Times New Roman" w:hAnsi="Times New Roman"/>
              <w:sz w:val="24"/>
              <w:szCs w:val="24"/>
            </w:rPr>
            <w:t>202</w:t>
          </w:r>
          <w:r w:rsidR="008231AC">
            <w:rPr>
              <w:rFonts w:ascii="Times New Roman" w:hAnsi="Times New Roman"/>
              <w:sz w:val="24"/>
              <w:szCs w:val="24"/>
            </w:rPr>
            <w:t>3</w:t>
          </w:r>
          <w:r w:rsidRPr="00931DCE">
            <w:rPr>
              <w:rFonts w:ascii="Times New Roman" w:hAnsi="Times New Roman"/>
              <w:sz w:val="24"/>
              <w:szCs w:val="24"/>
            </w:rPr>
            <w:t>, con siguiente composición por terceros:</w:t>
          </w:r>
        </w:p>
        <w:p w14:paraId="5FCB4815" w14:textId="466E9F60" w:rsidR="00EB26C5" w:rsidRPr="00931DCE" w:rsidRDefault="00EB26C5" w:rsidP="00EB26C5">
          <w:pPr>
            <w:spacing w:after="0" w:line="240" w:lineRule="auto"/>
            <w:jc w:val="both"/>
            <w:rPr>
              <w:rFonts w:ascii="Times New Roman" w:hAnsi="Times New Roman"/>
              <w:sz w:val="24"/>
              <w:szCs w:val="24"/>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ook w:val="06A0" w:firstRow="1" w:lastRow="0" w:firstColumn="1" w:lastColumn="0" w:noHBand="1" w:noVBand="1"/>
          </w:tblPr>
          <w:tblGrid>
            <w:gridCol w:w="1271"/>
            <w:gridCol w:w="3119"/>
            <w:gridCol w:w="1561"/>
            <w:gridCol w:w="1561"/>
            <w:gridCol w:w="1457"/>
          </w:tblGrid>
          <w:tr w:rsidR="7C50662E" w14:paraId="1D748B71" w14:textId="77777777" w:rsidTr="00E8265B">
            <w:trPr>
              <w:trHeight w:val="340"/>
            </w:trPr>
            <w:tc>
              <w:tcPr>
                <w:tcW w:w="709" w:type="pct"/>
                <w:tcMar>
                  <w:top w:w="15" w:type="dxa"/>
                  <w:left w:w="15" w:type="dxa"/>
                  <w:right w:w="15" w:type="dxa"/>
                </w:tcMar>
                <w:vAlign w:val="center"/>
              </w:tcPr>
              <w:p w14:paraId="3A27A255" w14:textId="065D77BD" w:rsidR="7C50662E" w:rsidRPr="009A46BB" w:rsidRDefault="72434FE0" w:rsidP="7C50662E">
                <w:pPr>
                  <w:spacing w:after="0"/>
                  <w:jc w:val="center"/>
                  <w:rPr>
                    <w:rFonts w:ascii="Times New Roman" w:eastAsia="Times New Roman" w:hAnsi="Times New Roman"/>
                    <w:b/>
                    <w:color w:val="000000" w:themeColor="text1"/>
                    <w:sz w:val="18"/>
                    <w:szCs w:val="18"/>
                  </w:rPr>
                </w:pPr>
                <w:r w:rsidRPr="009A46BB">
                  <w:rPr>
                    <w:rFonts w:ascii="Times New Roman" w:eastAsia="Times New Roman" w:hAnsi="Times New Roman"/>
                    <w:b/>
                    <w:color w:val="000000" w:themeColor="text1"/>
                    <w:sz w:val="18"/>
                    <w:szCs w:val="18"/>
                  </w:rPr>
                  <w:t>NIT</w:t>
                </w:r>
              </w:p>
            </w:tc>
            <w:tc>
              <w:tcPr>
                <w:tcW w:w="1739" w:type="pct"/>
                <w:tcMar>
                  <w:top w:w="15" w:type="dxa"/>
                  <w:left w:w="15" w:type="dxa"/>
                  <w:right w:w="15" w:type="dxa"/>
                </w:tcMar>
                <w:vAlign w:val="center"/>
              </w:tcPr>
              <w:p w14:paraId="764BCFBF" w14:textId="2F12CC36" w:rsidR="7C50662E" w:rsidRPr="009A46BB" w:rsidRDefault="72434FE0" w:rsidP="7C50662E">
                <w:pPr>
                  <w:spacing w:after="0"/>
                  <w:jc w:val="center"/>
                  <w:rPr>
                    <w:rFonts w:ascii="Times New Roman" w:eastAsia="Times New Roman" w:hAnsi="Times New Roman"/>
                    <w:b/>
                    <w:color w:val="000000" w:themeColor="text1"/>
                    <w:sz w:val="18"/>
                    <w:szCs w:val="18"/>
                  </w:rPr>
                </w:pPr>
                <w:r w:rsidRPr="009A46BB">
                  <w:rPr>
                    <w:rFonts w:ascii="Times New Roman" w:eastAsia="Times New Roman" w:hAnsi="Times New Roman"/>
                    <w:b/>
                    <w:color w:val="000000" w:themeColor="text1"/>
                    <w:sz w:val="18"/>
                    <w:szCs w:val="18"/>
                  </w:rPr>
                  <w:t>TERCERO</w:t>
                </w:r>
              </w:p>
            </w:tc>
            <w:tc>
              <w:tcPr>
                <w:tcW w:w="870" w:type="pct"/>
                <w:tcMar>
                  <w:top w:w="15" w:type="dxa"/>
                  <w:left w:w="15" w:type="dxa"/>
                  <w:right w:w="15" w:type="dxa"/>
                </w:tcMar>
                <w:vAlign w:val="center"/>
              </w:tcPr>
              <w:p w14:paraId="05677E6F" w14:textId="70482FE3" w:rsidR="7C50662E" w:rsidRPr="009A46BB" w:rsidRDefault="72434FE0" w:rsidP="41595954">
                <w:pPr>
                  <w:spacing w:after="0"/>
                  <w:jc w:val="center"/>
                  <w:rPr>
                    <w:rFonts w:ascii="Times New Roman" w:eastAsia="Times New Roman" w:hAnsi="Times New Roman"/>
                    <w:b/>
                    <w:color w:val="000000" w:themeColor="text1"/>
                    <w:sz w:val="18"/>
                    <w:szCs w:val="18"/>
                  </w:rPr>
                </w:pPr>
                <w:r w:rsidRPr="009A46BB">
                  <w:rPr>
                    <w:rFonts w:ascii="Times New Roman" w:eastAsia="Times New Roman" w:hAnsi="Times New Roman"/>
                    <w:b/>
                    <w:color w:val="000000" w:themeColor="text1"/>
                    <w:sz w:val="18"/>
                    <w:szCs w:val="18"/>
                  </w:rPr>
                  <w:t xml:space="preserve"> </w:t>
                </w:r>
                <w:r w:rsidR="7C50662E" w:rsidRPr="009A46BB">
                  <w:rPr>
                    <w:rFonts w:ascii="Times New Roman" w:eastAsia="Times New Roman" w:hAnsi="Times New Roman"/>
                    <w:b/>
                    <w:color w:val="000000" w:themeColor="text1"/>
                    <w:sz w:val="18"/>
                    <w:szCs w:val="18"/>
                  </w:rPr>
                  <w:t>2023</w:t>
                </w:r>
              </w:p>
            </w:tc>
            <w:tc>
              <w:tcPr>
                <w:tcW w:w="870" w:type="pct"/>
                <w:tcMar>
                  <w:top w:w="15" w:type="dxa"/>
                  <w:left w:w="15" w:type="dxa"/>
                  <w:right w:w="15" w:type="dxa"/>
                </w:tcMar>
                <w:vAlign w:val="center"/>
              </w:tcPr>
              <w:p w14:paraId="23B19479" w14:textId="23000E36" w:rsidR="7C50662E" w:rsidRPr="009A46BB" w:rsidRDefault="7C50662E" w:rsidP="7C50662E">
                <w:pPr>
                  <w:spacing w:after="0"/>
                  <w:jc w:val="center"/>
                  <w:rPr>
                    <w:rFonts w:ascii="Times New Roman" w:hAnsi="Times New Roman"/>
                    <w:sz w:val="18"/>
                    <w:szCs w:val="18"/>
                  </w:rPr>
                </w:pPr>
                <w:r w:rsidRPr="009A46BB">
                  <w:rPr>
                    <w:rFonts w:ascii="Times New Roman" w:eastAsia="Times New Roman" w:hAnsi="Times New Roman"/>
                    <w:b/>
                    <w:color w:val="000000" w:themeColor="text1"/>
                    <w:sz w:val="18"/>
                    <w:szCs w:val="18"/>
                  </w:rPr>
                  <w:t>2022</w:t>
                </w:r>
              </w:p>
            </w:tc>
            <w:tc>
              <w:tcPr>
                <w:tcW w:w="812" w:type="pct"/>
                <w:tcMar>
                  <w:top w:w="15" w:type="dxa"/>
                  <w:left w:w="15" w:type="dxa"/>
                  <w:right w:w="15" w:type="dxa"/>
                </w:tcMar>
                <w:vAlign w:val="center"/>
              </w:tcPr>
              <w:p w14:paraId="477AB9F0" w14:textId="2A49C9B0" w:rsidR="7C50662E" w:rsidRPr="009A46BB" w:rsidRDefault="7C50662E" w:rsidP="7C50662E">
                <w:pPr>
                  <w:spacing w:after="0"/>
                  <w:jc w:val="center"/>
                  <w:rPr>
                    <w:rFonts w:ascii="Times New Roman" w:hAnsi="Times New Roman"/>
                    <w:sz w:val="18"/>
                    <w:szCs w:val="18"/>
                  </w:rPr>
                </w:pPr>
                <w:r w:rsidRPr="009A46BB">
                  <w:rPr>
                    <w:rFonts w:ascii="Times New Roman" w:eastAsia="Times New Roman" w:hAnsi="Times New Roman"/>
                    <w:b/>
                    <w:color w:val="000000" w:themeColor="text1"/>
                    <w:sz w:val="18"/>
                    <w:szCs w:val="18"/>
                  </w:rPr>
                  <w:t>VARIACION</w:t>
                </w:r>
              </w:p>
            </w:tc>
          </w:tr>
          <w:tr w:rsidR="7C50662E" w14:paraId="08BEABFC" w14:textId="77777777" w:rsidTr="00E8265B">
            <w:trPr>
              <w:trHeight w:val="402"/>
            </w:trPr>
            <w:tc>
              <w:tcPr>
                <w:tcW w:w="709" w:type="pct"/>
                <w:tcMar>
                  <w:top w:w="15" w:type="dxa"/>
                  <w:left w:w="15" w:type="dxa"/>
                  <w:right w:w="15" w:type="dxa"/>
                </w:tcMar>
                <w:vAlign w:val="center"/>
              </w:tcPr>
              <w:p w14:paraId="6DD179BF" w14:textId="5FE0F37E" w:rsidR="7C50662E" w:rsidRPr="009A46BB" w:rsidRDefault="7C50662E" w:rsidP="7C50662E">
                <w:pPr>
                  <w:spacing w:after="0"/>
                  <w:jc w:val="center"/>
                  <w:rPr>
                    <w:rFonts w:ascii="Times New Roman" w:hAnsi="Times New Roman"/>
                    <w:sz w:val="18"/>
                    <w:szCs w:val="18"/>
                  </w:rPr>
                </w:pPr>
                <w:r w:rsidRPr="009A46BB">
                  <w:rPr>
                    <w:rFonts w:ascii="Times New Roman" w:eastAsia="Times New Roman" w:hAnsi="Times New Roman"/>
                    <w:color w:val="000000" w:themeColor="text1"/>
                    <w:sz w:val="18"/>
                    <w:szCs w:val="18"/>
                  </w:rPr>
                  <w:t>830061724</w:t>
                </w:r>
              </w:p>
            </w:tc>
            <w:tc>
              <w:tcPr>
                <w:tcW w:w="1739" w:type="pct"/>
                <w:tcMar>
                  <w:top w:w="15" w:type="dxa"/>
                  <w:left w:w="15" w:type="dxa"/>
                  <w:right w:w="15" w:type="dxa"/>
                </w:tcMar>
                <w:vAlign w:val="center"/>
              </w:tcPr>
              <w:p w14:paraId="1913E562" w14:textId="4C316B63" w:rsidR="424E1866" w:rsidRPr="009A46BB" w:rsidRDefault="424E1866" w:rsidP="424E1866">
                <w:pPr>
                  <w:spacing w:after="0"/>
                  <w:rPr>
                    <w:rFonts w:ascii="Times New Roman" w:eastAsia="Times New Roman" w:hAnsi="Times New Roman"/>
                    <w:color w:val="000000" w:themeColor="text1"/>
                    <w:sz w:val="18"/>
                    <w:szCs w:val="18"/>
                  </w:rPr>
                </w:pPr>
              </w:p>
              <w:p w14:paraId="790B3241" w14:textId="270B798D" w:rsidR="7C50662E" w:rsidRPr="009A46BB" w:rsidRDefault="7C50662E" w:rsidP="7C50662E">
                <w:pPr>
                  <w:spacing w:after="0"/>
                  <w:rPr>
                    <w:rFonts w:ascii="Times New Roman" w:eastAsia="Times New Roman" w:hAnsi="Times New Roman"/>
                    <w:color w:val="000000" w:themeColor="text1"/>
                    <w:sz w:val="18"/>
                    <w:szCs w:val="18"/>
                  </w:rPr>
                </w:pPr>
                <w:r w:rsidRPr="009A46BB">
                  <w:rPr>
                    <w:rFonts w:ascii="Times New Roman" w:eastAsia="Times New Roman" w:hAnsi="Times New Roman"/>
                    <w:color w:val="000000" w:themeColor="text1"/>
                    <w:sz w:val="18"/>
                    <w:szCs w:val="18"/>
                  </w:rPr>
                  <w:t>F</w:t>
                </w:r>
                <w:r w:rsidR="443D9670" w:rsidRPr="009A46BB">
                  <w:rPr>
                    <w:rFonts w:ascii="Times New Roman" w:eastAsia="Times New Roman" w:hAnsi="Times New Roman"/>
                    <w:color w:val="000000" w:themeColor="text1"/>
                    <w:sz w:val="18"/>
                    <w:szCs w:val="18"/>
                  </w:rPr>
                  <w:t>errocarriles del Norte de Colombia S.A.</w:t>
                </w:r>
              </w:p>
            </w:tc>
            <w:tc>
              <w:tcPr>
                <w:tcW w:w="870" w:type="pct"/>
                <w:tcMar>
                  <w:top w:w="15" w:type="dxa"/>
                  <w:left w:w="15" w:type="dxa"/>
                  <w:right w:w="15" w:type="dxa"/>
                </w:tcMar>
                <w:vAlign w:val="center"/>
              </w:tcPr>
              <w:p w14:paraId="1617FBAC" w14:textId="36EBA01B" w:rsidR="7C50662E" w:rsidRPr="009A46BB" w:rsidRDefault="7C50662E" w:rsidP="7C50662E">
                <w:pPr>
                  <w:spacing w:after="0"/>
                  <w:jc w:val="right"/>
                  <w:rPr>
                    <w:rFonts w:ascii="Times New Roman" w:hAnsi="Times New Roman"/>
                    <w:sz w:val="18"/>
                    <w:szCs w:val="18"/>
                  </w:rPr>
                </w:pPr>
                <w:r w:rsidRPr="009A46BB">
                  <w:rPr>
                    <w:rFonts w:ascii="Times New Roman" w:eastAsia="Times New Roman" w:hAnsi="Times New Roman"/>
                    <w:color w:val="000000" w:themeColor="text1"/>
                    <w:sz w:val="18"/>
                    <w:szCs w:val="18"/>
                  </w:rPr>
                  <w:t xml:space="preserve">   62.611.241.726 </w:t>
                </w:r>
              </w:p>
            </w:tc>
            <w:tc>
              <w:tcPr>
                <w:tcW w:w="870" w:type="pct"/>
                <w:tcMar>
                  <w:top w:w="15" w:type="dxa"/>
                  <w:left w:w="15" w:type="dxa"/>
                  <w:right w:w="15" w:type="dxa"/>
                </w:tcMar>
                <w:vAlign w:val="center"/>
              </w:tcPr>
              <w:p w14:paraId="1D777115" w14:textId="1AFA85A3" w:rsidR="7C50662E" w:rsidRPr="009A46BB" w:rsidRDefault="7C50662E" w:rsidP="7C50662E">
                <w:pPr>
                  <w:spacing w:after="0"/>
                  <w:jc w:val="right"/>
                  <w:rPr>
                    <w:rFonts w:ascii="Times New Roman" w:hAnsi="Times New Roman"/>
                    <w:sz w:val="18"/>
                    <w:szCs w:val="18"/>
                  </w:rPr>
                </w:pPr>
                <w:r w:rsidRPr="009A46BB">
                  <w:rPr>
                    <w:rFonts w:ascii="Times New Roman" w:eastAsia="Times New Roman" w:hAnsi="Times New Roman"/>
                    <w:color w:val="000000" w:themeColor="text1"/>
                    <w:sz w:val="18"/>
                    <w:szCs w:val="18"/>
                  </w:rPr>
                  <w:t xml:space="preserve">   52.467.881.987 </w:t>
                </w:r>
              </w:p>
            </w:tc>
            <w:tc>
              <w:tcPr>
                <w:tcW w:w="812" w:type="pct"/>
                <w:tcMar>
                  <w:top w:w="15" w:type="dxa"/>
                  <w:left w:w="15" w:type="dxa"/>
                  <w:right w:w="15" w:type="dxa"/>
                </w:tcMar>
                <w:vAlign w:val="center"/>
              </w:tcPr>
              <w:p w14:paraId="351127FC" w14:textId="689F8B53" w:rsidR="7C50662E" w:rsidRPr="009A46BB" w:rsidRDefault="7C50662E" w:rsidP="7C50662E">
                <w:pPr>
                  <w:spacing w:after="0"/>
                  <w:jc w:val="right"/>
                  <w:rPr>
                    <w:rFonts w:ascii="Times New Roman" w:hAnsi="Times New Roman"/>
                    <w:sz w:val="18"/>
                    <w:szCs w:val="18"/>
                  </w:rPr>
                </w:pPr>
                <w:r w:rsidRPr="009A46BB">
                  <w:rPr>
                    <w:rFonts w:ascii="Times New Roman" w:eastAsia="Times New Roman" w:hAnsi="Times New Roman"/>
                    <w:color w:val="000000" w:themeColor="text1"/>
                    <w:sz w:val="18"/>
                    <w:szCs w:val="18"/>
                  </w:rPr>
                  <w:t xml:space="preserve">  10.143.359.739 </w:t>
                </w:r>
              </w:p>
            </w:tc>
          </w:tr>
          <w:tr w:rsidR="7C50662E" w14:paraId="4ACB7FBE" w14:textId="77777777" w:rsidTr="00E8265B">
            <w:trPr>
              <w:trHeight w:val="340"/>
            </w:trPr>
            <w:tc>
              <w:tcPr>
                <w:tcW w:w="709" w:type="pct"/>
                <w:tcMar>
                  <w:top w:w="15" w:type="dxa"/>
                  <w:left w:w="15" w:type="dxa"/>
                  <w:right w:w="15" w:type="dxa"/>
                </w:tcMar>
                <w:vAlign w:val="center"/>
              </w:tcPr>
              <w:p w14:paraId="4B080267" w14:textId="36D0D556" w:rsidR="7C50662E" w:rsidRPr="009A46BB" w:rsidRDefault="7C50662E" w:rsidP="7C50662E">
                <w:pPr>
                  <w:spacing w:after="0"/>
                  <w:jc w:val="center"/>
                  <w:rPr>
                    <w:rFonts w:ascii="Times New Roman" w:hAnsi="Times New Roman"/>
                    <w:sz w:val="18"/>
                    <w:szCs w:val="18"/>
                  </w:rPr>
                </w:pPr>
                <w:r w:rsidRPr="009A46BB">
                  <w:rPr>
                    <w:rFonts w:ascii="Times New Roman" w:eastAsia="Times New Roman" w:hAnsi="Times New Roman"/>
                    <w:color w:val="000000" w:themeColor="text1"/>
                    <w:sz w:val="18"/>
                    <w:szCs w:val="18"/>
                  </w:rPr>
                  <w:t>900225133</w:t>
                </w:r>
              </w:p>
            </w:tc>
            <w:tc>
              <w:tcPr>
                <w:tcW w:w="1739" w:type="pct"/>
                <w:tcMar>
                  <w:top w:w="15" w:type="dxa"/>
                  <w:left w:w="15" w:type="dxa"/>
                  <w:right w:w="15" w:type="dxa"/>
                </w:tcMar>
                <w:vAlign w:val="center"/>
              </w:tcPr>
              <w:p w14:paraId="5B5889F8" w14:textId="69E36039" w:rsidR="424E1866" w:rsidRPr="009A46BB" w:rsidRDefault="424E1866" w:rsidP="424E1866">
                <w:pPr>
                  <w:spacing w:after="0"/>
                  <w:rPr>
                    <w:rFonts w:ascii="Times New Roman" w:eastAsia="Times New Roman" w:hAnsi="Times New Roman"/>
                    <w:color w:val="000000" w:themeColor="text1"/>
                    <w:sz w:val="18"/>
                    <w:szCs w:val="18"/>
                  </w:rPr>
                </w:pPr>
              </w:p>
              <w:p w14:paraId="57CBFE96" w14:textId="0475F5BC" w:rsidR="7C50662E" w:rsidRPr="009A46BB" w:rsidRDefault="7C50662E" w:rsidP="7C50662E">
                <w:pPr>
                  <w:spacing w:after="0"/>
                  <w:rPr>
                    <w:rFonts w:ascii="Times New Roman" w:eastAsia="Times New Roman" w:hAnsi="Times New Roman"/>
                    <w:color w:val="000000" w:themeColor="text1"/>
                    <w:sz w:val="18"/>
                    <w:szCs w:val="18"/>
                  </w:rPr>
                </w:pPr>
                <w:r w:rsidRPr="009A46BB">
                  <w:rPr>
                    <w:rFonts w:ascii="Times New Roman" w:eastAsia="Times New Roman" w:hAnsi="Times New Roman"/>
                    <w:color w:val="000000" w:themeColor="text1"/>
                    <w:sz w:val="18"/>
                    <w:szCs w:val="18"/>
                  </w:rPr>
                  <w:t>F</w:t>
                </w:r>
                <w:r w:rsidR="2A374C66" w:rsidRPr="009A46BB">
                  <w:rPr>
                    <w:rFonts w:ascii="Times New Roman" w:eastAsia="Times New Roman" w:hAnsi="Times New Roman"/>
                    <w:color w:val="000000" w:themeColor="text1"/>
                    <w:sz w:val="18"/>
                    <w:szCs w:val="18"/>
                  </w:rPr>
                  <w:t>errocarril del Pacífico</w:t>
                </w:r>
              </w:p>
            </w:tc>
            <w:tc>
              <w:tcPr>
                <w:tcW w:w="870" w:type="pct"/>
                <w:tcMar>
                  <w:top w:w="15" w:type="dxa"/>
                  <w:left w:w="15" w:type="dxa"/>
                  <w:right w:w="15" w:type="dxa"/>
                </w:tcMar>
                <w:vAlign w:val="center"/>
              </w:tcPr>
              <w:p w14:paraId="79D28158" w14:textId="4599B451" w:rsidR="7C50662E" w:rsidRPr="009A46BB" w:rsidRDefault="7C50662E" w:rsidP="7C50662E">
                <w:pPr>
                  <w:spacing w:after="0"/>
                  <w:jc w:val="right"/>
                  <w:rPr>
                    <w:rFonts w:ascii="Times New Roman" w:hAnsi="Times New Roman"/>
                    <w:sz w:val="18"/>
                    <w:szCs w:val="18"/>
                  </w:rPr>
                </w:pPr>
                <w:r w:rsidRPr="009A46BB">
                  <w:rPr>
                    <w:rFonts w:ascii="Times New Roman" w:eastAsia="Times New Roman" w:hAnsi="Times New Roman"/>
                    <w:color w:val="000000" w:themeColor="text1"/>
                    <w:sz w:val="18"/>
                    <w:szCs w:val="18"/>
                  </w:rPr>
                  <w:t>390.587.379.323</w:t>
                </w:r>
              </w:p>
            </w:tc>
            <w:tc>
              <w:tcPr>
                <w:tcW w:w="870" w:type="pct"/>
                <w:tcMar>
                  <w:top w:w="15" w:type="dxa"/>
                  <w:left w:w="15" w:type="dxa"/>
                  <w:right w:w="15" w:type="dxa"/>
                </w:tcMar>
                <w:vAlign w:val="center"/>
              </w:tcPr>
              <w:p w14:paraId="4F800DD8" w14:textId="7DDEAB8B" w:rsidR="7C50662E" w:rsidRPr="009A46BB" w:rsidRDefault="7C50662E" w:rsidP="7C50662E">
                <w:pPr>
                  <w:spacing w:after="0"/>
                  <w:jc w:val="right"/>
                  <w:rPr>
                    <w:rFonts w:ascii="Times New Roman" w:hAnsi="Times New Roman"/>
                    <w:sz w:val="18"/>
                    <w:szCs w:val="18"/>
                  </w:rPr>
                </w:pPr>
                <w:r w:rsidRPr="009A46BB">
                  <w:rPr>
                    <w:rFonts w:ascii="Times New Roman" w:eastAsia="Times New Roman" w:hAnsi="Times New Roman"/>
                    <w:color w:val="000000" w:themeColor="text1"/>
                    <w:sz w:val="18"/>
                    <w:szCs w:val="18"/>
                  </w:rPr>
                  <w:t xml:space="preserve">  391.180.166.286 </w:t>
                </w:r>
              </w:p>
            </w:tc>
            <w:tc>
              <w:tcPr>
                <w:tcW w:w="812" w:type="pct"/>
                <w:tcMar>
                  <w:top w:w="15" w:type="dxa"/>
                  <w:left w:w="15" w:type="dxa"/>
                  <w:right w:w="15" w:type="dxa"/>
                </w:tcMar>
                <w:vAlign w:val="center"/>
              </w:tcPr>
              <w:p w14:paraId="1FB9F53A" w14:textId="29669CB7" w:rsidR="7C50662E" w:rsidRPr="009A46BB" w:rsidRDefault="7C50662E" w:rsidP="7C50662E">
                <w:pPr>
                  <w:spacing w:after="0"/>
                  <w:jc w:val="right"/>
                  <w:rPr>
                    <w:rFonts w:ascii="Times New Roman" w:hAnsi="Times New Roman"/>
                    <w:sz w:val="18"/>
                    <w:szCs w:val="18"/>
                  </w:rPr>
                </w:pPr>
                <w:r w:rsidRPr="009A46BB">
                  <w:rPr>
                    <w:rFonts w:ascii="Times New Roman" w:eastAsia="Times New Roman" w:hAnsi="Times New Roman"/>
                    <w:color w:val="000000" w:themeColor="text1"/>
                    <w:sz w:val="18"/>
                    <w:szCs w:val="18"/>
                  </w:rPr>
                  <w:t xml:space="preserve">- 592.786.963 </w:t>
                </w:r>
              </w:p>
            </w:tc>
          </w:tr>
          <w:tr w:rsidR="7C50662E" w14:paraId="12114BA1" w14:textId="77777777" w:rsidTr="00E8265B">
            <w:trPr>
              <w:trHeight w:val="340"/>
            </w:trPr>
            <w:tc>
              <w:tcPr>
                <w:tcW w:w="2447" w:type="pct"/>
                <w:gridSpan w:val="2"/>
                <w:tcMar>
                  <w:top w:w="15" w:type="dxa"/>
                  <w:left w:w="15" w:type="dxa"/>
                  <w:right w:w="15" w:type="dxa"/>
                </w:tcMar>
                <w:vAlign w:val="center"/>
              </w:tcPr>
              <w:p w14:paraId="60C656D3" w14:textId="6E708D90" w:rsidR="7C50662E" w:rsidRPr="009A46BB" w:rsidRDefault="7C50662E" w:rsidP="7C50662E">
                <w:pPr>
                  <w:spacing w:after="0"/>
                  <w:jc w:val="center"/>
                  <w:rPr>
                    <w:rFonts w:ascii="Times New Roman" w:hAnsi="Times New Roman"/>
                    <w:sz w:val="18"/>
                    <w:szCs w:val="18"/>
                  </w:rPr>
                </w:pPr>
                <w:r w:rsidRPr="009A46BB">
                  <w:rPr>
                    <w:rFonts w:ascii="Times New Roman" w:eastAsia="Times New Roman" w:hAnsi="Times New Roman"/>
                    <w:b/>
                    <w:color w:val="000000" w:themeColor="text1"/>
                    <w:sz w:val="18"/>
                    <w:szCs w:val="18"/>
                  </w:rPr>
                  <w:t>TOTAL</w:t>
                </w:r>
              </w:p>
            </w:tc>
            <w:tc>
              <w:tcPr>
                <w:tcW w:w="870" w:type="pct"/>
                <w:tcMar>
                  <w:top w:w="15" w:type="dxa"/>
                  <w:left w:w="15" w:type="dxa"/>
                  <w:right w:w="15" w:type="dxa"/>
                </w:tcMar>
                <w:vAlign w:val="center"/>
              </w:tcPr>
              <w:p w14:paraId="2532DA94" w14:textId="5D4857BB" w:rsidR="7C50662E" w:rsidRPr="009A46BB" w:rsidRDefault="7C50662E" w:rsidP="00645688">
                <w:pPr>
                  <w:spacing w:after="0"/>
                  <w:jc w:val="right"/>
                  <w:rPr>
                    <w:rFonts w:ascii="Times New Roman" w:hAnsi="Times New Roman"/>
                    <w:sz w:val="18"/>
                    <w:szCs w:val="18"/>
                  </w:rPr>
                </w:pPr>
                <w:r w:rsidRPr="009A46BB">
                  <w:rPr>
                    <w:rFonts w:ascii="Times New Roman" w:eastAsia="Times New Roman" w:hAnsi="Times New Roman"/>
                    <w:b/>
                    <w:color w:val="000000" w:themeColor="text1"/>
                    <w:sz w:val="18"/>
                    <w:szCs w:val="18"/>
                  </w:rPr>
                  <w:t>453.198.621.049</w:t>
                </w:r>
              </w:p>
            </w:tc>
            <w:tc>
              <w:tcPr>
                <w:tcW w:w="870" w:type="pct"/>
                <w:tcMar>
                  <w:top w:w="15" w:type="dxa"/>
                  <w:left w:w="15" w:type="dxa"/>
                  <w:right w:w="15" w:type="dxa"/>
                </w:tcMar>
                <w:vAlign w:val="center"/>
              </w:tcPr>
              <w:p w14:paraId="7193EA2A" w14:textId="37EBAA93" w:rsidR="7C50662E" w:rsidRPr="009A46BB" w:rsidRDefault="067A4BA5" w:rsidP="00645688">
                <w:pPr>
                  <w:spacing w:after="0"/>
                  <w:jc w:val="right"/>
                  <w:rPr>
                    <w:rFonts w:ascii="Times New Roman" w:eastAsia="Times New Roman" w:hAnsi="Times New Roman"/>
                    <w:b/>
                    <w:color w:val="000000" w:themeColor="text1"/>
                    <w:sz w:val="18"/>
                    <w:szCs w:val="18"/>
                  </w:rPr>
                </w:pPr>
                <w:r w:rsidRPr="009A46BB">
                  <w:rPr>
                    <w:rFonts w:ascii="Times New Roman" w:eastAsia="Times New Roman" w:hAnsi="Times New Roman"/>
                    <w:b/>
                    <w:color w:val="000000" w:themeColor="text1"/>
                    <w:sz w:val="18"/>
                    <w:szCs w:val="18"/>
                  </w:rPr>
                  <w:t xml:space="preserve">   </w:t>
                </w:r>
                <w:r w:rsidR="7C50662E" w:rsidRPr="009A46BB">
                  <w:rPr>
                    <w:rFonts w:ascii="Times New Roman" w:eastAsia="Times New Roman" w:hAnsi="Times New Roman"/>
                    <w:b/>
                    <w:color w:val="000000" w:themeColor="text1"/>
                    <w:sz w:val="18"/>
                    <w:szCs w:val="18"/>
                  </w:rPr>
                  <w:t>443.648.048.273</w:t>
                </w:r>
              </w:p>
            </w:tc>
            <w:tc>
              <w:tcPr>
                <w:tcW w:w="812" w:type="pct"/>
                <w:tcMar>
                  <w:top w:w="15" w:type="dxa"/>
                  <w:left w:w="15" w:type="dxa"/>
                  <w:right w:w="15" w:type="dxa"/>
                </w:tcMar>
                <w:vAlign w:val="center"/>
              </w:tcPr>
              <w:p w14:paraId="766F19DD" w14:textId="5207C5D6" w:rsidR="7C50662E" w:rsidRPr="009A46BB" w:rsidRDefault="067A4BA5" w:rsidP="00645688">
                <w:pPr>
                  <w:spacing w:after="0"/>
                  <w:jc w:val="right"/>
                  <w:rPr>
                    <w:rFonts w:ascii="Times New Roman" w:eastAsia="Times New Roman" w:hAnsi="Times New Roman"/>
                    <w:b/>
                    <w:color w:val="000000" w:themeColor="text1"/>
                    <w:sz w:val="18"/>
                    <w:szCs w:val="18"/>
                  </w:rPr>
                </w:pPr>
                <w:r w:rsidRPr="009A46BB">
                  <w:rPr>
                    <w:rFonts w:ascii="Times New Roman" w:eastAsia="Times New Roman" w:hAnsi="Times New Roman"/>
                    <w:b/>
                    <w:color w:val="000000" w:themeColor="text1"/>
                    <w:sz w:val="18"/>
                    <w:szCs w:val="18"/>
                  </w:rPr>
                  <w:t xml:space="preserve">   </w:t>
                </w:r>
                <w:r w:rsidR="7C50662E" w:rsidRPr="009A46BB">
                  <w:rPr>
                    <w:rFonts w:ascii="Times New Roman" w:eastAsia="Times New Roman" w:hAnsi="Times New Roman"/>
                    <w:b/>
                    <w:color w:val="000000" w:themeColor="text1"/>
                    <w:sz w:val="18"/>
                    <w:szCs w:val="18"/>
                  </w:rPr>
                  <w:t>9.550.572.776</w:t>
                </w:r>
              </w:p>
            </w:tc>
          </w:tr>
        </w:tbl>
        <w:p w14:paraId="055041F4" w14:textId="3D82CE72" w:rsidR="00EB26C5" w:rsidRPr="00931DCE" w:rsidRDefault="00AD2026" w:rsidP="00EB26C5">
          <w:pPr>
            <w:spacing w:after="0" w:line="240" w:lineRule="auto"/>
            <w:jc w:val="both"/>
            <w:rPr>
              <w:rFonts w:ascii="Times New Roman" w:hAnsi="Times New Roman"/>
              <w:sz w:val="14"/>
              <w:szCs w:val="14"/>
            </w:rPr>
          </w:pPr>
          <w:r w:rsidRPr="00931DCE">
            <w:rPr>
              <w:rFonts w:ascii="Times New Roman" w:hAnsi="Times New Roman"/>
              <w:sz w:val="14"/>
              <w:szCs w:val="14"/>
            </w:rPr>
            <w:t>Cifras expresadas en pesos</w:t>
          </w:r>
          <w:r w:rsidR="00EB26C5" w:rsidRPr="00931DCE">
            <w:rPr>
              <w:rFonts w:ascii="Times New Roman" w:hAnsi="Times New Roman"/>
              <w:sz w:val="14"/>
              <w:szCs w:val="14"/>
            </w:rPr>
            <w:t xml:space="preserve"> </w:t>
          </w:r>
        </w:p>
        <w:p w14:paraId="64941236" w14:textId="07767082" w:rsidR="00A1191A" w:rsidRPr="00931DCE" w:rsidRDefault="00A1191A" w:rsidP="00376E7E">
          <w:pPr>
            <w:spacing w:after="0" w:line="240" w:lineRule="auto"/>
            <w:jc w:val="both"/>
            <w:rPr>
              <w:rFonts w:ascii="Times New Roman" w:eastAsiaTheme="majorEastAsia" w:hAnsi="Times New Roman"/>
              <w:b/>
              <w:color w:val="1F3864" w:themeColor="accent1" w:themeShade="80"/>
              <w:sz w:val="24"/>
              <w:szCs w:val="24"/>
            </w:rPr>
          </w:pPr>
        </w:p>
        <w:p w14:paraId="3180964A" w14:textId="77777777" w:rsidR="005D3C9A" w:rsidRPr="00931DCE" w:rsidRDefault="005D3C9A" w:rsidP="00376E7E">
          <w:pPr>
            <w:spacing w:after="0" w:line="240" w:lineRule="auto"/>
            <w:jc w:val="both"/>
            <w:rPr>
              <w:rFonts w:ascii="Times New Roman" w:hAnsi="Times New Roman"/>
              <w:sz w:val="24"/>
              <w:szCs w:val="24"/>
            </w:rPr>
          </w:pPr>
        </w:p>
        <w:p w14:paraId="593F0DFF" w14:textId="2707F198" w:rsidR="00F249E8" w:rsidRPr="00931DCE" w:rsidRDefault="00945BB4" w:rsidP="004A000E">
          <w:pPr>
            <w:pStyle w:val="Ttulo1"/>
            <w:rPr>
              <w:rFonts w:cs="Times New Roman"/>
            </w:rPr>
          </w:pPr>
          <w:bookmarkStart w:id="83" w:name="_Toc159952419"/>
          <w:r w:rsidRPr="00931DCE">
            <w:rPr>
              <w:rFonts w:cs="Times New Roman"/>
            </w:rPr>
            <w:t>NOTA 2</w:t>
          </w:r>
          <w:r w:rsidR="00521FE4" w:rsidRPr="00931DCE">
            <w:rPr>
              <w:rFonts w:cs="Times New Roman"/>
            </w:rPr>
            <w:t>5</w:t>
          </w:r>
          <w:r w:rsidRPr="00931DCE">
            <w:rPr>
              <w:rFonts w:cs="Times New Roman"/>
            </w:rPr>
            <w:t>. ACTIVOS Y PASIVOS CONTINGENTES</w:t>
          </w:r>
          <w:bookmarkEnd w:id="83"/>
        </w:p>
        <w:p w14:paraId="10102A8D" w14:textId="77777777" w:rsidR="00AA74EC" w:rsidRPr="00931DCE" w:rsidRDefault="00AA74EC" w:rsidP="004A000E">
          <w:pPr>
            <w:spacing w:after="0" w:line="240" w:lineRule="auto"/>
            <w:jc w:val="both"/>
            <w:rPr>
              <w:rFonts w:ascii="Times New Roman" w:hAnsi="Times New Roman"/>
              <w:b/>
              <w:sz w:val="24"/>
              <w:szCs w:val="24"/>
            </w:rPr>
          </w:pPr>
        </w:p>
        <w:p w14:paraId="573D1A12" w14:textId="531ACBB7" w:rsidR="00AA74EC" w:rsidRPr="00931DCE" w:rsidRDefault="0062158F">
          <w:pPr>
            <w:pStyle w:val="Ttulo2"/>
            <w:numPr>
              <w:ilvl w:val="1"/>
              <w:numId w:val="17"/>
            </w:numPr>
            <w:ind w:left="567" w:hanging="567"/>
            <w:rPr>
              <w:rFonts w:cs="Times New Roman"/>
              <w:szCs w:val="24"/>
            </w:rPr>
          </w:pPr>
          <w:bookmarkStart w:id="84" w:name="_Toc159952420"/>
          <w:r w:rsidRPr="00931DCE">
            <w:rPr>
              <w:rFonts w:cs="Times New Roman"/>
              <w:szCs w:val="24"/>
            </w:rPr>
            <w:t>Activos contingentes</w:t>
          </w:r>
          <w:bookmarkEnd w:id="84"/>
        </w:p>
        <w:p w14:paraId="124C963B" w14:textId="4023E1DA" w:rsidR="00AC432B" w:rsidRPr="00931DCE" w:rsidRDefault="00AC432B" w:rsidP="004A000E">
          <w:pPr>
            <w:spacing w:after="0" w:line="240" w:lineRule="auto"/>
            <w:jc w:val="both"/>
            <w:rPr>
              <w:rFonts w:ascii="Times New Roman" w:hAnsi="Times New Roman"/>
              <w:sz w:val="24"/>
              <w:szCs w:val="24"/>
            </w:rPr>
          </w:pPr>
        </w:p>
        <w:tbl>
          <w:tblPr>
            <w:tblW w:w="5000" w:type="pct"/>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CellMar>
              <w:left w:w="70" w:type="dxa"/>
              <w:right w:w="70" w:type="dxa"/>
            </w:tblCellMar>
            <w:tblLook w:val="04A0" w:firstRow="1" w:lastRow="0" w:firstColumn="1" w:lastColumn="0" w:noHBand="0" w:noVBand="1"/>
          </w:tblPr>
          <w:tblGrid>
            <w:gridCol w:w="1151"/>
            <w:gridCol w:w="521"/>
            <w:gridCol w:w="2942"/>
            <w:gridCol w:w="1510"/>
            <w:gridCol w:w="1355"/>
            <w:gridCol w:w="1490"/>
          </w:tblGrid>
          <w:tr w:rsidR="00660F5E" w:rsidRPr="00660F5E" w14:paraId="68953FE8" w14:textId="77777777" w:rsidTr="00E8265B">
            <w:trPr>
              <w:trHeight w:val="340"/>
            </w:trPr>
            <w:tc>
              <w:tcPr>
                <w:tcW w:w="516" w:type="pct"/>
                <w:shd w:val="clear" w:color="auto" w:fill="auto"/>
                <w:vAlign w:val="center"/>
                <w:hideMark/>
              </w:tcPr>
              <w:p w14:paraId="7E2BC368" w14:textId="77777777" w:rsidR="00660F5E" w:rsidRPr="009A46BB" w:rsidRDefault="00660F5E" w:rsidP="00660F5E">
                <w:pPr>
                  <w:spacing w:after="0" w:line="240" w:lineRule="auto"/>
                  <w:jc w:val="center"/>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CÓDIGO CONTABLE</w:t>
                </w:r>
              </w:p>
            </w:tc>
            <w:tc>
              <w:tcPr>
                <w:tcW w:w="326" w:type="pct"/>
                <w:shd w:val="clear" w:color="auto" w:fill="auto"/>
                <w:vAlign w:val="center"/>
                <w:hideMark/>
              </w:tcPr>
              <w:p w14:paraId="6FF47B5E" w14:textId="77777777" w:rsidR="00660F5E" w:rsidRPr="009A46BB" w:rsidRDefault="00660F5E" w:rsidP="00660F5E">
                <w:pPr>
                  <w:spacing w:after="0" w:line="240" w:lineRule="auto"/>
                  <w:jc w:val="center"/>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NAT</w:t>
                </w:r>
              </w:p>
            </w:tc>
            <w:tc>
              <w:tcPr>
                <w:tcW w:w="1704" w:type="pct"/>
                <w:shd w:val="clear" w:color="auto" w:fill="auto"/>
                <w:vAlign w:val="center"/>
                <w:hideMark/>
              </w:tcPr>
              <w:p w14:paraId="112DB877" w14:textId="77777777" w:rsidR="00660F5E" w:rsidRPr="009A46BB" w:rsidRDefault="00660F5E" w:rsidP="00660F5E">
                <w:pPr>
                  <w:spacing w:after="0" w:line="240" w:lineRule="auto"/>
                  <w:jc w:val="center"/>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CONCEPTO</w:t>
                </w:r>
              </w:p>
            </w:tc>
            <w:tc>
              <w:tcPr>
                <w:tcW w:w="901" w:type="pct"/>
                <w:shd w:val="clear" w:color="auto" w:fill="auto"/>
                <w:vAlign w:val="center"/>
                <w:hideMark/>
              </w:tcPr>
              <w:p w14:paraId="220A75B0" w14:textId="77777777" w:rsidR="00660F5E" w:rsidRPr="009A46BB" w:rsidRDefault="00660F5E" w:rsidP="00660F5E">
                <w:pPr>
                  <w:spacing w:after="0" w:line="240" w:lineRule="auto"/>
                  <w:jc w:val="center"/>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 xml:space="preserve">2023 </w:t>
                </w:r>
              </w:p>
            </w:tc>
            <w:tc>
              <w:tcPr>
                <w:tcW w:w="759" w:type="pct"/>
                <w:shd w:val="clear" w:color="auto" w:fill="auto"/>
                <w:vAlign w:val="center"/>
                <w:hideMark/>
              </w:tcPr>
              <w:p w14:paraId="0651AD38" w14:textId="77777777" w:rsidR="00660F5E" w:rsidRPr="009A46BB" w:rsidRDefault="00660F5E" w:rsidP="00660F5E">
                <w:pPr>
                  <w:spacing w:after="0" w:line="240" w:lineRule="auto"/>
                  <w:jc w:val="center"/>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 xml:space="preserve">2022 </w:t>
                </w:r>
              </w:p>
            </w:tc>
            <w:tc>
              <w:tcPr>
                <w:tcW w:w="794" w:type="pct"/>
                <w:shd w:val="clear" w:color="auto" w:fill="auto"/>
                <w:vAlign w:val="center"/>
                <w:hideMark/>
              </w:tcPr>
              <w:p w14:paraId="066EED60" w14:textId="77777777" w:rsidR="00660F5E" w:rsidRPr="009A46BB" w:rsidRDefault="00660F5E" w:rsidP="00660F5E">
                <w:pPr>
                  <w:spacing w:after="0" w:line="240" w:lineRule="auto"/>
                  <w:jc w:val="center"/>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VALOR VARIACIÓN</w:t>
                </w:r>
              </w:p>
            </w:tc>
          </w:tr>
          <w:tr w:rsidR="00660F5E" w:rsidRPr="00660F5E" w14:paraId="5B521DCB" w14:textId="77777777" w:rsidTr="00E8265B">
            <w:trPr>
              <w:trHeight w:val="340"/>
            </w:trPr>
            <w:tc>
              <w:tcPr>
                <w:tcW w:w="516" w:type="pct"/>
                <w:shd w:val="clear" w:color="auto" w:fill="auto"/>
                <w:noWrap/>
                <w:vAlign w:val="center"/>
                <w:hideMark/>
              </w:tcPr>
              <w:p w14:paraId="40C1A4C9" w14:textId="77777777" w:rsidR="00660F5E" w:rsidRPr="009A46BB" w:rsidRDefault="00660F5E" w:rsidP="00660F5E">
                <w:pPr>
                  <w:spacing w:after="0" w:line="240" w:lineRule="auto"/>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8.1</w:t>
                </w:r>
              </w:p>
            </w:tc>
            <w:tc>
              <w:tcPr>
                <w:tcW w:w="326" w:type="pct"/>
                <w:shd w:val="clear" w:color="auto" w:fill="auto"/>
                <w:noWrap/>
                <w:vAlign w:val="center"/>
                <w:hideMark/>
              </w:tcPr>
              <w:p w14:paraId="5FDB965F" w14:textId="77777777" w:rsidR="00660F5E" w:rsidRPr="009A46BB" w:rsidRDefault="00660F5E" w:rsidP="00660F5E">
                <w:pPr>
                  <w:spacing w:after="0" w:line="240" w:lineRule="auto"/>
                  <w:jc w:val="center"/>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Db</w:t>
                </w:r>
              </w:p>
            </w:tc>
            <w:tc>
              <w:tcPr>
                <w:tcW w:w="1704" w:type="pct"/>
                <w:shd w:val="clear" w:color="auto" w:fill="auto"/>
                <w:vAlign w:val="center"/>
                <w:hideMark/>
              </w:tcPr>
              <w:p w14:paraId="0624B52C" w14:textId="77777777" w:rsidR="00660F5E" w:rsidRPr="009A46BB" w:rsidRDefault="00660F5E" w:rsidP="00660F5E">
                <w:pPr>
                  <w:spacing w:after="0" w:line="240" w:lineRule="auto"/>
                  <w:jc w:val="center"/>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ACTIVOS CONTINGENTES</w:t>
                </w:r>
              </w:p>
            </w:tc>
            <w:tc>
              <w:tcPr>
                <w:tcW w:w="901" w:type="pct"/>
                <w:shd w:val="clear" w:color="auto" w:fill="auto"/>
                <w:noWrap/>
                <w:vAlign w:val="center"/>
                <w:hideMark/>
              </w:tcPr>
              <w:p w14:paraId="494719B9" w14:textId="32699DBF" w:rsidR="00660F5E" w:rsidRPr="009A46BB" w:rsidRDefault="00660F5E" w:rsidP="00660F5E">
                <w:pPr>
                  <w:spacing w:after="0" w:line="240" w:lineRule="auto"/>
                  <w:jc w:val="right"/>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2.138.602.588.721</w:t>
                </w:r>
              </w:p>
            </w:tc>
            <w:tc>
              <w:tcPr>
                <w:tcW w:w="759" w:type="pct"/>
                <w:shd w:val="clear" w:color="auto" w:fill="auto"/>
                <w:noWrap/>
                <w:vAlign w:val="center"/>
                <w:hideMark/>
              </w:tcPr>
              <w:p w14:paraId="47B2A5A6" w14:textId="6F267496" w:rsidR="00660F5E" w:rsidRPr="009A46BB" w:rsidRDefault="00660F5E" w:rsidP="00660F5E">
                <w:pPr>
                  <w:spacing w:after="0" w:line="240" w:lineRule="auto"/>
                  <w:jc w:val="right"/>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650.536.796.942</w:t>
                </w:r>
              </w:p>
            </w:tc>
            <w:tc>
              <w:tcPr>
                <w:tcW w:w="794" w:type="pct"/>
                <w:shd w:val="clear" w:color="auto" w:fill="auto"/>
                <w:noWrap/>
                <w:vAlign w:val="center"/>
                <w:hideMark/>
              </w:tcPr>
              <w:p w14:paraId="2B89AA2C" w14:textId="0B8FF190" w:rsidR="00660F5E" w:rsidRPr="009A46BB" w:rsidRDefault="00660F5E" w:rsidP="00660F5E">
                <w:pPr>
                  <w:spacing w:after="0" w:line="240" w:lineRule="auto"/>
                  <w:jc w:val="right"/>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1.488.065.791.779</w:t>
                </w:r>
              </w:p>
            </w:tc>
          </w:tr>
          <w:tr w:rsidR="00660F5E" w:rsidRPr="00660F5E" w14:paraId="3CCCCAB1" w14:textId="77777777" w:rsidTr="00E8265B">
            <w:trPr>
              <w:trHeight w:val="340"/>
            </w:trPr>
            <w:tc>
              <w:tcPr>
                <w:tcW w:w="516" w:type="pct"/>
                <w:shd w:val="clear" w:color="auto" w:fill="auto"/>
                <w:noWrap/>
                <w:vAlign w:val="center"/>
                <w:hideMark/>
              </w:tcPr>
              <w:p w14:paraId="784DDD58" w14:textId="77777777" w:rsidR="00660F5E" w:rsidRPr="009A46BB" w:rsidRDefault="00660F5E" w:rsidP="00660F5E">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8.1.20</w:t>
                </w:r>
              </w:p>
            </w:tc>
            <w:tc>
              <w:tcPr>
                <w:tcW w:w="326" w:type="pct"/>
                <w:shd w:val="clear" w:color="auto" w:fill="auto"/>
                <w:noWrap/>
                <w:vAlign w:val="center"/>
                <w:hideMark/>
              </w:tcPr>
              <w:p w14:paraId="5E3168AF" w14:textId="77777777" w:rsidR="00660F5E" w:rsidRPr="009A46BB" w:rsidRDefault="00660F5E" w:rsidP="00660F5E">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Db</w:t>
                </w:r>
              </w:p>
            </w:tc>
            <w:tc>
              <w:tcPr>
                <w:tcW w:w="1704" w:type="pct"/>
                <w:shd w:val="clear" w:color="auto" w:fill="auto"/>
                <w:vAlign w:val="center"/>
                <w:hideMark/>
              </w:tcPr>
              <w:p w14:paraId="2889FB2F" w14:textId="77777777" w:rsidR="00660F5E" w:rsidRPr="009A46BB" w:rsidRDefault="00660F5E" w:rsidP="00660F5E">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Litigios y mecanismos alternativos de solución de conflictos</w:t>
                </w:r>
              </w:p>
            </w:tc>
            <w:tc>
              <w:tcPr>
                <w:tcW w:w="901" w:type="pct"/>
                <w:shd w:val="clear" w:color="auto" w:fill="auto"/>
                <w:noWrap/>
                <w:vAlign w:val="center"/>
                <w:hideMark/>
              </w:tcPr>
              <w:p w14:paraId="50760C58" w14:textId="22D8CBDC" w:rsidR="00660F5E" w:rsidRPr="009A46BB" w:rsidRDefault="00660F5E" w:rsidP="00660F5E">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332.062.940.943</w:t>
                </w:r>
              </w:p>
            </w:tc>
            <w:tc>
              <w:tcPr>
                <w:tcW w:w="759" w:type="pct"/>
                <w:shd w:val="clear" w:color="auto" w:fill="auto"/>
                <w:noWrap/>
                <w:vAlign w:val="center"/>
                <w:hideMark/>
              </w:tcPr>
              <w:p w14:paraId="5BC476BD" w14:textId="5149D3E9" w:rsidR="00660F5E" w:rsidRPr="009A46BB" w:rsidRDefault="00660F5E" w:rsidP="00660F5E">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633.944.796.942</w:t>
                </w:r>
              </w:p>
            </w:tc>
            <w:tc>
              <w:tcPr>
                <w:tcW w:w="794" w:type="pct"/>
                <w:shd w:val="clear" w:color="auto" w:fill="auto"/>
                <w:noWrap/>
                <w:vAlign w:val="center"/>
                <w:hideMark/>
              </w:tcPr>
              <w:p w14:paraId="1B0C2AA5" w14:textId="4180BF22" w:rsidR="00660F5E" w:rsidRPr="009A46BB" w:rsidRDefault="00660F5E" w:rsidP="00660F5E">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-301.881.855.999</w:t>
                </w:r>
              </w:p>
            </w:tc>
          </w:tr>
          <w:tr w:rsidR="00660F5E" w:rsidRPr="00660F5E" w14:paraId="13A67632" w14:textId="77777777" w:rsidTr="00E8265B">
            <w:trPr>
              <w:trHeight w:val="340"/>
            </w:trPr>
            <w:tc>
              <w:tcPr>
                <w:tcW w:w="516" w:type="pct"/>
                <w:shd w:val="clear" w:color="auto" w:fill="auto"/>
                <w:noWrap/>
                <w:vAlign w:val="center"/>
                <w:hideMark/>
              </w:tcPr>
              <w:p w14:paraId="1788BE79" w14:textId="77777777" w:rsidR="00660F5E" w:rsidRPr="009A46BB" w:rsidRDefault="00660F5E" w:rsidP="00660F5E">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8.1.28</w:t>
                </w:r>
              </w:p>
            </w:tc>
            <w:tc>
              <w:tcPr>
                <w:tcW w:w="326" w:type="pct"/>
                <w:shd w:val="clear" w:color="auto" w:fill="auto"/>
                <w:noWrap/>
                <w:vAlign w:val="center"/>
                <w:hideMark/>
              </w:tcPr>
              <w:p w14:paraId="73FFD716" w14:textId="77777777" w:rsidR="00660F5E" w:rsidRPr="009A46BB" w:rsidRDefault="00660F5E" w:rsidP="00660F5E">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Db</w:t>
                </w:r>
              </w:p>
            </w:tc>
            <w:tc>
              <w:tcPr>
                <w:tcW w:w="1704" w:type="pct"/>
                <w:shd w:val="clear" w:color="auto" w:fill="auto"/>
                <w:vAlign w:val="center"/>
                <w:hideMark/>
              </w:tcPr>
              <w:p w14:paraId="38EB4A7F" w14:textId="77777777" w:rsidR="00660F5E" w:rsidRPr="009A46BB" w:rsidRDefault="00660F5E" w:rsidP="00660F5E">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Garantías contractuales</w:t>
                </w:r>
              </w:p>
            </w:tc>
            <w:tc>
              <w:tcPr>
                <w:tcW w:w="901" w:type="pct"/>
                <w:shd w:val="clear" w:color="auto" w:fill="auto"/>
                <w:noWrap/>
                <w:vAlign w:val="center"/>
                <w:hideMark/>
              </w:tcPr>
              <w:p w14:paraId="3595CC5E" w14:textId="31F3D91A" w:rsidR="00660F5E" w:rsidRPr="009A46BB" w:rsidRDefault="00660F5E" w:rsidP="00660F5E">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1.789.947.647.778</w:t>
                </w:r>
              </w:p>
            </w:tc>
            <w:tc>
              <w:tcPr>
                <w:tcW w:w="759" w:type="pct"/>
                <w:shd w:val="clear" w:color="auto" w:fill="auto"/>
                <w:noWrap/>
                <w:vAlign w:val="center"/>
                <w:hideMark/>
              </w:tcPr>
              <w:p w14:paraId="4ECE1102" w14:textId="1B474BA6" w:rsidR="00660F5E" w:rsidRPr="009A46BB" w:rsidRDefault="00660F5E" w:rsidP="00406FB8">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w:t>
                </w:r>
                <w:r w:rsidR="00406FB8" w:rsidRPr="009A46BB">
                  <w:rPr>
                    <w:rFonts w:ascii="Times New Roman" w:eastAsia="Times New Roman" w:hAnsi="Times New Roman"/>
                    <w:color w:val="000000"/>
                    <w:sz w:val="18"/>
                    <w:szCs w:val="18"/>
                    <w:lang w:eastAsia="es-CO"/>
                  </w:rPr>
                  <w:t>0</w:t>
                </w:r>
              </w:p>
            </w:tc>
            <w:tc>
              <w:tcPr>
                <w:tcW w:w="794" w:type="pct"/>
                <w:shd w:val="clear" w:color="auto" w:fill="auto"/>
                <w:noWrap/>
                <w:vAlign w:val="center"/>
                <w:hideMark/>
              </w:tcPr>
              <w:p w14:paraId="526F51EB" w14:textId="67D0832E" w:rsidR="00660F5E" w:rsidRPr="009A46BB" w:rsidRDefault="00660F5E" w:rsidP="00660F5E">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1.789.947.647.778</w:t>
                </w:r>
              </w:p>
            </w:tc>
          </w:tr>
          <w:tr w:rsidR="00660F5E" w:rsidRPr="00660F5E" w14:paraId="22CC6DBC" w14:textId="77777777" w:rsidTr="00E8265B">
            <w:trPr>
              <w:trHeight w:val="340"/>
            </w:trPr>
            <w:tc>
              <w:tcPr>
                <w:tcW w:w="516" w:type="pct"/>
                <w:shd w:val="clear" w:color="auto" w:fill="auto"/>
                <w:noWrap/>
                <w:vAlign w:val="center"/>
                <w:hideMark/>
              </w:tcPr>
              <w:p w14:paraId="74111D20" w14:textId="77777777" w:rsidR="00660F5E" w:rsidRPr="009A46BB" w:rsidRDefault="00660F5E" w:rsidP="00660F5E">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8.1.90</w:t>
                </w:r>
              </w:p>
            </w:tc>
            <w:tc>
              <w:tcPr>
                <w:tcW w:w="326" w:type="pct"/>
                <w:shd w:val="clear" w:color="auto" w:fill="auto"/>
                <w:noWrap/>
                <w:vAlign w:val="center"/>
                <w:hideMark/>
              </w:tcPr>
              <w:p w14:paraId="4F9740F8" w14:textId="77777777" w:rsidR="00660F5E" w:rsidRPr="009A46BB" w:rsidRDefault="00660F5E" w:rsidP="00660F5E">
                <w:pPr>
                  <w:spacing w:after="0" w:line="240" w:lineRule="auto"/>
                  <w:jc w:val="center"/>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Db</w:t>
                </w:r>
              </w:p>
            </w:tc>
            <w:tc>
              <w:tcPr>
                <w:tcW w:w="1704" w:type="pct"/>
                <w:shd w:val="clear" w:color="auto" w:fill="auto"/>
                <w:vAlign w:val="center"/>
                <w:hideMark/>
              </w:tcPr>
              <w:p w14:paraId="78A45D1B" w14:textId="77777777" w:rsidR="00660F5E" w:rsidRPr="009A46BB" w:rsidRDefault="00660F5E" w:rsidP="00660F5E">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Otros activos contingentes</w:t>
                </w:r>
              </w:p>
            </w:tc>
            <w:tc>
              <w:tcPr>
                <w:tcW w:w="901" w:type="pct"/>
                <w:shd w:val="clear" w:color="auto" w:fill="auto"/>
                <w:noWrap/>
                <w:vAlign w:val="center"/>
                <w:hideMark/>
              </w:tcPr>
              <w:p w14:paraId="5494CE0B" w14:textId="0437EC26" w:rsidR="00660F5E" w:rsidRPr="009A46BB" w:rsidRDefault="00660F5E" w:rsidP="00660F5E">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16.592.000.000</w:t>
                </w:r>
              </w:p>
            </w:tc>
            <w:tc>
              <w:tcPr>
                <w:tcW w:w="759" w:type="pct"/>
                <w:shd w:val="clear" w:color="auto" w:fill="auto"/>
                <w:noWrap/>
                <w:vAlign w:val="center"/>
                <w:hideMark/>
              </w:tcPr>
              <w:p w14:paraId="6BB151F0" w14:textId="4EF3C9B6" w:rsidR="00660F5E" w:rsidRPr="009A46BB" w:rsidRDefault="00660F5E" w:rsidP="00660F5E">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16.592.000.000</w:t>
                </w:r>
              </w:p>
            </w:tc>
            <w:tc>
              <w:tcPr>
                <w:tcW w:w="794" w:type="pct"/>
                <w:shd w:val="clear" w:color="auto" w:fill="auto"/>
                <w:noWrap/>
                <w:vAlign w:val="center"/>
                <w:hideMark/>
              </w:tcPr>
              <w:p w14:paraId="0CA14B24" w14:textId="4EE15542" w:rsidR="00660F5E" w:rsidRPr="009A46BB" w:rsidRDefault="00660F5E" w:rsidP="00660F5E">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0</w:t>
                </w:r>
              </w:p>
            </w:tc>
          </w:tr>
        </w:tbl>
        <w:p w14:paraId="246454FD" w14:textId="56EAEB41" w:rsidR="00220F62" w:rsidRPr="00CA4C09" w:rsidRDefault="002D38C2" w:rsidP="00220F62">
          <w:pPr>
            <w:spacing w:after="0" w:line="240" w:lineRule="auto"/>
            <w:jc w:val="both"/>
            <w:rPr>
              <w:rFonts w:ascii="Times New Roman" w:hAnsi="Times New Roman"/>
              <w:sz w:val="14"/>
              <w:szCs w:val="14"/>
            </w:rPr>
          </w:pPr>
          <w:r>
            <w:rPr>
              <w:rFonts w:ascii="Times New Roman" w:hAnsi="Times New Roman"/>
              <w:sz w:val="14"/>
              <w:szCs w:val="14"/>
            </w:rPr>
            <w:t xml:space="preserve">Cifras expresadas en pesos </w:t>
          </w:r>
        </w:p>
        <w:p w14:paraId="4E8C3EE0" w14:textId="77777777" w:rsidR="002D38C2" w:rsidRPr="00CA4C09" w:rsidRDefault="002D38C2" w:rsidP="00220F62">
          <w:pPr>
            <w:spacing w:after="0" w:line="240" w:lineRule="auto"/>
            <w:jc w:val="both"/>
            <w:rPr>
              <w:rFonts w:ascii="Times New Roman" w:hAnsi="Times New Roman"/>
              <w:sz w:val="14"/>
              <w:szCs w:val="14"/>
            </w:rPr>
          </w:pPr>
        </w:p>
        <w:p w14:paraId="381D40B5" w14:textId="77777777" w:rsidR="00220F62" w:rsidRPr="00931DCE" w:rsidRDefault="00220F62" w:rsidP="00220F62">
          <w:pPr>
            <w:spacing w:after="0" w:line="240" w:lineRule="auto"/>
            <w:jc w:val="both"/>
            <w:rPr>
              <w:rFonts w:ascii="Times New Roman" w:hAnsi="Times New Roman"/>
              <w:sz w:val="24"/>
              <w:szCs w:val="24"/>
            </w:rPr>
          </w:pPr>
          <w:r w:rsidRPr="00931DCE">
            <w:rPr>
              <w:rFonts w:ascii="Times New Roman" w:hAnsi="Times New Roman"/>
              <w:sz w:val="24"/>
              <w:szCs w:val="24"/>
            </w:rPr>
            <w:t>Conforme la política contable adoptada por la Agencia, un activo contingente es un activo de naturaleza posible surgido a raíz de sucesos pasados, cuya existencia se confirmará solo por la ocurrencia o, en su caso, por la no ocurrencia de uno o más eventos inciertos en el futuro que no están enteramente bajo el control de la entidad.</w:t>
          </w:r>
        </w:p>
        <w:p w14:paraId="55482E94" w14:textId="77777777" w:rsidR="00220F62" w:rsidRPr="00931DCE" w:rsidRDefault="00220F62" w:rsidP="00220F62">
          <w:pPr>
            <w:spacing w:after="0" w:line="240" w:lineRule="auto"/>
            <w:jc w:val="both"/>
            <w:rPr>
              <w:rFonts w:ascii="Times New Roman" w:hAnsi="Times New Roman"/>
              <w:sz w:val="24"/>
              <w:szCs w:val="24"/>
            </w:rPr>
          </w:pPr>
        </w:p>
        <w:p w14:paraId="4D2FC0E7" w14:textId="77777777" w:rsidR="00220F62" w:rsidRPr="00931DCE" w:rsidRDefault="00220F62" w:rsidP="00220F62">
          <w:pPr>
            <w:spacing w:after="0" w:line="240" w:lineRule="auto"/>
            <w:jc w:val="both"/>
            <w:rPr>
              <w:rFonts w:ascii="Times New Roman" w:hAnsi="Times New Roman"/>
              <w:sz w:val="24"/>
              <w:szCs w:val="24"/>
            </w:rPr>
          </w:pPr>
          <w:r w:rsidRPr="00931DCE">
            <w:rPr>
              <w:rFonts w:ascii="Times New Roman" w:hAnsi="Times New Roman"/>
              <w:sz w:val="24"/>
              <w:szCs w:val="24"/>
            </w:rPr>
            <w:t>Los activos contingentes se evaluarán de forma continuada, con el fin de asegurar que su evolución se refleje apropiadamente en los Estados Financieros.  En caso de que la entrada de beneficios económicos o potencial de servicio a la entidad pase a ser prácticamente cierta, se procederá al reconocimiento del ingreso y del activo en los Estados Financieros del periodo en el que dicho cambio tenga lugar.</w:t>
          </w:r>
        </w:p>
        <w:p w14:paraId="3C082F4A" w14:textId="77777777" w:rsidR="00220F62" w:rsidRPr="00931DCE" w:rsidRDefault="00220F62" w:rsidP="00220F62">
          <w:pPr>
            <w:spacing w:after="0" w:line="240" w:lineRule="auto"/>
            <w:jc w:val="both"/>
            <w:rPr>
              <w:rFonts w:ascii="Times New Roman" w:hAnsi="Times New Roman"/>
              <w:sz w:val="24"/>
              <w:szCs w:val="24"/>
            </w:rPr>
          </w:pPr>
        </w:p>
        <w:p w14:paraId="210B0DC4" w14:textId="77777777" w:rsidR="00220F62" w:rsidRPr="00931DCE" w:rsidRDefault="00220F62" w:rsidP="00220F62">
          <w:pPr>
            <w:spacing w:after="0" w:line="240" w:lineRule="auto"/>
            <w:jc w:val="both"/>
            <w:rPr>
              <w:rFonts w:ascii="Times New Roman" w:hAnsi="Times New Roman"/>
              <w:sz w:val="24"/>
              <w:szCs w:val="24"/>
            </w:rPr>
          </w:pPr>
          <w:r w:rsidRPr="00931DCE">
            <w:rPr>
              <w:rFonts w:ascii="Times New Roman" w:hAnsi="Times New Roman"/>
              <w:sz w:val="24"/>
              <w:szCs w:val="24"/>
            </w:rPr>
            <w:t xml:space="preserve">Una vez sean admitidas las contingencias judiciales iniciadas, son objeto de reconocimiento en cuentas de orden deudoras si tienen una medición fiable. Cuando esta no exista o la misma sea igual a cero ($0), no son objeto de reconocimiento.  </w:t>
          </w:r>
        </w:p>
        <w:p w14:paraId="401BD08D" w14:textId="77777777" w:rsidR="00220F62" w:rsidRPr="00931DCE" w:rsidRDefault="00220F62" w:rsidP="00220F62">
          <w:pPr>
            <w:spacing w:after="0" w:line="240" w:lineRule="auto"/>
            <w:jc w:val="both"/>
            <w:rPr>
              <w:rFonts w:ascii="Times New Roman" w:hAnsi="Times New Roman"/>
              <w:sz w:val="24"/>
              <w:szCs w:val="24"/>
            </w:rPr>
          </w:pPr>
        </w:p>
        <w:p w14:paraId="061C7B7B" w14:textId="77777777" w:rsidR="00220F62" w:rsidRPr="00931DCE" w:rsidRDefault="00220F62" w:rsidP="00220F62">
          <w:pPr>
            <w:spacing w:after="0" w:line="240" w:lineRule="auto"/>
            <w:jc w:val="both"/>
            <w:rPr>
              <w:rFonts w:ascii="Times New Roman" w:hAnsi="Times New Roman"/>
              <w:sz w:val="24"/>
              <w:szCs w:val="24"/>
            </w:rPr>
          </w:pPr>
          <w:r w:rsidRPr="00931DCE">
            <w:rPr>
              <w:rFonts w:ascii="Times New Roman" w:hAnsi="Times New Roman"/>
              <w:sz w:val="24"/>
              <w:szCs w:val="24"/>
            </w:rPr>
            <w:t>Para ello se requiere que el Grupo Interno de Trabajo de Defensa Judicial, prepare el reporte de litigios y demandas a favor de la Agencia y reporte según la periodicidad establecida, al Grupo Interno de Trabajo Administrativo y Financiero, con el fin de actualizar la información financiera correspondiente.</w:t>
          </w:r>
        </w:p>
        <w:tbl>
          <w:tblPr>
            <w:tblpPr w:leftFromText="141" w:rightFromText="141" w:vertAnchor="text" w:horzAnchor="margin" w:tblpXSpec="center" w:tblpY="-24"/>
            <w:tblW w:w="5000" w:type="pct"/>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CellMar>
              <w:left w:w="70" w:type="dxa"/>
              <w:right w:w="70" w:type="dxa"/>
            </w:tblCellMar>
            <w:tblLook w:val="04A0" w:firstRow="1" w:lastRow="0" w:firstColumn="1" w:lastColumn="0" w:noHBand="0" w:noVBand="1"/>
          </w:tblPr>
          <w:tblGrid>
            <w:gridCol w:w="1152"/>
            <w:gridCol w:w="698"/>
            <w:gridCol w:w="3675"/>
            <w:gridCol w:w="2126"/>
            <w:gridCol w:w="1318"/>
          </w:tblGrid>
          <w:tr w:rsidR="0026665C" w:rsidRPr="009A46BB" w14:paraId="56216966" w14:textId="77777777" w:rsidTr="00E8265B">
            <w:trPr>
              <w:trHeight w:val="340"/>
            </w:trPr>
            <w:tc>
              <w:tcPr>
                <w:tcW w:w="1031" w:type="pct"/>
                <w:gridSpan w:val="2"/>
                <w:shd w:val="clear" w:color="auto" w:fill="auto"/>
                <w:vAlign w:val="center"/>
                <w:hideMark/>
              </w:tcPr>
              <w:p w14:paraId="253F32C9" w14:textId="77777777" w:rsidR="0026665C" w:rsidRPr="00610DD6" w:rsidRDefault="0026665C" w:rsidP="0026665C">
                <w:pPr>
                  <w:spacing w:after="0" w:line="240" w:lineRule="auto"/>
                  <w:jc w:val="center"/>
                  <w:rPr>
                    <w:rFonts w:ascii="Times New Roman" w:eastAsia="Times New Roman" w:hAnsi="Times New Roman"/>
                    <w:b/>
                    <w:bCs/>
                    <w:sz w:val="18"/>
                    <w:szCs w:val="18"/>
                    <w:lang w:eastAsia="es-CO"/>
                  </w:rPr>
                </w:pPr>
                <w:r w:rsidRPr="00610DD6">
                  <w:rPr>
                    <w:rFonts w:ascii="Times New Roman" w:eastAsia="Times New Roman" w:hAnsi="Times New Roman"/>
                    <w:b/>
                    <w:bCs/>
                    <w:sz w:val="18"/>
                    <w:szCs w:val="18"/>
                    <w:lang w:eastAsia="es-CO"/>
                  </w:rPr>
                  <w:t>DESCRIPCIÓN</w:t>
                </w:r>
              </w:p>
            </w:tc>
            <w:tc>
              <w:tcPr>
                <w:tcW w:w="2049" w:type="pct"/>
                <w:vMerge w:val="restart"/>
                <w:shd w:val="clear" w:color="auto" w:fill="auto"/>
                <w:vAlign w:val="center"/>
                <w:hideMark/>
              </w:tcPr>
              <w:p w14:paraId="048C051E" w14:textId="77777777" w:rsidR="0026665C" w:rsidRPr="00610DD6" w:rsidRDefault="0026665C" w:rsidP="0026665C">
                <w:pPr>
                  <w:spacing w:after="0" w:line="240" w:lineRule="auto"/>
                  <w:jc w:val="center"/>
                  <w:rPr>
                    <w:rFonts w:ascii="Times New Roman" w:eastAsia="Times New Roman" w:hAnsi="Times New Roman"/>
                    <w:b/>
                    <w:bCs/>
                    <w:sz w:val="18"/>
                    <w:szCs w:val="18"/>
                    <w:lang w:eastAsia="es-CO"/>
                  </w:rPr>
                </w:pPr>
                <w:r w:rsidRPr="00610DD6">
                  <w:rPr>
                    <w:rFonts w:ascii="Times New Roman" w:eastAsia="Times New Roman" w:hAnsi="Times New Roman"/>
                    <w:b/>
                    <w:bCs/>
                    <w:sz w:val="18"/>
                    <w:szCs w:val="18"/>
                    <w:lang w:eastAsia="es-CO"/>
                  </w:rPr>
                  <w:t>CONCEPTO</w:t>
                </w:r>
              </w:p>
            </w:tc>
            <w:tc>
              <w:tcPr>
                <w:tcW w:w="1185" w:type="pct"/>
                <w:shd w:val="clear" w:color="auto" w:fill="auto"/>
                <w:vAlign w:val="center"/>
                <w:hideMark/>
              </w:tcPr>
              <w:p w14:paraId="0AACF6F1" w14:textId="77777777" w:rsidR="0026665C" w:rsidRPr="00610DD6" w:rsidRDefault="0026665C" w:rsidP="0026665C">
                <w:pPr>
                  <w:spacing w:after="0" w:line="240" w:lineRule="auto"/>
                  <w:jc w:val="center"/>
                  <w:rPr>
                    <w:rFonts w:ascii="Times New Roman" w:eastAsia="Times New Roman" w:hAnsi="Times New Roman"/>
                    <w:b/>
                    <w:bCs/>
                    <w:sz w:val="18"/>
                    <w:szCs w:val="18"/>
                    <w:lang w:eastAsia="es-CO"/>
                  </w:rPr>
                </w:pPr>
                <w:r w:rsidRPr="00610DD6">
                  <w:rPr>
                    <w:rFonts w:ascii="Times New Roman" w:eastAsia="Times New Roman" w:hAnsi="Times New Roman"/>
                    <w:b/>
                    <w:bCs/>
                    <w:sz w:val="18"/>
                    <w:szCs w:val="18"/>
                    <w:lang w:eastAsia="es-CO"/>
                  </w:rPr>
                  <w:t>2023</w:t>
                </w:r>
              </w:p>
            </w:tc>
            <w:tc>
              <w:tcPr>
                <w:tcW w:w="735" w:type="pct"/>
                <w:vMerge w:val="restart"/>
                <w:shd w:val="clear" w:color="auto" w:fill="auto"/>
                <w:vAlign w:val="center"/>
                <w:hideMark/>
              </w:tcPr>
              <w:p w14:paraId="288A2104" w14:textId="77777777" w:rsidR="0026665C" w:rsidRPr="00610DD6" w:rsidRDefault="0026665C" w:rsidP="0026665C">
                <w:pPr>
                  <w:spacing w:after="0" w:line="240" w:lineRule="auto"/>
                  <w:jc w:val="center"/>
                  <w:rPr>
                    <w:rFonts w:ascii="Times New Roman" w:eastAsia="Times New Roman" w:hAnsi="Times New Roman"/>
                    <w:b/>
                    <w:bCs/>
                    <w:sz w:val="18"/>
                    <w:szCs w:val="18"/>
                    <w:lang w:eastAsia="es-CO"/>
                  </w:rPr>
                </w:pPr>
                <w:r w:rsidRPr="00610DD6">
                  <w:rPr>
                    <w:rFonts w:ascii="Times New Roman" w:eastAsia="Times New Roman" w:hAnsi="Times New Roman"/>
                    <w:b/>
                    <w:bCs/>
                    <w:sz w:val="18"/>
                    <w:szCs w:val="18"/>
                    <w:lang w:eastAsia="es-CO"/>
                  </w:rPr>
                  <w:t>CANTIDAD</w:t>
                </w:r>
                <w:r w:rsidRPr="00610DD6">
                  <w:rPr>
                    <w:rFonts w:ascii="Times New Roman" w:eastAsia="Times New Roman" w:hAnsi="Times New Roman"/>
                    <w:b/>
                    <w:bCs/>
                    <w:sz w:val="18"/>
                    <w:szCs w:val="18"/>
                    <w:lang w:eastAsia="es-CO"/>
                  </w:rPr>
                  <w:br/>
                  <w:t>(Procesos o casos)</w:t>
                </w:r>
              </w:p>
            </w:tc>
          </w:tr>
          <w:tr w:rsidR="0026665C" w:rsidRPr="009A46BB" w14:paraId="1FD5E15D" w14:textId="77777777" w:rsidTr="00E8265B">
            <w:trPr>
              <w:trHeight w:val="340"/>
            </w:trPr>
            <w:tc>
              <w:tcPr>
                <w:tcW w:w="642" w:type="pct"/>
                <w:shd w:val="clear" w:color="auto" w:fill="auto"/>
                <w:vAlign w:val="center"/>
                <w:hideMark/>
              </w:tcPr>
              <w:p w14:paraId="5AD54AD1" w14:textId="77777777" w:rsidR="0026665C" w:rsidRPr="00610DD6" w:rsidRDefault="0026665C" w:rsidP="0026665C">
                <w:pPr>
                  <w:spacing w:after="0" w:line="240" w:lineRule="auto"/>
                  <w:jc w:val="center"/>
                  <w:rPr>
                    <w:rFonts w:ascii="Times New Roman" w:eastAsia="Times New Roman" w:hAnsi="Times New Roman"/>
                    <w:b/>
                    <w:bCs/>
                    <w:sz w:val="18"/>
                    <w:szCs w:val="18"/>
                    <w:lang w:eastAsia="es-CO"/>
                  </w:rPr>
                </w:pPr>
                <w:r w:rsidRPr="00610DD6">
                  <w:rPr>
                    <w:rFonts w:ascii="Times New Roman" w:eastAsia="Times New Roman" w:hAnsi="Times New Roman"/>
                    <w:b/>
                    <w:bCs/>
                    <w:sz w:val="18"/>
                    <w:szCs w:val="18"/>
                    <w:lang w:eastAsia="es-CO"/>
                  </w:rPr>
                  <w:t>CÓDIGO CONTABLE</w:t>
                </w:r>
              </w:p>
            </w:tc>
            <w:tc>
              <w:tcPr>
                <w:tcW w:w="389" w:type="pct"/>
                <w:shd w:val="clear" w:color="auto" w:fill="auto"/>
                <w:vAlign w:val="center"/>
                <w:hideMark/>
              </w:tcPr>
              <w:p w14:paraId="43A408D2" w14:textId="77777777" w:rsidR="0026665C" w:rsidRPr="00610DD6" w:rsidRDefault="0026665C" w:rsidP="0026665C">
                <w:pPr>
                  <w:spacing w:after="0" w:line="240" w:lineRule="auto"/>
                  <w:jc w:val="center"/>
                  <w:rPr>
                    <w:rFonts w:ascii="Times New Roman" w:eastAsia="Times New Roman" w:hAnsi="Times New Roman"/>
                    <w:b/>
                    <w:bCs/>
                    <w:sz w:val="18"/>
                    <w:szCs w:val="18"/>
                    <w:lang w:eastAsia="es-CO"/>
                  </w:rPr>
                </w:pPr>
                <w:r w:rsidRPr="00610DD6">
                  <w:rPr>
                    <w:rFonts w:ascii="Times New Roman" w:eastAsia="Times New Roman" w:hAnsi="Times New Roman"/>
                    <w:b/>
                    <w:bCs/>
                    <w:sz w:val="18"/>
                    <w:szCs w:val="18"/>
                    <w:lang w:eastAsia="es-CO"/>
                  </w:rPr>
                  <w:t>NAT</w:t>
                </w:r>
              </w:p>
            </w:tc>
            <w:tc>
              <w:tcPr>
                <w:tcW w:w="2049" w:type="pct"/>
                <w:vMerge/>
                <w:vAlign w:val="center"/>
                <w:hideMark/>
              </w:tcPr>
              <w:p w14:paraId="06F3326A" w14:textId="77777777" w:rsidR="0026665C" w:rsidRPr="00610DD6" w:rsidRDefault="0026665C" w:rsidP="0026665C">
                <w:pPr>
                  <w:spacing w:after="0" w:line="240" w:lineRule="auto"/>
                  <w:rPr>
                    <w:rFonts w:ascii="Times New Roman" w:eastAsia="Times New Roman" w:hAnsi="Times New Roman"/>
                    <w:b/>
                    <w:bCs/>
                    <w:sz w:val="18"/>
                    <w:szCs w:val="18"/>
                    <w:lang w:eastAsia="es-CO"/>
                  </w:rPr>
                </w:pPr>
              </w:p>
            </w:tc>
            <w:tc>
              <w:tcPr>
                <w:tcW w:w="1185" w:type="pct"/>
                <w:shd w:val="clear" w:color="auto" w:fill="auto"/>
                <w:vAlign w:val="center"/>
                <w:hideMark/>
              </w:tcPr>
              <w:p w14:paraId="3AE1C2FB" w14:textId="77777777" w:rsidR="0026665C" w:rsidRPr="00610DD6" w:rsidRDefault="0026665C" w:rsidP="0026665C">
                <w:pPr>
                  <w:spacing w:after="0" w:line="240" w:lineRule="auto"/>
                  <w:jc w:val="center"/>
                  <w:rPr>
                    <w:rFonts w:ascii="Times New Roman" w:eastAsia="Times New Roman" w:hAnsi="Times New Roman"/>
                    <w:b/>
                    <w:bCs/>
                    <w:sz w:val="18"/>
                    <w:szCs w:val="18"/>
                    <w:lang w:eastAsia="es-CO"/>
                  </w:rPr>
                </w:pPr>
                <w:r w:rsidRPr="00610DD6">
                  <w:rPr>
                    <w:rFonts w:ascii="Times New Roman" w:eastAsia="Times New Roman" w:hAnsi="Times New Roman"/>
                    <w:b/>
                    <w:bCs/>
                    <w:sz w:val="18"/>
                    <w:szCs w:val="18"/>
                    <w:lang w:eastAsia="es-CO"/>
                  </w:rPr>
                  <w:t>VALOR EN LIBROS</w:t>
                </w:r>
              </w:p>
            </w:tc>
            <w:tc>
              <w:tcPr>
                <w:tcW w:w="735" w:type="pct"/>
                <w:vMerge/>
                <w:vAlign w:val="center"/>
                <w:hideMark/>
              </w:tcPr>
              <w:p w14:paraId="0201F30D" w14:textId="77777777" w:rsidR="0026665C" w:rsidRPr="00610DD6" w:rsidRDefault="0026665C" w:rsidP="0026665C">
                <w:pPr>
                  <w:spacing w:after="0" w:line="240" w:lineRule="auto"/>
                  <w:rPr>
                    <w:rFonts w:ascii="Times New Roman" w:eastAsia="Times New Roman" w:hAnsi="Times New Roman"/>
                    <w:b/>
                    <w:bCs/>
                    <w:sz w:val="18"/>
                    <w:szCs w:val="18"/>
                    <w:lang w:eastAsia="es-CO"/>
                  </w:rPr>
                </w:pPr>
              </w:p>
            </w:tc>
          </w:tr>
          <w:tr w:rsidR="0026665C" w:rsidRPr="009A46BB" w14:paraId="7AA1B03F" w14:textId="77777777" w:rsidTr="00E8265B">
            <w:trPr>
              <w:trHeight w:val="340"/>
            </w:trPr>
            <w:tc>
              <w:tcPr>
                <w:tcW w:w="642" w:type="pct"/>
                <w:shd w:val="clear" w:color="auto" w:fill="auto"/>
                <w:noWrap/>
                <w:vAlign w:val="center"/>
                <w:hideMark/>
              </w:tcPr>
              <w:p w14:paraId="6B3363A2" w14:textId="77777777" w:rsidR="0026665C" w:rsidRPr="00610DD6" w:rsidRDefault="0026665C" w:rsidP="0026665C">
                <w:pPr>
                  <w:spacing w:after="0" w:line="240" w:lineRule="auto"/>
                  <w:rPr>
                    <w:rFonts w:ascii="Times New Roman" w:eastAsia="Times New Roman" w:hAnsi="Times New Roman"/>
                    <w:b/>
                    <w:bCs/>
                    <w:sz w:val="18"/>
                    <w:szCs w:val="18"/>
                    <w:lang w:eastAsia="es-CO"/>
                  </w:rPr>
                </w:pPr>
                <w:r w:rsidRPr="00610DD6">
                  <w:rPr>
                    <w:rFonts w:ascii="Times New Roman" w:eastAsia="Times New Roman" w:hAnsi="Times New Roman"/>
                    <w:b/>
                    <w:bCs/>
                    <w:sz w:val="18"/>
                    <w:szCs w:val="18"/>
                    <w:lang w:eastAsia="es-CO"/>
                  </w:rPr>
                  <w:t> </w:t>
                </w:r>
              </w:p>
            </w:tc>
            <w:tc>
              <w:tcPr>
                <w:tcW w:w="389" w:type="pct"/>
                <w:shd w:val="clear" w:color="auto" w:fill="auto"/>
                <w:noWrap/>
                <w:vAlign w:val="center"/>
                <w:hideMark/>
              </w:tcPr>
              <w:p w14:paraId="2D822D32" w14:textId="77777777" w:rsidR="0026665C" w:rsidRPr="00610DD6" w:rsidRDefault="0026665C" w:rsidP="0026665C">
                <w:pPr>
                  <w:spacing w:after="0" w:line="240" w:lineRule="auto"/>
                  <w:jc w:val="center"/>
                  <w:rPr>
                    <w:rFonts w:ascii="Times New Roman" w:eastAsia="Times New Roman" w:hAnsi="Times New Roman"/>
                    <w:b/>
                    <w:bCs/>
                    <w:sz w:val="18"/>
                    <w:szCs w:val="18"/>
                    <w:lang w:eastAsia="es-CO"/>
                  </w:rPr>
                </w:pPr>
                <w:r w:rsidRPr="00610DD6">
                  <w:rPr>
                    <w:rFonts w:ascii="Times New Roman" w:eastAsia="Times New Roman" w:hAnsi="Times New Roman"/>
                    <w:b/>
                    <w:bCs/>
                    <w:sz w:val="18"/>
                    <w:szCs w:val="18"/>
                    <w:lang w:eastAsia="es-CO"/>
                  </w:rPr>
                  <w:t>Db</w:t>
                </w:r>
              </w:p>
            </w:tc>
            <w:tc>
              <w:tcPr>
                <w:tcW w:w="2049" w:type="pct"/>
                <w:shd w:val="clear" w:color="auto" w:fill="auto"/>
                <w:vAlign w:val="center"/>
                <w:hideMark/>
              </w:tcPr>
              <w:p w14:paraId="760CAE01" w14:textId="77777777" w:rsidR="0026665C" w:rsidRPr="00610DD6" w:rsidRDefault="0026665C" w:rsidP="0026665C">
                <w:pPr>
                  <w:spacing w:after="0" w:line="240" w:lineRule="auto"/>
                  <w:jc w:val="center"/>
                  <w:rPr>
                    <w:rFonts w:ascii="Times New Roman" w:eastAsia="Times New Roman" w:hAnsi="Times New Roman"/>
                    <w:b/>
                    <w:bCs/>
                    <w:sz w:val="18"/>
                    <w:szCs w:val="18"/>
                    <w:lang w:eastAsia="es-CO"/>
                  </w:rPr>
                </w:pPr>
                <w:r w:rsidRPr="00610DD6">
                  <w:rPr>
                    <w:rFonts w:ascii="Times New Roman" w:eastAsia="Times New Roman" w:hAnsi="Times New Roman"/>
                    <w:b/>
                    <w:bCs/>
                    <w:sz w:val="18"/>
                    <w:szCs w:val="18"/>
                    <w:lang w:eastAsia="es-CO"/>
                  </w:rPr>
                  <w:t>ACTIVOS CONTINGENTES</w:t>
                </w:r>
              </w:p>
            </w:tc>
            <w:tc>
              <w:tcPr>
                <w:tcW w:w="1185" w:type="pct"/>
                <w:shd w:val="clear" w:color="auto" w:fill="auto"/>
                <w:noWrap/>
                <w:vAlign w:val="center"/>
                <w:hideMark/>
              </w:tcPr>
              <w:p w14:paraId="5F7C4A35" w14:textId="77777777" w:rsidR="0026665C" w:rsidRPr="00610DD6" w:rsidRDefault="0026665C" w:rsidP="0026665C">
                <w:pPr>
                  <w:spacing w:after="0" w:line="240" w:lineRule="auto"/>
                  <w:jc w:val="right"/>
                  <w:rPr>
                    <w:rFonts w:ascii="Times New Roman" w:eastAsia="Times New Roman" w:hAnsi="Times New Roman"/>
                    <w:b/>
                    <w:bCs/>
                    <w:sz w:val="18"/>
                    <w:szCs w:val="18"/>
                    <w:lang w:eastAsia="es-CO"/>
                  </w:rPr>
                </w:pPr>
                <w:r w:rsidRPr="00610DD6">
                  <w:rPr>
                    <w:rFonts w:ascii="Times New Roman" w:eastAsia="Times New Roman" w:hAnsi="Times New Roman"/>
                    <w:b/>
                    <w:bCs/>
                    <w:sz w:val="18"/>
                    <w:szCs w:val="18"/>
                    <w:lang w:eastAsia="es-CO"/>
                  </w:rPr>
                  <w:t xml:space="preserve">2.138.602.588.721 </w:t>
                </w:r>
              </w:p>
            </w:tc>
            <w:tc>
              <w:tcPr>
                <w:tcW w:w="735" w:type="pct"/>
                <w:shd w:val="clear" w:color="auto" w:fill="auto"/>
                <w:noWrap/>
                <w:vAlign w:val="center"/>
                <w:hideMark/>
              </w:tcPr>
              <w:p w14:paraId="3E37B82F" w14:textId="77777777" w:rsidR="0026665C" w:rsidRPr="00610DD6" w:rsidRDefault="0026665C" w:rsidP="0026665C">
                <w:pPr>
                  <w:spacing w:after="0" w:line="240" w:lineRule="auto"/>
                  <w:jc w:val="center"/>
                  <w:rPr>
                    <w:rFonts w:ascii="Times New Roman" w:eastAsia="Times New Roman" w:hAnsi="Times New Roman"/>
                    <w:b/>
                    <w:bCs/>
                    <w:sz w:val="18"/>
                    <w:szCs w:val="18"/>
                    <w:lang w:eastAsia="es-CO"/>
                  </w:rPr>
                </w:pPr>
                <w:r w:rsidRPr="00610DD6">
                  <w:rPr>
                    <w:rFonts w:ascii="Times New Roman" w:eastAsia="Times New Roman" w:hAnsi="Times New Roman"/>
                    <w:b/>
                    <w:bCs/>
                    <w:sz w:val="18"/>
                    <w:szCs w:val="18"/>
                    <w:lang w:eastAsia="es-CO"/>
                  </w:rPr>
                  <w:t>54</w:t>
                </w:r>
              </w:p>
            </w:tc>
          </w:tr>
          <w:tr w:rsidR="0026665C" w:rsidRPr="009A46BB" w14:paraId="729C985C" w14:textId="77777777" w:rsidTr="00E8265B">
            <w:trPr>
              <w:trHeight w:val="340"/>
            </w:trPr>
            <w:tc>
              <w:tcPr>
                <w:tcW w:w="642" w:type="pct"/>
                <w:shd w:val="clear" w:color="auto" w:fill="auto"/>
                <w:noWrap/>
                <w:vAlign w:val="center"/>
                <w:hideMark/>
              </w:tcPr>
              <w:p w14:paraId="27F3648A" w14:textId="77777777" w:rsidR="0026665C" w:rsidRPr="00610DD6" w:rsidRDefault="0026665C" w:rsidP="0026665C">
                <w:pPr>
                  <w:spacing w:after="0" w:line="240" w:lineRule="auto"/>
                  <w:rPr>
                    <w:rFonts w:ascii="Times New Roman" w:eastAsia="Times New Roman" w:hAnsi="Times New Roman"/>
                    <w:b/>
                    <w:bCs/>
                    <w:sz w:val="18"/>
                    <w:szCs w:val="18"/>
                    <w:lang w:eastAsia="es-CO"/>
                  </w:rPr>
                </w:pPr>
                <w:r w:rsidRPr="00610DD6">
                  <w:rPr>
                    <w:rFonts w:ascii="Times New Roman" w:eastAsia="Times New Roman" w:hAnsi="Times New Roman"/>
                    <w:b/>
                    <w:bCs/>
                    <w:sz w:val="18"/>
                    <w:szCs w:val="18"/>
                    <w:lang w:eastAsia="es-CO"/>
                  </w:rPr>
                  <w:t>8.1.20</w:t>
                </w:r>
              </w:p>
            </w:tc>
            <w:tc>
              <w:tcPr>
                <w:tcW w:w="389" w:type="pct"/>
                <w:shd w:val="clear" w:color="auto" w:fill="auto"/>
                <w:noWrap/>
                <w:vAlign w:val="center"/>
                <w:hideMark/>
              </w:tcPr>
              <w:p w14:paraId="3F64BB27" w14:textId="77777777" w:rsidR="0026665C" w:rsidRPr="00610DD6" w:rsidRDefault="0026665C" w:rsidP="0026665C">
                <w:pPr>
                  <w:spacing w:after="0" w:line="240" w:lineRule="auto"/>
                  <w:jc w:val="center"/>
                  <w:rPr>
                    <w:rFonts w:ascii="Times New Roman" w:eastAsia="Times New Roman" w:hAnsi="Times New Roman"/>
                    <w:b/>
                    <w:bCs/>
                    <w:sz w:val="18"/>
                    <w:szCs w:val="18"/>
                    <w:lang w:eastAsia="es-CO"/>
                  </w:rPr>
                </w:pPr>
                <w:r w:rsidRPr="00610DD6">
                  <w:rPr>
                    <w:rFonts w:ascii="Times New Roman" w:eastAsia="Times New Roman" w:hAnsi="Times New Roman"/>
                    <w:b/>
                    <w:bCs/>
                    <w:sz w:val="18"/>
                    <w:szCs w:val="18"/>
                    <w:lang w:eastAsia="es-CO"/>
                  </w:rPr>
                  <w:t>Db</w:t>
                </w:r>
              </w:p>
            </w:tc>
            <w:tc>
              <w:tcPr>
                <w:tcW w:w="2049" w:type="pct"/>
                <w:shd w:val="clear" w:color="auto" w:fill="auto"/>
                <w:vAlign w:val="center"/>
                <w:hideMark/>
              </w:tcPr>
              <w:p w14:paraId="166CA9C7" w14:textId="77777777" w:rsidR="0026665C" w:rsidRPr="00610DD6" w:rsidRDefault="0026665C" w:rsidP="0026665C">
                <w:pPr>
                  <w:spacing w:after="0" w:line="240" w:lineRule="auto"/>
                  <w:rPr>
                    <w:rFonts w:ascii="Times New Roman" w:eastAsia="Times New Roman" w:hAnsi="Times New Roman"/>
                    <w:b/>
                    <w:bCs/>
                    <w:sz w:val="18"/>
                    <w:szCs w:val="18"/>
                    <w:lang w:eastAsia="es-CO"/>
                  </w:rPr>
                </w:pPr>
                <w:r w:rsidRPr="00610DD6">
                  <w:rPr>
                    <w:rFonts w:ascii="Times New Roman" w:eastAsia="Times New Roman" w:hAnsi="Times New Roman"/>
                    <w:b/>
                    <w:bCs/>
                    <w:sz w:val="18"/>
                    <w:szCs w:val="18"/>
                    <w:lang w:eastAsia="es-CO"/>
                  </w:rPr>
                  <w:t>Litigios y mecanismos alternativos de solución de conflictos</w:t>
                </w:r>
              </w:p>
            </w:tc>
            <w:tc>
              <w:tcPr>
                <w:tcW w:w="1185" w:type="pct"/>
                <w:shd w:val="clear" w:color="auto" w:fill="auto"/>
                <w:noWrap/>
                <w:vAlign w:val="center"/>
                <w:hideMark/>
              </w:tcPr>
              <w:p w14:paraId="61B9EC44" w14:textId="77777777" w:rsidR="0026665C" w:rsidRPr="00610DD6" w:rsidRDefault="0026665C" w:rsidP="0026665C">
                <w:pPr>
                  <w:spacing w:after="0" w:line="240" w:lineRule="auto"/>
                  <w:jc w:val="right"/>
                  <w:rPr>
                    <w:rFonts w:ascii="Times New Roman" w:eastAsia="Times New Roman" w:hAnsi="Times New Roman"/>
                    <w:b/>
                    <w:bCs/>
                    <w:sz w:val="18"/>
                    <w:szCs w:val="18"/>
                    <w:lang w:eastAsia="es-CO"/>
                  </w:rPr>
                </w:pPr>
                <w:r w:rsidRPr="00610DD6">
                  <w:rPr>
                    <w:rFonts w:ascii="Times New Roman" w:eastAsia="Times New Roman" w:hAnsi="Times New Roman"/>
                    <w:b/>
                    <w:bCs/>
                    <w:sz w:val="18"/>
                    <w:szCs w:val="18"/>
                    <w:lang w:eastAsia="es-CO"/>
                  </w:rPr>
                  <w:t xml:space="preserve">332.062.940.943 </w:t>
                </w:r>
              </w:p>
            </w:tc>
            <w:tc>
              <w:tcPr>
                <w:tcW w:w="735" w:type="pct"/>
                <w:shd w:val="clear" w:color="auto" w:fill="auto"/>
                <w:noWrap/>
                <w:vAlign w:val="center"/>
                <w:hideMark/>
              </w:tcPr>
              <w:p w14:paraId="34A9D6A7" w14:textId="77777777" w:rsidR="0026665C" w:rsidRPr="00610DD6" w:rsidRDefault="0026665C" w:rsidP="0026665C">
                <w:pPr>
                  <w:spacing w:after="0" w:line="240" w:lineRule="auto"/>
                  <w:jc w:val="center"/>
                  <w:rPr>
                    <w:rFonts w:ascii="Times New Roman" w:eastAsia="Times New Roman" w:hAnsi="Times New Roman"/>
                    <w:b/>
                    <w:bCs/>
                    <w:sz w:val="18"/>
                    <w:szCs w:val="18"/>
                    <w:lang w:eastAsia="es-CO"/>
                  </w:rPr>
                </w:pPr>
                <w:r w:rsidRPr="00610DD6">
                  <w:rPr>
                    <w:rFonts w:ascii="Times New Roman" w:eastAsia="Times New Roman" w:hAnsi="Times New Roman"/>
                    <w:b/>
                    <w:bCs/>
                    <w:sz w:val="18"/>
                    <w:szCs w:val="18"/>
                    <w:lang w:eastAsia="es-CO"/>
                  </w:rPr>
                  <w:t>54</w:t>
                </w:r>
              </w:p>
            </w:tc>
          </w:tr>
          <w:tr w:rsidR="0026665C" w:rsidRPr="009A46BB" w14:paraId="145F505F" w14:textId="77777777" w:rsidTr="00E8265B">
            <w:trPr>
              <w:trHeight w:val="340"/>
            </w:trPr>
            <w:tc>
              <w:tcPr>
                <w:tcW w:w="642" w:type="pct"/>
                <w:shd w:val="clear" w:color="auto" w:fill="auto"/>
                <w:noWrap/>
                <w:vAlign w:val="center"/>
                <w:hideMark/>
              </w:tcPr>
              <w:p w14:paraId="7C8DFD80" w14:textId="77777777" w:rsidR="0026665C" w:rsidRPr="00610DD6" w:rsidRDefault="0026665C" w:rsidP="0026665C">
                <w:pPr>
                  <w:spacing w:after="0" w:line="240" w:lineRule="auto"/>
                  <w:rPr>
                    <w:rFonts w:ascii="Times New Roman" w:eastAsia="Times New Roman" w:hAnsi="Times New Roman"/>
                    <w:sz w:val="18"/>
                    <w:szCs w:val="18"/>
                    <w:lang w:eastAsia="es-CO"/>
                  </w:rPr>
                </w:pPr>
                <w:r w:rsidRPr="00610DD6">
                  <w:rPr>
                    <w:rFonts w:ascii="Times New Roman" w:eastAsia="Times New Roman" w:hAnsi="Times New Roman"/>
                    <w:sz w:val="18"/>
                    <w:szCs w:val="18"/>
                    <w:lang w:eastAsia="es-CO"/>
                  </w:rPr>
                  <w:t>8.1.20.02</w:t>
                </w:r>
              </w:p>
            </w:tc>
            <w:tc>
              <w:tcPr>
                <w:tcW w:w="389" w:type="pct"/>
                <w:shd w:val="clear" w:color="auto" w:fill="auto"/>
                <w:noWrap/>
                <w:vAlign w:val="center"/>
                <w:hideMark/>
              </w:tcPr>
              <w:p w14:paraId="6E430FE8" w14:textId="77777777" w:rsidR="0026665C" w:rsidRPr="00610DD6" w:rsidRDefault="0026665C" w:rsidP="0026665C">
                <w:pPr>
                  <w:spacing w:after="0" w:line="240" w:lineRule="auto"/>
                  <w:jc w:val="center"/>
                  <w:rPr>
                    <w:rFonts w:ascii="Times New Roman" w:eastAsia="Times New Roman" w:hAnsi="Times New Roman"/>
                    <w:sz w:val="18"/>
                    <w:szCs w:val="18"/>
                    <w:lang w:eastAsia="es-CO"/>
                  </w:rPr>
                </w:pPr>
                <w:r w:rsidRPr="00610DD6">
                  <w:rPr>
                    <w:rFonts w:ascii="Times New Roman" w:eastAsia="Times New Roman" w:hAnsi="Times New Roman"/>
                    <w:sz w:val="18"/>
                    <w:szCs w:val="18"/>
                    <w:lang w:eastAsia="es-CO"/>
                  </w:rPr>
                  <w:t>Db</w:t>
                </w:r>
              </w:p>
            </w:tc>
            <w:tc>
              <w:tcPr>
                <w:tcW w:w="2049" w:type="pct"/>
                <w:shd w:val="clear" w:color="auto" w:fill="auto"/>
                <w:vAlign w:val="center"/>
                <w:hideMark/>
              </w:tcPr>
              <w:p w14:paraId="1DC63397" w14:textId="77777777" w:rsidR="0026665C" w:rsidRPr="00610DD6" w:rsidRDefault="0026665C" w:rsidP="0026665C">
                <w:pPr>
                  <w:spacing w:after="0" w:line="240" w:lineRule="auto"/>
                  <w:rPr>
                    <w:rFonts w:ascii="Times New Roman" w:eastAsia="Times New Roman" w:hAnsi="Times New Roman"/>
                    <w:sz w:val="18"/>
                    <w:szCs w:val="18"/>
                    <w:lang w:eastAsia="es-CO"/>
                  </w:rPr>
                </w:pPr>
                <w:r w:rsidRPr="00610DD6">
                  <w:rPr>
                    <w:rFonts w:ascii="Times New Roman" w:eastAsia="Times New Roman" w:hAnsi="Times New Roman"/>
                    <w:sz w:val="18"/>
                    <w:szCs w:val="18"/>
                    <w:lang w:eastAsia="es-CO"/>
                  </w:rPr>
                  <w:t>Laborales</w:t>
                </w:r>
              </w:p>
            </w:tc>
            <w:tc>
              <w:tcPr>
                <w:tcW w:w="1185" w:type="pct"/>
                <w:shd w:val="clear" w:color="auto" w:fill="auto"/>
                <w:noWrap/>
                <w:vAlign w:val="center"/>
                <w:hideMark/>
              </w:tcPr>
              <w:p w14:paraId="57B5E884" w14:textId="77777777" w:rsidR="0026665C" w:rsidRPr="00610DD6" w:rsidRDefault="0026665C" w:rsidP="0026665C">
                <w:pPr>
                  <w:spacing w:after="0" w:line="240" w:lineRule="auto"/>
                  <w:jc w:val="right"/>
                  <w:rPr>
                    <w:rFonts w:ascii="Times New Roman" w:eastAsia="Times New Roman" w:hAnsi="Times New Roman"/>
                    <w:sz w:val="18"/>
                    <w:szCs w:val="18"/>
                    <w:lang w:eastAsia="es-CO"/>
                  </w:rPr>
                </w:pPr>
                <w:r w:rsidRPr="00610DD6">
                  <w:rPr>
                    <w:rFonts w:ascii="Times New Roman" w:eastAsia="Times New Roman" w:hAnsi="Times New Roman"/>
                    <w:sz w:val="18"/>
                    <w:szCs w:val="18"/>
                    <w:lang w:eastAsia="es-CO"/>
                  </w:rPr>
                  <w:t xml:space="preserve">49.106.560 </w:t>
                </w:r>
              </w:p>
            </w:tc>
            <w:tc>
              <w:tcPr>
                <w:tcW w:w="735" w:type="pct"/>
                <w:shd w:val="clear" w:color="auto" w:fill="auto"/>
                <w:noWrap/>
                <w:vAlign w:val="center"/>
                <w:hideMark/>
              </w:tcPr>
              <w:p w14:paraId="78A606C9" w14:textId="77777777" w:rsidR="0026665C" w:rsidRPr="00610DD6" w:rsidRDefault="0026665C" w:rsidP="0026665C">
                <w:pPr>
                  <w:spacing w:after="0" w:line="240" w:lineRule="auto"/>
                  <w:jc w:val="center"/>
                  <w:rPr>
                    <w:rFonts w:ascii="Times New Roman" w:eastAsia="Times New Roman" w:hAnsi="Times New Roman"/>
                    <w:sz w:val="18"/>
                    <w:szCs w:val="18"/>
                    <w:lang w:eastAsia="es-CO"/>
                  </w:rPr>
                </w:pPr>
                <w:r w:rsidRPr="00610DD6">
                  <w:rPr>
                    <w:rFonts w:ascii="Times New Roman" w:eastAsia="Times New Roman" w:hAnsi="Times New Roman"/>
                    <w:sz w:val="18"/>
                    <w:szCs w:val="18"/>
                    <w:lang w:eastAsia="es-CO"/>
                  </w:rPr>
                  <w:t>4</w:t>
                </w:r>
              </w:p>
            </w:tc>
          </w:tr>
          <w:tr w:rsidR="0026665C" w:rsidRPr="009A46BB" w14:paraId="1FC00460" w14:textId="77777777" w:rsidTr="00E8265B">
            <w:trPr>
              <w:trHeight w:val="340"/>
            </w:trPr>
            <w:tc>
              <w:tcPr>
                <w:tcW w:w="642" w:type="pct"/>
                <w:shd w:val="clear" w:color="auto" w:fill="auto"/>
                <w:noWrap/>
                <w:vAlign w:val="center"/>
                <w:hideMark/>
              </w:tcPr>
              <w:p w14:paraId="279B1006" w14:textId="77777777" w:rsidR="0026665C" w:rsidRPr="00610DD6" w:rsidRDefault="0026665C" w:rsidP="0026665C">
                <w:pPr>
                  <w:spacing w:after="0" w:line="240" w:lineRule="auto"/>
                  <w:rPr>
                    <w:rFonts w:ascii="Times New Roman" w:eastAsia="Times New Roman" w:hAnsi="Times New Roman"/>
                    <w:sz w:val="18"/>
                    <w:szCs w:val="18"/>
                    <w:lang w:eastAsia="es-CO"/>
                  </w:rPr>
                </w:pPr>
                <w:r w:rsidRPr="00610DD6">
                  <w:rPr>
                    <w:rFonts w:ascii="Times New Roman" w:eastAsia="Times New Roman" w:hAnsi="Times New Roman"/>
                    <w:sz w:val="18"/>
                    <w:szCs w:val="18"/>
                    <w:lang w:eastAsia="es-CO"/>
                  </w:rPr>
                  <w:t>8.1.20.04</w:t>
                </w:r>
              </w:p>
            </w:tc>
            <w:tc>
              <w:tcPr>
                <w:tcW w:w="389" w:type="pct"/>
                <w:shd w:val="clear" w:color="auto" w:fill="auto"/>
                <w:noWrap/>
                <w:vAlign w:val="center"/>
                <w:hideMark/>
              </w:tcPr>
              <w:p w14:paraId="02C282E9" w14:textId="77777777" w:rsidR="0026665C" w:rsidRPr="00610DD6" w:rsidRDefault="0026665C" w:rsidP="0026665C">
                <w:pPr>
                  <w:spacing w:after="0" w:line="240" w:lineRule="auto"/>
                  <w:jc w:val="center"/>
                  <w:rPr>
                    <w:rFonts w:ascii="Times New Roman" w:eastAsia="Times New Roman" w:hAnsi="Times New Roman"/>
                    <w:sz w:val="18"/>
                    <w:szCs w:val="18"/>
                    <w:lang w:eastAsia="es-CO"/>
                  </w:rPr>
                </w:pPr>
                <w:r w:rsidRPr="00610DD6">
                  <w:rPr>
                    <w:rFonts w:ascii="Times New Roman" w:eastAsia="Times New Roman" w:hAnsi="Times New Roman"/>
                    <w:sz w:val="18"/>
                    <w:szCs w:val="18"/>
                    <w:lang w:eastAsia="es-CO"/>
                  </w:rPr>
                  <w:t>Db</w:t>
                </w:r>
              </w:p>
            </w:tc>
            <w:tc>
              <w:tcPr>
                <w:tcW w:w="2049" w:type="pct"/>
                <w:shd w:val="clear" w:color="auto" w:fill="auto"/>
                <w:vAlign w:val="center"/>
                <w:hideMark/>
              </w:tcPr>
              <w:p w14:paraId="7B24D81E" w14:textId="77777777" w:rsidR="0026665C" w:rsidRPr="00610DD6" w:rsidRDefault="0026665C" w:rsidP="0026665C">
                <w:pPr>
                  <w:spacing w:after="0" w:line="240" w:lineRule="auto"/>
                  <w:rPr>
                    <w:rFonts w:ascii="Times New Roman" w:eastAsia="Times New Roman" w:hAnsi="Times New Roman"/>
                    <w:sz w:val="18"/>
                    <w:szCs w:val="18"/>
                    <w:lang w:eastAsia="es-CO"/>
                  </w:rPr>
                </w:pPr>
                <w:r w:rsidRPr="00610DD6">
                  <w:rPr>
                    <w:rFonts w:ascii="Times New Roman" w:eastAsia="Times New Roman" w:hAnsi="Times New Roman"/>
                    <w:sz w:val="18"/>
                    <w:szCs w:val="18"/>
                    <w:lang w:eastAsia="es-CO"/>
                  </w:rPr>
                  <w:t>Administrativas</w:t>
                </w:r>
              </w:p>
            </w:tc>
            <w:tc>
              <w:tcPr>
                <w:tcW w:w="1185" w:type="pct"/>
                <w:shd w:val="clear" w:color="auto" w:fill="auto"/>
                <w:noWrap/>
                <w:vAlign w:val="center"/>
                <w:hideMark/>
              </w:tcPr>
              <w:p w14:paraId="4F83EEEF" w14:textId="77777777" w:rsidR="0026665C" w:rsidRPr="00610DD6" w:rsidRDefault="0026665C" w:rsidP="0026665C">
                <w:pPr>
                  <w:spacing w:after="0" w:line="240" w:lineRule="auto"/>
                  <w:jc w:val="right"/>
                  <w:rPr>
                    <w:rFonts w:ascii="Times New Roman" w:eastAsia="Times New Roman" w:hAnsi="Times New Roman"/>
                    <w:sz w:val="18"/>
                    <w:szCs w:val="18"/>
                    <w:lang w:eastAsia="es-CO"/>
                  </w:rPr>
                </w:pPr>
                <w:r w:rsidRPr="00610DD6">
                  <w:rPr>
                    <w:rFonts w:ascii="Times New Roman" w:eastAsia="Times New Roman" w:hAnsi="Times New Roman"/>
                    <w:sz w:val="18"/>
                    <w:szCs w:val="18"/>
                    <w:lang w:eastAsia="es-CO"/>
                  </w:rPr>
                  <w:t xml:space="preserve">162.151.820.181 </w:t>
                </w:r>
              </w:p>
            </w:tc>
            <w:tc>
              <w:tcPr>
                <w:tcW w:w="735" w:type="pct"/>
                <w:shd w:val="clear" w:color="auto" w:fill="auto"/>
                <w:noWrap/>
                <w:vAlign w:val="center"/>
                <w:hideMark/>
              </w:tcPr>
              <w:p w14:paraId="1372374B" w14:textId="77777777" w:rsidR="0026665C" w:rsidRPr="00610DD6" w:rsidRDefault="0026665C" w:rsidP="0026665C">
                <w:pPr>
                  <w:spacing w:after="0" w:line="240" w:lineRule="auto"/>
                  <w:jc w:val="center"/>
                  <w:rPr>
                    <w:rFonts w:ascii="Times New Roman" w:eastAsia="Times New Roman" w:hAnsi="Times New Roman"/>
                    <w:sz w:val="18"/>
                    <w:szCs w:val="18"/>
                    <w:lang w:eastAsia="es-CO"/>
                  </w:rPr>
                </w:pPr>
                <w:r w:rsidRPr="00610DD6">
                  <w:rPr>
                    <w:rFonts w:ascii="Times New Roman" w:eastAsia="Times New Roman" w:hAnsi="Times New Roman"/>
                    <w:sz w:val="18"/>
                    <w:szCs w:val="18"/>
                    <w:lang w:eastAsia="es-CO"/>
                  </w:rPr>
                  <w:t>46</w:t>
                </w:r>
              </w:p>
            </w:tc>
          </w:tr>
          <w:tr w:rsidR="0026665C" w:rsidRPr="009A46BB" w14:paraId="45DF5034" w14:textId="77777777" w:rsidTr="00E8265B">
            <w:trPr>
              <w:trHeight w:val="340"/>
            </w:trPr>
            <w:tc>
              <w:tcPr>
                <w:tcW w:w="642" w:type="pct"/>
                <w:shd w:val="clear" w:color="auto" w:fill="auto"/>
                <w:noWrap/>
                <w:vAlign w:val="center"/>
                <w:hideMark/>
              </w:tcPr>
              <w:p w14:paraId="24749F55" w14:textId="77777777" w:rsidR="0026665C" w:rsidRPr="00610DD6" w:rsidRDefault="0026665C" w:rsidP="0026665C">
                <w:pPr>
                  <w:spacing w:after="0" w:line="240" w:lineRule="auto"/>
                  <w:rPr>
                    <w:rFonts w:ascii="Times New Roman" w:eastAsia="Times New Roman" w:hAnsi="Times New Roman"/>
                    <w:sz w:val="18"/>
                    <w:szCs w:val="18"/>
                    <w:lang w:eastAsia="es-CO"/>
                  </w:rPr>
                </w:pPr>
                <w:r w:rsidRPr="00610DD6">
                  <w:rPr>
                    <w:rFonts w:ascii="Times New Roman" w:eastAsia="Times New Roman" w:hAnsi="Times New Roman"/>
                    <w:sz w:val="18"/>
                    <w:szCs w:val="18"/>
                    <w:lang w:eastAsia="es-CO"/>
                  </w:rPr>
                  <w:t>8.1.20.90</w:t>
                </w:r>
              </w:p>
            </w:tc>
            <w:tc>
              <w:tcPr>
                <w:tcW w:w="389" w:type="pct"/>
                <w:shd w:val="clear" w:color="auto" w:fill="auto"/>
                <w:noWrap/>
                <w:vAlign w:val="center"/>
                <w:hideMark/>
              </w:tcPr>
              <w:p w14:paraId="29114C28" w14:textId="77777777" w:rsidR="0026665C" w:rsidRPr="00610DD6" w:rsidRDefault="0026665C" w:rsidP="0026665C">
                <w:pPr>
                  <w:spacing w:after="0" w:line="240" w:lineRule="auto"/>
                  <w:jc w:val="center"/>
                  <w:rPr>
                    <w:rFonts w:ascii="Times New Roman" w:eastAsia="Times New Roman" w:hAnsi="Times New Roman"/>
                    <w:sz w:val="18"/>
                    <w:szCs w:val="18"/>
                    <w:lang w:eastAsia="es-CO"/>
                  </w:rPr>
                </w:pPr>
                <w:r w:rsidRPr="00610DD6">
                  <w:rPr>
                    <w:rFonts w:ascii="Times New Roman" w:eastAsia="Times New Roman" w:hAnsi="Times New Roman"/>
                    <w:sz w:val="18"/>
                    <w:szCs w:val="18"/>
                    <w:lang w:eastAsia="es-CO"/>
                  </w:rPr>
                  <w:t>Db</w:t>
                </w:r>
              </w:p>
            </w:tc>
            <w:tc>
              <w:tcPr>
                <w:tcW w:w="2049" w:type="pct"/>
                <w:shd w:val="clear" w:color="auto" w:fill="auto"/>
                <w:vAlign w:val="center"/>
                <w:hideMark/>
              </w:tcPr>
              <w:p w14:paraId="17A370ED" w14:textId="77777777" w:rsidR="0026665C" w:rsidRPr="00610DD6" w:rsidRDefault="0026665C" w:rsidP="0026665C">
                <w:pPr>
                  <w:spacing w:after="0" w:line="240" w:lineRule="auto"/>
                  <w:rPr>
                    <w:rFonts w:ascii="Times New Roman" w:eastAsia="Times New Roman" w:hAnsi="Times New Roman"/>
                    <w:sz w:val="18"/>
                    <w:szCs w:val="18"/>
                    <w:lang w:eastAsia="es-CO"/>
                  </w:rPr>
                </w:pPr>
                <w:r w:rsidRPr="00610DD6">
                  <w:rPr>
                    <w:rFonts w:ascii="Times New Roman" w:eastAsia="Times New Roman" w:hAnsi="Times New Roman"/>
                    <w:sz w:val="18"/>
                    <w:szCs w:val="18"/>
                    <w:lang w:eastAsia="es-CO"/>
                  </w:rPr>
                  <w:t>Otros litigios y mecanismos alternativos de solución de conflictos</w:t>
                </w:r>
              </w:p>
            </w:tc>
            <w:tc>
              <w:tcPr>
                <w:tcW w:w="1185" w:type="pct"/>
                <w:shd w:val="clear" w:color="auto" w:fill="auto"/>
                <w:noWrap/>
                <w:vAlign w:val="center"/>
                <w:hideMark/>
              </w:tcPr>
              <w:p w14:paraId="742FF821" w14:textId="77777777" w:rsidR="0026665C" w:rsidRPr="00610DD6" w:rsidRDefault="0026665C" w:rsidP="0026665C">
                <w:pPr>
                  <w:spacing w:after="0" w:line="240" w:lineRule="auto"/>
                  <w:jc w:val="right"/>
                  <w:rPr>
                    <w:rFonts w:ascii="Times New Roman" w:eastAsia="Times New Roman" w:hAnsi="Times New Roman"/>
                    <w:sz w:val="18"/>
                    <w:szCs w:val="18"/>
                    <w:lang w:eastAsia="es-CO"/>
                  </w:rPr>
                </w:pPr>
                <w:r w:rsidRPr="00610DD6">
                  <w:rPr>
                    <w:rFonts w:ascii="Times New Roman" w:eastAsia="Times New Roman" w:hAnsi="Times New Roman"/>
                    <w:sz w:val="18"/>
                    <w:szCs w:val="18"/>
                    <w:lang w:eastAsia="es-CO"/>
                  </w:rPr>
                  <w:t xml:space="preserve">169.862.014.202 </w:t>
                </w:r>
              </w:p>
            </w:tc>
            <w:tc>
              <w:tcPr>
                <w:tcW w:w="735" w:type="pct"/>
                <w:shd w:val="clear" w:color="auto" w:fill="auto"/>
                <w:noWrap/>
                <w:vAlign w:val="center"/>
                <w:hideMark/>
              </w:tcPr>
              <w:p w14:paraId="6F4F077E" w14:textId="77777777" w:rsidR="0026665C" w:rsidRPr="00610DD6" w:rsidRDefault="0026665C" w:rsidP="0026665C">
                <w:pPr>
                  <w:spacing w:after="0" w:line="240" w:lineRule="auto"/>
                  <w:jc w:val="center"/>
                  <w:rPr>
                    <w:rFonts w:ascii="Times New Roman" w:eastAsia="Times New Roman" w:hAnsi="Times New Roman"/>
                    <w:sz w:val="18"/>
                    <w:szCs w:val="18"/>
                    <w:lang w:eastAsia="es-CO"/>
                  </w:rPr>
                </w:pPr>
                <w:r w:rsidRPr="00610DD6">
                  <w:rPr>
                    <w:rFonts w:ascii="Times New Roman" w:eastAsia="Times New Roman" w:hAnsi="Times New Roman"/>
                    <w:sz w:val="18"/>
                    <w:szCs w:val="18"/>
                    <w:lang w:eastAsia="es-CO"/>
                  </w:rPr>
                  <w:t>4</w:t>
                </w:r>
              </w:p>
            </w:tc>
          </w:tr>
          <w:tr w:rsidR="0026665C" w:rsidRPr="009A46BB" w14:paraId="749E3E24" w14:textId="77777777" w:rsidTr="00E8265B">
            <w:trPr>
              <w:trHeight w:val="340"/>
            </w:trPr>
            <w:tc>
              <w:tcPr>
                <w:tcW w:w="642" w:type="pct"/>
                <w:shd w:val="clear" w:color="auto" w:fill="auto"/>
                <w:noWrap/>
                <w:vAlign w:val="center"/>
                <w:hideMark/>
              </w:tcPr>
              <w:p w14:paraId="2314B63B" w14:textId="77777777" w:rsidR="0026665C" w:rsidRPr="00610DD6" w:rsidRDefault="0026665C" w:rsidP="0026665C">
                <w:pPr>
                  <w:spacing w:after="0" w:line="240" w:lineRule="auto"/>
                  <w:rPr>
                    <w:rFonts w:ascii="Times New Roman" w:eastAsia="Times New Roman" w:hAnsi="Times New Roman"/>
                    <w:sz w:val="18"/>
                    <w:szCs w:val="18"/>
                    <w:lang w:eastAsia="es-CO"/>
                  </w:rPr>
                </w:pPr>
                <w:r w:rsidRPr="00610DD6">
                  <w:rPr>
                    <w:rFonts w:ascii="Times New Roman" w:eastAsia="Times New Roman" w:hAnsi="Times New Roman"/>
                    <w:sz w:val="18"/>
                    <w:szCs w:val="18"/>
                    <w:lang w:eastAsia="es-CO"/>
                  </w:rPr>
                  <w:t>8.1.20.90.001</w:t>
                </w:r>
              </w:p>
            </w:tc>
            <w:tc>
              <w:tcPr>
                <w:tcW w:w="389" w:type="pct"/>
                <w:shd w:val="clear" w:color="auto" w:fill="auto"/>
                <w:noWrap/>
                <w:vAlign w:val="center"/>
                <w:hideMark/>
              </w:tcPr>
              <w:p w14:paraId="6C9FB904" w14:textId="77777777" w:rsidR="0026665C" w:rsidRPr="00610DD6" w:rsidRDefault="0026665C" w:rsidP="0026665C">
                <w:pPr>
                  <w:spacing w:after="0" w:line="240" w:lineRule="auto"/>
                  <w:jc w:val="center"/>
                  <w:rPr>
                    <w:rFonts w:ascii="Times New Roman" w:eastAsia="Times New Roman" w:hAnsi="Times New Roman"/>
                    <w:sz w:val="18"/>
                    <w:szCs w:val="18"/>
                    <w:lang w:eastAsia="es-CO"/>
                  </w:rPr>
                </w:pPr>
                <w:r w:rsidRPr="00610DD6">
                  <w:rPr>
                    <w:rFonts w:ascii="Times New Roman" w:eastAsia="Times New Roman" w:hAnsi="Times New Roman"/>
                    <w:sz w:val="18"/>
                    <w:szCs w:val="18"/>
                    <w:lang w:eastAsia="es-CO"/>
                  </w:rPr>
                  <w:t>Db</w:t>
                </w:r>
              </w:p>
            </w:tc>
            <w:tc>
              <w:tcPr>
                <w:tcW w:w="2049" w:type="pct"/>
                <w:shd w:val="clear" w:color="auto" w:fill="auto"/>
                <w:vAlign w:val="center"/>
                <w:hideMark/>
              </w:tcPr>
              <w:p w14:paraId="4689C883" w14:textId="77777777" w:rsidR="0026665C" w:rsidRPr="00610DD6" w:rsidRDefault="0026665C" w:rsidP="0026665C">
                <w:pPr>
                  <w:spacing w:after="0" w:line="240" w:lineRule="auto"/>
                  <w:rPr>
                    <w:rFonts w:ascii="Times New Roman" w:eastAsia="Times New Roman" w:hAnsi="Times New Roman"/>
                    <w:sz w:val="18"/>
                    <w:szCs w:val="18"/>
                    <w:lang w:eastAsia="es-CO"/>
                  </w:rPr>
                </w:pPr>
                <w:r w:rsidRPr="00610DD6">
                  <w:rPr>
                    <w:rFonts w:ascii="Times New Roman" w:eastAsia="Times New Roman" w:hAnsi="Times New Roman"/>
                    <w:sz w:val="18"/>
                    <w:szCs w:val="18"/>
                    <w:lang w:eastAsia="es-CO"/>
                  </w:rPr>
                  <w:t>Otros litigios y mecanismos alternativos de solución de conflictos</w:t>
                </w:r>
              </w:p>
            </w:tc>
            <w:tc>
              <w:tcPr>
                <w:tcW w:w="1185" w:type="pct"/>
                <w:shd w:val="clear" w:color="auto" w:fill="auto"/>
                <w:noWrap/>
                <w:vAlign w:val="center"/>
                <w:hideMark/>
              </w:tcPr>
              <w:p w14:paraId="2EDE1F62" w14:textId="77777777" w:rsidR="0026665C" w:rsidRPr="00610DD6" w:rsidRDefault="0026665C" w:rsidP="0026665C">
                <w:pPr>
                  <w:spacing w:after="0" w:line="240" w:lineRule="auto"/>
                  <w:jc w:val="right"/>
                  <w:rPr>
                    <w:rFonts w:ascii="Times New Roman" w:eastAsia="Times New Roman" w:hAnsi="Times New Roman"/>
                    <w:sz w:val="18"/>
                    <w:szCs w:val="18"/>
                    <w:lang w:eastAsia="es-CO"/>
                  </w:rPr>
                </w:pPr>
                <w:r w:rsidRPr="00610DD6">
                  <w:rPr>
                    <w:rFonts w:ascii="Times New Roman" w:eastAsia="Times New Roman" w:hAnsi="Times New Roman"/>
                    <w:sz w:val="18"/>
                    <w:szCs w:val="18"/>
                    <w:lang w:eastAsia="es-CO"/>
                  </w:rPr>
                  <w:t xml:space="preserve">169.862.014.202 </w:t>
                </w:r>
              </w:p>
            </w:tc>
            <w:tc>
              <w:tcPr>
                <w:tcW w:w="735" w:type="pct"/>
                <w:shd w:val="clear" w:color="auto" w:fill="auto"/>
                <w:noWrap/>
                <w:vAlign w:val="center"/>
                <w:hideMark/>
              </w:tcPr>
              <w:p w14:paraId="1A66CB9E" w14:textId="77777777" w:rsidR="0026665C" w:rsidRPr="00610DD6" w:rsidRDefault="0026665C" w:rsidP="0026665C">
                <w:pPr>
                  <w:spacing w:after="0" w:line="240" w:lineRule="auto"/>
                  <w:jc w:val="center"/>
                  <w:rPr>
                    <w:rFonts w:ascii="Times New Roman" w:eastAsia="Times New Roman" w:hAnsi="Times New Roman"/>
                    <w:sz w:val="18"/>
                    <w:szCs w:val="18"/>
                    <w:lang w:eastAsia="es-CO"/>
                  </w:rPr>
                </w:pPr>
                <w:r w:rsidRPr="00610DD6">
                  <w:rPr>
                    <w:rFonts w:ascii="Times New Roman" w:eastAsia="Times New Roman" w:hAnsi="Times New Roman"/>
                    <w:sz w:val="18"/>
                    <w:szCs w:val="18"/>
                    <w:lang w:eastAsia="es-CO"/>
                  </w:rPr>
                  <w:t>4</w:t>
                </w:r>
              </w:p>
            </w:tc>
          </w:tr>
          <w:tr w:rsidR="0026665C" w:rsidRPr="009A46BB" w14:paraId="65D76276" w14:textId="77777777" w:rsidTr="00E8265B">
            <w:trPr>
              <w:trHeight w:val="340"/>
            </w:trPr>
            <w:tc>
              <w:tcPr>
                <w:tcW w:w="642" w:type="pct"/>
                <w:shd w:val="clear" w:color="auto" w:fill="auto"/>
                <w:noWrap/>
                <w:vAlign w:val="center"/>
                <w:hideMark/>
              </w:tcPr>
              <w:p w14:paraId="75C2F1CC" w14:textId="77777777" w:rsidR="0026665C" w:rsidRPr="00610DD6" w:rsidRDefault="0026665C" w:rsidP="0026665C">
                <w:pPr>
                  <w:spacing w:after="0" w:line="240" w:lineRule="auto"/>
                  <w:rPr>
                    <w:rFonts w:ascii="Times New Roman" w:eastAsia="Times New Roman" w:hAnsi="Times New Roman"/>
                    <w:b/>
                    <w:bCs/>
                    <w:sz w:val="18"/>
                    <w:szCs w:val="18"/>
                    <w:lang w:eastAsia="es-CO"/>
                  </w:rPr>
                </w:pPr>
                <w:r w:rsidRPr="00610DD6">
                  <w:rPr>
                    <w:rFonts w:ascii="Times New Roman" w:eastAsia="Times New Roman" w:hAnsi="Times New Roman"/>
                    <w:b/>
                    <w:bCs/>
                    <w:sz w:val="18"/>
                    <w:szCs w:val="18"/>
                    <w:lang w:eastAsia="es-CO"/>
                  </w:rPr>
                  <w:t>8.1.28</w:t>
                </w:r>
              </w:p>
            </w:tc>
            <w:tc>
              <w:tcPr>
                <w:tcW w:w="389" w:type="pct"/>
                <w:shd w:val="clear" w:color="auto" w:fill="auto"/>
                <w:noWrap/>
                <w:vAlign w:val="center"/>
                <w:hideMark/>
              </w:tcPr>
              <w:p w14:paraId="52C30FBA" w14:textId="77777777" w:rsidR="0026665C" w:rsidRPr="00610DD6" w:rsidRDefault="0026665C" w:rsidP="0026665C">
                <w:pPr>
                  <w:spacing w:after="0" w:line="240" w:lineRule="auto"/>
                  <w:jc w:val="center"/>
                  <w:rPr>
                    <w:rFonts w:ascii="Times New Roman" w:eastAsia="Times New Roman" w:hAnsi="Times New Roman"/>
                    <w:b/>
                    <w:bCs/>
                    <w:sz w:val="18"/>
                    <w:szCs w:val="18"/>
                    <w:lang w:eastAsia="es-CO"/>
                  </w:rPr>
                </w:pPr>
                <w:r w:rsidRPr="00610DD6">
                  <w:rPr>
                    <w:rFonts w:ascii="Times New Roman" w:eastAsia="Times New Roman" w:hAnsi="Times New Roman"/>
                    <w:b/>
                    <w:bCs/>
                    <w:sz w:val="18"/>
                    <w:szCs w:val="18"/>
                    <w:lang w:eastAsia="es-CO"/>
                  </w:rPr>
                  <w:t>Db</w:t>
                </w:r>
              </w:p>
            </w:tc>
            <w:tc>
              <w:tcPr>
                <w:tcW w:w="2049" w:type="pct"/>
                <w:shd w:val="clear" w:color="auto" w:fill="auto"/>
                <w:vAlign w:val="center"/>
                <w:hideMark/>
              </w:tcPr>
              <w:p w14:paraId="203F2CB6" w14:textId="77777777" w:rsidR="0026665C" w:rsidRPr="00610DD6" w:rsidRDefault="0026665C" w:rsidP="0026665C">
                <w:pPr>
                  <w:spacing w:after="0" w:line="240" w:lineRule="auto"/>
                  <w:rPr>
                    <w:rFonts w:ascii="Times New Roman" w:eastAsia="Times New Roman" w:hAnsi="Times New Roman"/>
                    <w:b/>
                    <w:bCs/>
                    <w:sz w:val="18"/>
                    <w:szCs w:val="18"/>
                    <w:lang w:eastAsia="es-CO"/>
                  </w:rPr>
                </w:pPr>
                <w:r w:rsidRPr="00610DD6">
                  <w:rPr>
                    <w:rFonts w:ascii="Times New Roman" w:eastAsia="Times New Roman" w:hAnsi="Times New Roman"/>
                    <w:b/>
                    <w:bCs/>
                    <w:sz w:val="18"/>
                    <w:szCs w:val="18"/>
                    <w:lang w:eastAsia="es-CO"/>
                  </w:rPr>
                  <w:t>Garantías contractuales</w:t>
                </w:r>
              </w:p>
            </w:tc>
            <w:tc>
              <w:tcPr>
                <w:tcW w:w="1185" w:type="pct"/>
                <w:shd w:val="clear" w:color="auto" w:fill="auto"/>
                <w:noWrap/>
                <w:vAlign w:val="center"/>
                <w:hideMark/>
              </w:tcPr>
              <w:p w14:paraId="32A3094D" w14:textId="77777777" w:rsidR="0026665C" w:rsidRPr="00610DD6" w:rsidRDefault="0026665C" w:rsidP="0026665C">
                <w:pPr>
                  <w:spacing w:after="0" w:line="240" w:lineRule="auto"/>
                  <w:jc w:val="right"/>
                  <w:rPr>
                    <w:rFonts w:ascii="Times New Roman" w:eastAsia="Times New Roman" w:hAnsi="Times New Roman"/>
                    <w:b/>
                    <w:bCs/>
                    <w:sz w:val="18"/>
                    <w:szCs w:val="18"/>
                    <w:lang w:eastAsia="es-CO"/>
                  </w:rPr>
                </w:pPr>
                <w:r w:rsidRPr="00610DD6">
                  <w:rPr>
                    <w:rFonts w:ascii="Times New Roman" w:eastAsia="Times New Roman" w:hAnsi="Times New Roman"/>
                    <w:b/>
                    <w:bCs/>
                    <w:sz w:val="18"/>
                    <w:szCs w:val="18"/>
                    <w:lang w:eastAsia="es-CO"/>
                  </w:rPr>
                  <w:t xml:space="preserve">1.789.947.647.778 </w:t>
                </w:r>
              </w:p>
            </w:tc>
            <w:tc>
              <w:tcPr>
                <w:tcW w:w="735" w:type="pct"/>
                <w:shd w:val="clear" w:color="auto" w:fill="auto"/>
                <w:noWrap/>
                <w:vAlign w:val="center"/>
                <w:hideMark/>
              </w:tcPr>
              <w:p w14:paraId="33A897E1" w14:textId="77777777" w:rsidR="0026665C" w:rsidRPr="00610DD6" w:rsidRDefault="0026665C" w:rsidP="0026665C">
                <w:pPr>
                  <w:spacing w:after="0" w:line="240" w:lineRule="auto"/>
                  <w:jc w:val="center"/>
                  <w:rPr>
                    <w:rFonts w:ascii="Times New Roman" w:eastAsia="Times New Roman" w:hAnsi="Times New Roman"/>
                    <w:b/>
                    <w:bCs/>
                    <w:sz w:val="18"/>
                    <w:szCs w:val="18"/>
                    <w:lang w:eastAsia="es-CO"/>
                  </w:rPr>
                </w:pPr>
                <w:r w:rsidRPr="00610DD6">
                  <w:rPr>
                    <w:rFonts w:ascii="Times New Roman" w:eastAsia="Times New Roman" w:hAnsi="Times New Roman"/>
                    <w:b/>
                    <w:bCs/>
                    <w:sz w:val="18"/>
                    <w:szCs w:val="18"/>
                    <w:lang w:eastAsia="es-CO"/>
                  </w:rPr>
                  <w:t>0</w:t>
                </w:r>
              </w:p>
            </w:tc>
          </w:tr>
          <w:tr w:rsidR="0026665C" w:rsidRPr="009A46BB" w14:paraId="17078DDA" w14:textId="77777777" w:rsidTr="00E8265B">
            <w:trPr>
              <w:trHeight w:val="340"/>
            </w:trPr>
            <w:tc>
              <w:tcPr>
                <w:tcW w:w="642" w:type="pct"/>
                <w:shd w:val="clear" w:color="auto" w:fill="auto"/>
                <w:noWrap/>
                <w:vAlign w:val="center"/>
                <w:hideMark/>
              </w:tcPr>
              <w:p w14:paraId="12E92CE6" w14:textId="77777777" w:rsidR="0026665C" w:rsidRPr="00610DD6" w:rsidRDefault="0026665C" w:rsidP="0026665C">
                <w:pPr>
                  <w:spacing w:after="0" w:line="240" w:lineRule="auto"/>
                  <w:rPr>
                    <w:rFonts w:ascii="Times New Roman" w:eastAsia="Times New Roman" w:hAnsi="Times New Roman"/>
                    <w:sz w:val="18"/>
                    <w:szCs w:val="18"/>
                    <w:lang w:eastAsia="es-CO"/>
                  </w:rPr>
                </w:pPr>
                <w:r w:rsidRPr="00610DD6">
                  <w:rPr>
                    <w:rFonts w:ascii="Times New Roman" w:eastAsia="Times New Roman" w:hAnsi="Times New Roman"/>
                    <w:sz w:val="18"/>
                    <w:szCs w:val="18"/>
                    <w:lang w:eastAsia="es-CO"/>
                  </w:rPr>
                  <w:t>8.1.28.01</w:t>
                </w:r>
              </w:p>
            </w:tc>
            <w:tc>
              <w:tcPr>
                <w:tcW w:w="389" w:type="pct"/>
                <w:shd w:val="clear" w:color="auto" w:fill="auto"/>
                <w:noWrap/>
                <w:vAlign w:val="center"/>
                <w:hideMark/>
              </w:tcPr>
              <w:p w14:paraId="166C39D7" w14:textId="77777777" w:rsidR="0026665C" w:rsidRPr="00610DD6" w:rsidRDefault="0026665C" w:rsidP="0026665C">
                <w:pPr>
                  <w:spacing w:after="0" w:line="240" w:lineRule="auto"/>
                  <w:jc w:val="center"/>
                  <w:rPr>
                    <w:rFonts w:ascii="Times New Roman" w:eastAsia="Times New Roman" w:hAnsi="Times New Roman"/>
                    <w:sz w:val="18"/>
                    <w:szCs w:val="18"/>
                    <w:lang w:eastAsia="es-CO"/>
                  </w:rPr>
                </w:pPr>
                <w:r w:rsidRPr="00610DD6">
                  <w:rPr>
                    <w:rFonts w:ascii="Times New Roman" w:eastAsia="Times New Roman" w:hAnsi="Times New Roman"/>
                    <w:sz w:val="18"/>
                    <w:szCs w:val="18"/>
                    <w:lang w:eastAsia="es-CO"/>
                  </w:rPr>
                  <w:t>Db</w:t>
                </w:r>
              </w:p>
            </w:tc>
            <w:tc>
              <w:tcPr>
                <w:tcW w:w="2049" w:type="pct"/>
                <w:shd w:val="clear" w:color="auto" w:fill="auto"/>
                <w:vAlign w:val="center"/>
                <w:hideMark/>
              </w:tcPr>
              <w:p w14:paraId="50F3AF1E" w14:textId="77777777" w:rsidR="0026665C" w:rsidRPr="00610DD6" w:rsidRDefault="0026665C" w:rsidP="0026665C">
                <w:pPr>
                  <w:spacing w:after="0" w:line="240" w:lineRule="auto"/>
                  <w:rPr>
                    <w:rFonts w:ascii="Times New Roman" w:eastAsia="Times New Roman" w:hAnsi="Times New Roman"/>
                    <w:sz w:val="18"/>
                    <w:szCs w:val="18"/>
                    <w:lang w:eastAsia="es-CO"/>
                  </w:rPr>
                </w:pPr>
                <w:r w:rsidRPr="00610DD6">
                  <w:rPr>
                    <w:rFonts w:ascii="Times New Roman" w:eastAsia="Times New Roman" w:hAnsi="Times New Roman"/>
                    <w:sz w:val="18"/>
                    <w:szCs w:val="18"/>
                    <w:lang w:eastAsia="es-CO"/>
                  </w:rPr>
                  <w:t>Acuerdos de concesión</w:t>
                </w:r>
              </w:p>
            </w:tc>
            <w:tc>
              <w:tcPr>
                <w:tcW w:w="1185" w:type="pct"/>
                <w:shd w:val="clear" w:color="auto" w:fill="auto"/>
                <w:noWrap/>
                <w:vAlign w:val="center"/>
                <w:hideMark/>
              </w:tcPr>
              <w:p w14:paraId="2F91ECB6" w14:textId="77777777" w:rsidR="0026665C" w:rsidRPr="00610DD6" w:rsidRDefault="0026665C" w:rsidP="0026665C">
                <w:pPr>
                  <w:spacing w:after="0" w:line="240" w:lineRule="auto"/>
                  <w:jc w:val="right"/>
                  <w:rPr>
                    <w:rFonts w:ascii="Times New Roman" w:eastAsia="Times New Roman" w:hAnsi="Times New Roman"/>
                    <w:sz w:val="18"/>
                    <w:szCs w:val="18"/>
                    <w:lang w:eastAsia="es-CO"/>
                  </w:rPr>
                </w:pPr>
                <w:r w:rsidRPr="00610DD6">
                  <w:rPr>
                    <w:rFonts w:ascii="Times New Roman" w:eastAsia="Times New Roman" w:hAnsi="Times New Roman"/>
                    <w:sz w:val="18"/>
                    <w:szCs w:val="18"/>
                    <w:lang w:eastAsia="es-CO"/>
                  </w:rPr>
                  <w:t xml:space="preserve">1.789.947.647.778 </w:t>
                </w:r>
              </w:p>
            </w:tc>
            <w:tc>
              <w:tcPr>
                <w:tcW w:w="735" w:type="pct"/>
                <w:shd w:val="clear" w:color="auto" w:fill="auto"/>
                <w:noWrap/>
                <w:vAlign w:val="center"/>
                <w:hideMark/>
              </w:tcPr>
              <w:p w14:paraId="0C32E1A7" w14:textId="574BEAC9" w:rsidR="0026665C" w:rsidRPr="00610DD6" w:rsidRDefault="0026665C" w:rsidP="0026665C">
                <w:pPr>
                  <w:spacing w:after="0" w:line="240" w:lineRule="auto"/>
                  <w:jc w:val="center"/>
                  <w:rPr>
                    <w:rFonts w:ascii="Times New Roman" w:eastAsia="Times New Roman" w:hAnsi="Times New Roman"/>
                    <w:sz w:val="18"/>
                    <w:szCs w:val="18"/>
                    <w:lang w:eastAsia="es-CO"/>
                  </w:rPr>
                </w:pPr>
              </w:p>
            </w:tc>
          </w:tr>
          <w:tr w:rsidR="0026665C" w:rsidRPr="009A46BB" w14:paraId="0C29E967" w14:textId="77777777" w:rsidTr="00E8265B">
            <w:trPr>
              <w:trHeight w:val="340"/>
            </w:trPr>
            <w:tc>
              <w:tcPr>
                <w:tcW w:w="642" w:type="pct"/>
                <w:shd w:val="clear" w:color="auto" w:fill="auto"/>
                <w:noWrap/>
                <w:vAlign w:val="center"/>
                <w:hideMark/>
              </w:tcPr>
              <w:p w14:paraId="17D990EE" w14:textId="77777777" w:rsidR="0026665C" w:rsidRPr="00610DD6" w:rsidRDefault="0026665C" w:rsidP="0026665C">
                <w:pPr>
                  <w:spacing w:after="0" w:line="240" w:lineRule="auto"/>
                  <w:rPr>
                    <w:rFonts w:ascii="Times New Roman" w:eastAsia="Times New Roman" w:hAnsi="Times New Roman"/>
                    <w:b/>
                    <w:bCs/>
                    <w:sz w:val="18"/>
                    <w:szCs w:val="18"/>
                    <w:lang w:eastAsia="es-CO"/>
                  </w:rPr>
                </w:pPr>
                <w:r w:rsidRPr="00610DD6">
                  <w:rPr>
                    <w:rFonts w:ascii="Times New Roman" w:eastAsia="Times New Roman" w:hAnsi="Times New Roman"/>
                    <w:b/>
                    <w:bCs/>
                    <w:sz w:val="18"/>
                    <w:szCs w:val="18"/>
                    <w:lang w:eastAsia="es-CO"/>
                  </w:rPr>
                  <w:t>8.1.90</w:t>
                </w:r>
              </w:p>
            </w:tc>
            <w:tc>
              <w:tcPr>
                <w:tcW w:w="389" w:type="pct"/>
                <w:shd w:val="clear" w:color="auto" w:fill="auto"/>
                <w:noWrap/>
                <w:vAlign w:val="center"/>
                <w:hideMark/>
              </w:tcPr>
              <w:p w14:paraId="1099BECC" w14:textId="77777777" w:rsidR="0026665C" w:rsidRPr="00610DD6" w:rsidRDefault="0026665C" w:rsidP="0026665C">
                <w:pPr>
                  <w:spacing w:after="0" w:line="240" w:lineRule="auto"/>
                  <w:jc w:val="center"/>
                  <w:rPr>
                    <w:rFonts w:ascii="Times New Roman" w:eastAsia="Times New Roman" w:hAnsi="Times New Roman"/>
                    <w:b/>
                    <w:bCs/>
                    <w:sz w:val="18"/>
                    <w:szCs w:val="18"/>
                    <w:lang w:eastAsia="es-CO"/>
                  </w:rPr>
                </w:pPr>
                <w:r w:rsidRPr="00610DD6">
                  <w:rPr>
                    <w:rFonts w:ascii="Times New Roman" w:eastAsia="Times New Roman" w:hAnsi="Times New Roman"/>
                    <w:b/>
                    <w:bCs/>
                    <w:sz w:val="18"/>
                    <w:szCs w:val="18"/>
                    <w:lang w:eastAsia="es-CO"/>
                  </w:rPr>
                  <w:t>Db</w:t>
                </w:r>
              </w:p>
            </w:tc>
            <w:tc>
              <w:tcPr>
                <w:tcW w:w="2049" w:type="pct"/>
                <w:shd w:val="clear" w:color="auto" w:fill="auto"/>
                <w:vAlign w:val="center"/>
                <w:hideMark/>
              </w:tcPr>
              <w:p w14:paraId="753964C2" w14:textId="77777777" w:rsidR="0026665C" w:rsidRPr="00610DD6" w:rsidRDefault="0026665C" w:rsidP="0026665C">
                <w:pPr>
                  <w:spacing w:after="0" w:line="240" w:lineRule="auto"/>
                  <w:rPr>
                    <w:rFonts w:ascii="Times New Roman" w:eastAsia="Times New Roman" w:hAnsi="Times New Roman"/>
                    <w:b/>
                    <w:bCs/>
                    <w:sz w:val="18"/>
                    <w:szCs w:val="18"/>
                    <w:lang w:eastAsia="es-CO"/>
                  </w:rPr>
                </w:pPr>
                <w:r w:rsidRPr="00610DD6">
                  <w:rPr>
                    <w:rFonts w:ascii="Times New Roman" w:eastAsia="Times New Roman" w:hAnsi="Times New Roman"/>
                    <w:b/>
                    <w:bCs/>
                    <w:sz w:val="18"/>
                    <w:szCs w:val="18"/>
                    <w:lang w:eastAsia="es-CO"/>
                  </w:rPr>
                  <w:t>Otros activos contingentes</w:t>
                </w:r>
              </w:p>
            </w:tc>
            <w:tc>
              <w:tcPr>
                <w:tcW w:w="1185" w:type="pct"/>
                <w:shd w:val="clear" w:color="auto" w:fill="auto"/>
                <w:noWrap/>
                <w:vAlign w:val="center"/>
                <w:hideMark/>
              </w:tcPr>
              <w:p w14:paraId="35DB5FB6" w14:textId="77777777" w:rsidR="0026665C" w:rsidRPr="00610DD6" w:rsidRDefault="0026665C" w:rsidP="0026665C">
                <w:pPr>
                  <w:spacing w:after="0" w:line="240" w:lineRule="auto"/>
                  <w:jc w:val="right"/>
                  <w:rPr>
                    <w:rFonts w:ascii="Times New Roman" w:eastAsia="Times New Roman" w:hAnsi="Times New Roman"/>
                    <w:b/>
                    <w:bCs/>
                    <w:sz w:val="18"/>
                    <w:szCs w:val="18"/>
                    <w:lang w:eastAsia="es-CO"/>
                  </w:rPr>
                </w:pPr>
                <w:r w:rsidRPr="00610DD6">
                  <w:rPr>
                    <w:rFonts w:ascii="Times New Roman" w:eastAsia="Times New Roman" w:hAnsi="Times New Roman"/>
                    <w:b/>
                    <w:bCs/>
                    <w:sz w:val="18"/>
                    <w:szCs w:val="18"/>
                    <w:lang w:eastAsia="es-CO"/>
                  </w:rPr>
                  <w:t xml:space="preserve">16.592.000.000 </w:t>
                </w:r>
              </w:p>
            </w:tc>
            <w:tc>
              <w:tcPr>
                <w:tcW w:w="735" w:type="pct"/>
                <w:shd w:val="clear" w:color="auto" w:fill="auto"/>
                <w:noWrap/>
                <w:vAlign w:val="center"/>
                <w:hideMark/>
              </w:tcPr>
              <w:p w14:paraId="3BF39F0F" w14:textId="77777777" w:rsidR="0026665C" w:rsidRPr="00610DD6" w:rsidRDefault="0026665C" w:rsidP="0026665C">
                <w:pPr>
                  <w:spacing w:after="0" w:line="240" w:lineRule="auto"/>
                  <w:jc w:val="center"/>
                  <w:rPr>
                    <w:rFonts w:ascii="Times New Roman" w:eastAsia="Times New Roman" w:hAnsi="Times New Roman"/>
                    <w:b/>
                    <w:bCs/>
                    <w:sz w:val="18"/>
                    <w:szCs w:val="18"/>
                    <w:lang w:eastAsia="es-CO"/>
                  </w:rPr>
                </w:pPr>
                <w:r w:rsidRPr="00610DD6">
                  <w:rPr>
                    <w:rFonts w:ascii="Times New Roman" w:eastAsia="Times New Roman" w:hAnsi="Times New Roman"/>
                    <w:b/>
                    <w:bCs/>
                    <w:sz w:val="18"/>
                    <w:szCs w:val="18"/>
                    <w:lang w:eastAsia="es-CO"/>
                  </w:rPr>
                  <w:t>0</w:t>
                </w:r>
              </w:p>
            </w:tc>
          </w:tr>
          <w:tr w:rsidR="0026665C" w:rsidRPr="009A46BB" w14:paraId="5ACD7064" w14:textId="77777777" w:rsidTr="00E8265B">
            <w:trPr>
              <w:trHeight w:val="340"/>
            </w:trPr>
            <w:tc>
              <w:tcPr>
                <w:tcW w:w="642" w:type="pct"/>
                <w:shd w:val="clear" w:color="auto" w:fill="auto"/>
                <w:noWrap/>
                <w:vAlign w:val="center"/>
                <w:hideMark/>
              </w:tcPr>
              <w:p w14:paraId="3EEBDDEC" w14:textId="77777777" w:rsidR="0026665C" w:rsidRPr="00610DD6" w:rsidRDefault="0026665C" w:rsidP="0026665C">
                <w:pPr>
                  <w:spacing w:after="0" w:line="240" w:lineRule="auto"/>
                  <w:rPr>
                    <w:rFonts w:ascii="Times New Roman" w:eastAsia="Times New Roman" w:hAnsi="Times New Roman"/>
                    <w:sz w:val="18"/>
                    <w:szCs w:val="18"/>
                    <w:lang w:eastAsia="es-CO"/>
                  </w:rPr>
                </w:pPr>
                <w:r w:rsidRPr="00610DD6">
                  <w:rPr>
                    <w:rFonts w:ascii="Times New Roman" w:eastAsia="Times New Roman" w:hAnsi="Times New Roman"/>
                    <w:sz w:val="18"/>
                    <w:szCs w:val="18"/>
                    <w:lang w:eastAsia="es-CO"/>
                  </w:rPr>
                  <w:t>8.1.90.90</w:t>
                </w:r>
              </w:p>
            </w:tc>
            <w:tc>
              <w:tcPr>
                <w:tcW w:w="389" w:type="pct"/>
                <w:shd w:val="clear" w:color="auto" w:fill="auto"/>
                <w:noWrap/>
                <w:vAlign w:val="center"/>
                <w:hideMark/>
              </w:tcPr>
              <w:p w14:paraId="79AD87D7" w14:textId="77777777" w:rsidR="0026665C" w:rsidRPr="00610DD6" w:rsidRDefault="0026665C" w:rsidP="0026665C">
                <w:pPr>
                  <w:spacing w:after="0" w:line="240" w:lineRule="auto"/>
                  <w:jc w:val="center"/>
                  <w:rPr>
                    <w:rFonts w:ascii="Times New Roman" w:eastAsia="Times New Roman" w:hAnsi="Times New Roman"/>
                    <w:sz w:val="18"/>
                    <w:szCs w:val="18"/>
                    <w:lang w:eastAsia="es-CO"/>
                  </w:rPr>
                </w:pPr>
                <w:r w:rsidRPr="00610DD6">
                  <w:rPr>
                    <w:rFonts w:ascii="Times New Roman" w:eastAsia="Times New Roman" w:hAnsi="Times New Roman"/>
                    <w:sz w:val="18"/>
                    <w:szCs w:val="18"/>
                    <w:lang w:eastAsia="es-CO"/>
                  </w:rPr>
                  <w:t>Db</w:t>
                </w:r>
              </w:p>
            </w:tc>
            <w:tc>
              <w:tcPr>
                <w:tcW w:w="2049" w:type="pct"/>
                <w:shd w:val="clear" w:color="auto" w:fill="auto"/>
                <w:vAlign w:val="center"/>
                <w:hideMark/>
              </w:tcPr>
              <w:p w14:paraId="11412C88" w14:textId="77777777" w:rsidR="0026665C" w:rsidRPr="00610DD6" w:rsidRDefault="0026665C" w:rsidP="0026665C">
                <w:pPr>
                  <w:spacing w:after="0" w:line="240" w:lineRule="auto"/>
                  <w:rPr>
                    <w:rFonts w:ascii="Times New Roman" w:eastAsia="Times New Roman" w:hAnsi="Times New Roman"/>
                    <w:sz w:val="18"/>
                    <w:szCs w:val="18"/>
                    <w:lang w:eastAsia="es-CO"/>
                  </w:rPr>
                </w:pPr>
                <w:r w:rsidRPr="00610DD6">
                  <w:rPr>
                    <w:rFonts w:ascii="Times New Roman" w:eastAsia="Times New Roman" w:hAnsi="Times New Roman"/>
                    <w:sz w:val="18"/>
                    <w:szCs w:val="18"/>
                    <w:lang w:eastAsia="es-CO"/>
                  </w:rPr>
                  <w:t>Otros activos contingentes</w:t>
                </w:r>
              </w:p>
            </w:tc>
            <w:tc>
              <w:tcPr>
                <w:tcW w:w="1185" w:type="pct"/>
                <w:shd w:val="clear" w:color="auto" w:fill="auto"/>
                <w:noWrap/>
                <w:vAlign w:val="center"/>
                <w:hideMark/>
              </w:tcPr>
              <w:p w14:paraId="0C5626C4" w14:textId="77777777" w:rsidR="0026665C" w:rsidRPr="00610DD6" w:rsidRDefault="0026665C" w:rsidP="0026665C">
                <w:pPr>
                  <w:spacing w:after="0" w:line="240" w:lineRule="auto"/>
                  <w:jc w:val="right"/>
                  <w:rPr>
                    <w:rFonts w:ascii="Times New Roman" w:eastAsia="Times New Roman" w:hAnsi="Times New Roman"/>
                    <w:sz w:val="18"/>
                    <w:szCs w:val="18"/>
                    <w:lang w:eastAsia="es-CO"/>
                  </w:rPr>
                </w:pPr>
                <w:r w:rsidRPr="00610DD6">
                  <w:rPr>
                    <w:rFonts w:ascii="Times New Roman" w:eastAsia="Times New Roman" w:hAnsi="Times New Roman"/>
                    <w:sz w:val="18"/>
                    <w:szCs w:val="18"/>
                    <w:lang w:eastAsia="es-CO"/>
                  </w:rPr>
                  <w:t xml:space="preserve">16.592.000.000 </w:t>
                </w:r>
              </w:p>
            </w:tc>
            <w:tc>
              <w:tcPr>
                <w:tcW w:w="735" w:type="pct"/>
                <w:shd w:val="clear" w:color="auto" w:fill="auto"/>
                <w:noWrap/>
                <w:vAlign w:val="center"/>
                <w:hideMark/>
              </w:tcPr>
              <w:p w14:paraId="6019DA02" w14:textId="167AFC49" w:rsidR="0026665C" w:rsidRPr="00610DD6" w:rsidRDefault="0026665C" w:rsidP="0026665C">
                <w:pPr>
                  <w:spacing w:after="0" w:line="240" w:lineRule="auto"/>
                  <w:jc w:val="center"/>
                  <w:rPr>
                    <w:rFonts w:ascii="Times New Roman" w:eastAsia="Times New Roman" w:hAnsi="Times New Roman"/>
                    <w:sz w:val="18"/>
                    <w:szCs w:val="18"/>
                    <w:lang w:eastAsia="es-CO"/>
                  </w:rPr>
                </w:pPr>
              </w:p>
            </w:tc>
          </w:tr>
        </w:tbl>
        <w:p w14:paraId="3CB4425D" w14:textId="77777777" w:rsidR="00A02DB9" w:rsidRPr="00931DCE" w:rsidRDefault="00A02DB9" w:rsidP="00A02DB9">
          <w:pPr>
            <w:spacing w:after="0" w:line="240" w:lineRule="auto"/>
            <w:jc w:val="both"/>
            <w:rPr>
              <w:rFonts w:ascii="Times New Roman" w:hAnsi="Times New Roman"/>
              <w:sz w:val="24"/>
              <w:szCs w:val="24"/>
            </w:rPr>
          </w:pPr>
        </w:p>
        <w:p w14:paraId="6A62B769" w14:textId="3F119714" w:rsidR="00A02DB9" w:rsidRPr="00931DCE" w:rsidRDefault="00A02DB9">
          <w:pPr>
            <w:pStyle w:val="Ttulo3"/>
            <w:numPr>
              <w:ilvl w:val="2"/>
              <w:numId w:val="17"/>
            </w:numPr>
            <w:ind w:left="709" w:hanging="709"/>
            <w:rPr>
              <w:rFonts w:cs="Times New Roman"/>
              <w:color w:val="1F3864" w:themeColor="accent1" w:themeShade="80"/>
            </w:rPr>
          </w:pPr>
          <w:bookmarkStart w:id="85" w:name="_Toc54016814"/>
          <w:bookmarkStart w:id="86" w:name="_Toc159952421"/>
          <w:r w:rsidRPr="00931DCE">
            <w:rPr>
              <w:rFonts w:cs="Times New Roman"/>
              <w:color w:val="1F3864" w:themeColor="accent1" w:themeShade="80"/>
            </w:rPr>
            <w:t>Revelaciones generales de activos contingentes</w:t>
          </w:r>
          <w:bookmarkEnd w:id="85"/>
          <w:bookmarkEnd w:id="86"/>
        </w:p>
        <w:p w14:paraId="5D864A57" w14:textId="612CDFC4" w:rsidR="0098209C" w:rsidRPr="00931DCE" w:rsidRDefault="00220F62" w:rsidP="00220F62">
          <w:pPr>
            <w:spacing w:after="0" w:line="240" w:lineRule="auto"/>
            <w:jc w:val="both"/>
            <w:rPr>
              <w:rFonts w:ascii="Times New Roman" w:hAnsi="Times New Roman"/>
              <w:sz w:val="14"/>
              <w:szCs w:val="14"/>
            </w:rPr>
          </w:pPr>
          <w:bookmarkStart w:id="87" w:name="_1770122420"/>
          <w:bookmarkStart w:id="88" w:name="_1770135587"/>
          <w:bookmarkStart w:id="89" w:name="_1770137397"/>
          <w:bookmarkStart w:id="90" w:name="_1770137688"/>
          <w:bookmarkStart w:id="91" w:name="_1770137825"/>
          <w:bookmarkStart w:id="92" w:name="_1770137989"/>
          <w:bookmarkStart w:id="93" w:name="_1770138038"/>
          <w:bookmarkStart w:id="94" w:name="_1770138139"/>
          <w:bookmarkStart w:id="95" w:name="_1770138333"/>
          <w:bookmarkEnd w:id="87"/>
          <w:bookmarkEnd w:id="88"/>
          <w:bookmarkEnd w:id="89"/>
          <w:bookmarkEnd w:id="90"/>
          <w:bookmarkEnd w:id="91"/>
          <w:bookmarkEnd w:id="92"/>
          <w:bookmarkEnd w:id="93"/>
          <w:bookmarkEnd w:id="94"/>
          <w:bookmarkEnd w:id="95"/>
          <w:r w:rsidRPr="00931DCE">
            <w:rPr>
              <w:rFonts w:ascii="Times New Roman" w:hAnsi="Times New Roman"/>
              <w:sz w:val="24"/>
              <w:szCs w:val="24"/>
            </w:rPr>
            <w:t xml:space="preserve">   </w:t>
          </w: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70" w:type="dxa"/>
              <w:right w:w="70" w:type="dxa"/>
            </w:tblCellMar>
            <w:tblLook w:val="04A0" w:firstRow="1" w:lastRow="0" w:firstColumn="1" w:lastColumn="0" w:noHBand="0" w:noVBand="1"/>
          </w:tblPr>
          <w:tblGrid>
            <w:gridCol w:w="1151"/>
            <w:gridCol w:w="716"/>
            <w:gridCol w:w="3658"/>
            <w:gridCol w:w="2126"/>
            <w:gridCol w:w="1318"/>
          </w:tblGrid>
          <w:tr w:rsidR="0098209C" w:rsidRPr="0098209C" w14:paraId="719199B5" w14:textId="77777777" w:rsidTr="003B6FB9">
            <w:trPr>
              <w:trHeight w:val="300"/>
            </w:trPr>
            <w:tc>
              <w:tcPr>
                <w:tcW w:w="1041" w:type="pct"/>
                <w:gridSpan w:val="2"/>
                <w:shd w:val="clear" w:color="auto" w:fill="auto"/>
                <w:vAlign w:val="center"/>
                <w:hideMark/>
              </w:tcPr>
              <w:p w14:paraId="03DECD34" w14:textId="77777777" w:rsidR="0098209C" w:rsidRPr="009A46BB" w:rsidRDefault="0098209C" w:rsidP="0098209C">
                <w:pPr>
                  <w:spacing w:after="0" w:line="240" w:lineRule="auto"/>
                  <w:jc w:val="center"/>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DESCRIPCIÓN</w:t>
                </w:r>
              </w:p>
            </w:tc>
            <w:tc>
              <w:tcPr>
                <w:tcW w:w="2039" w:type="pct"/>
                <w:vMerge w:val="restart"/>
                <w:shd w:val="clear" w:color="auto" w:fill="auto"/>
                <w:vAlign w:val="center"/>
                <w:hideMark/>
              </w:tcPr>
              <w:p w14:paraId="1572FABE" w14:textId="77777777" w:rsidR="0098209C" w:rsidRPr="009A46BB" w:rsidRDefault="0098209C" w:rsidP="0098209C">
                <w:pPr>
                  <w:spacing w:after="0" w:line="240" w:lineRule="auto"/>
                  <w:jc w:val="center"/>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CONCEPTO</w:t>
                </w:r>
              </w:p>
            </w:tc>
            <w:tc>
              <w:tcPr>
                <w:tcW w:w="1185" w:type="pct"/>
                <w:shd w:val="clear" w:color="auto" w:fill="auto"/>
                <w:vAlign w:val="center"/>
                <w:hideMark/>
              </w:tcPr>
              <w:p w14:paraId="7709FCFF" w14:textId="77777777" w:rsidR="0098209C" w:rsidRPr="009A46BB" w:rsidRDefault="0098209C" w:rsidP="0098209C">
                <w:pPr>
                  <w:spacing w:after="0" w:line="240" w:lineRule="auto"/>
                  <w:jc w:val="center"/>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2023</w:t>
                </w:r>
              </w:p>
            </w:tc>
            <w:tc>
              <w:tcPr>
                <w:tcW w:w="735" w:type="pct"/>
                <w:vMerge w:val="restart"/>
                <w:shd w:val="clear" w:color="auto" w:fill="auto"/>
                <w:vAlign w:val="center"/>
                <w:hideMark/>
              </w:tcPr>
              <w:p w14:paraId="553BC8C2" w14:textId="77777777" w:rsidR="0098209C" w:rsidRPr="009A46BB" w:rsidRDefault="0098209C" w:rsidP="0098209C">
                <w:pPr>
                  <w:spacing w:after="0" w:line="240" w:lineRule="auto"/>
                  <w:jc w:val="center"/>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CANTIDAD</w:t>
                </w:r>
                <w:r w:rsidRPr="009A46BB">
                  <w:rPr>
                    <w:rFonts w:ascii="Times New Roman" w:eastAsia="Times New Roman" w:hAnsi="Times New Roman"/>
                    <w:b/>
                    <w:sz w:val="18"/>
                    <w:szCs w:val="18"/>
                    <w:lang w:eastAsia="es-CO"/>
                  </w:rPr>
                  <w:br/>
                  <w:t>(Procesos o casos)</w:t>
                </w:r>
              </w:p>
            </w:tc>
          </w:tr>
          <w:tr w:rsidR="0098209C" w:rsidRPr="0098209C" w14:paraId="54055E4B" w14:textId="77777777" w:rsidTr="003B6FB9">
            <w:trPr>
              <w:trHeight w:val="360"/>
            </w:trPr>
            <w:tc>
              <w:tcPr>
                <w:tcW w:w="642" w:type="pct"/>
                <w:shd w:val="clear" w:color="auto" w:fill="auto"/>
                <w:vAlign w:val="center"/>
                <w:hideMark/>
              </w:tcPr>
              <w:p w14:paraId="79C2AFC8" w14:textId="77777777" w:rsidR="0098209C" w:rsidRPr="009A46BB" w:rsidRDefault="0098209C" w:rsidP="0098209C">
                <w:pPr>
                  <w:spacing w:after="0" w:line="240" w:lineRule="auto"/>
                  <w:jc w:val="center"/>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CÓDIGO CONTABLE</w:t>
                </w:r>
              </w:p>
            </w:tc>
            <w:tc>
              <w:tcPr>
                <w:tcW w:w="399" w:type="pct"/>
                <w:shd w:val="clear" w:color="auto" w:fill="auto"/>
                <w:vAlign w:val="center"/>
                <w:hideMark/>
              </w:tcPr>
              <w:p w14:paraId="3CDE95C0" w14:textId="77777777" w:rsidR="0098209C" w:rsidRPr="009A46BB" w:rsidRDefault="0098209C" w:rsidP="0098209C">
                <w:pPr>
                  <w:spacing w:after="0" w:line="240" w:lineRule="auto"/>
                  <w:jc w:val="center"/>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NAT</w:t>
                </w:r>
              </w:p>
            </w:tc>
            <w:tc>
              <w:tcPr>
                <w:tcW w:w="2039" w:type="pct"/>
                <w:vMerge/>
                <w:vAlign w:val="center"/>
                <w:hideMark/>
              </w:tcPr>
              <w:p w14:paraId="4223B799" w14:textId="77777777" w:rsidR="0098209C" w:rsidRPr="009A46BB" w:rsidRDefault="0098209C" w:rsidP="0098209C">
                <w:pPr>
                  <w:spacing w:after="0" w:line="240" w:lineRule="auto"/>
                  <w:rPr>
                    <w:rFonts w:ascii="Times New Roman" w:eastAsia="Times New Roman" w:hAnsi="Times New Roman"/>
                    <w:b/>
                    <w:sz w:val="18"/>
                    <w:szCs w:val="18"/>
                    <w:lang w:eastAsia="es-CO"/>
                  </w:rPr>
                </w:pPr>
              </w:p>
            </w:tc>
            <w:tc>
              <w:tcPr>
                <w:tcW w:w="1185" w:type="pct"/>
                <w:shd w:val="clear" w:color="auto" w:fill="auto"/>
                <w:vAlign w:val="center"/>
                <w:hideMark/>
              </w:tcPr>
              <w:p w14:paraId="6F47420B" w14:textId="77777777" w:rsidR="0098209C" w:rsidRPr="009A46BB" w:rsidRDefault="0098209C" w:rsidP="0098209C">
                <w:pPr>
                  <w:spacing w:after="0" w:line="240" w:lineRule="auto"/>
                  <w:jc w:val="center"/>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VALOR EN LIBROS</w:t>
                </w:r>
              </w:p>
            </w:tc>
            <w:tc>
              <w:tcPr>
                <w:tcW w:w="735" w:type="pct"/>
                <w:vMerge/>
                <w:vAlign w:val="center"/>
                <w:hideMark/>
              </w:tcPr>
              <w:p w14:paraId="1BBD9B8E" w14:textId="77777777" w:rsidR="0098209C" w:rsidRPr="009A46BB" w:rsidRDefault="0098209C" w:rsidP="0098209C">
                <w:pPr>
                  <w:spacing w:after="0" w:line="240" w:lineRule="auto"/>
                  <w:rPr>
                    <w:rFonts w:ascii="Times New Roman" w:eastAsia="Times New Roman" w:hAnsi="Times New Roman"/>
                    <w:b/>
                    <w:sz w:val="18"/>
                    <w:szCs w:val="18"/>
                    <w:lang w:eastAsia="es-CO"/>
                  </w:rPr>
                </w:pPr>
              </w:p>
            </w:tc>
          </w:tr>
          <w:tr w:rsidR="0098209C" w:rsidRPr="0098209C" w14:paraId="3A033DB7" w14:textId="77777777" w:rsidTr="003B6FB9">
            <w:trPr>
              <w:trHeight w:val="285"/>
            </w:trPr>
            <w:tc>
              <w:tcPr>
                <w:tcW w:w="642" w:type="pct"/>
                <w:shd w:val="clear" w:color="auto" w:fill="auto"/>
                <w:noWrap/>
                <w:vAlign w:val="center"/>
                <w:hideMark/>
              </w:tcPr>
              <w:p w14:paraId="6CFF3690" w14:textId="77777777" w:rsidR="0098209C" w:rsidRPr="009A46BB" w:rsidRDefault="0098209C" w:rsidP="0098209C">
                <w:pPr>
                  <w:spacing w:after="0" w:line="240" w:lineRule="auto"/>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 </w:t>
                </w:r>
              </w:p>
            </w:tc>
            <w:tc>
              <w:tcPr>
                <w:tcW w:w="399" w:type="pct"/>
                <w:shd w:val="clear" w:color="auto" w:fill="auto"/>
                <w:noWrap/>
                <w:vAlign w:val="center"/>
                <w:hideMark/>
              </w:tcPr>
              <w:p w14:paraId="15DD31EB" w14:textId="77777777" w:rsidR="0098209C" w:rsidRPr="009A46BB" w:rsidRDefault="0098209C" w:rsidP="0098209C">
                <w:pPr>
                  <w:spacing w:after="0" w:line="240" w:lineRule="auto"/>
                  <w:jc w:val="center"/>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Db</w:t>
                </w:r>
              </w:p>
            </w:tc>
            <w:tc>
              <w:tcPr>
                <w:tcW w:w="2039" w:type="pct"/>
                <w:shd w:val="clear" w:color="auto" w:fill="auto"/>
                <w:vAlign w:val="center"/>
                <w:hideMark/>
              </w:tcPr>
              <w:p w14:paraId="61D0C4BC" w14:textId="77777777" w:rsidR="0098209C" w:rsidRPr="009A46BB" w:rsidRDefault="0098209C" w:rsidP="0098209C">
                <w:pPr>
                  <w:spacing w:after="0" w:line="240" w:lineRule="auto"/>
                  <w:jc w:val="center"/>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ACTIVOS CONTINGENTES</w:t>
                </w:r>
              </w:p>
            </w:tc>
            <w:tc>
              <w:tcPr>
                <w:tcW w:w="1185" w:type="pct"/>
                <w:shd w:val="clear" w:color="auto" w:fill="auto"/>
                <w:noWrap/>
                <w:vAlign w:val="center"/>
                <w:hideMark/>
              </w:tcPr>
              <w:p w14:paraId="21183B43" w14:textId="77777777" w:rsidR="0098209C" w:rsidRPr="009A46BB" w:rsidRDefault="0098209C" w:rsidP="0098209C">
                <w:pPr>
                  <w:spacing w:after="0" w:line="240" w:lineRule="auto"/>
                  <w:jc w:val="right"/>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 xml:space="preserve">2.138.602.588.721 </w:t>
                </w:r>
              </w:p>
            </w:tc>
            <w:tc>
              <w:tcPr>
                <w:tcW w:w="735" w:type="pct"/>
                <w:shd w:val="clear" w:color="auto" w:fill="auto"/>
                <w:noWrap/>
                <w:vAlign w:val="center"/>
                <w:hideMark/>
              </w:tcPr>
              <w:p w14:paraId="39A64073" w14:textId="77777777" w:rsidR="0098209C" w:rsidRPr="009A46BB" w:rsidRDefault="0098209C" w:rsidP="0026665C">
                <w:pPr>
                  <w:spacing w:after="0" w:line="240" w:lineRule="auto"/>
                  <w:jc w:val="center"/>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54</w:t>
                </w:r>
              </w:p>
            </w:tc>
          </w:tr>
          <w:tr w:rsidR="0098209C" w:rsidRPr="0098209C" w14:paraId="0FF15368" w14:textId="77777777" w:rsidTr="003B6FB9">
            <w:trPr>
              <w:trHeight w:val="285"/>
            </w:trPr>
            <w:tc>
              <w:tcPr>
                <w:tcW w:w="642" w:type="pct"/>
                <w:shd w:val="clear" w:color="auto" w:fill="auto"/>
                <w:noWrap/>
                <w:vAlign w:val="center"/>
                <w:hideMark/>
              </w:tcPr>
              <w:p w14:paraId="29636954" w14:textId="77777777" w:rsidR="0098209C" w:rsidRPr="009A46BB" w:rsidRDefault="0098209C" w:rsidP="0098209C">
                <w:pPr>
                  <w:spacing w:after="0" w:line="240" w:lineRule="auto"/>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8.1.20</w:t>
                </w:r>
              </w:p>
            </w:tc>
            <w:tc>
              <w:tcPr>
                <w:tcW w:w="399" w:type="pct"/>
                <w:shd w:val="clear" w:color="auto" w:fill="auto"/>
                <w:noWrap/>
                <w:vAlign w:val="center"/>
                <w:hideMark/>
              </w:tcPr>
              <w:p w14:paraId="65CC78CE" w14:textId="77777777" w:rsidR="0098209C" w:rsidRPr="009A46BB" w:rsidRDefault="0098209C" w:rsidP="0098209C">
                <w:pPr>
                  <w:spacing w:after="0" w:line="240" w:lineRule="auto"/>
                  <w:jc w:val="center"/>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Db</w:t>
                </w:r>
              </w:p>
            </w:tc>
            <w:tc>
              <w:tcPr>
                <w:tcW w:w="2039" w:type="pct"/>
                <w:shd w:val="clear" w:color="auto" w:fill="auto"/>
                <w:vAlign w:val="center"/>
                <w:hideMark/>
              </w:tcPr>
              <w:p w14:paraId="70436700" w14:textId="77777777" w:rsidR="0098209C" w:rsidRPr="009A46BB" w:rsidRDefault="0098209C" w:rsidP="0098209C">
                <w:pPr>
                  <w:spacing w:after="0" w:line="240" w:lineRule="auto"/>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Litigios y mecanismos alternativos de solución de conflictos</w:t>
                </w:r>
              </w:p>
            </w:tc>
            <w:tc>
              <w:tcPr>
                <w:tcW w:w="1185" w:type="pct"/>
                <w:shd w:val="clear" w:color="auto" w:fill="auto"/>
                <w:noWrap/>
                <w:vAlign w:val="center"/>
                <w:hideMark/>
              </w:tcPr>
              <w:p w14:paraId="64D367FA" w14:textId="77777777" w:rsidR="0098209C" w:rsidRPr="009A46BB" w:rsidRDefault="0098209C" w:rsidP="0098209C">
                <w:pPr>
                  <w:spacing w:after="0" w:line="240" w:lineRule="auto"/>
                  <w:jc w:val="right"/>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 xml:space="preserve">332.062.940.943 </w:t>
                </w:r>
              </w:p>
            </w:tc>
            <w:tc>
              <w:tcPr>
                <w:tcW w:w="735" w:type="pct"/>
                <w:shd w:val="clear" w:color="auto" w:fill="auto"/>
                <w:noWrap/>
                <w:vAlign w:val="center"/>
                <w:hideMark/>
              </w:tcPr>
              <w:p w14:paraId="1D48E120" w14:textId="77777777" w:rsidR="0098209C" w:rsidRPr="009A46BB" w:rsidRDefault="0098209C" w:rsidP="0026665C">
                <w:pPr>
                  <w:spacing w:after="0" w:line="240" w:lineRule="auto"/>
                  <w:jc w:val="center"/>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54</w:t>
                </w:r>
              </w:p>
            </w:tc>
          </w:tr>
          <w:tr w:rsidR="0098209C" w:rsidRPr="0098209C" w14:paraId="32EE76D2" w14:textId="77777777" w:rsidTr="003B6FB9">
            <w:trPr>
              <w:trHeight w:val="300"/>
            </w:trPr>
            <w:tc>
              <w:tcPr>
                <w:tcW w:w="642" w:type="pct"/>
                <w:shd w:val="clear" w:color="auto" w:fill="auto"/>
                <w:noWrap/>
                <w:vAlign w:val="center"/>
                <w:hideMark/>
              </w:tcPr>
              <w:p w14:paraId="38197AE6" w14:textId="77777777" w:rsidR="0098209C" w:rsidRPr="009A46BB" w:rsidRDefault="0098209C" w:rsidP="0098209C">
                <w:pPr>
                  <w:spacing w:after="0" w:line="240" w:lineRule="auto"/>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8.1.20.02</w:t>
                </w:r>
              </w:p>
            </w:tc>
            <w:tc>
              <w:tcPr>
                <w:tcW w:w="399" w:type="pct"/>
                <w:shd w:val="clear" w:color="auto" w:fill="auto"/>
                <w:noWrap/>
                <w:vAlign w:val="center"/>
                <w:hideMark/>
              </w:tcPr>
              <w:p w14:paraId="448C9349" w14:textId="77777777" w:rsidR="0098209C" w:rsidRPr="009A46BB" w:rsidRDefault="0098209C" w:rsidP="0098209C">
                <w:pPr>
                  <w:spacing w:after="0" w:line="240" w:lineRule="auto"/>
                  <w:jc w:val="center"/>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Db</w:t>
                </w:r>
              </w:p>
            </w:tc>
            <w:tc>
              <w:tcPr>
                <w:tcW w:w="2039" w:type="pct"/>
                <w:shd w:val="clear" w:color="auto" w:fill="auto"/>
                <w:vAlign w:val="center"/>
                <w:hideMark/>
              </w:tcPr>
              <w:p w14:paraId="5FFB272B" w14:textId="77777777" w:rsidR="0098209C" w:rsidRPr="009A46BB" w:rsidRDefault="0098209C" w:rsidP="0098209C">
                <w:pPr>
                  <w:spacing w:after="0" w:line="240" w:lineRule="auto"/>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Laborales</w:t>
                </w:r>
              </w:p>
            </w:tc>
            <w:tc>
              <w:tcPr>
                <w:tcW w:w="1185" w:type="pct"/>
                <w:shd w:val="clear" w:color="auto" w:fill="auto"/>
                <w:noWrap/>
                <w:vAlign w:val="center"/>
                <w:hideMark/>
              </w:tcPr>
              <w:p w14:paraId="411A79AF" w14:textId="77777777" w:rsidR="0098209C" w:rsidRPr="009A46BB" w:rsidRDefault="0098209C" w:rsidP="0098209C">
                <w:pPr>
                  <w:spacing w:after="0" w:line="240" w:lineRule="auto"/>
                  <w:jc w:val="right"/>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 xml:space="preserve">49.106.560 </w:t>
                </w:r>
              </w:p>
            </w:tc>
            <w:tc>
              <w:tcPr>
                <w:tcW w:w="735" w:type="pct"/>
                <w:shd w:val="clear" w:color="auto" w:fill="auto"/>
                <w:noWrap/>
                <w:vAlign w:val="center"/>
                <w:hideMark/>
              </w:tcPr>
              <w:p w14:paraId="2FBAF8FB" w14:textId="77777777" w:rsidR="0098209C" w:rsidRPr="009A46BB" w:rsidRDefault="0098209C" w:rsidP="0026665C">
                <w:pPr>
                  <w:spacing w:after="0" w:line="240" w:lineRule="auto"/>
                  <w:jc w:val="center"/>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4</w:t>
                </w:r>
              </w:p>
            </w:tc>
          </w:tr>
          <w:tr w:rsidR="0098209C" w:rsidRPr="0098209C" w14:paraId="637BEC32" w14:textId="77777777" w:rsidTr="003B6FB9">
            <w:trPr>
              <w:trHeight w:val="300"/>
            </w:trPr>
            <w:tc>
              <w:tcPr>
                <w:tcW w:w="642" w:type="pct"/>
                <w:shd w:val="clear" w:color="auto" w:fill="auto"/>
                <w:noWrap/>
                <w:vAlign w:val="center"/>
                <w:hideMark/>
              </w:tcPr>
              <w:p w14:paraId="015134A1" w14:textId="77777777" w:rsidR="0098209C" w:rsidRPr="009A46BB" w:rsidRDefault="0098209C" w:rsidP="0098209C">
                <w:pPr>
                  <w:spacing w:after="0" w:line="240" w:lineRule="auto"/>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8.1.20.04</w:t>
                </w:r>
              </w:p>
            </w:tc>
            <w:tc>
              <w:tcPr>
                <w:tcW w:w="399" w:type="pct"/>
                <w:shd w:val="clear" w:color="auto" w:fill="auto"/>
                <w:noWrap/>
                <w:vAlign w:val="center"/>
                <w:hideMark/>
              </w:tcPr>
              <w:p w14:paraId="235CABE7" w14:textId="77777777" w:rsidR="0098209C" w:rsidRPr="009A46BB" w:rsidRDefault="0098209C" w:rsidP="0098209C">
                <w:pPr>
                  <w:spacing w:after="0" w:line="240" w:lineRule="auto"/>
                  <w:jc w:val="center"/>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Db</w:t>
                </w:r>
              </w:p>
            </w:tc>
            <w:tc>
              <w:tcPr>
                <w:tcW w:w="2039" w:type="pct"/>
                <w:shd w:val="clear" w:color="auto" w:fill="auto"/>
                <w:vAlign w:val="center"/>
                <w:hideMark/>
              </w:tcPr>
              <w:p w14:paraId="353B853A" w14:textId="77777777" w:rsidR="0098209C" w:rsidRPr="009A46BB" w:rsidRDefault="0098209C" w:rsidP="0098209C">
                <w:pPr>
                  <w:spacing w:after="0" w:line="240" w:lineRule="auto"/>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Administrativas</w:t>
                </w:r>
              </w:p>
            </w:tc>
            <w:tc>
              <w:tcPr>
                <w:tcW w:w="1185" w:type="pct"/>
                <w:shd w:val="clear" w:color="auto" w:fill="auto"/>
                <w:noWrap/>
                <w:vAlign w:val="center"/>
                <w:hideMark/>
              </w:tcPr>
              <w:p w14:paraId="4772CBE9" w14:textId="77777777" w:rsidR="0098209C" w:rsidRPr="009A46BB" w:rsidRDefault="0098209C" w:rsidP="0098209C">
                <w:pPr>
                  <w:spacing w:after="0" w:line="240" w:lineRule="auto"/>
                  <w:jc w:val="right"/>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 xml:space="preserve">162.151.820.181 </w:t>
                </w:r>
              </w:p>
            </w:tc>
            <w:tc>
              <w:tcPr>
                <w:tcW w:w="735" w:type="pct"/>
                <w:shd w:val="clear" w:color="auto" w:fill="auto"/>
                <w:noWrap/>
                <w:vAlign w:val="center"/>
                <w:hideMark/>
              </w:tcPr>
              <w:p w14:paraId="1A0596EE" w14:textId="77777777" w:rsidR="0098209C" w:rsidRPr="009A46BB" w:rsidRDefault="0098209C" w:rsidP="0026665C">
                <w:pPr>
                  <w:spacing w:after="0" w:line="240" w:lineRule="auto"/>
                  <w:jc w:val="center"/>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46</w:t>
                </w:r>
              </w:p>
            </w:tc>
          </w:tr>
          <w:tr w:rsidR="0098209C" w:rsidRPr="0098209C" w14:paraId="5DE56433" w14:textId="77777777" w:rsidTr="003B6FB9">
            <w:trPr>
              <w:trHeight w:val="300"/>
            </w:trPr>
            <w:tc>
              <w:tcPr>
                <w:tcW w:w="642" w:type="pct"/>
                <w:shd w:val="clear" w:color="auto" w:fill="auto"/>
                <w:noWrap/>
                <w:vAlign w:val="center"/>
                <w:hideMark/>
              </w:tcPr>
              <w:p w14:paraId="24211BCC" w14:textId="77777777" w:rsidR="0098209C" w:rsidRPr="009A46BB" w:rsidRDefault="0098209C" w:rsidP="0098209C">
                <w:pPr>
                  <w:spacing w:after="0" w:line="240" w:lineRule="auto"/>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8.1.20.90</w:t>
                </w:r>
              </w:p>
            </w:tc>
            <w:tc>
              <w:tcPr>
                <w:tcW w:w="399" w:type="pct"/>
                <w:shd w:val="clear" w:color="auto" w:fill="auto"/>
                <w:noWrap/>
                <w:vAlign w:val="center"/>
                <w:hideMark/>
              </w:tcPr>
              <w:p w14:paraId="25342E96" w14:textId="77777777" w:rsidR="0098209C" w:rsidRPr="009A46BB" w:rsidRDefault="0098209C" w:rsidP="0098209C">
                <w:pPr>
                  <w:spacing w:after="0" w:line="240" w:lineRule="auto"/>
                  <w:jc w:val="center"/>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Db</w:t>
                </w:r>
              </w:p>
            </w:tc>
            <w:tc>
              <w:tcPr>
                <w:tcW w:w="2039" w:type="pct"/>
                <w:shd w:val="clear" w:color="auto" w:fill="auto"/>
                <w:vAlign w:val="center"/>
                <w:hideMark/>
              </w:tcPr>
              <w:p w14:paraId="5DEC0349" w14:textId="77777777" w:rsidR="0098209C" w:rsidRPr="009A46BB" w:rsidRDefault="0098209C" w:rsidP="0098209C">
                <w:pPr>
                  <w:spacing w:after="0" w:line="240" w:lineRule="auto"/>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Otros litigios y mecanismos alternativos de solución de conflictos</w:t>
                </w:r>
              </w:p>
            </w:tc>
            <w:tc>
              <w:tcPr>
                <w:tcW w:w="1185" w:type="pct"/>
                <w:shd w:val="clear" w:color="auto" w:fill="auto"/>
                <w:noWrap/>
                <w:vAlign w:val="center"/>
                <w:hideMark/>
              </w:tcPr>
              <w:p w14:paraId="4246FCB5" w14:textId="77777777" w:rsidR="0098209C" w:rsidRPr="009A46BB" w:rsidRDefault="0098209C" w:rsidP="0098209C">
                <w:pPr>
                  <w:spacing w:after="0" w:line="240" w:lineRule="auto"/>
                  <w:jc w:val="right"/>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 xml:space="preserve">169.862.014.202 </w:t>
                </w:r>
              </w:p>
            </w:tc>
            <w:tc>
              <w:tcPr>
                <w:tcW w:w="735" w:type="pct"/>
                <w:shd w:val="clear" w:color="auto" w:fill="auto"/>
                <w:noWrap/>
                <w:vAlign w:val="center"/>
                <w:hideMark/>
              </w:tcPr>
              <w:p w14:paraId="385988E4" w14:textId="77777777" w:rsidR="0098209C" w:rsidRPr="009A46BB" w:rsidRDefault="0098209C" w:rsidP="0026665C">
                <w:pPr>
                  <w:spacing w:after="0" w:line="240" w:lineRule="auto"/>
                  <w:jc w:val="center"/>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4</w:t>
                </w:r>
              </w:p>
            </w:tc>
          </w:tr>
          <w:tr w:rsidR="0098209C" w:rsidRPr="0098209C" w14:paraId="2433C37E" w14:textId="77777777" w:rsidTr="003B6FB9">
            <w:trPr>
              <w:trHeight w:val="300"/>
            </w:trPr>
            <w:tc>
              <w:tcPr>
                <w:tcW w:w="642" w:type="pct"/>
                <w:shd w:val="clear" w:color="auto" w:fill="auto"/>
                <w:noWrap/>
                <w:vAlign w:val="center"/>
                <w:hideMark/>
              </w:tcPr>
              <w:p w14:paraId="4441DC68" w14:textId="77777777" w:rsidR="0098209C" w:rsidRPr="009A46BB" w:rsidRDefault="0098209C" w:rsidP="0098209C">
                <w:pPr>
                  <w:spacing w:after="0" w:line="240" w:lineRule="auto"/>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8.1.20.90.001</w:t>
                </w:r>
              </w:p>
            </w:tc>
            <w:tc>
              <w:tcPr>
                <w:tcW w:w="399" w:type="pct"/>
                <w:shd w:val="clear" w:color="auto" w:fill="auto"/>
                <w:noWrap/>
                <w:vAlign w:val="center"/>
                <w:hideMark/>
              </w:tcPr>
              <w:p w14:paraId="2DB1607E" w14:textId="77777777" w:rsidR="0098209C" w:rsidRPr="009A46BB" w:rsidRDefault="0098209C" w:rsidP="0098209C">
                <w:pPr>
                  <w:spacing w:after="0" w:line="240" w:lineRule="auto"/>
                  <w:jc w:val="center"/>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Db</w:t>
                </w:r>
              </w:p>
            </w:tc>
            <w:tc>
              <w:tcPr>
                <w:tcW w:w="2039" w:type="pct"/>
                <w:shd w:val="clear" w:color="auto" w:fill="auto"/>
                <w:vAlign w:val="center"/>
                <w:hideMark/>
              </w:tcPr>
              <w:p w14:paraId="08CF8C08" w14:textId="77777777" w:rsidR="0098209C" w:rsidRPr="009A46BB" w:rsidRDefault="0098209C" w:rsidP="0098209C">
                <w:pPr>
                  <w:spacing w:after="0" w:line="240" w:lineRule="auto"/>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Otros litigios y mecanismos alternativos de solución de conflictos</w:t>
                </w:r>
              </w:p>
            </w:tc>
            <w:tc>
              <w:tcPr>
                <w:tcW w:w="1185" w:type="pct"/>
                <w:shd w:val="clear" w:color="auto" w:fill="auto"/>
                <w:noWrap/>
                <w:vAlign w:val="center"/>
                <w:hideMark/>
              </w:tcPr>
              <w:p w14:paraId="1D3BC29C" w14:textId="77777777" w:rsidR="0098209C" w:rsidRPr="009A46BB" w:rsidRDefault="0098209C" w:rsidP="0098209C">
                <w:pPr>
                  <w:spacing w:after="0" w:line="240" w:lineRule="auto"/>
                  <w:jc w:val="right"/>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 xml:space="preserve">169.862.014.202 </w:t>
                </w:r>
              </w:p>
            </w:tc>
            <w:tc>
              <w:tcPr>
                <w:tcW w:w="735" w:type="pct"/>
                <w:shd w:val="clear" w:color="auto" w:fill="auto"/>
                <w:noWrap/>
                <w:vAlign w:val="center"/>
                <w:hideMark/>
              </w:tcPr>
              <w:p w14:paraId="18A59AE3" w14:textId="77777777" w:rsidR="0098209C" w:rsidRPr="009A46BB" w:rsidRDefault="0098209C" w:rsidP="0026665C">
                <w:pPr>
                  <w:spacing w:after="0" w:line="240" w:lineRule="auto"/>
                  <w:jc w:val="center"/>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4</w:t>
                </w:r>
              </w:p>
            </w:tc>
          </w:tr>
          <w:tr w:rsidR="0098209C" w:rsidRPr="0098209C" w14:paraId="7E6405DA" w14:textId="77777777" w:rsidTr="003B6FB9">
            <w:trPr>
              <w:trHeight w:val="285"/>
            </w:trPr>
            <w:tc>
              <w:tcPr>
                <w:tcW w:w="642" w:type="pct"/>
                <w:shd w:val="clear" w:color="auto" w:fill="auto"/>
                <w:noWrap/>
                <w:vAlign w:val="center"/>
                <w:hideMark/>
              </w:tcPr>
              <w:p w14:paraId="70DF881F" w14:textId="77777777" w:rsidR="0098209C" w:rsidRPr="009A46BB" w:rsidRDefault="0098209C" w:rsidP="0098209C">
                <w:pPr>
                  <w:spacing w:after="0" w:line="240" w:lineRule="auto"/>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8.1.28</w:t>
                </w:r>
              </w:p>
            </w:tc>
            <w:tc>
              <w:tcPr>
                <w:tcW w:w="399" w:type="pct"/>
                <w:shd w:val="clear" w:color="auto" w:fill="auto"/>
                <w:noWrap/>
                <w:vAlign w:val="center"/>
                <w:hideMark/>
              </w:tcPr>
              <w:p w14:paraId="4A75F4D0" w14:textId="77777777" w:rsidR="0098209C" w:rsidRPr="009A46BB" w:rsidRDefault="0098209C" w:rsidP="0098209C">
                <w:pPr>
                  <w:spacing w:after="0" w:line="240" w:lineRule="auto"/>
                  <w:jc w:val="center"/>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Db</w:t>
                </w:r>
              </w:p>
            </w:tc>
            <w:tc>
              <w:tcPr>
                <w:tcW w:w="2039" w:type="pct"/>
                <w:shd w:val="clear" w:color="auto" w:fill="auto"/>
                <w:vAlign w:val="center"/>
                <w:hideMark/>
              </w:tcPr>
              <w:p w14:paraId="2A3DAA9A" w14:textId="77777777" w:rsidR="0098209C" w:rsidRPr="009A46BB" w:rsidRDefault="0098209C" w:rsidP="0098209C">
                <w:pPr>
                  <w:spacing w:after="0" w:line="240" w:lineRule="auto"/>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Garantías contractuales</w:t>
                </w:r>
              </w:p>
            </w:tc>
            <w:tc>
              <w:tcPr>
                <w:tcW w:w="1185" w:type="pct"/>
                <w:shd w:val="clear" w:color="auto" w:fill="auto"/>
                <w:noWrap/>
                <w:vAlign w:val="center"/>
                <w:hideMark/>
              </w:tcPr>
              <w:p w14:paraId="1AC6A406" w14:textId="77777777" w:rsidR="0098209C" w:rsidRPr="009A46BB" w:rsidRDefault="0098209C" w:rsidP="0098209C">
                <w:pPr>
                  <w:spacing w:after="0" w:line="240" w:lineRule="auto"/>
                  <w:jc w:val="right"/>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 xml:space="preserve">1.789.947.647.778 </w:t>
                </w:r>
              </w:p>
            </w:tc>
            <w:tc>
              <w:tcPr>
                <w:tcW w:w="735" w:type="pct"/>
                <w:shd w:val="clear" w:color="auto" w:fill="auto"/>
                <w:noWrap/>
                <w:vAlign w:val="center"/>
                <w:hideMark/>
              </w:tcPr>
              <w:p w14:paraId="518F37FF" w14:textId="77777777" w:rsidR="0098209C" w:rsidRPr="009A46BB" w:rsidRDefault="0098209C" w:rsidP="0026665C">
                <w:pPr>
                  <w:spacing w:after="0" w:line="240" w:lineRule="auto"/>
                  <w:jc w:val="center"/>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0</w:t>
                </w:r>
              </w:p>
            </w:tc>
          </w:tr>
          <w:tr w:rsidR="0098209C" w:rsidRPr="0098209C" w14:paraId="72D9D2F1" w14:textId="77777777" w:rsidTr="003B6FB9">
            <w:trPr>
              <w:trHeight w:val="300"/>
            </w:trPr>
            <w:tc>
              <w:tcPr>
                <w:tcW w:w="642" w:type="pct"/>
                <w:shd w:val="clear" w:color="auto" w:fill="auto"/>
                <w:noWrap/>
                <w:vAlign w:val="center"/>
                <w:hideMark/>
              </w:tcPr>
              <w:p w14:paraId="5E4182B1" w14:textId="77777777" w:rsidR="0098209C" w:rsidRPr="009A46BB" w:rsidRDefault="0098209C" w:rsidP="0098209C">
                <w:pPr>
                  <w:spacing w:after="0" w:line="240" w:lineRule="auto"/>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8.1.28.01</w:t>
                </w:r>
              </w:p>
            </w:tc>
            <w:tc>
              <w:tcPr>
                <w:tcW w:w="399" w:type="pct"/>
                <w:shd w:val="clear" w:color="auto" w:fill="auto"/>
                <w:noWrap/>
                <w:vAlign w:val="center"/>
                <w:hideMark/>
              </w:tcPr>
              <w:p w14:paraId="123F9BF1" w14:textId="77777777" w:rsidR="0098209C" w:rsidRPr="009A46BB" w:rsidRDefault="0098209C" w:rsidP="0098209C">
                <w:pPr>
                  <w:spacing w:after="0" w:line="240" w:lineRule="auto"/>
                  <w:jc w:val="center"/>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Db</w:t>
                </w:r>
              </w:p>
            </w:tc>
            <w:tc>
              <w:tcPr>
                <w:tcW w:w="2039" w:type="pct"/>
                <w:shd w:val="clear" w:color="auto" w:fill="auto"/>
                <w:vAlign w:val="center"/>
                <w:hideMark/>
              </w:tcPr>
              <w:p w14:paraId="2D4E25A6" w14:textId="77777777" w:rsidR="0098209C" w:rsidRPr="009A46BB" w:rsidRDefault="0098209C" w:rsidP="0098209C">
                <w:pPr>
                  <w:spacing w:after="0" w:line="240" w:lineRule="auto"/>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Acuerdos de concesión</w:t>
                </w:r>
              </w:p>
            </w:tc>
            <w:tc>
              <w:tcPr>
                <w:tcW w:w="1185" w:type="pct"/>
                <w:shd w:val="clear" w:color="auto" w:fill="auto"/>
                <w:noWrap/>
                <w:vAlign w:val="center"/>
                <w:hideMark/>
              </w:tcPr>
              <w:p w14:paraId="2A071484" w14:textId="77777777" w:rsidR="0098209C" w:rsidRPr="009A46BB" w:rsidRDefault="0098209C" w:rsidP="0098209C">
                <w:pPr>
                  <w:spacing w:after="0" w:line="240" w:lineRule="auto"/>
                  <w:jc w:val="right"/>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 xml:space="preserve">1.789.947.647.778 </w:t>
                </w:r>
              </w:p>
            </w:tc>
            <w:tc>
              <w:tcPr>
                <w:tcW w:w="735" w:type="pct"/>
                <w:shd w:val="clear" w:color="auto" w:fill="auto"/>
                <w:noWrap/>
                <w:vAlign w:val="center"/>
                <w:hideMark/>
              </w:tcPr>
              <w:p w14:paraId="6CAAE32B" w14:textId="731259A6" w:rsidR="0098209C" w:rsidRPr="009A46BB" w:rsidRDefault="0098209C" w:rsidP="0026665C">
                <w:pPr>
                  <w:spacing w:after="0" w:line="240" w:lineRule="auto"/>
                  <w:jc w:val="center"/>
                  <w:rPr>
                    <w:rFonts w:ascii="Times New Roman" w:eastAsia="Times New Roman" w:hAnsi="Times New Roman"/>
                    <w:sz w:val="18"/>
                    <w:szCs w:val="18"/>
                    <w:lang w:eastAsia="es-CO"/>
                  </w:rPr>
                </w:pPr>
              </w:p>
            </w:tc>
          </w:tr>
          <w:tr w:rsidR="0098209C" w:rsidRPr="0098209C" w14:paraId="51CDF5CE" w14:textId="77777777" w:rsidTr="003B6FB9">
            <w:trPr>
              <w:trHeight w:val="285"/>
            </w:trPr>
            <w:tc>
              <w:tcPr>
                <w:tcW w:w="642" w:type="pct"/>
                <w:shd w:val="clear" w:color="auto" w:fill="auto"/>
                <w:noWrap/>
                <w:vAlign w:val="center"/>
                <w:hideMark/>
              </w:tcPr>
              <w:p w14:paraId="297E5E2A" w14:textId="77777777" w:rsidR="0098209C" w:rsidRPr="009A46BB" w:rsidRDefault="0098209C" w:rsidP="0098209C">
                <w:pPr>
                  <w:spacing w:after="0" w:line="240" w:lineRule="auto"/>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8.1.90</w:t>
                </w:r>
              </w:p>
            </w:tc>
            <w:tc>
              <w:tcPr>
                <w:tcW w:w="399" w:type="pct"/>
                <w:shd w:val="clear" w:color="auto" w:fill="auto"/>
                <w:noWrap/>
                <w:vAlign w:val="center"/>
                <w:hideMark/>
              </w:tcPr>
              <w:p w14:paraId="6FEF3969" w14:textId="77777777" w:rsidR="0098209C" w:rsidRPr="009A46BB" w:rsidRDefault="0098209C" w:rsidP="0098209C">
                <w:pPr>
                  <w:spacing w:after="0" w:line="240" w:lineRule="auto"/>
                  <w:jc w:val="center"/>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Db</w:t>
                </w:r>
              </w:p>
            </w:tc>
            <w:tc>
              <w:tcPr>
                <w:tcW w:w="2039" w:type="pct"/>
                <w:shd w:val="clear" w:color="auto" w:fill="auto"/>
                <w:vAlign w:val="center"/>
                <w:hideMark/>
              </w:tcPr>
              <w:p w14:paraId="477A6E46" w14:textId="77777777" w:rsidR="0098209C" w:rsidRPr="009A46BB" w:rsidRDefault="0098209C" w:rsidP="0098209C">
                <w:pPr>
                  <w:spacing w:after="0" w:line="240" w:lineRule="auto"/>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Otros activos contingentes</w:t>
                </w:r>
              </w:p>
            </w:tc>
            <w:tc>
              <w:tcPr>
                <w:tcW w:w="1185" w:type="pct"/>
                <w:shd w:val="clear" w:color="auto" w:fill="auto"/>
                <w:noWrap/>
                <w:vAlign w:val="center"/>
                <w:hideMark/>
              </w:tcPr>
              <w:p w14:paraId="3EE55A75" w14:textId="77777777" w:rsidR="0098209C" w:rsidRPr="009A46BB" w:rsidRDefault="0098209C" w:rsidP="0098209C">
                <w:pPr>
                  <w:spacing w:after="0" w:line="240" w:lineRule="auto"/>
                  <w:jc w:val="right"/>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 xml:space="preserve">16.592.000.000 </w:t>
                </w:r>
              </w:p>
            </w:tc>
            <w:tc>
              <w:tcPr>
                <w:tcW w:w="735" w:type="pct"/>
                <w:shd w:val="clear" w:color="auto" w:fill="auto"/>
                <w:noWrap/>
                <w:vAlign w:val="center"/>
                <w:hideMark/>
              </w:tcPr>
              <w:p w14:paraId="7FCC0AF9" w14:textId="77777777" w:rsidR="0098209C" w:rsidRPr="009A46BB" w:rsidRDefault="0098209C" w:rsidP="0026665C">
                <w:pPr>
                  <w:spacing w:after="0" w:line="240" w:lineRule="auto"/>
                  <w:jc w:val="center"/>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0</w:t>
                </w:r>
              </w:p>
            </w:tc>
          </w:tr>
          <w:tr w:rsidR="0098209C" w:rsidRPr="0098209C" w14:paraId="35B3D425" w14:textId="77777777" w:rsidTr="003B6FB9">
            <w:trPr>
              <w:trHeight w:val="300"/>
            </w:trPr>
            <w:tc>
              <w:tcPr>
                <w:tcW w:w="642" w:type="pct"/>
                <w:shd w:val="clear" w:color="auto" w:fill="auto"/>
                <w:noWrap/>
                <w:vAlign w:val="center"/>
                <w:hideMark/>
              </w:tcPr>
              <w:p w14:paraId="655BC9B5" w14:textId="77777777" w:rsidR="0098209C" w:rsidRPr="009A46BB" w:rsidRDefault="0098209C" w:rsidP="0098209C">
                <w:pPr>
                  <w:spacing w:after="0" w:line="240" w:lineRule="auto"/>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8.1.90.90</w:t>
                </w:r>
              </w:p>
            </w:tc>
            <w:tc>
              <w:tcPr>
                <w:tcW w:w="399" w:type="pct"/>
                <w:shd w:val="clear" w:color="auto" w:fill="auto"/>
                <w:noWrap/>
                <w:vAlign w:val="center"/>
                <w:hideMark/>
              </w:tcPr>
              <w:p w14:paraId="0D5617D9" w14:textId="77777777" w:rsidR="0098209C" w:rsidRPr="009A46BB" w:rsidRDefault="0098209C" w:rsidP="0098209C">
                <w:pPr>
                  <w:spacing w:after="0" w:line="240" w:lineRule="auto"/>
                  <w:jc w:val="center"/>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Db</w:t>
                </w:r>
              </w:p>
            </w:tc>
            <w:tc>
              <w:tcPr>
                <w:tcW w:w="2039" w:type="pct"/>
                <w:shd w:val="clear" w:color="auto" w:fill="auto"/>
                <w:vAlign w:val="center"/>
                <w:hideMark/>
              </w:tcPr>
              <w:p w14:paraId="3ADD934F" w14:textId="77777777" w:rsidR="0098209C" w:rsidRPr="009A46BB" w:rsidRDefault="0098209C" w:rsidP="0098209C">
                <w:pPr>
                  <w:spacing w:after="0" w:line="240" w:lineRule="auto"/>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Otros activos contingentes</w:t>
                </w:r>
              </w:p>
            </w:tc>
            <w:tc>
              <w:tcPr>
                <w:tcW w:w="1185" w:type="pct"/>
                <w:shd w:val="clear" w:color="auto" w:fill="auto"/>
                <w:noWrap/>
                <w:vAlign w:val="center"/>
                <w:hideMark/>
              </w:tcPr>
              <w:p w14:paraId="61690F5F" w14:textId="77777777" w:rsidR="0098209C" w:rsidRPr="009A46BB" w:rsidRDefault="0098209C" w:rsidP="0098209C">
                <w:pPr>
                  <w:spacing w:after="0" w:line="240" w:lineRule="auto"/>
                  <w:jc w:val="right"/>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 xml:space="preserve">16.592.000.000 </w:t>
                </w:r>
              </w:p>
            </w:tc>
            <w:tc>
              <w:tcPr>
                <w:tcW w:w="735" w:type="pct"/>
                <w:shd w:val="clear" w:color="auto" w:fill="auto"/>
                <w:noWrap/>
                <w:vAlign w:val="center"/>
                <w:hideMark/>
              </w:tcPr>
              <w:p w14:paraId="167F88E7" w14:textId="22062254" w:rsidR="0098209C" w:rsidRPr="009A46BB" w:rsidRDefault="0098209C" w:rsidP="0026665C">
                <w:pPr>
                  <w:spacing w:after="0" w:line="240" w:lineRule="auto"/>
                  <w:jc w:val="center"/>
                  <w:rPr>
                    <w:rFonts w:ascii="Times New Roman" w:eastAsia="Times New Roman" w:hAnsi="Times New Roman"/>
                    <w:sz w:val="18"/>
                    <w:szCs w:val="18"/>
                    <w:lang w:eastAsia="es-CO"/>
                  </w:rPr>
                </w:pPr>
              </w:p>
            </w:tc>
          </w:tr>
        </w:tbl>
        <w:p w14:paraId="53F175F2" w14:textId="0527A8E0" w:rsidR="00220F62" w:rsidRPr="00931DCE" w:rsidRDefault="00220F62" w:rsidP="00220F62">
          <w:pPr>
            <w:spacing w:after="0" w:line="240" w:lineRule="auto"/>
            <w:jc w:val="both"/>
            <w:rPr>
              <w:rFonts w:ascii="Times New Roman" w:hAnsi="Times New Roman"/>
              <w:sz w:val="14"/>
              <w:szCs w:val="14"/>
            </w:rPr>
          </w:pPr>
        </w:p>
        <w:p w14:paraId="7146AFD6" w14:textId="77777777" w:rsidR="00220F62" w:rsidRPr="00931DCE" w:rsidRDefault="00220F62" w:rsidP="00220F62">
          <w:pPr>
            <w:spacing w:after="0" w:line="240" w:lineRule="auto"/>
            <w:jc w:val="both"/>
            <w:rPr>
              <w:rFonts w:ascii="Times New Roman" w:hAnsi="Times New Roman"/>
              <w:sz w:val="24"/>
              <w:szCs w:val="24"/>
            </w:rPr>
          </w:pPr>
        </w:p>
        <w:p w14:paraId="3FD4864D" w14:textId="77777777" w:rsidR="00220F62" w:rsidRPr="00931DCE" w:rsidRDefault="00220F62" w:rsidP="00220F62">
          <w:pPr>
            <w:pStyle w:val="Default"/>
            <w:jc w:val="both"/>
            <w:rPr>
              <w:rFonts w:ascii="Times New Roman" w:hAnsi="Times New Roman" w:cs="Times New Roman"/>
            </w:rPr>
          </w:pPr>
          <w:r w:rsidRPr="00931DCE">
            <w:rPr>
              <w:rFonts w:ascii="Times New Roman" w:hAnsi="Times New Roman" w:cs="Times New Roman"/>
            </w:rPr>
            <w:lastRenderedPageBreak/>
            <w:t>En la subcuenta Litigios y mecanismos alternativos de solución de conflictos de la cuenta activos contingentes, se registran los procesos judiciales y tribunales de arbitramento iniciados por la entidad, y tal como lo establece la Resolución No. 353 de 2016 de la ANDJE, se excluyen los procesos en los cuales la entidad actúa en calidad de demandante. Por lo tanto, en la CIRCULAR No. 20204010000274 del 02-07-2020 de la ANI, se estableció que:</w:t>
          </w:r>
        </w:p>
        <w:p w14:paraId="5730FEA1" w14:textId="77777777" w:rsidR="00220F62" w:rsidRPr="00931DCE" w:rsidRDefault="00220F62" w:rsidP="00220F62">
          <w:pPr>
            <w:pStyle w:val="Default"/>
            <w:rPr>
              <w:rFonts w:ascii="Times New Roman" w:hAnsi="Times New Roman" w:cs="Times New Roman"/>
              <w:b/>
              <w:bCs/>
              <w:sz w:val="20"/>
              <w:szCs w:val="20"/>
            </w:rPr>
          </w:pPr>
        </w:p>
        <w:p w14:paraId="0DA54B58" w14:textId="77777777" w:rsidR="00220F62" w:rsidRPr="00931DCE" w:rsidRDefault="00220F62" w:rsidP="00220F62">
          <w:pPr>
            <w:pStyle w:val="Default"/>
            <w:ind w:left="142" w:right="900"/>
            <w:jc w:val="both"/>
            <w:rPr>
              <w:rFonts w:ascii="Times New Roman" w:hAnsi="Times New Roman" w:cs="Times New Roman"/>
              <w:i/>
              <w:iCs/>
              <w:sz w:val="20"/>
              <w:szCs w:val="20"/>
            </w:rPr>
          </w:pPr>
          <w:r w:rsidRPr="00931DCE">
            <w:rPr>
              <w:rFonts w:ascii="Times New Roman" w:hAnsi="Times New Roman" w:cs="Times New Roman"/>
              <w:i/>
              <w:iCs/>
              <w:sz w:val="20"/>
              <w:szCs w:val="20"/>
            </w:rPr>
            <w:t>“…</w:t>
          </w:r>
        </w:p>
        <w:p w14:paraId="1948352E" w14:textId="77777777" w:rsidR="00220F62" w:rsidRPr="00931DCE" w:rsidRDefault="00220F62" w:rsidP="00220F62">
          <w:pPr>
            <w:autoSpaceDE w:val="0"/>
            <w:autoSpaceDN w:val="0"/>
            <w:adjustRightInd w:val="0"/>
            <w:spacing w:after="0" w:line="240" w:lineRule="auto"/>
            <w:ind w:left="567" w:right="900"/>
            <w:jc w:val="both"/>
            <w:rPr>
              <w:rFonts w:ascii="Times New Roman" w:eastAsiaTheme="minorHAnsi" w:hAnsi="Times New Roman"/>
              <w:i/>
              <w:iCs/>
              <w:color w:val="000000"/>
              <w:sz w:val="10"/>
              <w:szCs w:val="10"/>
            </w:rPr>
          </w:pPr>
        </w:p>
        <w:p w14:paraId="022CE0C2" w14:textId="77777777" w:rsidR="00220F62" w:rsidRPr="00931DCE" w:rsidRDefault="00220F62" w:rsidP="00220F62">
          <w:pPr>
            <w:autoSpaceDE w:val="0"/>
            <w:autoSpaceDN w:val="0"/>
            <w:adjustRightInd w:val="0"/>
            <w:spacing w:after="0" w:line="240" w:lineRule="auto"/>
            <w:ind w:left="284" w:right="900"/>
            <w:jc w:val="both"/>
            <w:rPr>
              <w:rFonts w:ascii="Times New Roman" w:eastAsiaTheme="minorHAnsi" w:hAnsi="Times New Roman"/>
              <w:b/>
              <w:bCs/>
              <w:i/>
              <w:iCs/>
              <w:color w:val="000000"/>
              <w:sz w:val="20"/>
              <w:szCs w:val="20"/>
            </w:rPr>
          </w:pPr>
          <w:r w:rsidRPr="00931DCE">
            <w:rPr>
              <w:rFonts w:ascii="Times New Roman" w:eastAsiaTheme="minorHAnsi" w:hAnsi="Times New Roman"/>
              <w:b/>
              <w:bCs/>
              <w:i/>
              <w:iCs/>
              <w:color w:val="000000"/>
              <w:sz w:val="20"/>
              <w:szCs w:val="20"/>
            </w:rPr>
            <w:t>5. DE LOS PROCESOS A FAVOR DE LA ENTIDAD:</w:t>
          </w:r>
        </w:p>
        <w:p w14:paraId="0EB72B0D" w14:textId="77777777" w:rsidR="00220F62" w:rsidRPr="00931DCE" w:rsidRDefault="00220F62" w:rsidP="00220F62">
          <w:pPr>
            <w:autoSpaceDE w:val="0"/>
            <w:autoSpaceDN w:val="0"/>
            <w:adjustRightInd w:val="0"/>
            <w:spacing w:after="0" w:line="240" w:lineRule="auto"/>
            <w:ind w:left="567" w:right="900"/>
            <w:jc w:val="both"/>
            <w:rPr>
              <w:rFonts w:ascii="Times New Roman" w:eastAsiaTheme="minorHAnsi" w:hAnsi="Times New Roman"/>
              <w:i/>
              <w:iCs/>
              <w:color w:val="000000"/>
              <w:sz w:val="20"/>
              <w:szCs w:val="20"/>
            </w:rPr>
          </w:pPr>
        </w:p>
        <w:p w14:paraId="23FB4A86" w14:textId="77777777" w:rsidR="00220F62" w:rsidRPr="00931DCE" w:rsidRDefault="00220F62" w:rsidP="00220F62">
          <w:pPr>
            <w:pStyle w:val="Default"/>
            <w:ind w:left="284" w:right="332"/>
            <w:jc w:val="both"/>
            <w:rPr>
              <w:rFonts w:ascii="Times New Roman" w:hAnsi="Times New Roman" w:cs="Times New Roman"/>
              <w:i/>
              <w:iCs/>
              <w:sz w:val="20"/>
              <w:szCs w:val="20"/>
            </w:rPr>
          </w:pPr>
          <w:r w:rsidRPr="00931DCE">
            <w:rPr>
              <w:rFonts w:ascii="Times New Roman" w:hAnsi="Times New Roman" w:cs="Times New Roman"/>
              <w:i/>
              <w:iCs/>
              <w:sz w:val="20"/>
              <w:szCs w:val="20"/>
            </w:rPr>
            <w:t>En los casos en los cuales la entidad actúa en calidad de demandante, en procesos judiciales, conciliaciones extrajudiciales y trámites arbitrales, la entidad registrará en Cuentas de Orden el valor de las pretensiones. El registro contable se realizará conforme a los establecido en el: “Procedimiento contable para el registro de los procesos judiciales, arbitrajes, conciliaciones extrajudiciales y embargos sobre cuentas bancarias”</w:t>
          </w:r>
        </w:p>
        <w:p w14:paraId="7A66B504" w14:textId="77777777" w:rsidR="00220F62" w:rsidRPr="00931DCE" w:rsidRDefault="00220F62" w:rsidP="00220F62">
          <w:pPr>
            <w:pStyle w:val="Default"/>
            <w:ind w:left="284" w:right="900"/>
            <w:jc w:val="both"/>
            <w:rPr>
              <w:rFonts w:ascii="Times New Roman" w:hAnsi="Times New Roman" w:cs="Times New Roman"/>
              <w:i/>
              <w:iCs/>
              <w:sz w:val="10"/>
              <w:szCs w:val="10"/>
            </w:rPr>
          </w:pPr>
        </w:p>
        <w:p w14:paraId="513B5F73" w14:textId="77777777" w:rsidR="00220F62" w:rsidRPr="00931DCE" w:rsidRDefault="00220F62" w:rsidP="00220F62">
          <w:pPr>
            <w:pStyle w:val="Default"/>
            <w:ind w:left="284" w:right="900"/>
            <w:jc w:val="both"/>
            <w:rPr>
              <w:rFonts w:ascii="Times New Roman" w:hAnsi="Times New Roman" w:cs="Times New Roman"/>
              <w:i/>
              <w:iCs/>
              <w:sz w:val="20"/>
              <w:szCs w:val="20"/>
            </w:rPr>
          </w:pPr>
          <w:r w:rsidRPr="00931DCE">
            <w:rPr>
              <w:rFonts w:ascii="Times New Roman" w:hAnsi="Times New Roman" w:cs="Times New Roman"/>
              <w:i/>
              <w:iCs/>
              <w:sz w:val="20"/>
              <w:szCs w:val="20"/>
            </w:rPr>
            <w:t>…”</w:t>
          </w:r>
        </w:p>
        <w:p w14:paraId="6DC9A880" w14:textId="77777777" w:rsidR="00220F62" w:rsidRPr="00931DCE" w:rsidRDefault="00220F62" w:rsidP="00220F62">
          <w:pPr>
            <w:pStyle w:val="Default"/>
            <w:ind w:left="567" w:right="900"/>
            <w:jc w:val="both"/>
            <w:rPr>
              <w:rFonts w:ascii="Times New Roman" w:hAnsi="Times New Roman" w:cs="Times New Roman"/>
            </w:rPr>
          </w:pPr>
        </w:p>
        <w:p w14:paraId="6C521BA7" w14:textId="77777777" w:rsidR="00220F62" w:rsidRPr="00931DCE" w:rsidRDefault="00220F62" w:rsidP="00220F62">
          <w:pPr>
            <w:shd w:val="clear" w:color="auto" w:fill="FFFFFF"/>
            <w:spacing w:after="0" w:line="240" w:lineRule="auto"/>
            <w:jc w:val="both"/>
            <w:textAlignment w:val="baseline"/>
            <w:rPr>
              <w:rFonts w:ascii="Times New Roman" w:hAnsi="Times New Roman"/>
              <w:sz w:val="24"/>
              <w:szCs w:val="24"/>
              <w:u w:val="single"/>
            </w:rPr>
          </w:pPr>
          <w:r w:rsidRPr="00931DCE">
            <w:rPr>
              <w:rFonts w:ascii="Times New Roman" w:hAnsi="Times New Roman"/>
              <w:sz w:val="24"/>
              <w:szCs w:val="24"/>
              <w:u w:val="single"/>
            </w:rPr>
            <w:t>PROCESOS LABORALES</w:t>
          </w:r>
        </w:p>
        <w:p w14:paraId="24FBB7E7" w14:textId="77777777" w:rsidR="00220F62" w:rsidRPr="00931DCE" w:rsidRDefault="00220F62" w:rsidP="00220F62">
          <w:pPr>
            <w:shd w:val="clear" w:color="auto" w:fill="FFFFFF"/>
            <w:spacing w:after="0" w:line="240" w:lineRule="auto"/>
            <w:jc w:val="both"/>
            <w:textAlignment w:val="baseline"/>
            <w:rPr>
              <w:rFonts w:ascii="Times New Roman" w:hAnsi="Times New Roman"/>
              <w:sz w:val="24"/>
              <w:szCs w:val="24"/>
            </w:rPr>
          </w:pPr>
        </w:p>
        <w:p w14:paraId="5004B9BD" w14:textId="3B7BF295" w:rsidR="00220F62" w:rsidRPr="00931DCE" w:rsidRDefault="00220F62" w:rsidP="00220F62">
          <w:pPr>
            <w:shd w:val="clear" w:color="auto" w:fill="FFFFFF"/>
            <w:spacing w:after="0" w:line="240" w:lineRule="auto"/>
            <w:jc w:val="both"/>
            <w:textAlignment w:val="baseline"/>
            <w:rPr>
              <w:rFonts w:ascii="Times New Roman" w:hAnsi="Times New Roman"/>
              <w:sz w:val="24"/>
              <w:szCs w:val="24"/>
            </w:rPr>
          </w:pPr>
          <w:r w:rsidRPr="00931DCE">
            <w:rPr>
              <w:rFonts w:ascii="Times New Roman" w:hAnsi="Times New Roman"/>
              <w:sz w:val="24"/>
              <w:szCs w:val="24"/>
            </w:rPr>
            <w:t xml:space="preserve">NATURALEZA DEL ACTIVO CONTINGENTE: Con relación a los procesos laborales, El Grupo Interno de Trabajo de Defensa Judicial de la Vicepresidencia Jurídica, mediante el formato GEJU-F-010 - </w:t>
          </w:r>
          <w:r w:rsidRPr="00931DCE">
            <w:rPr>
              <w:rFonts w:ascii="Times New Roman" w:hAnsi="Times New Roman"/>
              <w:i/>
              <w:iCs/>
              <w:sz w:val="24"/>
              <w:szCs w:val="24"/>
            </w:rPr>
            <w:t>"Reporte Procesos Judiciales"</w:t>
          </w:r>
          <w:r w:rsidRPr="00931DCE">
            <w:rPr>
              <w:rFonts w:ascii="Times New Roman" w:hAnsi="Times New Roman"/>
              <w:sz w:val="24"/>
              <w:szCs w:val="24"/>
            </w:rPr>
            <w:t xml:space="preserve"> a 31 de diciembre de </w:t>
          </w:r>
          <w:r w:rsidR="00EF6E05" w:rsidRPr="00931DCE">
            <w:rPr>
              <w:rFonts w:ascii="Times New Roman" w:hAnsi="Times New Roman"/>
              <w:sz w:val="24"/>
              <w:szCs w:val="24"/>
            </w:rPr>
            <w:t>202</w:t>
          </w:r>
          <w:r w:rsidR="007A1F7E">
            <w:rPr>
              <w:rFonts w:ascii="Times New Roman" w:hAnsi="Times New Roman"/>
              <w:sz w:val="24"/>
              <w:szCs w:val="24"/>
            </w:rPr>
            <w:t>3</w:t>
          </w:r>
          <w:r w:rsidRPr="00931DCE">
            <w:rPr>
              <w:rFonts w:ascii="Times New Roman" w:hAnsi="Times New Roman"/>
              <w:sz w:val="24"/>
              <w:szCs w:val="24"/>
            </w:rPr>
            <w:t xml:space="preserve">, reportó lo siguiente: </w:t>
          </w:r>
        </w:p>
        <w:p w14:paraId="60566F6F" w14:textId="3BEB4B94" w:rsidR="00220F62" w:rsidRPr="00931DCE" w:rsidRDefault="00220F62" w:rsidP="00220F62">
          <w:pPr>
            <w:shd w:val="clear" w:color="auto" w:fill="FFFFFF"/>
            <w:spacing w:after="0" w:line="240" w:lineRule="auto"/>
            <w:jc w:val="both"/>
            <w:textAlignment w:val="baseline"/>
            <w:rPr>
              <w:rFonts w:ascii="Times New Roman" w:hAnsi="Times New Roman"/>
              <w:sz w:val="24"/>
              <w:szCs w:val="24"/>
            </w:rPr>
          </w:pPr>
        </w:p>
        <w:p w14:paraId="5785FF99" w14:textId="09CE137B" w:rsidR="006951F0" w:rsidRDefault="00C6571D" w:rsidP="00E60BAB">
          <w:pPr>
            <w:pStyle w:val="Prrafodelista"/>
            <w:numPr>
              <w:ilvl w:val="0"/>
              <w:numId w:val="49"/>
            </w:numPr>
            <w:shd w:val="clear" w:color="auto" w:fill="FFFFFF"/>
            <w:spacing w:after="0" w:line="240" w:lineRule="auto"/>
            <w:ind w:left="284" w:hanging="284"/>
            <w:jc w:val="both"/>
            <w:textAlignment w:val="baseline"/>
            <w:rPr>
              <w:rFonts w:ascii="Times New Roman" w:hAnsi="Times New Roman"/>
              <w:sz w:val="24"/>
              <w:szCs w:val="24"/>
            </w:rPr>
          </w:pPr>
          <w:r>
            <w:rPr>
              <w:rFonts w:ascii="Times New Roman" w:hAnsi="Times New Roman"/>
              <w:sz w:val="24"/>
              <w:szCs w:val="24"/>
            </w:rPr>
            <w:t xml:space="preserve">Un </w:t>
          </w:r>
          <w:r w:rsidR="00DF6BB1">
            <w:rPr>
              <w:rFonts w:ascii="Times New Roman" w:hAnsi="Times New Roman"/>
              <w:sz w:val="24"/>
              <w:szCs w:val="24"/>
            </w:rPr>
            <w:t>(1</w:t>
          </w:r>
          <w:r w:rsidR="00DA5E2F">
            <w:rPr>
              <w:rFonts w:ascii="Times New Roman" w:hAnsi="Times New Roman"/>
              <w:sz w:val="24"/>
              <w:szCs w:val="24"/>
            </w:rPr>
            <w:t xml:space="preserve">) proceso ordinario laboral, </w:t>
          </w:r>
          <w:r w:rsidR="007F7E1D">
            <w:rPr>
              <w:rFonts w:ascii="Times New Roman" w:hAnsi="Times New Roman"/>
              <w:sz w:val="24"/>
              <w:szCs w:val="24"/>
            </w:rPr>
            <w:t>iniciado por</w:t>
          </w:r>
          <w:r w:rsidR="00DF6BB1">
            <w:rPr>
              <w:rFonts w:ascii="Times New Roman" w:hAnsi="Times New Roman"/>
              <w:sz w:val="24"/>
              <w:szCs w:val="24"/>
            </w:rPr>
            <w:t xml:space="preserve"> la</w:t>
          </w:r>
          <w:r w:rsidR="00DA5E2F">
            <w:rPr>
              <w:rFonts w:ascii="Times New Roman" w:hAnsi="Times New Roman"/>
              <w:sz w:val="24"/>
              <w:szCs w:val="24"/>
            </w:rPr>
            <w:t xml:space="preserve"> ANI </w:t>
          </w:r>
          <w:r w:rsidR="00DF6BB1">
            <w:rPr>
              <w:rFonts w:ascii="Times New Roman" w:hAnsi="Times New Roman"/>
              <w:sz w:val="24"/>
              <w:szCs w:val="24"/>
            </w:rPr>
            <w:t>y cuya pretensión es el pago de una licencia de maternidad</w:t>
          </w:r>
          <w:r w:rsidR="00CC39B6">
            <w:rPr>
              <w:rFonts w:ascii="Times New Roman" w:hAnsi="Times New Roman"/>
              <w:sz w:val="24"/>
              <w:szCs w:val="24"/>
            </w:rPr>
            <w:t>.</w:t>
          </w:r>
          <w:r w:rsidR="00CE33A7">
            <w:rPr>
              <w:rFonts w:ascii="Times New Roman" w:hAnsi="Times New Roman"/>
              <w:sz w:val="24"/>
              <w:szCs w:val="24"/>
            </w:rPr>
            <w:t xml:space="preserve"> </w:t>
          </w:r>
        </w:p>
        <w:p w14:paraId="374E4458" w14:textId="26116A29" w:rsidR="00CC39B6" w:rsidRDefault="001C0E18" w:rsidP="00E60BAB">
          <w:pPr>
            <w:pStyle w:val="Prrafodelista"/>
            <w:numPr>
              <w:ilvl w:val="0"/>
              <w:numId w:val="49"/>
            </w:numPr>
            <w:shd w:val="clear" w:color="auto" w:fill="FFFFFF"/>
            <w:spacing w:after="0" w:line="240" w:lineRule="auto"/>
            <w:ind w:left="284" w:hanging="284"/>
            <w:jc w:val="both"/>
            <w:textAlignment w:val="baseline"/>
            <w:rPr>
              <w:rFonts w:ascii="Times New Roman" w:hAnsi="Times New Roman"/>
              <w:sz w:val="24"/>
              <w:szCs w:val="24"/>
            </w:rPr>
          </w:pPr>
          <w:r>
            <w:rPr>
              <w:rFonts w:ascii="Times New Roman" w:hAnsi="Times New Roman"/>
              <w:sz w:val="24"/>
              <w:szCs w:val="24"/>
            </w:rPr>
            <w:t xml:space="preserve">Un (1) proceso ordinario laboral </w:t>
          </w:r>
          <w:r w:rsidR="001A63B9">
            <w:rPr>
              <w:rFonts w:ascii="Times New Roman" w:hAnsi="Times New Roman"/>
              <w:sz w:val="24"/>
              <w:szCs w:val="24"/>
            </w:rPr>
            <w:t>iniciado por</w:t>
          </w:r>
          <w:r>
            <w:rPr>
              <w:rFonts w:ascii="Times New Roman" w:hAnsi="Times New Roman"/>
              <w:sz w:val="24"/>
              <w:szCs w:val="24"/>
            </w:rPr>
            <w:t xml:space="preserve"> la ANI y cuya pretensión </w:t>
          </w:r>
          <w:r w:rsidR="00490801">
            <w:rPr>
              <w:rFonts w:ascii="Times New Roman" w:hAnsi="Times New Roman"/>
              <w:sz w:val="24"/>
              <w:szCs w:val="24"/>
            </w:rPr>
            <w:t xml:space="preserve">es el reconocimiento de una incapacidad </w:t>
          </w:r>
        </w:p>
        <w:p w14:paraId="33A363CE" w14:textId="737FD9F6" w:rsidR="001D2F84" w:rsidRDefault="001D2F84" w:rsidP="00E60BAB">
          <w:pPr>
            <w:pStyle w:val="Prrafodelista"/>
            <w:numPr>
              <w:ilvl w:val="0"/>
              <w:numId w:val="49"/>
            </w:numPr>
            <w:shd w:val="clear" w:color="auto" w:fill="FFFFFF"/>
            <w:spacing w:after="0" w:line="240" w:lineRule="auto"/>
            <w:ind w:left="284" w:hanging="284"/>
            <w:jc w:val="both"/>
            <w:textAlignment w:val="baseline"/>
            <w:rPr>
              <w:rFonts w:ascii="Times New Roman" w:hAnsi="Times New Roman"/>
              <w:sz w:val="24"/>
              <w:szCs w:val="24"/>
            </w:rPr>
          </w:pPr>
          <w:r>
            <w:rPr>
              <w:rFonts w:ascii="Times New Roman" w:hAnsi="Times New Roman"/>
              <w:sz w:val="24"/>
              <w:szCs w:val="24"/>
            </w:rPr>
            <w:t>Dos (2) procesos ordinario</w:t>
          </w:r>
          <w:r w:rsidR="001A63B9">
            <w:rPr>
              <w:rFonts w:ascii="Times New Roman" w:hAnsi="Times New Roman"/>
              <w:sz w:val="24"/>
              <w:szCs w:val="24"/>
            </w:rPr>
            <w:t>-</w:t>
          </w:r>
          <w:r>
            <w:rPr>
              <w:rFonts w:ascii="Times New Roman" w:hAnsi="Times New Roman"/>
              <w:sz w:val="24"/>
              <w:szCs w:val="24"/>
            </w:rPr>
            <w:t xml:space="preserve">laborales </w:t>
          </w:r>
          <w:r w:rsidR="001A63B9">
            <w:rPr>
              <w:rFonts w:ascii="Times New Roman" w:hAnsi="Times New Roman"/>
              <w:sz w:val="24"/>
              <w:szCs w:val="24"/>
            </w:rPr>
            <w:t>iniciados por la ANI</w:t>
          </w:r>
          <w:r>
            <w:rPr>
              <w:rFonts w:ascii="Times New Roman" w:hAnsi="Times New Roman"/>
              <w:sz w:val="24"/>
              <w:szCs w:val="24"/>
            </w:rPr>
            <w:t xml:space="preserve"> y cuya pretensión es el reconocimiento de</w:t>
          </w:r>
          <w:r w:rsidR="00644011">
            <w:rPr>
              <w:rFonts w:ascii="Times New Roman" w:hAnsi="Times New Roman"/>
              <w:sz w:val="24"/>
              <w:szCs w:val="24"/>
            </w:rPr>
            <w:t>l pago de una</w:t>
          </w:r>
          <w:r>
            <w:rPr>
              <w:rFonts w:ascii="Times New Roman" w:hAnsi="Times New Roman"/>
              <w:sz w:val="24"/>
              <w:szCs w:val="24"/>
            </w:rPr>
            <w:t xml:space="preserve"> </w:t>
          </w:r>
          <w:r w:rsidR="006963DE">
            <w:rPr>
              <w:rFonts w:ascii="Times New Roman" w:hAnsi="Times New Roman"/>
              <w:sz w:val="24"/>
              <w:szCs w:val="24"/>
            </w:rPr>
            <w:t xml:space="preserve">Licencia por enfermedad General. </w:t>
          </w:r>
        </w:p>
        <w:p w14:paraId="54915F35" w14:textId="77777777" w:rsidR="00EB0A12" w:rsidRDefault="00EB0A12" w:rsidP="00EB0A12">
          <w:pPr>
            <w:pStyle w:val="Prrafodelista"/>
            <w:shd w:val="clear" w:color="auto" w:fill="FFFFFF"/>
            <w:spacing w:after="0" w:line="240" w:lineRule="auto"/>
            <w:ind w:left="284"/>
            <w:jc w:val="both"/>
            <w:textAlignment w:val="baseline"/>
            <w:rPr>
              <w:rFonts w:ascii="Times New Roman" w:hAnsi="Times New Roman"/>
              <w:sz w:val="24"/>
              <w:szCs w:val="24"/>
            </w:rPr>
          </w:pPr>
        </w:p>
        <w:p w14:paraId="2A19044C" w14:textId="0480CA85" w:rsidR="00EB0A12" w:rsidRPr="003E5C22" w:rsidRDefault="00EB0A12" w:rsidP="00EB0A12">
          <w:pPr>
            <w:pStyle w:val="Prrafodelista"/>
            <w:shd w:val="clear" w:color="auto" w:fill="FFFFFF"/>
            <w:spacing w:after="0" w:line="240" w:lineRule="auto"/>
            <w:ind w:left="0"/>
            <w:jc w:val="both"/>
            <w:textAlignment w:val="baseline"/>
            <w:rPr>
              <w:rFonts w:ascii="Times New Roman" w:hAnsi="Times New Roman"/>
              <w:sz w:val="24"/>
              <w:szCs w:val="24"/>
            </w:rPr>
          </w:pPr>
          <w:r w:rsidRPr="003E5C22">
            <w:rPr>
              <w:rFonts w:ascii="Times New Roman" w:hAnsi="Times New Roman"/>
              <w:sz w:val="24"/>
              <w:szCs w:val="24"/>
            </w:rPr>
            <w:t>INCERTIDUMBRES ASOCIADAS AL VALOR: Frente a los procesos descritos en el acápite anterior, la incertidumbre respecto al valor varía dependiendo de las decisiones adoptadas por cada despacho</w:t>
          </w:r>
          <w:r w:rsidR="00C22834" w:rsidRPr="003E5C22">
            <w:rPr>
              <w:rFonts w:ascii="Times New Roman" w:hAnsi="Times New Roman"/>
              <w:sz w:val="24"/>
              <w:szCs w:val="24"/>
            </w:rPr>
            <w:t xml:space="preserve">. </w:t>
          </w:r>
        </w:p>
        <w:p w14:paraId="2351873B" w14:textId="77777777" w:rsidR="00C22834" w:rsidRPr="003E5C22" w:rsidRDefault="00C22834" w:rsidP="00EB0A12">
          <w:pPr>
            <w:pStyle w:val="Prrafodelista"/>
            <w:shd w:val="clear" w:color="auto" w:fill="FFFFFF"/>
            <w:spacing w:after="0" w:line="240" w:lineRule="auto"/>
            <w:ind w:left="0"/>
            <w:jc w:val="both"/>
            <w:textAlignment w:val="baseline"/>
            <w:rPr>
              <w:rFonts w:ascii="Times New Roman" w:hAnsi="Times New Roman"/>
              <w:sz w:val="24"/>
              <w:szCs w:val="24"/>
            </w:rPr>
          </w:pPr>
        </w:p>
        <w:p w14:paraId="75FB68E3" w14:textId="407444C2" w:rsidR="00220F62" w:rsidRPr="00931DCE" w:rsidRDefault="00C22834" w:rsidP="006028C3">
          <w:pPr>
            <w:spacing w:after="0" w:line="240" w:lineRule="auto"/>
            <w:jc w:val="both"/>
            <w:rPr>
              <w:rFonts w:ascii="Times New Roman" w:hAnsi="Times New Roman"/>
              <w:sz w:val="24"/>
              <w:szCs w:val="24"/>
            </w:rPr>
          </w:pPr>
          <w:r w:rsidRPr="003E5C22">
            <w:rPr>
              <w:rFonts w:ascii="Times New Roman" w:hAnsi="Times New Roman"/>
              <w:sz w:val="24"/>
              <w:szCs w:val="24"/>
            </w:rPr>
            <w:t>INCERTIDUMBRES ASOCIADAS CON LA FECHA: La fecha en que se espera contar con la liquidación definitiva de las costas procesales no es posible determinar, pues depende de la gestión a cargo del despacho judicial, a la que debe sumarse el tiempo que requeriría el proceso de cobro.</w:t>
          </w:r>
          <w:r w:rsidRPr="00931DCE">
            <w:rPr>
              <w:rFonts w:ascii="Times New Roman" w:hAnsi="Times New Roman"/>
              <w:sz w:val="24"/>
              <w:szCs w:val="24"/>
            </w:rPr>
            <w:t xml:space="preserve"> </w:t>
          </w:r>
        </w:p>
        <w:p w14:paraId="7CD05C89" w14:textId="77777777" w:rsidR="00220F62" w:rsidRPr="00931DCE" w:rsidRDefault="00220F62" w:rsidP="00220F62">
          <w:pPr>
            <w:spacing w:after="0" w:line="240" w:lineRule="auto"/>
            <w:jc w:val="both"/>
            <w:rPr>
              <w:rFonts w:ascii="Times New Roman" w:hAnsi="Times New Roman"/>
              <w:sz w:val="24"/>
              <w:szCs w:val="24"/>
            </w:rPr>
          </w:pPr>
        </w:p>
        <w:p w14:paraId="607AE91B" w14:textId="77777777" w:rsidR="00220F62" w:rsidRPr="00931DCE" w:rsidRDefault="00220F62" w:rsidP="00220F62">
          <w:pPr>
            <w:shd w:val="clear" w:color="auto" w:fill="FFFFFF"/>
            <w:spacing w:after="0" w:line="240" w:lineRule="auto"/>
            <w:jc w:val="both"/>
            <w:textAlignment w:val="baseline"/>
            <w:rPr>
              <w:rFonts w:ascii="Times New Roman" w:hAnsi="Times New Roman"/>
              <w:sz w:val="24"/>
              <w:szCs w:val="24"/>
              <w:u w:val="single"/>
            </w:rPr>
          </w:pPr>
          <w:r w:rsidRPr="00931DCE">
            <w:rPr>
              <w:rFonts w:ascii="Times New Roman" w:hAnsi="Times New Roman"/>
              <w:sz w:val="24"/>
              <w:szCs w:val="24"/>
              <w:u w:val="single"/>
            </w:rPr>
            <w:t>PROCESOS ADMINISTRATIVOS</w:t>
          </w:r>
        </w:p>
        <w:p w14:paraId="664D9C07" w14:textId="77777777" w:rsidR="00220F62" w:rsidRPr="00931DCE" w:rsidRDefault="00220F62" w:rsidP="00220F62">
          <w:pPr>
            <w:shd w:val="clear" w:color="auto" w:fill="FFFFFF"/>
            <w:spacing w:after="0" w:line="240" w:lineRule="auto"/>
            <w:jc w:val="both"/>
            <w:textAlignment w:val="baseline"/>
            <w:rPr>
              <w:rFonts w:ascii="Times New Roman" w:hAnsi="Times New Roman"/>
              <w:sz w:val="24"/>
              <w:szCs w:val="24"/>
            </w:rPr>
          </w:pPr>
        </w:p>
        <w:p w14:paraId="75FD4FE2" w14:textId="0F5261FD" w:rsidR="00220F62" w:rsidRPr="00931DCE" w:rsidRDefault="00220F62" w:rsidP="00220F62">
          <w:pPr>
            <w:shd w:val="clear" w:color="auto" w:fill="FFFFFF"/>
            <w:spacing w:after="0" w:line="240" w:lineRule="auto"/>
            <w:jc w:val="both"/>
            <w:textAlignment w:val="baseline"/>
            <w:rPr>
              <w:rFonts w:ascii="Times New Roman" w:hAnsi="Times New Roman"/>
              <w:sz w:val="24"/>
              <w:szCs w:val="24"/>
            </w:rPr>
          </w:pPr>
          <w:r w:rsidRPr="00931DCE">
            <w:rPr>
              <w:rFonts w:ascii="Times New Roman" w:hAnsi="Times New Roman"/>
              <w:sz w:val="24"/>
              <w:szCs w:val="24"/>
            </w:rPr>
            <w:t xml:space="preserve">NATURALEZA DEL ACTIVO CONTINGENTE: Con relación a los procesos administrativos, El Grupo Interno de Trabajo de Defensa Judicial de la Vicepresidencia Jurídica, mediante el formato GEJU-F-010 - </w:t>
          </w:r>
          <w:r w:rsidRPr="00931DCE">
            <w:rPr>
              <w:rFonts w:ascii="Times New Roman" w:hAnsi="Times New Roman"/>
              <w:i/>
              <w:iCs/>
              <w:sz w:val="24"/>
              <w:szCs w:val="24"/>
            </w:rPr>
            <w:t>"Reporte Procesos Judiciales"</w:t>
          </w:r>
          <w:r w:rsidRPr="00931DCE">
            <w:rPr>
              <w:rFonts w:ascii="Times New Roman" w:hAnsi="Times New Roman"/>
              <w:sz w:val="24"/>
              <w:szCs w:val="24"/>
            </w:rPr>
            <w:t xml:space="preserve"> a 31 de diciembre de </w:t>
          </w:r>
          <w:r w:rsidR="00EF6E05" w:rsidRPr="00931DCE">
            <w:rPr>
              <w:rFonts w:ascii="Times New Roman" w:hAnsi="Times New Roman"/>
              <w:sz w:val="24"/>
              <w:szCs w:val="24"/>
            </w:rPr>
            <w:t>202</w:t>
          </w:r>
          <w:r w:rsidR="007A1F7E">
            <w:rPr>
              <w:rFonts w:ascii="Times New Roman" w:hAnsi="Times New Roman"/>
              <w:sz w:val="24"/>
              <w:szCs w:val="24"/>
            </w:rPr>
            <w:t>3</w:t>
          </w:r>
          <w:r w:rsidRPr="00931DCE">
            <w:rPr>
              <w:rFonts w:ascii="Times New Roman" w:hAnsi="Times New Roman"/>
              <w:sz w:val="24"/>
              <w:szCs w:val="24"/>
            </w:rPr>
            <w:t xml:space="preserve">, reportó lo siguiente: </w:t>
          </w:r>
        </w:p>
        <w:p w14:paraId="11EE77D5" w14:textId="77777777" w:rsidR="00220F62" w:rsidRPr="00931DCE" w:rsidRDefault="00220F62" w:rsidP="00220F62">
          <w:pPr>
            <w:shd w:val="clear" w:color="auto" w:fill="FFFFFF"/>
            <w:spacing w:after="0" w:line="240" w:lineRule="auto"/>
            <w:jc w:val="both"/>
            <w:textAlignment w:val="baseline"/>
            <w:rPr>
              <w:rFonts w:ascii="Times New Roman" w:hAnsi="Times New Roman"/>
              <w:sz w:val="24"/>
              <w:szCs w:val="24"/>
            </w:rPr>
          </w:pPr>
        </w:p>
        <w:p w14:paraId="0477DB0F" w14:textId="1064D93D" w:rsidR="00220F62" w:rsidRPr="00931DCE" w:rsidRDefault="008A317F" w:rsidP="00E60BAB">
          <w:pPr>
            <w:pStyle w:val="Prrafodelista"/>
            <w:numPr>
              <w:ilvl w:val="0"/>
              <w:numId w:val="49"/>
            </w:numPr>
            <w:shd w:val="clear" w:color="auto" w:fill="FFFFFF"/>
            <w:spacing w:after="0" w:line="240" w:lineRule="auto"/>
            <w:ind w:left="284" w:hanging="284"/>
            <w:jc w:val="both"/>
            <w:textAlignment w:val="baseline"/>
            <w:rPr>
              <w:rFonts w:ascii="Times New Roman" w:hAnsi="Times New Roman"/>
              <w:sz w:val="24"/>
              <w:szCs w:val="24"/>
            </w:rPr>
          </w:pPr>
          <w:r>
            <w:rPr>
              <w:rFonts w:ascii="Times New Roman" w:hAnsi="Times New Roman"/>
              <w:sz w:val="24"/>
              <w:szCs w:val="24"/>
            </w:rPr>
            <w:lastRenderedPageBreak/>
            <w:t>Cuarenta</w:t>
          </w:r>
          <w:r w:rsidR="00220F62" w:rsidRPr="00931DCE">
            <w:rPr>
              <w:rFonts w:ascii="Times New Roman" w:hAnsi="Times New Roman"/>
              <w:sz w:val="24"/>
              <w:szCs w:val="24"/>
            </w:rPr>
            <w:t xml:space="preserve"> y </w:t>
          </w:r>
          <w:r>
            <w:rPr>
              <w:rFonts w:ascii="Times New Roman" w:hAnsi="Times New Roman"/>
              <w:sz w:val="24"/>
              <w:szCs w:val="24"/>
            </w:rPr>
            <w:t>seis</w:t>
          </w:r>
          <w:r w:rsidR="00220F62" w:rsidRPr="00931DCE">
            <w:rPr>
              <w:rFonts w:ascii="Times New Roman" w:hAnsi="Times New Roman"/>
              <w:sz w:val="24"/>
              <w:szCs w:val="24"/>
            </w:rPr>
            <w:t xml:space="preserve"> (</w:t>
          </w:r>
          <w:r>
            <w:rPr>
              <w:rFonts w:ascii="Times New Roman" w:hAnsi="Times New Roman"/>
              <w:sz w:val="24"/>
              <w:szCs w:val="24"/>
            </w:rPr>
            <w:t>46</w:t>
          </w:r>
          <w:r w:rsidR="00220F62" w:rsidRPr="00931DCE">
            <w:rPr>
              <w:rFonts w:ascii="Times New Roman" w:hAnsi="Times New Roman"/>
              <w:sz w:val="24"/>
              <w:szCs w:val="24"/>
            </w:rPr>
            <w:t xml:space="preserve">) procesos administrativos, activos a favor, de los cuales </w:t>
          </w:r>
          <w:r w:rsidR="0082551F">
            <w:rPr>
              <w:rFonts w:ascii="Times New Roman" w:hAnsi="Times New Roman"/>
              <w:sz w:val="24"/>
              <w:szCs w:val="24"/>
            </w:rPr>
            <w:t>8</w:t>
          </w:r>
          <w:r w:rsidR="00220F62" w:rsidRPr="00931DCE">
            <w:rPr>
              <w:rFonts w:ascii="Times New Roman" w:hAnsi="Times New Roman"/>
              <w:sz w:val="24"/>
              <w:szCs w:val="24"/>
            </w:rPr>
            <w:t xml:space="preserve"> no tienen valor de pretensiones, y </w:t>
          </w:r>
          <w:r w:rsidR="00601538">
            <w:rPr>
              <w:rFonts w:ascii="Times New Roman" w:hAnsi="Times New Roman"/>
              <w:sz w:val="24"/>
              <w:szCs w:val="24"/>
            </w:rPr>
            <w:t>38</w:t>
          </w:r>
          <w:r w:rsidR="00220F62" w:rsidRPr="00931DCE">
            <w:rPr>
              <w:rFonts w:ascii="Times New Roman" w:hAnsi="Times New Roman"/>
              <w:sz w:val="24"/>
              <w:szCs w:val="24"/>
            </w:rPr>
            <w:t xml:space="preserve"> procesos con valor de pretensiones que suman $</w:t>
          </w:r>
          <w:r w:rsidR="00D74905">
            <w:rPr>
              <w:rFonts w:ascii="Times New Roman" w:hAnsi="Times New Roman"/>
              <w:sz w:val="24"/>
              <w:szCs w:val="24"/>
            </w:rPr>
            <w:t>162.151.820.181</w:t>
          </w:r>
        </w:p>
        <w:p w14:paraId="051B762A" w14:textId="77777777" w:rsidR="00220F62" w:rsidRPr="00931DCE" w:rsidRDefault="00220F62" w:rsidP="00220F62">
          <w:pPr>
            <w:shd w:val="clear" w:color="auto" w:fill="FFFFFF"/>
            <w:spacing w:after="0" w:line="240" w:lineRule="auto"/>
            <w:jc w:val="both"/>
            <w:textAlignment w:val="baseline"/>
            <w:rPr>
              <w:rFonts w:ascii="Times New Roman" w:hAnsi="Times New Roman"/>
              <w:sz w:val="24"/>
              <w:szCs w:val="24"/>
            </w:rPr>
          </w:pPr>
        </w:p>
        <w:p w14:paraId="0990E714" w14:textId="6882B84A" w:rsidR="00220F62" w:rsidRPr="00931DCE" w:rsidRDefault="00DE531B" w:rsidP="00E60BAB">
          <w:pPr>
            <w:pStyle w:val="Prrafodelista"/>
            <w:numPr>
              <w:ilvl w:val="0"/>
              <w:numId w:val="50"/>
            </w:numPr>
            <w:shd w:val="clear" w:color="auto" w:fill="FFFFFF"/>
            <w:spacing w:after="0" w:line="240" w:lineRule="auto"/>
            <w:ind w:left="709"/>
            <w:jc w:val="both"/>
            <w:textAlignment w:val="baseline"/>
            <w:rPr>
              <w:rFonts w:ascii="Times New Roman" w:hAnsi="Times New Roman"/>
              <w:sz w:val="24"/>
              <w:szCs w:val="24"/>
            </w:rPr>
          </w:pPr>
          <w:r>
            <w:rPr>
              <w:rFonts w:ascii="Times New Roman" w:hAnsi="Times New Roman"/>
              <w:sz w:val="24"/>
              <w:szCs w:val="24"/>
            </w:rPr>
            <w:t>Veintiocho (28</w:t>
          </w:r>
          <w:r w:rsidR="002577E8">
            <w:rPr>
              <w:rFonts w:ascii="Times New Roman" w:hAnsi="Times New Roman"/>
              <w:sz w:val="24"/>
              <w:szCs w:val="24"/>
            </w:rPr>
            <w:t>),</w:t>
          </w:r>
          <w:r w:rsidR="00220F62" w:rsidRPr="00931DCE">
            <w:rPr>
              <w:rFonts w:ascii="Times New Roman" w:hAnsi="Times New Roman"/>
              <w:sz w:val="24"/>
              <w:szCs w:val="24"/>
            </w:rPr>
            <w:t xml:space="preserve"> fueron iniciados en ejercicio del medio de control de Acción de Repetición, con el fin de recuperar los dineros pagados por la ANI, con ocasión de condenas impuestas y pagadas por la entidad.</w:t>
          </w:r>
        </w:p>
        <w:p w14:paraId="16FD9820" w14:textId="43C387FD" w:rsidR="00220F62" w:rsidRPr="00931DCE" w:rsidRDefault="00213939" w:rsidP="00E60BAB">
          <w:pPr>
            <w:pStyle w:val="Prrafodelista"/>
            <w:numPr>
              <w:ilvl w:val="0"/>
              <w:numId w:val="50"/>
            </w:numPr>
            <w:shd w:val="clear" w:color="auto" w:fill="FFFFFF"/>
            <w:spacing w:after="0" w:line="240" w:lineRule="auto"/>
            <w:ind w:left="709"/>
            <w:jc w:val="both"/>
            <w:textAlignment w:val="baseline"/>
            <w:rPr>
              <w:rFonts w:ascii="Times New Roman" w:hAnsi="Times New Roman"/>
              <w:sz w:val="24"/>
              <w:szCs w:val="24"/>
            </w:rPr>
          </w:pPr>
          <w:r>
            <w:rPr>
              <w:rFonts w:ascii="Times New Roman" w:hAnsi="Times New Roman"/>
              <w:sz w:val="24"/>
              <w:szCs w:val="24"/>
            </w:rPr>
            <w:t>Cinco</w:t>
          </w:r>
          <w:r w:rsidR="00220F62" w:rsidRPr="00931DCE">
            <w:rPr>
              <w:rFonts w:ascii="Times New Roman" w:hAnsi="Times New Roman"/>
              <w:sz w:val="24"/>
              <w:szCs w:val="24"/>
            </w:rPr>
            <w:t xml:space="preserve"> (</w:t>
          </w:r>
          <w:r>
            <w:rPr>
              <w:rFonts w:ascii="Times New Roman" w:hAnsi="Times New Roman"/>
              <w:sz w:val="24"/>
              <w:szCs w:val="24"/>
            </w:rPr>
            <w:t>5</w:t>
          </w:r>
          <w:r w:rsidR="00220F62" w:rsidRPr="00931DCE">
            <w:rPr>
              <w:rFonts w:ascii="Times New Roman" w:hAnsi="Times New Roman"/>
              <w:sz w:val="24"/>
              <w:szCs w:val="24"/>
            </w:rPr>
            <w:t xml:space="preserve">) procesos, iniciados en ejercicio del medio de control de controversias contractuales, por el incumplimiento de contratos o convenios, relacionados con entregas de obras. </w:t>
          </w:r>
        </w:p>
        <w:p w14:paraId="19C1BD66" w14:textId="77777777" w:rsidR="00220F62" w:rsidRPr="00931DCE" w:rsidRDefault="00220F62" w:rsidP="00E60BAB">
          <w:pPr>
            <w:pStyle w:val="Prrafodelista"/>
            <w:numPr>
              <w:ilvl w:val="0"/>
              <w:numId w:val="50"/>
            </w:numPr>
            <w:shd w:val="clear" w:color="auto" w:fill="FFFFFF"/>
            <w:spacing w:after="0" w:line="240" w:lineRule="auto"/>
            <w:ind w:left="709"/>
            <w:jc w:val="both"/>
            <w:textAlignment w:val="baseline"/>
            <w:rPr>
              <w:rFonts w:ascii="Times New Roman" w:hAnsi="Times New Roman"/>
              <w:sz w:val="24"/>
              <w:szCs w:val="24"/>
            </w:rPr>
          </w:pPr>
          <w:r w:rsidRPr="00931DCE">
            <w:rPr>
              <w:rFonts w:ascii="Times New Roman" w:hAnsi="Times New Roman"/>
              <w:sz w:val="24"/>
              <w:szCs w:val="24"/>
            </w:rPr>
            <w:t>Tres (3) procesos, iniciados en ejercicio del medio de control de nulidad y restablecimiento del derecho en contra de actos administrativos, expedidos por entidades públicas.</w:t>
          </w:r>
        </w:p>
        <w:p w14:paraId="388BA741" w14:textId="3A608273" w:rsidR="00220F62" w:rsidRPr="00931DCE" w:rsidRDefault="0079363C" w:rsidP="00E60BAB">
          <w:pPr>
            <w:pStyle w:val="Prrafodelista"/>
            <w:numPr>
              <w:ilvl w:val="0"/>
              <w:numId w:val="50"/>
            </w:numPr>
            <w:shd w:val="clear" w:color="auto" w:fill="FFFFFF"/>
            <w:spacing w:after="0" w:line="240" w:lineRule="auto"/>
            <w:ind w:left="709"/>
            <w:jc w:val="both"/>
            <w:textAlignment w:val="baseline"/>
            <w:rPr>
              <w:rFonts w:ascii="Times New Roman" w:hAnsi="Times New Roman"/>
              <w:sz w:val="24"/>
              <w:szCs w:val="24"/>
            </w:rPr>
          </w:pPr>
          <w:r>
            <w:rPr>
              <w:rFonts w:ascii="Times New Roman" w:hAnsi="Times New Roman"/>
              <w:sz w:val="24"/>
              <w:szCs w:val="24"/>
            </w:rPr>
            <w:t>Tres</w:t>
          </w:r>
          <w:r w:rsidR="00220F62" w:rsidRPr="00931DCE">
            <w:rPr>
              <w:rFonts w:ascii="Times New Roman" w:hAnsi="Times New Roman"/>
              <w:sz w:val="24"/>
              <w:szCs w:val="24"/>
            </w:rPr>
            <w:t xml:space="preserve"> (</w:t>
          </w:r>
          <w:r w:rsidR="003939EC">
            <w:rPr>
              <w:rFonts w:ascii="Times New Roman" w:hAnsi="Times New Roman"/>
              <w:sz w:val="24"/>
              <w:szCs w:val="24"/>
            </w:rPr>
            <w:t>3</w:t>
          </w:r>
          <w:r w:rsidR="00220F62" w:rsidRPr="00931DCE">
            <w:rPr>
              <w:rFonts w:ascii="Times New Roman" w:hAnsi="Times New Roman"/>
              <w:sz w:val="24"/>
              <w:szCs w:val="24"/>
            </w:rPr>
            <w:t>) procesos ejecutivos, que cursan ante la jurisdicción de lo contencioso administrativo.</w:t>
          </w:r>
        </w:p>
        <w:p w14:paraId="609C411A" w14:textId="5D5EDFAD" w:rsidR="00220F62" w:rsidRPr="00931DCE" w:rsidRDefault="0079363C" w:rsidP="00E60BAB">
          <w:pPr>
            <w:pStyle w:val="Prrafodelista"/>
            <w:numPr>
              <w:ilvl w:val="0"/>
              <w:numId w:val="50"/>
            </w:numPr>
            <w:shd w:val="clear" w:color="auto" w:fill="FFFFFF"/>
            <w:spacing w:after="0" w:line="240" w:lineRule="auto"/>
            <w:ind w:left="709"/>
            <w:jc w:val="both"/>
            <w:textAlignment w:val="baseline"/>
            <w:rPr>
              <w:rFonts w:ascii="Times New Roman" w:hAnsi="Times New Roman"/>
              <w:sz w:val="24"/>
              <w:szCs w:val="24"/>
            </w:rPr>
          </w:pPr>
          <w:r>
            <w:rPr>
              <w:rFonts w:ascii="Times New Roman" w:hAnsi="Times New Roman"/>
              <w:sz w:val="24"/>
              <w:szCs w:val="24"/>
            </w:rPr>
            <w:t>Tres</w:t>
          </w:r>
          <w:r w:rsidR="00220F62" w:rsidRPr="00931DCE">
            <w:rPr>
              <w:rFonts w:ascii="Times New Roman" w:hAnsi="Times New Roman"/>
              <w:sz w:val="24"/>
              <w:szCs w:val="24"/>
            </w:rPr>
            <w:t xml:space="preserve"> (</w:t>
          </w:r>
          <w:r>
            <w:rPr>
              <w:rFonts w:ascii="Times New Roman" w:hAnsi="Times New Roman"/>
              <w:sz w:val="24"/>
              <w:szCs w:val="24"/>
            </w:rPr>
            <w:t>3</w:t>
          </w:r>
          <w:r w:rsidR="00220F62" w:rsidRPr="00931DCE">
            <w:rPr>
              <w:rFonts w:ascii="Times New Roman" w:hAnsi="Times New Roman"/>
              <w:sz w:val="24"/>
              <w:szCs w:val="24"/>
            </w:rPr>
            <w:t xml:space="preserve">) procesos en ejercicio del medio de control de reparación directa, entre los cuales se encuentra el iniciado con ocasión de los perjuicios causados a la entidad, por la suscrición irregular contrato de concesión para el proyecto de concesión Ruta del Sol Sector 2. </w:t>
          </w:r>
        </w:p>
        <w:p w14:paraId="657A7023" w14:textId="3796396F" w:rsidR="00220F62" w:rsidRPr="00931DCE" w:rsidRDefault="000301E7" w:rsidP="00E60BAB">
          <w:pPr>
            <w:pStyle w:val="Prrafodelista"/>
            <w:numPr>
              <w:ilvl w:val="0"/>
              <w:numId w:val="50"/>
            </w:numPr>
            <w:shd w:val="clear" w:color="auto" w:fill="FFFFFF"/>
            <w:spacing w:after="0" w:line="240" w:lineRule="auto"/>
            <w:ind w:left="709"/>
            <w:jc w:val="both"/>
            <w:textAlignment w:val="baseline"/>
            <w:rPr>
              <w:rFonts w:ascii="Times New Roman" w:hAnsi="Times New Roman"/>
              <w:sz w:val="24"/>
              <w:szCs w:val="24"/>
            </w:rPr>
          </w:pPr>
          <w:r>
            <w:rPr>
              <w:rFonts w:ascii="Times New Roman" w:hAnsi="Times New Roman"/>
              <w:sz w:val="24"/>
              <w:szCs w:val="24"/>
            </w:rPr>
            <w:t>Tres</w:t>
          </w:r>
          <w:r w:rsidR="00220F62" w:rsidRPr="00931DCE">
            <w:rPr>
              <w:rFonts w:ascii="Times New Roman" w:hAnsi="Times New Roman"/>
              <w:sz w:val="24"/>
              <w:szCs w:val="24"/>
            </w:rPr>
            <w:t xml:space="preserve"> (</w:t>
          </w:r>
          <w:r>
            <w:rPr>
              <w:rFonts w:ascii="Times New Roman" w:hAnsi="Times New Roman"/>
              <w:sz w:val="24"/>
              <w:szCs w:val="24"/>
            </w:rPr>
            <w:t>3</w:t>
          </w:r>
          <w:r w:rsidR="00220F62" w:rsidRPr="00931DCE">
            <w:rPr>
              <w:rFonts w:ascii="Times New Roman" w:hAnsi="Times New Roman"/>
              <w:sz w:val="24"/>
              <w:szCs w:val="24"/>
            </w:rPr>
            <w:t xml:space="preserve">) procesos en ejercicio del medio de control de simple nulidad, contra entes territoriales, por la modificación de los POT. </w:t>
          </w:r>
        </w:p>
        <w:p w14:paraId="252CEBEC" w14:textId="77777777" w:rsidR="00220F62" w:rsidRPr="00931DCE" w:rsidRDefault="00220F62" w:rsidP="00E60BAB">
          <w:pPr>
            <w:pStyle w:val="Prrafodelista"/>
            <w:numPr>
              <w:ilvl w:val="0"/>
              <w:numId w:val="50"/>
            </w:numPr>
            <w:shd w:val="clear" w:color="auto" w:fill="FFFFFF"/>
            <w:spacing w:after="0" w:line="240" w:lineRule="auto"/>
            <w:ind w:left="709"/>
            <w:jc w:val="both"/>
            <w:textAlignment w:val="baseline"/>
            <w:rPr>
              <w:rFonts w:ascii="Times New Roman" w:hAnsi="Times New Roman"/>
              <w:sz w:val="24"/>
              <w:szCs w:val="24"/>
            </w:rPr>
          </w:pPr>
          <w:r w:rsidRPr="00931DCE">
            <w:rPr>
              <w:rFonts w:ascii="Times New Roman" w:hAnsi="Times New Roman"/>
              <w:sz w:val="24"/>
              <w:szCs w:val="24"/>
            </w:rPr>
            <w:t xml:space="preserve">Un (1) procesos en ejercicio del medio de control de los derechos colectivos (acción popular), por invasión de vías de uso público. </w:t>
          </w:r>
        </w:p>
        <w:p w14:paraId="47638437" w14:textId="77777777" w:rsidR="00220F62" w:rsidRPr="00931DCE" w:rsidRDefault="00220F62" w:rsidP="00220F62">
          <w:pPr>
            <w:shd w:val="clear" w:color="auto" w:fill="FFFFFF"/>
            <w:spacing w:after="0" w:line="240" w:lineRule="auto"/>
            <w:jc w:val="both"/>
            <w:textAlignment w:val="baseline"/>
            <w:rPr>
              <w:rFonts w:ascii="Times New Roman" w:hAnsi="Times New Roman"/>
              <w:sz w:val="24"/>
              <w:szCs w:val="24"/>
            </w:rPr>
          </w:pPr>
        </w:p>
        <w:p w14:paraId="5FE242CB" w14:textId="77777777" w:rsidR="00220F62" w:rsidRPr="00931DCE" w:rsidRDefault="00220F62" w:rsidP="00220F62">
          <w:pPr>
            <w:shd w:val="clear" w:color="auto" w:fill="FFFFFF"/>
            <w:spacing w:after="0" w:line="240" w:lineRule="auto"/>
            <w:jc w:val="both"/>
            <w:textAlignment w:val="baseline"/>
            <w:rPr>
              <w:rFonts w:ascii="Times New Roman" w:hAnsi="Times New Roman"/>
              <w:sz w:val="24"/>
              <w:szCs w:val="24"/>
            </w:rPr>
          </w:pPr>
          <w:r w:rsidRPr="00931DCE">
            <w:rPr>
              <w:rFonts w:ascii="Times New Roman" w:hAnsi="Times New Roman"/>
              <w:sz w:val="24"/>
              <w:szCs w:val="24"/>
            </w:rPr>
            <w:t xml:space="preserve">Adicionalmente, los dos (2) procesos sancionatorios registrados en las subcuentas 8.1.20.04 Administrativas y 8.9.05.06 </w:t>
          </w:r>
          <w:r w:rsidRPr="00931DCE">
            <w:rPr>
              <w:rFonts w:ascii="Times New Roman" w:eastAsia="Times New Roman" w:hAnsi="Times New Roman"/>
              <w:color w:val="000000"/>
              <w:sz w:val="24"/>
              <w:szCs w:val="24"/>
              <w:lang w:eastAsia="es-CO"/>
            </w:rPr>
            <w:t>Litigios y mecanismos alternativos de solución de conflictos, corresponden a l</w:t>
          </w:r>
          <w:r w:rsidRPr="00931DCE">
            <w:rPr>
              <w:rFonts w:ascii="Times New Roman" w:hAnsi="Times New Roman"/>
              <w:sz w:val="24"/>
              <w:szCs w:val="24"/>
            </w:rPr>
            <w:t>as sanciones que se relacionan a continuación y que fueron informadas por el Grupo Interno</w:t>
          </w:r>
          <w:r w:rsidRPr="00931DCE">
            <w:rPr>
              <w:rFonts w:ascii="Times New Roman" w:hAnsi="Times New Roman"/>
              <w:color w:val="1F4E79"/>
              <w:sz w:val="24"/>
              <w:szCs w:val="24"/>
              <w:shd w:val="clear" w:color="auto" w:fill="FFFFFF"/>
            </w:rPr>
            <w:t xml:space="preserve"> </w:t>
          </w:r>
          <w:r w:rsidRPr="00931DCE">
            <w:rPr>
              <w:rFonts w:ascii="Times New Roman" w:hAnsi="Times New Roman"/>
              <w:sz w:val="24"/>
              <w:szCs w:val="24"/>
            </w:rPr>
            <w:t xml:space="preserve">de Trabajo de Procedimientos Administrativos Sancionatorios Contractuales, a la Coordinación del GTI Administrativo y Financiero: </w:t>
          </w:r>
        </w:p>
        <w:p w14:paraId="0629444F" w14:textId="77777777" w:rsidR="00220F62" w:rsidRPr="00931DCE" w:rsidRDefault="00220F62" w:rsidP="00220F62">
          <w:pPr>
            <w:shd w:val="clear" w:color="auto" w:fill="FFFFFF"/>
            <w:spacing w:after="0" w:line="240" w:lineRule="auto"/>
            <w:ind w:left="45"/>
            <w:jc w:val="both"/>
            <w:textAlignment w:val="baseline"/>
            <w:rPr>
              <w:rFonts w:ascii="Times New Roman" w:hAnsi="Times New Roman"/>
              <w:sz w:val="24"/>
              <w:szCs w:val="24"/>
            </w:rPr>
          </w:pPr>
        </w:p>
        <w:p w14:paraId="782E4703" w14:textId="77777777" w:rsidR="00220F62" w:rsidRPr="00931DCE" w:rsidRDefault="00220F62" w:rsidP="00451687">
          <w:pPr>
            <w:pStyle w:val="Prrafodelista"/>
            <w:numPr>
              <w:ilvl w:val="0"/>
              <w:numId w:val="27"/>
            </w:numPr>
            <w:shd w:val="clear" w:color="auto" w:fill="FFFFFF"/>
            <w:spacing w:after="0" w:line="240" w:lineRule="auto"/>
            <w:jc w:val="both"/>
            <w:textAlignment w:val="baseline"/>
            <w:rPr>
              <w:rFonts w:ascii="Times New Roman" w:eastAsia="Times New Roman" w:hAnsi="Times New Roman"/>
              <w:color w:val="000000"/>
              <w:sz w:val="24"/>
              <w:szCs w:val="24"/>
              <w:lang w:eastAsia="es-CO"/>
            </w:rPr>
          </w:pPr>
          <w:r w:rsidRPr="00931DCE">
            <w:rPr>
              <w:rFonts w:ascii="Times New Roman" w:hAnsi="Times New Roman"/>
              <w:sz w:val="24"/>
              <w:szCs w:val="24"/>
            </w:rPr>
            <w:t xml:space="preserve">El valor correspondiente indicado en la Resolución No. 1685 del 12 de noviembre de 2019, </w:t>
          </w:r>
          <w:r w:rsidRPr="00931DCE">
            <w:rPr>
              <w:rFonts w:ascii="Times New Roman" w:hAnsi="Times New Roman"/>
              <w:i/>
              <w:iCs/>
              <w:sz w:val="24"/>
              <w:szCs w:val="24"/>
            </w:rPr>
            <w:t>"Por medio de la cual se adopta una decisión de fondo dentro del Proceso Administrativo Sancionatorio iniciado en contra de FERROCARRIL DEL PACÍFICO S.A.S. por el incumplimiento grave y directo de las obligaciones contractuales contenidas en el Contrato de Concesión No. 09-CONP98"</w:t>
          </w:r>
          <w:r w:rsidRPr="00931DCE">
            <w:rPr>
              <w:rFonts w:ascii="Times New Roman" w:hAnsi="Times New Roman"/>
              <w:sz w:val="24"/>
              <w:szCs w:val="24"/>
            </w:rPr>
            <w:t>, en donde en el artículo tercero del resuelve, impone a la Sociedad Ferrocarril del Pacífico S.A.S; la suma de $97.969.202 miles correspondiente a los perjuicios causados a la entidad.</w:t>
          </w:r>
        </w:p>
        <w:p w14:paraId="226746C3" w14:textId="77777777" w:rsidR="00220F62" w:rsidRPr="00931DCE" w:rsidRDefault="00220F62" w:rsidP="00220F62">
          <w:pPr>
            <w:pStyle w:val="Prrafodelista"/>
            <w:shd w:val="clear" w:color="auto" w:fill="FFFFFF"/>
            <w:spacing w:after="0" w:line="240" w:lineRule="auto"/>
            <w:ind w:left="360"/>
            <w:jc w:val="both"/>
            <w:textAlignment w:val="baseline"/>
            <w:rPr>
              <w:rFonts w:ascii="Times New Roman" w:eastAsia="Times New Roman" w:hAnsi="Times New Roman"/>
              <w:color w:val="000000"/>
              <w:sz w:val="24"/>
              <w:szCs w:val="24"/>
              <w:lang w:eastAsia="es-CO"/>
            </w:rPr>
          </w:pPr>
        </w:p>
        <w:p w14:paraId="6F12664D" w14:textId="77777777" w:rsidR="00220F62" w:rsidRPr="00931DCE" w:rsidRDefault="00220F62" w:rsidP="00451687">
          <w:pPr>
            <w:pStyle w:val="Prrafodelista"/>
            <w:numPr>
              <w:ilvl w:val="0"/>
              <w:numId w:val="27"/>
            </w:numPr>
            <w:shd w:val="clear" w:color="auto" w:fill="FFFFFF"/>
            <w:spacing w:after="0" w:line="240" w:lineRule="auto"/>
            <w:jc w:val="both"/>
            <w:textAlignment w:val="baseline"/>
            <w:rPr>
              <w:rFonts w:ascii="Times New Roman" w:hAnsi="Times New Roman"/>
              <w:sz w:val="24"/>
              <w:szCs w:val="24"/>
            </w:rPr>
          </w:pPr>
          <w:r w:rsidRPr="00931DCE">
            <w:rPr>
              <w:rFonts w:ascii="Times New Roman" w:hAnsi="Times New Roman"/>
              <w:sz w:val="24"/>
              <w:szCs w:val="24"/>
            </w:rPr>
            <w:t xml:space="preserve">Se registró la Resolución No 1216 de 2014, por la cual se resuelve el recurso de reposición contra la Resolución No. 833 del 20 de junio de 2014 y se hace efectiva una causal contractual prevista para la terminación anticipada del contrato de concesión 7000002-OK-2007 suscrito con la Sociedad Concesión Aeropuerto San Andres y Providencia CASYP S.A. y se reconoce el valor de $4.376.680 miles, por la cláusula penal del contrato, el cual se encuentra etapa persuasiva primer requerimiento de acuerdo a lo informado por el grupo de Defensa Judicial. </w:t>
          </w:r>
        </w:p>
        <w:p w14:paraId="2FEB9268" w14:textId="77777777" w:rsidR="00220F62" w:rsidRPr="00931DCE" w:rsidRDefault="00220F62" w:rsidP="00220F62">
          <w:pPr>
            <w:shd w:val="clear" w:color="auto" w:fill="FFFFFF"/>
            <w:spacing w:after="0" w:line="240" w:lineRule="auto"/>
            <w:jc w:val="both"/>
            <w:textAlignment w:val="baseline"/>
            <w:rPr>
              <w:rFonts w:ascii="Times New Roman" w:hAnsi="Times New Roman"/>
              <w:sz w:val="24"/>
              <w:szCs w:val="24"/>
            </w:rPr>
          </w:pPr>
        </w:p>
        <w:p w14:paraId="7B5C7220" w14:textId="0D0366BE" w:rsidR="00220F62" w:rsidRPr="00931DCE" w:rsidRDefault="00220F62" w:rsidP="00220F62">
          <w:pPr>
            <w:spacing w:after="0" w:line="240" w:lineRule="auto"/>
            <w:jc w:val="both"/>
            <w:rPr>
              <w:rFonts w:ascii="Times New Roman" w:hAnsi="Times New Roman"/>
              <w:sz w:val="24"/>
              <w:szCs w:val="24"/>
            </w:rPr>
          </w:pPr>
          <w:r w:rsidRPr="00931DCE">
            <w:rPr>
              <w:rFonts w:ascii="Times New Roman" w:hAnsi="Times New Roman"/>
              <w:sz w:val="24"/>
              <w:szCs w:val="24"/>
            </w:rPr>
            <w:lastRenderedPageBreak/>
            <w:t>Dos (2) de los procesos reconocidos, la naturaleza corresponde a Procesos sancionatorios los cuales cuentan con Actos administrativos.</w:t>
          </w:r>
        </w:p>
        <w:p w14:paraId="2493275E" w14:textId="09E084DA" w:rsidR="00220F62" w:rsidRPr="00931DCE" w:rsidRDefault="00220F62" w:rsidP="00220F62">
          <w:pPr>
            <w:spacing w:after="0" w:line="240" w:lineRule="auto"/>
            <w:jc w:val="both"/>
            <w:rPr>
              <w:rFonts w:ascii="Times New Roman" w:hAnsi="Times New Roman"/>
              <w:sz w:val="24"/>
              <w:szCs w:val="24"/>
            </w:rPr>
          </w:pPr>
        </w:p>
        <w:p w14:paraId="0BA50D80" w14:textId="77777777" w:rsidR="00F8297C" w:rsidRPr="00931DCE" w:rsidRDefault="00F8297C" w:rsidP="00F8297C">
          <w:pPr>
            <w:spacing w:after="0" w:line="240" w:lineRule="auto"/>
            <w:jc w:val="both"/>
            <w:rPr>
              <w:rFonts w:ascii="Times New Roman" w:hAnsi="Times New Roman"/>
              <w:sz w:val="24"/>
              <w:szCs w:val="24"/>
            </w:rPr>
          </w:pPr>
          <w:r w:rsidRPr="00931DCE">
            <w:rPr>
              <w:rFonts w:ascii="Times New Roman" w:hAnsi="Times New Roman"/>
              <w:sz w:val="24"/>
              <w:szCs w:val="24"/>
            </w:rPr>
            <w:t>INCERTIDUMBRES ASOCIADAS AL VALOR</w:t>
          </w:r>
        </w:p>
        <w:p w14:paraId="5603AD42" w14:textId="77777777" w:rsidR="00F8297C" w:rsidRPr="00931DCE" w:rsidRDefault="00F8297C" w:rsidP="00F8297C">
          <w:pPr>
            <w:spacing w:after="0" w:line="240" w:lineRule="auto"/>
            <w:jc w:val="both"/>
            <w:rPr>
              <w:rFonts w:ascii="Times New Roman" w:hAnsi="Times New Roman"/>
              <w:sz w:val="24"/>
              <w:szCs w:val="24"/>
            </w:rPr>
          </w:pPr>
        </w:p>
        <w:p w14:paraId="661AB1EE" w14:textId="77777777" w:rsidR="00F8297C" w:rsidRPr="003E5C22" w:rsidRDefault="00F8297C" w:rsidP="00F8297C">
          <w:pPr>
            <w:spacing w:after="0" w:line="240" w:lineRule="auto"/>
            <w:jc w:val="both"/>
            <w:rPr>
              <w:rFonts w:ascii="Times New Roman" w:hAnsi="Times New Roman"/>
              <w:sz w:val="24"/>
              <w:szCs w:val="24"/>
            </w:rPr>
          </w:pPr>
          <w:r w:rsidRPr="003E5C22">
            <w:rPr>
              <w:rFonts w:ascii="Times New Roman" w:hAnsi="Times New Roman"/>
              <w:sz w:val="24"/>
              <w:szCs w:val="24"/>
            </w:rPr>
            <w:t>Frente a los procesos descritos en el acápite anterior, la incertidumbre respecto al valor varía dependiendo de las decisiones adoptadas por cada despacho, no obstante:</w:t>
          </w:r>
        </w:p>
        <w:p w14:paraId="2928D6C5" w14:textId="77777777" w:rsidR="00F8297C" w:rsidRPr="003E5C22" w:rsidRDefault="00F8297C" w:rsidP="00F8297C">
          <w:pPr>
            <w:spacing w:after="0" w:line="240" w:lineRule="auto"/>
            <w:jc w:val="both"/>
            <w:rPr>
              <w:rFonts w:ascii="Times New Roman" w:hAnsi="Times New Roman"/>
              <w:sz w:val="24"/>
              <w:szCs w:val="24"/>
            </w:rPr>
          </w:pPr>
        </w:p>
        <w:p w14:paraId="1EC41F35" w14:textId="7FD025B8" w:rsidR="00F8297C" w:rsidRPr="003E5C22" w:rsidRDefault="00F8297C" w:rsidP="00451687">
          <w:pPr>
            <w:pStyle w:val="Prrafodelista"/>
            <w:numPr>
              <w:ilvl w:val="0"/>
              <w:numId w:val="27"/>
            </w:numPr>
            <w:spacing w:after="0" w:line="240" w:lineRule="auto"/>
            <w:jc w:val="both"/>
            <w:rPr>
              <w:rFonts w:ascii="Times New Roman" w:hAnsi="Times New Roman"/>
              <w:sz w:val="24"/>
              <w:szCs w:val="24"/>
            </w:rPr>
          </w:pPr>
          <w:r w:rsidRPr="003E5C22">
            <w:rPr>
              <w:rFonts w:ascii="Times New Roman" w:hAnsi="Times New Roman"/>
              <w:sz w:val="24"/>
              <w:szCs w:val="24"/>
            </w:rPr>
            <w:t xml:space="preserve">Con relación a los procesos en ejercicio del medio de control de Repetición, teniendo en cuenta que la pretensión </w:t>
          </w:r>
          <w:r w:rsidR="001846D4" w:rsidRPr="003E5C22">
            <w:rPr>
              <w:rFonts w:ascii="Times New Roman" w:hAnsi="Times New Roman"/>
              <w:sz w:val="24"/>
              <w:szCs w:val="24"/>
            </w:rPr>
            <w:t>está</w:t>
          </w:r>
          <w:r w:rsidRPr="003E5C22">
            <w:rPr>
              <w:rFonts w:ascii="Times New Roman" w:hAnsi="Times New Roman"/>
              <w:sz w:val="24"/>
              <w:szCs w:val="24"/>
            </w:rPr>
            <w:t xml:space="preserve"> asociada al valor efectivamente pagado por la entidad, la incertidumbre radica en la decisión que adopte el despacho frente a la responsabilidad de las demandadas por el daño causado. En ese sentido, la suma de $</w:t>
          </w:r>
          <w:r w:rsidR="00041FD0" w:rsidRPr="003E5C22">
            <w:rPr>
              <w:rFonts w:ascii="Times New Roman" w:hAnsi="Times New Roman"/>
              <w:sz w:val="24"/>
              <w:szCs w:val="24"/>
            </w:rPr>
            <w:t>4.631.280.368</w:t>
          </w:r>
          <w:r w:rsidRPr="003E5C22">
            <w:rPr>
              <w:rFonts w:ascii="Times New Roman" w:hAnsi="Times New Roman"/>
              <w:sz w:val="24"/>
              <w:szCs w:val="24"/>
            </w:rPr>
            <w:t xml:space="preserve">, tendría un menor valor de incertidumbre asociada al valor. </w:t>
          </w:r>
        </w:p>
        <w:p w14:paraId="64EDED59" w14:textId="77777777" w:rsidR="00F8297C" w:rsidRPr="003E5C22" w:rsidRDefault="00F8297C" w:rsidP="00F8297C">
          <w:pPr>
            <w:spacing w:after="0" w:line="240" w:lineRule="auto"/>
            <w:jc w:val="both"/>
            <w:rPr>
              <w:rFonts w:ascii="Times New Roman" w:hAnsi="Times New Roman"/>
              <w:sz w:val="24"/>
              <w:szCs w:val="24"/>
            </w:rPr>
          </w:pPr>
        </w:p>
        <w:p w14:paraId="16B758E9" w14:textId="54AF7335" w:rsidR="00F8297C" w:rsidRPr="003E5C22" w:rsidRDefault="00F8297C" w:rsidP="00451687">
          <w:pPr>
            <w:pStyle w:val="Prrafodelista"/>
            <w:numPr>
              <w:ilvl w:val="0"/>
              <w:numId w:val="27"/>
            </w:numPr>
            <w:spacing w:after="0" w:line="240" w:lineRule="auto"/>
            <w:jc w:val="both"/>
            <w:rPr>
              <w:rFonts w:ascii="Times New Roman" w:hAnsi="Times New Roman"/>
              <w:sz w:val="24"/>
              <w:szCs w:val="24"/>
            </w:rPr>
          </w:pPr>
          <w:r w:rsidRPr="003E5C22">
            <w:rPr>
              <w:rFonts w:ascii="Times New Roman" w:hAnsi="Times New Roman"/>
              <w:sz w:val="24"/>
              <w:szCs w:val="24"/>
            </w:rPr>
            <w:t>Los demás procesos que suma el valor de $157.</w:t>
          </w:r>
          <w:r w:rsidR="00941F26" w:rsidRPr="003E5C22">
            <w:rPr>
              <w:rFonts w:ascii="Times New Roman" w:hAnsi="Times New Roman"/>
              <w:sz w:val="24"/>
              <w:szCs w:val="24"/>
            </w:rPr>
            <w:t>520.539.813</w:t>
          </w:r>
          <w:r w:rsidRPr="003E5C22">
            <w:rPr>
              <w:rFonts w:ascii="Times New Roman" w:hAnsi="Times New Roman"/>
              <w:sz w:val="24"/>
              <w:szCs w:val="24"/>
            </w:rPr>
            <w:t xml:space="preserve">, presentan un mayor nivel de incertidumbre asociados al valor, por cuanto dependen de un mayor nivel de análisis por parte del despacho en cuanto a niveles de responsabilidad, elementos probatorios, diversidad de pretensiones, entre otros. </w:t>
          </w:r>
        </w:p>
        <w:p w14:paraId="12DA9380" w14:textId="77777777" w:rsidR="00F8297C" w:rsidRPr="003E5C22" w:rsidRDefault="00F8297C" w:rsidP="00F8297C">
          <w:pPr>
            <w:spacing w:after="0" w:line="240" w:lineRule="auto"/>
            <w:jc w:val="both"/>
            <w:rPr>
              <w:rFonts w:ascii="Times New Roman" w:hAnsi="Times New Roman"/>
              <w:sz w:val="24"/>
              <w:szCs w:val="24"/>
            </w:rPr>
          </w:pPr>
        </w:p>
        <w:p w14:paraId="35D86B1C" w14:textId="25E1F2C1" w:rsidR="00F8297C" w:rsidRPr="00931DCE" w:rsidRDefault="00F8297C" w:rsidP="00F8297C">
          <w:pPr>
            <w:spacing w:after="0" w:line="240" w:lineRule="auto"/>
            <w:jc w:val="both"/>
            <w:rPr>
              <w:rFonts w:ascii="Times New Roman" w:hAnsi="Times New Roman"/>
              <w:sz w:val="24"/>
              <w:szCs w:val="24"/>
            </w:rPr>
          </w:pPr>
          <w:r w:rsidRPr="003E5C22">
            <w:rPr>
              <w:rFonts w:ascii="Times New Roman" w:hAnsi="Times New Roman"/>
              <w:sz w:val="24"/>
              <w:szCs w:val="24"/>
            </w:rPr>
            <w:t>INCERTIDUMBRES ASOCIADAS CON LA FECHA: La incertidumbre asociada con la fecha es alta, teniendo en cuenta que son procesos que se encuentran cursando la primera instancia, siendo improbable determinar la fecha exacta en que se contaría con la decisión en firme por parte de los despachos judiciales, sumado al tiempo que requeriría el proceso de cobro en aquellos casos en que la sentencia ejecutoriada, reconozca valores a favor de la entidad.</w:t>
          </w:r>
          <w:r w:rsidRPr="00931DCE">
            <w:rPr>
              <w:rFonts w:ascii="Times New Roman" w:hAnsi="Times New Roman"/>
              <w:sz w:val="24"/>
              <w:szCs w:val="24"/>
            </w:rPr>
            <w:t xml:space="preserve"> </w:t>
          </w:r>
        </w:p>
        <w:p w14:paraId="4A91E517" w14:textId="77777777" w:rsidR="00F8297C" w:rsidRPr="003E5C22" w:rsidRDefault="00F8297C" w:rsidP="00F8297C">
          <w:pPr>
            <w:spacing w:after="0" w:line="240" w:lineRule="auto"/>
            <w:jc w:val="both"/>
            <w:rPr>
              <w:rFonts w:ascii="Times New Roman" w:hAnsi="Times New Roman"/>
              <w:sz w:val="24"/>
              <w:szCs w:val="24"/>
            </w:rPr>
          </w:pPr>
        </w:p>
        <w:p w14:paraId="5A0E8DFA" w14:textId="77777777" w:rsidR="00F8297C" w:rsidRPr="00931DCE" w:rsidRDefault="00F8297C" w:rsidP="00F8297C">
          <w:pPr>
            <w:shd w:val="clear" w:color="auto" w:fill="FFFFFF"/>
            <w:spacing w:after="0" w:line="240" w:lineRule="auto"/>
            <w:jc w:val="both"/>
            <w:textAlignment w:val="baseline"/>
            <w:rPr>
              <w:rFonts w:ascii="Times New Roman" w:hAnsi="Times New Roman"/>
              <w:sz w:val="24"/>
              <w:szCs w:val="24"/>
              <w:u w:val="single"/>
            </w:rPr>
          </w:pPr>
          <w:r w:rsidRPr="003E5C22">
            <w:rPr>
              <w:rFonts w:ascii="Times New Roman" w:hAnsi="Times New Roman"/>
              <w:sz w:val="24"/>
              <w:szCs w:val="24"/>
              <w:u w:val="single"/>
            </w:rPr>
            <w:t>PROCESOS OTROS LITIGIOS Y MECANISMOS ALTERNATIVOS DE SOLUCIÓN DE CONFLICTOS</w:t>
          </w:r>
        </w:p>
        <w:p w14:paraId="7B699BDD" w14:textId="77777777" w:rsidR="00F8297C" w:rsidRPr="00931DCE" w:rsidRDefault="00F8297C" w:rsidP="00F8297C">
          <w:pPr>
            <w:shd w:val="clear" w:color="auto" w:fill="FFFFFF"/>
            <w:spacing w:after="0" w:line="240" w:lineRule="auto"/>
            <w:jc w:val="both"/>
            <w:textAlignment w:val="baseline"/>
            <w:rPr>
              <w:rFonts w:ascii="Times New Roman" w:hAnsi="Times New Roman"/>
              <w:sz w:val="24"/>
              <w:szCs w:val="24"/>
            </w:rPr>
          </w:pPr>
        </w:p>
        <w:p w14:paraId="140673DA" w14:textId="77777777" w:rsidR="00F8297C" w:rsidRPr="00931DCE" w:rsidRDefault="00F8297C" w:rsidP="00F8297C">
          <w:pPr>
            <w:shd w:val="clear" w:color="auto" w:fill="FFFFFF"/>
            <w:spacing w:after="0" w:line="240" w:lineRule="auto"/>
            <w:jc w:val="both"/>
            <w:textAlignment w:val="baseline"/>
            <w:rPr>
              <w:rFonts w:ascii="Times New Roman" w:hAnsi="Times New Roman"/>
              <w:sz w:val="24"/>
              <w:szCs w:val="24"/>
            </w:rPr>
          </w:pPr>
          <w:r w:rsidRPr="00A71087">
            <w:rPr>
              <w:rFonts w:ascii="Times New Roman" w:hAnsi="Times New Roman"/>
              <w:sz w:val="24"/>
              <w:szCs w:val="24"/>
            </w:rPr>
            <w:t>NATURALEZA DEL ACTIVO CONTINGENTE</w:t>
          </w:r>
          <w:r w:rsidR="00AA1A96" w:rsidRPr="00931DCE">
            <w:rPr>
              <w:rFonts w:ascii="Times New Roman" w:hAnsi="Times New Roman"/>
              <w:sz w:val="24"/>
              <w:szCs w:val="24"/>
            </w:rPr>
            <w:t xml:space="preserve">: </w:t>
          </w:r>
          <w:r w:rsidRPr="00931DCE">
            <w:rPr>
              <w:rFonts w:ascii="Times New Roman" w:hAnsi="Times New Roman"/>
              <w:sz w:val="24"/>
              <w:szCs w:val="24"/>
            </w:rPr>
            <w:t xml:space="preserve">Con relación a los procesos arbitrales, </w:t>
          </w:r>
          <w:r w:rsidR="00CD370C">
            <w:rPr>
              <w:rFonts w:ascii="Times New Roman" w:hAnsi="Times New Roman"/>
              <w:sz w:val="24"/>
              <w:szCs w:val="24"/>
            </w:rPr>
            <w:t>e</w:t>
          </w:r>
          <w:r w:rsidR="00CD370C" w:rsidRPr="00931DCE">
            <w:rPr>
              <w:rFonts w:ascii="Times New Roman" w:hAnsi="Times New Roman"/>
              <w:sz w:val="24"/>
              <w:szCs w:val="24"/>
            </w:rPr>
            <w:t>l</w:t>
          </w:r>
          <w:r w:rsidRPr="00931DCE">
            <w:rPr>
              <w:rFonts w:ascii="Times New Roman" w:hAnsi="Times New Roman"/>
              <w:sz w:val="24"/>
              <w:szCs w:val="24"/>
            </w:rPr>
            <w:t xml:space="preserve"> Grupo Interno de Trabajo de Defensa Judicial de la Vicepresidencia Jurídica, mediante el formato GEJU-F-010 - </w:t>
          </w:r>
          <w:r w:rsidRPr="00931DCE">
            <w:rPr>
              <w:rFonts w:ascii="Times New Roman" w:hAnsi="Times New Roman"/>
              <w:i/>
              <w:iCs/>
              <w:sz w:val="24"/>
              <w:szCs w:val="24"/>
            </w:rPr>
            <w:t>"Reporte de Tribunales de Arbitramento"</w:t>
          </w:r>
          <w:r w:rsidRPr="00931DCE">
            <w:rPr>
              <w:rFonts w:ascii="Times New Roman" w:hAnsi="Times New Roman"/>
              <w:sz w:val="24"/>
              <w:szCs w:val="24"/>
            </w:rPr>
            <w:t xml:space="preserve"> a 31 de diciembre de </w:t>
          </w:r>
          <w:r w:rsidR="00CD370C" w:rsidRPr="00931DCE">
            <w:rPr>
              <w:rFonts w:ascii="Times New Roman" w:hAnsi="Times New Roman"/>
              <w:sz w:val="24"/>
              <w:szCs w:val="24"/>
            </w:rPr>
            <w:t>202</w:t>
          </w:r>
          <w:r w:rsidR="00CD370C">
            <w:rPr>
              <w:rFonts w:ascii="Times New Roman" w:hAnsi="Times New Roman"/>
              <w:sz w:val="24"/>
              <w:szCs w:val="24"/>
            </w:rPr>
            <w:t>3</w:t>
          </w:r>
          <w:r w:rsidR="00CD370C" w:rsidRPr="00931DCE">
            <w:rPr>
              <w:rFonts w:ascii="Times New Roman" w:hAnsi="Times New Roman"/>
              <w:sz w:val="24"/>
              <w:szCs w:val="24"/>
            </w:rPr>
            <w:t>, reportó lo siguiente:</w:t>
          </w:r>
          <w:r w:rsidRPr="00931DCE">
            <w:rPr>
              <w:rFonts w:ascii="Times New Roman" w:hAnsi="Times New Roman"/>
              <w:sz w:val="24"/>
              <w:szCs w:val="24"/>
            </w:rPr>
            <w:t xml:space="preserve"> </w:t>
          </w:r>
        </w:p>
        <w:p w14:paraId="56973900" w14:textId="77777777" w:rsidR="00F8297C" w:rsidRPr="00931DCE" w:rsidRDefault="00F8297C" w:rsidP="00F8297C">
          <w:pPr>
            <w:shd w:val="clear" w:color="auto" w:fill="FFFFFF"/>
            <w:spacing w:after="0" w:line="240" w:lineRule="auto"/>
            <w:jc w:val="both"/>
            <w:textAlignment w:val="baseline"/>
            <w:rPr>
              <w:rFonts w:ascii="Times New Roman" w:hAnsi="Times New Roman"/>
              <w:sz w:val="24"/>
              <w:szCs w:val="24"/>
            </w:rPr>
          </w:pPr>
        </w:p>
        <w:p w14:paraId="0272A7CB" w14:textId="77777777" w:rsidR="00F8297C" w:rsidRPr="003E5C22" w:rsidRDefault="00F8297C" w:rsidP="00F8297C">
          <w:pPr>
            <w:shd w:val="clear" w:color="auto" w:fill="FFFFFF"/>
            <w:spacing w:after="0" w:line="240" w:lineRule="auto"/>
            <w:jc w:val="both"/>
            <w:textAlignment w:val="baseline"/>
            <w:rPr>
              <w:rFonts w:ascii="Times New Roman" w:hAnsi="Times New Roman"/>
              <w:sz w:val="24"/>
              <w:szCs w:val="24"/>
            </w:rPr>
          </w:pPr>
          <w:r w:rsidRPr="003E5C22">
            <w:rPr>
              <w:rFonts w:ascii="Times New Roman" w:hAnsi="Times New Roman"/>
              <w:sz w:val="24"/>
              <w:szCs w:val="24"/>
            </w:rPr>
            <w:t xml:space="preserve">En materia de procesos arbitrales, los procesos a favor pueden iniciar por convocatoria directa que realice la entidad, o a través de la figura de la demanda de reconvención, en el marco de procesos en los que inicialmente fue vinculada como convocada (demandada). </w:t>
          </w:r>
        </w:p>
        <w:p w14:paraId="039BD4B7" w14:textId="77777777" w:rsidR="00F8297C" w:rsidRPr="003E5C22" w:rsidRDefault="00F8297C" w:rsidP="00F8297C">
          <w:pPr>
            <w:shd w:val="clear" w:color="auto" w:fill="FFFFFF"/>
            <w:spacing w:after="0" w:line="240" w:lineRule="auto"/>
            <w:jc w:val="both"/>
            <w:textAlignment w:val="baseline"/>
            <w:rPr>
              <w:rFonts w:ascii="Times New Roman" w:hAnsi="Times New Roman"/>
              <w:sz w:val="24"/>
              <w:szCs w:val="24"/>
            </w:rPr>
          </w:pPr>
        </w:p>
        <w:p w14:paraId="0C3C2C47" w14:textId="77777777" w:rsidR="00F8297C" w:rsidRPr="003E5C22" w:rsidRDefault="00F8297C" w:rsidP="00F8297C">
          <w:pPr>
            <w:shd w:val="clear" w:color="auto" w:fill="FFFFFF"/>
            <w:spacing w:after="0" w:line="240" w:lineRule="auto"/>
            <w:jc w:val="both"/>
            <w:textAlignment w:val="baseline"/>
            <w:rPr>
              <w:rFonts w:ascii="Times New Roman" w:hAnsi="Times New Roman"/>
              <w:sz w:val="24"/>
              <w:szCs w:val="24"/>
            </w:rPr>
          </w:pPr>
          <w:r w:rsidRPr="003E5C22">
            <w:rPr>
              <w:rFonts w:ascii="Times New Roman" w:hAnsi="Times New Roman"/>
              <w:sz w:val="24"/>
              <w:szCs w:val="24"/>
            </w:rPr>
            <w:t xml:space="preserve">Hecha esta aclaración, se tienen </w:t>
          </w:r>
          <w:r w:rsidR="00CD370C" w:rsidRPr="003E5C22">
            <w:rPr>
              <w:rFonts w:ascii="Times New Roman" w:hAnsi="Times New Roman"/>
              <w:sz w:val="24"/>
              <w:szCs w:val="24"/>
            </w:rPr>
            <w:t>cuatro (4</w:t>
          </w:r>
          <w:r w:rsidRPr="003E5C22">
            <w:rPr>
              <w:rFonts w:ascii="Times New Roman" w:hAnsi="Times New Roman"/>
              <w:sz w:val="24"/>
              <w:szCs w:val="24"/>
            </w:rPr>
            <w:t>) tramites arbitrales, iniciados a través de la presentación de demanda de reconvención, con ocasión de incumplimientos de los concesionarios, cuyas pretensiones suman el valor de $</w:t>
          </w:r>
          <w:r w:rsidR="00CD370C" w:rsidRPr="003E5C22">
            <w:rPr>
              <w:rFonts w:ascii="Times New Roman" w:hAnsi="Times New Roman"/>
              <w:sz w:val="24"/>
              <w:szCs w:val="24"/>
            </w:rPr>
            <w:t>169.862.014.202.</w:t>
          </w:r>
          <w:r w:rsidRPr="003E5C22">
            <w:rPr>
              <w:rFonts w:ascii="Times New Roman" w:hAnsi="Times New Roman"/>
              <w:sz w:val="24"/>
              <w:szCs w:val="24"/>
            </w:rPr>
            <w:t xml:space="preserve"> </w:t>
          </w:r>
        </w:p>
        <w:p w14:paraId="7B7B6850" w14:textId="77777777" w:rsidR="00F8297C" w:rsidRPr="003E5C22" w:rsidRDefault="00F8297C" w:rsidP="00F8297C">
          <w:pPr>
            <w:pStyle w:val="Prrafodelista"/>
            <w:shd w:val="clear" w:color="auto" w:fill="FFFFFF"/>
            <w:spacing w:after="0" w:line="240" w:lineRule="auto"/>
            <w:ind w:left="284"/>
            <w:jc w:val="both"/>
            <w:textAlignment w:val="baseline"/>
            <w:rPr>
              <w:rFonts w:ascii="Times New Roman" w:hAnsi="Times New Roman"/>
              <w:sz w:val="24"/>
              <w:szCs w:val="24"/>
            </w:rPr>
          </w:pPr>
        </w:p>
        <w:p w14:paraId="485DAF6A" w14:textId="77777777" w:rsidR="00F8297C" w:rsidRPr="003E5C22" w:rsidRDefault="00F8297C" w:rsidP="00F8297C">
          <w:pPr>
            <w:spacing w:after="0" w:line="240" w:lineRule="auto"/>
            <w:jc w:val="both"/>
            <w:rPr>
              <w:rFonts w:ascii="Times New Roman" w:hAnsi="Times New Roman"/>
              <w:sz w:val="24"/>
              <w:szCs w:val="24"/>
            </w:rPr>
          </w:pPr>
          <w:r w:rsidRPr="003E5C22">
            <w:rPr>
              <w:rFonts w:ascii="Times New Roman" w:hAnsi="Times New Roman"/>
              <w:sz w:val="24"/>
              <w:szCs w:val="24"/>
            </w:rPr>
            <w:t>INCERTIDUMBRES ASOCIADAS AL VALOR</w:t>
          </w:r>
          <w:r w:rsidR="00AA1A96" w:rsidRPr="003E5C22">
            <w:rPr>
              <w:rFonts w:ascii="Times New Roman" w:hAnsi="Times New Roman"/>
              <w:sz w:val="24"/>
              <w:szCs w:val="24"/>
            </w:rPr>
            <w:t xml:space="preserve">: </w:t>
          </w:r>
          <w:r w:rsidRPr="003E5C22">
            <w:rPr>
              <w:rFonts w:ascii="Times New Roman" w:hAnsi="Times New Roman"/>
              <w:sz w:val="24"/>
              <w:szCs w:val="24"/>
            </w:rPr>
            <w:t xml:space="preserve">Frente a los procesos descritos en el acápite anterior, la incertidumbre respecto al valor es alta, por cuanto dependen de un exigente nivel de análisis por parte del Tribunal, en cuanto a niveles de responsabilidad, elementos probatorios, diversidad de pretensiones, entre otros. </w:t>
          </w:r>
        </w:p>
        <w:p w14:paraId="4D1F4D19" w14:textId="77777777" w:rsidR="00F8297C" w:rsidRPr="003E5C22" w:rsidRDefault="00F8297C" w:rsidP="00F8297C">
          <w:pPr>
            <w:spacing w:after="0" w:line="240" w:lineRule="auto"/>
            <w:jc w:val="both"/>
            <w:rPr>
              <w:rFonts w:ascii="Times New Roman" w:hAnsi="Times New Roman"/>
              <w:sz w:val="24"/>
              <w:szCs w:val="24"/>
            </w:rPr>
          </w:pPr>
        </w:p>
        <w:p w14:paraId="44DD9EE2" w14:textId="77777777" w:rsidR="00F8297C" w:rsidRPr="00931DCE" w:rsidRDefault="00F8297C" w:rsidP="00F8297C">
          <w:pPr>
            <w:spacing w:after="0" w:line="240" w:lineRule="auto"/>
            <w:jc w:val="both"/>
            <w:rPr>
              <w:rFonts w:ascii="Times New Roman" w:hAnsi="Times New Roman"/>
              <w:sz w:val="24"/>
              <w:szCs w:val="24"/>
            </w:rPr>
          </w:pPr>
          <w:r w:rsidRPr="003E5C22">
            <w:rPr>
              <w:rFonts w:ascii="Times New Roman" w:hAnsi="Times New Roman"/>
              <w:sz w:val="24"/>
              <w:szCs w:val="24"/>
            </w:rPr>
            <w:lastRenderedPageBreak/>
            <w:t>INCERTIDUMBRES ASOCIADAS CON LA FECHA</w:t>
          </w:r>
          <w:r w:rsidR="00AA1A96" w:rsidRPr="003E5C22">
            <w:rPr>
              <w:rFonts w:ascii="Times New Roman" w:hAnsi="Times New Roman"/>
              <w:sz w:val="24"/>
              <w:szCs w:val="24"/>
            </w:rPr>
            <w:t xml:space="preserve">: </w:t>
          </w:r>
          <w:r w:rsidRPr="003E5C22">
            <w:rPr>
              <w:rFonts w:ascii="Times New Roman" w:hAnsi="Times New Roman"/>
              <w:sz w:val="24"/>
              <w:szCs w:val="24"/>
            </w:rPr>
            <w:t xml:space="preserve">Teniendo en cuenta el límite que la ley impone a la duración de los tramites arbitrales, la incertidumbre asociada con la fecha es media, pues una vez que el Tribunal asume competencia, esto es en la audiencia primera de trámite (una vez agotada las etapas de contestación de la demanda principal y reformada- si a ello hubiera lugar-; contestación de la demanda de reconvención principal y reformada- si a ello hubiera lugar-; y la audiencia de conciliación), el </w:t>
          </w:r>
          <w:r w:rsidR="00AA1A96" w:rsidRPr="003E5C22">
            <w:rPr>
              <w:rFonts w:ascii="Times New Roman" w:hAnsi="Times New Roman"/>
              <w:sz w:val="24"/>
              <w:szCs w:val="24"/>
            </w:rPr>
            <w:t>trámite</w:t>
          </w:r>
          <w:r w:rsidRPr="003E5C22">
            <w:rPr>
              <w:rFonts w:ascii="Times New Roman" w:hAnsi="Times New Roman"/>
              <w:sz w:val="24"/>
              <w:szCs w:val="24"/>
            </w:rPr>
            <w:t xml:space="preserve"> arbitral tendría una duración máxima de 12 meses aproximadamente.</w:t>
          </w:r>
          <w:r w:rsidRPr="00931DCE">
            <w:rPr>
              <w:rFonts w:ascii="Times New Roman" w:hAnsi="Times New Roman"/>
              <w:sz w:val="24"/>
              <w:szCs w:val="24"/>
            </w:rPr>
            <w:t xml:space="preserve"> </w:t>
          </w:r>
        </w:p>
        <w:p w14:paraId="26A2E66E" w14:textId="77777777" w:rsidR="00F8297C" w:rsidRDefault="00F8297C" w:rsidP="00220F62">
          <w:pPr>
            <w:spacing w:after="0" w:line="240" w:lineRule="auto"/>
            <w:jc w:val="both"/>
            <w:rPr>
              <w:rFonts w:ascii="Times New Roman" w:hAnsi="Times New Roman"/>
              <w:sz w:val="24"/>
              <w:szCs w:val="24"/>
            </w:rPr>
          </w:pPr>
        </w:p>
        <w:p w14:paraId="0C6CD4FE" w14:textId="47F20ADF" w:rsidR="00FC2E15" w:rsidRDefault="00490764" w:rsidP="00220F62">
          <w:pPr>
            <w:spacing w:after="0" w:line="240" w:lineRule="auto"/>
            <w:jc w:val="both"/>
            <w:rPr>
              <w:rFonts w:ascii="Times New Roman" w:hAnsi="Times New Roman"/>
              <w:sz w:val="24"/>
              <w:szCs w:val="24"/>
            </w:rPr>
          </w:pPr>
          <w:r>
            <w:rPr>
              <w:rFonts w:ascii="Times New Roman" w:hAnsi="Times New Roman"/>
              <w:sz w:val="24"/>
              <w:szCs w:val="24"/>
            </w:rPr>
            <w:t xml:space="preserve">En la subcuenta </w:t>
          </w:r>
          <w:r w:rsidR="009B3DEE">
            <w:rPr>
              <w:rFonts w:ascii="Times New Roman" w:hAnsi="Times New Roman"/>
              <w:sz w:val="24"/>
              <w:szCs w:val="24"/>
            </w:rPr>
            <w:t xml:space="preserve">Garantías Contractuales, </w:t>
          </w:r>
          <w:r w:rsidR="00C94604">
            <w:rPr>
              <w:rFonts w:ascii="Times New Roman" w:hAnsi="Times New Roman"/>
              <w:sz w:val="24"/>
              <w:szCs w:val="24"/>
            </w:rPr>
            <w:t>el valor registrado corresponde a</w:t>
          </w:r>
          <w:r w:rsidR="00304155">
            <w:rPr>
              <w:rFonts w:ascii="Times New Roman" w:hAnsi="Times New Roman"/>
              <w:sz w:val="24"/>
              <w:szCs w:val="24"/>
            </w:rPr>
            <w:t xml:space="preserve"> los aportes pendi</w:t>
          </w:r>
          <w:r w:rsidR="002B3DE1">
            <w:rPr>
              <w:rFonts w:ascii="Times New Roman" w:hAnsi="Times New Roman"/>
              <w:sz w:val="24"/>
              <w:szCs w:val="24"/>
            </w:rPr>
            <w:t>entes de giros que</w:t>
          </w:r>
          <w:r w:rsidR="00AF65CE">
            <w:rPr>
              <w:rFonts w:ascii="Times New Roman" w:hAnsi="Times New Roman"/>
              <w:sz w:val="24"/>
              <w:szCs w:val="24"/>
            </w:rPr>
            <w:t xml:space="preserve"> </w:t>
          </w:r>
          <w:r w:rsidR="0080460C">
            <w:rPr>
              <w:rFonts w:ascii="Times New Roman" w:hAnsi="Times New Roman"/>
              <w:sz w:val="24"/>
              <w:szCs w:val="24"/>
            </w:rPr>
            <w:t>informó</w:t>
          </w:r>
          <w:r w:rsidR="00125629">
            <w:rPr>
              <w:rFonts w:ascii="Times New Roman" w:hAnsi="Times New Roman"/>
              <w:sz w:val="24"/>
              <w:szCs w:val="24"/>
            </w:rPr>
            <w:t xml:space="preserve"> </w:t>
          </w:r>
          <w:r w:rsidR="00F96B5F">
            <w:rPr>
              <w:rFonts w:ascii="Times New Roman" w:hAnsi="Times New Roman"/>
              <w:sz w:val="24"/>
              <w:szCs w:val="24"/>
            </w:rPr>
            <w:t>Fiduciaria La Fiduprevisora mediante</w:t>
          </w:r>
          <w:r w:rsidR="00023ED4">
            <w:rPr>
              <w:rFonts w:ascii="Times New Roman" w:hAnsi="Times New Roman"/>
              <w:sz w:val="24"/>
              <w:szCs w:val="24"/>
            </w:rPr>
            <w:t xml:space="preserve"> radicado </w:t>
          </w:r>
          <w:r w:rsidR="00023ED4" w:rsidRPr="00023ED4">
            <w:rPr>
              <w:rFonts w:ascii="Times New Roman" w:hAnsi="Times New Roman"/>
            </w:rPr>
            <w:t>20241094000064151 del 10 de enero de 2024</w:t>
          </w:r>
          <w:r w:rsidR="00023ED4">
            <w:rPr>
              <w:rFonts w:ascii="Times New Roman" w:hAnsi="Times New Roman"/>
            </w:rPr>
            <w:t xml:space="preserve"> </w:t>
          </w:r>
          <w:r w:rsidR="00AF65CE">
            <w:rPr>
              <w:rFonts w:ascii="Times New Roman" w:hAnsi="Times New Roman"/>
            </w:rPr>
            <w:t xml:space="preserve">y </w:t>
          </w:r>
          <w:r w:rsidR="00DF0B11">
            <w:rPr>
              <w:rFonts w:ascii="Times New Roman" w:hAnsi="Times New Roman"/>
            </w:rPr>
            <w:t xml:space="preserve">que fue reportado a la Vicepresidencia de Gestión Corporativa mediante </w:t>
          </w:r>
          <w:r w:rsidR="00DF0B11" w:rsidRPr="00422FD3">
            <w:rPr>
              <w:rFonts w:ascii="Times New Roman" w:hAnsi="Times New Roman"/>
              <w:sz w:val="24"/>
              <w:szCs w:val="24"/>
            </w:rPr>
            <w:t>memorando 20246020008533 de 12 de enero de 2024</w:t>
          </w:r>
          <w:r w:rsidR="00422FD3">
            <w:rPr>
              <w:rFonts w:ascii="Times New Roman" w:hAnsi="Times New Roman"/>
              <w:sz w:val="24"/>
              <w:szCs w:val="24"/>
            </w:rPr>
            <w:t>.</w:t>
          </w:r>
        </w:p>
        <w:p w14:paraId="4EE9F23B" w14:textId="77777777" w:rsidR="00FC2E15" w:rsidRPr="00931DCE" w:rsidRDefault="00FC2E15" w:rsidP="00220F62">
          <w:pPr>
            <w:spacing w:after="0" w:line="240" w:lineRule="auto"/>
            <w:jc w:val="both"/>
            <w:rPr>
              <w:rFonts w:ascii="Times New Roman" w:hAnsi="Times New Roman"/>
              <w:sz w:val="24"/>
              <w:szCs w:val="24"/>
            </w:rPr>
          </w:pPr>
        </w:p>
        <w:p w14:paraId="0E676F94" w14:textId="3728CDEC" w:rsidR="00BF0CC0" w:rsidRPr="00931DCE" w:rsidRDefault="00BF0CC0">
          <w:pPr>
            <w:pStyle w:val="Ttulo2"/>
            <w:numPr>
              <w:ilvl w:val="1"/>
              <w:numId w:val="17"/>
            </w:numPr>
            <w:ind w:left="567" w:hanging="567"/>
            <w:rPr>
              <w:rFonts w:cs="Times New Roman"/>
              <w:szCs w:val="24"/>
            </w:rPr>
          </w:pPr>
          <w:bookmarkStart w:id="96" w:name="_Toc159952422"/>
          <w:r w:rsidRPr="00931DCE">
            <w:rPr>
              <w:rFonts w:cs="Times New Roman"/>
              <w:szCs w:val="24"/>
            </w:rPr>
            <w:t>Pasivos contingentes</w:t>
          </w:r>
          <w:bookmarkEnd w:id="96"/>
        </w:p>
        <w:p w14:paraId="30678A7C" w14:textId="5BF753A9" w:rsidR="00BF0CC0" w:rsidRPr="00931DCE" w:rsidRDefault="00BF0CC0" w:rsidP="004A000E">
          <w:pPr>
            <w:spacing w:after="0" w:line="240" w:lineRule="auto"/>
            <w:jc w:val="both"/>
            <w:rPr>
              <w:rFonts w:ascii="Times New Roman" w:hAnsi="Times New Roman"/>
              <w:sz w:val="24"/>
              <w:szCs w:val="24"/>
            </w:rPr>
          </w:pPr>
        </w:p>
        <w:tbl>
          <w:tblPr>
            <w:tblW w:w="5000" w:type="pct"/>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CellMar>
              <w:left w:w="70" w:type="dxa"/>
              <w:right w:w="70" w:type="dxa"/>
            </w:tblCellMar>
            <w:tblLook w:val="04A0" w:firstRow="1" w:lastRow="0" w:firstColumn="1" w:lastColumn="0" w:noHBand="0" w:noVBand="1"/>
          </w:tblPr>
          <w:tblGrid>
            <w:gridCol w:w="1151"/>
            <w:gridCol w:w="601"/>
            <w:gridCol w:w="2567"/>
            <w:gridCol w:w="1580"/>
            <w:gridCol w:w="1490"/>
            <w:gridCol w:w="1580"/>
          </w:tblGrid>
          <w:tr w:rsidR="00AE47BA" w:rsidRPr="00AE47BA" w14:paraId="357D7866" w14:textId="77777777" w:rsidTr="00D800E2">
            <w:trPr>
              <w:trHeight w:val="570"/>
            </w:trPr>
            <w:tc>
              <w:tcPr>
                <w:tcW w:w="551" w:type="pct"/>
                <w:shd w:val="clear" w:color="auto" w:fill="auto"/>
                <w:vAlign w:val="center"/>
                <w:hideMark/>
              </w:tcPr>
              <w:p w14:paraId="36B45D71" w14:textId="77777777" w:rsidR="00AE47BA" w:rsidRPr="009A46BB" w:rsidRDefault="00AE47BA" w:rsidP="00AE47BA">
                <w:pPr>
                  <w:spacing w:after="0" w:line="240" w:lineRule="auto"/>
                  <w:jc w:val="center"/>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CÓDIGO CONTABLE</w:t>
                </w:r>
              </w:p>
            </w:tc>
            <w:tc>
              <w:tcPr>
                <w:tcW w:w="381" w:type="pct"/>
                <w:shd w:val="clear" w:color="auto" w:fill="auto"/>
                <w:vAlign w:val="center"/>
                <w:hideMark/>
              </w:tcPr>
              <w:p w14:paraId="4071866D" w14:textId="77777777" w:rsidR="00AE47BA" w:rsidRPr="009A46BB" w:rsidRDefault="00AE47BA" w:rsidP="00AE47BA">
                <w:pPr>
                  <w:spacing w:after="0" w:line="240" w:lineRule="auto"/>
                  <w:jc w:val="center"/>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NAT</w:t>
                </w:r>
              </w:p>
            </w:tc>
            <w:tc>
              <w:tcPr>
                <w:tcW w:w="1476" w:type="pct"/>
                <w:shd w:val="clear" w:color="auto" w:fill="auto"/>
                <w:vAlign w:val="center"/>
                <w:hideMark/>
              </w:tcPr>
              <w:p w14:paraId="5E3EDD49" w14:textId="77777777" w:rsidR="00AE47BA" w:rsidRPr="009A46BB" w:rsidRDefault="00AE47BA" w:rsidP="00AE47BA">
                <w:pPr>
                  <w:spacing w:after="0" w:line="240" w:lineRule="auto"/>
                  <w:jc w:val="center"/>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CONCEPTO</w:t>
                </w:r>
              </w:p>
            </w:tc>
            <w:tc>
              <w:tcPr>
                <w:tcW w:w="881" w:type="pct"/>
                <w:shd w:val="clear" w:color="auto" w:fill="auto"/>
                <w:vAlign w:val="center"/>
                <w:hideMark/>
              </w:tcPr>
              <w:p w14:paraId="2CBC239F" w14:textId="77777777" w:rsidR="00AE47BA" w:rsidRPr="009A46BB" w:rsidRDefault="00AE47BA" w:rsidP="00AE47BA">
                <w:pPr>
                  <w:spacing w:after="0" w:line="240" w:lineRule="auto"/>
                  <w:jc w:val="center"/>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 xml:space="preserve">2023 </w:t>
                </w:r>
              </w:p>
            </w:tc>
            <w:tc>
              <w:tcPr>
                <w:tcW w:w="831" w:type="pct"/>
                <w:shd w:val="clear" w:color="auto" w:fill="auto"/>
                <w:vAlign w:val="center"/>
                <w:hideMark/>
              </w:tcPr>
              <w:p w14:paraId="48AF4608" w14:textId="77777777" w:rsidR="00AE47BA" w:rsidRPr="009A46BB" w:rsidRDefault="00AE47BA" w:rsidP="00AE47BA">
                <w:pPr>
                  <w:spacing w:after="0" w:line="240" w:lineRule="auto"/>
                  <w:jc w:val="center"/>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 xml:space="preserve">2022 </w:t>
                </w:r>
              </w:p>
            </w:tc>
            <w:tc>
              <w:tcPr>
                <w:tcW w:w="881" w:type="pct"/>
                <w:shd w:val="clear" w:color="auto" w:fill="auto"/>
                <w:vAlign w:val="center"/>
                <w:hideMark/>
              </w:tcPr>
              <w:p w14:paraId="071E6E63" w14:textId="77777777" w:rsidR="00AE47BA" w:rsidRPr="009A46BB" w:rsidRDefault="00AE47BA" w:rsidP="00AE47BA">
                <w:pPr>
                  <w:spacing w:after="0" w:line="240" w:lineRule="auto"/>
                  <w:jc w:val="center"/>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VALOR VARIACIÓN</w:t>
                </w:r>
              </w:p>
            </w:tc>
          </w:tr>
          <w:tr w:rsidR="00AE47BA" w:rsidRPr="00AE47BA" w14:paraId="394E01E8" w14:textId="77777777" w:rsidTr="00D800E2">
            <w:trPr>
              <w:trHeight w:val="285"/>
            </w:trPr>
            <w:tc>
              <w:tcPr>
                <w:tcW w:w="551" w:type="pct"/>
                <w:shd w:val="clear" w:color="auto" w:fill="auto"/>
                <w:noWrap/>
                <w:vAlign w:val="center"/>
                <w:hideMark/>
              </w:tcPr>
              <w:p w14:paraId="2980AFE2" w14:textId="77777777" w:rsidR="00AE47BA" w:rsidRPr="009A46BB" w:rsidRDefault="00AE47BA" w:rsidP="00AE47BA">
                <w:pPr>
                  <w:spacing w:after="0" w:line="240" w:lineRule="auto"/>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9.1</w:t>
                </w:r>
              </w:p>
            </w:tc>
            <w:tc>
              <w:tcPr>
                <w:tcW w:w="381" w:type="pct"/>
                <w:shd w:val="clear" w:color="auto" w:fill="auto"/>
                <w:noWrap/>
                <w:vAlign w:val="center"/>
                <w:hideMark/>
              </w:tcPr>
              <w:p w14:paraId="48E827E0" w14:textId="77777777" w:rsidR="00AE47BA" w:rsidRPr="009A46BB" w:rsidRDefault="00AE47BA" w:rsidP="00AE47BA">
                <w:pPr>
                  <w:spacing w:after="0" w:line="240" w:lineRule="auto"/>
                  <w:jc w:val="center"/>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Cr</w:t>
                </w:r>
              </w:p>
            </w:tc>
            <w:tc>
              <w:tcPr>
                <w:tcW w:w="1476" w:type="pct"/>
                <w:shd w:val="clear" w:color="auto" w:fill="auto"/>
                <w:vAlign w:val="center"/>
                <w:hideMark/>
              </w:tcPr>
              <w:p w14:paraId="0D4E8DC0" w14:textId="77777777" w:rsidR="00AE47BA" w:rsidRPr="009A46BB" w:rsidRDefault="00AE47BA" w:rsidP="00D800E2">
                <w:pPr>
                  <w:spacing w:after="0" w:line="240" w:lineRule="auto"/>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PASIVOS CONTINGENTES</w:t>
                </w:r>
              </w:p>
            </w:tc>
            <w:tc>
              <w:tcPr>
                <w:tcW w:w="881" w:type="pct"/>
                <w:shd w:val="clear" w:color="auto" w:fill="auto"/>
                <w:noWrap/>
                <w:vAlign w:val="center"/>
                <w:hideMark/>
              </w:tcPr>
              <w:p w14:paraId="19A0BC45" w14:textId="262A7D01" w:rsidR="00AE47BA" w:rsidRPr="009A46BB" w:rsidRDefault="00AE47BA" w:rsidP="00AE47BA">
                <w:pPr>
                  <w:spacing w:after="0" w:line="240" w:lineRule="auto"/>
                  <w:jc w:val="right"/>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19.510.832.709.31</w:t>
                </w:r>
                <w:r w:rsidR="00FD5848">
                  <w:rPr>
                    <w:rFonts w:ascii="Times New Roman" w:eastAsia="Times New Roman" w:hAnsi="Times New Roman"/>
                    <w:b/>
                    <w:sz w:val="18"/>
                    <w:szCs w:val="18"/>
                    <w:lang w:eastAsia="es-CO"/>
                  </w:rPr>
                  <w:t>8</w:t>
                </w:r>
              </w:p>
            </w:tc>
            <w:tc>
              <w:tcPr>
                <w:tcW w:w="831" w:type="pct"/>
                <w:shd w:val="clear" w:color="auto" w:fill="auto"/>
                <w:noWrap/>
                <w:vAlign w:val="center"/>
                <w:hideMark/>
              </w:tcPr>
              <w:p w14:paraId="46635B6A" w14:textId="77777777" w:rsidR="00AE47BA" w:rsidRPr="009A46BB" w:rsidRDefault="00AE47BA" w:rsidP="00AE47BA">
                <w:pPr>
                  <w:spacing w:after="0" w:line="240" w:lineRule="auto"/>
                  <w:jc w:val="right"/>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7.402.942.522.527</w:t>
                </w:r>
              </w:p>
            </w:tc>
            <w:tc>
              <w:tcPr>
                <w:tcW w:w="881" w:type="pct"/>
                <w:shd w:val="clear" w:color="auto" w:fill="auto"/>
                <w:noWrap/>
                <w:vAlign w:val="center"/>
                <w:hideMark/>
              </w:tcPr>
              <w:p w14:paraId="6CB6BBC2" w14:textId="77777777" w:rsidR="00AE47BA" w:rsidRPr="009A46BB" w:rsidRDefault="00AE47BA" w:rsidP="00AE47BA">
                <w:pPr>
                  <w:spacing w:after="0" w:line="240" w:lineRule="auto"/>
                  <w:jc w:val="right"/>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12.107.890.186.790</w:t>
                </w:r>
              </w:p>
            </w:tc>
          </w:tr>
          <w:tr w:rsidR="00AE47BA" w:rsidRPr="00AE47BA" w14:paraId="24CF78DC" w14:textId="77777777" w:rsidTr="00D800E2">
            <w:trPr>
              <w:trHeight w:val="600"/>
            </w:trPr>
            <w:tc>
              <w:tcPr>
                <w:tcW w:w="551" w:type="pct"/>
                <w:shd w:val="clear" w:color="auto" w:fill="auto"/>
                <w:noWrap/>
                <w:vAlign w:val="center"/>
                <w:hideMark/>
              </w:tcPr>
              <w:p w14:paraId="00ABE1A6" w14:textId="77777777" w:rsidR="00AE47BA" w:rsidRPr="009A46BB" w:rsidRDefault="00AE47BA" w:rsidP="00AE47BA">
                <w:pPr>
                  <w:spacing w:after="0" w:line="240" w:lineRule="auto"/>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9.1.20</w:t>
                </w:r>
              </w:p>
            </w:tc>
            <w:tc>
              <w:tcPr>
                <w:tcW w:w="381" w:type="pct"/>
                <w:shd w:val="clear" w:color="auto" w:fill="auto"/>
                <w:noWrap/>
                <w:vAlign w:val="center"/>
                <w:hideMark/>
              </w:tcPr>
              <w:p w14:paraId="5CFC51E7" w14:textId="77777777" w:rsidR="00AE47BA" w:rsidRPr="009A46BB" w:rsidRDefault="00AE47BA" w:rsidP="00AE47BA">
                <w:pPr>
                  <w:spacing w:after="0" w:line="240" w:lineRule="auto"/>
                  <w:jc w:val="center"/>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Cr</w:t>
                </w:r>
              </w:p>
            </w:tc>
            <w:tc>
              <w:tcPr>
                <w:tcW w:w="1476" w:type="pct"/>
                <w:shd w:val="clear" w:color="auto" w:fill="auto"/>
                <w:vAlign w:val="center"/>
                <w:hideMark/>
              </w:tcPr>
              <w:p w14:paraId="56DEF863" w14:textId="77777777" w:rsidR="00AE47BA" w:rsidRPr="009A46BB" w:rsidRDefault="00AE47BA" w:rsidP="00AE47BA">
                <w:pPr>
                  <w:spacing w:after="0" w:line="240" w:lineRule="auto"/>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Litigios y mecanismos alternativos de solución de conflictos</w:t>
                </w:r>
              </w:p>
            </w:tc>
            <w:tc>
              <w:tcPr>
                <w:tcW w:w="881" w:type="pct"/>
                <w:shd w:val="clear" w:color="auto" w:fill="auto"/>
                <w:noWrap/>
                <w:vAlign w:val="center"/>
                <w:hideMark/>
              </w:tcPr>
              <w:p w14:paraId="42EBE1BB" w14:textId="77777777" w:rsidR="00AE47BA" w:rsidRPr="009A46BB" w:rsidRDefault="00AE47BA" w:rsidP="00AE47BA">
                <w:pPr>
                  <w:spacing w:after="0" w:line="240" w:lineRule="auto"/>
                  <w:jc w:val="right"/>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15.656.409.516.595</w:t>
                </w:r>
              </w:p>
            </w:tc>
            <w:tc>
              <w:tcPr>
                <w:tcW w:w="831" w:type="pct"/>
                <w:shd w:val="clear" w:color="auto" w:fill="auto"/>
                <w:noWrap/>
                <w:vAlign w:val="center"/>
                <w:hideMark/>
              </w:tcPr>
              <w:p w14:paraId="6E3F8EC2" w14:textId="77777777" w:rsidR="00AE47BA" w:rsidRPr="009A46BB" w:rsidRDefault="00AE47BA" w:rsidP="00AE47BA">
                <w:pPr>
                  <w:spacing w:after="0" w:line="240" w:lineRule="auto"/>
                  <w:jc w:val="right"/>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5.139.302.557.899</w:t>
                </w:r>
              </w:p>
            </w:tc>
            <w:tc>
              <w:tcPr>
                <w:tcW w:w="881" w:type="pct"/>
                <w:shd w:val="clear" w:color="auto" w:fill="auto"/>
                <w:noWrap/>
                <w:vAlign w:val="center"/>
                <w:hideMark/>
              </w:tcPr>
              <w:p w14:paraId="1754A1CA" w14:textId="77777777" w:rsidR="00AE47BA" w:rsidRPr="009A46BB" w:rsidRDefault="00AE47BA" w:rsidP="00AE47BA">
                <w:pPr>
                  <w:spacing w:after="0" w:line="240" w:lineRule="auto"/>
                  <w:jc w:val="right"/>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10.517.106.958.696</w:t>
                </w:r>
              </w:p>
            </w:tc>
          </w:tr>
          <w:tr w:rsidR="00AE47BA" w:rsidRPr="00AE47BA" w14:paraId="48CC811E" w14:textId="77777777" w:rsidTr="00D800E2">
            <w:trPr>
              <w:trHeight w:val="300"/>
            </w:trPr>
            <w:tc>
              <w:tcPr>
                <w:tcW w:w="551" w:type="pct"/>
                <w:shd w:val="clear" w:color="auto" w:fill="auto"/>
                <w:noWrap/>
                <w:vAlign w:val="center"/>
                <w:hideMark/>
              </w:tcPr>
              <w:p w14:paraId="465C456C" w14:textId="77777777" w:rsidR="00AE47BA" w:rsidRPr="009A46BB" w:rsidRDefault="00AE47BA" w:rsidP="00AE47BA">
                <w:pPr>
                  <w:spacing w:after="0" w:line="240" w:lineRule="auto"/>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9.1.28</w:t>
                </w:r>
              </w:p>
            </w:tc>
            <w:tc>
              <w:tcPr>
                <w:tcW w:w="381" w:type="pct"/>
                <w:shd w:val="clear" w:color="auto" w:fill="auto"/>
                <w:noWrap/>
                <w:vAlign w:val="center"/>
                <w:hideMark/>
              </w:tcPr>
              <w:p w14:paraId="5CE00E3C" w14:textId="77777777" w:rsidR="00AE47BA" w:rsidRPr="009A46BB" w:rsidRDefault="00AE47BA" w:rsidP="00AE47BA">
                <w:pPr>
                  <w:spacing w:after="0" w:line="240" w:lineRule="auto"/>
                  <w:jc w:val="center"/>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Cr</w:t>
                </w:r>
              </w:p>
            </w:tc>
            <w:tc>
              <w:tcPr>
                <w:tcW w:w="1476" w:type="pct"/>
                <w:shd w:val="clear" w:color="auto" w:fill="auto"/>
                <w:vAlign w:val="center"/>
                <w:hideMark/>
              </w:tcPr>
              <w:p w14:paraId="1A8EF103" w14:textId="77777777" w:rsidR="00AE47BA" w:rsidRPr="009A46BB" w:rsidRDefault="00AE47BA" w:rsidP="00AE47BA">
                <w:pPr>
                  <w:spacing w:after="0" w:line="240" w:lineRule="auto"/>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Garantías contractuales</w:t>
                </w:r>
              </w:p>
            </w:tc>
            <w:tc>
              <w:tcPr>
                <w:tcW w:w="881" w:type="pct"/>
                <w:shd w:val="clear" w:color="auto" w:fill="auto"/>
                <w:noWrap/>
                <w:vAlign w:val="center"/>
                <w:hideMark/>
              </w:tcPr>
              <w:p w14:paraId="78C0B210" w14:textId="70203EDC" w:rsidR="00AE47BA" w:rsidRPr="009A46BB" w:rsidRDefault="00AE47BA" w:rsidP="00AE47BA">
                <w:pPr>
                  <w:spacing w:after="0" w:line="240" w:lineRule="auto"/>
                  <w:jc w:val="right"/>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3.854.423.192.72</w:t>
                </w:r>
                <w:r w:rsidR="00FD5848">
                  <w:rPr>
                    <w:rFonts w:ascii="Times New Roman" w:eastAsia="Times New Roman" w:hAnsi="Times New Roman"/>
                    <w:sz w:val="18"/>
                    <w:szCs w:val="18"/>
                    <w:lang w:eastAsia="es-CO"/>
                  </w:rPr>
                  <w:t>3</w:t>
                </w:r>
              </w:p>
            </w:tc>
            <w:tc>
              <w:tcPr>
                <w:tcW w:w="831" w:type="pct"/>
                <w:shd w:val="clear" w:color="auto" w:fill="auto"/>
                <w:noWrap/>
                <w:vAlign w:val="center"/>
                <w:hideMark/>
              </w:tcPr>
              <w:p w14:paraId="137C15F0" w14:textId="77777777" w:rsidR="00AE47BA" w:rsidRPr="009A46BB" w:rsidRDefault="00AE47BA" w:rsidP="00AE47BA">
                <w:pPr>
                  <w:spacing w:after="0" w:line="240" w:lineRule="auto"/>
                  <w:jc w:val="right"/>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2.263.639.964.628</w:t>
                </w:r>
              </w:p>
            </w:tc>
            <w:tc>
              <w:tcPr>
                <w:tcW w:w="881" w:type="pct"/>
                <w:shd w:val="clear" w:color="auto" w:fill="auto"/>
                <w:noWrap/>
                <w:vAlign w:val="center"/>
                <w:hideMark/>
              </w:tcPr>
              <w:p w14:paraId="1A625110" w14:textId="77777777" w:rsidR="00AE47BA" w:rsidRPr="009A46BB" w:rsidRDefault="00AE47BA" w:rsidP="00AE47BA">
                <w:pPr>
                  <w:spacing w:after="0" w:line="240" w:lineRule="auto"/>
                  <w:jc w:val="right"/>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1.590.783.228.094</w:t>
                </w:r>
              </w:p>
            </w:tc>
          </w:tr>
        </w:tbl>
        <w:p w14:paraId="6677CAE5" w14:textId="728B34F9" w:rsidR="00737111" w:rsidRPr="00931DCE" w:rsidRDefault="00AD2026" w:rsidP="00737111">
          <w:pPr>
            <w:spacing w:after="0" w:line="240" w:lineRule="auto"/>
            <w:jc w:val="both"/>
            <w:rPr>
              <w:rFonts w:ascii="Times New Roman" w:hAnsi="Times New Roman"/>
              <w:sz w:val="14"/>
              <w:szCs w:val="14"/>
            </w:rPr>
          </w:pPr>
          <w:r w:rsidRPr="00931DCE">
            <w:rPr>
              <w:rFonts w:ascii="Times New Roman" w:hAnsi="Times New Roman"/>
              <w:sz w:val="14"/>
              <w:szCs w:val="14"/>
            </w:rPr>
            <w:t>Cifras expresadas en pesos</w:t>
          </w:r>
          <w:r w:rsidR="00737111" w:rsidRPr="00931DCE">
            <w:rPr>
              <w:rFonts w:ascii="Times New Roman" w:hAnsi="Times New Roman"/>
              <w:sz w:val="14"/>
              <w:szCs w:val="14"/>
            </w:rPr>
            <w:t xml:space="preserve"> </w:t>
          </w:r>
        </w:p>
        <w:p w14:paraId="1CAF8E02" w14:textId="77777777" w:rsidR="00737111" w:rsidRPr="00931DCE" w:rsidRDefault="00737111" w:rsidP="00737111">
          <w:pPr>
            <w:spacing w:after="0" w:line="240" w:lineRule="auto"/>
            <w:jc w:val="both"/>
            <w:rPr>
              <w:rFonts w:ascii="Times New Roman" w:hAnsi="Times New Roman"/>
              <w:sz w:val="24"/>
              <w:szCs w:val="24"/>
              <w:u w:val="single"/>
            </w:rPr>
          </w:pPr>
        </w:p>
        <w:p w14:paraId="15E79BE6" w14:textId="77777777" w:rsidR="00737111" w:rsidRPr="00931DCE" w:rsidRDefault="00737111" w:rsidP="00737111">
          <w:pPr>
            <w:spacing w:after="0" w:line="240" w:lineRule="auto"/>
            <w:jc w:val="both"/>
            <w:rPr>
              <w:rFonts w:ascii="Times New Roman" w:hAnsi="Times New Roman"/>
              <w:sz w:val="24"/>
              <w:szCs w:val="24"/>
            </w:rPr>
          </w:pPr>
          <w:r w:rsidRPr="00931DCE">
            <w:rPr>
              <w:rFonts w:ascii="Times New Roman" w:hAnsi="Times New Roman"/>
              <w:sz w:val="24"/>
              <w:szCs w:val="24"/>
            </w:rPr>
            <w:t>De conformidad con la política contable adoptada por la entidad, un pasivo contingente corresponde a una obligación posible surgida a raíz de sucesos pasados, cuya existencia quedará confirmada solo si llegan a ocurrir o si no llegan a ocurrir uno o más sucesos futuros inciertos que no estén enteramente bajo el control de la entidad. Un pasivo contingente también corresponde a toda obligación presente, surgida a raíz de sucesos pasados, pero no reconocida en los Estados Financieros, bien sea porque no es probable que, para satisfacerla, se requiera que la entidad tenga que desprenderse de recursos que incorporen beneficios económicos o potencial de servicio, o bien sea porque no puede estimarse el valor de la obligación con la suficiente fiabilidad.</w:t>
          </w:r>
        </w:p>
        <w:p w14:paraId="715490BB" w14:textId="77777777" w:rsidR="00737111" w:rsidRPr="00931DCE" w:rsidRDefault="00737111" w:rsidP="00737111">
          <w:pPr>
            <w:spacing w:after="0" w:line="240" w:lineRule="auto"/>
            <w:jc w:val="both"/>
            <w:rPr>
              <w:rFonts w:ascii="Times New Roman" w:hAnsi="Times New Roman"/>
              <w:sz w:val="24"/>
              <w:szCs w:val="24"/>
            </w:rPr>
          </w:pPr>
        </w:p>
        <w:p w14:paraId="54414F64" w14:textId="77777777" w:rsidR="00737111" w:rsidRPr="00931DCE" w:rsidRDefault="00737111" w:rsidP="00737111">
          <w:pPr>
            <w:spacing w:after="0" w:line="240" w:lineRule="auto"/>
            <w:jc w:val="both"/>
            <w:rPr>
              <w:rFonts w:ascii="Times New Roman" w:hAnsi="Times New Roman"/>
              <w:sz w:val="24"/>
              <w:szCs w:val="24"/>
            </w:rPr>
          </w:pPr>
          <w:r w:rsidRPr="00931DCE">
            <w:rPr>
              <w:rFonts w:ascii="Times New Roman" w:hAnsi="Times New Roman"/>
              <w:sz w:val="24"/>
              <w:szCs w:val="24"/>
            </w:rPr>
            <w:t>Los pasivos contingentes se evaluarán de forma continuada, con el fin de asegurar que su evolución se refleje apropiadamente en los estados financieros. En caso de que la salida de recursos sea probable y que se obtenga una medición fiable de la obligación, se procederá al reconocimiento del pasivo en los Estados Financieros del periodo en el que dicho cambio tenga lugar.</w:t>
          </w:r>
        </w:p>
        <w:p w14:paraId="688F9A19" w14:textId="77777777" w:rsidR="00737111" w:rsidRPr="00931DCE" w:rsidRDefault="00737111" w:rsidP="00737111">
          <w:pPr>
            <w:spacing w:after="0" w:line="240" w:lineRule="auto"/>
            <w:jc w:val="both"/>
            <w:rPr>
              <w:rFonts w:ascii="Times New Roman" w:hAnsi="Times New Roman"/>
              <w:sz w:val="24"/>
              <w:szCs w:val="24"/>
            </w:rPr>
          </w:pPr>
        </w:p>
        <w:p w14:paraId="6817AB10" w14:textId="77777777" w:rsidR="00737111" w:rsidRPr="00931DCE" w:rsidRDefault="00737111" w:rsidP="00737111">
          <w:pPr>
            <w:spacing w:after="0" w:line="240" w:lineRule="auto"/>
            <w:jc w:val="both"/>
            <w:rPr>
              <w:rFonts w:ascii="Times New Roman" w:hAnsi="Times New Roman"/>
              <w:sz w:val="24"/>
              <w:szCs w:val="24"/>
            </w:rPr>
          </w:pPr>
          <w:r w:rsidRPr="00931DCE">
            <w:rPr>
              <w:rFonts w:ascii="Times New Roman" w:hAnsi="Times New Roman"/>
              <w:sz w:val="24"/>
              <w:szCs w:val="24"/>
            </w:rPr>
            <w:t xml:space="preserve">Una vez sean admitidas las contingencias judiciales iniciadas, son objeto de reconocimiento en cuentas de orden acreedoras si tienen una medición fiable. Cuando esta no exista o la misma sea igual a cero ($0), no son objeto de reconocimiento.  </w:t>
          </w:r>
        </w:p>
        <w:p w14:paraId="6F0A79EC" w14:textId="77777777" w:rsidR="00737111" w:rsidRPr="00931DCE" w:rsidRDefault="00737111" w:rsidP="00737111">
          <w:pPr>
            <w:spacing w:after="0" w:line="240" w:lineRule="auto"/>
            <w:jc w:val="both"/>
            <w:rPr>
              <w:rFonts w:ascii="Times New Roman" w:hAnsi="Times New Roman"/>
              <w:sz w:val="24"/>
              <w:szCs w:val="24"/>
            </w:rPr>
          </w:pPr>
        </w:p>
        <w:p w14:paraId="7FF44F43" w14:textId="675DCC3E" w:rsidR="00737111" w:rsidRPr="00931DCE" w:rsidRDefault="00737111" w:rsidP="00737111">
          <w:pPr>
            <w:spacing w:after="0" w:line="240" w:lineRule="auto"/>
            <w:jc w:val="both"/>
            <w:rPr>
              <w:rFonts w:ascii="Times New Roman" w:hAnsi="Times New Roman"/>
              <w:sz w:val="24"/>
              <w:szCs w:val="24"/>
            </w:rPr>
          </w:pPr>
          <w:r w:rsidRPr="00931DCE">
            <w:rPr>
              <w:rFonts w:ascii="Times New Roman" w:hAnsi="Times New Roman"/>
              <w:sz w:val="24"/>
              <w:szCs w:val="24"/>
            </w:rPr>
            <w:t>El Grupo Interno de Trabajo de Defensa Judicial, reporta</w:t>
          </w:r>
          <w:r w:rsidR="00177F27" w:rsidRPr="00931DCE">
            <w:rPr>
              <w:rFonts w:ascii="Times New Roman" w:hAnsi="Times New Roman"/>
              <w:sz w:val="24"/>
              <w:szCs w:val="24"/>
            </w:rPr>
            <w:t xml:space="preserve"> </w:t>
          </w:r>
          <w:r w:rsidRPr="00931DCE">
            <w:rPr>
              <w:rFonts w:ascii="Times New Roman" w:hAnsi="Times New Roman"/>
              <w:sz w:val="24"/>
              <w:szCs w:val="24"/>
            </w:rPr>
            <w:t xml:space="preserve">los litigios y demandas en contra de la Agencia e informará según la periodicidad establecida, al Grupo Interno de Trabajo </w:t>
          </w:r>
          <w:r w:rsidRPr="00931DCE">
            <w:rPr>
              <w:rFonts w:ascii="Times New Roman" w:hAnsi="Times New Roman"/>
              <w:sz w:val="24"/>
              <w:szCs w:val="24"/>
            </w:rPr>
            <w:lastRenderedPageBreak/>
            <w:t>Administrativo y Financiero, con el fin de actualizar la información financiera correspondiente.</w:t>
          </w:r>
        </w:p>
        <w:p w14:paraId="7901E52A" w14:textId="77777777" w:rsidR="005D650C" w:rsidRPr="00931DCE" w:rsidRDefault="005D650C" w:rsidP="00EC2BB0">
          <w:pPr>
            <w:spacing w:after="0" w:line="240" w:lineRule="auto"/>
            <w:jc w:val="both"/>
            <w:rPr>
              <w:rFonts w:ascii="Times New Roman" w:hAnsi="Times New Roman"/>
              <w:sz w:val="24"/>
              <w:szCs w:val="24"/>
            </w:rPr>
          </w:pPr>
        </w:p>
        <w:p w14:paraId="05A4F7AE" w14:textId="77777777" w:rsidR="00EC2BB0" w:rsidRPr="00931DCE" w:rsidRDefault="00EC2BB0" w:rsidP="00E60BAB">
          <w:pPr>
            <w:pStyle w:val="Ttulo3"/>
            <w:numPr>
              <w:ilvl w:val="2"/>
              <w:numId w:val="32"/>
            </w:numPr>
            <w:rPr>
              <w:rFonts w:cs="Times New Roman"/>
              <w:color w:val="1F3864" w:themeColor="accent1" w:themeShade="80"/>
            </w:rPr>
          </w:pPr>
          <w:bookmarkStart w:id="97" w:name="_Toc54016816"/>
          <w:bookmarkStart w:id="98" w:name="_Toc159952423"/>
          <w:r w:rsidRPr="00931DCE">
            <w:rPr>
              <w:rFonts w:cs="Times New Roman"/>
              <w:color w:val="1F3864" w:themeColor="accent1" w:themeShade="80"/>
            </w:rPr>
            <w:t>Revelaciones generales de pasivos contingentes</w:t>
          </w:r>
          <w:bookmarkEnd w:id="97"/>
          <w:bookmarkEnd w:id="98"/>
        </w:p>
        <w:p w14:paraId="24BE78EC" w14:textId="19010982" w:rsidR="00EC2BB0" w:rsidRPr="00931DCE" w:rsidRDefault="00EC2BB0" w:rsidP="00EC2BB0">
          <w:pPr>
            <w:spacing w:after="0" w:line="240" w:lineRule="auto"/>
            <w:jc w:val="both"/>
            <w:rPr>
              <w:rFonts w:ascii="Times New Roman" w:hAnsi="Times New Roman"/>
              <w:sz w:val="24"/>
              <w:szCs w:val="24"/>
            </w:rPr>
          </w:pPr>
        </w:p>
        <w:p w14:paraId="292E7680" w14:textId="77777777" w:rsidR="007A0DD9" w:rsidRPr="00931DCE" w:rsidRDefault="007A0DD9" w:rsidP="007A0DD9">
          <w:pPr>
            <w:spacing w:after="0" w:line="240" w:lineRule="auto"/>
            <w:jc w:val="both"/>
            <w:rPr>
              <w:rFonts w:ascii="Times New Roman" w:hAnsi="Times New Roman"/>
              <w:sz w:val="24"/>
              <w:szCs w:val="24"/>
            </w:rPr>
          </w:pPr>
          <w:r w:rsidRPr="00931DCE">
            <w:rPr>
              <w:rFonts w:ascii="Times New Roman" w:hAnsi="Times New Roman"/>
              <w:sz w:val="24"/>
              <w:szCs w:val="24"/>
            </w:rPr>
            <w:t xml:space="preserve">Corresponde a los procesos judiciales y trámites arbitrales en los que la entidad es parte demandada y que en aplicación a la metodología establecida en la Resolución ANI No. 521 de 2018 </w:t>
          </w:r>
          <w:r w:rsidRPr="00931DCE">
            <w:rPr>
              <w:rFonts w:ascii="Times New Roman" w:hAnsi="Times New Roman"/>
              <w:i/>
              <w:iCs/>
              <w:sz w:val="24"/>
              <w:szCs w:val="24"/>
            </w:rPr>
            <w:t>" Por medio de la cual se adopta la metodología para el  cálculo de la provisión contable de /os proceso s judiciales, trámites arbitrales y conciliaciones extrajudiciales en contra de la Agencia Nacional de Infraestructura y se establece el procedimiento para el reporte de la información para el registro</w:t>
          </w:r>
          <w:r w:rsidRPr="00931DCE">
            <w:rPr>
              <w:rFonts w:ascii="Times New Roman" w:hAnsi="Times New Roman"/>
              <w:sz w:val="24"/>
              <w:szCs w:val="24"/>
            </w:rPr>
            <w:t xml:space="preserve">" da como resultado, un riesgo “Medio” y/o “Bajo” de condena y la necesidad de registro en cuentas de orden. </w:t>
          </w:r>
        </w:p>
        <w:p w14:paraId="7684C691" w14:textId="77777777" w:rsidR="007A0DD9" w:rsidRDefault="007A0DD9" w:rsidP="007A0DD9">
          <w:pPr>
            <w:spacing w:after="0" w:line="240" w:lineRule="auto"/>
            <w:jc w:val="both"/>
            <w:rPr>
              <w:rFonts w:ascii="Times New Roman" w:hAnsi="Times New Roman"/>
              <w:sz w:val="24"/>
              <w:szCs w:val="24"/>
            </w:rPr>
          </w:pPr>
        </w:p>
        <w:p w14:paraId="2B426908" w14:textId="77777777" w:rsidR="000A529C" w:rsidRPr="00931DCE" w:rsidRDefault="000A529C" w:rsidP="007A0DD9">
          <w:pPr>
            <w:spacing w:after="0" w:line="240" w:lineRule="auto"/>
            <w:jc w:val="both"/>
            <w:rPr>
              <w:rFonts w:ascii="Times New Roman" w:hAnsi="Times New Roman"/>
              <w:sz w:val="24"/>
              <w:szCs w:val="24"/>
            </w:rPr>
          </w:pPr>
        </w:p>
        <w:tbl>
          <w:tblPr>
            <w:tblW w:w="5000" w:type="pct"/>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CellMar>
              <w:left w:w="70" w:type="dxa"/>
              <w:right w:w="70" w:type="dxa"/>
            </w:tblCellMar>
            <w:tblLook w:val="04A0" w:firstRow="1" w:lastRow="0" w:firstColumn="1" w:lastColumn="0" w:noHBand="0" w:noVBand="1"/>
          </w:tblPr>
          <w:tblGrid>
            <w:gridCol w:w="1153"/>
            <w:gridCol w:w="722"/>
            <w:gridCol w:w="3794"/>
            <w:gridCol w:w="1840"/>
            <w:gridCol w:w="1460"/>
          </w:tblGrid>
          <w:tr w:rsidR="003063E8" w:rsidRPr="003063E8" w14:paraId="29AD1B14" w14:textId="77777777" w:rsidTr="00D800E2">
            <w:trPr>
              <w:trHeight w:val="300"/>
            </w:trPr>
            <w:tc>
              <w:tcPr>
                <w:tcW w:w="1044" w:type="pct"/>
                <w:gridSpan w:val="2"/>
                <w:shd w:val="clear" w:color="auto" w:fill="auto"/>
                <w:vAlign w:val="center"/>
                <w:hideMark/>
              </w:tcPr>
              <w:p w14:paraId="0E6EBEB2" w14:textId="77777777" w:rsidR="003063E8" w:rsidRPr="009A46BB" w:rsidRDefault="003063E8" w:rsidP="003063E8">
                <w:pPr>
                  <w:spacing w:after="0" w:line="240" w:lineRule="auto"/>
                  <w:jc w:val="center"/>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DESCRIPCIÓN</w:t>
                </w:r>
              </w:p>
            </w:tc>
            <w:tc>
              <w:tcPr>
                <w:tcW w:w="2115" w:type="pct"/>
                <w:vMerge w:val="restart"/>
                <w:shd w:val="clear" w:color="auto" w:fill="auto"/>
                <w:vAlign w:val="center"/>
                <w:hideMark/>
              </w:tcPr>
              <w:p w14:paraId="49965A9A" w14:textId="77777777" w:rsidR="003063E8" w:rsidRPr="009A46BB" w:rsidRDefault="003063E8" w:rsidP="003063E8">
                <w:pPr>
                  <w:spacing w:after="0" w:line="240" w:lineRule="auto"/>
                  <w:jc w:val="center"/>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CONCEPTO</w:t>
                </w:r>
              </w:p>
            </w:tc>
            <w:tc>
              <w:tcPr>
                <w:tcW w:w="1026" w:type="pct"/>
                <w:shd w:val="clear" w:color="auto" w:fill="auto"/>
                <w:vAlign w:val="center"/>
                <w:hideMark/>
              </w:tcPr>
              <w:p w14:paraId="281E98AB" w14:textId="1797B165" w:rsidR="003063E8" w:rsidRPr="009A46BB" w:rsidRDefault="003063E8" w:rsidP="003063E8">
                <w:pPr>
                  <w:spacing w:after="0" w:line="240" w:lineRule="auto"/>
                  <w:jc w:val="center"/>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 xml:space="preserve">CORTE </w:t>
                </w:r>
                <w:r w:rsidR="003B4977">
                  <w:rPr>
                    <w:rFonts w:ascii="Times New Roman" w:eastAsia="Times New Roman" w:hAnsi="Times New Roman"/>
                    <w:b/>
                    <w:sz w:val="18"/>
                    <w:szCs w:val="18"/>
                    <w:lang w:eastAsia="es-CO"/>
                  </w:rPr>
                  <w:t>2023</w:t>
                </w:r>
              </w:p>
            </w:tc>
            <w:tc>
              <w:tcPr>
                <w:tcW w:w="814" w:type="pct"/>
                <w:vMerge w:val="restart"/>
                <w:shd w:val="clear" w:color="auto" w:fill="auto"/>
                <w:vAlign w:val="center"/>
                <w:hideMark/>
              </w:tcPr>
              <w:p w14:paraId="38D39FFA" w14:textId="77777777" w:rsidR="003063E8" w:rsidRPr="009A46BB" w:rsidRDefault="003063E8" w:rsidP="003063E8">
                <w:pPr>
                  <w:spacing w:after="0" w:line="240" w:lineRule="auto"/>
                  <w:jc w:val="center"/>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CANTIDAD</w:t>
                </w:r>
                <w:r w:rsidRPr="009A46BB">
                  <w:rPr>
                    <w:rFonts w:ascii="Times New Roman" w:eastAsia="Times New Roman" w:hAnsi="Times New Roman"/>
                    <w:b/>
                    <w:sz w:val="18"/>
                    <w:szCs w:val="18"/>
                    <w:lang w:eastAsia="es-CO"/>
                  </w:rPr>
                  <w:br/>
                  <w:t>(Procesos o casos)</w:t>
                </w:r>
              </w:p>
            </w:tc>
          </w:tr>
          <w:tr w:rsidR="003063E8" w:rsidRPr="003063E8" w14:paraId="47CCFD15" w14:textId="77777777" w:rsidTr="00D800E2">
            <w:trPr>
              <w:trHeight w:val="360"/>
            </w:trPr>
            <w:tc>
              <w:tcPr>
                <w:tcW w:w="642" w:type="pct"/>
                <w:shd w:val="clear" w:color="auto" w:fill="auto"/>
                <w:vAlign w:val="center"/>
                <w:hideMark/>
              </w:tcPr>
              <w:p w14:paraId="70F49F43" w14:textId="77777777" w:rsidR="003063E8" w:rsidRPr="009A46BB" w:rsidRDefault="003063E8" w:rsidP="003063E8">
                <w:pPr>
                  <w:spacing w:after="0" w:line="240" w:lineRule="auto"/>
                  <w:jc w:val="center"/>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CÓDIGO CONTABLE</w:t>
                </w:r>
              </w:p>
            </w:tc>
            <w:tc>
              <w:tcPr>
                <w:tcW w:w="402" w:type="pct"/>
                <w:shd w:val="clear" w:color="auto" w:fill="auto"/>
                <w:vAlign w:val="center"/>
                <w:hideMark/>
              </w:tcPr>
              <w:p w14:paraId="738EB4BD" w14:textId="77777777" w:rsidR="003063E8" w:rsidRPr="009A46BB" w:rsidRDefault="003063E8" w:rsidP="003063E8">
                <w:pPr>
                  <w:spacing w:after="0" w:line="240" w:lineRule="auto"/>
                  <w:jc w:val="center"/>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NAT</w:t>
                </w:r>
              </w:p>
            </w:tc>
            <w:tc>
              <w:tcPr>
                <w:tcW w:w="2115" w:type="pct"/>
                <w:vMerge/>
                <w:vAlign w:val="center"/>
                <w:hideMark/>
              </w:tcPr>
              <w:p w14:paraId="44B8A9FA" w14:textId="77777777" w:rsidR="003063E8" w:rsidRPr="009A46BB" w:rsidRDefault="003063E8" w:rsidP="003063E8">
                <w:pPr>
                  <w:spacing w:after="0" w:line="240" w:lineRule="auto"/>
                  <w:rPr>
                    <w:rFonts w:ascii="Times New Roman" w:eastAsia="Times New Roman" w:hAnsi="Times New Roman"/>
                    <w:b/>
                    <w:sz w:val="18"/>
                    <w:szCs w:val="18"/>
                    <w:lang w:eastAsia="es-CO"/>
                  </w:rPr>
                </w:pPr>
              </w:p>
            </w:tc>
            <w:tc>
              <w:tcPr>
                <w:tcW w:w="1026" w:type="pct"/>
                <w:shd w:val="clear" w:color="auto" w:fill="auto"/>
                <w:vAlign w:val="center"/>
                <w:hideMark/>
              </w:tcPr>
              <w:p w14:paraId="7B5DA446" w14:textId="77777777" w:rsidR="003063E8" w:rsidRPr="009A46BB" w:rsidRDefault="003063E8" w:rsidP="003063E8">
                <w:pPr>
                  <w:spacing w:after="0" w:line="240" w:lineRule="auto"/>
                  <w:jc w:val="center"/>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VALOR EN LIBROS</w:t>
                </w:r>
              </w:p>
            </w:tc>
            <w:tc>
              <w:tcPr>
                <w:tcW w:w="814" w:type="pct"/>
                <w:vMerge/>
                <w:vAlign w:val="center"/>
                <w:hideMark/>
              </w:tcPr>
              <w:p w14:paraId="52740412" w14:textId="77777777" w:rsidR="003063E8" w:rsidRPr="009A46BB" w:rsidRDefault="003063E8" w:rsidP="003063E8">
                <w:pPr>
                  <w:spacing w:after="0" w:line="240" w:lineRule="auto"/>
                  <w:rPr>
                    <w:rFonts w:ascii="Times New Roman" w:eastAsia="Times New Roman" w:hAnsi="Times New Roman"/>
                    <w:b/>
                    <w:sz w:val="18"/>
                    <w:szCs w:val="18"/>
                    <w:lang w:eastAsia="es-CO"/>
                  </w:rPr>
                </w:pPr>
              </w:p>
            </w:tc>
          </w:tr>
          <w:tr w:rsidR="003063E8" w:rsidRPr="003063E8" w14:paraId="15FADB13" w14:textId="77777777" w:rsidTr="00D800E2">
            <w:trPr>
              <w:trHeight w:val="285"/>
            </w:trPr>
            <w:tc>
              <w:tcPr>
                <w:tcW w:w="642" w:type="pct"/>
                <w:shd w:val="clear" w:color="auto" w:fill="auto"/>
                <w:noWrap/>
                <w:vAlign w:val="center"/>
                <w:hideMark/>
              </w:tcPr>
              <w:p w14:paraId="1E15E09A" w14:textId="77777777" w:rsidR="003063E8" w:rsidRPr="009A46BB" w:rsidRDefault="003063E8" w:rsidP="003063E8">
                <w:pPr>
                  <w:spacing w:after="0" w:line="240" w:lineRule="auto"/>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 </w:t>
                </w:r>
              </w:p>
            </w:tc>
            <w:tc>
              <w:tcPr>
                <w:tcW w:w="402" w:type="pct"/>
                <w:shd w:val="clear" w:color="auto" w:fill="auto"/>
                <w:noWrap/>
                <w:vAlign w:val="center"/>
                <w:hideMark/>
              </w:tcPr>
              <w:p w14:paraId="485642D8" w14:textId="77777777" w:rsidR="003063E8" w:rsidRPr="009A46BB" w:rsidRDefault="003063E8" w:rsidP="003063E8">
                <w:pPr>
                  <w:spacing w:after="0" w:line="240" w:lineRule="auto"/>
                  <w:jc w:val="center"/>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Db</w:t>
                </w:r>
              </w:p>
            </w:tc>
            <w:tc>
              <w:tcPr>
                <w:tcW w:w="2115" w:type="pct"/>
                <w:shd w:val="clear" w:color="auto" w:fill="auto"/>
                <w:vAlign w:val="center"/>
                <w:hideMark/>
              </w:tcPr>
              <w:p w14:paraId="304F3C93" w14:textId="77777777" w:rsidR="003063E8" w:rsidRPr="009A46BB" w:rsidRDefault="003063E8" w:rsidP="003063E8">
                <w:pPr>
                  <w:spacing w:after="0" w:line="240" w:lineRule="auto"/>
                  <w:jc w:val="center"/>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PASIVOS CONTINGENTES</w:t>
                </w:r>
              </w:p>
            </w:tc>
            <w:tc>
              <w:tcPr>
                <w:tcW w:w="1026" w:type="pct"/>
                <w:shd w:val="clear" w:color="auto" w:fill="auto"/>
                <w:noWrap/>
                <w:vAlign w:val="center"/>
                <w:hideMark/>
              </w:tcPr>
              <w:p w14:paraId="6AD3A0A7" w14:textId="77777777" w:rsidR="003063E8" w:rsidRPr="009A46BB" w:rsidRDefault="003063E8" w:rsidP="003063E8">
                <w:pPr>
                  <w:spacing w:after="0" w:line="240" w:lineRule="auto"/>
                  <w:jc w:val="right"/>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 xml:space="preserve">15.656.409.516.595 </w:t>
                </w:r>
              </w:p>
            </w:tc>
            <w:tc>
              <w:tcPr>
                <w:tcW w:w="814" w:type="pct"/>
                <w:shd w:val="clear" w:color="auto" w:fill="auto"/>
                <w:noWrap/>
                <w:vAlign w:val="center"/>
                <w:hideMark/>
              </w:tcPr>
              <w:p w14:paraId="53C70AEC" w14:textId="77777777" w:rsidR="003063E8" w:rsidRPr="009A46BB" w:rsidRDefault="003063E8" w:rsidP="00D800E2">
                <w:pPr>
                  <w:spacing w:after="0" w:line="240" w:lineRule="auto"/>
                  <w:jc w:val="center"/>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989</w:t>
                </w:r>
              </w:p>
            </w:tc>
          </w:tr>
          <w:tr w:rsidR="003063E8" w:rsidRPr="003063E8" w14:paraId="6D17BAB0" w14:textId="77777777" w:rsidTr="00D800E2">
            <w:trPr>
              <w:trHeight w:val="285"/>
            </w:trPr>
            <w:tc>
              <w:tcPr>
                <w:tcW w:w="642" w:type="pct"/>
                <w:shd w:val="clear" w:color="auto" w:fill="auto"/>
                <w:noWrap/>
                <w:vAlign w:val="center"/>
                <w:hideMark/>
              </w:tcPr>
              <w:p w14:paraId="53B32B7D" w14:textId="77777777" w:rsidR="003063E8" w:rsidRPr="009A46BB" w:rsidRDefault="003063E8" w:rsidP="003063E8">
                <w:pPr>
                  <w:spacing w:after="0" w:line="240" w:lineRule="auto"/>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9.1.20</w:t>
                </w:r>
              </w:p>
            </w:tc>
            <w:tc>
              <w:tcPr>
                <w:tcW w:w="402" w:type="pct"/>
                <w:shd w:val="clear" w:color="auto" w:fill="auto"/>
                <w:noWrap/>
                <w:vAlign w:val="center"/>
                <w:hideMark/>
              </w:tcPr>
              <w:p w14:paraId="1B982E1C" w14:textId="77777777" w:rsidR="003063E8" w:rsidRPr="009A46BB" w:rsidRDefault="003063E8" w:rsidP="003063E8">
                <w:pPr>
                  <w:spacing w:after="0" w:line="240" w:lineRule="auto"/>
                  <w:jc w:val="center"/>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Db</w:t>
                </w:r>
              </w:p>
            </w:tc>
            <w:tc>
              <w:tcPr>
                <w:tcW w:w="2115" w:type="pct"/>
                <w:shd w:val="clear" w:color="auto" w:fill="auto"/>
                <w:vAlign w:val="center"/>
                <w:hideMark/>
              </w:tcPr>
              <w:p w14:paraId="382D9787" w14:textId="77777777" w:rsidR="003063E8" w:rsidRPr="009A46BB" w:rsidRDefault="003063E8" w:rsidP="003063E8">
                <w:pPr>
                  <w:spacing w:after="0" w:line="240" w:lineRule="auto"/>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Litigios y mecanismos alternativos de solución de conflictos</w:t>
                </w:r>
              </w:p>
            </w:tc>
            <w:tc>
              <w:tcPr>
                <w:tcW w:w="1026" w:type="pct"/>
                <w:shd w:val="clear" w:color="auto" w:fill="auto"/>
                <w:noWrap/>
                <w:vAlign w:val="center"/>
                <w:hideMark/>
              </w:tcPr>
              <w:p w14:paraId="481AE817" w14:textId="77777777" w:rsidR="003063E8" w:rsidRPr="009A46BB" w:rsidRDefault="003063E8" w:rsidP="003063E8">
                <w:pPr>
                  <w:spacing w:after="0" w:line="240" w:lineRule="auto"/>
                  <w:jc w:val="right"/>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 xml:space="preserve">15.656.409.516.595 </w:t>
                </w:r>
              </w:p>
            </w:tc>
            <w:tc>
              <w:tcPr>
                <w:tcW w:w="814" w:type="pct"/>
                <w:shd w:val="clear" w:color="auto" w:fill="auto"/>
                <w:noWrap/>
                <w:vAlign w:val="center"/>
                <w:hideMark/>
              </w:tcPr>
              <w:p w14:paraId="4B469039" w14:textId="77777777" w:rsidR="003063E8" w:rsidRPr="009A46BB" w:rsidRDefault="003063E8" w:rsidP="00D800E2">
                <w:pPr>
                  <w:spacing w:after="0" w:line="240" w:lineRule="auto"/>
                  <w:jc w:val="center"/>
                  <w:rPr>
                    <w:rFonts w:ascii="Times New Roman" w:eastAsia="Times New Roman" w:hAnsi="Times New Roman"/>
                    <w:b/>
                    <w:sz w:val="18"/>
                    <w:szCs w:val="18"/>
                    <w:lang w:eastAsia="es-CO"/>
                  </w:rPr>
                </w:pPr>
                <w:r w:rsidRPr="009A46BB">
                  <w:rPr>
                    <w:rFonts w:ascii="Times New Roman" w:eastAsia="Times New Roman" w:hAnsi="Times New Roman"/>
                    <w:b/>
                    <w:sz w:val="18"/>
                    <w:szCs w:val="18"/>
                    <w:lang w:eastAsia="es-CO"/>
                  </w:rPr>
                  <w:t>989</w:t>
                </w:r>
              </w:p>
            </w:tc>
          </w:tr>
          <w:tr w:rsidR="003063E8" w:rsidRPr="003063E8" w14:paraId="5F36F695" w14:textId="77777777" w:rsidTr="00D800E2">
            <w:trPr>
              <w:trHeight w:val="300"/>
            </w:trPr>
            <w:tc>
              <w:tcPr>
                <w:tcW w:w="642" w:type="pct"/>
                <w:shd w:val="clear" w:color="auto" w:fill="auto"/>
                <w:noWrap/>
                <w:vAlign w:val="center"/>
                <w:hideMark/>
              </w:tcPr>
              <w:p w14:paraId="4261E5ED" w14:textId="77777777" w:rsidR="003063E8" w:rsidRPr="009A46BB" w:rsidRDefault="003063E8" w:rsidP="003063E8">
                <w:pPr>
                  <w:spacing w:after="0" w:line="240" w:lineRule="auto"/>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9.1.20.01</w:t>
                </w:r>
              </w:p>
            </w:tc>
            <w:tc>
              <w:tcPr>
                <w:tcW w:w="402" w:type="pct"/>
                <w:shd w:val="clear" w:color="auto" w:fill="auto"/>
                <w:noWrap/>
                <w:vAlign w:val="center"/>
                <w:hideMark/>
              </w:tcPr>
              <w:p w14:paraId="40BE95D5" w14:textId="77777777" w:rsidR="003063E8" w:rsidRPr="009A46BB" w:rsidRDefault="003063E8" w:rsidP="003063E8">
                <w:pPr>
                  <w:spacing w:after="0" w:line="240" w:lineRule="auto"/>
                  <w:jc w:val="center"/>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Db</w:t>
                </w:r>
              </w:p>
            </w:tc>
            <w:tc>
              <w:tcPr>
                <w:tcW w:w="2115" w:type="pct"/>
                <w:shd w:val="clear" w:color="auto" w:fill="auto"/>
                <w:vAlign w:val="center"/>
                <w:hideMark/>
              </w:tcPr>
              <w:p w14:paraId="6A86D2F6" w14:textId="77777777" w:rsidR="003063E8" w:rsidRPr="009A46BB" w:rsidRDefault="003063E8" w:rsidP="003063E8">
                <w:pPr>
                  <w:spacing w:after="0" w:line="240" w:lineRule="auto"/>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 xml:space="preserve">Civiles </w:t>
                </w:r>
              </w:p>
            </w:tc>
            <w:tc>
              <w:tcPr>
                <w:tcW w:w="1026" w:type="pct"/>
                <w:shd w:val="clear" w:color="auto" w:fill="auto"/>
                <w:noWrap/>
                <w:vAlign w:val="center"/>
                <w:hideMark/>
              </w:tcPr>
              <w:p w14:paraId="51580540" w14:textId="77777777" w:rsidR="003063E8" w:rsidRPr="009A46BB" w:rsidRDefault="003063E8" w:rsidP="003063E8">
                <w:pPr>
                  <w:spacing w:after="0" w:line="240" w:lineRule="auto"/>
                  <w:jc w:val="right"/>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 xml:space="preserve">398.966.323 </w:t>
                </w:r>
              </w:p>
            </w:tc>
            <w:tc>
              <w:tcPr>
                <w:tcW w:w="814" w:type="pct"/>
                <w:shd w:val="clear" w:color="auto" w:fill="auto"/>
                <w:noWrap/>
                <w:vAlign w:val="center"/>
                <w:hideMark/>
              </w:tcPr>
              <w:p w14:paraId="38CE58F1" w14:textId="77777777" w:rsidR="003063E8" w:rsidRPr="009A46BB" w:rsidRDefault="003063E8" w:rsidP="00D800E2">
                <w:pPr>
                  <w:spacing w:after="0" w:line="240" w:lineRule="auto"/>
                  <w:jc w:val="center"/>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36</w:t>
                </w:r>
              </w:p>
            </w:tc>
          </w:tr>
          <w:tr w:rsidR="003063E8" w:rsidRPr="003063E8" w14:paraId="516DB7FD" w14:textId="77777777" w:rsidTr="00D800E2">
            <w:trPr>
              <w:trHeight w:val="300"/>
            </w:trPr>
            <w:tc>
              <w:tcPr>
                <w:tcW w:w="642" w:type="pct"/>
                <w:shd w:val="clear" w:color="auto" w:fill="auto"/>
                <w:noWrap/>
                <w:vAlign w:val="center"/>
                <w:hideMark/>
              </w:tcPr>
              <w:p w14:paraId="5A9E9495" w14:textId="77777777" w:rsidR="003063E8" w:rsidRPr="009A46BB" w:rsidRDefault="003063E8" w:rsidP="003063E8">
                <w:pPr>
                  <w:spacing w:after="0" w:line="240" w:lineRule="auto"/>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9.1.20.02</w:t>
                </w:r>
              </w:p>
            </w:tc>
            <w:tc>
              <w:tcPr>
                <w:tcW w:w="402" w:type="pct"/>
                <w:shd w:val="clear" w:color="auto" w:fill="auto"/>
                <w:noWrap/>
                <w:vAlign w:val="center"/>
                <w:hideMark/>
              </w:tcPr>
              <w:p w14:paraId="10B70BE5" w14:textId="77777777" w:rsidR="003063E8" w:rsidRPr="009A46BB" w:rsidRDefault="003063E8" w:rsidP="003063E8">
                <w:pPr>
                  <w:spacing w:after="0" w:line="240" w:lineRule="auto"/>
                  <w:jc w:val="center"/>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Db</w:t>
                </w:r>
              </w:p>
            </w:tc>
            <w:tc>
              <w:tcPr>
                <w:tcW w:w="2115" w:type="pct"/>
                <w:shd w:val="clear" w:color="auto" w:fill="auto"/>
                <w:vAlign w:val="center"/>
                <w:hideMark/>
              </w:tcPr>
              <w:p w14:paraId="59501C05" w14:textId="77777777" w:rsidR="003063E8" w:rsidRPr="009A46BB" w:rsidRDefault="003063E8" w:rsidP="003063E8">
                <w:pPr>
                  <w:spacing w:after="0" w:line="240" w:lineRule="auto"/>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Laborales</w:t>
                </w:r>
              </w:p>
            </w:tc>
            <w:tc>
              <w:tcPr>
                <w:tcW w:w="1026" w:type="pct"/>
                <w:shd w:val="clear" w:color="auto" w:fill="auto"/>
                <w:noWrap/>
                <w:vAlign w:val="center"/>
                <w:hideMark/>
              </w:tcPr>
              <w:p w14:paraId="714FBEC2" w14:textId="77777777" w:rsidR="003063E8" w:rsidRPr="009A46BB" w:rsidRDefault="003063E8" w:rsidP="003063E8">
                <w:pPr>
                  <w:spacing w:after="0" w:line="240" w:lineRule="auto"/>
                  <w:jc w:val="right"/>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 xml:space="preserve">22.865.992.551 </w:t>
                </w:r>
              </w:p>
            </w:tc>
            <w:tc>
              <w:tcPr>
                <w:tcW w:w="814" w:type="pct"/>
                <w:shd w:val="clear" w:color="auto" w:fill="auto"/>
                <w:noWrap/>
                <w:vAlign w:val="center"/>
                <w:hideMark/>
              </w:tcPr>
              <w:p w14:paraId="1B561B9B" w14:textId="77777777" w:rsidR="003063E8" w:rsidRPr="009A46BB" w:rsidRDefault="003063E8" w:rsidP="00D800E2">
                <w:pPr>
                  <w:spacing w:after="0" w:line="240" w:lineRule="auto"/>
                  <w:jc w:val="center"/>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59</w:t>
                </w:r>
              </w:p>
            </w:tc>
          </w:tr>
          <w:tr w:rsidR="003063E8" w:rsidRPr="003063E8" w14:paraId="35BD7815" w14:textId="77777777" w:rsidTr="00D800E2">
            <w:trPr>
              <w:trHeight w:val="300"/>
            </w:trPr>
            <w:tc>
              <w:tcPr>
                <w:tcW w:w="642" w:type="pct"/>
                <w:shd w:val="clear" w:color="auto" w:fill="auto"/>
                <w:noWrap/>
                <w:vAlign w:val="center"/>
                <w:hideMark/>
              </w:tcPr>
              <w:p w14:paraId="793844F7" w14:textId="77777777" w:rsidR="003063E8" w:rsidRPr="009A46BB" w:rsidRDefault="003063E8" w:rsidP="003063E8">
                <w:pPr>
                  <w:spacing w:after="0" w:line="240" w:lineRule="auto"/>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9.1.20.04</w:t>
                </w:r>
              </w:p>
            </w:tc>
            <w:tc>
              <w:tcPr>
                <w:tcW w:w="402" w:type="pct"/>
                <w:shd w:val="clear" w:color="auto" w:fill="auto"/>
                <w:noWrap/>
                <w:vAlign w:val="center"/>
                <w:hideMark/>
              </w:tcPr>
              <w:p w14:paraId="7EBAB2AF" w14:textId="77777777" w:rsidR="003063E8" w:rsidRPr="009A46BB" w:rsidRDefault="003063E8" w:rsidP="003063E8">
                <w:pPr>
                  <w:spacing w:after="0" w:line="240" w:lineRule="auto"/>
                  <w:jc w:val="center"/>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Db</w:t>
                </w:r>
              </w:p>
            </w:tc>
            <w:tc>
              <w:tcPr>
                <w:tcW w:w="2115" w:type="pct"/>
                <w:shd w:val="clear" w:color="auto" w:fill="auto"/>
                <w:vAlign w:val="center"/>
                <w:hideMark/>
              </w:tcPr>
              <w:p w14:paraId="5B65E69F" w14:textId="77777777" w:rsidR="003063E8" w:rsidRPr="009A46BB" w:rsidRDefault="003063E8" w:rsidP="003063E8">
                <w:pPr>
                  <w:spacing w:after="0" w:line="240" w:lineRule="auto"/>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Administrativos</w:t>
                </w:r>
              </w:p>
            </w:tc>
            <w:tc>
              <w:tcPr>
                <w:tcW w:w="1026" w:type="pct"/>
                <w:shd w:val="clear" w:color="auto" w:fill="auto"/>
                <w:noWrap/>
                <w:vAlign w:val="center"/>
                <w:hideMark/>
              </w:tcPr>
              <w:p w14:paraId="6F4D561F" w14:textId="77777777" w:rsidR="003063E8" w:rsidRPr="009A46BB" w:rsidRDefault="003063E8" w:rsidP="003063E8">
                <w:pPr>
                  <w:spacing w:after="0" w:line="240" w:lineRule="auto"/>
                  <w:jc w:val="right"/>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 xml:space="preserve">12.440.287.153.807 </w:t>
                </w:r>
              </w:p>
            </w:tc>
            <w:tc>
              <w:tcPr>
                <w:tcW w:w="814" w:type="pct"/>
                <w:shd w:val="clear" w:color="auto" w:fill="auto"/>
                <w:noWrap/>
                <w:vAlign w:val="center"/>
                <w:hideMark/>
              </w:tcPr>
              <w:p w14:paraId="04EDE6D7" w14:textId="77777777" w:rsidR="003063E8" w:rsidRPr="009A46BB" w:rsidRDefault="003063E8" w:rsidP="00D800E2">
                <w:pPr>
                  <w:spacing w:after="0" w:line="240" w:lineRule="auto"/>
                  <w:jc w:val="center"/>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887</w:t>
                </w:r>
              </w:p>
            </w:tc>
          </w:tr>
          <w:tr w:rsidR="003063E8" w:rsidRPr="003063E8" w14:paraId="26E6F4B6" w14:textId="77777777" w:rsidTr="00D800E2">
            <w:trPr>
              <w:trHeight w:val="300"/>
            </w:trPr>
            <w:tc>
              <w:tcPr>
                <w:tcW w:w="642" w:type="pct"/>
                <w:shd w:val="clear" w:color="auto" w:fill="auto"/>
                <w:noWrap/>
                <w:vAlign w:val="center"/>
                <w:hideMark/>
              </w:tcPr>
              <w:p w14:paraId="40B49D63" w14:textId="77777777" w:rsidR="003063E8" w:rsidRPr="009A46BB" w:rsidRDefault="003063E8" w:rsidP="003063E8">
                <w:pPr>
                  <w:spacing w:after="0" w:line="240" w:lineRule="auto"/>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9.1.20.90</w:t>
                </w:r>
              </w:p>
            </w:tc>
            <w:tc>
              <w:tcPr>
                <w:tcW w:w="402" w:type="pct"/>
                <w:shd w:val="clear" w:color="auto" w:fill="auto"/>
                <w:noWrap/>
                <w:vAlign w:val="center"/>
                <w:hideMark/>
              </w:tcPr>
              <w:p w14:paraId="6C06BE0C" w14:textId="77777777" w:rsidR="003063E8" w:rsidRPr="009A46BB" w:rsidRDefault="003063E8" w:rsidP="003063E8">
                <w:pPr>
                  <w:spacing w:after="0" w:line="240" w:lineRule="auto"/>
                  <w:jc w:val="center"/>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Db</w:t>
                </w:r>
              </w:p>
            </w:tc>
            <w:tc>
              <w:tcPr>
                <w:tcW w:w="2115" w:type="pct"/>
                <w:shd w:val="clear" w:color="auto" w:fill="auto"/>
                <w:vAlign w:val="center"/>
                <w:hideMark/>
              </w:tcPr>
              <w:p w14:paraId="59B5BF74" w14:textId="77777777" w:rsidR="003063E8" w:rsidRPr="009A46BB" w:rsidRDefault="003063E8" w:rsidP="003063E8">
                <w:pPr>
                  <w:spacing w:after="0" w:line="240" w:lineRule="auto"/>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Otros litigios y mecanismos alternativos de solución de conflictos</w:t>
                </w:r>
              </w:p>
            </w:tc>
            <w:tc>
              <w:tcPr>
                <w:tcW w:w="1026" w:type="pct"/>
                <w:shd w:val="clear" w:color="auto" w:fill="auto"/>
                <w:noWrap/>
                <w:vAlign w:val="center"/>
                <w:hideMark/>
              </w:tcPr>
              <w:p w14:paraId="2C7EB0F7" w14:textId="77777777" w:rsidR="003063E8" w:rsidRPr="009A46BB" w:rsidRDefault="003063E8" w:rsidP="003063E8">
                <w:pPr>
                  <w:spacing w:after="0" w:line="240" w:lineRule="auto"/>
                  <w:jc w:val="right"/>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 xml:space="preserve">3.192.857.403.914 </w:t>
                </w:r>
              </w:p>
            </w:tc>
            <w:tc>
              <w:tcPr>
                <w:tcW w:w="814" w:type="pct"/>
                <w:shd w:val="clear" w:color="auto" w:fill="auto"/>
                <w:noWrap/>
                <w:vAlign w:val="center"/>
                <w:hideMark/>
              </w:tcPr>
              <w:p w14:paraId="1357B5D2" w14:textId="77777777" w:rsidR="003063E8" w:rsidRPr="009A46BB" w:rsidRDefault="003063E8" w:rsidP="00D800E2">
                <w:pPr>
                  <w:spacing w:after="0" w:line="240" w:lineRule="auto"/>
                  <w:jc w:val="center"/>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7</w:t>
                </w:r>
              </w:p>
            </w:tc>
          </w:tr>
          <w:tr w:rsidR="003063E8" w:rsidRPr="003063E8" w14:paraId="42E433DF" w14:textId="77777777" w:rsidTr="00D800E2">
            <w:trPr>
              <w:trHeight w:val="300"/>
            </w:trPr>
            <w:tc>
              <w:tcPr>
                <w:tcW w:w="642" w:type="pct"/>
                <w:shd w:val="clear" w:color="auto" w:fill="auto"/>
                <w:noWrap/>
                <w:vAlign w:val="center"/>
                <w:hideMark/>
              </w:tcPr>
              <w:p w14:paraId="05469F2C" w14:textId="77777777" w:rsidR="003063E8" w:rsidRPr="009A46BB" w:rsidRDefault="003063E8" w:rsidP="003063E8">
                <w:pPr>
                  <w:spacing w:after="0" w:line="240" w:lineRule="auto"/>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9.1.20.90.01</w:t>
                </w:r>
              </w:p>
            </w:tc>
            <w:tc>
              <w:tcPr>
                <w:tcW w:w="402" w:type="pct"/>
                <w:shd w:val="clear" w:color="auto" w:fill="auto"/>
                <w:noWrap/>
                <w:vAlign w:val="center"/>
                <w:hideMark/>
              </w:tcPr>
              <w:p w14:paraId="0154FF2E" w14:textId="77777777" w:rsidR="003063E8" w:rsidRPr="009A46BB" w:rsidRDefault="003063E8" w:rsidP="003063E8">
                <w:pPr>
                  <w:spacing w:after="0" w:line="240" w:lineRule="auto"/>
                  <w:jc w:val="center"/>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Db</w:t>
                </w:r>
              </w:p>
            </w:tc>
            <w:tc>
              <w:tcPr>
                <w:tcW w:w="2115" w:type="pct"/>
                <w:shd w:val="clear" w:color="auto" w:fill="auto"/>
                <w:vAlign w:val="center"/>
                <w:hideMark/>
              </w:tcPr>
              <w:p w14:paraId="34CE30EC" w14:textId="77777777" w:rsidR="003063E8" w:rsidRPr="009A46BB" w:rsidRDefault="003063E8" w:rsidP="003063E8">
                <w:pPr>
                  <w:spacing w:after="0" w:line="240" w:lineRule="auto"/>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Otros litigios y mecanismos alternativos de solución de conflictos</w:t>
                </w:r>
              </w:p>
            </w:tc>
            <w:tc>
              <w:tcPr>
                <w:tcW w:w="1026" w:type="pct"/>
                <w:shd w:val="clear" w:color="auto" w:fill="auto"/>
                <w:noWrap/>
                <w:vAlign w:val="center"/>
                <w:hideMark/>
              </w:tcPr>
              <w:p w14:paraId="6537A3D4" w14:textId="77777777" w:rsidR="003063E8" w:rsidRPr="009A46BB" w:rsidRDefault="003063E8" w:rsidP="003063E8">
                <w:pPr>
                  <w:spacing w:after="0" w:line="240" w:lineRule="auto"/>
                  <w:jc w:val="right"/>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 xml:space="preserve">3.192.857.403.914 </w:t>
                </w:r>
              </w:p>
            </w:tc>
            <w:tc>
              <w:tcPr>
                <w:tcW w:w="814" w:type="pct"/>
                <w:shd w:val="clear" w:color="auto" w:fill="auto"/>
                <w:noWrap/>
                <w:vAlign w:val="center"/>
                <w:hideMark/>
              </w:tcPr>
              <w:p w14:paraId="2294D60B" w14:textId="77777777" w:rsidR="003063E8" w:rsidRPr="009A46BB" w:rsidRDefault="003063E8" w:rsidP="00D800E2">
                <w:pPr>
                  <w:spacing w:after="0" w:line="240" w:lineRule="auto"/>
                  <w:jc w:val="center"/>
                  <w:rPr>
                    <w:rFonts w:ascii="Times New Roman" w:eastAsia="Times New Roman" w:hAnsi="Times New Roman"/>
                    <w:sz w:val="18"/>
                    <w:szCs w:val="18"/>
                    <w:lang w:eastAsia="es-CO"/>
                  </w:rPr>
                </w:pPr>
                <w:r w:rsidRPr="009A46BB">
                  <w:rPr>
                    <w:rFonts w:ascii="Times New Roman" w:eastAsia="Times New Roman" w:hAnsi="Times New Roman"/>
                    <w:sz w:val="18"/>
                    <w:szCs w:val="18"/>
                    <w:lang w:eastAsia="es-CO"/>
                  </w:rPr>
                  <w:t>7</w:t>
                </w:r>
              </w:p>
            </w:tc>
          </w:tr>
        </w:tbl>
        <w:p w14:paraId="63F1A863" w14:textId="08DD5E9B" w:rsidR="007A0DD9" w:rsidRPr="00931DCE" w:rsidRDefault="007A0DD9" w:rsidP="007A0DD9">
          <w:pPr>
            <w:spacing w:after="0" w:line="240" w:lineRule="auto"/>
            <w:jc w:val="both"/>
            <w:rPr>
              <w:rFonts w:ascii="Times New Roman" w:hAnsi="Times New Roman"/>
              <w:sz w:val="14"/>
              <w:szCs w:val="14"/>
            </w:rPr>
          </w:pPr>
          <w:r w:rsidRPr="00931DCE">
            <w:rPr>
              <w:rFonts w:ascii="Times New Roman" w:hAnsi="Times New Roman"/>
              <w:sz w:val="24"/>
              <w:szCs w:val="24"/>
            </w:rPr>
            <w:t xml:space="preserve"> </w:t>
          </w:r>
          <w:r w:rsidR="00AD2026" w:rsidRPr="00931DCE">
            <w:rPr>
              <w:rFonts w:ascii="Times New Roman" w:hAnsi="Times New Roman"/>
              <w:sz w:val="14"/>
              <w:szCs w:val="14"/>
            </w:rPr>
            <w:t>Cifras expresadas en pesos</w:t>
          </w:r>
          <w:r w:rsidRPr="00931DCE">
            <w:rPr>
              <w:rFonts w:ascii="Times New Roman" w:hAnsi="Times New Roman"/>
              <w:sz w:val="14"/>
              <w:szCs w:val="14"/>
            </w:rPr>
            <w:t xml:space="preserve"> </w:t>
          </w:r>
        </w:p>
        <w:p w14:paraId="0548CEF2" w14:textId="77777777" w:rsidR="003063E8" w:rsidRDefault="003063E8" w:rsidP="007A0DD9">
          <w:pPr>
            <w:shd w:val="clear" w:color="auto" w:fill="FFFFFF"/>
            <w:spacing w:after="0" w:line="240" w:lineRule="auto"/>
            <w:jc w:val="both"/>
            <w:textAlignment w:val="baseline"/>
            <w:rPr>
              <w:rFonts w:ascii="Times New Roman" w:hAnsi="Times New Roman"/>
              <w:sz w:val="24"/>
              <w:szCs w:val="24"/>
              <w:u w:val="single"/>
            </w:rPr>
          </w:pPr>
        </w:p>
        <w:p w14:paraId="4B075F5A" w14:textId="77777777" w:rsidR="007A0DD9" w:rsidRPr="00931DCE" w:rsidRDefault="007A0DD9" w:rsidP="007A0DD9">
          <w:pPr>
            <w:shd w:val="clear" w:color="auto" w:fill="FFFFFF"/>
            <w:spacing w:after="0" w:line="240" w:lineRule="auto"/>
            <w:jc w:val="both"/>
            <w:textAlignment w:val="baseline"/>
            <w:rPr>
              <w:rFonts w:ascii="Times New Roman" w:hAnsi="Times New Roman"/>
              <w:sz w:val="24"/>
              <w:szCs w:val="24"/>
              <w:u w:val="single"/>
            </w:rPr>
          </w:pPr>
          <w:r w:rsidRPr="00931DCE">
            <w:rPr>
              <w:rFonts w:ascii="Times New Roman" w:hAnsi="Times New Roman"/>
              <w:sz w:val="24"/>
              <w:szCs w:val="24"/>
              <w:u w:val="single"/>
            </w:rPr>
            <w:t>PROCESOS CIVILES</w:t>
          </w:r>
        </w:p>
        <w:p w14:paraId="74E1D556" w14:textId="77777777" w:rsidR="007A0DD9" w:rsidRPr="00931DCE" w:rsidRDefault="007A0DD9" w:rsidP="007A0DD9">
          <w:pPr>
            <w:shd w:val="clear" w:color="auto" w:fill="FFFFFF"/>
            <w:spacing w:after="0" w:line="240" w:lineRule="auto"/>
            <w:jc w:val="both"/>
            <w:textAlignment w:val="baseline"/>
            <w:rPr>
              <w:rFonts w:ascii="Times New Roman" w:hAnsi="Times New Roman"/>
              <w:sz w:val="24"/>
              <w:szCs w:val="24"/>
            </w:rPr>
          </w:pPr>
        </w:p>
        <w:p w14:paraId="0FC8B7AA" w14:textId="7A292FC7" w:rsidR="007A0DD9" w:rsidRPr="00931DCE" w:rsidRDefault="007A0DD9" w:rsidP="007A0DD9">
          <w:pPr>
            <w:shd w:val="clear" w:color="auto" w:fill="FFFFFF"/>
            <w:spacing w:after="0" w:line="240" w:lineRule="auto"/>
            <w:jc w:val="both"/>
            <w:textAlignment w:val="baseline"/>
            <w:rPr>
              <w:rFonts w:ascii="Times New Roman" w:hAnsi="Times New Roman"/>
              <w:sz w:val="24"/>
              <w:szCs w:val="24"/>
            </w:rPr>
          </w:pPr>
          <w:r w:rsidRPr="00931DCE">
            <w:rPr>
              <w:rFonts w:ascii="Times New Roman" w:hAnsi="Times New Roman"/>
              <w:sz w:val="24"/>
              <w:szCs w:val="24"/>
            </w:rPr>
            <w:t>NATURALEZA DEL PASIVO CONTINGENTE</w:t>
          </w:r>
          <w:r w:rsidR="008D4D5A" w:rsidRPr="00931DCE">
            <w:rPr>
              <w:rFonts w:ascii="Times New Roman" w:hAnsi="Times New Roman"/>
              <w:sz w:val="24"/>
              <w:szCs w:val="24"/>
            </w:rPr>
            <w:t xml:space="preserve">: </w:t>
          </w:r>
          <w:r w:rsidRPr="00931DCE">
            <w:rPr>
              <w:rFonts w:ascii="Times New Roman" w:hAnsi="Times New Roman"/>
              <w:sz w:val="24"/>
              <w:szCs w:val="24"/>
            </w:rPr>
            <w:t xml:space="preserve">Con relación a los procesos civiles, el Grupo Interno de Trabajo de Defensa Judicial de la Vicepresidencia Jurídica, mediante el formato GEJU-F-010 - </w:t>
          </w:r>
          <w:r w:rsidRPr="00931DCE">
            <w:rPr>
              <w:rFonts w:ascii="Times New Roman" w:hAnsi="Times New Roman"/>
              <w:i/>
              <w:iCs/>
              <w:sz w:val="24"/>
              <w:szCs w:val="24"/>
            </w:rPr>
            <w:t>"Reporte Procesos Judiciales"</w:t>
          </w:r>
          <w:r w:rsidRPr="00931DCE">
            <w:rPr>
              <w:rFonts w:ascii="Times New Roman" w:hAnsi="Times New Roman"/>
              <w:sz w:val="24"/>
              <w:szCs w:val="24"/>
            </w:rPr>
            <w:t xml:space="preserve"> a 31 de diciembre de </w:t>
          </w:r>
          <w:r w:rsidR="00EF6E05" w:rsidRPr="00931DCE">
            <w:rPr>
              <w:rFonts w:ascii="Times New Roman" w:hAnsi="Times New Roman"/>
              <w:sz w:val="24"/>
              <w:szCs w:val="24"/>
            </w:rPr>
            <w:t>202</w:t>
          </w:r>
          <w:r w:rsidR="009B5648">
            <w:rPr>
              <w:rFonts w:ascii="Times New Roman" w:hAnsi="Times New Roman"/>
              <w:sz w:val="24"/>
              <w:szCs w:val="24"/>
            </w:rPr>
            <w:t>3</w:t>
          </w:r>
          <w:r w:rsidRPr="00931DCE">
            <w:rPr>
              <w:rFonts w:ascii="Times New Roman" w:hAnsi="Times New Roman"/>
              <w:sz w:val="24"/>
              <w:szCs w:val="24"/>
            </w:rPr>
            <w:t xml:space="preserve">, reportó lo siguiente: </w:t>
          </w:r>
        </w:p>
        <w:p w14:paraId="223ABDAA" w14:textId="77777777" w:rsidR="007A0DD9" w:rsidRPr="00931DCE" w:rsidRDefault="007A0DD9" w:rsidP="007A0DD9">
          <w:pPr>
            <w:shd w:val="clear" w:color="auto" w:fill="FFFFFF"/>
            <w:spacing w:after="0" w:line="240" w:lineRule="auto"/>
            <w:jc w:val="both"/>
            <w:textAlignment w:val="baseline"/>
            <w:rPr>
              <w:rFonts w:ascii="Times New Roman" w:hAnsi="Times New Roman"/>
              <w:sz w:val="24"/>
              <w:szCs w:val="24"/>
            </w:rPr>
          </w:pPr>
        </w:p>
        <w:p w14:paraId="428AF27B" w14:textId="161E5CF8" w:rsidR="007A0DD9" w:rsidRPr="00931DCE" w:rsidRDefault="007A0DD9" w:rsidP="007A0DD9">
          <w:pPr>
            <w:shd w:val="clear" w:color="auto" w:fill="FFFFFF"/>
            <w:spacing w:after="0" w:line="240" w:lineRule="auto"/>
            <w:jc w:val="both"/>
            <w:textAlignment w:val="baseline"/>
            <w:rPr>
              <w:rFonts w:ascii="Times New Roman" w:hAnsi="Times New Roman"/>
              <w:sz w:val="24"/>
              <w:szCs w:val="24"/>
            </w:rPr>
          </w:pPr>
          <w:r w:rsidRPr="00931DCE">
            <w:rPr>
              <w:rFonts w:ascii="Times New Roman" w:hAnsi="Times New Roman"/>
              <w:sz w:val="24"/>
              <w:szCs w:val="24"/>
            </w:rPr>
            <w:t xml:space="preserve">Se tienen un total de </w:t>
          </w:r>
          <w:r w:rsidR="00A25DE8">
            <w:rPr>
              <w:rFonts w:ascii="Times New Roman" w:hAnsi="Times New Roman"/>
              <w:sz w:val="24"/>
              <w:szCs w:val="24"/>
            </w:rPr>
            <w:t xml:space="preserve">Treinta y seis </w:t>
          </w:r>
          <w:r w:rsidRPr="00931DCE">
            <w:rPr>
              <w:rFonts w:ascii="Times New Roman" w:hAnsi="Times New Roman"/>
              <w:sz w:val="24"/>
              <w:szCs w:val="24"/>
            </w:rPr>
            <w:t>(</w:t>
          </w:r>
          <w:r w:rsidR="00A25DE8">
            <w:rPr>
              <w:rFonts w:ascii="Times New Roman" w:hAnsi="Times New Roman"/>
              <w:sz w:val="24"/>
              <w:szCs w:val="24"/>
            </w:rPr>
            <w:t>36</w:t>
          </w:r>
          <w:r w:rsidRPr="00931DCE">
            <w:rPr>
              <w:rFonts w:ascii="Times New Roman" w:hAnsi="Times New Roman"/>
              <w:sz w:val="24"/>
              <w:szCs w:val="24"/>
            </w:rPr>
            <w:t>) procesos de naturaleza civil, de los cuales</w:t>
          </w:r>
          <w:r w:rsidR="00170B23">
            <w:rPr>
              <w:rFonts w:ascii="Times New Roman" w:hAnsi="Times New Roman"/>
              <w:sz w:val="24"/>
              <w:szCs w:val="24"/>
            </w:rPr>
            <w:t xml:space="preserve"> treinta y cuatro (34) </w:t>
          </w:r>
          <w:r w:rsidRPr="00931DCE">
            <w:rPr>
              <w:rFonts w:ascii="Times New Roman" w:hAnsi="Times New Roman"/>
              <w:sz w:val="24"/>
              <w:szCs w:val="24"/>
            </w:rPr>
            <w:t>no presenta cuantía por ser meramente declarativos, es decir, no hay pretensiones llamadas a generar pago de condena, estando entre ellas, declaratorias de pertenencia, deslinde y amojonamiento, fijación de servidumbre y restitución de tierras.</w:t>
          </w:r>
        </w:p>
        <w:p w14:paraId="67853CB6" w14:textId="77777777" w:rsidR="007A0DD9" w:rsidRPr="00931DCE" w:rsidRDefault="007A0DD9" w:rsidP="007A0DD9">
          <w:pPr>
            <w:shd w:val="clear" w:color="auto" w:fill="FFFFFF"/>
            <w:spacing w:after="0" w:line="240" w:lineRule="auto"/>
            <w:jc w:val="both"/>
            <w:textAlignment w:val="baseline"/>
            <w:rPr>
              <w:rFonts w:ascii="Times New Roman" w:hAnsi="Times New Roman"/>
              <w:sz w:val="24"/>
              <w:szCs w:val="24"/>
            </w:rPr>
          </w:pPr>
        </w:p>
        <w:p w14:paraId="7D76FEC3" w14:textId="702D0576" w:rsidR="007A0DD9" w:rsidRPr="00931DCE" w:rsidRDefault="00577FDD" w:rsidP="007A0DD9">
          <w:p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Dos</w:t>
          </w:r>
          <w:r w:rsidR="007A0DD9" w:rsidRPr="00931DCE">
            <w:rPr>
              <w:rFonts w:ascii="Times New Roman" w:hAnsi="Times New Roman"/>
              <w:sz w:val="24"/>
              <w:szCs w:val="24"/>
            </w:rPr>
            <w:t xml:space="preserve"> (</w:t>
          </w:r>
          <w:r w:rsidR="00C67FA6">
            <w:rPr>
              <w:rFonts w:ascii="Times New Roman" w:hAnsi="Times New Roman"/>
              <w:sz w:val="24"/>
              <w:szCs w:val="24"/>
            </w:rPr>
            <w:t>2</w:t>
          </w:r>
          <w:r w:rsidR="007A0DD9" w:rsidRPr="00931DCE">
            <w:rPr>
              <w:rFonts w:ascii="Times New Roman" w:hAnsi="Times New Roman"/>
              <w:sz w:val="24"/>
              <w:szCs w:val="24"/>
            </w:rPr>
            <w:t xml:space="preserve">) procesos, presentan valor de pretensiones, y de ellos: </w:t>
          </w:r>
        </w:p>
        <w:p w14:paraId="59186737" w14:textId="77777777" w:rsidR="007A0DD9" w:rsidRPr="00931DCE" w:rsidRDefault="007A0DD9" w:rsidP="007A0DD9">
          <w:pPr>
            <w:shd w:val="clear" w:color="auto" w:fill="FFFFFF"/>
            <w:spacing w:after="0" w:line="240" w:lineRule="auto"/>
            <w:jc w:val="both"/>
            <w:textAlignment w:val="baseline"/>
            <w:rPr>
              <w:rFonts w:ascii="Times New Roman" w:hAnsi="Times New Roman"/>
              <w:sz w:val="24"/>
              <w:szCs w:val="24"/>
            </w:rPr>
          </w:pPr>
        </w:p>
        <w:p w14:paraId="183C83DF" w14:textId="203CF836" w:rsidR="007A0DD9" w:rsidRPr="00931DCE" w:rsidRDefault="00D4149C" w:rsidP="00451687">
          <w:pPr>
            <w:pStyle w:val="Prrafodelista"/>
            <w:numPr>
              <w:ilvl w:val="0"/>
              <w:numId w:val="27"/>
            </w:num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Un</w:t>
          </w:r>
          <w:r w:rsidR="007A0DD9" w:rsidRPr="00931DCE">
            <w:rPr>
              <w:rFonts w:ascii="Times New Roman" w:hAnsi="Times New Roman"/>
              <w:sz w:val="24"/>
              <w:szCs w:val="24"/>
            </w:rPr>
            <w:t xml:space="preserve"> (</w:t>
          </w:r>
          <w:r>
            <w:rPr>
              <w:rFonts w:ascii="Times New Roman" w:hAnsi="Times New Roman"/>
              <w:sz w:val="24"/>
              <w:szCs w:val="24"/>
            </w:rPr>
            <w:t>1</w:t>
          </w:r>
          <w:r w:rsidR="007A0DD9" w:rsidRPr="00931DCE">
            <w:rPr>
              <w:rFonts w:ascii="Times New Roman" w:hAnsi="Times New Roman"/>
              <w:sz w:val="24"/>
              <w:szCs w:val="24"/>
            </w:rPr>
            <w:t xml:space="preserve">) corresponden a procesos ejecutivos, por el presunto no pago en la adquisición predial. </w:t>
          </w:r>
        </w:p>
        <w:p w14:paraId="6ED23C8A" w14:textId="3D3679E7" w:rsidR="007A0DD9" w:rsidRPr="00931DCE" w:rsidRDefault="007A0DD9" w:rsidP="00451687">
          <w:pPr>
            <w:pStyle w:val="Prrafodelista"/>
            <w:numPr>
              <w:ilvl w:val="0"/>
              <w:numId w:val="27"/>
            </w:numPr>
            <w:shd w:val="clear" w:color="auto" w:fill="FFFFFF"/>
            <w:spacing w:after="0" w:line="240" w:lineRule="auto"/>
            <w:jc w:val="both"/>
            <w:textAlignment w:val="baseline"/>
            <w:rPr>
              <w:rFonts w:ascii="Times New Roman" w:hAnsi="Times New Roman"/>
              <w:sz w:val="24"/>
              <w:szCs w:val="24"/>
            </w:rPr>
          </w:pPr>
          <w:r w:rsidRPr="00931DCE">
            <w:rPr>
              <w:rFonts w:ascii="Times New Roman" w:hAnsi="Times New Roman"/>
              <w:sz w:val="24"/>
              <w:szCs w:val="24"/>
            </w:rPr>
            <w:t xml:space="preserve">Uno (1) presenta pretensión de </w:t>
          </w:r>
          <w:r w:rsidR="00D07B93" w:rsidRPr="00D07B93">
            <w:rPr>
              <w:rFonts w:ascii="Times New Roman" w:hAnsi="Times New Roman"/>
              <w:sz w:val="24"/>
              <w:szCs w:val="24"/>
            </w:rPr>
            <w:t xml:space="preserve">rescisión por lesión enorme del contrato de compraventa mediante el cual se enajeno predio a la </w:t>
          </w:r>
          <w:r w:rsidR="00D07B93">
            <w:rPr>
              <w:rFonts w:ascii="Times New Roman" w:hAnsi="Times New Roman"/>
              <w:sz w:val="24"/>
              <w:szCs w:val="24"/>
            </w:rPr>
            <w:t>ANI</w:t>
          </w:r>
        </w:p>
        <w:p w14:paraId="661F4534" w14:textId="77777777" w:rsidR="00D07B93" w:rsidRPr="00931DCE" w:rsidRDefault="00D07B93" w:rsidP="00451687">
          <w:pPr>
            <w:pStyle w:val="Prrafodelista"/>
            <w:numPr>
              <w:ilvl w:val="0"/>
              <w:numId w:val="27"/>
            </w:numPr>
            <w:shd w:val="clear" w:color="auto" w:fill="FFFFFF"/>
            <w:spacing w:after="0" w:line="240" w:lineRule="auto"/>
            <w:jc w:val="both"/>
            <w:textAlignment w:val="baseline"/>
            <w:rPr>
              <w:rFonts w:ascii="Times New Roman" w:hAnsi="Times New Roman"/>
              <w:sz w:val="24"/>
              <w:szCs w:val="24"/>
            </w:rPr>
          </w:pPr>
        </w:p>
        <w:p w14:paraId="3E45D0C9" w14:textId="4C45D4B3" w:rsidR="007A0DD9" w:rsidRPr="000A529C" w:rsidRDefault="007A0DD9" w:rsidP="007A0DD9">
          <w:pPr>
            <w:spacing w:after="0" w:line="240" w:lineRule="auto"/>
            <w:jc w:val="both"/>
            <w:rPr>
              <w:rFonts w:ascii="Times New Roman" w:hAnsi="Times New Roman"/>
              <w:sz w:val="24"/>
              <w:szCs w:val="24"/>
            </w:rPr>
          </w:pPr>
          <w:r w:rsidRPr="000A529C">
            <w:rPr>
              <w:rFonts w:ascii="Times New Roman" w:hAnsi="Times New Roman"/>
              <w:sz w:val="24"/>
              <w:szCs w:val="24"/>
            </w:rPr>
            <w:lastRenderedPageBreak/>
            <w:t>INCERTIDUMBRES ASOCIADAS AL VALOR</w:t>
          </w:r>
          <w:r w:rsidR="008D4D5A" w:rsidRPr="000A529C">
            <w:rPr>
              <w:rFonts w:ascii="Times New Roman" w:hAnsi="Times New Roman"/>
              <w:sz w:val="24"/>
              <w:szCs w:val="24"/>
            </w:rPr>
            <w:t xml:space="preserve">: </w:t>
          </w:r>
          <w:r w:rsidRPr="000A529C">
            <w:rPr>
              <w:rFonts w:ascii="Times New Roman" w:hAnsi="Times New Roman"/>
              <w:sz w:val="24"/>
              <w:szCs w:val="24"/>
            </w:rPr>
            <w:t xml:space="preserve">Frente a los procesos descritos en el acápite anterior, la incertidumbre es media, toda vez que respecto al valor varía dependiendo de las pretensiones formuladas en las demandas y, las decisiones adoptadas por cada despacho. </w:t>
          </w:r>
        </w:p>
        <w:p w14:paraId="17679573" w14:textId="77777777" w:rsidR="007A0DD9" w:rsidRPr="000A529C" w:rsidRDefault="007A0DD9" w:rsidP="007A0DD9">
          <w:pPr>
            <w:spacing w:after="0" w:line="240" w:lineRule="auto"/>
            <w:jc w:val="both"/>
            <w:rPr>
              <w:rFonts w:ascii="Times New Roman" w:hAnsi="Times New Roman"/>
              <w:sz w:val="24"/>
              <w:szCs w:val="24"/>
            </w:rPr>
          </w:pPr>
        </w:p>
        <w:p w14:paraId="27F0580A" w14:textId="77641C1C" w:rsidR="000A529C" w:rsidRPr="00C374BB" w:rsidRDefault="007A0DD9" w:rsidP="00C374BB">
          <w:pPr>
            <w:spacing w:after="0" w:line="240" w:lineRule="auto"/>
            <w:jc w:val="both"/>
            <w:rPr>
              <w:rFonts w:ascii="Times New Roman" w:hAnsi="Times New Roman"/>
              <w:sz w:val="24"/>
              <w:szCs w:val="24"/>
            </w:rPr>
          </w:pPr>
          <w:r w:rsidRPr="000A529C">
            <w:rPr>
              <w:rFonts w:ascii="Times New Roman" w:hAnsi="Times New Roman"/>
              <w:sz w:val="24"/>
              <w:szCs w:val="24"/>
            </w:rPr>
            <w:t>INCERTIDUMBRES ASOCIADAS CON LA FECHA</w:t>
          </w:r>
          <w:r w:rsidR="008D4D5A" w:rsidRPr="000A529C">
            <w:rPr>
              <w:rFonts w:ascii="Times New Roman" w:hAnsi="Times New Roman"/>
              <w:sz w:val="24"/>
              <w:szCs w:val="24"/>
            </w:rPr>
            <w:t xml:space="preserve">: </w:t>
          </w:r>
          <w:r w:rsidRPr="000A529C">
            <w:rPr>
              <w:rFonts w:ascii="Times New Roman" w:hAnsi="Times New Roman"/>
              <w:sz w:val="24"/>
              <w:szCs w:val="24"/>
            </w:rPr>
            <w:t>La incertidumbre asociada con la fecha es alta, teniendo en cuenta que son procesos que se encuentran cursando la primera instancia, siendo complejo determinar la fecha exacta en que se contaría con la decisión en firme por parte de los despachos judiciales, por vía de ejemplo, uno de los procesos ejecutivos inició en el año 1995, y la ANI fue vinculada a éste, en el año 2013; no obstante, lo cual, se tiene que, los eventuales pagos deban realizarse en un promedio de 1 a 2 años.</w:t>
          </w:r>
          <w:r w:rsidRPr="00931DCE">
            <w:rPr>
              <w:rFonts w:ascii="Times New Roman" w:hAnsi="Times New Roman"/>
              <w:sz w:val="24"/>
              <w:szCs w:val="24"/>
            </w:rPr>
            <w:t xml:space="preserve"> </w:t>
          </w:r>
        </w:p>
        <w:p w14:paraId="7FD77E93" w14:textId="77777777" w:rsidR="000A529C" w:rsidRPr="00931DCE" w:rsidRDefault="000A529C" w:rsidP="007A0DD9">
          <w:pPr>
            <w:spacing w:after="0" w:line="240" w:lineRule="auto"/>
            <w:rPr>
              <w:rFonts w:ascii="Times New Roman" w:hAnsi="Times New Roman"/>
              <w:sz w:val="24"/>
              <w:szCs w:val="24"/>
              <w:highlight w:val="cyan"/>
            </w:rPr>
          </w:pPr>
        </w:p>
        <w:p w14:paraId="63A46ACB" w14:textId="77777777" w:rsidR="007A0DD9" w:rsidRPr="00931DCE" w:rsidRDefault="007A0DD9" w:rsidP="007A0DD9">
          <w:pPr>
            <w:shd w:val="clear" w:color="auto" w:fill="FFFFFF"/>
            <w:spacing w:after="0" w:line="240" w:lineRule="auto"/>
            <w:jc w:val="both"/>
            <w:textAlignment w:val="baseline"/>
            <w:rPr>
              <w:rFonts w:ascii="Times New Roman" w:hAnsi="Times New Roman"/>
              <w:sz w:val="24"/>
              <w:szCs w:val="24"/>
              <w:u w:val="single"/>
            </w:rPr>
          </w:pPr>
          <w:r w:rsidRPr="00931DCE">
            <w:rPr>
              <w:rFonts w:ascii="Times New Roman" w:hAnsi="Times New Roman"/>
              <w:sz w:val="24"/>
              <w:szCs w:val="24"/>
              <w:u w:val="single"/>
            </w:rPr>
            <w:t>PROCESOS LABORALES</w:t>
          </w:r>
        </w:p>
        <w:p w14:paraId="35A1D9A5" w14:textId="77777777" w:rsidR="007A0DD9" w:rsidRPr="00931DCE" w:rsidRDefault="007A0DD9" w:rsidP="007A0DD9">
          <w:pPr>
            <w:shd w:val="clear" w:color="auto" w:fill="FFFFFF"/>
            <w:spacing w:after="0" w:line="240" w:lineRule="auto"/>
            <w:jc w:val="both"/>
            <w:textAlignment w:val="baseline"/>
            <w:rPr>
              <w:rFonts w:ascii="Times New Roman" w:hAnsi="Times New Roman"/>
              <w:sz w:val="24"/>
              <w:szCs w:val="24"/>
            </w:rPr>
          </w:pPr>
        </w:p>
        <w:p w14:paraId="69BCD265" w14:textId="7F0C97A9" w:rsidR="007A0DD9" w:rsidRPr="00931DCE" w:rsidRDefault="007A0DD9" w:rsidP="007A0DD9">
          <w:pPr>
            <w:shd w:val="clear" w:color="auto" w:fill="FFFFFF"/>
            <w:spacing w:after="0" w:line="240" w:lineRule="auto"/>
            <w:jc w:val="both"/>
            <w:textAlignment w:val="baseline"/>
            <w:rPr>
              <w:rFonts w:ascii="Times New Roman" w:hAnsi="Times New Roman"/>
              <w:sz w:val="24"/>
              <w:szCs w:val="24"/>
            </w:rPr>
          </w:pPr>
          <w:r w:rsidRPr="00931DCE">
            <w:rPr>
              <w:rFonts w:ascii="Times New Roman" w:hAnsi="Times New Roman"/>
              <w:sz w:val="24"/>
              <w:szCs w:val="24"/>
            </w:rPr>
            <w:t>NATURALEZA DEL PASIVO CONTINGENTE</w:t>
          </w:r>
          <w:r w:rsidR="008D4D5A" w:rsidRPr="00931DCE">
            <w:rPr>
              <w:rFonts w:ascii="Times New Roman" w:hAnsi="Times New Roman"/>
              <w:sz w:val="24"/>
              <w:szCs w:val="24"/>
            </w:rPr>
            <w:t xml:space="preserve">: </w:t>
          </w:r>
          <w:r w:rsidRPr="00931DCE">
            <w:rPr>
              <w:rFonts w:ascii="Times New Roman" w:hAnsi="Times New Roman"/>
              <w:sz w:val="24"/>
              <w:szCs w:val="24"/>
            </w:rPr>
            <w:t xml:space="preserve">Con relación a los procesos laborales, el Grupo Interno de Trabajo de Defensa Judicial de la Vicepresidencia Jurídica, mediante el formato GEJU-F-010 - </w:t>
          </w:r>
          <w:r w:rsidRPr="00931DCE">
            <w:rPr>
              <w:rFonts w:ascii="Times New Roman" w:hAnsi="Times New Roman"/>
              <w:i/>
              <w:iCs/>
              <w:sz w:val="24"/>
              <w:szCs w:val="24"/>
            </w:rPr>
            <w:t>"Reporte Procesos Judiciales"</w:t>
          </w:r>
          <w:r w:rsidRPr="00931DCE">
            <w:rPr>
              <w:rFonts w:ascii="Times New Roman" w:hAnsi="Times New Roman"/>
              <w:sz w:val="24"/>
              <w:szCs w:val="24"/>
            </w:rPr>
            <w:t xml:space="preserve"> a 31 de diciembre de </w:t>
          </w:r>
          <w:r w:rsidR="00EF6E05" w:rsidRPr="00931DCE">
            <w:rPr>
              <w:rFonts w:ascii="Times New Roman" w:hAnsi="Times New Roman"/>
              <w:sz w:val="24"/>
              <w:szCs w:val="24"/>
            </w:rPr>
            <w:t>202</w:t>
          </w:r>
          <w:r w:rsidR="009B6A47">
            <w:rPr>
              <w:rFonts w:ascii="Times New Roman" w:hAnsi="Times New Roman"/>
              <w:sz w:val="24"/>
              <w:szCs w:val="24"/>
            </w:rPr>
            <w:t>3</w:t>
          </w:r>
          <w:r w:rsidRPr="00931DCE">
            <w:rPr>
              <w:rFonts w:ascii="Times New Roman" w:hAnsi="Times New Roman"/>
              <w:sz w:val="24"/>
              <w:szCs w:val="24"/>
            </w:rPr>
            <w:t xml:space="preserve">, reportó lo siguiente: </w:t>
          </w:r>
        </w:p>
        <w:p w14:paraId="0BE05A17" w14:textId="77777777" w:rsidR="007A0DD9" w:rsidRPr="00931DCE" w:rsidRDefault="007A0DD9" w:rsidP="007A0DD9">
          <w:pPr>
            <w:shd w:val="clear" w:color="auto" w:fill="FFFFFF"/>
            <w:spacing w:after="0" w:line="240" w:lineRule="auto"/>
            <w:jc w:val="both"/>
            <w:textAlignment w:val="baseline"/>
            <w:rPr>
              <w:rFonts w:ascii="Times New Roman" w:hAnsi="Times New Roman"/>
              <w:sz w:val="24"/>
              <w:szCs w:val="24"/>
            </w:rPr>
          </w:pPr>
        </w:p>
        <w:p w14:paraId="38ECDF53" w14:textId="77777777" w:rsidR="007A0DD9" w:rsidRPr="00931DCE" w:rsidRDefault="007A0DD9" w:rsidP="007A0DD9">
          <w:pPr>
            <w:shd w:val="clear" w:color="auto" w:fill="FFFFFF"/>
            <w:spacing w:after="0" w:line="240" w:lineRule="auto"/>
            <w:jc w:val="both"/>
            <w:textAlignment w:val="baseline"/>
            <w:rPr>
              <w:rFonts w:ascii="Times New Roman" w:hAnsi="Times New Roman"/>
              <w:sz w:val="24"/>
              <w:szCs w:val="24"/>
            </w:rPr>
          </w:pPr>
          <w:r w:rsidRPr="00931DCE">
            <w:rPr>
              <w:rFonts w:ascii="Times New Roman" w:hAnsi="Times New Roman"/>
              <w:sz w:val="24"/>
              <w:szCs w:val="24"/>
            </w:rPr>
            <w:t xml:space="preserve">En materia de procesos laborales, la mayoría de estos, son promovidos por trabajadores de los concesionarios y/o sus subcontratistas, que vinculan a la ANI en virtud del llamado principio de solidaridad patronal, y otros son promovidos por exfuncionarios y/o excontratistas de la entidad, siendo estos últimos el mínimo porcentaje de procesos. </w:t>
          </w:r>
        </w:p>
        <w:p w14:paraId="72404B1E" w14:textId="77777777" w:rsidR="007A0DD9" w:rsidRPr="00931DCE" w:rsidRDefault="007A0DD9" w:rsidP="007A0DD9">
          <w:pPr>
            <w:shd w:val="clear" w:color="auto" w:fill="FFFFFF"/>
            <w:spacing w:after="0" w:line="240" w:lineRule="auto"/>
            <w:jc w:val="both"/>
            <w:textAlignment w:val="baseline"/>
            <w:rPr>
              <w:rFonts w:ascii="Times New Roman" w:hAnsi="Times New Roman"/>
              <w:sz w:val="24"/>
              <w:szCs w:val="24"/>
            </w:rPr>
          </w:pPr>
        </w:p>
        <w:p w14:paraId="278EA12E" w14:textId="276990BA" w:rsidR="007A0DD9" w:rsidRPr="000A529C" w:rsidRDefault="007A0DD9" w:rsidP="007A0DD9">
          <w:pPr>
            <w:shd w:val="clear" w:color="auto" w:fill="FFFFFF"/>
            <w:spacing w:after="0" w:line="240" w:lineRule="auto"/>
            <w:jc w:val="both"/>
            <w:textAlignment w:val="baseline"/>
            <w:rPr>
              <w:rFonts w:ascii="Times New Roman" w:hAnsi="Times New Roman"/>
              <w:sz w:val="24"/>
              <w:szCs w:val="24"/>
            </w:rPr>
          </w:pPr>
          <w:r w:rsidRPr="00931DCE">
            <w:rPr>
              <w:rFonts w:ascii="Times New Roman" w:hAnsi="Times New Roman"/>
              <w:sz w:val="24"/>
              <w:szCs w:val="24"/>
            </w:rPr>
            <w:t>Hecha esta aclaración, de cincuenta y tres (5</w:t>
          </w:r>
          <w:r w:rsidR="000D4D2E">
            <w:rPr>
              <w:rFonts w:ascii="Times New Roman" w:hAnsi="Times New Roman"/>
              <w:sz w:val="24"/>
              <w:szCs w:val="24"/>
            </w:rPr>
            <w:t>9</w:t>
          </w:r>
          <w:r w:rsidRPr="00931DCE">
            <w:rPr>
              <w:rFonts w:ascii="Times New Roman" w:hAnsi="Times New Roman"/>
              <w:sz w:val="24"/>
              <w:szCs w:val="24"/>
            </w:rPr>
            <w:t>) procesos laborales que se registran en cuentas de orden, cincuenta y dos (5</w:t>
          </w:r>
          <w:r w:rsidR="00A549F4">
            <w:rPr>
              <w:rFonts w:ascii="Times New Roman" w:hAnsi="Times New Roman"/>
              <w:sz w:val="24"/>
              <w:szCs w:val="24"/>
            </w:rPr>
            <w:t>5</w:t>
          </w:r>
          <w:r w:rsidRPr="00931DCE">
            <w:rPr>
              <w:rFonts w:ascii="Times New Roman" w:hAnsi="Times New Roman"/>
              <w:sz w:val="24"/>
              <w:szCs w:val="24"/>
            </w:rPr>
            <w:t xml:space="preserve">) pertenecen a la primera categoría, es decir, trabajadores de los concesionarios y/o sus subcontratistas, y </w:t>
          </w:r>
          <w:r w:rsidR="0050713D">
            <w:rPr>
              <w:rFonts w:ascii="Times New Roman" w:hAnsi="Times New Roman"/>
              <w:sz w:val="24"/>
              <w:szCs w:val="24"/>
            </w:rPr>
            <w:t>cuatro</w:t>
          </w:r>
          <w:r w:rsidRPr="00931DCE">
            <w:rPr>
              <w:rFonts w:ascii="Times New Roman" w:hAnsi="Times New Roman"/>
              <w:sz w:val="24"/>
              <w:szCs w:val="24"/>
            </w:rPr>
            <w:t xml:space="preserve"> (</w:t>
          </w:r>
          <w:r w:rsidR="0050713D">
            <w:rPr>
              <w:rFonts w:ascii="Times New Roman" w:hAnsi="Times New Roman"/>
              <w:sz w:val="24"/>
              <w:szCs w:val="24"/>
            </w:rPr>
            <w:t>4</w:t>
          </w:r>
          <w:r w:rsidRPr="00931DCE">
            <w:rPr>
              <w:rFonts w:ascii="Times New Roman" w:hAnsi="Times New Roman"/>
              <w:sz w:val="24"/>
              <w:szCs w:val="24"/>
            </w:rPr>
            <w:t>) promovido por exfuncionario</w:t>
          </w:r>
          <w:r w:rsidR="0050713D">
            <w:rPr>
              <w:rFonts w:ascii="Times New Roman" w:hAnsi="Times New Roman"/>
              <w:sz w:val="24"/>
              <w:szCs w:val="24"/>
            </w:rPr>
            <w:t>s</w:t>
          </w:r>
          <w:r w:rsidRPr="00931DCE">
            <w:rPr>
              <w:rFonts w:ascii="Times New Roman" w:hAnsi="Times New Roman"/>
              <w:sz w:val="24"/>
              <w:szCs w:val="24"/>
            </w:rPr>
            <w:t xml:space="preserve"> de la </w:t>
          </w:r>
          <w:r w:rsidRPr="000A529C">
            <w:rPr>
              <w:rFonts w:ascii="Times New Roman" w:hAnsi="Times New Roman"/>
              <w:sz w:val="24"/>
              <w:szCs w:val="24"/>
            </w:rPr>
            <w:t xml:space="preserve">entidad. </w:t>
          </w:r>
        </w:p>
        <w:p w14:paraId="25CA2F1D" w14:textId="77777777" w:rsidR="007A0DD9" w:rsidRPr="000A529C" w:rsidRDefault="007A0DD9" w:rsidP="007A0DD9">
          <w:pPr>
            <w:shd w:val="clear" w:color="auto" w:fill="FFFFFF"/>
            <w:spacing w:after="0" w:line="240" w:lineRule="auto"/>
            <w:jc w:val="both"/>
            <w:textAlignment w:val="baseline"/>
            <w:rPr>
              <w:rFonts w:ascii="Times New Roman" w:hAnsi="Times New Roman"/>
              <w:sz w:val="24"/>
              <w:szCs w:val="24"/>
            </w:rPr>
          </w:pPr>
        </w:p>
        <w:p w14:paraId="1F618BB2" w14:textId="3E629061" w:rsidR="007A0DD9" w:rsidRPr="000A529C" w:rsidRDefault="007A0DD9" w:rsidP="007A0DD9">
          <w:pPr>
            <w:spacing w:after="0" w:line="240" w:lineRule="auto"/>
            <w:jc w:val="both"/>
            <w:rPr>
              <w:rFonts w:ascii="Times New Roman" w:hAnsi="Times New Roman"/>
              <w:sz w:val="24"/>
              <w:szCs w:val="24"/>
            </w:rPr>
          </w:pPr>
          <w:r w:rsidRPr="000A529C">
            <w:rPr>
              <w:rFonts w:ascii="Times New Roman" w:hAnsi="Times New Roman"/>
              <w:sz w:val="24"/>
              <w:szCs w:val="24"/>
            </w:rPr>
            <w:t>INCERTIDUMBRES ASOCIADAS AL VALOR</w:t>
          </w:r>
          <w:r w:rsidR="008D4D5A" w:rsidRPr="000A529C">
            <w:rPr>
              <w:rFonts w:ascii="Times New Roman" w:hAnsi="Times New Roman"/>
              <w:sz w:val="24"/>
              <w:szCs w:val="24"/>
            </w:rPr>
            <w:t xml:space="preserve">: </w:t>
          </w:r>
          <w:r w:rsidRPr="000A529C">
            <w:rPr>
              <w:rFonts w:ascii="Times New Roman" w:hAnsi="Times New Roman"/>
              <w:sz w:val="24"/>
              <w:szCs w:val="24"/>
            </w:rPr>
            <w:t xml:space="preserve">Frente a los procesos descritos en el acápite anterior, la incertidumbre es alta, toda vez que son diversas las categorías de pretensiones formuladas por los demandantes, que incluyen entre otros, el reconocimiento de salarios, prestaciones, indemnizaciones moratorias, o por despidos sin justa causa, sumado al hecho que, en este tipo de procesos son numerosos y diversos los demandados. </w:t>
          </w:r>
        </w:p>
        <w:p w14:paraId="7C3900B4" w14:textId="77777777" w:rsidR="007A0DD9" w:rsidRPr="000A529C" w:rsidRDefault="007A0DD9" w:rsidP="007A0DD9">
          <w:pPr>
            <w:spacing w:after="0" w:line="240" w:lineRule="auto"/>
            <w:jc w:val="both"/>
            <w:rPr>
              <w:rFonts w:ascii="Times New Roman" w:hAnsi="Times New Roman"/>
              <w:sz w:val="24"/>
              <w:szCs w:val="24"/>
            </w:rPr>
          </w:pPr>
        </w:p>
        <w:p w14:paraId="11DBD1E3" w14:textId="65F5E5C5" w:rsidR="007A0DD9" w:rsidRPr="00931DCE" w:rsidRDefault="007A0DD9" w:rsidP="007A0DD9">
          <w:pPr>
            <w:spacing w:after="0" w:line="240" w:lineRule="auto"/>
            <w:jc w:val="both"/>
            <w:rPr>
              <w:rFonts w:ascii="Times New Roman" w:hAnsi="Times New Roman"/>
              <w:sz w:val="24"/>
              <w:szCs w:val="24"/>
            </w:rPr>
          </w:pPr>
          <w:r w:rsidRPr="000A529C">
            <w:rPr>
              <w:rFonts w:ascii="Times New Roman" w:hAnsi="Times New Roman"/>
              <w:sz w:val="24"/>
              <w:szCs w:val="24"/>
            </w:rPr>
            <w:t>INCERTIDUMBRES ASOCIADAS CON LA FECHA</w:t>
          </w:r>
          <w:r w:rsidR="00C7585D" w:rsidRPr="000A529C">
            <w:rPr>
              <w:rFonts w:ascii="Times New Roman" w:hAnsi="Times New Roman"/>
              <w:sz w:val="24"/>
              <w:szCs w:val="24"/>
            </w:rPr>
            <w:t xml:space="preserve">: </w:t>
          </w:r>
          <w:r w:rsidRPr="000A529C">
            <w:rPr>
              <w:rFonts w:ascii="Times New Roman" w:hAnsi="Times New Roman"/>
              <w:sz w:val="24"/>
              <w:szCs w:val="24"/>
            </w:rPr>
            <w:t>La incertidumbre asociada con la fecha es alta, teniendo en cuenta que son procesos que se encuentran cursando la primera instancia, siendo complejo determinar la fecha exacta en que se contaría con la decisión en firme por parte de los despachos judiciales, no obstante, lo cual, se tiene que, los eventuales pagos deban realizarse en un promedio de 2 a 4 años.</w:t>
          </w:r>
        </w:p>
        <w:p w14:paraId="62A5856C" w14:textId="02FC7B92" w:rsidR="00D52038" w:rsidRPr="00931DCE" w:rsidRDefault="00D52038" w:rsidP="007A0DD9">
          <w:pPr>
            <w:spacing w:after="0" w:line="240" w:lineRule="auto"/>
            <w:jc w:val="both"/>
            <w:rPr>
              <w:rFonts w:ascii="Times New Roman" w:hAnsi="Times New Roman"/>
              <w:sz w:val="24"/>
              <w:szCs w:val="24"/>
            </w:rPr>
          </w:pPr>
        </w:p>
        <w:p w14:paraId="2B1D42C4" w14:textId="77777777" w:rsidR="00D52038" w:rsidRPr="00931DCE" w:rsidRDefault="00D52038" w:rsidP="007A0DD9">
          <w:pPr>
            <w:spacing w:after="0" w:line="240" w:lineRule="auto"/>
            <w:jc w:val="both"/>
            <w:rPr>
              <w:rFonts w:ascii="Times New Roman" w:hAnsi="Times New Roman"/>
              <w:sz w:val="24"/>
              <w:szCs w:val="24"/>
            </w:rPr>
          </w:pPr>
        </w:p>
        <w:p w14:paraId="29E6AFD3" w14:textId="12156320" w:rsidR="007A0DD9" w:rsidRPr="00931DCE" w:rsidRDefault="007A0DD9" w:rsidP="007A0DD9">
          <w:pPr>
            <w:shd w:val="clear" w:color="auto" w:fill="FFFFFF"/>
            <w:spacing w:after="0" w:line="240" w:lineRule="auto"/>
            <w:jc w:val="both"/>
            <w:textAlignment w:val="baseline"/>
            <w:rPr>
              <w:rFonts w:ascii="Times New Roman" w:hAnsi="Times New Roman"/>
              <w:sz w:val="24"/>
              <w:szCs w:val="24"/>
              <w:u w:val="single"/>
            </w:rPr>
          </w:pPr>
          <w:r w:rsidRPr="00931DCE">
            <w:rPr>
              <w:rFonts w:ascii="Times New Roman" w:hAnsi="Times New Roman"/>
              <w:sz w:val="24"/>
              <w:szCs w:val="24"/>
              <w:u w:val="single"/>
            </w:rPr>
            <w:t>PROCESOS ADMINISTRATIVOS</w:t>
          </w:r>
        </w:p>
        <w:p w14:paraId="11F406B3" w14:textId="77777777" w:rsidR="007A0DD9" w:rsidRPr="00931DCE" w:rsidRDefault="007A0DD9" w:rsidP="007A0DD9">
          <w:pPr>
            <w:shd w:val="clear" w:color="auto" w:fill="FFFFFF"/>
            <w:spacing w:after="0" w:line="240" w:lineRule="auto"/>
            <w:jc w:val="both"/>
            <w:textAlignment w:val="baseline"/>
            <w:rPr>
              <w:rFonts w:ascii="Times New Roman" w:hAnsi="Times New Roman"/>
              <w:sz w:val="24"/>
              <w:szCs w:val="24"/>
            </w:rPr>
          </w:pPr>
        </w:p>
        <w:p w14:paraId="66B1D815" w14:textId="6D94C883" w:rsidR="007A0DD9" w:rsidRPr="00931DCE" w:rsidRDefault="007A0DD9" w:rsidP="007A0DD9">
          <w:pPr>
            <w:shd w:val="clear" w:color="auto" w:fill="FFFFFF"/>
            <w:spacing w:after="0" w:line="240" w:lineRule="auto"/>
            <w:jc w:val="both"/>
            <w:textAlignment w:val="baseline"/>
            <w:rPr>
              <w:rFonts w:ascii="Times New Roman" w:hAnsi="Times New Roman"/>
              <w:sz w:val="24"/>
              <w:szCs w:val="24"/>
            </w:rPr>
          </w:pPr>
          <w:r w:rsidRPr="00931DCE">
            <w:rPr>
              <w:rFonts w:ascii="Times New Roman" w:hAnsi="Times New Roman"/>
              <w:sz w:val="24"/>
              <w:szCs w:val="24"/>
            </w:rPr>
            <w:t>NATURALEZA DEL PASIVO CONTINGENTE</w:t>
          </w:r>
          <w:r w:rsidR="00C7585D" w:rsidRPr="00931DCE">
            <w:rPr>
              <w:rFonts w:ascii="Times New Roman" w:hAnsi="Times New Roman"/>
              <w:sz w:val="24"/>
              <w:szCs w:val="24"/>
            </w:rPr>
            <w:t xml:space="preserve">: </w:t>
          </w:r>
          <w:r w:rsidRPr="00931DCE">
            <w:rPr>
              <w:rFonts w:ascii="Times New Roman" w:hAnsi="Times New Roman"/>
              <w:sz w:val="24"/>
              <w:szCs w:val="24"/>
            </w:rPr>
            <w:t xml:space="preserve">Con relación a los procesos administrativos, el Grupo Interno de Trabajo de Defensa Judicial de la Vicepresidencia Jurídica, mediante el formato GEJU-F-010 - </w:t>
          </w:r>
          <w:r w:rsidRPr="00931DCE">
            <w:rPr>
              <w:rFonts w:ascii="Times New Roman" w:hAnsi="Times New Roman"/>
              <w:i/>
              <w:iCs/>
              <w:sz w:val="24"/>
              <w:szCs w:val="24"/>
            </w:rPr>
            <w:t>"Reporte Procesos Judiciales"</w:t>
          </w:r>
          <w:r w:rsidRPr="00931DCE">
            <w:rPr>
              <w:rFonts w:ascii="Times New Roman" w:hAnsi="Times New Roman"/>
              <w:sz w:val="24"/>
              <w:szCs w:val="24"/>
            </w:rPr>
            <w:t xml:space="preserve"> a 31 de diciembre de 202</w:t>
          </w:r>
          <w:r w:rsidR="00A549F4">
            <w:rPr>
              <w:rFonts w:ascii="Times New Roman" w:hAnsi="Times New Roman"/>
              <w:sz w:val="24"/>
              <w:szCs w:val="24"/>
            </w:rPr>
            <w:t>3</w:t>
          </w:r>
          <w:r w:rsidRPr="00931DCE">
            <w:rPr>
              <w:rFonts w:ascii="Times New Roman" w:hAnsi="Times New Roman"/>
              <w:sz w:val="24"/>
              <w:szCs w:val="24"/>
            </w:rPr>
            <w:t xml:space="preserve">, reportó lo siguiente: </w:t>
          </w:r>
        </w:p>
        <w:p w14:paraId="68CE66A4" w14:textId="77777777" w:rsidR="007A0DD9" w:rsidRPr="00931DCE" w:rsidRDefault="007A0DD9" w:rsidP="007A0DD9">
          <w:pPr>
            <w:shd w:val="clear" w:color="auto" w:fill="FFFFFF"/>
            <w:spacing w:after="0" w:line="240" w:lineRule="auto"/>
            <w:jc w:val="both"/>
            <w:textAlignment w:val="baseline"/>
            <w:rPr>
              <w:rFonts w:ascii="Times New Roman" w:hAnsi="Times New Roman"/>
              <w:sz w:val="24"/>
              <w:szCs w:val="24"/>
            </w:rPr>
          </w:pPr>
          <w:r w:rsidRPr="00931DCE">
            <w:rPr>
              <w:rFonts w:ascii="Times New Roman" w:hAnsi="Times New Roman"/>
              <w:sz w:val="24"/>
              <w:szCs w:val="24"/>
            </w:rPr>
            <w:lastRenderedPageBreak/>
            <w:t xml:space="preserve">Dentro de esta categoría de procesos, se encuentran diferentes medios de control, así: </w:t>
          </w:r>
        </w:p>
        <w:p w14:paraId="51447DAA" w14:textId="77777777" w:rsidR="007A0DD9" w:rsidRPr="00931DCE" w:rsidRDefault="007A0DD9" w:rsidP="007A0DD9">
          <w:pPr>
            <w:shd w:val="clear" w:color="auto" w:fill="FFFFFF"/>
            <w:spacing w:after="0" w:line="240" w:lineRule="auto"/>
            <w:jc w:val="both"/>
            <w:textAlignment w:val="baseline"/>
            <w:rPr>
              <w:rFonts w:ascii="Times New Roman" w:hAnsi="Times New Roman"/>
              <w:sz w:val="24"/>
              <w:szCs w:val="24"/>
            </w:rPr>
          </w:pPr>
        </w:p>
        <w:p w14:paraId="4B95C5AA" w14:textId="782DAECD" w:rsidR="007A0DD9" w:rsidRPr="00931DCE" w:rsidRDefault="00A608EF" w:rsidP="00451687">
          <w:pPr>
            <w:pStyle w:val="Prrafodelista"/>
            <w:numPr>
              <w:ilvl w:val="0"/>
              <w:numId w:val="27"/>
            </w:num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 xml:space="preserve">Setecientos veintiocho </w:t>
          </w:r>
          <w:r w:rsidR="007A0DD9" w:rsidRPr="00931DCE">
            <w:rPr>
              <w:rFonts w:ascii="Times New Roman" w:hAnsi="Times New Roman"/>
              <w:sz w:val="24"/>
              <w:szCs w:val="24"/>
            </w:rPr>
            <w:t>(</w:t>
          </w:r>
          <w:r>
            <w:rPr>
              <w:rFonts w:ascii="Times New Roman" w:hAnsi="Times New Roman"/>
              <w:sz w:val="24"/>
              <w:szCs w:val="24"/>
            </w:rPr>
            <w:t>728</w:t>
          </w:r>
          <w:r w:rsidR="007A0DD9" w:rsidRPr="00931DCE">
            <w:rPr>
              <w:rFonts w:ascii="Times New Roman" w:hAnsi="Times New Roman"/>
              <w:sz w:val="24"/>
              <w:szCs w:val="24"/>
            </w:rPr>
            <w:t>) procesos de reparación directa registrados en cuentas de orden por la suma de $</w:t>
          </w:r>
          <w:r w:rsidR="006C39CC">
            <w:rPr>
              <w:rFonts w:ascii="Times New Roman" w:hAnsi="Times New Roman"/>
              <w:sz w:val="24"/>
              <w:szCs w:val="24"/>
            </w:rPr>
            <w:t>1.040.741.712.245</w:t>
          </w:r>
          <w:r w:rsidR="007A0DD9" w:rsidRPr="00931DCE">
            <w:rPr>
              <w:rFonts w:ascii="Times New Roman" w:hAnsi="Times New Roman"/>
              <w:sz w:val="24"/>
              <w:szCs w:val="24"/>
            </w:rPr>
            <w:t>, promovidos para la indemnización de perjuicios morales y materiales presuntamente causados con ocasión de la gestión adelantada en desarrollo de los proyectos de infraestructura a cargo de la entidad, particularmente por accidentes de tránsito, ocupación de inmuebles, daños causados a predios por el desarrollo de las obras, entre otros.</w:t>
          </w:r>
        </w:p>
        <w:p w14:paraId="4BCCDB9B" w14:textId="77777777" w:rsidR="007A0DD9" w:rsidRPr="00931DCE" w:rsidRDefault="007A0DD9" w:rsidP="007A0DD9">
          <w:pPr>
            <w:shd w:val="clear" w:color="auto" w:fill="FFFFFF"/>
            <w:spacing w:after="0" w:line="240" w:lineRule="auto"/>
            <w:jc w:val="both"/>
            <w:textAlignment w:val="baseline"/>
            <w:rPr>
              <w:rFonts w:ascii="Times New Roman" w:hAnsi="Times New Roman"/>
              <w:sz w:val="24"/>
              <w:szCs w:val="24"/>
            </w:rPr>
          </w:pPr>
        </w:p>
        <w:p w14:paraId="0D11A2C7" w14:textId="69CAD50D" w:rsidR="007A0DD9" w:rsidRPr="00931DCE" w:rsidRDefault="00C323A7" w:rsidP="00451687">
          <w:pPr>
            <w:pStyle w:val="Prrafodelista"/>
            <w:numPr>
              <w:ilvl w:val="0"/>
              <w:numId w:val="27"/>
            </w:num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Ochenta</w:t>
          </w:r>
          <w:r w:rsidR="007A0DD9" w:rsidRPr="00931DCE">
            <w:rPr>
              <w:rFonts w:ascii="Times New Roman" w:hAnsi="Times New Roman"/>
              <w:sz w:val="24"/>
              <w:szCs w:val="24"/>
            </w:rPr>
            <w:t xml:space="preserve"> y cinco (</w:t>
          </w:r>
          <w:r>
            <w:rPr>
              <w:rFonts w:ascii="Times New Roman" w:hAnsi="Times New Roman"/>
              <w:sz w:val="24"/>
              <w:szCs w:val="24"/>
            </w:rPr>
            <w:t>85</w:t>
          </w:r>
          <w:r w:rsidR="007A0DD9" w:rsidRPr="00931DCE">
            <w:rPr>
              <w:rFonts w:ascii="Times New Roman" w:hAnsi="Times New Roman"/>
              <w:sz w:val="24"/>
              <w:szCs w:val="24"/>
            </w:rPr>
            <w:t xml:space="preserve">) acciones populares, promovida por los ciudadanos en procura de la protección de los derechos colectivos, principalmente al medio ambiente sano, a la moralidad administrativa, seguridad y prevención de desastres, entre otros; que en su mayoría no presentan cuantía, toda vez que, por su naturaleza, no es un medio de control de carácter indemnizatorio, no obstante, en </w:t>
          </w:r>
          <w:r w:rsidR="000C1023">
            <w:rPr>
              <w:rFonts w:ascii="Times New Roman" w:hAnsi="Times New Roman"/>
              <w:sz w:val="24"/>
              <w:szCs w:val="24"/>
            </w:rPr>
            <w:t>una</w:t>
          </w:r>
          <w:r w:rsidR="007A0DD9" w:rsidRPr="00931DCE">
            <w:rPr>
              <w:rFonts w:ascii="Times New Roman" w:hAnsi="Times New Roman"/>
              <w:sz w:val="24"/>
              <w:szCs w:val="24"/>
            </w:rPr>
            <w:t xml:space="preserve"> (</w:t>
          </w:r>
          <w:r w:rsidR="000C1023">
            <w:rPr>
              <w:rFonts w:ascii="Times New Roman" w:hAnsi="Times New Roman"/>
              <w:sz w:val="24"/>
              <w:szCs w:val="24"/>
            </w:rPr>
            <w:t>1</w:t>
          </w:r>
          <w:r w:rsidR="007A0DD9" w:rsidRPr="00931DCE">
            <w:rPr>
              <w:rFonts w:ascii="Times New Roman" w:hAnsi="Times New Roman"/>
              <w:sz w:val="24"/>
              <w:szCs w:val="24"/>
            </w:rPr>
            <w:t>) de ellas, los actores populares, incluyeron cuantificación de las obras pretendidas, por lo que se genera un registro contable en cuentas de orden por la suma de $</w:t>
          </w:r>
          <w:r w:rsidR="00AC3150">
            <w:rPr>
              <w:rFonts w:ascii="Times New Roman" w:hAnsi="Times New Roman"/>
              <w:sz w:val="24"/>
              <w:szCs w:val="24"/>
            </w:rPr>
            <w:t>5.858.615.951</w:t>
          </w:r>
          <w:r w:rsidR="007A0DD9" w:rsidRPr="00931DCE">
            <w:rPr>
              <w:rFonts w:ascii="Times New Roman" w:hAnsi="Times New Roman"/>
              <w:sz w:val="24"/>
              <w:szCs w:val="24"/>
            </w:rPr>
            <w:t xml:space="preserve">. </w:t>
          </w:r>
        </w:p>
        <w:p w14:paraId="789E5B1F" w14:textId="77777777" w:rsidR="007A0DD9" w:rsidRPr="00931DCE" w:rsidRDefault="007A0DD9" w:rsidP="007A0DD9">
          <w:pPr>
            <w:pStyle w:val="Prrafodelista"/>
            <w:rPr>
              <w:rFonts w:ascii="Times New Roman" w:hAnsi="Times New Roman"/>
              <w:sz w:val="24"/>
              <w:szCs w:val="24"/>
            </w:rPr>
          </w:pPr>
        </w:p>
        <w:p w14:paraId="6E1AA241" w14:textId="7D595E3A" w:rsidR="007A0DD9" w:rsidRPr="00931DCE" w:rsidRDefault="00747145" w:rsidP="00451687">
          <w:pPr>
            <w:pStyle w:val="Prrafodelista"/>
            <w:numPr>
              <w:ilvl w:val="0"/>
              <w:numId w:val="27"/>
            </w:numPr>
            <w:shd w:val="clear" w:color="auto" w:fill="FFFFFF"/>
            <w:spacing w:after="0" w:line="240" w:lineRule="auto"/>
            <w:jc w:val="both"/>
            <w:textAlignment w:val="baseline"/>
            <w:rPr>
              <w:rFonts w:ascii="Times New Roman" w:hAnsi="Times New Roman"/>
              <w:sz w:val="24"/>
              <w:szCs w:val="24"/>
            </w:rPr>
          </w:pPr>
          <w:r w:rsidRPr="00931DCE">
            <w:rPr>
              <w:rFonts w:ascii="Times New Roman" w:hAnsi="Times New Roman"/>
              <w:sz w:val="24"/>
              <w:szCs w:val="24"/>
            </w:rPr>
            <w:t>Veinti</w:t>
          </w:r>
          <w:r w:rsidR="00CC27E5">
            <w:rPr>
              <w:rFonts w:ascii="Times New Roman" w:hAnsi="Times New Roman"/>
              <w:sz w:val="24"/>
              <w:szCs w:val="24"/>
            </w:rPr>
            <w:t>cuatro</w:t>
          </w:r>
          <w:r w:rsidR="007A0DD9" w:rsidRPr="00931DCE">
            <w:rPr>
              <w:rFonts w:ascii="Times New Roman" w:hAnsi="Times New Roman"/>
              <w:sz w:val="24"/>
              <w:szCs w:val="24"/>
            </w:rPr>
            <w:t xml:space="preserve"> (2</w:t>
          </w:r>
          <w:r w:rsidR="00CC27E5">
            <w:rPr>
              <w:rFonts w:ascii="Times New Roman" w:hAnsi="Times New Roman"/>
              <w:sz w:val="24"/>
              <w:szCs w:val="24"/>
            </w:rPr>
            <w:t>4</w:t>
          </w:r>
          <w:r w:rsidR="007A0DD9" w:rsidRPr="00931DCE">
            <w:rPr>
              <w:rFonts w:ascii="Times New Roman" w:hAnsi="Times New Roman"/>
              <w:sz w:val="24"/>
              <w:szCs w:val="24"/>
            </w:rPr>
            <w:t>) procesos con pretensiones de nulidad y restablecimiento del derecho, con registro contable en cuentas de orden por valor de $</w:t>
          </w:r>
          <w:r w:rsidR="002F5586">
            <w:rPr>
              <w:rFonts w:ascii="Times New Roman" w:hAnsi="Times New Roman"/>
              <w:sz w:val="24"/>
              <w:szCs w:val="24"/>
            </w:rPr>
            <w:t>67.</w:t>
          </w:r>
          <w:r w:rsidR="0027488E">
            <w:rPr>
              <w:rFonts w:ascii="Times New Roman" w:hAnsi="Times New Roman"/>
              <w:sz w:val="24"/>
              <w:szCs w:val="24"/>
            </w:rPr>
            <w:t>171.990</w:t>
          </w:r>
          <w:r w:rsidR="002F5586">
            <w:rPr>
              <w:rFonts w:ascii="Times New Roman" w:hAnsi="Times New Roman"/>
              <w:sz w:val="24"/>
              <w:szCs w:val="24"/>
            </w:rPr>
            <w:t>.208</w:t>
          </w:r>
          <w:r w:rsidR="007A0DD9" w:rsidRPr="00931DCE">
            <w:rPr>
              <w:rFonts w:ascii="Times New Roman" w:hAnsi="Times New Roman"/>
              <w:sz w:val="24"/>
              <w:szCs w:val="24"/>
            </w:rPr>
            <w:t xml:space="preserve">, cuya pretensión </w:t>
          </w:r>
          <w:r w:rsidR="00C7585D" w:rsidRPr="00931DCE">
            <w:rPr>
              <w:rFonts w:ascii="Times New Roman" w:hAnsi="Times New Roman"/>
              <w:sz w:val="24"/>
              <w:szCs w:val="24"/>
            </w:rPr>
            <w:t>está</w:t>
          </w:r>
          <w:r w:rsidR="007A0DD9" w:rsidRPr="00931DCE">
            <w:rPr>
              <w:rFonts w:ascii="Times New Roman" w:hAnsi="Times New Roman"/>
              <w:sz w:val="24"/>
              <w:szCs w:val="24"/>
            </w:rPr>
            <w:t xml:space="preserve"> dirigida a atacar la validez de actos administrativos expedidos por la entidad en su mayoría relacionados con inicio de procesos de expropiación.</w:t>
          </w:r>
        </w:p>
        <w:p w14:paraId="0ECF8A55" w14:textId="77777777" w:rsidR="007A0DD9" w:rsidRPr="00931DCE" w:rsidRDefault="007A0DD9" w:rsidP="007A0DD9">
          <w:pPr>
            <w:pStyle w:val="Prrafodelista"/>
            <w:rPr>
              <w:rFonts w:ascii="Times New Roman" w:hAnsi="Times New Roman"/>
              <w:sz w:val="24"/>
              <w:szCs w:val="24"/>
            </w:rPr>
          </w:pPr>
        </w:p>
        <w:p w14:paraId="4AFA95F3" w14:textId="0D2334FF" w:rsidR="007A0DD9" w:rsidRPr="00931DCE" w:rsidRDefault="00EC6729" w:rsidP="00451687">
          <w:pPr>
            <w:pStyle w:val="Prrafodelista"/>
            <w:numPr>
              <w:ilvl w:val="0"/>
              <w:numId w:val="27"/>
            </w:num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 xml:space="preserve">Veintiséis </w:t>
          </w:r>
          <w:r w:rsidR="007A0DD9" w:rsidRPr="00931DCE">
            <w:rPr>
              <w:rFonts w:ascii="Times New Roman" w:hAnsi="Times New Roman"/>
              <w:sz w:val="24"/>
              <w:szCs w:val="24"/>
            </w:rPr>
            <w:t>(2</w:t>
          </w:r>
          <w:r>
            <w:rPr>
              <w:rFonts w:ascii="Times New Roman" w:hAnsi="Times New Roman"/>
              <w:sz w:val="24"/>
              <w:szCs w:val="24"/>
            </w:rPr>
            <w:t>6</w:t>
          </w:r>
          <w:r w:rsidR="007A0DD9" w:rsidRPr="00931DCE">
            <w:rPr>
              <w:rFonts w:ascii="Times New Roman" w:hAnsi="Times New Roman"/>
              <w:sz w:val="24"/>
              <w:szCs w:val="24"/>
            </w:rPr>
            <w:t>) procesos de controversias contractuales registrados contablemente en cuentas de orden por la suma de $</w:t>
          </w:r>
          <w:r w:rsidR="00C10340">
            <w:rPr>
              <w:rFonts w:ascii="Times New Roman" w:hAnsi="Times New Roman"/>
              <w:sz w:val="24"/>
              <w:szCs w:val="24"/>
            </w:rPr>
            <w:t>421.712.253.232</w:t>
          </w:r>
          <w:r w:rsidR="007A0DD9" w:rsidRPr="00931DCE">
            <w:rPr>
              <w:rFonts w:ascii="Times New Roman" w:hAnsi="Times New Roman"/>
              <w:sz w:val="24"/>
              <w:szCs w:val="24"/>
            </w:rPr>
            <w:t xml:space="preserve">, relacionados entre otros, con contratos de adquisición predial, liquidación de contratos o actos sancionatorios contractuales. </w:t>
          </w:r>
        </w:p>
        <w:p w14:paraId="0A577887" w14:textId="77777777" w:rsidR="007A0DD9" w:rsidRPr="00931DCE" w:rsidRDefault="007A0DD9" w:rsidP="007A0DD9">
          <w:pPr>
            <w:pStyle w:val="Prrafodelista"/>
            <w:rPr>
              <w:rFonts w:ascii="Times New Roman" w:hAnsi="Times New Roman"/>
              <w:sz w:val="24"/>
              <w:szCs w:val="24"/>
            </w:rPr>
          </w:pPr>
        </w:p>
        <w:p w14:paraId="58B78013" w14:textId="6F610D01" w:rsidR="007A0DD9" w:rsidRPr="00931DCE" w:rsidRDefault="00B56917" w:rsidP="00451687">
          <w:pPr>
            <w:pStyle w:val="Prrafodelista"/>
            <w:numPr>
              <w:ilvl w:val="0"/>
              <w:numId w:val="27"/>
            </w:num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Once</w:t>
          </w:r>
          <w:r w:rsidR="007A0DD9" w:rsidRPr="00931DCE">
            <w:rPr>
              <w:rFonts w:ascii="Times New Roman" w:hAnsi="Times New Roman"/>
              <w:sz w:val="24"/>
              <w:szCs w:val="24"/>
            </w:rPr>
            <w:t xml:space="preserve"> (</w:t>
          </w:r>
          <w:r>
            <w:rPr>
              <w:rFonts w:ascii="Times New Roman" w:hAnsi="Times New Roman"/>
              <w:sz w:val="24"/>
              <w:szCs w:val="24"/>
            </w:rPr>
            <w:t>11</w:t>
          </w:r>
          <w:r w:rsidR="007A0DD9" w:rsidRPr="00931DCE">
            <w:rPr>
              <w:rFonts w:ascii="Times New Roman" w:hAnsi="Times New Roman"/>
              <w:sz w:val="24"/>
              <w:szCs w:val="24"/>
            </w:rPr>
            <w:t>) acciones de grupo registradas contablemente en cuentas de orden por la suma de $</w:t>
          </w:r>
          <w:r w:rsidR="00FD26CE">
            <w:rPr>
              <w:rFonts w:ascii="Times New Roman" w:hAnsi="Times New Roman"/>
              <w:sz w:val="24"/>
              <w:szCs w:val="24"/>
            </w:rPr>
            <w:t>10.880.201.</w:t>
          </w:r>
          <w:r w:rsidR="00D527AD">
            <w:rPr>
              <w:rFonts w:ascii="Times New Roman" w:hAnsi="Times New Roman"/>
              <w:sz w:val="24"/>
              <w:szCs w:val="24"/>
            </w:rPr>
            <w:t>686.129</w:t>
          </w:r>
          <w:r w:rsidR="007A0DD9" w:rsidRPr="00931DCE">
            <w:rPr>
              <w:rFonts w:ascii="Times New Roman" w:hAnsi="Times New Roman"/>
              <w:sz w:val="24"/>
              <w:szCs w:val="24"/>
            </w:rPr>
            <w:t xml:space="preserve">, promovidos por grupos de ciudadanos que reclaman indemnización de perjuicios, morales y materiales por un mismo hecho, por vía de ejemplo los sufridos presuntamente por extrabajadores del proyecto Ruta del Sol Sector 2. </w:t>
          </w:r>
        </w:p>
        <w:p w14:paraId="12B9391D" w14:textId="77777777" w:rsidR="007A0DD9" w:rsidRPr="00931DCE" w:rsidRDefault="007A0DD9" w:rsidP="007A0DD9">
          <w:pPr>
            <w:pStyle w:val="Prrafodelista"/>
            <w:rPr>
              <w:rFonts w:ascii="Times New Roman" w:hAnsi="Times New Roman"/>
              <w:sz w:val="24"/>
              <w:szCs w:val="24"/>
            </w:rPr>
          </w:pPr>
        </w:p>
        <w:p w14:paraId="66D0C9B3" w14:textId="1B370740" w:rsidR="007A0DD9" w:rsidRPr="00931DCE" w:rsidRDefault="00AA5E04" w:rsidP="00451687">
          <w:pPr>
            <w:pStyle w:val="Prrafodelista"/>
            <w:numPr>
              <w:ilvl w:val="0"/>
              <w:numId w:val="27"/>
            </w:num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 xml:space="preserve">Cinco </w:t>
          </w:r>
          <w:r w:rsidR="007A0DD9" w:rsidRPr="00931DCE">
            <w:rPr>
              <w:rFonts w:ascii="Times New Roman" w:hAnsi="Times New Roman"/>
              <w:sz w:val="24"/>
              <w:szCs w:val="24"/>
            </w:rPr>
            <w:t>(</w:t>
          </w:r>
          <w:r>
            <w:rPr>
              <w:rFonts w:ascii="Times New Roman" w:hAnsi="Times New Roman"/>
              <w:sz w:val="24"/>
              <w:szCs w:val="24"/>
            </w:rPr>
            <w:t>5</w:t>
          </w:r>
          <w:r w:rsidR="007A0DD9" w:rsidRPr="00931DCE">
            <w:rPr>
              <w:rFonts w:ascii="Times New Roman" w:hAnsi="Times New Roman"/>
              <w:sz w:val="24"/>
              <w:szCs w:val="24"/>
            </w:rPr>
            <w:t xml:space="preserve">) acciones de simple nulidad </w:t>
          </w:r>
          <w:r w:rsidR="0087699C" w:rsidRPr="00931DCE">
            <w:rPr>
              <w:rFonts w:ascii="Times New Roman" w:hAnsi="Times New Roman"/>
              <w:sz w:val="24"/>
              <w:szCs w:val="24"/>
            </w:rPr>
            <w:t>que,</w:t>
          </w:r>
          <w:r w:rsidR="007A0DD9" w:rsidRPr="00931DCE">
            <w:rPr>
              <w:rFonts w:ascii="Times New Roman" w:hAnsi="Times New Roman"/>
              <w:sz w:val="24"/>
              <w:szCs w:val="24"/>
            </w:rPr>
            <w:t xml:space="preserve"> por su naturaleza, no presenta valor de pretensiones y busca, atacar la validez de actos administrativos de carácter general.</w:t>
          </w:r>
        </w:p>
        <w:p w14:paraId="72D6D2C2" w14:textId="77777777" w:rsidR="007A0DD9" w:rsidRPr="00931DCE" w:rsidRDefault="007A0DD9" w:rsidP="007A0DD9">
          <w:pPr>
            <w:pStyle w:val="Prrafodelista"/>
            <w:rPr>
              <w:rFonts w:ascii="Times New Roman" w:hAnsi="Times New Roman"/>
              <w:sz w:val="24"/>
              <w:szCs w:val="24"/>
            </w:rPr>
          </w:pPr>
        </w:p>
        <w:p w14:paraId="217CB23F" w14:textId="34D4E426" w:rsidR="003D22B2" w:rsidRPr="00931DCE" w:rsidRDefault="003D62C1" w:rsidP="00451687">
          <w:pPr>
            <w:pStyle w:val="Prrafodelista"/>
            <w:numPr>
              <w:ilvl w:val="0"/>
              <w:numId w:val="27"/>
            </w:num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Cinco</w:t>
          </w:r>
          <w:r w:rsidR="007A0DD9" w:rsidRPr="00931DCE">
            <w:rPr>
              <w:rFonts w:ascii="Times New Roman" w:hAnsi="Times New Roman"/>
              <w:sz w:val="24"/>
              <w:szCs w:val="24"/>
            </w:rPr>
            <w:t xml:space="preserve"> (</w:t>
          </w:r>
          <w:r>
            <w:rPr>
              <w:rFonts w:ascii="Times New Roman" w:hAnsi="Times New Roman"/>
              <w:sz w:val="24"/>
              <w:szCs w:val="24"/>
            </w:rPr>
            <w:t>5</w:t>
          </w:r>
          <w:r w:rsidR="007A0DD9" w:rsidRPr="00931DCE">
            <w:rPr>
              <w:rFonts w:ascii="Times New Roman" w:hAnsi="Times New Roman"/>
              <w:sz w:val="24"/>
              <w:szCs w:val="24"/>
            </w:rPr>
            <w:t>) procesos ejecutivos registrados en cuentas de orden por la suma de $</w:t>
          </w:r>
          <w:r w:rsidR="0022040E">
            <w:rPr>
              <w:rFonts w:ascii="Times New Roman" w:hAnsi="Times New Roman"/>
              <w:sz w:val="24"/>
              <w:szCs w:val="24"/>
            </w:rPr>
            <w:t>24.600.896.043</w:t>
          </w:r>
          <w:r w:rsidR="007A0DD9" w:rsidRPr="00931DCE">
            <w:rPr>
              <w:rFonts w:ascii="Times New Roman" w:hAnsi="Times New Roman"/>
              <w:sz w:val="24"/>
              <w:szCs w:val="24"/>
            </w:rPr>
            <w:t>, dentro de los cuales se encuentran los promovidos por DEVINAR y Autopistas de Santander, cuya controversia radica en la liquidación o forma de pago, de un Laudo Arbitral y un acuerdo conciliatorio.</w:t>
          </w:r>
        </w:p>
        <w:p w14:paraId="2718B042" w14:textId="77777777" w:rsidR="007A0DD9" w:rsidRPr="00931DCE" w:rsidRDefault="007A0DD9" w:rsidP="007A0DD9">
          <w:pPr>
            <w:shd w:val="clear" w:color="auto" w:fill="FFFFFF"/>
            <w:spacing w:after="0" w:line="240" w:lineRule="auto"/>
            <w:jc w:val="both"/>
            <w:textAlignment w:val="baseline"/>
            <w:rPr>
              <w:rFonts w:ascii="Times New Roman" w:hAnsi="Times New Roman"/>
              <w:sz w:val="24"/>
              <w:szCs w:val="24"/>
            </w:rPr>
          </w:pPr>
        </w:p>
        <w:p w14:paraId="464AB3BC" w14:textId="49CB44B5" w:rsidR="007A0DD9" w:rsidRPr="000A529C" w:rsidRDefault="007A0DD9" w:rsidP="007A0DD9">
          <w:pPr>
            <w:spacing w:after="0" w:line="240" w:lineRule="auto"/>
            <w:jc w:val="both"/>
            <w:rPr>
              <w:rFonts w:ascii="Times New Roman" w:hAnsi="Times New Roman"/>
              <w:sz w:val="24"/>
              <w:szCs w:val="24"/>
            </w:rPr>
          </w:pPr>
          <w:r w:rsidRPr="000A529C">
            <w:rPr>
              <w:rFonts w:ascii="Times New Roman" w:hAnsi="Times New Roman"/>
              <w:sz w:val="24"/>
              <w:szCs w:val="24"/>
            </w:rPr>
            <w:t>INCERTIDUMBRES ASOCIADAS AL VALOR</w:t>
          </w:r>
          <w:r w:rsidR="00F11589" w:rsidRPr="000A529C">
            <w:rPr>
              <w:rFonts w:ascii="Times New Roman" w:hAnsi="Times New Roman"/>
              <w:sz w:val="24"/>
              <w:szCs w:val="24"/>
            </w:rPr>
            <w:t xml:space="preserve">: </w:t>
          </w:r>
          <w:r w:rsidRPr="000A529C">
            <w:rPr>
              <w:rFonts w:ascii="Times New Roman" w:hAnsi="Times New Roman"/>
              <w:sz w:val="24"/>
              <w:szCs w:val="24"/>
            </w:rPr>
            <w:t xml:space="preserve">Frente a los procesos descritos en el acápite anterior, la incertidumbre es alta, toda vez que son diversas las categorías de pretensiones formuladas por los demandantes y/o accionantes, que incluyen entre otros, el reconocimiento de perjuicios morales y materiales, sumado al hecho que, en este tipo de procesos son numerosos y diversos los demandados. </w:t>
          </w:r>
        </w:p>
        <w:p w14:paraId="3ADE01F9" w14:textId="77777777" w:rsidR="007A0DD9" w:rsidRPr="000A529C" w:rsidRDefault="007A0DD9" w:rsidP="007A0DD9">
          <w:pPr>
            <w:spacing w:after="0" w:line="240" w:lineRule="auto"/>
            <w:jc w:val="both"/>
            <w:rPr>
              <w:rFonts w:ascii="Times New Roman" w:hAnsi="Times New Roman"/>
              <w:sz w:val="24"/>
              <w:szCs w:val="24"/>
            </w:rPr>
          </w:pPr>
        </w:p>
        <w:p w14:paraId="47C5E19F" w14:textId="5697645E" w:rsidR="000A529C" w:rsidRPr="00C374BB" w:rsidRDefault="007A0DD9" w:rsidP="00C374BB">
          <w:pPr>
            <w:spacing w:after="0" w:line="240" w:lineRule="auto"/>
            <w:jc w:val="both"/>
            <w:rPr>
              <w:rFonts w:ascii="Times New Roman" w:hAnsi="Times New Roman"/>
              <w:sz w:val="24"/>
              <w:szCs w:val="24"/>
            </w:rPr>
          </w:pPr>
          <w:r w:rsidRPr="000A529C">
            <w:rPr>
              <w:rFonts w:ascii="Times New Roman" w:hAnsi="Times New Roman"/>
              <w:sz w:val="24"/>
              <w:szCs w:val="24"/>
            </w:rPr>
            <w:lastRenderedPageBreak/>
            <w:t>INCERTIDUMBRES ASOCIADAS CON LA FECHA</w:t>
          </w:r>
          <w:r w:rsidR="00F11589" w:rsidRPr="000A529C">
            <w:rPr>
              <w:rFonts w:ascii="Times New Roman" w:hAnsi="Times New Roman"/>
              <w:sz w:val="24"/>
              <w:szCs w:val="24"/>
            </w:rPr>
            <w:t xml:space="preserve">: </w:t>
          </w:r>
          <w:r w:rsidRPr="000A529C">
            <w:rPr>
              <w:rFonts w:ascii="Times New Roman" w:hAnsi="Times New Roman"/>
              <w:sz w:val="24"/>
              <w:szCs w:val="24"/>
            </w:rPr>
            <w:t xml:space="preserve">La incertidumbre asociada con la fecha es alta, toda vez que, los procesos que se encuentran en diferentes etapas, siendo complejo determinar la fecha exacta en que se contaría con la decisión en firme por parte de los despachos judiciales, no obstante, lo cual, se tiene que, los eventuales pagos deban realizarse en un promedio de 2 a 5 años. </w:t>
          </w:r>
        </w:p>
        <w:p w14:paraId="388E53E7" w14:textId="77777777" w:rsidR="000A529C" w:rsidRPr="00EA5941" w:rsidRDefault="000A529C" w:rsidP="007A0DD9">
          <w:pPr>
            <w:spacing w:after="0" w:line="240" w:lineRule="auto"/>
            <w:rPr>
              <w:rFonts w:ascii="Times New Roman" w:hAnsi="Times New Roman"/>
              <w:sz w:val="24"/>
              <w:szCs w:val="24"/>
              <w:highlight w:val="yellow"/>
            </w:rPr>
          </w:pPr>
        </w:p>
        <w:p w14:paraId="1BD8E15A" w14:textId="77777777" w:rsidR="007A0DD9" w:rsidRPr="00931DCE" w:rsidRDefault="007A0DD9" w:rsidP="007A0DD9">
          <w:pPr>
            <w:shd w:val="clear" w:color="auto" w:fill="FFFFFF"/>
            <w:spacing w:after="0" w:line="240" w:lineRule="auto"/>
            <w:jc w:val="both"/>
            <w:textAlignment w:val="baseline"/>
            <w:rPr>
              <w:rFonts w:ascii="Times New Roman" w:hAnsi="Times New Roman"/>
              <w:sz w:val="24"/>
              <w:szCs w:val="24"/>
              <w:u w:val="single"/>
            </w:rPr>
          </w:pPr>
          <w:r w:rsidRPr="00931DCE">
            <w:rPr>
              <w:rFonts w:ascii="Times New Roman" w:hAnsi="Times New Roman"/>
              <w:sz w:val="24"/>
              <w:szCs w:val="24"/>
              <w:u w:val="single"/>
            </w:rPr>
            <w:t>PROCESOS OTROS LITIGIOS Y MECANISMOS ALTERNATIVOS DE SOLUCIÓN DE CONFLICTOS</w:t>
          </w:r>
        </w:p>
        <w:p w14:paraId="6A4A00A6" w14:textId="77777777" w:rsidR="007A0DD9" w:rsidRPr="00931DCE" w:rsidRDefault="007A0DD9" w:rsidP="007A0DD9">
          <w:pPr>
            <w:shd w:val="clear" w:color="auto" w:fill="FFFFFF"/>
            <w:spacing w:after="0" w:line="240" w:lineRule="auto"/>
            <w:jc w:val="both"/>
            <w:textAlignment w:val="baseline"/>
            <w:rPr>
              <w:rFonts w:ascii="Times New Roman" w:hAnsi="Times New Roman"/>
              <w:sz w:val="24"/>
              <w:szCs w:val="24"/>
            </w:rPr>
          </w:pPr>
        </w:p>
        <w:p w14:paraId="56F01041" w14:textId="77777777" w:rsidR="007A0DD9" w:rsidRPr="00931DCE" w:rsidRDefault="007A0DD9" w:rsidP="007A0DD9">
          <w:pPr>
            <w:shd w:val="clear" w:color="auto" w:fill="FFFFFF"/>
            <w:spacing w:after="0" w:line="240" w:lineRule="auto"/>
            <w:jc w:val="both"/>
            <w:textAlignment w:val="baseline"/>
            <w:rPr>
              <w:rFonts w:ascii="Times New Roman" w:hAnsi="Times New Roman"/>
              <w:sz w:val="24"/>
              <w:szCs w:val="24"/>
            </w:rPr>
          </w:pPr>
          <w:r w:rsidRPr="00931DCE">
            <w:rPr>
              <w:rFonts w:ascii="Times New Roman" w:hAnsi="Times New Roman"/>
              <w:sz w:val="24"/>
              <w:szCs w:val="24"/>
            </w:rPr>
            <w:t>NATURALEZA DEL PASIVO CONTINGENTE</w:t>
          </w:r>
          <w:r w:rsidR="00F11589" w:rsidRPr="00931DCE">
            <w:rPr>
              <w:rFonts w:ascii="Times New Roman" w:hAnsi="Times New Roman"/>
              <w:sz w:val="24"/>
              <w:szCs w:val="24"/>
            </w:rPr>
            <w:t xml:space="preserve">: </w:t>
          </w:r>
          <w:r w:rsidRPr="00931DCE">
            <w:rPr>
              <w:rFonts w:ascii="Times New Roman" w:hAnsi="Times New Roman"/>
              <w:sz w:val="24"/>
              <w:szCs w:val="24"/>
            </w:rPr>
            <w:t xml:space="preserve">Con relación a los procesos arbitrales, </w:t>
          </w:r>
          <w:r w:rsidR="00A03878">
            <w:rPr>
              <w:rFonts w:ascii="Times New Roman" w:hAnsi="Times New Roman"/>
              <w:sz w:val="24"/>
              <w:szCs w:val="24"/>
            </w:rPr>
            <w:t>e</w:t>
          </w:r>
          <w:r w:rsidR="00A03878" w:rsidRPr="00931DCE">
            <w:rPr>
              <w:rFonts w:ascii="Times New Roman" w:hAnsi="Times New Roman"/>
              <w:sz w:val="24"/>
              <w:szCs w:val="24"/>
            </w:rPr>
            <w:t>l</w:t>
          </w:r>
          <w:r w:rsidRPr="00931DCE">
            <w:rPr>
              <w:rFonts w:ascii="Times New Roman" w:hAnsi="Times New Roman"/>
              <w:sz w:val="24"/>
              <w:szCs w:val="24"/>
            </w:rPr>
            <w:t xml:space="preserve"> Grupo Interno de Trabajo de Defensa Judicial de la Vicepresidencia Jurídica, mediante el formato GEJU-F-010 - </w:t>
          </w:r>
          <w:r w:rsidRPr="00931DCE">
            <w:rPr>
              <w:rFonts w:ascii="Times New Roman" w:hAnsi="Times New Roman"/>
              <w:i/>
              <w:iCs/>
              <w:sz w:val="24"/>
              <w:szCs w:val="24"/>
            </w:rPr>
            <w:t>"Reporte de Tribunales de Arbitramento"</w:t>
          </w:r>
          <w:r w:rsidRPr="00931DCE">
            <w:rPr>
              <w:rFonts w:ascii="Times New Roman" w:hAnsi="Times New Roman"/>
              <w:sz w:val="24"/>
              <w:szCs w:val="24"/>
            </w:rPr>
            <w:t xml:space="preserve"> a 31 de diciembre de </w:t>
          </w:r>
          <w:r w:rsidR="00A03878" w:rsidRPr="00931DCE">
            <w:rPr>
              <w:rFonts w:ascii="Times New Roman" w:hAnsi="Times New Roman"/>
              <w:sz w:val="24"/>
              <w:szCs w:val="24"/>
            </w:rPr>
            <w:t>202</w:t>
          </w:r>
          <w:r w:rsidR="00A03878">
            <w:rPr>
              <w:rFonts w:ascii="Times New Roman" w:hAnsi="Times New Roman"/>
              <w:sz w:val="24"/>
              <w:szCs w:val="24"/>
            </w:rPr>
            <w:t>3</w:t>
          </w:r>
          <w:r w:rsidR="00A03878" w:rsidRPr="00931DCE">
            <w:rPr>
              <w:rFonts w:ascii="Times New Roman" w:hAnsi="Times New Roman"/>
              <w:sz w:val="24"/>
              <w:szCs w:val="24"/>
            </w:rPr>
            <w:t>, reportó lo siguiente:</w:t>
          </w:r>
          <w:r w:rsidRPr="00931DCE">
            <w:rPr>
              <w:rFonts w:ascii="Times New Roman" w:hAnsi="Times New Roman"/>
              <w:sz w:val="24"/>
              <w:szCs w:val="24"/>
            </w:rPr>
            <w:t xml:space="preserve"> </w:t>
          </w:r>
        </w:p>
        <w:p w14:paraId="52AC6B1F" w14:textId="77777777" w:rsidR="007A0DD9" w:rsidRPr="00931DCE" w:rsidRDefault="007A0DD9" w:rsidP="007A0DD9">
          <w:pPr>
            <w:shd w:val="clear" w:color="auto" w:fill="FFFFFF"/>
            <w:spacing w:after="0" w:line="240" w:lineRule="auto"/>
            <w:jc w:val="both"/>
            <w:textAlignment w:val="baseline"/>
            <w:rPr>
              <w:rFonts w:ascii="Times New Roman" w:hAnsi="Times New Roman"/>
              <w:sz w:val="24"/>
              <w:szCs w:val="24"/>
            </w:rPr>
          </w:pPr>
        </w:p>
        <w:p w14:paraId="3B96787A" w14:textId="77777777" w:rsidR="007A0DD9" w:rsidRPr="00931DCE" w:rsidRDefault="007A0DD9" w:rsidP="007A0DD9">
          <w:pPr>
            <w:shd w:val="clear" w:color="auto" w:fill="FFFFFF"/>
            <w:spacing w:after="0" w:line="240" w:lineRule="auto"/>
            <w:jc w:val="both"/>
            <w:textAlignment w:val="baseline"/>
            <w:rPr>
              <w:rFonts w:ascii="Times New Roman" w:hAnsi="Times New Roman"/>
              <w:sz w:val="24"/>
              <w:szCs w:val="24"/>
            </w:rPr>
          </w:pPr>
          <w:r w:rsidRPr="000A529C">
            <w:rPr>
              <w:rFonts w:ascii="Times New Roman" w:hAnsi="Times New Roman"/>
              <w:sz w:val="24"/>
              <w:szCs w:val="24"/>
            </w:rPr>
            <w:t>En materia de procesos arbitrales, los procesos en contra inician por convocatoria directa que realizan los concesionario o interventorías (en cuyo contrato contemple la cláusula compromisoria) o a través de la figura de la demanda de reconvención presentada por el concesionario o interventoría, en el marco de procesos en los que la ANI actuó como convocante (demandante).</w:t>
          </w:r>
          <w:r w:rsidRPr="00931DCE">
            <w:rPr>
              <w:rFonts w:ascii="Times New Roman" w:hAnsi="Times New Roman"/>
              <w:sz w:val="24"/>
              <w:szCs w:val="24"/>
            </w:rPr>
            <w:t xml:space="preserve"> </w:t>
          </w:r>
        </w:p>
        <w:p w14:paraId="1698AF99" w14:textId="77777777" w:rsidR="007A0DD9" w:rsidRPr="00931DCE" w:rsidRDefault="007A0DD9" w:rsidP="007A0DD9">
          <w:pPr>
            <w:shd w:val="clear" w:color="auto" w:fill="FFFFFF"/>
            <w:spacing w:after="0" w:line="240" w:lineRule="auto"/>
            <w:jc w:val="both"/>
            <w:textAlignment w:val="baseline"/>
            <w:rPr>
              <w:rFonts w:ascii="Times New Roman" w:hAnsi="Times New Roman"/>
              <w:sz w:val="24"/>
              <w:szCs w:val="24"/>
            </w:rPr>
          </w:pPr>
        </w:p>
        <w:p w14:paraId="7A953ACC" w14:textId="77777777" w:rsidR="007A0DD9" w:rsidRPr="000A529C" w:rsidRDefault="007A0DD9" w:rsidP="007A0DD9">
          <w:pPr>
            <w:shd w:val="clear" w:color="auto" w:fill="FFFFFF"/>
            <w:spacing w:after="0" w:line="240" w:lineRule="auto"/>
            <w:jc w:val="both"/>
            <w:textAlignment w:val="baseline"/>
            <w:rPr>
              <w:rFonts w:ascii="Times New Roman" w:hAnsi="Times New Roman"/>
              <w:sz w:val="24"/>
              <w:szCs w:val="24"/>
            </w:rPr>
          </w:pPr>
          <w:r w:rsidRPr="000A529C">
            <w:rPr>
              <w:rFonts w:ascii="Times New Roman" w:hAnsi="Times New Roman"/>
              <w:sz w:val="24"/>
              <w:szCs w:val="24"/>
            </w:rPr>
            <w:t xml:space="preserve">Hecha esta aclaración, se tienen </w:t>
          </w:r>
          <w:r w:rsidR="00A03878" w:rsidRPr="000A529C">
            <w:rPr>
              <w:rFonts w:ascii="Times New Roman" w:hAnsi="Times New Roman"/>
              <w:sz w:val="24"/>
              <w:szCs w:val="24"/>
            </w:rPr>
            <w:t>siete (7</w:t>
          </w:r>
          <w:r w:rsidRPr="000A529C">
            <w:rPr>
              <w:rFonts w:ascii="Times New Roman" w:hAnsi="Times New Roman"/>
              <w:sz w:val="24"/>
              <w:szCs w:val="24"/>
            </w:rPr>
            <w:t>) tramites arbitrales, iniciados por los concesionarios, a través de los cuales, pretenden dirimir controversias derivadas de la ejecución de los contratos de concesión, registrados en cuentas de orden por la suma de $</w:t>
          </w:r>
          <w:r w:rsidR="00A03878" w:rsidRPr="000A529C">
            <w:rPr>
              <w:rFonts w:ascii="Times New Roman" w:hAnsi="Times New Roman"/>
            </w:rPr>
            <w:t xml:space="preserve"> </w:t>
          </w:r>
          <w:r w:rsidRPr="000A529C">
            <w:rPr>
              <w:rFonts w:ascii="Times New Roman" w:hAnsi="Times New Roman"/>
              <w:sz w:val="24"/>
              <w:szCs w:val="24"/>
            </w:rPr>
            <w:t>3.</w:t>
          </w:r>
          <w:r w:rsidR="00A03878" w:rsidRPr="000A529C">
            <w:rPr>
              <w:rFonts w:ascii="Times New Roman" w:hAnsi="Times New Roman"/>
              <w:sz w:val="24"/>
              <w:szCs w:val="24"/>
            </w:rPr>
            <w:t>192.857.403.914.</w:t>
          </w:r>
          <w:r w:rsidRPr="000A529C">
            <w:rPr>
              <w:rFonts w:ascii="Times New Roman" w:hAnsi="Times New Roman"/>
              <w:sz w:val="24"/>
              <w:szCs w:val="24"/>
            </w:rPr>
            <w:t xml:space="preserve"> </w:t>
          </w:r>
        </w:p>
        <w:p w14:paraId="49FDA97B" w14:textId="77777777" w:rsidR="007A0DD9" w:rsidRPr="000A529C" w:rsidRDefault="007A0DD9" w:rsidP="007A0DD9">
          <w:pPr>
            <w:pStyle w:val="Prrafodelista"/>
            <w:shd w:val="clear" w:color="auto" w:fill="FFFFFF"/>
            <w:spacing w:after="0" w:line="240" w:lineRule="auto"/>
            <w:ind w:left="284"/>
            <w:jc w:val="both"/>
            <w:textAlignment w:val="baseline"/>
            <w:rPr>
              <w:rFonts w:ascii="Times New Roman" w:hAnsi="Times New Roman"/>
              <w:sz w:val="24"/>
              <w:szCs w:val="24"/>
            </w:rPr>
          </w:pPr>
        </w:p>
        <w:p w14:paraId="235BB9D0" w14:textId="77777777" w:rsidR="007A0DD9" w:rsidRPr="000A529C" w:rsidRDefault="007A0DD9" w:rsidP="007A0DD9">
          <w:pPr>
            <w:spacing w:after="0" w:line="240" w:lineRule="auto"/>
            <w:jc w:val="both"/>
            <w:rPr>
              <w:rFonts w:ascii="Times New Roman" w:hAnsi="Times New Roman"/>
              <w:sz w:val="24"/>
              <w:szCs w:val="24"/>
            </w:rPr>
          </w:pPr>
          <w:r w:rsidRPr="000A529C">
            <w:rPr>
              <w:rFonts w:ascii="Times New Roman" w:hAnsi="Times New Roman"/>
              <w:sz w:val="24"/>
              <w:szCs w:val="24"/>
            </w:rPr>
            <w:t>INCERTIDUMBRES ASOCIADAS AL VALOR</w:t>
          </w:r>
          <w:r w:rsidR="00266FAB" w:rsidRPr="000A529C">
            <w:rPr>
              <w:rFonts w:ascii="Times New Roman" w:hAnsi="Times New Roman"/>
              <w:sz w:val="24"/>
              <w:szCs w:val="24"/>
            </w:rPr>
            <w:t xml:space="preserve">: </w:t>
          </w:r>
          <w:r w:rsidRPr="000A529C">
            <w:rPr>
              <w:rFonts w:ascii="Times New Roman" w:hAnsi="Times New Roman"/>
              <w:sz w:val="24"/>
              <w:szCs w:val="24"/>
            </w:rPr>
            <w:t xml:space="preserve">Frente a los procesos descritos en el acápite anterior, la incertidumbre respecto al valor es alta, por cuanto dependen de un exigente nivel de análisis por parte del Tribunal, en cuanto a niveles de responsabilidad, elementos probatorios, diversidad de pretensiones, entre otros. </w:t>
          </w:r>
        </w:p>
        <w:p w14:paraId="10F42A25" w14:textId="77777777" w:rsidR="007A0DD9" w:rsidRPr="000A529C" w:rsidRDefault="007A0DD9" w:rsidP="007A0DD9">
          <w:pPr>
            <w:spacing w:after="0" w:line="240" w:lineRule="auto"/>
            <w:jc w:val="both"/>
            <w:rPr>
              <w:rFonts w:ascii="Times New Roman" w:hAnsi="Times New Roman"/>
              <w:sz w:val="24"/>
              <w:szCs w:val="24"/>
            </w:rPr>
          </w:pPr>
        </w:p>
        <w:p w14:paraId="02018F28" w14:textId="77777777" w:rsidR="007A0DD9" w:rsidRPr="00931DCE" w:rsidRDefault="007A0DD9" w:rsidP="007A0DD9">
          <w:pPr>
            <w:spacing w:after="0" w:line="240" w:lineRule="auto"/>
            <w:jc w:val="both"/>
            <w:rPr>
              <w:rFonts w:ascii="Times New Roman" w:hAnsi="Times New Roman"/>
              <w:sz w:val="24"/>
              <w:szCs w:val="24"/>
            </w:rPr>
          </w:pPr>
          <w:r w:rsidRPr="000A529C">
            <w:rPr>
              <w:rFonts w:ascii="Times New Roman" w:hAnsi="Times New Roman"/>
              <w:sz w:val="24"/>
              <w:szCs w:val="24"/>
            </w:rPr>
            <w:t>INCERTIDUMBRES ASOCIADAS CON LA FECHA</w:t>
          </w:r>
          <w:r w:rsidR="00A3710E" w:rsidRPr="000A529C">
            <w:rPr>
              <w:rFonts w:ascii="Times New Roman" w:hAnsi="Times New Roman"/>
              <w:sz w:val="24"/>
              <w:szCs w:val="24"/>
            </w:rPr>
            <w:t xml:space="preserve">: </w:t>
          </w:r>
          <w:r w:rsidRPr="000A529C">
            <w:rPr>
              <w:rFonts w:ascii="Times New Roman" w:hAnsi="Times New Roman"/>
              <w:sz w:val="24"/>
              <w:szCs w:val="24"/>
            </w:rPr>
            <w:t>Teniendo en cuenta el límite que la ley impone a la duración de los tramites arbitrales, la incertidumbre asociada con la fecha es media, pues una vez que el Tribunal asume competencia, esto es en la audiencia primera de trámite (una vez agotada las etapas de contestación de la demanda principal y reformada- si a ello hubiera lugar-; contestación de la demanda de reconvención principal y reformada- si a ello hubiera lugar-; y la audiencia de conciliación), el trámite arbitral tendría una duración máxima de 12 meses aproximadamente.</w:t>
          </w:r>
          <w:r w:rsidRPr="00931DCE">
            <w:rPr>
              <w:rFonts w:ascii="Times New Roman" w:hAnsi="Times New Roman"/>
              <w:sz w:val="24"/>
              <w:szCs w:val="24"/>
            </w:rPr>
            <w:t xml:space="preserve"> </w:t>
          </w:r>
        </w:p>
        <w:p w14:paraId="10DDB079" w14:textId="16E97739" w:rsidR="007A0DD9" w:rsidRPr="009A46BB" w:rsidRDefault="007A0DD9" w:rsidP="00A03878">
          <w:pPr>
            <w:rPr>
              <w:rFonts w:ascii="Times New Roman" w:hAnsi="Times New Roman"/>
            </w:rPr>
          </w:pPr>
        </w:p>
        <w:p w14:paraId="0EF096CE" w14:textId="12DD3588" w:rsidR="007A0DD9" w:rsidRPr="00931DCE" w:rsidRDefault="007A0DD9" w:rsidP="007A0DD9">
          <w:pPr>
            <w:spacing w:line="240" w:lineRule="auto"/>
            <w:contextualSpacing/>
            <w:rPr>
              <w:rFonts w:ascii="Times New Roman" w:hAnsi="Times New Roman"/>
              <w:sz w:val="24"/>
              <w:szCs w:val="24"/>
            </w:rPr>
          </w:pPr>
          <w:r w:rsidRPr="00931DCE">
            <w:rPr>
              <w:rFonts w:ascii="Times New Roman" w:hAnsi="Times New Roman"/>
              <w:sz w:val="24"/>
              <w:szCs w:val="24"/>
            </w:rPr>
            <w:t xml:space="preserve">GARANTÍAS CONTRACTUALES </w:t>
          </w:r>
        </w:p>
        <w:p w14:paraId="3ED607D8" w14:textId="77777777" w:rsidR="007A0DD9" w:rsidRPr="00931DCE" w:rsidRDefault="007A0DD9" w:rsidP="007A0DD9">
          <w:pPr>
            <w:spacing w:line="240" w:lineRule="auto"/>
            <w:contextualSpacing/>
            <w:rPr>
              <w:rFonts w:ascii="Times New Roman" w:hAnsi="Times New Roman"/>
              <w:b/>
              <w:bCs/>
              <w:sz w:val="24"/>
              <w:szCs w:val="24"/>
            </w:rPr>
          </w:pPr>
        </w:p>
        <w:p w14:paraId="0A5AA641" w14:textId="5FAE1615" w:rsidR="007A0DD9" w:rsidRPr="00931DCE" w:rsidRDefault="007A0DD9" w:rsidP="007A0DD9">
          <w:pPr>
            <w:spacing w:line="240" w:lineRule="auto"/>
            <w:contextualSpacing/>
            <w:jc w:val="both"/>
            <w:rPr>
              <w:rFonts w:ascii="Times New Roman" w:hAnsi="Times New Roman"/>
              <w:sz w:val="24"/>
              <w:szCs w:val="24"/>
            </w:rPr>
          </w:pPr>
          <w:r w:rsidRPr="00931DCE">
            <w:rPr>
              <w:rFonts w:ascii="Times New Roman" w:hAnsi="Times New Roman"/>
              <w:sz w:val="24"/>
              <w:szCs w:val="24"/>
            </w:rPr>
            <w:t xml:space="preserve">De conformidad con el Memorando ANI No. </w:t>
          </w:r>
          <w:r w:rsidR="00FD57A3" w:rsidRPr="00FD57A3">
            <w:rPr>
              <w:rFonts w:ascii="Times New Roman" w:hAnsi="Times New Roman"/>
              <w:sz w:val="24"/>
              <w:szCs w:val="24"/>
            </w:rPr>
            <w:t>: 20246020008533</w:t>
          </w:r>
          <w:r w:rsidRPr="00931DCE">
            <w:rPr>
              <w:rFonts w:ascii="Times New Roman" w:hAnsi="Times New Roman"/>
              <w:sz w:val="24"/>
              <w:szCs w:val="24"/>
            </w:rPr>
            <w:t xml:space="preserve"> del </w:t>
          </w:r>
          <w:r w:rsidR="00FD57A3">
            <w:rPr>
              <w:rFonts w:ascii="Times New Roman" w:hAnsi="Times New Roman"/>
              <w:sz w:val="24"/>
              <w:szCs w:val="24"/>
            </w:rPr>
            <w:t>12</w:t>
          </w:r>
          <w:r w:rsidR="00A3710E" w:rsidRPr="00931DCE">
            <w:rPr>
              <w:rFonts w:ascii="Times New Roman" w:hAnsi="Times New Roman"/>
              <w:sz w:val="24"/>
              <w:szCs w:val="24"/>
            </w:rPr>
            <w:t xml:space="preserve"> de </w:t>
          </w:r>
          <w:r w:rsidR="00FD57A3">
            <w:rPr>
              <w:rFonts w:ascii="Times New Roman" w:hAnsi="Times New Roman"/>
              <w:sz w:val="24"/>
              <w:szCs w:val="24"/>
            </w:rPr>
            <w:t>enero</w:t>
          </w:r>
          <w:r w:rsidR="00A3710E" w:rsidRPr="00931DCE">
            <w:rPr>
              <w:rFonts w:ascii="Times New Roman" w:hAnsi="Times New Roman"/>
              <w:sz w:val="24"/>
              <w:szCs w:val="24"/>
            </w:rPr>
            <w:t xml:space="preserve"> de </w:t>
          </w:r>
          <w:r w:rsidRPr="00931DCE">
            <w:rPr>
              <w:rFonts w:ascii="Times New Roman" w:hAnsi="Times New Roman"/>
              <w:sz w:val="24"/>
              <w:szCs w:val="24"/>
            </w:rPr>
            <w:t>202</w:t>
          </w:r>
          <w:r w:rsidR="004D3AC1">
            <w:rPr>
              <w:rFonts w:ascii="Times New Roman" w:hAnsi="Times New Roman"/>
              <w:sz w:val="24"/>
              <w:szCs w:val="24"/>
            </w:rPr>
            <w:t>4</w:t>
          </w:r>
          <w:r w:rsidRPr="00931DCE">
            <w:rPr>
              <w:rFonts w:ascii="Times New Roman" w:hAnsi="Times New Roman"/>
              <w:sz w:val="24"/>
              <w:szCs w:val="24"/>
            </w:rPr>
            <w:t xml:space="preserve"> emitido por la Coordinación del GIT de Riesgos de la Vicepresidencia de Planeación, Riesgos y Entorno (VPRE) de la entidad, se relaciona el saldo de las subcuentas presentado por Fiduciaria la Previsora S.A. (Fiduprevisora) como entidad administradora del Fondo de Contingencias de las Entidades Estatales y refleja las cuentas para los proyectos de cuarta generación (4G) en los que la Agencia ha realizado aportes hasta el momento por concepto de Riesgos comerciales.</w:t>
          </w:r>
        </w:p>
        <w:p w14:paraId="52A8BF50" w14:textId="77777777" w:rsidR="007A0DD9" w:rsidRPr="00931DCE" w:rsidRDefault="007A0DD9" w:rsidP="007A0DD9">
          <w:pPr>
            <w:autoSpaceDE w:val="0"/>
            <w:autoSpaceDN w:val="0"/>
            <w:adjustRightInd w:val="0"/>
            <w:spacing w:after="0" w:line="240" w:lineRule="auto"/>
            <w:jc w:val="both"/>
            <w:rPr>
              <w:rFonts w:ascii="Times New Roman" w:hAnsi="Times New Roman"/>
              <w:sz w:val="24"/>
              <w:szCs w:val="24"/>
            </w:rPr>
          </w:pPr>
        </w:p>
        <w:p w14:paraId="2EC046A4" w14:textId="24581C2E" w:rsidR="007A0DD9" w:rsidRPr="00931DCE" w:rsidRDefault="007A0DD9" w:rsidP="007A0DD9">
          <w:pPr>
            <w:autoSpaceDE w:val="0"/>
            <w:autoSpaceDN w:val="0"/>
            <w:adjustRightInd w:val="0"/>
            <w:spacing w:after="0" w:line="240" w:lineRule="auto"/>
            <w:jc w:val="both"/>
            <w:rPr>
              <w:rFonts w:ascii="Times New Roman" w:hAnsi="Times New Roman"/>
              <w:sz w:val="24"/>
              <w:szCs w:val="24"/>
            </w:rPr>
          </w:pPr>
          <w:r w:rsidRPr="00931DCE">
            <w:rPr>
              <w:rFonts w:ascii="Times New Roman" w:hAnsi="Times New Roman"/>
              <w:sz w:val="24"/>
              <w:szCs w:val="24"/>
            </w:rPr>
            <w:t>A continuación, se relaciona su composición con corte 31 de diciembre de 202</w:t>
          </w:r>
          <w:r w:rsidR="004D3AC1">
            <w:rPr>
              <w:rFonts w:ascii="Times New Roman" w:hAnsi="Times New Roman"/>
              <w:sz w:val="24"/>
              <w:szCs w:val="24"/>
            </w:rPr>
            <w:t>3</w:t>
          </w:r>
          <w:r w:rsidRPr="00931DCE">
            <w:rPr>
              <w:rFonts w:ascii="Times New Roman" w:hAnsi="Times New Roman"/>
              <w:sz w:val="24"/>
              <w:szCs w:val="24"/>
            </w:rPr>
            <w:t xml:space="preserve"> para los </w:t>
          </w:r>
          <w:r w:rsidR="00FB3E38">
            <w:rPr>
              <w:rFonts w:ascii="Times New Roman" w:hAnsi="Times New Roman"/>
              <w:sz w:val="24"/>
              <w:szCs w:val="24"/>
            </w:rPr>
            <w:t>19</w:t>
          </w:r>
          <w:r w:rsidRPr="00931DCE">
            <w:rPr>
              <w:rFonts w:ascii="Times New Roman" w:hAnsi="Times New Roman"/>
              <w:sz w:val="24"/>
              <w:szCs w:val="24"/>
            </w:rPr>
            <w:t xml:space="preserve"> proyectos de concesión del modo de transporte carretero:</w:t>
          </w:r>
        </w:p>
        <w:p w14:paraId="2162CE9B" w14:textId="3A804A02" w:rsidR="007A0DD9" w:rsidRPr="00931DCE" w:rsidRDefault="007A0DD9" w:rsidP="007A0DD9">
          <w:pPr>
            <w:spacing w:after="0" w:line="240" w:lineRule="auto"/>
            <w:rPr>
              <w:rFonts w:ascii="Times New Roman" w:hAnsi="Times New Roman"/>
              <w:sz w:val="24"/>
              <w:szCs w:val="24"/>
            </w:rPr>
          </w:pPr>
        </w:p>
        <w:p w14:paraId="3C8B9E89" w14:textId="77777777" w:rsidR="00B72E69" w:rsidRDefault="00B72E69" w:rsidP="00E1309F">
          <w:pPr>
            <w:spacing w:after="0" w:line="240" w:lineRule="auto"/>
            <w:jc w:val="center"/>
            <w:rPr>
              <w:rFonts w:ascii="Times New Roman" w:eastAsia="Times New Roman" w:hAnsi="Times New Roman"/>
              <w:b/>
              <w:color w:val="000000"/>
              <w:sz w:val="18"/>
              <w:szCs w:val="18"/>
              <w:lang w:eastAsia="es-CO"/>
            </w:rPr>
            <w:sectPr w:rsidR="00B72E69" w:rsidSect="00376BDD">
              <w:type w:val="continuous"/>
              <w:pgSz w:w="12240" w:h="15840"/>
              <w:pgMar w:top="1418" w:right="1418" w:bottom="1418" w:left="1843" w:header="680" w:footer="709" w:gutter="0"/>
              <w:pgNumType w:start="113"/>
              <w:cols w:space="708"/>
              <w:titlePg/>
              <w:docGrid w:linePitch="360"/>
            </w:sectPr>
          </w:pPr>
        </w:p>
        <w:p w14:paraId="534DC0F0" w14:textId="77777777" w:rsidR="00B72E69" w:rsidRDefault="00B72E69" w:rsidP="007A0DD9">
          <w:pPr>
            <w:spacing w:after="0" w:line="240" w:lineRule="auto"/>
            <w:jc w:val="both"/>
            <w:rPr>
              <w:rFonts w:ascii="Times New Roman" w:hAnsi="Times New Roman"/>
              <w:sz w:val="14"/>
              <w:szCs w:val="14"/>
            </w:rPr>
            <w:sectPr w:rsidR="00B72E69" w:rsidSect="00376BDD">
              <w:type w:val="continuous"/>
              <w:pgSz w:w="12240" w:h="15840"/>
              <w:pgMar w:top="1418" w:right="1418" w:bottom="1418" w:left="1843" w:header="680" w:footer="709" w:gutter="0"/>
              <w:pgNumType w:start="1"/>
              <w:cols w:num="2" w:space="708"/>
              <w:titlePg/>
              <w:docGrid w:linePitch="360"/>
            </w:sectPr>
          </w:pPr>
        </w:p>
        <w:p w14:paraId="7DC86712" w14:textId="77777777" w:rsidR="00320773" w:rsidRDefault="00320773" w:rsidP="007A0DD9">
          <w:pPr>
            <w:spacing w:after="0" w:line="240" w:lineRule="auto"/>
            <w:jc w:val="both"/>
            <w:rPr>
              <w:rFonts w:ascii="Times New Roman" w:hAnsi="Times New Roman"/>
              <w:sz w:val="14"/>
              <w:szCs w:val="14"/>
            </w:rPr>
            <w:sectPr w:rsidR="00320773" w:rsidSect="00376BDD">
              <w:type w:val="continuous"/>
              <w:pgSz w:w="12240" w:h="15840"/>
              <w:pgMar w:top="1418" w:right="1418" w:bottom="1418" w:left="1843" w:header="680" w:footer="709" w:gutter="0"/>
              <w:pgNumType w:start="1"/>
              <w:cols w:num="2" w:space="708"/>
              <w:titlePg/>
              <w:docGrid w:linePitch="360"/>
            </w:sectPr>
          </w:pPr>
        </w:p>
        <w:tbl>
          <w:tblPr>
            <w:tblW w:w="0" w:type="auto"/>
            <w:tblCellMar>
              <w:left w:w="70" w:type="dxa"/>
              <w:right w:w="70" w:type="dxa"/>
            </w:tblCellMar>
            <w:tblLook w:val="04A0" w:firstRow="1" w:lastRow="0" w:firstColumn="1" w:lastColumn="0" w:noHBand="0" w:noVBand="1"/>
          </w:tblPr>
          <w:tblGrid>
            <w:gridCol w:w="1514"/>
            <w:gridCol w:w="1028"/>
            <w:gridCol w:w="1558"/>
            <w:gridCol w:w="15"/>
          </w:tblGrid>
          <w:tr w:rsidR="00496427" w:rsidRPr="00496427" w14:paraId="40351247" w14:textId="77777777" w:rsidTr="00115445">
            <w:trPr>
              <w:trHeight w:val="340"/>
              <w:tblHeader/>
            </w:trPr>
            <w:tc>
              <w:tcPr>
                <w:tcW w:w="1514" w:type="dxa"/>
                <w:tcBorders>
                  <w:top w:val="single" w:sz="8" w:space="0" w:color="808080"/>
                  <w:left w:val="single" w:sz="8" w:space="0" w:color="808080"/>
                  <w:bottom w:val="single" w:sz="8" w:space="0" w:color="808080"/>
                  <w:right w:val="single" w:sz="8" w:space="0" w:color="808080"/>
                </w:tcBorders>
                <w:shd w:val="clear" w:color="auto" w:fill="auto"/>
                <w:noWrap/>
                <w:vAlign w:val="center"/>
                <w:hideMark/>
              </w:tcPr>
              <w:p w14:paraId="458355DB" w14:textId="77777777" w:rsidR="00496427" w:rsidRPr="00496427" w:rsidRDefault="00496427" w:rsidP="00496427">
                <w:pPr>
                  <w:spacing w:after="0" w:line="240" w:lineRule="auto"/>
                  <w:jc w:val="center"/>
                  <w:rPr>
                    <w:rFonts w:ascii="Times New Roman" w:eastAsia="Times New Roman" w:hAnsi="Times New Roman"/>
                    <w:b/>
                    <w:bCs/>
                    <w:color w:val="000000"/>
                    <w:sz w:val="18"/>
                    <w:szCs w:val="18"/>
                    <w:lang w:eastAsia="es-CO"/>
                  </w:rPr>
                </w:pPr>
                <w:r w:rsidRPr="00496427">
                  <w:rPr>
                    <w:rFonts w:ascii="Times New Roman" w:eastAsia="Times New Roman" w:hAnsi="Times New Roman"/>
                    <w:b/>
                    <w:bCs/>
                    <w:color w:val="000000"/>
                    <w:sz w:val="18"/>
                    <w:szCs w:val="18"/>
                    <w:lang w:eastAsia="es-CO"/>
                  </w:rPr>
                  <w:t xml:space="preserve">PROYECTO </w:t>
                </w:r>
              </w:p>
            </w:tc>
            <w:tc>
              <w:tcPr>
                <w:tcW w:w="1028" w:type="dxa"/>
                <w:tcBorders>
                  <w:top w:val="single" w:sz="8" w:space="0" w:color="808080"/>
                  <w:left w:val="nil"/>
                  <w:bottom w:val="single" w:sz="8" w:space="0" w:color="808080"/>
                  <w:right w:val="single" w:sz="8" w:space="0" w:color="808080"/>
                </w:tcBorders>
                <w:shd w:val="clear" w:color="auto" w:fill="auto"/>
                <w:noWrap/>
                <w:vAlign w:val="center"/>
                <w:hideMark/>
              </w:tcPr>
              <w:p w14:paraId="5A819517" w14:textId="77777777" w:rsidR="00496427" w:rsidRPr="00496427" w:rsidRDefault="00496427" w:rsidP="00496427">
                <w:pPr>
                  <w:spacing w:after="0" w:line="240" w:lineRule="auto"/>
                  <w:jc w:val="center"/>
                  <w:rPr>
                    <w:rFonts w:ascii="Times New Roman" w:eastAsia="Times New Roman" w:hAnsi="Times New Roman"/>
                    <w:b/>
                    <w:bCs/>
                    <w:color w:val="000000"/>
                    <w:sz w:val="18"/>
                    <w:szCs w:val="18"/>
                    <w:lang w:eastAsia="es-CO"/>
                  </w:rPr>
                </w:pPr>
                <w:r w:rsidRPr="00496427">
                  <w:rPr>
                    <w:rFonts w:ascii="Times New Roman" w:eastAsia="Times New Roman" w:hAnsi="Times New Roman"/>
                    <w:b/>
                    <w:bCs/>
                    <w:color w:val="000000"/>
                    <w:sz w:val="18"/>
                    <w:szCs w:val="18"/>
                    <w:lang w:eastAsia="es-CO"/>
                  </w:rPr>
                  <w:t xml:space="preserve"> RIESGO </w:t>
                </w:r>
              </w:p>
            </w:tc>
            <w:tc>
              <w:tcPr>
                <w:tcW w:w="1573" w:type="dxa"/>
                <w:gridSpan w:val="2"/>
                <w:tcBorders>
                  <w:top w:val="single" w:sz="8" w:space="0" w:color="808080"/>
                  <w:left w:val="nil"/>
                  <w:bottom w:val="single" w:sz="8" w:space="0" w:color="808080"/>
                  <w:right w:val="single" w:sz="8" w:space="0" w:color="808080"/>
                </w:tcBorders>
                <w:shd w:val="clear" w:color="auto" w:fill="auto"/>
                <w:noWrap/>
                <w:vAlign w:val="center"/>
                <w:hideMark/>
              </w:tcPr>
              <w:p w14:paraId="384167BA" w14:textId="77777777" w:rsidR="00496427" w:rsidRPr="00496427" w:rsidRDefault="00496427" w:rsidP="00496427">
                <w:pPr>
                  <w:spacing w:after="0" w:line="240" w:lineRule="auto"/>
                  <w:jc w:val="right"/>
                  <w:rPr>
                    <w:rFonts w:ascii="Times New Roman" w:eastAsia="Times New Roman" w:hAnsi="Times New Roman"/>
                    <w:b/>
                    <w:bCs/>
                    <w:color w:val="000000"/>
                    <w:sz w:val="18"/>
                    <w:szCs w:val="18"/>
                    <w:lang w:eastAsia="es-CO"/>
                  </w:rPr>
                </w:pPr>
                <w:r w:rsidRPr="00496427">
                  <w:rPr>
                    <w:rFonts w:ascii="Times New Roman" w:eastAsia="Times New Roman" w:hAnsi="Times New Roman"/>
                    <w:b/>
                    <w:bCs/>
                    <w:color w:val="000000"/>
                    <w:sz w:val="18"/>
                    <w:szCs w:val="18"/>
                    <w:lang w:eastAsia="es-CO"/>
                  </w:rPr>
                  <w:t xml:space="preserve"> VALOR </w:t>
                </w:r>
              </w:p>
            </w:tc>
          </w:tr>
          <w:tr w:rsidR="00496427" w:rsidRPr="00496427" w14:paraId="42F1B046" w14:textId="77777777" w:rsidTr="00115445">
            <w:trPr>
              <w:trHeight w:val="340"/>
            </w:trPr>
            <w:tc>
              <w:tcPr>
                <w:tcW w:w="1514" w:type="dxa"/>
                <w:tcBorders>
                  <w:top w:val="nil"/>
                  <w:left w:val="single" w:sz="8" w:space="0" w:color="808080"/>
                  <w:bottom w:val="single" w:sz="8" w:space="0" w:color="808080"/>
                  <w:right w:val="single" w:sz="8" w:space="0" w:color="808080"/>
                </w:tcBorders>
                <w:shd w:val="clear" w:color="auto" w:fill="auto"/>
                <w:noWrap/>
                <w:vAlign w:val="center"/>
                <w:hideMark/>
              </w:tcPr>
              <w:p w14:paraId="4F0B011D" w14:textId="77777777" w:rsidR="00496427" w:rsidRPr="00496427" w:rsidRDefault="00496427" w:rsidP="00115445">
                <w:pPr>
                  <w:spacing w:after="0" w:line="240" w:lineRule="auto"/>
                  <w:jc w:val="both"/>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 xml:space="preserve"> Bucaramanga - Barrancabermeja - Yondó </w:t>
                </w:r>
              </w:p>
            </w:tc>
            <w:tc>
              <w:tcPr>
                <w:tcW w:w="1028" w:type="dxa"/>
                <w:tcBorders>
                  <w:top w:val="nil"/>
                  <w:left w:val="nil"/>
                  <w:bottom w:val="single" w:sz="8" w:space="0" w:color="808080"/>
                  <w:right w:val="single" w:sz="8" w:space="0" w:color="808080"/>
                </w:tcBorders>
                <w:shd w:val="clear" w:color="auto" w:fill="auto"/>
                <w:noWrap/>
                <w:vAlign w:val="center"/>
                <w:hideMark/>
              </w:tcPr>
              <w:p w14:paraId="74368EC6" w14:textId="77777777" w:rsidR="00496427" w:rsidRPr="00496427" w:rsidRDefault="00496427" w:rsidP="00496427">
                <w:pPr>
                  <w:spacing w:after="0" w:line="240" w:lineRule="auto"/>
                  <w:jc w:val="center"/>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 xml:space="preserve"> Comercial </w:t>
                </w:r>
              </w:p>
            </w:tc>
            <w:tc>
              <w:tcPr>
                <w:tcW w:w="1573" w:type="dxa"/>
                <w:gridSpan w:val="2"/>
                <w:tcBorders>
                  <w:top w:val="nil"/>
                  <w:left w:val="nil"/>
                  <w:bottom w:val="single" w:sz="8" w:space="0" w:color="808080"/>
                  <w:right w:val="single" w:sz="8" w:space="0" w:color="808080"/>
                </w:tcBorders>
                <w:shd w:val="clear" w:color="auto" w:fill="auto"/>
                <w:noWrap/>
                <w:vAlign w:val="center"/>
                <w:hideMark/>
              </w:tcPr>
              <w:p w14:paraId="6C102894" w14:textId="77777777" w:rsidR="00496427" w:rsidRPr="00496427" w:rsidRDefault="00496427" w:rsidP="00496427">
                <w:pPr>
                  <w:spacing w:after="0" w:line="240" w:lineRule="auto"/>
                  <w:jc w:val="right"/>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564.328.226.649</w:t>
                </w:r>
              </w:p>
            </w:tc>
          </w:tr>
          <w:tr w:rsidR="00496427" w:rsidRPr="00496427" w14:paraId="0E6D0654" w14:textId="77777777" w:rsidTr="00115445">
            <w:trPr>
              <w:trHeight w:val="340"/>
            </w:trPr>
            <w:tc>
              <w:tcPr>
                <w:tcW w:w="1514" w:type="dxa"/>
                <w:tcBorders>
                  <w:top w:val="nil"/>
                  <w:left w:val="single" w:sz="8" w:space="0" w:color="808080"/>
                  <w:bottom w:val="single" w:sz="8" w:space="0" w:color="808080"/>
                  <w:right w:val="single" w:sz="8" w:space="0" w:color="808080"/>
                </w:tcBorders>
                <w:shd w:val="clear" w:color="auto" w:fill="auto"/>
                <w:noWrap/>
                <w:vAlign w:val="center"/>
                <w:hideMark/>
              </w:tcPr>
              <w:p w14:paraId="4D0446AB" w14:textId="77777777" w:rsidR="00496427" w:rsidRPr="00496427" w:rsidRDefault="00496427" w:rsidP="00115445">
                <w:pPr>
                  <w:spacing w:after="0" w:line="240" w:lineRule="auto"/>
                  <w:jc w:val="both"/>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 xml:space="preserve"> Transversal del Sisga </w:t>
                </w:r>
              </w:p>
            </w:tc>
            <w:tc>
              <w:tcPr>
                <w:tcW w:w="1028" w:type="dxa"/>
                <w:tcBorders>
                  <w:top w:val="nil"/>
                  <w:left w:val="nil"/>
                  <w:bottom w:val="single" w:sz="8" w:space="0" w:color="808080"/>
                  <w:right w:val="single" w:sz="8" w:space="0" w:color="808080"/>
                </w:tcBorders>
                <w:shd w:val="clear" w:color="auto" w:fill="auto"/>
                <w:noWrap/>
                <w:vAlign w:val="center"/>
                <w:hideMark/>
              </w:tcPr>
              <w:p w14:paraId="3817F4C6" w14:textId="77777777" w:rsidR="00496427" w:rsidRPr="00496427" w:rsidRDefault="00496427" w:rsidP="00496427">
                <w:pPr>
                  <w:spacing w:after="0" w:line="240" w:lineRule="auto"/>
                  <w:jc w:val="center"/>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 xml:space="preserve"> Comercial </w:t>
                </w:r>
              </w:p>
            </w:tc>
            <w:tc>
              <w:tcPr>
                <w:tcW w:w="1573" w:type="dxa"/>
                <w:gridSpan w:val="2"/>
                <w:tcBorders>
                  <w:top w:val="nil"/>
                  <w:left w:val="nil"/>
                  <w:bottom w:val="single" w:sz="8" w:space="0" w:color="808080"/>
                  <w:right w:val="single" w:sz="8" w:space="0" w:color="808080"/>
                </w:tcBorders>
                <w:shd w:val="clear" w:color="auto" w:fill="auto"/>
                <w:noWrap/>
                <w:vAlign w:val="center"/>
                <w:hideMark/>
              </w:tcPr>
              <w:p w14:paraId="0A1623EE" w14:textId="77777777" w:rsidR="00496427" w:rsidRPr="00496427" w:rsidRDefault="00496427" w:rsidP="00496427">
                <w:pPr>
                  <w:spacing w:after="0" w:line="240" w:lineRule="auto"/>
                  <w:jc w:val="right"/>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320.949.193.534</w:t>
                </w:r>
              </w:p>
            </w:tc>
          </w:tr>
          <w:tr w:rsidR="00496427" w:rsidRPr="00496427" w14:paraId="544AE9AE" w14:textId="77777777" w:rsidTr="00115445">
            <w:trPr>
              <w:trHeight w:val="340"/>
            </w:trPr>
            <w:tc>
              <w:tcPr>
                <w:tcW w:w="1514" w:type="dxa"/>
                <w:tcBorders>
                  <w:top w:val="nil"/>
                  <w:left w:val="single" w:sz="8" w:space="0" w:color="808080"/>
                  <w:bottom w:val="single" w:sz="8" w:space="0" w:color="808080"/>
                  <w:right w:val="single" w:sz="8" w:space="0" w:color="808080"/>
                </w:tcBorders>
                <w:shd w:val="clear" w:color="auto" w:fill="auto"/>
                <w:noWrap/>
                <w:vAlign w:val="center"/>
                <w:hideMark/>
              </w:tcPr>
              <w:p w14:paraId="07988615" w14:textId="77777777" w:rsidR="00496427" w:rsidRPr="00496427" w:rsidRDefault="00496427" w:rsidP="00115445">
                <w:pPr>
                  <w:spacing w:after="0" w:line="240" w:lineRule="auto"/>
                  <w:jc w:val="both"/>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 xml:space="preserve"> Villavicencio - Yopal </w:t>
                </w:r>
              </w:p>
            </w:tc>
            <w:tc>
              <w:tcPr>
                <w:tcW w:w="1028" w:type="dxa"/>
                <w:tcBorders>
                  <w:top w:val="nil"/>
                  <w:left w:val="nil"/>
                  <w:bottom w:val="single" w:sz="8" w:space="0" w:color="808080"/>
                  <w:right w:val="single" w:sz="8" w:space="0" w:color="808080"/>
                </w:tcBorders>
                <w:shd w:val="clear" w:color="auto" w:fill="auto"/>
                <w:noWrap/>
                <w:vAlign w:val="center"/>
                <w:hideMark/>
              </w:tcPr>
              <w:p w14:paraId="015C84A3" w14:textId="77777777" w:rsidR="00496427" w:rsidRPr="00496427" w:rsidRDefault="00496427" w:rsidP="00496427">
                <w:pPr>
                  <w:spacing w:after="0" w:line="240" w:lineRule="auto"/>
                  <w:jc w:val="center"/>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 xml:space="preserve"> Comercial </w:t>
                </w:r>
              </w:p>
            </w:tc>
            <w:tc>
              <w:tcPr>
                <w:tcW w:w="1573" w:type="dxa"/>
                <w:gridSpan w:val="2"/>
                <w:tcBorders>
                  <w:top w:val="nil"/>
                  <w:left w:val="nil"/>
                  <w:bottom w:val="single" w:sz="8" w:space="0" w:color="808080"/>
                  <w:right w:val="single" w:sz="8" w:space="0" w:color="808080"/>
                </w:tcBorders>
                <w:shd w:val="clear" w:color="auto" w:fill="auto"/>
                <w:noWrap/>
                <w:vAlign w:val="center"/>
                <w:hideMark/>
              </w:tcPr>
              <w:p w14:paraId="55590CBF" w14:textId="77777777" w:rsidR="00496427" w:rsidRPr="00496427" w:rsidRDefault="00496427" w:rsidP="00496427">
                <w:pPr>
                  <w:spacing w:after="0" w:line="240" w:lineRule="auto"/>
                  <w:jc w:val="right"/>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278.358.036.573</w:t>
                </w:r>
              </w:p>
            </w:tc>
          </w:tr>
          <w:tr w:rsidR="00496427" w:rsidRPr="00496427" w14:paraId="4B9853CF" w14:textId="77777777" w:rsidTr="00115445">
            <w:trPr>
              <w:trHeight w:val="340"/>
            </w:trPr>
            <w:tc>
              <w:tcPr>
                <w:tcW w:w="1514" w:type="dxa"/>
                <w:tcBorders>
                  <w:top w:val="nil"/>
                  <w:left w:val="single" w:sz="8" w:space="0" w:color="808080"/>
                  <w:bottom w:val="single" w:sz="8" w:space="0" w:color="808080"/>
                  <w:right w:val="single" w:sz="8" w:space="0" w:color="808080"/>
                </w:tcBorders>
                <w:shd w:val="clear" w:color="auto" w:fill="auto"/>
                <w:noWrap/>
                <w:vAlign w:val="center"/>
                <w:hideMark/>
              </w:tcPr>
              <w:p w14:paraId="58F3ABE6" w14:textId="77777777" w:rsidR="00496427" w:rsidRPr="00496427" w:rsidRDefault="00496427" w:rsidP="00115445">
                <w:pPr>
                  <w:spacing w:after="0" w:line="240" w:lineRule="auto"/>
                  <w:jc w:val="both"/>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 xml:space="preserve"> Autopista al Mar 2 </w:t>
                </w:r>
              </w:p>
            </w:tc>
            <w:tc>
              <w:tcPr>
                <w:tcW w:w="1028" w:type="dxa"/>
                <w:tcBorders>
                  <w:top w:val="nil"/>
                  <w:left w:val="nil"/>
                  <w:bottom w:val="single" w:sz="8" w:space="0" w:color="808080"/>
                  <w:right w:val="single" w:sz="8" w:space="0" w:color="808080"/>
                </w:tcBorders>
                <w:shd w:val="clear" w:color="auto" w:fill="auto"/>
                <w:noWrap/>
                <w:vAlign w:val="center"/>
                <w:hideMark/>
              </w:tcPr>
              <w:p w14:paraId="171681C8" w14:textId="77777777" w:rsidR="00496427" w:rsidRPr="00496427" w:rsidRDefault="00496427" w:rsidP="00496427">
                <w:pPr>
                  <w:spacing w:after="0" w:line="240" w:lineRule="auto"/>
                  <w:jc w:val="center"/>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 xml:space="preserve"> Comercial </w:t>
                </w:r>
              </w:p>
            </w:tc>
            <w:tc>
              <w:tcPr>
                <w:tcW w:w="1573" w:type="dxa"/>
                <w:gridSpan w:val="2"/>
                <w:tcBorders>
                  <w:top w:val="nil"/>
                  <w:left w:val="nil"/>
                  <w:bottom w:val="single" w:sz="8" w:space="0" w:color="808080"/>
                  <w:right w:val="single" w:sz="8" w:space="0" w:color="808080"/>
                </w:tcBorders>
                <w:shd w:val="clear" w:color="auto" w:fill="auto"/>
                <w:noWrap/>
                <w:vAlign w:val="center"/>
                <w:hideMark/>
              </w:tcPr>
              <w:p w14:paraId="557D865C" w14:textId="77777777" w:rsidR="00496427" w:rsidRPr="00496427" w:rsidRDefault="00496427" w:rsidP="00496427">
                <w:pPr>
                  <w:spacing w:after="0" w:line="240" w:lineRule="auto"/>
                  <w:jc w:val="right"/>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193.997.294.544</w:t>
                </w:r>
              </w:p>
            </w:tc>
          </w:tr>
          <w:tr w:rsidR="00496427" w:rsidRPr="00496427" w14:paraId="139D35F2" w14:textId="77777777" w:rsidTr="00115445">
            <w:trPr>
              <w:trHeight w:val="340"/>
            </w:trPr>
            <w:tc>
              <w:tcPr>
                <w:tcW w:w="1514" w:type="dxa"/>
                <w:tcBorders>
                  <w:top w:val="nil"/>
                  <w:left w:val="single" w:sz="8" w:space="0" w:color="808080"/>
                  <w:bottom w:val="single" w:sz="8" w:space="0" w:color="808080"/>
                  <w:right w:val="single" w:sz="8" w:space="0" w:color="808080"/>
                </w:tcBorders>
                <w:shd w:val="clear" w:color="auto" w:fill="auto"/>
                <w:noWrap/>
                <w:vAlign w:val="center"/>
                <w:hideMark/>
              </w:tcPr>
              <w:p w14:paraId="2DD4049E" w14:textId="77777777" w:rsidR="00496427" w:rsidRPr="00496427" w:rsidRDefault="00496427" w:rsidP="00115445">
                <w:pPr>
                  <w:spacing w:after="0" w:line="240" w:lineRule="auto"/>
                  <w:jc w:val="both"/>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 xml:space="preserve"> Neiva - Mocoa - Santana </w:t>
                </w:r>
              </w:p>
            </w:tc>
            <w:tc>
              <w:tcPr>
                <w:tcW w:w="1028" w:type="dxa"/>
                <w:tcBorders>
                  <w:top w:val="nil"/>
                  <w:left w:val="nil"/>
                  <w:bottom w:val="single" w:sz="8" w:space="0" w:color="808080"/>
                  <w:right w:val="single" w:sz="8" w:space="0" w:color="808080"/>
                </w:tcBorders>
                <w:shd w:val="clear" w:color="auto" w:fill="auto"/>
                <w:noWrap/>
                <w:vAlign w:val="center"/>
                <w:hideMark/>
              </w:tcPr>
              <w:p w14:paraId="39C1E1C3" w14:textId="77777777" w:rsidR="00496427" w:rsidRPr="00496427" w:rsidRDefault="00496427" w:rsidP="00496427">
                <w:pPr>
                  <w:spacing w:after="0" w:line="240" w:lineRule="auto"/>
                  <w:jc w:val="center"/>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 xml:space="preserve"> Comercial </w:t>
                </w:r>
              </w:p>
            </w:tc>
            <w:tc>
              <w:tcPr>
                <w:tcW w:w="1573" w:type="dxa"/>
                <w:gridSpan w:val="2"/>
                <w:tcBorders>
                  <w:top w:val="nil"/>
                  <w:left w:val="nil"/>
                  <w:bottom w:val="single" w:sz="8" w:space="0" w:color="808080"/>
                  <w:right w:val="single" w:sz="8" w:space="0" w:color="808080"/>
                </w:tcBorders>
                <w:shd w:val="clear" w:color="auto" w:fill="auto"/>
                <w:noWrap/>
                <w:vAlign w:val="center"/>
                <w:hideMark/>
              </w:tcPr>
              <w:p w14:paraId="5DFED0CD" w14:textId="77777777" w:rsidR="00496427" w:rsidRPr="00496427" w:rsidRDefault="00496427" w:rsidP="00496427">
                <w:pPr>
                  <w:spacing w:after="0" w:line="240" w:lineRule="auto"/>
                  <w:jc w:val="right"/>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163.737.248.389</w:t>
                </w:r>
              </w:p>
            </w:tc>
          </w:tr>
          <w:tr w:rsidR="00496427" w:rsidRPr="00496427" w14:paraId="1707ECB1" w14:textId="77777777" w:rsidTr="00115445">
            <w:trPr>
              <w:trHeight w:val="340"/>
            </w:trPr>
            <w:tc>
              <w:tcPr>
                <w:tcW w:w="1514" w:type="dxa"/>
                <w:tcBorders>
                  <w:top w:val="nil"/>
                  <w:left w:val="single" w:sz="8" w:space="0" w:color="808080"/>
                  <w:bottom w:val="single" w:sz="8" w:space="0" w:color="808080"/>
                  <w:right w:val="single" w:sz="8" w:space="0" w:color="808080"/>
                </w:tcBorders>
                <w:shd w:val="clear" w:color="auto" w:fill="auto"/>
                <w:noWrap/>
                <w:vAlign w:val="center"/>
                <w:hideMark/>
              </w:tcPr>
              <w:p w14:paraId="112B46DB" w14:textId="77777777" w:rsidR="00496427" w:rsidRPr="00496427" w:rsidRDefault="00496427" w:rsidP="00115445">
                <w:pPr>
                  <w:spacing w:after="0" w:line="240" w:lineRule="auto"/>
                  <w:jc w:val="both"/>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 xml:space="preserve"> Rio Magdalena 2 </w:t>
                </w:r>
              </w:p>
            </w:tc>
            <w:tc>
              <w:tcPr>
                <w:tcW w:w="1028" w:type="dxa"/>
                <w:tcBorders>
                  <w:top w:val="nil"/>
                  <w:left w:val="nil"/>
                  <w:bottom w:val="single" w:sz="8" w:space="0" w:color="808080"/>
                  <w:right w:val="single" w:sz="8" w:space="0" w:color="808080"/>
                </w:tcBorders>
                <w:shd w:val="clear" w:color="auto" w:fill="auto"/>
                <w:noWrap/>
                <w:vAlign w:val="center"/>
                <w:hideMark/>
              </w:tcPr>
              <w:p w14:paraId="4449ED0A" w14:textId="77777777" w:rsidR="00496427" w:rsidRPr="00496427" w:rsidRDefault="00496427" w:rsidP="00496427">
                <w:pPr>
                  <w:spacing w:after="0" w:line="240" w:lineRule="auto"/>
                  <w:jc w:val="center"/>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 xml:space="preserve"> Comercial </w:t>
                </w:r>
              </w:p>
            </w:tc>
            <w:tc>
              <w:tcPr>
                <w:tcW w:w="1573" w:type="dxa"/>
                <w:gridSpan w:val="2"/>
                <w:tcBorders>
                  <w:top w:val="nil"/>
                  <w:left w:val="nil"/>
                  <w:bottom w:val="single" w:sz="8" w:space="0" w:color="808080"/>
                  <w:right w:val="single" w:sz="8" w:space="0" w:color="808080"/>
                </w:tcBorders>
                <w:shd w:val="clear" w:color="auto" w:fill="auto"/>
                <w:noWrap/>
                <w:vAlign w:val="center"/>
                <w:hideMark/>
              </w:tcPr>
              <w:p w14:paraId="63177C49" w14:textId="77777777" w:rsidR="00496427" w:rsidRPr="00496427" w:rsidRDefault="00496427" w:rsidP="00496427">
                <w:pPr>
                  <w:spacing w:after="0" w:line="240" w:lineRule="auto"/>
                  <w:jc w:val="right"/>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146.689.020.134</w:t>
                </w:r>
              </w:p>
            </w:tc>
          </w:tr>
          <w:tr w:rsidR="00496427" w:rsidRPr="00496427" w14:paraId="65B407C4" w14:textId="77777777" w:rsidTr="00115445">
            <w:trPr>
              <w:trHeight w:val="340"/>
            </w:trPr>
            <w:tc>
              <w:tcPr>
                <w:tcW w:w="1514" w:type="dxa"/>
                <w:tcBorders>
                  <w:top w:val="nil"/>
                  <w:left w:val="single" w:sz="8" w:space="0" w:color="808080"/>
                  <w:bottom w:val="single" w:sz="8" w:space="0" w:color="808080"/>
                  <w:right w:val="single" w:sz="8" w:space="0" w:color="808080"/>
                </w:tcBorders>
                <w:shd w:val="clear" w:color="auto" w:fill="auto"/>
                <w:noWrap/>
                <w:vAlign w:val="center"/>
                <w:hideMark/>
              </w:tcPr>
              <w:p w14:paraId="260FF28E" w14:textId="77777777" w:rsidR="00496427" w:rsidRPr="00496427" w:rsidRDefault="00496427" w:rsidP="00115445">
                <w:pPr>
                  <w:spacing w:after="0" w:line="240" w:lineRule="auto"/>
                  <w:jc w:val="both"/>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 xml:space="preserve"> Ctg - B/quilla Circunvalar de la Prosper </w:t>
                </w:r>
              </w:p>
            </w:tc>
            <w:tc>
              <w:tcPr>
                <w:tcW w:w="1028" w:type="dxa"/>
                <w:tcBorders>
                  <w:top w:val="nil"/>
                  <w:left w:val="nil"/>
                  <w:bottom w:val="single" w:sz="8" w:space="0" w:color="808080"/>
                  <w:right w:val="single" w:sz="8" w:space="0" w:color="808080"/>
                </w:tcBorders>
                <w:shd w:val="clear" w:color="auto" w:fill="auto"/>
                <w:noWrap/>
                <w:vAlign w:val="center"/>
                <w:hideMark/>
              </w:tcPr>
              <w:p w14:paraId="4CD90A86" w14:textId="77777777" w:rsidR="00496427" w:rsidRPr="00496427" w:rsidRDefault="00496427" w:rsidP="00496427">
                <w:pPr>
                  <w:spacing w:after="0" w:line="240" w:lineRule="auto"/>
                  <w:jc w:val="center"/>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 xml:space="preserve"> Comercial </w:t>
                </w:r>
              </w:p>
            </w:tc>
            <w:tc>
              <w:tcPr>
                <w:tcW w:w="1573" w:type="dxa"/>
                <w:gridSpan w:val="2"/>
                <w:tcBorders>
                  <w:top w:val="nil"/>
                  <w:left w:val="nil"/>
                  <w:bottom w:val="single" w:sz="8" w:space="0" w:color="808080"/>
                  <w:right w:val="single" w:sz="8" w:space="0" w:color="808080"/>
                </w:tcBorders>
                <w:shd w:val="clear" w:color="auto" w:fill="auto"/>
                <w:noWrap/>
                <w:vAlign w:val="center"/>
                <w:hideMark/>
              </w:tcPr>
              <w:p w14:paraId="3D75A7D2" w14:textId="77777777" w:rsidR="00496427" w:rsidRPr="00496427" w:rsidRDefault="00496427" w:rsidP="00496427">
                <w:pPr>
                  <w:spacing w:after="0" w:line="240" w:lineRule="auto"/>
                  <w:jc w:val="right"/>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103.009.718.396</w:t>
                </w:r>
              </w:p>
            </w:tc>
          </w:tr>
          <w:tr w:rsidR="00496427" w:rsidRPr="00496427" w14:paraId="0CF5B40A" w14:textId="77777777" w:rsidTr="00115445">
            <w:trPr>
              <w:trHeight w:val="340"/>
            </w:trPr>
            <w:tc>
              <w:tcPr>
                <w:tcW w:w="1514" w:type="dxa"/>
                <w:tcBorders>
                  <w:top w:val="nil"/>
                  <w:left w:val="single" w:sz="8" w:space="0" w:color="808080"/>
                  <w:bottom w:val="single" w:sz="8" w:space="0" w:color="808080"/>
                  <w:right w:val="single" w:sz="8" w:space="0" w:color="808080"/>
                </w:tcBorders>
                <w:shd w:val="clear" w:color="auto" w:fill="auto"/>
                <w:noWrap/>
                <w:vAlign w:val="center"/>
                <w:hideMark/>
              </w:tcPr>
              <w:p w14:paraId="469ADA4C" w14:textId="77777777" w:rsidR="00496427" w:rsidRPr="00496427" w:rsidRDefault="00496427" w:rsidP="00115445">
                <w:pPr>
                  <w:spacing w:after="0" w:line="240" w:lineRule="auto"/>
                  <w:jc w:val="both"/>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 xml:space="preserve"> Perimetral del Oriente de Cundinamarca </w:t>
                </w:r>
              </w:p>
            </w:tc>
            <w:tc>
              <w:tcPr>
                <w:tcW w:w="1028" w:type="dxa"/>
                <w:tcBorders>
                  <w:top w:val="nil"/>
                  <w:left w:val="nil"/>
                  <w:bottom w:val="single" w:sz="8" w:space="0" w:color="808080"/>
                  <w:right w:val="single" w:sz="8" w:space="0" w:color="808080"/>
                </w:tcBorders>
                <w:shd w:val="clear" w:color="auto" w:fill="auto"/>
                <w:noWrap/>
                <w:vAlign w:val="center"/>
                <w:hideMark/>
              </w:tcPr>
              <w:p w14:paraId="3DB56542" w14:textId="77777777" w:rsidR="00496427" w:rsidRPr="00496427" w:rsidRDefault="00496427" w:rsidP="00496427">
                <w:pPr>
                  <w:spacing w:after="0" w:line="240" w:lineRule="auto"/>
                  <w:jc w:val="center"/>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 xml:space="preserve"> Comercial </w:t>
                </w:r>
              </w:p>
            </w:tc>
            <w:tc>
              <w:tcPr>
                <w:tcW w:w="1573" w:type="dxa"/>
                <w:gridSpan w:val="2"/>
                <w:tcBorders>
                  <w:top w:val="nil"/>
                  <w:left w:val="nil"/>
                  <w:bottom w:val="single" w:sz="8" w:space="0" w:color="808080"/>
                  <w:right w:val="single" w:sz="8" w:space="0" w:color="808080"/>
                </w:tcBorders>
                <w:shd w:val="clear" w:color="auto" w:fill="auto"/>
                <w:noWrap/>
                <w:vAlign w:val="center"/>
                <w:hideMark/>
              </w:tcPr>
              <w:p w14:paraId="72FA7209" w14:textId="77777777" w:rsidR="00496427" w:rsidRPr="00496427" w:rsidRDefault="00496427" w:rsidP="00496427">
                <w:pPr>
                  <w:spacing w:after="0" w:line="240" w:lineRule="auto"/>
                  <w:jc w:val="right"/>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56.793.184.093</w:t>
                </w:r>
              </w:p>
            </w:tc>
          </w:tr>
          <w:tr w:rsidR="00496427" w:rsidRPr="00496427" w14:paraId="481D95BF" w14:textId="77777777" w:rsidTr="00115445">
            <w:trPr>
              <w:trHeight w:val="340"/>
            </w:trPr>
            <w:tc>
              <w:tcPr>
                <w:tcW w:w="1514" w:type="dxa"/>
                <w:tcBorders>
                  <w:top w:val="nil"/>
                  <w:left w:val="single" w:sz="8" w:space="0" w:color="808080"/>
                  <w:bottom w:val="single" w:sz="8" w:space="0" w:color="808080"/>
                  <w:right w:val="single" w:sz="8" w:space="0" w:color="808080"/>
                </w:tcBorders>
                <w:shd w:val="clear" w:color="auto" w:fill="auto"/>
                <w:noWrap/>
                <w:vAlign w:val="center"/>
                <w:hideMark/>
              </w:tcPr>
              <w:p w14:paraId="4908A558" w14:textId="77777777" w:rsidR="00496427" w:rsidRPr="00496427" w:rsidRDefault="00496427" w:rsidP="00115445">
                <w:pPr>
                  <w:spacing w:after="0" w:line="240" w:lineRule="auto"/>
                  <w:jc w:val="both"/>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 xml:space="preserve"> Conexión Norte </w:t>
                </w:r>
              </w:p>
            </w:tc>
            <w:tc>
              <w:tcPr>
                <w:tcW w:w="1028" w:type="dxa"/>
                <w:tcBorders>
                  <w:top w:val="nil"/>
                  <w:left w:val="nil"/>
                  <w:bottom w:val="single" w:sz="8" w:space="0" w:color="808080"/>
                  <w:right w:val="single" w:sz="8" w:space="0" w:color="808080"/>
                </w:tcBorders>
                <w:shd w:val="clear" w:color="auto" w:fill="auto"/>
                <w:noWrap/>
                <w:vAlign w:val="center"/>
                <w:hideMark/>
              </w:tcPr>
              <w:p w14:paraId="6BBC0645" w14:textId="77777777" w:rsidR="00496427" w:rsidRPr="00496427" w:rsidRDefault="00496427" w:rsidP="00496427">
                <w:pPr>
                  <w:spacing w:after="0" w:line="240" w:lineRule="auto"/>
                  <w:jc w:val="center"/>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 xml:space="preserve"> Comercial </w:t>
                </w:r>
              </w:p>
            </w:tc>
            <w:tc>
              <w:tcPr>
                <w:tcW w:w="1573" w:type="dxa"/>
                <w:gridSpan w:val="2"/>
                <w:tcBorders>
                  <w:top w:val="nil"/>
                  <w:left w:val="nil"/>
                  <w:bottom w:val="single" w:sz="8" w:space="0" w:color="808080"/>
                  <w:right w:val="single" w:sz="8" w:space="0" w:color="808080"/>
                </w:tcBorders>
                <w:shd w:val="clear" w:color="auto" w:fill="auto"/>
                <w:noWrap/>
                <w:vAlign w:val="center"/>
                <w:hideMark/>
              </w:tcPr>
              <w:p w14:paraId="27497516" w14:textId="77777777" w:rsidR="00496427" w:rsidRPr="00496427" w:rsidRDefault="00496427" w:rsidP="00496427">
                <w:pPr>
                  <w:spacing w:after="0" w:line="240" w:lineRule="auto"/>
                  <w:jc w:val="right"/>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50.495.069.147</w:t>
                </w:r>
              </w:p>
            </w:tc>
          </w:tr>
          <w:tr w:rsidR="00496427" w:rsidRPr="00496427" w14:paraId="44896576" w14:textId="77777777" w:rsidTr="00115445">
            <w:trPr>
              <w:trHeight w:val="340"/>
            </w:trPr>
            <w:tc>
              <w:tcPr>
                <w:tcW w:w="1514" w:type="dxa"/>
                <w:tcBorders>
                  <w:top w:val="nil"/>
                  <w:left w:val="single" w:sz="8" w:space="0" w:color="808080"/>
                  <w:bottom w:val="single" w:sz="8" w:space="0" w:color="808080"/>
                  <w:right w:val="single" w:sz="8" w:space="0" w:color="808080"/>
                </w:tcBorders>
                <w:shd w:val="clear" w:color="auto" w:fill="auto"/>
                <w:noWrap/>
                <w:vAlign w:val="center"/>
                <w:hideMark/>
              </w:tcPr>
              <w:p w14:paraId="3206A88A" w14:textId="77777777" w:rsidR="00496427" w:rsidRPr="00496427" w:rsidRDefault="00496427" w:rsidP="00115445">
                <w:pPr>
                  <w:spacing w:after="0" w:line="240" w:lineRule="auto"/>
                  <w:jc w:val="both"/>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 xml:space="preserve"> Honda - Girardot - Puerto Salgar </w:t>
                </w:r>
              </w:p>
            </w:tc>
            <w:tc>
              <w:tcPr>
                <w:tcW w:w="1028" w:type="dxa"/>
                <w:tcBorders>
                  <w:top w:val="nil"/>
                  <w:left w:val="nil"/>
                  <w:bottom w:val="single" w:sz="8" w:space="0" w:color="808080"/>
                  <w:right w:val="single" w:sz="8" w:space="0" w:color="808080"/>
                </w:tcBorders>
                <w:shd w:val="clear" w:color="auto" w:fill="auto"/>
                <w:noWrap/>
                <w:vAlign w:val="center"/>
                <w:hideMark/>
              </w:tcPr>
              <w:p w14:paraId="447C7C0A" w14:textId="77777777" w:rsidR="00496427" w:rsidRPr="00496427" w:rsidRDefault="00496427" w:rsidP="00496427">
                <w:pPr>
                  <w:spacing w:after="0" w:line="240" w:lineRule="auto"/>
                  <w:jc w:val="center"/>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 xml:space="preserve"> Comercial </w:t>
                </w:r>
              </w:p>
            </w:tc>
            <w:tc>
              <w:tcPr>
                <w:tcW w:w="1573" w:type="dxa"/>
                <w:gridSpan w:val="2"/>
                <w:tcBorders>
                  <w:top w:val="nil"/>
                  <w:left w:val="nil"/>
                  <w:bottom w:val="single" w:sz="8" w:space="0" w:color="808080"/>
                  <w:right w:val="single" w:sz="8" w:space="0" w:color="808080"/>
                </w:tcBorders>
                <w:shd w:val="clear" w:color="auto" w:fill="auto"/>
                <w:noWrap/>
                <w:vAlign w:val="center"/>
                <w:hideMark/>
              </w:tcPr>
              <w:p w14:paraId="76AF7787" w14:textId="77777777" w:rsidR="00496427" w:rsidRPr="00496427" w:rsidRDefault="00496427" w:rsidP="00496427">
                <w:pPr>
                  <w:spacing w:after="0" w:line="240" w:lineRule="auto"/>
                  <w:jc w:val="right"/>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43.357.180.511</w:t>
                </w:r>
              </w:p>
            </w:tc>
          </w:tr>
          <w:tr w:rsidR="00496427" w:rsidRPr="00496427" w14:paraId="69110EAD" w14:textId="77777777" w:rsidTr="00115445">
            <w:trPr>
              <w:trHeight w:val="340"/>
            </w:trPr>
            <w:tc>
              <w:tcPr>
                <w:tcW w:w="1514" w:type="dxa"/>
                <w:tcBorders>
                  <w:top w:val="nil"/>
                  <w:left w:val="single" w:sz="8" w:space="0" w:color="808080"/>
                  <w:bottom w:val="single" w:sz="8" w:space="0" w:color="808080"/>
                  <w:right w:val="single" w:sz="8" w:space="0" w:color="808080"/>
                </w:tcBorders>
                <w:shd w:val="clear" w:color="auto" w:fill="auto"/>
                <w:noWrap/>
                <w:vAlign w:val="center"/>
                <w:hideMark/>
              </w:tcPr>
              <w:p w14:paraId="66063D9A" w14:textId="77777777" w:rsidR="00496427" w:rsidRPr="00496427" w:rsidRDefault="00496427" w:rsidP="00115445">
                <w:pPr>
                  <w:spacing w:after="0" w:line="240" w:lineRule="auto"/>
                  <w:jc w:val="both"/>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 xml:space="preserve"> Conexión Pacífico 1 </w:t>
                </w:r>
              </w:p>
            </w:tc>
            <w:tc>
              <w:tcPr>
                <w:tcW w:w="1028" w:type="dxa"/>
                <w:tcBorders>
                  <w:top w:val="nil"/>
                  <w:left w:val="nil"/>
                  <w:bottom w:val="single" w:sz="8" w:space="0" w:color="808080"/>
                  <w:right w:val="single" w:sz="8" w:space="0" w:color="808080"/>
                </w:tcBorders>
                <w:shd w:val="clear" w:color="auto" w:fill="auto"/>
                <w:noWrap/>
                <w:vAlign w:val="center"/>
                <w:hideMark/>
              </w:tcPr>
              <w:p w14:paraId="18761FB4" w14:textId="77777777" w:rsidR="00496427" w:rsidRPr="00496427" w:rsidRDefault="00496427" w:rsidP="00496427">
                <w:pPr>
                  <w:spacing w:after="0" w:line="240" w:lineRule="auto"/>
                  <w:jc w:val="center"/>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 xml:space="preserve"> Comercial </w:t>
                </w:r>
              </w:p>
            </w:tc>
            <w:tc>
              <w:tcPr>
                <w:tcW w:w="1573" w:type="dxa"/>
                <w:gridSpan w:val="2"/>
                <w:tcBorders>
                  <w:top w:val="nil"/>
                  <w:left w:val="nil"/>
                  <w:bottom w:val="single" w:sz="8" w:space="0" w:color="808080"/>
                  <w:right w:val="single" w:sz="8" w:space="0" w:color="808080"/>
                </w:tcBorders>
                <w:shd w:val="clear" w:color="auto" w:fill="auto"/>
                <w:noWrap/>
                <w:vAlign w:val="center"/>
                <w:hideMark/>
              </w:tcPr>
              <w:p w14:paraId="06AAFF4E" w14:textId="77777777" w:rsidR="00496427" w:rsidRPr="00496427" w:rsidRDefault="00496427" w:rsidP="00496427">
                <w:pPr>
                  <w:spacing w:after="0" w:line="240" w:lineRule="auto"/>
                  <w:jc w:val="right"/>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33.300.022.783</w:t>
                </w:r>
              </w:p>
            </w:tc>
          </w:tr>
          <w:tr w:rsidR="00496427" w:rsidRPr="00496427" w14:paraId="3AF0E441" w14:textId="77777777" w:rsidTr="00115445">
            <w:trPr>
              <w:trHeight w:val="340"/>
            </w:trPr>
            <w:tc>
              <w:tcPr>
                <w:tcW w:w="1514" w:type="dxa"/>
                <w:tcBorders>
                  <w:top w:val="nil"/>
                  <w:left w:val="single" w:sz="8" w:space="0" w:color="808080"/>
                  <w:bottom w:val="single" w:sz="8" w:space="0" w:color="808080"/>
                  <w:right w:val="single" w:sz="8" w:space="0" w:color="808080"/>
                </w:tcBorders>
                <w:shd w:val="clear" w:color="auto" w:fill="auto"/>
                <w:noWrap/>
                <w:vAlign w:val="center"/>
                <w:hideMark/>
              </w:tcPr>
              <w:p w14:paraId="4E6CFDA8" w14:textId="77777777" w:rsidR="00496427" w:rsidRPr="00496427" w:rsidRDefault="00496427" w:rsidP="00115445">
                <w:pPr>
                  <w:spacing w:after="0" w:line="240" w:lineRule="auto"/>
                  <w:jc w:val="both"/>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 xml:space="preserve"> Conexión Pacífico 2 </w:t>
                </w:r>
              </w:p>
            </w:tc>
            <w:tc>
              <w:tcPr>
                <w:tcW w:w="1028" w:type="dxa"/>
                <w:tcBorders>
                  <w:top w:val="nil"/>
                  <w:left w:val="nil"/>
                  <w:bottom w:val="single" w:sz="8" w:space="0" w:color="808080"/>
                  <w:right w:val="single" w:sz="8" w:space="0" w:color="808080"/>
                </w:tcBorders>
                <w:shd w:val="clear" w:color="auto" w:fill="auto"/>
                <w:noWrap/>
                <w:vAlign w:val="center"/>
                <w:hideMark/>
              </w:tcPr>
              <w:p w14:paraId="464BE4B5" w14:textId="77777777" w:rsidR="00496427" w:rsidRPr="00496427" w:rsidRDefault="00496427" w:rsidP="00496427">
                <w:pPr>
                  <w:spacing w:after="0" w:line="240" w:lineRule="auto"/>
                  <w:jc w:val="center"/>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 xml:space="preserve"> Comercial </w:t>
                </w:r>
              </w:p>
            </w:tc>
            <w:tc>
              <w:tcPr>
                <w:tcW w:w="1573" w:type="dxa"/>
                <w:gridSpan w:val="2"/>
                <w:tcBorders>
                  <w:top w:val="nil"/>
                  <w:left w:val="nil"/>
                  <w:bottom w:val="single" w:sz="8" w:space="0" w:color="808080"/>
                  <w:right w:val="single" w:sz="8" w:space="0" w:color="808080"/>
                </w:tcBorders>
                <w:shd w:val="clear" w:color="auto" w:fill="auto"/>
                <w:noWrap/>
                <w:vAlign w:val="center"/>
                <w:hideMark/>
              </w:tcPr>
              <w:p w14:paraId="6891C2F3" w14:textId="77777777" w:rsidR="00496427" w:rsidRPr="00496427" w:rsidRDefault="00496427" w:rsidP="00496427">
                <w:pPr>
                  <w:spacing w:after="0" w:line="240" w:lineRule="auto"/>
                  <w:jc w:val="right"/>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29.917.064.840</w:t>
                </w:r>
              </w:p>
            </w:tc>
          </w:tr>
          <w:tr w:rsidR="00496427" w:rsidRPr="00496427" w14:paraId="6BE9CE02" w14:textId="77777777" w:rsidTr="00115445">
            <w:trPr>
              <w:trHeight w:val="340"/>
            </w:trPr>
            <w:tc>
              <w:tcPr>
                <w:tcW w:w="1514" w:type="dxa"/>
                <w:tcBorders>
                  <w:top w:val="nil"/>
                  <w:left w:val="single" w:sz="8" w:space="0" w:color="808080"/>
                  <w:bottom w:val="single" w:sz="8" w:space="0" w:color="808080"/>
                  <w:right w:val="single" w:sz="8" w:space="0" w:color="808080"/>
                </w:tcBorders>
                <w:shd w:val="clear" w:color="auto" w:fill="auto"/>
                <w:noWrap/>
                <w:vAlign w:val="center"/>
                <w:hideMark/>
              </w:tcPr>
              <w:p w14:paraId="467174BE" w14:textId="77777777" w:rsidR="00496427" w:rsidRPr="00496427" w:rsidRDefault="00496427" w:rsidP="00115445">
                <w:pPr>
                  <w:spacing w:after="0" w:line="240" w:lineRule="auto"/>
                  <w:jc w:val="both"/>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 xml:space="preserve"> Popayán - Santander de Quilichao </w:t>
                </w:r>
              </w:p>
            </w:tc>
            <w:tc>
              <w:tcPr>
                <w:tcW w:w="1028" w:type="dxa"/>
                <w:tcBorders>
                  <w:top w:val="nil"/>
                  <w:left w:val="nil"/>
                  <w:bottom w:val="single" w:sz="8" w:space="0" w:color="808080"/>
                  <w:right w:val="single" w:sz="8" w:space="0" w:color="808080"/>
                </w:tcBorders>
                <w:shd w:val="clear" w:color="auto" w:fill="auto"/>
                <w:noWrap/>
                <w:vAlign w:val="center"/>
                <w:hideMark/>
              </w:tcPr>
              <w:p w14:paraId="099882C8" w14:textId="77777777" w:rsidR="00496427" w:rsidRPr="00496427" w:rsidRDefault="00496427" w:rsidP="00496427">
                <w:pPr>
                  <w:spacing w:after="0" w:line="240" w:lineRule="auto"/>
                  <w:jc w:val="center"/>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 xml:space="preserve"> Comercial </w:t>
                </w:r>
              </w:p>
            </w:tc>
            <w:tc>
              <w:tcPr>
                <w:tcW w:w="1573" w:type="dxa"/>
                <w:gridSpan w:val="2"/>
                <w:tcBorders>
                  <w:top w:val="nil"/>
                  <w:left w:val="nil"/>
                  <w:bottom w:val="single" w:sz="8" w:space="0" w:color="808080"/>
                  <w:right w:val="single" w:sz="8" w:space="0" w:color="808080"/>
                </w:tcBorders>
                <w:shd w:val="clear" w:color="auto" w:fill="auto"/>
                <w:noWrap/>
                <w:vAlign w:val="center"/>
                <w:hideMark/>
              </w:tcPr>
              <w:p w14:paraId="3ADDD965" w14:textId="77777777" w:rsidR="00496427" w:rsidRPr="00496427" w:rsidRDefault="00496427" w:rsidP="00496427">
                <w:pPr>
                  <w:spacing w:after="0" w:line="240" w:lineRule="auto"/>
                  <w:jc w:val="right"/>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26.205.021.555</w:t>
                </w:r>
              </w:p>
            </w:tc>
          </w:tr>
          <w:tr w:rsidR="00496427" w:rsidRPr="00496427" w14:paraId="3944F66D" w14:textId="77777777" w:rsidTr="00115445">
            <w:trPr>
              <w:trHeight w:val="340"/>
            </w:trPr>
            <w:tc>
              <w:tcPr>
                <w:tcW w:w="1514" w:type="dxa"/>
                <w:tcBorders>
                  <w:top w:val="nil"/>
                  <w:left w:val="single" w:sz="8" w:space="0" w:color="808080"/>
                  <w:bottom w:val="single" w:sz="8" w:space="0" w:color="808080"/>
                  <w:right w:val="single" w:sz="8" w:space="0" w:color="808080"/>
                </w:tcBorders>
                <w:shd w:val="clear" w:color="auto" w:fill="auto"/>
                <w:noWrap/>
                <w:vAlign w:val="center"/>
                <w:hideMark/>
              </w:tcPr>
              <w:p w14:paraId="03910629" w14:textId="77777777" w:rsidR="00496427" w:rsidRPr="00496427" w:rsidRDefault="00496427" w:rsidP="00115445">
                <w:pPr>
                  <w:spacing w:after="0" w:line="240" w:lineRule="auto"/>
                  <w:jc w:val="both"/>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 xml:space="preserve"> Conexión Pacífico 3 </w:t>
                </w:r>
              </w:p>
            </w:tc>
            <w:tc>
              <w:tcPr>
                <w:tcW w:w="1028" w:type="dxa"/>
                <w:tcBorders>
                  <w:top w:val="nil"/>
                  <w:left w:val="nil"/>
                  <w:bottom w:val="single" w:sz="8" w:space="0" w:color="808080"/>
                  <w:right w:val="single" w:sz="8" w:space="0" w:color="808080"/>
                </w:tcBorders>
                <w:shd w:val="clear" w:color="auto" w:fill="auto"/>
                <w:noWrap/>
                <w:vAlign w:val="center"/>
                <w:hideMark/>
              </w:tcPr>
              <w:p w14:paraId="6DA607DE" w14:textId="77777777" w:rsidR="00496427" w:rsidRPr="00496427" w:rsidRDefault="00496427" w:rsidP="00496427">
                <w:pPr>
                  <w:spacing w:after="0" w:line="240" w:lineRule="auto"/>
                  <w:jc w:val="center"/>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 xml:space="preserve"> Comercial </w:t>
                </w:r>
              </w:p>
            </w:tc>
            <w:tc>
              <w:tcPr>
                <w:tcW w:w="1573" w:type="dxa"/>
                <w:gridSpan w:val="2"/>
                <w:tcBorders>
                  <w:top w:val="nil"/>
                  <w:left w:val="nil"/>
                  <w:bottom w:val="single" w:sz="8" w:space="0" w:color="808080"/>
                  <w:right w:val="single" w:sz="8" w:space="0" w:color="808080"/>
                </w:tcBorders>
                <w:shd w:val="clear" w:color="auto" w:fill="auto"/>
                <w:noWrap/>
                <w:vAlign w:val="center"/>
                <w:hideMark/>
              </w:tcPr>
              <w:p w14:paraId="1588B99A" w14:textId="77777777" w:rsidR="00496427" w:rsidRPr="00496427" w:rsidRDefault="00496427" w:rsidP="00496427">
                <w:pPr>
                  <w:spacing w:after="0" w:line="240" w:lineRule="auto"/>
                  <w:jc w:val="right"/>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23.112.447.939</w:t>
                </w:r>
              </w:p>
            </w:tc>
          </w:tr>
          <w:tr w:rsidR="00496427" w:rsidRPr="00496427" w14:paraId="74728959" w14:textId="77777777" w:rsidTr="00115445">
            <w:trPr>
              <w:trHeight w:val="340"/>
            </w:trPr>
            <w:tc>
              <w:tcPr>
                <w:tcW w:w="1514" w:type="dxa"/>
                <w:tcBorders>
                  <w:top w:val="nil"/>
                  <w:left w:val="single" w:sz="8" w:space="0" w:color="808080"/>
                  <w:bottom w:val="single" w:sz="8" w:space="0" w:color="808080"/>
                  <w:right w:val="single" w:sz="8" w:space="0" w:color="808080"/>
                </w:tcBorders>
                <w:shd w:val="clear" w:color="auto" w:fill="auto"/>
                <w:noWrap/>
                <w:vAlign w:val="center"/>
                <w:hideMark/>
              </w:tcPr>
              <w:p w14:paraId="25AE9741" w14:textId="77777777" w:rsidR="00496427" w:rsidRPr="00496427" w:rsidRDefault="00496427" w:rsidP="00115445">
                <w:pPr>
                  <w:spacing w:after="0" w:line="240" w:lineRule="auto"/>
                  <w:jc w:val="both"/>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 xml:space="preserve"> Bucaramanga - Pamplona </w:t>
                </w:r>
              </w:p>
            </w:tc>
            <w:tc>
              <w:tcPr>
                <w:tcW w:w="1028" w:type="dxa"/>
                <w:tcBorders>
                  <w:top w:val="nil"/>
                  <w:left w:val="nil"/>
                  <w:bottom w:val="single" w:sz="8" w:space="0" w:color="808080"/>
                  <w:right w:val="single" w:sz="8" w:space="0" w:color="808080"/>
                </w:tcBorders>
                <w:shd w:val="clear" w:color="auto" w:fill="auto"/>
                <w:noWrap/>
                <w:vAlign w:val="center"/>
                <w:hideMark/>
              </w:tcPr>
              <w:p w14:paraId="35ED626B" w14:textId="77777777" w:rsidR="00496427" w:rsidRPr="00496427" w:rsidRDefault="00496427" w:rsidP="00496427">
                <w:pPr>
                  <w:spacing w:after="0" w:line="240" w:lineRule="auto"/>
                  <w:jc w:val="center"/>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 xml:space="preserve"> Comercial </w:t>
                </w:r>
              </w:p>
            </w:tc>
            <w:tc>
              <w:tcPr>
                <w:tcW w:w="1573" w:type="dxa"/>
                <w:gridSpan w:val="2"/>
                <w:tcBorders>
                  <w:top w:val="nil"/>
                  <w:left w:val="nil"/>
                  <w:bottom w:val="single" w:sz="8" w:space="0" w:color="808080"/>
                  <w:right w:val="single" w:sz="8" w:space="0" w:color="808080"/>
                </w:tcBorders>
                <w:shd w:val="clear" w:color="auto" w:fill="auto"/>
                <w:noWrap/>
                <w:vAlign w:val="center"/>
                <w:hideMark/>
              </w:tcPr>
              <w:p w14:paraId="6EE5797C" w14:textId="77777777" w:rsidR="00496427" w:rsidRPr="00496427" w:rsidRDefault="00496427" w:rsidP="00496427">
                <w:pPr>
                  <w:spacing w:after="0" w:line="240" w:lineRule="auto"/>
                  <w:jc w:val="right"/>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10.080.539.806</w:t>
                </w:r>
              </w:p>
            </w:tc>
          </w:tr>
          <w:tr w:rsidR="00496427" w:rsidRPr="00496427" w14:paraId="517F8E9D" w14:textId="77777777" w:rsidTr="00115445">
            <w:trPr>
              <w:trHeight w:val="340"/>
            </w:trPr>
            <w:tc>
              <w:tcPr>
                <w:tcW w:w="1514" w:type="dxa"/>
                <w:tcBorders>
                  <w:top w:val="nil"/>
                  <w:left w:val="single" w:sz="8" w:space="0" w:color="808080"/>
                  <w:bottom w:val="single" w:sz="8" w:space="0" w:color="808080"/>
                  <w:right w:val="single" w:sz="8" w:space="0" w:color="808080"/>
                </w:tcBorders>
                <w:shd w:val="clear" w:color="auto" w:fill="auto"/>
                <w:noWrap/>
                <w:vAlign w:val="center"/>
                <w:hideMark/>
              </w:tcPr>
              <w:p w14:paraId="690C0C8C" w14:textId="77777777" w:rsidR="00496427" w:rsidRPr="00496427" w:rsidRDefault="00496427" w:rsidP="00115445">
                <w:pPr>
                  <w:spacing w:after="0" w:line="240" w:lineRule="auto"/>
                  <w:jc w:val="both"/>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 xml:space="preserve"> Pasto - Rumichaca 4G </w:t>
                </w:r>
              </w:p>
            </w:tc>
            <w:tc>
              <w:tcPr>
                <w:tcW w:w="1028" w:type="dxa"/>
                <w:tcBorders>
                  <w:top w:val="nil"/>
                  <w:left w:val="nil"/>
                  <w:bottom w:val="single" w:sz="8" w:space="0" w:color="808080"/>
                  <w:right w:val="single" w:sz="8" w:space="0" w:color="808080"/>
                </w:tcBorders>
                <w:shd w:val="clear" w:color="auto" w:fill="auto"/>
                <w:noWrap/>
                <w:vAlign w:val="center"/>
                <w:hideMark/>
              </w:tcPr>
              <w:p w14:paraId="0E4A4263" w14:textId="77777777" w:rsidR="00496427" w:rsidRPr="00496427" w:rsidRDefault="00496427" w:rsidP="00496427">
                <w:pPr>
                  <w:spacing w:after="0" w:line="240" w:lineRule="auto"/>
                  <w:jc w:val="center"/>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 xml:space="preserve"> Comercial </w:t>
                </w:r>
              </w:p>
            </w:tc>
            <w:tc>
              <w:tcPr>
                <w:tcW w:w="1573" w:type="dxa"/>
                <w:gridSpan w:val="2"/>
                <w:tcBorders>
                  <w:top w:val="nil"/>
                  <w:left w:val="nil"/>
                  <w:bottom w:val="single" w:sz="8" w:space="0" w:color="808080"/>
                  <w:right w:val="single" w:sz="8" w:space="0" w:color="808080"/>
                </w:tcBorders>
                <w:shd w:val="clear" w:color="auto" w:fill="auto"/>
                <w:noWrap/>
                <w:vAlign w:val="center"/>
                <w:hideMark/>
              </w:tcPr>
              <w:p w14:paraId="51E1762D" w14:textId="77777777" w:rsidR="00496427" w:rsidRPr="00496427" w:rsidRDefault="00496427" w:rsidP="00496427">
                <w:pPr>
                  <w:spacing w:after="0" w:line="240" w:lineRule="auto"/>
                  <w:jc w:val="right"/>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8.268.584.866</w:t>
                </w:r>
              </w:p>
            </w:tc>
          </w:tr>
          <w:tr w:rsidR="00496427" w:rsidRPr="00496427" w14:paraId="40C35E54" w14:textId="77777777" w:rsidTr="00115445">
            <w:trPr>
              <w:trHeight w:val="340"/>
            </w:trPr>
            <w:tc>
              <w:tcPr>
                <w:tcW w:w="1514" w:type="dxa"/>
                <w:tcBorders>
                  <w:top w:val="nil"/>
                  <w:left w:val="single" w:sz="8" w:space="0" w:color="808080"/>
                  <w:bottom w:val="single" w:sz="8" w:space="0" w:color="808080"/>
                  <w:right w:val="single" w:sz="8" w:space="0" w:color="808080"/>
                </w:tcBorders>
                <w:shd w:val="clear" w:color="auto" w:fill="auto"/>
                <w:noWrap/>
                <w:vAlign w:val="center"/>
                <w:hideMark/>
              </w:tcPr>
              <w:p w14:paraId="258EF6F3" w14:textId="77777777" w:rsidR="00496427" w:rsidRPr="00496427" w:rsidRDefault="00496427" w:rsidP="00115445">
                <w:pPr>
                  <w:spacing w:after="0" w:line="240" w:lineRule="auto"/>
                  <w:jc w:val="both"/>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 xml:space="preserve"> Autopista al Mar 1 </w:t>
                </w:r>
              </w:p>
            </w:tc>
            <w:tc>
              <w:tcPr>
                <w:tcW w:w="1028" w:type="dxa"/>
                <w:tcBorders>
                  <w:top w:val="nil"/>
                  <w:left w:val="nil"/>
                  <w:bottom w:val="single" w:sz="8" w:space="0" w:color="808080"/>
                  <w:right w:val="single" w:sz="8" w:space="0" w:color="808080"/>
                </w:tcBorders>
                <w:shd w:val="clear" w:color="auto" w:fill="auto"/>
                <w:noWrap/>
                <w:vAlign w:val="center"/>
                <w:hideMark/>
              </w:tcPr>
              <w:p w14:paraId="78A4A0EA" w14:textId="77777777" w:rsidR="00496427" w:rsidRPr="00496427" w:rsidRDefault="00496427" w:rsidP="00496427">
                <w:pPr>
                  <w:spacing w:after="0" w:line="240" w:lineRule="auto"/>
                  <w:jc w:val="center"/>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 xml:space="preserve"> Comercial </w:t>
                </w:r>
              </w:p>
            </w:tc>
            <w:tc>
              <w:tcPr>
                <w:tcW w:w="1573" w:type="dxa"/>
                <w:gridSpan w:val="2"/>
                <w:tcBorders>
                  <w:top w:val="nil"/>
                  <w:left w:val="nil"/>
                  <w:bottom w:val="single" w:sz="8" w:space="0" w:color="808080"/>
                  <w:right w:val="single" w:sz="8" w:space="0" w:color="808080"/>
                </w:tcBorders>
                <w:shd w:val="clear" w:color="auto" w:fill="auto"/>
                <w:noWrap/>
                <w:vAlign w:val="center"/>
                <w:hideMark/>
              </w:tcPr>
              <w:p w14:paraId="5EBE2CA3" w14:textId="77777777" w:rsidR="00496427" w:rsidRPr="00496427" w:rsidRDefault="00496427" w:rsidP="00496427">
                <w:pPr>
                  <w:spacing w:after="0" w:line="240" w:lineRule="auto"/>
                  <w:jc w:val="right"/>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6.190.658.440</w:t>
                </w:r>
              </w:p>
            </w:tc>
          </w:tr>
          <w:tr w:rsidR="00496427" w:rsidRPr="00496427" w14:paraId="352AE971" w14:textId="77777777" w:rsidTr="00115445">
            <w:trPr>
              <w:trHeight w:val="340"/>
            </w:trPr>
            <w:tc>
              <w:tcPr>
                <w:tcW w:w="1514" w:type="dxa"/>
                <w:tcBorders>
                  <w:top w:val="nil"/>
                  <w:left w:val="single" w:sz="8" w:space="0" w:color="808080"/>
                  <w:bottom w:val="single" w:sz="8" w:space="0" w:color="808080"/>
                  <w:right w:val="single" w:sz="8" w:space="0" w:color="808080"/>
                </w:tcBorders>
                <w:shd w:val="clear" w:color="auto" w:fill="auto"/>
                <w:noWrap/>
                <w:vAlign w:val="center"/>
                <w:hideMark/>
              </w:tcPr>
              <w:p w14:paraId="220692AF" w14:textId="77777777" w:rsidR="00496427" w:rsidRPr="00496427" w:rsidRDefault="00496427" w:rsidP="00115445">
                <w:pPr>
                  <w:spacing w:after="0" w:line="240" w:lineRule="auto"/>
                  <w:jc w:val="both"/>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 xml:space="preserve"> Pamplona - Cúcuta </w:t>
                </w:r>
              </w:p>
            </w:tc>
            <w:tc>
              <w:tcPr>
                <w:tcW w:w="1028" w:type="dxa"/>
                <w:tcBorders>
                  <w:top w:val="nil"/>
                  <w:left w:val="nil"/>
                  <w:bottom w:val="single" w:sz="8" w:space="0" w:color="808080"/>
                  <w:right w:val="single" w:sz="8" w:space="0" w:color="808080"/>
                </w:tcBorders>
                <w:shd w:val="clear" w:color="auto" w:fill="auto"/>
                <w:noWrap/>
                <w:vAlign w:val="center"/>
                <w:hideMark/>
              </w:tcPr>
              <w:p w14:paraId="71361911" w14:textId="77777777" w:rsidR="00496427" w:rsidRPr="00496427" w:rsidRDefault="00496427" w:rsidP="00496427">
                <w:pPr>
                  <w:spacing w:after="0" w:line="240" w:lineRule="auto"/>
                  <w:jc w:val="center"/>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 xml:space="preserve"> Comercial </w:t>
                </w:r>
              </w:p>
            </w:tc>
            <w:tc>
              <w:tcPr>
                <w:tcW w:w="1573" w:type="dxa"/>
                <w:gridSpan w:val="2"/>
                <w:tcBorders>
                  <w:top w:val="nil"/>
                  <w:left w:val="nil"/>
                  <w:bottom w:val="single" w:sz="8" w:space="0" w:color="808080"/>
                  <w:right w:val="single" w:sz="8" w:space="0" w:color="808080"/>
                </w:tcBorders>
                <w:shd w:val="clear" w:color="auto" w:fill="auto"/>
                <w:noWrap/>
                <w:vAlign w:val="center"/>
                <w:hideMark/>
              </w:tcPr>
              <w:p w14:paraId="436C84AE" w14:textId="77777777" w:rsidR="00496427" w:rsidRPr="00496427" w:rsidRDefault="00496427" w:rsidP="00496427">
                <w:pPr>
                  <w:spacing w:after="0" w:line="240" w:lineRule="auto"/>
                  <w:jc w:val="right"/>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5.475.173.758</w:t>
                </w:r>
              </w:p>
            </w:tc>
          </w:tr>
          <w:tr w:rsidR="00496427" w:rsidRPr="00496427" w14:paraId="0F607EA4" w14:textId="77777777" w:rsidTr="00115445">
            <w:trPr>
              <w:trHeight w:val="340"/>
            </w:trPr>
            <w:tc>
              <w:tcPr>
                <w:tcW w:w="1514" w:type="dxa"/>
                <w:tcBorders>
                  <w:top w:val="nil"/>
                  <w:left w:val="single" w:sz="8" w:space="0" w:color="808080"/>
                  <w:bottom w:val="single" w:sz="8" w:space="0" w:color="808080"/>
                  <w:right w:val="single" w:sz="8" w:space="0" w:color="808080"/>
                </w:tcBorders>
                <w:shd w:val="clear" w:color="auto" w:fill="auto"/>
                <w:noWrap/>
                <w:vAlign w:val="center"/>
                <w:hideMark/>
              </w:tcPr>
              <w:p w14:paraId="4A4A72E9" w14:textId="77777777" w:rsidR="00496427" w:rsidRPr="00496427" w:rsidRDefault="00496427" w:rsidP="00115445">
                <w:pPr>
                  <w:spacing w:after="0" w:line="240" w:lineRule="auto"/>
                  <w:jc w:val="both"/>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 xml:space="preserve"> Puerta de Hierro - Cruz de Viso </w:t>
                </w:r>
              </w:p>
            </w:tc>
            <w:tc>
              <w:tcPr>
                <w:tcW w:w="1028" w:type="dxa"/>
                <w:tcBorders>
                  <w:top w:val="nil"/>
                  <w:left w:val="nil"/>
                  <w:bottom w:val="single" w:sz="8" w:space="0" w:color="808080"/>
                  <w:right w:val="single" w:sz="8" w:space="0" w:color="808080"/>
                </w:tcBorders>
                <w:shd w:val="clear" w:color="auto" w:fill="auto"/>
                <w:noWrap/>
                <w:vAlign w:val="center"/>
                <w:hideMark/>
              </w:tcPr>
              <w:p w14:paraId="25272CD6" w14:textId="77777777" w:rsidR="00496427" w:rsidRPr="00496427" w:rsidRDefault="00496427" w:rsidP="00496427">
                <w:pPr>
                  <w:spacing w:after="0" w:line="240" w:lineRule="auto"/>
                  <w:jc w:val="center"/>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 xml:space="preserve"> Comercial </w:t>
                </w:r>
              </w:p>
            </w:tc>
            <w:tc>
              <w:tcPr>
                <w:tcW w:w="1573" w:type="dxa"/>
                <w:gridSpan w:val="2"/>
                <w:tcBorders>
                  <w:top w:val="nil"/>
                  <w:left w:val="nil"/>
                  <w:bottom w:val="single" w:sz="8" w:space="0" w:color="808080"/>
                  <w:right w:val="single" w:sz="8" w:space="0" w:color="808080"/>
                </w:tcBorders>
                <w:shd w:val="clear" w:color="auto" w:fill="auto"/>
                <w:noWrap/>
                <w:vAlign w:val="center"/>
                <w:hideMark/>
              </w:tcPr>
              <w:p w14:paraId="6AEFDF90" w14:textId="77777777" w:rsidR="00496427" w:rsidRPr="00496427" w:rsidRDefault="00496427" w:rsidP="00496427">
                <w:pPr>
                  <w:spacing w:after="0" w:line="240" w:lineRule="auto"/>
                  <w:jc w:val="right"/>
                  <w:rPr>
                    <w:rFonts w:ascii="Times New Roman" w:eastAsia="Times New Roman" w:hAnsi="Times New Roman"/>
                    <w:color w:val="000000"/>
                    <w:sz w:val="18"/>
                    <w:szCs w:val="18"/>
                    <w:lang w:eastAsia="es-CO"/>
                  </w:rPr>
                </w:pPr>
                <w:r w:rsidRPr="00496427">
                  <w:rPr>
                    <w:rFonts w:ascii="Times New Roman" w:eastAsia="Times New Roman" w:hAnsi="Times New Roman"/>
                    <w:color w:val="000000"/>
                    <w:sz w:val="18"/>
                    <w:szCs w:val="18"/>
                    <w:lang w:eastAsia="es-CO"/>
                  </w:rPr>
                  <w:t>211.858.990</w:t>
                </w:r>
              </w:p>
            </w:tc>
          </w:tr>
          <w:tr w:rsidR="00115445" w:rsidRPr="00115445" w14:paraId="07F63E9C" w14:textId="77777777" w:rsidTr="00115445">
            <w:trPr>
              <w:gridAfter w:val="1"/>
              <w:wAfter w:w="15" w:type="dxa"/>
              <w:trHeight w:val="315"/>
            </w:trPr>
            <w:tc>
              <w:tcPr>
                <w:tcW w:w="2542" w:type="dxa"/>
                <w:gridSpan w:val="2"/>
                <w:tcBorders>
                  <w:top w:val="single" w:sz="8" w:space="0" w:color="808080"/>
                  <w:left w:val="single" w:sz="8" w:space="0" w:color="808080"/>
                  <w:bottom w:val="single" w:sz="8" w:space="0" w:color="808080"/>
                  <w:right w:val="single" w:sz="8" w:space="0" w:color="808080"/>
                </w:tcBorders>
                <w:shd w:val="clear" w:color="auto" w:fill="auto"/>
                <w:noWrap/>
                <w:vAlign w:val="center"/>
                <w:hideMark/>
              </w:tcPr>
              <w:p w14:paraId="1434DD6C" w14:textId="77777777" w:rsidR="00115445" w:rsidRPr="00115445" w:rsidRDefault="00115445" w:rsidP="00115445">
                <w:pPr>
                  <w:spacing w:after="0" w:line="240" w:lineRule="auto"/>
                  <w:jc w:val="center"/>
                  <w:rPr>
                    <w:rFonts w:ascii="Times New Roman" w:eastAsia="Times New Roman" w:hAnsi="Times New Roman"/>
                    <w:b/>
                    <w:bCs/>
                    <w:color w:val="000000"/>
                    <w:sz w:val="18"/>
                    <w:szCs w:val="18"/>
                    <w:lang w:eastAsia="es-CO"/>
                  </w:rPr>
                </w:pPr>
                <w:r w:rsidRPr="00115445">
                  <w:rPr>
                    <w:rFonts w:ascii="Times New Roman" w:eastAsia="Times New Roman" w:hAnsi="Times New Roman"/>
                    <w:b/>
                    <w:bCs/>
                    <w:color w:val="000000"/>
                    <w:sz w:val="18"/>
                    <w:szCs w:val="18"/>
                    <w:lang w:eastAsia="es-CO"/>
                  </w:rPr>
                  <w:t xml:space="preserve">Total Riesgo Comercial </w:t>
                </w:r>
              </w:p>
            </w:tc>
            <w:tc>
              <w:tcPr>
                <w:tcW w:w="1558" w:type="dxa"/>
                <w:tcBorders>
                  <w:top w:val="nil"/>
                  <w:left w:val="nil"/>
                  <w:bottom w:val="single" w:sz="8" w:space="0" w:color="808080"/>
                  <w:right w:val="single" w:sz="8" w:space="0" w:color="808080"/>
                </w:tcBorders>
                <w:shd w:val="clear" w:color="auto" w:fill="auto"/>
                <w:noWrap/>
                <w:vAlign w:val="center"/>
                <w:hideMark/>
              </w:tcPr>
              <w:p w14:paraId="4B1F39B9" w14:textId="77777777" w:rsidR="00115445" w:rsidRPr="00115445" w:rsidRDefault="00115445" w:rsidP="00115445">
                <w:pPr>
                  <w:spacing w:after="0" w:line="240" w:lineRule="auto"/>
                  <w:jc w:val="right"/>
                  <w:rPr>
                    <w:rFonts w:ascii="Times New Roman" w:eastAsia="Times New Roman" w:hAnsi="Times New Roman"/>
                    <w:b/>
                    <w:bCs/>
                    <w:color w:val="000000"/>
                    <w:sz w:val="18"/>
                    <w:szCs w:val="18"/>
                    <w:lang w:eastAsia="es-CO"/>
                  </w:rPr>
                </w:pPr>
                <w:r w:rsidRPr="00115445">
                  <w:rPr>
                    <w:rFonts w:ascii="Times New Roman" w:eastAsia="Times New Roman" w:hAnsi="Times New Roman"/>
                    <w:b/>
                    <w:bCs/>
                    <w:color w:val="000000"/>
                    <w:sz w:val="18"/>
                    <w:szCs w:val="18"/>
                    <w:lang w:eastAsia="es-CO"/>
                  </w:rPr>
                  <w:t>2.064.475.544.945</w:t>
                </w:r>
              </w:p>
            </w:tc>
          </w:tr>
        </w:tbl>
        <w:p w14:paraId="629B2053" w14:textId="77777777" w:rsidR="00496427" w:rsidRDefault="00496427" w:rsidP="007A0DD9">
          <w:pPr>
            <w:spacing w:after="0" w:line="240" w:lineRule="auto"/>
            <w:jc w:val="both"/>
            <w:rPr>
              <w:rFonts w:ascii="Times New Roman" w:hAnsi="Times New Roman"/>
              <w:sz w:val="14"/>
              <w:szCs w:val="14"/>
            </w:rPr>
            <w:sectPr w:rsidR="00496427" w:rsidSect="00376BDD">
              <w:type w:val="continuous"/>
              <w:pgSz w:w="12240" w:h="15840"/>
              <w:pgMar w:top="1418" w:right="1418" w:bottom="1418" w:left="1843" w:header="680" w:footer="709" w:gutter="0"/>
              <w:pgNumType w:start="1"/>
              <w:cols w:num="2" w:space="708"/>
              <w:titlePg/>
              <w:docGrid w:linePitch="360"/>
            </w:sectPr>
          </w:pPr>
        </w:p>
        <w:p w14:paraId="78781790" w14:textId="7FB2843A" w:rsidR="007A0DD9" w:rsidRPr="00DE7CC4" w:rsidRDefault="00AD2026" w:rsidP="007A0DD9">
          <w:pPr>
            <w:spacing w:after="0" w:line="240" w:lineRule="auto"/>
            <w:jc w:val="both"/>
            <w:rPr>
              <w:rFonts w:ascii="Times New Roman" w:hAnsi="Times New Roman"/>
              <w:sz w:val="24"/>
              <w:szCs w:val="24"/>
            </w:rPr>
          </w:pPr>
          <w:r w:rsidRPr="00931DCE">
            <w:rPr>
              <w:rFonts w:ascii="Times New Roman" w:hAnsi="Times New Roman"/>
              <w:sz w:val="14"/>
              <w:szCs w:val="14"/>
            </w:rPr>
            <w:t>Cifras expresadas en pesos</w:t>
          </w:r>
          <w:r w:rsidR="007A0DD9" w:rsidRPr="00931DCE">
            <w:rPr>
              <w:rFonts w:ascii="Times New Roman" w:hAnsi="Times New Roman"/>
              <w:sz w:val="14"/>
              <w:szCs w:val="14"/>
            </w:rPr>
            <w:t xml:space="preserve"> </w:t>
          </w:r>
        </w:p>
        <w:p w14:paraId="1C325CA7" w14:textId="2CE94AE1" w:rsidR="09F367D5" w:rsidRDefault="09F367D5" w:rsidP="09F367D5">
          <w:pPr>
            <w:pStyle w:val="Ttulo1"/>
            <w:rPr>
              <w:rFonts w:cs="Times New Roman"/>
            </w:rPr>
          </w:pPr>
        </w:p>
        <w:p w14:paraId="75F06F37" w14:textId="2C8B7158" w:rsidR="09F367D5" w:rsidRDefault="09F367D5" w:rsidP="09F367D5">
          <w:pPr>
            <w:pStyle w:val="Ttulo1"/>
            <w:rPr>
              <w:rFonts w:cs="Times New Roman"/>
            </w:rPr>
          </w:pPr>
        </w:p>
        <w:p w14:paraId="09DB0972" w14:textId="41672F19" w:rsidR="00663FE0" w:rsidRPr="00931DCE" w:rsidRDefault="00663FE0" w:rsidP="004A000E">
          <w:pPr>
            <w:pStyle w:val="Ttulo1"/>
            <w:rPr>
              <w:rFonts w:cs="Times New Roman"/>
            </w:rPr>
          </w:pPr>
          <w:bookmarkStart w:id="99" w:name="_Toc159952424"/>
          <w:r w:rsidRPr="00931DCE">
            <w:rPr>
              <w:rFonts w:cs="Times New Roman"/>
            </w:rPr>
            <w:t>NOTA 26. CUENTAS DE ORDEN</w:t>
          </w:r>
          <w:bookmarkEnd w:id="99"/>
        </w:p>
        <w:p w14:paraId="330620FF" w14:textId="77777777" w:rsidR="00663FE0" w:rsidRPr="00931DCE" w:rsidRDefault="00663FE0" w:rsidP="004A000E">
          <w:pPr>
            <w:spacing w:after="0" w:line="240" w:lineRule="auto"/>
            <w:jc w:val="both"/>
            <w:rPr>
              <w:rFonts w:ascii="Times New Roman" w:hAnsi="Times New Roman"/>
              <w:b/>
              <w:sz w:val="24"/>
              <w:szCs w:val="24"/>
            </w:rPr>
          </w:pPr>
        </w:p>
        <w:p w14:paraId="0D2CB486" w14:textId="1963ED7C" w:rsidR="00663FE0" w:rsidRPr="00931DCE" w:rsidRDefault="00663FE0">
          <w:pPr>
            <w:pStyle w:val="Ttulo2"/>
            <w:numPr>
              <w:ilvl w:val="1"/>
              <w:numId w:val="18"/>
            </w:numPr>
            <w:ind w:left="567" w:hanging="567"/>
            <w:rPr>
              <w:rFonts w:cs="Times New Roman"/>
              <w:szCs w:val="22"/>
            </w:rPr>
          </w:pPr>
          <w:bookmarkStart w:id="100" w:name="_Toc159952425"/>
          <w:r w:rsidRPr="00931DCE">
            <w:rPr>
              <w:rFonts w:cs="Times New Roman"/>
              <w:szCs w:val="22"/>
            </w:rPr>
            <w:t>Cuentas de orden deudoras</w:t>
          </w:r>
          <w:bookmarkEnd w:id="100"/>
        </w:p>
        <w:p w14:paraId="07164303" w14:textId="08B8CB2C" w:rsidR="00663FE0" w:rsidRPr="00931DCE" w:rsidRDefault="00663FE0" w:rsidP="6D83F0F4">
          <w:pPr>
            <w:spacing w:after="0" w:line="240" w:lineRule="auto"/>
            <w:jc w:val="both"/>
            <w:rPr>
              <w:rFonts w:ascii="Times New Roman" w:hAnsi="Times New Roman"/>
              <w:b/>
              <w:bCs/>
              <w:sz w:val="24"/>
              <w:szCs w:val="24"/>
            </w:rPr>
          </w:pPr>
        </w:p>
        <w:tbl>
          <w:tblPr>
            <w:tblW w:w="896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6A0" w:firstRow="1" w:lastRow="0" w:firstColumn="1" w:lastColumn="0" w:noHBand="1" w:noVBand="1"/>
          </w:tblPr>
          <w:tblGrid>
            <w:gridCol w:w="1041"/>
            <w:gridCol w:w="685"/>
            <w:gridCol w:w="2692"/>
            <w:gridCol w:w="1601"/>
            <w:gridCol w:w="1359"/>
            <w:gridCol w:w="1591"/>
          </w:tblGrid>
          <w:tr w:rsidR="1B5F0BBC" w:rsidRPr="00235607" w14:paraId="508A41B5" w14:textId="77777777" w:rsidTr="72C1C638">
            <w:trPr>
              <w:trHeight w:val="300"/>
            </w:trPr>
            <w:tc>
              <w:tcPr>
                <w:tcW w:w="4389" w:type="dxa"/>
                <w:gridSpan w:val="3"/>
                <w:tcMar>
                  <w:top w:w="15" w:type="dxa"/>
                  <w:left w:w="15" w:type="dxa"/>
                  <w:right w:w="15" w:type="dxa"/>
                </w:tcMar>
                <w:vAlign w:val="center"/>
              </w:tcPr>
              <w:p w14:paraId="1B552821" w14:textId="2A4CE0AB" w:rsidR="1B5F0BBC" w:rsidRPr="00235607" w:rsidRDefault="24D48767" w:rsidP="6D83F0F4">
                <w:pPr>
                  <w:spacing w:after="0"/>
                  <w:jc w:val="center"/>
                  <w:rPr>
                    <w:rFonts w:ascii="Times New Roman" w:eastAsia="Times New Roman" w:hAnsi="Times New Roman"/>
                    <w:b/>
                    <w:bCs/>
                    <w:sz w:val="18"/>
                    <w:szCs w:val="18"/>
                  </w:rPr>
                </w:pPr>
                <w:r w:rsidRPr="00235607">
                  <w:rPr>
                    <w:rFonts w:ascii="Times New Roman" w:eastAsia="Times New Roman" w:hAnsi="Times New Roman"/>
                    <w:b/>
                    <w:bCs/>
                    <w:sz w:val="18"/>
                    <w:szCs w:val="18"/>
                  </w:rPr>
                  <w:t>DESCRIPCIÓN</w:t>
                </w:r>
              </w:p>
            </w:tc>
            <w:tc>
              <w:tcPr>
                <w:tcW w:w="2978" w:type="dxa"/>
                <w:gridSpan w:val="2"/>
                <w:tcMar>
                  <w:top w:w="15" w:type="dxa"/>
                  <w:left w:w="15" w:type="dxa"/>
                  <w:right w:w="15" w:type="dxa"/>
                </w:tcMar>
                <w:vAlign w:val="center"/>
              </w:tcPr>
              <w:p w14:paraId="3D428DCB" w14:textId="42A85335" w:rsidR="1B5F0BBC" w:rsidRPr="00235607" w:rsidRDefault="24D48767" w:rsidP="6D83F0F4">
                <w:pPr>
                  <w:spacing w:after="0"/>
                  <w:jc w:val="center"/>
                  <w:rPr>
                    <w:rFonts w:ascii="Times New Roman" w:eastAsia="Times New Roman" w:hAnsi="Times New Roman"/>
                    <w:b/>
                    <w:bCs/>
                    <w:sz w:val="18"/>
                    <w:szCs w:val="18"/>
                  </w:rPr>
                </w:pPr>
                <w:r w:rsidRPr="00235607">
                  <w:rPr>
                    <w:rFonts w:ascii="Times New Roman" w:eastAsia="Times New Roman" w:hAnsi="Times New Roman"/>
                    <w:b/>
                    <w:bCs/>
                    <w:sz w:val="18"/>
                    <w:szCs w:val="18"/>
                  </w:rPr>
                  <w:t>SALDOS A CORTES DE VIGENCIA</w:t>
                </w:r>
              </w:p>
            </w:tc>
            <w:tc>
              <w:tcPr>
                <w:tcW w:w="1602" w:type="dxa"/>
                <w:tcMar>
                  <w:top w:w="15" w:type="dxa"/>
                  <w:left w:w="15" w:type="dxa"/>
                  <w:right w:w="15" w:type="dxa"/>
                </w:tcMar>
                <w:vAlign w:val="center"/>
              </w:tcPr>
              <w:p w14:paraId="6472BF65" w14:textId="461B2C9C" w:rsidR="1B5F0BBC" w:rsidRPr="00235607" w:rsidRDefault="24D48767" w:rsidP="6D83F0F4">
                <w:pPr>
                  <w:spacing w:after="0"/>
                  <w:jc w:val="center"/>
                  <w:rPr>
                    <w:rFonts w:ascii="Times New Roman" w:eastAsia="Times New Roman" w:hAnsi="Times New Roman"/>
                    <w:b/>
                    <w:bCs/>
                    <w:sz w:val="18"/>
                    <w:szCs w:val="18"/>
                  </w:rPr>
                </w:pPr>
                <w:r w:rsidRPr="00235607">
                  <w:rPr>
                    <w:rFonts w:ascii="Times New Roman" w:eastAsia="Times New Roman" w:hAnsi="Times New Roman"/>
                    <w:b/>
                    <w:bCs/>
                    <w:sz w:val="18"/>
                    <w:szCs w:val="18"/>
                  </w:rPr>
                  <w:t>VARIACIÓN</w:t>
                </w:r>
              </w:p>
            </w:tc>
          </w:tr>
          <w:tr w:rsidR="1B5F0BBC" w:rsidRPr="00235607" w14:paraId="386B7757" w14:textId="77777777" w:rsidTr="72C1C638">
            <w:trPr>
              <w:trHeight w:val="300"/>
            </w:trPr>
            <w:tc>
              <w:tcPr>
                <w:tcW w:w="928" w:type="dxa"/>
                <w:tcMar>
                  <w:top w:w="15" w:type="dxa"/>
                  <w:left w:w="15" w:type="dxa"/>
                  <w:right w:w="15" w:type="dxa"/>
                </w:tcMar>
                <w:vAlign w:val="center"/>
              </w:tcPr>
              <w:p w14:paraId="61A1DB69" w14:textId="20291AEC" w:rsidR="1B5F0BBC" w:rsidRPr="00235607" w:rsidRDefault="24D48767" w:rsidP="6D83F0F4">
                <w:pPr>
                  <w:spacing w:after="0"/>
                  <w:jc w:val="center"/>
                  <w:rPr>
                    <w:rFonts w:ascii="Times New Roman" w:eastAsia="Times New Roman" w:hAnsi="Times New Roman"/>
                    <w:b/>
                    <w:bCs/>
                    <w:sz w:val="18"/>
                    <w:szCs w:val="18"/>
                  </w:rPr>
                </w:pPr>
                <w:r w:rsidRPr="00235607">
                  <w:rPr>
                    <w:rFonts w:ascii="Times New Roman" w:eastAsia="Times New Roman" w:hAnsi="Times New Roman"/>
                    <w:b/>
                    <w:bCs/>
                    <w:sz w:val="18"/>
                    <w:szCs w:val="18"/>
                  </w:rPr>
                  <w:t>CÓDIGO CONTABLE</w:t>
                </w:r>
              </w:p>
            </w:tc>
            <w:tc>
              <w:tcPr>
                <w:tcW w:w="700" w:type="dxa"/>
                <w:tcMar>
                  <w:top w:w="15" w:type="dxa"/>
                  <w:left w:w="15" w:type="dxa"/>
                  <w:right w:w="15" w:type="dxa"/>
                </w:tcMar>
                <w:vAlign w:val="center"/>
              </w:tcPr>
              <w:p w14:paraId="2691BA29" w14:textId="023672C3" w:rsidR="1B5F0BBC" w:rsidRPr="00235607" w:rsidRDefault="24D48767" w:rsidP="6D83F0F4">
                <w:pPr>
                  <w:spacing w:after="0"/>
                  <w:jc w:val="center"/>
                  <w:rPr>
                    <w:rFonts w:ascii="Times New Roman" w:eastAsia="Times New Roman" w:hAnsi="Times New Roman"/>
                    <w:b/>
                    <w:bCs/>
                    <w:sz w:val="18"/>
                    <w:szCs w:val="18"/>
                  </w:rPr>
                </w:pPr>
                <w:r w:rsidRPr="00235607">
                  <w:rPr>
                    <w:rFonts w:ascii="Times New Roman" w:eastAsia="Times New Roman" w:hAnsi="Times New Roman"/>
                    <w:b/>
                    <w:bCs/>
                    <w:sz w:val="18"/>
                    <w:szCs w:val="18"/>
                  </w:rPr>
                  <w:t>NAT</w:t>
                </w:r>
              </w:p>
            </w:tc>
            <w:tc>
              <w:tcPr>
                <w:tcW w:w="2761" w:type="dxa"/>
                <w:tcMar>
                  <w:top w:w="15" w:type="dxa"/>
                  <w:left w:w="15" w:type="dxa"/>
                  <w:right w:w="15" w:type="dxa"/>
                </w:tcMar>
                <w:vAlign w:val="center"/>
              </w:tcPr>
              <w:p w14:paraId="113B46FA" w14:textId="75472BD9" w:rsidR="1B5F0BBC" w:rsidRPr="00235607" w:rsidRDefault="24D48767" w:rsidP="6D83F0F4">
                <w:pPr>
                  <w:spacing w:after="0"/>
                  <w:jc w:val="center"/>
                  <w:rPr>
                    <w:rFonts w:ascii="Times New Roman" w:eastAsia="Times New Roman" w:hAnsi="Times New Roman"/>
                    <w:b/>
                    <w:bCs/>
                    <w:sz w:val="18"/>
                    <w:szCs w:val="18"/>
                  </w:rPr>
                </w:pPr>
                <w:r w:rsidRPr="00235607">
                  <w:rPr>
                    <w:rFonts w:ascii="Times New Roman" w:eastAsia="Times New Roman" w:hAnsi="Times New Roman"/>
                    <w:b/>
                    <w:bCs/>
                    <w:sz w:val="18"/>
                    <w:szCs w:val="18"/>
                  </w:rPr>
                  <w:t>CONCEPTO</w:t>
                </w:r>
              </w:p>
            </w:tc>
            <w:tc>
              <w:tcPr>
                <w:tcW w:w="1613" w:type="dxa"/>
                <w:tcMar>
                  <w:top w:w="15" w:type="dxa"/>
                  <w:left w:w="15" w:type="dxa"/>
                  <w:right w:w="15" w:type="dxa"/>
                </w:tcMar>
                <w:vAlign w:val="center"/>
              </w:tcPr>
              <w:p w14:paraId="0648B053" w14:textId="435CCA54" w:rsidR="1B5F0BBC" w:rsidRPr="00235607" w:rsidRDefault="24D48767" w:rsidP="6D83F0F4">
                <w:pPr>
                  <w:spacing w:after="0"/>
                  <w:jc w:val="center"/>
                  <w:rPr>
                    <w:rFonts w:ascii="Times New Roman" w:eastAsia="Times New Roman" w:hAnsi="Times New Roman"/>
                    <w:b/>
                    <w:bCs/>
                    <w:sz w:val="18"/>
                    <w:szCs w:val="18"/>
                  </w:rPr>
                </w:pPr>
                <w:r w:rsidRPr="00235607">
                  <w:rPr>
                    <w:rFonts w:ascii="Times New Roman" w:eastAsia="Times New Roman" w:hAnsi="Times New Roman"/>
                    <w:b/>
                    <w:bCs/>
                    <w:sz w:val="18"/>
                    <w:szCs w:val="18"/>
                  </w:rPr>
                  <w:t xml:space="preserve">2023 </w:t>
                </w:r>
              </w:p>
            </w:tc>
            <w:tc>
              <w:tcPr>
                <w:tcW w:w="1365" w:type="dxa"/>
                <w:tcMar>
                  <w:top w:w="15" w:type="dxa"/>
                  <w:left w:w="15" w:type="dxa"/>
                  <w:right w:w="15" w:type="dxa"/>
                </w:tcMar>
                <w:vAlign w:val="center"/>
              </w:tcPr>
              <w:p w14:paraId="3DAB6726" w14:textId="521FFF5E" w:rsidR="1B5F0BBC" w:rsidRPr="00235607" w:rsidRDefault="24D48767" w:rsidP="6D83F0F4">
                <w:pPr>
                  <w:spacing w:after="0"/>
                  <w:jc w:val="center"/>
                  <w:rPr>
                    <w:rFonts w:ascii="Times New Roman" w:eastAsia="Times New Roman" w:hAnsi="Times New Roman"/>
                    <w:b/>
                    <w:bCs/>
                    <w:sz w:val="18"/>
                    <w:szCs w:val="18"/>
                  </w:rPr>
                </w:pPr>
                <w:r w:rsidRPr="00235607">
                  <w:rPr>
                    <w:rFonts w:ascii="Times New Roman" w:eastAsia="Times New Roman" w:hAnsi="Times New Roman"/>
                    <w:b/>
                    <w:bCs/>
                    <w:sz w:val="18"/>
                    <w:szCs w:val="18"/>
                  </w:rPr>
                  <w:t xml:space="preserve">2022 </w:t>
                </w:r>
              </w:p>
            </w:tc>
            <w:tc>
              <w:tcPr>
                <w:tcW w:w="1602" w:type="dxa"/>
                <w:tcMar>
                  <w:top w:w="15" w:type="dxa"/>
                  <w:left w:w="15" w:type="dxa"/>
                  <w:right w:w="15" w:type="dxa"/>
                </w:tcMar>
                <w:vAlign w:val="center"/>
              </w:tcPr>
              <w:p w14:paraId="695D5502" w14:textId="514DEE6A" w:rsidR="1B5F0BBC" w:rsidRPr="00235607" w:rsidRDefault="24D48767" w:rsidP="6D83F0F4">
                <w:pPr>
                  <w:spacing w:after="0"/>
                  <w:jc w:val="center"/>
                  <w:rPr>
                    <w:rFonts w:ascii="Times New Roman" w:eastAsia="Times New Roman" w:hAnsi="Times New Roman"/>
                    <w:b/>
                    <w:bCs/>
                    <w:sz w:val="18"/>
                    <w:szCs w:val="18"/>
                  </w:rPr>
                </w:pPr>
                <w:r w:rsidRPr="00235607">
                  <w:rPr>
                    <w:rFonts w:ascii="Times New Roman" w:eastAsia="Times New Roman" w:hAnsi="Times New Roman"/>
                    <w:b/>
                    <w:bCs/>
                    <w:sz w:val="18"/>
                    <w:szCs w:val="18"/>
                  </w:rPr>
                  <w:t>VALOR VARIACIÓN</w:t>
                </w:r>
              </w:p>
            </w:tc>
          </w:tr>
          <w:tr w:rsidR="1B5F0BBC" w:rsidRPr="00235607" w14:paraId="41296154" w14:textId="77777777" w:rsidTr="72C1C638">
            <w:trPr>
              <w:trHeight w:val="285"/>
            </w:trPr>
            <w:tc>
              <w:tcPr>
                <w:tcW w:w="928" w:type="dxa"/>
                <w:tcMar>
                  <w:top w:w="15" w:type="dxa"/>
                  <w:left w:w="15" w:type="dxa"/>
                  <w:right w:w="15" w:type="dxa"/>
                </w:tcMar>
                <w:vAlign w:val="center"/>
              </w:tcPr>
              <w:p w14:paraId="66FE0D9F" w14:textId="1B10CE01" w:rsidR="1B5F0BBC" w:rsidRPr="00235607" w:rsidRDefault="24D48767" w:rsidP="6D83F0F4">
                <w:pPr>
                  <w:spacing w:after="0"/>
                  <w:rPr>
                    <w:rFonts w:ascii="Times New Roman" w:eastAsia="Times New Roman" w:hAnsi="Times New Roman"/>
                    <w:b/>
                    <w:bCs/>
                    <w:sz w:val="18"/>
                    <w:szCs w:val="18"/>
                  </w:rPr>
                </w:pPr>
                <w:r w:rsidRPr="00235607">
                  <w:rPr>
                    <w:rFonts w:ascii="Times New Roman" w:eastAsia="Times New Roman" w:hAnsi="Times New Roman"/>
                    <w:b/>
                    <w:bCs/>
                    <w:sz w:val="18"/>
                    <w:szCs w:val="18"/>
                  </w:rPr>
                  <w:t xml:space="preserve"> </w:t>
                </w:r>
              </w:p>
            </w:tc>
            <w:tc>
              <w:tcPr>
                <w:tcW w:w="700" w:type="dxa"/>
                <w:tcMar>
                  <w:top w:w="15" w:type="dxa"/>
                  <w:left w:w="15" w:type="dxa"/>
                  <w:right w:w="15" w:type="dxa"/>
                </w:tcMar>
                <w:vAlign w:val="center"/>
              </w:tcPr>
              <w:p w14:paraId="541B5152" w14:textId="4FBAA91D" w:rsidR="1B5F0BBC" w:rsidRPr="00235607" w:rsidRDefault="24D48767" w:rsidP="6D83F0F4">
                <w:pPr>
                  <w:spacing w:after="0"/>
                  <w:jc w:val="center"/>
                  <w:rPr>
                    <w:rFonts w:ascii="Times New Roman" w:eastAsia="Times New Roman" w:hAnsi="Times New Roman"/>
                    <w:b/>
                    <w:bCs/>
                    <w:sz w:val="18"/>
                    <w:szCs w:val="18"/>
                  </w:rPr>
                </w:pPr>
                <w:r w:rsidRPr="00235607">
                  <w:rPr>
                    <w:rFonts w:ascii="Times New Roman" w:eastAsia="Times New Roman" w:hAnsi="Times New Roman"/>
                    <w:b/>
                    <w:bCs/>
                    <w:sz w:val="18"/>
                    <w:szCs w:val="18"/>
                  </w:rPr>
                  <w:t>Db</w:t>
                </w:r>
              </w:p>
            </w:tc>
            <w:tc>
              <w:tcPr>
                <w:tcW w:w="2761" w:type="dxa"/>
                <w:tcMar>
                  <w:top w:w="15" w:type="dxa"/>
                  <w:left w:w="15" w:type="dxa"/>
                  <w:right w:w="15" w:type="dxa"/>
                </w:tcMar>
                <w:vAlign w:val="center"/>
              </w:tcPr>
              <w:p w14:paraId="2BAA8B58" w14:textId="71AEDE44" w:rsidR="1B5F0BBC" w:rsidRPr="00235607" w:rsidRDefault="24D48767" w:rsidP="6D83F0F4">
                <w:pPr>
                  <w:spacing w:after="0"/>
                  <w:jc w:val="center"/>
                  <w:rPr>
                    <w:rFonts w:ascii="Times New Roman" w:eastAsia="Times New Roman" w:hAnsi="Times New Roman"/>
                    <w:b/>
                    <w:bCs/>
                    <w:sz w:val="18"/>
                    <w:szCs w:val="18"/>
                  </w:rPr>
                </w:pPr>
                <w:r w:rsidRPr="00235607">
                  <w:rPr>
                    <w:rFonts w:ascii="Times New Roman" w:eastAsia="Times New Roman" w:hAnsi="Times New Roman"/>
                    <w:b/>
                    <w:bCs/>
                    <w:sz w:val="18"/>
                    <w:szCs w:val="18"/>
                  </w:rPr>
                  <w:t>CUENTAS DE ORDEN DEUDORAS</w:t>
                </w:r>
              </w:p>
            </w:tc>
            <w:tc>
              <w:tcPr>
                <w:tcW w:w="1613" w:type="dxa"/>
                <w:tcMar>
                  <w:top w:w="15" w:type="dxa"/>
                  <w:left w:w="15" w:type="dxa"/>
                  <w:right w:w="15" w:type="dxa"/>
                </w:tcMar>
                <w:vAlign w:val="center"/>
              </w:tcPr>
              <w:p w14:paraId="6A21C01E" w14:textId="42FFA988" w:rsidR="1B5F0BBC" w:rsidRPr="00235607" w:rsidRDefault="24D48767" w:rsidP="6D83F0F4">
                <w:pPr>
                  <w:spacing w:after="0"/>
                  <w:jc w:val="right"/>
                  <w:rPr>
                    <w:rFonts w:ascii="Times New Roman" w:eastAsia="Times New Roman" w:hAnsi="Times New Roman"/>
                    <w:b/>
                    <w:bCs/>
                    <w:sz w:val="18"/>
                    <w:szCs w:val="18"/>
                  </w:rPr>
                </w:pPr>
                <w:r w:rsidRPr="00235607">
                  <w:rPr>
                    <w:rFonts w:ascii="Times New Roman" w:eastAsia="Times New Roman" w:hAnsi="Times New Roman"/>
                    <w:b/>
                    <w:bCs/>
                    <w:sz w:val="18"/>
                    <w:szCs w:val="18"/>
                  </w:rPr>
                  <w:t>0</w:t>
                </w:r>
              </w:p>
            </w:tc>
            <w:tc>
              <w:tcPr>
                <w:tcW w:w="1365" w:type="dxa"/>
                <w:tcMar>
                  <w:top w:w="15" w:type="dxa"/>
                  <w:left w:w="15" w:type="dxa"/>
                  <w:right w:w="15" w:type="dxa"/>
                </w:tcMar>
                <w:vAlign w:val="center"/>
              </w:tcPr>
              <w:p w14:paraId="0797A6F2" w14:textId="1EA6A47E" w:rsidR="1B5F0BBC" w:rsidRPr="00235607" w:rsidRDefault="24D48767" w:rsidP="6D83F0F4">
                <w:pPr>
                  <w:spacing w:after="0"/>
                  <w:jc w:val="right"/>
                  <w:rPr>
                    <w:rFonts w:ascii="Times New Roman" w:eastAsia="Times New Roman" w:hAnsi="Times New Roman"/>
                    <w:b/>
                    <w:bCs/>
                    <w:sz w:val="18"/>
                    <w:szCs w:val="18"/>
                  </w:rPr>
                </w:pPr>
                <w:r w:rsidRPr="00235607">
                  <w:rPr>
                    <w:rFonts w:ascii="Times New Roman" w:eastAsia="Times New Roman" w:hAnsi="Times New Roman"/>
                    <w:b/>
                    <w:bCs/>
                    <w:sz w:val="18"/>
                    <w:szCs w:val="18"/>
                  </w:rPr>
                  <w:t>0</w:t>
                </w:r>
              </w:p>
            </w:tc>
            <w:tc>
              <w:tcPr>
                <w:tcW w:w="1602" w:type="dxa"/>
                <w:tcMar>
                  <w:top w:w="15" w:type="dxa"/>
                  <w:left w:w="15" w:type="dxa"/>
                  <w:right w:w="15" w:type="dxa"/>
                </w:tcMar>
                <w:vAlign w:val="center"/>
              </w:tcPr>
              <w:p w14:paraId="3B606BF7" w14:textId="1289DB86" w:rsidR="1B5F0BBC" w:rsidRPr="00235607" w:rsidRDefault="24D48767" w:rsidP="6D83F0F4">
                <w:pPr>
                  <w:spacing w:after="0"/>
                  <w:jc w:val="right"/>
                  <w:rPr>
                    <w:rFonts w:ascii="Times New Roman" w:eastAsia="Times New Roman" w:hAnsi="Times New Roman"/>
                    <w:b/>
                    <w:bCs/>
                    <w:sz w:val="18"/>
                    <w:szCs w:val="18"/>
                  </w:rPr>
                </w:pPr>
                <w:r w:rsidRPr="00235607">
                  <w:rPr>
                    <w:rFonts w:ascii="Times New Roman" w:eastAsia="Times New Roman" w:hAnsi="Times New Roman"/>
                    <w:b/>
                    <w:bCs/>
                    <w:sz w:val="18"/>
                    <w:szCs w:val="18"/>
                  </w:rPr>
                  <w:t>0</w:t>
                </w:r>
              </w:p>
            </w:tc>
          </w:tr>
          <w:tr w:rsidR="1B5F0BBC" w:rsidRPr="00235607" w14:paraId="61E1F631" w14:textId="77777777" w:rsidTr="72C1C638">
            <w:trPr>
              <w:trHeight w:val="300"/>
            </w:trPr>
            <w:tc>
              <w:tcPr>
                <w:tcW w:w="928" w:type="dxa"/>
                <w:tcMar>
                  <w:top w:w="15" w:type="dxa"/>
                  <w:left w:w="15" w:type="dxa"/>
                  <w:right w:w="15" w:type="dxa"/>
                </w:tcMar>
                <w:vAlign w:val="center"/>
              </w:tcPr>
              <w:p w14:paraId="43818B4F" w14:textId="42F318B8" w:rsidR="1B5F0BBC" w:rsidRPr="00235607" w:rsidRDefault="1B5F0BBC" w:rsidP="1B5F0BBC">
                <w:pPr>
                  <w:spacing w:after="0"/>
                  <w:rPr>
                    <w:rFonts w:ascii="Times New Roman" w:eastAsia="Times New Roman" w:hAnsi="Times New Roman"/>
                    <w:sz w:val="18"/>
                    <w:szCs w:val="18"/>
                  </w:rPr>
                </w:pPr>
                <w:r w:rsidRPr="00235607">
                  <w:rPr>
                    <w:rFonts w:ascii="Times New Roman" w:eastAsia="Times New Roman" w:hAnsi="Times New Roman"/>
                    <w:sz w:val="18"/>
                    <w:szCs w:val="18"/>
                  </w:rPr>
                  <w:t>8.1</w:t>
                </w:r>
              </w:p>
            </w:tc>
            <w:tc>
              <w:tcPr>
                <w:tcW w:w="700" w:type="dxa"/>
                <w:tcMar>
                  <w:top w:w="15" w:type="dxa"/>
                  <w:left w:w="15" w:type="dxa"/>
                  <w:right w:w="15" w:type="dxa"/>
                </w:tcMar>
                <w:vAlign w:val="center"/>
              </w:tcPr>
              <w:p w14:paraId="0030A8CF" w14:textId="1B629A67" w:rsidR="1B5F0BBC" w:rsidRPr="00235607" w:rsidRDefault="1B5F0BBC" w:rsidP="1B5F0BBC">
                <w:pPr>
                  <w:spacing w:after="0"/>
                  <w:jc w:val="center"/>
                  <w:rPr>
                    <w:rFonts w:ascii="Times New Roman" w:eastAsia="Times New Roman" w:hAnsi="Times New Roman"/>
                    <w:sz w:val="18"/>
                    <w:szCs w:val="18"/>
                  </w:rPr>
                </w:pPr>
                <w:r w:rsidRPr="00235607">
                  <w:rPr>
                    <w:rFonts w:ascii="Times New Roman" w:eastAsia="Times New Roman" w:hAnsi="Times New Roman"/>
                    <w:sz w:val="18"/>
                    <w:szCs w:val="18"/>
                  </w:rPr>
                  <w:t>Db</w:t>
                </w:r>
              </w:p>
            </w:tc>
            <w:tc>
              <w:tcPr>
                <w:tcW w:w="2761" w:type="dxa"/>
                <w:tcMar>
                  <w:top w:w="15" w:type="dxa"/>
                  <w:left w:w="15" w:type="dxa"/>
                  <w:right w:w="15" w:type="dxa"/>
                </w:tcMar>
                <w:vAlign w:val="center"/>
              </w:tcPr>
              <w:p w14:paraId="49AB3EC8" w14:textId="0E55E0EC" w:rsidR="1B5F0BBC" w:rsidRPr="00235607" w:rsidRDefault="1B5F0BBC" w:rsidP="1B5F0BBC">
                <w:pPr>
                  <w:spacing w:after="0"/>
                  <w:rPr>
                    <w:rFonts w:ascii="Times New Roman" w:eastAsia="Times New Roman" w:hAnsi="Times New Roman"/>
                    <w:sz w:val="18"/>
                    <w:szCs w:val="18"/>
                  </w:rPr>
                </w:pPr>
                <w:r w:rsidRPr="00235607">
                  <w:rPr>
                    <w:rFonts w:ascii="Times New Roman" w:eastAsia="Times New Roman" w:hAnsi="Times New Roman"/>
                    <w:sz w:val="18"/>
                    <w:szCs w:val="18"/>
                  </w:rPr>
                  <w:t>ACTIVOS CONTINGENTES</w:t>
                </w:r>
              </w:p>
            </w:tc>
            <w:tc>
              <w:tcPr>
                <w:tcW w:w="1613" w:type="dxa"/>
                <w:tcMar>
                  <w:top w:w="15" w:type="dxa"/>
                  <w:left w:w="15" w:type="dxa"/>
                  <w:right w:w="15" w:type="dxa"/>
                </w:tcMar>
                <w:vAlign w:val="center"/>
              </w:tcPr>
              <w:p w14:paraId="0B0E66E5" w14:textId="1B441A54" w:rsidR="1B5F0BBC" w:rsidRPr="00235607" w:rsidRDefault="24D48767" w:rsidP="6D83F0F4">
                <w:pPr>
                  <w:spacing w:after="0"/>
                  <w:jc w:val="right"/>
                  <w:rPr>
                    <w:rFonts w:ascii="Times New Roman" w:eastAsia="Times New Roman" w:hAnsi="Times New Roman"/>
                    <w:sz w:val="18"/>
                    <w:szCs w:val="18"/>
                  </w:rPr>
                </w:pPr>
                <w:r w:rsidRPr="00235607">
                  <w:rPr>
                    <w:rFonts w:ascii="Times New Roman" w:eastAsia="Times New Roman" w:hAnsi="Times New Roman"/>
                    <w:sz w:val="18"/>
                    <w:szCs w:val="18"/>
                  </w:rPr>
                  <w:t>2.138.602.588.721</w:t>
                </w:r>
              </w:p>
            </w:tc>
            <w:tc>
              <w:tcPr>
                <w:tcW w:w="1365" w:type="dxa"/>
                <w:tcMar>
                  <w:top w:w="15" w:type="dxa"/>
                  <w:left w:w="15" w:type="dxa"/>
                  <w:right w:w="15" w:type="dxa"/>
                </w:tcMar>
                <w:vAlign w:val="center"/>
              </w:tcPr>
              <w:p w14:paraId="6B34A7D8" w14:textId="4B69A76D" w:rsidR="1B5F0BBC" w:rsidRPr="00235607" w:rsidRDefault="24D48767" w:rsidP="6D83F0F4">
                <w:pPr>
                  <w:spacing w:after="0"/>
                  <w:jc w:val="right"/>
                  <w:rPr>
                    <w:rFonts w:ascii="Times New Roman" w:eastAsia="Times New Roman" w:hAnsi="Times New Roman"/>
                    <w:sz w:val="18"/>
                    <w:szCs w:val="18"/>
                  </w:rPr>
                </w:pPr>
                <w:r w:rsidRPr="00235607">
                  <w:rPr>
                    <w:rFonts w:ascii="Times New Roman" w:eastAsia="Times New Roman" w:hAnsi="Times New Roman"/>
                    <w:sz w:val="18"/>
                    <w:szCs w:val="18"/>
                  </w:rPr>
                  <w:t>650.536.796.942</w:t>
                </w:r>
              </w:p>
            </w:tc>
            <w:tc>
              <w:tcPr>
                <w:tcW w:w="1602" w:type="dxa"/>
                <w:tcMar>
                  <w:top w:w="15" w:type="dxa"/>
                  <w:left w:w="15" w:type="dxa"/>
                  <w:right w:w="15" w:type="dxa"/>
                </w:tcMar>
                <w:vAlign w:val="center"/>
              </w:tcPr>
              <w:p w14:paraId="348D8DA4" w14:textId="457EFB47" w:rsidR="1B5F0BBC" w:rsidRPr="00235607" w:rsidRDefault="24D48767" w:rsidP="6D83F0F4">
                <w:pPr>
                  <w:spacing w:after="0"/>
                  <w:jc w:val="right"/>
                  <w:rPr>
                    <w:rFonts w:ascii="Times New Roman" w:eastAsia="Times New Roman" w:hAnsi="Times New Roman"/>
                    <w:sz w:val="18"/>
                    <w:szCs w:val="18"/>
                  </w:rPr>
                </w:pPr>
                <w:r w:rsidRPr="00235607">
                  <w:rPr>
                    <w:rFonts w:ascii="Times New Roman" w:eastAsia="Times New Roman" w:hAnsi="Times New Roman"/>
                    <w:sz w:val="18"/>
                    <w:szCs w:val="18"/>
                  </w:rPr>
                  <w:t>1.488.065.791.779</w:t>
                </w:r>
              </w:p>
            </w:tc>
          </w:tr>
          <w:tr w:rsidR="1B5F0BBC" w:rsidRPr="00235607" w14:paraId="3C52A0D3" w14:textId="77777777" w:rsidTr="72C1C638">
            <w:trPr>
              <w:trHeight w:val="300"/>
            </w:trPr>
            <w:tc>
              <w:tcPr>
                <w:tcW w:w="928" w:type="dxa"/>
                <w:tcMar>
                  <w:top w:w="15" w:type="dxa"/>
                  <w:left w:w="15" w:type="dxa"/>
                  <w:right w:w="15" w:type="dxa"/>
                </w:tcMar>
                <w:vAlign w:val="center"/>
              </w:tcPr>
              <w:p w14:paraId="51FEB43F" w14:textId="4C1B6295" w:rsidR="1B5F0BBC" w:rsidRPr="00235607" w:rsidRDefault="1B5F0BBC" w:rsidP="1B5F0BBC">
                <w:pPr>
                  <w:spacing w:after="0"/>
                  <w:rPr>
                    <w:rFonts w:ascii="Times New Roman" w:eastAsia="Times New Roman" w:hAnsi="Times New Roman"/>
                    <w:sz w:val="18"/>
                    <w:szCs w:val="18"/>
                  </w:rPr>
                </w:pPr>
                <w:r w:rsidRPr="00235607">
                  <w:rPr>
                    <w:rFonts w:ascii="Times New Roman" w:eastAsia="Times New Roman" w:hAnsi="Times New Roman"/>
                    <w:sz w:val="18"/>
                    <w:szCs w:val="18"/>
                  </w:rPr>
                  <w:t>8.3</w:t>
                </w:r>
              </w:p>
            </w:tc>
            <w:tc>
              <w:tcPr>
                <w:tcW w:w="700" w:type="dxa"/>
                <w:tcMar>
                  <w:top w:w="15" w:type="dxa"/>
                  <w:left w:w="15" w:type="dxa"/>
                  <w:right w:w="15" w:type="dxa"/>
                </w:tcMar>
                <w:vAlign w:val="center"/>
              </w:tcPr>
              <w:p w14:paraId="1668480F" w14:textId="29D1B184" w:rsidR="1B5F0BBC" w:rsidRPr="00235607" w:rsidRDefault="1B5F0BBC" w:rsidP="1B5F0BBC">
                <w:pPr>
                  <w:spacing w:after="0"/>
                  <w:jc w:val="center"/>
                  <w:rPr>
                    <w:rFonts w:ascii="Times New Roman" w:eastAsia="Times New Roman" w:hAnsi="Times New Roman"/>
                    <w:sz w:val="18"/>
                    <w:szCs w:val="18"/>
                  </w:rPr>
                </w:pPr>
                <w:r w:rsidRPr="00235607">
                  <w:rPr>
                    <w:rFonts w:ascii="Times New Roman" w:eastAsia="Times New Roman" w:hAnsi="Times New Roman"/>
                    <w:sz w:val="18"/>
                    <w:szCs w:val="18"/>
                  </w:rPr>
                  <w:t>Db</w:t>
                </w:r>
              </w:p>
            </w:tc>
            <w:tc>
              <w:tcPr>
                <w:tcW w:w="2761" w:type="dxa"/>
                <w:tcMar>
                  <w:top w:w="15" w:type="dxa"/>
                  <w:left w:w="15" w:type="dxa"/>
                  <w:right w:w="15" w:type="dxa"/>
                </w:tcMar>
                <w:vAlign w:val="center"/>
              </w:tcPr>
              <w:p w14:paraId="46249F81" w14:textId="058BFB01" w:rsidR="1B5F0BBC" w:rsidRPr="00235607" w:rsidRDefault="1B5F0BBC" w:rsidP="1B5F0BBC">
                <w:pPr>
                  <w:spacing w:after="0"/>
                  <w:rPr>
                    <w:rFonts w:ascii="Times New Roman" w:eastAsia="Times New Roman" w:hAnsi="Times New Roman"/>
                    <w:sz w:val="18"/>
                    <w:szCs w:val="18"/>
                  </w:rPr>
                </w:pPr>
                <w:r w:rsidRPr="00235607">
                  <w:rPr>
                    <w:rFonts w:ascii="Times New Roman" w:eastAsia="Times New Roman" w:hAnsi="Times New Roman"/>
                    <w:sz w:val="18"/>
                    <w:szCs w:val="18"/>
                  </w:rPr>
                  <w:t>DEUDORAS DE CONTROL</w:t>
                </w:r>
              </w:p>
            </w:tc>
            <w:tc>
              <w:tcPr>
                <w:tcW w:w="1613" w:type="dxa"/>
                <w:tcMar>
                  <w:top w:w="15" w:type="dxa"/>
                  <w:left w:w="15" w:type="dxa"/>
                  <w:right w:w="15" w:type="dxa"/>
                </w:tcMar>
                <w:vAlign w:val="center"/>
              </w:tcPr>
              <w:p w14:paraId="2423AE0F" w14:textId="657CF36E" w:rsidR="1B5F0BBC" w:rsidRPr="00235607" w:rsidRDefault="24D48767" w:rsidP="6D83F0F4">
                <w:pPr>
                  <w:spacing w:after="0"/>
                  <w:jc w:val="right"/>
                  <w:rPr>
                    <w:rFonts w:ascii="Times New Roman" w:eastAsia="Times New Roman" w:hAnsi="Times New Roman"/>
                    <w:sz w:val="18"/>
                    <w:szCs w:val="18"/>
                  </w:rPr>
                </w:pPr>
                <w:r w:rsidRPr="00235607">
                  <w:rPr>
                    <w:rFonts w:ascii="Times New Roman" w:eastAsia="Times New Roman" w:hAnsi="Times New Roman"/>
                    <w:sz w:val="18"/>
                    <w:szCs w:val="18"/>
                  </w:rPr>
                  <w:t>462.102.740</w:t>
                </w:r>
              </w:p>
            </w:tc>
            <w:tc>
              <w:tcPr>
                <w:tcW w:w="1365" w:type="dxa"/>
                <w:tcMar>
                  <w:top w:w="15" w:type="dxa"/>
                  <w:left w:w="15" w:type="dxa"/>
                  <w:right w:w="15" w:type="dxa"/>
                </w:tcMar>
                <w:vAlign w:val="center"/>
              </w:tcPr>
              <w:p w14:paraId="5D424F84" w14:textId="1D0BB7AE" w:rsidR="1B5F0BBC" w:rsidRPr="00235607" w:rsidRDefault="24D48767" w:rsidP="6D83F0F4">
                <w:pPr>
                  <w:spacing w:after="0"/>
                  <w:jc w:val="right"/>
                  <w:rPr>
                    <w:rFonts w:ascii="Times New Roman" w:eastAsia="Times New Roman" w:hAnsi="Times New Roman"/>
                    <w:sz w:val="18"/>
                    <w:szCs w:val="18"/>
                  </w:rPr>
                </w:pPr>
                <w:r w:rsidRPr="00235607">
                  <w:rPr>
                    <w:rFonts w:ascii="Times New Roman" w:eastAsia="Times New Roman" w:hAnsi="Times New Roman"/>
                    <w:sz w:val="18"/>
                    <w:szCs w:val="18"/>
                  </w:rPr>
                  <w:t>7.602.740</w:t>
                </w:r>
              </w:p>
            </w:tc>
            <w:tc>
              <w:tcPr>
                <w:tcW w:w="1602" w:type="dxa"/>
                <w:tcMar>
                  <w:top w:w="15" w:type="dxa"/>
                  <w:left w:w="15" w:type="dxa"/>
                  <w:right w:w="15" w:type="dxa"/>
                </w:tcMar>
                <w:vAlign w:val="center"/>
              </w:tcPr>
              <w:p w14:paraId="420731C4" w14:textId="50AC798B" w:rsidR="1B5F0BBC" w:rsidRPr="00235607" w:rsidRDefault="24D48767" w:rsidP="6D83F0F4">
                <w:pPr>
                  <w:spacing w:after="0"/>
                  <w:jc w:val="right"/>
                  <w:rPr>
                    <w:rFonts w:ascii="Times New Roman" w:eastAsia="Times New Roman" w:hAnsi="Times New Roman"/>
                    <w:sz w:val="18"/>
                    <w:szCs w:val="18"/>
                  </w:rPr>
                </w:pPr>
                <w:r w:rsidRPr="00235607">
                  <w:rPr>
                    <w:rFonts w:ascii="Times New Roman" w:eastAsia="Times New Roman" w:hAnsi="Times New Roman"/>
                    <w:sz w:val="18"/>
                    <w:szCs w:val="18"/>
                  </w:rPr>
                  <w:t>454.500.000</w:t>
                </w:r>
              </w:p>
            </w:tc>
          </w:tr>
          <w:tr w:rsidR="1B5F0BBC" w:rsidRPr="00235607" w14:paraId="0D9C230B" w14:textId="77777777" w:rsidTr="72C1C638">
            <w:trPr>
              <w:trHeight w:val="300"/>
            </w:trPr>
            <w:tc>
              <w:tcPr>
                <w:tcW w:w="928" w:type="dxa"/>
                <w:tcMar>
                  <w:top w:w="15" w:type="dxa"/>
                  <w:left w:w="15" w:type="dxa"/>
                  <w:right w:w="15" w:type="dxa"/>
                </w:tcMar>
                <w:vAlign w:val="center"/>
              </w:tcPr>
              <w:p w14:paraId="21787765" w14:textId="5596F2F1" w:rsidR="1B5F0BBC" w:rsidRPr="00235607" w:rsidRDefault="1B5F0BBC" w:rsidP="1B5F0BBC">
                <w:pPr>
                  <w:spacing w:after="0"/>
                  <w:rPr>
                    <w:rFonts w:ascii="Times New Roman" w:eastAsia="Times New Roman" w:hAnsi="Times New Roman"/>
                    <w:sz w:val="18"/>
                    <w:szCs w:val="18"/>
                  </w:rPr>
                </w:pPr>
                <w:r w:rsidRPr="00235607">
                  <w:rPr>
                    <w:rFonts w:ascii="Times New Roman" w:eastAsia="Times New Roman" w:hAnsi="Times New Roman"/>
                    <w:sz w:val="18"/>
                    <w:szCs w:val="18"/>
                  </w:rPr>
                  <w:t>8.3.47</w:t>
                </w:r>
              </w:p>
            </w:tc>
            <w:tc>
              <w:tcPr>
                <w:tcW w:w="700" w:type="dxa"/>
                <w:tcMar>
                  <w:top w:w="15" w:type="dxa"/>
                  <w:left w:w="15" w:type="dxa"/>
                  <w:right w:w="15" w:type="dxa"/>
                </w:tcMar>
                <w:vAlign w:val="center"/>
              </w:tcPr>
              <w:p w14:paraId="7C0B1606" w14:textId="2291C1C8" w:rsidR="1B5F0BBC" w:rsidRPr="00235607" w:rsidRDefault="1B5F0BBC" w:rsidP="1B5F0BBC">
                <w:pPr>
                  <w:spacing w:after="0"/>
                  <w:jc w:val="center"/>
                  <w:rPr>
                    <w:rFonts w:ascii="Times New Roman" w:eastAsia="Times New Roman" w:hAnsi="Times New Roman"/>
                    <w:sz w:val="18"/>
                    <w:szCs w:val="18"/>
                  </w:rPr>
                </w:pPr>
                <w:r w:rsidRPr="00235607">
                  <w:rPr>
                    <w:rFonts w:ascii="Times New Roman" w:eastAsia="Times New Roman" w:hAnsi="Times New Roman"/>
                    <w:sz w:val="18"/>
                    <w:szCs w:val="18"/>
                  </w:rPr>
                  <w:t>Db</w:t>
                </w:r>
              </w:p>
            </w:tc>
            <w:tc>
              <w:tcPr>
                <w:tcW w:w="2761" w:type="dxa"/>
                <w:tcMar>
                  <w:top w:w="15" w:type="dxa"/>
                  <w:left w:w="15" w:type="dxa"/>
                  <w:right w:w="15" w:type="dxa"/>
                </w:tcMar>
                <w:vAlign w:val="center"/>
              </w:tcPr>
              <w:p w14:paraId="4F6E19A9" w14:textId="328DC17A" w:rsidR="1B5F0BBC" w:rsidRPr="00235607" w:rsidRDefault="1B5F0BBC" w:rsidP="1B5F0BBC">
                <w:pPr>
                  <w:spacing w:after="0"/>
                  <w:rPr>
                    <w:rFonts w:ascii="Times New Roman" w:eastAsia="Times New Roman" w:hAnsi="Times New Roman"/>
                    <w:sz w:val="18"/>
                    <w:szCs w:val="18"/>
                  </w:rPr>
                </w:pPr>
                <w:r w:rsidRPr="00235607">
                  <w:rPr>
                    <w:rFonts w:ascii="Times New Roman" w:eastAsia="Times New Roman" w:hAnsi="Times New Roman"/>
                    <w:sz w:val="18"/>
                    <w:szCs w:val="18"/>
                  </w:rPr>
                  <w:t>Bienes entregados a terceros</w:t>
                </w:r>
              </w:p>
            </w:tc>
            <w:tc>
              <w:tcPr>
                <w:tcW w:w="1613" w:type="dxa"/>
                <w:tcMar>
                  <w:top w:w="15" w:type="dxa"/>
                  <w:left w:w="15" w:type="dxa"/>
                  <w:right w:w="15" w:type="dxa"/>
                </w:tcMar>
                <w:vAlign w:val="center"/>
              </w:tcPr>
              <w:p w14:paraId="541C4D46" w14:textId="6C006811" w:rsidR="1B5F0BBC" w:rsidRPr="00235607" w:rsidRDefault="24D48767" w:rsidP="6D83F0F4">
                <w:pPr>
                  <w:spacing w:after="0"/>
                  <w:jc w:val="right"/>
                  <w:rPr>
                    <w:rFonts w:ascii="Times New Roman" w:eastAsia="Times New Roman" w:hAnsi="Times New Roman"/>
                    <w:sz w:val="18"/>
                    <w:szCs w:val="18"/>
                  </w:rPr>
                </w:pPr>
                <w:r w:rsidRPr="00235607">
                  <w:rPr>
                    <w:rFonts w:ascii="Times New Roman" w:eastAsia="Times New Roman" w:hAnsi="Times New Roman"/>
                    <w:sz w:val="18"/>
                    <w:szCs w:val="18"/>
                  </w:rPr>
                  <w:t>462.102.740</w:t>
                </w:r>
              </w:p>
            </w:tc>
            <w:tc>
              <w:tcPr>
                <w:tcW w:w="1365" w:type="dxa"/>
                <w:tcMar>
                  <w:top w:w="15" w:type="dxa"/>
                  <w:left w:w="15" w:type="dxa"/>
                  <w:right w:w="15" w:type="dxa"/>
                </w:tcMar>
                <w:vAlign w:val="center"/>
              </w:tcPr>
              <w:p w14:paraId="6D0F8AE6" w14:textId="70423A1E" w:rsidR="1B5F0BBC" w:rsidRPr="00235607" w:rsidRDefault="24D48767" w:rsidP="6D83F0F4">
                <w:pPr>
                  <w:spacing w:after="0"/>
                  <w:jc w:val="right"/>
                  <w:rPr>
                    <w:rFonts w:ascii="Times New Roman" w:eastAsia="Times New Roman" w:hAnsi="Times New Roman"/>
                    <w:sz w:val="18"/>
                    <w:szCs w:val="18"/>
                  </w:rPr>
                </w:pPr>
                <w:r w:rsidRPr="00235607">
                  <w:rPr>
                    <w:rFonts w:ascii="Times New Roman" w:eastAsia="Times New Roman" w:hAnsi="Times New Roman"/>
                    <w:sz w:val="18"/>
                    <w:szCs w:val="18"/>
                  </w:rPr>
                  <w:t>7.602.740</w:t>
                </w:r>
              </w:p>
            </w:tc>
            <w:tc>
              <w:tcPr>
                <w:tcW w:w="1602" w:type="dxa"/>
                <w:tcMar>
                  <w:top w:w="15" w:type="dxa"/>
                  <w:left w:w="15" w:type="dxa"/>
                  <w:right w:w="15" w:type="dxa"/>
                </w:tcMar>
                <w:vAlign w:val="center"/>
              </w:tcPr>
              <w:p w14:paraId="0A944598" w14:textId="5DB4F55F" w:rsidR="1B5F0BBC" w:rsidRPr="00235607" w:rsidRDefault="24D48767" w:rsidP="6D83F0F4">
                <w:pPr>
                  <w:spacing w:after="0"/>
                  <w:jc w:val="right"/>
                  <w:rPr>
                    <w:rFonts w:ascii="Times New Roman" w:eastAsia="Times New Roman" w:hAnsi="Times New Roman"/>
                    <w:sz w:val="18"/>
                    <w:szCs w:val="18"/>
                  </w:rPr>
                </w:pPr>
                <w:r w:rsidRPr="00235607">
                  <w:rPr>
                    <w:rFonts w:ascii="Times New Roman" w:eastAsia="Times New Roman" w:hAnsi="Times New Roman"/>
                    <w:sz w:val="18"/>
                    <w:szCs w:val="18"/>
                  </w:rPr>
                  <w:t>454.500.000</w:t>
                </w:r>
              </w:p>
            </w:tc>
          </w:tr>
          <w:tr w:rsidR="1B5F0BBC" w:rsidRPr="00235607" w14:paraId="757DCB89" w14:textId="77777777" w:rsidTr="72C1C638">
            <w:trPr>
              <w:trHeight w:val="300"/>
            </w:trPr>
            <w:tc>
              <w:tcPr>
                <w:tcW w:w="928" w:type="dxa"/>
                <w:tcMar>
                  <w:top w:w="15" w:type="dxa"/>
                  <w:left w:w="15" w:type="dxa"/>
                  <w:right w:w="15" w:type="dxa"/>
                </w:tcMar>
                <w:vAlign w:val="center"/>
              </w:tcPr>
              <w:p w14:paraId="32535F8F" w14:textId="47A3E056" w:rsidR="1B5F0BBC" w:rsidRPr="00235607" w:rsidRDefault="1B5F0BBC" w:rsidP="1B5F0BBC">
                <w:pPr>
                  <w:spacing w:after="0"/>
                  <w:rPr>
                    <w:rFonts w:ascii="Times New Roman" w:eastAsia="Times New Roman" w:hAnsi="Times New Roman"/>
                    <w:sz w:val="18"/>
                    <w:szCs w:val="18"/>
                  </w:rPr>
                </w:pPr>
                <w:r w:rsidRPr="00235607">
                  <w:rPr>
                    <w:rFonts w:ascii="Times New Roman" w:eastAsia="Times New Roman" w:hAnsi="Times New Roman"/>
                    <w:sz w:val="18"/>
                    <w:szCs w:val="18"/>
                  </w:rPr>
                  <w:t>8.9</w:t>
                </w:r>
              </w:p>
            </w:tc>
            <w:tc>
              <w:tcPr>
                <w:tcW w:w="700" w:type="dxa"/>
                <w:tcMar>
                  <w:top w:w="15" w:type="dxa"/>
                  <w:left w:w="15" w:type="dxa"/>
                  <w:right w:w="15" w:type="dxa"/>
                </w:tcMar>
                <w:vAlign w:val="center"/>
              </w:tcPr>
              <w:p w14:paraId="78D97E50" w14:textId="2DAFDC13" w:rsidR="1B5F0BBC" w:rsidRPr="00235607" w:rsidRDefault="1B5F0BBC" w:rsidP="1B5F0BBC">
                <w:pPr>
                  <w:spacing w:after="0"/>
                  <w:jc w:val="center"/>
                  <w:rPr>
                    <w:rFonts w:ascii="Times New Roman" w:eastAsia="Times New Roman" w:hAnsi="Times New Roman"/>
                    <w:sz w:val="18"/>
                    <w:szCs w:val="18"/>
                  </w:rPr>
                </w:pPr>
                <w:r w:rsidRPr="00235607">
                  <w:rPr>
                    <w:rFonts w:ascii="Times New Roman" w:eastAsia="Times New Roman" w:hAnsi="Times New Roman"/>
                    <w:sz w:val="18"/>
                    <w:szCs w:val="18"/>
                  </w:rPr>
                  <w:t>Cr</w:t>
                </w:r>
              </w:p>
            </w:tc>
            <w:tc>
              <w:tcPr>
                <w:tcW w:w="2761" w:type="dxa"/>
                <w:tcMar>
                  <w:top w:w="15" w:type="dxa"/>
                  <w:left w:w="15" w:type="dxa"/>
                  <w:right w:w="15" w:type="dxa"/>
                </w:tcMar>
                <w:vAlign w:val="center"/>
              </w:tcPr>
              <w:p w14:paraId="0F3BCF11" w14:textId="40D2EFDF" w:rsidR="1B5F0BBC" w:rsidRPr="00235607" w:rsidRDefault="1B5F0BBC" w:rsidP="1B5F0BBC">
                <w:pPr>
                  <w:spacing w:after="0"/>
                  <w:rPr>
                    <w:rFonts w:ascii="Times New Roman" w:eastAsia="Times New Roman" w:hAnsi="Times New Roman"/>
                    <w:sz w:val="18"/>
                    <w:szCs w:val="18"/>
                  </w:rPr>
                </w:pPr>
                <w:r w:rsidRPr="00235607">
                  <w:rPr>
                    <w:rFonts w:ascii="Times New Roman" w:eastAsia="Times New Roman" w:hAnsi="Times New Roman"/>
                    <w:sz w:val="18"/>
                    <w:szCs w:val="18"/>
                  </w:rPr>
                  <w:t>DEUDORAS POR CONTRA (CR)</w:t>
                </w:r>
              </w:p>
            </w:tc>
            <w:tc>
              <w:tcPr>
                <w:tcW w:w="1613" w:type="dxa"/>
                <w:tcMar>
                  <w:top w:w="15" w:type="dxa"/>
                  <w:left w:w="15" w:type="dxa"/>
                  <w:right w:w="15" w:type="dxa"/>
                </w:tcMar>
                <w:vAlign w:val="center"/>
              </w:tcPr>
              <w:p w14:paraId="3B1DAE10" w14:textId="7E22AC36" w:rsidR="1B5F0BBC" w:rsidRPr="00235607" w:rsidRDefault="24D48767" w:rsidP="6D83F0F4">
                <w:pPr>
                  <w:spacing w:after="0"/>
                  <w:jc w:val="right"/>
                  <w:rPr>
                    <w:rFonts w:ascii="Times New Roman" w:eastAsia="Times New Roman" w:hAnsi="Times New Roman"/>
                    <w:sz w:val="18"/>
                    <w:szCs w:val="18"/>
                  </w:rPr>
                </w:pPr>
                <w:r w:rsidRPr="00235607">
                  <w:rPr>
                    <w:rFonts w:ascii="Times New Roman" w:eastAsia="Times New Roman" w:hAnsi="Times New Roman"/>
                    <w:sz w:val="18"/>
                    <w:szCs w:val="18"/>
                  </w:rPr>
                  <w:t>-2.139.064.691.461</w:t>
                </w:r>
              </w:p>
            </w:tc>
            <w:tc>
              <w:tcPr>
                <w:tcW w:w="1365" w:type="dxa"/>
                <w:tcMar>
                  <w:top w:w="15" w:type="dxa"/>
                  <w:left w:w="15" w:type="dxa"/>
                  <w:right w:w="15" w:type="dxa"/>
                </w:tcMar>
                <w:vAlign w:val="center"/>
              </w:tcPr>
              <w:p w14:paraId="3D6DB519" w14:textId="44589490" w:rsidR="1B5F0BBC" w:rsidRPr="00235607" w:rsidRDefault="24D48767" w:rsidP="6D83F0F4">
                <w:pPr>
                  <w:spacing w:after="0"/>
                  <w:jc w:val="right"/>
                  <w:rPr>
                    <w:rFonts w:ascii="Times New Roman" w:eastAsia="Times New Roman" w:hAnsi="Times New Roman"/>
                    <w:sz w:val="18"/>
                    <w:szCs w:val="18"/>
                  </w:rPr>
                </w:pPr>
                <w:r w:rsidRPr="00235607">
                  <w:rPr>
                    <w:rFonts w:ascii="Times New Roman" w:eastAsia="Times New Roman" w:hAnsi="Times New Roman"/>
                    <w:sz w:val="18"/>
                    <w:szCs w:val="18"/>
                  </w:rPr>
                  <w:t>-650.544.399.682</w:t>
                </w:r>
              </w:p>
            </w:tc>
            <w:tc>
              <w:tcPr>
                <w:tcW w:w="1602" w:type="dxa"/>
                <w:tcMar>
                  <w:top w:w="15" w:type="dxa"/>
                  <w:left w:w="15" w:type="dxa"/>
                  <w:right w:w="15" w:type="dxa"/>
                </w:tcMar>
                <w:vAlign w:val="center"/>
              </w:tcPr>
              <w:p w14:paraId="290D035F" w14:textId="5FAD91B5" w:rsidR="1B5F0BBC" w:rsidRPr="00235607" w:rsidRDefault="24D48767" w:rsidP="6D83F0F4">
                <w:pPr>
                  <w:spacing w:after="0"/>
                  <w:jc w:val="right"/>
                  <w:rPr>
                    <w:rFonts w:ascii="Times New Roman" w:eastAsia="Times New Roman" w:hAnsi="Times New Roman"/>
                    <w:sz w:val="18"/>
                    <w:szCs w:val="18"/>
                  </w:rPr>
                </w:pPr>
                <w:r w:rsidRPr="00235607">
                  <w:rPr>
                    <w:rFonts w:ascii="Times New Roman" w:eastAsia="Times New Roman" w:hAnsi="Times New Roman"/>
                    <w:sz w:val="18"/>
                    <w:szCs w:val="18"/>
                  </w:rPr>
                  <w:t>-1.488.520.291.779</w:t>
                </w:r>
              </w:p>
            </w:tc>
          </w:tr>
          <w:tr w:rsidR="1B5F0BBC" w:rsidRPr="00235607" w14:paraId="6F48602F" w14:textId="77777777" w:rsidTr="72C1C638">
            <w:trPr>
              <w:trHeight w:val="300"/>
            </w:trPr>
            <w:tc>
              <w:tcPr>
                <w:tcW w:w="928" w:type="dxa"/>
                <w:tcMar>
                  <w:top w:w="15" w:type="dxa"/>
                  <w:left w:w="15" w:type="dxa"/>
                  <w:right w:w="15" w:type="dxa"/>
                </w:tcMar>
                <w:vAlign w:val="center"/>
              </w:tcPr>
              <w:p w14:paraId="5A795715" w14:textId="230262F5" w:rsidR="1B5F0BBC" w:rsidRPr="00235607" w:rsidRDefault="1B5F0BBC" w:rsidP="1B5F0BBC">
                <w:pPr>
                  <w:spacing w:after="0"/>
                  <w:rPr>
                    <w:rFonts w:ascii="Times New Roman" w:eastAsia="Times New Roman" w:hAnsi="Times New Roman"/>
                    <w:sz w:val="18"/>
                    <w:szCs w:val="18"/>
                  </w:rPr>
                </w:pPr>
                <w:r w:rsidRPr="00235607">
                  <w:rPr>
                    <w:rFonts w:ascii="Times New Roman" w:eastAsia="Times New Roman" w:hAnsi="Times New Roman"/>
                    <w:sz w:val="18"/>
                    <w:szCs w:val="18"/>
                  </w:rPr>
                  <w:t>8.9.05</w:t>
                </w:r>
              </w:p>
            </w:tc>
            <w:tc>
              <w:tcPr>
                <w:tcW w:w="700" w:type="dxa"/>
                <w:tcMar>
                  <w:top w:w="15" w:type="dxa"/>
                  <w:left w:w="15" w:type="dxa"/>
                  <w:right w:w="15" w:type="dxa"/>
                </w:tcMar>
                <w:vAlign w:val="center"/>
              </w:tcPr>
              <w:p w14:paraId="771C98B4" w14:textId="7EEFE6FB" w:rsidR="1B5F0BBC" w:rsidRPr="00235607" w:rsidRDefault="1B5F0BBC" w:rsidP="1B5F0BBC">
                <w:pPr>
                  <w:spacing w:after="0"/>
                  <w:jc w:val="center"/>
                  <w:rPr>
                    <w:rFonts w:ascii="Times New Roman" w:eastAsia="Times New Roman" w:hAnsi="Times New Roman"/>
                    <w:sz w:val="18"/>
                    <w:szCs w:val="18"/>
                  </w:rPr>
                </w:pPr>
                <w:r w:rsidRPr="00235607">
                  <w:rPr>
                    <w:rFonts w:ascii="Times New Roman" w:eastAsia="Times New Roman" w:hAnsi="Times New Roman"/>
                    <w:sz w:val="18"/>
                    <w:szCs w:val="18"/>
                  </w:rPr>
                  <w:t>Cr</w:t>
                </w:r>
              </w:p>
            </w:tc>
            <w:tc>
              <w:tcPr>
                <w:tcW w:w="2761" w:type="dxa"/>
                <w:tcMar>
                  <w:top w:w="15" w:type="dxa"/>
                  <w:left w:w="15" w:type="dxa"/>
                  <w:right w:w="15" w:type="dxa"/>
                </w:tcMar>
                <w:vAlign w:val="center"/>
              </w:tcPr>
              <w:p w14:paraId="556C1D03" w14:textId="42B94E31" w:rsidR="1B5F0BBC" w:rsidRPr="00235607" w:rsidRDefault="1B5F0BBC" w:rsidP="1B5F0BBC">
                <w:pPr>
                  <w:spacing w:after="0"/>
                  <w:rPr>
                    <w:rFonts w:ascii="Times New Roman" w:eastAsia="Times New Roman" w:hAnsi="Times New Roman"/>
                    <w:sz w:val="18"/>
                    <w:szCs w:val="18"/>
                  </w:rPr>
                </w:pPr>
                <w:r w:rsidRPr="00235607">
                  <w:rPr>
                    <w:rFonts w:ascii="Times New Roman" w:eastAsia="Times New Roman" w:hAnsi="Times New Roman"/>
                    <w:sz w:val="18"/>
                    <w:szCs w:val="18"/>
                  </w:rPr>
                  <w:t>Activos contingentes por contra (cr)</w:t>
                </w:r>
              </w:p>
            </w:tc>
            <w:tc>
              <w:tcPr>
                <w:tcW w:w="1613" w:type="dxa"/>
                <w:tcMar>
                  <w:top w:w="15" w:type="dxa"/>
                  <w:left w:w="15" w:type="dxa"/>
                  <w:right w:w="15" w:type="dxa"/>
                </w:tcMar>
                <w:vAlign w:val="center"/>
              </w:tcPr>
              <w:p w14:paraId="0337AFEB" w14:textId="72C351AB" w:rsidR="1B5F0BBC" w:rsidRPr="00235607" w:rsidRDefault="24D48767" w:rsidP="6D83F0F4">
                <w:pPr>
                  <w:spacing w:after="0"/>
                  <w:jc w:val="right"/>
                  <w:rPr>
                    <w:rFonts w:ascii="Times New Roman" w:eastAsia="Times New Roman" w:hAnsi="Times New Roman"/>
                    <w:sz w:val="18"/>
                    <w:szCs w:val="18"/>
                  </w:rPr>
                </w:pPr>
                <w:r w:rsidRPr="00235607">
                  <w:rPr>
                    <w:rFonts w:ascii="Times New Roman" w:eastAsia="Times New Roman" w:hAnsi="Times New Roman"/>
                    <w:sz w:val="18"/>
                    <w:szCs w:val="18"/>
                  </w:rPr>
                  <w:t>-2.138.602.588.721</w:t>
                </w:r>
              </w:p>
            </w:tc>
            <w:tc>
              <w:tcPr>
                <w:tcW w:w="1365" w:type="dxa"/>
                <w:tcMar>
                  <w:top w:w="15" w:type="dxa"/>
                  <w:left w:w="15" w:type="dxa"/>
                  <w:right w:w="15" w:type="dxa"/>
                </w:tcMar>
                <w:vAlign w:val="center"/>
              </w:tcPr>
              <w:p w14:paraId="32888685" w14:textId="5C3AF7EE" w:rsidR="1B5F0BBC" w:rsidRPr="00235607" w:rsidRDefault="24D48767" w:rsidP="6D83F0F4">
                <w:pPr>
                  <w:spacing w:after="0"/>
                  <w:jc w:val="right"/>
                  <w:rPr>
                    <w:rFonts w:ascii="Times New Roman" w:eastAsia="Times New Roman" w:hAnsi="Times New Roman"/>
                    <w:sz w:val="18"/>
                    <w:szCs w:val="18"/>
                  </w:rPr>
                </w:pPr>
                <w:r w:rsidRPr="00235607">
                  <w:rPr>
                    <w:rFonts w:ascii="Times New Roman" w:eastAsia="Times New Roman" w:hAnsi="Times New Roman"/>
                    <w:sz w:val="18"/>
                    <w:szCs w:val="18"/>
                  </w:rPr>
                  <w:t>-650.536.796.942</w:t>
                </w:r>
              </w:p>
            </w:tc>
            <w:tc>
              <w:tcPr>
                <w:tcW w:w="1602" w:type="dxa"/>
                <w:tcMar>
                  <w:top w:w="15" w:type="dxa"/>
                  <w:left w:w="15" w:type="dxa"/>
                  <w:right w:w="15" w:type="dxa"/>
                </w:tcMar>
                <w:vAlign w:val="center"/>
              </w:tcPr>
              <w:p w14:paraId="69CF808D" w14:textId="0F57C75F" w:rsidR="1B5F0BBC" w:rsidRPr="00235607" w:rsidRDefault="24D48767" w:rsidP="6D83F0F4">
                <w:pPr>
                  <w:spacing w:after="0"/>
                  <w:jc w:val="right"/>
                  <w:rPr>
                    <w:rFonts w:ascii="Times New Roman" w:eastAsia="Times New Roman" w:hAnsi="Times New Roman"/>
                    <w:sz w:val="18"/>
                    <w:szCs w:val="18"/>
                  </w:rPr>
                </w:pPr>
                <w:r w:rsidRPr="00235607">
                  <w:rPr>
                    <w:rFonts w:ascii="Times New Roman" w:eastAsia="Times New Roman" w:hAnsi="Times New Roman"/>
                    <w:sz w:val="18"/>
                    <w:szCs w:val="18"/>
                  </w:rPr>
                  <w:t>-1.488.065.791.779</w:t>
                </w:r>
              </w:p>
            </w:tc>
          </w:tr>
          <w:tr w:rsidR="1B5F0BBC" w:rsidRPr="00235607" w14:paraId="17E8A71C" w14:textId="77777777" w:rsidTr="72C1C638">
            <w:trPr>
              <w:trHeight w:val="300"/>
            </w:trPr>
            <w:tc>
              <w:tcPr>
                <w:tcW w:w="928" w:type="dxa"/>
                <w:tcMar>
                  <w:top w:w="15" w:type="dxa"/>
                  <w:left w:w="15" w:type="dxa"/>
                  <w:right w:w="15" w:type="dxa"/>
                </w:tcMar>
                <w:vAlign w:val="center"/>
              </w:tcPr>
              <w:p w14:paraId="101854FB" w14:textId="0A4DAB00" w:rsidR="1B5F0BBC" w:rsidRPr="00235607" w:rsidRDefault="1B5F0BBC" w:rsidP="1B5F0BBC">
                <w:pPr>
                  <w:spacing w:after="0"/>
                  <w:rPr>
                    <w:rFonts w:ascii="Times New Roman" w:eastAsia="Times New Roman" w:hAnsi="Times New Roman"/>
                    <w:sz w:val="18"/>
                    <w:szCs w:val="18"/>
                  </w:rPr>
                </w:pPr>
                <w:r w:rsidRPr="00235607">
                  <w:rPr>
                    <w:rFonts w:ascii="Times New Roman" w:eastAsia="Times New Roman" w:hAnsi="Times New Roman"/>
                    <w:sz w:val="18"/>
                    <w:szCs w:val="18"/>
                  </w:rPr>
                  <w:t>8.9.15</w:t>
                </w:r>
              </w:p>
            </w:tc>
            <w:tc>
              <w:tcPr>
                <w:tcW w:w="700" w:type="dxa"/>
                <w:tcMar>
                  <w:top w:w="15" w:type="dxa"/>
                  <w:left w:w="15" w:type="dxa"/>
                  <w:right w:w="15" w:type="dxa"/>
                </w:tcMar>
                <w:vAlign w:val="center"/>
              </w:tcPr>
              <w:p w14:paraId="6B44F4D5" w14:textId="43799083" w:rsidR="1B5F0BBC" w:rsidRPr="00235607" w:rsidRDefault="1B5F0BBC" w:rsidP="1B5F0BBC">
                <w:pPr>
                  <w:spacing w:after="0"/>
                  <w:jc w:val="center"/>
                  <w:rPr>
                    <w:rFonts w:ascii="Times New Roman" w:eastAsia="Times New Roman" w:hAnsi="Times New Roman"/>
                    <w:sz w:val="18"/>
                    <w:szCs w:val="18"/>
                  </w:rPr>
                </w:pPr>
                <w:r w:rsidRPr="00235607">
                  <w:rPr>
                    <w:rFonts w:ascii="Times New Roman" w:eastAsia="Times New Roman" w:hAnsi="Times New Roman"/>
                    <w:sz w:val="18"/>
                    <w:szCs w:val="18"/>
                  </w:rPr>
                  <w:t>Cr</w:t>
                </w:r>
              </w:p>
            </w:tc>
            <w:tc>
              <w:tcPr>
                <w:tcW w:w="2761" w:type="dxa"/>
                <w:tcMar>
                  <w:top w:w="15" w:type="dxa"/>
                  <w:left w:w="15" w:type="dxa"/>
                  <w:right w:w="15" w:type="dxa"/>
                </w:tcMar>
                <w:vAlign w:val="center"/>
              </w:tcPr>
              <w:p w14:paraId="3762D00A" w14:textId="355B58B2" w:rsidR="1B5F0BBC" w:rsidRPr="00235607" w:rsidRDefault="1B5F0BBC" w:rsidP="1B5F0BBC">
                <w:pPr>
                  <w:spacing w:after="0"/>
                  <w:rPr>
                    <w:rFonts w:ascii="Times New Roman" w:eastAsia="Times New Roman" w:hAnsi="Times New Roman"/>
                    <w:sz w:val="18"/>
                    <w:szCs w:val="18"/>
                  </w:rPr>
                </w:pPr>
                <w:r w:rsidRPr="00235607">
                  <w:rPr>
                    <w:rFonts w:ascii="Times New Roman" w:eastAsia="Times New Roman" w:hAnsi="Times New Roman"/>
                    <w:sz w:val="18"/>
                    <w:szCs w:val="18"/>
                  </w:rPr>
                  <w:t>Deudoras de control por contra (cr)</w:t>
                </w:r>
              </w:p>
            </w:tc>
            <w:tc>
              <w:tcPr>
                <w:tcW w:w="1613" w:type="dxa"/>
                <w:tcMar>
                  <w:top w:w="15" w:type="dxa"/>
                  <w:left w:w="15" w:type="dxa"/>
                  <w:right w:w="15" w:type="dxa"/>
                </w:tcMar>
                <w:vAlign w:val="center"/>
              </w:tcPr>
              <w:p w14:paraId="4304EF60" w14:textId="69429158" w:rsidR="1B5F0BBC" w:rsidRPr="00235607" w:rsidRDefault="24D48767" w:rsidP="6D83F0F4">
                <w:pPr>
                  <w:spacing w:after="0"/>
                  <w:jc w:val="right"/>
                  <w:rPr>
                    <w:rFonts w:ascii="Times New Roman" w:eastAsia="Times New Roman" w:hAnsi="Times New Roman"/>
                    <w:sz w:val="18"/>
                    <w:szCs w:val="18"/>
                  </w:rPr>
                </w:pPr>
                <w:r w:rsidRPr="00235607">
                  <w:rPr>
                    <w:rFonts w:ascii="Times New Roman" w:eastAsia="Times New Roman" w:hAnsi="Times New Roman"/>
                    <w:sz w:val="18"/>
                    <w:szCs w:val="18"/>
                  </w:rPr>
                  <w:t>-462.102.740</w:t>
                </w:r>
              </w:p>
            </w:tc>
            <w:tc>
              <w:tcPr>
                <w:tcW w:w="1365" w:type="dxa"/>
                <w:tcMar>
                  <w:top w:w="15" w:type="dxa"/>
                  <w:left w:w="15" w:type="dxa"/>
                  <w:right w:w="15" w:type="dxa"/>
                </w:tcMar>
                <w:vAlign w:val="center"/>
              </w:tcPr>
              <w:p w14:paraId="73C5FB7C" w14:textId="5474034F" w:rsidR="1B5F0BBC" w:rsidRPr="00235607" w:rsidRDefault="24D48767" w:rsidP="6D83F0F4">
                <w:pPr>
                  <w:spacing w:after="0"/>
                  <w:jc w:val="right"/>
                  <w:rPr>
                    <w:rFonts w:ascii="Times New Roman" w:eastAsia="Times New Roman" w:hAnsi="Times New Roman"/>
                    <w:sz w:val="18"/>
                    <w:szCs w:val="18"/>
                  </w:rPr>
                </w:pPr>
                <w:r w:rsidRPr="00235607">
                  <w:rPr>
                    <w:rFonts w:ascii="Times New Roman" w:eastAsia="Times New Roman" w:hAnsi="Times New Roman"/>
                    <w:sz w:val="18"/>
                    <w:szCs w:val="18"/>
                  </w:rPr>
                  <w:t>-7.602.740</w:t>
                </w:r>
              </w:p>
            </w:tc>
            <w:tc>
              <w:tcPr>
                <w:tcW w:w="1602" w:type="dxa"/>
                <w:tcMar>
                  <w:top w:w="15" w:type="dxa"/>
                  <w:left w:w="15" w:type="dxa"/>
                  <w:right w:w="15" w:type="dxa"/>
                </w:tcMar>
                <w:vAlign w:val="center"/>
              </w:tcPr>
              <w:p w14:paraId="730DC65B" w14:textId="5CD178DB" w:rsidR="1B5F0BBC" w:rsidRPr="00235607" w:rsidRDefault="24D48767" w:rsidP="6D83F0F4">
                <w:pPr>
                  <w:spacing w:after="0"/>
                  <w:jc w:val="right"/>
                  <w:rPr>
                    <w:rFonts w:ascii="Times New Roman" w:eastAsia="Times New Roman" w:hAnsi="Times New Roman"/>
                    <w:sz w:val="18"/>
                    <w:szCs w:val="18"/>
                  </w:rPr>
                </w:pPr>
                <w:r w:rsidRPr="00235607">
                  <w:rPr>
                    <w:rFonts w:ascii="Times New Roman" w:eastAsia="Times New Roman" w:hAnsi="Times New Roman"/>
                    <w:sz w:val="18"/>
                    <w:szCs w:val="18"/>
                  </w:rPr>
                  <w:t>-454.500.000</w:t>
                </w:r>
              </w:p>
            </w:tc>
          </w:tr>
        </w:tbl>
        <w:p w14:paraId="1D288B17" w14:textId="4CA97D96" w:rsidR="00107EEE" w:rsidRPr="00931DCE" w:rsidRDefault="00107EEE" w:rsidP="6D83F0F4">
          <w:pPr>
            <w:spacing w:after="0" w:line="240" w:lineRule="auto"/>
            <w:jc w:val="both"/>
            <w:rPr>
              <w:rFonts w:ascii="Times New Roman" w:hAnsi="Times New Roman"/>
              <w:b/>
              <w:bCs/>
              <w:sz w:val="14"/>
              <w:szCs w:val="14"/>
            </w:rPr>
          </w:pPr>
          <w:r w:rsidRPr="6D83F0F4">
            <w:rPr>
              <w:rFonts w:ascii="Times New Roman" w:hAnsi="Times New Roman"/>
              <w:sz w:val="14"/>
              <w:szCs w:val="14"/>
            </w:rPr>
            <w:t>Cifras en pesos</w:t>
          </w:r>
        </w:p>
        <w:p w14:paraId="2150420B" w14:textId="77777777" w:rsidR="00107EEE" w:rsidRPr="00931DCE" w:rsidRDefault="00107EEE" w:rsidP="00107EEE">
          <w:pPr>
            <w:spacing w:line="240" w:lineRule="auto"/>
            <w:ind w:right="-234"/>
            <w:jc w:val="both"/>
            <w:rPr>
              <w:rFonts w:ascii="Times New Roman" w:hAnsi="Times New Roman"/>
              <w:b/>
              <w:sz w:val="24"/>
              <w:szCs w:val="24"/>
            </w:rPr>
          </w:pPr>
        </w:p>
        <w:p w14:paraId="1131D403" w14:textId="54D6A59C" w:rsidR="5E19F96C" w:rsidRDefault="77E8B7B9" w:rsidP="006633FE">
          <w:pPr>
            <w:spacing w:line="240" w:lineRule="auto"/>
            <w:ind w:right="-234"/>
            <w:jc w:val="both"/>
            <w:rPr>
              <w:rFonts w:ascii="Times New Roman" w:hAnsi="Times New Roman"/>
              <w:b/>
              <w:bCs/>
              <w:sz w:val="24"/>
              <w:szCs w:val="24"/>
            </w:rPr>
          </w:pPr>
          <w:r w:rsidRPr="5E19F96C">
            <w:rPr>
              <w:rFonts w:ascii="Times New Roman" w:hAnsi="Times New Roman"/>
              <w:b/>
              <w:bCs/>
              <w:sz w:val="24"/>
              <w:szCs w:val="24"/>
            </w:rPr>
            <w:t xml:space="preserve">Los Activos contingentes </w:t>
          </w:r>
          <w:r w:rsidRPr="5E19F96C">
            <w:rPr>
              <w:rFonts w:ascii="Times New Roman" w:hAnsi="Times New Roman"/>
              <w:sz w:val="24"/>
              <w:szCs w:val="24"/>
            </w:rPr>
            <w:t xml:space="preserve">del Grupo 81, fueron desarrollados en la </w:t>
          </w:r>
          <w:r w:rsidR="175573AF" w:rsidRPr="5E19F96C">
            <w:rPr>
              <w:rFonts w:ascii="Times New Roman" w:hAnsi="Times New Roman"/>
              <w:sz w:val="24"/>
              <w:szCs w:val="24"/>
            </w:rPr>
            <w:t>N</w:t>
          </w:r>
          <w:r w:rsidRPr="5E19F96C">
            <w:rPr>
              <w:rFonts w:ascii="Times New Roman" w:hAnsi="Times New Roman"/>
              <w:sz w:val="24"/>
              <w:szCs w:val="24"/>
            </w:rPr>
            <w:t>ota No. 25.</w:t>
          </w:r>
        </w:p>
        <w:p w14:paraId="43000D8D" w14:textId="3191EECD" w:rsidR="00107EEE" w:rsidRPr="00931DCE" w:rsidRDefault="00107EEE" w:rsidP="5E19F96C">
          <w:pPr>
            <w:spacing w:after="0" w:line="254" w:lineRule="auto"/>
            <w:ind w:left="-20" w:right="-20"/>
            <w:jc w:val="both"/>
            <w:rPr>
              <w:rFonts w:ascii="Times New Roman" w:eastAsia="Times New Roman" w:hAnsi="Times New Roman"/>
              <w:sz w:val="24"/>
              <w:szCs w:val="24"/>
            </w:rPr>
          </w:pPr>
          <w:r w:rsidRPr="00931DCE">
            <w:rPr>
              <w:rFonts w:ascii="Times New Roman" w:hAnsi="Times New Roman"/>
              <w:b/>
              <w:sz w:val="24"/>
              <w:szCs w:val="24"/>
            </w:rPr>
            <w:lastRenderedPageBreak/>
            <w:t xml:space="preserve">Bienes entregados a Terceros: </w:t>
          </w:r>
          <w:r w:rsidRPr="00931DCE">
            <w:rPr>
              <w:rFonts w:ascii="Times New Roman" w:hAnsi="Times New Roman"/>
              <w:sz w:val="24"/>
              <w:szCs w:val="24"/>
            </w:rPr>
            <w:t>Para</w:t>
          </w:r>
          <w:r w:rsidRPr="5E19F96C">
            <w:rPr>
              <w:rFonts w:ascii="Times New Roman" w:eastAsia="Times New Roman" w:hAnsi="Times New Roman"/>
              <w:sz w:val="24"/>
              <w:szCs w:val="24"/>
            </w:rPr>
            <w:t xml:space="preserve"> </w:t>
          </w:r>
          <w:r w:rsidR="3ED750B7" w:rsidRPr="5E19F96C">
            <w:rPr>
              <w:rFonts w:ascii="Times New Roman" w:eastAsia="Times New Roman" w:hAnsi="Times New Roman"/>
              <w:sz w:val="24"/>
              <w:szCs w:val="24"/>
            </w:rPr>
            <w:t>el periodo 2023</w:t>
          </w:r>
          <w:r w:rsidRPr="5E19F96C">
            <w:rPr>
              <w:rFonts w:ascii="Times New Roman" w:eastAsia="Times New Roman" w:hAnsi="Times New Roman"/>
              <w:sz w:val="24"/>
              <w:szCs w:val="24"/>
            </w:rPr>
            <w:t xml:space="preserve"> la Agencia Nacional de Infraestructura continua con el Contrato Interadministrativo de Comodato No. </w:t>
          </w:r>
          <w:r w:rsidR="3ED750B7" w:rsidRPr="5E19F96C">
            <w:rPr>
              <w:rFonts w:ascii="Times New Roman" w:eastAsia="Times New Roman" w:hAnsi="Times New Roman"/>
              <w:sz w:val="24"/>
              <w:szCs w:val="24"/>
            </w:rPr>
            <w:t xml:space="preserve">CI-017 de 2019 celebrado con el Ministerio de Transporte para el vehículo: Camioneta Toyota Prado 3.0 </w:t>
          </w:r>
          <w:r w:rsidR="61ED3D15" w:rsidRPr="5E19F96C">
            <w:rPr>
              <w:rFonts w:ascii="Times New Roman" w:eastAsia="Times New Roman" w:hAnsi="Times New Roman"/>
              <w:sz w:val="24"/>
              <w:szCs w:val="24"/>
            </w:rPr>
            <w:t>D</w:t>
          </w:r>
          <w:r w:rsidR="3ED750B7" w:rsidRPr="5E19F96C">
            <w:rPr>
              <w:rFonts w:ascii="Times New Roman" w:eastAsia="Times New Roman" w:hAnsi="Times New Roman"/>
              <w:sz w:val="24"/>
              <w:szCs w:val="24"/>
            </w:rPr>
            <w:t>iesel, blindada con numero de motor IKD2314236-Chasis JTEBH9FJOEK112729, por valor de 7.602.740</w:t>
          </w:r>
          <w:r w:rsidR="5F544D7C" w:rsidRPr="5E19F96C">
            <w:rPr>
              <w:rFonts w:ascii="Times New Roman" w:eastAsia="Times New Roman" w:hAnsi="Times New Roman"/>
              <w:sz w:val="24"/>
              <w:szCs w:val="24"/>
            </w:rPr>
            <w:t>.</w:t>
          </w:r>
          <w:r w:rsidR="3ED750B7" w:rsidRPr="5E19F96C">
            <w:rPr>
              <w:rFonts w:ascii="Times New Roman" w:eastAsia="Times New Roman" w:hAnsi="Times New Roman"/>
              <w:sz w:val="24"/>
              <w:szCs w:val="24"/>
            </w:rPr>
            <w:t xml:space="preserve"> </w:t>
          </w:r>
        </w:p>
        <w:p w14:paraId="0A06509E" w14:textId="274C69C8" w:rsidR="00107EEE" w:rsidRPr="00931DCE" w:rsidRDefault="00107EEE" w:rsidP="5E19F96C">
          <w:pPr>
            <w:spacing w:after="0" w:line="240" w:lineRule="auto"/>
            <w:ind w:right="-232"/>
            <w:jc w:val="both"/>
            <w:rPr>
              <w:rFonts w:ascii="Times New Roman" w:eastAsia="Times New Roman" w:hAnsi="Times New Roman"/>
              <w:sz w:val="24"/>
              <w:szCs w:val="24"/>
            </w:rPr>
          </w:pPr>
        </w:p>
        <w:p w14:paraId="610D0DBE" w14:textId="500713E8" w:rsidR="00107EEE" w:rsidRPr="00931DCE" w:rsidRDefault="68E71285" w:rsidP="007D4C89">
          <w:pPr>
            <w:spacing w:after="0" w:line="240" w:lineRule="auto"/>
            <w:ind w:right="-232"/>
            <w:jc w:val="both"/>
            <w:rPr>
              <w:rFonts w:ascii="Times New Roman" w:hAnsi="Times New Roman"/>
              <w:sz w:val="24"/>
              <w:szCs w:val="24"/>
            </w:rPr>
          </w:pPr>
          <w:r w:rsidRPr="5E19F96C">
            <w:rPr>
              <w:rFonts w:ascii="Times New Roman" w:eastAsia="Times New Roman" w:hAnsi="Times New Roman"/>
              <w:sz w:val="24"/>
              <w:szCs w:val="24"/>
            </w:rPr>
            <w:t>Mediante</w:t>
          </w:r>
          <w:r w:rsidR="4395D374" w:rsidRPr="5E19F96C">
            <w:rPr>
              <w:rFonts w:ascii="Times New Roman" w:eastAsia="Times New Roman" w:hAnsi="Times New Roman"/>
              <w:sz w:val="24"/>
              <w:szCs w:val="24"/>
            </w:rPr>
            <w:t xml:space="preserve"> Acta de inicio del 7 de junio 2023, se </w:t>
          </w:r>
          <w:r w:rsidR="3C4E275E" w:rsidRPr="5E19F96C">
            <w:rPr>
              <w:rFonts w:ascii="Times New Roman" w:eastAsia="Times New Roman" w:hAnsi="Times New Roman"/>
              <w:sz w:val="24"/>
              <w:szCs w:val="24"/>
            </w:rPr>
            <w:t>cuenta con</w:t>
          </w:r>
          <w:r w:rsidR="4395D374" w:rsidRPr="5E19F96C">
            <w:rPr>
              <w:rFonts w:ascii="Times New Roman" w:eastAsia="Times New Roman" w:hAnsi="Times New Roman"/>
              <w:sz w:val="24"/>
              <w:szCs w:val="24"/>
            </w:rPr>
            <w:t xml:space="preserve"> el Contrato Interadministrativo No. VGCOR-552-2023, suscrito entre la Agencia y el Ministerio de Transporte, por 2 años, con valor de $454.500.000, por transferencia de dos vehículos sin contraprestación para uso del Ministerio, cuyas especificaciones técnicas</w:t>
          </w:r>
          <w:r w:rsidR="3ED750B7" w:rsidRPr="5E19F96C">
            <w:rPr>
              <w:rFonts w:ascii="Times New Roman" w:eastAsia="Times New Roman" w:hAnsi="Times New Roman"/>
              <w:sz w:val="24"/>
              <w:szCs w:val="24"/>
            </w:rPr>
            <w:t xml:space="preserve"> son:</w:t>
          </w:r>
          <w:r w:rsidR="3ED750B7" w:rsidRPr="009A46BB">
            <w:rPr>
              <w:rFonts w:ascii="Times New Roman" w:hAnsi="Times New Roman"/>
            </w:rPr>
            <w:t xml:space="preserve"> </w:t>
          </w:r>
          <w:r w:rsidR="3ED750B7" w:rsidRPr="5E19F96C">
            <w:rPr>
              <w:rFonts w:ascii="Times New Roman" w:eastAsia="Times New Roman" w:hAnsi="Times New Roman"/>
              <w:sz w:val="24"/>
              <w:szCs w:val="24"/>
            </w:rPr>
            <w:t xml:space="preserve">Camioneta Toyota Fortuner 3.0 4x4 A/T Campero Wagon </w:t>
          </w:r>
          <w:r w:rsidR="00B72E69" w:rsidRPr="5E19F96C">
            <w:rPr>
              <w:rFonts w:ascii="Times New Roman" w:eastAsia="Times New Roman" w:hAnsi="Times New Roman"/>
              <w:sz w:val="24"/>
              <w:szCs w:val="24"/>
            </w:rPr>
            <w:t>Mecánica</w:t>
          </w:r>
          <w:r w:rsidR="3ED750B7" w:rsidRPr="5E19F96C">
            <w:rPr>
              <w:rFonts w:ascii="Times New Roman" w:eastAsia="Times New Roman" w:hAnsi="Times New Roman"/>
              <w:sz w:val="24"/>
              <w:szCs w:val="24"/>
            </w:rPr>
            <w:t xml:space="preserve"> Diesel placa YBK-051, por valor de $162.600.000. Y Camioneta Toyota Fortuner 3.0 4X4 A/T Campero Wagon </w:t>
          </w:r>
          <w:r w:rsidR="00B72E69" w:rsidRPr="5E19F96C">
            <w:rPr>
              <w:rFonts w:ascii="Times New Roman" w:eastAsia="Times New Roman" w:hAnsi="Times New Roman"/>
              <w:sz w:val="24"/>
              <w:szCs w:val="24"/>
            </w:rPr>
            <w:t>Mecánica</w:t>
          </w:r>
          <w:r w:rsidR="3ED750B7" w:rsidRPr="5E19F96C">
            <w:rPr>
              <w:rFonts w:ascii="Times New Roman" w:eastAsia="Times New Roman" w:hAnsi="Times New Roman"/>
              <w:sz w:val="24"/>
              <w:szCs w:val="24"/>
            </w:rPr>
            <w:t xml:space="preserve"> Diesel Blindada Placa YBK-054 por valor de $291.900.000.</w:t>
          </w:r>
        </w:p>
        <w:p w14:paraId="2D656BD3" w14:textId="77777777" w:rsidR="007D4C89" w:rsidRPr="00931DCE" w:rsidRDefault="007D4C89" w:rsidP="007D4C89">
          <w:pPr>
            <w:spacing w:after="0" w:line="240" w:lineRule="auto"/>
            <w:ind w:right="-232"/>
            <w:jc w:val="both"/>
            <w:rPr>
              <w:rFonts w:ascii="Times New Roman" w:hAnsi="Times New Roman"/>
              <w:sz w:val="24"/>
              <w:szCs w:val="24"/>
            </w:rPr>
          </w:pPr>
        </w:p>
        <w:p w14:paraId="04C6B67C" w14:textId="77777777" w:rsidR="00616954" w:rsidRPr="00931DCE" w:rsidRDefault="00616954" w:rsidP="00107EEE">
          <w:pPr>
            <w:spacing w:after="0" w:line="240" w:lineRule="auto"/>
            <w:jc w:val="both"/>
            <w:rPr>
              <w:rFonts w:ascii="Times New Roman" w:hAnsi="Times New Roman"/>
              <w:b/>
              <w:sz w:val="24"/>
              <w:szCs w:val="24"/>
            </w:rPr>
          </w:pPr>
        </w:p>
        <w:p w14:paraId="187A8E77" w14:textId="02122F0F" w:rsidR="00663FE0" w:rsidRPr="00931DCE" w:rsidRDefault="00663FE0">
          <w:pPr>
            <w:pStyle w:val="Ttulo2"/>
            <w:numPr>
              <w:ilvl w:val="1"/>
              <w:numId w:val="18"/>
            </w:numPr>
            <w:ind w:left="567" w:hanging="567"/>
            <w:rPr>
              <w:rFonts w:cs="Times New Roman"/>
              <w:szCs w:val="24"/>
            </w:rPr>
          </w:pPr>
          <w:bookmarkStart w:id="101" w:name="_Toc159952426"/>
          <w:r w:rsidRPr="00931DCE">
            <w:rPr>
              <w:rFonts w:cs="Times New Roman"/>
              <w:szCs w:val="24"/>
            </w:rPr>
            <w:t>Cuentas de orden acreedoras</w:t>
          </w:r>
          <w:bookmarkEnd w:id="101"/>
        </w:p>
        <w:p w14:paraId="6E717BCA" w14:textId="30947C6E" w:rsidR="004604B4" w:rsidRPr="00931DCE" w:rsidRDefault="004604B4" w:rsidP="6D83F0F4">
          <w:pPr>
            <w:spacing w:after="0" w:line="240" w:lineRule="auto"/>
            <w:jc w:val="both"/>
            <w:rPr>
              <w:rFonts w:ascii="Times New Roman" w:hAnsi="Times New Roman"/>
              <w:b/>
              <w:bCs/>
              <w:sz w:val="24"/>
              <w:szCs w:val="24"/>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6A0" w:firstRow="1" w:lastRow="0" w:firstColumn="1" w:lastColumn="0" w:noHBand="1" w:noVBand="1"/>
          </w:tblPr>
          <w:tblGrid>
            <w:gridCol w:w="1041"/>
            <w:gridCol w:w="534"/>
            <w:gridCol w:w="2672"/>
            <w:gridCol w:w="1561"/>
            <w:gridCol w:w="1561"/>
            <w:gridCol w:w="1600"/>
          </w:tblGrid>
          <w:tr w:rsidR="6D83F0F4" w14:paraId="4FD2CED9" w14:textId="77777777" w:rsidTr="006633FE">
            <w:trPr>
              <w:trHeight w:val="300"/>
            </w:trPr>
            <w:tc>
              <w:tcPr>
                <w:tcW w:w="2368" w:type="pct"/>
                <w:gridSpan w:val="3"/>
                <w:tcMar>
                  <w:top w:w="15" w:type="dxa"/>
                  <w:left w:w="15" w:type="dxa"/>
                  <w:right w:w="15" w:type="dxa"/>
                </w:tcMar>
                <w:vAlign w:val="center"/>
              </w:tcPr>
              <w:p w14:paraId="7FE6F9E8" w14:textId="52FE2BF8" w:rsidR="6D83F0F4" w:rsidRPr="009A46BB" w:rsidRDefault="6D83F0F4" w:rsidP="6D83F0F4">
                <w:pPr>
                  <w:spacing w:after="0"/>
                  <w:jc w:val="center"/>
                  <w:rPr>
                    <w:rFonts w:ascii="Times New Roman" w:eastAsia="Times New Roman" w:hAnsi="Times New Roman"/>
                    <w:b/>
                    <w:sz w:val="18"/>
                    <w:szCs w:val="18"/>
                  </w:rPr>
                </w:pPr>
                <w:r w:rsidRPr="009A46BB">
                  <w:rPr>
                    <w:rFonts w:ascii="Times New Roman" w:eastAsia="Times New Roman" w:hAnsi="Times New Roman"/>
                    <w:b/>
                    <w:sz w:val="18"/>
                    <w:szCs w:val="18"/>
                  </w:rPr>
                  <w:t>DESCRIPCIÓN</w:t>
                </w:r>
              </w:p>
            </w:tc>
            <w:tc>
              <w:tcPr>
                <w:tcW w:w="1740" w:type="pct"/>
                <w:gridSpan w:val="2"/>
                <w:tcMar>
                  <w:top w:w="15" w:type="dxa"/>
                  <w:left w:w="15" w:type="dxa"/>
                  <w:right w:w="15" w:type="dxa"/>
                </w:tcMar>
                <w:vAlign w:val="center"/>
              </w:tcPr>
              <w:p w14:paraId="3179921F" w14:textId="12437EF8" w:rsidR="6D83F0F4" w:rsidRPr="009A46BB" w:rsidRDefault="6D83F0F4" w:rsidP="6D83F0F4">
                <w:pPr>
                  <w:spacing w:after="0"/>
                  <w:jc w:val="center"/>
                  <w:rPr>
                    <w:rFonts w:ascii="Times New Roman" w:eastAsia="Times New Roman" w:hAnsi="Times New Roman"/>
                    <w:b/>
                    <w:sz w:val="18"/>
                    <w:szCs w:val="18"/>
                  </w:rPr>
                </w:pPr>
                <w:r w:rsidRPr="009A46BB">
                  <w:rPr>
                    <w:rFonts w:ascii="Times New Roman" w:eastAsia="Times New Roman" w:hAnsi="Times New Roman"/>
                    <w:b/>
                    <w:sz w:val="18"/>
                    <w:szCs w:val="18"/>
                  </w:rPr>
                  <w:t>SALDOS A CORTES DE VIGENCIA</w:t>
                </w:r>
              </w:p>
            </w:tc>
            <w:tc>
              <w:tcPr>
                <w:tcW w:w="892" w:type="pct"/>
                <w:tcMar>
                  <w:top w:w="15" w:type="dxa"/>
                  <w:left w:w="15" w:type="dxa"/>
                  <w:right w:w="15" w:type="dxa"/>
                </w:tcMar>
                <w:vAlign w:val="center"/>
              </w:tcPr>
              <w:p w14:paraId="11403C87" w14:textId="03407C6C" w:rsidR="6D83F0F4" w:rsidRPr="009A46BB" w:rsidRDefault="6D83F0F4" w:rsidP="6D83F0F4">
                <w:pPr>
                  <w:spacing w:after="0"/>
                  <w:jc w:val="center"/>
                  <w:rPr>
                    <w:rFonts w:ascii="Times New Roman" w:eastAsia="Times New Roman" w:hAnsi="Times New Roman"/>
                    <w:b/>
                    <w:sz w:val="18"/>
                    <w:szCs w:val="18"/>
                  </w:rPr>
                </w:pPr>
                <w:r w:rsidRPr="009A46BB">
                  <w:rPr>
                    <w:rFonts w:ascii="Times New Roman" w:eastAsia="Times New Roman" w:hAnsi="Times New Roman"/>
                    <w:b/>
                    <w:sz w:val="18"/>
                    <w:szCs w:val="18"/>
                  </w:rPr>
                  <w:t>VARIACIÓN</w:t>
                </w:r>
              </w:p>
            </w:tc>
          </w:tr>
          <w:tr w:rsidR="6D83F0F4" w14:paraId="5731C350" w14:textId="77777777" w:rsidTr="006633FE">
            <w:trPr>
              <w:trHeight w:val="510"/>
            </w:trPr>
            <w:tc>
              <w:tcPr>
                <w:tcW w:w="580" w:type="pct"/>
                <w:tcMar>
                  <w:top w:w="15" w:type="dxa"/>
                  <w:left w:w="15" w:type="dxa"/>
                  <w:right w:w="15" w:type="dxa"/>
                </w:tcMar>
                <w:vAlign w:val="center"/>
              </w:tcPr>
              <w:p w14:paraId="785C8B02" w14:textId="12173CE5" w:rsidR="6D83F0F4" w:rsidRPr="009A46BB" w:rsidRDefault="6D83F0F4" w:rsidP="6D83F0F4">
                <w:pPr>
                  <w:spacing w:after="0"/>
                  <w:jc w:val="center"/>
                  <w:rPr>
                    <w:rFonts w:ascii="Times New Roman" w:eastAsia="Times New Roman" w:hAnsi="Times New Roman"/>
                    <w:b/>
                    <w:sz w:val="18"/>
                    <w:szCs w:val="18"/>
                  </w:rPr>
                </w:pPr>
                <w:r w:rsidRPr="009A46BB">
                  <w:rPr>
                    <w:rFonts w:ascii="Times New Roman" w:eastAsia="Times New Roman" w:hAnsi="Times New Roman"/>
                    <w:b/>
                    <w:sz w:val="18"/>
                    <w:szCs w:val="18"/>
                  </w:rPr>
                  <w:t>CÓDIGO CONTABLE</w:t>
                </w:r>
              </w:p>
            </w:tc>
            <w:tc>
              <w:tcPr>
                <w:tcW w:w="298" w:type="pct"/>
                <w:tcMar>
                  <w:top w:w="15" w:type="dxa"/>
                  <w:left w:w="15" w:type="dxa"/>
                  <w:right w:w="15" w:type="dxa"/>
                </w:tcMar>
                <w:vAlign w:val="center"/>
              </w:tcPr>
              <w:p w14:paraId="4399821D" w14:textId="07489DCF" w:rsidR="6D83F0F4" w:rsidRPr="009A46BB" w:rsidRDefault="6D83F0F4" w:rsidP="6D83F0F4">
                <w:pPr>
                  <w:spacing w:after="0"/>
                  <w:jc w:val="center"/>
                  <w:rPr>
                    <w:rFonts w:ascii="Times New Roman" w:eastAsia="Times New Roman" w:hAnsi="Times New Roman"/>
                    <w:b/>
                    <w:sz w:val="18"/>
                    <w:szCs w:val="18"/>
                  </w:rPr>
                </w:pPr>
                <w:r w:rsidRPr="009A46BB">
                  <w:rPr>
                    <w:rFonts w:ascii="Times New Roman" w:eastAsia="Times New Roman" w:hAnsi="Times New Roman"/>
                    <w:b/>
                    <w:sz w:val="18"/>
                    <w:szCs w:val="18"/>
                  </w:rPr>
                  <w:t>NAT</w:t>
                </w:r>
              </w:p>
            </w:tc>
            <w:tc>
              <w:tcPr>
                <w:tcW w:w="1490" w:type="pct"/>
                <w:tcMar>
                  <w:top w:w="15" w:type="dxa"/>
                  <w:left w:w="15" w:type="dxa"/>
                  <w:right w:w="15" w:type="dxa"/>
                </w:tcMar>
                <w:vAlign w:val="center"/>
              </w:tcPr>
              <w:p w14:paraId="11009488" w14:textId="235A5404" w:rsidR="6D83F0F4" w:rsidRPr="009A46BB" w:rsidRDefault="6D83F0F4" w:rsidP="6D83F0F4">
                <w:pPr>
                  <w:spacing w:after="0"/>
                  <w:jc w:val="center"/>
                  <w:rPr>
                    <w:rFonts w:ascii="Times New Roman" w:eastAsia="Times New Roman" w:hAnsi="Times New Roman"/>
                    <w:b/>
                    <w:sz w:val="18"/>
                    <w:szCs w:val="18"/>
                  </w:rPr>
                </w:pPr>
                <w:r w:rsidRPr="009A46BB">
                  <w:rPr>
                    <w:rFonts w:ascii="Times New Roman" w:eastAsia="Times New Roman" w:hAnsi="Times New Roman"/>
                    <w:b/>
                    <w:sz w:val="18"/>
                    <w:szCs w:val="18"/>
                  </w:rPr>
                  <w:t>CONCEPTO</w:t>
                </w:r>
              </w:p>
            </w:tc>
            <w:tc>
              <w:tcPr>
                <w:tcW w:w="870" w:type="pct"/>
                <w:tcMar>
                  <w:top w:w="15" w:type="dxa"/>
                  <w:left w:w="15" w:type="dxa"/>
                  <w:right w:w="15" w:type="dxa"/>
                </w:tcMar>
                <w:vAlign w:val="center"/>
              </w:tcPr>
              <w:p w14:paraId="3E15DACE" w14:textId="1FAF198D" w:rsidR="6D83F0F4" w:rsidRPr="009A46BB" w:rsidRDefault="6D83F0F4" w:rsidP="6D83F0F4">
                <w:pPr>
                  <w:spacing w:after="0"/>
                  <w:jc w:val="center"/>
                  <w:rPr>
                    <w:rFonts w:ascii="Times New Roman" w:eastAsia="Times New Roman" w:hAnsi="Times New Roman"/>
                    <w:b/>
                    <w:sz w:val="18"/>
                    <w:szCs w:val="18"/>
                  </w:rPr>
                </w:pPr>
                <w:r w:rsidRPr="009A46BB">
                  <w:rPr>
                    <w:rFonts w:ascii="Times New Roman" w:eastAsia="Times New Roman" w:hAnsi="Times New Roman"/>
                    <w:b/>
                    <w:sz w:val="18"/>
                    <w:szCs w:val="18"/>
                  </w:rPr>
                  <w:t xml:space="preserve">2023 </w:t>
                </w:r>
              </w:p>
            </w:tc>
            <w:tc>
              <w:tcPr>
                <w:tcW w:w="870" w:type="pct"/>
                <w:tcMar>
                  <w:top w:w="15" w:type="dxa"/>
                  <w:left w:w="15" w:type="dxa"/>
                  <w:right w:w="15" w:type="dxa"/>
                </w:tcMar>
                <w:vAlign w:val="center"/>
              </w:tcPr>
              <w:p w14:paraId="637296BC" w14:textId="58671FFE" w:rsidR="6D83F0F4" w:rsidRPr="009A46BB" w:rsidRDefault="6D83F0F4" w:rsidP="6D83F0F4">
                <w:pPr>
                  <w:spacing w:after="0"/>
                  <w:jc w:val="center"/>
                  <w:rPr>
                    <w:rFonts w:ascii="Times New Roman" w:eastAsia="Times New Roman" w:hAnsi="Times New Roman"/>
                    <w:b/>
                    <w:sz w:val="18"/>
                    <w:szCs w:val="18"/>
                  </w:rPr>
                </w:pPr>
                <w:r w:rsidRPr="009A46BB">
                  <w:rPr>
                    <w:rFonts w:ascii="Times New Roman" w:eastAsia="Times New Roman" w:hAnsi="Times New Roman"/>
                    <w:b/>
                    <w:sz w:val="18"/>
                    <w:szCs w:val="18"/>
                  </w:rPr>
                  <w:t xml:space="preserve">2022 </w:t>
                </w:r>
              </w:p>
            </w:tc>
            <w:tc>
              <w:tcPr>
                <w:tcW w:w="892" w:type="pct"/>
                <w:tcMar>
                  <w:top w:w="15" w:type="dxa"/>
                  <w:left w:w="15" w:type="dxa"/>
                  <w:right w:w="15" w:type="dxa"/>
                </w:tcMar>
                <w:vAlign w:val="center"/>
              </w:tcPr>
              <w:p w14:paraId="2E5C0C5B" w14:textId="24F09D78" w:rsidR="6D83F0F4" w:rsidRPr="009A46BB" w:rsidRDefault="6D83F0F4" w:rsidP="6D83F0F4">
                <w:pPr>
                  <w:spacing w:after="0"/>
                  <w:jc w:val="center"/>
                  <w:rPr>
                    <w:rFonts w:ascii="Times New Roman" w:eastAsia="Times New Roman" w:hAnsi="Times New Roman"/>
                    <w:b/>
                    <w:sz w:val="18"/>
                    <w:szCs w:val="18"/>
                  </w:rPr>
                </w:pPr>
                <w:r w:rsidRPr="009A46BB">
                  <w:rPr>
                    <w:rFonts w:ascii="Times New Roman" w:eastAsia="Times New Roman" w:hAnsi="Times New Roman"/>
                    <w:b/>
                    <w:sz w:val="18"/>
                    <w:szCs w:val="18"/>
                  </w:rPr>
                  <w:t>VALOR VARIACIÓN</w:t>
                </w:r>
              </w:p>
            </w:tc>
          </w:tr>
          <w:tr w:rsidR="6D83F0F4" w14:paraId="2870D161" w14:textId="77777777" w:rsidTr="006633FE">
            <w:trPr>
              <w:trHeight w:val="285"/>
            </w:trPr>
            <w:tc>
              <w:tcPr>
                <w:tcW w:w="580" w:type="pct"/>
                <w:tcMar>
                  <w:top w:w="15" w:type="dxa"/>
                  <w:left w:w="15" w:type="dxa"/>
                  <w:right w:w="15" w:type="dxa"/>
                </w:tcMar>
                <w:vAlign w:val="center"/>
              </w:tcPr>
              <w:p w14:paraId="7BA3F093" w14:textId="6111B2FA" w:rsidR="6D83F0F4" w:rsidRPr="009A46BB" w:rsidRDefault="6D83F0F4" w:rsidP="6D83F0F4">
                <w:pPr>
                  <w:spacing w:after="0"/>
                  <w:rPr>
                    <w:rFonts w:ascii="Times New Roman" w:eastAsia="Times New Roman" w:hAnsi="Times New Roman"/>
                    <w:b/>
                    <w:sz w:val="18"/>
                    <w:szCs w:val="18"/>
                  </w:rPr>
                </w:pPr>
                <w:r w:rsidRPr="009A46BB">
                  <w:rPr>
                    <w:rFonts w:ascii="Times New Roman" w:eastAsia="Times New Roman" w:hAnsi="Times New Roman"/>
                    <w:b/>
                    <w:sz w:val="18"/>
                    <w:szCs w:val="18"/>
                  </w:rPr>
                  <w:t xml:space="preserve"> </w:t>
                </w:r>
              </w:p>
            </w:tc>
            <w:tc>
              <w:tcPr>
                <w:tcW w:w="298" w:type="pct"/>
                <w:tcMar>
                  <w:top w:w="15" w:type="dxa"/>
                  <w:left w:w="15" w:type="dxa"/>
                  <w:right w:w="15" w:type="dxa"/>
                </w:tcMar>
                <w:vAlign w:val="center"/>
              </w:tcPr>
              <w:p w14:paraId="58FE06B0" w14:textId="241CA4E5" w:rsidR="6D83F0F4" w:rsidRPr="009A46BB" w:rsidRDefault="6D83F0F4" w:rsidP="6D83F0F4">
                <w:pPr>
                  <w:spacing w:after="0"/>
                  <w:jc w:val="center"/>
                  <w:rPr>
                    <w:rFonts w:ascii="Times New Roman" w:eastAsia="Times New Roman" w:hAnsi="Times New Roman"/>
                    <w:b/>
                    <w:sz w:val="18"/>
                    <w:szCs w:val="18"/>
                  </w:rPr>
                </w:pPr>
                <w:r w:rsidRPr="009A46BB">
                  <w:rPr>
                    <w:rFonts w:ascii="Times New Roman" w:eastAsia="Times New Roman" w:hAnsi="Times New Roman"/>
                    <w:b/>
                    <w:sz w:val="18"/>
                    <w:szCs w:val="18"/>
                  </w:rPr>
                  <w:t>Cr</w:t>
                </w:r>
              </w:p>
            </w:tc>
            <w:tc>
              <w:tcPr>
                <w:tcW w:w="1490" w:type="pct"/>
                <w:tcMar>
                  <w:top w:w="15" w:type="dxa"/>
                  <w:left w:w="15" w:type="dxa"/>
                  <w:right w:w="15" w:type="dxa"/>
                </w:tcMar>
                <w:vAlign w:val="center"/>
              </w:tcPr>
              <w:p w14:paraId="5E6C2930" w14:textId="5265EC00" w:rsidR="6D83F0F4" w:rsidRPr="009A46BB" w:rsidRDefault="6D83F0F4" w:rsidP="6D83F0F4">
                <w:pPr>
                  <w:spacing w:after="0"/>
                  <w:jc w:val="center"/>
                  <w:rPr>
                    <w:rFonts w:ascii="Times New Roman" w:eastAsia="Times New Roman" w:hAnsi="Times New Roman"/>
                    <w:b/>
                    <w:sz w:val="18"/>
                    <w:szCs w:val="18"/>
                  </w:rPr>
                </w:pPr>
                <w:r w:rsidRPr="009A46BB">
                  <w:rPr>
                    <w:rFonts w:ascii="Times New Roman" w:eastAsia="Times New Roman" w:hAnsi="Times New Roman"/>
                    <w:b/>
                    <w:sz w:val="18"/>
                    <w:szCs w:val="18"/>
                  </w:rPr>
                  <w:t>CUENTAS DE ORDEN ACREEDORAS</w:t>
                </w:r>
              </w:p>
            </w:tc>
            <w:tc>
              <w:tcPr>
                <w:tcW w:w="870" w:type="pct"/>
                <w:tcMar>
                  <w:top w:w="15" w:type="dxa"/>
                  <w:left w:w="15" w:type="dxa"/>
                  <w:right w:w="15" w:type="dxa"/>
                </w:tcMar>
                <w:vAlign w:val="center"/>
              </w:tcPr>
              <w:p w14:paraId="65A4CBF0" w14:textId="14F22E6D" w:rsidR="6D83F0F4" w:rsidRPr="009A46BB" w:rsidRDefault="6D83F0F4" w:rsidP="6D83F0F4">
                <w:pPr>
                  <w:spacing w:after="0"/>
                  <w:jc w:val="right"/>
                  <w:rPr>
                    <w:rFonts w:ascii="Times New Roman" w:eastAsia="Times New Roman" w:hAnsi="Times New Roman"/>
                    <w:b/>
                    <w:sz w:val="18"/>
                    <w:szCs w:val="18"/>
                  </w:rPr>
                </w:pPr>
                <w:r w:rsidRPr="009A46BB">
                  <w:rPr>
                    <w:rFonts w:ascii="Times New Roman" w:eastAsia="Times New Roman" w:hAnsi="Times New Roman"/>
                    <w:b/>
                    <w:sz w:val="18"/>
                    <w:szCs w:val="18"/>
                  </w:rPr>
                  <w:t>0</w:t>
                </w:r>
              </w:p>
            </w:tc>
            <w:tc>
              <w:tcPr>
                <w:tcW w:w="870" w:type="pct"/>
                <w:tcMar>
                  <w:top w:w="15" w:type="dxa"/>
                  <w:left w:w="15" w:type="dxa"/>
                  <w:right w:w="15" w:type="dxa"/>
                </w:tcMar>
                <w:vAlign w:val="center"/>
              </w:tcPr>
              <w:p w14:paraId="376409A0" w14:textId="054E692D" w:rsidR="6D83F0F4" w:rsidRPr="009A46BB" w:rsidRDefault="6D83F0F4" w:rsidP="6D83F0F4">
                <w:pPr>
                  <w:spacing w:after="0"/>
                  <w:jc w:val="right"/>
                  <w:rPr>
                    <w:rFonts w:ascii="Times New Roman" w:eastAsia="Times New Roman" w:hAnsi="Times New Roman"/>
                    <w:b/>
                    <w:sz w:val="18"/>
                    <w:szCs w:val="18"/>
                  </w:rPr>
                </w:pPr>
                <w:r w:rsidRPr="009A46BB">
                  <w:rPr>
                    <w:rFonts w:ascii="Times New Roman" w:eastAsia="Times New Roman" w:hAnsi="Times New Roman"/>
                    <w:b/>
                    <w:sz w:val="18"/>
                    <w:szCs w:val="18"/>
                  </w:rPr>
                  <w:t>0</w:t>
                </w:r>
              </w:p>
            </w:tc>
            <w:tc>
              <w:tcPr>
                <w:tcW w:w="892" w:type="pct"/>
                <w:tcMar>
                  <w:top w:w="15" w:type="dxa"/>
                  <w:left w:w="15" w:type="dxa"/>
                  <w:right w:w="15" w:type="dxa"/>
                </w:tcMar>
                <w:vAlign w:val="center"/>
              </w:tcPr>
              <w:p w14:paraId="61FDDC41" w14:textId="4E9203C4" w:rsidR="6D83F0F4" w:rsidRPr="009A46BB" w:rsidRDefault="6D83F0F4" w:rsidP="6D83F0F4">
                <w:pPr>
                  <w:spacing w:after="0"/>
                  <w:jc w:val="right"/>
                  <w:rPr>
                    <w:rFonts w:ascii="Times New Roman" w:eastAsia="Times New Roman" w:hAnsi="Times New Roman"/>
                    <w:b/>
                    <w:sz w:val="18"/>
                    <w:szCs w:val="18"/>
                  </w:rPr>
                </w:pPr>
                <w:r w:rsidRPr="009A46BB">
                  <w:rPr>
                    <w:rFonts w:ascii="Times New Roman" w:eastAsia="Times New Roman" w:hAnsi="Times New Roman"/>
                    <w:b/>
                    <w:sz w:val="18"/>
                    <w:szCs w:val="18"/>
                  </w:rPr>
                  <w:t>0</w:t>
                </w:r>
              </w:p>
            </w:tc>
          </w:tr>
          <w:tr w:rsidR="6D83F0F4" w14:paraId="6231DD3B" w14:textId="77777777" w:rsidTr="006633FE">
            <w:trPr>
              <w:trHeight w:val="300"/>
            </w:trPr>
            <w:tc>
              <w:tcPr>
                <w:tcW w:w="580" w:type="pct"/>
                <w:tcMar>
                  <w:top w:w="15" w:type="dxa"/>
                  <w:left w:w="15" w:type="dxa"/>
                  <w:right w:w="15" w:type="dxa"/>
                </w:tcMar>
                <w:vAlign w:val="center"/>
              </w:tcPr>
              <w:p w14:paraId="672D269C" w14:textId="67E3B22C" w:rsidR="6D83F0F4" w:rsidRPr="009A46BB" w:rsidRDefault="6D83F0F4" w:rsidP="6D83F0F4">
                <w:pPr>
                  <w:spacing w:after="0"/>
                  <w:rPr>
                    <w:rFonts w:ascii="Times New Roman" w:hAnsi="Times New Roman"/>
                    <w:sz w:val="18"/>
                    <w:szCs w:val="18"/>
                  </w:rPr>
                </w:pPr>
                <w:r w:rsidRPr="009A46BB">
                  <w:rPr>
                    <w:rFonts w:ascii="Times New Roman" w:eastAsia="Times New Roman" w:hAnsi="Times New Roman"/>
                    <w:sz w:val="18"/>
                    <w:szCs w:val="18"/>
                  </w:rPr>
                  <w:t>9.1</w:t>
                </w:r>
              </w:p>
            </w:tc>
            <w:tc>
              <w:tcPr>
                <w:tcW w:w="298" w:type="pct"/>
                <w:tcMar>
                  <w:top w:w="15" w:type="dxa"/>
                  <w:left w:w="15" w:type="dxa"/>
                  <w:right w:w="15" w:type="dxa"/>
                </w:tcMar>
                <w:vAlign w:val="center"/>
              </w:tcPr>
              <w:p w14:paraId="2FFF64EF" w14:textId="03E99852" w:rsidR="6D83F0F4" w:rsidRPr="009A46BB" w:rsidRDefault="6D83F0F4" w:rsidP="6D83F0F4">
                <w:pPr>
                  <w:spacing w:after="0"/>
                  <w:jc w:val="center"/>
                  <w:rPr>
                    <w:rFonts w:ascii="Times New Roman" w:hAnsi="Times New Roman"/>
                    <w:sz w:val="18"/>
                    <w:szCs w:val="18"/>
                  </w:rPr>
                </w:pPr>
                <w:r w:rsidRPr="009A46BB">
                  <w:rPr>
                    <w:rFonts w:ascii="Times New Roman" w:eastAsia="Times New Roman" w:hAnsi="Times New Roman"/>
                    <w:sz w:val="18"/>
                    <w:szCs w:val="18"/>
                  </w:rPr>
                  <w:t>Cr</w:t>
                </w:r>
              </w:p>
            </w:tc>
            <w:tc>
              <w:tcPr>
                <w:tcW w:w="1490" w:type="pct"/>
                <w:tcMar>
                  <w:top w:w="15" w:type="dxa"/>
                  <w:left w:w="15" w:type="dxa"/>
                  <w:right w:w="15" w:type="dxa"/>
                </w:tcMar>
                <w:vAlign w:val="center"/>
              </w:tcPr>
              <w:p w14:paraId="7E70613C" w14:textId="16E0B884" w:rsidR="6D83F0F4" w:rsidRPr="009A46BB" w:rsidRDefault="6D83F0F4" w:rsidP="6D83F0F4">
                <w:pPr>
                  <w:spacing w:after="0"/>
                  <w:rPr>
                    <w:rFonts w:ascii="Times New Roman" w:hAnsi="Times New Roman"/>
                    <w:sz w:val="18"/>
                    <w:szCs w:val="18"/>
                  </w:rPr>
                </w:pPr>
                <w:r w:rsidRPr="009A46BB">
                  <w:rPr>
                    <w:rFonts w:ascii="Times New Roman" w:eastAsia="Times New Roman" w:hAnsi="Times New Roman"/>
                    <w:sz w:val="18"/>
                    <w:szCs w:val="18"/>
                  </w:rPr>
                  <w:t>PASIVOS CONTINGENTES</w:t>
                </w:r>
              </w:p>
            </w:tc>
            <w:tc>
              <w:tcPr>
                <w:tcW w:w="870" w:type="pct"/>
                <w:tcMar>
                  <w:top w:w="15" w:type="dxa"/>
                  <w:left w:w="15" w:type="dxa"/>
                  <w:right w:w="15" w:type="dxa"/>
                </w:tcMar>
                <w:vAlign w:val="center"/>
              </w:tcPr>
              <w:p w14:paraId="309A5FB7" w14:textId="3627CF86" w:rsidR="6D83F0F4" w:rsidRPr="009A46BB" w:rsidRDefault="6D83F0F4" w:rsidP="6D83F0F4">
                <w:pPr>
                  <w:spacing w:after="0"/>
                  <w:jc w:val="right"/>
                  <w:rPr>
                    <w:rFonts w:ascii="Times New Roman" w:hAnsi="Times New Roman"/>
                    <w:sz w:val="18"/>
                    <w:szCs w:val="18"/>
                  </w:rPr>
                </w:pPr>
                <w:r w:rsidRPr="009A46BB">
                  <w:rPr>
                    <w:rFonts w:ascii="Times New Roman" w:eastAsia="Times New Roman" w:hAnsi="Times New Roman"/>
                    <w:sz w:val="18"/>
                    <w:szCs w:val="18"/>
                  </w:rPr>
                  <w:t>19.510.832.709.318</w:t>
                </w:r>
              </w:p>
            </w:tc>
            <w:tc>
              <w:tcPr>
                <w:tcW w:w="870" w:type="pct"/>
                <w:tcMar>
                  <w:top w:w="15" w:type="dxa"/>
                  <w:left w:w="15" w:type="dxa"/>
                  <w:right w:w="15" w:type="dxa"/>
                </w:tcMar>
                <w:vAlign w:val="center"/>
              </w:tcPr>
              <w:p w14:paraId="01E11552" w14:textId="7C05CB52" w:rsidR="6D83F0F4" w:rsidRPr="009A46BB" w:rsidRDefault="6D83F0F4" w:rsidP="6D83F0F4">
                <w:pPr>
                  <w:spacing w:after="0"/>
                  <w:jc w:val="right"/>
                  <w:rPr>
                    <w:rFonts w:ascii="Times New Roman" w:hAnsi="Times New Roman"/>
                    <w:sz w:val="18"/>
                    <w:szCs w:val="18"/>
                  </w:rPr>
                </w:pPr>
                <w:r w:rsidRPr="009A46BB">
                  <w:rPr>
                    <w:rFonts w:ascii="Times New Roman" w:eastAsia="Times New Roman" w:hAnsi="Times New Roman"/>
                    <w:sz w:val="18"/>
                    <w:szCs w:val="18"/>
                  </w:rPr>
                  <w:t>7.402.942.522.527</w:t>
                </w:r>
              </w:p>
            </w:tc>
            <w:tc>
              <w:tcPr>
                <w:tcW w:w="892" w:type="pct"/>
                <w:tcMar>
                  <w:top w:w="15" w:type="dxa"/>
                  <w:left w:w="15" w:type="dxa"/>
                  <w:right w:w="15" w:type="dxa"/>
                </w:tcMar>
                <w:vAlign w:val="center"/>
              </w:tcPr>
              <w:p w14:paraId="576558EC" w14:textId="293EEB75" w:rsidR="6D83F0F4" w:rsidRPr="009A46BB" w:rsidRDefault="6D83F0F4" w:rsidP="6D83F0F4">
                <w:pPr>
                  <w:spacing w:after="0"/>
                  <w:jc w:val="right"/>
                  <w:rPr>
                    <w:rFonts w:ascii="Times New Roman" w:hAnsi="Times New Roman"/>
                    <w:sz w:val="18"/>
                    <w:szCs w:val="18"/>
                  </w:rPr>
                </w:pPr>
                <w:r w:rsidRPr="009A46BB">
                  <w:rPr>
                    <w:rFonts w:ascii="Times New Roman" w:eastAsia="Times New Roman" w:hAnsi="Times New Roman"/>
                    <w:sz w:val="18"/>
                    <w:szCs w:val="18"/>
                  </w:rPr>
                  <w:t>12.107.890.186.791</w:t>
                </w:r>
              </w:p>
            </w:tc>
          </w:tr>
          <w:tr w:rsidR="6D83F0F4" w14:paraId="450ECA1F" w14:textId="77777777" w:rsidTr="006633FE">
            <w:trPr>
              <w:trHeight w:val="285"/>
            </w:trPr>
            <w:tc>
              <w:tcPr>
                <w:tcW w:w="580" w:type="pct"/>
                <w:tcMar>
                  <w:top w:w="15" w:type="dxa"/>
                  <w:left w:w="15" w:type="dxa"/>
                  <w:right w:w="15" w:type="dxa"/>
                </w:tcMar>
                <w:vAlign w:val="center"/>
              </w:tcPr>
              <w:p w14:paraId="2A86743B" w14:textId="3BB0B894" w:rsidR="6D83F0F4" w:rsidRPr="009A46BB" w:rsidRDefault="6D83F0F4" w:rsidP="6D83F0F4">
                <w:pPr>
                  <w:spacing w:after="0"/>
                  <w:rPr>
                    <w:rFonts w:ascii="Times New Roman" w:hAnsi="Times New Roman"/>
                    <w:sz w:val="18"/>
                    <w:szCs w:val="18"/>
                  </w:rPr>
                </w:pPr>
                <w:r w:rsidRPr="009A46BB">
                  <w:rPr>
                    <w:rFonts w:ascii="Times New Roman" w:eastAsia="Times New Roman" w:hAnsi="Times New Roman"/>
                    <w:b/>
                    <w:sz w:val="18"/>
                    <w:szCs w:val="18"/>
                  </w:rPr>
                  <w:t>9.9</w:t>
                </w:r>
              </w:p>
            </w:tc>
            <w:tc>
              <w:tcPr>
                <w:tcW w:w="298" w:type="pct"/>
                <w:tcMar>
                  <w:top w:w="15" w:type="dxa"/>
                  <w:left w:w="15" w:type="dxa"/>
                  <w:right w:w="15" w:type="dxa"/>
                </w:tcMar>
                <w:vAlign w:val="center"/>
              </w:tcPr>
              <w:p w14:paraId="0FB4D48A" w14:textId="1567A4A7" w:rsidR="6D83F0F4" w:rsidRPr="009A46BB" w:rsidRDefault="6D83F0F4" w:rsidP="6D83F0F4">
                <w:pPr>
                  <w:spacing w:after="0"/>
                  <w:jc w:val="center"/>
                  <w:rPr>
                    <w:rFonts w:ascii="Times New Roman" w:hAnsi="Times New Roman"/>
                    <w:sz w:val="18"/>
                    <w:szCs w:val="18"/>
                  </w:rPr>
                </w:pPr>
                <w:r w:rsidRPr="009A46BB">
                  <w:rPr>
                    <w:rFonts w:ascii="Times New Roman" w:eastAsia="Times New Roman" w:hAnsi="Times New Roman"/>
                    <w:b/>
                    <w:sz w:val="18"/>
                    <w:szCs w:val="18"/>
                  </w:rPr>
                  <w:t>Db</w:t>
                </w:r>
              </w:p>
            </w:tc>
            <w:tc>
              <w:tcPr>
                <w:tcW w:w="1490" w:type="pct"/>
                <w:tcMar>
                  <w:top w:w="15" w:type="dxa"/>
                  <w:left w:w="15" w:type="dxa"/>
                  <w:right w:w="15" w:type="dxa"/>
                </w:tcMar>
                <w:vAlign w:val="center"/>
              </w:tcPr>
              <w:p w14:paraId="1B34279D" w14:textId="510DAC4D" w:rsidR="6D83F0F4" w:rsidRPr="009A46BB" w:rsidRDefault="6D83F0F4" w:rsidP="6D83F0F4">
                <w:pPr>
                  <w:spacing w:after="0"/>
                  <w:rPr>
                    <w:rFonts w:ascii="Times New Roman" w:hAnsi="Times New Roman"/>
                    <w:sz w:val="18"/>
                    <w:szCs w:val="18"/>
                  </w:rPr>
                </w:pPr>
                <w:r w:rsidRPr="009A46BB">
                  <w:rPr>
                    <w:rFonts w:ascii="Times New Roman" w:eastAsia="Times New Roman" w:hAnsi="Times New Roman"/>
                    <w:b/>
                    <w:sz w:val="18"/>
                    <w:szCs w:val="18"/>
                  </w:rPr>
                  <w:t>ACREEDORAS POR CONTRA (DB)</w:t>
                </w:r>
              </w:p>
            </w:tc>
            <w:tc>
              <w:tcPr>
                <w:tcW w:w="870" w:type="pct"/>
                <w:tcMar>
                  <w:top w:w="15" w:type="dxa"/>
                  <w:left w:w="15" w:type="dxa"/>
                  <w:right w:w="15" w:type="dxa"/>
                </w:tcMar>
                <w:vAlign w:val="center"/>
              </w:tcPr>
              <w:p w14:paraId="3A0614C5" w14:textId="698C3A28" w:rsidR="6D83F0F4" w:rsidRPr="009A46BB" w:rsidRDefault="6D83F0F4" w:rsidP="6D83F0F4">
                <w:pPr>
                  <w:spacing w:after="0"/>
                  <w:jc w:val="right"/>
                  <w:rPr>
                    <w:rFonts w:ascii="Times New Roman" w:hAnsi="Times New Roman"/>
                    <w:sz w:val="18"/>
                    <w:szCs w:val="18"/>
                  </w:rPr>
                </w:pPr>
                <w:r w:rsidRPr="009A46BB">
                  <w:rPr>
                    <w:rFonts w:ascii="Times New Roman" w:eastAsia="Times New Roman" w:hAnsi="Times New Roman"/>
                    <w:b/>
                    <w:sz w:val="18"/>
                    <w:szCs w:val="18"/>
                  </w:rPr>
                  <w:t>-19.510.832.709.318</w:t>
                </w:r>
              </w:p>
            </w:tc>
            <w:tc>
              <w:tcPr>
                <w:tcW w:w="870" w:type="pct"/>
                <w:tcMar>
                  <w:top w:w="15" w:type="dxa"/>
                  <w:left w:w="15" w:type="dxa"/>
                  <w:right w:w="15" w:type="dxa"/>
                </w:tcMar>
                <w:vAlign w:val="center"/>
              </w:tcPr>
              <w:p w14:paraId="311D8262" w14:textId="6761C343" w:rsidR="6D83F0F4" w:rsidRPr="009A46BB" w:rsidRDefault="6D83F0F4" w:rsidP="6D83F0F4">
                <w:pPr>
                  <w:spacing w:after="0"/>
                  <w:jc w:val="right"/>
                  <w:rPr>
                    <w:rFonts w:ascii="Times New Roman" w:hAnsi="Times New Roman"/>
                    <w:sz w:val="18"/>
                    <w:szCs w:val="18"/>
                  </w:rPr>
                </w:pPr>
                <w:r w:rsidRPr="009A46BB">
                  <w:rPr>
                    <w:rFonts w:ascii="Times New Roman" w:eastAsia="Times New Roman" w:hAnsi="Times New Roman"/>
                    <w:b/>
                    <w:sz w:val="18"/>
                    <w:szCs w:val="18"/>
                  </w:rPr>
                  <w:t>-7.402.942.522.527</w:t>
                </w:r>
              </w:p>
            </w:tc>
            <w:tc>
              <w:tcPr>
                <w:tcW w:w="892" w:type="pct"/>
                <w:tcMar>
                  <w:top w:w="15" w:type="dxa"/>
                  <w:left w:w="15" w:type="dxa"/>
                  <w:right w:w="15" w:type="dxa"/>
                </w:tcMar>
                <w:vAlign w:val="center"/>
              </w:tcPr>
              <w:p w14:paraId="52BDA2E1" w14:textId="0EB48F31" w:rsidR="6D83F0F4" w:rsidRPr="009A46BB" w:rsidRDefault="6D83F0F4" w:rsidP="6D83F0F4">
                <w:pPr>
                  <w:spacing w:after="0"/>
                  <w:jc w:val="right"/>
                  <w:rPr>
                    <w:rFonts w:ascii="Times New Roman" w:hAnsi="Times New Roman"/>
                    <w:sz w:val="18"/>
                    <w:szCs w:val="18"/>
                  </w:rPr>
                </w:pPr>
                <w:r w:rsidRPr="009A46BB">
                  <w:rPr>
                    <w:rFonts w:ascii="Times New Roman" w:eastAsia="Times New Roman" w:hAnsi="Times New Roman"/>
                    <w:b/>
                    <w:sz w:val="18"/>
                    <w:szCs w:val="18"/>
                  </w:rPr>
                  <w:t>-12.107.890.186.791</w:t>
                </w:r>
              </w:p>
            </w:tc>
          </w:tr>
          <w:tr w:rsidR="6D83F0F4" w14:paraId="6A30A49A" w14:textId="77777777" w:rsidTr="006633FE">
            <w:trPr>
              <w:trHeight w:val="300"/>
            </w:trPr>
            <w:tc>
              <w:tcPr>
                <w:tcW w:w="580" w:type="pct"/>
                <w:tcMar>
                  <w:top w:w="15" w:type="dxa"/>
                  <w:left w:w="15" w:type="dxa"/>
                  <w:right w:w="15" w:type="dxa"/>
                </w:tcMar>
                <w:vAlign w:val="center"/>
              </w:tcPr>
              <w:p w14:paraId="53349FEC" w14:textId="3D6E6362" w:rsidR="6D83F0F4" w:rsidRPr="009A46BB" w:rsidRDefault="6D83F0F4" w:rsidP="6D83F0F4">
                <w:pPr>
                  <w:spacing w:after="0"/>
                  <w:rPr>
                    <w:rFonts w:ascii="Times New Roman" w:hAnsi="Times New Roman"/>
                    <w:sz w:val="18"/>
                    <w:szCs w:val="18"/>
                  </w:rPr>
                </w:pPr>
                <w:r w:rsidRPr="009A46BB">
                  <w:rPr>
                    <w:rFonts w:ascii="Times New Roman" w:eastAsia="Times New Roman" w:hAnsi="Times New Roman"/>
                    <w:sz w:val="18"/>
                    <w:szCs w:val="18"/>
                  </w:rPr>
                  <w:t>9.9.05</w:t>
                </w:r>
              </w:p>
            </w:tc>
            <w:tc>
              <w:tcPr>
                <w:tcW w:w="298" w:type="pct"/>
                <w:tcMar>
                  <w:top w:w="15" w:type="dxa"/>
                  <w:left w:w="15" w:type="dxa"/>
                  <w:right w:w="15" w:type="dxa"/>
                </w:tcMar>
                <w:vAlign w:val="center"/>
              </w:tcPr>
              <w:p w14:paraId="7A0E04DB" w14:textId="676E6CC9" w:rsidR="6D83F0F4" w:rsidRPr="009A46BB" w:rsidRDefault="6D83F0F4" w:rsidP="6D83F0F4">
                <w:pPr>
                  <w:spacing w:after="0"/>
                  <w:jc w:val="center"/>
                  <w:rPr>
                    <w:rFonts w:ascii="Times New Roman" w:hAnsi="Times New Roman"/>
                    <w:sz w:val="18"/>
                    <w:szCs w:val="18"/>
                  </w:rPr>
                </w:pPr>
                <w:r w:rsidRPr="009A46BB">
                  <w:rPr>
                    <w:rFonts w:ascii="Times New Roman" w:eastAsia="Times New Roman" w:hAnsi="Times New Roman"/>
                    <w:sz w:val="18"/>
                    <w:szCs w:val="18"/>
                  </w:rPr>
                  <w:t>Db</w:t>
                </w:r>
              </w:p>
            </w:tc>
            <w:tc>
              <w:tcPr>
                <w:tcW w:w="1490" w:type="pct"/>
                <w:tcMar>
                  <w:top w:w="15" w:type="dxa"/>
                  <w:left w:w="15" w:type="dxa"/>
                  <w:right w:w="15" w:type="dxa"/>
                </w:tcMar>
                <w:vAlign w:val="center"/>
              </w:tcPr>
              <w:p w14:paraId="1956BBCA" w14:textId="21F4EFF9" w:rsidR="6D83F0F4" w:rsidRPr="009A46BB" w:rsidRDefault="6D83F0F4" w:rsidP="6D83F0F4">
                <w:pPr>
                  <w:spacing w:after="0"/>
                  <w:rPr>
                    <w:rFonts w:ascii="Times New Roman" w:hAnsi="Times New Roman"/>
                    <w:sz w:val="18"/>
                    <w:szCs w:val="18"/>
                  </w:rPr>
                </w:pPr>
                <w:r w:rsidRPr="009A46BB">
                  <w:rPr>
                    <w:rFonts w:ascii="Times New Roman" w:eastAsia="Times New Roman" w:hAnsi="Times New Roman"/>
                    <w:sz w:val="18"/>
                    <w:szCs w:val="18"/>
                  </w:rPr>
                  <w:t>Pasivos contingentes por contra (db)</w:t>
                </w:r>
              </w:p>
            </w:tc>
            <w:tc>
              <w:tcPr>
                <w:tcW w:w="870" w:type="pct"/>
                <w:tcMar>
                  <w:top w:w="15" w:type="dxa"/>
                  <w:left w:w="15" w:type="dxa"/>
                  <w:right w:w="15" w:type="dxa"/>
                </w:tcMar>
                <w:vAlign w:val="center"/>
              </w:tcPr>
              <w:p w14:paraId="611F5A99" w14:textId="1CA3AADF" w:rsidR="6D83F0F4" w:rsidRPr="009A46BB" w:rsidRDefault="6D83F0F4" w:rsidP="6D83F0F4">
                <w:pPr>
                  <w:spacing w:after="0"/>
                  <w:jc w:val="right"/>
                  <w:rPr>
                    <w:rFonts w:ascii="Times New Roman" w:hAnsi="Times New Roman"/>
                    <w:sz w:val="18"/>
                    <w:szCs w:val="18"/>
                  </w:rPr>
                </w:pPr>
                <w:r w:rsidRPr="009A46BB">
                  <w:rPr>
                    <w:rFonts w:ascii="Times New Roman" w:eastAsia="Times New Roman" w:hAnsi="Times New Roman"/>
                    <w:sz w:val="18"/>
                    <w:szCs w:val="18"/>
                  </w:rPr>
                  <w:t>-19.510.832.709.318</w:t>
                </w:r>
              </w:p>
            </w:tc>
            <w:tc>
              <w:tcPr>
                <w:tcW w:w="870" w:type="pct"/>
                <w:tcMar>
                  <w:top w:w="15" w:type="dxa"/>
                  <w:left w:w="15" w:type="dxa"/>
                  <w:right w:w="15" w:type="dxa"/>
                </w:tcMar>
                <w:vAlign w:val="center"/>
              </w:tcPr>
              <w:p w14:paraId="4614BD5B" w14:textId="11FAC175" w:rsidR="6D83F0F4" w:rsidRPr="009A46BB" w:rsidRDefault="6D83F0F4" w:rsidP="6D83F0F4">
                <w:pPr>
                  <w:spacing w:after="0"/>
                  <w:jc w:val="right"/>
                  <w:rPr>
                    <w:rFonts w:ascii="Times New Roman" w:hAnsi="Times New Roman"/>
                    <w:sz w:val="18"/>
                    <w:szCs w:val="18"/>
                  </w:rPr>
                </w:pPr>
                <w:r w:rsidRPr="009A46BB">
                  <w:rPr>
                    <w:rFonts w:ascii="Times New Roman" w:eastAsia="Times New Roman" w:hAnsi="Times New Roman"/>
                    <w:sz w:val="18"/>
                    <w:szCs w:val="18"/>
                  </w:rPr>
                  <w:t>-7.402.942.522.527</w:t>
                </w:r>
              </w:p>
            </w:tc>
            <w:tc>
              <w:tcPr>
                <w:tcW w:w="892" w:type="pct"/>
                <w:tcMar>
                  <w:top w:w="15" w:type="dxa"/>
                  <w:left w:w="15" w:type="dxa"/>
                  <w:right w:w="15" w:type="dxa"/>
                </w:tcMar>
                <w:vAlign w:val="center"/>
              </w:tcPr>
              <w:p w14:paraId="42B3D435" w14:textId="50D4F091" w:rsidR="6D83F0F4" w:rsidRPr="009A46BB" w:rsidRDefault="6D83F0F4" w:rsidP="6D83F0F4">
                <w:pPr>
                  <w:spacing w:after="0"/>
                  <w:jc w:val="right"/>
                  <w:rPr>
                    <w:rFonts w:ascii="Times New Roman" w:hAnsi="Times New Roman"/>
                    <w:sz w:val="18"/>
                    <w:szCs w:val="18"/>
                  </w:rPr>
                </w:pPr>
                <w:r w:rsidRPr="009A46BB">
                  <w:rPr>
                    <w:rFonts w:ascii="Times New Roman" w:eastAsia="Times New Roman" w:hAnsi="Times New Roman"/>
                    <w:sz w:val="18"/>
                    <w:szCs w:val="18"/>
                  </w:rPr>
                  <w:t>-12.107.890.186.791</w:t>
                </w:r>
              </w:p>
            </w:tc>
          </w:tr>
        </w:tbl>
        <w:p w14:paraId="52F030A6" w14:textId="597C1A64" w:rsidR="00B16389" w:rsidRPr="00931DCE" w:rsidRDefault="006E01F2" w:rsidP="00B16389">
          <w:pPr>
            <w:spacing w:after="0" w:line="240" w:lineRule="auto"/>
            <w:jc w:val="both"/>
            <w:rPr>
              <w:rFonts w:ascii="Times New Roman" w:hAnsi="Times New Roman"/>
              <w:sz w:val="14"/>
              <w:szCs w:val="14"/>
              <w:u w:val="single"/>
            </w:rPr>
          </w:pPr>
          <w:r w:rsidRPr="6D83F0F4">
            <w:rPr>
              <w:rFonts w:ascii="Times New Roman" w:hAnsi="Times New Roman"/>
              <w:sz w:val="14"/>
              <w:szCs w:val="14"/>
            </w:rPr>
            <w:t xml:space="preserve"> </w:t>
          </w:r>
          <w:r w:rsidR="00B16389" w:rsidRPr="6D83F0F4">
            <w:rPr>
              <w:rFonts w:ascii="Times New Roman" w:hAnsi="Times New Roman"/>
              <w:sz w:val="14"/>
              <w:szCs w:val="14"/>
            </w:rPr>
            <w:t>Cifras en pesos</w:t>
          </w:r>
        </w:p>
        <w:p w14:paraId="638732AF" w14:textId="77777777" w:rsidR="00B16389" w:rsidRPr="00931DCE" w:rsidRDefault="00B16389" w:rsidP="00B16389">
          <w:pPr>
            <w:spacing w:after="0" w:line="240" w:lineRule="auto"/>
            <w:jc w:val="both"/>
            <w:rPr>
              <w:rFonts w:ascii="Times New Roman" w:hAnsi="Times New Roman"/>
              <w:b/>
              <w:bCs/>
              <w:sz w:val="24"/>
              <w:szCs w:val="24"/>
            </w:rPr>
          </w:pPr>
        </w:p>
        <w:p w14:paraId="55F75182" w14:textId="04E46F9C" w:rsidR="607F0948" w:rsidRDefault="607F0948" w:rsidP="5E19F96C">
          <w:pPr>
            <w:spacing w:line="240" w:lineRule="auto"/>
            <w:ind w:right="-234"/>
            <w:jc w:val="both"/>
            <w:rPr>
              <w:rFonts w:ascii="Times New Roman" w:hAnsi="Times New Roman"/>
              <w:b/>
              <w:bCs/>
              <w:sz w:val="24"/>
              <w:szCs w:val="24"/>
            </w:rPr>
          </w:pPr>
          <w:r w:rsidRPr="5E19F96C">
            <w:rPr>
              <w:rFonts w:ascii="Times New Roman" w:hAnsi="Times New Roman"/>
              <w:b/>
              <w:bCs/>
              <w:sz w:val="24"/>
              <w:szCs w:val="24"/>
            </w:rPr>
            <w:t xml:space="preserve">Los Pasivos contingentes </w:t>
          </w:r>
          <w:r w:rsidRPr="5E19F96C">
            <w:rPr>
              <w:rFonts w:ascii="Times New Roman" w:hAnsi="Times New Roman"/>
              <w:sz w:val="24"/>
              <w:szCs w:val="24"/>
            </w:rPr>
            <w:t>del Grupo 91, fueron desarrollados en la Nota No. 25.</w:t>
          </w:r>
          <w:r w:rsidRPr="5E19F96C">
            <w:rPr>
              <w:rFonts w:ascii="Times New Roman" w:hAnsi="Times New Roman"/>
              <w:b/>
              <w:bCs/>
              <w:sz w:val="24"/>
              <w:szCs w:val="24"/>
            </w:rPr>
            <w:t xml:space="preserve"> </w:t>
          </w:r>
        </w:p>
        <w:p w14:paraId="2842F8B9" w14:textId="1BD571B2" w:rsidR="09F367D5" w:rsidRDefault="09F367D5" w:rsidP="09F367D5">
          <w:pPr>
            <w:pStyle w:val="Ttulo1"/>
            <w:rPr>
              <w:rFonts w:cs="Times New Roman"/>
            </w:rPr>
          </w:pPr>
        </w:p>
        <w:p w14:paraId="288B6BEB" w14:textId="718038BC" w:rsidR="09F367D5" w:rsidRDefault="09F367D5" w:rsidP="09F367D5">
          <w:pPr>
            <w:pStyle w:val="Ttulo1"/>
            <w:rPr>
              <w:rFonts w:cs="Times New Roman"/>
            </w:rPr>
          </w:pPr>
        </w:p>
        <w:p w14:paraId="3920E744" w14:textId="6FE591DF" w:rsidR="00945BB4" w:rsidRPr="00931DCE" w:rsidRDefault="009D66A3" w:rsidP="004A000E">
          <w:pPr>
            <w:pStyle w:val="Ttulo1"/>
            <w:rPr>
              <w:rFonts w:cs="Times New Roman"/>
            </w:rPr>
          </w:pPr>
          <w:bookmarkStart w:id="102" w:name="_Toc159952427"/>
          <w:r w:rsidRPr="00931DCE">
            <w:rPr>
              <w:rFonts w:cs="Times New Roman"/>
            </w:rPr>
            <w:t>NOTA 2</w:t>
          </w:r>
          <w:r w:rsidR="00663FE0" w:rsidRPr="00931DCE">
            <w:rPr>
              <w:rFonts w:cs="Times New Roman"/>
            </w:rPr>
            <w:t>7</w:t>
          </w:r>
          <w:r w:rsidRPr="00931DCE">
            <w:rPr>
              <w:rFonts w:cs="Times New Roman"/>
            </w:rPr>
            <w:t>. PATRIMONIO</w:t>
          </w:r>
          <w:bookmarkEnd w:id="102"/>
          <w:r w:rsidR="00014CA5" w:rsidRPr="00931DCE">
            <w:rPr>
              <w:rFonts w:cs="Times New Roman"/>
            </w:rPr>
            <w:t xml:space="preserve"> </w:t>
          </w:r>
        </w:p>
        <w:p w14:paraId="4A4CE2BE" w14:textId="77777777" w:rsidR="00666E3C" w:rsidRPr="00931DCE" w:rsidRDefault="00666E3C" w:rsidP="004A000E">
          <w:pPr>
            <w:spacing w:after="0" w:line="240" w:lineRule="auto"/>
            <w:jc w:val="both"/>
            <w:rPr>
              <w:rFonts w:ascii="Times New Roman" w:hAnsi="Times New Roman"/>
              <w:b/>
              <w:sz w:val="18"/>
              <w:szCs w:val="18"/>
            </w:rPr>
          </w:pPr>
        </w:p>
        <w:p w14:paraId="02A373FC" w14:textId="67BF9AC3" w:rsidR="00666E3C" w:rsidRPr="00931DCE" w:rsidRDefault="00666E3C" w:rsidP="004A000E">
          <w:pPr>
            <w:pStyle w:val="Ttulo2"/>
            <w:numPr>
              <w:ilvl w:val="0"/>
              <w:numId w:val="0"/>
            </w:numPr>
            <w:rPr>
              <w:rFonts w:cs="Times New Roman"/>
              <w:szCs w:val="22"/>
            </w:rPr>
          </w:pPr>
          <w:bookmarkStart w:id="103" w:name="_Toc159952428"/>
          <w:r w:rsidRPr="00931DCE">
            <w:rPr>
              <w:rFonts w:cs="Times New Roman"/>
              <w:szCs w:val="22"/>
            </w:rPr>
            <w:t>Composición</w:t>
          </w:r>
          <w:bookmarkEnd w:id="103"/>
        </w:p>
        <w:p w14:paraId="21300AA3" w14:textId="57D19C8F" w:rsidR="004706FC" w:rsidRPr="00931DCE" w:rsidRDefault="004706FC" w:rsidP="004A000E">
          <w:pPr>
            <w:autoSpaceDE w:val="0"/>
            <w:autoSpaceDN w:val="0"/>
            <w:adjustRightInd w:val="0"/>
            <w:spacing w:after="0" w:line="240" w:lineRule="auto"/>
            <w:jc w:val="both"/>
            <w:rPr>
              <w:rFonts w:ascii="Times New Roman" w:hAnsi="Times New Roman"/>
              <w:b/>
              <w:sz w:val="18"/>
              <w:szCs w:val="18"/>
              <w:lang w:eastAsia="es-CO"/>
            </w:rPr>
          </w:pPr>
        </w:p>
        <w:tbl>
          <w:tblPr>
            <w:tblW w:w="0" w:type="auto"/>
            <w:tblLayout w:type="fixed"/>
            <w:tblLook w:val="06A0" w:firstRow="1" w:lastRow="0" w:firstColumn="1" w:lastColumn="0" w:noHBand="1" w:noVBand="1"/>
          </w:tblPr>
          <w:tblGrid>
            <w:gridCol w:w="1020"/>
            <w:gridCol w:w="527"/>
            <w:gridCol w:w="2585"/>
            <w:gridCol w:w="1614"/>
            <w:gridCol w:w="1614"/>
            <w:gridCol w:w="1611"/>
          </w:tblGrid>
          <w:tr w:rsidR="09F367D5" w:rsidRPr="00235607" w14:paraId="58F71830" w14:textId="77777777" w:rsidTr="09F367D5">
            <w:trPr>
              <w:trHeight w:val="300"/>
            </w:trPr>
            <w:tc>
              <w:tcPr>
                <w:tcW w:w="4132"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5" w:type="dxa"/>
                  <w:left w:w="15" w:type="dxa"/>
                  <w:right w:w="15" w:type="dxa"/>
                </w:tcMar>
                <w:vAlign w:val="center"/>
              </w:tcPr>
              <w:p w14:paraId="02A7E9D7" w14:textId="6C74F9D2" w:rsidR="09F367D5" w:rsidRPr="00235607" w:rsidRDefault="09F367D5" w:rsidP="09F367D5">
                <w:pPr>
                  <w:spacing w:after="0"/>
                  <w:jc w:val="center"/>
                  <w:rPr>
                    <w:sz w:val="18"/>
                    <w:szCs w:val="18"/>
                  </w:rPr>
                </w:pPr>
                <w:r w:rsidRPr="00235607">
                  <w:rPr>
                    <w:rFonts w:ascii="Times New Roman" w:eastAsia="Times New Roman" w:hAnsi="Times New Roman"/>
                    <w:b/>
                    <w:bCs/>
                    <w:sz w:val="18"/>
                    <w:szCs w:val="18"/>
                  </w:rPr>
                  <w:t>DESCRIPCIÓN</w:t>
                </w:r>
              </w:p>
            </w:tc>
            <w:tc>
              <w:tcPr>
                <w:tcW w:w="3228" w:type="dxa"/>
                <w:gridSpan w:val="2"/>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Mar>
                  <w:top w:w="15" w:type="dxa"/>
                  <w:left w:w="15" w:type="dxa"/>
                  <w:right w:w="15" w:type="dxa"/>
                </w:tcMar>
                <w:vAlign w:val="center"/>
              </w:tcPr>
              <w:p w14:paraId="55EDC3F5" w14:textId="33973062" w:rsidR="09F367D5" w:rsidRPr="00235607" w:rsidRDefault="09F367D5" w:rsidP="09F367D5">
                <w:pPr>
                  <w:spacing w:after="0"/>
                  <w:jc w:val="center"/>
                  <w:rPr>
                    <w:sz w:val="18"/>
                    <w:szCs w:val="18"/>
                  </w:rPr>
                </w:pPr>
                <w:r w:rsidRPr="00235607">
                  <w:rPr>
                    <w:rFonts w:ascii="Times New Roman" w:eastAsia="Times New Roman" w:hAnsi="Times New Roman"/>
                    <w:b/>
                    <w:bCs/>
                    <w:sz w:val="18"/>
                    <w:szCs w:val="18"/>
                  </w:rPr>
                  <w:t>SALDOS A CORTES DE VIGENCIA</w:t>
                </w:r>
              </w:p>
            </w:tc>
            <w:tc>
              <w:tcPr>
                <w:tcW w:w="1611"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Mar>
                  <w:top w:w="15" w:type="dxa"/>
                  <w:left w:w="15" w:type="dxa"/>
                  <w:right w:w="15" w:type="dxa"/>
                </w:tcMar>
                <w:vAlign w:val="center"/>
              </w:tcPr>
              <w:p w14:paraId="0C1AB76B" w14:textId="4E5BBDFB" w:rsidR="09F367D5" w:rsidRPr="00235607" w:rsidRDefault="09F367D5" w:rsidP="09F367D5">
                <w:pPr>
                  <w:spacing w:after="0"/>
                  <w:jc w:val="center"/>
                  <w:rPr>
                    <w:sz w:val="18"/>
                    <w:szCs w:val="18"/>
                  </w:rPr>
                </w:pPr>
                <w:r w:rsidRPr="00235607">
                  <w:rPr>
                    <w:rFonts w:ascii="Times New Roman" w:eastAsia="Times New Roman" w:hAnsi="Times New Roman"/>
                    <w:b/>
                    <w:bCs/>
                    <w:sz w:val="18"/>
                    <w:szCs w:val="18"/>
                  </w:rPr>
                  <w:t>VARIACIÓN</w:t>
                </w:r>
              </w:p>
            </w:tc>
          </w:tr>
          <w:tr w:rsidR="09F367D5" w:rsidRPr="00235607" w14:paraId="4762C0B6" w14:textId="77777777" w:rsidTr="09F367D5">
            <w:trPr>
              <w:trHeight w:val="420"/>
            </w:trPr>
            <w:tc>
              <w:tcPr>
                <w:tcW w:w="10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5" w:type="dxa"/>
                  <w:left w:w="15" w:type="dxa"/>
                  <w:right w:w="15" w:type="dxa"/>
                </w:tcMar>
                <w:vAlign w:val="center"/>
              </w:tcPr>
              <w:p w14:paraId="104EEE37" w14:textId="29E58CDE" w:rsidR="09F367D5" w:rsidRPr="00235607" w:rsidRDefault="09F367D5" w:rsidP="09F367D5">
                <w:pPr>
                  <w:spacing w:after="0"/>
                  <w:jc w:val="center"/>
                  <w:rPr>
                    <w:sz w:val="18"/>
                    <w:szCs w:val="18"/>
                  </w:rPr>
                </w:pPr>
                <w:r w:rsidRPr="00235607">
                  <w:rPr>
                    <w:rFonts w:ascii="Times New Roman" w:eastAsia="Times New Roman" w:hAnsi="Times New Roman"/>
                    <w:b/>
                    <w:bCs/>
                    <w:sz w:val="18"/>
                    <w:szCs w:val="18"/>
                  </w:rPr>
                  <w:t>CÓDIGO CONTABLE</w:t>
                </w:r>
              </w:p>
            </w:tc>
            <w:tc>
              <w:tcPr>
                <w:tcW w:w="527"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Mar>
                  <w:top w:w="15" w:type="dxa"/>
                  <w:left w:w="15" w:type="dxa"/>
                  <w:right w:w="15" w:type="dxa"/>
                </w:tcMar>
                <w:vAlign w:val="center"/>
              </w:tcPr>
              <w:p w14:paraId="23C39528" w14:textId="6723C3DE" w:rsidR="09F367D5" w:rsidRPr="00235607" w:rsidRDefault="09F367D5" w:rsidP="09F367D5">
                <w:pPr>
                  <w:spacing w:after="0"/>
                  <w:jc w:val="center"/>
                  <w:rPr>
                    <w:sz w:val="18"/>
                    <w:szCs w:val="18"/>
                  </w:rPr>
                </w:pPr>
                <w:r w:rsidRPr="00235607">
                  <w:rPr>
                    <w:rFonts w:ascii="Times New Roman" w:eastAsia="Times New Roman" w:hAnsi="Times New Roman"/>
                    <w:b/>
                    <w:bCs/>
                    <w:sz w:val="18"/>
                    <w:szCs w:val="18"/>
                  </w:rPr>
                  <w:t>NAT</w:t>
                </w:r>
              </w:p>
            </w:tc>
            <w:tc>
              <w:tcPr>
                <w:tcW w:w="2585"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Mar>
                  <w:top w:w="15" w:type="dxa"/>
                  <w:left w:w="15" w:type="dxa"/>
                  <w:right w:w="15" w:type="dxa"/>
                </w:tcMar>
                <w:vAlign w:val="center"/>
              </w:tcPr>
              <w:p w14:paraId="7C1497B1" w14:textId="55C90F59" w:rsidR="09F367D5" w:rsidRPr="00235607" w:rsidRDefault="09F367D5" w:rsidP="09F367D5">
                <w:pPr>
                  <w:spacing w:after="0"/>
                  <w:jc w:val="center"/>
                  <w:rPr>
                    <w:sz w:val="18"/>
                    <w:szCs w:val="18"/>
                  </w:rPr>
                </w:pPr>
                <w:r w:rsidRPr="00235607">
                  <w:rPr>
                    <w:rFonts w:ascii="Times New Roman" w:eastAsia="Times New Roman" w:hAnsi="Times New Roman"/>
                    <w:b/>
                    <w:bCs/>
                    <w:sz w:val="18"/>
                    <w:szCs w:val="18"/>
                  </w:rPr>
                  <w:t>CONCEPTO</w:t>
                </w:r>
              </w:p>
            </w:tc>
            <w:tc>
              <w:tcPr>
                <w:tcW w:w="16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5" w:type="dxa"/>
                  <w:left w:w="15" w:type="dxa"/>
                  <w:right w:w="15" w:type="dxa"/>
                </w:tcMar>
                <w:vAlign w:val="center"/>
              </w:tcPr>
              <w:p w14:paraId="3141E19A" w14:textId="03EF6D01" w:rsidR="09F367D5" w:rsidRPr="00235607" w:rsidRDefault="09F367D5" w:rsidP="09F367D5">
                <w:pPr>
                  <w:spacing w:after="0"/>
                  <w:jc w:val="center"/>
                  <w:rPr>
                    <w:sz w:val="18"/>
                    <w:szCs w:val="18"/>
                  </w:rPr>
                </w:pPr>
                <w:r w:rsidRPr="00235607">
                  <w:rPr>
                    <w:rFonts w:ascii="Times New Roman" w:eastAsia="Times New Roman" w:hAnsi="Times New Roman"/>
                    <w:b/>
                    <w:bCs/>
                    <w:sz w:val="18"/>
                    <w:szCs w:val="18"/>
                  </w:rPr>
                  <w:t xml:space="preserve">2023 </w:t>
                </w:r>
              </w:p>
            </w:tc>
            <w:tc>
              <w:tcPr>
                <w:tcW w:w="1614"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Mar>
                  <w:top w:w="15" w:type="dxa"/>
                  <w:left w:w="15" w:type="dxa"/>
                  <w:right w:w="15" w:type="dxa"/>
                </w:tcMar>
                <w:vAlign w:val="center"/>
              </w:tcPr>
              <w:p w14:paraId="5575D482" w14:textId="662D6E41" w:rsidR="09F367D5" w:rsidRPr="00235607" w:rsidRDefault="09F367D5" w:rsidP="09F367D5">
                <w:pPr>
                  <w:spacing w:after="0"/>
                  <w:jc w:val="center"/>
                  <w:rPr>
                    <w:sz w:val="18"/>
                    <w:szCs w:val="18"/>
                  </w:rPr>
                </w:pPr>
                <w:r w:rsidRPr="00235607">
                  <w:rPr>
                    <w:rFonts w:ascii="Times New Roman" w:eastAsia="Times New Roman" w:hAnsi="Times New Roman"/>
                    <w:b/>
                    <w:bCs/>
                    <w:sz w:val="18"/>
                    <w:szCs w:val="18"/>
                  </w:rPr>
                  <w:t xml:space="preserve">2022 </w:t>
                </w:r>
              </w:p>
            </w:tc>
            <w:tc>
              <w:tcPr>
                <w:tcW w:w="16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5" w:type="dxa"/>
                  <w:left w:w="15" w:type="dxa"/>
                  <w:right w:w="15" w:type="dxa"/>
                </w:tcMar>
                <w:vAlign w:val="center"/>
              </w:tcPr>
              <w:p w14:paraId="0D44E293" w14:textId="65CE5B47" w:rsidR="09F367D5" w:rsidRPr="00235607" w:rsidRDefault="09F367D5" w:rsidP="09F367D5">
                <w:pPr>
                  <w:spacing w:after="0"/>
                  <w:jc w:val="center"/>
                  <w:rPr>
                    <w:sz w:val="18"/>
                    <w:szCs w:val="18"/>
                  </w:rPr>
                </w:pPr>
                <w:r w:rsidRPr="00235607">
                  <w:rPr>
                    <w:rFonts w:ascii="Times New Roman" w:eastAsia="Times New Roman" w:hAnsi="Times New Roman"/>
                    <w:b/>
                    <w:bCs/>
                    <w:sz w:val="18"/>
                    <w:szCs w:val="18"/>
                  </w:rPr>
                  <w:t>VALOR VARIACIÓN</w:t>
                </w:r>
              </w:p>
            </w:tc>
          </w:tr>
          <w:tr w:rsidR="09F367D5" w:rsidRPr="00235607" w14:paraId="6AEEE1EB" w14:textId="77777777" w:rsidTr="09F367D5">
            <w:trPr>
              <w:trHeight w:val="450"/>
            </w:trPr>
            <w:tc>
              <w:tcPr>
                <w:tcW w:w="10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5" w:type="dxa"/>
                  <w:left w:w="15" w:type="dxa"/>
                  <w:right w:w="15" w:type="dxa"/>
                </w:tcMar>
                <w:vAlign w:val="center"/>
              </w:tcPr>
              <w:p w14:paraId="6E844ECB" w14:textId="5FFC9437" w:rsidR="09F367D5" w:rsidRPr="00235607" w:rsidRDefault="09F367D5" w:rsidP="09F367D5">
                <w:pPr>
                  <w:spacing w:after="0"/>
                  <w:rPr>
                    <w:sz w:val="18"/>
                    <w:szCs w:val="18"/>
                  </w:rPr>
                </w:pPr>
                <w:r w:rsidRPr="00235607">
                  <w:rPr>
                    <w:rFonts w:ascii="Times New Roman" w:eastAsia="Times New Roman" w:hAnsi="Times New Roman"/>
                    <w:b/>
                    <w:bCs/>
                    <w:sz w:val="18"/>
                    <w:szCs w:val="18"/>
                  </w:rPr>
                  <w:t>3.1</w:t>
                </w:r>
              </w:p>
            </w:tc>
            <w:tc>
              <w:tcPr>
                <w:tcW w:w="527"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Mar>
                  <w:top w:w="15" w:type="dxa"/>
                  <w:left w:w="15" w:type="dxa"/>
                  <w:right w:w="15" w:type="dxa"/>
                </w:tcMar>
                <w:vAlign w:val="center"/>
              </w:tcPr>
              <w:p w14:paraId="41B83408" w14:textId="296292BA" w:rsidR="09F367D5" w:rsidRPr="00235607" w:rsidRDefault="09F367D5" w:rsidP="09F367D5">
                <w:pPr>
                  <w:spacing w:after="0"/>
                  <w:jc w:val="center"/>
                  <w:rPr>
                    <w:sz w:val="18"/>
                    <w:szCs w:val="18"/>
                  </w:rPr>
                </w:pPr>
                <w:r w:rsidRPr="00235607">
                  <w:rPr>
                    <w:rFonts w:ascii="Times New Roman" w:eastAsia="Times New Roman" w:hAnsi="Times New Roman"/>
                    <w:b/>
                    <w:bCs/>
                    <w:sz w:val="18"/>
                    <w:szCs w:val="18"/>
                  </w:rPr>
                  <w:t>Cr</w:t>
                </w:r>
              </w:p>
            </w:tc>
            <w:tc>
              <w:tcPr>
                <w:tcW w:w="2585"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Mar>
                  <w:top w:w="15" w:type="dxa"/>
                  <w:left w:w="15" w:type="dxa"/>
                  <w:right w:w="15" w:type="dxa"/>
                </w:tcMar>
                <w:vAlign w:val="center"/>
              </w:tcPr>
              <w:p w14:paraId="036E2211" w14:textId="7FE58A11" w:rsidR="09F367D5" w:rsidRPr="00235607" w:rsidRDefault="09F367D5" w:rsidP="09F367D5">
                <w:pPr>
                  <w:spacing w:after="0"/>
                  <w:jc w:val="center"/>
                  <w:rPr>
                    <w:sz w:val="18"/>
                    <w:szCs w:val="18"/>
                  </w:rPr>
                </w:pPr>
                <w:r w:rsidRPr="00235607">
                  <w:rPr>
                    <w:rFonts w:ascii="Times New Roman" w:eastAsia="Times New Roman" w:hAnsi="Times New Roman"/>
                    <w:b/>
                    <w:bCs/>
                    <w:sz w:val="18"/>
                    <w:szCs w:val="18"/>
                  </w:rPr>
                  <w:t>PATRIMONIO DE LAS ENTIDADES DE GOBIERNO</w:t>
                </w:r>
              </w:p>
            </w:tc>
            <w:tc>
              <w:tcPr>
                <w:tcW w:w="16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5" w:type="dxa"/>
                  <w:left w:w="15" w:type="dxa"/>
                  <w:right w:w="15" w:type="dxa"/>
                </w:tcMar>
                <w:vAlign w:val="center"/>
              </w:tcPr>
              <w:p w14:paraId="1C5DD2B6" w14:textId="4782D52B" w:rsidR="09F367D5" w:rsidRPr="00235607" w:rsidRDefault="09F367D5" w:rsidP="09F367D5">
                <w:pPr>
                  <w:spacing w:after="0"/>
                  <w:jc w:val="right"/>
                  <w:rPr>
                    <w:sz w:val="18"/>
                    <w:szCs w:val="18"/>
                  </w:rPr>
                </w:pPr>
                <w:r w:rsidRPr="00235607">
                  <w:rPr>
                    <w:rFonts w:ascii="Times New Roman" w:eastAsia="Times New Roman" w:hAnsi="Times New Roman"/>
                    <w:b/>
                    <w:bCs/>
                    <w:sz w:val="18"/>
                    <w:szCs w:val="18"/>
                  </w:rPr>
                  <w:t>33.485.939.967.168</w:t>
                </w:r>
              </w:p>
            </w:tc>
            <w:tc>
              <w:tcPr>
                <w:tcW w:w="16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5" w:type="dxa"/>
                  <w:left w:w="15" w:type="dxa"/>
                  <w:right w:w="15" w:type="dxa"/>
                </w:tcMar>
                <w:vAlign w:val="center"/>
              </w:tcPr>
              <w:p w14:paraId="1774C793" w14:textId="43B566D4" w:rsidR="09F367D5" w:rsidRPr="00235607" w:rsidRDefault="09F367D5" w:rsidP="09F367D5">
                <w:pPr>
                  <w:spacing w:after="0"/>
                  <w:jc w:val="right"/>
                  <w:rPr>
                    <w:sz w:val="18"/>
                    <w:szCs w:val="18"/>
                  </w:rPr>
                </w:pPr>
                <w:r w:rsidRPr="00235607">
                  <w:rPr>
                    <w:rFonts w:ascii="Times New Roman" w:eastAsia="Times New Roman" w:hAnsi="Times New Roman"/>
                    <w:b/>
                    <w:bCs/>
                    <w:sz w:val="18"/>
                    <w:szCs w:val="18"/>
                  </w:rPr>
                  <w:t>30.915.144.208.95</w:t>
                </w:r>
                <w:r w:rsidR="00BD760C">
                  <w:rPr>
                    <w:rFonts w:ascii="Times New Roman" w:eastAsia="Times New Roman" w:hAnsi="Times New Roman"/>
                    <w:b/>
                    <w:bCs/>
                    <w:sz w:val="18"/>
                    <w:szCs w:val="18"/>
                  </w:rPr>
                  <w:t>6</w:t>
                </w:r>
              </w:p>
            </w:tc>
            <w:tc>
              <w:tcPr>
                <w:tcW w:w="16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5" w:type="dxa"/>
                  <w:left w:w="15" w:type="dxa"/>
                  <w:right w:w="15" w:type="dxa"/>
                </w:tcMar>
                <w:vAlign w:val="center"/>
              </w:tcPr>
              <w:p w14:paraId="0BE83653" w14:textId="2F4C2E61" w:rsidR="09F367D5" w:rsidRPr="00235607" w:rsidRDefault="09F367D5" w:rsidP="09F367D5">
                <w:pPr>
                  <w:spacing w:after="0"/>
                  <w:jc w:val="right"/>
                  <w:rPr>
                    <w:sz w:val="18"/>
                    <w:szCs w:val="18"/>
                  </w:rPr>
                </w:pPr>
                <w:r w:rsidRPr="00235607">
                  <w:rPr>
                    <w:rFonts w:ascii="Times New Roman" w:eastAsia="Times New Roman" w:hAnsi="Times New Roman"/>
                    <w:b/>
                    <w:bCs/>
                    <w:sz w:val="18"/>
                    <w:szCs w:val="18"/>
                  </w:rPr>
                  <w:t>2.570.795.758.21</w:t>
                </w:r>
                <w:r w:rsidR="00BD760C">
                  <w:rPr>
                    <w:rFonts w:ascii="Times New Roman" w:eastAsia="Times New Roman" w:hAnsi="Times New Roman"/>
                    <w:b/>
                    <w:bCs/>
                    <w:sz w:val="18"/>
                    <w:szCs w:val="18"/>
                  </w:rPr>
                  <w:t>2</w:t>
                </w:r>
              </w:p>
            </w:tc>
          </w:tr>
          <w:tr w:rsidR="09F367D5" w:rsidRPr="00235607" w14:paraId="49A46BC8" w14:textId="77777777" w:rsidTr="09F367D5">
            <w:trPr>
              <w:trHeight w:val="300"/>
            </w:trPr>
            <w:tc>
              <w:tcPr>
                <w:tcW w:w="10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5" w:type="dxa"/>
                  <w:left w:w="15" w:type="dxa"/>
                  <w:right w:w="15" w:type="dxa"/>
                </w:tcMar>
                <w:vAlign w:val="center"/>
              </w:tcPr>
              <w:p w14:paraId="313A5662" w14:textId="5E877F1C" w:rsidR="09F367D5" w:rsidRPr="00235607" w:rsidRDefault="09F367D5" w:rsidP="09F367D5">
                <w:pPr>
                  <w:spacing w:after="0"/>
                  <w:rPr>
                    <w:sz w:val="18"/>
                    <w:szCs w:val="18"/>
                  </w:rPr>
                </w:pPr>
                <w:r w:rsidRPr="00235607">
                  <w:rPr>
                    <w:rFonts w:ascii="Times New Roman" w:eastAsia="Times New Roman" w:hAnsi="Times New Roman"/>
                    <w:sz w:val="18"/>
                    <w:szCs w:val="18"/>
                  </w:rPr>
                  <w:t>3.1.05</w:t>
                </w:r>
              </w:p>
            </w:tc>
            <w:tc>
              <w:tcPr>
                <w:tcW w:w="527"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Mar>
                  <w:top w:w="15" w:type="dxa"/>
                  <w:left w:w="15" w:type="dxa"/>
                  <w:right w:w="15" w:type="dxa"/>
                </w:tcMar>
                <w:vAlign w:val="center"/>
              </w:tcPr>
              <w:p w14:paraId="5BC83673" w14:textId="21EBF4D4" w:rsidR="09F367D5" w:rsidRPr="00235607" w:rsidRDefault="09F367D5" w:rsidP="09F367D5">
                <w:pPr>
                  <w:spacing w:after="0"/>
                  <w:jc w:val="center"/>
                  <w:rPr>
                    <w:sz w:val="18"/>
                    <w:szCs w:val="18"/>
                  </w:rPr>
                </w:pPr>
                <w:r w:rsidRPr="00235607">
                  <w:rPr>
                    <w:rFonts w:ascii="Times New Roman" w:eastAsia="Times New Roman" w:hAnsi="Times New Roman"/>
                    <w:sz w:val="18"/>
                    <w:szCs w:val="18"/>
                  </w:rPr>
                  <w:t>Cr</w:t>
                </w:r>
              </w:p>
            </w:tc>
            <w:tc>
              <w:tcPr>
                <w:tcW w:w="2585"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Mar>
                  <w:top w:w="15" w:type="dxa"/>
                  <w:left w:w="15" w:type="dxa"/>
                  <w:right w:w="15" w:type="dxa"/>
                </w:tcMar>
                <w:vAlign w:val="center"/>
              </w:tcPr>
              <w:p w14:paraId="67F7D0BD" w14:textId="16E43DDC" w:rsidR="09F367D5" w:rsidRPr="00235607" w:rsidRDefault="09F367D5" w:rsidP="09F367D5">
                <w:pPr>
                  <w:spacing w:after="0"/>
                  <w:rPr>
                    <w:sz w:val="18"/>
                    <w:szCs w:val="18"/>
                  </w:rPr>
                </w:pPr>
                <w:r w:rsidRPr="00235607">
                  <w:rPr>
                    <w:rFonts w:ascii="Times New Roman" w:eastAsia="Times New Roman" w:hAnsi="Times New Roman"/>
                    <w:sz w:val="18"/>
                    <w:szCs w:val="18"/>
                  </w:rPr>
                  <w:t>Capital fiscal</w:t>
                </w:r>
              </w:p>
            </w:tc>
            <w:tc>
              <w:tcPr>
                <w:tcW w:w="16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5" w:type="dxa"/>
                  <w:left w:w="15" w:type="dxa"/>
                  <w:right w:w="15" w:type="dxa"/>
                </w:tcMar>
                <w:vAlign w:val="center"/>
              </w:tcPr>
              <w:p w14:paraId="4DA75D4C" w14:textId="3BE86C45" w:rsidR="09F367D5" w:rsidRPr="00235607" w:rsidRDefault="09F367D5" w:rsidP="09F367D5">
                <w:pPr>
                  <w:spacing w:after="0"/>
                  <w:jc w:val="right"/>
                  <w:rPr>
                    <w:sz w:val="18"/>
                    <w:szCs w:val="18"/>
                  </w:rPr>
                </w:pPr>
                <w:r w:rsidRPr="00235607">
                  <w:rPr>
                    <w:rFonts w:ascii="Times New Roman" w:eastAsia="Times New Roman" w:hAnsi="Times New Roman"/>
                    <w:sz w:val="18"/>
                    <w:szCs w:val="18"/>
                  </w:rPr>
                  <w:t>13.090.486.611.979</w:t>
                </w:r>
              </w:p>
            </w:tc>
            <w:tc>
              <w:tcPr>
                <w:tcW w:w="16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5" w:type="dxa"/>
                  <w:left w:w="15" w:type="dxa"/>
                  <w:right w:w="15" w:type="dxa"/>
                </w:tcMar>
                <w:vAlign w:val="center"/>
              </w:tcPr>
              <w:p w14:paraId="68F68C6C" w14:textId="49F62851" w:rsidR="09F367D5" w:rsidRPr="00235607" w:rsidRDefault="09F367D5" w:rsidP="09F367D5">
                <w:pPr>
                  <w:spacing w:after="0"/>
                  <w:jc w:val="right"/>
                  <w:rPr>
                    <w:sz w:val="18"/>
                    <w:szCs w:val="18"/>
                  </w:rPr>
                </w:pPr>
                <w:r w:rsidRPr="00235607">
                  <w:rPr>
                    <w:rFonts w:ascii="Times New Roman" w:eastAsia="Times New Roman" w:hAnsi="Times New Roman"/>
                    <w:sz w:val="18"/>
                    <w:szCs w:val="18"/>
                  </w:rPr>
                  <w:t>13.090.486.611.979</w:t>
                </w:r>
              </w:p>
            </w:tc>
            <w:tc>
              <w:tcPr>
                <w:tcW w:w="16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5" w:type="dxa"/>
                  <w:left w:w="15" w:type="dxa"/>
                  <w:right w:w="15" w:type="dxa"/>
                </w:tcMar>
                <w:vAlign w:val="center"/>
              </w:tcPr>
              <w:p w14:paraId="0CC52633" w14:textId="25B8A92C" w:rsidR="09F367D5" w:rsidRPr="00235607" w:rsidRDefault="09F367D5" w:rsidP="09F367D5">
                <w:pPr>
                  <w:spacing w:after="0"/>
                  <w:jc w:val="right"/>
                  <w:rPr>
                    <w:sz w:val="18"/>
                    <w:szCs w:val="18"/>
                  </w:rPr>
                </w:pPr>
                <w:r w:rsidRPr="00235607">
                  <w:rPr>
                    <w:rFonts w:ascii="Times New Roman" w:eastAsia="Times New Roman" w:hAnsi="Times New Roman"/>
                    <w:sz w:val="18"/>
                    <w:szCs w:val="18"/>
                  </w:rPr>
                  <w:t>0</w:t>
                </w:r>
              </w:p>
            </w:tc>
          </w:tr>
          <w:tr w:rsidR="09F367D5" w:rsidRPr="00235607" w14:paraId="155B996C" w14:textId="77777777" w:rsidTr="09F367D5">
            <w:trPr>
              <w:trHeight w:val="300"/>
            </w:trPr>
            <w:tc>
              <w:tcPr>
                <w:tcW w:w="10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5" w:type="dxa"/>
                  <w:left w:w="15" w:type="dxa"/>
                  <w:right w:w="15" w:type="dxa"/>
                </w:tcMar>
                <w:vAlign w:val="center"/>
              </w:tcPr>
              <w:p w14:paraId="634AA384" w14:textId="058650C5" w:rsidR="09F367D5" w:rsidRPr="00235607" w:rsidRDefault="09F367D5" w:rsidP="09F367D5">
                <w:pPr>
                  <w:spacing w:after="0"/>
                  <w:rPr>
                    <w:sz w:val="18"/>
                    <w:szCs w:val="18"/>
                  </w:rPr>
                </w:pPr>
                <w:r w:rsidRPr="00235607">
                  <w:rPr>
                    <w:rFonts w:ascii="Times New Roman" w:eastAsia="Times New Roman" w:hAnsi="Times New Roman"/>
                    <w:sz w:val="18"/>
                    <w:szCs w:val="18"/>
                  </w:rPr>
                  <w:t>3.1.09</w:t>
                </w:r>
              </w:p>
            </w:tc>
            <w:tc>
              <w:tcPr>
                <w:tcW w:w="527"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Mar>
                  <w:top w:w="15" w:type="dxa"/>
                  <w:left w:w="15" w:type="dxa"/>
                  <w:right w:w="15" w:type="dxa"/>
                </w:tcMar>
                <w:vAlign w:val="center"/>
              </w:tcPr>
              <w:p w14:paraId="41DE1614" w14:textId="000C9238" w:rsidR="09F367D5" w:rsidRPr="00235607" w:rsidRDefault="09F367D5" w:rsidP="09F367D5">
                <w:pPr>
                  <w:spacing w:after="0"/>
                  <w:jc w:val="center"/>
                  <w:rPr>
                    <w:sz w:val="18"/>
                    <w:szCs w:val="18"/>
                  </w:rPr>
                </w:pPr>
                <w:r w:rsidRPr="00235607">
                  <w:rPr>
                    <w:rFonts w:ascii="Times New Roman" w:eastAsia="Times New Roman" w:hAnsi="Times New Roman"/>
                    <w:sz w:val="18"/>
                    <w:szCs w:val="18"/>
                  </w:rPr>
                  <w:t>Cr</w:t>
                </w:r>
              </w:p>
            </w:tc>
            <w:tc>
              <w:tcPr>
                <w:tcW w:w="2585"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Mar>
                  <w:top w:w="15" w:type="dxa"/>
                  <w:left w:w="15" w:type="dxa"/>
                  <w:right w:w="15" w:type="dxa"/>
                </w:tcMar>
                <w:vAlign w:val="center"/>
              </w:tcPr>
              <w:p w14:paraId="769A6399" w14:textId="162CEC0F" w:rsidR="09F367D5" w:rsidRPr="00235607" w:rsidRDefault="09F367D5" w:rsidP="09F367D5">
                <w:pPr>
                  <w:spacing w:after="0"/>
                  <w:rPr>
                    <w:sz w:val="18"/>
                    <w:szCs w:val="18"/>
                  </w:rPr>
                </w:pPr>
                <w:r w:rsidRPr="00235607">
                  <w:rPr>
                    <w:rFonts w:ascii="Times New Roman" w:eastAsia="Times New Roman" w:hAnsi="Times New Roman"/>
                    <w:sz w:val="18"/>
                    <w:szCs w:val="18"/>
                  </w:rPr>
                  <w:t>Resultados de ejercicios anteriores</w:t>
                </w:r>
              </w:p>
            </w:tc>
            <w:tc>
              <w:tcPr>
                <w:tcW w:w="16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5" w:type="dxa"/>
                  <w:left w:w="15" w:type="dxa"/>
                  <w:right w:w="15" w:type="dxa"/>
                </w:tcMar>
                <w:vAlign w:val="center"/>
              </w:tcPr>
              <w:p w14:paraId="161925E4" w14:textId="22CF86E3" w:rsidR="09F367D5" w:rsidRPr="00235607" w:rsidRDefault="09F367D5" w:rsidP="09F367D5">
                <w:pPr>
                  <w:spacing w:after="0"/>
                  <w:jc w:val="right"/>
                  <w:rPr>
                    <w:sz w:val="18"/>
                    <w:szCs w:val="18"/>
                  </w:rPr>
                </w:pPr>
                <w:r w:rsidRPr="00235607">
                  <w:rPr>
                    <w:rFonts w:ascii="Times New Roman" w:eastAsia="Times New Roman" w:hAnsi="Times New Roman"/>
                    <w:sz w:val="18"/>
                    <w:szCs w:val="18"/>
                  </w:rPr>
                  <w:t>18.439.383.092.140</w:t>
                </w:r>
              </w:p>
            </w:tc>
            <w:tc>
              <w:tcPr>
                <w:tcW w:w="16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5" w:type="dxa"/>
                  <w:left w:w="15" w:type="dxa"/>
                  <w:right w:w="15" w:type="dxa"/>
                </w:tcMar>
                <w:vAlign w:val="center"/>
              </w:tcPr>
              <w:p w14:paraId="11E8AB9C" w14:textId="44282203" w:rsidR="09F367D5" w:rsidRPr="00235607" w:rsidRDefault="09F367D5" w:rsidP="09F367D5">
                <w:pPr>
                  <w:spacing w:after="0"/>
                  <w:jc w:val="right"/>
                  <w:rPr>
                    <w:sz w:val="18"/>
                    <w:szCs w:val="18"/>
                  </w:rPr>
                </w:pPr>
                <w:r w:rsidRPr="00235607">
                  <w:rPr>
                    <w:rFonts w:ascii="Times New Roman" w:eastAsia="Times New Roman" w:hAnsi="Times New Roman"/>
                    <w:sz w:val="18"/>
                    <w:szCs w:val="18"/>
                  </w:rPr>
                  <w:t>15.968.206.439.848</w:t>
                </w:r>
              </w:p>
            </w:tc>
            <w:tc>
              <w:tcPr>
                <w:tcW w:w="16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5" w:type="dxa"/>
                  <w:left w:w="15" w:type="dxa"/>
                  <w:right w:w="15" w:type="dxa"/>
                </w:tcMar>
                <w:vAlign w:val="center"/>
              </w:tcPr>
              <w:p w14:paraId="207F2306" w14:textId="670F21F9" w:rsidR="09F367D5" w:rsidRPr="00235607" w:rsidRDefault="09F367D5" w:rsidP="09F367D5">
                <w:pPr>
                  <w:spacing w:after="0"/>
                  <w:jc w:val="right"/>
                  <w:rPr>
                    <w:sz w:val="18"/>
                    <w:szCs w:val="18"/>
                  </w:rPr>
                </w:pPr>
                <w:r w:rsidRPr="00235607">
                  <w:rPr>
                    <w:rFonts w:ascii="Times New Roman" w:eastAsia="Times New Roman" w:hAnsi="Times New Roman"/>
                    <w:sz w:val="18"/>
                    <w:szCs w:val="18"/>
                  </w:rPr>
                  <w:t>2.471.176.652.292</w:t>
                </w:r>
              </w:p>
            </w:tc>
          </w:tr>
          <w:tr w:rsidR="09F367D5" w:rsidRPr="00235607" w14:paraId="2535A6F4" w14:textId="77777777" w:rsidTr="09F367D5">
            <w:trPr>
              <w:trHeight w:val="300"/>
            </w:trPr>
            <w:tc>
              <w:tcPr>
                <w:tcW w:w="10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5" w:type="dxa"/>
                  <w:left w:w="15" w:type="dxa"/>
                  <w:right w:w="15" w:type="dxa"/>
                </w:tcMar>
                <w:vAlign w:val="center"/>
              </w:tcPr>
              <w:p w14:paraId="171E46BE" w14:textId="21E57EC5" w:rsidR="09F367D5" w:rsidRPr="00235607" w:rsidRDefault="09F367D5" w:rsidP="09F367D5">
                <w:pPr>
                  <w:spacing w:after="0"/>
                  <w:rPr>
                    <w:sz w:val="18"/>
                    <w:szCs w:val="18"/>
                  </w:rPr>
                </w:pPr>
                <w:r w:rsidRPr="00235607">
                  <w:rPr>
                    <w:rFonts w:ascii="Times New Roman" w:eastAsia="Times New Roman" w:hAnsi="Times New Roman"/>
                    <w:sz w:val="18"/>
                    <w:szCs w:val="18"/>
                  </w:rPr>
                  <w:t>3.1.10</w:t>
                </w:r>
              </w:p>
            </w:tc>
            <w:tc>
              <w:tcPr>
                <w:tcW w:w="527"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Mar>
                  <w:top w:w="15" w:type="dxa"/>
                  <w:left w:w="15" w:type="dxa"/>
                  <w:right w:w="15" w:type="dxa"/>
                </w:tcMar>
                <w:vAlign w:val="center"/>
              </w:tcPr>
              <w:p w14:paraId="275FDFAC" w14:textId="7EF35048" w:rsidR="09F367D5" w:rsidRPr="00235607" w:rsidRDefault="09F367D5" w:rsidP="09F367D5">
                <w:pPr>
                  <w:spacing w:after="0"/>
                  <w:jc w:val="center"/>
                  <w:rPr>
                    <w:sz w:val="18"/>
                    <w:szCs w:val="18"/>
                  </w:rPr>
                </w:pPr>
                <w:r w:rsidRPr="00235607">
                  <w:rPr>
                    <w:rFonts w:ascii="Times New Roman" w:eastAsia="Times New Roman" w:hAnsi="Times New Roman"/>
                    <w:sz w:val="18"/>
                    <w:szCs w:val="18"/>
                  </w:rPr>
                  <w:t>Cr</w:t>
                </w:r>
              </w:p>
            </w:tc>
            <w:tc>
              <w:tcPr>
                <w:tcW w:w="2585"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Mar>
                  <w:top w:w="15" w:type="dxa"/>
                  <w:left w:w="15" w:type="dxa"/>
                  <w:right w:w="15" w:type="dxa"/>
                </w:tcMar>
                <w:vAlign w:val="center"/>
              </w:tcPr>
              <w:p w14:paraId="4A794416" w14:textId="2E1B6D69" w:rsidR="09F367D5" w:rsidRPr="00235607" w:rsidRDefault="09F367D5" w:rsidP="09F367D5">
                <w:pPr>
                  <w:spacing w:after="0"/>
                  <w:rPr>
                    <w:sz w:val="18"/>
                    <w:szCs w:val="18"/>
                  </w:rPr>
                </w:pPr>
                <w:r w:rsidRPr="00235607">
                  <w:rPr>
                    <w:rFonts w:ascii="Times New Roman" w:eastAsia="Times New Roman" w:hAnsi="Times New Roman"/>
                    <w:sz w:val="18"/>
                    <w:szCs w:val="18"/>
                  </w:rPr>
                  <w:t>Resultado del ejercicio</w:t>
                </w:r>
              </w:p>
            </w:tc>
            <w:tc>
              <w:tcPr>
                <w:tcW w:w="16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5" w:type="dxa"/>
                  <w:left w:w="15" w:type="dxa"/>
                  <w:right w:w="15" w:type="dxa"/>
                </w:tcMar>
                <w:vAlign w:val="center"/>
              </w:tcPr>
              <w:p w14:paraId="4EF0B476" w14:textId="6BEB9C79" w:rsidR="09F367D5" w:rsidRPr="00235607" w:rsidRDefault="09F367D5" w:rsidP="09F367D5">
                <w:pPr>
                  <w:spacing w:after="0"/>
                  <w:jc w:val="right"/>
                  <w:rPr>
                    <w:sz w:val="18"/>
                    <w:szCs w:val="18"/>
                  </w:rPr>
                </w:pPr>
                <w:r w:rsidRPr="00235607">
                  <w:rPr>
                    <w:rFonts w:ascii="Times New Roman" w:eastAsia="Times New Roman" w:hAnsi="Times New Roman"/>
                    <w:sz w:val="18"/>
                    <w:szCs w:val="18"/>
                  </w:rPr>
                  <w:t>1.956.070.263.049</w:t>
                </w:r>
              </w:p>
            </w:tc>
            <w:tc>
              <w:tcPr>
                <w:tcW w:w="16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5" w:type="dxa"/>
                  <w:left w:w="15" w:type="dxa"/>
                  <w:right w:w="15" w:type="dxa"/>
                </w:tcMar>
                <w:vAlign w:val="center"/>
              </w:tcPr>
              <w:p w14:paraId="62DF84ED" w14:textId="23E08833" w:rsidR="09F367D5" w:rsidRPr="00235607" w:rsidRDefault="09F367D5" w:rsidP="09F367D5">
                <w:pPr>
                  <w:spacing w:after="0"/>
                  <w:jc w:val="right"/>
                  <w:rPr>
                    <w:sz w:val="18"/>
                    <w:szCs w:val="18"/>
                  </w:rPr>
                </w:pPr>
                <w:r w:rsidRPr="00235607">
                  <w:rPr>
                    <w:rFonts w:ascii="Times New Roman" w:eastAsia="Times New Roman" w:hAnsi="Times New Roman"/>
                    <w:sz w:val="18"/>
                    <w:szCs w:val="18"/>
                  </w:rPr>
                  <w:t>1.856.451.157.1</w:t>
                </w:r>
                <w:r w:rsidR="00BD760C">
                  <w:rPr>
                    <w:rFonts w:ascii="Times New Roman" w:eastAsia="Times New Roman" w:hAnsi="Times New Roman"/>
                    <w:sz w:val="18"/>
                    <w:szCs w:val="18"/>
                  </w:rPr>
                  <w:t>29</w:t>
                </w:r>
              </w:p>
            </w:tc>
            <w:tc>
              <w:tcPr>
                <w:tcW w:w="161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5" w:type="dxa"/>
                  <w:left w:w="15" w:type="dxa"/>
                  <w:right w:w="15" w:type="dxa"/>
                </w:tcMar>
                <w:vAlign w:val="center"/>
              </w:tcPr>
              <w:p w14:paraId="0CC785C6" w14:textId="25E65E94" w:rsidR="09F367D5" w:rsidRPr="00235607" w:rsidRDefault="09F367D5" w:rsidP="09F367D5">
                <w:pPr>
                  <w:spacing w:after="0"/>
                  <w:jc w:val="right"/>
                  <w:rPr>
                    <w:sz w:val="18"/>
                    <w:szCs w:val="18"/>
                  </w:rPr>
                </w:pPr>
                <w:r w:rsidRPr="00235607">
                  <w:rPr>
                    <w:rFonts w:ascii="Times New Roman" w:eastAsia="Times New Roman" w:hAnsi="Times New Roman"/>
                    <w:sz w:val="18"/>
                    <w:szCs w:val="18"/>
                  </w:rPr>
                  <w:t>99.619.105.9</w:t>
                </w:r>
                <w:r w:rsidR="00BD760C">
                  <w:rPr>
                    <w:rFonts w:ascii="Times New Roman" w:eastAsia="Times New Roman" w:hAnsi="Times New Roman"/>
                    <w:sz w:val="18"/>
                    <w:szCs w:val="18"/>
                  </w:rPr>
                  <w:t>20</w:t>
                </w:r>
              </w:p>
            </w:tc>
          </w:tr>
        </w:tbl>
        <w:p w14:paraId="01EB07B8" w14:textId="2BABCB9A" w:rsidR="004021CB" w:rsidRPr="00931DCE" w:rsidRDefault="00AD2026" w:rsidP="004A000E">
          <w:pPr>
            <w:spacing w:after="0" w:line="240" w:lineRule="auto"/>
            <w:jc w:val="both"/>
            <w:rPr>
              <w:rFonts w:ascii="Times New Roman" w:hAnsi="Times New Roman"/>
              <w:sz w:val="14"/>
              <w:szCs w:val="14"/>
            </w:rPr>
          </w:pPr>
          <w:r w:rsidRPr="00931DCE">
            <w:rPr>
              <w:rFonts w:ascii="Times New Roman" w:hAnsi="Times New Roman"/>
              <w:sz w:val="14"/>
              <w:szCs w:val="14"/>
            </w:rPr>
            <w:t>Cifras expresadas en pesos</w:t>
          </w:r>
        </w:p>
        <w:p w14:paraId="227AC5EA" w14:textId="7864BB63" w:rsidR="002D0E38" w:rsidRPr="00931DCE" w:rsidRDefault="002D0E38" w:rsidP="004A000E">
          <w:pPr>
            <w:spacing w:after="0" w:line="240" w:lineRule="auto"/>
            <w:jc w:val="both"/>
            <w:rPr>
              <w:rFonts w:ascii="Times New Roman" w:hAnsi="Times New Roman"/>
              <w:sz w:val="24"/>
              <w:szCs w:val="24"/>
            </w:rPr>
          </w:pPr>
        </w:p>
        <w:p w14:paraId="491BA30C" w14:textId="314DB715" w:rsidR="17F57244" w:rsidRDefault="17F57244" w:rsidP="09F367D5">
          <w:pPr>
            <w:spacing w:after="0" w:line="240" w:lineRule="auto"/>
            <w:jc w:val="both"/>
            <w:rPr>
              <w:rFonts w:ascii="Times New Roman" w:hAnsi="Times New Roman"/>
              <w:sz w:val="24"/>
              <w:szCs w:val="24"/>
              <w:lang w:eastAsia="es-CO"/>
            </w:rPr>
          </w:pPr>
          <w:r w:rsidRPr="09F367D5">
            <w:rPr>
              <w:rFonts w:ascii="Times New Roman" w:hAnsi="Times New Roman"/>
              <w:sz w:val="24"/>
              <w:szCs w:val="24"/>
              <w:lang w:eastAsia="es-CO"/>
            </w:rPr>
            <w:t xml:space="preserve">El Patrimonio de la Agencia, representa los recursos destinados para su creación y desarrollo, así como las variaciones patrimoniales originadas producto del desarrollo de sus funciones y cometido estatal, al igual que, los ajustes de los hechos económicos relacionados con los </w:t>
          </w:r>
          <w:r w:rsidRPr="09F367D5">
            <w:rPr>
              <w:rFonts w:ascii="Times New Roman" w:hAnsi="Times New Roman"/>
              <w:sz w:val="24"/>
              <w:szCs w:val="24"/>
              <w:lang w:eastAsia="es-CO"/>
            </w:rPr>
            <w:lastRenderedPageBreak/>
            <w:t>acuerdos de concesión por cambios de estimaciones y política producto de lo dispuesto en la Resolución CGN No. 602 de 2018, modificada por la Resolución CGN No. 228 de 2021 y, por último los ajustes por corrección de errores de hechos ocurridos en vigencias anteriores.</w:t>
          </w:r>
        </w:p>
        <w:p w14:paraId="052CE1BC" w14:textId="7EBD6E51" w:rsidR="09F367D5" w:rsidRDefault="09F367D5" w:rsidP="09F367D5">
          <w:pPr>
            <w:spacing w:after="0" w:line="240" w:lineRule="auto"/>
            <w:jc w:val="both"/>
            <w:rPr>
              <w:rFonts w:ascii="Times New Roman" w:hAnsi="Times New Roman"/>
              <w:sz w:val="24"/>
              <w:szCs w:val="24"/>
            </w:rPr>
          </w:pPr>
        </w:p>
        <w:p w14:paraId="55CAE659" w14:textId="648FE029" w:rsidR="09F367D5" w:rsidRDefault="09F367D5" w:rsidP="09F367D5">
          <w:pPr>
            <w:spacing w:after="0" w:line="240" w:lineRule="auto"/>
            <w:jc w:val="both"/>
            <w:rPr>
              <w:rFonts w:ascii="Times New Roman" w:hAnsi="Times New Roman"/>
              <w:sz w:val="24"/>
              <w:szCs w:val="24"/>
            </w:rPr>
          </w:pPr>
        </w:p>
        <w:p w14:paraId="62D1F0DA" w14:textId="7274D4C7" w:rsidR="002D0E38" w:rsidRPr="00931DCE" w:rsidRDefault="00CD45F3" w:rsidP="009561C8">
          <w:pPr>
            <w:pStyle w:val="Ttulo2"/>
            <w:numPr>
              <w:ilvl w:val="0"/>
              <w:numId w:val="0"/>
            </w:numPr>
            <w:rPr>
              <w:rFonts w:cs="Times New Roman"/>
              <w:szCs w:val="22"/>
            </w:rPr>
          </w:pPr>
          <w:bookmarkStart w:id="104" w:name="_Toc159952429"/>
          <w:r w:rsidRPr="00931DCE">
            <w:rPr>
              <w:rFonts w:cs="Times New Roman"/>
              <w:szCs w:val="22"/>
            </w:rPr>
            <w:t>27.1 Capital fiscal</w:t>
          </w:r>
          <w:bookmarkEnd w:id="104"/>
        </w:p>
        <w:p w14:paraId="0713DDD8" w14:textId="1485EBC8" w:rsidR="00CD45F3" w:rsidRPr="00931DCE" w:rsidRDefault="00CD45F3" w:rsidP="004A000E">
          <w:pPr>
            <w:spacing w:after="0" w:line="240" w:lineRule="auto"/>
            <w:jc w:val="both"/>
            <w:rPr>
              <w:rFonts w:ascii="Times New Roman" w:hAnsi="Times New Roman"/>
              <w:sz w:val="24"/>
              <w:szCs w:val="24"/>
            </w:rPr>
          </w:pPr>
        </w:p>
        <w:p w14:paraId="05270012" w14:textId="05C194A0" w:rsidR="002B564D" w:rsidRPr="00931DCE" w:rsidRDefault="002B564D" w:rsidP="004A000E">
          <w:pPr>
            <w:spacing w:after="0" w:line="240" w:lineRule="auto"/>
            <w:jc w:val="both"/>
            <w:rPr>
              <w:rFonts w:ascii="Times New Roman" w:hAnsi="Times New Roman"/>
              <w:sz w:val="24"/>
              <w:szCs w:val="24"/>
            </w:rPr>
          </w:pPr>
          <w:r w:rsidRPr="00931DCE">
            <w:rPr>
              <w:rFonts w:ascii="Times New Roman" w:hAnsi="Times New Roman"/>
              <w:sz w:val="24"/>
              <w:szCs w:val="24"/>
            </w:rPr>
            <w:t xml:space="preserve">Esta cuenta está representada por los recursos para la creación y desarrollo de la Agencia Nacional de Infraestructura, para la vigencia </w:t>
          </w:r>
          <w:r w:rsidR="00EF6E05" w:rsidRPr="3126DB67">
            <w:rPr>
              <w:rFonts w:ascii="Times New Roman" w:hAnsi="Times New Roman"/>
              <w:sz w:val="24"/>
              <w:szCs w:val="24"/>
            </w:rPr>
            <w:t>202</w:t>
          </w:r>
          <w:r w:rsidR="4D7049A2" w:rsidRPr="3126DB67">
            <w:rPr>
              <w:rFonts w:ascii="Times New Roman" w:hAnsi="Times New Roman"/>
              <w:sz w:val="24"/>
              <w:szCs w:val="24"/>
            </w:rPr>
            <w:t>3</w:t>
          </w:r>
          <w:r w:rsidRPr="00931DCE">
            <w:rPr>
              <w:rFonts w:ascii="Times New Roman" w:hAnsi="Times New Roman"/>
              <w:sz w:val="24"/>
              <w:szCs w:val="24"/>
            </w:rPr>
            <w:t xml:space="preserve"> no presentó ninguna variación.</w:t>
          </w:r>
        </w:p>
        <w:p w14:paraId="385599B4" w14:textId="46F65233" w:rsidR="00CD45F3" w:rsidRPr="00931DCE" w:rsidRDefault="00CD45F3" w:rsidP="004A000E">
          <w:pPr>
            <w:spacing w:after="0" w:line="240" w:lineRule="auto"/>
            <w:jc w:val="both"/>
            <w:rPr>
              <w:rFonts w:ascii="Times New Roman" w:hAnsi="Times New Roman"/>
              <w:sz w:val="24"/>
              <w:szCs w:val="24"/>
            </w:rPr>
          </w:pPr>
        </w:p>
        <w:p w14:paraId="72BC5720" w14:textId="1D0324F7" w:rsidR="00CD45F3" w:rsidRPr="00931DCE" w:rsidRDefault="00CD45F3" w:rsidP="00043F24">
          <w:pPr>
            <w:pStyle w:val="Ttulo2"/>
            <w:numPr>
              <w:ilvl w:val="0"/>
              <w:numId w:val="0"/>
            </w:numPr>
            <w:rPr>
              <w:rFonts w:cs="Times New Roman"/>
              <w:szCs w:val="22"/>
            </w:rPr>
          </w:pPr>
          <w:bookmarkStart w:id="105" w:name="_Toc159952430"/>
          <w:r w:rsidRPr="00931DCE">
            <w:rPr>
              <w:rFonts w:cs="Times New Roman"/>
              <w:szCs w:val="22"/>
            </w:rPr>
            <w:t>27.2 Resultado de ejercicios anteriores</w:t>
          </w:r>
          <w:bookmarkEnd w:id="105"/>
        </w:p>
        <w:p w14:paraId="1CADC836" w14:textId="51E68719" w:rsidR="00CD45F3" w:rsidRPr="00931DCE" w:rsidRDefault="00CD45F3" w:rsidP="004A000E">
          <w:pPr>
            <w:spacing w:after="0" w:line="240" w:lineRule="auto"/>
            <w:jc w:val="both"/>
            <w:rPr>
              <w:rFonts w:ascii="Times New Roman" w:hAnsi="Times New Roman"/>
              <w:sz w:val="24"/>
              <w:szCs w:val="24"/>
            </w:rPr>
          </w:pPr>
        </w:p>
        <w:p w14:paraId="00857B60" w14:textId="3461565D" w:rsidR="002B564D" w:rsidRPr="00931DCE" w:rsidRDefault="002B564D" w:rsidP="004A000E">
          <w:pPr>
            <w:spacing w:after="0" w:line="240" w:lineRule="auto"/>
            <w:jc w:val="both"/>
            <w:rPr>
              <w:rFonts w:ascii="Times New Roman" w:hAnsi="Times New Roman"/>
              <w:sz w:val="24"/>
              <w:szCs w:val="24"/>
            </w:rPr>
          </w:pPr>
          <w:r w:rsidRPr="00931DCE">
            <w:rPr>
              <w:rFonts w:ascii="Times New Roman" w:hAnsi="Times New Roman"/>
              <w:sz w:val="24"/>
              <w:szCs w:val="24"/>
            </w:rPr>
            <w:t xml:space="preserve">Esta cuenta representa el valor del resultado acumulado de ejercicios anteriores; </w:t>
          </w:r>
          <w:r w:rsidR="3D67CAFB" w:rsidRPr="09F367D5">
            <w:rPr>
              <w:rFonts w:ascii="Times New Roman" w:hAnsi="Times New Roman"/>
              <w:sz w:val="24"/>
              <w:szCs w:val="24"/>
            </w:rPr>
            <w:t>para el periodo 2023 estuvo afectado por</w:t>
          </w:r>
          <w:r w:rsidR="51BF0C6D" w:rsidRPr="09F367D5">
            <w:rPr>
              <w:rFonts w:ascii="Times New Roman" w:hAnsi="Times New Roman"/>
              <w:sz w:val="24"/>
              <w:szCs w:val="24"/>
            </w:rPr>
            <w:t xml:space="preserve"> </w:t>
          </w:r>
          <w:r w:rsidR="001B1400" w:rsidRPr="00931DCE">
            <w:rPr>
              <w:rFonts w:ascii="Times New Roman" w:hAnsi="Times New Roman"/>
              <w:sz w:val="24"/>
              <w:szCs w:val="24"/>
            </w:rPr>
            <w:t xml:space="preserve">los </w:t>
          </w:r>
          <w:r w:rsidR="51BF0C6D" w:rsidRPr="09F367D5">
            <w:rPr>
              <w:rFonts w:ascii="Times New Roman" w:hAnsi="Times New Roman"/>
              <w:sz w:val="24"/>
              <w:szCs w:val="24"/>
            </w:rPr>
            <w:t xml:space="preserve">movimientos </w:t>
          </w:r>
          <w:r w:rsidR="2DF2A1B0" w:rsidRPr="09F367D5">
            <w:rPr>
              <w:rFonts w:ascii="Times New Roman" w:hAnsi="Times New Roman"/>
              <w:sz w:val="24"/>
              <w:szCs w:val="24"/>
            </w:rPr>
            <w:t>contables</w:t>
          </w:r>
          <w:r w:rsidR="001B1400" w:rsidRPr="00931DCE">
            <w:rPr>
              <w:rFonts w:ascii="Times New Roman" w:hAnsi="Times New Roman"/>
              <w:sz w:val="24"/>
              <w:szCs w:val="24"/>
            </w:rPr>
            <w:t xml:space="preserve"> con </w:t>
          </w:r>
          <w:r w:rsidR="51BF0C6D" w:rsidRPr="09F367D5">
            <w:rPr>
              <w:rFonts w:ascii="Times New Roman" w:hAnsi="Times New Roman"/>
              <w:sz w:val="24"/>
              <w:szCs w:val="24"/>
            </w:rPr>
            <w:t>ocasión al plan de trabajo suscrito con la Contaduría General</w:t>
          </w:r>
          <w:r w:rsidR="001B1400" w:rsidRPr="00931DCE">
            <w:rPr>
              <w:rFonts w:ascii="Times New Roman" w:hAnsi="Times New Roman"/>
              <w:sz w:val="24"/>
              <w:szCs w:val="24"/>
            </w:rPr>
            <w:t xml:space="preserve"> de </w:t>
          </w:r>
          <w:r w:rsidR="51BF0C6D" w:rsidRPr="09F367D5">
            <w:rPr>
              <w:rFonts w:ascii="Times New Roman" w:hAnsi="Times New Roman"/>
              <w:sz w:val="24"/>
              <w:szCs w:val="24"/>
            </w:rPr>
            <w:t xml:space="preserve">la Nación </w:t>
          </w:r>
          <w:r w:rsidR="7279EB23" w:rsidRPr="09F367D5">
            <w:rPr>
              <w:rFonts w:ascii="Times New Roman" w:hAnsi="Times New Roman"/>
              <w:sz w:val="24"/>
              <w:szCs w:val="24"/>
            </w:rPr>
            <w:t>para la implementación</w:t>
          </w:r>
          <w:r w:rsidR="001B1400" w:rsidRPr="00931DCE">
            <w:rPr>
              <w:rFonts w:ascii="Times New Roman" w:hAnsi="Times New Roman"/>
              <w:sz w:val="24"/>
              <w:szCs w:val="24"/>
            </w:rPr>
            <w:t xml:space="preserve"> de </w:t>
          </w:r>
          <w:r w:rsidR="001B1400" w:rsidRPr="09F367D5">
            <w:rPr>
              <w:rFonts w:ascii="Times New Roman" w:hAnsi="Times New Roman"/>
              <w:sz w:val="24"/>
              <w:szCs w:val="24"/>
            </w:rPr>
            <w:t xml:space="preserve">la </w:t>
          </w:r>
          <w:r w:rsidR="001B1400" w:rsidRPr="00931DCE">
            <w:rPr>
              <w:rFonts w:ascii="Times New Roman" w:hAnsi="Times New Roman"/>
              <w:sz w:val="24"/>
              <w:szCs w:val="24"/>
            </w:rPr>
            <w:t>Resolución No. 602 de 2018</w:t>
          </w:r>
          <w:r w:rsidR="7F39C69C" w:rsidRPr="09F367D5">
            <w:rPr>
              <w:rFonts w:ascii="Times New Roman" w:hAnsi="Times New Roman"/>
              <w:sz w:val="24"/>
              <w:szCs w:val="24"/>
            </w:rPr>
            <w:t>,</w:t>
          </w:r>
          <w:r w:rsidR="0040089C" w:rsidRPr="00931DCE">
            <w:rPr>
              <w:rFonts w:ascii="Times New Roman" w:hAnsi="Times New Roman"/>
              <w:sz w:val="24"/>
              <w:szCs w:val="24"/>
            </w:rPr>
            <w:t xml:space="preserve"> prorrogada por la Resolución 228 de </w:t>
          </w:r>
          <w:r w:rsidR="00EF6E05" w:rsidRPr="09F367D5">
            <w:rPr>
              <w:rFonts w:ascii="Times New Roman" w:hAnsi="Times New Roman"/>
              <w:sz w:val="24"/>
              <w:szCs w:val="24"/>
            </w:rPr>
            <w:t>202</w:t>
          </w:r>
          <w:r w:rsidR="7957625A" w:rsidRPr="09F367D5">
            <w:rPr>
              <w:rFonts w:ascii="Times New Roman" w:hAnsi="Times New Roman"/>
              <w:sz w:val="24"/>
              <w:szCs w:val="24"/>
            </w:rPr>
            <w:t xml:space="preserve">1. </w:t>
          </w:r>
          <w:r w:rsidR="4E756B14" w:rsidRPr="09F367D5">
            <w:rPr>
              <w:rFonts w:ascii="Times New Roman" w:hAnsi="Times New Roman"/>
              <w:sz w:val="24"/>
              <w:szCs w:val="24"/>
            </w:rPr>
            <w:t>Para lo cual, m</w:t>
          </w:r>
          <w:r w:rsidR="7957625A" w:rsidRPr="09F367D5">
            <w:rPr>
              <w:rFonts w:ascii="Times New Roman" w:hAnsi="Times New Roman"/>
              <w:sz w:val="24"/>
              <w:szCs w:val="24"/>
            </w:rPr>
            <w:t>ientras la Agencia se encuentre en l</w:t>
          </w:r>
          <w:r w:rsidR="2B353BB5" w:rsidRPr="09F367D5">
            <w:rPr>
              <w:rFonts w:ascii="Times New Roman" w:hAnsi="Times New Roman"/>
              <w:sz w:val="24"/>
              <w:szCs w:val="24"/>
            </w:rPr>
            <w:t>os plazos otorgados</w:t>
          </w:r>
          <w:r w:rsidR="001B1400" w:rsidRPr="00931DCE">
            <w:rPr>
              <w:rFonts w:ascii="Times New Roman" w:hAnsi="Times New Roman"/>
              <w:sz w:val="24"/>
              <w:szCs w:val="24"/>
            </w:rPr>
            <w:t xml:space="preserve"> por la </w:t>
          </w:r>
          <w:r w:rsidR="2B353BB5" w:rsidRPr="09F367D5">
            <w:rPr>
              <w:rFonts w:ascii="Times New Roman" w:hAnsi="Times New Roman"/>
              <w:sz w:val="24"/>
              <w:szCs w:val="24"/>
            </w:rPr>
            <w:t xml:space="preserve">CGN, no </w:t>
          </w:r>
          <w:r w:rsidR="1ED5EE65" w:rsidRPr="09F367D5">
            <w:rPr>
              <w:rFonts w:ascii="Times New Roman" w:hAnsi="Times New Roman"/>
              <w:sz w:val="24"/>
              <w:szCs w:val="24"/>
            </w:rPr>
            <w:t xml:space="preserve">aplicará lo establecido en la Norma de políticas contables, cambios en las estimaciones contables y corrección de errores </w:t>
          </w:r>
          <w:r w:rsidR="76A74DAE" w:rsidRPr="09F367D5">
            <w:rPr>
              <w:rFonts w:ascii="Times New Roman" w:hAnsi="Times New Roman"/>
              <w:sz w:val="24"/>
              <w:szCs w:val="24"/>
            </w:rPr>
            <w:t xml:space="preserve">de conformidad con el </w:t>
          </w:r>
          <w:r w:rsidR="36BB9748" w:rsidRPr="09F367D5">
            <w:rPr>
              <w:rFonts w:ascii="Times New Roman" w:hAnsi="Times New Roman"/>
              <w:sz w:val="24"/>
              <w:szCs w:val="24"/>
            </w:rPr>
            <w:t>C</w:t>
          </w:r>
          <w:r w:rsidR="11B9132A" w:rsidRPr="09F367D5">
            <w:rPr>
              <w:rFonts w:ascii="Times New Roman" w:hAnsi="Times New Roman"/>
              <w:sz w:val="24"/>
              <w:szCs w:val="24"/>
            </w:rPr>
            <w:t>oncepto CGN</w:t>
          </w:r>
          <w:r w:rsidR="36BB9748" w:rsidRPr="09F367D5">
            <w:rPr>
              <w:rFonts w:ascii="Times New Roman" w:hAnsi="Times New Roman"/>
              <w:sz w:val="24"/>
              <w:szCs w:val="24"/>
            </w:rPr>
            <w:t xml:space="preserve"> No. 20211100002041 </w:t>
          </w:r>
          <w:r w:rsidR="696255D0" w:rsidRPr="09F367D5">
            <w:rPr>
              <w:rFonts w:ascii="Times New Roman" w:hAnsi="Times New Roman"/>
              <w:sz w:val="24"/>
              <w:szCs w:val="24"/>
            </w:rPr>
            <w:t xml:space="preserve">del </w:t>
          </w:r>
          <w:r w:rsidR="36BB9748" w:rsidRPr="09F367D5">
            <w:rPr>
              <w:rFonts w:ascii="Times New Roman" w:hAnsi="Times New Roman"/>
              <w:sz w:val="24"/>
              <w:szCs w:val="24"/>
            </w:rPr>
            <w:t>10</w:t>
          </w:r>
          <w:r w:rsidR="2910C4B4" w:rsidRPr="09F367D5">
            <w:rPr>
              <w:rFonts w:ascii="Times New Roman" w:hAnsi="Times New Roman"/>
              <w:sz w:val="24"/>
              <w:szCs w:val="24"/>
            </w:rPr>
            <w:t xml:space="preserve"> de febrero </w:t>
          </w:r>
          <w:r w:rsidR="36BB9748" w:rsidRPr="09F367D5">
            <w:rPr>
              <w:rFonts w:ascii="Times New Roman" w:hAnsi="Times New Roman"/>
              <w:sz w:val="24"/>
              <w:szCs w:val="24"/>
            </w:rPr>
            <w:t>2021</w:t>
          </w:r>
          <w:r w:rsidR="274E3D43" w:rsidRPr="09F367D5">
            <w:rPr>
              <w:rFonts w:ascii="Times New Roman" w:hAnsi="Times New Roman"/>
              <w:sz w:val="24"/>
              <w:szCs w:val="24"/>
            </w:rPr>
            <w:t>. Po</w:t>
          </w:r>
          <w:r w:rsidR="001B1400" w:rsidRPr="09F367D5">
            <w:rPr>
              <w:rFonts w:ascii="Times New Roman" w:hAnsi="Times New Roman"/>
              <w:sz w:val="24"/>
              <w:szCs w:val="24"/>
            </w:rPr>
            <w:t xml:space="preserve">r </w:t>
          </w:r>
          <w:r w:rsidR="441C3132" w:rsidRPr="72C1C638">
            <w:rPr>
              <w:rFonts w:ascii="Times New Roman" w:hAnsi="Times New Roman"/>
              <w:sz w:val="24"/>
              <w:szCs w:val="24"/>
            </w:rPr>
            <w:t>último</w:t>
          </w:r>
          <w:r w:rsidR="7CB4DD0A" w:rsidRPr="09F367D5">
            <w:rPr>
              <w:rFonts w:ascii="Times New Roman" w:hAnsi="Times New Roman"/>
              <w:sz w:val="24"/>
              <w:szCs w:val="24"/>
            </w:rPr>
            <w:t>, se encuentra</w:t>
          </w:r>
          <w:r w:rsidR="5F08532E" w:rsidRPr="09F367D5">
            <w:rPr>
              <w:rFonts w:ascii="Times New Roman" w:hAnsi="Times New Roman"/>
              <w:sz w:val="24"/>
              <w:szCs w:val="24"/>
            </w:rPr>
            <w:t>n</w:t>
          </w:r>
          <w:r w:rsidR="001B1400" w:rsidRPr="00931DCE">
            <w:rPr>
              <w:rFonts w:ascii="Times New Roman" w:hAnsi="Times New Roman"/>
              <w:sz w:val="24"/>
              <w:szCs w:val="24"/>
            </w:rPr>
            <w:t xml:space="preserve"> los ajustes por errores de hechos ocurridos en vigencias anteriores.</w:t>
          </w:r>
        </w:p>
        <w:p w14:paraId="380D5BDF" w14:textId="738A4131" w:rsidR="009172DA" w:rsidRPr="00931DCE" w:rsidRDefault="009172DA" w:rsidP="004A000E">
          <w:pPr>
            <w:spacing w:after="0" w:line="240" w:lineRule="auto"/>
            <w:jc w:val="both"/>
            <w:rPr>
              <w:rFonts w:ascii="Times New Roman" w:hAnsi="Times New Roman"/>
              <w:sz w:val="18"/>
              <w:szCs w:val="18"/>
            </w:rPr>
          </w:pPr>
        </w:p>
        <w:p w14:paraId="2D81F556" w14:textId="72C3E0DC" w:rsidR="00547777" w:rsidRPr="00931DCE" w:rsidRDefault="337AED7A" w:rsidP="00547777">
          <w:pPr>
            <w:spacing w:after="0" w:line="240" w:lineRule="auto"/>
            <w:jc w:val="both"/>
            <w:rPr>
              <w:rFonts w:ascii="Times New Roman" w:hAnsi="Times New Roman"/>
              <w:sz w:val="24"/>
              <w:szCs w:val="24"/>
            </w:rPr>
          </w:pPr>
          <w:r w:rsidRPr="09F367D5">
            <w:rPr>
              <w:rFonts w:ascii="Times New Roman" w:hAnsi="Times New Roman"/>
              <w:sz w:val="24"/>
              <w:szCs w:val="24"/>
            </w:rPr>
            <w:t>A continuación, se presenta s</w:t>
          </w:r>
          <w:r w:rsidR="002B564D" w:rsidRPr="09F367D5">
            <w:rPr>
              <w:rFonts w:ascii="Times New Roman" w:hAnsi="Times New Roman"/>
              <w:sz w:val="24"/>
              <w:szCs w:val="24"/>
            </w:rPr>
            <w:t>u</w:t>
          </w:r>
          <w:r w:rsidR="002B564D" w:rsidRPr="00931DCE">
            <w:rPr>
              <w:rFonts w:ascii="Times New Roman" w:hAnsi="Times New Roman"/>
              <w:sz w:val="24"/>
              <w:szCs w:val="24"/>
            </w:rPr>
            <w:t xml:space="preserve"> conformación a 31 de diciembre:</w:t>
          </w:r>
        </w:p>
        <w:p w14:paraId="4D52E133" w14:textId="3DB87793" w:rsidR="00C15BC0" w:rsidRPr="00931DCE" w:rsidRDefault="00C15BC0" w:rsidP="004A000E">
          <w:pPr>
            <w:spacing w:after="0" w:line="240" w:lineRule="auto"/>
            <w:jc w:val="both"/>
            <w:rPr>
              <w:rFonts w:ascii="Times New Roman" w:hAnsi="Times New Roman"/>
              <w:sz w:val="16"/>
              <w:szCs w:val="16"/>
            </w:rPr>
          </w:pP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ayout w:type="fixed"/>
            <w:tblLook w:val="06A0" w:firstRow="1" w:lastRow="0" w:firstColumn="1" w:lastColumn="0" w:noHBand="1" w:noVBand="1"/>
          </w:tblPr>
          <w:tblGrid>
            <w:gridCol w:w="3763"/>
            <w:gridCol w:w="1715"/>
            <w:gridCol w:w="1715"/>
            <w:gridCol w:w="1592"/>
          </w:tblGrid>
          <w:tr w:rsidR="09F367D5" w:rsidRPr="00235607" w14:paraId="12E1A4CA" w14:textId="77777777" w:rsidTr="00DE0481">
            <w:trPr>
              <w:trHeight w:val="300"/>
            </w:trPr>
            <w:tc>
              <w:tcPr>
                <w:tcW w:w="3763" w:type="dxa"/>
                <w:tcMar>
                  <w:top w:w="15" w:type="dxa"/>
                  <w:left w:w="15" w:type="dxa"/>
                  <w:right w:w="15" w:type="dxa"/>
                </w:tcMar>
                <w:vAlign w:val="center"/>
              </w:tcPr>
              <w:p w14:paraId="1175C583" w14:textId="3B8A82F3" w:rsidR="09F367D5" w:rsidRPr="00235607" w:rsidRDefault="09F367D5" w:rsidP="09F367D5">
                <w:pPr>
                  <w:spacing w:after="0"/>
                  <w:jc w:val="center"/>
                  <w:rPr>
                    <w:sz w:val="18"/>
                    <w:szCs w:val="18"/>
                  </w:rPr>
                </w:pPr>
                <w:r w:rsidRPr="00235607">
                  <w:rPr>
                    <w:rFonts w:ascii="Times New Roman" w:eastAsia="Times New Roman" w:hAnsi="Times New Roman"/>
                    <w:b/>
                    <w:bCs/>
                    <w:sz w:val="18"/>
                    <w:szCs w:val="18"/>
                  </w:rPr>
                  <w:t>CONCEPTO</w:t>
                </w:r>
              </w:p>
            </w:tc>
            <w:tc>
              <w:tcPr>
                <w:tcW w:w="1715" w:type="dxa"/>
                <w:tcMar>
                  <w:top w:w="15" w:type="dxa"/>
                  <w:left w:w="15" w:type="dxa"/>
                  <w:right w:w="15" w:type="dxa"/>
                </w:tcMar>
                <w:vAlign w:val="center"/>
              </w:tcPr>
              <w:p w14:paraId="22297B2E" w14:textId="2A72EB4D" w:rsidR="09F367D5" w:rsidRPr="00235607" w:rsidRDefault="09F367D5" w:rsidP="09F367D5">
                <w:pPr>
                  <w:spacing w:after="0"/>
                  <w:jc w:val="center"/>
                  <w:rPr>
                    <w:sz w:val="18"/>
                    <w:szCs w:val="18"/>
                  </w:rPr>
                </w:pPr>
                <w:r w:rsidRPr="00235607">
                  <w:rPr>
                    <w:rFonts w:ascii="Times New Roman" w:eastAsia="Times New Roman" w:hAnsi="Times New Roman"/>
                    <w:b/>
                    <w:bCs/>
                    <w:color w:val="000000" w:themeColor="text1"/>
                    <w:sz w:val="18"/>
                    <w:szCs w:val="18"/>
                  </w:rPr>
                  <w:t>2023</w:t>
                </w:r>
              </w:p>
            </w:tc>
            <w:tc>
              <w:tcPr>
                <w:tcW w:w="1715" w:type="dxa"/>
                <w:tcMar>
                  <w:top w:w="15" w:type="dxa"/>
                  <w:left w:w="15" w:type="dxa"/>
                  <w:right w:w="15" w:type="dxa"/>
                </w:tcMar>
                <w:vAlign w:val="center"/>
              </w:tcPr>
              <w:p w14:paraId="09F801FA" w14:textId="730390E0" w:rsidR="09F367D5" w:rsidRPr="00235607" w:rsidRDefault="09F367D5" w:rsidP="09F367D5">
                <w:pPr>
                  <w:spacing w:after="0"/>
                  <w:jc w:val="center"/>
                  <w:rPr>
                    <w:sz w:val="18"/>
                    <w:szCs w:val="18"/>
                  </w:rPr>
                </w:pPr>
                <w:r w:rsidRPr="00235607">
                  <w:rPr>
                    <w:rFonts w:ascii="Times New Roman" w:eastAsia="Times New Roman" w:hAnsi="Times New Roman"/>
                    <w:b/>
                    <w:bCs/>
                    <w:color w:val="000000" w:themeColor="text1"/>
                    <w:sz w:val="18"/>
                    <w:szCs w:val="18"/>
                  </w:rPr>
                  <w:t>2022</w:t>
                </w:r>
              </w:p>
            </w:tc>
            <w:tc>
              <w:tcPr>
                <w:tcW w:w="1592" w:type="dxa"/>
                <w:tcMar>
                  <w:top w:w="15" w:type="dxa"/>
                  <w:left w:w="15" w:type="dxa"/>
                  <w:right w:w="15" w:type="dxa"/>
                </w:tcMar>
                <w:vAlign w:val="center"/>
              </w:tcPr>
              <w:p w14:paraId="0309A999" w14:textId="2E7DD0A8" w:rsidR="09F367D5" w:rsidRPr="00235607" w:rsidRDefault="09F367D5" w:rsidP="09F367D5">
                <w:pPr>
                  <w:spacing w:after="0"/>
                  <w:jc w:val="center"/>
                  <w:rPr>
                    <w:sz w:val="18"/>
                    <w:szCs w:val="18"/>
                  </w:rPr>
                </w:pPr>
                <w:r w:rsidRPr="00235607">
                  <w:rPr>
                    <w:rFonts w:ascii="Times New Roman" w:eastAsia="Times New Roman" w:hAnsi="Times New Roman"/>
                    <w:b/>
                    <w:bCs/>
                    <w:color w:val="000000" w:themeColor="text1"/>
                    <w:sz w:val="18"/>
                    <w:szCs w:val="18"/>
                  </w:rPr>
                  <w:t>VARICIÓN</w:t>
                </w:r>
              </w:p>
            </w:tc>
          </w:tr>
          <w:tr w:rsidR="09F367D5" w:rsidRPr="00235607" w14:paraId="60E22DD6" w14:textId="77777777" w:rsidTr="00DE0481">
            <w:trPr>
              <w:trHeight w:val="390"/>
            </w:trPr>
            <w:tc>
              <w:tcPr>
                <w:tcW w:w="3763" w:type="dxa"/>
                <w:tcMar>
                  <w:top w:w="15" w:type="dxa"/>
                  <w:left w:w="15" w:type="dxa"/>
                  <w:right w:w="15" w:type="dxa"/>
                </w:tcMar>
                <w:vAlign w:val="center"/>
              </w:tcPr>
              <w:p w14:paraId="32759CAA" w14:textId="39C82560" w:rsidR="09F367D5" w:rsidRPr="00235607" w:rsidRDefault="09F367D5" w:rsidP="09F367D5">
                <w:pPr>
                  <w:spacing w:after="0"/>
                  <w:rPr>
                    <w:sz w:val="18"/>
                    <w:szCs w:val="18"/>
                  </w:rPr>
                </w:pPr>
                <w:r w:rsidRPr="00235607">
                  <w:rPr>
                    <w:rFonts w:ascii="Times New Roman" w:eastAsia="Times New Roman" w:hAnsi="Times New Roman"/>
                    <w:b/>
                    <w:bCs/>
                    <w:sz w:val="18"/>
                    <w:szCs w:val="18"/>
                  </w:rPr>
                  <w:t>RESULTADOS DE EJERCICIOS ANTERIORES</w:t>
                </w:r>
              </w:p>
            </w:tc>
            <w:tc>
              <w:tcPr>
                <w:tcW w:w="1715" w:type="dxa"/>
                <w:tcMar>
                  <w:top w:w="15" w:type="dxa"/>
                  <w:left w:w="15" w:type="dxa"/>
                  <w:right w:w="15" w:type="dxa"/>
                </w:tcMar>
                <w:vAlign w:val="center"/>
              </w:tcPr>
              <w:p w14:paraId="4533366C" w14:textId="4A71BC98" w:rsidR="09F367D5" w:rsidRPr="00235607" w:rsidRDefault="09F367D5" w:rsidP="09F367D5">
                <w:pPr>
                  <w:spacing w:after="0"/>
                  <w:jc w:val="right"/>
                  <w:rPr>
                    <w:sz w:val="18"/>
                    <w:szCs w:val="18"/>
                  </w:rPr>
                </w:pPr>
                <w:r w:rsidRPr="00235607">
                  <w:rPr>
                    <w:rFonts w:ascii="Times New Roman" w:eastAsia="Times New Roman" w:hAnsi="Times New Roman"/>
                    <w:b/>
                    <w:bCs/>
                    <w:color w:val="000000" w:themeColor="text1"/>
                    <w:sz w:val="18"/>
                    <w:szCs w:val="18"/>
                  </w:rPr>
                  <w:t>18.439.383.092.140</w:t>
                </w:r>
              </w:p>
            </w:tc>
            <w:tc>
              <w:tcPr>
                <w:tcW w:w="1715" w:type="dxa"/>
                <w:tcMar>
                  <w:top w:w="15" w:type="dxa"/>
                  <w:left w:w="15" w:type="dxa"/>
                  <w:right w:w="15" w:type="dxa"/>
                </w:tcMar>
                <w:vAlign w:val="center"/>
              </w:tcPr>
              <w:p w14:paraId="5072A0E6" w14:textId="59AE9F3B" w:rsidR="09F367D5" w:rsidRPr="00235607" w:rsidRDefault="09F367D5" w:rsidP="09F367D5">
                <w:pPr>
                  <w:spacing w:after="0"/>
                  <w:jc w:val="right"/>
                  <w:rPr>
                    <w:sz w:val="18"/>
                    <w:szCs w:val="18"/>
                  </w:rPr>
                </w:pPr>
                <w:r w:rsidRPr="00235607">
                  <w:rPr>
                    <w:rFonts w:ascii="Times New Roman" w:eastAsia="Times New Roman" w:hAnsi="Times New Roman"/>
                    <w:b/>
                    <w:bCs/>
                    <w:color w:val="000000" w:themeColor="text1"/>
                    <w:sz w:val="18"/>
                    <w:szCs w:val="18"/>
                  </w:rPr>
                  <w:t>15.968.206.439.848</w:t>
                </w:r>
              </w:p>
            </w:tc>
            <w:tc>
              <w:tcPr>
                <w:tcW w:w="1592" w:type="dxa"/>
                <w:tcMar>
                  <w:top w:w="15" w:type="dxa"/>
                  <w:left w:w="15" w:type="dxa"/>
                  <w:right w:w="15" w:type="dxa"/>
                </w:tcMar>
                <w:vAlign w:val="center"/>
              </w:tcPr>
              <w:p w14:paraId="7C1C982C" w14:textId="23DE9B9D" w:rsidR="09F367D5" w:rsidRPr="00235607" w:rsidRDefault="09F367D5" w:rsidP="09F367D5">
                <w:pPr>
                  <w:spacing w:after="0"/>
                  <w:jc w:val="right"/>
                  <w:rPr>
                    <w:sz w:val="18"/>
                    <w:szCs w:val="18"/>
                  </w:rPr>
                </w:pPr>
                <w:r w:rsidRPr="00235607">
                  <w:rPr>
                    <w:rFonts w:ascii="Times New Roman" w:eastAsia="Times New Roman" w:hAnsi="Times New Roman"/>
                    <w:b/>
                    <w:bCs/>
                    <w:color w:val="000000" w:themeColor="text1"/>
                    <w:sz w:val="18"/>
                    <w:szCs w:val="18"/>
                  </w:rPr>
                  <w:t>2.471.176.652.292</w:t>
                </w:r>
              </w:p>
            </w:tc>
          </w:tr>
          <w:tr w:rsidR="09F367D5" w:rsidRPr="00235607" w14:paraId="24759DAD" w14:textId="77777777" w:rsidTr="00DE0481">
            <w:trPr>
              <w:trHeight w:val="300"/>
            </w:trPr>
            <w:tc>
              <w:tcPr>
                <w:tcW w:w="3763" w:type="dxa"/>
                <w:tcMar>
                  <w:top w:w="15" w:type="dxa"/>
                  <w:left w:w="15" w:type="dxa"/>
                  <w:right w:w="15" w:type="dxa"/>
                </w:tcMar>
                <w:vAlign w:val="center"/>
              </w:tcPr>
              <w:p w14:paraId="3A4174C1" w14:textId="707E1F43" w:rsidR="09F367D5" w:rsidRPr="00235607" w:rsidRDefault="09F367D5" w:rsidP="09F367D5">
                <w:pPr>
                  <w:spacing w:after="0"/>
                  <w:rPr>
                    <w:sz w:val="18"/>
                    <w:szCs w:val="18"/>
                  </w:rPr>
                </w:pPr>
                <w:r w:rsidRPr="00235607">
                  <w:rPr>
                    <w:rFonts w:ascii="Times New Roman" w:eastAsia="Times New Roman" w:hAnsi="Times New Roman"/>
                    <w:color w:val="000000" w:themeColor="text1"/>
                    <w:sz w:val="18"/>
                    <w:szCs w:val="18"/>
                  </w:rPr>
                  <w:t xml:space="preserve">Utilidad o excedentes acumulados </w:t>
                </w:r>
              </w:p>
            </w:tc>
            <w:tc>
              <w:tcPr>
                <w:tcW w:w="1715" w:type="dxa"/>
                <w:tcMar>
                  <w:top w:w="15" w:type="dxa"/>
                  <w:left w:w="15" w:type="dxa"/>
                  <w:right w:w="15" w:type="dxa"/>
                </w:tcMar>
                <w:vAlign w:val="center"/>
              </w:tcPr>
              <w:p w14:paraId="72D850E3" w14:textId="2BD8000A" w:rsidR="09F367D5" w:rsidRPr="00235607" w:rsidRDefault="09F367D5" w:rsidP="09F367D5">
                <w:pPr>
                  <w:spacing w:after="0"/>
                  <w:jc w:val="right"/>
                  <w:rPr>
                    <w:sz w:val="18"/>
                    <w:szCs w:val="18"/>
                  </w:rPr>
                </w:pPr>
                <w:r w:rsidRPr="00235607">
                  <w:rPr>
                    <w:rFonts w:ascii="Times New Roman" w:eastAsia="Times New Roman" w:hAnsi="Times New Roman"/>
                    <w:color w:val="000000" w:themeColor="text1"/>
                    <w:sz w:val="18"/>
                    <w:szCs w:val="18"/>
                  </w:rPr>
                  <w:t>29.443.719.602.482</w:t>
                </w:r>
              </w:p>
            </w:tc>
            <w:tc>
              <w:tcPr>
                <w:tcW w:w="1715" w:type="dxa"/>
                <w:tcMar>
                  <w:top w:w="15" w:type="dxa"/>
                  <w:left w:w="15" w:type="dxa"/>
                  <w:right w:w="15" w:type="dxa"/>
                </w:tcMar>
                <w:vAlign w:val="center"/>
              </w:tcPr>
              <w:p w14:paraId="6730D242" w14:textId="00C4C81E" w:rsidR="09F367D5" w:rsidRPr="00235607" w:rsidRDefault="09F367D5" w:rsidP="09F367D5">
                <w:pPr>
                  <w:spacing w:after="0"/>
                  <w:jc w:val="right"/>
                  <w:rPr>
                    <w:sz w:val="18"/>
                    <w:szCs w:val="18"/>
                  </w:rPr>
                </w:pPr>
                <w:r w:rsidRPr="00235607">
                  <w:rPr>
                    <w:rFonts w:ascii="Times New Roman" w:eastAsia="Times New Roman" w:hAnsi="Times New Roman"/>
                    <w:color w:val="000000" w:themeColor="text1"/>
                    <w:sz w:val="18"/>
                    <w:szCs w:val="18"/>
                  </w:rPr>
                  <w:t>28.092.950.874.755</w:t>
                </w:r>
              </w:p>
            </w:tc>
            <w:tc>
              <w:tcPr>
                <w:tcW w:w="1592" w:type="dxa"/>
                <w:tcMar>
                  <w:top w:w="15" w:type="dxa"/>
                  <w:left w:w="15" w:type="dxa"/>
                  <w:right w:w="15" w:type="dxa"/>
                </w:tcMar>
                <w:vAlign w:val="center"/>
              </w:tcPr>
              <w:p w14:paraId="33FFB248" w14:textId="746C9D9A" w:rsidR="09F367D5" w:rsidRPr="00235607" w:rsidRDefault="09F367D5" w:rsidP="09F367D5">
                <w:pPr>
                  <w:spacing w:after="0"/>
                  <w:jc w:val="right"/>
                  <w:rPr>
                    <w:sz w:val="18"/>
                    <w:szCs w:val="18"/>
                  </w:rPr>
                </w:pPr>
                <w:r w:rsidRPr="00235607">
                  <w:rPr>
                    <w:rFonts w:ascii="Times New Roman" w:eastAsia="Times New Roman" w:hAnsi="Times New Roman"/>
                    <w:color w:val="000000" w:themeColor="text1"/>
                    <w:sz w:val="18"/>
                    <w:szCs w:val="18"/>
                  </w:rPr>
                  <w:t>1.350.768.727.727</w:t>
                </w:r>
              </w:p>
            </w:tc>
          </w:tr>
          <w:tr w:rsidR="09F367D5" w:rsidRPr="00235607" w14:paraId="04FE7381" w14:textId="77777777" w:rsidTr="00DE0481">
            <w:trPr>
              <w:trHeight w:val="300"/>
            </w:trPr>
            <w:tc>
              <w:tcPr>
                <w:tcW w:w="3763" w:type="dxa"/>
                <w:tcMar>
                  <w:top w:w="15" w:type="dxa"/>
                  <w:left w:w="15" w:type="dxa"/>
                  <w:right w:w="15" w:type="dxa"/>
                </w:tcMar>
                <w:vAlign w:val="center"/>
              </w:tcPr>
              <w:p w14:paraId="31ACF126" w14:textId="6873C06D" w:rsidR="09F367D5" w:rsidRPr="00235607" w:rsidRDefault="09F367D5" w:rsidP="09F367D5">
                <w:pPr>
                  <w:spacing w:after="0"/>
                  <w:rPr>
                    <w:sz w:val="18"/>
                    <w:szCs w:val="18"/>
                  </w:rPr>
                </w:pPr>
                <w:r w:rsidRPr="00235607">
                  <w:rPr>
                    <w:rFonts w:ascii="Times New Roman" w:eastAsia="Times New Roman" w:hAnsi="Times New Roman"/>
                    <w:color w:val="000000" w:themeColor="text1"/>
                    <w:sz w:val="18"/>
                    <w:szCs w:val="18"/>
                  </w:rPr>
                  <w:t xml:space="preserve">Corrección de errores de un periodo contable anterior </w:t>
                </w:r>
              </w:p>
            </w:tc>
            <w:tc>
              <w:tcPr>
                <w:tcW w:w="1715" w:type="dxa"/>
                <w:tcMar>
                  <w:top w:w="15" w:type="dxa"/>
                  <w:left w:w="15" w:type="dxa"/>
                  <w:right w:w="15" w:type="dxa"/>
                </w:tcMar>
                <w:vAlign w:val="center"/>
              </w:tcPr>
              <w:p w14:paraId="0562500E" w14:textId="14AFE401" w:rsidR="09F367D5" w:rsidRPr="00235607" w:rsidRDefault="09F367D5" w:rsidP="09F367D5">
                <w:pPr>
                  <w:spacing w:after="0"/>
                  <w:jc w:val="right"/>
                  <w:rPr>
                    <w:sz w:val="18"/>
                    <w:szCs w:val="18"/>
                  </w:rPr>
                </w:pPr>
                <w:r w:rsidRPr="00235607">
                  <w:rPr>
                    <w:rFonts w:ascii="Times New Roman" w:eastAsia="Times New Roman" w:hAnsi="Times New Roman"/>
                    <w:color w:val="000000" w:themeColor="text1"/>
                    <w:sz w:val="18"/>
                    <w:szCs w:val="18"/>
                  </w:rPr>
                  <w:t>1.857.953.949.314</w:t>
                </w:r>
              </w:p>
            </w:tc>
            <w:tc>
              <w:tcPr>
                <w:tcW w:w="1715" w:type="dxa"/>
                <w:tcMar>
                  <w:top w:w="15" w:type="dxa"/>
                  <w:left w:w="15" w:type="dxa"/>
                  <w:right w:w="15" w:type="dxa"/>
                </w:tcMar>
                <w:vAlign w:val="center"/>
              </w:tcPr>
              <w:p w14:paraId="2A00BF84" w14:textId="07C9932E" w:rsidR="09F367D5" w:rsidRPr="00235607" w:rsidRDefault="09F367D5" w:rsidP="09F367D5">
                <w:pPr>
                  <w:spacing w:after="0"/>
                  <w:jc w:val="right"/>
                  <w:rPr>
                    <w:sz w:val="18"/>
                    <w:szCs w:val="18"/>
                  </w:rPr>
                </w:pPr>
                <w:r w:rsidRPr="00235607">
                  <w:rPr>
                    <w:rFonts w:ascii="Times New Roman" w:eastAsia="Times New Roman" w:hAnsi="Times New Roman"/>
                    <w:color w:val="000000" w:themeColor="text1"/>
                    <w:sz w:val="18"/>
                    <w:szCs w:val="18"/>
                  </w:rPr>
                  <w:t>737.546.024.749</w:t>
                </w:r>
              </w:p>
            </w:tc>
            <w:tc>
              <w:tcPr>
                <w:tcW w:w="1592" w:type="dxa"/>
                <w:tcMar>
                  <w:top w:w="15" w:type="dxa"/>
                  <w:left w:w="15" w:type="dxa"/>
                  <w:right w:w="15" w:type="dxa"/>
                </w:tcMar>
                <w:vAlign w:val="center"/>
              </w:tcPr>
              <w:p w14:paraId="1B99E1C3" w14:textId="599F4A24" w:rsidR="09F367D5" w:rsidRPr="00235607" w:rsidRDefault="09F367D5" w:rsidP="09F367D5">
                <w:pPr>
                  <w:spacing w:after="0"/>
                  <w:jc w:val="right"/>
                  <w:rPr>
                    <w:sz w:val="18"/>
                    <w:szCs w:val="18"/>
                  </w:rPr>
                </w:pPr>
                <w:r w:rsidRPr="00235607">
                  <w:rPr>
                    <w:rFonts w:ascii="Times New Roman" w:eastAsia="Times New Roman" w:hAnsi="Times New Roman"/>
                    <w:color w:val="000000" w:themeColor="text1"/>
                    <w:sz w:val="18"/>
                    <w:szCs w:val="18"/>
                  </w:rPr>
                  <w:t>1.120.407.924.565</w:t>
                </w:r>
              </w:p>
            </w:tc>
          </w:tr>
          <w:tr w:rsidR="09F367D5" w:rsidRPr="00235607" w14:paraId="3A7A2636" w14:textId="77777777" w:rsidTr="00DE0481">
            <w:trPr>
              <w:trHeight w:val="300"/>
            </w:trPr>
            <w:tc>
              <w:tcPr>
                <w:tcW w:w="3763" w:type="dxa"/>
                <w:tcMar>
                  <w:top w:w="15" w:type="dxa"/>
                  <w:left w:w="15" w:type="dxa"/>
                  <w:right w:w="15" w:type="dxa"/>
                </w:tcMar>
                <w:vAlign w:val="center"/>
              </w:tcPr>
              <w:p w14:paraId="19ABF532" w14:textId="5F7EF8A8" w:rsidR="09F367D5" w:rsidRPr="00235607" w:rsidRDefault="09F367D5" w:rsidP="09F367D5">
                <w:pPr>
                  <w:spacing w:after="0"/>
                  <w:rPr>
                    <w:sz w:val="18"/>
                    <w:szCs w:val="18"/>
                  </w:rPr>
                </w:pPr>
                <w:r w:rsidRPr="00235607">
                  <w:rPr>
                    <w:rFonts w:ascii="Times New Roman" w:eastAsia="Times New Roman" w:hAnsi="Times New Roman"/>
                    <w:color w:val="000000" w:themeColor="text1"/>
                    <w:sz w:val="18"/>
                    <w:szCs w:val="18"/>
                  </w:rPr>
                  <w:t>Por cambio de política contable</w:t>
                </w:r>
              </w:p>
            </w:tc>
            <w:tc>
              <w:tcPr>
                <w:tcW w:w="1715" w:type="dxa"/>
                <w:tcMar>
                  <w:top w:w="15" w:type="dxa"/>
                  <w:left w:w="15" w:type="dxa"/>
                  <w:right w:w="15" w:type="dxa"/>
                </w:tcMar>
                <w:vAlign w:val="center"/>
              </w:tcPr>
              <w:p w14:paraId="5056031B" w14:textId="40FA7EAC" w:rsidR="09F367D5" w:rsidRPr="00235607" w:rsidRDefault="09F367D5" w:rsidP="09F367D5">
                <w:pPr>
                  <w:spacing w:after="0"/>
                  <w:jc w:val="right"/>
                  <w:rPr>
                    <w:sz w:val="18"/>
                    <w:szCs w:val="18"/>
                  </w:rPr>
                </w:pPr>
                <w:r w:rsidRPr="00235607">
                  <w:rPr>
                    <w:rFonts w:ascii="Times New Roman" w:eastAsia="Times New Roman" w:hAnsi="Times New Roman"/>
                    <w:color w:val="000000" w:themeColor="text1"/>
                    <w:sz w:val="18"/>
                    <w:szCs w:val="18"/>
                  </w:rPr>
                  <w:t>2.307.038.461.524</w:t>
                </w:r>
              </w:p>
            </w:tc>
            <w:tc>
              <w:tcPr>
                <w:tcW w:w="1715" w:type="dxa"/>
                <w:tcMar>
                  <w:top w:w="15" w:type="dxa"/>
                  <w:left w:w="15" w:type="dxa"/>
                  <w:right w:w="15" w:type="dxa"/>
                </w:tcMar>
                <w:vAlign w:val="center"/>
              </w:tcPr>
              <w:p w14:paraId="31592396" w14:textId="7869FFB5" w:rsidR="09F367D5" w:rsidRPr="00235607" w:rsidRDefault="09F367D5" w:rsidP="09F367D5">
                <w:pPr>
                  <w:spacing w:after="0"/>
                  <w:jc w:val="right"/>
                  <w:rPr>
                    <w:sz w:val="18"/>
                    <w:szCs w:val="18"/>
                  </w:rPr>
                </w:pPr>
                <w:r w:rsidRPr="00235607">
                  <w:rPr>
                    <w:rFonts w:ascii="Times New Roman" w:eastAsia="Times New Roman" w:hAnsi="Times New Roman"/>
                    <w:color w:val="000000" w:themeColor="text1"/>
                    <w:sz w:val="18"/>
                    <w:szCs w:val="18"/>
                  </w:rPr>
                  <w:t>2.307.038.461.524</w:t>
                </w:r>
              </w:p>
            </w:tc>
            <w:tc>
              <w:tcPr>
                <w:tcW w:w="1592" w:type="dxa"/>
                <w:tcMar>
                  <w:top w:w="15" w:type="dxa"/>
                  <w:left w:w="15" w:type="dxa"/>
                  <w:right w:w="15" w:type="dxa"/>
                </w:tcMar>
                <w:vAlign w:val="center"/>
              </w:tcPr>
              <w:p w14:paraId="49D39537" w14:textId="3EF194F4" w:rsidR="09F367D5" w:rsidRPr="00235607" w:rsidRDefault="09F367D5" w:rsidP="09F367D5">
                <w:pPr>
                  <w:spacing w:after="0"/>
                  <w:jc w:val="right"/>
                  <w:rPr>
                    <w:sz w:val="18"/>
                    <w:szCs w:val="18"/>
                  </w:rPr>
                </w:pPr>
                <w:r w:rsidRPr="00235607">
                  <w:rPr>
                    <w:rFonts w:ascii="Times New Roman" w:eastAsia="Times New Roman" w:hAnsi="Times New Roman"/>
                    <w:color w:val="000000" w:themeColor="text1"/>
                    <w:sz w:val="18"/>
                    <w:szCs w:val="18"/>
                  </w:rPr>
                  <w:t>0</w:t>
                </w:r>
              </w:p>
            </w:tc>
          </w:tr>
          <w:tr w:rsidR="09F367D5" w:rsidRPr="00235607" w14:paraId="62C709B8" w14:textId="77777777" w:rsidTr="00DE0481">
            <w:trPr>
              <w:trHeight w:val="300"/>
            </w:trPr>
            <w:tc>
              <w:tcPr>
                <w:tcW w:w="3763" w:type="dxa"/>
                <w:tcMar>
                  <w:top w:w="15" w:type="dxa"/>
                  <w:left w:w="15" w:type="dxa"/>
                  <w:right w:w="15" w:type="dxa"/>
                </w:tcMar>
                <w:vAlign w:val="center"/>
              </w:tcPr>
              <w:p w14:paraId="3A8759D7" w14:textId="5472E43B" w:rsidR="09F367D5" w:rsidRPr="00235607" w:rsidRDefault="09F367D5" w:rsidP="09F367D5">
                <w:pPr>
                  <w:spacing w:after="0"/>
                  <w:rPr>
                    <w:sz w:val="18"/>
                    <w:szCs w:val="18"/>
                  </w:rPr>
                </w:pPr>
                <w:r w:rsidRPr="00235607">
                  <w:rPr>
                    <w:rFonts w:ascii="Times New Roman" w:eastAsia="Times New Roman" w:hAnsi="Times New Roman"/>
                    <w:color w:val="000000" w:themeColor="text1"/>
                    <w:sz w:val="18"/>
                    <w:szCs w:val="18"/>
                  </w:rPr>
                  <w:t xml:space="preserve">Pérdidas o déficits acumulados </w:t>
                </w:r>
              </w:p>
            </w:tc>
            <w:tc>
              <w:tcPr>
                <w:tcW w:w="1715" w:type="dxa"/>
                <w:tcMar>
                  <w:top w:w="15" w:type="dxa"/>
                  <w:left w:w="15" w:type="dxa"/>
                  <w:right w:w="15" w:type="dxa"/>
                </w:tcMar>
                <w:vAlign w:val="center"/>
              </w:tcPr>
              <w:p w14:paraId="05EFA8DB" w14:textId="31F32AF8" w:rsidR="09F367D5" w:rsidRPr="00235607" w:rsidRDefault="09F367D5" w:rsidP="09F367D5">
                <w:pPr>
                  <w:spacing w:after="0"/>
                  <w:jc w:val="right"/>
                  <w:rPr>
                    <w:sz w:val="18"/>
                    <w:szCs w:val="18"/>
                  </w:rPr>
                </w:pPr>
                <w:r w:rsidRPr="00235607">
                  <w:rPr>
                    <w:rFonts w:ascii="Times New Roman" w:eastAsia="Times New Roman" w:hAnsi="Times New Roman"/>
                    <w:color w:val="000000" w:themeColor="text1"/>
                    <w:sz w:val="18"/>
                    <w:szCs w:val="18"/>
                  </w:rPr>
                  <w:t>-15.169.328.921.180</w:t>
                </w:r>
              </w:p>
            </w:tc>
            <w:tc>
              <w:tcPr>
                <w:tcW w:w="1715" w:type="dxa"/>
                <w:tcMar>
                  <w:top w:w="15" w:type="dxa"/>
                  <w:left w:w="15" w:type="dxa"/>
                  <w:right w:w="15" w:type="dxa"/>
                </w:tcMar>
                <w:vAlign w:val="center"/>
              </w:tcPr>
              <w:p w14:paraId="1FA3B4A6" w14:textId="303B57B7" w:rsidR="09F367D5" w:rsidRPr="00235607" w:rsidRDefault="09F367D5" w:rsidP="09F367D5">
                <w:pPr>
                  <w:spacing w:after="0"/>
                  <w:jc w:val="right"/>
                  <w:rPr>
                    <w:sz w:val="18"/>
                    <w:szCs w:val="18"/>
                  </w:rPr>
                </w:pPr>
                <w:r w:rsidRPr="00235607">
                  <w:rPr>
                    <w:rFonts w:ascii="Times New Roman" w:eastAsia="Times New Roman" w:hAnsi="Times New Roman"/>
                    <w:color w:val="000000" w:themeColor="text1"/>
                    <w:sz w:val="18"/>
                    <w:szCs w:val="18"/>
                  </w:rPr>
                  <w:t>-15.169.328.921.180</w:t>
                </w:r>
              </w:p>
            </w:tc>
            <w:tc>
              <w:tcPr>
                <w:tcW w:w="1592" w:type="dxa"/>
                <w:tcMar>
                  <w:top w:w="15" w:type="dxa"/>
                  <w:left w:w="15" w:type="dxa"/>
                  <w:right w:w="15" w:type="dxa"/>
                </w:tcMar>
                <w:vAlign w:val="center"/>
              </w:tcPr>
              <w:p w14:paraId="4858CC2A" w14:textId="3DB5C443" w:rsidR="09F367D5" w:rsidRPr="00235607" w:rsidRDefault="09F367D5" w:rsidP="09F367D5">
                <w:pPr>
                  <w:spacing w:after="0"/>
                  <w:jc w:val="right"/>
                  <w:rPr>
                    <w:sz w:val="18"/>
                    <w:szCs w:val="18"/>
                  </w:rPr>
                </w:pPr>
                <w:r w:rsidRPr="00235607">
                  <w:rPr>
                    <w:rFonts w:ascii="Times New Roman" w:eastAsia="Times New Roman" w:hAnsi="Times New Roman"/>
                    <w:color w:val="000000" w:themeColor="text1"/>
                    <w:sz w:val="18"/>
                    <w:szCs w:val="18"/>
                  </w:rPr>
                  <w:t>0</w:t>
                </w:r>
              </w:p>
            </w:tc>
          </w:tr>
        </w:tbl>
        <w:p w14:paraId="47B94B39" w14:textId="68A6D92B" w:rsidR="009172DA" w:rsidRPr="00931DCE" w:rsidRDefault="00AD2026" w:rsidP="004A000E">
          <w:pPr>
            <w:spacing w:after="0" w:line="240" w:lineRule="auto"/>
            <w:jc w:val="both"/>
            <w:rPr>
              <w:rFonts w:ascii="Times New Roman" w:hAnsi="Times New Roman"/>
              <w:sz w:val="14"/>
              <w:szCs w:val="14"/>
            </w:rPr>
          </w:pPr>
          <w:r w:rsidRPr="00931DCE">
            <w:rPr>
              <w:rFonts w:ascii="Times New Roman" w:hAnsi="Times New Roman"/>
              <w:sz w:val="14"/>
              <w:szCs w:val="14"/>
            </w:rPr>
            <w:t>Cifras expresadas en pesos</w:t>
          </w:r>
        </w:p>
        <w:p w14:paraId="507CD008" w14:textId="5F459327" w:rsidR="001B1400" w:rsidRPr="00931DCE" w:rsidRDefault="001B1400" w:rsidP="004A000E">
          <w:pPr>
            <w:spacing w:after="0" w:line="240" w:lineRule="auto"/>
            <w:jc w:val="both"/>
            <w:rPr>
              <w:rFonts w:ascii="Times New Roman" w:hAnsi="Times New Roman"/>
              <w:sz w:val="24"/>
              <w:szCs w:val="24"/>
            </w:rPr>
          </w:pPr>
        </w:p>
        <w:p w14:paraId="2FF3920A" w14:textId="082CF9E3" w:rsidR="009172DA" w:rsidRPr="00931DCE" w:rsidRDefault="6E0EB3CF" w:rsidP="004A000E">
          <w:pPr>
            <w:spacing w:after="0" w:line="240" w:lineRule="auto"/>
            <w:jc w:val="both"/>
            <w:rPr>
              <w:rFonts w:ascii="Times New Roman" w:hAnsi="Times New Roman"/>
              <w:sz w:val="24"/>
              <w:szCs w:val="24"/>
            </w:rPr>
          </w:pPr>
          <w:r w:rsidRPr="09F367D5">
            <w:rPr>
              <w:rFonts w:ascii="Times New Roman" w:hAnsi="Times New Roman"/>
              <w:sz w:val="24"/>
              <w:szCs w:val="24"/>
            </w:rPr>
            <w:t>La</w:t>
          </w:r>
          <w:r w:rsidR="009172DA" w:rsidRPr="00931DCE">
            <w:rPr>
              <w:rFonts w:ascii="Times New Roman" w:hAnsi="Times New Roman"/>
              <w:sz w:val="24"/>
              <w:szCs w:val="24"/>
            </w:rPr>
            <w:t xml:space="preserve"> Utilidad o excedentes acumulados a 31 de diciembre de </w:t>
          </w:r>
          <w:r w:rsidR="00EF6E05" w:rsidRPr="09F367D5">
            <w:rPr>
              <w:rFonts w:ascii="Times New Roman" w:hAnsi="Times New Roman"/>
              <w:sz w:val="24"/>
              <w:szCs w:val="24"/>
            </w:rPr>
            <w:t>202</w:t>
          </w:r>
          <w:r w:rsidR="712ADC4D" w:rsidRPr="09F367D5">
            <w:rPr>
              <w:rFonts w:ascii="Times New Roman" w:hAnsi="Times New Roman"/>
              <w:sz w:val="24"/>
              <w:szCs w:val="24"/>
            </w:rPr>
            <w:t>3</w:t>
          </w:r>
          <w:r w:rsidR="009172DA" w:rsidRPr="09F367D5">
            <w:rPr>
              <w:rFonts w:ascii="Times New Roman" w:hAnsi="Times New Roman"/>
              <w:sz w:val="24"/>
              <w:szCs w:val="24"/>
            </w:rPr>
            <w:t>, present</w:t>
          </w:r>
          <w:r w:rsidR="30559DCA" w:rsidRPr="09F367D5">
            <w:rPr>
              <w:rFonts w:ascii="Times New Roman" w:hAnsi="Times New Roman"/>
              <w:sz w:val="24"/>
              <w:szCs w:val="24"/>
            </w:rPr>
            <w:t>ó una variación</w:t>
          </w:r>
          <w:r w:rsidR="008E5EFD" w:rsidRPr="00931DCE">
            <w:rPr>
              <w:rFonts w:ascii="Times New Roman" w:hAnsi="Times New Roman"/>
              <w:sz w:val="24"/>
              <w:szCs w:val="24"/>
            </w:rPr>
            <w:t xml:space="preserve"> por </w:t>
          </w:r>
          <w:r w:rsidR="30559DCA" w:rsidRPr="09F367D5">
            <w:rPr>
              <w:rFonts w:ascii="Times New Roman" w:hAnsi="Times New Roman"/>
              <w:sz w:val="24"/>
              <w:szCs w:val="24"/>
            </w:rPr>
            <w:t>valor de $1.350.768.727.727, correspondiente a</w:t>
          </w:r>
          <w:r w:rsidR="008E5EFD" w:rsidRPr="00931DCE">
            <w:rPr>
              <w:rFonts w:ascii="Times New Roman" w:hAnsi="Times New Roman"/>
              <w:sz w:val="24"/>
              <w:szCs w:val="24"/>
            </w:rPr>
            <w:t>:</w:t>
          </w:r>
        </w:p>
        <w:p w14:paraId="171F13FA" w14:textId="1E4E211C" w:rsidR="008E5EFD" w:rsidRPr="00931DCE" w:rsidRDefault="008E5EFD" w:rsidP="004A000E">
          <w:pPr>
            <w:spacing w:after="0" w:line="240" w:lineRule="auto"/>
            <w:jc w:val="both"/>
            <w:rPr>
              <w:rFonts w:ascii="Times New Roman" w:hAnsi="Times New Roman"/>
              <w:sz w:val="24"/>
              <w:szCs w:val="24"/>
            </w:rPr>
          </w:pPr>
        </w:p>
        <w:p w14:paraId="092AAF11" w14:textId="07CBEA89" w:rsidR="006C5D60" w:rsidRPr="00931DCE" w:rsidRDefault="008626F2" w:rsidP="00E60BAB">
          <w:pPr>
            <w:pStyle w:val="Prrafodelista"/>
            <w:numPr>
              <w:ilvl w:val="0"/>
              <w:numId w:val="35"/>
            </w:numPr>
            <w:spacing w:after="0" w:line="240" w:lineRule="auto"/>
            <w:jc w:val="both"/>
            <w:rPr>
              <w:rFonts w:ascii="Times New Roman" w:hAnsi="Times New Roman"/>
            </w:rPr>
          </w:pPr>
          <w:r w:rsidRPr="09F367D5">
            <w:rPr>
              <w:rFonts w:ascii="Times New Roman" w:hAnsi="Times New Roman"/>
              <w:sz w:val="24"/>
              <w:szCs w:val="24"/>
            </w:rPr>
            <w:t>Rec</w:t>
          </w:r>
          <w:r w:rsidR="64F1E7CE" w:rsidRPr="09F367D5">
            <w:rPr>
              <w:rFonts w:ascii="Times New Roman" w:hAnsi="Times New Roman"/>
              <w:sz w:val="24"/>
              <w:szCs w:val="24"/>
            </w:rPr>
            <w:t>lasificación</w:t>
          </w:r>
          <w:r w:rsidRPr="00931DCE">
            <w:rPr>
              <w:rFonts w:ascii="Times New Roman" w:hAnsi="Times New Roman"/>
              <w:sz w:val="24"/>
              <w:szCs w:val="24"/>
            </w:rPr>
            <w:t xml:space="preserve"> </w:t>
          </w:r>
          <w:r w:rsidR="006F14E5" w:rsidRPr="00931DCE">
            <w:rPr>
              <w:rFonts w:ascii="Times New Roman" w:hAnsi="Times New Roman"/>
              <w:sz w:val="24"/>
              <w:szCs w:val="24"/>
            </w:rPr>
            <w:t>del excedente generado</w:t>
          </w:r>
          <w:r w:rsidRPr="00931DCE">
            <w:rPr>
              <w:rFonts w:ascii="Times New Roman" w:hAnsi="Times New Roman"/>
              <w:sz w:val="24"/>
              <w:szCs w:val="24"/>
            </w:rPr>
            <w:t xml:space="preserve"> en el cierre de la vigencia </w:t>
          </w:r>
          <w:r w:rsidR="00EF6E05" w:rsidRPr="09F367D5">
            <w:rPr>
              <w:rFonts w:ascii="Times New Roman" w:hAnsi="Times New Roman"/>
              <w:sz w:val="24"/>
              <w:szCs w:val="24"/>
            </w:rPr>
            <w:t>202</w:t>
          </w:r>
          <w:r w:rsidR="5F0F838C" w:rsidRPr="09F367D5">
            <w:rPr>
              <w:rFonts w:ascii="Times New Roman" w:hAnsi="Times New Roman"/>
              <w:sz w:val="24"/>
              <w:szCs w:val="24"/>
            </w:rPr>
            <w:t>2</w:t>
          </w:r>
          <w:r w:rsidRPr="09F367D5">
            <w:rPr>
              <w:rFonts w:ascii="Times New Roman" w:hAnsi="Times New Roman"/>
              <w:sz w:val="24"/>
              <w:szCs w:val="24"/>
            </w:rPr>
            <w:t xml:space="preserve">, </w:t>
          </w:r>
          <w:r w:rsidR="6E007AB5" w:rsidRPr="09F367D5">
            <w:rPr>
              <w:rFonts w:ascii="Times New Roman" w:hAnsi="Times New Roman"/>
              <w:sz w:val="24"/>
              <w:szCs w:val="24"/>
            </w:rPr>
            <w:t>para</w:t>
          </w:r>
          <w:r w:rsidRPr="00931DCE">
            <w:rPr>
              <w:rFonts w:ascii="Times New Roman" w:hAnsi="Times New Roman"/>
              <w:sz w:val="24"/>
              <w:szCs w:val="24"/>
            </w:rPr>
            <w:t xml:space="preserve"> un aumento de </w:t>
          </w:r>
          <w:r w:rsidR="25A0C875" w:rsidRPr="09F367D5">
            <w:rPr>
              <w:rFonts w:ascii="Times New Roman" w:hAnsi="Times New Roman"/>
              <w:sz w:val="24"/>
              <w:szCs w:val="24"/>
            </w:rPr>
            <w:t>$1.856.451.157.130</w:t>
          </w:r>
          <w:r w:rsidRPr="00931DCE">
            <w:rPr>
              <w:rFonts w:ascii="Times New Roman" w:hAnsi="Times New Roman"/>
              <w:sz w:val="24"/>
              <w:szCs w:val="24"/>
            </w:rPr>
            <w:t>.</w:t>
          </w:r>
        </w:p>
        <w:p w14:paraId="3658E6FF" w14:textId="6CEC66D5" w:rsidR="008E5EFD" w:rsidRPr="00931DCE" w:rsidRDefault="008E5EFD" w:rsidP="00E60BAB">
          <w:pPr>
            <w:pStyle w:val="Prrafodelista"/>
            <w:numPr>
              <w:ilvl w:val="0"/>
              <w:numId w:val="35"/>
            </w:numPr>
            <w:spacing w:after="0" w:line="240" w:lineRule="auto"/>
            <w:jc w:val="both"/>
            <w:rPr>
              <w:rFonts w:ascii="Times New Roman" w:hAnsi="Times New Roman"/>
            </w:rPr>
          </w:pPr>
          <w:r w:rsidRPr="00931DCE">
            <w:rPr>
              <w:rFonts w:ascii="Times New Roman" w:hAnsi="Times New Roman"/>
              <w:sz w:val="24"/>
              <w:szCs w:val="24"/>
            </w:rPr>
            <w:t xml:space="preserve">Ajuste por cambios de medición del modo carretero a los saldos presentados a 31 de diciembre </w:t>
          </w:r>
          <w:r w:rsidRPr="09F367D5">
            <w:rPr>
              <w:rFonts w:ascii="Times New Roman" w:hAnsi="Times New Roman"/>
              <w:sz w:val="24"/>
              <w:szCs w:val="24"/>
            </w:rPr>
            <w:t>de</w:t>
          </w:r>
          <w:r w:rsidR="387F91E3" w:rsidRPr="09F367D5">
            <w:rPr>
              <w:rFonts w:ascii="Times New Roman" w:hAnsi="Times New Roman"/>
              <w:sz w:val="24"/>
              <w:szCs w:val="24"/>
            </w:rPr>
            <w:t xml:space="preserve">l </w:t>
          </w:r>
          <w:r w:rsidR="00C3311D" w:rsidRPr="09F367D5">
            <w:rPr>
              <w:rFonts w:ascii="Times New Roman" w:hAnsi="Times New Roman"/>
              <w:sz w:val="24"/>
              <w:szCs w:val="24"/>
            </w:rPr>
            <w:t>pasivo</w:t>
          </w:r>
          <w:r w:rsidRPr="00931DCE">
            <w:rPr>
              <w:rFonts w:ascii="Times New Roman" w:hAnsi="Times New Roman"/>
              <w:sz w:val="24"/>
              <w:szCs w:val="24"/>
            </w:rPr>
            <w:t xml:space="preserve">, en virtud de las actualizaciones efectuadas en el </w:t>
          </w:r>
          <w:r w:rsidRPr="00931DCE">
            <w:rPr>
              <w:rFonts w:ascii="Times New Roman" w:hAnsi="Times New Roman"/>
              <w:i/>
              <w:iCs/>
              <w:sz w:val="24"/>
              <w:szCs w:val="24"/>
            </w:rPr>
            <w:t>“Modelo financiero para propósitos contables”</w:t>
          </w:r>
          <w:r w:rsidRPr="00931DCE">
            <w:rPr>
              <w:rFonts w:ascii="Times New Roman" w:hAnsi="Times New Roman"/>
              <w:sz w:val="24"/>
              <w:szCs w:val="24"/>
            </w:rPr>
            <w:t xml:space="preserve"> con una disminución neta de $</w:t>
          </w:r>
          <w:r w:rsidR="3D89EEB2" w:rsidRPr="09F367D5">
            <w:rPr>
              <w:rFonts w:ascii="Times New Roman" w:hAnsi="Times New Roman"/>
              <w:sz w:val="24"/>
              <w:szCs w:val="24"/>
            </w:rPr>
            <w:t>133.459.137.737</w:t>
          </w:r>
          <w:r w:rsidRPr="00931DCE">
            <w:rPr>
              <w:rFonts w:ascii="Times New Roman" w:hAnsi="Times New Roman"/>
              <w:sz w:val="24"/>
              <w:szCs w:val="24"/>
            </w:rPr>
            <w:t>.</w:t>
          </w:r>
        </w:p>
        <w:p w14:paraId="27A1833A" w14:textId="51C3649B" w:rsidR="000F4D69" w:rsidRPr="00931DCE" w:rsidRDefault="000F4D69" w:rsidP="00E60BAB">
          <w:pPr>
            <w:pStyle w:val="Prrafodelista"/>
            <w:numPr>
              <w:ilvl w:val="0"/>
              <w:numId w:val="35"/>
            </w:numPr>
            <w:spacing w:after="0" w:line="240" w:lineRule="auto"/>
            <w:jc w:val="both"/>
            <w:rPr>
              <w:rFonts w:ascii="Times New Roman" w:hAnsi="Times New Roman"/>
            </w:rPr>
          </w:pPr>
          <w:r w:rsidRPr="09F367D5">
            <w:rPr>
              <w:rFonts w:ascii="Times New Roman" w:hAnsi="Times New Roman"/>
              <w:sz w:val="24"/>
              <w:szCs w:val="24"/>
            </w:rPr>
            <w:t xml:space="preserve">Incorporación de </w:t>
          </w:r>
          <w:r w:rsidR="329003F4" w:rsidRPr="0D2B0897">
            <w:rPr>
              <w:rFonts w:ascii="Times New Roman" w:hAnsi="Times New Roman"/>
              <w:sz w:val="24"/>
              <w:szCs w:val="24"/>
            </w:rPr>
            <w:t xml:space="preserve">saldos contables </w:t>
          </w:r>
          <w:r w:rsidR="2299C50A" w:rsidRPr="3AF2C665">
            <w:rPr>
              <w:rFonts w:ascii="Times New Roman" w:hAnsi="Times New Roman"/>
              <w:sz w:val="24"/>
              <w:szCs w:val="24"/>
            </w:rPr>
            <w:t>que aumenta</w:t>
          </w:r>
          <w:r w:rsidR="329003F4" w:rsidRPr="0D2B0897">
            <w:rPr>
              <w:rFonts w:ascii="Times New Roman" w:hAnsi="Times New Roman"/>
              <w:sz w:val="24"/>
              <w:szCs w:val="24"/>
            </w:rPr>
            <w:t xml:space="preserve"> los </w:t>
          </w:r>
          <w:r w:rsidR="2C296D90" w:rsidRPr="09F367D5">
            <w:rPr>
              <w:rFonts w:ascii="Times New Roman" w:hAnsi="Times New Roman"/>
              <w:sz w:val="24"/>
              <w:szCs w:val="24"/>
            </w:rPr>
            <w:t>Bienes de Uso Público por información suministrada</w:t>
          </w:r>
          <w:r w:rsidRPr="09F367D5">
            <w:rPr>
              <w:rFonts w:ascii="Times New Roman" w:hAnsi="Times New Roman"/>
              <w:sz w:val="24"/>
              <w:szCs w:val="24"/>
            </w:rPr>
            <w:t xml:space="preserve"> por </w:t>
          </w:r>
          <w:r w:rsidR="249C725E" w:rsidRPr="07243D6E">
            <w:rPr>
              <w:rFonts w:ascii="Times New Roman" w:hAnsi="Times New Roman"/>
              <w:sz w:val="24"/>
              <w:szCs w:val="24"/>
            </w:rPr>
            <w:t xml:space="preserve">las </w:t>
          </w:r>
          <w:r w:rsidR="249C725E" w:rsidRPr="5C1D5590">
            <w:rPr>
              <w:rFonts w:ascii="Times New Roman" w:hAnsi="Times New Roman"/>
              <w:sz w:val="24"/>
              <w:szCs w:val="24"/>
            </w:rPr>
            <w:t>t</w:t>
          </w:r>
          <w:r w:rsidR="38309264" w:rsidRPr="5C1D5590">
            <w:rPr>
              <w:rFonts w:ascii="Times New Roman" w:hAnsi="Times New Roman"/>
              <w:sz w:val="24"/>
              <w:szCs w:val="24"/>
            </w:rPr>
            <w:t>itulares</w:t>
          </w:r>
          <w:r w:rsidR="429BA96A" w:rsidRPr="5C1D5590">
            <w:rPr>
              <w:rFonts w:ascii="Times New Roman" w:hAnsi="Times New Roman"/>
              <w:sz w:val="24"/>
              <w:szCs w:val="24"/>
            </w:rPr>
            <w:t>:</w:t>
          </w:r>
          <w:r w:rsidR="396F7269" w:rsidRPr="5C1D5590">
            <w:rPr>
              <w:rFonts w:ascii="Times New Roman" w:hAnsi="Times New Roman"/>
              <w:sz w:val="24"/>
              <w:szCs w:val="24"/>
            </w:rPr>
            <w:t xml:space="preserve"> </w:t>
          </w:r>
          <w:r w:rsidR="2FC3FD97" w:rsidRPr="5C1D5590">
            <w:rPr>
              <w:rFonts w:ascii="Times New Roman" w:hAnsi="Times New Roman"/>
              <w:sz w:val="24"/>
              <w:szCs w:val="24"/>
            </w:rPr>
            <w:t>el Instituto de Desarrollo Urbano</w:t>
          </w:r>
          <w:r w:rsidR="2AC4D83F" w:rsidRPr="5C1D5590">
            <w:rPr>
              <w:rFonts w:ascii="Times New Roman" w:hAnsi="Times New Roman"/>
              <w:sz w:val="24"/>
              <w:szCs w:val="24"/>
            </w:rPr>
            <w:t xml:space="preserve"> - </w:t>
          </w:r>
          <w:r w:rsidR="2FC3FD97" w:rsidRPr="5C1D5590">
            <w:rPr>
              <w:rFonts w:ascii="Times New Roman" w:hAnsi="Times New Roman"/>
              <w:sz w:val="24"/>
              <w:szCs w:val="24"/>
            </w:rPr>
            <w:t>IDU para el modo carretero por valor de $</w:t>
          </w:r>
          <w:r w:rsidR="136F76AD" w:rsidRPr="5C1D5590">
            <w:rPr>
              <w:rFonts w:ascii="Times New Roman" w:hAnsi="Times New Roman"/>
              <w:sz w:val="24"/>
              <w:szCs w:val="24"/>
            </w:rPr>
            <w:t>33.912.857.</w:t>
          </w:r>
          <w:r w:rsidR="136F76AD" w:rsidRPr="3AF2C665">
            <w:rPr>
              <w:rFonts w:ascii="Times New Roman" w:hAnsi="Times New Roman"/>
              <w:sz w:val="24"/>
              <w:szCs w:val="24"/>
            </w:rPr>
            <w:t>739</w:t>
          </w:r>
          <w:r w:rsidR="2FC3FD97" w:rsidRPr="3AF2C665">
            <w:rPr>
              <w:rFonts w:ascii="Times New Roman" w:hAnsi="Times New Roman"/>
              <w:sz w:val="24"/>
              <w:szCs w:val="24"/>
            </w:rPr>
            <w:t>.</w:t>
          </w:r>
          <w:r w:rsidR="2FC3FD97" w:rsidRPr="5C1D5590">
            <w:rPr>
              <w:rFonts w:ascii="Times New Roman" w:hAnsi="Times New Roman"/>
              <w:sz w:val="24"/>
              <w:szCs w:val="24"/>
            </w:rPr>
            <w:t xml:space="preserve"> </w:t>
          </w:r>
          <w:r w:rsidR="70131FA7" w:rsidRPr="5C1D5590">
            <w:rPr>
              <w:rFonts w:ascii="Times New Roman" w:hAnsi="Times New Roman"/>
              <w:sz w:val="24"/>
              <w:szCs w:val="24"/>
            </w:rPr>
            <w:t xml:space="preserve">El </w:t>
          </w:r>
          <w:r w:rsidRPr="5C1D5590">
            <w:rPr>
              <w:rFonts w:ascii="Times New Roman" w:hAnsi="Times New Roman"/>
              <w:sz w:val="24"/>
              <w:szCs w:val="24"/>
            </w:rPr>
            <w:t>I</w:t>
          </w:r>
          <w:r w:rsidR="42876F9E" w:rsidRPr="5C1D5590">
            <w:rPr>
              <w:rFonts w:ascii="Times New Roman" w:hAnsi="Times New Roman"/>
              <w:sz w:val="24"/>
              <w:szCs w:val="24"/>
            </w:rPr>
            <w:t>nvias</w:t>
          </w:r>
          <w:r w:rsidRPr="5C1D5590">
            <w:rPr>
              <w:rFonts w:ascii="Times New Roman" w:hAnsi="Times New Roman"/>
              <w:sz w:val="24"/>
              <w:szCs w:val="24"/>
            </w:rPr>
            <w:t xml:space="preserve"> </w:t>
          </w:r>
          <w:r w:rsidR="71F62B05" w:rsidRPr="5C1D5590">
            <w:rPr>
              <w:rFonts w:ascii="Times New Roman" w:hAnsi="Times New Roman"/>
              <w:sz w:val="24"/>
              <w:szCs w:val="24"/>
            </w:rPr>
            <w:t>par</w:t>
          </w:r>
          <w:r w:rsidRPr="5C1D5590">
            <w:rPr>
              <w:rFonts w:ascii="Times New Roman" w:hAnsi="Times New Roman"/>
              <w:sz w:val="24"/>
              <w:szCs w:val="24"/>
            </w:rPr>
            <w:t>a</w:t>
          </w:r>
          <w:r w:rsidRPr="09F367D5">
            <w:rPr>
              <w:rFonts w:ascii="Times New Roman" w:hAnsi="Times New Roman"/>
              <w:sz w:val="24"/>
              <w:szCs w:val="24"/>
            </w:rPr>
            <w:t xml:space="preserve"> proyectos del modo carretero</w:t>
          </w:r>
          <w:r w:rsidR="6ACE52C1" w:rsidRPr="0D2B0897">
            <w:rPr>
              <w:rFonts w:ascii="Times New Roman" w:hAnsi="Times New Roman"/>
              <w:sz w:val="24"/>
              <w:szCs w:val="24"/>
            </w:rPr>
            <w:t>, portuario, y férreo</w:t>
          </w:r>
          <w:r w:rsidRPr="09F367D5">
            <w:rPr>
              <w:rFonts w:ascii="Times New Roman" w:hAnsi="Times New Roman"/>
              <w:sz w:val="24"/>
              <w:szCs w:val="24"/>
            </w:rPr>
            <w:t>, por valor de $</w:t>
          </w:r>
          <w:r w:rsidR="69A89076" w:rsidRPr="22FC7E65">
            <w:rPr>
              <w:rFonts w:ascii="Times New Roman" w:hAnsi="Times New Roman"/>
              <w:sz w:val="24"/>
              <w:szCs w:val="24"/>
            </w:rPr>
            <w:t>1.767.168.489.647</w:t>
          </w:r>
          <w:r w:rsidRPr="09F367D5">
            <w:rPr>
              <w:rFonts w:ascii="Times New Roman" w:hAnsi="Times New Roman"/>
              <w:sz w:val="24"/>
              <w:szCs w:val="24"/>
            </w:rPr>
            <w:t>.</w:t>
          </w:r>
        </w:p>
        <w:p w14:paraId="6F6F7E19" w14:textId="6B418838" w:rsidR="4C2B2A81" w:rsidRDefault="4C2B2A81" w:rsidP="00E60BAB">
          <w:pPr>
            <w:pStyle w:val="Prrafodelista"/>
            <w:numPr>
              <w:ilvl w:val="0"/>
              <w:numId w:val="35"/>
            </w:numPr>
            <w:spacing w:after="0" w:line="240" w:lineRule="auto"/>
            <w:jc w:val="both"/>
            <w:rPr>
              <w:rFonts w:ascii="Times New Roman" w:hAnsi="Times New Roman"/>
              <w:sz w:val="24"/>
              <w:szCs w:val="24"/>
            </w:rPr>
          </w:pPr>
          <w:r w:rsidRPr="4DCA2245">
            <w:rPr>
              <w:rFonts w:ascii="Times New Roman" w:hAnsi="Times New Roman"/>
              <w:sz w:val="24"/>
              <w:szCs w:val="24"/>
            </w:rPr>
            <w:t>Reconocimiento de las obras menores ejecutadas con rendimientos financieros de los patrimonios aut</w:t>
          </w:r>
          <w:r w:rsidR="23C46B43" w:rsidRPr="4DCA2245">
            <w:rPr>
              <w:rFonts w:ascii="Times New Roman" w:hAnsi="Times New Roman"/>
              <w:sz w:val="24"/>
              <w:szCs w:val="24"/>
            </w:rPr>
            <w:t>ónomos</w:t>
          </w:r>
          <w:r w:rsidR="0AE024DA" w:rsidRPr="4DCA2245">
            <w:rPr>
              <w:rFonts w:ascii="Times New Roman" w:hAnsi="Times New Roman"/>
              <w:sz w:val="24"/>
              <w:szCs w:val="24"/>
            </w:rPr>
            <w:t>, que incrementa el</w:t>
          </w:r>
          <w:r w:rsidRPr="4DCA2245">
            <w:rPr>
              <w:rFonts w:ascii="Times New Roman" w:hAnsi="Times New Roman"/>
              <w:sz w:val="24"/>
              <w:szCs w:val="24"/>
            </w:rPr>
            <w:t xml:space="preserve"> valor de $</w:t>
          </w:r>
          <w:r w:rsidR="718C85E9" w:rsidRPr="4DCA2245">
            <w:rPr>
              <w:rFonts w:ascii="Times New Roman" w:hAnsi="Times New Roman"/>
              <w:sz w:val="24"/>
              <w:szCs w:val="24"/>
            </w:rPr>
            <w:t>12.676.480.525.</w:t>
          </w:r>
        </w:p>
        <w:p w14:paraId="754AAD00" w14:textId="0ECC9D10" w:rsidR="000F4D69" w:rsidRPr="00931DCE" w:rsidRDefault="00093FD0" w:rsidP="00E60BAB">
          <w:pPr>
            <w:pStyle w:val="Prrafodelista"/>
            <w:numPr>
              <w:ilvl w:val="0"/>
              <w:numId w:val="35"/>
            </w:numPr>
            <w:spacing w:after="0" w:line="240" w:lineRule="auto"/>
            <w:jc w:val="both"/>
            <w:rPr>
              <w:rFonts w:ascii="Times New Roman" w:hAnsi="Times New Roman"/>
            </w:rPr>
          </w:pPr>
          <w:r w:rsidRPr="09F367D5">
            <w:rPr>
              <w:rFonts w:ascii="Times New Roman" w:hAnsi="Times New Roman"/>
              <w:sz w:val="24"/>
              <w:szCs w:val="24"/>
            </w:rPr>
            <w:lastRenderedPageBreak/>
            <w:t xml:space="preserve">Desincorporación </w:t>
          </w:r>
          <w:r w:rsidR="52E8B07A" w:rsidRPr="4C26645E">
            <w:rPr>
              <w:rFonts w:ascii="Times New Roman" w:hAnsi="Times New Roman"/>
              <w:sz w:val="24"/>
              <w:szCs w:val="24"/>
            </w:rPr>
            <w:t>d</w:t>
          </w:r>
          <w:r w:rsidR="100F4034" w:rsidRPr="4C26645E">
            <w:rPr>
              <w:rFonts w:ascii="Times New Roman" w:hAnsi="Times New Roman"/>
              <w:sz w:val="24"/>
              <w:szCs w:val="24"/>
            </w:rPr>
            <w:t>el</w:t>
          </w:r>
          <w:r w:rsidRPr="09F367D5">
            <w:rPr>
              <w:rFonts w:ascii="Times New Roman" w:hAnsi="Times New Roman"/>
              <w:sz w:val="24"/>
              <w:szCs w:val="24"/>
            </w:rPr>
            <w:t xml:space="preserve"> Aeropuerto </w:t>
          </w:r>
          <w:r w:rsidR="77CFD947" w:rsidRPr="42964C95">
            <w:rPr>
              <w:rFonts w:ascii="Times New Roman" w:hAnsi="Times New Roman"/>
              <w:sz w:val="24"/>
              <w:szCs w:val="24"/>
            </w:rPr>
            <w:t xml:space="preserve">de </w:t>
          </w:r>
          <w:r w:rsidR="77CFD947" w:rsidRPr="1C3BA104">
            <w:rPr>
              <w:rFonts w:ascii="Times New Roman" w:hAnsi="Times New Roman"/>
              <w:sz w:val="24"/>
              <w:szCs w:val="24"/>
            </w:rPr>
            <w:t>Cartagena</w:t>
          </w:r>
          <w:r w:rsidR="004A006C" w:rsidRPr="09F367D5">
            <w:rPr>
              <w:rFonts w:ascii="Times New Roman" w:hAnsi="Times New Roman"/>
              <w:sz w:val="24"/>
              <w:szCs w:val="24"/>
            </w:rPr>
            <w:t xml:space="preserve">, presentando una disminución en el patrimonio por valor de </w:t>
          </w:r>
          <w:r w:rsidR="00C15BC0" w:rsidRPr="09F367D5">
            <w:rPr>
              <w:rFonts w:ascii="Times New Roman" w:hAnsi="Times New Roman"/>
              <w:sz w:val="24"/>
              <w:szCs w:val="24"/>
            </w:rPr>
            <w:t>$</w:t>
          </w:r>
          <w:r w:rsidR="57CB9707" w:rsidRPr="1C3BA104">
            <w:rPr>
              <w:rFonts w:ascii="Times New Roman" w:hAnsi="Times New Roman"/>
              <w:sz w:val="24"/>
              <w:szCs w:val="24"/>
            </w:rPr>
            <w:t>32.336.756.000</w:t>
          </w:r>
          <w:r w:rsidR="00C15BC0" w:rsidRPr="09F367D5">
            <w:rPr>
              <w:rFonts w:ascii="Times New Roman" w:hAnsi="Times New Roman"/>
              <w:sz w:val="24"/>
              <w:szCs w:val="24"/>
            </w:rPr>
            <w:t>.</w:t>
          </w:r>
          <w:r w:rsidR="100F4034" w:rsidRPr="76DC1654">
            <w:rPr>
              <w:rFonts w:ascii="Times New Roman" w:hAnsi="Times New Roman"/>
              <w:sz w:val="24"/>
              <w:szCs w:val="24"/>
            </w:rPr>
            <w:t xml:space="preserve"> Esto por cuanto hasta el año 2019 </w:t>
          </w:r>
          <w:r w:rsidR="5E85F59D" w:rsidRPr="4C26645E">
            <w:rPr>
              <w:rFonts w:ascii="Times New Roman" w:hAnsi="Times New Roman"/>
              <w:sz w:val="24"/>
              <w:szCs w:val="24"/>
            </w:rPr>
            <w:t xml:space="preserve">la Agencia </w:t>
          </w:r>
          <w:r w:rsidR="711851B3" w:rsidRPr="66ECF79F">
            <w:rPr>
              <w:rFonts w:ascii="Times New Roman" w:hAnsi="Times New Roman"/>
              <w:sz w:val="24"/>
              <w:szCs w:val="24"/>
            </w:rPr>
            <w:t>fungía</w:t>
          </w:r>
          <w:r w:rsidR="100F4034" w:rsidRPr="76DC1654">
            <w:rPr>
              <w:rFonts w:ascii="Times New Roman" w:hAnsi="Times New Roman"/>
              <w:sz w:val="24"/>
              <w:szCs w:val="24"/>
            </w:rPr>
            <w:t xml:space="preserve"> como entidad concedente de </w:t>
          </w:r>
          <w:r w:rsidR="58BF163E" w:rsidRPr="76DC1654">
            <w:rPr>
              <w:rFonts w:ascii="Times New Roman" w:hAnsi="Times New Roman"/>
              <w:sz w:val="24"/>
              <w:szCs w:val="24"/>
            </w:rPr>
            <w:t>l</w:t>
          </w:r>
          <w:r w:rsidR="52E8B07A" w:rsidRPr="76DC1654">
            <w:rPr>
              <w:rFonts w:ascii="Times New Roman" w:hAnsi="Times New Roman"/>
              <w:sz w:val="24"/>
              <w:szCs w:val="24"/>
            </w:rPr>
            <w:t>os proyectos Aeroportuarios</w:t>
          </w:r>
          <w:r w:rsidR="0E0F20DE" w:rsidRPr="76DC1654">
            <w:rPr>
              <w:rFonts w:ascii="Times New Roman" w:hAnsi="Times New Roman"/>
              <w:sz w:val="24"/>
              <w:szCs w:val="24"/>
            </w:rPr>
            <w:t>.</w:t>
          </w:r>
        </w:p>
        <w:p w14:paraId="37BA4E4B" w14:textId="7B2E3F3E" w:rsidR="008E5EFD" w:rsidRPr="00931DCE" w:rsidRDefault="73CD7FB2" w:rsidP="00E60BAB">
          <w:pPr>
            <w:pStyle w:val="Prrafodelista"/>
            <w:numPr>
              <w:ilvl w:val="0"/>
              <w:numId w:val="35"/>
            </w:numPr>
            <w:spacing w:after="0" w:line="240" w:lineRule="auto"/>
            <w:jc w:val="both"/>
            <w:rPr>
              <w:rFonts w:ascii="Times New Roman" w:hAnsi="Times New Roman"/>
            </w:rPr>
          </w:pPr>
          <w:r w:rsidRPr="441CAD85">
            <w:rPr>
              <w:rFonts w:ascii="Times New Roman" w:hAnsi="Times New Roman"/>
              <w:sz w:val="24"/>
              <w:szCs w:val="24"/>
            </w:rPr>
            <w:t xml:space="preserve">Desincorporación de </w:t>
          </w:r>
          <w:r w:rsidR="34BDE37D" w:rsidRPr="441CAD85">
            <w:rPr>
              <w:rFonts w:ascii="Times New Roman" w:hAnsi="Times New Roman"/>
              <w:sz w:val="24"/>
              <w:szCs w:val="24"/>
            </w:rPr>
            <w:t>saldos contables que disminuye los Bienes de Uso Público por proye</w:t>
          </w:r>
          <w:r w:rsidR="00C5F651" w:rsidRPr="441CAD85">
            <w:rPr>
              <w:rFonts w:ascii="Times New Roman" w:hAnsi="Times New Roman"/>
              <w:sz w:val="24"/>
              <w:szCs w:val="24"/>
            </w:rPr>
            <w:t>c</w:t>
          </w:r>
          <w:r w:rsidR="34BDE37D" w:rsidRPr="441CAD85">
            <w:rPr>
              <w:rFonts w:ascii="Times New Roman" w:hAnsi="Times New Roman"/>
              <w:sz w:val="24"/>
              <w:szCs w:val="24"/>
            </w:rPr>
            <w:t>tos carreteros y portuarios revertidos al Invias por valor de $</w:t>
          </w:r>
          <w:r w:rsidR="351C4DEE" w:rsidRPr="441CAD85">
            <w:rPr>
              <w:rFonts w:ascii="Times New Roman" w:hAnsi="Times New Roman"/>
              <w:sz w:val="24"/>
              <w:szCs w:val="24"/>
            </w:rPr>
            <w:t>2.</w:t>
          </w:r>
          <w:r w:rsidR="646587C7" w:rsidRPr="6B01C6CD">
            <w:rPr>
              <w:rFonts w:ascii="Times New Roman" w:hAnsi="Times New Roman"/>
              <w:sz w:val="24"/>
              <w:szCs w:val="24"/>
            </w:rPr>
            <w:t>153.644.363.57</w:t>
          </w:r>
          <w:r w:rsidR="351C4DEE" w:rsidRPr="6B01C6CD">
            <w:rPr>
              <w:rFonts w:ascii="Times New Roman" w:hAnsi="Times New Roman"/>
              <w:sz w:val="24"/>
              <w:szCs w:val="24"/>
            </w:rPr>
            <w:t>7.</w:t>
          </w:r>
        </w:p>
        <w:p w14:paraId="52FE7D5F" w14:textId="77777777" w:rsidR="00C374BB" w:rsidRDefault="00C374BB" w:rsidP="00F20746">
          <w:pPr>
            <w:spacing w:after="0" w:line="240" w:lineRule="auto"/>
            <w:jc w:val="both"/>
            <w:rPr>
              <w:rFonts w:ascii="Times New Roman" w:hAnsi="Times New Roman"/>
              <w:sz w:val="24"/>
              <w:szCs w:val="24"/>
            </w:rPr>
          </w:pPr>
        </w:p>
        <w:p w14:paraId="07FD7130" w14:textId="08F25048" w:rsidR="00F20746" w:rsidRPr="00931DCE" w:rsidRDefault="00F20746" w:rsidP="00F20746">
          <w:pPr>
            <w:spacing w:after="0" w:line="240" w:lineRule="auto"/>
            <w:jc w:val="both"/>
            <w:rPr>
              <w:rFonts w:ascii="Times New Roman" w:hAnsi="Times New Roman"/>
              <w:sz w:val="24"/>
              <w:szCs w:val="24"/>
            </w:rPr>
          </w:pPr>
          <w:r w:rsidRPr="00931DCE">
            <w:rPr>
              <w:rFonts w:ascii="Times New Roman" w:hAnsi="Times New Roman"/>
              <w:sz w:val="24"/>
              <w:szCs w:val="24"/>
            </w:rPr>
            <w:t xml:space="preserve">En Corrección de errores de un periodo contable anterior a 31 de diciembre de </w:t>
          </w:r>
          <w:r w:rsidR="00EF6E05" w:rsidRPr="073567A8">
            <w:rPr>
              <w:rFonts w:ascii="Times New Roman" w:hAnsi="Times New Roman"/>
              <w:sz w:val="24"/>
              <w:szCs w:val="24"/>
            </w:rPr>
            <w:t>202</w:t>
          </w:r>
          <w:r w:rsidR="0C200AED" w:rsidRPr="073567A8">
            <w:rPr>
              <w:rFonts w:ascii="Times New Roman" w:hAnsi="Times New Roman"/>
              <w:sz w:val="24"/>
              <w:szCs w:val="24"/>
            </w:rPr>
            <w:t>3</w:t>
          </w:r>
          <w:r w:rsidRPr="00931DCE">
            <w:rPr>
              <w:rFonts w:ascii="Times New Roman" w:hAnsi="Times New Roman"/>
              <w:sz w:val="24"/>
              <w:szCs w:val="24"/>
            </w:rPr>
            <w:t xml:space="preserve">, presento </w:t>
          </w:r>
          <w:r w:rsidR="2489640F" w:rsidRPr="073567A8">
            <w:rPr>
              <w:rFonts w:ascii="Times New Roman" w:hAnsi="Times New Roman"/>
              <w:sz w:val="24"/>
              <w:szCs w:val="24"/>
            </w:rPr>
            <w:t xml:space="preserve">una </w:t>
          </w:r>
          <w:r w:rsidR="00E903C2" w:rsidRPr="00931DCE">
            <w:rPr>
              <w:rFonts w:ascii="Times New Roman" w:hAnsi="Times New Roman"/>
              <w:sz w:val="24"/>
              <w:szCs w:val="24"/>
            </w:rPr>
            <w:t>variación</w:t>
          </w:r>
          <w:r w:rsidRPr="00931DCE">
            <w:rPr>
              <w:rFonts w:ascii="Times New Roman" w:hAnsi="Times New Roman"/>
              <w:sz w:val="24"/>
              <w:szCs w:val="24"/>
            </w:rPr>
            <w:t xml:space="preserve"> por </w:t>
          </w:r>
          <w:r w:rsidR="17182E99" w:rsidRPr="073567A8">
            <w:rPr>
              <w:rFonts w:ascii="Times New Roman" w:hAnsi="Times New Roman"/>
              <w:sz w:val="24"/>
              <w:szCs w:val="24"/>
            </w:rPr>
            <w:t>valor de $</w:t>
          </w:r>
          <w:r w:rsidR="43E98F9A" w:rsidRPr="0CA90340">
            <w:rPr>
              <w:rFonts w:ascii="Times New Roman" w:hAnsi="Times New Roman"/>
              <w:sz w:val="24"/>
              <w:szCs w:val="24"/>
            </w:rPr>
            <w:t>1.120.407.924.565</w:t>
          </w:r>
          <w:r w:rsidR="34D8699A" w:rsidRPr="073567A8">
            <w:rPr>
              <w:rFonts w:ascii="Times New Roman" w:hAnsi="Times New Roman"/>
              <w:sz w:val="24"/>
              <w:szCs w:val="24"/>
            </w:rPr>
            <w:t>, así</w:t>
          </w:r>
          <w:r w:rsidRPr="00931DCE">
            <w:rPr>
              <w:rFonts w:ascii="Times New Roman" w:hAnsi="Times New Roman"/>
              <w:sz w:val="24"/>
              <w:szCs w:val="24"/>
            </w:rPr>
            <w:t>:</w:t>
          </w:r>
        </w:p>
        <w:p w14:paraId="6D5C462F" w14:textId="77777777" w:rsidR="00F20746" w:rsidRPr="00931DCE" w:rsidRDefault="00F20746" w:rsidP="004A000E">
          <w:pPr>
            <w:spacing w:after="0" w:line="240" w:lineRule="auto"/>
            <w:jc w:val="both"/>
            <w:rPr>
              <w:rFonts w:ascii="Times New Roman" w:hAnsi="Times New Roman"/>
              <w:sz w:val="24"/>
              <w:szCs w:val="24"/>
            </w:rPr>
          </w:pPr>
        </w:p>
        <w:p w14:paraId="345DB1E2" w14:textId="2F555792" w:rsidR="00D00A16" w:rsidRPr="00931DCE" w:rsidRDefault="00E903C2" w:rsidP="00E60BAB">
          <w:pPr>
            <w:pStyle w:val="Prrafodelista"/>
            <w:numPr>
              <w:ilvl w:val="0"/>
              <w:numId w:val="36"/>
            </w:numPr>
            <w:spacing w:after="0" w:line="240" w:lineRule="auto"/>
            <w:jc w:val="both"/>
            <w:rPr>
              <w:rFonts w:ascii="Times New Roman" w:hAnsi="Times New Roman"/>
              <w:sz w:val="24"/>
              <w:szCs w:val="24"/>
            </w:rPr>
          </w:pPr>
          <w:r w:rsidRPr="46267CFD">
            <w:rPr>
              <w:rFonts w:ascii="Times New Roman" w:hAnsi="Times New Roman"/>
              <w:sz w:val="24"/>
              <w:szCs w:val="24"/>
            </w:rPr>
            <w:t>Ajuste</w:t>
          </w:r>
          <w:r w:rsidR="009B41C3" w:rsidRPr="46267CFD">
            <w:rPr>
              <w:rFonts w:ascii="Times New Roman" w:hAnsi="Times New Roman"/>
              <w:sz w:val="24"/>
              <w:szCs w:val="24"/>
            </w:rPr>
            <w:t xml:space="preserve"> </w:t>
          </w:r>
          <w:r w:rsidR="00636994" w:rsidRPr="46267CFD">
            <w:rPr>
              <w:rFonts w:ascii="Times New Roman" w:hAnsi="Times New Roman"/>
              <w:sz w:val="24"/>
              <w:szCs w:val="24"/>
            </w:rPr>
            <w:t xml:space="preserve">por </w:t>
          </w:r>
          <w:r w:rsidR="193B6588" w:rsidRPr="46267CFD">
            <w:rPr>
              <w:rFonts w:ascii="Times New Roman" w:hAnsi="Times New Roman"/>
              <w:sz w:val="24"/>
              <w:szCs w:val="24"/>
            </w:rPr>
            <w:t xml:space="preserve">Hechos ocurridos después del periodo contable informado en las Notas del año 2022 </w:t>
          </w:r>
          <w:r w:rsidR="351C9640" w:rsidRPr="46267CFD">
            <w:rPr>
              <w:rFonts w:ascii="Times New Roman" w:hAnsi="Times New Roman"/>
              <w:sz w:val="24"/>
              <w:szCs w:val="24"/>
            </w:rPr>
            <w:t>que disminuyó el patrimonio en</w:t>
          </w:r>
          <w:r w:rsidR="193B6588" w:rsidRPr="46267CFD">
            <w:rPr>
              <w:rFonts w:ascii="Times New Roman" w:hAnsi="Times New Roman"/>
              <w:sz w:val="24"/>
              <w:szCs w:val="24"/>
            </w:rPr>
            <w:t xml:space="preserve"> $</w:t>
          </w:r>
          <w:r w:rsidR="55F61641" w:rsidRPr="46267CFD">
            <w:rPr>
              <w:rFonts w:ascii="Times New Roman" w:hAnsi="Times New Roman"/>
              <w:sz w:val="24"/>
              <w:szCs w:val="24"/>
            </w:rPr>
            <w:t>37.336.708.399,</w:t>
          </w:r>
          <w:r w:rsidR="0CCC141E" w:rsidRPr="46267CFD">
            <w:rPr>
              <w:rFonts w:ascii="Times New Roman" w:hAnsi="Times New Roman"/>
              <w:sz w:val="24"/>
              <w:szCs w:val="24"/>
            </w:rPr>
            <w:t xml:space="preserve"> por concepto de Pasivo financiero por acuerdos de concesión (concedente), </w:t>
          </w:r>
          <w:r w:rsidR="0CCC141E">
            <w:t xml:space="preserve">Proyectos de Inversión, Créditos Judiciales, y </w:t>
          </w:r>
          <w:r w:rsidR="0CCC141E" w:rsidRPr="46267CFD">
            <w:rPr>
              <w:rFonts w:ascii="Times New Roman" w:hAnsi="Times New Roman"/>
              <w:sz w:val="24"/>
              <w:szCs w:val="24"/>
            </w:rPr>
            <w:t>Garantías contractuales – concesiones</w:t>
          </w:r>
          <w:r w:rsidR="00636994" w:rsidRPr="46267CFD">
            <w:rPr>
              <w:rFonts w:ascii="Times New Roman" w:hAnsi="Times New Roman"/>
              <w:sz w:val="24"/>
              <w:szCs w:val="24"/>
            </w:rPr>
            <w:t>.</w:t>
          </w:r>
        </w:p>
        <w:p w14:paraId="0E96C4A2" w14:textId="29CB564C" w:rsidR="007232E1" w:rsidRPr="00931DCE" w:rsidRDefault="1E1BE39D" w:rsidP="00E60BAB">
          <w:pPr>
            <w:pStyle w:val="Prrafodelista"/>
            <w:numPr>
              <w:ilvl w:val="0"/>
              <w:numId w:val="36"/>
            </w:numPr>
            <w:spacing w:after="0" w:line="240" w:lineRule="auto"/>
            <w:jc w:val="both"/>
            <w:rPr>
              <w:rFonts w:ascii="Times New Roman" w:hAnsi="Times New Roman"/>
            </w:rPr>
          </w:pPr>
          <w:r w:rsidRPr="0A202DB1">
            <w:rPr>
              <w:rFonts w:ascii="Times New Roman" w:hAnsi="Times New Roman"/>
              <w:sz w:val="24"/>
              <w:szCs w:val="24"/>
            </w:rPr>
            <w:t>Reconocimiento de l</w:t>
          </w:r>
          <w:r w:rsidR="007232E1" w:rsidRPr="0A202DB1">
            <w:rPr>
              <w:rFonts w:ascii="Times New Roman" w:hAnsi="Times New Roman"/>
              <w:sz w:val="24"/>
              <w:szCs w:val="24"/>
            </w:rPr>
            <w:t>o</w:t>
          </w:r>
          <w:r w:rsidR="0CFC9DED" w:rsidRPr="0A202DB1">
            <w:rPr>
              <w:rFonts w:ascii="Times New Roman" w:hAnsi="Times New Roman"/>
              <w:sz w:val="24"/>
              <w:szCs w:val="24"/>
            </w:rPr>
            <w:t>s</w:t>
          </w:r>
          <w:r w:rsidR="007232E1" w:rsidRPr="00931DCE">
            <w:rPr>
              <w:rFonts w:ascii="Times New Roman" w:hAnsi="Times New Roman"/>
              <w:sz w:val="24"/>
              <w:szCs w:val="24"/>
            </w:rPr>
            <w:t xml:space="preserve"> cambios de medición del modo carretero a los saldos presentados a 31 de diciembre </w:t>
          </w:r>
          <w:r w:rsidR="007232E1" w:rsidRPr="1C746A9E">
            <w:rPr>
              <w:rFonts w:ascii="Times New Roman" w:hAnsi="Times New Roman"/>
              <w:sz w:val="24"/>
              <w:szCs w:val="24"/>
            </w:rPr>
            <w:t>de</w:t>
          </w:r>
          <w:r w:rsidR="51F814B5" w:rsidRPr="1C746A9E">
            <w:rPr>
              <w:rFonts w:ascii="Times New Roman" w:hAnsi="Times New Roman"/>
              <w:sz w:val="24"/>
              <w:szCs w:val="24"/>
            </w:rPr>
            <w:t>l</w:t>
          </w:r>
          <w:r w:rsidR="007232E1" w:rsidRPr="1C746A9E">
            <w:rPr>
              <w:rFonts w:ascii="Times New Roman" w:hAnsi="Times New Roman"/>
              <w:sz w:val="24"/>
              <w:szCs w:val="24"/>
            </w:rPr>
            <w:t xml:space="preserve"> pasivo</w:t>
          </w:r>
          <w:r w:rsidR="387BD7AF" w:rsidRPr="1C746A9E">
            <w:rPr>
              <w:rFonts w:ascii="Times New Roman" w:hAnsi="Times New Roman"/>
              <w:sz w:val="24"/>
              <w:szCs w:val="24"/>
            </w:rPr>
            <w:t xml:space="preserve"> diferido</w:t>
          </w:r>
          <w:r w:rsidR="007232E1" w:rsidRPr="00931DCE">
            <w:rPr>
              <w:rFonts w:ascii="Times New Roman" w:hAnsi="Times New Roman"/>
              <w:sz w:val="24"/>
              <w:szCs w:val="24"/>
            </w:rPr>
            <w:t xml:space="preserve">, en virtud de las actualizaciones efectuadas en el </w:t>
          </w:r>
          <w:r w:rsidR="007232E1" w:rsidRPr="00931DCE">
            <w:rPr>
              <w:rFonts w:ascii="Times New Roman" w:hAnsi="Times New Roman"/>
              <w:i/>
              <w:iCs/>
              <w:sz w:val="24"/>
              <w:szCs w:val="24"/>
            </w:rPr>
            <w:t>“Modelo financiero para propósitos contables”</w:t>
          </w:r>
          <w:r w:rsidR="007232E1" w:rsidRPr="00931DCE">
            <w:rPr>
              <w:rFonts w:ascii="Times New Roman" w:hAnsi="Times New Roman"/>
              <w:sz w:val="24"/>
              <w:szCs w:val="24"/>
            </w:rPr>
            <w:t xml:space="preserve"> con </w:t>
          </w:r>
          <w:r w:rsidR="3F2068E2" w:rsidRPr="1C746A9E">
            <w:rPr>
              <w:rFonts w:ascii="Times New Roman" w:hAnsi="Times New Roman"/>
              <w:sz w:val="24"/>
              <w:szCs w:val="24"/>
            </w:rPr>
            <w:t>disminución en el patrimonio</w:t>
          </w:r>
          <w:r w:rsidR="007232E1" w:rsidRPr="00931DCE">
            <w:rPr>
              <w:rFonts w:ascii="Times New Roman" w:hAnsi="Times New Roman"/>
              <w:sz w:val="24"/>
              <w:szCs w:val="24"/>
            </w:rPr>
            <w:t xml:space="preserve"> de $</w:t>
          </w:r>
          <w:r w:rsidR="6D034868" w:rsidRPr="55A18817">
            <w:rPr>
              <w:rFonts w:ascii="Times New Roman" w:hAnsi="Times New Roman"/>
              <w:sz w:val="24"/>
              <w:szCs w:val="24"/>
            </w:rPr>
            <w:t>434.468.619.599.</w:t>
          </w:r>
          <w:r w:rsidR="007232E1" w:rsidRPr="55A18817">
            <w:rPr>
              <w:rFonts w:ascii="Times New Roman" w:hAnsi="Times New Roman"/>
              <w:sz w:val="24"/>
              <w:szCs w:val="24"/>
            </w:rPr>
            <w:t xml:space="preserve"> </w:t>
          </w:r>
        </w:p>
        <w:p w14:paraId="7E287E65" w14:textId="6AAECA6F" w:rsidR="007232E1" w:rsidRPr="00931DCE" w:rsidRDefault="5D2756DE" w:rsidP="00E60BAB">
          <w:pPr>
            <w:pStyle w:val="Prrafodelista"/>
            <w:numPr>
              <w:ilvl w:val="0"/>
              <w:numId w:val="36"/>
            </w:numPr>
            <w:spacing w:after="0" w:line="240" w:lineRule="auto"/>
            <w:jc w:val="both"/>
            <w:rPr>
              <w:rFonts w:ascii="Times New Roman" w:hAnsi="Times New Roman"/>
            </w:rPr>
          </w:pPr>
          <w:r w:rsidRPr="796A2E92">
            <w:rPr>
              <w:rFonts w:ascii="Times New Roman" w:hAnsi="Times New Roman"/>
              <w:sz w:val="24"/>
              <w:szCs w:val="24"/>
            </w:rPr>
            <w:t>Afectación de</w:t>
          </w:r>
          <w:r w:rsidR="250B91E2" w:rsidRPr="796A2E92">
            <w:rPr>
              <w:rFonts w:ascii="Times New Roman" w:hAnsi="Times New Roman"/>
              <w:sz w:val="24"/>
              <w:szCs w:val="24"/>
            </w:rPr>
            <w:t xml:space="preserve"> incremento en e</w:t>
          </w:r>
          <w:r w:rsidRPr="796A2E92">
            <w:rPr>
              <w:rFonts w:ascii="Times New Roman" w:hAnsi="Times New Roman"/>
              <w:sz w:val="24"/>
              <w:szCs w:val="24"/>
            </w:rPr>
            <w:t xml:space="preserve">l patrimonio </w:t>
          </w:r>
          <w:r w:rsidR="2901A5E8" w:rsidRPr="0B7F48A6">
            <w:rPr>
              <w:rFonts w:ascii="Times New Roman" w:hAnsi="Times New Roman"/>
              <w:sz w:val="24"/>
              <w:szCs w:val="24"/>
            </w:rPr>
            <w:t>por valor de</w:t>
          </w:r>
          <w:r w:rsidRPr="0B7F48A6">
            <w:rPr>
              <w:rFonts w:ascii="Times New Roman" w:hAnsi="Times New Roman"/>
              <w:sz w:val="24"/>
              <w:szCs w:val="24"/>
            </w:rPr>
            <w:t xml:space="preserve"> </w:t>
          </w:r>
          <w:r w:rsidR="03F53B64" w:rsidRPr="0B7F48A6">
            <w:rPr>
              <w:rFonts w:ascii="Times New Roman" w:hAnsi="Times New Roman"/>
              <w:sz w:val="24"/>
              <w:szCs w:val="24"/>
            </w:rPr>
            <w:t>$</w:t>
          </w:r>
          <w:r w:rsidR="48BF50AA" w:rsidRPr="796A2E92">
            <w:rPr>
              <w:rFonts w:ascii="Times New Roman" w:hAnsi="Times New Roman"/>
              <w:sz w:val="24"/>
              <w:szCs w:val="24"/>
            </w:rPr>
            <w:t>1.217.324.403.207</w:t>
          </w:r>
          <w:r w:rsidR="1D070F5F" w:rsidRPr="0B7F48A6">
            <w:rPr>
              <w:rFonts w:ascii="Times New Roman" w:hAnsi="Times New Roman"/>
              <w:sz w:val="24"/>
              <w:szCs w:val="24"/>
            </w:rPr>
            <w:t>, en atención</w:t>
          </w:r>
          <w:r w:rsidR="48BF50AA" w:rsidRPr="0B7F48A6">
            <w:rPr>
              <w:rFonts w:ascii="Times New Roman" w:hAnsi="Times New Roman"/>
              <w:sz w:val="24"/>
              <w:szCs w:val="24"/>
            </w:rPr>
            <w:t xml:space="preserve"> </w:t>
          </w:r>
          <w:r w:rsidR="72F4B10A" w:rsidRPr="0B7F48A6">
            <w:rPr>
              <w:rFonts w:ascii="Times New Roman" w:hAnsi="Times New Roman"/>
              <w:sz w:val="24"/>
              <w:szCs w:val="24"/>
            </w:rPr>
            <w:t>a</w:t>
          </w:r>
          <w:r w:rsidRPr="796A2E92">
            <w:rPr>
              <w:rFonts w:ascii="Times New Roman" w:hAnsi="Times New Roman"/>
              <w:sz w:val="24"/>
              <w:szCs w:val="24"/>
            </w:rPr>
            <w:t xml:space="preserve"> los ajustes realizados a los Bienes de Uso Público </w:t>
          </w:r>
          <w:r w:rsidR="2C3B5B72" w:rsidRPr="5BCF7144">
            <w:rPr>
              <w:rFonts w:ascii="Times New Roman" w:hAnsi="Times New Roman"/>
              <w:sz w:val="24"/>
              <w:szCs w:val="24"/>
            </w:rPr>
            <w:t>del modo carretero, férreo,</w:t>
          </w:r>
          <w:r w:rsidR="00B23582" w:rsidRPr="00931DCE">
            <w:rPr>
              <w:rFonts w:ascii="Times New Roman" w:hAnsi="Times New Roman"/>
              <w:sz w:val="24"/>
              <w:szCs w:val="24"/>
            </w:rPr>
            <w:t xml:space="preserve"> y </w:t>
          </w:r>
          <w:r w:rsidR="2C3B5B72" w:rsidRPr="5BCF7144">
            <w:rPr>
              <w:rFonts w:ascii="Times New Roman" w:hAnsi="Times New Roman"/>
              <w:sz w:val="24"/>
              <w:szCs w:val="24"/>
            </w:rPr>
            <w:t xml:space="preserve">portuaria; </w:t>
          </w:r>
          <w:r w:rsidR="206F0405" w:rsidRPr="5BCF7144">
            <w:rPr>
              <w:rFonts w:ascii="Times New Roman" w:hAnsi="Times New Roman"/>
              <w:sz w:val="24"/>
              <w:szCs w:val="24"/>
            </w:rPr>
            <w:t>por</w:t>
          </w:r>
          <w:r w:rsidR="24475D22" w:rsidRPr="5BCF7144">
            <w:rPr>
              <w:rFonts w:ascii="Times New Roman" w:hAnsi="Times New Roman"/>
              <w:sz w:val="24"/>
              <w:szCs w:val="24"/>
            </w:rPr>
            <w:t xml:space="preserve"> información entregada</w:t>
          </w:r>
          <w:r w:rsidR="00B23582" w:rsidRPr="00931DCE">
            <w:rPr>
              <w:rFonts w:ascii="Times New Roman" w:hAnsi="Times New Roman"/>
              <w:sz w:val="24"/>
              <w:szCs w:val="24"/>
            </w:rPr>
            <w:t xml:space="preserve"> por </w:t>
          </w:r>
          <w:r w:rsidR="24475D22" w:rsidRPr="5BCF7144">
            <w:rPr>
              <w:rFonts w:ascii="Times New Roman" w:hAnsi="Times New Roman"/>
              <w:sz w:val="24"/>
              <w:szCs w:val="24"/>
            </w:rPr>
            <w:t xml:space="preserve">el Invias, el </w:t>
          </w:r>
          <w:r w:rsidR="42CC917D" w:rsidRPr="60DEAC00">
            <w:rPr>
              <w:rFonts w:ascii="Times New Roman" w:hAnsi="Times New Roman"/>
              <w:sz w:val="24"/>
              <w:szCs w:val="24"/>
            </w:rPr>
            <w:t>á</w:t>
          </w:r>
          <w:r w:rsidR="66F804DA" w:rsidRPr="60DEAC00">
            <w:rPr>
              <w:rFonts w:ascii="Times New Roman" w:hAnsi="Times New Roman"/>
              <w:sz w:val="24"/>
              <w:szCs w:val="24"/>
            </w:rPr>
            <w:t>rea</w:t>
          </w:r>
          <w:r w:rsidR="24475D22" w:rsidRPr="5BCF7144">
            <w:rPr>
              <w:rFonts w:ascii="Times New Roman" w:hAnsi="Times New Roman"/>
              <w:sz w:val="24"/>
              <w:szCs w:val="24"/>
            </w:rPr>
            <w:t xml:space="preserve"> predial, formato de la deuda, y forma</w:t>
          </w:r>
          <w:r w:rsidR="0BBCB705" w:rsidRPr="5BCF7144">
            <w:rPr>
              <w:rFonts w:ascii="Times New Roman" w:hAnsi="Times New Roman"/>
              <w:sz w:val="24"/>
              <w:szCs w:val="24"/>
            </w:rPr>
            <w:t>tos de inversión</w:t>
          </w:r>
          <w:r w:rsidR="00B23582" w:rsidRPr="00931DCE">
            <w:rPr>
              <w:rFonts w:ascii="Times New Roman" w:hAnsi="Times New Roman"/>
              <w:sz w:val="24"/>
              <w:szCs w:val="24"/>
            </w:rPr>
            <w:t>.</w:t>
          </w:r>
        </w:p>
        <w:p w14:paraId="33B8674D" w14:textId="061F5185" w:rsidR="006B1A12" w:rsidRPr="00931DCE" w:rsidRDefault="4D56EEE7" w:rsidP="00E60BAB">
          <w:pPr>
            <w:pStyle w:val="Prrafodelista"/>
            <w:numPr>
              <w:ilvl w:val="0"/>
              <w:numId w:val="36"/>
            </w:numPr>
            <w:spacing w:after="0" w:line="240" w:lineRule="auto"/>
            <w:jc w:val="both"/>
            <w:rPr>
              <w:rFonts w:ascii="Times New Roman" w:hAnsi="Times New Roman"/>
            </w:rPr>
          </w:pPr>
          <w:r w:rsidRPr="07289A67">
            <w:rPr>
              <w:rFonts w:ascii="Times New Roman" w:hAnsi="Times New Roman"/>
              <w:sz w:val="24"/>
              <w:szCs w:val="24"/>
            </w:rPr>
            <w:t>Correc</w:t>
          </w:r>
          <w:r w:rsidR="42169E8A" w:rsidRPr="07289A67">
            <w:rPr>
              <w:rFonts w:ascii="Times New Roman" w:hAnsi="Times New Roman"/>
              <w:sz w:val="24"/>
              <w:szCs w:val="24"/>
            </w:rPr>
            <w:t>c</w:t>
          </w:r>
          <w:r w:rsidRPr="07289A67">
            <w:rPr>
              <w:rFonts w:ascii="Times New Roman" w:hAnsi="Times New Roman"/>
              <w:sz w:val="24"/>
              <w:szCs w:val="24"/>
            </w:rPr>
            <w:t>ión en Créditos Judiciales</w:t>
          </w:r>
          <w:r w:rsidR="69A00B46" w:rsidRPr="07289A67">
            <w:rPr>
              <w:rFonts w:ascii="Times New Roman" w:hAnsi="Times New Roman"/>
              <w:sz w:val="24"/>
              <w:szCs w:val="24"/>
            </w:rPr>
            <w:t xml:space="preserve"> que aumenta </w:t>
          </w:r>
          <w:r w:rsidR="00BB2138" w:rsidRPr="07289A67">
            <w:rPr>
              <w:rFonts w:ascii="Times New Roman" w:hAnsi="Times New Roman"/>
              <w:sz w:val="24"/>
              <w:szCs w:val="24"/>
            </w:rPr>
            <w:t xml:space="preserve">el patrimonio </w:t>
          </w:r>
          <w:r w:rsidR="48D46D87" w:rsidRPr="07289A67">
            <w:rPr>
              <w:rFonts w:ascii="Times New Roman" w:hAnsi="Times New Roman"/>
              <w:sz w:val="24"/>
              <w:szCs w:val="24"/>
            </w:rPr>
            <w:t>en</w:t>
          </w:r>
          <w:r w:rsidR="00BB2138" w:rsidRPr="07289A67">
            <w:rPr>
              <w:rFonts w:ascii="Times New Roman" w:hAnsi="Times New Roman"/>
              <w:sz w:val="24"/>
              <w:szCs w:val="24"/>
            </w:rPr>
            <w:t xml:space="preserve"> $</w:t>
          </w:r>
          <w:r w:rsidR="26C2D292" w:rsidRPr="07289A67">
            <w:rPr>
              <w:rFonts w:ascii="Times New Roman" w:hAnsi="Times New Roman"/>
              <w:sz w:val="24"/>
              <w:szCs w:val="24"/>
            </w:rPr>
            <w:t>35.998.108.</w:t>
          </w:r>
          <w:r w:rsidR="2F124001" w:rsidRPr="60DEAC00">
            <w:rPr>
              <w:rFonts w:ascii="Times New Roman" w:hAnsi="Times New Roman"/>
              <w:sz w:val="24"/>
              <w:szCs w:val="24"/>
            </w:rPr>
            <w:t>674</w:t>
          </w:r>
          <w:r w:rsidR="35C26E07" w:rsidRPr="07289A67">
            <w:rPr>
              <w:rFonts w:ascii="Times New Roman" w:hAnsi="Times New Roman"/>
              <w:sz w:val="24"/>
              <w:szCs w:val="24"/>
            </w:rPr>
            <w:t>, por concepto de actualización de la deuda e</w:t>
          </w:r>
          <w:r w:rsidR="10ADE311" w:rsidRPr="07289A67">
            <w:rPr>
              <w:rFonts w:ascii="Times New Roman" w:hAnsi="Times New Roman"/>
              <w:sz w:val="24"/>
              <w:szCs w:val="24"/>
            </w:rPr>
            <w:t xml:space="preserve">n los proyectos </w:t>
          </w:r>
          <w:r w:rsidR="10ADE311" w:rsidRPr="0B78EF06">
            <w:rPr>
              <w:rFonts w:ascii="Times New Roman" w:hAnsi="Times New Roman"/>
              <w:sz w:val="24"/>
              <w:szCs w:val="24"/>
            </w:rPr>
            <w:t>carreteros</w:t>
          </w:r>
          <w:r w:rsidR="00BB2138" w:rsidRPr="07289A67">
            <w:rPr>
              <w:rFonts w:ascii="Times New Roman" w:hAnsi="Times New Roman"/>
              <w:sz w:val="24"/>
              <w:szCs w:val="24"/>
            </w:rPr>
            <w:t>.</w:t>
          </w:r>
        </w:p>
        <w:p w14:paraId="60696AFA" w14:textId="3A6159C4" w:rsidR="00FD1EBF" w:rsidRPr="00931DCE" w:rsidRDefault="13E583D3" w:rsidP="00E60BAB">
          <w:pPr>
            <w:pStyle w:val="Prrafodelista"/>
            <w:numPr>
              <w:ilvl w:val="0"/>
              <w:numId w:val="36"/>
            </w:numPr>
            <w:spacing w:after="0" w:line="240" w:lineRule="auto"/>
            <w:jc w:val="both"/>
            <w:rPr>
              <w:rFonts w:ascii="Times New Roman" w:hAnsi="Times New Roman"/>
              <w:sz w:val="24"/>
              <w:szCs w:val="24"/>
            </w:rPr>
          </w:pPr>
          <w:r w:rsidRPr="78DAFEA0">
            <w:rPr>
              <w:rFonts w:ascii="Times New Roman" w:hAnsi="Times New Roman"/>
              <w:sz w:val="24"/>
              <w:szCs w:val="24"/>
            </w:rPr>
            <w:t>Registros con ajustes a los recursos entregados en administración al Fondo de Contingencias y convenios con el Invias que incrementó el</w:t>
          </w:r>
          <w:r w:rsidR="00BC11E8" w:rsidRPr="78DAFEA0">
            <w:rPr>
              <w:rFonts w:ascii="Times New Roman" w:hAnsi="Times New Roman"/>
              <w:sz w:val="24"/>
              <w:szCs w:val="24"/>
            </w:rPr>
            <w:t xml:space="preserve"> patrimonio por valor de $</w:t>
          </w:r>
          <w:r w:rsidR="67E27987" w:rsidRPr="78DAFEA0">
            <w:rPr>
              <w:rFonts w:ascii="Times New Roman" w:hAnsi="Times New Roman"/>
              <w:sz w:val="24"/>
              <w:szCs w:val="24"/>
            </w:rPr>
            <w:t>338.867.898.365.</w:t>
          </w:r>
        </w:p>
        <w:p w14:paraId="537C1B12" w14:textId="14691EB8" w:rsidR="00FD1EBF" w:rsidRPr="00931DCE" w:rsidRDefault="0BF39A4B" w:rsidP="00E60BAB">
          <w:pPr>
            <w:pStyle w:val="Prrafodelista"/>
            <w:numPr>
              <w:ilvl w:val="0"/>
              <w:numId w:val="36"/>
            </w:numPr>
            <w:spacing w:after="0" w:line="240" w:lineRule="auto"/>
            <w:jc w:val="both"/>
            <w:rPr>
              <w:rFonts w:ascii="Times New Roman" w:hAnsi="Times New Roman"/>
            </w:rPr>
          </w:pPr>
          <w:r w:rsidRPr="7A39B899">
            <w:rPr>
              <w:rFonts w:ascii="Times New Roman" w:hAnsi="Times New Roman"/>
              <w:sz w:val="24"/>
              <w:szCs w:val="24"/>
            </w:rPr>
            <w:t>Ajuste a la Propiedad, Planta y Equipo de uso administrativo con ocasión del comodato de las camionetas suscrito con Mintransporte, que incrementó el patrimonio en $</w:t>
          </w:r>
          <w:r w:rsidR="429317D9" w:rsidRPr="7A39B899">
            <w:rPr>
              <w:rFonts w:ascii="Times New Roman" w:hAnsi="Times New Roman"/>
              <w:sz w:val="24"/>
              <w:szCs w:val="24"/>
            </w:rPr>
            <w:t>22.842.316</w:t>
          </w:r>
          <w:r w:rsidR="00BC11E8" w:rsidRPr="7A39B899">
            <w:rPr>
              <w:rFonts w:ascii="Times New Roman" w:hAnsi="Times New Roman"/>
              <w:sz w:val="24"/>
              <w:szCs w:val="24"/>
            </w:rPr>
            <w:t>.</w:t>
          </w:r>
        </w:p>
        <w:p w14:paraId="41740855" w14:textId="77777777" w:rsidR="008765CF" w:rsidRPr="00931DCE" w:rsidRDefault="008765CF" w:rsidP="004A000E">
          <w:pPr>
            <w:spacing w:after="0" w:line="240" w:lineRule="auto"/>
            <w:jc w:val="both"/>
            <w:rPr>
              <w:rFonts w:ascii="Times New Roman" w:hAnsi="Times New Roman"/>
              <w:sz w:val="24"/>
              <w:szCs w:val="24"/>
            </w:rPr>
          </w:pPr>
        </w:p>
        <w:p w14:paraId="5CB560D7" w14:textId="13553302" w:rsidR="00CD45F3" w:rsidRPr="00931DCE" w:rsidRDefault="00CD45F3" w:rsidP="00043F24">
          <w:pPr>
            <w:pStyle w:val="Ttulo2"/>
            <w:numPr>
              <w:ilvl w:val="0"/>
              <w:numId w:val="0"/>
            </w:numPr>
            <w:rPr>
              <w:rFonts w:cs="Times New Roman"/>
              <w:szCs w:val="22"/>
            </w:rPr>
          </w:pPr>
          <w:bookmarkStart w:id="106" w:name="_Toc159952431"/>
          <w:r w:rsidRPr="00931DCE">
            <w:rPr>
              <w:rFonts w:cs="Times New Roman"/>
              <w:szCs w:val="22"/>
            </w:rPr>
            <w:t>27.3 Resultado del ejercicio</w:t>
          </w:r>
          <w:bookmarkEnd w:id="106"/>
        </w:p>
        <w:p w14:paraId="447C22BF" w14:textId="77777777" w:rsidR="00CD45F3" w:rsidRPr="00931DCE" w:rsidRDefault="00CD45F3" w:rsidP="004A000E">
          <w:pPr>
            <w:spacing w:after="0" w:line="240" w:lineRule="auto"/>
            <w:jc w:val="both"/>
            <w:rPr>
              <w:rFonts w:ascii="Times New Roman" w:hAnsi="Times New Roman"/>
              <w:sz w:val="18"/>
              <w:szCs w:val="18"/>
            </w:rPr>
          </w:pPr>
        </w:p>
        <w:p w14:paraId="475B1A32" w14:textId="2D028145" w:rsidR="002D0E38" w:rsidRPr="00931DCE" w:rsidRDefault="00154045" w:rsidP="004A000E">
          <w:pPr>
            <w:spacing w:after="0" w:line="240" w:lineRule="auto"/>
            <w:jc w:val="both"/>
            <w:rPr>
              <w:rFonts w:ascii="Times New Roman" w:hAnsi="Times New Roman"/>
              <w:sz w:val="24"/>
              <w:szCs w:val="24"/>
            </w:rPr>
          </w:pPr>
          <w:r w:rsidRPr="00931DCE">
            <w:rPr>
              <w:rFonts w:ascii="Times New Roman" w:hAnsi="Times New Roman"/>
              <w:sz w:val="24"/>
              <w:szCs w:val="24"/>
            </w:rPr>
            <w:t xml:space="preserve">Representa el valor del resultado obtenido por la Agencia, como consecuencia de las operaciones realizadas durante el periodo contable en cumplimiento de su cometido estatal, </w:t>
          </w:r>
          <w:r w:rsidR="4AC02579" w:rsidRPr="09F367D5">
            <w:rPr>
              <w:rFonts w:ascii="Times New Roman" w:hAnsi="Times New Roman"/>
              <w:sz w:val="24"/>
              <w:szCs w:val="24"/>
            </w:rPr>
            <w:t>el periodo inició con</w:t>
          </w:r>
          <w:r w:rsidRPr="00931DCE">
            <w:rPr>
              <w:rFonts w:ascii="Times New Roman" w:hAnsi="Times New Roman"/>
              <w:sz w:val="24"/>
              <w:szCs w:val="24"/>
            </w:rPr>
            <w:t xml:space="preserve"> un </w:t>
          </w:r>
          <w:r w:rsidR="4AC02579" w:rsidRPr="09F367D5">
            <w:rPr>
              <w:rFonts w:ascii="Times New Roman" w:hAnsi="Times New Roman"/>
              <w:sz w:val="24"/>
              <w:szCs w:val="24"/>
            </w:rPr>
            <w:t>saldo de $1.856.451.157.1</w:t>
          </w:r>
          <w:r w:rsidR="00BD760C">
            <w:rPr>
              <w:rFonts w:ascii="Times New Roman" w:hAnsi="Times New Roman"/>
              <w:sz w:val="24"/>
              <w:szCs w:val="24"/>
            </w:rPr>
            <w:t>29</w:t>
          </w:r>
          <w:r w:rsidR="4AC02579" w:rsidRPr="09F367D5">
            <w:rPr>
              <w:rFonts w:ascii="Times New Roman" w:hAnsi="Times New Roman"/>
              <w:sz w:val="24"/>
              <w:szCs w:val="24"/>
            </w:rPr>
            <w:t>, presentó un incremento</w:t>
          </w:r>
          <w:r w:rsidR="42A48D5E" w:rsidRPr="09F367D5">
            <w:rPr>
              <w:rFonts w:ascii="Times New Roman" w:hAnsi="Times New Roman"/>
              <w:sz w:val="24"/>
              <w:szCs w:val="24"/>
            </w:rPr>
            <w:t xml:space="preserve"> neto para el año por valor</w:t>
          </w:r>
          <w:r w:rsidR="4AC02579" w:rsidRPr="09F367D5">
            <w:rPr>
              <w:rFonts w:ascii="Times New Roman" w:hAnsi="Times New Roman"/>
              <w:sz w:val="24"/>
              <w:szCs w:val="24"/>
            </w:rPr>
            <w:t xml:space="preserve"> de $99.619.105.9</w:t>
          </w:r>
          <w:r w:rsidR="00BD760C">
            <w:rPr>
              <w:rFonts w:ascii="Times New Roman" w:hAnsi="Times New Roman"/>
              <w:sz w:val="24"/>
              <w:szCs w:val="24"/>
            </w:rPr>
            <w:t>20</w:t>
          </w:r>
          <w:r w:rsidRPr="09F367D5">
            <w:rPr>
              <w:rFonts w:ascii="Times New Roman" w:hAnsi="Times New Roman"/>
              <w:sz w:val="24"/>
              <w:szCs w:val="24"/>
            </w:rPr>
            <w:t xml:space="preserve"> </w:t>
          </w:r>
          <w:r w:rsidR="76CAE318" w:rsidRPr="09F367D5">
            <w:rPr>
              <w:rFonts w:ascii="Times New Roman" w:hAnsi="Times New Roman"/>
              <w:sz w:val="24"/>
              <w:szCs w:val="24"/>
            </w:rPr>
            <w:t>para finalizar con un</w:t>
          </w:r>
          <w:r w:rsidRPr="00931DCE">
            <w:rPr>
              <w:rFonts w:ascii="Times New Roman" w:hAnsi="Times New Roman"/>
              <w:sz w:val="24"/>
              <w:szCs w:val="24"/>
            </w:rPr>
            <w:t xml:space="preserve"> saldo a 31 de diciembre de </w:t>
          </w:r>
          <w:r w:rsidR="00EF6E05" w:rsidRPr="09F367D5">
            <w:rPr>
              <w:rFonts w:ascii="Times New Roman" w:hAnsi="Times New Roman"/>
              <w:sz w:val="24"/>
              <w:szCs w:val="24"/>
            </w:rPr>
            <w:t>202</w:t>
          </w:r>
          <w:r w:rsidR="756FD714" w:rsidRPr="09F367D5">
            <w:rPr>
              <w:rFonts w:ascii="Times New Roman" w:hAnsi="Times New Roman"/>
              <w:sz w:val="24"/>
              <w:szCs w:val="24"/>
            </w:rPr>
            <w:t>3 de</w:t>
          </w:r>
          <w:r w:rsidR="1C36F33D" w:rsidRPr="09F367D5">
            <w:rPr>
              <w:rFonts w:ascii="Times New Roman" w:hAnsi="Times New Roman"/>
              <w:sz w:val="24"/>
              <w:szCs w:val="24"/>
            </w:rPr>
            <w:t xml:space="preserve"> </w:t>
          </w:r>
          <w:r w:rsidR="756FD714" w:rsidRPr="09F367D5">
            <w:rPr>
              <w:rFonts w:ascii="Times New Roman" w:hAnsi="Times New Roman"/>
              <w:sz w:val="24"/>
              <w:szCs w:val="24"/>
            </w:rPr>
            <w:t>$1.956.070.263.049.</w:t>
          </w:r>
        </w:p>
        <w:p w14:paraId="6062C160" w14:textId="77777777" w:rsidR="00036574" w:rsidRPr="00931DCE" w:rsidRDefault="00036574" w:rsidP="004A000E">
          <w:pPr>
            <w:spacing w:after="0" w:line="240" w:lineRule="auto"/>
            <w:jc w:val="both"/>
            <w:rPr>
              <w:rFonts w:ascii="Times New Roman" w:hAnsi="Times New Roman"/>
              <w:sz w:val="24"/>
              <w:szCs w:val="24"/>
            </w:rPr>
          </w:pPr>
        </w:p>
        <w:p w14:paraId="263D0E66" w14:textId="69FFA1E3" w:rsidR="002D0E38" w:rsidRDefault="002D0E38" w:rsidP="004A000E">
          <w:pPr>
            <w:spacing w:after="0" w:line="240" w:lineRule="auto"/>
            <w:jc w:val="both"/>
            <w:rPr>
              <w:rFonts w:ascii="Times New Roman" w:hAnsi="Times New Roman"/>
              <w:sz w:val="24"/>
              <w:szCs w:val="24"/>
            </w:rPr>
          </w:pPr>
        </w:p>
        <w:p w14:paraId="4A7098CC" w14:textId="77777777" w:rsidR="00C374BB" w:rsidRDefault="00C374BB" w:rsidP="004A000E">
          <w:pPr>
            <w:spacing w:after="0" w:line="240" w:lineRule="auto"/>
            <w:jc w:val="both"/>
            <w:rPr>
              <w:rFonts w:ascii="Times New Roman" w:hAnsi="Times New Roman"/>
              <w:sz w:val="24"/>
              <w:szCs w:val="24"/>
            </w:rPr>
          </w:pPr>
        </w:p>
        <w:p w14:paraId="640B8EE2" w14:textId="77777777" w:rsidR="00C374BB" w:rsidRDefault="00C374BB" w:rsidP="004A000E">
          <w:pPr>
            <w:spacing w:after="0" w:line="240" w:lineRule="auto"/>
            <w:jc w:val="both"/>
            <w:rPr>
              <w:rFonts w:ascii="Times New Roman" w:hAnsi="Times New Roman"/>
              <w:sz w:val="24"/>
              <w:szCs w:val="24"/>
            </w:rPr>
          </w:pPr>
        </w:p>
        <w:p w14:paraId="54AA397C" w14:textId="77777777" w:rsidR="00C374BB" w:rsidRDefault="00C374BB" w:rsidP="004A000E">
          <w:pPr>
            <w:spacing w:after="0" w:line="240" w:lineRule="auto"/>
            <w:jc w:val="both"/>
            <w:rPr>
              <w:rFonts w:ascii="Times New Roman" w:hAnsi="Times New Roman"/>
              <w:sz w:val="24"/>
              <w:szCs w:val="24"/>
            </w:rPr>
          </w:pPr>
        </w:p>
        <w:p w14:paraId="3C008219" w14:textId="77777777" w:rsidR="00C374BB" w:rsidRDefault="00C374BB" w:rsidP="004A000E">
          <w:pPr>
            <w:spacing w:after="0" w:line="240" w:lineRule="auto"/>
            <w:jc w:val="both"/>
            <w:rPr>
              <w:rFonts w:ascii="Times New Roman" w:hAnsi="Times New Roman"/>
              <w:sz w:val="24"/>
              <w:szCs w:val="24"/>
            </w:rPr>
          </w:pPr>
        </w:p>
        <w:p w14:paraId="2B7F5837" w14:textId="77777777" w:rsidR="00C374BB" w:rsidRDefault="00C374BB" w:rsidP="004A000E">
          <w:pPr>
            <w:spacing w:after="0" w:line="240" w:lineRule="auto"/>
            <w:jc w:val="both"/>
            <w:rPr>
              <w:rFonts w:ascii="Times New Roman" w:hAnsi="Times New Roman"/>
              <w:sz w:val="24"/>
              <w:szCs w:val="24"/>
            </w:rPr>
          </w:pPr>
        </w:p>
        <w:p w14:paraId="58811376" w14:textId="77777777" w:rsidR="00C374BB" w:rsidRDefault="00C374BB" w:rsidP="004A000E">
          <w:pPr>
            <w:spacing w:after="0" w:line="240" w:lineRule="auto"/>
            <w:jc w:val="both"/>
            <w:rPr>
              <w:rFonts w:ascii="Times New Roman" w:hAnsi="Times New Roman"/>
              <w:sz w:val="24"/>
              <w:szCs w:val="24"/>
            </w:rPr>
          </w:pPr>
        </w:p>
        <w:p w14:paraId="3182E308" w14:textId="77777777" w:rsidR="00C374BB" w:rsidRPr="00931DCE" w:rsidRDefault="00C374BB" w:rsidP="004A000E">
          <w:pPr>
            <w:spacing w:after="0" w:line="240" w:lineRule="auto"/>
            <w:jc w:val="both"/>
            <w:rPr>
              <w:rFonts w:ascii="Times New Roman" w:hAnsi="Times New Roman"/>
              <w:sz w:val="24"/>
              <w:szCs w:val="24"/>
            </w:rPr>
          </w:pPr>
        </w:p>
        <w:p w14:paraId="61976C7A" w14:textId="5B076FDB" w:rsidR="00945BB4" w:rsidRPr="00931DCE" w:rsidRDefault="002E62CF" w:rsidP="004A000E">
          <w:pPr>
            <w:pStyle w:val="Ttulo1"/>
            <w:rPr>
              <w:rFonts w:cs="Times New Roman"/>
            </w:rPr>
          </w:pPr>
          <w:bookmarkStart w:id="107" w:name="_Toc159952432"/>
          <w:r w:rsidRPr="00931DCE">
            <w:rPr>
              <w:rFonts w:cs="Times New Roman"/>
            </w:rPr>
            <w:lastRenderedPageBreak/>
            <w:t>NOTA 2</w:t>
          </w:r>
          <w:r w:rsidR="00D50670" w:rsidRPr="00931DCE">
            <w:rPr>
              <w:rFonts w:cs="Times New Roman"/>
            </w:rPr>
            <w:t>8</w:t>
          </w:r>
          <w:r w:rsidRPr="00931DCE">
            <w:rPr>
              <w:rFonts w:cs="Times New Roman"/>
            </w:rPr>
            <w:t>. INGRESOS</w:t>
          </w:r>
          <w:bookmarkEnd w:id="107"/>
          <w:r w:rsidRPr="00931DCE">
            <w:rPr>
              <w:rFonts w:cs="Times New Roman"/>
            </w:rPr>
            <w:t xml:space="preserve"> </w:t>
          </w:r>
        </w:p>
        <w:p w14:paraId="4FEFA6DE" w14:textId="77777777" w:rsidR="0071634E" w:rsidRPr="00931DCE" w:rsidRDefault="0071634E" w:rsidP="004A000E">
          <w:pPr>
            <w:spacing w:after="0" w:line="240" w:lineRule="auto"/>
            <w:jc w:val="both"/>
            <w:rPr>
              <w:rFonts w:ascii="Times New Roman" w:hAnsi="Times New Roman"/>
              <w:b/>
              <w:sz w:val="18"/>
              <w:szCs w:val="18"/>
            </w:rPr>
          </w:pPr>
        </w:p>
        <w:p w14:paraId="37E18464" w14:textId="7E521FC9" w:rsidR="0071634E" w:rsidRPr="00931DCE" w:rsidRDefault="0071634E" w:rsidP="004A000E">
          <w:pPr>
            <w:pStyle w:val="Ttulo2"/>
            <w:numPr>
              <w:ilvl w:val="0"/>
              <w:numId w:val="0"/>
            </w:numPr>
            <w:rPr>
              <w:rFonts w:cs="Times New Roman"/>
            </w:rPr>
          </w:pPr>
          <w:bookmarkStart w:id="108" w:name="_Toc159952433"/>
          <w:r w:rsidRPr="00931DCE">
            <w:rPr>
              <w:rFonts w:cs="Times New Roman"/>
            </w:rPr>
            <w:t>Composición</w:t>
          </w:r>
          <w:bookmarkEnd w:id="108"/>
        </w:p>
        <w:p w14:paraId="1BE763C2" w14:textId="47A158F7" w:rsidR="1B7090DE" w:rsidRDefault="1B7090DE" w:rsidP="02E3AD61">
          <w:pPr>
            <w:ind w:left="-20" w:right="-20"/>
            <w:jc w:val="both"/>
          </w:pPr>
        </w:p>
        <w:tbl>
          <w:tblPr>
            <w:tblW w:w="5000" w:type="pct"/>
            <w:tblBorders>
              <w:top w:val="single" w:sz="8" w:space="0" w:color="A6A6A6"/>
              <w:left w:val="single" w:sz="8" w:space="0" w:color="A6A6A6"/>
              <w:bottom w:val="single" w:sz="8" w:space="0" w:color="A6A6A6"/>
              <w:right w:val="single" w:sz="8" w:space="0" w:color="A6A6A6"/>
              <w:insideH w:val="single" w:sz="6" w:space="0" w:color="A6A6A6"/>
              <w:insideV w:val="single" w:sz="6" w:space="0" w:color="A6A6A6"/>
            </w:tblBorders>
            <w:tblCellMar>
              <w:left w:w="70" w:type="dxa"/>
              <w:right w:w="70" w:type="dxa"/>
            </w:tblCellMar>
            <w:tblLook w:val="04A0" w:firstRow="1" w:lastRow="0" w:firstColumn="1" w:lastColumn="0" w:noHBand="0" w:noVBand="1"/>
          </w:tblPr>
          <w:tblGrid>
            <w:gridCol w:w="1151"/>
            <w:gridCol w:w="2036"/>
            <w:gridCol w:w="2372"/>
            <w:gridCol w:w="1700"/>
            <w:gridCol w:w="1700"/>
          </w:tblGrid>
          <w:tr w:rsidR="00C13DBA" w:rsidRPr="00C13DBA" w14:paraId="4309E65B" w14:textId="77777777" w:rsidTr="00BD760C">
            <w:trPr>
              <w:trHeight w:val="163"/>
            </w:trPr>
            <w:tc>
              <w:tcPr>
                <w:tcW w:w="1708" w:type="pct"/>
                <w:gridSpan w:val="2"/>
                <w:shd w:val="clear" w:color="auto" w:fill="auto"/>
                <w:vAlign w:val="center"/>
                <w:hideMark/>
              </w:tcPr>
              <w:p w14:paraId="5671808D" w14:textId="77777777" w:rsidR="00C13DBA" w:rsidRPr="00C13DBA" w:rsidRDefault="00C13DBA" w:rsidP="00C13DBA">
                <w:pPr>
                  <w:spacing w:after="0" w:line="240" w:lineRule="auto"/>
                  <w:jc w:val="center"/>
                  <w:rPr>
                    <w:rFonts w:ascii="Times New Roman" w:eastAsia="Times New Roman" w:hAnsi="Times New Roman"/>
                    <w:b/>
                    <w:bCs/>
                    <w:color w:val="000000"/>
                    <w:sz w:val="18"/>
                    <w:szCs w:val="18"/>
                    <w:lang w:eastAsia="es-CO"/>
                  </w:rPr>
                </w:pPr>
                <w:r w:rsidRPr="00C13DBA">
                  <w:rPr>
                    <w:rFonts w:ascii="Times New Roman" w:eastAsia="Times New Roman" w:hAnsi="Times New Roman"/>
                    <w:b/>
                    <w:bCs/>
                    <w:color w:val="000000"/>
                    <w:sz w:val="18"/>
                    <w:szCs w:val="18"/>
                    <w:lang w:eastAsia="es-CO"/>
                  </w:rPr>
                  <w:t>DESCRIPCIÓN</w:t>
                </w:r>
              </w:p>
            </w:tc>
            <w:tc>
              <w:tcPr>
                <w:tcW w:w="2319" w:type="pct"/>
                <w:gridSpan w:val="2"/>
                <w:shd w:val="clear" w:color="auto" w:fill="auto"/>
                <w:vAlign w:val="center"/>
                <w:hideMark/>
              </w:tcPr>
              <w:p w14:paraId="5B5D72E5" w14:textId="77777777" w:rsidR="00C13DBA" w:rsidRPr="00C13DBA" w:rsidRDefault="00C13DBA" w:rsidP="00C13DBA">
                <w:pPr>
                  <w:spacing w:after="0" w:line="240" w:lineRule="auto"/>
                  <w:jc w:val="center"/>
                  <w:rPr>
                    <w:rFonts w:ascii="Times New Roman" w:eastAsia="Times New Roman" w:hAnsi="Times New Roman"/>
                    <w:b/>
                    <w:bCs/>
                    <w:color w:val="000000"/>
                    <w:sz w:val="18"/>
                    <w:szCs w:val="18"/>
                    <w:lang w:eastAsia="es-CO"/>
                  </w:rPr>
                </w:pPr>
                <w:r w:rsidRPr="00C13DBA">
                  <w:rPr>
                    <w:rFonts w:ascii="Times New Roman" w:eastAsia="Times New Roman" w:hAnsi="Times New Roman"/>
                    <w:b/>
                    <w:bCs/>
                    <w:color w:val="000000"/>
                    <w:sz w:val="18"/>
                    <w:szCs w:val="18"/>
                    <w:lang w:eastAsia="es-CO"/>
                  </w:rPr>
                  <w:t>SALDOS A CORTES DE VIGENCIA</w:t>
                </w:r>
              </w:p>
            </w:tc>
            <w:tc>
              <w:tcPr>
                <w:tcW w:w="972" w:type="pct"/>
                <w:shd w:val="clear" w:color="auto" w:fill="auto"/>
                <w:vAlign w:val="center"/>
                <w:hideMark/>
              </w:tcPr>
              <w:p w14:paraId="2B0D9495" w14:textId="77777777" w:rsidR="00C13DBA" w:rsidRPr="00C13DBA" w:rsidRDefault="00C13DBA" w:rsidP="00C13DBA">
                <w:pPr>
                  <w:spacing w:after="0" w:line="240" w:lineRule="auto"/>
                  <w:jc w:val="center"/>
                  <w:rPr>
                    <w:rFonts w:ascii="Times New Roman" w:eastAsia="Times New Roman" w:hAnsi="Times New Roman"/>
                    <w:b/>
                    <w:bCs/>
                    <w:color w:val="000000"/>
                    <w:sz w:val="18"/>
                    <w:szCs w:val="18"/>
                    <w:lang w:eastAsia="es-CO"/>
                  </w:rPr>
                </w:pPr>
                <w:r w:rsidRPr="00C13DBA">
                  <w:rPr>
                    <w:rFonts w:ascii="Times New Roman" w:eastAsia="Times New Roman" w:hAnsi="Times New Roman"/>
                    <w:b/>
                    <w:bCs/>
                    <w:color w:val="000000"/>
                    <w:sz w:val="18"/>
                    <w:szCs w:val="18"/>
                    <w:lang w:eastAsia="es-CO"/>
                  </w:rPr>
                  <w:t>VARIACIÓN</w:t>
                </w:r>
              </w:p>
            </w:tc>
          </w:tr>
          <w:tr w:rsidR="00C13DBA" w:rsidRPr="00C13DBA" w14:paraId="118EBBB2" w14:textId="77777777" w:rsidTr="00235607">
            <w:trPr>
              <w:trHeight w:val="340"/>
            </w:trPr>
            <w:tc>
              <w:tcPr>
                <w:tcW w:w="549" w:type="pct"/>
                <w:shd w:val="clear" w:color="auto" w:fill="auto"/>
                <w:vAlign w:val="center"/>
                <w:hideMark/>
              </w:tcPr>
              <w:p w14:paraId="6DD6FCCF" w14:textId="77777777" w:rsidR="00C13DBA" w:rsidRPr="00C13DBA" w:rsidRDefault="00C13DBA" w:rsidP="00C13DBA">
                <w:pPr>
                  <w:spacing w:after="0" w:line="240" w:lineRule="auto"/>
                  <w:jc w:val="center"/>
                  <w:rPr>
                    <w:rFonts w:ascii="Times New Roman" w:eastAsia="Times New Roman" w:hAnsi="Times New Roman"/>
                    <w:b/>
                    <w:bCs/>
                    <w:color w:val="000000"/>
                    <w:sz w:val="18"/>
                    <w:szCs w:val="18"/>
                    <w:lang w:eastAsia="es-CO"/>
                  </w:rPr>
                </w:pPr>
                <w:r w:rsidRPr="00C13DBA">
                  <w:rPr>
                    <w:rFonts w:ascii="Times New Roman" w:eastAsia="Times New Roman" w:hAnsi="Times New Roman"/>
                    <w:b/>
                    <w:bCs/>
                    <w:color w:val="000000"/>
                    <w:sz w:val="18"/>
                    <w:szCs w:val="18"/>
                    <w:lang w:eastAsia="es-CO"/>
                  </w:rPr>
                  <w:t>CÓDIGO CONTABLE</w:t>
                </w:r>
              </w:p>
            </w:tc>
            <w:tc>
              <w:tcPr>
                <w:tcW w:w="1160" w:type="pct"/>
                <w:shd w:val="clear" w:color="auto" w:fill="auto"/>
                <w:vAlign w:val="center"/>
                <w:hideMark/>
              </w:tcPr>
              <w:p w14:paraId="6BAD838A" w14:textId="77777777" w:rsidR="00C13DBA" w:rsidRPr="00C13DBA" w:rsidRDefault="00C13DBA" w:rsidP="00C13DBA">
                <w:pPr>
                  <w:spacing w:after="0" w:line="240" w:lineRule="auto"/>
                  <w:jc w:val="center"/>
                  <w:rPr>
                    <w:rFonts w:ascii="Times New Roman" w:eastAsia="Times New Roman" w:hAnsi="Times New Roman"/>
                    <w:b/>
                    <w:bCs/>
                    <w:color w:val="000000"/>
                    <w:sz w:val="18"/>
                    <w:szCs w:val="18"/>
                    <w:lang w:eastAsia="es-CO"/>
                  </w:rPr>
                </w:pPr>
                <w:r w:rsidRPr="00C13DBA">
                  <w:rPr>
                    <w:rFonts w:ascii="Times New Roman" w:eastAsia="Times New Roman" w:hAnsi="Times New Roman"/>
                    <w:b/>
                    <w:bCs/>
                    <w:color w:val="000000"/>
                    <w:sz w:val="18"/>
                    <w:szCs w:val="18"/>
                    <w:lang w:eastAsia="es-CO"/>
                  </w:rPr>
                  <w:t>CONCEPTO</w:t>
                </w:r>
              </w:p>
            </w:tc>
            <w:tc>
              <w:tcPr>
                <w:tcW w:w="1347" w:type="pct"/>
                <w:shd w:val="clear" w:color="auto" w:fill="auto"/>
                <w:vAlign w:val="center"/>
                <w:hideMark/>
              </w:tcPr>
              <w:p w14:paraId="7A9C2629" w14:textId="77777777" w:rsidR="00C13DBA" w:rsidRPr="00C13DBA" w:rsidRDefault="00C13DBA" w:rsidP="00C13DBA">
                <w:pPr>
                  <w:spacing w:after="0" w:line="240" w:lineRule="auto"/>
                  <w:jc w:val="center"/>
                  <w:rPr>
                    <w:rFonts w:ascii="Times New Roman" w:eastAsia="Times New Roman" w:hAnsi="Times New Roman"/>
                    <w:b/>
                    <w:bCs/>
                    <w:color w:val="000000"/>
                    <w:sz w:val="18"/>
                    <w:szCs w:val="18"/>
                    <w:lang w:eastAsia="es-CO"/>
                  </w:rPr>
                </w:pPr>
                <w:r w:rsidRPr="00C13DBA">
                  <w:rPr>
                    <w:rFonts w:ascii="Times New Roman" w:eastAsia="Times New Roman" w:hAnsi="Times New Roman"/>
                    <w:b/>
                    <w:bCs/>
                    <w:color w:val="000000"/>
                    <w:sz w:val="18"/>
                    <w:szCs w:val="18"/>
                    <w:lang w:eastAsia="es-CO"/>
                  </w:rPr>
                  <w:t>2023</w:t>
                </w:r>
              </w:p>
            </w:tc>
            <w:tc>
              <w:tcPr>
                <w:tcW w:w="972" w:type="pct"/>
                <w:shd w:val="clear" w:color="auto" w:fill="auto"/>
                <w:vAlign w:val="center"/>
                <w:hideMark/>
              </w:tcPr>
              <w:p w14:paraId="5370FBCA" w14:textId="77777777" w:rsidR="00C13DBA" w:rsidRPr="00C13DBA" w:rsidRDefault="00C13DBA" w:rsidP="00C13DBA">
                <w:pPr>
                  <w:spacing w:after="0" w:line="240" w:lineRule="auto"/>
                  <w:jc w:val="center"/>
                  <w:rPr>
                    <w:rFonts w:ascii="Times New Roman" w:eastAsia="Times New Roman" w:hAnsi="Times New Roman"/>
                    <w:b/>
                    <w:bCs/>
                    <w:color w:val="000000"/>
                    <w:sz w:val="18"/>
                    <w:szCs w:val="18"/>
                    <w:lang w:eastAsia="es-CO"/>
                  </w:rPr>
                </w:pPr>
                <w:r w:rsidRPr="00C13DBA">
                  <w:rPr>
                    <w:rFonts w:ascii="Times New Roman" w:eastAsia="Times New Roman" w:hAnsi="Times New Roman"/>
                    <w:b/>
                    <w:bCs/>
                    <w:color w:val="000000"/>
                    <w:sz w:val="18"/>
                    <w:szCs w:val="18"/>
                    <w:lang w:eastAsia="es-CO"/>
                  </w:rPr>
                  <w:t>2022</w:t>
                </w:r>
              </w:p>
            </w:tc>
            <w:tc>
              <w:tcPr>
                <w:tcW w:w="972" w:type="pct"/>
                <w:shd w:val="clear" w:color="auto" w:fill="auto"/>
                <w:vAlign w:val="center"/>
                <w:hideMark/>
              </w:tcPr>
              <w:p w14:paraId="307848D4" w14:textId="77777777" w:rsidR="00C13DBA" w:rsidRPr="00C13DBA" w:rsidRDefault="00C13DBA" w:rsidP="00C13DBA">
                <w:pPr>
                  <w:spacing w:after="0" w:line="240" w:lineRule="auto"/>
                  <w:jc w:val="center"/>
                  <w:rPr>
                    <w:rFonts w:ascii="Times New Roman" w:eastAsia="Times New Roman" w:hAnsi="Times New Roman"/>
                    <w:b/>
                    <w:bCs/>
                    <w:color w:val="000000"/>
                    <w:sz w:val="18"/>
                    <w:szCs w:val="18"/>
                    <w:lang w:eastAsia="es-CO"/>
                  </w:rPr>
                </w:pPr>
                <w:r w:rsidRPr="00C13DBA">
                  <w:rPr>
                    <w:rFonts w:ascii="Times New Roman" w:eastAsia="Times New Roman" w:hAnsi="Times New Roman"/>
                    <w:b/>
                    <w:bCs/>
                    <w:color w:val="000000"/>
                    <w:sz w:val="18"/>
                    <w:szCs w:val="18"/>
                    <w:lang w:eastAsia="es-CO"/>
                  </w:rPr>
                  <w:t>VALOR VARIACIÓN</w:t>
                </w:r>
              </w:p>
            </w:tc>
          </w:tr>
          <w:tr w:rsidR="00C13DBA" w:rsidRPr="00C13DBA" w14:paraId="0352D662" w14:textId="77777777" w:rsidTr="00BD760C">
            <w:trPr>
              <w:trHeight w:val="206"/>
            </w:trPr>
            <w:tc>
              <w:tcPr>
                <w:tcW w:w="549" w:type="pct"/>
                <w:shd w:val="clear" w:color="auto" w:fill="auto"/>
                <w:vAlign w:val="center"/>
                <w:hideMark/>
              </w:tcPr>
              <w:p w14:paraId="2BC34480" w14:textId="77777777" w:rsidR="00C13DBA" w:rsidRPr="00C13DBA" w:rsidRDefault="00C13DBA" w:rsidP="00C13DBA">
                <w:pPr>
                  <w:spacing w:after="0" w:line="240" w:lineRule="auto"/>
                  <w:rPr>
                    <w:rFonts w:ascii="Times New Roman" w:eastAsia="Times New Roman" w:hAnsi="Times New Roman"/>
                    <w:b/>
                    <w:bCs/>
                    <w:color w:val="000000"/>
                    <w:sz w:val="18"/>
                    <w:szCs w:val="18"/>
                    <w:lang w:eastAsia="es-CO"/>
                  </w:rPr>
                </w:pPr>
                <w:r w:rsidRPr="00C13DBA">
                  <w:rPr>
                    <w:rFonts w:ascii="Times New Roman" w:eastAsia="Times New Roman" w:hAnsi="Times New Roman"/>
                    <w:b/>
                    <w:bCs/>
                    <w:color w:val="000000"/>
                    <w:sz w:val="18"/>
                    <w:szCs w:val="18"/>
                    <w:lang w:eastAsia="es-CO"/>
                  </w:rPr>
                  <w:t>4</w:t>
                </w:r>
              </w:p>
            </w:tc>
            <w:tc>
              <w:tcPr>
                <w:tcW w:w="1160" w:type="pct"/>
                <w:shd w:val="clear" w:color="auto" w:fill="auto"/>
                <w:vAlign w:val="center"/>
                <w:hideMark/>
              </w:tcPr>
              <w:p w14:paraId="7D27BC1C" w14:textId="77777777" w:rsidR="00C13DBA" w:rsidRPr="00C13DBA" w:rsidRDefault="00C13DBA" w:rsidP="00C13DBA">
                <w:pPr>
                  <w:spacing w:after="0" w:line="240" w:lineRule="auto"/>
                  <w:jc w:val="center"/>
                  <w:rPr>
                    <w:rFonts w:ascii="Times New Roman" w:eastAsia="Times New Roman" w:hAnsi="Times New Roman"/>
                    <w:b/>
                    <w:bCs/>
                    <w:color w:val="000000"/>
                    <w:sz w:val="18"/>
                    <w:szCs w:val="18"/>
                    <w:lang w:eastAsia="es-CO"/>
                  </w:rPr>
                </w:pPr>
                <w:r w:rsidRPr="00C13DBA">
                  <w:rPr>
                    <w:rFonts w:ascii="Times New Roman" w:eastAsia="Times New Roman" w:hAnsi="Times New Roman"/>
                    <w:b/>
                    <w:bCs/>
                    <w:color w:val="000000"/>
                    <w:sz w:val="18"/>
                    <w:szCs w:val="18"/>
                    <w:lang w:eastAsia="es-CO"/>
                  </w:rPr>
                  <w:t>INGRESOS</w:t>
                </w:r>
              </w:p>
            </w:tc>
            <w:tc>
              <w:tcPr>
                <w:tcW w:w="1347" w:type="pct"/>
                <w:shd w:val="clear" w:color="auto" w:fill="auto"/>
                <w:vAlign w:val="center"/>
                <w:hideMark/>
              </w:tcPr>
              <w:p w14:paraId="786887AA" w14:textId="77777777" w:rsidR="00C13DBA" w:rsidRPr="00C13DBA" w:rsidRDefault="00C13DBA" w:rsidP="00C13DBA">
                <w:pPr>
                  <w:spacing w:after="0" w:line="240" w:lineRule="auto"/>
                  <w:jc w:val="right"/>
                  <w:rPr>
                    <w:rFonts w:ascii="Times New Roman" w:eastAsia="Times New Roman" w:hAnsi="Times New Roman"/>
                    <w:b/>
                    <w:bCs/>
                    <w:color w:val="000000"/>
                    <w:sz w:val="18"/>
                    <w:szCs w:val="18"/>
                    <w:lang w:eastAsia="es-CO"/>
                  </w:rPr>
                </w:pPr>
                <w:r w:rsidRPr="00C13DBA">
                  <w:rPr>
                    <w:rFonts w:ascii="Times New Roman" w:eastAsia="Times New Roman" w:hAnsi="Times New Roman"/>
                    <w:b/>
                    <w:bCs/>
                    <w:color w:val="000000"/>
                    <w:sz w:val="18"/>
                    <w:szCs w:val="18"/>
                    <w:lang w:eastAsia="es-CO"/>
                  </w:rPr>
                  <w:t>11.007.857.751.133</w:t>
                </w:r>
              </w:p>
            </w:tc>
            <w:tc>
              <w:tcPr>
                <w:tcW w:w="972" w:type="pct"/>
                <w:shd w:val="clear" w:color="auto" w:fill="auto"/>
                <w:vAlign w:val="center"/>
                <w:hideMark/>
              </w:tcPr>
              <w:p w14:paraId="5D296A95" w14:textId="77777777" w:rsidR="00C13DBA" w:rsidRPr="00C13DBA" w:rsidRDefault="00C13DBA" w:rsidP="00C13DBA">
                <w:pPr>
                  <w:spacing w:after="0" w:line="240" w:lineRule="auto"/>
                  <w:jc w:val="right"/>
                  <w:rPr>
                    <w:rFonts w:ascii="Times New Roman" w:eastAsia="Times New Roman" w:hAnsi="Times New Roman"/>
                    <w:b/>
                    <w:bCs/>
                    <w:color w:val="000000"/>
                    <w:sz w:val="18"/>
                    <w:szCs w:val="18"/>
                    <w:lang w:eastAsia="es-CO"/>
                  </w:rPr>
                </w:pPr>
                <w:r w:rsidRPr="00C13DBA">
                  <w:rPr>
                    <w:rFonts w:ascii="Times New Roman" w:eastAsia="Times New Roman" w:hAnsi="Times New Roman"/>
                    <w:b/>
                    <w:bCs/>
                    <w:color w:val="000000"/>
                    <w:sz w:val="18"/>
                    <w:szCs w:val="18"/>
                    <w:lang w:eastAsia="es-CO"/>
                  </w:rPr>
                  <w:t>7.363.376.135.646</w:t>
                </w:r>
              </w:p>
            </w:tc>
            <w:tc>
              <w:tcPr>
                <w:tcW w:w="972" w:type="pct"/>
                <w:shd w:val="clear" w:color="auto" w:fill="auto"/>
                <w:vAlign w:val="center"/>
                <w:hideMark/>
              </w:tcPr>
              <w:p w14:paraId="18EAD0A4" w14:textId="77777777" w:rsidR="00C13DBA" w:rsidRPr="00C13DBA" w:rsidRDefault="00C13DBA" w:rsidP="00C13DBA">
                <w:pPr>
                  <w:spacing w:after="0" w:line="240" w:lineRule="auto"/>
                  <w:jc w:val="right"/>
                  <w:rPr>
                    <w:rFonts w:ascii="Times New Roman" w:eastAsia="Times New Roman" w:hAnsi="Times New Roman"/>
                    <w:b/>
                    <w:bCs/>
                    <w:color w:val="000000"/>
                    <w:sz w:val="18"/>
                    <w:szCs w:val="18"/>
                    <w:lang w:eastAsia="es-CO"/>
                  </w:rPr>
                </w:pPr>
                <w:r w:rsidRPr="00C13DBA">
                  <w:rPr>
                    <w:rFonts w:ascii="Times New Roman" w:eastAsia="Times New Roman" w:hAnsi="Times New Roman"/>
                    <w:b/>
                    <w:bCs/>
                    <w:color w:val="000000"/>
                    <w:sz w:val="18"/>
                    <w:szCs w:val="18"/>
                    <w:lang w:eastAsia="es-CO"/>
                  </w:rPr>
                  <w:t>3.644.481.615.487</w:t>
                </w:r>
              </w:p>
            </w:tc>
          </w:tr>
          <w:tr w:rsidR="00C13DBA" w:rsidRPr="00C13DBA" w14:paraId="2D41A941" w14:textId="77777777" w:rsidTr="00BD760C">
            <w:trPr>
              <w:trHeight w:val="296"/>
            </w:trPr>
            <w:tc>
              <w:tcPr>
                <w:tcW w:w="549" w:type="pct"/>
                <w:shd w:val="clear" w:color="auto" w:fill="auto"/>
                <w:vAlign w:val="center"/>
                <w:hideMark/>
              </w:tcPr>
              <w:p w14:paraId="1BF726ED" w14:textId="77777777" w:rsidR="00C13DBA" w:rsidRPr="00C13DBA" w:rsidRDefault="00C13DBA" w:rsidP="00C13DBA">
                <w:pPr>
                  <w:spacing w:after="0" w:line="240" w:lineRule="auto"/>
                  <w:rPr>
                    <w:rFonts w:ascii="Times New Roman" w:eastAsia="Times New Roman" w:hAnsi="Times New Roman"/>
                    <w:color w:val="000000"/>
                    <w:sz w:val="18"/>
                    <w:szCs w:val="18"/>
                    <w:lang w:eastAsia="es-CO"/>
                  </w:rPr>
                </w:pPr>
                <w:r w:rsidRPr="00C13DBA">
                  <w:rPr>
                    <w:rFonts w:ascii="Times New Roman" w:eastAsia="Times New Roman" w:hAnsi="Times New Roman"/>
                    <w:color w:val="000000"/>
                    <w:sz w:val="18"/>
                    <w:szCs w:val="18"/>
                    <w:lang w:eastAsia="es-CO"/>
                  </w:rPr>
                  <w:t>4.1</w:t>
                </w:r>
              </w:p>
            </w:tc>
            <w:tc>
              <w:tcPr>
                <w:tcW w:w="1160" w:type="pct"/>
                <w:shd w:val="clear" w:color="auto" w:fill="auto"/>
                <w:vAlign w:val="center"/>
                <w:hideMark/>
              </w:tcPr>
              <w:p w14:paraId="739D03D9" w14:textId="77777777" w:rsidR="00C13DBA" w:rsidRPr="00C13DBA" w:rsidRDefault="00C13DBA" w:rsidP="00C13DBA">
                <w:pPr>
                  <w:spacing w:after="0" w:line="240" w:lineRule="auto"/>
                  <w:rPr>
                    <w:rFonts w:ascii="Times New Roman" w:eastAsia="Times New Roman" w:hAnsi="Times New Roman"/>
                    <w:color w:val="000000"/>
                    <w:sz w:val="18"/>
                    <w:szCs w:val="18"/>
                    <w:lang w:eastAsia="es-CO"/>
                  </w:rPr>
                </w:pPr>
                <w:r w:rsidRPr="00C13DBA">
                  <w:rPr>
                    <w:rFonts w:ascii="Times New Roman" w:eastAsia="Times New Roman" w:hAnsi="Times New Roman"/>
                    <w:color w:val="000000"/>
                    <w:sz w:val="18"/>
                    <w:szCs w:val="18"/>
                    <w:lang w:eastAsia="es-CO"/>
                  </w:rPr>
                  <w:t xml:space="preserve">Ingresos fiscales </w:t>
                </w:r>
              </w:p>
            </w:tc>
            <w:tc>
              <w:tcPr>
                <w:tcW w:w="1347" w:type="pct"/>
                <w:shd w:val="clear" w:color="auto" w:fill="auto"/>
                <w:vAlign w:val="center"/>
                <w:hideMark/>
              </w:tcPr>
              <w:p w14:paraId="69A9A40D" w14:textId="77777777" w:rsidR="00C13DBA" w:rsidRPr="00C13DBA" w:rsidRDefault="00C13DBA" w:rsidP="00C13DBA">
                <w:pPr>
                  <w:spacing w:after="0" w:line="240" w:lineRule="auto"/>
                  <w:jc w:val="right"/>
                  <w:rPr>
                    <w:rFonts w:ascii="Times New Roman" w:eastAsia="Times New Roman" w:hAnsi="Times New Roman"/>
                    <w:color w:val="000000"/>
                    <w:sz w:val="18"/>
                    <w:szCs w:val="18"/>
                    <w:lang w:eastAsia="es-CO"/>
                  </w:rPr>
                </w:pPr>
                <w:r w:rsidRPr="00C13DBA">
                  <w:rPr>
                    <w:rFonts w:ascii="Times New Roman" w:eastAsia="Times New Roman" w:hAnsi="Times New Roman"/>
                    <w:color w:val="000000"/>
                    <w:sz w:val="18"/>
                    <w:szCs w:val="18"/>
                    <w:lang w:eastAsia="es-CO"/>
                  </w:rPr>
                  <w:t>211.552.246.439</w:t>
                </w:r>
              </w:p>
            </w:tc>
            <w:tc>
              <w:tcPr>
                <w:tcW w:w="972" w:type="pct"/>
                <w:shd w:val="clear" w:color="auto" w:fill="auto"/>
                <w:vAlign w:val="center"/>
                <w:hideMark/>
              </w:tcPr>
              <w:p w14:paraId="2C076941" w14:textId="77777777" w:rsidR="00C13DBA" w:rsidRPr="00C13DBA" w:rsidRDefault="00C13DBA" w:rsidP="00C13DBA">
                <w:pPr>
                  <w:spacing w:after="0" w:line="240" w:lineRule="auto"/>
                  <w:jc w:val="right"/>
                  <w:rPr>
                    <w:rFonts w:ascii="Times New Roman" w:eastAsia="Times New Roman" w:hAnsi="Times New Roman"/>
                    <w:color w:val="000000"/>
                    <w:sz w:val="18"/>
                    <w:szCs w:val="18"/>
                    <w:lang w:eastAsia="es-CO"/>
                  </w:rPr>
                </w:pPr>
                <w:r w:rsidRPr="00C13DBA">
                  <w:rPr>
                    <w:rFonts w:ascii="Times New Roman" w:eastAsia="Times New Roman" w:hAnsi="Times New Roman"/>
                    <w:color w:val="000000"/>
                    <w:sz w:val="18"/>
                    <w:szCs w:val="18"/>
                    <w:lang w:eastAsia="es-CO"/>
                  </w:rPr>
                  <w:t>277.220.070.860</w:t>
                </w:r>
              </w:p>
            </w:tc>
            <w:tc>
              <w:tcPr>
                <w:tcW w:w="972" w:type="pct"/>
                <w:shd w:val="clear" w:color="auto" w:fill="auto"/>
                <w:vAlign w:val="center"/>
                <w:hideMark/>
              </w:tcPr>
              <w:p w14:paraId="335DB6FC" w14:textId="77777777" w:rsidR="00C13DBA" w:rsidRPr="00C13DBA" w:rsidRDefault="00C13DBA" w:rsidP="00C13DBA">
                <w:pPr>
                  <w:spacing w:after="0" w:line="240" w:lineRule="auto"/>
                  <w:jc w:val="right"/>
                  <w:rPr>
                    <w:rFonts w:ascii="Times New Roman" w:eastAsia="Times New Roman" w:hAnsi="Times New Roman"/>
                    <w:color w:val="000000"/>
                    <w:sz w:val="18"/>
                    <w:szCs w:val="18"/>
                    <w:lang w:eastAsia="es-CO"/>
                  </w:rPr>
                </w:pPr>
                <w:r w:rsidRPr="00C13DBA">
                  <w:rPr>
                    <w:rFonts w:ascii="Times New Roman" w:eastAsia="Times New Roman" w:hAnsi="Times New Roman"/>
                    <w:color w:val="000000"/>
                    <w:sz w:val="18"/>
                    <w:szCs w:val="18"/>
                    <w:lang w:eastAsia="es-CO"/>
                  </w:rPr>
                  <w:t>-65.667.824.421</w:t>
                </w:r>
              </w:p>
            </w:tc>
          </w:tr>
          <w:tr w:rsidR="00C13DBA" w:rsidRPr="00C13DBA" w14:paraId="64501F88" w14:textId="77777777" w:rsidTr="00235607">
            <w:trPr>
              <w:trHeight w:val="340"/>
            </w:trPr>
            <w:tc>
              <w:tcPr>
                <w:tcW w:w="549" w:type="pct"/>
                <w:shd w:val="clear" w:color="auto" w:fill="auto"/>
                <w:vAlign w:val="center"/>
                <w:hideMark/>
              </w:tcPr>
              <w:p w14:paraId="4B06F5EF" w14:textId="77777777" w:rsidR="00C13DBA" w:rsidRPr="00C13DBA" w:rsidRDefault="00C13DBA" w:rsidP="00C13DBA">
                <w:pPr>
                  <w:spacing w:after="0" w:line="240" w:lineRule="auto"/>
                  <w:rPr>
                    <w:rFonts w:ascii="Times New Roman" w:eastAsia="Times New Roman" w:hAnsi="Times New Roman"/>
                    <w:color w:val="000000"/>
                    <w:sz w:val="18"/>
                    <w:szCs w:val="18"/>
                    <w:lang w:eastAsia="es-CO"/>
                  </w:rPr>
                </w:pPr>
                <w:r w:rsidRPr="00C13DBA">
                  <w:rPr>
                    <w:rFonts w:ascii="Times New Roman" w:eastAsia="Times New Roman" w:hAnsi="Times New Roman"/>
                    <w:color w:val="000000"/>
                    <w:sz w:val="18"/>
                    <w:szCs w:val="18"/>
                    <w:lang w:eastAsia="es-CO"/>
                  </w:rPr>
                  <w:t>4.4</w:t>
                </w:r>
              </w:p>
            </w:tc>
            <w:tc>
              <w:tcPr>
                <w:tcW w:w="1160" w:type="pct"/>
                <w:shd w:val="clear" w:color="auto" w:fill="auto"/>
                <w:vAlign w:val="center"/>
                <w:hideMark/>
              </w:tcPr>
              <w:p w14:paraId="6515AB10" w14:textId="77777777" w:rsidR="00C13DBA" w:rsidRPr="00C13DBA" w:rsidRDefault="00C13DBA" w:rsidP="00C13DBA">
                <w:pPr>
                  <w:spacing w:after="0" w:line="240" w:lineRule="auto"/>
                  <w:rPr>
                    <w:rFonts w:ascii="Times New Roman" w:eastAsia="Times New Roman" w:hAnsi="Times New Roman"/>
                    <w:color w:val="000000"/>
                    <w:sz w:val="18"/>
                    <w:szCs w:val="18"/>
                    <w:lang w:eastAsia="es-CO"/>
                  </w:rPr>
                </w:pPr>
                <w:r w:rsidRPr="00C13DBA">
                  <w:rPr>
                    <w:rFonts w:ascii="Times New Roman" w:eastAsia="Times New Roman" w:hAnsi="Times New Roman"/>
                    <w:color w:val="000000"/>
                    <w:sz w:val="18"/>
                    <w:szCs w:val="18"/>
                    <w:lang w:eastAsia="es-CO"/>
                  </w:rPr>
                  <w:t>Transferencias y subvenciones</w:t>
                </w:r>
              </w:p>
            </w:tc>
            <w:tc>
              <w:tcPr>
                <w:tcW w:w="1347" w:type="pct"/>
                <w:shd w:val="clear" w:color="auto" w:fill="auto"/>
                <w:vAlign w:val="center"/>
                <w:hideMark/>
              </w:tcPr>
              <w:p w14:paraId="0B506B78" w14:textId="2649D45D" w:rsidR="00C13DBA" w:rsidRPr="00C13DBA" w:rsidRDefault="00C13DBA" w:rsidP="00C13DBA">
                <w:pPr>
                  <w:spacing w:after="0" w:line="240" w:lineRule="auto"/>
                  <w:jc w:val="right"/>
                  <w:rPr>
                    <w:rFonts w:ascii="Times New Roman" w:eastAsia="Times New Roman" w:hAnsi="Times New Roman"/>
                    <w:color w:val="000000"/>
                    <w:sz w:val="18"/>
                    <w:szCs w:val="18"/>
                    <w:lang w:eastAsia="es-CO"/>
                  </w:rPr>
                </w:pPr>
                <w:r w:rsidRPr="00C13DBA">
                  <w:rPr>
                    <w:rFonts w:ascii="Times New Roman" w:eastAsia="Times New Roman" w:hAnsi="Times New Roman"/>
                    <w:color w:val="000000"/>
                    <w:sz w:val="18"/>
                    <w:szCs w:val="18"/>
                    <w:lang w:eastAsia="es-CO"/>
                  </w:rPr>
                  <w:t xml:space="preserve">               4.665.324.689 </w:t>
                </w:r>
              </w:p>
            </w:tc>
            <w:tc>
              <w:tcPr>
                <w:tcW w:w="972" w:type="pct"/>
                <w:shd w:val="clear" w:color="auto" w:fill="auto"/>
                <w:vAlign w:val="center"/>
                <w:hideMark/>
              </w:tcPr>
              <w:p w14:paraId="2737883A" w14:textId="77777777" w:rsidR="00C13DBA" w:rsidRPr="00C13DBA" w:rsidRDefault="00C13DBA" w:rsidP="00C13DBA">
                <w:pPr>
                  <w:spacing w:after="0" w:line="240" w:lineRule="auto"/>
                  <w:jc w:val="right"/>
                  <w:rPr>
                    <w:rFonts w:ascii="Times New Roman" w:eastAsia="Times New Roman" w:hAnsi="Times New Roman"/>
                    <w:color w:val="000000"/>
                    <w:sz w:val="18"/>
                    <w:szCs w:val="18"/>
                    <w:lang w:eastAsia="es-CO"/>
                  </w:rPr>
                </w:pPr>
                <w:r w:rsidRPr="00C13DBA">
                  <w:rPr>
                    <w:rFonts w:ascii="Times New Roman" w:eastAsia="Times New Roman" w:hAnsi="Times New Roman"/>
                    <w:color w:val="000000"/>
                    <w:sz w:val="18"/>
                    <w:szCs w:val="18"/>
                    <w:lang w:eastAsia="es-CO"/>
                  </w:rPr>
                  <w:t>85.886.932</w:t>
                </w:r>
              </w:p>
            </w:tc>
            <w:tc>
              <w:tcPr>
                <w:tcW w:w="972" w:type="pct"/>
                <w:shd w:val="clear" w:color="auto" w:fill="auto"/>
                <w:vAlign w:val="center"/>
                <w:hideMark/>
              </w:tcPr>
              <w:p w14:paraId="1871E44D" w14:textId="77777777" w:rsidR="00C13DBA" w:rsidRPr="00C13DBA" w:rsidRDefault="00C13DBA" w:rsidP="00C13DBA">
                <w:pPr>
                  <w:spacing w:after="0" w:line="240" w:lineRule="auto"/>
                  <w:jc w:val="right"/>
                  <w:rPr>
                    <w:rFonts w:ascii="Times New Roman" w:eastAsia="Times New Roman" w:hAnsi="Times New Roman"/>
                    <w:color w:val="000000"/>
                    <w:sz w:val="18"/>
                    <w:szCs w:val="18"/>
                    <w:lang w:eastAsia="es-CO"/>
                  </w:rPr>
                </w:pPr>
                <w:r w:rsidRPr="00C13DBA">
                  <w:rPr>
                    <w:rFonts w:ascii="Times New Roman" w:eastAsia="Times New Roman" w:hAnsi="Times New Roman"/>
                    <w:color w:val="000000"/>
                    <w:sz w:val="18"/>
                    <w:szCs w:val="18"/>
                    <w:lang w:eastAsia="es-CO"/>
                  </w:rPr>
                  <w:t>-85.886.932</w:t>
                </w:r>
              </w:p>
            </w:tc>
          </w:tr>
          <w:tr w:rsidR="00C13DBA" w:rsidRPr="00C13DBA" w14:paraId="0F61039C" w14:textId="77777777" w:rsidTr="00235607">
            <w:trPr>
              <w:trHeight w:val="340"/>
            </w:trPr>
            <w:tc>
              <w:tcPr>
                <w:tcW w:w="549" w:type="pct"/>
                <w:shd w:val="clear" w:color="auto" w:fill="auto"/>
                <w:vAlign w:val="center"/>
                <w:hideMark/>
              </w:tcPr>
              <w:p w14:paraId="70D6A222" w14:textId="77777777" w:rsidR="00C13DBA" w:rsidRPr="00C13DBA" w:rsidRDefault="00C13DBA" w:rsidP="00C13DBA">
                <w:pPr>
                  <w:spacing w:after="0" w:line="240" w:lineRule="auto"/>
                  <w:rPr>
                    <w:rFonts w:ascii="Times New Roman" w:eastAsia="Times New Roman" w:hAnsi="Times New Roman"/>
                    <w:color w:val="000000"/>
                    <w:sz w:val="18"/>
                    <w:szCs w:val="18"/>
                    <w:lang w:eastAsia="es-CO"/>
                  </w:rPr>
                </w:pPr>
                <w:r w:rsidRPr="00C13DBA">
                  <w:rPr>
                    <w:rFonts w:ascii="Times New Roman" w:eastAsia="Times New Roman" w:hAnsi="Times New Roman"/>
                    <w:color w:val="000000"/>
                    <w:sz w:val="18"/>
                    <w:szCs w:val="18"/>
                    <w:lang w:eastAsia="es-CO"/>
                  </w:rPr>
                  <w:t>4.7</w:t>
                </w:r>
              </w:p>
            </w:tc>
            <w:tc>
              <w:tcPr>
                <w:tcW w:w="1160" w:type="pct"/>
                <w:shd w:val="clear" w:color="auto" w:fill="auto"/>
                <w:vAlign w:val="center"/>
                <w:hideMark/>
              </w:tcPr>
              <w:p w14:paraId="7516EA9C" w14:textId="77777777" w:rsidR="00C13DBA" w:rsidRPr="00C13DBA" w:rsidRDefault="00C13DBA" w:rsidP="00C13DBA">
                <w:pPr>
                  <w:spacing w:after="0" w:line="240" w:lineRule="auto"/>
                  <w:rPr>
                    <w:rFonts w:ascii="Times New Roman" w:eastAsia="Times New Roman" w:hAnsi="Times New Roman"/>
                    <w:color w:val="000000"/>
                    <w:sz w:val="18"/>
                    <w:szCs w:val="18"/>
                    <w:lang w:eastAsia="es-CO"/>
                  </w:rPr>
                </w:pPr>
                <w:r w:rsidRPr="00C13DBA">
                  <w:rPr>
                    <w:rFonts w:ascii="Times New Roman" w:eastAsia="Times New Roman" w:hAnsi="Times New Roman"/>
                    <w:color w:val="000000"/>
                    <w:sz w:val="18"/>
                    <w:szCs w:val="18"/>
                    <w:lang w:eastAsia="es-CO"/>
                  </w:rPr>
                  <w:t>Operaciones interinstitucionales</w:t>
                </w:r>
              </w:p>
            </w:tc>
            <w:tc>
              <w:tcPr>
                <w:tcW w:w="1347" w:type="pct"/>
                <w:shd w:val="clear" w:color="auto" w:fill="auto"/>
                <w:vAlign w:val="center"/>
                <w:hideMark/>
              </w:tcPr>
              <w:p w14:paraId="0B33510B" w14:textId="77777777" w:rsidR="00C13DBA" w:rsidRPr="00C13DBA" w:rsidRDefault="00C13DBA" w:rsidP="00C13DBA">
                <w:pPr>
                  <w:spacing w:after="0" w:line="240" w:lineRule="auto"/>
                  <w:jc w:val="right"/>
                  <w:rPr>
                    <w:rFonts w:ascii="Times New Roman" w:eastAsia="Times New Roman" w:hAnsi="Times New Roman"/>
                    <w:color w:val="000000"/>
                    <w:sz w:val="18"/>
                    <w:szCs w:val="18"/>
                    <w:lang w:eastAsia="es-CO"/>
                  </w:rPr>
                </w:pPr>
                <w:r w:rsidRPr="00C13DBA">
                  <w:rPr>
                    <w:rFonts w:ascii="Times New Roman" w:eastAsia="Times New Roman" w:hAnsi="Times New Roman"/>
                    <w:color w:val="000000"/>
                    <w:sz w:val="18"/>
                    <w:szCs w:val="18"/>
                    <w:lang w:eastAsia="es-CO"/>
                  </w:rPr>
                  <w:t>8.378.540.388.189</w:t>
                </w:r>
              </w:p>
            </w:tc>
            <w:tc>
              <w:tcPr>
                <w:tcW w:w="972" w:type="pct"/>
                <w:shd w:val="clear" w:color="auto" w:fill="auto"/>
                <w:vAlign w:val="center"/>
                <w:hideMark/>
              </w:tcPr>
              <w:p w14:paraId="4AB8DBE7" w14:textId="77777777" w:rsidR="00C13DBA" w:rsidRPr="00C13DBA" w:rsidRDefault="00C13DBA" w:rsidP="00C13DBA">
                <w:pPr>
                  <w:spacing w:after="0" w:line="240" w:lineRule="auto"/>
                  <w:jc w:val="right"/>
                  <w:rPr>
                    <w:rFonts w:ascii="Times New Roman" w:eastAsia="Times New Roman" w:hAnsi="Times New Roman"/>
                    <w:color w:val="000000"/>
                    <w:sz w:val="18"/>
                    <w:szCs w:val="18"/>
                    <w:lang w:eastAsia="es-CO"/>
                  </w:rPr>
                </w:pPr>
                <w:r w:rsidRPr="00C13DBA">
                  <w:rPr>
                    <w:rFonts w:ascii="Times New Roman" w:eastAsia="Times New Roman" w:hAnsi="Times New Roman"/>
                    <w:color w:val="000000"/>
                    <w:sz w:val="18"/>
                    <w:szCs w:val="18"/>
                    <w:lang w:eastAsia="es-CO"/>
                  </w:rPr>
                  <w:t>5.561.523.295.502</w:t>
                </w:r>
              </w:p>
            </w:tc>
            <w:tc>
              <w:tcPr>
                <w:tcW w:w="972" w:type="pct"/>
                <w:shd w:val="clear" w:color="auto" w:fill="auto"/>
                <w:vAlign w:val="center"/>
                <w:hideMark/>
              </w:tcPr>
              <w:p w14:paraId="30D8FCA5" w14:textId="77777777" w:rsidR="00C13DBA" w:rsidRPr="00C13DBA" w:rsidRDefault="00C13DBA" w:rsidP="00C13DBA">
                <w:pPr>
                  <w:spacing w:after="0" w:line="240" w:lineRule="auto"/>
                  <w:jc w:val="right"/>
                  <w:rPr>
                    <w:rFonts w:ascii="Times New Roman" w:eastAsia="Times New Roman" w:hAnsi="Times New Roman"/>
                    <w:color w:val="000000"/>
                    <w:sz w:val="18"/>
                    <w:szCs w:val="18"/>
                    <w:lang w:eastAsia="es-CO"/>
                  </w:rPr>
                </w:pPr>
                <w:r w:rsidRPr="00C13DBA">
                  <w:rPr>
                    <w:rFonts w:ascii="Times New Roman" w:eastAsia="Times New Roman" w:hAnsi="Times New Roman"/>
                    <w:color w:val="000000"/>
                    <w:sz w:val="18"/>
                    <w:szCs w:val="18"/>
                    <w:lang w:eastAsia="es-CO"/>
                  </w:rPr>
                  <w:t>2.817.017.092.687</w:t>
                </w:r>
              </w:p>
            </w:tc>
          </w:tr>
          <w:tr w:rsidR="00C13DBA" w:rsidRPr="00C13DBA" w14:paraId="328F68B4" w14:textId="77777777" w:rsidTr="00BD760C">
            <w:trPr>
              <w:trHeight w:val="256"/>
            </w:trPr>
            <w:tc>
              <w:tcPr>
                <w:tcW w:w="549" w:type="pct"/>
                <w:shd w:val="clear" w:color="auto" w:fill="auto"/>
                <w:vAlign w:val="center"/>
                <w:hideMark/>
              </w:tcPr>
              <w:p w14:paraId="17D43DF5" w14:textId="77777777" w:rsidR="00C13DBA" w:rsidRPr="00C13DBA" w:rsidRDefault="00C13DBA" w:rsidP="00C13DBA">
                <w:pPr>
                  <w:spacing w:after="0" w:line="240" w:lineRule="auto"/>
                  <w:rPr>
                    <w:rFonts w:ascii="Times New Roman" w:eastAsia="Times New Roman" w:hAnsi="Times New Roman"/>
                    <w:color w:val="000000"/>
                    <w:sz w:val="18"/>
                    <w:szCs w:val="18"/>
                    <w:lang w:eastAsia="es-CO"/>
                  </w:rPr>
                </w:pPr>
                <w:r w:rsidRPr="00C13DBA">
                  <w:rPr>
                    <w:rFonts w:ascii="Times New Roman" w:eastAsia="Times New Roman" w:hAnsi="Times New Roman"/>
                    <w:color w:val="000000"/>
                    <w:sz w:val="18"/>
                    <w:szCs w:val="18"/>
                    <w:lang w:eastAsia="es-CO"/>
                  </w:rPr>
                  <w:t>4.8</w:t>
                </w:r>
              </w:p>
            </w:tc>
            <w:tc>
              <w:tcPr>
                <w:tcW w:w="1160" w:type="pct"/>
                <w:shd w:val="clear" w:color="auto" w:fill="auto"/>
                <w:vAlign w:val="center"/>
                <w:hideMark/>
              </w:tcPr>
              <w:p w14:paraId="4459A204" w14:textId="77777777" w:rsidR="00C13DBA" w:rsidRPr="00C13DBA" w:rsidRDefault="00C13DBA" w:rsidP="00C13DBA">
                <w:pPr>
                  <w:spacing w:after="0" w:line="240" w:lineRule="auto"/>
                  <w:rPr>
                    <w:rFonts w:ascii="Times New Roman" w:eastAsia="Times New Roman" w:hAnsi="Times New Roman"/>
                    <w:color w:val="000000"/>
                    <w:sz w:val="18"/>
                    <w:szCs w:val="18"/>
                    <w:lang w:eastAsia="es-CO"/>
                  </w:rPr>
                </w:pPr>
                <w:r w:rsidRPr="00C13DBA">
                  <w:rPr>
                    <w:rFonts w:ascii="Times New Roman" w:eastAsia="Times New Roman" w:hAnsi="Times New Roman"/>
                    <w:color w:val="000000"/>
                    <w:sz w:val="18"/>
                    <w:szCs w:val="18"/>
                    <w:lang w:eastAsia="es-CO"/>
                  </w:rPr>
                  <w:t xml:space="preserve">Otros ingresos </w:t>
                </w:r>
              </w:p>
            </w:tc>
            <w:tc>
              <w:tcPr>
                <w:tcW w:w="1347" w:type="pct"/>
                <w:shd w:val="clear" w:color="auto" w:fill="auto"/>
                <w:vAlign w:val="center"/>
                <w:hideMark/>
              </w:tcPr>
              <w:p w14:paraId="3DA94E44" w14:textId="25B8EFAD" w:rsidR="00C13DBA" w:rsidRPr="00C13DBA" w:rsidRDefault="00C13DBA" w:rsidP="00C13DBA">
                <w:pPr>
                  <w:spacing w:after="0" w:line="240" w:lineRule="auto"/>
                  <w:jc w:val="right"/>
                  <w:rPr>
                    <w:rFonts w:ascii="Times New Roman" w:eastAsia="Times New Roman" w:hAnsi="Times New Roman"/>
                    <w:color w:val="000000"/>
                    <w:sz w:val="18"/>
                    <w:szCs w:val="18"/>
                    <w:lang w:eastAsia="es-CO"/>
                  </w:rPr>
                </w:pPr>
                <w:r w:rsidRPr="00C13DBA">
                  <w:rPr>
                    <w:rFonts w:ascii="Times New Roman" w:eastAsia="Times New Roman" w:hAnsi="Times New Roman"/>
                    <w:color w:val="000000"/>
                    <w:sz w:val="18"/>
                    <w:szCs w:val="18"/>
                    <w:lang w:eastAsia="es-CO"/>
                  </w:rPr>
                  <w:t xml:space="preserve">        2.413.099.791.816 </w:t>
                </w:r>
              </w:p>
            </w:tc>
            <w:tc>
              <w:tcPr>
                <w:tcW w:w="972" w:type="pct"/>
                <w:shd w:val="clear" w:color="auto" w:fill="auto"/>
                <w:vAlign w:val="center"/>
                <w:hideMark/>
              </w:tcPr>
              <w:p w14:paraId="232C663D" w14:textId="77777777" w:rsidR="00C13DBA" w:rsidRPr="00C13DBA" w:rsidRDefault="00C13DBA" w:rsidP="00C13DBA">
                <w:pPr>
                  <w:spacing w:after="0" w:line="240" w:lineRule="auto"/>
                  <w:jc w:val="right"/>
                  <w:rPr>
                    <w:rFonts w:ascii="Times New Roman" w:eastAsia="Times New Roman" w:hAnsi="Times New Roman"/>
                    <w:color w:val="000000"/>
                    <w:sz w:val="18"/>
                    <w:szCs w:val="18"/>
                    <w:lang w:eastAsia="es-CO"/>
                  </w:rPr>
                </w:pPr>
                <w:r w:rsidRPr="00C13DBA">
                  <w:rPr>
                    <w:rFonts w:ascii="Times New Roman" w:eastAsia="Times New Roman" w:hAnsi="Times New Roman"/>
                    <w:color w:val="000000"/>
                    <w:sz w:val="18"/>
                    <w:szCs w:val="18"/>
                    <w:lang w:eastAsia="es-CO"/>
                  </w:rPr>
                  <w:t>1.558.642.861.310</w:t>
                </w:r>
              </w:p>
            </w:tc>
            <w:tc>
              <w:tcPr>
                <w:tcW w:w="972" w:type="pct"/>
                <w:shd w:val="clear" w:color="auto" w:fill="auto"/>
                <w:vAlign w:val="center"/>
                <w:hideMark/>
              </w:tcPr>
              <w:p w14:paraId="795AFC56" w14:textId="77777777" w:rsidR="00C13DBA" w:rsidRPr="00C13DBA" w:rsidRDefault="00C13DBA" w:rsidP="00C13DBA">
                <w:pPr>
                  <w:spacing w:after="0" w:line="240" w:lineRule="auto"/>
                  <w:jc w:val="right"/>
                  <w:rPr>
                    <w:rFonts w:ascii="Times New Roman" w:eastAsia="Times New Roman" w:hAnsi="Times New Roman"/>
                    <w:color w:val="000000"/>
                    <w:sz w:val="18"/>
                    <w:szCs w:val="18"/>
                    <w:lang w:eastAsia="es-CO"/>
                  </w:rPr>
                </w:pPr>
                <w:r w:rsidRPr="00C13DBA">
                  <w:rPr>
                    <w:rFonts w:ascii="Times New Roman" w:eastAsia="Times New Roman" w:hAnsi="Times New Roman"/>
                    <w:color w:val="000000"/>
                    <w:sz w:val="18"/>
                    <w:szCs w:val="18"/>
                    <w:lang w:eastAsia="es-CO"/>
                  </w:rPr>
                  <w:t>893.218.234.153</w:t>
                </w:r>
              </w:p>
            </w:tc>
          </w:tr>
        </w:tbl>
        <w:p w14:paraId="226987BB" w14:textId="55035C9A" w:rsidR="003317B6" w:rsidRPr="00931DCE" w:rsidRDefault="00653DE9" w:rsidP="003317B6">
          <w:pPr>
            <w:spacing w:after="0" w:line="240" w:lineRule="auto"/>
            <w:jc w:val="both"/>
            <w:rPr>
              <w:rFonts w:ascii="Times New Roman" w:hAnsi="Times New Roman"/>
              <w:sz w:val="14"/>
              <w:szCs w:val="14"/>
            </w:rPr>
          </w:pPr>
          <w:r>
            <w:rPr>
              <w:rFonts w:ascii="Times New Roman" w:hAnsi="Times New Roman"/>
              <w:sz w:val="14"/>
              <w:szCs w:val="14"/>
            </w:rPr>
            <w:t>+</w:t>
          </w:r>
          <w:r w:rsidR="06ACCA2D" w:rsidRPr="02E3AD61">
            <w:rPr>
              <w:rFonts w:ascii="Times New Roman" w:hAnsi="Times New Roman"/>
              <w:sz w:val="14"/>
              <w:szCs w:val="14"/>
            </w:rPr>
            <w:t xml:space="preserve">  </w:t>
          </w:r>
          <w:r w:rsidR="00AD2026" w:rsidRPr="00931DCE">
            <w:rPr>
              <w:rFonts w:ascii="Times New Roman" w:hAnsi="Times New Roman"/>
              <w:sz w:val="14"/>
              <w:szCs w:val="14"/>
            </w:rPr>
            <w:t>Cifras expresadas en pesos</w:t>
          </w:r>
        </w:p>
        <w:p w14:paraId="1511388C" w14:textId="77777777" w:rsidR="008873E8" w:rsidRPr="00931DCE" w:rsidRDefault="008873E8" w:rsidP="004A000E">
          <w:pPr>
            <w:spacing w:after="0" w:line="240" w:lineRule="auto"/>
            <w:jc w:val="both"/>
            <w:rPr>
              <w:rFonts w:ascii="Times New Roman" w:hAnsi="Times New Roman"/>
              <w:sz w:val="18"/>
              <w:szCs w:val="18"/>
            </w:rPr>
          </w:pPr>
        </w:p>
        <w:p w14:paraId="189ECB16" w14:textId="77777777" w:rsidR="00351D08" w:rsidRPr="00931DCE" w:rsidRDefault="00351D08" w:rsidP="00351D08">
          <w:pPr>
            <w:pStyle w:val="Prrafodelista"/>
            <w:spacing w:after="0" w:line="240" w:lineRule="auto"/>
            <w:ind w:left="0"/>
            <w:jc w:val="both"/>
            <w:rPr>
              <w:rFonts w:ascii="Times New Roman" w:hAnsi="Times New Roman"/>
              <w:sz w:val="24"/>
              <w:szCs w:val="24"/>
            </w:rPr>
          </w:pPr>
          <w:r w:rsidRPr="00931DCE">
            <w:rPr>
              <w:rFonts w:ascii="Times New Roman" w:hAnsi="Times New Roman"/>
              <w:sz w:val="24"/>
              <w:szCs w:val="24"/>
            </w:rPr>
            <w:t>Son ingresos de la Agencia Nacional de Infraestructura los valores de carácter monetario, que recibe de terceros y sobre los cuales no entrega ninguna contraprestación a cambio que se aproxime al valor de mercado del recurso que se recibe, es decir, la entidad no entrega nada a cambio del recurso recibido o, si lo hace, el valor entregado es significativamente menor al valor de mercado del recurso recibido.</w:t>
          </w:r>
        </w:p>
        <w:p w14:paraId="1EE1C763" w14:textId="77777777" w:rsidR="00351D08" w:rsidRPr="00931DCE" w:rsidRDefault="00351D08" w:rsidP="00351D08">
          <w:pPr>
            <w:pStyle w:val="Prrafodelista"/>
            <w:spacing w:after="0" w:line="240" w:lineRule="auto"/>
            <w:ind w:left="0"/>
            <w:jc w:val="both"/>
            <w:rPr>
              <w:rFonts w:ascii="Times New Roman" w:hAnsi="Times New Roman"/>
              <w:sz w:val="18"/>
              <w:szCs w:val="18"/>
            </w:rPr>
          </w:pPr>
        </w:p>
        <w:p w14:paraId="56AAE3E0" w14:textId="77777777" w:rsidR="00351D08" w:rsidRPr="00931DCE" w:rsidRDefault="00351D08" w:rsidP="00351D08">
          <w:pPr>
            <w:pStyle w:val="Prrafodelista"/>
            <w:spacing w:after="0" w:line="240" w:lineRule="auto"/>
            <w:ind w:left="0"/>
            <w:jc w:val="both"/>
            <w:rPr>
              <w:rFonts w:ascii="Times New Roman" w:hAnsi="Times New Roman"/>
              <w:sz w:val="24"/>
              <w:szCs w:val="24"/>
            </w:rPr>
          </w:pPr>
          <w:r w:rsidRPr="00931DCE">
            <w:rPr>
              <w:rFonts w:ascii="Times New Roman" w:hAnsi="Times New Roman"/>
              <w:sz w:val="24"/>
              <w:szCs w:val="24"/>
            </w:rPr>
            <w:t>De igual manera, son ingresos aquellos percibidos por el uso de activos por parte de terceros, como los son los intereses, derechos de explotación concedidos, los arrendamientos y los dividendos o participaciones, entre otros.</w:t>
          </w:r>
        </w:p>
        <w:p w14:paraId="044D1A63" w14:textId="77777777" w:rsidR="00EF79D6" w:rsidRPr="00931DCE" w:rsidRDefault="00EF79D6" w:rsidP="004A000E">
          <w:pPr>
            <w:spacing w:after="0" w:line="240" w:lineRule="auto"/>
            <w:jc w:val="both"/>
            <w:rPr>
              <w:rFonts w:ascii="Times New Roman" w:hAnsi="Times New Roman"/>
              <w:sz w:val="24"/>
              <w:szCs w:val="24"/>
              <w:u w:val="single"/>
            </w:rPr>
          </w:pPr>
        </w:p>
        <w:p w14:paraId="23C25D21" w14:textId="568C930A" w:rsidR="0071634E" w:rsidRPr="00931DCE" w:rsidRDefault="0071634E">
          <w:pPr>
            <w:pStyle w:val="Ttulo2"/>
            <w:numPr>
              <w:ilvl w:val="1"/>
              <w:numId w:val="19"/>
            </w:numPr>
            <w:ind w:left="567" w:hanging="567"/>
            <w:rPr>
              <w:rFonts w:cs="Times New Roman"/>
            </w:rPr>
          </w:pPr>
          <w:bookmarkStart w:id="109" w:name="_Toc159952434"/>
          <w:r w:rsidRPr="00931DCE">
            <w:rPr>
              <w:rFonts w:cs="Times New Roman"/>
            </w:rPr>
            <w:t>Ingresos de transacciones sin contraprestación</w:t>
          </w:r>
          <w:bookmarkEnd w:id="109"/>
        </w:p>
        <w:p w14:paraId="0B98229F" w14:textId="064E21F9" w:rsidR="00DE5D29" w:rsidRPr="00931DCE" w:rsidRDefault="00DE5D29" w:rsidP="004A000E">
          <w:pPr>
            <w:spacing w:after="0" w:line="240" w:lineRule="auto"/>
            <w:jc w:val="both"/>
            <w:rPr>
              <w:rFonts w:ascii="Times New Roman" w:hAnsi="Times New Roman"/>
              <w:sz w:val="24"/>
              <w:szCs w:val="24"/>
            </w:rPr>
          </w:pPr>
        </w:p>
        <w:p w14:paraId="26C6BF2D" w14:textId="7DB435D3" w:rsidR="003B1A44" w:rsidRPr="00931DCE" w:rsidRDefault="003B1A44" w:rsidP="003B1A44">
          <w:pPr>
            <w:pStyle w:val="Default"/>
            <w:jc w:val="both"/>
            <w:rPr>
              <w:rFonts w:ascii="Times New Roman" w:hAnsi="Times New Roman" w:cs="Times New Roman"/>
              <w:color w:val="auto"/>
            </w:rPr>
          </w:pPr>
          <w:r w:rsidRPr="00931DCE">
            <w:rPr>
              <w:rFonts w:ascii="Times New Roman" w:hAnsi="Times New Roman" w:cs="Times New Roman"/>
              <w:color w:val="auto"/>
            </w:rPr>
            <w:t xml:space="preserve">De conformidad con la política contable adoptada, un ingreso de una transacción sin contraprestación se reconocerá cuando: </w:t>
          </w:r>
        </w:p>
        <w:p w14:paraId="31A0F7E4" w14:textId="77777777" w:rsidR="003B1A44" w:rsidRPr="00931DCE" w:rsidRDefault="003B1A44" w:rsidP="003B1A44">
          <w:pPr>
            <w:pStyle w:val="Default"/>
            <w:jc w:val="both"/>
            <w:rPr>
              <w:rFonts w:ascii="Times New Roman" w:hAnsi="Times New Roman" w:cs="Times New Roman"/>
              <w:color w:val="auto"/>
              <w:sz w:val="18"/>
              <w:szCs w:val="18"/>
            </w:rPr>
          </w:pPr>
        </w:p>
        <w:p w14:paraId="0752B7CE" w14:textId="77777777" w:rsidR="003B1A44" w:rsidRPr="00931DCE" w:rsidRDefault="003B1A44" w:rsidP="00E60BAB">
          <w:pPr>
            <w:pStyle w:val="Default"/>
            <w:numPr>
              <w:ilvl w:val="0"/>
              <w:numId w:val="40"/>
            </w:numPr>
            <w:jc w:val="both"/>
            <w:rPr>
              <w:rFonts w:ascii="Times New Roman" w:hAnsi="Times New Roman" w:cs="Times New Roman"/>
              <w:color w:val="auto"/>
            </w:rPr>
          </w:pPr>
          <w:r w:rsidRPr="00931DCE">
            <w:rPr>
              <w:rFonts w:ascii="Times New Roman" w:hAnsi="Times New Roman" w:cs="Times New Roman"/>
              <w:color w:val="auto"/>
            </w:rPr>
            <w:t>la entidad tenga el control sobre el activo;</w:t>
          </w:r>
        </w:p>
        <w:p w14:paraId="0B620260" w14:textId="77777777" w:rsidR="003B1A44" w:rsidRPr="00931DCE" w:rsidRDefault="003B1A44" w:rsidP="00E60BAB">
          <w:pPr>
            <w:pStyle w:val="Default"/>
            <w:numPr>
              <w:ilvl w:val="0"/>
              <w:numId w:val="41"/>
            </w:numPr>
            <w:jc w:val="both"/>
            <w:rPr>
              <w:rFonts w:ascii="Times New Roman" w:hAnsi="Times New Roman" w:cs="Times New Roman"/>
              <w:color w:val="auto"/>
            </w:rPr>
          </w:pPr>
          <w:r w:rsidRPr="00931DCE">
            <w:rPr>
              <w:rFonts w:ascii="Times New Roman" w:hAnsi="Times New Roman" w:cs="Times New Roman"/>
              <w:color w:val="auto"/>
            </w:rPr>
            <w:t xml:space="preserve">sea probable que fluyan, a la entidad, beneficios económicos futuros o potencial de servicio asociados con el activo; y </w:t>
          </w:r>
        </w:p>
        <w:p w14:paraId="4A01DA9E" w14:textId="77777777" w:rsidR="003B1A44" w:rsidRPr="00931DCE" w:rsidRDefault="003B1A44" w:rsidP="00E60BAB">
          <w:pPr>
            <w:pStyle w:val="Default"/>
            <w:numPr>
              <w:ilvl w:val="0"/>
              <w:numId w:val="41"/>
            </w:numPr>
            <w:jc w:val="both"/>
            <w:rPr>
              <w:rFonts w:ascii="Times New Roman" w:hAnsi="Times New Roman" w:cs="Times New Roman"/>
              <w:color w:val="auto"/>
            </w:rPr>
          </w:pPr>
          <w:r w:rsidRPr="00931DCE">
            <w:rPr>
              <w:rFonts w:ascii="Times New Roman" w:hAnsi="Times New Roman" w:cs="Times New Roman"/>
              <w:color w:val="auto"/>
            </w:rPr>
            <w:t>el valor del activo pueda ser medido con fiabilidad.</w:t>
          </w:r>
        </w:p>
        <w:p w14:paraId="442CACA6" w14:textId="77777777" w:rsidR="003B1A44" w:rsidRPr="00931DCE" w:rsidRDefault="003B1A44" w:rsidP="003B1A44">
          <w:pPr>
            <w:pStyle w:val="Default"/>
            <w:rPr>
              <w:rFonts w:ascii="Times New Roman" w:hAnsi="Times New Roman" w:cs="Times New Roman"/>
              <w:color w:val="auto"/>
              <w:sz w:val="18"/>
              <w:szCs w:val="18"/>
            </w:rPr>
          </w:pPr>
        </w:p>
        <w:p w14:paraId="69018923" w14:textId="417DA164" w:rsidR="003B1A44" w:rsidRPr="00931DCE" w:rsidRDefault="003B1A44" w:rsidP="003B1A44">
          <w:pPr>
            <w:spacing w:after="0" w:line="240" w:lineRule="auto"/>
            <w:jc w:val="both"/>
            <w:rPr>
              <w:rFonts w:ascii="Times New Roman" w:hAnsi="Times New Roman"/>
              <w:sz w:val="24"/>
              <w:szCs w:val="24"/>
            </w:rPr>
          </w:pPr>
          <w:r w:rsidRPr="00931DCE">
            <w:rPr>
              <w:rFonts w:ascii="Times New Roman" w:hAnsi="Times New Roman"/>
              <w:sz w:val="24"/>
              <w:szCs w:val="24"/>
            </w:rPr>
            <w:t>A continuación, se detalla la composición de los ingresos de transacciones sin contraprestación:</w:t>
          </w:r>
        </w:p>
        <w:p w14:paraId="5D01333B" w14:textId="7331F12E" w:rsidR="1372EE39" w:rsidRDefault="1372EE39" w:rsidP="00776C7D">
          <w:pPr>
            <w:ind w:left="-20" w:right="-20"/>
          </w:pPr>
          <w:r w:rsidRPr="02E3AD61">
            <w:rPr>
              <w:rFonts w:ascii="Times New Roman" w:eastAsia="Times New Roman" w:hAnsi="Times New Roman"/>
              <w:sz w:val="16"/>
              <w:szCs w:val="16"/>
            </w:rPr>
            <w:t xml:space="preserve"> </w:t>
          </w:r>
        </w:p>
        <w:tbl>
          <w:tblPr>
            <w:tblW w:w="5000" w:type="pct"/>
            <w:tblBorders>
              <w:top w:val="single" w:sz="8" w:space="0" w:color="A6A6A6"/>
              <w:left w:val="single" w:sz="8" w:space="0" w:color="A6A6A6"/>
              <w:bottom w:val="single" w:sz="8" w:space="0" w:color="A6A6A6"/>
              <w:right w:val="single" w:sz="8" w:space="0" w:color="A6A6A6"/>
              <w:insideH w:val="single" w:sz="6" w:space="0" w:color="A6A6A6"/>
              <w:insideV w:val="single" w:sz="6" w:space="0" w:color="A6A6A6"/>
            </w:tblBorders>
            <w:tblCellMar>
              <w:left w:w="70" w:type="dxa"/>
              <w:right w:w="70" w:type="dxa"/>
            </w:tblCellMar>
            <w:tblLook w:val="04A0" w:firstRow="1" w:lastRow="0" w:firstColumn="1" w:lastColumn="0" w:noHBand="0" w:noVBand="1"/>
          </w:tblPr>
          <w:tblGrid>
            <w:gridCol w:w="1199"/>
            <w:gridCol w:w="2435"/>
            <w:gridCol w:w="2116"/>
            <w:gridCol w:w="1605"/>
            <w:gridCol w:w="1604"/>
          </w:tblGrid>
          <w:tr w:rsidR="00776C7D" w:rsidRPr="00235607" w14:paraId="5A4669D7" w14:textId="77777777" w:rsidTr="00C374BB">
            <w:trPr>
              <w:trHeight w:val="340"/>
              <w:tblHeader/>
            </w:trPr>
            <w:tc>
              <w:tcPr>
                <w:tcW w:w="669" w:type="pct"/>
                <w:shd w:val="clear" w:color="auto" w:fill="auto"/>
                <w:vAlign w:val="center"/>
                <w:hideMark/>
              </w:tcPr>
              <w:p w14:paraId="542F8D47" w14:textId="77777777" w:rsidR="00776C7D" w:rsidRPr="00235607" w:rsidRDefault="00776C7D" w:rsidP="00776C7D">
                <w:pPr>
                  <w:spacing w:after="0" w:line="240" w:lineRule="auto"/>
                  <w:jc w:val="center"/>
                  <w:rPr>
                    <w:rFonts w:ascii="Times New Roman" w:eastAsia="Times New Roman" w:hAnsi="Times New Roman"/>
                    <w:b/>
                    <w:bCs/>
                    <w:color w:val="000000"/>
                    <w:sz w:val="18"/>
                    <w:szCs w:val="18"/>
                    <w:lang w:eastAsia="es-CO"/>
                  </w:rPr>
                </w:pPr>
                <w:r w:rsidRPr="00235607">
                  <w:rPr>
                    <w:rFonts w:ascii="Times New Roman" w:eastAsia="Times New Roman" w:hAnsi="Times New Roman"/>
                    <w:b/>
                    <w:bCs/>
                    <w:color w:val="000000"/>
                    <w:sz w:val="18"/>
                    <w:szCs w:val="18"/>
                    <w:lang w:eastAsia="es-CO"/>
                  </w:rPr>
                  <w:t>CÓDIGO CONTABLE</w:t>
                </w:r>
              </w:p>
            </w:tc>
            <w:tc>
              <w:tcPr>
                <w:tcW w:w="1359" w:type="pct"/>
                <w:shd w:val="clear" w:color="auto" w:fill="auto"/>
                <w:vAlign w:val="center"/>
                <w:hideMark/>
              </w:tcPr>
              <w:p w14:paraId="3F4BAEB1" w14:textId="77777777" w:rsidR="00776C7D" w:rsidRPr="00235607" w:rsidRDefault="00776C7D" w:rsidP="00776C7D">
                <w:pPr>
                  <w:spacing w:after="0" w:line="240" w:lineRule="auto"/>
                  <w:jc w:val="center"/>
                  <w:rPr>
                    <w:rFonts w:ascii="Times New Roman" w:eastAsia="Times New Roman" w:hAnsi="Times New Roman"/>
                    <w:b/>
                    <w:bCs/>
                    <w:color w:val="000000"/>
                    <w:sz w:val="18"/>
                    <w:szCs w:val="18"/>
                    <w:lang w:eastAsia="es-CO"/>
                  </w:rPr>
                </w:pPr>
                <w:r w:rsidRPr="00235607">
                  <w:rPr>
                    <w:rFonts w:ascii="Times New Roman" w:eastAsia="Times New Roman" w:hAnsi="Times New Roman"/>
                    <w:b/>
                    <w:bCs/>
                    <w:color w:val="000000"/>
                    <w:sz w:val="18"/>
                    <w:szCs w:val="18"/>
                    <w:lang w:eastAsia="es-CO"/>
                  </w:rPr>
                  <w:t>CONCEPTO</w:t>
                </w:r>
              </w:p>
            </w:tc>
            <w:tc>
              <w:tcPr>
                <w:tcW w:w="1181" w:type="pct"/>
                <w:shd w:val="clear" w:color="auto" w:fill="auto"/>
                <w:vAlign w:val="center"/>
                <w:hideMark/>
              </w:tcPr>
              <w:p w14:paraId="5579843B" w14:textId="77777777" w:rsidR="00776C7D" w:rsidRPr="00235607" w:rsidRDefault="00776C7D" w:rsidP="00776C7D">
                <w:pPr>
                  <w:spacing w:after="0" w:line="240" w:lineRule="auto"/>
                  <w:jc w:val="center"/>
                  <w:rPr>
                    <w:rFonts w:ascii="Times New Roman" w:eastAsia="Times New Roman" w:hAnsi="Times New Roman"/>
                    <w:b/>
                    <w:bCs/>
                    <w:color w:val="000000"/>
                    <w:sz w:val="18"/>
                    <w:szCs w:val="18"/>
                    <w:lang w:eastAsia="es-CO"/>
                  </w:rPr>
                </w:pPr>
                <w:r w:rsidRPr="00235607">
                  <w:rPr>
                    <w:rFonts w:ascii="Times New Roman" w:eastAsia="Times New Roman" w:hAnsi="Times New Roman"/>
                    <w:b/>
                    <w:bCs/>
                    <w:color w:val="000000"/>
                    <w:sz w:val="18"/>
                    <w:szCs w:val="18"/>
                    <w:lang w:eastAsia="es-CO"/>
                  </w:rPr>
                  <w:t>2023</w:t>
                </w:r>
              </w:p>
            </w:tc>
            <w:tc>
              <w:tcPr>
                <w:tcW w:w="896" w:type="pct"/>
                <w:shd w:val="clear" w:color="auto" w:fill="auto"/>
                <w:vAlign w:val="center"/>
                <w:hideMark/>
              </w:tcPr>
              <w:p w14:paraId="31D2B3A9" w14:textId="77777777" w:rsidR="00776C7D" w:rsidRPr="00235607" w:rsidRDefault="00776C7D" w:rsidP="00776C7D">
                <w:pPr>
                  <w:spacing w:after="0" w:line="240" w:lineRule="auto"/>
                  <w:jc w:val="center"/>
                  <w:rPr>
                    <w:rFonts w:ascii="Times New Roman" w:eastAsia="Times New Roman" w:hAnsi="Times New Roman"/>
                    <w:b/>
                    <w:bCs/>
                    <w:color w:val="000000"/>
                    <w:sz w:val="18"/>
                    <w:szCs w:val="18"/>
                    <w:lang w:eastAsia="es-CO"/>
                  </w:rPr>
                </w:pPr>
                <w:r w:rsidRPr="00235607">
                  <w:rPr>
                    <w:rFonts w:ascii="Times New Roman" w:eastAsia="Times New Roman" w:hAnsi="Times New Roman"/>
                    <w:b/>
                    <w:bCs/>
                    <w:color w:val="000000"/>
                    <w:sz w:val="18"/>
                    <w:szCs w:val="18"/>
                    <w:lang w:eastAsia="es-CO"/>
                  </w:rPr>
                  <w:t>2022</w:t>
                </w:r>
              </w:p>
            </w:tc>
            <w:tc>
              <w:tcPr>
                <w:tcW w:w="896" w:type="pct"/>
                <w:shd w:val="clear" w:color="auto" w:fill="auto"/>
                <w:vAlign w:val="center"/>
                <w:hideMark/>
              </w:tcPr>
              <w:p w14:paraId="7B432745" w14:textId="77777777" w:rsidR="00776C7D" w:rsidRPr="00235607" w:rsidRDefault="00776C7D" w:rsidP="00776C7D">
                <w:pPr>
                  <w:spacing w:after="0" w:line="240" w:lineRule="auto"/>
                  <w:jc w:val="center"/>
                  <w:rPr>
                    <w:rFonts w:ascii="Times New Roman" w:eastAsia="Times New Roman" w:hAnsi="Times New Roman"/>
                    <w:b/>
                    <w:bCs/>
                    <w:color w:val="000000"/>
                    <w:sz w:val="18"/>
                    <w:szCs w:val="18"/>
                    <w:lang w:eastAsia="es-CO"/>
                  </w:rPr>
                </w:pPr>
                <w:r w:rsidRPr="00235607">
                  <w:rPr>
                    <w:rFonts w:ascii="Times New Roman" w:eastAsia="Times New Roman" w:hAnsi="Times New Roman"/>
                    <w:b/>
                    <w:bCs/>
                    <w:color w:val="000000"/>
                    <w:sz w:val="18"/>
                    <w:szCs w:val="18"/>
                    <w:lang w:eastAsia="es-CO"/>
                  </w:rPr>
                  <w:t>VALOR VARIACIÓN</w:t>
                </w:r>
              </w:p>
            </w:tc>
          </w:tr>
          <w:tr w:rsidR="00776C7D" w:rsidRPr="00235607" w14:paraId="1C9ADEC1" w14:textId="77777777" w:rsidTr="00776C7D">
            <w:trPr>
              <w:trHeight w:val="340"/>
            </w:trPr>
            <w:tc>
              <w:tcPr>
                <w:tcW w:w="2027" w:type="pct"/>
                <w:gridSpan w:val="2"/>
                <w:shd w:val="clear" w:color="auto" w:fill="auto"/>
                <w:vAlign w:val="center"/>
                <w:hideMark/>
              </w:tcPr>
              <w:p w14:paraId="5A574CF9" w14:textId="77777777" w:rsidR="00776C7D" w:rsidRPr="00235607" w:rsidRDefault="00776C7D" w:rsidP="00776C7D">
                <w:pPr>
                  <w:spacing w:after="0" w:line="240" w:lineRule="auto"/>
                  <w:jc w:val="center"/>
                  <w:rPr>
                    <w:rFonts w:ascii="Times New Roman" w:eastAsia="Times New Roman" w:hAnsi="Times New Roman"/>
                    <w:b/>
                    <w:bCs/>
                    <w:color w:val="000000"/>
                    <w:sz w:val="18"/>
                    <w:szCs w:val="18"/>
                    <w:lang w:eastAsia="es-CO"/>
                  </w:rPr>
                </w:pPr>
                <w:r w:rsidRPr="00235607">
                  <w:rPr>
                    <w:rFonts w:ascii="Times New Roman" w:eastAsia="Times New Roman" w:hAnsi="Times New Roman"/>
                    <w:b/>
                    <w:bCs/>
                    <w:color w:val="000000"/>
                    <w:sz w:val="18"/>
                    <w:szCs w:val="18"/>
                    <w:lang w:eastAsia="es-CO"/>
                  </w:rPr>
                  <w:t>INGRESOS DE TRANSACCIONES SIN CONTRAPRESTACIÓN</w:t>
                </w:r>
              </w:p>
            </w:tc>
            <w:tc>
              <w:tcPr>
                <w:tcW w:w="1181" w:type="pct"/>
                <w:shd w:val="clear" w:color="auto" w:fill="auto"/>
                <w:vAlign w:val="center"/>
                <w:hideMark/>
              </w:tcPr>
              <w:p w14:paraId="6230CD90" w14:textId="77777777" w:rsidR="00776C7D" w:rsidRPr="00235607" w:rsidRDefault="00776C7D" w:rsidP="00776C7D">
                <w:pPr>
                  <w:spacing w:after="0" w:line="240" w:lineRule="auto"/>
                  <w:jc w:val="right"/>
                  <w:rPr>
                    <w:rFonts w:ascii="Times New Roman" w:eastAsia="Times New Roman" w:hAnsi="Times New Roman"/>
                    <w:b/>
                    <w:bCs/>
                    <w:color w:val="000000"/>
                    <w:sz w:val="18"/>
                    <w:szCs w:val="18"/>
                    <w:lang w:eastAsia="es-CO"/>
                  </w:rPr>
                </w:pPr>
                <w:r w:rsidRPr="00235607">
                  <w:rPr>
                    <w:rFonts w:ascii="Times New Roman" w:eastAsia="Times New Roman" w:hAnsi="Times New Roman"/>
                    <w:b/>
                    <w:bCs/>
                    <w:color w:val="000000"/>
                    <w:sz w:val="18"/>
                    <w:szCs w:val="18"/>
                    <w:lang w:eastAsia="es-CO"/>
                  </w:rPr>
                  <w:t>8.594.757.959.316</w:t>
                </w:r>
              </w:p>
            </w:tc>
            <w:tc>
              <w:tcPr>
                <w:tcW w:w="896" w:type="pct"/>
                <w:shd w:val="clear" w:color="auto" w:fill="auto"/>
                <w:vAlign w:val="center"/>
                <w:hideMark/>
              </w:tcPr>
              <w:p w14:paraId="054AF6BE" w14:textId="77777777" w:rsidR="00776C7D" w:rsidRPr="00235607" w:rsidRDefault="00776C7D" w:rsidP="00776C7D">
                <w:pPr>
                  <w:spacing w:after="0" w:line="240" w:lineRule="auto"/>
                  <w:jc w:val="right"/>
                  <w:rPr>
                    <w:rFonts w:ascii="Times New Roman" w:eastAsia="Times New Roman" w:hAnsi="Times New Roman"/>
                    <w:b/>
                    <w:bCs/>
                    <w:color w:val="000000"/>
                    <w:sz w:val="18"/>
                    <w:szCs w:val="18"/>
                    <w:lang w:eastAsia="es-CO"/>
                  </w:rPr>
                </w:pPr>
                <w:r w:rsidRPr="00235607">
                  <w:rPr>
                    <w:rFonts w:ascii="Times New Roman" w:eastAsia="Times New Roman" w:hAnsi="Times New Roman"/>
                    <w:b/>
                    <w:bCs/>
                    <w:color w:val="000000"/>
                    <w:sz w:val="18"/>
                    <w:szCs w:val="18"/>
                    <w:lang w:eastAsia="es-CO"/>
                  </w:rPr>
                  <w:t>5.838.829.253.294</w:t>
                </w:r>
              </w:p>
            </w:tc>
            <w:tc>
              <w:tcPr>
                <w:tcW w:w="896" w:type="pct"/>
                <w:shd w:val="clear" w:color="auto" w:fill="auto"/>
                <w:vAlign w:val="center"/>
                <w:hideMark/>
              </w:tcPr>
              <w:p w14:paraId="27E879F1" w14:textId="77777777" w:rsidR="00776C7D" w:rsidRPr="00235607" w:rsidRDefault="00776C7D" w:rsidP="00776C7D">
                <w:pPr>
                  <w:spacing w:after="0" w:line="240" w:lineRule="auto"/>
                  <w:jc w:val="right"/>
                  <w:rPr>
                    <w:rFonts w:ascii="Times New Roman" w:eastAsia="Times New Roman" w:hAnsi="Times New Roman"/>
                    <w:b/>
                    <w:bCs/>
                    <w:color w:val="000000"/>
                    <w:sz w:val="18"/>
                    <w:szCs w:val="18"/>
                    <w:lang w:eastAsia="es-CO"/>
                  </w:rPr>
                </w:pPr>
                <w:r w:rsidRPr="00235607">
                  <w:rPr>
                    <w:rFonts w:ascii="Times New Roman" w:eastAsia="Times New Roman" w:hAnsi="Times New Roman"/>
                    <w:b/>
                    <w:bCs/>
                    <w:color w:val="000000"/>
                    <w:sz w:val="18"/>
                    <w:szCs w:val="18"/>
                    <w:lang w:eastAsia="es-CO"/>
                  </w:rPr>
                  <w:t>2.755.928.706.022</w:t>
                </w:r>
              </w:p>
            </w:tc>
          </w:tr>
          <w:tr w:rsidR="00776C7D" w:rsidRPr="00235607" w14:paraId="5985121A" w14:textId="77777777" w:rsidTr="00776C7D">
            <w:trPr>
              <w:trHeight w:val="340"/>
            </w:trPr>
            <w:tc>
              <w:tcPr>
                <w:tcW w:w="669" w:type="pct"/>
                <w:shd w:val="clear" w:color="auto" w:fill="auto"/>
                <w:vAlign w:val="center"/>
                <w:hideMark/>
              </w:tcPr>
              <w:p w14:paraId="7C606189" w14:textId="77777777" w:rsidR="00776C7D" w:rsidRPr="00235607" w:rsidRDefault="00776C7D" w:rsidP="00776C7D">
                <w:pPr>
                  <w:spacing w:after="0" w:line="240" w:lineRule="auto"/>
                  <w:rPr>
                    <w:rFonts w:ascii="Times New Roman" w:eastAsia="Times New Roman" w:hAnsi="Times New Roman"/>
                    <w:b/>
                    <w:bCs/>
                    <w:color w:val="000000"/>
                    <w:sz w:val="18"/>
                    <w:szCs w:val="18"/>
                    <w:lang w:eastAsia="es-CO"/>
                  </w:rPr>
                </w:pPr>
                <w:r w:rsidRPr="00235607">
                  <w:rPr>
                    <w:rFonts w:ascii="Times New Roman" w:eastAsia="Times New Roman" w:hAnsi="Times New Roman"/>
                    <w:b/>
                    <w:bCs/>
                    <w:color w:val="000000"/>
                    <w:sz w:val="18"/>
                    <w:szCs w:val="18"/>
                    <w:lang w:eastAsia="es-CO"/>
                  </w:rPr>
                  <w:t>4.1</w:t>
                </w:r>
              </w:p>
            </w:tc>
            <w:tc>
              <w:tcPr>
                <w:tcW w:w="1359" w:type="pct"/>
                <w:shd w:val="clear" w:color="auto" w:fill="auto"/>
                <w:vAlign w:val="center"/>
                <w:hideMark/>
              </w:tcPr>
              <w:p w14:paraId="188AB34B" w14:textId="77777777" w:rsidR="00776C7D" w:rsidRPr="00235607" w:rsidRDefault="00776C7D" w:rsidP="00776C7D">
                <w:pPr>
                  <w:spacing w:after="0" w:line="240" w:lineRule="auto"/>
                  <w:rPr>
                    <w:rFonts w:ascii="Times New Roman" w:eastAsia="Times New Roman" w:hAnsi="Times New Roman"/>
                    <w:b/>
                    <w:bCs/>
                    <w:color w:val="000000"/>
                    <w:sz w:val="18"/>
                    <w:szCs w:val="18"/>
                    <w:lang w:eastAsia="es-CO"/>
                  </w:rPr>
                </w:pPr>
                <w:r w:rsidRPr="00235607">
                  <w:rPr>
                    <w:rFonts w:ascii="Times New Roman" w:eastAsia="Times New Roman" w:hAnsi="Times New Roman"/>
                    <w:b/>
                    <w:bCs/>
                    <w:color w:val="000000"/>
                    <w:sz w:val="18"/>
                    <w:szCs w:val="18"/>
                    <w:lang w:eastAsia="es-CO"/>
                  </w:rPr>
                  <w:t>INGRESOS FISCALES</w:t>
                </w:r>
              </w:p>
            </w:tc>
            <w:tc>
              <w:tcPr>
                <w:tcW w:w="1181" w:type="pct"/>
                <w:shd w:val="clear" w:color="auto" w:fill="auto"/>
                <w:vAlign w:val="center"/>
                <w:hideMark/>
              </w:tcPr>
              <w:p w14:paraId="1C0CF4BA" w14:textId="77777777" w:rsidR="00776C7D" w:rsidRPr="00235607" w:rsidRDefault="00776C7D" w:rsidP="00776C7D">
                <w:pPr>
                  <w:spacing w:after="0" w:line="240" w:lineRule="auto"/>
                  <w:jc w:val="right"/>
                  <w:rPr>
                    <w:rFonts w:ascii="Times New Roman" w:eastAsia="Times New Roman" w:hAnsi="Times New Roman"/>
                    <w:b/>
                    <w:bCs/>
                    <w:color w:val="000000"/>
                    <w:sz w:val="18"/>
                    <w:szCs w:val="18"/>
                    <w:lang w:eastAsia="es-CO"/>
                  </w:rPr>
                </w:pPr>
                <w:r w:rsidRPr="00235607">
                  <w:rPr>
                    <w:rFonts w:ascii="Times New Roman" w:eastAsia="Times New Roman" w:hAnsi="Times New Roman"/>
                    <w:b/>
                    <w:bCs/>
                    <w:color w:val="000000"/>
                    <w:sz w:val="18"/>
                    <w:szCs w:val="18"/>
                    <w:lang w:eastAsia="es-CO"/>
                  </w:rPr>
                  <w:t>211.552.246.439</w:t>
                </w:r>
              </w:p>
            </w:tc>
            <w:tc>
              <w:tcPr>
                <w:tcW w:w="896" w:type="pct"/>
                <w:shd w:val="clear" w:color="auto" w:fill="auto"/>
                <w:vAlign w:val="center"/>
                <w:hideMark/>
              </w:tcPr>
              <w:p w14:paraId="38154B0D" w14:textId="77777777" w:rsidR="00776C7D" w:rsidRPr="00235607" w:rsidRDefault="00776C7D" w:rsidP="00776C7D">
                <w:pPr>
                  <w:spacing w:after="0" w:line="240" w:lineRule="auto"/>
                  <w:jc w:val="right"/>
                  <w:rPr>
                    <w:rFonts w:ascii="Times New Roman" w:eastAsia="Times New Roman" w:hAnsi="Times New Roman"/>
                    <w:b/>
                    <w:bCs/>
                    <w:color w:val="000000"/>
                    <w:sz w:val="18"/>
                    <w:szCs w:val="18"/>
                    <w:lang w:eastAsia="es-CO"/>
                  </w:rPr>
                </w:pPr>
                <w:r w:rsidRPr="00235607">
                  <w:rPr>
                    <w:rFonts w:ascii="Times New Roman" w:eastAsia="Times New Roman" w:hAnsi="Times New Roman"/>
                    <w:b/>
                    <w:bCs/>
                    <w:color w:val="000000"/>
                    <w:sz w:val="18"/>
                    <w:szCs w:val="18"/>
                    <w:lang w:eastAsia="es-CO"/>
                  </w:rPr>
                  <w:t>277.220.070.860</w:t>
                </w:r>
              </w:p>
            </w:tc>
            <w:tc>
              <w:tcPr>
                <w:tcW w:w="896" w:type="pct"/>
                <w:shd w:val="clear" w:color="auto" w:fill="auto"/>
                <w:vAlign w:val="center"/>
                <w:hideMark/>
              </w:tcPr>
              <w:p w14:paraId="23ED1681" w14:textId="77777777" w:rsidR="00776C7D" w:rsidRPr="00235607" w:rsidRDefault="00776C7D" w:rsidP="00776C7D">
                <w:pPr>
                  <w:spacing w:after="0" w:line="240" w:lineRule="auto"/>
                  <w:jc w:val="right"/>
                  <w:rPr>
                    <w:rFonts w:ascii="Times New Roman" w:eastAsia="Times New Roman" w:hAnsi="Times New Roman"/>
                    <w:b/>
                    <w:bCs/>
                    <w:color w:val="000000"/>
                    <w:sz w:val="18"/>
                    <w:szCs w:val="18"/>
                    <w:lang w:eastAsia="es-CO"/>
                  </w:rPr>
                </w:pPr>
                <w:r w:rsidRPr="00235607">
                  <w:rPr>
                    <w:rFonts w:ascii="Times New Roman" w:eastAsia="Times New Roman" w:hAnsi="Times New Roman"/>
                    <w:b/>
                    <w:bCs/>
                    <w:color w:val="000000"/>
                    <w:sz w:val="18"/>
                    <w:szCs w:val="18"/>
                    <w:lang w:eastAsia="es-CO"/>
                  </w:rPr>
                  <w:t>-65.667.824.421</w:t>
                </w:r>
              </w:p>
            </w:tc>
          </w:tr>
          <w:tr w:rsidR="00776C7D" w:rsidRPr="00235607" w14:paraId="19E42EFE" w14:textId="77777777" w:rsidTr="00776C7D">
            <w:trPr>
              <w:trHeight w:val="340"/>
            </w:trPr>
            <w:tc>
              <w:tcPr>
                <w:tcW w:w="669" w:type="pct"/>
                <w:shd w:val="clear" w:color="auto" w:fill="auto"/>
                <w:vAlign w:val="center"/>
                <w:hideMark/>
              </w:tcPr>
              <w:p w14:paraId="611454F9" w14:textId="77777777" w:rsidR="00776C7D" w:rsidRPr="00235607" w:rsidRDefault="00776C7D" w:rsidP="00776C7D">
                <w:pPr>
                  <w:spacing w:after="0" w:line="240" w:lineRule="auto"/>
                  <w:rPr>
                    <w:rFonts w:ascii="Times New Roman" w:eastAsia="Times New Roman" w:hAnsi="Times New Roman"/>
                    <w:color w:val="000000"/>
                    <w:sz w:val="18"/>
                    <w:szCs w:val="18"/>
                    <w:lang w:eastAsia="es-CO"/>
                  </w:rPr>
                </w:pPr>
                <w:r w:rsidRPr="00235607">
                  <w:rPr>
                    <w:rFonts w:ascii="Times New Roman" w:eastAsia="Times New Roman" w:hAnsi="Times New Roman"/>
                    <w:color w:val="000000"/>
                    <w:sz w:val="18"/>
                    <w:szCs w:val="18"/>
                    <w:lang w:eastAsia="es-CO"/>
                  </w:rPr>
                  <w:t>4.1.10</w:t>
                </w:r>
              </w:p>
            </w:tc>
            <w:tc>
              <w:tcPr>
                <w:tcW w:w="1359" w:type="pct"/>
                <w:shd w:val="clear" w:color="auto" w:fill="auto"/>
                <w:vAlign w:val="center"/>
                <w:hideMark/>
              </w:tcPr>
              <w:p w14:paraId="640CB304" w14:textId="77777777" w:rsidR="00776C7D" w:rsidRPr="00235607" w:rsidRDefault="00776C7D" w:rsidP="00776C7D">
                <w:pPr>
                  <w:spacing w:after="0" w:line="240" w:lineRule="auto"/>
                  <w:rPr>
                    <w:rFonts w:ascii="Times New Roman" w:eastAsia="Times New Roman" w:hAnsi="Times New Roman"/>
                    <w:color w:val="000000"/>
                    <w:sz w:val="18"/>
                    <w:szCs w:val="18"/>
                    <w:lang w:eastAsia="es-CO"/>
                  </w:rPr>
                </w:pPr>
                <w:r w:rsidRPr="00235607">
                  <w:rPr>
                    <w:rFonts w:ascii="Times New Roman" w:eastAsia="Times New Roman" w:hAnsi="Times New Roman"/>
                    <w:color w:val="000000"/>
                    <w:sz w:val="18"/>
                    <w:szCs w:val="18"/>
                    <w:lang w:eastAsia="es-CO"/>
                  </w:rPr>
                  <w:t>Contribuciones, tasas e ingresos no tributarios</w:t>
                </w:r>
              </w:p>
            </w:tc>
            <w:tc>
              <w:tcPr>
                <w:tcW w:w="1181" w:type="pct"/>
                <w:shd w:val="clear" w:color="auto" w:fill="auto"/>
                <w:vAlign w:val="center"/>
                <w:hideMark/>
              </w:tcPr>
              <w:p w14:paraId="563C8322" w14:textId="77777777" w:rsidR="00776C7D" w:rsidRPr="00235607" w:rsidRDefault="00776C7D" w:rsidP="00776C7D">
                <w:pPr>
                  <w:spacing w:after="0" w:line="240" w:lineRule="auto"/>
                  <w:jc w:val="right"/>
                  <w:rPr>
                    <w:rFonts w:ascii="Times New Roman" w:eastAsia="Times New Roman" w:hAnsi="Times New Roman"/>
                    <w:color w:val="000000"/>
                    <w:sz w:val="18"/>
                    <w:szCs w:val="18"/>
                    <w:lang w:eastAsia="es-CO"/>
                  </w:rPr>
                </w:pPr>
                <w:r w:rsidRPr="00235607">
                  <w:rPr>
                    <w:rFonts w:ascii="Times New Roman" w:eastAsia="Times New Roman" w:hAnsi="Times New Roman"/>
                    <w:color w:val="000000"/>
                    <w:sz w:val="18"/>
                    <w:szCs w:val="18"/>
                    <w:lang w:eastAsia="es-CO"/>
                  </w:rPr>
                  <w:t>211.552.246.439</w:t>
                </w:r>
              </w:p>
            </w:tc>
            <w:tc>
              <w:tcPr>
                <w:tcW w:w="896" w:type="pct"/>
                <w:shd w:val="clear" w:color="auto" w:fill="auto"/>
                <w:vAlign w:val="center"/>
                <w:hideMark/>
              </w:tcPr>
              <w:p w14:paraId="6A7F91A8" w14:textId="77777777" w:rsidR="00776C7D" w:rsidRPr="00235607" w:rsidRDefault="00776C7D" w:rsidP="00776C7D">
                <w:pPr>
                  <w:spacing w:after="0" w:line="240" w:lineRule="auto"/>
                  <w:jc w:val="right"/>
                  <w:rPr>
                    <w:rFonts w:ascii="Times New Roman" w:eastAsia="Times New Roman" w:hAnsi="Times New Roman"/>
                    <w:color w:val="000000"/>
                    <w:sz w:val="18"/>
                    <w:szCs w:val="18"/>
                    <w:lang w:eastAsia="es-CO"/>
                  </w:rPr>
                </w:pPr>
                <w:r w:rsidRPr="00235607">
                  <w:rPr>
                    <w:rFonts w:ascii="Times New Roman" w:eastAsia="Times New Roman" w:hAnsi="Times New Roman"/>
                    <w:color w:val="000000"/>
                    <w:sz w:val="18"/>
                    <w:szCs w:val="18"/>
                    <w:lang w:eastAsia="es-CO"/>
                  </w:rPr>
                  <w:t>277.220.070.860</w:t>
                </w:r>
              </w:p>
            </w:tc>
            <w:tc>
              <w:tcPr>
                <w:tcW w:w="896" w:type="pct"/>
                <w:shd w:val="clear" w:color="auto" w:fill="auto"/>
                <w:vAlign w:val="center"/>
                <w:hideMark/>
              </w:tcPr>
              <w:p w14:paraId="3B03BFDC" w14:textId="77777777" w:rsidR="00776C7D" w:rsidRPr="00235607" w:rsidRDefault="00776C7D" w:rsidP="00776C7D">
                <w:pPr>
                  <w:spacing w:after="0" w:line="240" w:lineRule="auto"/>
                  <w:jc w:val="right"/>
                  <w:rPr>
                    <w:rFonts w:ascii="Times New Roman" w:eastAsia="Times New Roman" w:hAnsi="Times New Roman"/>
                    <w:color w:val="000000"/>
                    <w:sz w:val="18"/>
                    <w:szCs w:val="18"/>
                    <w:lang w:eastAsia="es-CO"/>
                  </w:rPr>
                </w:pPr>
                <w:r w:rsidRPr="00235607">
                  <w:rPr>
                    <w:rFonts w:ascii="Times New Roman" w:eastAsia="Times New Roman" w:hAnsi="Times New Roman"/>
                    <w:color w:val="000000"/>
                    <w:sz w:val="18"/>
                    <w:szCs w:val="18"/>
                    <w:lang w:eastAsia="es-CO"/>
                  </w:rPr>
                  <w:t>-65.667.824.421</w:t>
                </w:r>
              </w:p>
            </w:tc>
          </w:tr>
          <w:tr w:rsidR="00776C7D" w:rsidRPr="00235607" w14:paraId="660BD365" w14:textId="77777777" w:rsidTr="00776C7D">
            <w:trPr>
              <w:trHeight w:val="340"/>
            </w:trPr>
            <w:tc>
              <w:tcPr>
                <w:tcW w:w="669" w:type="pct"/>
                <w:shd w:val="clear" w:color="auto" w:fill="auto"/>
                <w:vAlign w:val="center"/>
                <w:hideMark/>
              </w:tcPr>
              <w:p w14:paraId="61EB9878" w14:textId="77777777" w:rsidR="00776C7D" w:rsidRPr="00235607" w:rsidRDefault="00776C7D" w:rsidP="00776C7D">
                <w:pPr>
                  <w:spacing w:after="0" w:line="240" w:lineRule="auto"/>
                  <w:rPr>
                    <w:rFonts w:ascii="Times New Roman" w:eastAsia="Times New Roman" w:hAnsi="Times New Roman"/>
                    <w:b/>
                    <w:bCs/>
                    <w:color w:val="000000"/>
                    <w:sz w:val="18"/>
                    <w:szCs w:val="18"/>
                    <w:lang w:eastAsia="es-CO"/>
                  </w:rPr>
                </w:pPr>
                <w:r w:rsidRPr="00235607">
                  <w:rPr>
                    <w:rFonts w:ascii="Times New Roman" w:eastAsia="Times New Roman" w:hAnsi="Times New Roman"/>
                    <w:b/>
                    <w:bCs/>
                    <w:color w:val="000000"/>
                    <w:sz w:val="18"/>
                    <w:szCs w:val="18"/>
                    <w:lang w:eastAsia="es-CO"/>
                  </w:rPr>
                  <w:t>4.4</w:t>
                </w:r>
              </w:p>
            </w:tc>
            <w:tc>
              <w:tcPr>
                <w:tcW w:w="1359" w:type="pct"/>
                <w:shd w:val="clear" w:color="auto" w:fill="auto"/>
                <w:vAlign w:val="center"/>
                <w:hideMark/>
              </w:tcPr>
              <w:p w14:paraId="26451766" w14:textId="77777777" w:rsidR="00776C7D" w:rsidRPr="00235607" w:rsidRDefault="00776C7D" w:rsidP="00776C7D">
                <w:pPr>
                  <w:spacing w:after="0" w:line="240" w:lineRule="auto"/>
                  <w:rPr>
                    <w:rFonts w:ascii="Times New Roman" w:eastAsia="Times New Roman" w:hAnsi="Times New Roman"/>
                    <w:b/>
                    <w:bCs/>
                    <w:color w:val="000000"/>
                    <w:sz w:val="18"/>
                    <w:szCs w:val="18"/>
                    <w:lang w:eastAsia="es-CO"/>
                  </w:rPr>
                </w:pPr>
                <w:r w:rsidRPr="00235607">
                  <w:rPr>
                    <w:rFonts w:ascii="Times New Roman" w:eastAsia="Times New Roman" w:hAnsi="Times New Roman"/>
                    <w:b/>
                    <w:bCs/>
                    <w:color w:val="000000"/>
                    <w:sz w:val="18"/>
                    <w:szCs w:val="18"/>
                    <w:lang w:eastAsia="es-CO"/>
                  </w:rPr>
                  <w:t>TRANSFERENCIAS Y SUBVENCIONES</w:t>
                </w:r>
              </w:p>
            </w:tc>
            <w:tc>
              <w:tcPr>
                <w:tcW w:w="1181" w:type="pct"/>
                <w:shd w:val="clear" w:color="auto" w:fill="auto"/>
                <w:vAlign w:val="center"/>
                <w:hideMark/>
              </w:tcPr>
              <w:p w14:paraId="439F7BCC" w14:textId="77777777" w:rsidR="00776C7D" w:rsidRPr="00235607" w:rsidRDefault="00776C7D" w:rsidP="00776C7D">
                <w:pPr>
                  <w:spacing w:after="0" w:line="240" w:lineRule="auto"/>
                  <w:jc w:val="right"/>
                  <w:rPr>
                    <w:rFonts w:ascii="Times New Roman" w:eastAsia="Times New Roman" w:hAnsi="Times New Roman"/>
                    <w:b/>
                    <w:bCs/>
                    <w:color w:val="000000"/>
                    <w:sz w:val="18"/>
                    <w:szCs w:val="18"/>
                    <w:lang w:eastAsia="es-CO"/>
                  </w:rPr>
                </w:pPr>
                <w:r w:rsidRPr="00235607">
                  <w:rPr>
                    <w:rFonts w:ascii="Times New Roman" w:eastAsia="Times New Roman" w:hAnsi="Times New Roman"/>
                    <w:b/>
                    <w:bCs/>
                    <w:color w:val="000000"/>
                    <w:sz w:val="18"/>
                    <w:szCs w:val="18"/>
                    <w:lang w:eastAsia="es-CO"/>
                  </w:rPr>
                  <w:t>4.665.324.689</w:t>
                </w:r>
              </w:p>
            </w:tc>
            <w:tc>
              <w:tcPr>
                <w:tcW w:w="896" w:type="pct"/>
                <w:shd w:val="clear" w:color="auto" w:fill="auto"/>
                <w:vAlign w:val="center"/>
                <w:hideMark/>
              </w:tcPr>
              <w:p w14:paraId="585D0F7C" w14:textId="77777777" w:rsidR="00776C7D" w:rsidRPr="00235607" w:rsidRDefault="00776C7D" w:rsidP="00776C7D">
                <w:pPr>
                  <w:spacing w:after="0" w:line="240" w:lineRule="auto"/>
                  <w:jc w:val="right"/>
                  <w:rPr>
                    <w:rFonts w:ascii="Times New Roman" w:eastAsia="Times New Roman" w:hAnsi="Times New Roman"/>
                    <w:b/>
                    <w:bCs/>
                    <w:color w:val="000000"/>
                    <w:sz w:val="18"/>
                    <w:szCs w:val="18"/>
                    <w:lang w:eastAsia="es-CO"/>
                  </w:rPr>
                </w:pPr>
                <w:r w:rsidRPr="00235607">
                  <w:rPr>
                    <w:rFonts w:ascii="Times New Roman" w:eastAsia="Times New Roman" w:hAnsi="Times New Roman"/>
                    <w:b/>
                    <w:bCs/>
                    <w:color w:val="000000"/>
                    <w:sz w:val="18"/>
                    <w:szCs w:val="18"/>
                    <w:lang w:eastAsia="es-CO"/>
                  </w:rPr>
                  <w:t>85.886.932</w:t>
                </w:r>
              </w:p>
            </w:tc>
            <w:tc>
              <w:tcPr>
                <w:tcW w:w="896" w:type="pct"/>
                <w:shd w:val="clear" w:color="auto" w:fill="auto"/>
                <w:vAlign w:val="center"/>
                <w:hideMark/>
              </w:tcPr>
              <w:p w14:paraId="0527E1BD" w14:textId="77777777" w:rsidR="00776C7D" w:rsidRPr="00235607" w:rsidRDefault="00776C7D" w:rsidP="00776C7D">
                <w:pPr>
                  <w:spacing w:after="0" w:line="240" w:lineRule="auto"/>
                  <w:jc w:val="right"/>
                  <w:rPr>
                    <w:rFonts w:ascii="Times New Roman" w:eastAsia="Times New Roman" w:hAnsi="Times New Roman"/>
                    <w:b/>
                    <w:bCs/>
                    <w:color w:val="000000"/>
                    <w:sz w:val="18"/>
                    <w:szCs w:val="18"/>
                    <w:lang w:eastAsia="es-CO"/>
                  </w:rPr>
                </w:pPr>
                <w:r w:rsidRPr="00235607">
                  <w:rPr>
                    <w:rFonts w:ascii="Times New Roman" w:eastAsia="Times New Roman" w:hAnsi="Times New Roman"/>
                    <w:b/>
                    <w:bCs/>
                    <w:color w:val="000000"/>
                    <w:sz w:val="18"/>
                    <w:szCs w:val="18"/>
                    <w:lang w:eastAsia="es-CO"/>
                  </w:rPr>
                  <w:t>4.579.437.757</w:t>
                </w:r>
              </w:p>
            </w:tc>
          </w:tr>
          <w:tr w:rsidR="00776C7D" w:rsidRPr="00235607" w14:paraId="51E40896" w14:textId="77777777" w:rsidTr="00776C7D">
            <w:trPr>
              <w:trHeight w:val="340"/>
            </w:trPr>
            <w:tc>
              <w:tcPr>
                <w:tcW w:w="669" w:type="pct"/>
                <w:shd w:val="clear" w:color="auto" w:fill="auto"/>
                <w:vAlign w:val="center"/>
                <w:hideMark/>
              </w:tcPr>
              <w:p w14:paraId="6EB9AB52" w14:textId="77777777" w:rsidR="00776C7D" w:rsidRPr="00235607" w:rsidRDefault="00776C7D" w:rsidP="00776C7D">
                <w:pPr>
                  <w:spacing w:after="0" w:line="240" w:lineRule="auto"/>
                  <w:rPr>
                    <w:rFonts w:ascii="Times New Roman" w:eastAsia="Times New Roman" w:hAnsi="Times New Roman"/>
                    <w:color w:val="000000"/>
                    <w:sz w:val="18"/>
                    <w:szCs w:val="18"/>
                    <w:lang w:eastAsia="es-CO"/>
                  </w:rPr>
                </w:pPr>
                <w:r w:rsidRPr="00235607">
                  <w:rPr>
                    <w:rFonts w:ascii="Times New Roman" w:eastAsia="Times New Roman" w:hAnsi="Times New Roman"/>
                    <w:color w:val="000000"/>
                    <w:sz w:val="18"/>
                    <w:szCs w:val="18"/>
                    <w:lang w:eastAsia="es-CO"/>
                  </w:rPr>
                  <w:t>4.4.28</w:t>
                </w:r>
              </w:p>
            </w:tc>
            <w:tc>
              <w:tcPr>
                <w:tcW w:w="1359" w:type="pct"/>
                <w:shd w:val="clear" w:color="auto" w:fill="auto"/>
                <w:vAlign w:val="center"/>
                <w:hideMark/>
              </w:tcPr>
              <w:p w14:paraId="63EE5CA0" w14:textId="77777777" w:rsidR="00776C7D" w:rsidRPr="00235607" w:rsidRDefault="00776C7D" w:rsidP="00776C7D">
                <w:pPr>
                  <w:spacing w:after="0" w:line="240" w:lineRule="auto"/>
                  <w:rPr>
                    <w:rFonts w:ascii="Times New Roman" w:eastAsia="Times New Roman" w:hAnsi="Times New Roman"/>
                    <w:color w:val="000000"/>
                    <w:sz w:val="18"/>
                    <w:szCs w:val="18"/>
                    <w:lang w:eastAsia="es-CO"/>
                  </w:rPr>
                </w:pPr>
                <w:r w:rsidRPr="00235607">
                  <w:rPr>
                    <w:rFonts w:ascii="Times New Roman" w:eastAsia="Times New Roman" w:hAnsi="Times New Roman"/>
                    <w:color w:val="000000"/>
                    <w:sz w:val="18"/>
                    <w:szCs w:val="18"/>
                    <w:lang w:eastAsia="es-CO"/>
                  </w:rPr>
                  <w:t>Otras transferencias</w:t>
                </w:r>
              </w:p>
            </w:tc>
            <w:tc>
              <w:tcPr>
                <w:tcW w:w="1181" w:type="pct"/>
                <w:shd w:val="clear" w:color="auto" w:fill="auto"/>
                <w:vAlign w:val="center"/>
                <w:hideMark/>
              </w:tcPr>
              <w:p w14:paraId="4A645F6F" w14:textId="77777777" w:rsidR="00776C7D" w:rsidRPr="00235607" w:rsidRDefault="00776C7D" w:rsidP="00776C7D">
                <w:pPr>
                  <w:spacing w:after="0" w:line="240" w:lineRule="auto"/>
                  <w:jc w:val="right"/>
                  <w:rPr>
                    <w:rFonts w:ascii="Times New Roman" w:eastAsia="Times New Roman" w:hAnsi="Times New Roman"/>
                    <w:color w:val="000000"/>
                    <w:sz w:val="18"/>
                    <w:szCs w:val="18"/>
                    <w:lang w:eastAsia="es-CO"/>
                  </w:rPr>
                </w:pPr>
                <w:r w:rsidRPr="00235607">
                  <w:rPr>
                    <w:rFonts w:ascii="Times New Roman" w:eastAsia="Times New Roman" w:hAnsi="Times New Roman"/>
                    <w:color w:val="000000"/>
                    <w:sz w:val="18"/>
                    <w:szCs w:val="18"/>
                    <w:lang w:eastAsia="es-CO"/>
                  </w:rPr>
                  <w:t>4.665.324.689</w:t>
                </w:r>
              </w:p>
            </w:tc>
            <w:tc>
              <w:tcPr>
                <w:tcW w:w="896" w:type="pct"/>
                <w:shd w:val="clear" w:color="auto" w:fill="auto"/>
                <w:vAlign w:val="center"/>
                <w:hideMark/>
              </w:tcPr>
              <w:p w14:paraId="07AE0217" w14:textId="77777777" w:rsidR="00776C7D" w:rsidRPr="00235607" w:rsidRDefault="00776C7D" w:rsidP="00776C7D">
                <w:pPr>
                  <w:spacing w:after="0" w:line="240" w:lineRule="auto"/>
                  <w:jc w:val="right"/>
                  <w:rPr>
                    <w:rFonts w:ascii="Times New Roman" w:eastAsia="Times New Roman" w:hAnsi="Times New Roman"/>
                    <w:color w:val="000000"/>
                    <w:sz w:val="18"/>
                    <w:szCs w:val="18"/>
                    <w:lang w:eastAsia="es-CO"/>
                  </w:rPr>
                </w:pPr>
                <w:r w:rsidRPr="00235607">
                  <w:rPr>
                    <w:rFonts w:ascii="Times New Roman" w:eastAsia="Times New Roman" w:hAnsi="Times New Roman"/>
                    <w:color w:val="000000"/>
                    <w:sz w:val="18"/>
                    <w:szCs w:val="18"/>
                    <w:lang w:eastAsia="es-CO"/>
                  </w:rPr>
                  <w:t>85.886.932</w:t>
                </w:r>
              </w:p>
            </w:tc>
            <w:tc>
              <w:tcPr>
                <w:tcW w:w="896" w:type="pct"/>
                <w:shd w:val="clear" w:color="auto" w:fill="auto"/>
                <w:vAlign w:val="center"/>
                <w:hideMark/>
              </w:tcPr>
              <w:p w14:paraId="3992DAE3" w14:textId="77777777" w:rsidR="00776C7D" w:rsidRPr="00235607" w:rsidRDefault="00776C7D" w:rsidP="00776C7D">
                <w:pPr>
                  <w:spacing w:after="0" w:line="240" w:lineRule="auto"/>
                  <w:jc w:val="right"/>
                  <w:rPr>
                    <w:rFonts w:ascii="Times New Roman" w:eastAsia="Times New Roman" w:hAnsi="Times New Roman"/>
                    <w:color w:val="000000"/>
                    <w:sz w:val="18"/>
                    <w:szCs w:val="18"/>
                    <w:lang w:eastAsia="es-CO"/>
                  </w:rPr>
                </w:pPr>
                <w:r w:rsidRPr="00235607">
                  <w:rPr>
                    <w:rFonts w:ascii="Times New Roman" w:eastAsia="Times New Roman" w:hAnsi="Times New Roman"/>
                    <w:color w:val="000000"/>
                    <w:sz w:val="18"/>
                    <w:szCs w:val="18"/>
                    <w:lang w:eastAsia="es-CO"/>
                  </w:rPr>
                  <w:t>4.579.437.757</w:t>
                </w:r>
              </w:p>
            </w:tc>
          </w:tr>
          <w:tr w:rsidR="00776C7D" w:rsidRPr="00235607" w14:paraId="1384AFF5" w14:textId="77777777" w:rsidTr="00776C7D">
            <w:trPr>
              <w:trHeight w:val="340"/>
            </w:trPr>
            <w:tc>
              <w:tcPr>
                <w:tcW w:w="669" w:type="pct"/>
                <w:shd w:val="clear" w:color="auto" w:fill="auto"/>
                <w:vAlign w:val="center"/>
                <w:hideMark/>
              </w:tcPr>
              <w:p w14:paraId="342A3F54" w14:textId="77777777" w:rsidR="00776C7D" w:rsidRPr="00235607" w:rsidRDefault="00776C7D" w:rsidP="00776C7D">
                <w:pPr>
                  <w:spacing w:after="0" w:line="240" w:lineRule="auto"/>
                  <w:rPr>
                    <w:rFonts w:ascii="Times New Roman" w:eastAsia="Times New Roman" w:hAnsi="Times New Roman"/>
                    <w:b/>
                    <w:bCs/>
                    <w:color w:val="000000"/>
                    <w:sz w:val="18"/>
                    <w:szCs w:val="18"/>
                    <w:lang w:eastAsia="es-CO"/>
                  </w:rPr>
                </w:pPr>
                <w:r w:rsidRPr="00235607">
                  <w:rPr>
                    <w:rFonts w:ascii="Times New Roman" w:eastAsia="Times New Roman" w:hAnsi="Times New Roman"/>
                    <w:b/>
                    <w:bCs/>
                    <w:color w:val="000000"/>
                    <w:sz w:val="18"/>
                    <w:szCs w:val="18"/>
                    <w:lang w:eastAsia="es-CO"/>
                  </w:rPr>
                  <w:lastRenderedPageBreak/>
                  <w:t>4.7</w:t>
                </w:r>
              </w:p>
            </w:tc>
            <w:tc>
              <w:tcPr>
                <w:tcW w:w="1359" w:type="pct"/>
                <w:shd w:val="clear" w:color="auto" w:fill="auto"/>
                <w:vAlign w:val="center"/>
                <w:hideMark/>
              </w:tcPr>
              <w:p w14:paraId="53CC5560" w14:textId="77777777" w:rsidR="00776C7D" w:rsidRPr="00235607" w:rsidRDefault="00776C7D" w:rsidP="00776C7D">
                <w:pPr>
                  <w:spacing w:after="0" w:line="240" w:lineRule="auto"/>
                  <w:rPr>
                    <w:rFonts w:ascii="Times New Roman" w:eastAsia="Times New Roman" w:hAnsi="Times New Roman"/>
                    <w:b/>
                    <w:bCs/>
                    <w:color w:val="000000"/>
                    <w:sz w:val="18"/>
                    <w:szCs w:val="18"/>
                    <w:lang w:eastAsia="es-CO"/>
                  </w:rPr>
                </w:pPr>
                <w:r w:rsidRPr="00235607">
                  <w:rPr>
                    <w:rFonts w:ascii="Times New Roman" w:eastAsia="Times New Roman" w:hAnsi="Times New Roman"/>
                    <w:b/>
                    <w:bCs/>
                    <w:color w:val="000000"/>
                    <w:sz w:val="18"/>
                    <w:szCs w:val="18"/>
                    <w:lang w:eastAsia="es-CO"/>
                  </w:rPr>
                  <w:t>OPERACIONES INTERINSTITUCIONALES</w:t>
                </w:r>
              </w:p>
            </w:tc>
            <w:tc>
              <w:tcPr>
                <w:tcW w:w="1181" w:type="pct"/>
                <w:shd w:val="clear" w:color="auto" w:fill="auto"/>
                <w:vAlign w:val="center"/>
                <w:hideMark/>
              </w:tcPr>
              <w:p w14:paraId="60F4383D" w14:textId="77777777" w:rsidR="00776C7D" w:rsidRPr="00235607" w:rsidRDefault="00776C7D" w:rsidP="00776C7D">
                <w:pPr>
                  <w:spacing w:after="0" w:line="240" w:lineRule="auto"/>
                  <w:jc w:val="right"/>
                  <w:rPr>
                    <w:rFonts w:ascii="Times New Roman" w:eastAsia="Times New Roman" w:hAnsi="Times New Roman"/>
                    <w:b/>
                    <w:bCs/>
                    <w:color w:val="000000"/>
                    <w:sz w:val="18"/>
                    <w:szCs w:val="18"/>
                    <w:lang w:eastAsia="es-CO"/>
                  </w:rPr>
                </w:pPr>
                <w:r w:rsidRPr="00235607">
                  <w:rPr>
                    <w:rFonts w:ascii="Times New Roman" w:eastAsia="Times New Roman" w:hAnsi="Times New Roman"/>
                    <w:b/>
                    <w:bCs/>
                    <w:color w:val="000000"/>
                    <w:sz w:val="18"/>
                    <w:szCs w:val="18"/>
                    <w:lang w:eastAsia="es-CO"/>
                  </w:rPr>
                  <w:t>8.378.540.388.188</w:t>
                </w:r>
              </w:p>
            </w:tc>
            <w:tc>
              <w:tcPr>
                <w:tcW w:w="896" w:type="pct"/>
                <w:shd w:val="clear" w:color="auto" w:fill="auto"/>
                <w:vAlign w:val="center"/>
                <w:hideMark/>
              </w:tcPr>
              <w:p w14:paraId="141E5960" w14:textId="77777777" w:rsidR="00776C7D" w:rsidRPr="00235607" w:rsidRDefault="00776C7D" w:rsidP="00776C7D">
                <w:pPr>
                  <w:spacing w:after="0" w:line="240" w:lineRule="auto"/>
                  <w:jc w:val="right"/>
                  <w:rPr>
                    <w:rFonts w:ascii="Times New Roman" w:eastAsia="Times New Roman" w:hAnsi="Times New Roman"/>
                    <w:b/>
                    <w:bCs/>
                    <w:color w:val="000000"/>
                    <w:sz w:val="18"/>
                    <w:szCs w:val="18"/>
                    <w:lang w:eastAsia="es-CO"/>
                  </w:rPr>
                </w:pPr>
                <w:r w:rsidRPr="00235607">
                  <w:rPr>
                    <w:rFonts w:ascii="Times New Roman" w:eastAsia="Times New Roman" w:hAnsi="Times New Roman"/>
                    <w:b/>
                    <w:bCs/>
                    <w:color w:val="000000"/>
                    <w:sz w:val="18"/>
                    <w:szCs w:val="18"/>
                    <w:lang w:eastAsia="es-CO"/>
                  </w:rPr>
                  <w:t>5.561.523.295.502</w:t>
                </w:r>
              </w:p>
            </w:tc>
            <w:tc>
              <w:tcPr>
                <w:tcW w:w="896" w:type="pct"/>
                <w:shd w:val="clear" w:color="auto" w:fill="auto"/>
                <w:vAlign w:val="center"/>
                <w:hideMark/>
              </w:tcPr>
              <w:p w14:paraId="6B5769DA" w14:textId="77777777" w:rsidR="00776C7D" w:rsidRPr="00235607" w:rsidRDefault="00776C7D" w:rsidP="00776C7D">
                <w:pPr>
                  <w:spacing w:after="0" w:line="240" w:lineRule="auto"/>
                  <w:jc w:val="right"/>
                  <w:rPr>
                    <w:rFonts w:ascii="Times New Roman" w:eastAsia="Times New Roman" w:hAnsi="Times New Roman"/>
                    <w:b/>
                    <w:bCs/>
                    <w:color w:val="000000"/>
                    <w:sz w:val="18"/>
                    <w:szCs w:val="18"/>
                    <w:lang w:eastAsia="es-CO"/>
                  </w:rPr>
                </w:pPr>
                <w:r w:rsidRPr="00235607">
                  <w:rPr>
                    <w:rFonts w:ascii="Times New Roman" w:eastAsia="Times New Roman" w:hAnsi="Times New Roman"/>
                    <w:b/>
                    <w:bCs/>
                    <w:color w:val="000000"/>
                    <w:sz w:val="18"/>
                    <w:szCs w:val="18"/>
                    <w:lang w:eastAsia="es-CO"/>
                  </w:rPr>
                  <w:t>2.817.017.092.686</w:t>
                </w:r>
              </w:p>
            </w:tc>
          </w:tr>
          <w:tr w:rsidR="00776C7D" w:rsidRPr="00235607" w14:paraId="6CCFC523" w14:textId="77777777" w:rsidTr="00776C7D">
            <w:trPr>
              <w:trHeight w:val="340"/>
            </w:trPr>
            <w:tc>
              <w:tcPr>
                <w:tcW w:w="669" w:type="pct"/>
                <w:shd w:val="clear" w:color="auto" w:fill="auto"/>
                <w:vAlign w:val="center"/>
                <w:hideMark/>
              </w:tcPr>
              <w:p w14:paraId="645F02DF" w14:textId="77777777" w:rsidR="00776C7D" w:rsidRPr="00235607" w:rsidRDefault="00776C7D" w:rsidP="00776C7D">
                <w:pPr>
                  <w:spacing w:after="0" w:line="240" w:lineRule="auto"/>
                  <w:rPr>
                    <w:rFonts w:ascii="Times New Roman" w:eastAsia="Times New Roman" w:hAnsi="Times New Roman"/>
                    <w:color w:val="000000"/>
                    <w:sz w:val="18"/>
                    <w:szCs w:val="18"/>
                    <w:lang w:eastAsia="es-CO"/>
                  </w:rPr>
                </w:pPr>
                <w:r w:rsidRPr="00235607">
                  <w:rPr>
                    <w:rFonts w:ascii="Times New Roman" w:eastAsia="Times New Roman" w:hAnsi="Times New Roman"/>
                    <w:color w:val="000000"/>
                    <w:sz w:val="18"/>
                    <w:szCs w:val="18"/>
                    <w:lang w:eastAsia="es-CO"/>
                  </w:rPr>
                  <w:t>4.7.05</w:t>
                </w:r>
              </w:p>
            </w:tc>
            <w:tc>
              <w:tcPr>
                <w:tcW w:w="1359" w:type="pct"/>
                <w:shd w:val="clear" w:color="auto" w:fill="auto"/>
                <w:vAlign w:val="center"/>
                <w:hideMark/>
              </w:tcPr>
              <w:p w14:paraId="2BFE200C" w14:textId="77777777" w:rsidR="00776C7D" w:rsidRPr="00235607" w:rsidRDefault="00776C7D" w:rsidP="00776C7D">
                <w:pPr>
                  <w:spacing w:after="0" w:line="240" w:lineRule="auto"/>
                  <w:rPr>
                    <w:rFonts w:ascii="Times New Roman" w:eastAsia="Times New Roman" w:hAnsi="Times New Roman"/>
                    <w:color w:val="000000"/>
                    <w:sz w:val="18"/>
                    <w:szCs w:val="18"/>
                    <w:lang w:eastAsia="es-CO"/>
                  </w:rPr>
                </w:pPr>
                <w:r w:rsidRPr="00235607">
                  <w:rPr>
                    <w:rFonts w:ascii="Times New Roman" w:eastAsia="Times New Roman" w:hAnsi="Times New Roman"/>
                    <w:color w:val="000000"/>
                    <w:sz w:val="18"/>
                    <w:szCs w:val="18"/>
                    <w:lang w:eastAsia="es-CO"/>
                  </w:rPr>
                  <w:t>Fondos recibidos</w:t>
                </w:r>
              </w:p>
            </w:tc>
            <w:tc>
              <w:tcPr>
                <w:tcW w:w="1181" w:type="pct"/>
                <w:shd w:val="clear" w:color="auto" w:fill="auto"/>
                <w:vAlign w:val="center"/>
                <w:hideMark/>
              </w:tcPr>
              <w:p w14:paraId="4F202993" w14:textId="77777777" w:rsidR="00776C7D" w:rsidRPr="00235607" w:rsidRDefault="00776C7D" w:rsidP="00776C7D">
                <w:pPr>
                  <w:spacing w:after="0" w:line="240" w:lineRule="auto"/>
                  <w:jc w:val="right"/>
                  <w:rPr>
                    <w:rFonts w:ascii="Times New Roman" w:eastAsia="Times New Roman" w:hAnsi="Times New Roman"/>
                    <w:color w:val="000000"/>
                    <w:sz w:val="18"/>
                    <w:szCs w:val="18"/>
                    <w:lang w:eastAsia="es-CO"/>
                  </w:rPr>
                </w:pPr>
                <w:r w:rsidRPr="00235607">
                  <w:rPr>
                    <w:rFonts w:ascii="Times New Roman" w:eastAsia="Times New Roman" w:hAnsi="Times New Roman"/>
                    <w:color w:val="000000"/>
                    <w:sz w:val="18"/>
                    <w:szCs w:val="18"/>
                    <w:lang w:eastAsia="es-CO"/>
                  </w:rPr>
                  <w:t>8.226.586.439.320</w:t>
                </w:r>
              </w:p>
            </w:tc>
            <w:tc>
              <w:tcPr>
                <w:tcW w:w="896" w:type="pct"/>
                <w:shd w:val="clear" w:color="auto" w:fill="auto"/>
                <w:vAlign w:val="center"/>
                <w:hideMark/>
              </w:tcPr>
              <w:p w14:paraId="1FE7D59B" w14:textId="77777777" w:rsidR="00776C7D" w:rsidRPr="00235607" w:rsidRDefault="00776C7D" w:rsidP="00776C7D">
                <w:pPr>
                  <w:spacing w:after="0" w:line="240" w:lineRule="auto"/>
                  <w:jc w:val="right"/>
                  <w:rPr>
                    <w:rFonts w:ascii="Times New Roman" w:eastAsia="Times New Roman" w:hAnsi="Times New Roman"/>
                    <w:color w:val="000000"/>
                    <w:sz w:val="18"/>
                    <w:szCs w:val="18"/>
                    <w:lang w:eastAsia="es-CO"/>
                  </w:rPr>
                </w:pPr>
                <w:r w:rsidRPr="00235607">
                  <w:rPr>
                    <w:rFonts w:ascii="Times New Roman" w:eastAsia="Times New Roman" w:hAnsi="Times New Roman"/>
                    <w:color w:val="000000"/>
                    <w:sz w:val="18"/>
                    <w:szCs w:val="18"/>
                    <w:lang w:eastAsia="es-CO"/>
                  </w:rPr>
                  <w:t>5.419.011.327.705</w:t>
                </w:r>
              </w:p>
            </w:tc>
            <w:tc>
              <w:tcPr>
                <w:tcW w:w="896" w:type="pct"/>
                <w:shd w:val="clear" w:color="auto" w:fill="auto"/>
                <w:vAlign w:val="center"/>
                <w:hideMark/>
              </w:tcPr>
              <w:p w14:paraId="1BFA4FB0" w14:textId="77777777" w:rsidR="00776C7D" w:rsidRPr="00235607" w:rsidRDefault="00776C7D" w:rsidP="00776C7D">
                <w:pPr>
                  <w:spacing w:after="0" w:line="240" w:lineRule="auto"/>
                  <w:jc w:val="right"/>
                  <w:rPr>
                    <w:rFonts w:ascii="Times New Roman" w:eastAsia="Times New Roman" w:hAnsi="Times New Roman"/>
                    <w:color w:val="000000"/>
                    <w:sz w:val="18"/>
                    <w:szCs w:val="18"/>
                    <w:lang w:eastAsia="es-CO"/>
                  </w:rPr>
                </w:pPr>
                <w:r w:rsidRPr="00235607">
                  <w:rPr>
                    <w:rFonts w:ascii="Times New Roman" w:eastAsia="Times New Roman" w:hAnsi="Times New Roman"/>
                    <w:color w:val="000000"/>
                    <w:sz w:val="18"/>
                    <w:szCs w:val="18"/>
                    <w:lang w:eastAsia="es-CO"/>
                  </w:rPr>
                  <w:t>2.807.575.111.615</w:t>
                </w:r>
              </w:p>
            </w:tc>
          </w:tr>
          <w:tr w:rsidR="00776C7D" w:rsidRPr="00235607" w14:paraId="7638576E" w14:textId="77777777" w:rsidTr="00776C7D">
            <w:trPr>
              <w:trHeight w:val="340"/>
            </w:trPr>
            <w:tc>
              <w:tcPr>
                <w:tcW w:w="669" w:type="pct"/>
                <w:shd w:val="clear" w:color="auto" w:fill="auto"/>
                <w:vAlign w:val="center"/>
                <w:hideMark/>
              </w:tcPr>
              <w:p w14:paraId="79CAC460" w14:textId="77777777" w:rsidR="00776C7D" w:rsidRPr="00235607" w:rsidRDefault="00776C7D" w:rsidP="00776C7D">
                <w:pPr>
                  <w:spacing w:after="0" w:line="240" w:lineRule="auto"/>
                  <w:rPr>
                    <w:rFonts w:ascii="Times New Roman" w:eastAsia="Times New Roman" w:hAnsi="Times New Roman"/>
                    <w:color w:val="000000"/>
                    <w:sz w:val="18"/>
                    <w:szCs w:val="18"/>
                    <w:lang w:eastAsia="es-CO"/>
                  </w:rPr>
                </w:pPr>
                <w:r w:rsidRPr="00235607">
                  <w:rPr>
                    <w:rFonts w:ascii="Times New Roman" w:eastAsia="Times New Roman" w:hAnsi="Times New Roman"/>
                    <w:color w:val="000000"/>
                    <w:sz w:val="18"/>
                    <w:szCs w:val="18"/>
                    <w:lang w:eastAsia="es-CO"/>
                  </w:rPr>
                  <w:t>4.7.22</w:t>
                </w:r>
              </w:p>
            </w:tc>
            <w:tc>
              <w:tcPr>
                <w:tcW w:w="1359" w:type="pct"/>
                <w:shd w:val="clear" w:color="auto" w:fill="auto"/>
                <w:vAlign w:val="center"/>
                <w:hideMark/>
              </w:tcPr>
              <w:p w14:paraId="72DC9008" w14:textId="77777777" w:rsidR="00776C7D" w:rsidRPr="00235607" w:rsidRDefault="00776C7D" w:rsidP="00776C7D">
                <w:pPr>
                  <w:spacing w:after="0" w:line="240" w:lineRule="auto"/>
                  <w:rPr>
                    <w:rFonts w:ascii="Times New Roman" w:eastAsia="Times New Roman" w:hAnsi="Times New Roman"/>
                    <w:color w:val="000000"/>
                    <w:sz w:val="18"/>
                    <w:szCs w:val="18"/>
                    <w:lang w:eastAsia="es-CO"/>
                  </w:rPr>
                </w:pPr>
                <w:r w:rsidRPr="00235607">
                  <w:rPr>
                    <w:rFonts w:ascii="Times New Roman" w:eastAsia="Times New Roman" w:hAnsi="Times New Roman"/>
                    <w:color w:val="000000"/>
                    <w:sz w:val="18"/>
                    <w:szCs w:val="18"/>
                    <w:lang w:eastAsia="es-CO"/>
                  </w:rPr>
                  <w:t>Operaciones sin flujo de efectivo</w:t>
                </w:r>
              </w:p>
            </w:tc>
            <w:tc>
              <w:tcPr>
                <w:tcW w:w="1181" w:type="pct"/>
                <w:shd w:val="clear" w:color="auto" w:fill="auto"/>
                <w:vAlign w:val="center"/>
                <w:hideMark/>
              </w:tcPr>
              <w:p w14:paraId="128E782C" w14:textId="77777777" w:rsidR="00776C7D" w:rsidRPr="00235607" w:rsidRDefault="00776C7D" w:rsidP="00776C7D">
                <w:pPr>
                  <w:spacing w:after="0" w:line="240" w:lineRule="auto"/>
                  <w:jc w:val="right"/>
                  <w:rPr>
                    <w:rFonts w:ascii="Times New Roman" w:eastAsia="Times New Roman" w:hAnsi="Times New Roman"/>
                    <w:color w:val="000000"/>
                    <w:sz w:val="18"/>
                    <w:szCs w:val="18"/>
                    <w:lang w:eastAsia="es-CO"/>
                  </w:rPr>
                </w:pPr>
                <w:r w:rsidRPr="00235607">
                  <w:rPr>
                    <w:rFonts w:ascii="Times New Roman" w:eastAsia="Times New Roman" w:hAnsi="Times New Roman"/>
                    <w:color w:val="000000"/>
                    <w:sz w:val="18"/>
                    <w:szCs w:val="18"/>
                    <w:lang w:eastAsia="es-CO"/>
                  </w:rPr>
                  <w:t>151.953.948.868</w:t>
                </w:r>
              </w:p>
            </w:tc>
            <w:tc>
              <w:tcPr>
                <w:tcW w:w="896" w:type="pct"/>
                <w:shd w:val="clear" w:color="auto" w:fill="auto"/>
                <w:vAlign w:val="center"/>
                <w:hideMark/>
              </w:tcPr>
              <w:p w14:paraId="7EA4EDCC" w14:textId="77777777" w:rsidR="00776C7D" w:rsidRPr="00235607" w:rsidRDefault="00776C7D" w:rsidP="00776C7D">
                <w:pPr>
                  <w:spacing w:after="0" w:line="240" w:lineRule="auto"/>
                  <w:jc w:val="right"/>
                  <w:rPr>
                    <w:rFonts w:ascii="Times New Roman" w:eastAsia="Times New Roman" w:hAnsi="Times New Roman"/>
                    <w:color w:val="000000"/>
                    <w:sz w:val="18"/>
                    <w:szCs w:val="18"/>
                    <w:lang w:eastAsia="es-CO"/>
                  </w:rPr>
                </w:pPr>
                <w:r w:rsidRPr="00235607">
                  <w:rPr>
                    <w:rFonts w:ascii="Times New Roman" w:eastAsia="Times New Roman" w:hAnsi="Times New Roman"/>
                    <w:color w:val="000000"/>
                    <w:sz w:val="18"/>
                    <w:szCs w:val="18"/>
                    <w:lang w:eastAsia="es-CO"/>
                  </w:rPr>
                  <w:t>142.511.967.797</w:t>
                </w:r>
              </w:p>
            </w:tc>
            <w:tc>
              <w:tcPr>
                <w:tcW w:w="896" w:type="pct"/>
                <w:shd w:val="clear" w:color="auto" w:fill="auto"/>
                <w:vAlign w:val="center"/>
                <w:hideMark/>
              </w:tcPr>
              <w:p w14:paraId="1843A5B2" w14:textId="77777777" w:rsidR="00776C7D" w:rsidRPr="00235607" w:rsidRDefault="00776C7D" w:rsidP="00776C7D">
                <w:pPr>
                  <w:spacing w:after="0" w:line="240" w:lineRule="auto"/>
                  <w:jc w:val="right"/>
                  <w:rPr>
                    <w:rFonts w:ascii="Times New Roman" w:eastAsia="Times New Roman" w:hAnsi="Times New Roman"/>
                    <w:color w:val="000000"/>
                    <w:sz w:val="18"/>
                    <w:szCs w:val="18"/>
                    <w:lang w:eastAsia="es-CO"/>
                  </w:rPr>
                </w:pPr>
                <w:r w:rsidRPr="00235607">
                  <w:rPr>
                    <w:rFonts w:ascii="Times New Roman" w:eastAsia="Times New Roman" w:hAnsi="Times New Roman"/>
                    <w:color w:val="000000"/>
                    <w:sz w:val="18"/>
                    <w:szCs w:val="18"/>
                    <w:lang w:eastAsia="es-CO"/>
                  </w:rPr>
                  <w:t>9.441.981.071</w:t>
                </w:r>
              </w:p>
            </w:tc>
          </w:tr>
        </w:tbl>
        <w:p w14:paraId="18D750C8" w14:textId="51F8DD3E" w:rsidR="1372EE39" w:rsidRDefault="1372EE39" w:rsidP="02E3AD61">
          <w:pPr>
            <w:ind w:left="-20" w:right="-20"/>
            <w:jc w:val="both"/>
          </w:pPr>
          <w:r w:rsidRPr="02E3AD61">
            <w:rPr>
              <w:rFonts w:ascii="Times New Roman" w:eastAsia="Times New Roman" w:hAnsi="Times New Roman"/>
              <w:sz w:val="14"/>
              <w:szCs w:val="14"/>
            </w:rPr>
            <w:t xml:space="preserve">Cifras expresadas en pesos </w:t>
          </w:r>
        </w:p>
        <w:p w14:paraId="4E36F6C5" w14:textId="77777777" w:rsidR="00247568" w:rsidRDefault="00247568" w:rsidP="02E3AD61">
          <w:pPr>
            <w:ind w:left="-20" w:right="-20"/>
            <w:jc w:val="both"/>
            <w:rPr>
              <w:rFonts w:ascii="Times New Roman" w:eastAsia="Times New Roman" w:hAnsi="Times New Roman"/>
              <w:sz w:val="18"/>
              <w:szCs w:val="18"/>
            </w:rPr>
          </w:pPr>
        </w:p>
        <w:p w14:paraId="14F208B1" w14:textId="022B5130" w:rsidR="1372EE39" w:rsidRDefault="1372EE39" w:rsidP="02E3AD61">
          <w:pPr>
            <w:ind w:left="-20" w:right="-20"/>
            <w:jc w:val="both"/>
          </w:pPr>
          <w:r w:rsidRPr="02E3AD61">
            <w:rPr>
              <w:rFonts w:ascii="Times New Roman" w:eastAsia="Times New Roman" w:hAnsi="Times New Roman"/>
              <w:sz w:val="24"/>
              <w:szCs w:val="24"/>
            </w:rPr>
            <w:t>En la vigencia 2023, la Agencia Nacional de Infraestructura registró ingresos de transacciones sin contraprestación por valor total de $8.</w:t>
          </w:r>
          <w:r w:rsidR="00247568" w:rsidRPr="00247568">
            <w:rPr>
              <w:rFonts w:ascii="Times New Roman" w:eastAsia="Times New Roman" w:hAnsi="Times New Roman"/>
              <w:sz w:val="24"/>
              <w:szCs w:val="24"/>
            </w:rPr>
            <w:t>594.757.959.316</w:t>
          </w:r>
          <w:r w:rsidRPr="02E3AD61">
            <w:rPr>
              <w:rFonts w:ascii="Times New Roman" w:eastAsia="Times New Roman" w:hAnsi="Times New Roman"/>
              <w:sz w:val="24"/>
              <w:szCs w:val="24"/>
            </w:rPr>
            <w:t>, cuya variación significativa corresponde a las operaciones interinstitucionales con un valor de $8.378.540.388.188.</w:t>
          </w:r>
        </w:p>
        <w:p w14:paraId="57925028" w14:textId="77777777" w:rsidR="003B1A44" w:rsidRPr="00931DCE" w:rsidRDefault="003B1A44" w:rsidP="003B1A44">
          <w:pPr>
            <w:suppressAutoHyphens/>
            <w:autoSpaceDN w:val="0"/>
            <w:spacing w:after="0" w:line="240" w:lineRule="auto"/>
            <w:jc w:val="both"/>
            <w:textAlignment w:val="baseline"/>
            <w:rPr>
              <w:rFonts w:ascii="Times New Roman" w:hAnsi="Times New Roman"/>
              <w:sz w:val="18"/>
              <w:szCs w:val="18"/>
            </w:rPr>
          </w:pPr>
        </w:p>
        <w:p w14:paraId="2319F7F5" w14:textId="77777777" w:rsidR="003B1A44" w:rsidRPr="00931DCE" w:rsidRDefault="003B1A44" w:rsidP="003B1A44">
          <w:pPr>
            <w:suppressAutoHyphens/>
            <w:autoSpaceDN w:val="0"/>
            <w:spacing w:after="0" w:line="240" w:lineRule="auto"/>
            <w:jc w:val="both"/>
            <w:textAlignment w:val="baseline"/>
            <w:rPr>
              <w:rFonts w:ascii="Times New Roman" w:hAnsi="Times New Roman"/>
              <w:sz w:val="24"/>
              <w:szCs w:val="24"/>
            </w:rPr>
          </w:pPr>
          <w:r w:rsidRPr="00931DCE">
            <w:rPr>
              <w:rFonts w:ascii="Times New Roman" w:hAnsi="Times New Roman"/>
              <w:sz w:val="24"/>
              <w:szCs w:val="24"/>
            </w:rPr>
            <w:t>Respecto a las Operaciones Interinstitucionales a continuación se presenta su composición:</w:t>
          </w:r>
        </w:p>
        <w:p w14:paraId="664E4997" w14:textId="77777777" w:rsidR="003A4193" w:rsidRPr="00931DCE" w:rsidRDefault="003A4193" w:rsidP="003A4193">
          <w:pPr>
            <w:spacing w:after="0" w:line="240" w:lineRule="auto"/>
            <w:jc w:val="both"/>
            <w:rPr>
              <w:rFonts w:ascii="Times New Roman" w:hAnsi="Times New Roman"/>
              <w:sz w:val="14"/>
              <w:szCs w:val="14"/>
              <w:highlight w:val="yellow"/>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ook w:val="06A0" w:firstRow="1" w:lastRow="0" w:firstColumn="1" w:lastColumn="0" w:noHBand="1" w:noVBand="1"/>
          </w:tblPr>
          <w:tblGrid>
            <w:gridCol w:w="1980"/>
            <w:gridCol w:w="1559"/>
            <w:gridCol w:w="3740"/>
            <w:gridCol w:w="1690"/>
          </w:tblGrid>
          <w:tr w:rsidR="47DC00BE" w:rsidRPr="00235607" w14:paraId="0EA54E79" w14:textId="77777777" w:rsidTr="00C13DBA">
            <w:trPr>
              <w:trHeight w:val="570"/>
            </w:trPr>
            <w:tc>
              <w:tcPr>
                <w:tcW w:w="1104" w:type="pct"/>
                <w:tcMar>
                  <w:top w:w="15" w:type="dxa"/>
                  <w:left w:w="15" w:type="dxa"/>
                  <w:right w:w="15" w:type="dxa"/>
                </w:tcMar>
                <w:vAlign w:val="center"/>
              </w:tcPr>
              <w:p w14:paraId="265FC1C9" w14:textId="16FF36C2" w:rsidR="47DC00BE" w:rsidRPr="00235607" w:rsidRDefault="47DC00BE" w:rsidP="47DC00BE">
                <w:pPr>
                  <w:spacing w:after="0"/>
                  <w:jc w:val="center"/>
                  <w:rPr>
                    <w:rFonts w:ascii="Times New Roman" w:hAnsi="Times New Roman"/>
                    <w:sz w:val="18"/>
                    <w:szCs w:val="18"/>
                  </w:rPr>
                </w:pPr>
                <w:r w:rsidRPr="00235607">
                  <w:rPr>
                    <w:rFonts w:ascii="Times New Roman" w:eastAsia="Times New Roman" w:hAnsi="Times New Roman"/>
                    <w:b/>
                    <w:color w:val="000000" w:themeColor="text1"/>
                    <w:sz w:val="18"/>
                    <w:szCs w:val="18"/>
                  </w:rPr>
                  <w:t>DESCRIPCIÓN</w:t>
                </w:r>
              </w:p>
            </w:tc>
            <w:tc>
              <w:tcPr>
                <w:tcW w:w="869" w:type="pct"/>
                <w:tcMar>
                  <w:top w:w="15" w:type="dxa"/>
                  <w:left w:w="15" w:type="dxa"/>
                  <w:right w:w="15" w:type="dxa"/>
                </w:tcMar>
                <w:vAlign w:val="center"/>
              </w:tcPr>
              <w:p w14:paraId="6CB3C7FE" w14:textId="77777777" w:rsidR="00247568" w:rsidRPr="00235607" w:rsidRDefault="47DC00BE" w:rsidP="47DC00BE">
                <w:pPr>
                  <w:spacing w:after="0"/>
                  <w:jc w:val="center"/>
                  <w:rPr>
                    <w:rFonts w:ascii="Times New Roman" w:eastAsia="Times New Roman" w:hAnsi="Times New Roman"/>
                    <w:b/>
                    <w:color w:val="000000" w:themeColor="text1"/>
                    <w:sz w:val="18"/>
                    <w:szCs w:val="18"/>
                  </w:rPr>
                </w:pPr>
                <w:r w:rsidRPr="00235607">
                  <w:rPr>
                    <w:rFonts w:ascii="Times New Roman" w:eastAsia="Times New Roman" w:hAnsi="Times New Roman"/>
                    <w:b/>
                    <w:color w:val="000000" w:themeColor="text1"/>
                    <w:sz w:val="18"/>
                    <w:szCs w:val="18"/>
                  </w:rPr>
                  <w:t xml:space="preserve">PCI </w:t>
                </w:r>
              </w:p>
              <w:p w14:paraId="20564463" w14:textId="3ED78270" w:rsidR="47DC00BE" w:rsidRPr="00235607" w:rsidRDefault="47DC00BE" w:rsidP="47DC00BE">
                <w:pPr>
                  <w:spacing w:after="0"/>
                  <w:jc w:val="center"/>
                  <w:rPr>
                    <w:rFonts w:ascii="Times New Roman" w:hAnsi="Times New Roman"/>
                    <w:sz w:val="18"/>
                    <w:szCs w:val="18"/>
                  </w:rPr>
                </w:pPr>
                <w:r w:rsidRPr="00235607">
                  <w:rPr>
                    <w:rFonts w:ascii="Times New Roman" w:eastAsia="Times New Roman" w:hAnsi="Times New Roman"/>
                    <w:b/>
                    <w:color w:val="000000" w:themeColor="text1"/>
                    <w:sz w:val="18"/>
                    <w:szCs w:val="18"/>
                  </w:rPr>
                  <w:t>RELACIONADA</w:t>
                </w:r>
              </w:p>
            </w:tc>
            <w:tc>
              <w:tcPr>
                <w:tcW w:w="2085" w:type="pct"/>
                <w:tcMar>
                  <w:top w:w="15" w:type="dxa"/>
                  <w:left w:w="15" w:type="dxa"/>
                  <w:right w:w="15" w:type="dxa"/>
                </w:tcMar>
                <w:vAlign w:val="center"/>
              </w:tcPr>
              <w:p w14:paraId="1C34D474" w14:textId="32D8AC28" w:rsidR="47DC00BE" w:rsidRPr="00235607" w:rsidRDefault="47DC00BE" w:rsidP="47DC00BE">
                <w:pPr>
                  <w:spacing w:after="0"/>
                  <w:jc w:val="center"/>
                  <w:rPr>
                    <w:rFonts w:ascii="Times New Roman" w:hAnsi="Times New Roman"/>
                    <w:sz w:val="18"/>
                    <w:szCs w:val="18"/>
                  </w:rPr>
                </w:pPr>
                <w:r w:rsidRPr="00235607">
                  <w:rPr>
                    <w:rFonts w:ascii="Times New Roman" w:eastAsia="Times New Roman" w:hAnsi="Times New Roman"/>
                    <w:b/>
                    <w:color w:val="000000" w:themeColor="text1"/>
                    <w:sz w:val="18"/>
                    <w:szCs w:val="18"/>
                  </w:rPr>
                  <w:t>TERCERO BENEFICIARIO</w:t>
                </w:r>
              </w:p>
            </w:tc>
            <w:tc>
              <w:tcPr>
                <w:tcW w:w="942" w:type="pct"/>
                <w:tcMar>
                  <w:top w:w="15" w:type="dxa"/>
                  <w:left w:w="15" w:type="dxa"/>
                  <w:right w:w="15" w:type="dxa"/>
                </w:tcMar>
                <w:vAlign w:val="center"/>
              </w:tcPr>
              <w:p w14:paraId="55A84668" w14:textId="4EE2C2B4" w:rsidR="47DC00BE" w:rsidRPr="00235607" w:rsidRDefault="47DC00BE" w:rsidP="47DC00BE">
                <w:pPr>
                  <w:spacing w:after="0"/>
                  <w:jc w:val="center"/>
                  <w:rPr>
                    <w:rFonts w:ascii="Times New Roman" w:hAnsi="Times New Roman"/>
                    <w:sz w:val="18"/>
                    <w:szCs w:val="18"/>
                  </w:rPr>
                </w:pPr>
                <w:r w:rsidRPr="00235607">
                  <w:rPr>
                    <w:rFonts w:ascii="Times New Roman" w:eastAsia="Times New Roman" w:hAnsi="Times New Roman"/>
                    <w:b/>
                    <w:color w:val="000000" w:themeColor="text1"/>
                    <w:sz w:val="18"/>
                    <w:szCs w:val="18"/>
                  </w:rPr>
                  <w:t>VALOR</w:t>
                </w:r>
              </w:p>
            </w:tc>
          </w:tr>
          <w:tr w:rsidR="47DC00BE" w:rsidRPr="00235607" w14:paraId="30A49FD1" w14:textId="77777777" w:rsidTr="00C13DBA">
            <w:trPr>
              <w:trHeight w:val="300"/>
            </w:trPr>
            <w:tc>
              <w:tcPr>
                <w:tcW w:w="1104" w:type="pct"/>
                <w:tcMar>
                  <w:top w:w="15" w:type="dxa"/>
                  <w:left w:w="15" w:type="dxa"/>
                  <w:right w:w="15" w:type="dxa"/>
                </w:tcMar>
                <w:vAlign w:val="center"/>
              </w:tcPr>
              <w:p w14:paraId="1FCBC086" w14:textId="7011BB37" w:rsidR="47DC00BE" w:rsidRPr="00235607" w:rsidRDefault="47DC00BE" w:rsidP="004E6101">
                <w:pPr>
                  <w:spacing w:after="0"/>
                  <w:rPr>
                    <w:rFonts w:ascii="Times New Roman" w:hAnsi="Times New Roman"/>
                    <w:sz w:val="18"/>
                    <w:szCs w:val="18"/>
                  </w:rPr>
                </w:pPr>
                <w:r w:rsidRPr="00235607">
                  <w:rPr>
                    <w:rFonts w:ascii="Times New Roman" w:eastAsia="Times New Roman" w:hAnsi="Times New Roman"/>
                    <w:color w:val="000000" w:themeColor="text1"/>
                    <w:sz w:val="18"/>
                    <w:szCs w:val="18"/>
                  </w:rPr>
                  <w:t>Funcionamiento</w:t>
                </w:r>
              </w:p>
            </w:tc>
            <w:tc>
              <w:tcPr>
                <w:tcW w:w="869" w:type="pct"/>
                <w:tcMar>
                  <w:top w:w="15" w:type="dxa"/>
                  <w:left w:w="15" w:type="dxa"/>
                  <w:right w:w="15" w:type="dxa"/>
                </w:tcMar>
                <w:vAlign w:val="center"/>
              </w:tcPr>
              <w:p w14:paraId="434A4ABD" w14:textId="391F323C" w:rsidR="47DC00BE" w:rsidRPr="00235607" w:rsidRDefault="47DC00BE" w:rsidP="47DC00BE">
                <w:pPr>
                  <w:spacing w:after="0"/>
                  <w:jc w:val="center"/>
                  <w:rPr>
                    <w:rFonts w:ascii="Times New Roman" w:hAnsi="Times New Roman"/>
                    <w:sz w:val="18"/>
                    <w:szCs w:val="18"/>
                  </w:rPr>
                </w:pPr>
                <w:r w:rsidRPr="00235607">
                  <w:rPr>
                    <w:rFonts w:ascii="Times New Roman" w:eastAsia="Times New Roman" w:hAnsi="Times New Roman"/>
                    <w:color w:val="000000" w:themeColor="text1"/>
                    <w:sz w:val="18"/>
                    <w:szCs w:val="18"/>
                  </w:rPr>
                  <w:t>13-01-01-DT</w:t>
                </w:r>
              </w:p>
            </w:tc>
            <w:tc>
              <w:tcPr>
                <w:tcW w:w="2085" w:type="pct"/>
                <w:tcMar>
                  <w:top w:w="15" w:type="dxa"/>
                  <w:left w:w="15" w:type="dxa"/>
                  <w:right w:w="15" w:type="dxa"/>
                </w:tcMar>
                <w:vAlign w:val="center"/>
              </w:tcPr>
              <w:p w14:paraId="379412A2" w14:textId="4E7B05F6" w:rsidR="47DC00BE" w:rsidRPr="00235607" w:rsidRDefault="47DC00BE" w:rsidP="47DC00BE">
                <w:pPr>
                  <w:spacing w:after="0"/>
                  <w:rPr>
                    <w:rFonts w:ascii="Times New Roman" w:hAnsi="Times New Roman"/>
                    <w:sz w:val="18"/>
                    <w:szCs w:val="18"/>
                  </w:rPr>
                </w:pPr>
                <w:r w:rsidRPr="00235607">
                  <w:rPr>
                    <w:rFonts w:ascii="Times New Roman" w:eastAsia="Times New Roman" w:hAnsi="Times New Roman"/>
                    <w:color w:val="000000" w:themeColor="text1"/>
                    <w:sz w:val="18"/>
                    <w:szCs w:val="18"/>
                  </w:rPr>
                  <w:t>DIRECCION TESORO NACION DGCPTN</w:t>
                </w:r>
              </w:p>
            </w:tc>
            <w:tc>
              <w:tcPr>
                <w:tcW w:w="942" w:type="pct"/>
                <w:tcMar>
                  <w:top w:w="15" w:type="dxa"/>
                  <w:left w:w="15" w:type="dxa"/>
                  <w:right w:w="15" w:type="dxa"/>
                </w:tcMar>
                <w:vAlign w:val="center"/>
              </w:tcPr>
              <w:p w14:paraId="4C566385" w14:textId="1000C892" w:rsidR="47DC00BE" w:rsidRPr="00235607" w:rsidRDefault="47DC00BE" w:rsidP="45A1D5E2">
                <w:pPr>
                  <w:spacing w:after="0"/>
                  <w:jc w:val="right"/>
                  <w:rPr>
                    <w:rFonts w:ascii="Times New Roman" w:hAnsi="Times New Roman"/>
                    <w:sz w:val="18"/>
                    <w:szCs w:val="18"/>
                  </w:rPr>
                </w:pPr>
                <w:r w:rsidRPr="00235607">
                  <w:rPr>
                    <w:rFonts w:ascii="Times New Roman" w:eastAsia="Times New Roman" w:hAnsi="Times New Roman"/>
                    <w:color w:val="000000" w:themeColor="text1"/>
                    <w:sz w:val="18"/>
                    <w:szCs w:val="18"/>
                  </w:rPr>
                  <w:t>6.005.793.573</w:t>
                </w:r>
              </w:p>
            </w:tc>
          </w:tr>
          <w:tr w:rsidR="47DC00BE" w:rsidRPr="00235607" w14:paraId="55C43ED7" w14:textId="77777777" w:rsidTr="00C13DBA">
            <w:trPr>
              <w:trHeight w:val="300"/>
            </w:trPr>
            <w:tc>
              <w:tcPr>
                <w:tcW w:w="1104" w:type="pct"/>
                <w:tcMar>
                  <w:top w:w="15" w:type="dxa"/>
                  <w:left w:w="15" w:type="dxa"/>
                  <w:right w:w="15" w:type="dxa"/>
                </w:tcMar>
                <w:vAlign w:val="center"/>
              </w:tcPr>
              <w:p w14:paraId="77274672" w14:textId="747DEAE8" w:rsidR="47DC00BE" w:rsidRPr="00235607" w:rsidRDefault="47DC00BE" w:rsidP="004E6101">
                <w:pPr>
                  <w:spacing w:after="0"/>
                  <w:rPr>
                    <w:rFonts w:ascii="Times New Roman" w:hAnsi="Times New Roman"/>
                    <w:sz w:val="18"/>
                    <w:szCs w:val="18"/>
                  </w:rPr>
                </w:pPr>
                <w:r w:rsidRPr="00235607">
                  <w:rPr>
                    <w:rFonts w:ascii="Times New Roman" w:eastAsia="Times New Roman" w:hAnsi="Times New Roman"/>
                    <w:color w:val="000000" w:themeColor="text1"/>
                    <w:sz w:val="18"/>
                    <w:szCs w:val="18"/>
                  </w:rPr>
                  <w:t>Servicio de la deuda</w:t>
                </w:r>
              </w:p>
            </w:tc>
            <w:tc>
              <w:tcPr>
                <w:tcW w:w="869" w:type="pct"/>
                <w:tcMar>
                  <w:top w:w="15" w:type="dxa"/>
                  <w:left w:w="15" w:type="dxa"/>
                  <w:right w:w="15" w:type="dxa"/>
                </w:tcMar>
                <w:vAlign w:val="center"/>
              </w:tcPr>
              <w:p w14:paraId="636A493E" w14:textId="25385D4A" w:rsidR="47DC00BE" w:rsidRPr="00235607" w:rsidRDefault="47DC00BE" w:rsidP="47DC00BE">
                <w:pPr>
                  <w:spacing w:after="0"/>
                  <w:jc w:val="center"/>
                  <w:rPr>
                    <w:rFonts w:ascii="Times New Roman" w:hAnsi="Times New Roman"/>
                    <w:sz w:val="18"/>
                    <w:szCs w:val="18"/>
                  </w:rPr>
                </w:pPr>
                <w:r w:rsidRPr="00235607">
                  <w:rPr>
                    <w:rFonts w:ascii="Times New Roman" w:eastAsia="Times New Roman" w:hAnsi="Times New Roman"/>
                    <w:color w:val="000000" w:themeColor="text1"/>
                    <w:sz w:val="18"/>
                    <w:szCs w:val="18"/>
                  </w:rPr>
                  <w:t>13-01-01-DT</w:t>
                </w:r>
              </w:p>
            </w:tc>
            <w:tc>
              <w:tcPr>
                <w:tcW w:w="2085" w:type="pct"/>
                <w:tcMar>
                  <w:top w:w="15" w:type="dxa"/>
                  <w:left w:w="15" w:type="dxa"/>
                  <w:right w:w="15" w:type="dxa"/>
                </w:tcMar>
                <w:vAlign w:val="center"/>
              </w:tcPr>
              <w:p w14:paraId="0F163DAD" w14:textId="236EDCE5" w:rsidR="47DC00BE" w:rsidRPr="00235607" w:rsidRDefault="47DC00BE" w:rsidP="47DC00BE">
                <w:pPr>
                  <w:spacing w:after="0"/>
                  <w:rPr>
                    <w:rFonts w:ascii="Times New Roman" w:hAnsi="Times New Roman"/>
                    <w:sz w:val="18"/>
                    <w:szCs w:val="18"/>
                  </w:rPr>
                </w:pPr>
                <w:r w:rsidRPr="00235607">
                  <w:rPr>
                    <w:rFonts w:ascii="Times New Roman" w:eastAsia="Times New Roman" w:hAnsi="Times New Roman"/>
                    <w:color w:val="000000" w:themeColor="text1"/>
                    <w:sz w:val="18"/>
                    <w:szCs w:val="18"/>
                  </w:rPr>
                  <w:t>DIRECCION TESORO NACION DGCPTN</w:t>
                </w:r>
              </w:p>
            </w:tc>
            <w:tc>
              <w:tcPr>
                <w:tcW w:w="942" w:type="pct"/>
                <w:tcMar>
                  <w:top w:w="15" w:type="dxa"/>
                  <w:left w:w="15" w:type="dxa"/>
                  <w:right w:w="15" w:type="dxa"/>
                </w:tcMar>
                <w:vAlign w:val="center"/>
              </w:tcPr>
              <w:p w14:paraId="32E807D7" w14:textId="24EBDFBC" w:rsidR="47DC00BE" w:rsidRPr="00235607" w:rsidRDefault="47DC00BE" w:rsidP="45A1D5E2">
                <w:pPr>
                  <w:spacing w:after="0"/>
                  <w:jc w:val="right"/>
                  <w:rPr>
                    <w:rFonts w:ascii="Times New Roman" w:hAnsi="Times New Roman"/>
                    <w:sz w:val="18"/>
                    <w:szCs w:val="18"/>
                  </w:rPr>
                </w:pPr>
                <w:r w:rsidRPr="00235607">
                  <w:rPr>
                    <w:rFonts w:ascii="Times New Roman" w:eastAsia="Times New Roman" w:hAnsi="Times New Roman"/>
                    <w:color w:val="000000" w:themeColor="text1"/>
                    <w:sz w:val="18"/>
                    <w:szCs w:val="18"/>
                  </w:rPr>
                  <w:t>3.077.909.803.112</w:t>
                </w:r>
              </w:p>
            </w:tc>
          </w:tr>
          <w:tr w:rsidR="47DC00BE" w:rsidRPr="00235607" w14:paraId="504D8A6A" w14:textId="77777777" w:rsidTr="00C13DBA">
            <w:trPr>
              <w:trHeight w:val="300"/>
            </w:trPr>
            <w:tc>
              <w:tcPr>
                <w:tcW w:w="1104" w:type="pct"/>
                <w:tcMar>
                  <w:top w:w="15" w:type="dxa"/>
                  <w:left w:w="15" w:type="dxa"/>
                  <w:right w:w="15" w:type="dxa"/>
                </w:tcMar>
                <w:vAlign w:val="center"/>
              </w:tcPr>
              <w:p w14:paraId="75E27B4B" w14:textId="3DA561FE" w:rsidR="47DC00BE" w:rsidRPr="00235607" w:rsidRDefault="47DC00BE" w:rsidP="004E6101">
                <w:pPr>
                  <w:spacing w:after="0"/>
                  <w:rPr>
                    <w:rFonts w:ascii="Times New Roman" w:hAnsi="Times New Roman"/>
                    <w:sz w:val="18"/>
                    <w:szCs w:val="18"/>
                  </w:rPr>
                </w:pPr>
                <w:r w:rsidRPr="00235607">
                  <w:rPr>
                    <w:rFonts w:ascii="Times New Roman" w:eastAsia="Times New Roman" w:hAnsi="Times New Roman"/>
                    <w:color w:val="000000" w:themeColor="text1"/>
                    <w:sz w:val="18"/>
                    <w:szCs w:val="18"/>
                  </w:rPr>
                  <w:t>Inversión</w:t>
                </w:r>
              </w:p>
            </w:tc>
            <w:tc>
              <w:tcPr>
                <w:tcW w:w="869" w:type="pct"/>
                <w:tcMar>
                  <w:top w:w="15" w:type="dxa"/>
                  <w:left w:w="15" w:type="dxa"/>
                  <w:right w:w="15" w:type="dxa"/>
                </w:tcMar>
                <w:vAlign w:val="center"/>
              </w:tcPr>
              <w:p w14:paraId="33C033D1" w14:textId="01824494" w:rsidR="47DC00BE" w:rsidRPr="00235607" w:rsidRDefault="47DC00BE" w:rsidP="47DC00BE">
                <w:pPr>
                  <w:spacing w:after="0"/>
                  <w:jc w:val="center"/>
                  <w:rPr>
                    <w:rFonts w:ascii="Times New Roman" w:hAnsi="Times New Roman"/>
                    <w:sz w:val="18"/>
                    <w:szCs w:val="18"/>
                  </w:rPr>
                </w:pPr>
                <w:r w:rsidRPr="00235607">
                  <w:rPr>
                    <w:rFonts w:ascii="Times New Roman" w:eastAsia="Times New Roman" w:hAnsi="Times New Roman"/>
                    <w:color w:val="000000" w:themeColor="text1"/>
                    <w:sz w:val="18"/>
                    <w:szCs w:val="18"/>
                  </w:rPr>
                  <w:t>13-01-01-DT</w:t>
                </w:r>
              </w:p>
            </w:tc>
            <w:tc>
              <w:tcPr>
                <w:tcW w:w="2085" w:type="pct"/>
                <w:tcMar>
                  <w:top w:w="15" w:type="dxa"/>
                  <w:left w:w="15" w:type="dxa"/>
                  <w:right w:w="15" w:type="dxa"/>
                </w:tcMar>
                <w:vAlign w:val="center"/>
              </w:tcPr>
              <w:p w14:paraId="4C49EC4E" w14:textId="20B063E3" w:rsidR="47DC00BE" w:rsidRPr="00235607" w:rsidRDefault="47DC00BE" w:rsidP="47DC00BE">
                <w:pPr>
                  <w:spacing w:after="0"/>
                  <w:rPr>
                    <w:rFonts w:ascii="Times New Roman" w:hAnsi="Times New Roman"/>
                    <w:sz w:val="18"/>
                    <w:szCs w:val="18"/>
                  </w:rPr>
                </w:pPr>
                <w:r w:rsidRPr="00235607">
                  <w:rPr>
                    <w:rFonts w:ascii="Times New Roman" w:eastAsia="Times New Roman" w:hAnsi="Times New Roman"/>
                    <w:color w:val="000000" w:themeColor="text1"/>
                    <w:sz w:val="18"/>
                    <w:szCs w:val="18"/>
                  </w:rPr>
                  <w:t>DIRECCION TESORO NACION DGCPTN</w:t>
                </w:r>
              </w:p>
            </w:tc>
            <w:tc>
              <w:tcPr>
                <w:tcW w:w="942" w:type="pct"/>
                <w:tcMar>
                  <w:top w:w="15" w:type="dxa"/>
                  <w:left w:w="15" w:type="dxa"/>
                  <w:right w:w="15" w:type="dxa"/>
                </w:tcMar>
                <w:vAlign w:val="center"/>
              </w:tcPr>
              <w:p w14:paraId="7D29E47F" w14:textId="21F6C0B9" w:rsidR="47DC00BE" w:rsidRPr="00235607" w:rsidRDefault="47DC00BE" w:rsidP="45A1D5E2">
                <w:pPr>
                  <w:spacing w:after="0"/>
                  <w:jc w:val="right"/>
                  <w:rPr>
                    <w:rFonts w:ascii="Times New Roman" w:hAnsi="Times New Roman"/>
                    <w:sz w:val="18"/>
                    <w:szCs w:val="18"/>
                  </w:rPr>
                </w:pPr>
                <w:r w:rsidRPr="00235607">
                  <w:rPr>
                    <w:rFonts w:ascii="Times New Roman" w:eastAsia="Times New Roman" w:hAnsi="Times New Roman"/>
                    <w:color w:val="000000" w:themeColor="text1"/>
                    <w:sz w:val="18"/>
                    <w:szCs w:val="18"/>
                  </w:rPr>
                  <w:t>5.142.670.842.635</w:t>
                </w:r>
              </w:p>
            </w:tc>
          </w:tr>
          <w:tr w:rsidR="47DC00BE" w:rsidRPr="00235607" w14:paraId="6B6055DD" w14:textId="77777777" w:rsidTr="00C13DBA">
            <w:trPr>
              <w:trHeight w:val="480"/>
            </w:trPr>
            <w:tc>
              <w:tcPr>
                <w:tcW w:w="1104" w:type="pct"/>
                <w:tcMar>
                  <w:top w:w="15" w:type="dxa"/>
                  <w:left w:w="15" w:type="dxa"/>
                  <w:right w:w="15" w:type="dxa"/>
                </w:tcMar>
                <w:vAlign w:val="center"/>
              </w:tcPr>
              <w:p w14:paraId="3395291E" w14:textId="453C2D33" w:rsidR="47DC00BE" w:rsidRPr="00235607" w:rsidRDefault="47DC00BE" w:rsidP="004E6101">
                <w:pPr>
                  <w:spacing w:after="0"/>
                  <w:rPr>
                    <w:rFonts w:ascii="Times New Roman" w:hAnsi="Times New Roman"/>
                    <w:sz w:val="18"/>
                    <w:szCs w:val="18"/>
                  </w:rPr>
                </w:pPr>
                <w:r w:rsidRPr="00235607">
                  <w:rPr>
                    <w:rFonts w:ascii="Times New Roman" w:eastAsia="Times New Roman" w:hAnsi="Times New Roman"/>
                    <w:color w:val="000000" w:themeColor="text1"/>
                    <w:sz w:val="18"/>
                    <w:szCs w:val="18"/>
                  </w:rPr>
                  <w:t>Cruce de cuentas</w:t>
                </w:r>
              </w:p>
            </w:tc>
            <w:tc>
              <w:tcPr>
                <w:tcW w:w="869" w:type="pct"/>
                <w:tcMar>
                  <w:top w:w="15" w:type="dxa"/>
                  <w:left w:w="15" w:type="dxa"/>
                  <w:right w:w="15" w:type="dxa"/>
                </w:tcMar>
                <w:vAlign w:val="center"/>
              </w:tcPr>
              <w:p w14:paraId="419C5C30" w14:textId="7C434E29" w:rsidR="47DC00BE" w:rsidRPr="00235607" w:rsidRDefault="47DC00BE" w:rsidP="47DC00BE">
                <w:pPr>
                  <w:spacing w:after="0"/>
                  <w:jc w:val="center"/>
                  <w:rPr>
                    <w:rFonts w:ascii="Times New Roman" w:hAnsi="Times New Roman"/>
                    <w:sz w:val="18"/>
                    <w:szCs w:val="18"/>
                  </w:rPr>
                </w:pPr>
                <w:r w:rsidRPr="00235607">
                  <w:rPr>
                    <w:rFonts w:ascii="Times New Roman" w:eastAsia="Times New Roman" w:hAnsi="Times New Roman"/>
                    <w:color w:val="000000" w:themeColor="text1"/>
                    <w:sz w:val="18"/>
                    <w:szCs w:val="18"/>
                  </w:rPr>
                  <w:t>13-01-13</w:t>
                </w:r>
              </w:p>
            </w:tc>
            <w:tc>
              <w:tcPr>
                <w:tcW w:w="2085" w:type="pct"/>
                <w:tcMar>
                  <w:top w:w="15" w:type="dxa"/>
                  <w:left w:w="15" w:type="dxa"/>
                  <w:right w:w="15" w:type="dxa"/>
                </w:tcMar>
                <w:vAlign w:val="center"/>
              </w:tcPr>
              <w:p w14:paraId="212ECB64" w14:textId="57EF4E86" w:rsidR="47DC00BE" w:rsidRPr="00235607" w:rsidRDefault="47DC00BE" w:rsidP="47DC00BE">
                <w:pPr>
                  <w:spacing w:after="0"/>
                  <w:rPr>
                    <w:rFonts w:ascii="Times New Roman" w:hAnsi="Times New Roman"/>
                    <w:sz w:val="18"/>
                    <w:szCs w:val="18"/>
                  </w:rPr>
                </w:pPr>
                <w:r w:rsidRPr="00235607">
                  <w:rPr>
                    <w:rFonts w:ascii="Times New Roman" w:eastAsia="Times New Roman" w:hAnsi="Times New Roman"/>
                    <w:color w:val="000000" w:themeColor="text1"/>
                    <w:sz w:val="18"/>
                    <w:szCs w:val="18"/>
                  </w:rPr>
                  <w:t>UNIDAD ADMINISTRATIVA ESPECIAL DIRECCION DE IMPUESTOS Y ADUANAS NACIONALES</w:t>
                </w:r>
              </w:p>
            </w:tc>
            <w:tc>
              <w:tcPr>
                <w:tcW w:w="942" w:type="pct"/>
                <w:tcMar>
                  <w:top w:w="15" w:type="dxa"/>
                  <w:left w:w="15" w:type="dxa"/>
                  <w:right w:w="15" w:type="dxa"/>
                </w:tcMar>
                <w:vAlign w:val="center"/>
              </w:tcPr>
              <w:p w14:paraId="42970257" w14:textId="6AD61E0E" w:rsidR="47DC00BE" w:rsidRPr="00235607" w:rsidRDefault="47DC00BE" w:rsidP="45A1D5E2">
                <w:pPr>
                  <w:spacing w:after="0"/>
                  <w:jc w:val="right"/>
                  <w:rPr>
                    <w:rFonts w:ascii="Times New Roman" w:hAnsi="Times New Roman"/>
                    <w:sz w:val="18"/>
                    <w:szCs w:val="18"/>
                  </w:rPr>
                </w:pPr>
                <w:r w:rsidRPr="00235607">
                  <w:rPr>
                    <w:rFonts w:ascii="Times New Roman" w:eastAsia="Times New Roman" w:hAnsi="Times New Roman"/>
                    <w:color w:val="000000" w:themeColor="text1"/>
                    <w:sz w:val="18"/>
                    <w:szCs w:val="18"/>
                  </w:rPr>
                  <w:t>9.861.925.161</w:t>
                </w:r>
              </w:p>
            </w:tc>
          </w:tr>
          <w:tr w:rsidR="47DC00BE" w:rsidRPr="00235607" w14:paraId="315F9C15" w14:textId="77777777" w:rsidTr="00C13DBA">
            <w:trPr>
              <w:trHeight w:val="450"/>
            </w:trPr>
            <w:tc>
              <w:tcPr>
                <w:tcW w:w="1104" w:type="pct"/>
                <w:tcMar>
                  <w:top w:w="15" w:type="dxa"/>
                  <w:left w:w="15" w:type="dxa"/>
                  <w:right w:w="15" w:type="dxa"/>
                </w:tcMar>
                <w:vAlign w:val="center"/>
              </w:tcPr>
              <w:p w14:paraId="2446E767" w14:textId="56EFAD82" w:rsidR="47DC00BE" w:rsidRPr="00235607" w:rsidRDefault="47DC00BE" w:rsidP="004E6101">
                <w:pPr>
                  <w:spacing w:after="0"/>
                  <w:rPr>
                    <w:rFonts w:ascii="Times New Roman" w:hAnsi="Times New Roman"/>
                    <w:sz w:val="18"/>
                    <w:szCs w:val="18"/>
                  </w:rPr>
                </w:pPr>
                <w:r w:rsidRPr="00235607">
                  <w:rPr>
                    <w:rFonts w:ascii="Times New Roman" w:eastAsia="Times New Roman" w:hAnsi="Times New Roman"/>
                    <w:color w:val="000000" w:themeColor="text1"/>
                    <w:sz w:val="18"/>
                    <w:szCs w:val="18"/>
                  </w:rPr>
                  <w:t>Otras operaciones sin flujo de efectivo</w:t>
                </w:r>
              </w:p>
            </w:tc>
            <w:tc>
              <w:tcPr>
                <w:tcW w:w="869" w:type="pct"/>
                <w:tcMar>
                  <w:top w:w="15" w:type="dxa"/>
                  <w:left w:w="15" w:type="dxa"/>
                  <w:right w:w="15" w:type="dxa"/>
                </w:tcMar>
                <w:vAlign w:val="center"/>
              </w:tcPr>
              <w:p w14:paraId="78A57B54" w14:textId="5526EC12" w:rsidR="47DC00BE" w:rsidRPr="00235607" w:rsidRDefault="47DC00BE" w:rsidP="47DC00BE">
                <w:pPr>
                  <w:spacing w:after="0"/>
                  <w:jc w:val="center"/>
                  <w:rPr>
                    <w:rFonts w:ascii="Times New Roman" w:hAnsi="Times New Roman"/>
                    <w:sz w:val="18"/>
                    <w:szCs w:val="18"/>
                  </w:rPr>
                </w:pPr>
                <w:r w:rsidRPr="00235607">
                  <w:rPr>
                    <w:rFonts w:ascii="Times New Roman" w:eastAsia="Times New Roman" w:hAnsi="Times New Roman"/>
                    <w:color w:val="000000" w:themeColor="text1"/>
                    <w:sz w:val="18"/>
                    <w:szCs w:val="18"/>
                  </w:rPr>
                  <w:t>13-01-01-DT</w:t>
                </w:r>
              </w:p>
            </w:tc>
            <w:tc>
              <w:tcPr>
                <w:tcW w:w="2085" w:type="pct"/>
                <w:tcMar>
                  <w:top w:w="15" w:type="dxa"/>
                  <w:left w:w="15" w:type="dxa"/>
                  <w:right w:w="15" w:type="dxa"/>
                </w:tcMar>
                <w:vAlign w:val="center"/>
              </w:tcPr>
              <w:p w14:paraId="63FDA700" w14:textId="61C140AC" w:rsidR="47DC00BE" w:rsidRPr="00235607" w:rsidRDefault="47DC00BE" w:rsidP="47DC00BE">
                <w:pPr>
                  <w:spacing w:after="0"/>
                  <w:rPr>
                    <w:rFonts w:ascii="Times New Roman" w:hAnsi="Times New Roman"/>
                    <w:sz w:val="18"/>
                    <w:szCs w:val="18"/>
                  </w:rPr>
                </w:pPr>
                <w:r w:rsidRPr="00235607">
                  <w:rPr>
                    <w:rFonts w:ascii="Times New Roman" w:eastAsia="Times New Roman" w:hAnsi="Times New Roman"/>
                    <w:color w:val="000000" w:themeColor="text1"/>
                    <w:sz w:val="18"/>
                    <w:szCs w:val="18"/>
                  </w:rPr>
                  <w:t>DIRECCION TESORO NACION DGCPTN</w:t>
                </w:r>
              </w:p>
            </w:tc>
            <w:tc>
              <w:tcPr>
                <w:tcW w:w="942" w:type="pct"/>
                <w:tcMar>
                  <w:top w:w="15" w:type="dxa"/>
                  <w:left w:w="15" w:type="dxa"/>
                  <w:right w:w="15" w:type="dxa"/>
                </w:tcMar>
                <w:vAlign w:val="center"/>
              </w:tcPr>
              <w:p w14:paraId="65856524" w14:textId="3FCB5C0A" w:rsidR="47DC00BE" w:rsidRPr="00235607" w:rsidRDefault="47DC00BE" w:rsidP="45A1D5E2">
                <w:pPr>
                  <w:spacing w:after="0"/>
                  <w:jc w:val="right"/>
                  <w:rPr>
                    <w:rFonts w:ascii="Times New Roman" w:hAnsi="Times New Roman"/>
                    <w:sz w:val="18"/>
                    <w:szCs w:val="18"/>
                  </w:rPr>
                </w:pPr>
                <w:r w:rsidRPr="00235607">
                  <w:rPr>
                    <w:rFonts w:ascii="Times New Roman" w:eastAsia="Times New Roman" w:hAnsi="Times New Roman"/>
                    <w:color w:val="000000" w:themeColor="text1"/>
                    <w:sz w:val="18"/>
                    <w:szCs w:val="18"/>
                  </w:rPr>
                  <w:t>142.092.023.707</w:t>
                </w:r>
              </w:p>
            </w:tc>
          </w:tr>
          <w:tr w:rsidR="47DC00BE" w:rsidRPr="00235607" w14:paraId="6BA9FC63" w14:textId="77777777" w:rsidTr="00DE0481">
            <w:trPr>
              <w:trHeight w:val="300"/>
            </w:trPr>
            <w:tc>
              <w:tcPr>
                <w:tcW w:w="4058" w:type="pct"/>
                <w:gridSpan w:val="3"/>
                <w:tcMar>
                  <w:top w:w="15" w:type="dxa"/>
                  <w:left w:w="15" w:type="dxa"/>
                  <w:right w:w="15" w:type="dxa"/>
                </w:tcMar>
                <w:vAlign w:val="center"/>
              </w:tcPr>
              <w:p w14:paraId="4F89CC64" w14:textId="4C661F9F" w:rsidR="47DC00BE" w:rsidRPr="00235607" w:rsidRDefault="47DC00BE" w:rsidP="45A1D5E2">
                <w:pPr>
                  <w:spacing w:after="0"/>
                  <w:rPr>
                    <w:rFonts w:ascii="Times New Roman" w:eastAsia="Times New Roman" w:hAnsi="Times New Roman"/>
                    <w:b/>
                    <w:color w:val="000000" w:themeColor="text1"/>
                    <w:sz w:val="18"/>
                    <w:szCs w:val="18"/>
                  </w:rPr>
                </w:pPr>
                <w:r w:rsidRPr="00235607">
                  <w:rPr>
                    <w:rFonts w:ascii="Times New Roman" w:eastAsia="Times New Roman" w:hAnsi="Times New Roman"/>
                    <w:b/>
                    <w:color w:val="000000" w:themeColor="text1"/>
                    <w:sz w:val="18"/>
                    <w:szCs w:val="18"/>
                  </w:rPr>
                  <w:t>TOTAL</w:t>
                </w:r>
              </w:p>
            </w:tc>
            <w:tc>
              <w:tcPr>
                <w:tcW w:w="942" w:type="pct"/>
                <w:tcMar>
                  <w:top w:w="15" w:type="dxa"/>
                  <w:left w:w="15" w:type="dxa"/>
                  <w:right w:w="15" w:type="dxa"/>
                </w:tcMar>
                <w:vAlign w:val="center"/>
              </w:tcPr>
              <w:p w14:paraId="3DA5E8FD" w14:textId="13E4F66A" w:rsidR="47DC00BE" w:rsidRPr="00235607" w:rsidRDefault="47DC00BE" w:rsidP="45A1D5E2">
                <w:pPr>
                  <w:spacing w:after="0"/>
                  <w:jc w:val="right"/>
                  <w:rPr>
                    <w:rFonts w:ascii="Times New Roman" w:hAnsi="Times New Roman"/>
                    <w:sz w:val="18"/>
                    <w:szCs w:val="18"/>
                  </w:rPr>
                </w:pPr>
                <w:r w:rsidRPr="00235607">
                  <w:rPr>
                    <w:rFonts w:ascii="Times New Roman" w:eastAsia="Times New Roman" w:hAnsi="Times New Roman"/>
                    <w:b/>
                    <w:color w:val="000000" w:themeColor="text1"/>
                    <w:sz w:val="18"/>
                    <w:szCs w:val="18"/>
                  </w:rPr>
                  <w:t>8.378.540.388.188</w:t>
                </w:r>
              </w:p>
            </w:tc>
          </w:tr>
        </w:tbl>
        <w:p w14:paraId="0D37C7FC" w14:textId="063B9060" w:rsidR="003B1A44" w:rsidRPr="00931DCE" w:rsidRDefault="00AD2026" w:rsidP="003B1A44">
          <w:pPr>
            <w:spacing w:after="0" w:line="240" w:lineRule="auto"/>
            <w:jc w:val="both"/>
            <w:rPr>
              <w:rFonts w:ascii="Times New Roman" w:hAnsi="Times New Roman"/>
              <w:sz w:val="14"/>
              <w:szCs w:val="14"/>
            </w:rPr>
          </w:pPr>
          <w:r w:rsidRPr="00931DCE">
            <w:rPr>
              <w:rFonts w:ascii="Times New Roman" w:hAnsi="Times New Roman"/>
              <w:sz w:val="14"/>
              <w:szCs w:val="14"/>
            </w:rPr>
            <w:t>Cifras expresadas en pesos</w:t>
          </w:r>
        </w:p>
        <w:p w14:paraId="3BB98EFA" w14:textId="220BCC6A" w:rsidR="003B1A44" w:rsidRPr="00931DCE" w:rsidRDefault="003B1A44" w:rsidP="003B1A44">
          <w:pPr>
            <w:spacing w:after="0" w:line="240" w:lineRule="auto"/>
            <w:jc w:val="both"/>
            <w:rPr>
              <w:rFonts w:ascii="Times New Roman" w:hAnsi="Times New Roman"/>
              <w:sz w:val="14"/>
              <w:szCs w:val="14"/>
            </w:rPr>
          </w:pPr>
        </w:p>
        <w:p w14:paraId="6AC8D7DE" w14:textId="2D4306CA" w:rsidR="28B72CAC" w:rsidRDefault="28B72CAC" w:rsidP="45A1D5E2">
          <w:pPr>
            <w:spacing w:after="0" w:line="240" w:lineRule="auto"/>
            <w:jc w:val="both"/>
            <w:rPr>
              <w:rFonts w:ascii="Times New Roman" w:hAnsi="Times New Roman"/>
              <w:sz w:val="24"/>
              <w:szCs w:val="24"/>
            </w:rPr>
          </w:pPr>
          <w:r w:rsidRPr="45A1D5E2">
            <w:rPr>
              <w:rFonts w:ascii="Times New Roman" w:hAnsi="Times New Roman"/>
              <w:sz w:val="24"/>
              <w:szCs w:val="24"/>
            </w:rPr>
            <w:t>Los ingresos por funcionamiento por valor de $6.005.793.573, reflejan los recursos recibidos del presupuesto nacional, en la vigencia 202</w:t>
          </w:r>
          <w:r w:rsidR="7B101F8E" w:rsidRPr="45A1D5E2">
            <w:rPr>
              <w:rFonts w:ascii="Times New Roman" w:hAnsi="Times New Roman"/>
              <w:sz w:val="24"/>
              <w:szCs w:val="24"/>
            </w:rPr>
            <w:t>3</w:t>
          </w:r>
          <w:r w:rsidRPr="45A1D5E2">
            <w:rPr>
              <w:rFonts w:ascii="Times New Roman" w:hAnsi="Times New Roman"/>
              <w:sz w:val="24"/>
              <w:szCs w:val="24"/>
            </w:rPr>
            <w:t>, para cubrir las obligaciones previamente constituidas por concepto de sentencias y conciliaciones</w:t>
          </w:r>
        </w:p>
        <w:p w14:paraId="26D05BA8" w14:textId="4DB8A6C7" w:rsidR="45A1D5E2" w:rsidRDefault="45A1D5E2" w:rsidP="45A1D5E2">
          <w:pPr>
            <w:spacing w:after="0" w:line="240" w:lineRule="auto"/>
            <w:jc w:val="both"/>
            <w:rPr>
              <w:rFonts w:ascii="Times New Roman" w:hAnsi="Times New Roman"/>
              <w:sz w:val="24"/>
              <w:szCs w:val="24"/>
            </w:rPr>
          </w:pPr>
        </w:p>
        <w:p w14:paraId="72145FDC" w14:textId="641CC3C7" w:rsidR="45A1D5E2" w:rsidRDefault="6532FA5B" w:rsidP="004E6101">
          <w:pPr>
            <w:spacing w:after="0" w:line="240" w:lineRule="auto"/>
            <w:jc w:val="both"/>
            <w:rPr>
              <w:rFonts w:ascii="Times New Roman" w:hAnsi="Times New Roman"/>
              <w:sz w:val="24"/>
              <w:szCs w:val="24"/>
            </w:rPr>
          </w:pPr>
          <w:r w:rsidRPr="45A1D5E2">
            <w:rPr>
              <w:rFonts w:ascii="Times New Roman" w:hAnsi="Times New Roman"/>
              <w:sz w:val="24"/>
              <w:szCs w:val="24"/>
            </w:rPr>
            <w:t xml:space="preserve">Los ingresos por servicio de la deuda por valor de $3.077.909.803.122. corresponden a los fondeos realizados a FIDUPREVISORA, entidad administradora del Fondo de contingencias para entidades estatales en la Vigencia 2023, los cuales, se encuentra reflejados en </w:t>
          </w:r>
          <w:r w:rsidRPr="45A1D5E2">
            <w:rPr>
              <w:rFonts w:ascii="Times New Roman" w:hAnsi="Times New Roman"/>
              <w:i/>
              <w:iCs/>
              <w:sz w:val="24"/>
              <w:szCs w:val="24"/>
            </w:rPr>
            <w:t>“Depósitos Entregados en Garantía</w:t>
          </w:r>
          <w:r w:rsidRPr="45A1D5E2">
            <w:rPr>
              <w:rFonts w:ascii="Times New Roman" w:hAnsi="Times New Roman"/>
              <w:sz w:val="24"/>
              <w:szCs w:val="24"/>
            </w:rPr>
            <w:t xml:space="preserve">”. </w:t>
          </w:r>
          <w:r w:rsidR="00B72ED6">
            <w:rPr>
              <w:rFonts w:ascii="Times New Roman" w:hAnsi="Times New Roman"/>
              <w:sz w:val="24"/>
              <w:szCs w:val="24"/>
            </w:rPr>
            <w:t>Los</w:t>
          </w:r>
          <w:r w:rsidRPr="45A1D5E2">
            <w:rPr>
              <w:rFonts w:ascii="Times New Roman" w:hAnsi="Times New Roman"/>
              <w:sz w:val="24"/>
              <w:szCs w:val="24"/>
            </w:rPr>
            <w:t xml:space="preserve"> proyectos de concesión que fueron fondeados en la vigencia 2023</w:t>
          </w:r>
          <w:r w:rsidR="00E0053D">
            <w:rPr>
              <w:rFonts w:ascii="Times New Roman" w:hAnsi="Times New Roman"/>
              <w:sz w:val="24"/>
              <w:szCs w:val="24"/>
            </w:rPr>
            <w:t xml:space="preserve"> se evidencian en la Nota 16</w:t>
          </w:r>
          <w:r w:rsidR="004E6101" w:rsidRPr="009A46BB">
            <w:rPr>
              <w:rFonts w:ascii="Times New Roman" w:hAnsi="Times New Roman"/>
              <w:sz w:val="24"/>
              <w:szCs w:val="24"/>
            </w:rPr>
            <w:t>.</w:t>
          </w:r>
        </w:p>
        <w:p w14:paraId="57B137EB" w14:textId="77777777" w:rsidR="45A1D5E2" w:rsidRDefault="45A1D5E2" w:rsidP="45A1D5E2">
          <w:pPr>
            <w:spacing w:after="0" w:line="240" w:lineRule="auto"/>
            <w:jc w:val="both"/>
            <w:rPr>
              <w:rFonts w:ascii="Times New Roman" w:hAnsi="Times New Roman"/>
              <w:sz w:val="14"/>
              <w:szCs w:val="14"/>
              <w:highlight w:val="yellow"/>
            </w:rPr>
          </w:pPr>
        </w:p>
        <w:p w14:paraId="00282459" w14:textId="6D0031E6" w:rsidR="003B1A44" w:rsidRPr="00931DCE" w:rsidRDefault="003B1A44" w:rsidP="003B1A44">
          <w:pPr>
            <w:spacing w:after="0" w:line="240" w:lineRule="auto"/>
            <w:jc w:val="both"/>
            <w:rPr>
              <w:rFonts w:ascii="Times New Roman" w:hAnsi="Times New Roman"/>
              <w:sz w:val="24"/>
              <w:szCs w:val="24"/>
            </w:rPr>
          </w:pPr>
          <w:r w:rsidRPr="00931DCE">
            <w:rPr>
              <w:rFonts w:ascii="Times New Roman" w:hAnsi="Times New Roman"/>
              <w:sz w:val="24"/>
              <w:szCs w:val="24"/>
            </w:rPr>
            <w:t xml:space="preserve">En inversión por valor de </w:t>
          </w:r>
          <w:r w:rsidR="003A4193" w:rsidRPr="00931DCE">
            <w:rPr>
              <w:rFonts w:ascii="Times New Roman" w:hAnsi="Times New Roman"/>
              <w:sz w:val="24"/>
              <w:szCs w:val="24"/>
            </w:rPr>
            <w:t>$</w:t>
          </w:r>
          <w:r w:rsidR="07E3C35F" w:rsidRPr="45A1D5E2">
            <w:rPr>
              <w:rFonts w:ascii="Times New Roman" w:hAnsi="Times New Roman"/>
              <w:sz w:val="24"/>
              <w:szCs w:val="24"/>
            </w:rPr>
            <w:t>5.142.670.842.635</w:t>
          </w:r>
          <w:r w:rsidRPr="00931DCE">
            <w:rPr>
              <w:rFonts w:ascii="Times New Roman" w:hAnsi="Times New Roman"/>
              <w:sz w:val="24"/>
              <w:szCs w:val="24"/>
            </w:rPr>
            <w:t xml:space="preserve">, corresponde a los ingresos recibidos para el pago de las obligaciones contractuales suscritas para la vigencia </w:t>
          </w:r>
          <w:r w:rsidR="00EF6E05" w:rsidRPr="4651068D">
            <w:rPr>
              <w:rFonts w:ascii="Times New Roman" w:hAnsi="Times New Roman"/>
              <w:sz w:val="24"/>
              <w:szCs w:val="24"/>
            </w:rPr>
            <w:t>202</w:t>
          </w:r>
          <w:r w:rsidR="47460136" w:rsidRPr="4651068D">
            <w:rPr>
              <w:rFonts w:ascii="Times New Roman" w:hAnsi="Times New Roman"/>
              <w:sz w:val="24"/>
              <w:szCs w:val="24"/>
            </w:rPr>
            <w:t>3</w:t>
          </w:r>
          <w:r w:rsidRPr="00931DCE">
            <w:rPr>
              <w:rFonts w:ascii="Times New Roman" w:hAnsi="Times New Roman"/>
              <w:sz w:val="24"/>
              <w:szCs w:val="24"/>
            </w:rPr>
            <w:t>, así:</w:t>
          </w:r>
        </w:p>
        <w:p w14:paraId="1F072B39" w14:textId="77777777" w:rsidR="003B1A44" w:rsidRPr="00931DCE" w:rsidRDefault="003B1A44" w:rsidP="003B1A44">
          <w:pPr>
            <w:spacing w:after="0" w:line="240" w:lineRule="auto"/>
            <w:jc w:val="both"/>
            <w:rPr>
              <w:rFonts w:ascii="Times New Roman" w:hAnsi="Times New Roman"/>
              <w:sz w:val="18"/>
              <w:szCs w:val="18"/>
            </w:rPr>
          </w:pPr>
        </w:p>
        <w:p w14:paraId="7111E8B8" w14:textId="683F56CC" w:rsidR="003B1A44" w:rsidRPr="00931DCE" w:rsidRDefault="003B1A44" w:rsidP="003B1A44">
          <w:pPr>
            <w:spacing w:after="0" w:line="240" w:lineRule="auto"/>
            <w:jc w:val="both"/>
            <w:rPr>
              <w:rFonts w:ascii="Times New Roman" w:hAnsi="Times New Roman"/>
              <w:sz w:val="24"/>
              <w:szCs w:val="24"/>
            </w:rPr>
          </w:pPr>
          <w:r w:rsidRPr="00931DCE">
            <w:rPr>
              <w:rFonts w:ascii="Times New Roman" w:hAnsi="Times New Roman"/>
              <w:sz w:val="24"/>
              <w:szCs w:val="24"/>
            </w:rPr>
            <w:t xml:space="preserve">Pagos de aportes a los concesionarios del modo de transporte carretero, los cuales son girados a los patrimonios autónomos constituidos por los concesionarios. Con corte al 31 de diciembre del año </w:t>
          </w:r>
          <w:r w:rsidR="00EF6E05" w:rsidRPr="4651068D">
            <w:rPr>
              <w:rFonts w:ascii="Times New Roman" w:hAnsi="Times New Roman"/>
              <w:sz w:val="24"/>
              <w:szCs w:val="24"/>
            </w:rPr>
            <w:t>202</w:t>
          </w:r>
          <w:r w:rsidR="0FB002EE" w:rsidRPr="4651068D">
            <w:rPr>
              <w:rFonts w:ascii="Times New Roman" w:hAnsi="Times New Roman"/>
              <w:sz w:val="24"/>
              <w:szCs w:val="24"/>
            </w:rPr>
            <w:t>3</w:t>
          </w:r>
          <w:r w:rsidRPr="00931DCE">
            <w:rPr>
              <w:rFonts w:ascii="Times New Roman" w:hAnsi="Times New Roman"/>
              <w:sz w:val="24"/>
              <w:szCs w:val="24"/>
            </w:rPr>
            <w:t xml:space="preserve">, estos recursos se encuentran reflejados en </w:t>
          </w:r>
          <w:r w:rsidRPr="00931DCE">
            <w:rPr>
              <w:rFonts w:ascii="Times New Roman" w:hAnsi="Times New Roman"/>
              <w:i/>
              <w:iCs/>
              <w:sz w:val="24"/>
              <w:szCs w:val="24"/>
            </w:rPr>
            <w:t>“Recursos de la entidad concedente en patrimonios autónomos constituidos por los concesionarios”</w:t>
          </w:r>
          <w:r w:rsidRPr="00931DCE">
            <w:rPr>
              <w:rFonts w:ascii="Times New Roman" w:hAnsi="Times New Roman"/>
              <w:sz w:val="24"/>
              <w:szCs w:val="24"/>
            </w:rPr>
            <w:t xml:space="preserve"> (Ver Nota 16), en la cual se relacionan el total de aportes girados por la Agencia en las diferentes vigencias y no ejecutados.</w:t>
          </w:r>
        </w:p>
        <w:p w14:paraId="5719E037" w14:textId="77777777" w:rsidR="003B1A44" w:rsidRPr="00931DCE" w:rsidRDefault="003B1A44" w:rsidP="003B1A44">
          <w:pPr>
            <w:spacing w:after="0" w:line="240" w:lineRule="auto"/>
            <w:jc w:val="both"/>
            <w:rPr>
              <w:rFonts w:ascii="Times New Roman" w:hAnsi="Times New Roman"/>
              <w:sz w:val="18"/>
              <w:szCs w:val="18"/>
            </w:rPr>
          </w:pPr>
        </w:p>
        <w:p w14:paraId="16BB841C" w14:textId="77777777" w:rsidR="003B1A44" w:rsidRPr="00931DCE" w:rsidRDefault="003B1A44" w:rsidP="003B1A44">
          <w:pPr>
            <w:spacing w:after="0" w:line="240" w:lineRule="auto"/>
            <w:jc w:val="both"/>
            <w:rPr>
              <w:rFonts w:ascii="Times New Roman" w:hAnsi="Times New Roman"/>
              <w:sz w:val="24"/>
              <w:szCs w:val="24"/>
            </w:rPr>
          </w:pPr>
          <w:r w:rsidRPr="00931DCE">
            <w:rPr>
              <w:rFonts w:ascii="Times New Roman" w:hAnsi="Times New Roman"/>
              <w:sz w:val="24"/>
              <w:szCs w:val="24"/>
            </w:rPr>
            <w:lastRenderedPageBreak/>
            <w:t>Los demás pagos, hacen parte de la operación normal de la Agencia, como son honorarios, bienes y servicios, que cancelan el pasivo constituido previamente en virtud de la ejecución de contratos suscritos con estos recursos.</w:t>
          </w:r>
        </w:p>
        <w:p w14:paraId="32C7EFC1" w14:textId="28107619" w:rsidR="003B1A44" w:rsidRPr="00931DCE" w:rsidRDefault="003B1A44" w:rsidP="003B1A44">
          <w:pPr>
            <w:spacing w:after="0" w:line="240" w:lineRule="auto"/>
            <w:jc w:val="both"/>
            <w:rPr>
              <w:rFonts w:ascii="Times New Roman" w:hAnsi="Times New Roman"/>
              <w:sz w:val="24"/>
              <w:szCs w:val="24"/>
            </w:rPr>
          </w:pPr>
        </w:p>
        <w:p w14:paraId="2F049321" w14:textId="0C37011B" w:rsidR="003B1A44" w:rsidRPr="00931DCE" w:rsidRDefault="003B1A44" w:rsidP="003B1A44">
          <w:pPr>
            <w:spacing w:after="0" w:line="240" w:lineRule="auto"/>
            <w:jc w:val="both"/>
            <w:rPr>
              <w:rFonts w:ascii="Times New Roman" w:hAnsi="Times New Roman"/>
              <w:sz w:val="24"/>
              <w:szCs w:val="24"/>
            </w:rPr>
          </w:pPr>
          <w:r w:rsidRPr="00931DCE">
            <w:rPr>
              <w:rFonts w:ascii="Times New Roman" w:hAnsi="Times New Roman"/>
              <w:sz w:val="24"/>
              <w:szCs w:val="24"/>
            </w:rPr>
            <w:t xml:space="preserve">Los ingresos por Cruce de Cuentas por valor de </w:t>
          </w:r>
          <w:r w:rsidR="000B0D8E" w:rsidRPr="00931DCE">
            <w:rPr>
              <w:rFonts w:ascii="Times New Roman" w:hAnsi="Times New Roman"/>
              <w:sz w:val="24"/>
              <w:szCs w:val="24"/>
            </w:rPr>
            <w:t>$</w:t>
          </w:r>
          <w:r w:rsidR="1BD71885" w:rsidRPr="658792F0">
            <w:rPr>
              <w:rFonts w:ascii="Times New Roman" w:hAnsi="Times New Roman"/>
              <w:sz w:val="24"/>
              <w:szCs w:val="24"/>
            </w:rPr>
            <w:t>9.861.925.161</w:t>
          </w:r>
          <w:r w:rsidRPr="00931DCE">
            <w:rPr>
              <w:rFonts w:ascii="Times New Roman" w:hAnsi="Times New Roman"/>
              <w:sz w:val="24"/>
              <w:szCs w:val="24"/>
            </w:rPr>
            <w:t xml:space="preserve"> corresponde a las operaciones realizadas en la vigencia </w:t>
          </w:r>
          <w:r w:rsidR="00EF6E05" w:rsidRPr="658792F0">
            <w:rPr>
              <w:rFonts w:ascii="Times New Roman" w:hAnsi="Times New Roman"/>
              <w:sz w:val="24"/>
              <w:szCs w:val="24"/>
            </w:rPr>
            <w:t>202</w:t>
          </w:r>
          <w:r w:rsidR="305EAA98" w:rsidRPr="658792F0">
            <w:rPr>
              <w:rFonts w:ascii="Times New Roman" w:hAnsi="Times New Roman"/>
              <w:sz w:val="24"/>
              <w:szCs w:val="24"/>
            </w:rPr>
            <w:t>3</w:t>
          </w:r>
          <w:r w:rsidRPr="00931DCE">
            <w:rPr>
              <w:rFonts w:ascii="Times New Roman" w:hAnsi="Times New Roman"/>
              <w:sz w:val="24"/>
              <w:szCs w:val="24"/>
            </w:rPr>
            <w:t>:</w:t>
          </w:r>
        </w:p>
        <w:p w14:paraId="5D8D23FD" w14:textId="77777777" w:rsidR="003B1A44" w:rsidRPr="00931DCE" w:rsidRDefault="003B1A44" w:rsidP="003B1A44">
          <w:pPr>
            <w:spacing w:after="0" w:line="240" w:lineRule="auto"/>
            <w:jc w:val="both"/>
            <w:rPr>
              <w:rFonts w:ascii="Times New Roman" w:hAnsi="Times New Roman"/>
              <w:sz w:val="18"/>
              <w:szCs w:val="18"/>
            </w:rPr>
          </w:pPr>
        </w:p>
        <w:p w14:paraId="415AD198" w14:textId="6C6F8FE4" w:rsidR="003B1A44" w:rsidRPr="00931DCE" w:rsidRDefault="003B1A44" w:rsidP="00451687">
          <w:pPr>
            <w:pStyle w:val="Prrafodelista"/>
            <w:numPr>
              <w:ilvl w:val="0"/>
              <w:numId w:val="28"/>
            </w:numPr>
            <w:spacing w:after="0" w:line="240" w:lineRule="auto"/>
            <w:jc w:val="both"/>
            <w:rPr>
              <w:rFonts w:ascii="Times New Roman" w:hAnsi="Times New Roman"/>
              <w:sz w:val="24"/>
              <w:szCs w:val="24"/>
            </w:rPr>
          </w:pPr>
          <w:r w:rsidRPr="00931DCE">
            <w:rPr>
              <w:rFonts w:ascii="Times New Roman" w:hAnsi="Times New Roman"/>
              <w:sz w:val="24"/>
              <w:szCs w:val="24"/>
            </w:rPr>
            <w:t xml:space="preserve">Cruce de cuentas con la U.A.E. Dirección de Impuestos y Aduanas Nacionales (DIAN) por concepto de retención en la fuente a título de renta pagados bajo la modalidad de </w:t>
          </w:r>
          <w:r w:rsidRPr="00931DCE">
            <w:rPr>
              <w:rFonts w:ascii="Times New Roman" w:hAnsi="Times New Roman"/>
              <w:i/>
              <w:iCs/>
              <w:sz w:val="24"/>
              <w:szCs w:val="24"/>
            </w:rPr>
            <w:t>“Compensación de deducciones”</w:t>
          </w:r>
          <w:r w:rsidRPr="00931DCE">
            <w:rPr>
              <w:rFonts w:ascii="Times New Roman" w:hAnsi="Times New Roman"/>
              <w:sz w:val="24"/>
              <w:szCs w:val="24"/>
            </w:rPr>
            <w:t xml:space="preserve"> a través del Sistema Integrado de Información Financiera (SIIF)-Nación.</w:t>
          </w:r>
        </w:p>
        <w:p w14:paraId="59A35065" w14:textId="45952765" w:rsidR="658792F0" w:rsidRDefault="658792F0" w:rsidP="658792F0">
          <w:pPr>
            <w:spacing w:after="0" w:line="240" w:lineRule="auto"/>
            <w:jc w:val="both"/>
            <w:rPr>
              <w:rFonts w:ascii="Times New Roman" w:hAnsi="Times New Roman"/>
            </w:rPr>
          </w:pPr>
        </w:p>
        <w:p w14:paraId="7532D9AF" w14:textId="045B9BCA" w:rsidR="658792F0" w:rsidRDefault="78C647B4" w:rsidP="658792F0">
          <w:pPr>
            <w:spacing w:after="0" w:line="240" w:lineRule="auto"/>
            <w:jc w:val="both"/>
            <w:rPr>
              <w:rFonts w:ascii="Times New Roman" w:hAnsi="Times New Roman"/>
              <w:sz w:val="24"/>
              <w:szCs w:val="24"/>
            </w:rPr>
          </w:pPr>
          <w:r w:rsidRPr="5C31859B">
            <w:rPr>
              <w:rFonts w:ascii="Times New Roman" w:hAnsi="Times New Roman"/>
              <w:sz w:val="24"/>
              <w:szCs w:val="24"/>
            </w:rPr>
            <w:t xml:space="preserve">Los ingresos por concepto de Otras Operaciones </w:t>
          </w:r>
          <w:r w:rsidR="25A0EDA1" w:rsidRPr="5C31859B">
            <w:rPr>
              <w:rFonts w:ascii="Times New Roman" w:hAnsi="Times New Roman"/>
              <w:sz w:val="24"/>
              <w:szCs w:val="24"/>
            </w:rPr>
            <w:t>S</w:t>
          </w:r>
          <w:r w:rsidRPr="5C31859B">
            <w:rPr>
              <w:rFonts w:ascii="Times New Roman" w:hAnsi="Times New Roman"/>
              <w:sz w:val="24"/>
              <w:szCs w:val="24"/>
            </w:rPr>
            <w:t xml:space="preserve">in </w:t>
          </w:r>
          <w:r w:rsidR="28743264" w:rsidRPr="5C31859B">
            <w:rPr>
              <w:rFonts w:ascii="Times New Roman" w:hAnsi="Times New Roman"/>
              <w:sz w:val="24"/>
              <w:szCs w:val="24"/>
            </w:rPr>
            <w:t>F</w:t>
          </w:r>
          <w:r w:rsidRPr="5C31859B">
            <w:rPr>
              <w:rFonts w:ascii="Times New Roman" w:hAnsi="Times New Roman"/>
              <w:sz w:val="24"/>
              <w:szCs w:val="24"/>
            </w:rPr>
            <w:t xml:space="preserve">lujo de </w:t>
          </w:r>
          <w:r w:rsidR="2690832E" w:rsidRPr="5C31859B">
            <w:rPr>
              <w:rFonts w:ascii="Times New Roman" w:hAnsi="Times New Roman"/>
              <w:sz w:val="24"/>
              <w:szCs w:val="24"/>
            </w:rPr>
            <w:t>E</w:t>
          </w:r>
          <w:r w:rsidRPr="5C31859B">
            <w:rPr>
              <w:rFonts w:ascii="Times New Roman" w:hAnsi="Times New Roman"/>
              <w:sz w:val="24"/>
              <w:szCs w:val="24"/>
            </w:rPr>
            <w:t xml:space="preserve">fectivo </w:t>
          </w:r>
          <w:r w:rsidR="172F9CAD" w:rsidRPr="5C31859B">
            <w:rPr>
              <w:rFonts w:ascii="Times New Roman" w:hAnsi="Times New Roman"/>
              <w:sz w:val="24"/>
              <w:szCs w:val="24"/>
            </w:rPr>
            <w:t>por valor de $142.092.02</w:t>
          </w:r>
          <w:r w:rsidR="5DCA60A4" w:rsidRPr="5C31859B">
            <w:rPr>
              <w:rFonts w:ascii="Times New Roman" w:hAnsi="Times New Roman"/>
              <w:sz w:val="24"/>
              <w:szCs w:val="24"/>
            </w:rPr>
            <w:t>3</w:t>
          </w:r>
          <w:r w:rsidR="172F9CAD" w:rsidRPr="5C31859B">
            <w:rPr>
              <w:rFonts w:ascii="Times New Roman" w:hAnsi="Times New Roman"/>
              <w:sz w:val="24"/>
              <w:szCs w:val="24"/>
            </w:rPr>
            <w:t>.707</w:t>
          </w:r>
          <w:r w:rsidR="5B34A72D" w:rsidRPr="5C31859B">
            <w:rPr>
              <w:rFonts w:ascii="Times New Roman" w:hAnsi="Times New Roman"/>
              <w:sz w:val="24"/>
              <w:szCs w:val="24"/>
            </w:rPr>
            <w:t xml:space="preserve"> </w:t>
          </w:r>
          <w:r w:rsidR="47B32689" w:rsidRPr="31D0A4A5">
            <w:rPr>
              <w:rFonts w:ascii="Times New Roman" w:hAnsi="Times New Roman"/>
              <w:sz w:val="24"/>
              <w:szCs w:val="24"/>
            </w:rPr>
            <w:t>corresponden al pago de la alícuota anual de lo</w:t>
          </w:r>
          <w:r w:rsidR="0080485B">
            <w:rPr>
              <w:rFonts w:ascii="Times New Roman" w:hAnsi="Times New Roman"/>
              <w:sz w:val="24"/>
              <w:szCs w:val="24"/>
            </w:rPr>
            <w:t>s</w:t>
          </w:r>
          <w:r w:rsidR="47B32689" w:rsidRPr="31D0A4A5">
            <w:rPr>
              <w:rFonts w:ascii="Times New Roman" w:hAnsi="Times New Roman"/>
              <w:sz w:val="24"/>
              <w:szCs w:val="24"/>
            </w:rPr>
            <w:t xml:space="preserve"> acuerdos de pago </w:t>
          </w:r>
          <w:r w:rsidR="0080485B">
            <w:rPr>
              <w:rFonts w:ascii="Times New Roman" w:hAnsi="Times New Roman"/>
              <w:sz w:val="24"/>
              <w:szCs w:val="24"/>
            </w:rPr>
            <w:t>suscritos entre la Entidad y el Ministerio de Hacienda.</w:t>
          </w:r>
        </w:p>
        <w:p w14:paraId="3EF42609" w14:textId="073447D2" w:rsidR="658792F0" w:rsidRDefault="658792F0" w:rsidP="658792F0">
          <w:pPr>
            <w:spacing w:after="0" w:line="240" w:lineRule="auto"/>
            <w:jc w:val="both"/>
            <w:rPr>
              <w:rFonts w:ascii="Times New Roman" w:hAnsi="Times New Roman"/>
            </w:rPr>
          </w:pPr>
        </w:p>
        <w:p w14:paraId="542786B7" w14:textId="2329FBFF" w:rsidR="003B1A44" w:rsidRPr="00931DCE" w:rsidRDefault="003B1A44" w:rsidP="003B1A44">
          <w:pPr>
            <w:spacing w:after="0" w:line="240" w:lineRule="auto"/>
            <w:jc w:val="both"/>
            <w:rPr>
              <w:rFonts w:ascii="Times New Roman" w:hAnsi="Times New Roman"/>
              <w:sz w:val="24"/>
              <w:szCs w:val="24"/>
            </w:rPr>
          </w:pPr>
          <w:r w:rsidRPr="00931DCE">
            <w:rPr>
              <w:rFonts w:ascii="Times New Roman" w:hAnsi="Times New Roman"/>
              <w:sz w:val="24"/>
              <w:szCs w:val="24"/>
            </w:rPr>
            <w:t xml:space="preserve">Finalmente, las operaciones recíprocas generadas con la Dirección del Tesoro Nacional y Deuda Pública Nación del Ministerio de Hacienda y Crédito Público y la Dirección de Impuestos y Aduanas Nacionales (DIAN), se encuentran conciliadas al cierre de la vigencia </w:t>
          </w:r>
          <w:r w:rsidR="00EF6E05" w:rsidRPr="00931DCE">
            <w:rPr>
              <w:rFonts w:ascii="Times New Roman" w:hAnsi="Times New Roman"/>
              <w:sz w:val="24"/>
              <w:szCs w:val="24"/>
            </w:rPr>
            <w:t>20</w:t>
          </w:r>
          <w:r w:rsidR="00486AC1">
            <w:rPr>
              <w:rFonts w:ascii="Times New Roman" w:hAnsi="Times New Roman"/>
              <w:sz w:val="24"/>
              <w:szCs w:val="24"/>
            </w:rPr>
            <w:t>23</w:t>
          </w:r>
          <w:r w:rsidRPr="00931DCE">
            <w:rPr>
              <w:rFonts w:ascii="Times New Roman" w:hAnsi="Times New Roman"/>
              <w:sz w:val="24"/>
              <w:szCs w:val="24"/>
            </w:rPr>
            <w:t xml:space="preserve"> en el formato establecido para el efecto, operaciones que son reportadas a través del Sistema Consolidador de Hacienda e Información Pública (CHIP) de la Contaduría General de la Nación.</w:t>
          </w:r>
        </w:p>
        <w:p w14:paraId="2DA3FDE1" w14:textId="77777777" w:rsidR="00301252" w:rsidRPr="00931DCE" w:rsidRDefault="00301252" w:rsidP="003B1A44">
          <w:pPr>
            <w:spacing w:after="0" w:line="240" w:lineRule="auto"/>
            <w:jc w:val="both"/>
            <w:rPr>
              <w:rFonts w:ascii="Times New Roman" w:hAnsi="Times New Roman"/>
              <w:sz w:val="24"/>
              <w:szCs w:val="24"/>
              <w:highlight w:val="cyan"/>
            </w:rPr>
          </w:pPr>
        </w:p>
        <w:p w14:paraId="7E7A0F2A" w14:textId="1C376488" w:rsidR="00A44A3D" w:rsidRDefault="003B1A44" w:rsidP="003B1A44">
          <w:pPr>
            <w:spacing w:after="0" w:line="240" w:lineRule="auto"/>
            <w:jc w:val="both"/>
            <w:rPr>
              <w:rFonts w:ascii="Times New Roman" w:hAnsi="Times New Roman"/>
              <w:sz w:val="24"/>
              <w:szCs w:val="24"/>
            </w:rPr>
          </w:pPr>
          <w:r w:rsidRPr="007A66AD">
            <w:rPr>
              <w:rFonts w:ascii="Times New Roman" w:hAnsi="Times New Roman"/>
              <w:sz w:val="24"/>
              <w:szCs w:val="24"/>
            </w:rPr>
            <w:t xml:space="preserve">Transferencias y subvenciones registradas por valor de </w:t>
          </w:r>
          <w:r w:rsidR="000B0D8E" w:rsidRPr="007A66AD">
            <w:rPr>
              <w:rFonts w:ascii="Times New Roman" w:hAnsi="Times New Roman"/>
              <w:sz w:val="24"/>
              <w:szCs w:val="24"/>
            </w:rPr>
            <w:t xml:space="preserve">$ </w:t>
          </w:r>
          <w:r w:rsidR="00877473" w:rsidRPr="00877473">
            <w:rPr>
              <w:rFonts w:ascii="Times New Roman" w:hAnsi="Times New Roman"/>
              <w:sz w:val="24"/>
              <w:szCs w:val="24"/>
            </w:rPr>
            <w:t>4.665.324.689</w:t>
          </w:r>
          <w:r w:rsidRPr="007A66AD">
            <w:rPr>
              <w:rFonts w:ascii="Times New Roman" w:hAnsi="Times New Roman"/>
              <w:sz w:val="24"/>
              <w:szCs w:val="24"/>
            </w:rPr>
            <w:t>, corresponden a bienes recibidos sin contraprestación de otras entidades que cumplieron las condiciones para su reconocimiento como activos</w:t>
          </w:r>
          <w:r w:rsidR="007A66AD" w:rsidRPr="007A66AD">
            <w:rPr>
              <w:rFonts w:ascii="Times New Roman" w:hAnsi="Times New Roman"/>
              <w:sz w:val="24"/>
              <w:szCs w:val="24"/>
            </w:rPr>
            <w:t>.</w:t>
          </w:r>
        </w:p>
        <w:p w14:paraId="529F620E" w14:textId="77777777" w:rsidR="005D3E91" w:rsidRPr="007A66AD" w:rsidRDefault="005D3E91" w:rsidP="003B1A44">
          <w:pPr>
            <w:spacing w:after="0" w:line="240" w:lineRule="auto"/>
            <w:jc w:val="both"/>
            <w:rPr>
              <w:rFonts w:ascii="Times New Roman" w:hAnsi="Times New Roman"/>
              <w:sz w:val="24"/>
              <w:szCs w:val="24"/>
            </w:rPr>
          </w:pPr>
        </w:p>
        <w:p w14:paraId="7D9C048B" w14:textId="77777777" w:rsidR="000D1DA7" w:rsidRPr="007A66AD" w:rsidRDefault="000D1DA7" w:rsidP="00647E0F">
          <w:pPr>
            <w:pStyle w:val="Ttulo3"/>
            <w:numPr>
              <w:ilvl w:val="2"/>
              <w:numId w:val="19"/>
            </w:numPr>
            <w:tabs>
              <w:tab w:val="num" w:pos="360"/>
            </w:tabs>
            <w:ind w:left="709" w:hanging="709"/>
          </w:pPr>
          <w:bookmarkStart w:id="110" w:name="_Toc28337474"/>
          <w:bookmarkStart w:id="111" w:name="_Toc159952435"/>
          <w:r w:rsidRPr="00A06A39">
            <w:rPr>
              <w:rFonts w:cs="Times New Roman"/>
              <w:color w:val="1F3864" w:themeColor="accent1" w:themeShade="80"/>
            </w:rPr>
            <w:t>Ingresos fiscales - Detallado</w:t>
          </w:r>
          <w:bookmarkEnd w:id="110"/>
          <w:bookmarkEnd w:id="111"/>
        </w:p>
        <w:p w14:paraId="6567525D" w14:textId="77777777" w:rsidR="000D1DA7" w:rsidRPr="00931DCE" w:rsidRDefault="000D1DA7" w:rsidP="000D1DA7">
          <w:pPr>
            <w:spacing w:after="0" w:line="240" w:lineRule="auto"/>
            <w:jc w:val="both"/>
            <w:rPr>
              <w:rFonts w:ascii="Times New Roman" w:hAnsi="Times New Roman"/>
              <w:sz w:val="18"/>
              <w:szCs w:val="18"/>
            </w:rPr>
          </w:pPr>
        </w:p>
        <w:p w14:paraId="2A998B45" w14:textId="6FF5F14C" w:rsidR="00CD7FBF" w:rsidRPr="00931DCE" w:rsidRDefault="00CD7FBF" w:rsidP="00CD7FBF">
          <w:pPr>
            <w:spacing w:after="0" w:line="240" w:lineRule="auto"/>
            <w:jc w:val="both"/>
            <w:rPr>
              <w:rFonts w:ascii="Times New Roman" w:hAnsi="Times New Roman"/>
              <w:sz w:val="24"/>
              <w:szCs w:val="24"/>
            </w:rPr>
          </w:pPr>
          <w:r w:rsidRPr="00931DCE">
            <w:rPr>
              <w:rFonts w:ascii="Times New Roman" w:hAnsi="Times New Roman"/>
              <w:sz w:val="24"/>
              <w:szCs w:val="24"/>
            </w:rPr>
            <w:t xml:space="preserve">La siguiente es la estructura de los ingresos fiscales con corte 31 de diciembre de </w:t>
          </w:r>
          <w:r w:rsidR="73F4CFAE" w:rsidRPr="02E3AD61">
            <w:rPr>
              <w:rFonts w:ascii="Times New Roman" w:hAnsi="Times New Roman"/>
              <w:sz w:val="24"/>
              <w:szCs w:val="24"/>
            </w:rPr>
            <w:t>202</w:t>
          </w:r>
          <w:r w:rsidR="61E25FF1" w:rsidRPr="02E3AD61">
            <w:rPr>
              <w:rFonts w:ascii="Times New Roman" w:hAnsi="Times New Roman"/>
              <w:sz w:val="24"/>
              <w:szCs w:val="24"/>
            </w:rPr>
            <w:t>3</w:t>
          </w:r>
          <w:r w:rsidRPr="00931DCE">
            <w:rPr>
              <w:rFonts w:ascii="Times New Roman" w:hAnsi="Times New Roman"/>
              <w:sz w:val="24"/>
              <w:szCs w:val="24"/>
            </w:rPr>
            <w:t>:</w:t>
          </w:r>
        </w:p>
        <w:p w14:paraId="5F80A544" w14:textId="77777777" w:rsidR="00CD7FBF" w:rsidRPr="00931DCE" w:rsidRDefault="00CD7FBF" w:rsidP="00CD7FBF">
          <w:pPr>
            <w:spacing w:after="0" w:line="240" w:lineRule="auto"/>
            <w:jc w:val="both"/>
            <w:rPr>
              <w:rFonts w:ascii="Times New Roman" w:hAnsi="Times New Roman"/>
              <w:sz w:val="24"/>
              <w:szCs w:val="24"/>
            </w:rPr>
          </w:pPr>
        </w:p>
        <w:tbl>
          <w:tblPr>
            <w:tblW w:w="9120" w:type="dxa"/>
            <w:tblBorders>
              <w:top w:val="single" w:sz="8" w:space="0" w:color="A6A6A6"/>
              <w:left w:val="single" w:sz="8" w:space="0" w:color="A6A6A6"/>
              <w:bottom w:val="single" w:sz="8" w:space="0" w:color="A6A6A6"/>
              <w:right w:val="single" w:sz="8" w:space="0" w:color="A6A6A6"/>
              <w:insideH w:val="single" w:sz="6" w:space="0" w:color="A6A6A6"/>
              <w:insideV w:val="single" w:sz="6" w:space="0" w:color="A6A6A6"/>
            </w:tblBorders>
            <w:tblCellMar>
              <w:left w:w="70" w:type="dxa"/>
              <w:right w:w="70" w:type="dxa"/>
            </w:tblCellMar>
            <w:tblLook w:val="04A0" w:firstRow="1" w:lastRow="0" w:firstColumn="1" w:lastColumn="0" w:noHBand="0" w:noVBand="1"/>
          </w:tblPr>
          <w:tblGrid>
            <w:gridCol w:w="1151"/>
            <w:gridCol w:w="1817"/>
            <w:gridCol w:w="1881"/>
            <w:gridCol w:w="1646"/>
            <w:gridCol w:w="1525"/>
            <w:gridCol w:w="1100"/>
          </w:tblGrid>
          <w:tr w:rsidR="0063503F" w:rsidRPr="0063503F" w14:paraId="0FF3DBD9" w14:textId="77777777" w:rsidTr="00622A53">
            <w:trPr>
              <w:trHeight w:val="315"/>
            </w:trPr>
            <w:tc>
              <w:tcPr>
                <w:tcW w:w="4849" w:type="dxa"/>
                <w:gridSpan w:val="3"/>
                <w:shd w:val="clear" w:color="auto" w:fill="auto"/>
                <w:vAlign w:val="center"/>
                <w:hideMark/>
              </w:tcPr>
              <w:p w14:paraId="10F3728C" w14:textId="77777777" w:rsidR="0063503F" w:rsidRPr="00622A53" w:rsidRDefault="0063503F" w:rsidP="0063503F">
                <w:pPr>
                  <w:spacing w:after="0" w:line="240" w:lineRule="auto"/>
                  <w:jc w:val="center"/>
                  <w:rPr>
                    <w:rFonts w:ascii="Times New Roman" w:eastAsia="Times New Roman" w:hAnsi="Times New Roman"/>
                    <w:b/>
                    <w:color w:val="000000"/>
                    <w:sz w:val="18"/>
                    <w:szCs w:val="18"/>
                    <w:lang w:eastAsia="es-CO"/>
                  </w:rPr>
                </w:pPr>
                <w:r w:rsidRPr="00622A53">
                  <w:rPr>
                    <w:rFonts w:ascii="Times New Roman" w:eastAsia="Times New Roman" w:hAnsi="Times New Roman"/>
                    <w:b/>
                    <w:color w:val="000000"/>
                    <w:sz w:val="18"/>
                    <w:szCs w:val="18"/>
                    <w:lang w:eastAsia="es-CO"/>
                  </w:rPr>
                  <w:t>DESCRIPCIÓN</w:t>
                </w:r>
              </w:p>
            </w:tc>
            <w:tc>
              <w:tcPr>
                <w:tcW w:w="4271" w:type="dxa"/>
                <w:gridSpan w:val="3"/>
                <w:shd w:val="clear" w:color="auto" w:fill="auto"/>
                <w:vAlign w:val="center"/>
                <w:hideMark/>
              </w:tcPr>
              <w:p w14:paraId="667E2239" w14:textId="77777777" w:rsidR="0063503F" w:rsidRPr="00622A53" w:rsidRDefault="0063503F" w:rsidP="0063503F">
                <w:pPr>
                  <w:spacing w:after="0" w:line="240" w:lineRule="auto"/>
                  <w:jc w:val="center"/>
                  <w:rPr>
                    <w:rFonts w:ascii="Times New Roman" w:eastAsia="Times New Roman" w:hAnsi="Times New Roman"/>
                    <w:b/>
                    <w:color w:val="000000"/>
                    <w:sz w:val="18"/>
                    <w:szCs w:val="18"/>
                    <w:lang w:eastAsia="es-CO"/>
                  </w:rPr>
                </w:pPr>
                <w:r w:rsidRPr="00622A53">
                  <w:rPr>
                    <w:rFonts w:ascii="Times New Roman" w:eastAsia="Times New Roman" w:hAnsi="Times New Roman"/>
                    <w:b/>
                    <w:color w:val="000000"/>
                    <w:sz w:val="18"/>
                    <w:szCs w:val="18"/>
                    <w:lang w:eastAsia="es-CO"/>
                  </w:rPr>
                  <w:t> </w:t>
                </w:r>
              </w:p>
            </w:tc>
          </w:tr>
          <w:tr w:rsidR="0063503F" w:rsidRPr="0063503F" w14:paraId="37AD1FD3" w14:textId="77777777" w:rsidTr="00622A53">
            <w:trPr>
              <w:trHeight w:val="1065"/>
            </w:trPr>
            <w:tc>
              <w:tcPr>
                <w:tcW w:w="1070" w:type="dxa"/>
                <w:shd w:val="clear" w:color="auto" w:fill="auto"/>
                <w:vAlign w:val="center"/>
                <w:hideMark/>
              </w:tcPr>
              <w:p w14:paraId="1945BFF8" w14:textId="77777777" w:rsidR="0063503F" w:rsidRPr="00622A53" w:rsidRDefault="0063503F" w:rsidP="0063503F">
                <w:pPr>
                  <w:spacing w:after="0" w:line="240" w:lineRule="auto"/>
                  <w:jc w:val="center"/>
                  <w:rPr>
                    <w:rFonts w:ascii="Times New Roman" w:eastAsia="Times New Roman" w:hAnsi="Times New Roman"/>
                    <w:b/>
                    <w:color w:val="000000"/>
                    <w:sz w:val="18"/>
                    <w:szCs w:val="18"/>
                    <w:lang w:eastAsia="es-CO"/>
                  </w:rPr>
                </w:pPr>
                <w:r w:rsidRPr="00622A53">
                  <w:rPr>
                    <w:rFonts w:ascii="Times New Roman" w:eastAsia="Times New Roman" w:hAnsi="Times New Roman"/>
                    <w:b/>
                    <w:color w:val="000000"/>
                    <w:sz w:val="18"/>
                    <w:szCs w:val="18"/>
                    <w:lang w:eastAsia="es-CO"/>
                  </w:rPr>
                  <w:t>CÓDIGO CONTABLE</w:t>
                </w:r>
              </w:p>
            </w:tc>
            <w:tc>
              <w:tcPr>
                <w:tcW w:w="2039" w:type="dxa"/>
                <w:shd w:val="clear" w:color="auto" w:fill="auto"/>
                <w:vAlign w:val="center"/>
                <w:hideMark/>
              </w:tcPr>
              <w:p w14:paraId="23E2400C" w14:textId="77777777" w:rsidR="0063503F" w:rsidRPr="00622A53" w:rsidRDefault="0063503F" w:rsidP="0063503F">
                <w:pPr>
                  <w:spacing w:after="0" w:line="240" w:lineRule="auto"/>
                  <w:jc w:val="center"/>
                  <w:rPr>
                    <w:rFonts w:ascii="Times New Roman" w:eastAsia="Times New Roman" w:hAnsi="Times New Roman"/>
                    <w:b/>
                    <w:color w:val="000000"/>
                    <w:sz w:val="18"/>
                    <w:szCs w:val="18"/>
                    <w:lang w:eastAsia="es-CO"/>
                  </w:rPr>
                </w:pPr>
                <w:r w:rsidRPr="00622A53">
                  <w:rPr>
                    <w:rFonts w:ascii="Times New Roman" w:eastAsia="Times New Roman" w:hAnsi="Times New Roman"/>
                    <w:b/>
                    <w:color w:val="000000"/>
                    <w:sz w:val="18"/>
                    <w:szCs w:val="18"/>
                    <w:lang w:eastAsia="es-CO"/>
                  </w:rPr>
                  <w:t>CONCEPTO</w:t>
                </w:r>
              </w:p>
            </w:tc>
            <w:tc>
              <w:tcPr>
                <w:tcW w:w="1740" w:type="dxa"/>
                <w:shd w:val="clear" w:color="auto" w:fill="auto"/>
                <w:vAlign w:val="center"/>
                <w:hideMark/>
              </w:tcPr>
              <w:p w14:paraId="39BFD39E" w14:textId="77777777" w:rsidR="0063503F" w:rsidRPr="00622A53" w:rsidRDefault="0063503F" w:rsidP="0063503F">
                <w:pPr>
                  <w:spacing w:after="0" w:line="240" w:lineRule="auto"/>
                  <w:rPr>
                    <w:rFonts w:ascii="Times New Roman" w:eastAsia="Times New Roman" w:hAnsi="Times New Roman"/>
                    <w:b/>
                    <w:color w:val="000000"/>
                    <w:sz w:val="18"/>
                    <w:szCs w:val="18"/>
                    <w:lang w:eastAsia="es-CO"/>
                  </w:rPr>
                </w:pPr>
                <w:r w:rsidRPr="00622A53">
                  <w:rPr>
                    <w:rFonts w:ascii="Times New Roman" w:eastAsia="Times New Roman" w:hAnsi="Times New Roman"/>
                    <w:b/>
                    <w:color w:val="000000"/>
                    <w:sz w:val="18"/>
                    <w:szCs w:val="18"/>
                    <w:lang w:eastAsia="es-CO"/>
                  </w:rPr>
                  <w:t>RECONOCIMIENTO DE INGRESOS (CR)</w:t>
                </w:r>
              </w:p>
            </w:tc>
            <w:tc>
              <w:tcPr>
                <w:tcW w:w="1479" w:type="dxa"/>
                <w:shd w:val="clear" w:color="auto" w:fill="auto"/>
                <w:vAlign w:val="center"/>
                <w:hideMark/>
              </w:tcPr>
              <w:p w14:paraId="0F262446" w14:textId="77777777" w:rsidR="0063503F" w:rsidRPr="00622A53" w:rsidRDefault="0063503F" w:rsidP="0063503F">
                <w:pPr>
                  <w:spacing w:after="0" w:line="240" w:lineRule="auto"/>
                  <w:jc w:val="center"/>
                  <w:rPr>
                    <w:rFonts w:ascii="Times New Roman" w:eastAsia="Times New Roman" w:hAnsi="Times New Roman"/>
                    <w:b/>
                    <w:color w:val="000000"/>
                    <w:sz w:val="18"/>
                    <w:szCs w:val="18"/>
                    <w:lang w:eastAsia="es-CO"/>
                  </w:rPr>
                </w:pPr>
                <w:r w:rsidRPr="00622A53">
                  <w:rPr>
                    <w:rFonts w:ascii="Times New Roman" w:eastAsia="Times New Roman" w:hAnsi="Times New Roman"/>
                    <w:b/>
                    <w:color w:val="000000"/>
                    <w:sz w:val="18"/>
                    <w:szCs w:val="18"/>
                    <w:lang w:eastAsia="es-CO"/>
                  </w:rPr>
                  <w:t>AJUSTES POR: DEVOLUCIONES, REBAJAS Y DESCUENTOS (DB)</w:t>
                </w:r>
              </w:p>
            </w:tc>
            <w:tc>
              <w:tcPr>
                <w:tcW w:w="1609" w:type="dxa"/>
                <w:shd w:val="clear" w:color="auto" w:fill="auto"/>
                <w:vAlign w:val="center"/>
                <w:hideMark/>
              </w:tcPr>
              <w:p w14:paraId="454A5D08" w14:textId="77777777" w:rsidR="0063503F" w:rsidRPr="00622A53" w:rsidRDefault="0063503F" w:rsidP="0063503F">
                <w:pPr>
                  <w:spacing w:after="0" w:line="240" w:lineRule="auto"/>
                  <w:jc w:val="center"/>
                  <w:rPr>
                    <w:rFonts w:ascii="Times New Roman" w:eastAsia="Times New Roman" w:hAnsi="Times New Roman"/>
                    <w:b/>
                    <w:color w:val="000000"/>
                    <w:sz w:val="18"/>
                    <w:szCs w:val="18"/>
                    <w:lang w:eastAsia="es-CO"/>
                  </w:rPr>
                </w:pPr>
                <w:r w:rsidRPr="00622A53">
                  <w:rPr>
                    <w:rFonts w:ascii="Times New Roman" w:eastAsia="Times New Roman" w:hAnsi="Times New Roman"/>
                    <w:b/>
                    <w:color w:val="000000"/>
                    <w:sz w:val="18"/>
                    <w:szCs w:val="18"/>
                    <w:lang w:eastAsia="es-CO"/>
                  </w:rPr>
                  <w:t>SALDO FINAL</w:t>
                </w:r>
              </w:p>
            </w:tc>
            <w:tc>
              <w:tcPr>
                <w:tcW w:w="1183" w:type="dxa"/>
                <w:shd w:val="clear" w:color="auto" w:fill="auto"/>
                <w:vAlign w:val="center"/>
                <w:hideMark/>
              </w:tcPr>
              <w:p w14:paraId="50DFE04F" w14:textId="77777777" w:rsidR="0063503F" w:rsidRPr="00622A53" w:rsidRDefault="0063503F" w:rsidP="0063503F">
                <w:pPr>
                  <w:spacing w:after="0" w:line="240" w:lineRule="auto"/>
                  <w:rPr>
                    <w:rFonts w:ascii="Times New Roman" w:eastAsia="Times New Roman" w:hAnsi="Times New Roman"/>
                    <w:b/>
                    <w:color w:val="000000"/>
                    <w:sz w:val="18"/>
                    <w:szCs w:val="18"/>
                    <w:lang w:eastAsia="es-CO"/>
                  </w:rPr>
                </w:pPr>
                <w:r w:rsidRPr="00622A53">
                  <w:rPr>
                    <w:rFonts w:ascii="Times New Roman" w:eastAsia="Times New Roman" w:hAnsi="Times New Roman"/>
                    <w:b/>
                    <w:color w:val="000000"/>
                    <w:sz w:val="18"/>
                    <w:szCs w:val="18"/>
                    <w:lang w:eastAsia="es-CO"/>
                  </w:rPr>
                  <w:t>% DE AJUSTES</w:t>
                </w:r>
              </w:p>
            </w:tc>
          </w:tr>
          <w:tr w:rsidR="0063503F" w:rsidRPr="0063503F" w14:paraId="02BAEB1E" w14:textId="77777777" w:rsidTr="00622A53">
            <w:trPr>
              <w:trHeight w:val="435"/>
            </w:trPr>
            <w:tc>
              <w:tcPr>
                <w:tcW w:w="1070" w:type="dxa"/>
                <w:shd w:val="clear" w:color="auto" w:fill="auto"/>
                <w:vAlign w:val="center"/>
                <w:hideMark/>
              </w:tcPr>
              <w:p w14:paraId="07AAB56D" w14:textId="77777777" w:rsidR="0063503F" w:rsidRPr="00622A53" w:rsidRDefault="0063503F" w:rsidP="0063503F">
                <w:pPr>
                  <w:spacing w:after="0" w:line="240" w:lineRule="auto"/>
                  <w:rPr>
                    <w:rFonts w:ascii="Times New Roman" w:eastAsia="Times New Roman" w:hAnsi="Times New Roman"/>
                    <w:b/>
                    <w:color w:val="000000"/>
                    <w:sz w:val="18"/>
                    <w:szCs w:val="18"/>
                    <w:lang w:eastAsia="es-CO"/>
                  </w:rPr>
                </w:pPr>
                <w:r w:rsidRPr="00622A53">
                  <w:rPr>
                    <w:rFonts w:ascii="Times New Roman" w:eastAsia="Times New Roman" w:hAnsi="Times New Roman"/>
                    <w:b/>
                    <w:color w:val="000000"/>
                    <w:sz w:val="18"/>
                    <w:szCs w:val="18"/>
                    <w:lang w:eastAsia="es-CO"/>
                  </w:rPr>
                  <w:t>4.1</w:t>
                </w:r>
              </w:p>
            </w:tc>
            <w:tc>
              <w:tcPr>
                <w:tcW w:w="2039" w:type="dxa"/>
                <w:shd w:val="clear" w:color="auto" w:fill="auto"/>
                <w:vAlign w:val="center"/>
                <w:hideMark/>
              </w:tcPr>
              <w:p w14:paraId="3AFECCEC" w14:textId="77777777" w:rsidR="0063503F" w:rsidRPr="00622A53" w:rsidRDefault="0063503F" w:rsidP="00622A53">
                <w:pPr>
                  <w:spacing w:after="0" w:line="240" w:lineRule="auto"/>
                  <w:rPr>
                    <w:rFonts w:ascii="Times New Roman" w:eastAsia="Times New Roman" w:hAnsi="Times New Roman"/>
                    <w:b/>
                    <w:color w:val="000000"/>
                    <w:sz w:val="18"/>
                    <w:szCs w:val="18"/>
                    <w:lang w:eastAsia="es-CO"/>
                  </w:rPr>
                </w:pPr>
                <w:r w:rsidRPr="00622A53">
                  <w:rPr>
                    <w:rFonts w:ascii="Times New Roman" w:eastAsia="Times New Roman" w:hAnsi="Times New Roman"/>
                    <w:b/>
                    <w:color w:val="000000"/>
                    <w:sz w:val="18"/>
                    <w:szCs w:val="18"/>
                    <w:lang w:eastAsia="es-CO"/>
                  </w:rPr>
                  <w:t>INGRESOS FISCALES</w:t>
                </w:r>
              </w:p>
            </w:tc>
            <w:tc>
              <w:tcPr>
                <w:tcW w:w="1740" w:type="dxa"/>
                <w:shd w:val="clear" w:color="auto" w:fill="auto"/>
                <w:vAlign w:val="center"/>
                <w:hideMark/>
              </w:tcPr>
              <w:p w14:paraId="5C0847A9" w14:textId="2EC97998" w:rsidR="0063503F" w:rsidRPr="00622A53" w:rsidRDefault="0063503F" w:rsidP="0063503F">
                <w:pPr>
                  <w:spacing w:after="0" w:line="240" w:lineRule="auto"/>
                  <w:jc w:val="right"/>
                  <w:rPr>
                    <w:rFonts w:ascii="Times New Roman" w:eastAsia="Times New Roman" w:hAnsi="Times New Roman"/>
                    <w:b/>
                    <w:color w:val="000000"/>
                    <w:sz w:val="18"/>
                    <w:szCs w:val="18"/>
                    <w:lang w:eastAsia="es-CO"/>
                  </w:rPr>
                </w:pPr>
                <w:r w:rsidRPr="00622A53">
                  <w:rPr>
                    <w:rFonts w:ascii="Times New Roman" w:eastAsia="Times New Roman" w:hAnsi="Times New Roman"/>
                    <w:b/>
                    <w:color w:val="000000"/>
                    <w:sz w:val="18"/>
                    <w:szCs w:val="18"/>
                    <w:lang w:eastAsia="es-CO"/>
                  </w:rPr>
                  <w:t>211.552.246.43</w:t>
                </w:r>
                <w:r w:rsidR="00653DE9">
                  <w:rPr>
                    <w:rFonts w:ascii="Times New Roman" w:eastAsia="Times New Roman" w:hAnsi="Times New Roman"/>
                    <w:b/>
                    <w:color w:val="000000"/>
                    <w:sz w:val="18"/>
                    <w:szCs w:val="18"/>
                    <w:lang w:eastAsia="es-CO"/>
                  </w:rPr>
                  <w:t>9</w:t>
                </w:r>
              </w:p>
            </w:tc>
            <w:tc>
              <w:tcPr>
                <w:tcW w:w="1479" w:type="dxa"/>
                <w:shd w:val="clear" w:color="auto" w:fill="auto"/>
                <w:vAlign w:val="center"/>
                <w:hideMark/>
              </w:tcPr>
              <w:p w14:paraId="44B1F4A3" w14:textId="77777777" w:rsidR="0063503F" w:rsidRPr="00622A53" w:rsidRDefault="0063503F" w:rsidP="0063503F">
                <w:pPr>
                  <w:spacing w:after="0" w:line="240" w:lineRule="auto"/>
                  <w:jc w:val="right"/>
                  <w:rPr>
                    <w:rFonts w:ascii="Times New Roman" w:eastAsia="Times New Roman" w:hAnsi="Times New Roman"/>
                    <w:b/>
                    <w:color w:val="000000"/>
                    <w:sz w:val="18"/>
                    <w:szCs w:val="18"/>
                    <w:lang w:eastAsia="es-CO"/>
                  </w:rPr>
                </w:pPr>
                <w:r w:rsidRPr="00622A53">
                  <w:rPr>
                    <w:rFonts w:ascii="Times New Roman" w:eastAsia="Times New Roman" w:hAnsi="Times New Roman"/>
                    <w:b/>
                    <w:color w:val="000000"/>
                    <w:sz w:val="18"/>
                    <w:szCs w:val="18"/>
                    <w:lang w:eastAsia="es-CO"/>
                  </w:rPr>
                  <w:t>0</w:t>
                </w:r>
              </w:p>
            </w:tc>
            <w:tc>
              <w:tcPr>
                <w:tcW w:w="1609" w:type="dxa"/>
                <w:shd w:val="clear" w:color="auto" w:fill="auto"/>
                <w:vAlign w:val="center"/>
                <w:hideMark/>
              </w:tcPr>
              <w:p w14:paraId="7A02EDAC" w14:textId="12CBF57D" w:rsidR="0063503F" w:rsidRPr="00622A53" w:rsidRDefault="0063503F" w:rsidP="0063503F">
                <w:pPr>
                  <w:spacing w:after="0" w:line="240" w:lineRule="auto"/>
                  <w:jc w:val="right"/>
                  <w:rPr>
                    <w:rFonts w:ascii="Times New Roman" w:eastAsia="Times New Roman" w:hAnsi="Times New Roman"/>
                    <w:b/>
                    <w:color w:val="000000"/>
                    <w:sz w:val="18"/>
                    <w:szCs w:val="18"/>
                    <w:lang w:eastAsia="es-CO"/>
                  </w:rPr>
                </w:pPr>
                <w:r w:rsidRPr="00622A53">
                  <w:rPr>
                    <w:rFonts w:ascii="Times New Roman" w:eastAsia="Times New Roman" w:hAnsi="Times New Roman"/>
                    <w:b/>
                    <w:color w:val="000000"/>
                    <w:sz w:val="18"/>
                    <w:szCs w:val="18"/>
                    <w:lang w:eastAsia="es-CO"/>
                  </w:rPr>
                  <w:t>211.552.246.43</w:t>
                </w:r>
                <w:r w:rsidR="00653DE9">
                  <w:rPr>
                    <w:rFonts w:ascii="Times New Roman" w:eastAsia="Times New Roman" w:hAnsi="Times New Roman"/>
                    <w:b/>
                    <w:color w:val="000000"/>
                    <w:sz w:val="18"/>
                    <w:szCs w:val="18"/>
                    <w:lang w:eastAsia="es-CO"/>
                  </w:rPr>
                  <w:t>9</w:t>
                </w:r>
              </w:p>
            </w:tc>
            <w:tc>
              <w:tcPr>
                <w:tcW w:w="1183" w:type="dxa"/>
                <w:shd w:val="clear" w:color="auto" w:fill="auto"/>
                <w:vAlign w:val="center"/>
                <w:hideMark/>
              </w:tcPr>
              <w:p w14:paraId="5D64E53B" w14:textId="77777777" w:rsidR="0063503F" w:rsidRPr="00622A53" w:rsidRDefault="0063503F" w:rsidP="0063503F">
                <w:pPr>
                  <w:spacing w:after="0" w:line="240" w:lineRule="auto"/>
                  <w:jc w:val="center"/>
                  <w:rPr>
                    <w:rFonts w:ascii="Times New Roman" w:eastAsia="Times New Roman" w:hAnsi="Times New Roman"/>
                    <w:b/>
                    <w:color w:val="000000"/>
                    <w:sz w:val="18"/>
                    <w:szCs w:val="18"/>
                    <w:lang w:eastAsia="es-CO"/>
                  </w:rPr>
                </w:pPr>
                <w:r w:rsidRPr="00622A53">
                  <w:rPr>
                    <w:rFonts w:ascii="Times New Roman" w:eastAsia="Times New Roman" w:hAnsi="Times New Roman"/>
                    <w:b/>
                    <w:color w:val="000000"/>
                    <w:sz w:val="18"/>
                    <w:szCs w:val="18"/>
                    <w:lang w:eastAsia="es-CO"/>
                  </w:rPr>
                  <w:t>0%</w:t>
                </w:r>
              </w:p>
            </w:tc>
          </w:tr>
          <w:tr w:rsidR="0063503F" w:rsidRPr="0063503F" w14:paraId="2780A28F" w14:textId="77777777" w:rsidTr="00622A53">
            <w:trPr>
              <w:trHeight w:val="645"/>
            </w:trPr>
            <w:tc>
              <w:tcPr>
                <w:tcW w:w="1070" w:type="dxa"/>
                <w:shd w:val="clear" w:color="auto" w:fill="auto"/>
                <w:vAlign w:val="center"/>
                <w:hideMark/>
              </w:tcPr>
              <w:p w14:paraId="57DA99D7" w14:textId="77777777" w:rsidR="0063503F" w:rsidRPr="00622A53" w:rsidRDefault="0063503F" w:rsidP="0063503F">
                <w:pPr>
                  <w:spacing w:after="0" w:line="240" w:lineRule="auto"/>
                  <w:rPr>
                    <w:rFonts w:ascii="Times New Roman" w:eastAsia="Times New Roman" w:hAnsi="Times New Roman"/>
                    <w:b/>
                    <w:color w:val="000000"/>
                    <w:sz w:val="18"/>
                    <w:szCs w:val="18"/>
                    <w:lang w:eastAsia="es-CO"/>
                  </w:rPr>
                </w:pPr>
                <w:r w:rsidRPr="00622A53">
                  <w:rPr>
                    <w:rFonts w:ascii="Times New Roman" w:eastAsia="Times New Roman" w:hAnsi="Times New Roman"/>
                    <w:b/>
                    <w:color w:val="000000"/>
                    <w:sz w:val="18"/>
                    <w:szCs w:val="18"/>
                    <w:lang w:eastAsia="es-CO"/>
                  </w:rPr>
                  <w:t>4.1.10</w:t>
                </w:r>
              </w:p>
            </w:tc>
            <w:tc>
              <w:tcPr>
                <w:tcW w:w="2039" w:type="dxa"/>
                <w:shd w:val="clear" w:color="auto" w:fill="auto"/>
                <w:vAlign w:val="center"/>
                <w:hideMark/>
              </w:tcPr>
              <w:p w14:paraId="784CB2EF" w14:textId="77777777" w:rsidR="0063503F" w:rsidRPr="00622A53" w:rsidRDefault="0063503F" w:rsidP="0063503F">
                <w:pPr>
                  <w:spacing w:after="0" w:line="240" w:lineRule="auto"/>
                  <w:rPr>
                    <w:rFonts w:ascii="Times New Roman" w:eastAsia="Times New Roman" w:hAnsi="Times New Roman"/>
                    <w:b/>
                    <w:color w:val="000000"/>
                    <w:sz w:val="18"/>
                    <w:szCs w:val="18"/>
                    <w:lang w:eastAsia="es-CO"/>
                  </w:rPr>
                </w:pPr>
                <w:r w:rsidRPr="00622A53">
                  <w:rPr>
                    <w:rFonts w:ascii="Times New Roman" w:eastAsia="Times New Roman" w:hAnsi="Times New Roman"/>
                    <w:b/>
                    <w:color w:val="000000"/>
                    <w:sz w:val="18"/>
                    <w:szCs w:val="18"/>
                    <w:lang w:eastAsia="es-CO"/>
                  </w:rPr>
                  <w:t>Contribuciones, tasas e ingresos no tributarios</w:t>
                </w:r>
              </w:p>
            </w:tc>
            <w:tc>
              <w:tcPr>
                <w:tcW w:w="1740" w:type="dxa"/>
                <w:shd w:val="clear" w:color="auto" w:fill="auto"/>
                <w:vAlign w:val="center"/>
                <w:hideMark/>
              </w:tcPr>
              <w:p w14:paraId="317965E6" w14:textId="7EBCB989" w:rsidR="0063503F" w:rsidRPr="00622A53" w:rsidRDefault="0063503F" w:rsidP="0063503F">
                <w:pPr>
                  <w:spacing w:after="0" w:line="240" w:lineRule="auto"/>
                  <w:jc w:val="right"/>
                  <w:rPr>
                    <w:rFonts w:ascii="Times New Roman" w:eastAsia="Times New Roman" w:hAnsi="Times New Roman"/>
                    <w:b/>
                    <w:color w:val="000000"/>
                    <w:sz w:val="18"/>
                    <w:szCs w:val="18"/>
                    <w:lang w:eastAsia="es-CO"/>
                  </w:rPr>
                </w:pPr>
                <w:r w:rsidRPr="00622A53">
                  <w:rPr>
                    <w:rFonts w:ascii="Times New Roman" w:eastAsia="Times New Roman" w:hAnsi="Times New Roman"/>
                    <w:b/>
                    <w:color w:val="000000"/>
                    <w:sz w:val="18"/>
                    <w:szCs w:val="18"/>
                    <w:lang w:eastAsia="es-CO"/>
                  </w:rPr>
                  <w:t>211.552.246.43</w:t>
                </w:r>
                <w:r w:rsidR="00653DE9">
                  <w:rPr>
                    <w:rFonts w:ascii="Times New Roman" w:eastAsia="Times New Roman" w:hAnsi="Times New Roman"/>
                    <w:b/>
                    <w:color w:val="000000"/>
                    <w:sz w:val="18"/>
                    <w:szCs w:val="18"/>
                    <w:lang w:eastAsia="es-CO"/>
                  </w:rPr>
                  <w:t>9</w:t>
                </w:r>
              </w:p>
            </w:tc>
            <w:tc>
              <w:tcPr>
                <w:tcW w:w="1479" w:type="dxa"/>
                <w:shd w:val="clear" w:color="auto" w:fill="auto"/>
                <w:vAlign w:val="center"/>
                <w:hideMark/>
              </w:tcPr>
              <w:p w14:paraId="1946F1C3" w14:textId="77777777" w:rsidR="0063503F" w:rsidRPr="00622A53" w:rsidRDefault="0063503F" w:rsidP="0063503F">
                <w:pPr>
                  <w:spacing w:after="0" w:line="240" w:lineRule="auto"/>
                  <w:jc w:val="right"/>
                  <w:rPr>
                    <w:rFonts w:ascii="Times New Roman" w:eastAsia="Times New Roman" w:hAnsi="Times New Roman"/>
                    <w:b/>
                    <w:color w:val="000000"/>
                    <w:sz w:val="18"/>
                    <w:szCs w:val="18"/>
                    <w:lang w:eastAsia="es-CO"/>
                  </w:rPr>
                </w:pPr>
                <w:r w:rsidRPr="00622A53">
                  <w:rPr>
                    <w:rFonts w:ascii="Times New Roman" w:eastAsia="Times New Roman" w:hAnsi="Times New Roman"/>
                    <w:b/>
                    <w:color w:val="000000"/>
                    <w:sz w:val="18"/>
                    <w:szCs w:val="18"/>
                    <w:lang w:eastAsia="es-CO"/>
                  </w:rPr>
                  <w:t>0</w:t>
                </w:r>
              </w:p>
            </w:tc>
            <w:tc>
              <w:tcPr>
                <w:tcW w:w="1609" w:type="dxa"/>
                <w:shd w:val="clear" w:color="auto" w:fill="auto"/>
                <w:vAlign w:val="center"/>
                <w:hideMark/>
              </w:tcPr>
              <w:p w14:paraId="51B58B13" w14:textId="43A9D524" w:rsidR="0063503F" w:rsidRPr="00622A53" w:rsidRDefault="0063503F" w:rsidP="0063503F">
                <w:pPr>
                  <w:spacing w:after="0" w:line="240" w:lineRule="auto"/>
                  <w:jc w:val="right"/>
                  <w:rPr>
                    <w:rFonts w:ascii="Times New Roman" w:eastAsia="Times New Roman" w:hAnsi="Times New Roman"/>
                    <w:b/>
                    <w:color w:val="000000"/>
                    <w:sz w:val="18"/>
                    <w:szCs w:val="18"/>
                    <w:lang w:eastAsia="es-CO"/>
                  </w:rPr>
                </w:pPr>
                <w:r w:rsidRPr="00622A53">
                  <w:rPr>
                    <w:rFonts w:ascii="Times New Roman" w:eastAsia="Times New Roman" w:hAnsi="Times New Roman"/>
                    <w:b/>
                    <w:color w:val="000000"/>
                    <w:sz w:val="18"/>
                    <w:szCs w:val="18"/>
                    <w:lang w:eastAsia="es-CO"/>
                  </w:rPr>
                  <w:t>211.552.246.43</w:t>
                </w:r>
                <w:r w:rsidR="00653DE9">
                  <w:rPr>
                    <w:rFonts w:ascii="Times New Roman" w:eastAsia="Times New Roman" w:hAnsi="Times New Roman"/>
                    <w:b/>
                    <w:color w:val="000000"/>
                    <w:sz w:val="18"/>
                    <w:szCs w:val="18"/>
                    <w:lang w:eastAsia="es-CO"/>
                  </w:rPr>
                  <w:t>9</w:t>
                </w:r>
              </w:p>
            </w:tc>
            <w:tc>
              <w:tcPr>
                <w:tcW w:w="1183" w:type="dxa"/>
                <w:shd w:val="clear" w:color="auto" w:fill="auto"/>
                <w:vAlign w:val="center"/>
                <w:hideMark/>
              </w:tcPr>
              <w:p w14:paraId="3CA52B73" w14:textId="77777777" w:rsidR="0063503F" w:rsidRPr="00622A53" w:rsidRDefault="0063503F" w:rsidP="0063503F">
                <w:pPr>
                  <w:spacing w:after="0" w:line="240" w:lineRule="auto"/>
                  <w:jc w:val="center"/>
                  <w:rPr>
                    <w:rFonts w:ascii="Times New Roman" w:eastAsia="Times New Roman" w:hAnsi="Times New Roman"/>
                    <w:b/>
                    <w:color w:val="000000"/>
                    <w:sz w:val="18"/>
                    <w:szCs w:val="18"/>
                    <w:lang w:eastAsia="es-CO"/>
                  </w:rPr>
                </w:pPr>
                <w:r w:rsidRPr="00622A53">
                  <w:rPr>
                    <w:rFonts w:ascii="Times New Roman" w:eastAsia="Times New Roman" w:hAnsi="Times New Roman"/>
                    <w:b/>
                    <w:color w:val="000000"/>
                    <w:sz w:val="18"/>
                    <w:szCs w:val="18"/>
                    <w:lang w:eastAsia="es-CO"/>
                  </w:rPr>
                  <w:t>0%</w:t>
                </w:r>
              </w:p>
            </w:tc>
          </w:tr>
          <w:tr w:rsidR="0063503F" w:rsidRPr="0063503F" w14:paraId="4279F5E6" w14:textId="77777777" w:rsidTr="00622A53">
            <w:trPr>
              <w:trHeight w:val="315"/>
            </w:trPr>
            <w:tc>
              <w:tcPr>
                <w:tcW w:w="1070" w:type="dxa"/>
                <w:shd w:val="clear" w:color="auto" w:fill="auto"/>
                <w:vAlign w:val="center"/>
                <w:hideMark/>
              </w:tcPr>
              <w:p w14:paraId="0CE9223E" w14:textId="77777777" w:rsidR="0063503F" w:rsidRPr="00622A53" w:rsidRDefault="0063503F" w:rsidP="0063503F">
                <w:pPr>
                  <w:spacing w:after="0" w:line="240" w:lineRule="auto"/>
                  <w:rPr>
                    <w:rFonts w:ascii="Times New Roman" w:eastAsia="Times New Roman" w:hAnsi="Times New Roman"/>
                    <w:color w:val="000000"/>
                    <w:sz w:val="18"/>
                    <w:szCs w:val="18"/>
                    <w:lang w:eastAsia="es-CO"/>
                  </w:rPr>
                </w:pPr>
                <w:r w:rsidRPr="00622A53">
                  <w:rPr>
                    <w:rFonts w:ascii="Times New Roman" w:eastAsia="Times New Roman" w:hAnsi="Times New Roman"/>
                    <w:color w:val="000000"/>
                    <w:sz w:val="18"/>
                    <w:szCs w:val="18"/>
                    <w:lang w:eastAsia="es-CO"/>
                  </w:rPr>
                  <w:t>4.1.10.02</w:t>
                </w:r>
              </w:p>
            </w:tc>
            <w:tc>
              <w:tcPr>
                <w:tcW w:w="2039" w:type="dxa"/>
                <w:shd w:val="clear" w:color="auto" w:fill="auto"/>
                <w:vAlign w:val="center"/>
                <w:hideMark/>
              </w:tcPr>
              <w:p w14:paraId="66D35347" w14:textId="77777777" w:rsidR="0063503F" w:rsidRPr="00622A53" w:rsidRDefault="0063503F" w:rsidP="0063503F">
                <w:pPr>
                  <w:spacing w:after="0" w:line="240" w:lineRule="auto"/>
                  <w:rPr>
                    <w:rFonts w:ascii="Times New Roman" w:eastAsia="Times New Roman" w:hAnsi="Times New Roman"/>
                    <w:color w:val="000000"/>
                    <w:sz w:val="18"/>
                    <w:szCs w:val="18"/>
                    <w:lang w:eastAsia="es-CO"/>
                  </w:rPr>
                </w:pPr>
                <w:r w:rsidRPr="00622A53">
                  <w:rPr>
                    <w:rFonts w:ascii="Times New Roman" w:eastAsia="Times New Roman" w:hAnsi="Times New Roman"/>
                    <w:color w:val="000000"/>
                    <w:sz w:val="18"/>
                    <w:szCs w:val="18"/>
                    <w:lang w:eastAsia="es-CO"/>
                  </w:rPr>
                  <w:t>Multas</w:t>
                </w:r>
              </w:p>
            </w:tc>
            <w:tc>
              <w:tcPr>
                <w:tcW w:w="1740" w:type="dxa"/>
                <w:shd w:val="clear" w:color="auto" w:fill="auto"/>
                <w:vAlign w:val="center"/>
                <w:hideMark/>
              </w:tcPr>
              <w:p w14:paraId="542EB1D2" w14:textId="77777777" w:rsidR="0063503F" w:rsidRPr="00622A53" w:rsidRDefault="0063503F" w:rsidP="0063503F">
                <w:pPr>
                  <w:spacing w:after="0" w:line="240" w:lineRule="auto"/>
                  <w:jc w:val="right"/>
                  <w:rPr>
                    <w:rFonts w:ascii="Times New Roman" w:eastAsia="Times New Roman" w:hAnsi="Times New Roman"/>
                    <w:color w:val="000000"/>
                    <w:sz w:val="18"/>
                    <w:szCs w:val="18"/>
                    <w:lang w:eastAsia="es-CO"/>
                  </w:rPr>
                </w:pPr>
                <w:r w:rsidRPr="00622A53">
                  <w:rPr>
                    <w:rFonts w:ascii="Times New Roman" w:eastAsia="Times New Roman" w:hAnsi="Times New Roman"/>
                    <w:color w:val="000000"/>
                    <w:sz w:val="18"/>
                    <w:szCs w:val="18"/>
                    <w:lang w:eastAsia="es-CO"/>
                  </w:rPr>
                  <w:t>6.501.100.935</w:t>
                </w:r>
              </w:p>
            </w:tc>
            <w:tc>
              <w:tcPr>
                <w:tcW w:w="1479" w:type="dxa"/>
                <w:shd w:val="clear" w:color="auto" w:fill="auto"/>
                <w:vAlign w:val="center"/>
                <w:hideMark/>
              </w:tcPr>
              <w:p w14:paraId="1E6895C4" w14:textId="77777777" w:rsidR="0063503F" w:rsidRPr="00622A53" w:rsidRDefault="0063503F" w:rsidP="0063503F">
                <w:pPr>
                  <w:spacing w:after="0" w:line="240" w:lineRule="auto"/>
                  <w:rPr>
                    <w:rFonts w:ascii="Times New Roman" w:eastAsia="Times New Roman" w:hAnsi="Times New Roman"/>
                    <w:color w:val="000000"/>
                    <w:sz w:val="18"/>
                    <w:szCs w:val="18"/>
                    <w:lang w:eastAsia="es-CO"/>
                  </w:rPr>
                </w:pPr>
                <w:r w:rsidRPr="00622A53">
                  <w:rPr>
                    <w:rFonts w:ascii="Times New Roman" w:eastAsia="Times New Roman" w:hAnsi="Times New Roman"/>
                    <w:color w:val="000000"/>
                    <w:sz w:val="18"/>
                    <w:szCs w:val="18"/>
                    <w:lang w:eastAsia="es-CO"/>
                  </w:rPr>
                  <w:t xml:space="preserve"> </w:t>
                </w:r>
              </w:p>
            </w:tc>
            <w:tc>
              <w:tcPr>
                <w:tcW w:w="1609" w:type="dxa"/>
                <w:shd w:val="clear" w:color="auto" w:fill="auto"/>
                <w:vAlign w:val="center"/>
                <w:hideMark/>
              </w:tcPr>
              <w:p w14:paraId="2D4636D4" w14:textId="77777777" w:rsidR="0063503F" w:rsidRPr="00622A53" w:rsidRDefault="0063503F" w:rsidP="0063503F">
                <w:pPr>
                  <w:spacing w:after="0" w:line="240" w:lineRule="auto"/>
                  <w:jc w:val="right"/>
                  <w:rPr>
                    <w:rFonts w:ascii="Times New Roman" w:eastAsia="Times New Roman" w:hAnsi="Times New Roman"/>
                    <w:color w:val="000000"/>
                    <w:sz w:val="18"/>
                    <w:szCs w:val="18"/>
                    <w:lang w:eastAsia="es-CO"/>
                  </w:rPr>
                </w:pPr>
                <w:r w:rsidRPr="00622A53">
                  <w:rPr>
                    <w:rFonts w:ascii="Times New Roman" w:eastAsia="Times New Roman" w:hAnsi="Times New Roman"/>
                    <w:color w:val="000000"/>
                    <w:sz w:val="18"/>
                    <w:szCs w:val="18"/>
                    <w:lang w:eastAsia="es-CO"/>
                  </w:rPr>
                  <w:t>6.501.100.935</w:t>
                </w:r>
              </w:p>
            </w:tc>
            <w:tc>
              <w:tcPr>
                <w:tcW w:w="1183" w:type="dxa"/>
                <w:shd w:val="clear" w:color="auto" w:fill="auto"/>
                <w:vAlign w:val="center"/>
                <w:hideMark/>
              </w:tcPr>
              <w:p w14:paraId="79B22673" w14:textId="77777777" w:rsidR="0063503F" w:rsidRPr="00622A53" w:rsidRDefault="0063503F" w:rsidP="0063503F">
                <w:pPr>
                  <w:spacing w:after="0" w:line="240" w:lineRule="auto"/>
                  <w:jc w:val="center"/>
                  <w:rPr>
                    <w:rFonts w:ascii="Times New Roman" w:eastAsia="Times New Roman" w:hAnsi="Times New Roman"/>
                    <w:b/>
                    <w:color w:val="000000"/>
                    <w:sz w:val="18"/>
                    <w:szCs w:val="18"/>
                    <w:lang w:eastAsia="es-CO"/>
                  </w:rPr>
                </w:pPr>
                <w:r w:rsidRPr="00622A53">
                  <w:rPr>
                    <w:rFonts w:ascii="Times New Roman" w:eastAsia="Times New Roman" w:hAnsi="Times New Roman"/>
                    <w:b/>
                    <w:color w:val="000000"/>
                    <w:sz w:val="18"/>
                    <w:szCs w:val="18"/>
                    <w:lang w:eastAsia="es-CO"/>
                  </w:rPr>
                  <w:t>0%</w:t>
                </w:r>
              </w:p>
            </w:tc>
          </w:tr>
          <w:tr w:rsidR="0063503F" w:rsidRPr="0063503F" w14:paraId="0E332CC3" w14:textId="77777777" w:rsidTr="00622A53">
            <w:trPr>
              <w:trHeight w:val="315"/>
            </w:trPr>
            <w:tc>
              <w:tcPr>
                <w:tcW w:w="1070" w:type="dxa"/>
                <w:shd w:val="clear" w:color="auto" w:fill="auto"/>
                <w:vAlign w:val="center"/>
                <w:hideMark/>
              </w:tcPr>
              <w:p w14:paraId="5BDB5697" w14:textId="77777777" w:rsidR="0063503F" w:rsidRPr="00622A53" w:rsidRDefault="0063503F" w:rsidP="0063503F">
                <w:pPr>
                  <w:spacing w:after="0" w:line="240" w:lineRule="auto"/>
                  <w:rPr>
                    <w:rFonts w:ascii="Times New Roman" w:eastAsia="Times New Roman" w:hAnsi="Times New Roman"/>
                    <w:color w:val="000000"/>
                    <w:sz w:val="18"/>
                    <w:szCs w:val="18"/>
                    <w:lang w:eastAsia="es-CO"/>
                  </w:rPr>
                </w:pPr>
                <w:r w:rsidRPr="00622A53">
                  <w:rPr>
                    <w:rFonts w:ascii="Times New Roman" w:eastAsia="Times New Roman" w:hAnsi="Times New Roman"/>
                    <w:color w:val="000000"/>
                    <w:sz w:val="18"/>
                    <w:szCs w:val="18"/>
                    <w:lang w:eastAsia="es-CO"/>
                  </w:rPr>
                  <w:t>4.1.10.34</w:t>
                </w:r>
              </w:p>
            </w:tc>
            <w:tc>
              <w:tcPr>
                <w:tcW w:w="2039" w:type="dxa"/>
                <w:shd w:val="clear" w:color="auto" w:fill="auto"/>
                <w:vAlign w:val="center"/>
                <w:hideMark/>
              </w:tcPr>
              <w:p w14:paraId="0895B720" w14:textId="77777777" w:rsidR="0063503F" w:rsidRPr="00622A53" w:rsidRDefault="0063503F" w:rsidP="0063503F">
                <w:pPr>
                  <w:spacing w:after="0" w:line="240" w:lineRule="auto"/>
                  <w:rPr>
                    <w:rFonts w:ascii="Times New Roman" w:eastAsia="Times New Roman" w:hAnsi="Times New Roman"/>
                    <w:color w:val="000000"/>
                    <w:sz w:val="18"/>
                    <w:szCs w:val="18"/>
                    <w:lang w:eastAsia="es-CO"/>
                  </w:rPr>
                </w:pPr>
                <w:r w:rsidRPr="00622A53">
                  <w:rPr>
                    <w:rFonts w:ascii="Times New Roman" w:eastAsia="Times New Roman" w:hAnsi="Times New Roman"/>
                    <w:color w:val="000000"/>
                    <w:sz w:val="18"/>
                    <w:szCs w:val="18"/>
                    <w:lang w:eastAsia="es-CO"/>
                  </w:rPr>
                  <w:t>Derechos de Transito</w:t>
                </w:r>
              </w:p>
            </w:tc>
            <w:tc>
              <w:tcPr>
                <w:tcW w:w="1740" w:type="dxa"/>
                <w:shd w:val="clear" w:color="auto" w:fill="auto"/>
                <w:vAlign w:val="center"/>
                <w:hideMark/>
              </w:tcPr>
              <w:p w14:paraId="729EF90D" w14:textId="4F743663" w:rsidR="0063503F" w:rsidRPr="00622A53" w:rsidRDefault="0063503F" w:rsidP="0063503F">
                <w:pPr>
                  <w:spacing w:after="0" w:line="240" w:lineRule="auto"/>
                  <w:jc w:val="right"/>
                  <w:rPr>
                    <w:rFonts w:ascii="Times New Roman" w:eastAsia="Times New Roman" w:hAnsi="Times New Roman"/>
                    <w:color w:val="000000"/>
                    <w:sz w:val="18"/>
                    <w:szCs w:val="18"/>
                    <w:lang w:eastAsia="es-CO"/>
                  </w:rPr>
                </w:pPr>
                <w:r w:rsidRPr="00622A53">
                  <w:rPr>
                    <w:rFonts w:ascii="Times New Roman" w:eastAsia="Times New Roman" w:hAnsi="Times New Roman"/>
                    <w:color w:val="000000"/>
                    <w:sz w:val="18"/>
                    <w:szCs w:val="18"/>
                    <w:lang w:eastAsia="es-CO"/>
                  </w:rPr>
                  <w:t>205.051.145.50</w:t>
                </w:r>
                <w:r w:rsidR="00653DE9">
                  <w:rPr>
                    <w:rFonts w:ascii="Times New Roman" w:eastAsia="Times New Roman" w:hAnsi="Times New Roman"/>
                    <w:color w:val="000000"/>
                    <w:sz w:val="18"/>
                    <w:szCs w:val="18"/>
                    <w:lang w:eastAsia="es-CO"/>
                  </w:rPr>
                  <w:t>4</w:t>
                </w:r>
              </w:p>
            </w:tc>
            <w:tc>
              <w:tcPr>
                <w:tcW w:w="1479" w:type="dxa"/>
                <w:shd w:val="clear" w:color="auto" w:fill="auto"/>
                <w:vAlign w:val="center"/>
                <w:hideMark/>
              </w:tcPr>
              <w:p w14:paraId="57C54AED" w14:textId="77777777" w:rsidR="0063503F" w:rsidRPr="00622A53" w:rsidRDefault="0063503F" w:rsidP="0063503F">
                <w:pPr>
                  <w:spacing w:after="0" w:line="240" w:lineRule="auto"/>
                  <w:rPr>
                    <w:rFonts w:ascii="Times New Roman" w:eastAsia="Times New Roman" w:hAnsi="Times New Roman"/>
                    <w:color w:val="000000"/>
                    <w:sz w:val="18"/>
                    <w:szCs w:val="18"/>
                    <w:lang w:eastAsia="es-CO"/>
                  </w:rPr>
                </w:pPr>
                <w:r w:rsidRPr="00622A53">
                  <w:rPr>
                    <w:rFonts w:ascii="Times New Roman" w:eastAsia="Times New Roman" w:hAnsi="Times New Roman"/>
                    <w:color w:val="000000"/>
                    <w:sz w:val="18"/>
                    <w:szCs w:val="18"/>
                    <w:lang w:eastAsia="es-CO"/>
                  </w:rPr>
                  <w:t xml:space="preserve"> </w:t>
                </w:r>
              </w:p>
            </w:tc>
            <w:tc>
              <w:tcPr>
                <w:tcW w:w="1609" w:type="dxa"/>
                <w:shd w:val="clear" w:color="auto" w:fill="auto"/>
                <w:vAlign w:val="center"/>
                <w:hideMark/>
              </w:tcPr>
              <w:p w14:paraId="46D852D2" w14:textId="0B392804" w:rsidR="0063503F" w:rsidRPr="00622A53" w:rsidRDefault="0063503F" w:rsidP="0063503F">
                <w:pPr>
                  <w:spacing w:after="0" w:line="240" w:lineRule="auto"/>
                  <w:jc w:val="right"/>
                  <w:rPr>
                    <w:rFonts w:ascii="Times New Roman" w:eastAsia="Times New Roman" w:hAnsi="Times New Roman"/>
                    <w:color w:val="000000"/>
                    <w:sz w:val="18"/>
                    <w:szCs w:val="18"/>
                    <w:lang w:eastAsia="es-CO"/>
                  </w:rPr>
                </w:pPr>
                <w:r w:rsidRPr="00622A53">
                  <w:rPr>
                    <w:rFonts w:ascii="Times New Roman" w:eastAsia="Times New Roman" w:hAnsi="Times New Roman"/>
                    <w:color w:val="000000"/>
                    <w:sz w:val="18"/>
                    <w:szCs w:val="18"/>
                    <w:lang w:eastAsia="es-CO"/>
                  </w:rPr>
                  <w:t>205.051.145.50</w:t>
                </w:r>
                <w:r w:rsidR="00653DE9">
                  <w:rPr>
                    <w:rFonts w:ascii="Times New Roman" w:eastAsia="Times New Roman" w:hAnsi="Times New Roman"/>
                    <w:color w:val="000000"/>
                    <w:sz w:val="18"/>
                    <w:szCs w:val="18"/>
                    <w:lang w:eastAsia="es-CO"/>
                  </w:rPr>
                  <w:t>4</w:t>
                </w:r>
              </w:p>
            </w:tc>
            <w:tc>
              <w:tcPr>
                <w:tcW w:w="1183" w:type="dxa"/>
                <w:shd w:val="clear" w:color="auto" w:fill="auto"/>
                <w:vAlign w:val="center"/>
                <w:hideMark/>
              </w:tcPr>
              <w:p w14:paraId="73EE0B44" w14:textId="77777777" w:rsidR="0063503F" w:rsidRPr="00622A53" w:rsidRDefault="0063503F" w:rsidP="0063503F">
                <w:pPr>
                  <w:spacing w:after="0" w:line="240" w:lineRule="auto"/>
                  <w:jc w:val="center"/>
                  <w:rPr>
                    <w:rFonts w:ascii="Times New Roman" w:eastAsia="Times New Roman" w:hAnsi="Times New Roman"/>
                    <w:b/>
                    <w:color w:val="000000"/>
                    <w:sz w:val="18"/>
                    <w:szCs w:val="18"/>
                    <w:lang w:eastAsia="es-CO"/>
                  </w:rPr>
                </w:pPr>
                <w:r w:rsidRPr="00622A53">
                  <w:rPr>
                    <w:rFonts w:ascii="Times New Roman" w:eastAsia="Times New Roman" w:hAnsi="Times New Roman"/>
                    <w:b/>
                    <w:color w:val="000000"/>
                    <w:sz w:val="18"/>
                    <w:szCs w:val="18"/>
                    <w:lang w:eastAsia="es-CO"/>
                  </w:rPr>
                  <w:t>0%</w:t>
                </w:r>
              </w:p>
            </w:tc>
          </w:tr>
        </w:tbl>
        <w:p w14:paraId="2BC9C41E" w14:textId="410D2042" w:rsidR="63B74B46" w:rsidRDefault="63B74B46" w:rsidP="02E3AD61">
          <w:pPr>
            <w:ind w:left="-20" w:right="-20"/>
            <w:jc w:val="both"/>
          </w:pPr>
          <w:r w:rsidRPr="02E3AD61">
            <w:rPr>
              <w:rFonts w:ascii="Times New Roman" w:eastAsia="Times New Roman" w:hAnsi="Times New Roman"/>
              <w:sz w:val="16"/>
              <w:szCs w:val="16"/>
            </w:rPr>
            <w:t xml:space="preserve"> </w:t>
          </w:r>
          <w:r w:rsidRPr="02E3AD61">
            <w:rPr>
              <w:rFonts w:ascii="Times New Roman" w:eastAsia="Times New Roman" w:hAnsi="Times New Roman"/>
              <w:sz w:val="14"/>
              <w:szCs w:val="14"/>
            </w:rPr>
            <w:t>Cifras expresadas en pesos</w:t>
          </w:r>
          <w:r w:rsidRPr="02E3AD61">
            <w:rPr>
              <w:rFonts w:ascii="Times New Roman" w:eastAsia="Times New Roman" w:hAnsi="Times New Roman"/>
              <w:sz w:val="24"/>
              <w:szCs w:val="24"/>
            </w:rPr>
            <w:t xml:space="preserve"> </w:t>
          </w:r>
        </w:p>
        <w:p w14:paraId="5F8561CC" w14:textId="2B33009E" w:rsidR="55A3E571" w:rsidRDefault="63B74B46" w:rsidP="02E3AD61">
          <w:pPr>
            <w:ind w:left="-20" w:right="-20"/>
            <w:jc w:val="both"/>
          </w:pPr>
          <w:r w:rsidRPr="02E3AD61">
            <w:rPr>
              <w:rFonts w:ascii="Times New Roman" w:eastAsia="Times New Roman" w:hAnsi="Times New Roman"/>
              <w:sz w:val="12"/>
              <w:szCs w:val="12"/>
            </w:rPr>
            <w:t xml:space="preserve"> </w:t>
          </w:r>
          <w:r w:rsidR="55A3E571" w:rsidRPr="02E3AD61">
            <w:rPr>
              <w:rFonts w:ascii="Times New Roman" w:eastAsia="Times New Roman" w:hAnsi="Times New Roman"/>
              <w:sz w:val="24"/>
              <w:szCs w:val="24"/>
            </w:rPr>
            <w:t xml:space="preserve">Las Sanciones por valor de $ 6.501.100.935, corresponden a ingresos imputados en virtud de actos administrativos expedidos por la Agencia Nacional de Infraestructura, previamente </w:t>
          </w:r>
          <w:r w:rsidR="55A3E571" w:rsidRPr="02E3AD61">
            <w:rPr>
              <w:rFonts w:ascii="Times New Roman" w:eastAsia="Times New Roman" w:hAnsi="Times New Roman"/>
              <w:sz w:val="24"/>
              <w:szCs w:val="24"/>
            </w:rPr>
            <w:lastRenderedPageBreak/>
            <w:t>ejecutoriados, cuya naturaleza obedece a sanciones contractuales.  Se relaciona el saldo a 31 de diciembre de 2023 a nivel de terceros:</w:t>
          </w:r>
        </w:p>
        <w:p w14:paraId="05F6BD3B" w14:textId="4FD6389E" w:rsidR="004E134B" w:rsidRPr="00931DCE" w:rsidRDefault="004E134B" w:rsidP="00CD7FBF">
          <w:pPr>
            <w:spacing w:after="0" w:line="240" w:lineRule="auto"/>
            <w:jc w:val="both"/>
            <w:rPr>
              <w:rFonts w:ascii="Times New Roman" w:hAnsi="Times New Roman"/>
              <w:sz w:val="14"/>
              <w:szCs w:val="14"/>
            </w:rPr>
          </w:pPr>
        </w:p>
        <w:tbl>
          <w:tblPr>
            <w:tblW w:w="5082" w:type="pct"/>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blBorders>
            <w:tblCellMar>
              <w:left w:w="70" w:type="dxa"/>
              <w:right w:w="70" w:type="dxa"/>
            </w:tblCellMar>
            <w:tblLook w:val="04A0" w:firstRow="1" w:lastRow="0" w:firstColumn="1" w:lastColumn="0" w:noHBand="0" w:noVBand="1"/>
          </w:tblPr>
          <w:tblGrid>
            <w:gridCol w:w="1367"/>
            <w:gridCol w:w="6045"/>
            <w:gridCol w:w="1694"/>
          </w:tblGrid>
          <w:tr w:rsidR="00177B56" w:rsidRPr="00C374BB" w14:paraId="37FEF5B5" w14:textId="77777777" w:rsidTr="00C374BB">
            <w:trPr>
              <w:trHeight w:val="268"/>
            </w:trPr>
            <w:tc>
              <w:tcPr>
                <w:tcW w:w="751" w:type="pct"/>
                <w:shd w:val="clear" w:color="auto" w:fill="auto"/>
                <w:vAlign w:val="center"/>
                <w:hideMark/>
              </w:tcPr>
              <w:p w14:paraId="13D83294" w14:textId="4C154428" w:rsidR="00177B56" w:rsidRPr="00C374BB" w:rsidRDefault="00464A86" w:rsidP="00177B56">
                <w:pPr>
                  <w:spacing w:after="0" w:line="240" w:lineRule="auto"/>
                  <w:jc w:val="both"/>
                  <w:rPr>
                    <w:rFonts w:ascii="Times New Roman" w:eastAsia="Times New Roman" w:hAnsi="Times New Roman"/>
                    <w:b/>
                    <w:bCs/>
                    <w:color w:val="000000"/>
                    <w:sz w:val="14"/>
                    <w:szCs w:val="14"/>
                    <w:lang w:eastAsia="es-CO"/>
                  </w:rPr>
                </w:pPr>
                <w:r w:rsidRPr="00C374BB">
                  <w:rPr>
                    <w:rFonts w:ascii="Times New Roman" w:eastAsia="Times New Roman" w:hAnsi="Times New Roman"/>
                    <w:b/>
                    <w:bCs/>
                    <w:color w:val="000000"/>
                    <w:sz w:val="14"/>
                    <w:szCs w:val="14"/>
                    <w:lang w:eastAsia="es-CO"/>
                  </w:rPr>
                  <w:t>IDENTIFICACIÓN</w:t>
                </w:r>
              </w:p>
            </w:tc>
            <w:tc>
              <w:tcPr>
                <w:tcW w:w="3319" w:type="pct"/>
                <w:shd w:val="clear" w:color="auto" w:fill="auto"/>
                <w:vAlign w:val="center"/>
                <w:hideMark/>
              </w:tcPr>
              <w:p w14:paraId="68190399" w14:textId="6818139F" w:rsidR="00177B56" w:rsidRPr="00C374BB" w:rsidRDefault="00464A86" w:rsidP="00177B56">
                <w:pPr>
                  <w:spacing w:after="0" w:line="240" w:lineRule="auto"/>
                  <w:jc w:val="both"/>
                  <w:rPr>
                    <w:rFonts w:ascii="Times New Roman" w:eastAsia="Times New Roman" w:hAnsi="Times New Roman"/>
                    <w:b/>
                    <w:bCs/>
                    <w:color w:val="000000"/>
                    <w:sz w:val="14"/>
                    <w:szCs w:val="14"/>
                    <w:lang w:eastAsia="es-CO"/>
                  </w:rPr>
                </w:pPr>
                <w:r w:rsidRPr="00C374BB">
                  <w:rPr>
                    <w:rFonts w:ascii="Times New Roman" w:eastAsia="Times New Roman" w:hAnsi="Times New Roman"/>
                    <w:b/>
                    <w:bCs/>
                    <w:color w:val="000000"/>
                    <w:sz w:val="14"/>
                    <w:szCs w:val="14"/>
                    <w:lang w:eastAsia="es-CO"/>
                  </w:rPr>
                  <w:t>DESCRIPCIÓN</w:t>
                </w:r>
              </w:p>
            </w:tc>
            <w:tc>
              <w:tcPr>
                <w:tcW w:w="930" w:type="pct"/>
                <w:shd w:val="clear" w:color="auto" w:fill="auto"/>
                <w:vAlign w:val="center"/>
                <w:hideMark/>
              </w:tcPr>
              <w:p w14:paraId="22ABE863" w14:textId="1BD852A8" w:rsidR="00177B56" w:rsidRPr="00C374BB" w:rsidRDefault="00464A86" w:rsidP="00177B56">
                <w:pPr>
                  <w:spacing w:after="0" w:line="240" w:lineRule="auto"/>
                  <w:jc w:val="center"/>
                  <w:rPr>
                    <w:rFonts w:ascii="Times New Roman" w:eastAsia="Times New Roman" w:hAnsi="Times New Roman"/>
                    <w:b/>
                    <w:bCs/>
                    <w:color w:val="000000"/>
                    <w:sz w:val="14"/>
                    <w:szCs w:val="14"/>
                    <w:lang w:eastAsia="es-CO"/>
                  </w:rPr>
                </w:pPr>
                <w:r w:rsidRPr="00C374BB">
                  <w:rPr>
                    <w:rFonts w:ascii="Times New Roman" w:eastAsia="Times New Roman" w:hAnsi="Times New Roman"/>
                    <w:b/>
                    <w:bCs/>
                    <w:color w:val="000000"/>
                    <w:sz w:val="14"/>
                    <w:szCs w:val="14"/>
                    <w:lang w:eastAsia="es-CO"/>
                  </w:rPr>
                  <w:t>SALDO A 31 DE DICIEMBRE 2023</w:t>
                </w:r>
              </w:p>
            </w:tc>
          </w:tr>
          <w:tr w:rsidR="00177B56" w:rsidRPr="00C374BB" w14:paraId="6458F18B" w14:textId="77777777" w:rsidTr="00C374BB">
            <w:trPr>
              <w:trHeight w:val="268"/>
            </w:trPr>
            <w:tc>
              <w:tcPr>
                <w:tcW w:w="751" w:type="pct"/>
                <w:shd w:val="clear" w:color="auto" w:fill="auto"/>
                <w:vAlign w:val="center"/>
                <w:hideMark/>
              </w:tcPr>
              <w:p w14:paraId="4B24EF21" w14:textId="77777777" w:rsidR="00177B56" w:rsidRPr="00C374BB" w:rsidRDefault="00177B56" w:rsidP="00177B56">
                <w:pPr>
                  <w:spacing w:after="0" w:line="240" w:lineRule="auto"/>
                  <w:jc w:val="both"/>
                  <w:rPr>
                    <w:rFonts w:ascii="Times New Roman" w:eastAsia="Times New Roman" w:hAnsi="Times New Roman"/>
                    <w:color w:val="000000"/>
                    <w:sz w:val="14"/>
                    <w:szCs w:val="14"/>
                    <w:lang w:eastAsia="es-CO"/>
                  </w:rPr>
                </w:pPr>
                <w:r w:rsidRPr="00C374BB">
                  <w:rPr>
                    <w:rFonts w:ascii="Times New Roman" w:eastAsia="Times New Roman" w:hAnsi="Times New Roman"/>
                    <w:color w:val="000000"/>
                    <w:sz w:val="14"/>
                    <w:szCs w:val="14"/>
                    <w:lang w:eastAsia="es-CO"/>
                  </w:rPr>
                  <w:t>900816750</w:t>
                </w:r>
              </w:p>
            </w:tc>
            <w:tc>
              <w:tcPr>
                <w:tcW w:w="3319" w:type="pct"/>
                <w:shd w:val="clear" w:color="auto" w:fill="auto"/>
                <w:vAlign w:val="center"/>
                <w:hideMark/>
              </w:tcPr>
              <w:p w14:paraId="62F69EAD" w14:textId="77777777" w:rsidR="00177B56" w:rsidRPr="00C374BB" w:rsidRDefault="00177B56" w:rsidP="00177B56">
                <w:pPr>
                  <w:spacing w:after="0" w:line="240" w:lineRule="auto"/>
                  <w:jc w:val="both"/>
                  <w:rPr>
                    <w:rFonts w:ascii="Times New Roman" w:eastAsia="Times New Roman" w:hAnsi="Times New Roman"/>
                    <w:color w:val="000000"/>
                    <w:sz w:val="14"/>
                    <w:szCs w:val="14"/>
                    <w:lang w:eastAsia="es-CO"/>
                  </w:rPr>
                </w:pPr>
                <w:r w:rsidRPr="00C374BB">
                  <w:rPr>
                    <w:rFonts w:ascii="Times New Roman" w:eastAsia="Times New Roman" w:hAnsi="Times New Roman"/>
                    <w:color w:val="000000"/>
                    <w:sz w:val="14"/>
                    <w:szCs w:val="14"/>
                    <w:lang w:eastAsia="es-CO"/>
                  </w:rPr>
                  <w:t>APP GICA S.A.</w:t>
                </w:r>
              </w:p>
            </w:tc>
            <w:tc>
              <w:tcPr>
                <w:tcW w:w="930" w:type="pct"/>
                <w:shd w:val="clear" w:color="auto" w:fill="auto"/>
                <w:vAlign w:val="center"/>
                <w:hideMark/>
              </w:tcPr>
              <w:p w14:paraId="2A323CF3" w14:textId="5EAB8164" w:rsidR="00177B56" w:rsidRPr="00C374BB" w:rsidRDefault="00177B56" w:rsidP="00177B56">
                <w:pPr>
                  <w:spacing w:after="0" w:line="240" w:lineRule="auto"/>
                  <w:jc w:val="right"/>
                  <w:rPr>
                    <w:rFonts w:ascii="Times New Roman" w:eastAsia="Times New Roman" w:hAnsi="Times New Roman"/>
                    <w:color w:val="000000"/>
                    <w:sz w:val="14"/>
                    <w:szCs w:val="14"/>
                    <w:lang w:eastAsia="es-CO"/>
                  </w:rPr>
                </w:pPr>
                <w:r w:rsidRPr="00C374BB">
                  <w:rPr>
                    <w:rFonts w:ascii="Times New Roman" w:eastAsia="Times New Roman" w:hAnsi="Times New Roman"/>
                    <w:color w:val="000000"/>
                    <w:sz w:val="14"/>
                    <w:szCs w:val="14"/>
                    <w:lang w:eastAsia="es-CO"/>
                  </w:rPr>
                  <w:t>5.040.000.000</w:t>
                </w:r>
              </w:p>
            </w:tc>
          </w:tr>
          <w:tr w:rsidR="00177B56" w:rsidRPr="00C374BB" w14:paraId="34EF4AA4" w14:textId="77777777" w:rsidTr="00C374BB">
            <w:trPr>
              <w:trHeight w:val="268"/>
            </w:trPr>
            <w:tc>
              <w:tcPr>
                <w:tcW w:w="751" w:type="pct"/>
                <w:shd w:val="clear" w:color="auto" w:fill="auto"/>
                <w:vAlign w:val="center"/>
                <w:hideMark/>
              </w:tcPr>
              <w:p w14:paraId="43375556" w14:textId="77777777" w:rsidR="00177B56" w:rsidRPr="00C374BB" w:rsidRDefault="00177B56" w:rsidP="00177B56">
                <w:pPr>
                  <w:spacing w:after="0" w:line="240" w:lineRule="auto"/>
                  <w:jc w:val="both"/>
                  <w:rPr>
                    <w:rFonts w:ascii="Times New Roman" w:eastAsia="Times New Roman" w:hAnsi="Times New Roman"/>
                    <w:color w:val="000000"/>
                    <w:sz w:val="14"/>
                    <w:szCs w:val="14"/>
                    <w:lang w:eastAsia="es-CO"/>
                  </w:rPr>
                </w:pPr>
                <w:r w:rsidRPr="00C374BB">
                  <w:rPr>
                    <w:rFonts w:ascii="Times New Roman" w:eastAsia="Times New Roman" w:hAnsi="Times New Roman"/>
                    <w:color w:val="000000"/>
                    <w:sz w:val="14"/>
                    <w:szCs w:val="14"/>
                    <w:lang w:eastAsia="es-CO"/>
                  </w:rPr>
                  <w:t>900364519</w:t>
                </w:r>
              </w:p>
            </w:tc>
            <w:tc>
              <w:tcPr>
                <w:tcW w:w="3319" w:type="pct"/>
                <w:shd w:val="clear" w:color="auto" w:fill="auto"/>
                <w:vAlign w:val="center"/>
                <w:hideMark/>
              </w:tcPr>
              <w:p w14:paraId="3CD1970A" w14:textId="77777777" w:rsidR="00177B56" w:rsidRPr="00C374BB" w:rsidRDefault="00177B56" w:rsidP="00177B56">
                <w:pPr>
                  <w:spacing w:after="0" w:line="240" w:lineRule="auto"/>
                  <w:jc w:val="both"/>
                  <w:rPr>
                    <w:rFonts w:ascii="Times New Roman" w:eastAsia="Times New Roman" w:hAnsi="Times New Roman"/>
                    <w:color w:val="000000"/>
                    <w:sz w:val="14"/>
                    <w:szCs w:val="14"/>
                    <w:lang w:eastAsia="es-CO"/>
                  </w:rPr>
                </w:pPr>
                <w:r w:rsidRPr="00C374BB">
                  <w:rPr>
                    <w:rFonts w:ascii="Times New Roman" w:eastAsia="Times New Roman" w:hAnsi="Times New Roman"/>
                    <w:color w:val="000000"/>
                    <w:sz w:val="14"/>
                    <w:szCs w:val="14"/>
                    <w:lang w:eastAsia="es-CO"/>
                  </w:rPr>
                  <w:t>SOCIEDAD PORTUARIA LAS AMERICAS S. A</w:t>
                </w:r>
              </w:p>
            </w:tc>
            <w:tc>
              <w:tcPr>
                <w:tcW w:w="930" w:type="pct"/>
                <w:shd w:val="clear" w:color="auto" w:fill="auto"/>
                <w:vAlign w:val="center"/>
                <w:hideMark/>
              </w:tcPr>
              <w:p w14:paraId="4F9C2975" w14:textId="410CFBAB" w:rsidR="00177B56" w:rsidRPr="00C374BB" w:rsidRDefault="00177B56" w:rsidP="00177B56">
                <w:pPr>
                  <w:spacing w:after="0" w:line="240" w:lineRule="auto"/>
                  <w:jc w:val="right"/>
                  <w:rPr>
                    <w:rFonts w:ascii="Times New Roman" w:eastAsia="Times New Roman" w:hAnsi="Times New Roman"/>
                    <w:color w:val="000000"/>
                    <w:sz w:val="14"/>
                    <w:szCs w:val="14"/>
                    <w:lang w:eastAsia="es-CO"/>
                  </w:rPr>
                </w:pPr>
                <w:r w:rsidRPr="00C374BB">
                  <w:rPr>
                    <w:rFonts w:ascii="Times New Roman" w:eastAsia="Times New Roman" w:hAnsi="Times New Roman"/>
                    <w:color w:val="000000"/>
                    <w:sz w:val="14"/>
                    <w:szCs w:val="14"/>
                    <w:lang w:eastAsia="es-CO"/>
                  </w:rPr>
                  <w:t>1.108.585.73</w:t>
                </w:r>
                <w:r w:rsidR="00653DE9" w:rsidRPr="00C374BB">
                  <w:rPr>
                    <w:rFonts w:ascii="Times New Roman" w:eastAsia="Times New Roman" w:hAnsi="Times New Roman"/>
                    <w:color w:val="000000"/>
                    <w:sz w:val="14"/>
                    <w:szCs w:val="14"/>
                    <w:lang w:eastAsia="es-CO"/>
                  </w:rPr>
                  <w:t>4</w:t>
                </w:r>
              </w:p>
            </w:tc>
          </w:tr>
          <w:tr w:rsidR="00177B56" w:rsidRPr="00C374BB" w14:paraId="1806F9C8" w14:textId="77777777" w:rsidTr="00C374BB">
            <w:trPr>
              <w:trHeight w:val="268"/>
            </w:trPr>
            <w:tc>
              <w:tcPr>
                <w:tcW w:w="751" w:type="pct"/>
                <w:shd w:val="clear" w:color="auto" w:fill="auto"/>
                <w:vAlign w:val="center"/>
                <w:hideMark/>
              </w:tcPr>
              <w:p w14:paraId="5B0F46F3" w14:textId="77777777" w:rsidR="00177B56" w:rsidRPr="00C374BB" w:rsidRDefault="00177B56" w:rsidP="00177B56">
                <w:pPr>
                  <w:spacing w:after="0" w:line="240" w:lineRule="auto"/>
                  <w:jc w:val="both"/>
                  <w:rPr>
                    <w:rFonts w:ascii="Times New Roman" w:eastAsia="Times New Roman" w:hAnsi="Times New Roman"/>
                    <w:color w:val="000000"/>
                    <w:sz w:val="14"/>
                    <w:szCs w:val="14"/>
                    <w:lang w:eastAsia="es-CO"/>
                  </w:rPr>
                </w:pPr>
                <w:r w:rsidRPr="00C374BB">
                  <w:rPr>
                    <w:rFonts w:ascii="Times New Roman" w:eastAsia="Times New Roman" w:hAnsi="Times New Roman"/>
                    <w:color w:val="000000"/>
                    <w:sz w:val="14"/>
                    <w:szCs w:val="14"/>
                    <w:lang w:eastAsia="es-CO"/>
                  </w:rPr>
                  <w:t>830146124</w:t>
                </w:r>
              </w:p>
            </w:tc>
            <w:tc>
              <w:tcPr>
                <w:tcW w:w="3319" w:type="pct"/>
                <w:shd w:val="clear" w:color="auto" w:fill="auto"/>
                <w:vAlign w:val="center"/>
                <w:hideMark/>
              </w:tcPr>
              <w:p w14:paraId="7421BC27" w14:textId="77777777" w:rsidR="00177B56" w:rsidRPr="00C374BB" w:rsidRDefault="00177B56" w:rsidP="00177B56">
                <w:pPr>
                  <w:spacing w:after="0" w:line="240" w:lineRule="auto"/>
                  <w:jc w:val="both"/>
                  <w:rPr>
                    <w:rFonts w:ascii="Times New Roman" w:eastAsia="Times New Roman" w:hAnsi="Times New Roman"/>
                    <w:color w:val="000000"/>
                    <w:sz w:val="14"/>
                    <w:szCs w:val="14"/>
                    <w:lang w:eastAsia="es-CO"/>
                  </w:rPr>
                </w:pPr>
                <w:r w:rsidRPr="00C374BB">
                  <w:rPr>
                    <w:rFonts w:ascii="Times New Roman" w:eastAsia="Times New Roman" w:hAnsi="Times New Roman"/>
                    <w:color w:val="000000"/>
                    <w:sz w:val="14"/>
                    <w:szCs w:val="14"/>
                    <w:lang w:eastAsia="es-CO"/>
                  </w:rPr>
                  <w:t>DIGICOM SYSTEM CORPORATION SA</w:t>
                </w:r>
              </w:p>
            </w:tc>
            <w:tc>
              <w:tcPr>
                <w:tcW w:w="930" w:type="pct"/>
                <w:shd w:val="clear" w:color="auto" w:fill="auto"/>
                <w:vAlign w:val="center"/>
                <w:hideMark/>
              </w:tcPr>
              <w:p w14:paraId="4D3C293D" w14:textId="33C484E6" w:rsidR="00177B56" w:rsidRPr="00C374BB" w:rsidRDefault="00177B56" w:rsidP="00177B56">
                <w:pPr>
                  <w:spacing w:after="0" w:line="240" w:lineRule="auto"/>
                  <w:jc w:val="right"/>
                  <w:rPr>
                    <w:rFonts w:ascii="Times New Roman" w:eastAsia="Times New Roman" w:hAnsi="Times New Roman"/>
                    <w:color w:val="000000"/>
                    <w:sz w:val="14"/>
                    <w:szCs w:val="14"/>
                    <w:lang w:eastAsia="es-CO"/>
                  </w:rPr>
                </w:pPr>
                <w:r w:rsidRPr="00C374BB">
                  <w:rPr>
                    <w:rFonts w:ascii="Times New Roman" w:eastAsia="Times New Roman" w:hAnsi="Times New Roman"/>
                    <w:color w:val="000000"/>
                    <w:sz w:val="14"/>
                    <w:szCs w:val="14"/>
                    <w:lang w:eastAsia="es-CO"/>
                  </w:rPr>
                  <w:t>262.867.895</w:t>
                </w:r>
              </w:p>
            </w:tc>
          </w:tr>
          <w:tr w:rsidR="00177B56" w:rsidRPr="00C374BB" w14:paraId="424861DF" w14:textId="77777777" w:rsidTr="00C374BB">
            <w:trPr>
              <w:trHeight w:val="268"/>
            </w:trPr>
            <w:tc>
              <w:tcPr>
                <w:tcW w:w="751" w:type="pct"/>
                <w:shd w:val="clear" w:color="auto" w:fill="auto"/>
                <w:vAlign w:val="center"/>
                <w:hideMark/>
              </w:tcPr>
              <w:p w14:paraId="5EA9215B" w14:textId="77777777" w:rsidR="00177B56" w:rsidRPr="00C374BB" w:rsidRDefault="00177B56" w:rsidP="00177B56">
                <w:pPr>
                  <w:spacing w:after="0" w:line="240" w:lineRule="auto"/>
                  <w:jc w:val="both"/>
                  <w:rPr>
                    <w:rFonts w:ascii="Times New Roman" w:eastAsia="Times New Roman" w:hAnsi="Times New Roman"/>
                    <w:color w:val="000000"/>
                    <w:sz w:val="14"/>
                    <w:szCs w:val="14"/>
                    <w:lang w:eastAsia="es-CO"/>
                  </w:rPr>
                </w:pPr>
                <w:r w:rsidRPr="00C374BB">
                  <w:rPr>
                    <w:rFonts w:ascii="Times New Roman" w:eastAsia="Times New Roman" w:hAnsi="Times New Roman"/>
                    <w:color w:val="000000"/>
                    <w:sz w:val="14"/>
                    <w:szCs w:val="14"/>
                    <w:lang w:eastAsia="es-CO"/>
                  </w:rPr>
                  <w:t>900739289</w:t>
                </w:r>
              </w:p>
            </w:tc>
            <w:tc>
              <w:tcPr>
                <w:tcW w:w="3319" w:type="pct"/>
                <w:shd w:val="clear" w:color="auto" w:fill="auto"/>
                <w:vAlign w:val="center"/>
                <w:hideMark/>
              </w:tcPr>
              <w:p w14:paraId="197186A3" w14:textId="77777777" w:rsidR="00177B56" w:rsidRPr="00C374BB" w:rsidRDefault="00177B56" w:rsidP="00177B56">
                <w:pPr>
                  <w:spacing w:after="0" w:line="240" w:lineRule="auto"/>
                  <w:jc w:val="both"/>
                  <w:rPr>
                    <w:rFonts w:ascii="Times New Roman" w:eastAsia="Times New Roman" w:hAnsi="Times New Roman"/>
                    <w:color w:val="000000"/>
                    <w:sz w:val="14"/>
                    <w:szCs w:val="14"/>
                    <w:lang w:eastAsia="es-CO"/>
                  </w:rPr>
                </w:pPr>
                <w:r w:rsidRPr="00C374BB">
                  <w:rPr>
                    <w:rFonts w:ascii="Times New Roman" w:eastAsia="Times New Roman" w:hAnsi="Times New Roman"/>
                    <w:color w:val="000000"/>
                    <w:sz w:val="14"/>
                    <w:szCs w:val="14"/>
                    <w:lang w:eastAsia="es-CO"/>
                  </w:rPr>
                  <w:t>SOCIEDAD PORTUARIA ENERGETICA MULTIPROPOSITO Y CONTENEDORES PUERTO SOLO BUENAVENTURA S. A</w:t>
                </w:r>
              </w:p>
            </w:tc>
            <w:tc>
              <w:tcPr>
                <w:tcW w:w="930" w:type="pct"/>
                <w:shd w:val="clear" w:color="auto" w:fill="auto"/>
                <w:vAlign w:val="center"/>
                <w:hideMark/>
              </w:tcPr>
              <w:p w14:paraId="3346E83E" w14:textId="1C2F8C34" w:rsidR="00177B56" w:rsidRPr="00C374BB" w:rsidRDefault="00177B56" w:rsidP="00177B56">
                <w:pPr>
                  <w:spacing w:after="0" w:line="240" w:lineRule="auto"/>
                  <w:jc w:val="right"/>
                  <w:rPr>
                    <w:rFonts w:ascii="Times New Roman" w:eastAsia="Times New Roman" w:hAnsi="Times New Roman"/>
                    <w:color w:val="000000"/>
                    <w:sz w:val="14"/>
                    <w:szCs w:val="14"/>
                    <w:lang w:eastAsia="es-CO"/>
                  </w:rPr>
                </w:pPr>
                <w:r w:rsidRPr="00C374BB">
                  <w:rPr>
                    <w:rFonts w:ascii="Times New Roman" w:eastAsia="Times New Roman" w:hAnsi="Times New Roman"/>
                    <w:color w:val="000000"/>
                    <w:sz w:val="14"/>
                    <w:szCs w:val="14"/>
                    <w:lang w:eastAsia="es-CO"/>
                  </w:rPr>
                  <w:t>43.945.87</w:t>
                </w:r>
                <w:r w:rsidR="00653DE9" w:rsidRPr="00C374BB">
                  <w:rPr>
                    <w:rFonts w:ascii="Times New Roman" w:eastAsia="Times New Roman" w:hAnsi="Times New Roman"/>
                    <w:color w:val="000000"/>
                    <w:sz w:val="14"/>
                    <w:szCs w:val="14"/>
                    <w:lang w:eastAsia="es-CO"/>
                  </w:rPr>
                  <w:t>1</w:t>
                </w:r>
              </w:p>
            </w:tc>
          </w:tr>
          <w:tr w:rsidR="00177B56" w:rsidRPr="00C374BB" w14:paraId="333B49D6" w14:textId="77777777" w:rsidTr="00C374BB">
            <w:trPr>
              <w:trHeight w:val="268"/>
            </w:trPr>
            <w:tc>
              <w:tcPr>
                <w:tcW w:w="751" w:type="pct"/>
                <w:shd w:val="clear" w:color="auto" w:fill="auto"/>
                <w:vAlign w:val="center"/>
                <w:hideMark/>
              </w:tcPr>
              <w:p w14:paraId="6DDF8F8F" w14:textId="77777777" w:rsidR="00177B56" w:rsidRPr="00C374BB" w:rsidRDefault="00177B56" w:rsidP="00177B56">
                <w:pPr>
                  <w:spacing w:after="0" w:line="240" w:lineRule="auto"/>
                  <w:jc w:val="both"/>
                  <w:rPr>
                    <w:rFonts w:ascii="Times New Roman" w:eastAsia="Times New Roman" w:hAnsi="Times New Roman"/>
                    <w:color w:val="000000"/>
                    <w:sz w:val="14"/>
                    <w:szCs w:val="14"/>
                    <w:lang w:eastAsia="es-CO"/>
                  </w:rPr>
                </w:pPr>
                <w:r w:rsidRPr="00C374BB">
                  <w:rPr>
                    <w:rFonts w:ascii="Times New Roman" w:eastAsia="Times New Roman" w:hAnsi="Times New Roman"/>
                    <w:color w:val="000000"/>
                    <w:sz w:val="14"/>
                    <w:szCs w:val="14"/>
                    <w:lang w:eastAsia="es-CO"/>
                  </w:rPr>
                  <w:t>901057588</w:t>
                </w:r>
              </w:p>
            </w:tc>
            <w:tc>
              <w:tcPr>
                <w:tcW w:w="3319" w:type="pct"/>
                <w:shd w:val="clear" w:color="auto" w:fill="auto"/>
                <w:vAlign w:val="center"/>
                <w:hideMark/>
              </w:tcPr>
              <w:p w14:paraId="34936234" w14:textId="77777777" w:rsidR="00177B56" w:rsidRPr="00C374BB" w:rsidRDefault="00177B56" w:rsidP="00177B56">
                <w:pPr>
                  <w:spacing w:after="0" w:line="240" w:lineRule="auto"/>
                  <w:jc w:val="both"/>
                  <w:rPr>
                    <w:rFonts w:ascii="Times New Roman" w:eastAsia="Times New Roman" w:hAnsi="Times New Roman"/>
                    <w:color w:val="000000"/>
                    <w:sz w:val="14"/>
                    <w:szCs w:val="14"/>
                    <w:lang w:eastAsia="es-CO"/>
                  </w:rPr>
                </w:pPr>
                <w:r w:rsidRPr="00C374BB">
                  <w:rPr>
                    <w:rFonts w:ascii="Times New Roman" w:eastAsia="Times New Roman" w:hAnsi="Times New Roman"/>
                    <w:color w:val="000000"/>
                    <w:sz w:val="14"/>
                    <w:szCs w:val="14"/>
                    <w:lang w:eastAsia="es-CO"/>
                  </w:rPr>
                  <w:t>SOCIEDAD PORTUARIA REGIONAL TUMACO PACIFIC PORT S. A</w:t>
                </w:r>
              </w:p>
            </w:tc>
            <w:tc>
              <w:tcPr>
                <w:tcW w:w="930" w:type="pct"/>
                <w:shd w:val="clear" w:color="auto" w:fill="auto"/>
                <w:vAlign w:val="center"/>
                <w:hideMark/>
              </w:tcPr>
              <w:p w14:paraId="152B251B" w14:textId="237651B0" w:rsidR="00177B56" w:rsidRPr="00C374BB" w:rsidRDefault="00177B56" w:rsidP="00177B56">
                <w:pPr>
                  <w:spacing w:after="0" w:line="240" w:lineRule="auto"/>
                  <w:jc w:val="right"/>
                  <w:rPr>
                    <w:rFonts w:ascii="Times New Roman" w:eastAsia="Times New Roman" w:hAnsi="Times New Roman"/>
                    <w:color w:val="000000"/>
                    <w:sz w:val="14"/>
                    <w:szCs w:val="14"/>
                    <w:lang w:eastAsia="es-CO"/>
                  </w:rPr>
                </w:pPr>
                <w:r w:rsidRPr="00C374BB">
                  <w:rPr>
                    <w:rFonts w:ascii="Times New Roman" w:eastAsia="Times New Roman" w:hAnsi="Times New Roman"/>
                    <w:color w:val="000000"/>
                    <w:sz w:val="14"/>
                    <w:szCs w:val="14"/>
                    <w:lang w:eastAsia="es-CO"/>
                  </w:rPr>
                  <w:t>36.538.935</w:t>
                </w:r>
              </w:p>
            </w:tc>
          </w:tr>
          <w:tr w:rsidR="00177B56" w:rsidRPr="00C374BB" w14:paraId="1DF2FA20" w14:textId="77777777" w:rsidTr="00C374BB">
            <w:trPr>
              <w:trHeight w:val="268"/>
            </w:trPr>
            <w:tc>
              <w:tcPr>
                <w:tcW w:w="751" w:type="pct"/>
                <w:shd w:val="clear" w:color="auto" w:fill="auto"/>
                <w:vAlign w:val="center"/>
                <w:hideMark/>
              </w:tcPr>
              <w:p w14:paraId="048C6618" w14:textId="77777777" w:rsidR="00177B56" w:rsidRPr="00C374BB" w:rsidRDefault="00177B56" w:rsidP="00177B56">
                <w:pPr>
                  <w:spacing w:after="0" w:line="240" w:lineRule="auto"/>
                  <w:jc w:val="both"/>
                  <w:rPr>
                    <w:rFonts w:ascii="Times New Roman" w:eastAsia="Times New Roman" w:hAnsi="Times New Roman"/>
                    <w:color w:val="000000"/>
                    <w:sz w:val="14"/>
                    <w:szCs w:val="14"/>
                    <w:lang w:eastAsia="es-CO"/>
                  </w:rPr>
                </w:pPr>
                <w:r w:rsidRPr="00C374BB">
                  <w:rPr>
                    <w:rFonts w:ascii="Times New Roman" w:eastAsia="Times New Roman" w:hAnsi="Times New Roman"/>
                    <w:color w:val="000000"/>
                    <w:sz w:val="14"/>
                    <w:szCs w:val="14"/>
                    <w:lang w:eastAsia="es-CO"/>
                  </w:rPr>
                  <w:t>830081100</w:t>
                </w:r>
              </w:p>
            </w:tc>
            <w:tc>
              <w:tcPr>
                <w:tcW w:w="3319" w:type="pct"/>
                <w:shd w:val="clear" w:color="auto" w:fill="auto"/>
                <w:vAlign w:val="center"/>
                <w:hideMark/>
              </w:tcPr>
              <w:p w14:paraId="193567E9" w14:textId="77777777" w:rsidR="00177B56" w:rsidRPr="00C374BB" w:rsidRDefault="00177B56" w:rsidP="00177B56">
                <w:pPr>
                  <w:spacing w:after="0" w:line="240" w:lineRule="auto"/>
                  <w:jc w:val="both"/>
                  <w:rPr>
                    <w:rFonts w:ascii="Times New Roman" w:eastAsia="Times New Roman" w:hAnsi="Times New Roman"/>
                    <w:color w:val="000000"/>
                    <w:sz w:val="14"/>
                    <w:szCs w:val="14"/>
                    <w:lang w:eastAsia="es-CO"/>
                  </w:rPr>
                </w:pPr>
                <w:r w:rsidRPr="00C374BB">
                  <w:rPr>
                    <w:rFonts w:ascii="Times New Roman" w:eastAsia="Times New Roman" w:hAnsi="Times New Roman"/>
                    <w:color w:val="000000"/>
                    <w:sz w:val="14"/>
                    <w:szCs w:val="14"/>
                    <w:lang w:eastAsia="es-CO"/>
                  </w:rPr>
                  <w:t>M P S IMPORTACIONES Y EXPORTACIONES S.A.S</w:t>
                </w:r>
              </w:p>
            </w:tc>
            <w:tc>
              <w:tcPr>
                <w:tcW w:w="930" w:type="pct"/>
                <w:shd w:val="clear" w:color="auto" w:fill="auto"/>
                <w:vAlign w:val="center"/>
                <w:hideMark/>
              </w:tcPr>
              <w:p w14:paraId="30E00A2C" w14:textId="291CD411" w:rsidR="00177B56" w:rsidRPr="00C374BB" w:rsidRDefault="00177B56" w:rsidP="00177B56">
                <w:pPr>
                  <w:spacing w:after="0" w:line="240" w:lineRule="auto"/>
                  <w:jc w:val="right"/>
                  <w:rPr>
                    <w:rFonts w:ascii="Times New Roman" w:eastAsia="Times New Roman" w:hAnsi="Times New Roman"/>
                    <w:color w:val="000000"/>
                    <w:sz w:val="14"/>
                    <w:szCs w:val="14"/>
                    <w:lang w:eastAsia="es-CO"/>
                  </w:rPr>
                </w:pPr>
                <w:r w:rsidRPr="00C374BB">
                  <w:rPr>
                    <w:rFonts w:ascii="Times New Roman" w:eastAsia="Times New Roman" w:hAnsi="Times New Roman"/>
                    <w:color w:val="000000"/>
                    <w:sz w:val="14"/>
                    <w:szCs w:val="14"/>
                    <w:lang w:eastAsia="es-CO"/>
                  </w:rPr>
                  <w:t>4.680.000</w:t>
                </w:r>
              </w:p>
            </w:tc>
          </w:tr>
          <w:tr w:rsidR="00177B56" w:rsidRPr="00C374BB" w14:paraId="2B20D378" w14:textId="77777777" w:rsidTr="00C374BB">
            <w:trPr>
              <w:trHeight w:val="268"/>
            </w:trPr>
            <w:tc>
              <w:tcPr>
                <w:tcW w:w="751" w:type="pct"/>
                <w:shd w:val="clear" w:color="auto" w:fill="auto"/>
                <w:vAlign w:val="center"/>
                <w:hideMark/>
              </w:tcPr>
              <w:p w14:paraId="0D7263B0" w14:textId="77777777" w:rsidR="00177B56" w:rsidRPr="00C374BB" w:rsidRDefault="00177B56" w:rsidP="00177B56">
                <w:pPr>
                  <w:spacing w:after="0" w:line="240" w:lineRule="auto"/>
                  <w:jc w:val="both"/>
                  <w:rPr>
                    <w:rFonts w:ascii="Times New Roman" w:eastAsia="Times New Roman" w:hAnsi="Times New Roman"/>
                    <w:color w:val="000000"/>
                    <w:sz w:val="14"/>
                    <w:szCs w:val="14"/>
                    <w:lang w:eastAsia="es-CO"/>
                  </w:rPr>
                </w:pPr>
                <w:r w:rsidRPr="00C374BB">
                  <w:rPr>
                    <w:rFonts w:ascii="Times New Roman" w:eastAsia="Times New Roman" w:hAnsi="Times New Roman"/>
                    <w:color w:val="000000"/>
                    <w:sz w:val="14"/>
                    <w:szCs w:val="14"/>
                    <w:lang w:eastAsia="es-CO"/>
                  </w:rPr>
                  <w:t>900274811</w:t>
                </w:r>
              </w:p>
            </w:tc>
            <w:tc>
              <w:tcPr>
                <w:tcW w:w="3319" w:type="pct"/>
                <w:shd w:val="clear" w:color="auto" w:fill="auto"/>
                <w:vAlign w:val="center"/>
                <w:hideMark/>
              </w:tcPr>
              <w:p w14:paraId="7867040B" w14:textId="77777777" w:rsidR="00177B56" w:rsidRPr="00C374BB" w:rsidRDefault="00177B56" w:rsidP="00177B56">
                <w:pPr>
                  <w:spacing w:after="0" w:line="240" w:lineRule="auto"/>
                  <w:jc w:val="both"/>
                  <w:rPr>
                    <w:rFonts w:ascii="Times New Roman" w:eastAsia="Times New Roman" w:hAnsi="Times New Roman"/>
                    <w:color w:val="000000"/>
                    <w:sz w:val="14"/>
                    <w:szCs w:val="14"/>
                    <w:lang w:eastAsia="es-CO"/>
                  </w:rPr>
                </w:pPr>
                <w:r w:rsidRPr="00C374BB">
                  <w:rPr>
                    <w:rFonts w:ascii="Times New Roman" w:eastAsia="Times New Roman" w:hAnsi="Times New Roman"/>
                    <w:color w:val="000000"/>
                    <w:sz w:val="14"/>
                    <w:szCs w:val="14"/>
                    <w:lang w:eastAsia="es-CO"/>
                  </w:rPr>
                  <w:t>EYM COMPANY SAS</w:t>
                </w:r>
              </w:p>
            </w:tc>
            <w:tc>
              <w:tcPr>
                <w:tcW w:w="930" w:type="pct"/>
                <w:shd w:val="clear" w:color="auto" w:fill="auto"/>
                <w:vAlign w:val="center"/>
                <w:hideMark/>
              </w:tcPr>
              <w:p w14:paraId="2313012D" w14:textId="593F42B9" w:rsidR="00177B56" w:rsidRPr="00C374BB" w:rsidRDefault="00177B56" w:rsidP="00177B56">
                <w:pPr>
                  <w:spacing w:after="0" w:line="240" w:lineRule="auto"/>
                  <w:jc w:val="right"/>
                  <w:rPr>
                    <w:rFonts w:ascii="Times New Roman" w:eastAsia="Times New Roman" w:hAnsi="Times New Roman"/>
                    <w:color w:val="000000"/>
                    <w:sz w:val="14"/>
                    <w:szCs w:val="14"/>
                    <w:lang w:eastAsia="es-CO"/>
                  </w:rPr>
                </w:pPr>
                <w:r w:rsidRPr="00C374BB">
                  <w:rPr>
                    <w:rFonts w:ascii="Times New Roman" w:eastAsia="Times New Roman" w:hAnsi="Times New Roman"/>
                    <w:color w:val="000000"/>
                    <w:sz w:val="14"/>
                    <w:szCs w:val="14"/>
                    <w:lang w:eastAsia="es-CO"/>
                  </w:rPr>
                  <w:t>4.482.500</w:t>
                </w:r>
              </w:p>
            </w:tc>
          </w:tr>
          <w:tr w:rsidR="00177B56" w:rsidRPr="00C374BB" w14:paraId="302836D7" w14:textId="77777777" w:rsidTr="00C374BB">
            <w:trPr>
              <w:trHeight w:val="268"/>
            </w:trPr>
            <w:tc>
              <w:tcPr>
                <w:tcW w:w="751" w:type="pct"/>
                <w:shd w:val="clear" w:color="auto" w:fill="auto"/>
                <w:vAlign w:val="center"/>
                <w:hideMark/>
              </w:tcPr>
              <w:p w14:paraId="255D7E4F" w14:textId="77777777" w:rsidR="00177B56" w:rsidRPr="00C374BB" w:rsidRDefault="00177B56" w:rsidP="00177B56">
                <w:pPr>
                  <w:spacing w:after="0" w:line="240" w:lineRule="auto"/>
                  <w:jc w:val="both"/>
                  <w:rPr>
                    <w:rFonts w:ascii="Times New Roman" w:eastAsia="Times New Roman" w:hAnsi="Times New Roman"/>
                    <w:b/>
                    <w:bCs/>
                    <w:color w:val="000000"/>
                    <w:sz w:val="14"/>
                    <w:szCs w:val="14"/>
                    <w:lang w:eastAsia="es-CO"/>
                  </w:rPr>
                </w:pPr>
                <w:r w:rsidRPr="00C374BB">
                  <w:rPr>
                    <w:rFonts w:ascii="Times New Roman" w:eastAsia="Times New Roman" w:hAnsi="Times New Roman"/>
                    <w:b/>
                    <w:bCs/>
                    <w:color w:val="000000"/>
                    <w:sz w:val="14"/>
                    <w:szCs w:val="14"/>
                    <w:lang w:eastAsia="es-CO"/>
                  </w:rPr>
                  <w:t xml:space="preserve"> </w:t>
                </w:r>
              </w:p>
            </w:tc>
            <w:tc>
              <w:tcPr>
                <w:tcW w:w="3319" w:type="pct"/>
                <w:shd w:val="clear" w:color="auto" w:fill="auto"/>
                <w:vAlign w:val="center"/>
                <w:hideMark/>
              </w:tcPr>
              <w:p w14:paraId="0EC35CC4" w14:textId="77777777" w:rsidR="00177B56" w:rsidRPr="00C374BB" w:rsidRDefault="00177B56" w:rsidP="00177B56">
                <w:pPr>
                  <w:spacing w:after="0" w:line="240" w:lineRule="auto"/>
                  <w:jc w:val="both"/>
                  <w:rPr>
                    <w:rFonts w:ascii="Times New Roman" w:eastAsia="Times New Roman" w:hAnsi="Times New Roman"/>
                    <w:b/>
                    <w:bCs/>
                    <w:color w:val="000000"/>
                    <w:sz w:val="14"/>
                    <w:szCs w:val="14"/>
                    <w:lang w:eastAsia="es-CO"/>
                  </w:rPr>
                </w:pPr>
                <w:r w:rsidRPr="00C374BB">
                  <w:rPr>
                    <w:rFonts w:ascii="Times New Roman" w:eastAsia="Times New Roman" w:hAnsi="Times New Roman"/>
                    <w:b/>
                    <w:bCs/>
                    <w:color w:val="000000"/>
                    <w:sz w:val="14"/>
                    <w:szCs w:val="14"/>
                    <w:lang w:eastAsia="es-CO"/>
                  </w:rPr>
                  <w:t>TOTALES:</w:t>
                </w:r>
              </w:p>
            </w:tc>
            <w:tc>
              <w:tcPr>
                <w:tcW w:w="930" w:type="pct"/>
                <w:shd w:val="clear" w:color="auto" w:fill="auto"/>
                <w:vAlign w:val="center"/>
                <w:hideMark/>
              </w:tcPr>
              <w:p w14:paraId="77CA8A4A" w14:textId="2C5063E5" w:rsidR="00177B56" w:rsidRPr="00C374BB" w:rsidRDefault="00177B56" w:rsidP="00177B56">
                <w:pPr>
                  <w:spacing w:after="0" w:line="240" w:lineRule="auto"/>
                  <w:jc w:val="right"/>
                  <w:rPr>
                    <w:rFonts w:ascii="Times New Roman" w:eastAsia="Times New Roman" w:hAnsi="Times New Roman"/>
                    <w:b/>
                    <w:bCs/>
                    <w:color w:val="000000"/>
                    <w:sz w:val="14"/>
                    <w:szCs w:val="14"/>
                    <w:lang w:eastAsia="es-CO"/>
                  </w:rPr>
                </w:pPr>
                <w:r w:rsidRPr="00C374BB">
                  <w:rPr>
                    <w:rFonts w:ascii="Times New Roman" w:eastAsia="Times New Roman" w:hAnsi="Times New Roman"/>
                    <w:b/>
                    <w:bCs/>
                    <w:color w:val="000000"/>
                    <w:sz w:val="14"/>
                    <w:szCs w:val="14"/>
                    <w:lang w:eastAsia="es-CO"/>
                  </w:rPr>
                  <w:t>6.501.100.935</w:t>
                </w:r>
              </w:p>
            </w:tc>
          </w:tr>
        </w:tbl>
        <w:p w14:paraId="292FD448" w14:textId="6B71AAD8" w:rsidR="00CD7FBF" w:rsidRPr="00931DCE" w:rsidRDefault="006A45A8" w:rsidP="00CD7FBF">
          <w:pPr>
            <w:spacing w:after="0" w:line="240" w:lineRule="auto"/>
            <w:jc w:val="both"/>
            <w:rPr>
              <w:rFonts w:ascii="Times New Roman" w:hAnsi="Times New Roman"/>
              <w:sz w:val="24"/>
              <w:szCs w:val="24"/>
            </w:rPr>
          </w:pPr>
          <w:r w:rsidRPr="00931DCE">
            <w:rPr>
              <w:rFonts w:ascii="Times New Roman" w:hAnsi="Times New Roman"/>
              <w:sz w:val="14"/>
              <w:szCs w:val="14"/>
            </w:rPr>
            <w:t xml:space="preserve">  </w:t>
          </w:r>
          <w:r w:rsidR="00AD2026" w:rsidRPr="00931DCE">
            <w:rPr>
              <w:rFonts w:ascii="Times New Roman" w:hAnsi="Times New Roman"/>
              <w:sz w:val="14"/>
              <w:szCs w:val="14"/>
            </w:rPr>
            <w:t>Cifras expresadas en pesos</w:t>
          </w:r>
        </w:p>
        <w:p w14:paraId="2AEFA30D" w14:textId="77777777" w:rsidR="00CD7FBF" w:rsidRPr="00931DCE" w:rsidRDefault="00CD7FBF" w:rsidP="00CD7FBF">
          <w:pPr>
            <w:spacing w:after="0" w:line="240" w:lineRule="auto"/>
            <w:jc w:val="both"/>
            <w:rPr>
              <w:rFonts w:ascii="Times New Roman" w:hAnsi="Times New Roman"/>
              <w:sz w:val="24"/>
              <w:szCs w:val="24"/>
            </w:rPr>
          </w:pPr>
        </w:p>
        <w:p w14:paraId="799B0E32" w14:textId="7A071E42" w:rsidR="00CD7FBF" w:rsidRPr="00931DCE" w:rsidRDefault="00CD7FBF" w:rsidP="00CD7FBF">
          <w:pPr>
            <w:spacing w:after="0" w:line="240" w:lineRule="auto"/>
            <w:jc w:val="both"/>
            <w:rPr>
              <w:rFonts w:ascii="Times New Roman" w:hAnsi="Times New Roman"/>
              <w:sz w:val="24"/>
              <w:szCs w:val="24"/>
              <w:highlight w:val="yellow"/>
            </w:rPr>
          </w:pPr>
          <w:r w:rsidRPr="00931DCE">
            <w:rPr>
              <w:rFonts w:ascii="Times New Roman" w:hAnsi="Times New Roman"/>
              <w:sz w:val="24"/>
              <w:szCs w:val="24"/>
            </w:rPr>
            <w:t>Por su parte, los Derechos de tránsito por valor total de $</w:t>
          </w:r>
          <w:r w:rsidR="1448CAA3" w:rsidRPr="02E3AD61">
            <w:rPr>
              <w:rFonts w:ascii="Times New Roman" w:hAnsi="Times New Roman"/>
              <w:sz w:val="24"/>
              <w:szCs w:val="24"/>
            </w:rPr>
            <w:t>205.051.145.50</w:t>
          </w:r>
          <w:r w:rsidR="00653DE9">
            <w:rPr>
              <w:rFonts w:ascii="Times New Roman" w:hAnsi="Times New Roman"/>
              <w:sz w:val="24"/>
              <w:szCs w:val="24"/>
            </w:rPr>
            <w:t>4</w:t>
          </w:r>
          <w:r w:rsidRPr="00931DCE">
            <w:rPr>
              <w:rFonts w:ascii="Times New Roman" w:hAnsi="Times New Roman"/>
              <w:sz w:val="24"/>
              <w:szCs w:val="24"/>
            </w:rPr>
            <w:t xml:space="preserve">, corresponden a los ingresos propios percibidos por la Agencia Nacional de Infraestructura de los operadores </w:t>
          </w:r>
          <w:r w:rsidR="58D01416" w:rsidRPr="02E3AD61">
            <w:rPr>
              <w:rFonts w:ascii="Times New Roman" w:eastAsia="Times New Roman" w:hAnsi="Times New Roman"/>
              <w:sz w:val="24"/>
              <w:szCs w:val="24"/>
              <w:lang w:val="es"/>
            </w:rPr>
            <w:t xml:space="preserve">operadores </w:t>
          </w:r>
          <w:r w:rsidRPr="02E3AD61">
            <w:rPr>
              <w:rFonts w:ascii="Times New Roman" w:eastAsia="Times New Roman" w:hAnsi="Times New Roman"/>
              <w:sz w:val="24"/>
              <w:szCs w:val="24"/>
              <w:lang w:val="es"/>
            </w:rPr>
            <w:t>Drummond, Prodeco</w:t>
          </w:r>
          <w:r w:rsidR="58D01416" w:rsidRPr="02E3AD61">
            <w:rPr>
              <w:rFonts w:ascii="Times New Roman" w:eastAsia="Times New Roman" w:hAnsi="Times New Roman"/>
              <w:sz w:val="24"/>
              <w:szCs w:val="24"/>
              <w:lang w:val="es"/>
            </w:rPr>
            <w:t>,</w:t>
          </w:r>
          <w:r w:rsidRPr="02E3AD61">
            <w:rPr>
              <w:rFonts w:ascii="Times New Roman" w:eastAsia="Times New Roman" w:hAnsi="Times New Roman"/>
              <w:sz w:val="24"/>
              <w:szCs w:val="24"/>
              <w:lang w:val="es"/>
            </w:rPr>
            <w:t xml:space="preserve"> Comercializadora Internacional Colombian Natural Resources I (CNR</w:t>
          </w:r>
          <w:r w:rsidR="58D01416" w:rsidRPr="02E3AD61">
            <w:rPr>
              <w:rFonts w:ascii="Times New Roman" w:eastAsia="Times New Roman" w:hAnsi="Times New Roman"/>
              <w:sz w:val="24"/>
              <w:szCs w:val="24"/>
              <w:lang w:val="es"/>
            </w:rPr>
            <w:t xml:space="preserve">), Consorcio San Felipe, Consorcio CTSA Ingeral y Consorcio San Felipe </w:t>
          </w:r>
          <w:r w:rsidR="00136F87" w:rsidRPr="02E3AD61">
            <w:rPr>
              <w:rFonts w:ascii="Times New Roman" w:eastAsia="Times New Roman" w:hAnsi="Times New Roman"/>
              <w:sz w:val="24"/>
              <w:szCs w:val="24"/>
              <w:lang w:val="es"/>
            </w:rPr>
            <w:t>Férreo</w:t>
          </w:r>
          <w:r w:rsidR="58D01416" w:rsidRPr="02E3AD61">
            <w:rPr>
              <w:rFonts w:ascii="Times New Roman" w:eastAsia="Times New Roman" w:hAnsi="Times New Roman"/>
              <w:sz w:val="24"/>
              <w:szCs w:val="24"/>
              <w:lang w:val="es"/>
            </w:rPr>
            <w:t>,</w:t>
          </w:r>
          <w:r w:rsidRPr="02E3AD61">
            <w:rPr>
              <w:rFonts w:ascii="Times New Roman" w:eastAsia="Times New Roman" w:hAnsi="Times New Roman"/>
              <w:sz w:val="24"/>
              <w:szCs w:val="24"/>
              <w:lang w:val="es"/>
            </w:rPr>
            <w:t xml:space="preserve"> </w:t>
          </w:r>
          <w:r w:rsidRPr="00931DCE">
            <w:rPr>
              <w:rFonts w:ascii="Times New Roman" w:hAnsi="Times New Roman"/>
              <w:sz w:val="24"/>
              <w:szCs w:val="24"/>
            </w:rPr>
            <w:t>q</w:t>
          </w:r>
          <w:r w:rsidRPr="00136F87">
            <w:rPr>
              <w:rFonts w:ascii="Times New Roman" w:hAnsi="Times New Roman"/>
              <w:sz w:val="24"/>
              <w:szCs w:val="24"/>
            </w:rPr>
            <w:t xml:space="preserve">ue se relacionan con las tarifas definidas para el uso de las vías férreas para el transporte de cargas de carbón, que tiene su origen en el contrato de concesión de la Red Férrea del Atlántico No. O-ATLA-0-99 del 9 de septiembre de 1999, suscrito por la Agencia con </w:t>
          </w:r>
          <w:r w:rsidR="008715EE" w:rsidRPr="00136F87">
            <w:rPr>
              <w:rFonts w:ascii="Times New Roman" w:hAnsi="Times New Roman"/>
              <w:sz w:val="24"/>
              <w:szCs w:val="24"/>
            </w:rPr>
            <w:t xml:space="preserve">Ferrocarriles Del Norte de Colombia </w:t>
          </w:r>
          <w:r w:rsidRPr="00136F87">
            <w:rPr>
              <w:rFonts w:ascii="Times New Roman" w:hAnsi="Times New Roman"/>
              <w:sz w:val="24"/>
              <w:szCs w:val="24"/>
            </w:rPr>
            <w:t>S.A.-FENOCO S.A., el cual tiene como objeto:</w:t>
          </w:r>
        </w:p>
        <w:p w14:paraId="4C7C8887" w14:textId="77777777" w:rsidR="00CD7FBF" w:rsidRPr="00931DCE" w:rsidRDefault="00CD7FBF" w:rsidP="00CD7FBF">
          <w:pPr>
            <w:spacing w:after="0" w:line="240" w:lineRule="auto"/>
            <w:jc w:val="both"/>
            <w:rPr>
              <w:rFonts w:ascii="Times New Roman" w:hAnsi="Times New Roman"/>
              <w:sz w:val="16"/>
              <w:szCs w:val="16"/>
            </w:rPr>
          </w:pPr>
          <w:r w:rsidRPr="00931DCE">
            <w:rPr>
              <w:rFonts w:ascii="Times New Roman" w:hAnsi="Times New Roman"/>
              <w:sz w:val="24"/>
              <w:szCs w:val="24"/>
            </w:rPr>
            <w:t xml:space="preserve"> </w:t>
          </w:r>
        </w:p>
        <w:p w14:paraId="608E8054" w14:textId="77777777" w:rsidR="00CD7FBF" w:rsidRPr="00931DCE" w:rsidRDefault="00CD7FBF" w:rsidP="00CD7FBF">
          <w:pPr>
            <w:spacing w:after="0" w:line="240" w:lineRule="auto"/>
            <w:ind w:left="284" w:right="332"/>
            <w:jc w:val="both"/>
            <w:rPr>
              <w:rFonts w:ascii="Times New Roman" w:hAnsi="Times New Roman"/>
              <w:sz w:val="20"/>
              <w:szCs w:val="20"/>
            </w:rPr>
          </w:pPr>
          <w:r w:rsidRPr="00931DCE">
            <w:rPr>
              <w:rFonts w:ascii="Times New Roman" w:hAnsi="Times New Roman"/>
              <w:i/>
              <w:iCs/>
              <w:sz w:val="20"/>
              <w:szCs w:val="20"/>
            </w:rPr>
            <w:t>“…otorgar en CONCESIÓN, para su rehabilitación – reconstrucción, conservación, operación y explotación, la infraestructura de transporte férreo de la red del Atlántico, para la prestación del servicio de transporte ferroviario de carga, infraestructura que está conformada por los tramos: Bogotá (Km.5) – Belencito(PK262), La Caro (PK 34) – Lenguazaque (PK 110), Bogotá (Km5) – Dorada (PK 200) – Barrancabermeja (PK 444), Barrancabermeja (PK 444) -Chiriguaná (PK 724), Chiriguana (PK 724) – Ciénaga (PK 934), Ciénaga (PK 934 ) – Santa Marta (PK 969), y Puerto Berrio (PK 333) – Medellín (bello) (PK 509), incluyendo los bienes inmuebles, los bienes muebles y el material rodante …”</w:t>
          </w:r>
        </w:p>
        <w:p w14:paraId="55DDF5D3" w14:textId="77777777" w:rsidR="00CD7FBF" w:rsidRPr="00931DCE" w:rsidRDefault="00CD7FBF" w:rsidP="00CD7FBF">
          <w:pPr>
            <w:spacing w:after="0" w:line="240" w:lineRule="auto"/>
            <w:jc w:val="both"/>
            <w:rPr>
              <w:rFonts w:ascii="Times New Roman" w:hAnsi="Times New Roman"/>
              <w:sz w:val="16"/>
              <w:szCs w:val="16"/>
            </w:rPr>
          </w:pPr>
        </w:p>
        <w:p w14:paraId="3F2C7B4A" w14:textId="412EBDD2" w:rsidR="00CD7FBF" w:rsidRPr="00931DCE" w:rsidRDefault="00CD7FBF" w:rsidP="00CD7FBF">
          <w:pPr>
            <w:spacing w:after="0" w:line="240" w:lineRule="auto"/>
            <w:jc w:val="both"/>
            <w:rPr>
              <w:rFonts w:ascii="Times New Roman" w:hAnsi="Times New Roman"/>
              <w:sz w:val="24"/>
              <w:szCs w:val="24"/>
            </w:rPr>
          </w:pPr>
          <w:r w:rsidRPr="00931DCE">
            <w:rPr>
              <w:rFonts w:ascii="Times New Roman" w:hAnsi="Times New Roman"/>
              <w:sz w:val="24"/>
              <w:szCs w:val="24"/>
            </w:rPr>
            <w:t xml:space="preserve">A continuación, se detalla la composición de los ingresos por concepto de derechos de tránsito percibidos durante la vigencia </w:t>
          </w:r>
          <w:r w:rsidR="73F4CFAE" w:rsidRPr="02E3AD61">
            <w:rPr>
              <w:rFonts w:ascii="Times New Roman" w:hAnsi="Times New Roman"/>
              <w:sz w:val="24"/>
              <w:szCs w:val="24"/>
            </w:rPr>
            <w:t>202</w:t>
          </w:r>
          <w:r w:rsidR="7E88955C" w:rsidRPr="02E3AD61">
            <w:rPr>
              <w:rFonts w:ascii="Times New Roman" w:hAnsi="Times New Roman"/>
              <w:sz w:val="24"/>
              <w:szCs w:val="24"/>
            </w:rPr>
            <w:t>3</w:t>
          </w:r>
          <w:r w:rsidRPr="00931DCE">
            <w:rPr>
              <w:rFonts w:ascii="Times New Roman" w:hAnsi="Times New Roman"/>
              <w:sz w:val="24"/>
              <w:szCs w:val="24"/>
            </w:rPr>
            <w:t>, en virtud de la información suministrada por la Gerencia de Proyectos Férreos de la Vicepresidencia Ejecutiva de la ANI, a nivel de terceros:</w:t>
          </w:r>
        </w:p>
        <w:p w14:paraId="2882A558" w14:textId="77777777" w:rsidR="00CD7FBF" w:rsidRPr="00931DCE" w:rsidRDefault="00CD7FBF" w:rsidP="00CD7FBF">
          <w:pPr>
            <w:spacing w:after="0" w:line="240" w:lineRule="auto"/>
            <w:jc w:val="both"/>
            <w:rPr>
              <w:rFonts w:ascii="Times New Roman" w:hAnsi="Times New Roman"/>
              <w:sz w:val="24"/>
              <w:szCs w:val="24"/>
            </w:rPr>
          </w:pPr>
        </w:p>
        <w:p w14:paraId="3B769343" w14:textId="2EAC1DA4" w:rsidR="02E3AD61" w:rsidRDefault="02E3AD61" w:rsidP="02E3AD61">
          <w:pPr>
            <w:spacing w:after="0" w:line="240" w:lineRule="auto"/>
            <w:jc w:val="both"/>
            <w:rPr>
              <w:rFonts w:ascii="Times New Roman" w:hAnsi="Times New Roman"/>
              <w:sz w:val="14"/>
              <w:szCs w:val="14"/>
              <w:highlight w:val="yellow"/>
            </w:rPr>
          </w:pPr>
        </w:p>
        <w:tbl>
          <w:tblPr>
            <w:tblW w:w="5000" w:type="pct"/>
            <w:tblBorders>
              <w:top w:val="single" w:sz="8" w:space="0" w:color="A6A6A6"/>
              <w:left w:val="single" w:sz="8" w:space="0" w:color="A6A6A6"/>
              <w:bottom w:val="single" w:sz="8" w:space="0" w:color="A6A6A6"/>
              <w:right w:val="single" w:sz="8" w:space="0" w:color="A6A6A6"/>
              <w:insideH w:val="single" w:sz="6" w:space="0" w:color="A6A6A6"/>
              <w:insideV w:val="single" w:sz="6" w:space="0" w:color="A6A6A6"/>
            </w:tblBorders>
            <w:tblCellMar>
              <w:left w:w="70" w:type="dxa"/>
              <w:right w:w="70" w:type="dxa"/>
            </w:tblCellMar>
            <w:tblLook w:val="04A0" w:firstRow="1" w:lastRow="0" w:firstColumn="1" w:lastColumn="0" w:noHBand="0" w:noVBand="1"/>
          </w:tblPr>
          <w:tblGrid>
            <w:gridCol w:w="984"/>
            <w:gridCol w:w="5325"/>
            <w:gridCol w:w="2650"/>
          </w:tblGrid>
          <w:tr w:rsidR="00427D90" w:rsidRPr="00427D90" w14:paraId="192D4F3B" w14:textId="77777777" w:rsidTr="00427D90">
            <w:trPr>
              <w:trHeight w:val="340"/>
            </w:trPr>
            <w:tc>
              <w:tcPr>
                <w:tcW w:w="3521" w:type="pct"/>
                <w:gridSpan w:val="2"/>
                <w:shd w:val="clear" w:color="auto" w:fill="auto"/>
                <w:vAlign w:val="center"/>
                <w:hideMark/>
              </w:tcPr>
              <w:p w14:paraId="33DE0C4A" w14:textId="208542E1" w:rsidR="00427D90" w:rsidRPr="00427D90" w:rsidRDefault="00427D90" w:rsidP="00427D90">
                <w:pPr>
                  <w:spacing w:after="0" w:line="240" w:lineRule="auto"/>
                  <w:jc w:val="center"/>
                  <w:rPr>
                    <w:rFonts w:ascii="Times New Roman" w:eastAsia="Times New Roman" w:hAnsi="Times New Roman"/>
                    <w:b/>
                    <w:bCs/>
                    <w:color w:val="000000"/>
                    <w:sz w:val="18"/>
                    <w:szCs w:val="18"/>
                    <w:lang w:eastAsia="es-CO"/>
                  </w:rPr>
                </w:pPr>
                <w:r w:rsidRPr="00427D90">
                  <w:rPr>
                    <w:rFonts w:ascii="Times New Roman" w:eastAsia="Times New Roman" w:hAnsi="Times New Roman"/>
                    <w:b/>
                    <w:bCs/>
                    <w:color w:val="000000"/>
                    <w:sz w:val="18"/>
                    <w:szCs w:val="18"/>
                    <w:lang w:eastAsia="es-CO"/>
                  </w:rPr>
                  <w:t>TERCERO</w:t>
                </w:r>
              </w:p>
            </w:tc>
            <w:tc>
              <w:tcPr>
                <w:tcW w:w="1479" w:type="pct"/>
                <w:shd w:val="clear" w:color="auto" w:fill="auto"/>
                <w:vAlign w:val="center"/>
                <w:hideMark/>
              </w:tcPr>
              <w:p w14:paraId="688A3558" w14:textId="77777777" w:rsidR="00427D90" w:rsidRPr="00427D90" w:rsidRDefault="00427D90" w:rsidP="00427D90">
                <w:pPr>
                  <w:spacing w:after="0" w:line="240" w:lineRule="auto"/>
                  <w:jc w:val="center"/>
                  <w:rPr>
                    <w:rFonts w:ascii="Times New Roman" w:eastAsia="Times New Roman" w:hAnsi="Times New Roman"/>
                    <w:b/>
                    <w:bCs/>
                    <w:color w:val="000000"/>
                    <w:sz w:val="18"/>
                    <w:szCs w:val="18"/>
                    <w:lang w:eastAsia="es-CO"/>
                  </w:rPr>
                </w:pPr>
                <w:r w:rsidRPr="00427D90">
                  <w:rPr>
                    <w:rFonts w:ascii="Times New Roman" w:eastAsia="Times New Roman" w:hAnsi="Times New Roman"/>
                    <w:b/>
                    <w:bCs/>
                    <w:color w:val="000000"/>
                    <w:sz w:val="18"/>
                    <w:szCs w:val="18"/>
                    <w:lang w:eastAsia="es-CO"/>
                  </w:rPr>
                  <w:t>VALOR</w:t>
                </w:r>
              </w:p>
            </w:tc>
          </w:tr>
          <w:tr w:rsidR="00427D90" w:rsidRPr="00427D90" w14:paraId="17D94D78" w14:textId="77777777" w:rsidTr="00427D90">
            <w:trPr>
              <w:trHeight w:val="340"/>
            </w:trPr>
            <w:tc>
              <w:tcPr>
                <w:tcW w:w="549" w:type="pct"/>
                <w:shd w:val="clear" w:color="auto" w:fill="auto"/>
                <w:vAlign w:val="center"/>
                <w:hideMark/>
              </w:tcPr>
              <w:p w14:paraId="7A45513D" w14:textId="77777777" w:rsidR="00427D90" w:rsidRPr="00427D90" w:rsidRDefault="00427D90" w:rsidP="00427D90">
                <w:pPr>
                  <w:spacing w:after="0" w:line="240" w:lineRule="auto"/>
                  <w:jc w:val="right"/>
                  <w:rPr>
                    <w:rFonts w:ascii="Times New Roman" w:eastAsia="Times New Roman" w:hAnsi="Times New Roman"/>
                    <w:color w:val="000000"/>
                    <w:sz w:val="18"/>
                    <w:szCs w:val="18"/>
                    <w:lang w:eastAsia="es-CO"/>
                  </w:rPr>
                </w:pPr>
                <w:r w:rsidRPr="00427D90">
                  <w:rPr>
                    <w:rFonts w:ascii="Times New Roman" w:eastAsia="Times New Roman" w:hAnsi="Times New Roman"/>
                    <w:color w:val="000000"/>
                    <w:sz w:val="18"/>
                    <w:szCs w:val="18"/>
                    <w:lang w:eastAsia="es-CO"/>
                  </w:rPr>
                  <w:t>800021308</w:t>
                </w:r>
              </w:p>
            </w:tc>
            <w:tc>
              <w:tcPr>
                <w:tcW w:w="2972" w:type="pct"/>
                <w:shd w:val="clear" w:color="auto" w:fill="auto"/>
                <w:vAlign w:val="center"/>
                <w:hideMark/>
              </w:tcPr>
              <w:p w14:paraId="504A83F3" w14:textId="77777777" w:rsidR="00427D90" w:rsidRPr="00427D90" w:rsidRDefault="00427D90" w:rsidP="00427D90">
                <w:pPr>
                  <w:spacing w:after="0" w:line="240" w:lineRule="auto"/>
                  <w:rPr>
                    <w:rFonts w:ascii="Times New Roman" w:eastAsia="Times New Roman" w:hAnsi="Times New Roman"/>
                    <w:color w:val="000000"/>
                    <w:sz w:val="18"/>
                    <w:szCs w:val="18"/>
                    <w:lang w:eastAsia="es-CO"/>
                  </w:rPr>
                </w:pPr>
                <w:r w:rsidRPr="00427D90">
                  <w:rPr>
                    <w:rFonts w:ascii="Times New Roman" w:eastAsia="Times New Roman" w:hAnsi="Times New Roman"/>
                    <w:color w:val="000000"/>
                    <w:sz w:val="18"/>
                    <w:szCs w:val="18"/>
                    <w:lang w:eastAsia="es-CO"/>
                  </w:rPr>
                  <w:t>DRUMMOND LTD</w:t>
                </w:r>
              </w:p>
            </w:tc>
            <w:tc>
              <w:tcPr>
                <w:tcW w:w="1479" w:type="pct"/>
                <w:shd w:val="clear" w:color="auto" w:fill="auto"/>
                <w:vAlign w:val="center"/>
                <w:hideMark/>
              </w:tcPr>
              <w:p w14:paraId="55B4E59B" w14:textId="77777777" w:rsidR="00427D90" w:rsidRPr="00427D90" w:rsidRDefault="00427D90" w:rsidP="00427D90">
                <w:pPr>
                  <w:spacing w:after="0" w:line="240" w:lineRule="auto"/>
                  <w:jc w:val="right"/>
                  <w:rPr>
                    <w:rFonts w:ascii="Times New Roman" w:eastAsia="Times New Roman" w:hAnsi="Times New Roman"/>
                    <w:color w:val="000000"/>
                    <w:sz w:val="18"/>
                    <w:szCs w:val="18"/>
                    <w:lang w:eastAsia="es-CO"/>
                  </w:rPr>
                </w:pPr>
                <w:r w:rsidRPr="00427D90">
                  <w:rPr>
                    <w:rFonts w:ascii="Times New Roman" w:eastAsia="Times New Roman" w:hAnsi="Times New Roman"/>
                    <w:color w:val="000000"/>
                    <w:sz w:val="18"/>
                    <w:szCs w:val="18"/>
                    <w:lang w:eastAsia="es-CO"/>
                  </w:rPr>
                  <w:t>180.451.546.776</w:t>
                </w:r>
              </w:p>
            </w:tc>
          </w:tr>
          <w:tr w:rsidR="00427D90" w:rsidRPr="00427D90" w14:paraId="2B056EAE" w14:textId="77777777" w:rsidTr="00427D90">
            <w:trPr>
              <w:trHeight w:val="340"/>
            </w:trPr>
            <w:tc>
              <w:tcPr>
                <w:tcW w:w="549" w:type="pct"/>
                <w:shd w:val="clear" w:color="auto" w:fill="auto"/>
                <w:vAlign w:val="center"/>
                <w:hideMark/>
              </w:tcPr>
              <w:p w14:paraId="067DA620" w14:textId="77777777" w:rsidR="00427D90" w:rsidRPr="00427D90" w:rsidRDefault="00427D90" w:rsidP="00427D90">
                <w:pPr>
                  <w:spacing w:after="0" w:line="240" w:lineRule="auto"/>
                  <w:jc w:val="right"/>
                  <w:rPr>
                    <w:rFonts w:ascii="Times New Roman" w:eastAsia="Times New Roman" w:hAnsi="Times New Roman"/>
                    <w:color w:val="000000"/>
                    <w:sz w:val="18"/>
                    <w:szCs w:val="18"/>
                    <w:lang w:eastAsia="es-CO"/>
                  </w:rPr>
                </w:pPr>
                <w:r w:rsidRPr="00427D90">
                  <w:rPr>
                    <w:rFonts w:ascii="Times New Roman" w:eastAsia="Times New Roman" w:hAnsi="Times New Roman"/>
                    <w:color w:val="000000"/>
                    <w:sz w:val="18"/>
                    <w:szCs w:val="18"/>
                    <w:lang w:eastAsia="es-CO"/>
                  </w:rPr>
                  <w:t>900333530</w:t>
                </w:r>
              </w:p>
            </w:tc>
            <w:tc>
              <w:tcPr>
                <w:tcW w:w="2972" w:type="pct"/>
                <w:shd w:val="clear" w:color="auto" w:fill="auto"/>
                <w:vAlign w:val="center"/>
                <w:hideMark/>
              </w:tcPr>
              <w:p w14:paraId="1D5ACF93" w14:textId="77777777" w:rsidR="00427D90" w:rsidRPr="00427D90" w:rsidRDefault="00427D90" w:rsidP="00427D90">
                <w:pPr>
                  <w:spacing w:after="0" w:line="240" w:lineRule="auto"/>
                  <w:rPr>
                    <w:rFonts w:ascii="Times New Roman" w:eastAsia="Times New Roman" w:hAnsi="Times New Roman"/>
                    <w:color w:val="000000"/>
                    <w:sz w:val="18"/>
                    <w:szCs w:val="18"/>
                    <w:lang w:val="en-US" w:eastAsia="es-CO"/>
                  </w:rPr>
                </w:pPr>
                <w:r w:rsidRPr="00427D90">
                  <w:rPr>
                    <w:rFonts w:ascii="Times New Roman" w:eastAsia="Times New Roman" w:hAnsi="Times New Roman"/>
                    <w:color w:val="000000"/>
                    <w:sz w:val="18"/>
                    <w:szCs w:val="18"/>
                    <w:lang w:val="en-US" w:eastAsia="es-CO"/>
                  </w:rPr>
                  <w:t>C I COLOMBIAN NATURAL RESOURCES I SAS</w:t>
                </w:r>
              </w:p>
            </w:tc>
            <w:tc>
              <w:tcPr>
                <w:tcW w:w="1479" w:type="pct"/>
                <w:shd w:val="clear" w:color="auto" w:fill="auto"/>
                <w:vAlign w:val="center"/>
                <w:hideMark/>
              </w:tcPr>
              <w:p w14:paraId="3FDA0BDA" w14:textId="77777777" w:rsidR="00427D90" w:rsidRPr="00427D90" w:rsidRDefault="00427D90" w:rsidP="00427D90">
                <w:pPr>
                  <w:spacing w:after="0" w:line="240" w:lineRule="auto"/>
                  <w:jc w:val="right"/>
                  <w:rPr>
                    <w:rFonts w:ascii="Times New Roman" w:eastAsia="Times New Roman" w:hAnsi="Times New Roman"/>
                    <w:color w:val="000000"/>
                    <w:sz w:val="18"/>
                    <w:szCs w:val="18"/>
                    <w:lang w:eastAsia="es-CO"/>
                  </w:rPr>
                </w:pPr>
                <w:r w:rsidRPr="00427D90">
                  <w:rPr>
                    <w:rFonts w:ascii="Times New Roman" w:eastAsia="Times New Roman" w:hAnsi="Times New Roman"/>
                    <w:color w:val="000000"/>
                    <w:sz w:val="18"/>
                    <w:szCs w:val="18"/>
                    <w:lang w:eastAsia="es-CO"/>
                  </w:rPr>
                  <w:t>18.819.464.738</w:t>
                </w:r>
              </w:p>
            </w:tc>
          </w:tr>
          <w:tr w:rsidR="00427D90" w:rsidRPr="00427D90" w14:paraId="7484F4E1" w14:textId="77777777" w:rsidTr="00427D90">
            <w:trPr>
              <w:trHeight w:val="340"/>
            </w:trPr>
            <w:tc>
              <w:tcPr>
                <w:tcW w:w="549" w:type="pct"/>
                <w:shd w:val="clear" w:color="auto" w:fill="auto"/>
                <w:vAlign w:val="center"/>
                <w:hideMark/>
              </w:tcPr>
              <w:p w14:paraId="0A73E3CE" w14:textId="77777777" w:rsidR="00427D90" w:rsidRPr="00427D90" w:rsidRDefault="00427D90" w:rsidP="00427D90">
                <w:pPr>
                  <w:spacing w:after="0" w:line="240" w:lineRule="auto"/>
                  <w:jc w:val="right"/>
                  <w:rPr>
                    <w:rFonts w:ascii="Times New Roman" w:eastAsia="Times New Roman" w:hAnsi="Times New Roman"/>
                    <w:color w:val="000000"/>
                    <w:sz w:val="18"/>
                    <w:szCs w:val="18"/>
                    <w:lang w:eastAsia="es-CO"/>
                  </w:rPr>
                </w:pPr>
                <w:r w:rsidRPr="00427D90">
                  <w:rPr>
                    <w:rFonts w:ascii="Times New Roman" w:eastAsia="Times New Roman" w:hAnsi="Times New Roman"/>
                    <w:color w:val="000000"/>
                    <w:sz w:val="18"/>
                    <w:szCs w:val="18"/>
                    <w:lang w:eastAsia="es-CO"/>
                  </w:rPr>
                  <w:t>860041312</w:t>
                </w:r>
              </w:p>
            </w:tc>
            <w:tc>
              <w:tcPr>
                <w:tcW w:w="2972" w:type="pct"/>
                <w:shd w:val="clear" w:color="auto" w:fill="auto"/>
                <w:vAlign w:val="center"/>
                <w:hideMark/>
              </w:tcPr>
              <w:p w14:paraId="1AF6FA1B" w14:textId="77777777" w:rsidR="00427D90" w:rsidRPr="00427D90" w:rsidRDefault="00427D90" w:rsidP="00427D90">
                <w:pPr>
                  <w:spacing w:after="0" w:line="240" w:lineRule="auto"/>
                  <w:rPr>
                    <w:rFonts w:ascii="Times New Roman" w:eastAsia="Times New Roman" w:hAnsi="Times New Roman"/>
                    <w:color w:val="000000"/>
                    <w:sz w:val="18"/>
                    <w:szCs w:val="18"/>
                    <w:lang w:eastAsia="es-CO"/>
                  </w:rPr>
                </w:pPr>
                <w:r w:rsidRPr="00427D90">
                  <w:rPr>
                    <w:rFonts w:ascii="Times New Roman" w:eastAsia="Times New Roman" w:hAnsi="Times New Roman"/>
                    <w:color w:val="000000"/>
                    <w:sz w:val="18"/>
                    <w:szCs w:val="18"/>
                    <w:lang w:eastAsia="es-CO"/>
                  </w:rPr>
                  <w:t>C.I. PRODECO S.A.</w:t>
                </w:r>
              </w:p>
            </w:tc>
            <w:tc>
              <w:tcPr>
                <w:tcW w:w="1479" w:type="pct"/>
                <w:shd w:val="clear" w:color="auto" w:fill="auto"/>
                <w:vAlign w:val="center"/>
                <w:hideMark/>
              </w:tcPr>
              <w:p w14:paraId="0FE58DFE" w14:textId="77777777" w:rsidR="00427D90" w:rsidRPr="00427D90" w:rsidRDefault="00427D90" w:rsidP="00427D90">
                <w:pPr>
                  <w:spacing w:after="0" w:line="240" w:lineRule="auto"/>
                  <w:jc w:val="right"/>
                  <w:rPr>
                    <w:rFonts w:ascii="Times New Roman" w:eastAsia="Times New Roman" w:hAnsi="Times New Roman"/>
                    <w:color w:val="000000"/>
                    <w:sz w:val="18"/>
                    <w:szCs w:val="18"/>
                    <w:lang w:eastAsia="es-CO"/>
                  </w:rPr>
                </w:pPr>
                <w:r w:rsidRPr="00427D90">
                  <w:rPr>
                    <w:rFonts w:ascii="Times New Roman" w:eastAsia="Times New Roman" w:hAnsi="Times New Roman"/>
                    <w:color w:val="000000"/>
                    <w:sz w:val="18"/>
                    <w:szCs w:val="18"/>
                    <w:lang w:eastAsia="es-CO"/>
                  </w:rPr>
                  <w:t>4.943.152.249</w:t>
                </w:r>
              </w:p>
            </w:tc>
          </w:tr>
          <w:tr w:rsidR="00427D90" w:rsidRPr="00427D90" w14:paraId="70E5FB97" w14:textId="77777777" w:rsidTr="00427D90">
            <w:trPr>
              <w:trHeight w:val="340"/>
            </w:trPr>
            <w:tc>
              <w:tcPr>
                <w:tcW w:w="549" w:type="pct"/>
                <w:shd w:val="clear" w:color="auto" w:fill="auto"/>
                <w:vAlign w:val="center"/>
                <w:hideMark/>
              </w:tcPr>
              <w:p w14:paraId="2BB35101" w14:textId="77777777" w:rsidR="00427D90" w:rsidRPr="00427D90" w:rsidRDefault="00427D90" w:rsidP="00427D90">
                <w:pPr>
                  <w:spacing w:after="0" w:line="240" w:lineRule="auto"/>
                  <w:jc w:val="right"/>
                  <w:rPr>
                    <w:rFonts w:ascii="Times New Roman" w:eastAsia="Times New Roman" w:hAnsi="Times New Roman"/>
                    <w:color w:val="000000"/>
                    <w:sz w:val="18"/>
                    <w:szCs w:val="18"/>
                    <w:lang w:eastAsia="es-CO"/>
                  </w:rPr>
                </w:pPr>
                <w:r w:rsidRPr="00427D90">
                  <w:rPr>
                    <w:rFonts w:ascii="Times New Roman" w:eastAsia="Times New Roman" w:hAnsi="Times New Roman"/>
                    <w:color w:val="000000"/>
                    <w:sz w:val="18"/>
                    <w:szCs w:val="18"/>
                    <w:lang w:eastAsia="es-CO"/>
                  </w:rPr>
                  <w:t>901686436</w:t>
                </w:r>
              </w:p>
            </w:tc>
            <w:tc>
              <w:tcPr>
                <w:tcW w:w="2972" w:type="pct"/>
                <w:shd w:val="clear" w:color="auto" w:fill="auto"/>
                <w:vAlign w:val="center"/>
                <w:hideMark/>
              </w:tcPr>
              <w:p w14:paraId="1937512F" w14:textId="77777777" w:rsidR="00427D90" w:rsidRPr="00427D90" w:rsidRDefault="00427D90" w:rsidP="00427D90">
                <w:pPr>
                  <w:spacing w:after="0" w:line="240" w:lineRule="auto"/>
                  <w:rPr>
                    <w:rFonts w:ascii="Times New Roman" w:eastAsia="Times New Roman" w:hAnsi="Times New Roman"/>
                    <w:color w:val="000000"/>
                    <w:sz w:val="18"/>
                    <w:szCs w:val="18"/>
                    <w:lang w:eastAsia="es-CO"/>
                  </w:rPr>
                </w:pPr>
                <w:r w:rsidRPr="00427D90">
                  <w:rPr>
                    <w:rFonts w:ascii="Times New Roman" w:eastAsia="Times New Roman" w:hAnsi="Times New Roman"/>
                    <w:color w:val="000000"/>
                    <w:sz w:val="18"/>
                    <w:szCs w:val="18"/>
                    <w:lang w:eastAsia="es-CO"/>
                  </w:rPr>
                  <w:t>CONSORCIO CTSA - INGERAL</w:t>
                </w:r>
              </w:p>
            </w:tc>
            <w:tc>
              <w:tcPr>
                <w:tcW w:w="1479" w:type="pct"/>
                <w:shd w:val="clear" w:color="auto" w:fill="auto"/>
                <w:vAlign w:val="center"/>
                <w:hideMark/>
              </w:tcPr>
              <w:p w14:paraId="7A3225ED" w14:textId="77777777" w:rsidR="00427D90" w:rsidRPr="00427D90" w:rsidRDefault="00427D90" w:rsidP="00427D90">
                <w:pPr>
                  <w:spacing w:after="0" w:line="240" w:lineRule="auto"/>
                  <w:jc w:val="right"/>
                  <w:rPr>
                    <w:rFonts w:ascii="Times New Roman" w:eastAsia="Times New Roman" w:hAnsi="Times New Roman"/>
                    <w:color w:val="000000"/>
                    <w:sz w:val="18"/>
                    <w:szCs w:val="18"/>
                    <w:lang w:eastAsia="es-CO"/>
                  </w:rPr>
                </w:pPr>
                <w:r w:rsidRPr="00427D90">
                  <w:rPr>
                    <w:rFonts w:ascii="Times New Roman" w:eastAsia="Times New Roman" w:hAnsi="Times New Roman"/>
                    <w:color w:val="000000"/>
                    <w:sz w:val="18"/>
                    <w:szCs w:val="18"/>
                    <w:lang w:eastAsia="es-CO"/>
                  </w:rPr>
                  <w:t>339.695.277</w:t>
                </w:r>
              </w:p>
            </w:tc>
          </w:tr>
          <w:tr w:rsidR="00427D90" w:rsidRPr="00427D90" w14:paraId="783CF2CC" w14:textId="77777777" w:rsidTr="00427D90">
            <w:trPr>
              <w:trHeight w:val="340"/>
            </w:trPr>
            <w:tc>
              <w:tcPr>
                <w:tcW w:w="549" w:type="pct"/>
                <w:shd w:val="clear" w:color="auto" w:fill="auto"/>
                <w:vAlign w:val="center"/>
                <w:hideMark/>
              </w:tcPr>
              <w:p w14:paraId="41F1D1DB" w14:textId="77777777" w:rsidR="00427D90" w:rsidRPr="00427D90" w:rsidRDefault="00427D90" w:rsidP="00427D90">
                <w:pPr>
                  <w:spacing w:after="0" w:line="240" w:lineRule="auto"/>
                  <w:jc w:val="right"/>
                  <w:rPr>
                    <w:rFonts w:ascii="Times New Roman" w:eastAsia="Times New Roman" w:hAnsi="Times New Roman"/>
                    <w:color w:val="000000"/>
                    <w:sz w:val="18"/>
                    <w:szCs w:val="18"/>
                    <w:lang w:eastAsia="es-CO"/>
                  </w:rPr>
                </w:pPr>
                <w:r w:rsidRPr="00427D90">
                  <w:rPr>
                    <w:rFonts w:ascii="Times New Roman" w:eastAsia="Times New Roman" w:hAnsi="Times New Roman"/>
                    <w:color w:val="000000"/>
                    <w:sz w:val="18"/>
                    <w:szCs w:val="18"/>
                    <w:lang w:eastAsia="es-CO"/>
                  </w:rPr>
                  <w:t>901496300</w:t>
                </w:r>
              </w:p>
            </w:tc>
            <w:tc>
              <w:tcPr>
                <w:tcW w:w="2972" w:type="pct"/>
                <w:shd w:val="clear" w:color="auto" w:fill="auto"/>
                <w:vAlign w:val="center"/>
                <w:hideMark/>
              </w:tcPr>
              <w:p w14:paraId="750C9E17" w14:textId="77777777" w:rsidR="00427D90" w:rsidRPr="00427D90" w:rsidRDefault="00427D90" w:rsidP="00427D90">
                <w:pPr>
                  <w:spacing w:after="0" w:line="240" w:lineRule="auto"/>
                  <w:rPr>
                    <w:rFonts w:ascii="Times New Roman" w:eastAsia="Times New Roman" w:hAnsi="Times New Roman"/>
                    <w:color w:val="000000"/>
                    <w:sz w:val="18"/>
                    <w:szCs w:val="18"/>
                    <w:lang w:eastAsia="es-CO"/>
                  </w:rPr>
                </w:pPr>
                <w:r w:rsidRPr="00427D90">
                  <w:rPr>
                    <w:rFonts w:ascii="Times New Roman" w:eastAsia="Times New Roman" w:hAnsi="Times New Roman"/>
                    <w:color w:val="000000"/>
                    <w:sz w:val="18"/>
                    <w:szCs w:val="18"/>
                    <w:lang w:eastAsia="es-CO"/>
                  </w:rPr>
                  <w:t xml:space="preserve">CONSORCIO SAN FELIPE </w:t>
                </w:r>
              </w:p>
            </w:tc>
            <w:tc>
              <w:tcPr>
                <w:tcW w:w="1479" w:type="pct"/>
                <w:shd w:val="clear" w:color="auto" w:fill="auto"/>
                <w:vAlign w:val="center"/>
                <w:hideMark/>
              </w:tcPr>
              <w:p w14:paraId="0019C8E7" w14:textId="77777777" w:rsidR="00427D90" w:rsidRPr="00427D90" w:rsidRDefault="00427D90" w:rsidP="00427D90">
                <w:pPr>
                  <w:spacing w:after="0" w:line="240" w:lineRule="auto"/>
                  <w:jc w:val="right"/>
                  <w:rPr>
                    <w:rFonts w:ascii="Times New Roman" w:eastAsia="Times New Roman" w:hAnsi="Times New Roman"/>
                    <w:color w:val="000000"/>
                    <w:sz w:val="18"/>
                    <w:szCs w:val="18"/>
                    <w:lang w:eastAsia="es-CO"/>
                  </w:rPr>
                </w:pPr>
                <w:r w:rsidRPr="00427D90">
                  <w:rPr>
                    <w:rFonts w:ascii="Times New Roman" w:eastAsia="Times New Roman" w:hAnsi="Times New Roman"/>
                    <w:color w:val="000000"/>
                    <w:sz w:val="18"/>
                    <w:szCs w:val="18"/>
                    <w:lang w:eastAsia="es-CO"/>
                  </w:rPr>
                  <w:t>304.344.693</w:t>
                </w:r>
              </w:p>
            </w:tc>
          </w:tr>
          <w:tr w:rsidR="00427D90" w:rsidRPr="00427D90" w14:paraId="24E5A091" w14:textId="77777777" w:rsidTr="00427D90">
            <w:trPr>
              <w:trHeight w:val="340"/>
            </w:trPr>
            <w:tc>
              <w:tcPr>
                <w:tcW w:w="549" w:type="pct"/>
                <w:shd w:val="clear" w:color="auto" w:fill="auto"/>
                <w:vAlign w:val="center"/>
                <w:hideMark/>
              </w:tcPr>
              <w:p w14:paraId="553B74BF" w14:textId="77777777" w:rsidR="00427D90" w:rsidRPr="00427D90" w:rsidRDefault="00427D90" w:rsidP="00427D90">
                <w:pPr>
                  <w:spacing w:after="0" w:line="240" w:lineRule="auto"/>
                  <w:jc w:val="right"/>
                  <w:rPr>
                    <w:rFonts w:ascii="Times New Roman" w:eastAsia="Times New Roman" w:hAnsi="Times New Roman"/>
                    <w:color w:val="000000"/>
                    <w:sz w:val="18"/>
                    <w:szCs w:val="18"/>
                    <w:lang w:eastAsia="es-CO"/>
                  </w:rPr>
                </w:pPr>
                <w:r w:rsidRPr="00427D90">
                  <w:rPr>
                    <w:rFonts w:ascii="Times New Roman" w:eastAsia="Times New Roman" w:hAnsi="Times New Roman"/>
                    <w:color w:val="000000"/>
                    <w:sz w:val="18"/>
                    <w:szCs w:val="18"/>
                    <w:lang w:eastAsia="es-CO"/>
                  </w:rPr>
                  <w:t>901732725</w:t>
                </w:r>
              </w:p>
            </w:tc>
            <w:tc>
              <w:tcPr>
                <w:tcW w:w="2972" w:type="pct"/>
                <w:shd w:val="clear" w:color="auto" w:fill="auto"/>
                <w:vAlign w:val="center"/>
                <w:hideMark/>
              </w:tcPr>
              <w:p w14:paraId="64FA9595" w14:textId="77777777" w:rsidR="00427D90" w:rsidRPr="00427D90" w:rsidRDefault="00427D90" w:rsidP="00427D90">
                <w:pPr>
                  <w:spacing w:after="0" w:line="240" w:lineRule="auto"/>
                  <w:rPr>
                    <w:rFonts w:ascii="Times New Roman" w:eastAsia="Times New Roman" w:hAnsi="Times New Roman"/>
                    <w:color w:val="000000"/>
                    <w:sz w:val="18"/>
                    <w:szCs w:val="18"/>
                    <w:lang w:eastAsia="es-CO"/>
                  </w:rPr>
                </w:pPr>
                <w:r w:rsidRPr="00427D90">
                  <w:rPr>
                    <w:rFonts w:ascii="Times New Roman" w:eastAsia="Times New Roman" w:hAnsi="Times New Roman"/>
                    <w:color w:val="000000"/>
                    <w:sz w:val="18"/>
                    <w:szCs w:val="18"/>
                    <w:lang w:eastAsia="es-CO"/>
                  </w:rPr>
                  <w:t>CONSORCIO SAN FELIPE FERREO</w:t>
                </w:r>
              </w:p>
            </w:tc>
            <w:tc>
              <w:tcPr>
                <w:tcW w:w="1479" w:type="pct"/>
                <w:shd w:val="clear" w:color="auto" w:fill="auto"/>
                <w:vAlign w:val="center"/>
                <w:hideMark/>
              </w:tcPr>
              <w:p w14:paraId="7C4958EE" w14:textId="77777777" w:rsidR="00427D90" w:rsidRPr="00427D90" w:rsidRDefault="00427D90" w:rsidP="00427D90">
                <w:pPr>
                  <w:spacing w:after="0" w:line="240" w:lineRule="auto"/>
                  <w:jc w:val="right"/>
                  <w:rPr>
                    <w:rFonts w:ascii="Times New Roman" w:eastAsia="Times New Roman" w:hAnsi="Times New Roman"/>
                    <w:color w:val="000000"/>
                    <w:sz w:val="18"/>
                    <w:szCs w:val="18"/>
                    <w:lang w:eastAsia="es-CO"/>
                  </w:rPr>
                </w:pPr>
                <w:r w:rsidRPr="00427D90">
                  <w:rPr>
                    <w:rFonts w:ascii="Times New Roman" w:eastAsia="Times New Roman" w:hAnsi="Times New Roman"/>
                    <w:color w:val="000000"/>
                    <w:sz w:val="18"/>
                    <w:szCs w:val="18"/>
                    <w:lang w:eastAsia="es-CO"/>
                  </w:rPr>
                  <w:t>145.707.039</w:t>
                </w:r>
              </w:p>
            </w:tc>
          </w:tr>
          <w:tr w:rsidR="00427D90" w:rsidRPr="00427D90" w14:paraId="08354370" w14:textId="77777777" w:rsidTr="00427D90">
            <w:trPr>
              <w:trHeight w:val="340"/>
            </w:trPr>
            <w:tc>
              <w:tcPr>
                <w:tcW w:w="549" w:type="pct"/>
                <w:shd w:val="clear" w:color="auto" w:fill="auto"/>
                <w:vAlign w:val="center"/>
                <w:hideMark/>
              </w:tcPr>
              <w:p w14:paraId="184DA921" w14:textId="77777777" w:rsidR="00427D90" w:rsidRPr="00427D90" w:rsidRDefault="00427D90" w:rsidP="00427D90">
                <w:pPr>
                  <w:spacing w:after="0" w:line="240" w:lineRule="auto"/>
                  <w:jc w:val="right"/>
                  <w:rPr>
                    <w:rFonts w:ascii="Times New Roman" w:eastAsia="Times New Roman" w:hAnsi="Times New Roman"/>
                    <w:color w:val="000000"/>
                    <w:sz w:val="18"/>
                    <w:szCs w:val="18"/>
                    <w:lang w:eastAsia="es-CO"/>
                  </w:rPr>
                </w:pPr>
                <w:r w:rsidRPr="00427D90">
                  <w:rPr>
                    <w:rFonts w:ascii="Times New Roman" w:eastAsia="Times New Roman" w:hAnsi="Times New Roman"/>
                    <w:color w:val="000000"/>
                    <w:sz w:val="18"/>
                    <w:szCs w:val="18"/>
                    <w:lang w:eastAsia="es-CO"/>
                  </w:rPr>
                  <w:t>901572770</w:t>
                </w:r>
              </w:p>
            </w:tc>
            <w:tc>
              <w:tcPr>
                <w:tcW w:w="2972" w:type="pct"/>
                <w:shd w:val="clear" w:color="auto" w:fill="auto"/>
                <w:vAlign w:val="center"/>
                <w:hideMark/>
              </w:tcPr>
              <w:p w14:paraId="765E1148" w14:textId="77777777" w:rsidR="00427D90" w:rsidRPr="00427D90" w:rsidRDefault="00427D90" w:rsidP="00427D90">
                <w:pPr>
                  <w:spacing w:after="0" w:line="240" w:lineRule="auto"/>
                  <w:rPr>
                    <w:rFonts w:ascii="Times New Roman" w:eastAsia="Times New Roman" w:hAnsi="Times New Roman"/>
                    <w:color w:val="000000"/>
                    <w:sz w:val="18"/>
                    <w:szCs w:val="18"/>
                    <w:lang w:eastAsia="es-CO"/>
                  </w:rPr>
                </w:pPr>
                <w:r w:rsidRPr="00427D90">
                  <w:rPr>
                    <w:rFonts w:ascii="Times New Roman" w:eastAsia="Times New Roman" w:hAnsi="Times New Roman"/>
                    <w:color w:val="000000"/>
                    <w:sz w:val="18"/>
                    <w:szCs w:val="18"/>
                    <w:lang w:eastAsia="es-CO"/>
                  </w:rPr>
                  <w:t>CONSORCIO INFRAROVER FERREO</w:t>
                </w:r>
              </w:p>
            </w:tc>
            <w:tc>
              <w:tcPr>
                <w:tcW w:w="1479" w:type="pct"/>
                <w:shd w:val="clear" w:color="auto" w:fill="auto"/>
                <w:vAlign w:val="center"/>
                <w:hideMark/>
              </w:tcPr>
              <w:p w14:paraId="11C9DD23" w14:textId="3C7F2E34" w:rsidR="00427D90" w:rsidRPr="00427D90" w:rsidRDefault="00427D90" w:rsidP="00427D90">
                <w:pPr>
                  <w:spacing w:after="0" w:line="240" w:lineRule="auto"/>
                  <w:jc w:val="right"/>
                  <w:rPr>
                    <w:rFonts w:ascii="Times New Roman" w:eastAsia="Times New Roman" w:hAnsi="Times New Roman"/>
                    <w:color w:val="000000"/>
                    <w:sz w:val="18"/>
                    <w:szCs w:val="18"/>
                    <w:lang w:eastAsia="es-CO"/>
                  </w:rPr>
                </w:pPr>
                <w:r w:rsidRPr="00427D90">
                  <w:rPr>
                    <w:rFonts w:ascii="Times New Roman" w:eastAsia="Times New Roman" w:hAnsi="Times New Roman"/>
                    <w:color w:val="000000"/>
                    <w:sz w:val="18"/>
                    <w:szCs w:val="18"/>
                    <w:lang w:eastAsia="es-CO"/>
                  </w:rPr>
                  <w:t>47.234.73</w:t>
                </w:r>
                <w:r w:rsidR="00653DE9">
                  <w:rPr>
                    <w:rFonts w:ascii="Times New Roman" w:eastAsia="Times New Roman" w:hAnsi="Times New Roman"/>
                    <w:color w:val="000000"/>
                    <w:sz w:val="18"/>
                    <w:szCs w:val="18"/>
                    <w:lang w:eastAsia="es-CO"/>
                  </w:rPr>
                  <w:t>2</w:t>
                </w:r>
              </w:p>
            </w:tc>
          </w:tr>
          <w:tr w:rsidR="00427D90" w:rsidRPr="00427D90" w14:paraId="15A321F0" w14:textId="77777777" w:rsidTr="00427D90">
            <w:trPr>
              <w:trHeight w:val="340"/>
            </w:trPr>
            <w:tc>
              <w:tcPr>
                <w:tcW w:w="3521" w:type="pct"/>
                <w:gridSpan w:val="2"/>
                <w:shd w:val="clear" w:color="auto" w:fill="auto"/>
                <w:vAlign w:val="center"/>
                <w:hideMark/>
              </w:tcPr>
              <w:p w14:paraId="7E68CA3E" w14:textId="77777777" w:rsidR="00427D90" w:rsidRPr="00427D90" w:rsidRDefault="00427D90" w:rsidP="00427D90">
                <w:pPr>
                  <w:spacing w:after="0" w:line="240" w:lineRule="auto"/>
                  <w:jc w:val="center"/>
                  <w:rPr>
                    <w:rFonts w:ascii="Times New Roman" w:eastAsia="Times New Roman" w:hAnsi="Times New Roman"/>
                    <w:b/>
                    <w:bCs/>
                    <w:color w:val="000000"/>
                    <w:sz w:val="18"/>
                    <w:szCs w:val="18"/>
                    <w:lang w:eastAsia="es-CO"/>
                  </w:rPr>
                </w:pPr>
                <w:r w:rsidRPr="00427D90">
                  <w:rPr>
                    <w:rFonts w:ascii="Times New Roman" w:eastAsia="Times New Roman" w:hAnsi="Times New Roman"/>
                    <w:b/>
                    <w:bCs/>
                    <w:color w:val="000000"/>
                    <w:sz w:val="18"/>
                    <w:szCs w:val="18"/>
                    <w:lang w:eastAsia="es-CO"/>
                  </w:rPr>
                  <w:t>TOTAL</w:t>
                </w:r>
              </w:p>
            </w:tc>
            <w:tc>
              <w:tcPr>
                <w:tcW w:w="1479" w:type="pct"/>
                <w:shd w:val="clear" w:color="auto" w:fill="auto"/>
                <w:vAlign w:val="center"/>
                <w:hideMark/>
              </w:tcPr>
              <w:p w14:paraId="1523B353" w14:textId="4CBC6414" w:rsidR="00427D90" w:rsidRPr="00427D90" w:rsidRDefault="00427D90" w:rsidP="00427D90">
                <w:pPr>
                  <w:spacing w:after="0" w:line="240" w:lineRule="auto"/>
                  <w:jc w:val="right"/>
                  <w:rPr>
                    <w:rFonts w:ascii="Times New Roman" w:eastAsia="Times New Roman" w:hAnsi="Times New Roman"/>
                    <w:b/>
                    <w:bCs/>
                    <w:color w:val="000000"/>
                    <w:sz w:val="18"/>
                    <w:szCs w:val="18"/>
                    <w:lang w:eastAsia="es-CO"/>
                  </w:rPr>
                </w:pPr>
                <w:r w:rsidRPr="00427D90">
                  <w:rPr>
                    <w:rFonts w:ascii="Times New Roman" w:eastAsia="Times New Roman" w:hAnsi="Times New Roman"/>
                    <w:b/>
                    <w:bCs/>
                    <w:color w:val="000000"/>
                    <w:sz w:val="18"/>
                    <w:szCs w:val="18"/>
                    <w:lang w:eastAsia="es-CO"/>
                  </w:rPr>
                  <w:t>205.051.145.50</w:t>
                </w:r>
                <w:r w:rsidR="00653DE9">
                  <w:rPr>
                    <w:rFonts w:ascii="Times New Roman" w:eastAsia="Times New Roman" w:hAnsi="Times New Roman"/>
                    <w:b/>
                    <w:bCs/>
                    <w:color w:val="000000"/>
                    <w:sz w:val="18"/>
                    <w:szCs w:val="18"/>
                    <w:lang w:eastAsia="es-CO"/>
                  </w:rPr>
                  <w:t>4</w:t>
                </w:r>
              </w:p>
            </w:tc>
          </w:tr>
        </w:tbl>
        <w:p w14:paraId="2DFDD902" w14:textId="71BC9451" w:rsidR="00CD7FBF" w:rsidRPr="00931DCE" w:rsidRDefault="00AD2026" w:rsidP="00CD7FBF">
          <w:pPr>
            <w:spacing w:after="0" w:line="240" w:lineRule="auto"/>
            <w:jc w:val="both"/>
            <w:rPr>
              <w:rFonts w:ascii="Times New Roman" w:hAnsi="Times New Roman"/>
              <w:sz w:val="24"/>
              <w:szCs w:val="24"/>
            </w:rPr>
          </w:pPr>
          <w:r w:rsidRPr="00931DCE">
            <w:rPr>
              <w:rFonts w:ascii="Times New Roman" w:hAnsi="Times New Roman"/>
              <w:sz w:val="14"/>
              <w:szCs w:val="14"/>
            </w:rPr>
            <w:t>Cifras expresadas en pesos</w:t>
          </w:r>
        </w:p>
        <w:p w14:paraId="270C7672" w14:textId="63DEA70C" w:rsidR="00570326" w:rsidRPr="002A7EF4" w:rsidRDefault="002A7EF4" w:rsidP="002A7EF4">
          <w:pPr>
            <w:pStyle w:val="Default"/>
            <w:jc w:val="both"/>
            <w:rPr>
              <w:rFonts w:ascii="Times New Roman" w:hAnsi="Times New Roman" w:cs="Times New Roman"/>
            </w:rPr>
          </w:pPr>
          <w:r w:rsidRPr="002A7EF4">
            <w:rPr>
              <w:rFonts w:ascii="Times New Roman" w:hAnsi="Times New Roman" w:cs="Times New Roman"/>
            </w:rPr>
            <w:lastRenderedPageBreak/>
            <w:t>El saldo de las cuentas por cobrar reconocidas al cierre de la vigencia 2023, con respecto a los ingresos sin contraprestación, a nivel de terceros es el siguiente:</w:t>
          </w:r>
        </w:p>
        <w:p w14:paraId="2E8E4F3F" w14:textId="77777777" w:rsidR="00D55C30" w:rsidRPr="002A7EF4" w:rsidRDefault="00D55C30" w:rsidP="002A7EF4">
          <w:pPr>
            <w:pStyle w:val="Default"/>
            <w:jc w:val="both"/>
            <w:rPr>
              <w:rFonts w:ascii="Times New Roman" w:hAnsi="Times New Roman" w:cs="Times New Roman"/>
            </w:rPr>
          </w:pPr>
        </w:p>
        <w:p w14:paraId="19CF8A2A" w14:textId="5DBBA847" w:rsidR="02E3AD61" w:rsidRDefault="02E3AD61" w:rsidP="02E3AD61">
          <w:pPr>
            <w:spacing w:after="0" w:line="240" w:lineRule="auto"/>
            <w:jc w:val="both"/>
            <w:rPr>
              <w:rFonts w:ascii="Times New Roman" w:hAnsi="Times New Roman"/>
              <w:sz w:val="14"/>
              <w:szCs w:val="14"/>
              <w:highlight w:val="yellow"/>
            </w:rPr>
          </w:pPr>
        </w:p>
        <w:p w14:paraId="10C4272C" w14:textId="77777777" w:rsidR="00D55C30" w:rsidRDefault="00D55C30" w:rsidP="00D55C30">
          <w:pPr>
            <w:spacing w:after="0" w:line="240" w:lineRule="auto"/>
            <w:jc w:val="center"/>
            <w:rPr>
              <w:rFonts w:ascii="Times New Roman" w:eastAsia="Times New Roman" w:hAnsi="Times New Roman"/>
              <w:b/>
              <w:bCs/>
              <w:color w:val="000000"/>
              <w:sz w:val="16"/>
              <w:szCs w:val="16"/>
              <w:lang w:eastAsia="es-CO"/>
            </w:rPr>
            <w:sectPr w:rsidR="00D55C30" w:rsidSect="00376BDD">
              <w:type w:val="continuous"/>
              <w:pgSz w:w="12240" w:h="15840"/>
              <w:pgMar w:top="1418" w:right="1418" w:bottom="1418" w:left="1843" w:header="680" w:footer="709" w:gutter="0"/>
              <w:pgNumType w:start="141"/>
              <w:cols w:space="708"/>
              <w:titlePg/>
              <w:docGrid w:linePitch="360"/>
            </w:sectPr>
          </w:pPr>
        </w:p>
        <w:p w14:paraId="501F72B7" w14:textId="77777777" w:rsidR="00D55C30" w:rsidRDefault="00D55C30" w:rsidP="00A03223">
          <w:pPr>
            <w:spacing w:after="0" w:line="240" w:lineRule="auto"/>
            <w:jc w:val="both"/>
            <w:rPr>
              <w:rFonts w:ascii="Times New Roman" w:hAnsi="Times New Roman"/>
              <w:sz w:val="16"/>
              <w:szCs w:val="16"/>
            </w:rPr>
            <w:sectPr w:rsidR="00D55C30" w:rsidSect="00376BDD">
              <w:type w:val="continuous"/>
              <w:pgSz w:w="12240" w:h="15840"/>
              <w:pgMar w:top="1418" w:right="1418" w:bottom="1418" w:left="1843" w:header="680" w:footer="709" w:gutter="0"/>
              <w:pgNumType w:start="1"/>
              <w:cols w:num="2" w:space="708"/>
              <w:titlePg/>
              <w:docGrid w:linePitch="360"/>
            </w:sectPr>
          </w:pPr>
        </w:p>
        <w:tbl>
          <w:tblPr>
            <w:tblW w:w="5156" w:type="pct"/>
            <w:jc w:val="right"/>
            <w:tblBorders>
              <w:top w:val="single" w:sz="8" w:space="0" w:color="808080"/>
              <w:left w:val="single" w:sz="8" w:space="0" w:color="808080"/>
              <w:bottom w:val="single" w:sz="8" w:space="0" w:color="808080"/>
              <w:right w:val="single" w:sz="8" w:space="0" w:color="808080"/>
              <w:insideH w:val="single" w:sz="6" w:space="0" w:color="808080"/>
              <w:insideV w:val="single" w:sz="6" w:space="0" w:color="808080"/>
            </w:tblBorders>
            <w:tblCellMar>
              <w:left w:w="70" w:type="dxa"/>
              <w:right w:w="70" w:type="dxa"/>
            </w:tblCellMar>
            <w:tblLook w:val="04A0" w:firstRow="1" w:lastRow="0" w:firstColumn="1" w:lastColumn="0" w:noHBand="0" w:noVBand="1"/>
          </w:tblPr>
          <w:tblGrid>
            <w:gridCol w:w="1604"/>
            <w:gridCol w:w="1538"/>
            <w:gridCol w:w="1203"/>
          </w:tblGrid>
          <w:tr w:rsidR="00D27AAE" w:rsidRPr="00D27AAE" w14:paraId="14DE3B92" w14:textId="77777777" w:rsidTr="00D27AAE">
            <w:trPr>
              <w:trHeight w:val="340"/>
              <w:tblHeader/>
              <w:jc w:val="right"/>
            </w:trPr>
            <w:tc>
              <w:tcPr>
                <w:tcW w:w="1789" w:type="pct"/>
                <w:shd w:val="clear" w:color="auto" w:fill="auto"/>
                <w:vAlign w:val="center"/>
                <w:hideMark/>
              </w:tcPr>
              <w:p w14:paraId="6FFA3271" w14:textId="77777777" w:rsidR="00D27AAE" w:rsidRPr="00D27AAE" w:rsidRDefault="00D27AAE" w:rsidP="00D27AAE">
                <w:pPr>
                  <w:spacing w:after="0" w:line="240" w:lineRule="auto"/>
                  <w:jc w:val="center"/>
                  <w:rPr>
                    <w:rFonts w:ascii="Times New Roman" w:eastAsia="Times New Roman" w:hAnsi="Times New Roman"/>
                    <w:b/>
                    <w:bCs/>
                    <w:color w:val="000000"/>
                    <w:sz w:val="17"/>
                    <w:szCs w:val="17"/>
                    <w:lang w:eastAsia="es-CO"/>
                  </w:rPr>
                </w:pPr>
                <w:r w:rsidRPr="00D27AAE">
                  <w:rPr>
                    <w:rFonts w:ascii="Times New Roman" w:eastAsia="Times New Roman" w:hAnsi="Times New Roman"/>
                    <w:b/>
                    <w:bCs/>
                    <w:color w:val="000000"/>
                    <w:sz w:val="17"/>
                    <w:szCs w:val="17"/>
                    <w:lang w:eastAsia="es-CO"/>
                  </w:rPr>
                  <w:t>CONCEPTO</w:t>
                </w:r>
              </w:p>
            </w:tc>
            <w:tc>
              <w:tcPr>
                <w:tcW w:w="1716" w:type="pct"/>
                <w:shd w:val="clear" w:color="auto" w:fill="auto"/>
                <w:vAlign w:val="center"/>
                <w:hideMark/>
              </w:tcPr>
              <w:p w14:paraId="6C6E0D1D" w14:textId="77777777" w:rsidR="00D27AAE" w:rsidRPr="00D27AAE" w:rsidRDefault="00D27AAE" w:rsidP="00D27AAE">
                <w:pPr>
                  <w:spacing w:after="0" w:line="240" w:lineRule="auto"/>
                  <w:jc w:val="center"/>
                  <w:rPr>
                    <w:rFonts w:ascii="Times New Roman" w:eastAsia="Times New Roman" w:hAnsi="Times New Roman"/>
                    <w:b/>
                    <w:bCs/>
                    <w:color w:val="000000"/>
                    <w:sz w:val="17"/>
                    <w:szCs w:val="17"/>
                    <w:lang w:eastAsia="es-CO"/>
                  </w:rPr>
                </w:pPr>
                <w:r w:rsidRPr="00D27AAE">
                  <w:rPr>
                    <w:rFonts w:ascii="Times New Roman" w:eastAsia="Times New Roman" w:hAnsi="Times New Roman"/>
                    <w:b/>
                    <w:bCs/>
                    <w:color w:val="000000"/>
                    <w:sz w:val="17"/>
                    <w:szCs w:val="17"/>
                    <w:lang w:eastAsia="es-CO"/>
                  </w:rPr>
                  <w:t>TERCERO</w:t>
                </w:r>
              </w:p>
            </w:tc>
            <w:tc>
              <w:tcPr>
                <w:tcW w:w="1495" w:type="pct"/>
                <w:shd w:val="clear" w:color="auto" w:fill="auto"/>
                <w:vAlign w:val="center"/>
                <w:hideMark/>
              </w:tcPr>
              <w:p w14:paraId="54F9F94F" w14:textId="77777777" w:rsidR="00D27AAE" w:rsidRPr="00D27AAE" w:rsidRDefault="00D27AAE" w:rsidP="00D27AAE">
                <w:pPr>
                  <w:spacing w:after="0" w:line="240" w:lineRule="auto"/>
                  <w:jc w:val="center"/>
                  <w:rPr>
                    <w:rFonts w:ascii="Times New Roman" w:eastAsia="Times New Roman" w:hAnsi="Times New Roman"/>
                    <w:b/>
                    <w:bCs/>
                    <w:color w:val="000000"/>
                    <w:sz w:val="17"/>
                    <w:szCs w:val="17"/>
                    <w:lang w:eastAsia="es-CO"/>
                  </w:rPr>
                </w:pPr>
                <w:r w:rsidRPr="00D27AAE">
                  <w:rPr>
                    <w:rFonts w:ascii="Times New Roman" w:eastAsia="Times New Roman" w:hAnsi="Times New Roman"/>
                    <w:b/>
                    <w:bCs/>
                    <w:color w:val="000000"/>
                    <w:sz w:val="17"/>
                    <w:szCs w:val="17"/>
                    <w:lang w:eastAsia="es-CO"/>
                  </w:rPr>
                  <w:t>SALDO</w:t>
                </w:r>
              </w:p>
            </w:tc>
          </w:tr>
          <w:tr w:rsidR="00D27AAE" w:rsidRPr="00D27AAE" w14:paraId="0DC2D0DA" w14:textId="77777777" w:rsidTr="00D27AAE">
            <w:trPr>
              <w:trHeight w:val="340"/>
              <w:jc w:val="right"/>
            </w:trPr>
            <w:tc>
              <w:tcPr>
                <w:tcW w:w="1789" w:type="pct"/>
                <w:shd w:val="clear" w:color="auto" w:fill="auto"/>
                <w:vAlign w:val="center"/>
                <w:hideMark/>
              </w:tcPr>
              <w:p w14:paraId="2CA00AC9" w14:textId="0DFD2E29" w:rsidR="00D27AAE" w:rsidRPr="00D27AAE" w:rsidRDefault="00D27AAE" w:rsidP="00D27AAE">
                <w:pPr>
                  <w:spacing w:after="0" w:line="240" w:lineRule="auto"/>
                  <w:jc w:val="both"/>
                  <w:rPr>
                    <w:rFonts w:ascii="Times New Roman" w:eastAsia="Times New Roman" w:hAnsi="Times New Roman"/>
                    <w:color w:val="000000"/>
                    <w:sz w:val="17"/>
                    <w:szCs w:val="17"/>
                    <w:lang w:eastAsia="es-CO"/>
                  </w:rPr>
                </w:pPr>
                <w:r w:rsidRPr="00D27AAE">
                  <w:rPr>
                    <w:rFonts w:ascii="Times New Roman" w:eastAsia="Times New Roman" w:hAnsi="Times New Roman"/>
                    <w:color w:val="000000"/>
                    <w:sz w:val="17"/>
                    <w:szCs w:val="17"/>
                    <w:lang w:eastAsia="es-CO"/>
                  </w:rPr>
                  <w:t>ANCIONES CONTRACTUALES</w:t>
                </w:r>
              </w:p>
            </w:tc>
            <w:tc>
              <w:tcPr>
                <w:tcW w:w="1716" w:type="pct"/>
                <w:shd w:val="clear" w:color="auto" w:fill="auto"/>
                <w:vAlign w:val="center"/>
                <w:hideMark/>
              </w:tcPr>
              <w:p w14:paraId="12CA8415" w14:textId="77777777" w:rsidR="00D27AAE" w:rsidRPr="00D27AAE" w:rsidRDefault="00D27AAE" w:rsidP="00D27AAE">
                <w:pPr>
                  <w:spacing w:after="0" w:line="240" w:lineRule="auto"/>
                  <w:jc w:val="both"/>
                  <w:rPr>
                    <w:rFonts w:ascii="Times New Roman" w:eastAsia="Times New Roman" w:hAnsi="Times New Roman"/>
                    <w:color w:val="000000"/>
                    <w:sz w:val="17"/>
                    <w:szCs w:val="17"/>
                    <w:lang w:eastAsia="es-CO"/>
                  </w:rPr>
                </w:pPr>
                <w:r w:rsidRPr="00D27AAE">
                  <w:rPr>
                    <w:rFonts w:ascii="Times New Roman" w:eastAsia="Times New Roman" w:hAnsi="Times New Roman"/>
                    <w:color w:val="000000"/>
                    <w:sz w:val="17"/>
                    <w:szCs w:val="17"/>
                    <w:lang w:eastAsia="es-CO"/>
                  </w:rPr>
                  <w:t>CONCESIONARIA VIAL DE LOS ANDES S.A.S. COVIANDES S.A.S.</w:t>
                </w:r>
              </w:p>
            </w:tc>
            <w:tc>
              <w:tcPr>
                <w:tcW w:w="1495" w:type="pct"/>
                <w:shd w:val="clear" w:color="auto" w:fill="auto"/>
                <w:vAlign w:val="center"/>
                <w:hideMark/>
              </w:tcPr>
              <w:p w14:paraId="7E39E2E8" w14:textId="77777777" w:rsidR="00D27AAE" w:rsidRPr="00D27AAE" w:rsidRDefault="00D27AAE" w:rsidP="00D27AAE">
                <w:pPr>
                  <w:spacing w:after="0" w:line="240" w:lineRule="auto"/>
                  <w:jc w:val="right"/>
                  <w:rPr>
                    <w:rFonts w:ascii="Times New Roman" w:eastAsia="Times New Roman" w:hAnsi="Times New Roman"/>
                    <w:color w:val="000000"/>
                    <w:sz w:val="17"/>
                    <w:szCs w:val="17"/>
                    <w:lang w:eastAsia="es-CO"/>
                  </w:rPr>
                </w:pPr>
                <w:r w:rsidRPr="00D27AAE">
                  <w:rPr>
                    <w:rFonts w:ascii="Times New Roman" w:eastAsia="Times New Roman" w:hAnsi="Times New Roman"/>
                    <w:color w:val="000000"/>
                    <w:sz w:val="17"/>
                    <w:szCs w:val="17"/>
                    <w:lang w:eastAsia="es-CO"/>
                  </w:rPr>
                  <w:t>23.506.994.882</w:t>
                </w:r>
              </w:p>
            </w:tc>
          </w:tr>
          <w:tr w:rsidR="00D27AAE" w:rsidRPr="00D27AAE" w14:paraId="3E6308FA" w14:textId="77777777" w:rsidTr="00D27AAE">
            <w:trPr>
              <w:trHeight w:val="340"/>
              <w:jc w:val="right"/>
            </w:trPr>
            <w:tc>
              <w:tcPr>
                <w:tcW w:w="1789" w:type="pct"/>
                <w:shd w:val="clear" w:color="auto" w:fill="auto"/>
                <w:vAlign w:val="center"/>
                <w:hideMark/>
              </w:tcPr>
              <w:p w14:paraId="05D2E456" w14:textId="77777777" w:rsidR="00D27AAE" w:rsidRPr="00D27AAE" w:rsidRDefault="00D27AAE" w:rsidP="00D27AAE">
                <w:pPr>
                  <w:spacing w:after="0" w:line="240" w:lineRule="auto"/>
                  <w:jc w:val="both"/>
                  <w:rPr>
                    <w:rFonts w:ascii="Times New Roman" w:eastAsia="Times New Roman" w:hAnsi="Times New Roman"/>
                    <w:color w:val="000000"/>
                    <w:sz w:val="17"/>
                    <w:szCs w:val="17"/>
                    <w:lang w:eastAsia="es-CO"/>
                  </w:rPr>
                </w:pPr>
                <w:r w:rsidRPr="00D27AAE">
                  <w:rPr>
                    <w:rFonts w:ascii="Times New Roman" w:eastAsia="Times New Roman" w:hAnsi="Times New Roman"/>
                    <w:color w:val="000000"/>
                    <w:sz w:val="17"/>
                    <w:szCs w:val="17"/>
                    <w:lang w:eastAsia="es-CO"/>
                  </w:rPr>
                  <w:t>SANCIONES CONTRACTUALES</w:t>
                </w:r>
              </w:p>
            </w:tc>
            <w:tc>
              <w:tcPr>
                <w:tcW w:w="1716" w:type="pct"/>
                <w:shd w:val="clear" w:color="auto" w:fill="auto"/>
                <w:vAlign w:val="center"/>
                <w:hideMark/>
              </w:tcPr>
              <w:p w14:paraId="068E6002" w14:textId="77777777" w:rsidR="00D27AAE" w:rsidRPr="00D27AAE" w:rsidRDefault="00D27AAE" w:rsidP="00D27AAE">
                <w:pPr>
                  <w:spacing w:after="0" w:line="240" w:lineRule="auto"/>
                  <w:jc w:val="both"/>
                  <w:rPr>
                    <w:rFonts w:ascii="Times New Roman" w:eastAsia="Times New Roman" w:hAnsi="Times New Roman"/>
                    <w:color w:val="000000"/>
                    <w:sz w:val="17"/>
                    <w:szCs w:val="17"/>
                    <w:lang w:eastAsia="es-CO"/>
                  </w:rPr>
                </w:pPr>
                <w:r w:rsidRPr="00D27AAE">
                  <w:rPr>
                    <w:rFonts w:ascii="Times New Roman" w:eastAsia="Times New Roman" w:hAnsi="Times New Roman"/>
                    <w:color w:val="000000"/>
                    <w:sz w:val="17"/>
                    <w:szCs w:val="17"/>
                    <w:lang w:eastAsia="es-CO"/>
                  </w:rPr>
                  <w:t>APP GICA S.A.</w:t>
                </w:r>
              </w:p>
            </w:tc>
            <w:tc>
              <w:tcPr>
                <w:tcW w:w="1495" w:type="pct"/>
                <w:shd w:val="clear" w:color="auto" w:fill="auto"/>
                <w:vAlign w:val="center"/>
                <w:hideMark/>
              </w:tcPr>
              <w:p w14:paraId="1F05D903" w14:textId="77777777" w:rsidR="00D27AAE" w:rsidRPr="00D27AAE" w:rsidRDefault="00D27AAE" w:rsidP="00D27AAE">
                <w:pPr>
                  <w:spacing w:after="0" w:line="240" w:lineRule="auto"/>
                  <w:jc w:val="right"/>
                  <w:rPr>
                    <w:rFonts w:ascii="Times New Roman" w:eastAsia="Times New Roman" w:hAnsi="Times New Roman"/>
                    <w:color w:val="000000"/>
                    <w:sz w:val="17"/>
                    <w:szCs w:val="17"/>
                    <w:lang w:eastAsia="es-CO"/>
                  </w:rPr>
                </w:pPr>
                <w:r w:rsidRPr="00D27AAE">
                  <w:rPr>
                    <w:rFonts w:ascii="Times New Roman" w:eastAsia="Times New Roman" w:hAnsi="Times New Roman"/>
                    <w:color w:val="000000"/>
                    <w:sz w:val="17"/>
                    <w:szCs w:val="17"/>
                    <w:lang w:eastAsia="es-CO"/>
                  </w:rPr>
                  <w:t>5.040.000.000</w:t>
                </w:r>
              </w:p>
            </w:tc>
          </w:tr>
          <w:tr w:rsidR="00D27AAE" w:rsidRPr="00D27AAE" w14:paraId="57719E20" w14:textId="77777777" w:rsidTr="00D27AAE">
            <w:trPr>
              <w:trHeight w:val="340"/>
              <w:jc w:val="right"/>
            </w:trPr>
            <w:tc>
              <w:tcPr>
                <w:tcW w:w="1789" w:type="pct"/>
                <w:shd w:val="clear" w:color="auto" w:fill="auto"/>
                <w:vAlign w:val="center"/>
                <w:hideMark/>
              </w:tcPr>
              <w:p w14:paraId="785C4432" w14:textId="77777777" w:rsidR="00D27AAE" w:rsidRPr="00D27AAE" w:rsidRDefault="00D27AAE" w:rsidP="00D27AAE">
                <w:pPr>
                  <w:spacing w:after="0" w:line="240" w:lineRule="auto"/>
                  <w:jc w:val="both"/>
                  <w:rPr>
                    <w:rFonts w:ascii="Times New Roman" w:eastAsia="Times New Roman" w:hAnsi="Times New Roman"/>
                    <w:color w:val="000000"/>
                    <w:sz w:val="17"/>
                    <w:szCs w:val="17"/>
                    <w:lang w:eastAsia="es-CO"/>
                  </w:rPr>
                </w:pPr>
                <w:r w:rsidRPr="00D27AAE">
                  <w:rPr>
                    <w:rFonts w:ascii="Times New Roman" w:eastAsia="Times New Roman" w:hAnsi="Times New Roman"/>
                    <w:color w:val="000000"/>
                    <w:sz w:val="17"/>
                    <w:szCs w:val="17"/>
                    <w:lang w:eastAsia="es-CO"/>
                  </w:rPr>
                  <w:t>SANCIONES CONTRACTUALES</w:t>
                </w:r>
              </w:p>
            </w:tc>
            <w:tc>
              <w:tcPr>
                <w:tcW w:w="1716" w:type="pct"/>
                <w:shd w:val="clear" w:color="auto" w:fill="auto"/>
                <w:vAlign w:val="center"/>
                <w:hideMark/>
              </w:tcPr>
              <w:p w14:paraId="06B12927" w14:textId="77777777" w:rsidR="00D27AAE" w:rsidRPr="00D27AAE" w:rsidRDefault="00D27AAE" w:rsidP="00D27AAE">
                <w:pPr>
                  <w:spacing w:after="0" w:line="240" w:lineRule="auto"/>
                  <w:jc w:val="both"/>
                  <w:rPr>
                    <w:rFonts w:ascii="Times New Roman" w:eastAsia="Times New Roman" w:hAnsi="Times New Roman"/>
                    <w:color w:val="000000"/>
                    <w:sz w:val="17"/>
                    <w:szCs w:val="17"/>
                    <w:lang w:eastAsia="es-CO"/>
                  </w:rPr>
                </w:pPr>
                <w:r w:rsidRPr="00D27AAE">
                  <w:rPr>
                    <w:rFonts w:ascii="Times New Roman" w:eastAsia="Times New Roman" w:hAnsi="Times New Roman"/>
                    <w:color w:val="000000"/>
                    <w:sz w:val="17"/>
                    <w:szCs w:val="17"/>
                    <w:lang w:eastAsia="es-CO"/>
                  </w:rPr>
                  <w:t>SOCIEDAD PORTUARIA BULLPESA S. A</w:t>
                </w:r>
              </w:p>
            </w:tc>
            <w:tc>
              <w:tcPr>
                <w:tcW w:w="1495" w:type="pct"/>
                <w:shd w:val="clear" w:color="auto" w:fill="auto"/>
                <w:vAlign w:val="center"/>
                <w:hideMark/>
              </w:tcPr>
              <w:p w14:paraId="558481BA" w14:textId="77777777" w:rsidR="00D27AAE" w:rsidRPr="00D27AAE" w:rsidRDefault="00D27AAE" w:rsidP="00D27AAE">
                <w:pPr>
                  <w:spacing w:after="0" w:line="240" w:lineRule="auto"/>
                  <w:jc w:val="right"/>
                  <w:rPr>
                    <w:rFonts w:ascii="Times New Roman" w:eastAsia="Times New Roman" w:hAnsi="Times New Roman"/>
                    <w:color w:val="000000"/>
                    <w:sz w:val="17"/>
                    <w:szCs w:val="17"/>
                    <w:lang w:eastAsia="es-CO"/>
                  </w:rPr>
                </w:pPr>
                <w:r w:rsidRPr="00D27AAE">
                  <w:rPr>
                    <w:rFonts w:ascii="Times New Roman" w:eastAsia="Times New Roman" w:hAnsi="Times New Roman"/>
                    <w:color w:val="000000"/>
                    <w:sz w:val="17"/>
                    <w:szCs w:val="17"/>
                    <w:lang w:eastAsia="es-CO"/>
                  </w:rPr>
                  <w:t>38.942.567.725</w:t>
                </w:r>
              </w:p>
            </w:tc>
          </w:tr>
          <w:tr w:rsidR="00D27AAE" w:rsidRPr="00D27AAE" w14:paraId="3BEB0081" w14:textId="77777777" w:rsidTr="00D27AAE">
            <w:trPr>
              <w:trHeight w:val="340"/>
              <w:jc w:val="right"/>
            </w:trPr>
            <w:tc>
              <w:tcPr>
                <w:tcW w:w="1789" w:type="pct"/>
                <w:shd w:val="clear" w:color="auto" w:fill="auto"/>
                <w:vAlign w:val="center"/>
                <w:hideMark/>
              </w:tcPr>
              <w:p w14:paraId="3CCC1E7F" w14:textId="77777777" w:rsidR="00D27AAE" w:rsidRPr="00D27AAE" w:rsidRDefault="00D27AAE" w:rsidP="00D27AAE">
                <w:pPr>
                  <w:spacing w:after="0" w:line="240" w:lineRule="auto"/>
                  <w:jc w:val="both"/>
                  <w:rPr>
                    <w:rFonts w:ascii="Times New Roman" w:eastAsia="Times New Roman" w:hAnsi="Times New Roman"/>
                    <w:color w:val="000000"/>
                    <w:sz w:val="17"/>
                    <w:szCs w:val="17"/>
                    <w:lang w:eastAsia="es-CO"/>
                  </w:rPr>
                </w:pPr>
                <w:r w:rsidRPr="00D27AAE">
                  <w:rPr>
                    <w:rFonts w:ascii="Times New Roman" w:eastAsia="Times New Roman" w:hAnsi="Times New Roman"/>
                    <w:color w:val="000000"/>
                    <w:sz w:val="17"/>
                    <w:szCs w:val="17"/>
                    <w:lang w:eastAsia="es-CO"/>
                  </w:rPr>
                  <w:t>SANCIONES CONTRACTUALES</w:t>
                </w:r>
              </w:p>
            </w:tc>
            <w:tc>
              <w:tcPr>
                <w:tcW w:w="1716" w:type="pct"/>
                <w:shd w:val="clear" w:color="auto" w:fill="auto"/>
                <w:vAlign w:val="center"/>
                <w:hideMark/>
              </w:tcPr>
              <w:p w14:paraId="7DBAC50D" w14:textId="77777777" w:rsidR="00D27AAE" w:rsidRPr="00D27AAE" w:rsidRDefault="00D27AAE" w:rsidP="00D27AAE">
                <w:pPr>
                  <w:spacing w:after="0" w:line="240" w:lineRule="auto"/>
                  <w:jc w:val="both"/>
                  <w:rPr>
                    <w:rFonts w:ascii="Times New Roman" w:eastAsia="Times New Roman" w:hAnsi="Times New Roman"/>
                    <w:color w:val="000000"/>
                    <w:sz w:val="17"/>
                    <w:szCs w:val="17"/>
                    <w:lang w:eastAsia="es-CO"/>
                  </w:rPr>
                </w:pPr>
                <w:r w:rsidRPr="00D27AAE">
                  <w:rPr>
                    <w:rFonts w:ascii="Times New Roman" w:eastAsia="Times New Roman" w:hAnsi="Times New Roman"/>
                    <w:color w:val="000000"/>
                    <w:sz w:val="17"/>
                    <w:szCs w:val="17"/>
                    <w:lang w:eastAsia="es-CO"/>
                  </w:rPr>
                  <w:t>SOCIEDAD PORTUARIA TERMINAL DE IFO'S S.A.</w:t>
                </w:r>
              </w:p>
            </w:tc>
            <w:tc>
              <w:tcPr>
                <w:tcW w:w="1495" w:type="pct"/>
                <w:shd w:val="clear" w:color="auto" w:fill="auto"/>
                <w:vAlign w:val="center"/>
                <w:hideMark/>
              </w:tcPr>
              <w:p w14:paraId="0126788A" w14:textId="77777777" w:rsidR="00D27AAE" w:rsidRPr="00D27AAE" w:rsidRDefault="00D27AAE" w:rsidP="00D27AAE">
                <w:pPr>
                  <w:spacing w:after="0" w:line="240" w:lineRule="auto"/>
                  <w:jc w:val="right"/>
                  <w:rPr>
                    <w:rFonts w:ascii="Times New Roman" w:eastAsia="Times New Roman" w:hAnsi="Times New Roman"/>
                    <w:color w:val="000000"/>
                    <w:sz w:val="17"/>
                    <w:szCs w:val="17"/>
                    <w:lang w:eastAsia="es-CO"/>
                  </w:rPr>
                </w:pPr>
                <w:r w:rsidRPr="00D27AAE">
                  <w:rPr>
                    <w:rFonts w:ascii="Times New Roman" w:eastAsia="Times New Roman" w:hAnsi="Times New Roman"/>
                    <w:color w:val="000000"/>
                    <w:sz w:val="17"/>
                    <w:szCs w:val="17"/>
                    <w:lang w:eastAsia="es-CO"/>
                  </w:rPr>
                  <w:t>2.526.683.802</w:t>
                </w:r>
              </w:p>
            </w:tc>
          </w:tr>
          <w:tr w:rsidR="00D27AAE" w:rsidRPr="00D27AAE" w14:paraId="00FA8A48" w14:textId="77777777" w:rsidTr="00D27AAE">
            <w:trPr>
              <w:trHeight w:val="340"/>
              <w:jc w:val="right"/>
            </w:trPr>
            <w:tc>
              <w:tcPr>
                <w:tcW w:w="1789" w:type="pct"/>
                <w:shd w:val="clear" w:color="auto" w:fill="auto"/>
                <w:vAlign w:val="center"/>
                <w:hideMark/>
              </w:tcPr>
              <w:p w14:paraId="417F1B72" w14:textId="77777777" w:rsidR="00D27AAE" w:rsidRPr="00D27AAE" w:rsidRDefault="00D27AAE" w:rsidP="00D27AAE">
                <w:pPr>
                  <w:spacing w:after="0" w:line="240" w:lineRule="auto"/>
                  <w:jc w:val="both"/>
                  <w:rPr>
                    <w:rFonts w:ascii="Times New Roman" w:eastAsia="Times New Roman" w:hAnsi="Times New Roman"/>
                    <w:color w:val="000000"/>
                    <w:sz w:val="17"/>
                    <w:szCs w:val="17"/>
                    <w:lang w:eastAsia="es-CO"/>
                  </w:rPr>
                </w:pPr>
                <w:r w:rsidRPr="00D27AAE">
                  <w:rPr>
                    <w:rFonts w:ascii="Times New Roman" w:eastAsia="Times New Roman" w:hAnsi="Times New Roman"/>
                    <w:color w:val="000000"/>
                    <w:sz w:val="17"/>
                    <w:szCs w:val="17"/>
                    <w:lang w:eastAsia="es-CO"/>
                  </w:rPr>
                  <w:t>SANCIONES CONTRACTUALES</w:t>
                </w:r>
              </w:p>
            </w:tc>
            <w:tc>
              <w:tcPr>
                <w:tcW w:w="1716" w:type="pct"/>
                <w:shd w:val="clear" w:color="auto" w:fill="auto"/>
                <w:vAlign w:val="center"/>
                <w:hideMark/>
              </w:tcPr>
              <w:p w14:paraId="444CCDC3" w14:textId="77777777" w:rsidR="00D27AAE" w:rsidRPr="00D27AAE" w:rsidRDefault="00D27AAE" w:rsidP="00D27AAE">
                <w:pPr>
                  <w:spacing w:after="0" w:line="240" w:lineRule="auto"/>
                  <w:jc w:val="both"/>
                  <w:rPr>
                    <w:rFonts w:ascii="Times New Roman" w:eastAsia="Times New Roman" w:hAnsi="Times New Roman"/>
                    <w:color w:val="000000"/>
                    <w:sz w:val="17"/>
                    <w:szCs w:val="17"/>
                    <w:lang w:eastAsia="es-CO"/>
                  </w:rPr>
                </w:pPr>
                <w:r w:rsidRPr="00D27AAE">
                  <w:rPr>
                    <w:rFonts w:ascii="Times New Roman" w:eastAsia="Times New Roman" w:hAnsi="Times New Roman"/>
                    <w:color w:val="000000"/>
                    <w:sz w:val="17"/>
                    <w:szCs w:val="17"/>
                    <w:lang w:eastAsia="es-CO"/>
                  </w:rPr>
                  <w:t>DIGICOM SYSTEM CORPORATION SA</w:t>
                </w:r>
              </w:p>
            </w:tc>
            <w:tc>
              <w:tcPr>
                <w:tcW w:w="1495" w:type="pct"/>
                <w:shd w:val="clear" w:color="auto" w:fill="auto"/>
                <w:vAlign w:val="center"/>
                <w:hideMark/>
              </w:tcPr>
              <w:p w14:paraId="517E9A84" w14:textId="77777777" w:rsidR="00D27AAE" w:rsidRPr="00D27AAE" w:rsidRDefault="00D27AAE" w:rsidP="00D27AAE">
                <w:pPr>
                  <w:spacing w:after="0" w:line="240" w:lineRule="auto"/>
                  <w:jc w:val="right"/>
                  <w:rPr>
                    <w:rFonts w:ascii="Times New Roman" w:eastAsia="Times New Roman" w:hAnsi="Times New Roman"/>
                    <w:color w:val="000000"/>
                    <w:sz w:val="17"/>
                    <w:szCs w:val="17"/>
                    <w:lang w:eastAsia="es-CO"/>
                  </w:rPr>
                </w:pPr>
                <w:r w:rsidRPr="00D27AAE">
                  <w:rPr>
                    <w:rFonts w:ascii="Times New Roman" w:eastAsia="Times New Roman" w:hAnsi="Times New Roman"/>
                    <w:color w:val="000000"/>
                    <w:sz w:val="17"/>
                    <w:szCs w:val="17"/>
                    <w:lang w:eastAsia="es-CO"/>
                  </w:rPr>
                  <w:t>262.867.895</w:t>
                </w:r>
              </w:p>
            </w:tc>
          </w:tr>
          <w:tr w:rsidR="00D27AAE" w:rsidRPr="00D27AAE" w14:paraId="5D2C08B6" w14:textId="77777777" w:rsidTr="00D27AAE">
            <w:trPr>
              <w:trHeight w:val="340"/>
              <w:jc w:val="right"/>
            </w:trPr>
            <w:tc>
              <w:tcPr>
                <w:tcW w:w="1789" w:type="pct"/>
                <w:shd w:val="clear" w:color="auto" w:fill="auto"/>
                <w:vAlign w:val="center"/>
                <w:hideMark/>
              </w:tcPr>
              <w:p w14:paraId="269794D8" w14:textId="77777777" w:rsidR="00D27AAE" w:rsidRPr="00D27AAE" w:rsidRDefault="00D27AAE" w:rsidP="00D27AAE">
                <w:pPr>
                  <w:spacing w:after="0" w:line="240" w:lineRule="auto"/>
                  <w:jc w:val="both"/>
                  <w:rPr>
                    <w:rFonts w:ascii="Times New Roman" w:eastAsia="Times New Roman" w:hAnsi="Times New Roman"/>
                    <w:color w:val="000000"/>
                    <w:sz w:val="17"/>
                    <w:szCs w:val="17"/>
                    <w:lang w:eastAsia="es-CO"/>
                  </w:rPr>
                </w:pPr>
                <w:r w:rsidRPr="00D27AAE">
                  <w:rPr>
                    <w:rFonts w:ascii="Times New Roman" w:eastAsia="Times New Roman" w:hAnsi="Times New Roman"/>
                    <w:color w:val="000000"/>
                    <w:sz w:val="17"/>
                    <w:szCs w:val="17"/>
                    <w:lang w:eastAsia="es-CO"/>
                  </w:rPr>
                  <w:t>SANCIONES CONTRACTUALES</w:t>
                </w:r>
              </w:p>
            </w:tc>
            <w:tc>
              <w:tcPr>
                <w:tcW w:w="1716" w:type="pct"/>
                <w:shd w:val="clear" w:color="auto" w:fill="auto"/>
                <w:vAlign w:val="center"/>
                <w:hideMark/>
              </w:tcPr>
              <w:p w14:paraId="2035EE26" w14:textId="77777777" w:rsidR="00D27AAE" w:rsidRPr="00D27AAE" w:rsidRDefault="00D27AAE" w:rsidP="00D27AAE">
                <w:pPr>
                  <w:spacing w:after="0" w:line="240" w:lineRule="auto"/>
                  <w:jc w:val="both"/>
                  <w:rPr>
                    <w:rFonts w:ascii="Times New Roman" w:eastAsia="Times New Roman" w:hAnsi="Times New Roman"/>
                    <w:color w:val="000000"/>
                    <w:sz w:val="17"/>
                    <w:szCs w:val="17"/>
                    <w:lang w:eastAsia="es-CO"/>
                  </w:rPr>
                </w:pPr>
                <w:r w:rsidRPr="00D27AAE">
                  <w:rPr>
                    <w:rFonts w:ascii="Times New Roman" w:eastAsia="Times New Roman" w:hAnsi="Times New Roman"/>
                    <w:color w:val="000000"/>
                    <w:sz w:val="17"/>
                    <w:szCs w:val="17"/>
                    <w:lang w:eastAsia="es-CO"/>
                  </w:rPr>
                  <w:t>SOCIEDAD PORTUARIA DE LA PENINSULA</w:t>
                </w:r>
              </w:p>
            </w:tc>
            <w:tc>
              <w:tcPr>
                <w:tcW w:w="1495" w:type="pct"/>
                <w:shd w:val="clear" w:color="auto" w:fill="auto"/>
                <w:vAlign w:val="center"/>
                <w:hideMark/>
              </w:tcPr>
              <w:p w14:paraId="4FFDF851" w14:textId="77777777" w:rsidR="00D27AAE" w:rsidRPr="00D27AAE" w:rsidRDefault="00D27AAE" w:rsidP="00D27AAE">
                <w:pPr>
                  <w:spacing w:after="0" w:line="240" w:lineRule="auto"/>
                  <w:jc w:val="right"/>
                  <w:rPr>
                    <w:rFonts w:ascii="Times New Roman" w:eastAsia="Times New Roman" w:hAnsi="Times New Roman"/>
                    <w:color w:val="000000"/>
                    <w:sz w:val="17"/>
                    <w:szCs w:val="17"/>
                    <w:lang w:eastAsia="es-CO"/>
                  </w:rPr>
                </w:pPr>
                <w:r w:rsidRPr="00D27AAE">
                  <w:rPr>
                    <w:rFonts w:ascii="Times New Roman" w:eastAsia="Times New Roman" w:hAnsi="Times New Roman"/>
                    <w:color w:val="000000"/>
                    <w:sz w:val="17"/>
                    <w:szCs w:val="17"/>
                    <w:lang w:eastAsia="es-CO"/>
                  </w:rPr>
                  <w:t>79.280.490</w:t>
                </w:r>
              </w:p>
            </w:tc>
          </w:tr>
          <w:tr w:rsidR="00D27AAE" w:rsidRPr="00D27AAE" w14:paraId="007FD4AE" w14:textId="77777777" w:rsidTr="00D27AAE">
            <w:trPr>
              <w:trHeight w:val="340"/>
              <w:jc w:val="right"/>
            </w:trPr>
            <w:tc>
              <w:tcPr>
                <w:tcW w:w="1789" w:type="pct"/>
                <w:shd w:val="clear" w:color="auto" w:fill="auto"/>
                <w:vAlign w:val="center"/>
                <w:hideMark/>
              </w:tcPr>
              <w:p w14:paraId="7D5728FF" w14:textId="77777777" w:rsidR="00D27AAE" w:rsidRPr="00D27AAE" w:rsidRDefault="00D27AAE" w:rsidP="00D27AAE">
                <w:pPr>
                  <w:spacing w:after="0" w:line="240" w:lineRule="auto"/>
                  <w:jc w:val="both"/>
                  <w:rPr>
                    <w:rFonts w:ascii="Times New Roman" w:eastAsia="Times New Roman" w:hAnsi="Times New Roman"/>
                    <w:color w:val="000000"/>
                    <w:sz w:val="17"/>
                    <w:szCs w:val="17"/>
                    <w:lang w:eastAsia="es-CO"/>
                  </w:rPr>
                </w:pPr>
                <w:r w:rsidRPr="00D27AAE">
                  <w:rPr>
                    <w:rFonts w:ascii="Times New Roman" w:eastAsia="Times New Roman" w:hAnsi="Times New Roman"/>
                    <w:color w:val="000000"/>
                    <w:sz w:val="17"/>
                    <w:szCs w:val="17"/>
                    <w:lang w:eastAsia="es-CO"/>
                  </w:rPr>
                  <w:t>SANCIONES CONTRACTUALES</w:t>
                </w:r>
              </w:p>
            </w:tc>
            <w:tc>
              <w:tcPr>
                <w:tcW w:w="1716" w:type="pct"/>
                <w:shd w:val="clear" w:color="auto" w:fill="auto"/>
                <w:vAlign w:val="center"/>
                <w:hideMark/>
              </w:tcPr>
              <w:p w14:paraId="13CCBAA5" w14:textId="77777777" w:rsidR="00D27AAE" w:rsidRPr="00D27AAE" w:rsidRDefault="00D27AAE" w:rsidP="00D27AAE">
                <w:pPr>
                  <w:spacing w:after="0" w:line="240" w:lineRule="auto"/>
                  <w:jc w:val="both"/>
                  <w:rPr>
                    <w:rFonts w:ascii="Times New Roman" w:eastAsia="Times New Roman" w:hAnsi="Times New Roman"/>
                    <w:color w:val="000000"/>
                    <w:sz w:val="17"/>
                    <w:szCs w:val="17"/>
                    <w:lang w:eastAsia="es-CO"/>
                  </w:rPr>
                </w:pPr>
                <w:r w:rsidRPr="00D27AAE">
                  <w:rPr>
                    <w:rFonts w:ascii="Times New Roman" w:eastAsia="Times New Roman" w:hAnsi="Times New Roman"/>
                    <w:color w:val="000000"/>
                    <w:sz w:val="17"/>
                    <w:szCs w:val="17"/>
                    <w:lang w:eastAsia="es-CO"/>
                  </w:rPr>
                  <w:t>SOCIEDAD PORTUARIA LAS AMERICAS S. A</w:t>
                </w:r>
              </w:p>
            </w:tc>
            <w:tc>
              <w:tcPr>
                <w:tcW w:w="1495" w:type="pct"/>
                <w:shd w:val="clear" w:color="auto" w:fill="auto"/>
                <w:vAlign w:val="center"/>
                <w:hideMark/>
              </w:tcPr>
              <w:p w14:paraId="30211719" w14:textId="77777777" w:rsidR="00D27AAE" w:rsidRPr="00D27AAE" w:rsidRDefault="00D27AAE" w:rsidP="00D27AAE">
                <w:pPr>
                  <w:spacing w:after="0" w:line="240" w:lineRule="auto"/>
                  <w:jc w:val="right"/>
                  <w:rPr>
                    <w:rFonts w:ascii="Times New Roman" w:eastAsia="Times New Roman" w:hAnsi="Times New Roman"/>
                    <w:color w:val="000000"/>
                    <w:sz w:val="17"/>
                    <w:szCs w:val="17"/>
                    <w:lang w:eastAsia="es-CO"/>
                  </w:rPr>
                </w:pPr>
                <w:r w:rsidRPr="00D27AAE">
                  <w:rPr>
                    <w:rFonts w:ascii="Times New Roman" w:eastAsia="Times New Roman" w:hAnsi="Times New Roman"/>
                    <w:color w:val="000000"/>
                    <w:sz w:val="17"/>
                    <w:szCs w:val="17"/>
                    <w:lang w:eastAsia="es-CO"/>
                  </w:rPr>
                  <w:t>75.223.906</w:t>
                </w:r>
              </w:p>
            </w:tc>
          </w:tr>
          <w:tr w:rsidR="00D27AAE" w:rsidRPr="00D27AAE" w14:paraId="4D2761B6" w14:textId="77777777" w:rsidTr="00D27AAE">
            <w:trPr>
              <w:trHeight w:val="340"/>
              <w:jc w:val="right"/>
            </w:trPr>
            <w:tc>
              <w:tcPr>
                <w:tcW w:w="1789" w:type="pct"/>
                <w:shd w:val="clear" w:color="auto" w:fill="auto"/>
                <w:vAlign w:val="center"/>
                <w:hideMark/>
              </w:tcPr>
              <w:p w14:paraId="430ECC56" w14:textId="77777777" w:rsidR="00D27AAE" w:rsidRPr="00D27AAE" w:rsidRDefault="00D27AAE" w:rsidP="00D27AAE">
                <w:pPr>
                  <w:spacing w:after="0" w:line="240" w:lineRule="auto"/>
                  <w:jc w:val="both"/>
                  <w:rPr>
                    <w:rFonts w:ascii="Times New Roman" w:eastAsia="Times New Roman" w:hAnsi="Times New Roman"/>
                    <w:color w:val="000000"/>
                    <w:sz w:val="17"/>
                    <w:szCs w:val="17"/>
                    <w:lang w:eastAsia="es-CO"/>
                  </w:rPr>
                </w:pPr>
                <w:r w:rsidRPr="00D27AAE">
                  <w:rPr>
                    <w:rFonts w:ascii="Times New Roman" w:eastAsia="Times New Roman" w:hAnsi="Times New Roman"/>
                    <w:color w:val="000000"/>
                    <w:sz w:val="17"/>
                    <w:szCs w:val="17"/>
                    <w:lang w:eastAsia="es-CO"/>
                  </w:rPr>
                  <w:t>SANCIONES CONTRACTUALES</w:t>
                </w:r>
              </w:p>
            </w:tc>
            <w:tc>
              <w:tcPr>
                <w:tcW w:w="1716" w:type="pct"/>
                <w:shd w:val="clear" w:color="auto" w:fill="auto"/>
                <w:vAlign w:val="center"/>
                <w:hideMark/>
              </w:tcPr>
              <w:p w14:paraId="29C1D0C4" w14:textId="77777777" w:rsidR="00D27AAE" w:rsidRPr="00D27AAE" w:rsidRDefault="00D27AAE" w:rsidP="00D27AAE">
                <w:pPr>
                  <w:spacing w:after="0" w:line="240" w:lineRule="auto"/>
                  <w:jc w:val="both"/>
                  <w:rPr>
                    <w:rFonts w:ascii="Times New Roman" w:eastAsia="Times New Roman" w:hAnsi="Times New Roman"/>
                    <w:color w:val="000000"/>
                    <w:sz w:val="17"/>
                    <w:szCs w:val="17"/>
                    <w:lang w:eastAsia="es-CO"/>
                  </w:rPr>
                </w:pPr>
                <w:r w:rsidRPr="00D27AAE">
                  <w:rPr>
                    <w:rFonts w:ascii="Times New Roman" w:eastAsia="Times New Roman" w:hAnsi="Times New Roman"/>
                    <w:color w:val="000000"/>
                    <w:sz w:val="17"/>
                    <w:szCs w:val="17"/>
                    <w:lang w:eastAsia="es-CO"/>
                  </w:rPr>
                  <w:t>SOCIEDAD PORTUARIA PUERTO HONDO S.A.</w:t>
                </w:r>
              </w:p>
            </w:tc>
            <w:tc>
              <w:tcPr>
                <w:tcW w:w="1495" w:type="pct"/>
                <w:shd w:val="clear" w:color="auto" w:fill="auto"/>
                <w:vAlign w:val="center"/>
                <w:hideMark/>
              </w:tcPr>
              <w:p w14:paraId="0B72C620" w14:textId="77777777" w:rsidR="00D27AAE" w:rsidRPr="00D27AAE" w:rsidRDefault="00D27AAE" w:rsidP="00D27AAE">
                <w:pPr>
                  <w:spacing w:after="0" w:line="240" w:lineRule="auto"/>
                  <w:jc w:val="right"/>
                  <w:rPr>
                    <w:rFonts w:ascii="Times New Roman" w:eastAsia="Times New Roman" w:hAnsi="Times New Roman"/>
                    <w:color w:val="000000"/>
                    <w:sz w:val="17"/>
                    <w:szCs w:val="17"/>
                    <w:lang w:eastAsia="es-CO"/>
                  </w:rPr>
                </w:pPr>
                <w:r w:rsidRPr="00D27AAE">
                  <w:rPr>
                    <w:rFonts w:ascii="Times New Roman" w:eastAsia="Times New Roman" w:hAnsi="Times New Roman"/>
                    <w:color w:val="000000"/>
                    <w:sz w:val="17"/>
                    <w:szCs w:val="17"/>
                    <w:lang w:eastAsia="es-CO"/>
                  </w:rPr>
                  <w:t>52.896.637</w:t>
                </w:r>
              </w:p>
            </w:tc>
          </w:tr>
          <w:tr w:rsidR="00D27AAE" w:rsidRPr="00D27AAE" w14:paraId="2B2CD6C9" w14:textId="77777777" w:rsidTr="00D27AAE">
            <w:trPr>
              <w:trHeight w:val="340"/>
              <w:jc w:val="right"/>
            </w:trPr>
            <w:tc>
              <w:tcPr>
                <w:tcW w:w="1789" w:type="pct"/>
                <w:shd w:val="clear" w:color="auto" w:fill="auto"/>
                <w:vAlign w:val="center"/>
                <w:hideMark/>
              </w:tcPr>
              <w:p w14:paraId="7ADC63C5" w14:textId="77777777" w:rsidR="00D27AAE" w:rsidRPr="00D27AAE" w:rsidRDefault="00D27AAE" w:rsidP="00D27AAE">
                <w:pPr>
                  <w:spacing w:after="0" w:line="240" w:lineRule="auto"/>
                  <w:jc w:val="both"/>
                  <w:rPr>
                    <w:rFonts w:ascii="Times New Roman" w:eastAsia="Times New Roman" w:hAnsi="Times New Roman"/>
                    <w:color w:val="000000"/>
                    <w:sz w:val="17"/>
                    <w:szCs w:val="17"/>
                    <w:lang w:eastAsia="es-CO"/>
                  </w:rPr>
                </w:pPr>
                <w:r w:rsidRPr="00D27AAE">
                  <w:rPr>
                    <w:rFonts w:ascii="Times New Roman" w:eastAsia="Times New Roman" w:hAnsi="Times New Roman"/>
                    <w:color w:val="000000"/>
                    <w:sz w:val="17"/>
                    <w:szCs w:val="17"/>
                    <w:lang w:eastAsia="es-CO"/>
                  </w:rPr>
                  <w:t>SANCIONES CONTRACTUALES</w:t>
                </w:r>
              </w:p>
            </w:tc>
            <w:tc>
              <w:tcPr>
                <w:tcW w:w="1716" w:type="pct"/>
                <w:shd w:val="clear" w:color="auto" w:fill="auto"/>
                <w:vAlign w:val="center"/>
                <w:hideMark/>
              </w:tcPr>
              <w:p w14:paraId="73EC88E7" w14:textId="77777777" w:rsidR="00D27AAE" w:rsidRPr="00D27AAE" w:rsidRDefault="00D27AAE" w:rsidP="00D27AAE">
                <w:pPr>
                  <w:spacing w:after="0" w:line="240" w:lineRule="auto"/>
                  <w:jc w:val="both"/>
                  <w:rPr>
                    <w:rFonts w:ascii="Times New Roman" w:eastAsia="Times New Roman" w:hAnsi="Times New Roman"/>
                    <w:color w:val="000000"/>
                    <w:sz w:val="17"/>
                    <w:szCs w:val="17"/>
                    <w:lang w:eastAsia="es-CO"/>
                  </w:rPr>
                </w:pPr>
                <w:r w:rsidRPr="00D27AAE">
                  <w:rPr>
                    <w:rFonts w:ascii="Times New Roman" w:eastAsia="Times New Roman" w:hAnsi="Times New Roman"/>
                    <w:color w:val="000000"/>
                    <w:sz w:val="17"/>
                    <w:szCs w:val="17"/>
                    <w:lang w:eastAsia="es-CO"/>
                  </w:rPr>
                  <w:t>SOCIEDAD PORTUARIA RIO CORDOBA S A</w:t>
                </w:r>
              </w:p>
            </w:tc>
            <w:tc>
              <w:tcPr>
                <w:tcW w:w="1495" w:type="pct"/>
                <w:shd w:val="clear" w:color="auto" w:fill="auto"/>
                <w:vAlign w:val="center"/>
                <w:hideMark/>
              </w:tcPr>
              <w:p w14:paraId="544D0E5D" w14:textId="77777777" w:rsidR="00D27AAE" w:rsidRPr="00D27AAE" w:rsidRDefault="00D27AAE" w:rsidP="00D27AAE">
                <w:pPr>
                  <w:spacing w:after="0" w:line="240" w:lineRule="auto"/>
                  <w:jc w:val="right"/>
                  <w:rPr>
                    <w:rFonts w:ascii="Times New Roman" w:eastAsia="Times New Roman" w:hAnsi="Times New Roman"/>
                    <w:color w:val="000000"/>
                    <w:sz w:val="17"/>
                    <w:szCs w:val="17"/>
                    <w:lang w:eastAsia="es-CO"/>
                  </w:rPr>
                </w:pPr>
                <w:r w:rsidRPr="00D27AAE">
                  <w:rPr>
                    <w:rFonts w:ascii="Times New Roman" w:eastAsia="Times New Roman" w:hAnsi="Times New Roman"/>
                    <w:color w:val="000000"/>
                    <w:sz w:val="17"/>
                    <w:szCs w:val="17"/>
                    <w:lang w:eastAsia="es-CO"/>
                  </w:rPr>
                  <w:t>6.829.909</w:t>
                </w:r>
              </w:p>
            </w:tc>
          </w:tr>
          <w:tr w:rsidR="00D27AAE" w:rsidRPr="00D27AAE" w14:paraId="23CFDAA8" w14:textId="77777777" w:rsidTr="00D27AAE">
            <w:trPr>
              <w:trHeight w:val="340"/>
              <w:jc w:val="right"/>
            </w:trPr>
            <w:tc>
              <w:tcPr>
                <w:tcW w:w="1789" w:type="pct"/>
                <w:shd w:val="clear" w:color="auto" w:fill="auto"/>
                <w:vAlign w:val="center"/>
                <w:hideMark/>
              </w:tcPr>
              <w:p w14:paraId="72389E0E" w14:textId="77777777" w:rsidR="00D27AAE" w:rsidRPr="00D27AAE" w:rsidRDefault="00D27AAE" w:rsidP="00D27AAE">
                <w:pPr>
                  <w:spacing w:after="0" w:line="240" w:lineRule="auto"/>
                  <w:jc w:val="both"/>
                  <w:rPr>
                    <w:rFonts w:ascii="Times New Roman" w:eastAsia="Times New Roman" w:hAnsi="Times New Roman"/>
                    <w:color w:val="000000"/>
                    <w:sz w:val="17"/>
                    <w:szCs w:val="17"/>
                    <w:lang w:eastAsia="es-CO"/>
                  </w:rPr>
                </w:pPr>
                <w:r w:rsidRPr="00D27AAE">
                  <w:rPr>
                    <w:rFonts w:ascii="Times New Roman" w:eastAsia="Times New Roman" w:hAnsi="Times New Roman"/>
                    <w:color w:val="000000"/>
                    <w:sz w:val="17"/>
                    <w:szCs w:val="17"/>
                    <w:lang w:eastAsia="es-CO"/>
                  </w:rPr>
                  <w:t>SANCIONES CONTRACTUALES</w:t>
                </w:r>
              </w:p>
            </w:tc>
            <w:tc>
              <w:tcPr>
                <w:tcW w:w="1716" w:type="pct"/>
                <w:shd w:val="clear" w:color="auto" w:fill="auto"/>
                <w:vAlign w:val="center"/>
                <w:hideMark/>
              </w:tcPr>
              <w:p w14:paraId="01147268" w14:textId="77777777" w:rsidR="00D27AAE" w:rsidRPr="00D27AAE" w:rsidRDefault="00D27AAE" w:rsidP="00D27AAE">
                <w:pPr>
                  <w:spacing w:after="0" w:line="240" w:lineRule="auto"/>
                  <w:jc w:val="both"/>
                  <w:rPr>
                    <w:rFonts w:ascii="Times New Roman" w:eastAsia="Times New Roman" w:hAnsi="Times New Roman"/>
                    <w:color w:val="000000"/>
                    <w:sz w:val="17"/>
                    <w:szCs w:val="17"/>
                    <w:lang w:eastAsia="es-CO"/>
                  </w:rPr>
                </w:pPr>
                <w:r w:rsidRPr="00D27AAE">
                  <w:rPr>
                    <w:rFonts w:ascii="Times New Roman" w:eastAsia="Times New Roman" w:hAnsi="Times New Roman"/>
                    <w:color w:val="000000"/>
                    <w:sz w:val="17"/>
                    <w:szCs w:val="17"/>
                    <w:lang w:eastAsia="es-CO"/>
                  </w:rPr>
                  <w:t>M P S IMPORTACIONES Y EXPORTACIONES S.A.S</w:t>
                </w:r>
              </w:p>
            </w:tc>
            <w:tc>
              <w:tcPr>
                <w:tcW w:w="1495" w:type="pct"/>
                <w:shd w:val="clear" w:color="auto" w:fill="auto"/>
                <w:vAlign w:val="center"/>
                <w:hideMark/>
              </w:tcPr>
              <w:p w14:paraId="0875A1E1" w14:textId="77777777" w:rsidR="00D27AAE" w:rsidRPr="00D27AAE" w:rsidRDefault="00D27AAE" w:rsidP="00D27AAE">
                <w:pPr>
                  <w:spacing w:after="0" w:line="240" w:lineRule="auto"/>
                  <w:jc w:val="right"/>
                  <w:rPr>
                    <w:rFonts w:ascii="Times New Roman" w:eastAsia="Times New Roman" w:hAnsi="Times New Roman"/>
                    <w:color w:val="000000"/>
                    <w:sz w:val="17"/>
                    <w:szCs w:val="17"/>
                    <w:lang w:eastAsia="es-CO"/>
                  </w:rPr>
                </w:pPr>
                <w:r w:rsidRPr="00D27AAE">
                  <w:rPr>
                    <w:rFonts w:ascii="Times New Roman" w:eastAsia="Times New Roman" w:hAnsi="Times New Roman"/>
                    <w:color w:val="000000"/>
                    <w:sz w:val="17"/>
                    <w:szCs w:val="17"/>
                    <w:lang w:eastAsia="es-CO"/>
                  </w:rPr>
                  <w:t>4.680.000</w:t>
                </w:r>
              </w:p>
            </w:tc>
          </w:tr>
          <w:tr w:rsidR="00D27AAE" w:rsidRPr="00D27AAE" w14:paraId="586A45DF" w14:textId="77777777" w:rsidTr="00D27AAE">
            <w:trPr>
              <w:trHeight w:val="340"/>
              <w:jc w:val="right"/>
            </w:trPr>
            <w:tc>
              <w:tcPr>
                <w:tcW w:w="1789" w:type="pct"/>
                <w:shd w:val="clear" w:color="auto" w:fill="auto"/>
                <w:vAlign w:val="center"/>
                <w:hideMark/>
              </w:tcPr>
              <w:p w14:paraId="78041A8F" w14:textId="77777777" w:rsidR="00D27AAE" w:rsidRPr="00D27AAE" w:rsidRDefault="00D27AAE" w:rsidP="00D27AAE">
                <w:pPr>
                  <w:spacing w:after="0" w:line="240" w:lineRule="auto"/>
                  <w:jc w:val="both"/>
                  <w:rPr>
                    <w:rFonts w:ascii="Times New Roman" w:eastAsia="Times New Roman" w:hAnsi="Times New Roman"/>
                    <w:color w:val="000000"/>
                    <w:sz w:val="17"/>
                    <w:szCs w:val="17"/>
                    <w:lang w:eastAsia="es-CO"/>
                  </w:rPr>
                </w:pPr>
                <w:r w:rsidRPr="00D27AAE">
                  <w:rPr>
                    <w:rFonts w:ascii="Times New Roman" w:eastAsia="Times New Roman" w:hAnsi="Times New Roman"/>
                    <w:color w:val="000000"/>
                    <w:sz w:val="17"/>
                    <w:szCs w:val="17"/>
                    <w:lang w:eastAsia="es-CO"/>
                  </w:rPr>
                  <w:t>SANCIONES CONTRACTUALES</w:t>
                </w:r>
              </w:p>
            </w:tc>
            <w:tc>
              <w:tcPr>
                <w:tcW w:w="1716" w:type="pct"/>
                <w:shd w:val="clear" w:color="auto" w:fill="auto"/>
                <w:vAlign w:val="center"/>
                <w:hideMark/>
              </w:tcPr>
              <w:p w14:paraId="507BD8FF" w14:textId="77777777" w:rsidR="00D27AAE" w:rsidRPr="00D27AAE" w:rsidRDefault="00D27AAE" w:rsidP="00D27AAE">
                <w:pPr>
                  <w:spacing w:after="0" w:line="240" w:lineRule="auto"/>
                  <w:jc w:val="both"/>
                  <w:rPr>
                    <w:rFonts w:ascii="Times New Roman" w:eastAsia="Times New Roman" w:hAnsi="Times New Roman"/>
                    <w:color w:val="000000"/>
                    <w:sz w:val="17"/>
                    <w:szCs w:val="17"/>
                    <w:lang w:eastAsia="es-CO"/>
                  </w:rPr>
                </w:pPr>
                <w:r w:rsidRPr="00D27AAE">
                  <w:rPr>
                    <w:rFonts w:ascii="Times New Roman" w:eastAsia="Times New Roman" w:hAnsi="Times New Roman"/>
                    <w:color w:val="000000"/>
                    <w:sz w:val="17"/>
                    <w:szCs w:val="17"/>
                    <w:lang w:eastAsia="es-CO"/>
                  </w:rPr>
                  <w:t>SOCIEDAD PORTUARIA REGIONAL TUMACO PACIFIC PORT S. A</w:t>
                </w:r>
              </w:p>
            </w:tc>
            <w:tc>
              <w:tcPr>
                <w:tcW w:w="1495" w:type="pct"/>
                <w:shd w:val="clear" w:color="auto" w:fill="auto"/>
                <w:vAlign w:val="center"/>
                <w:hideMark/>
              </w:tcPr>
              <w:p w14:paraId="3A40863B" w14:textId="77777777" w:rsidR="00D27AAE" w:rsidRPr="00D27AAE" w:rsidRDefault="00D27AAE" w:rsidP="00D27AAE">
                <w:pPr>
                  <w:spacing w:after="0" w:line="240" w:lineRule="auto"/>
                  <w:jc w:val="right"/>
                  <w:rPr>
                    <w:rFonts w:ascii="Times New Roman" w:eastAsia="Times New Roman" w:hAnsi="Times New Roman"/>
                    <w:color w:val="000000"/>
                    <w:sz w:val="17"/>
                    <w:szCs w:val="17"/>
                    <w:lang w:eastAsia="es-CO"/>
                  </w:rPr>
                </w:pPr>
                <w:r w:rsidRPr="00D27AAE">
                  <w:rPr>
                    <w:rFonts w:ascii="Times New Roman" w:eastAsia="Times New Roman" w:hAnsi="Times New Roman"/>
                    <w:color w:val="000000"/>
                    <w:sz w:val="17"/>
                    <w:szCs w:val="17"/>
                    <w:lang w:eastAsia="es-CO"/>
                  </w:rPr>
                  <w:t>56.716</w:t>
                </w:r>
              </w:p>
            </w:tc>
          </w:tr>
          <w:tr w:rsidR="00D27AAE" w:rsidRPr="00D27AAE" w14:paraId="70441C64" w14:textId="77777777" w:rsidTr="00D27AAE">
            <w:trPr>
              <w:trHeight w:val="340"/>
              <w:jc w:val="right"/>
            </w:trPr>
            <w:tc>
              <w:tcPr>
                <w:tcW w:w="1789" w:type="pct"/>
                <w:shd w:val="clear" w:color="auto" w:fill="auto"/>
                <w:vAlign w:val="center"/>
                <w:hideMark/>
              </w:tcPr>
              <w:p w14:paraId="00075DF2" w14:textId="77777777" w:rsidR="00D27AAE" w:rsidRPr="00D27AAE" w:rsidRDefault="00D27AAE" w:rsidP="00D27AAE">
                <w:pPr>
                  <w:spacing w:after="0" w:line="240" w:lineRule="auto"/>
                  <w:jc w:val="both"/>
                  <w:rPr>
                    <w:rFonts w:ascii="Times New Roman" w:eastAsia="Times New Roman" w:hAnsi="Times New Roman"/>
                    <w:color w:val="000000"/>
                    <w:sz w:val="17"/>
                    <w:szCs w:val="17"/>
                    <w:lang w:eastAsia="es-CO"/>
                  </w:rPr>
                </w:pPr>
                <w:r w:rsidRPr="00D27AAE">
                  <w:rPr>
                    <w:rFonts w:ascii="Times New Roman" w:eastAsia="Times New Roman" w:hAnsi="Times New Roman"/>
                    <w:color w:val="000000"/>
                    <w:sz w:val="17"/>
                    <w:szCs w:val="17"/>
                    <w:lang w:eastAsia="es-CO"/>
                  </w:rPr>
                  <w:t>DERECHOS DE TRÁNSITO</w:t>
                </w:r>
              </w:p>
            </w:tc>
            <w:tc>
              <w:tcPr>
                <w:tcW w:w="1716" w:type="pct"/>
                <w:shd w:val="clear" w:color="auto" w:fill="auto"/>
                <w:vAlign w:val="center"/>
                <w:hideMark/>
              </w:tcPr>
              <w:p w14:paraId="35ABCFE7" w14:textId="77777777" w:rsidR="00D27AAE" w:rsidRPr="00D27AAE" w:rsidRDefault="00D27AAE" w:rsidP="00D27AAE">
                <w:pPr>
                  <w:spacing w:after="0" w:line="240" w:lineRule="auto"/>
                  <w:jc w:val="both"/>
                  <w:rPr>
                    <w:rFonts w:ascii="Times New Roman" w:eastAsia="Times New Roman" w:hAnsi="Times New Roman"/>
                    <w:color w:val="000000"/>
                    <w:sz w:val="17"/>
                    <w:szCs w:val="17"/>
                    <w:lang w:eastAsia="es-CO"/>
                  </w:rPr>
                </w:pPr>
                <w:r w:rsidRPr="00D27AAE">
                  <w:rPr>
                    <w:rFonts w:ascii="Times New Roman" w:eastAsia="Times New Roman" w:hAnsi="Times New Roman"/>
                    <w:color w:val="000000"/>
                    <w:sz w:val="17"/>
                    <w:szCs w:val="17"/>
                    <w:lang w:eastAsia="es-CO"/>
                  </w:rPr>
                  <w:t>DRUMMOND LTD</w:t>
                </w:r>
              </w:p>
            </w:tc>
            <w:tc>
              <w:tcPr>
                <w:tcW w:w="1495" w:type="pct"/>
                <w:shd w:val="clear" w:color="auto" w:fill="auto"/>
                <w:vAlign w:val="center"/>
                <w:hideMark/>
              </w:tcPr>
              <w:p w14:paraId="1B53933C" w14:textId="77777777" w:rsidR="00D27AAE" w:rsidRPr="00D27AAE" w:rsidRDefault="00D27AAE" w:rsidP="00D27AAE">
                <w:pPr>
                  <w:spacing w:after="0" w:line="240" w:lineRule="auto"/>
                  <w:jc w:val="right"/>
                  <w:rPr>
                    <w:rFonts w:ascii="Times New Roman" w:eastAsia="Times New Roman" w:hAnsi="Times New Roman"/>
                    <w:color w:val="000000"/>
                    <w:sz w:val="17"/>
                    <w:szCs w:val="17"/>
                    <w:lang w:eastAsia="es-CO"/>
                  </w:rPr>
                </w:pPr>
                <w:r w:rsidRPr="00D27AAE">
                  <w:rPr>
                    <w:rFonts w:ascii="Times New Roman" w:eastAsia="Times New Roman" w:hAnsi="Times New Roman"/>
                    <w:color w:val="000000"/>
                    <w:sz w:val="17"/>
                    <w:szCs w:val="17"/>
                    <w:lang w:eastAsia="es-CO"/>
                  </w:rPr>
                  <w:t>14.618.919.743</w:t>
                </w:r>
              </w:p>
            </w:tc>
          </w:tr>
          <w:tr w:rsidR="00D27AAE" w:rsidRPr="00D27AAE" w14:paraId="444506F8" w14:textId="77777777" w:rsidTr="00D27AAE">
            <w:trPr>
              <w:trHeight w:val="340"/>
              <w:jc w:val="right"/>
            </w:trPr>
            <w:tc>
              <w:tcPr>
                <w:tcW w:w="1789" w:type="pct"/>
                <w:shd w:val="clear" w:color="auto" w:fill="auto"/>
                <w:vAlign w:val="center"/>
                <w:hideMark/>
              </w:tcPr>
              <w:p w14:paraId="00021FFE" w14:textId="77777777" w:rsidR="00D27AAE" w:rsidRPr="00D27AAE" w:rsidRDefault="00D27AAE" w:rsidP="00D27AAE">
                <w:pPr>
                  <w:spacing w:after="0" w:line="240" w:lineRule="auto"/>
                  <w:jc w:val="both"/>
                  <w:rPr>
                    <w:rFonts w:ascii="Times New Roman" w:eastAsia="Times New Roman" w:hAnsi="Times New Roman"/>
                    <w:color w:val="000000"/>
                    <w:sz w:val="17"/>
                    <w:szCs w:val="17"/>
                    <w:lang w:eastAsia="es-CO"/>
                  </w:rPr>
                </w:pPr>
                <w:r w:rsidRPr="00D27AAE">
                  <w:rPr>
                    <w:rFonts w:ascii="Times New Roman" w:eastAsia="Times New Roman" w:hAnsi="Times New Roman"/>
                    <w:color w:val="000000"/>
                    <w:sz w:val="17"/>
                    <w:szCs w:val="17"/>
                    <w:lang w:eastAsia="es-CO"/>
                  </w:rPr>
                  <w:t>DERECHOS DE TRÁNSITO</w:t>
                </w:r>
              </w:p>
            </w:tc>
            <w:tc>
              <w:tcPr>
                <w:tcW w:w="1716" w:type="pct"/>
                <w:shd w:val="clear" w:color="auto" w:fill="auto"/>
                <w:vAlign w:val="center"/>
                <w:hideMark/>
              </w:tcPr>
              <w:p w14:paraId="6C9209E5" w14:textId="77777777" w:rsidR="00D27AAE" w:rsidRPr="00D27AAE" w:rsidRDefault="00D27AAE" w:rsidP="00D27AAE">
                <w:pPr>
                  <w:spacing w:after="0" w:line="240" w:lineRule="auto"/>
                  <w:jc w:val="both"/>
                  <w:rPr>
                    <w:rFonts w:ascii="Times New Roman" w:eastAsia="Times New Roman" w:hAnsi="Times New Roman"/>
                    <w:color w:val="000000"/>
                    <w:sz w:val="17"/>
                    <w:szCs w:val="17"/>
                    <w:lang w:val="en-US" w:eastAsia="es-CO"/>
                  </w:rPr>
                </w:pPr>
                <w:r w:rsidRPr="00D27AAE">
                  <w:rPr>
                    <w:rFonts w:ascii="Times New Roman" w:eastAsia="Times New Roman" w:hAnsi="Times New Roman"/>
                    <w:color w:val="000000"/>
                    <w:sz w:val="17"/>
                    <w:szCs w:val="17"/>
                    <w:lang w:val="en-US" w:eastAsia="es-CO"/>
                  </w:rPr>
                  <w:t>C I COLOMBIAN NATURAL RESOURCES I SAS</w:t>
                </w:r>
              </w:p>
            </w:tc>
            <w:tc>
              <w:tcPr>
                <w:tcW w:w="1495" w:type="pct"/>
                <w:shd w:val="clear" w:color="auto" w:fill="auto"/>
                <w:vAlign w:val="center"/>
                <w:hideMark/>
              </w:tcPr>
              <w:p w14:paraId="39927FFE" w14:textId="77777777" w:rsidR="00D27AAE" w:rsidRPr="00D27AAE" w:rsidRDefault="00D27AAE" w:rsidP="00D27AAE">
                <w:pPr>
                  <w:spacing w:after="0" w:line="240" w:lineRule="auto"/>
                  <w:jc w:val="right"/>
                  <w:rPr>
                    <w:rFonts w:ascii="Times New Roman" w:eastAsia="Times New Roman" w:hAnsi="Times New Roman"/>
                    <w:color w:val="000000"/>
                    <w:sz w:val="17"/>
                    <w:szCs w:val="17"/>
                    <w:lang w:eastAsia="es-CO"/>
                  </w:rPr>
                </w:pPr>
                <w:r w:rsidRPr="00D27AAE">
                  <w:rPr>
                    <w:rFonts w:ascii="Times New Roman" w:eastAsia="Times New Roman" w:hAnsi="Times New Roman"/>
                    <w:color w:val="000000"/>
                    <w:sz w:val="17"/>
                    <w:szCs w:val="17"/>
                    <w:lang w:eastAsia="es-CO"/>
                  </w:rPr>
                  <w:t>707.279.482</w:t>
                </w:r>
              </w:p>
            </w:tc>
          </w:tr>
          <w:tr w:rsidR="00D27AAE" w:rsidRPr="00D27AAE" w14:paraId="6F95B243" w14:textId="77777777" w:rsidTr="00D27AAE">
            <w:trPr>
              <w:trHeight w:val="340"/>
              <w:jc w:val="right"/>
            </w:trPr>
            <w:tc>
              <w:tcPr>
                <w:tcW w:w="1789" w:type="pct"/>
                <w:shd w:val="clear" w:color="auto" w:fill="auto"/>
                <w:vAlign w:val="center"/>
                <w:hideMark/>
              </w:tcPr>
              <w:p w14:paraId="27292DD0" w14:textId="77777777" w:rsidR="00D27AAE" w:rsidRPr="00D27AAE" w:rsidRDefault="00D27AAE" w:rsidP="00D27AAE">
                <w:pPr>
                  <w:spacing w:after="0" w:line="240" w:lineRule="auto"/>
                  <w:jc w:val="both"/>
                  <w:rPr>
                    <w:rFonts w:ascii="Times New Roman" w:eastAsia="Times New Roman" w:hAnsi="Times New Roman"/>
                    <w:color w:val="000000"/>
                    <w:sz w:val="17"/>
                    <w:szCs w:val="17"/>
                    <w:lang w:eastAsia="es-CO"/>
                  </w:rPr>
                </w:pPr>
                <w:r w:rsidRPr="00D27AAE">
                  <w:rPr>
                    <w:rFonts w:ascii="Times New Roman" w:eastAsia="Times New Roman" w:hAnsi="Times New Roman"/>
                    <w:color w:val="000000"/>
                    <w:sz w:val="17"/>
                    <w:szCs w:val="17"/>
                    <w:lang w:eastAsia="es-CO"/>
                  </w:rPr>
                  <w:t>DERECHOS DE TRÁNSITO</w:t>
                </w:r>
              </w:p>
            </w:tc>
            <w:tc>
              <w:tcPr>
                <w:tcW w:w="1716" w:type="pct"/>
                <w:shd w:val="clear" w:color="auto" w:fill="auto"/>
                <w:vAlign w:val="center"/>
                <w:hideMark/>
              </w:tcPr>
              <w:p w14:paraId="71CF569B" w14:textId="77777777" w:rsidR="00D27AAE" w:rsidRPr="00D27AAE" w:rsidRDefault="00D27AAE" w:rsidP="00D27AAE">
                <w:pPr>
                  <w:spacing w:after="0" w:line="240" w:lineRule="auto"/>
                  <w:jc w:val="both"/>
                  <w:rPr>
                    <w:rFonts w:ascii="Times New Roman" w:eastAsia="Times New Roman" w:hAnsi="Times New Roman"/>
                    <w:color w:val="000000"/>
                    <w:sz w:val="17"/>
                    <w:szCs w:val="17"/>
                    <w:lang w:eastAsia="es-CO"/>
                  </w:rPr>
                </w:pPr>
                <w:r w:rsidRPr="00D27AAE">
                  <w:rPr>
                    <w:rFonts w:ascii="Times New Roman" w:eastAsia="Times New Roman" w:hAnsi="Times New Roman"/>
                    <w:color w:val="000000"/>
                    <w:sz w:val="17"/>
                    <w:szCs w:val="17"/>
                    <w:lang w:eastAsia="es-CO"/>
                  </w:rPr>
                  <w:t>C.I. PRODECO S.A.</w:t>
                </w:r>
              </w:p>
            </w:tc>
            <w:tc>
              <w:tcPr>
                <w:tcW w:w="1495" w:type="pct"/>
                <w:shd w:val="clear" w:color="auto" w:fill="auto"/>
                <w:vAlign w:val="center"/>
                <w:hideMark/>
              </w:tcPr>
              <w:p w14:paraId="3A3A748A" w14:textId="77777777" w:rsidR="00D27AAE" w:rsidRPr="00D27AAE" w:rsidRDefault="00D27AAE" w:rsidP="00D27AAE">
                <w:pPr>
                  <w:spacing w:after="0" w:line="240" w:lineRule="auto"/>
                  <w:jc w:val="right"/>
                  <w:rPr>
                    <w:rFonts w:ascii="Times New Roman" w:eastAsia="Times New Roman" w:hAnsi="Times New Roman"/>
                    <w:color w:val="000000"/>
                    <w:sz w:val="17"/>
                    <w:szCs w:val="17"/>
                    <w:lang w:eastAsia="es-CO"/>
                  </w:rPr>
                </w:pPr>
                <w:r w:rsidRPr="00D27AAE">
                  <w:rPr>
                    <w:rFonts w:ascii="Times New Roman" w:eastAsia="Times New Roman" w:hAnsi="Times New Roman"/>
                    <w:color w:val="000000"/>
                    <w:sz w:val="17"/>
                    <w:szCs w:val="17"/>
                    <w:lang w:eastAsia="es-CO"/>
                  </w:rPr>
                  <w:t>289.502.523</w:t>
                </w:r>
              </w:p>
            </w:tc>
          </w:tr>
          <w:tr w:rsidR="00D27AAE" w:rsidRPr="00D27AAE" w14:paraId="4EAA62C2" w14:textId="77777777" w:rsidTr="00D27AAE">
            <w:trPr>
              <w:trHeight w:val="340"/>
              <w:jc w:val="right"/>
            </w:trPr>
            <w:tc>
              <w:tcPr>
                <w:tcW w:w="1789" w:type="pct"/>
                <w:shd w:val="clear" w:color="auto" w:fill="auto"/>
                <w:vAlign w:val="center"/>
                <w:hideMark/>
              </w:tcPr>
              <w:p w14:paraId="5CE4B644" w14:textId="77777777" w:rsidR="00D27AAE" w:rsidRPr="00D27AAE" w:rsidRDefault="00D27AAE" w:rsidP="00D27AAE">
                <w:pPr>
                  <w:spacing w:after="0" w:line="240" w:lineRule="auto"/>
                  <w:jc w:val="both"/>
                  <w:rPr>
                    <w:rFonts w:ascii="Times New Roman" w:eastAsia="Times New Roman" w:hAnsi="Times New Roman"/>
                    <w:color w:val="000000"/>
                    <w:sz w:val="17"/>
                    <w:szCs w:val="17"/>
                    <w:lang w:eastAsia="es-CO"/>
                  </w:rPr>
                </w:pPr>
                <w:r w:rsidRPr="00D27AAE">
                  <w:rPr>
                    <w:rFonts w:ascii="Times New Roman" w:eastAsia="Times New Roman" w:hAnsi="Times New Roman"/>
                    <w:color w:val="000000"/>
                    <w:sz w:val="17"/>
                    <w:szCs w:val="17"/>
                    <w:lang w:eastAsia="es-CO"/>
                  </w:rPr>
                  <w:t>DERECHOS DE TRÁNSITO</w:t>
                </w:r>
              </w:p>
            </w:tc>
            <w:tc>
              <w:tcPr>
                <w:tcW w:w="1716" w:type="pct"/>
                <w:shd w:val="clear" w:color="auto" w:fill="auto"/>
                <w:vAlign w:val="center"/>
                <w:hideMark/>
              </w:tcPr>
              <w:p w14:paraId="4D312758" w14:textId="77777777" w:rsidR="00D27AAE" w:rsidRPr="00D27AAE" w:rsidRDefault="00D27AAE" w:rsidP="00D27AAE">
                <w:pPr>
                  <w:spacing w:after="0" w:line="240" w:lineRule="auto"/>
                  <w:jc w:val="both"/>
                  <w:rPr>
                    <w:rFonts w:ascii="Times New Roman" w:eastAsia="Times New Roman" w:hAnsi="Times New Roman"/>
                    <w:color w:val="000000"/>
                    <w:sz w:val="17"/>
                    <w:szCs w:val="17"/>
                    <w:lang w:eastAsia="es-CO"/>
                  </w:rPr>
                </w:pPr>
                <w:r w:rsidRPr="00D27AAE">
                  <w:rPr>
                    <w:rFonts w:ascii="Times New Roman" w:eastAsia="Times New Roman" w:hAnsi="Times New Roman"/>
                    <w:color w:val="000000"/>
                    <w:sz w:val="17"/>
                    <w:szCs w:val="17"/>
                    <w:lang w:eastAsia="es-CO"/>
                  </w:rPr>
                  <w:t>CONSORCIO SAN FELIPE FERREO</w:t>
                </w:r>
              </w:p>
            </w:tc>
            <w:tc>
              <w:tcPr>
                <w:tcW w:w="1495" w:type="pct"/>
                <w:shd w:val="clear" w:color="auto" w:fill="auto"/>
                <w:vAlign w:val="center"/>
                <w:hideMark/>
              </w:tcPr>
              <w:p w14:paraId="71BF303C" w14:textId="77777777" w:rsidR="00D27AAE" w:rsidRPr="00D27AAE" w:rsidRDefault="00D27AAE" w:rsidP="00D27AAE">
                <w:pPr>
                  <w:spacing w:after="0" w:line="240" w:lineRule="auto"/>
                  <w:jc w:val="right"/>
                  <w:rPr>
                    <w:rFonts w:ascii="Times New Roman" w:eastAsia="Times New Roman" w:hAnsi="Times New Roman"/>
                    <w:color w:val="000000"/>
                    <w:sz w:val="17"/>
                    <w:szCs w:val="17"/>
                    <w:lang w:eastAsia="es-CO"/>
                  </w:rPr>
                </w:pPr>
                <w:r w:rsidRPr="00D27AAE">
                  <w:rPr>
                    <w:rFonts w:ascii="Times New Roman" w:eastAsia="Times New Roman" w:hAnsi="Times New Roman"/>
                    <w:color w:val="000000"/>
                    <w:sz w:val="17"/>
                    <w:szCs w:val="17"/>
                    <w:lang w:eastAsia="es-CO"/>
                  </w:rPr>
                  <w:t>108.877.285</w:t>
                </w:r>
              </w:p>
            </w:tc>
          </w:tr>
          <w:tr w:rsidR="00D27AAE" w:rsidRPr="00D27AAE" w14:paraId="4CC83B8D" w14:textId="77777777" w:rsidTr="00D27AAE">
            <w:trPr>
              <w:trHeight w:val="340"/>
              <w:jc w:val="right"/>
            </w:trPr>
            <w:tc>
              <w:tcPr>
                <w:tcW w:w="1789" w:type="pct"/>
                <w:shd w:val="clear" w:color="auto" w:fill="auto"/>
                <w:vAlign w:val="center"/>
                <w:hideMark/>
              </w:tcPr>
              <w:p w14:paraId="799B9B24" w14:textId="77777777" w:rsidR="00D27AAE" w:rsidRPr="00D27AAE" w:rsidRDefault="00D27AAE" w:rsidP="00D27AAE">
                <w:pPr>
                  <w:spacing w:after="0" w:line="240" w:lineRule="auto"/>
                  <w:jc w:val="both"/>
                  <w:rPr>
                    <w:rFonts w:ascii="Times New Roman" w:eastAsia="Times New Roman" w:hAnsi="Times New Roman"/>
                    <w:color w:val="000000"/>
                    <w:sz w:val="17"/>
                    <w:szCs w:val="17"/>
                    <w:lang w:eastAsia="es-CO"/>
                  </w:rPr>
                </w:pPr>
                <w:r w:rsidRPr="00D27AAE">
                  <w:rPr>
                    <w:rFonts w:ascii="Times New Roman" w:eastAsia="Times New Roman" w:hAnsi="Times New Roman"/>
                    <w:color w:val="000000"/>
                    <w:sz w:val="17"/>
                    <w:szCs w:val="17"/>
                    <w:lang w:eastAsia="es-CO"/>
                  </w:rPr>
                  <w:t>DERECHOS DE TRÁNSITO</w:t>
                </w:r>
              </w:p>
            </w:tc>
            <w:tc>
              <w:tcPr>
                <w:tcW w:w="1716" w:type="pct"/>
                <w:shd w:val="clear" w:color="auto" w:fill="auto"/>
                <w:vAlign w:val="center"/>
                <w:hideMark/>
              </w:tcPr>
              <w:p w14:paraId="619BBF25" w14:textId="77777777" w:rsidR="00D27AAE" w:rsidRPr="00D27AAE" w:rsidRDefault="00D27AAE" w:rsidP="00D27AAE">
                <w:pPr>
                  <w:spacing w:after="0" w:line="240" w:lineRule="auto"/>
                  <w:jc w:val="both"/>
                  <w:rPr>
                    <w:rFonts w:ascii="Times New Roman" w:eastAsia="Times New Roman" w:hAnsi="Times New Roman"/>
                    <w:color w:val="000000"/>
                    <w:sz w:val="17"/>
                    <w:szCs w:val="17"/>
                    <w:lang w:eastAsia="es-CO"/>
                  </w:rPr>
                </w:pPr>
                <w:r w:rsidRPr="00D27AAE">
                  <w:rPr>
                    <w:rFonts w:ascii="Times New Roman" w:eastAsia="Times New Roman" w:hAnsi="Times New Roman"/>
                    <w:color w:val="000000"/>
                    <w:sz w:val="17"/>
                    <w:szCs w:val="17"/>
                    <w:lang w:eastAsia="es-CO"/>
                  </w:rPr>
                  <w:t>CONSORCIO CTSA - INGERAL</w:t>
                </w:r>
              </w:p>
            </w:tc>
            <w:tc>
              <w:tcPr>
                <w:tcW w:w="1495" w:type="pct"/>
                <w:shd w:val="clear" w:color="auto" w:fill="auto"/>
                <w:vAlign w:val="center"/>
                <w:hideMark/>
              </w:tcPr>
              <w:p w14:paraId="2F00CD14" w14:textId="77777777" w:rsidR="00D27AAE" w:rsidRPr="00D27AAE" w:rsidRDefault="00D27AAE" w:rsidP="00D27AAE">
                <w:pPr>
                  <w:spacing w:after="0" w:line="240" w:lineRule="auto"/>
                  <w:jc w:val="right"/>
                  <w:rPr>
                    <w:rFonts w:ascii="Times New Roman" w:eastAsia="Times New Roman" w:hAnsi="Times New Roman"/>
                    <w:color w:val="000000"/>
                    <w:sz w:val="17"/>
                    <w:szCs w:val="17"/>
                    <w:lang w:eastAsia="es-CO"/>
                  </w:rPr>
                </w:pPr>
                <w:r w:rsidRPr="00D27AAE">
                  <w:rPr>
                    <w:rFonts w:ascii="Times New Roman" w:eastAsia="Times New Roman" w:hAnsi="Times New Roman"/>
                    <w:color w:val="000000"/>
                    <w:sz w:val="17"/>
                    <w:szCs w:val="17"/>
                    <w:lang w:eastAsia="es-CO"/>
                  </w:rPr>
                  <w:t>80.868.880</w:t>
                </w:r>
              </w:p>
            </w:tc>
          </w:tr>
          <w:tr w:rsidR="00D27AAE" w:rsidRPr="00D27AAE" w14:paraId="76AAF9AC" w14:textId="77777777" w:rsidTr="00D27AAE">
            <w:trPr>
              <w:trHeight w:val="340"/>
              <w:jc w:val="right"/>
            </w:trPr>
            <w:tc>
              <w:tcPr>
                <w:tcW w:w="1789" w:type="pct"/>
                <w:shd w:val="clear" w:color="auto" w:fill="auto"/>
                <w:vAlign w:val="center"/>
                <w:hideMark/>
              </w:tcPr>
              <w:p w14:paraId="38A16E69" w14:textId="77777777" w:rsidR="00D27AAE" w:rsidRPr="00D27AAE" w:rsidRDefault="00D27AAE" w:rsidP="00D27AAE">
                <w:pPr>
                  <w:spacing w:after="0" w:line="240" w:lineRule="auto"/>
                  <w:jc w:val="both"/>
                  <w:rPr>
                    <w:rFonts w:ascii="Times New Roman" w:eastAsia="Times New Roman" w:hAnsi="Times New Roman"/>
                    <w:color w:val="000000"/>
                    <w:sz w:val="17"/>
                    <w:szCs w:val="17"/>
                    <w:lang w:eastAsia="es-CO"/>
                  </w:rPr>
                </w:pPr>
                <w:r w:rsidRPr="00D27AAE">
                  <w:rPr>
                    <w:rFonts w:ascii="Times New Roman" w:eastAsia="Times New Roman" w:hAnsi="Times New Roman"/>
                    <w:color w:val="000000"/>
                    <w:sz w:val="17"/>
                    <w:szCs w:val="17"/>
                    <w:lang w:eastAsia="es-CO"/>
                  </w:rPr>
                  <w:t>DERECHOS DE TRÁNSITO</w:t>
                </w:r>
              </w:p>
            </w:tc>
            <w:tc>
              <w:tcPr>
                <w:tcW w:w="1716" w:type="pct"/>
                <w:shd w:val="clear" w:color="auto" w:fill="auto"/>
                <w:vAlign w:val="center"/>
                <w:hideMark/>
              </w:tcPr>
              <w:p w14:paraId="241571FC" w14:textId="77777777" w:rsidR="00D27AAE" w:rsidRPr="00D27AAE" w:rsidRDefault="00D27AAE" w:rsidP="00D27AAE">
                <w:pPr>
                  <w:spacing w:after="0" w:line="240" w:lineRule="auto"/>
                  <w:jc w:val="both"/>
                  <w:rPr>
                    <w:rFonts w:ascii="Times New Roman" w:eastAsia="Times New Roman" w:hAnsi="Times New Roman"/>
                    <w:color w:val="000000"/>
                    <w:sz w:val="17"/>
                    <w:szCs w:val="17"/>
                    <w:lang w:eastAsia="es-CO"/>
                  </w:rPr>
                </w:pPr>
                <w:r w:rsidRPr="00D27AAE">
                  <w:rPr>
                    <w:rFonts w:ascii="Times New Roman" w:eastAsia="Times New Roman" w:hAnsi="Times New Roman"/>
                    <w:color w:val="000000"/>
                    <w:sz w:val="17"/>
                    <w:szCs w:val="17"/>
                    <w:lang w:eastAsia="es-CO"/>
                  </w:rPr>
                  <w:t xml:space="preserve">CONSORCIO SAN FELIPE </w:t>
                </w:r>
              </w:p>
            </w:tc>
            <w:tc>
              <w:tcPr>
                <w:tcW w:w="1495" w:type="pct"/>
                <w:shd w:val="clear" w:color="auto" w:fill="auto"/>
                <w:vAlign w:val="center"/>
                <w:hideMark/>
              </w:tcPr>
              <w:p w14:paraId="65C2A118" w14:textId="77777777" w:rsidR="00D27AAE" w:rsidRPr="00D27AAE" w:rsidRDefault="00D27AAE" w:rsidP="00D27AAE">
                <w:pPr>
                  <w:spacing w:after="0" w:line="240" w:lineRule="auto"/>
                  <w:jc w:val="right"/>
                  <w:rPr>
                    <w:rFonts w:ascii="Times New Roman" w:eastAsia="Times New Roman" w:hAnsi="Times New Roman"/>
                    <w:color w:val="000000"/>
                    <w:sz w:val="17"/>
                    <w:szCs w:val="17"/>
                    <w:lang w:eastAsia="es-CO"/>
                  </w:rPr>
                </w:pPr>
                <w:r w:rsidRPr="00D27AAE">
                  <w:rPr>
                    <w:rFonts w:ascii="Times New Roman" w:eastAsia="Times New Roman" w:hAnsi="Times New Roman"/>
                    <w:color w:val="000000"/>
                    <w:sz w:val="17"/>
                    <w:szCs w:val="17"/>
                    <w:lang w:eastAsia="es-CO"/>
                  </w:rPr>
                  <w:t>69.836.516</w:t>
                </w:r>
              </w:p>
            </w:tc>
          </w:tr>
          <w:tr w:rsidR="00D27AAE" w:rsidRPr="00D27AAE" w14:paraId="16C9CCA4" w14:textId="77777777" w:rsidTr="00D27AAE">
            <w:trPr>
              <w:trHeight w:val="340"/>
              <w:jc w:val="right"/>
            </w:trPr>
            <w:tc>
              <w:tcPr>
                <w:tcW w:w="3505" w:type="pct"/>
                <w:gridSpan w:val="2"/>
                <w:shd w:val="clear" w:color="auto" w:fill="auto"/>
                <w:noWrap/>
                <w:vAlign w:val="center"/>
                <w:hideMark/>
              </w:tcPr>
              <w:p w14:paraId="1839212A" w14:textId="77777777" w:rsidR="00D27AAE" w:rsidRPr="00D27AAE" w:rsidRDefault="00D27AAE" w:rsidP="00D27AAE">
                <w:pPr>
                  <w:spacing w:after="0" w:line="240" w:lineRule="auto"/>
                  <w:jc w:val="center"/>
                  <w:rPr>
                    <w:rFonts w:ascii="Times New Roman" w:eastAsia="Times New Roman" w:hAnsi="Times New Roman"/>
                    <w:b/>
                    <w:bCs/>
                    <w:color w:val="000000"/>
                    <w:sz w:val="17"/>
                    <w:szCs w:val="17"/>
                    <w:lang w:eastAsia="es-CO"/>
                  </w:rPr>
                </w:pPr>
                <w:r w:rsidRPr="00D27AAE">
                  <w:rPr>
                    <w:rFonts w:ascii="Times New Roman" w:eastAsia="Times New Roman" w:hAnsi="Times New Roman"/>
                    <w:b/>
                    <w:bCs/>
                    <w:color w:val="000000"/>
                    <w:sz w:val="17"/>
                    <w:szCs w:val="17"/>
                    <w:lang w:eastAsia="es-CO"/>
                  </w:rPr>
                  <w:t>TOTAL</w:t>
                </w:r>
              </w:p>
            </w:tc>
            <w:tc>
              <w:tcPr>
                <w:tcW w:w="1495" w:type="pct"/>
                <w:shd w:val="clear" w:color="auto" w:fill="auto"/>
                <w:noWrap/>
                <w:vAlign w:val="center"/>
                <w:hideMark/>
              </w:tcPr>
              <w:p w14:paraId="62BA0E77" w14:textId="77777777" w:rsidR="00D27AAE" w:rsidRPr="00D27AAE" w:rsidRDefault="00D27AAE" w:rsidP="00D27AAE">
                <w:pPr>
                  <w:spacing w:after="0" w:line="240" w:lineRule="auto"/>
                  <w:jc w:val="right"/>
                  <w:rPr>
                    <w:rFonts w:ascii="Times New Roman" w:eastAsia="Times New Roman" w:hAnsi="Times New Roman"/>
                    <w:b/>
                    <w:bCs/>
                    <w:color w:val="000000"/>
                    <w:sz w:val="17"/>
                    <w:szCs w:val="17"/>
                    <w:lang w:eastAsia="es-CO"/>
                  </w:rPr>
                </w:pPr>
                <w:r w:rsidRPr="00D27AAE">
                  <w:rPr>
                    <w:rFonts w:ascii="Times New Roman" w:eastAsia="Times New Roman" w:hAnsi="Times New Roman"/>
                    <w:b/>
                    <w:bCs/>
                    <w:color w:val="000000"/>
                    <w:sz w:val="17"/>
                    <w:szCs w:val="17"/>
                    <w:lang w:eastAsia="es-CO"/>
                  </w:rPr>
                  <w:t>86.373.366.391</w:t>
                </w:r>
              </w:p>
            </w:tc>
          </w:tr>
        </w:tbl>
        <w:p w14:paraId="0CCD29AF" w14:textId="77777777" w:rsidR="00D27AAE" w:rsidRDefault="00D27AAE" w:rsidP="00A03223">
          <w:pPr>
            <w:spacing w:after="0" w:line="240" w:lineRule="auto"/>
            <w:jc w:val="both"/>
            <w:rPr>
              <w:rFonts w:ascii="Times New Roman" w:hAnsi="Times New Roman"/>
              <w:sz w:val="16"/>
              <w:szCs w:val="16"/>
            </w:rPr>
            <w:sectPr w:rsidR="00D27AAE" w:rsidSect="00376BDD">
              <w:type w:val="continuous"/>
              <w:pgSz w:w="12240" w:h="15840"/>
              <w:pgMar w:top="1418" w:right="1418" w:bottom="1418" w:left="1843" w:header="680" w:footer="709" w:gutter="0"/>
              <w:pgNumType w:start="1"/>
              <w:cols w:num="2" w:space="708"/>
              <w:titlePg/>
              <w:docGrid w:linePitch="360"/>
            </w:sectPr>
          </w:pPr>
        </w:p>
        <w:p w14:paraId="538C6CCD" w14:textId="525D47AC" w:rsidR="00E302AB" w:rsidRPr="00931DCE" w:rsidRDefault="00AD2026" w:rsidP="00A03223">
          <w:pPr>
            <w:spacing w:after="0" w:line="240" w:lineRule="auto"/>
            <w:jc w:val="both"/>
            <w:rPr>
              <w:rFonts w:ascii="Times New Roman" w:hAnsi="Times New Roman"/>
              <w:sz w:val="24"/>
              <w:szCs w:val="24"/>
            </w:rPr>
          </w:pPr>
          <w:r w:rsidRPr="00931DCE">
            <w:rPr>
              <w:rFonts w:ascii="Times New Roman" w:hAnsi="Times New Roman"/>
              <w:sz w:val="16"/>
              <w:szCs w:val="16"/>
            </w:rPr>
            <w:t>Cifras expresadas en pesos</w:t>
          </w:r>
          <w:r w:rsidR="00A06A39">
            <w:rPr>
              <w:rFonts w:ascii="Times New Roman" w:hAnsi="Times New Roman"/>
              <w:sz w:val="24"/>
              <w:szCs w:val="24"/>
            </w:rPr>
            <w:t>.</w:t>
          </w:r>
          <w:r w:rsidR="00E302AB" w:rsidRPr="00931DCE">
            <w:rPr>
              <w:rFonts w:ascii="Times New Roman" w:hAnsi="Times New Roman"/>
              <w:sz w:val="24"/>
              <w:szCs w:val="24"/>
            </w:rPr>
            <w:t xml:space="preserve"> Ver Nota 7.</w:t>
          </w:r>
        </w:p>
        <w:p w14:paraId="4E6A38A3" w14:textId="77777777" w:rsidR="00E302AB" w:rsidRPr="00931DCE" w:rsidRDefault="00E302AB" w:rsidP="00CD7FBF">
          <w:pPr>
            <w:spacing w:after="0" w:line="240" w:lineRule="auto"/>
            <w:jc w:val="both"/>
            <w:rPr>
              <w:rFonts w:ascii="Times New Roman" w:hAnsi="Times New Roman"/>
              <w:sz w:val="24"/>
              <w:szCs w:val="24"/>
            </w:rPr>
          </w:pPr>
        </w:p>
        <w:p w14:paraId="70C30C6B" w14:textId="1702F032" w:rsidR="00CD7FBF" w:rsidRPr="00931DCE" w:rsidRDefault="00CD7FBF" w:rsidP="00CD7FBF">
          <w:pPr>
            <w:spacing w:after="0" w:line="240" w:lineRule="auto"/>
            <w:jc w:val="both"/>
            <w:rPr>
              <w:rFonts w:ascii="Times New Roman" w:hAnsi="Times New Roman"/>
              <w:sz w:val="24"/>
              <w:szCs w:val="24"/>
            </w:rPr>
          </w:pPr>
          <w:r w:rsidRPr="00931DCE">
            <w:rPr>
              <w:rFonts w:ascii="Times New Roman" w:hAnsi="Times New Roman"/>
              <w:sz w:val="24"/>
              <w:szCs w:val="24"/>
            </w:rPr>
            <w:t xml:space="preserve">De otra parte, la Agencia a 31 de diciembre de </w:t>
          </w:r>
          <w:r w:rsidR="73F4CFAE" w:rsidRPr="02E3AD61">
            <w:rPr>
              <w:rFonts w:ascii="Times New Roman" w:hAnsi="Times New Roman"/>
              <w:sz w:val="24"/>
              <w:szCs w:val="24"/>
            </w:rPr>
            <w:t>20</w:t>
          </w:r>
          <w:r w:rsidR="73F4CFAE" w:rsidRPr="009F7AD3">
            <w:rPr>
              <w:rFonts w:ascii="Times New Roman" w:hAnsi="Times New Roman"/>
              <w:sz w:val="24"/>
              <w:szCs w:val="24"/>
            </w:rPr>
            <w:t>2</w:t>
          </w:r>
          <w:r w:rsidR="5873AE3F" w:rsidRPr="009F7AD3">
            <w:rPr>
              <w:rFonts w:ascii="Times New Roman" w:hAnsi="Times New Roman"/>
              <w:sz w:val="24"/>
              <w:szCs w:val="24"/>
            </w:rPr>
            <w:t>3</w:t>
          </w:r>
          <w:r w:rsidRPr="00931DCE">
            <w:rPr>
              <w:rFonts w:ascii="Times New Roman" w:hAnsi="Times New Roman"/>
              <w:sz w:val="24"/>
              <w:szCs w:val="24"/>
            </w:rPr>
            <w:t>, no presenta pasivos reconocidos originados por recursos recibidos sujetos a condiciones. Así mismo, no presenta cobros anticipados con respecto a las transacciones sin contraprestación.</w:t>
          </w:r>
        </w:p>
        <w:p w14:paraId="6046933F" w14:textId="77777777" w:rsidR="000D1DA7" w:rsidRPr="00931DCE" w:rsidRDefault="000D1DA7" w:rsidP="004A000E">
          <w:pPr>
            <w:spacing w:after="0" w:line="240" w:lineRule="auto"/>
            <w:jc w:val="both"/>
            <w:rPr>
              <w:rFonts w:ascii="Times New Roman" w:hAnsi="Times New Roman"/>
              <w:sz w:val="24"/>
              <w:szCs w:val="24"/>
            </w:rPr>
          </w:pPr>
        </w:p>
        <w:p w14:paraId="57110895" w14:textId="57F7EE05" w:rsidR="0071634E" w:rsidRPr="00931DCE" w:rsidRDefault="0071634E">
          <w:pPr>
            <w:pStyle w:val="Ttulo2"/>
            <w:numPr>
              <w:ilvl w:val="1"/>
              <w:numId w:val="19"/>
            </w:numPr>
            <w:ind w:left="567" w:hanging="567"/>
            <w:rPr>
              <w:rFonts w:cs="Times New Roman"/>
            </w:rPr>
          </w:pPr>
          <w:bookmarkStart w:id="112" w:name="_Toc159952436"/>
          <w:r w:rsidRPr="00931DCE">
            <w:rPr>
              <w:rFonts w:cs="Times New Roman"/>
            </w:rPr>
            <w:t>Ingresos de transacciones con contraprestación</w:t>
          </w:r>
          <w:bookmarkEnd w:id="112"/>
          <w:r w:rsidR="00A06A39">
            <w:rPr>
              <w:rFonts w:cs="Times New Roman"/>
            </w:rPr>
            <w:t xml:space="preserve"> </w:t>
          </w:r>
        </w:p>
        <w:p w14:paraId="57DBDC7F" w14:textId="77777777" w:rsidR="00616954" w:rsidRPr="00931DCE" w:rsidRDefault="00616954" w:rsidP="00616954">
          <w:pPr>
            <w:spacing w:after="0" w:line="240" w:lineRule="auto"/>
            <w:rPr>
              <w:rFonts w:ascii="Times New Roman" w:hAnsi="Times New Roman"/>
            </w:rPr>
          </w:pPr>
        </w:p>
        <w:p w14:paraId="66CD0F91" w14:textId="77777777" w:rsidR="005E7B3D" w:rsidRPr="00931DCE" w:rsidRDefault="005E7B3D" w:rsidP="00616954">
          <w:pPr>
            <w:pStyle w:val="Default"/>
            <w:jc w:val="both"/>
            <w:rPr>
              <w:rFonts w:ascii="Times New Roman" w:hAnsi="Times New Roman" w:cs="Times New Roman"/>
              <w:color w:val="auto"/>
            </w:rPr>
          </w:pPr>
          <w:r w:rsidRPr="00931DCE">
            <w:rPr>
              <w:rFonts w:ascii="Times New Roman" w:hAnsi="Times New Roman" w:cs="Times New Roman"/>
              <w:color w:val="auto"/>
            </w:rPr>
            <w:t>De conformidad con la política contable adoptada, la Agencia reconocerá como ingresos de transacciones con contraprestación aquellos que se originan por la venta de bienes, la prestación de servicios o el uso que terceros hacen de activos, los cuales producen intereses, derechos de explotación, arrendamientos, dividendos, participaciones o excedentes financieros, entre otros. Lo anterior, con independencia de que la transacción se realice a precios de mercado o a un precio menor a este.</w:t>
          </w:r>
        </w:p>
        <w:p w14:paraId="63DB2436" w14:textId="77777777" w:rsidR="005E7B3D" w:rsidRPr="00931DCE" w:rsidRDefault="005E7B3D" w:rsidP="00616954">
          <w:pPr>
            <w:pStyle w:val="Default"/>
            <w:jc w:val="both"/>
            <w:rPr>
              <w:rFonts w:ascii="Times New Roman" w:hAnsi="Times New Roman" w:cs="Times New Roman"/>
              <w:color w:val="auto"/>
            </w:rPr>
          </w:pPr>
        </w:p>
        <w:p w14:paraId="69091317" w14:textId="77777777" w:rsidR="005E7B3D" w:rsidRPr="00931DCE" w:rsidRDefault="005E7B3D" w:rsidP="00616954">
          <w:pPr>
            <w:pStyle w:val="Default"/>
            <w:jc w:val="both"/>
            <w:rPr>
              <w:rFonts w:ascii="Times New Roman" w:hAnsi="Times New Roman" w:cs="Times New Roman"/>
              <w:color w:val="auto"/>
            </w:rPr>
          </w:pPr>
          <w:r w:rsidRPr="00931DCE">
            <w:rPr>
              <w:rFonts w:ascii="Times New Roman" w:hAnsi="Times New Roman" w:cs="Times New Roman"/>
              <w:color w:val="auto"/>
            </w:rPr>
            <w:t xml:space="preserve">El criterio para el reconocimiento de ingresos de transacciones con contraprestación se aplicará por separado a cada transacción. No obstante, en determinadas circunstancias, será necesario aplicar tal criterio de reconocimiento por separado a los componentes identificables de una única transacción, con el fin de reflejar la sustancia de la operación. Por su parte, el criterio de </w:t>
          </w:r>
          <w:r w:rsidRPr="00931DCE">
            <w:rPr>
              <w:rFonts w:ascii="Times New Roman" w:hAnsi="Times New Roman" w:cs="Times New Roman"/>
              <w:color w:val="auto"/>
            </w:rPr>
            <w:lastRenderedPageBreak/>
            <w:t>reconocimiento se aplicará a dos o más transacciones conjuntamente cuando estén ligadas de manera que el efecto comercial no pueda ser entendido sin referencia al conjunto completo de transacciones.</w:t>
          </w:r>
        </w:p>
        <w:p w14:paraId="1C2E53A4" w14:textId="77777777" w:rsidR="005E7B3D" w:rsidRPr="00931DCE" w:rsidRDefault="005E7B3D" w:rsidP="005E7B3D">
          <w:pPr>
            <w:pStyle w:val="Default"/>
            <w:jc w:val="both"/>
            <w:rPr>
              <w:rFonts w:ascii="Times New Roman" w:hAnsi="Times New Roman" w:cs="Times New Roman"/>
              <w:color w:val="auto"/>
            </w:rPr>
          </w:pPr>
        </w:p>
        <w:p w14:paraId="384B7ED7" w14:textId="77777777" w:rsidR="005E7B3D" w:rsidRPr="00A06A39" w:rsidRDefault="005E7B3D" w:rsidP="005E7B3D">
          <w:pPr>
            <w:pStyle w:val="Default"/>
            <w:jc w:val="both"/>
            <w:rPr>
              <w:rFonts w:ascii="Times New Roman" w:hAnsi="Times New Roman" w:cs="Times New Roman"/>
              <w:b/>
              <w:bCs/>
              <w:color w:val="1F3864" w:themeColor="accent1" w:themeShade="80"/>
            </w:rPr>
          </w:pPr>
          <w:r w:rsidRPr="00A06A39">
            <w:rPr>
              <w:rFonts w:ascii="Times New Roman" w:hAnsi="Times New Roman" w:cs="Times New Roman"/>
              <w:b/>
              <w:bCs/>
              <w:color w:val="1F3864" w:themeColor="accent1" w:themeShade="80"/>
            </w:rPr>
            <w:t>Ingresos por el uso de activos por parte de terceros:</w:t>
          </w:r>
        </w:p>
        <w:p w14:paraId="434DC3CA" w14:textId="77777777" w:rsidR="005E7B3D" w:rsidRPr="00931DCE" w:rsidRDefault="005E7B3D" w:rsidP="005E7B3D">
          <w:pPr>
            <w:pStyle w:val="Default"/>
            <w:jc w:val="both"/>
            <w:rPr>
              <w:rFonts w:ascii="Times New Roman" w:hAnsi="Times New Roman" w:cs="Times New Roman"/>
              <w:color w:val="auto"/>
            </w:rPr>
          </w:pPr>
        </w:p>
        <w:p w14:paraId="344899F5" w14:textId="77777777" w:rsidR="005E7B3D" w:rsidRPr="00931DCE" w:rsidRDefault="005E7B3D" w:rsidP="005E7B3D">
          <w:pPr>
            <w:pStyle w:val="Default"/>
            <w:jc w:val="both"/>
            <w:rPr>
              <w:rFonts w:ascii="Times New Roman" w:hAnsi="Times New Roman" w:cs="Times New Roman"/>
              <w:color w:val="auto"/>
            </w:rPr>
          </w:pPr>
          <w:r w:rsidRPr="00931DCE">
            <w:rPr>
              <w:rFonts w:ascii="Times New Roman" w:hAnsi="Times New Roman" w:cs="Times New Roman"/>
              <w:color w:val="auto"/>
            </w:rPr>
            <w:t>La Agencia Nacional de Infraestructura percibe arrendamientos operativos en virtud de los Contratos de Obra suscritos con los diferentes terceros (operadores) que tienen la obligación de ejecutar actividades de mantenimiento, conservación y mejoramiento de la infraestructura férrea entregada y que hacen parte de los tramos desafectados.</w:t>
          </w:r>
        </w:p>
        <w:p w14:paraId="60470C71" w14:textId="77777777" w:rsidR="005E7B3D" w:rsidRPr="00931DCE" w:rsidRDefault="005E7B3D" w:rsidP="005E7B3D">
          <w:pPr>
            <w:pStyle w:val="Default"/>
            <w:jc w:val="both"/>
            <w:rPr>
              <w:rFonts w:ascii="Times New Roman" w:hAnsi="Times New Roman" w:cs="Times New Roman"/>
              <w:color w:val="auto"/>
            </w:rPr>
          </w:pPr>
        </w:p>
        <w:p w14:paraId="20B52CFC" w14:textId="1063112A" w:rsidR="005E7B3D" w:rsidRPr="00931DCE" w:rsidRDefault="00904382" w:rsidP="005E7B3D">
          <w:pPr>
            <w:pStyle w:val="Default"/>
            <w:jc w:val="both"/>
            <w:rPr>
              <w:rFonts w:ascii="Times New Roman" w:hAnsi="Times New Roman" w:cs="Times New Roman"/>
              <w:color w:val="auto"/>
            </w:rPr>
          </w:pPr>
          <w:r w:rsidRPr="00931DCE">
            <w:rPr>
              <w:rFonts w:ascii="Times New Roman" w:hAnsi="Times New Roman" w:cs="Times New Roman"/>
              <w:color w:val="auto"/>
            </w:rPr>
            <w:t xml:space="preserve">Estos ingresos se </w:t>
          </w:r>
          <w:r w:rsidR="005E7B3D" w:rsidRPr="00931DCE">
            <w:rPr>
              <w:rFonts w:ascii="Times New Roman" w:hAnsi="Times New Roman" w:cs="Times New Roman"/>
              <w:color w:val="auto"/>
            </w:rPr>
            <w:t>m</w:t>
          </w:r>
          <w:r w:rsidRPr="00931DCE">
            <w:rPr>
              <w:rFonts w:ascii="Times New Roman" w:hAnsi="Times New Roman" w:cs="Times New Roman"/>
              <w:color w:val="auto"/>
            </w:rPr>
            <w:t>i</w:t>
          </w:r>
          <w:r w:rsidR="005E7B3D" w:rsidRPr="00931DCE">
            <w:rPr>
              <w:rFonts w:ascii="Times New Roman" w:hAnsi="Times New Roman" w:cs="Times New Roman"/>
              <w:color w:val="auto"/>
            </w:rPr>
            <w:t>d</w:t>
          </w:r>
          <w:r w:rsidRPr="00931DCE">
            <w:rPr>
              <w:rFonts w:ascii="Times New Roman" w:hAnsi="Times New Roman" w:cs="Times New Roman"/>
              <w:color w:val="auto"/>
            </w:rPr>
            <w:t xml:space="preserve">en </w:t>
          </w:r>
          <w:r w:rsidR="005E7B3D" w:rsidRPr="00931DCE">
            <w:rPr>
              <w:rFonts w:ascii="Times New Roman" w:hAnsi="Times New Roman" w:cs="Times New Roman"/>
              <w:color w:val="auto"/>
            </w:rPr>
            <w:t>por el valor de mercado de la contraprestación recibida o por recibir, una vez deducidas las rebajas o descuentos condicionados y no condicionados.</w:t>
          </w:r>
        </w:p>
        <w:p w14:paraId="618B8288" w14:textId="77777777" w:rsidR="005E7B3D" w:rsidRPr="00931DCE" w:rsidRDefault="005E7B3D" w:rsidP="005E7B3D">
          <w:pPr>
            <w:pStyle w:val="Default"/>
            <w:jc w:val="both"/>
            <w:rPr>
              <w:rFonts w:ascii="Times New Roman" w:hAnsi="Times New Roman" w:cs="Times New Roman"/>
              <w:sz w:val="16"/>
              <w:szCs w:val="16"/>
            </w:rPr>
          </w:pPr>
        </w:p>
        <w:p w14:paraId="401B8415" w14:textId="77777777" w:rsidR="005E7B3D" w:rsidRPr="00931DCE" w:rsidRDefault="005E7B3D" w:rsidP="005E7B3D">
          <w:pPr>
            <w:spacing w:after="0" w:line="240" w:lineRule="auto"/>
            <w:jc w:val="both"/>
            <w:rPr>
              <w:rFonts w:ascii="Times New Roman" w:hAnsi="Times New Roman"/>
              <w:sz w:val="24"/>
              <w:szCs w:val="24"/>
            </w:rPr>
          </w:pPr>
          <w:r w:rsidRPr="00931DCE">
            <w:rPr>
              <w:rFonts w:ascii="Times New Roman" w:hAnsi="Times New Roman"/>
              <w:sz w:val="24"/>
              <w:szCs w:val="24"/>
            </w:rPr>
            <w:t>A continuación, se detalla la composición de los ingresos de transacciones con contraprestación:</w:t>
          </w:r>
        </w:p>
        <w:p w14:paraId="30420D1A" w14:textId="19F6C201" w:rsidR="005E7B3D" w:rsidRPr="00931DCE" w:rsidRDefault="22039E43" w:rsidP="02E3AD61">
          <w:pPr>
            <w:ind w:left="-20" w:right="-20"/>
            <w:jc w:val="both"/>
          </w:pPr>
          <w:r w:rsidRPr="02E3AD61">
            <w:rPr>
              <w:rFonts w:ascii="Times New Roman" w:eastAsia="Times New Roman" w:hAnsi="Times New Roman"/>
              <w:sz w:val="14"/>
              <w:szCs w:val="14"/>
            </w:rPr>
            <w:t xml:space="preserve"> </w:t>
          </w:r>
        </w:p>
        <w:tbl>
          <w:tblPr>
            <w:tblW w:w="5000" w:type="pct"/>
            <w:tblBorders>
              <w:top w:val="single" w:sz="8" w:space="0" w:color="A6A6A6"/>
              <w:left w:val="single" w:sz="8" w:space="0" w:color="A6A6A6"/>
              <w:bottom w:val="single" w:sz="8" w:space="0" w:color="A6A6A6"/>
              <w:right w:val="single" w:sz="8" w:space="0" w:color="A6A6A6"/>
              <w:insideH w:val="single" w:sz="6" w:space="0" w:color="A6A6A6"/>
              <w:insideV w:val="single" w:sz="6" w:space="0" w:color="A6A6A6"/>
            </w:tblBorders>
            <w:tblCellMar>
              <w:left w:w="70" w:type="dxa"/>
              <w:right w:w="70" w:type="dxa"/>
            </w:tblCellMar>
            <w:tblLook w:val="04A0" w:firstRow="1" w:lastRow="0" w:firstColumn="1" w:lastColumn="0" w:noHBand="0" w:noVBand="1"/>
          </w:tblPr>
          <w:tblGrid>
            <w:gridCol w:w="1754"/>
            <w:gridCol w:w="2050"/>
            <w:gridCol w:w="2182"/>
            <w:gridCol w:w="1491"/>
            <w:gridCol w:w="1482"/>
          </w:tblGrid>
          <w:tr w:rsidR="001C5918" w:rsidRPr="001C5918" w14:paraId="55A044A8" w14:textId="77777777" w:rsidTr="00F979BB">
            <w:trPr>
              <w:trHeight w:val="340"/>
            </w:trPr>
            <w:tc>
              <w:tcPr>
                <w:tcW w:w="979" w:type="pct"/>
                <w:shd w:val="clear" w:color="auto" w:fill="auto"/>
                <w:vAlign w:val="center"/>
                <w:hideMark/>
              </w:tcPr>
              <w:p w14:paraId="1038C3DA" w14:textId="77777777" w:rsidR="001C5918" w:rsidRPr="001C5918" w:rsidRDefault="001C5918" w:rsidP="001C5918">
                <w:pPr>
                  <w:spacing w:after="0" w:line="240" w:lineRule="auto"/>
                  <w:jc w:val="center"/>
                  <w:rPr>
                    <w:rFonts w:ascii="Times New Roman" w:eastAsia="Times New Roman" w:hAnsi="Times New Roman"/>
                    <w:b/>
                    <w:bCs/>
                    <w:color w:val="000000"/>
                    <w:sz w:val="18"/>
                    <w:szCs w:val="18"/>
                    <w:lang w:eastAsia="es-CO"/>
                  </w:rPr>
                </w:pPr>
                <w:r w:rsidRPr="001C5918">
                  <w:rPr>
                    <w:rFonts w:ascii="Times New Roman" w:eastAsia="Times New Roman" w:hAnsi="Times New Roman"/>
                    <w:b/>
                    <w:bCs/>
                    <w:color w:val="000000"/>
                    <w:sz w:val="18"/>
                    <w:szCs w:val="18"/>
                    <w:lang w:eastAsia="es-CO"/>
                  </w:rPr>
                  <w:t>CÓDIGO CONTABLE</w:t>
                </w:r>
              </w:p>
            </w:tc>
            <w:tc>
              <w:tcPr>
                <w:tcW w:w="1144" w:type="pct"/>
                <w:shd w:val="clear" w:color="auto" w:fill="auto"/>
                <w:vAlign w:val="center"/>
                <w:hideMark/>
              </w:tcPr>
              <w:p w14:paraId="6CBE44CE" w14:textId="77777777" w:rsidR="001C5918" w:rsidRPr="001C5918" w:rsidRDefault="001C5918" w:rsidP="001C5918">
                <w:pPr>
                  <w:spacing w:after="0" w:line="240" w:lineRule="auto"/>
                  <w:jc w:val="center"/>
                  <w:rPr>
                    <w:rFonts w:ascii="Times New Roman" w:eastAsia="Times New Roman" w:hAnsi="Times New Roman"/>
                    <w:b/>
                    <w:bCs/>
                    <w:color w:val="000000"/>
                    <w:sz w:val="18"/>
                    <w:szCs w:val="18"/>
                    <w:lang w:eastAsia="es-CO"/>
                  </w:rPr>
                </w:pPr>
                <w:r w:rsidRPr="001C5918">
                  <w:rPr>
                    <w:rFonts w:ascii="Times New Roman" w:eastAsia="Times New Roman" w:hAnsi="Times New Roman"/>
                    <w:b/>
                    <w:bCs/>
                    <w:color w:val="000000"/>
                    <w:sz w:val="18"/>
                    <w:szCs w:val="18"/>
                    <w:lang w:eastAsia="es-CO"/>
                  </w:rPr>
                  <w:t>CONCEPTO</w:t>
                </w:r>
              </w:p>
            </w:tc>
            <w:tc>
              <w:tcPr>
                <w:tcW w:w="1218" w:type="pct"/>
                <w:shd w:val="clear" w:color="auto" w:fill="auto"/>
                <w:vAlign w:val="center"/>
                <w:hideMark/>
              </w:tcPr>
              <w:p w14:paraId="5A627F08" w14:textId="77777777" w:rsidR="001C5918" w:rsidRPr="001C5918" w:rsidRDefault="001C5918" w:rsidP="001C5918">
                <w:pPr>
                  <w:spacing w:after="0" w:line="240" w:lineRule="auto"/>
                  <w:jc w:val="center"/>
                  <w:rPr>
                    <w:rFonts w:ascii="Times New Roman" w:eastAsia="Times New Roman" w:hAnsi="Times New Roman"/>
                    <w:b/>
                    <w:bCs/>
                    <w:color w:val="000000"/>
                    <w:sz w:val="18"/>
                    <w:szCs w:val="18"/>
                    <w:lang w:eastAsia="es-CO"/>
                  </w:rPr>
                </w:pPr>
                <w:r w:rsidRPr="001C5918">
                  <w:rPr>
                    <w:rFonts w:ascii="Times New Roman" w:eastAsia="Times New Roman" w:hAnsi="Times New Roman"/>
                    <w:b/>
                    <w:bCs/>
                    <w:color w:val="000000"/>
                    <w:sz w:val="18"/>
                    <w:szCs w:val="18"/>
                    <w:lang w:eastAsia="es-CO"/>
                  </w:rPr>
                  <w:t>2023</w:t>
                </w:r>
              </w:p>
            </w:tc>
            <w:tc>
              <w:tcPr>
                <w:tcW w:w="832" w:type="pct"/>
                <w:shd w:val="clear" w:color="auto" w:fill="auto"/>
                <w:vAlign w:val="center"/>
                <w:hideMark/>
              </w:tcPr>
              <w:p w14:paraId="0FB03AD7" w14:textId="77777777" w:rsidR="001C5918" w:rsidRPr="001C5918" w:rsidRDefault="001C5918" w:rsidP="001C5918">
                <w:pPr>
                  <w:spacing w:after="0" w:line="240" w:lineRule="auto"/>
                  <w:jc w:val="center"/>
                  <w:rPr>
                    <w:rFonts w:ascii="Times New Roman" w:eastAsia="Times New Roman" w:hAnsi="Times New Roman"/>
                    <w:b/>
                    <w:bCs/>
                    <w:color w:val="000000"/>
                    <w:sz w:val="18"/>
                    <w:szCs w:val="18"/>
                    <w:lang w:eastAsia="es-CO"/>
                  </w:rPr>
                </w:pPr>
                <w:r w:rsidRPr="001C5918">
                  <w:rPr>
                    <w:rFonts w:ascii="Times New Roman" w:eastAsia="Times New Roman" w:hAnsi="Times New Roman"/>
                    <w:b/>
                    <w:bCs/>
                    <w:color w:val="000000"/>
                    <w:sz w:val="18"/>
                    <w:szCs w:val="18"/>
                    <w:lang w:eastAsia="es-CO"/>
                  </w:rPr>
                  <w:t>2022</w:t>
                </w:r>
              </w:p>
            </w:tc>
            <w:tc>
              <w:tcPr>
                <w:tcW w:w="827" w:type="pct"/>
                <w:shd w:val="clear" w:color="auto" w:fill="auto"/>
                <w:vAlign w:val="center"/>
                <w:hideMark/>
              </w:tcPr>
              <w:p w14:paraId="76CDF0EA" w14:textId="77777777" w:rsidR="001C5918" w:rsidRPr="001C5918" w:rsidRDefault="001C5918" w:rsidP="001C5918">
                <w:pPr>
                  <w:spacing w:after="0" w:line="240" w:lineRule="auto"/>
                  <w:jc w:val="center"/>
                  <w:rPr>
                    <w:rFonts w:ascii="Times New Roman" w:eastAsia="Times New Roman" w:hAnsi="Times New Roman"/>
                    <w:b/>
                    <w:bCs/>
                    <w:color w:val="000000"/>
                    <w:sz w:val="18"/>
                    <w:szCs w:val="18"/>
                    <w:lang w:eastAsia="es-CO"/>
                  </w:rPr>
                </w:pPr>
                <w:r w:rsidRPr="001C5918">
                  <w:rPr>
                    <w:rFonts w:ascii="Times New Roman" w:eastAsia="Times New Roman" w:hAnsi="Times New Roman"/>
                    <w:b/>
                    <w:bCs/>
                    <w:color w:val="000000"/>
                    <w:sz w:val="18"/>
                    <w:szCs w:val="18"/>
                    <w:lang w:eastAsia="es-CO"/>
                  </w:rPr>
                  <w:t>VALOR VARIACIÓN</w:t>
                </w:r>
              </w:p>
            </w:tc>
          </w:tr>
          <w:tr w:rsidR="001C5918" w:rsidRPr="001C5918" w14:paraId="6608A547" w14:textId="77777777" w:rsidTr="00F979BB">
            <w:trPr>
              <w:trHeight w:val="340"/>
            </w:trPr>
            <w:tc>
              <w:tcPr>
                <w:tcW w:w="2123" w:type="pct"/>
                <w:gridSpan w:val="2"/>
                <w:shd w:val="clear" w:color="auto" w:fill="auto"/>
                <w:vAlign w:val="center"/>
                <w:hideMark/>
              </w:tcPr>
              <w:p w14:paraId="0076C06B" w14:textId="77777777" w:rsidR="001C5918" w:rsidRPr="001C5918" w:rsidRDefault="001C5918" w:rsidP="001C5918">
                <w:pPr>
                  <w:spacing w:after="0" w:line="240" w:lineRule="auto"/>
                  <w:rPr>
                    <w:rFonts w:ascii="Times New Roman" w:eastAsia="Times New Roman" w:hAnsi="Times New Roman"/>
                    <w:b/>
                    <w:bCs/>
                    <w:color w:val="000000"/>
                    <w:sz w:val="18"/>
                    <w:szCs w:val="18"/>
                    <w:lang w:eastAsia="es-CO"/>
                  </w:rPr>
                </w:pPr>
                <w:r w:rsidRPr="001C5918">
                  <w:rPr>
                    <w:rFonts w:ascii="Times New Roman" w:eastAsia="Times New Roman" w:hAnsi="Times New Roman"/>
                    <w:b/>
                    <w:bCs/>
                    <w:color w:val="000000"/>
                    <w:sz w:val="18"/>
                    <w:szCs w:val="18"/>
                    <w:lang w:eastAsia="es-CO"/>
                  </w:rPr>
                  <w:t xml:space="preserve">INGRESOS DE TRANSACCIONES CON CONTRAPRESTACIÓN </w:t>
                </w:r>
              </w:p>
            </w:tc>
            <w:tc>
              <w:tcPr>
                <w:tcW w:w="1218" w:type="pct"/>
                <w:shd w:val="clear" w:color="auto" w:fill="auto"/>
                <w:vAlign w:val="center"/>
                <w:hideMark/>
              </w:tcPr>
              <w:p w14:paraId="66C0851D" w14:textId="77777777" w:rsidR="001C5918" w:rsidRPr="001C5918" w:rsidRDefault="001C5918" w:rsidP="001C5918">
                <w:pPr>
                  <w:spacing w:after="0" w:line="240" w:lineRule="auto"/>
                  <w:jc w:val="right"/>
                  <w:rPr>
                    <w:rFonts w:ascii="Times New Roman" w:eastAsia="Times New Roman" w:hAnsi="Times New Roman"/>
                    <w:b/>
                    <w:bCs/>
                    <w:color w:val="000000"/>
                    <w:sz w:val="18"/>
                    <w:szCs w:val="18"/>
                    <w:lang w:eastAsia="es-CO"/>
                  </w:rPr>
                </w:pPr>
                <w:r w:rsidRPr="001C5918">
                  <w:rPr>
                    <w:rFonts w:ascii="Times New Roman" w:eastAsia="Times New Roman" w:hAnsi="Times New Roman"/>
                    <w:b/>
                    <w:bCs/>
                    <w:color w:val="000000"/>
                    <w:sz w:val="18"/>
                    <w:szCs w:val="18"/>
                    <w:lang w:eastAsia="es-CO"/>
                  </w:rPr>
                  <w:t>2.413.099.791.816</w:t>
                </w:r>
              </w:p>
            </w:tc>
            <w:tc>
              <w:tcPr>
                <w:tcW w:w="832" w:type="pct"/>
                <w:shd w:val="clear" w:color="auto" w:fill="auto"/>
                <w:vAlign w:val="center"/>
                <w:hideMark/>
              </w:tcPr>
              <w:p w14:paraId="02BF84E1" w14:textId="77777777" w:rsidR="001C5918" w:rsidRPr="001C5918" w:rsidRDefault="001C5918" w:rsidP="001C5918">
                <w:pPr>
                  <w:spacing w:after="0" w:line="240" w:lineRule="auto"/>
                  <w:jc w:val="right"/>
                  <w:rPr>
                    <w:rFonts w:ascii="Times New Roman" w:eastAsia="Times New Roman" w:hAnsi="Times New Roman"/>
                    <w:b/>
                    <w:bCs/>
                    <w:color w:val="000000"/>
                    <w:sz w:val="18"/>
                    <w:szCs w:val="18"/>
                    <w:lang w:eastAsia="es-CO"/>
                  </w:rPr>
                </w:pPr>
                <w:r w:rsidRPr="001C5918">
                  <w:rPr>
                    <w:rFonts w:ascii="Times New Roman" w:eastAsia="Times New Roman" w:hAnsi="Times New Roman"/>
                    <w:b/>
                    <w:bCs/>
                    <w:color w:val="000000"/>
                    <w:sz w:val="18"/>
                    <w:szCs w:val="18"/>
                    <w:lang w:eastAsia="es-CO"/>
                  </w:rPr>
                  <w:t>1.524.546.882.352</w:t>
                </w:r>
              </w:p>
            </w:tc>
            <w:tc>
              <w:tcPr>
                <w:tcW w:w="827" w:type="pct"/>
                <w:shd w:val="clear" w:color="auto" w:fill="auto"/>
                <w:vAlign w:val="center"/>
                <w:hideMark/>
              </w:tcPr>
              <w:p w14:paraId="0859546E" w14:textId="77777777" w:rsidR="001C5918" w:rsidRPr="001C5918" w:rsidRDefault="001C5918" w:rsidP="001C5918">
                <w:pPr>
                  <w:spacing w:after="0" w:line="240" w:lineRule="auto"/>
                  <w:jc w:val="right"/>
                  <w:rPr>
                    <w:rFonts w:ascii="Times New Roman" w:eastAsia="Times New Roman" w:hAnsi="Times New Roman"/>
                    <w:b/>
                    <w:bCs/>
                    <w:color w:val="000000"/>
                    <w:sz w:val="18"/>
                    <w:szCs w:val="18"/>
                    <w:lang w:eastAsia="es-CO"/>
                  </w:rPr>
                </w:pPr>
                <w:r w:rsidRPr="001C5918">
                  <w:rPr>
                    <w:rFonts w:ascii="Times New Roman" w:eastAsia="Times New Roman" w:hAnsi="Times New Roman"/>
                    <w:b/>
                    <w:bCs/>
                    <w:color w:val="000000"/>
                    <w:sz w:val="18"/>
                    <w:szCs w:val="18"/>
                    <w:lang w:eastAsia="es-CO"/>
                  </w:rPr>
                  <w:t>888.552.909.464</w:t>
                </w:r>
              </w:p>
            </w:tc>
          </w:tr>
          <w:tr w:rsidR="001C5918" w:rsidRPr="001C5918" w14:paraId="59BB2458" w14:textId="77777777" w:rsidTr="00F979BB">
            <w:trPr>
              <w:trHeight w:val="340"/>
            </w:trPr>
            <w:tc>
              <w:tcPr>
                <w:tcW w:w="979" w:type="pct"/>
                <w:shd w:val="clear" w:color="auto" w:fill="auto"/>
                <w:vAlign w:val="center"/>
                <w:hideMark/>
              </w:tcPr>
              <w:p w14:paraId="74B970CB" w14:textId="77777777" w:rsidR="001C5918" w:rsidRPr="001C5918" w:rsidRDefault="001C5918" w:rsidP="001C5918">
                <w:pPr>
                  <w:spacing w:after="0" w:line="240" w:lineRule="auto"/>
                  <w:rPr>
                    <w:rFonts w:ascii="Times New Roman" w:eastAsia="Times New Roman" w:hAnsi="Times New Roman"/>
                    <w:b/>
                    <w:bCs/>
                    <w:color w:val="000000"/>
                    <w:sz w:val="18"/>
                    <w:szCs w:val="18"/>
                    <w:lang w:eastAsia="es-CO"/>
                  </w:rPr>
                </w:pPr>
                <w:r w:rsidRPr="001C5918">
                  <w:rPr>
                    <w:rFonts w:ascii="Times New Roman" w:eastAsia="Times New Roman" w:hAnsi="Times New Roman"/>
                    <w:b/>
                    <w:bCs/>
                    <w:color w:val="000000"/>
                    <w:sz w:val="18"/>
                    <w:szCs w:val="18"/>
                    <w:lang w:eastAsia="es-CO"/>
                  </w:rPr>
                  <w:t>4.8</w:t>
                </w:r>
              </w:p>
            </w:tc>
            <w:tc>
              <w:tcPr>
                <w:tcW w:w="1144" w:type="pct"/>
                <w:shd w:val="clear" w:color="auto" w:fill="auto"/>
                <w:vAlign w:val="center"/>
                <w:hideMark/>
              </w:tcPr>
              <w:p w14:paraId="09290EC4" w14:textId="77777777" w:rsidR="001C5918" w:rsidRPr="001C5918" w:rsidRDefault="001C5918" w:rsidP="001C5918">
                <w:pPr>
                  <w:spacing w:after="0" w:line="240" w:lineRule="auto"/>
                  <w:rPr>
                    <w:rFonts w:ascii="Times New Roman" w:eastAsia="Times New Roman" w:hAnsi="Times New Roman"/>
                    <w:b/>
                    <w:bCs/>
                    <w:color w:val="000000"/>
                    <w:sz w:val="18"/>
                    <w:szCs w:val="18"/>
                    <w:lang w:eastAsia="es-CO"/>
                  </w:rPr>
                </w:pPr>
                <w:r w:rsidRPr="001C5918">
                  <w:rPr>
                    <w:rFonts w:ascii="Times New Roman" w:eastAsia="Times New Roman" w:hAnsi="Times New Roman"/>
                    <w:b/>
                    <w:bCs/>
                    <w:color w:val="000000"/>
                    <w:sz w:val="18"/>
                    <w:szCs w:val="18"/>
                    <w:lang w:eastAsia="es-CO"/>
                  </w:rPr>
                  <w:t xml:space="preserve">Otros ingresos </w:t>
                </w:r>
              </w:p>
            </w:tc>
            <w:tc>
              <w:tcPr>
                <w:tcW w:w="1218" w:type="pct"/>
                <w:shd w:val="clear" w:color="auto" w:fill="auto"/>
                <w:vAlign w:val="center"/>
                <w:hideMark/>
              </w:tcPr>
              <w:p w14:paraId="072821CA" w14:textId="77777777" w:rsidR="001C5918" w:rsidRPr="001C5918" w:rsidRDefault="001C5918" w:rsidP="001C5918">
                <w:pPr>
                  <w:spacing w:after="0" w:line="240" w:lineRule="auto"/>
                  <w:jc w:val="right"/>
                  <w:rPr>
                    <w:rFonts w:ascii="Times New Roman" w:eastAsia="Times New Roman" w:hAnsi="Times New Roman"/>
                    <w:b/>
                    <w:bCs/>
                    <w:color w:val="000000"/>
                    <w:sz w:val="18"/>
                    <w:szCs w:val="18"/>
                    <w:lang w:eastAsia="es-CO"/>
                  </w:rPr>
                </w:pPr>
                <w:r w:rsidRPr="001C5918">
                  <w:rPr>
                    <w:rFonts w:ascii="Times New Roman" w:eastAsia="Times New Roman" w:hAnsi="Times New Roman"/>
                    <w:b/>
                    <w:bCs/>
                    <w:color w:val="000000"/>
                    <w:sz w:val="18"/>
                    <w:szCs w:val="18"/>
                    <w:lang w:eastAsia="es-CO"/>
                  </w:rPr>
                  <w:t>2.413.099.791.816</w:t>
                </w:r>
              </w:p>
            </w:tc>
            <w:tc>
              <w:tcPr>
                <w:tcW w:w="832" w:type="pct"/>
                <w:shd w:val="clear" w:color="auto" w:fill="auto"/>
                <w:vAlign w:val="center"/>
                <w:hideMark/>
              </w:tcPr>
              <w:p w14:paraId="29A4F8C8" w14:textId="77777777" w:rsidR="001C5918" w:rsidRPr="001C5918" w:rsidRDefault="001C5918" w:rsidP="001C5918">
                <w:pPr>
                  <w:spacing w:after="0" w:line="240" w:lineRule="auto"/>
                  <w:jc w:val="right"/>
                  <w:rPr>
                    <w:rFonts w:ascii="Times New Roman" w:eastAsia="Times New Roman" w:hAnsi="Times New Roman"/>
                    <w:b/>
                    <w:bCs/>
                    <w:color w:val="000000"/>
                    <w:sz w:val="18"/>
                    <w:szCs w:val="18"/>
                    <w:lang w:eastAsia="es-CO"/>
                  </w:rPr>
                </w:pPr>
                <w:r w:rsidRPr="001C5918">
                  <w:rPr>
                    <w:rFonts w:ascii="Times New Roman" w:eastAsia="Times New Roman" w:hAnsi="Times New Roman"/>
                    <w:b/>
                    <w:bCs/>
                    <w:color w:val="000000"/>
                    <w:sz w:val="18"/>
                    <w:szCs w:val="18"/>
                    <w:lang w:eastAsia="es-CO"/>
                  </w:rPr>
                  <w:t>1.524.546.882.352</w:t>
                </w:r>
              </w:p>
            </w:tc>
            <w:tc>
              <w:tcPr>
                <w:tcW w:w="827" w:type="pct"/>
                <w:shd w:val="clear" w:color="auto" w:fill="auto"/>
                <w:vAlign w:val="center"/>
                <w:hideMark/>
              </w:tcPr>
              <w:p w14:paraId="38E8E58D" w14:textId="77777777" w:rsidR="001C5918" w:rsidRPr="001C5918" w:rsidRDefault="001C5918" w:rsidP="001C5918">
                <w:pPr>
                  <w:spacing w:after="0" w:line="240" w:lineRule="auto"/>
                  <w:jc w:val="right"/>
                  <w:rPr>
                    <w:rFonts w:ascii="Times New Roman" w:eastAsia="Times New Roman" w:hAnsi="Times New Roman"/>
                    <w:b/>
                    <w:bCs/>
                    <w:color w:val="000000"/>
                    <w:sz w:val="18"/>
                    <w:szCs w:val="18"/>
                    <w:lang w:eastAsia="es-CO"/>
                  </w:rPr>
                </w:pPr>
                <w:r w:rsidRPr="001C5918">
                  <w:rPr>
                    <w:rFonts w:ascii="Times New Roman" w:eastAsia="Times New Roman" w:hAnsi="Times New Roman"/>
                    <w:b/>
                    <w:bCs/>
                    <w:color w:val="000000"/>
                    <w:sz w:val="18"/>
                    <w:szCs w:val="18"/>
                    <w:lang w:eastAsia="es-CO"/>
                  </w:rPr>
                  <w:t>888.552.909.464</w:t>
                </w:r>
              </w:p>
            </w:tc>
          </w:tr>
          <w:tr w:rsidR="001C5918" w:rsidRPr="001C5918" w14:paraId="2876A64E" w14:textId="77777777" w:rsidTr="00F979BB">
            <w:trPr>
              <w:trHeight w:val="340"/>
            </w:trPr>
            <w:tc>
              <w:tcPr>
                <w:tcW w:w="979" w:type="pct"/>
                <w:shd w:val="clear" w:color="auto" w:fill="auto"/>
                <w:vAlign w:val="center"/>
                <w:hideMark/>
              </w:tcPr>
              <w:p w14:paraId="7B6E20CD" w14:textId="77777777" w:rsidR="001C5918" w:rsidRPr="001C5918" w:rsidRDefault="001C5918" w:rsidP="001C5918">
                <w:pPr>
                  <w:spacing w:after="0" w:line="240" w:lineRule="auto"/>
                  <w:rPr>
                    <w:rFonts w:ascii="Times New Roman" w:eastAsia="Times New Roman" w:hAnsi="Times New Roman"/>
                    <w:color w:val="000000"/>
                    <w:sz w:val="18"/>
                    <w:szCs w:val="18"/>
                    <w:lang w:eastAsia="es-CO"/>
                  </w:rPr>
                </w:pPr>
                <w:r w:rsidRPr="001C5918">
                  <w:rPr>
                    <w:rFonts w:ascii="Times New Roman" w:eastAsia="Times New Roman" w:hAnsi="Times New Roman"/>
                    <w:color w:val="000000"/>
                    <w:sz w:val="18"/>
                    <w:szCs w:val="18"/>
                    <w:lang w:eastAsia="es-CO"/>
                  </w:rPr>
                  <w:t>4.8.02</w:t>
                </w:r>
              </w:p>
            </w:tc>
            <w:tc>
              <w:tcPr>
                <w:tcW w:w="1144" w:type="pct"/>
                <w:shd w:val="clear" w:color="auto" w:fill="auto"/>
                <w:vAlign w:val="center"/>
                <w:hideMark/>
              </w:tcPr>
              <w:p w14:paraId="4AED5AB3" w14:textId="77777777" w:rsidR="001C5918" w:rsidRPr="001C5918" w:rsidRDefault="001C5918" w:rsidP="001C5918">
                <w:pPr>
                  <w:spacing w:after="0" w:line="240" w:lineRule="auto"/>
                  <w:rPr>
                    <w:rFonts w:ascii="Times New Roman" w:eastAsia="Times New Roman" w:hAnsi="Times New Roman"/>
                    <w:color w:val="000000"/>
                    <w:sz w:val="18"/>
                    <w:szCs w:val="18"/>
                    <w:lang w:eastAsia="es-CO"/>
                  </w:rPr>
                </w:pPr>
                <w:r w:rsidRPr="001C5918">
                  <w:rPr>
                    <w:rFonts w:ascii="Times New Roman" w:eastAsia="Times New Roman" w:hAnsi="Times New Roman"/>
                    <w:color w:val="000000"/>
                    <w:sz w:val="18"/>
                    <w:szCs w:val="18"/>
                    <w:lang w:eastAsia="es-CO"/>
                  </w:rPr>
                  <w:t>Financieros</w:t>
                </w:r>
              </w:p>
            </w:tc>
            <w:tc>
              <w:tcPr>
                <w:tcW w:w="1218" w:type="pct"/>
                <w:shd w:val="clear" w:color="auto" w:fill="auto"/>
                <w:vAlign w:val="center"/>
                <w:hideMark/>
              </w:tcPr>
              <w:p w14:paraId="0EBD532E" w14:textId="77777777" w:rsidR="001C5918" w:rsidRPr="001C5918" w:rsidRDefault="001C5918" w:rsidP="001C5918">
                <w:pPr>
                  <w:spacing w:after="0" w:line="240" w:lineRule="auto"/>
                  <w:jc w:val="right"/>
                  <w:rPr>
                    <w:rFonts w:ascii="Times New Roman" w:eastAsia="Times New Roman" w:hAnsi="Times New Roman"/>
                    <w:color w:val="000000"/>
                    <w:sz w:val="18"/>
                    <w:szCs w:val="18"/>
                    <w:lang w:eastAsia="es-CO"/>
                  </w:rPr>
                </w:pPr>
                <w:r w:rsidRPr="001C5918">
                  <w:rPr>
                    <w:rFonts w:ascii="Times New Roman" w:eastAsia="Times New Roman" w:hAnsi="Times New Roman"/>
                    <w:color w:val="000000"/>
                    <w:sz w:val="18"/>
                    <w:szCs w:val="18"/>
                    <w:lang w:eastAsia="es-CO"/>
                  </w:rPr>
                  <w:t>806.777.861.756</w:t>
                </w:r>
              </w:p>
            </w:tc>
            <w:tc>
              <w:tcPr>
                <w:tcW w:w="832" w:type="pct"/>
                <w:shd w:val="clear" w:color="auto" w:fill="auto"/>
                <w:vAlign w:val="center"/>
                <w:hideMark/>
              </w:tcPr>
              <w:p w14:paraId="102CD080" w14:textId="77777777" w:rsidR="001C5918" w:rsidRPr="001C5918" w:rsidRDefault="001C5918" w:rsidP="001C5918">
                <w:pPr>
                  <w:spacing w:after="0" w:line="240" w:lineRule="auto"/>
                  <w:jc w:val="right"/>
                  <w:rPr>
                    <w:rFonts w:ascii="Times New Roman" w:eastAsia="Times New Roman" w:hAnsi="Times New Roman"/>
                    <w:color w:val="000000"/>
                    <w:sz w:val="18"/>
                    <w:szCs w:val="18"/>
                    <w:lang w:eastAsia="es-CO"/>
                  </w:rPr>
                </w:pPr>
                <w:r w:rsidRPr="001C5918">
                  <w:rPr>
                    <w:rFonts w:ascii="Times New Roman" w:eastAsia="Times New Roman" w:hAnsi="Times New Roman"/>
                    <w:color w:val="000000"/>
                    <w:sz w:val="18"/>
                    <w:szCs w:val="18"/>
                    <w:lang w:eastAsia="es-CO"/>
                  </w:rPr>
                  <w:t>32.613.691.713</w:t>
                </w:r>
              </w:p>
            </w:tc>
            <w:tc>
              <w:tcPr>
                <w:tcW w:w="827" w:type="pct"/>
                <w:shd w:val="clear" w:color="auto" w:fill="auto"/>
                <w:vAlign w:val="center"/>
                <w:hideMark/>
              </w:tcPr>
              <w:p w14:paraId="2247683D" w14:textId="77777777" w:rsidR="001C5918" w:rsidRPr="001C5918" w:rsidRDefault="001C5918" w:rsidP="001C5918">
                <w:pPr>
                  <w:spacing w:after="0" w:line="240" w:lineRule="auto"/>
                  <w:jc w:val="right"/>
                  <w:rPr>
                    <w:rFonts w:ascii="Times New Roman" w:eastAsia="Times New Roman" w:hAnsi="Times New Roman"/>
                    <w:color w:val="000000"/>
                    <w:sz w:val="18"/>
                    <w:szCs w:val="18"/>
                    <w:lang w:eastAsia="es-CO"/>
                  </w:rPr>
                </w:pPr>
                <w:r w:rsidRPr="001C5918">
                  <w:rPr>
                    <w:rFonts w:ascii="Times New Roman" w:eastAsia="Times New Roman" w:hAnsi="Times New Roman"/>
                    <w:color w:val="000000"/>
                    <w:sz w:val="18"/>
                    <w:szCs w:val="18"/>
                    <w:lang w:eastAsia="es-CO"/>
                  </w:rPr>
                  <w:t>774.164.170.043</w:t>
                </w:r>
              </w:p>
            </w:tc>
          </w:tr>
          <w:tr w:rsidR="001C5918" w:rsidRPr="001C5918" w14:paraId="259B7D51" w14:textId="77777777" w:rsidTr="00F979BB">
            <w:trPr>
              <w:trHeight w:val="340"/>
            </w:trPr>
            <w:tc>
              <w:tcPr>
                <w:tcW w:w="979" w:type="pct"/>
                <w:shd w:val="clear" w:color="auto" w:fill="auto"/>
                <w:vAlign w:val="center"/>
                <w:hideMark/>
              </w:tcPr>
              <w:p w14:paraId="6AD6D660" w14:textId="77777777" w:rsidR="001C5918" w:rsidRPr="001C5918" w:rsidRDefault="001C5918" w:rsidP="001C5918">
                <w:pPr>
                  <w:spacing w:after="0" w:line="240" w:lineRule="auto"/>
                  <w:rPr>
                    <w:rFonts w:ascii="Times New Roman" w:eastAsia="Times New Roman" w:hAnsi="Times New Roman"/>
                    <w:color w:val="000000"/>
                    <w:sz w:val="18"/>
                    <w:szCs w:val="18"/>
                    <w:lang w:eastAsia="es-CO"/>
                  </w:rPr>
                </w:pPr>
                <w:r w:rsidRPr="001C5918">
                  <w:rPr>
                    <w:rFonts w:ascii="Times New Roman" w:eastAsia="Times New Roman" w:hAnsi="Times New Roman"/>
                    <w:color w:val="000000"/>
                    <w:sz w:val="18"/>
                    <w:szCs w:val="18"/>
                    <w:lang w:eastAsia="es-CO"/>
                  </w:rPr>
                  <w:t>4.8.06</w:t>
                </w:r>
              </w:p>
            </w:tc>
            <w:tc>
              <w:tcPr>
                <w:tcW w:w="1144" w:type="pct"/>
                <w:shd w:val="clear" w:color="auto" w:fill="auto"/>
                <w:vAlign w:val="center"/>
                <w:hideMark/>
              </w:tcPr>
              <w:p w14:paraId="4EEB0B1F" w14:textId="77777777" w:rsidR="001C5918" w:rsidRPr="001C5918" w:rsidRDefault="001C5918" w:rsidP="001C5918">
                <w:pPr>
                  <w:spacing w:after="0" w:line="240" w:lineRule="auto"/>
                  <w:rPr>
                    <w:rFonts w:ascii="Times New Roman" w:eastAsia="Times New Roman" w:hAnsi="Times New Roman"/>
                    <w:color w:val="000000"/>
                    <w:sz w:val="18"/>
                    <w:szCs w:val="18"/>
                    <w:lang w:eastAsia="es-CO"/>
                  </w:rPr>
                </w:pPr>
                <w:r w:rsidRPr="001C5918">
                  <w:rPr>
                    <w:rFonts w:ascii="Times New Roman" w:eastAsia="Times New Roman" w:hAnsi="Times New Roman"/>
                    <w:color w:val="000000"/>
                    <w:sz w:val="18"/>
                    <w:szCs w:val="18"/>
                    <w:lang w:eastAsia="es-CO"/>
                  </w:rPr>
                  <w:t>Ajuste por diferencia en cambio</w:t>
                </w:r>
              </w:p>
            </w:tc>
            <w:tc>
              <w:tcPr>
                <w:tcW w:w="1218" w:type="pct"/>
                <w:shd w:val="clear" w:color="auto" w:fill="auto"/>
                <w:vAlign w:val="center"/>
                <w:hideMark/>
              </w:tcPr>
              <w:p w14:paraId="2A1693FB" w14:textId="77777777" w:rsidR="001C5918" w:rsidRPr="001C5918" w:rsidRDefault="001C5918" w:rsidP="001C5918">
                <w:pPr>
                  <w:spacing w:after="0" w:line="240" w:lineRule="auto"/>
                  <w:jc w:val="right"/>
                  <w:rPr>
                    <w:rFonts w:ascii="Times New Roman" w:eastAsia="Times New Roman" w:hAnsi="Times New Roman"/>
                    <w:color w:val="000000"/>
                    <w:sz w:val="18"/>
                    <w:szCs w:val="18"/>
                    <w:lang w:eastAsia="es-CO"/>
                  </w:rPr>
                </w:pPr>
                <w:r w:rsidRPr="001C5918">
                  <w:rPr>
                    <w:rFonts w:ascii="Times New Roman" w:eastAsia="Times New Roman" w:hAnsi="Times New Roman"/>
                    <w:color w:val="000000"/>
                    <w:sz w:val="18"/>
                    <w:szCs w:val="18"/>
                    <w:lang w:eastAsia="es-CO"/>
                  </w:rPr>
                  <w:t>15.602</w:t>
                </w:r>
              </w:p>
            </w:tc>
            <w:tc>
              <w:tcPr>
                <w:tcW w:w="832" w:type="pct"/>
                <w:shd w:val="clear" w:color="auto" w:fill="auto"/>
                <w:vAlign w:val="center"/>
                <w:hideMark/>
              </w:tcPr>
              <w:p w14:paraId="3F37D75B" w14:textId="77777777" w:rsidR="001C5918" w:rsidRPr="001C5918" w:rsidRDefault="001C5918" w:rsidP="001C5918">
                <w:pPr>
                  <w:spacing w:after="0" w:line="240" w:lineRule="auto"/>
                  <w:jc w:val="right"/>
                  <w:rPr>
                    <w:rFonts w:ascii="Times New Roman" w:eastAsia="Times New Roman" w:hAnsi="Times New Roman"/>
                    <w:color w:val="000000"/>
                    <w:sz w:val="18"/>
                    <w:szCs w:val="18"/>
                    <w:lang w:eastAsia="es-CO"/>
                  </w:rPr>
                </w:pPr>
                <w:r w:rsidRPr="001C5918">
                  <w:rPr>
                    <w:rFonts w:ascii="Times New Roman" w:eastAsia="Times New Roman" w:hAnsi="Times New Roman"/>
                    <w:color w:val="000000"/>
                    <w:sz w:val="18"/>
                    <w:szCs w:val="18"/>
                    <w:lang w:eastAsia="es-CO"/>
                  </w:rPr>
                  <w:t>596.466.214</w:t>
                </w:r>
              </w:p>
            </w:tc>
            <w:tc>
              <w:tcPr>
                <w:tcW w:w="827" w:type="pct"/>
                <w:shd w:val="clear" w:color="auto" w:fill="auto"/>
                <w:vAlign w:val="center"/>
                <w:hideMark/>
              </w:tcPr>
              <w:p w14:paraId="5C4D895C" w14:textId="77777777" w:rsidR="001C5918" w:rsidRPr="001C5918" w:rsidRDefault="001C5918" w:rsidP="001C5918">
                <w:pPr>
                  <w:spacing w:after="0" w:line="240" w:lineRule="auto"/>
                  <w:jc w:val="right"/>
                  <w:rPr>
                    <w:rFonts w:ascii="Times New Roman" w:eastAsia="Times New Roman" w:hAnsi="Times New Roman"/>
                    <w:color w:val="000000"/>
                    <w:sz w:val="18"/>
                    <w:szCs w:val="18"/>
                    <w:lang w:eastAsia="es-CO"/>
                  </w:rPr>
                </w:pPr>
                <w:r w:rsidRPr="001C5918">
                  <w:rPr>
                    <w:rFonts w:ascii="Times New Roman" w:eastAsia="Times New Roman" w:hAnsi="Times New Roman"/>
                    <w:color w:val="000000"/>
                    <w:sz w:val="18"/>
                    <w:szCs w:val="18"/>
                    <w:lang w:eastAsia="es-CO"/>
                  </w:rPr>
                  <w:t>-596.450.612</w:t>
                </w:r>
              </w:p>
            </w:tc>
          </w:tr>
          <w:tr w:rsidR="001C5918" w:rsidRPr="001C5918" w14:paraId="454C9231" w14:textId="77777777" w:rsidTr="00F979BB">
            <w:trPr>
              <w:trHeight w:val="340"/>
            </w:trPr>
            <w:tc>
              <w:tcPr>
                <w:tcW w:w="979" w:type="pct"/>
                <w:shd w:val="clear" w:color="auto" w:fill="auto"/>
                <w:vAlign w:val="center"/>
                <w:hideMark/>
              </w:tcPr>
              <w:p w14:paraId="59235FAB" w14:textId="77777777" w:rsidR="001C5918" w:rsidRPr="001C5918" w:rsidRDefault="001C5918" w:rsidP="001C5918">
                <w:pPr>
                  <w:spacing w:after="0" w:line="240" w:lineRule="auto"/>
                  <w:rPr>
                    <w:rFonts w:ascii="Times New Roman" w:eastAsia="Times New Roman" w:hAnsi="Times New Roman"/>
                    <w:color w:val="000000"/>
                    <w:sz w:val="18"/>
                    <w:szCs w:val="18"/>
                    <w:lang w:eastAsia="es-CO"/>
                  </w:rPr>
                </w:pPr>
                <w:r w:rsidRPr="001C5918">
                  <w:rPr>
                    <w:rFonts w:ascii="Times New Roman" w:eastAsia="Times New Roman" w:hAnsi="Times New Roman"/>
                    <w:color w:val="000000"/>
                    <w:sz w:val="18"/>
                    <w:szCs w:val="18"/>
                    <w:lang w:eastAsia="es-CO"/>
                  </w:rPr>
                  <w:t>4.8.08</w:t>
                </w:r>
              </w:p>
            </w:tc>
            <w:tc>
              <w:tcPr>
                <w:tcW w:w="1144" w:type="pct"/>
                <w:shd w:val="clear" w:color="auto" w:fill="auto"/>
                <w:vAlign w:val="center"/>
                <w:hideMark/>
              </w:tcPr>
              <w:p w14:paraId="3D1A1BC2" w14:textId="77777777" w:rsidR="001C5918" w:rsidRPr="001C5918" w:rsidRDefault="001C5918" w:rsidP="001C5918">
                <w:pPr>
                  <w:spacing w:after="0" w:line="240" w:lineRule="auto"/>
                  <w:rPr>
                    <w:rFonts w:ascii="Times New Roman" w:eastAsia="Times New Roman" w:hAnsi="Times New Roman"/>
                    <w:color w:val="000000"/>
                    <w:sz w:val="18"/>
                    <w:szCs w:val="18"/>
                    <w:lang w:eastAsia="es-CO"/>
                  </w:rPr>
                </w:pPr>
                <w:r w:rsidRPr="001C5918">
                  <w:rPr>
                    <w:rFonts w:ascii="Times New Roman" w:eastAsia="Times New Roman" w:hAnsi="Times New Roman"/>
                    <w:color w:val="000000"/>
                    <w:sz w:val="18"/>
                    <w:szCs w:val="18"/>
                    <w:lang w:eastAsia="es-CO"/>
                  </w:rPr>
                  <w:t>Ingresos diversos</w:t>
                </w:r>
              </w:p>
            </w:tc>
            <w:tc>
              <w:tcPr>
                <w:tcW w:w="1218" w:type="pct"/>
                <w:shd w:val="clear" w:color="auto" w:fill="auto"/>
                <w:vAlign w:val="center"/>
                <w:hideMark/>
              </w:tcPr>
              <w:p w14:paraId="2DA7A5E3" w14:textId="77777777" w:rsidR="001C5918" w:rsidRPr="001C5918" w:rsidRDefault="001C5918" w:rsidP="001C5918">
                <w:pPr>
                  <w:spacing w:after="0" w:line="240" w:lineRule="auto"/>
                  <w:jc w:val="right"/>
                  <w:rPr>
                    <w:rFonts w:ascii="Times New Roman" w:eastAsia="Times New Roman" w:hAnsi="Times New Roman"/>
                    <w:color w:val="000000"/>
                    <w:sz w:val="18"/>
                    <w:szCs w:val="18"/>
                    <w:lang w:eastAsia="es-CO"/>
                  </w:rPr>
                </w:pPr>
                <w:r w:rsidRPr="001C5918">
                  <w:rPr>
                    <w:rFonts w:ascii="Times New Roman" w:eastAsia="Times New Roman" w:hAnsi="Times New Roman"/>
                    <w:color w:val="000000"/>
                    <w:sz w:val="18"/>
                    <w:szCs w:val="18"/>
                    <w:lang w:eastAsia="es-CO"/>
                  </w:rPr>
                  <w:t>1.460.067.668.702</w:t>
                </w:r>
              </w:p>
            </w:tc>
            <w:tc>
              <w:tcPr>
                <w:tcW w:w="832" w:type="pct"/>
                <w:shd w:val="clear" w:color="auto" w:fill="auto"/>
                <w:vAlign w:val="center"/>
                <w:hideMark/>
              </w:tcPr>
              <w:p w14:paraId="1393C916" w14:textId="77777777" w:rsidR="001C5918" w:rsidRPr="001C5918" w:rsidRDefault="001C5918" w:rsidP="001C5918">
                <w:pPr>
                  <w:spacing w:after="0" w:line="240" w:lineRule="auto"/>
                  <w:jc w:val="right"/>
                  <w:rPr>
                    <w:rFonts w:ascii="Times New Roman" w:eastAsia="Times New Roman" w:hAnsi="Times New Roman"/>
                    <w:color w:val="000000"/>
                    <w:sz w:val="18"/>
                    <w:szCs w:val="18"/>
                    <w:lang w:eastAsia="es-CO"/>
                  </w:rPr>
                </w:pPr>
                <w:r w:rsidRPr="001C5918">
                  <w:rPr>
                    <w:rFonts w:ascii="Times New Roman" w:eastAsia="Times New Roman" w:hAnsi="Times New Roman"/>
                    <w:color w:val="000000"/>
                    <w:sz w:val="18"/>
                    <w:szCs w:val="18"/>
                    <w:lang w:eastAsia="es-CO"/>
                  </w:rPr>
                  <w:t>1.490.989.277.582</w:t>
                </w:r>
              </w:p>
            </w:tc>
            <w:tc>
              <w:tcPr>
                <w:tcW w:w="827" w:type="pct"/>
                <w:shd w:val="clear" w:color="auto" w:fill="auto"/>
                <w:vAlign w:val="center"/>
                <w:hideMark/>
              </w:tcPr>
              <w:p w14:paraId="27961FBE" w14:textId="77777777" w:rsidR="001C5918" w:rsidRPr="001C5918" w:rsidRDefault="001C5918" w:rsidP="001C5918">
                <w:pPr>
                  <w:spacing w:after="0" w:line="240" w:lineRule="auto"/>
                  <w:jc w:val="right"/>
                  <w:rPr>
                    <w:rFonts w:ascii="Times New Roman" w:eastAsia="Times New Roman" w:hAnsi="Times New Roman"/>
                    <w:color w:val="000000"/>
                    <w:sz w:val="18"/>
                    <w:szCs w:val="18"/>
                    <w:lang w:eastAsia="es-CO"/>
                  </w:rPr>
                </w:pPr>
                <w:r w:rsidRPr="001C5918">
                  <w:rPr>
                    <w:rFonts w:ascii="Times New Roman" w:eastAsia="Times New Roman" w:hAnsi="Times New Roman"/>
                    <w:color w:val="000000"/>
                    <w:sz w:val="18"/>
                    <w:szCs w:val="18"/>
                    <w:lang w:eastAsia="es-CO"/>
                  </w:rPr>
                  <w:t>-30.921.608.880</w:t>
                </w:r>
              </w:p>
            </w:tc>
          </w:tr>
          <w:tr w:rsidR="001C5918" w:rsidRPr="001C5918" w14:paraId="12E97343" w14:textId="77777777" w:rsidTr="00F979BB">
            <w:trPr>
              <w:trHeight w:val="340"/>
            </w:trPr>
            <w:tc>
              <w:tcPr>
                <w:tcW w:w="979" w:type="pct"/>
                <w:shd w:val="clear" w:color="auto" w:fill="auto"/>
                <w:vAlign w:val="center"/>
                <w:hideMark/>
              </w:tcPr>
              <w:p w14:paraId="2591374C" w14:textId="77777777" w:rsidR="001C5918" w:rsidRPr="001C5918" w:rsidRDefault="001C5918" w:rsidP="001C5918">
                <w:pPr>
                  <w:spacing w:after="0" w:line="240" w:lineRule="auto"/>
                  <w:rPr>
                    <w:rFonts w:ascii="Times New Roman" w:eastAsia="Times New Roman" w:hAnsi="Times New Roman"/>
                    <w:color w:val="000000"/>
                    <w:sz w:val="18"/>
                    <w:szCs w:val="18"/>
                    <w:lang w:eastAsia="es-CO"/>
                  </w:rPr>
                </w:pPr>
                <w:r w:rsidRPr="001C5918">
                  <w:rPr>
                    <w:rFonts w:ascii="Times New Roman" w:eastAsia="Times New Roman" w:hAnsi="Times New Roman"/>
                    <w:color w:val="000000"/>
                    <w:sz w:val="18"/>
                    <w:szCs w:val="18"/>
                    <w:lang w:eastAsia="es-CO"/>
                  </w:rPr>
                  <w:t>4.8.30</w:t>
                </w:r>
              </w:p>
            </w:tc>
            <w:tc>
              <w:tcPr>
                <w:tcW w:w="1144" w:type="pct"/>
                <w:shd w:val="clear" w:color="auto" w:fill="auto"/>
                <w:vAlign w:val="center"/>
                <w:hideMark/>
              </w:tcPr>
              <w:p w14:paraId="4F031BC0" w14:textId="77777777" w:rsidR="001C5918" w:rsidRPr="001C5918" w:rsidRDefault="001C5918" w:rsidP="001C5918">
                <w:pPr>
                  <w:spacing w:after="0" w:line="240" w:lineRule="auto"/>
                  <w:rPr>
                    <w:rFonts w:ascii="Times New Roman" w:eastAsia="Times New Roman" w:hAnsi="Times New Roman"/>
                    <w:color w:val="000000"/>
                    <w:sz w:val="18"/>
                    <w:szCs w:val="18"/>
                    <w:lang w:eastAsia="es-CO"/>
                  </w:rPr>
                </w:pPr>
                <w:r w:rsidRPr="001C5918">
                  <w:rPr>
                    <w:rFonts w:ascii="Times New Roman" w:eastAsia="Times New Roman" w:hAnsi="Times New Roman"/>
                    <w:color w:val="000000"/>
                    <w:sz w:val="18"/>
                    <w:szCs w:val="18"/>
                    <w:lang w:eastAsia="es-CO"/>
                  </w:rPr>
                  <w:t>Reversión del deterioro del valor</w:t>
                </w:r>
              </w:p>
            </w:tc>
            <w:tc>
              <w:tcPr>
                <w:tcW w:w="1218" w:type="pct"/>
                <w:shd w:val="clear" w:color="auto" w:fill="auto"/>
                <w:vAlign w:val="center"/>
                <w:hideMark/>
              </w:tcPr>
              <w:p w14:paraId="454C76FB" w14:textId="77777777" w:rsidR="001C5918" w:rsidRPr="001C5918" w:rsidRDefault="001C5918" w:rsidP="001C5918">
                <w:pPr>
                  <w:spacing w:after="0" w:line="240" w:lineRule="auto"/>
                  <w:jc w:val="right"/>
                  <w:rPr>
                    <w:rFonts w:ascii="Times New Roman" w:eastAsia="Times New Roman" w:hAnsi="Times New Roman"/>
                    <w:color w:val="000000"/>
                    <w:sz w:val="18"/>
                    <w:szCs w:val="18"/>
                    <w:lang w:eastAsia="es-CO"/>
                  </w:rPr>
                </w:pPr>
                <w:r w:rsidRPr="001C5918">
                  <w:rPr>
                    <w:rFonts w:ascii="Times New Roman" w:eastAsia="Times New Roman" w:hAnsi="Times New Roman"/>
                    <w:color w:val="000000"/>
                    <w:sz w:val="18"/>
                    <w:szCs w:val="18"/>
                    <w:lang w:eastAsia="es-CO"/>
                  </w:rPr>
                  <w:t>49.708.041</w:t>
                </w:r>
              </w:p>
            </w:tc>
            <w:tc>
              <w:tcPr>
                <w:tcW w:w="832" w:type="pct"/>
                <w:shd w:val="clear" w:color="auto" w:fill="auto"/>
                <w:vAlign w:val="center"/>
                <w:hideMark/>
              </w:tcPr>
              <w:p w14:paraId="217D5A0C" w14:textId="77777777" w:rsidR="001C5918" w:rsidRPr="001C5918" w:rsidRDefault="001C5918" w:rsidP="001C5918">
                <w:pPr>
                  <w:spacing w:after="0" w:line="240" w:lineRule="auto"/>
                  <w:jc w:val="right"/>
                  <w:rPr>
                    <w:rFonts w:ascii="Times New Roman" w:eastAsia="Times New Roman" w:hAnsi="Times New Roman"/>
                    <w:color w:val="000000"/>
                    <w:sz w:val="18"/>
                    <w:szCs w:val="18"/>
                    <w:lang w:eastAsia="es-CO"/>
                  </w:rPr>
                </w:pPr>
                <w:r w:rsidRPr="001C5918">
                  <w:rPr>
                    <w:rFonts w:ascii="Times New Roman" w:eastAsia="Times New Roman" w:hAnsi="Times New Roman"/>
                    <w:color w:val="000000"/>
                    <w:sz w:val="18"/>
                    <w:szCs w:val="18"/>
                    <w:lang w:eastAsia="es-CO"/>
                  </w:rPr>
                  <w:t>347.446.843</w:t>
                </w:r>
              </w:p>
            </w:tc>
            <w:tc>
              <w:tcPr>
                <w:tcW w:w="827" w:type="pct"/>
                <w:shd w:val="clear" w:color="auto" w:fill="auto"/>
                <w:vAlign w:val="center"/>
                <w:hideMark/>
              </w:tcPr>
              <w:p w14:paraId="60F4302F" w14:textId="77777777" w:rsidR="001C5918" w:rsidRPr="001C5918" w:rsidRDefault="001C5918" w:rsidP="001C5918">
                <w:pPr>
                  <w:spacing w:after="0" w:line="240" w:lineRule="auto"/>
                  <w:jc w:val="right"/>
                  <w:rPr>
                    <w:rFonts w:ascii="Times New Roman" w:eastAsia="Times New Roman" w:hAnsi="Times New Roman"/>
                    <w:color w:val="000000"/>
                    <w:sz w:val="18"/>
                    <w:szCs w:val="18"/>
                    <w:lang w:eastAsia="es-CO"/>
                  </w:rPr>
                </w:pPr>
                <w:r w:rsidRPr="001C5918">
                  <w:rPr>
                    <w:rFonts w:ascii="Times New Roman" w:eastAsia="Times New Roman" w:hAnsi="Times New Roman"/>
                    <w:color w:val="000000"/>
                    <w:sz w:val="18"/>
                    <w:szCs w:val="18"/>
                    <w:lang w:eastAsia="es-CO"/>
                  </w:rPr>
                  <w:t>-297.738.802</w:t>
                </w:r>
              </w:p>
            </w:tc>
          </w:tr>
          <w:tr w:rsidR="001C5918" w:rsidRPr="001C5918" w14:paraId="670071BA" w14:textId="77777777" w:rsidTr="00F979BB">
            <w:trPr>
              <w:trHeight w:val="340"/>
            </w:trPr>
            <w:tc>
              <w:tcPr>
                <w:tcW w:w="979" w:type="pct"/>
                <w:shd w:val="clear" w:color="auto" w:fill="auto"/>
                <w:vAlign w:val="center"/>
                <w:hideMark/>
              </w:tcPr>
              <w:p w14:paraId="20F7924E" w14:textId="77777777" w:rsidR="001C5918" w:rsidRPr="001C5918" w:rsidRDefault="001C5918" w:rsidP="001C5918">
                <w:pPr>
                  <w:spacing w:after="0" w:line="240" w:lineRule="auto"/>
                  <w:rPr>
                    <w:rFonts w:ascii="Times New Roman" w:eastAsia="Times New Roman" w:hAnsi="Times New Roman"/>
                    <w:color w:val="000000"/>
                    <w:sz w:val="18"/>
                    <w:szCs w:val="18"/>
                    <w:lang w:eastAsia="es-CO"/>
                  </w:rPr>
                </w:pPr>
                <w:r w:rsidRPr="001C5918">
                  <w:rPr>
                    <w:rFonts w:ascii="Times New Roman" w:eastAsia="Times New Roman" w:hAnsi="Times New Roman"/>
                    <w:color w:val="000000"/>
                    <w:sz w:val="18"/>
                    <w:szCs w:val="18"/>
                    <w:lang w:eastAsia="es-CO"/>
                  </w:rPr>
                  <w:t>4.8.31</w:t>
                </w:r>
              </w:p>
            </w:tc>
            <w:tc>
              <w:tcPr>
                <w:tcW w:w="1144" w:type="pct"/>
                <w:shd w:val="clear" w:color="auto" w:fill="auto"/>
                <w:vAlign w:val="center"/>
                <w:hideMark/>
              </w:tcPr>
              <w:p w14:paraId="54B48051" w14:textId="77777777" w:rsidR="001C5918" w:rsidRPr="001C5918" w:rsidRDefault="001C5918" w:rsidP="001C5918">
                <w:pPr>
                  <w:spacing w:after="0" w:line="240" w:lineRule="auto"/>
                  <w:rPr>
                    <w:rFonts w:ascii="Times New Roman" w:eastAsia="Times New Roman" w:hAnsi="Times New Roman"/>
                    <w:color w:val="000000"/>
                    <w:sz w:val="18"/>
                    <w:szCs w:val="18"/>
                    <w:lang w:eastAsia="es-CO"/>
                  </w:rPr>
                </w:pPr>
                <w:r w:rsidRPr="001C5918">
                  <w:rPr>
                    <w:rFonts w:ascii="Times New Roman" w:eastAsia="Times New Roman" w:hAnsi="Times New Roman"/>
                    <w:color w:val="000000"/>
                    <w:sz w:val="18"/>
                    <w:szCs w:val="18"/>
                    <w:lang w:eastAsia="es-CO"/>
                  </w:rPr>
                  <w:t>Reversión de provisiones</w:t>
                </w:r>
              </w:p>
            </w:tc>
            <w:tc>
              <w:tcPr>
                <w:tcW w:w="1218" w:type="pct"/>
                <w:shd w:val="clear" w:color="auto" w:fill="auto"/>
                <w:vAlign w:val="center"/>
                <w:hideMark/>
              </w:tcPr>
              <w:p w14:paraId="2BAB964B" w14:textId="77777777" w:rsidR="001C5918" w:rsidRPr="001C5918" w:rsidRDefault="001C5918" w:rsidP="001C5918">
                <w:pPr>
                  <w:spacing w:after="0" w:line="240" w:lineRule="auto"/>
                  <w:jc w:val="right"/>
                  <w:rPr>
                    <w:rFonts w:ascii="Times New Roman" w:eastAsia="Times New Roman" w:hAnsi="Times New Roman"/>
                    <w:color w:val="000000"/>
                    <w:sz w:val="18"/>
                    <w:szCs w:val="18"/>
                    <w:lang w:eastAsia="es-CO"/>
                  </w:rPr>
                </w:pPr>
                <w:r w:rsidRPr="001C5918">
                  <w:rPr>
                    <w:rFonts w:ascii="Times New Roman" w:eastAsia="Times New Roman" w:hAnsi="Times New Roman"/>
                    <w:color w:val="000000"/>
                    <w:sz w:val="18"/>
                    <w:szCs w:val="18"/>
                    <w:lang w:eastAsia="es-CO"/>
                  </w:rPr>
                  <w:t>146.204.537.715</w:t>
                </w:r>
              </w:p>
            </w:tc>
            <w:tc>
              <w:tcPr>
                <w:tcW w:w="832" w:type="pct"/>
                <w:shd w:val="clear" w:color="auto" w:fill="auto"/>
                <w:vAlign w:val="center"/>
                <w:hideMark/>
              </w:tcPr>
              <w:p w14:paraId="70B1802D" w14:textId="77777777" w:rsidR="001C5918" w:rsidRPr="001C5918" w:rsidRDefault="001C5918" w:rsidP="001C5918">
                <w:pPr>
                  <w:spacing w:after="0" w:line="240" w:lineRule="auto"/>
                  <w:jc w:val="right"/>
                  <w:rPr>
                    <w:rFonts w:ascii="Times New Roman" w:eastAsia="Times New Roman" w:hAnsi="Times New Roman"/>
                    <w:color w:val="000000"/>
                    <w:sz w:val="18"/>
                    <w:szCs w:val="18"/>
                    <w:lang w:eastAsia="es-CO"/>
                  </w:rPr>
                </w:pPr>
                <w:r w:rsidRPr="001C5918">
                  <w:rPr>
                    <w:rFonts w:ascii="Times New Roman" w:eastAsia="Times New Roman" w:hAnsi="Times New Roman"/>
                    <w:color w:val="000000"/>
                    <w:sz w:val="18"/>
                    <w:szCs w:val="18"/>
                    <w:lang w:eastAsia="es-CO"/>
                  </w:rPr>
                  <w:t>0</w:t>
                </w:r>
              </w:p>
            </w:tc>
            <w:tc>
              <w:tcPr>
                <w:tcW w:w="827" w:type="pct"/>
                <w:shd w:val="clear" w:color="auto" w:fill="auto"/>
                <w:vAlign w:val="center"/>
                <w:hideMark/>
              </w:tcPr>
              <w:p w14:paraId="648F42BE" w14:textId="77777777" w:rsidR="001C5918" w:rsidRPr="001C5918" w:rsidRDefault="001C5918" w:rsidP="001C5918">
                <w:pPr>
                  <w:spacing w:after="0" w:line="240" w:lineRule="auto"/>
                  <w:jc w:val="right"/>
                  <w:rPr>
                    <w:rFonts w:ascii="Times New Roman" w:eastAsia="Times New Roman" w:hAnsi="Times New Roman"/>
                    <w:color w:val="000000"/>
                    <w:sz w:val="18"/>
                    <w:szCs w:val="18"/>
                    <w:lang w:eastAsia="es-CO"/>
                  </w:rPr>
                </w:pPr>
                <w:r w:rsidRPr="001C5918">
                  <w:rPr>
                    <w:rFonts w:ascii="Times New Roman" w:eastAsia="Times New Roman" w:hAnsi="Times New Roman"/>
                    <w:color w:val="000000"/>
                    <w:sz w:val="18"/>
                    <w:szCs w:val="18"/>
                    <w:lang w:eastAsia="es-CO"/>
                  </w:rPr>
                  <w:t>146.204.537.715</w:t>
                </w:r>
              </w:p>
            </w:tc>
          </w:tr>
        </w:tbl>
        <w:p w14:paraId="30015E16" w14:textId="77777777" w:rsidR="00F979BB" w:rsidRDefault="22039E43" w:rsidP="00F979BB">
          <w:pPr>
            <w:pStyle w:val="Default"/>
            <w:jc w:val="both"/>
            <w:rPr>
              <w:rFonts w:ascii="Times New Roman" w:hAnsi="Times New Roman" w:cs="Times New Roman"/>
              <w:color w:val="auto"/>
            </w:rPr>
          </w:pPr>
          <w:r w:rsidRPr="02E3AD61">
            <w:rPr>
              <w:rFonts w:ascii="Times New Roman" w:eastAsia="Times New Roman" w:hAnsi="Times New Roman" w:cs="Times New Roman"/>
              <w:sz w:val="16"/>
              <w:szCs w:val="16"/>
            </w:rPr>
            <w:t>Cifras expresadas en pesos</w:t>
          </w:r>
          <w:r w:rsidR="00F979BB" w:rsidRPr="00F979BB">
            <w:rPr>
              <w:rFonts w:ascii="Times New Roman" w:hAnsi="Times New Roman" w:cs="Times New Roman"/>
              <w:color w:val="auto"/>
            </w:rPr>
            <w:t xml:space="preserve"> </w:t>
          </w:r>
        </w:p>
        <w:p w14:paraId="667F4CAF" w14:textId="77777777" w:rsidR="006D4AB9" w:rsidRDefault="006D4AB9" w:rsidP="00F979BB">
          <w:pPr>
            <w:pStyle w:val="Default"/>
            <w:jc w:val="both"/>
            <w:rPr>
              <w:rFonts w:ascii="Times New Roman" w:hAnsi="Times New Roman" w:cs="Times New Roman"/>
              <w:color w:val="auto"/>
            </w:rPr>
          </w:pPr>
        </w:p>
        <w:p w14:paraId="28CD9566" w14:textId="322395B3" w:rsidR="00F979BB" w:rsidRDefault="006D4AB9" w:rsidP="00F979BB">
          <w:pPr>
            <w:pStyle w:val="Default"/>
            <w:jc w:val="both"/>
            <w:rPr>
              <w:rFonts w:ascii="Times New Roman" w:hAnsi="Times New Roman" w:cs="Times New Roman"/>
              <w:color w:val="auto"/>
            </w:rPr>
          </w:pPr>
          <w:r>
            <w:rPr>
              <w:rFonts w:ascii="Times New Roman" w:hAnsi="Times New Roman" w:cs="Times New Roman"/>
              <w:color w:val="auto"/>
            </w:rPr>
            <w:t>C</w:t>
          </w:r>
          <w:r w:rsidRPr="02E3AD61">
            <w:rPr>
              <w:rFonts w:ascii="Times New Roman" w:hAnsi="Times New Roman" w:cs="Times New Roman"/>
              <w:color w:val="auto"/>
            </w:rPr>
            <w:t>omposición de la cuenta Financieros a 31 de diciembre de 2023:</w:t>
          </w:r>
        </w:p>
        <w:tbl>
          <w:tblPr>
            <w:tblpPr w:leftFromText="141" w:rightFromText="141" w:vertAnchor="text" w:horzAnchor="margin" w:tblpY="154"/>
            <w:tblW w:w="5000" w:type="pct"/>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left w:w="70" w:type="dxa"/>
              <w:right w:w="70" w:type="dxa"/>
            </w:tblCellMar>
            <w:tblLook w:val="04A0" w:firstRow="1" w:lastRow="0" w:firstColumn="1" w:lastColumn="0" w:noHBand="0" w:noVBand="1"/>
          </w:tblPr>
          <w:tblGrid>
            <w:gridCol w:w="3147"/>
            <w:gridCol w:w="2070"/>
            <w:gridCol w:w="1871"/>
            <w:gridCol w:w="1871"/>
          </w:tblGrid>
          <w:tr w:rsidR="00513EE1" w:rsidRPr="00F72D35" w14:paraId="72622F73" w14:textId="77777777" w:rsidTr="006D4AB9">
            <w:trPr>
              <w:trHeight w:val="340"/>
            </w:trPr>
            <w:tc>
              <w:tcPr>
                <w:tcW w:w="1756" w:type="pct"/>
                <w:shd w:val="clear" w:color="auto" w:fill="auto"/>
                <w:vAlign w:val="center"/>
                <w:hideMark/>
              </w:tcPr>
              <w:p w14:paraId="3E1A51A6" w14:textId="77777777" w:rsidR="00513EE1" w:rsidRPr="00F72D35" w:rsidRDefault="00513EE1" w:rsidP="00513EE1">
                <w:pPr>
                  <w:spacing w:after="0" w:line="240" w:lineRule="auto"/>
                  <w:jc w:val="center"/>
                  <w:rPr>
                    <w:rFonts w:ascii="Times New Roman" w:eastAsia="Times New Roman" w:hAnsi="Times New Roman"/>
                    <w:b/>
                    <w:bCs/>
                    <w:color w:val="000000"/>
                    <w:sz w:val="18"/>
                    <w:szCs w:val="18"/>
                    <w:lang w:eastAsia="es-CO"/>
                  </w:rPr>
                </w:pPr>
                <w:r w:rsidRPr="00F72D35">
                  <w:rPr>
                    <w:rFonts w:ascii="Times New Roman" w:eastAsia="Times New Roman" w:hAnsi="Times New Roman"/>
                    <w:b/>
                    <w:bCs/>
                    <w:color w:val="000000"/>
                    <w:sz w:val="18"/>
                    <w:szCs w:val="18"/>
                    <w:lang w:eastAsia="es-CO"/>
                  </w:rPr>
                  <w:t>CONCEPTO</w:t>
                </w:r>
              </w:p>
            </w:tc>
            <w:tc>
              <w:tcPr>
                <w:tcW w:w="1155" w:type="pct"/>
                <w:shd w:val="clear" w:color="auto" w:fill="auto"/>
                <w:vAlign w:val="center"/>
                <w:hideMark/>
              </w:tcPr>
              <w:p w14:paraId="12BB3010" w14:textId="77777777" w:rsidR="00513EE1" w:rsidRPr="00F72D35" w:rsidRDefault="00513EE1" w:rsidP="00513EE1">
                <w:pPr>
                  <w:spacing w:after="0" w:line="240" w:lineRule="auto"/>
                  <w:jc w:val="center"/>
                  <w:rPr>
                    <w:rFonts w:ascii="Times New Roman" w:eastAsia="Times New Roman" w:hAnsi="Times New Roman"/>
                    <w:b/>
                    <w:bCs/>
                    <w:color w:val="000000"/>
                    <w:sz w:val="18"/>
                    <w:szCs w:val="18"/>
                    <w:lang w:eastAsia="es-CO"/>
                  </w:rPr>
                </w:pPr>
                <w:r w:rsidRPr="00F72D35">
                  <w:rPr>
                    <w:rFonts w:ascii="Times New Roman" w:eastAsia="Times New Roman" w:hAnsi="Times New Roman"/>
                    <w:b/>
                    <w:bCs/>
                    <w:color w:val="000000"/>
                    <w:sz w:val="18"/>
                    <w:szCs w:val="18"/>
                    <w:lang w:eastAsia="es-CO"/>
                  </w:rPr>
                  <w:t>2023</w:t>
                </w:r>
              </w:p>
            </w:tc>
            <w:tc>
              <w:tcPr>
                <w:tcW w:w="1044" w:type="pct"/>
                <w:shd w:val="clear" w:color="auto" w:fill="auto"/>
                <w:vAlign w:val="center"/>
                <w:hideMark/>
              </w:tcPr>
              <w:p w14:paraId="322F98BA" w14:textId="77777777" w:rsidR="00513EE1" w:rsidRPr="00F72D35" w:rsidRDefault="00513EE1" w:rsidP="00513EE1">
                <w:pPr>
                  <w:spacing w:after="0" w:line="240" w:lineRule="auto"/>
                  <w:jc w:val="center"/>
                  <w:rPr>
                    <w:rFonts w:ascii="Times New Roman" w:eastAsia="Times New Roman" w:hAnsi="Times New Roman"/>
                    <w:b/>
                    <w:bCs/>
                    <w:color w:val="000000"/>
                    <w:sz w:val="18"/>
                    <w:szCs w:val="18"/>
                    <w:lang w:eastAsia="es-CO"/>
                  </w:rPr>
                </w:pPr>
                <w:r w:rsidRPr="00F72D35">
                  <w:rPr>
                    <w:rFonts w:ascii="Times New Roman" w:eastAsia="Times New Roman" w:hAnsi="Times New Roman"/>
                    <w:b/>
                    <w:bCs/>
                    <w:color w:val="000000"/>
                    <w:sz w:val="18"/>
                    <w:szCs w:val="18"/>
                    <w:lang w:eastAsia="es-CO"/>
                  </w:rPr>
                  <w:t>2022</w:t>
                </w:r>
              </w:p>
            </w:tc>
            <w:tc>
              <w:tcPr>
                <w:tcW w:w="1044" w:type="pct"/>
                <w:shd w:val="clear" w:color="auto" w:fill="auto"/>
                <w:vAlign w:val="center"/>
                <w:hideMark/>
              </w:tcPr>
              <w:p w14:paraId="6702D2E9" w14:textId="77777777" w:rsidR="00513EE1" w:rsidRPr="00F72D35" w:rsidRDefault="00513EE1" w:rsidP="00513EE1">
                <w:pPr>
                  <w:spacing w:after="0" w:line="240" w:lineRule="auto"/>
                  <w:jc w:val="center"/>
                  <w:rPr>
                    <w:rFonts w:ascii="Times New Roman" w:eastAsia="Times New Roman" w:hAnsi="Times New Roman"/>
                    <w:b/>
                    <w:bCs/>
                    <w:color w:val="000000"/>
                    <w:sz w:val="18"/>
                    <w:szCs w:val="18"/>
                    <w:lang w:eastAsia="es-CO"/>
                  </w:rPr>
                </w:pPr>
                <w:r w:rsidRPr="00F72D35">
                  <w:rPr>
                    <w:rFonts w:ascii="Times New Roman" w:eastAsia="Times New Roman" w:hAnsi="Times New Roman"/>
                    <w:b/>
                    <w:bCs/>
                    <w:color w:val="000000"/>
                    <w:sz w:val="18"/>
                    <w:szCs w:val="18"/>
                    <w:lang w:eastAsia="es-CO"/>
                  </w:rPr>
                  <w:t>VALOR VARIACIÓN</w:t>
                </w:r>
              </w:p>
            </w:tc>
          </w:tr>
          <w:tr w:rsidR="00513EE1" w:rsidRPr="00F72D35" w14:paraId="0F6A0D0B" w14:textId="77777777" w:rsidTr="006D4AB9">
            <w:trPr>
              <w:trHeight w:val="340"/>
            </w:trPr>
            <w:tc>
              <w:tcPr>
                <w:tcW w:w="1756" w:type="pct"/>
                <w:shd w:val="clear" w:color="auto" w:fill="auto"/>
                <w:vAlign w:val="center"/>
                <w:hideMark/>
              </w:tcPr>
              <w:p w14:paraId="3BC343D1" w14:textId="77777777" w:rsidR="00513EE1" w:rsidRPr="00F72D35" w:rsidRDefault="00513EE1" w:rsidP="00513EE1">
                <w:pPr>
                  <w:spacing w:after="0" w:line="240" w:lineRule="auto"/>
                  <w:rPr>
                    <w:rFonts w:ascii="Times New Roman" w:eastAsia="Times New Roman" w:hAnsi="Times New Roman"/>
                    <w:b/>
                    <w:bCs/>
                    <w:color w:val="000000"/>
                    <w:sz w:val="18"/>
                    <w:szCs w:val="18"/>
                    <w:lang w:eastAsia="es-CO"/>
                  </w:rPr>
                </w:pPr>
                <w:r w:rsidRPr="00F72D35">
                  <w:rPr>
                    <w:rFonts w:ascii="Times New Roman" w:eastAsia="Times New Roman" w:hAnsi="Times New Roman"/>
                    <w:b/>
                    <w:bCs/>
                    <w:color w:val="000000"/>
                    <w:sz w:val="18"/>
                    <w:szCs w:val="18"/>
                    <w:lang w:eastAsia="es-CO"/>
                  </w:rPr>
                  <w:t>FINANCIEROS</w:t>
                </w:r>
              </w:p>
            </w:tc>
            <w:tc>
              <w:tcPr>
                <w:tcW w:w="1155" w:type="pct"/>
                <w:shd w:val="clear" w:color="auto" w:fill="auto"/>
                <w:vAlign w:val="center"/>
                <w:hideMark/>
              </w:tcPr>
              <w:p w14:paraId="4D0D7846" w14:textId="77777777" w:rsidR="00513EE1" w:rsidRPr="00F72D35" w:rsidRDefault="00513EE1" w:rsidP="00513EE1">
                <w:pPr>
                  <w:spacing w:after="0" w:line="240" w:lineRule="auto"/>
                  <w:jc w:val="right"/>
                  <w:rPr>
                    <w:rFonts w:ascii="Times New Roman" w:eastAsia="Times New Roman" w:hAnsi="Times New Roman"/>
                    <w:b/>
                    <w:bCs/>
                    <w:color w:val="000000"/>
                    <w:sz w:val="18"/>
                    <w:szCs w:val="18"/>
                    <w:lang w:eastAsia="es-CO"/>
                  </w:rPr>
                </w:pPr>
                <w:r w:rsidRPr="00F72D35">
                  <w:rPr>
                    <w:rFonts w:ascii="Times New Roman" w:eastAsia="Times New Roman" w:hAnsi="Times New Roman"/>
                    <w:b/>
                    <w:bCs/>
                    <w:color w:val="000000"/>
                    <w:sz w:val="18"/>
                    <w:szCs w:val="18"/>
                    <w:lang w:eastAsia="es-CO"/>
                  </w:rPr>
                  <w:t>806.777.861.755</w:t>
                </w:r>
              </w:p>
            </w:tc>
            <w:tc>
              <w:tcPr>
                <w:tcW w:w="1044" w:type="pct"/>
                <w:shd w:val="clear" w:color="auto" w:fill="auto"/>
                <w:vAlign w:val="center"/>
                <w:hideMark/>
              </w:tcPr>
              <w:p w14:paraId="18CBFCFC" w14:textId="77777777" w:rsidR="00513EE1" w:rsidRPr="00F72D35" w:rsidRDefault="00513EE1" w:rsidP="00513EE1">
                <w:pPr>
                  <w:spacing w:after="0" w:line="240" w:lineRule="auto"/>
                  <w:jc w:val="right"/>
                  <w:rPr>
                    <w:rFonts w:ascii="Times New Roman" w:eastAsia="Times New Roman" w:hAnsi="Times New Roman"/>
                    <w:b/>
                    <w:bCs/>
                    <w:color w:val="000000"/>
                    <w:sz w:val="18"/>
                    <w:szCs w:val="18"/>
                    <w:lang w:eastAsia="es-CO"/>
                  </w:rPr>
                </w:pPr>
                <w:r w:rsidRPr="00F72D35">
                  <w:rPr>
                    <w:rFonts w:ascii="Times New Roman" w:eastAsia="Times New Roman" w:hAnsi="Times New Roman"/>
                    <w:b/>
                    <w:bCs/>
                    <w:color w:val="000000"/>
                    <w:sz w:val="18"/>
                    <w:szCs w:val="18"/>
                    <w:lang w:eastAsia="es-CO"/>
                  </w:rPr>
                  <w:t>32.613.691.713</w:t>
                </w:r>
              </w:p>
            </w:tc>
            <w:tc>
              <w:tcPr>
                <w:tcW w:w="1044" w:type="pct"/>
                <w:shd w:val="clear" w:color="auto" w:fill="auto"/>
                <w:vAlign w:val="center"/>
                <w:hideMark/>
              </w:tcPr>
              <w:p w14:paraId="64B50412" w14:textId="77777777" w:rsidR="00513EE1" w:rsidRPr="00F72D35" w:rsidRDefault="00513EE1" w:rsidP="00513EE1">
                <w:pPr>
                  <w:spacing w:after="0" w:line="240" w:lineRule="auto"/>
                  <w:jc w:val="right"/>
                  <w:rPr>
                    <w:rFonts w:ascii="Times New Roman" w:eastAsia="Times New Roman" w:hAnsi="Times New Roman"/>
                    <w:b/>
                    <w:bCs/>
                    <w:color w:val="000000"/>
                    <w:sz w:val="18"/>
                    <w:szCs w:val="18"/>
                    <w:lang w:eastAsia="es-CO"/>
                  </w:rPr>
                </w:pPr>
                <w:r w:rsidRPr="00F72D35">
                  <w:rPr>
                    <w:rFonts w:ascii="Times New Roman" w:eastAsia="Times New Roman" w:hAnsi="Times New Roman"/>
                    <w:b/>
                    <w:bCs/>
                    <w:color w:val="000000"/>
                    <w:sz w:val="18"/>
                    <w:szCs w:val="18"/>
                    <w:lang w:eastAsia="es-CO"/>
                  </w:rPr>
                  <w:t>774.164.170.042</w:t>
                </w:r>
              </w:p>
            </w:tc>
          </w:tr>
          <w:tr w:rsidR="00513EE1" w:rsidRPr="00F72D35" w14:paraId="05C289EE" w14:textId="77777777" w:rsidTr="006D4AB9">
            <w:trPr>
              <w:trHeight w:val="340"/>
            </w:trPr>
            <w:tc>
              <w:tcPr>
                <w:tcW w:w="1756" w:type="pct"/>
                <w:shd w:val="clear" w:color="auto" w:fill="auto"/>
                <w:vAlign w:val="center"/>
                <w:hideMark/>
              </w:tcPr>
              <w:p w14:paraId="7283250D" w14:textId="77777777" w:rsidR="00513EE1" w:rsidRPr="00F72D35" w:rsidRDefault="00513EE1" w:rsidP="00513EE1">
                <w:pPr>
                  <w:spacing w:after="0" w:line="240" w:lineRule="auto"/>
                  <w:rPr>
                    <w:rFonts w:ascii="Times New Roman" w:eastAsia="Times New Roman" w:hAnsi="Times New Roman"/>
                    <w:color w:val="000000"/>
                    <w:sz w:val="18"/>
                    <w:szCs w:val="18"/>
                    <w:lang w:eastAsia="es-CO"/>
                  </w:rPr>
                </w:pPr>
                <w:r w:rsidRPr="00F72D35">
                  <w:rPr>
                    <w:rFonts w:ascii="Times New Roman" w:eastAsia="Times New Roman" w:hAnsi="Times New Roman"/>
                    <w:color w:val="000000"/>
                    <w:sz w:val="18"/>
                    <w:szCs w:val="18"/>
                    <w:lang w:eastAsia="es-CO"/>
                  </w:rPr>
                  <w:t>Intereses sobre depósitos en instituciones financieras</w:t>
                </w:r>
              </w:p>
            </w:tc>
            <w:tc>
              <w:tcPr>
                <w:tcW w:w="1155" w:type="pct"/>
                <w:shd w:val="clear" w:color="auto" w:fill="auto"/>
                <w:vAlign w:val="center"/>
                <w:hideMark/>
              </w:tcPr>
              <w:p w14:paraId="2C315D8F" w14:textId="77777777" w:rsidR="00513EE1" w:rsidRPr="00F72D35" w:rsidRDefault="00513EE1" w:rsidP="00513EE1">
                <w:pPr>
                  <w:spacing w:after="0" w:line="240" w:lineRule="auto"/>
                  <w:jc w:val="right"/>
                  <w:rPr>
                    <w:rFonts w:ascii="Times New Roman" w:eastAsia="Times New Roman" w:hAnsi="Times New Roman"/>
                    <w:color w:val="000000"/>
                    <w:sz w:val="18"/>
                    <w:szCs w:val="18"/>
                    <w:lang w:eastAsia="es-CO"/>
                  </w:rPr>
                </w:pPr>
                <w:r w:rsidRPr="00F72D35">
                  <w:rPr>
                    <w:rFonts w:ascii="Times New Roman" w:eastAsia="Times New Roman" w:hAnsi="Times New Roman"/>
                    <w:color w:val="000000"/>
                    <w:sz w:val="18"/>
                    <w:szCs w:val="18"/>
                    <w:lang w:eastAsia="es-CO"/>
                  </w:rPr>
                  <w:t>21.826.684</w:t>
                </w:r>
              </w:p>
            </w:tc>
            <w:tc>
              <w:tcPr>
                <w:tcW w:w="1044" w:type="pct"/>
                <w:shd w:val="clear" w:color="auto" w:fill="auto"/>
                <w:vAlign w:val="center"/>
                <w:hideMark/>
              </w:tcPr>
              <w:p w14:paraId="7CDEF7E9" w14:textId="77777777" w:rsidR="00513EE1" w:rsidRPr="00F72D35" w:rsidRDefault="00513EE1" w:rsidP="00513EE1">
                <w:pPr>
                  <w:spacing w:after="0" w:line="240" w:lineRule="auto"/>
                  <w:jc w:val="right"/>
                  <w:rPr>
                    <w:rFonts w:ascii="Times New Roman" w:eastAsia="Times New Roman" w:hAnsi="Times New Roman"/>
                    <w:color w:val="000000"/>
                    <w:sz w:val="18"/>
                    <w:szCs w:val="18"/>
                    <w:lang w:eastAsia="es-CO"/>
                  </w:rPr>
                </w:pPr>
                <w:r w:rsidRPr="00F72D35">
                  <w:rPr>
                    <w:rFonts w:ascii="Times New Roman" w:eastAsia="Times New Roman" w:hAnsi="Times New Roman"/>
                    <w:color w:val="000000"/>
                    <w:sz w:val="18"/>
                    <w:szCs w:val="18"/>
                    <w:lang w:eastAsia="es-CO"/>
                  </w:rPr>
                  <w:t>20.954.306</w:t>
                </w:r>
              </w:p>
            </w:tc>
            <w:tc>
              <w:tcPr>
                <w:tcW w:w="1044" w:type="pct"/>
                <w:shd w:val="clear" w:color="auto" w:fill="auto"/>
                <w:vAlign w:val="center"/>
                <w:hideMark/>
              </w:tcPr>
              <w:p w14:paraId="10D991FE" w14:textId="77777777" w:rsidR="00513EE1" w:rsidRPr="00F72D35" w:rsidRDefault="00513EE1" w:rsidP="00513EE1">
                <w:pPr>
                  <w:spacing w:after="0" w:line="240" w:lineRule="auto"/>
                  <w:jc w:val="right"/>
                  <w:rPr>
                    <w:rFonts w:ascii="Times New Roman" w:eastAsia="Times New Roman" w:hAnsi="Times New Roman"/>
                    <w:color w:val="000000"/>
                    <w:sz w:val="18"/>
                    <w:szCs w:val="18"/>
                    <w:lang w:eastAsia="es-CO"/>
                  </w:rPr>
                </w:pPr>
                <w:r w:rsidRPr="00F72D35">
                  <w:rPr>
                    <w:rFonts w:ascii="Times New Roman" w:eastAsia="Times New Roman" w:hAnsi="Times New Roman"/>
                    <w:color w:val="000000"/>
                    <w:sz w:val="18"/>
                    <w:szCs w:val="18"/>
                    <w:lang w:eastAsia="es-CO"/>
                  </w:rPr>
                  <w:t>872.378</w:t>
                </w:r>
              </w:p>
            </w:tc>
          </w:tr>
          <w:tr w:rsidR="00513EE1" w:rsidRPr="00F72D35" w14:paraId="65E32751" w14:textId="77777777" w:rsidTr="006D4AB9">
            <w:trPr>
              <w:trHeight w:val="340"/>
            </w:trPr>
            <w:tc>
              <w:tcPr>
                <w:tcW w:w="1756" w:type="pct"/>
                <w:shd w:val="clear" w:color="auto" w:fill="auto"/>
                <w:vAlign w:val="center"/>
                <w:hideMark/>
              </w:tcPr>
              <w:p w14:paraId="13321BF9" w14:textId="77777777" w:rsidR="00513EE1" w:rsidRPr="00F72D35" w:rsidRDefault="00513EE1" w:rsidP="00513EE1">
                <w:pPr>
                  <w:spacing w:after="0" w:line="240" w:lineRule="auto"/>
                  <w:rPr>
                    <w:rFonts w:ascii="Times New Roman" w:eastAsia="Times New Roman" w:hAnsi="Times New Roman"/>
                    <w:color w:val="000000"/>
                    <w:sz w:val="18"/>
                    <w:szCs w:val="18"/>
                    <w:lang w:eastAsia="es-CO"/>
                  </w:rPr>
                </w:pPr>
                <w:r w:rsidRPr="00F72D35">
                  <w:rPr>
                    <w:rFonts w:ascii="Times New Roman" w:eastAsia="Times New Roman" w:hAnsi="Times New Roman"/>
                    <w:color w:val="000000"/>
                    <w:sz w:val="18"/>
                    <w:szCs w:val="18"/>
                    <w:lang w:eastAsia="es-CO"/>
                  </w:rPr>
                  <w:t>Créditos judiciales</w:t>
                </w:r>
              </w:p>
            </w:tc>
            <w:tc>
              <w:tcPr>
                <w:tcW w:w="1155" w:type="pct"/>
                <w:shd w:val="clear" w:color="auto" w:fill="auto"/>
                <w:vAlign w:val="center"/>
                <w:hideMark/>
              </w:tcPr>
              <w:p w14:paraId="0467CEE4" w14:textId="77777777" w:rsidR="00513EE1" w:rsidRPr="00F72D35" w:rsidRDefault="00513EE1" w:rsidP="00513EE1">
                <w:pPr>
                  <w:spacing w:after="0" w:line="240" w:lineRule="auto"/>
                  <w:jc w:val="right"/>
                  <w:rPr>
                    <w:rFonts w:ascii="Times New Roman" w:eastAsia="Times New Roman" w:hAnsi="Times New Roman"/>
                    <w:color w:val="000000"/>
                    <w:sz w:val="18"/>
                    <w:szCs w:val="18"/>
                    <w:lang w:eastAsia="es-CO"/>
                  </w:rPr>
                </w:pPr>
                <w:r w:rsidRPr="00F72D35">
                  <w:rPr>
                    <w:rFonts w:ascii="Times New Roman" w:eastAsia="Times New Roman" w:hAnsi="Times New Roman"/>
                    <w:color w:val="000000"/>
                    <w:sz w:val="18"/>
                    <w:szCs w:val="18"/>
                    <w:lang w:eastAsia="es-CO"/>
                  </w:rPr>
                  <w:t>131.315.936</w:t>
                </w:r>
              </w:p>
            </w:tc>
            <w:tc>
              <w:tcPr>
                <w:tcW w:w="1044" w:type="pct"/>
                <w:shd w:val="clear" w:color="auto" w:fill="auto"/>
                <w:vAlign w:val="center"/>
                <w:hideMark/>
              </w:tcPr>
              <w:p w14:paraId="1D78B37B" w14:textId="77777777" w:rsidR="00513EE1" w:rsidRPr="00F72D35" w:rsidRDefault="00513EE1" w:rsidP="00513EE1">
                <w:pPr>
                  <w:spacing w:after="0" w:line="240" w:lineRule="auto"/>
                  <w:jc w:val="right"/>
                  <w:rPr>
                    <w:rFonts w:ascii="Times New Roman" w:eastAsia="Times New Roman" w:hAnsi="Times New Roman"/>
                    <w:color w:val="000000"/>
                    <w:sz w:val="18"/>
                    <w:szCs w:val="18"/>
                    <w:lang w:eastAsia="es-CO"/>
                  </w:rPr>
                </w:pPr>
                <w:r w:rsidRPr="00F72D35">
                  <w:rPr>
                    <w:rFonts w:ascii="Times New Roman" w:eastAsia="Times New Roman" w:hAnsi="Times New Roman"/>
                    <w:color w:val="000000"/>
                    <w:sz w:val="18"/>
                    <w:szCs w:val="18"/>
                    <w:lang w:eastAsia="es-CO"/>
                  </w:rPr>
                  <w:t>0</w:t>
                </w:r>
              </w:p>
            </w:tc>
            <w:tc>
              <w:tcPr>
                <w:tcW w:w="1044" w:type="pct"/>
                <w:shd w:val="clear" w:color="auto" w:fill="auto"/>
                <w:vAlign w:val="center"/>
                <w:hideMark/>
              </w:tcPr>
              <w:p w14:paraId="3A8A476E" w14:textId="77777777" w:rsidR="00513EE1" w:rsidRPr="00F72D35" w:rsidRDefault="00513EE1" w:rsidP="00513EE1">
                <w:pPr>
                  <w:spacing w:after="0" w:line="240" w:lineRule="auto"/>
                  <w:jc w:val="right"/>
                  <w:rPr>
                    <w:rFonts w:ascii="Times New Roman" w:eastAsia="Times New Roman" w:hAnsi="Times New Roman"/>
                    <w:color w:val="000000"/>
                    <w:sz w:val="18"/>
                    <w:szCs w:val="18"/>
                    <w:lang w:eastAsia="es-CO"/>
                  </w:rPr>
                </w:pPr>
                <w:r w:rsidRPr="00F72D35">
                  <w:rPr>
                    <w:rFonts w:ascii="Times New Roman" w:eastAsia="Times New Roman" w:hAnsi="Times New Roman"/>
                    <w:color w:val="000000"/>
                    <w:sz w:val="18"/>
                    <w:szCs w:val="18"/>
                    <w:lang w:eastAsia="es-CO"/>
                  </w:rPr>
                  <w:t>131.315.936</w:t>
                </w:r>
              </w:p>
            </w:tc>
          </w:tr>
          <w:tr w:rsidR="00513EE1" w:rsidRPr="00F72D35" w14:paraId="6FD17B85" w14:textId="77777777" w:rsidTr="006D4AB9">
            <w:trPr>
              <w:trHeight w:val="340"/>
            </w:trPr>
            <w:tc>
              <w:tcPr>
                <w:tcW w:w="1756" w:type="pct"/>
                <w:shd w:val="clear" w:color="auto" w:fill="auto"/>
                <w:vAlign w:val="center"/>
                <w:hideMark/>
              </w:tcPr>
              <w:p w14:paraId="56683EE4" w14:textId="77777777" w:rsidR="00513EE1" w:rsidRPr="00F72D35" w:rsidRDefault="00513EE1" w:rsidP="00513EE1">
                <w:pPr>
                  <w:spacing w:after="0" w:line="240" w:lineRule="auto"/>
                  <w:rPr>
                    <w:rFonts w:ascii="Times New Roman" w:eastAsia="Times New Roman" w:hAnsi="Times New Roman"/>
                    <w:color w:val="000000"/>
                    <w:sz w:val="18"/>
                    <w:szCs w:val="18"/>
                    <w:lang w:eastAsia="es-CO"/>
                  </w:rPr>
                </w:pPr>
                <w:r w:rsidRPr="00F72D35">
                  <w:rPr>
                    <w:rFonts w:ascii="Times New Roman" w:eastAsia="Times New Roman" w:hAnsi="Times New Roman"/>
                    <w:color w:val="000000"/>
                    <w:sz w:val="18"/>
                    <w:szCs w:val="18"/>
                    <w:lang w:eastAsia="es-CO"/>
                  </w:rPr>
                  <w:t>Rendimientos sobre recursos entregados en administración</w:t>
                </w:r>
              </w:p>
            </w:tc>
            <w:tc>
              <w:tcPr>
                <w:tcW w:w="1155" w:type="pct"/>
                <w:shd w:val="clear" w:color="auto" w:fill="auto"/>
                <w:vAlign w:val="center"/>
                <w:hideMark/>
              </w:tcPr>
              <w:p w14:paraId="7841A351" w14:textId="77777777" w:rsidR="00513EE1" w:rsidRPr="00F72D35" w:rsidRDefault="00513EE1" w:rsidP="00513EE1">
                <w:pPr>
                  <w:spacing w:after="0" w:line="240" w:lineRule="auto"/>
                  <w:jc w:val="right"/>
                  <w:rPr>
                    <w:rFonts w:ascii="Times New Roman" w:eastAsia="Times New Roman" w:hAnsi="Times New Roman"/>
                    <w:color w:val="000000"/>
                    <w:sz w:val="18"/>
                    <w:szCs w:val="18"/>
                    <w:lang w:eastAsia="es-CO"/>
                  </w:rPr>
                </w:pPr>
                <w:r w:rsidRPr="00F72D35">
                  <w:rPr>
                    <w:rFonts w:ascii="Times New Roman" w:eastAsia="Times New Roman" w:hAnsi="Times New Roman"/>
                    <w:color w:val="000000"/>
                    <w:sz w:val="18"/>
                    <w:szCs w:val="18"/>
                    <w:lang w:eastAsia="es-CO"/>
                  </w:rPr>
                  <w:t>788.392.888.451</w:t>
                </w:r>
              </w:p>
            </w:tc>
            <w:tc>
              <w:tcPr>
                <w:tcW w:w="1044" w:type="pct"/>
                <w:shd w:val="clear" w:color="auto" w:fill="auto"/>
                <w:vAlign w:val="center"/>
                <w:hideMark/>
              </w:tcPr>
              <w:p w14:paraId="09234940" w14:textId="77777777" w:rsidR="00513EE1" w:rsidRPr="00F72D35" w:rsidRDefault="00513EE1" w:rsidP="00513EE1">
                <w:pPr>
                  <w:spacing w:after="0" w:line="240" w:lineRule="auto"/>
                  <w:jc w:val="right"/>
                  <w:rPr>
                    <w:rFonts w:ascii="Times New Roman" w:eastAsia="Times New Roman" w:hAnsi="Times New Roman"/>
                    <w:color w:val="000000"/>
                    <w:sz w:val="18"/>
                    <w:szCs w:val="18"/>
                    <w:lang w:eastAsia="es-CO"/>
                  </w:rPr>
                </w:pPr>
                <w:r w:rsidRPr="00F72D35">
                  <w:rPr>
                    <w:rFonts w:ascii="Times New Roman" w:eastAsia="Times New Roman" w:hAnsi="Times New Roman"/>
                    <w:color w:val="000000"/>
                    <w:sz w:val="18"/>
                    <w:szCs w:val="18"/>
                    <w:lang w:eastAsia="es-CO"/>
                  </w:rPr>
                  <w:t>26.593.639.878</w:t>
                </w:r>
              </w:p>
            </w:tc>
            <w:tc>
              <w:tcPr>
                <w:tcW w:w="1044" w:type="pct"/>
                <w:shd w:val="clear" w:color="auto" w:fill="auto"/>
                <w:vAlign w:val="center"/>
                <w:hideMark/>
              </w:tcPr>
              <w:p w14:paraId="29BDC23E" w14:textId="77777777" w:rsidR="00513EE1" w:rsidRPr="00F72D35" w:rsidRDefault="00513EE1" w:rsidP="00513EE1">
                <w:pPr>
                  <w:spacing w:after="0" w:line="240" w:lineRule="auto"/>
                  <w:jc w:val="right"/>
                  <w:rPr>
                    <w:rFonts w:ascii="Times New Roman" w:eastAsia="Times New Roman" w:hAnsi="Times New Roman"/>
                    <w:color w:val="000000"/>
                    <w:sz w:val="18"/>
                    <w:szCs w:val="18"/>
                    <w:lang w:eastAsia="es-CO"/>
                  </w:rPr>
                </w:pPr>
                <w:r w:rsidRPr="00F72D35">
                  <w:rPr>
                    <w:rFonts w:ascii="Times New Roman" w:eastAsia="Times New Roman" w:hAnsi="Times New Roman"/>
                    <w:color w:val="000000"/>
                    <w:sz w:val="18"/>
                    <w:szCs w:val="18"/>
                    <w:lang w:eastAsia="es-CO"/>
                  </w:rPr>
                  <w:t>761.799.248.573</w:t>
                </w:r>
              </w:p>
            </w:tc>
          </w:tr>
          <w:tr w:rsidR="00513EE1" w:rsidRPr="00F72D35" w14:paraId="147AA5D0" w14:textId="77777777" w:rsidTr="006D4AB9">
            <w:trPr>
              <w:trHeight w:val="340"/>
            </w:trPr>
            <w:tc>
              <w:tcPr>
                <w:tcW w:w="1756" w:type="pct"/>
                <w:shd w:val="clear" w:color="auto" w:fill="auto"/>
                <w:vAlign w:val="center"/>
                <w:hideMark/>
              </w:tcPr>
              <w:p w14:paraId="527C8398" w14:textId="77777777" w:rsidR="00513EE1" w:rsidRPr="00F72D35" w:rsidRDefault="00513EE1" w:rsidP="00513EE1">
                <w:pPr>
                  <w:spacing w:after="0" w:line="240" w:lineRule="auto"/>
                  <w:rPr>
                    <w:rFonts w:ascii="Times New Roman" w:eastAsia="Times New Roman" w:hAnsi="Times New Roman"/>
                    <w:color w:val="000000"/>
                    <w:sz w:val="18"/>
                    <w:szCs w:val="18"/>
                    <w:lang w:eastAsia="es-CO"/>
                  </w:rPr>
                </w:pPr>
                <w:r w:rsidRPr="00F72D35">
                  <w:rPr>
                    <w:rFonts w:ascii="Times New Roman" w:eastAsia="Times New Roman" w:hAnsi="Times New Roman"/>
                    <w:color w:val="000000"/>
                    <w:sz w:val="18"/>
                    <w:szCs w:val="18"/>
                    <w:lang w:eastAsia="es-CO"/>
                  </w:rPr>
                  <w:t>Otros ingresos financieros</w:t>
                </w:r>
              </w:p>
            </w:tc>
            <w:tc>
              <w:tcPr>
                <w:tcW w:w="1155" w:type="pct"/>
                <w:shd w:val="clear" w:color="auto" w:fill="auto"/>
                <w:vAlign w:val="center"/>
                <w:hideMark/>
              </w:tcPr>
              <w:p w14:paraId="0DD135D0" w14:textId="77777777" w:rsidR="00513EE1" w:rsidRPr="00F72D35" w:rsidRDefault="00513EE1" w:rsidP="00513EE1">
                <w:pPr>
                  <w:spacing w:after="0" w:line="240" w:lineRule="auto"/>
                  <w:jc w:val="right"/>
                  <w:rPr>
                    <w:rFonts w:ascii="Times New Roman" w:eastAsia="Times New Roman" w:hAnsi="Times New Roman"/>
                    <w:color w:val="000000"/>
                    <w:sz w:val="18"/>
                    <w:szCs w:val="18"/>
                    <w:lang w:eastAsia="es-CO"/>
                  </w:rPr>
                </w:pPr>
                <w:r w:rsidRPr="00F72D35">
                  <w:rPr>
                    <w:rFonts w:ascii="Times New Roman" w:eastAsia="Times New Roman" w:hAnsi="Times New Roman"/>
                    <w:color w:val="000000"/>
                    <w:sz w:val="18"/>
                    <w:szCs w:val="18"/>
                    <w:lang w:eastAsia="es-CO"/>
                  </w:rPr>
                  <w:t>18.231.830.684</w:t>
                </w:r>
              </w:p>
            </w:tc>
            <w:tc>
              <w:tcPr>
                <w:tcW w:w="1044" w:type="pct"/>
                <w:shd w:val="clear" w:color="auto" w:fill="auto"/>
                <w:vAlign w:val="center"/>
                <w:hideMark/>
              </w:tcPr>
              <w:p w14:paraId="2E0A2D01" w14:textId="77777777" w:rsidR="00513EE1" w:rsidRPr="00F72D35" w:rsidRDefault="00513EE1" w:rsidP="00513EE1">
                <w:pPr>
                  <w:spacing w:after="0" w:line="240" w:lineRule="auto"/>
                  <w:jc w:val="right"/>
                  <w:rPr>
                    <w:rFonts w:ascii="Times New Roman" w:eastAsia="Times New Roman" w:hAnsi="Times New Roman"/>
                    <w:color w:val="000000"/>
                    <w:sz w:val="18"/>
                    <w:szCs w:val="18"/>
                    <w:lang w:eastAsia="es-CO"/>
                  </w:rPr>
                </w:pPr>
                <w:r w:rsidRPr="00F72D35">
                  <w:rPr>
                    <w:rFonts w:ascii="Times New Roman" w:eastAsia="Times New Roman" w:hAnsi="Times New Roman"/>
                    <w:color w:val="000000"/>
                    <w:sz w:val="18"/>
                    <w:szCs w:val="18"/>
                    <w:lang w:eastAsia="es-CO"/>
                  </w:rPr>
                  <w:t>5.999.097.529</w:t>
                </w:r>
              </w:p>
            </w:tc>
            <w:tc>
              <w:tcPr>
                <w:tcW w:w="1044" w:type="pct"/>
                <w:shd w:val="clear" w:color="auto" w:fill="auto"/>
                <w:vAlign w:val="center"/>
                <w:hideMark/>
              </w:tcPr>
              <w:p w14:paraId="576D3AEE" w14:textId="77777777" w:rsidR="00513EE1" w:rsidRPr="00F72D35" w:rsidRDefault="00513EE1" w:rsidP="00513EE1">
                <w:pPr>
                  <w:spacing w:after="0" w:line="240" w:lineRule="auto"/>
                  <w:jc w:val="right"/>
                  <w:rPr>
                    <w:rFonts w:ascii="Times New Roman" w:eastAsia="Times New Roman" w:hAnsi="Times New Roman"/>
                    <w:color w:val="000000"/>
                    <w:sz w:val="18"/>
                    <w:szCs w:val="18"/>
                    <w:lang w:eastAsia="es-CO"/>
                  </w:rPr>
                </w:pPr>
                <w:r w:rsidRPr="00F72D35">
                  <w:rPr>
                    <w:rFonts w:ascii="Times New Roman" w:eastAsia="Times New Roman" w:hAnsi="Times New Roman"/>
                    <w:color w:val="000000"/>
                    <w:sz w:val="18"/>
                    <w:szCs w:val="18"/>
                    <w:lang w:eastAsia="es-CO"/>
                  </w:rPr>
                  <w:t>12.232.733.155</w:t>
                </w:r>
              </w:p>
            </w:tc>
          </w:tr>
        </w:tbl>
        <w:p w14:paraId="5F341F00" w14:textId="77777777" w:rsidR="005E7B3D" w:rsidRPr="00931DCE" w:rsidRDefault="005E7B3D" w:rsidP="005E7B3D">
          <w:pPr>
            <w:pStyle w:val="Default"/>
            <w:jc w:val="both"/>
            <w:rPr>
              <w:rFonts w:ascii="Times New Roman" w:hAnsi="Times New Roman" w:cs="Times New Roman"/>
              <w:color w:val="auto"/>
            </w:rPr>
          </w:pPr>
        </w:p>
        <w:p w14:paraId="77295032" w14:textId="0BE9DE03" w:rsidR="2A4218C7" w:rsidRPr="00FE24DB" w:rsidRDefault="2A4218C7" w:rsidP="02E3AD61">
          <w:pPr>
            <w:ind w:left="-20" w:right="-20"/>
            <w:jc w:val="both"/>
            <w:rPr>
              <w:rFonts w:ascii="Times New Roman" w:hAnsi="Times New Roman"/>
            </w:rPr>
          </w:pPr>
          <w:r w:rsidRPr="02E3AD61">
            <w:rPr>
              <w:rFonts w:ascii="Times New Roman" w:eastAsia="Times New Roman" w:hAnsi="Times New Roman"/>
              <w:color w:val="000000" w:themeColor="text1"/>
              <w:sz w:val="24"/>
              <w:szCs w:val="24"/>
            </w:rPr>
            <w:t xml:space="preserve">El mayor impacto en </w:t>
          </w:r>
          <w:r w:rsidRPr="02E3AD61">
            <w:rPr>
              <w:rFonts w:ascii="Times New Roman" w:eastAsia="Times New Roman" w:hAnsi="Times New Roman"/>
              <w:sz w:val="24"/>
              <w:szCs w:val="24"/>
            </w:rPr>
            <w:t>el aumento presentada en la vigencia 2023 en los ingresos financieros frente al año 2022 corresponde al rubro de Rendimientos sobre recursos entregados en administración:</w:t>
          </w:r>
          <w:r w:rsidRPr="02E3AD61">
            <w:rPr>
              <w:rFonts w:ascii="Times New Roman" w:eastAsia="Times New Roman" w:hAnsi="Times New Roman"/>
              <w:color w:val="000000" w:themeColor="text1"/>
              <w:sz w:val="24"/>
              <w:szCs w:val="24"/>
            </w:rPr>
            <w:t xml:space="preserve"> </w:t>
          </w:r>
        </w:p>
        <w:tbl>
          <w:tblPr>
            <w:tblW w:w="5000" w:type="pct"/>
            <w:tblLook w:val="04A0" w:firstRow="1" w:lastRow="0" w:firstColumn="1" w:lastColumn="0" w:noHBand="0" w:noVBand="1"/>
          </w:tblPr>
          <w:tblGrid>
            <w:gridCol w:w="4829"/>
            <w:gridCol w:w="1335"/>
            <w:gridCol w:w="1245"/>
            <w:gridCol w:w="1550"/>
          </w:tblGrid>
          <w:tr w:rsidR="02E3AD61" w:rsidRPr="00513EE1" w14:paraId="2758B86D" w14:textId="77777777" w:rsidTr="00513EE1">
            <w:trPr>
              <w:trHeight w:val="340"/>
            </w:trPr>
            <w:tc>
              <w:tcPr>
                <w:tcW w:w="277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4A5BEF28" w14:textId="30DBFA97" w:rsidR="02E3AD61" w:rsidRPr="00513EE1" w:rsidRDefault="02E3AD61" w:rsidP="02E3AD61">
                <w:pPr>
                  <w:spacing w:after="0"/>
                  <w:ind w:left="-20" w:right="-20"/>
                  <w:jc w:val="center"/>
                  <w:rPr>
                    <w:sz w:val="18"/>
                    <w:szCs w:val="18"/>
                  </w:rPr>
                </w:pPr>
                <w:r w:rsidRPr="00513EE1">
                  <w:rPr>
                    <w:rFonts w:ascii="Times New Roman" w:eastAsia="Times New Roman" w:hAnsi="Times New Roman"/>
                    <w:b/>
                    <w:sz w:val="18"/>
                    <w:szCs w:val="18"/>
                  </w:rPr>
                  <w:lastRenderedPageBreak/>
                  <w:t>TERCERO</w:t>
                </w:r>
              </w:p>
            </w:tc>
            <w:tc>
              <w:tcPr>
                <w:tcW w:w="67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58B557C1" w14:textId="19EF6B57" w:rsidR="02E3AD61" w:rsidRPr="00513EE1" w:rsidRDefault="02E3AD61" w:rsidP="02E3AD61">
                <w:pPr>
                  <w:spacing w:after="0"/>
                  <w:ind w:left="-20" w:right="-20"/>
                  <w:jc w:val="center"/>
                  <w:rPr>
                    <w:sz w:val="18"/>
                    <w:szCs w:val="18"/>
                  </w:rPr>
                </w:pPr>
                <w:r w:rsidRPr="00513EE1">
                  <w:rPr>
                    <w:rFonts w:ascii="Times New Roman" w:eastAsia="Times New Roman" w:hAnsi="Times New Roman"/>
                    <w:b/>
                    <w:sz w:val="18"/>
                    <w:szCs w:val="18"/>
                  </w:rPr>
                  <w:t xml:space="preserve">2023 </w:t>
                </w:r>
              </w:p>
            </w:tc>
            <w:tc>
              <w:tcPr>
                <w:tcW w:w="62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F7C273D" w14:textId="07CADA50" w:rsidR="02E3AD61" w:rsidRPr="00513EE1" w:rsidRDefault="02E3AD61" w:rsidP="02E3AD61">
                <w:pPr>
                  <w:spacing w:after="0"/>
                  <w:ind w:left="-20" w:right="-20"/>
                  <w:jc w:val="center"/>
                  <w:rPr>
                    <w:sz w:val="18"/>
                    <w:szCs w:val="18"/>
                  </w:rPr>
                </w:pPr>
                <w:r w:rsidRPr="00513EE1">
                  <w:rPr>
                    <w:rFonts w:ascii="Times New Roman" w:eastAsia="Times New Roman" w:hAnsi="Times New Roman"/>
                    <w:b/>
                    <w:sz w:val="18"/>
                    <w:szCs w:val="18"/>
                  </w:rPr>
                  <w:t xml:space="preserve">2022 </w:t>
                </w:r>
              </w:p>
            </w:tc>
            <w:tc>
              <w:tcPr>
                <w:tcW w:w="94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64110827" w14:textId="6A2565F6" w:rsidR="02E3AD61" w:rsidRPr="00513EE1" w:rsidRDefault="02E3AD61" w:rsidP="02E3AD61">
                <w:pPr>
                  <w:spacing w:after="0"/>
                  <w:ind w:left="-20" w:right="-20"/>
                  <w:jc w:val="center"/>
                  <w:rPr>
                    <w:sz w:val="18"/>
                    <w:szCs w:val="18"/>
                  </w:rPr>
                </w:pPr>
                <w:r w:rsidRPr="00513EE1">
                  <w:rPr>
                    <w:rFonts w:ascii="Times New Roman" w:eastAsia="Times New Roman" w:hAnsi="Times New Roman"/>
                    <w:b/>
                    <w:sz w:val="18"/>
                    <w:szCs w:val="18"/>
                  </w:rPr>
                  <w:t>VALOR VARIACIÓN</w:t>
                </w:r>
              </w:p>
            </w:tc>
          </w:tr>
          <w:tr w:rsidR="02E3AD61" w:rsidRPr="00513EE1" w14:paraId="234FE6E9" w14:textId="77777777" w:rsidTr="00513EE1">
            <w:trPr>
              <w:trHeight w:val="340"/>
            </w:trPr>
            <w:tc>
              <w:tcPr>
                <w:tcW w:w="2770"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14FFF5E8" w14:textId="7A676826" w:rsidR="02E3AD61" w:rsidRPr="00513EE1" w:rsidRDefault="02E3AD61" w:rsidP="02E3AD61">
                <w:pPr>
                  <w:spacing w:after="0"/>
                  <w:ind w:left="-20" w:right="-20"/>
                  <w:rPr>
                    <w:sz w:val="18"/>
                    <w:szCs w:val="18"/>
                  </w:rPr>
                </w:pPr>
                <w:r w:rsidRPr="00513EE1">
                  <w:rPr>
                    <w:rFonts w:ascii="Times New Roman" w:eastAsia="Times New Roman" w:hAnsi="Times New Roman"/>
                    <w:b/>
                    <w:sz w:val="18"/>
                    <w:szCs w:val="18"/>
                  </w:rPr>
                  <w:t>Rendimientos sobre recursos entregados en administración</w:t>
                </w:r>
              </w:p>
            </w:tc>
            <w:tc>
              <w:tcPr>
                <w:tcW w:w="67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62301BAC" w14:textId="4CFE9284" w:rsidR="02E3AD61" w:rsidRPr="00513EE1" w:rsidRDefault="02E3AD61" w:rsidP="02E3AD61">
                <w:pPr>
                  <w:spacing w:after="0"/>
                  <w:ind w:left="-20" w:right="-20"/>
                  <w:jc w:val="right"/>
                  <w:rPr>
                    <w:sz w:val="18"/>
                    <w:szCs w:val="18"/>
                  </w:rPr>
                </w:pPr>
                <w:r w:rsidRPr="00513EE1">
                  <w:rPr>
                    <w:rFonts w:ascii="Times New Roman" w:eastAsia="Times New Roman" w:hAnsi="Times New Roman"/>
                    <w:b/>
                    <w:sz w:val="18"/>
                    <w:szCs w:val="18"/>
                  </w:rPr>
                  <w:t>788.392.888.451</w:t>
                </w:r>
              </w:p>
            </w:tc>
            <w:tc>
              <w:tcPr>
                <w:tcW w:w="62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40BBC90B" w14:textId="2BA3B3D6" w:rsidR="02E3AD61" w:rsidRPr="00513EE1" w:rsidRDefault="02E3AD61" w:rsidP="02E3AD61">
                <w:pPr>
                  <w:spacing w:after="0"/>
                  <w:ind w:left="-20" w:right="-20"/>
                  <w:jc w:val="right"/>
                  <w:rPr>
                    <w:sz w:val="18"/>
                    <w:szCs w:val="18"/>
                  </w:rPr>
                </w:pPr>
                <w:r w:rsidRPr="00513EE1">
                  <w:rPr>
                    <w:rFonts w:ascii="Times New Roman" w:eastAsia="Times New Roman" w:hAnsi="Times New Roman"/>
                    <w:b/>
                    <w:sz w:val="18"/>
                    <w:szCs w:val="18"/>
                  </w:rPr>
                  <w:t>26.593.639.878</w:t>
                </w:r>
              </w:p>
            </w:tc>
            <w:tc>
              <w:tcPr>
                <w:tcW w:w="94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206465B8" w14:textId="3C344F6C" w:rsidR="02E3AD61" w:rsidRPr="00513EE1" w:rsidRDefault="02E3AD61" w:rsidP="02E3AD61">
                <w:pPr>
                  <w:spacing w:after="0"/>
                  <w:ind w:left="-20" w:right="-20"/>
                  <w:jc w:val="right"/>
                  <w:rPr>
                    <w:sz w:val="18"/>
                    <w:szCs w:val="18"/>
                  </w:rPr>
                </w:pPr>
                <w:r w:rsidRPr="00513EE1">
                  <w:rPr>
                    <w:rFonts w:ascii="Times New Roman" w:eastAsia="Times New Roman" w:hAnsi="Times New Roman"/>
                    <w:b/>
                    <w:sz w:val="18"/>
                    <w:szCs w:val="18"/>
                  </w:rPr>
                  <w:t>761.799.248.573</w:t>
                </w:r>
              </w:p>
            </w:tc>
          </w:tr>
          <w:tr w:rsidR="02E3AD61" w:rsidRPr="00513EE1" w14:paraId="7AE85EFE" w14:textId="77777777" w:rsidTr="00513EE1">
            <w:trPr>
              <w:trHeight w:val="340"/>
            </w:trPr>
            <w:tc>
              <w:tcPr>
                <w:tcW w:w="2770"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335209AE" w14:textId="7DEED157" w:rsidR="02E3AD61" w:rsidRPr="00513EE1" w:rsidRDefault="02E3AD61" w:rsidP="02E3AD61">
                <w:pPr>
                  <w:spacing w:after="0"/>
                  <w:ind w:left="-20" w:right="-20"/>
                  <w:rPr>
                    <w:sz w:val="18"/>
                    <w:szCs w:val="18"/>
                  </w:rPr>
                </w:pPr>
                <w:r w:rsidRPr="00513EE1">
                  <w:rPr>
                    <w:rFonts w:ascii="Times New Roman" w:eastAsia="Times New Roman" w:hAnsi="Times New Roman"/>
                    <w:sz w:val="18"/>
                    <w:szCs w:val="18"/>
                  </w:rPr>
                  <w:t>FINANCIERA DE DESARROLLO TERRITORIAL S A FINDETER</w:t>
                </w:r>
              </w:p>
            </w:tc>
            <w:tc>
              <w:tcPr>
                <w:tcW w:w="67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71EC9CA8" w14:textId="0DE90CA1" w:rsidR="02E3AD61" w:rsidRPr="00513EE1" w:rsidRDefault="02E3AD61" w:rsidP="02E3AD61">
                <w:pPr>
                  <w:spacing w:after="0"/>
                  <w:ind w:left="-20" w:right="-20"/>
                  <w:jc w:val="right"/>
                  <w:rPr>
                    <w:sz w:val="18"/>
                    <w:szCs w:val="18"/>
                  </w:rPr>
                </w:pPr>
                <w:r w:rsidRPr="00513EE1">
                  <w:rPr>
                    <w:rFonts w:ascii="Times New Roman" w:eastAsia="Times New Roman" w:hAnsi="Times New Roman"/>
                    <w:sz w:val="18"/>
                    <w:szCs w:val="18"/>
                  </w:rPr>
                  <w:t>4.764.631.576</w:t>
                </w:r>
              </w:p>
            </w:tc>
            <w:tc>
              <w:tcPr>
                <w:tcW w:w="62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5C6C4183" w14:textId="24B2D3F1" w:rsidR="02E3AD61" w:rsidRPr="00513EE1" w:rsidRDefault="02E3AD61" w:rsidP="02E3AD61">
                <w:pPr>
                  <w:spacing w:after="0"/>
                  <w:ind w:left="-20" w:right="-20"/>
                  <w:jc w:val="right"/>
                  <w:rPr>
                    <w:sz w:val="18"/>
                    <w:szCs w:val="18"/>
                  </w:rPr>
                </w:pPr>
                <w:r w:rsidRPr="00513EE1">
                  <w:rPr>
                    <w:rFonts w:ascii="Times New Roman" w:eastAsia="Times New Roman" w:hAnsi="Times New Roman"/>
                    <w:sz w:val="18"/>
                    <w:szCs w:val="18"/>
                  </w:rPr>
                  <w:t>53.282.865</w:t>
                </w:r>
              </w:p>
            </w:tc>
            <w:tc>
              <w:tcPr>
                <w:tcW w:w="94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2B5C4667" w14:textId="16F32FA3" w:rsidR="02E3AD61" w:rsidRPr="00513EE1" w:rsidRDefault="02E3AD61" w:rsidP="02E3AD61">
                <w:pPr>
                  <w:spacing w:after="0"/>
                  <w:ind w:left="-20" w:right="-20"/>
                  <w:jc w:val="right"/>
                  <w:rPr>
                    <w:sz w:val="18"/>
                    <w:szCs w:val="18"/>
                  </w:rPr>
                </w:pPr>
                <w:r w:rsidRPr="00513EE1">
                  <w:rPr>
                    <w:rFonts w:ascii="Times New Roman" w:eastAsia="Times New Roman" w:hAnsi="Times New Roman"/>
                    <w:sz w:val="18"/>
                    <w:szCs w:val="18"/>
                  </w:rPr>
                  <w:t>4.711.348.711</w:t>
                </w:r>
              </w:p>
            </w:tc>
          </w:tr>
          <w:tr w:rsidR="02E3AD61" w:rsidRPr="00513EE1" w14:paraId="23EF32F5" w14:textId="77777777" w:rsidTr="00513EE1">
            <w:trPr>
              <w:trHeight w:val="340"/>
            </w:trPr>
            <w:tc>
              <w:tcPr>
                <w:tcW w:w="2770"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7E67FB28" w14:textId="055B5AB5" w:rsidR="02E3AD61" w:rsidRPr="00513EE1" w:rsidRDefault="02E3AD61" w:rsidP="02E3AD61">
                <w:pPr>
                  <w:spacing w:after="0"/>
                  <w:ind w:left="-20" w:right="-20"/>
                  <w:rPr>
                    <w:sz w:val="18"/>
                    <w:szCs w:val="18"/>
                  </w:rPr>
                </w:pPr>
                <w:r w:rsidRPr="00513EE1">
                  <w:rPr>
                    <w:rFonts w:ascii="Times New Roman" w:eastAsia="Times New Roman" w:hAnsi="Times New Roman"/>
                    <w:sz w:val="18"/>
                    <w:szCs w:val="18"/>
                  </w:rPr>
                  <w:t xml:space="preserve">FINANCIERA DE DESARROLLO NACIONAL S.A. </w:t>
                </w:r>
              </w:p>
            </w:tc>
            <w:tc>
              <w:tcPr>
                <w:tcW w:w="67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6997E0C6" w14:textId="46ABF6A1" w:rsidR="02E3AD61" w:rsidRPr="00513EE1" w:rsidRDefault="02E3AD61" w:rsidP="02E3AD61">
                <w:pPr>
                  <w:spacing w:after="0"/>
                  <w:ind w:left="-20" w:right="-20"/>
                  <w:jc w:val="right"/>
                  <w:rPr>
                    <w:sz w:val="18"/>
                    <w:szCs w:val="18"/>
                  </w:rPr>
                </w:pPr>
                <w:r w:rsidRPr="00513EE1">
                  <w:rPr>
                    <w:rFonts w:ascii="Times New Roman" w:eastAsia="Times New Roman" w:hAnsi="Times New Roman"/>
                    <w:sz w:val="18"/>
                    <w:szCs w:val="18"/>
                  </w:rPr>
                  <w:t>1.719.735.755</w:t>
                </w:r>
              </w:p>
            </w:tc>
            <w:tc>
              <w:tcPr>
                <w:tcW w:w="62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A9BFD91" w14:textId="6F433751" w:rsidR="02E3AD61" w:rsidRPr="00513EE1" w:rsidRDefault="02E3AD61" w:rsidP="02E3AD61">
                <w:pPr>
                  <w:spacing w:after="0"/>
                  <w:ind w:left="-20" w:right="-20"/>
                  <w:jc w:val="right"/>
                  <w:rPr>
                    <w:sz w:val="18"/>
                    <w:szCs w:val="18"/>
                  </w:rPr>
                </w:pPr>
                <w:r w:rsidRPr="00513EE1">
                  <w:rPr>
                    <w:rFonts w:ascii="Times New Roman" w:eastAsia="Times New Roman" w:hAnsi="Times New Roman"/>
                    <w:sz w:val="18"/>
                    <w:szCs w:val="18"/>
                  </w:rPr>
                  <w:t>28.521.688</w:t>
                </w:r>
              </w:p>
            </w:tc>
            <w:tc>
              <w:tcPr>
                <w:tcW w:w="94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28357436" w14:textId="2B674AA4" w:rsidR="02E3AD61" w:rsidRPr="00513EE1" w:rsidRDefault="02E3AD61" w:rsidP="02E3AD61">
                <w:pPr>
                  <w:spacing w:after="0"/>
                  <w:ind w:left="-20" w:right="-20"/>
                  <w:jc w:val="right"/>
                  <w:rPr>
                    <w:sz w:val="18"/>
                    <w:szCs w:val="18"/>
                  </w:rPr>
                </w:pPr>
                <w:r w:rsidRPr="00513EE1">
                  <w:rPr>
                    <w:rFonts w:ascii="Times New Roman" w:eastAsia="Times New Roman" w:hAnsi="Times New Roman"/>
                    <w:sz w:val="18"/>
                    <w:szCs w:val="18"/>
                  </w:rPr>
                  <w:t>1.691.214.067</w:t>
                </w:r>
              </w:p>
            </w:tc>
          </w:tr>
          <w:tr w:rsidR="02E3AD61" w:rsidRPr="00513EE1" w14:paraId="5AB8C207" w14:textId="77777777" w:rsidTr="00513EE1">
            <w:trPr>
              <w:trHeight w:val="340"/>
            </w:trPr>
            <w:tc>
              <w:tcPr>
                <w:tcW w:w="2770"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71B37E9B" w14:textId="2CFACB65" w:rsidR="02E3AD61" w:rsidRPr="00513EE1" w:rsidRDefault="02E3AD61" w:rsidP="02E3AD61">
                <w:pPr>
                  <w:spacing w:after="0"/>
                  <w:ind w:left="-20" w:right="-20"/>
                  <w:rPr>
                    <w:sz w:val="18"/>
                    <w:szCs w:val="18"/>
                  </w:rPr>
                </w:pPr>
                <w:r w:rsidRPr="00513EE1">
                  <w:rPr>
                    <w:rFonts w:ascii="Times New Roman" w:eastAsia="Times New Roman" w:hAnsi="Times New Roman"/>
                    <w:sz w:val="18"/>
                    <w:szCs w:val="18"/>
                  </w:rPr>
                  <w:t xml:space="preserve">FIDUCIARIA LA PREVISORA S.A. </w:t>
                </w:r>
              </w:p>
            </w:tc>
            <w:tc>
              <w:tcPr>
                <w:tcW w:w="67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73693399" w14:textId="6121C37D" w:rsidR="02E3AD61" w:rsidRPr="00513EE1" w:rsidRDefault="02E3AD61" w:rsidP="02E3AD61">
                <w:pPr>
                  <w:spacing w:after="0"/>
                  <w:ind w:left="-20" w:right="-20"/>
                  <w:jc w:val="right"/>
                  <w:rPr>
                    <w:sz w:val="18"/>
                    <w:szCs w:val="18"/>
                  </w:rPr>
                </w:pPr>
                <w:r w:rsidRPr="00513EE1">
                  <w:rPr>
                    <w:rFonts w:ascii="Times New Roman" w:eastAsia="Times New Roman" w:hAnsi="Times New Roman"/>
                    <w:sz w:val="18"/>
                    <w:szCs w:val="18"/>
                  </w:rPr>
                  <w:t>781.739.219.450</w:t>
                </w:r>
              </w:p>
            </w:tc>
            <w:tc>
              <w:tcPr>
                <w:tcW w:w="62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78F859D5" w14:textId="5969302C" w:rsidR="02E3AD61" w:rsidRPr="00513EE1" w:rsidRDefault="02E3AD61" w:rsidP="02E3AD61">
                <w:pPr>
                  <w:spacing w:after="0"/>
                  <w:ind w:left="-20" w:right="-20"/>
                  <w:jc w:val="right"/>
                  <w:rPr>
                    <w:sz w:val="18"/>
                    <w:szCs w:val="18"/>
                  </w:rPr>
                </w:pPr>
                <w:r w:rsidRPr="00513EE1">
                  <w:rPr>
                    <w:rFonts w:ascii="Times New Roman" w:eastAsia="Times New Roman" w:hAnsi="Times New Roman"/>
                    <w:sz w:val="18"/>
                    <w:szCs w:val="18"/>
                  </w:rPr>
                  <w:t>26.492.614.874</w:t>
                </w:r>
              </w:p>
            </w:tc>
            <w:tc>
              <w:tcPr>
                <w:tcW w:w="94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1D6D6A23" w14:textId="6F954C64" w:rsidR="02E3AD61" w:rsidRPr="00513EE1" w:rsidRDefault="02E3AD61" w:rsidP="02E3AD61">
                <w:pPr>
                  <w:spacing w:after="0"/>
                  <w:ind w:left="-20" w:right="-20"/>
                  <w:jc w:val="right"/>
                  <w:rPr>
                    <w:sz w:val="18"/>
                    <w:szCs w:val="18"/>
                  </w:rPr>
                </w:pPr>
                <w:r w:rsidRPr="00513EE1">
                  <w:rPr>
                    <w:rFonts w:ascii="Times New Roman" w:eastAsia="Times New Roman" w:hAnsi="Times New Roman"/>
                    <w:sz w:val="18"/>
                    <w:szCs w:val="18"/>
                  </w:rPr>
                  <w:t>755.246.604.576</w:t>
                </w:r>
              </w:p>
            </w:tc>
          </w:tr>
          <w:tr w:rsidR="02E3AD61" w:rsidRPr="00513EE1" w14:paraId="7E73030E" w14:textId="77777777" w:rsidTr="00513EE1">
            <w:trPr>
              <w:trHeight w:val="340"/>
            </w:trPr>
            <w:tc>
              <w:tcPr>
                <w:tcW w:w="2770"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457C7655" w14:textId="29C55751" w:rsidR="02E3AD61" w:rsidRPr="00513EE1" w:rsidRDefault="02E3AD61" w:rsidP="02E3AD61">
                <w:pPr>
                  <w:spacing w:after="0"/>
                  <w:ind w:left="-20" w:right="-20"/>
                  <w:rPr>
                    <w:sz w:val="18"/>
                    <w:szCs w:val="18"/>
                  </w:rPr>
                </w:pPr>
                <w:r w:rsidRPr="00513EE1">
                  <w:rPr>
                    <w:rFonts w:ascii="Times New Roman" w:eastAsia="Times New Roman" w:hAnsi="Times New Roman"/>
                    <w:sz w:val="18"/>
                    <w:szCs w:val="18"/>
                  </w:rPr>
                  <w:t>DEPARTAMENTO DE BOYACA</w:t>
                </w:r>
              </w:p>
            </w:tc>
            <w:tc>
              <w:tcPr>
                <w:tcW w:w="67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5AC1B255" w14:textId="34856085" w:rsidR="02E3AD61" w:rsidRPr="00513EE1" w:rsidRDefault="02E3AD61" w:rsidP="02E3AD61">
                <w:pPr>
                  <w:spacing w:after="0"/>
                  <w:ind w:left="-20" w:right="-20"/>
                  <w:jc w:val="right"/>
                  <w:rPr>
                    <w:sz w:val="18"/>
                    <w:szCs w:val="18"/>
                  </w:rPr>
                </w:pPr>
                <w:r w:rsidRPr="00513EE1">
                  <w:rPr>
                    <w:rFonts w:ascii="Times New Roman" w:eastAsia="Times New Roman" w:hAnsi="Times New Roman"/>
                    <w:sz w:val="18"/>
                    <w:szCs w:val="18"/>
                  </w:rPr>
                  <w:t>169.301.671</w:t>
                </w:r>
              </w:p>
            </w:tc>
            <w:tc>
              <w:tcPr>
                <w:tcW w:w="62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1518358C" w14:textId="52A77370" w:rsidR="02E3AD61" w:rsidRPr="00513EE1" w:rsidRDefault="02E3AD61" w:rsidP="02E3AD61">
                <w:pPr>
                  <w:spacing w:after="0"/>
                  <w:ind w:left="-20" w:right="-20"/>
                  <w:jc w:val="right"/>
                  <w:rPr>
                    <w:sz w:val="18"/>
                    <w:szCs w:val="18"/>
                  </w:rPr>
                </w:pPr>
                <w:r w:rsidRPr="00513EE1">
                  <w:rPr>
                    <w:rFonts w:ascii="Times New Roman" w:eastAsia="Times New Roman" w:hAnsi="Times New Roman"/>
                    <w:sz w:val="18"/>
                    <w:szCs w:val="18"/>
                  </w:rPr>
                  <w:t>19.220.451</w:t>
                </w:r>
              </w:p>
            </w:tc>
            <w:tc>
              <w:tcPr>
                <w:tcW w:w="94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4B93B7BA" w14:textId="4CE5FDDA" w:rsidR="02E3AD61" w:rsidRPr="00513EE1" w:rsidRDefault="02E3AD61" w:rsidP="02E3AD61">
                <w:pPr>
                  <w:spacing w:after="0"/>
                  <w:ind w:left="-20" w:right="-20"/>
                  <w:jc w:val="right"/>
                  <w:rPr>
                    <w:sz w:val="18"/>
                    <w:szCs w:val="18"/>
                  </w:rPr>
                </w:pPr>
                <w:r w:rsidRPr="00513EE1">
                  <w:rPr>
                    <w:rFonts w:ascii="Times New Roman" w:eastAsia="Times New Roman" w:hAnsi="Times New Roman"/>
                    <w:sz w:val="18"/>
                    <w:szCs w:val="18"/>
                  </w:rPr>
                  <w:t>150.081.220</w:t>
                </w:r>
              </w:p>
            </w:tc>
          </w:tr>
        </w:tbl>
        <w:p w14:paraId="62DB9C33" w14:textId="7E355270" w:rsidR="2A4218C7" w:rsidRDefault="00E42E9F" w:rsidP="02E3AD61">
          <w:pPr>
            <w:ind w:left="-20" w:right="-20"/>
            <w:jc w:val="both"/>
          </w:pPr>
          <w:r w:rsidRPr="02E3AD61">
            <w:rPr>
              <w:rFonts w:ascii="Segoe UI" w:eastAsia="Segoe UI" w:hAnsi="Segoe UI" w:cs="Segoe UI"/>
              <w:sz w:val="18"/>
              <w:szCs w:val="18"/>
            </w:rPr>
            <w:t xml:space="preserve"> </w:t>
          </w:r>
          <w:r w:rsidR="00AD2026" w:rsidRPr="02E3AD61">
            <w:rPr>
              <w:rFonts w:ascii="Times New Roman" w:eastAsia="Times New Roman" w:hAnsi="Times New Roman"/>
              <w:sz w:val="16"/>
              <w:szCs w:val="16"/>
            </w:rPr>
            <w:t>Cifras expresadas en pesos</w:t>
          </w:r>
          <w:r w:rsidR="2A4218C7" w:rsidRPr="02E3AD61">
            <w:rPr>
              <w:rFonts w:ascii="Times New Roman" w:eastAsia="Times New Roman" w:hAnsi="Times New Roman"/>
              <w:sz w:val="24"/>
              <w:szCs w:val="24"/>
            </w:rPr>
            <w:t xml:space="preserve"> </w:t>
          </w:r>
        </w:p>
        <w:p w14:paraId="04FF058E" w14:textId="3D09C1B5" w:rsidR="111A47DC" w:rsidRPr="00FE24DB" w:rsidRDefault="111A47DC" w:rsidP="02E3AD61">
          <w:pPr>
            <w:spacing w:line="257" w:lineRule="auto"/>
            <w:ind w:left="-20" w:right="-20"/>
            <w:jc w:val="both"/>
            <w:rPr>
              <w:rFonts w:ascii="Times New Roman" w:hAnsi="Times New Roman"/>
              <w:sz w:val="24"/>
              <w:szCs w:val="24"/>
            </w:rPr>
          </w:pPr>
          <w:r w:rsidRPr="00FE24DB">
            <w:rPr>
              <w:rFonts w:ascii="Times New Roman" w:hAnsi="Times New Roman"/>
              <w:sz w:val="24"/>
              <w:szCs w:val="24"/>
              <w:lang w:val="es"/>
            </w:rPr>
            <w:t xml:space="preserve">Estos ingresos son generados en el marco de los convenios interadministrativos firmados con entidades estatales y privadas. </w:t>
          </w:r>
        </w:p>
        <w:p w14:paraId="04D4494A" w14:textId="5D938ECB" w:rsidR="111A47DC" w:rsidRPr="00FE24DB" w:rsidRDefault="111A47DC" w:rsidP="02E3AD61">
          <w:pPr>
            <w:spacing w:line="257" w:lineRule="auto"/>
            <w:ind w:left="-20" w:right="-20"/>
            <w:jc w:val="both"/>
            <w:rPr>
              <w:rFonts w:ascii="Times New Roman" w:hAnsi="Times New Roman"/>
              <w:sz w:val="24"/>
              <w:szCs w:val="24"/>
            </w:rPr>
          </w:pPr>
          <w:r w:rsidRPr="00FE24DB">
            <w:rPr>
              <w:rFonts w:ascii="Times New Roman" w:hAnsi="Times New Roman"/>
              <w:sz w:val="24"/>
              <w:szCs w:val="24"/>
              <w:lang w:val="es"/>
            </w:rPr>
            <w:t xml:space="preserve">Para el caso de la </w:t>
          </w:r>
          <w:r w:rsidRPr="00FE24DB">
            <w:rPr>
              <w:rFonts w:ascii="Times New Roman" w:hAnsi="Times New Roman"/>
              <w:b/>
              <w:sz w:val="24"/>
              <w:szCs w:val="24"/>
              <w:lang w:val="es"/>
            </w:rPr>
            <w:t>Gobernación de Boyacá</w:t>
          </w:r>
          <w:r w:rsidRPr="00FE24DB">
            <w:rPr>
              <w:rFonts w:ascii="Times New Roman" w:hAnsi="Times New Roman"/>
              <w:sz w:val="24"/>
              <w:szCs w:val="24"/>
              <w:lang w:val="es"/>
            </w:rPr>
            <w:t xml:space="preserve"> los rendimientos corresponden a: </w:t>
          </w:r>
        </w:p>
        <w:p w14:paraId="1A4A8A84" w14:textId="7E1C99BB" w:rsidR="111A47DC" w:rsidRPr="00FE24DB" w:rsidRDefault="111A47DC" w:rsidP="00513EE1">
          <w:pPr>
            <w:pStyle w:val="Prrafodelista"/>
            <w:spacing w:after="0" w:line="240" w:lineRule="auto"/>
            <w:ind w:left="-20" w:right="-20"/>
            <w:jc w:val="both"/>
            <w:rPr>
              <w:rFonts w:ascii="Times New Roman" w:hAnsi="Times New Roman"/>
              <w:sz w:val="24"/>
              <w:szCs w:val="24"/>
              <w:lang w:val="es"/>
            </w:rPr>
          </w:pPr>
          <w:r w:rsidRPr="00FE24DB">
            <w:rPr>
              <w:rFonts w:ascii="Times New Roman" w:hAnsi="Times New Roman"/>
              <w:b/>
              <w:sz w:val="24"/>
              <w:szCs w:val="24"/>
              <w:lang w:val="es"/>
            </w:rPr>
            <w:t>Convenio 001 de 2015</w:t>
          </w:r>
          <w:r w:rsidRPr="00FE24DB">
            <w:rPr>
              <w:rFonts w:ascii="Times New Roman" w:hAnsi="Times New Roman"/>
              <w:sz w:val="24"/>
              <w:szCs w:val="24"/>
              <w:lang w:val="es"/>
            </w:rPr>
            <w:t xml:space="preserve"> el cual tiene como objeto la Unión articulación y coordinación de esfuerzos humanos técnicos, tecnológicos y logísticos entre la Agencia Nacional de Infraestructura y el Departamento de Boyacá, para la construcción de obras en cumplimiento de la acción popular, Briceño Tunja Sogamoso intersección Patriotas” y para el “cumplimiento de la acción popular, Briceño Tunja Sogamoso- Glorieta de Tunja. </w:t>
          </w:r>
        </w:p>
        <w:p w14:paraId="1513A8ED" w14:textId="77777777" w:rsidR="00513EE1" w:rsidRPr="00FE24DB" w:rsidRDefault="00513EE1" w:rsidP="00513EE1">
          <w:pPr>
            <w:spacing w:line="240" w:lineRule="auto"/>
            <w:ind w:right="-20"/>
            <w:jc w:val="both"/>
            <w:rPr>
              <w:rFonts w:ascii="Times New Roman" w:hAnsi="Times New Roman"/>
              <w:sz w:val="24"/>
              <w:szCs w:val="24"/>
              <w:lang w:val="es"/>
            </w:rPr>
          </w:pPr>
        </w:p>
        <w:p w14:paraId="51C8B036" w14:textId="426AC4FB" w:rsidR="111A47DC" w:rsidRPr="00FE24DB" w:rsidRDefault="111A47DC" w:rsidP="00513EE1">
          <w:pPr>
            <w:spacing w:line="240" w:lineRule="auto"/>
            <w:ind w:right="-20"/>
            <w:jc w:val="both"/>
            <w:rPr>
              <w:rFonts w:ascii="Times New Roman" w:hAnsi="Times New Roman"/>
              <w:sz w:val="24"/>
              <w:szCs w:val="24"/>
            </w:rPr>
          </w:pPr>
          <w:r w:rsidRPr="00FE24DB">
            <w:rPr>
              <w:rFonts w:ascii="Times New Roman" w:hAnsi="Times New Roman"/>
              <w:b/>
              <w:sz w:val="24"/>
              <w:szCs w:val="24"/>
              <w:lang w:val="es"/>
            </w:rPr>
            <w:t xml:space="preserve">Convenio 001 de 2016 </w:t>
          </w:r>
          <w:r w:rsidRPr="00FE24DB">
            <w:rPr>
              <w:rFonts w:ascii="Times New Roman" w:hAnsi="Times New Roman"/>
              <w:sz w:val="24"/>
              <w:szCs w:val="24"/>
              <w:lang w:val="es"/>
            </w:rPr>
            <w:t>el cual tiene como objeto la Unión, articulación y coordinación de esfuerzos humanos, técnicos tecnológicos y logísticos, entre la Agencia Nacional de Infraestructura y el Departamento de Boyacá para realizar la adquisición predial en cumplimiento de la acción popular, Briceño Tunja, Sogamoso Intersección patriotas.</w:t>
          </w:r>
        </w:p>
        <w:p w14:paraId="621E1DBD" w14:textId="7DC02B63" w:rsidR="111A47DC" w:rsidRPr="00FE24DB" w:rsidRDefault="111A47DC" w:rsidP="02E3AD61">
          <w:pPr>
            <w:spacing w:line="257" w:lineRule="auto"/>
            <w:ind w:left="-20" w:right="-20"/>
            <w:jc w:val="both"/>
            <w:rPr>
              <w:rFonts w:ascii="Times New Roman" w:hAnsi="Times New Roman"/>
              <w:sz w:val="24"/>
              <w:szCs w:val="24"/>
            </w:rPr>
          </w:pPr>
          <w:r w:rsidRPr="00FE24DB">
            <w:rPr>
              <w:rFonts w:ascii="Times New Roman" w:hAnsi="Times New Roman"/>
              <w:sz w:val="24"/>
              <w:szCs w:val="24"/>
              <w:lang w:val="es"/>
            </w:rPr>
            <w:t xml:space="preserve">Para el caso de la </w:t>
          </w:r>
          <w:r w:rsidRPr="00FE24DB">
            <w:rPr>
              <w:rFonts w:ascii="Times New Roman" w:hAnsi="Times New Roman"/>
              <w:b/>
              <w:sz w:val="24"/>
              <w:szCs w:val="24"/>
              <w:lang w:val="es"/>
            </w:rPr>
            <w:t xml:space="preserve">Financiera Nacional de Desarrollo </w:t>
          </w:r>
          <w:r w:rsidRPr="00FE24DB">
            <w:rPr>
              <w:rFonts w:ascii="Times New Roman" w:hAnsi="Times New Roman"/>
              <w:sz w:val="24"/>
              <w:szCs w:val="24"/>
              <w:lang w:val="es"/>
            </w:rPr>
            <w:t xml:space="preserve">los rendimientos corresponden a: </w:t>
          </w:r>
        </w:p>
        <w:p w14:paraId="6D28916D" w14:textId="01183060" w:rsidR="111A47DC" w:rsidRPr="00FE24DB" w:rsidRDefault="111A47DC" w:rsidP="00513EE1">
          <w:pPr>
            <w:pStyle w:val="Prrafodelista"/>
            <w:spacing w:after="0" w:line="257" w:lineRule="auto"/>
            <w:ind w:left="-20" w:right="-20"/>
            <w:jc w:val="both"/>
            <w:rPr>
              <w:rFonts w:ascii="Times New Roman" w:hAnsi="Times New Roman"/>
              <w:sz w:val="24"/>
              <w:szCs w:val="24"/>
              <w:lang w:val="es"/>
            </w:rPr>
          </w:pPr>
          <w:r w:rsidRPr="00FE24DB">
            <w:rPr>
              <w:rFonts w:ascii="Times New Roman" w:hAnsi="Times New Roman"/>
              <w:b/>
              <w:sz w:val="24"/>
              <w:szCs w:val="24"/>
              <w:lang w:val="es"/>
            </w:rPr>
            <w:t xml:space="preserve">Convenio 024 de 2017 </w:t>
          </w:r>
          <w:r w:rsidRPr="00FE24DB">
            <w:rPr>
              <w:rFonts w:ascii="Times New Roman" w:hAnsi="Times New Roman"/>
              <w:sz w:val="24"/>
              <w:szCs w:val="24"/>
              <w:lang w:val="es"/>
            </w:rPr>
            <w:t xml:space="preserve">el cual tiene como  objeto aunar los esfuerzos de la Agencia y la Financiera para desarrollar y llevar a cabo la estructuración financiera y legal, del corredor férreo comprendido entre los municipios de La Dorada en el departamento de Caldas y Chiriguaná en el departamento del Cesar, con sus respectivos ramales incluyendo interoperabilidad con el tramo Chiriguaná – Santa Marta actualmente concesionado a FENOCO y estructurar y diseñar la operación de financiamiento desde el punto de vista financiero y legal de la rehabilitación del corredor férreo objeto de estructuración.  </w:t>
          </w:r>
        </w:p>
        <w:p w14:paraId="3984A8D2" w14:textId="1417CAEF" w:rsidR="111A47DC" w:rsidRPr="00FE24DB" w:rsidRDefault="111A47DC" w:rsidP="02E3AD61">
          <w:pPr>
            <w:spacing w:line="257" w:lineRule="auto"/>
            <w:ind w:left="735" w:right="-20"/>
            <w:jc w:val="both"/>
            <w:rPr>
              <w:rFonts w:ascii="Times New Roman" w:hAnsi="Times New Roman"/>
              <w:sz w:val="24"/>
              <w:szCs w:val="24"/>
            </w:rPr>
          </w:pPr>
          <w:r w:rsidRPr="00FE24DB">
            <w:rPr>
              <w:rFonts w:ascii="Times New Roman" w:hAnsi="Times New Roman"/>
              <w:b/>
              <w:sz w:val="24"/>
              <w:szCs w:val="24"/>
              <w:lang w:val="es"/>
            </w:rPr>
            <w:t xml:space="preserve"> </w:t>
          </w:r>
        </w:p>
        <w:p w14:paraId="082B4737" w14:textId="7EA2F6D6" w:rsidR="111A47DC" w:rsidRPr="00FE24DB" w:rsidRDefault="111A47DC" w:rsidP="00513EE1">
          <w:pPr>
            <w:pStyle w:val="Prrafodelista"/>
            <w:spacing w:after="0" w:line="257" w:lineRule="auto"/>
            <w:ind w:left="-20" w:right="-20"/>
            <w:jc w:val="both"/>
            <w:rPr>
              <w:rFonts w:ascii="Times New Roman" w:hAnsi="Times New Roman"/>
              <w:sz w:val="24"/>
              <w:szCs w:val="24"/>
              <w:lang w:val="es"/>
            </w:rPr>
          </w:pPr>
          <w:r w:rsidRPr="00FE24DB">
            <w:rPr>
              <w:rFonts w:ascii="Times New Roman" w:hAnsi="Times New Roman"/>
              <w:b/>
              <w:sz w:val="24"/>
              <w:szCs w:val="24"/>
              <w:lang w:val="es"/>
            </w:rPr>
            <w:t xml:space="preserve">Convenio 631 de 2022 </w:t>
          </w:r>
          <w:r w:rsidRPr="00FE24DB">
            <w:rPr>
              <w:rFonts w:ascii="Times New Roman" w:hAnsi="Times New Roman"/>
              <w:sz w:val="24"/>
              <w:szCs w:val="24"/>
              <w:lang w:val="es"/>
            </w:rPr>
            <w:t xml:space="preserve">el cual tiene como objeto Adelantar los estudios y diseños a nivel de prefactibilidad, para la reactivación del Corredor Férreo del Pacífico desde el puerto de Buenaventura y su conexión con el Corredor Férreo Central. </w:t>
          </w:r>
        </w:p>
        <w:p w14:paraId="381EAB55" w14:textId="77777777" w:rsidR="00513EE1" w:rsidRPr="00FE24DB" w:rsidRDefault="00513EE1" w:rsidP="00513EE1">
          <w:pPr>
            <w:pStyle w:val="Prrafodelista"/>
            <w:spacing w:after="0" w:line="257" w:lineRule="auto"/>
            <w:ind w:left="-20" w:right="-20"/>
            <w:jc w:val="both"/>
            <w:rPr>
              <w:rFonts w:ascii="Times New Roman" w:hAnsi="Times New Roman"/>
              <w:sz w:val="24"/>
              <w:szCs w:val="24"/>
              <w:lang w:val="es"/>
            </w:rPr>
          </w:pPr>
        </w:p>
        <w:p w14:paraId="577A20AC" w14:textId="737F130E" w:rsidR="00E93720" w:rsidRPr="00FE24DB" w:rsidRDefault="00AD5B83" w:rsidP="00AD5B83">
          <w:pPr>
            <w:pStyle w:val="Default"/>
            <w:jc w:val="both"/>
            <w:rPr>
              <w:rFonts w:ascii="Times New Roman" w:hAnsi="Times New Roman" w:cs="Times New Roman"/>
              <w:b/>
              <w:bCs/>
              <w:color w:val="1F3864" w:themeColor="accent1" w:themeShade="80"/>
            </w:rPr>
          </w:pPr>
          <w:r w:rsidRPr="00FE24DB">
            <w:rPr>
              <w:rFonts w:ascii="Times New Roman" w:hAnsi="Times New Roman" w:cs="Times New Roman"/>
              <w:b/>
              <w:bCs/>
              <w:color w:val="1F3864" w:themeColor="accent1" w:themeShade="80"/>
            </w:rPr>
            <w:t>Créditos judiciales</w:t>
          </w:r>
        </w:p>
        <w:p w14:paraId="5B2ADC37" w14:textId="77777777" w:rsidR="00AD5B83" w:rsidRPr="00FE24DB" w:rsidRDefault="00AD5B83" w:rsidP="00513EE1">
          <w:pPr>
            <w:pStyle w:val="Prrafodelista"/>
            <w:spacing w:after="0" w:line="257" w:lineRule="auto"/>
            <w:ind w:left="-20" w:right="-20"/>
            <w:jc w:val="both"/>
            <w:rPr>
              <w:rFonts w:ascii="Times New Roman" w:hAnsi="Times New Roman"/>
              <w:sz w:val="24"/>
              <w:szCs w:val="24"/>
              <w:lang w:val="es"/>
            </w:rPr>
          </w:pPr>
        </w:p>
        <w:p w14:paraId="4F6712BE" w14:textId="77777777" w:rsidR="00E93720" w:rsidRDefault="00E93720" w:rsidP="00E93720">
          <w:pPr>
            <w:spacing w:line="257" w:lineRule="auto"/>
            <w:ind w:left="-20" w:right="-20"/>
            <w:jc w:val="both"/>
          </w:pPr>
          <w:r w:rsidRPr="02E3AD61">
            <w:rPr>
              <w:rFonts w:ascii="Times New Roman" w:eastAsia="Times New Roman" w:hAnsi="Times New Roman"/>
              <w:sz w:val="24"/>
              <w:szCs w:val="24"/>
            </w:rPr>
            <w:t xml:space="preserve">En el grupo 4.8 Otros Ingresos, cuenta 4.8.02 Financieros, subcuenta contable 4.8.02.20.006 Ganancia por bajas en cuentas de cuentas por pagar - Créditos Judiciales, se registró un valor de $131.315.936, a nombre de la Concesionaria Ruta del Cacao S.A.S., producto de la actualización de la deuda reportada </w:t>
          </w:r>
          <w:r w:rsidRPr="02E3AD61">
            <w:rPr>
              <w:rFonts w:ascii="Times New Roman" w:eastAsia="Times New Roman" w:hAnsi="Times New Roman"/>
              <w:color w:val="000000" w:themeColor="text1"/>
              <w:sz w:val="24"/>
              <w:szCs w:val="24"/>
            </w:rPr>
            <w:t xml:space="preserve">en el formato GCSP-F-006-Liquidación de la deuda a 31 </w:t>
          </w:r>
          <w:r w:rsidRPr="02E3AD61">
            <w:rPr>
              <w:rFonts w:ascii="Times New Roman" w:eastAsia="Times New Roman" w:hAnsi="Times New Roman"/>
              <w:color w:val="000000" w:themeColor="text1"/>
              <w:sz w:val="24"/>
              <w:szCs w:val="24"/>
            </w:rPr>
            <w:lastRenderedPageBreak/>
            <w:t xml:space="preserve">de diciembre de 2023 del  proyecto BUCARAMANGA- BARRANCA -YONDO, Contrato No. 013 del 15 de agosto de 2015, por el </w:t>
          </w:r>
          <w:r w:rsidRPr="02E3AD61">
            <w:rPr>
              <w:rFonts w:ascii="Times New Roman" w:eastAsia="Times New Roman" w:hAnsi="Times New Roman"/>
              <w:sz w:val="24"/>
              <w:szCs w:val="24"/>
            </w:rPr>
            <w:t>Laudo arbitral No. 127211, ejecutoriado el 17/06/2022, en</w:t>
          </w:r>
          <w:r w:rsidRPr="02E3AD61">
            <w:rPr>
              <w:rFonts w:ascii="Times New Roman" w:eastAsia="Times New Roman" w:hAnsi="Times New Roman"/>
              <w:color w:val="000000" w:themeColor="text1"/>
              <w:sz w:val="24"/>
              <w:szCs w:val="24"/>
            </w:rPr>
            <w:t xml:space="preserve"> donde reportaron una </w:t>
          </w:r>
          <w:r w:rsidRPr="02E3AD61">
            <w:rPr>
              <w:rFonts w:ascii="Times New Roman" w:eastAsia="Times New Roman" w:hAnsi="Times New Roman"/>
              <w:sz w:val="24"/>
              <w:szCs w:val="24"/>
            </w:rPr>
            <w:t>d</w:t>
          </w:r>
          <w:r w:rsidRPr="02E3AD61">
            <w:rPr>
              <w:rFonts w:ascii="Times New Roman" w:eastAsia="Times New Roman" w:hAnsi="Times New Roman"/>
              <w:color w:val="000000" w:themeColor="text1"/>
              <w:sz w:val="24"/>
              <w:szCs w:val="24"/>
            </w:rPr>
            <w:t>isminución del valor de los intereses con respecto al reporte anterior (30 de junio de 2023), intereses causados en la vigencia 2023, por valor de $600.052.781 y en vigencias anteriores por valor de $131.315.936.</w:t>
          </w:r>
        </w:p>
        <w:p w14:paraId="4046E69A" w14:textId="77777777" w:rsidR="00E93720" w:rsidRDefault="00E93720" w:rsidP="00E93720">
          <w:pPr>
            <w:spacing w:line="257" w:lineRule="auto"/>
            <w:ind w:left="-20" w:right="-20"/>
            <w:jc w:val="both"/>
          </w:pPr>
          <w:r w:rsidRPr="02E3AD61">
            <w:rPr>
              <w:rFonts w:ascii="Times New Roman" w:eastAsia="Times New Roman" w:hAnsi="Times New Roman"/>
              <w:color w:val="000000" w:themeColor="text1"/>
              <w:sz w:val="24"/>
              <w:szCs w:val="24"/>
            </w:rPr>
            <w:t>El ajuste del valor de los intereses se produjo con la RESOLUCIÓN No. 20237010018795 del 29-12-2023 de la Agencia Nacional de Infraestructura “</w:t>
          </w:r>
          <w:r w:rsidRPr="02E3AD61">
            <w:rPr>
              <w:rFonts w:ascii="Times New Roman" w:eastAsia="Times New Roman" w:hAnsi="Times New Roman"/>
              <w:i/>
              <w:iCs/>
              <w:sz w:val="24"/>
              <w:szCs w:val="24"/>
            </w:rPr>
            <w:t xml:space="preserve">Por la cual se reconoce el gasto y se ordena el pago parcial de la condena impuesta mediante laudo proferido el 17 de junio de 2022, por el tribunal convocado por la Concesionaria Ruta del Cacao S.A.S. contra la Agencia Nacional de Infraestructura con Radicado CCB 127211”; </w:t>
          </w:r>
          <w:r w:rsidRPr="02E3AD61">
            <w:rPr>
              <w:rFonts w:ascii="Times New Roman" w:eastAsia="Times New Roman" w:hAnsi="Times New Roman"/>
              <w:sz w:val="24"/>
              <w:szCs w:val="24"/>
            </w:rPr>
            <w:t>e</w:t>
          </w:r>
          <w:r w:rsidRPr="02E3AD61">
            <w:rPr>
              <w:rFonts w:ascii="Times New Roman" w:eastAsia="Times New Roman" w:hAnsi="Times New Roman"/>
              <w:color w:val="000000" w:themeColor="text1"/>
              <w:sz w:val="24"/>
              <w:szCs w:val="24"/>
            </w:rPr>
            <w:t xml:space="preserve">n esta resolución, se indica que el Concesionario presentó la cuenta de cobro el 26 de diciembre de 2023, e igualmente indica que: </w:t>
          </w:r>
        </w:p>
        <w:p w14:paraId="7B098B24" w14:textId="77777777" w:rsidR="00E93720" w:rsidRDefault="00E93720" w:rsidP="00E93720">
          <w:pPr>
            <w:spacing w:line="257" w:lineRule="auto"/>
            <w:ind w:left="-20" w:right="900"/>
            <w:jc w:val="both"/>
          </w:pPr>
          <w:r w:rsidRPr="02E3AD61">
            <w:rPr>
              <w:rFonts w:ascii="Times New Roman" w:eastAsia="Times New Roman" w:hAnsi="Times New Roman"/>
              <w:i/>
              <w:iCs/>
              <w:sz w:val="24"/>
              <w:szCs w:val="24"/>
            </w:rPr>
            <w:t>“(…)</w:t>
          </w:r>
        </w:p>
        <w:p w14:paraId="382BE52E" w14:textId="77777777" w:rsidR="00E93720" w:rsidRDefault="00E93720" w:rsidP="00AD5B83">
          <w:pPr>
            <w:ind w:left="708" w:right="900"/>
            <w:jc w:val="both"/>
          </w:pPr>
          <w:r w:rsidRPr="02E3AD61">
            <w:rPr>
              <w:rFonts w:ascii="Times New Roman" w:eastAsia="Times New Roman" w:hAnsi="Times New Roman"/>
              <w:b/>
              <w:bCs/>
              <w:i/>
              <w:iCs/>
              <w:sz w:val="24"/>
              <w:szCs w:val="24"/>
              <w:u w:val="single"/>
            </w:rPr>
            <w:t>Se da claridad en que del periodo del 6 de octubre de 2022 al 25 de diciembre de 2023, cesaron los intereses a favor del concesionario, de conformidad a lo señalado en la Ley 1437 de 2011</w:t>
          </w:r>
          <w:r w:rsidRPr="02E3AD61">
            <w:rPr>
              <w:rFonts w:ascii="Times New Roman" w:eastAsia="Times New Roman" w:hAnsi="Times New Roman"/>
              <w:i/>
              <w:iCs/>
              <w:sz w:val="24"/>
              <w:szCs w:val="24"/>
            </w:rPr>
            <w:t xml:space="preserve"> que indica en su artículo 192 Cumplimiento de sentencias o conciliaciones por parte de las entidades públicas, lo siguiente: (...) “Cumplidos tres (3) meses desde la ejecutoria de la providencia que imponga o liquide una condena o de la que apruebe una conciliación, sin que los beneficiarios hayan acudido ante la entidad responsable para hacerla efectiva, cesará la causación de intereses desde entonces hasta cuando se presente la solicitud.” (...)</w:t>
          </w:r>
        </w:p>
        <w:p w14:paraId="3CDBC7F7" w14:textId="4FBB37C3" w:rsidR="00E93720" w:rsidRDefault="00E93720" w:rsidP="00AD5B83">
          <w:pPr>
            <w:ind w:left="-20" w:right="900"/>
            <w:jc w:val="both"/>
          </w:pPr>
          <w:r w:rsidRPr="02E3AD61">
            <w:rPr>
              <w:rFonts w:ascii="Times New Roman" w:eastAsia="Times New Roman" w:hAnsi="Times New Roman"/>
              <w:i/>
              <w:iCs/>
              <w:sz w:val="24"/>
              <w:szCs w:val="24"/>
            </w:rPr>
            <w:t xml:space="preserve"> (…)”  </w:t>
          </w:r>
          <w:r w:rsidRPr="02E3AD61">
            <w:rPr>
              <w:rFonts w:ascii="Times New Roman" w:eastAsia="Times New Roman" w:hAnsi="Times New Roman"/>
              <w:sz w:val="24"/>
              <w:szCs w:val="24"/>
            </w:rPr>
            <w:t>Subrayado y negrita fuera de texto</w:t>
          </w:r>
        </w:p>
        <w:p w14:paraId="56931D54" w14:textId="77777777" w:rsidR="00E93720" w:rsidRDefault="00E93720" w:rsidP="00E93720">
          <w:pPr>
            <w:ind w:left="-20" w:right="-20"/>
            <w:jc w:val="both"/>
            <w:rPr>
              <w:rFonts w:ascii="Times New Roman" w:eastAsia="Times New Roman" w:hAnsi="Times New Roman"/>
              <w:sz w:val="24"/>
              <w:szCs w:val="24"/>
            </w:rPr>
          </w:pPr>
          <w:r w:rsidRPr="02E3AD61">
            <w:rPr>
              <w:rFonts w:ascii="Times New Roman" w:eastAsia="Times New Roman" w:hAnsi="Times New Roman"/>
              <w:sz w:val="24"/>
              <w:szCs w:val="24"/>
            </w:rPr>
            <w:t xml:space="preserve">La contrapartida de este registro se produjo en la subcuenta contable 2.4.60.92.001 Intereses de laudos arbitrales y conciliaciones extrajudiciales. </w:t>
          </w:r>
        </w:p>
        <w:p w14:paraId="0FCC7545" w14:textId="77777777" w:rsidR="00BE4EE6" w:rsidRDefault="00BE4EE6" w:rsidP="00BE4EE6">
          <w:pPr>
            <w:pStyle w:val="Prrafodelista"/>
            <w:spacing w:after="0" w:line="257" w:lineRule="auto"/>
            <w:ind w:left="-20" w:right="-20"/>
            <w:jc w:val="both"/>
            <w:rPr>
              <w:rFonts w:ascii="Times New Roman" w:hAnsi="Times New Roman"/>
              <w:b/>
              <w:bCs/>
              <w:color w:val="1F3864" w:themeColor="accent1" w:themeShade="80"/>
              <w:lang w:val="es"/>
            </w:rPr>
          </w:pPr>
        </w:p>
        <w:p w14:paraId="2041099B" w14:textId="635D5D2D" w:rsidR="00BE4EE6" w:rsidRPr="00BE4EE6" w:rsidRDefault="00BE4EE6" w:rsidP="00BE4EE6">
          <w:pPr>
            <w:pStyle w:val="Prrafodelista"/>
            <w:spacing w:after="0" w:line="257" w:lineRule="auto"/>
            <w:ind w:left="-20" w:right="-20"/>
            <w:jc w:val="both"/>
            <w:rPr>
              <w:rFonts w:ascii="Times New Roman" w:hAnsi="Times New Roman"/>
              <w:b/>
              <w:bCs/>
              <w:color w:val="1F3864" w:themeColor="accent1" w:themeShade="80"/>
              <w:lang w:val="es"/>
            </w:rPr>
          </w:pPr>
          <w:r w:rsidRPr="00BE4EE6">
            <w:rPr>
              <w:rFonts w:ascii="Times New Roman" w:hAnsi="Times New Roman"/>
              <w:b/>
              <w:bCs/>
              <w:color w:val="1F3864" w:themeColor="accent1" w:themeShade="80"/>
              <w:lang w:val="es"/>
            </w:rPr>
            <w:t>Otros ingresos financieros</w:t>
          </w:r>
        </w:p>
        <w:p w14:paraId="5E3CEB19" w14:textId="77777777" w:rsidR="00BE4EE6" w:rsidRDefault="00BE4EE6" w:rsidP="00AD5B83">
          <w:pPr>
            <w:spacing w:after="0" w:line="240" w:lineRule="auto"/>
            <w:jc w:val="both"/>
            <w:rPr>
              <w:rFonts w:ascii="Times New Roman" w:hAnsi="Times New Roman"/>
              <w:sz w:val="24"/>
              <w:szCs w:val="24"/>
            </w:rPr>
          </w:pPr>
        </w:p>
        <w:p w14:paraId="53DC907F" w14:textId="77777777" w:rsidR="00AD5B83" w:rsidRPr="00BE4EE6" w:rsidRDefault="00AD5B83" w:rsidP="00AD5B83">
          <w:pPr>
            <w:spacing w:after="0" w:line="240" w:lineRule="auto"/>
            <w:jc w:val="both"/>
            <w:rPr>
              <w:rFonts w:ascii="Times New Roman" w:hAnsi="Times New Roman"/>
              <w:sz w:val="24"/>
              <w:szCs w:val="24"/>
            </w:rPr>
          </w:pPr>
          <w:r w:rsidRPr="00BE4EE6">
            <w:rPr>
              <w:rFonts w:ascii="Times New Roman" w:hAnsi="Times New Roman"/>
              <w:sz w:val="24"/>
              <w:szCs w:val="24"/>
            </w:rPr>
            <w:t>La explicación a este comportamiento obedece al reconocimiento de la amortización del pasivo diferido por acuerdos de concesión de los modos de transporte Carretero, Férreo y Portuario, en atención a las técnicas establecidas para la estimación y medición de los activos y pasivos de infraestructura de transporte. (Ver Nota. 24)</w:t>
          </w:r>
        </w:p>
        <w:p w14:paraId="4FA04083" w14:textId="77777777" w:rsidR="00AD5B83" w:rsidRPr="00931DCE" w:rsidRDefault="00AD5B83" w:rsidP="00AD5B83">
          <w:pPr>
            <w:pStyle w:val="Default"/>
            <w:jc w:val="both"/>
            <w:rPr>
              <w:rFonts w:ascii="Times New Roman" w:hAnsi="Times New Roman" w:cs="Times New Roman"/>
              <w:sz w:val="18"/>
              <w:szCs w:val="18"/>
              <w:highlight w:val="cyan"/>
            </w:rPr>
          </w:pPr>
        </w:p>
        <w:p w14:paraId="51D7BC67" w14:textId="77777777" w:rsidR="00AD5B83" w:rsidRPr="00931DCE" w:rsidRDefault="00AD5B83" w:rsidP="00AD5B83">
          <w:pPr>
            <w:spacing w:after="0" w:line="240" w:lineRule="auto"/>
            <w:jc w:val="both"/>
            <w:rPr>
              <w:rFonts w:ascii="Times New Roman" w:hAnsi="Times New Roman"/>
              <w:sz w:val="24"/>
              <w:szCs w:val="24"/>
            </w:rPr>
          </w:pPr>
          <w:r w:rsidRPr="00931DCE">
            <w:rPr>
              <w:rFonts w:ascii="Times New Roman" w:hAnsi="Times New Roman"/>
              <w:sz w:val="24"/>
              <w:szCs w:val="24"/>
            </w:rPr>
            <w:t>A continuación, se discriminan los saldos a nivel de terceros que componen el citado concepto por modo de transporte, de acuerdo con su relevancia:</w:t>
          </w:r>
        </w:p>
        <w:p w14:paraId="5C639AF3" w14:textId="77777777" w:rsidR="00AD5B83" w:rsidRPr="00931DCE" w:rsidRDefault="00AD5B83" w:rsidP="00AD5B83">
          <w:pPr>
            <w:spacing w:after="0" w:line="240" w:lineRule="auto"/>
            <w:jc w:val="both"/>
            <w:rPr>
              <w:rFonts w:ascii="Times New Roman" w:hAnsi="Times New Roman"/>
              <w:sz w:val="18"/>
              <w:szCs w:val="18"/>
            </w:rPr>
          </w:pPr>
        </w:p>
        <w:p w14:paraId="743C4CD1" w14:textId="77777777" w:rsidR="00AD5B83" w:rsidRPr="00931DCE" w:rsidRDefault="00AD5B83" w:rsidP="00AD5B83">
          <w:pPr>
            <w:spacing w:after="0" w:line="240" w:lineRule="auto"/>
            <w:jc w:val="both"/>
            <w:rPr>
              <w:rFonts w:ascii="Times New Roman" w:hAnsi="Times New Roman"/>
              <w:sz w:val="16"/>
              <w:szCs w:val="16"/>
            </w:rPr>
          </w:pPr>
          <w:r w:rsidRPr="00931DCE">
            <w:rPr>
              <w:rFonts w:ascii="Times New Roman" w:hAnsi="Times New Roman"/>
              <w:sz w:val="24"/>
              <w:szCs w:val="24"/>
              <w:u w:val="single"/>
            </w:rPr>
            <w:t>Carretero</w:t>
          </w:r>
        </w:p>
        <w:p w14:paraId="485BE762" w14:textId="77777777" w:rsidR="00AD5B83" w:rsidRPr="00931DCE" w:rsidRDefault="00AD5B83" w:rsidP="00AD5B83">
          <w:pPr>
            <w:spacing w:after="0" w:line="240" w:lineRule="auto"/>
            <w:jc w:val="both"/>
            <w:rPr>
              <w:rFonts w:ascii="Times New Roman" w:hAnsi="Times New Roman"/>
              <w:sz w:val="16"/>
              <w:szCs w:val="16"/>
            </w:rPr>
          </w:pPr>
          <w:r w:rsidRPr="00931DCE">
            <w:rPr>
              <w:rFonts w:ascii="Times New Roman" w:hAnsi="Times New Roman"/>
              <w:sz w:val="16"/>
              <w:szCs w:val="16"/>
            </w:rPr>
            <w:t xml:space="preserve"> </w:t>
          </w:r>
        </w:p>
        <w:p w14:paraId="0FB18780" w14:textId="77777777" w:rsidR="00AD5B83" w:rsidRDefault="00AD5B83" w:rsidP="00AD5B83">
          <w:pPr>
            <w:spacing w:after="0" w:line="240" w:lineRule="auto"/>
            <w:jc w:val="both"/>
            <w:rPr>
              <w:rFonts w:ascii="Times New Roman" w:hAnsi="Times New Roman"/>
              <w:sz w:val="14"/>
              <w:szCs w:val="14"/>
              <w:highlight w:val="yellow"/>
            </w:rPr>
          </w:pPr>
        </w:p>
        <w:p w14:paraId="3776736B" w14:textId="77777777" w:rsidR="00297FB0" w:rsidRDefault="00297FB0" w:rsidP="007D60DD">
          <w:pPr>
            <w:spacing w:after="0" w:line="240" w:lineRule="auto"/>
            <w:jc w:val="center"/>
            <w:rPr>
              <w:rFonts w:ascii="Times New Roman" w:eastAsia="Times New Roman" w:hAnsi="Times New Roman"/>
              <w:b/>
              <w:bCs/>
              <w:color w:val="000000"/>
              <w:sz w:val="16"/>
              <w:szCs w:val="16"/>
              <w:lang w:eastAsia="es-CO"/>
            </w:rPr>
            <w:sectPr w:rsidR="00297FB0" w:rsidSect="00376BDD">
              <w:type w:val="continuous"/>
              <w:pgSz w:w="12240" w:h="15840"/>
              <w:pgMar w:top="1418" w:right="1418" w:bottom="1418" w:left="1843" w:header="680" w:footer="709" w:gutter="0"/>
              <w:pgNumType w:start="149"/>
              <w:cols w:space="708"/>
              <w:titlePg/>
              <w:docGrid w:linePitch="360"/>
            </w:sectPr>
          </w:pPr>
        </w:p>
        <w:tbl>
          <w:tblPr>
            <w:tblW w:w="4385" w:type="dxa"/>
            <w:tblBorders>
              <w:top w:val="single" w:sz="8" w:space="0" w:color="A6A6A6"/>
              <w:left w:val="single" w:sz="8" w:space="0" w:color="A6A6A6"/>
              <w:bottom w:val="single" w:sz="8" w:space="0" w:color="A6A6A6"/>
              <w:right w:val="single" w:sz="8" w:space="0" w:color="A6A6A6"/>
              <w:insideH w:val="single" w:sz="6" w:space="0" w:color="A6A6A6"/>
              <w:insideV w:val="single" w:sz="6" w:space="0" w:color="A6A6A6"/>
            </w:tblBorders>
            <w:tblLayout w:type="fixed"/>
            <w:tblCellMar>
              <w:left w:w="70" w:type="dxa"/>
              <w:right w:w="70" w:type="dxa"/>
            </w:tblCellMar>
            <w:tblLook w:val="04A0" w:firstRow="1" w:lastRow="0" w:firstColumn="1" w:lastColumn="0" w:noHBand="0" w:noVBand="1"/>
          </w:tblPr>
          <w:tblGrid>
            <w:gridCol w:w="950"/>
            <w:gridCol w:w="2017"/>
            <w:gridCol w:w="1418"/>
          </w:tblGrid>
          <w:tr w:rsidR="00BB71C3" w:rsidRPr="00BE1AE6" w14:paraId="76C6BB36" w14:textId="77777777" w:rsidTr="00BE1AE6">
            <w:trPr>
              <w:trHeight w:val="420"/>
              <w:tblHeader/>
            </w:trPr>
            <w:tc>
              <w:tcPr>
                <w:tcW w:w="2967" w:type="dxa"/>
                <w:gridSpan w:val="2"/>
                <w:shd w:val="clear" w:color="auto" w:fill="auto"/>
                <w:vAlign w:val="center"/>
                <w:hideMark/>
              </w:tcPr>
              <w:p w14:paraId="17DBC4DB" w14:textId="77777777" w:rsidR="00BB71C3" w:rsidRPr="00BE1AE6" w:rsidRDefault="00BB71C3" w:rsidP="00BB71C3">
                <w:pPr>
                  <w:spacing w:after="0" w:line="240" w:lineRule="auto"/>
                  <w:jc w:val="center"/>
                  <w:rPr>
                    <w:rFonts w:ascii="Times New Roman" w:eastAsia="Times New Roman" w:hAnsi="Times New Roman"/>
                    <w:b/>
                    <w:bCs/>
                    <w:color w:val="000000"/>
                    <w:sz w:val="18"/>
                    <w:szCs w:val="18"/>
                    <w:lang w:eastAsia="es-CO"/>
                  </w:rPr>
                </w:pPr>
                <w:r w:rsidRPr="00BE1AE6">
                  <w:rPr>
                    <w:rFonts w:ascii="Times New Roman" w:eastAsia="Times New Roman" w:hAnsi="Times New Roman"/>
                    <w:b/>
                    <w:bCs/>
                    <w:color w:val="000000"/>
                    <w:sz w:val="18"/>
                    <w:szCs w:val="18"/>
                    <w:lang w:eastAsia="es-CO"/>
                  </w:rPr>
                  <w:t>TERCERO</w:t>
                </w:r>
              </w:p>
            </w:tc>
            <w:tc>
              <w:tcPr>
                <w:tcW w:w="1418" w:type="dxa"/>
                <w:shd w:val="clear" w:color="auto" w:fill="auto"/>
                <w:vAlign w:val="center"/>
                <w:hideMark/>
              </w:tcPr>
              <w:p w14:paraId="651BCE50" w14:textId="77777777" w:rsidR="00BB71C3" w:rsidRPr="00BE1AE6" w:rsidRDefault="00BB71C3" w:rsidP="00BE1AE6">
                <w:pPr>
                  <w:spacing w:after="0" w:line="240" w:lineRule="auto"/>
                  <w:jc w:val="right"/>
                  <w:rPr>
                    <w:rFonts w:ascii="Times New Roman" w:eastAsia="Times New Roman" w:hAnsi="Times New Roman"/>
                    <w:b/>
                    <w:bCs/>
                    <w:color w:val="000000"/>
                    <w:sz w:val="18"/>
                    <w:szCs w:val="18"/>
                    <w:lang w:eastAsia="es-CO"/>
                  </w:rPr>
                </w:pPr>
                <w:r w:rsidRPr="00BE1AE6">
                  <w:rPr>
                    <w:rFonts w:ascii="Times New Roman" w:eastAsia="Times New Roman" w:hAnsi="Times New Roman"/>
                    <w:b/>
                    <w:bCs/>
                    <w:color w:val="000000"/>
                    <w:sz w:val="18"/>
                    <w:szCs w:val="18"/>
                    <w:lang w:eastAsia="es-CO"/>
                  </w:rPr>
                  <w:t>SALDO 2023</w:t>
                </w:r>
              </w:p>
            </w:tc>
          </w:tr>
          <w:tr w:rsidR="00BB71C3" w:rsidRPr="00BE1AE6" w14:paraId="20BF81A9" w14:textId="77777777" w:rsidTr="00BE1AE6">
            <w:trPr>
              <w:trHeight w:val="340"/>
            </w:trPr>
            <w:tc>
              <w:tcPr>
                <w:tcW w:w="950" w:type="dxa"/>
                <w:shd w:val="clear" w:color="auto" w:fill="auto"/>
                <w:vAlign w:val="center"/>
                <w:hideMark/>
              </w:tcPr>
              <w:p w14:paraId="4108F2E4"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830025490</w:t>
                </w:r>
              </w:p>
            </w:tc>
            <w:tc>
              <w:tcPr>
                <w:tcW w:w="2017" w:type="dxa"/>
                <w:shd w:val="clear" w:color="auto" w:fill="auto"/>
                <w:vAlign w:val="center"/>
                <w:hideMark/>
              </w:tcPr>
              <w:p w14:paraId="0F5ADA71" w14:textId="77777777" w:rsidR="00BB71C3" w:rsidRPr="00BE1AE6" w:rsidRDefault="00BB71C3" w:rsidP="00BE1AE6">
                <w:pPr>
                  <w:spacing w:after="0" w:line="240" w:lineRule="auto"/>
                  <w:jc w:val="both"/>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AUTOPISTAS DEL CAFE S.A.</w:t>
                </w:r>
              </w:p>
            </w:tc>
            <w:tc>
              <w:tcPr>
                <w:tcW w:w="1418" w:type="dxa"/>
                <w:shd w:val="clear" w:color="auto" w:fill="auto"/>
                <w:vAlign w:val="center"/>
                <w:hideMark/>
              </w:tcPr>
              <w:p w14:paraId="2B7ACAB6"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103.662.077.407</w:t>
                </w:r>
              </w:p>
            </w:tc>
          </w:tr>
          <w:tr w:rsidR="00BB71C3" w:rsidRPr="00BE1AE6" w14:paraId="00967D31" w14:textId="77777777" w:rsidTr="00BE1AE6">
            <w:trPr>
              <w:trHeight w:val="340"/>
            </w:trPr>
            <w:tc>
              <w:tcPr>
                <w:tcW w:w="950" w:type="dxa"/>
                <w:shd w:val="clear" w:color="auto" w:fill="auto"/>
                <w:vAlign w:val="center"/>
                <w:hideMark/>
              </w:tcPr>
              <w:p w14:paraId="6DDDE631"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900848064</w:t>
                </w:r>
              </w:p>
            </w:tc>
            <w:tc>
              <w:tcPr>
                <w:tcW w:w="2017" w:type="dxa"/>
                <w:shd w:val="clear" w:color="auto" w:fill="auto"/>
                <w:vAlign w:val="center"/>
                <w:hideMark/>
              </w:tcPr>
              <w:p w14:paraId="74D4CFAC" w14:textId="77777777" w:rsidR="00BB71C3" w:rsidRPr="00BE1AE6" w:rsidRDefault="00BB71C3" w:rsidP="00BE1AE6">
                <w:pPr>
                  <w:spacing w:after="0" w:line="240" w:lineRule="auto"/>
                  <w:jc w:val="both"/>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 xml:space="preserve">CONCESIONARIA VIAL ANDINA S A S  </w:t>
                </w:r>
              </w:p>
            </w:tc>
            <w:tc>
              <w:tcPr>
                <w:tcW w:w="1418" w:type="dxa"/>
                <w:shd w:val="clear" w:color="auto" w:fill="auto"/>
                <w:vAlign w:val="center"/>
                <w:hideMark/>
              </w:tcPr>
              <w:p w14:paraId="232FECA7"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86.547.797.704</w:t>
                </w:r>
              </w:p>
            </w:tc>
          </w:tr>
          <w:tr w:rsidR="00BB71C3" w:rsidRPr="00BE1AE6" w14:paraId="649BF6B3" w14:textId="77777777" w:rsidTr="00BE1AE6">
            <w:trPr>
              <w:trHeight w:val="340"/>
            </w:trPr>
            <w:tc>
              <w:tcPr>
                <w:tcW w:w="950" w:type="dxa"/>
                <w:shd w:val="clear" w:color="auto" w:fill="auto"/>
                <w:vAlign w:val="center"/>
                <w:hideMark/>
              </w:tcPr>
              <w:p w14:paraId="284D6EF5"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lastRenderedPageBreak/>
                  <w:t>900862215</w:t>
                </w:r>
              </w:p>
            </w:tc>
            <w:tc>
              <w:tcPr>
                <w:tcW w:w="2017" w:type="dxa"/>
                <w:shd w:val="clear" w:color="auto" w:fill="auto"/>
                <w:vAlign w:val="center"/>
                <w:hideMark/>
              </w:tcPr>
              <w:p w14:paraId="3DA682A6" w14:textId="77777777" w:rsidR="00BB71C3" w:rsidRPr="00BE1AE6" w:rsidRDefault="00BB71C3" w:rsidP="00BE1AE6">
                <w:pPr>
                  <w:spacing w:after="0" w:line="240" w:lineRule="auto"/>
                  <w:jc w:val="both"/>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CONCESIONARIA VIAL DEL ORIENTE S A S</w:t>
                </w:r>
              </w:p>
            </w:tc>
            <w:tc>
              <w:tcPr>
                <w:tcW w:w="1418" w:type="dxa"/>
                <w:shd w:val="clear" w:color="auto" w:fill="auto"/>
                <w:vAlign w:val="center"/>
                <w:hideMark/>
              </w:tcPr>
              <w:p w14:paraId="37EEF0E3"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79.625.325.502</w:t>
                </w:r>
              </w:p>
            </w:tc>
          </w:tr>
          <w:tr w:rsidR="00BB71C3" w:rsidRPr="00BE1AE6" w14:paraId="26545D25" w14:textId="77777777" w:rsidTr="00BE1AE6">
            <w:trPr>
              <w:trHeight w:val="340"/>
            </w:trPr>
            <w:tc>
              <w:tcPr>
                <w:tcW w:w="950" w:type="dxa"/>
                <w:shd w:val="clear" w:color="auto" w:fill="auto"/>
                <w:vAlign w:val="center"/>
                <w:hideMark/>
              </w:tcPr>
              <w:p w14:paraId="4E5420BF"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900871368</w:t>
                </w:r>
              </w:p>
            </w:tc>
            <w:tc>
              <w:tcPr>
                <w:tcW w:w="2017" w:type="dxa"/>
                <w:shd w:val="clear" w:color="auto" w:fill="auto"/>
                <w:vAlign w:val="center"/>
                <w:hideMark/>
              </w:tcPr>
              <w:p w14:paraId="0C791290" w14:textId="77777777" w:rsidR="00BB71C3" w:rsidRPr="00BE1AE6" w:rsidRDefault="00BB71C3" w:rsidP="00BE1AE6">
                <w:pPr>
                  <w:spacing w:after="0" w:line="240" w:lineRule="auto"/>
                  <w:jc w:val="both"/>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CONCESIONARIA RUTA DEL CACAO S.A.S.</w:t>
                </w:r>
              </w:p>
            </w:tc>
            <w:tc>
              <w:tcPr>
                <w:tcW w:w="1418" w:type="dxa"/>
                <w:shd w:val="clear" w:color="auto" w:fill="auto"/>
                <w:vAlign w:val="center"/>
                <w:hideMark/>
              </w:tcPr>
              <w:p w14:paraId="1BC9C341"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64.219.121.538</w:t>
                </w:r>
              </w:p>
            </w:tc>
          </w:tr>
          <w:tr w:rsidR="00BB71C3" w:rsidRPr="00BE1AE6" w14:paraId="5110D13D" w14:textId="77777777" w:rsidTr="00BE1AE6">
            <w:trPr>
              <w:trHeight w:val="340"/>
            </w:trPr>
            <w:tc>
              <w:tcPr>
                <w:tcW w:w="950" w:type="dxa"/>
                <w:shd w:val="clear" w:color="auto" w:fill="auto"/>
                <w:vAlign w:val="center"/>
                <w:hideMark/>
              </w:tcPr>
              <w:p w14:paraId="0D8627B1"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900880846</w:t>
                </w:r>
              </w:p>
            </w:tc>
            <w:tc>
              <w:tcPr>
                <w:tcW w:w="2017" w:type="dxa"/>
                <w:shd w:val="clear" w:color="auto" w:fill="auto"/>
                <w:vAlign w:val="center"/>
                <w:hideMark/>
              </w:tcPr>
              <w:p w14:paraId="6EAD5D35" w14:textId="77777777" w:rsidR="00BB71C3" w:rsidRPr="00BE1AE6" w:rsidRDefault="00BB71C3" w:rsidP="00BE1AE6">
                <w:pPr>
                  <w:spacing w:after="0" w:line="240" w:lineRule="auto"/>
                  <w:jc w:val="both"/>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CONCESIONARIA VIAL UNIÓN DEL SUR S.A.S.</w:t>
                </w:r>
              </w:p>
            </w:tc>
            <w:tc>
              <w:tcPr>
                <w:tcW w:w="1418" w:type="dxa"/>
                <w:shd w:val="clear" w:color="auto" w:fill="auto"/>
                <w:vAlign w:val="center"/>
                <w:hideMark/>
              </w:tcPr>
              <w:p w14:paraId="0BDDA508"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55.542.855.102</w:t>
                </w:r>
              </w:p>
            </w:tc>
          </w:tr>
          <w:tr w:rsidR="00BB71C3" w:rsidRPr="00BE1AE6" w14:paraId="43779773" w14:textId="77777777" w:rsidTr="00BE1AE6">
            <w:trPr>
              <w:trHeight w:val="340"/>
            </w:trPr>
            <w:tc>
              <w:tcPr>
                <w:tcW w:w="950" w:type="dxa"/>
                <w:shd w:val="clear" w:color="auto" w:fill="auto"/>
                <w:vAlign w:val="center"/>
                <w:hideMark/>
              </w:tcPr>
              <w:p w14:paraId="0D37E6E2"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900744773</w:t>
                </w:r>
              </w:p>
            </w:tc>
            <w:tc>
              <w:tcPr>
                <w:tcW w:w="2017" w:type="dxa"/>
                <w:shd w:val="clear" w:color="auto" w:fill="auto"/>
                <w:vAlign w:val="center"/>
                <w:hideMark/>
              </w:tcPr>
              <w:p w14:paraId="34A117C9" w14:textId="77777777" w:rsidR="00BB71C3" w:rsidRPr="00BE1AE6" w:rsidRDefault="00BB71C3" w:rsidP="00BE1AE6">
                <w:pPr>
                  <w:spacing w:after="0" w:line="240" w:lineRule="auto"/>
                  <w:jc w:val="both"/>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CONCESIONARIA VIAL DEL PACIFICO S A S</w:t>
                </w:r>
              </w:p>
            </w:tc>
            <w:tc>
              <w:tcPr>
                <w:tcW w:w="1418" w:type="dxa"/>
                <w:shd w:val="clear" w:color="auto" w:fill="auto"/>
                <w:vAlign w:val="center"/>
                <w:hideMark/>
              </w:tcPr>
              <w:p w14:paraId="231A4FE4"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51.219.094.810</w:t>
                </w:r>
              </w:p>
            </w:tc>
          </w:tr>
          <w:tr w:rsidR="00BB71C3" w:rsidRPr="00BE1AE6" w14:paraId="10AD4DA3" w14:textId="77777777" w:rsidTr="00BE1AE6">
            <w:trPr>
              <w:trHeight w:val="340"/>
            </w:trPr>
            <w:tc>
              <w:tcPr>
                <w:tcW w:w="950" w:type="dxa"/>
                <w:shd w:val="clear" w:color="auto" w:fill="auto"/>
                <w:vAlign w:val="center"/>
                <w:hideMark/>
              </w:tcPr>
              <w:p w14:paraId="5DF9E467"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900920562</w:t>
                </w:r>
              </w:p>
            </w:tc>
            <w:tc>
              <w:tcPr>
                <w:tcW w:w="2017" w:type="dxa"/>
                <w:shd w:val="clear" w:color="auto" w:fill="auto"/>
                <w:vAlign w:val="center"/>
                <w:hideMark/>
              </w:tcPr>
              <w:p w14:paraId="56BC2426" w14:textId="77777777" w:rsidR="00BB71C3" w:rsidRPr="00BE1AE6" w:rsidRDefault="00BB71C3" w:rsidP="00BE1AE6">
                <w:pPr>
                  <w:spacing w:after="0" w:line="240" w:lineRule="auto"/>
                  <w:jc w:val="both"/>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CONCESION VIAS DEL NUS S.A.S</w:t>
                </w:r>
              </w:p>
            </w:tc>
            <w:tc>
              <w:tcPr>
                <w:tcW w:w="1418" w:type="dxa"/>
                <w:shd w:val="clear" w:color="auto" w:fill="auto"/>
                <w:vAlign w:val="center"/>
                <w:hideMark/>
              </w:tcPr>
              <w:p w14:paraId="0AC3B2C1"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50.851.331.673</w:t>
                </w:r>
              </w:p>
            </w:tc>
          </w:tr>
          <w:tr w:rsidR="00BB71C3" w:rsidRPr="00BE1AE6" w14:paraId="02B6920E" w14:textId="77777777" w:rsidTr="00BE1AE6">
            <w:trPr>
              <w:trHeight w:val="340"/>
            </w:trPr>
            <w:tc>
              <w:tcPr>
                <w:tcW w:w="950" w:type="dxa"/>
                <w:shd w:val="clear" w:color="auto" w:fill="auto"/>
                <w:vAlign w:val="center"/>
                <w:hideMark/>
              </w:tcPr>
              <w:p w14:paraId="6388308B"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811005050</w:t>
                </w:r>
              </w:p>
            </w:tc>
            <w:tc>
              <w:tcPr>
                <w:tcW w:w="2017" w:type="dxa"/>
                <w:shd w:val="clear" w:color="auto" w:fill="auto"/>
                <w:vAlign w:val="center"/>
                <w:hideMark/>
              </w:tcPr>
              <w:p w14:paraId="7ABB2586" w14:textId="77777777" w:rsidR="00BB71C3" w:rsidRPr="00BE1AE6" w:rsidRDefault="00BB71C3" w:rsidP="00BE1AE6">
                <w:pPr>
                  <w:spacing w:after="0" w:line="240" w:lineRule="auto"/>
                  <w:jc w:val="both"/>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DEVIMED S.A.</w:t>
                </w:r>
              </w:p>
            </w:tc>
            <w:tc>
              <w:tcPr>
                <w:tcW w:w="1418" w:type="dxa"/>
                <w:shd w:val="clear" w:color="auto" w:fill="auto"/>
                <w:vAlign w:val="center"/>
                <w:hideMark/>
              </w:tcPr>
              <w:p w14:paraId="789B8E7F"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50.227.544.141</w:t>
                </w:r>
              </w:p>
            </w:tc>
          </w:tr>
          <w:tr w:rsidR="00BB71C3" w:rsidRPr="00BE1AE6" w14:paraId="373564B6" w14:textId="77777777" w:rsidTr="00BE1AE6">
            <w:trPr>
              <w:trHeight w:val="340"/>
            </w:trPr>
            <w:tc>
              <w:tcPr>
                <w:tcW w:w="950" w:type="dxa"/>
                <w:shd w:val="clear" w:color="auto" w:fill="auto"/>
                <w:vAlign w:val="center"/>
                <w:hideMark/>
              </w:tcPr>
              <w:p w14:paraId="310DD690"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900740893</w:t>
                </w:r>
              </w:p>
            </w:tc>
            <w:tc>
              <w:tcPr>
                <w:tcW w:w="2017" w:type="dxa"/>
                <w:shd w:val="clear" w:color="auto" w:fill="auto"/>
                <w:vAlign w:val="center"/>
                <w:hideMark/>
              </w:tcPr>
              <w:p w14:paraId="7AED23FC" w14:textId="77777777" w:rsidR="00BB71C3" w:rsidRPr="00BE1AE6" w:rsidRDefault="00BB71C3" w:rsidP="00BE1AE6">
                <w:pPr>
                  <w:spacing w:after="0" w:line="240" w:lineRule="auto"/>
                  <w:jc w:val="both"/>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CONCESION LA PINTADA S.A.S.</w:t>
                </w:r>
              </w:p>
            </w:tc>
            <w:tc>
              <w:tcPr>
                <w:tcW w:w="1418" w:type="dxa"/>
                <w:shd w:val="clear" w:color="auto" w:fill="auto"/>
                <w:vAlign w:val="center"/>
                <w:hideMark/>
              </w:tcPr>
              <w:p w14:paraId="768A6AF0"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47.911.475.621</w:t>
                </w:r>
              </w:p>
            </w:tc>
          </w:tr>
          <w:tr w:rsidR="00BB71C3" w:rsidRPr="00BE1AE6" w14:paraId="5337C3B3" w14:textId="77777777" w:rsidTr="00BE1AE6">
            <w:trPr>
              <w:trHeight w:val="340"/>
            </w:trPr>
            <w:tc>
              <w:tcPr>
                <w:tcW w:w="950" w:type="dxa"/>
                <w:shd w:val="clear" w:color="auto" w:fill="auto"/>
                <w:vAlign w:val="center"/>
                <w:hideMark/>
              </w:tcPr>
              <w:p w14:paraId="166566C6"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901371481</w:t>
                </w:r>
              </w:p>
            </w:tc>
            <w:tc>
              <w:tcPr>
                <w:tcW w:w="2017" w:type="dxa"/>
                <w:shd w:val="clear" w:color="auto" w:fill="auto"/>
                <w:vAlign w:val="center"/>
                <w:hideMark/>
              </w:tcPr>
              <w:p w14:paraId="4B246670" w14:textId="77777777" w:rsidR="00BB71C3" w:rsidRPr="00BE1AE6" w:rsidRDefault="00BB71C3" w:rsidP="00BE1AE6">
                <w:pPr>
                  <w:spacing w:after="0" w:line="240" w:lineRule="auto"/>
                  <w:jc w:val="both"/>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BTS CONCESIONARIO S.A.S.</w:t>
                </w:r>
              </w:p>
            </w:tc>
            <w:tc>
              <w:tcPr>
                <w:tcW w:w="1418" w:type="dxa"/>
                <w:shd w:val="clear" w:color="auto" w:fill="auto"/>
                <w:vAlign w:val="center"/>
                <w:hideMark/>
              </w:tcPr>
              <w:p w14:paraId="4E7AAC7B"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47.560.942.318</w:t>
                </w:r>
              </w:p>
            </w:tc>
          </w:tr>
          <w:tr w:rsidR="00BB71C3" w:rsidRPr="00BE1AE6" w14:paraId="1BC4690A" w14:textId="77777777" w:rsidTr="00BE1AE6">
            <w:trPr>
              <w:trHeight w:val="340"/>
            </w:trPr>
            <w:tc>
              <w:tcPr>
                <w:tcW w:w="950" w:type="dxa"/>
                <w:shd w:val="clear" w:color="auto" w:fill="auto"/>
                <w:vAlign w:val="center"/>
                <w:hideMark/>
              </w:tcPr>
              <w:p w14:paraId="1D5B7BC7"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900373092</w:t>
                </w:r>
              </w:p>
            </w:tc>
            <w:tc>
              <w:tcPr>
                <w:tcW w:w="2017" w:type="dxa"/>
                <w:shd w:val="clear" w:color="auto" w:fill="auto"/>
                <w:vAlign w:val="center"/>
                <w:hideMark/>
              </w:tcPr>
              <w:p w14:paraId="59A83B49" w14:textId="77777777" w:rsidR="00BB71C3" w:rsidRPr="00BE1AE6" w:rsidRDefault="00BB71C3" w:rsidP="00BE1AE6">
                <w:pPr>
                  <w:spacing w:after="0" w:line="240" w:lineRule="auto"/>
                  <w:jc w:val="both"/>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YUMA CONCESIONARIA S A - EN REORGANIZACION</w:t>
                </w:r>
              </w:p>
            </w:tc>
            <w:tc>
              <w:tcPr>
                <w:tcW w:w="1418" w:type="dxa"/>
                <w:shd w:val="clear" w:color="auto" w:fill="auto"/>
                <w:vAlign w:val="center"/>
                <w:hideMark/>
              </w:tcPr>
              <w:p w14:paraId="25F74FFD"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46.643.802.885</w:t>
                </w:r>
              </w:p>
            </w:tc>
          </w:tr>
          <w:tr w:rsidR="00BB71C3" w:rsidRPr="00BE1AE6" w14:paraId="52868CEC" w14:textId="77777777" w:rsidTr="00BE1AE6">
            <w:trPr>
              <w:trHeight w:val="340"/>
            </w:trPr>
            <w:tc>
              <w:tcPr>
                <w:tcW w:w="950" w:type="dxa"/>
                <w:shd w:val="clear" w:color="auto" w:fill="auto"/>
                <w:vAlign w:val="center"/>
                <w:hideMark/>
              </w:tcPr>
              <w:p w14:paraId="58FE6D16"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900135168</w:t>
                </w:r>
              </w:p>
            </w:tc>
            <w:tc>
              <w:tcPr>
                <w:tcW w:w="2017" w:type="dxa"/>
                <w:shd w:val="clear" w:color="auto" w:fill="auto"/>
                <w:vAlign w:val="center"/>
                <w:hideMark/>
              </w:tcPr>
              <w:p w14:paraId="33ABD7A2" w14:textId="77777777" w:rsidR="00BB71C3" w:rsidRPr="00BE1AE6" w:rsidRDefault="00BB71C3" w:rsidP="00BE1AE6">
                <w:pPr>
                  <w:spacing w:after="0" w:line="240" w:lineRule="auto"/>
                  <w:jc w:val="both"/>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AUTOPISTAS DE LA SABANA S.A.S</w:t>
                </w:r>
              </w:p>
            </w:tc>
            <w:tc>
              <w:tcPr>
                <w:tcW w:w="1418" w:type="dxa"/>
                <w:shd w:val="clear" w:color="auto" w:fill="auto"/>
                <w:vAlign w:val="center"/>
                <w:hideMark/>
              </w:tcPr>
              <w:p w14:paraId="627C383E"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46.556.576.014</w:t>
                </w:r>
              </w:p>
            </w:tc>
          </w:tr>
          <w:tr w:rsidR="00BB71C3" w:rsidRPr="00BE1AE6" w14:paraId="47232E2C" w14:textId="77777777" w:rsidTr="00BE1AE6">
            <w:trPr>
              <w:trHeight w:val="340"/>
            </w:trPr>
            <w:tc>
              <w:tcPr>
                <w:tcW w:w="950" w:type="dxa"/>
                <w:shd w:val="clear" w:color="auto" w:fill="auto"/>
                <w:vAlign w:val="center"/>
                <w:hideMark/>
              </w:tcPr>
              <w:p w14:paraId="0ED910E1"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900903279</w:t>
                </w:r>
              </w:p>
            </w:tc>
            <w:tc>
              <w:tcPr>
                <w:tcW w:w="2017" w:type="dxa"/>
                <w:shd w:val="clear" w:color="auto" w:fill="auto"/>
                <w:vAlign w:val="center"/>
                <w:hideMark/>
              </w:tcPr>
              <w:p w14:paraId="386944BB" w14:textId="77777777" w:rsidR="00BB71C3" w:rsidRPr="00BE1AE6" w:rsidRDefault="00BB71C3" w:rsidP="00BE1AE6">
                <w:pPr>
                  <w:spacing w:after="0" w:line="240" w:lineRule="auto"/>
                  <w:jc w:val="both"/>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AUTOVIA NEIVA GIRARDOT S.A.S</w:t>
                </w:r>
              </w:p>
            </w:tc>
            <w:tc>
              <w:tcPr>
                <w:tcW w:w="1418" w:type="dxa"/>
                <w:shd w:val="clear" w:color="auto" w:fill="auto"/>
                <w:vAlign w:val="center"/>
                <w:hideMark/>
              </w:tcPr>
              <w:p w14:paraId="397E8E3B"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41.184.441.962</w:t>
                </w:r>
              </w:p>
            </w:tc>
          </w:tr>
          <w:tr w:rsidR="00BB71C3" w:rsidRPr="00BE1AE6" w14:paraId="5514D44F" w14:textId="77777777" w:rsidTr="00BE1AE6">
            <w:trPr>
              <w:trHeight w:val="340"/>
            </w:trPr>
            <w:tc>
              <w:tcPr>
                <w:tcW w:w="950" w:type="dxa"/>
                <w:shd w:val="clear" w:color="auto" w:fill="auto"/>
                <w:vAlign w:val="center"/>
                <w:hideMark/>
              </w:tcPr>
              <w:p w14:paraId="2BAF256D"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900763357</w:t>
                </w:r>
              </w:p>
            </w:tc>
            <w:tc>
              <w:tcPr>
                <w:tcW w:w="2017" w:type="dxa"/>
                <w:shd w:val="clear" w:color="auto" w:fill="auto"/>
                <w:vAlign w:val="center"/>
                <w:hideMark/>
              </w:tcPr>
              <w:p w14:paraId="793B9F76" w14:textId="77777777" w:rsidR="00BB71C3" w:rsidRPr="00BE1AE6" w:rsidRDefault="00BB71C3" w:rsidP="00BE1AE6">
                <w:pPr>
                  <w:spacing w:after="0" w:line="240" w:lineRule="auto"/>
                  <w:jc w:val="both"/>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CONCESIÓN PACIFICO TRES S.A.S.</w:t>
                </w:r>
              </w:p>
            </w:tc>
            <w:tc>
              <w:tcPr>
                <w:tcW w:w="1418" w:type="dxa"/>
                <w:shd w:val="clear" w:color="auto" w:fill="auto"/>
                <w:vAlign w:val="center"/>
                <w:hideMark/>
              </w:tcPr>
              <w:p w14:paraId="7F615C09"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40.777.118.559</w:t>
                </w:r>
              </w:p>
            </w:tc>
          </w:tr>
          <w:tr w:rsidR="00BB71C3" w:rsidRPr="00BE1AE6" w14:paraId="591018D2" w14:textId="77777777" w:rsidTr="00BE1AE6">
            <w:trPr>
              <w:trHeight w:val="340"/>
            </w:trPr>
            <w:tc>
              <w:tcPr>
                <w:tcW w:w="950" w:type="dxa"/>
                <w:shd w:val="clear" w:color="auto" w:fill="auto"/>
                <w:vAlign w:val="center"/>
                <w:hideMark/>
              </w:tcPr>
              <w:p w14:paraId="1B21AB1A"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900894996</w:t>
                </w:r>
              </w:p>
            </w:tc>
            <w:tc>
              <w:tcPr>
                <w:tcW w:w="2017" w:type="dxa"/>
                <w:shd w:val="clear" w:color="auto" w:fill="auto"/>
                <w:vAlign w:val="center"/>
                <w:hideMark/>
              </w:tcPr>
              <w:p w14:paraId="75ADB419" w14:textId="77777777" w:rsidR="00BB71C3" w:rsidRPr="00BE1AE6" w:rsidRDefault="00BB71C3" w:rsidP="00BE1AE6">
                <w:pPr>
                  <w:spacing w:after="0" w:line="240" w:lineRule="auto"/>
                  <w:jc w:val="both"/>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CONCESIÒN RUTA AL MAR S.A.S.</w:t>
                </w:r>
              </w:p>
            </w:tc>
            <w:tc>
              <w:tcPr>
                <w:tcW w:w="1418" w:type="dxa"/>
                <w:shd w:val="clear" w:color="auto" w:fill="auto"/>
                <w:vAlign w:val="center"/>
                <w:hideMark/>
              </w:tcPr>
              <w:p w14:paraId="23E31101"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34.875.923.411</w:t>
                </w:r>
              </w:p>
            </w:tc>
          </w:tr>
          <w:tr w:rsidR="00BB71C3" w:rsidRPr="00BE1AE6" w14:paraId="6E544DC8" w14:textId="77777777" w:rsidTr="00BE1AE6">
            <w:trPr>
              <w:trHeight w:val="340"/>
            </w:trPr>
            <w:tc>
              <w:tcPr>
                <w:tcW w:w="950" w:type="dxa"/>
                <w:shd w:val="clear" w:color="auto" w:fill="auto"/>
                <w:vAlign w:val="center"/>
                <w:hideMark/>
              </w:tcPr>
              <w:p w14:paraId="599518BD"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800235280</w:t>
                </w:r>
              </w:p>
            </w:tc>
            <w:tc>
              <w:tcPr>
                <w:tcW w:w="2017" w:type="dxa"/>
                <w:shd w:val="clear" w:color="auto" w:fill="auto"/>
                <w:vAlign w:val="center"/>
                <w:hideMark/>
              </w:tcPr>
              <w:p w14:paraId="47E2EC71" w14:textId="77777777" w:rsidR="00BB71C3" w:rsidRPr="00BE1AE6" w:rsidRDefault="00BB71C3" w:rsidP="00BE1AE6">
                <w:pPr>
                  <w:spacing w:after="0" w:line="240" w:lineRule="auto"/>
                  <w:jc w:val="both"/>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CONCESION SABANA DE OCCIDENTE S.A.S</w:t>
                </w:r>
              </w:p>
            </w:tc>
            <w:tc>
              <w:tcPr>
                <w:tcW w:w="1418" w:type="dxa"/>
                <w:shd w:val="clear" w:color="auto" w:fill="auto"/>
                <w:vAlign w:val="center"/>
                <w:hideMark/>
              </w:tcPr>
              <w:p w14:paraId="67958676"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33.012.390.431</w:t>
                </w:r>
              </w:p>
            </w:tc>
          </w:tr>
          <w:tr w:rsidR="00BB71C3" w:rsidRPr="00BE1AE6" w14:paraId="1447BCE7" w14:textId="77777777" w:rsidTr="00BE1AE6">
            <w:trPr>
              <w:trHeight w:val="340"/>
            </w:trPr>
            <w:tc>
              <w:tcPr>
                <w:tcW w:w="950" w:type="dxa"/>
                <w:shd w:val="clear" w:color="auto" w:fill="auto"/>
                <w:vAlign w:val="center"/>
                <w:hideMark/>
              </w:tcPr>
              <w:p w14:paraId="3338E798"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900763355</w:t>
                </w:r>
              </w:p>
            </w:tc>
            <w:tc>
              <w:tcPr>
                <w:tcW w:w="2017" w:type="dxa"/>
                <w:shd w:val="clear" w:color="auto" w:fill="auto"/>
                <w:vAlign w:val="center"/>
                <w:hideMark/>
              </w:tcPr>
              <w:p w14:paraId="29198877" w14:textId="77777777" w:rsidR="00BB71C3" w:rsidRPr="00BE1AE6" w:rsidRDefault="00BB71C3" w:rsidP="00BE1AE6">
                <w:pPr>
                  <w:spacing w:after="0" w:line="240" w:lineRule="auto"/>
                  <w:jc w:val="both"/>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CONCESIÓN COSTERA CARTAGENA BARRANQUILLA S.A.S.</w:t>
                </w:r>
              </w:p>
            </w:tc>
            <w:tc>
              <w:tcPr>
                <w:tcW w:w="1418" w:type="dxa"/>
                <w:shd w:val="clear" w:color="auto" w:fill="auto"/>
                <w:vAlign w:val="center"/>
                <w:hideMark/>
              </w:tcPr>
              <w:p w14:paraId="5394F354"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27.957.232.451</w:t>
                </w:r>
              </w:p>
            </w:tc>
          </w:tr>
          <w:tr w:rsidR="00BB71C3" w:rsidRPr="00BE1AE6" w14:paraId="1504DE4D" w14:textId="77777777" w:rsidTr="00BE1AE6">
            <w:trPr>
              <w:trHeight w:val="340"/>
            </w:trPr>
            <w:tc>
              <w:tcPr>
                <w:tcW w:w="950" w:type="dxa"/>
                <w:shd w:val="clear" w:color="auto" w:fill="auto"/>
                <w:vAlign w:val="center"/>
                <w:hideMark/>
              </w:tcPr>
              <w:p w14:paraId="1F26A62A"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900858096</w:t>
                </w:r>
              </w:p>
            </w:tc>
            <w:tc>
              <w:tcPr>
                <w:tcW w:w="2017" w:type="dxa"/>
                <w:shd w:val="clear" w:color="auto" w:fill="auto"/>
                <w:vAlign w:val="center"/>
                <w:hideMark/>
              </w:tcPr>
              <w:p w14:paraId="28C14E3C" w14:textId="77777777" w:rsidR="00BB71C3" w:rsidRPr="00BE1AE6" w:rsidRDefault="00BB71C3" w:rsidP="00BE1AE6">
                <w:pPr>
                  <w:spacing w:after="0" w:line="240" w:lineRule="auto"/>
                  <w:jc w:val="both"/>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 xml:space="preserve">SOCIEDAD CONCESIONARIA </w:t>
                </w:r>
                <w:r w:rsidRPr="00BE1AE6">
                  <w:rPr>
                    <w:rFonts w:ascii="Times New Roman" w:eastAsia="Times New Roman" w:hAnsi="Times New Roman"/>
                    <w:color w:val="000000"/>
                    <w:sz w:val="18"/>
                    <w:szCs w:val="18"/>
                    <w:lang w:eastAsia="es-CO"/>
                  </w:rPr>
                  <w:t>VIAL MONTES DE MARIA SAS</w:t>
                </w:r>
              </w:p>
            </w:tc>
            <w:tc>
              <w:tcPr>
                <w:tcW w:w="1418" w:type="dxa"/>
                <w:shd w:val="clear" w:color="auto" w:fill="auto"/>
                <w:vAlign w:val="center"/>
                <w:hideMark/>
              </w:tcPr>
              <w:p w14:paraId="1AE31763"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25.079.255.618</w:t>
                </w:r>
              </w:p>
            </w:tc>
          </w:tr>
          <w:tr w:rsidR="00BB71C3" w:rsidRPr="00BE1AE6" w14:paraId="005A2992" w14:textId="77777777" w:rsidTr="00BE1AE6">
            <w:trPr>
              <w:trHeight w:val="340"/>
            </w:trPr>
            <w:tc>
              <w:tcPr>
                <w:tcW w:w="950" w:type="dxa"/>
                <w:shd w:val="clear" w:color="auto" w:fill="auto"/>
                <w:vAlign w:val="center"/>
                <w:hideMark/>
              </w:tcPr>
              <w:p w14:paraId="76D0DF53"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901009478</w:t>
                </w:r>
              </w:p>
            </w:tc>
            <w:tc>
              <w:tcPr>
                <w:tcW w:w="2017" w:type="dxa"/>
                <w:shd w:val="clear" w:color="auto" w:fill="auto"/>
                <w:vAlign w:val="center"/>
                <w:hideMark/>
              </w:tcPr>
              <w:p w14:paraId="46146B90" w14:textId="77777777" w:rsidR="00BB71C3" w:rsidRPr="00BE1AE6" w:rsidRDefault="00BB71C3" w:rsidP="00BE1AE6">
                <w:pPr>
                  <w:spacing w:after="0" w:line="240" w:lineRule="auto"/>
                  <w:jc w:val="both"/>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VÍA 40 EXPRESS S.A.S.</w:t>
                </w:r>
              </w:p>
            </w:tc>
            <w:tc>
              <w:tcPr>
                <w:tcW w:w="1418" w:type="dxa"/>
                <w:shd w:val="clear" w:color="auto" w:fill="auto"/>
                <w:vAlign w:val="center"/>
                <w:hideMark/>
              </w:tcPr>
              <w:p w14:paraId="186F4942"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24.570.438.458</w:t>
                </w:r>
              </w:p>
            </w:tc>
          </w:tr>
          <w:tr w:rsidR="00BB71C3" w:rsidRPr="00BE1AE6" w14:paraId="5DF35625" w14:textId="77777777" w:rsidTr="00BE1AE6">
            <w:trPr>
              <w:trHeight w:val="340"/>
            </w:trPr>
            <w:tc>
              <w:tcPr>
                <w:tcW w:w="950" w:type="dxa"/>
                <w:shd w:val="clear" w:color="auto" w:fill="auto"/>
                <w:vAlign w:val="center"/>
                <w:hideMark/>
              </w:tcPr>
              <w:p w14:paraId="1DF9692F"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900745219</w:t>
                </w:r>
              </w:p>
            </w:tc>
            <w:tc>
              <w:tcPr>
                <w:tcW w:w="2017" w:type="dxa"/>
                <w:shd w:val="clear" w:color="auto" w:fill="auto"/>
                <w:vAlign w:val="center"/>
                <w:hideMark/>
              </w:tcPr>
              <w:p w14:paraId="0444EAD3" w14:textId="77777777" w:rsidR="00BB71C3" w:rsidRPr="00BE1AE6" w:rsidRDefault="00BB71C3" w:rsidP="00BE1AE6">
                <w:pPr>
                  <w:spacing w:after="0" w:line="240" w:lineRule="auto"/>
                  <w:jc w:val="both"/>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CONCESIÓN ALTO MAGDALENA S A S</w:t>
                </w:r>
              </w:p>
            </w:tc>
            <w:tc>
              <w:tcPr>
                <w:tcW w:w="1418" w:type="dxa"/>
                <w:shd w:val="clear" w:color="auto" w:fill="auto"/>
                <w:vAlign w:val="center"/>
                <w:hideMark/>
              </w:tcPr>
              <w:p w14:paraId="62F14BBC"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24.469.585.638</w:t>
                </w:r>
              </w:p>
            </w:tc>
          </w:tr>
          <w:tr w:rsidR="00BB71C3" w:rsidRPr="00BE1AE6" w14:paraId="133FCE0A" w14:textId="77777777" w:rsidTr="00BE1AE6">
            <w:trPr>
              <w:trHeight w:val="340"/>
            </w:trPr>
            <w:tc>
              <w:tcPr>
                <w:tcW w:w="950" w:type="dxa"/>
                <w:shd w:val="clear" w:color="auto" w:fill="auto"/>
                <w:vAlign w:val="center"/>
                <w:hideMark/>
              </w:tcPr>
              <w:p w14:paraId="5B3CA407"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900869678</w:t>
                </w:r>
              </w:p>
            </w:tc>
            <w:tc>
              <w:tcPr>
                <w:tcW w:w="2017" w:type="dxa"/>
                <w:shd w:val="clear" w:color="auto" w:fill="auto"/>
                <w:vAlign w:val="center"/>
                <w:hideMark/>
              </w:tcPr>
              <w:p w14:paraId="406D9189" w14:textId="77777777" w:rsidR="00BB71C3" w:rsidRPr="00BE1AE6" w:rsidRDefault="00BB71C3" w:rsidP="00BE1AE6">
                <w:pPr>
                  <w:spacing w:after="0" w:line="240" w:lineRule="auto"/>
                  <w:jc w:val="both"/>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DESARROLLO VIAL AL MAR   S.A.S</w:t>
                </w:r>
              </w:p>
            </w:tc>
            <w:tc>
              <w:tcPr>
                <w:tcW w:w="1418" w:type="dxa"/>
                <w:shd w:val="clear" w:color="auto" w:fill="auto"/>
                <w:vAlign w:val="center"/>
                <w:hideMark/>
              </w:tcPr>
              <w:p w14:paraId="46750B50"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23.375.114.677</w:t>
                </w:r>
              </w:p>
            </w:tc>
          </w:tr>
          <w:tr w:rsidR="00BB71C3" w:rsidRPr="00BE1AE6" w14:paraId="26E98B9F" w14:textId="77777777" w:rsidTr="00BE1AE6">
            <w:trPr>
              <w:trHeight w:val="340"/>
            </w:trPr>
            <w:tc>
              <w:tcPr>
                <w:tcW w:w="950" w:type="dxa"/>
                <w:shd w:val="clear" w:color="auto" w:fill="auto"/>
                <w:vAlign w:val="center"/>
                <w:hideMark/>
              </w:tcPr>
              <w:p w14:paraId="11CFFE2C"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900793991</w:t>
                </w:r>
              </w:p>
            </w:tc>
            <w:tc>
              <w:tcPr>
                <w:tcW w:w="2017" w:type="dxa"/>
                <w:shd w:val="clear" w:color="auto" w:fill="auto"/>
                <w:vAlign w:val="center"/>
                <w:hideMark/>
              </w:tcPr>
              <w:p w14:paraId="73569BB9" w14:textId="77777777" w:rsidR="00BB71C3" w:rsidRPr="00BE1AE6" w:rsidRDefault="00BB71C3" w:rsidP="00BE1AE6">
                <w:pPr>
                  <w:spacing w:after="0" w:line="240" w:lineRule="auto"/>
                  <w:jc w:val="both"/>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AUTOPISTAS DEL NORDESTE S.A.S.</w:t>
                </w:r>
              </w:p>
            </w:tc>
            <w:tc>
              <w:tcPr>
                <w:tcW w:w="1418" w:type="dxa"/>
                <w:shd w:val="clear" w:color="auto" w:fill="auto"/>
                <w:vAlign w:val="center"/>
                <w:hideMark/>
              </w:tcPr>
              <w:p w14:paraId="5CA0FBD2"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17.544.433.605</w:t>
                </w:r>
              </w:p>
            </w:tc>
          </w:tr>
          <w:tr w:rsidR="00BB71C3" w:rsidRPr="00BE1AE6" w14:paraId="4480C94C" w14:textId="77777777" w:rsidTr="00BE1AE6">
            <w:trPr>
              <w:trHeight w:val="340"/>
            </w:trPr>
            <w:tc>
              <w:tcPr>
                <w:tcW w:w="950" w:type="dxa"/>
                <w:shd w:val="clear" w:color="auto" w:fill="auto"/>
                <w:vAlign w:val="center"/>
                <w:hideMark/>
              </w:tcPr>
              <w:p w14:paraId="689E0E8D"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830006021</w:t>
                </w:r>
              </w:p>
            </w:tc>
            <w:tc>
              <w:tcPr>
                <w:tcW w:w="2017" w:type="dxa"/>
                <w:shd w:val="clear" w:color="auto" w:fill="auto"/>
                <w:vAlign w:val="center"/>
                <w:hideMark/>
              </w:tcPr>
              <w:p w14:paraId="12A1357B" w14:textId="77777777" w:rsidR="00BB71C3" w:rsidRPr="00BE1AE6" w:rsidRDefault="00BB71C3" w:rsidP="00BE1AE6">
                <w:pPr>
                  <w:spacing w:after="0" w:line="240" w:lineRule="auto"/>
                  <w:jc w:val="both"/>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CONCESIONES CCFC S.A.</w:t>
                </w:r>
              </w:p>
            </w:tc>
            <w:tc>
              <w:tcPr>
                <w:tcW w:w="1418" w:type="dxa"/>
                <w:shd w:val="clear" w:color="auto" w:fill="auto"/>
                <w:vAlign w:val="center"/>
                <w:hideMark/>
              </w:tcPr>
              <w:p w14:paraId="4D8D65A2"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16.609.774.007</w:t>
                </w:r>
              </w:p>
            </w:tc>
          </w:tr>
          <w:tr w:rsidR="00BB71C3" w:rsidRPr="00BE1AE6" w14:paraId="221F7DE0" w14:textId="77777777" w:rsidTr="00BE1AE6">
            <w:trPr>
              <w:trHeight w:val="340"/>
            </w:trPr>
            <w:tc>
              <w:tcPr>
                <w:tcW w:w="950" w:type="dxa"/>
                <w:shd w:val="clear" w:color="auto" w:fill="auto"/>
                <w:vAlign w:val="center"/>
                <w:hideMark/>
              </w:tcPr>
              <w:p w14:paraId="1BB75376"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800235278</w:t>
                </w:r>
              </w:p>
            </w:tc>
            <w:tc>
              <w:tcPr>
                <w:tcW w:w="2017" w:type="dxa"/>
                <w:shd w:val="clear" w:color="auto" w:fill="auto"/>
                <w:vAlign w:val="center"/>
                <w:hideMark/>
              </w:tcPr>
              <w:p w14:paraId="63098A17" w14:textId="77777777" w:rsidR="00BB71C3" w:rsidRPr="00BE1AE6" w:rsidRDefault="00BB71C3" w:rsidP="00BE1AE6">
                <w:pPr>
                  <w:spacing w:after="0" w:line="240" w:lineRule="auto"/>
                  <w:jc w:val="both"/>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CONCESION SANTA MARTA PARAGUACHON S.A.</w:t>
                </w:r>
              </w:p>
            </w:tc>
            <w:tc>
              <w:tcPr>
                <w:tcW w:w="1418" w:type="dxa"/>
                <w:shd w:val="clear" w:color="auto" w:fill="auto"/>
                <w:vAlign w:val="center"/>
                <w:hideMark/>
              </w:tcPr>
              <w:p w14:paraId="0003855A"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16.030.846.834</w:t>
                </w:r>
              </w:p>
            </w:tc>
          </w:tr>
          <w:tr w:rsidR="00BB71C3" w:rsidRPr="00BE1AE6" w14:paraId="5A9FC436" w14:textId="77777777" w:rsidTr="00BE1AE6">
            <w:trPr>
              <w:trHeight w:val="340"/>
            </w:trPr>
            <w:tc>
              <w:tcPr>
                <w:tcW w:w="950" w:type="dxa"/>
                <w:shd w:val="clear" w:color="auto" w:fill="auto"/>
                <w:vAlign w:val="center"/>
                <w:hideMark/>
              </w:tcPr>
              <w:p w14:paraId="2D2CCC59"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900816750</w:t>
                </w:r>
              </w:p>
            </w:tc>
            <w:tc>
              <w:tcPr>
                <w:tcW w:w="2017" w:type="dxa"/>
                <w:shd w:val="clear" w:color="auto" w:fill="auto"/>
                <w:vAlign w:val="center"/>
                <w:hideMark/>
              </w:tcPr>
              <w:p w14:paraId="2AA84F0F" w14:textId="77777777" w:rsidR="00BB71C3" w:rsidRPr="00BE1AE6" w:rsidRDefault="00BB71C3" w:rsidP="00BE1AE6">
                <w:pPr>
                  <w:spacing w:after="0" w:line="240" w:lineRule="auto"/>
                  <w:jc w:val="both"/>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APP GICA S.A.</w:t>
                </w:r>
              </w:p>
            </w:tc>
            <w:tc>
              <w:tcPr>
                <w:tcW w:w="1418" w:type="dxa"/>
                <w:shd w:val="clear" w:color="auto" w:fill="auto"/>
                <w:vAlign w:val="center"/>
                <w:hideMark/>
              </w:tcPr>
              <w:p w14:paraId="15EDB0AE"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14.559.741.475</w:t>
                </w:r>
              </w:p>
            </w:tc>
          </w:tr>
          <w:tr w:rsidR="00BB71C3" w:rsidRPr="00BE1AE6" w14:paraId="70C4536F" w14:textId="77777777" w:rsidTr="00BE1AE6">
            <w:trPr>
              <w:trHeight w:val="340"/>
            </w:trPr>
            <w:tc>
              <w:tcPr>
                <w:tcW w:w="950" w:type="dxa"/>
                <w:shd w:val="clear" w:color="auto" w:fill="auto"/>
                <w:vAlign w:val="center"/>
                <w:hideMark/>
              </w:tcPr>
              <w:p w14:paraId="3E372844"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900902591</w:t>
                </w:r>
              </w:p>
            </w:tc>
            <w:tc>
              <w:tcPr>
                <w:tcW w:w="2017" w:type="dxa"/>
                <w:shd w:val="clear" w:color="auto" w:fill="auto"/>
                <w:vAlign w:val="center"/>
                <w:hideMark/>
              </w:tcPr>
              <w:p w14:paraId="6510965D" w14:textId="77777777" w:rsidR="00BB71C3" w:rsidRPr="00BE1AE6" w:rsidRDefault="00BB71C3" w:rsidP="00BE1AE6">
                <w:pPr>
                  <w:spacing w:after="0" w:line="240" w:lineRule="auto"/>
                  <w:jc w:val="both"/>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AUTOPISTAS   URABA   SAS</w:t>
                </w:r>
              </w:p>
            </w:tc>
            <w:tc>
              <w:tcPr>
                <w:tcW w:w="1418" w:type="dxa"/>
                <w:shd w:val="clear" w:color="auto" w:fill="auto"/>
                <w:vAlign w:val="center"/>
                <w:hideMark/>
              </w:tcPr>
              <w:p w14:paraId="48654992"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10.712.031.971</w:t>
                </w:r>
              </w:p>
            </w:tc>
          </w:tr>
          <w:tr w:rsidR="00BB71C3" w:rsidRPr="00BE1AE6" w14:paraId="5B21F996" w14:textId="77777777" w:rsidTr="00BE1AE6">
            <w:trPr>
              <w:trHeight w:val="340"/>
            </w:trPr>
            <w:tc>
              <w:tcPr>
                <w:tcW w:w="950" w:type="dxa"/>
                <w:shd w:val="clear" w:color="auto" w:fill="auto"/>
                <w:vAlign w:val="center"/>
                <w:hideMark/>
              </w:tcPr>
              <w:p w14:paraId="36C1AAA8"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901039225</w:t>
                </w:r>
              </w:p>
            </w:tc>
            <w:tc>
              <w:tcPr>
                <w:tcW w:w="2017" w:type="dxa"/>
                <w:shd w:val="clear" w:color="auto" w:fill="auto"/>
                <w:vAlign w:val="center"/>
                <w:hideMark/>
              </w:tcPr>
              <w:p w14:paraId="3EBCC713" w14:textId="77777777" w:rsidR="00BB71C3" w:rsidRPr="00BE1AE6" w:rsidRDefault="00BB71C3" w:rsidP="00BE1AE6">
                <w:pPr>
                  <w:spacing w:after="0" w:line="240" w:lineRule="auto"/>
                  <w:jc w:val="both"/>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ACCESOS NORTE DE BOGOTA S.A.S.</w:t>
                </w:r>
              </w:p>
            </w:tc>
            <w:tc>
              <w:tcPr>
                <w:tcW w:w="1418" w:type="dxa"/>
                <w:shd w:val="clear" w:color="auto" w:fill="auto"/>
                <w:vAlign w:val="center"/>
                <w:hideMark/>
              </w:tcPr>
              <w:p w14:paraId="6B2DE7C9"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10.310.517.472</w:t>
                </w:r>
              </w:p>
            </w:tc>
          </w:tr>
          <w:tr w:rsidR="00BB71C3" w:rsidRPr="00BE1AE6" w14:paraId="38AD2285" w14:textId="77777777" w:rsidTr="00BE1AE6">
            <w:trPr>
              <w:trHeight w:val="340"/>
            </w:trPr>
            <w:tc>
              <w:tcPr>
                <w:tcW w:w="950" w:type="dxa"/>
                <w:shd w:val="clear" w:color="auto" w:fill="auto"/>
                <w:vAlign w:val="center"/>
                <w:hideMark/>
              </w:tcPr>
              <w:p w14:paraId="4170DB2A"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900788548</w:t>
                </w:r>
              </w:p>
            </w:tc>
            <w:tc>
              <w:tcPr>
                <w:tcW w:w="2017" w:type="dxa"/>
                <w:shd w:val="clear" w:color="auto" w:fill="auto"/>
                <w:vAlign w:val="center"/>
                <w:hideMark/>
              </w:tcPr>
              <w:p w14:paraId="2194B4C6" w14:textId="77777777" w:rsidR="00BB71C3" w:rsidRPr="00BE1AE6" w:rsidRDefault="00BB71C3" w:rsidP="00BE1AE6">
                <w:pPr>
                  <w:spacing w:after="0" w:line="240" w:lineRule="auto"/>
                  <w:jc w:val="both"/>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AUTOPISTA RIO MAGDALENA S A S</w:t>
                </w:r>
              </w:p>
            </w:tc>
            <w:tc>
              <w:tcPr>
                <w:tcW w:w="1418" w:type="dxa"/>
                <w:shd w:val="clear" w:color="auto" w:fill="auto"/>
                <w:vAlign w:val="center"/>
                <w:hideMark/>
              </w:tcPr>
              <w:p w14:paraId="60E7D397"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9.969.673.856</w:t>
                </w:r>
              </w:p>
            </w:tc>
          </w:tr>
          <w:tr w:rsidR="00BB71C3" w:rsidRPr="00BE1AE6" w14:paraId="1664B015" w14:textId="77777777" w:rsidTr="00BE1AE6">
            <w:trPr>
              <w:trHeight w:val="340"/>
            </w:trPr>
            <w:tc>
              <w:tcPr>
                <w:tcW w:w="950" w:type="dxa"/>
                <w:shd w:val="clear" w:color="auto" w:fill="auto"/>
                <w:vAlign w:val="center"/>
                <w:hideMark/>
              </w:tcPr>
              <w:p w14:paraId="651219E9"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901161505</w:t>
                </w:r>
              </w:p>
            </w:tc>
            <w:tc>
              <w:tcPr>
                <w:tcW w:w="2017" w:type="dxa"/>
                <w:shd w:val="clear" w:color="auto" w:fill="auto"/>
                <w:vAlign w:val="center"/>
                <w:hideMark/>
              </w:tcPr>
              <w:p w14:paraId="0278F86F" w14:textId="77777777" w:rsidR="00BB71C3" w:rsidRPr="00BE1AE6" w:rsidRDefault="00BB71C3" w:rsidP="00BE1AE6">
                <w:pPr>
                  <w:spacing w:after="0" w:line="240" w:lineRule="auto"/>
                  <w:jc w:val="both"/>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CONCESION TRANSVERSAL DEL SISGA S.A.S</w:t>
                </w:r>
              </w:p>
            </w:tc>
            <w:tc>
              <w:tcPr>
                <w:tcW w:w="1418" w:type="dxa"/>
                <w:shd w:val="clear" w:color="auto" w:fill="auto"/>
                <w:vAlign w:val="center"/>
                <w:hideMark/>
              </w:tcPr>
              <w:p w14:paraId="75DF664E"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8.936.280.596</w:t>
                </w:r>
              </w:p>
            </w:tc>
          </w:tr>
          <w:tr w:rsidR="00BB71C3" w:rsidRPr="00BE1AE6" w14:paraId="700B8398" w14:textId="77777777" w:rsidTr="00BE1AE6">
            <w:trPr>
              <w:trHeight w:val="340"/>
            </w:trPr>
            <w:tc>
              <w:tcPr>
                <w:tcW w:w="950" w:type="dxa"/>
                <w:shd w:val="clear" w:color="auto" w:fill="auto"/>
                <w:vAlign w:val="center"/>
                <w:hideMark/>
              </w:tcPr>
              <w:p w14:paraId="2FC3D5D8"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900864150</w:t>
                </w:r>
              </w:p>
            </w:tc>
            <w:tc>
              <w:tcPr>
                <w:tcW w:w="2017" w:type="dxa"/>
                <w:shd w:val="clear" w:color="auto" w:fill="auto"/>
                <w:vAlign w:val="center"/>
                <w:hideMark/>
              </w:tcPr>
              <w:p w14:paraId="06EF8C80" w14:textId="77777777" w:rsidR="00BB71C3" w:rsidRPr="00BE1AE6" w:rsidRDefault="00BB71C3" w:rsidP="00BE1AE6">
                <w:pPr>
                  <w:spacing w:after="0" w:line="240" w:lineRule="auto"/>
                  <w:jc w:val="both"/>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CONCESIONARIA ALTERNATIVAS VIALES S.A.S.</w:t>
                </w:r>
              </w:p>
            </w:tc>
            <w:tc>
              <w:tcPr>
                <w:tcW w:w="1418" w:type="dxa"/>
                <w:shd w:val="clear" w:color="auto" w:fill="auto"/>
                <w:vAlign w:val="center"/>
                <w:hideMark/>
              </w:tcPr>
              <w:p w14:paraId="2EEDB37D"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8.284.795.098</w:t>
                </w:r>
              </w:p>
            </w:tc>
          </w:tr>
          <w:tr w:rsidR="00BB71C3" w:rsidRPr="00BE1AE6" w14:paraId="573E4070" w14:textId="77777777" w:rsidTr="00BE1AE6">
            <w:trPr>
              <w:trHeight w:val="340"/>
            </w:trPr>
            <w:tc>
              <w:tcPr>
                <w:tcW w:w="950" w:type="dxa"/>
                <w:shd w:val="clear" w:color="auto" w:fill="auto"/>
                <w:vAlign w:val="center"/>
                <w:hideMark/>
              </w:tcPr>
              <w:p w14:paraId="04C45F79"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901082545</w:t>
                </w:r>
              </w:p>
            </w:tc>
            <w:tc>
              <w:tcPr>
                <w:tcW w:w="2017" w:type="dxa"/>
                <w:shd w:val="clear" w:color="auto" w:fill="auto"/>
                <w:vAlign w:val="center"/>
                <w:hideMark/>
              </w:tcPr>
              <w:p w14:paraId="7C8F652B" w14:textId="77777777" w:rsidR="00BB71C3" w:rsidRPr="00BE1AE6" w:rsidRDefault="00BB71C3" w:rsidP="00BE1AE6">
                <w:pPr>
                  <w:spacing w:after="0" w:line="240" w:lineRule="auto"/>
                  <w:jc w:val="both"/>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UNION VIAL RIO PAMPLONITA SAS</w:t>
                </w:r>
              </w:p>
            </w:tc>
            <w:tc>
              <w:tcPr>
                <w:tcW w:w="1418" w:type="dxa"/>
                <w:shd w:val="clear" w:color="auto" w:fill="auto"/>
                <w:vAlign w:val="center"/>
                <w:hideMark/>
              </w:tcPr>
              <w:p w14:paraId="24291603"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7.695.392.234</w:t>
                </w:r>
              </w:p>
            </w:tc>
          </w:tr>
          <w:tr w:rsidR="00BB71C3" w:rsidRPr="00BE1AE6" w14:paraId="6F1F7557" w14:textId="77777777" w:rsidTr="00BE1AE6">
            <w:trPr>
              <w:trHeight w:val="340"/>
            </w:trPr>
            <w:tc>
              <w:tcPr>
                <w:tcW w:w="950" w:type="dxa"/>
                <w:shd w:val="clear" w:color="auto" w:fill="auto"/>
                <w:vAlign w:val="center"/>
                <w:hideMark/>
              </w:tcPr>
              <w:p w14:paraId="0A3AF03E"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900761657</w:t>
                </w:r>
              </w:p>
            </w:tc>
            <w:tc>
              <w:tcPr>
                <w:tcW w:w="2017" w:type="dxa"/>
                <w:shd w:val="clear" w:color="auto" w:fill="auto"/>
                <w:vAlign w:val="center"/>
                <w:hideMark/>
              </w:tcPr>
              <w:p w14:paraId="121F2F0D" w14:textId="77777777" w:rsidR="00BB71C3" w:rsidRPr="00BE1AE6" w:rsidRDefault="00BB71C3" w:rsidP="00BE1AE6">
                <w:pPr>
                  <w:spacing w:after="0" w:line="240" w:lineRule="auto"/>
                  <w:jc w:val="both"/>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PERIMETRAL ORIENTAL DE BOGOTA SAS</w:t>
                </w:r>
              </w:p>
            </w:tc>
            <w:tc>
              <w:tcPr>
                <w:tcW w:w="1418" w:type="dxa"/>
                <w:shd w:val="clear" w:color="auto" w:fill="auto"/>
                <w:vAlign w:val="center"/>
                <w:hideMark/>
              </w:tcPr>
              <w:p w14:paraId="515CC5DC"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7.380.649.007</w:t>
                </w:r>
              </w:p>
            </w:tc>
          </w:tr>
          <w:tr w:rsidR="00BB71C3" w:rsidRPr="00BE1AE6" w14:paraId="43EDDC30" w14:textId="77777777" w:rsidTr="00BE1AE6">
            <w:trPr>
              <w:trHeight w:val="340"/>
            </w:trPr>
            <w:tc>
              <w:tcPr>
                <w:tcW w:w="950" w:type="dxa"/>
                <w:shd w:val="clear" w:color="auto" w:fill="auto"/>
                <w:vAlign w:val="center"/>
                <w:hideMark/>
              </w:tcPr>
              <w:p w14:paraId="24E58471"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901602085</w:t>
                </w:r>
              </w:p>
            </w:tc>
            <w:tc>
              <w:tcPr>
                <w:tcW w:w="2017" w:type="dxa"/>
                <w:shd w:val="clear" w:color="auto" w:fill="auto"/>
                <w:vAlign w:val="center"/>
                <w:hideMark/>
              </w:tcPr>
              <w:p w14:paraId="1416A404" w14:textId="77777777" w:rsidR="00BB71C3" w:rsidRPr="00BE1AE6" w:rsidRDefault="00BB71C3" w:rsidP="00BE1AE6">
                <w:pPr>
                  <w:spacing w:after="0" w:line="240" w:lineRule="auto"/>
                  <w:jc w:val="both"/>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AUTOPISTA MAGDALENA MEDIO SAS</w:t>
                </w:r>
              </w:p>
            </w:tc>
            <w:tc>
              <w:tcPr>
                <w:tcW w:w="1418" w:type="dxa"/>
                <w:shd w:val="clear" w:color="auto" w:fill="auto"/>
                <w:vAlign w:val="center"/>
                <w:hideMark/>
              </w:tcPr>
              <w:p w14:paraId="439EF370"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833.217.647</w:t>
                </w:r>
              </w:p>
            </w:tc>
          </w:tr>
          <w:tr w:rsidR="00BB71C3" w:rsidRPr="00BE1AE6" w14:paraId="4F0F873C" w14:textId="77777777" w:rsidTr="00BE1AE6">
            <w:trPr>
              <w:trHeight w:val="340"/>
            </w:trPr>
            <w:tc>
              <w:tcPr>
                <w:tcW w:w="950" w:type="dxa"/>
                <w:shd w:val="clear" w:color="auto" w:fill="auto"/>
                <w:vAlign w:val="center"/>
                <w:hideMark/>
              </w:tcPr>
              <w:p w14:paraId="172508BD"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900866440</w:t>
                </w:r>
              </w:p>
            </w:tc>
            <w:tc>
              <w:tcPr>
                <w:tcW w:w="2017" w:type="dxa"/>
                <w:shd w:val="clear" w:color="auto" w:fill="auto"/>
                <w:vAlign w:val="center"/>
                <w:hideMark/>
              </w:tcPr>
              <w:p w14:paraId="02CCF256" w14:textId="77777777" w:rsidR="00BB71C3" w:rsidRPr="00BE1AE6" w:rsidRDefault="00BB71C3" w:rsidP="00BE1AE6">
                <w:pPr>
                  <w:spacing w:after="0" w:line="240" w:lineRule="auto"/>
                  <w:jc w:val="both"/>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NUEVO CAUCA S A S</w:t>
                </w:r>
              </w:p>
            </w:tc>
            <w:tc>
              <w:tcPr>
                <w:tcW w:w="1418" w:type="dxa"/>
                <w:shd w:val="clear" w:color="auto" w:fill="auto"/>
                <w:vAlign w:val="center"/>
                <w:hideMark/>
              </w:tcPr>
              <w:p w14:paraId="0B797F26" w14:textId="77777777" w:rsidR="00BB71C3" w:rsidRPr="00BE1AE6" w:rsidRDefault="00BB71C3" w:rsidP="00BB71C3">
                <w:pPr>
                  <w:spacing w:after="0" w:line="240" w:lineRule="auto"/>
                  <w:jc w:val="right"/>
                  <w:rPr>
                    <w:rFonts w:ascii="Times New Roman" w:eastAsia="Times New Roman" w:hAnsi="Times New Roman"/>
                    <w:color w:val="000000"/>
                    <w:sz w:val="18"/>
                    <w:szCs w:val="18"/>
                    <w:lang w:eastAsia="es-CO"/>
                  </w:rPr>
                </w:pPr>
                <w:r w:rsidRPr="00BE1AE6">
                  <w:rPr>
                    <w:rFonts w:ascii="Times New Roman" w:eastAsia="Times New Roman" w:hAnsi="Times New Roman"/>
                    <w:color w:val="000000"/>
                    <w:sz w:val="18"/>
                    <w:szCs w:val="18"/>
                    <w:lang w:eastAsia="es-CO"/>
                  </w:rPr>
                  <w:t>719.104.601</w:t>
                </w:r>
              </w:p>
            </w:tc>
          </w:tr>
          <w:tr w:rsidR="00BB71C3" w:rsidRPr="00BE1AE6" w14:paraId="39C5DD6A" w14:textId="77777777" w:rsidTr="00BE1AE6">
            <w:trPr>
              <w:trHeight w:val="340"/>
            </w:trPr>
            <w:tc>
              <w:tcPr>
                <w:tcW w:w="2967" w:type="dxa"/>
                <w:gridSpan w:val="2"/>
                <w:shd w:val="clear" w:color="auto" w:fill="auto"/>
                <w:vAlign w:val="center"/>
                <w:hideMark/>
              </w:tcPr>
              <w:p w14:paraId="21C3DCA2" w14:textId="77777777" w:rsidR="00BB71C3" w:rsidRPr="00BE1AE6" w:rsidRDefault="00BB71C3" w:rsidP="00BB71C3">
                <w:pPr>
                  <w:spacing w:after="0" w:line="240" w:lineRule="auto"/>
                  <w:rPr>
                    <w:rFonts w:ascii="Times New Roman" w:eastAsia="Times New Roman" w:hAnsi="Times New Roman"/>
                    <w:b/>
                    <w:bCs/>
                    <w:color w:val="000000"/>
                    <w:sz w:val="18"/>
                    <w:szCs w:val="18"/>
                    <w:lang w:eastAsia="es-CO"/>
                  </w:rPr>
                </w:pPr>
                <w:r w:rsidRPr="00BE1AE6">
                  <w:rPr>
                    <w:rFonts w:ascii="Times New Roman" w:eastAsia="Times New Roman" w:hAnsi="Times New Roman"/>
                    <w:b/>
                    <w:bCs/>
                    <w:color w:val="000000"/>
                    <w:sz w:val="18"/>
                    <w:szCs w:val="18"/>
                    <w:lang w:eastAsia="es-CO"/>
                  </w:rPr>
                  <w:t>TOTAL</w:t>
                </w:r>
              </w:p>
            </w:tc>
            <w:tc>
              <w:tcPr>
                <w:tcW w:w="1418" w:type="dxa"/>
                <w:shd w:val="clear" w:color="auto" w:fill="auto"/>
                <w:vAlign w:val="center"/>
                <w:hideMark/>
              </w:tcPr>
              <w:p w14:paraId="71F40738" w14:textId="77777777" w:rsidR="00BB71C3" w:rsidRPr="00BE1AE6" w:rsidRDefault="00BB71C3" w:rsidP="00BB71C3">
                <w:pPr>
                  <w:spacing w:after="0" w:line="240" w:lineRule="auto"/>
                  <w:jc w:val="right"/>
                  <w:rPr>
                    <w:rFonts w:ascii="Times New Roman" w:eastAsia="Times New Roman" w:hAnsi="Times New Roman"/>
                    <w:b/>
                    <w:bCs/>
                    <w:color w:val="000000"/>
                    <w:sz w:val="18"/>
                    <w:szCs w:val="18"/>
                    <w:lang w:eastAsia="es-CO"/>
                  </w:rPr>
                </w:pPr>
                <w:r w:rsidRPr="00BE1AE6">
                  <w:rPr>
                    <w:rFonts w:ascii="Times New Roman" w:eastAsia="Times New Roman" w:hAnsi="Times New Roman"/>
                    <w:b/>
                    <w:bCs/>
                    <w:color w:val="000000"/>
                    <w:sz w:val="18"/>
                    <w:szCs w:val="18"/>
                    <w:lang w:eastAsia="es-CO"/>
                  </w:rPr>
                  <w:t>1.135.455.904.323</w:t>
                </w:r>
              </w:p>
            </w:tc>
          </w:tr>
        </w:tbl>
        <w:p w14:paraId="5636A6F0" w14:textId="77777777" w:rsidR="00297FB0" w:rsidRDefault="00297FB0" w:rsidP="00AD5B83">
          <w:pPr>
            <w:spacing w:after="0" w:line="240" w:lineRule="auto"/>
            <w:jc w:val="both"/>
            <w:rPr>
              <w:rFonts w:ascii="Times New Roman" w:hAnsi="Times New Roman"/>
              <w:sz w:val="14"/>
              <w:szCs w:val="14"/>
              <w:highlight w:val="yellow"/>
            </w:rPr>
            <w:sectPr w:rsidR="00297FB0" w:rsidSect="00376BDD">
              <w:type w:val="continuous"/>
              <w:pgSz w:w="12240" w:h="15840"/>
              <w:pgMar w:top="1418" w:right="1418" w:bottom="1418" w:left="1843" w:header="680" w:footer="709" w:gutter="0"/>
              <w:pgNumType w:start="152"/>
              <w:cols w:num="2" w:space="708"/>
              <w:titlePg/>
              <w:docGrid w:linePitch="360"/>
            </w:sectPr>
          </w:pPr>
        </w:p>
        <w:p w14:paraId="1826D740" w14:textId="70CD0F6F" w:rsidR="00AD5B83" w:rsidRPr="00931DCE" w:rsidRDefault="00AD5B83" w:rsidP="00AD5B83">
          <w:pPr>
            <w:spacing w:after="0" w:line="240" w:lineRule="auto"/>
            <w:jc w:val="both"/>
            <w:rPr>
              <w:rFonts w:ascii="Times New Roman" w:hAnsi="Times New Roman"/>
              <w:sz w:val="24"/>
              <w:szCs w:val="24"/>
            </w:rPr>
          </w:pPr>
          <w:r w:rsidRPr="00931DCE">
            <w:rPr>
              <w:rFonts w:ascii="Times New Roman" w:hAnsi="Times New Roman"/>
              <w:sz w:val="16"/>
              <w:szCs w:val="16"/>
            </w:rPr>
            <w:t>Cifras expresadas en pesos</w:t>
          </w:r>
        </w:p>
        <w:p w14:paraId="251C7217" w14:textId="77777777" w:rsidR="00AD5B83" w:rsidRPr="00931DCE" w:rsidRDefault="00AD5B83" w:rsidP="00AD5B83">
          <w:pPr>
            <w:spacing w:after="0" w:line="240" w:lineRule="auto"/>
            <w:jc w:val="both"/>
            <w:rPr>
              <w:rFonts w:ascii="Times New Roman" w:hAnsi="Times New Roman"/>
              <w:sz w:val="16"/>
              <w:szCs w:val="16"/>
            </w:rPr>
          </w:pPr>
        </w:p>
        <w:p w14:paraId="0060D53E" w14:textId="77777777" w:rsidR="00BB71C3" w:rsidRDefault="00BB71C3" w:rsidP="00AD5B83">
          <w:pPr>
            <w:spacing w:after="0" w:line="240" w:lineRule="auto"/>
            <w:jc w:val="both"/>
            <w:rPr>
              <w:rFonts w:ascii="Times New Roman" w:hAnsi="Times New Roman"/>
              <w:sz w:val="24"/>
              <w:szCs w:val="24"/>
              <w:u w:val="single"/>
            </w:rPr>
          </w:pPr>
        </w:p>
        <w:p w14:paraId="4F51ACE7" w14:textId="05D61142" w:rsidR="00AD5B83" w:rsidRPr="00931DCE" w:rsidRDefault="00AD5B83" w:rsidP="00AD5B83">
          <w:pPr>
            <w:spacing w:after="0" w:line="240" w:lineRule="auto"/>
            <w:jc w:val="both"/>
            <w:rPr>
              <w:rFonts w:ascii="Times New Roman" w:hAnsi="Times New Roman"/>
              <w:sz w:val="24"/>
              <w:szCs w:val="24"/>
              <w:u w:val="single"/>
            </w:rPr>
          </w:pPr>
          <w:r w:rsidRPr="00931DCE">
            <w:rPr>
              <w:rFonts w:ascii="Times New Roman" w:hAnsi="Times New Roman"/>
              <w:sz w:val="24"/>
              <w:szCs w:val="24"/>
              <w:u w:val="single"/>
            </w:rPr>
            <w:t>Portuario</w:t>
          </w:r>
        </w:p>
        <w:p w14:paraId="0B62FDE0" w14:textId="77777777" w:rsidR="00AD5B83" w:rsidRPr="00931DCE" w:rsidRDefault="00AD5B83" w:rsidP="00AD5B83">
          <w:pPr>
            <w:spacing w:after="0" w:line="240" w:lineRule="auto"/>
            <w:jc w:val="both"/>
            <w:rPr>
              <w:rFonts w:ascii="Times New Roman" w:hAnsi="Times New Roman"/>
              <w:b/>
              <w:bCs/>
              <w:sz w:val="16"/>
              <w:szCs w:val="16"/>
            </w:rPr>
          </w:pPr>
        </w:p>
        <w:p w14:paraId="21BC914B" w14:textId="77777777" w:rsidR="00E37486" w:rsidRDefault="00E37486" w:rsidP="00E37486">
          <w:pPr>
            <w:spacing w:after="0" w:line="240" w:lineRule="auto"/>
            <w:rPr>
              <w:rFonts w:ascii="Times New Roman" w:eastAsia="Times New Roman" w:hAnsi="Times New Roman"/>
              <w:color w:val="000000"/>
              <w:sz w:val="16"/>
              <w:szCs w:val="16"/>
              <w:lang w:eastAsia="es-CO"/>
            </w:rPr>
            <w:sectPr w:rsidR="00E37486" w:rsidSect="00376BDD">
              <w:type w:val="continuous"/>
              <w:pgSz w:w="12240" w:h="15840"/>
              <w:pgMar w:top="1418" w:right="1418" w:bottom="1418" w:left="1843" w:header="680" w:footer="709" w:gutter="0"/>
              <w:pgNumType w:start="1"/>
              <w:cols w:space="708"/>
              <w:titlePg/>
              <w:docGrid w:linePitch="360"/>
            </w:sectPr>
          </w:pPr>
        </w:p>
        <w:tbl>
          <w:tblPr>
            <w:tblW w:w="4385" w:type="dxa"/>
            <w:tblBorders>
              <w:top w:val="single" w:sz="8" w:space="0" w:color="A6A6A6"/>
              <w:left w:val="single" w:sz="8" w:space="0" w:color="A6A6A6"/>
              <w:bottom w:val="single" w:sz="8" w:space="0" w:color="A6A6A6"/>
              <w:right w:val="single" w:sz="8" w:space="0" w:color="A6A6A6"/>
              <w:insideH w:val="single" w:sz="6" w:space="0" w:color="A6A6A6"/>
              <w:insideV w:val="single" w:sz="6" w:space="0" w:color="A6A6A6"/>
            </w:tblBorders>
            <w:tblCellMar>
              <w:left w:w="70" w:type="dxa"/>
              <w:right w:w="70" w:type="dxa"/>
            </w:tblCellMar>
            <w:tblLook w:val="04A0" w:firstRow="1" w:lastRow="0" w:firstColumn="1" w:lastColumn="0" w:noHBand="0" w:noVBand="1"/>
          </w:tblPr>
          <w:tblGrid>
            <w:gridCol w:w="980"/>
            <w:gridCol w:w="1987"/>
            <w:gridCol w:w="1418"/>
          </w:tblGrid>
          <w:tr w:rsidR="0080486C" w:rsidRPr="00033238" w14:paraId="6AB753EF" w14:textId="77777777" w:rsidTr="00033238">
            <w:trPr>
              <w:trHeight w:val="340"/>
              <w:tblHeader/>
            </w:trPr>
            <w:tc>
              <w:tcPr>
                <w:tcW w:w="2967" w:type="dxa"/>
                <w:gridSpan w:val="2"/>
                <w:shd w:val="clear" w:color="auto" w:fill="auto"/>
                <w:vAlign w:val="center"/>
                <w:hideMark/>
              </w:tcPr>
              <w:p w14:paraId="5608D916" w14:textId="77777777" w:rsidR="0080486C" w:rsidRPr="00033238" w:rsidRDefault="0080486C" w:rsidP="0080486C">
                <w:pPr>
                  <w:spacing w:after="0" w:line="240" w:lineRule="auto"/>
                  <w:jc w:val="center"/>
                  <w:rPr>
                    <w:rFonts w:ascii="Times New Roman" w:eastAsia="Times New Roman" w:hAnsi="Times New Roman"/>
                    <w:b/>
                    <w:bCs/>
                    <w:color w:val="000000"/>
                    <w:sz w:val="18"/>
                    <w:szCs w:val="18"/>
                    <w:lang w:eastAsia="es-CO"/>
                  </w:rPr>
                </w:pPr>
                <w:r w:rsidRPr="00033238">
                  <w:rPr>
                    <w:rFonts w:ascii="Times New Roman" w:eastAsia="Times New Roman" w:hAnsi="Times New Roman"/>
                    <w:b/>
                    <w:bCs/>
                    <w:color w:val="000000"/>
                    <w:sz w:val="18"/>
                    <w:szCs w:val="18"/>
                    <w:lang w:eastAsia="es-CO"/>
                  </w:rPr>
                  <w:t>TERCERO</w:t>
                </w:r>
              </w:p>
              <w:p w14:paraId="530BD02B" w14:textId="45562901" w:rsidR="0080486C" w:rsidRPr="00033238" w:rsidRDefault="0080486C" w:rsidP="0080486C">
                <w:pPr>
                  <w:spacing w:after="0" w:line="240" w:lineRule="auto"/>
                  <w:jc w:val="center"/>
                  <w:rPr>
                    <w:rFonts w:ascii="Times New Roman" w:eastAsia="Times New Roman" w:hAnsi="Times New Roman"/>
                    <w:b/>
                    <w:bCs/>
                    <w:color w:val="000000"/>
                    <w:sz w:val="18"/>
                    <w:szCs w:val="18"/>
                    <w:lang w:eastAsia="es-CO"/>
                  </w:rPr>
                </w:pPr>
              </w:p>
            </w:tc>
            <w:tc>
              <w:tcPr>
                <w:tcW w:w="1418" w:type="dxa"/>
                <w:shd w:val="clear" w:color="auto" w:fill="auto"/>
                <w:vAlign w:val="center"/>
                <w:hideMark/>
              </w:tcPr>
              <w:p w14:paraId="073DD8EB" w14:textId="77777777" w:rsidR="0080486C" w:rsidRPr="00033238" w:rsidRDefault="0080486C" w:rsidP="00E37486">
                <w:pPr>
                  <w:spacing w:after="0" w:line="240" w:lineRule="auto"/>
                  <w:rPr>
                    <w:rFonts w:ascii="Times New Roman" w:eastAsia="Times New Roman" w:hAnsi="Times New Roman"/>
                    <w:b/>
                    <w:bCs/>
                    <w:color w:val="000000"/>
                    <w:sz w:val="18"/>
                    <w:szCs w:val="18"/>
                    <w:lang w:eastAsia="es-CO"/>
                  </w:rPr>
                </w:pPr>
                <w:r w:rsidRPr="00033238">
                  <w:rPr>
                    <w:rFonts w:ascii="Times New Roman" w:eastAsia="Times New Roman" w:hAnsi="Times New Roman"/>
                    <w:b/>
                    <w:bCs/>
                    <w:color w:val="000000"/>
                    <w:sz w:val="18"/>
                    <w:szCs w:val="18"/>
                    <w:lang w:eastAsia="es-CO"/>
                  </w:rPr>
                  <w:t>SALDO 2023</w:t>
                </w:r>
              </w:p>
            </w:tc>
          </w:tr>
          <w:tr w:rsidR="00E37486" w:rsidRPr="00033238" w14:paraId="0169E66F" w14:textId="77777777" w:rsidTr="00033238">
            <w:trPr>
              <w:trHeight w:val="340"/>
            </w:trPr>
            <w:tc>
              <w:tcPr>
                <w:tcW w:w="980" w:type="dxa"/>
                <w:shd w:val="clear" w:color="auto" w:fill="auto"/>
                <w:vAlign w:val="center"/>
                <w:hideMark/>
              </w:tcPr>
              <w:p w14:paraId="161BEA3E" w14:textId="77777777" w:rsidR="00E37486" w:rsidRPr="00033238" w:rsidRDefault="00E37486" w:rsidP="00E37486">
                <w:pPr>
                  <w:spacing w:after="0" w:line="240" w:lineRule="auto"/>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835000149</w:t>
                </w:r>
              </w:p>
            </w:tc>
            <w:tc>
              <w:tcPr>
                <w:tcW w:w="1987" w:type="dxa"/>
                <w:shd w:val="clear" w:color="auto" w:fill="auto"/>
                <w:vAlign w:val="center"/>
                <w:hideMark/>
              </w:tcPr>
              <w:p w14:paraId="47F60E03" w14:textId="77777777" w:rsidR="00E37486" w:rsidRPr="00033238" w:rsidRDefault="00E37486" w:rsidP="00E37486">
                <w:pPr>
                  <w:spacing w:after="0" w:line="240" w:lineRule="auto"/>
                  <w:jc w:val="both"/>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Sociedad Puerto Industrial Aguadulce S.A.</w:t>
                </w:r>
              </w:p>
            </w:tc>
            <w:tc>
              <w:tcPr>
                <w:tcW w:w="1418" w:type="dxa"/>
                <w:shd w:val="clear" w:color="auto" w:fill="auto"/>
                <w:vAlign w:val="center"/>
                <w:hideMark/>
              </w:tcPr>
              <w:p w14:paraId="4584597D" w14:textId="77777777" w:rsidR="00E37486" w:rsidRPr="00033238" w:rsidRDefault="00E37486" w:rsidP="00E37486">
                <w:pPr>
                  <w:spacing w:after="0" w:line="240" w:lineRule="auto"/>
                  <w:jc w:val="right"/>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40.505.793.376</w:t>
                </w:r>
              </w:p>
            </w:tc>
          </w:tr>
          <w:tr w:rsidR="00E37486" w:rsidRPr="00033238" w14:paraId="7CB93157" w14:textId="77777777" w:rsidTr="00033238">
            <w:trPr>
              <w:trHeight w:val="340"/>
            </w:trPr>
            <w:tc>
              <w:tcPr>
                <w:tcW w:w="980" w:type="dxa"/>
                <w:shd w:val="clear" w:color="auto" w:fill="auto"/>
                <w:vAlign w:val="center"/>
                <w:hideMark/>
              </w:tcPr>
              <w:p w14:paraId="56B9D184" w14:textId="77777777" w:rsidR="00E37486" w:rsidRPr="00033238" w:rsidRDefault="00E37486" w:rsidP="00E37486">
                <w:pPr>
                  <w:spacing w:after="0" w:line="240" w:lineRule="auto"/>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900188593</w:t>
                </w:r>
              </w:p>
            </w:tc>
            <w:tc>
              <w:tcPr>
                <w:tcW w:w="1987" w:type="dxa"/>
                <w:shd w:val="clear" w:color="auto" w:fill="auto"/>
                <w:vAlign w:val="center"/>
                <w:hideMark/>
              </w:tcPr>
              <w:p w14:paraId="31A7A0B4" w14:textId="77777777" w:rsidR="00E37486" w:rsidRPr="00033238" w:rsidRDefault="00E37486" w:rsidP="00E37486">
                <w:pPr>
                  <w:spacing w:after="0" w:line="240" w:lineRule="auto"/>
                  <w:jc w:val="both"/>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Puerto Bahía Colombia De Urabá Sa</w:t>
                </w:r>
              </w:p>
            </w:tc>
            <w:tc>
              <w:tcPr>
                <w:tcW w:w="1418" w:type="dxa"/>
                <w:shd w:val="clear" w:color="auto" w:fill="auto"/>
                <w:vAlign w:val="center"/>
                <w:hideMark/>
              </w:tcPr>
              <w:p w14:paraId="06CCDFFA" w14:textId="77777777" w:rsidR="00E37486" w:rsidRPr="00033238" w:rsidRDefault="00E37486" w:rsidP="00E37486">
                <w:pPr>
                  <w:spacing w:after="0" w:line="240" w:lineRule="auto"/>
                  <w:jc w:val="right"/>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30.168.522.516</w:t>
                </w:r>
              </w:p>
            </w:tc>
          </w:tr>
          <w:tr w:rsidR="00E37486" w:rsidRPr="00033238" w14:paraId="4A294BAC" w14:textId="77777777" w:rsidTr="00033238">
            <w:trPr>
              <w:trHeight w:val="340"/>
            </w:trPr>
            <w:tc>
              <w:tcPr>
                <w:tcW w:w="980" w:type="dxa"/>
                <w:shd w:val="clear" w:color="auto" w:fill="auto"/>
                <w:vAlign w:val="center"/>
                <w:hideMark/>
              </w:tcPr>
              <w:p w14:paraId="67A6C74C" w14:textId="77777777" w:rsidR="00E37486" w:rsidRPr="00033238" w:rsidRDefault="00E37486" w:rsidP="00E37486">
                <w:pPr>
                  <w:spacing w:after="0" w:line="240" w:lineRule="auto"/>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800116164</w:t>
                </w:r>
              </w:p>
            </w:tc>
            <w:tc>
              <w:tcPr>
                <w:tcW w:w="1987" w:type="dxa"/>
                <w:shd w:val="clear" w:color="auto" w:fill="auto"/>
                <w:vAlign w:val="center"/>
                <w:hideMark/>
              </w:tcPr>
              <w:p w14:paraId="04388FA5" w14:textId="77777777" w:rsidR="00E37486" w:rsidRPr="00033238" w:rsidRDefault="00E37486" w:rsidP="00E37486">
                <w:pPr>
                  <w:spacing w:after="0" w:line="240" w:lineRule="auto"/>
                  <w:jc w:val="both"/>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Terminal De Contenedores De Cartagena S.A.</w:t>
                </w:r>
              </w:p>
            </w:tc>
            <w:tc>
              <w:tcPr>
                <w:tcW w:w="1418" w:type="dxa"/>
                <w:shd w:val="clear" w:color="auto" w:fill="auto"/>
                <w:vAlign w:val="center"/>
                <w:hideMark/>
              </w:tcPr>
              <w:p w14:paraId="08EB690A" w14:textId="77777777" w:rsidR="00E37486" w:rsidRPr="00033238" w:rsidRDefault="00E37486" w:rsidP="00E37486">
                <w:pPr>
                  <w:spacing w:after="0" w:line="240" w:lineRule="auto"/>
                  <w:jc w:val="right"/>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24.315.413.367</w:t>
                </w:r>
              </w:p>
            </w:tc>
          </w:tr>
          <w:tr w:rsidR="00E37486" w:rsidRPr="00033238" w14:paraId="33BCDA4E" w14:textId="77777777" w:rsidTr="00033238">
            <w:trPr>
              <w:trHeight w:val="340"/>
            </w:trPr>
            <w:tc>
              <w:tcPr>
                <w:tcW w:w="980" w:type="dxa"/>
                <w:shd w:val="clear" w:color="auto" w:fill="auto"/>
                <w:vAlign w:val="center"/>
                <w:hideMark/>
              </w:tcPr>
              <w:p w14:paraId="2D48D150" w14:textId="77777777" w:rsidR="00E37486" w:rsidRPr="00033238" w:rsidRDefault="00E37486" w:rsidP="00E37486">
                <w:pPr>
                  <w:spacing w:after="0" w:line="240" w:lineRule="auto"/>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800084048</w:t>
                </w:r>
              </w:p>
            </w:tc>
            <w:tc>
              <w:tcPr>
                <w:tcW w:w="1987" w:type="dxa"/>
                <w:shd w:val="clear" w:color="auto" w:fill="auto"/>
                <w:vAlign w:val="center"/>
                <w:hideMark/>
              </w:tcPr>
              <w:p w14:paraId="5D92BD02" w14:textId="77777777" w:rsidR="00E37486" w:rsidRPr="00033238" w:rsidRDefault="00E37486" w:rsidP="00E37486">
                <w:pPr>
                  <w:spacing w:after="0" w:line="240" w:lineRule="auto"/>
                  <w:jc w:val="both"/>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 xml:space="preserve">Sociedad Portuaria Terminal De </w:t>
                </w:r>
                <w:r w:rsidRPr="00033238">
                  <w:rPr>
                    <w:rFonts w:ascii="Times New Roman" w:eastAsia="Times New Roman" w:hAnsi="Times New Roman"/>
                    <w:color w:val="000000"/>
                    <w:sz w:val="18"/>
                    <w:szCs w:val="18"/>
                    <w:lang w:eastAsia="es-CO"/>
                  </w:rPr>
                  <w:t>Contenedores De Buenaventura S.A.</w:t>
                </w:r>
              </w:p>
            </w:tc>
            <w:tc>
              <w:tcPr>
                <w:tcW w:w="1418" w:type="dxa"/>
                <w:shd w:val="clear" w:color="auto" w:fill="auto"/>
                <w:vAlign w:val="center"/>
                <w:hideMark/>
              </w:tcPr>
              <w:p w14:paraId="6169D27C" w14:textId="77777777" w:rsidR="00E37486" w:rsidRPr="00033238" w:rsidRDefault="00E37486" w:rsidP="00E37486">
                <w:pPr>
                  <w:spacing w:after="0" w:line="240" w:lineRule="auto"/>
                  <w:jc w:val="right"/>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20.289.358.990</w:t>
                </w:r>
              </w:p>
            </w:tc>
          </w:tr>
          <w:tr w:rsidR="00E37486" w:rsidRPr="00033238" w14:paraId="2DE4AB77" w14:textId="77777777" w:rsidTr="00033238">
            <w:trPr>
              <w:trHeight w:val="340"/>
            </w:trPr>
            <w:tc>
              <w:tcPr>
                <w:tcW w:w="980" w:type="dxa"/>
                <w:shd w:val="clear" w:color="auto" w:fill="auto"/>
                <w:vAlign w:val="center"/>
                <w:hideMark/>
              </w:tcPr>
              <w:p w14:paraId="6F0FB474" w14:textId="77777777" w:rsidR="00E37486" w:rsidRPr="00033238" w:rsidRDefault="00E37486" w:rsidP="00E37486">
                <w:pPr>
                  <w:spacing w:after="0" w:line="240" w:lineRule="auto"/>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800215775</w:t>
                </w:r>
              </w:p>
            </w:tc>
            <w:tc>
              <w:tcPr>
                <w:tcW w:w="1987" w:type="dxa"/>
                <w:shd w:val="clear" w:color="auto" w:fill="auto"/>
                <w:vAlign w:val="center"/>
                <w:hideMark/>
              </w:tcPr>
              <w:p w14:paraId="488AC957" w14:textId="77777777" w:rsidR="00E37486" w:rsidRPr="00033238" w:rsidRDefault="00E37486" w:rsidP="00E37486">
                <w:pPr>
                  <w:spacing w:after="0" w:line="240" w:lineRule="auto"/>
                  <w:jc w:val="both"/>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Sociedad Portuaria Regional De Buenaventura S.A. S.P.R. BUN</w:t>
                </w:r>
              </w:p>
            </w:tc>
            <w:tc>
              <w:tcPr>
                <w:tcW w:w="1418" w:type="dxa"/>
                <w:shd w:val="clear" w:color="auto" w:fill="auto"/>
                <w:vAlign w:val="center"/>
                <w:hideMark/>
              </w:tcPr>
              <w:p w14:paraId="0F5AEA8C" w14:textId="77777777" w:rsidR="00E37486" w:rsidRPr="00033238" w:rsidRDefault="00E37486" w:rsidP="00E37486">
                <w:pPr>
                  <w:spacing w:after="0" w:line="240" w:lineRule="auto"/>
                  <w:jc w:val="right"/>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19.055.957.006</w:t>
                </w:r>
              </w:p>
            </w:tc>
          </w:tr>
          <w:tr w:rsidR="00E37486" w:rsidRPr="00033238" w14:paraId="31E43000" w14:textId="77777777" w:rsidTr="00033238">
            <w:trPr>
              <w:trHeight w:val="340"/>
            </w:trPr>
            <w:tc>
              <w:tcPr>
                <w:tcW w:w="980" w:type="dxa"/>
                <w:shd w:val="clear" w:color="auto" w:fill="auto"/>
                <w:vAlign w:val="center"/>
                <w:hideMark/>
              </w:tcPr>
              <w:p w14:paraId="3892CD52" w14:textId="77777777" w:rsidR="00E37486" w:rsidRPr="00033238" w:rsidRDefault="00E37486" w:rsidP="00E37486">
                <w:pPr>
                  <w:spacing w:after="0" w:line="240" w:lineRule="auto"/>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800200969</w:t>
                </w:r>
              </w:p>
            </w:tc>
            <w:tc>
              <w:tcPr>
                <w:tcW w:w="1987" w:type="dxa"/>
                <w:shd w:val="clear" w:color="auto" w:fill="auto"/>
                <w:vAlign w:val="center"/>
                <w:hideMark/>
              </w:tcPr>
              <w:p w14:paraId="72DB9B80" w14:textId="77777777" w:rsidR="00E37486" w:rsidRPr="00033238" w:rsidRDefault="00E37486" w:rsidP="00E37486">
                <w:pPr>
                  <w:spacing w:after="0" w:line="240" w:lineRule="auto"/>
                  <w:jc w:val="both"/>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 xml:space="preserve">Sociedad Portuaria Regional De Cartagena S.A. </w:t>
                </w:r>
              </w:p>
            </w:tc>
            <w:tc>
              <w:tcPr>
                <w:tcW w:w="1418" w:type="dxa"/>
                <w:shd w:val="clear" w:color="auto" w:fill="auto"/>
                <w:vAlign w:val="center"/>
                <w:hideMark/>
              </w:tcPr>
              <w:p w14:paraId="6DE98019" w14:textId="77777777" w:rsidR="00E37486" w:rsidRPr="00033238" w:rsidRDefault="00E37486" w:rsidP="00E37486">
                <w:pPr>
                  <w:spacing w:after="0" w:line="240" w:lineRule="auto"/>
                  <w:jc w:val="right"/>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18.430.653.028</w:t>
                </w:r>
              </w:p>
            </w:tc>
          </w:tr>
          <w:tr w:rsidR="00E37486" w:rsidRPr="00033238" w14:paraId="51E30939" w14:textId="77777777" w:rsidTr="00033238">
            <w:trPr>
              <w:trHeight w:val="340"/>
            </w:trPr>
            <w:tc>
              <w:tcPr>
                <w:tcW w:w="980" w:type="dxa"/>
                <w:shd w:val="clear" w:color="auto" w:fill="auto"/>
                <w:vAlign w:val="center"/>
                <w:hideMark/>
              </w:tcPr>
              <w:p w14:paraId="1A123FA7" w14:textId="77777777" w:rsidR="00E37486" w:rsidRPr="00033238" w:rsidRDefault="00E37486" w:rsidP="00E37486">
                <w:pPr>
                  <w:spacing w:after="0" w:line="240" w:lineRule="auto"/>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800153687</w:t>
                </w:r>
              </w:p>
            </w:tc>
            <w:tc>
              <w:tcPr>
                <w:tcW w:w="1987" w:type="dxa"/>
                <w:shd w:val="clear" w:color="auto" w:fill="auto"/>
                <w:vAlign w:val="center"/>
                <w:hideMark/>
              </w:tcPr>
              <w:p w14:paraId="4920A05E" w14:textId="77777777" w:rsidR="00E37486" w:rsidRPr="00033238" w:rsidRDefault="00E37486" w:rsidP="00E37486">
                <w:pPr>
                  <w:spacing w:after="0" w:line="240" w:lineRule="auto"/>
                  <w:jc w:val="both"/>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American Port Company Inc</w:t>
                </w:r>
              </w:p>
            </w:tc>
            <w:tc>
              <w:tcPr>
                <w:tcW w:w="1418" w:type="dxa"/>
                <w:shd w:val="clear" w:color="auto" w:fill="auto"/>
                <w:vAlign w:val="center"/>
                <w:hideMark/>
              </w:tcPr>
              <w:p w14:paraId="03B5008E" w14:textId="77777777" w:rsidR="00E37486" w:rsidRPr="00033238" w:rsidRDefault="00E37486" w:rsidP="00E37486">
                <w:pPr>
                  <w:spacing w:after="0" w:line="240" w:lineRule="auto"/>
                  <w:jc w:val="right"/>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18.112.307.946</w:t>
                </w:r>
              </w:p>
            </w:tc>
          </w:tr>
          <w:tr w:rsidR="00E37486" w:rsidRPr="00033238" w14:paraId="1C65B781" w14:textId="77777777" w:rsidTr="00033238">
            <w:trPr>
              <w:trHeight w:val="340"/>
            </w:trPr>
            <w:tc>
              <w:tcPr>
                <w:tcW w:w="980" w:type="dxa"/>
                <w:shd w:val="clear" w:color="auto" w:fill="auto"/>
                <w:vAlign w:val="center"/>
                <w:hideMark/>
              </w:tcPr>
              <w:p w14:paraId="0DE5AE0C" w14:textId="77777777" w:rsidR="00E37486" w:rsidRPr="00033238" w:rsidRDefault="00E37486" w:rsidP="00E37486">
                <w:pPr>
                  <w:spacing w:after="0" w:line="240" w:lineRule="auto"/>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lastRenderedPageBreak/>
                  <w:t>900273253</w:t>
                </w:r>
              </w:p>
            </w:tc>
            <w:tc>
              <w:tcPr>
                <w:tcW w:w="1987" w:type="dxa"/>
                <w:shd w:val="clear" w:color="auto" w:fill="auto"/>
                <w:vAlign w:val="center"/>
                <w:hideMark/>
              </w:tcPr>
              <w:p w14:paraId="3F52A9C6" w14:textId="77777777" w:rsidR="00E37486" w:rsidRPr="00033238" w:rsidRDefault="00E37486" w:rsidP="00E37486">
                <w:pPr>
                  <w:spacing w:after="0" w:line="240" w:lineRule="auto"/>
                  <w:jc w:val="both"/>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Sociedad Portuaria Puerto Nuevo S.A.</w:t>
                </w:r>
              </w:p>
            </w:tc>
            <w:tc>
              <w:tcPr>
                <w:tcW w:w="1418" w:type="dxa"/>
                <w:shd w:val="clear" w:color="auto" w:fill="auto"/>
                <w:vAlign w:val="center"/>
                <w:hideMark/>
              </w:tcPr>
              <w:p w14:paraId="6147D93C" w14:textId="77777777" w:rsidR="00E37486" w:rsidRPr="00033238" w:rsidRDefault="00E37486" w:rsidP="00E37486">
                <w:pPr>
                  <w:spacing w:after="0" w:line="240" w:lineRule="auto"/>
                  <w:jc w:val="right"/>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16.955.188.553</w:t>
                </w:r>
              </w:p>
            </w:tc>
          </w:tr>
          <w:tr w:rsidR="00E37486" w:rsidRPr="00033238" w14:paraId="26C5D147" w14:textId="77777777" w:rsidTr="00033238">
            <w:trPr>
              <w:trHeight w:val="340"/>
            </w:trPr>
            <w:tc>
              <w:tcPr>
                <w:tcW w:w="980" w:type="dxa"/>
                <w:shd w:val="clear" w:color="auto" w:fill="auto"/>
                <w:vAlign w:val="center"/>
                <w:hideMark/>
              </w:tcPr>
              <w:p w14:paraId="053D8823" w14:textId="77777777" w:rsidR="00E37486" w:rsidRPr="00033238" w:rsidRDefault="00E37486" w:rsidP="00E37486">
                <w:pPr>
                  <w:spacing w:after="0" w:line="240" w:lineRule="auto"/>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800251163</w:t>
                </w:r>
              </w:p>
            </w:tc>
            <w:tc>
              <w:tcPr>
                <w:tcW w:w="1987" w:type="dxa"/>
                <w:shd w:val="clear" w:color="auto" w:fill="auto"/>
                <w:vAlign w:val="center"/>
                <w:hideMark/>
              </w:tcPr>
              <w:p w14:paraId="249C6A01" w14:textId="77777777" w:rsidR="00E37486" w:rsidRPr="00033238" w:rsidRDefault="00E37486" w:rsidP="00E37486">
                <w:pPr>
                  <w:spacing w:after="0" w:line="240" w:lineRule="auto"/>
                  <w:jc w:val="both"/>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Oleoducto Central S.A.</w:t>
                </w:r>
              </w:p>
            </w:tc>
            <w:tc>
              <w:tcPr>
                <w:tcW w:w="1418" w:type="dxa"/>
                <w:shd w:val="clear" w:color="auto" w:fill="auto"/>
                <w:vAlign w:val="center"/>
                <w:hideMark/>
              </w:tcPr>
              <w:p w14:paraId="1F9B6030" w14:textId="77777777" w:rsidR="00E37486" w:rsidRPr="00033238" w:rsidRDefault="00E37486" w:rsidP="00E37486">
                <w:pPr>
                  <w:spacing w:after="0" w:line="240" w:lineRule="auto"/>
                  <w:jc w:val="right"/>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15.101.662.269</w:t>
                </w:r>
              </w:p>
            </w:tc>
          </w:tr>
          <w:tr w:rsidR="00E37486" w:rsidRPr="00033238" w14:paraId="21EF07A0" w14:textId="77777777" w:rsidTr="00033238">
            <w:trPr>
              <w:trHeight w:val="340"/>
            </w:trPr>
            <w:tc>
              <w:tcPr>
                <w:tcW w:w="980" w:type="dxa"/>
                <w:shd w:val="clear" w:color="auto" w:fill="auto"/>
                <w:vAlign w:val="center"/>
                <w:hideMark/>
              </w:tcPr>
              <w:p w14:paraId="0DFA6158" w14:textId="77777777" w:rsidR="00E37486" w:rsidRPr="00033238" w:rsidRDefault="00E37486" w:rsidP="00E37486">
                <w:pPr>
                  <w:spacing w:after="0" w:line="240" w:lineRule="auto"/>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830078038</w:t>
                </w:r>
              </w:p>
            </w:tc>
            <w:tc>
              <w:tcPr>
                <w:tcW w:w="1987" w:type="dxa"/>
                <w:shd w:val="clear" w:color="auto" w:fill="auto"/>
                <w:vAlign w:val="center"/>
                <w:hideMark/>
              </w:tcPr>
              <w:p w14:paraId="59752A8F" w14:textId="77777777" w:rsidR="00E37486" w:rsidRPr="00033238" w:rsidRDefault="00E37486" w:rsidP="00E37486">
                <w:pPr>
                  <w:spacing w:after="0" w:line="240" w:lineRule="auto"/>
                  <w:jc w:val="both"/>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Cerrejón Zona Norte S. A.</w:t>
                </w:r>
              </w:p>
            </w:tc>
            <w:tc>
              <w:tcPr>
                <w:tcW w:w="1418" w:type="dxa"/>
                <w:shd w:val="clear" w:color="auto" w:fill="auto"/>
                <w:vAlign w:val="center"/>
                <w:hideMark/>
              </w:tcPr>
              <w:p w14:paraId="7EEE95A0" w14:textId="77777777" w:rsidR="00E37486" w:rsidRPr="00033238" w:rsidRDefault="00E37486" w:rsidP="00E37486">
                <w:pPr>
                  <w:spacing w:after="0" w:line="240" w:lineRule="auto"/>
                  <w:jc w:val="right"/>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14.945.624.831</w:t>
                </w:r>
              </w:p>
            </w:tc>
          </w:tr>
          <w:tr w:rsidR="00E37486" w:rsidRPr="00033238" w14:paraId="2DCB283B" w14:textId="77777777" w:rsidTr="00033238">
            <w:trPr>
              <w:trHeight w:val="340"/>
            </w:trPr>
            <w:tc>
              <w:tcPr>
                <w:tcW w:w="980" w:type="dxa"/>
                <w:shd w:val="clear" w:color="auto" w:fill="auto"/>
                <w:vAlign w:val="center"/>
                <w:hideMark/>
              </w:tcPr>
              <w:p w14:paraId="6A043933" w14:textId="77777777" w:rsidR="00E37486" w:rsidRPr="00033238" w:rsidRDefault="00E37486" w:rsidP="00E37486">
                <w:pPr>
                  <w:spacing w:after="0" w:line="240" w:lineRule="auto"/>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860009873</w:t>
                </w:r>
              </w:p>
            </w:tc>
            <w:tc>
              <w:tcPr>
                <w:tcW w:w="1987" w:type="dxa"/>
                <w:shd w:val="clear" w:color="auto" w:fill="auto"/>
                <w:vAlign w:val="center"/>
                <w:hideMark/>
              </w:tcPr>
              <w:p w14:paraId="3F133C95" w14:textId="77777777" w:rsidR="00E37486" w:rsidRPr="00033238" w:rsidRDefault="00E37486" w:rsidP="00E37486">
                <w:pPr>
                  <w:spacing w:after="0" w:line="240" w:lineRule="auto"/>
                  <w:jc w:val="both"/>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Sociedad Portuaria Puerto Bahía S. A</w:t>
                </w:r>
              </w:p>
            </w:tc>
            <w:tc>
              <w:tcPr>
                <w:tcW w:w="1418" w:type="dxa"/>
                <w:shd w:val="clear" w:color="auto" w:fill="auto"/>
                <w:vAlign w:val="center"/>
                <w:hideMark/>
              </w:tcPr>
              <w:p w14:paraId="6007FEE9" w14:textId="77777777" w:rsidR="00E37486" w:rsidRPr="00033238" w:rsidRDefault="00E37486" w:rsidP="00E37486">
                <w:pPr>
                  <w:spacing w:after="0" w:line="240" w:lineRule="auto"/>
                  <w:jc w:val="right"/>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14.708.913.163</w:t>
                </w:r>
              </w:p>
            </w:tc>
          </w:tr>
          <w:tr w:rsidR="00E37486" w:rsidRPr="00033238" w14:paraId="293DBF80" w14:textId="77777777" w:rsidTr="00033238">
            <w:trPr>
              <w:trHeight w:val="340"/>
            </w:trPr>
            <w:tc>
              <w:tcPr>
                <w:tcW w:w="980" w:type="dxa"/>
                <w:shd w:val="clear" w:color="auto" w:fill="auto"/>
                <w:vAlign w:val="center"/>
                <w:hideMark/>
              </w:tcPr>
              <w:p w14:paraId="65D33560" w14:textId="77777777" w:rsidR="00E37486" w:rsidRPr="00033238" w:rsidRDefault="00E37486" w:rsidP="00E37486">
                <w:pPr>
                  <w:spacing w:after="0" w:line="240" w:lineRule="auto"/>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900164755</w:t>
                </w:r>
              </w:p>
            </w:tc>
            <w:tc>
              <w:tcPr>
                <w:tcW w:w="1987" w:type="dxa"/>
                <w:shd w:val="clear" w:color="auto" w:fill="auto"/>
                <w:vAlign w:val="center"/>
                <w:hideMark/>
              </w:tcPr>
              <w:p w14:paraId="72B38AD3" w14:textId="77777777" w:rsidR="00E37486" w:rsidRPr="00033238" w:rsidRDefault="00E37486" w:rsidP="00E37486">
                <w:pPr>
                  <w:spacing w:after="0" w:line="240" w:lineRule="auto"/>
                  <w:jc w:val="both"/>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Zona Franca Argos S.A.S.</w:t>
                </w:r>
              </w:p>
            </w:tc>
            <w:tc>
              <w:tcPr>
                <w:tcW w:w="1418" w:type="dxa"/>
                <w:shd w:val="clear" w:color="auto" w:fill="auto"/>
                <w:vAlign w:val="center"/>
                <w:hideMark/>
              </w:tcPr>
              <w:p w14:paraId="6CE1B085" w14:textId="77777777" w:rsidR="00E37486" w:rsidRPr="00033238" w:rsidRDefault="00E37486" w:rsidP="00E37486">
                <w:pPr>
                  <w:spacing w:after="0" w:line="240" w:lineRule="auto"/>
                  <w:jc w:val="right"/>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14.384.259.976</w:t>
                </w:r>
              </w:p>
            </w:tc>
          </w:tr>
          <w:tr w:rsidR="00E37486" w:rsidRPr="00033238" w14:paraId="06AE81B9" w14:textId="77777777" w:rsidTr="00033238">
            <w:trPr>
              <w:trHeight w:val="340"/>
            </w:trPr>
            <w:tc>
              <w:tcPr>
                <w:tcW w:w="980" w:type="dxa"/>
                <w:shd w:val="clear" w:color="auto" w:fill="auto"/>
                <w:vAlign w:val="center"/>
                <w:hideMark/>
              </w:tcPr>
              <w:p w14:paraId="40E85B9B" w14:textId="77777777" w:rsidR="00E37486" w:rsidRPr="00033238" w:rsidRDefault="00E37486" w:rsidP="00E37486">
                <w:pPr>
                  <w:spacing w:after="0" w:line="240" w:lineRule="auto"/>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800187234</w:t>
                </w:r>
              </w:p>
            </w:tc>
            <w:tc>
              <w:tcPr>
                <w:tcW w:w="1987" w:type="dxa"/>
                <w:shd w:val="clear" w:color="auto" w:fill="auto"/>
                <w:vAlign w:val="center"/>
                <w:hideMark/>
              </w:tcPr>
              <w:p w14:paraId="2D0F1570" w14:textId="77777777" w:rsidR="00E37486" w:rsidRPr="00033238" w:rsidRDefault="00E37486" w:rsidP="00E37486">
                <w:pPr>
                  <w:spacing w:after="0" w:line="240" w:lineRule="auto"/>
                  <w:jc w:val="both"/>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Sociedad Portuaria Regional De Santa Marta S. A</w:t>
                </w:r>
              </w:p>
            </w:tc>
            <w:tc>
              <w:tcPr>
                <w:tcW w:w="1418" w:type="dxa"/>
                <w:shd w:val="clear" w:color="auto" w:fill="auto"/>
                <w:vAlign w:val="center"/>
                <w:hideMark/>
              </w:tcPr>
              <w:p w14:paraId="36B63225" w14:textId="77777777" w:rsidR="00E37486" w:rsidRPr="00033238" w:rsidRDefault="00E37486" w:rsidP="00E37486">
                <w:pPr>
                  <w:spacing w:after="0" w:line="240" w:lineRule="auto"/>
                  <w:jc w:val="right"/>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11.936.981.159</w:t>
                </w:r>
              </w:p>
            </w:tc>
          </w:tr>
          <w:tr w:rsidR="00E37486" w:rsidRPr="00033238" w14:paraId="6DC4FAB0" w14:textId="77777777" w:rsidTr="00033238">
            <w:trPr>
              <w:trHeight w:val="340"/>
            </w:trPr>
            <w:tc>
              <w:tcPr>
                <w:tcW w:w="980" w:type="dxa"/>
                <w:shd w:val="clear" w:color="auto" w:fill="auto"/>
                <w:vAlign w:val="center"/>
                <w:hideMark/>
              </w:tcPr>
              <w:p w14:paraId="6FB3463C" w14:textId="77777777" w:rsidR="00E37486" w:rsidRPr="00033238" w:rsidRDefault="00E37486" w:rsidP="00E37486">
                <w:pPr>
                  <w:spacing w:after="0" w:line="240" w:lineRule="auto"/>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800156044</w:t>
                </w:r>
              </w:p>
            </w:tc>
            <w:tc>
              <w:tcPr>
                <w:tcW w:w="1987" w:type="dxa"/>
                <w:shd w:val="clear" w:color="auto" w:fill="auto"/>
                <w:vAlign w:val="center"/>
                <w:hideMark/>
              </w:tcPr>
              <w:p w14:paraId="4B9A5632" w14:textId="77777777" w:rsidR="00E37486" w:rsidRPr="00033238" w:rsidRDefault="00E37486" w:rsidP="00E37486">
                <w:pPr>
                  <w:spacing w:after="0" w:line="240" w:lineRule="auto"/>
                  <w:jc w:val="both"/>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Compañía De Puertos Asociados S.A.</w:t>
                </w:r>
              </w:p>
            </w:tc>
            <w:tc>
              <w:tcPr>
                <w:tcW w:w="1418" w:type="dxa"/>
                <w:shd w:val="clear" w:color="auto" w:fill="auto"/>
                <w:vAlign w:val="center"/>
                <w:hideMark/>
              </w:tcPr>
              <w:p w14:paraId="7AE9934D" w14:textId="77777777" w:rsidR="00E37486" w:rsidRPr="00033238" w:rsidRDefault="00E37486" w:rsidP="00E37486">
                <w:pPr>
                  <w:spacing w:after="0" w:line="240" w:lineRule="auto"/>
                  <w:jc w:val="right"/>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11.935.708.511</w:t>
                </w:r>
              </w:p>
            </w:tc>
          </w:tr>
          <w:tr w:rsidR="00E37486" w:rsidRPr="00033238" w14:paraId="2DF031BF" w14:textId="77777777" w:rsidTr="00033238">
            <w:trPr>
              <w:trHeight w:val="340"/>
            </w:trPr>
            <w:tc>
              <w:tcPr>
                <w:tcW w:w="980" w:type="dxa"/>
                <w:shd w:val="clear" w:color="auto" w:fill="auto"/>
                <w:vAlign w:val="center"/>
                <w:hideMark/>
              </w:tcPr>
              <w:p w14:paraId="38D22CBF" w14:textId="77777777" w:rsidR="00E37486" w:rsidRPr="00033238" w:rsidRDefault="00E37486" w:rsidP="00E37486">
                <w:pPr>
                  <w:spacing w:after="0" w:line="240" w:lineRule="auto"/>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899999068</w:t>
                </w:r>
              </w:p>
            </w:tc>
            <w:tc>
              <w:tcPr>
                <w:tcW w:w="1987" w:type="dxa"/>
                <w:shd w:val="clear" w:color="auto" w:fill="auto"/>
                <w:vAlign w:val="center"/>
                <w:hideMark/>
              </w:tcPr>
              <w:p w14:paraId="720B6A22" w14:textId="77777777" w:rsidR="00E37486" w:rsidRPr="00033238" w:rsidRDefault="00E37486" w:rsidP="00E37486">
                <w:pPr>
                  <w:spacing w:after="0" w:line="240" w:lineRule="auto"/>
                  <w:jc w:val="both"/>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Ecopetrol S A</w:t>
                </w:r>
              </w:p>
            </w:tc>
            <w:tc>
              <w:tcPr>
                <w:tcW w:w="1418" w:type="dxa"/>
                <w:shd w:val="clear" w:color="auto" w:fill="auto"/>
                <w:vAlign w:val="center"/>
                <w:hideMark/>
              </w:tcPr>
              <w:p w14:paraId="3AF396E2" w14:textId="77777777" w:rsidR="00E37486" w:rsidRPr="00033238" w:rsidRDefault="00E37486" w:rsidP="00E37486">
                <w:pPr>
                  <w:spacing w:after="0" w:line="240" w:lineRule="auto"/>
                  <w:jc w:val="right"/>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10.465.163.224</w:t>
                </w:r>
              </w:p>
            </w:tc>
          </w:tr>
          <w:tr w:rsidR="00E37486" w:rsidRPr="00033238" w14:paraId="229812A9" w14:textId="77777777" w:rsidTr="00033238">
            <w:trPr>
              <w:trHeight w:val="340"/>
            </w:trPr>
            <w:tc>
              <w:tcPr>
                <w:tcW w:w="980" w:type="dxa"/>
                <w:shd w:val="clear" w:color="auto" w:fill="auto"/>
                <w:vAlign w:val="center"/>
                <w:hideMark/>
              </w:tcPr>
              <w:p w14:paraId="72B13776" w14:textId="77777777" w:rsidR="00E37486" w:rsidRPr="00033238" w:rsidRDefault="00E37486" w:rsidP="00E37486">
                <w:pPr>
                  <w:spacing w:after="0" w:line="240" w:lineRule="auto"/>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800033858</w:t>
                </w:r>
              </w:p>
            </w:tc>
            <w:tc>
              <w:tcPr>
                <w:tcW w:w="1987" w:type="dxa"/>
                <w:shd w:val="clear" w:color="auto" w:fill="auto"/>
                <w:vAlign w:val="center"/>
                <w:hideMark/>
              </w:tcPr>
              <w:p w14:paraId="13A9AA39" w14:textId="7EE1E141" w:rsidR="00E37486" w:rsidRPr="00033238" w:rsidRDefault="00E37486" w:rsidP="00E37486">
                <w:pPr>
                  <w:spacing w:after="0" w:line="240" w:lineRule="auto"/>
                  <w:jc w:val="both"/>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Sociedad Portuaria El Cayao S.A E.S. P</w:t>
                </w:r>
              </w:p>
            </w:tc>
            <w:tc>
              <w:tcPr>
                <w:tcW w:w="1418" w:type="dxa"/>
                <w:shd w:val="clear" w:color="auto" w:fill="auto"/>
                <w:vAlign w:val="center"/>
                <w:hideMark/>
              </w:tcPr>
              <w:p w14:paraId="6EF40606" w14:textId="77777777" w:rsidR="00E37486" w:rsidRPr="00033238" w:rsidRDefault="00E37486" w:rsidP="00E37486">
                <w:pPr>
                  <w:spacing w:after="0" w:line="240" w:lineRule="auto"/>
                  <w:jc w:val="right"/>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7.842.395.193</w:t>
                </w:r>
              </w:p>
            </w:tc>
          </w:tr>
          <w:tr w:rsidR="00E37486" w:rsidRPr="00033238" w14:paraId="637D074B" w14:textId="77777777" w:rsidTr="00033238">
            <w:trPr>
              <w:trHeight w:val="340"/>
            </w:trPr>
            <w:tc>
              <w:tcPr>
                <w:tcW w:w="980" w:type="dxa"/>
                <w:shd w:val="clear" w:color="auto" w:fill="auto"/>
                <w:vAlign w:val="center"/>
                <w:hideMark/>
              </w:tcPr>
              <w:p w14:paraId="3F10A840" w14:textId="77777777" w:rsidR="00E37486" w:rsidRPr="00033238" w:rsidRDefault="00E37486" w:rsidP="00E37486">
                <w:pPr>
                  <w:spacing w:after="0" w:line="240" w:lineRule="auto"/>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900096574</w:t>
                </w:r>
              </w:p>
            </w:tc>
            <w:tc>
              <w:tcPr>
                <w:tcW w:w="1987" w:type="dxa"/>
                <w:shd w:val="clear" w:color="auto" w:fill="auto"/>
                <w:vAlign w:val="center"/>
                <w:hideMark/>
              </w:tcPr>
              <w:p w14:paraId="7D136455" w14:textId="77777777" w:rsidR="00E37486" w:rsidRPr="00033238" w:rsidRDefault="00E37486" w:rsidP="00E37486">
                <w:pPr>
                  <w:spacing w:after="0" w:line="240" w:lineRule="auto"/>
                  <w:jc w:val="both"/>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Puerto Brisa S.A.</w:t>
                </w:r>
              </w:p>
            </w:tc>
            <w:tc>
              <w:tcPr>
                <w:tcW w:w="1418" w:type="dxa"/>
                <w:shd w:val="clear" w:color="auto" w:fill="auto"/>
                <w:vAlign w:val="center"/>
                <w:hideMark/>
              </w:tcPr>
              <w:p w14:paraId="6BFCFCD9" w14:textId="77777777" w:rsidR="00E37486" w:rsidRPr="00033238" w:rsidRDefault="00E37486" w:rsidP="00E37486">
                <w:pPr>
                  <w:spacing w:after="0" w:line="240" w:lineRule="auto"/>
                  <w:jc w:val="right"/>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5.209.387.789</w:t>
                </w:r>
              </w:p>
            </w:tc>
          </w:tr>
          <w:tr w:rsidR="00E37486" w:rsidRPr="00033238" w14:paraId="4E88C847" w14:textId="77777777" w:rsidTr="00033238">
            <w:trPr>
              <w:trHeight w:val="340"/>
            </w:trPr>
            <w:tc>
              <w:tcPr>
                <w:tcW w:w="980" w:type="dxa"/>
                <w:shd w:val="clear" w:color="auto" w:fill="auto"/>
                <w:vAlign w:val="center"/>
                <w:hideMark/>
              </w:tcPr>
              <w:p w14:paraId="4E8DA8D4" w14:textId="77777777" w:rsidR="00E37486" w:rsidRPr="00033238" w:rsidRDefault="00E37486" w:rsidP="00E37486">
                <w:pPr>
                  <w:spacing w:after="0" w:line="240" w:lineRule="auto"/>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900531210</w:t>
                </w:r>
              </w:p>
            </w:tc>
            <w:tc>
              <w:tcPr>
                <w:tcW w:w="1987" w:type="dxa"/>
                <w:shd w:val="clear" w:color="auto" w:fill="auto"/>
                <w:vAlign w:val="center"/>
                <w:hideMark/>
              </w:tcPr>
              <w:p w14:paraId="2B92AC07" w14:textId="77777777" w:rsidR="00E37486" w:rsidRPr="00033238" w:rsidRDefault="00E37486" w:rsidP="00E37486">
                <w:pPr>
                  <w:spacing w:after="0" w:line="240" w:lineRule="auto"/>
                  <w:jc w:val="both"/>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Cenit Transporte Y Logística De Hidrocarburos S.A.S.</w:t>
                </w:r>
              </w:p>
            </w:tc>
            <w:tc>
              <w:tcPr>
                <w:tcW w:w="1418" w:type="dxa"/>
                <w:shd w:val="clear" w:color="auto" w:fill="auto"/>
                <w:vAlign w:val="center"/>
                <w:hideMark/>
              </w:tcPr>
              <w:p w14:paraId="34DE484F" w14:textId="77777777" w:rsidR="00E37486" w:rsidRPr="00033238" w:rsidRDefault="00E37486" w:rsidP="00E37486">
                <w:pPr>
                  <w:spacing w:after="0" w:line="240" w:lineRule="auto"/>
                  <w:jc w:val="right"/>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3.931.679.438</w:t>
                </w:r>
              </w:p>
            </w:tc>
          </w:tr>
          <w:tr w:rsidR="00E37486" w:rsidRPr="00033238" w14:paraId="75160E49" w14:textId="77777777" w:rsidTr="00033238">
            <w:trPr>
              <w:trHeight w:val="340"/>
            </w:trPr>
            <w:tc>
              <w:tcPr>
                <w:tcW w:w="980" w:type="dxa"/>
                <w:shd w:val="clear" w:color="auto" w:fill="auto"/>
                <w:vAlign w:val="center"/>
                <w:hideMark/>
              </w:tcPr>
              <w:p w14:paraId="707833DE" w14:textId="77777777" w:rsidR="00E37486" w:rsidRPr="00033238" w:rsidRDefault="00E37486" w:rsidP="00E37486">
                <w:pPr>
                  <w:spacing w:after="0" w:line="240" w:lineRule="auto"/>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800096464</w:t>
                </w:r>
              </w:p>
            </w:tc>
            <w:tc>
              <w:tcPr>
                <w:tcW w:w="1987" w:type="dxa"/>
                <w:shd w:val="clear" w:color="auto" w:fill="auto"/>
                <w:vAlign w:val="center"/>
                <w:hideMark/>
              </w:tcPr>
              <w:p w14:paraId="4E6AB0F3" w14:textId="77777777" w:rsidR="00E37486" w:rsidRPr="00033238" w:rsidRDefault="00E37486" w:rsidP="00E37486">
                <w:pPr>
                  <w:spacing w:after="0" w:line="240" w:lineRule="auto"/>
                  <w:jc w:val="both"/>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Puerto De Mamonal S.A.</w:t>
                </w:r>
              </w:p>
            </w:tc>
            <w:tc>
              <w:tcPr>
                <w:tcW w:w="1418" w:type="dxa"/>
                <w:shd w:val="clear" w:color="auto" w:fill="auto"/>
                <w:vAlign w:val="center"/>
                <w:hideMark/>
              </w:tcPr>
              <w:p w14:paraId="6E134A4B" w14:textId="77777777" w:rsidR="00E37486" w:rsidRPr="00033238" w:rsidRDefault="00E37486" w:rsidP="00E37486">
                <w:pPr>
                  <w:spacing w:after="0" w:line="240" w:lineRule="auto"/>
                  <w:jc w:val="right"/>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2.895.255.484</w:t>
                </w:r>
              </w:p>
            </w:tc>
          </w:tr>
          <w:tr w:rsidR="00E37486" w:rsidRPr="00033238" w14:paraId="14E9A362" w14:textId="77777777" w:rsidTr="00033238">
            <w:trPr>
              <w:trHeight w:val="340"/>
            </w:trPr>
            <w:tc>
              <w:tcPr>
                <w:tcW w:w="980" w:type="dxa"/>
                <w:shd w:val="clear" w:color="auto" w:fill="auto"/>
                <w:vAlign w:val="center"/>
                <w:hideMark/>
              </w:tcPr>
              <w:p w14:paraId="6A2F0E36" w14:textId="77777777" w:rsidR="00E37486" w:rsidRPr="00033238" w:rsidRDefault="00E37486" w:rsidP="00E37486">
                <w:pPr>
                  <w:spacing w:after="0" w:line="240" w:lineRule="auto"/>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860053976</w:t>
                </w:r>
              </w:p>
            </w:tc>
            <w:tc>
              <w:tcPr>
                <w:tcW w:w="1987" w:type="dxa"/>
                <w:shd w:val="clear" w:color="auto" w:fill="auto"/>
                <w:vAlign w:val="center"/>
                <w:hideMark/>
              </w:tcPr>
              <w:p w14:paraId="2A412C06" w14:textId="77777777" w:rsidR="00E37486" w:rsidRPr="00033238" w:rsidRDefault="00E37486" w:rsidP="00E37486">
                <w:pPr>
                  <w:spacing w:after="0" w:line="240" w:lineRule="auto"/>
                  <w:jc w:val="both"/>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Algranel S.A.</w:t>
                </w:r>
              </w:p>
            </w:tc>
            <w:tc>
              <w:tcPr>
                <w:tcW w:w="1418" w:type="dxa"/>
                <w:shd w:val="clear" w:color="auto" w:fill="auto"/>
                <w:vAlign w:val="center"/>
                <w:hideMark/>
              </w:tcPr>
              <w:p w14:paraId="2142A611" w14:textId="77777777" w:rsidR="00E37486" w:rsidRPr="00033238" w:rsidRDefault="00E37486" w:rsidP="00E37486">
                <w:pPr>
                  <w:spacing w:after="0" w:line="240" w:lineRule="auto"/>
                  <w:jc w:val="right"/>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1.904.283.826</w:t>
                </w:r>
              </w:p>
            </w:tc>
          </w:tr>
          <w:tr w:rsidR="00E37486" w:rsidRPr="00033238" w14:paraId="5D931E0C" w14:textId="77777777" w:rsidTr="00033238">
            <w:trPr>
              <w:trHeight w:val="340"/>
            </w:trPr>
            <w:tc>
              <w:tcPr>
                <w:tcW w:w="980" w:type="dxa"/>
                <w:shd w:val="clear" w:color="auto" w:fill="auto"/>
                <w:vAlign w:val="center"/>
                <w:hideMark/>
              </w:tcPr>
              <w:p w14:paraId="622DABD5" w14:textId="77777777" w:rsidR="00E37486" w:rsidRPr="00033238" w:rsidRDefault="00E37486" w:rsidP="00E37486">
                <w:pPr>
                  <w:spacing w:after="0" w:line="240" w:lineRule="auto"/>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830020263</w:t>
                </w:r>
              </w:p>
            </w:tc>
            <w:tc>
              <w:tcPr>
                <w:tcW w:w="1987" w:type="dxa"/>
                <w:shd w:val="clear" w:color="auto" w:fill="auto"/>
                <w:vAlign w:val="center"/>
                <w:hideMark/>
              </w:tcPr>
              <w:p w14:paraId="0D26044A" w14:textId="77777777" w:rsidR="00E37486" w:rsidRPr="00033238" w:rsidRDefault="00E37486" w:rsidP="00E37486">
                <w:pPr>
                  <w:spacing w:after="0" w:line="240" w:lineRule="auto"/>
                  <w:jc w:val="both"/>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Grupo Portuario S.A.</w:t>
                </w:r>
              </w:p>
            </w:tc>
            <w:tc>
              <w:tcPr>
                <w:tcW w:w="1418" w:type="dxa"/>
                <w:shd w:val="clear" w:color="auto" w:fill="auto"/>
                <w:vAlign w:val="center"/>
                <w:hideMark/>
              </w:tcPr>
              <w:p w14:paraId="067F52AB" w14:textId="77777777" w:rsidR="00E37486" w:rsidRPr="00033238" w:rsidRDefault="00E37486" w:rsidP="00E37486">
                <w:pPr>
                  <w:spacing w:after="0" w:line="240" w:lineRule="auto"/>
                  <w:jc w:val="right"/>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1.666.482.897</w:t>
                </w:r>
              </w:p>
            </w:tc>
          </w:tr>
          <w:tr w:rsidR="00E37486" w:rsidRPr="00033238" w14:paraId="35BFF3B2" w14:textId="77777777" w:rsidTr="00033238">
            <w:trPr>
              <w:trHeight w:val="340"/>
            </w:trPr>
            <w:tc>
              <w:tcPr>
                <w:tcW w:w="980" w:type="dxa"/>
                <w:shd w:val="clear" w:color="auto" w:fill="auto"/>
                <w:vAlign w:val="center"/>
                <w:hideMark/>
              </w:tcPr>
              <w:p w14:paraId="6FF4877A" w14:textId="77777777" w:rsidR="00E37486" w:rsidRPr="00033238" w:rsidRDefault="00E37486" w:rsidP="00E37486">
                <w:pPr>
                  <w:spacing w:after="0" w:line="240" w:lineRule="auto"/>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900106818</w:t>
                </w:r>
              </w:p>
            </w:tc>
            <w:tc>
              <w:tcPr>
                <w:tcW w:w="1987" w:type="dxa"/>
                <w:shd w:val="clear" w:color="auto" w:fill="auto"/>
                <w:vAlign w:val="center"/>
                <w:hideMark/>
              </w:tcPr>
              <w:p w14:paraId="12FE3A5A" w14:textId="77777777" w:rsidR="00E37486" w:rsidRPr="00033238" w:rsidRDefault="00E37486" w:rsidP="00E37486">
                <w:pPr>
                  <w:spacing w:after="0" w:line="240" w:lineRule="auto"/>
                  <w:jc w:val="both"/>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Sociedad Portuaria Bavaria S.A.</w:t>
                </w:r>
              </w:p>
            </w:tc>
            <w:tc>
              <w:tcPr>
                <w:tcW w:w="1418" w:type="dxa"/>
                <w:shd w:val="clear" w:color="auto" w:fill="auto"/>
                <w:vAlign w:val="center"/>
                <w:hideMark/>
              </w:tcPr>
              <w:p w14:paraId="3E1138E1" w14:textId="77777777" w:rsidR="00E37486" w:rsidRPr="00033238" w:rsidRDefault="00E37486" w:rsidP="00E37486">
                <w:pPr>
                  <w:spacing w:after="0" w:line="240" w:lineRule="auto"/>
                  <w:jc w:val="right"/>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1.491.324.697</w:t>
                </w:r>
              </w:p>
            </w:tc>
          </w:tr>
          <w:tr w:rsidR="00E37486" w:rsidRPr="00033238" w14:paraId="144E1F58" w14:textId="77777777" w:rsidTr="00033238">
            <w:trPr>
              <w:trHeight w:val="340"/>
            </w:trPr>
            <w:tc>
              <w:tcPr>
                <w:tcW w:w="980" w:type="dxa"/>
                <w:shd w:val="clear" w:color="auto" w:fill="auto"/>
                <w:vAlign w:val="center"/>
                <w:hideMark/>
              </w:tcPr>
              <w:p w14:paraId="1FF4B2FB" w14:textId="77777777" w:rsidR="00E37486" w:rsidRPr="00033238" w:rsidRDefault="00E37486" w:rsidP="00E37486">
                <w:pPr>
                  <w:spacing w:after="0" w:line="240" w:lineRule="auto"/>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860040201</w:t>
                </w:r>
              </w:p>
            </w:tc>
            <w:tc>
              <w:tcPr>
                <w:tcW w:w="1987" w:type="dxa"/>
                <w:shd w:val="clear" w:color="auto" w:fill="auto"/>
                <w:vAlign w:val="center"/>
                <w:hideMark/>
              </w:tcPr>
              <w:p w14:paraId="09830D52" w14:textId="77777777" w:rsidR="00E37486" w:rsidRPr="00033238" w:rsidRDefault="00E37486" w:rsidP="00E37486">
                <w:pPr>
                  <w:spacing w:after="0" w:line="240" w:lineRule="auto"/>
                  <w:jc w:val="both"/>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Vopak Colombia S. A</w:t>
                </w:r>
              </w:p>
            </w:tc>
            <w:tc>
              <w:tcPr>
                <w:tcW w:w="1418" w:type="dxa"/>
                <w:shd w:val="clear" w:color="auto" w:fill="auto"/>
                <w:vAlign w:val="center"/>
                <w:hideMark/>
              </w:tcPr>
              <w:p w14:paraId="03A2B6DE" w14:textId="77777777" w:rsidR="00E37486" w:rsidRPr="00033238" w:rsidRDefault="00E37486" w:rsidP="00E37486">
                <w:pPr>
                  <w:spacing w:after="0" w:line="240" w:lineRule="auto"/>
                  <w:jc w:val="right"/>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767.773.934</w:t>
                </w:r>
              </w:p>
            </w:tc>
          </w:tr>
          <w:tr w:rsidR="00E37486" w:rsidRPr="00033238" w14:paraId="2242B936" w14:textId="77777777" w:rsidTr="00033238">
            <w:trPr>
              <w:trHeight w:val="340"/>
            </w:trPr>
            <w:tc>
              <w:tcPr>
                <w:tcW w:w="980" w:type="dxa"/>
                <w:shd w:val="clear" w:color="auto" w:fill="auto"/>
                <w:vAlign w:val="center"/>
                <w:hideMark/>
              </w:tcPr>
              <w:p w14:paraId="14152B65" w14:textId="77777777" w:rsidR="00E37486" w:rsidRPr="00033238" w:rsidRDefault="00E37486" w:rsidP="00E37486">
                <w:pPr>
                  <w:spacing w:after="0" w:line="240" w:lineRule="auto"/>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900112515</w:t>
                </w:r>
              </w:p>
            </w:tc>
            <w:tc>
              <w:tcPr>
                <w:tcW w:w="1987" w:type="dxa"/>
                <w:shd w:val="clear" w:color="auto" w:fill="auto"/>
                <w:vAlign w:val="center"/>
                <w:hideMark/>
              </w:tcPr>
              <w:p w14:paraId="0B2E6C8E" w14:textId="77777777" w:rsidR="00E37486" w:rsidRPr="00033238" w:rsidRDefault="00E37486" w:rsidP="00E37486">
                <w:pPr>
                  <w:spacing w:after="0" w:line="240" w:lineRule="auto"/>
                  <w:jc w:val="both"/>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Refinería De Cartagena S.A.S</w:t>
                </w:r>
              </w:p>
            </w:tc>
            <w:tc>
              <w:tcPr>
                <w:tcW w:w="1418" w:type="dxa"/>
                <w:shd w:val="clear" w:color="auto" w:fill="auto"/>
                <w:vAlign w:val="center"/>
                <w:hideMark/>
              </w:tcPr>
              <w:p w14:paraId="0F07332B" w14:textId="77777777" w:rsidR="00E37486" w:rsidRPr="00033238" w:rsidRDefault="00E37486" w:rsidP="00E37486">
                <w:pPr>
                  <w:spacing w:after="0" w:line="240" w:lineRule="auto"/>
                  <w:jc w:val="right"/>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622.458.124</w:t>
                </w:r>
              </w:p>
            </w:tc>
          </w:tr>
          <w:tr w:rsidR="00E37486" w:rsidRPr="00033238" w14:paraId="5B9417AE" w14:textId="77777777" w:rsidTr="00033238">
            <w:trPr>
              <w:trHeight w:val="340"/>
            </w:trPr>
            <w:tc>
              <w:tcPr>
                <w:tcW w:w="980" w:type="dxa"/>
                <w:shd w:val="clear" w:color="auto" w:fill="auto"/>
                <w:vAlign w:val="center"/>
                <w:hideMark/>
              </w:tcPr>
              <w:p w14:paraId="74C8161E" w14:textId="77777777" w:rsidR="00E37486" w:rsidRPr="00033238" w:rsidRDefault="00E37486" w:rsidP="00E37486">
                <w:pPr>
                  <w:spacing w:after="0" w:line="240" w:lineRule="auto"/>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900257792</w:t>
                </w:r>
              </w:p>
            </w:tc>
            <w:tc>
              <w:tcPr>
                <w:tcW w:w="1987" w:type="dxa"/>
                <w:shd w:val="clear" w:color="auto" w:fill="auto"/>
                <w:vAlign w:val="center"/>
                <w:hideMark/>
              </w:tcPr>
              <w:p w14:paraId="3B05845F" w14:textId="59C19F96" w:rsidR="00E37486" w:rsidRPr="00033238" w:rsidRDefault="0080486C" w:rsidP="00E37486">
                <w:pPr>
                  <w:spacing w:after="0" w:line="240" w:lineRule="auto"/>
                  <w:jc w:val="both"/>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Oiltalking</w:t>
                </w:r>
                <w:r w:rsidR="00E37486" w:rsidRPr="00033238">
                  <w:rPr>
                    <w:rFonts w:ascii="Times New Roman" w:eastAsia="Times New Roman" w:hAnsi="Times New Roman"/>
                    <w:color w:val="000000"/>
                    <w:sz w:val="18"/>
                    <w:szCs w:val="18"/>
                    <w:lang w:eastAsia="es-CO"/>
                  </w:rPr>
                  <w:t xml:space="preserve"> Colombia S.A.</w:t>
                </w:r>
              </w:p>
            </w:tc>
            <w:tc>
              <w:tcPr>
                <w:tcW w:w="1418" w:type="dxa"/>
                <w:shd w:val="clear" w:color="auto" w:fill="auto"/>
                <w:vAlign w:val="center"/>
                <w:hideMark/>
              </w:tcPr>
              <w:p w14:paraId="5DB3F392" w14:textId="77777777" w:rsidR="00E37486" w:rsidRPr="00033238" w:rsidRDefault="00E37486" w:rsidP="00E37486">
                <w:pPr>
                  <w:spacing w:after="0" w:line="240" w:lineRule="auto"/>
                  <w:jc w:val="right"/>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600.694.239</w:t>
                </w:r>
              </w:p>
            </w:tc>
          </w:tr>
          <w:tr w:rsidR="00E37486" w:rsidRPr="00033238" w14:paraId="3E602EC4" w14:textId="77777777" w:rsidTr="00033238">
            <w:trPr>
              <w:trHeight w:val="340"/>
            </w:trPr>
            <w:tc>
              <w:tcPr>
                <w:tcW w:w="980" w:type="dxa"/>
                <w:shd w:val="clear" w:color="auto" w:fill="auto"/>
                <w:vAlign w:val="center"/>
                <w:hideMark/>
              </w:tcPr>
              <w:p w14:paraId="5B5D60C6" w14:textId="77777777" w:rsidR="00E37486" w:rsidRPr="00033238" w:rsidRDefault="00E37486" w:rsidP="00E37486">
                <w:pPr>
                  <w:spacing w:after="0" w:line="240" w:lineRule="auto"/>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901057588</w:t>
                </w:r>
              </w:p>
            </w:tc>
            <w:tc>
              <w:tcPr>
                <w:tcW w:w="1987" w:type="dxa"/>
                <w:shd w:val="clear" w:color="auto" w:fill="auto"/>
                <w:vAlign w:val="center"/>
                <w:hideMark/>
              </w:tcPr>
              <w:p w14:paraId="285681B8" w14:textId="77777777" w:rsidR="00E37486" w:rsidRPr="00033238" w:rsidRDefault="00E37486" w:rsidP="00E37486">
                <w:pPr>
                  <w:spacing w:after="0" w:line="240" w:lineRule="auto"/>
                  <w:jc w:val="both"/>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Sociedad Portuaria Regional Tumaco Pacific Port S. A</w:t>
                </w:r>
              </w:p>
            </w:tc>
            <w:tc>
              <w:tcPr>
                <w:tcW w:w="1418" w:type="dxa"/>
                <w:shd w:val="clear" w:color="auto" w:fill="auto"/>
                <w:vAlign w:val="center"/>
                <w:hideMark/>
              </w:tcPr>
              <w:p w14:paraId="19BB3801" w14:textId="77777777" w:rsidR="00E37486" w:rsidRPr="00033238" w:rsidRDefault="00E37486" w:rsidP="00E37486">
                <w:pPr>
                  <w:spacing w:after="0" w:line="240" w:lineRule="auto"/>
                  <w:jc w:val="right"/>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584.555.930</w:t>
                </w:r>
              </w:p>
            </w:tc>
          </w:tr>
          <w:tr w:rsidR="00E37486" w:rsidRPr="00033238" w14:paraId="7F880218" w14:textId="77777777" w:rsidTr="00033238">
            <w:trPr>
              <w:trHeight w:val="340"/>
            </w:trPr>
            <w:tc>
              <w:tcPr>
                <w:tcW w:w="980" w:type="dxa"/>
                <w:shd w:val="clear" w:color="auto" w:fill="auto"/>
                <w:vAlign w:val="center"/>
                <w:hideMark/>
              </w:tcPr>
              <w:p w14:paraId="0AEEFC15" w14:textId="77777777" w:rsidR="00E37486" w:rsidRPr="00033238" w:rsidRDefault="00E37486" w:rsidP="00E37486">
                <w:pPr>
                  <w:spacing w:after="0" w:line="240" w:lineRule="auto"/>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806016414</w:t>
                </w:r>
              </w:p>
            </w:tc>
            <w:tc>
              <w:tcPr>
                <w:tcW w:w="1987" w:type="dxa"/>
                <w:shd w:val="clear" w:color="auto" w:fill="auto"/>
                <w:vAlign w:val="center"/>
                <w:hideMark/>
              </w:tcPr>
              <w:p w14:paraId="0D49742B" w14:textId="77777777" w:rsidR="00E37486" w:rsidRPr="00033238" w:rsidRDefault="00E37486" w:rsidP="00E37486">
                <w:pPr>
                  <w:spacing w:after="0" w:line="240" w:lineRule="auto"/>
                  <w:jc w:val="both"/>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Sociedad Portuaria Olefinas Y Derivados S.A.</w:t>
                </w:r>
              </w:p>
            </w:tc>
            <w:tc>
              <w:tcPr>
                <w:tcW w:w="1418" w:type="dxa"/>
                <w:shd w:val="clear" w:color="auto" w:fill="auto"/>
                <w:vAlign w:val="center"/>
                <w:hideMark/>
              </w:tcPr>
              <w:p w14:paraId="55FA547C" w14:textId="77777777" w:rsidR="00E37486" w:rsidRPr="00033238" w:rsidRDefault="00E37486" w:rsidP="00E37486">
                <w:pPr>
                  <w:spacing w:after="0" w:line="240" w:lineRule="auto"/>
                  <w:jc w:val="right"/>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515.447.374</w:t>
                </w:r>
              </w:p>
            </w:tc>
          </w:tr>
          <w:tr w:rsidR="00E37486" w:rsidRPr="00033238" w14:paraId="36BC20D2" w14:textId="77777777" w:rsidTr="00033238">
            <w:trPr>
              <w:trHeight w:val="340"/>
            </w:trPr>
            <w:tc>
              <w:tcPr>
                <w:tcW w:w="980" w:type="dxa"/>
                <w:shd w:val="clear" w:color="auto" w:fill="auto"/>
                <w:vAlign w:val="center"/>
                <w:hideMark/>
              </w:tcPr>
              <w:p w14:paraId="1FC545E3" w14:textId="77777777" w:rsidR="00E37486" w:rsidRPr="00033238" w:rsidRDefault="00E37486" w:rsidP="00E37486">
                <w:pPr>
                  <w:spacing w:after="0" w:line="240" w:lineRule="auto"/>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800206129</w:t>
                </w:r>
              </w:p>
            </w:tc>
            <w:tc>
              <w:tcPr>
                <w:tcW w:w="1987" w:type="dxa"/>
                <w:shd w:val="clear" w:color="auto" w:fill="auto"/>
                <w:vAlign w:val="center"/>
                <w:hideMark/>
              </w:tcPr>
              <w:p w14:paraId="6E16CFFB" w14:textId="77777777" w:rsidR="00E37486" w:rsidRPr="00033238" w:rsidRDefault="00E37486" w:rsidP="00E37486">
                <w:pPr>
                  <w:spacing w:after="0" w:line="240" w:lineRule="auto"/>
                  <w:jc w:val="both"/>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Puerto Buenavista S. A</w:t>
                </w:r>
              </w:p>
            </w:tc>
            <w:tc>
              <w:tcPr>
                <w:tcW w:w="1418" w:type="dxa"/>
                <w:shd w:val="clear" w:color="auto" w:fill="auto"/>
                <w:vAlign w:val="center"/>
                <w:hideMark/>
              </w:tcPr>
              <w:p w14:paraId="7C35CB10" w14:textId="77777777" w:rsidR="00E37486" w:rsidRPr="00033238" w:rsidRDefault="00E37486" w:rsidP="00E37486">
                <w:pPr>
                  <w:spacing w:after="0" w:line="240" w:lineRule="auto"/>
                  <w:jc w:val="right"/>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484.117.082</w:t>
                </w:r>
              </w:p>
            </w:tc>
          </w:tr>
          <w:tr w:rsidR="00E37486" w:rsidRPr="00033238" w14:paraId="15705681" w14:textId="77777777" w:rsidTr="00033238">
            <w:trPr>
              <w:trHeight w:val="340"/>
            </w:trPr>
            <w:tc>
              <w:tcPr>
                <w:tcW w:w="980" w:type="dxa"/>
                <w:shd w:val="clear" w:color="auto" w:fill="auto"/>
                <w:vAlign w:val="center"/>
                <w:hideMark/>
              </w:tcPr>
              <w:p w14:paraId="6A43E371" w14:textId="77777777" w:rsidR="00E37486" w:rsidRPr="00033238" w:rsidRDefault="00E37486" w:rsidP="00E37486">
                <w:pPr>
                  <w:spacing w:after="0" w:line="240" w:lineRule="auto"/>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900325249</w:t>
                </w:r>
              </w:p>
            </w:tc>
            <w:tc>
              <w:tcPr>
                <w:tcW w:w="1987" w:type="dxa"/>
                <w:shd w:val="clear" w:color="auto" w:fill="auto"/>
                <w:vAlign w:val="center"/>
                <w:hideMark/>
              </w:tcPr>
              <w:p w14:paraId="49794702" w14:textId="77777777" w:rsidR="00E37486" w:rsidRPr="00033238" w:rsidRDefault="00E37486" w:rsidP="00E37486">
                <w:pPr>
                  <w:spacing w:after="0" w:line="240" w:lineRule="auto"/>
                  <w:jc w:val="both"/>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Sociedad Portuaria Central Cartagena S. A</w:t>
                </w:r>
              </w:p>
            </w:tc>
            <w:tc>
              <w:tcPr>
                <w:tcW w:w="1418" w:type="dxa"/>
                <w:shd w:val="clear" w:color="auto" w:fill="auto"/>
                <w:vAlign w:val="center"/>
                <w:hideMark/>
              </w:tcPr>
              <w:p w14:paraId="4CA5F337" w14:textId="77777777" w:rsidR="00E37486" w:rsidRPr="00033238" w:rsidRDefault="00E37486" w:rsidP="00E37486">
                <w:pPr>
                  <w:spacing w:after="0" w:line="240" w:lineRule="auto"/>
                  <w:jc w:val="right"/>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461.218.552</w:t>
                </w:r>
              </w:p>
            </w:tc>
          </w:tr>
          <w:tr w:rsidR="00E37486" w:rsidRPr="00033238" w14:paraId="6ABAD42F" w14:textId="77777777" w:rsidTr="00033238">
            <w:trPr>
              <w:trHeight w:val="340"/>
            </w:trPr>
            <w:tc>
              <w:tcPr>
                <w:tcW w:w="980" w:type="dxa"/>
                <w:shd w:val="clear" w:color="auto" w:fill="auto"/>
                <w:vAlign w:val="center"/>
                <w:hideMark/>
              </w:tcPr>
              <w:p w14:paraId="11B35E52" w14:textId="77777777" w:rsidR="00E37486" w:rsidRPr="00033238" w:rsidRDefault="00E37486" w:rsidP="00E37486">
                <w:pPr>
                  <w:spacing w:after="0" w:line="240" w:lineRule="auto"/>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806012654</w:t>
                </w:r>
              </w:p>
            </w:tc>
            <w:tc>
              <w:tcPr>
                <w:tcW w:w="1987" w:type="dxa"/>
                <w:shd w:val="clear" w:color="auto" w:fill="auto"/>
                <w:vAlign w:val="center"/>
                <w:hideMark/>
              </w:tcPr>
              <w:p w14:paraId="29361FE5" w14:textId="77777777" w:rsidR="00E37486" w:rsidRPr="00033238" w:rsidRDefault="00E37486" w:rsidP="00E37486">
                <w:pPr>
                  <w:spacing w:after="0" w:line="240" w:lineRule="auto"/>
                  <w:jc w:val="both"/>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Sociedad Portuaria Del Dique S.A.</w:t>
                </w:r>
              </w:p>
            </w:tc>
            <w:tc>
              <w:tcPr>
                <w:tcW w:w="1418" w:type="dxa"/>
                <w:shd w:val="clear" w:color="auto" w:fill="auto"/>
                <w:vAlign w:val="center"/>
                <w:hideMark/>
              </w:tcPr>
              <w:p w14:paraId="1C725F32" w14:textId="77777777" w:rsidR="00E37486" w:rsidRPr="00033238" w:rsidRDefault="00E37486" w:rsidP="00E37486">
                <w:pPr>
                  <w:spacing w:after="0" w:line="240" w:lineRule="auto"/>
                  <w:jc w:val="right"/>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439.702.861</w:t>
                </w:r>
              </w:p>
            </w:tc>
          </w:tr>
          <w:tr w:rsidR="00E37486" w:rsidRPr="00033238" w14:paraId="0E71F2F0" w14:textId="77777777" w:rsidTr="00033238">
            <w:trPr>
              <w:trHeight w:val="340"/>
            </w:trPr>
            <w:tc>
              <w:tcPr>
                <w:tcW w:w="980" w:type="dxa"/>
                <w:shd w:val="clear" w:color="auto" w:fill="auto"/>
                <w:vAlign w:val="center"/>
                <w:hideMark/>
              </w:tcPr>
              <w:p w14:paraId="1C6AF2CE" w14:textId="77777777" w:rsidR="00E37486" w:rsidRPr="00033238" w:rsidRDefault="00E37486" w:rsidP="00E37486">
                <w:pPr>
                  <w:spacing w:after="0" w:line="240" w:lineRule="auto"/>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890401435</w:t>
                </w:r>
              </w:p>
            </w:tc>
            <w:tc>
              <w:tcPr>
                <w:tcW w:w="1987" w:type="dxa"/>
                <w:shd w:val="clear" w:color="auto" w:fill="auto"/>
                <w:vAlign w:val="center"/>
                <w:hideMark/>
              </w:tcPr>
              <w:p w14:paraId="4DF1999C" w14:textId="77777777" w:rsidR="00E37486" w:rsidRPr="00033238" w:rsidRDefault="00E37486" w:rsidP="00E37486">
                <w:pPr>
                  <w:spacing w:after="0" w:line="240" w:lineRule="auto"/>
                  <w:jc w:val="both"/>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Sociedad Portuaria Operadora Internacional S.A..</w:t>
                </w:r>
              </w:p>
            </w:tc>
            <w:tc>
              <w:tcPr>
                <w:tcW w:w="1418" w:type="dxa"/>
                <w:shd w:val="clear" w:color="auto" w:fill="auto"/>
                <w:vAlign w:val="center"/>
                <w:hideMark/>
              </w:tcPr>
              <w:p w14:paraId="489EC82B" w14:textId="77777777" w:rsidR="00E37486" w:rsidRPr="00033238" w:rsidRDefault="00E37486" w:rsidP="00E37486">
                <w:pPr>
                  <w:spacing w:after="0" w:line="240" w:lineRule="auto"/>
                  <w:jc w:val="right"/>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259.932.236</w:t>
                </w:r>
              </w:p>
            </w:tc>
          </w:tr>
          <w:tr w:rsidR="00E37486" w:rsidRPr="00033238" w14:paraId="4FAAA873" w14:textId="77777777" w:rsidTr="00033238">
            <w:trPr>
              <w:trHeight w:val="340"/>
            </w:trPr>
            <w:tc>
              <w:tcPr>
                <w:tcW w:w="980" w:type="dxa"/>
                <w:shd w:val="clear" w:color="auto" w:fill="auto"/>
                <w:vAlign w:val="center"/>
                <w:hideMark/>
              </w:tcPr>
              <w:p w14:paraId="4481A872" w14:textId="77777777" w:rsidR="00E37486" w:rsidRPr="00033238" w:rsidRDefault="00E37486" w:rsidP="00E37486">
                <w:pPr>
                  <w:spacing w:after="0" w:line="240" w:lineRule="auto"/>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900162335</w:t>
                </w:r>
              </w:p>
            </w:tc>
            <w:tc>
              <w:tcPr>
                <w:tcW w:w="1987" w:type="dxa"/>
                <w:shd w:val="clear" w:color="auto" w:fill="auto"/>
                <w:vAlign w:val="center"/>
                <w:hideMark/>
              </w:tcPr>
              <w:p w14:paraId="3D27ED4A" w14:textId="77777777" w:rsidR="00E37486" w:rsidRPr="00033238" w:rsidRDefault="00E37486" w:rsidP="00E37486">
                <w:pPr>
                  <w:spacing w:after="0" w:line="240" w:lineRule="auto"/>
                  <w:jc w:val="both"/>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Sociedad Portuaria Dexton S.A.</w:t>
                </w:r>
              </w:p>
            </w:tc>
            <w:tc>
              <w:tcPr>
                <w:tcW w:w="1418" w:type="dxa"/>
                <w:shd w:val="clear" w:color="auto" w:fill="auto"/>
                <w:vAlign w:val="center"/>
                <w:hideMark/>
              </w:tcPr>
              <w:p w14:paraId="3FC6FB7C" w14:textId="77777777" w:rsidR="00E37486" w:rsidRPr="00033238" w:rsidRDefault="00E37486" w:rsidP="00E37486">
                <w:pPr>
                  <w:spacing w:after="0" w:line="240" w:lineRule="auto"/>
                  <w:jc w:val="right"/>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234.576.105</w:t>
                </w:r>
              </w:p>
            </w:tc>
          </w:tr>
          <w:tr w:rsidR="00E37486" w:rsidRPr="00033238" w14:paraId="6C9C290C" w14:textId="77777777" w:rsidTr="00033238">
            <w:trPr>
              <w:trHeight w:val="340"/>
            </w:trPr>
            <w:tc>
              <w:tcPr>
                <w:tcW w:w="980" w:type="dxa"/>
                <w:shd w:val="clear" w:color="auto" w:fill="auto"/>
                <w:vAlign w:val="center"/>
                <w:hideMark/>
              </w:tcPr>
              <w:p w14:paraId="610D2CE6" w14:textId="77777777" w:rsidR="00E37486" w:rsidRPr="00033238" w:rsidRDefault="00E37486" w:rsidP="00E37486">
                <w:pPr>
                  <w:spacing w:after="0" w:line="240" w:lineRule="auto"/>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900815014</w:t>
                </w:r>
              </w:p>
            </w:tc>
            <w:tc>
              <w:tcPr>
                <w:tcW w:w="1987" w:type="dxa"/>
                <w:shd w:val="clear" w:color="auto" w:fill="auto"/>
                <w:vAlign w:val="center"/>
                <w:hideMark/>
              </w:tcPr>
              <w:p w14:paraId="51806DB0" w14:textId="77777777" w:rsidR="00E37486" w:rsidRPr="00033238" w:rsidRDefault="00E37486" w:rsidP="00E37486">
                <w:pPr>
                  <w:spacing w:after="0" w:line="240" w:lineRule="auto"/>
                  <w:jc w:val="both"/>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Coremar Shore Base Sa</w:t>
                </w:r>
              </w:p>
            </w:tc>
            <w:tc>
              <w:tcPr>
                <w:tcW w:w="1418" w:type="dxa"/>
                <w:shd w:val="clear" w:color="auto" w:fill="auto"/>
                <w:vAlign w:val="center"/>
                <w:hideMark/>
              </w:tcPr>
              <w:p w14:paraId="46FCD5A0" w14:textId="77777777" w:rsidR="00E37486" w:rsidRPr="00033238" w:rsidRDefault="00E37486" w:rsidP="00E37486">
                <w:pPr>
                  <w:spacing w:after="0" w:line="240" w:lineRule="auto"/>
                  <w:jc w:val="right"/>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136.221.646</w:t>
                </w:r>
              </w:p>
            </w:tc>
          </w:tr>
          <w:tr w:rsidR="00E37486" w:rsidRPr="00033238" w14:paraId="37EB9392" w14:textId="77777777" w:rsidTr="00033238">
            <w:trPr>
              <w:trHeight w:val="340"/>
            </w:trPr>
            <w:tc>
              <w:tcPr>
                <w:tcW w:w="980" w:type="dxa"/>
                <w:shd w:val="clear" w:color="auto" w:fill="auto"/>
                <w:vAlign w:val="center"/>
                <w:hideMark/>
              </w:tcPr>
              <w:p w14:paraId="3DDFADF7" w14:textId="77777777" w:rsidR="00E37486" w:rsidRPr="00033238" w:rsidRDefault="00E37486" w:rsidP="00E37486">
                <w:pPr>
                  <w:spacing w:after="0" w:line="240" w:lineRule="auto"/>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900677144</w:t>
                </w:r>
              </w:p>
            </w:tc>
            <w:tc>
              <w:tcPr>
                <w:tcW w:w="1987" w:type="dxa"/>
                <w:shd w:val="clear" w:color="auto" w:fill="auto"/>
                <w:vAlign w:val="center"/>
                <w:hideMark/>
              </w:tcPr>
              <w:p w14:paraId="4921B944" w14:textId="77777777" w:rsidR="00E37486" w:rsidRPr="00033238" w:rsidRDefault="00E37486" w:rsidP="00E37486">
                <w:pPr>
                  <w:spacing w:after="0" w:line="240" w:lineRule="auto"/>
                  <w:jc w:val="both"/>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Sociedad Portuaria Terminal De Ifo's S.A.</w:t>
                </w:r>
              </w:p>
            </w:tc>
            <w:tc>
              <w:tcPr>
                <w:tcW w:w="1418" w:type="dxa"/>
                <w:shd w:val="clear" w:color="auto" w:fill="auto"/>
                <w:vAlign w:val="center"/>
                <w:hideMark/>
              </w:tcPr>
              <w:p w14:paraId="2DCD4C0E" w14:textId="77777777" w:rsidR="00E37486" w:rsidRPr="00033238" w:rsidRDefault="00E37486" w:rsidP="00E37486">
                <w:pPr>
                  <w:spacing w:after="0" w:line="240" w:lineRule="auto"/>
                  <w:jc w:val="right"/>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126.506.509</w:t>
                </w:r>
              </w:p>
            </w:tc>
          </w:tr>
          <w:tr w:rsidR="00E37486" w:rsidRPr="00033238" w14:paraId="35398211" w14:textId="77777777" w:rsidTr="00033238">
            <w:trPr>
              <w:trHeight w:val="340"/>
            </w:trPr>
            <w:tc>
              <w:tcPr>
                <w:tcW w:w="980" w:type="dxa"/>
                <w:shd w:val="clear" w:color="auto" w:fill="auto"/>
                <w:vAlign w:val="center"/>
                <w:hideMark/>
              </w:tcPr>
              <w:p w14:paraId="638923C0" w14:textId="77777777" w:rsidR="00E37486" w:rsidRPr="00033238" w:rsidRDefault="00E37486" w:rsidP="00E37486">
                <w:pPr>
                  <w:spacing w:after="0" w:line="240" w:lineRule="auto"/>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806016841</w:t>
                </w:r>
              </w:p>
            </w:tc>
            <w:tc>
              <w:tcPr>
                <w:tcW w:w="1987" w:type="dxa"/>
                <w:shd w:val="clear" w:color="auto" w:fill="auto"/>
                <w:vAlign w:val="center"/>
                <w:hideMark/>
              </w:tcPr>
              <w:p w14:paraId="1F2D632E" w14:textId="77777777" w:rsidR="00E37486" w:rsidRPr="00033238" w:rsidRDefault="00E37486" w:rsidP="00E37486">
                <w:pPr>
                  <w:spacing w:after="0" w:line="240" w:lineRule="auto"/>
                  <w:jc w:val="both"/>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Sociedad Portuaria Transmarsyp S.A.</w:t>
                </w:r>
              </w:p>
            </w:tc>
            <w:tc>
              <w:tcPr>
                <w:tcW w:w="1418" w:type="dxa"/>
                <w:shd w:val="clear" w:color="auto" w:fill="auto"/>
                <w:vAlign w:val="center"/>
                <w:hideMark/>
              </w:tcPr>
              <w:p w14:paraId="2B429ACD" w14:textId="77777777" w:rsidR="00E37486" w:rsidRPr="00033238" w:rsidRDefault="00E37486" w:rsidP="00E37486">
                <w:pPr>
                  <w:spacing w:after="0" w:line="240" w:lineRule="auto"/>
                  <w:jc w:val="right"/>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115.886.689</w:t>
                </w:r>
              </w:p>
            </w:tc>
          </w:tr>
          <w:tr w:rsidR="00E37486" w:rsidRPr="00033238" w14:paraId="23AF26E3" w14:textId="77777777" w:rsidTr="00033238">
            <w:trPr>
              <w:trHeight w:val="340"/>
            </w:trPr>
            <w:tc>
              <w:tcPr>
                <w:tcW w:w="980" w:type="dxa"/>
                <w:shd w:val="clear" w:color="auto" w:fill="auto"/>
                <w:vAlign w:val="center"/>
                <w:hideMark/>
              </w:tcPr>
              <w:p w14:paraId="7A3F869C" w14:textId="77777777" w:rsidR="00E37486" w:rsidRPr="00033238" w:rsidRDefault="00E37486" w:rsidP="00E37486">
                <w:pPr>
                  <w:spacing w:after="0" w:line="240" w:lineRule="auto"/>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900243279</w:t>
                </w:r>
              </w:p>
            </w:tc>
            <w:tc>
              <w:tcPr>
                <w:tcW w:w="1987" w:type="dxa"/>
                <w:shd w:val="clear" w:color="auto" w:fill="auto"/>
                <w:vAlign w:val="center"/>
                <w:hideMark/>
              </w:tcPr>
              <w:p w14:paraId="721C16F7" w14:textId="77777777" w:rsidR="00E37486" w:rsidRPr="00033238" w:rsidRDefault="00E37486" w:rsidP="00E37486">
                <w:pPr>
                  <w:spacing w:after="0" w:line="240" w:lineRule="auto"/>
                  <w:jc w:val="both"/>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Sociedad Portuaria Puerto Hondo S.A.</w:t>
                </w:r>
              </w:p>
            </w:tc>
            <w:tc>
              <w:tcPr>
                <w:tcW w:w="1418" w:type="dxa"/>
                <w:shd w:val="clear" w:color="auto" w:fill="auto"/>
                <w:vAlign w:val="center"/>
                <w:hideMark/>
              </w:tcPr>
              <w:p w14:paraId="3AA9EB28" w14:textId="77777777" w:rsidR="00E37486" w:rsidRPr="00033238" w:rsidRDefault="00E37486" w:rsidP="00E37486">
                <w:pPr>
                  <w:spacing w:after="0" w:line="240" w:lineRule="auto"/>
                  <w:jc w:val="right"/>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75.747.346</w:t>
                </w:r>
              </w:p>
            </w:tc>
          </w:tr>
          <w:tr w:rsidR="00E37486" w:rsidRPr="00033238" w14:paraId="12CEA715" w14:textId="77777777" w:rsidTr="00033238">
            <w:trPr>
              <w:trHeight w:val="340"/>
            </w:trPr>
            <w:tc>
              <w:tcPr>
                <w:tcW w:w="980" w:type="dxa"/>
                <w:shd w:val="clear" w:color="auto" w:fill="auto"/>
                <w:vAlign w:val="center"/>
                <w:hideMark/>
              </w:tcPr>
              <w:p w14:paraId="1173A5A3" w14:textId="77777777" w:rsidR="00E37486" w:rsidRPr="00033238" w:rsidRDefault="00E37486" w:rsidP="00E37486">
                <w:pPr>
                  <w:spacing w:after="0" w:line="240" w:lineRule="auto"/>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899999162</w:t>
                </w:r>
              </w:p>
            </w:tc>
            <w:tc>
              <w:tcPr>
                <w:tcW w:w="1987" w:type="dxa"/>
                <w:shd w:val="clear" w:color="auto" w:fill="auto"/>
                <w:vAlign w:val="center"/>
                <w:hideMark/>
              </w:tcPr>
              <w:p w14:paraId="1CA62985" w14:textId="77777777" w:rsidR="00E37486" w:rsidRPr="00033238" w:rsidRDefault="00E37486" w:rsidP="00E37486">
                <w:pPr>
                  <w:spacing w:after="0" w:line="240" w:lineRule="auto"/>
                  <w:jc w:val="both"/>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Agencia Logística De Las Fuerzas Militares</w:t>
                </w:r>
              </w:p>
            </w:tc>
            <w:tc>
              <w:tcPr>
                <w:tcW w:w="1418" w:type="dxa"/>
                <w:shd w:val="clear" w:color="auto" w:fill="auto"/>
                <w:vAlign w:val="center"/>
                <w:hideMark/>
              </w:tcPr>
              <w:p w14:paraId="2D939BD9" w14:textId="77777777" w:rsidR="00E37486" w:rsidRPr="00033238" w:rsidRDefault="00E37486" w:rsidP="00E37486">
                <w:pPr>
                  <w:spacing w:after="0" w:line="240" w:lineRule="auto"/>
                  <w:jc w:val="right"/>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57.433.671</w:t>
                </w:r>
              </w:p>
            </w:tc>
          </w:tr>
          <w:tr w:rsidR="00E37486" w:rsidRPr="00033238" w14:paraId="072643A7" w14:textId="77777777" w:rsidTr="00033238">
            <w:trPr>
              <w:trHeight w:val="340"/>
            </w:trPr>
            <w:tc>
              <w:tcPr>
                <w:tcW w:w="980" w:type="dxa"/>
                <w:shd w:val="clear" w:color="auto" w:fill="auto"/>
                <w:vAlign w:val="center"/>
                <w:hideMark/>
              </w:tcPr>
              <w:p w14:paraId="1CEC7C8A" w14:textId="77777777" w:rsidR="00E37486" w:rsidRPr="00033238" w:rsidRDefault="00E37486" w:rsidP="00E37486">
                <w:pPr>
                  <w:spacing w:after="0" w:line="240" w:lineRule="auto"/>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901077888</w:t>
                </w:r>
              </w:p>
            </w:tc>
            <w:tc>
              <w:tcPr>
                <w:tcW w:w="1987" w:type="dxa"/>
                <w:shd w:val="clear" w:color="auto" w:fill="auto"/>
                <w:vAlign w:val="center"/>
                <w:hideMark/>
              </w:tcPr>
              <w:p w14:paraId="37727E8B" w14:textId="77777777" w:rsidR="00E37486" w:rsidRPr="00033238" w:rsidRDefault="00E37486" w:rsidP="00E37486">
                <w:pPr>
                  <w:spacing w:after="0" w:line="240" w:lineRule="auto"/>
                  <w:jc w:val="both"/>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Sociedad Portuaria Bita Rm S.A.</w:t>
                </w:r>
              </w:p>
            </w:tc>
            <w:tc>
              <w:tcPr>
                <w:tcW w:w="1418" w:type="dxa"/>
                <w:shd w:val="clear" w:color="auto" w:fill="auto"/>
                <w:vAlign w:val="center"/>
                <w:hideMark/>
              </w:tcPr>
              <w:p w14:paraId="3E6D6E1E" w14:textId="77777777" w:rsidR="00E37486" w:rsidRPr="00033238" w:rsidRDefault="00E37486" w:rsidP="00E37486">
                <w:pPr>
                  <w:spacing w:after="0" w:line="240" w:lineRule="auto"/>
                  <w:jc w:val="right"/>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56.964.541</w:t>
                </w:r>
              </w:p>
            </w:tc>
          </w:tr>
          <w:tr w:rsidR="00E37486" w:rsidRPr="00033238" w14:paraId="796C1F62" w14:textId="77777777" w:rsidTr="00033238">
            <w:trPr>
              <w:trHeight w:val="340"/>
            </w:trPr>
            <w:tc>
              <w:tcPr>
                <w:tcW w:w="980" w:type="dxa"/>
                <w:shd w:val="clear" w:color="auto" w:fill="auto"/>
                <w:vAlign w:val="center"/>
                <w:hideMark/>
              </w:tcPr>
              <w:p w14:paraId="61FE0D78" w14:textId="77777777" w:rsidR="00E37486" w:rsidRPr="00033238" w:rsidRDefault="00E37486" w:rsidP="00E37486">
                <w:pPr>
                  <w:spacing w:after="0" w:line="240" w:lineRule="auto"/>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900135202</w:t>
                </w:r>
              </w:p>
            </w:tc>
            <w:tc>
              <w:tcPr>
                <w:tcW w:w="1987" w:type="dxa"/>
                <w:shd w:val="clear" w:color="auto" w:fill="auto"/>
                <w:vAlign w:val="center"/>
                <w:hideMark/>
              </w:tcPr>
              <w:p w14:paraId="6A57B073" w14:textId="77777777" w:rsidR="00E37486" w:rsidRPr="00033238" w:rsidRDefault="00E37486" w:rsidP="00E37486">
                <w:pPr>
                  <w:spacing w:after="0" w:line="240" w:lineRule="auto"/>
                  <w:jc w:val="both"/>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Petróleos Y Derivados De Colombia S.A.</w:t>
                </w:r>
              </w:p>
            </w:tc>
            <w:tc>
              <w:tcPr>
                <w:tcW w:w="1418" w:type="dxa"/>
                <w:shd w:val="clear" w:color="auto" w:fill="auto"/>
                <w:vAlign w:val="center"/>
                <w:hideMark/>
              </w:tcPr>
              <w:p w14:paraId="41190F48" w14:textId="77777777" w:rsidR="00E37486" w:rsidRPr="00033238" w:rsidRDefault="00E37486" w:rsidP="00E37486">
                <w:pPr>
                  <w:spacing w:after="0" w:line="240" w:lineRule="auto"/>
                  <w:jc w:val="right"/>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40.004.875</w:t>
                </w:r>
              </w:p>
            </w:tc>
          </w:tr>
          <w:tr w:rsidR="00E37486" w:rsidRPr="00033238" w14:paraId="491EBAFD" w14:textId="77777777" w:rsidTr="00033238">
            <w:trPr>
              <w:trHeight w:val="340"/>
            </w:trPr>
            <w:tc>
              <w:tcPr>
                <w:tcW w:w="980" w:type="dxa"/>
                <w:shd w:val="clear" w:color="auto" w:fill="auto"/>
                <w:vAlign w:val="center"/>
                <w:hideMark/>
              </w:tcPr>
              <w:p w14:paraId="43FCF7D3" w14:textId="77777777" w:rsidR="00E37486" w:rsidRPr="00033238" w:rsidRDefault="00E37486" w:rsidP="00E37486">
                <w:pPr>
                  <w:spacing w:after="0" w:line="240" w:lineRule="auto"/>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900944661</w:t>
                </w:r>
              </w:p>
            </w:tc>
            <w:tc>
              <w:tcPr>
                <w:tcW w:w="1987" w:type="dxa"/>
                <w:shd w:val="clear" w:color="auto" w:fill="auto"/>
                <w:vAlign w:val="center"/>
                <w:hideMark/>
              </w:tcPr>
              <w:p w14:paraId="5ABC31FE" w14:textId="77777777" w:rsidR="00E37486" w:rsidRPr="00033238" w:rsidRDefault="00E37486" w:rsidP="00E37486">
                <w:pPr>
                  <w:spacing w:after="0" w:line="240" w:lineRule="auto"/>
                  <w:jc w:val="both"/>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Nueva Sociedad Portuaria Zona Atlántica S A</w:t>
                </w:r>
              </w:p>
            </w:tc>
            <w:tc>
              <w:tcPr>
                <w:tcW w:w="1418" w:type="dxa"/>
                <w:shd w:val="clear" w:color="auto" w:fill="auto"/>
                <w:vAlign w:val="center"/>
                <w:hideMark/>
              </w:tcPr>
              <w:p w14:paraId="00D6BD09" w14:textId="77777777" w:rsidR="00E37486" w:rsidRPr="00033238" w:rsidRDefault="00E37486" w:rsidP="00E37486">
                <w:pPr>
                  <w:spacing w:after="0" w:line="240" w:lineRule="auto"/>
                  <w:jc w:val="right"/>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32.446.455</w:t>
                </w:r>
              </w:p>
            </w:tc>
          </w:tr>
          <w:tr w:rsidR="00E37486" w:rsidRPr="00033238" w14:paraId="64F6B5BB" w14:textId="77777777" w:rsidTr="00033238">
            <w:trPr>
              <w:trHeight w:val="340"/>
            </w:trPr>
            <w:tc>
              <w:tcPr>
                <w:tcW w:w="980" w:type="dxa"/>
                <w:shd w:val="clear" w:color="auto" w:fill="auto"/>
                <w:vAlign w:val="center"/>
                <w:hideMark/>
              </w:tcPr>
              <w:p w14:paraId="3AF86902" w14:textId="77777777" w:rsidR="00E37486" w:rsidRPr="00033238" w:rsidRDefault="00E37486" w:rsidP="00E37486">
                <w:pPr>
                  <w:spacing w:after="0" w:line="240" w:lineRule="auto"/>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901045599</w:t>
                </w:r>
              </w:p>
            </w:tc>
            <w:tc>
              <w:tcPr>
                <w:tcW w:w="1987" w:type="dxa"/>
                <w:shd w:val="clear" w:color="auto" w:fill="auto"/>
                <w:vAlign w:val="center"/>
                <w:hideMark/>
              </w:tcPr>
              <w:p w14:paraId="66E142A6" w14:textId="77777777" w:rsidR="00E37486" w:rsidRPr="00033238" w:rsidRDefault="00E37486" w:rsidP="00E37486">
                <w:pPr>
                  <w:spacing w:after="0" w:line="240" w:lineRule="auto"/>
                  <w:jc w:val="both"/>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Puertos Del Caribe Sociedad Portuaria S A</w:t>
                </w:r>
              </w:p>
            </w:tc>
            <w:tc>
              <w:tcPr>
                <w:tcW w:w="1418" w:type="dxa"/>
                <w:shd w:val="clear" w:color="auto" w:fill="auto"/>
                <w:vAlign w:val="center"/>
                <w:hideMark/>
              </w:tcPr>
              <w:p w14:paraId="6AC6BABC" w14:textId="77777777" w:rsidR="00E37486" w:rsidRPr="00033238" w:rsidRDefault="00E37486" w:rsidP="00E37486">
                <w:pPr>
                  <w:spacing w:after="0" w:line="240" w:lineRule="auto"/>
                  <w:jc w:val="right"/>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23.760.582</w:t>
                </w:r>
              </w:p>
            </w:tc>
          </w:tr>
          <w:tr w:rsidR="00E37486" w:rsidRPr="00033238" w14:paraId="6381876E" w14:textId="77777777" w:rsidTr="00033238">
            <w:trPr>
              <w:trHeight w:val="340"/>
            </w:trPr>
            <w:tc>
              <w:tcPr>
                <w:tcW w:w="980" w:type="dxa"/>
                <w:shd w:val="clear" w:color="auto" w:fill="auto"/>
                <w:vAlign w:val="center"/>
                <w:hideMark/>
              </w:tcPr>
              <w:p w14:paraId="67A6B573" w14:textId="77777777" w:rsidR="00E37486" w:rsidRPr="00033238" w:rsidRDefault="00E37486" w:rsidP="00E37486">
                <w:pPr>
                  <w:spacing w:after="0" w:line="240" w:lineRule="auto"/>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830117995</w:t>
                </w:r>
              </w:p>
            </w:tc>
            <w:tc>
              <w:tcPr>
                <w:tcW w:w="1987" w:type="dxa"/>
                <w:shd w:val="clear" w:color="auto" w:fill="auto"/>
                <w:vAlign w:val="center"/>
                <w:hideMark/>
              </w:tcPr>
              <w:p w14:paraId="018BF9E9" w14:textId="77777777" w:rsidR="00E37486" w:rsidRPr="00033238" w:rsidRDefault="00E37486" w:rsidP="00E37486">
                <w:pPr>
                  <w:spacing w:after="0" w:line="240" w:lineRule="auto"/>
                  <w:jc w:val="both"/>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Sociedad Portuaria Palermo S. A</w:t>
                </w:r>
              </w:p>
            </w:tc>
            <w:tc>
              <w:tcPr>
                <w:tcW w:w="1418" w:type="dxa"/>
                <w:shd w:val="clear" w:color="auto" w:fill="auto"/>
                <w:vAlign w:val="center"/>
                <w:hideMark/>
              </w:tcPr>
              <w:p w14:paraId="71FF2028" w14:textId="77777777" w:rsidR="00E37486" w:rsidRPr="00033238" w:rsidRDefault="00E37486" w:rsidP="00E37486">
                <w:pPr>
                  <w:spacing w:after="0" w:line="240" w:lineRule="auto"/>
                  <w:jc w:val="right"/>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21.801.312</w:t>
                </w:r>
              </w:p>
            </w:tc>
          </w:tr>
          <w:tr w:rsidR="00E37486" w:rsidRPr="00033238" w14:paraId="480725A7" w14:textId="77777777" w:rsidTr="00033238">
            <w:trPr>
              <w:trHeight w:val="340"/>
            </w:trPr>
            <w:tc>
              <w:tcPr>
                <w:tcW w:w="980" w:type="dxa"/>
                <w:shd w:val="clear" w:color="auto" w:fill="auto"/>
                <w:vAlign w:val="center"/>
                <w:hideMark/>
              </w:tcPr>
              <w:p w14:paraId="7B3577BA" w14:textId="77777777" w:rsidR="00E37486" w:rsidRPr="00033238" w:rsidRDefault="00E37486" w:rsidP="00E37486">
                <w:pPr>
                  <w:spacing w:after="0" w:line="240" w:lineRule="auto"/>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839000348</w:t>
                </w:r>
              </w:p>
            </w:tc>
            <w:tc>
              <w:tcPr>
                <w:tcW w:w="1987" w:type="dxa"/>
                <w:shd w:val="clear" w:color="auto" w:fill="auto"/>
                <w:vAlign w:val="center"/>
                <w:hideMark/>
              </w:tcPr>
              <w:p w14:paraId="4D3F0292" w14:textId="77777777" w:rsidR="00E37486" w:rsidRPr="00033238" w:rsidRDefault="00E37486" w:rsidP="00E37486">
                <w:pPr>
                  <w:spacing w:after="0" w:line="240" w:lineRule="auto"/>
                  <w:jc w:val="both"/>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Sociedad Portuaria De La Península</w:t>
                </w:r>
              </w:p>
            </w:tc>
            <w:tc>
              <w:tcPr>
                <w:tcW w:w="1418" w:type="dxa"/>
                <w:shd w:val="clear" w:color="auto" w:fill="auto"/>
                <w:vAlign w:val="center"/>
                <w:hideMark/>
              </w:tcPr>
              <w:p w14:paraId="05527961" w14:textId="77777777" w:rsidR="00E37486" w:rsidRPr="00033238" w:rsidRDefault="00E37486" w:rsidP="00E37486">
                <w:pPr>
                  <w:spacing w:after="0" w:line="240" w:lineRule="auto"/>
                  <w:jc w:val="right"/>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19.019.548</w:t>
                </w:r>
              </w:p>
            </w:tc>
          </w:tr>
          <w:tr w:rsidR="00E37486" w:rsidRPr="00033238" w14:paraId="626D13B1" w14:textId="77777777" w:rsidTr="00033238">
            <w:trPr>
              <w:trHeight w:val="340"/>
            </w:trPr>
            <w:tc>
              <w:tcPr>
                <w:tcW w:w="980" w:type="dxa"/>
                <w:shd w:val="clear" w:color="auto" w:fill="auto"/>
                <w:vAlign w:val="center"/>
                <w:hideMark/>
              </w:tcPr>
              <w:p w14:paraId="553C3FF9" w14:textId="77777777" w:rsidR="00E37486" w:rsidRPr="00033238" w:rsidRDefault="00E37486" w:rsidP="00E37486">
                <w:pPr>
                  <w:spacing w:after="0" w:line="240" w:lineRule="auto"/>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841000270</w:t>
                </w:r>
              </w:p>
            </w:tc>
            <w:tc>
              <w:tcPr>
                <w:tcW w:w="1987" w:type="dxa"/>
                <w:shd w:val="clear" w:color="auto" w:fill="auto"/>
                <w:vAlign w:val="center"/>
                <w:hideMark/>
              </w:tcPr>
              <w:p w14:paraId="036F182A" w14:textId="77777777" w:rsidR="00E37486" w:rsidRPr="00033238" w:rsidRDefault="00E37486" w:rsidP="00E37486">
                <w:pPr>
                  <w:spacing w:after="0" w:line="240" w:lineRule="auto"/>
                  <w:jc w:val="both"/>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Portuaria Punta De Vaca S.A.</w:t>
                </w:r>
              </w:p>
            </w:tc>
            <w:tc>
              <w:tcPr>
                <w:tcW w:w="1418" w:type="dxa"/>
                <w:shd w:val="clear" w:color="auto" w:fill="auto"/>
                <w:vAlign w:val="center"/>
                <w:hideMark/>
              </w:tcPr>
              <w:p w14:paraId="57FEBB87" w14:textId="77777777" w:rsidR="00E37486" w:rsidRPr="00033238" w:rsidRDefault="00E37486" w:rsidP="00E37486">
                <w:pPr>
                  <w:spacing w:after="0" w:line="240" w:lineRule="auto"/>
                  <w:jc w:val="right"/>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17.271.755</w:t>
                </w:r>
              </w:p>
            </w:tc>
          </w:tr>
          <w:tr w:rsidR="00E37486" w:rsidRPr="00033238" w14:paraId="6BB5EB10" w14:textId="77777777" w:rsidTr="00033238">
            <w:trPr>
              <w:trHeight w:val="340"/>
            </w:trPr>
            <w:tc>
              <w:tcPr>
                <w:tcW w:w="980" w:type="dxa"/>
                <w:shd w:val="clear" w:color="auto" w:fill="auto"/>
                <w:vAlign w:val="center"/>
                <w:hideMark/>
              </w:tcPr>
              <w:p w14:paraId="0D994B7D" w14:textId="77777777" w:rsidR="00E37486" w:rsidRPr="00033238" w:rsidRDefault="00E37486" w:rsidP="00E37486">
                <w:pPr>
                  <w:spacing w:after="0" w:line="240" w:lineRule="auto"/>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806008240</w:t>
                </w:r>
              </w:p>
            </w:tc>
            <w:tc>
              <w:tcPr>
                <w:tcW w:w="1987" w:type="dxa"/>
                <w:shd w:val="clear" w:color="auto" w:fill="auto"/>
                <w:vAlign w:val="center"/>
                <w:hideMark/>
              </w:tcPr>
              <w:p w14:paraId="4CF1BA40" w14:textId="77777777" w:rsidR="00E37486" w:rsidRPr="00033238" w:rsidRDefault="00E37486" w:rsidP="00E37486">
                <w:pPr>
                  <w:spacing w:after="0" w:line="240" w:lineRule="auto"/>
                  <w:jc w:val="both"/>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Atunamar Ltda.</w:t>
                </w:r>
              </w:p>
            </w:tc>
            <w:tc>
              <w:tcPr>
                <w:tcW w:w="1418" w:type="dxa"/>
                <w:shd w:val="clear" w:color="auto" w:fill="auto"/>
                <w:vAlign w:val="center"/>
                <w:hideMark/>
              </w:tcPr>
              <w:p w14:paraId="7082F9CC" w14:textId="77777777" w:rsidR="00E37486" w:rsidRPr="00033238" w:rsidRDefault="00E37486" w:rsidP="00E37486">
                <w:pPr>
                  <w:spacing w:after="0" w:line="240" w:lineRule="auto"/>
                  <w:jc w:val="right"/>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16.073.458</w:t>
                </w:r>
              </w:p>
            </w:tc>
          </w:tr>
          <w:tr w:rsidR="00E37486" w:rsidRPr="00033238" w14:paraId="10E35733" w14:textId="77777777" w:rsidTr="00033238">
            <w:trPr>
              <w:trHeight w:val="340"/>
            </w:trPr>
            <w:tc>
              <w:tcPr>
                <w:tcW w:w="980" w:type="dxa"/>
                <w:shd w:val="clear" w:color="auto" w:fill="auto"/>
                <w:vAlign w:val="center"/>
                <w:hideMark/>
              </w:tcPr>
              <w:p w14:paraId="3D07AAA4" w14:textId="77777777" w:rsidR="00E37486" w:rsidRPr="00033238" w:rsidRDefault="00E37486" w:rsidP="00E37486">
                <w:pPr>
                  <w:spacing w:after="0" w:line="240" w:lineRule="auto"/>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890106493</w:t>
                </w:r>
              </w:p>
            </w:tc>
            <w:tc>
              <w:tcPr>
                <w:tcW w:w="1987" w:type="dxa"/>
                <w:shd w:val="clear" w:color="auto" w:fill="auto"/>
                <w:vAlign w:val="center"/>
                <w:hideMark/>
              </w:tcPr>
              <w:p w14:paraId="6A2A29B8" w14:textId="77777777" w:rsidR="00E37486" w:rsidRPr="00033238" w:rsidRDefault="00E37486" w:rsidP="00E37486">
                <w:pPr>
                  <w:spacing w:after="0" w:line="240" w:lineRule="auto"/>
                  <w:jc w:val="both"/>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Transpetrol Ltda.</w:t>
                </w:r>
              </w:p>
            </w:tc>
            <w:tc>
              <w:tcPr>
                <w:tcW w:w="1418" w:type="dxa"/>
                <w:shd w:val="clear" w:color="auto" w:fill="auto"/>
                <w:vAlign w:val="center"/>
                <w:hideMark/>
              </w:tcPr>
              <w:p w14:paraId="6E8F775F" w14:textId="77777777" w:rsidR="00E37486" w:rsidRPr="00033238" w:rsidRDefault="00E37486" w:rsidP="00E37486">
                <w:pPr>
                  <w:spacing w:after="0" w:line="240" w:lineRule="auto"/>
                  <w:jc w:val="right"/>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6.952.315</w:t>
                </w:r>
              </w:p>
            </w:tc>
          </w:tr>
          <w:tr w:rsidR="00E37486" w:rsidRPr="00033238" w14:paraId="3032DE3C" w14:textId="77777777" w:rsidTr="00033238">
            <w:trPr>
              <w:trHeight w:val="340"/>
            </w:trPr>
            <w:tc>
              <w:tcPr>
                <w:tcW w:w="980" w:type="dxa"/>
                <w:shd w:val="clear" w:color="auto" w:fill="auto"/>
                <w:vAlign w:val="center"/>
                <w:hideMark/>
              </w:tcPr>
              <w:p w14:paraId="7C94F15A" w14:textId="77777777" w:rsidR="00E37486" w:rsidRPr="00033238" w:rsidRDefault="00E37486" w:rsidP="00E37486">
                <w:pPr>
                  <w:spacing w:after="0" w:line="240" w:lineRule="auto"/>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840000082</w:t>
                </w:r>
              </w:p>
            </w:tc>
            <w:tc>
              <w:tcPr>
                <w:tcW w:w="1987" w:type="dxa"/>
                <w:shd w:val="clear" w:color="auto" w:fill="auto"/>
                <w:vAlign w:val="center"/>
                <w:hideMark/>
              </w:tcPr>
              <w:p w14:paraId="78FC01E1" w14:textId="77777777" w:rsidR="00E37486" w:rsidRPr="00033238" w:rsidRDefault="00E37486" w:rsidP="00E37486">
                <w:pPr>
                  <w:spacing w:after="0" w:line="240" w:lineRule="auto"/>
                  <w:jc w:val="both"/>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Romero Y Burgos   Cía. S En C</w:t>
                </w:r>
              </w:p>
            </w:tc>
            <w:tc>
              <w:tcPr>
                <w:tcW w:w="1418" w:type="dxa"/>
                <w:shd w:val="clear" w:color="auto" w:fill="auto"/>
                <w:vAlign w:val="center"/>
                <w:hideMark/>
              </w:tcPr>
              <w:p w14:paraId="76E0FC10" w14:textId="77777777" w:rsidR="00E37486" w:rsidRPr="00033238" w:rsidRDefault="00E37486" w:rsidP="00E37486">
                <w:pPr>
                  <w:spacing w:after="0" w:line="240" w:lineRule="auto"/>
                  <w:jc w:val="right"/>
                  <w:rPr>
                    <w:rFonts w:ascii="Times New Roman" w:eastAsia="Times New Roman" w:hAnsi="Times New Roman"/>
                    <w:color w:val="000000"/>
                    <w:sz w:val="18"/>
                    <w:szCs w:val="18"/>
                    <w:lang w:eastAsia="es-CO"/>
                  </w:rPr>
                </w:pPr>
                <w:r w:rsidRPr="00033238">
                  <w:rPr>
                    <w:rFonts w:ascii="Times New Roman" w:eastAsia="Times New Roman" w:hAnsi="Times New Roman"/>
                    <w:color w:val="000000"/>
                    <w:sz w:val="18"/>
                    <w:szCs w:val="18"/>
                    <w:lang w:eastAsia="es-CO"/>
                  </w:rPr>
                  <w:t>1.394.398</w:t>
                </w:r>
              </w:p>
            </w:tc>
          </w:tr>
          <w:tr w:rsidR="00E37486" w:rsidRPr="00033238" w14:paraId="4939B6C0" w14:textId="77777777" w:rsidTr="00033238">
            <w:trPr>
              <w:trHeight w:val="340"/>
            </w:trPr>
            <w:tc>
              <w:tcPr>
                <w:tcW w:w="980" w:type="dxa"/>
                <w:shd w:val="clear" w:color="auto" w:fill="auto"/>
                <w:vAlign w:val="center"/>
                <w:hideMark/>
              </w:tcPr>
              <w:p w14:paraId="2A847758" w14:textId="77777777" w:rsidR="00E37486" w:rsidRPr="00033238" w:rsidRDefault="00E37486" w:rsidP="00E37486">
                <w:pPr>
                  <w:spacing w:after="0" w:line="240" w:lineRule="auto"/>
                  <w:rPr>
                    <w:rFonts w:ascii="Times New Roman" w:eastAsia="Times New Roman" w:hAnsi="Times New Roman"/>
                    <w:b/>
                    <w:bCs/>
                    <w:color w:val="000000"/>
                    <w:sz w:val="18"/>
                    <w:szCs w:val="18"/>
                    <w:lang w:eastAsia="es-CO"/>
                  </w:rPr>
                </w:pPr>
                <w:r w:rsidRPr="00033238">
                  <w:rPr>
                    <w:rFonts w:ascii="Times New Roman" w:eastAsia="Times New Roman" w:hAnsi="Times New Roman"/>
                    <w:b/>
                    <w:bCs/>
                    <w:color w:val="000000"/>
                    <w:sz w:val="18"/>
                    <w:szCs w:val="18"/>
                    <w:lang w:eastAsia="es-CO"/>
                  </w:rPr>
                  <w:t>Total</w:t>
                </w:r>
              </w:p>
            </w:tc>
            <w:tc>
              <w:tcPr>
                <w:tcW w:w="1987" w:type="dxa"/>
                <w:shd w:val="clear" w:color="auto" w:fill="auto"/>
                <w:vAlign w:val="center"/>
                <w:hideMark/>
              </w:tcPr>
              <w:p w14:paraId="36E332C0" w14:textId="77777777" w:rsidR="00E37486" w:rsidRPr="00033238" w:rsidRDefault="00E37486" w:rsidP="00E37486">
                <w:pPr>
                  <w:spacing w:after="0" w:line="240" w:lineRule="auto"/>
                  <w:jc w:val="both"/>
                  <w:rPr>
                    <w:rFonts w:ascii="Times New Roman" w:eastAsia="Times New Roman" w:hAnsi="Times New Roman"/>
                    <w:b/>
                    <w:bCs/>
                    <w:color w:val="000000"/>
                    <w:sz w:val="18"/>
                    <w:szCs w:val="18"/>
                    <w:lang w:eastAsia="es-CO"/>
                  </w:rPr>
                </w:pPr>
                <w:r w:rsidRPr="00033238">
                  <w:rPr>
                    <w:rFonts w:ascii="Times New Roman" w:eastAsia="Times New Roman" w:hAnsi="Times New Roman"/>
                    <w:b/>
                    <w:bCs/>
                    <w:color w:val="000000"/>
                    <w:sz w:val="18"/>
                    <w:szCs w:val="18"/>
                    <w:lang w:eastAsia="es-CO"/>
                  </w:rPr>
                  <w:t> </w:t>
                </w:r>
              </w:p>
            </w:tc>
            <w:tc>
              <w:tcPr>
                <w:tcW w:w="1418" w:type="dxa"/>
                <w:shd w:val="clear" w:color="auto" w:fill="auto"/>
                <w:vAlign w:val="center"/>
                <w:hideMark/>
              </w:tcPr>
              <w:p w14:paraId="451ECA0A" w14:textId="77777777" w:rsidR="00E37486" w:rsidRPr="00033238" w:rsidRDefault="00E37486" w:rsidP="00E37486">
                <w:pPr>
                  <w:spacing w:after="0" w:line="240" w:lineRule="auto"/>
                  <w:jc w:val="right"/>
                  <w:rPr>
                    <w:rFonts w:ascii="Times New Roman" w:eastAsia="Times New Roman" w:hAnsi="Times New Roman"/>
                    <w:b/>
                    <w:bCs/>
                    <w:color w:val="000000"/>
                    <w:sz w:val="18"/>
                    <w:szCs w:val="18"/>
                    <w:lang w:eastAsia="es-CO"/>
                  </w:rPr>
                </w:pPr>
                <w:r w:rsidRPr="00033238">
                  <w:rPr>
                    <w:rFonts w:ascii="Times New Roman" w:eastAsia="Times New Roman" w:hAnsi="Times New Roman"/>
                    <w:b/>
                    <w:bCs/>
                    <w:color w:val="000000"/>
                    <w:sz w:val="18"/>
                    <w:szCs w:val="18"/>
                    <w:lang w:eastAsia="es-CO"/>
                  </w:rPr>
                  <w:t>311.970.278.776</w:t>
                </w:r>
              </w:p>
            </w:tc>
          </w:tr>
        </w:tbl>
        <w:p w14:paraId="5A1EA7E9" w14:textId="77777777" w:rsidR="00E37486" w:rsidRDefault="00E37486" w:rsidP="00E37486">
          <w:pPr>
            <w:spacing w:after="0" w:line="240" w:lineRule="auto"/>
            <w:jc w:val="both"/>
            <w:rPr>
              <w:rFonts w:ascii="Times New Roman" w:hAnsi="Times New Roman"/>
              <w:sz w:val="16"/>
              <w:szCs w:val="16"/>
            </w:rPr>
            <w:sectPr w:rsidR="00E37486" w:rsidSect="00376BDD">
              <w:type w:val="continuous"/>
              <w:pgSz w:w="12240" w:h="15840"/>
              <w:pgMar w:top="1418" w:right="1418" w:bottom="1418" w:left="1843" w:header="680" w:footer="709" w:gutter="0"/>
              <w:pgNumType w:start="153"/>
              <w:cols w:num="2" w:space="708"/>
              <w:titlePg/>
              <w:docGrid w:linePitch="360"/>
            </w:sectPr>
          </w:pPr>
        </w:p>
        <w:p w14:paraId="438C82DF" w14:textId="45A5CDEA" w:rsidR="00AD5B83" w:rsidRPr="00794A5C" w:rsidRDefault="00AD5B83" w:rsidP="00E37486">
          <w:pPr>
            <w:spacing w:after="0" w:line="240" w:lineRule="auto"/>
            <w:jc w:val="both"/>
            <w:rPr>
              <w:rFonts w:ascii="Times New Roman" w:hAnsi="Times New Roman"/>
              <w:sz w:val="14"/>
              <w:szCs w:val="14"/>
            </w:rPr>
          </w:pPr>
          <w:r w:rsidRPr="00931DCE">
            <w:rPr>
              <w:rFonts w:ascii="Times New Roman" w:hAnsi="Times New Roman"/>
              <w:sz w:val="16"/>
              <w:szCs w:val="16"/>
            </w:rPr>
            <w:t>Cifras expresadas en pesos</w:t>
          </w:r>
        </w:p>
        <w:p w14:paraId="008579C3" w14:textId="77777777" w:rsidR="00AD5B83" w:rsidRPr="00931DCE" w:rsidRDefault="00AD5B83" w:rsidP="00AD5B83">
          <w:pPr>
            <w:spacing w:after="0" w:line="240" w:lineRule="auto"/>
            <w:jc w:val="both"/>
            <w:rPr>
              <w:rFonts w:ascii="Times New Roman" w:hAnsi="Times New Roman"/>
              <w:sz w:val="16"/>
              <w:szCs w:val="16"/>
            </w:rPr>
          </w:pPr>
        </w:p>
        <w:p w14:paraId="1B9CCBAA" w14:textId="7898F8C7" w:rsidR="00AD5B83" w:rsidRPr="00931DCE" w:rsidRDefault="00AD5B83" w:rsidP="00AD5B83">
          <w:pPr>
            <w:spacing w:after="0" w:line="240" w:lineRule="auto"/>
            <w:jc w:val="both"/>
            <w:rPr>
              <w:rFonts w:ascii="Times New Roman" w:hAnsi="Times New Roman"/>
              <w:sz w:val="24"/>
              <w:szCs w:val="24"/>
              <w:u w:val="single"/>
            </w:rPr>
          </w:pPr>
          <w:r w:rsidRPr="00931DCE">
            <w:rPr>
              <w:rFonts w:ascii="Times New Roman" w:hAnsi="Times New Roman"/>
              <w:sz w:val="24"/>
              <w:szCs w:val="24"/>
              <w:u w:val="single"/>
            </w:rPr>
            <w:t>Férreo</w:t>
          </w:r>
        </w:p>
        <w:p w14:paraId="693DF779" w14:textId="77777777" w:rsidR="00AD5B83" w:rsidRPr="00931DCE" w:rsidRDefault="00AD5B83" w:rsidP="00AD5B83">
          <w:pPr>
            <w:spacing w:after="0" w:line="240" w:lineRule="auto"/>
            <w:jc w:val="both"/>
            <w:rPr>
              <w:rFonts w:ascii="Times New Roman" w:hAnsi="Times New Roman"/>
              <w:b/>
              <w:bCs/>
              <w:sz w:val="16"/>
              <w:szCs w:val="16"/>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CellMar>
              <w:left w:w="70" w:type="dxa"/>
              <w:right w:w="70" w:type="dxa"/>
            </w:tblCellMar>
            <w:tblLook w:val="04A0" w:firstRow="1" w:lastRow="0" w:firstColumn="1" w:lastColumn="0" w:noHBand="0" w:noVBand="1"/>
          </w:tblPr>
          <w:tblGrid>
            <w:gridCol w:w="1690"/>
            <w:gridCol w:w="4913"/>
            <w:gridCol w:w="2366"/>
          </w:tblGrid>
          <w:tr w:rsidR="00AD5B83" w:rsidRPr="00A0693A" w14:paraId="5853C578" w14:textId="77777777" w:rsidTr="009E3E9B">
            <w:trPr>
              <w:trHeight w:val="340"/>
              <w:jc w:val="center"/>
            </w:trPr>
            <w:tc>
              <w:tcPr>
                <w:tcW w:w="3680" w:type="pct"/>
                <w:gridSpan w:val="2"/>
                <w:shd w:val="clear" w:color="auto" w:fill="auto"/>
                <w:hideMark/>
              </w:tcPr>
              <w:p w14:paraId="094BC393" w14:textId="77777777" w:rsidR="00AD5B83" w:rsidRPr="0080486C" w:rsidRDefault="00AD5B83">
                <w:pPr>
                  <w:spacing w:after="0" w:line="240" w:lineRule="auto"/>
                  <w:jc w:val="center"/>
                  <w:rPr>
                    <w:rFonts w:ascii="Times New Roman" w:eastAsia="Times New Roman" w:hAnsi="Times New Roman"/>
                    <w:b/>
                    <w:color w:val="000000"/>
                    <w:sz w:val="18"/>
                    <w:szCs w:val="18"/>
                    <w:lang w:eastAsia="es-CO"/>
                  </w:rPr>
                </w:pPr>
                <w:r w:rsidRPr="0080486C">
                  <w:rPr>
                    <w:rFonts w:ascii="Times New Roman" w:eastAsia="Times New Roman" w:hAnsi="Times New Roman"/>
                    <w:b/>
                    <w:color w:val="000000"/>
                    <w:sz w:val="18"/>
                    <w:szCs w:val="18"/>
                    <w:lang w:eastAsia="es-CO"/>
                  </w:rPr>
                  <w:t>TERCERO</w:t>
                </w:r>
              </w:p>
            </w:tc>
            <w:tc>
              <w:tcPr>
                <w:tcW w:w="1320" w:type="pct"/>
                <w:shd w:val="clear" w:color="auto" w:fill="auto"/>
                <w:hideMark/>
              </w:tcPr>
              <w:p w14:paraId="3A9A9BB2" w14:textId="77777777" w:rsidR="00AD5B83" w:rsidRPr="0080486C" w:rsidRDefault="00AD5B83">
                <w:pPr>
                  <w:spacing w:after="0" w:line="240" w:lineRule="auto"/>
                  <w:jc w:val="right"/>
                  <w:rPr>
                    <w:rFonts w:ascii="Times New Roman" w:eastAsia="Times New Roman" w:hAnsi="Times New Roman"/>
                    <w:b/>
                    <w:color w:val="000000"/>
                    <w:sz w:val="18"/>
                    <w:szCs w:val="18"/>
                    <w:lang w:eastAsia="es-CO"/>
                  </w:rPr>
                </w:pPr>
                <w:r w:rsidRPr="0080486C">
                  <w:rPr>
                    <w:rFonts w:ascii="Times New Roman" w:eastAsia="Times New Roman" w:hAnsi="Times New Roman"/>
                    <w:b/>
                    <w:color w:val="000000"/>
                    <w:sz w:val="18"/>
                    <w:szCs w:val="18"/>
                    <w:lang w:eastAsia="es-CO"/>
                  </w:rPr>
                  <w:t>SALDO 2023</w:t>
                </w:r>
              </w:p>
            </w:tc>
          </w:tr>
          <w:tr w:rsidR="00AD5B83" w:rsidRPr="00A0693A" w14:paraId="75D87B0C" w14:textId="77777777" w:rsidTr="009E3E9B">
            <w:trPr>
              <w:trHeight w:val="340"/>
              <w:jc w:val="center"/>
            </w:trPr>
            <w:tc>
              <w:tcPr>
                <w:tcW w:w="942" w:type="pct"/>
                <w:shd w:val="clear" w:color="auto" w:fill="auto"/>
                <w:hideMark/>
              </w:tcPr>
              <w:p w14:paraId="20CB6337" w14:textId="77777777" w:rsidR="00AD5B83" w:rsidRPr="0080486C" w:rsidRDefault="00AD5B83">
                <w:pPr>
                  <w:spacing w:after="0" w:line="240" w:lineRule="auto"/>
                  <w:jc w:val="center"/>
                  <w:rPr>
                    <w:rFonts w:ascii="Times New Roman" w:eastAsia="Times New Roman" w:hAnsi="Times New Roman"/>
                    <w:color w:val="000000"/>
                    <w:sz w:val="18"/>
                    <w:szCs w:val="18"/>
                    <w:lang w:eastAsia="es-CO"/>
                  </w:rPr>
                </w:pPr>
                <w:r w:rsidRPr="0080486C">
                  <w:rPr>
                    <w:rFonts w:ascii="Times New Roman" w:eastAsia="Times New Roman" w:hAnsi="Times New Roman"/>
                    <w:color w:val="000000"/>
                    <w:sz w:val="18"/>
                    <w:szCs w:val="18"/>
                    <w:lang w:eastAsia="es-CO"/>
                  </w:rPr>
                  <w:t xml:space="preserve">830.061.724 </w:t>
                </w:r>
              </w:p>
            </w:tc>
            <w:tc>
              <w:tcPr>
                <w:tcW w:w="2739" w:type="pct"/>
                <w:shd w:val="clear" w:color="auto" w:fill="auto"/>
                <w:vAlign w:val="center"/>
                <w:hideMark/>
              </w:tcPr>
              <w:p w14:paraId="35A9E78F" w14:textId="77777777" w:rsidR="00AD5B83" w:rsidRPr="0080486C" w:rsidRDefault="00AD5B83">
                <w:pPr>
                  <w:spacing w:after="0" w:line="240" w:lineRule="auto"/>
                  <w:rPr>
                    <w:rFonts w:ascii="Times New Roman" w:eastAsia="Times New Roman" w:hAnsi="Times New Roman"/>
                    <w:color w:val="000000"/>
                    <w:sz w:val="18"/>
                    <w:szCs w:val="18"/>
                    <w:lang w:eastAsia="es-CO"/>
                  </w:rPr>
                </w:pPr>
                <w:r w:rsidRPr="0080486C">
                  <w:rPr>
                    <w:rFonts w:ascii="Times New Roman" w:eastAsia="Times New Roman" w:hAnsi="Times New Roman"/>
                    <w:color w:val="000000"/>
                    <w:sz w:val="18"/>
                    <w:szCs w:val="18"/>
                    <w:lang w:eastAsia="es-CO"/>
                  </w:rPr>
                  <w:t>Ferrocarriles Del Norte De Colombia S. A</w:t>
                </w:r>
              </w:p>
            </w:tc>
            <w:tc>
              <w:tcPr>
                <w:tcW w:w="1320" w:type="pct"/>
                <w:shd w:val="clear" w:color="auto" w:fill="auto"/>
                <w:hideMark/>
              </w:tcPr>
              <w:p w14:paraId="522523BA" w14:textId="77777777" w:rsidR="00AD5B83" w:rsidRPr="0080486C" w:rsidRDefault="00AD5B83">
                <w:pPr>
                  <w:spacing w:after="0" w:line="240" w:lineRule="auto"/>
                  <w:jc w:val="right"/>
                  <w:rPr>
                    <w:rFonts w:ascii="Times New Roman" w:eastAsia="Times New Roman" w:hAnsi="Times New Roman"/>
                    <w:color w:val="000000"/>
                    <w:sz w:val="18"/>
                    <w:szCs w:val="18"/>
                    <w:lang w:eastAsia="es-CO"/>
                  </w:rPr>
                </w:pPr>
                <w:r w:rsidRPr="0080486C">
                  <w:rPr>
                    <w:rFonts w:ascii="Times New Roman" w:eastAsia="Times New Roman" w:hAnsi="Times New Roman"/>
                    <w:color w:val="000000"/>
                    <w:sz w:val="18"/>
                    <w:szCs w:val="18"/>
                    <w:lang w:eastAsia="es-CO"/>
                  </w:rPr>
                  <w:t xml:space="preserve">10.435.206.954 </w:t>
                </w:r>
              </w:p>
            </w:tc>
          </w:tr>
        </w:tbl>
        <w:p w14:paraId="0CF56B75" w14:textId="689ECFD4" w:rsidR="00AD5B83" w:rsidRPr="00A0693A" w:rsidRDefault="00AD5B83" w:rsidP="00E37486">
          <w:pPr>
            <w:spacing w:after="0" w:line="240" w:lineRule="auto"/>
            <w:jc w:val="both"/>
            <w:rPr>
              <w:rFonts w:ascii="Times New Roman" w:hAnsi="Times New Roman"/>
              <w:sz w:val="14"/>
              <w:szCs w:val="14"/>
            </w:rPr>
          </w:pPr>
          <w:r w:rsidRPr="00931DCE">
            <w:rPr>
              <w:rFonts w:ascii="Times New Roman" w:hAnsi="Times New Roman"/>
              <w:sz w:val="16"/>
              <w:szCs w:val="16"/>
            </w:rPr>
            <w:t>Cifras expresadas en pesos</w:t>
          </w:r>
        </w:p>
        <w:p w14:paraId="1AD628AA" w14:textId="1779F75E" w:rsidR="004E22F6" w:rsidRDefault="00AD5B83" w:rsidP="00E93720">
          <w:pPr>
            <w:ind w:left="-20" w:right="-20"/>
            <w:jc w:val="both"/>
            <w:rPr>
              <w:rFonts w:ascii="Times New Roman" w:hAnsi="Times New Roman"/>
              <w:sz w:val="24"/>
              <w:szCs w:val="24"/>
              <w:lang w:val="es"/>
            </w:rPr>
          </w:pPr>
          <w:r>
            <w:tab/>
          </w:r>
        </w:p>
        <w:p w14:paraId="16C37B07" w14:textId="32FA2C3A" w:rsidR="004E22F6" w:rsidRPr="004E22F6" w:rsidRDefault="004E22F6" w:rsidP="004E22F6">
          <w:pPr>
            <w:spacing w:after="0" w:line="257" w:lineRule="auto"/>
            <w:ind w:right="-20"/>
            <w:jc w:val="both"/>
            <w:rPr>
              <w:rFonts w:ascii="Times New Roman" w:hAnsi="Times New Roman"/>
              <w:sz w:val="24"/>
              <w:szCs w:val="24"/>
              <w:lang w:val="es"/>
            </w:rPr>
          </w:pPr>
          <w:r w:rsidRPr="004E22F6">
            <w:rPr>
              <w:rFonts w:ascii="Times New Roman" w:hAnsi="Times New Roman"/>
              <w:sz w:val="24"/>
              <w:szCs w:val="24"/>
              <w:lang w:val="es"/>
            </w:rPr>
            <w:t xml:space="preserve">Sentencias, laudos arbitrales y conciliaciones extrajudiciales a favor de la entidad: Corresponde a la Causación de Sentencias, laudos arbitrales y conciliaciones extrajudiciales de acuerdo a TEST de Deterioro enviado por el GIT de Defensa Judicial, a continuación se detallan por terceros. </w:t>
          </w:r>
        </w:p>
        <w:tbl>
          <w:tblPr>
            <w:tblW w:w="5083" w:type="pct"/>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blBorders>
            <w:tblCellMar>
              <w:left w:w="70" w:type="dxa"/>
              <w:right w:w="70" w:type="dxa"/>
            </w:tblCellMar>
            <w:tblLook w:val="04A0" w:firstRow="1" w:lastRow="0" w:firstColumn="1" w:lastColumn="0" w:noHBand="0" w:noVBand="1"/>
          </w:tblPr>
          <w:tblGrid>
            <w:gridCol w:w="1432"/>
            <w:gridCol w:w="6197"/>
            <w:gridCol w:w="1479"/>
          </w:tblGrid>
          <w:tr w:rsidR="00C43264" w:rsidRPr="00C942B1" w14:paraId="263097EF" w14:textId="77777777" w:rsidTr="00C942B1">
            <w:trPr>
              <w:trHeight w:val="109"/>
            </w:trPr>
            <w:tc>
              <w:tcPr>
                <w:tcW w:w="786" w:type="pct"/>
                <w:shd w:val="clear" w:color="auto" w:fill="auto"/>
                <w:vAlign w:val="center"/>
                <w:hideMark/>
              </w:tcPr>
              <w:p w14:paraId="4838B426" w14:textId="6FDEBD9A" w:rsidR="00C43264" w:rsidRPr="00C942B1" w:rsidRDefault="004E22F6" w:rsidP="00C43264">
                <w:pPr>
                  <w:spacing w:after="0" w:line="240" w:lineRule="auto"/>
                  <w:jc w:val="center"/>
                  <w:rPr>
                    <w:rFonts w:ascii="Times New Roman" w:eastAsia="Times New Roman" w:hAnsi="Times New Roman"/>
                    <w:b/>
                    <w:bCs/>
                    <w:color w:val="000000"/>
                    <w:sz w:val="14"/>
                    <w:szCs w:val="14"/>
                    <w:lang w:eastAsia="es-CO"/>
                  </w:rPr>
                </w:pPr>
                <w:r w:rsidRPr="02E3AD61">
                  <w:rPr>
                    <w:rFonts w:cs="Calibri"/>
                    <w:lang w:val="es"/>
                  </w:rPr>
                  <w:lastRenderedPageBreak/>
                  <w:t xml:space="preserve"> </w:t>
                </w:r>
                <w:r w:rsidR="00033238" w:rsidRPr="00C942B1">
                  <w:rPr>
                    <w:rFonts w:ascii="Times New Roman" w:eastAsia="Times New Roman" w:hAnsi="Times New Roman"/>
                    <w:b/>
                    <w:bCs/>
                    <w:color w:val="000000"/>
                    <w:sz w:val="14"/>
                    <w:szCs w:val="14"/>
                    <w:lang w:eastAsia="es-CO"/>
                  </w:rPr>
                  <w:t>IDENTIFICACIÓN</w:t>
                </w:r>
              </w:p>
            </w:tc>
            <w:tc>
              <w:tcPr>
                <w:tcW w:w="3402" w:type="pct"/>
                <w:shd w:val="clear" w:color="auto" w:fill="auto"/>
                <w:vAlign w:val="center"/>
                <w:hideMark/>
              </w:tcPr>
              <w:p w14:paraId="4263DF89" w14:textId="7B69AD80" w:rsidR="00C43264" w:rsidRPr="00C942B1" w:rsidRDefault="00033238" w:rsidP="00C43264">
                <w:pPr>
                  <w:spacing w:after="0" w:line="240" w:lineRule="auto"/>
                  <w:jc w:val="center"/>
                  <w:rPr>
                    <w:rFonts w:ascii="Times New Roman" w:eastAsia="Times New Roman" w:hAnsi="Times New Roman"/>
                    <w:b/>
                    <w:bCs/>
                    <w:color w:val="000000"/>
                    <w:sz w:val="14"/>
                    <w:szCs w:val="14"/>
                    <w:lang w:eastAsia="es-CO"/>
                  </w:rPr>
                </w:pPr>
                <w:r w:rsidRPr="00C942B1">
                  <w:rPr>
                    <w:rFonts w:ascii="Times New Roman" w:eastAsia="Times New Roman" w:hAnsi="Times New Roman"/>
                    <w:b/>
                    <w:bCs/>
                    <w:color w:val="000000"/>
                    <w:sz w:val="14"/>
                    <w:szCs w:val="14"/>
                    <w:lang w:eastAsia="es-CO"/>
                  </w:rPr>
                  <w:t>DESCRIPCIÓN</w:t>
                </w:r>
              </w:p>
            </w:tc>
            <w:tc>
              <w:tcPr>
                <w:tcW w:w="812" w:type="pct"/>
                <w:shd w:val="clear" w:color="auto" w:fill="auto"/>
                <w:vAlign w:val="center"/>
                <w:hideMark/>
              </w:tcPr>
              <w:p w14:paraId="7E3D3B55" w14:textId="77777777" w:rsidR="00BE1AE6" w:rsidRPr="00C942B1" w:rsidRDefault="00033238" w:rsidP="00C43264">
                <w:pPr>
                  <w:spacing w:after="0" w:line="240" w:lineRule="auto"/>
                  <w:jc w:val="center"/>
                  <w:rPr>
                    <w:rFonts w:ascii="Times New Roman" w:eastAsia="Times New Roman" w:hAnsi="Times New Roman"/>
                    <w:b/>
                    <w:bCs/>
                    <w:color w:val="000000"/>
                    <w:sz w:val="14"/>
                    <w:szCs w:val="14"/>
                    <w:lang w:eastAsia="es-CO"/>
                  </w:rPr>
                </w:pPr>
                <w:r w:rsidRPr="00C942B1">
                  <w:rPr>
                    <w:rFonts w:ascii="Times New Roman" w:eastAsia="Times New Roman" w:hAnsi="Times New Roman"/>
                    <w:b/>
                    <w:bCs/>
                    <w:color w:val="000000"/>
                    <w:sz w:val="14"/>
                    <w:szCs w:val="14"/>
                    <w:lang w:eastAsia="es-CO"/>
                  </w:rPr>
                  <w:t xml:space="preserve">SALDO </w:t>
                </w:r>
              </w:p>
              <w:p w14:paraId="0C835A6C" w14:textId="2285B353" w:rsidR="00C43264" w:rsidRPr="00C942B1" w:rsidRDefault="00033238" w:rsidP="00C43264">
                <w:pPr>
                  <w:spacing w:after="0" w:line="240" w:lineRule="auto"/>
                  <w:jc w:val="center"/>
                  <w:rPr>
                    <w:rFonts w:ascii="Times New Roman" w:eastAsia="Times New Roman" w:hAnsi="Times New Roman"/>
                    <w:b/>
                    <w:bCs/>
                    <w:color w:val="000000"/>
                    <w:sz w:val="14"/>
                    <w:szCs w:val="14"/>
                    <w:lang w:eastAsia="es-CO"/>
                  </w:rPr>
                </w:pPr>
                <w:r w:rsidRPr="00C942B1">
                  <w:rPr>
                    <w:rFonts w:ascii="Times New Roman" w:eastAsia="Times New Roman" w:hAnsi="Times New Roman"/>
                    <w:b/>
                    <w:bCs/>
                    <w:color w:val="000000"/>
                    <w:sz w:val="14"/>
                    <w:szCs w:val="14"/>
                    <w:lang w:eastAsia="es-CO"/>
                  </w:rPr>
                  <w:t>31-12-2023</w:t>
                </w:r>
              </w:p>
            </w:tc>
          </w:tr>
          <w:tr w:rsidR="00C43264" w:rsidRPr="00C942B1" w14:paraId="3338DE15" w14:textId="77777777" w:rsidTr="00C942B1">
            <w:trPr>
              <w:trHeight w:val="259"/>
            </w:trPr>
            <w:tc>
              <w:tcPr>
                <w:tcW w:w="786" w:type="pct"/>
                <w:shd w:val="clear" w:color="auto" w:fill="auto"/>
                <w:vAlign w:val="center"/>
                <w:hideMark/>
              </w:tcPr>
              <w:p w14:paraId="586C8679" w14:textId="77777777" w:rsidR="00C43264" w:rsidRPr="00C942B1" w:rsidRDefault="00C43264" w:rsidP="00C43264">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87246159</w:t>
                </w:r>
              </w:p>
            </w:tc>
            <w:tc>
              <w:tcPr>
                <w:tcW w:w="3402" w:type="pct"/>
                <w:shd w:val="clear" w:color="auto" w:fill="auto"/>
                <w:vAlign w:val="center"/>
                <w:hideMark/>
              </w:tcPr>
              <w:p w14:paraId="566FB4BC" w14:textId="77777777" w:rsidR="00C43264" w:rsidRPr="00C942B1" w:rsidRDefault="00C43264" w:rsidP="00C43264">
                <w:pPr>
                  <w:spacing w:after="0" w:line="240" w:lineRule="auto"/>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DIEGO MARIA LOPEZ GOMEZ</w:t>
                </w:r>
              </w:p>
            </w:tc>
            <w:tc>
              <w:tcPr>
                <w:tcW w:w="812" w:type="pct"/>
                <w:shd w:val="clear" w:color="auto" w:fill="auto"/>
                <w:vAlign w:val="center"/>
                <w:hideMark/>
              </w:tcPr>
              <w:p w14:paraId="167575E7" w14:textId="740CADEA" w:rsidR="00C43264" w:rsidRPr="00C942B1" w:rsidRDefault="00C43264" w:rsidP="00C43264">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65.568</w:t>
                </w:r>
              </w:p>
            </w:tc>
          </w:tr>
          <w:tr w:rsidR="00C43264" w:rsidRPr="00C942B1" w14:paraId="4F81F3B8" w14:textId="77777777" w:rsidTr="00C942B1">
            <w:trPr>
              <w:trHeight w:val="259"/>
            </w:trPr>
            <w:tc>
              <w:tcPr>
                <w:tcW w:w="786" w:type="pct"/>
                <w:shd w:val="clear" w:color="auto" w:fill="auto"/>
                <w:vAlign w:val="center"/>
                <w:hideMark/>
              </w:tcPr>
              <w:p w14:paraId="27ACAA31" w14:textId="77777777" w:rsidR="00C43264" w:rsidRPr="00C942B1" w:rsidRDefault="00C43264" w:rsidP="00C43264">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43755767</w:t>
                </w:r>
              </w:p>
            </w:tc>
            <w:tc>
              <w:tcPr>
                <w:tcW w:w="3402" w:type="pct"/>
                <w:shd w:val="clear" w:color="auto" w:fill="auto"/>
                <w:vAlign w:val="center"/>
                <w:hideMark/>
              </w:tcPr>
              <w:p w14:paraId="2609D61F" w14:textId="77777777" w:rsidR="00C43264" w:rsidRPr="00C942B1" w:rsidRDefault="00C43264" w:rsidP="00C43264">
                <w:pPr>
                  <w:spacing w:after="0" w:line="240" w:lineRule="auto"/>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PAULA ANDREA LOPEZ ORTIZ</w:t>
                </w:r>
              </w:p>
            </w:tc>
            <w:tc>
              <w:tcPr>
                <w:tcW w:w="812" w:type="pct"/>
                <w:shd w:val="clear" w:color="auto" w:fill="auto"/>
                <w:vAlign w:val="center"/>
                <w:hideMark/>
              </w:tcPr>
              <w:p w14:paraId="62681F34" w14:textId="7453CECF" w:rsidR="00C43264" w:rsidRPr="00C942B1" w:rsidRDefault="00C43264" w:rsidP="00C43264">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9.529</w:t>
                </w:r>
              </w:p>
            </w:tc>
          </w:tr>
          <w:tr w:rsidR="00C43264" w:rsidRPr="00C942B1" w14:paraId="4F055668" w14:textId="77777777" w:rsidTr="00C942B1">
            <w:trPr>
              <w:trHeight w:val="259"/>
            </w:trPr>
            <w:tc>
              <w:tcPr>
                <w:tcW w:w="786" w:type="pct"/>
                <w:shd w:val="clear" w:color="auto" w:fill="auto"/>
                <w:vAlign w:val="center"/>
                <w:hideMark/>
              </w:tcPr>
              <w:p w14:paraId="476FADEA" w14:textId="77777777" w:rsidR="00C43264" w:rsidRPr="00C942B1" w:rsidRDefault="00C43264" w:rsidP="00C43264">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56067765</w:t>
                </w:r>
              </w:p>
            </w:tc>
            <w:tc>
              <w:tcPr>
                <w:tcW w:w="3402" w:type="pct"/>
                <w:shd w:val="clear" w:color="auto" w:fill="auto"/>
                <w:vAlign w:val="center"/>
                <w:hideMark/>
              </w:tcPr>
              <w:p w14:paraId="226FBC35" w14:textId="77777777" w:rsidR="00C43264" w:rsidRPr="00C942B1" w:rsidRDefault="00C43264" w:rsidP="00C43264">
                <w:pPr>
                  <w:spacing w:after="0" w:line="240" w:lineRule="auto"/>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NELVIS BEATRIZ AMAYA ROBLES</w:t>
                </w:r>
              </w:p>
            </w:tc>
            <w:tc>
              <w:tcPr>
                <w:tcW w:w="812" w:type="pct"/>
                <w:shd w:val="clear" w:color="auto" w:fill="auto"/>
                <w:vAlign w:val="center"/>
                <w:hideMark/>
              </w:tcPr>
              <w:p w14:paraId="3393FAB2" w14:textId="0AB12686" w:rsidR="00C43264" w:rsidRPr="00C942B1" w:rsidRDefault="00C43264" w:rsidP="00C43264">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7.421</w:t>
                </w:r>
              </w:p>
            </w:tc>
          </w:tr>
          <w:tr w:rsidR="00C43264" w:rsidRPr="00C942B1" w14:paraId="7955E8AE" w14:textId="77777777" w:rsidTr="00C942B1">
            <w:trPr>
              <w:trHeight w:val="259"/>
            </w:trPr>
            <w:tc>
              <w:tcPr>
                <w:tcW w:w="786" w:type="pct"/>
                <w:shd w:val="clear" w:color="auto" w:fill="auto"/>
                <w:vAlign w:val="center"/>
                <w:hideMark/>
              </w:tcPr>
              <w:p w14:paraId="1AD0A229" w14:textId="77777777" w:rsidR="00C43264" w:rsidRPr="00C942B1" w:rsidRDefault="00C43264" w:rsidP="00C43264">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92510484</w:t>
                </w:r>
              </w:p>
            </w:tc>
            <w:tc>
              <w:tcPr>
                <w:tcW w:w="3402" w:type="pct"/>
                <w:shd w:val="clear" w:color="auto" w:fill="auto"/>
                <w:vAlign w:val="center"/>
                <w:hideMark/>
              </w:tcPr>
              <w:p w14:paraId="50E9B238" w14:textId="77777777" w:rsidR="00C43264" w:rsidRPr="00C942B1" w:rsidRDefault="00C43264" w:rsidP="00C43264">
                <w:pPr>
                  <w:spacing w:after="0" w:line="240" w:lineRule="auto"/>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JOSE MARIA HERNANDEZ SOLARTE</w:t>
                </w:r>
              </w:p>
            </w:tc>
            <w:tc>
              <w:tcPr>
                <w:tcW w:w="812" w:type="pct"/>
                <w:shd w:val="clear" w:color="auto" w:fill="auto"/>
                <w:vAlign w:val="center"/>
                <w:hideMark/>
              </w:tcPr>
              <w:p w14:paraId="3066F872" w14:textId="253739EF" w:rsidR="00C43264" w:rsidRPr="00C942B1" w:rsidRDefault="00C43264" w:rsidP="00C43264">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663</w:t>
                </w:r>
              </w:p>
            </w:tc>
          </w:tr>
          <w:tr w:rsidR="00C43264" w:rsidRPr="00C942B1" w14:paraId="2C15DA8D" w14:textId="77777777" w:rsidTr="00C942B1">
            <w:trPr>
              <w:trHeight w:val="259"/>
            </w:trPr>
            <w:tc>
              <w:tcPr>
                <w:tcW w:w="4188" w:type="pct"/>
                <w:gridSpan w:val="2"/>
                <w:shd w:val="clear" w:color="auto" w:fill="auto"/>
                <w:vAlign w:val="center"/>
                <w:hideMark/>
              </w:tcPr>
              <w:p w14:paraId="38199885" w14:textId="62F94BA5" w:rsidR="00C43264" w:rsidRPr="00C942B1" w:rsidRDefault="00C43264" w:rsidP="009E3E9B">
                <w:pPr>
                  <w:spacing w:after="0" w:line="240" w:lineRule="auto"/>
                  <w:rPr>
                    <w:rFonts w:ascii="Times New Roman" w:eastAsia="Times New Roman" w:hAnsi="Times New Roman"/>
                    <w:b/>
                    <w:bCs/>
                    <w:color w:val="000000"/>
                    <w:sz w:val="14"/>
                    <w:szCs w:val="14"/>
                    <w:lang w:eastAsia="es-CO"/>
                  </w:rPr>
                </w:pPr>
                <w:r w:rsidRPr="00C942B1">
                  <w:rPr>
                    <w:rFonts w:ascii="Times New Roman" w:eastAsia="Times New Roman" w:hAnsi="Times New Roman"/>
                    <w:b/>
                    <w:bCs/>
                    <w:color w:val="000000"/>
                    <w:sz w:val="14"/>
                    <w:szCs w:val="14"/>
                    <w:lang w:eastAsia="es-CO"/>
                  </w:rPr>
                  <w:t xml:space="preserve"> TOTALES:</w:t>
                </w:r>
              </w:p>
            </w:tc>
            <w:tc>
              <w:tcPr>
                <w:tcW w:w="812" w:type="pct"/>
                <w:shd w:val="clear" w:color="auto" w:fill="auto"/>
                <w:vAlign w:val="center"/>
                <w:hideMark/>
              </w:tcPr>
              <w:p w14:paraId="48FCFA29" w14:textId="6EFCFE11" w:rsidR="00C43264" w:rsidRPr="00C942B1" w:rsidRDefault="00C43264">
                <w:pPr>
                  <w:spacing w:after="0" w:line="240" w:lineRule="auto"/>
                  <w:jc w:val="right"/>
                  <w:rPr>
                    <w:rFonts w:ascii="Times New Roman" w:eastAsia="Times New Roman" w:hAnsi="Times New Roman"/>
                    <w:b/>
                    <w:bCs/>
                    <w:color w:val="000000"/>
                    <w:sz w:val="14"/>
                    <w:szCs w:val="14"/>
                    <w:lang w:eastAsia="es-CO"/>
                  </w:rPr>
                </w:pPr>
                <w:r w:rsidRPr="00C942B1">
                  <w:rPr>
                    <w:rFonts w:ascii="Times New Roman" w:eastAsia="Times New Roman" w:hAnsi="Times New Roman"/>
                    <w:b/>
                    <w:bCs/>
                    <w:color w:val="000000"/>
                    <w:sz w:val="14"/>
                    <w:szCs w:val="14"/>
                    <w:lang w:eastAsia="es-CO"/>
                  </w:rPr>
                  <w:t>83.180</w:t>
                </w:r>
              </w:p>
            </w:tc>
          </w:tr>
        </w:tbl>
        <w:p w14:paraId="098A4126" w14:textId="77777777" w:rsidR="004E22F6" w:rsidRPr="00A12D34" w:rsidRDefault="004E22F6" w:rsidP="004E22F6">
          <w:pPr>
            <w:spacing w:line="257" w:lineRule="auto"/>
            <w:ind w:left="720" w:right="-20"/>
            <w:jc w:val="both"/>
            <w:rPr>
              <w:rFonts w:ascii="Times New Roman" w:hAnsi="Times New Roman"/>
              <w:sz w:val="24"/>
              <w:szCs w:val="24"/>
            </w:rPr>
          </w:pPr>
          <w:r w:rsidRPr="00A12D34">
            <w:rPr>
              <w:rFonts w:ascii="Times New Roman" w:hAnsi="Times New Roman"/>
              <w:sz w:val="24"/>
              <w:szCs w:val="24"/>
              <w:lang w:val="es"/>
            </w:rPr>
            <w:t xml:space="preserve"> </w:t>
          </w:r>
        </w:p>
        <w:p w14:paraId="3AF22E75" w14:textId="74A58126" w:rsidR="004E22F6" w:rsidRPr="00A12D34" w:rsidRDefault="004E22F6" w:rsidP="00627B7B">
          <w:pPr>
            <w:pStyle w:val="Prrafodelista"/>
            <w:spacing w:after="0" w:line="257" w:lineRule="auto"/>
            <w:ind w:left="-20" w:right="-20"/>
            <w:jc w:val="both"/>
            <w:rPr>
              <w:rFonts w:ascii="Times New Roman" w:hAnsi="Times New Roman"/>
              <w:sz w:val="24"/>
              <w:szCs w:val="24"/>
            </w:rPr>
          </w:pPr>
          <w:r w:rsidRPr="00A12D34">
            <w:rPr>
              <w:rFonts w:ascii="Times New Roman" w:hAnsi="Times New Roman"/>
              <w:sz w:val="24"/>
              <w:szCs w:val="24"/>
              <w:lang w:val="es"/>
            </w:rPr>
            <w:t>Litigios y demandas: Corresponde a las reversiones de las provisiones generas en la actualización de los procesos judiciales reportado por el GIT de Defensa Judicial con corte a 31 de Diciembre de 2023. Se detallan por terceros</w:t>
          </w:r>
          <w:r w:rsidR="00627B7B">
            <w:rPr>
              <w:rFonts w:ascii="Times New Roman" w:hAnsi="Times New Roman"/>
              <w:sz w:val="24"/>
              <w:szCs w:val="24"/>
              <w:lang w:val="es"/>
            </w:rPr>
            <w:t>:</w:t>
          </w:r>
          <w:r w:rsidRPr="00A12D34">
            <w:rPr>
              <w:rFonts w:ascii="Times New Roman" w:hAnsi="Times New Roman"/>
              <w:sz w:val="24"/>
              <w:szCs w:val="24"/>
              <w:lang w:val="es"/>
            </w:rPr>
            <w:t xml:space="preserve"> </w:t>
          </w:r>
        </w:p>
        <w:p w14:paraId="21600DA8" w14:textId="77777777" w:rsidR="002A5B77" w:rsidRDefault="002A5B77" w:rsidP="00B476B5">
          <w:pPr>
            <w:spacing w:after="0" w:line="240" w:lineRule="auto"/>
            <w:jc w:val="center"/>
            <w:rPr>
              <w:rFonts w:ascii="Times New Roman" w:eastAsia="Times New Roman" w:hAnsi="Times New Roman"/>
              <w:b/>
              <w:bCs/>
              <w:color w:val="000000"/>
              <w:sz w:val="18"/>
              <w:szCs w:val="18"/>
              <w:lang w:eastAsia="es-CO"/>
            </w:rPr>
            <w:sectPr w:rsidR="002A5B77" w:rsidSect="00376BDD">
              <w:type w:val="continuous"/>
              <w:pgSz w:w="12240" w:h="15840"/>
              <w:pgMar w:top="1418" w:right="1418" w:bottom="1418" w:left="1843" w:header="680" w:footer="709" w:gutter="0"/>
              <w:pgNumType w:start="154"/>
              <w:cols w:space="708"/>
              <w:titlePg/>
              <w:docGrid w:linePitch="360"/>
            </w:sectPr>
          </w:pPr>
        </w:p>
        <w:p w14:paraId="7CF8AF88" w14:textId="77777777" w:rsidR="002A5B77" w:rsidRDefault="002A5B77" w:rsidP="004E22F6">
          <w:pPr>
            <w:spacing w:after="0" w:line="240" w:lineRule="auto"/>
            <w:jc w:val="both"/>
            <w:rPr>
              <w:rFonts w:ascii="Times New Roman" w:hAnsi="Times New Roman"/>
              <w:sz w:val="16"/>
              <w:szCs w:val="16"/>
            </w:rPr>
            <w:sectPr w:rsidR="002A5B77" w:rsidSect="00376BDD">
              <w:type w:val="continuous"/>
              <w:pgSz w:w="12240" w:h="15840"/>
              <w:pgMar w:top="1418" w:right="1418" w:bottom="1418" w:left="1843" w:header="680" w:footer="709" w:gutter="0"/>
              <w:pgNumType w:start="1"/>
              <w:cols w:num="2" w:space="708"/>
              <w:titlePg/>
              <w:docGrid w:linePitch="360"/>
            </w:sectPr>
          </w:pPr>
        </w:p>
        <w:tbl>
          <w:tblPr>
            <w:tblW w:w="532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1040"/>
            <w:gridCol w:w="2074"/>
            <w:gridCol w:w="1276"/>
          </w:tblGrid>
          <w:tr w:rsidR="00416AE3" w:rsidRPr="00C942B1" w14:paraId="62C39245" w14:textId="77777777" w:rsidTr="00C942B1">
            <w:trPr>
              <w:trHeight w:val="250"/>
              <w:tblHeader/>
            </w:trPr>
            <w:tc>
              <w:tcPr>
                <w:tcW w:w="3547" w:type="pct"/>
                <w:gridSpan w:val="2"/>
                <w:shd w:val="clear" w:color="auto" w:fill="auto"/>
                <w:vAlign w:val="center"/>
                <w:hideMark/>
              </w:tcPr>
              <w:p w14:paraId="46EBC351" w14:textId="77777777" w:rsidR="00416AE3" w:rsidRPr="00C942B1" w:rsidRDefault="00416AE3" w:rsidP="00416AE3">
                <w:pPr>
                  <w:spacing w:after="0" w:line="240" w:lineRule="auto"/>
                  <w:jc w:val="center"/>
                  <w:rPr>
                    <w:rFonts w:ascii="Times New Roman" w:eastAsia="Times New Roman" w:hAnsi="Times New Roman"/>
                    <w:b/>
                    <w:bCs/>
                    <w:color w:val="000000"/>
                    <w:sz w:val="14"/>
                    <w:szCs w:val="14"/>
                    <w:lang w:eastAsia="es-CO"/>
                  </w:rPr>
                </w:pPr>
                <w:r w:rsidRPr="00C942B1">
                  <w:rPr>
                    <w:rFonts w:ascii="Times New Roman" w:eastAsia="Times New Roman" w:hAnsi="Times New Roman"/>
                    <w:b/>
                    <w:bCs/>
                    <w:color w:val="000000"/>
                    <w:sz w:val="14"/>
                    <w:szCs w:val="14"/>
                    <w:lang w:eastAsia="es-CO"/>
                  </w:rPr>
                  <w:t>TERCERO</w:t>
                </w:r>
              </w:p>
            </w:tc>
            <w:tc>
              <w:tcPr>
                <w:tcW w:w="1453" w:type="pct"/>
                <w:shd w:val="clear" w:color="auto" w:fill="auto"/>
                <w:vAlign w:val="center"/>
                <w:hideMark/>
              </w:tcPr>
              <w:p w14:paraId="5DB0CD5F" w14:textId="77777777" w:rsidR="00416AE3" w:rsidRPr="00C942B1" w:rsidRDefault="00416AE3" w:rsidP="00416AE3">
                <w:pPr>
                  <w:spacing w:after="0" w:line="240" w:lineRule="auto"/>
                  <w:jc w:val="right"/>
                  <w:rPr>
                    <w:rFonts w:ascii="Times New Roman" w:eastAsia="Times New Roman" w:hAnsi="Times New Roman"/>
                    <w:b/>
                    <w:bCs/>
                    <w:color w:val="000000"/>
                    <w:sz w:val="14"/>
                    <w:szCs w:val="14"/>
                    <w:lang w:eastAsia="es-CO"/>
                  </w:rPr>
                </w:pPr>
                <w:r w:rsidRPr="00C942B1">
                  <w:rPr>
                    <w:rFonts w:ascii="Times New Roman" w:eastAsia="Times New Roman" w:hAnsi="Times New Roman"/>
                    <w:b/>
                    <w:bCs/>
                    <w:color w:val="000000"/>
                    <w:sz w:val="14"/>
                    <w:szCs w:val="14"/>
                    <w:lang w:eastAsia="es-CO"/>
                  </w:rPr>
                  <w:t>SALDO FINAL</w:t>
                </w:r>
              </w:p>
            </w:tc>
          </w:tr>
          <w:tr w:rsidR="00416AE3" w:rsidRPr="00C942B1" w14:paraId="7B6A5C90" w14:textId="77777777" w:rsidTr="00627B7B">
            <w:trPr>
              <w:trHeight w:val="340"/>
            </w:trPr>
            <w:tc>
              <w:tcPr>
                <w:tcW w:w="1185" w:type="pct"/>
                <w:shd w:val="clear" w:color="auto" w:fill="auto"/>
                <w:vAlign w:val="center"/>
                <w:hideMark/>
              </w:tcPr>
              <w:p w14:paraId="03CF5C54" w14:textId="77777777" w:rsidR="00416AE3" w:rsidRPr="00C942B1" w:rsidRDefault="00416AE3" w:rsidP="00416AE3">
                <w:pPr>
                  <w:spacing w:after="0" w:line="240" w:lineRule="auto"/>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800235872</w:t>
                </w:r>
              </w:p>
            </w:tc>
            <w:tc>
              <w:tcPr>
                <w:tcW w:w="2362" w:type="pct"/>
                <w:shd w:val="clear" w:color="auto" w:fill="auto"/>
                <w:vAlign w:val="center"/>
                <w:hideMark/>
              </w:tcPr>
              <w:p w14:paraId="4515AE46" w14:textId="77777777" w:rsidR="00416AE3" w:rsidRPr="00C942B1" w:rsidRDefault="00416AE3" w:rsidP="00627B7B">
                <w:pPr>
                  <w:spacing w:after="0" w:line="240" w:lineRule="auto"/>
                  <w:jc w:val="both"/>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CONCESIONARIA VIAL DE LOS ANDES S.A.S. COVIANDES S.A.S.</w:t>
                </w:r>
              </w:p>
            </w:tc>
            <w:tc>
              <w:tcPr>
                <w:tcW w:w="1453" w:type="pct"/>
                <w:shd w:val="clear" w:color="auto" w:fill="auto"/>
                <w:vAlign w:val="center"/>
                <w:hideMark/>
              </w:tcPr>
              <w:p w14:paraId="6BCB9043" w14:textId="77777777" w:rsidR="00416AE3" w:rsidRPr="00C942B1" w:rsidRDefault="00416AE3" w:rsidP="00416AE3">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138.868.037.856</w:t>
                </w:r>
              </w:p>
            </w:tc>
          </w:tr>
          <w:tr w:rsidR="00416AE3" w:rsidRPr="00C942B1" w14:paraId="734BE86F" w14:textId="77777777" w:rsidTr="00627B7B">
            <w:trPr>
              <w:trHeight w:val="340"/>
            </w:trPr>
            <w:tc>
              <w:tcPr>
                <w:tcW w:w="1185" w:type="pct"/>
                <w:shd w:val="clear" w:color="auto" w:fill="auto"/>
                <w:vAlign w:val="center"/>
                <w:hideMark/>
              </w:tcPr>
              <w:p w14:paraId="3A6DF4D4" w14:textId="77777777" w:rsidR="00416AE3" w:rsidRPr="00C942B1" w:rsidRDefault="00416AE3" w:rsidP="00416AE3">
                <w:pPr>
                  <w:spacing w:after="0" w:line="240" w:lineRule="auto"/>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13363948</w:t>
                </w:r>
              </w:p>
            </w:tc>
            <w:tc>
              <w:tcPr>
                <w:tcW w:w="2362" w:type="pct"/>
                <w:shd w:val="clear" w:color="auto" w:fill="auto"/>
                <w:vAlign w:val="center"/>
                <w:hideMark/>
              </w:tcPr>
              <w:p w14:paraId="27562DE0" w14:textId="77777777" w:rsidR="00416AE3" w:rsidRPr="00C942B1" w:rsidRDefault="00416AE3" w:rsidP="00627B7B">
                <w:pPr>
                  <w:spacing w:after="0" w:line="240" w:lineRule="auto"/>
                  <w:jc w:val="both"/>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 xml:space="preserve">RAFAEL NAYIB QUINO </w:t>
                </w:r>
              </w:p>
            </w:tc>
            <w:tc>
              <w:tcPr>
                <w:tcW w:w="1453" w:type="pct"/>
                <w:shd w:val="clear" w:color="auto" w:fill="auto"/>
                <w:vAlign w:val="center"/>
                <w:hideMark/>
              </w:tcPr>
              <w:p w14:paraId="302AC171" w14:textId="77777777" w:rsidR="00416AE3" w:rsidRPr="00C942B1" w:rsidRDefault="00416AE3" w:rsidP="00416AE3">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1.265.993.548</w:t>
                </w:r>
              </w:p>
            </w:tc>
          </w:tr>
          <w:tr w:rsidR="00416AE3" w:rsidRPr="00C942B1" w14:paraId="3AA65463" w14:textId="77777777" w:rsidTr="00627B7B">
            <w:trPr>
              <w:trHeight w:val="340"/>
            </w:trPr>
            <w:tc>
              <w:tcPr>
                <w:tcW w:w="1185" w:type="pct"/>
                <w:shd w:val="clear" w:color="auto" w:fill="auto"/>
                <w:vAlign w:val="center"/>
                <w:hideMark/>
              </w:tcPr>
              <w:p w14:paraId="4220E91A" w14:textId="77777777" w:rsidR="00416AE3" w:rsidRPr="00C942B1" w:rsidRDefault="00416AE3" w:rsidP="00416AE3">
                <w:pPr>
                  <w:spacing w:after="0" w:line="240" w:lineRule="auto"/>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9519059</w:t>
                </w:r>
              </w:p>
            </w:tc>
            <w:tc>
              <w:tcPr>
                <w:tcW w:w="2362" w:type="pct"/>
                <w:shd w:val="clear" w:color="auto" w:fill="auto"/>
                <w:vAlign w:val="center"/>
                <w:hideMark/>
              </w:tcPr>
              <w:p w14:paraId="039B712D" w14:textId="77777777" w:rsidR="00416AE3" w:rsidRPr="00C942B1" w:rsidRDefault="00416AE3" w:rsidP="00627B7B">
                <w:pPr>
                  <w:spacing w:after="0" w:line="240" w:lineRule="auto"/>
                  <w:jc w:val="both"/>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CARLOS ROBERTO DIAZ OJEDA</w:t>
                </w:r>
              </w:p>
            </w:tc>
            <w:tc>
              <w:tcPr>
                <w:tcW w:w="1453" w:type="pct"/>
                <w:shd w:val="clear" w:color="auto" w:fill="auto"/>
                <w:vAlign w:val="center"/>
                <w:hideMark/>
              </w:tcPr>
              <w:p w14:paraId="7D517FF2" w14:textId="77777777" w:rsidR="00416AE3" w:rsidRPr="00C942B1" w:rsidRDefault="00416AE3" w:rsidP="00416AE3">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889.146.606</w:t>
                </w:r>
              </w:p>
            </w:tc>
          </w:tr>
          <w:tr w:rsidR="00416AE3" w:rsidRPr="00C942B1" w14:paraId="42A58E25" w14:textId="77777777" w:rsidTr="00627B7B">
            <w:trPr>
              <w:trHeight w:val="340"/>
            </w:trPr>
            <w:tc>
              <w:tcPr>
                <w:tcW w:w="1185" w:type="pct"/>
                <w:shd w:val="clear" w:color="auto" w:fill="auto"/>
                <w:vAlign w:val="center"/>
                <w:hideMark/>
              </w:tcPr>
              <w:p w14:paraId="1A001BFB" w14:textId="77777777" w:rsidR="00416AE3" w:rsidRPr="00C942B1" w:rsidRDefault="00416AE3" w:rsidP="00416AE3">
                <w:pPr>
                  <w:spacing w:after="0" w:line="240" w:lineRule="auto"/>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900744773</w:t>
                </w:r>
              </w:p>
            </w:tc>
            <w:tc>
              <w:tcPr>
                <w:tcW w:w="2362" w:type="pct"/>
                <w:shd w:val="clear" w:color="auto" w:fill="auto"/>
                <w:vAlign w:val="center"/>
                <w:hideMark/>
              </w:tcPr>
              <w:p w14:paraId="113E20A3" w14:textId="77777777" w:rsidR="00416AE3" w:rsidRPr="00C942B1" w:rsidRDefault="00416AE3" w:rsidP="00627B7B">
                <w:pPr>
                  <w:spacing w:after="0" w:line="240" w:lineRule="auto"/>
                  <w:jc w:val="both"/>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CONCESIONARIA VIAL DEL PACIFICO S A S</w:t>
                </w:r>
              </w:p>
            </w:tc>
            <w:tc>
              <w:tcPr>
                <w:tcW w:w="1453" w:type="pct"/>
                <w:shd w:val="clear" w:color="auto" w:fill="auto"/>
                <w:vAlign w:val="center"/>
                <w:hideMark/>
              </w:tcPr>
              <w:p w14:paraId="1776C663" w14:textId="77777777" w:rsidR="00416AE3" w:rsidRPr="00C942B1" w:rsidRDefault="00416AE3" w:rsidP="00416AE3">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740.435.703</w:t>
                </w:r>
              </w:p>
            </w:tc>
          </w:tr>
          <w:tr w:rsidR="00416AE3" w:rsidRPr="00C942B1" w14:paraId="337831C2" w14:textId="77777777" w:rsidTr="00627B7B">
            <w:trPr>
              <w:trHeight w:val="340"/>
            </w:trPr>
            <w:tc>
              <w:tcPr>
                <w:tcW w:w="1185" w:type="pct"/>
                <w:shd w:val="clear" w:color="auto" w:fill="auto"/>
                <w:vAlign w:val="center"/>
                <w:hideMark/>
              </w:tcPr>
              <w:p w14:paraId="644AF489" w14:textId="77777777" w:rsidR="00416AE3" w:rsidRPr="00C942B1" w:rsidRDefault="00416AE3" w:rsidP="00416AE3">
                <w:pPr>
                  <w:spacing w:after="0" w:line="240" w:lineRule="auto"/>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79158695</w:t>
                </w:r>
              </w:p>
            </w:tc>
            <w:tc>
              <w:tcPr>
                <w:tcW w:w="2362" w:type="pct"/>
                <w:shd w:val="clear" w:color="auto" w:fill="auto"/>
                <w:vAlign w:val="center"/>
                <w:hideMark/>
              </w:tcPr>
              <w:p w14:paraId="2A941678" w14:textId="77777777" w:rsidR="00416AE3" w:rsidRPr="00C942B1" w:rsidRDefault="00416AE3" w:rsidP="00627B7B">
                <w:pPr>
                  <w:spacing w:after="0" w:line="240" w:lineRule="auto"/>
                  <w:jc w:val="both"/>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OSCAR ANDRES PUERTAS MURILLO</w:t>
                </w:r>
              </w:p>
            </w:tc>
            <w:tc>
              <w:tcPr>
                <w:tcW w:w="1453" w:type="pct"/>
                <w:shd w:val="clear" w:color="auto" w:fill="auto"/>
                <w:vAlign w:val="center"/>
                <w:hideMark/>
              </w:tcPr>
              <w:p w14:paraId="0E2EC640" w14:textId="77777777" w:rsidR="00416AE3" w:rsidRPr="00C942B1" w:rsidRDefault="00416AE3" w:rsidP="00416AE3">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655.695.981</w:t>
                </w:r>
              </w:p>
            </w:tc>
          </w:tr>
          <w:tr w:rsidR="00416AE3" w:rsidRPr="00C942B1" w14:paraId="001F373D" w14:textId="77777777" w:rsidTr="00627B7B">
            <w:trPr>
              <w:trHeight w:val="340"/>
            </w:trPr>
            <w:tc>
              <w:tcPr>
                <w:tcW w:w="1185" w:type="pct"/>
                <w:shd w:val="clear" w:color="auto" w:fill="auto"/>
                <w:vAlign w:val="center"/>
                <w:hideMark/>
              </w:tcPr>
              <w:p w14:paraId="2519B545" w14:textId="77777777" w:rsidR="00416AE3" w:rsidRPr="00C942B1" w:rsidRDefault="00416AE3" w:rsidP="00416AE3">
                <w:pPr>
                  <w:spacing w:after="0" w:line="240" w:lineRule="auto"/>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24325669</w:t>
                </w:r>
              </w:p>
            </w:tc>
            <w:tc>
              <w:tcPr>
                <w:tcW w:w="2362" w:type="pct"/>
                <w:shd w:val="clear" w:color="auto" w:fill="auto"/>
                <w:vAlign w:val="center"/>
                <w:hideMark/>
              </w:tcPr>
              <w:p w14:paraId="664BF114" w14:textId="77777777" w:rsidR="00416AE3" w:rsidRPr="00C942B1" w:rsidRDefault="00416AE3" w:rsidP="00627B7B">
                <w:pPr>
                  <w:spacing w:after="0" w:line="240" w:lineRule="auto"/>
                  <w:jc w:val="both"/>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MIRIAM RODRIGUEZ VELEZ</w:t>
                </w:r>
              </w:p>
            </w:tc>
            <w:tc>
              <w:tcPr>
                <w:tcW w:w="1453" w:type="pct"/>
                <w:shd w:val="clear" w:color="auto" w:fill="auto"/>
                <w:vAlign w:val="center"/>
                <w:hideMark/>
              </w:tcPr>
              <w:p w14:paraId="0A6C8461" w14:textId="77777777" w:rsidR="00416AE3" w:rsidRPr="00C942B1" w:rsidRDefault="00416AE3" w:rsidP="00416AE3">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581.931.500</w:t>
                </w:r>
              </w:p>
            </w:tc>
          </w:tr>
          <w:tr w:rsidR="00416AE3" w:rsidRPr="00C942B1" w14:paraId="2395CD60" w14:textId="77777777" w:rsidTr="00627B7B">
            <w:trPr>
              <w:trHeight w:val="340"/>
            </w:trPr>
            <w:tc>
              <w:tcPr>
                <w:tcW w:w="1185" w:type="pct"/>
                <w:shd w:val="clear" w:color="auto" w:fill="auto"/>
                <w:vAlign w:val="center"/>
                <w:hideMark/>
              </w:tcPr>
              <w:p w14:paraId="4896C2E7" w14:textId="77777777" w:rsidR="00416AE3" w:rsidRPr="00C942B1" w:rsidRDefault="00416AE3" w:rsidP="00416AE3">
                <w:pPr>
                  <w:spacing w:after="0" w:line="240" w:lineRule="auto"/>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24528251</w:t>
                </w:r>
              </w:p>
            </w:tc>
            <w:tc>
              <w:tcPr>
                <w:tcW w:w="2362" w:type="pct"/>
                <w:shd w:val="clear" w:color="auto" w:fill="auto"/>
                <w:vAlign w:val="center"/>
                <w:hideMark/>
              </w:tcPr>
              <w:p w14:paraId="5ABFE40C" w14:textId="77777777" w:rsidR="00416AE3" w:rsidRPr="00C942B1" w:rsidRDefault="00416AE3" w:rsidP="00627B7B">
                <w:pPr>
                  <w:spacing w:after="0" w:line="240" w:lineRule="auto"/>
                  <w:jc w:val="both"/>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LILIANA PATRICIA HERRERA PAREJA</w:t>
                </w:r>
              </w:p>
            </w:tc>
            <w:tc>
              <w:tcPr>
                <w:tcW w:w="1453" w:type="pct"/>
                <w:shd w:val="clear" w:color="auto" w:fill="auto"/>
                <w:vAlign w:val="center"/>
                <w:hideMark/>
              </w:tcPr>
              <w:p w14:paraId="0E9C7734" w14:textId="77777777" w:rsidR="00416AE3" w:rsidRPr="00C942B1" w:rsidRDefault="00416AE3" w:rsidP="00416AE3">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521.087.630</w:t>
                </w:r>
              </w:p>
            </w:tc>
          </w:tr>
          <w:tr w:rsidR="00416AE3" w:rsidRPr="00C942B1" w14:paraId="7FA61609" w14:textId="77777777" w:rsidTr="00627B7B">
            <w:trPr>
              <w:trHeight w:val="340"/>
            </w:trPr>
            <w:tc>
              <w:tcPr>
                <w:tcW w:w="1185" w:type="pct"/>
                <w:shd w:val="clear" w:color="auto" w:fill="auto"/>
                <w:vAlign w:val="center"/>
                <w:hideMark/>
              </w:tcPr>
              <w:p w14:paraId="44F49A4A" w14:textId="77777777" w:rsidR="00416AE3" w:rsidRPr="00C942B1" w:rsidRDefault="00416AE3" w:rsidP="00416AE3">
                <w:pPr>
                  <w:spacing w:after="0" w:line="240" w:lineRule="auto"/>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42004563</w:t>
                </w:r>
              </w:p>
            </w:tc>
            <w:tc>
              <w:tcPr>
                <w:tcW w:w="2362" w:type="pct"/>
                <w:shd w:val="clear" w:color="auto" w:fill="auto"/>
                <w:vAlign w:val="center"/>
                <w:hideMark/>
              </w:tcPr>
              <w:p w14:paraId="76CFEE7C" w14:textId="77777777" w:rsidR="00416AE3" w:rsidRPr="00C942B1" w:rsidRDefault="00416AE3" w:rsidP="00627B7B">
                <w:pPr>
                  <w:spacing w:after="0" w:line="240" w:lineRule="auto"/>
                  <w:jc w:val="both"/>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 xml:space="preserve">GLORIA INES MARTINEZ </w:t>
                </w:r>
              </w:p>
            </w:tc>
            <w:tc>
              <w:tcPr>
                <w:tcW w:w="1453" w:type="pct"/>
                <w:shd w:val="clear" w:color="auto" w:fill="auto"/>
                <w:vAlign w:val="center"/>
                <w:hideMark/>
              </w:tcPr>
              <w:p w14:paraId="21FCF094" w14:textId="77777777" w:rsidR="00416AE3" w:rsidRPr="00C942B1" w:rsidRDefault="00416AE3" w:rsidP="00416AE3">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470.287.347</w:t>
                </w:r>
              </w:p>
            </w:tc>
          </w:tr>
          <w:tr w:rsidR="00416AE3" w:rsidRPr="00C942B1" w14:paraId="435AFFB6" w14:textId="77777777" w:rsidTr="00627B7B">
            <w:trPr>
              <w:trHeight w:val="340"/>
            </w:trPr>
            <w:tc>
              <w:tcPr>
                <w:tcW w:w="1185" w:type="pct"/>
                <w:shd w:val="clear" w:color="auto" w:fill="auto"/>
                <w:vAlign w:val="center"/>
                <w:hideMark/>
              </w:tcPr>
              <w:p w14:paraId="21A840EC" w14:textId="77777777" w:rsidR="00416AE3" w:rsidRPr="00C942B1" w:rsidRDefault="00416AE3" w:rsidP="00416AE3">
                <w:pPr>
                  <w:spacing w:after="0" w:line="240" w:lineRule="auto"/>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66655984</w:t>
                </w:r>
              </w:p>
            </w:tc>
            <w:tc>
              <w:tcPr>
                <w:tcW w:w="2362" w:type="pct"/>
                <w:shd w:val="clear" w:color="auto" w:fill="auto"/>
                <w:vAlign w:val="center"/>
                <w:hideMark/>
              </w:tcPr>
              <w:p w14:paraId="4ECF55B5" w14:textId="77777777" w:rsidR="00416AE3" w:rsidRPr="00C942B1" w:rsidRDefault="00416AE3" w:rsidP="00627B7B">
                <w:pPr>
                  <w:spacing w:after="0" w:line="240" w:lineRule="auto"/>
                  <w:jc w:val="both"/>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ALBA MARIA PATIÑO GIRALDO</w:t>
                </w:r>
              </w:p>
            </w:tc>
            <w:tc>
              <w:tcPr>
                <w:tcW w:w="1453" w:type="pct"/>
                <w:shd w:val="clear" w:color="auto" w:fill="auto"/>
                <w:vAlign w:val="center"/>
                <w:hideMark/>
              </w:tcPr>
              <w:p w14:paraId="0317CE89" w14:textId="77777777" w:rsidR="00416AE3" w:rsidRPr="00C942B1" w:rsidRDefault="00416AE3" w:rsidP="00416AE3">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406.036.461</w:t>
                </w:r>
              </w:p>
            </w:tc>
          </w:tr>
          <w:tr w:rsidR="00416AE3" w:rsidRPr="00C942B1" w14:paraId="2069DC39" w14:textId="77777777" w:rsidTr="00627B7B">
            <w:trPr>
              <w:trHeight w:val="340"/>
            </w:trPr>
            <w:tc>
              <w:tcPr>
                <w:tcW w:w="1185" w:type="pct"/>
                <w:shd w:val="clear" w:color="auto" w:fill="auto"/>
                <w:vAlign w:val="center"/>
                <w:hideMark/>
              </w:tcPr>
              <w:p w14:paraId="1510CDD3" w14:textId="77777777" w:rsidR="00416AE3" w:rsidRPr="00C942B1" w:rsidRDefault="00416AE3" w:rsidP="00416AE3">
                <w:pPr>
                  <w:spacing w:after="0" w:line="240" w:lineRule="auto"/>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1113669352</w:t>
                </w:r>
              </w:p>
            </w:tc>
            <w:tc>
              <w:tcPr>
                <w:tcW w:w="2362" w:type="pct"/>
                <w:shd w:val="clear" w:color="auto" w:fill="auto"/>
                <w:vAlign w:val="center"/>
                <w:hideMark/>
              </w:tcPr>
              <w:p w14:paraId="40B4E6ED" w14:textId="77777777" w:rsidR="00416AE3" w:rsidRPr="00C942B1" w:rsidRDefault="00416AE3" w:rsidP="00627B7B">
                <w:pPr>
                  <w:spacing w:after="0" w:line="240" w:lineRule="auto"/>
                  <w:jc w:val="both"/>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JORLY JULIETH PINTA RENIA</w:t>
                </w:r>
              </w:p>
            </w:tc>
            <w:tc>
              <w:tcPr>
                <w:tcW w:w="1453" w:type="pct"/>
                <w:shd w:val="clear" w:color="auto" w:fill="auto"/>
                <w:vAlign w:val="center"/>
                <w:hideMark/>
              </w:tcPr>
              <w:p w14:paraId="770BF2AD" w14:textId="77777777" w:rsidR="00416AE3" w:rsidRPr="00C942B1" w:rsidRDefault="00416AE3" w:rsidP="00416AE3">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352.487.809</w:t>
                </w:r>
              </w:p>
            </w:tc>
          </w:tr>
          <w:tr w:rsidR="00416AE3" w:rsidRPr="00C942B1" w14:paraId="15BD27C6" w14:textId="77777777" w:rsidTr="00627B7B">
            <w:trPr>
              <w:trHeight w:val="340"/>
            </w:trPr>
            <w:tc>
              <w:tcPr>
                <w:tcW w:w="1185" w:type="pct"/>
                <w:shd w:val="clear" w:color="auto" w:fill="auto"/>
                <w:vAlign w:val="center"/>
                <w:hideMark/>
              </w:tcPr>
              <w:p w14:paraId="18323679" w14:textId="77777777" w:rsidR="00416AE3" w:rsidRPr="00C942B1" w:rsidRDefault="00416AE3" w:rsidP="00416AE3">
                <w:pPr>
                  <w:spacing w:after="0" w:line="240" w:lineRule="auto"/>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79530677</w:t>
                </w:r>
              </w:p>
            </w:tc>
            <w:tc>
              <w:tcPr>
                <w:tcW w:w="2362" w:type="pct"/>
                <w:shd w:val="clear" w:color="auto" w:fill="auto"/>
                <w:vAlign w:val="center"/>
                <w:hideMark/>
              </w:tcPr>
              <w:p w14:paraId="59608989" w14:textId="77777777" w:rsidR="00416AE3" w:rsidRPr="00C942B1" w:rsidRDefault="00416AE3" w:rsidP="00627B7B">
                <w:pPr>
                  <w:spacing w:after="0" w:line="240" w:lineRule="auto"/>
                  <w:jc w:val="both"/>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OSCAR AUGUSTO MORENO BERNAL</w:t>
                </w:r>
              </w:p>
            </w:tc>
            <w:tc>
              <w:tcPr>
                <w:tcW w:w="1453" w:type="pct"/>
                <w:shd w:val="clear" w:color="auto" w:fill="auto"/>
                <w:vAlign w:val="center"/>
                <w:hideMark/>
              </w:tcPr>
              <w:p w14:paraId="678934D8" w14:textId="77777777" w:rsidR="00416AE3" w:rsidRPr="00C942B1" w:rsidRDefault="00416AE3" w:rsidP="00416AE3">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343.168.247</w:t>
                </w:r>
              </w:p>
            </w:tc>
          </w:tr>
          <w:tr w:rsidR="00416AE3" w:rsidRPr="00C942B1" w14:paraId="059CEBA7" w14:textId="77777777" w:rsidTr="00627B7B">
            <w:trPr>
              <w:trHeight w:val="340"/>
            </w:trPr>
            <w:tc>
              <w:tcPr>
                <w:tcW w:w="1185" w:type="pct"/>
                <w:shd w:val="clear" w:color="auto" w:fill="auto"/>
                <w:vAlign w:val="center"/>
                <w:hideMark/>
              </w:tcPr>
              <w:p w14:paraId="14ABA096" w14:textId="77777777" w:rsidR="00416AE3" w:rsidRPr="00C942B1" w:rsidRDefault="00416AE3" w:rsidP="00416AE3">
                <w:pPr>
                  <w:spacing w:after="0" w:line="240" w:lineRule="auto"/>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42123291</w:t>
                </w:r>
              </w:p>
            </w:tc>
            <w:tc>
              <w:tcPr>
                <w:tcW w:w="2362" w:type="pct"/>
                <w:shd w:val="clear" w:color="auto" w:fill="auto"/>
                <w:vAlign w:val="center"/>
                <w:hideMark/>
              </w:tcPr>
              <w:p w14:paraId="173C632D" w14:textId="77777777" w:rsidR="00416AE3" w:rsidRPr="00C942B1" w:rsidRDefault="00416AE3" w:rsidP="00627B7B">
                <w:pPr>
                  <w:spacing w:after="0" w:line="240" w:lineRule="auto"/>
                  <w:jc w:val="both"/>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SANDRA CORREA TORO</w:t>
                </w:r>
              </w:p>
            </w:tc>
            <w:tc>
              <w:tcPr>
                <w:tcW w:w="1453" w:type="pct"/>
                <w:shd w:val="clear" w:color="auto" w:fill="auto"/>
                <w:vAlign w:val="center"/>
                <w:hideMark/>
              </w:tcPr>
              <w:p w14:paraId="02B5702C" w14:textId="77777777" w:rsidR="00416AE3" w:rsidRPr="00C942B1" w:rsidRDefault="00416AE3" w:rsidP="00416AE3">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336.130.934</w:t>
                </w:r>
              </w:p>
            </w:tc>
          </w:tr>
          <w:tr w:rsidR="00416AE3" w:rsidRPr="00C942B1" w14:paraId="52828C4B" w14:textId="77777777" w:rsidTr="00627B7B">
            <w:trPr>
              <w:trHeight w:val="538"/>
            </w:trPr>
            <w:tc>
              <w:tcPr>
                <w:tcW w:w="1185" w:type="pct"/>
                <w:shd w:val="clear" w:color="auto" w:fill="auto"/>
                <w:vAlign w:val="center"/>
                <w:hideMark/>
              </w:tcPr>
              <w:p w14:paraId="70092AD4" w14:textId="77777777" w:rsidR="00416AE3" w:rsidRPr="00C942B1" w:rsidRDefault="00416AE3" w:rsidP="00416AE3">
                <w:pPr>
                  <w:spacing w:after="0" w:line="240" w:lineRule="auto"/>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860002566</w:t>
                </w:r>
              </w:p>
            </w:tc>
            <w:tc>
              <w:tcPr>
                <w:tcW w:w="2362" w:type="pct"/>
                <w:shd w:val="clear" w:color="auto" w:fill="auto"/>
                <w:vAlign w:val="center"/>
                <w:hideMark/>
              </w:tcPr>
              <w:p w14:paraId="2ABCEA96" w14:textId="77777777" w:rsidR="00416AE3" w:rsidRPr="00C942B1" w:rsidRDefault="00416AE3" w:rsidP="00627B7B">
                <w:pPr>
                  <w:spacing w:after="0" w:line="240" w:lineRule="auto"/>
                  <w:jc w:val="both"/>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FLOTA LA MACARENA S A</w:t>
                </w:r>
              </w:p>
            </w:tc>
            <w:tc>
              <w:tcPr>
                <w:tcW w:w="1453" w:type="pct"/>
                <w:shd w:val="clear" w:color="auto" w:fill="auto"/>
                <w:vAlign w:val="center"/>
                <w:hideMark/>
              </w:tcPr>
              <w:p w14:paraId="2C80567C" w14:textId="77777777" w:rsidR="00416AE3" w:rsidRPr="00C942B1" w:rsidRDefault="00416AE3" w:rsidP="00416AE3">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219.447.239</w:t>
                </w:r>
              </w:p>
            </w:tc>
          </w:tr>
          <w:tr w:rsidR="00416AE3" w:rsidRPr="00C942B1" w14:paraId="232A9341" w14:textId="77777777" w:rsidTr="00627B7B">
            <w:trPr>
              <w:trHeight w:val="574"/>
            </w:trPr>
            <w:tc>
              <w:tcPr>
                <w:tcW w:w="1185" w:type="pct"/>
                <w:shd w:val="clear" w:color="auto" w:fill="auto"/>
                <w:vAlign w:val="center"/>
                <w:hideMark/>
              </w:tcPr>
              <w:p w14:paraId="754CEA64" w14:textId="77777777" w:rsidR="00416AE3" w:rsidRPr="00C942B1" w:rsidRDefault="00416AE3" w:rsidP="00416AE3">
                <w:pPr>
                  <w:spacing w:after="0" w:line="240" w:lineRule="auto"/>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26140075</w:t>
                </w:r>
              </w:p>
            </w:tc>
            <w:tc>
              <w:tcPr>
                <w:tcW w:w="2362" w:type="pct"/>
                <w:shd w:val="clear" w:color="auto" w:fill="auto"/>
                <w:vAlign w:val="center"/>
                <w:hideMark/>
              </w:tcPr>
              <w:p w14:paraId="22C8F3AB" w14:textId="77777777" w:rsidR="00416AE3" w:rsidRPr="00C942B1" w:rsidRDefault="00416AE3" w:rsidP="00627B7B">
                <w:pPr>
                  <w:spacing w:after="0" w:line="240" w:lineRule="auto"/>
                  <w:jc w:val="both"/>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LEIDYS CAROLINA RAMOS MARTINEZ</w:t>
                </w:r>
              </w:p>
            </w:tc>
            <w:tc>
              <w:tcPr>
                <w:tcW w:w="1453" w:type="pct"/>
                <w:shd w:val="clear" w:color="auto" w:fill="auto"/>
                <w:vAlign w:val="center"/>
                <w:hideMark/>
              </w:tcPr>
              <w:p w14:paraId="1238ABFC" w14:textId="77777777" w:rsidR="00416AE3" w:rsidRPr="00C942B1" w:rsidRDefault="00416AE3" w:rsidP="00416AE3">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173.497.415</w:t>
                </w:r>
              </w:p>
            </w:tc>
          </w:tr>
          <w:tr w:rsidR="00416AE3" w:rsidRPr="00C942B1" w14:paraId="56F61304" w14:textId="77777777" w:rsidTr="00627B7B">
            <w:trPr>
              <w:trHeight w:val="340"/>
            </w:trPr>
            <w:tc>
              <w:tcPr>
                <w:tcW w:w="1185" w:type="pct"/>
                <w:shd w:val="clear" w:color="auto" w:fill="auto"/>
                <w:vAlign w:val="center"/>
                <w:hideMark/>
              </w:tcPr>
              <w:p w14:paraId="335FDAA3" w14:textId="77777777" w:rsidR="00416AE3" w:rsidRPr="00C942B1" w:rsidRDefault="00416AE3" w:rsidP="00416AE3">
                <w:pPr>
                  <w:spacing w:after="0" w:line="240" w:lineRule="auto"/>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63291766</w:t>
                </w:r>
              </w:p>
            </w:tc>
            <w:tc>
              <w:tcPr>
                <w:tcW w:w="2362" w:type="pct"/>
                <w:shd w:val="clear" w:color="auto" w:fill="auto"/>
                <w:vAlign w:val="center"/>
                <w:hideMark/>
              </w:tcPr>
              <w:p w14:paraId="7F5377A0" w14:textId="77777777" w:rsidR="00416AE3" w:rsidRPr="00C942B1" w:rsidRDefault="00416AE3" w:rsidP="00627B7B">
                <w:pPr>
                  <w:spacing w:after="0" w:line="240" w:lineRule="auto"/>
                  <w:jc w:val="both"/>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LEONOR PATRICIA GIRALDO GONZALEZ</w:t>
                </w:r>
              </w:p>
            </w:tc>
            <w:tc>
              <w:tcPr>
                <w:tcW w:w="1453" w:type="pct"/>
                <w:shd w:val="clear" w:color="auto" w:fill="auto"/>
                <w:vAlign w:val="center"/>
                <w:hideMark/>
              </w:tcPr>
              <w:p w14:paraId="40214237" w14:textId="77777777" w:rsidR="00416AE3" w:rsidRPr="00C942B1" w:rsidRDefault="00416AE3" w:rsidP="00416AE3">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120.070.766</w:t>
                </w:r>
              </w:p>
            </w:tc>
          </w:tr>
          <w:tr w:rsidR="00416AE3" w:rsidRPr="00C942B1" w14:paraId="5DB1CF0C" w14:textId="77777777" w:rsidTr="00627B7B">
            <w:trPr>
              <w:trHeight w:val="620"/>
            </w:trPr>
            <w:tc>
              <w:tcPr>
                <w:tcW w:w="1185" w:type="pct"/>
                <w:shd w:val="clear" w:color="auto" w:fill="auto"/>
                <w:vAlign w:val="center"/>
                <w:hideMark/>
              </w:tcPr>
              <w:p w14:paraId="394474E4" w14:textId="77777777" w:rsidR="00416AE3" w:rsidRPr="00C942B1" w:rsidRDefault="00416AE3" w:rsidP="00416AE3">
                <w:pPr>
                  <w:spacing w:after="0" w:line="240" w:lineRule="auto"/>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9994843</w:t>
                </w:r>
              </w:p>
            </w:tc>
            <w:tc>
              <w:tcPr>
                <w:tcW w:w="2362" w:type="pct"/>
                <w:shd w:val="clear" w:color="auto" w:fill="auto"/>
                <w:vAlign w:val="center"/>
                <w:hideMark/>
              </w:tcPr>
              <w:p w14:paraId="12453303" w14:textId="77777777" w:rsidR="00416AE3" w:rsidRPr="00C942B1" w:rsidRDefault="00416AE3" w:rsidP="00627B7B">
                <w:pPr>
                  <w:spacing w:after="0" w:line="240" w:lineRule="auto"/>
                  <w:jc w:val="both"/>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LUIS FERNANDO GUALOS GUTIERREZ</w:t>
                </w:r>
              </w:p>
            </w:tc>
            <w:tc>
              <w:tcPr>
                <w:tcW w:w="1453" w:type="pct"/>
                <w:shd w:val="clear" w:color="auto" w:fill="auto"/>
                <w:vAlign w:val="center"/>
                <w:hideMark/>
              </w:tcPr>
              <w:p w14:paraId="03C2A7F3" w14:textId="77777777" w:rsidR="00416AE3" w:rsidRPr="00C942B1" w:rsidRDefault="00416AE3" w:rsidP="00416AE3">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85.090.142</w:t>
                </w:r>
              </w:p>
            </w:tc>
          </w:tr>
          <w:tr w:rsidR="00416AE3" w:rsidRPr="00C942B1" w14:paraId="63A58642" w14:textId="77777777" w:rsidTr="00627B7B">
            <w:trPr>
              <w:trHeight w:val="340"/>
            </w:trPr>
            <w:tc>
              <w:tcPr>
                <w:tcW w:w="1185" w:type="pct"/>
                <w:shd w:val="clear" w:color="auto" w:fill="auto"/>
                <w:vAlign w:val="center"/>
                <w:hideMark/>
              </w:tcPr>
              <w:p w14:paraId="0960DAED" w14:textId="77777777" w:rsidR="00416AE3" w:rsidRPr="00C942B1" w:rsidRDefault="00416AE3" w:rsidP="00416AE3">
                <w:pPr>
                  <w:spacing w:after="0" w:line="240" w:lineRule="auto"/>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13832295</w:t>
                </w:r>
              </w:p>
            </w:tc>
            <w:tc>
              <w:tcPr>
                <w:tcW w:w="2362" w:type="pct"/>
                <w:shd w:val="clear" w:color="auto" w:fill="auto"/>
                <w:vAlign w:val="center"/>
                <w:hideMark/>
              </w:tcPr>
              <w:p w14:paraId="63BB6839" w14:textId="77777777" w:rsidR="00416AE3" w:rsidRPr="00C942B1" w:rsidRDefault="00416AE3" w:rsidP="00627B7B">
                <w:pPr>
                  <w:spacing w:after="0" w:line="240" w:lineRule="auto"/>
                  <w:jc w:val="both"/>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GRACILIANO GOMEZ RIOS</w:t>
                </w:r>
              </w:p>
            </w:tc>
            <w:tc>
              <w:tcPr>
                <w:tcW w:w="1453" w:type="pct"/>
                <w:shd w:val="clear" w:color="auto" w:fill="auto"/>
                <w:vAlign w:val="center"/>
                <w:hideMark/>
              </w:tcPr>
              <w:p w14:paraId="279A4067" w14:textId="77777777" w:rsidR="00416AE3" w:rsidRPr="00C942B1" w:rsidRDefault="00416AE3" w:rsidP="00416AE3">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74.886.063</w:t>
                </w:r>
              </w:p>
            </w:tc>
          </w:tr>
          <w:tr w:rsidR="00416AE3" w:rsidRPr="00C942B1" w14:paraId="04D144D3" w14:textId="77777777" w:rsidTr="00627B7B">
            <w:trPr>
              <w:trHeight w:val="340"/>
            </w:trPr>
            <w:tc>
              <w:tcPr>
                <w:tcW w:w="1185" w:type="pct"/>
                <w:shd w:val="clear" w:color="auto" w:fill="auto"/>
                <w:vAlign w:val="center"/>
                <w:hideMark/>
              </w:tcPr>
              <w:p w14:paraId="601C7FD2" w14:textId="77777777" w:rsidR="00416AE3" w:rsidRPr="00C942B1" w:rsidRDefault="00416AE3" w:rsidP="00416AE3">
                <w:pPr>
                  <w:spacing w:after="0" w:line="240" w:lineRule="auto"/>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6774680</w:t>
                </w:r>
              </w:p>
            </w:tc>
            <w:tc>
              <w:tcPr>
                <w:tcW w:w="2362" w:type="pct"/>
                <w:shd w:val="clear" w:color="auto" w:fill="auto"/>
                <w:vAlign w:val="center"/>
                <w:hideMark/>
              </w:tcPr>
              <w:p w14:paraId="40608011" w14:textId="77777777" w:rsidR="00416AE3" w:rsidRPr="00C942B1" w:rsidRDefault="00416AE3" w:rsidP="00627B7B">
                <w:pPr>
                  <w:spacing w:after="0" w:line="240" w:lineRule="auto"/>
                  <w:jc w:val="both"/>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CARLOS ORLANDO CARO SANCHEZ</w:t>
                </w:r>
              </w:p>
            </w:tc>
            <w:tc>
              <w:tcPr>
                <w:tcW w:w="1453" w:type="pct"/>
                <w:shd w:val="clear" w:color="auto" w:fill="auto"/>
                <w:vAlign w:val="center"/>
                <w:hideMark/>
              </w:tcPr>
              <w:p w14:paraId="511DF1C7" w14:textId="77777777" w:rsidR="00416AE3" w:rsidRPr="00C942B1" w:rsidRDefault="00416AE3" w:rsidP="00416AE3">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73.495.095</w:t>
                </w:r>
              </w:p>
            </w:tc>
          </w:tr>
          <w:tr w:rsidR="00416AE3" w:rsidRPr="00C942B1" w14:paraId="2C66BEE4" w14:textId="77777777" w:rsidTr="00627B7B">
            <w:trPr>
              <w:trHeight w:val="340"/>
            </w:trPr>
            <w:tc>
              <w:tcPr>
                <w:tcW w:w="1185" w:type="pct"/>
                <w:shd w:val="clear" w:color="auto" w:fill="auto"/>
                <w:vAlign w:val="center"/>
                <w:hideMark/>
              </w:tcPr>
              <w:p w14:paraId="6B4A0AD9" w14:textId="77777777" w:rsidR="00416AE3" w:rsidRPr="00C942B1" w:rsidRDefault="00416AE3" w:rsidP="00416AE3">
                <w:pPr>
                  <w:spacing w:after="0" w:line="240" w:lineRule="auto"/>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63310110</w:t>
                </w:r>
              </w:p>
            </w:tc>
            <w:tc>
              <w:tcPr>
                <w:tcW w:w="2362" w:type="pct"/>
                <w:shd w:val="clear" w:color="auto" w:fill="auto"/>
                <w:vAlign w:val="center"/>
                <w:hideMark/>
              </w:tcPr>
              <w:p w14:paraId="128F0984" w14:textId="77777777" w:rsidR="00416AE3" w:rsidRPr="00C942B1" w:rsidRDefault="00416AE3" w:rsidP="00627B7B">
                <w:pPr>
                  <w:spacing w:after="0" w:line="240" w:lineRule="auto"/>
                  <w:jc w:val="both"/>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LIBIA EUGENIA DURAN BARAJAS</w:t>
                </w:r>
              </w:p>
            </w:tc>
            <w:tc>
              <w:tcPr>
                <w:tcW w:w="1453" w:type="pct"/>
                <w:shd w:val="clear" w:color="auto" w:fill="auto"/>
                <w:vAlign w:val="center"/>
                <w:hideMark/>
              </w:tcPr>
              <w:p w14:paraId="146CC8F9" w14:textId="77777777" w:rsidR="00416AE3" w:rsidRPr="00C942B1" w:rsidRDefault="00416AE3" w:rsidP="00416AE3">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25.731.195</w:t>
                </w:r>
              </w:p>
            </w:tc>
          </w:tr>
          <w:tr w:rsidR="00416AE3" w:rsidRPr="00C942B1" w14:paraId="19AE6DFE" w14:textId="77777777" w:rsidTr="00627B7B">
            <w:trPr>
              <w:trHeight w:val="340"/>
            </w:trPr>
            <w:tc>
              <w:tcPr>
                <w:tcW w:w="1185" w:type="pct"/>
                <w:shd w:val="clear" w:color="auto" w:fill="auto"/>
                <w:vAlign w:val="center"/>
                <w:hideMark/>
              </w:tcPr>
              <w:p w14:paraId="7CB600C6" w14:textId="77777777" w:rsidR="00416AE3" w:rsidRPr="00C942B1" w:rsidRDefault="00416AE3" w:rsidP="00416AE3">
                <w:pPr>
                  <w:spacing w:after="0" w:line="240" w:lineRule="auto"/>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6751339</w:t>
                </w:r>
              </w:p>
            </w:tc>
            <w:tc>
              <w:tcPr>
                <w:tcW w:w="2362" w:type="pct"/>
                <w:shd w:val="clear" w:color="auto" w:fill="auto"/>
                <w:vAlign w:val="center"/>
                <w:hideMark/>
              </w:tcPr>
              <w:p w14:paraId="6D48A4DD" w14:textId="77777777" w:rsidR="00416AE3" w:rsidRPr="00C942B1" w:rsidRDefault="00416AE3" w:rsidP="00627B7B">
                <w:pPr>
                  <w:spacing w:after="0" w:line="240" w:lineRule="auto"/>
                  <w:jc w:val="both"/>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LUIS IGNACIO LARA CASTILLO</w:t>
                </w:r>
              </w:p>
            </w:tc>
            <w:tc>
              <w:tcPr>
                <w:tcW w:w="1453" w:type="pct"/>
                <w:shd w:val="clear" w:color="auto" w:fill="auto"/>
                <w:vAlign w:val="center"/>
                <w:hideMark/>
              </w:tcPr>
              <w:p w14:paraId="16E992B9" w14:textId="77777777" w:rsidR="00416AE3" w:rsidRPr="00C942B1" w:rsidRDefault="00416AE3" w:rsidP="00416AE3">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1.123.806</w:t>
                </w:r>
              </w:p>
            </w:tc>
          </w:tr>
          <w:tr w:rsidR="00416AE3" w:rsidRPr="00C942B1" w14:paraId="5E0205C4" w14:textId="77777777" w:rsidTr="00627B7B">
            <w:trPr>
              <w:trHeight w:val="340"/>
            </w:trPr>
            <w:tc>
              <w:tcPr>
                <w:tcW w:w="1185" w:type="pct"/>
                <w:shd w:val="clear" w:color="auto" w:fill="auto"/>
                <w:vAlign w:val="center"/>
                <w:hideMark/>
              </w:tcPr>
              <w:p w14:paraId="53BE783F" w14:textId="77777777" w:rsidR="00416AE3" w:rsidRPr="00C942B1" w:rsidRDefault="00416AE3" w:rsidP="00416AE3">
                <w:pPr>
                  <w:spacing w:after="0" w:line="240" w:lineRule="auto"/>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1066083975</w:t>
                </w:r>
              </w:p>
            </w:tc>
            <w:tc>
              <w:tcPr>
                <w:tcW w:w="2362" w:type="pct"/>
                <w:shd w:val="clear" w:color="auto" w:fill="auto"/>
                <w:vAlign w:val="center"/>
                <w:hideMark/>
              </w:tcPr>
              <w:p w14:paraId="4D17F3F5" w14:textId="77777777" w:rsidR="00416AE3" w:rsidRPr="00C942B1" w:rsidRDefault="00416AE3" w:rsidP="00627B7B">
                <w:pPr>
                  <w:spacing w:after="0" w:line="240" w:lineRule="auto"/>
                  <w:jc w:val="both"/>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LEIDY PAOLA LEMUS QUINO</w:t>
                </w:r>
              </w:p>
            </w:tc>
            <w:tc>
              <w:tcPr>
                <w:tcW w:w="1453" w:type="pct"/>
                <w:shd w:val="clear" w:color="auto" w:fill="auto"/>
                <w:vAlign w:val="center"/>
                <w:hideMark/>
              </w:tcPr>
              <w:p w14:paraId="2AF6ED80" w14:textId="77777777" w:rsidR="00416AE3" w:rsidRPr="00C942B1" w:rsidRDefault="00416AE3" w:rsidP="00416AE3">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756.373</w:t>
                </w:r>
              </w:p>
            </w:tc>
          </w:tr>
          <w:tr w:rsidR="00416AE3" w:rsidRPr="00C942B1" w14:paraId="27458FAF" w14:textId="77777777" w:rsidTr="00627B7B">
            <w:trPr>
              <w:trHeight w:val="457"/>
            </w:trPr>
            <w:tc>
              <w:tcPr>
                <w:tcW w:w="3547" w:type="pct"/>
                <w:gridSpan w:val="2"/>
                <w:shd w:val="clear" w:color="auto" w:fill="auto"/>
                <w:vAlign w:val="center"/>
                <w:hideMark/>
              </w:tcPr>
              <w:p w14:paraId="0EA407DF" w14:textId="77777777" w:rsidR="00416AE3" w:rsidRPr="00C942B1" w:rsidRDefault="00416AE3" w:rsidP="00416AE3">
                <w:pPr>
                  <w:spacing w:after="0" w:line="240" w:lineRule="auto"/>
                  <w:rPr>
                    <w:rFonts w:ascii="Times New Roman" w:eastAsia="Times New Roman" w:hAnsi="Times New Roman"/>
                    <w:b/>
                    <w:bCs/>
                    <w:color w:val="000000"/>
                    <w:sz w:val="14"/>
                    <w:szCs w:val="14"/>
                    <w:lang w:eastAsia="es-CO"/>
                  </w:rPr>
                </w:pPr>
                <w:r w:rsidRPr="00C942B1">
                  <w:rPr>
                    <w:rFonts w:ascii="Times New Roman" w:eastAsia="Times New Roman" w:hAnsi="Times New Roman"/>
                    <w:b/>
                    <w:bCs/>
                    <w:color w:val="000000"/>
                    <w:sz w:val="14"/>
                    <w:szCs w:val="14"/>
                    <w:lang w:eastAsia="es-CO"/>
                  </w:rPr>
                  <w:t xml:space="preserve"> TOTALES:</w:t>
                </w:r>
              </w:p>
            </w:tc>
            <w:tc>
              <w:tcPr>
                <w:tcW w:w="1453" w:type="pct"/>
                <w:shd w:val="clear" w:color="auto" w:fill="auto"/>
                <w:vAlign w:val="center"/>
                <w:hideMark/>
              </w:tcPr>
              <w:p w14:paraId="45CEBD6B" w14:textId="5FC899BA" w:rsidR="00416AE3" w:rsidRPr="00C942B1" w:rsidRDefault="00416AE3" w:rsidP="00416AE3">
                <w:pPr>
                  <w:spacing w:after="0" w:line="240" w:lineRule="auto"/>
                  <w:jc w:val="right"/>
                  <w:rPr>
                    <w:rFonts w:ascii="Times New Roman" w:eastAsia="Times New Roman" w:hAnsi="Times New Roman"/>
                    <w:b/>
                    <w:bCs/>
                    <w:color w:val="000000"/>
                    <w:sz w:val="14"/>
                    <w:szCs w:val="14"/>
                    <w:lang w:eastAsia="es-CO"/>
                  </w:rPr>
                </w:pPr>
                <w:r w:rsidRPr="00C942B1">
                  <w:rPr>
                    <w:rFonts w:ascii="Times New Roman" w:eastAsia="Times New Roman" w:hAnsi="Times New Roman"/>
                    <w:b/>
                    <w:bCs/>
                    <w:color w:val="000000"/>
                    <w:sz w:val="14"/>
                    <w:szCs w:val="14"/>
                    <w:lang w:eastAsia="es-CO"/>
                  </w:rPr>
                  <w:t>$146.204.537.715</w:t>
                </w:r>
              </w:p>
            </w:tc>
          </w:tr>
        </w:tbl>
        <w:p w14:paraId="02937B02" w14:textId="77777777" w:rsidR="00416AE3" w:rsidRDefault="00416AE3" w:rsidP="004E22F6">
          <w:pPr>
            <w:spacing w:after="0" w:line="240" w:lineRule="auto"/>
            <w:jc w:val="both"/>
            <w:rPr>
              <w:rFonts w:ascii="Times New Roman" w:hAnsi="Times New Roman"/>
              <w:sz w:val="16"/>
              <w:szCs w:val="16"/>
            </w:rPr>
            <w:sectPr w:rsidR="00416AE3" w:rsidSect="00376BDD">
              <w:type w:val="continuous"/>
              <w:pgSz w:w="12240" w:h="15840"/>
              <w:pgMar w:top="1418" w:right="1418" w:bottom="1418" w:left="1843" w:header="680" w:footer="709" w:gutter="0"/>
              <w:pgNumType w:start="1"/>
              <w:cols w:num="2" w:space="708"/>
              <w:titlePg/>
              <w:docGrid w:linePitch="360"/>
            </w:sectPr>
          </w:pPr>
        </w:p>
        <w:p w14:paraId="3395455E" w14:textId="77777777" w:rsidR="004E22F6" w:rsidRPr="00931DCE" w:rsidRDefault="004E22F6" w:rsidP="004E22F6">
          <w:pPr>
            <w:spacing w:after="0" w:line="240" w:lineRule="auto"/>
            <w:jc w:val="both"/>
            <w:rPr>
              <w:rFonts w:ascii="Times New Roman" w:hAnsi="Times New Roman"/>
              <w:sz w:val="24"/>
              <w:szCs w:val="24"/>
            </w:rPr>
          </w:pPr>
          <w:r w:rsidRPr="00931DCE">
            <w:rPr>
              <w:rFonts w:ascii="Times New Roman" w:hAnsi="Times New Roman"/>
              <w:sz w:val="16"/>
              <w:szCs w:val="16"/>
            </w:rPr>
            <w:t>Cifras expresadas en pesos</w:t>
          </w:r>
        </w:p>
        <w:p w14:paraId="10253915" w14:textId="704DBC76" w:rsidR="111A47DC" w:rsidRPr="006365DC" w:rsidRDefault="111A47DC" w:rsidP="00A7368C">
          <w:pPr>
            <w:spacing w:line="257" w:lineRule="auto"/>
            <w:ind w:right="-20"/>
            <w:jc w:val="both"/>
            <w:rPr>
              <w:rFonts w:ascii="Times New Roman" w:hAnsi="Times New Roman"/>
              <w:sz w:val="24"/>
              <w:szCs w:val="24"/>
            </w:rPr>
          </w:pPr>
        </w:p>
        <w:p w14:paraId="48D23E93" w14:textId="2EC4011C" w:rsidR="111A47DC" w:rsidRPr="008D5E21" w:rsidRDefault="111A47DC" w:rsidP="00A7368C">
          <w:pPr>
            <w:spacing w:after="0" w:line="257" w:lineRule="auto"/>
            <w:ind w:right="-20"/>
            <w:jc w:val="both"/>
            <w:rPr>
              <w:rFonts w:ascii="Times New Roman" w:hAnsi="Times New Roman"/>
              <w:sz w:val="24"/>
              <w:szCs w:val="24"/>
              <w:lang w:val="es"/>
            </w:rPr>
          </w:pPr>
          <w:r w:rsidRPr="008D5E21">
            <w:rPr>
              <w:rFonts w:ascii="Times New Roman" w:hAnsi="Times New Roman"/>
              <w:sz w:val="24"/>
              <w:szCs w:val="24"/>
              <w:lang w:val="es"/>
            </w:rPr>
            <w:t xml:space="preserve">Otras cuentas por Cobrar: Corresponde a la </w:t>
          </w:r>
          <w:r w:rsidR="008D5E21" w:rsidRPr="008D5E21">
            <w:rPr>
              <w:rFonts w:ascii="Times New Roman" w:hAnsi="Times New Roman"/>
              <w:sz w:val="24"/>
              <w:szCs w:val="24"/>
              <w:lang w:val="es"/>
            </w:rPr>
            <w:t>causación</w:t>
          </w:r>
          <w:r w:rsidRPr="008D5E21">
            <w:rPr>
              <w:rFonts w:ascii="Times New Roman" w:hAnsi="Times New Roman"/>
              <w:sz w:val="24"/>
              <w:szCs w:val="24"/>
              <w:lang w:val="es"/>
            </w:rPr>
            <w:t xml:space="preserve"> de Deterioro de otras cuentas por cobrar de acuerdo a TEST de Deterioro enviado por el GIT de Defensa Judicial, a continuación se detallan por terceros:</w:t>
          </w:r>
        </w:p>
        <w:p w14:paraId="78EB5237" w14:textId="17B33430" w:rsidR="111A47DC" w:rsidRPr="008D5E21" w:rsidRDefault="111A47DC" w:rsidP="02E3AD61">
          <w:pPr>
            <w:spacing w:line="257" w:lineRule="auto"/>
            <w:ind w:left="720" w:right="-20"/>
            <w:jc w:val="both"/>
            <w:rPr>
              <w:rFonts w:ascii="Times New Roman" w:hAnsi="Times New Roman"/>
              <w:sz w:val="24"/>
              <w:szCs w:val="24"/>
            </w:rPr>
          </w:pPr>
          <w:r w:rsidRPr="008D5E21">
            <w:rPr>
              <w:rFonts w:ascii="Times New Roman" w:hAnsi="Times New Roman"/>
              <w:sz w:val="24"/>
              <w:szCs w:val="24"/>
              <w:lang w:val="es"/>
            </w:rPr>
            <w:t xml:space="preserve"> </w:t>
          </w:r>
        </w:p>
        <w:tbl>
          <w:tblPr>
            <w:tblW w:w="4798" w:type="pct"/>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blBorders>
            <w:tblCellMar>
              <w:left w:w="70" w:type="dxa"/>
              <w:right w:w="70" w:type="dxa"/>
            </w:tblCellMar>
            <w:tblLook w:val="04A0" w:firstRow="1" w:lastRow="0" w:firstColumn="1" w:lastColumn="0" w:noHBand="0" w:noVBand="1"/>
          </w:tblPr>
          <w:tblGrid>
            <w:gridCol w:w="1621"/>
            <w:gridCol w:w="4299"/>
            <w:gridCol w:w="2677"/>
          </w:tblGrid>
          <w:tr w:rsidR="00CC0E07" w:rsidRPr="00C942B1" w14:paraId="47BF3E95" w14:textId="77777777" w:rsidTr="00092474">
            <w:trPr>
              <w:trHeight w:val="301"/>
            </w:trPr>
            <w:tc>
              <w:tcPr>
                <w:tcW w:w="943" w:type="pct"/>
                <w:shd w:val="clear" w:color="auto" w:fill="auto"/>
                <w:vAlign w:val="center"/>
                <w:hideMark/>
              </w:tcPr>
              <w:p w14:paraId="351731B9" w14:textId="3F1D7715" w:rsidR="00CC0E07" w:rsidRPr="00C942B1" w:rsidRDefault="00CC0E07" w:rsidP="00CC0E07">
                <w:pPr>
                  <w:spacing w:after="0" w:line="240" w:lineRule="auto"/>
                  <w:jc w:val="center"/>
                  <w:rPr>
                    <w:rFonts w:ascii="Times New Roman" w:eastAsia="Times New Roman" w:hAnsi="Times New Roman"/>
                    <w:b/>
                    <w:bCs/>
                    <w:color w:val="000000"/>
                    <w:sz w:val="14"/>
                    <w:szCs w:val="14"/>
                    <w:lang w:eastAsia="es-CO"/>
                  </w:rPr>
                </w:pPr>
                <w:r w:rsidRPr="00C942B1">
                  <w:rPr>
                    <w:rFonts w:ascii="Times New Roman" w:eastAsia="Times New Roman" w:hAnsi="Times New Roman"/>
                    <w:b/>
                    <w:bCs/>
                    <w:color w:val="000000"/>
                    <w:sz w:val="14"/>
                    <w:szCs w:val="14"/>
                    <w:lang w:eastAsia="es-CO"/>
                  </w:rPr>
                  <w:t>IDENTIFICACION</w:t>
                </w:r>
              </w:p>
            </w:tc>
            <w:tc>
              <w:tcPr>
                <w:tcW w:w="2500" w:type="pct"/>
                <w:shd w:val="clear" w:color="auto" w:fill="auto"/>
                <w:vAlign w:val="center"/>
                <w:hideMark/>
              </w:tcPr>
              <w:p w14:paraId="55DB4B4A" w14:textId="656A3A6C" w:rsidR="00CC0E07" w:rsidRPr="00C942B1" w:rsidRDefault="00CC0E07" w:rsidP="00CC0E07">
                <w:pPr>
                  <w:spacing w:after="0" w:line="240" w:lineRule="auto"/>
                  <w:jc w:val="center"/>
                  <w:rPr>
                    <w:rFonts w:ascii="Times New Roman" w:eastAsia="Times New Roman" w:hAnsi="Times New Roman"/>
                    <w:b/>
                    <w:bCs/>
                    <w:color w:val="000000"/>
                    <w:sz w:val="14"/>
                    <w:szCs w:val="14"/>
                    <w:lang w:eastAsia="es-CO"/>
                  </w:rPr>
                </w:pPr>
                <w:r w:rsidRPr="00C942B1">
                  <w:rPr>
                    <w:rFonts w:ascii="Times New Roman" w:eastAsia="Times New Roman" w:hAnsi="Times New Roman"/>
                    <w:b/>
                    <w:bCs/>
                    <w:color w:val="000000"/>
                    <w:sz w:val="14"/>
                    <w:szCs w:val="14"/>
                    <w:lang w:eastAsia="es-CO"/>
                  </w:rPr>
                  <w:t>DESCRIPCION</w:t>
                </w:r>
              </w:p>
            </w:tc>
            <w:tc>
              <w:tcPr>
                <w:tcW w:w="1557" w:type="pct"/>
                <w:shd w:val="clear" w:color="auto" w:fill="auto"/>
                <w:vAlign w:val="center"/>
                <w:hideMark/>
              </w:tcPr>
              <w:p w14:paraId="58E441DA" w14:textId="1A50555E" w:rsidR="00CC0E07" w:rsidRPr="00C942B1" w:rsidRDefault="00CC0E07" w:rsidP="00CC0E07">
                <w:pPr>
                  <w:spacing w:after="0" w:line="240" w:lineRule="auto"/>
                  <w:jc w:val="center"/>
                  <w:rPr>
                    <w:rFonts w:ascii="Times New Roman" w:eastAsia="Times New Roman" w:hAnsi="Times New Roman"/>
                    <w:b/>
                    <w:bCs/>
                    <w:color w:val="000000"/>
                    <w:sz w:val="14"/>
                    <w:szCs w:val="14"/>
                    <w:lang w:eastAsia="es-CO"/>
                  </w:rPr>
                </w:pPr>
                <w:r w:rsidRPr="00C942B1">
                  <w:rPr>
                    <w:rFonts w:ascii="Times New Roman" w:eastAsia="Times New Roman" w:hAnsi="Times New Roman"/>
                    <w:b/>
                    <w:bCs/>
                    <w:color w:val="000000"/>
                    <w:sz w:val="14"/>
                    <w:szCs w:val="14"/>
                    <w:lang w:eastAsia="es-CO"/>
                  </w:rPr>
                  <w:t>SALDO FINAL</w:t>
                </w:r>
              </w:p>
            </w:tc>
          </w:tr>
          <w:tr w:rsidR="00CC0E07" w:rsidRPr="00C942B1" w14:paraId="15113EB6" w14:textId="77777777" w:rsidTr="00092474">
            <w:trPr>
              <w:trHeight w:val="489"/>
            </w:trPr>
            <w:tc>
              <w:tcPr>
                <w:tcW w:w="943" w:type="pct"/>
                <w:shd w:val="clear" w:color="auto" w:fill="auto"/>
                <w:vAlign w:val="center"/>
                <w:hideMark/>
              </w:tcPr>
              <w:p w14:paraId="0ED0B3AC" w14:textId="77777777" w:rsidR="00CC0E07" w:rsidRPr="00C942B1" w:rsidRDefault="00CC0E07" w:rsidP="00CC0E07">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891900887</w:t>
                </w:r>
              </w:p>
            </w:tc>
            <w:tc>
              <w:tcPr>
                <w:tcW w:w="2500" w:type="pct"/>
                <w:shd w:val="clear" w:color="auto" w:fill="auto"/>
                <w:vAlign w:val="center"/>
                <w:hideMark/>
              </w:tcPr>
              <w:p w14:paraId="77898348" w14:textId="77777777" w:rsidR="00CC0E07" w:rsidRPr="00C942B1" w:rsidRDefault="00CC0E07" w:rsidP="00CC0E07">
                <w:pPr>
                  <w:spacing w:after="0" w:line="240" w:lineRule="auto"/>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HOSPITAL SANTA CATALINA E.S.E.</w:t>
                </w:r>
              </w:p>
            </w:tc>
            <w:tc>
              <w:tcPr>
                <w:tcW w:w="1557" w:type="pct"/>
                <w:shd w:val="clear" w:color="auto" w:fill="auto"/>
                <w:vAlign w:val="center"/>
                <w:hideMark/>
              </w:tcPr>
              <w:p w14:paraId="717E4B07" w14:textId="77777777" w:rsidR="00CC0E07" w:rsidRPr="00C942B1" w:rsidRDefault="00CC0E07" w:rsidP="00CC0E07">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31.628.168,73</w:t>
                </w:r>
              </w:p>
            </w:tc>
          </w:tr>
          <w:tr w:rsidR="00CC0E07" w:rsidRPr="00C942B1" w14:paraId="0A46ECB5" w14:textId="77777777" w:rsidTr="00092474">
            <w:trPr>
              <w:trHeight w:val="489"/>
            </w:trPr>
            <w:tc>
              <w:tcPr>
                <w:tcW w:w="943" w:type="pct"/>
                <w:shd w:val="clear" w:color="auto" w:fill="auto"/>
                <w:vAlign w:val="center"/>
                <w:hideMark/>
              </w:tcPr>
              <w:p w14:paraId="519F86A3" w14:textId="77777777" w:rsidR="00CC0E07" w:rsidRPr="00C942B1" w:rsidRDefault="00CC0E07" w:rsidP="00CC0E07">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900225133</w:t>
                </w:r>
              </w:p>
            </w:tc>
            <w:tc>
              <w:tcPr>
                <w:tcW w:w="2500" w:type="pct"/>
                <w:shd w:val="clear" w:color="auto" w:fill="auto"/>
                <w:vAlign w:val="center"/>
                <w:hideMark/>
              </w:tcPr>
              <w:p w14:paraId="6FFCEFBB" w14:textId="77777777" w:rsidR="00CC0E07" w:rsidRPr="00C942B1" w:rsidRDefault="00CC0E07" w:rsidP="00CC0E07">
                <w:pPr>
                  <w:spacing w:after="0" w:line="240" w:lineRule="auto"/>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FERROCARRIL DEL PACIFICO SAS</w:t>
                </w:r>
              </w:p>
            </w:tc>
            <w:tc>
              <w:tcPr>
                <w:tcW w:w="1557" w:type="pct"/>
                <w:shd w:val="clear" w:color="auto" w:fill="auto"/>
                <w:vAlign w:val="center"/>
                <w:hideMark/>
              </w:tcPr>
              <w:p w14:paraId="5585D4F0" w14:textId="77777777" w:rsidR="00CC0E07" w:rsidRPr="00C942B1" w:rsidRDefault="00CC0E07" w:rsidP="00CC0E07">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7.823.118,70</w:t>
                </w:r>
              </w:p>
            </w:tc>
          </w:tr>
          <w:tr w:rsidR="00CC0E07" w:rsidRPr="00C942B1" w14:paraId="7EC7E303" w14:textId="77777777" w:rsidTr="00092474">
            <w:trPr>
              <w:trHeight w:val="489"/>
            </w:trPr>
            <w:tc>
              <w:tcPr>
                <w:tcW w:w="943" w:type="pct"/>
                <w:shd w:val="clear" w:color="auto" w:fill="auto"/>
                <w:vAlign w:val="center"/>
                <w:hideMark/>
              </w:tcPr>
              <w:p w14:paraId="5DF39659" w14:textId="77777777" w:rsidR="00CC0E07" w:rsidRPr="00C942B1" w:rsidRDefault="00CC0E07" w:rsidP="00CC0E07">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53000990</w:t>
                </w:r>
              </w:p>
            </w:tc>
            <w:tc>
              <w:tcPr>
                <w:tcW w:w="2500" w:type="pct"/>
                <w:shd w:val="clear" w:color="auto" w:fill="auto"/>
                <w:vAlign w:val="center"/>
                <w:hideMark/>
              </w:tcPr>
              <w:p w14:paraId="64DBAFD1" w14:textId="77777777" w:rsidR="00CC0E07" w:rsidRPr="00C942B1" w:rsidRDefault="00CC0E07" w:rsidP="00CC0E07">
                <w:pPr>
                  <w:spacing w:after="0" w:line="240" w:lineRule="auto"/>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IVONNE DE LA CARIDAD PRADA MEDINA</w:t>
                </w:r>
              </w:p>
            </w:tc>
            <w:tc>
              <w:tcPr>
                <w:tcW w:w="1557" w:type="pct"/>
                <w:shd w:val="clear" w:color="auto" w:fill="auto"/>
                <w:vAlign w:val="center"/>
                <w:hideMark/>
              </w:tcPr>
              <w:p w14:paraId="5AF4DCCF" w14:textId="77777777" w:rsidR="00CC0E07" w:rsidRPr="00C942B1" w:rsidRDefault="00CC0E07" w:rsidP="00CC0E07">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6.126.380,46</w:t>
                </w:r>
              </w:p>
            </w:tc>
          </w:tr>
          <w:tr w:rsidR="00CC0E07" w:rsidRPr="00C942B1" w14:paraId="7FFC21B8" w14:textId="77777777" w:rsidTr="00092474">
            <w:trPr>
              <w:trHeight w:val="489"/>
            </w:trPr>
            <w:tc>
              <w:tcPr>
                <w:tcW w:w="943" w:type="pct"/>
                <w:shd w:val="clear" w:color="auto" w:fill="auto"/>
                <w:vAlign w:val="center"/>
                <w:hideMark/>
              </w:tcPr>
              <w:p w14:paraId="555CE6EB" w14:textId="77777777" w:rsidR="00CC0E07" w:rsidRPr="00C942B1" w:rsidRDefault="00CC0E07" w:rsidP="00CC0E07">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13811422</w:t>
                </w:r>
              </w:p>
            </w:tc>
            <w:tc>
              <w:tcPr>
                <w:tcW w:w="2500" w:type="pct"/>
                <w:shd w:val="clear" w:color="auto" w:fill="auto"/>
                <w:vAlign w:val="center"/>
                <w:hideMark/>
              </w:tcPr>
              <w:p w14:paraId="6813B6E3" w14:textId="01302166" w:rsidR="00CC0E07" w:rsidRPr="00C942B1" w:rsidRDefault="00CC0E07" w:rsidP="00CC0E07">
                <w:pPr>
                  <w:spacing w:after="0" w:line="240" w:lineRule="auto"/>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EDGAR CHACON HARTMANN</w:t>
                </w:r>
              </w:p>
            </w:tc>
            <w:tc>
              <w:tcPr>
                <w:tcW w:w="1557" w:type="pct"/>
                <w:shd w:val="clear" w:color="auto" w:fill="auto"/>
                <w:vAlign w:val="center"/>
                <w:hideMark/>
              </w:tcPr>
              <w:p w14:paraId="575C036C" w14:textId="77777777" w:rsidR="00CC0E07" w:rsidRPr="00C942B1" w:rsidRDefault="00CC0E07" w:rsidP="00CC0E07">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372.557,41</w:t>
                </w:r>
              </w:p>
            </w:tc>
          </w:tr>
          <w:tr w:rsidR="00CC0E07" w:rsidRPr="00C942B1" w14:paraId="73C4A553" w14:textId="77777777" w:rsidTr="00092474">
            <w:trPr>
              <w:trHeight w:val="207"/>
            </w:trPr>
            <w:tc>
              <w:tcPr>
                <w:tcW w:w="3443" w:type="pct"/>
                <w:gridSpan w:val="2"/>
                <w:shd w:val="clear" w:color="auto" w:fill="auto"/>
                <w:vAlign w:val="center"/>
                <w:hideMark/>
              </w:tcPr>
              <w:p w14:paraId="3DB1DC63" w14:textId="33B3C22E" w:rsidR="00CC0E07" w:rsidRPr="00C942B1" w:rsidRDefault="00CC0E07" w:rsidP="00CC0E07">
                <w:pPr>
                  <w:spacing w:after="0" w:line="240" w:lineRule="auto"/>
                  <w:rPr>
                    <w:rFonts w:ascii="Times New Roman" w:eastAsia="Times New Roman" w:hAnsi="Times New Roman"/>
                    <w:b/>
                    <w:bCs/>
                    <w:color w:val="000000"/>
                    <w:sz w:val="14"/>
                    <w:szCs w:val="14"/>
                    <w:lang w:eastAsia="es-CO"/>
                  </w:rPr>
                </w:pPr>
                <w:r w:rsidRPr="00C942B1">
                  <w:rPr>
                    <w:rFonts w:ascii="Times New Roman" w:eastAsia="Times New Roman" w:hAnsi="Times New Roman"/>
                    <w:b/>
                    <w:bCs/>
                    <w:color w:val="000000"/>
                    <w:sz w:val="14"/>
                    <w:szCs w:val="14"/>
                    <w:lang w:eastAsia="es-CO"/>
                  </w:rPr>
                  <w:t xml:space="preserve"> TOTALES:</w:t>
                </w:r>
              </w:p>
            </w:tc>
            <w:tc>
              <w:tcPr>
                <w:tcW w:w="1557" w:type="pct"/>
                <w:shd w:val="clear" w:color="auto" w:fill="auto"/>
                <w:vAlign w:val="center"/>
                <w:hideMark/>
              </w:tcPr>
              <w:p w14:paraId="6B60986E" w14:textId="77777777" w:rsidR="00CC0E07" w:rsidRPr="00C942B1" w:rsidRDefault="00CC0E07" w:rsidP="00CC0E07">
                <w:pPr>
                  <w:spacing w:after="0" w:line="240" w:lineRule="auto"/>
                  <w:jc w:val="right"/>
                  <w:rPr>
                    <w:rFonts w:ascii="Times New Roman" w:eastAsia="Times New Roman" w:hAnsi="Times New Roman"/>
                    <w:b/>
                    <w:bCs/>
                    <w:color w:val="000000"/>
                    <w:sz w:val="14"/>
                    <w:szCs w:val="14"/>
                    <w:lang w:eastAsia="es-CO"/>
                  </w:rPr>
                </w:pPr>
                <w:r w:rsidRPr="00C942B1">
                  <w:rPr>
                    <w:rFonts w:ascii="Times New Roman" w:eastAsia="Times New Roman" w:hAnsi="Times New Roman"/>
                    <w:b/>
                    <w:bCs/>
                    <w:color w:val="000000"/>
                    <w:sz w:val="14"/>
                    <w:szCs w:val="14"/>
                    <w:lang w:eastAsia="es-CO"/>
                  </w:rPr>
                  <w:t>45.950.225,30</w:t>
                </w:r>
              </w:p>
            </w:tc>
          </w:tr>
        </w:tbl>
        <w:p w14:paraId="7535374B" w14:textId="2F1115DB" w:rsidR="0086037D" w:rsidRPr="00931DCE" w:rsidRDefault="0086037D" w:rsidP="00616954">
          <w:pPr>
            <w:spacing w:after="0" w:line="240" w:lineRule="auto"/>
            <w:jc w:val="both"/>
            <w:rPr>
              <w:rFonts w:ascii="Times New Roman" w:hAnsi="Times New Roman"/>
              <w:sz w:val="24"/>
              <w:szCs w:val="24"/>
              <w:highlight w:val="yellow"/>
            </w:rPr>
          </w:pPr>
        </w:p>
        <w:p w14:paraId="6700C844" w14:textId="5120763B" w:rsidR="00095664" w:rsidRPr="00931DCE" w:rsidRDefault="00557DF9" w:rsidP="00616954">
          <w:pPr>
            <w:pStyle w:val="Ttulo1"/>
            <w:rPr>
              <w:rFonts w:cs="Times New Roman"/>
            </w:rPr>
          </w:pPr>
          <w:bookmarkStart w:id="113" w:name="_Toc159952437"/>
          <w:r w:rsidRPr="00931DCE">
            <w:rPr>
              <w:rFonts w:cs="Times New Roman"/>
            </w:rPr>
            <w:lastRenderedPageBreak/>
            <w:t xml:space="preserve">NOTA </w:t>
          </w:r>
          <w:r w:rsidR="00610ED2" w:rsidRPr="00931DCE">
            <w:rPr>
              <w:rFonts w:cs="Times New Roman"/>
            </w:rPr>
            <w:t>2</w:t>
          </w:r>
          <w:r w:rsidR="00C24DF5" w:rsidRPr="00931DCE">
            <w:rPr>
              <w:rFonts w:cs="Times New Roman"/>
            </w:rPr>
            <w:t>9</w:t>
          </w:r>
          <w:r w:rsidRPr="00931DCE">
            <w:rPr>
              <w:rFonts w:cs="Times New Roman"/>
            </w:rPr>
            <w:t>. GASTOS</w:t>
          </w:r>
          <w:bookmarkEnd w:id="113"/>
        </w:p>
        <w:p w14:paraId="05ECD111" w14:textId="77777777" w:rsidR="00D04DF7" w:rsidRPr="00931DCE" w:rsidRDefault="00D04DF7" w:rsidP="00616954">
          <w:pPr>
            <w:spacing w:after="0" w:line="240" w:lineRule="auto"/>
            <w:jc w:val="both"/>
            <w:rPr>
              <w:rFonts w:ascii="Times New Roman" w:hAnsi="Times New Roman"/>
              <w:b/>
              <w:sz w:val="18"/>
              <w:szCs w:val="18"/>
            </w:rPr>
          </w:pPr>
        </w:p>
        <w:p w14:paraId="0DA04D81" w14:textId="72569A5D" w:rsidR="00D04DF7" w:rsidRPr="00931DCE" w:rsidRDefault="00D04DF7" w:rsidP="00616954">
          <w:pPr>
            <w:pStyle w:val="Ttulo2"/>
            <w:numPr>
              <w:ilvl w:val="0"/>
              <w:numId w:val="0"/>
            </w:numPr>
            <w:spacing w:line="240" w:lineRule="auto"/>
            <w:rPr>
              <w:rFonts w:cs="Times New Roman"/>
            </w:rPr>
          </w:pPr>
          <w:bookmarkStart w:id="114" w:name="_Toc159952438"/>
          <w:r w:rsidRPr="00931DCE">
            <w:rPr>
              <w:rFonts w:cs="Times New Roman"/>
            </w:rPr>
            <w:t>Composición</w:t>
          </w:r>
          <w:bookmarkEnd w:id="114"/>
        </w:p>
        <w:p w14:paraId="75C486AB" w14:textId="6879D979" w:rsidR="003A4D8E" w:rsidRPr="00931DCE" w:rsidRDefault="64C58135" w:rsidP="0E4E29E4">
          <w:pPr>
            <w:spacing w:line="254" w:lineRule="auto"/>
            <w:ind w:left="-20" w:right="-20"/>
            <w:jc w:val="both"/>
          </w:pPr>
          <w:r w:rsidRPr="0E4E29E4">
            <w:rPr>
              <w:rFonts w:ascii="Times New Roman" w:eastAsia="Times New Roman" w:hAnsi="Times New Roman"/>
              <w:sz w:val="24"/>
              <w:szCs w:val="24"/>
            </w:rPr>
            <w:t xml:space="preserve"> </w:t>
          </w:r>
        </w:p>
        <w:tbl>
          <w:tblPr>
            <w:tblW w:w="8970" w:type="dxa"/>
            <w:tblLayout w:type="fixed"/>
            <w:tblLook w:val="04A0" w:firstRow="1" w:lastRow="0" w:firstColumn="1" w:lastColumn="0" w:noHBand="0" w:noVBand="1"/>
          </w:tblPr>
          <w:tblGrid>
            <w:gridCol w:w="1124"/>
            <w:gridCol w:w="567"/>
            <w:gridCol w:w="2845"/>
            <w:gridCol w:w="1517"/>
            <w:gridCol w:w="1415"/>
            <w:gridCol w:w="1502"/>
          </w:tblGrid>
          <w:tr w:rsidR="0E4E29E4" w:rsidRPr="00163F6A" w14:paraId="60928357" w14:textId="77777777" w:rsidTr="00CB0DCA">
            <w:trPr>
              <w:trHeight w:val="300"/>
            </w:trPr>
            <w:tc>
              <w:tcPr>
                <w:tcW w:w="4536" w:type="dxa"/>
                <w:gridSpan w:val="3"/>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480E26D8" w14:textId="6376514F" w:rsidR="0E4E29E4" w:rsidRPr="00163F6A" w:rsidRDefault="0E4E29E4" w:rsidP="0E4E29E4">
                <w:pPr>
                  <w:spacing w:after="0"/>
                  <w:ind w:left="-20" w:right="-20"/>
                  <w:jc w:val="center"/>
                  <w:rPr>
                    <w:sz w:val="16"/>
                    <w:szCs w:val="16"/>
                  </w:rPr>
                </w:pPr>
                <w:r w:rsidRPr="00163F6A">
                  <w:rPr>
                    <w:rFonts w:ascii="Times New Roman" w:eastAsia="Times New Roman" w:hAnsi="Times New Roman"/>
                    <w:b/>
                    <w:bCs/>
                    <w:sz w:val="16"/>
                    <w:szCs w:val="16"/>
                  </w:rPr>
                  <w:t>DESCRIPCIÓN</w:t>
                </w:r>
              </w:p>
            </w:tc>
            <w:tc>
              <w:tcPr>
                <w:tcW w:w="2932" w:type="dxa"/>
                <w:gridSpan w:val="2"/>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Mar>
                  <w:left w:w="70" w:type="dxa"/>
                  <w:right w:w="70" w:type="dxa"/>
                </w:tcMar>
                <w:vAlign w:val="center"/>
              </w:tcPr>
              <w:p w14:paraId="326E1C3E" w14:textId="73F224EC" w:rsidR="0E4E29E4" w:rsidRPr="00163F6A" w:rsidRDefault="0E4E29E4" w:rsidP="0E4E29E4">
                <w:pPr>
                  <w:spacing w:after="0"/>
                  <w:ind w:left="-20" w:right="-20"/>
                  <w:jc w:val="center"/>
                  <w:rPr>
                    <w:sz w:val="16"/>
                    <w:szCs w:val="16"/>
                  </w:rPr>
                </w:pPr>
                <w:r w:rsidRPr="00163F6A">
                  <w:rPr>
                    <w:rFonts w:ascii="Times New Roman" w:eastAsia="Times New Roman" w:hAnsi="Times New Roman"/>
                    <w:b/>
                    <w:bCs/>
                    <w:sz w:val="16"/>
                    <w:szCs w:val="16"/>
                  </w:rPr>
                  <w:t>SALDOS A CORTES DE VIGENCIA</w:t>
                </w:r>
              </w:p>
            </w:tc>
            <w:tc>
              <w:tcPr>
                <w:tcW w:w="1502" w:type="dxa"/>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Mar>
                  <w:left w:w="70" w:type="dxa"/>
                  <w:right w:w="70" w:type="dxa"/>
                </w:tcMar>
                <w:vAlign w:val="center"/>
              </w:tcPr>
              <w:p w14:paraId="491244BC" w14:textId="32925E6E" w:rsidR="0E4E29E4" w:rsidRPr="00163F6A" w:rsidRDefault="0E4E29E4" w:rsidP="0E4E29E4">
                <w:pPr>
                  <w:spacing w:after="0"/>
                  <w:ind w:left="-20" w:right="-20"/>
                  <w:jc w:val="center"/>
                  <w:rPr>
                    <w:sz w:val="16"/>
                    <w:szCs w:val="16"/>
                  </w:rPr>
                </w:pPr>
                <w:r w:rsidRPr="00163F6A">
                  <w:rPr>
                    <w:rFonts w:ascii="Times New Roman" w:eastAsia="Times New Roman" w:hAnsi="Times New Roman"/>
                    <w:b/>
                    <w:bCs/>
                    <w:sz w:val="16"/>
                    <w:szCs w:val="16"/>
                  </w:rPr>
                  <w:t>VARIACIÓN</w:t>
                </w:r>
              </w:p>
            </w:tc>
          </w:tr>
          <w:tr w:rsidR="0E4E29E4" w:rsidRPr="00163F6A" w14:paraId="69FC72C2" w14:textId="77777777" w:rsidTr="00C942B1">
            <w:trPr>
              <w:trHeight w:val="421"/>
            </w:trPr>
            <w:tc>
              <w:tcPr>
                <w:tcW w:w="112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2E2390D7" w14:textId="10A3E71B" w:rsidR="0E4E29E4" w:rsidRPr="00163F6A" w:rsidRDefault="0E4E29E4" w:rsidP="0E4E29E4">
                <w:pPr>
                  <w:spacing w:after="0"/>
                  <w:ind w:left="-20" w:right="-20"/>
                  <w:jc w:val="center"/>
                  <w:rPr>
                    <w:sz w:val="16"/>
                    <w:szCs w:val="16"/>
                  </w:rPr>
                </w:pPr>
                <w:r w:rsidRPr="00163F6A">
                  <w:rPr>
                    <w:rFonts w:ascii="Times New Roman" w:eastAsia="Times New Roman" w:hAnsi="Times New Roman"/>
                    <w:b/>
                    <w:bCs/>
                    <w:sz w:val="16"/>
                    <w:szCs w:val="16"/>
                  </w:rPr>
                  <w:t>CÓDIGO CONTABLE</w:t>
                </w:r>
              </w:p>
            </w:tc>
            <w:tc>
              <w:tcPr>
                <w:tcW w:w="567"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1923F535" w14:textId="43D2CC8A" w:rsidR="0E4E29E4" w:rsidRPr="00163F6A" w:rsidRDefault="0E4E29E4" w:rsidP="0E4E29E4">
                <w:pPr>
                  <w:spacing w:after="0"/>
                  <w:ind w:left="-20" w:right="-20"/>
                  <w:jc w:val="center"/>
                  <w:rPr>
                    <w:sz w:val="16"/>
                    <w:szCs w:val="16"/>
                  </w:rPr>
                </w:pPr>
                <w:r w:rsidRPr="00163F6A">
                  <w:rPr>
                    <w:rFonts w:ascii="Times New Roman" w:eastAsia="Times New Roman" w:hAnsi="Times New Roman"/>
                    <w:b/>
                    <w:bCs/>
                    <w:sz w:val="16"/>
                    <w:szCs w:val="16"/>
                  </w:rPr>
                  <w:t>NAT</w:t>
                </w:r>
              </w:p>
            </w:tc>
            <w:tc>
              <w:tcPr>
                <w:tcW w:w="2845"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6FED1249" w14:textId="24F546FD" w:rsidR="0E4E29E4" w:rsidRPr="00163F6A" w:rsidRDefault="0E4E29E4" w:rsidP="0E4E29E4">
                <w:pPr>
                  <w:spacing w:after="0"/>
                  <w:ind w:left="-20" w:right="-20"/>
                  <w:jc w:val="center"/>
                  <w:rPr>
                    <w:sz w:val="16"/>
                    <w:szCs w:val="16"/>
                  </w:rPr>
                </w:pPr>
                <w:r w:rsidRPr="00163F6A">
                  <w:rPr>
                    <w:rFonts w:ascii="Times New Roman" w:eastAsia="Times New Roman" w:hAnsi="Times New Roman"/>
                    <w:b/>
                    <w:bCs/>
                    <w:sz w:val="16"/>
                    <w:szCs w:val="16"/>
                  </w:rPr>
                  <w:t>CONCEPTO</w:t>
                </w:r>
              </w:p>
            </w:tc>
            <w:tc>
              <w:tcPr>
                <w:tcW w:w="151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13A58242" w14:textId="5C1ECF1D" w:rsidR="0E4E29E4" w:rsidRPr="00163F6A" w:rsidRDefault="0E4E29E4" w:rsidP="0E4E29E4">
                <w:pPr>
                  <w:spacing w:after="0"/>
                  <w:ind w:left="-20" w:right="-20"/>
                  <w:jc w:val="center"/>
                  <w:rPr>
                    <w:sz w:val="16"/>
                    <w:szCs w:val="16"/>
                  </w:rPr>
                </w:pPr>
                <w:r w:rsidRPr="00163F6A">
                  <w:rPr>
                    <w:rFonts w:ascii="Times New Roman" w:eastAsia="Times New Roman" w:hAnsi="Times New Roman"/>
                    <w:b/>
                    <w:bCs/>
                    <w:sz w:val="16"/>
                    <w:szCs w:val="16"/>
                  </w:rPr>
                  <w:t xml:space="preserve">2023 </w:t>
                </w:r>
              </w:p>
            </w:tc>
            <w:tc>
              <w:tcPr>
                <w:tcW w:w="1415"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49E364BE" w14:textId="537D82CD" w:rsidR="0E4E29E4" w:rsidRPr="00163F6A" w:rsidRDefault="0E4E29E4" w:rsidP="0E4E29E4">
                <w:pPr>
                  <w:spacing w:after="0"/>
                  <w:ind w:left="-20" w:right="-20"/>
                  <w:jc w:val="center"/>
                  <w:rPr>
                    <w:sz w:val="16"/>
                    <w:szCs w:val="16"/>
                  </w:rPr>
                </w:pPr>
                <w:r w:rsidRPr="00163F6A">
                  <w:rPr>
                    <w:rFonts w:ascii="Times New Roman" w:eastAsia="Times New Roman" w:hAnsi="Times New Roman"/>
                    <w:b/>
                    <w:bCs/>
                    <w:sz w:val="16"/>
                    <w:szCs w:val="16"/>
                  </w:rPr>
                  <w:t xml:space="preserve">2022 </w:t>
                </w:r>
              </w:p>
            </w:tc>
            <w:tc>
              <w:tcPr>
                <w:tcW w:w="150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619E6ECC" w14:textId="55131BA1" w:rsidR="0E4E29E4" w:rsidRPr="00163F6A" w:rsidRDefault="0E4E29E4" w:rsidP="0E4E29E4">
                <w:pPr>
                  <w:spacing w:after="0"/>
                  <w:ind w:left="-20" w:right="-20"/>
                  <w:jc w:val="center"/>
                  <w:rPr>
                    <w:sz w:val="16"/>
                    <w:szCs w:val="16"/>
                  </w:rPr>
                </w:pPr>
                <w:r w:rsidRPr="00163F6A">
                  <w:rPr>
                    <w:rFonts w:ascii="Times New Roman" w:eastAsia="Times New Roman" w:hAnsi="Times New Roman"/>
                    <w:b/>
                    <w:bCs/>
                    <w:sz w:val="16"/>
                    <w:szCs w:val="16"/>
                  </w:rPr>
                  <w:t>VALOR VARIACIÓN</w:t>
                </w:r>
              </w:p>
            </w:tc>
          </w:tr>
          <w:tr w:rsidR="0E4E29E4" w:rsidRPr="00163F6A" w14:paraId="03A87816" w14:textId="77777777" w:rsidTr="00CB0DCA">
            <w:trPr>
              <w:trHeight w:val="285"/>
            </w:trPr>
            <w:tc>
              <w:tcPr>
                <w:tcW w:w="112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5AA968F2" w14:textId="6C9D46E6" w:rsidR="0E4E29E4" w:rsidRPr="00163F6A" w:rsidRDefault="0E4E29E4" w:rsidP="0E4E29E4">
                <w:pPr>
                  <w:spacing w:after="0"/>
                  <w:ind w:left="-20" w:right="-20"/>
                  <w:rPr>
                    <w:sz w:val="16"/>
                    <w:szCs w:val="16"/>
                  </w:rPr>
                </w:pPr>
                <w:r w:rsidRPr="00163F6A">
                  <w:rPr>
                    <w:rFonts w:ascii="Times New Roman" w:eastAsia="Times New Roman" w:hAnsi="Times New Roman"/>
                    <w:b/>
                    <w:bCs/>
                    <w:sz w:val="16"/>
                    <w:szCs w:val="16"/>
                  </w:rPr>
                  <w:t xml:space="preserve"> </w:t>
                </w:r>
              </w:p>
            </w:tc>
            <w:tc>
              <w:tcPr>
                <w:tcW w:w="567"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7FA880C3" w14:textId="6F1A07A1" w:rsidR="0E4E29E4" w:rsidRPr="00163F6A" w:rsidRDefault="0E4E29E4" w:rsidP="0E4E29E4">
                <w:pPr>
                  <w:spacing w:after="0"/>
                  <w:ind w:left="-20" w:right="-20"/>
                  <w:jc w:val="center"/>
                  <w:rPr>
                    <w:sz w:val="16"/>
                    <w:szCs w:val="16"/>
                  </w:rPr>
                </w:pPr>
                <w:r w:rsidRPr="00163F6A">
                  <w:rPr>
                    <w:rFonts w:ascii="Times New Roman" w:eastAsia="Times New Roman" w:hAnsi="Times New Roman"/>
                    <w:b/>
                    <w:bCs/>
                    <w:sz w:val="16"/>
                    <w:szCs w:val="16"/>
                  </w:rPr>
                  <w:t>Db</w:t>
                </w:r>
              </w:p>
            </w:tc>
            <w:tc>
              <w:tcPr>
                <w:tcW w:w="2845"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6A9B0233" w14:textId="74D59DEA" w:rsidR="0E4E29E4" w:rsidRPr="00163F6A" w:rsidRDefault="0E4E29E4" w:rsidP="0E4E29E4">
                <w:pPr>
                  <w:spacing w:after="0"/>
                  <w:ind w:left="-20" w:right="-20"/>
                  <w:jc w:val="center"/>
                  <w:rPr>
                    <w:sz w:val="16"/>
                    <w:szCs w:val="16"/>
                  </w:rPr>
                </w:pPr>
                <w:r w:rsidRPr="00163F6A">
                  <w:rPr>
                    <w:rFonts w:ascii="Times New Roman" w:eastAsia="Times New Roman" w:hAnsi="Times New Roman"/>
                    <w:b/>
                    <w:bCs/>
                    <w:sz w:val="16"/>
                    <w:szCs w:val="16"/>
                  </w:rPr>
                  <w:t>GASTOS</w:t>
                </w:r>
              </w:p>
            </w:tc>
            <w:tc>
              <w:tcPr>
                <w:tcW w:w="151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17EC67A" w14:textId="67505751" w:rsidR="0E4E29E4" w:rsidRPr="00163F6A" w:rsidRDefault="0E4E29E4" w:rsidP="0E4E29E4">
                <w:pPr>
                  <w:spacing w:after="0"/>
                  <w:ind w:left="-20" w:right="-20"/>
                  <w:jc w:val="right"/>
                  <w:rPr>
                    <w:sz w:val="16"/>
                    <w:szCs w:val="16"/>
                  </w:rPr>
                </w:pPr>
                <w:r w:rsidRPr="00163F6A">
                  <w:rPr>
                    <w:rFonts w:ascii="Times New Roman" w:eastAsia="Times New Roman" w:hAnsi="Times New Roman"/>
                    <w:b/>
                    <w:bCs/>
                    <w:sz w:val="16"/>
                    <w:szCs w:val="16"/>
                  </w:rPr>
                  <w:t>9.051.787.488.084</w:t>
                </w:r>
              </w:p>
            </w:tc>
            <w:tc>
              <w:tcPr>
                <w:tcW w:w="141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6F78E162" w14:textId="0FBB5725" w:rsidR="0E4E29E4" w:rsidRPr="00163F6A" w:rsidRDefault="0E4E29E4" w:rsidP="0E4E29E4">
                <w:pPr>
                  <w:spacing w:after="0"/>
                  <w:ind w:left="-20" w:right="-20"/>
                  <w:jc w:val="right"/>
                  <w:rPr>
                    <w:sz w:val="16"/>
                    <w:szCs w:val="16"/>
                  </w:rPr>
                </w:pPr>
                <w:r w:rsidRPr="00163F6A">
                  <w:rPr>
                    <w:rFonts w:ascii="Times New Roman" w:eastAsia="Times New Roman" w:hAnsi="Times New Roman"/>
                    <w:b/>
                    <w:bCs/>
                    <w:sz w:val="16"/>
                    <w:szCs w:val="16"/>
                  </w:rPr>
                  <w:t>5.506.924.978.51</w:t>
                </w:r>
                <w:r w:rsidR="00AC00EC">
                  <w:rPr>
                    <w:rFonts w:ascii="Times New Roman" w:eastAsia="Times New Roman" w:hAnsi="Times New Roman"/>
                    <w:b/>
                    <w:bCs/>
                    <w:sz w:val="16"/>
                    <w:szCs w:val="16"/>
                  </w:rPr>
                  <w:t>7</w:t>
                </w:r>
              </w:p>
            </w:tc>
            <w:tc>
              <w:tcPr>
                <w:tcW w:w="150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3BAAB78" w14:textId="3856DE0B" w:rsidR="0E4E29E4" w:rsidRPr="00163F6A" w:rsidRDefault="0E4E29E4" w:rsidP="0E4E29E4">
                <w:pPr>
                  <w:spacing w:after="0"/>
                  <w:ind w:left="-20" w:right="-20"/>
                  <w:jc w:val="right"/>
                  <w:rPr>
                    <w:sz w:val="16"/>
                    <w:szCs w:val="16"/>
                  </w:rPr>
                </w:pPr>
                <w:r w:rsidRPr="00163F6A">
                  <w:rPr>
                    <w:rFonts w:ascii="Times New Roman" w:eastAsia="Times New Roman" w:hAnsi="Times New Roman"/>
                    <w:b/>
                    <w:bCs/>
                    <w:sz w:val="16"/>
                    <w:szCs w:val="16"/>
                  </w:rPr>
                  <w:t>3.544.862.509.56</w:t>
                </w:r>
                <w:r w:rsidR="00AC00EC">
                  <w:rPr>
                    <w:rFonts w:ascii="Times New Roman" w:eastAsia="Times New Roman" w:hAnsi="Times New Roman"/>
                    <w:b/>
                    <w:bCs/>
                    <w:sz w:val="16"/>
                    <w:szCs w:val="16"/>
                  </w:rPr>
                  <w:t>7</w:t>
                </w:r>
              </w:p>
            </w:tc>
          </w:tr>
          <w:tr w:rsidR="0E4E29E4" w:rsidRPr="00163F6A" w14:paraId="699ACE07" w14:textId="77777777" w:rsidTr="00CB0DCA">
            <w:trPr>
              <w:trHeight w:val="300"/>
            </w:trPr>
            <w:tc>
              <w:tcPr>
                <w:tcW w:w="112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18459CAC" w14:textId="2E7DAF33" w:rsidR="0E4E29E4" w:rsidRPr="00163F6A" w:rsidRDefault="0E4E29E4" w:rsidP="0E4E29E4">
                <w:pPr>
                  <w:spacing w:after="0"/>
                  <w:ind w:left="-20" w:right="-20"/>
                  <w:rPr>
                    <w:sz w:val="16"/>
                    <w:szCs w:val="16"/>
                  </w:rPr>
                </w:pPr>
                <w:r w:rsidRPr="00163F6A">
                  <w:rPr>
                    <w:rFonts w:ascii="Times New Roman" w:eastAsia="Times New Roman" w:hAnsi="Times New Roman"/>
                    <w:sz w:val="16"/>
                    <w:szCs w:val="16"/>
                  </w:rPr>
                  <w:t>5.1</w:t>
                </w:r>
              </w:p>
            </w:tc>
            <w:tc>
              <w:tcPr>
                <w:tcW w:w="567"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257DBBD5" w14:textId="22BEDC6D" w:rsidR="0E4E29E4" w:rsidRPr="00163F6A" w:rsidRDefault="0E4E29E4" w:rsidP="0E4E29E4">
                <w:pPr>
                  <w:spacing w:after="0"/>
                  <w:ind w:left="-20" w:right="-20"/>
                  <w:jc w:val="center"/>
                  <w:rPr>
                    <w:sz w:val="16"/>
                    <w:szCs w:val="16"/>
                  </w:rPr>
                </w:pPr>
                <w:r w:rsidRPr="00163F6A">
                  <w:rPr>
                    <w:rFonts w:ascii="Times New Roman" w:eastAsia="Times New Roman" w:hAnsi="Times New Roman"/>
                    <w:sz w:val="16"/>
                    <w:szCs w:val="16"/>
                  </w:rPr>
                  <w:t>Db</w:t>
                </w:r>
              </w:p>
            </w:tc>
            <w:tc>
              <w:tcPr>
                <w:tcW w:w="2845"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48DE3C64" w14:textId="128C6BD6" w:rsidR="0E4E29E4" w:rsidRPr="00163F6A" w:rsidRDefault="0E4E29E4" w:rsidP="0E4E29E4">
                <w:pPr>
                  <w:spacing w:after="0"/>
                  <w:ind w:left="-20" w:right="-20"/>
                  <w:rPr>
                    <w:sz w:val="16"/>
                    <w:szCs w:val="16"/>
                  </w:rPr>
                </w:pPr>
                <w:r w:rsidRPr="00163F6A">
                  <w:rPr>
                    <w:rFonts w:ascii="Times New Roman" w:eastAsia="Times New Roman" w:hAnsi="Times New Roman"/>
                    <w:sz w:val="16"/>
                    <w:szCs w:val="16"/>
                  </w:rPr>
                  <w:t>De administración y operación (4)</w:t>
                </w:r>
              </w:p>
            </w:tc>
            <w:tc>
              <w:tcPr>
                <w:tcW w:w="151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4F21456B" w14:textId="54E5914E" w:rsidR="0E4E29E4" w:rsidRPr="00163F6A" w:rsidRDefault="0E4E29E4" w:rsidP="0E4E29E4">
                <w:pPr>
                  <w:spacing w:after="0"/>
                  <w:ind w:left="-20" w:right="-20"/>
                  <w:jc w:val="right"/>
                  <w:rPr>
                    <w:sz w:val="16"/>
                    <w:szCs w:val="16"/>
                  </w:rPr>
                </w:pPr>
                <w:r w:rsidRPr="00163F6A">
                  <w:rPr>
                    <w:rFonts w:ascii="Times New Roman" w:eastAsia="Times New Roman" w:hAnsi="Times New Roman"/>
                    <w:sz w:val="16"/>
                    <w:szCs w:val="16"/>
                  </w:rPr>
                  <w:t>745.202.779.301</w:t>
                </w:r>
              </w:p>
            </w:tc>
            <w:tc>
              <w:tcPr>
                <w:tcW w:w="141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3F98941" w14:textId="367FBC1C" w:rsidR="0E4E29E4" w:rsidRPr="00163F6A" w:rsidRDefault="0E4E29E4" w:rsidP="0E4E29E4">
                <w:pPr>
                  <w:spacing w:after="0"/>
                  <w:ind w:left="-20" w:right="-20"/>
                  <w:jc w:val="right"/>
                  <w:rPr>
                    <w:sz w:val="16"/>
                    <w:szCs w:val="16"/>
                  </w:rPr>
                </w:pPr>
                <w:r w:rsidRPr="00163F6A">
                  <w:rPr>
                    <w:rFonts w:ascii="Times New Roman" w:eastAsia="Times New Roman" w:hAnsi="Times New Roman"/>
                    <w:sz w:val="16"/>
                    <w:szCs w:val="16"/>
                  </w:rPr>
                  <w:t>648.062.253.041</w:t>
                </w:r>
              </w:p>
            </w:tc>
            <w:tc>
              <w:tcPr>
                <w:tcW w:w="150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EE20EA9" w14:textId="155D6F32" w:rsidR="0E4E29E4" w:rsidRPr="00163F6A" w:rsidRDefault="0E4E29E4" w:rsidP="0E4E29E4">
                <w:pPr>
                  <w:spacing w:after="0"/>
                  <w:ind w:left="-20" w:right="-20"/>
                  <w:jc w:val="right"/>
                  <w:rPr>
                    <w:sz w:val="16"/>
                    <w:szCs w:val="16"/>
                  </w:rPr>
                </w:pPr>
                <w:r w:rsidRPr="00163F6A">
                  <w:rPr>
                    <w:rFonts w:ascii="Times New Roman" w:eastAsia="Times New Roman" w:hAnsi="Times New Roman"/>
                    <w:sz w:val="16"/>
                    <w:szCs w:val="16"/>
                  </w:rPr>
                  <w:t>97.140.526.260</w:t>
                </w:r>
              </w:p>
            </w:tc>
          </w:tr>
          <w:tr w:rsidR="0E4E29E4" w:rsidRPr="00163F6A" w14:paraId="4FBC624B" w14:textId="77777777" w:rsidTr="00CB0DCA">
            <w:trPr>
              <w:trHeight w:val="600"/>
            </w:trPr>
            <w:tc>
              <w:tcPr>
                <w:tcW w:w="112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1F182A9E" w14:textId="1400DB7D" w:rsidR="0E4E29E4" w:rsidRPr="00163F6A" w:rsidRDefault="0E4E29E4" w:rsidP="0E4E29E4">
                <w:pPr>
                  <w:spacing w:after="0"/>
                  <w:ind w:left="-20" w:right="-20"/>
                  <w:rPr>
                    <w:sz w:val="16"/>
                    <w:szCs w:val="16"/>
                  </w:rPr>
                </w:pPr>
                <w:r w:rsidRPr="00163F6A">
                  <w:rPr>
                    <w:rFonts w:ascii="Times New Roman" w:eastAsia="Times New Roman" w:hAnsi="Times New Roman"/>
                    <w:sz w:val="16"/>
                    <w:szCs w:val="16"/>
                  </w:rPr>
                  <w:t>5.3</w:t>
                </w:r>
              </w:p>
            </w:tc>
            <w:tc>
              <w:tcPr>
                <w:tcW w:w="567"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0E05C0E0" w14:textId="3E150B6E" w:rsidR="0E4E29E4" w:rsidRPr="00163F6A" w:rsidRDefault="0E4E29E4" w:rsidP="0E4E29E4">
                <w:pPr>
                  <w:spacing w:after="0"/>
                  <w:ind w:left="-20" w:right="-20"/>
                  <w:jc w:val="center"/>
                  <w:rPr>
                    <w:sz w:val="16"/>
                    <w:szCs w:val="16"/>
                  </w:rPr>
                </w:pPr>
                <w:r w:rsidRPr="00163F6A">
                  <w:rPr>
                    <w:rFonts w:ascii="Times New Roman" w:eastAsia="Times New Roman" w:hAnsi="Times New Roman"/>
                    <w:sz w:val="16"/>
                    <w:szCs w:val="16"/>
                  </w:rPr>
                  <w:t>Db</w:t>
                </w:r>
              </w:p>
            </w:tc>
            <w:tc>
              <w:tcPr>
                <w:tcW w:w="2845"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3BE11ABC" w14:textId="771386B3" w:rsidR="0E4E29E4" w:rsidRPr="00163F6A" w:rsidRDefault="0E4E29E4" w:rsidP="0E4E29E4">
                <w:pPr>
                  <w:spacing w:after="0"/>
                  <w:ind w:left="-20" w:right="-20"/>
                  <w:rPr>
                    <w:sz w:val="16"/>
                    <w:szCs w:val="16"/>
                  </w:rPr>
                </w:pPr>
                <w:r w:rsidRPr="00163F6A">
                  <w:rPr>
                    <w:rFonts w:ascii="Times New Roman" w:eastAsia="Times New Roman" w:hAnsi="Times New Roman"/>
                    <w:sz w:val="16"/>
                    <w:szCs w:val="16"/>
                  </w:rPr>
                  <w:t>Deterioro, depreciaciones, amortizaciones y provisiones (2)</w:t>
                </w:r>
              </w:p>
            </w:tc>
            <w:tc>
              <w:tcPr>
                <w:tcW w:w="151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428C87BA" w14:textId="706D3EBF" w:rsidR="0E4E29E4" w:rsidRPr="00163F6A" w:rsidRDefault="0E4E29E4" w:rsidP="0E4E29E4">
                <w:pPr>
                  <w:spacing w:after="0"/>
                  <w:ind w:left="-20" w:right="-20"/>
                  <w:jc w:val="right"/>
                  <w:rPr>
                    <w:sz w:val="16"/>
                    <w:szCs w:val="16"/>
                  </w:rPr>
                </w:pPr>
                <w:r w:rsidRPr="00163F6A">
                  <w:rPr>
                    <w:rFonts w:ascii="Times New Roman" w:eastAsia="Times New Roman" w:hAnsi="Times New Roman"/>
                    <w:sz w:val="16"/>
                    <w:szCs w:val="16"/>
                  </w:rPr>
                  <w:t>2.251.292.305.788</w:t>
                </w:r>
              </w:p>
            </w:tc>
            <w:tc>
              <w:tcPr>
                <w:tcW w:w="141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7EC8E335" w14:textId="3A25F843" w:rsidR="0E4E29E4" w:rsidRPr="00163F6A" w:rsidRDefault="0E4E29E4" w:rsidP="0E4E29E4">
                <w:pPr>
                  <w:spacing w:after="0"/>
                  <w:ind w:left="-20" w:right="-20"/>
                  <w:jc w:val="right"/>
                  <w:rPr>
                    <w:sz w:val="16"/>
                    <w:szCs w:val="16"/>
                  </w:rPr>
                </w:pPr>
                <w:r w:rsidRPr="00163F6A">
                  <w:rPr>
                    <w:rFonts w:ascii="Times New Roman" w:eastAsia="Times New Roman" w:hAnsi="Times New Roman"/>
                    <w:sz w:val="16"/>
                    <w:szCs w:val="16"/>
                  </w:rPr>
                  <w:t>856.969.681.04</w:t>
                </w:r>
                <w:r w:rsidR="00AC00EC">
                  <w:rPr>
                    <w:rFonts w:ascii="Times New Roman" w:eastAsia="Times New Roman" w:hAnsi="Times New Roman"/>
                    <w:sz w:val="16"/>
                    <w:szCs w:val="16"/>
                  </w:rPr>
                  <w:t>4</w:t>
                </w:r>
              </w:p>
            </w:tc>
            <w:tc>
              <w:tcPr>
                <w:tcW w:w="150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B2DCB19" w14:textId="16541531" w:rsidR="0E4E29E4" w:rsidRPr="00163F6A" w:rsidRDefault="0E4E29E4" w:rsidP="0E4E29E4">
                <w:pPr>
                  <w:spacing w:after="0"/>
                  <w:ind w:left="-20" w:right="-20"/>
                  <w:jc w:val="right"/>
                  <w:rPr>
                    <w:sz w:val="16"/>
                    <w:szCs w:val="16"/>
                  </w:rPr>
                </w:pPr>
                <w:r w:rsidRPr="00163F6A">
                  <w:rPr>
                    <w:rFonts w:ascii="Times New Roman" w:eastAsia="Times New Roman" w:hAnsi="Times New Roman"/>
                    <w:sz w:val="16"/>
                    <w:szCs w:val="16"/>
                  </w:rPr>
                  <w:t>1.394.322.624.74</w:t>
                </w:r>
                <w:r w:rsidR="00AC00EC">
                  <w:rPr>
                    <w:rFonts w:ascii="Times New Roman" w:eastAsia="Times New Roman" w:hAnsi="Times New Roman"/>
                    <w:sz w:val="16"/>
                    <w:szCs w:val="16"/>
                  </w:rPr>
                  <w:t>4</w:t>
                </w:r>
              </w:p>
            </w:tc>
          </w:tr>
          <w:tr w:rsidR="0E4E29E4" w:rsidRPr="00163F6A" w14:paraId="4781A5A2" w14:textId="77777777" w:rsidTr="00CB0DCA">
            <w:trPr>
              <w:trHeight w:val="300"/>
            </w:trPr>
            <w:tc>
              <w:tcPr>
                <w:tcW w:w="112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24359676" w14:textId="3D3D54EA" w:rsidR="0E4E29E4" w:rsidRPr="00163F6A" w:rsidRDefault="0E4E29E4" w:rsidP="0E4E29E4">
                <w:pPr>
                  <w:spacing w:after="0"/>
                  <w:ind w:left="-20" w:right="-20"/>
                  <w:rPr>
                    <w:sz w:val="16"/>
                    <w:szCs w:val="16"/>
                  </w:rPr>
                </w:pPr>
                <w:r w:rsidRPr="00163F6A">
                  <w:rPr>
                    <w:rFonts w:ascii="Times New Roman" w:eastAsia="Times New Roman" w:hAnsi="Times New Roman"/>
                    <w:sz w:val="16"/>
                    <w:szCs w:val="16"/>
                  </w:rPr>
                  <w:t>5.4</w:t>
                </w:r>
              </w:p>
            </w:tc>
            <w:tc>
              <w:tcPr>
                <w:tcW w:w="567"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12393A91" w14:textId="650E0541" w:rsidR="0E4E29E4" w:rsidRPr="00163F6A" w:rsidRDefault="0E4E29E4" w:rsidP="0E4E29E4">
                <w:pPr>
                  <w:spacing w:after="0"/>
                  <w:ind w:left="-20" w:right="-20"/>
                  <w:jc w:val="center"/>
                  <w:rPr>
                    <w:sz w:val="16"/>
                    <w:szCs w:val="16"/>
                  </w:rPr>
                </w:pPr>
                <w:r w:rsidRPr="00163F6A">
                  <w:rPr>
                    <w:rFonts w:ascii="Times New Roman" w:eastAsia="Times New Roman" w:hAnsi="Times New Roman"/>
                    <w:sz w:val="16"/>
                    <w:szCs w:val="16"/>
                  </w:rPr>
                  <w:t>Db</w:t>
                </w:r>
              </w:p>
            </w:tc>
            <w:tc>
              <w:tcPr>
                <w:tcW w:w="2845"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574E3A2E" w14:textId="7D72FA76" w:rsidR="0E4E29E4" w:rsidRPr="00163F6A" w:rsidRDefault="0E4E29E4" w:rsidP="0E4E29E4">
                <w:pPr>
                  <w:spacing w:after="0"/>
                  <w:ind w:left="-20" w:right="-20"/>
                  <w:rPr>
                    <w:sz w:val="16"/>
                    <w:szCs w:val="16"/>
                  </w:rPr>
                </w:pPr>
                <w:r w:rsidRPr="00163F6A">
                  <w:rPr>
                    <w:rFonts w:ascii="Times New Roman" w:eastAsia="Times New Roman" w:hAnsi="Times New Roman"/>
                    <w:sz w:val="16"/>
                    <w:szCs w:val="16"/>
                  </w:rPr>
                  <w:t>Transferencias y subvenciones (5)</w:t>
                </w:r>
              </w:p>
            </w:tc>
            <w:tc>
              <w:tcPr>
                <w:tcW w:w="151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42D5A77B" w14:textId="1EC0CF51" w:rsidR="0E4E29E4" w:rsidRPr="00163F6A" w:rsidRDefault="0E4E29E4" w:rsidP="0E4E29E4">
                <w:pPr>
                  <w:spacing w:after="0"/>
                  <w:ind w:left="-20" w:right="-20"/>
                  <w:jc w:val="right"/>
                  <w:rPr>
                    <w:sz w:val="16"/>
                    <w:szCs w:val="16"/>
                  </w:rPr>
                </w:pPr>
                <w:r w:rsidRPr="00163F6A">
                  <w:rPr>
                    <w:rFonts w:ascii="Times New Roman" w:eastAsia="Times New Roman" w:hAnsi="Times New Roman"/>
                    <w:sz w:val="16"/>
                    <w:szCs w:val="16"/>
                  </w:rPr>
                  <w:t>22.842.316</w:t>
                </w:r>
              </w:p>
            </w:tc>
            <w:tc>
              <w:tcPr>
                <w:tcW w:w="141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082F991" w14:textId="73580108" w:rsidR="0E4E29E4" w:rsidRPr="00163F6A" w:rsidRDefault="0E4E29E4" w:rsidP="0E4E29E4">
                <w:pPr>
                  <w:spacing w:after="0"/>
                  <w:ind w:left="-20" w:right="-20"/>
                  <w:jc w:val="right"/>
                  <w:rPr>
                    <w:sz w:val="16"/>
                    <w:szCs w:val="16"/>
                  </w:rPr>
                </w:pPr>
                <w:r w:rsidRPr="00163F6A">
                  <w:rPr>
                    <w:rFonts w:ascii="Times New Roman" w:eastAsia="Times New Roman" w:hAnsi="Times New Roman"/>
                    <w:sz w:val="16"/>
                    <w:szCs w:val="16"/>
                  </w:rPr>
                  <w:t>9.172.443.257</w:t>
                </w:r>
              </w:p>
            </w:tc>
            <w:tc>
              <w:tcPr>
                <w:tcW w:w="150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F064AAC" w14:textId="0F6F32BE" w:rsidR="0E4E29E4" w:rsidRPr="00163F6A" w:rsidRDefault="0E4E29E4" w:rsidP="0E4E29E4">
                <w:pPr>
                  <w:spacing w:after="0"/>
                  <w:ind w:left="-20" w:right="-20"/>
                  <w:jc w:val="right"/>
                  <w:rPr>
                    <w:sz w:val="16"/>
                    <w:szCs w:val="16"/>
                  </w:rPr>
                </w:pPr>
                <w:r w:rsidRPr="00163F6A">
                  <w:rPr>
                    <w:rFonts w:ascii="Times New Roman" w:eastAsia="Times New Roman" w:hAnsi="Times New Roman"/>
                    <w:sz w:val="16"/>
                    <w:szCs w:val="16"/>
                  </w:rPr>
                  <w:t>-9.149.600.941</w:t>
                </w:r>
              </w:p>
            </w:tc>
          </w:tr>
          <w:tr w:rsidR="0E4E29E4" w:rsidRPr="00163F6A" w14:paraId="5E281FF1" w14:textId="77777777" w:rsidTr="00CB0DCA">
            <w:trPr>
              <w:trHeight w:val="300"/>
            </w:trPr>
            <w:tc>
              <w:tcPr>
                <w:tcW w:w="112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4D5F9C28" w14:textId="554DF03B" w:rsidR="0E4E29E4" w:rsidRPr="00163F6A" w:rsidRDefault="0E4E29E4" w:rsidP="0E4E29E4">
                <w:pPr>
                  <w:spacing w:after="0"/>
                  <w:ind w:left="-20" w:right="-20"/>
                  <w:rPr>
                    <w:sz w:val="16"/>
                    <w:szCs w:val="16"/>
                  </w:rPr>
                </w:pPr>
                <w:r w:rsidRPr="00163F6A">
                  <w:rPr>
                    <w:rFonts w:ascii="Times New Roman" w:eastAsia="Times New Roman" w:hAnsi="Times New Roman"/>
                    <w:sz w:val="16"/>
                    <w:szCs w:val="16"/>
                  </w:rPr>
                  <w:t>5.7</w:t>
                </w:r>
              </w:p>
            </w:tc>
            <w:tc>
              <w:tcPr>
                <w:tcW w:w="567"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5FBB3A0F" w14:textId="79E28B61" w:rsidR="0E4E29E4" w:rsidRPr="00163F6A" w:rsidRDefault="0E4E29E4" w:rsidP="0E4E29E4">
                <w:pPr>
                  <w:spacing w:after="0"/>
                  <w:ind w:left="-20" w:right="-20"/>
                  <w:jc w:val="center"/>
                  <w:rPr>
                    <w:sz w:val="16"/>
                    <w:szCs w:val="16"/>
                  </w:rPr>
                </w:pPr>
                <w:r w:rsidRPr="00163F6A">
                  <w:rPr>
                    <w:rFonts w:ascii="Times New Roman" w:eastAsia="Times New Roman" w:hAnsi="Times New Roman"/>
                    <w:sz w:val="16"/>
                    <w:szCs w:val="16"/>
                  </w:rPr>
                  <w:t>Db</w:t>
                </w:r>
              </w:p>
            </w:tc>
            <w:tc>
              <w:tcPr>
                <w:tcW w:w="2845"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7EC079DF" w14:textId="5983E2CD" w:rsidR="0E4E29E4" w:rsidRPr="00163F6A" w:rsidRDefault="0E4E29E4" w:rsidP="0E4E29E4">
                <w:pPr>
                  <w:spacing w:after="0"/>
                  <w:ind w:left="-20" w:right="-20"/>
                  <w:rPr>
                    <w:sz w:val="16"/>
                    <w:szCs w:val="16"/>
                  </w:rPr>
                </w:pPr>
                <w:r w:rsidRPr="00163F6A">
                  <w:rPr>
                    <w:rFonts w:ascii="Times New Roman" w:eastAsia="Times New Roman" w:hAnsi="Times New Roman"/>
                    <w:sz w:val="16"/>
                    <w:szCs w:val="16"/>
                  </w:rPr>
                  <w:t>Operaciones interinstitucionales (3)</w:t>
                </w:r>
              </w:p>
            </w:tc>
            <w:tc>
              <w:tcPr>
                <w:tcW w:w="151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1C22085E" w14:textId="18D6CC1D" w:rsidR="0E4E29E4" w:rsidRPr="00163F6A" w:rsidRDefault="0E4E29E4" w:rsidP="0E4E29E4">
                <w:pPr>
                  <w:spacing w:after="0"/>
                  <w:ind w:left="-20" w:right="-20"/>
                  <w:jc w:val="right"/>
                  <w:rPr>
                    <w:sz w:val="16"/>
                    <w:szCs w:val="16"/>
                  </w:rPr>
                </w:pPr>
                <w:r w:rsidRPr="00163F6A">
                  <w:rPr>
                    <w:rFonts w:ascii="Times New Roman" w:eastAsia="Times New Roman" w:hAnsi="Times New Roman"/>
                    <w:sz w:val="16"/>
                    <w:szCs w:val="16"/>
                  </w:rPr>
                  <w:t>3.109.276.408</w:t>
                </w:r>
              </w:p>
            </w:tc>
            <w:tc>
              <w:tcPr>
                <w:tcW w:w="141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6D6DB4DE" w14:textId="78384B20" w:rsidR="0E4E29E4" w:rsidRPr="00163F6A" w:rsidRDefault="0E4E29E4" w:rsidP="0E4E29E4">
                <w:pPr>
                  <w:spacing w:after="0"/>
                  <w:ind w:left="-20" w:right="-20"/>
                  <w:jc w:val="right"/>
                  <w:rPr>
                    <w:sz w:val="16"/>
                    <w:szCs w:val="16"/>
                  </w:rPr>
                </w:pPr>
                <w:r w:rsidRPr="00163F6A">
                  <w:rPr>
                    <w:rFonts w:ascii="Times New Roman" w:eastAsia="Times New Roman" w:hAnsi="Times New Roman"/>
                    <w:sz w:val="16"/>
                    <w:szCs w:val="16"/>
                  </w:rPr>
                  <w:t>377.176.610.716</w:t>
                </w:r>
              </w:p>
            </w:tc>
            <w:tc>
              <w:tcPr>
                <w:tcW w:w="150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7C9D6583" w14:textId="03E3902E" w:rsidR="0E4E29E4" w:rsidRPr="00163F6A" w:rsidRDefault="0E4E29E4" w:rsidP="0E4E29E4">
                <w:pPr>
                  <w:spacing w:after="0"/>
                  <w:ind w:left="-20" w:right="-20"/>
                  <w:jc w:val="right"/>
                  <w:rPr>
                    <w:sz w:val="16"/>
                    <w:szCs w:val="16"/>
                  </w:rPr>
                </w:pPr>
                <w:r w:rsidRPr="00163F6A">
                  <w:rPr>
                    <w:rFonts w:ascii="Times New Roman" w:eastAsia="Times New Roman" w:hAnsi="Times New Roman"/>
                    <w:sz w:val="16"/>
                    <w:szCs w:val="16"/>
                  </w:rPr>
                  <w:t>-374.067.334.308</w:t>
                </w:r>
              </w:p>
            </w:tc>
          </w:tr>
          <w:tr w:rsidR="0E4E29E4" w:rsidRPr="00163F6A" w14:paraId="7EB47ECE" w14:textId="77777777" w:rsidTr="00CB0DCA">
            <w:trPr>
              <w:trHeight w:val="300"/>
            </w:trPr>
            <w:tc>
              <w:tcPr>
                <w:tcW w:w="112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8AA1669" w14:textId="59A8F231" w:rsidR="0E4E29E4" w:rsidRPr="00163F6A" w:rsidRDefault="0E4E29E4" w:rsidP="0E4E29E4">
                <w:pPr>
                  <w:spacing w:after="0"/>
                  <w:ind w:left="-20" w:right="-20"/>
                  <w:rPr>
                    <w:sz w:val="16"/>
                    <w:szCs w:val="16"/>
                  </w:rPr>
                </w:pPr>
                <w:r w:rsidRPr="00163F6A">
                  <w:rPr>
                    <w:rFonts w:ascii="Times New Roman" w:eastAsia="Times New Roman" w:hAnsi="Times New Roman"/>
                    <w:sz w:val="16"/>
                    <w:szCs w:val="16"/>
                  </w:rPr>
                  <w:t>5.8</w:t>
                </w:r>
              </w:p>
            </w:tc>
            <w:tc>
              <w:tcPr>
                <w:tcW w:w="567"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1A253219" w14:textId="13C0E519" w:rsidR="0E4E29E4" w:rsidRPr="00163F6A" w:rsidRDefault="0E4E29E4" w:rsidP="0E4E29E4">
                <w:pPr>
                  <w:spacing w:after="0"/>
                  <w:ind w:left="-20" w:right="-20"/>
                  <w:jc w:val="center"/>
                  <w:rPr>
                    <w:sz w:val="16"/>
                    <w:szCs w:val="16"/>
                  </w:rPr>
                </w:pPr>
                <w:r w:rsidRPr="00163F6A">
                  <w:rPr>
                    <w:rFonts w:ascii="Times New Roman" w:eastAsia="Times New Roman" w:hAnsi="Times New Roman"/>
                    <w:sz w:val="16"/>
                    <w:szCs w:val="16"/>
                  </w:rPr>
                  <w:t>Db</w:t>
                </w:r>
              </w:p>
            </w:tc>
            <w:tc>
              <w:tcPr>
                <w:tcW w:w="2845"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2F6DBFA5" w14:textId="22F2A6AE" w:rsidR="0E4E29E4" w:rsidRPr="00163F6A" w:rsidRDefault="0E4E29E4" w:rsidP="0E4E29E4">
                <w:pPr>
                  <w:spacing w:after="0"/>
                  <w:ind w:left="-20" w:right="-20"/>
                  <w:rPr>
                    <w:sz w:val="16"/>
                    <w:szCs w:val="16"/>
                  </w:rPr>
                </w:pPr>
                <w:r w:rsidRPr="00163F6A">
                  <w:rPr>
                    <w:rFonts w:ascii="Times New Roman" w:eastAsia="Times New Roman" w:hAnsi="Times New Roman"/>
                    <w:sz w:val="16"/>
                    <w:szCs w:val="16"/>
                  </w:rPr>
                  <w:t>Otros gastos (1)</w:t>
                </w:r>
              </w:p>
            </w:tc>
            <w:tc>
              <w:tcPr>
                <w:tcW w:w="151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725A5CF2" w14:textId="2126A889" w:rsidR="0E4E29E4" w:rsidRPr="00163F6A" w:rsidRDefault="0E4E29E4" w:rsidP="0E4E29E4">
                <w:pPr>
                  <w:spacing w:after="0"/>
                  <w:ind w:left="-20" w:right="-20"/>
                  <w:jc w:val="right"/>
                  <w:rPr>
                    <w:sz w:val="16"/>
                    <w:szCs w:val="16"/>
                  </w:rPr>
                </w:pPr>
                <w:r w:rsidRPr="00163F6A">
                  <w:rPr>
                    <w:rFonts w:ascii="Times New Roman" w:eastAsia="Times New Roman" w:hAnsi="Times New Roman"/>
                    <w:sz w:val="16"/>
                    <w:szCs w:val="16"/>
                  </w:rPr>
                  <w:t>6.052.160.284.271</w:t>
                </w:r>
              </w:p>
            </w:tc>
            <w:tc>
              <w:tcPr>
                <w:tcW w:w="141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43EF0B7F" w14:textId="3D4F43A7" w:rsidR="0E4E29E4" w:rsidRPr="00163F6A" w:rsidRDefault="0E4E29E4" w:rsidP="0E4E29E4">
                <w:pPr>
                  <w:spacing w:after="0"/>
                  <w:ind w:left="-20" w:right="-20"/>
                  <w:jc w:val="right"/>
                  <w:rPr>
                    <w:sz w:val="16"/>
                    <w:szCs w:val="16"/>
                  </w:rPr>
                </w:pPr>
                <w:r w:rsidRPr="00163F6A">
                  <w:rPr>
                    <w:rFonts w:ascii="Times New Roman" w:eastAsia="Times New Roman" w:hAnsi="Times New Roman"/>
                    <w:sz w:val="16"/>
                    <w:szCs w:val="16"/>
                  </w:rPr>
                  <w:t>3.615.543.990.459</w:t>
                </w:r>
              </w:p>
            </w:tc>
            <w:tc>
              <w:tcPr>
                <w:tcW w:w="150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2D0ACF74" w14:textId="6B441237" w:rsidR="0E4E29E4" w:rsidRPr="00163F6A" w:rsidRDefault="0E4E29E4" w:rsidP="0E4E29E4">
                <w:pPr>
                  <w:spacing w:after="0"/>
                  <w:ind w:left="-20" w:right="-20"/>
                  <w:jc w:val="right"/>
                  <w:rPr>
                    <w:sz w:val="16"/>
                    <w:szCs w:val="16"/>
                  </w:rPr>
                </w:pPr>
                <w:r w:rsidRPr="00163F6A">
                  <w:rPr>
                    <w:rFonts w:ascii="Times New Roman" w:eastAsia="Times New Roman" w:hAnsi="Times New Roman"/>
                    <w:sz w:val="16"/>
                    <w:szCs w:val="16"/>
                  </w:rPr>
                  <w:t>2.436.616.293.812</w:t>
                </w:r>
              </w:p>
            </w:tc>
          </w:tr>
        </w:tbl>
        <w:p w14:paraId="4249C15D" w14:textId="04881DC8" w:rsidR="003A4D8E" w:rsidRPr="00931DCE" w:rsidRDefault="64C58135" w:rsidP="0E4E29E4">
          <w:pPr>
            <w:ind w:left="-20" w:right="-20"/>
            <w:jc w:val="both"/>
          </w:pPr>
          <w:r w:rsidRPr="0E4E29E4">
            <w:rPr>
              <w:rFonts w:ascii="Times New Roman" w:eastAsia="Times New Roman" w:hAnsi="Times New Roman"/>
              <w:sz w:val="24"/>
              <w:szCs w:val="24"/>
            </w:rPr>
            <w:t xml:space="preserve"> </w:t>
          </w:r>
          <w:r w:rsidRPr="0E4E29E4">
            <w:rPr>
              <w:rFonts w:ascii="Times New Roman" w:eastAsia="Times New Roman" w:hAnsi="Times New Roman"/>
              <w:sz w:val="14"/>
              <w:szCs w:val="14"/>
            </w:rPr>
            <w:t>Cifras expresadas en pesos</w:t>
          </w:r>
        </w:p>
        <w:p w14:paraId="03CA6AF3" w14:textId="0E446A8F" w:rsidR="003A4D8E" w:rsidRPr="00931DCE" w:rsidRDefault="64C58135" w:rsidP="0059171C">
          <w:pPr>
            <w:ind w:left="-20" w:right="-20"/>
            <w:jc w:val="both"/>
          </w:pPr>
          <w:r w:rsidRPr="0E4E29E4">
            <w:rPr>
              <w:rFonts w:ascii="Times New Roman" w:eastAsia="Times New Roman" w:hAnsi="Times New Roman"/>
              <w:sz w:val="24"/>
              <w:szCs w:val="24"/>
            </w:rPr>
            <w:t>La composición de los gastos de administración y operación de la ANI, corresponden a las erogaciones de recursos asociados a las funciones principales que se llevan a cabo en la entidad, para el desarrollo y cumplimiento de su cometido estatal. Dentro de la composición de los gastos, se incluyen los gastos por Deterioro, depreciaciones, amortizaciones y provisiones, entre otros.</w:t>
          </w:r>
        </w:p>
        <w:p w14:paraId="2A65F73C" w14:textId="000178AA" w:rsidR="003A4D8E" w:rsidRPr="00931DCE" w:rsidRDefault="64C58135" w:rsidP="0E4E29E4">
          <w:pPr>
            <w:ind w:left="-20" w:right="-20"/>
            <w:jc w:val="both"/>
          </w:pPr>
          <w:r w:rsidRPr="0E4E29E4">
            <w:rPr>
              <w:rFonts w:ascii="Times New Roman" w:eastAsia="Times New Roman" w:hAnsi="Times New Roman"/>
              <w:sz w:val="24"/>
              <w:szCs w:val="24"/>
            </w:rPr>
            <w:t xml:space="preserve">Los Gastos de la Agencia presentan un incremento total de $3.544.862.509.568 con relación a los gastos del año 2022. Al observar el comportamiento de los grupos se determina que esta variación neta corresponde principalmente a incrementos en </w:t>
          </w:r>
          <w:r w:rsidRPr="0E4E29E4">
            <w:rPr>
              <w:rFonts w:ascii="Times New Roman" w:eastAsia="Times New Roman" w:hAnsi="Times New Roman"/>
              <w:i/>
              <w:iCs/>
              <w:sz w:val="24"/>
              <w:szCs w:val="24"/>
            </w:rPr>
            <w:t>Otros gastos</w:t>
          </w:r>
          <w:r w:rsidRPr="0E4E29E4">
            <w:rPr>
              <w:rFonts w:ascii="Times New Roman" w:eastAsia="Times New Roman" w:hAnsi="Times New Roman"/>
              <w:sz w:val="24"/>
              <w:szCs w:val="24"/>
            </w:rPr>
            <w:t xml:space="preserve"> </w:t>
          </w:r>
          <w:r w:rsidRPr="0E4E29E4">
            <w:rPr>
              <w:rFonts w:ascii="Times New Roman" w:eastAsia="Times New Roman" w:hAnsi="Times New Roman"/>
              <w:i/>
              <w:iCs/>
              <w:sz w:val="24"/>
              <w:szCs w:val="24"/>
            </w:rPr>
            <w:t>(1)</w:t>
          </w:r>
          <w:r w:rsidRPr="0E4E29E4">
            <w:rPr>
              <w:rFonts w:ascii="Times New Roman" w:eastAsia="Times New Roman" w:hAnsi="Times New Roman"/>
              <w:sz w:val="24"/>
              <w:szCs w:val="24"/>
            </w:rPr>
            <w:t xml:space="preserve"> por valor de $2.436.616.293.812 y en el grupo </w:t>
          </w:r>
          <w:r w:rsidRPr="0E4E29E4">
            <w:rPr>
              <w:rFonts w:ascii="Times New Roman" w:eastAsia="Times New Roman" w:hAnsi="Times New Roman"/>
              <w:i/>
              <w:iCs/>
              <w:sz w:val="24"/>
              <w:szCs w:val="24"/>
            </w:rPr>
            <w:t>Deterioro, depreciaciones, amortizaciones y provisiones</w:t>
          </w:r>
          <w:r w:rsidRPr="0E4E29E4">
            <w:rPr>
              <w:rFonts w:ascii="Times New Roman" w:eastAsia="Times New Roman" w:hAnsi="Times New Roman"/>
              <w:sz w:val="24"/>
              <w:szCs w:val="24"/>
            </w:rPr>
            <w:t xml:space="preserve"> </w:t>
          </w:r>
          <w:r w:rsidRPr="0E4E29E4">
            <w:rPr>
              <w:rFonts w:ascii="Times New Roman" w:eastAsia="Times New Roman" w:hAnsi="Times New Roman"/>
              <w:i/>
              <w:iCs/>
              <w:sz w:val="24"/>
              <w:szCs w:val="24"/>
            </w:rPr>
            <w:t>(2)</w:t>
          </w:r>
          <w:r w:rsidRPr="0E4E29E4">
            <w:rPr>
              <w:rFonts w:ascii="Times New Roman" w:eastAsia="Times New Roman" w:hAnsi="Times New Roman"/>
              <w:sz w:val="24"/>
              <w:szCs w:val="24"/>
            </w:rPr>
            <w:t xml:space="preserve"> por valor de $1.394.322.624.745.</w:t>
          </w:r>
        </w:p>
        <w:p w14:paraId="2284E0F1" w14:textId="6BBC1A35" w:rsidR="003A4D8E" w:rsidRPr="00931DCE" w:rsidRDefault="64C58135" w:rsidP="0E4E29E4">
          <w:pPr>
            <w:ind w:left="-20" w:right="-20"/>
            <w:jc w:val="both"/>
          </w:pPr>
          <w:r w:rsidRPr="0E4E29E4">
            <w:rPr>
              <w:rFonts w:ascii="Times New Roman" w:eastAsia="Times New Roman" w:hAnsi="Times New Roman"/>
              <w:sz w:val="24"/>
              <w:szCs w:val="24"/>
            </w:rPr>
            <w:t>Las principales variaciones de los grupos que conforman el gasto se describen a continuación:</w:t>
          </w:r>
        </w:p>
        <w:p w14:paraId="4E470FFC" w14:textId="68CA8947" w:rsidR="003A4D8E" w:rsidRPr="00931DCE" w:rsidRDefault="64C58135" w:rsidP="0E4E29E4">
          <w:pPr>
            <w:ind w:left="-20" w:right="-20"/>
            <w:jc w:val="both"/>
          </w:pPr>
          <w:r w:rsidRPr="0E4E29E4">
            <w:rPr>
              <w:rFonts w:ascii="Times New Roman" w:eastAsia="Times New Roman" w:hAnsi="Times New Roman"/>
              <w:sz w:val="24"/>
              <w:szCs w:val="24"/>
            </w:rPr>
            <w:t xml:space="preserve"> </w:t>
          </w:r>
        </w:p>
        <w:p w14:paraId="696B9CB4" w14:textId="7B0F000D" w:rsidR="003A4D8E" w:rsidRPr="00931DCE" w:rsidRDefault="64C58135" w:rsidP="0E4E29E4">
          <w:pPr>
            <w:ind w:left="-20" w:right="-20"/>
            <w:jc w:val="both"/>
          </w:pPr>
          <w:r w:rsidRPr="0E4E29E4">
            <w:rPr>
              <w:rFonts w:ascii="Times New Roman" w:eastAsia="Times New Roman" w:hAnsi="Times New Roman"/>
              <w:sz w:val="24"/>
              <w:szCs w:val="24"/>
            </w:rPr>
            <w:t xml:space="preserve">El incremento neto en </w:t>
          </w:r>
          <w:r w:rsidRPr="0E4E29E4">
            <w:rPr>
              <w:rFonts w:ascii="Times New Roman" w:eastAsia="Times New Roman" w:hAnsi="Times New Roman"/>
              <w:i/>
              <w:iCs/>
              <w:sz w:val="24"/>
              <w:szCs w:val="24"/>
            </w:rPr>
            <w:t>Otros gastos</w:t>
          </w:r>
          <w:r w:rsidRPr="0E4E29E4">
            <w:rPr>
              <w:rFonts w:ascii="Times New Roman" w:eastAsia="Times New Roman" w:hAnsi="Times New Roman"/>
              <w:sz w:val="24"/>
              <w:szCs w:val="24"/>
            </w:rPr>
            <w:t xml:space="preserve"> </w:t>
          </w:r>
          <w:r w:rsidRPr="0E4E29E4">
            <w:rPr>
              <w:rFonts w:ascii="Times New Roman" w:eastAsia="Times New Roman" w:hAnsi="Times New Roman"/>
              <w:i/>
              <w:iCs/>
              <w:sz w:val="24"/>
              <w:szCs w:val="24"/>
            </w:rPr>
            <w:t>(1)</w:t>
          </w:r>
          <w:r w:rsidRPr="0E4E29E4">
            <w:rPr>
              <w:rFonts w:ascii="Times New Roman" w:eastAsia="Times New Roman" w:hAnsi="Times New Roman"/>
              <w:sz w:val="24"/>
              <w:szCs w:val="24"/>
            </w:rPr>
            <w:t xml:space="preserve"> obedece principalmente a: (i) incremento en la subcuenta </w:t>
          </w:r>
          <w:r w:rsidRPr="0E4E29E4">
            <w:rPr>
              <w:rFonts w:ascii="Times New Roman" w:eastAsia="Times New Roman" w:hAnsi="Times New Roman"/>
              <w:i/>
              <w:iCs/>
              <w:sz w:val="24"/>
              <w:szCs w:val="24"/>
            </w:rPr>
            <w:t>Garantías contractuales – concesiones</w:t>
          </w:r>
          <w:r w:rsidRPr="0E4E29E4">
            <w:rPr>
              <w:rFonts w:ascii="Times New Roman" w:eastAsia="Times New Roman" w:hAnsi="Times New Roman"/>
              <w:sz w:val="24"/>
              <w:szCs w:val="24"/>
            </w:rPr>
            <w:t xml:space="preserve"> por valor de $2.561.328.075.550, por el registro de la materialización de riesgos para cubrir obligaciones contingentes derivadas de la celebración de contratos de infraestructura bajo el esquema de acuerdos de concesión, que no incrementan el valor del activo, por ejemplo, menor recaudo por no instalación estación de peaje, otorgamiento de tarifas diferenciales, insuficiencia de recursos para el pago de interventoría.  </w:t>
          </w:r>
          <w:r w:rsidR="003000A5">
            <w:rPr>
              <w:rFonts w:ascii="Times New Roman" w:eastAsia="Times New Roman" w:hAnsi="Times New Roman"/>
              <w:sz w:val="24"/>
              <w:szCs w:val="24"/>
            </w:rPr>
            <w:t>I</w:t>
          </w:r>
          <w:r w:rsidRPr="0E4E29E4">
            <w:rPr>
              <w:rFonts w:ascii="Times New Roman" w:eastAsia="Times New Roman" w:hAnsi="Times New Roman"/>
              <w:sz w:val="24"/>
              <w:szCs w:val="24"/>
            </w:rPr>
            <w:t xml:space="preserve">nformación reportada por la Coordinación del Grupo Interno de Riesgos, y (ii) disminución de la subcuenta </w:t>
          </w:r>
          <w:r w:rsidRPr="0E4E29E4">
            <w:rPr>
              <w:rFonts w:ascii="Times New Roman" w:eastAsia="Times New Roman" w:hAnsi="Times New Roman"/>
              <w:i/>
              <w:iCs/>
              <w:sz w:val="24"/>
              <w:szCs w:val="24"/>
            </w:rPr>
            <w:t>Costo efectivo de préstamos por pagar - financiamiento interno de largo plazo</w:t>
          </w:r>
          <w:r w:rsidRPr="0E4E29E4">
            <w:rPr>
              <w:rFonts w:ascii="Times New Roman" w:eastAsia="Times New Roman" w:hAnsi="Times New Roman"/>
              <w:sz w:val="24"/>
              <w:szCs w:val="24"/>
            </w:rPr>
            <w:t xml:space="preserve"> por valor de $-319.007.483.115, como resultado de la actualización de la parte proporcional de la carga financiera de los aportes estatales (vigencias futuras), de los acuerdos de concesión del modo de transporte carretero, de conformidad con el modelo financiero para propósitos contables.</w:t>
          </w:r>
        </w:p>
        <w:p w14:paraId="650538D6" w14:textId="4B3139B9" w:rsidR="003A4D8E" w:rsidRPr="00931DCE" w:rsidRDefault="64C58135" w:rsidP="0E4E29E4">
          <w:pPr>
            <w:ind w:left="-20" w:right="-20"/>
            <w:jc w:val="both"/>
          </w:pPr>
          <w:r w:rsidRPr="0E4E29E4">
            <w:rPr>
              <w:rFonts w:ascii="Times New Roman" w:eastAsia="Times New Roman" w:hAnsi="Times New Roman"/>
              <w:sz w:val="24"/>
              <w:szCs w:val="24"/>
            </w:rPr>
            <w:t xml:space="preserve">El incremento neto en el grupo </w:t>
          </w:r>
          <w:r w:rsidRPr="0E4E29E4">
            <w:rPr>
              <w:rFonts w:ascii="Times New Roman" w:eastAsia="Times New Roman" w:hAnsi="Times New Roman"/>
              <w:i/>
              <w:iCs/>
              <w:sz w:val="24"/>
              <w:szCs w:val="24"/>
            </w:rPr>
            <w:t>Deterioro, depreciaciones, amortizaciones y provisiones (2)</w:t>
          </w:r>
          <w:r w:rsidRPr="0E4E29E4">
            <w:rPr>
              <w:rFonts w:ascii="Times New Roman" w:eastAsia="Times New Roman" w:hAnsi="Times New Roman"/>
              <w:sz w:val="24"/>
              <w:szCs w:val="24"/>
            </w:rPr>
            <w:t xml:space="preserve"> corresponde principalmente a un incremento neto en la cuenta </w:t>
          </w:r>
          <w:r w:rsidRPr="0E4E29E4">
            <w:rPr>
              <w:rFonts w:ascii="Times New Roman" w:eastAsia="Times New Roman" w:hAnsi="Times New Roman"/>
              <w:i/>
              <w:iCs/>
              <w:sz w:val="24"/>
              <w:szCs w:val="24"/>
            </w:rPr>
            <w:t>Provisión litigios y demandas</w:t>
          </w:r>
          <w:r w:rsidRPr="0E4E29E4">
            <w:rPr>
              <w:rFonts w:ascii="Times New Roman" w:eastAsia="Times New Roman" w:hAnsi="Times New Roman"/>
              <w:sz w:val="24"/>
              <w:szCs w:val="24"/>
            </w:rPr>
            <w:t xml:space="preserve"> </w:t>
          </w:r>
          <w:r w:rsidRPr="0E4E29E4">
            <w:rPr>
              <w:rFonts w:ascii="Times New Roman" w:eastAsia="Times New Roman" w:hAnsi="Times New Roman"/>
              <w:sz w:val="24"/>
              <w:szCs w:val="24"/>
            </w:rPr>
            <w:lastRenderedPageBreak/>
            <w:t xml:space="preserve">por valor de $1.090.416.141.850 que corresponde a la actualización en el 2023 de los procesos judiciales y tribunales de arbitramento de acuerdo con la metodología establecida, información que es reportada por el GIT de Defensa Judicial de la Vicepresidencia Jurídica de la ANI, en el formato GEJU-010  Reporte Procesos Judiciales.  En seguida se presenta la variación de la cuenta </w:t>
          </w:r>
          <w:r w:rsidRPr="0E4E29E4">
            <w:rPr>
              <w:rFonts w:ascii="Times New Roman" w:eastAsia="Times New Roman" w:hAnsi="Times New Roman"/>
              <w:i/>
              <w:iCs/>
              <w:sz w:val="24"/>
              <w:szCs w:val="24"/>
            </w:rPr>
            <w:t>Provisión litigios y demandas</w:t>
          </w:r>
          <w:r w:rsidR="00FF39C6">
            <w:rPr>
              <w:rFonts w:ascii="Times New Roman" w:eastAsia="Times New Roman" w:hAnsi="Times New Roman"/>
              <w:i/>
              <w:iCs/>
              <w:sz w:val="24"/>
              <w:szCs w:val="24"/>
            </w:rPr>
            <w:t>.</w:t>
          </w:r>
          <w:r w:rsidRPr="0E4E29E4">
            <w:rPr>
              <w:rFonts w:ascii="Times New Roman" w:eastAsia="Times New Roman" w:hAnsi="Times New Roman"/>
              <w:sz w:val="24"/>
              <w:szCs w:val="24"/>
            </w:rPr>
            <w:t xml:space="preserve"> </w:t>
          </w:r>
        </w:p>
        <w:tbl>
          <w:tblPr>
            <w:tblW w:w="8970"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1266"/>
            <w:gridCol w:w="2552"/>
            <w:gridCol w:w="1701"/>
            <w:gridCol w:w="1537"/>
            <w:gridCol w:w="1914"/>
          </w:tblGrid>
          <w:tr w:rsidR="0E4E29E4" w:rsidRPr="00744C6D" w14:paraId="649DCB3F" w14:textId="77777777" w:rsidTr="00092474">
            <w:trPr>
              <w:trHeight w:val="340"/>
            </w:trPr>
            <w:tc>
              <w:tcPr>
                <w:tcW w:w="3818" w:type="dxa"/>
                <w:gridSpan w:val="2"/>
                <w:tcMar>
                  <w:left w:w="70" w:type="dxa"/>
                  <w:right w:w="70" w:type="dxa"/>
                </w:tcMar>
                <w:vAlign w:val="center"/>
              </w:tcPr>
              <w:p w14:paraId="523710CD" w14:textId="5B4D75A8" w:rsidR="0E4E29E4" w:rsidRPr="00744C6D" w:rsidRDefault="00744C6D" w:rsidP="00744C6D">
                <w:pPr>
                  <w:spacing w:after="0"/>
                  <w:ind w:right="-20"/>
                  <w:jc w:val="center"/>
                  <w:rPr>
                    <w:rFonts w:ascii="Times New Roman" w:eastAsia="Times New Roman" w:hAnsi="Times New Roman"/>
                    <w:b/>
                    <w:bCs/>
                    <w:color w:val="000000" w:themeColor="text1"/>
                    <w:sz w:val="18"/>
                    <w:szCs w:val="18"/>
                  </w:rPr>
                </w:pPr>
                <w:r w:rsidRPr="00744C6D">
                  <w:rPr>
                    <w:rFonts w:ascii="Times New Roman" w:eastAsia="Times New Roman" w:hAnsi="Times New Roman"/>
                    <w:b/>
                    <w:bCs/>
                    <w:color w:val="000000" w:themeColor="text1"/>
                    <w:sz w:val="18"/>
                    <w:szCs w:val="18"/>
                  </w:rPr>
                  <w:t>DESCRIPCIÓN</w:t>
                </w:r>
              </w:p>
            </w:tc>
            <w:tc>
              <w:tcPr>
                <w:tcW w:w="3238" w:type="dxa"/>
                <w:gridSpan w:val="2"/>
                <w:shd w:val="clear" w:color="auto" w:fill="FFFFFF" w:themeFill="background1"/>
                <w:tcMar>
                  <w:left w:w="70" w:type="dxa"/>
                  <w:right w:w="70" w:type="dxa"/>
                </w:tcMar>
                <w:vAlign w:val="center"/>
              </w:tcPr>
              <w:p w14:paraId="6ED88313" w14:textId="7FFAC12B" w:rsidR="0E4E29E4" w:rsidRPr="00744C6D" w:rsidRDefault="0E4E29E4" w:rsidP="0E4E29E4">
                <w:pPr>
                  <w:spacing w:after="0"/>
                  <w:ind w:left="-20" w:right="-20"/>
                  <w:jc w:val="center"/>
                  <w:rPr>
                    <w:sz w:val="18"/>
                    <w:szCs w:val="18"/>
                  </w:rPr>
                </w:pPr>
                <w:r w:rsidRPr="00744C6D">
                  <w:rPr>
                    <w:rFonts w:ascii="Times New Roman" w:eastAsia="Times New Roman" w:hAnsi="Times New Roman"/>
                    <w:b/>
                    <w:bCs/>
                    <w:color w:val="000000" w:themeColor="text1"/>
                    <w:sz w:val="18"/>
                    <w:szCs w:val="18"/>
                  </w:rPr>
                  <w:t>SALDOS A CORTES DE VIGENCIA</w:t>
                </w:r>
              </w:p>
            </w:tc>
            <w:tc>
              <w:tcPr>
                <w:tcW w:w="1914" w:type="dxa"/>
                <w:tcMar>
                  <w:left w:w="70" w:type="dxa"/>
                  <w:right w:w="70" w:type="dxa"/>
                </w:tcMar>
                <w:vAlign w:val="center"/>
              </w:tcPr>
              <w:p w14:paraId="27A506BB" w14:textId="462E9700" w:rsidR="0E4E29E4" w:rsidRPr="00744C6D" w:rsidRDefault="0E4E29E4" w:rsidP="00744C6D">
                <w:pPr>
                  <w:spacing w:after="0"/>
                  <w:ind w:right="-20"/>
                  <w:jc w:val="center"/>
                  <w:rPr>
                    <w:b/>
                    <w:bCs/>
                    <w:sz w:val="18"/>
                    <w:szCs w:val="18"/>
                  </w:rPr>
                </w:pPr>
                <w:r w:rsidRPr="00744C6D">
                  <w:rPr>
                    <w:rFonts w:ascii="Times New Roman" w:eastAsia="Times New Roman" w:hAnsi="Times New Roman"/>
                    <w:b/>
                    <w:bCs/>
                    <w:color w:val="000000" w:themeColor="text1"/>
                    <w:sz w:val="18"/>
                    <w:szCs w:val="18"/>
                  </w:rPr>
                  <w:t>VARIACIÓN</w:t>
                </w:r>
              </w:p>
            </w:tc>
          </w:tr>
          <w:tr w:rsidR="0E4E29E4" w:rsidRPr="00744C6D" w14:paraId="3634EF28" w14:textId="77777777" w:rsidTr="00092474">
            <w:trPr>
              <w:trHeight w:val="340"/>
            </w:trPr>
            <w:tc>
              <w:tcPr>
                <w:tcW w:w="1266" w:type="dxa"/>
                <w:tcMar>
                  <w:left w:w="70" w:type="dxa"/>
                  <w:right w:w="70" w:type="dxa"/>
                </w:tcMar>
                <w:vAlign w:val="center"/>
              </w:tcPr>
              <w:p w14:paraId="414A947F" w14:textId="650D147F" w:rsidR="0E4E29E4" w:rsidRPr="00744C6D" w:rsidRDefault="0E4E29E4" w:rsidP="0E4E29E4">
                <w:pPr>
                  <w:spacing w:after="0"/>
                  <w:ind w:left="-20" w:right="-20"/>
                  <w:rPr>
                    <w:sz w:val="18"/>
                    <w:szCs w:val="18"/>
                  </w:rPr>
                </w:pPr>
                <w:r w:rsidRPr="00744C6D">
                  <w:rPr>
                    <w:rFonts w:ascii="Times New Roman" w:eastAsia="Times New Roman" w:hAnsi="Times New Roman"/>
                    <w:color w:val="000000" w:themeColor="text1"/>
                    <w:sz w:val="18"/>
                    <w:szCs w:val="18"/>
                  </w:rPr>
                  <w:t>CÓDIGO CONTABLE</w:t>
                </w:r>
              </w:p>
            </w:tc>
            <w:tc>
              <w:tcPr>
                <w:tcW w:w="2552" w:type="dxa"/>
                <w:tcMar>
                  <w:left w:w="70" w:type="dxa"/>
                  <w:right w:w="70" w:type="dxa"/>
                </w:tcMar>
                <w:vAlign w:val="center"/>
              </w:tcPr>
              <w:p w14:paraId="0216942E" w14:textId="00213BD0" w:rsidR="0E4E29E4" w:rsidRPr="00744C6D" w:rsidRDefault="0E4E29E4" w:rsidP="0E4E29E4">
                <w:pPr>
                  <w:spacing w:after="0"/>
                  <w:ind w:left="-20" w:right="-20"/>
                  <w:rPr>
                    <w:sz w:val="18"/>
                    <w:szCs w:val="18"/>
                  </w:rPr>
                </w:pPr>
                <w:r w:rsidRPr="00744C6D">
                  <w:rPr>
                    <w:rFonts w:ascii="Times New Roman" w:eastAsia="Times New Roman" w:hAnsi="Times New Roman"/>
                    <w:color w:val="000000" w:themeColor="text1"/>
                    <w:sz w:val="18"/>
                    <w:szCs w:val="18"/>
                  </w:rPr>
                  <w:t>CONCEPTO</w:t>
                </w:r>
              </w:p>
            </w:tc>
            <w:tc>
              <w:tcPr>
                <w:tcW w:w="1701" w:type="dxa"/>
                <w:shd w:val="clear" w:color="auto" w:fill="FFFFFF" w:themeFill="background1"/>
                <w:tcMar>
                  <w:left w:w="70" w:type="dxa"/>
                  <w:right w:w="70" w:type="dxa"/>
                </w:tcMar>
                <w:vAlign w:val="center"/>
              </w:tcPr>
              <w:p w14:paraId="7568581B" w14:textId="44C6F1AE" w:rsidR="0E4E29E4" w:rsidRPr="00744C6D" w:rsidRDefault="0E4E29E4" w:rsidP="0E4E29E4">
                <w:pPr>
                  <w:spacing w:after="0"/>
                  <w:ind w:left="-20" w:right="-20"/>
                  <w:jc w:val="center"/>
                  <w:rPr>
                    <w:sz w:val="18"/>
                    <w:szCs w:val="18"/>
                  </w:rPr>
                </w:pPr>
                <w:r w:rsidRPr="00744C6D">
                  <w:rPr>
                    <w:rFonts w:ascii="Times New Roman" w:eastAsia="Times New Roman" w:hAnsi="Times New Roman"/>
                    <w:b/>
                    <w:bCs/>
                    <w:color w:val="000000" w:themeColor="text1"/>
                    <w:sz w:val="18"/>
                    <w:szCs w:val="18"/>
                  </w:rPr>
                  <w:t xml:space="preserve">2023 </w:t>
                </w:r>
              </w:p>
            </w:tc>
            <w:tc>
              <w:tcPr>
                <w:tcW w:w="1537" w:type="dxa"/>
                <w:shd w:val="clear" w:color="auto" w:fill="FFFFFF" w:themeFill="background1"/>
                <w:tcMar>
                  <w:left w:w="70" w:type="dxa"/>
                  <w:right w:w="70" w:type="dxa"/>
                </w:tcMar>
                <w:vAlign w:val="center"/>
              </w:tcPr>
              <w:p w14:paraId="04A71A10" w14:textId="530E7FE8" w:rsidR="0E4E29E4" w:rsidRPr="00744C6D" w:rsidRDefault="0E4E29E4" w:rsidP="0E4E29E4">
                <w:pPr>
                  <w:spacing w:after="0"/>
                  <w:ind w:left="-20" w:right="-20"/>
                  <w:jc w:val="center"/>
                  <w:rPr>
                    <w:sz w:val="18"/>
                    <w:szCs w:val="18"/>
                  </w:rPr>
                </w:pPr>
                <w:r w:rsidRPr="00744C6D">
                  <w:rPr>
                    <w:rFonts w:ascii="Times New Roman" w:eastAsia="Times New Roman" w:hAnsi="Times New Roman"/>
                    <w:b/>
                    <w:bCs/>
                    <w:color w:val="000000" w:themeColor="text1"/>
                    <w:sz w:val="18"/>
                    <w:szCs w:val="18"/>
                  </w:rPr>
                  <w:t xml:space="preserve">2022 </w:t>
                </w:r>
              </w:p>
            </w:tc>
            <w:tc>
              <w:tcPr>
                <w:tcW w:w="1914" w:type="dxa"/>
                <w:tcMar>
                  <w:left w:w="70" w:type="dxa"/>
                  <w:right w:w="70" w:type="dxa"/>
                </w:tcMar>
                <w:vAlign w:val="center"/>
              </w:tcPr>
              <w:p w14:paraId="75305D5D" w14:textId="1FA32FA4" w:rsidR="0E4E29E4" w:rsidRPr="00744C6D" w:rsidRDefault="0E4E29E4" w:rsidP="0E4E29E4">
                <w:pPr>
                  <w:spacing w:after="0"/>
                  <w:ind w:left="-20" w:right="-20"/>
                  <w:jc w:val="center"/>
                  <w:rPr>
                    <w:sz w:val="18"/>
                    <w:szCs w:val="18"/>
                  </w:rPr>
                </w:pPr>
                <w:r w:rsidRPr="00744C6D">
                  <w:rPr>
                    <w:rFonts w:ascii="Times New Roman" w:eastAsia="Times New Roman" w:hAnsi="Times New Roman"/>
                    <w:color w:val="000000" w:themeColor="text1"/>
                    <w:sz w:val="18"/>
                    <w:szCs w:val="18"/>
                  </w:rPr>
                  <w:t>VALOR VARIACIÓN</w:t>
                </w:r>
              </w:p>
            </w:tc>
          </w:tr>
          <w:tr w:rsidR="0E4E29E4" w:rsidRPr="00744C6D" w14:paraId="5652840A" w14:textId="77777777" w:rsidTr="00092474">
            <w:trPr>
              <w:trHeight w:val="340"/>
            </w:trPr>
            <w:tc>
              <w:tcPr>
                <w:tcW w:w="1266" w:type="dxa"/>
                <w:tcMar>
                  <w:left w:w="70" w:type="dxa"/>
                  <w:right w:w="70" w:type="dxa"/>
                </w:tcMar>
                <w:vAlign w:val="center"/>
              </w:tcPr>
              <w:p w14:paraId="5A9E3758" w14:textId="39F4EC2D" w:rsidR="0E4E29E4" w:rsidRPr="00744C6D" w:rsidRDefault="0E4E29E4" w:rsidP="0E4E29E4">
                <w:pPr>
                  <w:spacing w:after="0"/>
                  <w:ind w:left="-20" w:right="-20"/>
                  <w:rPr>
                    <w:sz w:val="18"/>
                    <w:szCs w:val="18"/>
                  </w:rPr>
                </w:pPr>
                <w:r w:rsidRPr="00744C6D">
                  <w:rPr>
                    <w:rFonts w:ascii="Times New Roman" w:eastAsia="Times New Roman" w:hAnsi="Times New Roman"/>
                    <w:b/>
                    <w:bCs/>
                    <w:color w:val="000000" w:themeColor="text1"/>
                    <w:sz w:val="18"/>
                    <w:szCs w:val="18"/>
                  </w:rPr>
                  <w:t>5.3.68</w:t>
                </w:r>
              </w:p>
            </w:tc>
            <w:tc>
              <w:tcPr>
                <w:tcW w:w="2552" w:type="dxa"/>
                <w:tcMar>
                  <w:left w:w="70" w:type="dxa"/>
                  <w:right w:w="70" w:type="dxa"/>
                </w:tcMar>
                <w:vAlign w:val="center"/>
              </w:tcPr>
              <w:p w14:paraId="05EF8DE4" w14:textId="0C12E5EB" w:rsidR="0E4E29E4" w:rsidRPr="00744C6D" w:rsidRDefault="0E4E29E4" w:rsidP="0E4E29E4">
                <w:pPr>
                  <w:spacing w:after="0"/>
                  <w:ind w:left="-20" w:right="-20"/>
                  <w:rPr>
                    <w:sz w:val="18"/>
                    <w:szCs w:val="18"/>
                  </w:rPr>
                </w:pPr>
                <w:r w:rsidRPr="00744C6D">
                  <w:rPr>
                    <w:rFonts w:ascii="Times New Roman" w:eastAsia="Times New Roman" w:hAnsi="Times New Roman"/>
                    <w:b/>
                    <w:bCs/>
                    <w:color w:val="000000" w:themeColor="text1"/>
                    <w:sz w:val="18"/>
                    <w:szCs w:val="18"/>
                  </w:rPr>
                  <w:t>Provisión litigios y demandas</w:t>
                </w:r>
              </w:p>
            </w:tc>
            <w:tc>
              <w:tcPr>
                <w:tcW w:w="1701" w:type="dxa"/>
                <w:tcMar>
                  <w:left w:w="70" w:type="dxa"/>
                  <w:right w:w="70" w:type="dxa"/>
                </w:tcMar>
                <w:vAlign w:val="center"/>
              </w:tcPr>
              <w:p w14:paraId="2337DF28" w14:textId="6470FB5C" w:rsidR="0E4E29E4" w:rsidRPr="00744C6D" w:rsidRDefault="0E4E29E4" w:rsidP="0E4E29E4">
                <w:pPr>
                  <w:spacing w:after="0"/>
                  <w:ind w:left="-20" w:right="-20"/>
                  <w:jc w:val="right"/>
                  <w:rPr>
                    <w:sz w:val="18"/>
                    <w:szCs w:val="18"/>
                  </w:rPr>
                </w:pPr>
                <w:r w:rsidRPr="00744C6D">
                  <w:rPr>
                    <w:rFonts w:ascii="Times New Roman" w:eastAsia="Times New Roman" w:hAnsi="Times New Roman"/>
                    <w:b/>
                    <w:bCs/>
                    <w:sz w:val="18"/>
                    <w:szCs w:val="18"/>
                  </w:rPr>
                  <w:t>1.870.137.531.795</w:t>
                </w:r>
              </w:p>
            </w:tc>
            <w:tc>
              <w:tcPr>
                <w:tcW w:w="1537" w:type="dxa"/>
                <w:tcMar>
                  <w:left w:w="70" w:type="dxa"/>
                  <w:right w:w="70" w:type="dxa"/>
                </w:tcMar>
                <w:vAlign w:val="center"/>
              </w:tcPr>
              <w:p w14:paraId="2981C139" w14:textId="2FD63A01" w:rsidR="0E4E29E4" w:rsidRPr="00744C6D" w:rsidRDefault="0E4E29E4" w:rsidP="0E4E29E4">
                <w:pPr>
                  <w:spacing w:after="0"/>
                  <w:ind w:left="-20" w:right="-20"/>
                  <w:jc w:val="right"/>
                  <w:rPr>
                    <w:sz w:val="18"/>
                    <w:szCs w:val="18"/>
                  </w:rPr>
                </w:pPr>
                <w:r w:rsidRPr="00744C6D">
                  <w:rPr>
                    <w:rFonts w:ascii="Times New Roman" w:eastAsia="Times New Roman" w:hAnsi="Times New Roman"/>
                    <w:b/>
                    <w:bCs/>
                    <w:sz w:val="18"/>
                    <w:szCs w:val="18"/>
                  </w:rPr>
                  <w:t>779.721.389.945</w:t>
                </w:r>
              </w:p>
            </w:tc>
            <w:tc>
              <w:tcPr>
                <w:tcW w:w="1914" w:type="dxa"/>
                <w:tcMar>
                  <w:left w:w="70" w:type="dxa"/>
                  <w:right w:w="70" w:type="dxa"/>
                </w:tcMar>
                <w:vAlign w:val="center"/>
              </w:tcPr>
              <w:p w14:paraId="77CD64DB" w14:textId="3E846889" w:rsidR="0E4E29E4" w:rsidRPr="00744C6D" w:rsidRDefault="0E4E29E4" w:rsidP="0E4E29E4">
                <w:pPr>
                  <w:spacing w:after="0"/>
                  <w:ind w:left="-20" w:right="-20"/>
                  <w:jc w:val="right"/>
                  <w:rPr>
                    <w:sz w:val="18"/>
                    <w:szCs w:val="18"/>
                  </w:rPr>
                </w:pPr>
                <w:r w:rsidRPr="00744C6D">
                  <w:rPr>
                    <w:rFonts w:ascii="Times New Roman" w:eastAsia="Times New Roman" w:hAnsi="Times New Roman"/>
                    <w:b/>
                    <w:bCs/>
                    <w:sz w:val="18"/>
                    <w:szCs w:val="18"/>
                  </w:rPr>
                  <w:t>1.090.416.141.850</w:t>
                </w:r>
              </w:p>
            </w:tc>
          </w:tr>
          <w:tr w:rsidR="0E4E29E4" w:rsidRPr="00744C6D" w14:paraId="0A08F8D5" w14:textId="77777777" w:rsidTr="00092474">
            <w:trPr>
              <w:trHeight w:val="340"/>
            </w:trPr>
            <w:tc>
              <w:tcPr>
                <w:tcW w:w="1266" w:type="dxa"/>
                <w:tcMar>
                  <w:left w:w="70" w:type="dxa"/>
                  <w:right w:w="70" w:type="dxa"/>
                </w:tcMar>
                <w:vAlign w:val="center"/>
              </w:tcPr>
              <w:p w14:paraId="1EAC1839" w14:textId="18992BFB" w:rsidR="0E4E29E4" w:rsidRPr="00744C6D" w:rsidRDefault="0E4E29E4" w:rsidP="0E4E29E4">
                <w:pPr>
                  <w:spacing w:after="0"/>
                  <w:ind w:left="-20" w:right="-20"/>
                  <w:rPr>
                    <w:sz w:val="18"/>
                    <w:szCs w:val="18"/>
                  </w:rPr>
                </w:pPr>
                <w:r w:rsidRPr="00744C6D">
                  <w:rPr>
                    <w:rFonts w:ascii="Times New Roman" w:eastAsia="Times New Roman" w:hAnsi="Times New Roman"/>
                    <w:color w:val="000000" w:themeColor="text1"/>
                    <w:sz w:val="18"/>
                    <w:szCs w:val="18"/>
                  </w:rPr>
                  <w:t>5.3.68.01</w:t>
                </w:r>
              </w:p>
            </w:tc>
            <w:tc>
              <w:tcPr>
                <w:tcW w:w="2552" w:type="dxa"/>
                <w:tcMar>
                  <w:left w:w="70" w:type="dxa"/>
                  <w:right w:w="70" w:type="dxa"/>
                </w:tcMar>
                <w:vAlign w:val="center"/>
              </w:tcPr>
              <w:p w14:paraId="23E49FAE" w14:textId="7D42F694" w:rsidR="0E4E29E4" w:rsidRPr="00744C6D" w:rsidRDefault="0E4E29E4" w:rsidP="0E4E29E4">
                <w:pPr>
                  <w:spacing w:after="0"/>
                  <w:ind w:left="-20" w:right="-20"/>
                  <w:rPr>
                    <w:sz w:val="18"/>
                    <w:szCs w:val="18"/>
                  </w:rPr>
                </w:pPr>
                <w:r w:rsidRPr="00744C6D">
                  <w:rPr>
                    <w:rFonts w:ascii="Times New Roman" w:eastAsia="Times New Roman" w:hAnsi="Times New Roman"/>
                    <w:color w:val="000000" w:themeColor="text1"/>
                    <w:sz w:val="18"/>
                    <w:szCs w:val="18"/>
                  </w:rPr>
                  <w:t>Civiles</w:t>
                </w:r>
              </w:p>
            </w:tc>
            <w:tc>
              <w:tcPr>
                <w:tcW w:w="1701" w:type="dxa"/>
                <w:tcMar>
                  <w:left w:w="70" w:type="dxa"/>
                  <w:right w:w="70" w:type="dxa"/>
                </w:tcMar>
                <w:vAlign w:val="center"/>
              </w:tcPr>
              <w:p w14:paraId="5985F893" w14:textId="1A5E2181" w:rsidR="0E4E29E4" w:rsidRPr="00744C6D" w:rsidRDefault="0E4E29E4" w:rsidP="0E4E29E4">
                <w:pPr>
                  <w:spacing w:after="0"/>
                  <w:ind w:left="-20" w:right="-20"/>
                  <w:jc w:val="right"/>
                  <w:rPr>
                    <w:sz w:val="18"/>
                    <w:szCs w:val="18"/>
                  </w:rPr>
                </w:pPr>
                <w:r w:rsidRPr="00744C6D">
                  <w:rPr>
                    <w:rFonts w:ascii="Times New Roman" w:eastAsia="Times New Roman" w:hAnsi="Times New Roman"/>
                    <w:sz w:val="18"/>
                    <w:szCs w:val="18"/>
                  </w:rPr>
                  <w:t>54.088.173</w:t>
                </w:r>
              </w:p>
            </w:tc>
            <w:tc>
              <w:tcPr>
                <w:tcW w:w="1537" w:type="dxa"/>
                <w:tcMar>
                  <w:left w:w="70" w:type="dxa"/>
                  <w:right w:w="70" w:type="dxa"/>
                </w:tcMar>
                <w:vAlign w:val="center"/>
              </w:tcPr>
              <w:p w14:paraId="6518263A" w14:textId="5D7E8B39" w:rsidR="0E4E29E4" w:rsidRPr="00744C6D" w:rsidRDefault="0E4E29E4" w:rsidP="0E4E29E4">
                <w:pPr>
                  <w:spacing w:after="0"/>
                  <w:ind w:left="-20" w:right="-20"/>
                  <w:jc w:val="right"/>
                  <w:rPr>
                    <w:sz w:val="18"/>
                    <w:szCs w:val="18"/>
                  </w:rPr>
                </w:pPr>
                <w:r w:rsidRPr="00744C6D">
                  <w:rPr>
                    <w:rFonts w:ascii="Times New Roman" w:eastAsia="Times New Roman" w:hAnsi="Times New Roman"/>
                    <w:sz w:val="18"/>
                    <w:szCs w:val="18"/>
                  </w:rPr>
                  <w:t>2.509.032.985</w:t>
                </w:r>
              </w:p>
            </w:tc>
            <w:tc>
              <w:tcPr>
                <w:tcW w:w="1914" w:type="dxa"/>
                <w:tcMar>
                  <w:left w:w="70" w:type="dxa"/>
                  <w:right w:w="70" w:type="dxa"/>
                </w:tcMar>
                <w:vAlign w:val="center"/>
              </w:tcPr>
              <w:p w14:paraId="02A9A1FB" w14:textId="238242D1" w:rsidR="0E4E29E4" w:rsidRPr="00744C6D" w:rsidRDefault="0E4E29E4" w:rsidP="0E4E29E4">
                <w:pPr>
                  <w:spacing w:after="0"/>
                  <w:ind w:left="-20" w:right="-20"/>
                  <w:jc w:val="right"/>
                  <w:rPr>
                    <w:sz w:val="18"/>
                    <w:szCs w:val="18"/>
                  </w:rPr>
                </w:pPr>
                <w:r w:rsidRPr="00744C6D">
                  <w:rPr>
                    <w:rFonts w:ascii="Times New Roman" w:eastAsia="Times New Roman" w:hAnsi="Times New Roman"/>
                    <w:sz w:val="18"/>
                    <w:szCs w:val="18"/>
                  </w:rPr>
                  <w:t>-2.454.944.812</w:t>
                </w:r>
              </w:p>
            </w:tc>
          </w:tr>
          <w:tr w:rsidR="0E4E29E4" w:rsidRPr="00744C6D" w14:paraId="32AA3BDE" w14:textId="77777777" w:rsidTr="00092474">
            <w:trPr>
              <w:trHeight w:val="340"/>
            </w:trPr>
            <w:tc>
              <w:tcPr>
                <w:tcW w:w="1266" w:type="dxa"/>
                <w:tcMar>
                  <w:left w:w="70" w:type="dxa"/>
                  <w:right w:w="70" w:type="dxa"/>
                </w:tcMar>
                <w:vAlign w:val="center"/>
              </w:tcPr>
              <w:p w14:paraId="0A0B2291" w14:textId="38A84133" w:rsidR="0E4E29E4" w:rsidRPr="00744C6D" w:rsidRDefault="0E4E29E4" w:rsidP="0E4E29E4">
                <w:pPr>
                  <w:spacing w:after="0"/>
                  <w:ind w:left="-20" w:right="-20"/>
                  <w:rPr>
                    <w:sz w:val="18"/>
                    <w:szCs w:val="18"/>
                  </w:rPr>
                </w:pPr>
                <w:r w:rsidRPr="00744C6D">
                  <w:rPr>
                    <w:rFonts w:ascii="Times New Roman" w:eastAsia="Times New Roman" w:hAnsi="Times New Roman"/>
                    <w:color w:val="000000" w:themeColor="text1"/>
                    <w:sz w:val="18"/>
                    <w:szCs w:val="18"/>
                  </w:rPr>
                  <w:t>5.3.68.03</w:t>
                </w:r>
              </w:p>
            </w:tc>
            <w:tc>
              <w:tcPr>
                <w:tcW w:w="2552" w:type="dxa"/>
                <w:tcMar>
                  <w:left w:w="70" w:type="dxa"/>
                  <w:right w:w="70" w:type="dxa"/>
                </w:tcMar>
                <w:vAlign w:val="center"/>
              </w:tcPr>
              <w:p w14:paraId="36DEEFFA" w14:textId="4E19E53A" w:rsidR="0E4E29E4" w:rsidRPr="00744C6D" w:rsidRDefault="0E4E29E4" w:rsidP="0E4E29E4">
                <w:pPr>
                  <w:spacing w:after="0"/>
                  <w:ind w:left="-20" w:right="-20"/>
                  <w:rPr>
                    <w:sz w:val="18"/>
                    <w:szCs w:val="18"/>
                  </w:rPr>
                </w:pPr>
                <w:r w:rsidRPr="00744C6D">
                  <w:rPr>
                    <w:rFonts w:ascii="Times New Roman" w:eastAsia="Times New Roman" w:hAnsi="Times New Roman"/>
                    <w:color w:val="000000" w:themeColor="text1"/>
                    <w:sz w:val="18"/>
                    <w:szCs w:val="18"/>
                  </w:rPr>
                  <w:t>Administrativas</w:t>
                </w:r>
              </w:p>
            </w:tc>
            <w:tc>
              <w:tcPr>
                <w:tcW w:w="1701" w:type="dxa"/>
                <w:tcMar>
                  <w:left w:w="70" w:type="dxa"/>
                  <w:right w:w="70" w:type="dxa"/>
                </w:tcMar>
                <w:vAlign w:val="center"/>
              </w:tcPr>
              <w:p w14:paraId="39CE7ACA" w14:textId="29E1A076" w:rsidR="0E4E29E4" w:rsidRPr="00744C6D" w:rsidRDefault="0E4E29E4" w:rsidP="0E4E29E4">
                <w:pPr>
                  <w:spacing w:after="0"/>
                  <w:ind w:left="-20" w:right="-20"/>
                  <w:jc w:val="right"/>
                  <w:rPr>
                    <w:sz w:val="18"/>
                    <w:szCs w:val="18"/>
                  </w:rPr>
                </w:pPr>
                <w:r w:rsidRPr="00744C6D">
                  <w:rPr>
                    <w:rFonts w:ascii="Times New Roman" w:eastAsia="Times New Roman" w:hAnsi="Times New Roman"/>
                    <w:sz w:val="18"/>
                    <w:szCs w:val="18"/>
                  </w:rPr>
                  <w:t>1.219.331.305.043</w:t>
                </w:r>
              </w:p>
            </w:tc>
            <w:tc>
              <w:tcPr>
                <w:tcW w:w="1537" w:type="dxa"/>
                <w:tcMar>
                  <w:left w:w="70" w:type="dxa"/>
                  <w:right w:w="70" w:type="dxa"/>
                </w:tcMar>
                <w:vAlign w:val="center"/>
              </w:tcPr>
              <w:p w14:paraId="5592C4BF" w14:textId="6A5B917E" w:rsidR="0E4E29E4" w:rsidRPr="00744C6D" w:rsidRDefault="0E4E29E4" w:rsidP="0E4E29E4">
                <w:pPr>
                  <w:spacing w:after="0"/>
                  <w:ind w:left="-20" w:right="-20"/>
                  <w:jc w:val="right"/>
                  <w:rPr>
                    <w:sz w:val="18"/>
                    <w:szCs w:val="18"/>
                  </w:rPr>
                </w:pPr>
                <w:r w:rsidRPr="00744C6D">
                  <w:rPr>
                    <w:rFonts w:ascii="Times New Roman" w:eastAsia="Times New Roman" w:hAnsi="Times New Roman"/>
                    <w:sz w:val="18"/>
                    <w:szCs w:val="18"/>
                  </w:rPr>
                  <w:t>28.153.245.614</w:t>
                </w:r>
              </w:p>
            </w:tc>
            <w:tc>
              <w:tcPr>
                <w:tcW w:w="1914" w:type="dxa"/>
                <w:tcMar>
                  <w:left w:w="70" w:type="dxa"/>
                  <w:right w:w="70" w:type="dxa"/>
                </w:tcMar>
                <w:vAlign w:val="center"/>
              </w:tcPr>
              <w:p w14:paraId="4113344D" w14:textId="7CE9B85F" w:rsidR="0E4E29E4" w:rsidRPr="00744C6D" w:rsidRDefault="0E4E29E4" w:rsidP="0E4E29E4">
                <w:pPr>
                  <w:spacing w:after="0"/>
                  <w:ind w:left="-20" w:right="-20"/>
                  <w:jc w:val="right"/>
                  <w:rPr>
                    <w:sz w:val="18"/>
                    <w:szCs w:val="18"/>
                  </w:rPr>
                </w:pPr>
                <w:r w:rsidRPr="00744C6D">
                  <w:rPr>
                    <w:rFonts w:ascii="Times New Roman" w:eastAsia="Times New Roman" w:hAnsi="Times New Roman"/>
                    <w:sz w:val="18"/>
                    <w:szCs w:val="18"/>
                  </w:rPr>
                  <w:t>1.191.178.059.429</w:t>
                </w:r>
              </w:p>
            </w:tc>
          </w:tr>
          <w:tr w:rsidR="0E4E29E4" w:rsidRPr="00744C6D" w14:paraId="49B1A7E2" w14:textId="77777777" w:rsidTr="00092474">
            <w:trPr>
              <w:trHeight w:val="340"/>
            </w:trPr>
            <w:tc>
              <w:tcPr>
                <w:tcW w:w="1266" w:type="dxa"/>
                <w:tcMar>
                  <w:left w:w="70" w:type="dxa"/>
                  <w:right w:w="70" w:type="dxa"/>
                </w:tcMar>
                <w:vAlign w:val="center"/>
              </w:tcPr>
              <w:p w14:paraId="53A0231F" w14:textId="3E62E275" w:rsidR="0E4E29E4" w:rsidRPr="00744C6D" w:rsidRDefault="0E4E29E4" w:rsidP="0E4E29E4">
                <w:pPr>
                  <w:spacing w:after="0"/>
                  <w:ind w:left="-20" w:right="-20"/>
                  <w:rPr>
                    <w:sz w:val="18"/>
                    <w:szCs w:val="18"/>
                  </w:rPr>
                </w:pPr>
                <w:r w:rsidRPr="00744C6D">
                  <w:rPr>
                    <w:rFonts w:ascii="Times New Roman" w:eastAsia="Times New Roman" w:hAnsi="Times New Roman"/>
                    <w:color w:val="000000" w:themeColor="text1"/>
                    <w:sz w:val="18"/>
                    <w:szCs w:val="18"/>
                  </w:rPr>
                  <w:t>5.3.68.05</w:t>
                </w:r>
              </w:p>
            </w:tc>
            <w:tc>
              <w:tcPr>
                <w:tcW w:w="2552" w:type="dxa"/>
                <w:tcMar>
                  <w:left w:w="70" w:type="dxa"/>
                  <w:right w:w="70" w:type="dxa"/>
                </w:tcMar>
                <w:vAlign w:val="center"/>
              </w:tcPr>
              <w:p w14:paraId="48F5273E" w14:textId="3B2EC12A" w:rsidR="0E4E29E4" w:rsidRPr="00744C6D" w:rsidRDefault="0E4E29E4" w:rsidP="0E4E29E4">
                <w:pPr>
                  <w:spacing w:after="0"/>
                  <w:ind w:left="-20" w:right="-20"/>
                  <w:rPr>
                    <w:sz w:val="18"/>
                    <w:szCs w:val="18"/>
                  </w:rPr>
                </w:pPr>
                <w:r w:rsidRPr="00744C6D">
                  <w:rPr>
                    <w:rFonts w:ascii="Times New Roman" w:eastAsia="Times New Roman" w:hAnsi="Times New Roman"/>
                    <w:color w:val="000000" w:themeColor="text1"/>
                    <w:sz w:val="18"/>
                    <w:szCs w:val="18"/>
                  </w:rPr>
                  <w:t>Laborales</w:t>
                </w:r>
              </w:p>
            </w:tc>
            <w:tc>
              <w:tcPr>
                <w:tcW w:w="1701" w:type="dxa"/>
                <w:tcMar>
                  <w:left w:w="70" w:type="dxa"/>
                  <w:right w:w="70" w:type="dxa"/>
                </w:tcMar>
                <w:vAlign w:val="center"/>
              </w:tcPr>
              <w:p w14:paraId="1192C887" w14:textId="2A34EC2E" w:rsidR="0E4E29E4" w:rsidRPr="00744C6D" w:rsidRDefault="0E4E29E4" w:rsidP="0E4E29E4">
                <w:pPr>
                  <w:spacing w:after="0"/>
                  <w:ind w:left="-20" w:right="-20"/>
                  <w:jc w:val="right"/>
                  <w:rPr>
                    <w:sz w:val="18"/>
                    <w:szCs w:val="18"/>
                  </w:rPr>
                </w:pPr>
                <w:r w:rsidRPr="00744C6D">
                  <w:rPr>
                    <w:rFonts w:ascii="Times New Roman" w:eastAsia="Times New Roman" w:hAnsi="Times New Roman"/>
                    <w:sz w:val="18"/>
                    <w:szCs w:val="18"/>
                  </w:rPr>
                  <w:t>269.959.228</w:t>
                </w:r>
              </w:p>
            </w:tc>
            <w:tc>
              <w:tcPr>
                <w:tcW w:w="1537" w:type="dxa"/>
                <w:tcMar>
                  <w:left w:w="70" w:type="dxa"/>
                  <w:right w:w="70" w:type="dxa"/>
                </w:tcMar>
                <w:vAlign w:val="center"/>
              </w:tcPr>
              <w:p w14:paraId="6F91C475" w14:textId="0EEE174A" w:rsidR="0E4E29E4" w:rsidRPr="00744C6D" w:rsidRDefault="0E4E29E4" w:rsidP="0E4E29E4">
                <w:pPr>
                  <w:spacing w:after="0"/>
                  <w:ind w:left="-20" w:right="-20"/>
                  <w:jc w:val="right"/>
                  <w:rPr>
                    <w:sz w:val="18"/>
                    <w:szCs w:val="18"/>
                  </w:rPr>
                </w:pPr>
                <w:r w:rsidRPr="00744C6D">
                  <w:rPr>
                    <w:rFonts w:ascii="Times New Roman" w:eastAsia="Times New Roman" w:hAnsi="Times New Roman"/>
                    <w:sz w:val="18"/>
                    <w:szCs w:val="18"/>
                  </w:rPr>
                  <w:t>105.916.514</w:t>
                </w:r>
              </w:p>
            </w:tc>
            <w:tc>
              <w:tcPr>
                <w:tcW w:w="1914" w:type="dxa"/>
                <w:tcMar>
                  <w:left w:w="70" w:type="dxa"/>
                  <w:right w:w="70" w:type="dxa"/>
                </w:tcMar>
                <w:vAlign w:val="center"/>
              </w:tcPr>
              <w:p w14:paraId="35FEAE8F" w14:textId="5B3F925A" w:rsidR="0E4E29E4" w:rsidRPr="00744C6D" w:rsidRDefault="0E4E29E4" w:rsidP="0E4E29E4">
                <w:pPr>
                  <w:spacing w:after="0"/>
                  <w:ind w:left="-20" w:right="-20"/>
                  <w:jc w:val="right"/>
                  <w:rPr>
                    <w:sz w:val="18"/>
                    <w:szCs w:val="18"/>
                  </w:rPr>
                </w:pPr>
                <w:r w:rsidRPr="00744C6D">
                  <w:rPr>
                    <w:rFonts w:ascii="Times New Roman" w:eastAsia="Times New Roman" w:hAnsi="Times New Roman"/>
                    <w:sz w:val="18"/>
                    <w:szCs w:val="18"/>
                  </w:rPr>
                  <w:t>164.042.714</w:t>
                </w:r>
              </w:p>
            </w:tc>
          </w:tr>
          <w:tr w:rsidR="0E4E29E4" w:rsidRPr="00744C6D" w14:paraId="16880CDB" w14:textId="77777777" w:rsidTr="00092474">
            <w:trPr>
              <w:trHeight w:val="340"/>
            </w:trPr>
            <w:tc>
              <w:tcPr>
                <w:tcW w:w="1266" w:type="dxa"/>
                <w:tcMar>
                  <w:left w:w="70" w:type="dxa"/>
                  <w:right w:w="70" w:type="dxa"/>
                </w:tcMar>
                <w:vAlign w:val="center"/>
              </w:tcPr>
              <w:p w14:paraId="20861789" w14:textId="5A6D7A47" w:rsidR="0E4E29E4" w:rsidRPr="00744C6D" w:rsidRDefault="0E4E29E4" w:rsidP="0E4E29E4">
                <w:pPr>
                  <w:spacing w:after="0"/>
                  <w:ind w:left="-20" w:right="-20"/>
                  <w:rPr>
                    <w:sz w:val="18"/>
                    <w:szCs w:val="18"/>
                  </w:rPr>
                </w:pPr>
                <w:r w:rsidRPr="00744C6D">
                  <w:rPr>
                    <w:rFonts w:ascii="Times New Roman" w:eastAsia="Times New Roman" w:hAnsi="Times New Roman"/>
                    <w:color w:val="000000" w:themeColor="text1"/>
                    <w:sz w:val="18"/>
                    <w:szCs w:val="18"/>
                  </w:rPr>
                  <w:t>5.3.68.90</w:t>
                </w:r>
              </w:p>
            </w:tc>
            <w:tc>
              <w:tcPr>
                <w:tcW w:w="2552" w:type="dxa"/>
                <w:tcMar>
                  <w:left w:w="70" w:type="dxa"/>
                  <w:right w:w="70" w:type="dxa"/>
                </w:tcMar>
                <w:vAlign w:val="center"/>
              </w:tcPr>
              <w:p w14:paraId="0C513FC9" w14:textId="6AD7DD45" w:rsidR="0E4E29E4" w:rsidRPr="00744C6D" w:rsidRDefault="0E4E29E4" w:rsidP="0E4E29E4">
                <w:pPr>
                  <w:spacing w:after="0"/>
                  <w:ind w:left="-20" w:right="-20"/>
                  <w:rPr>
                    <w:sz w:val="18"/>
                    <w:szCs w:val="18"/>
                  </w:rPr>
                </w:pPr>
                <w:r w:rsidRPr="00744C6D">
                  <w:rPr>
                    <w:rFonts w:ascii="Times New Roman" w:eastAsia="Times New Roman" w:hAnsi="Times New Roman"/>
                    <w:color w:val="000000" w:themeColor="text1"/>
                    <w:sz w:val="18"/>
                    <w:szCs w:val="18"/>
                  </w:rPr>
                  <w:t>Otros litigios y demandas</w:t>
                </w:r>
              </w:p>
            </w:tc>
            <w:tc>
              <w:tcPr>
                <w:tcW w:w="1701" w:type="dxa"/>
                <w:tcMar>
                  <w:left w:w="70" w:type="dxa"/>
                  <w:right w:w="70" w:type="dxa"/>
                </w:tcMar>
                <w:vAlign w:val="center"/>
              </w:tcPr>
              <w:p w14:paraId="4594C3ED" w14:textId="5E5E08A9" w:rsidR="0E4E29E4" w:rsidRPr="00744C6D" w:rsidRDefault="0E4E29E4" w:rsidP="0E4E29E4">
                <w:pPr>
                  <w:spacing w:after="0"/>
                  <w:ind w:left="-20" w:right="-20"/>
                  <w:jc w:val="right"/>
                  <w:rPr>
                    <w:sz w:val="18"/>
                    <w:szCs w:val="18"/>
                  </w:rPr>
                </w:pPr>
                <w:r w:rsidRPr="00744C6D">
                  <w:rPr>
                    <w:rFonts w:ascii="Times New Roman" w:eastAsia="Times New Roman" w:hAnsi="Times New Roman"/>
                    <w:sz w:val="18"/>
                    <w:szCs w:val="18"/>
                  </w:rPr>
                  <w:t>650.482.179.352</w:t>
                </w:r>
              </w:p>
            </w:tc>
            <w:tc>
              <w:tcPr>
                <w:tcW w:w="1537" w:type="dxa"/>
                <w:tcMar>
                  <w:left w:w="70" w:type="dxa"/>
                  <w:right w:w="70" w:type="dxa"/>
                </w:tcMar>
                <w:vAlign w:val="center"/>
              </w:tcPr>
              <w:p w14:paraId="4170A1E7" w14:textId="4DE811B8" w:rsidR="0E4E29E4" w:rsidRPr="00744C6D" w:rsidRDefault="0E4E29E4" w:rsidP="0E4E29E4">
                <w:pPr>
                  <w:spacing w:after="0"/>
                  <w:ind w:left="-20" w:right="-20"/>
                  <w:jc w:val="right"/>
                  <w:rPr>
                    <w:sz w:val="18"/>
                    <w:szCs w:val="18"/>
                  </w:rPr>
                </w:pPr>
                <w:r w:rsidRPr="00744C6D">
                  <w:rPr>
                    <w:rFonts w:ascii="Times New Roman" w:eastAsia="Times New Roman" w:hAnsi="Times New Roman"/>
                    <w:sz w:val="18"/>
                    <w:szCs w:val="18"/>
                  </w:rPr>
                  <w:t>748.953.194.832</w:t>
                </w:r>
              </w:p>
            </w:tc>
            <w:tc>
              <w:tcPr>
                <w:tcW w:w="1914" w:type="dxa"/>
                <w:tcMar>
                  <w:left w:w="70" w:type="dxa"/>
                  <w:right w:w="70" w:type="dxa"/>
                </w:tcMar>
                <w:vAlign w:val="center"/>
              </w:tcPr>
              <w:p w14:paraId="77DDFB55" w14:textId="3CD00B69" w:rsidR="0E4E29E4" w:rsidRPr="00744C6D" w:rsidRDefault="0E4E29E4" w:rsidP="0E4E29E4">
                <w:pPr>
                  <w:spacing w:after="0"/>
                  <w:ind w:left="-20" w:right="-20"/>
                  <w:jc w:val="right"/>
                  <w:rPr>
                    <w:sz w:val="18"/>
                    <w:szCs w:val="18"/>
                  </w:rPr>
                </w:pPr>
                <w:r w:rsidRPr="00744C6D">
                  <w:rPr>
                    <w:rFonts w:ascii="Times New Roman" w:eastAsia="Times New Roman" w:hAnsi="Times New Roman"/>
                    <w:sz w:val="18"/>
                    <w:szCs w:val="18"/>
                  </w:rPr>
                  <w:t>-98.471.015.481</w:t>
                </w:r>
              </w:p>
            </w:tc>
          </w:tr>
        </w:tbl>
        <w:p w14:paraId="6779FFD6" w14:textId="77777777" w:rsidR="00744C6D" w:rsidRDefault="00744C6D" w:rsidP="0E4E29E4">
          <w:pPr>
            <w:ind w:left="-20" w:right="-20"/>
            <w:jc w:val="both"/>
            <w:rPr>
              <w:rFonts w:ascii="Times New Roman" w:eastAsia="Times New Roman" w:hAnsi="Times New Roman"/>
              <w:sz w:val="24"/>
              <w:szCs w:val="24"/>
            </w:rPr>
          </w:pPr>
        </w:p>
        <w:p w14:paraId="6EC87D05" w14:textId="2DC130CD" w:rsidR="003A4D8E" w:rsidRPr="00931DCE" w:rsidRDefault="64C58135" w:rsidP="0E4E29E4">
          <w:pPr>
            <w:ind w:left="-20" w:right="-20"/>
            <w:jc w:val="both"/>
          </w:pPr>
          <w:r w:rsidRPr="0E4E29E4">
            <w:rPr>
              <w:rFonts w:ascii="Times New Roman" w:eastAsia="Times New Roman" w:hAnsi="Times New Roman"/>
              <w:sz w:val="24"/>
              <w:szCs w:val="24"/>
            </w:rPr>
            <w:t xml:space="preserve">La disminución presentada en el 2023, con respecto al año 2022, en el grupo </w:t>
          </w:r>
          <w:r w:rsidRPr="0E4E29E4">
            <w:rPr>
              <w:rFonts w:ascii="Times New Roman" w:eastAsia="Times New Roman" w:hAnsi="Times New Roman"/>
              <w:i/>
              <w:iCs/>
              <w:sz w:val="24"/>
              <w:szCs w:val="24"/>
            </w:rPr>
            <w:t>Operaciones interinstitucionales (3)</w:t>
          </w:r>
          <w:r w:rsidRPr="0E4E29E4">
            <w:rPr>
              <w:rFonts w:ascii="Times New Roman" w:eastAsia="Times New Roman" w:hAnsi="Times New Roman"/>
              <w:sz w:val="24"/>
              <w:szCs w:val="24"/>
            </w:rPr>
            <w:t xml:space="preserve"> por valor de $-374.067.334.308 corresponde a un menor valor devuelto a la Tesorería Centralizada para la vigencia 2023 de recursos por liquidaciones de proyectos de concesión y rendimientos financieros.</w:t>
          </w:r>
        </w:p>
        <w:p w14:paraId="79F72813" w14:textId="3364D61C" w:rsidR="003A4D8E" w:rsidRPr="00931DCE" w:rsidRDefault="64C58135" w:rsidP="0E4E29E4">
          <w:pPr>
            <w:ind w:left="-20" w:right="-20"/>
            <w:jc w:val="both"/>
          </w:pPr>
          <w:r w:rsidRPr="0E4E29E4">
            <w:rPr>
              <w:rFonts w:ascii="Times New Roman" w:eastAsia="Times New Roman" w:hAnsi="Times New Roman"/>
              <w:sz w:val="24"/>
              <w:szCs w:val="24"/>
            </w:rPr>
            <w:t xml:space="preserve">El incremento neto en el año 2023 en el grupo </w:t>
          </w:r>
          <w:r w:rsidRPr="0E4E29E4">
            <w:rPr>
              <w:rFonts w:ascii="Times New Roman" w:eastAsia="Times New Roman" w:hAnsi="Times New Roman"/>
              <w:i/>
              <w:iCs/>
              <w:sz w:val="24"/>
              <w:szCs w:val="24"/>
            </w:rPr>
            <w:t>De administración y operación (4)</w:t>
          </w:r>
          <w:r w:rsidRPr="0E4E29E4">
            <w:rPr>
              <w:rFonts w:ascii="Times New Roman" w:eastAsia="Times New Roman" w:hAnsi="Times New Roman"/>
              <w:sz w:val="24"/>
              <w:szCs w:val="24"/>
            </w:rPr>
            <w:t xml:space="preserve"> por valor de $ 97.140.526.260, con relación al año 2022, corresponde a un incremento neto en la cuenta </w:t>
          </w:r>
          <w:r w:rsidRPr="0E4E29E4">
            <w:rPr>
              <w:rFonts w:ascii="Times New Roman" w:eastAsia="Times New Roman" w:hAnsi="Times New Roman"/>
              <w:i/>
              <w:iCs/>
              <w:sz w:val="24"/>
              <w:szCs w:val="24"/>
            </w:rPr>
            <w:t>Generales</w:t>
          </w:r>
          <w:r w:rsidRPr="0E4E29E4">
            <w:rPr>
              <w:rFonts w:ascii="Times New Roman" w:eastAsia="Times New Roman" w:hAnsi="Times New Roman"/>
              <w:sz w:val="24"/>
              <w:szCs w:val="24"/>
            </w:rPr>
            <w:t xml:space="preserve"> por valor de $85.510.005.333, por gastos en que incurre la ANI para su normal funcionamiento en cumplimiento de su cometido estatal.</w:t>
          </w:r>
        </w:p>
        <w:p w14:paraId="71086650" w14:textId="1A9F55B7" w:rsidR="003A4D8E" w:rsidRPr="00931DCE" w:rsidRDefault="64C58135" w:rsidP="0E4E29E4">
          <w:pPr>
            <w:ind w:left="-20" w:right="-20"/>
            <w:jc w:val="both"/>
          </w:pPr>
          <w:r w:rsidRPr="0E4E29E4">
            <w:rPr>
              <w:rFonts w:ascii="Times New Roman" w:eastAsia="Times New Roman" w:hAnsi="Times New Roman"/>
              <w:sz w:val="24"/>
              <w:szCs w:val="24"/>
            </w:rPr>
            <w:t xml:space="preserve">La disminución presentada en el 2023, en el grupo </w:t>
          </w:r>
          <w:r w:rsidRPr="0E4E29E4">
            <w:rPr>
              <w:rFonts w:ascii="Times New Roman" w:eastAsia="Times New Roman" w:hAnsi="Times New Roman"/>
              <w:i/>
              <w:iCs/>
              <w:sz w:val="24"/>
              <w:szCs w:val="24"/>
            </w:rPr>
            <w:t>Transferencias y subvenciones (5)</w:t>
          </w:r>
          <w:r w:rsidRPr="0E4E29E4">
            <w:rPr>
              <w:rFonts w:ascii="Times New Roman" w:eastAsia="Times New Roman" w:hAnsi="Times New Roman"/>
              <w:sz w:val="24"/>
              <w:szCs w:val="24"/>
            </w:rPr>
            <w:t xml:space="preserve">, con relación al año 2022, por valor de $ -9.149.600.941 corresponde a menores valores registrados en este grupo en el 2023.  Por su parte, el valor registrado en el año 2023 se describe en el subtítulo </w:t>
          </w:r>
          <w:r w:rsidRPr="0E4E29E4">
            <w:rPr>
              <w:rFonts w:ascii="Times New Roman" w:eastAsia="Times New Roman" w:hAnsi="Times New Roman"/>
              <w:i/>
              <w:iCs/>
              <w:sz w:val="24"/>
              <w:szCs w:val="24"/>
            </w:rPr>
            <w:t>29.3.</w:t>
          </w:r>
          <w:r w:rsidR="001F541A">
            <w:tab/>
          </w:r>
          <w:r w:rsidRPr="0E4E29E4">
            <w:rPr>
              <w:rFonts w:ascii="Times New Roman" w:eastAsia="Times New Roman" w:hAnsi="Times New Roman"/>
              <w:i/>
              <w:iCs/>
              <w:sz w:val="24"/>
              <w:szCs w:val="24"/>
            </w:rPr>
            <w:t>Transferencias y subvenciones</w:t>
          </w:r>
          <w:r w:rsidRPr="0E4E29E4">
            <w:rPr>
              <w:rFonts w:ascii="Times New Roman" w:eastAsia="Times New Roman" w:hAnsi="Times New Roman"/>
              <w:sz w:val="24"/>
              <w:szCs w:val="24"/>
            </w:rPr>
            <w:t>.</w:t>
          </w:r>
        </w:p>
        <w:p w14:paraId="0DDCE811" w14:textId="773FCDAE" w:rsidR="003A4D8E" w:rsidRPr="00931DCE" w:rsidRDefault="64C58135" w:rsidP="0E4E29E4">
          <w:pPr>
            <w:ind w:left="-20" w:right="-20"/>
            <w:jc w:val="both"/>
          </w:pPr>
          <w:r w:rsidRPr="0E4E29E4">
            <w:rPr>
              <w:rFonts w:ascii="Times New Roman" w:eastAsia="Times New Roman" w:hAnsi="Times New Roman"/>
              <w:sz w:val="24"/>
              <w:szCs w:val="24"/>
            </w:rPr>
            <w:t xml:space="preserve"> </w:t>
          </w:r>
        </w:p>
        <w:p w14:paraId="1B884513" w14:textId="64BD8C30" w:rsidR="003A4D8E" w:rsidRPr="00931DCE" w:rsidRDefault="64C58135" w:rsidP="0E4E29E4">
          <w:pPr>
            <w:pStyle w:val="Ttulo2"/>
            <w:numPr>
              <w:ilvl w:val="0"/>
              <w:numId w:val="0"/>
            </w:numPr>
            <w:spacing w:line="254" w:lineRule="auto"/>
            <w:ind w:right="-20"/>
            <w:rPr>
              <w:rFonts w:eastAsia="Times New Roman" w:cs="Times New Roman"/>
              <w:bCs/>
              <w:szCs w:val="24"/>
            </w:rPr>
          </w:pPr>
          <w:bookmarkStart w:id="115" w:name="_Toc159952439"/>
          <w:r w:rsidRPr="0E4E29E4">
            <w:rPr>
              <w:rFonts w:eastAsia="Times New Roman" w:cs="Times New Roman"/>
              <w:bCs/>
              <w:szCs w:val="24"/>
            </w:rPr>
            <w:t>29.1.</w:t>
          </w:r>
          <w:r w:rsidRPr="0E4E29E4">
            <w:rPr>
              <w:rFonts w:eastAsia="Times New Roman" w:cs="Times New Roman"/>
              <w:b w:val="0"/>
              <w:sz w:val="14"/>
              <w:szCs w:val="14"/>
            </w:rPr>
            <w:t xml:space="preserve">   </w:t>
          </w:r>
          <w:r w:rsidRPr="0E4E29E4">
            <w:rPr>
              <w:rFonts w:eastAsia="Times New Roman" w:cs="Times New Roman"/>
              <w:bCs/>
              <w:szCs w:val="24"/>
            </w:rPr>
            <w:t>Gastos de administración, de operación y de ventas</w:t>
          </w:r>
          <w:bookmarkEnd w:id="115"/>
        </w:p>
        <w:p w14:paraId="69223C8B" w14:textId="1BF1AACE" w:rsidR="003A4D8E" w:rsidRPr="00931DCE" w:rsidRDefault="64C58135" w:rsidP="0E4E29E4">
          <w:pPr>
            <w:ind w:left="-20" w:right="-20"/>
            <w:jc w:val="both"/>
          </w:pPr>
          <w:r w:rsidRPr="0E4E29E4">
            <w:rPr>
              <w:rFonts w:ascii="Times New Roman" w:eastAsia="Times New Roman" w:hAnsi="Times New Roman"/>
              <w:sz w:val="24"/>
              <w:szCs w:val="24"/>
            </w:rPr>
            <w:t xml:space="preserve"> </w:t>
          </w:r>
        </w:p>
        <w:tbl>
          <w:tblPr>
            <w:tblW w:w="5000" w:type="pct"/>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1018"/>
            <w:gridCol w:w="458"/>
            <w:gridCol w:w="1958"/>
            <w:gridCol w:w="1200"/>
            <w:gridCol w:w="1200"/>
            <w:gridCol w:w="1120"/>
            <w:gridCol w:w="1200"/>
            <w:gridCol w:w="805"/>
          </w:tblGrid>
          <w:tr w:rsidR="0E4E29E4" w:rsidRPr="00321C9E" w14:paraId="5BB63AD2" w14:textId="77777777" w:rsidTr="00053D6D">
            <w:trPr>
              <w:trHeight w:val="300"/>
              <w:tblHeader/>
            </w:trPr>
            <w:tc>
              <w:tcPr>
                <w:tcW w:w="2150" w:type="pct"/>
                <w:gridSpan w:val="3"/>
                <w:tcMar>
                  <w:left w:w="70" w:type="dxa"/>
                  <w:right w:w="70" w:type="dxa"/>
                </w:tcMar>
                <w:vAlign w:val="center"/>
              </w:tcPr>
              <w:p w14:paraId="7CFE3981" w14:textId="70152277" w:rsidR="0E4E29E4" w:rsidRPr="00321C9E" w:rsidRDefault="0E4E29E4" w:rsidP="0E4E29E4">
                <w:pPr>
                  <w:spacing w:after="0"/>
                  <w:ind w:left="-20" w:right="-20"/>
                  <w:jc w:val="center"/>
                  <w:rPr>
                    <w:sz w:val="16"/>
                    <w:szCs w:val="16"/>
                  </w:rPr>
                </w:pPr>
                <w:r w:rsidRPr="00321C9E">
                  <w:rPr>
                    <w:rFonts w:ascii="Times New Roman" w:eastAsia="Times New Roman" w:hAnsi="Times New Roman"/>
                    <w:b/>
                    <w:bCs/>
                    <w:sz w:val="16"/>
                    <w:szCs w:val="16"/>
                  </w:rPr>
                  <w:t>DESCRIPCIÓN</w:t>
                </w:r>
              </w:p>
            </w:tc>
            <w:tc>
              <w:tcPr>
                <w:tcW w:w="1175" w:type="pct"/>
                <w:gridSpan w:val="2"/>
                <w:tcMar>
                  <w:left w:w="70" w:type="dxa"/>
                  <w:right w:w="70" w:type="dxa"/>
                </w:tcMar>
                <w:vAlign w:val="center"/>
              </w:tcPr>
              <w:p w14:paraId="1A90F508" w14:textId="7E1B3429" w:rsidR="0E4E29E4" w:rsidRPr="00321C9E" w:rsidRDefault="0E4E29E4" w:rsidP="0E4E29E4">
                <w:pPr>
                  <w:spacing w:after="0"/>
                  <w:ind w:left="-20" w:right="-20"/>
                  <w:jc w:val="center"/>
                  <w:rPr>
                    <w:sz w:val="16"/>
                    <w:szCs w:val="16"/>
                  </w:rPr>
                </w:pPr>
                <w:r w:rsidRPr="00321C9E">
                  <w:rPr>
                    <w:rFonts w:ascii="Times New Roman" w:eastAsia="Times New Roman" w:hAnsi="Times New Roman"/>
                    <w:b/>
                    <w:bCs/>
                    <w:sz w:val="16"/>
                    <w:szCs w:val="16"/>
                  </w:rPr>
                  <w:t>SALDOS A CORTES DE VIGENCIA</w:t>
                </w:r>
              </w:p>
            </w:tc>
            <w:tc>
              <w:tcPr>
                <w:tcW w:w="594" w:type="pct"/>
                <w:tcMar>
                  <w:left w:w="70" w:type="dxa"/>
                  <w:right w:w="70" w:type="dxa"/>
                </w:tcMar>
                <w:vAlign w:val="center"/>
              </w:tcPr>
              <w:p w14:paraId="0E568122" w14:textId="2773902D" w:rsidR="0E4E29E4" w:rsidRPr="00321C9E" w:rsidRDefault="0E4E29E4" w:rsidP="0E4E29E4">
                <w:pPr>
                  <w:spacing w:after="0"/>
                  <w:ind w:left="-20" w:right="-20"/>
                  <w:jc w:val="center"/>
                  <w:rPr>
                    <w:sz w:val="16"/>
                    <w:szCs w:val="16"/>
                  </w:rPr>
                </w:pPr>
                <w:r w:rsidRPr="00321C9E">
                  <w:rPr>
                    <w:rFonts w:ascii="Times New Roman" w:eastAsia="Times New Roman" w:hAnsi="Times New Roman"/>
                    <w:b/>
                    <w:bCs/>
                    <w:sz w:val="16"/>
                    <w:szCs w:val="16"/>
                  </w:rPr>
                  <w:t>VARIACIÓN</w:t>
                </w:r>
              </w:p>
            </w:tc>
            <w:tc>
              <w:tcPr>
                <w:tcW w:w="1081" w:type="pct"/>
                <w:gridSpan w:val="2"/>
                <w:tcMar>
                  <w:left w:w="70" w:type="dxa"/>
                  <w:right w:w="70" w:type="dxa"/>
                </w:tcMar>
                <w:vAlign w:val="center"/>
              </w:tcPr>
              <w:p w14:paraId="77939ABC" w14:textId="775DA73B" w:rsidR="0E4E29E4" w:rsidRPr="00321C9E" w:rsidRDefault="0E4E29E4" w:rsidP="0E4E29E4">
                <w:pPr>
                  <w:spacing w:after="0"/>
                  <w:ind w:left="-20" w:right="-20"/>
                  <w:jc w:val="center"/>
                  <w:rPr>
                    <w:sz w:val="16"/>
                    <w:szCs w:val="16"/>
                  </w:rPr>
                </w:pPr>
                <w:r w:rsidRPr="00321C9E">
                  <w:rPr>
                    <w:rFonts w:ascii="Times New Roman" w:eastAsia="Times New Roman" w:hAnsi="Times New Roman"/>
                    <w:b/>
                    <w:bCs/>
                    <w:sz w:val="16"/>
                    <w:szCs w:val="16"/>
                  </w:rPr>
                  <w:t>DETALLE</w:t>
                </w:r>
              </w:p>
            </w:tc>
          </w:tr>
          <w:tr w:rsidR="0E4E29E4" w:rsidRPr="00321C9E" w14:paraId="79F73873" w14:textId="77777777" w:rsidTr="00053D6D">
            <w:trPr>
              <w:trHeight w:val="570"/>
              <w:tblHeader/>
            </w:trPr>
            <w:tc>
              <w:tcPr>
                <w:tcW w:w="416" w:type="pct"/>
                <w:tcMar>
                  <w:left w:w="70" w:type="dxa"/>
                  <w:right w:w="70" w:type="dxa"/>
                </w:tcMar>
                <w:vAlign w:val="center"/>
              </w:tcPr>
              <w:p w14:paraId="098D906B" w14:textId="49296BD2" w:rsidR="0E4E29E4" w:rsidRPr="00321C9E" w:rsidRDefault="0E4E29E4" w:rsidP="0E4E29E4">
                <w:pPr>
                  <w:spacing w:after="0"/>
                  <w:ind w:left="-20" w:right="-20"/>
                  <w:jc w:val="center"/>
                  <w:rPr>
                    <w:sz w:val="16"/>
                    <w:szCs w:val="16"/>
                  </w:rPr>
                </w:pPr>
                <w:r w:rsidRPr="00321C9E">
                  <w:rPr>
                    <w:rFonts w:ascii="Times New Roman" w:eastAsia="Times New Roman" w:hAnsi="Times New Roman"/>
                    <w:b/>
                    <w:bCs/>
                    <w:sz w:val="16"/>
                    <w:szCs w:val="16"/>
                  </w:rPr>
                  <w:t>CÓDIGO CONTABLE</w:t>
                </w:r>
              </w:p>
            </w:tc>
            <w:tc>
              <w:tcPr>
                <w:tcW w:w="250" w:type="pct"/>
                <w:tcMar>
                  <w:left w:w="70" w:type="dxa"/>
                  <w:right w:w="70" w:type="dxa"/>
                </w:tcMar>
                <w:vAlign w:val="center"/>
              </w:tcPr>
              <w:p w14:paraId="0688AA20" w14:textId="5F6FF46C" w:rsidR="0E4E29E4" w:rsidRPr="00321C9E" w:rsidRDefault="0E4E29E4" w:rsidP="0E4E29E4">
                <w:pPr>
                  <w:spacing w:after="0"/>
                  <w:ind w:left="-20" w:right="-20"/>
                  <w:jc w:val="center"/>
                  <w:rPr>
                    <w:sz w:val="16"/>
                    <w:szCs w:val="16"/>
                  </w:rPr>
                </w:pPr>
                <w:r w:rsidRPr="00321C9E">
                  <w:rPr>
                    <w:rFonts w:ascii="Times New Roman" w:eastAsia="Times New Roman" w:hAnsi="Times New Roman"/>
                    <w:b/>
                    <w:bCs/>
                    <w:sz w:val="16"/>
                    <w:szCs w:val="16"/>
                  </w:rPr>
                  <w:t>NAT</w:t>
                </w:r>
              </w:p>
            </w:tc>
            <w:tc>
              <w:tcPr>
                <w:tcW w:w="1484" w:type="pct"/>
                <w:tcMar>
                  <w:left w:w="70" w:type="dxa"/>
                  <w:right w:w="70" w:type="dxa"/>
                </w:tcMar>
                <w:vAlign w:val="center"/>
              </w:tcPr>
              <w:p w14:paraId="78257CF8" w14:textId="2254BCA5" w:rsidR="0E4E29E4" w:rsidRPr="00321C9E" w:rsidRDefault="0E4E29E4" w:rsidP="0E4E29E4">
                <w:pPr>
                  <w:spacing w:after="0"/>
                  <w:ind w:left="-20" w:right="-20"/>
                  <w:jc w:val="center"/>
                  <w:rPr>
                    <w:sz w:val="16"/>
                    <w:szCs w:val="16"/>
                  </w:rPr>
                </w:pPr>
                <w:r w:rsidRPr="00321C9E">
                  <w:rPr>
                    <w:rFonts w:ascii="Times New Roman" w:eastAsia="Times New Roman" w:hAnsi="Times New Roman"/>
                    <w:b/>
                    <w:bCs/>
                    <w:sz w:val="16"/>
                    <w:szCs w:val="16"/>
                  </w:rPr>
                  <w:t>CONCEPTO</w:t>
                </w:r>
              </w:p>
            </w:tc>
            <w:tc>
              <w:tcPr>
                <w:tcW w:w="600" w:type="pct"/>
                <w:tcMar>
                  <w:left w:w="70" w:type="dxa"/>
                  <w:right w:w="70" w:type="dxa"/>
                </w:tcMar>
                <w:vAlign w:val="center"/>
              </w:tcPr>
              <w:p w14:paraId="41AFC8AF" w14:textId="499AE83A" w:rsidR="0E4E29E4" w:rsidRPr="00321C9E" w:rsidRDefault="0E4E29E4" w:rsidP="0E4E29E4">
                <w:pPr>
                  <w:spacing w:after="0"/>
                  <w:ind w:left="-20" w:right="-20"/>
                  <w:jc w:val="center"/>
                  <w:rPr>
                    <w:sz w:val="16"/>
                    <w:szCs w:val="16"/>
                  </w:rPr>
                </w:pPr>
                <w:r w:rsidRPr="00321C9E">
                  <w:rPr>
                    <w:rFonts w:ascii="Times New Roman" w:eastAsia="Times New Roman" w:hAnsi="Times New Roman"/>
                    <w:b/>
                    <w:bCs/>
                    <w:sz w:val="16"/>
                    <w:szCs w:val="16"/>
                  </w:rPr>
                  <w:t xml:space="preserve">2023 </w:t>
                </w:r>
              </w:p>
            </w:tc>
            <w:tc>
              <w:tcPr>
                <w:tcW w:w="575" w:type="pct"/>
                <w:tcMar>
                  <w:left w:w="70" w:type="dxa"/>
                  <w:right w:w="70" w:type="dxa"/>
                </w:tcMar>
                <w:vAlign w:val="center"/>
              </w:tcPr>
              <w:p w14:paraId="022AFDEA" w14:textId="41F8B92E" w:rsidR="0E4E29E4" w:rsidRPr="00321C9E" w:rsidRDefault="0E4E29E4" w:rsidP="0E4E29E4">
                <w:pPr>
                  <w:spacing w:after="0"/>
                  <w:ind w:left="-20" w:right="-20"/>
                  <w:jc w:val="center"/>
                  <w:rPr>
                    <w:sz w:val="16"/>
                    <w:szCs w:val="16"/>
                  </w:rPr>
                </w:pPr>
                <w:r w:rsidRPr="00321C9E">
                  <w:rPr>
                    <w:rFonts w:ascii="Times New Roman" w:eastAsia="Times New Roman" w:hAnsi="Times New Roman"/>
                    <w:b/>
                    <w:bCs/>
                    <w:sz w:val="16"/>
                    <w:szCs w:val="16"/>
                  </w:rPr>
                  <w:t xml:space="preserve">2022 </w:t>
                </w:r>
              </w:p>
            </w:tc>
            <w:tc>
              <w:tcPr>
                <w:tcW w:w="594" w:type="pct"/>
                <w:tcMar>
                  <w:left w:w="70" w:type="dxa"/>
                  <w:right w:w="70" w:type="dxa"/>
                </w:tcMar>
                <w:vAlign w:val="center"/>
              </w:tcPr>
              <w:p w14:paraId="3D4C346E" w14:textId="0B9D1079" w:rsidR="0E4E29E4" w:rsidRPr="00321C9E" w:rsidRDefault="0E4E29E4" w:rsidP="0E4E29E4">
                <w:pPr>
                  <w:spacing w:after="0"/>
                  <w:ind w:left="-20" w:right="-20"/>
                  <w:jc w:val="center"/>
                  <w:rPr>
                    <w:sz w:val="16"/>
                    <w:szCs w:val="16"/>
                  </w:rPr>
                </w:pPr>
                <w:r w:rsidRPr="00321C9E">
                  <w:rPr>
                    <w:rFonts w:ascii="Times New Roman" w:eastAsia="Times New Roman" w:hAnsi="Times New Roman"/>
                    <w:b/>
                    <w:bCs/>
                    <w:sz w:val="16"/>
                    <w:szCs w:val="16"/>
                  </w:rPr>
                  <w:t>VALOR VARIACIÓN</w:t>
                </w:r>
              </w:p>
            </w:tc>
            <w:tc>
              <w:tcPr>
                <w:tcW w:w="594" w:type="pct"/>
                <w:tcMar>
                  <w:left w:w="70" w:type="dxa"/>
                  <w:right w:w="70" w:type="dxa"/>
                </w:tcMar>
                <w:vAlign w:val="center"/>
              </w:tcPr>
              <w:p w14:paraId="6D7B8F19" w14:textId="474F259F" w:rsidR="0E4E29E4" w:rsidRPr="00321C9E" w:rsidRDefault="0E4E29E4" w:rsidP="0E4E29E4">
                <w:pPr>
                  <w:spacing w:after="0"/>
                  <w:ind w:left="-20" w:right="-20"/>
                  <w:jc w:val="center"/>
                  <w:rPr>
                    <w:sz w:val="16"/>
                    <w:szCs w:val="16"/>
                  </w:rPr>
                </w:pPr>
                <w:r w:rsidRPr="00321C9E">
                  <w:rPr>
                    <w:rFonts w:ascii="Times New Roman" w:eastAsia="Times New Roman" w:hAnsi="Times New Roman"/>
                    <w:b/>
                    <w:bCs/>
                    <w:sz w:val="16"/>
                    <w:szCs w:val="16"/>
                  </w:rPr>
                  <w:t>EN DINERO 2023</w:t>
                </w:r>
              </w:p>
            </w:tc>
            <w:tc>
              <w:tcPr>
                <w:tcW w:w="487" w:type="pct"/>
                <w:tcMar>
                  <w:left w:w="70" w:type="dxa"/>
                  <w:right w:w="70" w:type="dxa"/>
                </w:tcMar>
                <w:vAlign w:val="center"/>
              </w:tcPr>
              <w:p w14:paraId="50A6BC2B" w14:textId="38FB6F2F" w:rsidR="0E4E29E4" w:rsidRPr="00321C9E" w:rsidRDefault="0E4E29E4" w:rsidP="0E4E29E4">
                <w:pPr>
                  <w:spacing w:after="0"/>
                  <w:ind w:left="-20" w:right="-20"/>
                  <w:jc w:val="center"/>
                  <w:rPr>
                    <w:sz w:val="16"/>
                    <w:szCs w:val="16"/>
                  </w:rPr>
                </w:pPr>
                <w:r w:rsidRPr="00321C9E">
                  <w:rPr>
                    <w:rFonts w:ascii="Times New Roman" w:eastAsia="Times New Roman" w:hAnsi="Times New Roman"/>
                    <w:b/>
                    <w:bCs/>
                    <w:sz w:val="16"/>
                    <w:szCs w:val="16"/>
                  </w:rPr>
                  <w:t>EN ESPECIE 2023</w:t>
                </w:r>
              </w:p>
            </w:tc>
          </w:tr>
          <w:tr w:rsidR="0E4E29E4" w:rsidRPr="00321C9E" w14:paraId="01E3F248" w14:textId="77777777" w:rsidTr="00CA026F">
            <w:trPr>
              <w:trHeight w:val="570"/>
            </w:trPr>
            <w:tc>
              <w:tcPr>
                <w:tcW w:w="416" w:type="pct"/>
                <w:tcMar>
                  <w:left w:w="70" w:type="dxa"/>
                  <w:right w:w="70" w:type="dxa"/>
                </w:tcMar>
                <w:vAlign w:val="center"/>
              </w:tcPr>
              <w:p w14:paraId="4EB4C463" w14:textId="5504E064" w:rsidR="0E4E29E4" w:rsidRPr="00321C9E" w:rsidRDefault="0E4E29E4" w:rsidP="0E4E29E4">
                <w:pPr>
                  <w:spacing w:after="0"/>
                  <w:ind w:left="-20" w:right="-20"/>
                  <w:rPr>
                    <w:sz w:val="16"/>
                    <w:szCs w:val="16"/>
                  </w:rPr>
                </w:pPr>
                <w:r w:rsidRPr="00321C9E">
                  <w:rPr>
                    <w:rFonts w:ascii="Times New Roman" w:eastAsia="Times New Roman" w:hAnsi="Times New Roman"/>
                    <w:b/>
                    <w:bCs/>
                    <w:sz w:val="16"/>
                    <w:szCs w:val="16"/>
                  </w:rPr>
                  <w:t xml:space="preserve"> </w:t>
                </w:r>
              </w:p>
            </w:tc>
            <w:tc>
              <w:tcPr>
                <w:tcW w:w="250" w:type="pct"/>
                <w:tcMar>
                  <w:left w:w="70" w:type="dxa"/>
                  <w:right w:w="70" w:type="dxa"/>
                </w:tcMar>
                <w:vAlign w:val="center"/>
              </w:tcPr>
              <w:p w14:paraId="5C37E179" w14:textId="79331B78" w:rsidR="0E4E29E4" w:rsidRPr="00321C9E" w:rsidRDefault="0E4E29E4" w:rsidP="0E4E29E4">
                <w:pPr>
                  <w:spacing w:after="0"/>
                  <w:ind w:left="-20" w:right="-20"/>
                  <w:jc w:val="center"/>
                  <w:rPr>
                    <w:sz w:val="16"/>
                    <w:szCs w:val="16"/>
                  </w:rPr>
                </w:pPr>
                <w:r w:rsidRPr="00321C9E">
                  <w:rPr>
                    <w:rFonts w:ascii="Times New Roman" w:eastAsia="Times New Roman" w:hAnsi="Times New Roman"/>
                    <w:b/>
                    <w:bCs/>
                    <w:sz w:val="16"/>
                    <w:szCs w:val="16"/>
                  </w:rPr>
                  <w:t>Db</w:t>
                </w:r>
              </w:p>
            </w:tc>
            <w:tc>
              <w:tcPr>
                <w:tcW w:w="1484" w:type="pct"/>
                <w:tcMar>
                  <w:left w:w="70" w:type="dxa"/>
                  <w:right w:w="70" w:type="dxa"/>
                </w:tcMar>
                <w:vAlign w:val="center"/>
              </w:tcPr>
              <w:p w14:paraId="4EEC1758" w14:textId="7B6D2E92" w:rsidR="0E4E29E4" w:rsidRPr="00321C9E" w:rsidRDefault="0E4E29E4" w:rsidP="0E4E29E4">
                <w:pPr>
                  <w:spacing w:after="0"/>
                  <w:ind w:left="-20" w:right="-20"/>
                  <w:jc w:val="center"/>
                  <w:rPr>
                    <w:sz w:val="16"/>
                    <w:szCs w:val="16"/>
                  </w:rPr>
                </w:pPr>
                <w:r w:rsidRPr="00321C9E">
                  <w:rPr>
                    <w:rFonts w:ascii="Times New Roman" w:eastAsia="Times New Roman" w:hAnsi="Times New Roman"/>
                    <w:b/>
                    <w:bCs/>
                    <w:sz w:val="16"/>
                    <w:szCs w:val="16"/>
                  </w:rPr>
                  <w:t>GASTOS DE ADMINISTRACIÓN, DE OPERACIÓN Y DE VENTAS</w:t>
                </w:r>
              </w:p>
            </w:tc>
            <w:tc>
              <w:tcPr>
                <w:tcW w:w="600" w:type="pct"/>
                <w:tcMar>
                  <w:left w:w="70" w:type="dxa"/>
                  <w:right w:w="70" w:type="dxa"/>
                </w:tcMar>
                <w:vAlign w:val="center"/>
              </w:tcPr>
              <w:p w14:paraId="1A60A2F3" w14:textId="64A1CF43" w:rsidR="0E4E29E4" w:rsidRPr="00321C9E" w:rsidRDefault="0E4E29E4" w:rsidP="0E4E29E4">
                <w:pPr>
                  <w:spacing w:after="0"/>
                  <w:ind w:left="-20" w:right="-20"/>
                  <w:jc w:val="right"/>
                  <w:rPr>
                    <w:sz w:val="16"/>
                    <w:szCs w:val="16"/>
                  </w:rPr>
                </w:pPr>
                <w:r w:rsidRPr="00321C9E">
                  <w:rPr>
                    <w:rFonts w:ascii="Times New Roman" w:eastAsia="Times New Roman" w:hAnsi="Times New Roman"/>
                    <w:b/>
                    <w:bCs/>
                    <w:sz w:val="16"/>
                    <w:szCs w:val="16"/>
                  </w:rPr>
                  <w:t>745.202.779.301</w:t>
                </w:r>
              </w:p>
            </w:tc>
            <w:tc>
              <w:tcPr>
                <w:tcW w:w="575" w:type="pct"/>
                <w:tcMar>
                  <w:left w:w="70" w:type="dxa"/>
                  <w:right w:w="70" w:type="dxa"/>
                </w:tcMar>
                <w:vAlign w:val="center"/>
              </w:tcPr>
              <w:p w14:paraId="7A109B8D" w14:textId="116475DC" w:rsidR="0E4E29E4" w:rsidRPr="00321C9E" w:rsidRDefault="0E4E29E4" w:rsidP="0E4E29E4">
                <w:pPr>
                  <w:spacing w:after="0"/>
                  <w:ind w:left="-20" w:right="-20"/>
                  <w:jc w:val="right"/>
                  <w:rPr>
                    <w:sz w:val="16"/>
                    <w:szCs w:val="16"/>
                  </w:rPr>
                </w:pPr>
                <w:r w:rsidRPr="00321C9E">
                  <w:rPr>
                    <w:rFonts w:ascii="Times New Roman" w:eastAsia="Times New Roman" w:hAnsi="Times New Roman"/>
                    <w:b/>
                    <w:bCs/>
                    <w:sz w:val="16"/>
                    <w:szCs w:val="16"/>
                  </w:rPr>
                  <w:t>648.062.253.041</w:t>
                </w:r>
              </w:p>
            </w:tc>
            <w:tc>
              <w:tcPr>
                <w:tcW w:w="594" w:type="pct"/>
                <w:tcMar>
                  <w:left w:w="70" w:type="dxa"/>
                  <w:right w:w="70" w:type="dxa"/>
                </w:tcMar>
                <w:vAlign w:val="center"/>
              </w:tcPr>
              <w:p w14:paraId="6D95A46B" w14:textId="3DBC372E" w:rsidR="0E4E29E4" w:rsidRPr="00321C9E" w:rsidRDefault="0E4E29E4" w:rsidP="0E4E29E4">
                <w:pPr>
                  <w:spacing w:after="0"/>
                  <w:ind w:left="-20" w:right="-20"/>
                  <w:jc w:val="right"/>
                  <w:rPr>
                    <w:sz w:val="16"/>
                    <w:szCs w:val="16"/>
                  </w:rPr>
                </w:pPr>
                <w:r w:rsidRPr="00321C9E">
                  <w:rPr>
                    <w:rFonts w:ascii="Times New Roman" w:eastAsia="Times New Roman" w:hAnsi="Times New Roman"/>
                    <w:b/>
                    <w:bCs/>
                    <w:sz w:val="16"/>
                    <w:szCs w:val="16"/>
                  </w:rPr>
                  <w:t>97.140.526.260</w:t>
                </w:r>
              </w:p>
            </w:tc>
            <w:tc>
              <w:tcPr>
                <w:tcW w:w="594" w:type="pct"/>
                <w:tcMar>
                  <w:left w:w="70" w:type="dxa"/>
                  <w:right w:w="70" w:type="dxa"/>
                </w:tcMar>
                <w:vAlign w:val="center"/>
              </w:tcPr>
              <w:p w14:paraId="14A48A17" w14:textId="47C323BE" w:rsidR="0E4E29E4" w:rsidRPr="00321C9E" w:rsidRDefault="0E4E29E4" w:rsidP="0E4E29E4">
                <w:pPr>
                  <w:spacing w:after="0"/>
                  <w:ind w:left="-20" w:right="-20"/>
                  <w:jc w:val="right"/>
                  <w:rPr>
                    <w:sz w:val="16"/>
                    <w:szCs w:val="16"/>
                  </w:rPr>
                </w:pPr>
                <w:r w:rsidRPr="00321C9E">
                  <w:rPr>
                    <w:rFonts w:ascii="Times New Roman" w:eastAsia="Times New Roman" w:hAnsi="Times New Roman"/>
                    <w:b/>
                    <w:bCs/>
                    <w:sz w:val="16"/>
                    <w:szCs w:val="16"/>
                  </w:rPr>
                  <w:t>745.202.779.301</w:t>
                </w:r>
              </w:p>
            </w:tc>
            <w:tc>
              <w:tcPr>
                <w:tcW w:w="487" w:type="pct"/>
                <w:tcMar>
                  <w:left w:w="70" w:type="dxa"/>
                  <w:right w:w="70" w:type="dxa"/>
                </w:tcMar>
                <w:vAlign w:val="center"/>
              </w:tcPr>
              <w:p w14:paraId="7825EDC5" w14:textId="39BFEF7B" w:rsidR="0E4E29E4" w:rsidRPr="00321C9E" w:rsidRDefault="0E4E29E4" w:rsidP="0E4E29E4">
                <w:pPr>
                  <w:spacing w:after="0"/>
                  <w:ind w:left="-20" w:right="-20"/>
                  <w:jc w:val="right"/>
                  <w:rPr>
                    <w:sz w:val="16"/>
                    <w:szCs w:val="16"/>
                  </w:rPr>
                </w:pPr>
                <w:r w:rsidRPr="00321C9E">
                  <w:rPr>
                    <w:rFonts w:ascii="Times New Roman" w:eastAsia="Times New Roman" w:hAnsi="Times New Roman"/>
                    <w:b/>
                    <w:bCs/>
                    <w:sz w:val="16"/>
                    <w:szCs w:val="16"/>
                  </w:rPr>
                  <w:t>0,00</w:t>
                </w:r>
              </w:p>
            </w:tc>
          </w:tr>
          <w:tr w:rsidR="0E4E29E4" w:rsidRPr="00321C9E" w14:paraId="47006E7E" w14:textId="77777777" w:rsidTr="00CA026F">
            <w:trPr>
              <w:trHeight w:val="285"/>
            </w:trPr>
            <w:tc>
              <w:tcPr>
                <w:tcW w:w="416" w:type="pct"/>
                <w:tcMar>
                  <w:left w:w="70" w:type="dxa"/>
                  <w:right w:w="70" w:type="dxa"/>
                </w:tcMar>
                <w:vAlign w:val="center"/>
              </w:tcPr>
              <w:p w14:paraId="7E132649" w14:textId="34F600E2" w:rsidR="0E4E29E4" w:rsidRPr="00321C9E" w:rsidRDefault="0E4E29E4" w:rsidP="0E4E29E4">
                <w:pPr>
                  <w:spacing w:after="0"/>
                  <w:ind w:left="-20" w:right="-20"/>
                  <w:rPr>
                    <w:sz w:val="16"/>
                    <w:szCs w:val="16"/>
                  </w:rPr>
                </w:pPr>
                <w:r w:rsidRPr="00321C9E">
                  <w:rPr>
                    <w:rFonts w:ascii="Times New Roman" w:eastAsia="Times New Roman" w:hAnsi="Times New Roman"/>
                    <w:b/>
                    <w:bCs/>
                    <w:sz w:val="16"/>
                    <w:szCs w:val="16"/>
                  </w:rPr>
                  <w:t>5.1</w:t>
                </w:r>
              </w:p>
            </w:tc>
            <w:tc>
              <w:tcPr>
                <w:tcW w:w="250" w:type="pct"/>
                <w:tcMar>
                  <w:left w:w="70" w:type="dxa"/>
                  <w:right w:w="70" w:type="dxa"/>
                </w:tcMar>
                <w:vAlign w:val="center"/>
              </w:tcPr>
              <w:p w14:paraId="79BF06A1" w14:textId="77E46DA2" w:rsidR="0E4E29E4" w:rsidRPr="00321C9E" w:rsidRDefault="0E4E29E4" w:rsidP="0E4E29E4">
                <w:pPr>
                  <w:spacing w:after="0"/>
                  <w:ind w:left="-20" w:right="-20"/>
                  <w:jc w:val="center"/>
                  <w:rPr>
                    <w:sz w:val="16"/>
                    <w:szCs w:val="16"/>
                  </w:rPr>
                </w:pPr>
                <w:r w:rsidRPr="00321C9E">
                  <w:rPr>
                    <w:rFonts w:ascii="Times New Roman" w:eastAsia="Times New Roman" w:hAnsi="Times New Roman"/>
                    <w:b/>
                    <w:bCs/>
                    <w:sz w:val="16"/>
                    <w:szCs w:val="16"/>
                  </w:rPr>
                  <w:t>Db</w:t>
                </w:r>
              </w:p>
            </w:tc>
            <w:tc>
              <w:tcPr>
                <w:tcW w:w="1484" w:type="pct"/>
                <w:tcMar>
                  <w:left w:w="70" w:type="dxa"/>
                  <w:right w:w="70" w:type="dxa"/>
                </w:tcMar>
                <w:vAlign w:val="center"/>
              </w:tcPr>
              <w:p w14:paraId="38CF7EEB" w14:textId="6F8E5059" w:rsidR="0E4E29E4" w:rsidRPr="00321C9E" w:rsidRDefault="0E4E29E4" w:rsidP="0E4E29E4">
                <w:pPr>
                  <w:spacing w:after="0"/>
                  <w:ind w:left="-20" w:right="-20"/>
                  <w:rPr>
                    <w:sz w:val="16"/>
                    <w:szCs w:val="16"/>
                  </w:rPr>
                </w:pPr>
                <w:r w:rsidRPr="00321C9E">
                  <w:rPr>
                    <w:rFonts w:ascii="Times New Roman" w:eastAsia="Times New Roman" w:hAnsi="Times New Roman"/>
                    <w:b/>
                    <w:bCs/>
                    <w:sz w:val="16"/>
                    <w:szCs w:val="16"/>
                  </w:rPr>
                  <w:t>De Administración y Operación</w:t>
                </w:r>
              </w:p>
            </w:tc>
            <w:tc>
              <w:tcPr>
                <w:tcW w:w="600" w:type="pct"/>
                <w:tcMar>
                  <w:left w:w="70" w:type="dxa"/>
                  <w:right w:w="70" w:type="dxa"/>
                </w:tcMar>
                <w:vAlign w:val="center"/>
              </w:tcPr>
              <w:p w14:paraId="150090C8" w14:textId="0C2E4E28" w:rsidR="0E4E29E4" w:rsidRPr="00321C9E" w:rsidRDefault="0E4E29E4" w:rsidP="0E4E29E4">
                <w:pPr>
                  <w:spacing w:after="0"/>
                  <w:ind w:left="-20" w:right="-20"/>
                  <w:jc w:val="right"/>
                  <w:rPr>
                    <w:sz w:val="16"/>
                    <w:szCs w:val="16"/>
                  </w:rPr>
                </w:pPr>
                <w:r w:rsidRPr="00321C9E">
                  <w:rPr>
                    <w:rFonts w:ascii="Times New Roman" w:eastAsia="Times New Roman" w:hAnsi="Times New Roman"/>
                    <w:b/>
                    <w:bCs/>
                    <w:sz w:val="16"/>
                    <w:szCs w:val="16"/>
                  </w:rPr>
                  <w:t>745.202.779.301</w:t>
                </w:r>
              </w:p>
            </w:tc>
            <w:tc>
              <w:tcPr>
                <w:tcW w:w="575" w:type="pct"/>
                <w:tcMar>
                  <w:left w:w="70" w:type="dxa"/>
                  <w:right w:w="70" w:type="dxa"/>
                </w:tcMar>
                <w:vAlign w:val="center"/>
              </w:tcPr>
              <w:p w14:paraId="6D3497F4" w14:textId="689DB6FD" w:rsidR="0E4E29E4" w:rsidRPr="00321C9E" w:rsidRDefault="0E4E29E4" w:rsidP="0E4E29E4">
                <w:pPr>
                  <w:spacing w:after="0"/>
                  <w:ind w:left="-20" w:right="-20"/>
                  <w:jc w:val="right"/>
                  <w:rPr>
                    <w:sz w:val="16"/>
                    <w:szCs w:val="16"/>
                  </w:rPr>
                </w:pPr>
                <w:r w:rsidRPr="00321C9E">
                  <w:rPr>
                    <w:rFonts w:ascii="Times New Roman" w:eastAsia="Times New Roman" w:hAnsi="Times New Roman"/>
                    <w:b/>
                    <w:bCs/>
                    <w:sz w:val="16"/>
                    <w:szCs w:val="16"/>
                  </w:rPr>
                  <w:t>648.062.253.041</w:t>
                </w:r>
              </w:p>
            </w:tc>
            <w:tc>
              <w:tcPr>
                <w:tcW w:w="594" w:type="pct"/>
                <w:tcMar>
                  <w:left w:w="70" w:type="dxa"/>
                  <w:right w:w="70" w:type="dxa"/>
                </w:tcMar>
                <w:vAlign w:val="center"/>
              </w:tcPr>
              <w:p w14:paraId="1CF855B4" w14:textId="004BD59E" w:rsidR="0E4E29E4" w:rsidRPr="00321C9E" w:rsidRDefault="0E4E29E4" w:rsidP="0E4E29E4">
                <w:pPr>
                  <w:spacing w:after="0"/>
                  <w:ind w:left="-20" w:right="-20"/>
                  <w:jc w:val="right"/>
                  <w:rPr>
                    <w:sz w:val="16"/>
                    <w:szCs w:val="16"/>
                  </w:rPr>
                </w:pPr>
                <w:r w:rsidRPr="00321C9E">
                  <w:rPr>
                    <w:rFonts w:ascii="Times New Roman" w:eastAsia="Times New Roman" w:hAnsi="Times New Roman"/>
                    <w:b/>
                    <w:bCs/>
                    <w:sz w:val="16"/>
                    <w:szCs w:val="16"/>
                  </w:rPr>
                  <w:t>97.140.526.260</w:t>
                </w:r>
              </w:p>
            </w:tc>
            <w:tc>
              <w:tcPr>
                <w:tcW w:w="594" w:type="pct"/>
                <w:tcMar>
                  <w:left w:w="70" w:type="dxa"/>
                  <w:right w:w="70" w:type="dxa"/>
                </w:tcMar>
                <w:vAlign w:val="center"/>
              </w:tcPr>
              <w:p w14:paraId="1EAB47D5" w14:textId="2B4EADF1" w:rsidR="0E4E29E4" w:rsidRPr="00321C9E" w:rsidRDefault="0E4E29E4" w:rsidP="0E4E29E4">
                <w:pPr>
                  <w:spacing w:after="0"/>
                  <w:ind w:left="-20" w:right="-20"/>
                  <w:jc w:val="right"/>
                  <w:rPr>
                    <w:sz w:val="16"/>
                    <w:szCs w:val="16"/>
                  </w:rPr>
                </w:pPr>
                <w:r w:rsidRPr="00321C9E">
                  <w:rPr>
                    <w:rFonts w:ascii="Times New Roman" w:eastAsia="Times New Roman" w:hAnsi="Times New Roman"/>
                    <w:b/>
                    <w:bCs/>
                    <w:sz w:val="16"/>
                    <w:szCs w:val="16"/>
                  </w:rPr>
                  <w:t>745.202.779.301</w:t>
                </w:r>
              </w:p>
            </w:tc>
            <w:tc>
              <w:tcPr>
                <w:tcW w:w="487" w:type="pct"/>
                <w:tcMar>
                  <w:left w:w="70" w:type="dxa"/>
                  <w:right w:w="70" w:type="dxa"/>
                </w:tcMar>
                <w:vAlign w:val="center"/>
              </w:tcPr>
              <w:p w14:paraId="29CC8A87" w14:textId="59D8D45E" w:rsidR="0E4E29E4" w:rsidRPr="00321C9E" w:rsidRDefault="0E4E29E4" w:rsidP="0E4E29E4">
                <w:pPr>
                  <w:spacing w:after="0"/>
                  <w:ind w:left="-20" w:right="-20"/>
                  <w:jc w:val="right"/>
                  <w:rPr>
                    <w:sz w:val="16"/>
                    <w:szCs w:val="16"/>
                  </w:rPr>
                </w:pPr>
                <w:r w:rsidRPr="00321C9E">
                  <w:rPr>
                    <w:rFonts w:ascii="Times New Roman" w:eastAsia="Times New Roman" w:hAnsi="Times New Roman"/>
                    <w:b/>
                    <w:bCs/>
                    <w:sz w:val="16"/>
                    <w:szCs w:val="16"/>
                  </w:rPr>
                  <w:t>0,00</w:t>
                </w:r>
              </w:p>
            </w:tc>
          </w:tr>
          <w:tr w:rsidR="0E4E29E4" w:rsidRPr="00321C9E" w14:paraId="6F9D3D53" w14:textId="77777777" w:rsidTr="00CA026F">
            <w:trPr>
              <w:trHeight w:val="300"/>
            </w:trPr>
            <w:tc>
              <w:tcPr>
                <w:tcW w:w="416" w:type="pct"/>
                <w:tcMar>
                  <w:left w:w="70" w:type="dxa"/>
                  <w:right w:w="70" w:type="dxa"/>
                </w:tcMar>
                <w:vAlign w:val="center"/>
              </w:tcPr>
              <w:p w14:paraId="57F05986" w14:textId="17B8C265" w:rsidR="0E4E29E4" w:rsidRPr="00321C9E" w:rsidRDefault="0E4E29E4" w:rsidP="0E4E29E4">
                <w:pPr>
                  <w:spacing w:after="0"/>
                  <w:ind w:left="-20" w:right="-20"/>
                  <w:rPr>
                    <w:sz w:val="16"/>
                    <w:szCs w:val="16"/>
                  </w:rPr>
                </w:pPr>
                <w:r w:rsidRPr="00321C9E">
                  <w:rPr>
                    <w:rFonts w:ascii="Times New Roman" w:eastAsia="Times New Roman" w:hAnsi="Times New Roman"/>
                    <w:sz w:val="16"/>
                    <w:szCs w:val="16"/>
                  </w:rPr>
                  <w:t>5.1.01</w:t>
                </w:r>
              </w:p>
            </w:tc>
            <w:tc>
              <w:tcPr>
                <w:tcW w:w="250" w:type="pct"/>
                <w:tcMar>
                  <w:left w:w="70" w:type="dxa"/>
                  <w:right w:w="70" w:type="dxa"/>
                </w:tcMar>
                <w:vAlign w:val="center"/>
              </w:tcPr>
              <w:p w14:paraId="364A7A77" w14:textId="5E0796F4" w:rsidR="0E4E29E4" w:rsidRPr="00321C9E" w:rsidRDefault="0E4E29E4" w:rsidP="0E4E29E4">
                <w:pPr>
                  <w:spacing w:after="0"/>
                  <w:ind w:left="-20" w:right="-20"/>
                  <w:jc w:val="center"/>
                  <w:rPr>
                    <w:sz w:val="16"/>
                    <w:szCs w:val="16"/>
                  </w:rPr>
                </w:pPr>
                <w:r w:rsidRPr="00321C9E">
                  <w:rPr>
                    <w:rFonts w:ascii="Times New Roman" w:eastAsia="Times New Roman" w:hAnsi="Times New Roman"/>
                    <w:sz w:val="16"/>
                    <w:szCs w:val="16"/>
                  </w:rPr>
                  <w:t>Db</w:t>
                </w:r>
              </w:p>
            </w:tc>
            <w:tc>
              <w:tcPr>
                <w:tcW w:w="1484" w:type="pct"/>
                <w:tcMar>
                  <w:left w:w="70" w:type="dxa"/>
                  <w:right w:w="70" w:type="dxa"/>
                </w:tcMar>
                <w:vAlign w:val="center"/>
              </w:tcPr>
              <w:p w14:paraId="1C49F8F9" w14:textId="79791AE3" w:rsidR="0E4E29E4" w:rsidRPr="00321C9E" w:rsidRDefault="0E4E29E4" w:rsidP="0E4E29E4">
                <w:pPr>
                  <w:spacing w:after="0"/>
                  <w:ind w:left="-20" w:right="-20"/>
                  <w:rPr>
                    <w:sz w:val="16"/>
                    <w:szCs w:val="16"/>
                  </w:rPr>
                </w:pPr>
                <w:r w:rsidRPr="00321C9E">
                  <w:rPr>
                    <w:rFonts w:ascii="Times New Roman" w:eastAsia="Times New Roman" w:hAnsi="Times New Roman"/>
                    <w:sz w:val="16"/>
                    <w:szCs w:val="16"/>
                  </w:rPr>
                  <w:t>Sueldos y salarios</w:t>
                </w:r>
              </w:p>
            </w:tc>
            <w:tc>
              <w:tcPr>
                <w:tcW w:w="600" w:type="pct"/>
                <w:tcMar>
                  <w:left w:w="70" w:type="dxa"/>
                  <w:right w:w="70" w:type="dxa"/>
                </w:tcMar>
                <w:vAlign w:val="center"/>
              </w:tcPr>
              <w:p w14:paraId="5A7FB05E" w14:textId="4C0A1159" w:rsidR="0E4E29E4" w:rsidRPr="00321C9E" w:rsidRDefault="0E4E29E4" w:rsidP="0E4E29E4">
                <w:pPr>
                  <w:spacing w:after="0"/>
                  <w:ind w:left="-20" w:right="-20"/>
                  <w:jc w:val="right"/>
                  <w:rPr>
                    <w:sz w:val="16"/>
                    <w:szCs w:val="16"/>
                  </w:rPr>
                </w:pPr>
                <w:r w:rsidRPr="00321C9E">
                  <w:rPr>
                    <w:rFonts w:ascii="Times New Roman" w:eastAsia="Times New Roman" w:hAnsi="Times New Roman"/>
                    <w:sz w:val="16"/>
                    <w:szCs w:val="16"/>
                  </w:rPr>
                  <w:t>36.776.803.765</w:t>
                </w:r>
              </w:p>
            </w:tc>
            <w:tc>
              <w:tcPr>
                <w:tcW w:w="575" w:type="pct"/>
                <w:tcMar>
                  <w:left w:w="70" w:type="dxa"/>
                  <w:right w:w="70" w:type="dxa"/>
                </w:tcMar>
                <w:vAlign w:val="center"/>
              </w:tcPr>
              <w:p w14:paraId="79D3AAF2" w14:textId="3A6F6857" w:rsidR="0E4E29E4" w:rsidRPr="00321C9E" w:rsidRDefault="0E4E29E4" w:rsidP="0E4E29E4">
                <w:pPr>
                  <w:spacing w:after="0"/>
                  <w:ind w:left="-20" w:right="-20"/>
                  <w:jc w:val="right"/>
                  <w:rPr>
                    <w:sz w:val="16"/>
                    <w:szCs w:val="16"/>
                  </w:rPr>
                </w:pPr>
                <w:r w:rsidRPr="00321C9E">
                  <w:rPr>
                    <w:rFonts w:ascii="Times New Roman" w:eastAsia="Times New Roman" w:hAnsi="Times New Roman"/>
                    <w:sz w:val="16"/>
                    <w:szCs w:val="16"/>
                  </w:rPr>
                  <w:t>31.383.112.902</w:t>
                </w:r>
              </w:p>
            </w:tc>
            <w:tc>
              <w:tcPr>
                <w:tcW w:w="594" w:type="pct"/>
                <w:tcMar>
                  <w:left w:w="70" w:type="dxa"/>
                  <w:right w:w="70" w:type="dxa"/>
                </w:tcMar>
                <w:vAlign w:val="center"/>
              </w:tcPr>
              <w:p w14:paraId="40F24910" w14:textId="41D35EC2" w:rsidR="0E4E29E4" w:rsidRPr="00321C9E" w:rsidRDefault="0E4E29E4" w:rsidP="0E4E29E4">
                <w:pPr>
                  <w:spacing w:after="0"/>
                  <w:ind w:left="-20" w:right="-20"/>
                  <w:jc w:val="right"/>
                  <w:rPr>
                    <w:sz w:val="16"/>
                    <w:szCs w:val="16"/>
                  </w:rPr>
                </w:pPr>
                <w:r w:rsidRPr="00321C9E">
                  <w:rPr>
                    <w:rFonts w:ascii="Times New Roman" w:eastAsia="Times New Roman" w:hAnsi="Times New Roman"/>
                    <w:sz w:val="16"/>
                    <w:szCs w:val="16"/>
                  </w:rPr>
                  <w:t>5.393.690.863</w:t>
                </w:r>
              </w:p>
            </w:tc>
            <w:tc>
              <w:tcPr>
                <w:tcW w:w="594" w:type="pct"/>
                <w:tcMar>
                  <w:left w:w="70" w:type="dxa"/>
                  <w:right w:w="70" w:type="dxa"/>
                </w:tcMar>
                <w:vAlign w:val="center"/>
              </w:tcPr>
              <w:p w14:paraId="20329602" w14:textId="5B5F604E" w:rsidR="0E4E29E4" w:rsidRPr="00321C9E" w:rsidRDefault="0E4E29E4" w:rsidP="0E4E29E4">
                <w:pPr>
                  <w:spacing w:after="0"/>
                  <w:ind w:left="-20" w:right="-20"/>
                  <w:jc w:val="right"/>
                  <w:rPr>
                    <w:sz w:val="16"/>
                    <w:szCs w:val="16"/>
                  </w:rPr>
                </w:pPr>
                <w:r w:rsidRPr="00321C9E">
                  <w:rPr>
                    <w:rFonts w:ascii="Times New Roman" w:eastAsia="Times New Roman" w:hAnsi="Times New Roman"/>
                    <w:sz w:val="16"/>
                    <w:szCs w:val="16"/>
                  </w:rPr>
                  <w:t>36.776.803.765</w:t>
                </w:r>
              </w:p>
            </w:tc>
            <w:tc>
              <w:tcPr>
                <w:tcW w:w="487" w:type="pct"/>
                <w:tcMar>
                  <w:left w:w="70" w:type="dxa"/>
                  <w:right w:w="70" w:type="dxa"/>
                </w:tcMar>
                <w:vAlign w:val="center"/>
              </w:tcPr>
              <w:p w14:paraId="342495AD" w14:textId="35C88325" w:rsidR="0E4E29E4" w:rsidRPr="00321C9E" w:rsidRDefault="0E4E29E4" w:rsidP="0E4E29E4">
                <w:pPr>
                  <w:spacing w:after="0"/>
                  <w:ind w:left="-20" w:right="-20"/>
                  <w:jc w:val="right"/>
                  <w:rPr>
                    <w:sz w:val="16"/>
                    <w:szCs w:val="16"/>
                  </w:rPr>
                </w:pPr>
                <w:r w:rsidRPr="00321C9E">
                  <w:rPr>
                    <w:rFonts w:ascii="Times New Roman" w:eastAsia="Times New Roman" w:hAnsi="Times New Roman"/>
                    <w:sz w:val="16"/>
                    <w:szCs w:val="16"/>
                  </w:rPr>
                  <w:t>0,00</w:t>
                </w:r>
              </w:p>
            </w:tc>
          </w:tr>
          <w:tr w:rsidR="0E4E29E4" w:rsidRPr="00321C9E" w14:paraId="56A224FC" w14:textId="77777777" w:rsidTr="00CA026F">
            <w:trPr>
              <w:trHeight w:val="300"/>
            </w:trPr>
            <w:tc>
              <w:tcPr>
                <w:tcW w:w="416" w:type="pct"/>
                <w:tcMar>
                  <w:left w:w="70" w:type="dxa"/>
                  <w:right w:w="70" w:type="dxa"/>
                </w:tcMar>
                <w:vAlign w:val="center"/>
              </w:tcPr>
              <w:p w14:paraId="1E1AC5E9" w14:textId="3CD207CD" w:rsidR="0E4E29E4" w:rsidRPr="00321C9E" w:rsidRDefault="0E4E29E4" w:rsidP="0E4E29E4">
                <w:pPr>
                  <w:spacing w:after="0"/>
                  <w:ind w:left="-20" w:right="-20"/>
                  <w:rPr>
                    <w:sz w:val="16"/>
                    <w:szCs w:val="16"/>
                  </w:rPr>
                </w:pPr>
                <w:r w:rsidRPr="00321C9E">
                  <w:rPr>
                    <w:rFonts w:ascii="Times New Roman" w:eastAsia="Times New Roman" w:hAnsi="Times New Roman"/>
                    <w:sz w:val="16"/>
                    <w:szCs w:val="16"/>
                  </w:rPr>
                  <w:t>5.1.02</w:t>
                </w:r>
              </w:p>
            </w:tc>
            <w:tc>
              <w:tcPr>
                <w:tcW w:w="250" w:type="pct"/>
                <w:tcMar>
                  <w:left w:w="70" w:type="dxa"/>
                  <w:right w:w="70" w:type="dxa"/>
                </w:tcMar>
                <w:vAlign w:val="center"/>
              </w:tcPr>
              <w:p w14:paraId="38EAA15E" w14:textId="107133C7" w:rsidR="0E4E29E4" w:rsidRPr="00321C9E" w:rsidRDefault="0E4E29E4" w:rsidP="0E4E29E4">
                <w:pPr>
                  <w:spacing w:after="0"/>
                  <w:ind w:left="-20" w:right="-20"/>
                  <w:jc w:val="center"/>
                  <w:rPr>
                    <w:sz w:val="16"/>
                    <w:szCs w:val="16"/>
                  </w:rPr>
                </w:pPr>
                <w:r w:rsidRPr="00321C9E">
                  <w:rPr>
                    <w:rFonts w:ascii="Times New Roman" w:eastAsia="Times New Roman" w:hAnsi="Times New Roman"/>
                    <w:sz w:val="16"/>
                    <w:szCs w:val="16"/>
                  </w:rPr>
                  <w:t>Db</w:t>
                </w:r>
              </w:p>
            </w:tc>
            <w:tc>
              <w:tcPr>
                <w:tcW w:w="1484" w:type="pct"/>
                <w:tcMar>
                  <w:left w:w="70" w:type="dxa"/>
                  <w:right w:w="70" w:type="dxa"/>
                </w:tcMar>
                <w:vAlign w:val="center"/>
              </w:tcPr>
              <w:p w14:paraId="37D56760" w14:textId="55B7A18B" w:rsidR="0E4E29E4" w:rsidRPr="00321C9E" w:rsidRDefault="0E4E29E4" w:rsidP="0E4E29E4">
                <w:pPr>
                  <w:spacing w:after="0"/>
                  <w:ind w:left="-20" w:right="-20"/>
                  <w:rPr>
                    <w:sz w:val="16"/>
                    <w:szCs w:val="16"/>
                  </w:rPr>
                </w:pPr>
                <w:r w:rsidRPr="00321C9E">
                  <w:rPr>
                    <w:rFonts w:ascii="Times New Roman" w:eastAsia="Times New Roman" w:hAnsi="Times New Roman"/>
                    <w:sz w:val="16"/>
                    <w:szCs w:val="16"/>
                  </w:rPr>
                  <w:t>Contribuciones imputadas</w:t>
                </w:r>
              </w:p>
            </w:tc>
            <w:tc>
              <w:tcPr>
                <w:tcW w:w="600" w:type="pct"/>
                <w:tcMar>
                  <w:left w:w="70" w:type="dxa"/>
                  <w:right w:w="70" w:type="dxa"/>
                </w:tcMar>
                <w:vAlign w:val="center"/>
              </w:tcPr>
              <w:p w14:paraId="5C97B86F" w14:textId="132543EF" w:rsidR="0E4E29E4" w:rsidRPr="00321C9E" w:rsidRDefault="0E4E29E4" w:rsidP="0E4E29E4">
                <w:pPr>
                  <w:spacing w:after="0"/>
                  <w:ind w:left="-20" w:right="-20"/>
                  <w:jc w:val="right"/>
                  <w:rPr>
                    <w:sz w:val="16"/>
                    <w:szCs w:val="16"/>
                  </w:rPr>
                </w:pPr>
                <w:r w:rsidRPr="00321C9E">
                  <w:rPr>
                    <w:rFonts w:ascii="Times New Roman" w:eastAsia="Times New Roman" w:hAnsi="Times New Roman"/>
                    <w:sz w:val="16"/>
                    <w:szCs w:val="16"/>
                  </w:rPr>
                  <w:t>0</w:t>
                </w:r>
              </w:p>
            </w:tc>
            <w:tc>
              <w:tcPr>
                <w:tcW w:w="575" w:type="pct"/>
                <w:tcMar>
                  <w:left w:w="70" w:type="dxa"/>
                  <w:right w:w="70" w:type="dxa"/>
                </w:tcMar>
                <w:vAlign w:val="center"/>
              </w:tcPr>
              <w:p w14:paraId="0A088FBB" w14:textId="0DEA84E1" w:rsidR="0E4E29E4" w:rsidRPr="00321C9E" w:rsidRDefault="0E4E29E4" w:rsidP="0E4E29E4">
                <w:pPr>
                  <w:spacing w:after="0"/>
                  <w:ind w:left="-20" w:right="-20"/>
                  <w:jc w:val="right"/>
                  <w:rPr>
                    <w:sz w:val="16"/>
                    <w:szCs w:val="16"/>
                  </w:rPr>
                </w:pPr>
                <w:r w:rsidRPr="00321C9E">
                  <w:rPr>
                    <w:rFonts w:ascii="Times New Roman" w:eastAsia="Times New Roman" w:hAnsi="Times New Roman"/>
                    <w:sz w:val="16"/>
                    <w:szCs w:val="16"/>
                  </w:rPr>
                  <w:t>0</w:t>
                </w:r>
              </w:p>
            </w:tc>
            <w:tc>
              <w:tcPr>
                <w:tcW w:w="594" w:type="pct"/>
                <w:tcMar>
                  <w:left w:w="70" w:type="dxa"/>
                  <w:right w:w="70" w:type="dxa"/>
                </w:tcMar>
                <w:vAlign w:val="center"/>
              </w:tcPr>
              <w:p w14:paraId="272887D8" w14:textId="58262013" w:rsidR="0E4E29E4" w:rsidRPr="00321C9E" w:rsidRDefault="0E4E29E4" w:rsidP="0E4E29E4">
                <w:pPr>
                  <w:spacing w:after="0"/>
                  <w:ind w:left="-20" w:right="-20"/>
                  <w:jc w:val="right"/>
                  <w:rPr>
                    <w:sz w:val="16"/>
                    <w:szCs w:val="16"/>
                  </w:rPr>
                </w:pPr>
                <w:r w:rsidRPr="00321C9E">
                  <w:rPr>
                    <w:rFonts w:ascii="Times New Roman" w:eastAsia="Times New Roman" w:hAnsi="Times New Roman"/>
                    <w:sz w:val="16"/>
                    <w:szCs w:val="16"/>
                  </w:rPr>
                  <w:t>0</w:t>
                </w:r>
              </w:p>
            </w:tc>
            <w:tc>
              <w:tcPr>
                <w:tcW w:w="594" w:type="pct"/>
                <w:tcMar>
                  <w:left w:w="70" w:type="dxa"/>
                  <w:right w:w="70" w:type="dxa"/>
                </w:tcMar>
                <w:vAlign w:val="center"/>
              </w:tcPr>
              <w:p w14:paraId="7E5CB4CF" w14:textId="34D054C3" w:rsidR="0E4E29E4" w:rsidRPr="00321C9E" w:rsidRDefault="0E4E29E4" w:rsidP="0E4E29E4">
                <w:pPr>
                  <w:spacing w:after="0"/>
                  <w:ind w:left="-20" w:right="-20"/>
                  <w:jc w:val="right"/>
                  <w:rPr>
                    <w:sz w:val="16"/>
                    <w:szCs w:val="16"/>
                  </w:rPr>
                </w:pPr>
                <w:r w:rsidRPr="00321C9E">
                  <w:rPr>
                    <w:rFonts w:ascii="Times New Roman" w:eastAsia="Times New Roman" w:hAnsi="Times New Roman"/>
                    <w:sz w:val="16"/>
                    <w:szCs w:val="16"/>
                  </w:rPr>
                  <w:t>0</w:t>
                </w:r>
              </w:p>
            </w:tc>
            <w:tc>
              <w:tcPr>
                <w:tcW w:w="487" w:type="pct"/>
                <w:tcMar>
                  <w:left w:w="70" w:type="dxa"/>
                  <w:right w:w="70" w:type="dxa"/>
                </w:tcMar>
                <w:vAlign w:val="center"/>
              </w:tcPr>
              <w:p w14:paraId="49000B4E" w14:textId="5B32B114" w:rsidR="0E4E29E4" w:rsidRPr="00321C9E" w:rsidRDefault="0E4E29E4" w:rsidP="0E4E29E4">
                <w:pPr>
                  <w:spacing w:after="0"/>
                  <w:ind w:left="-20" w:right="-20"/>
                  <w:jc w:val="right"/>
                  <w:rPr>
                    <w:sz w:val="16"/>
                    <w:szCs w:val="16"/>
                  </w:rPr>
                </w:pPr>
                <w:r w:rsidRPr="00321C9E">
                  <w:rPr>
                    <w:rFonts w:ascii="Times New Roman" w:eastAsia="Times New Roman" w:hAnsi="Times New Roman"/>
                    <w:sz w:val="16"/>
                    <w:szCs w:val="16"/>
                  </w:rPr>
                  <w:t>0,00</w:t>
                </w:r>
              </w:p>
            </w:tc>
          </w:tr>
          <w:tr w:rsidR="0E4E29E4" w:rsidRPr="00321C9E" w14:paraId="36A7291F" w14:textId="77777777" w:rsidTr="00CA026F">
            <w:trPr>
              <w:trHeight w:val="300"/>
            </w:trPr>
            <w:tc>
              <w:tcPr>
                <w:tcW w:w="416" w:type="pct"/>
                <w:tcMar>
                  <w:left w:w="70" w:type="dxa"/>
                  <w:right w:w="70" w:type="dxa"/>
                </w:tcMar>
                <w:vAlign w:val="center"/>
              </w:tcPr>
              <w:p w14:paraId="13ACC8A4" w14:textId="168F65F0" w:rsidR="0E4E29E4" w:rsidRPr="00321C9E" w:rsidRDefault="0E4E29E4" w:rsidP="0E4E29E4">
                <w:pPr>
                  <w:spacing w:after="0"/>
                  <w:ind w:left="-20" w:right="-20"/>
                  <w:rPr>
                    <w:sz w:val="16"/>
                    <w:szCs w:val="16"/>
                  </w:rPr>
                </w:pPr>
                <w:r w:rsidRPr="00321C9E">
                  <w:rPr>
                    <w:rFonts w:ascii="Times New Roman" w:eastAsia="Times New Roman" w:hAnsi="Times New Roman"/>
                    <w:sz w:val="16"/>
                    <w:szCs w:val="16"/>
                  </w:rPr>
                  <w:lastRenderedPageBreak/>
                  <w:t>5.1.03</w:t>
                </w:r>
              </w:p>
            </w:tc>
            <w:tc>
              <w:tcPr>
                <w:tcW w:w="250" w:type="pct"/>
                <w:tcMar>
                  <w:left w:w="70" w:type="dxa"/>
                  <w:right w:w="70" w:type="dxa"/>
                </w:tcMar>
                <w:vAlign w:val="center"/>
              </w:tcPr>
              <w:p w14:paraId="5C84A349" w14:textId="51751E9E" w:rsidR="0E4E29E4" w:rsidRPr="00321C9E" w:rsidRDefault="0E4E29E4" w:rsidP="0E4E29E4">
                <w:pPr>
                  <w:spacing w:after="0"/>
                  <w:ind w:left="-20" w:right="-20"/>
                  <w:jc w:val="center"/>
                  <w:rPr>
                    <w:sz w:val="16"/>
                    <w:szCs w:val="16"/>
                  </w:rPr>
                </w:pPr>
                <w:r w:rsidRPr="00321C9E">
                  <w:rPr>
                    <w:rFonts w:ascii="Times New Roman" w:eastAsia="Times New Roman" w:hAnsi="Times New Roman"/>
                    <w:sz w:val="16"/>
                    <w:szCs w:val="16"/>
                  </w:rPr>
                  <w:t>Db</w:t>
                </w:r>
              </w:p>
            </w:tc>
            <w:tc>
              <w:tcPr>
                <w:tcW w:w="1484" w:type="pct"/>
                <w:tcMar>
                  <w:left w:w="70" w:type="dxa"/>
                  <w:right w:w="70" w:type="dxa"/>
                </w:tcMar>
                <w:vAlign w:val="center"/>
              </w:tcPr>
              <w:p w14:paraId="02171DB9" w14:textId="089C697D" w:rsidR="0E4E29E4" w:rsidRPr="00321C9E" w:rsidRDefault="0E4E29E4" w:rsidP="0E4E29E4">
                <w:pPr>
                  <w:spacing w:after="0"/>
                  <w:ind w:left="-20" w:right="-20"/>
                  <w:rPr>
                    <w:sz w:val="16"/>
                    <w:szCs w:val="16"/>
                  </w:rPr>
                </w:pPr>
                <w:r w:rsidRPr="00321C9E">
                  <w:rPr>
                    <w:rFonts w:ascii="Times New Roman" w:eastAsia="Times New Roman" w:hAnsi="Times New Roman"/>
                    <w:sz w:val="16"/>
                    <w:szCs w:val="16"/>
                  </w:rPr>
                  <w:t>Contribuciones efectivas</w:t>
                </w:r>
              </w:p>
            </w:tc>
            <w:tc>
              <w:tcPr>
                <w:tcW w:w="600" w:type="pct"/>
                <w:tcMar>
                  <w:left w:w="70" w:type="dxa"/>
                  <w:right w:w="70" w:type="dxa"/>
                </w:tcMar>
                <w:vAlign w:val="center"/>
              </w:tcPr>
              <w:p w14:paraId="4B85F7A2" w14:textId="0C3415E5" w:rsidR="0E4E29E4" w:rsidRPr="00321C9E" w:rsidRDefault="0E4E29E4" w:rsidP="0E4E29E4">
                <w:pPr>
                  <w:spacing w:after="0"/>
                  <w:ind w:left="-20" w:right="-20"/>
                  <w:jc w:val="right"/>
                  <w:rPr>
                    <w:sz w:val="16"/>
                    <w:szCs w:val="16"/>
                  </w:rPr>
                </w:pPr>
                <w:r w:rsidRPr="00321C9E">
                  <w:rPr>
                    <w:rFonts w:ascii="Times New Roman" w:eastAsia="Times New Roman" w:hAnsi="Times New Roman"/>
                    <w:sz w:val="16"/>
                    <w:szCs w:val="16"/>
                  </w:rPr>
                  <w:t>9.054.276.131</w:t>
                </w:r>
              </w:p>
            </w:tc>
            <w:tc>
              <w:tcPr>
                <w:tcW w:w="575" w:type="pct"/>
                <w:tcMar>
                  <w:left w:w="70" w:type="dxa"/>
                  <w:right w:w="70" w:type="dxa"/>
                </w:tcMar>
                <w:vAlign w:val="center"/>
              </w:tcPr>
              <w:p w14:paraId="2728C2D3" w14:textId="5E82B533" w:rsidR="0E4E29E4" w:rsidRPr="00321C9E" w:rsidRDefault="0E4E29E4" w:rsidP="0E4E29E4">
                <w:pPr>
                  <w:spacing w:after="0"/>
                  <w:ind w:left="-20" w:right="-20"/>
                  <w:jc w:val="right"/>
                  <w:rPr>
                    <w:sz w:val="16"/>
                    <w:szCs w:val="16"/>
                  </w:rPr>
                </w:pPr>
                <w:r w:rsidRPr="00321C9E">
                  <w:rPr>
                    <w:rFonts w:ascii="Times New Roman" w:eastAsia="Times New Roman" w:hAnsi="Times New Roman"/>
                    <w:sz w:val="16"/>
                    <w:szCs w:val="16"/>
                  </w:rPr>
                  <w:t>7.401.019.300</w:t>
                </w:r>
              </w:p>
            </w:tc>
            <w:tc>
              <w:tcPr>
                <w:tcW w:w="594" w:type="pct"/>
                <w:tcMar>
                  <w:left w:w="70" w:type="dxa"/>
                  <w:right w:w="70" w:type="dxa"/>
                </w:tcMar>
                <w:vAlign w:val="center"/>
              </w:tcPr>
              <w:p w14:paraId="33DCA5B3" w14:textId="31C668A7" w:rsidR="0E4E29E4" w:rsidRPr="00321C9E" w:rsidRDefault="0E4E29E4" w:rsidP="0E4E29E4">
                <w:pPr>
                  <w:spacing w:after="0"/>
                  <w:ind w:left="-20" w:right="-20"/>
                  <w:jc w:val="right"/>
                  <w:rPr>
                    <w:sz w:val="16"/>
                    <w:szCs w:val="16"/>
                  </w:rPr>
                </w:pPr>
                <w:r w:rsidRPr="00321C9E">
                  <w:rPr>
                    <w:rFonts w:ascii="Times New Roman" w:eastAsia="Times New Roman" w:hAnsi="Times New Roman"/>
                    <w:sz w:val="16"/>
                    <w:szCs w:val="16"/>
                  </w:rPr>
                  <w:t>1.653.256.831</w:t>
                </w:r>
              </w:p>
            </w:tc>
            <w:tc>
              <w:tcPr>
                <w:tcW w:w="594" w:type="pct"/>
                <w:tcMar>
                  <w:left w:w="70" w:type="dxa"/>
                  <w:right w:w="70" w:type="dxa"/>
                </w:tcMar>
                <w:vAlign w:val="center"/>
              </w:tcPr>
              <w:p w14:paraId="520E7E02" w14:textId="3B4BFF17" w:rsidR="0E4E29E4" w:rsidRPr="00321C9E" w:rsidRDefault="0E4E29E4" w:rsidP="0E4E29E4">
                <w:pPr>
                  <w:spacing w:after="0"/>
                  <w:ind w:left="-20" w:right="-20"/>
                  <w:jc w:val="right"/>
                  <w:rPr>
                    <w:sz w:val="16"/>
                    <w:szCs w:val="16"/>
                  </w:rPr>
                </w:pPr>
                <w:r w:rsidRPr="00321C9E">
                  <w:rPr>
                    <w:rFonts w:ascii="Times New Roman" w:eastAsia="Times New Roman" w:hAnsi="Times New Roman"/>
                    <w:sz w:val="16"/>
                    <w:szCs w:val="16"/>
                  </w:rPr>
                  <w:t>9.054.276.131</w:t>
                </w:r>
              </w:p>
            </w:tc>
            <w:tc>
              <w:tcPr>
                <w:tcW w:w="487" w:type="pct"/>
                <w:tcMar>
                  <w:left w:w="70" w:type="dxa"/>
                  <w:right w:w="70" w:type="dxa"/>
                </w:tcMar>
                <w:vAlign w:val="center"/>
              </w:tcPr>
              <w:p w14:paraId="2187970B" w14:textId="51EEDB62" w:rsidR="0E4E29E4" w:rsidRPr="00321C9E" w:rsidRDefault="0E4E29E4" w:rsidP="0E4E29E4">
                <w:pPr>
                  <w:spacing w:after="0"/>
                  <w:ind w:left="-20" w:right="-20"/>
                  <w:jc w:val="right"/>
                  <w:rPr>
                    <w:sz w:val="16"/>
                    <w:szCs w:val="16"/>
                  </w:rPr>
                </w:pPr>
                <w:r w:rsidRPr="00321C9E">
                  <w:rPr>
                    <w:rFonts w:ascii="Times New Roman" w:eastAsia="Times New Roman" w:hAnsi="Times New Roman"/>
                    <w:sz w:val="16"/>
                    <w:szCs w:val="16"/>
                  </w:rPr>
                  <w:t>0,00</w:t>
                </w:r>
              </w:p>
            </w:tc>
          </w:tr>
          <w:tr w:rsidR="0E4E29E4" w:rsidRPr="00321C9E" w14:paraId="57C54C6F" w14:textId="77777777" w:rsidTr="00CA026F">
            <w:trPr>
              <w:trHeight w:val="300"/>
            </w:trPr>
            <w:tc>
              <w:tcPr>
                <w:tcW w:w="416" w:type="pct"/>
                <w:tcMar>
                  <w:left w:w="70" w:type="dxa"/>
                  <w:right w:w="70" w:type="dxa"/>
                </w:tcMar>
                <w:vAlign w:val="center"/>
              </w:tcPr>
              <w:p w14:paraId="09E79AC3" w14:textId="7C4A7C77" w:rsidR="0E4E29E4" w:rsidRPr="00321C9E" w:rsidRDefault="0E4E29E4" w:rsidP="0E4E29E4">
                <w:pPr>
                  <w:spacing w:after="0"/>
                  <w:ind w:left="-20" w:right="-20"/>
                  <w:rPr>
                    <w:sz w:val="16"/>
                    <w:szCs w:val="16"/>
                  </w:rPr>
                </w:pPr>
                <w:r w:rsidRPr="00321C9E">
                  <w:rPr>
                    <w:rFonts w:ascii="Times New Roman" w:eastAsia="Times New Roman" w:hAnsi="Times New Roman"/>
                    <w:sz w:val="16"/>
                    <w:szCs w:val="16"/>
                  </w:rPr>
                  <w:t>5.1.04</w:t>
                </w:r>
              </w:p>
            </w:tc>
            <w:tc>
              <w:tcPr>
                <w:tcW w:w="250" w:type="pct"/>
                <w:tcMar>
                  <w:left w:w="70" w:type="dxa"/>
                  <w:right w:w="70" w:type="dxa"/>
                </w:tcMar>
                <w:vAlign w:val="center"/>
              </w:tcPr>
              <w:p w14:paraId="0AD79C49" w14:textId="687A6934" w:rsidR="0E4E29E4" w:rsidRPr="00321C9E" w:rsidRDefault="0E4E29E4" w:rsidP="0E4E29E4">
                <w:pPr>
                  <w:spacing w:after="0"/>
                  <w:ind w:left="-20" w:right="-20"/>
                  <w:jc w:val="center"/>
                  <w:rPr>
                    <w:sz w:val="16"/>
                    <w:szCs w:val="16"/>
                  </w:rPr>
                </w:pPr>
                <w:r w:rsidRPr="00321C9E">
                  <w:rPr>
                    <w:rFonts w:ascii="Times New Roman" w:eastAsia="Times New Roman" w:hAnsi="Times New Roman"/>
                    <w:sz w:val="16"/>
                    <w:szCs w:val="16"/>
                  </w:rPr>
                  <w:t>Db</w:t>
                </w:r>
              </w:p>
            </w:tc>
            <w:tc>
              <w:tcPr>
                <w:tcW w:w="1484" w:type="pct"/>
                <w:tcMar>
                  <w:left w:w="70" w:type="dxa"/>
                  <w:right w:w="70" w:type="dxa"/>
                </w:tcMar>
                <w:vAlign w:val="center"/>
              </w:tcPr>
              <w:p w14:paraId="5FE7A81E" w14:textId="4CC65FC6" w:rsidR="0E4E29E4" w:rsidRPr="00321C9E" w:rsidRDefault="0E4E29E4" w:rsidP="0E4E29E4">
                <w:pPr>
                  <w:spacing w:after="0"/>
                  <w:ind w:left="-20" w:right="-20"/>
                  <w:rPr>
                    <w:sz w:val="16"/>
                    <w:szCs w:val="16"/>
                  </w:rPr>
                </w:pPr>
                <w:r w:rsidRPr="00321C9E">
                  <w:rPr>
                    <w:rFonts w:ascii="Times New Roman" w:eastAsia="Times New Roman" w:hAnsi="Times New Roman"/>
                    <w:sz w:val="16"/>
                    <w:szCs w:val="16"/>
                  </w:rPr>
                  <w:t>Aportes sobre la nómina</w:t>
                </w:r>
              </w:p>
            </w:tc>
            <w:tc>
              <w:tcPr>
                <w:tcW w:w="600" w:type="pct"/>
                <w:tcMar>
                  <w:left w:w="70" w:type="dxa"/>
                  <w:right w:w="70" w:type="dxa"/>
                </w:tcMar>
                <w:vAlign w:val="center"/>
              </w:tcPr>
              <w:p w14:paraId="50C71302" w14:textId="68261032" w:rsidR="0E4E29E4" w:rsidRPr="00321C9E" w:rsidRDefault="0E4E29E4" w:rsidP="0E4E29E4">
                <w:pPr>
                  <w:spacing w:after="0"/>
                  <w:ind w:left="-20" w:right="-20"/>
                  <w:jc w:val="right"/>
                  <w:rPr>
                    <w:sz w:val="16"/>
                    <w:szCs w:val="16"/>
                  </w:rPr>
                </w:pPr>
                <w:r w:rsidRPr="00321C9E">
                  <w:rPr>
                    <w:rFonts w:ascii="Times New Roman" w:eastAsia="Times New Roman" w:hAnsi="Times New Roman"/>
                    <w:sz w:val="16"/>
                    <w:szCs w:val="16"/>
                  </w:rPr>
                  <w:t>1.924.709.100</w:t>
                </w:r>
              </w:p>
            </w:tc>
            <w:tc>
              <w:tcPr>
                <w:tcW w:w="575" w:type="pct"/>
                <w:tcMar>
                  <w:left w:w="70" w:type="dxa"/>
                  <w:right w:w="70" w:type="dxa"/>
                </w:tcMar>
                <w:vAlign w:val="center"/>
              </w:tcPr>
              <w:p w14:paraId="09672E94" w14:textId="6EEFF888" w:rsidR="0E4E29E4" w:rsidRPr="00321C9E" w:rsidRDefault="0E4E29E4" w:rsidP="0E4E29E4">
                <w:pPr>
                  <w:spacing w:after="0"/>
                  <w:ind w:left="-20" w:right="-20"/>
                  <w:jc w:val="right"/>
                  <w:rPr>
                    <w:sz w:val="16"/>
                    <w:szCs w:val="16"/>
                  </w:rPr>
                </w:pPr>
                <w:r w:rsidRPr="00321C9E">
                  <w:rPr>
                    <w:rFonts w:ascii="Times New Roman" w:eastAsia="Times New Roman" w:hAnsi="Times New Roman"/>
                    <w:sz w:val="16"/>
                    <w:szCs w:val="16"/>
                  </w:rPr>
                  <w:t>1.531.663.800</w:t>
                </w:r>
              </w:p>
            </w:tc>
            <w:tc>
              <w:tcPr>
                <w:tcW w:w="594" w:type="pct"/>
                <w:tcMar>
                  <w:left w:w="70" w:type="dxa"/>
                  <w:right w:w="70" w:type="dxa"/>
                </w:tcMar>
                <w:vAlign w:val="center"/>
              </w:tcPr>
              <w:p w14:paraId="2731EACA" w14:textId="04A2C705" w:rsidR="0E4E29E4" w:rsidRPr="00321C9E" w:rsidRDefault="0E4E29E4" w:rsidP="0E4E29E4">
                <w:pPr>
                  <w:spacing w:after="0"/>
                  <w:ind w:left="-20" w:right="-20"/>
                  <w:jc w:val="right"/>
                  <w:rPr>
                    <w:sz w:val="16"/>
                    <w:szCs w:val="16"/>
                  </w:rPr>
                </w:pPr>
                <w:r w:rsidRPr="00321C9E">
                  <w:rPr>
                    <w:rFonts w:ascii="Times New Roman" w:eastAsia="Times New Roman" w:hAnsi="Times New Roman"/>
                    <w:sz w:val="16"/>
                    <w:szCs w:val="16"/>
                  </w:rPr>
                  <w:t>393.045.300</w:t>
                </w:r>
              </w:p>
            </w:tc>
            <w:tc>
              <w:tcPr>
                <w:tcW w:w="594" w:type="pct"/>
                <w:tcMar>
                  <w:left w:w="70" w:type="dxa"/>
                  <w:right w:w="70" w:type="dxa"/>
                </w:tcMar>
                <w:vAlign w:val="center"/>
              </w:tcPr>
              <w:p w14:paraId="6F8199FB" w14:textId="2C2AEDA7" w:rsidR="0E4E29E4" w:rsidRPr="00321C9E" w:rsidRDefault="0E4E29E4" w:rsidP="0E4E29E4">
                <w:pPr>
                  <w:spacing w:after="0"/>
                  <w:ind w:left="-20" w:right="-20"/>
                  <w:jc w:val="right"/>
                  <w:rPr>
                    <w:sz w:val="16"/>
                    <w:szCs w:val="16"/>
                  </w:rPr>
                </w:pPr>
                <w:r w:rsidRPr="00321C9E">
                  <w:rPr>
                    <w:rFonts w:ascii="Times New Roman" w:eastAsia="Times New Roman" w:hAnsi="Times New Roman"/>
                    <w:sz w:val="16"/>
                    <w:szCs w:val="16"/>
                  </w:rPr>
                  <w:t>1.924.709.100</w:t>
                </w:r>
              </w:p>
            </w:tc>
            <w:tc>
              <w:tcPr>
                <w:tcW w:w="487" w:type="pct"/>
                <w:tcMar>
                  <w:left w:w="70" w:type="dxa"/>
                  <w:right w:w="70" w:type="dxa"/>
                </w:tcMar>
                <w:vAlign w:val="center"/>
              </w:tcPr>
              <w:p w14:paraId="54120ADB" w14:textId="4EAE938F" w:rsidR="0E4E29E4" w:rsidRPr="00321C9E" w:rsidRDefault="0E4E29E4" w:rsidP="0E4E29E4">
                <w:pPr>
                  <w:spacing w:after="0"/>
                  <w:ind w:left="-20" w:right="-20"/>
                  <w:jc w:val="right"/>
                  <w:rPr>
                    <w:sz w:val="16"/>
                    <w:szCs w:val="16"/>
                  </w:rPr>
                </w:pPr>
                <w:r w:rsidRPr="00321C9E">
                  <w:rPr>
                    <w:rFonts w:ascii="Times New Roman" w:eastAsia="Times New Roman" w:hAnsi="Times New Roman"/>
                    <w:sz w:val="16"/>
                    <w:szCs w:val="16"/>
                  </w:rPr>
                  <w:t>0,00</w:t>
                </w:r>
              </w:p>
            </w:tc>
          </w:tr>
          <w:tr w:rsidR="0E4E29E4" w:rsidRPr="00321C9E" w14:paraId="1CFFF4FC" w14:textId="77777777" w:rsidTr="00CA026F">
            <w:trPr>
              <w:trHeight w:val="300"/>
            </w:trPr>
            <w:tc>
              <w:tcPr>
                <w:tcW w:w="416" w:type="pct"/>
                <w:tcMar>
                  <w:left w:w="70" w:type="dxa"/>
                  <w:right w:w="70" w:type="dxa"/>
                </w:tcMar>
                <w:vAlign w:val="center"/>
              </w:tcPr>
              <w:p w14:paraId="7EE1963C" w14:textId="4C0EF2DE" w:rsidR="0E4E29E4" w:rsidRPr="00321C9E" w:rsidRDefault="0E4E29E4" w:rsidP="0E4E29E4">
                <w:pPr>
                  <w:spacing w:after="0"/>
                  <w:ind w:left="-20" w:right="-20"/>
                  <w:rPr>
                    <w:sz w:val="16"/>
                    <w:szCs w:val="16"/>
                  </w:rPr>
                </w:pPr>
                <w:r w:rsidRPr="00321C9E">
                  <w:rPr>
                    <w:rFonts w:ascii="Times New Roman" w:eastAsia="Times New Roman" w:hAnsi="Times New Roman"/>
                    <w:sz w:val="16"/>
                    <w:szCs w:val="16"/>
                  </w:rPr>
                  <w:t>5.1.07</w:t>
                </w:r>
              </w:p>
            </w:tc>
            <w:tc>
              <w:tcPr>
                <w:tcW w:w="250" w:type="pct"/>
                <w:tcMar>
                  <w:left w:w="70" w:type="dxa"/>
                  <w:right w:w="70" w:type="dxa"/>
                </w:tcMar>
                <w:vAlign w:val="center"/>
              </w:tcPr>
              <w:p w14:paraId="6554FA88" w14:textId="2C78603F" w:rsidR="0E4E29E4" w:rsidRPr="00321C9E" w:rsidRDefault="0E4E29E4" w:rsidP="0E4E29E4">
                <w:pPr>
                  <w:spacing w:after="0"/>
                  <w:ind w:left="-20" w:right="-20"/>
                  <w:jc w:val="center"/>
                  <w:rPr>
                    <w:sz w:val="16"/>
                    <w:szCs w:val="16"/>
                  </w:rPr>
                </w:pPr>
                <w:r w:rsidRPr="00321C9E">
                  <w:rPr>
                    <w:rFonts w:ascii="Times New Roman" w:eastAsia="Times New Roman" w:hAnsi="Times New Roman"/>
                    <w:sz w:val="16"/>
                    <w:szCs w:val="16"/>
                  </w:rPr>
                  <w:t>Db</w:t>
                </w:r>
              </w:p>
            </w:tc>
            <w:tc>
              <w:tcPr>
                <w:tcW w:w="1484" w:type="pct"/>
                <w:tcMar>
                  <w:left w:w="70" w:type="dxa"/>
                  <w:right w:w="70" w:type="dxa"/>
                </w:tcMar>
                <w:vAlign w:val="center"/>
              </w:tcPr>
              <w:p w14:paraId="0A48610D" w14:textId="09F1946E" w:rsidR="0E4E29E4" w:rsidRPr="00321C9E" w:rsidRDefault="0E4E29E4" w:rsidP="0E4E29E4">
                <w:pPr>
                  <w:spacing w:after="0"/>
                  <w:ind w:left="-20" w:right="-20"/>
                  <w:rPr>
                    <w:sz w:val="16"/>
                    <w:szCs w:val="16"/>
                  </w:rPr>
                </w:pPr>
                <w:r w:rsidRPr="00321C9E">
                  <w:rPr>
                    <w:rFonts w:ascii="Times New Roman" w:eastAsia="Times New Roman" w:hAnsi="Times New Roman"/>
                    <w:sz w:val="16"/>
                    <w:szCs w:val="16"/>
                  </w:rPr>
                  <w:t>Prestaciones sociales</w:t>
                </w:r>
              </w:p>
            </w:tc>
            <w:tc>
              <w:tcPr>
                <w:tcW w:w="600" w:type="pct"/>
                <w:tcMar>
                  <w:left w:w="70" w:type="dxa"/>
                  <w:right w:w="70" w:type="dxa"/>
                </w:tcMar>
                <w:vAlign w:val="center"/>
              </w:tcPr>
              <w:p w14:paraId="17795AC4" w14:textId="27E3E500" w:rsidR="0E4E29E4" w:rsidRPr="00321C9E" w:rsidRDefault="0E4E29E4" w:rsidP="0E4E29E4">
                <w:pPr>
                  <w:spacing w:after="0"/>
                  <w:ind w:left="-20" w:right="-20"/>
                  <w:jc w:val="right"/>
                  <w:rPr>
                    <w:sz w:val="16"/>
                    <w:szCs w:val="16"/>
                  </w:rPr>
                </w:pPr>
                <w:r w:rsidRPr="00321C9E">
                  <w:rPr>
                    <w:rFonts w:ascii="Times New Roman" w:eastAsia="Times New Roman" w:hAnsi="Times New Roman"/>
                    <w:sz w:val="16"/>
                    <w:szCs w:val="16"/>
                  </w:rPr>
                  <w:t>12.907.564.177</w:t>
                </w:r>
              </w:p>
            </w:tc>
            <w:tc>
              <w:tcPr>
                <w:tcW w:w="575" w:type="pct"/>
                <w:tcMar>
                  <w:left w:w="70" w:type="dxa"/>
                  <w:right w:w="70" w:type="dxa"/>
                </w:tcMar>
                <w:vAlign w:val="center"/>
              </w:tcPr>
              <w:p w14:paraId="17E0139D" w14:textId="6364BEFB" w:rsidR="0E4E29E4" w:rsidRPr="00321C9E" w:rsidRDefault="0E4E29E4" w:rsidP="0E4E29E4">
                <w:pPr>
                  <w:spacing w:after="0"/>
                  <w:ind w:left="-20" w:right="-20"/>
                  <w:jc w:val="right"/>
                  <w:rPr>
                    <w:sz w:val="16"/>
                    <w:szCs w:val="16"/>
                  </w:rPr>
                </w:pPr>
                <w:r w:rsidRPr="00321C9E">
                  <w:rPr>
                    <w:rFonts w:ascii="Times New Roman" w:eastAsia="Times New Roman" w:hAnsi="Times New Roman"/>
                    <w:sz w:val="16"/>
                    <w:szCs w:val="16"/>
                  </w:rPr>
                  <w:t>11.080.112.102</w:t>
                </w:r>
              </w:p>
            </w:tc>
            <w:tc>
              <w:tcPr>
                <w:tcW w:w="594" w:type="pct"/>
                <w:tcMar>
                  <w:left w:w="70" w:type="dxa"/>
                  <w:right w:w="70" w:type="dxa"/>
                </w:tcMar>
                <w:vAlign w:val="center"/>
              </w:tcPr>
              <w:p w14:paraId="1435925F" w14:textId="155BE214" w:rsidR="0E4E29E4" w:rsidRPr="00321C9E" w:rsidRDefault="0E4E29E4" w:rsidP="0E4E29E4">
                <w:pPr>
                  <w:spacing w:after="0"/>
                  <w:ind w:left="-20" w:right="-20"/>
                  <w:jc w:val="right"/>
                  <w:rPr>
                    <w:sz w:val="16"/>
                    <w:szCs w:val="16"/>
                  </w:rPr>
                </w:pPr>
                <w:r w:rsidRPr="00321C9E">
                  <w:rPr>
                    <w:rFonts w:ascii="Times New Roman" w:eastAsia="Times New Roman" w:hAnsi="Times New Roman"/>
                    <w:sz w:val="16"/>
                    <w:szCs w:val="16"/>
                  </w:rPr>
                  <w:t>1.827.452.075</w:t>
                </w:r>
              </w:p>
            </w:tc>
            <w:tc>
              <w:tcPr>
                <w:tcW w:w="594" w:type="pct"/>
                <w:tcMar>
                  <w:left w:w="70" w:type="dxa"/>
                  <w:right w:w="70" w:type="dxa"/>
                </w:tcMar>
                <w:vAlign w:val="center"/>
              </w:tcPr>
              <w:p w14:paraId="545C4B66" w14:textId="7C30A4A9" w:rsidR="0E4E29E4" w:rsidRPr="00321C9E" w:rsidRDefault="0E4E29E4" w:rsidP="0E4E29E4">
                <w:pPr>
                  <w:spacing w:after="0"/>
                  <w:ind w:left="-20" w:right="-20"/>
                  <w:jc w:val="right"/>
                  <w:rPr>
                    <w:sz w:val="16"/>
                    <w:szCs w:val="16"/>
                  </w:rPr>
                </w:pPr>
                <w:r w:rsidRPr="00321C9E">
                  <w:rPr>
                    <w:rFonts w:ascii="Times New Roman" w:eastAsia="Times New Roman" w:hAnsi="Times New Roman"/>
                    <w:sz w:val="16"/>
                    <w:szCs w:val="16"/>
                  </w:rPr>
                  <w:t>12.907.564.177</w:t>
                </w:r>
              </w:p>
            </w:tc>
            <w:tc>
              <w:tcPr>
                <w:tcW w:w="487" w:type="pct"/>
                <w:tcMar>
                  <w:left w:w="70" w:type="dxa"/>
                  <w:right w:w="70" w:type="dxa"/>
                </w:tcMar>
                <w:vAlign w:val="center"/>
              </w:tcPr>
              <w:p w14:paraId="486CBE4C" w14:textId="0B11DA94" w:rsidR="0E4E29E4" w:rsidRPr="00321C9E" w:rsidRDefault="0E4E29E4" w:rsidP="0E4E29E4">
                <w:pPr>
                  <w:spacing w:after="0"/>
                  <w:ind w:left="-20" w:right="-20"/>
                  <w:jc w:val="right"/>
                  <w:rPr>
                    <w:sz w:val="16"/>
                    <w:szCs w:val="16"/>
                  </w:rPr>
                </w:pPr>
                <w:r w:rsidRPr="00321C9E">
                  <w:rPr>
                    <w:rFonts w:ascii="Times New Roman" w:eastAsia="Times New Roman" w:hAnsi="Times New Roman"/>
                    <w:sz w:val="16"/>
                    <w:szCs w:val="16"/>
                  </w:rPr>
                  <w:t>0,00</w:t>
                </w:r>
              </w:p>
            </w:tc>
          </w:tr>
          <w:tr w:rsidR="0E4E29E4" w:rsidRPr="00321C9E" w14:paraId="0CE3B090" w14:textId="77777777" w:rsidTr="00CA026F">
            <w:trPr>
              <w:trHeight w:val="300"/>
            </w:trPr>
            <w:tc>
              <w:tcPr>
                <w:tcW w:w="416" w:type="pct"/>
                <w:tcMar>
                  <w:left w:w="70" w:type="dxa"/>
                  <w:right w:w="70" w:type="dxa"/>
                </w:tcMar>
                <w:vAlign w:val="center"/>
              </w:tcPr>
              <w:p w14:paraId="285A6F1E" w14:textId="424E69B9" w:rsidR="0E4E29E4" w:rsidRPr="00321C9E" w:rsidRDefault="0E4E29E4" w:rsidP="0E4E29E4">
                <w:pPr>
                  <w:spacing w:after="0"/>
                  <w:ind w:left="-20" w:right="-20"/>
                  <w:rPr>
                    <w:sz w:val="16"/>
                    <w:szCs w:val="16"/>
                  </w:rPr>
                </w:pPr>
                <w:r w:rsidRPr="00321C9E">
                  <w:rPr>
                    <w:rFonts w:ascii="Times New Roman" w:eastAsia="Times New Roman" w:hAnsi="Times New Roman"/>
                    <w:sz w:val="16"/>
                    <w:szCs w:val="16"/>
                  </w:rPr>
                  <w:t>5.1.08</w:t>
                </w:r>
              </w:p>
            </w:tc>
            <w:tc>
              <w:tcPr>
                <w:tcW w:w="250" w:type="pct"/>
                <w:tcMar>
                  <w:left w:w="70" w:type="dxa"/>
                  <w:right w:w="70" w:type="dxa"/>
                </w:tcMar>
                <w:vAlign w:val="center"/>
              </w:tcPr>
              <w:p w14:paraId="353EED88" w14:textId="05FC6A30" w:rsidR="0E4E29E4" w:rsidRPr="00321C9E" w:rsidRDefault="0E4E29E4" w:rsidP="0E4E29E4">
                <w:pPr>
                  <w:spacing w:after="0"/>
                  <w:ind w:left="-20" w:right="-20"/>
                  <w:jc w:val="center"/>
                  <w:rPr>
                    <w:sz w:val="16"/>
                    <w:szCs w:val="16"/>
                  </w:rPr>
                </w:pPr>
                <w:r w:rsidRPr="00321C9E">
                  <w:rPr>
                    <w:rFonts w:ascii="Times New Roman" w:eastAsia="Times New Roman" w:hAnsi="Times New Roman"/>
                    <w:sz w:val="16"/>
                    <w:szCs w:val="16"/>
                  </w:rPr>
                  <w:t>Db</w:t>
                </w:r>
              </w:p>
            </w:tc>
            <w:tc>
              <w:tcPr>
                <w:tcW w:w="1484" w:type="pct"/>
                <w:tcMar>
                  <w:left w:w="70" w:type="dxa"/>
                  <w:right w:w="70" w:type="dxa"/>
                </w:tcMar>
                <w:vAlign w:val="center"/>
              </w:tcPr>
              <w:p w14:paraId="6991FA5D" w14:textId="68AF2B5F" w:rsidR="0E4E29E4" w:rsidRPr="00321C9E" w:rsidRDefault="0E4E29E4" w:rsidP="0E4E29E4">
                <w:pPr>
                  <w:spacing w:after="0"/>
                  <w:ind w:left="-20" w:right="-20"/>
                  <w:rPr>
                    <w:sz w:val="16"/>
                    <w:szCs w:val="16"/>
                  </w:rPr>
                </w:pPr>
                <w:r w:rsidRPr="00321C9E">
                  <w:rPr>
                    <w:rFonts w:ascii="Times New Roman" w:eastAsia="Times New Roman" w:hAnsi="Times New Roman"/>
                    <w:sz w:val="16"/>
                    <w:szCs w:val="16"/>
                  </w:rPr>
                  <w:t>Gastos de personal diversos</w:t>
                </w:r>
              </w:p>
            </w:tc>
            <w:tc>
              <w:tcPr>
                <w:tcW w:w="600" w:type="pct"/>
                <w:tcMar>
                  <w:left w:w="70" w:type="dxa"/>
                  <w:right w:w="70" w:type="dxa"/>
                </w:tcMar>
                <w:vAlign w:val="center"/>
              </w:tcPr>
              <w:p w14:paraId="6FAE0755" w14:textId="340F1FD4" w:rsidR="0E4E29E4" w:rsidRPr="00321C9E" w:rsidRDefault="0E4E29E4" w:rsidP="0E4E29E4">
                <w:pPr>
                  <w:spacing w:after="0"/>
                  <w:ind w:left="-20" w:right="-20"/>
                  <w:jc w:val="right"/>
                  <w:rPr>
                    <w:sz w:val="16"/>
                    <w:szCs w:val="16"/>
                  </w:rPr>
                </w:pPr>
                <w:r w:rsidRPr="00321C9E">
                  <w:rPr>
                    <w:rFonts w:ascii="Times New Roman" w:eastAsia="Times New Roman" w:hAnsi="Times New Roman"/>
                    <w:sz w:val="16"/>
                    <w:szCs w:val="16"/>
                  </w:rPr>
                  <w:t>754.172.157</w:t>
                </w:r>
              </w:p>
            </w:tc>
            <w:tc>
              <w:tcPr>
                <w:tcW w:w="575" w:type="pct"/>
                <w:tcMar>
                  <w:left w:w="70" w:type="dxa"/>
                  <w:right w:w="70" w:type="dxa"/>
                </w:tcMar>
                <w:vAlign w:val="center"/>
              </w:tcPr>
              <w:p w14:paraId="25FE32FD" w14:textId="08577AA8" w:rsidR="0E4E29E4" w:rsidRPr="00321C9E" w:rsidRDefault="0E4E29E4" w:rsidP="0E4E29E4">
                <w:pPr>
                  <w:spacing w:after="0"/>
                  <w:ind w:left="-20" w:right="-20"/>
                  <w:jc w:val="right"/>
                  <w:rPr>
                    <w:sz w:val="16"/>
                    <w:szCs w:val="16"/>
                  </w:rPr>
                </w:pPr>
                <w:r w:rsidRPr="00321C9E">
                  <w:rPr>
                    <w:rFonts w:ascii="Times New Roman" w:eastAsia="Times New Roman" w:hAnsi="Times New Roman"/>
                    <w:sz w:val="16"/>
                    <w:szCs w:val="16"/>
                  </w:rPr>
                  <w:t>496.728.980</w:t>
                </w:r>
              </w:p>
            </w:tc>
            <w:tc>
              <w:tcPr>
                <w:tcW w:w="594" w:type="pct"/>
                <w:tcMar>
                  <w:left w:w="70" w:type="dxa"/>
                  <w:right w:w="70" w:type="dxa"/>
                </w:tcMar>
                <w:vAlign w:val="center"/>
              </w:tcPr>
              <w:p w14:paraId="719FC6E5" w14:textId="156E5F17" w:rsidR="0E4E29E4" w:rsidRPr="00321C9E" w:rsidRDefault="0E4E29E4" w:rsidP="0E4E29E4">
                <w:pPr>
                  <w:spacing w:after="0"/>
                  <w:ind w:left="-20" w:right="-20"/>
                  <w:jc w:val="right"/>
                  <w:rPr>
                    <w:sz w:val="16"/>
                    <w:szCs w:val="16"/>
                  </w:rPr>
                </w:pPr>
                <w:r w:rsidRPr="00321C9E">
                  <w:rPr>
                    <w:rFonts w:ascii="Times New Roman" w:eastAsia="Times New Roman" w:hAnsi="Times New Roman"/>
                    <w:sz w:val="16"/>
                    <w:szCs w:val="16"/>
                  </w:rPr>
                  <w:t>257.443.177</w:t>
                </w:r>
              </w:p>
            </w:tc>
            <w:tc>
              <w:tcPr>
                <w:tcW w:w="594" w:type="pct"/>
                <w:tcMar>
                  <w:left w:w="70" w:type="dxa"/>
                  <w:right w:w="70" w:type="dxa"/>
                </w:tcMar>
                <w:vAlign w:val="center"/>
              </w:tcPr>
              <w:p w14:paraId="04278F02" w14:textId="313E3C25" w:rsidR="0E4E29E4" w:rsidRPr="00321C9E" w:rsidRDefault="0E4E29E4" w:rsidP="0E4E29E4">
                <w:pPr>
                  <w:spacing w:after="0"/>
                  <w:ind w:left="-20" w:right="-20"/>
                  <w:jc w:val="right"/>
                  <w:rPr>
                    <w:sz w:val="16"/>
                    <w:szCs w:val="16"/>
                  </w:rPr>
                </w:pPr>
                <w:r w:rsidRPr="00321C9E">
                  <w:rPr>
                    <w:rFonts w:ascii="Times New Roman" w:eastAsia="Times New Roman" w:hAnsi="Times New Roman"/>
                    <w:sz w:val="16"/>
                    <w:szCs w:val="16"/>
                  </w:rPr>
                  <w:t>754.172.157</w:t>
                </w:r>
              </w:p>
            </w:tc>
            <w:tc>
              <w:tcPr>
                <w:tcW w:w="487" w:type="pct"/>
                <w:tcMar>
                  <w:left w:w="70" w:type="dxa"/>
                  <w:right w:w="70" w:type="dxa"/>
                </w:tcMar>
                <w:vAlign w:val="center"/>
              </w:tcPr>
              <w:p w14:paraId="4EEFDFF9" w14:textId="591D4504" w:rsidR="0E4E29E4" w:rsidRPr="00321C9E" w:rsidRDefault="0E4E29E4" w:rsidP="0E4E29E4">
                <w:pPr>
                  <w:spacing w:after="0"/>
                  <w:ind w:left="-20" w:right="-20"/>
                  <w:jc w:val="right"/>
                  <w:rPr>
                    <w:sz w:val="16"/>
                    <w:szCs w:val="16"/>
                  </w:rPr>
                </w:pPr>
                <w:r w:rsidRPr="00321C9E">
                  <w:rPr>
                    <w:rFonts w:ascii="Times New Roman" w:eastAsia="Times New Roman" w:hAnsi="Times New Roman"/>
                    <w:sz w:val="16"/>
                    <w:szCs w:val="16"/>
                  </w:rPr>
                  <w:t>0,00</w:t>
                </w:r>
              </w:p>
            </w:tc>
          </w:tr>
          <w:tr w:rsidR="0E4E29E4" w:rsidRPr="00321C9E" w14:paraId="41C1C8A4" w14:textId="77777777" w:rsidTr="00CA026F">
            <w:trPr>
              <w:trHeight w:val="300"/>
            </w:trPr>
            <w:tc>
              <w:tcPr>
                <w:tcW w:w="416" w:type="pct"/>
                <w:tcMar>
                  <w:left w:w="70" w:type="dxa"/>
                  <w:right w:w="70" w:type="dxa"/>
                </w:tcMar>
                <w:vAlign w:val="center"/>
              </w:tcPr>
              <w:p w14:paraId="5C7DA536" w14:textId="4A7313A6" w:rsidR="0E4E29E4" w:rsidRPr="00321C9E" w:rsidRDefault="0E4E29E4" w:rsidP="0E4E29E4">
                <w:pPr>
                  <w:spacing w:after="0"/>
                  <w:ind w:left="-20" w:right="-20"/>
                  <w:rPr>
                    <w:sz w:val="16"/>
                    <w:szCs w:val="16"/>
                  </w:rPr>
                </w:pPr>
                <w:r w:rsidRPr="00321C9E">
                  <w:rPr>
                    <w:rFonts w:ascii="Times New Roman" w:eastAsia="Times New Roman" w:hAnsi="Times New Roman"/>
                    <w:sz w:val="16"/>
                    <w:szCs w:val="16"/>
                  </w:rPr>
                  <w:t>5.1.11</w:t>
                </w:r>
              </w:p>
            </w:tc>
            <w:tc>
              <w:tcPr>
                <w:tcW w:w="250" w:type="pct"/>
                <w:tcMar>
                  <w:left w:w="70" w:type="dxa"/>
                  <w:right w:w="70" w:type="dxa"/>
                </w:tcMar>
                <w:vAlign w:val="center"/>
              </w:tcPr>
              <w:p w14:paraId="4E01A839" w14:textId="4EB22D1E" w:rsidR="0E4E29E4" w:rsidRPr="00321C9E" w:rsidRDefault="0E4E29E4" w:rsidP="0E4E29E4">
                <w:pPr>
                  <w:spacing w:after="0"/>
                  <w:ind w:left="-20" w:right="-20"/>
                  <w:jc w:val="center"/>
                  <w:rPr>
                    <w:sz w:val="16"/>
                    <w:szCs w:val="16"/>
                  </w:rPr>
                </w:pPr>
                <w:r w:rsidRPr="00321C9E">
                  <w:rPr>
                    <w:rFonts w:ascii="Times New Roman" w:eastAsia="Times New Roman" w:hAnsi="Times New Roman"/>
                    <w:sz w:val="16"/>
                    <w:szCs w:val="16"/>
                  </w:rPr>
                  <w:t>Db</w:t>
                </w:r>
              </w:p>
            </w:tc>
            <w:tc>
              <w:tcPr>
                <w:tcW w:w="1484" w:type="pct"/>
                <w:tcMar>
                  <w:left w:w="70" w:type="dxa"/>
                  <w:right w:w="70" w:type="dxa"/>
                </w:tcMar>
                <w:vAlign w:val="center"/>
              </w:tcPr>
              <w:p w14:paraId="4DE3B497" w14:textId="5A3ED088" w:rsidR="0E4E29E4" w:rsidRPr="00321C9E" w:rsidRDefault="0E4E29E4" w:rsidP="0E4E29E4">
                <w:pPr>
                  <w:spacing w:after="0"/>
                  <w:ind w:left="-20" w:right="-20"/>
                  <w:rPr>
                    <w:sz w:val="16"/>
                    <w:szCs w:val="16"/>
                  </w:rPr>
                </w:pPr>
                <w:r w:rsidRPr="00321C9E">
                  <w:rPr>
                    <w:rFonts w:ascii="Times New Roman" w:eastAsia="Times New Roman" w:hAnsi="Times New Roman"/>
                    <w:sz w:val="16"/>
                    <w:szCs w:val="16"/>
                  </w:rPr>
                  <w:t>Generales</w:t>
                </w:r>
              </w:p>
            </w:tc>
            <w:tc>
              <w:tcPr>
                <w:tcW w:w="600" w:type="pct"/>
                <w:tcMar>
                  <w:left w:w="70" w:type="dxa"/>
                  <w:right w:w="70" w:type="dxa"/>
                </w:tcMar>
                <w:vAlign w:val="center"/>
              </w:tcPr>
              <w:p w14:paraId="5AFF765C" w14:textId="5076944F" w:rsidR="0E4E29E4" w:rsidRPr="00321C9E" w:rsidRDefault="0E4E29E4" w:rsidP="0E4E29E4">
                <w:pPr>
                  <w:spacing w:after="0"/>
                  <w:ind w:left="-20" w:right="-20"/>
                  <w:jc w:val="right"/>
                  <w:rPr>
                    <w:sz w:val="16"/>
                    <w:szCs w:val="16"/>
                  </w:rPr>
                </w:pPr>
                <w:r w:rsidRPr="00321C9E">
                  <w:rPr>
                    <w:rFonts w:ascii="Times New Roman" w:eastAsia="Times New Roman" w:hAnsi="Times New Roman"/>
                    <w:sz w:val="16"/>
                    <w:szCs w:val="16"/>
                  </w:rPr>
                  <w:t>669.365.020.634</w:t>
                </w:r>
              </w:p>
            </w:tc>
            <w:tc>
              <w:tcPr>
                <w:tcW w:w="575" w:type="pct"/>
                <w:tcMar>
                  <w:left w:w="70" w:type="dxa"/>
                  <w:right w:w="70" w:type="dxa"/>
                </w:tcMar>
                <w:vAlign w:val="center"/>
              </w:tcPr>
              <w:p w14:paraId="1486D7D4" w14:textId="5ADF9230" w:rsidR="0E4E29E4" w:rsidRPr="00321C9E" w:rsidRDefault="0E4E29E4" w:rsidP="0E4E29E4">
                <w:pPr>
                  <w:spacing w:after="0"/>
                  <w:ind w:left="-20" w:right="-20"/>
                  <w:jc w:val="right"/>
                  <w:rPr>
                    <w:sz w:val="16"/>
                    <w:szCs w:val="16"/>
                  </w:rPr>
                </w:pPr>
                <w:r w:rsidRPr="00321C9E">
                  <w:rPr>
                    <w:rFonts w:ascii="Times New Roman" w:eastAsia="Times New Roman" w:hAnsi="Times New Roman"/>
                    <w:sz w:val="16"/>
                    <w:szCs w:val="16"/>
                  </w:rPr>
                  <w:t>583.855.015.301</w:t>
                </w:r>
              </w:p>
            </w:tc>
            <w:tc>
              <w:tcPr>
                <w:tcW w:w="594" w:type="pct"/>
                <w:tcMar>
                  <w:left w:w="70" w:type="dxa"/>
                  <w:right w:w="70" w:type="dxa"/>
                </w:tcMar>
                <w:vAlign w:val="center"/>
              </w:tcPr>
              <w:p w14:paraId="290FF7B5" w14:textId="3377553E" w:rsidR="0E4E29E4" w:rsidRPr="00321C9E" w:rsidRDefault="0E4E29E4" w:rsidP="0E4E29E4">
                <w:pPr>
                  <w:spacing w:after="0"/>
                  <w:ind w:left="-20" w:right="-20"/>
                  <w:jc w:val="right"/>
                  <w:rPr>
                    <w:sz w:val="16"/>
                    <w:szCs w:val="16"/>
                  </w:rPr>
                </w:pPr>
                <w:r w:rsidRPr="00321C9E">
                  <w:rPr>
                    <w:rFonts w:ascii="Times New Roman" w:eastAsia="Times New Roman" w:hAnsi="Times New Roman"/>
                    <w:sz w:val="16"/>
                    <w:szCs w:val="16"/>
                  </w:rPr>
                  <w:t>85.510.005.333</w:t>
                </w:r>
              </w:p>
            </w:tc>
            <w:tc>
              <w:tcPr>
                <w:tcW w:w="594" w:type="pct"/>
                <w:tcMar>
                  <w:left w:w="70" w:type="dxa"/>
                  <w:right w:w="70" w:type="dxa"/>
                </w:tcMar>
                <w:vAlign w:val="center"/>
              </w:tcPr>
              <w:p w14:paraId="7E032531" w14:textId="0CAE8B18" w:rsidR="0E4E29E4" w:rsidRPr="00321C9E" w:rsidRDefault="0E4E29E4" w:rsidP="0E4E29E4">
                <w:pPr>
                  <w:spacing w:after="0"/>
                  <w:ind w:left="-20" w:right="-20"/>
                  <w:jc w:val="right"/>
                  <w:rPr>
                    <w:sz w:val="16"/>
                    <w:szCs w:val="16"/>
                  </w:rPr>
                </w:pPr>
                <w:r w:rsidRPr="00321C9E">
                  <w:rPr>
                    <w:rFonts w:ascii="Times New Roman" w:eastAsia="Times New Roman" w:hAnsi="Times New Roman"/>
                    <w:sz w:val="16"/>
                    <w:szCs w:val="16"/>
                  </w:rPr>
                  <w:t>669.365.020.634</w:t>
                </w:r>
              </w:p>
            </w:tc>
            <w:tc>
              <w:tcPr>
                <w:tcW w:w="487" w:type="pct"/>
                <w:tcMar>
                  <w:left w:w="70" w:type="dxa"/>
                  <w:right w:w="70" w:type="dxa"/>
                </w:tcMar>
                <w:vAlign w:val="center"/>
              </w:tcPr>
              <w:p w14:paraId="50EA33CC" w14:textId="6AB111FD" w:rsidR="0E4E29E4" w:rsidRPr="00321C9E" w:rsidRDefault="0E4E29E4" w:rsidP="0E4E29E4">
                <w:pPr>
                  <w:spacing w:after="0"/>
                  <w:ind w:left="-20" w:right="-20"/>
                  <w:jc w:val="right"/>
                  <w:rPr>
                    <w:sz w:val="16"/>
                    <w:szCs w:val="16"/>
                  </w:rPr>
                </w:pPr>
                <w:r w:rsidRPr="00321C9E">
                  <w:rPr>
                    <w:rFonts w:ascii="Times New Roman" w:eastAsia="Times New Roman" w:hAnsi="Times New Roman"/>
                    <w:sz w:val="16"/>
                    <w:szCs w:val="16"/>
                  </w:rPr>
                  <w:t>0,00</w:t>
                </w:r>
              </w:p>
            </w:tc>
          </w:tr>
          <w:tr w:rsidR="0E4E29E4" w:rsidRPr="00321C9E" w14:paraId="16D625B8" w14:textId="77777777" w:rsidTr="00CA026F">
            <w:trPr>
              <w:trHeight w:val="300"/>
            </w:trPr>
            <w:tc>
              <w:tcPr>
                <w:tcW w:w="416" w:type="pct"/>
                <w:tcMar>
                  <w:left w:w="70" w:type="dxa"/>
                  <w:right w:w="70" w:type="dxa"/>
                </w:tcMar>
                <w:vAlign w:val="center"/>
              </w:tcPr>
              <w:p w14:paraId="32279930" w14:textId="2A0A04E5" w:rsidR="0E4E29E4" w:rsidRPr="00321C9E" w:rsidRDefault="0E4E29E4" w:rsidP="0E4E29E4">
                <w:pPr>
                  <w:spacing w:after="0"/>
                  <w:ind w:left="-20" w:right="-20"/>
                  <w:rPr>
                    <w:sz w:val="16"/>
                    <w:szCs w:val="16"/>
                  </w:rPr>
                </w:pPr>
                <w:r w:rsidRPr="00321C9E">
                  <w:rPr>
                    <w:rFonts w:ascii="Times New Roman" w:eastAsia="Times New Roman" w:hAnsi="Times New Roman"/>
                    <w:sz w:val="16"/>
                    <w:szCs w:val="16"/>
                  </w:rPr>
                  <w:t>5.1.20</w:t>
                </w:r>
              </w:p>
            </w:tc>
            <w:tc>
              <w:tcPr>
                <w:tcW w:w="250" w:type="pct"/>
                <w:tcMar>
                  <w:left w:w="70" w:type="dxa"/>
                  <w:right w:w="70" w:type="dxa"/>
                </w:tcMar>
                <w:vAlign w:val="center"/>
              </w:tcPr>
              <w:p w14:paraId="699ADAC0" w14:textId="691B46DE" w:rsidR="0E4E29E4" w:rsidRPr="00321C9E" w:rsidRDefault="0E4E29E4" w:rsidP="0E4E29E4">
                <w:pPr>
                  <w:spacing w:after="0"/>
                  <w:ind w:left="-20" w:right="-20"/>
                  <w:jc w:val="center"/>
                  <w:rPr>
                    <w:sz w:val="16"/>
                    <w:szCs w:val="16"/>
                  </w:rPr>
                </w:pPr>
                <w:r w:rsidRPr="00321C9E">
                  <w:rPr>
                    <w:rFonts w:ascii="Times New Roman" w:eastAsia="Times New Roman" w:hAnsi="Times New Roman"/>
                    <w:sz w:val="16"/>
                    <w:szCs w:val="16"/>
                  </w:rPr>
                  <w:t>Db</w:t>
                </w:r>
              </w:p>
            </w:tc>
            <w:tc>
              <w:tcPr>
                <w:tcW w:w="1484" w:type="pct"/>
                <w:tcMar>
                  <w:left w:w="70" w:type="dxa"/>
                  <w:right w:w="70" w:type="dxa"/>
                </w:tcMar>
                <w:vAlign w:val="center"/>
              </w:tcPr>
              <w:p w14:paraId="051C5135" w14:textId="618DFA5F" w:rsidR="0E4E29E4" w:rsidRPr="00321C9E" w:rsidRDefault="0E4E29E4" w:rsidP="0E4E29E4">
                <w:pPr>
                  <w:spacing w:after="0"/>
                  <w:ind w:left="-20" w:right="-20"/>
                  <w:rPr>
                    <w:sz w:val="16"/>
                    <w:szCs w:val="16"/>
                  </w:rPr>
                </w:pPr>
                <w:r w:rsidRPr="00321C9E">
                  <w:rPr>
                    <w:rFonts w:ascii="Times New Roman" w:eastAsia="Times New Roman" w:hAnsi="Times New Roman"/>
                    <w:sz w:val="16"/>
                    <w:szCs w:val="16"/>
                  </w:rPr>
                  <w:t>Impuestos, contribuciones y tasas</w:t>
                </w:r>
              </w:p>
            </w:tc>
            <w:tc>
              <w:tcPr>
                <w:tcW w:w="600" w:type="pct"/>
                <w:tcMar>
                  <w:left w:w="70" w:type="dxa"/>
                  <w:right w:w="70" w:type="dxa"/>
                </w:tcMar>
                <w:vAlign w:val="center"/>
              </w:tcPr>
              <w:p w14:paraId="590C1F1A" w14:textId="3B1AD923" w:rsidR="0E4E29E4" w:rsidRPr="00321C9E" w:rsidRDefault="0E4E29E4" w:rsidP="0E4E29E4">
                <w:pPr>
                  <w:spacing w:after="0"/>
                  <w:ind w:left="-20" w:right="-20"/>
                  <w:jc w:val="right"/>
                  <w:rPr>
                    <w:sz w:val="16"/>
                    <w:szCs w:val="16"/>
                  </w:rPr>
                </w:pPr>
                <w:r w:rsidRPr="00321C9E">
                  <w:rPr>
                    <w:rFonts w:ascii="Times New Roman" w:eastAsia="Times New Roman" w:hAnsi="Times New Roman"/>
                    <w:sz w:val="16"/>
                    <w:szCs w:val="16"/>
                  </w:rPr>
                  <w:t>14.420.233.337</w:t>
                </w:r>
              </w:p>
            </w:tc>
            <w:tc>
              <w:tcPr>
                <w:tcW w:w="575" w:type="pct"/>
                <w:tcMar>
                  <w:left w:w="70" w:type="dxa"/>
                  <w:right w:w="70" w:type="dxa"/>
                </w:tcMar>
                <w:vAlign w:val="center"/>
              </w:tcPr>
              <w:p w14:paraId="1A9BD15B" w14:textId="3D593D13" w:rsidR="0E4E29E4" w:rsidRPr="00321C9E" w:rsidRDefault="0E4E29E4" w:rsidP="0E4E29E4">
                <w:pPr>
                  <w:spacing w:after="0"/>
                  <w:ind w:left="-20" w:right="-20"/>
                  <w:jc w:val="right"/>
                  <w:rPr>
                    <w:sz w:val="16"/>
                    <w:szCs w:val="16"/>
                  </w:rPr>
                </w:pPr>
                <w:r w:rsidRPr="00321C9E">
                  <w:rPr>
                    <w:rFonts w:ascii="Times New Roman" w:eastAsia="Times New Roman" w:hAnsi="Times New Roman"/>
                    <w:sz w:val="16"/>
                    <w:szCs w:val="16"/>
                  </w:rPr>
                  <w:t>12.314.600.656</w:t>
                </w:r>
              </w:p>
            </w:tc>
            <w:tc>
              <w:tcPr>
                <w:tcW w:w="594" w:type="pct"/>
                <w:tcMar>
                  <w:left w:w="70" w:type="dxa"/>
                  <w:right w:w="70" w:type="dxa"/>
                </w:tcMar>
                <w:vAlign w:val="center"/>
              </w:tcPr>
              <w:p w14:paraId="462E7A69" w14:textId="26227517" w:rsidR="0E4E29E4" w:rsidRPr="00321C9E" w:rsidRDefault="0E4E29E4" w:rsidP="0E4E29E4">
                <w:pPr>
                  <w:spacing w:after="0"/>
                  <w:ind w:left="-20" w:right="-20"/>
                  <w:jc w:val="right"/>
                  <w:rPr>
                    <w:sz w:val="16"/>
                    <w:szCs w:val="16"/>
                  </w:rPr>
                </w:pPr>
                <w:r w:rsidRPr="00321C9E">
                  <w:rPr>
                    <w:rFonts w:ascii="Times New Roman" w:eastAsia="Times New Roman" w:hAnsi="Times New Roman"/>
                    <w:sz w:val="16"/>
                    <w:szCs w:val="16"/>
                  </w:rPr>
                  <w:t>2.105.632.681</w:t>
                </w:r>
              </w:p>
            </w:tc>
            <w:tc>
              <w:tcPr>
                <w:tcW w:w="594" w:type="pct"/>
                <w:tcMar>
                  <w:left w:w="70" w:type="dxa"/>
                  <w:right w:w="70" w:type="dxa"/>
                </w:tcMar>
                <w:vAlign w:val="center"/>
              </w:tcPr>
              <w:p w14:paraId="432A220C" w14:textId="383CE8B3" w:rsidR="0E4E29E4" w:rsidRPr="00321C9E" w:rsidRDefault="0E4E29E4" w:rsidP="0E4E29E4">
                <w:pPr>
                  <w:spacing w:after="0"/>
                  <w:ind w:left="-20" w:right="-20"/>
                  <w:jc w:val="right"/>
                  <w:rPr>
                    <w:sz w:val="16"/>
                    <w:szCs w:val="16"/>
                  </w:rPr>
                </w:pPr>
                <w:r w:rsidRPr="00321C9E">
                  <w:rPr>
                    <w:rFonts w:ascii="Times New Roman" w:eastAsia="Times New Roman" w:hAnsi="Times New Roman"/>
                    <w:sz w:val="16"/>
                    <w:szCs w:val="16"/>
                  </w:rPr>
                  <w:t>14.420.233.337</w:t>
                </w:r>
              </w:p>
            </w:tc>
            <w:tc>
              <w:tcPr>
                <w:tcW w:w="487" w:type="pct"/>
                <w:tcMar>
                  <w:left w:w="70" w:type="dxa"/>
                  <w:right w:w="70" w:type="dxa"/>
                </w:tcMar>
                <w:vAlign w:val="center"/>
              </w:tcPr>
              <w:p w14:paraId="3383D01E" w14:textId="5371B47F" w:rsidR="0E4E29E4" w:rsidRPr="00321C9E" w:rsidRDefault="0E4E29E4" w:rsidP="0E4E29E4">
                <w:pPr>
                  <w:spacing w:after="0"/>
                  <w:ind w:left="-20" w:right="-20"/>
                  <w:jc w:val="right"/>
                  <w:rPr>
                    <w:sz w:val="16"/>
                    <w:szCs w:val="16"/>
                  </w:rPr>
                </w:pPr>
                <w:r w:rsidRPr="00321C9E">
                  <w:rPr>
                    <w:rFonts w:ascii="Times New Roman" w:eastAsia="Times New Roman" w:hAnsi="Times New Roman"/>
                    <w:sz w:val="16"/>
                    <w:szCs w:val="16"/>
                  </w:rPr>
                  <w:t>0,00</w:t>
                </w:r>
              </w:p>
            </w:tc>
          </w:tr>
        </w:tbl>
        <w:p w14:paraId="7F5F8714" w14:textId="7A8A64A3" w:rsidR="00AB29AE" w:rsidRPr="00931DCE" w:rsidRDefault="64C58135" w:rsidP="0E4E29E4">
          <w:pPr>
            <w:ind w:left="-20" w:right="-20"/>
            <w:jc w:val="both"/>
          </w:pPr>
          <w:r w:rsidRPr="0E4E29E4">
            <w:rPr>
              <w:rFonts w:ascii="Times New Roman" w:eastAsia="Times New Roman" w:hAnsi="Times New Roman"/>
              <w:sz w:val="14"/>
              <w:szCs w:val="14"/>
            </w:rPr>
            <w:t xml:space="preserve"> </w:t>
          </w:r>
          <w:r w:rsidR="00AD2026" w:rsidRPr="0E4E29E4">
            <w:rPr>
              <w:rFonts w:ascii="Times New Roman" w:eastAsia="Times New Roman" w:hAnsi="Times New Roman"/>
              <w:sz w:val="14"/>
              <w:szCs w:val="14"/>
            </w:rPr>
            <w:t>Cifras expresadas en pesos</w:t>
          </w:r>
        </w:p>
        <w:p w14:paraId="5C4E9B85" w14:textId="0579C19B" w:rsidR="003A4D8E" w:rsidRPr="00931DCE" w:rsidRDefault="00AB29AE" w:rsidP="0E4E29E4">
          <w:pPr>
            <w:ind w:left="-20" w:right="-20"/>
            <w:jc w:val="both"/>
          </w:pPr>
          <w:r w:rsidRPr="0E4E29E4">
            <w:rPr>
              <w:rFonts w:ascii="Times New Roman" w:eastAsia="Times New Roman" w:hAnsi="Times New Roman"/>
              <w:sz w:val="24"/>
              <w:szCs w:val="24"/>
            </w:rPr>
            <w:t xml:space="preserve">En </w:t>
          </w:r>
          <w:r w:rsidRPr="0E4E29E4">
            <w:rPr>
              <w:rFonts w:ascii="Times New Roman" w:eastAsia="Times New Roman" w:hAnsi="Times New Roman"/>
              <w:i/>
              <w:sz w:val="24"/>
              <w:szCs w:val="24"/>
            </w:rPr>
            <w:t>Sueldos y salarios</w:t>
          </w:r>
          <w:r w:rsidRPr="0E4E29E4">
            <w:rPr>
              <w:rFonts w:ascii="Times New Roman" w:eastAsia="Times New Roman" w:hAnsi="Times New Roman"/>
              <w:sz w:val="24"/>
              <w:szCs w:val="24"/>
            </w:rPr>
            <w:t xml:space="preserve">, </w:t>
          </w:r>
          <w:r w:rsidRPr="0E4E29E4">
            <w:rPr>
              <w:rFonts w:ascii="Times New Roman" w:eastAsia="Times New Roman" w:hAnsi="Times New Roman"/>
              <w:sz w:val="24"/>
              <w:szCs w:val="24"/>
              <w:lang w:val="es"/>
            </w:rPr>
            <w:t>se reconocen las erogaciones de la planta de personal que labora en la entidad, tales como: Sueldos, horas extras y festivos, primas técnicas, bonificaciones por servicios prestados, y subsidio de alimentación.</w:t>
          </w:r>
          <w:r w:rsidR="64C58135" w:rsidRPr="0E4E29E4">
            <w:rPr>
              <w:rFonts w:ascii="Times New Roman" w:eastAsia="Times New Roman" w:hAnsi="Times New Roman"/>
              <w:sz w:val="24"/>
              <w:szCs w:val="24"/>
              <w:lang w:val="es"/>
            </w:rPr>
            <w:t xml:space="preserve"> </w:t>
          </w:r>
        </w:p>
        <w:p w14:paraId="50086CEC" w14:textId="6EC4CB90" w:rsidR="003A4D8E" w:rsidRPr="00931DCE" w:rsidRDefault="64C58135" w:rsidP="0E4E29E4">
          <w:pPr>
            <w:ind w:left="-20" w:right="-20"/>
            <w:jc w:val="both"/>
          </w:pPr>
          <w:r w:rsidRPr="0E4E29E4">
            <w:rPr>
              <w:rFonts w:ascii="Times New Roman" w:eastAsia="Times New Roman" w:hAnsi="Times New Roman"/>
              <w:sz w:val="24"/>
              <w:szCs w:val="24"/>
              <w:lang w:val="es"/>
            </w:rPr>
            <w:t xml:space="preserve">En </w:t>
          </w:r>
          <w:r w:rsidRPr="0E4E29E4">
            <w:rPr>
              <w:rFonts w:ascii="Times New Roman" w:eastAsia="Times New Roman" w:hAnsi="Times New Roman"/>
              <w:i/>
              <w:iCs/>
              <w:sz w:val="24"/>
              <w:szCs w:val="24"/>
              <w:lang w:val="es"/>
            </w:rPr>
            <w:t>Contribuciones efectivas</w:t>
          </w:r>
          <w:r w:rsidRPr="0E4E29E4">
            <w:rPr>
              <w:rFonts w:ascii="Times New Roman" w:eastAsia="Times New Roman" w:hAnsi="Times New Roman"/>
              <w:sz w:val="24"/>
              <w:szCs w:val="24"/>
              <w:lang w:val="es"/>
            </w:rPr>
            <w:t>, se registra el valor de las contribuciones sociales que paga la ANI a las entidades administradoras del Sistema de Seguridad Social en beneficio de los funcionarios que laboran en la entidad, tales como; salud, pensión, cajas de compensación familiar y las Administradoras de Riesgos Laborales (ARL).</w:t>
          </w:r>
        </w:p>
        <w:p w14:paraId="7B21275F" w14:textId="7B2FF23E" w:rsidR="003A4D8E" w:rsidRPr="00931DCE" w:rsidRDefault="64C58135" w:rsidP="0E4E29E4">
          <w:pPr>
            <w:ind w:left="-20" w:right="-20"/>
            <w:jc w:val="both"/>
          </w:pPr>
          <w:r w:rsidRPr="0E4E29E4">
            <w:rPr>
              <w:rFonts w:ascii="Times New Roman" w:eastAsia="Times New Roman" w:hAnsi="Times New Roman"/>
              <w:sz w:val="24"/>
              <w:szCs w:val="24"/>
              <w:lang w:val="es"/>
            </w:rPr>
            <w:t xml:space="preserve">En </w:t>
          </w:r>
          <w:r w:rsidRPr="0E4E29E4">
            <w:rPr>
              <w:rFonts w:ascii="Times New Roman" w:eastAsia="Times New Roman" w:hAnsi="Times New Roman"/>
              <w:i/>
              <w:iCs/>
              <w:sz w:val="24"/>
              <w:szCs w:val="24"/>
              <w:lang w:val="es"/>
            </w:rPr>
            <w:t>Aportes sobre la nómina</w:t>
          </w:r>
          <w:r w:rsidRPr="0E4E29E4">
            <w:rPr>
              <w:rFonts w:ascii="Times New Roman" w:eastAsia="Times New Roman" w:hAnsi="Times New Roman"/>
              <w:sz w:val="24"/>
              <w:szCs w:val="24"/>
              <w:lang w:val="es"/>
            </w:rPr>
            <w:t>, están registrados los valores de los gastos que se generan sobre la nómina de la Entidad por parafiscales, y que se pagan al Instituto Colombiano de Bienestar Familiar (ICBF) y Servicio Nacional de Aprendizaje (SENA).</w:t>
          </w:r>
        </w:p>
        <w:p w14:paraId="0052A7CA" w14:textId="7D5FD650" w:rsidR="00AB29AE" w:rsidRPr="00931DCE" w:rsidRDefault="00AB29AE" w:rsidP="00197845">
          <w:pPr>
            <w:ind w:left="-20" w:right="-20"/>
            <w:jc w:val="both"/>
          </w:pPr>
          <w:r w:rsidRPr="0E4E29E4">
            <w:rPr>
              <w:rFonts w:ascii="Times New Roman" w:eastAsia="Times New Roman" w:hAnsi="Times New Roman"/>
              <w:sz w:val="24"/>
              <w:szCs w:val="24"/>
              <w:lang w:val="es"/>
            </w:rPr>
            <w:t xml:space="preserve">En </w:t>
          </w:r>
          <w:r w:rsidRPr="0E4E29E4">
            <w:rPr>
              <w:rFonts w:ascii="Times New Roman" w:eastAsia="Times New Roman" w:hAnsi="Times New Roman"/>
              <w:i/>
              <w:sz w:val="24"/>
              <w:szCs w:val="24"/>
              <w:lang w:val="es"/>
            </w:rPr>
            <w:t>Prestaciones sociales</w:t>
          </w:r>
          <w:r w:rsidRPr="0E4E29E4">
            <w:rPr>
              <w:rFonts w:ascii="Times New Roman" w:eastAsia="Times New Roman" w:hAnsi="Times New Roman"/>
              <w:sz w:val="24"/>
              <w:szCs w:val="24"/>
              <w:lang w:val="es"/>
            </w:rPr>
            <w:t xml:space="preserve"> se registran los beneficios legales que tienen los funcionarios de la entidad, como son, cesantías, prima de vacaciones, prima de navidad, vacaciones, prima de servicios y bonificación especial de recreación.</w:t>
          </w:r>
        </w:p>
        <w:p w14:paraId="69A03C7B" w14:textId="28F41059" w:rsidR="003A4D8E" w:rsidRPr="00931DCE" w:rsidRDefault="64C58135" w:rsidP="00197845">
          <w:pPr>
            <w:ind w:left="-20" w:right="-20"/>
            <w:jc w:val="both"/>
          </w:pPr>
          <w:r w:rsidRPr="0E4E29E4">
            <w:rPr>
              <w:rFonts w:ascii="Times New Roman" w:eastAsia="Times New Roman" w:hAnsi="Times New Roman"/>
              <w:sz w:val="24"/>
              <w:szCs w:val="24"/>
              <w:lang w:val="es"/>
            </w:rPr>
            <w:t xml:space="preserve">En </w:t>
          </w:r>
          <w:r w:rsidRPr="0E4E29E4">
            <w:rPr>
              <w:rFonts w:ascii="Times New Roman" w:eastAsia="Times New Roman" w:hAnsi="Times New Roman"/>
              <w:i/>
              <w:iCs/>
              <w:sz w:val="24"/>
              <w:szCs w:val="24"/>
              <w:lang w:val="es"/>
            </w:rPr>
            <w:t>Gastos de personal diversos</w:t>
          </w:r>
          <w:r w:rsidRPr="0E4E29E4">
            <w:rPr>
              <w:rFonts w:ascii="Times New Roman" w:eastAsia="Times New Roman" w:hAnsi="Times New Roman"/>
              <w:sz w:val="24"/>
              <w:szCs w:val="24"/>
              <w:lang w:val="es"/>
            </w:rPr>
            <w:t xml:space="preserve">, consolida todas las demás erogaciones realizadas por la entidad durante el periodo, relacionadas con los gastos de personal por </w:t>
          </w:r>
          <w:r w:rsidR="00E83E0C">
            <w:rPr>
              <w:rFonts w:ascii="Times New Roman" w:eastAsia="Times New Roman" w:hAnsi="Times New Roman"/>
              <w:sz w:val="24"/>
              <w:szCs w:val="24"/>
              <w:lang w:val="es"/>
            </w:rPr>
            <w:t>c</w:t>
          </w:r>
          <w:r w:rsidRPr="0E4E29E4">
            <w:rPr>
              <w:rFonts w:ascii="Times New Roman" w:eastAsia="Times New Roman" w:hAnsi="Times New Roman"/>
              <w:sz w:val="24"/>
              <w:szCs w:val="24"/>
              <w:lang w:val="es"/>
            </w:rPr>
            <w:t xml:space="preserve">apacitación, bienestar social y estímulos - corto plazo, gastos de viajes de contratistas; que para el año 2022 se registraban en la subcuenta </w:t>
          </w:r>
          <w:r w:rsidR="00E76EB5">
            <w:rPr>
              <w:rFonts w:ascii="Times New Roman" w:eastAsia="Times New Roman" w:hAnsi="Times New Roman"/>
              <w:sz w:val="24"/>
              <w:szCs w:val="24"/>
              <w:lang w:val="es"/>
            </w:rPr>
            <w:t>v</w:t>
          </w:r>
          <w:r w:rsidRPr="0E4E29E4">
            <w:rPr>
              <w:rFonts w:ascii="Times New Roman" w:eastAsia="Times New Roman" w:hAnsi="Times New Roman"/>
              <w:sz w:val="24"/>
              <w:szCs w:val="24"/>
              <w:lang w:val="es"/>
            </w:rPr>
            <w:t xml:space="preserve">iáticos y gastos de viaje de la cuenta </w:t>
          </w:r>
          <w:r w:rsidR="00E76EB5">
            <w:rPr>
              <w:rFonts w:ascii="Times New Roman" w:eastAsia="Times New Roman" w:hAnsi="Times New Roman"/>
              <w:sz w:val="24"/>
              <w:szCs w:val="24"/>
              <w:lang w:val="es"/>
            </w:rPr>
            <w:t>g</w:t>
          </w:r>
          <w:r w:rsidRPr="0E4E29E4">
            <w:rPr>
              <w:rFonts w:ascii="Times New Roman" w:eastAsia="Times New Roman" w:hAnsi="Times New Roman"/>
              <w:sz w:val="24"/>
              <w:szCs w:val="24"/>
              <w:lang w:val="es"/>
            </w:rPr>
            <w:t>enerales, también se registró en el 2023 pago a la Comisión Nacional del Servicio Civil por uso de listas de elegibles para proveer empleos en vacancia definitiva de carrera administrativa de la Planta de Personal de la Agencia Nacional de Infraestructura.</w:t>
          </w:r>
        </w:p>
        <w:p w14:paraId="6C5A0D6D" w14:textId="77777777" w:rsidR="00662AD9" w:rsidRDefault="64C58135" w:rsidP="00662AD9">
          <w:pPr>
            <w:ind w:left="-20" w:right="-20"/>
            <w:jc w:val="both"/>
            <w:rPr>
              <w:lang w:val="es"/>
            </w:rPr>
          </w:pPr>
          <w:r w:rsidRPr="0E4E29E4">
            <w:rPr>
              <w:rFonts w:ascii="Times New Roman" w:eastAsia="Times New Roman" w:hAnsi="Times New Roman"/>
              <w:sz w:val="24"/>
              <w:szCs w:val="24"/>
              <w:lang w:val="es"/>
            </w:rPr>
            <w:t xml:space="preserve">En gastos </w:t>
          </w:r>
          <w:r w:rsidRPr="0E4E29E4">
            <w:rPr>
              <w:rFonts w:ascii="Times New Roman" w:eastAsia="Times New Roman" w:hAnsi="Times New Roman"/>
              <w:i/>
              <w:iCs/>
              <w:sz w:val="24"/>
              <w:szCs w:val="24"/>
              <w:lang w:val="es"/>
            </w:rPr>
            <w:t>Generales</w:t>
          </w:r>
          <w:r w:rsidRPr="0E4E29E4">
            <w:rPr>
              <w:rFonts w:ascii="Times New Roman" w:eastAsia="Times New Roman" w:hAnsi="Times New Roman"/>
              <w:sz w:val="24"/>
              <w:szCs w:val="24"/>
              <w:lang w:val="es"/>
            </w:rPr>
            <w:t>, se reconocen los gastos en que incurre la ANI para su normal funcionamiento en cumplimiento de su cometido estatal. Entre estos, el rubro más representativo corresponde a Mantenimiento con un incremento en términos corrientes del 74,48% sobre el total de los Gastos Generales, por el reconocimiento del mantenimiento (OPEX) de los acuerdos de concesión del modo de transporte carretero de conformidad con la técnica de estimación (modelo financiero para propósitos contables) que utiliza la entidad, y por el mantenimiento de la vía férrea. El segundo rubro que presenta mayor variación es</w:t>
          </w:r>
          <w:r w:rsidR="00662AD9">
            <w:rPr>
              <w:rFonts w:ascii="Times New Roman" w:eastAsia="Times New Roman" w:hAnsi="Times New Roman"/>
              <w:sz w:val="24"/>
              <w:szCs w:val="24"/>
              <w:lang w:val="es"/>
            </w:rPr>
            <w:t xml:space="preserve"> el de</w:t>
          </w:r>
          <w:r w:rsidRPr="0E4E29E4">
            <w:rPr>
              <w:rFonts w:ascii="Times New Roman" w:eastAsia="Times New Roman" w:hAnsi="Times New Roman"/>
              <w:sz w:val="24"/>
              <w:szCs w:val="24"/>
              <w:lang w:val="es"/>
            </w:rPr>
            <w:t xml:space="preserve"> Honorarios con un incremento en términos corrientes del 13,87%, que corresponde a gastos por prestación de servicios de los contratistas, pagos especializados de asesorías, entre otros.</w:t>
          </w:r>
        </w:p>
        <w:p w14:paraId="7DB6E0B8" w14:textId="0E746641" w:rsidR="003A4D8E" w:rsidRPr="00931DCE" w:rsidRDefault="008E7042" w:rsidP="00662AD9">
          <w:pPr>
            <w:ind w:left="-20" w:right="-20"/>
            <w:jc w:val="both"/>
          </w:pPr>
          <w:r>
            <w:rPr>
              <w:rFonts w:ascii="Times New Roman" w:eastAsia="Times New Roman" w:hAnsi="Times New Roman"/>
              <w:sz w:val="24"/>
              <w:szCs w:val="24"/>
              <w:lang w:val="es"/>
            </w:rPr>
            <w:lastRenderedPageBreak/>
            <w:t xml:space="preserve">Para el año </w:t>
          </w:r>
          <w:r w:rsidR="64C58135" w:rsidRPr="0E4E29E4">
            <w:rPr>
              <w:rFonts w:ascii="Times New Roman" w:eastAsia="Times New Roman" w:hAnsi="Times New Roman"/>
              <w:sz w:val="24"/>
              <w:szCs w:val="24"/>
              <w:lang w:val="es"/>
            </w:rPr>
            <w:t xml:space="preserve">2023 </w:t>
          </w:r>
          <w:r w:rsidRPr="0E4E29E4">
            <w:rPr>
              <w:rFonts w:ascii="Times New Roman" w:eastAsia="Times New Roman" w:hAnsi="Times New Roman"/>
              <w:sz w:val="24"/>
              <w:szCs w:val="24"/>
              <w:lang w:val="es"/>
            </w:rPr>
            <w:t xml:space="preserve">se registró </w:t>
          </w:r>
          <w:r>
            <w:rPr>
              <w:rFonts w:ascii="Times New Roman" w:eastAsia="Times New Roman" w:hAnsi="Times New Roman"/>
              <w:sz w:val="24"/>
              <w:szCs w:val="24"/>
              <w:lang w:val="es"/>
            </w:rPr>
            <w:t xml:space="preserve">en la </w:t>
          </w:r>
          <w:r w:rsidRPr="0E4E29E4">
            <w:rPr>
              <w:rFonts w:ascii="Times New Roman" w:eastAsia="Times New Roman" w:hAnsi="Times New Roman"/>
              <w:sz w:val="24"/>
              <w:szCs w:val="24"/>
              <w:lang w:val="es"/>
            </w:rPr>
            <w:t xml:space="preserve">subcuenta </w:t>
          </w:r>
          <w:r w:rsidRPr="0E4E29E4">
            <w:rPr>
              <w:rFonts w:ascii="Times New Roman" w:eastAsia="Times New Roman" w:hAnsi="Times New Roman"/>
              <w:i/>
              <w:iCs/>
              <w:sz w:val="24"/>
              <w:szCs w:val="24"/>
              <w:lang w:val="es"/>
            </w:rPr>
            <w:t>Costas procesales</w:t>
          </w:r>
          <w:r w:rsidRPr="0E4E29E4">
            <w:rPr>
              <w:rFonts w:ascii="Times New Roman" w:eastAsia="Times New Roman" w:hAnsi="Times New Roman"/>
              <w:sz w:val="24"/>
              <w:szCs w:val="24"/>
              <w:lang w:val="es"/>
            </w:rPr>
            <w:t xml:space="preserve"> </w:t>
          </w:r>
          <w:r w:rsidR="64C58135" w:rsidRPr="0E4E29E4">
            <w:rPr>
              <w:rFonts w:ascii="Times New Roman" w:eastAsia="Times New Roman" w:hAnsi="Times New Roman"/>
              <w:sz w:val="24"/>
              <w:szCs w:val="24"/>
              <w:lang w:val="es"/>
            </w:rPr>
            <w:t>los honorarios de los árbitros y de la secretaria fijados por los Tribunales de Arbitramento, que anteriormente se registraban en la subcuenta  Honorarios al tercero beneficiario del reembolso (Concesionario), sin embargo, y una vez, revisado y analizado la esencia de este pago, se consideró pertinente ajustar el criterio del registro contable, teniendo en cuenta que el pago que se le realiza al concesionario por concepto de los reembolsos por el dinero que debió pagar la ANI para la instalación de los Tribunales de Arbitramento, se ajusta más al concepto de Costa procesal.</w:t>
          </w:r>
        </w:p>
        <w:p w14:paraId="28C43828" w14:textId="563C6D1A" w:rsidR="003A4D8E" w:rsidRPr="00931DCE" w:rsidRDefault="001329EB" w:rsidP="0E4E29E4">
          <w:pPr>
            <w:ind w:left="-20" w:right="-20"/>
            <w:jc w:val="both"/>
          </w:pPr>
          <w:r>
            <w:rPr>
              <w:rFonts w:ascii="Times New Roman" w:eastAsia="Times New Roman" w:hAnsi="Times New Roman"/>
              <w:sz w:val="24"/>
              <w:szCs w:val="24"/>
              <w:lang w:val="es"/>
            </w:rPr>
            <w:t xml:space="preserve">Entre otros, </w:t>
          </w:r>
          <w:r w:rsidR="64C58135" w:rsidRPr="0E4E29E4">
            <w:rPr>
              <w:rFonts w:ascii="Times New Roman" w:eastAsia="Times New Roman" w:hAnsi="Times New Roman"/>
              <w:sz w:val="24"/>
              <w:szCs w:val="24"/>
              <w:lang w:val="es"/>
            </w:rPr>
            <w:t>se reconoció la condena en costas y agencias en derecho en contra de la ANI, por valor de $1.190.000.000, a favor de la Concesión Vías del Nus S.A.S, por la terminación desfavorable del Trámite Arbitral 135526, y por valor de $2.272.875.213, a favor de la Concesionaria Vial de los Andes S.A.S. COVIANDES S.A.S. por la terminación desfavorable del Trámite Arbitral 128517.</w:t>
          </w:r>
        </w:p>
        <w:p w14:paraId="2923F27E" w14:textId="0467FF81" w:rsidR="003A4D8E" w:rsidRPr="00931DCE" w:rsidRDefault="64C58135" w:rsidP="0E4E29E4">
          <w:pPr>
            <w:ind w:left="-20" w:right="-20"/>
            <w:jc w:val="both"/>
          </w:pPr>
          <w:r w:rsidRPr="0E4E29E4">
            <w:rPr>
              <w:rFonts w:ascii="Times New Roman" w:eastAsia="Times New Roman" w:hAnsi="Times New Roman"/>
              <w:sz w:val="24"/>
              <w:szCs w:val="24"/>
              <w:lang w:val="es"/>
            </w:rPr>
            <w:t>Así mismo, se registró en esta subcuenta, el valor del reembolso de los honorarios de los árbitros, de la secretaria y gastos administrativos y funcionamiento fijados por el Tribunal de Arbitramento No. 137954 convocado por la Concesionaria Vial de los Andes S.A.S. COVIANDES S.A.S. contra la ANI.</w:t>
          </w:r>
        </w:p>
        <w:p w14:paraId="2B925211" w14:textId="7BD5BE98" w:rsidR="003A4D8E" w:rsidRPr="00931DCE" w:rsidRDefault="64C58135" w:rsidP="0E4E29E4">
          <w:pPr>
            <w:ind w:left="-20" w:right="-20"/>
            <w:jc w:val="both"/>
          </w:pPr>
          <w:r w:rsidRPr="0E4E29E4">
            <w:rPr>
              <w:rFonts w:ascii="Times New Roman" w:eastAsia="Times New Roman" w:hAnsi="Times New Roman"/>
              <w:sz w:val="24"/>
              <w:szCs w:val="24"/>
              <w:lang w:val="es"/>
            </w:rPr>
            <w:t>La contrapartida de estos registros se produjo en la subcuenta contable 2.4.60.03 Laudos arbitrales.</w:t>
          </w:r>
        </w:p>
        <w:p w14:paraId="53BFEA5A" w14:textId="7219F955" w:rsidR="003A4D8E" w:rsidRPr="00931DCE" w:rsidRDefault="64C58135" w:rsidP="0E4E29E4">
          <w:pPr>
            <w:ind w:left="-20" w:right="-20"/>
            <w:jc w:val="both"/>
          </w:pPr>
          <w:r w:rsidRPr="0E4E29E4">
            <w:rPr>
              <w:rFonts w:ascii="Times New Roman" w:eastAsia="Times New Roman" w:hAnsi="Times New Roman"/>
              <w:sz w:val="24"/>
              <w:szCs w:val="24"/>
              <w:lang w:val="es"/>
            </w:rPr>
            <w:t xml:space="preserve">Por otra parte, los valores registrados en el año 2023 por subcuenta, para la cuenta </w:t>
          </w:r>
          <w:r w:rsidRPr="0E4E29E4">
            <w:rPr>
              <w:rFonts w:ascii="Times New Roman" w:eastAsia="Times New Roman" w:hAnsi="Times New Roman"/>
              <w:i/>
              <w:iCs/>
              <w:sz w:val="24"/>
              <w:szCs w:val="24"/>
              <w:lang w:val="es"/>
            </w:rPr>
            <w:t>Generales</w:t>
          </w:r>
          <w:r w:rsidRPr="0E4E29E4">
            <w:rPr>
              <w:rFonts w:ascii="Times New Roman" w:eastAsia="Times New Roman" w:hAnsi="Times New Roman"/>
              <w:sz w:val="24"/>
              <w:szCs w:val="24"/>
              <w:lang w:val="es"/>
            </w:rPr>
            <w:t xml:space="preserve">, se pueden observar en el siguiente cuadro, organizado por mayor porcentaje de participación de la cuenta: </w:t>
          </w:r>
        </w:p>
        <w:tbl>
          <w:tblPr>
            <w:tblW w:w="0" w:type="auto"/>
            <w:jc w:val="center"/>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4385"/>
            <w:gridCol w:w="1842"/>
            <w:gridCol w:w="2732"/>
          </w:tblGrid>
          <w:tr w:rsidR="0E4E29E4" w:rsidRPr="001329EB" w14:paraId="27D4EEDD" w14:textId="77777777" w:rsidTr="00CA026F">
            <w:trPr>
              <w:trHeight w:val="283"/>
              <w:tblHeader/>
              <w:jc w:val="center"/>
            </w:trPr>
            <w:tc>
              <w:tcPr>
                <w:tcW w:w="4385" w:type="dxa"/>
                <w:tcMar>
                  <w:left w:w="70" w:type="dxa"/>
                  <w:right w:w="70" w:type="dxa"/>
                </w:tcMar>
                <w:vAlign w:val="center"/>
              </w:tcPr>
              <w:p w14:paraId="6F3EAEE0" w14:textId="09F48182" w:rsidR="0E4E29E4" w:rsidRPr="001329EB" w:rsidRDefault="0E4E29E4" w:rsidP="0E4E29E4">
                <w:pPr>
                  <w:spacing w:after="0"/>
                  <w:ind w:left="-20" w:right="-20"/>
                  <w:jc w:val="center"/>
                  <w:rPr>
                    <w:sz w:val="18"/>
                    <w:szCs w:val="18"/>
                  </w:rPr>
                </w:pPr>
                <w:r w:rsidRPr="001329EB">
                  <w:rPr>
                    <w:rFonts w:ascii="Times New Roman" w:eastAsia="Times New Roman" w:hAnsi="Times New Roman"/>
                    <w:b/>
                    <w:bCs/>
                    <w:color w:val="000000" w:themeColor="text1"/>
                    <w:sz w:val="18"/>
                    <w:szCs w:val="18"/>
                  </w:rPr>
                  <w:t>CONCEPTO</w:t>
                </w:r>
              </w:p>
            </w:tc>
            <w:tc>
              <w:tcPr>
                <w:tcW w:w="1842" w:type="dxa"/>
                <w:tcMar>
                  <w:left w:w="70" w:type="dxa"/>
                  <w:right w:w="70" w:type="dxa"/>
                </w:tcMar>
                <w:vAlign w:val="center"/>
              </w:tcPr>
              <w:p w14:paraId="411BB4EF" w14:textId="4F630F8D" w:rsidR="0E4E29E4" w:rsidRPr="001329EB" w:rsidRDefault="0E4E29E4" w:rsidP="0E4E29E4">
                <w:pPr>
                  <w:spacing w:after="0"/>
                  <w:ind w:left="-20" w:right="-20"/>
                  <w:jc w:val="center"/>
                  <w:rPr>
                    <w:sz w:val="18"/>
                    <w:szCs w:val="18"/>
                  </w:rPr>
                </w:pPr>
                <w:r w:rsidRPr="001329EB">
                  <w:rPr>
                    <w:rFonts w:ascii="Times New Roman" w:eastAsia="Times New Roman" w:hAnsi="Times New Roman"/>
                    <w:b/>
                    <w:bCs/>
                    <w:color w:val="000000" w:themeColor="text1"/>
                    <w:sz w:val="18"/>
                    <w:szCs w:val="18"/>
                  </w:rPr>
                  <w:t>VALOR 2023</w:t>
                </w:r>
              </w:p>
            </w:tc>
            <w:tc>
              <w:tcPr>
                <w:tcW w:w="2732" w:type="dxa"/>
                <w:tcMar>
                  <w:left w:w="70" w:type="dxa"/>
                  <w:right w:w="70" w:type="dxa"/>
                </w:tcMar>
                <w:vAlign w:val="center"/>
              </w:tcPr>
              <w:p w14:paraId="4B8F8DDA" w14:textId="2C6C55F4" w:rsidR="0E4E29E4" w:rsidRPr="001329EB" w:rsidRDefault="001329EB" w:rsidP="001329EB">
                <w:pPr>
                  <w:spacing w:after="0"/>
                  <w:ind w:left="-20" w:right="-20"/>
                  <w:jc w:val="center"/>
                  <w:rPr>
                    <w:sz w:val="18"/>
                    <w:szCs w:val="18"/>
                  </w:rPr>
                </w:pPr>
                <w:r w:rsidRPr="001329EB">
                  <w:rPr>
                    <w:rFonts w:ascii="Times New Roman" w:eastAsia="Times New Roman" w:hAnsi="Times New Roman"/>
                    <w:b/>
                    <w:bCs/>
                    <w:color w:val="000000" w:themeColor="text1"/>
                    <w:sz w:val="18"/>
                    <w:szCs w:val="18"/>
                  </w:rPr>
                  <w:t>PARTICIPACIÓN DE LOS GASTOS GENERALES</w:t>
                </w:r>
              </w:p>
            </w:tc>
          </w:tr>
          <w:tr w:rsidR="0E4E29E4" w:rsidRPr="001329EB" w14:paraId="5B911E5E" w14:textId="77777777" w:rsidTr="00CA026F">
            <w:trPr>
              <w:trHeight w:val="283"/>
              <w:jc w:val="center"/>
            </w:trPr>
            <w:tc>
              <w:tcPr>
                <w:tcW w:w="4385" w:type="dxa"/>
                <w:tcMar>
                  <w:left w:w="70" w:type="dxa"/>
                  <w:right w:w="70" w:type="dxa"/>
                </w:tcMar>
                <w:vAlign w:val="center"/>
              </w:tcPr>
              <w:p w14:paraId="161217BD" w14:textId="706258A4" w:rsidR="0E4E29E4" w:rsidRPr="001329EB" w:rsidRDefault="0E4E29E4" w:rsidP="0E4E29E4">
                <w:pPr>
                  <w:spacing w:after="0"/>
                  <w:ind w:left="-20" w:right="-20"/>
                  <w:jc w:val="center"/>
                  <w:rPr>
                    <w:sz w:val="18"/>
                    <w:szCs w:val="18"/>
                  </w:rPr>
                </w:pPr>
                <w:r w:rsidRPr="001329EB">
                  <w:rPr>
                    <w:rFonts w:ascii="Times New Roman" w:eastAsia="Times New Roman" w:hAnsi="Times New Roman"/>
                    <w:b/>
                    <w:bCs/>
                    <w:color w:val="000000" w:themeColor="text1"/>
                    <w:sz w:val="18"/>
                    <w:szCs w:val="18"/>
                  </w:rPr>
                  <w:t>Generales</w:t>
                </w:r>
              </w:p>
            </w:tc>
            <w:tc>
              <w:tcPr>
                <w:tcW w:w="1842" w:type="dxa"/>
                <w:tcMar>
                  <w:left w:w="70" w:type="dxa"/>
                  <w:right w:w="70" w:type="dxa"/>
                </w:tcMar>
                <w:vAlign w:val="center"/>
              </w:tcPr>
              <w:p w14:paraId="7597EFD2" w14:textId="64F756EF" w:rsidR="0E4E29E4" w:rsidRPr="001329EB" w:rsidRDefault="0E4E29E4" w:rsidP="0E4E29E4">
                <w:pPr>
                  <w:spacing w:after="0"/>
                  <w:ind w:left="-20" w:right="-20"/>
                  <w:jc w:val="right"/>
                  <w:rPr>
                    <w:sz w:val="18"/>
                    <w:szCs w:val="18"/>
                  </w:rPr>
                </w:pPr>
                <w:r w:rsidRPr="001329EB">
                  <w:rPr>
                    <w:rFonts w:ascii="Times New Roman" w:eastAsia="Times New Roman" w:hAnsi="Times New Roman"/>
                    <w:b/>
                    <w:bCs/>
                    <w:sz w:val="18"/>
                    <w:szCs w:val="18"/>
                  </w:rPr>
                  <w:t>669.365.020.634</w:t>
                </w:r>
              </w:p>
            </w:tc>
            <w:tc>
              <w:tcPr>
                <w:tcW w:w="2732" w:type="dxa"/>
                <w:tcMar>
                  <w:left w:w="70" w:type="dxa"/>
                  <w:right w:w="70" w:type="dxa"/>
                </w:tcMar>
                <w:vAlign w:val="center"/>
              </w:tcPr>
              <w:p w14:paraId="266BE7C7" w14:textId="7E887140" w:rsidR="0E4E29E4" w:rsidRPr="001329EB" w:rsidRDefault="0E4E29E4" w:rsidP="001329EB">
                <w:pPr>
                  <w:spacing w:after="0"/>
                  <w:ind w:left="-20" w:right="-20"/>
                  <w:jc w:val="center"/>
                  <w:rPr>
                    <w:sz w:val="18"/>
                    <w:szCs w:val="18"/>
                  </w:rPr>
                </w:pPr>
                <w:r w:rsidRPr="001329EB">
                  <w:rPr>
                    <w:rFonts w:ascii="Times New Roman" w:eastAsia="Times New Roman" w:hAnsi="Times New Roman"/>
                    <w:b/>
                    <w:bCs/>
                    <w:color w:val="000000" w:themeColor="text1"/>
                    <w:sz w:val="18"/>
                    <w:szCs w:val="18"/>
                  </w:rPr>
                  <w:t>100%</w:t>
                </w:r>
              </w:p>
            </w:tc>
          </w:tr>
          <w:tr w:rsidR="0E4E29E4" w:rsidRPr="001329EB" w14:paraId="7F1A4406" w14:textId="77777777" w:rsidTr="00CA026F">
            <w:trPr>
              <w:trHeight w:val="283"/>
              <w:jc w:val="center"/>
            </w:trPr>
            <w:tc>
              <w:tcPr>
                <w:tcW w:w="4385" w:type="dxa"/>
                <w:tcMar>
                  <w:left w:w="70" w:type="dxa"/>
                  <w:right w:w="70" w:type="dxa"/>
                </w:tcMar>
                <w:vAlign w:val="center"/>
              </w:tcPr>
              <w:p w14:paraId="1B6F6D66" w14:textId="45C2897E" w:rsidR="0E4E29E4" w:rsidRPr="001329EB" w:rsidRDefault="0E4E29E4" w:rsidP="0E4E29E4">
                <w:pPr>
                  <w:spacing w:after="0"/>
                  <w:ind w:left="-20" w:right="-20"/>
                  <w:rPr>
                    <w:sz w:val="18"/>
                    <w:szCs w:val="18"/>
                  </w:rPr>
                </w:pPr>
                <w:r w:rsidRPr="001329EB">
                  <w:rPr>
                    <w:rFonts w:ascii="Times New Roman" w:eastAsia="Times New Roman" w:hAnsi="Times New Roman"/>
                    <w:color w:val="000000" w:themeColor="text1"/>
                    <w:sz w:val="18"/>
                    <w:szCs w:val="18"/>
                  </w:rPr>
                  <w:t>Mantenimiento</w:t>
                </w:r>
              </w:p>
            </w:tc>
            <w:tc>
              <w:tcPr>
                <w:tcW w:w="1842" w:type="dxa"/>
                <w:tcMar>
                  <w:left w:w="70" w:type="dxa"/>
                  <w:right w:w="70" w:type="dxa"/>
                </w:tcMar>
                <w:vAlign w:val="center"/>
              </w:tcPr>
              <w:p w14:paraId="67361C5F" w14:textId="0BFDD1AD" w:rsidR="0E4E29E4" w:rsidRPr="001329EB" w:rsidRDefault="0E4E29E4" w:rsidP="0E4E29E4">
                <w:pPr>
                  <w:spacing w:after="0"/>
                  <w:ind w:left="-20" w:right="-20"/>
                  <w:jc w:val="right"/>
                  <w:rPr>
                    <w:sz w:val="18"/>
                    <w:szCs w:val="18"/>
                  </w:rPr>
                </w:pPr>
                <w:r w:rsidRPr="001329EB">
                  <w:rPr>
                    <w:rFonts w:ascii="Times New Roman" w:eastAsia="Times New Roman" w:hAnsi="Times New Roman"/>
                    <w:sz w:val="18"/>
                    <w:szCs w:val="18"/>
                  </w:rPr>
                  <w:t>555.601.990.766</w:t>
                </w:r>
              </w:p>
            </w:tc>
            <w:tc>
              <w:tcPr>
                <w:tcW w:w="2732" w:type="dxa"/>
                <w:tcMar>
                  <w:left w:w="70" w:type="dxa"/>
                  <w:right w:w="70" w:type="dxa"/>
                </w:tcMar>
                <w:vAlign w:val="center"/>
              </w:tcPr>
              <w:p w14:paraId="12C4B1F5" w14:textId="2E536DFB" w:rsidR="0E4E29E4" w:rsidRPr="001329EB" w:rsidRDefault="0E4E29E4" w:rsidP="001329EB">
                <w:pPr>
                  <w:spacing w:after="0"/>
                  <w:ind w:left="-20" w:right="-20"/>
                  <w:jc w:val="center"/>
                  <w:rPr>
                    <w:sz w:val="18"/>
                    <w:szCs w:val="18"/>
                  </w:rPr>
                </w:pPr>
                <w:r w:rsidRPr="001329EB">
                  <w:rPr>
                    <w:rFonts w:ascii="Times New Roman" w:eastAsia="Times New Roman" w:hAnsi="Times New Roman"/>
                    <w:color w:val="000000" w:themeColor="text1"/>
                    <w:sz w:val="18"/>
                    <w:szCs w:val="18"/>
                  </w:rPr>
                  <w:t>83,00%</w:t>
                </w:r>
              </w:p>
            </w:tc>
          </w:tr>
          <w:tr w:rsidR="0E4E29E4" w:rsidRPr="001329EB" w14:paraId="0A93FE5D" w14:textId="77777777" w:rsidTr="00CA026F">
            <w:trPr>
              <w:trHeight w:val="283"/>
              <w:jc w:val="center"/>
            </w:trPr>
            <w:tc>
              <w:tcPr>
                <w:tcW w:w="4385" w:type="dxa"/>
                <w:tcMar>
                  <w:left w:w="70" w:type="dxa"/>
                  <w:right w:w="70" w:type="dxa"/>
                </w:tcMar>
                <w:vAlign w:val="center"/>
              </w:tcPr>
              <w:p w14:paraId="6398B7BB" w14:textId="2BD3BD8C" w:rsidR="0E4E29E4" w:rsidRPr="001329EB" w:rsidRDefault="0E4E29E4" w:rsidP="0E4E29E4">
                <w:pPr>
                  <w:spacing w:after="0"/>
                  <w:ind w:left="-20" w:right="-20"/>
                  <w:rPr>
                    <w:sz w:val="18"/>
                    <w:szCs w:val="18"/>
                  </w:rPr>
                </w:pPr>
                <w:r w:rsidRPr="001329EB">
                  <w:rPr>
                    <w:rFonts w:ascii="Times New Roman" w:eastAsia="Times New Roman" w:hAnsi="Times New Roman"/>
                    <w:color w:val="000000" w:themeColor="text1"/>
                    <w:sz w:val="18"/>
                    <w:szCs w:val="18"/>
                  </w:rPr>
                  <w:t>Honorarios</w:t>
                </w:r>
              </w:p>
            </w:tc>
            <w:tc>
              <w:tcPr>
                <w:tcW w:w="1842" w:type="dxa"/>
                <w:tcMar>
                  <w:left w:w="70" w:type="dxa"/>
                  <w:right w:w="70" w:type="dxa"/>
                </w:tcMar>
                <w:vAlign w:val="center"/>
              </w:tcPr>
              <w:p w14:paraId="13E5B6DA" w14:textId="67A257CF" w:rsidR="0E4E29E4" w:rsidRPr="001329EB" w:rsidRDefault="0E4E29E4" w:rsidP="0E4E29E4">
                <w:pPr>
                  <w:spacing w:after="0"/>
                  <w:ind w:left="-20" w:right="-20"/>
                  <w:jc w:val="right"/>
                  <w:rPr>
                    <w:sz w:val="18"/>
                    <w:szCs w:val="18"/>
                  </w:rPr>
                </w:pPr>
                <w:r w:rsidRPr="001329EB">
                  <w:rPr>
                    <w:rFonts w:ascii="Times New Roman" w:eastAsia="Times New Roman" w:hAnsi="Times New Roman"/>
                    <w:sz w:val="18"/>
                    <w:szCs w:val="18"/>
                  </w:rPr>
                  <w:t>57.539.168.783</w:t>
                </w:r>
              </w:p>
            </w:tc>
            <w:tc>
              <w:tcPr>
                <w:tcW w:w="2732" w:type="dxa"/>
                <w:tcMar>
                  <w:left w:w="70" w:type="dxa"/>
                  <w:right w:w="70" w:type="dxa"/>
                </w:tcMar>
                <w:vAlign w:val="center"/>
              </w:tcPr>
              <w:p w14:paraId="16ACF5CB" w14:textId="5B1EE82E" w:rsidR="0E4E29E4" w:rsidRPr="001329EB" w:rsidRDefault="0E4E29E4" w:rsidP="001329EB">
                <w:pPr>
                  <w:spacing w:after="0"/>
                  <w:ind w:left="-20" w:right="-20"/>
                  <w:jc w:val="center"/>
                  <w:rPr>
                    <w:sz w:val="18"/>
                    <w:szCs w:val="18"/>
                  </w:rPr>
                </w:pPr>
                <w:r w:rsidRPr="001329EB">
                  <w:rPr>
                    <w:rFonts w:ascii="Times New Roman" w:eastAsia="Times New Roman" w:hAnsi="Times New Roman"/>
                    <w:color w:val="000000" w:themeColor="text1"/>
                    <w:sz w:val="18"/>
                    <w:szCs w:val="18"/>
                  </w:rPr>
                  <w:t>8,60%</w:t>
                </w:r>
              </w:p>
            </w:tc>
          </w:tr>
          <w:tr w:rsidR="0E4E29E4" w:rsidRPr="001329EB" w14:paraId="34C92483" w14:textId="77777777" w:rsidTr="00CA026F">
            <w:trPr>
              <w:trHeight w:val="283"/>
              <w:jc w:val="center"/>
            </w:trPr>
            <w:tc>
              <w:tcPr>
                <w:tcW w:w="4385" w:type="dxa"/>
                <w:tcMar>
                  <w:left w:w="70" w:type="dxa"/>
                  <w:right w:w="70" w:type="dxa"/>
                </w:tcMar>
                <w:vAlign w:val="center"/>
              </w:tcPr>
              <w:p w14:paraId="4CD754DB" w14:textId="50864621" w:rsidR="0E4E29E4" w:rsidRPr="001329EB" w:rsidRDefault="0E4E29E4" w:rsidP="0E4E29E4">
                <w:pPr>
                  <w:spacing w:after="0"/>
                  <w:ind w:left="-20" w:right="-20"/>
                  <w:rPr>
                    <w:sz w:val="18"/>
                    <w:szCs w:val="18"/>
                  </w:rPr>
                </w:pPr>
                <w:r w:rsidRPr="001329EB">
                  <w:rPr>
                    <w:rFonts w:ascii="Times New Roman" w:eastAsia="Times New Roman" w:hAnsi="Times New Roman"/>
                    <w:color w:val="000000" w:themeColor="text1"/>
                    <w:sz w:val="18"/>
                    <w:szCs w:val="18"/>
                  </w:rPr>
                  <w:t>Interventorías, auditorías y evaluaciones</w:t>
                </w:r>
              </w:p>
            </w:tc>
            <w:tc>
              <w:tcPr>
                <w:tcW w:w="1842" w:type="dxa"/>
                <w:tcMar>
                  <w:left w:w="70" w:type="dxa"/>
                  <w:right w:w="70" w:type="dxa"/>
                </w:tcMar>
                <w:vAlign w:val="center"/>
              </w:tcPr>
              <w:p w14:paraId="5E122A69" w14:textId="4EF280F0" w:rsidR="0E4E29E4" w:rsidRPr="001329EB" w:rsidRDefault="0E4E29E4" w:rsidP="0E4E29E4">
                <w:pPr>
                  <w:spacing w:after="0"/>
                  <w:ind w:left="-20" w:right="-20"/>
                  <w:jc w:val="right"/>
                  <w:rPr>
                    <w:sz w:val="18"/>
                    <w:szCs w:val="18"/>
                  </w:rPr>
                </w:pPr>
                <w:r w:rsidRPr="001329EB">
                  <w:rPr>
                    <w:rFonts w:ascii="Times New Roman" w:eastAsia="Times New Roman" w:hAnsi="Times New Roman"/>
                    <w:sz w:val="18"/>
                    <w:szCs w:val="18"/>
                  </w:rPr>
                  <w:t>21.723.399.688</w:t>
                </w:r>
              </w:p>
            </w:tc>
            <w:tc>
              <w:tcPr>
                <w:tcW w:w="2732" w:type="dxa"/>
                <w:tcMar>
                  <w:left w:w="70" w:type="dxa"/>
                  <w:right w:w="70" w:type="dxa"/>
                </w:tcMar>
                <w:vAlign w:val="center"/>
              </w:tcPr>
              <w:p w14:paraId="0789E62C" w14:textId="751F6277" w:rsidR="0E4E29E4" w:rsidRPr="001329EB" w:rsidRDefault="0E4E29E4" w:rsidP="001329EB">
                <w:pPr>
                  <w:spacing w:after="0"/>
                  <w:ind w:left="-20" w:right="-20"/>
                  <w:jc w:val="center"/>
                  <w:rPr>
                    <w:sz w:val="18"/>
                    <w:szCs w:val="18"/>
                  </w:rPr>
                </w:pPr>
                <w:r w:rsidRPr="001329EB">
                  <w:rPr>
                    <w:rFonts w:ascii="Times New Roman" w:eastAsia="Times New Roman" w:hAnsi="Times New Roman"/>
                    <w:color w:val="000000" w:themeColor="text1"/>
                    <w:sz w:val="18"/>
                    <w:szCs w:val="18"/>
                  </w:rPr>
                  <w:t>3,25%</w:t>
                </w:r>
              </w:p>
            </w:tc>
          </w:tr>
          <w:tr w:rsidR="0E4E29E4" w:rsidRPr="001329EB" w14:paraId="7564CC96" w14:textId="77777777" w:rsidTr="00CA026F">
            <w:trPr>
              <w:trHeight w:val="283"/>
              <w:jc w:val="center"/>
            </w:trPr>
            <w:tc>
              <w:tcPr>
                <w:tcW w:w="4385" w:type="dxa"/>
                <w:tcMar>
                  <w:left w:w="70" w:type="dxa"/>
                  <w:right w:w="70" w:type="dxa"/>
                </w:tcMar>
                <w:vAlign w:val="center"/>
              </w:tcPr>
              <w:p w14:paraId="4EE74F91" w14:textId="27AB27F8" w:rsidR="0E4E29E4" w:rsidRPr="001329EB" w:rsidRDefault="0E4E29E4" w:rsidP="0E4E29E4">
                <w:pPr>
                  <w:spacing w:after="0"/>
                  <w:ind w:left="-20" w:right="-20"/>
                  <w:rPr>
                    <w:sz w:val="18"/>
                    <w:szCs w:val="18"/>
                  </w:rPr>
                </w:pPr>
                <w:r w:rsidRPr="001329EB">
                  <w:rPr>
                    <w:rFonts w:ascii="Times New Roman" w:eastAsia="Times New Roman" w:hAnsi="Times New Roman"/>
                    <w:color w:val="000000" w:themeColor="text1"/>
                    <w:sz w:val="18"/>
                    <w:szCs w:val="18"/>
                  </w:rPr>
                  <w:t>Estudios y proyectos</w:t>
                </w:r>
              </w:p>
            </w:tc>
            <w:tc>
              <w:tcPr>
                <w:tcW w:w="1842" w:type="dxa"/>
                <w:tcMar>
                  <w:left w:w="70" w:type="dxa"/>
                  <w:right w:w="70" w:type="dxa"/>
                </w:tcMar>
                <w:vAlign w:val="center"/>
              </w:tcPr>
              <w:p w14:paraId="0259CD13" w14:textId="0F5526B7" w:rsidR="0E4E29E4" w:rsidRPr="001329EB" w:rsidRDefault="0E4E29E4" w:rsidP="0E4E29E4">
                <w:pPr>
                  <w:spacing w:after="0"/>
                  <w:ind w:left="-20" w:right="-20"/>
                  <w:jc w:val="right"/>
                  <w:rPr>
                    <w:sz w:val="18"/>
                    <w:szCs w:val="18"/>
                  </w:rPr>
                </w:pPr>
                <w:r w:rsidRPr="001329EB">
                  <w:rPr>
                    <w:rFonts w:ascii="Times New Roman" w:eastAsia="Times New Roman" w:hAnsi="Times New Roman"/>
                    <w:sz w:val="18"/>
                    <w:szCs w:val="18"/>
                  </w:rPr>
                  <w:t>10.300.467.850</w:t>
                </w:r>
              </w:p>
            </w:tc>
            <w:tc>
              <w:tcPr>
                <w:tcW w:w="2732" w:type="dxa"/>
                <w:tcMar>
                  <w:left w:w="70" w:type="dxa"/>
                  <w:right w:w="70" w:type="dxa"/>
                </w:tcMar>
                <w:vAlign w:val="center"/>
              </w:tcPr>
              <w:p w14:paraId="5B32ACF1" w14:textId="0F6F8B40" w:rsidR="0E4E29E4" w:rsidRPr="001329EB" w:rsidRDefault="0E4E29E4" w:rsidP="001329EB">
                <w:pPr>
                  <w:spacing w:after="0"/>
                  <w:ind w:left="-20" w:right="-20"/>
                  <w:jc w:val="center"/>
                  <w:rPr>
                    <w:sz w:val="18"/>
                    <w:szCs w:val="18"/>
                  </w:rPr>
                </w:pPr>
                <w:r w:rsidRPr="001329EB">
                  <w:rPr>
                    <w:rFonts w:ascii="Times New Roman" w:eastAsia="Times New Roman" w:hAnsi="Times New Roman"/>
                    <w:color w:val="000000" w:themeColor="text1"/>
                    <w:sz w:val="18"/>
                    <w:szCs w:val="18"/>
                  </w:rPr>
                  <w:t>1,54%</w:t>
                </w:r>
              </w:p>
            </w:tc>
          </w:tr>
          <w:tr w:rsidR="0E4E29E4" w:rsidRPr="001329EB" w14:paraId="34114BEC" w14:textId="77777777" w:rsidTr="00CA026F">
            <w:trPr>
              <w:trHeight w:val="283"/>
              <w:jc w:val="center"/>
            </w:trPr>
            <w:tc>
              <w:tcPr>
                <w:tcW w:w="4385" w:type="dxa"/>
                <w:tcMar>
                  <w:left w:w="70" w:type="dxa"/>
                  <w:right w:w="70" w:type="dxa"/>
                </w:tcMar>
                <w:vAlign w:val="center"/>
              </w:tcPr>
              <w:p w14:paraId="758F185D" w14:textId="0F2698B6" w:rsidR="0E4E29E4" w:rsidRPr="001329EB" w:rsidRDefault="0E4E29E4" w:rsidP="0E4E29E4">
                <w:pPr>
                  <w:spacing w:after="0"/>
                  <w:ind w:left="-20" w:right="-20"/>
                  <w:rPr>
                    <w:sz w:val="18"/>
                    <w:szCs w:val="18"/>
                  </w:rPr>
                </w:pPr>
                <w:r w:rsidRPr="001329EB">
                  <w:rPr>
                    <w:rFonts w:ascii="Times New Roman" w:eastAsia="Times New Roman" w:hAnsi="Times New Roman"/>
                    <w:color w:val="000000" w:themeColor="text1"/>
                    <w:sz w:val="18"/>
                    <w:szCs w:val="18"/>
                  </w:rPr>
                  <w:t>Arrendamiento operativo</w:t>
                </w:r>
              </w:p>
            </w:tc>
            <w:tc>
              <w:tcPr>
                <w:tcW w:w="1842" w:type="dxa"/>
                <w:tcMar>
                  <w:left w:w="70" w:type="dxa"/>
                  <w:right w:w="70" w:type="dxa"/>
                </w:tcMar>
                <w:vAlign w:val="center"/>
              </w:tcPr>
              <w:p w14:paraId="06F837E6" w14:textId="6CB487DC" w:rsidR="0E4E29E4" w:rsidRPr="001329EB" w:rsidRDefault="0E4E29E4" w:rsidP="0E4E29E4">
                <w:pPr>
                  <w:spacing w:after="0"/>
                  <w:ind w:left="-20" w:right="-20"/>
                  <w:jc w:val="right"/>
                  <w:rPr>
                    <w:sz w:val="18"/>
                    <w:szCs w:val="18"/>
                  </w:rPr>
                </w:pPr>
                <w:r w:rsidRPr="001329EB">
                  <w:rPr>
                    <w:rFonts w:ascii="Times New Roman" w:eastAsia="Times New Roman" w:hAnsi="Times New Roman"/>
                    <w:sz w:val="18"/>
                    <w:szCs w:val="18"/>
                  </w:rPr>
                  <w:t>9.102.268.867</w:t>
                </w:r>
              </w:p>
            </w:tc>
            <w:tc>
              <w:tcPr>
                <w:tcW w:w="2732" w:type="dxa"/>
                <w:tcMar>
                  <w:left w:w="70" w:type="dxa"/>
                  <w:right w:w="70" w:type="dxa"/>
                </w:tcMar>
                <w:vAlign w:val="center"/>
              </w:tcPr>
              <w:p w14:paraId="49E82AF1" w14:textId="16C750F9" w:rsidR="0E4E29E4" w:rsidRPr="001329EB" w:rsidRDefault="0E4E29E4" w:rsidP="001329EB">
                <w:pPr>
                  <w:spacing w:after="0"/>
                  <w:ind w:left="-20" w:right="-20"/>
                  <w:jc w:val="center"/>
                  <w:rPr>
                    <w:sz w:val="18"/>
                    <w:szCs w:val="18"/>
                  </w:rPr>
                </w:pPr>
                <w:r w:rsidRPr="001329EB">
                  <w:rPr>
                    <w:rFonts w:ascii="Times New Roman" w:eastAsia="Times New Roman" w:hAnsi="Times New Roman"/>
                    <w:color w:val="000000" w:themeColor="text1"/>
                    <w:sz w:val="18"/>
                    <w:szCs w:val="18"/>
                  </w:rPr>
                  <w:t>1,36%</w:t>
                </w:r>
              </w:p>
            </w:tc>
          </w:tr>
          <w:tr w:rsidR="0E4E29E4" w:rsidRPr="001329EB" w14:paraId="6EADD65F" w14:textId="77777777" w:rsidTr="00CA026F">
            <w:trPr>
              <w:trHeight w:val="283"/>
              <w:jc w:val="center"/>
            </w:trPr>
            <w:tc>
              <w:tcPr>
                <w:tcW w:w="4385" w:type="dxa"/>
                <w:tcMar>
                  <w:left w:w="70" w:type="dxa"/>
                  <w:right w:w="70" w:type="dxa"/>
                </w:tcMar>
                <w:vAlign w:val="center"/>
              </w:tcPr>
              <w:p w14:paraId="28F8B2DC" w14:textId="4F72F2C9" w:rsidR="0E4E29E4" w:rsidRPr="001329EB" w:rsidRDefault="0E4E29E4" w:rsidP="0E4E29E4">
                <w:pPr>
                  <w:spacing w:after="0"/>
                  <w:ind w:left="-20" w:right="-20"/>
                  <w:rPr>
                    <w:sz w:val="18"/>
                    <w:szCs w:val="18"/>
                  </w:rPr>
                </w:pPr>
                <w:r w:rsidRPr="001329EB">
                  <w:rPr>
                    <w:rFonts w:ascii="Times New Roman" w:eastAsia="Times New Roman" w:hAnsi="Times New Roman"/>
                    <w:color w:val="000000" w:themeColor="text1"/>
                    <w:sz w:val="18"/>
                    <w:szCs w:val="18"/>
                  </w:rPr>
                  <w:t>Costas procesales</w:t>
                </w:r>
              </w:p>
            </w:tc>
            <w:tc>
              <w:tcPr>
                <w:tcW w:w="1842" w:type="dxa"/>
                <w:tcMar>
                  <w:left w:w="70" w:type="dxa"/>
                  <w:right w:w="70" w:type="dxa"/>
                </w:tcMar>
                <w:vAlign w:val="center"/>
              </w:tcPr>
              <w:p w14:paraId="0239AD42" w14:textId="22E8BB56" w:rsidR="0E4E29E4" w:rsidRPr="001329EB" w:rsidRDefault="0E4E29E4" w:rsidP="0E4E29E4">
                <w:pPr>
                  <w:spacing w:after="0"/>
                  <w:ind w:left="-20" w:right="-20"/>
                  <w:jc w:val="right"/>
                  <w:rPr>
                    <w:sz w:val="18"/>
                    <w:szCs w:val="18"/>
                  </w:rPr>
                </w:pPr>
                <w:r w:rsidRPr="001329EB">
                  <w:rPr>
                    <w:rFonts w:ascii="Times New Roman" w:eastAsia="Times New Roman" w:hAnsi="Times New Roman"/>
                    <w:sz w:val="18"/>
                    <w:szCs w:val="18"/>
                  </w:rPr>
                  <w:t>5.176.581.411</w:t>
                </w:r>
              </w:p>
            </w:tc>
            <w:tc>
              <w:tcPr>
                <w:tcW w:w="2732" w:type="dxa"/>
                <w:tcMar>
                  <w:left w:w="70" w:type="dxa"/>
                  <w:right w:w="70" w:type="dxa"/>
                </w:tcMar>
                <w:vAlign w:val="center"/>
              </w:tcPr>
              <w:p w14:paraId="7C422AE2" w14:textId="7FD43C4D" w:rsidR="0E4E29E4" w:rsidRPr="001329EB" w:rsidRDefault="0E4E29E4" w:rsidP="001329EB">
                <w:pPr>
                  <w:spacing w:after="0"/>
                  <w:ind w:left="-20" w:right="-20"/>
                  <w:jc w:val="center"/>
                  <w:rPr>
                    <w:sz w:val="18"/>
                    <w:szCs w:val="18"/>
                  </w:rPr>
                </w:pPr>
                <w:r w:rsidRPr="001329EB">
                  <w:rPr>
                    <w:rFonts w:ascii="Times New Roman" w:eastAsia="Times New Roman" w:hAnsi="Times New Roman"/>
                    <w:color w:val="000000" w:themeColor="text1"/>
                    <w:sz w:val="18"/>
                    <w:szCs w:val="18"/>
                  </w:rPr>
                  <w:t>0,77%</w:t>
                </w:r>
              </w:p>
            </w:tc>
          </w:tr>
          <w:tr w:rsidR="0E4E29E4" w:rsidRPr="001329EB" w14:paraId="302A64D5" w14:textId="77777777" w:rsidTr="00CA026F">
            <w:trPr>
              <w:trHeight w:val="283"/>
              <w:jc w:val="center"/>
            </w:trPr>
            <w:tc>
              <w:tcPr>
                <w:tcW w:w="4385" w:type="dxa"/>
                <w:tcMar>
                  <w:left w:w="70" w:type="dxa"/>
                  <w:right w:w="70" w:type="dxa"/>
                </w:tcMar>
                <w:vAlign w:val="center"/>
              </w:tcPr>
              <w:p w14:paraId="5BE66415" w14:textId="34578348" w:rsidR="0E4E29E4" w:rsidRPr="001329EB" w:rsidRDefault="0E4E29E4" w:rsidP="0E4E29E4">
                <w:pPr>
                  <w:spacing w:after="0"/>
                  <w:ind w:left="-20" w:right="-20"/>
                  <w:rPr>
                    <w:sz w:val="18"/>
                    <w:szCs w:val="18"/>
                  </w:rPr>
                </w:pPr>
                <w:r w:rsidRPr="001329EB">
                  <w:rPr>
                    <w:rFonts w:ascii="Times New Roman" w:eastAsia="Times New Roman" w:hAnsi="Times New Roman"/>
                    <w:color w:val="000000" w:themeColor="text1"/>
                    <w:sz w:val="18"/>
                    <w:szCs w:val="18"/>
                  </w:rPr>
                  <w:t>Servicios</w:t>
                </w:r>
              </w:p>
            </w:tc>
            <w:tc>
              <w:tcPr>
                <w:tcW w:w="1842" w:type="dxa"/>
                <w:tcMar>
                  <w:left w:w="70" w:type="dxa"/>
                  <w:right w:w="70" w:type="dxa"/>
                </w:tcMar>
                <w:vAlign w:val="center"/>
              </w:tcPr>
              <w:p w14:paraId="4551CAEC" w14:textId="7A652477" w:rsidR="0E4E29E4" w:rsidRPr="001329EB" w:rsidRDefault="0E4E29E4" w:rsidP="0E4E29E4">
                <w:pPr>
                  <w:spacing w:after="0"/>
                  <w:ind w:left="-20" w:right="-20"/>
                  <w:jc w:val="right"/>
                  <w:rPr>
                    <w:sz w:val="18"/>
                    <w:szCs w:val="18"/>
                  </w:rPr>
                </w:pPr>
                <w:r w:rsidRPr="001329EB">
                  <w:rPr>
                    <w:rFonts w:ascii="Times New Roman" w:eastAsia="Times New Roman" w:hAnsi="Times New Roman"/>
                    <w:sz w:val="18"/>
                    <w:szCs w:val="18"/>
                  </w:rPr>
                  <w:t>3.062.264.877</w:t>
                </w:r>
              </w:p>
            </w:tc>
            <w:tc>
              <w:tcPr>
                <w:tcW w:w="2732" w:type="dxa"/>
                <w:tcMar>
                  <w:left w:w="70" w:type="dxa"/>
                  <w:right w:w="70" w:type="dxa"/>
                </w:tcMar>
                <w:vAlign w:val="center"/>
              </w:tcPr>
              <w:p w14:paraId="3D79171A" w14:textId="708452A4" w:rsidR="0E4E29E4" w:rsidRPr="001329EB" w:rsidRDefault="0E4E29E4" w:rsidP="001329EB">
                <w:pPr>
                  <w:spacing w:after="0"/>
                  <w:ind w:left="-20" w:right="-20"/>
                  <w:jc w:val="center"/>
                  <w:rPr>
                    <w:sz w:val="18"/>
                    <w:szCs w:val="18"/>
                  </w:rPr>
                </w:pPr>
                <w:r w:rsidRPr="001329EB">
                  <w:rPr>
                    <w:rFonts w:ascii="Times New Roman" w:eastAsia="Times New Roman" w:hAnsi="Times New Roman"/>
                    <w:color w:val="000000" w:themeColor="text1"/>
                    <w:sz w:val="18"/>
                    <w:szCs w:val="18"/>
                  </w:rPr>
                  <w:t>0,46%</w:t>
                </w:r>
              </w:p>
            </w:tc>
          </w:tr>
          <w:tr w:rsidR="0E4E29E4" w:rsidRPr="001329EB" w14:paraId="02E545B9" w14:textId="77777777" w:rsidTr="00CA026F">
            <w:trPr>
              <w:trHeight w:val="283"/>
              <w:jc w:val="center"/>
            </w:trPr>
            <w:tc>
              <w:tcPr>
                <w:tcW w:w="4385" w:type="dxa"/>
                <w:tcMar>
                  <w:left w:w="70" w:type="dxa"/>
                  <w:right w:w="70" w:type="dxa"/>
                </w:tcMar>
                <w:vAlign w:val="center"/>
              </w:tcPr>
              <w:p w14:paraId="4EBF7080" w14:textId="26446F2A" w:rsidR="0E4E29E4" w:rsidRPr="001329EB" w:rsidRDefault="0E4E29E4" w:rsidP="0E4E29E4">
                <w:pPr>
                  <w:spacing w:after="0"/>
                  <w:ind w:left="-20" w:right="-20"/>
                  <w:rPr>
                    <w:sz w:val="18"/>
                    <w:szCs w:val="18"/>
                  </w:rPr>
                </w:pPr>
                <w:r w:rsidRPr="001329EB">
                  <w:rPr>
                    <w:rFonts w:ascii="Times New Roman" w:eastAsia="Times New Roman" w:hAnsi="Times New Roman"/>
                    <w:color w:val="000000" w:themeColor="text1"/>
                    <w:sz w:val="18"/>
                    <w:szCs w:val="18"/>
                  </w:rPr>
                  <w:t>Comunicaciones y transporte</w:t>
                </w:r>
              </w:p>
            </w:tc>
            <w:tc>
              <w:tcPr>
                <w:tcW w:w="1842" w:type="dxa"/>
                <w:tcMar>
                  <w:left w:w="70" w:type="dxa"/>
                  <w:right w:w="70" w:type="dxa"/>
                </w:tcMar>
                <w:vAlign w:val="center"/>
              </w:tcPr>
              <w:p w14:paraId="273D2C05" w14:textId="10599A62" w:rsidR="0E4E29E4" w:rsidRPr="001329EB" w:rsidRDefault="0E4E29E4" w:rsidP="0E4E29E4">
                <w:pPr>
                  <w:spacing w:after="0"/>
                  <w:ind w:left="-20" w:right="-20"/>
                  <w:jc w:val="right"/>
                  <w:rPr>
                    <w:sz w:val="18"/>
                    <w:szCs w:val="18"/>
                  </w:rPr>
                </w:pPr>
                <w:r w:rsidRPr="001329EB">
                  <w:rPr>
                    <w:rFonts w:ascii="Times New Roman" w:eastAsia="Times New Roman" w:hAnsi="Times New Roman"/>
                    <w:sz w:val="18"/>
                    <w:szCs w:val="18"/>
                  </w:rPr>
                  <w:t>1.926.761.905</w:t>
                </w:r>
              </w:p>
            </w:tc>
            <w:tc>
              <w:tcPr>
                <w:tcW w:w="2732" w:type="dxa"/>
                <w:tcMar>
                  <w:left w:w="70" w:type="dxa"/>
                  <w:right w:w="70" w:type="dxa"/>
                </w:tcMar>
                <w:vAlign w:val="center"/>
              </w:tcPr>
              <w:p w14:paraId="65B13E45" w14:textId="38DC83A8" w:rsidR="0E4E29E4" w:rsidRPr="001329EB" w:rsidRDefault="0E4E29E4" w:rsidP="001329EB">
                <w:pPr>
                  <w:spacing w:after="0"/>
                  <w:ind w:left="-20" w:right="-20"/>
                  <w:jc w:val="center"/>
                  <w:rPr>
                    <w:sz w:val="18"/>
                    <w:szCs w:val="18"/>
                  </w:rPr>
                </w:pPr>
                <w:r w:rsidRPr="001329EB">
                  <w:rPr>
                    <w:rFonts w:ascii="Times New Roman" w:eastAsia="Times New Roman" w:hAnsi="Times New Roman"/>
                    <w:color w:val="000000" w:themeColor="text1"/>
                    <w:sz w:val="18"/>
                    <w:szCs w:val="18"/>
                  </w:rPr>
                  <w:t>0,29%</w:t>
                </w:r>
              </w:p>
            </w:tc>
          </w:tr>
          <w:tr w:rsidR="0E4E29E4" w:rsidRPr="001329EB" w14:paraId="1949BE57" w14:textId="77777777" w:rsidTr="00CA026F">
            <w:trPr>
              <w:trHeight w:val="283"/>
              <w:jc w:val="center"/>
            </w:trPr>
            <w:tc>
              <w:tcPr>
                <w:tcW w:w="4385" w:type="dxa"/>
                <w:tcMar>
                  <w:left w:w="70" w:type="dxa"/>
                  <w:right w:w="70" w:type="dxa"/>
                </w:tcMar>
                <w:vAlign w:val="center"/>
              </w:tcPr>
              <w:p w14:paraId="642DB180" w14:textId="01B63A90" w:rsidR="0E4E29E4" w:rsidRPr="001329EB" w:rsidRDefault="0E4E29E4" w:rsidP="0E4E29E4">
                <w:pPr>
                  <w:spacing w:after="0"/>
                  <w:ind w:left="-20" w:right="-20"/>
                  <w:rPr>
                    <w:sz w:val="18"/>
                    <w:szCs w:val="18"/>
                  </w:rPr>
                </w:pPr>
                <w:r w:rsidRPr="001329EB">
                  <w:rPr>
                    <w:rFonts w:ascii="Times New Roman" w:eastAsia="Times New Roman" w:hAnsi="Times New Roman"/>
                    <w:color w:val="000000" w:themeColor="text1"/>
                    <w:sz w:val="18"/>
                    <w:szCs w:val="18"/>
                  </w:rPr>
                  <w:t>Vigilancia y seguridad</w:t>
                </w:r>
              </w:p>
            </w:tc>
            <w:tc>
              <w:tcPr>
                <w:tcW w:w="1842" w:type="dxa"/>
                <w:tcMar>
                  <w:left w:w="70" w:type="dxa"/>
                  <w:right w:w="70" w:type="dxa"/>
                </w:tcMar>
                <w:vAlign w:val="center"/>
              </w:tcPr>
              <w:p w14:paraId="1A013200" w14:textId="056A8194" w:rsidR="0E4E29E4" w:rsidRPr="001329EB" w:rsidRDefault="0E4E29E4" w:rsidP="0E4E29E4">
                <w:pPr>
                  <w:spacing w:after="0"/>
                  <w:ind w:left="-20" w:right="-20"/>
                  <w:jc w:val="right"/>
                  <w:rPr>
                    <w:sz w:val="18"/>
                    <w:szCs w:val="18"/>
                  </w:rPr>
                </w:pPr>
                <w:r w:rsidRPr="001329EB">
                  <w:rPr>
                    <w:rFonts w:ascii="Times New Roman" w:eastAsia="Times New Roman" w:hAnsi="Times New Roman"/>
                    <w:sz w:val="18"/>
                    <w:szCs w:val="18"/>
                  </w:rPr>
                  <w:t>1.036.500.961</w:t>
                </w:r>
              </w:p>
            </w:tc>
            <w:tc>
              <w:tcPr>
                <w:tcW w:w="2732" w:type="dxa"/>
                <w:tcMar>
                  <w:left w:w="70" w:type="dxa"/>
                  <w:right w:w="70" w:type="dxa"/>
                </w:tcMar>
                <w:vAlign w:val="center"/>
              </w:tcPr>
              <w:p w14:paraId="1A9A9884" w14:textId="12E07E9B" w:rsidR="0E4E29E4" w:rsidRPr="001329EB" w:rsidRDefault="0E4E29E4" w:rsidP="001329EB">
                <w:pPr>
                  <w:spacing w:after="0"/>
                  <w:ind w:left="-20" w:right="-20"/>
                  <w:jc w:val="center"/>
                  <w:rPr>
                    <w:sz w:val="18"/>
                    <w:szCs w:val="18"/>
                  </w:rPr>
                </w:pPr>
                <w:r w:rsidRPr="001329EB">
                  <w:rPr>
                    <w:rFonts w:ascii="Times New Roman" w:eastAsia="Times New Roman" w:hAnsi="Times New Roman"/>
                    <w:color w:val="000000" w:themeColor="text1"/>
                    <w:sz w:val="18"/>
                    <w:szCs w:val="18"/>
                  </w:rPr>
                  <w:t>0,15%</w:t>
                </w:r>
              </w:p>
            </w:tc>
          </w:tr>
          <w:tr w:rsidR="0E4E29E4" w:rsidRPr="001329EB" w14:paraId="0D3B302E" w14:textId="77777777" w:rsidTr="00CA026F">
            <w:trPr>
              <w:trHeight w:val="283"/>
              <w:jc w:val="center"/>
            </w:trPr>
            <w:tc>
              <w:tcPr>
                <w:tcW w:w="4385" w:type="dxa"/>
                <w:tcMar>
                  <w:left w:w="70" w:type="dxa"/>
                  <w:right w:w="70" w:type="dxa"/>
                </w:tcMar>
                <w:vAlign w:val="center"/>
              </w:tcPr>
              <w:p w14:paraId="02FC068C" w14:textId="5249ADBF" w:rsidR="0E4E29E4" w:rsidRPr="001329EB" w:rsidRDefault="0E4E29E4" w:rsidP="0E4E29E4">
                <w:pPr>
                  <w:spacing w:after="0"/>
                  <w:ind w:left="-20" w:right="-20"/>
                  <w:rPr>
                    <w:sz w:val="18"/>
                    <w:szCs w:val="18"/>
                  </w:rPr>
                </w:pPr>
                <w:r w:rsidRPr="001329EB">
                  <w:rPr>
                    <w:rFonts w:ascii="Times New Roman" w:eastAsia="Times New Roman" w:hAnsi="Times New Roman"/>
                    <w:color w:val="000000" w:themeColor="text1"/>
                    <w:sz w:val="18"/>
                    <w:szCs w:val="18"/>
                  </w:rPr>
                  <w:t>Seguros generales</w:t>
                </w:r>
              </w:p>
            </w:tc>
            <w:tc>
              <w:tcPr>
                <w:tcW w:w="1842" w:type="dxa"/>
                <w:tcMar>
                  <w:left w:w="70" w:type="dxa"/>
                  <w:right w:w="70" w:type="dxa"/>
                </w:tcMar>
                <w:vAlign w:val="center"/>
              </w:tcPr>
              <w:p w14:paraId="342A8107" w14:textId="0F203AA9" w:rsidR="0E4E29E4" w:rsidRPr="001329EB" w:rsidRDefault="0E4E29E4" w:rsidP="0E4E29E4">
                <w:pPr>
                  <w:spacing w:after="0"/>
                  <w:ind w:left="-20" w:right="-20"/>
                  <w:jc w:val="right"/>
                  <w:rPr>
                    <w:sz w:val="18"/>
                    <w:szCs w:val="18"/>
                  </w:rPr>
                </w:pPr>
                <w:r w:rsidRPr="001329EB">
                  <w:rPr>
                    <w:rFonts w:ascii="Times New Roman" w:eastAsia="Times New Roman" w:hAnsi="Times New Roman"/>
                    <w:sz w:val="18"/>
                    <w:szCs w:val="18"/>
                  </w:rPr>
                  <w:t>976.303.274</w:t>
                </w:r>
              </w:p>
            </w:tc>
            <w:tc>
              <w:tcPr>
                <w:tcW w:w="2732" w:type="dxa"/>
                <w:tcMar>
                  <w:left w:w="70" w:type="dxa"/>
                  <w:right w:w="70" w:type="dxa"/>
                </w:tcMar>
                <w:vAlign w:val="center"/>
              </w:tcPr>
              <w:p w14:paraId="44D130D9" w14:textId="46C030C7" w:rsidR="0E4E29E4" w:rsidRPr="001329EB" w:rsidRDefault="0E4E29E4" w:rsidP="001329EB">
                <w:pPr>
                  <w:spacing w:after="0"/>
                  <w:ind w:left="-20" w:right="-20"/>
                  <w:jc w:val="center"/>
                  <w:rPr>
                    <w:sz w:val="18"/>
                    <w:szCs w:val="18"/>
                  </w:rPr>
                </w:pPr>
                <w:r w:rsidRPr="001329EB">
                  <w:rPr>
                    <w:rFonts w:ascii="Times New Roman" w:eastAsia="Times New Roman" w:hAnsi="Times New Roman"/>
                    <w:color w:val="000000" w:themeColor="text1"/>
                    <w:sz w:val="18"/>
                    <w:szCs w:val="18"/>
                  </w:rPr>
                  <w:t>0,15%</w:t>
                </w:r>
              </w:p>
            </w:tc>
          </w:tr>
          <w:tr w:rsidR="0E4E29E4" w:rsidRPr="001329EB" w14:paraId="14FDD201" w14:textId="77777777" w:rsidTr="00CA026F">
            <w:trPr>
              <w:trHeight w:val="283"/>
              <w:jc w:val="center"/>
            </w:trPr>
            <w:tc>
              <w:tcPr>
                <w:tcW w:w="4385" w:type="dxa"/>
                <w:tcMar>
                  <w:left w:w="70" w:type="dxa"/>
                  <w:right w:w="70" w:type="dxa"/>
                </w:tcMar>
                <w:vAlign w:val="center"/>
              </w:tcPr>
              <w:p w14:paraId="7CFEE3D4" w14:textId="7CEA81B8" w:rsidR="0E4E29E4" w:rsidRPr="001329EB" w:rsidRDefault="0E4E29E4" w:rsidP="0E4E29E4">
                <w:pPr>
                  <w:spacing w:after="0"/>
                  <w:ind w:left="-20" w:right="-20"/>
                  <w:rPr>
                    <w:sz w:val="18"/>
                    <w:szCs w:val="18"/>
                  </w:rPr>
                </w:pPr>
                <w:r w:rsidRPr="001329EB">
                  <w:rPr>
                    <w:rFonts w:ascii="Times New Roman" w:eastAsia="Times New Roman" w:hAnsi="Times New Roman"/>
                    <w:color w:val="000000" w:themeColor="text1"/>
                    <w:sz w:val="18"/>
                    <w:szCs w:val="18"/>
                  </w:rPr>
                  <w:t>Servicios públicos</w:t>
                </w:r>
              </w:p>
            </w:tc>
            <w:tc>
              <w:tcPr>
                <w:tcW w:w="1842" w:type="dxa"/>
                <w:tcMar>
                  <w:left w:w="70" w:type="dxa"/>
                  <w:right w:w="70" w:type="dxa"/>
                </w:tcMar>
                <w:vAlign w:val="center"/>
              </w:tcPr>
              <w:p w14:paraId="4D52BB9A" w14:textId="7CA8BD23" w:rsidR="0E4E29E4" w:rsidRPr="001329EB" w:rsidRDefault="0E4E29E4" w:rsidP="0E4E29E4">
                <w:pPr>
                  <w:spacing w:after="0"/>
                  <w:ind w:left="-20" w:right="-20"/>
                  <w:jc w:val="right"/>
                  <w:rPr>
                    <w:sz w:val="18"/>
                    <w:szCs w:val="18"/>
                  </w:rPr>
                </w:pPr>
                <w:r w:rsidRPr="001329EB">
                  <w:rPr>
                    <w:rFonts w:ascii="Times New Roman" w:eastAsia="Times New Roman" w:hAnsi="Times New Roman"/>
                    <w:sz w:val="18"/>
                    <w:szCs w:val="18"/>
                  </w:rPr>
                  <w:t>868.027.825</w:t>
                </w:r>
              </w:p>
            </w:tc>
            <w:tc>
              <w:tcPr>
                <w:tcW w:w="2732" w:type="dxa"/>
                <w:tcMar>
                  <w:left w:w="70" w:type="dxa"/>
                  <w:right w:w="70" w:type="dxa"/>
                </w:tcMar>
                <w:vAlign w:val="center"/>
              </w:tcPr>
              <w:p w14:paraId="2ECD26D9" w14:textId="42F27393" w:rsidR="0E4E29E4" w:rsidRPr="001329EB" w:rsidRDefault="0E4E29E4" w:rsidP="001329EB">
                <w:pPr>
                  <w:spacing w:after="0"/>
                  <w:ind w:left="-20" w:right="-20"/>
                  <w:jc w:val="center"/>
                  <w:rPr>
                    <w:sz w:val="18"/>
                    <w:szCs w:val="18"/>
                  </w:rPr>
                </w:pPr>
                <w:r w:rsidRPr="001329EB">
                  <w:rPr>
                    <w:rFonts w:ascii="Times New Roman" w:eastAsia="Times New Roman" w:hAnsi="Times New Roman"/>
                    <w:color w:val="000000" w:themeColor="text1"/>
                    <w:sz w:val="18"/>
                    <w:szCs w:val="18"/>
                  </w:rPr>
                  <w:t>0,13%</w:t>
                </w:r>
              </w:p>
            </w:tc>
          </w:tr>
          <w:tr w:rsidR="0E4E29E4" w:rsidRPr="001329EB" w14:paraId="3A32F648" w14:textId="77777777" w:rsidTr="00CA026F">
            <w:trPr>
              <w:trHeight w:val="283"/>
              <w:jc w:val="center"/>
            </w:trPr>
            <w:tc>
              <w:tcPr>
                <w:tcW w:w="4385" w:type="dxa"/>
                <w:tcMar>
                  <w:left w:w="70" w:type="dxa"/>
                  <w:right w:w="70" w:type="dxa"/>
                </w:tcMar>
                <w:vAlign w:val="center"/>
              </w:tcPr>
              <w:p w14:paraId="7EB0B7B7" w14:textId="0065C317" w:rsidR="0E4E29E4" w:rsidRPr="001329EB" w:rsidRDefault="0E4E29E4" w:rsidP="0E4E29E4">
                <w:pPr>
                  <w:spacing w:after="0"/>
                  <w:ind w:left="-20" w:right="-20"/>
                  <w:rPr>
                    <w:sz w:val="18"/>
                    <w:szCs w:val="18"/>
                  </w:rPr>
                </w:pPr>
                <w:r w:rsidRPr="001329EB">
                  <w:rPr>
                    <w:rFonts w:ascii="Times New Roman" w:eastAsia="Times New Roman" w:hAnsi="Times New Roman"/>
                    <w:color w:val="000000" w:themeColor="text1"/>
                    <w:sz w:val="18"/>
                    <w:szCs w:val="18"/>
                  </w:rPr>
                  <w:t>Viáticos y gastos de viaje</w:t>
                </w:r>
              </w:p>
            </w:tc>
            <w:tc>
              <w:tcPr>
                <w:tcW w:w="1842" w:type="dxa"/>
                <w:tcMar>
                  <w:left w:w="70" w:type="dxa"/>
                  <w:right w:w="70" w:type="dxa"/>
                </w:tcMar>
                <w:vAlign w:val="center"/>
              </w:tcPr>
              <w:p w14:paraId="2C9E2A8A" w14:textId="5B2CBB10" w:rsidR="0E4E29E4" w:rsidRPr="001329EB" w:rsidRDefault="0E4E29E4" w:rsidP="0E4E29E4">
                <w:pPr>
                  <w:spacing w:after="0"/>
                  <w:ind w:left="-20" w:right="-20"/>
                  <w:jc w:val="right"/>
                  <w:rPr>
                    <w:sz w:val="18"/>
                    <w:szCs w:val="18"/>
                  </w:rPr>
                </w:pPr>
                <w:r w:rsidRPr="001329EB">
                  <w:rPr>
                    <w:rFonts w:ascii="Times New Roman" w:eastAsia="Times New Roman" w:hAnsi="Times New Roman"/>
                    <w:sz w:val="18"/>
                    <w:szCs w:val="18"/>
                  </w:rPr>
                  <w:t>734.657.087</w:t>
                </w:r>
              </w:p>
            </w:tc>
            <w:tc>
              <w:tcPr>
                <w:tcW w:w="2732" w:type="dxa"/>
                <w:tcMar>
                  <w:left w:w="70" w:type="dxa"/>
                  <w:right w:w="70" w:type="dxa"/>
                </w:tcMar>
                <w:vAlign w:val="center"/>
              </w:tcPr>
              <w:p w14:paraId="17548D27" w14:textId="621E8014" w:rsidR="0E4E29E4" w:rsidRPr="001329EB" w:rsidRDefault="0E4E29E4" w:rsidP="001329EB">
                <w:pPr>
                  <w:spacing w:after="0"/>
                  <w:ind w:left="-20" w:right="-20"/>
                  <w:jc w:val="center"/>
                  <w:rPr>
                    <w:sz w:val="18"/>
                    <w:szCs w:val="18"/>
                  </w:rPr>
                </w:pPr>
                <w:r w:rsidRPr="001329EB">
                  <w:rPr>
                    <w:rFonts w:ascii="Times New Roman" w:eastAsia="Times New Roman" w:hAnsi="Times New Roman"/>
                    <w:color w:val="000000" w:themeColor="text1"/>
                    <w:sz w:val="18"/>
                    <w:szCs w:val="18"/>
                  </w:rPr>
                  <w:t>0,11%</w:t>
                </w:r>
              </w:p>
            </w:tc>
          </w:tr>
          <w:tr w:rsidR="0E4E29E4" w:rsidRPr="001329EB" w14:paraId="476668D3" w14:textId="77777777" w:rsidTr="00CA026F">
            <w:trPr>
              <w:trHeight w:val="283"/>
              <w:jc w:val="center"/>
            </w:trPr>
            <w:tc>
              <w:tcPr>
                <w:tcW w:w="4385" w:type="dxa"/>
                <w:tcMar>
                  <w:left w:w="70" w:type="dxa"/>
                  <w:right w:w="70" w:type="dxa"/>
                </w:tcMar>
                <w:vAlign w:val="center"/>
              </w:tcPr>
              <w:p w14:paraId="39035078" w14:textId="13128D60" w:rsidR="0E4E29E4" w:rsidRPr="001329EB" w:rsidRDefault="0E4E29E4" w:rsidP="0E4E29E4">
                <w:pPr>
                  <w:spacing w:after="0"/>
                  <w:ind w:left="-20" w:right="-20"/>
                  <w:rPr>
                    <w:sz w:val="18"/>
                    <w:szCs w:val="18"/>
                  </w:rPr>
                </w:pPr>
                <w:r w:rsidRPr="001329EB">
                  <w:rPr>
                    <w:rFonts w:ascii="Times New Roman" w:eastAsia="Times New Roman" w:hAnsi="Times New Roman"/>
                    <w:color w:val="000000" w:themeColor="text1"/>
                    <w:sz w:val="18"/>
                    <w:szCs w:val="18"/>
                  </w:rPr>
                  <w:t>Servicios de aseo, cafetería, restaurante y lavandería</w:t>
                </w:r>
              </w:p>
            </w:tc>
            <w:tc>
              <w:tcPr>
                <w:tcW w:w="1842" w:type="dxa"/>
                <w:tcMar>
                  <w:left w:w="70" w:type="dxa"/>
                  <w:right w:w="70" w:type="dxa"/>
                </w:tcMar>
                <w:vAlign w:val="center"/>
              </w:tcPr>
              <w:p w14:paraId="0F8D374C" w14:textId="13A2FB01" w:rsidR="0E4E29E4" w:rsidRPr="001329EB" w:rsidRDefault="0E4E29E4" w:rsidP="0E4E29E4">
                <w:pPr>
                  <w:spacing w:after="0"/>
                  <w:ind w:left="-20" w:right="-20"/>
                  <w:jc w:val="right"/>
                  <w:rPr>
                    <w:sz w:val="18"/>
                    <w:szCs w:val="18"/>
                  </w:rPr>
                </w:pPr>
                <w:r w:rsidRPr="001329EB">
                  <w:rPr>
                    <w:rFonts w:ascii="Times New Roman" w:eastAsia="Times New Roman" w:hAnsi="Times New Roman"/>
                    <w:sz w:val="18"/>
                    <w:szCs w:val="18"/>
                  </w:rPr>
                  <w:t>361.449.901</w:t>
                </w:r>
              </w:p>
            </w:tc>
            <w:tc>
              <w:tcPr>
                <w:tcW w:w="2732" w:type="dxa"/>
                <w:tcMar>
                  <w:left w:w="70" w:type="dxa"/>
                  <w:right w:w="70" w:type="dxa"/>
                </w:tcMar>
                <w:vAlign w:val="center"/>
              </w:tcPr>
              <w:p w14:paraId="685EA0E5" w14:textId="4CE6D18A" w:rsidR="0E4E29E4" w:rsidRPr="001329EB" w:rsidRDefault="0E4E29E4" w:rsidP="001329EB">
                <w:pPr>
                  <w:spacing w:after="0"/>
                  <w:ind w:left="-20" w:right="-20"/>
                  <w:jc w:val="center"/>
                  <w:rPr>
                    <w:sz w:val="18"/>
                    <w:szCs w:val="18"/>
                  </w:rPr>
                </w:pPr>
                <w:r w:rsidRPr="001329EB">
                  <w:rPr>
                    <w:rFonts w:ascii="Times New Roman" w:eastAsia="Times New Roman" w:hAnsi="Times New Roman"/>
                    <w:color w:val="000000" w:themeColor="text1"/>
                    <w:sz w:val="18"/>
                    <w:szCs w:val="18"/>
                  </w:rPr>
                  <w:t>0,05%</w:t>
                </w:r>
              </w:p>
            </w:tc>
          </w:tr>
          <w:tr w:rsidR="0E4E29E4" w:rsidRPr="001329EB" w14:paraId="39096589" w14:textId="77777777" w:rsidTr="00CA026F">
            <w:trPr>
              <w:trHeight w:val="283"/>
              <w:jc w:val="center"/>
            </w:trPr>
            <w:tc>
              <w:tcPr>
                <w:tcW w:w="4385" w:type="dxa"/>
                <w:tcMar>
                  <w:left w:w="70" w:type="dxa"/>
                  <w:right w:w="70" w:type="dxa"/>
                </w:tcMar>
                <w:vAlign w:val="center"/>
              </w:tcPr>
              <w:p w14:paraId="38EBFD0A" w14:textId="5BA324E0" w:rsidR="0E4E29E4" w:rsidRPr="001329EB" w:rsidRDefault="0E4E29E4" w:rsidP="0E4E29E4">
                <w:pPr>
                  <w:spacing w:after="0"/>
                  <w:ind w:left="-20" w:right="-20"/>
                  <w:rPr>
                    <w:sz w:val="18"/>
                    <w:szCs w:val="18"/>
                  </w:rPr>
                </w:pPr>
                <w:r w:rsidRPr="001329EB">
                  <w:rPr>
                    <w:rFonts w:ascii="Times New Roman" w:eastAsia="Times New Roman" w:hAnsi="Times New Roman"/>
                    <w:color w:val="000000" w:themeColor="text1"/>
                    <w:sz w:val="18"/>
                    <w:szCs w:val="18"/>
                  </w:rPr>
                  <w:t>Licencias</w:t>
                </w:r>
              </w:p>
            </w:tc>
            <w:tc>
              <w:tcPr>
                <w:tcW w:w="1842" w:type="dxa"/>
                <w:tcMar>
                  <w:left w:w="70" w:type="dxa"/>
                  <w:right w:w="70" w:type="dxa"/>
                </w:tcMar>
                <w:vAlign w:val="center"/>
              </w:tcPr>
              <w:p w14:paraId="617DF1F6" w14:textId="5BD23BDA" w:rsidR="0E4E29E4" w:rsidRPr="001329EB" w:rsidRDefault="0E4E29E4" w:rsidP="0E4E29E4">
                <w:pPr>
                  <w:spacing w:after="0"/>
                  <w:ind w:left="-20" w:right="-20"/>
                  <w:jc w:val="right"/>
                  <w:rPr>
                    <w:sz w:val="18"/>
                    <w:szCs w:val="18"/>
                  </w:rPr>
                </w:pPr>
                <w:r w:rsidRPr="001329EB">
                  <w:rPr>
                    <w:rFonts w:ascii="Times New Roman" w:eastAsia="Times New Roman" w:hAnsi="Times New Roman"/>
                    <w:sz w:val="18"/>
                    <w:szCs w:val="18"/>
                  </w:rPr>
                  <w:t>339.820.000</w:t>
                </w:r>
              </w:p>
            </w:tc>
            <w:tc>
              <w:tcPr>
                <w:tcW w:w="2732" w:type="dxa"/>
                <w:tcMar>
                  <w:left w:w="70" w:type="dxa"/>
                  <w:right w:w="70" w:type="dxa"/>
                </w:tcMar>
                <w:vAlign w:val="center"/>
              </w:tcPr>
              <w:p w14:paraId="7359B878" w14:textId="552EC27C" w:rsidR="0E4E29E4" w:rsidRPr="001329EB" w:rsidRDefault="0E4E29E4" w:rsidP="001329EB">
                <w:pPr>
                  <w:spacing w:after="0"/>
                  <w:ind w:left="-20" w:right="-20"/>
                  <w:jc w:val="center"/>
                  <w:rPr>
                    <w:sz w:val="18"/>
                    <w:szCs w:val="18"/>
                  </w:rPr>
                </w:pPr>
                <w:r w:rsidRPr="001329EB">
                  <w:rPr>
                    <w:rFonts w:ascii="Times New Roman" w:eastAsia="Times New Roman" w:hAnsi="Times New Roman"/>
                    <w:color w:val="000000" w:themeColor="text1"/>
                    <w:sz w:val="18"/>
                    <w:szCs w:val="18"/>
                  </w:rPr>
                  <w:t>0,05%</w:t>
                </w:r>
              </w:p>
            </w:tc>
          </w:tr>
          <w:tr w:rsidR="0E4E29E4" w:rsidRPr="001329EB" w14:paraId="7C2BF804" w14:textId="77777777" w:rsidTr="00CA026F">
            <w:trPr>
              <w:trHeight w:val="283"/>
              <w:jc w:val="center"/>
            </w:trPr>
            <w:tc>
              <w:tcPr>
                <w:tcW w:w="4385" w:type="dxa"/>
                <w:tcMar>
                  <w:left w:w="70" w:type="dxa"/>
                  <w:right w:w="70" w:type="dxa"/>
                </w:tcMar>
                <w:vAlign w:val="center"/>
              </w:tcPr>
              <w:p w14:paraId="7611866D" w14:textId="5D7B0890" w:rsidR="0E4E29E4" w:rsidRPr="001329EB" w:rsidRDefault="0E4E29E4" w:rsidP="0E4E29E4">
                <w:pPr>
                  <w:spacing w:after="0"/>
                  <w:ind w:left="-20" w:right="-20"/>
                  <w:rPr>
                    <w:sz w:val="18"/>
                    <w:szCs w:val="18"/>
                  </w:rPr>
                </w:pPr>
                <w:r w:rsidRPr="001329EB">
                  <w:rPr>
                    <w:rFonts w:ascii="Times New Roman" w:eastAsia="Times New Roman" w:hAnsi="Times New Roman"/>
                    <w:color w:val="000000" w:themeColor="text1"/>
                    <w:sz w:val="18"/>
                    <w:szCs w:val="18"/>
                  </w:rPr>
                  <w:t>Materiales y suministros</w:t>
                </w:r>
              </w:p>
            </w:tc>
            <w:tc>
              <w:tcPr>
                <w:tcW w:w="1842" w:type="dxa"/>
                <w:tcMar>
                  <w:left w:w="70" w:type="dxa"/>
                  <w:right w:w="70" w:type="dxa"/>
                </w:tcMar>
                <w:vAlign w:val="center"/>
              </w:tcPr>
              <w:p w14:paraId="4DB29CD6" w14:textId="7A6377F4" w:rsidR="0E4E29E4" w:rsidRPr="001329EB" w:rsidRDefault="0E4E29E4" w:rsidP="0E4E29E4">
                <w:pPr>
                  <w:spacing w:after="0"/>
                  <w:ind w:left="-20" w:right="-20"/>
                  <w:jc w:val="right"/>
                  <w:rPr>
                    <w:sz w:val="18"/>
                    <w:szCs w:val="18"/>
                  </w:rPr>
                </w:pPr>
                <w:r w:rsidRPr="001329EB">
                  <w:rPr>
                    <w:rFonts w:ascii="Times New Roman" w:eastAsia="Times New Roman" w:hAnsi="Times New Roman"/>
                    <w:sz w:val="18"/>
                    <w:szCs w:val="18"/>
                  </w:rPr>
                  <w:t>322.411.410</w:t>
                </w:r>
              </w:p>
            </w:tc>
            <w:tc>
              <w:tcPr>
                <w:tcW w:w="2732" w:type="dxa"/>
                <w:tcMar>
                  <w:left w:w="70" w:type="dxa"/>
                  <w:right w:w="70" w:type="dxa"/>
                </w:tcMar>
                <w:vAlign w:val="center"/>
              </w:tcPr>
              <w:p w14:paraId="365D9F9F" w14:textId="635F1CDC" w:rsidR="0E4E29E4" w:rsidRPr="001329EB" w:rsidRDefault="0E4E29E4" w:rsidP="001329EB">
                <w:pPr>
                  <w:spacing w:after="0"/>
                  <w:ind w:left="-20" w:right="-20"/>
                  <w:jc w:val="center"/>
                  <w:rPr>
                    <w:sz w:val="18"/>
                    <w:szCs w:val="18"/>
                  </w:rPr>
                </w:pPr>
                <w:r w:rsidRPr="001329EB">
                  <w:rPr>
                    <w:rFonts w:ascii="Times New Roman" w:eastAsia="Times New Roman" w:hAnsi="Times New Roman"/>
                    <w:color w:val="000000" w:themeColor="text1"/>
                    <w:sz w:val="18"/>
                    <w:szCs w:val="18"/>
                  </w:rPr>
                  <w:t>0,05%</w:t>
                </w:r>
              </w:p>
            </w:tc>
          </w:tr>
          <w:tr w:rsidR="0E4E29E4" w:rsidRPr="001329EB" w14:paraId="682C2F5A" w14:textId="77777777" w:rsidTr="00CA026F">
            <w:trPr>
              <w:trHeight w:val="283"/>
              <w:jc w:val="center"/>
            </w:trPr>
            <w:tc>
              <w:tcPr>
                <w:tcW w:w="4385" w:type="dxa"/>
                <w:tcMar>
                  <w:left w:w="70" w:type="dxa"/>
                  <w:right w:w="70" w:type="dxa"/>
                </w:tcMar>
                <w:vAlign w:val="center"/>
              </w:tcPr>
              <w:p w14:paraId="4E08883F" w14:textId="750B53FC" w:rsidR="0E4E29E4" w:rsidRPr="001329EB" w:rsidRDefault="0E4E29E4" w:rsidP="0E4E29E4">
                <w:pPr>
                  <w:spacing w:after="0"/>
                  <w:ind w:left="-20" w:right="-20"/>
                  <w:rPr>
                    <w:sz w:val="18"/>
                    <w:szCs w:val="18"/>
                  </w:rPr>
                </w:pPr>
                <w:r w:rsidRPr="001329EB">
                  <w:rPr>
                    <w:rFonts w:ascii="Times New Roman" w:eastAsia="Times New Roman" w:hAnsi="Times New Roman"/>
                    <w:color w:val="000000" w:themeColor="text1"/>
                    <w:sz w:val="18"/>
                    <w:szCs w:val="18"/>
                  </w:rPr>
                  <w:t>Elementos de aseo, lavandería y cafetería</w:t>
                </w:r>
              </w:p>
            </w:tc>
            <w:tc>
              <w:tcPr>
                <w:tcW w:w="1842" w:type="dxa"/>
                <w:tcMar>
                  <w:left w:w="70" w:type="dxa"/>
                  <w:right w:w="70" w:type="dxa"/>
                </w:tcMar>
                <w:vAlign w:val="center"/>
              </w:tcPr>
              <w:p w14:paraId="26FE17F1" w14:textId="21949B03" w:rsidR="0E4E29E4" w:rsidRPr="001329EB" w:rsidRDefault="0E4E29E4" w:rsidP="0E4E29E4">
                <w:pPr>
                  <w:spacing w:after="0"/>
                  <w:ind w:left="-20" w:right="-20"/>
                  <w:jc w:val="right"/>
                  <w:rPr>
                    <w:sz w:val="18"/>
                    <w:szCs w:val="18"/>
                  </w:rPr>
                </w:pPr>
                <w:r w:rsidRPr="001329EB">
                  <w:rPr>
                    <w:rFonts w:ascii="Times New Roman" w:eastAsia="Times New Roman" w:hAnsi="Times New Roman"/>
                    <w:sz w:val="18"/>
                    <w:szCs w:val="18"/>
                  </w:rPr>
                  <w:t>184.913.370</w:t>
                </w:r>
              </w:p>
            </w:tc>
            <w:tc>
              <w:tcPr>
                <w:tcW w:w="2732" w:type="dxa"/>
                <w:tcMar>
                  <w:left w:w="70" w:type="dxa"/>
                  <w:right w:w="70" w:type="dxa"/>
                </w:tcMar>
                <w:vAlign w:val="center"/>
              </w:tcPr>
              <w:p w14:paraId="5AB453D4" w14:textId="3674C77D" w:rsidR="0E4E29E4" w:rsidRPr="001329EB" w:rsidRDefault="0E4E29E4" w:rsidP="001329EB">
                <w:pPr>
                  <w:spacing w:after="0"/>
                  <w:ind w:left="-20" w:right="-20"/>
                  <w:jc w:val="center"/>
                  <w:rPr>
                    <w:sz w:val="18"/>
                    <w:szCs w:val="18"/>
                  </w:rPr>
                </w:pPr>
                <w:r w:rsidRPr="001329EB">
                  <w:rPr>
                    <w:rFonts w:ascii="Times New Roman" w:eastAsia="Times New Roman" w:hAnsi="Times New Roman"/>
                    <w:color w:val="000000" w:themeColor="text1"/>
                    <w:sz w:val="18"/>
                    <w:szCs w:val="18"/>
                  </w:rPr>
                  <w:t>0,03%</w:t>
                </w:r>
              </w:p>
            </w:tc>
          </w:tr>
          <w:tr w:rsidR="0E4E29E4" w:rsidRPr="001329EB" w14:paraId="335DD34F" w14:textId="77777777" w:rsidTr="00CA026F">
            <w:trPr>
              <w:trHeight w:val="283"/>
              <w:jc w:val="center"/>
            </w:trPr>
            <w:tc>
              <w:tcPr>
                <w:tcW w:w="4385" w:type="dxa"/>
                <w:tcMar>
                  <w:left w:w="70" w:type="dxa"/>
                  <w:right w:w="70" w:type="dxa"/>
                </w:tcMar>
                <w:vAlign w:val="center"/>
              </w:tcPr>
              <w:p w14:paraId="050CF894" w14:textId="38ACBF11" w:rsidR="0E4E29E4" w:rsidRPr="001329EB" w:rsidRDefault="0E4E29E4" w:rsidP="0E4E29E4">
                <w:pPr>
                  <w:spacing w:after="0"/>
                  <w:ind w:left="-20" w:right="-20"/>
                  <w:rPr>
                    <w:sz w:val="18"/>
                    <w:szCs w:val="18"/>
                  </w:rPr>
                </w:pPr>
                <w:r w:rsidRPr="001329EB">
                  <w:rPr>
                    <w:rFonts w:ascii="Times New Roman" w:eastAsia="Times New Roman" w:hAnsi="Times New Roman"/>
                    <w:color w:val="000000" w:themeColor="text1"/>
                    <w:sz w:val="18"/>
                    <w:szCs w:val="18"/>
                  </w:rPr>
                  <w:t>Combustibles y lubricantes</w:t>
                </w:r>
              </w:p>
            </w:tc>
            <w:tc>
              <w:tcPr>
                <w:tcW w:w="1842" w:type="dxa"/>
                <w:tcMar>
                  <w:left w:w="70" w:type="dxa"/>
                  <w:right w:w="70" w:type="dxa"/>
                </w:tcMar>
                <w:vAlign w:val="center"/>
              </w:tcPr>
              <w:p w14:paraId="2BF2141B" w14:textId="49BBE8DE" w:rsidR="0E4E29E4" w:rsidRPr="001329EB" w:rsidRDefault="0E4E29E4" w:rsidP="0E4E29E4">
                <w:pPr>
                  <w:spacing w:after="0"/>
                  <w:ind w:left="-20" w:right="-20"/>
                  <w:jc w:val="right"/>
                  <w:rPr>
                    <w:sz w:val="18"/>
                    <w:szCs w:val="18"/>
                  </w:rPr>
                </w:pPr>
                <w:r w:rsidRPr="001329EB">
                  <w:rPr>
                    <w:rFonts w:ascii="Times New Roman" w:eastAsia="Times New Roman" w:hAnsi="Times New Roman"/>
                    <w:sz w:val="18"/>
                    <w:szCs w:val="18"/>
                  </w:rPr>
                  <w:t>57.636.160</w:t>
                </w:r>
              </w:p>
            </w:tc>
            <w:tc>
              <w:tcPr>
                <w:tcW w:w="2732" w:type="dxa"/>
                <w:tcMar>
                  <w:left w:w="70" w:type="dxa"/>
                  <w:right w:w="70" w:type="dxa"/>
                </w:tcMar>
                <w:vAlign w:val="center"/>
              </w:tcPr>
              <w:p w14:paraId="48369EA9" w14:textId="139DDF45" w:rsidR="0E4E29E4" w:rsidRPr="001329EB" w:rsidRDefault="0E4E29E4" w:rsidP="001329EB">
                <w:pPr>
                  <w:spacing w:after="0"/>
                  <w:ind w:left="-20" w:right="-20"/>
                  <w:jc w:val="center"/>
                  <w:rPr>
                    <w:sz w:val="18"/>
                    <w:szCs w:val="18"/>
                  </w:rPr>
                </w:pPr>
                <w:r w:rsidRPr="001329EB">
                  <w:rPr>
                    <w:rFonts w:ascii="Times New Roman" w:eastAsia="Times New Roman" w:hAnsi="Times New Roman"/>
                    <w:color w:val="000000" w:themeColor="text1"/>
                    <w:sz w:val="18"/>
                    <w:szCs w:val="18"/>
                  </w:rPr>
                  <w:t>0,01%</w:t>
                </w:r>
              </w:p>
            </w:tc>
          </w:tr>
          <w:tr w:rsidR="0E4E29E4" w:rsidRPr="001329EB" w14:paraId="05DD7DBE" w14:textId="77777777" w:rsidTr="00CA026F">
            <w:trPr>
              <w:trHeight w:val="283"/>
              <w:jc w:val="center"/>
            </w:trPr>
            <w:tc>
              <w:tcPr>
                <w:tcW w:w="4385" w:type="dxa"/>
                <w:tcMar>
                  <w:left w:w="70" w:type="dxa"/>
                  <w:right w:w="70" w:type="dxa"/>
                </w:tcMar>
                <w:vAlign w:val="center"/>
              </w:tcPr>
              <w:p w14:paraId="77DEBF5B" w14:textId="754B3628" w:rsidR="0E4E29E4" w:rsidRPr="001329EB" w:rsidRDefault="0E4E29E4" w:rsidP="0E4E29E4">
                <w:pPr>
                  <w:spacing w:after="0"/>
                  <w:ind w:left="-20" w:right="-20"/>
                  <w:rPr>
                    <w:sz w:val="18"/>
                    <w:szCs w:val="18"/>
                  </w:rPr>
                </w:pPr>
                <w:r w:rsidRPr="001329EB">
                  <w:rPr>
                    <w:rFonts w:ascii="Times New Roman" w:eastAsia="Times New Roman" w:hAnsi="Times New Roman"/>
                    <w:color w:val="000000" w:themeColor="text1"/>
                    <w:sz w:val="18"/>
                    <w:szCs w:val="18"/>
                  </w:rPr>
                  <w:lastRenderedPageBreak/>
                  <w:t>Intangibles</w:t>
                </w:r>
              </w:p>
            </w:tc>
            <w:tc>
              <w:tcPr>
                <w:tcW w:w="1842" w:type="dxa"/>
                <w:tcMar>
                  <w:left w:w="70" w:type="dxa"/>
                  <w:right w:w="70" w:type="dxa"/>
                </w:tcMar>
                <w:vAlign w:val="center"/>
              </w:tcPr>
              <w:p w14:paraId="166D338D" w14:textId="7ED5DF79" w:rsidR="0E4E29E4" w:rsidRPr="001329EB" w:rsidRDefault="0E4E29E4" w:rsidP="0E4E29E4">
                <w:pPr>
                  <w:spacing w:after="0"/>
                  <w:ind w:left="-20" w:right="-20"/>
                  <w:jc w:val="right"/>
                  <w:rPr>
                    <w:sz w:val="18"/>
                    <w:szCs w:val="18"/>
                  </w:rPr>
                </w:pPr>
                <w:r w:rsidRPr="001329EB">
                  <w:rPr>
                    <w:rFonts w:ascii="Times New Roman" w:eastAsia="Times New Roman" w:hAnsi="Times New Roman"/>
                    <w:sz w:val="18"/>
                    <w:szCs w:val="18"/>
                  </w:rPr>
                  <w:t>50.396.500</w:t>
                </w:r>
              </w:p>
            </w:tc>
            <w:tc>
              <w:tcPr>
                <w:tcW w:w="2732" w:type="dxa"/>
                <w:tcMar>
                  <w:left w:w="70" w:type="dxa"/>
                  <w:right w:w="70" w:type="dxa"/>
                </w:tcMar>
                <w:vAlign w:val="center"/>
              </w:tcPr>
              <w:p w14:paraId="2AA8DB42" w14:textId="695812BA" w:rsidR="0E4E29E4" w:rsidRPr="001329EB" w:rsidRDefault="0E4E29E4" w:rsidP="001329EB">
                <w:pPr>
                  <w:spacing w:after="0"/>
                  <w:ind w:left="-20" w:right="-20"/>
                  <w:jc w:val="center"/>
                  <w:rPr>
                    <w:sz w:val="18"/>
                    <w:szCs w:val="18"/>
                  </w:rPr>
                </w:pPr>
                <w:r w:rsidRPr="001329EB">
                  <w:rPr>
                    <w:rFonts w:ascii="Times New Roman" w:eastAsia="Times New Roman" w:hAnsi="Times New Roman"/>
                    <w:color w:val="000000" w:themeColor="text1"/>
                    <w:sz w:val="18"/>
                    <w:szCs w:val="18"/>
                  </w:rPr>
                  <w:t>0,01%</w:t>
                </w:r>
              </w:p>
            </w:tc>
          </w:tr>
          <w:tr w:rsidR="0E4E29E4" w:rsidRPr="001329EB" w14:paraId="662874A1" w14:textId="77777777" w:rsidTr="00CA026F">
            <w:trPr>
              <w:trHeight w:val="283"/>
              <w:jc w:val="center"/>
            </w:trPr>
            <w:tc>
              <w:tcPr>
                <w:tcW w:w="4385" w:type="dxa"/>
                <w:tcMar>
                  <w:left w:w="70" w:type="dxa"/>
                  <w:right w:w="70" w:type="dxa"/>
                </w:tcMar>
                <w:vAlign w:val="center"/>
              </w:tcPr>
              <w:p w14:paraId="6B1F0D7B" w14:textId="74040B28" w:rsidR="0E4E29E4" w:rsidRPr="001329EB" w:rsidRDefault="0E4E29E4" w:rsidP="0E4E29E4">
                <w:pPr>
                  <w:spacing w:after="0"/>
                  <w:ind w:left="-20" w:right="-20"/>
                  <w:rPr>
                    <w:sz w:val="18"/>
                    <w:szCs w:val="18"/>
                  </w:rPr>
                </w:pPr>
                <w:r w:rsidRPr="001329EB">
                  <w:rPr>
                    <w:rFonts w:ascii="Times New Roman" w:eastAsia="Times New Roman" w:hAnsi="Times New Roman"/>
                    <w:color w:val="000000" w:themeColor="text1"/>
                    <w:sz w:val="18"/>
                    <w:szCs w:val="18"/>
                  </w:rPr>
                  <w:t>Otros gastos generales</w:t>
                </w:r>
              </w:p>
            </w:tc>
            <w:tc>
              <w:tcPr>
                <w:tcW w:w="1842" w:type="dxa"/>
                <w:tcMar>
                  <w:left w:w="70" w:type="dxa"/>
                  <w:right w:w="70" w:type="dxa"/>
                </w:tcMar>
                <w:vAlign w:val="center"/>
              </w:tcPr>
              <w:p w14:paraId="716C5838" w14:textId="4EC4DA3A" w:rsidR="0E4E29E4" w:rsidRPr="001329EB" w:rsidRDefault="0E4E29E4" w:rsidP="0E4E29E4">
                <w:pPr>
                  <w:spacing w:after="0"/>
                  <w:ind w:left="-20" w:right="-20"/>
                  <w:jc w:val="right"/>
                  <w:rPr>
                    <w:sz w:val="18"/>
                    <w:szCs w:val="18"/>
                  </w:rPr>
                </w:pPr>
                <w:r w:rsidRPr="001329EB">
                  <w:rPr>
                    <w:rFonts w:ascii="Times New Roman" w:eastAsia="Times New Roman" w:hAnsi="Times New Roman"/>
                    <w:sz w:val="18"/>
                    <w:szCs w:val="18"/>
                  </w:rPr>
                  <w:t>1</w:t>
                </w:r>
              </w:p>
            </w:tc>
            <w:tc>
              <w:tcPr>
                <w:tcW w:w="2732" w:type="dxa"/>
                <w:tcMar>
                  <w:left w:w="70" w:type="dxa"/>
                  <w:right w:w="70" w:type="dxa"/>
                </w:tcMar>
                <w:vAlign w:val="center"/>
              </w:tcPr>
              <w:p w14:paraId="7B750C05" w14:textId="103A6854" w:rsidR="0E4E29E4" w:rsidRPr="001329EB" w:rsidRDefault="0E4E29E4" w:rsidP="001329EB">
                <w:pPr>
                  <w:spacing w:after="0"/>
                  <w:ind w:left="-20" w:right="-20"/>
                  <w:jc w:val="center"/>
                  <w:rPr>
                    <w:sz w:val="18"/>
                    <w:szCs w:val="18"/>
                  </w:rPr>
                </w:pPr>
                <w:r w:rsidRPr="001329EB">
                  <w:rPr>
                    <w:rFonts w:ascii="Times New Roman" w:eastAsia="Times New Roman" w:hAnsi="Times New Roman"/>
                    <w:color w:val="000000" w:themeColor="text1"/>
                    <w:sz w:val="18"/>
                    <w:szCs w:val="18"/>
                  </w:rPr>
                  <w:t>0,00%</w:t>
                </w:r>
              </w:p>
            </w:tc>
          </w:tr>
        </w:tbl>
        <w:p w14:paraId="78039CD6" w14:textId="0F6AB43C" w:rsidR="003A4D8E" w:rsidRPr="00931DCE" w:rsidRDefault="64C58135" w:rsidP="001329EB">
          <w:pPr>
            <w:ind w:left="-20" w:right="-20"/>
            <w:jc w:val="both"/>
          </w:pPr>
          <w:r w:rsidRPr="0E4E29E4">
            <w:rPr>
              <w:rFonts w:ascii="Times New Roman" w:eastAsia="Times New Roman" w:hAnsi="Times New Roman"/>
              <w:sz w:val="14"/>
              <w:szCs w:val="14"/>
            </w:rPr>
            <w:t>Cifras expresadas en pesos</w:t>
          </w:r>
        </w:p>
        <w:p w14:paraId="12E820E0" w14:textId="560273BA" w:rsidR="003A4D8E" w:rsidRPr="00931DCE" w:rsidRDefault="64C58135" w:rsidP="0E4E29E4">
          <w:pPr>
            <w:ind w:left="-20" w:right="-20"/>
            <w:jc w:val="both"/>
          </w:pPr>
          <w:r w:rsidRPr="0E4E29E4">
            <w:rPr>
              <w:rFonts w:ascii="Times New Roman" w:eastAsia="Times New Roman" w:hAnsi="Times New Roman"/>
              <w:sz w:val="24"/>
              <w:szCs w:val="24"/>
              <w:lang w:val="es"/>
            </w:rPr>
            <w:t>Adicionalmente, se destaca que:</w:t>
          </w:r>
        </w:p>
        <w:p w14:paraId="63669F41" w14:textId="381AA53F" w:rsidR="003A4D8E" w:rsidRPr="00931DCE" w:rsidRDefault="64C58135" w:rsidP="0E4E29E4">
          <w:pPr>
            <w:ind w:left="-20" w:right="-20"/>
            <w:jc w:val="both"/>
          </w:pPr>
          <w:r w:rsidRPr="0E4E29E4">
            <w:rPr>
              <w:rFonts w:ascii="Times New Roman" w:eastAsia="Times New Roman" w:hAnsi="Times New Roman"/>
              <w:sz w:val="24"/>
              <w:szCs w:val="24"/>
              <w:lang w:val="es"/>
            </w:rPr>
            <w:t xml:space="preserve"> El inciso 2 del artículo 28 de la Ley No. 2342 del 15 de diciembre de 2023 “Por la cual se decreta el Presupuesto de Rentas y Recursos de Capital y Ley de Apropiaciones para la vigencia fiscal del 1º. de enero al 31 de diciembre de 2024” y el Decreto No. 2295 del 29 de diciembre de 2023 “Por el cual se liquida el Presupuesto General de la Nación para la vigencia fiscal de 2024, se detallan las apropiaciones y se clasifican y definen los gastos”, dispone que: “(…) Para las cuentas por pagar que se constituyan a 31 de diciembre de 2023 se debe contar con el correspondiente programa anual mensualizado de caja de la vigencia, de lo contrario deberán hacerse los ajustes en los registros y constituir las correspondientes reservas presupuestales. Igual procedimiento se deberá cumplir en la vigencia </w:t>
          </w:r>
          <w:r w:rsidR="001329EB" w:rsidRPr="0E4E29E4">
            <w:rPr>
              <w:rFonts w:ascii="Times New Roman" w:eastAsia="Times New Roman" w:hAnsi="Times New Roman"/>
              <w:sz w:val="24"/>
              <w:szCs w:val="24"/>
              <w:lang w:val="es"/>
            </w:rPr>
            <w:t>2024. (</w:t>
          </w:r>
          <w:r w:rsidRPr="0E4E29E4">
            <w:rPr>
              <w:rFonts w:ascii="Times New Roman" w:eastAsia="Times New Roman" w:hAnsi="Times New Roman"/>
              <w:sz w:val="24"/>
              <w:szCs w:val="24"/>
              <w:lang w:val="es"/>
            </w:rPr>
            <w:t>…)”.</w:t>
          </w:r>
        </w:p>
        <w:p w14:paraId="165D4477" w14:textId="13C01F72" w:rsidR="003A4D8E" w:rsidRPr="00931DCE" w:rsidRDefault="64C58135" w:rsidP="0E4E29E4">
          <w:pPr>
            <w:ind w:left="-20" w:right="-20"/>
            <w:jc w:val="both"/>
          </w:pPr>
          <w:r w:rsidRPr="0E4E29E4">
            <w:rPr>
              <w:rFonts w:ascii="Times New Roman" w:eastAsia="Times New Roman" w:hAnsi="Times New Roman"/>
              <w:color w:val="000000" w:themeColor="text1"/>
              <w:sz w:val="24"/>
              <w:szCs w:val="24"/>
            </w:rPr>
            <w:t>El artículo 89 del Estatuto Orgánico de Presupuesto – Decreto 111 del 15 de enero de 1996, estipula que: “Las apropiaciones incluidas en el Presupuesto General de la Nación son autorizaciones máximas de gasto que el Congreso aprueba para ser ejecutadas o comprometidas durante la vigencia fiscal respectiva. Después del 31 de diciembre de cada año estas autorizaciones expiran y, en consecuencia, no podrán comprometerse, adicionarse, transferirse ni contracreditarse.</w:t>
          </w:r>
        </w:p>
        <w:p w14:paraId="18DD7D2C" w14:textId="32BB9EAF" w:rsidR="003A4D8E" w:rsidRPr="00931DCE" w:rsidRDefault="64C58135" w:rsidP="0E4E29E4">
          <w:pPr>
            <w:ind w:left="-20" w:right="-20"/>
            <w:jc w:val="both"/>
          </w:pPr>
          <w:r w:rsidRPr="0E4E29E4">
            <w:rPr>
              <w:rFonts w:ascii="Times New Roman" w:eastAsia="Times New Roman" w:hAnsi="Times New Roman"/>
              <w:i/>
              <w:iCs/>
              <w:color w:val="000000" w:themeColor="text1"/>
              <w:sz w:val="24"/>
              <w:szCs w:val="24"/>
              <w:u w:val="single"/>
            </w:rPr>
            <w:t>Al cierre de la vigencia fiscal cada órgano constituirá las reservas presupuestales con los compromisos que al 31 de diciembre no se hayan cumplido, siempre y cuando estén legalmente contraídos y desarrollen el objeto de la apropiación</w:t>
          </w:r>
          <w:r w:rsidRPr="0E4E29E4">
            <w:rPr>
              <w:rFonts w:ascii="Times New Roman" w:eastAsia="Times New Roman" w:hAnsi="Times New Roman"/>
              <w:color w:val="000000" w:themeColor="text1"/>
              <w:sz w:val="24"/>
              <w:szCs w:val="24"/>
            </w:rPr>
            <w:t>. Las reservas presupuestales solo podrán utilizarse para cancelar los compromisos que les dieron origen. (…)” (Subyarado y negrita fuera de contexto</w:t>
          </w:r>
          <w:r w:rsidRPr="0E4E29E4">
            <w:rPr>
              <w:rFonts w:ascii="Arial" w:eastAsia="Arial" w:hAnsi="Arial" w:cs="Arial"/>
              <w:color w:val="000000" w:themeColor="text1"/>
              <w:sz w:val="20"/>
              <w:szCs w:val="20"/>
            </w:rPr>
            <w:t>).</w:t>
          </w:r>
        </w:p>
        <w:p w14:paraId="1EFF23CC" w14:textId="3EABA7F0" w:rsidR="003A4D8E" w:rsidRPr="00931DCE" w:rsidRDefault="64C58135" w:rsidP="0E4E29E4">
          <w:pPr>
            <w:ind w:left="-20" w:right="-20"/>
            <w:jc w:val="both"/>
          </w:pPr>
          <w:r w:rsidRPr="0E4E29E4">
            <w:rPr>
              <w:rFonts w:ascii="Times New Roman" w:eastAsia="Times New Roman" w:hAnsi="Times New Roman"/>
              <w:color w:val="000000" w:themeColor="text1"/>
              <w:sz w:val="24"/>
              <w:szCs w:val="24"/>
            </w:rPr>
            <w:t>Basado en lo anterior, la ANI constituyó reservas presupuestales con los saldos de los compromisos al 31 de diciembre de 2023 que no fueron obligados debido a la falta de PAC con aportes nación y recursos propios, según lo dispuesto en el inciso 2 de artículo 28 de la Ley 2342 del 15 de diciembre de 2023 y el Decreto 2295 del 29 de diciembre de 2023 y el artículo 89 del Estatuto Orgánico de Presupuesto.</w:t>
          </w:r>
        </w:p>
        <w:p w14:paraId="480D40F9" w14:textId="1C2E239C" w:rsidR="001329EB" w:rsidRDefault="64C58135" w:rsidP="00496862">
          <w:pPr>
            <w:ind w:left="-20" w:right="-20"/>
            <w:jc w:val="both"/>
            <w:rPr>
              <w:rFonts w:ascii="Times New Roman" w:eastAsia="Times New Roman" w:hAnsi="Times New Roman"/>
              <w:sz w:val="24"/>
              <w:szCs w:val="24"/>
            </w:rPr>
          </w:pPr>
          <w:r w:rsidRPr="0E4E29E4">
            <w:rPr>
              <w:rFonts w:ascii="Times New Roman" w:eastAsia="Times New Roman" w:hAnsi="Times New Roman"/>
              <w:sz w:val="24"/>
              <w:szCs w:val="24"/>
              <w:lang w:val="es"/>
            </w:rPr>
            <w:t xml:space="preserve">Los gastos por </w:t>
          </w:r>
          <w:r w:rsidRPr="0E4E29E4">
            <w:rPr>
              <w:rFonts w:ascii="Times New Roman" w:eastAsia="Times New Roman" w:hAnsi="Times New Roman"/>
              <w:i/>
              <w:iCs/>
              <w:sz w:val="24"/>
              <w:szCs w:val="24"/>
              <w:lang w:val="es"/>
            </w:rPr>
            <w:t>Impuestos, contribuciones, y tasas</w:t>
          </w:r>
          <w:r w:rsidRPr="0E4E29E4">
            <w:rPr>
              <w:rFonts w:ascii="Times New Roman" w:eastAsia="Times New Roman" w:hAnsi="Times New Roman"/>
              <w:sz w:val="24"/>
              <w:szCs w:val="24"/>
              <w:lang w:val="es"/>
            </w:rPr>
            <w:t xml:space="preserve"> </w:t>
          </w:r>
          <w:r w:rsidRPr="0E4E29E4">
            <w:rPr>
              <w:rFonts w:ascii="Times New Roman" w:eastAsia="Times New Roman" w:hAnsi="Times New Roman"/>
              <w:sz w:val="24"/>
              <w:szCs w:val="24"/>
            </w:rPr>
            <w:t>corresponden a los valores causados por conceptos como: Cuota de fiscalización y auditaje, que tiene una participación en la cuenta de 98,42% y se cancela a la Contraloría General de la República; Tasas; y Gravámenes a los movimientos financieros.</w:t>
          </w:r>
        </w:p>
        <w:p w14:paraId="1156D68D" w14:textId="77777777" w:rsidR="00053D6D" w:rsidRDefault="00053D6D" w:rsidP="00496862">
          <w:pPr>
            <w:ind w:left="-20" w:right="-20"/>
            <w:jc w:val="both"/>
            <w:rPr>
              <w:rFonts w:ascii="Times New Roman" w:eastAsia="Times New Roman" w:hAnsi="Times New Roman"/>
              <w:sz w:val="24"/>
              <w:szCs w:val="24"/>
            </w:rPr>
          </w:pPr>
        </w:p>
        <w:p w14:paraId="61A7F115" w14:textId="77777777" w:rsidR="00053D6D" w:rsidRDefault="00053D6D" w:rsidP="00496862">
          <w:pPr>
            <w:ind w:left="-20" w:right="-20"/>
            <w:jc w:val="both"/>
          </w:pPr>
        </w:p>
        <w:p w14:paraId="7AFC0F6C" w14:textId="77777777" w:rsidR="00C942B1" w:rsidRPr="00931DCE" w:rsidRDefault="00C942B1" w:rsidP="00496862">
          <w:pPr>
            <w:ind w:left="-20" w:right="-20"/>
            <w:jc w:val="both"/>
          </w:pPr>
        </w:p>
        <w:p w14:paraId="6524D014" w14:textId="5E17EFBC" w:rsidR="003A4D8E" w:rsidRPr="00931DCE" w:rsidRDefault="64C58135" w:rsidP="0E4E29E4">
          <w:pPr>
            <w:pStyle w:val="Ttulo2"/>
            <w:numPr>
              <w:ilvl w:val="0"/>
              <w:numId w:val="0"/>
            </w:numPr>
            <w:spacing w:line="254" w:lineRule="auto"/>
            <w:ind w:right="-20"/>
            <w:rPr>
              <w:rFonts w:eastAsia="Times New Roman" w:cs="Times New Roman"/>
              <w:bCs/>
              <w:szCs w:val="24"/>
            </w:rPr>
          </w:pPr>
          <w:bookmarkStart w:id="116" w:name="_Toc159952440"/>
          <w:r w:rsidRPr="0E4E29E4">
            <w:rPr>
              <w:rFonts w:eastAsia="Times New Roman" w:cs="Times New Roman"/>
              <w:bCs/>
              <w:szCs w:val="24"/>
            </w:rPr>
            <w:lastRenderedPageBreak/>
            <w:t>29.2.</w:t>
          </w:r>
          <w:r w:rsidRPr="0E4E29E4">
            <w:rPr>
              <w:rFonts w:eastAsia="Times New Roman" w:cs="Times New Roman"/>
              <w:b w:val="0"/>
              <w:sz w:val="14"/>
              <w:szCs w:val="14"/>
            </w:rPr>
            <w:t xml:space="preserve">   </w:t>
          </w:r>
          <w:r w:rsidRPr="0E4E29E4">
            <w:rPr>
              <w:rFonts w:eastAsia="Times New Roman" w:cs="Times New Roman"/>
              <w:bCs/>
              <w:szCs w:val="24"/>
            </w:rPr>
            <w:t>Deterioro, depreciaciones, amortizaciones y provisiones</w:t>
          </w:r>
          <w:bookmarkEnd w:id="116"/>
        </w:p>
        <w:p w14:paraId="0DAAE66C" w14:textId="78DD2520" w:rsidR="003A4D8E" w:rsidRPr="00931DCE" w:rsidRDefault="003A4D8E" w:rsidP="0E4E29E4">
          <w:pPr>
            <w:ind w:left="-20" w:right="-20"/>
            <w:jc w:val="both"/>
            <w:rPr>
              <w:rFonts w:ascii="Times New Roman" w:eastAsia="Times New Roman" w:hAnsi="Times New Roman"/>
              <w:sz w:val="24"/>
              <w:szCs w:val="24"/>
            </w:rPr>
          </w:pPr>
        </w:p>
        <w:tbl>
          <w:tblPr>
            <w:tblW w:w="8969"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6" w:space="0" w:color="A6A6A6" w:themeColor="background1" w:themeShade="A6"/>
              <w:insideV w:val="single" w:sz="6" w:space="0" w:color="A6A6A6" w:themeColor="background1" w:themeShade="A6"/>
            </w:tblBorders>
            <w:tblLayout w:type="fixed"/>
            <w:tblLook w:val="04A0" w:firstRow="1" w:lastRow="0" w:firstColumn="1" w:lastColumn="0" w:noHBand="0" w:noVBand="1"/>
          </w:tblPr>
          <w:tblGrid>
            <w:gridCol w:w="909"/>
            <w:gridCol w:w="553"/>
            <w:gridCol w:w="3200"/>
            <w:gridCol w:w="1481"/>
            <w:gridCol w:w="1331"/>
            <w:gridCol w:w="1495"/>
          </w:tblGrid>
          <w:tr w:rsidR="0E4E29E4" w:rsidRPr="00496862" w14:paraId="0D5A6B00" w14:textId="77777777" w:rsidTr="00CA026F">
            <w:trPr>
              <w:trHeight w:val="300"/>
            </w:trPr>
            <w:tc>
              <w:tcPr>
                <w:tcW w:w="4662" w:type="dxa"/>
                <w:gridSpan w:val="3"/>
                <w:tcMar>
                  <w:left w:w="70" w:type="dxa"/>
                  <w:right w:w="70" w:type="dxa"/>
                </w:tcMar>
                <w:vAlign w:val="center"/>
              </w:tcPr>
              <w:p w14:paraId="7420C85A" w14:textId="492E6685" w:rsidR="0E4E29E4" w:rsidRPr="00496862" w:rsidRDefault="0E4E29E4" w:rsidP="0E4E29E4">
                <w:pPr>
                  <w:spacing w:after="0"/>
                  <w:ind w:left="-20" w:right="-20"/>
                  <w:jc w:val="center"/>
                  <w:rPr>
                    <w:sz w:val="18"/>
                    <w:szCs w:val="18"/>
                  </w:rPr>
                </w:pPr>
                <w:r w:rsidRPr="00496862">
                  <w:rPr>
                    <w:rFonts w:ascii="Times New Roman" w:eastAsia="Times New Roman" w:hAnsi="Times New Roman"/>
                    <w:b/>
                    <w:bCs/>
                    <w:sz w:val="18"/>
                    <w:szCs w:val="18"/>
                  </w:rPr>
                  <w:t>DESCRIPCIÓN</w:t>
                </w:r>
              </w:p>
            </w:tc>
            <w:tc>
              <w:tcPr>
                <w:tcW w:w="2812" w:type="dxa"/>
                <w:gridSpan w:val="2"/>
                <w:tcMar>
                  <w:left w:w="70" w:type="dxa"/>
                  <w:right w:w="70" w:type="dxa"/>
                </w:tcMar>
                <w:vAlign w:val="center"/>
              </w:tcPr>
              <w:p w14:paraId="1AE851F2" w14:textId="65D9B871" w:rsidR="0E4E29E4" w:rsidRPr="00496862" w:rsidRDefault="0E4E29E4" w:rsidP="0E4E29E4">
                <w:pPr>
                  <w:spacing w:after="0"/>
                  <w:ind w:left="-20" w:right="-20"/>
                  <w:jc w:val="center"/>
                  <w:rPr>
                    <w:sz w:val="18"/>
                    <w:szCs w:val="18"/>
                  </w:rPr>
                </w:pPr>
                <w:r w:rsidRPr="00496862">
                  <w:rPr>
                    <w:rFonts w:ascii="Times New Roman" w:eastAsia="Times New Roman" w:hAnsi="Times New Roman"/>
                    <w:b/>
                    <w:bCs/>
                    <w:sz w:val="18"/>
                    <w:szCs w:val="18"/>
                  </w:rPr>
                  <w:t>SALDOS A CORTES DE VIGENCIA</w:t>
                </w:r>
              </w:p>
            </w:tc>
            <w:tc>
              <w:tcPr>
                <w:tcW w:w="1495" w:type="dxa"/>
                <w:tcMar>
                  <w:left w:w="70" w:type="dxa"/>
                  <w:right w:w="70" w:type="dxa"/>
                </w:tcMar>
                <w:vAlign w:val="center"/>
              </w:tcPr>
              <w:p w14:paraId="10ADBB36" w14:textId="4B03E5E8" w:rsidR="0E4E29E4" w:rsidRPr="00496862" w:rsidRDefault="0E4E29E4" w:rsidP="0E4E29E4">
                <w:pPr>
                  <w:spacing w:after="0"/>
                  <w:ind w:left="-20" w:right="-20"/>
                  <w:jc w:val="center"/>
                  <w:rPr>
                    <w:sz w:val="18"/>
                    <w:szCs w:val="18"/>
                  </w:rPr>
                </w:pPr>
                <w:r w:rsidRPr="00496862">
                  <w:rPr>
                    <w:rFonts w:ascii="Times New Roman" w:eastAsia="Times New Roman" w:hAnsi="Times New Roman"/>
                    <w:b/>
                    <w:bCs/>
                    <w:sz w:val="18"/>
                    <w:szCs w:val="18"/>
                  </w:rPr>
                  <w:t>VARIACIÓN</w:t>
                </w:r>
              </w:p>
            </w:tc>
          </w:tr>
          <w:tr w:rsidR="0E4E29E4" w:rsidRPr="00496862" w14:paraId="5C31E76A" w14:textId="77777777" w:rsidTr="00CA026F">
            <w:trPr>
              <w:trHeight w:val="570"/>
            </w:trPr>
            <w:tc>
              <w:tcPr>
                <w:tcW w:w="909" w:type="dxa"/>
                <w:tcMar>
                  <w:left w:w="70" w:type="dxa"/>
                  <w:right w:w="70" w:type="dxa"/>
                </w:tcMar>
                <w:vAlign w:val="center"/>
              </w:tcPr>
              <w:p w14:paraId="2D52AD06" w14:textId="2805AC45" w:rsidR="0E4E29E4" w:rsidRPr="00496862" w:rsidRDefault="0E4E29E4" w:rsidP="0E4E29E4">
                <w:pPr>
                  <w:spacing w:after="0"/>
                  <w:ind w:left="-20" w:right="-20"/>
                  <w:jc w:val="center"/>
                  <w:rPr>
                    <w:sz w:val="18"/>
                    <w:szCs w:val="18"/>
                  </w:rPr>
                </w:pPr>
                <w:r w:rsidRPr="00496862">
                  <w:rPr>
                    <w:rFonts w:ascii="Times New Roman" w:eastAsia="Times New Roman" w:hAnsi="Times New Roman"/>
                    <w:b/>
                    <w:bCs/>
                    <w:sz w:val="18"/>
                    <w:szCs w:val="18"/>
                  </w:rPr>
                  <w:t>CÓDIGO CONTABLE</w:t>
                </w:r>
              </w:p>
            </w:tc>
            <w:tc>
              <w:tcPr>
                <w:tcW w:w="553" w:type="dxa"/>
                <w:tcMar>
                  <w:left w:w="70" w:type="dxa"/>
                  <w:right w:w="70" w:type="dxa"/>
                </w:tcMar>
                <w:vAlign w:val="center"/>
              </w:tcPr>
              <w:p w14:paraId="4E325DFB" w14:textId="2F78AA96" w:rsidR="0E4E29E4" w:rsidRPr="00496862" w:rsidRDefault="0E4E29E4" w:rsidP="0E4E29E4">
                <w:pPr>
                  <w:spacing w:after="0"/>
                  <w:ind w:left="-20" w:right="-20"/>
                  <w:jc w:val="center"/>
                  <w:rPr>
                    <w:sz w:val="18"/>
                    <w:szCs w:val="18"/>
                  </w:rPr>
                </w:pPr>
                <w:r w:rsidRPr="00496862">
                  <w:rPr>
                    <w:rFonts w:ascii="Times New Roman" w:eastAsia="Times New Roman" w:hAnsi="Times New Roman"/>
                    <w:b/>
                    <w:bCs/>
                    <w:sz w:val="18"/>
                    <w:szCs w:val="18"/>
                  </w:rPr>
                  <w:t>NAT</w:t>
                </w:r>
              </w:p>
            </w:tc>
            <w:tc>
              <w:tcPr>
                <w:tcW w:w="3200" w:type="dxa"/>
                <w:tcMar>
                  <w:left w:w="70" w:type="dxa"/>
                  <w:right w:w="70" w:type="dxa"/>
                </w:tcMar>
                <w:vAlign w:val="center"/>
              </w:tcPr>
              <w:p w14:paraId="362D6B27" w14:textId="002EAAD3" w:rsidR="0E4E29E4" w:rsidRPr="00496862" w:rsidRDefault="0E4E29E4" w:rsidP="0E4E29E4">
                <w:pPr>
                  <w:spacing w:after="0"/>
                  <w:ind w:left="-20" w:right="-20"/>
                  <w:jc w:val="center"/>
                  <w:rPr>
                    <w:sz w:val="18"/>
                    <w:szCs w:val="18"/>
                  </w:rPr>
                </w:pPr>
                <w:r w:rsidRPr="00496862">
                  <w:rPr>
                    <w:rFonts w:ascii="Times New Roman" w:eastAsia="Times New Roman" w:hAnsi="Times New Roman"/>
                    <w:b/>
                    <w:bCs/>
                    <w:sz w:val="18"/>
                    <w:szCs w:val="18"/>
                  </w:rPr>
                  <w:t>CONCEPTO</w:t>
                </w:r>
              </w:p>
            </w:tc>
            <w:tc>
              <w:tcPr>
                <w:tcW w:w="1481" w:type="dxa"/>
                <w:tcMar>
                  <w:left w:w="70" w:type="dxa"/>
                  <w:right w:w="70" w:type="dxa"/>
                </w:tcMar>
                <w:vAlign w:val="center"/>
              </w:tcPr>
              <w:p w14:paraId="5C8F4164" w14:textId="5A30D9C5" w:rsidR="0E4E29E4" w:rsidRPr="00496862" w:rsidRDefault="0E4E29E4" w:rsidP="0E4E29E4">
                <w:pPr>
                  <w:spacing w:after="0"/>
                  <w:ind w:left="-20" w:right="-20"/>
                  <w:jc w:val="center"/>
                  <w:rPr>
                    <w:sz w:val="18"/>
                    <w:szCs w:val="18"/>
                  </w:rPr>
                </w:pPr>
                <w:r w:rsidRPr="00496862">
                  <w:rPr>
                    <w:rFonts w:ascii="Times New Roman" w:eastAsia="Times New Roman" w:hAnsi="Times New Roman"/>
                    <w:b/>
                    <w:bCs/>
                    <w:sz w:val="18"/>
                    <w:szCs w:val="18"/>
                  </w:rPr>
                  <w:t xml:space="preserve">2023 </w:t>
                </w:r>
              </w:p>
            </w:tc>
            <w:tc>
              <w:tcPr>
                <w:tcW w:w="1331" w:type="dxa"/>
                <w:tcMar>
                  <w:left w:w="70" w:type="dxa"/>
                  <w:right w:w="70" w:type="dxa"/>
                </w:tcMar>
                <w:vAlign w:val="center"/>
              </w:tcPr>
              <w:p w14:paraId="770779AD" w14:textId="4E5C8852" w:rsidR="0E4E29E4" w:rsidRPr="00496862" w:rsidRDefault="0E4E29E4" w:rsidP="0E4E29E4">
                <w:pPr>
                  <w:spacing w:after="0"/>
                  <w:ind w:left="-20" w:right="-20"/>
                  <w:jc w:val="center"/>
                  <w:rPr>
                    <w:sz w:val="18"/>
                    <w:szCs w:val="18"/>
                  </w:rPr>
                </w:pPr>
                <w:r w:rsidRPr="00496862">
                  <w:rPr>
                    <w:rFonts w:ascii="Times New Roman" w:eastAsia="Times New Roman" w:hAnsi="Times New Roman"/>
                    <w:b/>
                    <w:bCs/>
                    <w:sz w:val="18"/>
                    <w:szCs w:val="18"/>
                  </w:rPr>
                  <w:t xml:space="preserve">2022 </w:t>
                </w:r>
              </w:p>
            </w:tc>
            <w:tc>
              <w:tcPr>
                <w:tcW w:w="1495" w:type="dxa"/>
                <w:tcMar>
                  <w:left w:w="70" w:type="dxa"/>
                  <w:right w:w="70" w:type="dxa"/>
                </w:tcMar>
                <w:vAlign w:val="center"/>
              </w:tcPr>
              <w:p w14:paraId="1C0C526D" w14:textId="2679DB24" w:rsidR="0E4E29E4" w:rsidRPr="00496862" w:rsidRDefault="0E4E29E4" w:rsidP="0E4E29E4">
                <w:pPr>
                  <w:spacing w:after="0"/>
                  <w:ind w:left="-20" w:right="-20"/>
                  <w:jc w:val="center"/>
                  <w:rPr>
                    <w:sz w:val="18"/>
                    <w:szCs w:val="18"/>
                  </w:rPr>
                </w:pPr>
                <w:r w:rsidRPr="00496862">
                  <w:rPr>
                    <w:rFonts w:ascii="Times New Roman" w:eastAsia="Times New Roman" w:hAnsi="Times New Roman"/>
                    <w:b/>
                    <w:bCs/>
                    <w:sz w:val="18"/>
                    <w:szCs w:val="18"/>
                  </w:rPr>
                  <w:t>VALOR VARIACIÓN</w:t>
                </w:r>
              </w:p>
            </w:tc>
          </w:tr>
          <w:tr w:rsidR="0E4E29E4" w:rsidRPr="00496862" w14:paraId="4ECE863F" w14:textId="77777777" w:rsidTr="00CA026F">
            <w:trPr>
              <w:trHeight w:val="570"/>
            </w:trPr>
            <w:tc>
              <w:tcPr>
                <w:tcW w:w="909" w:type="dxa"/>
                <w:tcMar>
                  <w:left w:w="70" w:type="dxa"/>
                  <w:right w:w="70" w:type="dxa"/>
                </w:tcMar>
                <w:vAlign w:val="center"/>
              </w:tcPr>
              <w:p w14:paraId="4FD26589" w14:textId="095D9E9F" w:rsidR="0E4E29E4" w:rsidRPr="00496862" w:rsidRDefault="0E4E29E4" w:rsidP="0E4E29E4">
                <w:pPr>
                  <w:spacing w:after="0"/>
                  <w:ind w:left="-20" w:right="-20"/>
                  <w:rPr>
                    <w:sz w:val="18"/>
                    <w:szCs w:val="18"/>
                  </w:rPr>
                </w:pPr>
                <w:r w:rsidRPr="00496862">
                  <w:rPr>
                    <w:rFonts w:ascii="Times New Roman" w:eastAsia="Times New Roman" w:hAnsi="Times New Roman"/>
                    <w:b/>
                    <w:bCs/>
                    <w:sz w:val="18"/>
                    <w:szCs w:val="18"/>
                  </w:rPr>
                  <w:t>5.3</w:t>
                </w:r>
              </w:p>
            </w:tc>
            <w:tc>
              <w:tcPr>
                <w:tcW w:w="553" w:type="dxa"/>
                <w:tcMar>
                  <w:left w:w="70" w:type="dxa"/>
                  <w:right w:w="70" w:type="dxa"/>
                </w:tcMar>
                <w:vAlign w:val="center"/>
              </w:tcPr>
              <w:p w14:paraId="146E58FB" w14:textId="1CB68495" w:rsidR="0E4E29E4" w:rsidRPr="00496862" w:rsidRDefault="0E4E29E4" w:rsidP="0E4E29E4">
                <w:pPr>
                  <w:spacing w:after="0"/>
                  <w:ind w:left="-20" w:right="-20"/>
                  <w:jc w:val="center"/>
                  <w:rPr>
                    <w:sz w:val="18"/>
                    <w:szCs w:val="18"/>
                  </w:rPr>
                </w:pPr>
                <w:r w:rsidRPr="00496862">
                  <w:rPr>
                    <w:rFonts w:ascii="Times New Roman" w:eastAsia="Times New Roman" w:hAnsi="Times New Roman"/>
                    <w:b/>
                    <w:bCs/>
                    <w:sz w:val="18"/>
                    <w:szCs w:val="18"/>
                  </w:rPr>
                  <w:t>Db</w:t>
                </w:r>
              </w:p>
            </w:tc>
            <w:tc>
              <w:tcPr>
                <w:tcW w:w="3200" w:type="dxa"/>
                <w:tcMar>
                  <w:left w:w="70" w:type="dxa"/>
                  <w:right w:w="70" w:type="dxa"/>
                </w:tcMar>
                <w:vAlign w:val="center"/>
              </w:tcPr>
              <w:p w14:paraId="273F31DF" w14:textId="555D3FB0" w:rsidR="0E4E29E4" w:rsidRPr="00496862" w:rsidRDefault="0E4E29E4" w:rsidP="00DC085C">
                <w:pPr>
                  <w:spacing w:after="0"/>
                  <w:ind w:left="-20" w:right="-20"/>
                  <w:rPr>
                    <w:sz w:val="18"/>
                    <w:szCs w:val="18"/>
                  </w:rPr>
                </w:pPr>
                <w:r w:rsidRPr="00496862">
                  <w:rPr>
                    <w:rFonts w:ascii="Times New Roman" w:eastAsia="Times New Roman" w:hAnsi="Times New Roman"/>
                    <w:b/>
                    <w:bCs/>
                    <w:sz w:val="18"/>
                    <w:szCs w:val="18"/>
                  </w:rPr>
                  <w:t>DETERIORO, DEPRECIACIONES, AMORTIZACIONES Y PROVISIONES</w:t>
                </w:r>
              </w:p>
            </w:tc>
            <w:tc>
              <w:tcPr>
                <w:tcW w:w="1481" w:type="dxa"/>
                <w:tcMar>
                  <w:left w:w="70" w:type="dxa"/>
                  <w:right w:w="70" w:type="dxa"/>
                </w:tcMar>
                <w:vAlign w:val="center"/>
              </w:tcPr>
              <w:p w14:paraId="61CB46C8" w14:textId="17523BDD" w:rsidR="0E4E29E4" w:rsidRPr="00496862" w:rsidRDefault="0E4E29E4" w:rsidP="0E4E29E4">
                <w:pPr>
                  <w:spacing w:after="0"/>
                  <w:ind w:left="-20" w:right="-20"/>
                  <w:jc w:val="right"/>
                  <w:rPr>
                    <w:sz w:val="18"/>
                    <w:szCs w:val="18"/>
                  </w:rPr>
                </w:pPr>
                <w:r w:rsidRPr="00496862">
                  <w:rPr>
                    <w:rFonts w:ascii="Times New Roman" w:eastAsia="Times New Roman" w:hAnsi="Times New Roman"/>
                    <w:b/>
                    <w:bCs/>
                    <w:sz w:val="18"/>
                    <w:szCs w:val="18"/>
                  </w:rPr>
                  <w:t>2.251.292.305.788</w:t>
                </w:r>
              </w:p>
            </w:tc>
            <w:tc>
              <w:tcPr>
                <w:tcW w:w="1331" w:type="dxa"/>
                <w:tcMar>
                  <w:left w:w="70" w:type="dxa"/>
                  <w:right w:w="70" w:type="dxa"/>
                </w:tcMar>
                <w:vAlign w:val="center"/>
              </w:tcPr>
              <w:p w14:paraId="06E224D5" w14:textId="29AEA83B" w:rsidR="0E4E29E4" w:rsidRPr="00496862" w:rsidRDefault="0E4E29E4" w:rsidP="0E4E29E4">
                <w:pPr>
                  <w:spacing w:after="0"/>
                  <w:ind w:left="-20" w:right="-20"/>
                  <w:jc w:val="right"/>
                  <w:rPr>
                    <w:sz w:val="18"/>
                    <w:szCs w:val="18"/>
                  </w:rPr>
                </w:pPr>
                <w:r w:rsidRPr="00496862">
                  <w:rPr>
                    <w:rFonts w:ascii="Times New Roman" w:eastAsia="Times New Roman" w:hAnsi="Times New Roman"/>
                    <w:b/>
                    <w:bCs/>
                    <w:sz w:val="18"/>
                    <w:szCs w:val="18"/>
                  </w:rPr>
                  <w:t>856.969.681.043</w:t>
                </w:r>
              </w:p>
            </w:tc>
            <w:tc>
              <w:tcPr>
                <w:tcW w:w="1495" w:type="dxa"/>
                <w:tcMar>
                  <w:left w:w="70" w:type="dxa"/>
                  <w:right w:w="70" w:type="dxa"/>
                </w:tcMar>
                <w:vAlign w:val="center"/>
              </w:tcPr>
              <w:p w14:paraId="723767A1" w14:textId="77354B7F" w:rsidR="0E4E29E4" w:rsidRPr="00496862" w:rsidRDefault="0E4E29E4" w:rsidP="0E4E29E4">
                <w:pPr>
                  <w:spacing w:after="0"/>
                  <w:ind w:left="-20" w:right="-20"/>
                  <w:jc w:val="right"/>
                  <w:rPr>
                    <w:sz w:val="18"/>
                    <w:szCs w:val="18"/>
                  </w:rPr>
                </w:pPr>
                <w:r w:rsidRPr="00496862">
                  <w:rPr>
                    <w:rFonts w:ascii="Times New Roman" w:eastAsia="Times New Roman" w:hAnsi="Times New Roman"/>
                    <w:b/>
                    <w:bCs/>
                    <w:sz w:val="18"/>
                    <w:szCs w:val="18"/>
                  </w:rPr>
                  <w:t>1.394.322.624.745</w:t>
                </w:r>
              </w:p>
            </w:tc>
          </w:tr>
          <w:tr w:rsidR="0E4E29E4" w:rsidRPr="00496862" w14:paraId="6542FEEF" w14:textId="77777777" w:rsidTr="00CA026F">
            <w:trPr>
              <w:trHeight w:val="285"/>
            </w:trPr>
            <w:tc>
              <w:tcPr>
                <w:tcW w:w="909" w:type="dxa"/>
                <w:tcMar>
                  <w:left w:w="70" w:type="dxa"/>
                  <w:right w:w="70" w:type="dxa"/>
                </w:tcMar>
                <w:vAlign w:val="center"/>
              </w:tcPr>
              <w:p w14:paraId="1A523066" w14:textId="41B963CB" w:rsidR="0E4E29E4" w:rsidRPr="00496862" w:rsidRDefault="0E4E29E4" w:rsidP="0E4E29E4">
                <w:pPr>
                  <w:spacing w:after="0"/>
                  <w:ind w:left="-20" w:right="-20"/>
                  <w:rPr>
                    <w:sz w:val="18"/>
                    <w:szCs w:val="18"/>
                  </w:rPr>
                </w:pPr>
                <w:r w:rsidRPr="00496862">
                  <w:rPr>
                    <w:rFonts w:ascii="Times New Roman" w:eastAsia="Times New Roman" w:hAnsi="Times New Roman"/>
                    <w:b/>
                    <w:bCs/>
                    <w:sz w:val="18"/>
                    <w:szCs w:val="18"/>
                  </w:rPr>
                  <w:t xml:space="preserve"> </w:t>
                </w:r>
              </w:p>
            </w:tc>
            <w:tc>
              <w:tcPr>
                <w:tcW w:w="553" w:type="dxa"/>
                <w:tcMar>
                  <w:left w:w="70" w:type="dxa"/>
                  <w:right w:w="70" w:type="dxa"/>
                </w:tcMar>
                <w:vAlign w:val="center"/>
              </w:tcPr>
              <w:p w14:paraId="03D633BD" w14:textId="1967E473" w:rsidR="0E4E29E4" w:rsidRPr="00496862" w:rsidRDefault="0E4E29E4" w:rsidP="0E4E29E4">
                <w:pPr>
                  <w:spacing w:after="0"/>
                  <w:ind w:left="-20" w:right="-20"/>
                  <w:jc w:val="center"/>
                  <w:rPr>
                    <w:sz w:val="18"/>
                    <w:szCs w:val="18"/>
                  </w:rPr>
                </w:pPr>
                <w:r w:rsidRPr="00496862">
                  <w:rPr>
                    <w:rFonts w:ascii="Times New Roman" w:eastAsia="Times New Roman" w:hAnsi="Times New Roman"/>
                    <w:b/>
                    <w:bCs/>
                    <w:sz w:val="18"/>
                    <w:szCs w:val="18"/>
                  </w:rPr>
                  <w:t>Db</w:t>
                </w:r>
              </w:p>
            </w:tc>
            <w:tc>
              <w:tcPr>
                <w:tcW w:w="3200" w:type="dxa"/>
                <w:tcMar>
                  <w:left w:w="70" w:type="dxa"/>
                  <w:right w:w="70" w:type="dxa"/>
                </w:tcMar>
                <w:vAlign w:val="center"/>
              </w:tcPr>
              <w:p w14:paraId="3FAAB60E" w14:textId="2AA2FBD7" w:rsidR="0E4E29E4" w:rsidRPr="00496862" w:rsidRDefault="0E4E29E4" w:rsidP="0E4E29E4">
                <w:pPr>
                  <w:spacing w:after="0"/>
                  <w:ind w:left="-20" w:right="-20"/>
                  <w:rPr>
                    <w:sz w:val="18"/>
                    <w:szCs w:val="18"/>
                  </w:rPr>
                </w:pPr>
                <w:r w:rsidRPr="00496862">
                  <w:rPr>
                    <w:rFonts w:ascii="Times New Roman" w:eastAsia="Times New Roman" w:hAnsi="Times New Roman"/>
                    <w:b/>
                    <w:bCs/>
                    <w:sz w:val="18"/>
                    <w:szCs w:val="18"/>
                  </w:rPr>
                  <w:t>DETERIORO (2)</w:t>
                </w:r>
              </w:p>
            </w:tc>
            <w:tc>
              <w:tcPr>
                <w:tcW w:w="1481" w:type="dxa"/>
                <w:tcMar>
                  <w:left w:w="70" w:type="dxa"/>
                  <w:right w:w="70" w:type="dxa"/>
                </w:tcMar>
                <w:vAlign w:val="center"/>
              </w:tcPr>
              <w:p w14:paraId="11183993" w14:textId="0ACFB8EE" w:rsidR="0E4E29E4" w:rsidRPr="00496862" w:rsidRDefault="0E4E29E4" w:rsidP="0E4E29E4">
                <w:pPr>
                  <w:spacing w:after="0"/>
                  <w:ind w:left="-20" w:right="-20"/>
                  <w:jc w:val="right"/>
                  <w:rPr>
                    <w:sz w:val="18"/>
                    <w:szCs w:val="18"/>
                  </w:rPr>
                </w:pPr>
                <w:r w:rsidRPr="00496862">
                  <w:rPr>
                    <w:rFonts w:ascii="Times New Roman" w:eastAsia="Times New Roman" w:hAnsi="Times New Roman"/>
                    <w:b/>
                    <w:bCs/>
                    <w:sz w:val="18"/>
                    <w:szCs w:val="18"/>
                  </w:rPr>
                  <w:t>296.210.724.287</w:t>
                </w:r>
              </w:p>
            </w:tc>
            <w:tc>
              <w:tcPr>
                <w:tcW w:w="1331" w:type="dxa"/>
                <w:tcMar>
                  <w:left w:w="70" w:type="dxa"/>
                  <w:right w:w="70" w:type="dxa"/>
                </w:tcMar>
                <w:vAlign w:val="center"/>
              </w:tcPr>
              <w:p w14:paraId="7E51DCF2" w14:textId="282DE1BA" w:rsidR="0E4E29E4" w:rsidRPr="00496862" w:rsidRDefault="0E4E29E4" w:rsidP="0E4E29E4">
                <w:pPr>
                  <w:spacing w:after="0"/>
                  <w:ind w:left="-20" w:right="-20"/>
                  <w:jc w:val="right"/>
                  <w:rPr>
                    <w:sz w:val="18"/>
                    <w:szCs w:val="18"/>
                  </w:rPr>
                </w:pPr>
                <w:r w:rsidRPr="00496862">
                  <w:rPr>
                    <w:rFonts w:ascii="Times New Roman" w:eastAsia="Times New Roman" w:hAnsi="Times New Roman"/>
                    <w:b/>
                    <w:bCs/>
                    <w:sz w:val="18"/>
                    <w:szCs w:val="18"/>
                  </w:rPr>
                  <w:t>42.735.702.690</w:t>
                </w:r>
              </w:p>
            </w:tc>
            <w:tc>
              <w:tcPr>
                <w:tcW w:w="1495" w:type="dxa"/>
                <w:tcMar>
                  <w:left w:w="70" w:type="dxa"/>
                  <w:right w:w="70" w:type="dxa"/>
                </w:tcMar>
                <w:vAlign w:val="center"/>
              </w:tcPr>
              <w:p w14:paraId="2682B3CA" w14:textId="3EFA2DB1" w:rsidR="0E4E29E4" w:rsidRPr="00496862" w:rsidRDefault="0E4E29E4" w:rsidP="0E4E29E4">
                <w:pPr>
                  <w:spacing w:after="0"/>
                  <w:ind w:left="-20" w:right="-20"/>
                  <w:jc w:val="right"/>
                  <w:rPr>
                    <w:sz w:val="18"/>
                    <w:szCs w:val="18"/>
                  </w:rPr>
                </w:pPr>
                <w:r w:rsidRPr="00496862">
                  <w:rPr>
                    <w:rFonts w:ascii="Times New Roman" w:eastAsia="Times New Roman" w:hAnsi="Times New Roman"/>
                    <w:b/>
                    <w:bCs/>
                    <w:sz w:val="18"/>
                    <w:szCs w:val="18"/>
                  </w:rPr>
                  <w:t>253.475.021.598</w:t>
                </w:r>
              </w:p>
            </w:tc>
          </w:tr>
          <w:tr w:rsidR="0E4E29E4" w:rsidRPr="00496862" w14:paraId="471144D9" w14:textId="77777777" w:rsidTr="00CA026F">
            <w:trPr>
              <w:trHeight w:val="300"/>
            </w:trPr>
            <w:tc>
              <w:tcPr>
                <w:tcW w:w="909" w:type="dxa"/>
                <w:tcMar>
                  <w:left w:w="70" w:type="dxa"/>
                  <w:right w:w="70" w:type="dxa"/>
                </w:tcMar>
                <w:vAlign w:val="center"/>
              </w:tcPr>
              <w:p w14:paraId="645141EB" w14:textId="33862A91" w:rsidR="0E4E29E4" w:rsidRPr="00496862" w:rsidRDefault="0E4E29E4" w:rsidP="0E4E29E4">
                <w:pPr>
                  <w:spacing w:after="0"/>
                  <w:ind w:left="-20" w:right="-20"/>
                  <w:rPr>
                    <w:sz w:val="18"/>
                    <w:szCs w:val="18"/>
                  </w:rPr>
                </w:pPr>
                <w:r w:rsidRPr="00496862">
                  <w:rPr>
                    <w:rFonts w:ascii="Times New Roman" w:eastAsia="Times New Roman" w:hAnsi="Times New Roman"/>
                    <w:sz w:val="18"/>
                    <w:szCs w:val="18"/>
                  </w:rPr>
                  <w:t>5.3.47</w:t>
                </w:r>
              </w:p>
            </w:tc>
            <w:tc>
              <w:tcPr>
                <w:tcW w:w="553" w:type="dxa"/>
                <w:tcMar>
                  <w:left w:w="70" w:type="dxa"/>
                  <w:right w:w="70" w:type="dxa"/>
                </w:tcMar>
                <w:vAlign w:val="center"/>
              </w:tcPr>
              <w:p w14:paraId="23B59750" w14:textId="199DA4E7" w:rsidR="0E4E29E4" w:rsidRPr="00496862" w:rsidRDefault="0E4E29E4" w:rsidP="0E4E29E4">
                <w:pPr>
                  <w:spacing w:after="0"/>
                  <w:ind w:left="-20" w:right="-20"/>
                  <w:jc w:val="center"/>
                  <w:rPr>
                    <w:sz w:val="18"/>
                    <w:szCs w:val="18"/>
                  </w:rPr>
                </w:pPr>
                <w:r w:rsidRPr="00496862">
                  <w:rPr>
                    <w:rFonts w:ascii="Times New Roman" w:eastAsia="Times New Roman" w:hAnsi="Times New Roman"/>
                    <w:sz w:val="18"/>
                    <w:szCs w:val="18"/>
                  </w:rPr>
                  <w:t>Db</w:t>
                </w:r>
              </w:p>
            </w:tc>
            <w:tc>
              <w:tcPr>
                <w:tcW w:w="3200" w:type="dxa"/>
                <w:tcMar>
                  <w:left w:w="70" w:type="dxa"/>
                  <w:right w:w="70" w:type="dxa"/>
                </w:tcMar>
                <w:vAlign w:val="center"/>
              </w:tcPr>
              <w:p w14:paraId="1CA732F1" w14:textId="38769305" w:rsidR="0E4E29E4" w:rsidRPr="00496862" w:rsidRDefault="0E4E29E4" w:rsidP="0E4E29E4">
                <w:pPr>
                  <w:spacing w:after="0"/>
                  <w:ind w:left="-20" w:right="-20"/>
                  <w:rPr>
                    <w:sz w:val="18"/>
                    <w:szCs w:val="18"/>
                  </w:rPr>
                </w:pPr>
                <w:r w:rsidRPr="00496862">
                  <w:rPr>
                    <w:rFonts w:ascii="Times New Roman" w:eastAsia="Times New Roman" w:hAnsi="Times New Roman"/>
                    <w:sz w:val="18"/>
                    <w:szCs w:val="18"/>
                  </w:rPr>
                  <w:t>De cuentas por cobrar</w:t>
                </w:r>
              </w:p>
            </w:tc>
            <w:tc>
              <w:tcPr>
                <w:tcW w:w="1481" w:type="dxa"/>
                <w:tcMar>
                  <w:left w:w="70" w:type="dxa"/>
                  <w:right w:w="70" w:type="dxa"/>
                </w:tcMar>
                <w:vAlign w:val="center"/>
              </w:tcPr>
              <w:p w14:paraId="15F01E15" w14:textId="236E59ED" w:rsidR="0E4E29E4" w:rsidRPr="00496862" w:rsidRDefault="0E4E29E4" w:rsidP="0E4E29E4">
                <w:pPr>
                  <w:spacing w:after="0"/>
                  <w:ind w:left="-20" w:right="-20"/>
                  <w:jc w:val="right"/>
                  <w:rPr>
                    <w:sz w:val="18"/>
                    <w:szCs w:val="18"/>
                  </w:rPr>
                </w:pPr>
                <w:r w:rsidRPr="00496862">
                  <w:rPr>
                    <w:rFonts w:ascii="Times New Roman" w:eastAsia="Times New Roman" w:hAnsi="Times New Roman"/>
                    <w:sz w:val="18"/>
                    <w:szCs w:val="18"/>
                  </w:rPr>
                  <w:t>296.210.724.287</w:t>
                </w:r>
              </w:p>
            </w:tc>
            <w:tc>
              <w:tcPr>
                <w:tcW w:w="1331" w:type="dxa"/>
                <w:tcMar>
                  <w:left w:w="70" w:type="dxa"/>
                  <w:right w:w="70" w:type="dxa"/>
                </w:tcMar>
                <w:vAlign w:val="center"/>
              </w:tcPr>
              <w:p w14:paraId="087FA5E0" w14:textId="12866A75" w:rsidR="0E4E29E4" w:rsidRPr="00496862" w:rsidRDefault="0E4E29E4" w:rsidP="0E4E29E4">
                <w:pPr>
                  <w:spacing w:after="0"/>
                  <w:ind w:left="-20" w:right="-20"/>
                  <w:jc w:val="right"/>
                  <w:rPr>
                    <w:sz w:val="18"/>
                    <w:szCs w:val="18"/>
                  </w:rPr>
                </w:pPr>
                <w:r w:rsidRPr="00496862">
                  <w:rPr>
                    <w:rFonts w:ascii="Times New Roman" w:eastAsia="Times New Roman" w:hAnsi="Times New Roman"/>
                    <w:sz w:val="18"/>
                    <w:szCs w:val="18"/>
                  </w:rPr>
                  <w:t>42.735.702.690</w:t>
                </w:r>
              </w:p>
            </w:tc>
            <w:tc>
              <w:tcPr>
                <w:tcW w:w="1495" w:type="dxa"/>
                <w:tcMar>
                  <w:left w:w="70" w:type="dxa"/>
                  <w:right w:w="70" w:type="dxa"/>
                </w:tcMar>
                <w:vAlign w:val="center"/>
              </w:tcPr>
              <w:p w14:paraId="15CE1986" w14:textId="305B9A50" w:rsidR="0E4E29E4" w:rsidRPr="00496862" w:rsidRDefault="0E4E29E4" w:rsidP="0E4E29E4">
                <w:pPr>
                  <w:spacing w:after="0"/>
                  <w:ind w:left="-20" w:right="-20"/>
                  <w:jc w:val="right"/>
                  <w:rPr>
                    <w:sz w:val="18"/>
                    <w:szCs w:val="18"/>
                  </w:rPr>
                </w:pPr>
                <w:r w:rsidRPr="00496862">
                  <w:rPr>
                    <w:rFonts w:ascii="Times New Roman" w:eastAsia="Times New Roman" w:hAnsi="Times New Roman"/>
                    <w:sz w:val="18"/>
                    <w:szCs w:val="18"/>
                  </w:rPr>
                  <w:t>253.475.021.598</w:t>
                </w:r>
              </w:p>
            </w:tc>
          </w:tr>
          <w:tr w:rsidR="0E4E29E4" w:rsidRPr="00496862" w14:paraId="22D23F01" w14:textId="77777777" w:rsidTr="00CA026F">
            <w:trPr>
              <w:trHeight w:val="285"/>
            </w:trPr>
            <w:tc>
              <w:tcPr>
                <w:tcW w:w="909" w:type="dxa"/>
                <w:tcMar>
                  <w:left w:w="70" w:type="dxa"/>
                  <w:right w:w="70" w:type="dxa"/>
                </w:tcMar>
                <w:vAlign w:val="center"/>
              </w:tcPr>
              <w:p w14:paraId="041D63E0" w14:textId="01ED2E3A" w:rsidR="0E4E29E4" w:rsidRPr="00496862" w:rsidRDefault="0E4E29E4" w:rsidP="0E4E29E4">
                <w:pPr>
                  <w:spacing w:after="0"/>
                  <w:ind w:left="-20" w:right="-20"/>
                  <w:rPr>
                    <w:sz w:val="18"/>
                    <w:szCs w:val="18"/>
                  </w:rPr>
                </w:pPr>
                <w:r w:rsidRPr="00496862">
                  <w:rPr>
                    <w:rFonts w:ascii="Times New Roman" w:eastAsia="Times New Roman" w:hAnsi="Times New Roman"/>
                    <w:b/>
                    <w:bCs/>
                    <w:sz w:val="18"/>
                    <w:szCs w:val="18"/>
                  </w:rPr>
                  <w:t xml:space="preserve"> </w:t>
                </w:r>
              </w:p>
            </w:tc>
            <w:tc>
              <w:tcPr>
                <w:tcW w:w="553" w:type="dxa"/>
                <w:tcMar>
                  <w:left w:w="70" w:type="dxa"/>
                  <w:right w:w="70" w:type="dxa"/>
                </w:tcMar>
                <w:vAlign w:val="center"/>
              </w:tcPr>
              <w:p w14:paraId="02FCD571" w14:textId="3FDB79C4" w:rsidR="0E4E29E4" w:rsidRPr="00496862" w:rsidRDefault="0E4E29E4" w:rsidP="0E4E29E4">
                <w:pPr>
                  <w:spacing w:after="0"/>
                  <w:ind w:left="-20" w:right="-20"/>
                  <w:jc w:val="center"/>
                  <w:rPr>
                    <w:sz w:val="18"/>
                    <w:szCs w:val="18"/>
                  </w:rPr>
                </w:pPr>
                <w:r w:rsidRPr="00496862">
                  <w:rPr>
                    <w:rFonts w:ascii="Times New Roman" w:eastAsia="Times New Roman" w:hAnsi="Times New Roman"/>
                    <w:b/>
                    <w:bCs/>
                    <w:sz w:val="18"/>
                    <w:szCs w:val="18"/>
                  </w:rPr>
                  <w:t xml:space="preserve"> </w:t>
                </w:r>
              </w:p>
            </w:tc>
            <w:tc>
              <w:tcPr>
                <w:tcW w:w="3200" w:type="dxa"/>
                <w:tcMar>
                  <w:left w:w="70" w:type="dxa"/>
                  <w:right w:w="70" w:type="dxa"/>
                </w:tcMar>
                <w:vAlign w:val="center"/>
              </w:tcPr>
              <w:p w14:paraId="725D798C" w14:textId="5B18E185" w:rsidR="0E4E29E4" w:rsidRPr="00496862" w:rsidRDefault="0E4E29E4" w:rsidP="0E4E29E4">
                <w:pPr>
                  <w:spacing w:after="0"/>
                  <w:ind w:left="-20" w:right="-20"/>
                  <w:rPr>
                    <w:sz w:val="18"/>
                    <w:szCs w:val="18"/>
                  </w:rPr>
                </w:pPr>
                <w:r w:rsidRPr="00496862">
                  <w:rPr>
                    <w:rFonts w:ascii="Times New Roman" w:eastAsia="Times New Roman" w:hAnsi="Times New Roman"/>
                    <w:b/>
                    <w:bCs/>
                    <w:sz w:val="18"/>
                    <w:szCs w:val="18"/>
                  </w:rPr>
                  <w:t>DEPRECIACIÓN</w:t>
                </w:r>
              </w:p>
            </w:tc>
            <w:tc>
              <w:tcPr>
                <w:tcW w:w="1481" w:type="dxa"/>
                <w:tcMar>
                  <w:left w:w="70" w:type="dxa"/>
                  <w:right w:w="70" w:type="dxa"/>
                </w:tcMar>
                <w:vAlign w:val="center"/>
              </w:tcPr>
              <w:p w14:paraId="5A9FD706" w14:textId="0AF35E08" w:rsidR="0E4E29E4" w:rsidRPr="00496862" w:rsidRDefault="0E4E29E4" w:rsidP="0E4E29E4">
                <w:pPr>
                  <w:spacing w:after="0"/>
                  <w:ind w:left="-20" w:right="-20"/>
                  <w:jc w:val="right"/>
                  <w:rPr>
                    <w:sz w:val="18"/>
                    <w:szCs w:val="18"/>
                  </w:rPr>
                </w:pPr>
                <w:r w:rsidRPr="00496862">
                  <w:rPr>
                    <w:rFonts w:ascii="Times New Roman" w:eastAsia="Times New Roman" w:hAnsi="Times New Roman"/>
                    <w:b/>
                    <w:bCs/>
                    <w:sz w:val="18"/>
                    <w:szCs w:val="18"/>
                  </w:rPr>
                  <w:t>33.375.540.833</w:t>
                </w:r>
              </w:p>
            </w:tc>
            <w:tc>
              <w:tcPr>
                <w:tcW w:w="1331" w:type="dxa"/>
                <w:tcMar>
                  <w:left w:w="70" w:type="dxa"/>
                  <w:right w:w="70" w:type="dxa"/>
                </w:tcMar>
                <w:vAlign w:val="center"/>
              </w:tcPr>
              <w:p w14:paraId="5E42E73C" w14:textId="040F4CF0" w:rsidR="0E4E29E4" w:rsidRPr="00496862" w:rsidRDefault="0E4E29E4" w:rsidP="0E4E29E4">
                <w:pPr>
                  <w:spacing w:after="0"/>
                  <w:ind w:left="-20" w:right="-20"/>
                  <w:jc w:val="right"/>
                  <w:rPr>
                    <w:sz w:val="18"/>
                    <w:szCs w:val="18"/>
                  </w:rPr>
                </w:pPr>
                <w:r w:rsidRPr="00496862">
                  <w:rPr>
                    <w:rFonts w:ascii="Times New Roman" w:eastAsia="Times New Roman" w:hAnsi="Times New Roman"/>
                    <w:b/>
                    <w:bCs/>
                    <w:sz w:val="18"/>
                    <w:szCs w:val="18"/>
                  </w:rPr>
                  <w:t>32.691.556.840</w:t>
                </w:r>
              </w:p>
            </w:tc>
            <w:tc>
              <w:tcPr>
                <w:tcW w:w="1495" w:type="dxa"/>
                <w:tcMar>
                  <w:left w:w="70" w:type="dxa"/>
                  <w:right w:w="70" w:type="dxa"/>
                </w:tcMar>
                <w:vAlign w:val="center"/>
              </w:tcPr>
              <w:p w14:paraId="21E33EB1" w14:textId="6FD9100B" w:rsidR="0E4E29E4" w:rsidRPr="00496862" w:rsidRDefault="0E4E29E4" w:rsidP="0E4E29E4">
                <w:pPr>
                  <w:spacing w:after="0"/>
                  <w:ind w:left="-20" w:right="-20"/>
                  <w:jc w:val="right"/>
                  <w:rPr>
                    <w:sz w:val="18"/>
                    <w:szCs w:val="18"/>
                  </w:rPr>
                </w:pPr>
                <w:r w:rsidRPr="00496862">
                  <w:rPr>
                    <w:rFonts w:ascii="Times New Roman" w:eastAsia="Times New Roman" w:hAnsi="Times New Roman"/>
                    <w:b/>
                    <w:bCs/>
                    <w:sz w:val="18"/>
                    <w:szCs w:val="18"/>
                  </w:rPr>
                  <w:t>683.983.993</w:t>
                </w:r>
              </w:p>
            </w:tc>
          </w:tr>
          <w:tr w:rsidR="0E4E29E4" w:rsidRPr="00496862" w14:paraId="44F51F42" w14:textId="77777777" w:rsidTr="00CA026F">
            <w:trPr>
              <w:trHeight w:val="300"/>
            </w:trPr>
            <w:tc>
              <w:tcPr>
                <w:tcW w:w="909" w:type="dxa"/>
                <w:tcMar>
                  <w:left w:w="70" w:type="dxa"/>
                  <w:right w:w="70" w:type="dxa"/>
                </w:tcMar>
                <w:vAlign w:val="center"/>
              </w:tcPr>
              <w:p w14:paraId="094EEBA0" w14:textId="22A9600C" w:rsidR="0E4E29E4" w:rsidRPr="00496862" w:rsidRDefault="0E4E29E4" w:rsidP="0E4E29E4">
                <w:pPr>
                  <w:spacing w:after="0"/>
                  <w:ind w:left="-20" w:right="-20"/>
                  <w:rPr>
                    <w:sz w:val="18"/>
                    <w:szCs w:val="18"/>
                  </w:rPr>
                </w:pPr>
                <w:r w:rsidRPr="00496862">
                  <w:rPr>
                    <w:rFonts w:ascii="Times New Roman" w:eastAsia="Times New Roman" w:hAnsi="Times New Roman"/>
                    <w:sz w:val="18"/>
                    <w:szCs w:val="18"/>
                  </w:rPr>
                  <w:t>5.3.60</w:t>
                </w:r>
              </w:p>
            </w:tc>
            <w:tc>
              <w:tcPr>
                <w:tcW w:w="553" w:type="dxa"/>
                <w:tcMar>
                  <w:left w:w="70" w:type="dxa"/>
                  <w:right w:w="70" w:type="dxa"/>
                </w:tcMar>
                <w:vAlign w:val="center"/>
              </w:tcPr>
              <w:p w14:paraId="0C98812E" w14:textId="6B2CDAB9" w:rsidR="0E4E29E4" w:rsidRPr="00496862" w:rsidRDefault="0E4E29E4" w:rsidP="0E4E29E4">
                <w:pPr>
                  <w:spacing w:after="0"/>
                  <w:ind w:left="-20" w:right="-20"/>
                  <w:jc w:val="center"/>
                  <w:rPr>
                    <w:sz w:val="18"/>
                    <w:szCs w:val="18"/>
                  </w:rPr>
                </w:pPr>
                <w:r w:rsidRPr="00496862">
                  <w:rPr>
                    <w:rFonts w:ascii="Times New Roman" w:eastAsia="Times New Roman" w:hAnsi="Times New Roman"/>
                    <w:sz w:val="18"/>
                    <w:szCs w:val="18"/>
                  </w:rPr>
                  <w:t>Db</w:t>
                </w:r>
              </w:p>
            </w:tc>
            <w:tc>
              <w:tcPr>
                <w:tcW w:w="3200" w:type="dxa"/>
                <w:tcMar>
                  <w:left w:w="70" w:type="dxa"/>
                  <w:right w:w="70" w:type="dxa"/>
                </w:tcMar>
                <w:vAlign w:val="center"/>
              </w:tcPr>
              <w:p w14:paraId="20862F8C" w14:textId="610B4978" w:rsidR="0E4E29E4" w:rsidRPr="00496862" w:rsidRDefault="0E4E29E4" w:rsidP="0E4E29E4">
                <w:pPr>
                  <w:spacing w:after="0"/>
                  <w:ind w:left="-20" w:right="-20"/>
                  <w:rPr>
                    <w:sz w:val="18"/>
                    <w:szCs w:val="18"/>
                  </w:rPr>
                </w:pPr>
                <w:r w:rsidRPr="00496862">
                  <w:rPr>
                    <w:rFonts w:ascii="Times New Roman" w:eastAsia="Times New Roman" w:hAnsi="Times New Roman"/>
                    <w:sz w:val="18"/>
                    <w:szCs w:val="18"/>
                  </w:rPr>
                  <w:t>De propiedades, planta y equipo</w:t>
                </w:r>
              </w:p>
            </w:tc>
            <w:tc>
              <w:tcPr>
                <w:tcW w:w="1481" w:type="dxa"/>
                <w:tcMar>
                  <w:left w:w="70" w:type="dxa"/>
                  <w:right w:w="70" w:type="dxa"/>
                </w:tcMar>
                <w:vAlign w:val="center"/>
              </w:tcPr>
              <w:p w14:paraId="6845721B" w14:textId="4380809A" w:rsidR="0E4E29E4" w:rsidRPr="00496862" w:rsidRDefault="0E4E29E4" w:rsidP="0E4E29E4">
                <w:pPr>
                  <w:spacing w:after="0"/>
                  <w:ind w:left="-20" w:right="-20"/>
                  <w:jc w:val="right"/>
                  <w:rPr>
                    <w:sz w:val="18"/>
                    <w:szCs w:val="18"/>
                  </w:rPr>
                </w:pPr>
                <w:r w:rsidRPr="00496862">
                  <w:rPr>
                    <w:rFonts w:ascii="Times New Roman" w:eastAsia="Times New Roman" w:hAnsi="Times New Roman"/>
                    <w:sz w:val="18"/>
                    <w:szCs w:val="18"/>
                  </w:rPr>
                  <w:t>1.269.848.370</w:t>
                </w:r>
              </w:p>
            </w:tc>
            <w:tc>
              <w:tcPr>
                <w:tcW w:w="1331" w:type="dxa"/>
                <w:tcMar>
                  <w:left w:w="70" w:type="dxa"/>
                  <w:right w:w="70" w:type="dxa"/>
                </w:tcMar>
                <w:vAlign w:val="center"/>
              </w:tcPr>
              <w:p w14:paraId="0FF276C9" w14:textId="31FAB61E" w:rsidR="0E4E29E4" w:rsidRPr="00496862" w:rsidRDefault="0E4E29E4" w:rsidP="0E4E29E4">
                <w:pPr>
                  <w:spacing w:after="0"/>
                  <w:ind w:left="-20" w:right="-20"/>
                  <w:jc w:val="right"/>
                  <w:rPr>
                    <w:sz w:val="18"/>
                    <w:szCs w:val="18"/>
                  </w:rPr>
                </w:pPr>
                <w:r w:rsidRPr="00496862">
                  <w:rPr>
                    <w:rFonts w:ascii="Times New Roman" w:eastAsia="Times New Roman" w:hAnsi="Times New Roman"/>
                    <w:sz w:val="18"/>
                    <w:szCs w:val="18"/>
                  </w:rPr>
                  <w:t>3.001.361.194</w:t>
                </w:r>
              </w:p>
            </w:tc>
            <w:tc>
              <w:tcPr>
                <w:tcW w:w="1495" w:type="dxa"/>
                <w:tcMar>
                  <w:left w:w="70" w:type="dxa"/>
                  <w:right w:w="70" w:type="dxa"/>
                </w:tcMar>
                <w:vAlign w:val="center"/>
              </w:tcPr>
              <w:p w14:paraId="5C3D1B9D" w14:textId="0813B688" w:rsidR="0E4E29E4" w:rsidRPr="00496862" w:rsidRDefault="0E4E29E4" w:rsidP="0E4E29E4">
                <w:pPr>
                  <w:spacing w:after="0"/>
                  <w:ind w:left="-20" w:right="-20"/>
                  <w:jc w:val="right"/>
                  <w:rPr>
                    <w:sz w:val="18"/>
                    <w:szCs w:val="18"/>
                  </w:rPr>
                </w:pPr>
                <w:r w:rsidRPr="00496862">
                  <w:rPr>
                    <w:rFonts w:ascii="Times New Roman" w:eastAsia="Times New Roman" w:hAnsi="Times New Roman"/>
                    <w:sz w:val="18"/>
                    <w:szCs w:val="18"/>
                  </w:rPr>
                  <w:t>-1.731.512.823</w:t>
                </w:r>
              </w:p>
            </w:tc>
          </w:tr>
          <w:tr w:rsidR="0E4E29E4" w:rsidRPr="00496862" w14:paraId="378B22A3" w14:textId="77777777" w:rsidTr="00CA026F">
            <w:trPr>
              <w:trHeight w:val="300"/>
            </w:trPr>
            <w:tc>
              <w:tcPr>
                <w:tcW w:w="909" w:type="dxa"/>
                <w:tcMar>
                  <w:left w:w="70" w:type="dxa"/>
                  <w:right w:w="70" w:type="dxa"/>
                </w:tcMar>
                <w:vAlign w:val="center"/>
              </w:tcPr>
              <w:p w14:paraId="751E6A5B" w14:textId="4D18BDB4" w:rsidR="0E4E29E4" w:rsidRPr="00496862" w:rsidRDefault="0E4E29E4" w:rsidP="0E4E29E4">
                <w:pPr>
                  <w:spacing w:after="0"/>
                  <w:ind w:left="-20" w:right="-20"/>
                  <w:rPr>
                    <w:sz w:val="18"/>
                    <w:szCs w:val="18"/>
                  </w:rPr>
                </w:pPr>
                <w:r w:rsidRPr="00496862">
                  <w:rPr>
                    <w:rFonts w:ascii="Times New Roman" w:eastAsia="Times New Roman" w:hAnsi="Times New Roman"/>
                    <w:sz w:val="18"/>
                    <w:szCs w:val="18"/>
                  </w:rPr>
                  <w:t>5.3.64</w:t>
                </w:r>
              </w:p>
            </w:tc>
            <w:tc>
              <w:tcPr>
                <w:tcW w:w="553" w:type="dxa"/>
                <w:tcMar>
                  <w:left w:w="70" w:type="dxa"/>
                  <w:right w:w="70" w:type="dxa"/>
                </w:tcMar>
                <w:vAlign w:val="center"/>
              </w:tcPr>
              <w:p w14:paraId="57953326" w14:textId="3927AF78" w:rsidR="0E4E29E4" w:rsidRPr="00496862" w:rsidRDefault="0E4E29E4" w:rsidP="0E4E29E4">
                <w:pPr>
                  <w:spacing w:after="0"/>
                  <w:ind w:left="-20" w:right="-20"/>
                  <w:jc w:val="center"/>
                  <w:rPr>
                    <w:sz w:val="18"/>
                    <w:szCs w:val="18"/>
                  </w:rPr>
                </w:pPr>
                <w:r w:rsidRPr="00496862">
                  <w:rPr>
                    <w:rFonts w:ascii="Times New Roman" w:eastAsia="Times New Roman" w:hAnsi="Times New Roman"/>
                    <w:sz w:val="18"/>
                    <w:szCs w:val="18"/>
                  </w:rPr>
                  <w:t>Db</w:t>
                </w:r>
              </w:p>
            </w:tc>
            <w:tc>
              <w:tcPr>
                <w:tcW w:w="3200" w:type="dxa"/>
                <w:tcMar>
                  <w:left w:w="70" w:type="dxa"/>
                  <w:right w:w="70" w:type="dxa"/>
                </w:tcMar>
                <w:vAlign w:val="center"/>
              </w:tcPr>
              <w:p w14:paraId="18E460A7" w14:textId="2F96088D" w:rsidR="0E4E29E4" w:rsidRPr="00496862" w:rsidRDefault="0E4E29E4" w:rsidP="0E4E29E4">
                <w:pPr>
                  <w:spacing w:after="0"/>
                  <w:ind w:left="-20" w:right="-20"/>
                  <w:rPr>
                    <w:sz w:val="18"/>
                    <w:szCs w:val="18"/>
                  </w:rPr>
                </w:pPr>
                <w:r w:rsidRPr="00496862">
                  <w:rPr>
                    <w:rFonts w:ascii="Times New Roman" w:eastAsia="Times New Roman" w:hAnsi="Times New Roman"/>
                    <w:sz w:val="18"/>
                    <w:szCs w:val="18"/>
                  </w:rPr>
                  <w:t>De bienes de uso público en servicio</w:t>
                </w:r>
              </w:p>
            </w:tc>
            <w:tc>
              <w:tcPr>
                <w:tcW w:w="1481" w:type="dxa"/>
                <w:tcMar>
                  <w:left w:w="70" w:type="dxa"/>
                  <w:right w:w="70" w:type="dxa"/>
                </w:tcMar>
                <w:vAlign w:val="center"/>
              </w:tcPr>
              <w:p w14:paraId="4A218F0D" w14:textId="0156B07C" w:rsidR="0E4E29E4" w:rsidRPr="00496862" w:rsidRDefault="0E4E29E4" w:rsidP="0E4E29E4">
                <w:pPr>
                  <w:spacing w:after="0"/>
                  <w:ind w:left="-20" w:right="-20"/>
                  <w:jc w:val="right"/>
                  <w:rPr>
                    <w:sz w:val="18"/>
                    <w:szCs w:val="18"/>
                  </w:rPr>
                </w:pPr>
                <w:r w:rsidRPr="00496862">
                  <w:rPr>
                    <w:rFonts w:ascii="Times New Roman" w:eastAsia="Times New Roman" w:hAnsi="Times New Roman"/>
                    <w:sz w:val="18"/>
                    <w:szCs w:val="18"/>
                  </w:rPr>
                  <w:t>27.897.376.780</w:t>
                </w:r>
              </w:p>
            </w:tc>
            <w:tc>
              <w:tcPr>
                <w:tcW w:w="1331" w:type="dxa"/>
                <w:tcMar>
                  <w:left w:w="70" w:type="dxa"/>
                  <w:right w:w="70" w:type="dxa"/>
                </w:tcMar>
                <w:vAlign w:val="center"/>
              </w:tcPr>
              <w:p w14:paraId="3E99B3A3" w14:textId="78B5DFB7" w:rsidR="0E4E29E4" w:rsidRPr="00496862" w:rsidRDefault="0E4E29E4" w:rsidP="0E4E29E4">
                <w:pPr>
                  <w:spacing w:after="0"/>
                  <w:ind w:left="-20" w:right="-20"/>
                  <w:jc w:val="right"/>
                  <w:rPr>
                    <w:sz w:val="18"/>
                    <w:szCs w:val="18"/>
                  </w:rPr>
                </w:pPr>
                <w:r w:rsidRPr="00496862">
                  <w:rPr>
                    <w:rFonts w:ascii="Times New Roman" w:eastAsia="Times New Roman" w:hAnsi="Times New Roman"/>
                    <w:sz w:val="18"/>
                    <w:szCs w:val="18"/>
                  </w:rPr>
                  <w:t>26.067.168.289</w:t>
                </w:r>
              </w:p>
            </w:tc>
            <w:tc>
              <w:tcPr>
                <w:tcW w:w="1495" w:type="dxa"/>
                <w:tcMar>
                  <w:left w:w="70" w:type="dxa"/>
                  <w:right w:w="70" w:type="dxa"/>
                </w:tcMar>
                <w:vAlign w:val="center"/>
              </w:tcPr>
              <w:p w14:paraId="7BB6D940" w14:textId="7F3A0171" w:rsidR="0E4E29E4" w:rsidRPr="00496862" w:rsidRDefault="0E4E29E4" w:rsidP="0E4E29E4">
                <w:pPr>
                  <w:spacing w:after="0"/>
                  <w:ind w:left="-20" w:right="-20"/>
                  <w:jc w:val="right"/>
                  <w:rPr>
                    <w:sz w:val="18"/>
                    <w:szCs w:val="18"/>
                  </w:rPr>
                </w:pPr>
                <w:r w:rsidRPr="00496862">
                  <w:rPr>
                    <w:rFonts w:ascii="Times New Roman" w:eastAsia="Times New Roman" w:hAnsi="Times New Roman"/>
                    <w:sz w:val="18"/>
                    <w:szCs w:val="18"/>
                  </w:rPr>
                  <w:t>1.830.208.492</w:t>
                </w:r>
              </w:p>
            </w:tc>
          </w:tr>
          <w:tr w:rsidR="0E4E29E4" w:rsidRPr="00496862" w14:paraId="42C73363" w14:textId="77777777" w:rsidTr="00CA026F">
            <w:trPr>
              <w:trHeight w:val="300"/>
            </w:trPr>
            <w:tc>
              <w:tcPr>
                <w:tcW w:w="909" w:type="dxa"/>
                <w:tcMar>
                  <w:left w:w="70" w:type="dxa"/>
                  <w:right w:w="70" w:type="dxa"/>
                </w:tcMar>
                <w:vAlign w:val="center"/>
              </w:tcPr>
              <w:p w14:paraId="5C41DFFC" w14:textId="289898CA" w:rsidR="0E4E29E4" w:rsidRPr="00496862" w:rsidRDefault="0E4E29E4" w:rsidP="0E4E29E4">
                <w:pPr>
                  <w:spacing w:after="0"/>
                  <w:ind w:left="-20" w:right="-20"/>
                  <w:rPr>
                    <w:sz w:val="18"/>
                    <w:szCs w:val="18"/>
                  </w:rPr>
                </w:pPr>
                <w:r w:rsidRPr="00496862">
                  <w:rPr>
                    <w:rFonts w:ascii="Times New Roman" w:eastAsia="Times New Roman" w:hAnsi="Times New Roman"/>
                    <w:sz w:val="18"/>
                    <w:szCs w:val="18"/>
                  </w:rPr>
                  <w:t>5.3.75</w:t>
                </w:r>
              </w:p>
            </w:tc>
            <w:tc>
              <w:tcPr>
                <w:tcW w:w="553" w:type="dxa"/>
                <w:tcMar>
                  <w:left w:w="70" w:type="dxa"/>
                  <w:right w:w="70" w:type="dxa"/>
                </w:tcMar>
                <w:vAlign w:val="center"/>
              </w:tcPr>
              <w:p w14:paraId="260B9CDC" w14:textId="79AAE2D7" w:rsidR="0E4E29E4" w:rsidRPr="00496862" w:rsidRDefault="0E4E29E4" w:rsidP="0E4E29E4">
                <w:pPr>
                  <w:spacing w:after="0"/>
                  <w:ind w:left="-20" w:right="-20"/>
                  <w:jc w:val="center"/>
                  <w:rPr>
                    <w:sz w:val="18"/>
                    <w:szCs w:val="18"/>
                  </w:rPr>
                </w:pPr>
                <w:r w:rsidRPr="00496862">
                  <w:rPr>
                    <w:rFonts w:ascii="Times New Roman" w:eastAsia="Times New Roman" w:hAnsi="Times New Roman"/>
                    <w:sz w:val="18"/>
                    <w:szCs w:val="18"/>
                  </w:rPr>
                  <w:t>Db</w:t>
                </w:r>
              </w:p>
            </w:tc>
            <w:tc>
              <w:tcPr>
                <w:tcW w:w="3200" w:type="dxa"/>
                <w:tcMar>
                  <w:left w:w="70" w:type="dxa"/>
                  <w:right w:w="70" w:type="dxa"/>
                </w:tcMar>
                <w:vAlign w:val="center"/>
              </w:tcPr>
              <w:p w14:paraId="331E06FA" w14:textId="046138A2" w:rsidR="0E4E29E4" w:rsidRPr="00496862" w:rsidRDefault="0E4E29E4" w:rsidP="0E4E29E4">
                <w:pPr>
                  <w:spacing w:after="0"/>
                  <w:ind w:left="-20" w:right="-20"/>
                  <w:rPr>
                    <w:sz w:val="18"/>
                    <w:szCs w:val="18"/>
                  </w:rPr>
                </w:pPr>
                <w:r w:rsidRPr="00496862">
                  <w:rPr>
                    <w:rFonts w:ascii="Times New Roman" w:eastAsia="Times New Roman" w:hAnsi="Times New Roman"/>
                    <w:sz w:val="18"/>
                    <w:szCs w:val="18"/>
                  </w:rPr>
                  <w:t>De bienes de uso público en servicio- concesiones</w:t>
                </w:r>
              </w:p>
            </w:tc>
            <w:tc>
              <w:tcPr>
                <w:tcW w:w="1481" w:type="dxa"/>
                <w:tcMar>
                  <w:left w:w="70" w:type="dxa"/>
                  <w:right w:w="70" w:type="dxa"/>
                </w:tcMar>
                <w:vAlign w:val="center"/>
              </w:tcPr>
              <w:p w14:paraId="61BACF1F" w14:textId="49AA655A" w:rsidR="0E4E29E4" w:rsidRPr="00496862" w:rsidRDefault="0E4E29E4" w:rsidP="0E4E29E4">
                <w:pPr>
                  <w:spacing w:after="0"/>
                  <w:ind w:left="-20" w:right="-20"/>
                  <w:jc w:val="right"/>
                  <w:rPr>
                    <w:sz w:val="18"/>
                    <w:szCs w:val="18"/>
                  </w:rPr>
                </w:pPr>
                <w:r w:rsidRPr="00496862">
                  <w:rPr>
                    <w:rFonts w:ascii="Times New Roman" w:eastAsia="Times New Roman" w:hAnsi="Times New Roman"/>
                    <w:sz w:val="18"/>
                    <w:szCs w:val="18"/>
                  </w:rPr>
                  <w:t>4.208.315.682</w:t>
                </w:r>
              </w:p>
            </w:tc>
            <w:tc>
              <w:tcPr>
                <w:tcW w:w="1331" w:type="dxa"/>
                <w:tcMar>
                  <w:left w:w="70" w:type="dxa"/>
                  <w:right w:w="70" w:type="dxa"/>
                </w:tcMar>
                <w:vAlign w:val="center"/>
              </w:tcPr>
              <w:p w14:paraId="2BD69A82" w14:textId="47895588" w:rsidR="0E4E29E4" w:rsidRPr="00496862" w:rsidRDefault="0E4E29E4" w:rsidP="0E4E29E4">
                <w:pPr>
                  <w:spacing w:after="0"/>
                  <w:ind w:left="-20" w:right="-20"/>
                  <w:jc w:val="right"/>
                  <w:rPr>
                    <w:sz w:val="18"/>
                    <w:szCs w:val="18"/>
                  </w:rPr>
                </w:pPr>
                <w:r w:rsidRPr="00496862">
                  <w:rPr>
                    <w:rFonts w:ascii="Times New Roman" w:eastAsia="Times New Roman" w:hAnsi="Times New Roman"/>
                    <w:sz w:val="18"/>
                    <w:szCs w:val="18"/>
                  </w:rPr>
                  <w:t>3.623.027.357</w:t>
                </w:r>
              </w:p>
            </w:tc>
            <w:tc>
              <w:tcPr>
                <w:tcW w:w="1495" w:type="dxa"/>
                <w:tcMar>
                  <w:left w:w="70" w:type="dxa"/>
                  <w:right w:w="70" w:type="dxa"/>
                </w:tcMar>
                <w:vAlign w:val="center"/>
              </w:tcPr>
              <w:p w14:paraId="57CBA297" w14:textId="28C642A6" w:rsidR="0E4E29E4" w:rsidRPr="00496862" w:rsidRDefault="0E4E29E4" w:rsidP="0E4E29E4">
                <w:pPr>
                  <w:spacing w:after="0"/>
                  <w:ind w:left="-20" w:right="-20"/>
                  <w:jc w:val="right"/>
                  <w:rPr>
                    <w:sz w:val="18"/>
                    <w:szCs w:val="18"/>
                  </w:rPr>
                </w:pPr>
                <w:r w:rsidRPr="00496862">
                  <w:rPr>
                    <w:rFonts w:ascii="Times New Roman" w:eastAsia="Times New Roman" w:hAnsi="Times New Roman"/>
                    <w:sz w:val="18"/>
                    <w:szCs w:val="18"/>
                  </w:rPr>
                  <w:t>585.288.325</w:t>
                </w:r>
              </w:p>
            </w:tc>
          </w:tr>
          <w:tr w:rsidR="00DC085C" w:rsidRPr="00496862" w14:paraId="40E1D66B" w14:textId="77777777" w:rsidTr="00CA026F">
            <w:trPr>
              <w:trHeight w:val="285"/>
            </w:trPr>
            <w:tc>
              <w:tcPr>
                <w:tcW w:w="4662" w:type="dxa"/>
                <w:gridSpan w:val="3"/>
                <w:tcMar>
                  <w:left w:w="70" w:type="dxa"/>
                  <w:right w:w="70" w:type="dxa"/>
                </w:tcMar>
                <w:vAlign w:val="center"/>
              </w:tcPr>
              <w:p w14:paraId="361FCED7" w14:textId="42D27A64" w:rsidR="00DC085C" w:rsidRPr="00496862" w:rsidRDefault="00DC085C" w:rsidP="00DC085C">
                <w:pPr>
                  <w:spacing w:after="0"/>
                  <w:ind w:right="-20"/>
                  <w:rPr>
                    <w:sz w:val="18"/>
                    <w:szCs w:val="18"/>
                  </w:rPr>
                </w:pPr>
                <w:r w:rsidRPr="00496862">
                  <w:rPr>
                    <w:rFonts w:ascii="Times New Roman" w:eastAsia="Times New Roman" w:hAnsi="Times New Roman"/>
                    <w:b/>
                    <w:bCs/>
                    <w:sz w:val="18"/>
                    <w:szCs w:val="18"/>
                  </w:rPr>
                  <w:t>AMORTIZACIÓN</w:t>
                </w:r>
              </w:p>
            </w:tc>
            <w:tc>
              <w:tcPr>
                <w:tcW w:w="1481" w:type="dxa"/>
                <w:tcMar>
                  <w:left w:w="70" w:type="dxa"/>
                  <w:right w:w="70" w:type="dxa"/>
                </w:tcMar>
                <w:vAlign w:val="center"/>
              </w:tcPr>
              <w:p w14:paraId="3991B0DD" w14:textId="0117C59D" w:rsidR="00DC085C" w:rsidRPr="00496862" w:rsidRDefault="00DC085C" w:rsidP="0E4E29E4">
                <w:pPr>
                  <w:spacing w:after="0"/>
                  <w:ind w:left="-20" w:right="-20"/>
                  <w:jc w:val="right"/>
                  <w:rPr>
                    <w:sz w:val="18"/>
                    <w:szCs w:val="18"/>
                  </w:rPr>
                </w:pPr>
                <w:r w:rsidRPr="00496862">
                  <w:rPr>
                    <w:rFonts w:ascii="Times New Roman" w:eastAsia="Times New Roman" w:hAnsi="Times New Roman"/>
                    <w:b/>
                    <w:bCs/>
                    <w:sz w:val="18"/>
                    <w:szCs w:val="18"/>
                  </w:rPr>
                  <w:t>50.630.709.437</w:t>
                </w:r>
              </w:p>
            </w:tc>
            <w:tc>
              <w:tcPr>
                <w:tcW w:w="1331" w:type="dxa"/>
                <w:tcMar>
                  <w:left w:w="70" w:type="dxa"/>
                  <w:right w:w="70" w:type="dxa"/>
                </w:tcMar>
                <w:vAlign w:val="center"/>
              </w:tcPr>
              <w:p w14:paraId="586D9CEC" w14:textId="60FC61CD" w:rsidR="00DC085C" w:rsidRPr="00496862" w:rsidRDefault="00DC085C" w:rsidP="0E4E29E4">
                <w:pPr>
                  <w:spacing w:after="0"/>
                  <w:ind w:left="-20" w:right="-20"/>
                  <w:jc w:val="right"/>
                  <w:rPr>
                    <w:sz w:val="18"/>
                    <w:szCs w:val="18"/>
                  </w:rPr>
                </w:pPr>
                <w:r w:rsidRPr="00496862">
                  <w:rPr>
                    <w:rFonts w:ascii="Times New Roman" w:eastAsia="Times New Roman" w:hAnsi="Times New Roman"/>
                    <w:b/>
                    <w:bCs/>
                    <w:sz w:val="18"/>
                    <w:szCs w:val="18"/>
                  </w:rPr>
                  <w:t>1.821.031.569</w:t>
                </w:r>
              </w:p>
            </w:tc>
            <w:tc>
              <w:tcPr>
                <w:tcW w:w="1495" w:type="dxa"/>
                <w:tcMar>
                  <w:left w:w="70" w:type="dxa"/>
                  <w:right w:w="70" w:type="dxa"/>
                </w:tcMar>
                <w:vAlign w:val="center"/>
              </w:tcPr>
              <w:p w14:paraId="6AB0A704" w14:textId="64E4CEFA" w:rsidR="00DC085C" w:rsidRPr="00496862" w:rsidRDefault="00DC085C" w:rsidP="0E4E29E4">
                <w:pPr>
                  <w:spacing w:after="0"/>
                  <w:ind w:left="-20" w:right="-20"/>
                  <w:jc w:val="right"/>
                  <w:rPr>
                    <w:sz w:val="18"/>
                    <w:szCs w:val="18"/>
                  </w:rPr>
                </w:pPr>
                <w:r w:rsidRPr="00496862">
                  <w:rPr>
                    <w:rFonts w:ascii="Times New Roman" w:eastAsia="Times New Roman" w:hAnsi="Times New Roman"/>
                    <w:b/>
                    <w:bCs/>
                    <w:sz w:val="18"/>
                    <w:szCs w:val="18"/>
                  </w:rPr>
                  <w:t>48.809.677.868</w:t>
                </w:r>
              </w:p>
            </w:tc>
          </w:tr>
          <w:tr w:rsidR="0E4E29E4" w:rsidRPr="00496862" w14:paraId="1BE7D634" w14:textId="77777777" w:rsidTr="00CA026F">
            <w:trPr>
              <w:trHeight w:val="300"/>
            </w:trPr>
            <w:tc>
              <w:tcPr>
                <w:tcW w:w="909" w:type="dxa"/>
                <w:tcMar>
                  <w:left w:w="70" w:type="dxa"/>
                  <w:right w:w="70" w:type="dxa"/>
                </w:tcMar>
                <w:vAlign w:val="center"/>
              </w:tcPr>
              <w:p w14:paraId="235ED11C" w14:textId="09133C5B" w:rsidR="0E4E29E4" w:rsidRPr="00496862" w:rsidRDefault="0E4E29E4" w:rsidP="0E4E29E4">
                <w:pPr>
                  <w:spacing w:after="0"/>
                  <w:ind w:left="-20" w:right="-20"/>
                  <w:rPr>
                    <w:sz w:val="18"/>
                    <w:szCs w:val="18"/>
                  </w:rPr>
                </w:pPr>
                <w:r w:rsidRPr="00496862">
                  <w:rPr>
                    <w:rFonts w:ascii="Times New Roman" w:eastAsia="Times New Roman" w:hAnsi="Times New Roman"/>
                    <w:sz w:val="18"/>
                    <w:szCs w:val="18"/>
                  </w:rPr>
                  <w:t>5.3.66</w:t>
                </w:r>
              </w:p>
            </w:tc>
            <w:tc>
              <w:tcPr>
                <w:tcW w:w="553" w:type="dxa"/>
                <w:tcMar>
                  <w:left w:w="70" w:type="dxa"/>
                  <w:right w:w="70" w:type="dxa"/>
                </w:tcMar>
                <w:vAlign w:val="center"/>
              </w:tcPr>
              <w:p w14:paraId="1FD31EF2" w14:textId="58632A9C" w:rsidR="0E4E29E4" w:rsidRPr="00496862" w:rsidRDefault="0E4E29E4" w:rsidP="0E4E29E4">
                <w:pPr>
                  <w:spacing w:after="0"/>
                  <w:ind w:left="-20" w:right="-20"/>
                  <w:jc w:val="center"/>
                  <w:rPr>
                    <w:sz w:val="18"/>
                    <w:szCs w:val="18"/>
                  </w:rPr>
                </w:pPr>
                <w:r w:rsidRPr="00496862">
                  <w:rPr>
                    <w:rFonts w:ascii="Times New Roman" w:eastAsia="Times New Roman" w:hAnsi="Times New Roman"/>
                    <w:sz w:val="18"/>
                    <w:szCs w:val="18"/>
                  </w:rPr>
                  <w:t>Db</w:t>
                </w:r>
              </w:p>
            </w:tc>
            <w:tc>
              <w:tcPr>
                <w:tcW w:w="3200" w:type="dxa"/>
                <w:tcMar>
                  <w:left w:w="70" w:type="dxa"/>
                  <w:right w:w="70" w:type="dxa"/>
                </w:tcMar>
                <w:vAlign w:val="center"/>
              </w:tcPr>
              <w:p w14:paraId="1F5178F6" w14:textId="79A9AE93" w:rsidR="0E4E29E4" w:rsidRPr="00496862" w:rsidRDefault="0E4E29E4" w:rsidP="0E4E29E4">
                <w:pPr>
                  <w:spacing w:after="0"/>
                  <w:ind w:left="-20" w:right="-20"/>
                  <w:rPr>
                    <w:sz w:val="18"/>
                    <w:szCs w:val="18"/>
                  </w:rPr>
                </w:pPr>
                <w:r w:rsidRPr="00496862">
                  <w:rPr>
                    <w:rFonts w:ascii="Times New Roman" w:eastAsia="Times New Roman" w:hAnsi="Times New Roman"/>
                    <w:sz w:val="18"/>
                    <w:szCs w:val="18"/>
                  </w:rPr>
                  <w:t>De activos intangibles</w:t>
                </w:r>
              </w:p>
            </w:tc>
            <w:tc>
              <w:tcPr>
                <w:tcW w:w="1481" w:type="dxa"/>
                <w:tcMar>
                  <w:left w:w="70" w:type="dxa"/>
                  <w:right w:w="70" w:type="dxa"/>
                </w:tcMar>
                <w:vAlign w:val="center"/>
              </w:tcPr>
              <w:p w14:paraId="539F36E4" w14:textId="170853DC" w:rsidR="0E4E29E4" w:rsidRPr="00496862" w:rsidRDefault="0E4E29E4" w:rsidP="0E4E29E4">
                <w:pPr>
                  <w:spacing w:after="0"/>
                  <w:ind w:left="-20" w:right="-20"/>
                  <w:jc w:val="right"/>
                  <w:rPr>
                    <w:sz w:val="18"/>
                    <w:szCs w:val="18"/>
                  </w:rPr>
                </w:pPr>
                <w:r w:rsidRPr="00496862">
                  <w:rPr>
                    <w:rFonts w:ascii="Times New Roman" w:eastAsia="Times New Roman" w:hAnsi="Times New Roman"/>
                    <w:sz w:val="18"/>
                    <w:szCs w:val="18"/>
                  </w:rPr>
                  <w:t>50.630.709.437</w:t>
                </w:r>
              </w:p>
            </w:tc>
            <w:tc>
              <w:tcPr>
                <w:tcW w:w="1331" w:type="dxa"/>
                <w:tcMar>
                  <w:left w:w="70" w:type="dxa"/>
                  <w:right w:w="70" w:type="dxa"/>
                </w:tcMar>
                <w:vAlign w:val="center"/>
              </w:tcPr>
              <w:p w14:paraId="17310945" w14:textId="358D6CBC" w:rsidR="0E4E29E4" w:rsidRPr="00496862" w:rsidRDefault="0E4E29E4" w:rsidP="0E4E29E4">
                <w:pPr>
                  <w:spacing w:after="0"/>
                  <w:ind w:left="-20" w:right="-20"/>
                  <w:jc w:val="right"/>
                  <w:rPr>
                    <w:sz w:val="18"/>
                    <w:szCs w:val="18"/>
                  </w:rPr>
                </w:pPr>
                <w:r w:rsidRPr="00496862">
                  <w:rPr>
                    <w:rFonts w:ascii="Times New Roman" w:eastAsia="Times New Roman" w:hAnsi="Times New Roman"/>
                    <w:sz w:val="18"/>
                    <w:szCs w:val="18"/>
                  </w:rPr>
                  <w:t>1.821.031.569</w:t>
                </w:r>
              </w:p>
            </w:tc>
            <w:tc>
              <w:tcPr>
                <w:tcW w:w="1495" w:type="dxa"/>
                <w:tcMar>
                  <w:left w:w="70" w:type="dxa"/>
                  <w:right w:w="70" w:type="dxa"/>
                </w:tcMar>
                <w:vAlign w:val="center"/>
              </w:tcPr>
              <w:p w14:paraId="3298E8A0" w14:textId="27DC7A02" w:rsidR="0E4E29E4" w:rsidRPr="00496862" w:rsidRDefault="0E4E29E4" w:rsidP="0E4E29E4">
                <w:pPr>
                  <w:spacing w:after="0"/>
                  <w:ind w:left="-20" w:right="-20"/>
                  <w:jc w:val="right"/>
                  <w:rPr>
                    <w:sz w:val="18"/>
                    <w:szCs w:val="18"/>
                  </w:rPr>
                </w:pPr>
                <w:r w:rsidRPr="00496862">
                  <w:rPr>
                    <w:rFonts w:ascii="Times New Roman" w:eastAsia="Times New Roman" w:hAnsi="Times New Roman"/>
                    <w:sz w:val="18"/>
                    <w:szCs w:val="18"/>
                  </w:rPr>
                  <w:t>48.809.677.868</w:t>
                </w:r>
              </w:p>
            </w:tc>
          </w:tr>
          <w:tr w:rsidR="00DC085C" w:rsidRPr="00496862" w14:paraId="62EFEF74" w14:textId="77777777" w:rsidTr="00CA026F">
            <w:trPr>
              <w:trHeight w:val="285"/>
            </w:trPr>
            <w:tc>
              <w:tcPr>
                <w:tcW w:w="4662" w:type="dxa"/>
                <w:gridSpan w:val="3"/>
                <w:tcMar>
                  <w:left w:w="70" w:type="dxa"/>
                  <w:right w:w="70" w:type="dxa"/>
                </w:tcMar>
                <w:vAlign w:val="center"/>
              </w:tcPr>
              <w:p w14:paraId="7168D84C" w14:textId="41BBF27F" w:rsidR="00DC085C" w:rsidRPr="00496862" w:rsidRDefault="00DC085C" w:rsidP="00DC085C">
                <w:pPr>
                  <w:spacing w:after="0"/>
                  <w:ind w:right="-20"/>
                  <w:rPr>
                    <w:sz w:val="18"/>
                    <w:szCs w:val="18"/>
                  </w:rPr>
                </w:pPr>
                <w:r w:rsidRPr="00496862">
                  <w:rPr>
                    <w:rFonts w:ascii="Times New Roman" w:eastAsia="Times New Roman" w:hAnsi="Times New Roman"/>
                    <w:b/>
                    <w:bCs/>
                    <w:sz w:val="18"/>
                    <w:szCs w:val="18"/>
                  </w:rPr>
                  <w:t>PROVISIÓN (1)</w:t>
                </w:r>
              </w:p>
            </w:tc>
            <w:tc>
              <w:tcPr>
                <w:tcW w:w="1481" w:type="dxa"/>
                <w:tcMar>
                  <w:left w:w="70" w:type="dxa"/>
                  <w:right w:w="70" w:type="dxa"/>
                </w:tcMar>
                <w:vAlign w:val="center"/>
              </w:tcPr>
              <w:p w14:paraId="5DA5A362" w14:textId="692D7762" w:rsidR="00DC085C" w:rsidRPr="00496862" w:rsidRDefault="00DC085C" w:rsidP="0E4E29E4">
                <w:pPr>
                  <w:spacing w:after="0"/>
                  <w:ind w:left="-20" w:right="-20"/>
                  <w:jc w:val="right"/>
                  <w:rPr>
                    <w:sz w:val="18"/>
                    <w:szCs w:val="18"/>
                  </w:rPr>
                </w:pPr>
                <w:r w:rsidRPr="00496862">
                  <w:rPr>
                    <w:rFonts w:ascii="Times New Roman" w:eastAsia="Times New Roman" w:hAnsi="Times New Roman"/>
                    <w:b/>
                    <w:bCs/>
                    <w:sz w:val="18"/>
                    <w:szCs w:val="18"/>
                  </w:rPr>
                  <w:t>1.871.075.331.231</w:t>
                </w:r>
              </w:p>
            </w:tc>
            <w:tc>
              <w:tcPr>
                <w:tcW w:w="1331" w:type="dxa"/>
                <w:tcMar>
                  <w:left w:w="70" w:type="dxa"/>
                  <w:right w:w="70" w:type="dxa"/>
                </w:tcMar>
                <w:vAlign w:val="center"/>
              </w:tcPr>
              <w:p w14:paraId="4A3CBE60" w14:textId="16453518" w:rsidR="00DC085C" w:rsidRPr="00496862" w:rsidRDefault="00DC085C" w:rsidP="0E4E29E4">
                <w:pPr>
                  <w:spacing w:after="0"/>
                  <w:ind w:left="-20" w:right="-20"/>
                  <w:jc w:val="right"/>
                  <w:rPr>
                    <w:sz w:val="18"/>
                    <w:szCs w:val="18"/>
                  </w:rPr>
                </w:pPr>
                <w:r w:rsidRPr="00496862">
                  <w:rPr>
                    <w:rFonts w:ascii="Times New Roman" w:eastAsia="Times New Roman" w:hAnsi="Times New Roman"/>
                    <w:b/>
                    <w:bCs/>
                    <w:sz w:val="18"/>
                    <w:szCs w:val="18"/>
                  </w:rPr>
                  <w:t>779.721.389.945</w:t>
                </w:r>
              </w:p>
            </w:tc>
            <w:tc>
              <w:tcPr>
                <w:tcW w:w="1495" w:type="dxa"/>
                <w:tcMar>
                  <w:left w:w="70" w:type="dxa"/>
                  <w:right w:w="70" w:type="dxa"/>
                </w:tcMar>
                <w:vAlign w:val="center"/>
              </w:tcPr>
              <w:p w14:paraId="13AC6BC3" w14:textId="025F14C2" w:rsidR="00DC085C" w:rsidRPr="00496862" w:rsidRDefault="00DC085C" w:rsidP="0E4E29E4">
                <w:pPr>
                  <w:spacing w:after="0"/>
                  <w:ind w:left="-20" w:right="-20"/>
                  <w:jc w:val="right"/>
                  <w:rPr>
                    <w:sz w:val="18"/>
                    <w:szCs w:val="18"/>
                  </w:rPr>
                </w:pPr>
                <w:r w:rsidRPr="00496862">
                  <w:rPr>
                    <w:rFonts w:ascii="Times New Roman" w:eastAsia="Times New Roman" w:hAnsi="Times New Roman"/>
                    <w:b/>
                    <w:bCs/>
                    <w:sz w:val="18"/>
                    <w:szCs w:val="18"/>
                  </w:rPr>
                  <w:t>1.091.353.941.286</w:t>
                </w:r>
              </w:p>
            </w:tc>
          </w:tr>
          <w:tr w:rsidR="0E4E29E4" w:rsidRPr="00496862" w14:paraId="404DC5D9" w14:textId="77777777" w:rsidTr="00CA026F">
            <w:trPr>
              <w:trHeight w:val="300"/>
            </w:trPr>
            <w:tc>
              <w:tcPr>
                <w:tcW w:w="909" w:type="dxa"/>
                <w:tcMar>
                  <w:left w:w="70" w:type="dxa"/>
                  <w:right w:w="70" w:type="dxa"/>
                </w:tcMar>
                <w:vAlign w:val="center"/>
              </w:tcPr>
              <w:p w14:paraId="197DC02B" w14:textId="5803CA30" w:rsidR="0E4E29E4" w:rsidRPr="00496862" w:rsidRDefault="0E4E29E4" w:rsidP="0E4E29E4">
                <w:pPr>
                  <w:spacing w:after="0"/>
                  <w:ind w:left="-20" w:right="-20"/>
                  <w:rPr>
                    <w:sz w:val="18"/>
                    <w:szCs w:val="18"/>
                  </w:rPr>
                </w:pPr>
                <w:r w:rsidRPr="00496862">
                  <w:rPr>
                    <w:rFonts w:ascii="Times New Roman" w:eastAsia="Times New Roman" w:hAnsi="Times New Roman"/>
                    <w:sz w:val="18"/>
                    <w:szCs w:val="18"/>
                  </w:rPr>
                  <w:t>5.3.68</w:t>
                </w:r>
              </w:p>
            </w:tc>
            <w:tc>
              <w:tcPr>
                <w:tcW w:w="553" w:type="dxa"/>
                <w:tcMar>
                  <w:left w:w="70" w:type="dxa"/>
                  <w:right w:w="70" w:type="dxa"/>
                </w:tcMar>
                <w:vAlign w:val="center"/>
              </w:tcPr>
              <w:p w14:paraId="18FDB2E9" w14:textId="3E231662" w:rsidR="0E4E29E4" w:rsidRPr="00496862" w:rsidRDefault="0E4E29E4" w:rsidP="0E4E29E4">
                <w:pPr>
                  <w:spacing w:after="0"/>
                  <w:ind w:left="-20" w:right="-20"/>
                  <w:jc w:val="center"/>
                  <w:rPr>
                    <w:sz w:val="18"/>
                    <w:szCs w:val="18"/>
                  </w:rPr>
                </w:pPr>
                <w:r w:rsidRPr="00496862">
                  <w:rPr>
                    <w:rFonts w:ascii="Times New Roman" w:eastAsia="Times New Roman" w:hAnsi="Times New Roman"/>
                    <w:sz w:val="18"/>
                    <w:szCs w:val="18"/>
                  </w:rPr>
                  <w:t>Db</w:t>
                </w:r>
              </w:p>
            </w:tc>
            <w:tc>
              <w:tcPr>
                <w:tcW w:w="3200" w:type="dxa"/>
                <w:tcMar>
                  <w:left w:w="70" w:type="dxa"/>
                  <w:right w:w="70" w:type="dxa"/>
                </w:tcMar>
                <w:vAlign w:val="center"/>
              </w:tcPr>
              <w:p w14:paraId="6D832BD0" w14:textId="7C2BCD08" w:rsidR="0E4E29E4" w:rsidRPr="00496862" w:rsidRDefault="0E4E29E4" w:rsidP="0E4E29E4">
                <w:pPr>
                  <w:spacing w:after="0"/>
                  <w:ind w:left="-20" w:right="-20"/>
                  <w:rPr>
                    <w:sz w:val="18"/>
                    <w:szCs w:val="18"/>
                  </w:rPr>
                </w:pPr>
                <w:r w:rsidRPr="00496862">
                  <w:rPr>
                    <w:rFonts w:ascii="Times New Roman" w:eastAsia="Times New Roman" w:hAnsi="Times New Roman"/>
                    <w:sz w:val="18"/>
                    <w:szCs w:val="18"/>
                  </w:rPr>
                  <w:t>De litigios y demandas</w:t>
                </w:r>
              </w:p>
            </w:tc>
            <w:tc>
              <w:tcPr>
                <w:tcW w:w="1481" w:type="dxa"/>
                <w:tcMar>
                  <w:left w:w="70" w:type="dxa"/>
                  <w:right w:w="70" w:type="dxa"/>
                </w:tcMar>
                <w:vAlign w:val="center"/>
              </w:tcPr>
              <w:p w14:paraId="3B5AE3E9" w14:textId="726D9AFF" w:rsidR="0E4E29E4" w:rsidRPr="00496862" w:rsidRDefault="0E4E29E4" w:rsidP="0E4E29E4">
                <w:pPr>
                  <w:spacing w:after="0"/>
                  <w:ind w:left="-20" w:right="-20"/>
                  <w:jc w:val="right"/>
                  <w:rPr>
                    <w:sz w:val="18"/>
                    <w:szCs w:val="18"/>
                  </w:rPr>
                </w:pPr>
                <w:r w:rsidRPr="00496862">
                  <w:rPr>
                    <w:rFonts w:ascii="Times New Roman" w:eastAsia="Times New Roman" w:hAnsi="Times New Roman"/>
                    <w:sz w:val="18"/>
                    <w:szCs w:val="18"/>
                  </w:rPr>
                  <w:t>1.870.137.531.795</w:t>
                </w:r>
              </w:p>
            </w:tc>
            <w:tc>
              <w:tcPr>
                <w:tcW w:w="1331" w:type="dxa"/>
                <w:tcMar>
                  <w:left w:w="70" w:type="dxa"/>
                  <w:right w:w="70" w:type="dxa"/>
                </w:tcMar>
                <w:vAlign w:val="center"/>
              </w:tcPr>
              <w:p w14:paraId="68EB7B6D" w14:textId="01534F69" w:rsidR="0E4E29E4" w:rsidRPr="00496862" w:rsidRDefault="0E4E29E4" w:rsidP="0E4E29E4">
                <w:pPr>
                  <w:spacing w:after="0"/>
                  <w:ind w:left="-20" w:right="-20"/>
                  <w:jc w:val="right"/>
                  <w:rPr>
                    <w:sz w:val="18"/>
                    <w:szCs w:val="18"/>
                  </w:rPr>
                </w:pPr>
                <w:r w:rsidRPr="00496862">
                  <w:rPr>
                    <w:rFonts w:ascii="Times New Roman" w:eastAsia="Times New Roman" w:hAnsi="Times New Roman"/>
                    <w:sz w:val="18"/>
                    <w:szCs w:val="18"/>
                  </w:rPr>
                  <w:t>779.721.389.945</w:t>
                </w:r>
              </w:p>
            </w:tc>
            <w:tc>
              <w:tcPr>
                <w:tcW w:w="1495" w:type="dxa"/>
                <w:tcMar>
                  <w:left w:w="70" w:type="dxa"/>
                  <w:right w:w="70" w:type="dxa"/>
                </w:tcMar>
                <w:vAlign w:val="center"/>
              </w:tcPr>
              <w:p w14:paraId="2343411B" w14:textId="40433470" w:rsidR="0E4E29E4" w:rsidRPr="00496862" w:rsidRDefault="0E4E29E4" w:rsidP="0E4E29E4">
                <w:pPr>
                  <w:spacing w:after="0"/>
                  <w:ind w:left="-20" w:right="-20"/>
                  <w:jc w:val="right"/>
                  <w:rPr>
                    <w:sz w:val="18"/>
                    <w:szCs w:val="18"/>
                  </w:rPr>
                </w:pPr>
                <w:r w:rsidRPr="00496862">
                  <w:rPr>
                    <w:rFonts w:ascii="Times New Roman" w:eastAsia="Times New Roman" w:hAnsi="Times New Roman"/>
                    <w:sz w:val="18"/>
                    <w:szCs w:val="18"/>
                  </w:rPr>
                  <w:t>1.090.416.141.850</w:t>
                </w:r>
              </w:p>
            </w:tc>
          </w:tr>
          <w:tr w:rsidR="0E4E29E4" w:rsidRPr="00496862" w14:paraId="60F1A32A" w14:textId="77777777" w:rsidTr="00CA026F">
            <w:trPr>
              <w:trHeight w:val="300"/>
            </w:trPr>
            <w:tc>
              <w:tcPr>
                <w:tcW w:w="909" w:type="dxa"/>
                <w:tcMar>
                  <w:left w:w="70" w:type="dxa"/>
                  <w:right w:w="70" w:type="dxa"/>
                </w:tcMar>
                <w:vAlign w:val="center"/>
              </w:tcPr>
              <w:p w14:paraId="2E971118" w14:textId="2B46F330" w:rsidR="0E4E29E4" w:rsidRPr="00496862" w:rsidRDefault="0E4E29E4" w:rsidP="0E4E29E4">
                <w:pPr>
                  <w:spacing w:after="0"/>
                  <w:ind w:left="-20" w:right="-20"/>
                  <w:rPr>
                    <w:sz w:val="18"/>
                    <w:szCs w:val="18"/>
                  </w:rPr>
                </w:pPr>
                <w:r w:rsidRPr="00496862">
                  <w:rPr>
                    <w:rFonts w:ascii="Times New Roman" w:eastAsia="Times New Roman" w:hAnsi="Times New Roman"/>
                    <w:sz w:val="18"/>
                    <w:szCs w:val="18"/>
                  </w:rPr>
                  <w:t>5.3.73</w:t>
                </w:r>
              </w:p>
            </w:tc>
            <w:tc>
              <w:tcPr>
                <w:tcW w:w="553" w:type="dxa"/>
                <w:tcMar>
                  <w:left w:w="70" w:type="dxa"/>
                  <w:right w:w="70" w:type="dxa"/>
                </w:tcMar>
                <w:vAlign w:val="center"/>
              </w:tcPr>
              <w:p w14:paraId="038BEAB0" w14:textId="39AD4BFC" w:rsidR="0E4E29E4" w:rsidRPr="00496862" w:rsidRDefault="0E4E29E4" w:rsidP="0E4E29E4">
                <w:pPr>
                  <w:spacing w:after="0"/>
                  <w:ind w:left="-20" w:right="-20"/>
                  <w:jc w:val="center"/>
                  <w:rPr>
                    <w:sz w:val="18"/>
                    <w:szCs w:val="18"/>
                  </w:rPr>
                </w:pPr>
                <w:r w:rsidRPr="00496862">
                  <w:rPr>
                    <w:rFonts w:ascii="Times New Roman" w:eastAsia="Times New Roman" w:hAnsi="Times New Roman"/>
                    <w:sz w:val="18"/>
                    <w:szCs w:val="18"/>
                  </w:rPr>
                  <w:t>Db</w:t>
                </w:r>
              </w:p>
            </w:tc>
            <w:tc>
              <w:tcPr>
                <w:tcW w:w="3200" w:type="dxa"/>
                <w:tcMar>
                  <w:left w:w="70" w:type="dxa"/>
                  <w:right w:w="70" w:type="dxa"/>
                </w:tcMar>
                <w:vAlign w:val="center"/>
              </w:tcPr>
              <w:p w14:paraId="18D7ED38" w14:textId="56943B73" w:rsidR="0E4E29E4" w:rsidRPr="00496862" w:rsidRDefault="0E4E29E4" w:rsidP="0E4E29E4">
                <w:pPr>
                  <w:spacing w:after="0"/>
                  <w:ind w:left="-20" w:right="-20"/>
                  <w:rPr>
                    <w:sz w:val="18"/>
                    <w:szCs w:val="18"/>
                  </w:rPr>
                </w:pPr>
                <w:r w:rsidRPr="00496862">
                  <w:rPr>
                    <w:rFonts w:ascii="Times New Roman" w:eastAsia="Times New Roman" w:hAnsi="Times New Roman"/>
                    <w:sz w:val="18"/>
                    <w:szCs w:val="18"/>
                  </w:rPr>
                  <w:t>De Provisiones diversas</w:t>
                </w:r>
              </w:p>
            </w:tc>
            <w:tc>
              <w:tcPr>
                <w:tcW w:w="1481" w:type="dxa"/>
                <w:tcMar>
                  <w:left w:w="70" w:type="dxa"/>
                  <w:right w:w="70" w:type="dxa"/>
                </w:tcMar>
                <w:vAlign w:val="center"/>
              </w:tcPr>
              <w:p w14:paraId="2942B450" w14:textId="4E5EAF22" w:rsidR="0E4E29E4" w:rsidRPr="00496862" w:rsidRDefault="0E4E29E4" w:rsidP="0E4E29E4">
                <w:pPr>
                  <w:spacing w:after="0"/>
                  <w:ind w:left="-20" w:right="-20"/>
                  <w:jc w:val="right"/>
                  <w:rPr>
                    <w:sz w:val="18"/>
                    <w:szCs w:val="18"/>
                  </w:rPr>
                </w:pPr>
                <w:r w:rsidRPr="00496862">
                  <w:rPr>
                    <w:rFonts w:ascii="Times New Roman" w:eastAsia="Times New Roman" w:hAnsi="Times New Roman"/>
                    <w:sz w:val="18"/>
                    <w:szCs w:val="18"/>
                  </w:rPr>
                  <w:t>937.799.436</w:t>
                </w:r>
              </w:p>
            </w:tc>
            <w:tc>
              <w:tcPr>
                <w:tcW w:w="1331" w:type="dxa"/>
                <w:tcMar>
                  <w:left w:w="70" w:type="dxa"/>
                  <w:right w:w="70" w:type="dxa"/>
                </w:tcMar>
                <w:vAlign w:val="center"/>
              </w:tcPr>
              <w:p w14:paraId="7B69BDB6" w14:textId="681B80F7" w:rsidR="0E4E29E4" w:rsidRPr="00496862" w:rsidRDefault="0E4E29E4" w:rsidP="0E4E29E4">
                <w:pPr>
                  <w:spacing w:after="0"/>
                  <w:ind w:left="-20" w:right="-20"/>
                  <w:jc w:val="right"/>
                  <w:rPr>
                    <w:sz w:val="18"/>
                    <w:szCs w:val="18"/>
                  </w:rPr>
                </w:pPr>
                <w:r w:rsidRPr="00496862">
                  <w:rPr>
                    <w:rFonts w:ascii="Times New Roman" w:eastAsia="Times New Roman" w:hAnsi="Times New Roman"/>
                    <w:sz w:val="18"/>
                    <w:szCs w:val="18"/>
                  </w:rPr>
                  <w:t>0</w:t>
                </w:r>
              </w:p>
            </w:tc>
            <w:tc>
              <w:tcPr>
                <w:tcW w:w="1495" w:type="dxa"/>
                <w:tcMar>
                  <w:left w:w="70" w:type="dxa"/>
                  <w:right w:w="70" w:type="dxa"/>
                </w:tcMar>
                <w:vAlign w:val="center"/>
              </w:tcPr>
              <w:p w14:paraId="0CF61CCD" w14:textId="0B4FE6C8" w:rsidR="0E4E29E4" w:rsidRPr="00496862" w:rsidRDefault="0E4E29E4" w:rsidP="0E4E29E4">
                <w:pPr>
                  <w:spacing w:after="0"/>
                  <w:ind w:left="-20" w:right="-20"/>
                  <w:jc w:val="right"/>
                  <w:rPr>
                    <w:sz w:val="18"/>
                    <w:szCs w:val="18"/>
                  </w:rPr>
                </w:pPr>
                <w:r w:rsidRPr="00496862">
                  <w:rPr>
                    <w:rFonts w:ascii="Times New Roman" w:eastAsia="Times New Roman" w:hAnsi="Times New Roman"/>
                    <w:sz w:val="18"/>
                    <w:szCs w:val="18"/>
                  </w:rPr>
                  <w:t>937.799.436</w:t>
                </w:r>
              </w:p>
            </w:tc>
          </w:tr>
        </w:tbl>
        <w:p w14:paraId="71A6F1C6" w14:textId="13D4BB3B" w:rsidR="00F45B0C" w:rsidRPr="00931DCE" w:rsidRDefault="00AD2026" w:rsidP="0E4E29E4">
          <w:pPr>
            <w:spacing w:line="254" w:lineRule="auto"/>
            <w:ind w:left="-20" w:right="-20"/>
            <w:jc w:val="both"/>
          </w:pPr>
          <w:r w:rsidRPr="0E4E29E4">
            <w:rPr>
              <w:rFonts w:ascii="Times New Roman" w:eastAsia="Times New Roman" w:hAnsi="Times New Roman"/>
              <w:sz w:val="14"/>
              <w:szCs w:val="14"/>
            </w:rPr>
            <w:t>Cifras expresadas en pesos</w:t>
          </w:r>
        </w:p>
        <w:p w14:paraId="62CE7300" w14:textId="67B456BE" w:rsidR="00F45B0C" w:rsidRPr="00931DCE" w:rsidRDefault="00F45B0C" w:rsidP="0E4E29E4">
          <w:pPr>
            <w:spacing w:line="254" w:lineRule="auto"/>
            <w:ind w:left="-20" w:right="-20"/>
            <w:jc w:val="both"/>
          </w:pPr>
          <w:r w:rsidRPr="0E4E29E4">
            <w:rPr>
              <w:rFonts w:ascii="Times New Roman" w:eastAsia="Times New Roman" w:hAnsi="Times New Roman"/>
              <w:sz w:val="24"/>
              <w:szCs w:val="24"/>
            </w:rPr>
            <w:t>Estos gastos surgen del consumo de activos (depreciación), de la disminución del potencial de servicio y la capacidad de generar beneficios económicos (deterioro), del ajuste de pasivos por variaciones en su valor.</w:t>
          </w:r>
        </w:p>
        <w:p w14:paraId="6158DD9A" w14:textId="62274A71" w:rsidR="003A4D8E" w:rsidRPr="00931DCE" w:rsidRDefault="64C58135" w:rsidP="0E4E29E4">
          <w:pPr>
            <w:ind w:left="-20" w:right="-20"/>
            <w:jc w:val="both"/>
          </w:pPr>
          <w:r w:rsidRPr="0E4E29E4">
            <w:rPr>
              <w:rFonts w:ascii="Times New Roman" w:eastAsia="Times New Roman" w:hAnsi="Times New Roman"/>
              <w:sz w:val="24"/>
              <w:szCs w:val="24"/>
            </w:rPr>
            <w:t xml:space="preserve">El incremento principal en el grupo </w:t>
          </w:r>
          <w:r w:rsidRPr="0E4E29E4">
            <w:rPr>
              <w:rFonts w:ascii="Times New Roman" w:eastAsia="Times New Roman" w:hAnsi="Times New Roman"/>
              <w:i/>
              <w:iCs/>
              <w:sz w:val="24"/>
              <w:szCs w:val="24"/>
            </w:rPr>
            <w:t>Deterioro, depreciaciones, amortizaciones y provisiones</w:t>
          </w:r>
          <w:r w:rsidRPr="0E4E29E4">
            <w:rPr>
              <w:rFonts w:ascii="Times New Roman" w:eastAsia="Times New Roman" w:hAnsi="Times New Roman"/>
              <w:sz w:val="24"/>
              <w:szCs w:val="24"/>
            </w:rPr>
            <w:t xml:space="preserve"> se presenta por mayores registrados presentando variaciones, así: En las cuentas de provisiones por : (i) </w:t>
          </w:r>
          <w:r w:rsidRPr="0E4E29E4">
            <w:rPr>
              <w:rFonts w:ascii="Times New Roman" w:eastAsia="Times New Roman" w:hAnsi="Times New Roman"/>
              <w:i/>
              <w:iCs/>
              <w:sz w:val="24"/>
              <w:szCs w:val="24"/>
            </w:rPr>
            <w:t>Provisión litigios y demandas</w:t>
          </w:r>
          <w:r w:rsidRPr="0E4E29E4">
            <w:rPr>
              <w:rFonts w:ascii="Times New Roman" w:eastAsia="Times New Roman" w:hAnsi="Times New Roman"/>
              <w:sz w:val="24"/>
              <w:szCs w:val="24"/>
            </w:rPr>
            <w:t xml:space="preserve"> por valor de $1.090.416.141.850, como resultado de la actualización, en el 2023, de los procesos judiciales y tribunales de arbitramento de acuerdo con la metodología establecida, información que es reportada por el GIT de Defensa Judicial de la Vicepresidencia Jurídica de la ANI, en el formato GEJU-010  Reporte Procesos Judiciales, y (ii) </w:t>
          </w:r>
          <w:r w:rsidRPr="0E4E29E4">
            <w:rPr>
              <w:rFonts w:ascii="Times New Roman" w:eastAsia="Times New Roman" w:hAnsi="Times New Roman"/>
              <w:i/>
              <w:iCs/>
              <w:sz w:val="24"/>
              <w:szCs w:val="24"/>
            </w:rPr>
            <w:t xml:space="preserve">Provisiones diversas </w:t>
          </w:r>
          <w:r w:rsidRPr="0E4E29E4">
            <w:rPr>
              <w:rFonts w:ascii="Times New Roman" w:eastAsia="Times New Roman" w:hAnsi="Times New Roman"/>
              <w:sz w:val="24"/>
              <w:szCs w:val="24"/>
            </w:rPr>
            <w:t>por valor de $937.799.436 por la deuda clasificada en Probable o en Revisión, informada en el formato GCSP-F-006-Liquidación de la deuda a 31 de diciembre de 2023, del proyecto RUTA DEL SOL 1 - Contrato 002 de 2010, y en las cuenta de deterioro por valor  de $253.475.021.598, que corresponde a mayor valor registrado de deterioros realizados de acuerdo con el test de comprobación de factores de riesgos externo de las cuentas por cobrar enviado por el GIT de Defensa judicial.</w:t>
          </w:r>
        </w:p>
        <w:p w14:paraId="3126BC11" w14:textId="77777777" w:rsidR="0033042F" w:rsidRDefault="64C58135" w:rsidP="0033042F">
          <w:pPr>
            <w:spacing w:line="240" w:lineRule="auto"/>
            <w:ind w:left="-20" w:right="-20"/>
            <w:jc w:val="both"/>
          </w:pPr>
          <w:r w:rsidRPr="0E4E29E4">
            <w:rPr>
              <w:rFonts w:ascii="Times New Roman" w:eastAsia="Times New Roman" w:hAnsi="Times New Roman"/>
              <w:sz w:val="24"/>
              <w:szCs w:val="24"/>
            </w:rPr>
            <w:t xml:space="preserve">En lo referente a provisiones de litigios y demandas los criterios de valor considerados, para la estimación de estos, corresponden a la metodología de la calificación del riesgo y provisión contable, contenida en la Resolución ANI No. 521 de 2018 que acoge lo establecido mediante Resolución No. 353 de 2016 de la ANDJE para procesos judiciales y trámites arbitrales. </w:t>
          </w:r>
        </w:p>
        <w:p w14:paraId="74317CB0" w14:textId="43ABCEBB" w:rsidR="003A4D8E" w:rsidRPr="00931DCE" w:rsidRDefault="64C58135" w:rsidP="0033042F">
          <w:pPr>
            <w:spacing w:line="240" w:lineRule="auto"/>
            <w:ind w:left="-20" w:right="-20"/>
            <w:jc w:val="both"/>
          </w:pPr>
          <w:r w:rsidRPr="0E4E29E4">
            <w:rPr>
              <w:rFonts w:ascii="Times New Roman" w:eastAsia="Times New Roman" w:hAnsi="Times New Roman"/>
              <w:sz w:val="24"/>
              <w:szCs w:val="24"/>
            </w:rPr>
            <w:lastRenderedPageBreak/>
            <w:t xml:space="preserve">Ahora bien, en la cuenta </w:t>
          </w:r>
          <w:r w:rsidRPr="0E4E29E4">
            <w:rPr>
              <w:rFonts w:ascii="Times New Roman" w:eastAsia="Times New Roman" w:hAnsi="Times New Roman"/>
              <w:i/>
              <w:iCs/>
              <w:sz w:val="24"/>
              <w:szCs w:val="24"/>
            </w:rPr>
            <w:t>Provisiones diversas</w:t>
          </w:r>
          <w:r w:rsidRPr="0E4E29E4">
            <w:rPr>
              <w:rFonts w:ascii="Times New Roman" w:eastAsia="Times New Roman" w:hAnsi="Times New Roman"/>
              <w:sz w:val="24"/>
              <w:szCs w:val="24"/>
            </w:rPr>
            <w:t xml:space="preserve"> se registró un valor de $937.799.436, que corresponde a la deuda clasificada en Probable o en Revisión, informada en el formato GCSP-F-006-Liquidación de la deuda a 31 de diciembre de 2023, del proyecto RUTA DEL SOL 1 - Contrato 002 de 2010, cuyo concepto de liquidación corresponde a los valores por costos ociosos por efectos de las medidas de contingencia implementadas para mitigar el COVID-19. La contrapartida se produjo en la subcuenta contable 2.7.90.90 Otras provisiones diversas.</w:t>
          </w:r>
        </w:p>
        <w:p w14:paraId="720E40FA" w14:textId="44FBB9F0" w:rsidR="003A4D8E" w:rsidRPr="00931DCE" w:rsidRDefault="64C58135" w:rsidP="0E4E29E4">
          <w:pPr>
            <w:pStyle w:val="Ttulo2"/>
            <w:numPr>
              <w:ilvl w:val="0"/>
              <w:numId w:val="0"/>
            </w:numPr>
            <w:ind w:right="-20"/>
            <w:rPr>
              <w:rFonts w:eastAsia="Times New Roman" w:cs="Times New Roman"/>
              <w:bCs/>
              <w:szCs w:val="24"/>
            </w:rPr>
          </w:pPr>
          <w:bookmarkStart w:id="117" w:name="_Toc159952441"/>
          <w:r w:rsidRPr="0E4E29E4">
            <w:rPr>
              <w:rFonts w:eastAsia="Times New Roman" w:cs="Times New Roman"/>
              <w:bCs/>
              <w:szCs w:val="24"/>
            </w:rPr>
            <w:t>29.2.1</w:t>
          </w:r>
          <w:r w:rsidRPr="0E4E29E4">
            <w:rPr>
              <w:rFonts w:eastAsia="Times New Roman" w:cs="Times New Roman"/>
              <w:b w:val="0"/>
              <w:sz w:val="14"/>
              <w:szCs w:val="14"/>
            </w:rPr>
            <w:t xml:space="preserve">    </w:t>
          </w:r>
          <w:r w:rsidRPr="0E4E29E4">
            <w:rPr>
              <w:rFonts w:eastAsia="Times New Roman" w:cs="Times New Roman"/>
              <w:bCs/>
              <w:szCs w:val="24"/>
            </w:rPr>
            <w:t>Deterioro, Activos financieros y no financieros</w:t>
          </w:r>
          <w:bookmarkEnd w:id="117"/>
        </w:p>
        <w:p w14:paraId="42E5C357" w14:textId="0D7BA5AA" w:rsidR="003A4D8E" w:rsidRPr="00931DCE" w:rsidRDefault="64C58135" w:rsidP="0E4E29E4">
          <w:pPr>
            <w:ind w:left="-20" w:right="-20"/>
            <w:jc w:val="both"/>
          </w:pPr>
          <w:r w:rsidRPr="0E4E29E4">
            <w:rPr>
              <w:rFonts w:ascii="Times New Roman" w:eastAsia="Times New Roman" w:hAnsi="Times New Roman"/>
              <w:sz w:val="24"/>
              <w:szCs w:val="24"/>
            </w:rPr>
            <w:t xml:space="preserve"> </w:t>
          </w:r>
        </w:p>
        <w:tbl>
          <w:tblPr>
            <w:tblW w:w="897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6" w:space="0" w:color="A6A6A6" w:themeColor="background1" w:themeShade="A6"/>
              <w:insideV w:val="single" w:sz="6" w:space="0" w:color="A6A6A6" w:themeColor="background1" w:themeShade="A6"/>
            </w:tblBorders>
            <w:tblLayout w:type="fixed"/>
            <w:tblLook w:val="04A0" w:firstRow="1" w:lastRow="0" w:firstColumn="1" w:lastColumn="0" w:noHBand="0" w:noVBand="1"/>
          </w:tblPr>
          <w:tblGrid>
            <w:gridCol w:w="851"/>
            <w:gridCol w:w="517"/>
            <w:gridCol w:w="3300"/>
            <w:gridCol w:w="1418"/>
            <w:gridCol w:w="1417"/>
            <w:gridCol w:w="1467"/>
          </w:tblGrid>
          <w:tr w:rsidR="0E4E29E4" w:rsidRPr="00CA026F" w14:paraId="75B8E6EF" w14:textId="77777777" w:rsidTr="00CA026F">
            <w:trPr>
              <w:trHeight w:val="300"/>
            </w:trPr>
            <w:tc>
              <w:tcPr>
                <w:tcW w:w="1368" w:type="dxa"/>
                <w:gridSpan w:val="2"/>
                <w:tcMar>
                  <w:left w:w="70" w:type="dxa"/>
                  <w:right w:w="70" w:type="dxa"/>
                </w:tcMar>
                <w:vAlign w:val="center"/>
              </w:tcPr>
              <w:p w14:paraId="128A8276" w14:textId="4A2929E4" w:rsidR="0E4E29E4" w:rsidRPr="00CA026F" w:rsidRDefault="0E4E29E4" w:rsidP="0E4E29E4">
                <w:pPr>
                  <w:spacing w:after="0"/>
                  <w:ind w:left="-20" w:right="-20"/>
                  <w:jc w:val="center"/>
                  <w:rPr>
                    <w:sz w:val="18"/>
                    <w:szCs w:val="18"/>
                  </w:rPr>
                </w:pPr>
                <w:r w:rsidRPr="00CA026F">
                  <w:rPr>
                    <w:rFonts w:ascii="Times New Roman" w:eastAsia="Times New Roman" w:hAnsi="Times New Roman"/>
                    <w:b/>
                    <w:bCs/>
                    <w:sz w:val="18"/>
                    <w:szCs w:val="18"/>
                  </w:rPr>
                  <w:t>DESCRIPCIÓN</w:t>
                </w:r>
              </w:p>
            </w:tc>
            <w:tc>
              <w:tcPr>
                <w:tcW w:w="3300" w:type="dxa"/>
                <w:vMerge w:val="restart"/>
                <w:tcMar>
                  <w:left w:w="70" w:type="dxa"/>
                  <w:right w:w="70" w:type="dxa"/>
                </w:tcMar>
                <w:vAlign w:val="center"/>
              </w:tcPr>
              <w:p w14:paraId="13F1834F" w14:textId="105D18D4" w:rsidR="0E4E29E4" w:rsidRPr="00CA026F" w:rsidRDefault="0E4E29E4" w:rsidP="0E4E29E4">
                <w:pPr>
                  <w:spacing w:after="0"/>
                  <w:ind w:left="-20" w:right="-20"/>
                  <w:jc w:val="center"/>
                  <w:rPr>
                    <w:sz w:val="18"/>
                    <w:szCs w:val="18"/>
                  </w:rPr>
                </w:pPr>
                <w:r w:rsidRPr="00CA026F">
                  <w:rPr>
                    <w:rFonts w:ascii="Times New Roman" w:eastAsia="Times New Roman" w:hAnsi="Times New Roman"/>
                    <w:b/>
                    <w:bCs/>
                    <w:sz w:val="18"/>
                    <w:szCs w:val="18"/>
                  </w:rPr>
                  <w:t>CONCEPTO</w:t>
                </w:r>
              </w:p>
            </w:tc>
            <w:tc>
              <w:tcPr>
                <w:tcW w:w="4302" w:type="dxa"/>
                <w:gridSpan w:val="3"/>
                <w:tcMar>
                  <w:left w:w="70" w:type="dxa"/>
                  <w:right w:w="70" w:type="dxa"/>
                </w:tcMar>
                <w:vAlign w:val="center"/>
              </w:tcPr>
              <w:p w14:paraId="168423E8" w14:textId="37918D06" w:rsidR="0E4E29E4" w:rsidRPr="00CA026F" w:rsidRDefault="0E4E29E4" w:rsidP="0E4E29E4">
                <w:pPr>
                  <w:spacing w:after="0"/>
                  <w:ind w:left="-20" w:right="-20"/>
                  <w:jc w:val="center"/>
                  <w:rPr>
                    <w:sz w:val="18"/>
                    <w:szCs w:val="18"/>
                  </w:rPr>
                </w:pPr>
                <w:r w:rsidRPr="00CA026F">
                  <w:rPr>
                    <w:rFonts w:ascii="Times New Roman" w:eastAsia="Times New Roman" w:hAnsi="Times New Roman"/>
                    <w:b/>
                    <w:bCs/>
                    <w:sz w:val="18"/>
                    <w:szCs w:val="18"/>
                  </w:rPr>
                  <w:t>DETERIORO 2023</w:t>
                </w:r>
              </w:p>
            </w:tc>
          </w:tr>
          <w:tr w:rsidR="0E4E29E4" w:rsidRPr="00CA026F" w14:paraId="1B885C12" w14:textId="77777777" w:rsidTr="00CA026F">
            <w:trPr>
              <w:trHeight w:val="570"/>
            </w:trPr>
            <w:tc>
              <w:tcPr>
                <w:tcW w:w="851" w:type="dxa"/>
                <w:tcMar>
                  <w:left w:w="70" w:type="dxa"/>
                  <w:right w:w="70" w:type="dxa"/>
                </w:tcMar>
                <w:vAlign w:val="center"/>
              </w:tcPr>
              <w:p w14:paraId="669EC791" w14:textId="008E206D" w:rsidR="0E4E29E4" w:rsidRPr="00CA026F" w:rsidRDefault="0E4E29E4" w:rsidP="0E4E29E4">
                <w:pPr>
                  <w:spacing w:after="0"/>
                  <w:ind w:left="-20" w:right="-20"/>
                  <w:jc w:val="center"/>
                  <w:rPr>
                    <w:sz w:val="18"/>
                    <w:szCs w:val="18"/>
                  </w:rPr>
                </w:pPr>
                <w:r w:rsidRPr="00CA026F">
                  <w:rPr>
                    <w:rFonts w:ascii="Times New Roman" w:eastAsia="Times New Roman" w:hAnsi="Times New Roman"/>
                    <w:b/>
                    <w:bCs/>
                    <w:sz w:val="18"/>
                    <w:szCs w:val="18"/>
                  </w:rPr>
                  <w:t>CÓDIGO CONTABLE</w:t>
                </w:r>
              </w:p>
            </w:tc>
            <w:tc>
              <w:tcPr>
                <w:tcW w:w="517" w:type="dxa"/>
                <w:tcMar>
                  <w:left w:w="70" w:type="dxa"/>
                  <w:right w:w="70" w:type="dxa"/>
                </w:tcMar>
                <w:vAlign w:val="center"/>
              </w:tcPr>
              <w:p w14:paraId="7F7B6205" w14:textId="2BD0E76A" w:rsidR="0E4E29E4" w:rsidRPr="00CA026F" w:rsidRDefault="0E4E29E4" w:rsidP="0E4E29E4">
                <w:pPr>
                  <w:spacing w:after="0"/>
                  <w:ind w:left="-20" w:right="-20"/>
                  <w:jc w:val="center"/>
                  <w:rPr>
                    <w:sz w:val="18"/>
                    <w:szCs w:val="18"/>
                  </w:rPr>
                </w:pPr>
                <w:r w:rsidRPr="00CA026F">
                  <w:rPr>
                    <w:rFonts w:ascii="Times New Roman" w:eastAsia="Times New Roman" w:hAnsi="Times New Roman"/>
                    <w:b/>
                    <w:bCs/>
                    <w:sz w:val="18"/>
                    <w:szCs w:val="18"/>
                  </w:rPr>
                  <w:t>NAT</w:t>
                </w:r>
              </w:p>
            </w:tc>
            <w:tc>
              <w:tcPr>
                <w:tcW w:w="3300" w:type="dxa"/>
                <w:vMerge/>
                <w:vAlign w:val="center"/>
              </w:tcPr>
              <w:p w14:paraId="4AE793AA" w14:textId="77777777" w:rsidR="00433E12" w:rsidRPr="00CA026F" w:rsidRDefault="00433E12">
                <w:pPr>
                  <w:rPr>
                    <w:sz w:val="18"/>
                    <w:szCs w:val="18"/>
                  </w:rPr>
                </w:pPr>
              </w:p>
            </w:tc>
            <w:tc>
              <w:tcPr>
                <w:tcW w:w="1418" w:type="dxa"/>
                <w:tcMar>
                  <w:left w:w="70" w:type="dxa"/>
                  <w:right w:w="70" w:type="dxa"/>
                </w:tcMar>
                <w:vAlign w:val="center"/>
              </w:tcPr>
              <w:p w14:paraId="740BC13F" w14:textId="37BF5D49" w:rsidR="0E4E29E4" w:rsidRPr="00CA026F" w:rsidRDefault="0E4E29E4" w:rsidP="0E4E29E4">
                <w:pPr>
                  <w:spacing w:after="0"/>
                  <w:ind w:left="-20" w:right="-20"/>
                  <w:jc w:val="center"/>
                  <w:rPr>
                    <w:sz w:val="18"/>
                    <w:szCs w:val="18"/>
                  </w:rPr>
                </w:pPr>
                <w:r w:rsidRPr="00CA026F">
                  <w:rPr>
                    <w:rFonts w:ascii="Times New Roman" w:eastAsia="Times New Roman" w:hAnsi="Times New Roman"/>
                    <w:b/>
                    <w:bCs/>
                    <w:sz w:val="18"/>
                    <w:szCs w:val="18"/>
                  </w:rPr>
                  <w:t>ACTIVOS FINANCIEROS</w:t>
                </w:r>
              </w:p>
            </w:tc>
            <w:tc>
              <w:tcPr>
                <w:tcW w:w="1417" w:type="dxa"/>
                <w:tcMar>
                  <w:left w:w="70" w:type="dxa"/>
                  <w:right w:w="70" w:type="dxa"/>
                </w:tcMar>
                <w:vAlign w:val="center"/>
              </w:tcPr>
              <w:p w14:paraId="23A87699" w14:textId="7E41BFE9" w:rsidR="0E4E29E4" w:rsidRPr="00CA026F" w:rsidRDefault="0E4E29E4" w:rsidP="0E4E29E4">
                <w:pPr>
                  <w:spacing w:after="0"/>
                  <w:ind w:left="-20" w:right="-20"/>
                  <w:jc w:val="center"/>
                  <w:rPr>
                    <w:sz w:val="18"/>
                    <w:szCs w:val="18"/>
                  </w:rPr>
                </w:pPr>
                <w:r w:rsidRPr="00CA026F">
                  <w:rPr>
                    <w:rFonts w:ascii="Times New Roman" w:eastAsia="Times New Roman" w:hAnsi="Times New Roman"/>
                    <w:b/>
                    <w:bCs/>
                    <w:sz w:val="18"/>
                    <w:szCs w:val="18"/>
                  </w:rPr>
                  <w:t>ACTIVOS NO FINANCIEROS</w:t>
                </w:r>
              </w:p>
            </w:tc>
            <w:tc>
              <w:tcPr>
                <w:tcW w:w="1467" w:type="dxa"/>
                <w:tcMar>
                  <w:left w:w="70" w:type="dxa"/>
                  <w:right w:w="70" w:type="dxa"/>
                </w:tcMar>
                <w:vAlign w:val="center"/>
              </w:tcPr>
              <w:p w14:paraId="4E07F322" w14:textId="59C856E7" w:rsidR="0E4E29E4" w:rsidRPr="00CA026F" w:rsidRDefault="0E4E29E4" w:rsidP="0E4E29E4">
                <w:pPr>
                  <w:spacing w:after="0"/>
                  <w:ind w:left="-20" w:right="-20"/>
                  <w:jc w:val="center"/>
                  <w:rPr>
                    <w:sz w:val="18"/>
                    <w:szCs w:val="18"/>
                  </w:rPr>
                </w:pPr>
                <w:r w:rsidRPr="00CA026F">
                  <w:rPr>
                    <w:rFonts w:ascii="Times New Roman" w:eastAsia="Times New Roman" w:hAnsi="Times New Roman"/>
                    <w:b/>
                    <w:bCs/>
                    <w:sz w:val="18"/>
                    <w:szCs w:val="18"/>
                  </w:rPr>
                  <w:t>SALDO FINAL</w:t>
                </w:r>
              </w:p>
            </w:tc>
          </w:tr>
          <w:tr w:rsidR="0E4E29E4" w:rsidRPr="00CA026F" w14:paraId="7EBE1B21" w14:textId="77777777" w:rsidTr="00CA026F">
            <w:trPr>
              <w:trHeight w:val="285"/>
            </w:trPr>
            <w:tc>
              <w:tcPr>
                <w:tcW w:w="851" w:type="dxa"/>
                <w:tcMar>
                  <w:left w:w="70" w:type="dxa"/>
                  <w:right w:w="70" w:type="dxa"/>
                </w:tcMar>
                <w:vAlign w:val="center"/>
              </w:tcPr>
              <w:p w14:paraId="4CD339C3" w14:textId="76DAFB3B" w:rsidR="0E4E29E4" w:rsidRPr="00CA026F" w:rsidRDefault="0E4E29E4" w:rsidP="0E4E29E4">
                <w:pPr>
                  <w:spacing w:after="0"/>
                  <w:ind w:left="-20" w:right="-20"/>
                  <w:rPr>
                    <w:sz w:val="18"/>
                    <w:szCs w:val="18"/>
                  </w:rPr>
                </w:pPr>
                <w:r w:rsidRPr="00CA026F">
                  <w:rPr>
                    <w:rFonts w:ascii="Times New Roman" w:eastAsia="Times New Roman" w:hAnsi="Times New Roman"/>
                    <w:b/>
                    <w:bCs/>
                    <w:sz w:val="18"/>
                    <w:szCs w:val="18"/>
                  </w:rPr>
                  <w:t xml:space="preserve"> </w:t>
                </w:r>
              </w:p>
            </w:tc>
            <w:tc>
              <w:tcPr>
                <w:tcW w:w="517" w:type="dxa"/>
                <w:tcMar>
                  <w:left w:w="70" w:type="dxa"/>
                  <w:right w:w="70" w:type="dxa"/>
                </w:tcMar>
                <w:vAlign w:val="center"/>
              </w:tcPr>
              <w:p w14:paraId="4334BB2C" w14:textId="0757F1A1" w:rsidR="0E4E29E4" w:rsidRPr="00CA026F" w:rsidRDefault="0E4E29E4" w:rsidP="0E4E29E4">
                <w:pPr>
                  <w:spacing w:after="0"/>
                  <w:ind w:left="-20" w:right="-20"/>
                  <w:jc w:val="center"/>
                  <w:rPr>
                    <w:sz w:val="18"/>
                    <w:szCs w:val="18"/>
                  </w:rPr>
                </w:pPr>
                <w:r w:rsidRPr="00CA026F">
                  <w:rPr>
                    <w:rFonts w:ascii="Times New Roman" w:eastAsia="Times New Roman" w:hAnsi="Times New Roman"/>
                    <w:b/>
                    <w:bCs/>
                    <w:sz w:val="18"/>
                    <w:szCs w:val="18"/>
                  </w:rPr>
                  <w:t>Db</w:t>
                </w:r>
              </w:p>
            </w:tc>
            <w:tc>
              <w:tcPr>
                <w:tcW w:w="3300" w:type="dxa"/>
                <w:tcMar>
                  <w:left w:w="70" w:type="dxa"/>
                  <w:right w:w="70" w:type="dxa"/>
                </w:tcMar>
                <w:vAlign w:val="center"/>
              </w:tcPr>
              <w:p w14:paraId="3AB8EBA6" w14:textId="01A0F320" w:rsidR="0E4E29E4" w:rsidRPr="00CA026F" w:rsidRDefault="0E4E29E4" w:rsidP="0E4E29E4">
                <w:pPr>
                  <w:spacing w:after="0"/>
                  <w:ind w:left="-20" w:right="-20"/>
                  <w:rPr>
                    <w:sz w:val="18"/>
                    <w:szCs w:val="18"/>
                  </w:rPr>
                </w:pPr>
                <w:r w:rsidRPr="00CA026F">
                  <w:rPr>
                    <w:rFonts w:ascii="Times New Roman" w:eastAsia="Times New Roman" w:hAnsi="Times New Roman"/>
                    <w:b/>
                    <w:bCs/>
                    <w:sz w:val="18"/>
                    <w:szCs w:val="18"/>
                  </w:rPr>
                  <w:t>DETERIORO</w:t>
                </w:r>
              </w:p>
            </w:tc>
            <w:tc>
              <w:tcPr>
                <w:tcW w:w="1418" w:type="dxa"/>
                <w:tcMar>
                  <w:left w:w="70" w:type="dxa"/>
                  <w:right w:w="70" w:type="dxa"/>
                </w:tcMar>
                <w:vAlign w:val="center"/>
              </w:tcPr>
              <w:p w14:paraId="1EB29919" w14:textId="73FE6F45" w:rsidR="0E4E29E4" w:rsidRPr="00CA026F" w:rsidRDefault="0E4E29E4" w:rsidP="0E4E29E4">
                <w:pPr>
                  <w:spacing w:after="0"/>
                  <w:ind w:left="-20" w:right="-20"/>
                  <w:jc w:val="right"/>
                  <w:rPr>
                    <w:sz w:val="18"/>
                    <w:szCs w:val="18"/>
                  </w:rPr>
                </w:pPr>
                <w:r w:rsidRPr="00CA026F">
                  <w:rPr>
                    <w:rFonts w:ascii="Times New Roman" w:eastAsia="Times New Roman" w:hAnsi="Times New Roman"/>
                    <w:b/>
                    <w:bCs/>
                    <w:sz w:val="18"/>
                    <w:szCs w:val="18"/>
                  </w:rPr>
                  <w:t>296.210.724.287</w:t>
                </w:r>
              </w:p>
            </w:tc>
            <w:tc>
              <w:tcPr>
                <w:tcW w:w="1417" w:type="dxa"/>
                <w:tcMar>
                  <w:left w:w="70" w:type="dxa"/>
                  <w:right w:w="70" w:type="dxa"/>
                </w:tcMar>
                <w:vAlign w:val="center"/>
              </w:tcPr>
              <w:p w14:paraId="655401B0" w14:textId="1A69A9FD" w:rsidR="0E4E29E4" w:rsidRPr="00CA026F" w:rsidRDefault="0E4E29E4" w:rsidP="0E4E29E4">
                <w:pPr>
                  <w:spacing w:after="0"/>
                  <w:ind w:left="-20" w:right="-20"/>
                  <w:jc w:val="right"/>
                  <w:rPr>
                    <w:sz w:val="18"/>
                    <w:szCs w:val="18"/>
                  </w:rPr>
                </w:pPr>
                <w:r w:rsidRPr="00CA026F">
                  <w:rPr>
                    <w:rFonts w:ascii="Times New Roman" w:eastAsia="Times New Roman" w:hAnsi="Times New Roman"/>
                    <w:b/>
                    <w:bCs/>
                    <w:sz w:val="18"/>
                    <w:szCs w:val="18"/>
                  </w:rPr>
                  <w:t>0</w:t>
                </w:r>
              </w:p>
            </w:tc>
            <w:tc>
              <w:tcPr>
                <w:tcW w:w="1467" w:type="dxa"/>
                <w:tcMar>
                  <w:left w:w="70" w:type="dxa"/>
                  <w:right w:w="70" w:type="dxa"/>
                </w:tcMar>
                <w:vAlign w:val="center"/>
              </w:tcPr>
              <w:p w14:paraId="63A8056B" w14:textId="19C36437" w:rsidR="0E4E29E4" w:rsidRPr="00CA026F" w:rsidRDefault="0E4E29E4" w:rsidP="0E4E29E4">
                <w:pPr>
                  <w:spacing w:after="0"/>
                  <w:ind w:left="-20" w:right="-20"/>
                  <w:jc w:val="right"/>
                  <w:rPr>
                    <w:sz w:val="18"/>
                    <w:szCs w:val="18"/>
                  </w:rPr>
                </w:pPr>
                <w:r w:rsidRPr="00CA026F">
                  <w:rPr>
                    <w:rFonts w:ascii="Times New Roman" w:eastAsia="Times New Roman" w:hAnsi="Times New Roman"/>
                    <w:b/>
                    <w:bCs/>
                    <w:sz w:val="18"/>
                    <w:szCs w:val="18"/>
                  </w:rPr>
                  <w:t>296.210.724.287</w:t>
                </w:r>
              </w:p>
            </w:tc>
          </w:tr>
          <w:tr w:rsidR="0E4E29E4" w:rsidRPr="00CA026F" w14:paraId="18800CFC" w14:textId="77777777" w:rsidTr="00CA026F">
            <w:trPr>
              <w:trHeight w:val="285"/>
            </w:trPr>
            <w:tc>
              <w:tcPr>
                <w:tcW w:w="851" w:type="dxa"/>
                <w:tcMar>
                  <w:left w:w="70" w:type="dxa"/>
                  <w:right w:w="70" w:type="dxa"/>
                </w:tcMar>
                <w:vAlign w:val="center"/>
              </w:tcPr>
              <w:p w14:paraId="5AC8F959" w14:textId="7D8137FF" w:rsidR="0E4E29E4" w:rsidRPr="00CA026F" w:rsidRDefault="0E4E29E4" w:rsidP="0E4E29E4">
                <w:pPr>
                  <w:spacing w:after="0"/>
                  <w:ind w:left="-20" w:right="-20"/>
                  <w:rPr>
                    <w:sz w:val="18"/>
                    <w:szCs w:val="18"/>
                  </w:rPr>
                </w:pPr>
                <w:r w:rsidRPr="00CA026F">
                  <w:rPr>
                    <w:rFonts w:ascii="Times New Roman" w:eastAsia="Times New Roman" w:hAnsi="Times New Roman"/>
                    <w:b/>
                    <w:bCs/>
                    <w:sz w:val="18"/>
                    <w:szCs w:val="18"/>
                  </w:rPr>
                  <w:t>5.3.47</w:t>
                </w:r>
              </w:p>
            </w:tc>
            <w:tc>
              <w:tcPr>
                <w:tcW w:w="517" w:type="dxa"/>
                <w:tcMar>
                  <w:left w:w="70" w:type="dxa"/>
                  <w:right w:w="70" w:type="dxa"/>
                </w:tcMar>
                <w:vAlign w:val="center"/>
              </w:tcPr>
              <w:p w14:paraId="486BD50E" w14:textId="3D2B08BC" w:rsidR="0E4E29E4" w:rsidRPr="00CA026F" w:rsidRDefault="0E4E29E4" w:rsidP="0E4E29E4">
                <w:pPr>
                  <w:spacing w:after="0"/>
                  <w:ind w:left="-20" w:right="-20"/>
                  <w:jc w:val="center"/>
                  <w:rPr>
                    <w:sz w:val="18"/>
                    <w:szCs w:val="18"/>
                  </w:rPr>
                </w:pPr>
                <w:r w:rsidRPr="00CA026F">
                  <w:rPr>
                    <w:rFonts w:ascii="Times New Roman" w:eastAsia="Times New Roman" w:hAnsi="Times New Roman"/>
                    <w:b/>
                    <w:bCs/>
                    <w:sz w:val="18"/>
                    <w:szCs w:val="18"/>
                  </w:rPr>
                  <w:t>Db</w:t>
                </w:r>
              </w:p>
            </w:tc>
            <w:tc>
              <w:tcPr>
                <w:tcW w:w="3300" w:type="dxa"/>
                <w:tcMar>
                  <w:left w:w="70" w:type="dxa"/>
                  <w:right w:w="70" w:type="dxa"/>
                </w:tcMar>
                <w:vAlign w:val="center"/>
              </w:tcPr>
              <w:p w14:paraId="62947777" w14:textId="23B68DB5" w:rsidR="0E4E29E4" w:rsidRPr="00CA026F" w:rsidRDefault="0E4E29E4" w:rsidP="0E4E29E4">
                <w:pPr>
                  <w:spacing w:after="0"/>
                  <w:ind w:left="-20" w:right="-20"/>
                  <w:rPr>
                    <w:sz w:val="18"/>
                    <w:szCs w:val="18"/>
                  </w:rPr>
                </w:pPr>
                <w:r w:rsidRPr="00CA026F">
                  <w:rPr>
                    <w:rFonts w:ascii="Times New Roman" w:eastAsia="Times New Roman" w:hAnsi="Times New Roman"/>
                    <w:b/>
                    <w:bCs/>
                    <w:sz w:val="18"/>
                    <w:szCs w:val="18"/>
                  </w:rPr>
                  <w:t>De cuentas por cobrar</w:t>
                </w:r>
              </w:p>
            </w:tc>
            <w:tc>
              <w:tcPr>
                <w:tcW w:w="1418" w:type="dxa"/>
                <w:tcMar>
                  <w:left w:w="70" w:type="dxa"/>
                  <w:right w:w="70" w:type="dxa"/>
                </w:tcMar>
                <w:vAlign w:val="center"/>
              </w:tcPr>
              <w:p w14:paraId="647EB739" w14:textId="586602A9" w:rsidR="0E4E29E4" w:rsidRPr="00CA026F" w:rsidRDefault="0E4E29E4" w:rsidP="0E4E29E4">
                <w:pPr>
                  <w:spacing w:after="0"/>
                  <w:ind w:left="-20" w:right="-20"/>
                  <w:jc w:val="right"/>
                  <w:rPr>
                    <w:sz w:val="18"/>
                    <w:szCs w:val="18"/>
                  </w:rPr>
                </w:pPr>
                <w:r w:rsidRPr="00CA026F">
                  <w:rPr>
                    <w:rFonts w:ascii="Times New Roman" w:eastAsia="Times New Roman" w:hAnsi="Times New Roman"/>
                    <w:b/>
                    <w:bCs/>
                    <w:sz w:val="18"/>
                    <w:szCs w:val="18"/>
                  </w:rPr>
                  <w:t>296.210.724.287</w:t>
                </w:r>
              </w:p>
            </w:tc>
            <w:tc>
              <w:tcPr>
                <w:tcW w:w="1417" w:type="dxa"/>
                <w:tcMar>
                  <w:left w:w="70" w:type="dxa"/>
                  <w:right w:w="70" w:type="dxa"/>
                </w:tcMar>
                <w:vAlign w:val="center"/>
              </w:tcPr>
              <w:p w14:paraId="1AF1DBFA" w14:textId="38B20202" w:rsidR="0E4E29E4" w:rsidRPr="00CA026F" w:rsidRDefault="0E4E29E4" w:rsidP="0E4E29E4">
                <w:pPr>
                  <w:spacing w:after="0"/>
                  <w:ind w:left="-20" w:right="-20"/>
                  <w:jc w:val="right"/>
                  <w:rPr>
                    <w:sz w:val="18"/>
                    <w:szCs w:val="18"/>
                  </w:rPr>
                </w:pPr>
                <w:r w:rsidRPr="00CA026F">
                  <w:rPr>
                    <w:rFonts w:ascii="Times New Roman" w:eastAsia="Times New Roman" w:hAnsi="Times New Roman"/>
                    <w:b/>
                    <w:bCs/>
                    <w:sz w:val="18"/>
                    <w:szCs w:val="18"/>
                  </w:rPr>
                  <w:t>0</w:t>
                </w:r>
              </w:p>
            </w:tc>
            <w:tc>
              <w:tcPr>
                <w:tcW w:w="1467" w:type="dxa"/>
                <w:tcMar>
                  <w:left w:w="70" w:type="dxa"/>
                  <w:right w:w="70" w:type="dxa"/>
                </w:tcMar>
                <w:vAlign w:val="center"/>
              </w:tcPr>
              <w:p w14:paraId="35CCAB9D" w14:textId="39BB5818" w:rsidR="0E4E29E4" w:rsidRPr="00CA026F" w:rsidRDefault="0E4E29E4" w:rsidP="0E4E29E4">
                <w:pPr>
                  <w:spacing w:after="0"/>
                  <w:ind w:left="-20" w:right="-20"/>
                  <w:jc w:val="right"/>
                  <w:rPr>
                    <w:sz w:val="18"/>
                    <w:szCs w:val="18"/>
                  </w:rPr>
                </w:pPr>
                <w:r w:rsidRPr="00CA026F">
                  <w:rPr>
                    <w:rFonts w:ascii="Times New Roman" w:eastAsia="Times New Roman" w:hAnsi="Times New Roman"/>
                    <w:b/>
                    <w:bCs/>
                    <w:sz w:val="18"/>
                    <w:szCs w:val="18"/>
                  </w:rPr>
                  <w:t>296.210.724.287</w:t>
                </w:r>
              </w:p>
            </w:tc>
          </w:tr>
          <w:tr w:rsidR="0E4E29E4" w:rsidRPr="00CA026F" w14:paraId="672BBA02" w14:textId="77777777" w:rsidTr="00CA026F">
            <w:trPr>
              <w:trHeight w:val="300"/>
            </w:trPr>
            <w:tc>
              <w:tcPr>
                <w:tcW w:w="851" w:type="dxa"/>
                <w:tcMar>
                  <w:left w:w="70" w:type="dxa"/>
                  <w:right w:w="70" w:type="dxa"/>
                </w:tcMar>
                <w:vAlign w:val="center"/>
              </w:tcPr>
              <w:p w14:paraId="4020571A" w14:textId="2782B13D" w:rsidR="0E4E29E4" w:rsidRPr="00CA026F" w:rsidRDefault="0E4E29E4" w:rsidP="0E4E29E4">
                <w:pPr>
                  <w:spacing w:after="0"/>
                  <w:ind w:left="-20" w:right="-20"/>
                  <w:rPr>
                    <w:sz w:val="18"/>
                    <w:szCs w:val="18"/>
                  </w:rPr>
                </w:pPr>
                <w:r w:rsidRPr="00CA026F">
                  <w:rPr>
                    <w:rFonts w:ascii="Times New Roman" w:eastAsia="Times New Roman" w:hAnsi="Times New Roman"/>
                    <w:sz w:val="18"/>
                    <w:szCs w:val="18"/>
                  </w:rPr>
                  <w:t>5.3.47.14</w:t>
                </w:r>
              </w:p>
            </w:tc>
            <w:tc>
              <w:tcPr>
                <w:tcW w:w="517" w:type="dxa"/>
                <w:tcMar>
                  <w:left w:w="70" w:type="dxa"/>
                  <w:right w:w="70" w:type="dxa"/>
                </w:tcMar>
                <w:vAlign w:val="center"/>
              </w:tcPr>
              <w:p w14:paraId="5CE6A871" w14:textId="7E7E98D0" w:rsidR="0E4E29E4" w:rsidRPr="00CA026F" w:rsidRDefault="0E4E29E4" w:rsidP="0E4E29E4">
                <w:pPr>
                  <w:spacing w:after="0"/>
                  <w:ind w:left="-20" w:right="-20"/>
                  <w:jc w:val="center"/>
                  <w:rPr>
                    <w:sz w:val="18"/>
                    <w:szCs w:val="18"/>
                  </w:rPr>
                </w:pPr>
                <w:r w:rsidRPr="00CA026F">
                  <w:rPr>
                    <w:rFonts w:ascii="Times New Roman" w:eastAsia="Times New Roman" w:hAnsi="Times New Roman"/>
                    <w:sz w:val="18"/>
                    <w:szCs w:val="18"/>
                  </w:rPr>
                  <w:t>Db</w:t>
                </w:r>
              </w:p>
            </w:tc>
            <w:tc>
              <w:tcPr>
                <w:tcW w:w="3300" w:type="dxa"/>
                <w:tcMar>
                  <w:left w:w="70" w:type="dxa"/>
                  <w:right w:w="70" w:type="dxa"/>
                </w:tcMar>
                <w:vAlign w:val="center"/>
              </w:tcPr>
              <w:p w14:paraId="7D5A69AC" w14:textId="760962BC" w:rsidR="0E4E29E4" w:rsidRPr="00CA026F" w:rsidRDefault="0E4E29E4" w:rsidP="0E4E29E4">
                <w:pPr>
                  <w:spacing w:after="0"/>
                  <w:ind w:left="-20" w:right="-20"/>
                  <w:rPr>
                    <w:sz w:val="18"/>
                    <w:szCs w:val="18"/>
                  </w:rPr>
                </w:pPr>
                <w:r w:rsidRPr="00CA026F">
                  <w:rPr>
                    <w:rFonts w:ascii="Times New Roman" w:eastAsia="Times New Roman" w:hAnsi="Times New Roman"/>
                    <w:sz w:val="18"/>
                    <w:szCs w:val="18"/>
                  </w:rPr>
                  <w:t>Contribuciones, tasas e ingresos no tributarios</w:t>
                </w:r>
              </w:p>
            </w:tc>
            <w:tc>
              <w:tcPr>
                <w:tcW w:w="1418" w:type="dxa"/>
                <w:tcMar>
                  <w:left w:w="70" w:type="dxa"/>
                  <w:right w:w="70" w:type="dxa"/>
                </w:tcMar>
                <w:vAlign w:val="center"/>
              </w:tcPr>
              <w:p w14:paraId="211EEF34" w14:textId="3A746125" w:rsidR="0E4E29E4" w:rsidRPr="00CA026F" w:rsidRDefault="0E4E29E4" w:rsidP="0E4E29E4">
                <w:pPr>
                  <w:spacing w:after="0"/>
                  <w:ind w:left="-20" w:right="-20"/>
                  <w:jc w:val="right"/>
                  <w:rPr>
                    <w:sz w:val="18"/>
                    <w:szCs w:val="18"/>
                  </w:rPr>
                </w:pPr>
                <w:r w:rsidRPr="00CA026F">
                  <w:rPr>
                    <w:rFonts w:ascii="Times New Roman" w:eastAsia="Times New Roman" w:hAnsi="Times New Roman"/>
                    <w:sz w:val="18"/>
                    <w:szCs w:val="18"/>
                  </w:rPr>
                  <w:t>10.502.451.721</w:t>
                </w:r>
              </w:p>
            </w:tc>
            <w:tc>
              <w:tcPr>
                <w:tcW w:w="1417" w:type="dxa"/>
                <w:tcMar>
                  <w:left w:w="70" w:type="dxa"/>
                  <w:right w:w="70" w:type="dxa"/>
                </w:tcMar>
                <w:vAlign w:val="center"/>
              </w:tcPr>
              <w:p w14:paraId="16D565D6" w14:textId="31EDF87C" w:rsidR="0E4E29E4" w:rsidRPr="00CA026F" w:rsidRDefault="0E4E29E4" w:rsidP="0E4E29E4">
                <w:pPr>
                  <w:spacing w:after="0"/>
                  <w:ind w:left="-20" w:right="-20"/>
                  <w:jc w:val="right"/>
                  <w:rPr>
                    <w:sz w:val="18"/>
                    <w:szCs w:val="18"/>
                  </w:rPr>
                </w:pPr>
                <w:r w:rsidRPr="00CA026F">
                  <w:rPr>
                    <w:rFonts w:ascii="Times New Roman" w:eastAsia="Times New Roman" w:hAnsi="Times New Roman"/>
                    <w:sz w:val="18"/>
                    <w:szCs w:val="18"/>
                  </w:rPr>
                  <w:t>0</w:t>
                </w:r>
              </w:p>
            </w:tc>
            <w:tc>
              <w:tcPr>
                <w:tcW w:w="1467" w:type="dxa"/>
                <w:tcMar>
                  <w:left w:w="70" w:type="dxa"/>
                  <w:right w:w="70" w:type="dxa"/>
                </w:tcMar>
                <w:vAlign w:val="center"/>
              </w:tcPr>
              <w:p w14:paraId="0F3C3883" w14:textId="3E03369F" w:rsidR="0E4E29E4" w:rsidRPr="00CA026F" w:rsidRDefault="0E4E29E4" w:rsidP="0E4E29E4">
                <w:pPr>
                  <w:spacing w:after="0"/>
                  <w:ind w:left="-20" w:right="-20"/>
                  <w:jc w:val="right"/>
                  <w:rPr>
                    <w:sz w:val="18"/>
                    <w:szCs w:val="18"/>
                  </w:rPr>
                </w:pPr>
                <w:r w:rsidRPr="00CA026F">
                  <w:rPr>
                    <w:rFonts w:ascii="Times New Roman" w:eastAsia="Times New Roman" w:hAnsi="Times New Roman"/>
                    <w:sz w:val="18"/>
                    <w:szCs w:val="18"/>
                  </w:rPr>
                  <w:t>10.502.451.721</w:t>
                </w:r>
              </w:p>
            </w:tc>
          </w:tr>
          <w:tr w:rsidR="0E4E29E4" w:rsidRPr="00CA026F" w14:paraId="2AD8D4AB" w14:textId="77777777" w:rsidTr="00CA026F">
            <w:trPr>
              <w:trHeight w:val="600"/>
            </w:trPr>
            <w:tc>
              <w:tcPr>
                <w:tcW w:w="851" w:type="dxa"/>
                <w:tcMar>
                  <w:left w:w="70" w:type="dxa"/>
                  <w:right w:w="70" w:type="dxa"/>
                </w:tcMar>
                <w:vAlign w:val="center"/>
              </w:tcPr>
              <w:p w14:paraId="55623D45" w14:textId="63BB9292" w:rsidR="0E4E29E4" w:rsidRPr="00CA026F" w:rsidRDefault="0E4E29E4" w:rsidP="0E4E29E4">
                <w:pPr>
                  <w:spacing w:after="0"/>
                  <w:ind w:left="-20" w:right="-20"/>
                  <w:rPr>
                    <w:sz w:val="18"/>
                    <w:szCs w:val="18"/>
                  </w:rPr>
                </w:pPr>
                <w:r w:rsidRPr="00CA026F">
                  <w:rPr>
                    <w:rFonts w:ascii="Times New Roman" w:eastAsia="Times New Roman" w:hAnsi="Times New Roman"/>
                    <w:sz w:val="18"/>
                    <w:szCs w:val="18"/>
                  </w:rPr>
                  <w:t>5.3.47.19</w:t>
                </w:r>
              </w:p>
            </w:tc>
            <w:tc>
              <w:tcPr>
                <w:tcW w:w="517" w:type="dxa"/>
                <w:tcMar>
                  <w:left w:w="70" w:type="dxa"/>
                  <w:right w:w="70" w:type="dxa"/>
                </w:tcMar>
                <w:vAlign w:val="center"/>
              </w:tcPr>
              <w:p w14:paraId="72F94571" w14:textId="6434DBBF" w:rsidR="0E4E29E4" w:rsidRPr="00CA026F" w:rsidRDefault="0E4E29E4" w:rsidP="0E4E29E4">
                <w:pPr>
                  <w:spacing w:after="0"/>
                  <w:ind w:left="-20" w:right="-20"/>
                  <w:jc w:val="center"/>
                  <w:rPr>
                    <w:sz w:val="18"/>
                    <w:szCs w:val="18"/>
                  </w:rPr>
                </w:pPr>
                <w:r w:rsidRPr="00CA026F">
                  <w:rPr>
                    <w:rFonts w:ascii="Times New Roman" w:eastAsia="Times New Roman" w:hAnsi="Times New Roman"/>
                    <w:sz w:val="18"/>
                    <w:szCs w:val="18"/>
                  </w:rPr>
                  <w:t>Db</w:t>
                </w:r>
              </w:p>
            </w:tc>
            <w:tc>
              <w:tcPr>
                <w:tcW w:w="3300" w:type="dxa"/>
                <w:tcMar>
                  <w:left w:w="70" w:type="dxa"/>
                  <w:right w:w="70" w:type="dxa"/>
                </w:tcMar>
                <w:vAlign w:val="center"/>
              </w:tcPr>
              <w:p w14:paraId="35FB8DCE" w14:textId="7BE1D6FB" w:rsidR="0E4E29E4" w:rsidRPr="00CA026F" w:rsidRDefault="0E4E29E4" w:rsidP="0E4E29E4">
                <w:pPr>
                  <w:spacing w:after="0"/>
                  <w:ind w:left="-20" w:right="-20"/>
                  <w:rPr>
                    <w:sz w:val="18"/>
                    <w:szCs w:val="18"/>
                  </w:rPr>
                </w:pPr>
                <w:r w:rsidRPr="00CA026F">
                  <w:rPr>
                    <w:rFonts w:ascii="Times New Roman" w:eastAsia="Times New Roman" w:hAnsi="Times New Roman"/>
                    <w:sz w:val="18"/>
                    <w:szCs w:val="18"/>
                  </w:rPr>
                  <w:t>Sentencias, laudos arbitrales y conciliaciones extrajudiciales a favor de la entidad</w:t>
                </w:r>
              </w:p>
            </w:tc>
            <w:tc>
              <w:tcPr>
                <w:tcW w:w="1418" w:type="dxa"/>
                <w:tcMar>
                  <w:left w:w="70" w:type="dxa"/>
                  <w:right w:w="70" w:type="dxa"/>
                </w:tcMar>
                <w:vAlign w:val="center"/>
              </w:tcPr>
              <w:p w14:paraId="1F0E28AD" w14:textId="2938A8F7" w:rsidR="0E4E29E4" w:rsidRPr="00CA026F" w:rsidRDefault="0E4E29E4" w:rsidP="0E4E29E4">
                <w:pPr>
                  <w:spacing w:after="0"/>
                  <w:ind w:left="-20" w:right="-20"/>
                  <w:jc w:val="right"/>
                  <w:rPr>
                    <w:sz w:val="18"/>
                    <w:szCs w:val="18"/>
                  </w:rPr>
                </w:pPr>
                <w:r w:rsidRPr="00CA026F">
                  <w:rPr>
                    <w:rFonts w:ascii="Times New Roman" w:eastAsia="Times New Roman" w:hAnsi="Times New Roman"/>
                    <w:sz w:val="18"/>
                    <w:szCs w:val="18"/>
                  </w:rPr>
                  <w:t>285.706.133.890</w:t>
                </w:r>
              </w:p>
            </w:tc>
            <w:tc>
              <w:tcPr>
                <w:tcW w:w="1417" w:type="dxa"/>
                <w:tcMar>
                  <w:left w:w="70" w:type="dxa"/>
                  <w:right w:w="70" w:type="dxa"/>
                </w:tcMar>
                <w:vAlign w:val="center"/>
              </w:tcPr>
              <w:p w14:paraId="4E6E2D9A" w14:textId="12B2591F" w:rsidR="0E4E29E4" w:rsidRPr="00CA026F" w:rsidRDefault="0E4E29E4" w:rsidP="0E4E29E4">
                <w:pPr>
                  <w:spacing w:after="0"/>
                  <w:ind w:left="-20" w:right="-20"/>
                  <w:jc w:val="right"/>
                  <w:rPr>
                    <w:sz w:val="18"/>
                    <w:szCs w:val="18"/>
                  </w:rPr>
                </w:pPr>
                <w:r w:rsidRPr="00CA026F">
                  <w:rPr>
                    <w:rFonts w:ascii="Times New Roman" w:eastAsia="Times New Roman" w:hAnsi="Times New Roman"/>
                    <w:sz w:val="18"/>
                    <w:szCs w:val="18"/>
                  </w:rPr>
                  <w:t>0</w:t>
                </w:r>
              </w:p>
            </w:tc>
            <w:tc>
              <w:tcPr>
                <w:tcW w:w="1467" w:type="dxa"/>
                <w:tcMar>
                  <w:left w:w="70" w:type="dxa"/>
                  <w:right w:w="70" w:type="dxa"/>
                </w:tcMar>
                <w:vAlign w:val="center"/>
              </w:tcPr>
              <w:p w14:paraId="7FD69A70" w14:textId="6F6CD783" w:rsidR="0E4E29E4" w:rsidRPr="00CA026F" w:rsidRDefault="0E4E29E4" w:rsidP="0E4E29E4">
                <w:pPr>
                  <w:spacing w:after="0"/>
                  <w:ind w:left="-20" w:right="-20"/>
                  <w:jc w:val="right"/>
                  <w:rPr>
                    <w:sz w:val="18"/>
                    <w:szCs w:val="18"/>
                  </w:rPr>
                </w:pPr>
                <w:r w:rsidRPr="00CA026F">
                  <w:rPr>
                    <w:rFonts w:ascii="Times New Roman" w:eastAsia="Times New Roman" w:hAnsi="Times New Roman"/>
                    <w:sz w:val="18"/>
                    <w:szCs w:val="18"/>
                  </w:rPr>
                  <w:t>285.706.133.890</w:t>
                </w:r>
              </w:p>
            </w:tc>
          </w:tr>
          <w:tr w:rsidR="0E4E29E4" w:rsidRPr="00CA026F" w14:paraId="7E22E767" w14:textId="77777777" w:rsidTr="00CA026F">
            <w:trPr>
              <w:trHeight w:val="300"/>
            </w:trPr>
            <w:tc>
              <w:tcPr>
                <w:tcW w:w="851" w:type="dxa"/>
                <w:tcMar>
                  <w:left w:w="70" w:type="dxa"/>
                  <w:right w:w="70" w:type="dxa"/>
                </w:tcMar>
                <w:vAlign w:val="center"/>
              </w:tcPr>
              <w:p w14:paraId="2862FA6B" w14:textId="4668D870" w:rsidR="0E4E29E4" w:rsidRPr="00CA026F" w:rsidRDefault="0E4E29E4" w:rsidP="0E4E29E4">
                <w:pPr>
                  <w:spacing w:after="0"/>
                  <w:ind w:left="-20" w:right="-20"/>
                  <w:rPr>
                    <w:sz w:val="18"/>
                    <w:szCs w:val="18"/>
                  </w:rPr>
                </w:pPr>
                <w:r w:rsidRPr="00CA026F">
                  <w:rPr>
                    <w:rFonts w:ascii="Times New Roman" w:eastAsia="Times New Roman" w:hAnsi="Times New Roman"/>
                    <w:sz w:val="18"/>
                    <w:szCs w:val="18"/>
                  </w:rPr>
                  <w:t>5.3.47.90</w:t>
                </w:r>
              </w:p>
            </w:tc>
            <w:tc>
              <w:tcPr>
                <w:tcW w:w="517" w:type="dxa"/>
                <w:tcMar>
                  <w:left w:w="70" w:type="dxa"/>
                  <w:right w:w="70" w:type="dxa"/>
                </w:tcMar>
                <w:vAlign w:val="center"/>
              </w:tcPr>
              <w:p w14:paraId="07322817" w14:textId="1501AFC1" w:rsidR="0E4E29E4" w:rsidRPr="00CA026F" w:rsidRDefault="0E4E29E4" w:rsidP="0E4E29E4">
                <w:pPr>
                  <w:spacing w:after="0"/>
                  <w:ind w:left="-20" w:right="-20"/>
                  <w:jc w:val="center"/>
                  <w:rPr>
                    <w:sz w:val="18"/>
                    <w:szCs w:val="18"/>
                  </w:rPr>
                </w:pPr>
                <w:r w:rsidRPr="00CA026F">
                  <w:rPr>
                    <w:rFonts w:ascii="Times New Roman" w:eastAsia="Times New Roman" w:hAnsi="Times New Roman"/>
                    <w:sz w:val="18"/>
                    <w:szCs w:val="18"/>
                  </w:rPr>
                  <w:t>Db</w:t>
                </w:r>
              </w:p>
            </w:tc>
            <w:tc>
              <w:tcPr>
                <w:tcW w:w="3300" w:type="dxa"/>
                <w:tcMar>
                  <w:left w:w="70" w:type="dxa"/>
                  <w:right w:w="70" w:type="dxa"/>
                </w:tcMar>
                <w:vAlign w:val="center"/>
              </w:tcPr>
              <w:p w14:paraId="44570975" w14:textId="2867D26B" w:rsidR="0E4E29E4" w:rsidRPr="00CA026F" w:rsidRDefault="0E4E29E4" w:rsidP="0E4E29E4">
                <w:pPr>
                  <w:spacing w:after="0"/>
                  <w:ind w:left="-20" w:right="-20"/>
                  <w:rPr>
                    <w:sz w:val="18"/>
                    <w:szCs w:val="18"/>
                  </w:rPr>
                </w:pPr>
                <w:r w:rsidRPr="00CA026F">
                  <w:rPr>
                    <w:rFonts w:ascii="Times New Roman" w:eastAsia="Times New Roman" w:hAnsi="Times New Roman"/>
                    <w:sz w:val="18"/>
                    <w:szCs w:val="18"/>
                  </w:rPr>
                  <w:t>Otras cuentas por cobrar</w:t>
                </w:r>
              </w:p>
            </w:tc>
            <w:tc>
              <w:tcPr>
                <w:tcW w:w="1418" w:type="dxa"/>
                <w:tcMar>
                  <w:left w:w="70" w:type="dxa"/>
                  <w:right w:w="70" w:type="dxa"/>
                </w:tcMar>
                <w:vAlign w:val="center"/>
              </w:tcPr>
              <w:p w14:paraId="6133C5C0" w14:textId="409F9392" w:rsidR="0E4E29E4" w:rsidRPr="00CA026F" w:rsidRDefault="0E4E29E4" w:rsidP="0E4E29E4">
                <w:pPr>
                  <w:spacing w:after="0"/>
                  <w:ind w:left="-20" w:right="-20"/>
                  <w:jc w:val="right"/>
                  <w:rPr>
                    <w:sz w:val="18"/>
                    <w:szCs w:val="18"/>
                  </w:rPr>
                </w:pPr>
                <w:r w:rsidRPr="00CA026F">
                  <w:rPr>
                    <w:rFonts w:ascii="Times New Roman" w:eastAsia="Times New Roman" w:hAnsi="Times New Roman"/>
                    <w:sz w:val="18"/>
                    <w:szCs w:val="18"/>
                  </w:rPr>
                  <w:t>2.138.676</w:t>
                </w:r>
              </w:p>
            </w:tc>
            <w:tc>
              <w:tcPr>
                <w:tcW w:w="1417" w:type="dxa"/>
                <w:tcMar>
                  <w:left w:w="70" w:type="dxa"/>
                  <w:right w:w="70" w:type="dxa"/>
                </w:tcMar>
                <w:vAlign w:val="center"/>
              </w:tcPr>
              <w:p w14:paraId="07E1DD9A" w14:textId="3667ED9F" w:rsidR="0E4E29E4" w:rsidRPr="00CA026F" w:rsidRDefault="0E4E29E4" w:rsidP="0E4E29E4">
                <w:pPr>
                  <w:spacing w:after="0"/>
                  <w:ind w:left="-20" w:right="-20"/>
                  <w:jc w:val="right"/>
                  <w:rPr>
                    <w:sz w:val="18"/>
                    <w:szCs w:val="18"/>
                  </w:rPr>
                </w:pPr>
                <w:r w:rsidRPr="00CA026F">
                  <w:rPr>
                    <w:rFonts w:ascii="Times New Roman" w:eastAsia="Times New Roman" w:hAnsi="Times New Roman"/>
                    <w:sz w:val="18"/>
                    <w:szCs w:val="18"/>
                  </w:rPr>
                  <w:t>0</w:t>
                </w:r>
              </w:p>
            </w:tc>
            <w:tc>
              <w:tcPr>
                <w:tcW w:w="1467" w:type="dxa"/>
                <w:tcMar>
                  <w:left w:w="70" w:type="dxa"/>
                  <w:right w:w="70" w:type="dxa"/>
                </w:tcMar>
                <w:vAlign w:val="center"/>
              </w:tcPr>
              <w:p w14:paraId="6F076CD9" w14:textId="5B9A1C21" w:rsidR="0E4E29E4" w:rsidRPr="00CA026F" w:rsidRDefault="0E4E29E4" w:rsidP="0E4E29E4">
                <w:pPr>
                  <w:spacing w:after="0"/>
                  <w:ind w:left="-20" w:right="-20"/>
                  <w:jc w:val="right"/>
                  <w:rPr>
                    <w:sz w:val="18"/>
                    <w:szCs w:val="18"/>
                  </w:rPr>
                </w:pPr>
                <w:r w:rsidRPr="00CA026F">
                  <w:rPr>
                    <w:rFonts w:ascii="Times New Roman" w:eastAsia="Times New Roman" w:hAnsi="Times New Roman"/>
                    <w:sz w:val="18"/>
                    <w:szCs w:val="18"/>
                  </w:rPr>
                  <w:t>2.138.676</w:t>
                </w:r>
              </w:p>
            </w:tc>
          </w:tr>
        </w:tbl>
        <w:p w14:paraId="7499B327" w14:textId="37E45E6A" w:rsidR="003A4D8E" w:rsidRPr="00931DCE" w:rsidRDefault="64C58135" w:rsidP="0E4E29E4">
          <w:pPr>
            <w:ind w:left="-20" w:right="-20"/>
            <w:jc w:val="both"/>
          </w:pPr>
          <w:r w:rsidRPr="0E4E29E4">
            <w:rPr>
              <w:rFonts w:ascii="Times New Roman" w:eastAsia="Times New Roman" w:hAnsi="Times New Roman"/>
              <w:sz w:val="24"/>
              <w:szCs w:val="24"/>
            </w:rPr>
            <w:t xml:space="preserve"> </w:t>
          </w:r>
          <w:r w:rsidRPr="0E4E29E4">
            <w:rPr>
              <w:rFonts w:ascii="Times New Roman" w:eastAsia="Times New Roman" w:hAnsi="Times New Roman"/>
              <w:sz w:val="14"/>
              <w:szCs w:val="14"/>
            </w:rPr>
            <w:t>Cifras expresadas en pesos</w:t>
          </w:r>
        </w:p>
        <w:p w14:paraId="60A0E94D" w14:textId="23FEBA9F" w:rsidR="003A4D8E" w:rsidRDefault="64C58135" w:rsidP="0036636F">
          <w:pPr>
            <w:ind w:left="-20" w:right="-20"/>
            <w:jc w:val="both"/>
            <w:rPr>
              <w:rFonts w:ascii="Times New Roman" w:eastAsia="Times New Roman" w:hAnsi="Times New Roman"/>
              <w:sz w:val="24"/>
              <w:szCs w:val="24"/>
            </w:rPr>
          </w:pPr>
          <w:r w:rsidRPr="0E4E29E4">
            <w:rPr>
              <w:rFonts w:ascii="Times New Roman" w:eastAsia="Times New Roman" w:hAnsi="Times New Roman"/>
              <w:sz w:val="24"/>
              <w:szCs w:val="24"/>
            </w:rPr>
            <w:t xml:space="preserve">En la cuenta </w:t>
          </w:r>
          <w:r w:rsidRPr="0E4E29E4">
            <w:rPr>
              <w:rFonts w:ascii="Times New Roman" w:eastAsia="Times New Roman" w:hAnsi="Times New Roman"/>
              <w:i/>
              <w:iCs/>
              <w:sz w:val="24"/>
              <w:szCs w:val="24"/>
            </w:rPr>
            <w:t>Deterioro de cuentas por cobrar</w:t>
          </w:r>
          <w:r w:rsidRPr="0E4E29E4">
            <w:rPr>
              <w:rFonts w:ascii="Times New Roman" w:eastAsia="Times New Roman" w:hAnsi="Times New Roman"/>
              <w:sz w:val="24"/>
              <w:szCs w:val="24"/>
            </w:rPr>
            <w:t xml:space="preserve"> se registró, en el 2023, los deterioros realizados de acuerdo con el test de comprobación de factores de riesgos externo de las cuentas por cobrar enviado por el GIT de Defensa judicial, en el formato GADF-F-100, y de los cuales su factor de recuperación de cartera es menor al 75%. A continuación, se detalla por subcuenta y tercero.</w:t>
          </w:r>
        </w:p>
        <w:p w14:paraId="33FAA3F4" w14:textId="77777777" w:rsidR="00EE6A44" w:rsidRPr="00931DCE" w:rsidRDefault="00EE6A44" w:rsidP="0036636F">
          <w:pPr>
            <w:ind w:left="-20" w:right="-20"/>
            <w:jc w:val="both"/>
          </w:pPr>
        </w:p>
        <w:tbl>
          <w:tblPr>
            <w:tblW w:w="5000" w:type="pct"/>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795"/>
            <w:gridCol w:w="3434"/>
            <w:gridCol w:w="1020"/>
            <w:gridCol w:w="2310"/>
            <w:gridCol w:w="1400"/>
          </w:tblGrid>
          <w:tr w:rsidR="0033042F" w:rsidRPr="0036636F" w14:paraId="5BC5C69B" w14:textId="77777777" w:rsidTr="00E918CC">
            <w:trPr>
              <w:trHeight w:val="340"/>
              <w:tblHeader/>
            </w:trPr>
            <w:tc>
              <w:tcPr>
                <w:tcW w:w="444" w:type="pct"/>
                <w:tcMar>
                  <w:left w:w="70" w:type="dxa"/>
                  <w:right w:w="70" w:type="dxa"/>
                </w:tcMar>
                <w:vAlign w:val="center"/>
              </w:tcPr>
              <w:p w14:paraId="2C90E7F5" w14:textId="57B80E40" w:rsidR="0033042F" w:rsidRPr="0036636F" w:rsidRDefault="0033042F" w:rsidP="0E4E29E4">
                <w:pPr>
                  <w:spacing w:after="0"/>
                  <w:ind w:left="-20" w:right="-20"/>
                  <w:jc w:val="center"/>
                  <w:rPr>
                    <w:sz w:val="18"/>
                    <w:szCs w:val="18"/>
                  </w:rPr>
                </w:pPr>
                <w:r w:rsidRPr="0036636F">
                  <w:rPr>
                    <w:rFonts w:ascii="Times New Roman" w:eastAsia="Times New Roman" w:hAnsi="Times New Roman"/>
                    <w:sz w:val="18"/>
                    <w:szCs w:val="18"/>
                  </w:rPr>
                  <w:t xml:space="preserve"> </w:t>
                </w:r>
                <w:r w:rsidRPr="0036636F">
                  <w:rPr>
                    <w:rFonts w:ascii="Times New Roman" w:eastAsia="Times New Roman" w:hAnsi="Times New Roman"/>
                    <w:b/>
                    <w:bCs/>
                    <w:color w:val="000000" w:themeColor="text1"/>
                    <w:sz w:val="18"/>
                    <w:szCs w:val="18"/>
                  </w:rPr>
                  <w:t>COD</w:t>
                </w:r>
              </w:p>
            </w:tc>
            <w:tc>
              <w:tcPr>
                <w:tcW w:w="1924" w:type="pct"/>
                <w:tcMar>
                  <w:left w:w="70" w:type="dxa"/>
                  <w:right w:w="70" w:type="dxa"/>
                </w:tcMar>
                <w:vAlign w:val="center"/>
              </w:tcPr>
              <w:p w14:paraId="61130E9D" w14:textId="7A5214F9" w:rsidR="0033042F" w:rsidRPr="0036636F" w:rsidRDefault="0033042F" w:rsidP="0E4E29E4">
                <w:pPr>
                  <w:spacing w:after="0"/>
                  <w:ind w:left="-20" w:right="-20"/>
                  <w:jc w:val="center"/>
                  <w:rPr>
                    <w:sz w:val="18"/>
                    <w:szCs w:val="18"/>
                  </w:rPr>
                </w:pPr>
                <w:r w:rsidRPr="0036636F">
                  <w:rPr>
                    <w:rFonts w:ascii="Times New Roman" w:eastAsia="Times New Roman" w:hAnsi="Times New Roman"/>
                    <w:b/>
                    <w:bCs/>
                    <w:color w:val="000000" w:themeColor="text1"/>
                    <w:sz w:val="18"/>
                    <w:szCs w:val="18"/>
                  </w:rPr>
                  <w:t>DESCRIPCION</w:t>
                </w:r>
              </w:p>
            </w:tc>
            <w:tc>
              <w:tcPr>
                <w:tcW w:w="1847" w:type="pct"/>
                <w:gridSpan w:val="2"/>
                <w:tcMar>
                  <w:left w:w="70" w:type="dxa"/>
                  <w:right w:w="70" w:type="dxa"/>
                </w:tcMar>
                <w:vAlign w:val="center"/>
              </w:tcPr>
              <w:p w14:paraId="4327C8D8" w14:textId="52B3795E" w:rsidR="0033042F" w:rsidRPr="0036636F" w:rsidRDefault="0033042F" w:rsidP="0E4E29E4">
                <w:pPr>
                  <w:spacing w:after="0"/>
                  <w:ind w:left="-20" w:right="-20"/>
                  <w:jc w:val="center"/>
                  <w:rPr>
                    <w:sz w:val="18"/>
                    <w:szCs w:val="18"/>
                  </w:rPr>
                </w:pPr>
                <w:r>
                  <w:rPr>
                    <w:rFonts w:ascii="Times New Roman" w:eastAsia="Times New Roman" w:hAnsi="Times New Roman"/>
                    <w:b/>
                    <w:bCs/>
                    <w:color w:val="000000" w:themeColor="text1"/>
                    <w:sz w:val="18"/>
                    <w:szCs w:val="18"/>
                  </w:rPr>
                  <w:t>TERCERO</w:t>
                </w:r>
              </w:p>
            </w:tc>
            <w:tc>
              <w:tcPr>
                <w:tcW w:w="785" w:type="pct"/>
                <w:tcMar>
                  <w:left w:w="70" w:type="dxa"/>
                  <w:right w:w="70" w:type="dxa"/>
                </w:tcMar>
                <w:vAlign w:val="center"/>
              </w:tcPr>
              <w:p w14:paraId="1CD93CDC" w14:textId="1C009893" w:rsidR="0033042F" w:rsidRPr="0036636F" w:rsidRDefault="0033042F" w:rsidP="0E4E29E4">
                <w:pPr>
                  <w:spacing w:after="0"/>
                  <w:ind w:left="-20" w:right="-20"/>
                  <w:jc w:val="center"/>
                  <w:rPr>
                    <w:sz w:val="18"/>
                    <w:szCs w:val="18"/>
                  </w:rPr>
                </w:pPr>
                <w:r w:rsidRPr="0036636F">
                  <w:rPr>
                    <w:rFonts w:ascii="Times New Roman" w:eastAsia="Times New Roman" w:hAnsi="Times New Roman"/>
                    <w:b/>
                    <w:bCs/>
                    <w:color w:val="000000" w:themeColor="text1"/>
                    <w:sz w:val="18"/>
                    <w:szCs w:val="18"/>
                  </w:rPr>
                  <w:t>SALDO FINAL</w:t>
                </w:r>
              </w:p>
            </w:tc>
          </w:tr>
          <w:tr w:rsidR="00AF1ED4" w:rsidRPr="0036636F" w14:paraId="5E8BDA70" w14:textId="77777777" w:rsidTr="00E918CC">
            <w:trPr>
              <w:trHeight w:val="340"/>
            </w:trPr>
            <w:tc>
              <w:tcPr>
                <w:tcW w:w="444" w:type="pct"/>
                <w:tcMar>
                  <w:left w:w="70" w:type="dxa"/>
                  <w:right w:w="70" w:type="dxa"/>
                </w:tcMar>
                <w:vAlign w:val="center"/>
              </w:tcPr>
              <w:p w14:paraId="4AE608D4" w14:textId="51DFF323" w:rsidR="0E4E29E4" w:rsidRPr="0036636F" w:rsidRDefault="0E4E29E4" w:rsidP="0E4E29E4">
                <w:pPr>
                  <w:spacing w:after="0"/>
                  <w:ind w:left="-20" w:right="-20"/>
                  <w:rPr>
                    <w:sz w:val="18"/>
                    <w:szCs w:val="18"/>
                  </w:rPr>
                </w:pPr>
                <w:r w:rsidRPr="0036636F">
                  <w:rPr>
                    <w:rFonts w:ascii="Times New Roman" w:eastAsia="Times New Roman" w:hAnsi="Times New Roman"/>
                    <w:color w:val="000000" w:themeColor="text1"/>
                    <w:sz w:val="18"/>
                    <w:szCs w:val="18"/>
                  </w:rPr>
                  <w:t>5</w:t>
                </w:r>
                <w:r w:rsidR="008B3F3E">
                  <w:rPr>
                    <w:rFonts w:ascii="Times New Roman" w:eastAsia="Times New Roman" w:hAnsi="Times New Roman"/>
                    <w:color w:val="000000" w:themeColor="text1"/>
                    <w:sz w:val="18"/>
                    <w:szCs w:val="18"/>
                  </w:rPr>
                  <w:t>.</w:t>
                </w:r>
                <w:r w:rsidRPr="0036636F">
                  <w:rPr>
                    <w:rFonts w:ascii="Times New Roman" w:eastAsia="Times New Roman" w:hAnsi="Times New Roman"/>
                    <w:color w:val="000000" w:themeColor="text1"/>
                    <w:sz w:val="18"/>
                    <w:szCs w:val="18"/>
                  </w:rPr>
                  <w:t>3.47.14</w:t>
                </w:r>
              </w:p>
            </w:tc>
            <w:tc>
              <w:tcPr>
                <w:tcW w:w="1924" w:type="pct"/>
                <w:tcMar>
                  <w:left w:w="70" w:type="dxa"/>
                  <w:right w:w="70" w:type="dxa"/>
                </w:tcMar>
                <w:vAlign w:val="center"/>
              </w:tcPr>
              <w:p w14:paraId="68D10772" w14:textId="714998FA" w:rsidR="0E4E29E4" w:rsidRPr="0036636F" w:rsidRDefault="0E4E29E4" w:rsidP="009B0A5C">
                <w:pPr>
                  <w:spacing w:after="0"/>
                  <w:ind w:left="-20" w:right="-20"/>
                  <w:jc w:val="both"/>
                  <w:rPr>
                    <w:sz w:val="18"/>
                    <w:szCs w:val="18"/>
                  </w:rPr>
                </w:pPr>
                <w:r w:rsidRPr="0036636F">
                  <w:rPr>
                    <w:rFonts w:ascii="Times New Roman" w:eastAsia="Times New Roman" w:hAnsi="Times New Roman"/>
                    <w:color w:val="000000" w:themeColor="text1"/>
                    <w:sz w:val="18"/>
                    <w:szCs w:val="18"/>
                  </w:rPr>
                  <w:t>Contribuciones, tasas e ingresos no tributarios</w:t>
                </w:r>
              </w:p>
            </w:tc>
            <w:tc>
              <w:tcPr>
                <w:tcW w:w="554" w:type="pct"/>
                <w:tcMar>
                  <w:left w:w="70" w:type="dxa"/>
                  <w:right w:w="70" w:type="dxa"/>
                </w:tcMar>
                <w:vAlign w:val="center"/>
              </w:tcPr>
              <w:p w14:paraId="234AF140" w14:textId="67C4C3E2" w:rsidR="0E4E29E4" w:rsidRPr="0036636F" w:rsidRDefault="0E4E29E4" w:rsidP="002A1BD5">
                <w:pPr>
                  <w:spacing w:after="0"/>
                  <w:ind w:left="-20" w:right="-20"/>
                  <w:jc w:val="center"/>
                  <w:rPr>
                    <w:sz w:val="18"/>
                    <w:szCs w:val="18"/>
                  </w:rPr>
                </w:pPr>
                <w:r w:rsidRPr="0036636F">
                  <w:rPr>
                    <w:rFonts w:ascii="Times New Roman" w:eastAsia="Times New Roman" w:hAnsi="Times New Roman"/>
                    <w:color w:val="000000" w:themeColor="text1"/>
                    <w:sz w:val="18"/>
                    <w:szCs w:val="18"/>
                  </w:rPr>
                  <w:t>800235872</w:t>
                </w:r>
              </w:p>
            </w:tc>
            <w:tc>
              <w:tcPr>
                <w:tcW w:w="1293" w:type="pct"/>
                <w:tcMar>
                  <w:left w:w="70" w:type="dxa"/>
                  <w:right w:w="70" w:type="dxa"/>
                </w:tcMar>
                <w:vAlign w:val="center"/>
              </w:tcPr>
              <w:p w14:paraId="0D0DE486" w14:textId="7C74A9DB" w:rsidR="0E4E29E4" w:rsidRPr="0036636F" w:rsidRDefault="00B96243" w:rsidP="009B0A5C">
                <w:pPr>
                  <w:spacing w:after="0"/>
                  <w:ind w:left="-20" w:right="-20"/>
                  <w:jc w:val="both"/>
                  <w:rPr>
                    <w:sz w:val="18"/>
                    <w:szCs w:val="18"/>
                  </w:rPr>
                </w:pPr>
                <w:r w:rsidRPr="0036636F">
                  <w:rPr>
                    <w:rFonts w:ascii="Times New Roman" w:eastAsia="Times New Roman" w:hAnsi="Times New Roman"/>
                    <w:color w:val="000000" w:themeColor="text1"/>
                    <w:sz w:val="18"/>
                    <w:szCs w:val="18"/>
                  </w:rPr>
                  <w:t>Concesionaria Vial de los Andes S.A.S. Coviandes S.A.S.</w:t>
                </w:r>
              </w:p>
            </w:tc>
            <w:tc>
              <w:tcPr>
                <w:tcW w:w="785" w:type="pct"/>
                <w:tcMar>
                  <w:left w:w="70" w:type="dxa"/>
                  <w:right w:w="70" w:type="dxa"/>
                </w:tcMar>
                <w:vAlign w:val="center"/>
              </w:tcPr>
              <w:p w14:paraId="4362A4CF" w14:textId="4753D629" w:rsidR="0E4E29E4" w:rsidRPr="0036636F" w:rsidRDefault="0E4E29E4" w:rsidP="0E4E29E4">
                <w:pPr>
                  <w:spacing w:after="0"/>
                  <w:ind w:left="-20" w:right="-20"/>
                  <w:jc w:val="right"/>
                  <w:rPr>
                    <w:sz w:val="18"/>
                    <w:szCs w:val="18"/>
                  </w:rPr>
                </w:pPr>
                <w:r w:rsidRPr="0036636F">
                  <w:rPr>
                    <w:rFonts w:ascii="Times New Roman" w:eastAsia="Times New Roman" w:hAnsi="Times New Roman"/>
                    <w:color w:val="000000" w:themeColor="text1"/>
                    <w:sz w:val="18"/>
                    <w:szCs w:val="18"/>
                  </w:rPr>
                  <w:t>9.342.158.439</w:t>
                </w:r>
              </w:p>
            </w:tc>
          </w:tr>
          <w:tr w:rsidR="00AF1ED4" w:rsidRPr="0036636F" w14:paraId="3305CF6D" w14:textId="77777777" w:rsidTr="00E918CC">
            <w:trPr>
              <w:trHeight w:val="340"/>
            </w:trPr>
            <w:tc>
              <w:tcPr>
                <w:tcW w:w="444" w:type="pct"/>
                <w:tcMar>
                  <w:left w:w="70" w:type="dxa"/>
                  <w:right w:w="70" w:type="dxa"/>
                </w:tcMar>
                <w:vAlign w:val="center"/>
              </w:tcPr>
              <w:p w14:paraId="1D9CEEF5" w14:textId="2EB8FA21" w:rsidR="0E4E29E4" w:rsidRPr="0036636F" w:rsidRDefault="003261AC" w:rsidP="0E4E29E4">
                <w:pPr>
                  <w:spacing w:after="0"/>
                  <w:ind w:left="-20" w:right="-20"/>
                  <w:rPr>
                    <w:sz w:val="18"/>
                    <w:szCs w:val="18"/>
                  </w:rPr>
                </w:pPr>
                <w:r w:rsidRPr="0036636F">
                  <w:rPr>
                    <w:rFonts w:ascii="Times New Roman" w:eastAsia="Times New Roman" w:hAnsi="Times New Roman"/>
                    <w:color w:val="000000" w:themeColor="text1"/>
                    <w:sz w:val="18"/>
                    <w:szCs w:val="18"/>
                  </w:rPr>
                  <w:t>5</w:t>
                </w:r>
                <w:r>
                  <w:rPr>
                    <w:rFonts w:ascii="Times New Roman" w:eastAsia="Times New Roman" w:hAnsi="Times New Roman"/>
                    <w:color w:val="000000" w:themeColor="text1"/>
                    <w:sz w:val="18"/>
                    <w:szCs w:val="18"/>
                  </w:rPr>
                  <w:t>.</w:t>
                </w:r>
                <w:r w:rsidRPr="0036636F">
                  <w:rPr>
                    <w:rFonts w:ascii="Times New Roman" w:eastAsia="Times New Roman" w:hAnsi="Times New Roman"/>
                    <w:color w:val="000000" w:themeColor="text1"/>
                    <w:sz w:val="18"/>
                    <w:szCs w:val="18"/>
                  </w:rPr>
                  <w:t>3.47.14</w:t>
                </w:r>
              </w:p>
            </w:tc>
            <w:tc>
              <w:tcPr>
                <w:tcW w:w="1924" w:type="pct"/>
                <w:tcMar>
                  <w:left w:w="70" w:type="dxa"/>
                  <w:right w:w="70" w:type="dxa"/>
                </w:tcMar>
                <w:vAlign w:val="center"/>
              </w:tcPr>
              <w:p w14:paraId="3A360F15" w14:textId="0619C6D5" w:rsidR="0E4E29E4" w:rsidRPr="0036636F" w:rsidRDefault="0E4E29E4" w:rsidP="009B0A5C">
                <w:pPr>
                  <w:spacing w:after="0"/>
                  <w:ind w:left="-20" w:right="-20"/>
                  <w:jc w:val="both"/>
                  <w:rPr>
                    <w:sz w:val="18"/>
                    <w:szCs w:val="18"/>
                  </w:rPr>
                </w:pPr>
                <w:r w:rsidRPr="0036636F">
                  <w:rPr>
                    <w:rFonts w:ascii="Times New Roman" w:eastAsia="Times New Roman" w:hAnsi="Times New Roman"/>
                    <w:color w:val="000000" w:themeColor="text1"/>
                    <w:sz w:val="18"/>
                    <w:szCs w:val="18"/>
                  </w:rPr>
                  <w:t>Contribuciones, tasas e ingresos no tributarios</w:t>
                </w:r>
              </w:p>
            </w:tc>
            <w:tc>
              <w:tcPr>
                <w:tcW w:w="554" w:type="pct"/>
                <w:tcMar>
                  <w:left w:w="70" w:type="dxa"/>
                  <w:right w:w="70" w:type="dxa"/>
                </w:tcMar>
                <w:vAlign w:val="center"/>
              </w:tcPr>
              <w:p w14:paraId="2BB1D77A" w14:textId="637ED408" w:rsidR="0E4E29E4" w:rsidRPr="0036636F" w:rsidRDefault="0E4E29E4" w:rsidP="002A1BD5">
                <w:pPr>
                  <w:spacing w:after="0"/>
                  <w:ind w:left="-20" w:right="-20"/>
                  <w:jc w:val="center"/>
                  <w:rPr>
                    <w:sz w:val="18"/>
                    <w:szCs w:val="18"/>
                  </w:rPr>
                </w:pPr>
                <w:r w:rsidRPr="0036636F">
                  <w:rPr>
                    <w:rFonts w:ascii="Times New Roman" w:eastAsia="Times New Roman" w:hAnsi="Times New Roman"/>
                    <w:color w:val="000000" w:themeColor="text1"/>
                    <w:sz w:val="18"/>
                    <w:szCs w:val="18"/>
                  </w:rPr>
                  <w:t>900677144</w:t>
                </w:r>
              </w:p>
            </w:tc>
            <w:tc>
              <w:tcPr>
                <w:tcW w:w="1293" w:type="pct"/>
                <w:tcMar>
                  <w:left w:w="70" w:type="dxa"/>
                  <w:right w:w="70" w:type="dxa"/>
                </w:tcMar>
                <w:vAlign w:val="center"/>
              </w:tcPr>
              <w:p w14:paraId="215032CC" w14:textId="34D0777C" w:rsidR="0E4E29E4" w:rsidRPr="0036636F" w:rsidRDefault="00B96243" w:rsidP="009B0A5C">
                <w:pPr>
                  <w:spacing w:after="0"/>
                  <w:ind w:left="-20" w:right="-20"/>
                  <w:jc w:val="both"/>
                  <w:rPr>
                    <w:sz w:val="18"/>
                    <w:szCs w:val="18"/>
                  </w:rPr>
                </w:pPr>
                <w:r w:rsidRPr="0036636F">
                  <w:rPr>
                    <w:rFonts w:ascii="Times New Roman" w:eastAsia="Times New Roman" w:hAnsi="Times New Roman"/>
                    <w:color w:val="000000" w:themeColor="text1"/>
                    <w:sz w:val="18"/>
                    <w:szCs w:val="18"/>
                  </w:rPr>
                  <w:t xml:space="preserve">Sociedad Portuaria Terminal </w:t>
                </w:r>
                <w:r w:rsidR="008B3F3E" w:rsidRPr="0036636F">
                  <w:rPr>
                    <w:rFonts w:ascii="Times New Roman" w:eastAsia="Times New Roman" w:hAnsi="Times New Roman"/>
                    <w:color w:val="000000" w:themeColor="text1"/>
                    <w:sz w:val="18"/>
                    <w:szCs w:val="18"/>
                  </w:rPr>
                  <w:t>de</w:t>
                </w:r>
                <w:r w:rsidRPr="0036636F">
                  <w:rPr>
                    <w:rFonts w:ascii="Times New Roman" w:eastAsia="Times New Roman" w:hAnsi="Times New Roman"/>
                    <w:color w:val="000000" w:themeColor="text1"/>
                    <w:sz w:val="18"/>
                    <w:szCs w:val="18"/>
                  </w:rPr>
                  <w:t xml:space="preserve"> </w:t>
                </w:r>
                <w:r w:rsidR="008B3F3E" w:rsidRPr="0036636F">
                  <w:rPr>
                    <w:rFonts w:ascii="Times New Roman" w:eastAsia="Times New Roman" w:hAnsi="Times New Roman"/>
                    <w:color w:val="000000" w:themeColor="text1"/>
                    <w:sz w:val="18"/>
                    <w:szCs w:val="18"/>
                  </w:rPr>
                  <w:t>Ifo’s</w:t>
                </w:r>
                <w:r w:rsidRPr="0036636F">
                  <w:rPr>
                    <w:rFonts w:ascii="Times New Roman" w:eastAsia="Times New Roman" w:hAnsi="Times New Roman"/>
                    <w:color w:val="000000" w:themeColor="text1"/>
                    <w:sz w:val="18"/>
                    <w:szCs w:val="18"/>
                  </w:rPr>
                  <w:t xml:space="preserve"> S.A.</w:t>
                </w:r>
              </w:p>
            </w:tc>
            <w:tc>
              <w:tcPr>
                <w:tcW w:w="785" w:type="pct"/>
                <w:tcMar>
                  <w:left w:w="70" w:type="dxa"/>
                  <w:right w:w="70" w:type="dxa"/>
                </w:tcMar>
                <w:vAlign w:val="center"/>
              </w:tcPr>
              <w:p w14:paraId="0E4386E6" w14:textId="2C269E55" w:rsidR="0E4E29E4" w:rsidRPr="0036636F" w:rsidRDefault="0E4E29E4" w:rsidP="0E4E29E4">
                <w:pPr>
                  <w:spacing w:after="0"/>
                  <w:ind w:left="-20" w:right="-20"/>
                  <w:jc w:val="right"/>
                  <w:rPr>
                    <w:sz w:val="18"/>
                    <w:szCs w:val="18"/>
                  </w:rPr>
                </w:pPr>
                <w:r w:rsidRPr="0036636F">
                  <w:rPr>
                    <w:rFonts w:ascii="Times New Roman" w:eastAsia="Times New Roman" w:hAnsi="Times New Roman"/>
                    <w:color w:val="000000" w:themeColor="text1"/>
                    <w:sz w:val="18"/>
                    <w:szCs w:val="18"/>
                  </w:rPr>
                  <w:t>1.160.293.283</w:t>
                </w:r>
              </w:p>
            </w:tc>
          </w:tr>
          <w:tr w:rsidR="0E4E29E4" w:rsidRPr="0036636F" w14:paraId="58AC696A" w14:textId="77777777" w:rsidTr="00E918CC">
            <w:trPr>
              <w:trHeight w:val="340"/>
            </w:trPr>
            <w:tc>
              <w:tcPr>
                <w:tcW w:w="4215" w:type="pct"/>
                <w:gridSpan w:val="4"/>
                <w:tcMar>
                  <w:left w:w="70" w:type="dxa"/>
                  <w:right w:w="70" w:type="dxa"/>
                </w:tcMar>
                <w:vAlign w:val="center"/>
              </w:tcPr>
              <w:p w14:paraId="6E03C6BD" w14:textId="739E8D54" w:rsidR="0E4E29E4" w:rsidRPr="0036636F" w:rsidRDefault="0036636F" w:rsidP="009B0A5C">
                <w:pPr>
                  <w:spacing w:after="0"/>
                  <w:ind w:left="-20" w:right="-20"/>
                  <w:jc w:val="center"/>
                  <w:rPr>
                    <w:sz w:val="18"/>
                    <w:szCs w:val="18"/>
                  </w:rPr>
                </w:pPr>
                <w:r w:rsidRPr="0036636F">
                  <w:rPr>
                    <w:rFonts w:ascii="Times New Roman" w:eastAsia="Times New Roman" w:hAnsi="Times New Roman"/>
                    <w:b/>
                    <w:bCs/>
                    <w:color w:val="000000" w:themeColor="text1"/>
                    <w:sz w:val="18"/>
                    <w:szCs w:val="18"/>
                  </w:rPr>
                  <w:t>Subtotal</w:t>
                </w:r>
              </w:p>
            </w:tc>
            <w:tc>
              <w:tcPr>
                <w:tcW w:w="785" w:type="pct"/>
                <w:tcMar>
                  <w:left w:w="70" w:type="dxa"/>
                  <w:right w:w="70" w:type="dxa"/>
                </w:tcMar>
                <w:vAlign w:val="center"/>
              </w:tcPr>
              <w:p w14:paraId="7A9B987F" w14:textId="72101AB2" w:rsidR="0E4E29E4" w:rsidRPr="0036636F" w:rsidRDefault="0E4E29E4" w:rsidP="0E4E29E4">
                <w:pPr>
                  <w:spacing w:after="0"/>
                  <w:ind w:left="-20" w:right="-20"/>
                  <w:jc w:val="right"/>
                  <w:rPr>
                    <w:sz w:val="18"/>
                    <w:szCs w:val="18"/>
                  </w:rPr>
                </w:pPr>
                <w:r w:rsidRPr="0036636F">
                  <w:rPr>
                    <w:rFonts w:ascii="Times New Roman" w:eastAsia="Times New Roman" w:hAnsi="Times New Roman"/>
                    <w:b/>
                    <w:bCs/>
                    <w:color w:val="000000" w:themeColor="text1"/>
                    <w:sz w:val="18"/>
                    <w:szCs w:val="18"/>
                  </w:rPr>
                  <w:t>10.502.451.721</w:t>
                </w:r>
              </w:p>
            </w:tc>
          </w:tr>
          <w:tr w:rsidR="00AF1ED4" w:rsidRPr="0036636F" w14:paraId="5C30F46F" w14:textId="77777777" w:rsidTr="00E918CC">
            <w:trPr>
              <w:trHeight w:val="340"/>
            </w:trPr>
            <w:tc>
              <w:tcPr>
                <w:tcW w:w="444" w:type="pct"/>
                <w:tcMar>
                  <w:left w:w="70" w:type="dxa"/>
                  <w:right w:w="70" w:type="dxa"/>
                </w:tcMar>
                <w:vAlign w:val="center"/>
              </w:tcPr>
              <w:p w14:paraId="77FF99AA" w14:textId="277B3E47" w:rsidR="0E4E29E4" w:rsidRPr="0036636F" w:rsidRDefault="0E4E29E4" w:rsidP="0E4E29E4">
                <w:pPr>
                  <w:spacing w:after="0"/>
                  <w:ind w:left="-20" w:right="-20"/>
                  <w:rPr>
                    <w:sz w:val="18"/>
                    <w:szCs w:val="18"/>
                  </w:rPr>
                </w:pPr>
                <w:r w:rsidRPr="0036636F">
                  <w:rPr>
                    <w:rFonts w:ascii="Times New Roman" w:eastAsia="Times New Roman" w:hAnsi="Times New Roman"/>
                    <w:color w:val="000000" w:themeColor="text1"/>
                    <w:sz w:val="18"/>
                    <w:szCs w:val="18"/>
                  </w:rPr>
                  <w:t>5.3.47.19</w:t>
                </w:r>
              </w:p>
            </w:tc>
            <w:tc>
              <w:tcPr>
                <w:tcW w:w="1924" w:type="pct"/>
                <w:tcMar>
                  <w:left w:w="70" w:type="dxa"/>
                  <w:right w:w="70" w:type="dxa"/>
                </w:tcMar>
                <w:vAlign w:val="center"/>
              </w:tcPr>
              <w:p w14:paraId="39DFB1DF" w14:textId="3134E8CA" w:rsidR="0E4E29E4" w:rsidRPr="0036636F" w:rsidRDefault="0E4E29E4" w:rsidP="009B0A5C">
                <w:pPr>
                  <w:spacing w:after="0"/>
                  <w:ind w:left="-20" w:right="-20"/>
                  <w:jc w:val="both"/>
                  <w:rPr>
                    <w:sz w:val="18"/>
                    <w:szCs w:val="18"/>
                  </w:rPr>
                </w:pPr>
                <w:r w:rsidRPr="0036636F">
                  <w:rPr>
                    <w:rFonts w:ascii="Times New Roman" w:eastAsia="Times New Roman" w:hAnsi="Times New Roman"/>
                    <w:color w:val="000000" w:themeColor="text1"/>
                    <w:sz w:val="18"/>
                    <w:szCs w:val="18"/>
                  </w:rPr>
                  <w:t>Sentencias, laudos arbitrales y conciliaciones extrajudiciales a favor de la entidad</w:t>
                </w:r>
              </w:p>
            </w:tc>
            <w:tc>
              <w:tcPr>
                <w:tcW w:w="554" w:type="pct"/>
                <w:tcMar>
                  <w:left w:w="70" w:type="dxa"/>
                  <w:right w:w="70" w:type="dxa"/>
                </w:tcMar>
                <w:vAlign w:val="center"/>
              </w:tcPr>
              <w:p w14:paraId="5D0261C5" w14:textId="23163848" w:rsidR="0E4E29E4" w:rsidRPr="0036636F" w:rsidRDefault="0E4E29E4" w:rsidP="002A1BD5">
                <w:pPr>
                  <w:spacing w:after="0"/>
                  <w:ind w:left="-20" w:right="-20"/>
                  <w:jc w:val="center"/>
                  <w:rPr>
                    <w:sz w:val="18"/>
                    <w:szCs w:val="18"/>
                  </w:rPr>
                </w:pPr>
                <w:r w:rsidRPr="0036636F">
                  <w:rPr>
                    <w:rFonts w:ascii="Times New Roman" w:eastAsia="Times New Roman" w:hAnsi="Times New Roman"/>
                    <w:color w:val="000000" w:themeColor="text1"/>
                    <w:sz w:val="18"/>
                    <w:szCs w:val="18"/>
                  </w:rPr>
                  <w:t>830143442</w:t>
                </w:r>
              </w:p>
            </w:tc>
            <w:tc>
              <w:tcPr>
                <w:tcW w:w="1293" w:type="pct"/>
                <w:tcMar>
                  <w:left w:w="70" w:type="dxa"/>
                  <w:right w:w="70" w:type="dxa"/>
                </w:tcMar>
                <w:vAlign w:val="center"/>
              </w:tcPr>
              <w:p w14:paraId="4CE0EC63" w14:textId="75C52F35" w:rsidR="0E4E29E4" w:rsidRPr="0036636F" w:rsidRDefault="008B3F3E" w:rsidP="009B0A5C">
                <w:pPr>
                  <w:spacing w:after="0"/>
                  <w:ind w:left="-20" w:right="-20"/>
                  <w:jc w:val="both"/>
                  <w:rPr>
                    <w:sz w:val="18"/>
                    <w:szCs w:val="18"/>
                  </w:rPr>
                </w:pPr>
                <w:r w:rsidRPr="0036636F">
                  <w:rPr>
                    <w:rFonts w:ascii="Times New Roman" w:eastAsia="Times New Roman" w:hAnsi="Times New Roman"/>
                    <w:color w:val="000000" w:themeColor="text1"/>
                    <w:sz w:val="18"/>
                    <w:szCs w:val="18"/>
                  </w:rPr>
                  <w:t>Concesión Autopista Bogotá Girardot S.A.</w:t>
                </w:r>
              </w:p>
            </w:tc>
            <w:tc>
              <w:tcPr>
                <w:tcW w:w="785" w:type="pct"/>
                <w:tcMar>
                  <w:left w:w="70" w:type="dxa"/>
                  <w:right w:w="70" w:type="dxa"/>
                </w:tcMar>
                <w:vAlign w:val="center"/>
              </w:tcPr>
              <w:p w14:paraId="4F57574E" w14:textId="21A31DCB" w:rsidR="0E4E29E4" w:rsidRPr="0036636F" w:rsidRDefault="0E4E29E4" w:rsidP="0E4E29E4">
                <w:pPr>
                  <w:spacing w:after="0"/>
                  <w:ind w:left="-20" w:right="-20"/>
                  <w:jc w:val="right"/>
                  <w:rPr>
                    <w:sz w:val="18"/>
                    <w:szCs w:val="18"/>
                  </w:rPr>
                </w:pPr>
                <w:r w:rsidRPr="0036636F">
                  <w:rPr>
                    <w:rFonts w:ascii="Times New Roman" w:eastAsia="Times New Roman" w:hAnsi="Times New Roman"/>
                    <w:color w:val="000000" w:themeColor="text1"/>
                    <w:sz w:val="18"/>
                    <w:szCs w:val="18"/>
                  </w:rPr>
                  <w:t>285.685.647.000</w:t>
                </w:r>
              </w:p>
            </w:tc>
          </w:tr>
          <w:tr w:rsidR="00AF1ED4" w:rsidRPr="0036636F" w14:paraId="6E3BDBD5" w14:textId="77777777" w:rsidTr="00E918CC">
            <w:trPr>
              <w:trHeight w:val="340"/>
            </w:trPr>
            <w:tc>
              <w:tcPr>
                <w:tcW w:w="444" w:type="pct"/>
                <w:tcMar>
                  <w:left w:w="70" w:type="dxa"/>
                  <w:right w:w="70" w:type="dxa"/>
                </w:tcMar>
                <w:vAlign w:val="center"/>
              </w:tcPr>
              <w:p w14:paraId="4F5C7F52" w14:textId="71957EA5" w:rsidR="0E4E29E4" w:rsidRPr="0036636F" w:rsidRDefault="0E4E29E4" w:rsidP="0E4E29E4">
                <w:pPr>
                  <w:spacing w:after="0"/>
                  <w:ind w:left="-20" w:right="-20"/>
                  <w:rPr>
                    <w:sz w:val="18"/>
                    <w:szCs w:val="18"/>
                  </w:rPr>
                </w:pPr>
                <w:r w:rsidRPr="0036636F">
                  <w:rPr>
                    <w:rFonts w:ascii="Times New Roman" w:eastAsia="Times New Roman" w:hAnsi="Times New Roman"/>
                    <w:color w:val="000000" w:themeColor="text1"/>
                    <w:sz w:val="18"/>
                    <w:szCs w:val="18"/>
                  </w:rPr>
                  <w:t>5.3.47.19</w:t>
                </w:r>
              </w:p>
            </w:tc>
            <w:tc>
              <w:tcPr>
                <w:tcW w:w="1924" w:type="pct"/>
                <w:tcMar>
                  <w:left w:w="70" w:type="dxa"/>
                  <w:right w:w="70" w:type="dxa"/>
                </w:tcMar>
                <w:vAlign w:val="center"/>
              </w:tcPr>
              <w:p w14:paraId="26EB3F4E" w14:textId="3D18E33D" w:rsidR="0E4E29E4" w:rsidRPr="0036636F" w:rsidRDefault="0E4E29E4" w:rsidP="009B0A5C">
                <w:pPr>
                  <w:spacing w:after="0"/>
                  <w:ind w:left="-20" w:right="-20"/>
                  <w:jc w:val="both"/>
                  <w:rPr>
                    <w:sz w:val="18"/>
                    <w:szCs w:val="18"/>
                  </w:rPr>
                </w:pPr>
                <w:r w:rsidRPr="0036636F">
                  <w:rPr>
                    <w:rFonts w:ascii="Times New Roman" w:eastAsia="Times New Roman" w:hAnsi="Times New Roman"/>
                    <w:color w:val="000000" w:themeColor="text1"/>
                    <w:sz w:val="18"/>
                    <w:szCs w:val="18"/>
                  </w:rPr>
                  <w:t>Sentencias, laudos arbitrales y conciliaciones extrajudiciales a favor de la entidad</w:t>
                </w:r>
              </w:p>
            </w:tc>
            <w:tc>
              <w:tcPr>
                <w:tcW w:w="554" w:type="pct"/>
                <w:tcMar>
                  <w:left w:w="70" w:type="dxa"/>
                  <w:right w:w="70" w:type="dxa"/>
                </w:tcMar>
                <w:vAlign w:val="center"/>
              </w:tcPr>
              <w:p w14:paraId="11E2832E" w14:textId="1A8B47B2" w:rsidR="0E4E29E4" w:rsidRPr="0036636F" w:rsidRDefault="0E4E29E4" w:rsidP="002A1BD5">
                <w:pPr>
                  <w:spacing w:after="0"/>
                  <w:ind w:left="-20" w:right="-20"/>
                  <w:jc w:val="center"/>
                  <w:rPr>
                    <w:sz w:val="18"/>
                    <w:szCs w:val="18"/>
                  </w:rPr>
                </w:pPr>
                <w:r w:rsidRPr="0036636F">
                  <w:rPr>
                    <w:rFonts w:ascii="Times New Roman" w:eastAsia="Times New Roman" w:hAnsi="Times New Roman"/>
                    <w:color w:val="000000" w:themeColor="text1"/>
                    <w:sz w:val="18"/>
                    <w:szCs w:val="18"/>
                  </w:rPr>
                  <w:t>17585342</w:t>
                </w:r>
              </w:p>
            </w:tc>
            <w:tc>
              <w:tcPr>
                <w:tcW w:w="1293" w:type="pct"/>
                <w:tcMar>
                  <w:left w:w="70" w:type="dxa"/>
                  <w:right w:w="70" w:type="dxa"/>
                </w:tcMar>
                <w:vAlign w:val="center"/>
              </w:tcPr>
              <w:p w14:paraId="437AEEFD" w14:textId="0C7CC254" w:rsidR="0E4E29E4" w:rsidRPr="0036636F" w:rsidRDefault="008B3F3E" w:rsidP="009B0A5C">
                <w:pPr>
                  <w:spacing w:after="0"/>
                  <w:ind w:left="-20" w:right="-20"/>
                  <w:jc w:val="both"/>
                  <w:rPr>
                    <w:sz w:val="18"/>
                    <w:szCs w:val="18"/>
                  </w:rPr>
                </w:pPr>
                <w:r w:rsidRPr="0036636F">
                  <w:rPr>
                    <w:rFonts w:ascii="Times New Roman" w:eastAsia="Times New Roman" w:hAnsi="Times New Roman"/>
                    <w:color w:val="000000" w:themeColor="text1"/>
                    <w:sz w:val="18"/>
                    <w:szCs w:val="18"/>
                  </w:rPr>
                  <w:t>Edgar Arturo Leon Benavides</w:t>
                </w:r>
              </w:p>
            </w:tc>
            <w:tc>
              <w:tcPr>
                <w:tcW w:w="785" w:type="pct"/>
                <w:tcMar>
                  <w:left w:w="70" w:type="dxa"/>
                  <w:right w:w="70" w:type="dxa"/>
                </w:tcMar>
                <w:vAlign w:val="center"/>
              </w:tcPr>
              <w:p w14:paraId="18FDCBF5" w14:textId="5FBE906D" w:rsidR="0E4E29E4" w:rsidRPr="0036636F" w:rsidRDefault="0E4E29E4" w:rsidP="0E4E29E4">
                <w:pPr>
                  <w:spacing w:after="0"/>
                  <w:ind w:left="-20" w:right="-20"/>
                  <w:jc w:val="right"/>
                  <w:rPr>
                    <w:sz w:val="18"/>
                    <w:szCs w:val="18"/>
                  </w:rPr>
                </w:pPr>
                <w:r w:rsidRPr="0036636F">
                  <w:rPr>
                    <w:rFonts w:ascii="Times New Roman" w:eastAsia="Times New Roman" w:hAnsi="Times New Roman"/>
                    <w:color w:val="000000" w:themeColor="text1"/>
                    <w:sz w:val="18"/>
                    <w:szCs w:val="18"/>
                  </w:rPr>
                  <w:t>4.359.438</w:t>
                </w:r>
              </w:p>
            </w:tc>
          </w:tr>
          <w:tr w:rsidR="00AF1ED4" w:rsidRPr="0036636F" w14:paraId="416B47E7" w14:textId="77777777" w:rsidTr="00E918CC">
            <w:trPr>
              <w:trHeight w:val="340"/>
            </w:trPr>
            <w:tc>
              <w:tcPr>
                <w:tcW w:w="444" w:type="pct"/>
                <w:tcMar>
                  <w:left w:w="70" w:type="dxa"/>
                  <w:right w:w="70" w:type="dxa"/>
                </w:tcMar>
                <w:vAlign w:val="center"/>
              </w:tcPr>
              <w:p w14:paraId="7FEF2F9F" w14:textId="14E5A96F" w:rsidR="0E4E29E4" w:rsidRPr="0036636F" w:rsidRDefault="0E4E29E4" w:rsidP="0E4E29E4">
                <w:pPr>
                  <w:spacing w:after="0"/>
                  <w:ind w:left="-20" w:right="-20"/>
                  <w:rPr>
                    <w:sz w:val="18"/>
                    <w:szCs w:val="18"/>
                  </w:rPr>
                </w:pPr>
                <w:r w:rsidRPr="0036636F">
                  <w:rPr>
                    <w:rFonts w:ascii="Times New Roman" w:eastAsia="Times New Roman" w:hAnsi="Times New Roman"/>
                    <w:color w:val="000000" w:themeColor="text1"/>
                    <w:sz w:val="18"/>
                    <w:szCs w:val="18"/>
                  </w:rPr>
                  <w:t>5.3.47.19</w:t>
                </w:r>
              </w:p>
            </w:tc>
            <w:tc>
              <w:tcPr>
                <w:tcW w:w="1924" w:type="pct"/>
                <w:tcMar>
                  <w:left w:w="70" w:type="dxa"/>
                  <w:right w:w="70" w:type="dxa"/>
                </w:tcMar>
                <w:vAlign w:val="center"/>
              </w:tcPr>
              <w:p w14:paraId="1694507C" w14:textId="047C7ADE" w:rsidR="0E4E29E4" w:rsidRPr="0036636F" w:rsidRDefault="0E4E29E4" w:rsidP="009B0A5C">
                <w:pPr>
                  <w:spacing w:after="0"/>
                  <w:ind w:left="-20" w:right="-20"/>
                  <w:jc w:val="both"/>
                  <w:rPr>
                    <w:sz w:val="18"/>
                    <w:szCs w:val="18"/>
                  </w:rPr>
                </w:pPr>
                <w:r w:rsidRPr="0036636F">
                  <w:rPr>
                    <w:rFonts w:ascii="Times New Roman" w:eastAsia="Times New Roman" w:hAnsi="Times New Roman"/>
                    <w:color w:val="000000" w:themeColor="text1"/>
                    <w:sz w:val="18"/>
                    <w:szCs w:val="18"/>
                  </w:rPr>
                  <w:t>Sentencias, laudos arbitrales y conciliaciones extrajudiciales a favor de la entidad</w:t>
                </w:r>
              </w:p>
            </w:tc>
            <w:tc>
              <w:tcPr>
                <w:tcW w:w="554" w:type="pct"/>
                <w:tcMar>
                  <w:left w:w="70" w:type="dxa"/>
                  <w:right w:w="70" w:type="dxa"/>
                </w:tcMar>
                <w:vAlign w:val="center"/>
              </w:tcPr>
              <w:p w14:paraId="5EE0B725" w14:textId="460DC954" w:rsidR="0E4E29E4" w:rsidRPr="0036636F" w:rsidRDefault="0E4E29E4" w:rsidP="002A1BD5">
                <w:pPr>
                  <w:spacing w:after="0"/>
                  <w:ind w:left="-20" w:right="-20"/>
                  <w:jc w:val="center"/>
                  <w:rPr>
                    <w:sz w:val="18"/>
                    <w:szCs w:val="18"/>
                  </w:rPr>
                </w:pPr>
                <w:r w:rsidRPr="0036636F">
                  <w:rPr>
                    <w:rFonts w:ascii="Times New Roman" w:eastAsia="Times New Roman" w:hAnsi="Times New Roman"/>
                    <w:color w:val="000000" w:themeColor="text1"/>
                    <w:sz w:val="18"/>
                    <w:szCs w:val="18"/>
                  </w:rPr>
                  <w:t>13072894</w:t>
                </w:r>
              </w:p>
            </w:tc>
            <w:tc>
              <w:tcPr>
                <w:tcW w:w="1293" w:type="pct"/>
                <w:tcMar>
                  <w:left w:w="70" w:type="dxa"/>
                  <w:right w:w="70" w:type="dxa"/>
                </w:tcMar>
                <w:vAlign w:val="center"/>
              </w:tcPr>
              <w:p w14:paraId="70F2DE09" w14:textId="5B277BCA" w:rsidR="0E4E29E4" w:rsidRPr="0036636F" w:rsidRDefault="008B3F3E" w:rsidP="009B0A5C">
                <w:pPr>
                  <w:spacing w:after="0"/>
                  <w:ind w:left="-20" w:right="-20"/>
                  <w:jc w:val="both"/>
                  <w:rPr>
                    <w:sz w:val="18"/>
                    <w:szCs w:val="18"/>
                  </w:rPr>
                </w:pPr>
                <w:r w:rsidRPr="0036636F">
                  <w:rPr>
                    <w:rFonts w:ascii="Times New Roman" w:eastAsia="Times New Roman" w:hAnsi="Times New Roman"/>
                    <w:color w:val="000000" w:themeColor="text1"/>
                    <w:sz w:val="18"/>
                    <w:szCs w:val="18"/>
                  </w:rPr>
                  <w:t xml:space="preserve">Luis Solarte </w:t>
                </w:r>
              </w:p>
            </w:tc>
            <w:tc>
              <w:tcPr>
                <w:tcW w:w="785" w:type="pct"/>
                <w:tcMar>
                  <w:left w:w="70" w:type="dxa"/>
                  <w:right w:w="70" w:type="dxa"/>
                </w:tcMar>
                <w:vAlign w:val="center"/>
              </w:tcPr>
              <w:p w14:paraId="50F66A05" w14:textId="063875E0" w:rsidR="0E4E29E4" w:rsidRPr="0036636F" w:rsidRDefault="0E4E29E4" w:rsidP="0E4E29E4">
                <w:pPr>
                  <w:spacing w:after="0"/>
                  <w:ind w:left="-20" w:right="-20"/>
                  <w:jc w:val="right"/>
                  <w:rPr>
                    <w:sz w:val="18"/>
                    <w:szCs w:val="18"/>
                  </w:rPr>
                </w:pPr>
                <w:r w:rsidRPr="0036636F">
                  <w:rPr>
                    <w:rFonts w:ascii="Times New Roman" w:eastAsia="Times New Roman" w:hAnsi="Times New Roman"/>
                    <w:color w:val="000000" w:themeColor="text1"/>
                    <w:sz w:val="18"/>
                    <w:szCs w:val="18"/>
                  </w:rPr>
                  <w:t>4.359.438</w:t>
                </w:r>
              </w:p>
            </w:tc>
          </w:tr>
          <w:tr w:rsidR="00AF1ED4" w:rsidRPr="0036636F" w14:paraId="0332F459" w14:textId="77777777" w:rsidTr="00E918CC">
            <w:trPr>
              <w:trHeight w:val="340"/>
            </w:trPr>
            <w:tc>
              <w:tcPr>
                <w:tcW w:w="444" w:type="pct"/>
                <w:tcMar>
                  <w:left w:w="70" w:type="dxa"/>
                  <w:right w:w="70" w:type="dxa"/>
                </w:tcMar>
                <w:vAlign w:val="center"/>
              </w:tcPr>
              <w:p w14:paraId="69C24070" w14:textId="460BD46C" w:rsidR="0E4E29E4" w:rsidRPr="0036636F" w:rsidRDefault="0E4E29E4" w:rsidP="0E4E29E4">
                <w:pPr>
                  <w:spacing w:after="0"/>
                  <w:ind w:left="-20" w:right="-20"/>
                  <w:rPr>
                    <w:sz w:val="18"/>
                    <w:szCs w:val="18"/>
                  </w:rPr>
                </w:pPr>
                <w:r w:rsidRPr="0036636F">
                  <w:rPr>
                    <w:rFonts w:ascii="Times New Roman" w:eastAsia="Times New Roman" w:hAnsi="Times New Roman"/>
                    <w:color w:val="000000" w:themeColor="text1"/>
                    <w:sz w:val="18"/>
                    <w:szCs w:val="18"/>
                  </w:rPr>
                  <w:t>5.3.47.19</w:t>
                </w:r>
              </w:p>
            </w:tc>
            <w:tc>
              <w:tcPr>
                <w:tcW w:w="1924" w:type="pct"/>
                <w:tcMar>
                  <w:left w:w="70" w:type="dxa"/>
                  <w:right w:w="70" w:type="dxa"/>
                </w:tcMar>
                <w:vAlign w:val="center"/>
              </w:tcPr>
              <w:p w14:paraId="63004742" w14:textId="58053066" w:rsidR="0E4E29E4" w:rsidRPr="0036636F" w:rsidRDefault="0E4E29E4" w:rsidP="009B0A5C">
                <w:pPr>
                  <w:spacing w:after="0"/>
                  <w:ind w:left="-20" w:right="-20"/>
                  <w:jc w:val="both"/>
                  <w:rPr>
                    <w:sz w:val="18"/>
                    <w:szCs w:val="18"/>
                  </w:rPr>
                </w:pPr>
                <w:r w:rsidRPr="0036636F">
                  <w:rPr>
                    <w:rFonts w:ascii="Times New Roman" w:eastAsia="Times New Roman" w:hAnsi="Times New Roman"/>
                    <w:color w:val="000000" w:themeColor="text1"/>
                    <w:sz w:val="18"/>
                    <w:szCs w:val="18"/>
                  </w:rPr>
                  <w:t>Sentencias, laudos arbitrales y conciliaciones extrajudiciales a favor de la entidad</w:t>
                </w:r>
              </w:p>
            </w:tc>
            <w:tc>
              <w:tcPr>
                <w:tcW w:w="554" w:type="pct"/>
                <w:tcMar>
                  <w:left w:w="70" w:type="dxa"/>
                  <w:right w:w="70" w:type="dxa"/>
                </w:tcMar>
                <w:vAlign w:val="center"/>
              </w:tcPr>
              <w:p w14:paraId="3AAB24A1" w14:textId="44A9A317" w:rsidR="0E4E29E4" w:rsidRPr="0036636F" w:rsidRDefault="0E4E29E4" w:rsidP="002A1BD5">
                <w:pPr>
                  <w:spacing w:after="0"/>
                  <w:ind w:left="-20" w:right="-20"/>
                  <w:jc w:val="center"/>
                  <w:rPr>
                    <w:sz w:val="18"/>
                    <w:szCs w:val="18"/>
                  </w:rPr>
                </w:pPr>
                <w:r w:rsidRPr="0036636F">
                  <w:rPr>
                    <w:rFonts w:ascii="Times New Roman" w:eastAsia="Times New Roman" w:hAnsi="Times New Roman"/>
                    <w:color w:val="000000" w:themeColor="text1"/>
                    <w:sz w:val="18"/>
                    <w:szCs w:val="18"/>
                  </w:rPr>
                  <w:t>27071192</w:t>
                </w:r>
              </w:p>
            </w:tc>
            <w:tc>
              <w:tcPr>
                <w:tcW w:w="1293" w:type="pct"/>
                <w:tcMar>
                  <w:left w:w="70" w:type="dxa"/>
                  <w:right w:w="70" w:type="dxa"/>
                </w:tcMar>
                <w:vAlign w:val="center"/>
              </w:tcPr>
              <w:p w14:paraId="78F61952" w14:textId="493F7215" w:rsidR="0E4E29E4" w:rsidRPr="0036636F" w:rsidRDefault="008B3F3E" w:rsidP="0E4E29E4">
                <w:pPr>
                  <w:spacing w:after="0"/>
                  <w:ind w:left="-20" w:right="-20"/>
                  <w:rPr>
                    <w:sz w:val="18"/>
                    <w:szCs w:val="18"/>
                  </w:rPr>
                </w:pPr>
                <w:r w:rsidRPr="0036636F">
                  <w:rPr>
                    <w:rFonts w:ascii="Times New Roman" w:eastAsia="Times New Roman" w:hAnsi="Times New Roman"/>
                    <w:color w:val="000000" w:themeColor="text1"/>
                    <w:sz w:val="18"/>
                    <w:szCs w:val="18"/>
                  </w:rPr>
                  <w:t>Nelly Beatriz Daza Solarte</w:t>
                </w:r>
              </w:p>
            </w:tc>
            <w:tc>
              <w:tcPr>
                <w:tcW w:w="785" w:type="pct"/>
                <w:tcMar>
                  <w:left w:w="70" w:type="dxa"/>
                  <w:right w:w="70" w:type="dxa"/>
                </w:tcMar>
                <w:vAlign w:val="center"/>
              </w:tcPr>
              <w:p w14:paraId="0EA56AEF" w14:textId="1056CB1F" w:rsidR="0E4E29E4" w:rsidRPr="0036636F" w:rsidRDefault="0E4E29E4" w:rsidP="0E4E29E4">
                <w:pPr>
                  <w:spacing w:after="0"/>
                  <w:ind w:left="-20" w:right="-20"/>
                  <w:jc w:val="right"/>
                  <w:rPr>
                    <w:sz w:val="18"/>
                    <w:szCs w:val="18"/>
                  </w:rPr>
                </w:pPr>
                <w:r w:rsidRPr="0036636F">
                  <w:rPr>
                    <w:rFonts w:ascii="Times New Roman" w:eastAsia="Times New Roman" w:hAnsi="Times New Roman"/>
                    <w:color w:val="000000" w:themeColor="text1"/>
                    <w:sz w:val="18"/>
                    <w:szCs w:val="18"/>
                  </w:rPr>
                  <w:t>4.359.438</w:t>
                </w:r>
              </w:p>
            </w:tc>
          </w:tr>
          <w:tr w:rsidR="00AF1ED4" w:rsidRPr="0036636F" w14:paraId="46164609" w14:textId="77777777" w:rsidTr="00E918CC">
            <w:trPr>
              <w:trHeight w:val="340"/>
            </w:trPr>
            <w:tc>
              <w:tcPr>
                <w:tcW w:w="444" w:type="pct"/>
                <w:tcMar>
                  <w:left w:w="70" w:type="dxa"/>
                  <w:right w:w="70" w:type="dxa"/>
                </w:tcMar>
                <w:vAlign w:val="center"/>
              </w:tcPr>
              <w:p w14:paraId="0663D740" w14:textId="3951221E" w:rsidR="0E4E29E4" w:rsidRPr="0036636F" w:rsidRDefault="0E4E29E4" w:rsidP="0E4E29E4">
                <w:pPr>
                  <w:spacing w:after="0"/>
                  <w:ind w:left="-20" w:right="-20"/>
                  <w:rPr>
                    <w:sz w:val="18"/>
                    <w:szCs w:val="18"/>
                  </w:rPr>
                </w:pPr>
                <w:r w:rsidRPr="0036636F">
                  <w:rPr>
                    <w:rFonts w:ascii="Times New Roman" w:eastAsia="Times New Roman" w:hAnsi="Times New Roman"/>
                    <w:color w:val="000000" w:themeColor="text1"/>
                    <w:sz w:val="18"/>
                    <w:szCs w:val="18"/>
                  </w:rPr>
                  <w:t>5.3.47.19</w:t>
                </w:r>
              </w:p>
            </w:tc>
            <w:tc>
              <w:tcPr>
                <w:tcW w:w="1924" w:type="pct"/>
                <w:tcMar>
                  <w:left w:w="70" w:type="dxa"/>
                  <w:right w:w="70" w:type="dxa"/>
                </w:tcMar>
                <w:vAlign w:val="center"/>
              </w:tcPr>
              <w:p w14:paraId="0031A56D" w14:textId="45BF1877" w:rsidR="0E4E29E4" w:rsidRPr="0036636F" w:rsidRDefault="0E4E29E4" w:rsidP="009B0A5C">
                <w:pPr>
                  <w:spacing w:after="0"/>
                  <w:ind w:left="-20" w:right="-20"/>
                  <w:jc w:val="both"/>
                  <w:rPr>
                    <w:sz w:val="18"/>
                    <w:szCs w:val="18"/>
                  </w:rPr>
                </w:pPr>
                <w:r w:rsidRPr="0036636F">
                  <w:rPr>
                    <w:rFonts w:ascii="Times New Roman" w:eastAsia="Times New Roman" w:hAnsi="Times New Roman"/>
                    <w:color w:val="000000" w:themeColor="text1"/>
                    <w:sz w:val="18"/>
                    <w:szCs w:val="18"/>
                  </w:rPr>
                  <w:t>Sentencias, laudos arbitrales y conciliaciones extrajudiciales a favor de la entidad</w:t>
                </w:r>
              </w:p>
            </w:tc>
            <w:tc>
              <w:tcPr>
                <w:tcW w:w="554" w:type="pct"/>
                <w:tcMar>
                  <w:left w:w="70" w:type="dxa"/>
                  <w:right w:w="70" w:type="dxa"/>
                </w:tcMar>
                <w:vAlign w:val="center"/>
              </w:tcPr>
              <w:p w14:paraId="33D57792" w14:textId="43057F93" w:rsidR="0E4E29E4" w:rsidRPr="0036636F" w:rsidRDefault="0E4E29E4" w:rsidP="002A1BD5">
                <w:pPr>
                  <w:spacing w:after="0"/>
                  <w:ind w:left="-20" w:right="-20"/>
                  <w:jc w:val="center"/>
                  <w:rPr>
                    <w:sz w:val="18"/>
                    <w:szCs w:val="18"/>
                  </w:rPr>
                </w:pPr>
                <w:r w:rsidRPr="0036636F">
                  <w:rPr>
                    <w:rFonts w:ascii="Times New Roman" w:eastAsia="Times New Roman" w:hAnsi="Times New Roman"/>
                    <w:color w:val="000000" w:themeColor="text1"/>
                    <w:sz w:val="18"/>
                    <w:szCs w:val="18"/>
                  </w:rPr>
                  <w:t>1128449710</w:t>
                </w:r>
              </w:p>
            </w:tc>
            <w:tc>
              <w:tcPr>
                <w:tcW w:w="1293" w:type="pct"/>
                <w:tcMar>
                  <w:left w:w="70" w:type="dxa"/>
                  <w:right w:w="70" w:type="dxa"/>
                </w:tcMar>
                <w:vAlign w:val="center"/>
              </w:tcPr>
              <w:p w14:paraId="6CC9DBB6" w14:textId="3A74D33A" w:rsidR="0E4E29E4" w:rsidRPr="0036636F" w:rsidRDefault="008B3F3E" w:rsidP="0E4E29E4">
                <w:pPr>
                  <w:spacing w:after="0"/>
                  <w:ind w:left="-20" w:right="-20"/>
                  <w:rPr>
                    <w:sz w:val="18"/>
                    <w:szCs w:val="18"/>
                  </w:rPr>
                </w:pPr>
                <w:r w:rsidRPr="0036636F">
                  <w:rPr>
                    <w:rFonts w:ascii="Times New Roman" w:eastAsia="Times New Roman" w:hAnsi="Times New Roman"/>
                    <w:color w:val="000000" w:themeColor="text1"/>
                    <w:sz w:val="18"/>
                    <w:szCs w:val="18"/>
                  </w:rPr>
                  <w:t>Maria Victoria Solarte Daza</w:t>
                </w:r>
              </w:p>
            </w:tc>
            <w:tc>
              <w:tcPr>
                <w:tcW w:w="785" w:type="pct"/>
                <w:tcMar>
                  <w:left w:w="70" w:type="dxa"/>
                  <w:right w:w="70" w:type="dxa"/>
                </w:tcMar>
                <w:vAlign w:val="center"/>
              </w:tcPr>
              <w:p w14:paraId="313C5D4E" w14:textId="10261CD6" w:rsidR="0E4E29E4" w:rsidRPr="0036636F" w:rsidRDefault="0E4E29E4" w:rsidP="0E4E29E4">
                <w:pPr>
                  <w:spacing w:after="0"/>
                  <w:ind w:left="-20" w:right="-20"/>
                  <w:jc w:val="right"/>
                  <w:rPr>
                    <w:sz w:val="18"/>
                    <w:szCs w:val="18"/>
                  </w:rPr>
                </w:pPr>
                <w:r w:rsidRPr="0036636F">
                  <w:rPr>
                    <w:rFonts w:ascii="Times New Roman" w:eastAsia="Times New Roman" w:hAnsi="Times New Roman"/>
                    <w:color w:val="000000" w:themeColor="text1"/>
                    <w:sz w:val="18"/>
                    <w:szCs w:val="18"/>
                  </w:rPr>
                  <w:t>4.359.438</w:t>
                </w:r>
              </w:p>
            </w:tc>
          </w:tr>
          <w:tr w:rsidR="00AF1ED4" w:rsidRPr="0036636F" w14:paraId="1A5607BF" w14:textId="77777777" w:rsidTr="00E918CC">
            <w:trPr>
              <w:trHeight w:val="340"/>
            </w:trPr>
            <w:tc>
              <w:tcPr>
                <w:tcW w:w="444" w:type="pct"/>
                <w:tcMar>
                  <w:left w:w="70" w:type="dxa"/>
                  <w:right w:w="70" w:type="dxa"/>
                </w:tcMar>
                <w:vAlign w:val="center"/>
              </w:tcPr>
              <w:p w14:paraId="4F4BBA03" w14:textId="3E16CF1E" w:rsidR="0E4E29E4" w:rsidRPr="0036636F" w:rsidRDefault="0E4E29E4" w:rsidP="0E4E29E4">
                <w:pPr>
                  <w:spacing w:after="0"/>
                  <w:ind w:left="-20" w:right="-20"/>
                  <w:rPr>
                    <w:sz w:val="18"/>
                    <w:szCs w:val="18"/>
                  </w:rPr>
                </w:pPr>
                <w:r w:rsidRPr="0036636F">
                  <w:rPr>
                    <w:rFonts w:ascii="Times New Roman" w:eastAsia="Times New Roman" w:hAnsi="Times New Roman"/>
                    <w:color w:val="000000" w:themeColor="text1"/>
                    <w:sz w:val="18"/>
                    <w:szCs w:val="18"/>
                  </w:rPr>
                  <w:t>5.3.47.19</w:t>
                </w:r>
              </w:p>
            </w:tc>
            <w:tc>
              <w:tcPr>
                <w:tcW w:w="1924" w:type="pct"/>
                <w:tcMar>
                  <w:left w:w="70" w:type="dxa"/>
                  <w:right w:w="70" w:type="dxa"/>
                </w:tcMar>
                <w:vAlign w:val="center"/>
              </w:tcPr>
              <w:p w14:paraId="42E25AAA" w14:textId="5305F6C4" w:rsidR="0E4E29E4" w:rsidRPr="0036636F" w:rsidRDefault="0E4E29E4" w:rsidP="009B0A5C">
                <w:pPr>
                  <w:spacing w:after="0"/>
                  <w:ind w:left="-20" w:right="-20"/>
                  <w:jc w:val="both"/>
                  <w:rPr>
                    <w:sz w:val="18"/>
                    <w:szCs w:val="18"/>
                  </w:rPr>
                </w:pPr>
                <w:r w:rsidRPr="0036636F">
                  <w:rPr>
                    <w:rFonts w:ascii="Times New Roman" w:eastAsia="Times New Roman" w:hAnsi="Times New Roman"/>
                    <w:color w:val="000000" w:themeColor="text1"/>
                    <w:sz w:val="18"/>
                    <w:szCs w:val="18"/>
                  </w:rPr>
                  <w:t>Sentencias, laudos arbitrales y conciliaciones extrajudiciales a favor de la entidad</w:t>
                </w:r>
              </w:p>
            </w:tc>
            <w:tc>
              <w:tcPr>
                <w:tcW w:w="554" w:type="pct"/>
                <w:tcMar>
                  <w:left w:w="70" w:type="dxa"/>
                  <w:right w:w="70" w:type="dxa"/>
                </w:tcMar>
                <w:vAlign w:val="center"/>
              </w:tcPr>
              <w:p w14:paraId="369BE23B" w14:textId="240F3E5A" w:rsidR="0E4E29E4" w:rsidRPr="0036636F" w:rsidRDefault="0E4E29E4" w:rsidP="002A1BD5">
                <w:pPr>
                  <w:spacing w:after="0"/>
                  <w:ind w:left="-20" w:right="-20"/>
                  <w:jc w:val="center"/>
                  <w:rPr>
                    <w:sz w:val="18"/>
                    <w:szCs w:val="18"/>
                  </w:rPr>
                </w:pPr>
                <w:r w:rsidRPr="0036636F">
                  <w:rPr>
                    <w:rFonts w:ascii="Times New Roman" w:eastAsia="Times New Roman" w:hAnsi="Times New Roman"/>
                    <w:color w:val="000000" w:themeColor="text1"/>
                    <w:sz w:val="18"/>
                    <w:szCs w:val="18"/>
                  </w:rPr>
                  <w:t>92540802</w:t>
                </w:r>
              </w:p>
            </w:tc>
            <w:tc>
              <w:tcPr>
                <w:tcW w:w="1293" w:type="pct"/>
                <w:tcMar>
                  <w:left w:w="70" w:type="dxa"/>
                  <w:right w:w="70" w:type="dxa"/>
                </w:tcMar>
                <w:vAlign w:val="center"/>
              </w:tcPr>
              <w:p w14:paraId="7E644F2D" w14:textId="4D373BF7" w:rsidR="0E4E29E4" w:rsidRPr="0036636F" w:rsidRDefault="008B3F3E" w:rsidP="0E4E29E4">
                <w:pPr>
                  <w:spacing w:after="0"/>
                  <w:ind w:left="-20" w:right="-20"/>
                  <w:rPr>
                    <w:sz w:val="18"/>
                    <w:szCs w:val="18"/>
                  </w:rPr>
                </w:pPr>
                <w:r w:rsidRPr="0036636F">
                  <w:rPr>
                    <w:rFonts w:ascii="Times New Roman" w:eastAsia="Times New Roman" w:hAnsi="Times New Roman"/>
                    <w:color w:val="000000" w:themeColor="text1"/>
                    <w:sz w:val="18"/>
                    <w:szCs w:val="18"/>
                  </w:rPr>
                  <w:t>Álvaro Montes Sevilla</w:t>
                </w:r>
              </w:p>
            </w:tc>
            <w:tc>
              <w:tcPr>
                <w:tcW w:w="785" w:type="pct"/>
                <w:tcMar>
                  <w:left w:w="70" w:type="dxa"/>
                  <w:right w:w="70" w:type="dxa"/>
                </w:tcMar>
                <w:vAlign w:val="center"/>
              </w:tcPr>
              <w:p w14:paraId="24008696" w14:textId="40EC026C" w:rsidR="0E4E29E4" w:rsidRPr="0036636F" w:rsidRDefault="0E4E29E4" w:rsidP="0E4E29E4">
                <w:pPr>
                  <w:spacing w:after="0"/>
                  <w:ind w:left="-20" w:right="-20"/>
                  <w:jc w:val="right"/>
                  <w:rPr>
                    <w:sz w:val="18"/>
                    <w:szCs w:val="18"/>
                  </w:rPr>
                </w:pPr>
                <w:r w:rsidRPr="0036636F">
                  <w:rPr>
                    <w:rFonts w:ascii="Times New Roman" w:eastAsia="Times New Roman" w:hAnsi="Times New Roman"/>
                    <w:color w:val="000000" w:themeColor="text1"/>
                    <w:sz w:val="18"/>
                    <w:szCs w:val="18"/>
                  </w:rPr>
                  <w:t>1.888.015</w:t>
                </w:r>
              </w:p>
            </w:tc>
          </w:tr>
          <w:tr w:rsidR="00AF1ED4" w:rsidRPr="0036636F" w14:paraId="0F2D68A7" w14:textId="77777777" w:rsidTr="00E918CC">
            <w:trPr>
              <w:trHeight w:val="340"/>
            </w:trPr>
            <w:tc>
              <w:tcPr>
                <w:tcW w:w="444" w:type="pct"/>
                <w:tcMar>
                  <w:left w:w="70" w:type="dxa"/>
                  <w:right w:w="70" w:type="dxa"/>
                </w:tcMar>
                <w:vAlign w:val="center"/>
              </w:tcPr>
              <w:p w14:paraId="6318BBF2" w14:textId="0B76134B" w:rsidR="0E4E29E4" w:rsidRPr="0036636F" w:rsidRDefault="0E4E29E4" w:rsidP="0E4E29E4">
                <w:pPr>
                  <w:spacing w:after="0"/>
                  <w:ind w:left="-20" w:right="-20"/>
                  <w:rPr>
                    <w:sz w:val="18"/>
                    <w:szCs w:val="18"/>
                  </w:rPr>
                </w:pPr>
                <w:r w:rsidRPr="0036636F">
                  <w:rPr>
                    <w:rFonts w:ascii="Times New Roman" w:eastAsia="Times New Roman" w:hAnsi="Times New Roman"/>
                    <w:color w:val="000000" w:themeColor="text1"/>
                    <w:sz w:val="18"/>
                    <w:szCs w:val="18"/>
                  </w:rPr>
                  <w:t>5.3.47.19</w:t>
                </w:r>
              </w:p>
            </w:tc>
            <w:tc>
              <w:tcPr>
                <w:tcW w:w="1924" w:type="pct"/>
                <w:tcMar>
                  <w:left w:w="70" w:type="dxa"/>
                  <w:right w:w="70" w:type="dxa"/>
                </w:tcMar>
                <w:vAlign w:val="center"/>
              </w:tcPr>
              <w:p w14:paraId="27D8AA9F" w14:textId="58C898BA" w:rsidR="0E4E29E4" w:rsidRPr="0036636F" w:rsidRDefault="0E4E29E4" w:rsidP="009B0A5C">
                <w:pPr>
                  <w:spacing w:after="0"/>
                  <w:ind w:left="-20" w:right="-20"/>
                  <w:jc w:val="both"/>
                  <w:rPr>
                    <w:sz w:val="18"/>
                    <w:szCs w:val="18"/>
                  </w:rPr>
                </w:pPr>
                <w:r w:rsidRPr="0036636F">
                  <w:rPr>
                    <w:rFonts w:ascii="Times New Roman" w:eastAsia="Times New Roman" w:hAnsi="Times New Roman"/>
                    <w:color w:val="000000" w:themeColor="text1"/>
                    <w:sz w:val="18"/>
                    <w:szCs w:val="18"/>
                  </w:rPr>
                  <w:t>Sentencias, laudos arbitrales y conciliaciones extrajudiciales a favor de la entidad</w:t>
                </w:r>
              </w:p>
            </w:tc>
            <w:tc>
              <w:tcPr>
                <w:tcW w:w="554" w:type="pct"/>
                <w:tcMar>
                  <w:left w:w="70" w:type="dxa"/>
                  <w:right w:w="70" w:type="dxa"/>
                </w:tcMar>
                <w:vAlign w:val="center"/>
              </w:tcPr>
              <w:p w14:paraId="32FA7235" w14:textId="6749A079" w:rsidR="0E4E29E4" w:rsidRPr="0036636F" w:rsidRDefault="0E4E29E4" w:rsidP="002A1BD5">
                <w:pPr>
                  <w:spacing w:after="0"/>
                  <w:ind w:left="-20" w:right="-20"/>
                  <w:jc w:val="center"/>
                  <w:rPr>
                    <w:sz w:val="18"/>
                    <w:szCs w:val="18"/>
                  </w:rPr>
                </w:pPr>
                <w:r w:rsidRPr="0036636F">
                  <w:rPr>
                    <w:rFonts w:ascii="Times New Roman" w:eastAsia="Times New Roman" w:hAnsi="Times New Roman"/>
                    <w:color w:val="000000" w:themeColor="text1"/>
                    <w:sz w:val="18"/>
                    <w:szCs w:val="18"/>
                  </w:rPr>
                  <w:t>900135168</w:t>
                </w:r>
              </w:p>
            </w:tc>
            <w:tc>
              <w:tcPr>
                <w:tcW w:w="1293" w:type="pct"/>
                <w:tcMar>
                  <w:left w:w="70" w:type="dxa"/>
                  <w:right w:w="70" w:type="dxa"/>
                </w:tcMar>
                <w:vAlign w:val="center"/>
              </w:tcPr>
              <w:p w14:paraId="7E9E186D" w14:textId="140872A6" w:rsidR="0E4E29E4" w:rsidRPr="0036636F" w:rsidRDefault="008B3F3E" w:rsidP="0E4E29E4">
                <w:pPr>
                  <w:spacing w:after="0"/>
                  <w:ind w:left="-20" w:right="-20"/>
                  <w:rPr>
                    <w:sz w:val="18"/>
                    <w:szCs w:val="18"/>
                  </w:rPr>
                </w:pPr>
                <w:r w:rsidRPr="0036636F">
                  <w:rPr>
                    <w:rFonts w:ascii="Times New Roman" w:eastAsia="Times New Roman" w:hAnsi="Times New Roman"/>
                    <w:color w:val="000000" w:themeColor="text1"/>
                    <w:sz w:val="18"/>
                    <w:szCs w:val="18"/>
                  </w:rPr>
                  <w:t>Autopistas De La Sabana S.A.S</w:t>
                </w:r>
              </w:p>
            </w:tc>
            <w:tc>
              <w:tcPr>
                <w:tcW w:w="785" w:type="pct"/>
                <w:tcMar>
                  <w:left w:w="70" w:type="dxa"/>
                  <w:right w:w="70" w:type="dxa"/>
                </w:tcMar>
                <w:vAlign w:val="center"/>
              </w:tcPr>
              <w:p w14:paraId="213DD742" w14:textId="13BEEBB2" w:rsidR="0E4E29E4" w:rsidRPr="0036636F" w:rsidRDefault="0E4E29E4" w:rsidP="0E4E29E4">
                <w:pPr>
                  <w:spacing w:after="0"/>
                  <w:ind w:left="-20" w:right="-20"/>
                  <w:jc w:val="right"/>
                  <w:rPr>
                    <w:sz w:val="18"/>
                    <w:szCs w:val="18"/>
                  </w:rPr>
                </w:pPr>
                <w:r w:rsidRPr="0036636F">
                  <w:rPr>
                    <w:rFonts w:ascii="Times New Roman" w:eastAsia="Times New Roman" w:hAnsi="Times New Roman"/>
                    <w:color w:val="000000" w:themeColor="text1"/>
                    <w:sz w:val="18"/>
                    <w:szCs w:val="18"/>
                  </w:rPr>
                  <w:t>744.655</w:t>
                </w:r>
              </w:p>
            </w:tc>
          </w:tr>
          <w:tr w:rsidR="00AF1ED4" w:rsidRPr="0036636F" w14:paraId="29581178" w14:textId="77777777" w:rsidTr="00E918CC">
            <w:trPr>
              <w:trHeight w:val="340"/>
            </w:trPr>
            <w:tc>
              <w:tcPr>
                <w:tcW w:w="444" w:type="pct"/>
                <w:tcMar>
                  <w:left w:w="70" w:type="dxa"/>
                  <w:right w:w="70" w:type="dxa"/>
                </w:tcMar>
                <w:vAlign w:val="center"/>
              </w:tcPr>
              <w:p w14:paraId="0B10BE7E" w14:textId="6D480CFB" w:rsidR="0E4E29E4" w:rsidRPr="0036636F" w:rsidRDefault="0E4E29E4" w:rsidP="0E4E29E4">
                <w:pPr>
                  <w:spacing w:after="0"/>
                  <w:ind w:left="-20" w:right="-20"/>
                  <w:rPr>
                    <w:sz w:val="18"/>
                    <w:szCs w:val="18"/>
                  </w:rPr>
                </w:pPr>
                <w:r w:rsidRPr="0036636F">
                  <w:rPr>
                    <w:rFonts w:ascii="Times New Roman" w:eastAsia="Times New Roman" w:hAnsi="Times New Roman"/>
                    <w:color w:val="000000" w:themeColor="text1"/>
                    <w:sz w:val="18"/>
                    <w:szCs w:val="18"/>
                  </w:rPr>
                  <w:lastRenderedPageBreak/>
                  <w:t>5.3.47.19</w:t>
                </w:r>
              </w:p>
            </w:tc>
            <w:tc>
              <w:tcPr>
                <w:tcW w:w="1924" w:type="pct"/>
                <w:tcMar>
                  <w:left w:w="70" w:type="dxa"/>
                  <w:right w:w="70" w:type="dxa"/>
                </w:tcMar>
                <w:vAlign w:val="center"/>
              </w:tcPr>
              <w:p w14:paraId="3E861007" w14:textId="4C360B8D" w:rsidR="0E4E29E4" w:rsidRPr="0036636F" w:rsidRDefault="0E4E29E4" w:rsidP="009B0A5C">
                <w:pPr>
                  <w:spacing w:after="0"/>
                  <w:ind w:left="-20" w:right="-20"/>
                  <w:jc w:val="both"/>
                  <w:rPr>
                    <w:sz w:val="18"/>
                    <w:szCs w:val="18"/>
                  </w:rPr>
                </w:pPr>
                <w:r w:rsidRPr="0036636F">
                  <w:rPr>
                    <w:rFonts w:ascii="Times New Roman" w:eastAsia="Times New Roman" w:hAnsi="Times New Roman"/>
                    <w:color w:val="000000" w:themeColor="text1"/>
                    <w:sz w:val="18"/>
                    <w:szCs w:val="18"/>
                  </w:rPr>
                  <w:t>Sentencias, laudos arbitrales y conciliaciones extrajudiciales a favor de la entidad</w:t>
                </w:r>
              </w:p>
            </w:tc>
            <w:tc>
              <w:tcPr>
                <w:tcW w:w="554" w:type="pct"/>
                <w:tcMar>
                  <w:left w:w="70" w:type="dxa"/>
                  <w:right w:w="70" w:type="dxa"/>
                </w:tcMar>
                <w:vAlign w:val="center"/>
              </w:tcPr>
              <w:p w14:paraId="02CD544C" w14:textId="6CB2B3FE" w:rsidR="0E4E29E4" w:rsidRPr="0036636F" w:rsidRDefault="0E4E29E4" w:rsidP="002A1BD5">
                <w:pPr>
                  <w:spacing w:after="0"/>
                  <w:ind w:left="-20" w:right="-20"/>
                  <w:jc w:val="center"/>
                  <w:rPr>
                    <w:sz w:val="18"/>
                    <w:szCs w:val="18"/>
                  </w:rPr>
                </w:pPr>
                <w:r w:rsidRPr="0036636F">
                  <w:rPr>
                    <w:rFonts w:ascii="Times New Roman" w:eastAsia="Times New Roman" w:hAnsi="Times New Roman"/>
                    <w:color w:val="000000" w:themeColor="text1"/>
                    <w:sz w:val="18"/>
                    <w:szCs w:val="18"/>
                  </w:rPr>
                  <w:t>86054345</w:t>
                </w:r>
              </w:p>
            </w:tc>
            <w:tc>
              <w:tcPr>
                <w:tcW w:w="1293" w:type="pct"/>
                <w:tcMar>
                  <w:left w:w="70" w:type="dxa"/>
                  <w:right w:w="70" w:type="dxa"/>
                </w:tcMar>
                <w:vAlign w:val="center"/>
              </w:tcPr>
              <w:p w14:paraId="6B953E9F" w14:textId="0FDEF9CC" w:rsidR="0E4E29E4" w:rsidRPr="0036636F" w:rsidRDefault="008B3F3E" w:rsidP="0E4E29E4">
                <w:pPr>
                  <w:spacing w:after="0"/>
                  <w:ind w:left="-20" w:right="-20"/>
                  <w:rPr>
                    <w:sz w:val="18"/>
                    <w:szCs w:val="18"/>
                  </w:rPr>
                </w:pPr>
                <w:r w:rsidRPr="0036636F">
                  <w:rPr>
                    <w:rFonts w:ascii="Times New Roman" w:eastAsia="Times New Roman" w:hAnsi="Times New Roman"/>
                    <w:color w:val="000000" w:themeColor="text1"/>
                    <w:sz w:val="18"/>
                    <w:szCs w:val="18"/>
                  </w:rPr>
                  <w:t>Dumar Alexander Neira Aya</w:t>
                </w:r>
              </w:p>
            </w:tc>
            <w:tc>
              <w:tcPr>
                <w:tcW w:w="785" w:type="pct"/>
                <w:tcMar>
                  <w:left w:w="70" w:type="dxa"/>
                  <w:right w:w="70" w:type="dxa"/>
                </w:tcMar>
                <w:vAlign w:val="center"/>
              </w:tcPr>
              <w:p w14:paraId="61ADD46D" w14:textId="2ACD66ED" w:rsidR="0E4E29E4" w:rsidRPr="0036636F" w:rsidRDefault="0E4E29E4" w:rsidP="0E4E29E4">
                <w:pPr>
                  <w:spacing w:after="0"/>
                  <w:ind w:left="-20" w:right="-20"/>
                  <w:jc w:val="right"/>
                  <w:rPr>
                    <w:sz w:val="18"/>
                    <w:szCs w:val="18"/>
                  </w:rPr>
                </w:pPr>
                <w:r w:rsidRPr="0036636F">
                  <w:rPr>
                    <w:rFonts w:ascii="Times New Roman" w:eastAsia="Times New Roman" w:hAnsi="Times New Roman"/>
                    <w:color w:val="000000" w:themeColor="text1"/>
                    <w:sz w:val="18"/>
                    <w:szCs w:val="18"/>
                  </w:rPr>
                  <w:t>217.152</w:t>
                </w:r>
              </w:p>
            </w:tc>
          </w:tr>
          <w:tr w:rsidR="00AF1ED4" w:rsidRPr="0036636F" w14:paraId="7D3D00B6" w14:textId="77777777" w:rsidTr="00E918CC">
            <w:trPr>
              <w:trHeight w:val="340"/>
            </w:trPr>
            <w:tc>
              <w:tcPr>
                <w:tcW w:w="444" w:type="pct"/>
                <w:tcMar>
                  <w:left w:w="70" w:type="dxa"/>
                  <w:right w:w="70" w:type="dxa"/>
                </w:tcMar>
                <w:vAlign w:val="center"/>
              </w:tcPr>
              <w:p w14:paraId="17EAE1C8" w14:textId="022D5926" w:rsidR="0E4E29E4" w:rsidRPr="0036636F" w:rsidRDefault="0E4E29E4" w:rsidP="0E4E29E4">
                <w:pPr>
                  <w:spacing w:after="0"/>
                  <w:ind w:left="-20" w:right="-20"/>
                  <w:rPr>
                    <w:sz w:val="18"/>
                    <w:szCs w:val="18"/>
                  </w:rPr>
                </w:pPr>
                <w:r w:rsidRPr="0036636F">
                  <w:rPr>
                    <w:rFonts w:ascii="Times New Roman" w:eastAsia="Times New Roman" w:hAnsi="Times New Roman"/>
                    <w:color w:val="000000" w:themeColor="text1"/>
                    <w:sz w:val="18"/>
                    <w:szCs w:val="18"/>
                  </w:rPr>
                  <w:t>5.3.47.19</w:t>
                </w:r>
              </w:p>
            </w:tc>
            <w:tc>
              <w:tcPr>
                <w:tcW w:w="1924" w:type="pct"/>
                <w:tcMar>
                  <w:left w:w="70" w:type="dxa"/>
                  <w:right w:w="70" w:type="dxa"/>
                </w:tcMar>
                <w:vAlign w:val="center"/>
              </w:tcPr>
              <w:p w14:paraId="5ABA901C" w14:textId="36F31E71" w:rsidR="0E4E29E4" w:rsidRPr="0036636F" w:rsidRDefault="0E4E29E4" w:rsidP="009B0A5C">
                <w:pPr>
                  <w:spacing w:after="0"/>
                  <w:ind w:left="-20" w:right="-20"/>
                  <w:jc w:val="both"/>
                  <w:rPr>
                    <w:sz w:val="18"/>
                    <w:szCs w:val="18"/>
                  </w:rPr>
                </w:pPr>
                <w:r w:rsidRPr="0036636F">
                  <w:rPr>
                    <w:rFonts w:ascii="Times New Roman" w:eastAsia="Times New Roman" w:hAnsi="Times New Roman"/>
                    <w:color w:val="000000" w:themeColor="text1"/>
                    <w:sz w:val="18"/>
                    <w:szCs w:val="18"/>
                  </w:rPr>
                  <w:t>Sentencias, laudos arbitrales y conciliaciones extrajudiciales a favor de la entidad</w:t>
                </w:r>
              </w:p>
            </w:tc>
            <w:tc>
              <w:tcPr>
                <w:tcW w:w="554" w:type="pct"/>
                <w:tcMar>
                  <w:left w:w="70" w:type="dxa"/>
                  <w:right w:w="70" w:type="dxa"/>
                </w:tcMar>
                <w:vAlign w:val="center"/>
              </w:tcPr>
              <w:p w14:paraId="545DB4ED" w14:textId="47E4CD11" w:rsidR="0E4E29E4" w:rsidRPr="0036636F" w:rsidRDefault="0E4E29E4" w:rsidP="002A1BD5">
                <w:pPr>
                  <w:spacing w:after="0"/>
                  <w:ind w:left="-20" w:right="-20"/>
                  <w:jc w:val="center"/>
                  <w:rPr>
                    <w:sz w:val="18"/>
                    <w:szCs w:val="18"/>
                  </w:rPr>
                </w:pPr>
                <w:r w:rsidRPr="0036636F">
                  <w:rPr>
                    <w:rFonts w:ascii="Times New Roman" w:eastAsia="Times New Roman" w:hAnsi="Times New Roman"/>
                    <w:color w:val="000000" w:themeColor="text1"/>
                    <w:sz w:val="18"/>
                    <w:szCs w:val="18"/>
                  </w:rPr>
                  <w:t>7555742</w:t>
                </w:r>
              </w:p>
            </w:tc>
            <w:tc>
              <w:tcPr>
                <w:tcW w:w="1293" w:type="pct"/>
                <w:tcMar>
                  <w:left w:w="70" w:type="dxa"/>
                  <w:right w:w="70" w:type="dxa"/>
                </w:tcMar>
                <w:vAlign w:val="center"/>
              </w:tcPr>
              <w:p w14:paraId="0B78B922" w14:textId="25385721" w:rsidR="0E4E29E4" w:rsidRPr="0036636F" w:rsidRDefault="008B3F3E" w:rsidP="0E4E29E4">
                <w:pPr>
                  <w:spacing w:after="0"/>
                  <w:ind w:left="-20" w:right="-20"/>
                  <w:rPr>
                    <w:sz w:val="18"/>
                    <w:szCs w:val="18"/>
                  </w:rPr>
                </w:pPr>
                <w:r w:rsidRPr="0036636F">
                  <w:rPr>
                    <w:rFonts w:ascii="Times New Roman" w:eastAsia="Times New Roman" w:hAnsi="Times New Roman"/>
                    <w:color w:val="000000" w:themeColor="text1"/>
                    <w:sz w:val="18"/>
                    <w:szCs w:val="18"/>
                  </w:rPr>
                  <w:t>Jairo Mauricio Merchán Acosta</w:t>
                </w:r>
              </w:p>
            </w:tc>
            <w:tc>
              <w:tcPr>
                <w:tcW w:w="785" w:type="pct"/>
                <w:tcMar>
                  <w:left w:w="70" w:type="dxa"/>
                  <w:right w:w="70" w:type="dxa"/>
                </w:tcMar>
                <w:vAlign w:val="center"/>
              </w:tcPr>
              <w:p w14:paraId="6874F32A" w14:textId="31ED4CA8" w:rsidR="0E4E29E4" w:rsidRPr="0036636F" w:rsidRDefault="0E4E29E4" w:rsidP="0E4E29E4">
                <w:pPr>
                  <w:spacing w:after="0"/>
                  <w:ind w:left="-20" w:right="-20"/>
                  <w:jc w:val="right"/>
                  <w:rPr>
                    <w:sz w:val="18"/>
                    <w:szCs w:val="18"/>
                  </w:rPr>
                </w:pPr>
                <w:r w:rsidRPr="0036636F">
                  <w:rPr>
                    <w:rFonts w:ascii="Times New Roman" w:eastAsia="Times New Roman" w:hAnsi="Times New Roman"/>
                    <w:color w:val="000000" w:themeColor="text1"/>
                    <w:sz w:val="18"/>
                    <w:szCs w:val="18"/>
                  </w:rPr>
                  <w:t>67.711</w:t>
                </w:r>
              </w:p>
            </w:tc>
          </w:tr>
          <w:tr w:rsidR="00AF1ED4" w:rsidRPr="0036636F" w14:paraId="0D687DB2" w14:textId="77777777" w:rsidTr="00E918CC">
            <w:trPr>
              <w:trHeight w:val="340"/>
            </w:trPr>
            <w:tc>
              <w:tcPr>
                <w:tcW w:w="444" w:type="pct"/>
                <w:tcMar>
                  <w:left w:w="70" w:type="dxa"/>
                  <w:right w:w="70" w:type="dxa"/>
                </w:tcMar>
                <w:vAlign w:val="center"/>
              </w:tcPr>
              <w:p w14:paraId="4402169C" w14:textId="74FFD340" w:rsidR="0E4E29E4" w:rsidRPr="0036636F" w:rsidRDefault="0E4E29E4" w:rsidP="0E4E29E4">
                <w:pPr>
                  <w:spacing w:after="0"/>
                  <w:ind w:left="-20" w:right="-20"/>
                  <w:rPr>
                    <w:sz w:val="18"/>
                    <w:szCs w:val="18"/>
                  </w:rPr>
                </w:pPr>
                <w:r w:rsidRPr="0036636F">
                  <w:rPr>
                    <w:rFonts w:ascii="Times New Roman" w:eastAsia="Times New Roman" w:hAnsi="Times New Roman"/>
                    <w:color w:val="000000" w:themeColor="text1"/>
                    <w:sz w:val="18"/>
                    <w:szCs w:val="18"/>
                  </w:rPr>
                  <w:t>5.3.47.19</w:t>
                </w:r>
              </w:p>
            </w:tc>
            <w:tc>
              <w:tcPr>
                <w:tcW w:w="1924" w:type="pct"/>
                <w:tcMar>
                  <w:left w:w="70" w:type="dxa"/>
                  <w:right w:w="70" w:type="dxa"/>
                </w:tcMar>
                <w:vAlign w:val="center"/>
              </w:tcPr>
              <w:p w14:paraId="580173F4" w14:textId="1EFC7B81" w:rsidR="0E4E29E4" w:rsidRPr="0036636F" w:rsidRDefault="0E4E29E4" w:rsidP="009B0A5C">
                <w:pPr>
                  <w:spacing w:after="0"/>
                  <w:ind w:left="-20" w:right="-20"/>
                  <w:jc w:val="both"/>
                  <w:rPr>
                    <w:sz w:val="18"/>
                    <w:szCs w:val="18"/>
                  </w:rPr>
                </w:pPr>
                <w:r w:rsidRPr="0036636F">
                  <w:rPr>
                    <w:rFonts w:ascii="Times New Roman" w:eastAsia="Times New Roman" w:hAnsi="Times New Roman"/>
                    <w:color w:val="000000" w:themeColor="text1"/>
                    <w:sz w:val="18"/>
                    <w:szCs w:val="18"/>
                  </w:rPr>
                  <w:t>Sentencias, laudos arbitrales y conciliaciones extrajudiciales a favor de la entidad</w:t>
                </w:r>
              </w:p>
            </w:tc>
            <w:tc>
              <w:tcPr>
                <w:tcW w:w="554" w:type="pct"/>
                <w:tcMar>
                  <w:left w:w="70" w:type="dxa"/>
                  <w:right w:w="70" w:type="dxa"/>
                </w:tcMar>
                <w:vAlign w:val="center"/>
              </w:tcPr>
              <w:p w14:paraId="6F7DEC3D" w14:textId="11BB6EA7" w:rsidR="0E4E29E4" w:rsidRPr="0036636F" w:rsidRDefault="0E4E29E4" w:rsidP="002A1BD5">
                <w:pPr>
                  <w:spacing w:after="0"/>
                  <w:ind w:left="-20" w:right="-20"/>
                  <w:jc w:val="center"/>
                  <w:rPr>
                    <w:sz w:val="18"/>
                    <w:szCs w:val="18"/>
                  </w:rPr>
                </w:pPr>
                <w:r w:rsidRPr="0036636F">
                  <w:rPr>
                    <w:rFonts w:ascii="Times New Roman" w:eastAsia="Times New Roman" w:hAnsi="Times New Roman"/>
                    <w:color w:val="000000" w:themeColor="text1"/>
                    <w:sz w:val="18"/>
                    <w:szCs w:val="18"/>
                  </w:rPr>
                  <w:t>18618090</w:t>
                </w:r>
              </w:p>
            </w:tc>
            <w:tc>
              <w:tcPr>
                <w:tcW w:w="1293" w:type="pct"/>
                <w:tcMar>
                  <w:left w:w="70" w:type="dxa"/>
                  <w:right w:w="70" w:type="dxa"/>
                </w:tcMar>
                <w:vAlign w:val="center"/>
              </w:tcPr>
              <w:p w14:paraId="17E21BD6" w14:textId="391C7595" w:rsidR="0E4E29E4" w:rsidRPr="0036636F" w:rsidRDefault="008B3F3E" w:rsidP="0E4E29E4">
                <w:pPr>
                  <w:spacing w:after="0"/>
                  <w:ind w:left="-20" w:right="-20"/>
                  <w:rPr>
                    <w:sz w:val="18"/>
                    <w:szCs w:val="18"/>
                  </w:rPr>
                </w:pPr>
                <w:r w:rsidRPr="0036636F">
                  <w:rPr>
                    <w:rFonts w:ascii="Times New Roman" w:eastAsia="Times New Roman" w:hAnsi="Times New Roman"/>
                    <w:color w:val="000000" w:themeColor="text1"/>
                    <w:sz w:val="18"/>
                    <w:szCs w:val="18"/>
                  </w:rPr>
                  <w:t>Mauricio Lopez Galvis</w:t>
                </w:r>
              </w:p>
            </w:tc>
            <w:tc>
              <w:tcPr>
                <w:tcW w:w="785" w:type="pct"/>
                <w:tcMar>
                  <w:left w:w="70" w:type="dxa"/>
                  <w:right w:w="70" w:type="dxa"/>
                </w:tcMar>
                <w:vAlign w:val="center"/>
              </w:tcPr>
              <w:p w14:paraId="549A2595" w14:textId="5DD0FE55" w:rsidR="0E4E29E4" w:rsidRPr="0036636F" w:rsidRDefault="0E4E29E4" w:rsidP="0E4E29E4">
                <w:pPr>
                  <w:spacing w:after="0"/>
                  <w:ind w:left="-20" w:right="-20"/>
                  <w:jc w:val="right"/>
                  <w:rPr>
                    <w:sz w:val="18"/>
                    <w:szCs w:val="18"/>
                  </w:rPr>
                </w:pPr>
                <w:r w:rsidRPr="0036636F">
                  <w:rPr>
                    <w:rFonts w:ascii="Times New Roman" w:eastAsia="Times New Roman" w:hAnsi="Times New Roman"/>
                    <w:color w:val="000000" w:themeColor="text1"/>
                    <w:sz w:val="18"/>
                    <w:szCs w:val="18"/>
                  </w:rPr>
                  <w:t>54.288</w:t>
                </w:r>
              </w:p>
            </w:tc>
          </w:tr>
          <w:tr w:rsidR="00AF1ED4" w:rsidRPr="0036636F" w14:paraId="176F0DCF" w14:textId="77777777" w:rsidTr="00E918CC">
            <w:trPr>
              <w:trHeight w:val="340"/>
            </w:trPr>
            <w:tc>
              <w:tcPr>
                <w:tcW w:w="444" w:type="pct"/>
                <w:tcMar>
                  <w:left w:w="70" w:type="dxa"/>
                  <w:right w:w="70" w:type="dxa"/>
                </w:tcMar>
                <w:vAlign w:val="center"/>
              </w:tcPr>
              <w:p w14:paraId="0D69C69A" w14:textId="704C17E9" w:rsidR="0E4E29E4" w:rsidRPr="0036636F" w:rsidRDefault="0E4E29E4" w:rsidP="0E4E29E4">
                <w:pPr>
                  <w:spacing w:after="0"/>
                  <w:ind w:left="-20" w:right="-20"/>
                  <w:rPr>
                    <w:sz w:val="18"/>
                    <w:szCs w:val="18"/>
                  </w:rPr>
                </w:pPr>
                <w:r w:rsidRPr="0036636F">
                  <w:rPr>
                    <w:rFonts w:ascii="Times New Roman" w:eastAsia="Times New Roman" w:hAnsi="Times New Roman"/>
                    <w:color w:val="000000" w:themeColor="text1"/>
                    <w:sz w:val="18"/>
                    <w:szCs w:val="18"/>
                  </w:rPr>
                  <w:t>5.3.47.19</w:t>
                </w:r>
              </w:p>
            </w:tc>
            <w:tc>
              <w:tcPr>
                <w:tcW w:w="1924" w:type="pct"/>
                <w:tcMar>
                  <w:left w:w="70" w:type="dxa"/>
                  <w:right w:w="70" w:type="dxa"/>
                </w:tcMar>
                <w:vAlign w:val="center"/>
              </w:tcPr>
              <w:p w14:paraId="149A41F0" w14:textId="6E952794" w:rsidR="0E4E29E4" w:rsidRPr="0036636F" w:rsidRDefault="0E4E29E4" w:rsidP="009B0A5C">
                <w:pPr>
                  <w:spacing w:after="0"/>
                  <w:ind w:left="-20" w:right="-20"/>
                  <w:jc w:val="both"/>
                  <w:rPr>
                    <w:sz w:val="18"/>
                    <w:szCs w:val="18"/>
                  </w:rPr>
                </w:pPr>
                <w:r w:rsidRPr="0036636F">
                  <w:rPr>
                    <w:rFonts w:ascii="Times New Roman" w:eastAsia="Times New Roman" w:hAnsi="Times New Roman"/>
                    <w:color w:val="000000" w:themeColor="text1"/>
                    <w:sz w:val="18"/>
                    <w:szCs w:val="18"/>
                  </w:rPr>
                  <w:t>Sentencias, laudos arbitrales y conciliaciones extrajudiciales a favor de la entidad</w:t>
                </w:r>
              </w:p>
            </w:tc>
            <w:tc>
              <w:tcPr>
                <w:tcW w:w="554" w:type="pct"/>
                <w:tcMar>
                  <w:left w:w="70" w:type="dxa"/>
                  <w:right w:w="70" w:type="dxa"/>
                </w:tcMar>
                <w:vAlign w:val="center"/>
              </w:tcPr>
              <w:p w14:paraId="4EB05402" w14:textId="23DA3364" w:rsidR="0E4E29E4" w:rsidRPr="0036636F" w:rsidRDefault="0E4E29E4" w:rsidP="002A1BD5">
                <w:pPr>
                  <w:spacing w:after="0"/>
                  <w:ind w:left="-20" w:right="-20"/>
                  <w:jc w:val="center"/>
                  <w:rPr>
                    <w:sz w:val="18"/>
                    <w:szCs w:val="18"/>
                  </w:rPr>
                </w:pPr>
                <w:r w:rsidRPr="0036636F">
                  <w:rPr>
                    <w:rFonts w:ascii="Times New Roman" w:eastAsia="Times New Roman" w:hAnsi="Times New Roman"/>
                    <w:color w:val="000000" w:themeColor="text1"/>
                    <w:sz w:val="18"/>
                    <w:szCs w:val="18"/>
                  </w:rPr>
                  <w:t>79541706</w:t>
                </w:r>
              </w:p>
            </w:tc>
            <w:tc>
              <w:tcPr>
                <w:tcW w:w="1293" w:type="pct"/>
                <w:tcMar>
                  <w:left w:w="70" w:type="dxa"/>
                  <w:right w:w="70" w:type="dxa"/>
                </w:tcMar>
                <w:vAlign w:val="center"/>
              </w:tcPr>
              <w:p w14:paraId="5F87E90A" w14:textId="51AE50CE" w:rsidR="0E4E29E4" w:rsidRPr="0036636F" w:rsidRDefault="008B3F3E" w:rsidP="0E4E29E4">
                <w:pPr>
                  <w:spacing w:after="0"/>
                  <w:ind w:left="-20" w:right="-20"/>
                  <w:rPr>
                    <w:sz w:val="18"/>
                    <w:szCs w:val="18"/>
                  </w:rPr>
                </w:pPr>
                <w:r w:rsidRPr="0036636F">
                  <w:rPr>
                    <w:rFonts w:ascii="Times New Roman" w:eastAsia="Times New Roman" w:hAnsi="Times New Roman"/>
                    <w:color w:val="000000" w:themeColor="text1"/>
                    <w:sz w:val="18"/>
                    <w:szCs w:val="18"/>
                  </w:rPr>
                  <w:t>Pedro Hernan Cruz Suarez</w:t>
                </w:r>
              </w:p>
            </w:tc>
            <w:tc>
              <w:tcPr>
                <w:tcW w:w="785" w:type="pct"/>
                <w:tcMar>
                  <w:left w:w="70" w:type="dxa"/>
                  <w:right w:w="70" w:type="dxa"/>
                </w:tcMar>
                <w:vAlign w:val="center"/>
              </w:tcPr>
              <w:p w14:paraId="64E77531" w14:textId="4984382F" w:rsidR="0E4E29E4" w:rsidRPr="0036636F" w:rsidRDefault="0E4E29E4" w:rsidP="0E4E29E4">
                <w:pPr>
                  <w:spacing w:after="0"/>
                  <w:ind w:left="-20" w:right="-20"/>
                  <w:jc w:val="right"/>
                  <w:rPr>
                    <w:sz w:val="18"/>
                    <w:szCs w:val="18"/>
                  </w:rPr>
                </w:pPr>
                <w:r w:rsidRPr="0036636F">
                  <w:rPr>
                    <w:rFonts w:ascii="Times New Roman" w:eastAsia="Times New Roman" w:hAnsi="Times New Roman"/>
                    <w:color w:val="000000" w:themeColor="text1"/>
                    <w:sz w:val="18"/>
                    <w:szCs w:val="18"/>
                  </w:rPr>
                  <w:t>52.730</w:t>
                </w:r>
              </w:p>
            </w:tc>
          </w:tr>
          <w:tr w:rsidR="00AF1ED4" w:rsidRPr="0036636F" w14:paraId="6385CCF3" w14:textId="77777777" w:rsidTr="00E918CC">
            <w:trPr>
              <w:trHeight w:val="340"/>
            </w:trPr>
            <w:tc>
              <w:tcPr>
                <w:tcW w:w="444" w:type="pct"/>
                <w:tcMar>
                  <w:left w:w="70" w:type="dxa"/>
                  <w:right w:w="70" w:type="dxa"/>
                </w:tcMar>
                <w:vAlign w:val="center"/>
              </w:tcPr>
              <w:p w14:paraId="738B151A" w14:textId="66705084" w:rsidR="0E4E29E4" w:rsidRPr="0036636F" w:rsidRDefault="0E4E29E4" w:rsidP="0E4E29E4">
                <w:pPr>
                  <w:spacing w:after="0"/>
                  <w:ind w:left="-20" w:right="-20"/>
                  <w:rPr>
                    <w:sz w:val="18"/>
                    <w:szCs w:val="18"/>
                  </w:rPr>
                </w:pPr>
                <w:r w:rsidRPr="0036636F">
                  <w:rPr>
                    <w:rFonts w:ascii="Times New Roman" w:eastAsia="Times New Roman" w:hAnsi="Times New Roman"/>
                    <w:color w:val="000000" w:themeColor="text1"/>
                    <w:sz w:val="18"/>
                    <w:szCs w:val="18"/>
                  </w:rPr>
                  <w:t>5.3.47.19</w:t>
                </w:r>
              </w:p>
            </w:tc>
            <w:tc>
              <w:tcPr>
                <w:tcW w:w="1924" w:type="pct"/>
                <w:tcMar>
                  <w:left w:w="70" w:type="dxa"/>
                  <w:right w:w="70" w:type="dxa"/>
                </w:tcMar>
                <w:vAlign w:val="center"/>
              </w:tcPr>
              <w:p w14:paraId="53B61C3A" w14:textId="718E6BEA" w:rsidR="0E4E29E4" w:rsidRPr="0036636F" w:rsidRDefault="0E4E29E4" w:rsidP="009B0A5C">
                <w:pPr>
                  <w:spacing w:after="0"/>
                  <w:ind w:left="-20" w:right="-20"/>
                  <w:jc w:val="both"/>
                  <w:rPr>
                    <w:sz w:val="18"/>
                    <w:szCs w:val="18"/>
                  </w:rPr>
                </w:pPr>
                <w:r w:rsidRPr="0036636F">
                  <w:rPr>
                    <w:rFonts w:ascii="Times New Roman" w:eastAsia="Times New Roman" w:hAnsi="Times New Roman"/>
                    <w:color w:val="000000" w:themeColor="text1"/>
                    <w:sz w:val="18"/>
                    <w:szCs w:val="18"/>
                  </w:rPr>
                  <w:t>Sentencias, laudos arbitrales y conciliaciones extrajudiciales a favor de la entidad</w:t>
                </w:r>
              </w:p>
            </w:tc>
            <w:tc>
              <w:tcPr>
                <w:tcW w:w="554" w:type="pct"/>
                <w:tcMar>
                  <w:left w:w="70" w:type="dxa"/>
                  <w:right w:w="70" w:type="dxa"/>
                </w:tcMar>
                <w:vAlign w:val="center"/>
              </w:tcPr>
              <w:p w14:paraId="2F59CD45" w14:textId="4058CF57" w:rsidR="0E4E29E4" w:rsidRPr="0036636F" w:rsidRDefault="0E4E29E4" w:rsidP="002A1BD5">
                <w:pPr>
                  <w:spacing w:after="0"/>
                  <w:ind w:left="-20" w:right="-20"/>
                  <w:jc w:val="center"/>
                  <w:rPr>
                    <w:sz w:val="18"/>
                    <w:szCs w:val="18"/>
                  </w:rPr>
                </w:pPr>
                <w:r w:rsidRPr="0036636F">
                  <w:rPr>
                    <w:rFonts w:ascii="Times New Roman" w:eastAsia="Times New Roman" w:hAnsi="Times New Roman"/>
                    <w:color w:val="000000" w:themeColor="text1"/>
                    <w:sz w:val="18"/>
                    <w:szCs w:val="18"/>
                  </w:rPr>
                  <w:t>11407347</w:t>
                </w:r>
              </w:p>
            </w:tc>
            <w:tc>
              <w:tcPr>
                <w:tcW w:w="1293" w:type="pct"/>
                <w:tcMar>
                  <w:left w:w="70" w:type="dxa"/>
                  <w:right w:w="70" w:type="dxa"/>
                </w:tcMar>
                <w:vAlign w:val="center"/>
              </w:tcPr>
              <w:p w14:paraId="652291F4" w14:textId="78F235C7" w:rsidR="0E4E29E4" w:rsidRPr="0036636F" w:rsidRDefault="008B3F3E" w:rsidP="0E4E29E4">
                <w:pPr>
                  <w:spacing w:after="0"/>
                  <w:ind w:left="-20" w:right="-20"/>
                  <w:rPr>
                    <w:sz w:val="18"/>
                    <w:szCs w:val="18"/>
                  </w:rPr>
                </w:pPr>
                <w:r w:rsidRPr="0036636F">
                  <w:rPr>
                    <w:rFonts w:ascii="Times New Roman" w:eastAsia="Times New Roman" w:hAnsi="Times New Roman"/>
                    <w:color w:val="000000" w:themeColor="text1"/>
                    <w:sz w:val="18"/>
                    <w:szCs w:val="18"/>
                  </w:rPr>
                  <w:t>German Francisco Rojas Baquero</w:t>
                </w:r>
              </w:p>
            </w:tc>
            <w:tc>
              <w:tcPr>
                <w:tcW w:w="785" w:type="pct"/>
                <w:tcMar>
                  <w:left w:w="70" w:type="dxa"/>
                  <w:right w:w="70" w:type="dxa"/>
                </w:tcMar>
                <w:vAlign w:val="center"/>
              </w:tcPr>
              <w:p w14:paraId="6FD90D5F" w14:textId="6716C161" w:rsidR="0E4E29E4" w:rsidRPr="0036636F" w:rsidRDefault="0E4E29E4" w:rsidP="0E4E29E4">
                <w:pPr>
                  <w:spacing w:after="0"/>
                  <w:ind w:left="-20" w:right="-20"/>
                  <w:jc w:val="right"/>
                  <w:rPr>
                    <w:sz w:val="18"/>
                    <w:szCs w:val="18"/>
                  </w:rPr>
                </w:pPr>
                <w:r w:rsidRPr="0036636F">
                  <w:rPr>
                    <w:rFonts w:ascii="Times New Roman" w:eastAsia="Times New Roman" w:hAnsi="Times New Roman"/>
                    <w:color w:val="000000" w:themeColor="text1"/>
                    <w:sz w:val="18"/>
                    <w:szCs w:val="18"/>
                  </w:rPr>
                  <w:t>24.589</w:t>
                </w:r>
              </w:p>
            </w:tc>
          </w:tr>
          <w:tr w:rsidR="0E4E29E4" w:rsidRPr="0036636F" w14:paraId="3B0D2FA0" w14:textId="77777777" w:rsidTr="00E918CC">
            <w:trPr>
              <w:trHeight w:val="340"/>
            </w:trPr>
            <w:tc>
              <w:tcPr>
                <w:tcW w:w="4215" w:type="pct"/>
                <w:gridSpan w:val="4"/>
                <w:tcMar>
                  <w:left w:w="70" w:type="dxa"/>
                  <w:right w:w="70" w:type="dxa"/>
                </w:tcMar>
                <w:vAlign w:val="center"/>
              </w:tcPr>
              <w:p w14:paraId="3219CCEB" w14:textId="427838CE" w:rsidR="0E4E29E4" w:rsidRPr="0036636F" w:rsidRDefault="0036636F" w:rsidP="002A1BD5">
                <w:pPr>
                  <w:spacing w:after="0"/>
                  <w:ind w:left="-20" w:right="-20"/>
                  <w:jc w:val="center"/>
                  <w:rPr>
                    <w:sz w:val="18"/>
                    <w:szCs w:val="18"/>
                  </w:rPr>
                </w:pPr>
                <w:r w:rsidRPr="0036636F">
                  <w:rPr>
                    <w:rFonts w:ascii="Times New Roman" w:eastAsia="Times New Roman" w:hAnsi="Times New Roman"/>
                    <w:b/>
                    <w:bCs/>
                    <w:color w:val="000000" w:themeColor="text1"/>
                    <w:sz w:val="18"/>
                    <w:szCs w:val="18"/>
                  </w:rPr>
                  <w:t>Subtotal</w:t>
                </w:r>
              </w:p>
            </w:tc>
            <w:tc>
              <w:tcPr>
                <w:tcW w:w="785" w:type="pct"/>
                <w:tcMar>
                  <w:left w:w="70" w:type="dxa"/>
                  <w:right w:w="70" w:type="dxa"/>
                </w:tcMar>
                <w:vAlign w:val="center"/>
              </w:tcPr>
              <w:p w14:paraId="473D5235" w14:textId="2741BB4B" w:rsidR="0E4E29E4" w:rsidRPr="0036636F" w:rsidRDefault="0E4E29E4" w:rsidP="0E4E29E4">
                <w:pPr>
                  <w:spacing w:after="0"/>
                  <w:ind w:left="-20" w:right="-20"/>
                  <w:jc w:val="right"/>
                  <w:rPr>
                    <w:sz w:val="18"/>
                    <w:szCs w:val="18"/>
                  </w:rPr>
                </w:pPr>
                <w:r w:rsidRPr="0036636F">
                  <w:rPr>
                    <w:rFonts w:ascii="Times New Roman" w:eastAsia="Times New Roman" w:hAnsi="Times New Roman"/>
                    <w:b/>
                    <w:bCs/>
                    <w:color w:val="000000" w:themeColor="text1"/>
                    <w:sz w:val="18"/>
                    <w:szCs w:val="18"/>
                  </w:rPr>
                  <w:t>285.706.133.890</w:t>
                </w:r>
              </w:p>
            </w:tc>
          </w:tr>
          <w:tr w:rsidR="00AF1ED4" w:rsidRPr="0036636F" w14:paraId="5C972608" w14:textId="77777777" w:rsidTr="00E918CC">
            <w:trPr>
              <w:trHeight w:val="340"/>
            </w:trPr>
            <w:tc>
              <w:tcPr>
                <w:tcW w:w="444" w:type="pct"/>
                <w:tcMar>
                  <w:left w:w="70" w:type="dxa"/>
                  <w:right w:w="70" w:type="dxa"/>
                </w:tcMar>
                <w:vAlign w:val="center"/>
              </w:tcPr>
              <w:p w14:paraId="23F2180F" w14:textId="33FDF6A9" w:rsidR="0E4E29E4" w:rsidRPr="0036636F" w:rsidRDefault="0E4E29E4" w:rsidP="0E4E29E4">
                <w:pPr>
                  <w:spacing w:after="0"/>
                  <w:ind w:left="-20" w:right="-20"/>
                  <w:rPr>
                    <w:sz w:val="18"/>
                    <w:szCs w:val="18"/>
                  </w:rPr>
                </w:pPr>
                <w:r w:rsidRPr="0036636F">
                  <w:rPr>
                    <w:rFonts w:ascii="Times New Roman" w:eastAsia="Times New Roman" w:hAnsi="Times New Roman"/>
                    <w:color w:val="000000" w:themeColor="text1"/>
                    <w:sz w:val="18"/>
                    <w:szCs w:val="18"/>
                  </w:rPr>
                  <w:t>5.3.47.90</w:t>
                </w:r>
              </w:p>
            </w:tc>
            <w:tc>
              <w:tcPr>
                <w:tcW w:w="1924" w:type="pct"/>
                <w:tcMar>
                  <w:left w:w="70" w:type="dxa"/>
                  <w:right w:w="70" w:type="dxa"/>
                </w:tcMar>
                <w:vAlign w:val="center"/>
              </w:tcPr>
              <w:p w14:paraId="64D9636C" w14:textId="36C97855" w:rsidR="0E4E29E4" w:rsidRPr="0036636F" w:rsidRDefault="0E4E29E4" w:rsidP="009B0A5C">
                <w:pPr>
                  <w:spacing w:after="0"/>
                  <w:ind w:left="-20" w:right="-20"/>
                  <w:jc w:val="both"/>
                  <w:rPr>
                    <w:sz w:val="18"/>
                    <w:szCs w:val="18"/>
                  </w:rPr>
                </w:pPr>
                <w:r w:rsidRPr="0036636F">
                  <w:rPr>
                    <w:rFonts w:ascii="Times New Roman" w:eastAsia="Times New Roman" w:hAnsi="Times New Roman"/>
                    <w:color w:val="000000" w:themeColor="text1"/>
                    <w:sz w:val="18"/>
                    <w:szCs w:val="18"/>
                  </w:rPr>
                  <w:t xml:space="preserve">Otras cuentas por cobrar </w:t>
                </w:r>
              </w:p>
            </w:tc>
            <w:tc>
              <w:tcPr>
                <w:tcW w:w="554" w:type="pct"/>
                <w:tcMar>
                  <w:left w:w="70" w:type="dxa"/>
                  <w:right w:w="70" w:type="dxa"/>
                </w:tcMar>
                <w:vAlign w:val="center"/>
              </w:tcPr>
              <w:p w14:paraId="77EC0401" w14:textId="000BBB99" w:rsidR="0E4E29E4" w:rsidRPr="0036636F" w:rsidRDefault="0E4E29E4" w:rsidP="002A1BD5">
                <w:pPr>
                  <w:spacing w:after="0"/>
                  <w:ind w:left="-20" w:right="-20"/>
                  <w:jc w:val="center"/>
                  <w:rPr>
                    <w:sz w:val="18"/>
                    <w:szCs w:val="18"/>
                  </w:rPr>
                </w:pPr>
                <w:r w:rsidRPr="0036636F">
                  <w:rPr>
                    <w:rFonts w:ascii="Times New Roman" w:eastAsia="Times New Roman" w:hAnsi="Times New Roman"/>
                    <w:color w:val="000000" w:themeColor="text1"/>
                    <w:sz w:val="18"/>
                    <w:szCs w:val="18"/>
                  </w:rPr>
                  <w:t>79455033</w:t>
                </w:r>
              </w:p>
            </w:tc>
            <w:tc>
              <w:tcPr>
                <w:tcW w:w="1293" w:type="pct"/>
                <w:tcMar>
                  <w:left w:w="70" w:type="dxa"/>
                  <w:right w:w="70" w:type="dxa"/>
                </w:tcMar>
                <w:vAlign w:val="center"/>
              </w:tcPr>
              <w:p w14:paraId="0AA0DD1B" w14:textId="50DD38FC" w:rsidR="0E4E29E4" w:rsidRPr="0036636F" w:rsidRDefault="008B3F3E" w:rsidP="0E4E29E4">
                <w:pPr>
                  <w:spacing w:after="0"/>
                  <w:ind w:left="-20" w:right="-20"/>
                  <w:rPr>
                    <w:sz w:val="18"/>
                    <w:szCs w:val="18"/>
                  </w:rPr>
                </w:pPr>
                <w:r w:rsidRPr="0036636F">
                  <w:rPr>
                    <w:rFonts w:ascii="Times New Roman" w:eastAsia="Times New Roman" w:hAnsi="Times New Roman"/>
                    <w:color w:val="000000" w:themeColor="text1"/>
                    <w:sz w:val="18"/>
                    <w:szCs w:val="18"/>
                  </w:rPr>
                  <w:t>Diego Orlando Bustos Forero</w:t>
                </w:r>
              </w:p>
            </w:tc>
            <w:tc>
              <w:tcPr>
                <w:tcW w:w="785" w:type="pct"/>
                <w:tcMar>
                  <w:left w:w="70" w:type="dxa"/>
                  <w:right w:w="70" w:type="dxa"/>
                </w:tcMar>
                <w:vAlign w:val="center"/>
              </w:tcPr>
              <w:p w14:paraId="08F85C33" w14:textId="317E09A0" w:rsidR="0E4E29E4" w:rsidRPr="0036636F" w:rsidRDefault="0E4E29E4" w:rsidP="0E4E29E4">
                <w:pPr>
                  <w:spacing w:after="0"/>
                  <w:ind w:left="-20" w:right="-20"/>
                  <w:jc w:val="right"/>
                  <w:rPr>
                    <w:sz w:val="18"/>
                    <w:szCs w:val="18"/>
                  </w:rPr>
                </w:pPr>
                <w:r w:rsidRPr="0036636F">
                  <w:rPr>
                    <w:rFonts w:ascii="Times New Roman" w:eastAsia="Times New Roman" w:hAnsi="Times New Roman"/>
                    <w:color w:val="000000" w:themeColor="text1"/>
                    <w:sz w:val="18"/>
                    <w:szCs w:val="18"/>
                  </w:rPr>
                  <w:t>2.138.676</w:t>
                </w:r>
              </w:p>
            </w:tc>
          </w:tr>
          <w:tr w:rsidR="0E4E29E4" w:rsidRPr="0036636F" w14:paraId="6856B01F" w14:textId="77777777" w:rsidTr="00E918CC">
            <w:trPr>
              <w:trHeight w:val="340"/>
            </w:trPr>
            <w:tc>
              <w:tcPr>
                <w:tcW w:w="4215" w:type="pct"/>
                <w:gridSpan w:val="4"/>
                <w:tcMar>
                  <w:left w:w="70" w:type="dxa"/>
                  <w:right w:w="70" w:type="dxa"/>
                </w:tcMar>
                <w:vAlign w:val="center"/>
              </w:tcPr>
              <w:p w14:paraId="285E7DE8" w14:textId="312B8D7C" w:rsidR="0E4E29E4" w:rsidRPr="0036636F" w:rsidRDefault="0036636F" w:rsidP="002A1BD5">
                <w:pPr>
                  <w:spacing w:after="0"/>
                  <w:ind w:left="-20" w:right="-20"/>
                  <w:jc w:val="center"/>
                  <w:rPr>
                    <w:sz w:val="18"/>
                    <w:szCs w:val="18"/>
                  </w:rPr>
                </w:pPr>
                <w:r w:rsidRPr="0036636F">
                  <w:rPr>
                    <w:rFonts w:ascii="Times New Roman" w:eastAsia="Times New Roman" w:hAnsi="Times New Roman"/>
                    <w:b/>
                    <w:bCs/>
                    <w:color w:val="000000" w:themeColor="text1"/>
                    <w:sz w:val="18"/>
                    <w:szCs w:val="18"/>
                  </w:rPr>
                  <w:t>Subtotal</w:t>
                </w:r>
              </w:p>
            </w:tc>
            <w:tc>
              <w:tcPr>
                <w:tcW w:w="785" w:type="pct"/>
                <w:tcMar>
                  <w:left w:w="70" w:type="dxa"/>
                  <w:right w:w="70" w:type="dxa"/>
                </w:tcMar>
                <w:vAlign w:val="center"/>
              </w:tcPr>
              <w:p w14:paraId="4D401D6D" w14:textId="3F321C6D" w:rsidR="0E4E29E4" w:rsidRPr="0036636F" w:rsidRDefault="0E4E29E4" w:rsidP="0E4E29E4">
                <w:pPr>
                  <w:spacing w:after="0"/>
                  <w:ind w:left="-20" w:right="-20"/>
                  <w:jc w:val="right"/>
                  <w:rPr>
                    <w:sz w:val="18"/>
                    <w:szCs w:val="18"/>
                  </w:rPr>
                </w:pPr>
                <w:r w:rsidRPr="0036636F">
                  <w:rPr>
                    <w:rFonts w:ascii="Times New Roman" w:eastAsia="Times New Roman" w:hAnsi="Times New Roman"/>
                    <w:b/>
                    <w:bCs/>
                    <w:color w:val="000000" w:themeColor="text1"/>
                    <w:sz w:val="18"/>
                    <w:szCs w:val="18"/>
                  </w:rPr>
                  <w:t>2.138.676</w:t>
                </w:r>
              </w:p>
            </w:tc>
          </w:tr>
          <w:tr w:rsidR="0E4E29E4" w:rsidRPr="0036636F" w14:paraId="13290250" w14:textId="77777777" w:rsidTr="00E918CC">
            <w:trPr>
              <w:trHeight w:val="340"/>
            </w:trPr>
            <w:tc>
              <w:tcPr>
                <w:tcW w:w="4215" w:type="pct"/>
                <w:gridSpan w:val="4"/>
                <w:tcMar>
                  <w:left w:w="70" w:type="dxa"/>
                  <w:right w:w="70" w:type="dxa"/>
                </w:tcMar>
                <w:vAlign w:val="center"/>
              </w:tcPr>
              <w:p w14:paraId="441461B2" w14:textId="65C00F66" w:rsidR="0E4E29E4" w:rsidRPr="0036636F" w:rsidRDefault="0E4E29E4" w:rsidP="002A1BD5">
                <w:pPr>
                  <w:spacing w:after="0"/>
                  <w:ind w:left="-20" w:right="-20"/>
                  <w:jc w:val="center"/>
                  <w:rPr>
                    <w:sz w:val="18"/>
                    <w:szCs w:val="18"/>
                  </w:rPr>
                </w:pPr>
                <w:r w:rsidRPr="0036636F">
                  <w:rPr>
                    <w:rFonts w:ascii="Times New Roman" w:eastAsia="Times New Roman" w:hAnsi="Times New Roman"/>
                    <w:b/>
                    <w:bCs/>
                    <w:color w:val="000000" w:themeColor="text1"/>
                    <w:sz w:val="18"/>
                    <w:szCs w:val="18"/>
                  </w:rPr>
                  <w:t>Total Deterioro de Cuentas por Cobar</w:t>
                </w:r>
              </w:p>
            </w:tc>
            <w:tc>
              <w:tcPr>
                <w:tcW w:w="785" w:type="pct"/>
                <w:tcMar>
                  <w:left w:w="70" w:type="dxa"/>
                  <w:right w:w="70" w:type="dxa"/>
                </w:tcMar>
                <w:vAlign w:val="center"/>
              </w:tcPr>
              <w:p w14:paraId="768D5DF5" w14:textId="76C370DB" w:rsidR="0E4E29E4" w:rsidRPr="0036636F" w:rsidRDefault="0E4E29E4" w:rsidP="0E4E29E4">
                <w:pPr>
                  <w:spacing w:after="0"/>
                  <w:ind w:left="-20" w:right="-20"/>
                  <w:jc w:val="right"/>
                  <w:rPr>
                    <w:sz w:val="18"/>
                    <w:szCs w:val="18"/>
                  </w:rPr>
                </w:pPr>
                <w:r w:rsidRPr="0036636F">
                  <w:rPr>
                    <w:rFonts w:ascii="Times New Roman" w:eastAsia="Times New Roman" w:hAnsi="Times New Roman"/>
                    <w:b/>
                    <w:bCs/>
                    <w:color w:val="000000" w:themeColor="text1"/>
                    <w:sz w:val="18"/>
                    <w:szCs w:val="18"/>
                  </w:rPr>
                  <w:t>296.210.724.287</w:t>
                </w:r>
              </w:p>
            </w:tc>
          </w:tr>
        </w:tbl>
        <w:p w14:paraId="4E5DA1EC" w14:textId="1F1BEAD7" w:rsidR="003A4D8E" w:rsidRDefault="64C58135" w:rsidP="0E4E29E4">
          <w:pPr>
            <w:ind w:left="-20" w:right="-20"/>
            <w:jc w:val="both"/>
            <w:rPr>
              <w:rFonts w:ascii="Times New Roman" w:eastAsia="Times New Roman" w:hAnsi="Times New Roman"/>
              <w:sz w:val="24"/>
              <w:szCs w:val="24"/>
            </w:rPr>
          </w:pPr>
          <w:r w:rsidRPr="0E4E29E4">
            <w:rPr>
              <w:rFonts w:ascii="Times New Roman" w:eastAsia="Times New Roman" w:hAnsi="Times New Roman"/>
              <w:sz w:val="24"/>
              <w:szCs w:val="24"/>
            </w:rPr>
            <w:t xml:space="preserve"> </w:t>
          </w:r>
        </w:p>
        <w:p w14:paraId="0F01AC8A" w14:textId="77777777" w:rsidR="008B209E" w:rsidRPr="00931DCE" w:rsidRDefault="008B209E" w:rsidP="0E4E29E4">
          <w:pPr>
            <w:ind w:left="-20" w:right="-20"/>
            <w:jc w:val="both"/>
          </w:pPr>
        </w:p>
        <w:p w14:paraId="4018424F" w14:textId="712E4C4A" w:rsidR="003A4D8E" w:rsidRPr="00931DCE" w:rsidRDefault="64C58135" w:rsidP="0E4E29E4">
          <w:pPr>
            <w:pStyle w:val="Ttulo2"/>
            <w:numPr>
              <w:ilvl w:val="0"/>
              <w:numId w:val="0"/>
            </w:numPr>
            <w:spacing w:line="254" w:lineRule="auto"/>
            <w:ind w:right="-20"/>
            <w:rPr>
              <w:rFonts w:eastAsia="Times New Roman" w:cs="Times New Roman"/>
              <w:bCs/>
              <w:szCs w:val="24"/>
            </w:rPr>
          </w:pPr>
          <w:bookmarkStart w:id="118" w:name="_Toc159952442"/>
          <w:r w:rsidRPr="0E4E29E4">
            <w:rPr>
              <w:rFonts w:eastAsia="Times New Roman" w:cs="Times New Roman"/>
              <w:bCs/>
              <w:szCs w:val="24"/>
            </w:rPr>
            <w:t>29.3.</w:t>
          </w:r>
          <w:r w:rsidRPr="0E4E29E4">
            <w:rPr>
              <w:rFonts w:eastAsia="Times New Roman" w:cs="Times New Roman"/>
              <w:b w:val="0"/>
              <w:sz w:val="14"/>
              <w:szCs w:val="14"/>
            </w:rPr>
            <w:t xml:space="preserve">   </w:t>
          </w:r>
          <w:r w:rsidRPr="0E4E29E4">
            <w:rPr>
              <w:rFonts w:eastAsia="Times New Roman" w:cs="Times New Roman"/>
              <w:bCs/>
              <w:szCs w:val="24"/>
            </w:rPr>
            <w:t>Transferencias y subvenciones</w:t>
          </w:r>
          <w:bookmarkEnd w:id="118"/>
        </w:p>
        <w:p w14:paraId="5AF36A40" w14:textId="1A19DD02" w:rsidR="003A4D8E" w:rsidRPr="00931DCE" w:rsidRDefault="64C58135" w:rsidP="0E4E29E4">
          <w:pPr>
            <w:spacing w:line="254" w:lineRule="auto"/>
            <w:ind w:left="-20" w:right="-20"/>
            <w:jc w:val="both"/>
          </w:pPr>
          <w:r w:rsidRPr="0E4E29E4">
            <w:rPr>
              <w:rFonts w:ascii="Times New Roman" w:eastAsia="Times New Roman" w:hAnsi="Times New Roman"/>
              <w:sz w:val="14"/>
              <w:szCs w:val="14"/>
            </w:rPr>
            <w:t xml:space="preserve"> </w:t>
          </w:r>
        </w:p>
        <w:tbl>
          <w:tblPr>
            <w:tblW w:w="8969" w:type="dxa"/>
            <w:tblLayout w:type="fixed"/>
            <w:tblLook w:val="04A0" w:firstRow="1" w:lastRow="0" w:firstColumn="1" w:lastColumn="0" w:noHBand="0" w:noVBand="1"/>
          </w:tblPr>
          <w:tblGrid>
            <w:gridCol w:w="1124"/>
            <w:gridCol w:w="567"/>
            <w:gridCol w:w="3420"/>
            <w:gridCol w:w="1163"/>
            <w:gridCol w:w="1385"/>
            <w:gridCol w:w="1310"/>
          </w:tblGrid>
          <w:tr w:rsidR="0E4E29E4" w:rsidRPr="00AE210F" w14:paraId="2C45EFDC" w14:textId="77777777" w:rsidTr="00AE210F">
            <w:trPr>
              <w:trHeight w:val="300"/>
            </w:trPr>
            <w:tc>
              <w:tcPr>
                <w:tcW w:w="5111" w:type="dxa"/>
                <w:gridSpan w:val="3"/>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9A94745" w14:textId="041DFA82" w:rsidR="0E4E29E4" w:rsidRPr="00AE210F" w:rsidRDefault="0E4E29E4" w:rsidP="0E4E29E4">
                <w:pPr>
                  <w:spacing w:after="0"/>
                  <w:ind w:left="-20" w:right="-20"/>
                  <w:jc w:val="center"/>
                  <w:rPr>
                    <w:sz w:val="18"/>
                    <w:szCs w:val="18"/>
                  </w:rPr>
                </w:pPr>
                <w:r w:rsidRPr="00AE210F">
                  <w:rPr>
                    <w:rFonts w:ascii="Times New Roman" w:eastAsia="Times New Roman" w:hAnsi="Times New Roman"/>
                    <w:b/>
                    <w:bCs/>
                    <w:sz w:val="18"/>
                    <w:szCs w:val="18"/>
                  </w:rPr>
                  <w:t>DESCRIPCIÓN</w:t>
                </w:r>
              </w:p>
            </w:tc>
            <w:tc>
              <w:tcPr>
                <w:tcW w:w="2548" w:type="dxa"/>
                <w:gridSpan w:val="2"/>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Mar>
                  <w:left w:w="70" w:type="dxa"/>
                  <w:right w:w="70" w:type="dxa"/>
                </w:tcMar>
                <w:vAlign w:val="center"/>
              </w:tcPr>
              <w:p w14:paraId="4659DD13" w14:textId="7EEB2086" w:rsidR="0E4E29E4" w:rsidRPr="00AE210F" w:rsidRDefault="0E4E29E4" w:rsidP="0E4E29E4">
                <w:pPr>
                  <w:spacing w:after="0"/>
                  <w:ind w:left="-20" w:right="-20"/>
                  <w:jc w:val="center"/>
                  <w:rPr>
                    <w:sz w:val="18"/>
                    <w:szCs w:val="18"/>
                  </w:rPr>
                </w:pPr>
                <w:r w:rsidRPr="00AE210F">
                  <w:rPr>
                    <w:rFonts w:ascii="Times New Roman" w:eastAsia="Times New Roman" w:hAnsi="Times New Roman"/>
                    <w:b/>
                    <w:bCs/>
                    <w:sz w:val="18"/>
                    <w:szCs w:val="18"/>
                  </w:rPr>
                  <w:t>SALDOS A CORTES DE VIGENCIA</w:t>
                </w:r>
              </w:p>
            </w:tc>
            <w:tc>
              <w:tcPr>
                <w:tcW w:w="1310" w:type="dxa"/>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Mar>
                  <w:left w:w="70" w:type="dxa"/>
                  <w:right w:w="70" w:type="dxa"/>
                </w:tcMar>
                <w:vAlign w:val="center"/>
              </w:tcPr>
              <w:p w14:paraId="6B9C41EA" w14:textId="486BE04D" w:rsidR="0E4E29E4" w:rsidRPr="00AE210F" w:rsidRDefault="0E4E29E4" w:rsidP="0E4E29E4">
                <w:pPr>
                  <w:spacing w:after="0"/>
                  <w:ind w:left="-20" w:right="-20"/>
                  <w:jc w:val="center"/>
                  <w:rPr>
                    <w:sz w:val="18"/>
                    <w:szCs w:val="18"/>
                  </w:rPr>
                </w:pPr>
                <w:r w:rsidRPr="00AE210F">
                  <w:rPr>
                    <w:rFonts w:ascii="Times New Roman" w:eastAsia="Times New Roman" w:hAnsi="Times New Roman"/>
                    <w:b/>
                    <w:bCs/>
                    <w:sz w:val="18"/>
                    <w:szCs w:val="18"/>
                  </w:rPr>
                  <w:t>VARIACIÓN</w:t>
                </w:r>
              </w:p>
            </w:tc>
          </w:tr>
          <w:tr w:rsidR="0E4E29E4" w:rsidRPr="00AE210F" w14:paraId="0F57E572" w14:textId="77777777" w:rsidTr="00AE210F">
            <w:trPr>
              <w:trHeight w:val="570"/>
            </w:trPr>
            <w:tc>
              <w:tcPr>
                <w:tcW w:w="112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529FF010" w14:textId="04C07A6B" w:rsidR="0E4E29E4" w:rsidRPr="00AE210F" w:rsidRDefault="0E4E29E4" w:rsidP="0E4E29E4">
                <w:pPr>
                  <w:spacing w:after="0"/>
                  <w:ind w:left="-20" w:right="-20"/>
                  <w:jc w:val="center"/>
                  <w:rPr>
                    <w:sz w:val="18"/>
                    <w:szCs w:val="18"/>
                  </w:rPr>
                </w:pPr>
                <w:r w:rsidRPr="00AE210F">
                  <w:rPr>
                    <w:rFonts w:ascii="Times New Roman" w:eastAsia="Times New Roman" w:hAnsi="Times New Roman"/>
                    <w:b/>
                    <w:bCs/>
                    <w:sz w:val="18"/>
                    <w:szCs w:val="18"/>
                  </w:rPr>
                  <w:t>CÓDIGO CONTABLE</w:t>
                </w:r>
              </w:p>
            </w:tc>
            <w:tc>
              <w:tcPr>
                <w:tcW w:w="567"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6BB57DA3" w14:textId="56140A5B" w:rsidR="0E4E29E4" w:rsidRPr="00AE210F" w:rsidRDefault="0E4E29E4" w:rsidP="0E4E29E4">
                <w:pPr>
                  <w:spacing w:after="0"/>
                  <w:ind w:left="-20" w:right="-20"/>
                  <w:jc w:val="center"/>
                  <w:rPr>
                    <w:sz w:val="18"/>
                    <w:szCs w:val="18"/>
                  </w:rPr>
                </w:pPr>
                <w:r w:rsidRPr="00AE210F">
                  <w:rPr>
                    <w:rFonts w:ascii="Times New Roman" w:eastAsia="Times New Roman" w:hAnsi="Times New Roman"/>
                    <w:b/>
                    <w:bCs/>
                    <w:sz w:val="18"/>
                    <w:szCs w:val="18"/>
                  </w:rPr>
                  <w:t>NAT</w:t>
                </w:r>
              </w:p>
            </w:tc>
            <w:tc>
              <w:tcPr>
                <w:tcW w:w="3420"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513521DA" w14:textId="6FD0FC5C" w:rsidR="0E4E29E4" w:rsidRPr="00AE210F" w:rsidRDefault="0E4E29E4" w:rsidP="0E4E29E4">
                <w:pPr>
                  <w:spacing w:after="0"/>
                  <w:ind w:left="-20" w:right="-20"/>
                  <w:jc w:val="center"/>
                  <w:rPr>
                    <w:sz w:val="18"/>
                    <w:szCs w:val="18"/>
                  </w:rPr>
                </w:pPr>
                <w:r w:rsidRPr="00AE210F">
                  <w:rPr>
                    <w:rFonts w:ascii="Times New Roman" w:eastAsia="Times New Roman" w:hAnsi="Times New Roman"/>
                    <w:b/>
                    <w:bCs/>
                    <w:sz w:val="18"/>
                    <w:szCs w:val="18"/>
                  </w:rPr>
                  <w:t>CONCEPTO</w:t>
                </w:r>
              </w:p>
            </w:tc>
            <w:tc>
              <w:tcPr>
                <w:tcW w:w="11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1789ABCE" w14:textId="585F0253" w:rsidR="0E4E29E4" w:rsidRPr="00AE210F" w:rsidRDefault="0E4E29E4" w:rsidP="0E4E29E4">
                <w:pPr>
                  <w:spacing w:after="0"/>
                  <w:ind w:left="-20" w:right="-20"/>
                  <w:jc w:val="center"/>
                  <w:rPr>
                    <w:sz w:val="18"/>
                    <w:szCs w:val="18"/>
                  </w:rPr>
                </w:pPr>
                <w:r w:rsidRPr="00AE210F">
                  <w:rPr>
                    <w:rFonts w:ascii="Times New Roman" w:eastAsia="Times New Roman" w:hAnsi="Times New Roman"/>
                    <w:b/>
                    <w:bCs/>
                    <w:sz w:val="18"/>
                    <w:szCs w:val="18"/>
                  </w:rPr>
                  <w:t xml:space="preserve">2023 </w:t>
                </w:r>
              </w:p>
            </w:tc>
            <w:tc>
              <w:tcPr>
                <w:tcW w:w="1385"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62D262BF" w14:textId="11A44621" w:rsidR="0E4E29E4" w:rsidRPr="00AE210F" w:rsidRDefault="0E4E29E4" w:rsidP="0E4E29E4">
                <w:pPr>
                  <w:spacing w:after="0"/>
                  <w:ind w:left="-20" w:right="-20"/>
                  <w:jc w:val="center"/>
                  <w:rPr>
                    <w:sz w:val="18"/>
                    <w:szCs w:val="18"/>
                  </w:rPr>
                </w:pPr>
                <w:r w:rsidRPr="00AE210F">
                  <w:rPr>
                    <w:rFonts w:ascii="Times New Roman" w:eastAsia="Times New Roman" w:hAnsi="Times New Roman"/>
                    <w:b/>
                    <w:bCs/>
                    <w:sz w:val="18"/>
                    <w:szCs w:val="18"/>
                  </w:rPr>
                  <w:t xml:space="preserve">2022 </w:t>
                </w:r>
              </w:p>
            </w:tc>
            <w:tc>
              <w:tcPr>
                <w:tcW w:w="131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16670A32" w14:textId="5878CFA2" w:rsidR="0E4E29E4" w:rsidRPr="00AE210F" w:rsidRDefault="0E4E29E4" w:rsidP="0E4E29E4">
                <w:pPr>
                  <w:spacing w:after="0"/>
                  <w:ind w:left="-20" w:right="-20"/>
                  <w:jc w:val="center"/>
                  <w:rPr>
                    <w:sz w:val="18"/>
                    <w:szCs w:val="18"/>
                  </w:rPr>
                </w:pPr>
                <w:r w:rsidRPr="00AE210F">
                  <w:rPr>
                    <w:rFonts w:ascii="Times New Roman" w:eastAsia="Times New Roman" w:hAnsi="Times New Roman"/>
                    <w:b/>
                    <w:bCs/>
                    <w:sz w:val="18"/>
                    <w:szCs w:val="18"/>
                  </w:rPr>
                  <w:t>VALOR VARIACIÓN</w:t>
                </w:r>
              </w:p>
            </w:tc>
          </w:tr>
          <w:tr w:rsidR="0E4E29E4" w:rsidRPr="00AE210F" w14:paraId="061E824B" w14:textId="77777777" w:rsidTr="00AE210F">
            <w:trPr>
              <w:trHeight w:val="285"/>
            </w:trPr>
            <w:tc>
              <w:tcPr>
                <w:tcW w:w="112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522E4E2E" w14:textId="4CF26BE6" w:rsidR="0E4E29E4" w:rsidRPr="00AE210F" w:rsidRDefault="0E4E29E4" w:rsidP="0E4E29E4">
                <w:pPr>
                  <w:spacing w:after="0"/>
                  <w:ind w:left="-20" w:right="-20"/>
                  <w:rPr>
                    <w:sz w:val="18"/>
                    <w:szCs w:val="18"/>
                  </w:rPr>
                </w:pPr>
                <w:r w:rsidRPr="00AE210F">
                  <w:rPr>
                    <w:rFonts w:ascii="Times New Roman" w:eastAsia="Times New Roman" w:hAnsi="Times New Roman"/>
                    <w:b/>
                    <w:bCs/>
                    <w:sz w:val="18"/>
                    <w:szCs w:val="18"/>
                  </w:rPr>
                  <w:t>5.4</w:t>
                </w:r>
              </w:p>
            </w:tc>
            <w:tc>
              <w:tcPr>
                <w:tcW w:w="567"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4FFF0BDB" w14:textId="3A91AF87" w:rsidR="0E4E29E4" w:rsidRPr="00AE210F" w:rsidRDefault="0E4E29E4" w:rsidP="0E4E29E4">
                <w:pPr>
                  <w:spacing w:after="0"/>
                  <w:ind w:left="-20" w:right="-20"/>
                  <w:jc w:val="center"/>
                  <w:rPr>
                    <w:sz w:val="18"/>
                    <w:szCs w:val="18"/>
                  </w:rPr>
                </w:pPr>
                <w:r w:rsidRPr="00AE210F">
                  <w:rPr>
                    <w:rFonts w:ascii="Times New Roman" w:eastAsia="Times New Roman" w:hAnsi="Times New Roman"/>
                    <w:b/>
                    <w:bCs/>
                    <w:sz w:val="18"/>
                    <w:szCs w:val="18"/>
                  </w:rPr>
                  <w:t>Db</w:t>
                </w:r>
              </w:p>
            </w:tc>
            <w:tc>
              <w:tcPr>
                <w:tcW w:w="3420"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69A8CE30" w14:textId="1494F127" w:rsidR="0E4E29E4" w:rsidRPr="00AE210F" w:rsidRDefault="0E4E29E4" w:rsidP="0E4E29E4">
                <w:pPr>
                  <w:spacing w:after="0"/>
                  <w:ind w:left="-20" w:right="-20"/>
                  <w:jc w:val="center"/>
                  <w:rPr>
                    <w:sz w:val="18"/>
                    <w:szCs w:val="18"/>
                  </w:rPr>
                </w:pPr>
                <w:r w:rsidRPr="00AE210F">
                  <w:rPr>
                    <w:rFonts w:ascii="Times New Roman" w:eastAsia="Times New Roman" w:hAnsi="Times New Roman"/>
                    <w:b/>
                    <w:bCs/>
                    <w:sz w:val="18"/>
                    <w:szCs w:val="18"/>
                  </w:rPr>
                  <w:t>TRANSFERENCIAS Y SUBVENCIONES</w:t>
                </w:r>
              </w:p>
            </w:tc>
            <w:tc>
              <w:tcPr>
                <w:tcW w:w="11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2FF47B07" w14:textId="08870C1B" w:rsidR="0E4E29E4" w:rsidRPr="00AE210F" w:rsidRDefault="0E4E29E4" w:rsidP="0E4E29E4">
                <w:pPr>
                  <w:spacing w:after="0"/>
                  <w:ind w:left="-20" w:right="-20"/>
                  <w:jc w:val="right"/>
                  <w:rPr>
                    <w:sz w:val="18"/>
                    <w:szCs w:val="18"/>
                  </w:rPr>
                </w:pPr>
                <w:r w:rsidRPr="00AE210F">
                  <w:rPr>
                    <w:rFonts w:ascii="Times New Roman" w:eastAsia="Times New Roman" w:hAnsi="Times New Roman"/>
                    <w:b/>
                    <w:bCs/>
                    <w:sz w:val="18"/>
                    <w:szCs w:val="18"/>
                  </w:rPr>
                  <w:t>22.842.316</w:t>
                </w:r>
              </w:p>
            </w:tc>
            <w:tc>
              <w:tcPr>
                <w:tcW w:w="13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7D06DAEA" w14:textId="54916599" w:rsidR="0E4E29E4" w:rsidRPr="00AE210F" w:rsidRDefault="0E4E29E4" w:rsidP="0E4E29E4">
                <w:pPr>
                  <w:spacing w:after="0"/>
                  <w:ind w:left="-20" w:right="-20"/>
                  <w:jc w:val="right"/>
                  <w:rPr>
                    <w:sz w:val="18"/>
                    <w:szCs w:val="18"/>
                  </w:rPr>
                </w:pPr>
                <w:r w:rsidRPr="00AE210F">
                  <w:rPr>
                    <w:rFonts w:ascii="Times New Roman" w:eastAsia="Times New Roman" w:hAnsi="Times New Roman"/>
                    <w:b/>
                    <w:bCs/>
                    <w:sz w:val="18"/>
                    <w:szCs w:val="18"/>
                  </w:rPr>
                  <w:t>9.172.443.257</w:t>
                </w:r>
              </w:p>
            </w:tc>
            <w:tc>
              <w:tcPr>
                <w:tcW w:w="131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5BCE640F" w14:textId="3B11FFDF" w:rsidR="0E4E29E4" w:rsidRPr="00AE210F" w:rsidRDefault="0E4E29E4" w:rsidP="0E4E29E4">
                <w:pPr>
                  <w:spacing w:after="0"/>
                  <w:ind w:left="-20" w:right="-20"/>
                  <w:jc w:val="right"/>
                  <w:rPr>
                    <w:sz w:val="18"/>
                    <w:szCs w:val="18"/>
                  </w:rPr>
                </w:pPr>
                <w:r w:rsidRPr="00AE210F">
                  <w:rPr>
                    <w:rFonts w:ascii="Times New Roman" w:eastAsia="Times New Roman" w:hAnsi="Times New Roman"/>
                    <w:b/>
                    <w:bCs/>
                    <w:sz w:val="18"/>
                    <w:szCs w:val="18"/>
                  </w:rPr>
                  <w:t>-9.149.600.941</w:t>
                </w:r>
              </w:p>
            </w:tc>
          </w:tr>
          <w:tr w:rsidR="0E4E29E4" w:rsidRPr="00AE210F" w14:paraId="3644617E" w14:textId="77777777" w:rsidTr="00AE210F">
            <w:trPr>
              <w:trHeight w:val="285"/>
            </w:trPr>
            <w:tc>
              <w:tcPr>
                <w:tcW w:w="112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515399EC" w14:textId="352E7309" w:rsidR="0E4E29E4" w:rsidRPr="00AE210F" w:rsidRDefault="0E4E29E4" w:rsidP="0E4E29E4">
                <w:pPr>
                  <w:spacing w:after="0"/>
                  <w:ind w:left="-20" w:right="-20"/>
                  <w:rPr>
                    <w:sz w:val="18"/>
                    <w:szCs w:val="18"/>
                  </w:rPr>
                </w:pPr>
                <w:r w:rsidRPr="00AE210F">
                  <w:rPr>
                    <w:rFonts w:ascii="Times New Roman" w:eastAsia="Times New Roman" w:hAnsi="Times New Roman"/>
                    <w:b/>
                    <w:bCs/>
                    <w:sz w:val="18"/>
                    <w:szCs w:val="18"/>
                  </w:rPr>
                  <w:t>5.4.23</w:t>
                </w:r>
              </w:p>
            </w:tc>
            <w:tc>
              <w:tcPr>
                <w:tcW w:w="567"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43C86075" w14:textId="086770A0" w:rsidR="0E4E29E4" w:rsidRPr="00AE210F" w:rsidRDefault="0E4E29E4" w:rsidP="0E4E29E4">
                <w:pPr>
                  <w:spacing w:after="0"/>
                  <w:ind w:left="-20" w:right="-20"/>
                  <w:jc w:val="center"/>
                  <w:rPr>
                    <w:sz w:val="18"/>
                    <w:szCs w:val="18"/>
                  </w:rPr>
                </w:pPr>
                <w:r w:rsidRPr="00AE210F">
                  <w:rPr>
                    <w:rFonts w:ascii="Times New Roman" w:eastAsia="Times New Roman" w:hAnsi="Times New Roman"/>
                    <w:b/>
                    <w:bCs/>
                    <w:sz w:val="18"/>
                    <w:szCs w:val="18"/>
                  </w:rPr>
                  <w:t xml:space="preserve"> </w:t>
                </w:r>
              </w:p>
            </w:tc>
            <w:tc>
              <w:tcPr>
                <w:tcW w:w="3420"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5CE33815" w14:textId="56353C40" w:rsidR="0E4E29E4" w:rsidRPr="00AE210F" w:rsidRDefault="0E4E29E4" w:rsidP="0E4E29E4">
                <w:pPr>
                  <w:spacing w:after="0"/>
                  <w:ind w:left="-20" w:right="-20"/>
                  <w:rPr>
                    <w:sz w:val="18"/>
                    <w:szCs w:val="18"/>
                  </w:rPr>
                </w:pPr>
                <w:r w:rsidRPr="00AE210F">
                  <w:rPr>
                    <w:rFonts w:ascii="Times New Roman" w:eastAsia="Times New Roman" w:hAnsi="Times New Roman"/>
                    <w:b/>
                    <w:bCs/>
                    <w:sz w:val="18"/>
                    <w:szCs w:val="18"/>
                  </w:rPr>
                  <w:t>OTRAS TRANSFERENCIAS</w:t>
                </w:r>
              </w:p>
            </w:tc>
            <w:tc>
              <w:tcPr>
                <w:tcW w:w="11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4E510B77" w14:textId="185CD714" w:rsidR="0E4E29E4" w:rsidRPr="00AE210F" w:rsidRDefault="0E4E29E4" w:rsidP="0E4E29E4">
                <w:pPr>
                  <w:spacing w:after="0"/>
                  <w:ind w:left="-20" w:right="-20"/>
                  <w:jc w:val="right"/>
                  <w:rPr>
                    <w:sz w:val="18"/>
                    <w:szCs w:val="18"/>
                  </w:rPr>
                </w:pPr>
                <w:r w:rsidRPr="00AE210F">
                  <w:rPr>
                    <w:rFonts w:ascii="Times New Roman" w:eastAsia="Times New Roman" w:hAnsi="Times New Roman"/>
                    <w:b/>
                    <w:bCs/>
                    <w:sz w:val="18"/>
                    <w:szCs w:val="18"/>
                  </w:rPr>
                  <w:t>22.842.316</w:t>
                </w:r>
              </w:p>
            </w:tc>
            <w:tc>
              <w:tcPr>
                <w:tcW w:w="13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2829907" w14:textId="76AAB750" w:rsidR="0E4E29E4" w:rsidRPr="00AE210F" w:rsidRDefault="0E4E29E4" w:rsidP="0E4E29E4">
                <w:pPr>
                  <w:spacing w:after="0"/>
                  <w:ind w:left="-20" w:right="-20"/>
                  <w:jc w:val="right"/>
                  <w:rPr>
                    <w:sz w:val="18"/>
                    <w:szCs w:val="18"/>
                  </w:rPr>
                </w:pPr>
                <w:r w:rsidRPr="00AE210F">
                  <w:rPr>
                    <w:rFonts w:ascii="Times New Roman" w:eastAsia="Times New Roman" w:hAnsi="Times New Roman"/>
                    <w:b/>
                    <w:bCs/>
                    <w:sz w:val="18"/>
                    <w:szCs w:val="18"/>
                  </w:rPr>
                  <w:t>9.169.646.636</w:t>
                </w:r>
              </w:p>
            </w:tc>
            <w:tc>
              <w:tcPr>
                <w:tcW w:w="131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2E3764C9" w14:textId="7D9AB703" w:rsidR="0E4E29E4" w:rsidRPr="00AE210F" w:rsidRDefault="0E4E29E4" w:rsidP="0E4E29E4">
                <w:pPr>
                  <w:spacing w:after="0"/>
                  <w:ind w:left="-20" w:right="-20"/>
                  <w:jc w:val="right"/>
                  <w:rPr>
                    <w:sz w:val="18"/>
                    <w:szCs w:val="18"/>
                  </w:rPr>
                </w:pPr>
                <w:r w:rsidRPr="00AE210F">
                  <w:rPr>
                    <w:rFonts w:ascii="Times New Roman" w:eastAsia="Times New Roman" w:hAnsi="Times New Roman"/>
                    <w:b/>
                    <w:bCs/>
                    <w:sz w:val="18"/>
                    <w:szCs w:val="18"/>
                  </w:rPr>
                  <w:t>-9.146.804.320</w:t>
                </w:r>
              </w:p>
            </w:tc>
          </w:tr>
          <w:tr w:rsidR="0E4E29E4" w:rsidRPr="00AE210F" w14:paraId="76E7298D" w14:textId="77777777" w:rsidTr="00AE210F">
            <w:trPr>
              <w:trHeight w:val="300"/>
            </w:trPr>
            <w:tc>
              <w:tcPr>
                <w:tcW w:w="112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5D5AE314" w14:textId="045786B1" w:rsidR="0E4E29E4" w:rsidRPr="00AE210F" w:rsidRDefault="0E4E29E4" w:rsidP="0E4E29E4">
                <w:pPr>
                  <w:spacing w:after="0"/>
                  <w:ind w:left="-20" w:right="-20"/>
                  <w:rPr>
                    <w:sz w:val="18"/>
                    <w:szCs w:val="18"/>
                  </w:rPr>
                </w:pPr>
                <w:r w:rsidRPr="00AE210F">
                  <w:rPr>
                    <w:rFonts w:ascii="Times New Roman" w:eastAsia="Times New Roman" w:hAnsi="Times New Roman"/>
                    <w:sz w:val="18"/>
                    <w:szCs w:val="18"/>
                  </w:rPr>
                  <w:t>5.4.23.07</w:t>
                </w:r>
              </w:p>
            </w:tc>
            <w:tc>
              <w:tcPr>
                <w:tcW w:w="567"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04523A5C" w14:textId="112DB22F" w:rsidR="0E4E29E4" w:rsidRPr="00AE210F" w:rsidRDefault="0E4E29E4" w:rsidP="0E4E29E4">
                <w:pPr>
                  <w:spacing w:after="0"/>
                  <w:ind w:left="-20" w:right="-20"/>
                  <w:jc w:val="center"/>
                  <w:rPr>
                    <w:sz w:val="18"/>
                    <w:szCs w:val="18"/>
                  </w:rPr>
                </w:pPr>
                <w:r w:rsidRPr="00AE210F">
                  <w:rPr>
                    <w:rFonts w:ascii="Times New Roman" w:eastAsia="Times New Roman" w:hAnsi="Times New Roman"/>
                    <w:sz w:val="18"/>
                    <w:szCs w:val="18"/>
                  </w:rPr>
                  <w:t>Db</w:t>
                </w:r>
              </w:p>
            </w:tc>
            <w:tc>
              <w:tcPr>
                <w:tcW w:w="3420"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1DAFC6B5" w14:textId="3F97B9F3" w:rsidR="0E4E29E4" w:rsidRPr="00AE210F" w:rsidRDefault="0E4E29E4" w:rsidP="0E4E29E4">
                <w:pPr>
                  <w:spacing w:after="0"/>
                  <w:ind w:left="-20" w:right="-20"/>
                  <w:rPr>
                    <w:sz w:val="18"/>
                    <w:szCs w:val="18"/>
                  </w:rPr>
                </w:pPr>
                <w:r w:rsidRPr="00AE210F">
                  <w:rPr>
                    <w:rFonts w:ascii="Times New Roman" w:eastAsia="Times New Roman" w:hAnsi="Times New Roman"/>
                    <w:sz w:val="18"/>
                    <w:szCs w:val="18"/>
                  </w:rPr>
                  <w:t>Bienes entregados sin contraprestación</w:t>
                </w:r>
              </w:p>
            </w:tc>
            <w:tc>
              <w:tcPr>
                <w:tcW w:w="11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524CEE96" w14:textId="77E15E84" w:rsidR="0E4E29E4" w:rsidRPr="00AE210F" w:rsidRDefault="0E4E29E4" w:rsidP="0E4E29E4">
                <w:pPr>
                  <w:spacing w:after="0"/>
                  <w:ind w:left="-20" w:right="-20"/>
                  <w:jc w:val="right"/>
                  <w:rPr>
                    <w:sz w:val="18"/>
                    <w:szCs w:val="18"/>
                  </w:rPr>
                </w:pPr>
                <w:r w:rsidRPr="00AE210F">
                  <w:rPr>
                    <w:rFonts w:ascii="Times New Roman" w:eastAsia="Times New Roman" w:hAnsi="Times New Roman"/>
                    <w:sz w:val="18"/>
                    <w:szCs w:val="18"/>
                  </w:rPr>
                  <w:t>22.842.316</w:t>
                </w:r>
              </w:p>
            </w:tc>
            <w:tc>
              <w:tcPr>
                <w:tcW w:w="13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6D5E992" w14:textId="0475184B" w:rsidR="0E4E29E4" w:rsidRPr="00AE210F" w:rsidRDefault="0E4E29E4" w:rsidP="0E4E29E4">
                <w:pPr>
                  <w:spacing w:after="0"/>
                  <w:ind w:left="-20" w:right="-20"/>
                  <w:jc w:val="right"/>
                  <w:rPr>
                    <w:sz w:val="18"/>
                    <w:szCs w:val="18"/>
                  </w:rPr>
                </w:pPr>
                <w:r w:rsidRPr="00AE210F">
                  <w:rPr>
                    <w:rFonts w:ascii="Times New Roman" w:eastAsia="Times New Roman" w:hAnsi="Times New Roman"/>
                    <w:sz w:val="18"/>
                    <w:szCs w:val="18"/>
                  </w:rPr>
                  <w:t>9.111.470.311</w:t>
                </w:r>
              </w:p>
            </w:tc>
            <w:tc>
              <w:tcPr>
                <w:tcW w:w="131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0652254" w14:textId="4F8199CC" w:rsidR="0E4E29E4" w:rsidRPr="00AE210F" w:rsidRDefault="0E4E29E4" w:rsidP="0E4E29E4">
                <w:pPr>
                  <w:spacing w:after="0"/>
                  <w:ind w:left="-20" w:right="-20"/>
                  <w:jc w:val="right"/>
                  <w:rPr>
                    <w:sz w:val="18"/>
                    <w:szCs w:val="18"/>
                  </w:rPr>
                </w:pPr>
                <w:r w:rsidRPr="00AE210F">
                  <w:rPr>
                    <w:rFonts w:ascii="Times New Roman" w:eastAsia="Times New Roman" w:hAnsi="Times New Roman"/>
                    <w:sz w:val="18"/>
                    <w:szCs w:val="18"/>
                  </w:rPr>
                  <w:t>-9.088.627.995</w:t>
                </w:r>
              </w:p>
            </w:tc>
          </w:tr>
          <w:tr w:rsidR="0E4E29E4" w:rsidRPr="00AE210F" w14:paraId="571F122F" w14:textId="77777777" w:rsidTr="00AE210F">
            <w:trPr>
              <w:trHeight w:val="300"/>
            </w:trPr>
            <w:tc>
              <w:tcPr>
                <w:tcW w:w="112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5E11B6EB" w14:textId="0F886CDF" w:rsidR="0E4E29E4" w:rsidRPr="00AE210F" w:rsidRDefault="0E4E29E4" w:rsidP="0E4E29E4">
                <w:pPr>
                  <w:spacing w:after="0"/>
                  <w:ind w:left="-20" w:right="-20"/>
                  <w:rPr>
                    <w:sz w:val="18"/>
                    <w:szCs w:val="18"/>
                  </w:rPr>
                </w:pPr>
                <w:r w:rsidRPr="00AE210F">
                  <w:rPr>
                    <w:rFonts w:ascii="Times New Roman" w:eastAsia="Times New Roman" w:hAnsi="Times New Roman"/>
                    <w:sz w:val="18"/>
                    <w:szCs w:val="18"/>
                  </w:rPr>
                  <w:t>5.4.23.90</w:t>
                </w:r>
              </w:p>
            </w:tc>
            <w:tc>
              <w:tcPr>
                <w:tcW w:w="567"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2FC912D8" w14:textId="488C08F8" w:rsidR="0E4E29E4" w:rsidRPr="00AE210F" w:rsidRDefault="0E4E29E4" w:rsidP="0E4E29E4">
                <w:pPr>
                  <w:spacing w:after="0"/>
                  <w:ind w:left="-20" w:right="-20"/>
                  <w:jc w:val="center"/>
                  <w:rPr>
                    <w:sz w:val="18"/>
                    <w:szCs w:val="18"/>
                  </w:rPr>
                </w:pPr>
                <w:r w:rsidRPr="00AE210F">
                  <w:rPr>
                    <w:rFonts w:ascii="Times New Roman" w:eastAsia="Times New Roman" w:hAnsi="Times New Roman"/>
                    <w:sz w:val="18"/>
                    <w:szCs w:val="18"/>
                  </w:rPr>
                  <w:t>Db</w:t>
                </w:r>
              </w:p>
            </w:tc>
            <w:tc>
              <w:tcPr>
                <w:tcW w:w="3420"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145F62DD" w14:textId="1465AF71" w:rsidR="0E4E29E4" w:rsidRPr="00AE210F" w:rsidRDefault="0E4E29E4" w:rsidP="0E4E29E4">
                <w:pPr>
                  <w:spacing w:after="0"/>
                  <w:ind w:left="-20" w:right="-20"/>
                  <w:rPr>
                    <w:sz w:val="18"/>
                    <w:szCs w:val="18"/>
                  </w:rPr>
                </w:pPr>
                <w:r w:rsidRPr="00AE210F">
                  <w:rPr>
                    <w:rFonts w:ascii="Times New Roman" w:eastAsia="Times New Roman" w:hAnsi="Times New Roman"/>
                    <w:sz w:val="18"/>
                    <w:szCs w:val="18"/>
                  </w:rPr>
                  <w:t>Otras transferencias</w:t>
                </w:r>
              </w:p>
            </w:tc>
            <w:tc>
              <w:tcPr>
                <w:tcW w:w="11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3CC5878" w14:textId="626D5E08" w:rsidR="0E4E29E4" w:rsidRPr="00AE210F" w:rsidRDefault="0E4E29E4" w:rsidP="0E4E29E4">
                <w:pPr>
                  <w:spacing w:after="0"/>
                  <w:ind w:left="-20" w:right="-20"/>
                  <w:jc w:val="right"/>
                  <w:rPr>
                    <w:sz w:val="18"/>
                    <w:szCs w:val="18"/>
                  </w:rPr>
                </w:pPr>
                <w:r w:rsidRPr="00AE210F">
                  <w:rPr>
                    <w:rFonts w:ascii="Times New Roman" w:eastAsia="Times New Roman" w:hAnsi="Times New Roman"/>
                    <w:sz w:val="18"/>
                    <w:szCs w:val="18"/>
                  </w:rPr>
                  <w:t>0</w:t>
                </w:r>
              </w:p>
            </w:tc>
            <w:tc>
              <w:tcPr>
                <w:tcW w:w="13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77288B00" w14:textId="0D512B18" w:rsidR="0E4E29E4" w:rsidRPr="00AE210F" w:rsidRDefault="0E4E29E4" w:rsidP="0E4E29E4">
                <w:pPr>
                  <w:spacing w:after="0"/>
                  <w:ind w:left="-20" w:right="-20"/>
                  <w:jc w:val="right"/>
                  <w:rPr>
                    <w:sz w:val="18"/>
                    <w:szCs w:val="18"/>
                  </w:rPr>
                </w:pPr>
                <w:r w:rsidRPr="00AE210F">
                  <w:rPr>
                    <w:rFonts w:ascii="Times New Roman" w:eastAsia="Times New Roman" w:hAnsi="Times New Roman"/>
                    <w:sz w:val="18"/>
                    <w:szCs w:val="18"/>
                  </w:rPr>
                  <w:t>58.176.325</w:t>
                </w:r>
              </w:p>
            </w:tc>
            <w:tc>
              <w:tcPr>
                <w:tcW w:w="131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6293E1F0" w14:textId="05454654" w:rsidR="0E4E29E4" w:rsidRPr="00AE210F" w:rsidRDefault="0E4E29E4" w:rsidP="0E4E29E4">
                <w:pPr>
                  <w:spacing w:after="0"/>
                  <w:ind w:left="-20" w:right="-20"/>
                  <w:jc w:val="right"/>
                  <w:rPr>
                    <w:sz w:val="18"/>
                    <w:szCs w:val="18"/>
                  </w:rPr>
                </w:pPr>
                <w:r w:rsidRPr="00AE210F">
                  <w:rPr>
                    <w:rFonts w:ascii="Times New Roman" w:eastAsia="Times New Roman" w:hAnsi="Times New Roman"/>
                    <w:sz w:val="18"/>
                    <w:szCs w:val="18"/>
                  </w:rPr>
                  <w:t>-58.176.325</w:t>
                </w:r>
              </w:p>
            </w:tc>
          </w:tr>
          <w:tr w:rsidR="0E4E29E4" w:rsidRPr="00AE210F" w14:paraId="0AD84CAC" w14:textId="77777777" w:rsidTr="00AE210F">
            <w:trPr>
              <w:trHeight w:val="285"/>
            </w:trPr>
            <w:tc>
              <w:tcPr>
                <w:tcW w:w="112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73CCF422" w14:textId="6EB76AA7" w:rsidR="0E4E29E4" w:rsidRPr="00AE210F" w:rsidRDefault="0E4E29E4" w:rsidP="0E4E29E4">
                <w:pPr>
                  <w:spacing w:after="0"/>
                  <w:ind w:left="-20" w:right="-20"/>
                  <w:rPr>
                    <w:sz w:val="18"/>
                    <w:szCs w:val="18"/>
                  </w:rPr>
                </w:pPr>
                <w:r w:rsidRPr="00AE210F">
                  <w:rPr>
                    <w:rFonts w:ascii="Times New Roman" w:eastAsia="Times New Roman" w:hAnsi="Times New Roman"/>
                    <w:b/>
                    <w:bCs/>
                    <w:sz w:val="18"/>
                    <w:szCs w:val="18"/>
                  </w:rPr>
                  <w:t>5.4.24</w:t>
                </w:r>
              </w:p>
            </w:tc>
            <w:tc>
              <w:tcPr>
                <w:tcW w:w="567"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55F44A76" w14:textId="686C0FD5" w:rsidR="0E4E29E4" w:rsidRPr="00AE210F" w:rsidRDefault="0E4E29E4" w:rsidP="0E4E29E4">
                <w:pPr>
                  <w:spacing w:after="0"/>
                  <w:ind w:left="-20" w:right="-20"/>
                  <w:jc w:val="center"/>
                  <w:rPr>
                    <w:sz w:val="18"/>
                    <w:szCs w:val="18"/>
                  </w:rPr>
                </w:pPr>
                <w:r w:rsidRPr="00AE210F">
                  <w:rPr>
                    <w:rFonts w:ascii="Times New Roman" w:eastAsia="Times New Roman" w:hAnsi="Times New Roman"/>
                    <w:b/>
                    <w:bCs/>
                    <w:sz w:val="18"/>
                    <w:szCs w:val="18"/>
                  </w:rPr>
                  <w:t xml:space="preserve"> </w:t>
                </w:r>
              </w:p>
            </w:tc>
            <w:tc>
              <w:tcPr>
                <w:tcW w:w="3420"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154137C2" w14:textId="15A66362" w:rsidR="0E4E29E4" w:rsidRPr="00AE210F" w:rsidRDefault="0E4E29E4" w:rsidP="0E4E29E4">
                <w:pPr>
                  <w:spacing w:after="0"/>
                  <w:ind w:left="-20" w:right="-20"/>
                  <w:rPr>
                    <w:sz w:val="18"/>
                    <w:szCs w:val="18"/>
                  </w:rPr>
                </w:pPr>
                <w:r w:rsidRPr="00AE210F">
                  <w:rPr>
                    <w:rFonts w:ascii="Times New Roman" w:eastAsia="Times New Roman" w:hAnsi="Times New Roman"/>
                    <w:b/>
                    <w:bCs/>
                    <w:sz w:val="18"/>
                    <w:szCs w:val="18"/>
                  </w:rPr>
                  <w:t>SUBVENCIONES</w:t>
                </w:r>
              </w:p>
            </w:tc>
            <w:tc>
              <w:tcPr>
                <w:tcW w:w="11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0D803D0A" w14:textId="6D80D173" w:rsidR="0E4E29E4" w:rsidRPr="00AE210F" w:rsidRDefault="0E4E29E4" w:rsidP="0E4E29E4">
                <w:pPr>
                  <w:spacing w:after="0"/>
                  <w:ind w:left="-20" w:right="-20"/>
                  <w:jc w:val="right"/>
                  <w:rPr>
                    <w:sz w:val="18"/>
                    <w:szCs w:val="18"/>
                  </w:rPr>
                </w:pPr>
                <w:r w:rsidRPr="00AE210F">
                  <w:rPr>
                    <w:rFonts w:ascii="Times New Roman" w:eastAsia="Times New Roman" w:hAnsi="Times New Roman"/>
                    <w:b/>
                    <w:bCs/>
                    <w:sz w:val="18"/>
                    <w:szCs w:val="18"/>
                  </w:rPr>
                  <w:t>0</w:t>
                </w:r>
              </w:p>
            </w:tc>
            <w:tc>
              <w:tcPr>
                <w:tcW w:w="13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295D3C49" w14:textId="0271F8BA" w:rsidR="0E4E29E4" w:rsidRPr="00AE210F" w:rsidRDefault="0E4E29E4" w:rsidP="0E4E29E4">
                <w:pPr>
                  <w:spacing w:after="0"/>
                  <w:ind w:left="-20" w:right="-20"/>
                  <w:jc w:val="right"/>
                  <w:rPr>
                    <w:sz w:val="18"/>
                    <w:szCs w:val="18"/>
                  </w:rPr>
                </w:pPr>
                <w:r w:rsidRPr="00AE210F">
                  <w:rPr>
                    <w:rFonts w:ascii="Times New Roman" w:eastAsia="Times New Roman" w:hAnsi="Times New Roman"/>
                    <w:b/>
                    <w:bCs/>
                    <w:sz w:val="18"/>
                    <w:szCs w:val="18"/>
                  </w:rPr>
                  <w:t>2.796.621</w:t>
                </w:r>
              </w:p>
            </w:tc>
            <w:tc>
              <w:tcPr>
                <w:tcW w:w="131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3FE739CA" w14:textId="3DC790A1" w:rsidR="0E4E29E4" w:rsidRPr="00AE210F" w:rsidRDefault="0E4E29E4" w:rsidP="0E4E29E4">
                <w:pPr>
                  <w:spacing w:after="0"/>
                  <w:ind w:left="-20" w:right="-20"/>
                  <w:jc w:val="right"/>
                  <w:rPr>
                    <w:sz w:val="18"/>
                    <w:szCs w:val="18"/>
                  </w:rPr>
                </w:pPr>
                <w:r w:rsidRPr="00AE210F">
                  <w:rPr>
                    <w:rFonts w:ascii="Times New Roman" w:eastAsia="Times New Roman" w:hAnsi="Times New Roman"/>
                    <w:b/>
                    <w:bCs/>
                    <w:sz w:val="18"/>
                    <w:szCs w:val="18"/>
                  </w:rPr>
                  <w:t>-2.796.621</w:t>
                </w:r>
              </w:p>
            </w:tc>
          </w:tr>
          <w:tr w:rsidR="0E4E29E4" w:rsidRPr="00AE210F" w14:paraId="79BF129B" w14:textId="77777777" w:rsidTr="00AE210F">
            <w:trPr>
              <w:trHeight w:val="600"/>
            </w:trPr>
            <w:tc>
              <w:tcPr>
                <w:tcW w:w="112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6EFD123C" w14:textId="08F3142F" w:rsidR="0E4E29E4" w:rsidRPr="00AE210F" w:rsidRDefault="0E4E29E4" w:rsidP="0E4E29E4">
                <w:pPr>
                  <w:spacing w:after="0"/>
                  <w:ind w:left="-20" w:right="-20"/>
                  <w:rPr>
                    <w:sz w:val="18"/>
                    <w:szCs w:val="18"/>
                  </w:rPr>
                </w:pPr>
                <w:r w:rsidRPr="00AE210F">
                  <w:rPr>
                    <w:rFonts w:ascii="Times New Roman" w:eastAsia="Times New Roman" w:hAnsi="Times New Roman"/>
                    <w:sz w:val="18"/>
                    <w:szCs w:val="18"/>
                  </w:rPr>
                  <w:t>5.4.24.05</w:t>
                </w:r>
              </w:p>
            </w:tc>
            <w:tc>
              <w:tcPr>
                <w:tcW w:w="567"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4A37F07C" w14:textId="4A7B6378" w:rsidR="0E4E29E4" w:rsidRPr="00AE210F" w:rsidRDefault="0E4E29E4" w:rsidP="0E4E29E4">
                <w:pPr>
                  <w:spacing w:after="0"/>
                  <w:ind w:left="-20" w:right="-20"/>
                  <w:jc w:val="center"/>
                  <w:rPr>
                    <w:sz w:val="18"/>
                    <w:szCs w:val="18"/>
                  </w:rPr>
                </w:pPr>
                <w:r w:rsidRPr="00AE210F">
                  <w:rPr>
                    <w:rFonts w:ascii="Times New Roman" w:eastAsia="Times New Roman" w:hAnsi="Times New Roman"/>
                    <w:sz w:val="18"/>
                    <w:szCs w:val="18"/>
                  </w:rPr>
                  <w:t>Db</w:t>
                </w:r>
              </w:p>
            </w:tc>
            <w:tc>
              <w:tcPr>
                <w:tcW w:w="3420" w:type="dxa"/>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Mar>
                  <w:left w:w="70" w:type="dxa"/>
                  <w:right w:w="70" w:type="dxa"/>
                </w:tcMar>
                <w:vAlign w:val="center"/>
              </w:tcPr>
              <w:p w14:paraId="3D0356F2" w14:textId="0D2800A3" w:rsidR="0E4E29E4" w:rsidRPr="00AE210F" w:rsidRDefault="0E4E29E4" w:rsidP="0E4E29E4">
                <w:pPr>
                  <w:spacing w:after="0"/>
                  <w:ind w:left="-20" w:right="-20"/>
                  <w:rPr>
                    <w:sz w:val="18"/>
                    <w:szCs w:val="18"/>
                  </w:rPr>
                </w:pPr>
                <w:r w:rsidRPr="00AE210F">
                  <w:rPr>
                    <w:rFonts w:ascii="Times New Roman" w:eastAsia="Times New Roman" w:hAnsi="Times New Roman"/>
                    <w:sz w:val="18"/>
                    <w:szCs w:val="18"/>
                  </w:rPr>
                  <w:t>Otras subvenciones por recursos transferidos a las empresas públicas</w:t>
                </w:r>
              </w:p>
            </w:tc>
            <w:tc>
              <w:tcPr>
                <w:tcW w:w="116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5A029AE4" w14:textId="792D4A99" w:rsidR="0E4E29E4" w:rsidRPr="00AE210F" w:rsidRDefault="0E4E29E4" w:rsidP="0E4E29E4">
                <w:pPr>
                  <w:spacing w:after="0"/>
                  <w:ind w:left="-20" w:right="-20"/>
                  <w:jc w:val="right"/>
                  <w:rPr>
                    <w:sz w:val="18"/>
                    <w:szCs w:val="18"/>
                  </w:rPr>
                </w:pPr>
                <w:r w:rsidRPr="00AE210F">
                  <w:rPr>
                    <w:rFonts w:ascii="Times New Roman" w:eastAsia="Times New Roman" w:hAnsi="Times New Roman"/>
                    <w:sz w:val="18"/>
                    <w:szCs w:val="18"/>
                  </w:rPr>
                  <w:t>0</w:t>
                </w:r>
              </w:p>
            </w:tc>
            <w:tc>
              <w:tcPr>
                <w:tcW w:w="1385"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2D7FEE66" w14:textId="214E5E7F" w:rsidR="0E4E29E4" w:rsidRPr="00AE210F" w:rsidRDefault="0E4E29E4" w:rsidP="0E4E29E4">
                <w:pPr>
                  <w:spacing w:after="0"/>
                  <w:ind w:left="-20" w:right="-20"/>
                  <w:jc w:val="right"/>
                  <w:rPr>
                    <w:sz w:val="18"/>
                    <w:szCs w:val="18"/>
                  </w:rPr>
                </w:pPr>
                <w:r w:rsidRPr="00AE210F">
                  <w:rPr>
                    <w:rFonts w:ascii="Times New Roman" w:eastAsia="Times New Roman" w:hAnsi="Times New Roman"/>
                    <w:sz w:val="18"/>
                    <w:szCs w:val="18"/>
                  </w:rPr>
                  <w:t>2.796.621</w:t>
                </w:r>
              </w:p>
            </w:tc>
            <w:tc>
              <w:tcPr>
                <w:tcW w:w="131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Mar>
                  <w:left w:w="70" w:type="dxa"/>
                  <w:right w:w="70" w:type="dxa"/>
                </w:tcMar>
                <w:vAlign w:val="center"/>
              </w:tcPr>
              <w:p w14:paraId="7E519316" w14:textId="76F8DA4F" w:rsidR="0E4E29E4" w:rsidRPr="00AE210F" w:rsidRDefault="0E4E29E4" w:rsidP="0E4E29E4">
                <w:pPr>
                  <w:spacing w:after="0"/>
                  <w:ind w:left="-20" w:right="-20"/>
                  <w:jc w:val="right"/>
                  <w:rPr>
                    <w:sz w:val="18"/>
                    <w:szCs w:val="18"/>
                  </w:rPr>
                </w:pPr>
                <w:r w:rsidRPr="00AE210F">
                  <w:rPr>
                    <w:rFonts w:ascii="Times New Roman" w:eastAsia="Times New Roman" w:hAnsi="Times New Roman"/>
                    <w:sz w:val="18"/>
                    <w:szCs w:val="18"/>
                  </w:rPr>
                  <w:t>-2.796.621</w:t>
                </w:r>
              </w:p>
            </w:tc>
          </w:tr>
        </w:tbl>
        <w:p w14:paraId="08C8BC9A" w14:textId="122538EF" w:rsidR="0065562D" w:rsidRPr="00931DCE" w:rsidRDefault="64C58135" w:rsidP="00EE6A44">
          <w:pPr>
            <w:spacing w:line="254" w:lineRule="auto"/>
            <w:ind w:left="-20" w:right="-20"/>
            <w:jc w:val="both"/>
          </w:pPr>
          <w:r w:rsidRPr="0E4E29E4">
            <w:rPr>
              <w:rFonts w:ascii="Times New Roman" w:eastAsia="Times New Roman" w:hAnsi="Times New Roman"/>
              <w:sz w:val="14"/>
              <w:szCs w:val="14"/>
            </w:rPr>
            <w:t xml:space="preserve"> </w:t>
          </w:r>
          <w:r w:rsidR="00AD2026" w:rsidRPr="0E4E29E4">
            <w:rPr>
              <w:rFonts w:ascii="Times New Roman" w:eastAsia="Times New Roman" w:hAnsi="Times New Roman"/>
              <w:sz w:val="14"/>
              <w:szCs w:val="14"/>
            </w:rPr>
            <w:t>Cifras expresadas en pesos</w:t>
          </w:r>
        </w:p>
        <w:p w14:paraId="7D51A99B" w14:textId="296958F6" w:rsidR="003A4D8E" w:rsidRPr="00931DCE" w:rsidRDefault="002A1BD5" w:rsidP="0E4E29E4">
          <w:pPr>
            <w:spacing w:line="254" w:lineRule="auto"/>
            <w:ind w:left="-20" w:right="-20"/>
            <w:jc w:val="both"/>
          </w:pPr>
          <w:r>
            <w:rPr>
              <w:rFonts w:ascii="Times New Roman" w:eastAsia="Times New Roman" w:hAnsi="Times New Roman"/>
              <w:sz w:val="24"/>
              <w:szCs w:val="24"/>
            </w:rPr>
            <w:t>Co</w:t>
          </w:r>
          <w:r w:rsidR="008261F8">
            <w:rPr>
              <w:rFonts w:ascii="Times New Roman" w:eastAsia="Times New Roman" w:hAnsi="Times New Roman"/>
              <w:sz w:val="24"/>
              <w:szCs w:val="24"/>
            </w:rPr>
            <w:t>rre</w:t>
          </w:r>
          <w:r w:rsidR="64C58135" w:rsidRPr="0E4E29E4">
            <w:rPr>
              <w:rFonts w:ascii="Times New Roman" w:eastAsia="Times New Roman" w:hAnsi="Times New Roman"/>
              <w:sz w:val="24"/>
              <w:szCs w:val="24"/>
            </w:rPr>
            <w:t>s</w:t>
          </w:r>
          <w:r w:rsidR="008261F8">
            <w:rPr>
              <w:rFonts w:ascii="Times New Roman" w:eastAsia="Times New Roman" w:hAnsi="Times New Roman"/>
              <w:sz w:val="24"/>
              <w:szCs w:val="24"/>
            </w:rPr>
            <w:t xml:space="preserve">ponde </w:t>
          </w:r>
          <w:r w:rsidR="00151B52" w:rsidRPr="0E4E29E4">
            <w:rPr>
              <w:rFonts w:ascii="Times New Roman" w:eastAsia="Times New Roman" w:hAnsi="Times New Roman"/>
              <w:sz w:val="24"/>
              <w:szCs w:val="24"/>
            </w:rPr>
            <w:t xml:space="preserve">al valor en libros de dos </w:t>
          </w:r>
          <w:r w:rsidR="00253542">
            <w:rPr>
              <w:rFonts w:ascii="Times New Roman" w:eastAsia="Times New Roman" w:hAnsi="Times New Roman"/>
              <w:sz w:val="24"/>
              <w:szCs w:val="24"/>
            </w:rPr>
            <w:t xml:space="preserve">(02) </w:t>
          </w:r>
          <w:r w:rsidR="00151B52" w:rsidRPr="0E4E29E4">
            <w:rPr>
              <w:rFonts w:ascii="Times New Roman" w:eastAsia="Times New Roman" w:hAnsi="Times New Roman"/>
              <w:sz w:val="24"/>
              <w:szCs w:val="24"/>
            </w:rPr>
            <w:t>vehículos transferidos sin contraprestación para uso del Ministerio de Transporte</w:t>
          </w:r>
          <w:r w:rsidR="00F35D22">
            <w:rPr>
              <w:rFonts w:ascii="Times New Roman" w:eastAsia="Times New Roman" w:hAnsi="Times New Roman"/>
              <w:sz w:val="24"/>
              <w:szCs w:val="24"/>
            </w:rPr>
            <w:t xml:space="preserve"> </w:t>
          </w:r>
          <w:r w:rsidR="00F35D22" w:rsidRPr="0E4E29E4">
            <w:rPr>
              <w:rFonts w:ascii="Times New Roman" w:eastAsia="Times New Roman" w:hAnsi="Times New Roman"/>
              <w:sz w:val="24"/>
              <w:szCs w:val="24"/>
            </w:rPr>
            <w:t xml:space="preserve">por </w:t>
          </w:r>
          <w:r w:rsidR="00253542">
            <w:rPr>
              <w:rFonts w:ascii="Times New Roman" w:eastAsia="Times New Roman" w:hAnsi="Times New Roman"/>
              <w:sz w:val="24"/>
              <w:szCs w:val="24"/>
            </w:rPr>
            <w:t xml:space="preserve">un total </w:t>
          </w:r>
          <w:r w:rsidR="00F35D22" w:rsidRPr="0E4E29E4">
            <w:rPr>
              <w:rFonts w:ascii="Times New Roman" w:eastAsia="Times New Roman" w:hAnsi="Times New Roman"/>
              <w:sz w:val="24"/>
              <w:szCs w:val="24"/>
            </w:rPr>
            <w:t>de $22.842.316</w:t>
          </w:r>
          <w:r w:rsidR="00F35D22">
            <w:rPr>
              <w:rFonts w:ascii="Times New Roman" w:eastAsia="Times New Roman" w:hAnsi="Times New Roman"/>
              <w:sz w:val="24"/>
              <w:szCs w:val="24"/>
            </w:rPr>
            <w:t>, reali</w:t>
          </w:r>
          <w:r w:rsidR="005C11AE">
            <w:rPr>
              <w:rFonts w:ascii="Times New Roman" w:eastAsia="Times New Roman" w:hAnsi="Times New Roman"/>
              <w:sz w:val="24"/>
              <w:szCs w:val="24"/>
            </w:rPr>
            <w:t xml:space="preserve">zado </w:t>
          </w:r>
          <w:r w:rsidR="004071B8" w:rsidRPr="0E4E29E4">
            <w:rPr>
              <w:rFonts w:ascii="Times New Roman" w:eastAsia="Times New Roman" w:hAnsi="Times New Roman"/>
              <w:sz w:val="24"/>
              <w:szCs w:val="24"/>
            </w:rPr>
            <w:t>a través del Contrato Interadministrativo No. VGCOR-552-2023</w:t>
          </w:r>
          <w:r w:rsidR="004071B8">
            <w:rPr>
              <w:rFonts w:ascii="Times New Roman" w:eastAsia="Times New Roman" w:hAnsi="Times New Roman"/>
              <w:sz w:val="24"/>
              <w:szCs w:val="24"/>
            </w:rPr>
            <w:t xml:space="preserve"> </w:t>
          </w:r>
          <w:r w:rsidR="64C58135" w:rsidRPr="0E4E29E4">
            <w:rPr>
              <w:rFonts w:ascii="Times New Roman" w:eastAsia="Times New Roman" w:hAnsi="Times New Roman"/>
              <w:sz w:val="24"/>
              <w:szCs w:val="24"/>
            </w:rPr>
            <w:t>el cual tiene como plazo de ejecución 2 años.</w:t>
          </w:r>
        </w:p>
        <w:p w14:paraId="637C59F2" w14:textId="204890D2" w:rsidR="003A4D8E" w:rsidRPr="00931DCE" w:rsidRDefault="64C58135" w:rsidP="0E4E29E4">
          <w:pPr>
            <w:spacing w:line="254" w:lineRule="auto"/>
            <w:ind w:left="-20" w:right="-20"/>
            <w:jc w:val="both"/>
          </w:pPr>
          <w:r w:rsidRPr="0E4E29E4">
            <w:rPr>
              <w:rFonts w:ascii="Times New Roman" w:eastAsia="Times New Roman" w:hAnsi="Times New Roman"/>
              <w:sz w:val="24"/>
              <w:szCs w:val="24"/>
            </w:rPr>
            <w:t>El detalle de los bienes transferidos se encuentra a continuación:</w:t>
          </w:r>
        </w:p>
        <w:tbl>
          <w:tblPr>
            <w:tblW w:w="0" w:type="auto"/>
            <w:jc w:val="center"/>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2310"/>
            <w:gridCol w:w="1425"/>
            <w:gridCol w:w="1816"/>
            <w:gridCol w:w="1771"/>
          </w:tblGrid>
          <w:tr w:rsidR="0E4E29E4" w:rsidRPr="00140471" w14:paraId="26F51B57" w14:textId="77777777" w:rsidTr="006D26E6">
            <w:trPr>
              <w:trHeight w:val="340"/>
              <w:jc w:val="center"/>
            </w:trPr>
            <w:tc>
              <w:tcPr>
                <w:tcW w:w="0" w:type="auto"/>
                <w:tcMar>
                  <w:top w:w="15" w:type="dxa"/>
                  <w:left w:w="15" w:type="dxa"/>
                  <w:bottom w:w="15" w:type="dxa"/>
                  <w:right w:w="15" w:type="dxa"/>
                </w:tcMar>
                <w:vAlign w:val="center"/>
              </w:tcPr>
              <w:p w14:paraId="71F49BF4" w14:textId="424CA0D7" w:rsidR="0E4E29E4" w:rsidRPr="00140471" w:rsidRDefault="00140471" w:rsidP="0E4E29E4">
                <w:pPr>
                  <w:spacing w:line="254" w:lineRule="auto"/>
                  <w:ind w:left="-20" w:right="-20"/>
                  <w:jc w:val="center"/>
                  <w:rPr>
                    <w:sz w:val="18"/>
                    <w:szCs w:val="18"/>
                  </w:rPr>
                </w:pPr>
                <w:r w:rsidRPr="00140471">
                  <w:rPr>
                    <w:rFonts w:ascii="Times New Roman" w:eastAsia="Times New Roman" w:hAnsi="Times New Roman"/>
                    <w:b/>
                    <w:bCs/>
                    <w:color w:val="000000" w:themeColor="text1"/>
                    <w:sz w:val="18"/>
                    <w:szCs w:val="18"/>
                  </w:rPr>
                  <w:t>FECHA DE ADQUISICIÓN</w:t>
                </w:r>
              </w:p>
            </w:tc>
            <w:tc>
              <w:tcPr>
                <w:tcW w:w="0" w:type="auto"/>
                <w:tcMar>
                  <w:top w:w="15" w:type="dxa"/>
                  <w:left w:w="15" w:type="dxa"/>
                  <w:bottom w:w="15" w:type="dxa"/>
                  <w:right w:w="15" w:type="dxa"/>
                </w:tcMar>
                <w:vAlign w:val="center"/>
              </w:tcPr>
              <w:p w14:paraId="1ACB0425" w14:textId="288003B2" w:rsidR="0E4E29E4" w:rsidRPr="00140471" w:rsidRDefault="00140471" w:rsidP="0E4E29E4">
                <w:pPr>
                  <w:spacing w:line="254" w:lineRule="auto"/>
                  <w:ind w:left="-20" w:right="-20"/>
                  <w:jc w:val="center"/>
                  <w:rPr>
                    <w:sz w:val="18"/>
                    <w:szCs w:val="18"/>
                  </w:rPr>
                </w:pPr>
                <w:r w:rsidRPr="00140471">
                  <w:rPr>
                    <w:rFonts w:ascii="Times New Roman" w:eastAsia="Times New Roman" w:hAnsi="Times New Roman"/>
                    <w:b/>
                    <w:bCs/>
                    <w:color w:val="000000" w:themeColor="text1"/>
                    <w:sz w:val="18"/>
                    <w:szCs w:val="18"/>
                  </w:rPr>
                  <w:t>PLACA BIENES</w:t>
                </w:r>
              </w:p>
            </w:tc>
            <w:tc>
              <w:tcPr>
                <w:tcW w:w="0" w:type="auto"/>
                <w:tcMar>
                  <w:top w:w="15" w:type="dxa"/>
                  <w:left w:w="15" w:type="dxa"/>
                  <w:bottom w:w="15" w:type="dxa"/>
                  <w:right w:w="15" w:type="dxa"/>
                </w:tcMar>
                <w:vAlign w:val="center"/>
              </w:tcPr>
              <w:p w14:paraId="2F0EB081" w14:textId="5F28116B" w:rsidR="0E4E29E4" w:rsidRPr="00140471" w:rsidRDefault="00140471" w:rsidP="0E4E29E4">
                <w:pPr>
                  <w:spacing w:line="254" w:lineRule="auto"/>
                  <w:ind w:left="-20" w:right="-20"/>
                  <w:jc w:val="center"/>
                  <w:rPr>
                    <w:sz w:val="18"/>
                    <w:szCs w:val="18"/>
                  </w:rPr>
                </w:pPr>
                <w:r w:rsidRPr="00140471">
                  <w:rPr>
                    <w:rFonts w:ascii="Times New Roman" w:eastAsia="Times New Roman" w:hAnsi="Times New Roman"/>
                    <w:b/>
                    <w:bCs/>
                    <w:color w:val="000000" w:themeColor="text1"/>
                    <w:sz w:val="18"/>
                    <w:szCs w:val="18"/>
                  </w:rPr>
                  <w:t>COSTO HISTÓRICO</w:t>
                </w:r>
              </w:p>
            </w:tc>
            <w:tc>
              <w:tcPr>
                <w:tcW w:w="0" w:type="auto"/>
                <w:tcMar>
                  <w:top w:w="15" w:type="dxa"/>
                  <w:left w:w="15" w:type="dxa"/>
                  <w:bottom w:w="15" w:type="dxa"/>
                  <w:right w:w="15" w:type="dxa"/>
                </w:tcMar>
                <w:vAlign w:val="center"/>
              </w:tcPr>
              <w:p w14:paraId="46BF5836" w14:textId="38F801FF" w:rsidR="0E4E29E4" w:rsidRPr="00140471" w:rsidRDefault="00140471" w:rsidP="0E4E29E4">
                <w:pPr>
                  <w:spacing w:line="254" w:lineRule="auto"/>
                  <w:ind w:left="-20" w:right="-20"/>
                  <w:jc w:val="center"/>
                  <w:rPr>
                    <w:sz w:val="18"/>
                    <w:szCs w:val="18"/>
                  </w:rPr>
                </w:pPr>
                <w:r w:rsidRPr="00140471">
                  <w:rPr>
                    <w:rFonts w:ascii="Times New Roman" w:eastAsia="Times New Roman" w:hAnsi="Times New Roman"/>
                    <w:b/>
                    <w:bCs/>
                    <w:color w:val="000000" w:themeColor="text1"/>
                    <w:sz w:val="18"/>
                    <w:szCs w:val="18"/>
                  </w:rPr>
                  <w:t>VALOR EN LIBROS</w:t>
                </w:r>
              </w:p>
            </w:tc>
          </w:tr>
          <w:tr w:rsidR="0E4E29E4" w:rsidRPr="00140471" w14:paraId="248AEF45" w14:textId="77777777" w:rsidTr="006D26E6">
            <w:trPr>
              <w:trHeight w:val="340"/>
              <w:jc w:val="center"/>
            </w:trPr>
            <w:tc>
              <w:tcPr>
                <w:tcW w:w="0" w:type="auto"/>
                <w:tcMar>
                  <w:top w:w="15" w:type="dxa"/>
                  <w:left w:w="15" w:type="dxa"/>
                  <w:bottom w:w="15" w:type="dxa"/>
                  <w:right w:w="15" w:type="dxa"/>
                </w:tcMar>
                <w:vAlign w:val="center"/>
              </w:tcPr>
              <w:p w14:paraId="59119622" w14:textId="22C5B04D" w:rsidR="0E4E29E4" w:rsidRPr="00140471" w:rsidRDefault="0E4E29E4" w:rsidP="00D63F3A">
                <w:pPr>
                  <w:spacing w:line="254" w:lineRule="auto"/>
                  <w:ind w:right="-20"/>
                  <w:jc w:val="center"/>
                  <w:rPr>
                    <w:sz w:val="18"/>
                    <w:szCs w:val="18"/>
                  </w:rPr>
                </w:pPr>
                <w:r w:rsidRPr="00140471">
                  <w:rPr>
                    <w:rFonts w:ascii="Times New Roman" w:eastAsia="Times New Roman" w:hAnsi="Times New Roman"/>
                    <w:color w:val="000000" w:themeColor="text1"/>
                    <w:sz w:val="18"/>
                    <w:szCs w:val="18"/>
                  </w:rPr>
                  <w:t>30/12/2016</w:t>
                </w:r>
              </w:p>
            </w:tc>
            <w:tc>
              <w:tcPr>
                <w:tcW w:w="0" w:type="auto"/>
                <w:tcMar>
                  <w:top w:w="15" w:type="dxa"/>
                  <w:left w:w="15" w:type="dxa"/>
                  <w:bottom w:w="15" w:type="dxa"/>
                  <w:right w:w="15" w:type="dxa"/>
                </w:tcMar>
                <w:vAlign w:val="center"/>
              </w:tcPr>
              <w:p w14:paraId="7CBD71D0" w14:textId="2D69DADB" w:rsidR="0E4E29E4" w:rsidRPr="00140471" w:rsidRDefault="0E4E29E4" w:rsidP="00253542">
                <w:pPr>
                  <w:spacing w:line="254" w:lineRule="auto"/>
                  <w:ind w:right="-20"/>
                  <w:jc w:val="center"/>
                  <w:rPr>
                    <w:sz w:val="18"/>
                    <w:szCs w:val="18"/>
                  </w:rPr>
                </w:pPr>
                <w:r w:rsidRPr="00140471">
                  <w:rPr>
                    <w:rFonts w:ascii="Times New Roman" w:eastAsia="Times New Roman" w:hAnsi="Times New Roman"/>
                    <w:color w:val="000000" w:themeColor="text1"/>
                    <w:sz w:val="18"/>
                    <w:szCs w:val="18"/>
                  </w:rPr>
                  <w:t>3676</w:t>
                </w:r>
              </w:p>
            </w:tc>
            <w:tc>
              <w:tcPr>
                <w:tcW w:w="0" w:type="auto"/>
                <w:tcMar>
                  <w:top w:w="15" w:type="dxa"/>
                  <w:left w:w="15" w:type="dxa"/>
                  <w:bottom w:w="15" w:type="dxa"/>
                  <w:right w:w="15" w:type="dxa"/>
                </w:tcMar>
                <w:vAlign w:val="center"/>
              </w:tcPr>
              <w:p w14:paraId="44E1926B" w14:textId="0032988A" w:rsidR="0E4E29E4" w:rsidRPr="00140471" w:rsidRDefault="0E4E29E4" w:rsidP="00876657">
                <w:pPr>
                  <w:spacing w:line="254" w:lineRule="auto"/>
                  <w:ind w:right="-20"/>
                  <w:jc w:val="right"/>
                  <w:rPr>
                    <w:sz w:val="18"/>
                    <w:szCs w:val="18"/>
                  </w:rPr>
                </w:pPr>
                <w:r w:rsidRPr="00140471">
                  <w:rPr>
                    <w:rFonts w:ascii="Times New Roman" w:eastAsia="Times New Roman" w:hAnsi="Times New Roman"/>
                    <w:color w:val="000000" w:themeColor="text1"/>
                    <w:sz w:val="18"/>
                    <w:szCs w:val="18"/>
                  </w:rPr>
                  <w:t>269.839.010</w:t>
                </w:r>
              </w:p>
            </w:tc>
            <w:tc>
              <w:tcPr>
                <w:tcW w:w="0" w:type="auto"/>
                <w:tcMar>
                  <w:top w:w="15" w:type="dxa"/>
                  <w:left w:w="15" w:type="dxa"/>
                  <w:bottom w:w="15" w:type="dxa"/>
                  <w:right w:w="15" w:type="dxa"/>
                </w:tcMar>
                <w:vAlign w:val="center"/>
              </w:tcPr>
              <w:p w14:paraId="66E63819" w14:textId="2EF12024" w:rsidR="0E4E29E4" w:rsidRPr="00140471" w:rsidRDefault="0E4E29E4" w:rsidP="00253542">
                <w:pPr>
                  <w:spacing w:line="254" w:lineRule="auto"/>
                  <w:ind w:right="-20"/>
                  <w:jc w:val="right"/>
                  <w:rPr>
                    <w:sz w:val="18"/>
                    <w:szCs w:val="18"/>
                  </w:rPr>
                </w:pPr>
                <w:r w:rsidRPr="00140471">
                  <w:rPr>
                    <w:rFonts w:ascii="Times New Roman" w:eastAsia="Times New Roman" w:hAnsi="Times New Roman"/>
                    <w:color w:val="000000" w:themeColor="text1"/>
                    <w:sz w:val="18"/>
                    <w:szCs w:val="18"/>
                  </w:rPr>
                  <w:t>13.491.951</w:t>
                </w:r>
              </w:p>
            </w:tc>
          </w:tr>
          <w:tr w:rsidR="0E4E29E4" w:rsidRPr="00140471" w14:paraId="29B7A158" w14:textId="77777777" w:rsidTr="006D26E6">
            <w:trPr>
              <w:trHeight w:val="340"/>
              <w:jc w:val="center"/>
            </w:trPr>
            <w:tc>
              <w:tcPr>
                <w:tcW w:w="0" w:type="auto"/>
                <w:tcMar>
                  <w:top w:w="15" w:type="dxa"/>
                  <w:left w:w="15" w:type="dxa"/>
                  <w:bottom w:w="15" w:type="dxa"/>
                  <w:right w:w="15" w:type="dxa"/>
                </w:tcMar>
                <w:vAlign w:val="center"/>
              </w:tcPr>
              <w:p w14:paraId="6DF467AA" w14:textId="40B67C89" w:rsidR="0E4E29E4" w:rsidRPr="00140471" w:rsidRDefault="0E4E29E4" w:rsidP="00D63F3A">
                <w:pPr>
                  <w:spacing w:line="254" w:lineRule="auto"/>
                  <w:ind w:right="-20"/>
                  <w:jc w:val="center"/>
                  <w:rPr>
                    <w:sz w:val="18"/>
                    <w:szCs w:val="18"/>
                  </w:rPr>
                </w:pPr>
                <w:r w:rsidRPr="00140471">
                  <w:rPr>
                    <w:rFonts w:ascii="Times New Roman" w:eastAsia="Times New Roman" w:hAnsi="Times New Roman"/>
                    <w:color w:val="000000" w:themeColor="text1"/>
                    <w:sz w:val="18"/>
                    <w:szCs w:val="18"/>
                  </w:rPr>
                  <w:t>30/12/2016</w:t>
                </w:r>
              </w:p>
            </w:tc>
            <w:tc>
              <w:tcPr>
                <w:tcW w:w="0" w:type="auto"/>
                <w:tcMar>
                  <w:top w:w="15" w:type="dxa"/>
                  <w:left w:w="15" w:type="dxa"/>
                  <w:bottom w:w="15" w:type="dxa"/>
                  <w:right w:w="15" w:type="dxa"/>
                </w:tcMar>
                <w:vAlign w:val="center"/>
              </w:tcPr>
              <w:p w14:paraId="2F61B9FF" w14:textId="6D72C06F" w:rsidR="0E4E29E4" w:rsidRPr="00140471" w:rsidRDefault="0E4E29E4" w:rsidP="00253542">
                <w:pPr>
                  <w:spacing w:line="254" w:lineRule="auto"/>
                  <w:ind w:right="-20"/>
                  <w:jc w:val="center"/>
                  <w:rPr>
                    <w:sz w:val="18"/>
                    <w:szCs w:val="18"/>
                  </w:rPr>
                </w:pPr>
                <w:r w:rsidRPr="00140471">
                  <w:rPr>
                    <w:rFonts w:ascii="Times New Roman" w:eastAsia="Times New Roman" w:hAnsi="Times New Roman"/>
                    <w:color w:val="000000" w:themeColor="text1"/>
                    <w:sz w:val="18"/>
                    <w:szCs w:val="18"/>
                  </w:rPr>
                  <w:t>3677</w:t>
                </w:r>
              </w:p>
            </w:tc>
            <w:tc>
              <w:tcPr>
                <w:tcW w:w="0" w:type="auto"/>
                <w:tcMar>
                  <w:top w:w="15" w:type="dxa"/>
                  <w:left w:w="15" w:type="dxa"/>
                  <w:bottom w:w="15" w:type="dxa"/>
                  <w:right w:w="15" w:type="dxa"/>
                </w:tcMar>
                <w:vAlign w:val="center"/>
              </w:tcPr>
              <w:p w14:paraId="590B27C4" w14:textId="6F334DAF" w:rsidR="0E4E29E4" w:rsidRPr="00140471" w:rsidRDefault="0E4E29E4" w:rsidP="00253542">
                <w:pPr>
                  <w:spacing w:line="254" w:lineRule="auto"/>
                  <w:ind w:right="-20"/>
                  <w:jc w:val="right"/>
                  <w:rPr>
                    <w:sz w:val="18"/>
                    <w:szCs w:val="18"/>
                  </w:rPr>
                </w:pPr>
                <w:r w:rsidRPr="00140471">
                  <w:rPr>
                    <w:rFonts w:ascii="Times New Roman" w:eastAsia="Times New Roman" w:hAnsi="Times New Roman"/>
                    <w:color w:val="000000" w:themeColor="text1"/>
                    <w:sz w:val="18"/>
                    <w:szCs w:val="18"/>
                  </w:rPr>
                  <w:t>187.007.310</w:t>
                </w:r>
              </w:p>
            </w:tc>
            <w:tc>
              <w:tcPr>
                <w:tcW w:w="0" w:type="auto"/>
                <w:tcMar>
                  <w:top w:w="15" w:type="dxa"/>
                  <w:left w:w="15" w:type="dxa"/>
                  <w:bottom w:w="15" w:type="dxa"/>
                  <w:right w:w="15" w:type="dxa"/>
                </w:tcMar>
                <w:vAlign w:val="center"/>
              </w:tcPr>
              <w:p w14:paraId="39C7780C" w14:textId="6869DEB1" w:rsidR="0E4E29E4" w:rsidRPr="00140471" w:rsidRDefault="0E4E29E4" w:rsidP="00253542">
                <w:pPr>
                  <w:spacing w:line="254" w:lineRule="auto"/>
                  <w:ind w:right="-20"/>
                  <w:jc w:val="right"/>
                  <w:rPr>
                    <w:sz w:val="18"/>
                    <w:szCs w:val="18"/>
                  </w:rPr>
                </w:pPr>
                <w:r w:rsidRPr="00140471">
                  <w:rPr>
                    <w:rFonts w:ascii="Times New Roman" w:eastAsia="Times New Roman" w:hAnsi="Times New Roman"/>
                    <w:color w:val="000000" w:themeColor="text1"/>
                    <w:sz w:val="18"/>
                    <w:szCs w:val="18"/>
                  </w:rPr>
                  <w:t>9.350.366</w:t>
                </w:r>
              </w:p>
            </w:tc>
          </w:tr>
          <w:tr w:rsidR="0E4E29E4" w:rsidRPr="00140471" w14:paraId="4EF58E87" w14:textId="77777777" w:rsidTr="006D26E6">
            <w:trPr>
              <w:trHeight w:val="340"/>
              <w:jc w:val="center"/>
            </w:trPr>
            <w:tc>
              <w:tcPr>
                <w:tcW w:w="0" w:type="auto"/>
                <w:gridSpan w:val="3"/>
                <w:tcMar>
                  <w:top w:w="15" w:type="dxa"/>
                  <w:left w:w="15" w:type="dxa"/>
                  <w:bottom w:w="15" w:type="dxa"/>
                  <w:right w:w="15" w:type="dxa"/>
                </w:tcMar>
                <w:vAlign w:val="center"/>
              </w:tcPr>
              <w:p w14:paraId="018834D2" w14:textId="4CFA468A" w:rsidR="0E4E29E4" w:rsidRPr="00140471" w:rsidRDefault="0E4E29E4" w:rsidP="0E4E29E4">
                <w:pPr>
                  <w:spacing w:line="254" w:lineRule="auto"/>
                  <w:ind w:left="-20" w:right="-20"/>
                  <w:jc w:val="center"/>
                  <w:rPr>
                    <w:sz w:val="18"/>
                    <w:szCs w:val="18"/>
                  </w:rPr>
                </w:pPr>
                <w:r w:rsidRPr="00140471">
                  <w:rPr>
                    <w:rFonts w:ascii="Times New Roman" w:eastAsia="Times New Roman" w:hAnsi="Times New Roman"/>
                    <w:b/>
                    <w:bCs/>
                    <w:color w:val="000000" w:themeColor="text1"/>
                    <w:sz w:val="18"/>
                    <w:szCs w:val="18"/>
                  </w:rPr>
                  <w:t xml:space="preserve">Total </w:t>
                </w:r>
              </w:p>
            </w:tc>
            <w:tc>
              <w:tcPr>
                <w:tcW w:w="0" w:type="auto"/>
                <w:tcMar>
                  <w:top w:w="15" w:type="dxa"/>
                  <w:left w:w="15" w:type="dxa"/>
                  <w:bottom w:w="15" w:type="dxa"/>
                  <w:right w:w="15" w:type="dxa"/>
                </w:tcMar>
                <w:vAlign w:val="center"/>
              </w:tcPr>
              <w:p w14:paraId="4A1DEDF0" w14:textId="119F6FA8" w:rsidR="0E4E29E4" w:rsidRPr="00140471" w:rsidRDefault="0E4E29E4" w:rsidP="00253542">
                <w:pPr>
                  <w:spacing w:line="254" w:lineRule="auto"/>
                  <w:ind w:right="-20"/>
                  <w:jc w:val="right"/>
                  <w:rPr>
                    <w:sz w:val="18"/>
                    <w:szCs w:val="18"/>
                  </w:rPr>
                </w:pPr>
                <w:r w:rsidRPr="00140471">
                  <w:rPr>
                    <w:rFonts w:ascii="Times New Roman" w:eastAsia="Times New Roman" w:hAnsi="Times New Roman"/>
                    <w:color w:val="000000" w:themeColor="text1"/>
                    <w:sz w:val="18"/>
                    <w:szCs w:val="18"/>
                  </w:rPr>
                  <w:t>22.842.316</w:t>
                </w:r>
              </w:p>
            </w:tc>
          </w:tr>
        </w:tbl>
        <w:p w14:paraId="4EEE8F48" w14:textId="48EF00C7" w:rsidR="003A4D8E" w:rsidRPr="00931DCE" w:rsidRDefault="64C58135" w:rsidP="0E4E29E4">
          <w:pPr>
            <w:spacing w:line="254" w:lineRule="auto"/>
            <w:ind w:left="-20" w:right="-20"/>
            <w:jc w:val="both"/>
          </w:pPr>
          <w:r w:rsidRPr="0E4E29E4">
            <w:rPr>
              <w:rFonts w:ascii="Times New Roman" w:eastAsia="Times New Roman" w:hAnsi="Times New Roman"/>
              <w:sz w:val="24"/>
              <w:szCs w:val="24"/>
            </w:rPr>
            <w:t xml:space="preserve"> </w:t>
          </w:r>
        </w:p>
        <w:p w14:paraId="7ABB4E7A" w14:textId="065294A8" w:rsidR="003A4D8E" w:rsidRPr="00931DCE" w:rsidRDefault="64C58135" w:rsidP="0E4E29E4">
          <w:pPr>
            <w:pStyle w:val="Ttulo2"/>
            <w:numPr>
              <w:ilvl w:val="0"/>
              <w:numId w:val="0"/>
            </w:numPr>
            <w:ind w:right="-20"/>
            <w:rPr>
              <w:rFonts w:eastAsia="Times New Roman" w:cs="Times New Roman"/>
              <w:bCs/>
              <w:szCs w:val="24"/>
            </w:rPr>
          </w:pPr>
          <w:bookmarkStart w:id="119" w:name="_Toc159952443"/>
          <w:r w:rsidRPr="0E4E29E4">
            <w:rPr>
              <w:rFonts w:eastAsia="Times New Roman" w:cs="Times New Roman"/>
              <w:bCs/>
              <w:szCs w:val="24"/>
            </w:rPr>
            <w:lastRenderedPageBreak/>
            <w:t>29.4.</w:t>
          </w:r>
          <w:r w:rsidRPr="0E4E29E4">
            <w:rPr>
              <w:rFonts w:eastAsia="Times New Roman" w:cs="Times New Roman"/>
              <w:b w:val="0"/>
              <w:sz w:val="14"/>
              <w:szCs w:val="14"/>
            </w:rPr>
            <w:t xml:space="preserve">    </w:t>
          </w:r>
          <w:r w:rsidRPr="0E4E29E4">
            <w:rPr>
              <w:rFonts w:eastAsia="Times New Roman" w:cs="Times New Roman"/>
              <w:bCs/>
              <w:szCs w:val="24"/>
            </w:rPr>
            <w:t>Operaciones interinstitucionales</w:t>
          </w:r>
          <w:bookmarkEnd w:id="119"/>
        </w:p>
        <w:p w14:paraId="3DC8D761" w14:textId="1F19FF38" w:rsidR="00C862B5" w:rsidRPr="00931DCE" w:rsidRDefault="64C58135" w:rsidP="0E4E29E4">
          <w:pPr>
            <w:spacing w:line="254" w:lineRule="auto"/>
            <w:ind w:left="-20" w:right="-20"/>
            <w:jc w:val="both"/>
          </w:pPr>
          <w:r w:rsidRPr="0E4E29E4">
            <w:rPr>
              <w:rFonts w:ascii="Times New Roman" w:eastAsia="Times New Roman" w:hAnsi="Times New Roman"/>
              <w:sz w:val="24"/>
              <w:szCs w:val="24"/>
            </w:rPr>
            <w:t xml:space="preserve"> </w:t>
          </w:r>
        </w:p>
        <w:tbl>
          <w:tblPr>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6" w:space="0" w:color="A6A6A6" w:themeColor="background1" w:themeShade="A6"/>
              <w:insideV w:val="single" w:sz="6" w:space="0" w:color="A6A6A6" w:themeColor="background1" w:themeShade="A6"/>
            </w:tblBorders>
            <w:tblLayout w:type="fixed"/>
            <w:tblLook w:val="04A0" w:firstRow="1" w:lastRow="0" w:firstColumn="1" w:lastColumn="0" w:noHBand="0" w:noVBand="1"/>
          </w:tblPr>
          <w:tblGrid>
            <w:gridCol w:w="965"/>
            <w:gridCol w:w="591"/>
            <w:gridCol w:w="3390"/>
            <w:gridCol w:w="1225"/>
            <w:gridCol w:w="1413"/>
            <w:gridCol w:w="1385"/>
          </w:tblGrid>
          <w:tr w:rsidR="00C862B5" w:rsidRPr="00253542" w14:paraId="0ECE1D5F" w14:textId="77777777" w:rsidTr="00D63F3A">
            <w:trPr>
              <w:trHeight w:val="300"/>
            </w:trPr>
            <w:tc>
              <w:tcPr>
                <w:tcW w:w="4946" w:type="dxa"/>
                <w:gridSpan w:val="3"/>
                <w:tcMar>
                  <w:left w:w="70" w:type="dxa"/>
                  <w:right w:w="70" w:type="dxa"/>
                </w:tcMar>
                <w:vAlign w:val="center"/>
              </w:tcPr>
              <w:p w14:paraId="7B7FC424" w14:textId="233C434E" w:rsidR="00C862B5" w:rsidRPr="00253542" w:rsidRDefault="00C862B5" w:rsidP="0E4E29E4">
                <w:pPr>
                  <w:spacing w:after="0"/>
                  <w:ind w:left="-20" w:right="-20"/>
                  <w:jc w:val="center"/>
                  <w:rPr>
                    <w:sz w:val="18"/>
                    <w:szCs w:val="18"/>
                  </w:rPr>
                </w:pPr>
                <w:r w:rsidRPr="00253542">
                  <w:rPr>
                    <w:rFonts w:ascii="Times New Roman" w:eastAsia="Times New Roman" w:hAnsi="Times New Roman"/>
                    <w:b/>
                    <w:sz w:val="18"/>
                    <w:szCs w:val="18"/>
                  </w:rPr>
                  <w:t>DESCRIPCIÓN</w:t>
                </w:r>
              </w:p>
            </w:tc>
            <w:tc>
              <w:tcPr>
                <w:tcW w:w="2638" w:type="dxa"/>
                <w:gridSpan w:val="2"/>
                <w:tcMar>
                  <w:left w:w="70" w:type="dxa"/>
                  <w:right w:w="70" w:type="dxa"/>
                </w:tcMar>
                <w:vAlign w:val="center"/>
              </w:tcPr>
              <w:p w14:paraId="459F8DE4" w14:textId="736946C5" w:rsidR="00C862B5" w:rsidRPr="00253542" w:rsidRDefault="00C862B5" w:rsidP="0E4E29E4">
                <w:pPr>
                  <w:spacing w:after="0"/>
                  <w:ind w:left="-20" w:right="-20"/>
                  <w:jc w:val="center"/>
                  <w:rPr>
                    <w:sz w:val="18"/>
                    <w:szCs w:val="18"/>
                  </w:rPr>
                </w:pPr>
                <w:r w:rsidRPr="00253542">
                  <w:rPr>
                    <w:rFonts w:ascii="Times New Roman" w:eastAsia="Times New Roman" w:hAnsi="Times New Roman"/>
                    <w:b/>
                    <w:sz w:val="18"/>
                    <w:szCs w:val="18"/>
                  </w:rPr>
                  <w:t>SALDOS A CORTES DE VIGENCIA</w:t>
                </w:r>
              </w:p>
            </w:tc>
            <w:tc>
              <w:tcPr>
                <w:tcW w:w="1385" w:type="dxa"/>
                <w:tcMar>
                  <w:left w:w="70" w:type="dxa"/>
                  <w:right w:w="70" w:type="dxa"/>
                </w:tcMar>
                <w:vAlign w:val="center"/>
              </w:tcPr>
              <w:p w14:paraId="66560276" w14:textId="4C91CCE3" w:rsidR="00C862B5" w:rsidRPr="00253542" w:rsidRDefault="00C862B5" w:rsidP="0E4E29E4">
                <w:pPr>
                  <w:spacing w:after="0"/>
                  <w:ind w:left="-20" w:right="-20"/>
                  <w:jc w:val="center"/>
                  <w:rPr>
                    <w:sz w:val="18"/>
                    <w:szCs w:val="18"/>
                  </w:rPr>
                </w:pPr>
                <w:r w:rsidRPr="00253542">
                  <w:rPr>
                    <w:rFonts w:ascii="Times New Roman" w:eastAsia="Times New Roman" w:hAnsi="Times New Roman"/>
                    <w:b/>
                    <w:sz w:val="18"/>
                    <w:szCs w:val="18"/>
                  </w:rPr>
                  <w:t>VARIACIÓN</w:t>
                </w:r>
              </w:p>
            </w:tc>
          </w:tr>
          <w:tr w:rsidR="00C862B5" w:rsidRPr="00253542" w14:paraId="6E441FFF" w14:textId="77777777" w:rsidTr="00D63F3A">
            <w:trPr>
              <w:trHeight w:val="570"/>
            </w:trPr>
            <w:tc>
              <w:tcPr>
                <w:tcW w:w="965" w:type="dxa"/>
                <w:tcMar>
                  <w:left w:w="70" w:type="dxa"/>
                  <w:right w:w="70" w:type="dxa"/>
                </w:tcMar>
                <w:vAlign w:val="center"/>
              </w:tcPr>
              <w:p w14:paraId="55BE56D8" w14:textId="13F52AB1" w:rsidR="00C862B5" w:rsidRPr="00253542" w:rsidRDefault="00C862B5" w:rsidP="0E4E29E4">
                <w:pPr>
                  <w:spacing w:after="0"/>
                  <w:ind w:left="-20" w:right="-20"/>
                  <w:jc w:val="center"/>
                  <w:rPr>
                    <w:sz w:val="18"/>
                    <w:szCs w:val="18"/>
                  </w:rPr>
                </w:pPr>
                <w:r w:rsidRPr="00253542">
                  <w:rPr>
                    <w:rFonts w:ascii="Times New Roman" w:eastAsia="Times New Roman" w:hAnsi="Times New Roman"/>
                    <w:b/>
                    <w:sz w:val="18"/>
                    <w:szCs w:val="18"/>
                  </w:rPr>
                  <w:t>CÓDIGO CONTABLE</w:t>
                </w:r>
              </w:p>
            </w:tc>
            <w:tc>
              <w:tcPr>
                <w:tcW w:w="591" w:type="dxa"/>
                <w:tcMar>
                  <w:left w:w="70" w:type="dxa"/>
                  <w:right w:w="70" w:type="dxa"/>
                </w:tcMar>
                <w:vAlign w:val="center"/>
              </w:tcPr>
              <w:p w14:paraId="079F08BE" w14:textId="262EF47C" w:rsidR="00C862B5" w:rsidRPr="00253542" w:rsidRDefault="00C862B5" w:rsidP="0E4E29E4">
                <w:pPr>
                  <w:spacing w:after="0"/>
                  <w:ind w:left="-20" w:right="-20"/>
                  <w:jc w:val="center"/>
                  <w:rPr>
                    <w:sz w:val="18"/>
                    <w:szCs w:val="18"/>
                  </w:rPr>
                </w:pPr>
                <w:r w:rsidRPr="00253542">
                  <w:rPr>
                    <w:rFonts w:ascii="Times New Roman" w:eastAsia="Times New Roman" w:hAnsi="Times New Roman"/>
                    <w:b/>
                    <w:sz w:val="18"/>
                    <w:szCs w:val="18"/>
                  </w:rPr>
                  <w:t>NAT</w:t>
                </w:r>
              </w:p>
            </w:tc>
            <w:tc>
              <w:tcPr>
                <w:tcW w:w="3390" w:type="dxa"/>
                <w:tcMar>
                  <w:left w:w="70" w:type="dxa"/>
                  <w:right w:w="70" w:type="dxa"/>
                </w:tcMar>
                <w:vAlign w:val="center"/>
              </w:tcPr>
              <w:p w14:paraId="5101F54D" w14:textId="0BAE7EC5" w:rsidR="00C862B5" w:rsidRPr="00253542" w:rsidRDefault="00C862B5" w:rsidP="0E4E29E4">
                <w:pPr>
                  <w:spacing w:after="0"/>
                  <w:ind w:left="-20" w:right="-20"/>
                  <w:jc w:val="center"/>
                  <w:rPr>
                    <w:sz w:val="18"/>
                    <w:szCs w:val="18"/>
                  </w:rPr>
                </w:pPr>
                <w:r w:rsidRPr="00253542">
                  <w:rPr>
                    <w:rFonts w:ascii="Times New Roman" w:eastAsia="Times New Roman" w:hAnsi="Times New Roman"/>
                    <w:b/>
                    <w:sz w:val="18"/>
                    <w:szCs w:val="18"/>
                  </w:rPr>
                  <w:t>CONCEPTO</w:t>
                </w:r>
              </w:p>
            </w:tc>
            <w:tc>
              <w:tcPr>
                <w:tcW w:w="1225" w:type="dxa"/>
                <w:tcMar>
                  <w:left w:w="70" w:type="dxa"/>
                  <w:right w:w="70" w:type="dxa"/>
                </w:tcMar>
                <w:vAlign w:val="center"/>
              </w:tcPr>
              <w:p w14:paraId="1D7A9D81" w14:textId="22754CAB" w:rsidR="00C862B5" w:rsidRPr="00253542" w:rsidRDefault="00C862B5" w:rsidP="0E4E29E4">
                <w:pPr>
                  <w:spacing w:after="0"/>
                  <w:ind w:left="-20" w:right="-20"/>
                  <w:jc w:val="center"/>
                  <w:rPr>
                    <w:sz w:val="18"/>
                    <w:szCs w:val="18"/>
                  </w:rPr>
                </w:pPr>
                <w:r w:rsidRPr="00253542">
                  <w:rPr>
                    <w:rFonts w:ascii="Times New Roman" w:eastAsia="Times New Roman" w:hAnsi="Times New Roman"/>
                    <w:b/>
                    <w:sz w:val="18"/>
                    <w:szCs w:val="18"/>
                  </w:rPr>
                  <w:t xml:space="preserve">2023 </w:t>
                </w:r>
              </w:p>
            </w:tc>
            <w:tc>
              <w:tcPr>
                <w:tcW w:w="1413" w:type="dxa"/>
                <w:tcMar>
                  <w:left w:w="70" w:type="dxa"/>
                  <w:right w:w="70" w:type="dxa"/>
                </w:tcMar>
                <w:vAlign w:val="center"/>
              </w:tcPr>
              <w:p w14:paraId="7B9200CE" w14:textId="5AA60D91" w:rsidR="00C862B5" w:rsidRPr="00253542" w:rsidRDefault="00C862B5" w:rsidP="0E4E29E4">
                <w:pPr>
                  <w:spacing w:after="0"/>
                  <w:ind w:left="-20" w:right="-20"/>
                  <w:jc w:val="center"/>
                  <w:rPr>
                    <w:sz w:val="18"/>
                    <w:szCs w:val="18"/>
                  </w:rPr>
                </w:pPr>
                <w:r w:rsidRPr="00253542">
                  <w:rPr>
                    <w:rFonts w:ascii="Times New Roman" w:eastAsia="Times New Roman" w:hAnsi="Times New Roman"/>
                    <w:b/>
                    <w:sz w:val="18"/>
                    <w:szCs w:val="18"/>
                  </w:rPr>
                  <w:t xml:space="preserve">2022 </w:t>
                </w:r>
              </w:p>
            </w:tc>
            <w:tc>
              <w:tcPr>
                <w:tcW w:w="1385" w:type="dxa"/>
                <w:tcMar>
                  <w:left w:w="70" w:type="dxa"/>
                  <w:right w:w="70" w:type="dxa"/>
                </w:tcMar>
                <w:vAlign w:val="center"/>
              </w:tcPr>
              <w:p w14:paraId="33FA5004" w14:textId="5C70B0EF" w:rsidR="00C862B5" w:rsidRPr="00253542" w:rsidRDefault="00C862B5" w:rsidP="0E4E29E4">
                <w:pPr>
                  <w:spacing w:after="0"/>
                  <w:ind w:left="-20" w:right="-20"/>
                  <w:jc w:val="center"/>
                  <w:rPr>
                    <w:sz w:val="18"/>
                    <w:szCs w:val="18"/>
                  </w:rPr>
                </w:pPr>
                <w:r w:rsidRPr="00253542">
                  <w:rPr>
                    <w:rFonts w:ascii="Times New Roman" w:eastAsia="Times New Roman" w:hAnsi="Times New Roman"/>
                    <w:b/>
                    <w:sz w:val="18"/>
                    <w:szCs w:val="18"/>
                  </w:rPr>
                  <w:t>VALOR VARIACIÓN</w:t>
                </w:r>
              </w:p>
            </w:tc>
          </w:tr>
          <w:tr w:rsidR="00C862B5" w:rsidRPr="00253542" w14:paraId="57AF2C6E" w14:textId="77777777" w:rsidTr="00D63F3A">
            <w:trPr>
              <w:trHeight w:val="285"/>
            </w:trPr>
            <w:tc>
              <w:tcPr>
                <w:tcW w:w="965" w:type="dxa"/>
                <w:tcMar>
                  <w:left w:w="70" w:type="dxa"/>
                  <w:right w:w="70" w:type="dxa"/>
                </w:tcMar>
                <w:vAlign w:val="center"/>
              </w:tcPr>
              <w:p w14:paraId="0EC08444" w14:textId="42C55ED0" w:rsidR="00C862B5" w:rsidRPr="00253542" w:rsidRDefault="00C862B5" w:rsidP="0E4E29E4">
                <w:pPr>
                  <w:spacing w:after="0"/>
                  <w:ind w:left="-20" w:right="-20"/>
                  <w:rPr>
                    <w:sz w:val="18"/>
                    <w:szCs w:val="18"/>
                  </w:rPr>
                </w:pPr>
                <w:r w:rsidRPr="00253542">
                  <w:rPr>
                    <w:rFonts w:ascii="Times New Roman" w:eastAsia="Times New Roman" w:hAnsi="Times New Roman"/>
                    <w:b/>
                    <w:sz w:val="18"/>
                    <w:szCs w:val="18"/>
                  </w:rPr>
                  <w:t>5.7</w:t>
                </w:r>
              </w:p>
            </w:tc>
            <w:tc>
              <w:tcPr>
                <w:tcW w:w="591" w:type="dxa"/>
                <w:tcMar>
                  <w:left w:w="70" w:type="dxa"/>
                  <w:right w:w="70" w:type="dxa"/>
                </w:tcMar>
                <w:vAlign w:val="center"/>
              </w:tcPr>
              <w:p w14:paraId="73586570" w14:textId="60265DAC" w:rsidR="00C862B5" w:rsidRPr="00253542" w:rsidRDefault="00C862B5" w:rsidP="0E4E29E4">
                <w:pPr>
                  <w:spacing w:after="0"/>
                  <w:ind w:left="-20" w:right="-20"/>
                  <w:jc w:val="center"/>
                  <w:rPr>
                    <w:sz w:val="18"/>
                    <w:szCs w:val="18"/>
                  </w:rPr>
                </w:pPr>
                <w:r w:rsidRPr="00253542">
                  <w:rPr>
                    <w:rFonts w:ascii="Times New Roman" w:eastAsia="Times New Roman" w:hAnsi="Times New Roman"/>
                    <w:b/>
                    <w:sz w:val="18"/>
                    <w:szCs w:val="18"/>
                  </w:rPr>
                  <w:t>Db</w:t>
                </w:r>
              </w:p>
            </w:tc>
            <w:tc>
              <w:tcPr>
                <w:tcW w:w="3390" w:type="dxa"/>
                <w:tcMar>
                  <w:left w:w="70" w:type="dxa"/>
                  <w:right w:w="70" w:type="dxa"/>
                </w:tcMar>
                <w:vAlign w:val="center"/>
              </w:tcPr>
              <w:p w14:paraId="0CB31FD5" w14:textId="6F6AD063" w:rsidR="00C862B5" w:rsidRPr="00253542" w:rsidRDefault="00C862B5" w:rsidP="00253542">
                <w:pPr>
                  <w:spacing w:after="0"/>
                  <w:ind w:left="-20" w:right="-20"/>
                  <w:rPr>
                    <w:sz w:val="18"/>
                    <w:szCs w:val="18"/>
                  </w:rPr>
                </w:pPr>
                <w:r w:rsidRPr="00253542">
                  <w:rPr>
                    <w:rFonts w:ascii="Times New Roman" w:eastAsia="Times New Roman" w:hAnsi="Times New Roman"/>
                    <w:b/>
                    <w:sz w:val="18"/>
                    <w:szCs w:val="18"/>
                  </w:rPr>
                  <w:t>OPERACIONES INTERINSTITUCIONALES</w:t>
                </w:r>
              </w:p>
            </w:tc>
            <w:tc>
              <w:tcPr>
                <w:tcW w:w="1225" w:type="dxa"/>
                <w:tcMar>
                  <w:left w:w="70" w:type="dxa"/>
                  <w:right w:w="70" w:type="dxa"/>
                </w:tcMar>
                <w:vAlign w:val="center"/>
              </w:tcPr>
              <w:p w14:paraId="2C4399CA" w14:textId="736C936A" w:rsidR="00C862B5" w:rsidRPr="00253542" w:rsidRDefault="00C862B5" w:rsidP="0E4E29E4">
                <w:pPr>
                  <w:spacing w:after="0"/>
                  <w:ind w:left="-20" w:right="-20"/>
                  <w:jc w:val="right"/>
                  <w:rPr>
                    <w:sz w:val="18"/>
                    <w:szCs w:val="18"/>
                  </w:rPr>
                </w:pPr>
                <w:r w:rsidRPr="00253542">
                  <w:rPr>
                    <w:rFonts w:ascii="Times New Roman" w:eastAsia="Times New Roman" w:hAnsi="Times New Roman"/>
                    <w:b/>
                    <w:sz w:val="18"/>
                    <w:szCs w:val="18"/>
                  </w:rPr>
                  <w:t>3.109.276.408</w:t>
                </w:r>
              </w:p>
            </w:tc>
            <w:tc>
              <w:tcPr>
                <w:tcW w:w="1413" w:type="dxa"/>
                <w:tcMar>
                  <w:left w:w="70" w:type="dxa"/>
                  <w:right w:w="70" w:type="dxa"/>
                </w:tcMar>
                <w:vAlign w:val="center"/>
              </w:tcPr>
              <w:p w14:paraId="4849A8FD" w14:textId="273F961C" w:rsidR="00C862B5" w:rsidRPr="00253542" w:rsidRDefault="00C862B5" w:rsidP="0E4E29E4">
                <w:pPr>
                  <w:spacing w:after="0"/>
                  <w:ind w:left="-20" w:right="-20"/>
                  <w:jc w:val="right"/>
                  <w:rPr>
                    <w:sz w:val="18"/>
                    <w:szCs w:val="18"/>
                  </w:rPr>
                </w:pPr>
                <w:r w:rsidRPr="00253542">
                  <w:rPr>
                    <w:rFonts w:ascii="Times New Roman" w:eastAsia="Times New Roman" w:hAnsi="Times New Roman"/>
                    <w:b/>
                    <w:sz w:val="18"/>
                    <w:szCs w:val="18"/>
                  </w:rPr>
                  <w:t>377.176.610.716</w:t>
                </w:r>
              </w:p>
            </w:tc>
            <w:tc>
              <w:tcPr>
                <w:tcW w:w="1385" w:type="dxa"/>
                <w:tcMar>
                  <w:left w:w="70" w:type="dxa"/>
                  <w:right w:w="70" w:type="dxa"/>
                </w:tcMar>
                <w:vAlign w:val="center"/>
              </w:tcPr>
              <w:p w14:paraId="2CCAB3FE" w14:textId="58685067" w:rsidR="00C862B5" w:rsidRPr="00253542" w:rsidRDefault="00C862B5" w:rsidP="0E4E29E4">
                <w:pPr>
                  <w:spacing w:after="0"/>
                  <w:ind w:left="-20" w:right="-20"/>
                  <w:jc w:val="right"/>
                  <w:rPr>
                    <w:sz w:val="18"/>
                    <w:szCs w:val="18"/>
                  </w:rPr>
                </w:pPr>
                <w:r w:rsidRPr="00253542">
                  <w:rPr>
                    <w:rFonts w:ascii="Times New Roman" w:eastAsia="Times New Roman" w:hAnsi="Times New Roman"/>
                    <w:b/>
                    <w:sz w:val="18"/>
                    <w:szCs w:val="18"/>
                  </w:rPr>
                  <w:t>-374.067.334.308</w:t>
                </w:r>
              </w:p>
            </w:tc>
          </w:tr>
          <w:tr w:rsidR="00C862B5" w:rsidRPr="00253542" w14:paraId="12425D58" w14:textId="77777777" w:rsidTr="00D63F3A">
            <w:trPr>
              <w:trHeight w:val="285"/>
            </w:trPr>
            <w:tc>
              <w:tcPr>
                <w:tcW w:w="965" w:type="dxa"/>
                <w:tcMar>
                  <w:left w:w="70" w:type="dxa"/>
                  <w:right w:w="70" w:type="dxa"/>
                </w:tcMar>
                <w:vAlign w:val="center"/>
              </w:tcPr>
              <w:p w14:paraId="2EF5F8D8" w14:textId="2F0F4215" w:rsidR="00C862B5" w:rsidRPr="00253542" w:rsidRDefault="00C862B5" w:rsidP="0E4E29E4">
                <w:pPr>
                  <w:spacing w:after="0"/>
                  <w:ind w:left="-20" w:right="-20"/>
                  <w:rPr>
                    <w:sz w:val="18"/>
                    <w:szCs w:val="18"/>
                  </w:rPr>
                </w:pPr>
                <w:r w:rsidRPr="00253542">
                  <w:rPr>
                    <w:rFonts w:ascii="Times New Roman" w:eastAsia="Times New Roman" w:hAnsi="Times New Roman"/>
                    <w:b/>
                    <w:sz w:val="18"/>
                    <w:szCs w:val="18"/>
                  </w:rPr>
                  <w:t>5.7.20</w:t>
                </w:r>
              </w:p>
            </w:tc>
            <w:tc>
              <w:tcPr>
                <w:tcW w:w="591" w:type="dxa"/>
                <w:tcMar>
                  <w:left w:w="70" w:type="dxa"/>
                  <w:right w:w="70" w:type="dxa"/>
                </w:tcMar>
                <w:vAlign w:val="center"/>
              </w:tcPr>
              <w:p w14:paraId="6A44C3ED" w14:textId="042FD009" w:rsidR="00C862B5" w:rsidRPr="00253542" w:rsidRDefault="00C862B5" w:rsidP="0E4E29E4">
                <w:pPr>
                  <w:spacing w:after="0"/>
                  <w:ind w:left="-20" w:right="-20"/>
                  <w:jc w:val="center"/>
                  <w:rPr>
                    <w:sz w:val="18"/>
                    <w:szCs w:val="18"/>
                  </w:rPr>
                </w:pPr>
                <w:r w:rsidRPr="00253542">
                  <w:rPr>
                    <w:rFonts w:ascii="Times New Roman" w:eastAsia="Times New Roman" w:hAnsi="Times New Roman"/>
                    <w:b/>
                    <w:sz w:val="18"/>
                    <w:szCs w:val="18"/>
                  </w:rPr>
                  <w:t>Db</w:t>
                </w:r>
              </w:p>
            </w:tc>
            <w:tc>
              <w:tcPr>
                <w:tcW w:w="3390" w:type="dxa"/>
                <w:tcMar>
                  <w:left w:w="70" w:type="dxa"/>
                  <w:right w:w="70" w:type="dxa"/>
                </w:tcMar>
                <w:vAlign w:val="center"/>
              </w:tcPr>
              <w:p w14:paraId="4674B46A" w14:textId="3844C502" w:rsidR="00C862B5" w:rsidRPr="00253542" w:rsidRDefault="00C862B5" w:rsidP="0E4E29E4">
                <w:pPr>
                  <w:spacing w:after="0"/>
                  <w:ind w:left="-20" w:right="-20"/>
                  <w:rPr>
                    <w:sz w:val="18"/>
                    <w:szCs w:val="18"/>
                  </w:rPr>
                </w:pPr>
                <w:r w:rsidRPr="00253542">
                  <w:rPr>
                    <w:rFonts w:ascii="Times New Roman" w:eastAsia="Times New Roman" w:hAnsi="Times New Roman"/>
                    <w:b/>
                    <w:sz w:val="18"/>
                    <w:szCs w:val="18"/>
                  </w:rPr>
                  <w:t>OPERACIONES DE ENLACE</w:t>
                </w:r>
              </w:p>
            </w:tc>
            <w:tc>
              <w:tcPr>
                <w:tcW w:w="1225" w:type="dxa"/>
                <w:tcMar>
                  <w:left w:w="70" w:type="dxa"/>
                  <w:right w:w="70" w:type="dxa"/>
                </w:tcMar>
                <w:vAlign w:val="center"/>
              </w:tcPr>
              <w:p w14:paraId="31771D08" w14:textId="6BA5666A" w:rsidR="00C862B5" w:rsidRPr="00253542" w:rsidRDefault="00C862B5" w:rsidP="0E4E29E4">
                <w:pPr>
                  <w:spacing w:after="0"/>
                  <w:ind w:left="-20" w:right="-20"/>
                  <w:jc w:val="right"/>
                  <w:rPr>
                    <w:sz w:val="18"/>
                    <w:szCs w:val="18"/>
                  </w:rPr>
                </w:pPr>
                <w:r w:rsidRPr="00253542">
                  <w:rPr>
                    <w:rFonts w:ascii="Times New Roman" w:eastAsia="Times New Roman" w:hAnsi="Times New Roman"/>
                    <w:b/>
                    <w:sz w:val="18"/>
                    <w:szCs w:val="18"/>
                  </w:rPr>
                  <w:t>3.109.276.408</w:t>
                </w:r>
              </w:p>
            </w:tc>
            <w:tc>
              <w:tcPr>
                <w:tcW w:w="1413" w:type="dxa"/>
                <w:tcMar>
                  <w:left w:w="70" w:type="dxa"/>
                  <w:right w:w="70" w:type="dxa"/>
                </w:tcMar>
                <w:vAlign w:val="center"/>
              </w:tcPr>
              <w:p w14:paraId="097E1447" w14:textId="4290FEAE" w:rsidR="00C862B5" w:rsidRPr="00253542" w:rsidRDefault="00C862B5" w:rsidP="0E4E29E4">
                <w:pPr>
                  <w:spacing w:after="0"/>
                  <w:ind w:left="-20" w:right="-20"/>
                  <w:jc w:val="right"/>
                  <w:rPr>
                    <w:sz w:val="18"/>
                    <w:szCs w:val="18"/>
                  </w:rPr>
                </w:pPr>
                <w:r w:rsidRPr="00253542">
                  <w:rPr>
                    <w:rFonts w:ascii="Times New Roman" w:eastAsia="Times New Roman" w:hAnsi="Times New Roman"/>
                    <w:b/>
                    <w:sz w:val="18"/>
                    <w:szCs w:val="18"/>
                  </w:rPr>
                  <w:t>377.176.610.716</w:t>
                </w:r>
              </w:p>
            </w:tc>
            <w:tc>
              <w:tcPr>
                <w:tcW w:w="1385" w:type="dxa"/>
                <w:tcMar>
                  <w:left w:w="70" w:type="dxa"/>
                  <w:right w:w="70" w:type="dxa"/>
                </w:tcMar>
                <w:vAlign w:val="center"/>
              </w:tcPr>
              <w:p w14:paraId="1DB5E269" w14:textId="62558733" w:rsidR="00C862B5" w:rsidRPr="00253542" w:rsidRDefault="00C862B5" w:rsidP="0E4E29E4">
                <w:pPr>
                  <w:spacing w:after="0"/>
                  <w:ind w:left="-20" w:right="-20"/>
                  <w:jc w:val="right"/>
                  <w:rPr>
                    <w:sz w:val="18"/>
                    <w:szCs w:val="18"/>
                  </w:rPr>
                </w:pPr>
                <w:r w:rsidRPr="00253542">
                  <w:rPr>
                    <w:rFonts w:ascii="Times New Roman" w:eastAsia="Times New Roman" w:hAnsi="Times New Roman"/>
                    <w:b/>
                    <w:sz w:val="18"/>
                    <w:szCs w:val="18"/>
                  </w:rPr>
                  <w:t>-374.067.334.308</w:t>
                </w:r>
              </w:p>
            </w:tc>
          </w:tr>
          <w:tr w:rsidR="00C862B5" w:rsidRPr="00253542" w14:paraId="4AAA461E" w14:textId="77777777" w:rsidTr="00D63F3A">
            <w:trPr>
              <w:trHeight w:val="300"/>
            </w:trPr>
            <w:tc>
              <w:tcPr>
                <w:tcW w:w="965" w:type="dxa"/>
                <w:tcMar>
                  <w:left w:w="70" w:type="dxa"/>
                  <w:right w:w="70" w:type="dxa"/>
                </w:tcMar>
                <w:vAlign w:val="center"/>
              </w:tcPr>
              <w:p w14:paraId="3CA34C5F" w14:textId="5A38740C" w:rsidR="00C862B5" w:rsidRPr="00253542" w:rsidRDefault="00C862B5" w:rsidP="0E4E29E4">
                <w:pPr>
                  <w:spacing w:after="0"/>
                  <w:ind w:left="-20" w:right="-20"/>
                  <w:rPr>
                    <w:sz w:val="18"/>
                    <w:szCs w:val="18"/>
                  </w:rPr>
                </w:pPr>
                <w:r w:rsidRPr="00253542">
                  <w:rPr>
                    <w:rFonts w:ascii="Times New Roman" w:eastAsia="Times New Roman" w:hAnsi="Times New Roman"/>
                    <w:sz w:val="18"/>
                    <w:szCs w:val="18"/>
                  </w:rPr>
                  <w:t>5.7.20.80</w:t>
                </w:r>
              </w:p>
            </w:tc>
            <w:tc>
              <w:tcPr>
                <w:tcW w:w="591" w:type="dxa"/>
                <w:tcMar>
                  <w:left w:w="70" w:type="dxa"/>
                  <w:right w:w="70" w:type="dxa"/>
                </w:tcMar>
                <w:vAlign w:val="center"/>
              </w:tcPr>
              <w:p w14:paraId="31E341DD" w14:textId="7C9D5183" w:rsidR="00C862B5" w:rsidRPr="00253542" w:rsidRDefault="00C862B5" w:rsidP="0E4E29E4">
                <w:pPr>
                  <w:spacing w:after="0"/>
                  <w:ind w:left="-20" w:right="-20"/>
                  <w:jc w:val="center"/>
                  <w:rPr>
                    <w:sz w:val="18"/>
                    <w:szCs w:val="18"/>
                  </w:rPr>
                </w:pPr>
                <w:r w:rsidRPr="00253542">
                  <w:rPr>
                    <w:rFonts w:ascii="Times New Roman" w:eastAsia="Times New Roman" w:hAnsi="Times New Roman"/>
                    <w:sz w:val="18"/>
                    <w:szCs w:val="18"/>
                  </w:rPr>
                  <w:t>Db</w:t>
                </w:r>
              </w:p>
            </w:tc>
            <w:tc>
              <w:tcPr>
                <w:tcW w:w="3390" w:type="dxa"/>
                <w:tcMar>
                  <w:left w:w="70" w:type="dxa"/>
                  <w:right w:w="70" w:type="dxa"/>
                </w:tcMar>
                <w:vAlign w:val="center"/>
              </w:tcPr>
              <w:p w14:paraId="75C19BE2" w14:textId="3F04A69E" w:rsidR="00C862B5" w:rsidRPr="00253542" w:rsidRDefault="00C862B5" w:rsidP="0E4E29E4">
                <w:pPr>
                  <w:spacing w:after="0"/>
                  <w:ind w:left="-20" w:right="-20"/>
                  <w:rPr>
                    <w:sz w:val="18"/>
                    <w:szCs w:val="18"/>
                  </w:rPr>
                </w:pPr>
                <w:r w:rsidRPr="00253542">
                  <w:rPr>
                    <w:rFonts w:ascii="Times New Roman" w:eastAsia="Times New Roman" w:hAnsi="Times New Roman"/>
                    <w:sz w:val="18"/>
                    <w:szCs w:val="18"/>
                  </w:rPr>
                  <w:t xml:space="preserve">Recaudos </w:t>
                </w:r>
              </w:p>
            </w:tc>
            <w:tc>
              <w:tcPr>
                <w:tcW w:w="1225" w:type="dxa"/>
                <w:tcMar>
                  <w:left w:w="70" w:type="dxa"/>
                  <w:right w:w="70" w:type="dxa"/>
                </w:tcMar>
                <w:vAlign w:val="center"/>
              </w:tcPr>
              <w:p w14:paraId="0DAC49ED" w14:textId="1A639AFD" w:rsidR="00C862B5" w:rsidRPr="00253542" w:rsidRDefault="00C862B5" w:rsidP="0E4E29E4">
                <w:pPr>
                  <w:spacing w:after="0"/>
                  <w:ind w:left="-20" w:right="-20"/>
                  <w:jc w:val="right"/>
                  <w:rPr>
                    <w:sz w:val="18"/>
                    <w:szCs w:val="18"/>
                  </w:rPr>
                </w:pPr>
                <w:r w:rsidRPr="00253542">
                  <w:rPr>
                    <w:rFonts w:ascii="Times New Roman" w:eastAsia="Times New Roman" w:hAnsi="Times New Roman"/>
                    <w:sz w:val="18"/>
                    <w:szCs w:val="18"/>
                  </w:rPr>
                  <w:t>3.109.276.408</w:t>
                </w:r>
              </w:p>
            </w:tc>
            <w:tc>
              <w:tcPr>
                <w:tcW w:w="1413" w:type="dxa"/>
                <w:tcMar>
                  <w:left w:w="70" w:type="dxa"/>
                  <w:right w:w="70" w:type="dxa"/>
                </w:tcMar>
                <w:vAlign w:val="center"/>
              </w:tcPr>
              <w:p w14:paraId="7494ED71" w14:textId="75445BCE" w:rsidR="00C862B5" w:rsidRPr="00253542" w:rsidRDefault="00C862B5" w:rsidP="0E4E29E4">
                <w:pPr>
                  <w:spacing w:after="0"/>
                  <w:ind w:left="-20" w:right="-20"/>
                  <w:jc w:val="right"/>
                  <w:rPr>
                    <w:sz w:val="18"/>
                    <w:szCs w:val="18"/>
                  </w:rPr>
                </w:pPr>
                <w:r w:rsidRPr="00253542">
                  <w:rPr>
                    <w:rFonts w:ascii="Times New Roman" w:eastAsia="Times New Roman" w:hAnsi="Times New Roman"/>
                    <w:sz w:val="18"/>
                    <w:szCs w:val="18"/>
                  </w:rPr>
                  <w:t>377.176.610.716</w:t>
                </w:r>
              </w:p>
            </w:tc>
            <w:tc>
              <w:tcPr>
                <w:tcW w:w="1385" w:type="dxa"/>
                <w:tcMar>
                  <w:left w:w="70" w:type="dxa"/>
                  <w:right w:w="70" w:type="dxa"/>
                </w:tcMar>
                <w:vAlign w:val="center"/>
              </w:tcPr>
              <w:p w14:paraId="7B0E5919" w14:textId="3089011D" w:rsidR="00C862B5" w:rsidRPr="00253542" w:rsidRDefault="00C862B5" w:rsidP="0E4E29E4">
                <w:pPr>
                  <w:spacing w:after="0"/>
                  <w:ind w:left="-20" w:right="-20"/>
                  <w:jc w:val="right"/>
                  <w:rPr>
                    <w:sz w:val="18"/>
                    <w:szCs w:val="18"/>
                  </w:rPr>
                </w:pPr>
                <w:r w:rsidRPr="00253542">
                  <w:rPr>
                    <w:rFonts w:ascii="Times New Roman" w:eastAsia="Times New Roman" w:hAnsi="Times New Roman"/>
                    <w:sz w:val="18"/>
                    <w:szCs w:val="18"/>
                  </w:rPr>
                  <w:t>-374.067.334.308</w:t>
                </w:r>
              </w:p>
            </w:tc>
          </w:tr>
        </w:tbl>
        <w:p w14:paraId="32DA0A36" w14:textId="647B1ABD" w:rsidR="00EA26AE" w:rsidRPr="00931DCE" w:rsidRDefault="64C58135" w:rsidP="0E4E29E4">
          <w:pPr>
            <w:spacing w:line="254" w:lineRule="auto"/>
            <w:ind w:left="-20" w:right="-20"/>
            <w:jc w:val="both"/>
          </w:pPr>
          <w:r w:rsidRPr="0E4E29E4">
            <w:rPr>
              <w:rFonts w:ascii="Times New Roman" w:eastAsia="Times New Roman" w:hAnsi="Times New Roman"/>
              <w:sz w:val="14"/>
              <w:szCs w:val="14"/>
            </w:rPr>
            <w:t xml:space="preserve"> </w:t>
          </w:r>
          <w:r w:rsidR="00AD2026" w:rsidRPr="0E4E29E4">
            <w:rPr>
              <w:rFonts w:ascii="Times New Roman" w:eastAsia="Times New Roman" w:hAnsi="Times New Roman"/>
              <w:sz w:val="14"/>
              <w:szCs w:val="14"/>
            </w:rPr>
            <w:t>Cifras expresadas en pesos</w:t>
          </w:r>
        </w:p>
        <w:p w14:paraId="23AD5345" w14:textId="5BB3FC9F" w:rsidR="00B076CF" w:rsidRPr="00931DCE" w:rsidRDefault="00D26EE2" w:rsidP="0E4E29E4">
          <w:pPr>
            <w:spacing w:line="254" w:lineRule="auto"/>
            <w:ind w:left="-20" w:right="-20"/>
            <w:jc w:val="both"/>
          </w:pPr>
          <w:r w:rsidRPr="0E4E29E4">
            <w:rPr>
              <w:rFonts w:ascii="Times New Roman" w:eastAsia="Times New Roman" w:hAnsi="Times New Roman"/>
              <w:sz w:val="24"/>
              <w:szCs w:val="24"/>
            </w:rPr>
            <w:t>Este gasto</w:t>
          </w:r>
          <w:r w:rsidR="00EA26AE" w:rsidRPr="0E4E29E4">
            <w:rPr>
              <w:rFonts w:ascii="Times New Roman" w:eastAsia="Times New Roman" w:hAnsi="Times New Roman"/>
              <w:sz w:val="24"/>
              <w:szCs w:val="24"/>
            </w:rPr>
            <w:t xml:space="preserve"> corresponde a una cuenta de enlace entre la Tesorería Centralizada y la Agencia Nacional de Infraestructura. El saldo reflejado al cierre de la vigencia </w:t>
          </w:r>
          <w:r w:rsidR="00EF6E05" w:rsidRPr="0E4E29E4">
            <w:rPr>
              <w:rFonts w:ascii="Times New Roman" w:eastAsia="Times New Roman" w:hAnsi="Times New Roman"/>
              <w:sz w:val="24"/>
              <w:szCs w:val="24"/>
            </w:rPr>
            <w:t>202</w:t>
          </w:r>
          <w:r w:rsidR="00013E45" w:rsidRPr="0E4E29E4">
            <w:rPr>
              <w:rFonts w:ascii="Times New Roman" w:eastAsia="Times New Roman" w:hAnsi="Times New Roman"/>
              <w:sz w:val="24"/>
              <w:szCs w:val="24"/>
            </w:rPr>
            <w:t>3</w:t>
          </w:r>
          <w:r w:rsidR="00EA26AE" w:rsidRPr="0E4E29E4">
            <w:rPr>
              <w:rFonts w:ascii="Times New Roman" w:eastAsia="Times New Roman" w:hAnsi="Times New Roman"/>
              <w:sz w:val="24"/>
              <w:szCs w:val="24"/>
            </w:rPr>
            <w:t xml:space="preserve"> se presenta principalmente por conceptos como devolución de recursos por liquidaciones de proyectos de concesión y rendimientos financieros que generan las subcuentas de los patrimonios autónomos constituidos por los concesionarios privados del modo de transporte carretero, entre otros. </w:t>
          </w:r>
          <w:r w:rsidR="00072251" w:rsidRPr="0E4E29E4">
            <w:rPr>
              <w:rFonts w:ascii="Times New Roman" w:eastAsia="Times New Roman" w:hAnsi="Times New Roman"/>
              <w:sz w:val="24"/>
              <w:szCs w:val="24"/>
            </w:rPr>
            <w:t xml:space="preserve">Su </w:t>
          </w:r>
          <w:r w:rsidR="00057926" w:rsidRPr="0E4E29E4">
            <w:rPr>
              <w:rFonts w:ascii="Times New Roman" w:eastAsia="Times New Roman" w:hAnsi="Times New Roman"/>
              <w:sz w:val="24"/>
              <w:szCs w:val="24"/>
            </w:rPr>
            <w:t>disminución presentada</w:t>
          </w:r>
          <w:r w:rsidR="00EA26AE" w:rsidRPr="0E4E29E4">
            <w:rPr>
              <w:rFonts w:ascii="Times New Roman" w:eastAsia="Times New Roman" w:hAnsi="Times New Roman"/>
              <w:sz w:val="24"/>
              <w:szCs w:val="24"/>
            </w:rPr>
            <w:t xml:space="preserve"> frente al año anterior</w:t>
          </w:r>
          <w:r w:rsidR="00C637D5" w:rsidRPr="0E4E29E4">
            <w:rPr>
              <w:rFonts w:ascii="Times New Roman" w:eastAsia="Times New Roman" w:hAnsi="Times New Roman"/>
              <w:sz w:val="24"/>
              <w:szCs w:val="24"/>
            </w:rPr>
            <w:t xml:space="preserve"> </w:t>
          </w:r>
          <w:r w:rsidR="00910EC0" w:rsidRPr="0E4E29E4">
            <w:rPr>
              <w:rFonts w:ascii="Times New Roman" w:eastAsia="Times New Roman" w:hAnsi="Times New Roman"/>
              <w:sz w:val="24"/>
              <w:szCs w:val="24"/>
            </w:rPr>
            <w:t>es por menos</w:t>
          </w:r>
          <w:r w:rsidR="00E04D3F" w:rsidRPr="0E4E29E4">
            <w:rPr>
              <w:rFonts w:ascii="Times New Roman" w:eastAsia="Times New Roman" w:hAnsi="Times New Roman"/>
              <w:sz w:val="24"/>
              <w:szCs w:val="24"/>
            </w:rPr>
            <w:t xml:space="preserve"> registros de devoluciones de </w:t>
          </w:r>
          <w:r w:rsidR="003D40B9" w:rsidRPr="0E4E29E4">
            <w:rPr>
              <w:rFonts w:ascii="Times New Roman" w:eastAsia="Times New Roman" w:hAnsi="Times New Roman"/>
              <w:sz w:val="24"/>
              <w:szCs w:val="24"/>
            </w:rPr>
            <w:t>recurso</w:t>
          </w:r>
          <w:r w:rsidR="00057926" w:rsidRPr="0E4E29E4">
            <w:rPr>
              <w:rFonts w:ascii="Times New Roman" w:eastAsia="Times New Roman" w:hAnsi="Times New Roman"/>
              <w:sz w:val="24"/>
              <w:szCs w:val="24"/>
            </w:rPr>
            <w:t>s.</w:t>
          </w:r>
        </w:p>
        <w:p w14:paraId="7F1BD45C" w14:textId="43EDAEF9" w:rsidR="003A4D8E" w:rsidRPr="00931DCE" w:rsidRDefault="64C58135" w:rsidP="0E4E29E4">
          <w:pPr>
            <w:spacing w:line="254" w:lineRule="auto"/>
            <w:ind w:left="-20" w:right="-20"/>
            <w:jc w:val="both"/>
          </w:pPr>
          <w:r w:rsidRPr="0E4E29E4">
            <w:rPr>
              <w:rFonts w:ascii="Times New Roman" w:eastAsia="Times New Roman" w:hAnsi="Times New Roman"/>
              <w:sz w:val="24"/>
              <w:szCs w:val="24"/>
            </w:rPr>
            <w:t xml:space="preserve"> </w:t>
          </w:r>
        </w:p>
        <w:p w14:paraId="5A698DF7" w14:textId="060D5DDA" w:rsidR="003A4D8E" w:rsidRPr="00931DCE" w:rsidRDefault="64C58135" w:rsidP="0E4E29E4">
          <w:pPr>
            <w:pStyle w:val="Ttulo2"/>
            <w:numPr>
              <w:ilvl w:val="0"/>
              <w:numId w:val="0"/>
            </w:numPr>
            <w:ind w:right="-20"/>
            <w:rPr>
              <w:rFonts w:eastAsia="Times New Roman" w:cs="Times New Roman"/>
              <w:bCs/>
              <w:szCs w:val="24"/>
            </w:rPr>
          </w:pPr>
          <w:bookmarkStart w:id="120" w:name="_Toc159952444"/>
          <w:r w:rsidRPr="0E4E29E4">
            <w:rPr>
              <w:rFonts w:eastAsia="Times New Roman" w:cs="Times New Roman"/>
              <w:bCs/>
              <w:szCs w:val="24"/>
            </w:rPr>
            <w:t>29.</w:t>
          </w:r>
          <w:r w:rsidR="5EE718CB" w:rsidRPr="0E4E29E4">
            <w:rPr>
              <w:rFonts w:eastAsia="Times New Roman" w:cs="Times New Roman"/>
              <w:bCs/>
              <w:szCs w:val="24"/>
            </w:rPr>
            <w:t>5</w:t>
          </w:r>
          <w:r w:rsidRPr="0E4E29E4">
            <w:rPr>
              <w:rFonts w:eastAsia="Times New Roman" w:cs="Times New Roman"/>
              <w:bCs/>
              <w:szCs w:val="24"/>
            </w:rPr>
            <w:t>.</w:t>
          </w:r>
          <w:r w:rsidRPr="0E4E29E4">
            <w:rPr>
              <w:rFonts w:eastAsia="Times New Roman" w:cs="Times New Roman"/>
              <w:b w:val="0"/>
              <w:sz w:val="14"/>
              <w:szCs w:val="14"/>
            </w:rPr>
            <w:t xml:space="preserve">   </w:t>
          </w:r>
          <w:r w:rsidRPr="0E4E29E4">
            <w:rPr>
              <w:rFonts w:eastAsia="Times New Roman" w:cs="Times New Roman"/>
              <w:bCs/>
              <w:szCs w:val="24"/>
            </w:rPr>
            <w:t>Otros gastos</w:t>
          </w:r>
          <w:bookmarkEnd w:id="120"/>
        </w:p>
        <w:p w14:paraId="292CCBE7" w14:textId="1EE74E6A" w:rsidR="003A4D8E" w:rsidRPr="00931DCE" w:rsidRDefault="64C58135" w:rsidP="0E4E29E4">
          <w:pPr>
            <w:spacing w:line="254" w:lineRule="auto"/>
            <w:ind w:left="-20" w:right="-20"/>
            <w:jc w:val="both"/>
          </w:pPr>
          <w:r w:rsidRPr="0E4E29E4">
            <w:rPr>
              <w:rFonts w:ascii="Times New Roman" w:eastAsia="Times New Roman" w:hAnsi="Times New Roman"/>
              <w:sz w:val="24"/>
              <w:szCs w:val="24"/>
            </w:rPr>
            <w:t xml:space="preserve"> </w:t>
          </w:r>
        </w:p>
        <w:tbl>
          <w:tblPr>
            <w:tblW w:w="897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6" w:space="0" w:color="A6A6A6" w:themeColor="background1" w:themeShade="A6"/>
              <w:insideV w:val="single" w:sz="6" w:space="0" w:color="A6A6A6" w:themeColor="background1" w:themeShade="A6"/>
            </w:tblBorders>
            <w:tblLayout w:type="fixed"/>
            <w:tblLook w:val="04A0" w:firstRow="1" w:lastRow="0" w:firstColumn="1" w:lastColumn="0" w:noHBand="0" w:noVBand="1"/>
          </w:tblPr>
          <w:tblGrid>
            <w:gridCol w:w="1124"/>
            <w:gridCol w:w="567"/>
            <w:gridCol w:w="2861"/>
            <w:gridCol w:w="1487"/>
            <w:gridCol w:w="1459"/>
            <w:gridCol w:w="1472"/>
          </w:tblGrid>
          <w:tr w:rsidR="0E4E29E4" w:rsidRPr="006D26E6" w14:paraId="0E60E70E" w14:textId="77777777" w:rsidTr="00053D6D">
            <w:trPr>
              <w:trHeight w:val="300"/>
              <w:tblHeader/>
            </w:trPr>
            <w:tc>
              <w:tcPr>
                <w:tcW w:w="4552" w:type="dxa"/>
                <w:gridSpan w:val="3"/>
                <w:shd w:val="clear" w:color="auto" w:fill="FFFFFF" w:themeFill="background1"/>
                <w:tcMar>
                  <w:left w:w="70" w:type="dxa"/>
                  <w:right w:w="70" w:type="dxa"/>
                </w:tcMar>
                <w:vAlign w:val="center"/>
              </w:tcPr>
              <w:p w14:paraId="6761311B" w14:textId="3CBEBDA2" w:rsidR="0E4E29E4" w:rsidRPr="006D26E6" w:rsidRDefault="0E4E29E4" w:rsidP="0E4E29E4">
                <w:pPr>
                  <w:spacing w:after="0"/>
                  <w:ind w:left="-20" w:right="-20"/>
                  <w:jc w:val="center"/>
                  <w:rPr>
                    <w:sz w:val="18"/>
                    <w:szCs w:val="18"/>
                  </w:rPr>
                </w:pPr>
                <w:r w:rsidRPr="006D26E6">
                  <w:rPr>
                    <w:rFonts w:ascii="Times New Roman" w:eastAsia="Times New Roman" w:hAnsi="Times New Roman"/>
                    <w:b/>
                    <w:bCs/>
                    <w:color w:val="000000" w:themeColor="text1"/>
                    <w:sz w:val="18"/>
                    <w:szCs w:val="18"/>
                  </w:rPr>
                  <w:t>DESCRIPCIÓN</w:t>
                </w:r>
              </w:p>
            </w:tc>
            <w:tc>
              <w:tcPr>
                <w:tcW w:w="2946" w:type="dxa"/>
                <w:gridSpan w:val="2"/>
                <w:shd w:val="clear" w:color="auto" w:fill="FFFFFF" w:themeFill="background1"/>
                <w:tcMar>
                  <w:left w:w="70" w:type="dxa"/>
                  <w:right w:w="70" w:type="dxa"/>
                </w:tcMar>
                <w:vAlign w:val="center"/>
              </w:tcPr>
              <w:p w14:paraId="5C6A22D8" w14:textId="687AF2D3" w:rsidR="0E4E29E4" w:rsidRPr="006D26E6" w:rsidRDefault="0E4E29E4" w:rsidP="0E4E29E4">
                <w:pPr>
                  <w:spacing w:after="0"/>
                  <w:ind w:left="-20" w:right="-20"/>
                  <w:jc w:val="center"/>
                  <w:rPr>
                    <w:sz w:val="18"/>
                    <w:szCs w:val="18"/>
                  </w:rPr>
                </w:pPr>
                <w:r w:rsidRPr="006D26E6">
                  <w:rPr>
                    <w:rFonts w:ascii="Times New Roman" w:eastAsia="Times New Roman" w:hAnsi="Times New Roman"/>
                    <w:b/>
                    <w:bCs/>
                    <w:color w:val="000000" w:themeColor="text1"/>
                    <w:sz w:val="18"/>
                    <w:szCs w:val="18"/>
                  </w:rPr>
                  <w:t>SALDOS A CORTES DE VIGENCIA</w:t>
                </w:r>
              </w:p>
            </w:tc>
            <w:tc>
              <w:tcPr>
                <w:tcW w:w="1472" w:type="dxa"/>
                <w:shd w:val="clear" w:color="auto" w:fill="FFFFFF" w:themeFill="background1"/>
                <w:tcMar>
                  <w:left w:w="70" w:type="dxa"/>
                  <w:right w:w="70" w:type="dxa"/>
                </w:tcMar>
                <w:vAlign w:val="center"/>
              </w:tcPr>
              <w:p w14:paraId="1CD9A164" w14:textId="04F7DAD0" w:rsidR="0E4E29E4" w:rsidRPr="006D26E6" w:rsidRDefault="0E4E29E4" w:rsidP="0E4E29E4">
                <w:pPr>
                  <w:spacing w:after="0"/>
                  <w:ind w:left="-20" w:right="-20"/>
                  <w:jc w:val="center"/>
                  <w:rPr>
                    <w:sz w:val="18"/>
                    <w:szCs w:val="18"/>
                  </w:rPr>
                </w:pPr>
                <w:r w:rsidRPr="006D26E6">
                  <w:rPr>
                    <w:rFonts w:ascii="Times New Roman" w:eastAsia="Times New Roman" w:hAnsi="Times New Roman"/>
                    <w:b/>
                    <w:bCs/>
                    <w:color w:val="000000" w:themeColor="text1"/>
                    <w:sz w:val="18"/>
                    <w:szCs w:val="18"/>
                  </w:rPr>
                  <w:t>VARIACIÓN</w:t>
                </w:r>
              </w:p>
            </w:tc>
          </w:tr>
          <w:tr w:rsidR="0E4E29E4" w:rsidRPr="006D26E6" w14:paraId="33325948" w14:textId="77777777" w:rsidTr="00053D6D">
            <w:trPr>
              <w:trHeight w:val="570"/>
              <w:tblHeader/>
            </w:trPr>
            <w:tc>
              <w:tcPr>
                <w:tcW w:w="1124" w:type="dxa"/>
                <w:shd w:val="clear" w:color="auto" w:fill="FFFFFF" w:themeFill="background1"/>
                <w:tcMar>
                  <w:left w:w="70" w:type="dxa"/>
                  <w:right w:w="70" w:type="dxa"/>
                </w:tcMar>
                <w:vAlign w:val="center"/>
              </w:tcPr>
              <w:p w14:paraId="0A04672A" w14:textId="410CCFF9" w:rsidR="0E4E29E4" w:rsidRPr="006D26E6" w:rsidRDefault="0E4E29E4" w:rsidP="0E4E29E4">
                <w:pPr>
                  <w:spacing w:after="0"/>
                  <w:ind w:left="-20" w:right="-20"/>
                  <w:jc w:val="center"/>
                  <w:rPr>
                    <w:sz w:val="18"/>
                    <w:szCs w:val="18"/>
                  </w:rPr>
                </w:pPr>
                <w:r w:rsidRPr="006D26E6">
                  <w:rPr>
                    <w:rFonts w:ascii="Times New Roman" w:eastAsia="Times New Roman" w:hAnsi="Times New Roman"/>
                    <w:b/>
                    <w:bCs/>
                    <w:color w:val="000000" w:themeColor="text1"/>
                    <w:sz w:val="18"/>
                    <w:szCs w:val="18"/>
                  </w:rPr>
                  <w:t>CÓDIGO CONTABLE</w:t>
                </w:r>
              </w:p>
            </w:tc>
            <w:tc>
              <w:tcPr>
                <w:tcW w:w="567" w:type="dxa"/>
                <w:shd w:val="clear" w:color="auto" w:fill="FFFFFF" w:themeFill="background1"/>
                <w:tcMar>
                  <w:left w:w="70" w:type="dxa"/>
                  <w:right w:w="70" w:type="dxa"/>
                </w:tcMar>
                <w:vAlign w:val="center"/>
              </w:tcPr>
              <w:p w14:paraId="7C2210FE" w14:textId="26B76B45" w:rsidR="0E4E29E4" w:rsidRPr="006D26E6" w:rsidRDefault="0E4E29E4" w:rsidP="0E4E29E4">
                <w:pPr>
                  <w:spacing w:after="0"/>
                  <w:ind w:left="-20" w:right="-20"/>
                  <w:jc w:val="center"/>
                  <w:rPr>
                    <w:sz w:val="18"/>
                    <w:szCs w:val="18"/>
                  </w:rPr>
                </w:pPr>
                <w:r w:rsidRPr="006D26E6">
                  <w:rPr>
                    <w:rFonts w:ascii="Times New Roman" w:eastAsia="Times New Roman" w:hAnsi="Times New Roman"/>
                    <w:b/>
                    <w:bCs/>
                    <w:color w:val="000000" w:themeColor="text1"/>
                    <w:sz w:val="18"/>
                    <w:szCs w:val="18"/>
                  </w:rPr>
                  <w:t>NAT</w:t>
                </w:r>
              </w:p>
            </w:tc>
            <w:tc>
              <w:tcPr>
                <w:tcW w:w="2861" w:type="dxa"/>
                <w:shd w:val="clear" w:color="auto" w:fill="FFFFFF" w:themeFill="background1"/>
                <w:tcMar>
                  <w:left w:w="70" w:type="dxa"/>
                  <w:right w:w="70" w:type="dxa"/>
                </w:tcMar>
                <w:vAlign w:val="center"/>
              </w:tcPr>
              <w:p w14:paraId="422A36BB" w14:textId="1F2D1224" w:rsidR="0E4E29E4" w:rsidRPr="006D26E6" w:rsidRDefault="0E4E29E4" w:rsidP="0E4E29E4">
                <w:pPr>
                  <w:spacing w:after="0"/>
                  <w:ind w:left="-20" w:right="-20"/>
                  <w:jc w:val="center"/>
                  <w:rPr>
                    <w:sz w:val="18"/>
                    <w:szCs w:val="18"/>
                  </w:rPr>
                </w:pPr>
                <w:r w:rsidRPr="006D26E6">
                  <w:rPr>
                    <w:rFonts w:ascii="Times New Roman" w:eastAsia="Times New Roman" w:hAnsi="Times New Roman"/>
                    <w:b/>
                    <w:bCs/>
                    <w:color w:val="000000" w:themeColor="text1"/>
                    <w:sz w:val="18"/>
                    <w:szCs w:val="18"/>
                  </w:rPr>
                  <w:t>CONCEPTO</w:t>
                </w:r>
              </w:p>
            </w:tc>
            <w:tc>
              <w:tcPr>
                <w:tcW w:w="1487" w:type="dxa"/>
                <w:shd w:val="clear" w:color="auto" w:fill="FFFFFF" w:themeFill="background1"/>
                <w:tcMar>
                  <w:left w:w="70" w:type="dxa"/>
                  <w:right w:w="70" w:type="dxa"/>
                </w:tcMar>
                <w:vAlign w:val="center"/>
              </w:tcPr>
              <w:p w14:paraId="23E5A1A8" w14:textId="04762B16" w:rsidR="0E4E29E4" w:rsidRPr="006D26E6" w:rsidRDefault="0E4E29E4" w:rsidP="0E4E29E4">
                <w:pPr>
                  <w:spacing w:after="0"/>
                  <w:ind w:left="-20" w:right="-20"/>
                  <w:jc w:val="center"/>
                  <w:rPr>
                    <w:sz w:val="18"/>
                    <w:szCs w:val="18"/>
                  </w:rPr>
                </w:pPr>
                <w:r w:rsidRPr="006D26E6">
                  <w:rPr>
                    <w:rFonts w:ascii="Times New Roman" w:eastAsia="Times New Roman" w:hAnsi="Times New Roman"/>
                    <w:b/>
                    <w:bCs/>
                    <w:color w:val="000000" w:themeColor="text1"/>
                    <w:sz w:val="18"/>
                    <w:szCs w:val="18"/>
                  </w:rPr>
                  <w:t xml:space="preserve">2023 </w:t>
                </w:r>
              </w:p>
            </w:tc>
            <w:tc>
              <w:tcPr>
                <w:tcW w:w="1459" w:type="dxa"/>
                <w:shd w:val="clear" w:color="auto" w:fill="FFFFFF" w:themeFill="background1"/>
                <w:tcMar>
                  <w:left w:w="70" w:type="dxa"/>
                  <w:right w:w="70" w:type="dxa"/>
                </w:tcMar>
                <w:vAlign w:val="center"/>
              </w:tcPr>
              <w:p w14:paraId="4E9C19D3" w14:textId="545CD57A" w:rsidR="0E4E29E4" w:rsidRPr="006D26E6" w:rsidRDefault="0E4E29E4" w:rsidP="0E4E29E4">
                <w:pPr>
                  <w:spacing w:after="0"/>
                  <w:ind w:left="-20" w:right="-20"/>
                  <w:jc w:val="center"/>
                  <w:rPr>
                    <w:sz w:val="18"/>
                    <w:szCs w:val="18"/>
                  </w:rPr>
                </w:pPr>
                <w:r w:rsidRPr="006D26E6">
                  <w:rPr>
                    <w:rFonts w:ascii="Times New Roman" w:eastAsia="Times New Roman" w:hAnsi="Times New Roman"/>
                    <w:b/>
                    <w:bCs/>
                    <w:color w:val="000000" w:themeColor="text1"/>
                    <w:sz w:val="18"/>
                    <w:szCs w:val="18"/>
                  </w:rPr>
                  <w:t xml:space="preserve">2022 </w:t>
                </w:r>
              </w:p>
            </w:tc>
            <w:tc>
              <w:tcPr>
                <w:tcW w:w="1472" w:type="dxa"/>
                <w:shd w:val="clear" w:color="auto" w:fill="FFFFFF" w:themeFill="background1"/>
                <w:tcMar>
                  <w:left w:w="70" w:type="dxa"/>
                  <w:right w:w="70" w:type="dxa"/>
                </w:tcMar>
                <w:vAlign w:val="center"/>
              </w:tcPr>
              <w:p w14:paraId="29F3D600" w14:textId="60C3661B" w:rsidR="0E4E29E4" w:rsidRPr="006D26E6" w:rsidRDefault="0E4E29E4" w:rsidP="0E4E29E4">
                <w:pPr>
                  <w:spacing w:after="0"/>
                  <w:ind w:left="-20" w:right="-20"/>
                  <w:jc w:val="center"/>
                  <w:rPr>
                    <w:sz w:val="18"/>
                    <w:szCs w:val="18"/>
                  </w:rPr>
                </w:pPr>
                <w:r w:rsidRPr="006D26E6">
                  <w:rPr>
                    <w:rFonts w:ascii="Times New Roman" w:eastAsia="Times New Roman" w:hAnsi="Times New Roman"/>
                    <w:b/>
                    <w:bCs/>
                    <w:color w:val="000000" w:themeColor="text1"/>
                    <w:sz w:val="18"/>
                    <w:szCs w:val="18"/>
                  </w:rPr>
                  <w:t>VALOR VARIACIÓN</w:t>
                </w:r>
              </w:p>
            </w:tc>
          </w:tr>
          <w:tr w:rsidR="0E4E29E4" w:rsidRPr="006D26E6" w14:paraId="1B62FE4D" w14:textId="77777777" w:rsidTr="00E918CC">
            <w:trPr>
              <w:trHeight w:val="285"/>
            </w:trPr>
            <w:tc>
              <w:tcPr>
                <w:tcW w:w="1124" w:type="dxa"/>
                <w:shd w:val="clear" w:color="auto" w:fill="FFFFFF" w:themeFill="background1"/>
                <w:tcMar>
                  <w:left w:w="70" w:type="dxa"/>
                  <w:right w:w="70" w:type="dxa"/>
                </w:tcMar>
                <w:vAlign w:val="center"/>
              </w:tcPr>
              <w:p w14:paraId="734DFE78" w14:textId="4EA0621A" w:rsidR="0E4E29E4" w:rsidRPr="006D26E6" w:rsidRDefault="0E4E29E4" w:rsidP="0E4E29E4">
                <w:pPr>
                  <w:spacing w:after="0"/>
                  <w:ind w:left="-20" w:right="-20"/>
                  <w:rPr>
                    <w:sz w:val="18"/>
                    <w:szCs w:val="18"/>
                  </w:rPr>
                </w:pPr>
                <w:r w:rsidRPr="006D26E6">
                  <w:rPr>
                    <w:rFonts w:ascii="Times New Roman" w:eastAsia="Times New Roman" w:hAnsi="Times New Roman"/>
                    <w:b/>
                    <w:bCs/>
                    <w:color w:val="000000" w:themeColor="text1"/>
                    <w:sz w:val="18"/>
                    <w:szCs w:val="18"/>
                  </w:rPr>
                  <w:t>5.8</w:t>
                </w:r>
              </w:p>
            </w:tc>
            <w:tc>
              <w:tcPr>
                <w:tcW w:w="567" w:type="dxa"/>
                <w:shd w:val="clear" w:color="auto" w:fill="FFFFFF" w:themeFill="background1"/>
                <w:tcMar>
                  <w:left w:w="70" w:type="dxa"/>
                  <w:right w:w="70" w:type="dxa"/>
                </w:tcMar>
                <w:vAlign w:val="center"/>
              </w:tcPr>
              <w:p w14:paraId="646379B5" w14:textId="08CDC64C" w:rsidR="0E4E29E4" w:rsidRPr="006D26E6" w:rsidRDefault="0E4E29E4" w:rsidP="0E4E29E4">
                <w:pPr>
                  <w:spacing w:after="0"/>
                  <w:ind w:left="-20" w:right="-20"/>
                  <w:jc w:val="center"/>
                  <w:rPr>
                    <w:sz w:val="18"/>
                    <w:szCs w:val="18"/>
                  </w:rPr>
                </w:pPr>
                <w:r w:rsidRPr="006D26E6">
                  <w:rPr>
                    <w:rFonts w:ascii="Times New Roman" w:eastAsia="Times New Roman" w:hAnsi="Times New Roman"/>
                    <w:b/>
                    <w:bCs/>
                    <w:color w:val="000000" w:themeColor="text1"/>
                    <w:sz w:val="18"/>
                    <w:szCs w:val="18"/>
                  </w:rPr>
                  <w:t>Db</w:t>
                </w:r>
              </w:p>
            </w:tc>
            <w:tc>
              <w:tcPr>
                <w:tcW w:w="2861" w:type="dxa"/>
                <w:shd w:val="clear" w:color="auto" w:fill="FFFFFF" w:themeFill="background1"/>
                <w:tcMar>
                  <w:left w:w="70" w:type="dxa"/>
                  <w:right w:w="70" w:type="dxa"/>
                </w:tcMar>
                <w:vAlign w:val="center"/>
              </w:tcPr>
              <w:p w14:paraId="1109B062" w14:textId="3B82FD6B" w:rsidR="0E4E29E4" w:rsidRPr="006D26E6" w:rsidRDefault="0E4E29E4" w:rsidP="0E4E29E4">
                <w:pPr>
                  <w:spacing w:after="0"/>
                  <w:ind w:left="-20" w:right="-20"/>
                  <w:jc w:val="center"/>
                  <w:rPr>
                    <w:sz w:val="18"/>
                    <w:szCs w:val="18"/>
                  </w:rPr>
                </w:pPr>
                <w:r w:rsidRPr="006D26E6">
                  <w:rPr>
                    <w:rFonts w:ascii="Times New Roman" w:eastAsia="Times New Roman" w:hAnsi="Times New Roman"/>
                    <w:b/>
                    <w:bCs/>
                    <w:color w:val="000000" w:themeColor="text1"/>
                    <w:sz w:val="18"/>
                    <w:szCs w:val="18"/>
                  </w:rPr>
                  <w:t>OTROS GASTOS</w:t>
                </w:r>
              </w:p>
            </w:tc>
            <w:tc>
              <w:tcPr>
                <w:tcW w:w="1487" w:type="dxa"/>
                <w:shd w:val="clear" w:color="auto" w:fill="FFFFFF" w:themeFill="background1"/>
                <w:tcMar>
                  <w:left w:w="70" w:type="dxa"/>
                  <w:right w:w="70" w:type="dxa"/>
                </w:tcMar>
                <w:vAlign w:val="center"/>
              </w:tcPr>
              <w:p w14:paraId="5AC83C65" w14:textId="149EB330" w:rsidR="0E4E29E4" w:rsidRPr="006D26E6" w:rsidRDefault="0E4E29E4" w:rsidP="0E4E29E4">
                <w:pPr>
                  <w:spacing w:after="0"/>
                  <w:ind w:left="-20" w:right="-20"/>
                  <w:jc w:val="right"/>
                  <w:rPr>
                    <w:sz w:val="18"/>
                    <w:szCs w:val="18"/>
                  </w:rPr>
                </w:pPr>
                <w:r w:rsidRPr="006D26E6">
                  <w:rPr>
                    <w:rFonts w:ascii="Times New Roman" w:eastAsia="Times New Roman" w:hAnsi="Times New Roman"/>
                    <w:b/>
                    <w:bCs/>
                    <w:color w:val="000000" w:themeColor="text1"/>
                    <w:sz w:val="18"/>
                    <w:szCs w:val="18"/>
                  </w:rPr>
                  <w:t>6.052.160.284.271</w:t>
                </w:r>
              </w:p>
            </w:tc>
            <w:tc>
              <w:tcPr>
                <w:tcW w:w="1459" w:type="dxa"/>
                <w:shd w:val="clear" w:color="auto" w:fill="FFFFFF" w:themeFill="background1"/>
                <w:tcMar>
                  <w:left w:w="70" w:type="dxa"/>
                  <w:right w:w="70" w:type="dxa"/>
                </w:tcMar>
                <w:vAlign w:val="center"/>
              </w:tcPr>
              <w:p w14:paraId="1437CC83" w14:textId="18BA3668" w:rsidR="0E4E29E4" w:rsidRPr="006D26E6" w:rsidRDefault="0E4E29E4" w:rsidP="0E4E29E4">
                <w:pPr>
                  <w:spacing w:after="0"/>
                  <w:ind w:left="-20" w:right="-20"/>
                  <w:jc w:val="right"/>
                  <w:rPr>
                    <w:sz w:val="18"/>
                    <w:szCs w:val="18"/>
                  </w:rPr>
                </w:pPr>
                <w:r w:rsidRPr="006D26E6">
                  <w:rPr>
                    <w:rFonts w:ascii="Times New Roman" w:eastAsia="Times New Roman" w:hAnsi="Times New Roman"/>
                    <w:b/>
                    <w:bCs/>
                    <w:color w:val="000000" w:themeColor="text1"/>
                    <w:sz w:val="18"/>
                    <w:szCs w:val="18"/>
                  </w:rPr>
                  <w:t>3.615.543.990.459</w:t>
                </w:r>
              </w:p>
            </w:tc>
            <w:tc>
              <w:tcPr>
                <w:tcW w:w="1472" w:type="dxa"/>
                <w:shd w:val="clear" w:color="auto" w:fill="FFFFFF" w:themeFill="background1"/>
                <w:tcMar>
                  <w:left w:w="70" w:type="dxa"/>
                  <w:right w:w="70" w:type="dxa"/>
                </w:tcMar>
                <w:vAlign w:val="center"/>
              </w:tcPr>
              <w:p w14:paraId="29243AEE" w14:textId="20F3D968" w:rsidR="0E4E29E4" w:rsidRPr="006D26E6" w:rsidRDefault="0E4E29E4" w:rsidP="0E4E29E4">
                <w:pPr>
                  <w:spacing w:after="0"/>
                  <w:ind w:left="-20" w:right="-20"/>
                  <w:jc w:val="right"/>
                  <w:rPr>
                    <w:sz w:val="18"/>
                    <w:szCs w:val="18"/>
                  </w:rPr>
                </w:pPr>
                <w:r w:rsidRPr="006D26E6">
                  <w:rPr>
                    <w:rFonts w:ascii="Times New Roman" w:eastAsia="Times New Roman" w:hAnsi="Times New Roman"/>
                    <w:b/>
                    <w:bCs/>
                    <w:color w:val="000000" w:themeColor="text1"/>
                    <w:sz w:val="18"/>
                    <w:szCs w:val="18"/>
                  </w:rPr>
                  <w:t>2.436.616.293.812</w:t>
                </w:r>
              </w:p>
            </w:tc>
          </w:tr>
          <w:tr w:rsidR="0E4E29E4" w:rsidRPr="006D26E6" w14:paraId="0F3B434F" w14:textId="77777777" w:rsidTr="00E918CC">
            <w:trPr>
              <w:trHeight w:val="285"/>
            </w:trPr>
            <w:tc>
              <w:tcPr>
                <w:tcW w:w="1124" w:type="dxa"/>
                <w:shd w:val="clear" w:color="auto" w:fill="FFFFFF" w:themeFill="background1"/>
                <w:tcMar>
                  <w:left w:w="70" w:type="dxa"/>
                  <w:right w:w="70" w:type="dxa"/>
                </w:tcMar>
                <w:vAlign w:val="center"/>
              </w:tcPr>
              <w:p w14:paraId="1CD8E331" w14:textId="777D67AA" w:rsidR="0E4E29E4" w:rsidRPr="006D26E6" w:rsidRDefault="0E4E29E4" w:rsidP="0E4E29E4">
                <w:pPr>
                  <w:spacing w:after="0"/>
                  <w:ind w:left="-20" w:right="-20"/>
                  <w:rPr>
                    <w:sz w:val="18"/>
                    <w:szCs w:val="18"/>
                  </w:rPr>
                </w:pPr>
                <w:r w:rsidRPr="006D26E6">
                  <w:rPr>
                    <w:rFonts w:ascii="Times New Roman" w:eastAsia="Times New Roman" w:hAnsi="Times New Roman"/>
                    <w:b/>
                    <w:bCs/>
                    <w:color w:val="000000" w:themeColor="text1"/>
                    <w:sz w:val="18"/>
                    <w:szCs w:val="18"/>
                  </w:rPr>
                  <w:t>5.8.02</w:t>
                </w:r>
              </w:p>
            </w:tc>
            <w:tc>
              <w:tcPr>
                <w:tcW w:w="567" w:type="dxa"/>
                <w:shd w:val="clear" w:color="auto" w:fill="FFFFFF" w:themeFill="background1"/>
                <w:tcMar>
                  <w:left w:w="70" w:type="dxa"/>
                  <w:right w:w="70" w:type="dxa"/>
                </w:tcMar>
                <w:vAlign w:val="center"/>
              </w:tcPr>
              <w:p w14:paraId="343AD11A" w14:textId="299ABAC8" w:rsidR="0E4E29E4" w:rsidRPr="006D26E6" w:rsidRDefault="0E4E29E4" w:rsidP="0E4E29E4">
                <w:pPr>
                  <w:spacing w:after="0"/>
                  <w:ind w:left="-20" w:right="-20"/>
                  <w:jc w:val="center"/>
                  <w:rPr>
                    <w:sz w:val="18"/>
                    <w:szCs w:val="18"/>
                  </w:rPr>
                </w:pPr>
                <w:r w:rsidRPr="006D26E6">
                  <w:rPr>
                    <w:rFonts w:ascii="Times New Roman" w:eastAsia="Times New Roman" w:hAnsi="Times New Roman"/>
                    <w:b/>
                    <w:bCs/>
                    <w:color w:val="000000" w:themeColor="text1"/>
                    <w:sz w:val="18"/>
                    <w:szCs w:val="18"/>
                  </w:rPr>
                  <w:t>Db</w:t>
                </w:r>
              </w:p>
            </w:tc>
            <w:tc>
              <w:tcPr>
                <w:tcW w:w="2861" w:type="dxa"/>
                <w:shd w:val="clear" w:color="auto" w:fill="FFFFFF" w:themeFill="background1"/>
                <w:tcMar>
                  <w:left w:w="70" w:type="dxa"/>
                  <w:right w:w="70" w:type="dxa"/>
                </w:tcMar>
                <w:vAlign w:val="center"/>
              </w:tcPr>
              <w:p w14:paraId="20343A9A" w14:textId="30417C63" w:rsidR="0E4E29E4" w:rsidRPr="006D26E6" w:rsidRDefault="0E4E29E4" w:rsidP="0E4E29E4">
                <w:pPr>
                  <w:spacing w:after="0"/>
                  <w:ind w:left="-20" w:right="-20"/>
                  <w:rPr>
                    <w:sz w:val="18"/>
                    <w:szCs w:val="18"/>
                  </w:rPr>
                </w:pPr>
                <w:r w:rsidRPr="006D26E6">
                  <w:rPr>
                    <w:rFonts w:ascii="Times New Roman" w:eastAsia="Times New Roman" w:hAnsi="Times New Roman"/>
                    <w:b/>
                    <w:bCs/>
                    <w:color w:val="000000" w:themeColor="text1"/>
                    <w:sz w:val="18"/>
                    <w:szCs w:val="18"/>
                  </w:rPr>
                  <w:t>COMISIONES</w:t>
                </w:r>
              </w:p>
            </w:tc>
            <w:tc>
              <w:tcPr>
                <w:tcW w:w="1487" w:type="dxa"/>
                <w:shd w:val="clear" w:color="auto" w:fill="FFFFFF" w:themeFill="background1"/>
                <w:tcMar>
                  <w:left w:w="70" w:type="dxa"/>
                  <w:right w:w="70" w:type="dxa"/>
                </w:tcMar>
                <w:vAlign w:val="center"/>
              </w:tcPr>
              <w:p w14:paraId="3DA147C8" w14:textId="7E2FE04F" w:rsidR="0E4E29E4" w:rsidRPr="006D26E6" w:rsidRDefault="0E4E29E4" w:rsidP="0E4E29E4">
                <w:pPr>
                  <w:spacing w:after="0"/>
                  <w:ind w:left="-20" w:right="-20"/>
                  <w:jc w:val="right"/>
                  <w:rPr>
                    <w:sz w:val="18"/>
                    <w:szCs w:val="18"/>
                  </w:rPr>
                </w:pPr>
                <w:r w:rsidRPr="006D26E6">
                  <w:rPr>
                    <w:rFonts w:ascii="Times New Roman" w:eastAsia="Times New Roman" w:hAnsi="Times New Roman"/>
                    <w:b/>
                    <w:bCs/>
                    <w:color w:val="000000" w:themeColor="text1"/>
                    <w:sz w:val="18"/>
                    <w:szCs w:val="18"/>
                  </w:rPr>
                  <w:t>67.890</w:t>
                </w:r>
              </w:p>
            </w:tc>
            <w:tc>
              <w:tcPr>
                <w:tcW w:w="1459" w:type="dxa"/>
                <w:shd w:val="clear" w:color="auto" w:fill="FFFFFF" w:themeFill="background1"/>
                <w:tcMar>
                  <w:left w:w="70" w:type="dxa"/>
                  <w:right w:w="70" w:type="dxa"/>
                </w:tcMar>
                <w:vAlign w:val="center"/>
              </w:tcPr>
              <w:p w14:paraId="1B5CA0F1" w14:textId="792B208B" w:rsidR="0E4E29E4" w:rsidRPr="006D26E6" w:rsidRDefault="0E4E29E4" w:rsidP="0E4E29E4">
                <w:pPr>
                  <w:spacing w:after="0"/>
                  <w:ind w:left="-20" w:right="-20"/>
                  <w:jc w:val="right"/>
                  <w:rPr>
                    <w:sz w:val="18"/>
                    <w:szCs w:val="18"/>
                  </w:rPr>
                </w:pPr>
                <w:r w:rsidRPr="006D26E6">
                  <w:rPr>
                    <w:rFonts w:ascii="Times New Roman" w:eastAsia="Times New Roman" w:hAnsi="Times New Roman"/>
                    <w:b/>
                    <w:bCs/>
                    <w:color w:val="000000" w:themeColor="text1"/>
                    <w:sz w:val="18"/>
                    <w:szCs w:val="18"/>
                  </w:rPr>
                  <w:t>205.783</w:t>
                </w:r>
              </w:p>
            </w:tc>
            <w:tc>
              <w:tcPr>
                <w:tcW w:w="1472" w:type="dxa"/>
                <w:shd w:val="clear" w:color="auto" w:fill="FFFFFF" w:themeFill="background1"/>
                <w:tcMar>
                  <w:left w:w="70" w:type="dxa"/>
                  <w:right w:w="70" w:type="dxa"/>
                </w:tcMar>
                <w:vAlign w:val="center"/>
              </w:tcPr>
              <w:p w14:paraId="01AEA445" w14:textId="100FDEDF" w:rsidR="0E4E29E4" w:rsidRPr="006D26E6" w:rsidRDefault="0E4E29E4" w:rsidP="0E4E29E4">
                <w:pPr>
                  <w:spacing w:after="0"/>
                  <w:ind w:left="-20" w:right="-20"/>
                  <w:jc w:val="right"/>
                  <w:rPr>
                    <w:sz w:val="18"/>
                    <w:szCs w:val="18"/>
                  </w:rPr>
                </w:pPr>
                <w:r w:rsidRPr="006D26E6">
                  <w:rPr>
                    <w:rFonts w:ascii="Times New Roman" w:eastAsia="Times New Roman" w:hAnsi="Times New Roman"/>
                    <w:b/>
                    <w:bCs/>
                    <w:color w:val="000000" w:themeColor="text1"/>
                    <w:sz w:val="18"/>
                    <w:szCs w:val="18"/>
                  </w:rPr>
                  <w:t>-137.893</w:t>
                </w:r>
              </w:p>
            </w:tc>
          </w:tr>
          <w:tr w:rsidR="0E4E29E4" w:rsidRPr="006D26E6" w14:paraId="665D5AE4" w14:textId="77777777" w:rsidTr="00E918CC">
            <w:trPr>
              <w:trHeight w:val="300"/>
            </w:trPr>
            <w:tc>
              <w:tcPr>
                <w:tcW w:w="1124" w:type="dxa"/>
                <w:shd w:val="clear" w:color="auto" w:fill="FFFFFF" w:themeFill="background1"/>
                <w:tcMar>
                  <w:left w:w="70" w:type="dxa"/>
                  <w:right w:w="70" w:type="dxa"/>
                </w:tcMar>
                <w:vAlign w:val="center"/>
              </w:tcPr>
              <w:p w14:paraId="0510D886" w14:textId="2280A208" w:rsidR="0E4E29E4" w:rsidRPr="006D26E6" w:rsidRDefault="0E4E29E4" w:rsidP="0E4E29E4">
                <w:pPr>
                  <w:spacing w:after="0"/>
                  <w:ind w:left="-20" w:right="-20"/>
                  <w:rPr>
                    <w:sz w:val="18"/>
                    <w:szCs w:val="18"/>
                  </w:rPr>
                </w:pPr>
                <w:r w:rsidRPr="006D26E6">
                  <w:rPr>
                    <w:rFonts w:ascii="Times New Roman" w:eastAsia="Times New Roman" w:hAnsi="Times New Roman"/>
                    <w:color w:val="000000" w:themeColor="text1"/>
                    <w:sz w:val="18"/>
                    <w:szCs w:val="18"/>
                  </w:rPr>
                  <w:t>5.8.02.40</w:t>
                </w:r>
              </w:p>
            </w:tc>
            <w:tc>
              <w:tcPr>
                <w:tcW w:w="567" w:type="dxa"/>
                <w:shd w:val="clear" w:color="auto" w:fill="FFFFFF" w:themeFill="background1"/>
                <w:tcMar>
                  <w:left w:w="70" w:type="dxa"/>
                  <w:right w:w="70" w:type="dxa"/>
                </w:tcMar>
                <w:vAlign w:val="center"/>
              </w:tcPr>
              <w:p w14:paraId="1C13BFDC" w14:textId="461C3422" w:rsidR="0E4E29E4" w:rsidRPr="006D26E6" w:rsidRDefault="0E4E29E4" w:rsidP="0E4E29E4">
                <w:pPr>
                  <w:spacing w:after="0"/>
                  <w:ind w:left="-20" w:right="-20"/>
                  <w:jc w:val="center"/>
                  <w:rPr>
                    <w:sz w:val="18"/>
                    <w:szCs w:val="18"/>
                  </w:rPr>
                </w:pPr>
                <w:r w:rsidRPr="006D26E6">
                  <w:rPr>
                    <w:rFonts w:ascii="Times New Roman" w:eastAsia="Times New Roman" w:hAnsi="Times New Roman"/>
                    <w:color w:val="000000" w:themeColor="text1"/>
                    <w:sz w:val="18"/>
                    <w:szCs w:val="18"/>
                  </w:rPr>
                  <w:t>Db</w:t>
                </w:r>
              </w:p>
            </w:tc>
            <w:tc>
              <w:tcPr>
                <w:tcW w:w="2861" w:type="dxa"/>
                <w:shd w:val="clear" w:color="auto" w:fill="FFFFFF" w:themeFill="background1"/>
                <w:tcMar>
                  <w:left w:w="70" w:type="dxa"/>
                  <w:right w:w="70" w:type="dxa"/>
                </w:tcMar>
                <w:vAlign w:val="center"/>
              </w:tcPr>
              <w:p w14:paraId="74A44D3D" w14:textId="4CCFFD26" w:rsidR="0E4E29E4" w:rsidRPr="006D26E6" w:rsidRDefault="0E4E29E4" w:rsidP="0E4E29E4">
                <w:pPr>
                  <w:spacing w:after="0"/>
                  <w:ind w:left="-20" w:right="-20"/>
                  <w:rPr>
                    <w:sz w:val="18"/>
                    <w:szCs w:val="18"/>
                  </w:rPr>
                </w:pPr>
                <w:r w:rsidRPr="006D26E6">
                  <w:rPr>
                    <w:rFonts w:ascii="Times New Roman" w:eastAsia="Times New Roman" w:hAnsi="Times New Roman"/>
                    <w:color w:val="000000" w:themeColor="text1"/>
                    <w:sz w:val="18"/>
                    <w:szCs w:val="18"/>
                  </w:rPr>
                  <w:t>Comisiones servicios financieros</w:t>
                </w:r>
              </w:p>
            </w:tc>
            <w:tc>
              <w:tcPr>
                <w:tcW w:w="1487" w:type="dxa"/>
                <w:shd w:val="clear" w:color="auto" w:fill="FFFFFF" w:themeFill="background1"/>
                <w:tcMar>
                  <w:left w:w="70" w:type="dxa"/>
                  <w:right w:w="70" w:type="dxa"/>
                </w:tcMar>
                <w:vAlign w:val="center"/>
              </w:tcPr>
              <w:p w14:paraId="5AED79B9" w14:textId="3AE97127" w:rsidR="0E4E29E4" w:rsidRPr="006D26E6" w:rsidRDefault="0E4E29E4" w:rsidP="0E4E29E4">
                <w:pPr>
                  <w:spacing w:after="0"/>
                  <w:ind w:left="-20" w:right="-20"/>
                  <w:jc w:val="right"/>
                  <w:rPr>
                    <w:sz w:val="18"/>
                    <w:szCs w:val="18"/>
                  </w:rPr>
                </w:pPr>
                <w:r w:rsidRPr="006D26E6">
                  <w:rPr>
                    <w:rFonts w:ascii="Times New Roman" w:eastAsia="Times New Roman" w:hAnsi="Times New Roman"/>
                    <w:color w:val="000000" w:themeColor="text1"/>
                    <w:sz w:val="18"/>
                    <w:szCs w:val="18"/>
                  </w:rPr>
                  <w:t>67.890</w:t>
                </w:r>
              </w:p>
            </w:tc>
            <w:tc>
              <w:tcPr>
                <w:tcW w:w="1459" w:type="dxa"/>
                <w:shd w:val="clear" w:color="auto" w:fill="FFFFFF" w:themeFill="background1"/>
                <w:tcMar>
                  <w:left w:w="70" w:type="dxa"/>
                  <w:right w:w="70" w:type="dxa"/>
                </w:tcMar>
                <w:vAlign w:val="center"/>
              </w:tcPr>
              <w:p w14:paraId="00EBFFBD" w14:textId="75D42309" w:rsidR="0E4E29E4" w:rsidRPr="006D26E6" w:rsidRDefault="0E4E29E4" w:rsidP="0E4E29E4">
                <w:pPr>
                  <w:spacing w:after="0"/>
                  <w:ind w:left="-20" w:right="-20"/>
                  <w:jc w:val="right"/>
                  <w:rPr>
                    <w:sz w:val="18"/>
                    <w:szCs w:val="18"/>
                  </w:rPr>
                </w:pPr>
                <w:r w:rsidRPr="006D26E6">
                  <w:rPr>
                    <w:rFonts w:ascii="Times New Roman" w:eastAsia="Times New Roman" w:hAnsi="Times New Roman"/>
                    <w:color w:val="000000" w:themeColor="text1"/>
                    <w:sz w:val="18"/>
                    <w:szCs w:val="18"/>
                  </w:rPr>
                  <w:t>205.783</w:t>
                </w:r>
              </w:p>
            </w:tc>
            <w:tc>
              <w:tcPr>
                <w:tcW w:w="1472" w:type="dxa"/>
                <w:shd w:val="clear" w:color="auto" w:fill="FFFFFF" w:themeFill="background1"/>
                <w:tcMar>
                  <w:left w:w="70" w:type="dxa"/>
                  <w:right w:w="70" w:type="dxa"/>
                </w:tcMar>
                <w:vAlign w:val="center"/>
              </w:tcPr>
              <w:p w14:paraId="30ECBD32" w14:textId="679E8F00" w:rsidR="0E4E29E4" w:rsidRPr="006D26E6" w:rsidRDefault="0E4E29E4" w:rsidP="0E4E29E4">
                <w:pPr>
                  <w:spacing w:after="0"/>
                  <w:ind w:left="-20" w:right="-20"/>
                  <w:jc w:val="right"/>
                  <w:rPr>
                    <w:sz w:val="18"/>
                    <w:szCs w:val="18"/>
                  </w:rPr>
                </w:pPr>
                <w:r w:rsidRPr="006D26E6">
                  <w:rPr>
                    <w:rFonts w:ascii="Times New Roman" w:eastAsia="Times New Roman" w:hAnsi="Times New Roman"/>
                    <w:color w:val="000000" w:themeColor="text1"/>
                    <w:sz w:val="18"/>
                    <w:szCs w:val="18"/>
                  </w:rPr>
                  <w:t>-137.893</w:t>
                </w:r>
              </w:p>
            </w:tc>
          </w:tr>
          <w:tr w:rsidR="0E4E29E4" w:rsidRPr="006D26E6" w14:paraId="1D8FDBEA" w14:textId="77777777" w:rsidTr="00E918CC">
            <w:trPr>
              <w:trHeight w:val="285"/>
            </w:trPr>
            <w:tc>
              <w:tcPr>
                <w:tcW w:w="1124" w:type="dxa"/>
                <w:shd w:val="clear" w:color="auto" w:fill="FFFFFF" w:themeFill="background1"/>
                <w:tcMar>
                  <w:left w:w="70" w:type="dxa"/>
                  <w:right w:w="70" w:type="dxa"/>
                </w:tcMar>
                <w:vAlign w:val="center"/>
              </w:tcPr>
              <w:p w14:paraId="3E237594" w14:textId="5DC07763" w:rsidR="0E4E29E4" w:rsidRPr="006D26E6" w:rsidRDefault="0E4E29E4" w:rsidP="0E4E29E4">
                <w:pPr>
                  <w:spacing w:after="0"/>
                  <w:ind w:left="-20" w:right="-20"/>
                  <w:rPr>
                    <w:sz w:val="18"/>
                    <w:szCs w:val="18"/>
                  </w:rPr>
                </w:pPr>
                <w:r w:rsidRPr="006D26E6">
                  <w:rPr>
                    <w:rFonts w:ascii="Times New Roman" w:eastAsia="Times New Roman" w:hAnsi="Times New Roman"/>
                    <w:b/>
                    <w:bCs/>
                    <w:color w:val="000000" w:themeColor="text1"/>
                    <w:sz w:val="18"/>
                    <w:szCs w:val="18"/>
                  </w:rPr>
                  <w:t>5.8.03</w:t>
                </w:r>
              </w:p>
            </w:tc>
            <w:tc>
              <w:tcPr>
                <w:tcW w:w="567" w:type="dxa"/>
                <w:shd w:val="clear" w:color="auto" w:fill="FFFFFF" w:themeFill="background1"/>
                <w:tcMar>
                  <w:left w:w="70" w:type="dxa"/>
                  <w:right w:w="70" w:type="dxa"/>
                </w:tcMar>
                <w:vAlign w:val="center"/>
              </w:tcPr>
              <w:p w14:paraId="16495868" w14:textId="065FD3D7" w:rsidR="0E4E29E4" w:rsidRPr="006D26E6" w:rsidRDefault="0E4E29E4" w:rsidP="0E4E29E4">
                <w:pPr>
                  <w:spacing w:after="0"/>
                  <w:ind w:left="-20" w:right="-20"/>
                  <w:jc w:val="center"/>
                  <w:rPr>
                    <w:sz w:val="18"/>
                    <w:szCs w:val="18"/>
                  </w:rPr>
                </w:pPr>
                <w:r w:rsidRPr="006D26E6">
                  <w:rPr>
                    <w:rFonts w:ascii="Times New Roman" w:eastAsia="Times New Roman" w:hAnsi="Times New Roman"/>
                    <w:b/>
                    <w:bCs/>
                    <w:color w:val="000000" w:themeColor="text1"/>
                    <w:sz w:val="18"/>
                    <w:szCs w:val="18"/>
                  </w:rPr>
                  <w:t>Db</w:t>
                </w:r>
              </w:p>
            </w:tc>
            <w:tc>
              <w:tcPr>
                <w:tcW w:w="2861" w:type="dxa"/>
                <w:shd w:val="clear" w:color="auto" w:fill="FFFFFF" w:themeFill="background1"/>
                <w:tcMar>
                  <w:left w:w="70" w:type="dxa"/>
                  <w:right w:w="70" w:type="dxa"/>
                </w:tcMar>
                <w:vAlign w:val="center"/>
              </w:tcPr>
              <w:p w14:paraId="60B048F5" w14:textId="08FF0F69" w:rsidR="0E4E29E4" w:rsidRPr="006D26E6" w:rsidRDefault="0E4E29E4" w:rsidP="0E4E29E4">
                <w:pPr>
                  <w:spacing w:after="0"/>
                  <w:ind w:left="-20" w:right="-20"/>
                  <w:rPr>
                    <w:sz w:val="18"/>
                    <w:szCs w:val="18"/>
                  </w:rPr>
                </w:pPr>
                <w:r w:rsidRPr="006D26E6">
                  <w:rPr>
                    <w:rFonts w:ascii="Times New Roman" w:eastAsia="Times New Roman" w:hAnsi="Times New Roman"/>
                    <w:b/>
                    <w:bCs/>
                    <w:color w:val="000000" w:themeColor="text1"/>
                    <w:sz w:val="18"/>
                    <w:szCs w:val="18"/>
                  </w:rPr>
                  <w:t>AJUSTE POR DIFERENCIA EN CAMBIO (3)</w:t>
                </w:r>
              </w:p>
            </w:tc>
            <w:tc>
              <w:tcPr>
                <w:tcW w:w="1487" w:type="dxa"/>
                <w:shd w:val="clear" w:color="auto" w:fill="FFFFFF" w:themeFill="background1"/>
                <w:tcMar>
                  <w:left w:w="70" w:type="dxa"/>
                  <w:right w:w="70" w:type="dxa"/>
                </w:tcMar>
                <w:vAlign w:val="center"/>
              </w:tcPr>
              <w:p w14:paraId="432F2CFC" w14:textId="6B468381" w:rsidR="0E4E29E4" w:rsidRPr="006D26E6" w:rsidRDefault="0E4E29E4" w:rsidP="0E4E29E4">
                <w:pPr>
                  <w:spacing w:after="0"/>
                  <w:ind w:left="-20" w:right="-20"/>
                  <w:jc w:val="right"/>
                  <w:rPr>
                    <w:sz w:val="18"/>
                    <w:szCs w:val="18"/>
                  </w:rPr>
                </w:pPr>
                <w:r w:rsidRPr="006D26E6">
                  <w:rPr>
                    <w:rFonts w:ascii="Times New Roman" w:eastAsia="Times New Roman" w:hAnsi="Times New Roman"/>
                    <w:b/>
                    <w:bCs/>
                    <w:color w:val="000000" w:themeColor="text1"/>
                    <w:sz w:val="18"/>
                    <w:szCs w:val="18"/>
                  </w:rPr>
                  <w:t>10.872.786.060</w:t>
                </w:r>
              </w:p>
            </w:tc>
            <w:tc>
              <w:tcPr>
                <w:tcW w:w="1459" w:type="dxa"/>
                <w:shd w:val="clear" w:color="auto" w:fill="FFFFFF" w:themeFill="background1"/>
                <w:tcMar>
                  <w:left w:w="70" w:type="dxa"/>
                  <w:right w:w="70" w:type="dxa"/>
                </w:tcMar>
                <w:vAlign w:val="center"/>
              </w:tcPr>
              <w:p w14:paraId="2F293A74" w14:textId="677187A2" w:rsidR="0E4E29E4" w:rsidRPr="006D26E6" w:rsidRDefault="0E4E29E4" w:rsidP="0E4E29E4">
                <w:pPr>
                  <w:spacing w:after="0"/>
                  <w:ind w:left="-20" w:right="-20"/>
                  <w:jc w:val="right"/>
                  <w:rPr>
                    <w:sz w:val="18"/>
                    <w:szCs w:val="18"/>
                  </w:rPr>
                </w:pPr>
                <w:r w:rsidRPr="006D26E6">
                  <w:rPr>
                    <w:rFonts w:ascii="Times New Roman" w:eastAsia="Times New Roman" w:hAnsi="Times New Roman"/>
                    <w:b/>
                    <w:bCs/>
                    <w:color w:val="000000" w:themeColor="text1"/>
                    <w:sz w:val="18"/>
                    <w:szCs w:val="18"/>
                  </w:rPr>
                  <w:t>2.555.484.922</w:t>
                </w:r>
              </w:p>
            </w:tc>
            <w:tc>
              <w:tcPr>
                <w:tcW w:w="1472" w:type="dxa"/>
                <w:shd w:val="clear" w:color="auto" w:fill="FFFFFF" w:themeFill="background1"/>
                <w:tcMar>
                  <w:left w:w="70" w:type="dxa"/>
                  <w:right w:w="70" w:type="dxa"/>
                </w:tcMar>
                <w:vAlign w:val="center"/>
              </w:tcPr>
              <w:p w14:paraId="7F1D092F" w14:textId="3F45F0A5" w:rsidR="0E4E29E4" w:rsidRPr="006D26E6" w:rsidRDefault="0E4E29E4" w:rsidP="0E4E29E4">
                <w:pPr>
                  <w:spacing w:after="0"/>
                  <w:ind w:left="-20" w:right="-20"/>
                  <w:jc w:val="right"/>
                  <w:rPr>
                    <w:sz w:val="18"/>
                    <w:szCs w:val="18"/>
                  </w:rPr>
                </w:pPr>
                <w:r w:rsidRPr="006D26E6">
                  <w:rPr>
                    <w:rFonts w:ascii="Times New Roman" w:eastAsia="Times New Roman" w:hAnsi="Times New Roman"/>
                    <w:b/>
                    <w:bCs/>
                    <w:color w:val="000000" w:themeColor="text1"/>
                    <w:sz w:val="18"/>
                    <w:szCs w:val="18"/>
                  </w:rPr>
                  <w:t>8.317.301.138</w:t>
                </w:r>
              </w:p>
            </w:tc>
          </w:tr>
          <w:tr w:rsidR="0E4E29E4" w:rsidRPr="006D26E6" w14:paraId="58598447" w14:textId="77777777" w:rsidTr="00E918CC">
            <w:trPr>
              <w:trHeight w:val="300"/>
            </w:trPr>
            <w:tc>
              <w:tcPr>
                <w:tcW w:w="1124" w:type="dxa"/>
                <w:shd w:val="clear" w:color="auto" w:fill="FFFFFF" w:themeFill="background1"/>
                <w:tcMar>
                  <w:left w:w="70" w:type="dxa"/>
                  <w:right w:w="70" w:type="dxa"/>
                </w:tcMar>
                <w:vAlign w:val="center"/>
              </w:tcPr>
              <w:p w14:paraId="5E3AD431" w14:textId="1909BDCC" w:rsidR="0E4E29E4" w:rsidRPr="006D26E6" w:rsidRDefault="0E4E29E4" w:rsidP="0E4E29E4">
                <w:pPr>
                  <w:spacing w:after="0"/>
                  <w:ind w:left="-20" w:right="-20"/>
                  <w:rPr>
                    <w:sz w:val="18"/>
                    <w:szCs w:val="18"/>
                  </w:rPr>
                </w:pPr>
                <w:r w:rsidRPr="006D26E6">
                  <w:rPr>
                    <w:rFonts w:ascii="Times New Roman" w:eastAsia="Times New Roman" w:hAnsi="Times New Roman"/>
                    <w:color w:val="000000" w:themeColor="text1"/>
                    <w:sz w:val="18"/>
                    <w:szCs w:val="18"/>
                  </w:rPr>
                  <w:t>5.8.03.02</w:t>
                </w:r>
              </w:p>
            </w:tc>
            <w:tc>
              <w:tcPr>
                <w:tcW w:w="567" w:type="dxa"/>
                <w:shd w:val="clear" w:color="auto" w:fill="FFFFFF" w:themeFill="background1"/>
                <w:tcMar>
                  <w:left w:w="70" w:type="dxa"/>
                  <w:right w:w="70" w:type="dxa"/>
                </w:tcMar>
                <w:vAlign w:val="center"/>
              </w:tcPr>
              <w:p w14:paraId="4AD4F5A2" w14:textId="047F0BBE" w:rsidR="0E4E29E4" w:rsidRPr="006D26E6" w:rsidRDefault="0E4E29E4" w:rsidP="0E4E29E4">
                <w:pPr>
                  <w:spacing w:after="0"/>
                  <w:ind w:left="-20" w:right="-20"/>
                  <w:jc w:val="center"/>
                  <w:rPr>
                    <w:sz w:val="18"/>
                    <w:szCs w:val="18"/>
                  </w:rPr>
                </w:pPr>
                <w:r w:rsidRPr="006D26E6">
                  <w:rPr>
                    <w:rFonts w:ascii="Times New Roman" w:eastAsia="Times New Roman" w:hAnsi="Times New Roman"/>
                    <w:color w:val="000000" w:themeColor="text1"/>
                    <w:sz w:val="18"/>
                    <w:szCs w:val="18"/>
                  </w:rPr>
                  <w:t>Db</w:t>
                </w:r>
              </w:p>
            </w:tc>
            <w:tc>
              <w:tcPr>
                <w:tcW w:w="2861" w:type="dxa"/>
                <w:shd w:val="clear" w:color="auto" w:fill="FFFFFF" w:themeFill="background1"/>
                <w:tcMar>
                  <w:left w:w="70" w:type="dxa"/>
                  <w:right w:w="70" w:type="dxa"/>
                </w:tcMar>
                <w:vAlign w:val="center"/>
              </w:tcPr>
              <w:p w14:paraId="7C78A2B5" w14:textId="07BFA7CF" w:rsidR="0E4E29E4" w:rsidRPr="006D26E6" w:rsidRDefault="0E4E29E4" w:rsidP="0E4E29E4">
                <w:pPr>
                  <w:spacing w:after="0"/>
                  <w:ind w:left="-20" w:right="-20"/>
                  <w:rPr>
                    <w:sz w:val="18"/>
                    <w:szCs w:val="18"/>
                  </w:rPr>
                </w:pPr>
                <w:r w:rsidRPr="006D26E6">
                  <w:rPr>
                    <w:rFonts w:ascii="Times New Roman" w:eastAsia="Times New Roman" w:hAnsi="Times New Roman"/>
                    <w:color w:val="000000" w:themeColor="text1"/>
                    <w:sz w:val="18"/>
                    <w:szCs w:val="18"/>
                  </w:rPr>
                  <w:t>Cuentas por cobrar</w:t>
                </w:r>
              </w:p>
            </w:tc>
            <w:tc>
              <w:tcPr>
                <w:tcW w:w="1487" w:type="dxa"/>
                <w:shd w:val="clear" w:color="auto" w:fill="FFFFFF" w:themeFill="background1"/>
                <w:tcMar>
                  <w:left w:w="70" w:type="dxa"/>
                  <w:right w:w="70" w:type="dxa"/>
                </w:tcMar>
                <w:vAlign w:val="center"/>
              </w:tcPr>
              <w:p w14:paraId="7CF1B958" w14:textId="4A0C930B" w:rsidR="0E4E29E4" w:rsidRPr="006D26E6" w:rsidRDefault="0E4E29E4" w:rsidP="0E4E29E4">
                <w:pPr>
                  <w:spacing w:after="0"/>
                  <w:ind w:left="-20" w:right="-20"/>
                  <w:jc w:val="right"/>
                  <w:rPr>
                    <w:sz w:val="18"/>
                    <w:szCs w:val="18"/>
                  </w:rPr>
                </w:pPr>
                <w:r w:rsidRPr="006D26E6">
                  <w:rPr>
                    <w:rFonts w:ascii="Times New Roman" w:eastAsia="Times New Roman" w:hAnsi="Times New Roman"/>
                    <w:color w:val="000000" w:themeColor="text1"/>
                    <w:sz w:val="18"/>
                    <w:szCs w:val="18"/>
                  </w:rPr>
                  <w:t>10.872.786.060</w:t>
                </w:r>
              </w:p>
            </w:tc>
            <w:tc>
              <w:tcPr>
                <w:tcW w:w="1459" w:type="dxa"/>
                <w:shd w:val="clear" w:color="auto" w:fill="FFFFFF" w:themeFill="background1"/>
                <w:tcMar>
                  <w:left w:w="70" w:type="dxa"/>
                  <w:right w:w="70" w:type="dxa"/>
                </w:tcMar>
                <w:vAlign w:val="center"/>
              </w:tcPr>
              <w:p w14:paraId="5DB0773D" w14:textId="49FE0C34" w:rsidR="0E4E29E4" w:rsidRPr="006D26E6" w:rsidRDefault="0E4E29E4" w:rsidP="0E4E29E4">
                <w:pPr>
                  <w:spacing w:after="0"/>
                  <w:ind w:left="-20" w:right="-20"/>
                  <w:jc w:val="right"/>
                  <w:rPr>
                    <w:sz w:val="18"/>
                    <w:szCs w:val="18"/>
                  </w:rPr>
                </w:pPr>
                <w:r w:rsidRPr="006D26E6">
                  <w:rPr>
                    <w:rFonts w:ascii="Times New Roman" w:eastAsia="Times New Roman" w:hAnsi="Times New Roman"/>
                    <w:color w:val="000000" w:themeColor="text1"/>
                    <w:sz w:val="18"/>
                    <w:szCs w:val="18"/>
                  </w:rPr>
                  <w:t>2.555.484.922</w:t>
                </w:r>
              </w:p>
            </w:tc>
            <w:tc>
              <w:tcPr>
                <w:tcW w:w="1472" w:type="dxa"/>
                <w:shd w:val="clear" w:color="auto" w:fill="FFFFFF" w:themeFill="background1"/>
                <w:tcMar>
                  <w:left w:w="70" w:type="dxa"/>
                  <w:right w:w="70" w:type="dxa"/>
                </w:tcMar>
                <w:vAlign w:val="center"/>
              </w:tcPr>
              <w:p w14:paraId="246D3285" w14:textId="401BC9AB" w:rsidR="0E4E29E4" w:rsidRPr="006D26E6" w:rsidRDefault="0E4E29E4" w:rsidP="0E4E29E4">
                <w:pPr>
                  <w:spacing w:after="0"/>
                  <w:ind w:left="-20" w:right="-20"/>
                  <w:jc w:val="right"/>
                  <w:rPr>
                    <w:sz w:val="18"/>
                    <w:szCs w:val="18"/>
                  </w:rPr>
                </w:pPr>
                <w:r w:rsidRPr="006D26E6">
                  <w:rPr>
                    <w:rFonts w:ascii="Times New Roman" w:eastAsia="Times New Roman" w:hAnsi="Times New Roman"/>
                    <w:color w:val="000000" w:themeColor="text1"/>
                    <w:sz w:val="18"/>
                    <w:szCs w:val="18"/>
                  </w:rPr>
                  <w:t>8.317.301.138</w:t>
                </w:r>
              </w:p>
            </w:tc>
          </w:tr>
          <w:tr w:rsidR="0E4E29E4" w:rsidRPr="006D26E6" w14:paraId="7345D76D" w14:textId="77777777" w:rsidTr="00E918CC">
            <w:trPr>
              <w:trHeight w:val="285"/>
            </w:trPr>
            <w:tc>
              <w:tcPr>
                <w:tcW w:w="1124" w:type="dxa"/>
                <w:shd w:val="clear" w:color="auto" w:fill="FFFFFF" w:themeFill="background1"/>
                <w:tcMar>
                  <w:left w:w="70" w:type="dxa"/>
                  <w:right w:w="70" w:type="dxa"/>
                </w:tcMar>
                <w:vAlign w:val="center"/>
              </w:tcPr>
              <w:p w14:paraId="3818E785" w14:textId="1EAC0E12" w:rsidR="0E4E29E4" w:rsidRPr="006D26E6" w:rsidRDefault="0E4E29E4" w:rsidP="0E4E29E4">
                <w:pPr>
                  <w:spacing w:after="0"/>
                  <w:ind w:left="-20" w:right="-20"/>
                  <w:rPr>
                    <w:sz w:val="18"/>
                    <w:szCs w:val="18"/>
                  </w:rPr>
                </w:pPr>
                <w:r w:rsidRPr="006D26E6">
                  <w:rPr>
                    <w:rFonts w:ascii="Times New Roman" w:eastAsia="Times New Roman" w:hAnsi="Times New Roman"/>
                    <w:b/>
                    <w:bCs/>
                    <w:color w:val="000000" w:themeColor="text1"/>
                    <w:sz w:val="18"/>
                    <w:szCs w:val="18"/>
                  </w:rPr>
                  <w:t>5.8.04</w:t>
                </w:r>
              </w:p>
            </w:tc>
            <w:tc>
              <w:tcPr>
                <w:tcW w:w="567" w:type="dxa"/>
                <w:shd w:val="clear" w:color="auto" w:fill="FFFFFF" w:themeFill="background1"/>
                <w:tcMar>
                  <w:left w:w="70" w:type="dxa"/>
                  <w:right w:w="70" w:type="dxa"/>
                </w:tcMar>
                <w:vAlign w:val="center"/>
              </w:tcPr>
              <w:p w14:paraId="34095CA6" w14:textId="67263BC9" w:rsidR="0E4E29E4" w:rsidRPr="006D26E6" w:rsidRDefault="0E4E29E4" w:rsidP="0E4E29E4">
                <w:pPr>
                  <w:spacing w:after="0"/>
                  <w:ind w:left="-20" w:right="-20"/>
                  <w:jc w:val="center"/>
                  <w:rPr>
                    <w:sz w:val="18"/>
                    <w:szCs w:val="18"/>
                  </w:rPr>
                </w:pPr>
                <w:r w:rsidRPr="006D26E6">
                  <w:rPr>
                    <w:rFonts w:ascii="Times New Roman" w:eastAsia="Times New Roman" w:hAnsi="Times New Roman"/>
                    <w:b/>
                    <w:bCs/>
                    <w:color w:val="000000" w:themeColor="text1"/>
                    <w:sz w:val="18"/>
                    <w:szCs w:val="18"/>
                  </w:rPr>
                  <w:t>Db</w:t>
                </w:r>
              </w:p>
            </w:tc>
            <w:tc>
              <w:tcPr>
                <w:tcW w:w="2861" w:type="dxa"/>
                <w:shd w:val="clear" w:color="auto" w:fill="FFFFFF" w:themeFill="background1"/>
                <w:tcMar>
                  <w:left w:w="70" w:type="dxa"/>
                  <w:right w:w="70" w:type="dxa"/>
                </w:tcMar>
                <w:vAlign w:val="center"/>
              </w:tcPr>
              <w:p w14:paraId="3CC00FB0" w14:textId="12A8FB69" w:rsidR="0E4E29E4" w:rsidRPr="006D26E6" w:rsidRDefault="0E4E29E4" w:rsidP="0E4E29E4">
                <w:pPr>
                  <w:spacing w:after="0"/>
                  <w:ind w:left="-20" w:right="-20"/>
                  <w:rPr>
                    <w:sz w:val="18"/>
                    <w:szCs w:val="18"/>
                  </w:rPr>
                </w:pPr>
                <w:r w:rsidRPr="006D26E6">
                  <w:rPr>
                    <w:rFonts w:ascii="Times New Roman" w:eastAsia="Times New Roman" w:hAnsi="Times New Roman"/>
                    <w:b/>
                    <w:bCs/>
                    <w:color w:val="000000" w:themeColor="text1"/>
                    <w:sz w:val="18"/>
                    <w:szCs w:val="18"/>
                  </w:rPr>
                  <w:t>FINANCIEROS (2)</w:t>
                </w:r>
              </w:p>
            </w:tc>
            <w:tc>
              <w:tcPr>
                <w:tcW w:w="1487" w:type="dxa"/>
                <w:shd w:val="clear" w:color="auto" w:fill="FFFFFF" w:themeFill="background1"/>
                <w:tcMar>
                  <w:left w:w="70" w:type="dxa"/>
                  <w:right w:w="70" w:type="dxa"/>
                </w:tcMar>
                <w:vAlign w:val="center"/>
              </w:tcPr>
              <w:p w14:paraId="05728EA7" w14:textId="00E3CF5A" w:rsidR="0E4E29E4" w:rsidRPr="006D26E6" w:rsidRDefault="0E4E29E4" w:rsidP="0E4E29E4">
                <w:pPr>
                  <w:spacing w:after="0"/>
                  <w:ind w:left="-20" w:right="-20"/>
                  <w:jc w:val="right"/>
                  <w:rPr>
                    <w:sz w:val="18"/>
                    <w:szCs w:val="18"/>
                  </w:rPr>
                </w:pPr>
                <w:r w:rsidRPr="006D26E6">
                  <w:rPr>
                    <w:rFonts w:ascii="Times New Roman" w:eastAsia="Times New Roman" w:hAnsi="Times New Roman"/>
                    <w:b/>
                    <w:bCs/>
                    <w:color w:val="000000" w:themeColor="text1"/>
                    <w:sz w:val="18"/>
                    <w:szCs w:val="18"/>
                  </w:rPr>
                  <w:t>3.427.550.310.747</w:t>
                </w:r>
              </w:p>
            </w:tc>
            <w:tc>
              <w:tcPr>
                <w:tcW w:w="1459" w:type="dxa"/>
                <w:shd w:val="clear" w:color="auto" w:fill="FFFFFF" w:themeFill="background1"/>
                <w:tcMar>
                  <w:left w:w="70" w:type="dxa"/>
                  <w:right w:w="70" w:type="dxa"/>
                </w:tcMar>
                <w:vAlign w:val="center"/>
              </w:tcPr>
              <w:p w14:paraId="19FA4287" w14:textId="328684BC" w:rsidR="0E4E29E4" w:rsidRPr="006D26E6" w:rsidRDefault="0E4E29E4" w:rsidP="0E4E29E4">
                <w:pPr>
                  <w:spacing w:after="0"/>
                  <w:ind w:left="-20" w:right="-20"/>
                  <w:jc w:val="right"/>
                  <w:rPr>
                    <w:sz w:val="18"/>
                    <w:szCs w:val="18"/>
                  </w:rPr>
                </w:pPr>
                <w:r w:rsidRPr="006D26E6">
                  <w:rPr>
                    <w:rFonts w:ascii="Times New Roman" w:eastAsia="Times New Roman" w:hAnsi="Times New Roman"/>
                    <w:b/>
                    <w:bCs/>
                    <w:color w:val="000000" w:themeColor="text1"/>
                    <w:sz w:val="18"/>
                    <w:szCs w:val="18"/>
                  </w:rPr>
                  <w:t>3.560.447.207.726</w:t>
                </w:r>
              </w:p>
            </w:tc>
            <w:tc>
              <w:tcPr>
                <w:tcW w:w="1472" w:type="dxa"/>
                <w:shd w:val="clear" w:color="auto" w:fill="FFFFFF" w:themeFill="background1"/>
                <w:tcMar>
                  <w:left w:w="70" w:type="dxa"/>
                  <w:right w:w="70" w:type="dxa"/>
                </w:tcMar>
                <w:vAlign w:val="center"/>
              </w:tcPr>
              <w:p w14:paraId="7C1E3504" w14:textId="44AB978B" w:rsidR="0E4E29E4" w:rsidRPr="006D26E6" w:rsidRDefault="0E4E29E4" w:rsidP="0E4E29E4">
                <w:pPr>
                  <w:spacing w:after="0"/>
                  <w:ind w:left="-20" w:right="-20"/>
                  <w:jc w:val="right"/>
                  <w:rPr>
                    <w:sz w:val="18"/>
                    <w:szCs w:val="18"/>
                  </w:rPr>
                </w:pPr>
                <w:r w:rsidRPr="006D26E6">
                  <w:rPr>
                    <w:rFonts w:ascii="Times New Roman" w:eastAsia="Times New Roman" w:hAnsi="Times New Roman"/>
                    <w:b/>
                    <w:bCs/>
                    <w:color w:val="000000" w:themeColor="text1"/>
                    <w:sz w:val="18"/>
                    <w:szCs w:val="18"/>
                  </w:rPr>
                  <w:t>-132.896.896.979</w:t>
                </w:r>
              </w:p>
            </w:tc>
          </w:tr>
          <w:tr w:rsidR="0E4E29E4" w:rsidRPr="006D26E6" w14:paraId="54D3C0FF" w14:textId="77777777" w:rsidTr="00E918CC">
            <w:trPr>
              <w:trHeight w:val="300"/>
            </w:trPr>
            <w:tc>
              <w:tcPr>
                <w:tcW w:w="1124" w:type="dxa"/>
                <w:shd w:val="clear" w:color="auto" w:fill="FFFFFF" w:themeFill="background1"/>
                <w:tcMar>
                  <w:left w:w="70" w:type="dxa"/>
                  <w:right w:w="70" w:type="dxa"/>
                </w:tcMar>
                <w:vAlign w:val="center"/>
              </w:tcPr>
              <w:p w14:paraId="1F115A30" w14:textId="080508BE" w:rsidR="0E4E29E4" w:rsidRPr="006D26E6" w:rsidRDefault="0E4E29E4" w:rsidP="0E4E29E4">
                <w:pPr>
                  <w:spacing w:after="0"/>
                  <w:ind w:left="-20" w:right="-20"/>
                  <w:rPr>
                    <w:sz w:val="18"/>
                    <w:szCs w:val="18"/>
                  </w:rPr>
                </w:pPr>
                <w:r w:rsidRPr="006D26E6">
                  <w:rPr>
                    <w:rFonts w:ascii="Times New Roman" w:eastAsia="Times New Roman" w:hAnsi="Times New Roman"/>
                    <w:color w:val="000000" w:themeColor="text1"/>
                    <w:sz w:val="18"/>
                    <w:szCs w:val="18"/>
                  </w:rPr>
                  <w:t>5.8.04.23</w:t>
                </w:r>
              </w:p>
            </w:tc>
            <w:tc>
              <w:tcPr>
                <w:tcW w:w="567" w:type="dxa"/>
                <w:shd w:val="clear" w:color="auto" w:fill="FFFFFF" w:themeFill="background1"/>
                <w:tcMar>
                  <w:left w:w="70" w:type="dxa"/>
                  <w:right w:w="70" w:type="dxa"/>
                </w:tcMar>
                <w:vAlign w:val="center"/>
              </w:tcPr>
              <w:p w14:paraId="5DF28118" w14:textId="0D06C173" w:rsidR="0E4E29E4" w:rsidRPr="006D26E6" w:rsidRDefault="0E4E29E4" w:rsidP="0E4E29E4">
                <w:pPr>
                  <w:spacing w:after="0"/>
                  <w:ind w:left="-20" w:right="-20"/>
                  <w:jc w:val="center"/>
                  <w:rPr>
                    <w:sz w:val="18"/>
                    <w:szCs w:val="18"/>
                  </w:rPr>
                </w:pPr>
                <w:r w:rsidRPr="006D26E6">
                  <w:rPr>
                    <w:rFonts w:ascii="Times New Roman" w:eastAsia="Times New Roman" w:hAnsi="Times New Roman"/>
                    <w:color w:val="000000" w:themeColor="text1"/>
                    <w:sz w:val="18"/>
                    <w:szCs w:val="18"/>
                  </w:rPr>
                  <w:t>Db</w:t>
                </w:r>
              </w:p>
            </w:tc>
            <w:tc>
              <w:tcPr>
                <w:tcW w:w="2861" w:type="dxa"/>
                <w:shd w:val="clear" w:color="auto" w:fill="FFFFFF" w:themeFill="background1"/>
                <w:tcMar>
                  <w:left w:w="70" w:type="dxa"/>
                  <w:right w:w="70" w:type="dxa"/>
                </w:tcMar>
                <w:vAlign w:val="center"/>
              </w:tcPr>
              <w:p w14:paraId="2FE7B400" w14:textId="2866ECBD" w:rsidR="0E4E29E4" w:rsidRPr="006D26E6" w:rsidRDefault="0E4E29E4" w:rsidP="0E4E29E4">
                <w:pPr>
                  <w:spacing w:after="0"/>
                  <w:ind w:left="-20" w:right="-20"/>
                  <w:rPr>
                    <w:sz w:val="18"/>
                    <w:szCs w:val="18"/>
                  </w:rPr>
                </w:pPr>
                <w:r w:rsidRPr="006D26E6">
                  <w:rPr>
                    <w:rFonts w:ascii="Times New Roman" w:eastAsia="Times New Roman" w:hAnsi="Times New Roman"/>
                    <w:color w:val="000000" w:themeColor="text1"/>
                    <w:sz w:val="18"/>
                    <w:szCs w:val="18"/>
                  </w:rPr>
                  <w:t>Pérdida por baja en cuentas de cuentas por cobrar</w:t>
                </w:r>
              </w:p>
            </w:tc>
            <w:tc>
              <w:tcPr>
                <w:tcW w:w="1487" w:type="dxa"/>
                <w:shd w:val="clear" w:color="auto" w:fill="FFFFFF" w:themeFill="background1"/>
                <w:tcMar>
                  <w:left w:w="70" w:type="dxa"/>
                  <w:right w:w="70" w:type="dxa"/>
                </w:tcMar>
                <w:vAlign w:val="center"/>
              </w:tcPr>
              <w:p w14:paraId="14672869" w14:textId="025D141B" w:rsidR="0E4E29E4" w:rsidRPr="006D26E6" w:rsidRDefault="0E4E29E4" w:rsidP="0E4E29E4">
                <w:pPr>
                  <w:spacing w:after="0"/>
                  <w:ind w:left="-20" w:right="-20"/>
                  <w:jc w:val="right"/>
                  <w:rPr>
                    <w:sz w:val="18"/>
                    <w:szCs w:val="18"/>
                  </w:rPr>
                </w:pPr>
                <w:r w:rsidRPr="006D26E6">
                  <w:rPr>
                    <w:rFonts w:ascii="Times New Roman" w:eastAsia="Times New Roman" w:hAnsi="Times New Roman"/>
                    <w:color w:val="000000" w:themeColor="text1"/>
                    <w:sz w:val="18"/>
                    <w:szCs w:val="18"/>
                  </w:rPr>
                  <w:t>15.449.096</w:t>
                </w:r>
              </w:p>
            </w:tc>
            <w:tc>
              <w:tcPr>
                <w:tcW w:w="1459" w:type="dxa"/>
                <w:shd w:val="clear" w:color="auto" w:fill="FFFFFF" w:themeFill="background1"/>
                <w:tcMar>
                  <w:left w:w="70" w:type="dxa"/>
                  <w:right w:w="70" w:type="dxa"/>
                </w:tcMar>
                <w:vAlign w:val="center"/>
              </w:tcPr>
              <w:p w14:paraId="43BFC69E" w14:textId="02CA5C3E" w:rsidR="0E4E29E4" w:rsidRPr="006D26E6" w:rsidRDefault="0E4E29E4" w:rsidP="0E4E29E4">
                <w:pPr>
                  <w:spacing w:after="0"/>
                  <w:ind w:left="-20" w:right="-20"/>
                  <w:jc w:val="right"/>
                  <w:rPr>
                    <w:sz w:val="18"/>
                    <w:szCs w:val="18"/>
                  </w:rPr>
                </w:pPr>
                <w:r w:rsidRPr="006D26E6">
                  <w:rPr>
                    <w:rFonts w:ascii="Times New Roman" w:eastAsia="Times New Roman" w:hAnsi="Times New Roman"/>
                    <w:color w:val="000000" w:themeColor="text1"/>
                    <w:sz w:val="18"/>
                    <w:szCs w:val="18"/>
                  </w:rPr>
                  <w:t>4.485.319.360</w:t>
                </w:r>
              </w:p>
            </w:tc>
            <w:tc>
              <w:tcPr>
                <w:tcW w:w="1472" w:type="dxa"/>
                <w:shd w:val="clear" w:color="auto" w:fill="FFFFFF" w:themeFill="background1"/>
                <w:tcMar>
                  <w:left w:w="70" w:type="dxa"/>
                  <w:right w:w="70" w:type="dxa"/>
                </w:tcMar>
                <w:vAlign w:val="center"/>
              </w:tcPr>
              <w:p w14:paraId="18C30449" w14:textId="03EF1392" w:rsidR="0E4E29E4" w:rsidRPr="006D26E6" w:rsidRDefault="0E4E29E4" w:rsidP="0E4E29E4">
                <w:pPr>
                  <w:spacing w:after="0"/>
                  <w:ind w:left="-20" w:right="-20"/>
                  <w:jc w:val="right"/>
                  <w:rPr>
                    <w:sz w:val="18"/>
                    <w:szCs w:val="18"/>
                  </w:rPr>
                </w:pPr>
                <w:r w:rsidRPr="006D26E6">
                  <w:rPr>
                    <w:rFonts w:ascii="Times New Roman" w:eastAsia="Times New Roman" w:hAnsi="Times New Roman"/>
                    <w:color w:val="000000" w:themeColor="text1"/>
                    <w:sz w:val="18"/>
                    <w:szCs w:val="18"/>
                  </w:rPr>
                  <w:t>-4.469.870.264</w:t>
                </w:r>
              </w:p>
            </w:tc>
          </w:tr>
          <w:tr w:rsidR="0E4E29E4" w:rsidRPr="006D26E6" w14:paraId="2332630A" w14:textId="77777777" w:rsidTr="00E918CC">
            <w:trPr>
              <w:trHeight w:val="600"/>
            </w:trPr>
            <w:tc>
              <w:tcPr>
                <w:tcW w:w="1124" w:type="dxa"/>
                <w:shd w:val="clear" w:color="auto" w:fill="FFFFFF" w:themeFill="background1"/>
                <w:tcMar>
                  <w:left w:w="70" w:type="dxa"/>
                  <w:right w:w="70" w:type="dxa"/>
                </w:tcMar>
                <w:vAlign w:val="center"/>
              </w:tcPr>
              <w:p w14:paraId="0FA3CE67" w14:textId="24150553" w:rsidR="0E4E29E4" w:rsidRPr="006D26E6" w:rsidRDefault="0E4E29E4" w:rsidP="0E4E29E4">
                <w:pPr>
                  <w:spacing w:after="0"/>
                  <w:ind w:left="-20" w:right="-20"/>
                  <w:rPr>
                    <w:sz w:val="18"/>
                    <w:szCs w:val="18"/>
                  </w:rPr>
                </w:pPr>
                <w:r w:rsidRPr="006D26E6">
                  <w:rPr>
                    <w:rFonts w:ascii="Times New Roman" w:eastAsia="Times New Roman" w:hAnsi="Times New Roman"/>
                    <w:color w:val="000000" w:themeColor="text1"/>
                    <w:sz w:val="18"/>
                    <w:szCs w:val="18"/>
                  </w:rPr>
                  <w:t>5.8.04.35</w:t>
                </w:r>
              </w:p>
            </w:tc>
            <w:tc>
              <w:tcPr>
                <w:tcW w:w="567" w:type="dxa"/>
                <w:shd w:val="clear" w:color="auto" w:fill="FFFFFF" w:themeFill="background1"/>
                <w:tcMar>
                  <w:left w:w="70" w:type="dxa"/>
                  <w:right w:w="70" w:type="dxa"/>
                </w:tcMar>
                <w:vAlign w:val="center"/>
              </w:tcPr>
              <w:p w14:paraId="43ACFB21" w14:textId="7309DB57" w:rsidR="0E4E29E4" w:rsidRPr="006D26E6" w:rsidRDefault="0E4E29E4" w:rsidP="0E4E29E4">
                <w:pPr>
                  <w:spacing w:after="0"/>
                  <w:ind w:left="-20" w:right="-20"/>
                  <w:jc w:val="center"/>
                  <w:rPr>
                    <w:sz w:val="18"/>
                    <w:szCs w:val="18"/>
                  </w:rPr>
                </w:pPr>
                <w:r w:rsidRPr="006D26E6">
                  <w:rPr>
                    <w:rFonts w:ascii="Times New Roman" w:eastAsia="Times New Roman" w:hAnsi="Times New Roman"/>
                    <w:color w:val="000000" w:themeColor="text1"/>
                    <w:sz w:val="18"/>
                    <w:szCs w:val="18"/>
                  </w:rPr>
                  <w:t>Db</w:t>
                </w:r>
              </w:p>
            </w:tc>
            <w:tc>
              <w:tcPr>
                <w:tcW w:w="2861" w:type="dxa"/>
                <w:shd w:val="clear" w:color="auto" w:fill="FFFFFF" w:themeFill="background1"/>
                <w:tcMar>
                  <w:left w:w="70" w:type="dxa"/>
                  <w:right w:w="70" w:type="dxa"/>
                </w:tcMar>
                <w:vAlign w:val="center"/>
              </w:tcPr>
              <w:p w14:paraId="11449E68" w14:textId="639E5506" w:rsidR="0E4E29E4" w:rsidRPr="006D26E6" w:rsidRDefault="0E4E29E4" w:rsidP="0E4E29E4">
                <w:pPr>
                  <w:spacing w:after="0"/>
                  <w:ind w:left="-20" w:right="-20"/>
                  <w:rPr>
                    <w:sz w:val="18"/>
                    <w:szCs w:val="18"/>
                  </w:rPr>
                </w:pPr>
                <w:r w:rsidRPr="006D26E6">
                  <w:rPr>
                    <w:rFonts w:ascii="Times New Roman" w:eastAsia="Times New Roman" w:hAnsi="Times New Roman"/>
                    <w:color w:val="000000" w:themeColor="text1"/>
                    <w:sz w:val="18"/>
                    <w:szCs w:val="18"/>
                  </w:rPr>
                  <w:t>Costo efectivo de préstamos por pagar - financiamiento interno de largo plazo</w:t>
                </w:r>
              </w:p>
            </w:tc>
            <w:tc>
              <w:tcPr>
                <w:tcW w:w="1487" w:type="dxa"/>
                <w:shd w:val="clear" w:color="auto" w:fill="FFFFFF" w:themeFill="background1"/>
                <w:tcMar>
                  <w:left w:w="70" w:type="dxa"/>
                  <w:right w:w="70" w:type="dxa"/>
                </w:tcMar>
                <w:vAlign w:val="center"/>
              </w:tcPr>
              <w:p w14:paraId="5786619E" w14:textId="28A2372A" w:rsidR="0E4E29E4" w:rsidRPr="006D26E6" w:rsidRDefault="0E4E29E4" w:rsidP="0E4E29E4">
                <w:pPr>
                  <w:spacing w:after="0"/>
                  <w:ind w:left="-20" w:right="-20"/>
                  <w:jc w:val="right"/>
                  <w:rPr>
                    <w:sz w:val="18"/>
                    <w:szCs w:val="18"/>
                  </w:rPr>
                </w:pPr>
                <w:r w:rsidRPr="006D26E6">
                  <w:rPr>
                    <w:rFonts w:ascii="Times New Roman" w:eastAsia="Times New Roman" w:hAnsi="Times New Roman"/>
                    <w:color w:val="000000" w:themeColor="text1"/>
                    <w:sz w:val="18"/>
                    <w:szCs w:val="18"/>
                  </w:rPr>
                  <w:t>3.079.210.006.448</w:t>
                </w:r>
              </w:p>
            </w:tc>
            <w:tc>
              <w:tcPr>
                <w:tcW w:w="1459" w:type="dxa"/>
                <w:shd w:val="clear" w:color="auto" w:fill="FFFFFF" w:themeFill="background1"/>
                <w:tcMar>
                  <w:left w:w="70" w:type="dxa"/>
                  <w:right w:w="70" w:type="dxa"/>
                </w:tcMar>
                <w:vAlign w:val="center"/>
              </w:tcPr>
              <w:p w14:paraId="7530C101" w14:textId="51491B9B" w:rsidR="0E4E29E4" w:rsidRPr="006D26E6" w:rsidRDefault="0E4E29E4" w:rsidP="0E4E29E4">
                <w:pPr>
                  <w:spacing w:after="0"/>
                  <w:ind w:left="-20" w:right="-20"/>
                  <w:jc w:val="right"/>
                  <w:rPr>
                    <w:sz w:val="18"/>
                    <w:szCs w:val="18"/>
                  </w:rPr>
                </w:pPr>
                <w:r w:rsidRPr="006D26E6">
                  <w:rPr>
                    <w:rFonts w:ascii="Times New Roman" w:eastAsia="Times New Roman" w:hAnsi="Times New Roman"/>
                    <w:color w:val="000000" w:themeColor="text1"/>
                    <w:sz w:val="18"/>
                    <w:szCs w:val="18"/>
                  </w:rPr>
                  <w:t>3.398.217.489.563</w:t>
                </w:r>
              </w:p>
            </w:tc>
            <w:tc>
              <w:tcPr>
                <w:tcW w:w="1472" w:type="dxa"/>
                <w:shd w:val="clear" w:color="auto" w:fill="FFFFFF" w:themeFill="background1"/>
                <w:tcMar>
                  <w:left w:w="70" w:type="dxa"/>
                  <w:right w:w="70" w:type="dxa"/>
                </w:tcMar>
                <w:vAlign w:val="center"/>
              </w:tcPr>
              <w:p w14:paraId="634F6F4C" w14:textId="3EDE614D" w:rsidR="0E4E29E4" w:rsidRPr="006D26E6" w:rsidRDefault="0E4E29E4" w:rsidP="0E4E29E4">
                <w:pPr>
                  <w:spacing w:after="0"/>
                  <w:ind w:left="-20" w:right="-20"/>
                  <w:jc w:val="right"/>
                  <w:rPr>
                    <w:sz w:val="18"/>
                    <w:szCs w:val="18"/>
                  </w:rPr>
                </w:pPr>
                <w:r w:rsidRPr="006D26E6">
                  <w:rPr>
                    <w:rFonts w:ascii="Times New Roman" w:eastAsia="Times New Roman" w:hAnsi="Times New Roman"/>
                    <w:color w:val="000000" w:themeColor="text1"/>
                    <w:sz w:val="18"/>
                    <w:szCs w:val="18"/>
                  </w:rPr>
                  <w:t>-319.007.483.115</w:t>
                </w:r>
              </w:p>
            </w:tc>
          </w:tr>
          <w:tr w:rsidR="0E4E29E4" w:rsidRPr="006D26E6" w14:paraId="1BB836D9" w14:textId="77777777" w:rsidTr="00E918CC">
            <w:trPr>
              <w:trHeight w:val="300"/>
            </w:trPr>
            <w:tc>
              <w:tcPr>
                <w:tcW w:w="1124" w:type="dxa"/>
                <w:shd w:val="clear" w:color="auto" w:fill="FFFFFF" w:themeFill="background1"/>
                <w:tcMar>
                  <w:left w:w="70" w:type="dxa"/>
                  <w:right w:w="70" w:type="dxa"/>
                </w:tcMar>
                <w:vAlign w:val="center"/>
              </w:tcPr>
              <w:p w14:paraId="01F43203" w14:textId="6DFEE6A9" w:rsidR="0E4E29E4" w:rsidRPr="006D26E6" w:rsidRDefault="0E4E29E4" w:rsidP="0E4E29E4">
                <w:pPr>
                  <w:spacing w:after="0"/>
                  <w:ind w:left="-20" w:right="-20"/>
                  <w:rPr>
                    <w:sz w:val="18"/>
                    <w:szCs w:val="18"/>
                  </w:rPr>
                </w:pPr>
                <w:r w:rsidRPr="006D26E6">
                  <w:rPr>
                    <w:rFonts w:ascii="Times New Roman" w:eastAsia="Times New Roman" w:hAnsi="Times New Roman"/>
                    <w:color w:val="000000" w:themeColor="text1"/>
                    <w:sz w:val="18"/>
                    <w:szCs w:val="18"/>
                  </w:rPr>
                  <w:t>5.8.04.39</w:t>
                </w:r>
              </w:p>
            </w:tc>
            <w:tc>
              <w:tcPr>
                <w:tcW w:w="567" w:type="dxa"/>
                <w:shd w:val="clear" w:color="auto" w:fill="FFFFFF" w:themeFill="background1"/>
                <w:tcMar>
                  <w:left w:w="70" w:type="dxa"/>
                  <w:right w:w="70" w:type="dxa"/>
                </w:tcMar>
                <w:vAlign w:val="center"/>
              </w:tcPr>
              <w:p w14:paraId="0948D5B7" w14:textId="186A2CFA" w:rsidR="0E4E29E4" w:rsidRPr="006D26E6" w:rsidRDefault="0E4E29E4" w:rsidP="0E4E29E4">
                <w:pPr>
                  <w:spacing w:after="0"/>
                  <w:ind w:left="-20" w:right="-20"/>
                  <w:jc w:val="center"/>
                  <w:rPr>
                    <w:sz w:val="18"/>
                    <w:szCs w:val="18"/>
                  </w:rPr>
                </w:pPr>
                <w:r w:rsidRPr="006D26E6">
                  <w:rPr>
                    <w:rFonts w:ascii="Times New Roman" w:eastAsia="Times New Roman" w:hAnsi="Times New Roman"/>
                    <w:color w:val="000000" w:themeColor="text1"/>
                    <w:sz w:val="18"/>
                    <w:szCs w:val="18"/>
                  </w:rPr>
                  <w:t>Db</w:t>
                </w:r>
              </w:p>
            </w:tc>
            <w:tc>
              <w:tcPr>
                <w:tcW w:w="2861" w:type="dxa"/>
                <w:shd w:val="clear" w:color="auto" w:fill="FFFFFF" w:themeFill="background1"/>
                <w:tcMar>
                  <w:left w:w="70" w:type="dxa"/>
                  <w:right w:w="70" w:type="dxa"/>
                </w:tcMar>
                <w:vAlign w:val="center"/>
              </w:tcPr>
              <w:p w14:paraId="72619EFA" w14:textId="23F79DC0" w:rsidR="0E4E29E4" w:rsidRPr="006D26E6" w:rsidRDefault="0E4E29E4" w:rsidP="0E4E29E4">
                <w:pPr>
                  <w:spacing w:after="0"/>
                  <w:ind w:left="-20" w:right="-20"/>
                  <w:rPr>
                    <w:sz w:val="18"/>
                    <w:szCs w:val="18"/>
                  </w:rPr>
                </w:pPr>
                <w:r w:rsidRPr="006D26E6">
                  <w:rPr>
                    <w:rFonts w:ascii="Times New Roman" w:eastAsia="Times New Roman" w:hAnsi="Times New Roman"/>
                    <w:color w:val="000000" w:themeColor="text1"/>
                    <w:sz w:val="18"/>
                    <w:szCs w:val="18"/>
                  </w:rPr>
                  <w:t>Intereses de mora</w:t>
                </w:r>
              </w:p>
            </w:tc>
            <w:tc>
              <w:tcPr>
                <w:tcW w:w="1487" w:type="dxa"/>
                <w:shd w:val="clear" w:color="auto" w:fill="FFFFFF" w:themeFill="background1"/>
                <w:tcMar>
                  <w:left w:w="70" w:type="dxa"/>
                  <w:right w:w="70" w:type="dxa"/>
                </w:tcMar>
                <w:vAlign w:val="center"/>
              </w:tcPr>
              <w:p w14:paraId="0684C028" w14:textId="194CD782" w:rsidR="0E4E29E4" w:rsidRPr="006D26E6" w:rsidRDefault="0E4E29E4" w:rsidP="0E4E29E4">
                <w:pPr>
                  <w:spacing w:after="0"/>
                  <w:ind w:left="-20" w:right="-20"/>
                  <w:jc w:val="right"/>
                  <w:rPr>
                    <w:sz w:val="18"/>
                    <w:szCs w:val="18"/>
                  </w:rPr>
                </w:pPr>
                <w:r w:rsidRPr="006D26E6">
                  <w:rPr>
                    <w:rFonts w:ascii="Times New Roman" w:eastAsia="Times New Roman" w:hAnsi="Times New Roman"/>
                    <w:color w:val="000000" w:themeColor="text1"/>
                    <w:sz w:val="18"/>
                    <w:szCs w:val="18"/>
                  </w:rPr>
                  <w:t>31.589.865.213</w:t>
                </w:r>
              </w:p>
            </w:tc>
            <w:tc>
              <w:tcPr>
                <w:tcW w:w="1459" w:type="dxa"/>
                <w:shd w:val="clear" w:color="auto" w:fill="FFFFFF" w:themeFill="background1"/>
                <w:tcMar>
                  <w:left w:w="70" w:type="dxa"/>
                  <w:right w:w="70" w:type="dxa"/>
                </w:tcMar>
                <w:vAlign w:val="center"/>
              </w:tcPr>
              <w:p w14:paraId="45DE6978" w14:textId="6276EDA9" w:rsidR="0E4E29E4" w:rsidRPr="006D26E6" w:rsidRDefault="0E4E29E4" w:rsidP="0E4E29E4">
                <w:pPr>
                  <w:spacing w:after="0"/>
                  <w:ind w:left="-20" w:right="-20"/>
                  <w:jc w:val="right"/>
                  <w:rPr>
                    <w:sz w:val="18"/>
                    <w:szCs w:val="18"/>
                  </w:rPr>
                </w:pPr>
                <w:r w:rsidRPr="006D26E6">
                  <w:rPr>
                    <w:rFonts w:ascii="Times New Roman" w:eastAsia="Times New Roman" w:hAnsi="Times New Roman"/>
                    <w:color w:val="000000" w:themeColor="text1"/>
                    <w:sz w:val="18"/>
                    <w:szCs w:val="18"/>
                  </w:rPr>
                  <w:t>0</w:t>
                </w:r>
              </w:p>
            </w:tc>
            <w:tc>
              <w:tcPr>
                <w:tcW w:w="1472" w:type="dxa"/>
                <w:shd w:val="clear" w:color="auto" w:fill="FFFFFF" w:themeFill="background1"/>
                <w:tcMar>
                  <w:left w:w="70" w:type="dxa"/>
                  <w:right w:w="70" w:type="dxa"/>
                </w:tcMar>
                <w:vAlign w:val="center"/>
              </w:tcPr>
              <w:p w14:paraId="0CA4C35D" w14:textId="2E125D7D" w:rsidR="0E4E29E4" w:rsidRPr="006D26E6" w:rsidRDefault="0E4E29E4" w:rsidP="0E4E29E4">
                <w:pPr>
                  <w:spacing w:after="0"/>
                  <w:ind w:left="-20" w:right="-20"/>
                  <w:jc w:val="right"/>
                  <w:rPr>
                    <w:sz w:val="18"/>
                    <w:szCs w:val="18"/>
                  </w:rPr>
                </w:pPr>
                <w:r w:rsidRPr="006D26E6">
                  <w:rPr>
                    <w:rFonts w:ascii="Times New Roman" w:eastAsia="Times New Roman" w:hAnsi="Times New Roman"/>
                    <w:color w:val="000000" w:themeColor="text1"/>
                    <w:sz w:val="18"/>
                    <w:szCs w:val="18"/>
                  </w:rPr>
                  <w:t>31.589.865.213</w:t>
                </w:r>
              </w:p>
            </w:tc>
          </w:tr>
          <w:tr w:rsidR="0E4E29E4" w:rsidRPr="006D26E6" w14:paraId="13E20257" w14:textId="77777777" w:rsidTr="00E918CC">
            <w:trPr>
              <w:trHeight w:val="300"/>
            </w:trPr>
            <w:tc>
              <w:tcPr>
                <w:tcW w:w="1124" w:type="dxa"/>
                <w:shd w:val="clear" w:color="auto" w:fill="FFFFFF" w:themeFill="background1"/>
                <w:tcMar>
                  <w:left w:w="70" w:type="dxa"/>
                  <w:right w:w="70" w:type="dxa"/>
                </w:tcMar>
                <w:vAlign w:val="center"/>
              </w:tcPr>
              <w:p w14:paraId="522117CF" w14:textId="14EB5C7C" w:rsidR="0E4E29E4" w:rsidRPr="006D26E6" w:rsidRDefault="0E4E29E4" w:rsidP="0E4E29E4">
                <w:pPr>
                  <w:spacing w:after="0"/>
                  <w:ind w:left="-20" w:right="-20"/>
                  <w:rPr>
                    <w:sz w:val="18"/>
                    <w:szCs w:val="18"/>
                  </w:rPr>
                </w:pPr>
                <w:r w:rsidRPr="006D26E6">
                  <w:rPr>
                    <w:rFonts w:ascii="Times New Roman" w:eastAsia="Times New Roman" w:hAnsi="Times New Roman"/>
                    <w:color w:val="000000" w:themeColor="text1"/>
                    <w:sz w:val="18"/>
                    <w:szCs w:val="18"/>
                  </w:rPr>
                  <w:t>5.8.04.47</w:t>
                </w:r>
              </w:p>
            </w:tc>
            <w:tc>
              <w:tcPr>
                <w:tcW w:w="567" w:type="dxa"/>
                <w:shd w:val="clear" w:color="auto" w:fill="FFFFFF" w:themeFill="background1"/>
                <w:tcMar>
                  <w:left w:w="70" w:type="dxa"/>
                  <w:right w:w="70" w:type="dxa"/>
                </w:tcMar>
                <w:vAlign w:val="center"/>
              </w:tcPr>
              <w:p w14:paraId="64BF1552" w14:textId="5CFC849E" w:rsidR="0E4E29E4" w:rsidRPr="006D26E6" w:rsidRDefault="0E4E29E4" w:rsidP="0E4E29E4">
                <w:pPr>
                  <w:spacing w:after="0"/>
                  <w:ind w:left="-20" w:right="-20"/>
                  <w:jc w:val="center"/>
                  <w:rPr>
                    <w:sz w:val="18"/>
                    <w:szCs w:val="18"/>
                  </w:rPr>
                </w:pPr>
                <w:r w:rsidRPr="006D26E6">
                  <w:rPr>
                    <w:rFonts w:ascii="Times New Roman" w:eastAsia="Times New Roman" w:hAnsi="Times New Roman"/>
                    <w:color w:val="000000" w:themeColor="text1"/>
                    <w:sz w:val="18"/>
                    <w:szCs w:val="18"/>
                  </w:rPr>
                  <w:t>Db</w:t>
                </w:r>
              </w:p>
            </w:tc>
            <w:tc>
              <w:tcPr>
                <w:tcW w:w="2861" w:type="dxa"/>
                <w:shd w:val="clear" w:color="auto" w:fill="FFFFFF" w:themeFill="background1"/>
                <w:tcMar>
                  <w:left w:w="70" w:type="dxa"/>
                  <w:right w:w="70" w:type="dxa"/>
                </w:tcMar>
                <w:vAlign w:val="center"/>
              </w:tcPr>
              <w:p w14:paraId="17868455" w14:textId="39E1C4F8" w:rsidR="0E4E29E4" w:rsidRPr="006D26E6" w:rsidRDefault="0E4E29E4" w:rsidP="0E4E29E4">
                <w:pPr>
                  <w:spacing w:after="0"/>
                  <w:ind w:left="-20" w:right="-20"/>
                  <w:rPr>
                    <w:sz w:val="18"/>
                    <w:szCs w:val="18"/>
                  </w:rPr>
                </w:pPr>
                <w:r w:rsidRPr="006D26E6">
                  <w:rPr>
                    <w:rFonts w:ascii="Times New Roman" w:eastAsia="Times New Roman" w:hAnsi="Times New Roman"/>
                    <w:color w:val="000000" w:themeColor="text1"/>
                    <w:sz w:val="18"/>
                    <w:szCs w:val="18"/>
                  </w:rPr>
                  <w:t>Intereses de sentencias</w:t>
                </w:r>
              </w:p>
            </w:tc>
            <w:tc>
              <w:tcPr>
                <w:tcW w:w="1487" w:type="dxa"/>
                <w:shd w:val="clear" w:color="auto" w:fill="FFFFFF" w:themeFill="background1"/>
                <w:tcMar>
                  <w:left w:w="70" w:type="dxa"/>
                  <w:right w:w="70" w:type="dxa"/>
                </w:tcMar>
                <w:vAlign w:val="center"/>
              </w:tcPr>
              <w:p w14:paraId="570ED1E7" w14:textId="28671450" w:rsidR="0E4E29E4" w:rsidRPr="006D26E6" w:rsidRDefault="0E4E29E4" w:rsidP="0E4E29E4">
                <w:pPr>
                  <w:spacing w:after="0"/>
                  <w:ind w:left="-20" w:right="-20"/>
                  <w:jc w:val="right"/>
                  <w:rPr>
                    <w:sz w:val="18"/>
                    <w:szCs w:val="18"/>
                  </w:rPr>
                </w:pPr>
                <w:r w:rsidRPr="006D26E6">
                  <w:rPr>
                    <w:rFonts w:ascii="Times New Roman" w:eastAsia="Times New Roman" w:hAnsi="Times New Roman"/>
                    <w:color w:val="000000" w:themeColor="text1"/>
                    <w:sz w:val="18"/>
                    <w:szCs w:val="18"/>
                  </w:rPr>
                  <w:t>26.141.232</w:t>
                </w:r>
              </w:p>
            </w:tc>
            <w:tc>
              <w:tcPr>
                <w:tcW w:w="1459" w:type="dxa"/>
                <w:shd w:val="clear" w:color="auto" w:fill="FFFFFF" w:themeFill="background1"/>
                <w:tcMar>
                  <w:left w:w="70" w:type="dxa"/>
                  <w:right w:w="70" w:type="dxa"/>
                </w:tcMar>
                <w:vAlign w:val="center"/>
              </w:tcPr>
              <w:p w14:paraId="01C2DEFB" w14:textId="5B2C7DA0" w:rsidR="0E4E29E4" w:rsidRPr="006D26E6" w:rsidRDefault="0E4E29E4" w:rsidP="0E4E29E4">
                <w:pPr>
                  <w:spacing w:after="0"/>
                  <w:ind w:left="-20" w:right="-20"/>
                  <w:jc w:val="right"/>
                  <w:rPr>
                    <w:sz w:val="18"/>
                    <w:szCs w:val="18"/>
                  </w:rPr>
                </w:pPr>
                <w:r w:rsidRPr="006D26E6">
                  <w:rPr>
                    <w:rFonts w:ascii="Times New Roman" w:eastAsia="Times New Roman" w:hAnsi="Times New Roman"/>
                    <w:color w:val="000000" w:themeColor="text1"/>
                    <w:sz w:val="18"/>
                    <w:szCs w:val="18"/>
                  </w:rPr>
                  <w:t>71.838.069</w:t>
                </w:r>
              </w:p>
            </w:tc>
            <w:tc>
              <w:tcPr>
                <w:tcW w:w="1472" w:type="dxa"/>
                <w:shd w:val="clear" w:color="auto" w:fill="FFFFFF" w:themeFill="background1"/>
                <w:tcMar>
                  <w:left w:w="70" w:type="dxa"/>
                  <w:right w:w="70" w:type="dxa"/>
                </w:tcMar>
                <w:vAlign w:val="center"/>
              </w:tcPr>
              <w:p w14:paraId="0E606AAD" w14:textId="41F0288E" w:rsidR="0E4E29E4" w:rsidRPr="006D26E6" w:rsidRDefault="0E4E29E4" w:rsidP="0E4E29E4">
                <w:pPr>
                  <w:spacing w:after="0"/>
                  <w:ind w:left="-20" w:right="-20"/>
                  <w:jc w:val="right"/>
                  <w:rPr>
                    <w:sz w:val="18"/>
                    <w:szCs w:val="18"/>
                  </w:rPr>
                </w:pPr>
                <w:r w:rsidRPr="006D26E6">
                  <w:rPr>
                    <w:rFonts w:ascii="Times New Roman" w:eastAsia="Times New Roman" w:hAnsi="Times New Roman"/>
                    <w:color w:val="000000" w:themeColor="text1"/>
                    <w:sz w:val="18"/>
                    <w:szCs w:val="18"/>
                  </w:rPr>
                  <w:t>-45.696.837</w:t>
                </w:r>
              </w:p>
            </w:tc>
          </w:tr>
          <w:tr w:rsidR="0E4E29E4" w:rsidRPr="006D26E6" w14:paraId="07D77C20" w14:textId="77777777" w:rsidTr="00E918CC">
            <w:trPr>
              <w:trHeight w:val="600"/>
            </w:trPr>
            <w:tc>
              <w:tcPr>
                <w:tcW w:w="1124" w:type="dxa"/>
                <w:shd w:val="clear" w:color="auto" w:fill="FFFFFF" w:themeFill="background1"/>
                <w:tcMar>
                  <w:left w:w="70" w:type="dxa"/>
                  <w:right w:w="70" w:type="dxa"/>
                </w:tcMar>
                <w:vAlign w:val="center"/>
              </w:tcPr>
              <w:p w14:paraId="5ECA2F58" w14:textId="157469AD" w:rsidR="0E4E29E4" w:rsidRPr="006D26E6" w:rsidRDefault="0E4E29E4" w:rsidP="0E4E29E4">
                <w:pPr>
                  <w:spacing w:after="0"/>
                  <w:ind w:left="-20" w:right="-20"/>
                  <w:rPr>
                    <w:sz w:val="18"/>
                    <w:szCs w:val="18"/>
                  </w:rPr>
                </w:pPr>
                <w:r w:rsidRPr="006D26E6">
                  <w:rPr>
                    <w:rFonts w:ascii="Times New Roman" w:eastAsia="Times New Roman" w:hAnsi="Times New Roman"/>
                    <w:color w:val="000000" w:themeColor="text1"/>
                    <w:sz w:val="18"/>
                    <w:szCs w:val="18"/>
                  </w:rPr>
                  <w:t>5.8.04.53</w:t>
                </w:r>
              </w:p>
            </w:tc>
            <w:tc>
              <w:tcPr>
                <w:tcW w:w="567" w:type="dxa"/>
                <w:shd w:val="clear" w:color="auto" w:fill="FFFFFF" w:themeFill="background1"/>
                <w:tcMar>
                  <w:left w:w="70" w:type="dxa"/>
                  <w:right w:w="70" w:type="dxa"/>
                </w:tcMar>
                <w:vAlign w:val="center"/>
              </w:tcPr>
              <w:p w14:paraId="259715DC" w14:textId="25710B59" w:rsidR="0E4E29E4" w:rsidRPr="006D26E6" w:rsidRDefault="0E4E29E4" w:rsidP="0E4E29E4">
                <w:pPr>
                  <w:spacing w:after="0"/>
                  <w:ind w:left="-20" w:right="-20"/>
                  <w:jc w:val="center"/>
                  <w:rPr>
                    <w:sz w:val="18"/>
                    <w:szCs w:val="18"/>
                  </w:rPr>
                </w:pPr>
                <w:r w:rsidRPr="006D26E6">
                  <w:rPr>
                    <w:rFonts w:ascii="Times New Roman" w:eastAsia="Times New Roman" w:hAnsi="Times New Roman"/>
                    <w:color w:val="000000" w:themeColor="text1"/>
                    <w:sz w:val="18"/>
                    <w:szCs w:val="18"/>
                  </w:rPr>
                  <w:t>Db</w:t>
                </w:r>
              </w:p>
            </w:tc>
            <w:tc>
              <w:tcPr>
                <w:tcW w:w="2861" w:type="dxa"/>
                <w:shd w:val="clear" w:color="auto" w:fill="FFFFFF" w:themeFill="background1"/>
                <w:tcMar>
                  <w:left w:w="70" w:type="dxa"/>
                  <w:right w:w="70" w:type="dxa"/>
                </w:tcMar>
                <w:vAlign w:val="center"/>
              </w:tcPr>
              <w:p w14:paraId="4EB29A9E" w14:textId="5C6D79AF" w:rsidR="0E4E29E4" w:rsidRPr="006D26E6" w:rsidRDefault="0E4E29E4" w:rsidP="0E4E29E4">
                <w:pPr>
                  <w:spacing w:after="0"/>
                  <w:ind w:left="-20" w:right="-20"/>
                  <w:rPr>
                    <w:sz w:val="18"/>
                    <w:szCs w:val="18"/>
                  </w:rPr>
                </w:pPr>
                <w:r w:rsidRPr="006D26E6">
                  <w:rPr>
                    <w:rFonts w:ascii="Times New Roman" w:eastAsia="Times New Roman" w:hAnsi="Times New Roman"/>
                    <w:color w:val="000000" w:themeColor="text1"/>
                    <w:sz w:val="18"/>
                    <w:szCs w:val="18"/>
                  </w:rPr>
                  <w:t>Intereses de laudos arbitrales y conciliaciones extrajudiciales</w:t>
                </w:r>
              </w:p>
            </w:tc>
            <w:tc>
              <w:tcPr>
                <w:tcW w:w="1487" w:type="dxa"/>
                <w:shd w:val="clear" w:color="auto" w:fill="FFFFFF" w:themeFill="background1"/>
                <w:tcMar>
                  <w:left w:w="70" w:type="dxa"/>
                  <w:right w:w="70" w:type="dxa"/>
                </w:tcMar>
                <w:vAlign w:val="center"/>
              </w:tcPr>
              <w:p w14:paraId="0E53A3D9" w14:textId="01B94082" w:rsidR="0E4E29E4" w:rsidRPr="006D26E6" w:rsidRDefault="0E4E29E4" w:rsidP="0E4E29E4">
                <w:pPr>
                  <w:spacing w:after="0"/>
                  <w:ind w:left="-20" w:right="-20"/>
                  <w:jc w:val="right"/>
                  <w:rPr>
                    <w:sz w:val="18"/>
                    <w:szCs w:val="18"/>
                  </w:rPr>
                </w:pPr>
                <w:r w:rsidRPr="006D26E6">
                  <w:rPr>
                    <w:rFonts w:ascii="Times New Roman" w:eastAsia="Times New Roman" w:hAnsi="Times New Roman"/>
                    <w:color w:val="000000" w:themeColor="text1"/>
                    <w:sz w:val="18"/>
                    <w:szCs w:val="18"/>
                  </w:rPr>
                  <w:t>316.708.835.859</w:t>
                </w:r>
              </w:p>
            </w:tc>
            <w:tc>
              <w:tcPr>
                <w:tcW w:w="1459" w:type="dxa"/>
                <w:shd w:val="clear" w:color="auto" w:fill="FFFFFF" w:themeFill="background1"/>
                <w:tcMar>
                  <w:left w:w="70" w:type="dxa"/>
                  <w:right w:w="70" w:type="dxa"/>
                </w:tcMar>
                <w:vAlign w:val="center"/>
              </w:tcPr>
              <w:p w14:paraId="094D9380" w14:textId="44844F45" w:rsidR="0E4E29E4" w:rsidRPr="006D26E6" w:rsidRDefault="0E4E29E4" w:rsidP="0E4E29E4">
                <w:pPr>
                  <w:spacing w:after="0"/>
                  <w:ind w:left="-20" w:right="-20"/>
                  <w:jc w:val="right"/>
                  <w:rPr>
                    <w:sz w:val="18"/>
                    <w:szCs w:val="18"/>
                  </w:rPr>
                </w:pPr>
                <w:r w:rsidRPr="006D26E6">
                  <w:rPr>
                    <w:rFonts w:ascii="Times New Roman" w:eastAsia="Times New Roman" w:hAnsi="Times New Roman"/>
                    <w:color w:val="000000" w:themeColor="text1"/>
                    <w:sz w:val="18"/>
                    <w:szCs w:val="18"/>
                  </w:rPr>
                  <w:t>157.672.521.641</w:t>
                </w:r>
              </w:p>
            </w:tc>
            <w:tc>
              <w:tcPr>
                <w:tcW w:w="1472" w:type="dxa"/>
                <w:shd w:val="clear" w:color="auto" w:fill="FFFFFF" w:themeFill="background1"/>
                <w:tcMar>
                  <w:left w:w="70" w:type="dxa"/>
                  <w:right w:w="70" w:type="dxa"/>
                </w:tcMar>
                <w:vAlign w:val="center"/>
              </w:tcPr>
              <w:p w14:paraId="2A6739A7" w14:textId="16CF29AF" w:rsidR="0E4E29E4" w:rsidRPr="006D26E6" w:rsidRDefault="0E4E29E4" w:rsidP="0E4E29E4">
                <w:pPr>
                  <w:spacing w:after="0"/>
                  <w:ind w:left="-20" w:right="-20"/>
                  <w:jc w:val="right"/>
                  <w:rPr>
                    <w:sz w:val="18"/>
                    <w:szCs w:val="18"/>
                  </w:rPr>
                </w:pPr>
                <w:r w:rsidRPr="006D26E6">
                  <w:rPr>
                    <w:rFonts w:ascii="Times New Roman" w:eastAsia="Times New Roman" w:hAnsi="Times New Roman"/>
                    <w:color w:val="000000" w:themeColor="text1"/>
                    <w:sz w:val="18"/>
                    <w:szCs w:val="18"/>
                  </w:rPr>
                  <w:t>159.036.314.218</w:t>
                </w:r>
              </w:p>
            </w:tc>
          </w:tr>
          <w:tr w:rsidR="0E4E29E4" w:rsidRPr="006D26E6" w14:paraId="1205080D" w14:textId="77777777" w:rsidTr="00E918CC">
            <w:trPr>
              <w:trHeight w:val="300"/>
            </w:trPr>
            <w:tc>
              <w:tcPr>
                <w:tcW w:w="1124" w:type="dxa"/>
                <w:shd w:val="clear" w:color="auto" w:fill="FFFFFF" w:themeFill="background1"/>
                <w:tcMar>
                  <w:left w:w="70" w:type="dxa"/>
                  <w:right w:w="70" w:type="dxa"/>
                </w:tcMar>
                <w:vAlign w:val="center"/>
              </w:tcPr>
              <w:p w14:paraId="69160BAC" w14:textId="509A15F8" w:rsidR="0E4E29E4" w:rsidRPr="006D26E6" w:rsidRDefault="0E4E29E4" w:rsidP="0E4E29E4">
                <w:pPr>
                  <w:spacing w:after="0"/>
                  <w:ind w:left="-20" w:right="-20"/>
                  <w:rPr>
                    <w:sz w:val="18"/>
                    <w:szCs w:val="18"/>
                  </w:rPr>
                </w:pPr>
                <w:r w:rsidRPr="006D26E6">
                  <w:rPr>
                    <w:rFonts w:ascii="Times New Roman" w:eastAsia="Times New Roman" w:hAnsi="Times New Roman"/>
                    <w:color w:val="000000" w:themeColor="text1"/>
                    <w:sz w:val="18"/>
                    <w:szCs w:val="18"/>
                  </w:rPr>
                  <w:t>5.8.04.90</w:t>
                </w:r>
              </w:p>
            </w:tc>
            <w:tc>
              <w:tcPr>
                <w:tcW w:w="567" w:type="dxa"/>
                <w:shd w:val="clear" w:color="auto" w:fill="FFFFFF" w:themeFill="background1"/>
                <w:tcMar>
                  <w:left w:w="70" w:type="dxa"/>
                  <w:right w:w="70" w:type="dxa"/>
                </w:tcMar>
                <w:vAlign w:val="center"/>
              </w:tcPr>
              <w:p w14:paraId="53B97FD1" w14:textId="77CA2628" w:rsidR="0E4E29E4" w:rsidRPr="006D26E6" w:rsidRDefault="0E4E29E4" w:rsidP="0E4E29E4">
                <w:pPr>
                  <w:spacing w:after="0"/>
                  <w:ind w:left="-20" w:right="-20"/>
                  <w:jc w:val="center"/>
                  <w:rPr>
                    <w:sz w:val="18"/>
                    <w:szCs w:val="18"/>
                  </w:rPr>
                </w:pPr>
                <w:r w:rsidRPr="006D26E6">
                  <w:rPr>
                    <w:rFonts w:ascii="Times New Roman" w:eastAsia="Times New Roman" w:hAnsi="Times New Roman"/>
                    <w:color w:val="000000" w:themeColor="text1"/>
                    <w:sz w:val="18"/>
                    <w:szCs w:val="18"/>
                  </w:rPr>
                  <w:t>Db</w:t>
                </w:r>
              </w:p>
            </w:tc>
            <w:tc>
              <w:tcPr>
                <w:tcW w:w="2861" w:type="dxa"/>
                <w:shd w:val="clear" w:color="auto" w:fill="FFFFFF" w:themeFill="background1"/>
                <w:tcMar>
                  <w:left w:w="70" w:type="dxa"/>
                  <w:right w:w="70" w:type="dxa"/>
                </w:tcMar>
                <w:vAlign w:val="center"/>
              </w:tcPr>
              <w:p w14:paraId="2ADA5E48" w14:textId="53AFFE32" w:rsidR="0E4E29E4" w:rsidRPr="006D26E6" w:rsidRDefault="0E4E29E4" w:rsidP="0E4E29E4">
                <w:pPr>
                  <w:spacing w:after="0"/>
                  <w:ind w:left="-20" w:right="-20"/>
                  <w:rPr>
                    <w:sz w:val="18"/>
                    <w:szCs w:val="18"/>
                  </w:rPr>
                </w:pPr>
                <w:r w:rsidRPr="006D26E6">
                  <w:rPr>
                    <w:rFonts w:ascii="Times New Roman" w:eastAsia="Times New Roman" w:hAnsi="Times New Roman"/>
                    <w:color w:val="000000" w:themeColor="text1"/>
                    <w:sz w:val="18"/>
                    <w:szCs w:val="18"/>
                  </w:rPr>
                  <w:t>Otros gastos financieros</w:t>
                </w:r>
              </w:p>
            </w:tc>
            <w:tc>
              <w:tcPr>
                <w:tcW w:w="1487" w:type="dxa"/>
                <w:shd w:val="clear" w:color="auto" w:fill="FFFFFF" w:themeFill="background1"/>
                <w:tcMar>
                  <w:left w:w="70" w:type="dxa"/>
                  <w:right w:w="70" w:type="dxa"/>
                </w:tcMar>
                <w:vAlign w:val="center"/>
              </w:tcPr>
              <w:p w14:paraId="4967B832" w14:textId="660C4533" w:rsidR="0E4E29E4" w:rsidRPr="006D26E6" w:rsidRDefault="0E4E29E4" w:rsidP="0E4E29E4">
                <w:pPr>
                  <w:spacing w:after="0"/>
                  <w:ind w:left="-20" w:right="-20"/>
                  <w:jc w:val="right"/>
                  <w:rPr>
                    <w:sz w:val="18"/>
                    <w:szCs w:val="18"/>
                  </w:rPr>
                </w:pPr>
                <w:r w:rsidRPr="006D26E6">
                  <w:rPr>
                    <w:rFonts w:ascii="Times New Roman" w:eastAsia="Times New Roman" w:hAnsi="Times New Roman"/>
                    <w:color w:val="000000" w:themeColor="text1"/>
                    <w:sz w:val="18"/>
                    <w:szCs w:val="18"/>
                  </w:rPr>
                  <w:t>12.900</w:t>
                </w:r>
              </w:p>
            </w:tc>
            <w:tc>
              <w:tcPr>
                <w:tcW w:w="1459" w:type="dxa"/>
                <w:shd w:val="clear" w:color="auto" w:fill="FFFFFF" w:themeFill="background1"/>
                <w:tcMar>
                  <w:left w:w="70" w:type="dxa"/>
                  <w:right w:w="70" w:type="dxa"/>
                </w:tcMar>
                <w:vAlign w:val="center"/>
              </w:tcPr>
              <w:p w14:paraId="608CFFDC" w14:textId="570EAEE2" w:rsidR="0E4E29E4" w:rsidRPr="006D26E6" w:rsidRDefault="0E4E29E4" w:rsidP="0E4E29E4">
                <w:pPr>
                  <w:spacing w:after="0"/>
                  <w:ind w:left="-20" w:right="-20"/>
                  <w:jc w:val="right"/>
                  <w:rPr>
                    <w:sz w:val="18"/>
                    <w:szCs w:val="18"/>
                  </w:rPr>
                </w:pPr>
                <w:r w:rsidRPr="006D26E6">
                  <w:rPr>
                    <w:rFonts w:ascii="Times New Roman" w:eastAsia="Times New Roman" w:hAnsi="Times New Roman"/>
                    <w:color w:val="000000" w:themeColor="text1"/>
                    <w:sz w:val="18"/>
                    <w:szCs w:val="18"/>
                  </w:rPr>
                  <w:t>39.093</w:t>
                </w:r>
              </w:p>
            </w:tc>
            <w:tc>
              <w:tcPr>
                <w:tcW w:w="1472" w:type="dxa"/>
                <w:shd w:val="clear" w:color="auto" w:fill="FFFFFF" w:themeFill="background1"/>
                <w:tcMar>
                  <w:left w:w="70" w:type="dxa"/>
                  <w:right w:w="70" w:type="dxa"/>
                </w:tcMar>
                <w:vAlign w:val="center"/>
              </w:tcPr>
              <w:p w14:paraId="54ABAA91" w14:textId="296F5AB8" w:rsidR="0E4E29E4" w:rsidRPr="006D26E6" w:rsidRDefault="0E4E29E4" w:rsidP="0E4E29E4">
                <w:pPr>
                  <w:spacing w:after="0"/>
                  <w:ind w:left="-20" w:right="-20"/>
                  <w:jc w:val="right"/>
                  <w:rPr>
                    <w:sz w:val="18"/>
                    <w:szCs w:val="18"/>
                  </w:rPr>
                </w:pPr>
                <w:r w:rsidRPr="006D26E6">
                  <w:rPr>
                    <w:rFonts w:ascii="Times New Roman" w:eastAsia="Times New Roman" w:hAnsi="Times New Roman"/>
                    <w:color w:val="000000" w:themeColor="text1"/>
                    <w:sz w:val="18"/>
                    <w:szCs w:val="18"/>
                  </w:rPr>
                  <w:t>-26.193</w:t>
                </w:r>
              </w:p>
            </w:tc>
          </w:tr>
          <w:tr w:rsidR="0E4E29E4" w:rsidRPr="006D26E6" w14:paraId="41C390A8" w14:textId="77777777" w:rsidTr="00E918CC">
            <w:trPr>
              <w:trHeight w:val="285"/>
            </w:trPr>
            <w:tc>
              <w:tcPr>
                <w:tcW w:w="1124" w:type="dxa"/>
                <w:shd w:val="clear" w:color="auto" w:fill="FFFFFF" w:themeFill="background1"/>
                <w:tcMar>
                  <w:left w:w="70" w:type="dxa"/>
                  <w:right w:w="70" w:type="dxa"/>
                </w:tcMar>
                <w:vAlign w:val="center"/>
              </w:tcPr>
              <w:p w14:paraId="683A75F0" w14:textId="4DBDFB1D" w:rsidR="0E4E29E4" w:rsidRPr="006D26E6" w:rsidRDefault="0E4E29E4" w:rsidP="0E4E29E4">
                <w:pPr>
                  <w:spacing w:after="0"/>
                  <w:ind w:left="-20" w:right="-20"/>
                  <w:rPr>
                    <w:sz w:val="18"/>
                    <w:szCs w:val="18"/>
                  </w:rPr>
                </w:pPr>
                <w:r w:rsidRPr="006D26E6">
                  <w:rPr>
                    <w:rFonts w:ascii="Times New Roman" w:eastAsia="Times New Roman" w:hAnsi="Times New Roman"/>
                    <w:b/>
                    <w:bCs/>
                    <w:color w:val="000000" w:themeColor="text1"/>
                    <w:sz w:val="18"/>
                    <w:szCs w:val="18"/>
                  </w:rPr>
                  <w:t>5.8.90</w:t>
                </w:r>
              </w:p>
            </w:tc>
            <w:tc>
              <w:tcPr>
                <w:tcW w:w="567" w:type="dxa"/>
                <w:shd w:val="clear" w:color="auto" w:fill="FFFFFF" w:themeFill="background1"/>
                <w:tcMar>
                  <w:left w:w="70" w:type="dxa"/>
                  <w:right w:w="70" w:type="dxa"/>
                </w:tcMar>
                <w:vAlign w:val="center"/>
              </w:tcPr>
              <w:p w14:paraId="301AC95B" w14:textId="69F811B8" w:rsidR="0E4E29E4" w:rsidRPr="006D26E6" w:rsidRDefault="0E4E29E4" w:rsidP="0E4E29E4">
                <w:pPr>
                  <w:spacing w:after="0"/>
                  <w:ind w:left="-20" w:right="-20"/>
                  <w:jc w:val="center"/>
                  <w:rPr>
                    <w:sz w:val="18"/>
                    <w:szCs w:val="18"/>
                  </w:rPr>
                </w:pPr>
                <w:r w:rsidRPr="006D26E6">
                  <w:rPr>
                    <w:rFonts w:ascii="Times New Roman" w:eastAsia="Times New Roman" w:hAnsi="Times New Roman"/>
                    <w:b/>
                    <w:bCs/>
                    <w:color w:val="000000" w:themeColor="text1"/>
                    <w:sz w:val="18"/>
                    <w:szCs w:val="18"/>
                  </w:rPr>
                  <w:t>Db</w:t>
                </w:r>
              </w:p>
            </w:tc>
            <w:tc>
              <w:tcPr>
                <w:tcW w:w="2861" w:type="dxa"/>
                <w:shd w:val="clear" w:color="auto" w:fill="FFFFFF" w:themeFill="background1"/>
                <w:tcMar>
                  <w:left w:w="70" w:type="dxa"/>
                  <w:right w:w="70" w:type="dxa"/>
                </w:tcMar>
                <w:vAlign w:val="center"/>
              </w:tcPr>
              <w:p w14:paraId="18911D06" w14:textId="56077DD2" w:rsidR="0E4E29E4" w:rsidRPr="006D26E6" w:rsidRDefault="0E4E29E4" w:rsidP="0E4E29E4">
                <w:pPr>
                  <w:spacing w:after="0"/>
                  <w:ind w:left="-20" w:right="-20"/>
                  <w:rPr>
                    <w:sz w:val="18"/>
                    <w:szCs w:val="18"/>
                  </w:rPr>
                </w:pPr>
                <w:r w:rsidRPr="006D26E6">
                  <w:rPr>
                    <w:rFonts w:ascii="Times New Roman" w:eastAsia="Times New Roman" w:hAnsi="Times New Roman"/>
                    <w:b/>
                    <w:bCs/>
                    <w:color w:val="000000" w:themeColor="text1"/>
                    <w:sz w:val="18"/>
                    <w:szCs w:val="18"/>
                  </w:rPr>
                  <w:t>GASTOS DIVERSOS (1)</w:t>
                </w:r>
              </w:p>
            </w:tc>
            <w:tc>
              <w:tcPr>
                <w:tcW w:w="1487" w:type="dxa"/>
                <w:shd w:val="clear" w:color="auto" w:fill="FFFFFF" w:themeFill="background1"/>
                <w:tcMar>
                  <w:left w:w="70" w:type="dxa"/>
                  <w:right w:w="70" w:type="dxa"/>
                </w:tcMar>
                <w:vAlign w:val="center"/>
              </w:tcPr>
              <w:p w14:paraId="4B7E0565" w14:textId="212A914F" w:rsidR="0E4E29E4" w:rsidRPr="006D26E6" w:rsidRDefault="0E4E29E4" w:rsidP="0E4E29E4">
                <w:pPr>
                  <w:spacing w:after="0"/>
                  <w:ind w:left="-20" w:right="-20"/>
                  <w:jc w:val="right"/>
                  <w:rPr>
                    <w:sz w:val="18"/>
                    <w:szCs w:val="18"/>
                  </w:rPr>
                </w:pPr>
                <w:r w:rsidRPr="006D26E6">
                  <w:rPr>
                    <w:rFonts w:ascii="Times New Roman" w:eastAsia="Times New Roman" w:hAnsi="Times New Roman"/>
                    <w:b/>
                    <w:bCs/>
                    <w:color w:val="000000" w:themeColor="text1"/>
                    <w:sz w:val="18"/>
                    <w:szCs w:val="18"/>
                  </w:rPr>
                  <w:t>2.613.737.119.574</w:t>
                </w:r>
              </w:p>
            </w:tc>
            <w:tc>
              <w:tcPr>
                <w:tcW w:w="1459" w:type="dxa"/>
                <w:shd w:val="clear" w:color="auto" w:fill="FFFFFF" w:themeFill="background1"/>
                <w:tcMar>
                  <w:left w:w="70" w:type="dxa"/>
                  <w:right w:w="70" w:type="dxa"/>
                </w:tcMar>
                <w:vAlign w:val="center"/>
              </w:tcPr>
              <w:p w14:paraId="525630F8" w14:textId="02013C19" w:rsidR="0E4E29E4" w:rsidRPr="006D26E6" w:rsidRDefault="0E4E29E4" w:rsidP="0E4E29E4">
                <w:pPr>
                  <w:spacing w:after="0"/>
                  <w:ind w:left="-20" w:right="-20"/>
                  <w:jc w:val="right"/>
                  <w:rPr>
                    <w:sz w:val="18"/>
                    <w:szCs w:val="18"/>
                  </w:rPr>
                </w:pPr>
                <w:r w:rsidRPr="006D26E6">
                  <w:rPr>
                    <w:rFonts w:ascii="Times New Roman" w:eastAsia="Times New Roman" w:hAnsi="Times New Roman"/>
                    <w:b/>
                    <w:bCs/>
                    <w:color w:val="000000" w:themeColor="text1"/>
                    <w:sz w:val="18"/>
                    <w:szCs w:val="18"/>
                  </w:rPr>
                  <w:t>52.541.092.028</w:t>
                </w:r>
              </w:p>
            </w:tc>
            <w:tc>
              <w:tcPr>
                <w:tcW w:w="1472" w:type="dxa"/>
                <w:shd w:val="clear" w:color="auto" w:fill="FFFFFF" w:themeFill="background1"/>
                <w:tcMar>
                  <w:left w:w="70" w:type="dxa"/>
                  <w:right w:w="70" w:type="dxa"/>
                </w:tcMar>
                <w:vAlign w:val="center"/>
              </w:tcPr>
              <w:p w14:paraId="5922069C" w14:textId="6E8322DC" w:rsidR="0E4E29E4" w:rsidRPr="006D26E6" w:rsidRDefault="0E4E29E4" w:rsidP="0E4E29E4">
                <w:pPr>
                  <w:spacing w:after="0"/>
                  <w:ind w:left="-20" w:right="-20"/>
                  <w:jc w:val="right"/>
                  <w:rPr>
                    <w:sz w:val="18"/>
                    <w:szCs w:val="18"/>
                  </w:rPr>
                </w:pPr>
                <w:r w:rsidRPr="006D26E6">
                  <w:rPr>
                    <w:rFonts w:ascii="Times New Roman" w:eastAsia="Times New Roman" w:hAnsi="Times New Roman"/>
                    <w:b/>
                    <w:bCs/>
                    <w:color w:val="000000" w:themeColor="text1"/>
                    <w:sz w:val="18"/>
                    <w:szCs w:val="18"/>
                  </w:rPr>
                  <w:t>2.561.196.027.546</w:t>
                </w:r>
              </w:p>
            </w:tc>
          </w:tr>
          <w:tr w:rsidR="0E4E29E4" w:rsidRPr="006D26E6" w14:paraId="1B9D0491" w14:textId="77777777" w:rsidTr="00E918CC">
            <w:trPr>
              <w:trHeight w:val="300"/>
            </w:trPr>
            <w:tc>
              <w:tcPr>
                <w:tcW w:w="1124" w:type="dxa"/>
                <w:shd w:val="clear" w:color="auto" w:fill="FFFFFF" w:themeFill="background1"/>
                <w:tcMar>
                  <w:left w:w="70" w:type="dxa"/>
                  <w:right w:w="70" w:type="dxa"/>
                </w:tcMar>
                <w:vAlign w:val="center"/>
              </w:tcPr>
              <w:p w14:paraId="1BBBFEA6" w14:textId="178421AF" w:rsidR="0E4E29E4" w:rsidRPr="006D26E6" w:rsidRDefault="0E4E29E4" w:rsidP="0E4E29E4">
                <w:pPr>
                  <w:spacing w:after="0"/>
                  <w:ind w:left="-20" w:right="-20"/>
                  <w:rPr>
                    <w:sz w:val="18"/>
                    <w:szCs w:val="18"/>
                  </w:rPr>
                </w:pPr>
                <w:r w:rsidRPr="006D26E6">
                  <w:rPr>
                    <w:rFonts w:ascii="Times New Roman" w:eastAsia="Times New Roman" w:hAnsi="Times New Roman"/>
                    <w:color w:val="000000" w:themeColor="text1"/>
                    <w:sz w:val="18"/>
                    <w:szCs w:val="18"/>
                  </w:rPr>
                  <w:lastRenderedPageBreak/>
                  <w:t>5.8.90.12</w:t>
                </w:r>
              </w:p>
            </w:tc>
            <w:tc>
              <w:tcPr>
                <w:tcW w:w="567" w:type="dxa"/>
                <w:shd w:val="clear" w:color="auto" w:fill="FFFFFF" w:themeFill="background1"/>
                <w:tcMar>
                  <w:left w:w="70" w:type="dxa"/>
                  <w:right w:w="70" w:type="dxa"/>
                </w:tcMar>
                <w:vAlign w:val="center"/>
              </w:tcPr>
              <w:p w14:paraId="555C3EAE" w14:textId="7645BE16" w:rsidR="0E4E29E4" w:rsidRPr="006D26E6" w:rsidRDefault="0E4E29E4" w:rsidP="0E4E29E4">
                <w:pPr>
                  <w:spacing w:after="0"/>
                  <w:ind w:left="-20" w:right="-20"/>
                  <w:jc w:val="center"/>
                  <w:rPr>
                    <w:sz w:val="18"/>
                    <w:szCs w:val="18"/>
                  </w:rPr>
                </w:pPr>
                <w:r w:rsidRPr="006D26E6">
                  <w:rPr>
                    <w:rFonts w:ascii="Times New Roman" w:eastAsia="Times New Roman" w:hAnsi="Times New Roman"/>
                    <w:color w:val="000000" w:themeColor="text1"/>
                    <w:sz w:val="18"/>
                    <w:szCs w:val="18"/>
                  </w:rPr>
                  <w:t>Db</w:t>
                </w:r>
              </w:p>
            </w:tc>
            <w:tc>
              <w:tcPr>
                <w:tcW w:w="2861" w:type="dxa"/>
                <w:shd w:val="clear" w:color="auto" w:fill="FFFFFF" w:themeFill="background1"/>
                <w:tcMar>
                  <w:left w:w="70" w:type="dxa"/>
                  <w:right w:w="70" w:type="dxa"/>
                </w:tcMar>
                <w:vAlign w:val="center"/>
              </w:tcPr>
              <w:p w14:paraId="5DFCB957" w14:textId="2B01080C" w:rsidR="0E4E29E4" w:rsidRPr="006D26E6" w:rsidRDefault="0E4E29E4" w:rsidP="0E4E29E4">
                <w:pPr>
                  <w:spacing w:after="0"/>
                  <w:ind w:left="-20" w:right="-20"/>
                  <w:rPr>
                    <w:sz w:val="18"/>
                    <w:szCs w:val="18"/>
                  </w:rPr>
                </w:pPr>
                <w:r w:rsidRPr="006D26E6">
                  <w:rPr>
                    <w:rFonts w:ascii="Times New Roman" w:eastAsia="Times New Roman" w:hAnsi="Times New Roman"/>
                    <w:color w:val="000000" w:themeColor="text1"/>
                    <w:sz w:val="18"/>
                    <w:szCs w:val="18"/>
                  </w:rPr>
                  <w:t>Sentencias</w:t>
                </w:r>
              </w:p>
            </w:tc>
            <w:tc>
              <w:tcPr>
                <w:tcW w:w="1487" w:type="dxa"/>
                <w:shd w:val="clear" w:color="auto" w:fill="FFFFFF" w:themeFill="background1"/>
                <w:tcMar>
                  <w:left w:w="70" w:type="dxa"/>
                  <w:right w:w="70" w:type="dxa"/>
                </w:tcMar>
                <w:vAlign w:val="center"/>
              </w:tcPr>
              <w:p w14:paraId="411DC66D" w14:textId="6B709D91" w:rsidR="0E4E29E4" w:rsidRPr="006D26E6" w:rsidRDefault="0E4E29E4" w:rsidP="0E4E29E4">
                <w:pPr>
                  <w:spacing w:after="0"/>
                  <w:ind w:left="-20" w:right="-20"/>
                  <w:jc w:val="right"/>
                  <w:rPr>
                    <w:sz w:val="18"/>
                    <w:szCs w:val="18"/>
                  </w:rPr>
                </w:pPr>
                <w:r w:rsidRPr="006D26E6">
                  <w:rPr>
                    <w:rFonts w:ascii="Times New Roman" w:eastAsia="Times New Roman" w:hAnsi="Times New Roman"/>
                    <w:color w:val="000000" w:themeColor="text1"/>
                    <w:sz w:val="18"/>
                    <w:szCs w:val="18"/>
                  </w:rPr>
                  <w:t>198.187.485</w:t>
                </w:r>
              </w:p>
            </w:tc>
            <w:tc>
              <w:tcPr>
                <w:tcW w:w="1459" w:type="dxa"/>
                <w:shd w:val="clear" w:color="auto" w:fill="FFFFFF" w:themeFill="background1"/>
                <w:tcMar>
                  <w:left w:w="70" w:type="dxa"/>
                  <w:right w:w="70" w:type="dxa"/>
                </w:tcMar>
                <w:vAlign w:val="center"/>
              </w:tcPr>
              <w:p w14:paraId="7D650B49" w14:textId="43F06EB4" w:rsidR="0E4E29E4" w:rsidRPr="006D26E6" w:rsidRDefault="0E4E29E4" w:rsidP="0E4E29E4">
                <w:pPr>
                  <w:spacing w:after="0"/>
                  <w:ind w:left="-20" w:right="-20"/>
                  <w:jc w:val="right"/>
                  <w:rPr>
                    <w:sz w:val="18"/>
                    <w:szCs w:val="18"/>
                  </w:rPr>
                </w:pPr>
                <w:r w:rsidRPr="006D26E6">
                  <w:rPr>
                    <w:rFonts w:ascii="Times New Roman" w:eastAsia="Times New Roman" w:hAnsi="Times New Roman"/>
                    <w:color w:val="000000" w:themeColor="text1"/>
                    <w:sz w:val="18"/>
                    <w:szCs w:val="18"/>
                  </w:rPr>
                  <w:t>347.007</w:t>
                </w:r>
              </w:p>
            </w:tc>
            <w:tc>
              <w:tcPr>
                <w:tcW w:w="1472" w:type="dxa"/>
                <w:shd w:val="clear" w:color="auto" w:fill="FFFFFF" w:themeFill="background1"/>
                <w:tcMar>
                  <w:left w:w="70" w:type="dxa"/>
                  <w:right w:w="70" w:type="dxa"/>
                </w:tcMar>
                <w:vAlign w:val="center"/>
              </w:tcPr>
              <w:p w14:paraId="44D20A74" w14:textId="76465162" w:rsidR="0E4E29E4" w:rsidRPr="006D26E6" w:rsidRDefault="0E4E29E4" w:rsidP="0E4E29E4">
                <w:pPr>
                  <w:spacing w:after="0"/>
                  <w:ind w:left="-20" w:right="-20"/>
                  <w:jc w:val="right"/>
                  <w:rPr>
                    <w:sz w:val="18"/>
                    <w:szCs w:val="18"/>
                  </w:rPr>
                </w:pPr>
                <w:r w:rsidRPr="006D26E6">
                  <w:rPr>
                    <w:rFonts w:ascii="Times New Roman" w:eastAsia="Times New Roman" w:hAnsi="Times New Roman"/>
                    <w:color w:val="000000" w:themeColor="text1"/>
                    <w:sz w:val="18"/>
                    <w:szCs w:val="18"/>
                  </w:rPr>
                  <w:t>197.840.478</w:t>
                </w:r>
              </w:p>
            </w:tc>
          </w:tr>
          <w:tr w:rsidR="0E4E29E4" w:rsidRPr="006D26E6" w14:paraId="76B06659" w14:textId="77777777" w:rsidTr="00E918CC">
            <w:trPr>
              <w:trHeight w:val="300"/>
            </w:trPr>
            <w:tc>
              <w:tcPr>
                <w:tcW w:w="1124" w:type="dxa"/>
                <w:shd w:val="clear" w:color="auto" w:fill="FFFFFF" w:themeFill="background1"/>
                <w:tcMar>
                  <w:left w:w="70" w:type="dxa"/>
                  <w:right w:w="70" w:type="dxa"/>
                </w:tcMar>
                <w:vAlign w:val="center"/>
              </w:tcPr>
              <w:p w14:paraId="6B6EA407" w14:textId="3FB0F817" w:rsidR="0E4E29E4" w:rsidRPr="006D26E6" w:rsidRDefault="0E4E29E4" w:rsidP="0E4E29E4">
                <w:pPr>
                  <w:spacing w:after="0"/>
                  <w:ind w:left="-20" w:right="-20"/>
                  <w:rPr>
                    <w:sz w:val="18"/>
                    <w:szCs w:val="18"/>
                  </w:rPr>
                </w:pPr>
                <w:r w:rsidRPr="006D26E6">
                  <w:rPr>
                    <w:rFonts w:ascii="Times New Roman" w:eastAsia="Times New Roman" w:hAnsi="Times New Roman"/>
                    <w:color w:val="000000" w:themeColor="text1"/>
                    <w:sz w:val="18"/>
                    <w:szCs w:val="18"/>
                  </w:rPr>
                  <w:t>5.8.90.17</w:t>
                </w:r>
              </w:p>
            </w:tc>
            <w:tc>
              <w:tcPr>
                <w:tcW w:w="567" w:type="dxa"/>
                <w:shd w:val="clear" w:color="auto" w:fill="FFFFFF" w:themeFill="background1"/>
                <w:tcMar>
                  <w:left w:w="70" w:type="dxa"/>
                  <w:right w:w="70" w:type="dxa"/>
                </w:tcMar>
                <w:vAlign w:val="center"/>
              </w:tcPr>
              <w:p w14:paraId="67FCF36D" w14:textId="1D15ACFA" w:rsidR="0E4E29E4" w:rsidRPr="006D26E6" w:rsidRDefault="0E4E29E4" w:rsidP="0E4E29E4">
                <w:pPr>
                  <w:spacing w:after="0"/>
                  <w:ind w:left="-20" w:right="-20"/>
                  <w:jc w:val="center"/>
                  <w:rPr>
                    <w:sz w:val="18"/>
                    <w:szCs w:val="18"/>
                  </w:rPr>
                </w:pPr>
                <w:r w:rsidRPr="006D26E6">
                  <w:rPr>
                    <w:rFonts w:ascii="Times New Roman" w:eastAsia="Times New Roman" w:hAnsi="Times New Roman"/>
                    <w:color w:val="000000" w:themeColor="text1"/>
                    <w:sz w:val="18"/>
                    <w:szCs w:val="18"/>
                  </w:rPr>
                  <w:t>Db</w:t>
                </w:r>
              </w:p>
            </w:tc>
            <w:tc>
              <w:tcPr>
                <w:tcW w:w="2861" w:type="dxa"/>
                <w:shd w:val="clear" w:color="auto" w:fill="FFFFFF" w:themeFill="background1"/>
                <w:tcMar>
                  <w:left w:w="70" w:type="dxa"/>
                  <w:right w:w="70" w:type="dxa"/>
                </w:tcMar>
                <w:vAlign w:val="center"/>
              </w:tcPr>
              <w:p w14:paraId="5F400C49" w14:textId="3A732223" w:rsidR="0E4E29E4" w:rsidRPr="006D26E6" w:rsidRDefault="0E4E29E4" w:rsidP="0E4E29E4">
                <w:pPr>
                  <w:spacing w:after="0"/>
                  <w:ind w:left="-20" w:right="-20"/>
                  <w:rPr>
                    <w:sz w:val="18"/>
                    <w:szCs w:val="18"/>
                  </w:rPr>
                </w:pPr>
                <w:r w:rsidRPr="006D26E6">
                  <w:rPr>
                    <w:rFonts w:ascii="Times New Roman" w:eastAsia="Times New Roman" w:hAnsi="Times New Roman"/>
                    <w:color w:val="000000" w:themeColor="text1"/>
                    <w:sz w:val="18"/>
                    <w:szCs w:val="18"/>
                  </w:rPr>
                  <w:t>Pérdidas en siniestros</w:t>
                </w:r>
              </w:p>
            </w:tc>
            <w:tc>
              <w:tcPr>
                <w:tcW w:w="1487" w:type="dxa"/>
                <w:shd w:val="clear" w:color="auto" w:fill="FFFFFF" w:themeFill="background1"/>
                <w:tcMar>
                  <w:left w:w="70" w:type="dxa"/>
                  <w:right w:w="70" w:type="dxa"/>
                </w:tcMar>
                <w:vAlign w:val="center"/>
              </w:tcPr>
              <w:p w14:paraId="32AA8B41" w14:textId="279E3226" w:rsidR="0E4E29E4" w:rsidRPr="006D26E6" w:rsidRDefault="0E4E29E4" w:rsidP="0E4E29E4">
                <w:pPr>
                  <w:spacing w:after="0"/>
                  <w:ind w:left="-20" w:right="-20"/>
                  <w:jc w:val="right"/>
                  <w:rPr>
                    <w:sz w:val="18"/>
                    <w:szCs w:val="18"/>
                  </w:rPr>
                </w:pPr>
                <w:r w:rsidRPr="006D26E6">
                  <w:rPr>
                    <w:rFonts w:ascii="Times New Roman" w:eastAsia="Times New Roman" w:hAnsi="Times New Roman"/>
                    <w:color w:val="000000" w:themeColor="text1"/>
                    <w:sz w:val="18"/>
                    <w:szCs w:val="18"/>
                  </w:rPr>
                  <w:t>8.630.000</w:t>
                </w:r>
              </w:p>
            </w:tc>
            <w:tc>
              <w:tcPr>
                <w:tcW w:w="1459" w:type="dxa"/>
                <w:shd w:val="clear" w:color="auto" w:fill="FFFFFF" w:themeFill="background1"/>
                <w:tcMar>
                  <w:left w:w="70" w:type="dxa"/>
                  <w:right w:w="70" w:type="dxa"/>
                </w:tcMar>
                <w:vAlign w:val="center"/>
              </w:tcPr>
              <w:p w14:paraId="11B299CA" w14:textId="181B5DF5" w:rsidR="0E4E29E4" w:rsidRPr="006D26E6" w:rsidRDefault="0E4E29E4" w:rsidP="0E4E29E4">
                <w:pPr>
                  <w:spacing w:after="0"/>
                  <w:ind w:left="-20" w:right="-20"/>
                  <w:jc w:val="right"/>
                  <w:rPr>
                    <w:sz w:val="18"/>
                    <w:szCs w:val="18"/>
                  </w:rPr>
                </w:pPr>
                <w:r w:rsidRPr="006D26E6">
                  <w:rPr>
                    <w:rFonts w:ascii="Times New Roman" w:eastAsia="Times New Roman" w:hAnsi="Times New Roman"/>
                    <w:color w:val="000000" w:themeColor="text1"/>
                    <w:sz w:val="18"/>
                    <w:szCs w:val="18"/>
                  </w:rPr>
                  <w:t>4.352.572</w:t>
                </w:r>
              </w:p>
            </w:tc>
            <w:tc>
              <w:tcPr>
                <w:tcW w:w="1472" w:type="dxa"/>
                <w:shd w:val="clear" w:color="auto" w:fill="FFFFFF" w:themeFill="background1"/>
                <w:tcMar>
                  <w:left w:w="70" w:type="dxa"/>
                  <w:right w:w="70" w:type="dxa"/>
                </w:tcMar>
                <w:vAlign w:val="center"/>
              </w:tcPr>
              <w:p w14:paraId="2B5B1D99" w14:textId="4DD180DE" w:rsidR="0E4E29E4" w:rsidRPr="006D26E6" w:rsidRDefault="0E4E29E4" w:rsidP="0E4E29E4">
                <w:pPr>
                  <w:spacing w:after="0"/>
                  <w:ind w:left="-20" w:right="-20"/>
                  <w:jc w:val="right"/>
                  <w:rPr>
                    <w:sz w:val="18"/>
                    <w:szCs w:val="18"/>
                  </w:rPr>
                </w:pPr>
                <w:r w:rsidRPr="006D26E6">
                  <w:rPr>
                    <w:rFonts w:ascii="Times New Roman" w:eastAsia="Times New Roman" w:hAnsi="Times New Roman"/>
                    <w:color w:val="000000" w:themeColor="text1"/>
                    <w:sz w:val="18"/>
                    <w:szCs w:val="18"/>
                  </w:rPr>
                  <w:t>4.277.428</w:t>
                </w:r>
              </w:p>
            </w:tc>
          </w:tr>
          <w:tr w:rsidR="0E4E29E4" w:rsidRPr="006D26E6" w14:paraId="238C229D" w14:textId="77777777" w:rsidTr="00E918CC">
            <w:trPr>
              <w:trHeight w:val="600"/>
            </w:trPr>
            <w:tc>
              <w:tcPr>
                <w:tcW w:w="1124" w:type="dxa"/>
                <w:shd w:val="clear" w:color="auto" w:fill="FFFFFF" w:themeFill="background1"/>
                <w:tcMar>
                  <w:left w:w="70" w:type="dxa"/>
                  <w:right w:w="70" w:type="dxa"/>
                </w:tcMar>
                <w:vAlign w:val="center"/>
              </w:tcPr>
              <w:p w14:paraId="79B938F6" w14:textId="58DCC4D3" w:rsidR="0E4E29E4" w:rsidRPr="006D26E6" w:rsidRDefault="0E4E29E4" w:rsidP="0E4E29E4">
                <w:pPr>
                  <w:spacing w:after="0"/>
                  <w:ind w:left="-20" w:right="-20"/>
                  <w:rPr>
                    <w:sz w:val="18"/>
                    <w:szCs w:val="18"/>
                  </w:rPr>
                </w:pPr>
                <w:r w:rsidRPr="006D26E6">
                  <w:rPr>
                    <w:rFonts w:ascii="Times New Roman" w:eastAsia="Times New Roman" w:hAnsi="Times New Roman"/>
                    <w:color w:val="000000" w:themeColor="text1"/>
                    <w:sz w:val="18"/>
                    <w:szCs w:val="18"/>
                  </w:rPr>
                  <w:t>5.8.90.19</w:t>
                </w:r>
              </w:p>
            </w:tc>
            <w:tc>
              <w:tcPr>
                <w:tcW w:w="567" w:type="dxa"/>
                <w:shd w:val="clear" w:color="auto" w:fill="FFFFFF" w:themeFill="background1"/>
                <w:tcMar>
                  <w:left w:w="70" w:type="dxa"/>
                  <w:right w:w="70" w:type="dxa"/>
                </w:tcMar>
                <w:vAlign w:val="center"/>
              </w:tcPr>
              <w:p w14:paraId="06F69B5C" w14:textId="038F42DE" w:rsidR="0E4E29E4" w:rsidRPr="006D26E6" w:rsidRDefault="0E4E29E4" w:rsidP="0E4E29E4">
                <w:pPr>
                  <w:spacing w:after="0"/>
                  <w:ind w:left="-20" w:right="-20"/>
                  <w:jc w:val="center"/>
                  <w:rPr>
                    <w:sz w:val="18"/>
                    <w:szCs w:val="18"/>
                  </w:rPr>
                </w:pPr>
                <w:r w:rsidRPr="006D26E6">
                  <w:rPr>
                    <w:rFonts w:ascii="Times New Roman" w:eastAsia="Times New Roman" w:hAnsi="Times New Roman"/>
                    <w:color w:val="000000" w:themeColor="text1"/>
                    <w:sz w:val="18"/>
                    <w:szCs w:val="18"/>
                  </w:rPr>
                  <w:t>Db</w:t>
                </w:r>
              </w:p>
            </w:tc>
            <w:tc>
              <w:tcPr>
                <w:tcW w:w="2861" w:type="dxa"/>
                <w:shd w:val="clear" w:color="auto" w:fill="FFFFFF" w:themeFill="background1"/>
                <w:tcMar>
                  <w:left w:w="70" w:type="dxa"/>
                  <w:right w:w="70" w:type="dxa"/>
                </w:tcMar>
                <w:vAlign w:val="center"/>
              </w:tcPr>
              <w:p w14:paraId="2678C253" w14:textId="7F1BFBDF" w:rsidR="0E4E29E4" w:rsidRPr="006D26E6" w:rsidRDefault="0E4E29E4" w:rsidP="0E4E29E4">
                <w:pPr>
                  <w:spacing w:after="0"/>
                  <w:ind w:left="-20" w:right="-20"/>
                  <w:rPr>
                    <w:sz w:val="18"/>
                    <w:szCs w:val="18"/>
                  </w:rPr>
                </w:pPr>
                <w:r w:rsidRPr="006D26E6">
                  <w:rPr>
                    <w:rFonts w:ascii="Times New Roman" w:eastAsia="Times New Roman" w:hAnsi="Times New Roman"/>
                    <w:color w:val="000000" w:themeColor="text1"/>
                    <w:sz w:val="18"/>
                    <w:szCs w:val="18"/>
                  </w:rPr>
                  <w:t>Pérdida por baja en cuentas de activos no financieros</w:t>
                </w:r>
              </w:p>
            </w:tc>
            <w:tc>
              <w:tcPr>
                <w:tcW w:w="1487" w:type="dxa"/>
                <w:shd w:val="clear" w:color="auto" w:fill="FFFFFF" w:themeFill="background1"/>
                <w:tcMar>
                  <w:left w:w="70" w:type="dxa"/>
                  <w:right w:w="70" w:type="dxa"/>
                </w:tcMar>
                <w:vAlign w:val="center"/>
              </w:tcPr>
              <w:p w14:paraId="3E76CB9F" w14:textId="4F5822CD" w:rsidR="0E4E29E4" w:rsidRPr="006D26E6" w:rsidRDefault="0E4E29E4" w:rsidP="0E4E29E4">
                <w:pPr>
                  <w:spacing w:after="0"/>
                  <w:ind w:left="-20" w:right="-20"/>
                  <w:jc w:val="right"/>
                  <w:rPr>
                    <w:sz w:val="18"/>
                    <w:szCs w:val="18"/>
                  </w:rPr>
                </w:pPr>
                <w:r w:rsidRPr="006D26E6">
                  <w:rPr>
                    <w:rFonts w:ascii="Times New Roman" w:eastAsia="Times New Roman" w:hAnsi="Times New Roman"/>
                    <w:color w:val="000000" w:themeColor="text1"/>
                    <w:sz w:val="18"/>
                    <w:szCs w:val="18"/>
                  </w:rPr>
                  <w:t>1.906.987</w:t>
                </w:r>
              </w:p>
            </w:tc>
            <w:tc>
              <w:tcPr>
                <w:tcW w:w="1459" w:type="dxa"/>
                <w:shd w:val="clear" w:color="auto" w:fill="FFFFFF" w:themeFill="background1"/>
                <w:tcMar>
                  <w:left w:w="70" w:type="dxa"/>
                  <w:right w:w="70" w:type="dxa"/>
                </w:tcMar>
                <w:vAlign w:val="center"/>
              </w:tcPr>
              <w:p w14:paraId="600BA902" w14:textId="0D8FA094" w:rsidR="0E4E29E4" w:rsidRPr="006D26E6" w:rsidRDefault="0E4E29E4" w:rsidP="0E4E29E4">
                <w:pPr>
                  <w:spacing w:after="0"/>
                  <w:ind w:left="-20" w:right="-20"/>
                  <w:jc w:val="right"/>
                  <w:rPr>
                    <w:sz w:val="18"/>
                    <w:szCs w:val="18"/>
                  </w:rPr>
                </w:pPr>
                <w:r w:rsidRPr="006D26E6">
                  <w:rPr>
                    <w:rFonts w:ascii="Times New Roman" w:eastAsia="Times New Roman" w:hAnsi="Times New Roman"/>
                    <w:color w:val="000000" w:themeColor="text1"/>
                    <w:sz w:val="18"/>
                    <w:szCs w:val="18"/>
                  </w:rPr>
                  <w:t>135.250</w:t>
                </w:r>
              </w:p>
            </w:tc>
            <w:tc>
              <w:tcPr>
                <w:tcW w:w="1472" w:type="dxa"/>
                <w:shd w:val="clear" w:color="auto" w:fill="FFFFFF" w:themeFill="background1"/>
                <w:tcMar>
                  <w:left w:w="70" w:type="dxa"/>
                  <w:right w:w="70" w:type="dxa"/>
                </w:tcMar>
                <w:vAlign w:val="center"/>
              </w:tcPr>
              <w:p w14:paraId="015836DD" w14:textId="6EB4B1FA" w:rsidR="0E4E29E4" w:rsidRPr="006D26E6" w:rsidRDefault="0E4E29E4" w:rsidP="0E4E29E4">
                <w:pPr>
                  <w:spacing w:after="0"/>
                  <w:ind w:left="-20" w:right="-20"/>
                  <w:jc w:val="right"/>
                  <w:rPr>
                    <w:sz w:val="18"/>
                    <w:szCs w:val="18"/>
                  </w:rPr>
                </w:pPr>
                <w:r w:rsidRPr="006D26E6">
                  <w:rPr>
                    <w:rFonts w:ascii="Times New Roman" w:eastAsia="Times New Roman" w:hAnsi="Times New Roman"/>
                    <w:color w:val="000000" w:themeColor="text1"/>
                    <w:sz w:val="18"/>
                    <w:szCs w:val="18"/>
                  </w:rPr>
                  <w:t>1.771.737</w:t>
                </w:r>
              </w:p>
            </w:tc>
          </w:tr>
          <w:tr w:rsidR="0E4E29E4" w:rsidRPr="006D26E6" w14:paraId="574DD705" w14:textId="77777777" w:rsidTr="00E918CC">
            <w:trPr>
              <w:trHeight w:val="300"/>
            </w:trPr>
            <w:tc>
              <w:tcPr>
                <w:tcW w:w="1124" w:type="dxa"/>
                <w:shd w:val="clear" w:color="auto" w:fill="FFFFFF" w:themeFill="background1"/>
                <w:tcMar>
                  <w:left w:w="70" w:type="dxa"/>
                  <w:right w:w="70" w:type="dxa"/>
                </w:tcMar>
                <w:vAlign w:val="center"/>
              </w:tcPr>
              <w:p w14:paraId="02EEFB42" w14:textId="771033BC" w:rsidR="0E4E29E4" w:rsidRPr="006D26E6" w:rsidRDefault="0E4E29E4" w:rsidP="0E4E29E4">
                <w:pPr>
                  <w:spacing w:after="0"/>
                  <w:ind w:left="-20" w:right="-20"/>
                  <w:rPr>
                    <w:sz w:val="18"/>
                    <w:szCs w:val="18"/>
                  </w:rPr>
                </w:pPr>
                <w:r w:rsidRPr="006D26E6">
                  <w:rPr>
                    <w:rFonts w:ascii="Times New Roman" w:eastAsia="Times New Roman" w:hAnsi="Times New Roman"/>
                    <w:color w:val="000000" w:themeColor="text1"/>
                    <w:sz w:val="18"/>
                    <w:szCs w:val="18"/>
                  </w:rPr>
                  <w:t>5.8.90.36</w:t>
                </w:r>
              </w:p>
            </w:tc>
            <w:tc>
              <w:tcPr>
                <w:tcW w:w="567" w:type="dxa"/>
                <w:shd w:val="clear" w:color="auto" w:fill="FFFFFF" w:themeFill="background1"/>
                <w:tcMar>
                  <w:left w:w="70" w:type="dxa"/>
                  <w:right w:w="70" w:type="dxa"/>
                </w:tcMar>
                <w:vAlign w:val="center"/>
              </w:tcPr>
              <w:p w14:paraId="1D722C03" w14:textId="1D94C2BA" w:rsidR="0E4E29E4" w:rsidRPr="006D26E6" w:rsidRDefault="0E4E29E4" w:rsidP="0E4E29E4">
                <w:pPr>
                  <w:spacing w:after="0"/>
                  <w:ind w:left="-20" w:right="-20"/>
                  <w:jc w:val="center"/>
                  <w:rPr>
                    <w:sz w:val="18"/>
                    <w:szCs w:val="18"/>
                  </w:rPr>
                </w:pPr>
                <w:r w:rsidRPr="006D26E6">
                  <w:rPr>
                    <w:rFonts w:ascii="Times New Roman" w:eastAsia="Times New Roman" w:hAnsi="Times New Roman"/>
                    <w:color w:val="000000" w:themeColor="text1"/>
                    <w:sz w:val="18"/>
                    <w:szCs w:val="18"/>
                  </w:rPr>
                  <w:t>Db</w:t>
                </w:r>
              </w:p>
            </w:tc>
            <w:tc>
              <w:tcPr>
                <w:tcW w:w="2861" w:type="dxa"/>
                <w:shd w:val="clear" w:color="auto" w:fill="FFFFFF" w:themeFill="background1"/>
                <w:tcMar>
                  <w:left w:w="70" w:type="dxa"/>
                  <w:right w:w="70" w:type="dxa"/>
                </w:tcMar>
                <w:vAlign w:val="center"/>
              </w:tcPr>
              <w:p w14:paraId="449B8A16" w14:textId="68CAB9A5" w:rsidR="0E4E29E4" w:rsidRPr="006D26E6" w:rsidRDefault="0E4E29E4" w:rsidP="0E4E29E4">
                <w:pPr>
                  <w:spacing w:after="0"/>
                  <w:ind w:left="-20" w:right="-20"/>
                  <w:rPr>
                    <w:sz w:val="18"/>
                    <w:szCs w:val="18"/>
                  </w:rPr>
                </w:pPr>
                <w:r w:rsidRPr="006D26E6">
                  <w:rPr>
                    <w:rFonts w:ascii="Times New Roman" w:eastAsia="Times New Roman" w:hAnsi="Times New Roman"/>
                    <w:color w:val="000000" w:themeColor="text1"/>
                    <w:sz w:val="18"/>
                    <w:szCs w:val="18"/>
                  </w:rPr>
                  <w:t>Garantías contractuales- concesiones</w:t>
                </w:r>
              </w:p>
            </w:tc>
            <w:tc>
              <w:tcPr>
                <w:tcW w:w="1487" w:type="dxa"/>
                <w:shd w:val="clear" w:color="auto" w:fill="FFFFFF" w:themeFill="background1"/>
                <w:tcMar>
                  <w:left w:w="70" w:type="dxa"/>
                  <w:right w:w="70" w:type="dxa"/>
                </w:tcMar>
                <w:vAlign w:val="center"/>
              </w:tcPr>
              <w:p w14:paraId="2D9C94E2" w14:textId="38E8570C" w:rsidR="0E4E29E4" w:rsidRPr="006D26E6" w:rsidRDefault="0E4E29E4" w:rsidP="0E4E29E4">
                <w:pPr>
                  <w:spacing w:after="0"/>
                  <w:ind w:left="-20" w:right="-20"/>
                  <w:jc w:val="right"/>
                  <w:rPr>
                    <w:sz w:val="18"/>
                    <w:szCs w:val="18"/>
                  </w:rPr>
                </w:pPr>
                <w:r w:rsidRPr="006D26E6">
                  <w:rPr>
                    <w:rFonts w:ascii="Times New Roman" w:eastAsia="Times New Roman" w:hAnsi="Times New Roman"/>
                    <w:color w:val="000000" w:themeColor="text1"/>
                    <w:sz w:val="18"/>
                    <w:szCs w:val="18"/>
                  </w:rPr>
                  <w:t>2.613.528.395.101</w:t>
                </w:r>
              </w:p>
            </w:tc>
            <w:tc>
              <w:tcPr>
                <w:tcW w:w="1459" w:type="dxa"/>
                <w:shd w:val="clear" w:color="auto" w:fill="FFFFFF" w:themeFill="background1"/>
                <w:tcMar>
                  <w:left w:w="70" w:type="dxa"/>
                  <w:right w:w="70" w:type="dxa"/>
                </w:tcMar>
                <w:vAlign w:val="center"/>
              </w:tcPr>
              <w:p w14:paraId="1491EF22" w14:textId="4E5F8053" w:rsidR="0E4E29E4" w:rsidRPr="006D26E6" w:rsidRDefault="0E4E29E4" w:rsidP="0E4E29E4">
                <w:pPr>
                  <w:spacing w:after="0"/>
                  <w:ind w:left="-20" w:right="-20"/>
                  <w:jc w:val="right"/>
                  <w:rPr>
                    <w:sz w:val="18"/>
                    <w:szCs w:val="18"/>
                  </w:rPr>
                </w:pPr>
                <w:r w:rsidRPr="006D26E6">
                  <w:rPr>
                    <w:rFonts w:ascii="Times New Roman" w:eastAsia="Times New Roman" w:hAnsi="Times New Roman"/>
                    <w:color w:val="000000" w:themeColor="text1"/>
                    <w:sz w:val="18"/>
                    <w:szCs w:val="18"/>
                  </w:rPr>
                  <w:t>52.200.319.551</w:t>
                </w:r>
              </w:p>
            </w:tc>
            <w:tc>
              <w:tcPr>
                <w:tcW w:w="1472" w:type="dxa"/>
                <w:shd w:val="clear" w:color="auto" w:fill="FFFFFF" w:themeFill="background1"/>
                <w:tcMar>
                  <w:left w:w="70" w:type="dxa"/>
                  <w:right w:w="70" w:type="dxa"/>
                </w:tcMar>
                <w:vAlign w:val="center"/>
              </w:tcPr>
              <w:p w14:paraId="5E853B6D" w14:textId="20F4F0F3" w:rsidR="0E4E29E4" w:rsidRPr="006D26E6" w:rsidRDefault="0E4E29E4" w:rsidP="0E4E29E4">
                <w:pPr>
                  <w:spacing w:after="0"/>
                  <w:ind w:left="-20" w:right="-20"/>
                  <w:jc w:val="right"/>
                  <w:rPr>
                    <w:sz w:val="18"/>
                    <w:szCs w:val="18"/>
                  </w:rPr>
                </w:pPr>
                <w:r w:rsidRPr="006D26E6">
                  <w:rPr>
                    <w:rFonts w:ascii="Times New Roman" w:eastAsia="Times New Roman" w:hAnsi="Times New Roman"/>
                    <w:color w:val="000000" w:themeColor="text1"/>
                    <w:sz w:val="18"/>
                    <w:szCs w:val="18"/>
                  </w:rPr>
                  <w:t>2.561.328.075.550</w:t>
                </w:r>
              </w:p>
            </w:tc>
          </w:tr>
          <w:tr w:rsidR="0E4E29E4" w:rsidRPr="006D26E6" w14:paraId="24A5E1A1" w14:textId="77777777" w:rsidTr="00E918CC">
            <w:trPr>
              <w:trHeight w:val="300"/>
            </w:trPr>
            <w:tc>
              <w:tcPr>
                <w:tcW w:w="1124" w:type="dxa"/>
                <w:shd w:val="clear" w:color="auto" w:fill="FFFFFF" w:themeFill="background1"/>
                <w:tcMar>
                  <w:left w:w="70" w:type="dxa"/>
                  <w:right w:w="70" w:type="dxa"/>
                </w:tcMar>
                <w:vAlign w:val="center"/>
              </w:tcPr>
              <w:p w14:paraId="0F1F02D5" w14:textId="7528814A" w:rsidR="0E4E29E4" w:rsidRPr="006D26E6" w:rsidRDefault="0E4E29E4" w:rsidP="0E4E29E4">
                <w:pPr>
                  <w:spacing w:after="0"/>
                  <w:ind w:left="-20" w:right="-20"/>
                  <w:rPr>
                    <w:sz w:val="18"/>
                    <w:szCs w:val="18"/>
                  </w:rPr>
                </w:pPr>
                <w:r w:rsidRPr="006D26E6">
                  <w:rPr>
                    <w:rFonts w:ascii="Times New Roman" w:eastAsia="Times New Roman" w:hAnsi="Times New Roman"/>
                    <w:color w:val="000000" w:themeColor="text1"/>
                    <w:sz w:val="18"/>
                    <w:szCs w:val="18"/>
                  </w:rPr>
                  <w:t>5.8.90.90</w:t>
                </w:r>
              </w:p>
            </w:tc>
            <w:tc>
              <w:tcPr>
                <w:tcW w:w="567" w:type="dxa"/>
                <w:shd w:val="clear" w:color="auto" w:fill="FFFFFF" w:themeFill="background1"/>
                <w:tcMar>
                  <w:left w:w="70" w:type="dxa"/>
                  <w:right w:w="70" w:type="dxa"/>
                </w:tcMar>
                <w:vAlign w:val="center"/>
              </w:tcPr>
              <w:p w14:paraId="72AD3BD6" w14:textId="30A50BFA" w:rsidR="0E4E29E4" w:rsidRPr="006D26E6" w:rsidRDefault="0E4E29E4" w:rsidP="0E4E29E4">
                <w:pPr>
                  <w:spacing w:after="0"/>
                  <w:ind w:left="-20" w:right="-20"/>
                  <w:jc w:val="center"/>
                  <w:rPr>
                    <w:sz w:val="18"/>
                    <w:szCs w:val="18"/>
                  </w:rPr>
                </w:pPr>
                <w:r w:rsidRPr="006D26E6">
                  <w:rPr>
                    <w:rFonts w:ascii="Times New Roman" w:eastAsia="Times New Roman" w:hAnsi="Times New Roman"/>
                    <w:color w:val="000000" w:themeColor="text1"/>
                    <w:sz w:val="18"/>
                    <w:szCs w:val="18"/>
                  </w:rPr>
                  <w:t>Db</w:t>
                </w:r>
              </w:p>
            </w:tc>
            <w:tc>
              <w:tcPr>
                <w:tcW w:w="2861" w:type="dxa"/>
                <w:shd w:val="clear" w:color="auto" w:fill="FFFFFF" w:themeFill="background1"/>
                <w:tcMar>
                  <w:left w:w="70" w:type="dxa"/>
                  <w:right w:w="70" w:type="dxa"/>
                </w:tcMar>
                <w:vAlign w:val="center"/>
              </w:tcPr>
              <w:p w14:paraId="096C3F76" w14:textId="6A3B5065" w:rsidR="0E4E29E4" w:rsidRPr="006D26E6" w:rsidRDefault="0E4E29E4" w:rsidP="0E4E29E4">
                <w:pPr>
                  <w:spacing w:after="0"/>
                  <w:ind w:left="-20" w:right="-20"/>
                  <w:rPr>
                    <w:sz w:val="18"/>
                    <w:szCs w:val="18"/>
                  </w:rPr>
                </w:pPr>
                <w:r w:rsidRPr="006D26E6">
                  <w:rPr>
                    <w:rFonts w:ascii="Times New Roman" w:eastAsia="Times New Roman" w:hAnsi="Times New Roman"/>
                    <w:color w:val="000000" w:themeColor="text1"/>
                    <w:sz w:val="18"/>
                    <w:szCs w:val="18"/>
                  </w:rPr>
                  <w:t>Otros gastos diversos</w:t>
                </w:r>
              </w:p>
            </w:tc>
            <w:tc>
              <w:tcPr>
                <w:tcW w:w="1487" w:type="dxa"/>
                <w:shd w:val="clear" w:color="auto" w:fill="FFFFFF" w:themeFill="background1"/>
                <w:tcMar>
                  <w:left w:w="70" w:type="dxa"/>
                  <w:right w:w="70" w:type="dxa"/>
                </w:tcMar>
                <w:vAlign w:val="center"/>
              </w:tcPr>
              <w:p w14:paraId="5B16AF9B" w14:textId="0F3135C9" w:rsidR="0E4E29E4" w:rsidRPr="006D26E6" w:rsidRDefault="0E4E29E4" w:rsidP="0E4E29E4">
                <w:pPr>
                  <w:spacing w:after="0"/>
                  <w:ind w:left="-20" w:right="-20"/>
                  <w:jc w:val="right"/>
                  <w:rPr>
                    <w:sz w:val="18"/>
                    <w:szCs w:val="18"/>
                  </w:rPr>
                </w:pPr>
                <w:r w:rsidRPr="006D26E6">
                  <w:rPr>
                    <w:rFonts w:ascii="Times New Roman" w:eastAsia="Times New Roman" w:hAnsi="Times New Roman"/>
                    <w:color w:val="000000" w:themeColor="text1"/>
                    <w:sz w:val="18"/>
                    <w:szCs w:val="18"/>
                  </w:rPr>
                  <w:t>0</w:t>
                </w:r>
              </w:p>
            </w:tc>
            <w:tc>
              <w:tcPr>
                <w:tcW w:w="1459" w:type="dxa"/>
                <w:shd w:val="clear" w:color="auto" w:fill="FFFFFF" w:themeFill="background1"/>
                <w:tcMar>
                  <w:left w:w="70" w:type="dxa"/>
                  <w:right w:w="70" w:type="dxa"/>
                </w:tcMar>
                <w:vAlign w:val="center"/>
              </w:tcPr>
              <w:p w14:paraId="4AC5E78C" w14:textId="3DD59C83" w:rsidR="0E4E29E4" w:rsidRPr="006D26E6" w:rsidRDefault="0E4E29E4" w:rsidP="0E4E29E4">
                <w:pPr>
                  <w:spacing w:after="0"/>
                  <w:ind w:left="-20" w:right="-20"/>
                  <w:jc w:val="right"/>
                  <w:rPr>
                    <w:sz w:val="18"/>
                    <w:szCs w:val="18"/>
                  </w:rPr>
                </w:pPr>
                <w:r w:rsidRPr="006D26E6">
                  <w:rPr>
                    <w:rFonts w:ascii="Times New Roman" w:eastAsia="Times New Roman" w:hAnsi="Times New Roman"/>
                    <w:color w:val="000000" w:themeColor="text1"/>
                    <w:sz w:val="18"/>
                    <w:szCs w:val="18"/>
                  </w:rPr>
                  <w:t>335.937.647</w:t>
                </w:r>
              </w:p>
            </w:tc>
            <w:tc>
              <w:tcPr>
                <w:tcW w:w="1472" w:type="dxa"/>
                <w:shd w:val="clear" w:color="auto" w:fill="FFFFFF" w:themeFill="background1"/>
                <w:tcMar>
                  <w:left w:w="70" w:type="dxa"/>
                  <w:right w:w="70" w:type="dxa"/>
                </w:tcMar>
                <w:vAlign w:val="center"/>
              </w:tcPr>
              <w:p w14:paraId="499CE532" w14:textId="2F182DB4" w:rsidR="0E4E29E4" w:rsidRPr="006D26E6" w:rsidRDefault="0E4E29E4" w:rsidP="0E4E29E4">
                <w:pPr>
                  <w:spacing w:after="0"/>
                  <w:ind w:left="-20" w:right="-20"/>
                  <w:jc w:val="right"/>
                  <w:rPr>
                    <w:sz w:val="18"/>
                    <w:szCs w:val="18"/>
                  </w:rPr>
                </w:pPr>
                <w:r w:rsidRPr="006D26E6">
                  <w:rPr>
                    <w:rFonts w:ascii="Times New Roman" w:eastAsia="Times New Roman" w:hAnsi="Times New Roman"/>
                    <w:color w:val="000000" w:themeColor="text1"/>
                    <w:sz w:val="18"/>
                    <w:szCs w:val="18"/>
                  </w:rPr>
                  <w:t>-335.937.647</w:t>
                </w:r>
              </w:p>
            </w:tc>
          </w:tr>
        </w:tbl>
        <w:p w14:paraId="083C5CA2" w14:textId="476BCD03" w:rsidR="00CA7600" w:rsidRPr="00931DCE" w:rsidRDefault="00AD2026" w:rsidP="0E4E29E4">
          <w:pPr>
            <w:ind w:left="-20" w:right="-20"/>
            <w:jc w:val="both"/>
          </w:pPr>
          <w:r w:rsidRPr="0E4E29E4">
            <w:rPr>
              <w:rFonts w:ascii="Times New Roman" w:eastAsia="Times New Roman" w:hAnsi="Times New Roman"/>
              <w:sz w:val="14"/>
              <w:szCs w:val="14"/>
            </w:rPr>
            <w:t>Cifras expresadas en pesos</w:t>
          </w:r>
        </w:p>
        <w:p w14:paraId="4D85E6DE" w14:textId="60BBA4D3" w:rsidR="003A4D8E" w:rsidRPr="00931DCE" w:rsidRDefault="64C58135" w:rsidP="0E4E29E4">
          <w:pPr>
            <w:ind w:left="-20" w:right="-20"/>
            <w:jc w:val="both"/>
          </w:pPr>
          <w:r w:rsidRPr="0E4E29E4">
            <w:rPr>
              <w:rFonts w:ascii="Times New Roman" w:eastAsia="Times New Roman" w:hAnsi="Times New Roman"/>
              <w:sz w:val="24"/>
              <w:szCs w:val="24"/>
            </w:rPr>
            <w:t xml:space="preserve">Dentro de las variaciones más significativas en el año 2023 en el grupo </w:t>
          </w:r>
          <w:r w:rsidRPr="0E4E29E4">
            <w:rPr>
              <w:rFonts w:ascii="Times New Roman" w:eastAsia="Times New Roman" w:hAnsi="Times New Roman"/>
              <w:i/>
              <w:iCs/>
              <w:sz w:val="24"/>
              <w:szCs w:val="24"/>
            </w:rPr>
            <w:t>Otros gastos</w:t>
          </w:r>
          <w:r w:rsidRPr="0E4E29E4">
            <w:rPr>
              <w:rFonts w:ascii="Times New Roman" w:eastAsia="Times New Roman" w:hAnsi="Times New Roman"/>
              <w:sz w:val="24"/>
              <w:szCs w:val="24"/>
            </w:rPr>
            <w:t xml:space="preserve">, con relación al año 2022, se encuentran: </w:t>
          </w:r>
        </w:p>
        <w:p w14:paraId="45F9690F" w14:textId="46DCB98C" w:rsidR="003A4D8E" w:rsidRPr="00931DCE" w:rsidRDefault="64C58135" w:rsidP="0E4E29E4">
          <w:pPr>
            <w:ind w:left="-20" w:right="-20"/>
            <w:jc w:val="both"/>
          </w:pPr>
          <w:r w:rsidRPr="0E4E29E4">
            <w:rPr>
              <w:rFonts w:ascii="Times New Roman" w:eastAsia="Times New Roman" w:hAnsi="Times New Roman"/>
              <w:sz w:val="24"/>
              <w:szCs w:val="24"/>
            </w:rPr>
            <w:t xml:space="preserve">Incremento neto en la cuenta </w:t>
          </w:r>
          <w:r w:rsidRPr="0E4E29E4">
            <w:rPr>
              <w:rFonts w:ascii="Times New Roman" w:eastAsia="Times New Roman" w:hAnsi="Times New Roman"/>
              <w:i/>
              <w:iCs/>
              <w:sz w:val="24"/>
              <w:szCs w:val="24"/>
            </w:rPr>
            <w:t>de Gastos diversos (1)</w:t>
          </w:r>
          <w:r w:rsidRPr="0E4E29E4">
            <w:rPr>
              <w:rFonts w:ascii="Times New Roman" w:eastAsia="Times New Roman" w:hAnsi="Times New Roman"/>
              <w:sz w:val="24"/>
              <w:szCs w:val="24"/>
            </w:rPr>
            <w:t xml:space="preserve">, principalmente por incremento de la subcuenta </w:t>
          </w:r>
          <w:r w:rsidRPr="0E4E29E4">
            <w:rPr>
              <w:rFonts w:ascii="Times New Roman" w:eastAsia="Times New Roman" w:hAnsi="Times New Roman"/>
              <w:i/>
              <w:iCs/>
              <w:sz w:val="24"/>
              <w:szCs w:val="24"/>
            </w:rPr>
            <w:t>Garantías contractuales- concesiones</w:t>
          </w:r>
          <w:r w:rsidRPr="0E4E29E4">
            <w:rPr>
              <w:rFonts w:ascii="Times New Roman" w:eastAsia="Times New Roman" w:hAnsi="Times New Roman"/>
              <w:sz w:val="24"/>
              <w:szCs w:val="24"/>
            </w:rPr>
            <w:t xml:space="preserve"> por valor de $2.561.328.075.550, por el registro de la materialización de riesgos para cubrir obligaciones contingentes derivadas de la celebración de contratos de infraestructura bajo el esquema de acuerdos de concesión, que no incrementan el valor del activo, por ejemplo, menor recaudo por no instalación estación de peaje, otorgamiento de tarifas diferenciales, insuficiencia de recursos para el pago de interventoría.  información reportada por la Coordinación del Grupo Interno de Riesgos.</w:t>
          </w:r>
        </w:p>
        <w:p w14:paraId="75E4E369" w14:textId="21D9B03A" w:rsidR="003A4D8E" w:rsidRPr="00931DCE" w:rsidRDefault="64C58135" w:rsidP="0E4E29E4">
          <w:pPr>
            <w:ind w:left="-20" w:right="-20"/>
            <w:jc w:val="both"/>
          </w:pPr>
          <w:r w:rsidRPr="0E4E29E4">
            <w:rPr>
              <w:rFonts w:ascii="Times New Roman" w:eastAsia="Times New Roman" w:hAnsi="Times New Roman"/>
              <w:sz w:val="24"/>
              <w:szCs w:val="24"/>
            </w:rPr>
            <w:t>A continuación, se relaciona los valores registrados en el 2023, por tercero:</w:t>
          </w:r>
        </w:p>
        <w:p w14:paraId="61C8EFDB" w14:textId="77777777" w:rsidR="00F01E1D" w:rsidRDefault="00F01E1D" w:rsidP="0E4E29E4">
          <w:pPr>
            <w:spacing w:after="0"/>
            <w:ind w:left="-20" w:right="-20"/>
            <w:jc w:val="center"/>
            <w:rPr>
              <w:rFonts w:ascii="Times New Roman" w:eastAsia="Times New Roman" w:hAnsi="Times New Roman"/>
              <w:b/>
              <w:bCs/>
              <w:color w:val="000000" w:themeColor="text1"/>
              <w:sz w:val="16"/>
              <w:szCs w:val="16"/>
            </w:rPr>
          </w:pPr>
        </w:p>
        <w:p w14:paraId="31786304" w14:textId="77777777" w:rsidR="0066539D" w:rsidRDefault="0066539D" w:rsidP="0E4E29E4">
          <w:pPr>
            <w:spacing w:after="0"/>
            <w:ind w:left="-20" w:right="-20"/>
            <w:jc w:val="center"/>
            <w:rPr>
              <w:rFonts w:ascii="Times New Roman" w:eastAsia="Times New Roman" w:hAnsi="Times New Roman"/>
              <w:b/>
              <w:bCs/>
              <w:color w:val="000000" w:themeColor="text1"/>
              <w:sz w:val="16"/>
              <w:szCs w:val="16"/>
            </w:rPr>
            <w:sectPr w:rsidR="0066539D" w:rsidSect="00376BDD">
              <w:type w:val="continuous"/>
              <w:pgSz w:w="12240" w:h="15840"/>
              <w:pgMar w:top="1418" w:right="1418" w:bottom="1418" w:left="1843" w:header="680" w:footer="709" w:gutter="0"/>
              <w:pgNumType w:start="155"/>
              <w:cols w:space="708"/>
              <w:titlePg/>
              <w:docGrid w:linePitch="360"/>
            </w:sectPr>
          </w:pPr>
        </w:p>
        <w:tbl>
          <w:tblPr>
            <w:tblW w:w="4385"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blBorders>
            <w:tblCellMar>
              <w:left w:w="70" w:type="dxa"/>
              <w:right w:w="70" w:type="dxa"/>
            </w:tblCellMar>
            <w:tblLook w:val="04A0" w:firstRow="1" w:lastRow="0" w:firstColumn="1" w:lastColumn="0" w:noHBand="0" w:noVBand="1"/>
          </w:tblPr>
          <w:tblGrid>
            <w:gridCol w:w="977"/>
            <w:gridCol w:w="1918"/>
            <w:gridCol w:w="1490"/>
          </w:tblGrid>
          <w:tr w:rsidR="00E268E7" w:rsidRPr="00216F3D" w14:paraId="22991A3C" w14:textId="77777777" w:rsidTr="0096408F">
            <w:trPr>
              <w:trHeight w:val="479"/>
              <w:tblHeader/>
            </w:trPr>
            <w:tc>
              <w:tcPr>
                <w:tcW w:w="2967" w:type="dxa"/>
                <w:gridSpan w:val="2"/>
                <w:shd w:val="clear" w:color="auto" w:fill="auto"/>
                <w:vAlign w:val="center"/>
                <w:hideMark/>
              </w:tcPr>
              <w:p w14:paraId="558103FC" w14:textId="7DF07C3D" w:rsidR="00E268E7" w:rsidRPr="005A5C94" w:rsidRDefault="00150FEC" w:rsidP="005A5C94">
                <w:pPr>
                  <w:spacing w:after="0" w:line="240" w:lineRule="auto"/>
                  <w:jc w:val="center"/>
                  <w:rPr>
                    <w:rFonts w:ascii="Times New Roman" w:eastAsia="Times New Roman" w:hAnsi="Times New Roman"/>
                    <w:b/>
                    <w:bCs/>
                    <w:color w:val="000000"/>
                    <w:sz w:val="18"/>
                    <w:szCs w:val="18"/>
                    <w:lang w:eastAsia="es-CO"/>
                  </w:rPr>
                </w:pPr>
                <w:r w:rsidRPr="00216F3D">
                  <w:rPr>
                    <w:rFonts w:ascii="Times New Roman" w:eastAsia="Times New Roman" w:hAnsi="Times New Roman"/>
                    <w:b/>
                    <w:bCs/>
                    <w:color w:val="000000"/>
                    <w:sz w:val="18"/>
                    <w:szCs w:val="18"/>
                    <w:lang w:eastAsia="es-CO"/>
                  </w:rPr>
                  <w:t>TERCERO</w:t>
                </w:r>
              </w:p>
            </w:tc>
            <w:tc>
              <w:tcPr>
                <w:tcW w:w="1418" w:type="dxa"/>
                <w:shd w:val="clear" w:color="auto" w:fill="auto"/>
                <w:vAlign w:val="center"/>
                <w:hideMark/>
              </w:tcPr>
              <w:p w14:paraId="5182D102" w14:textId="2BDCCD04" w:rsidR="00E268E7" w:rsidRPr="005A5C94" w:rsidRDefault="00150FEC" w:rsidP="00150FEC">
                <w:pPr>
                  <w:spacing w:after="0" w:line="240" w:lineRule="auto"/>
                  <w:jc w:val="center"/>
                  <w:rPr>
                    <w:rFonts w:ascii="Times New Roman" w:eastAsia="Times New Roman" w:hAnsi="Times New Roman"/>
                    <w:b/>
                    <w:bCs/>
                    <w:color w:val="000000"/>
                    <w:sz w:val="18"/>
                    <w:szCs w:val="18"/>
                    <w:lang w:eastAsia="es-CO"/>
                  </w:rPr>
                </w:pPr>
                <w:r w:rsidRPr="005A5C94">
                  <w:rPr>
                    <w:rFonts w:ascii="Times New Roman" w:eastAsia="Times New Roman" w:hAnsi="Times New Roman"/>
                    <w:b/>
                    <w:bCs/>
                    <w:color w:val="000000"/>
                    <w:sz w:val="18"/>
                    <w:szCs w:val="18"/>
                    <w:lang w:eastAsia="es-CO"/>
                  </w:rPr>
                  <w:t>VALOR</w:t>
                </w:r>
              </w:p>
            </w:tc>
          </w:tr>
          <w:tr w:rsidR="005A5C94" w:rsidRPr="00216F3D" w14:paraId="16B77EEC" w14:textId="77777777" w:rsidTr="00D515AF">
            <w:trPr>
              <w:trHeight w:val="340"/>
            </w:trPr>
            <w:tc>
              <w:tcPr>
                <w:tcW w:w="983" w:type="dxa"/>
                <w:shd w:val="clear" w:color="auto" w:fill="auto"/>
                <w:vAlign w:val="center"/>
                <w:hideMark/>
              </w:tcPr>
              <w:p w14:paraId="669047D6" w14:textId="77777777" w:rsidR="005A5C94" w:rsidRPr="005A5C94" w:rsidRDefault="005A5C94" w:rsidP="005A5C94">
                <w:pPr>
                  <w:spacing w:after="0" w:line="240" w:lineRule="auto"/>
                  <w:jc w:val="right"/>
                  <w:rPr>
                    <w:rFonts w:ascii="Times New Roman" w:eastAsia="Times New Roman" w:hAnsi="Times New Roman"/>
                    <w:color w:val="000000"/>
                    <w:sz w:val="18"/>
                    <w:szCs w:val="18"/>
                    <w:lang w:eastAsia="es-CO"/>
                  </w:rPr>
                </w:pPr>
                <w:r w:rsidRPr="005A5C94">
                  <w:rPr>
                    <w:rFonts w:ascii="Times New Roman" w:eastAsia="Times New Roman" w:hAnsi="Times New Roman"/>
                    <w:color w:val="000000"/>
                    <w:sz w:val="18"/>
                    <w:szCs w:val="18"/>
                    <w:lang w:eastAsia="es-CO"/>
                  </w:rPr>
                  <w:t>900880846</w:t>
                </w:r>
              </w:p>
            </w:tc>
            <w:tc>
              <w:tcPr>
                <w:tcW w:w="1984" w:type="dxa"/>
                <w:shd w:val="clear" w:color="auto" w:fill="auto"/>
                <w:vAlign w:val="center"/>
                <w:hideMark/>
              </w:tcPr>
              <w:p w14:paraId="4820C6FE" w14:textId="77777777" w:rsidR="005A5C94" w:rsidRPr="005A5C94" w:rsidRDefault="005A5C94" w:rsidP="00D515AF">
                <w:pPr>
                  <w:spacing w:after="0" w:line="240" w:lineRule="auto"/>
                  <w:jc w:val="both"/>
                  <w:rPr>
                    <w:rFonts w:ascii="Times New Roman" w:eastAsia="Times New Roman" w:hAnsi="Times New Roman"/>
                    <w:color w:val="000000"/>
                    <w:sz w:val="18"/>
                    <w:szCs w:val="18"/>
                    <w:lang w:eastAsia="es-CO"/>
                  </w:rPr>
                </w:pPr>
                <w:r w:rsidRPr="005A5C94">
                  <w:rPr>
                    <w:rFonts w:ascii="Times New Roman" w:eastAsia="Times New Roman" w:hAnsi="Times New Roman"/>
                    <w:color w:val="000000"/>
                    <w:sz w:val="18"/>
                    <w:szCs w:val="18"/>
                    <w:lang w:eastAsia="es-CO"/>
                  </w:rPr>
                  <w:t>CONCESIONARIA VIAL UNIÓN DEL SUR S.A.S.</w:t>
                </w:r>
              </w:p>
            </w:tc>
            <w:tc>
              <w:tcPr>
                <w:tcW w:w="1418" w:type="dxa"/>
                <w:shd w:val="clear" w:color="auto" w:fill="auto"/>
                <w:vAlign w:val="center"/>
                <w:hideMark/>
              </w:tcPr>
              <w:p w14:paraId="2C7EC77B" w14:textId="77777777" w:rsidR="005A5C94" w:rsidRPr="005A5C94" w:rsidRDefault="005A5C94" w:rsidP="00216F3D">
                <w:pPr>
                  <w:spacing w:after="0" w:line="240" w:lineRule="auto"/>
                  <w:jc w:val="right"/>
                  <w:rPr>
                    <w:rFonts w:ascii="Times New Roman" w:eastAsia="Times New Roman" w:hAnsi="Times New Roman"/>
                    <w:color w:val="000000"/>
                    <w:sz w:val="18"/>
                    <w:szCs w:val="18"/>
                    <w:lang w:eastAsia="es-CO"/>
                  </w:rPr>
                </w:pPr>
                <w:r w:rsidRPr="005A5C94">
                  <w:rPr>
                    <w:rFonts w:ascii="Times New Roman" w:eastAsia="Times New Roman" w:hAnsi="Times New Roman"/>
                    <w:color w:val="000000"/>
                    <w:sz w:val="18"/>
                    <w:szCs w:val="18"/>
                    <w:lang w:eastAsia="es-CO"/>
                  </w:rPr>
                  <w:t>568.263.310.816</w:t>
                </w:r>
              </w:p>
            </w:tc>
          </w:tr>
          <w:tr w:rsidR="005A5C94" w:rsidRPr="00216F3D" w14:paraId="2D874EB3" w14:textId="77777777" w:rsidTr="00D515AF">
            <w:trPr>
              <w:trHeight w:val="340"/>
            </w:trPr>
            <w:tc>
              <w:tcPr>
                <w:tcW w:w="983" w:type="dxa"/>
                <w:shd w:val="clear" w:color="auto" w:fill="auto"/>
                <w:vAlign w:val="center"/>
                <w:hideMark/>
              </w:tcPr>
              <w:p w14:paraId="188CD0EB" w14:textId="77777777" w:rsidR="005A5C94" w:rsidRPr="005A5C94" w:rsidRDefault="005A5C94" w:rsidP="005A5C94">
                <w:pPr>
                  <w:spacing w:after="0" w:line="240" w:lineRule="auto"/>
                  <w:jc w:val="right"/>
                  <w:rPr>
                    <w:rFonts w:ascii="Times New Roman" w:eastAsia="Times New Roman" w:hAnsi="Times New Roman"/>
                    <w:color w:val="000000"/>
                    <w:sz w:val="18"/>
                    <w:szCs w:val="18"/>
                    <w:lang w:eastAsia="es-CO"/>
                  </w:rPr>
                </w:pPr>
                <w:r w:rsidRPr="005A5C94">
                  <w:rPr>
                    <w:rFonts w:ascii="Times New Roman" w:eastAsia="Times New Roman" w:hAnsi="Times New Roman"/>
                    <w:color w:val="000000"/>
                    <w:sz w:val="18"/>
                    <w:szCs w:val="18"/>
                    <w:lang w:eastAsia="es-CO"/>
                  </w:rPr>
                  <w:t>900745219</w:t>
                </w:r>
              </w:p>
            </w:tc>
            <w:tc>
              <w:tcPr>
                <w:tcW w:w="1984" w:type="dxa"/>
                <w:shd w:val="clear" w:color="auto" w:fill="auto"/>
                <w:vAlign w:val="center"/>
                <w:hideMark/>
              </w:tcPr>
              <w:p w14:paraId="6D378F26" w14:textId="77777777" w:rsidR="005A5C94" w:rsidRPr="005A5C94" w:rsidRDefault="005A5C94" w:rsidP="00D515AF">
                <w:pPr>
                  <w:spacing w:after="0" w:line="240" w:lineRule="auto"/>
                  <w:jc w:val="both"/>
                  <w:rPr>
                    <w:rFonts w:ascii="Times New Roman" w:eastAsia="Times New Roman" w:hAnsi="Times New Roman"/>
                    <w:color w:val="000000"/>
                    <w:sz w:val="18"/>
                    <w:szCs w:val="18"/>
                    <w:lang w:eastAsia="es-CO"/>
                  </w:rPr>
                </w:pPr>
                <w:r w:rsidRPr="005A5C94">
                  <w:rPr>
                    <w:rFonts w:ascii="Times New Roman" w:eastAsia="Times New Roman" w:hAnsi="Times New Roman"/>
                    <w:color w:val="000000"/>
                    <w:sz w:val="18"/>
                    <w:szCs w:val="18"/>
                    <w:lang w:eastAsia="es-CO"/>
                  </w:rPr>
                  <w:t>CONCESIÓN ALTO MAGDALENA S A S</w:t>
                </w:r>
              </w:p>
            </w:tc>
            <w:tc>
              <w:tcPr>
                <w:tcW w:w="1418" w:type="dxa"/>
                <w:shd w:val="clear" w:color="auto" w:fill="auto"/>
                <w:vAlign w:val="center"/>
                <w:hideMark/>
              </w:tcPr>
              <w:p w14:paraId="077BA576" w14:textId="77777777" w:rsidR="005A5C94" w:rsidRPr="005A5C94" w:rsidRDefault="005A5C94" w:rsidP="00216F3D">
                <w:pPr>
                  <w:spacing w:after="0" w:line="240" w:lineRule="auto"/>
                  <w:jc w:val="right"/>
                  <w:rPr>
                    <w:rFonts w:ascii="Times New Roman" w:eastAsia="Times New Roman" w:hAnsi="Times New Roman"/>
                    <w:color w:val="000000"/>
                    <w:sz w:val="18"/>
                    <w:szCs w:val="18"/>
                    <w:lang w:eastAsia="es-CO"/>
                  </w:rPr>
                </w:pPr>
                <w:r w:rsidRPr="005A5C94">
                  <w:rPr>
                    <w:rFonts w:ascii="Times New Roman" w:eastAsia="Times New Roman" w:hAnsi="Times New Roman"/>
                    <w:color w:val="000000"/>
                    <w:sz w:val="18"/>
                    <w:szCs w:val="18"/>
                    <w:lang w:eastAsia="es-CO"/>
                  </w:rPr>
                  <w:t>477.183.671.677</w:t>
                </w:r>
              </w:p>
            </w:tc>
          </w:tr>
          <w:tr w:rsidR="005A5C94" w:rsidRPr="00216F3D" w14:paraId="7A6398A9" w14:textId="77777777" w:rsidTr="00D515AF">
            <w:trPr>
              <w:trHeight w:val="340"/>
            </w:trPr>
            <w:tc>
              <w:tcPr>
                <w:tcW w:w="983" w:type="dxa"/>
                <w:shd w:val="clear" w:color="auto" w:fill="auto"/>
                <w:vAlign w:val="center"/>
                <w:hideMark/>
              </w:tcPr>
              <w:p w14:paraId="3AE2F0A9" w14:textId="77777777" w:rsidR="005A5C94" w:rsidRPr="005A5C94" w:rsidRDefault="005A5C94" w:rsidP="005A5C94">
                <w:pPr>
                  <w:spacing w:after="0" w:line="240" w:lineRule="auto"/>
                  <w:jc w:val="right"/>
                  <w:rPr>
                    <w:rFonts w:ascii="Times New Roman" w:eastAsia="Times New Roman" w:hAnsi="Times New Roman"/>
                    <w:color w:val="000000"/>
                    <w:sz w:val="18"/>
                    <w:szCs w:val="18"/>
                    <w:lang w:eastAsia="es-CO"/>
                  </w:rPr>
                </w:pPr>
                <w:r w:rsidRPr="005A5C94">
                  <w:rPr>
                    <w:rFonts w:ascii="Times New Roman" w:eastAsia="Times New Roman" w:hAnsi="Times New Roman"/>
                    <w:color w:val="000000"/>
                    <w:sz w:val="18"/>
                    <w:szCs w:val="18"/>
                    <w:lang w:eastAsia="es-CO"/>
                  </w:rPr>
                  <w:t>900744773</w:t>
                </w:r>
              </w:p>
            </w:tc>
            <w:tc>
              <w:tcPr>
                <w:tcW w:w="1984" w:type="dxa"/>
                <w:shd w:val="clear" w:color="auto" w:fill="auto"/>
                <w:vAlign w:val="center"/>
                <w:hideMark/>
              </w:tcPr>
              <w:p w14:paraId="2F374FBF" w14:textId="77777777" w:rsidR="005A5C94" w:rsidRPr="005A5C94" w:rsidRDefault="005A5C94" w:rsidP="00D515AF">
                <w:pPr>
                  <w:spacing w:after="0" w:line="240" w:lineRule="auto"/>
                  <w:jc w:val="both"/>
                  <w:rPr>
                    <w:rFonts w:ascii="Times New Roman" w:eastAsia="Times New Roman" w:hAnsi="Times New Roman"/>
                    <w:color w:val="000000"/>
                    <w:sz w:val="18"/>
                    <w:szCs w:val="18"/>
                    <w:lang w:eastAsia="es-CO"/>
                  </w:rPr>
                </w:pPr>
                <w:r w:rsidRPr="005A5C94">
                  <w:rPr>
                    <w:rFonts w:ascii="Times New Roman" w:eastAsia="Times New Roman" w:hAnsi="Times New Roman"/>
                    <w:color w:val="000000"/>
                    <w:sz w:val="18"/>
                    <w:szCs w:val="18"/>
                    <w:lang w:eastAsia="es-CO"/>
                  </w:rPr>
                  <w:t>CONCESIONARIA VIAL DEL PACIFICO S A S</w:t>
                </w:r>
              </w:p>
            </w:tc>
            <w:tc>
              <w:tcPr>
                <w:tcW w:w="1418" w:type="dxa"/>
                <w:shd w:val="clear" w:color="auto" w:fill="auto"/>
                <w:vAlign w:val="center"/>
                <w:hideMark/>
              </w:tcPr>
              <w:p w14:paraId="77FB2FBF" w14:textId="77777777" w:rsidR="005A5C94" w:rsidRPr="005A5C94" w:rsidRDefault="005A5C94" w:rsidP="00216F3D">
                <w:pPr>
                  <w:spacing w:after="0" w:line="240" w:lineRule="auto"/>
                  <w:jc w:val="right"/>
                  <w:rPr>
                    <w:rFonts w:ascii="Times New Roman" w:eastAsia="Times New Roman" w:hAnsi="Times New Roman"/>
                    <w:color w:val="000000"/>
                    <w:sz w:val="18"/>
                    <w:szCs w:val="18"/>
                    <w:lang w:eastAsia="es-CO"/>
                  </w:rPr>
                </w:pPr>
                <w:r w:rsidRPr="005A5C94">
                  <w:rPr>
                    <w:rFonts w:ascii="Times New Roman" w:eastAsia="Times New Roman" w:hAnsi="Times New Roman"/>
                    <w:color w:val="000000"/>
                    <w:sz w:val="18"/>
                    <w:szCs w:val="18"/>
                    <w:lang w:eastAsia="es-CO"/>
                  </w:rPr>
                  <w:t>378.913.080.053</w:t>
                </w:r>
              </w:p>
            </w:tc>
          </w:tr>
          <w:tr w:rsidR="005A5C94" w:rsidRPr="00216F3D" w14:paraId="6B238165" w14:textId="77777777" w:rsidTr="00D515AF">
            <w:trPr>
              <w:trHeight w:val="340"/>
            </w:trPr>
            <w:tc>
              <w:tcPr>
                <w:tcW w:w="983" w:type="dxa"/>
                <w:shd w:val="clear" w:color="auto" w:fill="auto"/>
                <w:vAlign w:val="center"/>
                <w:hideMark/>
              </w:tcPr>
              <w:p w14:paraId="59E48959" w14:textId="77777777" w:rsidR="005A5C94" w:rsidRPr="005A5C94" w:rsidRDefault="005A5C94" w:rsidP="005A5C94">
                <w:pPr>
                  <w:spacing w:after="0" w:line="240" w:lineRule="auto"/>
                  <w:jc w:val="right"/>
                  <w:rPr>
                    <w:rFonts w:ascii="Times New Roman" w:eastAsia="Times New Roman" w:hAnsi="Times New Roman"/>
                    <w:color w:val="000000"/>
                    <w:sz w:val="18"/>
                    <w:szCs w:val="18"/>
                    <w:lang w:eastAsia="es-CO"/>
                  </w:rPr>
                </w:pPr>
                <w:r w:rsidRPr="005A5C94">
                  <w:rPr>
                    <w:rFonts w:ascii="Times New Roman" w:eastAsia="Times New Roman" w:hAnsi="Times New Roman"/>
                    <w:color w:val="000000"/>
                    <w:sz w:val="18"/>
                    <w:szCs w:val="18"/>
                    <w:lang w:eastAsia="es-CO"/>
                  </w:rPr>
                  <w:t>900740893</w:t>
                </w:r>
              </w:p>
            </w:tc>
            <w:tc>
              <w:tcPr>
                <w:tcW w:w="1984" w:type="dxa"/>
                <w:shd w:val="clear" w:color="auto" w:fill="auto"/>
                <w:vAlign w:val="center"/>
                <w:hideMark/>
              </w:tcPr>
              <w:p w14:paraId="2F760236" w14:textId="77777777" w:rsidR="005A5C94" w:rsidRPr="005A5C94" w:rsidRDefault="005A5C94" w:rsidP="00D515AF">
                <w:pPr>
                  <w:spacing w:after="0" w:line="240" w:lineRule="auto"/>
                  <w:jc w:val="both"/>
                  <w:rPr>
                    <w:rFonts w:ascii="Times New Roman" w:eastAsia="Times New Roman" w:hAnsi="Times New Roman"/>
                    <w:color w:val="000000"/>
                    <w:sz w:val="18"/>
                    <w:szCs w:val="18"/>
                    <w:lang w:eastAsia="es-CO"/>
                  </w:rPr>
                </w:pPr>
                <w:r w:rsidRPr="005A5C94">
                  <w:rPr>
                    <w:rFonts w:ascii="Times New Roman" w:eastAsia="Times New Roman" w:hAnsi="Times New Roman"/>
                    <w:color w:val="000000"/>
                    <w:sz w:val="18"/>
                    <w:szCs w:val="18"/>
                    <w:lang w:eastAsia="es-CO"/>
                  </w:rPr>
                  <w:t>CONCESION LA PINTADA S.A.S.</w:t>
                </w:r>
              </w:p>
            </w:tc>
            <w:tc>
              <w:tcPr>
                <w:tcW w:w="1418" w:type="dxa"/>
                <w:shd w:val="clear" w:color="auto" w:fill="auto"/>
                <w:vAlign w:val="center"/>
                <w:hideMark/>
              </w:tcPr>
              <w:p w14:paraId="5D3F9427" w14:textId="77777777" w:rsidR="005A5C94" w:rsidRPr="005A5C94" w:rsidRDefault="005A5C94" w:rsidP="00216F3D">
                <w:pPr>
                  <w:spacing w:after="0" w:line="240" w:lineRule="auto"/>
                  <w:jc w:val="right"/>
                  <w:rPr>
                    <w:rFonts w:ascii="Times New Roman" w:eastAsia="Times New Roman" w:hAnsi="Times New Roman"/>
                    <w:color w:val="000000"/>
                    <w:sz w:val="18"/>
                    <w:szCs w:val="18"/>
                    <w:lang w:eastAsia="es-CO"/>
                  </w:rPr>
                </w:pPr>
                <w:r w:rsidRPr="005A5C94">
                  <w:rPr>
                    <w:rFonts w:ascii="Times New Roman" w:eastAsia="Times New Roman" w:hAnsi="Times New Roman"/>
                    <w:color w:val="000000"/>
                    <w:sz w:val="18"/>
                    <w:szCs w:val="18"/>
                    <w:lang w:eastAsia="es-CO"/>
                  </w:rPr>
                  <w:t>288.152.268.393</w:t>
                </w:r>
              </w:p>
            </w:tc>
          </w:tr>
          <w:tr w:rsidR="005A5C94" w:rsidRPr="00216F3D" w14:paraId="1A0F2834" w14:textId="77777777" w:rsidTr="00D515AF">
            <w:trPr>
              <w:trHeight w:val="570"/>
            </w:trPr>
            <w:tc>
              <w:tcPr>
                <w:tcW w:w="983" w:type="dxa"/>
                <w:shd w:val="clear" w:color="auto" w:fill="auto"/>
                <w:vAlign w:val="center"/>
                <w:hideMark/>
              </w:tcPr>
              <w:p w14:paraId="4C27E8BE" w14:textId="77777777" w:rsidR="005A5C94" w:rsidRPr="005A5C94" w:rsidRDefault="005A5C94" w:rsidP="005A5C94">
                <w:pPr>
                  <w:spacing w:after="0" w:line="240" w:lineRule="auto"/>
                  <w:jc w:val="right"/>
                  <w:rPr>
                    <w:rFonts w:ascii="Times New Roman" w:eastAsia="Times New Roman" w:hAnsi="Times New Roman"/>
                    <w:color w:val="000000"/>
                    <w:sz w:val="18"/>
                    <w:szCs w:val="18"/>
                    <w:lang w:eastAsia="es-CO"/>
                  </w:rPr>
                </w:pPr>
                <w:r w:rsidRPr="005A5C94">
                  <w:rPr>
                    <w:rFonts w:ascii="Times New Roman" w:eastAsia="Times New Roman" w:hAnsi="Times New Roman"/>
                    <w:color w:val="000000"/>
                    <w:sz w:val="18"/>
                    <w:szCs w:val="18"/>
                    <w:lang w:eastAsia="es-CO"/>
                  </w:rPr>
                  <w:t>900793991</w:t>
                </w:r>
              </w:p>
            </w:tc>
            <w:tc>
              <w:tcPr>
                <w:tcW w:w="1984" w:type="dxa"/>
                <w:shd w:val="clear" w:color="auto" w:fill="auto"/>
                <w:vAlign w:val="center"/>
                <w:hideMark/>
              </w:tcPr>
              <w:p w14:paraId="32188DFA" w14:textId="77777777" w:rsidR="005A5C94" w:rsidRPr="005A5C94" w:rsidRDefault="005A5C94" w:rsidP="00150FEC">
                <w:pPr>
                  <w:spacing w:after="0" w:line="240" w:lineRule="auto"/>
                  <w:jc w:val="both"/>
                  <w:rPr>
                    <w:rFonts w:ascii="Times New Roman" w:eastAsia="Times New Roman" w:hAnsi="Times New Roman"/>
                    <w:color w:val="000000"/>
                    <w:sz w:val="18"/>
                    <w:szCs w:val="18"/>
                    <w:lang w:eastAsia="es-CO"/>
                  </w:rPr>
                </w:pPr>
                <w:r w:rsidRPr="005A5C94">
                  <w:rPr>
                    <w:rFonts w:ascii="Times New Roman" w:eastAsia="Times New Roman" w:hAnsi="Times New Roman"/>
                    <w:color w:val="000000"/>
                    <w:sz w:val="18"/>
                    <w:szCs w:val="18"/>
                    <w:lang w:eastAsia="es-CO"/>
                  </w:rPr>
                  <w:t>AUTOPISTAS DEL NORDESTE S.A.S.</w:t>
                </w:r>
              </w:p>
            </w:tc>
            <w:tc>
              <w:tcPr>
                <w:tcW w:w="1418" w:type="dxa"/>
                <w:shd w:val="clear" w:color="auto" w:fill="auto"/>
                <w:vAlign w:val="center"/>
                <w:hideMark/>
              </w:tcPr>
              <w:p w14:paraId="730B7833" w14:textId="77777777" w:rsidR="005A5C94" w:rsidRPr="005A5C94" w:rsidRDefault="005A5C94" w:rsidP="00216F3D">
                <w:pPr>
                  <w:spacing w:after="0" w:line="240" w:lineRule="auto"/>
                  <w:jc w:val="right"/>
                  <w:rPr>
                    <w:rFonts w:ascii="Times New Roman" w:eastAsia="Times New Roman" w:hAnsi="Times New Roman"/>
                    <w:color w:val="000000"/>
                    <w:sz w:val="18"/>
                    <w:szCs w:val="18"/>
                    <w:lang w:eastAsia="es-CO"/>
                  </w:rPr>
                </w:pPr>
                <w:r w:rsidRPr="005A5C94">
                  <w:rPr>
                    <w:rFonts w:ascii="Times New Roman" w:eastAsia="Times New Roman" w:hAnsi="Times New Roman"/>
                    <w:color w:val="000000"/>
                    <w:sz w:val="18"/>
                    <w:szCs w:val="18"/>
                    <w:lang w:eastAsia="es-CO"/>
                  </w:rPr>
                  <w:t>265.004.595.315</w:t>
                </w:r>
              </w:p>
            </w:tc>
          </w:tr>
          <w:tr w:rsidR="005A5C94" w:rsidRPr="00216F3D" w14:paraId="7039ED89" w14:textId="77777777" w:rsidTr="00D515AF">
            <w:trPr>
              <w:trHeight w:val="522"/>
            </w:trPr>
            <w:tc>
              <w:tcPr>
                <w:tcW w:w="983" w:type="dxa"/>
                <w:shd w:val="clear" w:color="auto" w:fill="auto"/>
                <w:vAlign w:val="center"/>
                <w:hideMark/>
              </w:tcPr>
              <w:p w14:paraId="5286071D" w14:textId="77777777" w:rsidR="005A5C94" w:rsidRPr="005A5C94" w:rsidRDefault="005A5C94" w:rsidP="005A5C94">
                <w:pPr>
                  <w:spacing w:after="0" w:line="240" w:lineRule="auto"/>
                  <w:jc w:val="right"/>
                  <w:rPr>
                    <w:rFonts w:ascii="Times New Roman" w:eastAsia="Times New Roman" w:hAnsi="Times New Roman"/>
                    <w:color w:val="000000"/>
                    <w:sz w:val="18"/>
                    <w:szCs w:val="18"/>
                    <w:lang w:eastAsia="es-CO"/>
                  </w:rPr>
                </w:pPr>
                <w:r w:rsidRPr="005A5C94">
                  <w:rPr>
                    <w:rFonts w:ascii="Times New Roman" w:eastAsia="Times New Roman" w:hAnsi="Times New Roman"/>
                    <w:color w:val="000000"/>
                    <w:sz w:val="18"/>
                    <w:szCs w:val="18"/>
                    <w:lang w:eastAsia="es-CO"/>
                  </w:rPr>
                  <w:t>900763357</w:t>
                </w:r>
              </w:p>
            </w:tc>
            <w:tc>
              <w:tcPr>
                <w:tcW w:w="1984" w:type="dxa"/>
                <w:shd w:val="clear" w:color="auto" w:fill="auto"/>
                <w:vAlign w:val="center"/>
                <w:hideMark/>
              </w:tcPr>
              <w:p w14:paraId="7ACBD486" w14:textId="77777777" w:rsidR="005A5C94" w:rsidRPr="005A5C94" w:rsidRDefault="005A5C94" w:rsidP="00150FEC">
                <w:pPr>
                  <w:spacing w:after="0" w:line="240" w:lineRule="auto"/>
                  <w:jc w:val="both"/>
                  <w:rPr>
                    <w:rFonts w:ascii="Times New Roman" w:eastAsia="Times New Roman" w:hAnsi="Times New Roman"/>
                    <w:color w:val="000000"/>
                    <w:sz w:val="18"/>
                    <w:szCs w:val="18"/>
                    <w:lang w:eastAsia="es-CO"/>
                  </w:rPr>
                </w:pPr>
                <w:r w:rsidRPr="005A5C94">
                  <w:rPr>
                    <w:rFonts w:ascii="Times New Roman" w:eastAsia="Times New Roman" w:hAnsi="Times New Roman"/>
                    <w:color w:val="000000"/>
                    <w:sz w:val="18"/>
                    <w:szCs w:val="18"/>
                    <w:lang w:eastAsia="es-CO"/>
                  </w:rPr>
                  <w:t>CONCESIÓN PACIFICO TRES S.A.S.</w:t>
                </w:r>
              </w:p>
            </w:tc>
            <w:tc>
              <w:tcPr>
                <w:tcW w:w="1418" w:type="dxa"/>
                <w:shd w:val="clear" w:color="auto" w:fill="auto"/>
                <w:vAlign w:val="center"/>
                <w:hideMark/>
              </w:tcPr>
              <w:p w14:paraId="78A51595" w14:textId="77777777" w:rsidR="005A5C94" w:rsidRPr="005A5C94" w:rsidRDefault="005A5C94" w:rsidP="00216F3D">
                <w:pPr>
                  <w:spacing w:after="0" w:line="240" w:lineRule="auto"/>
                  <w:jc w:val="right"/>
                  <w:rPr>
                    <w:rFonts w:ascii="Times New Roman" w:eastAsia="Times New Roman" w:hAnsi="Times New Roman"/>
                    <w:color w:val="000000"/>
                    <w:sz w:val="18"/>
                    <w:szCs w:val="18"/>
                    <w:lang w:eastAsia="es-CO"/>
                  </w:rPr>
                </w:pPr>
                <w:r w:rsidRPr="005A5C94">
                  <w:rPr>
                    <w:rFonts w:ascii="Times New Roman" w:eastAsia="Times New Roman" w:hAnsi="Times New Roman"/>
                    <w:color w:val="000000"/>
                    <w:sz w:val="18"/>
                    <w:szCs w:val="18"/>
                    <w:lang w:eastAsia="es-CO"/>
                  </w:rPr>
                  <w:t>227.549.860.006</w:t>
                </w:r>
              </w:p>
            </w:tc>
          </w:tr>
          <w:tr w:rsidR="005A5C94" w:rsidRPr="00216F3D" w14:paraId="1EB8E7AF" w14:textId="77777777" w:rsidTr="00D515AF">
            <w:trPr>
              <w:trHeight w:val="340"/>
            </w:trPr>
            <w:tc>
              <w:tcPr>
                <w:tcW w:w="983" w:type="dxa"/>
                <w:shd w:val="clear" w:color="auto" w:fill="auto"/>
                <w:vAlign w:val="center"/>
                <w:hideMark/>
              </w:tcPr>
              <w:p w14:paraId="795A9D13" w14:textId="77777777" w:rsidR="005A5C94" w:rsidRPr="005A5C94" w:rsidRDefault="005A5C94" w:rsidP="005A5C94">
                <w:pPr>
                  <w:spacing w:after="0" w:line="240" w:lineRule="auto"/>
                  <w:jc w:val="right"/>
                  <w:rPr>
                    <w:rFonts w:ascii="Times New Roman" w:eastAsia="Times New Roman" w:hAnsi="Times New Roman"/>
                    <w:color w:val="000000"/>
                    <w:sz w:val="18"/>
                    <w:szCs w:val="18"/>
                    <w:lang w:eastAsia="es-CO"/>
                  </w:rPr>
                </w:pPr>
                <w:r w:rsidRPr="005A5C94">
                  <w:rPr>
                    <w:rFonts w:ascii="Times New Roman" w:eastAsia="Times New Roman" w:hAnsi="Times New Roman"/>
                    <w:color w:val="000000"/>
                    <w:sz w:val="18"/>
                    <w:szCs w:val="18"/>
                    <w:lang w:eastAsia="es-CO"/>
                  </w:rPr>
                  <w:t>900763355</w:t>
                </w:r>
              </w:p>
            </w:tc>
            <w:tc>
              <w:tcPr>
                <w:tcW w:w="1984" w:type="dxa"/>
                <w:shd w:val="clear" w:color="auto" w:fill="auto"/>
                <w:vAlign w:val="center"/>
                <w:hideMark/>
              </w:tcPr>
              <w:p w14:paraId="2448C8EE" w14:textId="77777777" w:rsidR="005A5C94" w:rsidRPr="005A5C94" w:rsidRDefault="005A5C94" w:rsidP="00150FEC">
                <w:pPr>
                  <w:spacing w:after="0" w:line="240" w:lineRule="auto"/>
                  <w:jc w:val="both"/>
                  <w:rPr>
                    <w:rFonts w:ascii="Times New Roman" w:eastAsia="Times New Roman" w:hAnsi="Times New Roman"/>
                    <w:color w:val="000000"/>
                    <w:sz w:val="18"/>
                    <w:szCs w:val="18"/>
                    <w:lang w:eastAsia="es-CO"/>
                  </w:rPr>
                </w:pPr>
                <w:r w:rsidRPr="005A5C94">
                  <w:rPr>
                    <w:rFonts w:ascii="Times New Roman" w:eastAsia="Times New Roman" w:hAnsi="Times New Roman"/>
                    <w:color w:val="000000"/>
                    <w:sz w:val="18"/>
                    <w:szCs w:val="18"/>
                    <w:lang w:eastAsia="es-CO"/>
                  </w:rPr>
                  <w:t>CONCESIÓN COSTERA CARTAGENA BARRANQUILLA S.A.S.</w:t>
                </w:r>
              </w:p>
            </w:tc>
            <w:tc>
              <w:tcPr>
                <w:tcW w:w="1418" w:type="dxa"/>
                <w:shd w:val="clear" w:color="auto" w:fill="auto"/>
                <w:vAlign w:val="center"/>
                <w:hideMark/>
              </w:tcPr>
              <w:p w14:paraId="17512303" w14:textId="77777777" w:rsidR="005A5C94" w:rsidRPr="005A5C94" w:rsidRDefault="005A5C94" w:rsidP="00216F3D">
                <w:pPr>
                  <w:spacing w:after="0" w:line="240" w:lineRule="auto"/>
                  <w:jc w:val="right"/>
                  <w:rPr>
                    <w:rFonts w:ascii="Times New Roman" w:eastAsia="Times New Roman" w:hAnsi="Times New Roman"/>
                    <w:color w:val="000000"/>
                    <w:sz w:val="18"/>
                    <w:szCs w:val="18"/>
                    <w:lang w:eastAsia="es-CO"/>
                  </w:rPr>
                </w:pPr>
                <w:r w:rsidRPr="005A5C94">
                  <w:rPr>
                    <w:rFonts w:ascii="Times New Roman" w:eastAsia="Times New Roman" w:hAnsi="Times New Roman"/>
                    <w:color w:val="000000"/>
                    <w:sz w:val="18"/>
                    <w:szCs w:val="18"/>
                    <w:lang w:eastAsia="es-CO"/>
                  </w:rPr>
                  <w:t>150.444.789.977</w:t>
                </w:r>
              </w:p>
            </w:tc>
          </w:tr>
          <w:tr w:rsidR="005A5C94" w:rsidRPr="00216F3D" w14:paraId="27D81BE5" w14:textId="77777777" w:rsidTr="00D515AF">
            <w:trPr>
              <w:trHeight w:val="340"/>
            </w:trPr>
            <w:tc>
              <w:tcPr>
                <w:tcW w:w="983" w:type="dxa"/>
                <w:shd w:val="clear" w:color="auto" w:fill="auto"/>
                <w:vAlign w:val="center"/>
                <w:hideMark/>
              </w:tcPr>
              <w:p w14:paraId="369CE3E4" w14:textId="77777777" w:rsidR="005A5C94" w:rsidRPr="005A5C94" w:rsidRDefault="005A5C94" w:rsidP="005A5C94">
                <w:pPr>
                  <w:spacing w:after="0" w:line="240" w:lineRule="auto"/>
                  <w:jc w:val="right"/>
                  <w:rPr>
                    <w:rFonts w:ascii="Times New Roman" w:eastAsia="Times New Roman" w:hAnsi="Times New Roman"/>
                    <w:color w:val="000000"/>
                    <w:sz w:val="18"/>
                    <w:szCs w:val="18"/>
                    <w:lang w:eastAsia="es-CO"/>
                  </w:rPr>
                </w:pPr>
                <w:r w:rsidRPr="005A5C94">
                  <w:rPr>
                    <w:rFonts w:ascii="Times New Roman" w:eastAsia="Times New Roman" w:hAnsi="Times New Roman"/>
                    <w:color w:val="000000"/>
                    <w:sz w:val="18"/>
                    <w:szCs w:val="18"/>
                    <w:lang w:eastAsia="es-CO"/>
                  </w:rPr>
                  <w:t>900761657</w:t>
                </w:r>
              </w:p>
            </w:tc>
            <w:tc>
              <w:tcPr>
                <w:tcW w:w="1984" w:type="dxa"/>
                <w:shd w:val="clear" w:color="auto" w:fill="auto"/>
                <w:vAlign w:val="center"/>
                <w:hideMark/>
              </w:tcPr>
              <w:p w14:paraId="3BDF67F6" w14:textId="77777777" w:rsidR="005A5C94" w:rsidRPr="005A5C94" w:rsidRDefault="005A5C94" w:rsidP="00216F3D">
                <w:pPr>
                  <w:spacing w:after="0" w:line="240" w:lineRule="auto"/>
                  <w:jc w:val="both"/>
                  <w:rPr>
                    <w:rFonts w:ascii="Times New Roman" w:eastAsia="Times New Roman" w:hAnsi="Times New Roman"/>
                    <w:color w:val="000000"/>
                    <w:sz w:val="18"/>
                    <w:szCs w:val="18"/>
                    <w:lang w:eastAsia="es-CO"/>
                  </w:rPr>
                </w:pPr>
                <w:r w:rsidRPr="005A5C94">
                  <w:rPr>
                    <w:rFonts w:ascii="Times New Roman" w:eastAsia="Times New Roman" w:hAnsi="Times New Roman"/>
                    <w:color w:val="000000"/>
                    <w:sz w:val="18"/>
                    <w:szCs w:val="18"/>
                    <w:lang w:eastAsia="es-CO"/>
                  </w:rPr>
                  <w:t>PERIMETRAL ORIENTAL DE BOGOTA SAS</w:t>
                </w:r>
              </w:p>
            </w:tc>
            <w:tc>
              <w:tcPr>
                <w:tcW w:w="1418" w:type="dxa"/>
                <w:shd w:val="clear" w:color="auto" w:fill="auto"/>
                <w:vAlign w:val="center"/>
                <w:hideMark/>
              </w:tcPr>
              <w:p w14:paraId="04A422CF" w14:textId="77777777" w:rsidR="005A5C94" w:rsidRPr="005A5C94" w:rsidRDefault="005A5C94" w:rsidP="00216F3D">
                <w:pPr>
                  <w:spacing w:after="0" w:line="240" w:lineRule="auto"/>
                  <w:jc w:val="right"/>
                  <w:rPr>
                    <w:rFonts w:ascii="Times New Roman" w:eastAsia="Times New Roman" w:hAnsi="Times New Roman"/>
                    <w:color w:val="000000"/>
                    <w:sz w:val="18"/>
                    <w:szCs w:val="18"/>
                    <w:lang w:eastAsia="es-CO"/>
                  </w:rPr>
                </w:pPr>
                <w:r w:rsidRPr="005A5C94">
                  <w:rPr>
                    <w:rFonts w:ascii="Times New Roman" w:eastAsia="Times New Roman" w:hAnsi="Times New Roman"/>
                    <w:color w:val="000000"/>
                    <w:sz w:val="18"/>
                    <w:szCs w:val="18"/>
                    <w:lang w:eastAsia="es-CO"/>
                  </w:rPr>
                  <w:t>131.076.984.864</w:t>
                </w:r>
              </w:p>
            </w:tc>
          </w:tr>
          <w:tr w:rsidR="005A5C94" w:rsidRPr="00216F3D" w14:paraId="2AA6A366" w14:textId="77777777" w:rsidTr="00D515AF">
            <w:trPr>
              <w:trHeight w:val="340"/>
            </w:trPr>
            <w:tc>
              <w:tcPr>
                <w:tcW w:w="983" w:type="dxa"/>
                <w:shd w:val="clear" w:color="auto" w:fill="auto"/>
                <w:vAlign w:val="center"/>
                <w:hideMark/>
              </w:tcPr>
              <w:p w14:paraId="28B2D89D" w14:textId="77777777" w:rsidR="005A5C94" w:rsidRPr="005A5C94" w:rsidRDefault="005A5C94" w:rsidP="005A5C94">
                <w:pPr>
                  <w:spacing w:after="0" w:line="240" w:lineRule="auto"/>
                  <w:jc w:val="right"/>
                  <w:rPr>
                    <w:rFonts w:ascii="Times New Roman" w:eastAsia="Times New Roman" w:hAnsi="Times New Roman"/>
                    <w:color w:val="000000"/>
                    <w:sz w:val="18"/>
                    <w:szCs w:val="18"/>
                    <w:lang w:eastAsia="es-CO"/>
                  </w:rPr>
                </w:pPr>
                <w:r w:rsidRPr="005A5C94">
                  <w:rPr>
                    <w:rFonts w:ascii="Times New Roman" w:eastAsia="Times New Roman" w:hAnsi="Times New Roman"/>
                    <w:color w:val="000000"/>
                    <w:sz w:val="18"/>
                    <w:szCs w:val="18"/>
                    <w:lang w:eastAsia="es-CO"/>
                  </w:rPr>
                  <w:t>900902591</w:t>
                </w:r>
              </w:p>
            </w:tc>
            <w:tc>
              <w:tcPr>
                <w:tcW w:w="1984" w:type="dxa"/>
                <w:shd w:val="clear" w:color="auto" w:fill="auto"/>
                <w:vAlign w:val="center"/>
                <w:hideMark/>
              </w:tcPr>
              <w:p w14:paraId="702CD041" w14:textId="77777777" w:rsidR="005A5C94" w:rsidRPr="005A5C94" w:rsidRDefault="005A5C94" w:rsidP="00216F3D">
                <w:pPr>
                  <w:spacing w:after="0" w:line="240" w:lineRule="auto"/>
                  <w:jc w:val="both"/>
                  <w:rPr>
                    <w:rFonts w:ascii="Times New Roman" w:eastAsia="Times New Roman" w:hAnsi="Times New Roman"/>
                    <w:color w:val="000000"/>
                    <w:sz w:val="18"/>
                    <w:szCs w:val="18"/>
                    <w:lang w:eastAsia="es-CO"/>
                  </w:rPr>
                </w:pPr>
                <w:r w:rsidRPr="005A5C94">
                  <w:rPr>
                    <w:rFonts w:ascii="Times New Roman" w:eastAsia="Times New Roman" w:hAnsi="Times New Roman"/>
                    <w:color w:val="000000"/>
                    <w:sz w:val="18"/>
                    <w:szCs w:val="18"/>
                    <w:lang w:eastAsia="es-CO"/>
                  </w:rPr>
                  <w:t>AUTOPISTAS   URABA   SAS</w:t>
                </w:r>
              </w:p>
            </w:tc>
            <w:tc>
              <w:tcPr>
                <w:tcW w:w="1418" w:type="dxa"/>
                <w:shd w:val="clear" w:color="auto" w:fill="auto"/>
                <w:vAlign w:val="center"/>
                <w:hideMark/>
              </w:tcPr>
              <w:p w14:paraId="023E49EC" w14:textId="77777777" w:rsidR="005A5C94" w:rsidRPr="005A5C94" w:rsidRDefault="005A5C94" w:rsidP="00216F3D">
                <w:pPr>
                  <w:spacing w:after="0" w:line="240" w:lineRule="auto"/>
                  <w:jc w:val="right"/>
                  <w:rPr>
                    <w:rFonts w:ascii="Times New Roman" w:eastAsia="Times New Roman" w:hAnsi="Times New Roman"/>
                    <w:color w:val="000000"/>
                    <w:sz w:val="18"/>
                    <w:szCs w:val="18"/>
                    <w:lang w:eastAsia="es-CO"/>
                  </w:rPr>
                </w:pPr>
                <w:r w:rsidRPr="005A5C94">
                  <w:rPr>
                    <w:rFonts w:ascii="Times New Roman" w:eastAsia="Times New Roman" w:hAnsi="Times New Roman"/>
                    <w:color w:val="000000"/>
                    <w:sz w:val="18"/>
                    <w:szCs w:val="18"/>
                    <w:lang w:eastAsia="es-CO"/>
                  </w:rPr>
                  <w:t>53.110.976.601</w:t>
                </w:r>
              </w:p>
            </w:tc>
          </w:tr>
          <w:tr w:rsidR="005A5C94" w:rsidRPr="00216F3D" w14:paraId="3789B829" w14:textId="77777777" w:rsidTr="00D515AF">
            <w:trPr>
              <w:trHeight w:val="340"/>
            </w:trPr>
            <w:tc>
              <w:tcPr>
                <w:tcW w:w="983" w:type="dxa"/>
                <w:shd w:val="clear" w:color="auto" w:fill="auto"/>
                <w:vAlign w:val="center"/>
                <w:hideMark/>
              </w:tcPr>
              <w:p w14:paraId="55D75087" w14:textId="77777777" w:rsidR="005A5C94" w:rsidRPr="005A5C94" w:rsidRDefault="005A5C94" w:rsidP="005A5C94">
                <w:pPr>
                  <w:spacing w:after="0" w:line="240" w:lineRule="auto"/>
                  <w:jc w:val="right"/>
                  <w:rPr>
                    <w:rFonts w:ascii="Times New Roman" w:eastAsia="Times New Roman" w:hAnsi="Times New Roman"/>
                    <w:color w:val="000000"/>
                    <w:sz w:val="18"/>
                    <w:szCs w:val="18"/>
                    <w:lang w:eastAsia="es-CO"/>
                  </w:rPr>
                </w:pPr>
                <w:r w:rsidRPr="005A5C94">
                  <w:rPr>
                    <w:rFonts w:ascii="Times New Roman" w:eastAsia="Times New Roman" w:hAnsi="Times New Roman"/>
                    <w:color w:val="000000"/>
                    <w:sz w:val="18"/>
                    <w:szCs w:val="18"/>
                    <w:lang w:eastAsia="es-CO"/>
                  </w:rPr>
                  <w:t>900871368</w:t>
                </w:r>
              </w:p>
            </w:tc>
            <w:tc>
              <w:tcPr>
                <w:tcW w:w="1984" w:type="dxa"/>
                <w:shd w:val="clear" w:color="auto" w:fill="auto"/>
                <w:vAlign w:val="center"/>
                <w:hideMark/>
              </w:tcPr>
              <w:p w14:paraId="40393F08" w14:textId="77777777" w:rsidR="005A5C94" w:rsidRPr="005A5C94" w:rsidRDefault="005A5C94" w:rsidP="00216F3D">
                <w:pPr>
                  <w:spacing w:after="0" w:line="240" w:lineRule="auto"/>
                  <w:jc w:val="both"/>
                  <w:rPr>
                    <w:rFonts w:ascii="Times New Roman" w:eastAsia="Times New Roman" w:hAnsi="Times New Roman"/>
                    <w:color w:val="000000"/>
                    <w:sz w:val="18"/>
                    <w:szCs w:val="18"/>
                    <w:lang w:eastAsia="es-CO"/>
                  </w:rPr>
                </w:pPr>
                <w:r w:rsidRPr="005A5C94">
                  <w:rPr>
                    <w:rFonts w:ascii="Times New Roman" w:eastAsia="Times New Roman" w:hAnsi="Times New Roman"/>
                    <w:color w:val="000000"/>
                    <w:sz w:val="18"/>
                    <w:szCs w:val="18"/>
                    <w:lang w:eastAsia="es-CO"/>
                  </w:rPr>
                  <w:t>CONCESIONARIA RUTA DEL CACAO S.A.S.</w:t>
                </w:r>
              </w:p>
            </w:tc>
            <w:tc>
              <w:tcPr>
                <w:tcW w:w="1418" w:type="dxa"/>
                <w:shd w:val="clear" w:color="auto" w:fill="auto"/>
                <w:vAlign w:val="center"/>
                <w:hideMark/>
              </w:tcPr>
              <w:p w14:paraId="6F33F6A3" w14:textId="77777777" w:rsidR="005A5C94" w:rsidRPr="005A5C94" w:rsidRDefault="005A5C94" w:rsidP="00216F3D">
                <w:pPr>
                  <w:spacing w:after="0" w:line="240" w:lineRule="auto"/>
                  <w:jc w:val="right"/>
                  <w:rPr>
                    <w:rFonts w:ascii="Times New Roman" w:eastAsia="Times New Roman" w:hAnsi="Times New Roman"/>
                    <w:color w:val="000000"/>
                    <w:sz w:val="18"/>
                    <w:szCs w:val="18"/>
                    <w:lang w:eastAsia="es-CO"/>
                  </w:rPr>
                </w:pPr>
                <w:r w:rsidRPr="005A5C94">
                  <w:rPr>
                    <w:rFonts w:ascii="Times New Roman" w:eastAsia="Times New Roman" w:hAnsi="Times New Roman"/>
                    <w:color w:val="000000"/>
                    <w:sz w:val="18"/>
                    <w:szCs w:val="18"/>
                    <w:lang w:eastAsia="es-CO"/>
                  </w:rPr>
                  <w:t>47.486.073.716</w:t>
                </w:r>
              </w:p>
            </w:tc>
          </w:tr>
          <w:tr w:rsidR="005A5C94" w:rsidRPr="00216F3D" w14:paraId="72ABD8A0" w14:textId="77777777" w:rsidTr="00D515AF">
            <w:trPr>
              <w:trHeight w:val="340"/>
            </w:trPr>
            <w:tc>
              <w:tcPr>
                <w:tcW w:w="983" w:type="dxa"/>
                <w:shd w:val="clear" w:color="auto" w:fill="auto"/>
                <w:vAlign w:val="center"/>
                <w:hideMark/>
              </w:tcPr>
              <w:p w14:paraId="396ADAEE" w14:textId="77777777" w:rsidR="005A5C94" w:rsidRPr="005A5C94" w:rsidRDefault="005A5C94" w:rsidP="005A5C94">
                <w:pPr>
                  <w:spacing w:after="0" w:line="240" w:lineRule="auto"/>
                  <w:jc w:val="right"/>
                  <w:rPr>
                    <w:rFonts w:ascii="Times New Roman" w:eastAsia="Times New Roman" w:hAnsi="Times New Roman"/>
                    <w:color w:val="000000"/>
                    <w:sz w:val="18"/>
                    <w:szCs w:val="18"/>
                    <w:lang w:eastAsia="es-CO"/>
                  </w:rPr>
                </w:pPr>
                <w:r w:rsidRPr="005A5C94">
                  <w:rPr>
                    <w:rFonts w:ascii="Times New Roman" w:eastAsia="Times New Roman" w:hAnsi="Times New Roman"/>
                    <w:color w:val="000000"/>
                    <w:sz w:val="18"/>
                    <w:szCs w:val="18"/>
                    <w:lang w:eastAsia="es-CO"/>
                  </w:rPr>
                  <w:t>900858096</w:t>
                </w:r>
              </w:p>
            </w:tc>
            <w:tc>
              <w:tcPr>
                <w:tcW w:w="1984" w:type="dxa"/>
                <w:shd w:val="clear" w:color="auto" w:fill="auto"/>
                <w:vAlign w:val="center"/>
                <w:hideMark/>
              </w:tcPr>
              <w:p w14:paraId="535DB4BA" w14:textId="77777777" w:rsidR="005A5C94" w:rsidRPr="005A5C94" w:rsidRDefault="005A5C94" w:rsidP="00216F3D">
                <w:pPr>
                  <w:spacing w:after="0" w:line="240" w:lineRule="auto"/>
                  <w:jc w:val="both"/>
                  <w:rPr>
                    <w:rFonts w:ascii="Times New Roman" w:eastAsia="Times New Roman" w:hAnsi="Times New Roman"/>
                    <w:color w:val="000000"/>
                    <w:sz w:val="18"/>
                    <w:szCs w:val="18"/>
                    <w:lang w:eastAsia="es-CO"/>
                  </w:rPr>
                </w:pPr>
                <w:r w:rsidRPr="005A5C94">
                  <w:rPr>
                    <w:rFonts w:ascii="Times New Roman" w:eastAsia="Times New Roman" w:hAnsi="Times New Roman"/>
                    <w:color w:val="000000"/>
                    <w:sz w:val="18"/>
                    <w:szCs w:val="18"/>
                    <w:lang w:eastAsia="es-CO"/>
                  </w:rPr>
                  <w:t>SOCIEDAD CONCESIONARIA VIAL MONTES DE MARIA SAS</w:t>
                </w:r>
              </w:p>
            </w:tc>
            <w:tc>
              <w:tcPr>
                <w:tcW w:w="1418" w:type="dxa"/>
                <w:shd w:val="clear" w:color="auto" w:fill="auto"/>
                <w:vAlign w:val="center"/>
                <w:hideMark/>
              </w:tcPr>
              <w:p w14:paraId="4CEB1C5C" w14:textId="77777777" w:rsidR="005A5C94" w:rsidRPr="005A5C94" w:rsidRDefault="005A5C94" w:rsidP="00216F3D">
                <w:pPr>
                  <w:spacing w:after="0" w:line="240" w:lineRule="auto"/>
                  <w:jc w:val="right"/>
                  <w:rPr>
                    <w:rFonts w:ascii="Times New Roman" w:eastAsia="Times New Roman" w:hAnsi="Times New Roman"/>
                    <w:color w:val="000000"/>
                    <w:sz w:val="18"/>
                    <w:szCs w:val="18"/>
                    <w:lang w:eastAsia="es-CO"/>
                  </w:rPr>
                </w:pPr>
                <w:r w:rsidRPr="005A5C94">
                  <w:rPr>
                    <w:rFonts w:ascii="Times New Roman" w:eastAsia="Times New Roman" w:hAnsi="Times New Roman"/>
                    <w:color w:val="000000"/>
                    <w:sz w:val="18"/>
                    <w:szCs w:val="18"/>
                    <w:lang w:eastAsia="es-CO"/>
                  </w:rPr>
                  <w:t>14.032.160.266</w:t>
                </w:r>
              </w:p>
            </w:tc>
          </w:tr>
          <w:tr w:rsidR="005A5C94" w:rsidRPr="00216F3D" w14:paraId="5BAC0C69" w14:textId="77777777" w:rsidTr="00D515AF">
            <w:trPr>
              <w:trHeight w:val="340"/>
            </w:trPr>
            <w:tc>
              <w:tcPr>
                <w:tcW w:w="983" w:type="dxa"/>
                <w:shd w:val="clear" w:color="auto" w:fill="auto"/>
                <w:vAlign w:val="center"/>
                <w:hideMark/>
              </w:tcPr>
              <w:p w14:paraId="45A25ED9" w14:textId="77777777" w:rsidR="005A5C94" w:rsidRPr="005A5C94" w:rsidRDefault="005A5C94" w:rsidP="005A5C94">
                <w:pPr>
                  <w:spacing w:after="0" w:line="240" w:lineRule="auto"/>
                  <w:jc w:val="right"/>
                  <w:rPr>
                    <w:rFonts w:ascii="Times New Roman" w:eastAsia="Times New Roman" w:hAnsi="Times New Roman"/>
                    <w:color w:val="000000"/>
                    <w:sz w:val="18"/>
                    <w:szCs w:val="18"/>
                    <w:lang w:eastAsia="es-CO"/>
                  </w:rPr>
                </w:pPr>
                <w:r w:rsidRPr="005A5C94">
                  <w:rPr>
                    <w:rFonts w:ascii="Times New Roman" w:eastAsia="Times New Roman" w:hAnsi="Times New Roman"/>
                    <w:color w:val="000000"/>
                    <w:sz w:val="18"/>
                    <w:szCs w:val="18"/>
                    <w:lang w:eastAsia="es-CO"/>
                  </w:rPr>
                  <w:t>901161505</w:t>
                </w:r>
              </w:p>
            </w:tc>
            <w:tc>
              <w:tcPr>
                <w:tcW w:w="1984" w:type="dxa"/>
                <w:shd w:val="clear" w:color="auto" w:fill="auto"/>
                <w:vAlign w:val="center"/>
                <w:hideMark/>
              </w:tcPr>
              <w:p w14:paraId="011D73E4" w14:textId="77777777" w:rsidR="005A5C94" w:rsidRPr="005A5C94" w:rsidRDefault="005A5C94" w:rsidP="006D26E6">
                <w:pPr>
                  <w:spacing w:after="0" w:line="240" w:lineRule="auto"/>
                  <w:jc w:val="both"/>
                  <w:rPr>
                    <w:rFonts w:ascii="Times New Roman" w:eastAsia="Times New Roman" w:hAnsi="Times New Roman"/>
                    <w:color w:val="000000"/>
                    <w:sz w:val="18"/>
                    <w:szCs w:val="18"/>
                    <w:lang w:eastAsia="es-CO"/>
                  </w:rPr>
                </w:pPr>
                <w:r w:rsidRPr="005A5C94">
                  <w:rPr>
                    <w:rFonts w:ascii="Times New Roman" w:eastAsia="Times New Roman" w:hAnsi="Times New Roman"/>
                    <w:color w:val="000000"/>
                    <w:sz w:val="18"/>
                    <w:szCs w:val="18"/>
                    <w:lang w:eastAsia="es-CO"/>
                  </w:rPr>
                  <w:t>CONCESION TRANSVERSAL DEL SISGA S.A.S</w:t>
                </w:r>
              </w:p>
            </w:tc>
            <w:tc>
              <w:tcPr>
                <w:tcW w:w="1418" w:type="dxa"/>
                <w:shd w:val="clear" w:color="auto" w:fill="auto"/>
                <w:vAlign w:val="center"/>
                <w:hideMark/>
              </w:tcPr>
              <w:p w14:paraId="61F3A920" w14:textId="77777777" w:rsidR="005A5C94" w:rsidRPr="005A5C94" w:rsidRDefault="005A5C94" w:rsidP="00216F3D">
                <w:pPr>
                  <w:spacing w:after="0" w:line="240" w:lineRule="auto"/>
                  <w:jc w:val="right"/>
                  <w:rPr>
                    <w:rFonts w:ascii="Times New Roman" w:eastAsia="Times New Roman" w:hAnsi="Times New Roman"/>
                    <w:color w:val="000000"/>
                    <w:sz w:val="18"/>
                    <w:szCs w:val="18"/>
                    <w:lang w:eastAsia="es-CO"/>
                  </w:rPr>
                </w:pPr>
                <w:r w:rsidRPr="005A5C94">
                  <w:rPr>
                    <w:rFonts w:ascii="Times New Roman" w:eastAsia="Times New Roman" w:hAnsi="Times New Roman"/>
                    <w:color w:val="000000"/>
                    <w:sz w:val="18"/>
                    <w:szCs w:val="18"/>
                    <w:lang w:eastAsia="es-CO"/>
                  </w:rPr>
                  <w:t>7.339.381.600</w:t>
                </w:r>
              </w:p>
            </w:tc>
          </w:tr>
          <w:tr w:rsidR="005A5C94" w:rsidRPr="00216F3D" w14:paraId="07508979" w14:textId="77777777" w:rsidTr="00D515AF">
            <w:trPr>
              <w:trHeight w:val="340"/>
            </w:trPr>
            <w:tc>
              <w:tcPr>
                <w:tcW w:w="983" w:type="dxa"/>
                <w:shd w:val="clear" w:color="auto" w:fill="auto"/>
                <w:vAlign w:val="center"/>
                <w:hideMark/>
              </w:tcPr>
              <w:p w14:paraId="72651100" w14:textId="77777777" w:rsidR="005A5C94" w:rsidRPr="005A5C94" w:rsidRDefault="005A5C94" w:rsidP="005A5C94">
                <w:pPr>
                  <w:spacing w:after="0" w:line="240" w:lineRule="auto"/>
                  <w:jc w:val="right"/>
                  <w:rPr>
                    <w:rFonts w:ascii="Times New Roman" w:eastAsia="Times New Roman" w:hAnsi="Times New Roman"/>
                    <w:color w:val="000000"/>
                    <w:sz w:val="18"/>
                    <w:szCs w:val="18"/>
                    <w:lang w:eastAsia="es-CO"/>
                  </w:rPr>
                </w:pPr>
                <w:r w:rsidRPr="005A5C94">
                  <w:rPr>
                    <w:rFonts w:ascii="Times New Roman" w:eastAsia="Times New Roman" w:hAnsi="Times New Roman"/>
                    <w:color w:val="000000"/>
                    <w:sz w:val="18"/>
                    <w:szCs w:val="18"/>
                    <w:lang w:eastAsia="es-CO"/>
                  </w:rPr>
                  <w:t>800235278</w:t>
                </w:r>
              </w:p>
            </w:tc>
            <w:tc>
              <w:tcPr>
                <w:tcW w:w="1984" w:type="dxa"/>
                <w:shd w:val="clear" w:color="auto" w:fill="auto"/>
                <w:vAlign w:val="center"/>
                <w:hideMark/>
              </w:tcPr>
              <w:p w14:paraId="2A4A2CAE" w14:textId="77777777" w:rsidR="005A5C94" w:rsidRPr="005A5C94" w:rsidRDefault="005A5C94" w:rsidP="006D26E6">
                <w:pPr>
                  <w:spacing w:after="0" w:line="240" w:lineRule="auto"/>
                  <w:jc w:val="both"/>
                  <w:rPr>
                    <w:rFonts w:ascii="Times New Roman" w:eastAsia="Times New Roman" w:hAnsi="Times New Roman"/>
                    <w:color w:val="000000"/>
                    <w:sz w:val="18"/>
                    <w:szCs w:val="18"/>
                    <w:lang w:eastAsia="es-CO"/>
                  </w:rPr>
                </w:pPr>
                <w:r w:rsidRPr="005A5C94">
                  <w:rPr>
                    <w:rFonts w:ascii="Times New Roman" w:eastAsia="Times New Roman" w:hAnsi="Times New Roman"/>
                    <w:color w:val="000000"/>
                    <w:sz w:val="18"/>
                    <w:szCs w:val="18"/>
                    <w:lang w:eastAsia="es-CO"/>
                  </w:rPr>
                  <w:t>CONCESION SANTA MARTA PARAGUACHON S.A.</w:t>
                </w:r>
              </w:p>
            </w:tc>
            <w:tc>
              <w:tcPr>
                <w:tcW w:w="1418" w:type="dxa"/>
                <w:shd w:val="clear" w:color="auto" w:fill="auto"/>
                <w:vAlign w:val="center"/>
                <w:hideMark/>
              </w:tcPr>
              <w:p w14:paraId="7AA0D677" w14:textId="77777777" w:rsidR="005A5C94" w:rsidRPr="005A5C94" w:rsidRDefault="005A5C94" w:rsidP="00216F3D">
                <w:pPr>
                  <w:spacing w:after="0" w:line="240" w:lineRule="auto"/>
                  <w:jc w:val="right"/>
                  <w:rPr>
                    <w:rFonts w:ascii="Times New Roman" w:eastAsia="Times New Roman" w:hAnsi="Times New Roman"/>
                    <w:color w:val="000000"/>
                    <w:sz w:val="18"/>
                    <w:szCs w:val="18"/>
                    <w:lang w:eastAsia="es-CO"/>
                  </w:rPr>
                </w:pPr>
                <w:r w:rsidRPr="005A5C94">
                  <w:rPr>
                    <w:rFonts w:ascii="Times New Roman" w:eastAsia="Times New Roman" w:hAnsi="Times New Roman"/>
                    <w:color w:val="000000"/>
                    <w:sz w:val="18"/>
                    <w:szCs w:val="18"/>
                    <w:lang w:eastAsia="es-CO"/>
                  </w:rPr>
                  <w:t>4.971.241.817</w:t>
                </w:r>
              </w:p>
            </w:tc>
          </w:tr>
          <w:tr w:rsidR="005A5C94" w:rsidRPr="00216F3D" w14:paraId="4C52FD95" w14:textId="77777777" w:rsidTr="00D515AF">
            <w:trPr>
              <w:trHeight w:val="340"/>
            </w:trPr>
            <w:tc>
              <w:tcPr>
                <w:tcW w:w="2967" w:type="dxa"/>
                <w:gridSpan w:val="2"/>
                <w:shd w:val="clear" w:color="auto" w:fill="auto"/>
                <w:vAlign w:val="center"/>
                <w:hideMark/>
              </w:tcPr>
              <w:p w14:paraId="37B68C59" w14:textId="77777777" w:rsidR="005A5C94" w:rsidRPr="005A5C94" w:rsidRDefault="005A5C94" w:rsidP="005A5C94">
                <w:pPr>
                  <w:spacing w:after="0" w:line="240" w:lineRule="auto"/>
                  <w:jc w:val="center"/>
                  <w:rPr>
                    <w:rFonts w:ascii="Times New Roman" w:eastAsia="Times New Roman" w:hAnsi="Times New Roman"/>
                    <w:b/>
                    <w:bCs/>
                    <w:color w:val="000000"/>
                    <w:sz w:val="18"/>
                    <w:szCs w:val="18"/>
                    <w:lang w:eastAsia="es-CO"/>
                  </w:rPr>
                </w:pPr>
                <w:r w:rsidRPr="005A5C94">
                  <w:rPr>
                    <w:rFonts w:ascii="Times New Roman" w:eastAsia="Times New Roman" w:hAnsi="Times New Roman"/>
                    <w:b/>
                    <w:bCs/>
                    <w:color w:val="000000"/>
                    <w:sz w:val="18"/>
                    <w:szCs w:val="18"/>
                    <w:lang w:eastAsia="es-CO"/>
                  </w:rPr>
                  <w:t>Total</w:t>
                </w:r>
              </w:p>
            </w:tc>
            <w:tc>
              <w:tcPr>
                <w:tcW w:w="1418" w:type="dxa"/>
                <w:shd w:val="clear" w:color="auto" w:fill="auto"/>
                <w:vAlign w:val="center"/>
                <w:hideMark/>
              </w:tcPr>
              <w:p w14:paraId="7132FE4F" w14:textId="77777777" w:rsidR="005A5C94" w:rsidRPr="005A5C94" w:rsidRDefault="005A5C94" w:rsidP="00216F3D">
                <w:pPr>
                  <w:spacing w:after="0" w:line="240" w:lineRule="auto"/>
                  <w:jc w:val="right"/>
                  <w:rPr>
                    <w:rFonts w:ascii="Times New Roman" w:eastAsia="Times New Roman" w:hAnsi="Times New Roman"/>
                    <w:b/>
                    <w:bCs/>
                    <w:color w:val="000000"/>
                    <w:sz w:val="18"/>
                    <w:szCs w:val="18"/>
                    <w:lang w:eastAsia="es-CO"/>
                  </w:rPr>
                </w:pPr>
                <w:r w:rsidRPr="005A5C94">
                  <w:rPr>
                    <w:rFonts w:ascii="Times New Roman" w:eastAsia="Times New Roman" w:hAnsi="Times New Roman"/>
                    <w:b/>
                    <w:bCs/>
                    <w:color w:val="000000"/>
                    <w:sz w:val="18"/>
                    <w:szCs w:val="18"/>
                    <w:lang w:eastAsia="es-CO"/>
                  </w:rPr>
                  <w:t>2.613.528.395.101</w:t>
                </w:r>
              </w:p>
            </w:tc>
          </w:tr>
        </w:tbl>
        <w:p w14:paraId="727B6891" w14:textId="77777777" w:rsidR="00F01E1D" w:rsidRDefault="00F01E1D" w:rsidP="0E4E29E4">
          <w:pPr>
            <w:ind w:left="-20" w:right="-20"/>
            <w:jc w:val="both"/>
            <w:rPr>
              <w:rFonts w:ascii="Times New Roman" w:eastAsia="Times New Roman" w:hAnsi="Times New Roman"/>
              <w:sz w:val="24"/>
              <w:szCs w:val="24"/>
            </w:rPr>
            <w:sectPr w:rsidR="00F01E1D" w:rsidSect="00376BDD">
              <w:type w:val="continuous"/>
              <w:pgSz w:w="12240" w:h="15840"/>
              <w:pgMar w:top="1418" w:right="1418" w:bottom="1418" w:left="1843" w:header="680" w:footer="709" w:gutter="0"/>
              <w:pgNumType w:start="1"/>
              <w:cols w:num="2" w:space="708"/>
              <w:titlePg/>
              <w:docGrid w:linePitch="360"/>
            </w:sectPr>
          </w:pPr>
        </w:p>
        <w:p w14:paraId="3B3A1524" w14:textId="54A04196" w:rsidR="003A4D8E" w:rsidRPr="00931DCE" w:rsidRDefault="64C58135" w:rsidP="00896B6A">
          <w:pPr>
            <w:ind w:left="-20" w:right="-20"/>
            <w:jc w:val="both"/>
          </w:pPr>
          <w:r w:rsidRPr="0E4E29E4">
            <w:rPr>
              <w:rFonts w:ascii="Times New Roman" w:eastAsia="Times New Roman" w:hAnsi="Times New Roman"/>
              <w:sz w:val="24"/>
              <w:szCs w:val="24"/>
            </w:rPr>
            <w:t xml:space="preserve">Otras subcuentas que no tuvieron un porcentaje representativo en la variación de la cuenta </w:t>
          </w:r>
          <w:r w:rsidRPr="0E4E29E4">
            <w:rPr>
              <w:rFonts w:ascii="Times New Roman" w:eastAsia="Times New Roman" w:hAnsi="Times New Roman"/>
              <w:i/>
              <w:iCs/>
              <w:sz w:val="24"/>
              <w:szCs w:val="24"/>
            </w:rPr>
            <w:t>Gastos diversos</w:t>
          </w:r>
          <w:r w:rsidRPr="0E4E29E4">
            <w:rPr>
              <w:rFonts w:ascii="Times New Roman" w:eastAsia="Times New Roman" w:hAnsi="Times New Roman"/>
              <w:sz w:val="24"/>
              <w:szCs w:val="24"/>
            </w:rPr>
            <w:t xml:space="preserve"> pero que se considera es importante revelar son las subcuentas, a saber: Sentencias; Pérdidas en siniestros; y Pérdida por baja en cuentas de activos no financieros</w:t>
          </w:r>
        </w:p>
        <w:p w14:paraId="74B92743" w14:textId="2A18E4E2" w:rsidR="003A4D8E" w:rsidRDefault="64C58135" w:rsidP="0E4E29E4">
          <w:pPr>
            <w:ind w:left="-20" w:right="-20"/>
            <w:jc w:val="both"/>
            <w:rPr>
              <w:rFonts w:ascii="Times New Roman" w:eastAsia="Times New Roman" w:hAnsi="Times New Roman"/>
              <w:sz w:val="24"/>
              <w:szCs w:val="24"/>
            </w:rPr>
          </w:pPr>
          <w:r w:rsidRPr="0E4E29E4">
            <w:rPr>
              <w:rFonts w:ascii="Times New Roman" w:eastAsia="Times New Roman" w:hAnsi="Times New Roman"/>
              <w:sz w:val="24"/>
              <w:szCs w:val="24"/>
            </w:rPr>
            <w:lastRenderedPageBreak/>
            <w:t xml:space="preserve">En la subcuenta </w:t>
          </w:r>
          <w:r w:rsidRPr="0E4E29E4">
            <w:rPr>
              <w:rFonts w:ascii="Times New Roman" w:eastAsia="Times New Roman" w:hAnsi="Times New Roman"/>
              <w:i/>
              <w:iCs/>
              <w:sz w:val="24"/>
              <w:szCs w:val="24"/>
            </w:rPr>
            <w:t>Sentencias</w:t>
          </w:r>
          <w:r w:rsidRPr="0E4E29E4">
            <w:rPr>
              <w:rFonts w:ascii="Times New Roman" w:eastAsia="Times New Roman" w:hAnsi="Times New Roman"/>
              <w:sz w:val="24"/>
              <w:szCs w:val="24"/>
            </w:rPr>
            <w:t xml:space="preserve"> se registró un valor de $198.187.485, que corresponde al gasto generado por la diferencia entre la provisión y el valor a pagar de acuerdo con las condenas debidamente ejecutoriadas, el saldo registrado para el año 2023 fue el siguiente:</w:t>
          </w:r>
        </w:p>
        <w:p w14:paraId="38A5B41A" w14:textId="77777777" w:rsidR="000509CC" w:rsidRPr="00931DCE" w:rsidRDefault="000509CC" w:rsidP="0E4E29E4">
          <w:pPr>
            <w:ind w:left="-20" w:right="-20"/>
            <w:jc w:val="both"/>
          </w:pPr>
        </w:p>
        <w:p w14:paraId="0DF32C9E" w14:textId="77777777" w:rsidR="00896B6A" w:rsidRDefault="00896B6A" w:rsidP="0E4E29E4">
          <w:pPr>
            <w:spacing w:after="0"/>
            <w:ind w:left="-20" w:right="-20"/>
            <w:jc w:val="center"/>
            <w:rPr>
              <w:rFonts w:ascii="Arial" w:eastAsia="Arial" w:hAnsi="Arial" w:cs="Arial"/>
              <w:b/>
              <w:bCs/>
              <w:color w:val="000000" w:themeColor="text1"/>
              <w:sz w:val="16"/>
              <w:szCs w:val="16"/>
            </w:rPr>
            <w:sectPr w:rsidR="00896B6A" w:rsidSect="00376BDD">
              <w:type w:val="continuous"/>
              <w:pgSz w:w="12240" w:h="15840"/>
              <w:pgMar w:top="1418" w:right="1418" w:bottom="1418" w:left="1843" w:header="680" w:footer="709" w:gutter="0"/>
              <w:pgNumType w:start="165"/>
              <w:cols w:space="708"/>
              <w:titlePg/>
              <w:docGrid w:linePitch="360"/>
            </w:sectPr>
          </w:pPr>
        </w:p>
        <w:tbl>
          <w:tblPr>
            <w:tblW w:w="0" w:type="auto"/>
            <w:jc w:val="center"/>
            <w:tblBorders>
              <w:top w:val="single" w:sz="8" w:space="0" w:color="808080"/>
              <w:left w:val="single" w:sz="8" w:space="0" w:color="808080"/>
              <w:bottom w:val="single" w:sz="8" w:space="0" w:color="808080"/>
              <w:right w:val="single" w:sz="8" w:space="0" w:color="808080"/>
              <w:insideH w:val="single" w:sz="6" w:space="0" w:color="808080"/>
              <w:insideV w:val="single" w:sz="6" w:space="0" w:color="808080"/>
            </w:tblBorders>
            <w:tblLook w:val="04A0" w:firstRow="1" w:lastRow="0" w:firstColumn="1" w:lastColumn="0" w:noHBand="0" w:noVBand="1"/>
          </w:tblPr>
          <w:tblGrid>
            <w:gridCol w:w="1211"/>
            <w:gridCol w:w="4511"/>
            <w:gridCol w:w="1420"/>
          </w:tblGrid>
          <w:tr w:rsidR="00E268E7" w:rsidRPr="00150FEC" w14:paraId="2A9CAFAB" w14:textId="77777777" w:rsidTr="00150FEC">
            <w:trPr>
              <w:trHeight w:val="283"/>
              <w:tblHeader/>
              <w:jc w:val="center"/>
            </w:trPr>
            <w:tc>
              <w:tcPr>
                <w:tcW w:w="0" w:type="auto"/>
                <w:gridSpan w:val="2"/>
                <w:tcMar>
                  <w:left w:w="70" w:type="dxa"/>
                  <w:right w:w="70" w:type="dxa"/>
                </w:tcMar>
                <w:vAlign w:val="center"/>
              </w:tcPr>
              <w:p w14:paraId="02A75C16" w14:textId="536CBA4F" w:rsidR="00E268E7" w:rsidRPr="00150FEC" w:rsidRDefault="00150FEC" w:rsidP="0E4E29E4">
                <w:pPr>
                  <w:spacing w:after="0"/>
                  <w:ind w:left="-20" w:right="-20"/>
                  <w:jc w:val="center"/>
                  <w:rPr>
                    <w:sz w:val="18"/>
                    <w:szCs w:val="18"/>
                  </w:rPr>
                </w:pPr>
                <w:r w:rsidRPr="00150FEC">
                  <w:rPr>
                    <w:rFonts w:ascii="Arial" w:eastAsia="Arial" w:hAnsi="Arial" w:cs="Arial"/>
                    <w:b/>
                    <w:bCs/>
                    <w:color w:val="000000" w:themeColor="text1"/>
                    <w:sz w:val="18"/>
                    <w:szCs w:val="18"/>
                  </w:rPr>
                  <w:t>TERCERO</w:t>
                </w:r>
              </w:p>
            </w:tc>
            <w:tc>
              <w:tcPr>
                <w:tcW w:w="0" w:type="auto"/>
                <w:tcMar>
                  <w:left w:w="70" w:type="dxa"/>
                  <w:right w:w="70" w:type="dxa"/>
                </w:tcMar>
                <w:vAlign w:val="center"/>
              </w:tcPr>
              <w:p w14:paraId="31CA2993" w14:textId="279928F0" w:rsidR="00E268E7" w:rsidRPr="00150FEC" w:rsidRDefault="00150FEC" w:rsidP="0E4E29E4">
                <w:pPr>
                  <w:spacing w:after="0"/>
                  <w:ind w:left="-20" w:right="-20"/>
                  <w:jc w:val="center"/>
                  <w:rPr>
                    <w:sz w:val="18"/>
                    <w:szCs w:val="18"/>
                  </w:rPr>
                </w:pPr>
                <w:r w:rsidRPr="00150FEC">
                  <w:rPr>
                    <w:rFonts w:ascii="Arial" w:eastAsia="Arial" w:hAnsi="Arial" w:cs="Arial"/>
                    <w:b/>
                    <w:bCs/>
                    <w:color w:val="000000" w:themeColor="text1"/>
                    <w:sz w:val="18"/>
                    <w:szCs w:val="18"/>
                  </w:rPr>
                  <w:t>SALDO FINAL</w:t>
                </w:r>
              </w:p>
            </w:tc>
          </w:tr>
          <w:tr w:rsidR="0E4E29E4" w:rsidRPr="00150FEC" w14:paraId="62AC8577" w14:textId="77777777" w:rsidTr="00150FEC">
            <w:trPr>
              <w:trHeight w:val="283"/>
              <w:jc w:val="center"/>
            </w:trPr>
            <w:tc>
              <w:tcPr>
                <w:tcW w:w="0" w:type="auto"/>
                <w:tcMar>
                  <w:left w:w="70" w:type="dxa"/>
                  <w:right w:w="70" w:type="dxa"/>
                </w:tcMar>
                <w:vAlign w:val="center"/>
              </w:tcPr>
              <w:p w14:paraId="7ED2D69E" w14:textId="1D1A6313" w:rsidR="0E4E29E4" w:rsidRPr="00150FEC" w:rsidRDefault="0E4E29E4" w:rsidP="0E4E29E4">
                <w:pPr>
                  <w:spacing w:after="0"/>
                  <w:ind w:left="-20" w:right="-20"/>
                  <w:jc w:val="right"/>
                  <w:rPr>
                    <w:sz w:val="18"/>
                    <w:szCs w:val="18"/>
                  </w:rPr>
                </w:pPr>
                <w:r w:rsidRPr="00150FEC">
                  <w:rPr>
                    <w:rFonts w:ascii="Arial" w:eastAsia="Arial" w:hAnsi="Arial" w:cs="Arial"/>
                    <w:color w:val="000000" w:themeColor="text1"/>
                    <w:sz w:val="18"/>
                    <w:szCs w:val="18"/>
                  </w:rPr>
                  <w:t>1085279318</w:t>
                </w:r>
              </w:p>
            </w:tc>
            <w:tc>
              <w:tcPr>
                <w:tcW w:w="0" w:type="auto"/>
                <w:tcMar>
                  <w:left w:w="70" w:type="dxa"/>
                  <w:right w:w="70" w:type="dxa"/>
                </w:tcMar>
                <w:vAlign w:val="center"/>
              </w:tcPr>
              <w:p w14:paraId="5D70C2A8" w14:textId="6C32F0CA" w:rsidR="0E4E29E4" w:rsidRPr="00150FEC" w:rsidRDefault="0E4E29E4" w:rsidP="0E4E29E4">
                <w:pPr>
                  <w:spacing w:after="0"/>
                  <w:ind w:left="-20" w:right="-20"/>
                  <w:rPr>
                    <w:sz w:val="18"/>
                    <w:szCs w:val="18"/>
                  </w:rPr>
                </w:pPr>
                <w:r w:rsidRPr="00150FEC">
                  <w:rPr>
                    <w:rFonts w:ascii="Arial" w:eastAsia="Arial" w:hAnsi="Arial" w:cs="Arial"/>
                    <w:color w:val="000000" w:themeColor="text1"/>
                    <w:sz w:val="18"/>
                    <w:szCs w:val="18"/>
                  </w:rPr>
                  <w:t>LIZETH BENAVIDES MORA</w:t>
                </w:r>
              </w:p>
            </w:tc>
            <w:tc>
              <w:tcPr>
                <w:tcW w:w="0" w:type="auto"/>
                <w:tcMar>
                  <w:left w:w="70" w:type="dxa"/>
                  <w:right w:w="70" w:type="dxa"/>
                </w:tcMar>
                <w:vAlign w:val="center"/>
              </w:tcPr>
              <w:p w14:paraId="39580042" w14:textId="0C54B884" w:rsidR="0E4E29E4" w:rsidRPr="00150FEC" w:rsidRDefault="0E4E29E4" w:rsidP="0E4E29E4">
                <w:pPr>
                  <w:spacing w:after="0"/>
                  <w:ind w:left="-20" w:right="-20"/>
                  <w:jc w:val="right"/>
                  <w:rPr>
                    <w:sz w:val="18"/>
                    <w:szCs w:val="18"/>
                  </w:rPr>
                </w:pPr>
                <w:r w:rsidRPr="00150FEC">
                  <w:rPr>
                    <w:rFonts w:ascii="Arial" w:eastAsia="Arial" w:hAnsi="Arial" w:cs="Arial"/>
                    <w:color w:val="000000" w:themeColor="text1"/>
                    <w:sz w:val="18"/>
                    <w:szCs w:val="18"/>
                  </w:rPr>
                  <w:t>103.619.660</w:t>
                </w:r>
              </w:p>
            </w:tc>
          </w:tr>
          <w:tr w:rsidR="0E4E29E4" w:rsidRPr="00150FEC" w14:paraId="13375BB6" w14:textId="77777777" w:rsidTr="00150FEC">
            <w:trPr>
              <w:trHeight w:val="283"/>
              <w:jc w:val="center"/>
            </w:trPr>
            <w:tc>
              <w:tcPr>
                <w:tcW w:w="0" w:type="auto"/>
                <w:tcMar>
                  <w:left w:w="70" w:type="dxa"/>
                  <w:right w:w="70" w:type="dxa"/>
                </w:tcMar>
                <w:vAlign w:val="center"/>
              </w:tcPr>
              <w:p w14:paraId="7E152BAF" w14:textId="73B80597" w:rsidR="0E4E29E4" w:rsidRPr="00150FEC" w:rsidRDefault="0E4E29E4" w:rsidP="0E4E29E4">
                <w:pPr>
                  <w:spacing w:after="0"/>
                  <w:ind w:left="-20" w:right="-20"/>
                  <w:jc w:val="right"/>
                  <w:rPr>
                    <w:sz w:val="18"/>
                    <w:szCs w:val="18"/>
                  </w:rPr>
                </w:pPr>
                <w:r w:rsidRPr="00150FEC">
                  <w:rPr>
                    <w:rFonts w:ascii="Arial" w:eastAsia="Arial" w:hAnsi="Arial" w:cs="Arial"/>
                    <w:color w:val="000000" w:themeColor="text1"/>
                    <w:sz w:val="18"/>
                    <w:szCs w:val="18"/>
                  </w:rPr>
                  <w:t>3268238</w:t>
                </w:r>
              </w:p>
            </w:tc>
            <w:tc>
              <w:tcPr>
                <w:tcW w:w="0" w:type="auto"/>
                <w:tcMar>
                  <w:left w:w="70" w:type="dxa"/>
                  <w:right w:w="70" w:type="dxa"/>
                </w:tcMar>
                <w:vAlign w:val="center"/>
              </w:tcPr>
              <w:p w14:paraId="2AEEDC6C" w14:textId="165A123B" w:rsidR="0E4E29E4" w:rsidRPr="00150FEC" w:rsidRDefault="0E4E29E4" w:rsidP="0E4E29E4">
                <w:pPr>
                  <w:spacing w:after="0"/>
                  <w:ind w:left="-20" w:right="-20"/>
                  <w:rPr>
                    <w:sz w:val="18"/>
                    <w:szCs w:val="18"/>
                  </w:rPr>
                </w:pPr>
                <w:r w:rsidRPr="00150FEC">
                  <w:rPr>
                    <w:rFonts w:ascii="Arial" w:eastAsia="Arial" w:hAnsi="Arial" w:cs="Arial"/>
                    <w:color w:val="000000" w:themeColor="text1"/>
                    <w:sz w:val="18"/>
                    <w:szCs w:val="18"/>
                  </w:rPr>
                  <w:t>EMILIANO LAMPREA LIGARRETO</w:t>
                </w:r>
              </w:p>
            </w:tc>
            <w:tc>
              <w:tcPr>
                <w:tcW w:w="0" w:type="auto"/>
                <w:tcMar>
                  <w:left w:w="70" w:type="dxa"/>
                  <w:right w:w="70" w:type="dxa"/>
                </w:tcMar>
                <w:vAlign w:val="center"/>
              </w:tcPr>
              <w:p w14:paraId="1090D483" w14:textId="2E7D1935" w:rsidR="0E4E29E4" w:rsidRPr="00150FEC" w:rsidRDefault="0E4E29E4" w:rsidP="0E4E29E4">
                <w:pPr>
                  <w:spacing w:after="0"/>
                  <w:ind w:left="-20" w:right="-20"/>
                  <w:jc w:val="right"/>
                  <w:rPr>
                    <w:sz w:val="18"/>
                    <w:szCs w:val="18"/>
                  </w:rPr>
                </w:pPr>
                <w:r w:rsidRPr="00150FEC">
                  <w:rPr>
                    <w:rFonts w:ascii="Arial" w:eastAsia="Arial" w:hAnsi="Arial" w:cs="Arial"/>
                    <w:color w:val="000000" w:themeColor="text1"/>
                    <w:sz w:val="18"/>
                    <w:szCs w:val="18"/>
                  </w:rPr>
                  <w:t>50.294.800</w:t>
                </w:r>
              </w:p>
            </w:tc>
          </w:tr>
          <w:tr w:rsidR="0E4E29E4" w:rsidRPr="00150FEC" w14:paraId="6F9F563C" w14:textId="77777777" w:rsidTr="00150FEC">
            <w:trPr>
              <w:trHeight w:val="283"/>
              <w:jc w:val="center"/>
            </w:trPr>
            <w:tc>
              <w:tcPr>
                <w:tcW w:w="0" w:type="auto"/>
                <w:tcMar>
                  <w:left w:w="70" w:type="dxa"/>
                  <w:right w:w="70" w:type="dxa"/>
                </w:tcMar>
                <w:vAlign w:val="center"/>
              </w:tcPr>
              <w:p w14:paraId="539CDE5F" w14:textId="5B29BE32" w:rsidR="0E4E29E4" w:rsidRPr="00150FEC" w:rsidRDefault="0E4E29E4" w:rsidP="0E4E29E4">
                <w:pPr>
                  <w:spacing w:after="0"/>
                  <w:ind w:left="-20" w:right="-20"/>
                  <w:jc w:val="right"/>
                  <w:rPr>
                    <w:sz w:val="18"/>
                    <w:szCs w:val="18"/>
                  </w:rPr>
                </w:pPr>
                <w:r w:rsidRPr="00150FEC">
                  <w:rPr>
                    <w:rFonts w:ascii="Arial" w:eastAsia="Arial" w:hAnsi="Arial" w:cs="Arial"/>
                    <w:color w:val="000000" w:themeColor="text1"/>
                    <w:sz w:val="18"/>
                    <w:szCs w:val="18"/>
                  </w:rPr>
                  <w:t>51746093</w:t>
                </w:r>
              </w:p>
            </w:tc>
            <w:tc>
              <w:tcPr>
                <w:tcW w:w="0" w:type="auto"/>
                <w:tcMar>
                  <w:left w:w="70" w:type="dxa"/>
                  <w:right w:w="70" w:type="dxa"/>
                </w:tcMar>
                <w:vAlign w:val="center"/>
              </w:tcPr>
              <w:p w14:paraId="02F24DFE" w14:textId="075E6001" w:rsidR="0E4E29E4" w:rsidRPr="00150FEC" w:rsidRDefault="0E4E29E4" w:rsidP="0E4E29E4">
                <w:pPr>
                  <w:spacing w:after="0"/>
                  <w:ind w:left="-20" w:right="-20"/>
                  <w:rPr>
                    <w:sz w:val="18"/>
                    <w:szCs w:val="18"/>
                  </w:rPr>
                </w:pPr>
                <w:r w:rsidRPr="00150FEC">
                  <w:rPr>
                    <w:rFonts w:ascii="Arial" w:eastAsia="Arial" w:hAnsi="Arial" w:cs="Arial"/>
                    <w:color w:val="000000" w:themeColor="text1"/>
                    <w:sz w:val="18"/>
                    <w:szCs w:val="18"/>
                  </w:rPr>
                  <w:t>MARIA MARTHA JANET SEPULVEDA LANCHEROS</w:t>
                </w:r>
              </w:p>
            </w:tc>
            <w:tc>
              <w:tcPr>
                <w:tcW w:w="0" w:type="auto"/>
                <w:tcMar>
                  <w:left w:w="70" w:type="dxa"/>
                  <w:right w:w="70" w:type="dxa"/>
                </w:tcMar>
                <w:vAlign w:val="center"/>
              </w:tcPr>
              <w:p w14:paraId="60AA2E86" w14:textId="18EF389D" w:rsidR="0E4E29E4" w:rsidRPr="00150FEC" w:rsidRDefault="0E4E29E4" w:rsidP="0E4E29E4">
                <w:pPr>
                  <w:spacing w:after="0"/>
                  <w:ind w:left="-20" w:right="-20"/>
                  <w:jc w:val="right"/>
                  <w:rPr>
                    <w:sz w:val="18"/>
                    <w:szCs w:val="18"/>
                  </w:rPr>
                </w:pPr>
                <w:r w:rsidRPr="00150FEC">
                  <w:rPr>
                    <w:rFonts w:ascii="Arial" w:eastAsia="Arial" w:hAnsi="Arial" w:cs="Arial"/>
                    <w:color w:val="000000" w:themeColor="text1"/>
                    <w:sz w:val="18"/>
                    <w:szCs w:val="18"/>
                  </w:rPr>
                  <w:t>41.910.000</w:t>
                </w:r>
              </w:p>
            </w:tc>
          </w:tr>
          <w:tr w:rsidR="0E4E29E4" w:rsidRPr="00150FEC" w14:paraId="6D3B6D23" w14:textId="77777777" w:rsidTr="00150FEC">
            <w:trPr>
              <w:trHeight w:val="283"/>
              <w:jc w:val="center"/>
            </w:trPr>
            <w:tc>
              <w:tcPr>
                <w:tcW w:w="0" w:type="auto"/>
                <w:tcMar>
                  <w:left w:w="70" w:type="dxa"/>
                  <w:right w:w="70" w:type="dxa"/>
                </w:tcMar>
                <w:vAlign w:val="center"/>
              </w:tcPr>
              <w:p w14:paraId="43D71567" w14:textId="624E247B" w:rsidR="0E4E29E4" w:rsidRPr="00150FEC" w:rsidRDefault="0E4E29E4" w:rsidP="0E4E29E4">
                <w:pPr>
                  <w:spacing w:after="0"/>
                  <w:ind w:left="-20" w:right="-20"/>
                  <w:jc w:val="right"/>
                  <w:rPr>
                    <w:sz w:val="18"/>
                    <w:szCs w:val="18"/>
                  </w:rPr>
                </w:pPr>
                <w:r w:rsidRPr="00150FEC">
                  <w:rPr>
                    <w:rFonts w:ascii="Arial" w:eastAsia="Arial" w:hAnsi="Arial" w:cs="Arial"/>
                    <w:color w:val="000000" w:themeColor="text1"/>
                    <w:sz w:val="18"/>
                    <w:szCs w:val="18"/>
                  </w:rPr>
                  <w:t>7224243</w:t>
                </w:r>
              </w:p>
            </w:tc>
            <w:tc>
              <w:tcPr>
                <w:tcW w:w="0" w:type="auto"/>
                <w:tcMar>
                  <w:left w:w="70" w:type="dxa"/>
                  <w:right w:w="70" w:type="dxa"/>
                </w:tcMar>
                <w:vAlign w:val="center"/>
              </w:tcPr>
              <w:p w14:paraId="1F8C5742" w14:textId="6EAE23E8" w:rsidR="0E4E29E4" w:rsidRPr="00150FEC" w:rsidRDefault="0E4E29E4" w:rsidP="0E4E29E4">
                <w:pPr>
                  <w:spacing w:after="0"/>
                  <w:ind w:left="-20" w:right="-20"/>
                  <w:rPr>
                    <w:sz w:val="18"/>
                    <w:szCs w:val="18"/>
                  </w:rPr>
                </w:pPr>
                <w:r w:rsidRPr="00150FEC">
                  <w:rPr>
                    <w:rFonts w:ascii="Arial" w:eastAsia="Arial" w:hAnsi="Arial" w:cs="Arial"/>
                    <w:color w:val="000000" w:themeColor="text1"/>
                    <w:sz w:val="18"/>
                    <w:szCs w:val="18"/>
                  </w:rPr>
                  <w:t>AMILCAR ORLANDO CAMARGO SANCHEZ</w:t>
                </w:r>
              </w:p>
            </w:tc>
            <w:tc>
              <w:tcPr>
                <w:tcW w:w="0" w:type="auto"/>
                <w:tcMar>
                  <w:left w:w="70" w:type="dxa"/>
                  <w:right w:w="70" w:type="dxa"/>
                </w:tcMar>
                <w:vAlign w:val="center"/>
              </w:tcPr>
              <w:p w14:paraId="6B8A375D" w14:textId="42E39AA5" w:rsidR="0E4E29E4" w:rsidRPr="00150FEC" w:rsidRDefault="0E4E29E4" w:rsidP="0E4E29E4">
                <w:pPr>
                  <w:spacing w:after="0"/>
                  <w:ind w:left="-20" w:right="-20"/>
                  <w:jc w:val="right"/>
                  <w:rPr>
                    <w:sz w:val="18"/>
                    <w:szCs w:val="18"/>
                  </w:rPr>
                </w:pPr>
                <w:r w:rsidRPr="00150FEC">
                  <w:rPr>
                    <w:rFonts w:ascii="Arial" w:eastAsia="Arial" w:hAnsi="Arial" w:cs="Arial"/>
                    <w:color w:val="000000" w:themeColor="text1"/>
                    <w:sz w:val="18"/>
                    <w:szCs w:val="18"/>
                  </w:rPr>
                  <w:t>2.363.025</w:t>
                </w:r>
              </w:p>
            </w:tc>
          </w:tr>
          <w:tr w:rsidR="0E4E29E4" w:rsidRPr="00150FEC" w14:paraId="0B891C3D" w14:textId="77777777" w:rsidTr="00150FEC">
            <w:trPr>
              <w:trHeight w:val="283"/>
              <w:jc w:val="center"/>
            </w:trPr>
            <w:tc>
              <w:tcPr>
                <w:tcW w:w="0" w:type="auto"/>
                <w:gridSpan w:val="2"/>
                <w:tcMar>
                  <w:left w:w="70" w:type="dxa"/>
                  <w:right w:w="70" w:type="dxa"/>
                </w:tcMar>
                <w:vAlign w:val="bottom"/>
              </w:tcPr>
              <w:p w14:paraId="1CAAA73C" w14:textId="0364DDAF" w:rsidR="0E4E29E4" w:rsidRPr="00150FEC" w:rsidRDefault="0E4E29E4" w:rsidP="0E4E29E4">
                <w:pPr>
                  <w:spacing w:after="0"/>
                  <w:ind w:left="-20" w:right="-20"/>
                  <w:jc w:val="center"/>
                  <w:rPr>
                    <w:sz w:val="18"/>
                    <w:szCs w:val="18"/>
                  </w:rPr>
                </w:pPr>
                <w:r w:rsidRPr="00150FEC">
                  <w:rPr>
                    <w:rFonts w:ascii="Times New Roman" w:eastAsia="Times New Roman" w:hAnsi="Times New Roman"/>
                    <w:b/>
                    <w:bCs/>
                    <w:color w:val="000000" w:themeColor="text1"/>
                    <w:sz w:val="18"/>
                    <w:szCs w:val="18"/>
                  </w:rPr>
                  <w:t>Total</w:t>
                </w:r>
              </w:p>
            </w:tc>
            <w:tc>
              <w:tcPr>
                <w:tcW w:w="0" w:type="auto"/>
                <w:tcMar>
                  <w:left w:w="70" w:type="dxa"/>
                  <w:right w:w="70" w:type="dxa"/>
                </w:tcMar>
                <w:vAlign w:val="center"/>
              </w:tcPr>
              <w:p w14:paraId="5AEF82A0" w14:textId="6C7827F4" w:rsidR="0E4E29E4" w:rsidRPr="00150FEC" w:rsidRDefault="0E4E29E4" w:rsidP="0E4E29E4">
                <w:pPr>
                  <w:spacing w:after="0"/>
                  <w:ind w:left="-20" w:right="-20"/>
                  <w:jc w:val="right"/>
                  <w:rPr>
                    <w:sz w:val="18"/>
                    <w:szCs w:val="18"/>
                  </w:rPr>
                </w:pPr>
                <w:r w:rsidRPr="00150FEC">
                  <w:rPr>
                    <w:rFonts w:ascii="Arial" w:eastAsia="Arial" w:hAnsi="Arial" w:cs="Arial"/>
                    <w:color w:val="000000" w:themeColor="text1"/>
                    <w:sz w:val="18"/>
                    <w:szCs w:val="18"/>
                  </w:rPr>
                  <w:t>198.187.485</w:t>
                </w:r>
              </w:p>
            </w:tc>
          </w:tr>
        </w:tbl>
        <w:p w14:paraId="058E308E" w14:textId="47270D39" w:rsidR="003A4D8E" w:rsidRPr="00931DCE" w:rsidRDefault="003A4D8E" w:rsidP="005A4993">
          <w:pPr>
            <w:ind w:right="-20"/>
            <w:jc w:val="both"/>
          </w:pPr>
        </w:p>
        <w:p w14:paraId="3AC24220" w14:textId="76474A54" w:rsidR="003A4D8E" w:rsidRPr="00931DCE" w:rsidRDefault="64C58135" w:rsidP="0E4E29E4">
          <w:pPr>
            <w:ind w:left="-20" w:right="-20"/>
            <w:jc w:val="both"/>
          </w:pPr>
          <w:r w:rsidRPr="0E4E29E4">
            <w:rPr>
              <w:rFonts w:ascii="Times New Roman" w:eastAsia="Times New Roman" w:hAnsi="Times New Roman"/>
              <w:sz w:val="24"/>
              <w:szCs w:val="24"/>
            </w:rPr>
            <w:t xml:space="preserve">Disminución neta en la cuenta </w:t>
          </w:r>
          <w:r w:rsidRPr="0E4E29E4">
            <w:rPr>
              <w:rFonts w:ascii="Times New Roman" w:eastAsia="Times New Roman" w:hAnsi="Times New Roman"/>
              <w:i/>
              <w:iCs/>
              <w:sz w:val="24"/>
              <w:szCs w:val="24"/>
            </w:rPr>
            <w:t>Financieros</w:t>
          </w:r>
          <w:r w:rsidRPr="0E4E29E4">
            <w:rPr>
              <w:rFonts w:ascii="Times New Roman" w:eastAsia="Times New Roman" w:hAnsi="Times New Roman"/>
              <w:sz w:val="24"/>
              <w:szCs w:val="24"/>
            </w:rPr>
            <w:t xml:space="preserve"> </w:t>
          </w:r>
          <w:r w:rsidRPr="0E4E29E4">
            <w:rPr>
              <w:rFonts w:ascii="Times New Roman" w:eastAsia="Times New Roman" w:hAnsi="Times New Roman"/>
              <w:i/>
              <w:iCs/>
              <w:sz w:val="24"/>
              <w:szCs w:val="24"/>
            </w:rPr>
            <w:t>(2)</w:t>
          </w:r>
          <w:r w:rsidRPr="0E4E29E4">
            <w:rPr>
              <w:rFonts w:ascii="Times New Roman" w:eastAsia="Times New Roman" w:hAnsi="Times New Roman"/>
              <w:sz w:val="24"/>
              <w:szCs w:val="24"/>
            </w:rPr>
            <w:t xml:space="preserve"> principalmente por: (i) la disminución en la subcuenta </w:t>
          </w:r>
          <w:r w:rsidRPr="0E4E29E4">
            <w:rPr>
              <w:rFonts w:ascii="Times New Roman" w:eastAsia="Times New Roman" w:hAnsi="Times New Roman"/>
              <w:i/>
              <w:iCs/>
              <w:sz w:val="24"/>
              <w:szCs w:val="24"/>
            </w:rPr>
            <w:t xml:space="preserve">Costo efectivo de préstamos por pagar - financiamiento interno de largo plazo </w:t>
          </w:r>
          <w:r w:rsidRPr="0E4E29E4">
            <w:rPr>
              <w:rFonts w:ascii="Times New Roman" w:eastAsia="Times New Roman" w:hAnsi="Times New Roman"/>
              <w:sz w:val="24"/>
              <w:szCs w:val="24"/>
            </w:rPr>
            <w:t xml:space="preserve"> por valor de $-319.007.483.115, como resultado de la actualización de la parte proporcional de la carga financiera de los aportes estatales (vigencias futuras), de los acuerdos de concesión del modo de transporte carretero, de conformidad con el modelo financiero para propósitos contables, (ii) incremento en la subcuenta </w:t>
          </w:r>
          <w:r w:rsidRPr="0E4E29E4">
            <w:rPr>
              <w:rFonts w:ascii="Times New Roman" w:eastAsia="Times New Roman" w:hAnsi="Times New Roman"/>
              <w:i/>
              <w:iCs/>
              <w:sz w:val="24"/>
              <w:szCs w:val="24"/>
            </w:rPr>
            <w:t xml:space="preserve">Intereses de laudos arbitrales y conciliaciones extrajudiciales </w:t>
          </w:r>
          <w:r w:rsidRPr="0E4E29E4">
            <w:rPr>
              <w:rFonts w:ascii="Times New Roman" w:eastAsia="Times New Roman" w:hAnsi="Times New Roman"/>
              <w:sz w:val="24"/>
              <w:szCs w:val="24"/>
            </w:rPr>
            <w:t xml:space="preserve">por valor de $159.036.314.218, por el registro de los intereses corrientes y de mora por las deudas reconocidas por conceptos de Laudos arbitrales y que son informados por la Vicepresidencia Ejecutiva en el formato GCSP-F-006-Liquidación de la deuda, (iii) incremento en la subcuenta </w:t>
          </w:r>
          <w:r w:rsidRPr="0E4E29E4">
            <w:rPr>
              <w:rFonts w:ascii="Times New Roman" w:eastAsia="Times New Roman" w:hAnsi="Times New Roman"/>
              <w:i/>
              <w:iCs/>
              <w:sz w:val="24"/>
              <w:szCs w:val="24"/>
            </w:rPr>
            <w:t>Intereses de mora</w:t>
          </w:r>
          <w:r w:rsidRPr="0E4E29E4">
            <w:rPr>
              <w:rFonts w:ascii="Times New Roman" w:eastAsia="Times New Roman" w:hAnsi="Times New Roman"/>
              <w:sz w:val="24"/>
              <w:szCs w:val="24"/>
            </w:rPr>
            <w:t xml:space="preserve"> originados desde el cumplimiento de la obligación de realizar los aportes estatales (ANI) de la vigencia 2022, de acuerdo con las cláusulas contractuales de los proyectos de Concesión del modo carretero, (iv)  disminución de la subcuenta </w:t>
          </w:r>
          <w:r w:rsidRPr="0E4E29E4">
            <w:rPr>
              <w:rFonts w:ascii="Times New Roman" w:eastAsia="Times New Roman" w:hAnsi="Times New Roman"/>
              <w:i/>
              <w:iCs/>
              <w:sz w:val="24"/>
              <w:szCs w:val="24"/>
            </w:rPr>
            <w:t>Pérdida por baja en cuentas de cuentas por cobrar</w:t>
          </w:r>
          <w:r w:rsidRPr="0E4E29E4">
            <w:rPr>
              <w:rFonts w:ascii="Times New Roman" w:eastAsia="Times New Roman" w:hAnsi="Times New Roman"/>
              <w:sz w:val="24"/>
              <w:szCs w:val="24"/>
            </w:rPr>
            <w:t xml:space="preserve"> por valor de $-4.469.870.264, y por (v) disminución en la subcuenta Intereses de sentencias por valor de $ -45.696.837 que corresponden a menores intereses registrados en el año 2023, con relación al 2022.  El valor registrado para el año 2023 por $26.141.232 corresponde a intereses generados por:  la Condena impuesta mediante sentencia de Segunda Instancia dictada por el Tribunal Administrativo De Cundinamarca-Sección Tercera-Subsección B en el marco del medio de control de Reparación Directa bajo el radicado 1100133430632018-00079- 02 interpuesta por EMILIANO LAMPREA LIGARRETO Y OTROS  de $21.859.210 en la sentencia administrativa desfavorable, por valor de $21.859.210 y por Intereses generados en la Sentencia Administrativa desfavorable registrada a Claudia Marcela Pinzón Sánchez por valor de $4.282.022.</w:t>
          </w:r>
        </w:p>
        <w:p w14:paraId="152809E6" w14:textId="73765D36" w:rsidR="003A4D8E" w:rsidRPr="00931DCE" w:rsidRDefault="64C58135" w:rsidP="0E4E29E4">
          <w:pPr>
            <w:ind w:left="-20" w:right="-20"/>
            <w:jc w:val="both"/>
          </w:pPr>
          <w:r w:rsidRPr="0E4E29E4">
            <w:rPr>
              <w:rFonts w:ascii="Times New Roman" w:eastAsia="Times New Roman" w:hAnsi="Times New Roman"/>
              <w:sz w:val="24"/>
              <w:szCs w:val="24"/>
            </w:rPr>
            <w:t xml:space="preserve">Referente a los valores registrados para el año 2023 en la subcuenta </w:t>
          </w:r>
          <w:r w:rsidRPr="0E4E29E4">
            <w:rPr>
              <w:rFonts w:ascii="Times New Roman" w:eastAsia="Times New Roman" w:hAnsi="Times New Roman"/>
              <w:i/>
              <w:iCs/>
              <w:sz w:val="24"/>
              <w:szCs w:val="24"/>
            </w:rPr>
            <w:t>Costo efectivo de préstamos por pagar</w:t>
          </w:r>
          <w:r w:rsidRPr="0E4E29E4">
            <w:rPr>
              <w:rFonts w:ascii="Times New Roman" w:eastAsia="Times New Roman" w:hAnsi="Times New Roman"/>
              <w:sz w:val="24"/>
              <w:szCs w:val="24"/>
            </w:rPr>
            <w:t>, a continuación, se relacionan por tercero:</w:t>
          </w:r>
        </w:p>
        <w:p w14:paraId="21F6BA1B" w14:textId="08EDD6B7" w:rsidR="003A4D8E" w:rsidRPr="00931DCE" w:rsidRDefault="64C58135" w:rsidP="0E4E29E4">
          <w:pPr>
            <w:ind w:left="-20" w:right="-20"/>
            <w:jc w:val="both"/>
          </w:pPr>
          <w:r w:rsidRPr="0E4E29E4">
            <w:rPr>
              <w:rFonts w:ascii="Times New Roman" w:eastAsia="Times New Roman" w:hAnsi="Times New Roman"/>
              <w:sz w:val="24"/>
              <w:szCs w:val="24"/>
            </w:rPr>
            <w:t xml:space="preserve"> </w:t>
          </w:r>
        </w:p>
        <w:p w14:paraId="491D2765" w14:textId="77777777" w:rsidR="008B1CBF" w:rsidRDefault="008B1CBF" w:rsidP="0E4E29E4">
          <w:pPr>
            <w:spacing w:after="0"/>
            <w:ind w:left="-20" w:right="-20"/>
            <w:jc w:val="center"/>
            <w:rPr>
              <w:rFonts w:ascii="Times New Roman" w:eastAsia="Times New Roman" w:hAnsi="Times New Roman"/>
              <w:b/>
              <w:bCs/>
              <w:color w:val="000000" w:themeColor="text1"/>
              <w:sz w:val="18"/>
              <w:szCs w:val="18"/>
            </w:rPr>
          </w:pPr>
        </w:p>
        <w:p w14:paraId="2117CCF4" w14:textId="77777777" w:rsidR="00053D6D" w:rsidRDefault="00053D6D" w:rsidP="0E4E29E4">
          <w:pPr>
            <w:spacing w:after="0"/>
            <w:ind w:left="-20" w:right="-20"/>
            <w:jc w:val="center"/>
            <w:rPr>
              <w:rFonts w:ascii="Times New Roman" w:eastAsia="Times New Roman" w:hAnsi="Times New Roman"/>
              <w:b/>
              <w:bCs/>
              <w:color w:val="000000" w:themeColor="text1"/>
              <w:sz w:val="18"/>
              <w:szCs w:val="18"/>
            </w:rPr>
          </w:pPr>
        </w:p>
        <w:p w14:paraId="770C4977" w14:textId="77777777" w:rsidR="00053D6D" w:rsidRDefault="00053D6D" w:rsidP="0E4E29E4">
          <w:pPr>
            <w:spacing w:after="0"/>
            <w:ind w:left="-20" w:right="-20"/>
            <w:jc w:val="center"/>
            <w:rPr>
              <w:rFonts w:ascii="Times New Roman" w:eastAsia="Times New Roman" w:hAnsi="Times New Roman"/>
              <w:b/>
              <w:bCs/>
              <w:color w:val="000000" w:themeColor="text1"/>
              <w:sz w:val="18"/>
              <w:szCs w:val="18"/>
            </w:rPr>
            <w:sectPr w:rsidR="00053D6D" w:rsidSect="00376BDD">
              <w:type w:val="continuous"/>
              <w:pgSz w:w="12240" w:h="15840"/>
              <w:pgMar w:top="1418" w:right="1418" w:bottom="1418" w:left="1843" w:header="680" w:footer="709" w:gutter="0"/>
              <w:pgNumType w:start="1"/>
              <w:cols w:space="708"/>
              <w:titlePg/>
              <w:docGrid w:linePitch="360"/>
            </w:sectPr>
          </w:pPr>
        </w:p>
        <w:tbl>
          <w:tblPr>
            <w:tblW w:w="4385" w:type="dxa"/>
            <w:tblBorders>
              <w:top w:val="single" w:sz="8" w:space="0" w:color="808080"/>
              <w:left w:val="single" w:sz="8" w:space="0" w:color="808080"/>
              <w:bottom w:val="single" w:sz="8" w:space="0" w:color="808080"/>
              <w:right w:val="single" w:sz="8" w:space="0" w:color="808080"/>
              <w:insideH w:val="single" w:sz="6" w:space="0" w:color="808080"/>
              <w:insideV w:val="single" w:sz="6" w:space="0" w:color="808080"/>
            </w:tblBorders>
            <w:tblCellMar>
              <w:left w:w="70" w:type="dxa"/>
              <w:right w:w="70" w:type="dxa"/>
            </w:tblCellMar>
            <w:tblLook w:val="04A0" w:firstRow="1" w:lastRow="0" w:firstColumn="1" w:lastColumn="0" w:noHBand="0" w:noVBand="1"/>
          </w:tblPr>
          <w:tblGrid>
            <w:gridCol w:w="983"/>
            <w:gridCol w:w="2062"/>
            <w:gridCol w:w="1340"/>
          </w:tblGrid>
          <w:tr w:rsidR="0008698C" w:rsidRPr="00C942B1" w14:paraId="2F4463A7" w14:textId="77777777" w:rsidTr="0008698C">
            <w:trPr>
              <w:trHeight w:val="340"/>
              <w:tblHeader/>
            </w:trPr>
            <w:tc>
              <w:tcPr>
                <w:tcW w:w="3045" w:type="dxa"/>
                <w:gridSpan w:val="2"/>
                <w:shd w:val="clear" w:color="auto" w:fill="auto"/>
                <w:vAlign w:val="center"/>
                <w:hideMark/>
              </w:tcPr>
              <w:p w14:paraId="7DF65707" w14:textId="5EBAA8A7" w:rsidR="0008698C" w:rsidRPr="00C942B1" w:rsidRDefault="00150FEC" w:rsidP="0008698C">
                <w:pPr>
                  <w:spacing w:after="0" w:line="240" w:lineRule="auto"/>
                  <w:jc w:val="center"/>
                  <w:rPr>
                    <w:rFonts w:ascii="Times New Roman" w:eastAsia="Times New Roman" w:hAnsi="Times New Roman"/>
                    <w:b/>
                    <w:bCs/>
                    <w:color w:val="000000"/>
                    <w:sz w:val="14"/>
                    <w:szCs w:val="14"/>
                    <w:lang w:eastAsia="es-CO"/>
                  </w:rPr>
                </w:pPr>
                <w:r w:rsidRPr="00C942B1">
                  <w:rPr>
                    <w:rFonts w:ascii="Times New Roman" w:eastAsia="Times New Roman" w:hAnsi="Times New Roman"/>
                    <w:b/>
                    <w:bCs/>
                    <w:color w:val="000000"/>
                    <w:sz w:val="14"/>
                    <w:szCs w:val="14"/>
                    <w:lang w:eastAsia="es-CO"/>
                  </w:rPr>
                  <w:lastRenderedPageBreak/>
                  <w:t>TERCERO</w:t>
                </w:r>
              </w:p>
            </w:tc>
            <w:tc>
              <w:tcPr>
                <w:tcW w:w="1340" w:type="dxa"/>
                <w:shd w:val="clear" w:color="auto" w:fill="auto"/>
                <w:vAlign w:val="center"/>
                <w:hideMark/>
              </w:tcPr>
              <w:p w14:paraId="6E7590E4" w14:textId="205936A3" w:rsidR="0008698C" w:rsidRPr="00C942B1" w:rsidRDefault="00150FEC" w:rsidP="0008698C">
                <w:pPr>
                  <w:spacing w:after="0" w:line="240" w:lineRule="auto"/>
                  <w:jc w:val="center"/>
                  <w:rPr>
                    <w:rFonts w:ascii="Times New Roman" w:eastAsia="Times New Roman" w:hAnsi="Times New Roman"/>
                    <w:b/>
                    <w:bCs/>
                    <w:color w:val="000000"/>
                    <w:sz w:val="14"/>
                    <w:szCs w:val="14"/>
                    <w:lang w:eastAsia="es-CO"/>
                  </w:rPr>
                </w:pPr>
                <w:r w:rsidRPr="00C942B1">
                  <w:rPr>
                    <w:rFonts w:ascii="Times New Roman" w:eastAsia="Times New Roman" w:hAnsi="Times New Roman"/>
                    <w:b/>
                    <w:bCs/>
                    <w:color w:val="000000"/>
                    <w:sz w:val="14"/>
                    <w:szCs w:val="14"/>
                    <w:lang w:eastAsia="es-CO"/>
                  </w:rPr>
                  <w:t>VALOR</w:t>
                </w:r>
              </w:p>
            </w:tc>
          </w:tr>
          <w:tr w:rsidR="0008698C" w:rsidRPr="00C942B1" w14:paraId="59088D0C" w14:textId="77777777" w:rsidTr="0008698C">
            <w:trPr>
              <w:trHeight w:val="340"/>
            </w:trPr>
            <w:tc>
              <w:tcPr>
                <w:tcW w:w="983" w:type="dxa"/>
                <w:shd w:val="clear" w:color="auto" w:fill="auto"/>
                <w:vAlign w:val="center"/>
                <w:hideMark/>
              </w:tcPr>
              <w:p w14:paraId="6DAFDC00" w14:textId="77777777" w:rsidR="0008698C" w:rsidRPr="00C942B1" w:rsidRDefault="0008698C" w:rsidP="0008698C">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901082545</w:t>
                </w:r>
              </w:p>
            </w:tc>
            <w:tc>
              <w:tcPr>
                <w:tcW w:w="2062" w:type="dxa"/>
                <w:shd w:val="clear" w:color="auto" w:fill="auto"/>
                <w:vAlign w:val="center"/>
                <w:hideMark/>
              </w:tcPr>
              <w:p w14:paraId="0E97E024" w14:textId="77777777" w:rsidR="0008698C" w:rsidRPr="00C942B1" w:rsidRDefault="0008698C" w:rsidP="0008698C">
                <w:pPr>
                  <w:spacing w:after="0" w:line="240" w:lineRule="auto"/>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UNION VIAL RIO PAMPLONITA SAS</w:t>
                </w:r>
              </w:p>
            </w:tc>
            <w:tc>
              <w:tcPr>
                <w:tcW w:w="1340" w:type="dxa"/>
                <w:shd w:val="clear" w:color="auto" w:fill="auto"/>
                <w:vAlign w:val="center"/>
                <w:hideMark/>
              </w:tcPr>
              <w:p w14:paraId="737E8D88" w14:textId="77777777" w:rsidR="0008698C" w:rsidRPr="00C942B1" w:rsidRDefault="0008698C" w:rsidP="0008698C">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340.018.601.289</w:t>
                </w:r>
              </w:p>
            </w:tc>
          </w:tr>
          <w:tr w:rsidR="0008698C" w:rsidRPr="00C942B1" w14:paraId="5EEFA6AC" w14:textId="77777777" w:rsidTr="0008698C">
            <w:trPr>
              <w:trHeight w:val="340"/>
            </w:trPr>
            <w:tc>
              <w:tcPr>
                <w:tcW w:w="983" w:type="dxa"/>
                <w:shd w:val="clear" w:color="auto" w:fill="auto"/>
                <w:vAlign w:val="center"/>
                <w:hideMark/>
              </w:tcPr>
              <w:p w14:paraId="3817DBE7" w14:textId="77777777" w:rsidR="0008698C" w:rsidRPr="00C942B1" w:rsidRDefault="0008698C" w:rsidP="0008698C">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900902591</w:t>
                </w:r>
              </w:p>
            </w:tc>
            <w:tc>
              <w:tcPr>
                <w:tcW w:w="2062" w:type="dxa"/>
                <w:shd w:val="clear" w:color="auto" w:fill="auto"/>
                <w:vAlign w:val="center"/>
                <w:hideMark/>
              </w:tcPr>
              <w:p w14:paraId="065BFEE5" w14:textId="77777777" w:rsidR="0008698C" w:rsidRPr="00C942B1" w:rsidRDefault="0008698C" w:rsidP="0008698C">
                <w:pPr>
                  <w:spacing w:after="0" w:line="240" w:lineRule="auto"/>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AUTOPISTAS   URABA   SAS</w:t>
                </w:r>
              </w:p>
            </w:tc>
            <w:tc>
              <w:tcPr>
                <w:tcW w:w="1340" w:type="dxa"/>
                <w:shd w:val="clear" w:color="auto" w:fill="auto"/>
                <w:vAlign w:val="center"/>
                <w:hideMark/>
              </w:tcPr>
              <w:p w14:paraId="124E3FBB" w14:textId="77777777" w:rsidR="0008698C" w:rsidRPr="00C942B1" w:rsidRDefault="0008698C" w:rsidP="0008698C">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292.866.359.845</w:t>
                </w:r>
              </w:p>
            </w:tc>
          </w:tr>
          <w:tr w:rsidR="0008698C" w:rsidRPr="00C942B1" w14:paraId="2F9480F9" w14:textId="77777777" w:rsidTr="0008698C">
            <w:trPr>
              <w:trHeight w:val="340"/>
            </w:trPr>
            <w:tc>
              <w:tcPr>
                <w:tcW w:w="983" w:type="dxa"/>
                <w:shd w:val="clear" w:color="auto" w:fill="auto"/>
                <w:vAlign w:val="center"/>
                <w:hideMark/>
              </w:tcPr>
              <w:p w14:paraId="2ADA081A" w14:textId="77777777" w:rsidR="0008698C" w:rsidRPr="00C942B1" w:rsidRDefault="0008698C" w:rsidP="0008698C">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900744773</w:t>
                </w:r>
              </w:p>
            </w:tc>
            <w:tc>
              <w:tcPr>
                <w:tcW w:w="2062" w:type="dxa"/>
                <w:shd w:val="clear" w:color="auto" w:fill="auto"/>
                <w:vAlign w:val="center"/>
                <w:hideMark/>
              </w:tcPr>
              <w:p w14:paraId="09758B57" w14:textId="77777777" w:rsidR="0008698C" w:rsidRPr="00C942B1" w:rsidRDefault="0008698C" w:rsidP="0008698C">
                <w:pPr>
                  <w:spacing w:after="0" w:line="240" w:lineRule="auto"/>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CONCESIONARIA VIAL DEL PACIFICO S A S</w:t>
                </w:r>
              </w:p>
            </w:tc>
            <w:tc>
              <w:tcPr>
                <w:tcW w:w="1340" w:type="dxa"/>
                <w:shd w:val="clear" w:color="auto" w:fill="auto"/>
                <w:vAlign w:val="center"/>
                <w:hideMark/>
              </w:tcPr>
              <w:p w14:paraId="7D6F3D6D" w14:textId="77777777" w:rsidR="0008698C" w:rsidRPr="00C942B1" w:rsidRDefault="0008698C" w:rsidP="0008698C">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276.556.370.901</w:t>
                </w:r>
              </w:p>
            </w:tc>
          </w:tr>
          <w:tr w:rsidR="0008698C" w:rsidRPr="00C942B1" w14:paraId="6FF27493" w14:textId="77777777" w:rsidTr="0008698C">
            <w:trPr>
              <w:trHeight w:val="340"/>
            </w:trPr>
            <w:tc>
              <w:tcPr>
                <w:tcW w:w="983" w:type="dxa"/>
                <w:shd w:val="clear" w:color="auto" w:fill="auto"/>
                <w:vAlign w:val="center"/>
                <w:hideMark/>
              </w:tcPr>
              <w:p w14:paraId="6F24AC64" w14:textId="77777777" w:rsidR="0008698C" w:rsidRPr="00C942B1" w:rsidRDefault="0008698C" w:rsidP="0008698C">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900862215</w:t>
                </w:r>
              </w:p>
            </w:tc>
            <w:tc>
              <w:tcPr>
                <w:tcW w:w="2062" w:type="dxa"/>
                <w:shd w:val="clear" w:color="auto" w:fill="auto"/>
                <w:vAlign w:val="center"/>
                <w:hideMark/>
              </w:tcPr>
              <w:p w14:paraId="6CF673A8" w14:textId="77777777" w:rsidR="0008698C" w:rsidRPr="00C942B1" w:rsidRDefault="0008698C" w:rsidP="0008698C">
                <w:pPr>
                  <w:spacing w:after="0" w:line="240" w:lineRule="auto"/>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CONCESIONARIA VIAL DEL ORIENTE S A S</w:t>
                </w:r>
              </w:p>
            </w:tc>
            <w:tc>
              <w:tcPr>
                <w:tcW w:w="1340" w:type="dxa"/>
                <w:shd w:val="clear" w:color="auto" w:fill="auto"/>
                <w:vAlign w:val="center"/>
                <w:hideMark/>
              </w:tcPr>
              <w:p w14:paraId="45BFF3A2" w14:textId="77777777" w:rsidR="0008698C" w:rsidRPr="00C942B1" w:rsidRDefault="0008698C" w:rsidP="0008698C">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224.166.683.766</w:t>
                </w:r>
              </w:p>
            </w:tc>
          </w:tr>
          <w:tr w:rsidR="0008698C" w:rsidRPr="00C942B1" w14:paraId="4430B473" w14:textId="77777777" w:rsidTr="0008698C">
            <w:trPr>
              <w:trHeight w:val="340"/>
            </w:trPr>
            <w:tc>
              <w:tcPr>
                <w:tcW w:w="983" w:type="dxa"/>
                <w:shd w:val="clear" w:color="auto" w:fill="auto"/>
                <w:vAlign w:val="center"/>
                <w:hideMark/>
              </w:tcPr>
              <w:p w14:paraId="436F2CBB" w14:textId="77777777" w:rsidR="0008698C" w:rsidRPr="00C942B1" w:rsidRDefault="0008698C" w:rsidP="0008698C">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900793991</w:t>
                </w:r>
              </w:p>
            </w:tc>
            <w:tc>
              <w:tcPr>
                <w:tcW w:w="2062" w:type="dxa"/>
                <w:shd w:val="clear" w:color="auto" w:fill="auto"/>
                <w:vAlign w:val="center"/>
                <w:hideMark/>
              </w:tcPr>
              <w:p w14:paraId="1B13C931" w14:textId="77777777" w:rsidR="0008698C" w:rsidRPr="00C942B1" w:rsidRDefault="0008698C" w:rsidP="0008698C">
                <w:pPr>
                  <w:spacing w:after="0" w:line="240" w:lineRule="auto"/>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AUTOPISTAS DEL NORDESTE S.A.S.</w:t>
                </w:r>
              </w:p>
            </w:tc>
            <w:tc>
              <w:tcPr>
                <w:tcW w:w="1340" w:type="dxa"/>
                <w:shd w:val="clear" w:color="auto" w:fill="auto"/>
                <w:vAlign w:val="center"/>
                <w:hideMark/>
              </w:tcPr>
              <w:p w14:paraId="611A2CAC" w14:textId="77777777" w:rsidR="0008698C" w:rsidRPr="00C942B1" w:rsidRDefault="0008698C" w:rsidP="0008698C">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206.947.980.767</w:t>
                </w:r>
              </w:p>
            </w:tc>
          </w:tr>
          <w:tr w:rsidR="0008698C" w:rsidRPr="00C942B1" w14:paraId="2D183847" w14:textId="77777777" w:rsidTr="0008698C">
            <w:trPr>
              <w:trHeight w:val="340"/>
            </w:trPr>
            <w:tc>
              <w:tcPr>
                <w:tcW w:w="983" w:type="dxa"/>
                <w:shd w:val="clear" w:color="auto" w:fill="auto"/>
                <w:vAlign w:val="center"/>
                <w:hideMark/>
              </w:tcPr>
              <w:p w14:paraId="1B87842F" w14:textId="77777777" w:rsidR="0008698C" w:rsidRPr="00C942B1" w:rsidRDefault="0008698C" w:rsidP="0008698C">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900763357</w:t>
                </w:r>
              </w:p>
            </w:tc>
            <w:tc>
              <w:tcPr>
                <w:tcW w:w="2062" w:type="dxa"/>
                <w:shd w:val="clear" w:color="auto" w:fill="auto"/>
                <w:vAlign w:val="center"/>
                <w:hideMark/>
              </w:tcPr>
              <w:p w14:paraId="38E6C1D6" w14:textId="77777777" w:rsidR="0008698C" w:rsidRPr="00C942B1" w:rsidRDefault="0008698C" w:rsidP="0008698C">
                <w:pPr>
                  <w:spacing w:after="0" w:line="240" w:lineRule="auto"/>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CONCESIÓN PACIFICO TRES S.A.S.</w:t>
                </w:r>
              </w:p>
            </w:tc>
            <w:tc>
              <w:tcPr>
                <w:tcW w:w="1340" w:type="dxa"/>
                <w:shd w:val="clear" w:color="auto" w:fill="auto"/>
                <w:vAlign w:val="center"/>
                <w:hideMark/>
              </w:tcPr>
              <w:p w14:paraId="07A70284" w14:textId="77777777" w:rsidR="0008698C" w:rsidRPr="00C942B1" w:rsidRDefault="0008698C" w:rsidP="0008698C">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204.320.723.727</w:t>
                </w:r>
              </w:p>
            </w:tc>
          </w:tr>
          <w:tr w:rsidR="0008698C" w:rsidRPr="00C942B1" w14:paraId="5F3727AC" w14:textId="77777777" w:rsidTr="0008698C">
            <w:trPr>
              <w:trHeight w:val="340"/>
            </w:trPr>
            <w:tc>
              <w:tcPr>
                <w:tcW w:w="983" w:type="dxa"/>
                <w:shd w:val="clear" w:color="auto" w:fill="auto"/>
                <w:vAlign w:val="center"/>
                <w:hideMark/>
              </w:tcPr>
              <w:p w14:paraId="1533C9B9" w14:textId="77777777" w:rsidR="0008698C" w:rsidRPr="00C942B1" w:rsidRDefault="0008698C" w:rsidP="0008698C">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900869678</w:t>
                </w:r>
              </w:p>
            </w:tc>
            <w:tc>
              <w:tcPr>
                <w:tcW w:w="2062" w:type="dxa"/>
                <w:shd w:val="clear" w:color="auto" w:fill="auto"/>
                <w:vAlign w:val="center"/>
                <w:hideMark/>
              </w:tcPr>
              <w:p w14:paraId="7ECE6E15" w14:textId="77777777" w:rsidR="0008698C" w:rsidRPr="00C942B1" w:rsidRDefault="0008698C" w:rsidP="0008698C">
                <w:pPr>
                  <w:spacing w:after="0" w:line="240" w:lineRule="auto"/>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DESARROLLO VIAL AL MAR   S.A.S</w:t>
                </w:r>
              </w:p>
            </w:tc>
            <w:tc>
              <w:tcPr>
                <w:tcW w:w="1340" w:type="dxa"/>
                <w:shd w:val="clear" w:color="auto" w:fill="auto"/>
                <w:vAlign w:val="center"/>
                <w:hideMark/>
              </w:tcPr>
              <w:p w14:paraId="50621E74" w14:textId="77777777" w:rsidR="0008698C" w:rsidRPr="00C942B1" w:rsidRDefault="0008698C" w:rsidP="0008698C">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203.987.573.463</w:t>
                </w:r>
              </w:p>
            </w:tc>
          </w:tr>
          <w:tr w:rsidR="0008698C" w:rsidRPr="00C942B1" w14:paraId="47A2F9A9" w14:textId="77777777" w:rsidTr="0008698C">
            <w:trPr>
              <w:trHeight w:val="340"/>
            </w:trPr>
            <w:tc>
              <w:tcPr>
                <w:tcW w:w="983" w:type="dxa"/>
                <w:shd w:val="clear" w:color="auto" w:fill="auto"/>
                <w:vAlign w:val="center"/>
                <w:hideMark/>
              </w:tcPr>
              <w:p w14:paraId="61F9E206" w14:textId="77777777" w:rsidR="0008698C" w:rsidRPr="00C942B1" w:rsidRDefault="0008698C" w:rsidP="0008698C">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900880846</w:t>
                </w:r>
              </w:p>
            </w:tc>
            <w:tc>
              <w:tcPr>
                <w:tcW w:w="2062" w:type="dxa"/>
                <w:shd w:val="clear" w:color="auto" w:fill="auto"/>
                <w:vAlign w:val="center"/>
                <w:hideMark/>
              </w:tcPr>
              <w:p w14:paraId="4A60F9A3" w14:textId="77777777" w:rsidR="0008698C" w:rsidRPr="00C942B1" w:rsidRDefault="0008698C" w:rsidP="0008698C">
                <w:pPr>
                  <w:spacing w:after="0" w:line="240" w:lineRule="auto"/>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CONCESIONARIA VIAL UNIÓN DEL SUR S.A.S.</w:t>
                </w:r>
              </w:p>
            </w:tc>
            <w:tc>
              <w:tcPr>
                <w:tcW w:w="1340" w:type="dxa"/>
                <w:shd w:val="clear" w:color="auto" w:fill="auto"/>
                <w:vAlign w:val="center"/>
                <w:hideMark/>
              </w:tcPr>
              <w:p w14:paraId="0555CCEB" w14:textId="77777777" w:rsidR="0008698C" w:rsidRPr="00C942B1" w:rsidRDefault="0008698C" w:rsidP="0008698C">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181.344.476.372</w:t>
                </w:r>
              </w:p>
            </w:tc>
          </w:tr>
          <w:tr w:rsidR="0008698C" w:rsidRPr="00C942B1" w14:paraId="453A23EA" w14:textId="77777777" w:rsidTr="0008698C">
            <w:trPr>
              <w:trHeight w:val="340"/>
            </w:trPr>
            <w:tc>
              <w:tcPr>
                <w:tcW w:w="983" w:type="dxa"/>
                <w:shd w:val="clear" w:color="auto" w:fill="auto"/>
                <w:vAlign w:val="center"/>
                <w:hideMark/>
              </w:tcPr>
              <w:p w14:paraId="52509B44" w14:textId="77777777" w:rsidR="0008698C" w:rsidRPr="00C942B1" w:rsidRDefault="0008698C" w:rsidP="0008698C">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900373092</w:t>
                </w:r>
              </w:p>
            </w:tc>
            <w:tc>
              <w:tcPr>
                <w:tcW w:w="2062" w:type="dxa"/>
                <w:shd w:val="clear" w:color="auto" w:fill="auto"/>
                <w:vAlign w:val="center"/>
                <w:hideMark/>
              </w:tcPr>
              <w:p w14:paraId="7961557E" w14:textId="77777777" w:rsidR="0008698C" w:rsidRPr="00C942B1" w:rsidRDefault="0008698C" w:rsidP="0008698C">
                <w:pPr>
                  <w:spacing w:after="0" w:line="240" w:lineRule="auto"/>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YUMA CONCESIONARIA S A - EN REORGANIZACION</w:t>
                </w:r>
              </w:p>
            </w:tc>
            <w:tc>
              <w:tcPr>
                <w:tcW w:w="1340" w:type="dxa"/>
                <w:shd w:val="clear" w:color="auto" w:fill="auto"/>
                <w:vAlign w:val="center"/>
                <w:hideMark/>
              </w:tcPr>
              <w:p w14:paraId="2619C227" w14:textId="77777777" w:rsidR="0008698C" w:rsidRPr="00C942B1" w:rsidRDefault="0008698C" w:rsidP="0008698C">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171.284.789.043</w:t>
                </w:r>
              </w:p>
            </w:tc>
          </w:tr>
          <w:tr w:rsidR="0008698C" w:rsidRPr="00C942B1" w14:paraId="71EC2E7A" w14:textId="77777777" w:rsidTr="0008698C">
            <w:trPr>
              <w:trHeight w:val="340"/>
            </w:trPr>
            <w:tc>
              <w:tcPr>
                <w:tcW w:w="983" w:type="dxa"/>
                <w:shd w:val="clear" w:color="auto" w:fill="auto"/>
                <w:vAlign w:val="center"/>
                <w:hideMark/>
              </w:tcPr>
              <w:p w14:paraId="6280A85D" w14:textId="77777777" w:rsidR="0008698C" w:rsidRPr="00C942B1" w:rsidRDefault="0008698C" w:rsidP="0008698C">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900866440</w:t>
                </w:r>
              </w:p>
            </w:tc>
            <w:tc>
              <w:tcPr>
                <w:tcW w:w="2062" w:type="dxa"/>
                <w:shd w:val="clear" w:color="auto" w:fill="auto"/>
                <w:vAlign w:val="center"/>
                <w:hideMark/>
              </w:tcPr>
              <w:p w14:paraId="7CC7E840" w14:textId="77777777" w:rsidR="0008698C" w:rsidRPr="00C942B1" w:rsidRDefault="0008698C" w:rsidP="0008698C">
                <w:pPr>
                  <w:spacing w:after="0" w:line="240" w:lineRule="auto"/>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NUEVO CAUCA S A S</w:t>
                </w:r>
              </w:p>
            </w:tc>
            <w:tc>
              <w:tcPr>
                <w:tcW w:w="1340" w:type="dxa"/>
                <w:shd w:val="clear" w:color="auto" w:fill="auto"/>
                <w:vAlign w:val="center"/>
                <w:hideMark/>
              </w:tcPr>
              <w:p w14:paraId="1C25D1BE" w14:textId="77777777" w:rsidR="0008698C" w:rsidRPr="00C942B1" w:rsidRDefault="0008698C" w:rsidP="0008698C">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155.600.297.501</w:t>
                </w:r>
              </w:p>
            </w:tc>
          </w:tr>
          <w:tr w:rsidR="0008698C" w:rsidRPr="00C942B1" w14:paraId="2CD0034D" w14:textId="77777777" w:rsidTr="0008698C">
            <w:trPr>
              <w:trHeight w:val="340"/>
            </w:trPr>
            <w:tc>
              <w:tcPr>
                <w:tcW w:w="983" w:type="dxa"/>
                <w:shd w:val="clear" w:color="auto" w:fill="auto"/>
                <w:vAlign w:val="center"/>
                <w:hideMark/>
              </w:tcPr>
              <w:p w14:paraId="0CBFF0F7" w14:textId="77777777" w:rsidR="0008698C" w:rsidRPr="00C942B1" w:rsidRDefault="0008698C" w:rsidP="0008698C">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900871368</w:t>
                </w:r>
              </w:p>
            </w:tc>
            <w:tc>
              <w:tcPr>
                <w:tcW w:w="2062" w:type="dxa"/>
                <w:shd w:val="clear" w:color="auto" w:fill="auto"/>
                <w:vAlign w:val="center"/>
                <w:hideMark/>
              </w:tcPr>
              <w:p w14:paraId="3A8BE3E9" w14:textId="77777777" w:rsidR="0008698C" w:rsidRPr="00C942B1" w:rsidRDefault="0008698C" w:rsidP="0008698C">
                <w:pPr>
                  <w:spacing w:after="0" w:line="240" w:lineRule="auto"/>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CONCESIONARIA RUTA DEL CACAO S.A.S.</w:t>
                </w:r>
              </w:p>
            </w:tc>
            <w:tc>
              <w:tcPr>
                <w:tcW w:w="1340" w:type="dxa"/>
                <w:shd w:val="clear" w:color="auto" w:fill="auto"/>
                <w:vAlign w:val="center"/>
                <w:hideMark/>
              </w:tcPr>
              <w:p w14:paraId="23B3339E" w14:textId="77777777" w:rsidR="0008698C" w:rsidRPr="00C942B1" w:rsidRDefault="0008698C" w:rsidP="0008698C">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135.071.837.338</w:t>
                </w:r>
              </w:p>
            </w:tc>
          </w:tr>
          <w:tr w:rsidR="0008698C" w:rsidRPr="00C942B1" w14:paraId="424FA5A0" w14:textId="77777777" w:rsidTr="0008698C">
            <w:trPr>
              <w:trHeight w:val="340"/>
            </w:trPr>
            <w:tc>
              <w:tcPr>
                <w:tcW w:w="983" w:type="dxa"/>
                <w:shd w:val="clear" w:color="auto" w:fill="auto"/>
                <w:vAlign w:val="center"/>
                <w:hideMark/>
              </w:tcPr>
              <w:p w14:paraId="431B5EB7" w14:textId="77777777" w:rsidR="0008698C" w:rsidRPr="00C942B1" w:rsidRDefault="0008698C" w:rsidP="0008698C">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900763355</w:t>
                </w:r>
              </w:p>
            </w:tc>
            <w:tc>
              <w:tcPr>
                <w:tcW w:w="2062" w:type="dxa"/>
                <w:shd w:val="clear" w:color="auto" w:fill="auto"/>
                <w:vAlign w:val="center"/>
                <w:hideMark/>
              </w:tcPr>
              <w:p w14:paraId="0C0D5FBC" w14:textId="77777777" w:rsidR="0008698C" w:rsidRPr="00C942B1" w:rsidRDefault="0008698C" w:rsidP="0008698C">
                <w:pPr>
                  <w:spacing w:after="0" w:line="240" w:lineRule="auto"/>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CONCESIÓN COSTERA CARTAGENA BARRANQUILLA S.A.S.</w:t>
                </w:r>
              </w:p>
            </w:tc>
            <w:tc>
              <w:tcPr>
                <w:tcW w:w="1340" w:type="dxa"/>
                <w:shd w:val="clear" w:color="auto" w:fill="auto"/>
                <w:vAlign w:val="center"/>
                <w:hideMark/>
              </w:tcPr>
              <w:p w14:paraId="781E6D2F" w14:textId="77777777" w:rsidR="0008698C" w:rsidRPr="00C942B1" w:rsidRDefault="0008698C" w:rsidP="0008698C">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123.323.402.248</w:t>
                </w:r>
              </w:p>
            </w:tc>
          </w:tr>
          <w:tr w:rsidR="0008698C" w:rsidRPr="00C942B1" w14:paraId="1D6D7283" w14:textId="77777777" w:rsidTr="0008698C">
            <w:trPr>
              <w:trHeight w:val="340"/>
            </w:trPr>
            <w:tc>
              <w:tcPr>
                <w:tcW w:w="983" w:type="dxa"/>
                <w:shd w:val="clear" w:color="auto" w:fill="auto"/>
                <w:vAlign w:val="center"/>
                <w:hideMark/>
              </w:tcPr>
              <w:p w14:paraId="0491C737" w14:textId="77777777" w:rsidR="0008698C" w:rsidRPr="00C942B1" w:rsidRDefault="0008698C" w:rsidP="0008698C">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901482899</w:t>
                </w:r>
              </w:p>
            </w:tc>
            <w:tc>
              <w:tcPr>
                <w:tcW w:w="2062" w:type="dxa"/>
                <w:shd w:val="clear" w:color="auto" w:fill="auto"/>
                <w:vAlign w:val="center"/>
                <w:hideMark/>
              </w:tcPr>
              <w:p w14:paraId="67944585" w14:textId="77777777" w:rsidR="0008698C" w:rsidRPr="00C942B1" w:rsidRDefault="0008698C" w:rsidP="0008698C">
                <w:pPr>
                  <w:spacing w:after="0" w:line="240" w:lineRule="auto"/>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CONCESIONARIA RUTA AL SUR S.A.S.</w:t>
                </w:r>
              </w:p>
            </w:tc>
            <w:tc>
              <w:tcPr>
                <w:tcW w:w="1340" w:type="dxa"/>
                <w:shd w:val="clear" w:color="auto" w:fill="auto"/>
                <w:vAlign w:val="center"/>
                <w:hideMark/>
              </w:tcPr>
              <w:p w14:paraId="3E3BF687" w14:textId="77777777" w:rsidR="0008698C" w:rsidRPr="00C942B1" w:rsidRDefault="0008698C" w:rsidP="0008698C">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109.012.839.422</w:t>
                </w:r>
              </w:p>
            </w:tc>
          </w:tr>
          <w:tr w:rsidR="0008698C" w:rsidRPr="00C942B1" w14:paraId="0C03D25D" w14:textId="77777777" w:rsidTr="0008698C">
            <w:trPr>
              <w:trHeight w:val="340"/>
            </w:trPr>
            <w:tc>
              <w:tcPr>
                <w:tcW w:w="983" w:type="dxa"/>
                <w:shd w:val="clear" w:color="auto" w:fill="auto"/>
                <w:vAlign w:val="center"/>
                <w:hideMark/>
              </w:tcPr>
              <w:p w14:paraId="0ACEBA6C" w14:textId="77777777" w:rsidR="0008698C" w:rsidRPr="00C942B1" w:rsidRDefault="0008698C" w:rsidP="0008698C">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900740893</w:t>
                </w:r>
              </w:p>
            </w:tc>
            <w:tc>
              <w:tcPr>
                <w:tcW w:w="2062" w:type="dxa"/>
                <w:shd w:val="clear" w:color="auto" w:fill="auto"/>
                <w:vAlign w:val="center"/>
                <w:hideMark/>
              </w:tcPr>
              <w:p w14:paraId="37D288DE" w14:textId="77777777" w:rsidR="0008698C" w:rsidRPr="00C942B1" w:rsidRDefault="0008698C" w:rsidP="0008698C">
                <w:pPr>
                  <w:spacing w:after="0" w:line="240" w:lineRule="auto"/>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CONCESION LA PINTADA S.A.S.</w:t>
                </w:r>
              </w:p>
            </w:tc>
            <w:tc>
              <w:tcPr>
                <w:tcW w:w="1340" w:type="dxa"/>
                <w:shd w:val="clear" w:color="auto" w:fill="auto"/>
                <w:vAlign w:val="center"/>
                <w:hideMark/>
              </w:tcPr>
              <w:p w14:paraId="22D97901" w14:textId="77777777" w:rsidR="0008698C" w:rsidRPr="00C942B1" w:rsidRDefault="0008698C" w:rsidP="0008698C">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107.858.741.993</w:t>
                </w:r>
              </w:p>
            </w:tc>
          </w:tr>
          <w:tr w:rsidR="0008698C" w:rsidRPr="00C942B1" w14:paraId="1D903792" w14:textId="77777777" w:rsidTr="0008698C">
            <w:trPr>
              <w:trHeight w:val="340"/>
            </w:trPr>
            <w:tc>
              <w:tcPr>
                <w:tcW w:w="983" w:type="dxa"/>
                <w:shd w:val="clear" w:color="auto" w:fill="auto"/>
                <w:vAlign w:val="center"/>
                <w:hideMark/>
              </w:tcPr>
              <w:p w14:paraId="09A9F9B4" w14:textId="77777777" w:rsidR="0008698C" w:rsidRPr="00C942B1" w:rsidRDefault="0008698C" w:rsidP="0008698C">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900745219</w:t>
                </w:r>
              </w:p>
            </w:tc>
            <w:tc>
              <w:tcPr>
                <w:tcW w:w="2062" w:type="dxa"/>
                <w:shd w:val="clear" w:color="auto" w:fill="auto"/>
                <w:vAlign w:val="center"/>
                <w:hideMark/>
              </w:tcPr>
              <w:p w14:paraId="58DD1F8B" w14:textId="77777777" w:rsidR="0008698C" w:rsidRPr="00C942B1" w:rsidRDefault="0008698C" w:rsidP="0008698C">
                <w:pPr>
                  <w:spacing w:after="0" w:line="240" w:lineRule="auto"/>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CONCESIÓN ALTO MAGDALENA S A S</w:t>
                </w:r>
              </w:p>
            </w:tc>
            <w:tc>
              <w:tcPr>
                <w:tcW w:w="1340" w:type="dxa"/>
                <w:shd w:val="clear" w:color="auto" w:fill="auto"/>
                <w:vAlign w:val="center"/>
                <w:hideMark/>
              </w:tcPr>
              <w:p w14:paraId="360FF755" w14:textId="77777777" w:rsidR="0008698C" w:rsidRPr="00C942B1" w:rsidRDefault="0008698C" w:rsidP="0008698C">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85.917.140.909</w:t>
                </w:r>
              </w:p>
            </w:tc>
          </w:tr>
          <w:tr w:rsidR="0008698C" w:rsidRPr="00C942B1" w14:paraId="1DC27224" w14:textId="77777777" w:rsidTr="0008698C">
            <w:trPr>
              <w:trHeight w:val="340"/>
            </w:trPr>
            <w:tc>
              <w:tcPr>
                <w:tcW w:w="983" w:type="dxa"/>
                <w:shd w:val="clear" w:color="auto" w:fill="auto"/>
                <w:vAlign w:val="center"/>
                <w:hideMark/>
              </w:tcPr>
              <w:p w14:paraId="40B09EA7" w14:textId="77777777" w:rsidR="0008698C" w:rsidRPr="00C942B1" w:rsidRDefault="0008698C" w:rsidP="0008698C">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900788548</w:t>
                </w:r>
              </w:p>
            </w:tc>
            <w:tc>
              <w:tcPr>
                <w:tcW w:w="2062" w:type="dxa"/>
                <w:shd w:val="clear" w:color="auto" w:fill="auto"/>
                <w:vAlign w:val="center"/>
                <w:hideMark/>
              </w:tcPr>
              <w:p w14:paraId="52C33280" w14:textId="77777777" w:rsidR="0008698C" w:rsidRPr="00C942B1" w:rsidRDefault="0008698C" w:rsidP="0008698C">
                <w:pPr>
                  <w:spacing w:after="0" w:line="240" w:lineRule="auto"/>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AUTOPISTA RIO MAGDALENA S A S</w:t>
                </w:r>
              </w:p>
            </w:tc>
            <w:tc>
              <w:tcPr>
                <w:tcW w:w="1340" w:type="dxa"/>
                <w:shd w:val="clear" w:color="auto" w:fill="auto"/>
                <w:vAlign w:val="center"/>
                <w:hideMark/>
              </w:tcPr>
              <w:p w14:paraId="25753D6E" w14:textId="77777777" w:rsidR="0008698C" w:rsidRPr="00C942B1" w:rsidRDefault="0008698C" w:rsidP="0008698C">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70.007.321.876</w:t>
                </w:r>
              </w:p>
            </w:tc>
          </w:tr>
          <w:tr w:rsidR="0008698C" w:rsidRPr="00C942B1" w14:paraId="451421B3" w14:textId="77777777" w:rsidTr="0008698C">
            <w:trPr>
              <w:trHeight w:val="340"/>
            </w:trPr>
            <w:tc>
              <w:tcPr>
                <w:tcW w:w="983" w:type="dxa"/>
                <w:shd w:val="clear" w:color="auto" w:fill="auto"/>
                <w:vAlign w:val="center"/>
                <w:hideMark/>
              </w:tcPr>
              <w:p w14:paraId="47A18600" w14:textId="77777777" w:rsidR="0008698C" w:rsidRPr="00C942B1" w:rsidRDefault="0008698C" w:rsidP="0008698C">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901161505</w:t>
                </w:r>
              </w:p>
            </w:tc>
            <w:tc>
              <w:tcPr>
                <w:tcW w:w="2062" w:type="dxa"/>
                <w:shd w:val="clear" w:color="auto" w:fill="auto"/>
                <w:vAlign w:val="center"/>
                <w:hideMark/>
              </w:tcPr>
              <w:p w14:paraId="1A9E8D50" w14:textId="77777777" w:rsidR="0008698C" w:rsidRPr="00C942B1" w:rsidRDefault="0008698C" w:rsidP="0008698C">
                <w:pPr>
                  <w:spacing w:after="0" w:line="240" w:lineRule="auto"/>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CONCESION TRANSVERSAL DEL SISGA S.A.S</w:t>
                </w:r>
              </w:p>
            </w:tc>
            <w:tc>
              <w:tcPr>
                <w:tcW w:w="1340" w:type="dxa"/>
                <w:shd w:val="clear" w:color="auto" w:fill="auto"/>
                <w:vAlign w:val="center"/>
                <w:hideMark/>
              </w:tcPr>
              <w:p w14:paraId="4F9FEB56" w14:textId="77777777" w:rsidR="0008698C" w:rsidRPr="00C942B1" w:rsidRDefault="0008698C" w:rsidP="0008698C">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64.525.095.665</w:t>
                </w:r>
              </w:p>
            </w:tc>
          </w:tr>
          <w:tr w:rsidR="0008698C" w:rsidRPr="00C942B1" w14:paraId="134AC785" w14:textId="77777777" w:rsidTr="0008698C">
            <w:trPr>
              <w:trHeight w:val="340"/>
            </w:trPr>
            <w:tc>
              <w:tcPr>
                <w:tcW w:w="983" w:type="dxa"/>
                <w:shd w:val="clear" w:color="auto" w:fill="auto"/>
                <w:vAlign w:val="center"/>
                <w:hideMark/>
              </w:tcPr>
              <w:p w14:paraId="305DB99A" w14:textId="77777777" w:rsidR="0008698C" w:rsidRPr="00C942B1" w:rsidRDefault="0008698C" w:rsidP="0008698C">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900972713</w:t>
                </w:r>
              </w:p>
            </w:tc>
            <w:tc>
              <w:tcPr>
                <w:tcW w:w="2062" w:type="dxa"/>
                <w:shd w:val="clear" w:color="auto" w:fill="auto"/>
                <w:vAlign w:val="center"/>
                <w:hideMark/>
              </w:tcPr>
              <w:p w14:paraId="16A6202A" w14:textId="77777777" w:rsidR="0008698C" w:rsidRPr="00C942B1" w:rsidRDefault="0008698C" w:rsidP="0008698C">
                <w:pPr>
                  <w:spacing w:after="0" w:line="240" w:lineRule="auto"/>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AUTOVIA BUCARAMANGA PAMPLONA S.A.S</w:t>
                </w:r>
              </w:p>
            </w:tc>
            <w:tc>
              <w:tcPr>
                <w:tcW w:w="1340" w:type="dxa"/>
                <w:shd w:val="clear" w:color="auto" w:fill="auto"/>
                <w:vAlign w:val="center"/>
                <w:hideMark/>
              </w:tcPr>
              <w:p w14:paraId="7E2CAF37" w14:textId="77777777" w:rsidR="0008698C" w:rsidRPr="00C942B1" w:rsidRDefault="0008698C" w:rsidP="0008698C">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48.522.462.171</w:t>
                </w:r>
              </w:p>
            </w:tc>
          </w:tr>
          <w:tr w:rsidR="0008698C" w:rsidRPr="00C942B1" w14:paraId="4F7F18E0" w14:textId="77777777" w:rsidTr="0008698C">
            <w:trPr>
              <w:trHeight w:val="340"/>
            </w:trPr>
            <w:tc>
              <w:tcPr>
                <w:tcW w:w="983" w:type="dxa"/>
                <w:shd w:val="clear" w:color="auto" w:fill="auto"/>
                <w:vAlign w:val="center"/>
                <w:hideMark/>
              </w:tcPr>
              <w:p w14:paraId="36D4FA94" w14:textId="77777777" w:rsidR="0008698C" w:rsidRPr="00C942B1" w:rsidRDefault="0008698C" w:rsidP="0008698C">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900858096</w:t>
                </w:r>
              </w:p>
            </w:tc>
            <w:tc>
              <w:tcPr>
                <w:tcW w:w="2062" w:type="dxa"/>
                <w:shd w:val="clear" w:color="auto" w:fill="auto"/>
                <w:vAlign w:val="center"/>
                <w:hideMark/>
              </w:tcPr>
              <w:p w14:paraId="239DE1A0" w14:textId="77777777" w:rsidR="0008698C" w:rsidRPr="00C942B1" w:rsidRDefault="0008698C" w:rsidP="0008698C">
                <w:pPr>
                  <w:spacing w:after="0" w:line="240" w:lineRule="auto"/>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SOCIEDAD CONCESIONARIA VIAL MONTES DE MARIA SAS</w:t>
                </w:r>
              </w:p>
            </w:tc>
            <w:tc>
              <w:tcPr>
                <w:tcW w:w="1340" w:type="dxa"/>
                <w:shd w:val="clear" w:color="auto" w:fill="auto"/>
                <w:vAlign w:val="center"/>
                <w:hideMark/>
              </w:tcPr>
              <w:p w14:paraId="7AE57324" w14:textId="77777777" w:rsidR="0008698C" w:rsidRPr="00C942B1" w:rsidRDefault="0008698C" w:rsidP="0008698C">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35.720.562.928</w:t>
                </w:r>
              </w:p>
            </w:tc>
          </w:tr>
          <w:tr w:rsidR="0008698C" w:rsidRPr="00C942B1" w14:paraId="6A3E88E8" w14:textId="77777777" w:rsidTr="0008698C">
            <w:trPr>
              <w:trHeight w:val="340"/>
            </w:trPr>
            <w:tc>
              <w:tcPr>
                <w:tcW w:w="983" w:type="dxa"/>
                <w:shd w:val="clear" w:color="auto" w:fill="auto"/>
                <w:vAlign w:val="center"/>
                <w:hideMark/>
              </w:tcPr>
              <w:p w14:paraId="59EA1952" w14:textId="77777777" w:rsidR="0008698C" w:rsidRPr="00C942B1" w:rsidRDefault="0008698C" w:rsidP="0008698C">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900761657</w:t>
                </w:r>
              </w:p>
            </w:tc>
            <w:tc>
              <w:tcPr>
                <w:tcW w:w="2062" w:type="dxa"/>
                <w:shd w:val="clear" w:color="auto" w:fill="auto"/>
                <w:vAlign w:val="center"/>
                <w:hideMark/>
              </w:tcPr>
              <w:p w14:paraId="04DA57BA" w14:textId="77777777" w:rsidR="0008698C" w:rsidRPr="00C942B1" w:rsidRDefault="0008698C" w:rsidP="0008698C">
                <w:pPr>
                  <w:spacing w:after="0" w:line="240" w:lineRule="auto"/>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PERIMETRAL ORIENTAL DE BOGOTA SAS</w:t>
                </w:r>
              </w:p>
            </w:tc>
            <w:tc>
              <w:tcPr>
                <w:tcW w:w="1340" w:type="dxa"/>
                <w:shd w:val="clear" w:color="auto" w:fill="auto"/>
                <w:vAlign w:val="center"/>
                <w:hideMark/>
              </w:tcPr>
              <w:p w14:paraId="4764347D" w14:textId="77777777" w:rsidR="0008698C" w:rsidRPr="00C942B1" w:rsidRDefault="0008698C" w:rsidP="0008698C">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20.616.515.003</w:t>
                </w:r>
              </w:p>
            </w:tc>
          </w:tr>
          <w:tr w:rsidR="0008698C" w:rsidRPr="00C942B1" w14:paraId="31739FCF" w14:textId="77777777" w:rsidTr="0008698C">
            <w:trPr>
              <w:trHeight w:val="340"/>
            </w:trPr>
            <w:tc>
              <w:tcPr>
                <w:tcW w:w="983" w:type="dxa"/>
                <w:shd w:val="clear" w:color="auto" w:fill="auto"/>
                <w:vAlign w:val="center"/>
                <w:hideMark/>
              </w:tcPr>
              <w:p w14:paraId="7C1722E4" w14:textId="77777777" w:rsidR="0008698C" w:rsidRPr="00C942B1" w:rsidRDefault="0008698C" w:rsidP="0008698C">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901602085</w:t>
                </w:r>
              </w:p>
            </w:tc>
            <w:tc>
              <w:tcPr>
                <w:tcW w:w="2062" w:type="dxa"/>
                <w:shd w:val="clear" w:color="auto" w:fill="auto"/>
                <w:vAlign w:val="center"/>
                <w:hideMark/>
              </w:tcPr>
              <w:p w14:paraId="1EA27346" w14:textId="77777777" w:rsidR="0008698C" w:rsidRPr="00C942B1" w:rsidRDefault="0008698C" w:rsidP="0008698C">
                <w:pPr>
                  <w:spacing w:after="0" w:line="240" w:lineRule="auto"/>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AUTOPISTA MAGDALENA MEDIO SAS</w:t>
                </w:r>
              </w:p>
            </w:tc>
            <w:tc>
              <w:tcPr>
                <w:tcW w:w="1340" w:type="dxa"/>
                <w:shd w:val="clear" w:color="auto" w:fill="auto"/>
                <w:vAlign w:val="center"/>
                <w:hideMark/>
              </w:tcPr>
              <w:p w14:paraId="592D1461" w14:textId="77777777" w:rsidR="0008698C" w:rsidRPr="00C942B1" w:rsidRDefault="0008698C" w:rsidP="0008698C">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13.340.809.957</w:t>
                </w:r>
              </w:p>
            </w:tc>
          </w:tr>
          <w:tr w:rsidR="0008698C" w:rsidRPr="00C942B1" w14:paraId="5187273C" w14:textId="77777777" w:rsidTr="0008698C">
            <w:trPr>
              <w:trHeight w:val="340"/>
            </w:trPr>
            <w:tc>
              <w:tcPr>
                <w:tcW w:w="983" w:type="dxa"/>
                <w:shd w:val="clear" w:color="auto" w:fill="auto"/>
                <w:vAlign w:val="center"/>
                <w:hideMark/>
              </w:tcPr>
              <w:p w14:paraId="3BC6A87C" w14:textId="77777777" w:rsidR="0008698C" w:rsidRPr="00C942B1" w:rsidRDefault="0008698C" w:rsidP="0008698C">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800235278</w:t>
                </w:r>
              </w:p>
            </w:tc>
            <w:tc>
              <w:tcPr>
                <w:tcW w:w="2062" w:type="dxa"/>
                <w:shd w:val="clear" w:color="auto" w:fill="auto"/>
                <w:vAlign w:val="center"/>
                <w:hideMark/>
              </w:tcPr>
              <w:p w14:paraId="4F3A602F" w14:textId="77777777" w:rsidR="0008698C" w:rsidRPr="00C942B1" w:rsidRDefault="0008698C" w:rsidP="0008698C">
                <w:pPr>
                  <w:spacing w:after="0" w:line="240" w:lineRule="auto"/>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CONCESION SANTA MARTA PARAGUACHON S.A.</w:t>
                </w:r>
              </w:p>
            </w:tc>
            <w:tc>
              <w:tcPr>
                <w:tcW w:w="1340" w:type="dxa"/>
                <w:shd w:val="clear" w:color="auto" w:fill="auto"/>
                <w:vAlign w:val="center"/>
                <w:hideMark/>
              </w:tcPr>
              <w:p w14:paraId="0D88BB53" w14:textId="77777777" w:rsidR="0008698C" w:rsidRPr="00C942B1" w:rsidRDefault="0008698C" w:rsidP="0008698C">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5.985.289.166</w:t>
                </w:r>
              </w:p>
            </w:tc>
          </w:tr>
          <w:tr w:rsidR="0008698C" w:rsidRPr="00C942B1" w14:paraId="6380A59C" w14:textId="77777777" w:rsidTr="0008698C">
            <w:trPr>
              <w:trHeight w:val="340"/>
            </w:trPr>
            <w:tc>
              <w:tcPr>
                <w:tcW w:w="983" w:type="dxa"/>
                <w:shd w:val="clear" w:color="auto" w:fill="auto"/>
                <w:vAlign w:val="center"/>
                <w:hideMark/>
              </w:tcPr>
              <w:p w14:paraId="48F8F898" w14:textId="77777777" w:rsidR="0008698C" w:rsidRPr="00C942B1" w:rsidRDefault="0008698C" w:rsidP="0008698C">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830025490</w:t>
                </w:r>
              </w:p>
            </w:tc>
            <w:tc>
              <w:tcPr>
                <w:tcW w:w="2062" w:type="dxa"/>
                <w:shd w:val="clear" w:color="auto" w:fill="auto"/>
                <w:vAlign w:val="center"/>
                <w:hideMark/>
              </w:tcPr>
              <w:p w14:paraId="1265CA38" w14:textId="77777777" w:rsidR="0008698C" w:rsidRPr="00C942B1" w:rsidRDefault="0008698C" w:rsidP="0008698C">
                <w:pPr>
                  <w:spacing w:after="0" w:line="240" w:lineRule="auto"/>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AUTOPISTAS DEL CAFE S.A.</w:t>
                </w:r>
              </w:p>
            </w:tc>
            <w:tc>
              <w:tcPr>
                <w:tcW w:w="1340" w:type="dxa"/>
                <w:shd w:val="clear" w:color="auto" w:fill="auto"/>
                <w:vAlign w:val="center"/>
                <w:hideMark/>
              </w:tcPr>
              <w:p w14:paraId="660B8881" w14:textId="77777777" w:rsidR="0008698C" w:rsidRPr="00C942B1" w:rsidRDefault="0008698C" w:rsidP="0008698C">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2.030.427.204</w:t>
                </w:r>
              </w:p>
            </w:tc>
          </w:tr>
          <w:tr w:rsidR="0008698C" w:rsidRPr="00C942B1" w14:paraId="50792E15" w14:textId="77777777" w:rsidTr="0014759D">
            <w:trPr>
              <w:trHeight w:val="527"/>
            </w:trPr>
            <w:tc>
              <w:tcPr>
                <w:tcW w:w="983" w:type="dxa"/>
                <w:shd w:val="clear" w:color="auto" w:fill="auto"/>
                <w:vAlign w:val="center"/>
                <w:hideMark/>
              </w:tcPr>
              <w:p w14:paraId="595E4F53" w14:textId="77777777" w:rsidR="0008698C" w:rsidRPr="00C942B1" w:rsidRDefault="0008698C" w:rsidP="0008698C">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811005050</w:t>
                </w:r>
              </w:p>
            </w:tc>
            <w:tc>
              <w:tcPr>
                <w:tcW w:w="2062" w:type="dxa"/>
                <w:shd w:val="clear" w:color="auto" w:fill="auto"/>
                <w:vAlign w:val="center"/>
                <w:hideMark/>
              </w:tcPr>
              <w:p w14:paraId="12161472" w14:textId="77777777" w:rsidR="0008698C" w:rsidRPr="00C942B1" w:rsidRDefault="0008698C" w:rsidP="0008698C">
                <w:pPr>
                  <w:spacing w:after="0" w:line="240" w:lineRule="auto"/>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DEVIMED S.A.</w:t>
                </w:r>
              </w:p>
            </w:tc>
            <w:tc>
              <w:tcPr>
                <w:tcW w:w="1340" w:type="dxa"/>
                <w:shd w:val="clear" w:color="auto" w:fill="auto"/>
                <w:vAlign w:val="center"/>
                <w:hideMark/>
              </w:tcPr>
              <w:p w14:paraId="741B2577" w14:textId="77777777" w:rsidR="0008698C" w:rsidRPr="00C942B1" w:rsidRDefault="0008698C" w:rsidP="0008698C">
                <w:pPr>
                  <w:spacing w:after="0" w:line="240" w:lineRule="auto"/>
                  <w:jc w:val="right"/>
                  <w:rPr>
                    <w:rFonts w:ascii="Times New Roman" w:eastAsia="Times New Roman" w:hAnsi="Times New Roman"/>
                    <w:color w:val="000000"/>
                    <w:sz w:val="14"/>
                    <w:szCs w:val="14"/>
                    <w:lang w:eastAsia="es-CO"/>
                  </w:rPr>
                </w:pPr>
                <w:r w:rsidRPr="00C942B1">
                  <w:rPr>
                    <w:rFonts w:ascii="Times New Roman" w:eastAsia="Times New Roman" w:hAnsi="Times New Roman"/>
                    <w:color w:val="000000"/>
                    <w:sz w:val="14"/>
                    <w:szCs w:val="14"/>
                    <w:lang w:eastAsia="es-CO"/>
                  </w:rPr>
                  <w:t>183.703.894</w:t>
                </w:r>
              </w:p>
            </w:tc>
          </w:tr>
          <w:tr w:rsidR="0008698C" w:rsidRPr="00C942B1" w14:paraId="15BA55A7" w14:textId="77777777" w:rsidTr="0014759D">
            <w:trPr>
              <w:trHeight w:val="422"/>
            </w:trPr>
            <w:tc>
              <w:tcPr>
                <w:tcW w:w="3045" w:type="dxa"/>
                <w:gridSpan w:val="2"/>
                <w:shd w:val="clear" w:color="auto" w:fill="auto"/>
                <w:vAlign w:val="center"/>
                <w:hideMark/>
              </w:tcPr>
              <w:p w14:paraId="53E9AC2D" w14:textId="77777777" w:rsidR="0008698C" w:rsidRPr="00C942B1" w:rsidRDefault="0008698C" w:rsidP="0008698C">
                <w:pPr>
                  <w:spacing w:after="0" w:line="240" w:lineRule="auto"/>
                  <w:jc w:val="center"/>
                  <w:rPr>
                    <w:rFonts w:ascii="Times New Roman" w:eastAsia="Times New Roman" w:hAnsi="Times New Roman"/>
                    <w:b/>
                    <w:bCs/>
                    <w:color w:val="000000"/>
                    <w:sz w:val="14"/>
                    <w:szCs w:val="14"/>
                    <w:lang w:eastAsia="es-CO"/>
                  </w:rPr>
                </w:pPr>
                <w:r w:rsidRPr="00C942B1">
                  <w:rPr>
                    <w:rFonts w:ascii="Times New Roman" w:eastAsia="Times New Roman" w:hAnsi="Times New Roman"/>
                    <w:b/>
                    <w:bCs/>
                    <w:color w:val="000000"/>
                    <w:sz w:val="14"/>
                    <w:szCs w:val="14"/>
                    <w:lang w:eastAsia="es-CO"/>
                  </w:rPr>
                  <w:t>Total</w:t>
                </w:r>
              </w:p>
            </w:tc>
            <w:tc>
              <w:tcPr>
                <w:tcW w:w="1340" w:type="dxa"/>
                <w:shd w:val="clear" w:color="auto" w:fill="auto"/>
                <w:vAlign w:val="center"/>
                <w:hideMark/>
              </w:tcPr>
              <w:p w14:paraId="467F1E4D" w14:textId="77777777" w:rsidR="0008698C" w:rsidRPr="00C942B1" w:rsidRDefault="0008698C" w:rsidP="0008698C">
                <w:pPr>
                  <w:spacing w:after="0" w:line="240" w:lineRule="auto"/>
                  <w:jc w:val="right"/>
                  <w:rPr>
                    <w:rFonts w:ascii="Times New Roman" w:eastAsia="Times New Roman" w:hAnsi="Times New Roman"/>
                    <w:b/>
                    <w:bCs/>
                    <w:color w:val="000000"/>
                    <w:sz w:val="14"/>
                    <w:szCs w:val="14"/>
                    <w:lang w:eastAsia="es-CO"/>
                  </w:rPr>
                </w:pPr>
                <w:r w:rsidRPr="00C942B1">
                  <w:rPr>
                    <w:rFonts w:ascii="Times New Roman" w:eastAsia="Times New Roman" w:hAnsi="Times New Roman"/>
                    <w:b/>
                    <w:bCs/>
                    <w:color w:val="000000"/>
                    <w:sz w:val="14"/>
                    <w:szCs w:val="14"/>
                    <w:lang w:eastAsia="es-CO"/>
                  </w:rPr>
                  <w:t>3.079.210.006.448</w:t>
                </w:r>
              </w:p>
            </w:tc>
          </w:tr>
        </w:tbl>
        <w:p w14:paraId="2D6B6107" w14:textId="77777777" w:rsidR="008B1CBF" w:rsidRDefault="008B1CBF" w:rsidP="00150FEC">
          <w:pPr>
            <w:ind w:right="-20"/>
            <w:jc w:val="both"/>
            <w:rPr>
              <w:rFonts w:ascii="Times New Roman" w:eastAsia="Times New Roman" w:hAnsi="Times New Roman"/>
              <w:sz w:val="24"/>
              <w:szCs w:val="24"/>
            </w:rPr>
            <w:sectPr w:rsidR="008B1CBF" w:rsidSect="00376BDD">
              <w:type w:val="continuous"/>
              <w:pgSz w:w="12240" w:h="15840"/>
              <w:pgMar w:top="1418" w:right="1418" w:bottom="1418" w:left="1843" w:header="680" w:footer="709" w:gutter="0"/>
              <w:pgNumType w:start="166"/>
              <w:cols w:num="2" w:space="708"/>
              <w:titlePg/>
              <w:docGrid w:linePitch="360"/>
            </w:sectPr>
          </w:pPr>
        </w:p>
        <w:p w14:paraId="0E48F4E8" w14:textId="1A587676" w:rsidR="00CA7600" w:rsidRPr="00931DCE" w:rsidRDefault="00AD2026" w:rsidP="00150FEC">
          <w:pPr>
            <w:ind w:right="-20"/>
            <w:jc w:val="both"/>
          </w:pPr>
          <w:r w:rsidRPr="0E4E29E4">
            <w:rPr>
              <w:rFonts w:ascii="Times New Roman" w:eastAsia="Times New Roman" w:hAnsi="Times New Roman"/>
              <w:sz w:val="14"/>
              <w:szCs w:val="14"/>
            </w:rPr>
            <w:t>Cifras expresadas en pesos</w:t>
          </w:r>
        </w:p>
        <w:p w14:paraId="6A43F439" w14:textId="22D6A8FA" w:rsidR="003A4D8E" w:rsidRPr="00931DCE" w:rsidRDefault="64C58135" w:rsidP="0E4E29E4">
          <w:pPr>
            <w:ind w:left="-20" w:right="-20"/>
            <w:jc w:val="both"/>
          </w:pPr>
          <w:r w:rsidRPr="0E4E29E4">
            <w:rPr>
              <w:rFonts w:ascii="Times New Roman" w:eastAsia="Times New Roman" w:hAnsi="Times New Roman"/>
              <w:sz w:val="24"/>
              <w:szCs w:val="24"/>
            </w:rPr>
            <w:t>En lo que respecta a los valores pagados por intereses de mora de vigencias aportes estatales, en el siguiente cuadro se detalla por tercero:</w:t>
          </w:r>
        </w:p>
        <w:p w14:paraId="170AFFEF" w14:textId="1EA310E3" w:rsidR="003A4D8E" w:rsidRPr="00931DCE" w:rsidRDefault="64C58135" w:rsidP="0E4E29E4">
          <w:pPr>
            <w:ind w:left="-20" w:right="-20"/>
            <w:jc w:val="both"/>
          </w:pPr>
          <w:r w:rsidRPr="0E4E29E4">
            <w:rPr>
              <w:rFonts w:ascii="Times New Roman" w:eastAsia="Times New Roman" w:hAnsi="Times New Roman"/>
              <w:sz w:val="24"/>
              <w:szCs w:val="24"/>
            </w:rPr>
            <w:t xml:space="preserve"> </w:t>
          </w:r>
        </w:p>
        <w:tbl>
          <w:tblPr>
            <w:tblW w:w="5000" w:type="pct"/>
            <w:tblLook w:val="04A0" w:firstRow="1" w:lastRow="0" w:firstColumn="1" w:lastColumn="0" w:noHBand="0" w:noVBand="1"/>
          </w:tblPr>
          <w:tblGrid>
            <w:gridCol w:w="919"/>
            <w:gridCol w:w="1636"/>
            <w:gridCol w:w="1120"/>
            <w:gridCol w:w="3546"/>
            <w:gridCol w:w="1738"/>
          </w:tblGrid>
          <w:tr w:rsidR="003B3A17" w:rsidRPr="003B3A17" w14:paraId="1D00EA6E" w14:textId="77777777" w:rsidTr="00053D6D">
            <w:trPr>
              <w:trHeight w:val="340"/>
              <w:tblHeader/>
            </w:trPr>
            <w:tc>
              <w:tcPr>
                <w:tcW w:w="51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6C83E84" w14:textId="72EAF68B" w:rsidR="003B3A17" w:rsidRPr="003B3A17" w:rsidRDefault="64C58135" w:rsidP="0E4E29E4">
                <w:pPr>
                  <w:spacing w:after="0"/>
                  <w:ind w:left="-20" w:right="-20"/>
                  <w:jc w:val="center"/>
                  <w:rPr>
                    <w:sz w:val="18"/>
                    <w:szCs w:val="18"/>
                  </w:rPr>
                </w:pPr>
                <w:r w:rsidRPr="0E4E29E4">
                  <w:rPr>
                    <w:rFonts w:ascii="Times New Roman" w:eastAsia="Times New Roman" w:hAnsi="Times New Roman"/>
                    <w:sz w:val="24"/>
                    <w:szCs w:val="24"/>
                  </w:rPr>
                  <w:t xml:space="preserve"> </w:t>
                </w:r>
                <w:r w:rsidR="003B3A17" w:rsidRPr="003B3A17">
                  <w:rPr>
                    <w:rFonts w:ascii="Times New Roman" w:eastAsia="Times New Roman" w:hAnsi="Times New Roman"/>
                    <w:b/>
                    <w:bCs/>
                    <w:color w:val="000000" w:themeColor="text1"/>
                    <w:sz w:val="18"/>
                    <w:szCs w:val="18"/>
                  </w:rPr>
                  <w:t>COD</w:t>
                </w:r>
              </w:p>
            </w:tc>
            <w:tc>
              <w:tcPr>
                <w:tcW w:w="91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CB858CF" w14:textId="4149B50C" w:rsidR="003B3A17" w:rsidRPr="003B3A17" w:rsidRDefault="003B3A17" w:rsidP="0E4E29E4">
                <w:pPr>
                  <w:spacing w:after="0"/>
                  <w:ind w:left="-20" w:right="-20"/>
                  <w:jc w:val="center"/>
                  <w:rPr>
                    <w:sz w:val="18"/>
                    <w:szCs w:val="18"/>
                  </w:rPr>
                </w:pPr>
                <w:r w:rsidRPr="003B3A17">
                  <w:rPr>
                    <w:rFonts w:ascii="Times New Roman" w:eastAsia="Times New Roman" w:hAnsi="Times New Roman"/>
                    <w:b/>
                    <w:bCs/>
                    <w:color w:val="000000" w:themeColor="text1"/>
                    <w:sz w:val="18"/>
                    <w:szCs w:val="18"/>
                  </w:rPr>
                  <w:t>DESCRIPCION</w:t>
                </w:r>
              </w:p>
            </w:tc>
            <w:tc>
              <w:tcPr>
                <w:tcW w:w="2604" w:type="pct"/>
                <w:gridSpan w:val="2"/>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BF582FB" w14:textId="610C121B" w:rsidR="003B3A17" w:rsidRPr="003B3A17" w:rsidRDefault="003B3A17" w:rsidP="0E4E29E4">
                <w:pPr>
                  <w:spacing w:after="0"/>
                  <w:ind w:left="-20" w:right="-20"/>
                  <w:jc w:val="center"/>
                  <w:rPr>
                    <w:sz w:val="18"/>
                    <w:szCs w:val="18"/>
                  </w:rPr>
                </w:pPr>
                <w:r>
                  <w:rPr>
                    <w:rFonts w:ascii="Times New Roman" w:eastAsia="Times New Roman" w:hAnsi="Times New Roman"/>
                    <w:b/>
                    <w:bCs/>
                    <w:color w:val="000000" w:themeColor="text1"/>
                    <w:sz w:val="18"/>
                    <w:szCs w:val="18"/>
                  </w:rPr>
                  <w:t>TERCERO</w:t>
                </w:r>
              </w:p>
            </w:tc>
            <w:tc>
              <w:tcPr>
                <w:tcW w:w="970"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C4F15C3" w14:textId="41646344" w:rsidR="003B3A17" w:rsidRPr="003B3A17" w:rsidRDefault="003B3A17" w:rsidP="0E4E29E4">
                <w:pPr>
                  <w:spacing w:after="0"/>
                  <w:ind w:left="-20" w:right="-20"/>
                  <w:jc w:val="center"/>
                  <w:rPr>
                    <w:sz w:val="18"/>
                    <w:szCs w:val="18"/>
                  </w:rPr>
                </w:pPr>
                <w:r w:rsidRPr="003B3A17">
                  <w:rPr>
                    <w:rFonts w:ascii="Times New Roman" w:eastAsia="Times New Roman" w:hAnsi="Times New Roman"/>
                    <w:b/>
                    <w:bCs/>
                    <w:color w:val="000000" w:themeColor="text1"/>
                    <w:sz w:val="18"/>
                    <w:szCs w:val="18"/>
                  </w:rPr>
                  <w:t>VALOR</w:t>
                </w:r>
              </w:p>
            </w:tc>
          </w:tr>
          <w:tr w:rsidR="0E4E29E4" w:rsidRPr="003B3A17" w14:paraId="49EA431C" w14:textId="77777777" w:rsidTr="003B3A17">
            <w:trPr>
              <w:trHeight w:val="340"/>
            </w:trPr>
            <w:tc>
              <w:tcPr>
                <w:tcW w:w="51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28975F7" w14:textId="488418E7" w:rsidR="0E4E29E4" w:rsidRPr="003B3A17" w:rsidRDefault="0E4E29E4" w:rsidP="0E4E29E4">
                <w:pPr>
                  <w:spacing w:after="0"/>
                  <w:ind w:left="-20" w:right="-20"/>
                  <w:rPr>
                    <w:sz w:val="18"/>
                    <w:szCs w:val="18"/>
                  </w:rPr>
                </w:pPr>
                <w:r w:rsidRPr="003B3A17">
                  <w:rPr>
                    <w:rFonts w:ascii="Times New Roman" w:eastAsia="Times New Roman" w:hAnsi="Times New Roman"/>
                    <w:color w:val="000000" w:themeColor="text1"/>
                    <w:sz w:val="18"/>
                    <w:szCs w:val="18"/>
                  </w:rPr>
                  <w:t>5.8.04.39</w:t>
                </w:r>
              </w:p>
            </w:tc>
            <w:tc>
              <w:tcPr>
                <w:tcW w:w="91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31C3B6B" w14:textId="5820B068" w:rsidR="0E4E29E4" w:rsidRPr="003B3A17" w:rsidRDefault="0E4E29E4" w:rsidP="0E4E29E4">
                <w:pPr>
                  <w:spacing w:after="0"/>
                  <w:ind w:left="-20" w:right="-20"/>
                  <w:rPr>
                    <w:sz w:val="18"/>
                    <w:szCs w:val="18"/>
                  </w:rPr>
                </w:pPr>
                <w:r w:rsidRPr="003B3A17">
                  <w:rPr>
                    <w:rFonts w:ascii="Times New Roman" w:eastAsia="Times New Roman" w:hAnsi="Times New Roman"/>
                    <w:color w:val="000000" w:themeColor="text1"/>
                    <w:sz w:val="18"/>
                    <w:szCs w:val="18"/>
                  </w:rPr>
                  <w:t>Intereses de mora</w:t>
                </w:r>
              </w:p>
            </w:tc>
            <w:tc>
              <w:tcPr>
                <w:tcW w:w="625"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B0C48B0" w14:textId="0F8ACDC1" w:rsidR="0E4E29E4" w:rsidRPr="003B3A17" w:rsidRDefault="0E4E29E4" w:rsidP="0E4E29E4">
                <w:pPr>
                  <w:spacing w:after="0"/>
                  <w:ind w:left="-20" w:right="-20"/>
                  <w:rPr>
                    <w:sz w:val="18"/>
                    <w:szCs w:val="18"/>
                  </w:rPr>
                </w:pPr>
                <w:r w:rsidRPr="003B3A17">
                  <w:rPr>
                    <w:rFonts w:ascii="Times New Roman" w:eastAsia="Times New Roman" w:hAnsi="Times New Roman"/>
                    <w:color w:val="000000" w:themeColor="text1"/>
                    <w:sz w:val="18"/>
                    <w:szCs w:val="18"/>
                  </w:rPr>
                  <w:t>900763357</w:t>
                </w:r>
              </w:p>
            </w:tc>
            <w:tc>
              <w:tcPr>
                <w:tcW w:w="197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0D47CF9" w14:textId="517B3E79" w:rsidR="0E4E29E4" w:rsidRPr="003B3A17" w:rsidRDefault="0E4E29E4" w:rsidP="0E4E29E4">
                <w:pPr>
                  <w:spacing w:after="0"/>
                  <w:ind w:left="-20" w:right="-20"/>
                  <w:rPr>
                    <w:sz w:val="18"/>
                    <w:szCs w:val="18"/>
                  </w:rPr>
                </w:pPr>
                <w:r w:rsidRPr="003B3A17">
                  <w:rPr>
                    <w:rFonts w:ascii="Times New Roman" w:eastAsia="Times New Roman" w:hAnsi="Times New Roman"/>
                    <w:color w:val="000000" w:themeColor="text1"/>
                    <w:sz w:val="18"/>
                    <w:szCs w:val="18"/>
                  </w:rPr>
                  <w:t>CONCESIÓN PACIFICO TRES S.A.S.</w:t>
                </w:r>
              </w:p>
            </w:tc>
            <w:tc>
              <w:tcPr>
                <w:tcW w:w="970"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AB846B0" w14:textId="2A9AD086" w:rsidR="0E4E29E4" w:rsidRPr="003B3A17" w:rsidRDefault="0E4E29E4" w:rsidP="0E4E29E4">
                <w:pPr>
                  <w:spacing w:after="0"/>
                  <w:ind w:left="-20" w:right="-20"/>
                  <w:jc w:val="right"/>
                  <w:rPr>
                    <w:sz w:val="18"/>
                    <w:szCs w:val="18"/>
                  </w:rPr>
                </w:pPr>
                <w:r w:rsidRPr="003B3A17">
                  <w:rPr>
                    <w:rFonts w:ascii="Times New Roman" w:eastAsia="Times New Roman" w:hAnsi="Times New Roman"/>
                    <w:color w:val="000000" w:themeColor="text1"/>
                    <w:sz w:val="18"/>
                    <w:szCs w:val="18"/>
                  </w:rPr>
                  <w:t xml:space="preserve">                      6.274.021.007 </w:t>
                </w:r>
              </w:p>
            </w:tc>
          </w:tr>
          <w:tr w:rsidR="0E4E29E4" w:rsidRPr="003B3A17" w14:paraId="7E784255" w14:textId="77777777" w:rsidTr="003B3A17">
            <w:trPr>
              <w:trHeight w:val="340"/>
            </w:trPr>
            <w:tc>
              <w:tcPr>
                <w:tcW w:w="51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27D18F6" w14:textId="1ECDFE26" w:rsidR="0E4E29E4" w:rsidRPr="003B3A17" w:rsidRDefault="0E4E29E4" w:rsidP="0E4E29E4">
                <w:pPr>
                  <w:spacing w:after="0"/>
                  <w:ind w:left="-20" w:right="-20"/>
                  <w:rPr>
                    <w:sz w:val="18"/>
                    <w:szCs w:val="18"/>
                  </w:rPr>
                </w:pPr>
                <w:r w:rsidRPr="003B3A17">
                  <w:rPr>
                    <w:rFonts w:ascii="Times New Roman" w:eastAsia="Times New Roman" w:hAnsi="Times New Roman"/>
                    <w:color w:val="000000" w:themeColor="text1"/>
                    <w:sz w:val="18"/>
                    <w:szCs w:val="18"/>
                  </w:rPr>
                  <w:t>5.8.04.39</w:t>
                </w:r>
              </w:p>
            </w:tc>
            <w:tc>
              <w:tcPr>
                <w:tcW w:w="91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D16CFFB" w14:textId="384D899F" w:rsidR="0E4E29E4" w:rsidRPr="003B3A17" w:rsidRDefault="0E4E29E4" w:rsidP="0E4E29E4">
                <w:pPr>
                  <w:spacing w:after="0"/>
                  <w:ind w:left="-20" w:right="-20"/>
                  <w:rPr>
                    <w:sz w:val="18"/>
                    <w:szCs w:val="18"/>
                  </w:rPr>
                </w:pPr>
                <w:r w:rsidRPr="003B3A17">
                  <w:rPr>
                    <w:rFonts w:ascii="Times New Roman" w:eastAsia="Times New Roman" w:hAnsi="Times New Roman"/>
                    <w:color w:val="000000" w:themeColor="text1"/>
                    <w:sz w:val="18"/>
                    <w:szCs w:val="18"/>
                  </w:rPr>
                  <w:t>Intereses de mora</w:t>
                </w:r>
              </w:p>
            </w:tc>
            <w:tc>
              <w:tcPr>
                <w:tcW w:w="625"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124CFFC" w14:textId="34196C37" w:rsidR="0E4E29E4" w:rsidRPr="003B3A17" w:rsidRDefault="0E4E29E4" w:rsidP="0E4E29E4">
                <w:pPr>
                  <w:spacing w:after="0"/>
                  <w:ind w:left="-20" w:right="-20"/>
                  <w:rPr>
                    <w:sz w:val="18"/>
                    <w:szCs w:val="18"/>
                  </w:rPr>
                </w:pPr>
                <w:r w:rsidRPr="003B3A17">
                  <w:rPr>
                    <w:rFonts w:ascii="Times New Roman" w:eastAsia="Times New Roman" w:hAnsi="Times New Roman"/>
                    <w:color w:val="000000" w:themeColor="text1"/>
                    <w:sz w:val="18"/>
                    <w:szCs w:val="18"/>
                  </w:rPr>
                  <w:t>900793991</w:t>
                </w:r>
              </w:p>
            </w:tc>
            <w:tc>
              <w:tcPr>
                <w:tcW w:w="197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9A22F90" w14:textId="6CF17F83" w:rsidR="0E4E29E4" w:rsidRPr="003B3A17" w:rsidRDefault="0E4E29E4" w:rsidP="0E4E29E4">
                <w:pPr>
                  <w:spacing w:after="0"/>
                  <w:ind w:left="-20" w:right="-20"/>
                  <w:rPr>
                    <w:sz w:val="18"/>
                    <w:szCs w:val="18"/>
                  </w:rPr>
                </w:pPr>
                <w:r w:rsidRPr="003B3A17">
                  <w:rPr>
                    <w:rFonts w:ascii="Times New Roman" w:eastAsia="Times New Roman" w:hAnsi="Times New Roman"/>
                    <w:color w:val="000000" w:themeColor="text1"/>
                    <w:sz w:val="18"/>
                    <w:szCs w:val="18"/>
                  </w:rPr>
                  <w:t>AUTOPISTAS DEL NORDESTE S.A.S.</w:t>
                </w:r>
              </w:p>
            </w:tc>
            <w:tc>
              <w:tcPr>
                <w:tcW w:w="970"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204B11B" w14:textId="146B9D6E" w:rsidR="0E4E29E4" w:rsidRPr="003B3A17" w:rsidRDefault="0E4E29E4" w:rsidP="0E4E29E4">
                <w:pPr>
                  <w:spacing w:after="0"/>
                  <w:ind w:left="-20" w:right="-20"/>
                  <w:jc w:val="right"/>
                  <w:rPr>
                    <w:sz w:val="18"/>
                    <w:szCs w:val="18"/>
                  </w:rPr>
                </w:pPr>
                <w:r w:rsidRPr="003B3A17">
                  <w:rPr>
                    <w:rFonts w:ascii="Times New Roman" w:eastAsia="Times New Roman" w:hAnsi="Times New Roman"/>
                    <w:color w:val="000000" w:themeColor="text1"/>
                    <w:sz w:val="18"/>
                    <w:szCs w:val="18"/>
                  </w:rPr>
                  <w:t xml:space="preserve">                      5.596.164.990 </w:t>
                </w:r>
              </w:p>
            </w:tc>
          </w:tr>
          <w:tr w:rsidR="0E4E29E4" w:rsidRPr="003B3A17" w14:paraId="3B206593" w14:textId="77777777" w:rsidTr="003B3A17">
            <w:trPr>
              <w:trHeight w:val="340"/>
            </w:trPr>
            <w:tc>
              <w:tcPr>
                <w:tcW w:w="51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373574E" w14:textId="11B7453A" w:rsidR="0E4E29E4" w:rsidRPr="003B3A17" w:rsidRDefault="0E4E29E4" w:rsidP="0E4E29E4">
                <w:pPr>
                  <w:spacing w:after="0"/>
                  <w:ind w:left="-20" w:right="-20"/>
                  <w:rPr>
                    <w:sz w:val="18"/>
                    <w:szCs w:val="18"/>
                  </w:rPr>
                </w:pPr>
                <w:r w:rsidRPr="003B3A17">
                  <w:rPr>
                    <w:rFonts w:ascii="Times New Roman" w:eastAsia="Times New Roman" w:hAnsi="Times New Roman"/>
                    <w:color w:val="000000" w:themeColor="text1"/>
                    <w:sz w:val="18"/>
                    <w:szCs w:val="18"/>
                  </w:rPr>
                  <w:t>5.8.04.39</w:t>
                </w:r>
              </w:p>
            </w:tc>
            <w:tc>
              <w:tcPr>
                <w:tcW w:w="91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4BA047E" w14:textId="224BED70" w:rsidR="0E4E29E4" w:rsidRPr="003B3A17" w:rsidRDefault="0E4E29E4" w:rsidP="0E4E29E4">
                <w:pPr>
                  <w:spacing w:after="0"/>
                  <w:ind w:left="-20" w:right="-20"/>
                  <w:rPr>
                    <w:sz w:val="18"/>
                    <w:szCs w:val="18"/>
                  </w:rPr>
                </w:pPr>
                <w:r w:rsidRPr="003B3A17">
                  <w:rPr>
                    <w:rFonts w:ascii="Times New Roman" w:eastAsia="Times New Roman" w:hAnsi="Times New Roman"/>
                    <w:color w:val="000000" w:themeColor="text1"/>
                    <w:sz w:val="18"/>
                    <w:szCs w:val="18"/>
                  </w:rPr>
                  <w:t>Intereses de mora</w:t>
                </w:r>
              </w:p>
            </w:tc>
            <w:tc>
              <w:tcPr>
                <w:tcW w:w="625"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B0221D1" w14:textId="492FE0E3" w:rsidR="0E4E29E4" w:rsidRPr="003B3A17" w:rsidRDefault="0E4E29E4" w:rsidP="0E4E29E4">
                <w:pPr>
                  <w:spacing w:after="0"/>
                  <w:ind w:left="-20" w:right="-20"/>
                  <w:rPr>
                    <w:sz w:val="18"/>
                    <w:szCs w:val="18"/>
                  </w:rPr>
                </w:pPr>
                <w:r w:rsidRPr="003B3A17">
                  <w:rPr>
                    <w:rFonts w:ascii="Times New Roman" w:eastAsia="Times New Roman" w:hAnsi="Times New Roman"/>
                    <w:color w:val="000000" w:themeColor="text1"/>
                    <w:sz w:val="18"/>
                    <w:szCs w:val="18"/>
                  </w:rPr>
                  <w:t>900880846</w:t>
                </w:r>
              </w:p>
            </w:tc>
            <w:tc>
              <w:tcPr>
                <w:tcW w:w="197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EF20E10" w14:textId="14C35CEB" w:rsidR="0E4E29E4" w:rsidRPr="003B3A17" w:rsidRDefault="0E4E29E4" w:rsidP="0E4E29E4">
                <w:pPr>
                  <w:spacing w:after="0"/>
                  <w:ind w:left="-20" w:right="-20"/>
                  <w:rPr>
                    <w:sz w:val="18"/>
                    <w:szCs w:val="18"/>
                  </w:rPr>
                </w:pPr>
                <w:r w:rsidRPr="003B3A17">
                  <w:rPr>
                    <w:rFonts w:ascii="Times New Roman" w:eastAsia="Times New Roman" w:hAnsi="Times New Roman"/>
                    <w:color w:val="000000" w:themeColor="text1"/>
                    <w:sz w:val="18"/>
                    <w:szCs w:val="18"/>
                  </w:rPr>
                  <w:t>CONCESIONARIA VIAL UNIÓN DEL SUR S.A.S.</w:t>
                </w:r>
              </w:p>
            </w:tc>
            <w:tc>
              <w:tcPr>
                <w:tcW w:w="970"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9DDD321" w14:textId="383E410A" w:rsidR="0E4E29E4" w:rsidRPr="003B3A17" w:rsidRDefault="0E4E29E4" w:rsidP="0E4E29E4">
                <w:pPr>
                  <w:spacing w:after="0"/>
                  <w:ind w:left="-20" w:right="-20"/>
                  <w:jc w:val="right"/>
                  <w:rPr>
                    <w:sz w:val="18"/>
                    <w:szCs w:val="18"/>
                  </w:rPr>
                </w:pPr>
                <w:r w:rsidRPr="003B3A17">
                  <w:rPr>
                    <w:rFonts w:ascii="Times New Roman" w:eastAsia="Times New Roman" w:hAnsi="Times New Roman"/>
                    <w:color w:val="000000" w:themeColor="text1"/>
                    <w:sz w:val="18"/>
                    <w:szCs w:val="18"/>
                  </w:rPr>
                  <w:t xml:space="preserve">                     5.206.087.889 </w:t>
                </w:r>
              </w:p>
            </w:tc>
          </w:tr>
          <w:tr w:rsidR="0E4E29E4" w:rsidRPr="003B3A17" w14:paraId="2DB9529A" w14:textId="77777777" w:rsidTr="003B3A17">
            <w:trPr>
              <w:trHeight w:val="340"/>
            </w:trPr>
            <w:tc>
              <w:tcPr>
                <w:tcW w:w="51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BB7A352" w14:textId="430EE3E5" w:rsidR="0E4E29E4" w:rsidRPr="003B3A17" w:rsidRDefault="0E4E29E4" w:rsidP="0E4E29E4">
                <w:pPr>
                  <w:spacing w:after="0"/>
                  <w:ind w:left="-20" w:right="-20"/>
                  <w:rPr>
                    <w:sz w:val="18"/>
                    <w:szCs w:val="18"/>
                  </w:rPr>
                </w:pPr>
                <w:r w:rsidRPr="003B3A17">
                  <w:rPr>
                    <w:rFonts w:ascii="Times New Roman" w:eastAsia="Times New Roman" w:hAnsi="Times New Roman"/>
                    <w:color w:val="000000" w:themeColor="text1"/>
                    <w:sz w:val="18"/>
                    <w:szCs w:val="18"/>
                  </w:rPr>
                  <w:t>5.8.04.39</w:t>
                </w:r>
              </w:p>
            </w:tc>
            <w:tc>
              <w:tcPr>
                <w:tcW w:w="91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D0F2DD4" w14:textId="384F612B" w:rsidR="0E4E29E4" w:rsidRPr="003B3A17" w:rsidRDefault="0E4E29E4" w:rsidP="0E4E29E4">
                <w:pPr>
                  <w:spacing w:after="0"/>
                  <w:ind w:left="-20" w:right="-20"/>
                  <w:rPr>
                    <w:sz w:val="18"/>
                    <w:szCs w:val="18"/>
                  </w:rPr>
                </w:pPr>
                <w:r w:rsidRPr="003B3A17">
                  <w:rPr>
                    <w:rFonts w:ascii="Times New Roman" w:eastAsia="Times New Roman" w:hAnsi="Times New Roman"/>
                    <w:color w:val="000000" w:themeColor="text1"/>
                    <w:sz w:val="18"/>
                    <w:szCs w:val="18"/>
                  </w:rPr>
                  <w:t>Intereses de mora</w:t>
                </w:r>
              </w:p>
            </w:tc>
            <w:tc>
              <w:tcPr>
                <w:tcW w:w="625"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9F4ACFE" w14:textId="60401C8A" w:rsidR="0E4E29E4" w:rsidRPr="003B3A17" w:rsidRDefault="0E4E29E4" w:rsidP="0E4E29E4">
                <w:pPr>
                  <w:spacing w:after="0"/>
                  <w:ind w:left="-20" w:right="-20"/>
                  <w:rPr>
                    <w:sz w:val="18"/>
                    <w:szCs w:val="18"/>
                  </w:rPr>
                </w:pPr>
                <w:r w:rsidRPr="003B3A17">
                  <w:rPr>
                    <w:rFonts w:ascii="Times New Roman" w:eastAsia="Times New Roman" w:hAnsi="Times New Roman"/>
                    <w:color w:val="000000" w:themeColor="text1"/>
                    <w:sz w:val="18"/>
                    <w:szCs w:val="18"/>
                  </w:rPr>
                  <w:t>900869678</w:t>
                </w:r>
              </w:p>
            </w:tc>
            <w:tc>
              <w:tcPr>
                <w:tcW w:w="197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6758636" w14:textId="5EA8FCC4" w:rsidR="0E4E29E4" w:rsidRPr="003B3A17" w:rsidRDefault="003B3A17" w:rsidP="0E4E29E4">
                <w:pPr>
                  <w:spacing w:after="0"/>
                  <w:ind w:left="-20" w:right="-20"/>
                  <w:rPr>
                    <w:sz w:val="18"/>
                    <w:szCs w:val="18"/>
                  </w:rPr>
                </w:pPr>
                <w:r w:rsidRPr="003B3A17">
                  <w:rPr>
                    <w:rFonts w:ascii="Times New Roman" w:eastAsia="Times New Roman" w:hAnsi="Times New Roman"/>
                    <w:color w:val="000000" w:themeColor="text1"/>
                    <w:sz w:val="18"/>
                    <w:szCs w:val="18"/>
                  </w:rPr>
                  <w:t xml:space="preserve">DESARROLLO VIAL </w:t>
                </w:r>
                <w:r w:rsidR="0014759D" w:rsidRPr="003B3A17">
                  <w:rPr>
                    <w:rFonts w:ascii="Times New Roman" w:eastAsia="Times New Roman" w:hAnsi="Times New Roman"/>
                    <w:color w:val="000000" w:themeColor="text1"/>
                    <w:sz w:val="18"/>
                    <w:szCs w:val="18"/>
                  </w:rPr>
                  <w:t>AL MAR</w:t>
                </w:r>
                <w:r w:rsidR="0E4E29E4" w:rsidRPr="003B3A17">
                  <w:rPr>
                    <w:rFonts w:ascii="Times New Roman" w:eastAsia="Times New Roman" w:hAnsi="Times New Roman"/>
                    <w:color w:val="000000" w:themeColor="text1"/>
                    <w:sz w:val="18"/>
                    <w:szCs w:val="18"/>
                  </w:rPr>
                  <w:t xml:space="preserve">   S.A.S</w:t>
                </w:r>
              </w:p>
            </w:tc>
            <w:tc>
              <w:tcPr>
                <w:tcW w:w="970"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C3B2A2D" w14:textId="261A4043" w:rsidR="0E4E29E4" w:rsidRPr="003B3A17" w:rsidRDefault="0E4E29E4" w:rsidP="0E4E29E4">
                <w:pPr>
                  <w:spacing w:after="0"/>
                  <w:ind w:left="-20" w:right="-20"/>
                  <w:jc w:val="right"/>
                  <w:rPr>
                    <w:sz w:val="18"/>
                    <w:szCs w:val="18"/>
                  </w:rPr>
                </w:pPr>
                <w:r w:rsidRPr="003B3A17">
                  <w:rPr>
                    <w:rFonts w:ascii="Times New Roman" w:eastAsia="Times New Roman" w:hAnsi="Times New Roman"/>
                    <w:color w:val="000000" w:themeColor="text1"/>
                    <w:sz w:val="18"/>
                    <w:szCs w:val="18"/>
                  </w:rPr>
                  <w:t xml:space="preserve">                     4.354.740.878 </w:t>
                </w:r>
              </w:p>
            </w:tc>
          </w:tr>
          <w:tr w:rsidR="0E4E29E4" w:rsidRPr="003B3A17" w14:paraId="05D19527" w14:textId="77777777" w:rsidTr="003B3A17">
            <w:trPr>
              <w:trHeight w:val="340"/>
            </w:trPr>
            <w:tc>
              <w:tcPr>
                <w:tcW w:w="51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CA37E56" w14:textId="042D4081" w:rsidR="0E4E29E4" w:rsidRPr="003B3A17" w:rsidRDefault="0E4E29E4" w:rsidP="0E4E29E4">
                <w:pPr>
                  <w:spacing w:after="0"/>
                  <w:ind w:left="-20" w:right="-20"/>
                  <w:rPr>
                    <w:sz w:val="18"/>
                    <w:szCs w:val="18"/>
                  </w:rPr>
                </w:pPr>
                <w:r w:rsidRPr="003B3A17">
                  <w:rPr>
                    <w:rFonts w:ascii="Times New Roman" w:eastAsia="Times New Roman" w:hAnsi="Times New Roman"/>
                    <w:color w:val="000000" w:themeColor="text1"/>
                    <w:sz w:val="18"/>
                    <w:szCs w:val="18"/>
                  </w:rPr>
                  <w:t>5.8.04.39</w:t>
                </w:r>
              </w:p>
            </w:tc>
            <w:tc>
              <w:tcPr>
                <w:tcW w:w="91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7FA8DF4" w14:textId="70931161" w:rsidR="0E4E29E4" w:rsidRPr="003B3A17" w:rsidRDefault="0E4E29E4" w:rsidP="0E4E29E4">
                <w:pPr>
                  <w:spacing w:after="0"/>
                  <w:ind w:left="-20" w:right="-20"/>
                  <w:rPr>
                    <w:sz w:val="18"/>
                    <w:szCs w:val="18"/>
                  </w:rPr>
                </w:pPr>
                <w:r w:rsidRPr="003B3A17">
                  <w:rPr>
                    <w:rFonts w:ascii="Times New Roman" w:eastAsia="Times New Roman" w:hAnsi="Times New Roman"/>
                    <w:color w:val="000000" w:themeColor="text1"/>
                    <w:sz w:val="18"/>
                    <w:szCs w:val="18"/>
                  </w:rPr>
                  <w:t>Intereses de mora</w:t>
                </w:r>
              </w:p>
            </w:tc>
            <w:tc>
              <w:tcPr>
                <w:tcW w:w="625"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05C9B4D" w14:textId="6BD9C7BC" w:rsidR="0E4E29E4" w:rsidRPr="003B3A17" w:rsidRDefault="0E4E29E4" w:rsidP="0E4E29E4">
                <w:pPr>
                  <w:spacing w:after="0"/>
                  <w:ind w:left="-20" w:right="-20"/>
                  <w:rPr>
                    <w:sz w:val="18"/>
                    <w:szCs w:val="18"/>
                  </w:rPr>
                </w:pPr>
                <w:r w:rsidRPr="003B3A17">
                  <w:rPr>
                    <w:rFonts w:ascii="Times New Roman" w:eastAsia="Times New Roman" w:hAnsi="Times New Roman"/>
                    <w:color w:val="000000" w:themeColor="text1"/>
                    <w:sz w:val="18"/>
                    <w:szCs w:val="18"/>
                  </w:rPr>
                  <w:t>900763355</w:t>
                </w:r>
              </w:p>
            </w:tc>
            <w:tc>
              <w:tcPr>
                <w:tcW w:w="197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C77DFDE" w14:textId="2E4D66CB" w:rsidR="0E4E29E4" w:rsidRPr="003B3A17" w:rsidRDefault="0E4E29E4" w:rsidP="0E4E29E4">
                <w:pPr>
                  <w:spacing w:after="0"/>
                  <w:ind w:left="-20" w:right="-20"/>
                  <w:rPr>
                    <w:sz w:val="18"/>
                    <w:szCs w:val="18"/>
                  </w:rPr>
                </w:pPr>
                <w:r w:rsidRPr="003B3A17">
                  <w:rPr>
                    <w:rFonts w:ascii="Times New Roman" w:eastAsia="Times New Roman" w:hAnsi="Times New Roman"/>
                    <w:color w:val="000000" w:themeColor="text1"/>
                    <w:sz w:val="18"/>
                    <w:szCs w:val="18"/>
                  </w:rPr>
                  <w:t>CONCESIÓN COSTERA CARTAGENA BARRANQUILLA S.A.S.</w:t>
                </w:r>
              </w:p>
            </w:tc>
            <w:tc>
              <w:tcPr>
                <w:tcW w:w="970"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F91DAB8" w14:textId="239AB4C9" w:rsidR="0E4E29E4" w:rsidRPr="003B3A17" w:rsidRDefault="0E4E29E4" w:rsidP="0E4E29E4">
                <w:pPr>
                  <w:spacing w:after="0"/>
                  <w:ind w:left="-20" w:right="-20"/>
                  <w:jc w:val="right"/>
                  <w:rPr>
                    <w:sz w:val="18"/>
                    <w:szCs w:val="18"/>
                  </w:rPr>
                </w:pPr>
                <w:r w:rsidRPr="003B3A17">
                  <w:rPr>
                    <w:rFonts w:ascii="Times New Roman" w:eastAsia="Times New Roman" w:hAnsi="Times New Roman"/>
                    <w:color w:val="000000" w:themeColor="text1"/>
                    <w:sz w:val="18"/>
                    <w:szCs w:val="18"/>
                  </w:rPr>
                  <w:t xml:space="preserve">                      3.666.155.746 </w:t>
                </w:r>
              </w:p>
            </w:tc>
          </w:tr>
          <w:tr w:rsidR="0E4E29E4" w:rsidRPr="003B3A17" w14:paraId="47728FDE" w14:textId="77777777" w:rsidTr="003B3A17">
            <w:trPr>
              <w:trHeight w:val="340"/>
            </w:trPr>
            <w:tc>
              <w:tcPr>
                <w:tcW w:w="51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FEFD747" w14:textId="3FF023A6" w:rsidR="0E4E29E4" w:rsidRPr="003B3A17" w:rsidRDefault="0E4E29E4" w:rsidP="0E4E29E4">
                <w:pPr>
                  <w:spacing w:after="0"/>
                  <w:ind w:left="-20" w:right="-20"/>
                  <w:rPr>
                    <w:sz w:val="18"/>
                    <w:szCs w:val="18"/>
                  </w:rPr>
                </w:pPr>
                <w:r w:rsidRPr="003B3A17">
                  <w:rPr>
                    <w:rFonts w:ascii="Times New Roman" w:eastAsia="Times New Roman" w:hAnsi="Times New Roman"/>
                    <w:color w:val="000000" w:themeColor="text1"/>
                    <w:sz w:val="18"/>
                    <w:szCs w:val="18"/>
                  </w:rPr>
                  <w:t>5.8.04.39</w:t>
                </w:r>
              </w:p>
            </w:tc>
            <w:tc>
              <w:tcPr>
                <w:tcW w:w="91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4B53A66" w14:textId="2E611CF9" w:rsidR="0E4E29E4" w:rsidRPr="003B3A17" w:rsidRDefault="0E4E29E4" w:rsidP="0E4E29E4">
                <w:pPr>
                  <w:spacing w:after="0"/>
                  <w:ind w:left="-20" w:right="-20"/>
                  <w:rPr>
                    <w:sz w:val="18"/>
                    <w:szCs w:val="18"/>
                  </w:rPr>
                </w:pPr>
                <w:r w:rsidRPr="003B3A17">
                  <w:rPr>
                    <w:rFonts w:ascii="Times New Roman" w:eastAsia="Times New Roman" w:hAnsi="Times New Roman"/>
                    <w:color w:val="000000" w:themeColor="text1"/>
                    <w:sz w:val="18"/>
                    <w:szCs w:val="18"/>
                  </w:rPr>
                  <w:t>Intereses de mora</w:t>
                </w:r>
              </w:p>
            </w:tc>
            <w:tc>
              <w:tcPr>
                <w:tcW w:w="625"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C20BDEB" w14:textId="7BFF8BBB" w:rsidR="0E4E29E4" w:rsidRPr="003B3A17" w:rsidRDefault="0E4E29E4" w:rsidP="0E4E29E4">
                <w:pPr>
                  <w:spacing w:after="0"/>
                  <w:ind w:left="-20" w:right="-20"/>
                  <w:rPr>
                    <w:sz w:val="18"/>
                    <w:szCs w:val="18"/>
                  </w:rPr>
                </w:pPr>
                <w:r w:rsidRPr="003B3A17">
                  <w:rPr>
                    <w:rFonts w:ascii="Times New Roman" w:eastAsia="Times New Roman" w:hAnsi="Times New Roman"/>
                    <w:color w:val="000000" w:themeColor="text1"/>
                    <w:sz w:val="18"/>
                    <w:szCs w:val="18"/>
                  </w:rPr>
                  <w:t>900740893</w:t>
                </w:r>
              </w:p>
            </w:tc>
            <w:tc>
              <w:tcPr>
                <w:tcW w:w="197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7D067E1" w14:textId="0121D8A5" w:rsidR="0E4E29E4" w:rsidRPr="003B3A17" w:rsidRDefault="0E4E29E4" w:rsidP="0E4E29E4">
                <w:pPr>
                  <w:spacing w:after="0"/>
                  <w:ind w:left="-20" w:right="-20"/>
                  <w:rPr>
                    <w:sz w:val="18"/>
                    <w:szCs w:val="18"/>
                  </w:rPr>
                </w:pPr>
                <w:r w:rsidRPr="003B3A17">
                  <w:rPr>
                    <w:rFonts w:ascii="Times New Roman" w:eastAsia="Times New Roman" w:hAnsi="Times New Roman"/>
                    <w:color w:val="000000" w:themeColor="text1"/>
                    <w:sz w:val="18"/>
                    <w:szCs w:val="18"/>
                  </w:rPr>
                  <w:t>CONCESION LA PINTADA S.A.S.</w:t>
                </w:r>
              </w:p>
            </w:tc>
            <w:tc>
              <w:tcPr>
                <w:tcW w:w="970"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7E75568" w14:textId="500CBCA2" w:rsidR="0E4E29E4" w:rsidRPr="003B3A17" w:rsidRDefault="0E4E29E4" w:rsidP="0E4E29E4">
                <w:pPr>
                  <w:spacing w:after="0"/>
                  <w:ind w:left="-20" w:right="-20"/>
                  <w:jc w:val="right"/>
                  <w:rPr>
                    <w:sz w:val="18"/>
                    <w:szCs w:val="18"/>
                  </w:rPr>
                </w:pPr>
                <w:r w:rsidRPr="003B3A17">
                  <w:rPr>
                    <w:rFonts w:ascii="Times New Roman" w:eastAsia="Times New Roman" w:hAnsi="Times New Roman"/>
                    <w:color w:val="000000" w:themeColor="text1"/>
                    <w:sz w:val="18"/>
                    <w:szCs w:val="18"/>
                  </w:rPr>
                  <w:t xml:space="preserve">                     3.530.634.657 </w:t>
                </w:r>
              </w:p>
            </w:tc>
          </w:tr>
          <w:tr w:rsidR="0E4E29E4" w:rsidRPr="003B3A17" w14:paraId="604F3146" w14:textId="77777777" w:rsidTr="003B3A17">
            <w:trPr>
              <w:trHeight w:val="340"/>
            </w:trPr>
            <w:tc>
              <w:tcPr>
                <w:tcW w:w="51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0CE781E" w14:textId="63BD55A1" w:rsidR="0E4E29E4" w:rsidRPr="003B3A17" w:rsidRDefault="0E4E29E4" w:rsidP="0E4E29E4">
                <w:pPr>
                  <w:spacing w:after="0"/>
                  <w:ind w:left="-20" w:right="-20"/>
                  <w:rPr>
                    <w:sz w:val="18"/>
                    <w:szCs w:val="18"/>
                  </w:rPr>
                </w:pPr>
                <w:r w:rsidRPr="003B3A17">
                  <w:rPr>
                    <w:rFonts w:ascii="Times New Roman" w:eastAsia="Times New Roman" w:hAnsi="Times New Roman"/>
                    <w:color w:val="000000" w:themeColor="text1"/>
                    <w:sz w:val="18"/>
                    <w:szCs w:val="18"/>
                  </w:rPr>
                  <w:t>5.8.04.39</w:t>
                </w:r>
              </w:p>
            </w:tc>
            <w:tc>
              <w:tcPr>
                <w:tcW w:w="91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246AE2A" w14:textId="61A785A4" w:rsidR="0E4E29E4" w:rsidRPr="003B3A17" w:rsidRDefault="0E4E29E4" w:rsidP="0E4E29E4">
                <w:pPr>
                  <w:spacing w:after="0"/>
                  <w:ind w:left="-20" w:right="-20"/>
                  <w:rPr>
                    <w:sz w:val="18"/>
                    <w:szCs w:val="18"/>
                  </w:rPr>
                </w:pPr>
                <w:r w:rsidRPr="003B3A17">
                  <w:rPr>
                    <w:rFonts w:ascii="Times New Roman" w:eastAsia="Times New Roman" w:hAnsi="Times New Roman"/>
                    <w:color w:val="000000" w:themeColor="text1"/>
                    <w:sz w:val="18"/>
                    <w:szCs w:val="18"/>
                  </w:rPr>
                  <w:t>Intereses de mora</w:t>
                </w:r>
              </w:p>
            </w:tc>
            <w:tc>
              <w:tcPr>
                <w:tcW w:w="625"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3312F32" w14:textId="3D76AC69" w:rsidR="0E4E29E4" w:rsidRPr="003B3A17" w:rsidRDefault="0E4E29E4" w:rsidP="0E4E29E4">
                <w:pPr>
                  <w:spacing w:after="0"/>
                  <w:ind w:left="-20" w:right="-20"/>
                  <w:rPr>
                    <w:sz w:val="18"/>
                    <w:szCs w:val="18"/>
                  </w:rPr>
                </w:pPr>
                <w:r w:rsidRPr="003B3A17">
                  <w:rPr>
                    <w:rFonts w:ascii="Times New Roman" w:eastAsia="Times New Roman" w:hAnsi="Times New Roman"/>
                    <w:color w:val="000000" w:themeColor="text1"/>
                    <w:sz w:val="18"/>
                    <w:szCs w:val="18"/>
                  </w:rPr>
                  <w:t>900745219</w:t>
                </w:r>
              </w:p>
            </w:tc>
            <w:tc>
              <w:tcPr>
                <w:tcW w:w="197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A0D96CF" w14:textId="4CEA4D75" w:rsidR="0E4E29E4" w:rsidRPr="003B3A17" w:rsidRDefault="0E4E29E4" w:rsidP="0E4E29E4">
                <w:pPr>
                  <w:spacing w:after="0"/>
                  <w:ind w:left="-20" w:right="-20"/>
                  <w:rPr>
                    <w:sz w:val="18"/>
                    <w:szCs w:val="18"/>
                  </w:rPr>
                </w:pPr>
                <w:r w:rsidRPr="003B3A17">
                  <w:rPr>
                    <w:rFonts w:ascii="Times New Roman" w:eastAsia="Times New Roman" w:hAnsi="Times New Roman"/>
                    <w:color w:val="000000" w:themeColor="text1"/>
                    <w:sz w:val="18"/>
                    <w:szCs w:val="18"/>
                  </w:rPr>
                  <w:t>CONCESIÓN ALTO MAGDALENA S A S</w:t>
                </w:r>
              </w:p>
            </w:tc>
            <w:tc>
              <w:tcPr>
                <w:tcW w:w="970"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39B8BC0" w14:textId="2D2775E3" w:rsidR="0E4E29E4" w:rsidRPr="003B3A17" w:rsidRDefault="0E4E29E4" w:rsidP="0E4E29E4">
                <w:pPr>
                  <w:spacing w:after="0"/>
                  <w:ind w:left="-20" w:right="-20"/>
                  <w:jc w:val="right"/>
                  <w:rPr>
                    <w:sz w:val="18"/>
                    <w:szCs w:val="18"/>
                  </w:rPr>
                </w:pPr>
                <w:r w:rsidRPr="003B3A17">
                  <w:rPr>
                    <w:rFonts w:ascii="Times New Roman" w:eastAsia="Times New Roman" w:hAnsi="Times New Roman"/>
                    <w:color w:val="000000" w:themeColor="text1"/>
                    <w:sz w:val="18"/>
                    <w:szCs w:val="18"/>
                  </w:rPr>
                  <w:t xml:space="preserve">                         1.610.311.479 </w:t>
                </w:r>
              </w:p>
            </w:tc>
          </w:tr>
          <w:tr w:rsidR="0E4E29E4" w:rsidRPr="003B3A17" w14:paraId="4C583AD7" w14:textId="77777777" w:rsidTr="003B3A17">
            <w:trPr>
              <w:trHeight w:val="340"/>
            </w:trPr>
            <w:tc>
              <w:tcPr>
                <w:tcW w:w="51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39E7967" w14:textId="3CC04A94" w:rsidR="0E4E29E4" w:rsidRPr="003B3A17" w:rsidRDefault="0E4E29E4" w:rsidP="0E4E29E4">
                <w:pPr>
                  <w:spacing w:after="0"/>
                  <w:ind w:left="-20" w:right="-20"/>
                  <w:rPr>
                    <w:sz w:val="18"/>
                    <w:szCs w:val="18"/>
                  </w:rPr>
                </w:pPr>
                <w:r w:rsidRPr="003B3A17">
                  <w:rPr>
                    <w:rFonts w:ascii="Times New Roman" w:eastAsia="Times New Roman" w:hAnsi="Times New Roman"/>
                    <w:color w:val="000000" w:themeColor="text1"/>
                    <w:sz w:val="18"/>
                    <w:szCs w:val="18"/>
                  </w:rPr>
                  <w:t>5.8.04.39</w:t>
                </w:r>
              </w:p>
            </w:tc>
            <w:tc>
              <w:tcPr>
                <w:tcW w:w="91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465DAD0" w14:textId="06D3C7E5" w:rsidR="0E4E29E4" w:rsidRPr="003B3A17" w:rsidRDefault="0E4E29E4" w:rsidP="0E4E29E4">
                <w:pPr>
                  <w:spacing w:after="0"/>
                  <w:ind w:left="-20" w:right="-20"/>
                  <w:rPr>
                    <w:sz w:val="18"/>
                    <w:szCs w:val="18"/>
                  </w:rPr>
                </w:pPr>
                <w:r w:rsidRPr="003B3A17">
                  <w:rPr>
                    <w:rFonts w:ascii="Times New Roman" w:eastAsia="Times New Roman" w:hAnsi="Times New Roman"/>
                    <w:color w:val="000000" w:themeColor="text1"/>
                    <w:sz w:val="18"/>
                    <w:szCs w:val="18"/>
                  </w:rPr>
                  <w:t>Intereses de mora</w:t>
                </w:r>
              </w:p>
            </w:tc>
            <w:tc>
              <w:tcPr>
                <w:tcW w:w="625"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776FBB7" w14:textId="1EE751DE" w:rsidR="0E4E29E4" w:rsidRPr="003B3A17" w:rsidRDefault="0E4E29E4" w:rsidP="0E4E29E4">
                <w:pPr>
                  <w:spacing w:after="0"/>
                  <w:ind w:left="-20" w:right="-20"/>
                  <w:rPr>
                    <w:sz w:val="18"/>
                    <w:szCs w:val="18"/>
                  </w:rPr>
                </w:pPr>
                <w:r w:rsidRPr="003B3A17">
                  <w:rPr>
                    <w:rFonts w:ascii="Times New Roman" w:eastAsia="Times New Roman" w:hAnsi="Times New Roman"/>
                    <w:color w:val="000000" w:themeColor="text1"/>
                    <w:sz w:val="18"/>
                    <w:szCs w:val="18"/>
                  </w:rPr>
                  <w:t>900862215</w:t>
                </w:r>
              </w:p>
            </w:tc>
            <w:tc>
              <w:tcPr>
                <w:tcW w:w="197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159B6A7" w14:textId="0482465B" w:rsidR="0E4E29E4" w:rsidRPr="003B3A17" w:rsidRDefault="0E4E29E4" w:rsidP="0E4E29E4">
                <w:pPr>
                  <w:spacing w:after="0"/>
                  <w:ind w:left="-20" w:right="-20"/>
                  <w:rPr>
                    <w:sz w:val="18"/>
                    <w:szCs w:val="18"/>
                  </w:rPr>
                </w:pPr>
                <w:r w:rsidRPr="003B3A17">
                  <w:rPr>
                    <w:rFonts w:ascii="Times New Roman" w:eastAsia="Times New Roman" w:hAnsi="Times New Roman"/>
                    <w:color w:val="000000" w:themeColor="text1"/>
                    <w:sz w:val="18"/>
                    <w:szCs w:val="18"/>
                  </w:rPr>
                  <w:t>CONCESIONARIA VIAL DEL ORIENTE S A S</w:t>
                </w:r>
              </w:p>
            </w:tc>
            <w:tc>
              <w:tcPr>
                <w:tcW w:w="970"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59B75A2" w14:textId="557F8E96" w:rsidR="0E4E29E4" w:rsidRPr="003B3A17" w:rsidRDefault="0E4E29E4" w:rsidP="0E4E29E4">
                <w:pPr>
                  <w:spacing w:after="0"/>
                  <w:ind w:left="-20" w:right="-20"/>
                  <w:jc w:val="right"/>
                  <w:rPr>
                    <w:sz w:val="18"/>
                    <w:szCs w:val="18"/>
                  </w:rPr>
                </w:pPr>
                <w:r w:rsidRPr="003B3A17">
                  <w:rPr>
                    <w:rFonts w:ascii="Times New Roman" w:eastAsia="Times New Roman" w:hAnsi="Times New Roman"/>
                    <w:color w:val="000000" w:themeColor="text1"/>
                    <w:sz w:val="18"/>
                    <w:szCs w:val="18"/>
                  </w:rPr>
                  <w:t xml:space="preserve">                         932.263.859 </w:t>
                </w:r>
              </w:p>
            </w:tc>
          </w:tr>
          <w:tr w:rsidR="0E4E29E4" w:rsidRPr="003B3A17" w14:paraId="2EAF4506" w14:textId="77777777" w:rsidTr="003B3A17">
            <w:trPr>
              <w:trHeight w:val="340"/>
            </w:trPr>
            <w:tc>
              <w:tcPr>
                <w:tcW w:w="51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9EEC6C7" w14:textId="6285D404" w:rsidR="0E4E29E4" w:rsidRPr="003B3A17" w:rsidRDefault="0E4E29E4" w:rsidP="0E4E29E4">
                <w:pPr>
                  <w:spacing w:after="0"/>
                  <w:ind w:left="-20" w:right="-20"/>
                  <w:rPr>
                    <w:sz w:val="18"/>
                    <w:szCs w:val="18"/>
                  </w:rPr>
                </w:pPr>
                <w:r w:rsidRPr="003B3A17">
                  <w:rPr>
                    <w:rFonts w:ascii="Times New Roman" w:eastAsia="Times New Roman" w:hAnsi="Times New Roman"/>
                    <w:color w:val="000000" w:themeColor="text1"/>
                    <w:sz w:val="18"/>
                    <w:szCs w:val="18"/>
                  </w:rPr>
                  <w:t>5.8.04.39</w:t>
                </w:r>
              </w:p>
            </w:tc>
            <w:tc>
              <w:tcPr>
                <w:tcW w:w="913"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D53A5C4" w14:textId="0CC3EA7C" w:rsidR="0E4E29E4" w:rsidRPr="003B3A17" w:rsidRDefault="0E4E29E4" w:rsidP="0E4E29E4">
                <w:pPr>
                  <w:spacing w:after="0"/>
                  <w:ind w:left="-20" w:right="-20"/>
                  <w:rPr>
                    <w:sz w:val="18"/>
                    <w:szCs w:val="18"/>
                  </w:rPr>
                </w:pPr>
                <w:r w:rsidRPr="003B3A17">
                  <w:rPr>
                    <w:rFonts w:ascii="Times New Roman" w:eastAsia="Times New Roman" w:hAnsi="Times New Roman"/>
                    <w:color w:val="000000" w:themeColor="text1"/>
                    <w:sz w:val="18"/>
                    <w:szCs w:val="18"/>
                  </w:rPr>
                  <w:t>Intereses de mora</w:t>
                </w:r>
              </w:p>
            </w:tc>
            <w:tc>
              <w:tcPr>
                <w:tcW w:w="625"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CA3D9C1" w14:textId="75F292F1" w:rsidR="0E4E29E4" w:rsidRPr="003B3A17" w:rsidRDefault="0E4E29E4" w:rsidP="0E4E29E4">
                <w:pPr>
                  <w:spacing w:after="0"/>
                  <w:ind w:left="-20" w:right="-20"/>
                  <w:rPr>
                    <w:sz w:val="18"/>
                    <w:szCs w:val="18"/>
                  </w:rPr>
                </w:pPr>
                <w:r w:rsidRPr="003B3A17">
                  <w:rPr>
                    <w:rFonts w:ascii="Times New Roman" w:eastAsia="Times New Roman" w:hAnsi="Times New Roman"/>
                    <w:color w:val="000000" w:themeColor="text1"/>
                    <w:sz w:val="18"/>
                    <w:szCs w:val="18"/>
                  </w:rPr>
                  <w:t>900858096</w:t>
                </w:r>
              </w:p>
            </w:tc>
            <w:tc>
              <w:tcPr>
                <w:tcW w:w="1979"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18A90F9" w14:textId="513F9D0D" w:rsidR="0E4E29E4" w:rsidRPr="003B3A17" w:rsidRDefault="0E4E29E4" w:rsidP="0E4E29E4">
                <w:pPr>
                  <w:spacing w:after="0"/>
                  <w:ind w:left="-20" w:right="-20"/>
                  <w:rPr>
                    <w:sz w:val="18"/>
                    <w:szCs w:val="18"/>
                  </w:rPr>
                </w:pPr>
                <w:r w:rsidRPr="003B3A17">
                  <w:rPr>
                    <w:rFonts w:ascii="Times New Roman" w:eastAsia="Times New Roman" w:hAnsi="Times New Roman"/>
                    <w:color w:val="000000" w:themeColor="text1"/>
                    <w:sz w:val="18"/>
                    <w:szCs w:val="18"/>
                  </w:rPr>
                  <w:t>SOCIEDAD CONCESIONARIA VIAL MONTES DE MARIA SAS</w:t>
                </w:r>
              </w:p>
            </w:tc>
            <w:tc>
              <w:tcPr>
                <w:tcW w:w="970" w:type="pct"/>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70B1392" w14:textId="2FD63131" w:rsidR="0E4E29E4" w:rsidRPr="003B3A17" w:rsidRDefault="0E4E29E4" w:rsidP="0E4E29E4">
                <w:pPr>
                  <w:spacing w:after="0"/>
                  <w:ind w:left="-20" w:right="-20"/>
                  <w:jc w:val="right"/>
                  <w:rPr>
                    <w:sz w:val="18"/>
                    <w:szCs w:val="18"/>
                  </w:rPr>
                </w:pPr>
                <w:r w:rsidRPr="003B3A17">
                  <w:rPr>
                    <w:rFonts w:ascii="Times New Roman" w:eastAsia="Times New Roman" w:hAnsi="Times New Roman"/>
                    <w:color w:val="000000" w:themeColor="text1"/>
                    <w:sz w:val="18"/>
                    <w:szCs w:val="18"/>
                  </w:rPr>
                  <w:t xml:space="preserve">                          419.484.708 </w:t>
                </w:r>
              </w:p>
            </w:tc>
          </w:tr>
          <w:tr w:rsidR="0E4E29E4" w:rsidRPr="003B3A17" w14:paraId="3714C1AC" w14:textId="77777777" w:rsidTr="003B3A17">
            <w:trPr>
              <w:trHeight w:val="340"/>
            </w:trPr>
            <w:tc>
              <w:tcPr>
                <w:tcW w:w="4030" w:type="pct"/>
                <w:gridSpan w:val="4"/>
                <w:tcBorders>
                  <w:top w:val="single" w:sz="8" w:space="0" w:color="auto"/>
                  <w:left w:val="single" w:sz="8" w:space="0" w:color="auto"/>
                  <w:bottom w:val="single" w:sz="8" w:space="0" w:color="auto"/>
                  <w:right w:val="single" w:sz="8" w:space="0" w:color="000000" w:themeColor="text1"/>
                </w:tcBorders>
                <w:tcMar>
                  <w:left w:w="70" w:type="dxa"/>
                  <w:right w:w="70" w:type="dxa"/>
                </w:tcMar>
                <w:vAlign w:val="center"/>
              </w:tcPr>
              <w:p w14:paraId="22E921C4" w14:textId="66DE37D7" w:rsidR="0E4E29E4" w:rsidRPr="003B3A17" w:rsidRDefault="0E4E29E4" w:rsidP="0E4E29E4">
                <w:pPr>
                  <w:spacing w:after="0"/>
                  <w:ind w:left="-20" w:right="-20"/>
                  <w:jc w:val="center"/>
                  <w:rPr>
                    <w:sz w:val="18"/>
                    <w:szCs w:val="18"/>
                  </w:rPr>
                </w:pPr>
                <w:r w:rsidRPr="003B3A17">
                  <w:rPr>
                    <w:rFonts w:ascii="Times New Roman" w:eastAsia="Times New Roman" w:hAnsi="Times New Roman"/>
                    <w:b/>
                    <w:bCs/>
                    <w:color w:val="000000" w:themeColor="text1"/>
                    <w:sz w:val="18"/>
                    <w:szCs w:val="18"/>
                  </w:rPr>
                  <w:t>Total intereses de mora</w:t>
                </w:r>
              </w:p>
            </w:tc>
            <w:tc>
              <w:tcPr>
                <w:tcW w:w="970" w:type="pct"/>
                <w:tcBorders>
                  <w:top w:val="single" w:sz="8" w:space="0" w:color="auto"/>
                  <w:left w:val="nil"/>
                  <w:bottom w:val="single" w:sz="8" w:space="0" w:color="auto"/>
                  <w:right w:val="single" w:sz="8" w:space="0" w:color="auto"/>
                </w:tcBorders>
                <w:tcMar>
                  <w:left w:w="70" w:type="dxa"/>
                  <w:right w:w="70" w:type="dxa"/>
                </w:tcMar>
                <w:vAlign w:val="center"/>
              </w:tcPr>
              <w:p w14:paraId="30909098" w14:textId="3FB90E4B" w:rsidR="0E4E29E4" w:rsidRPr="003B3A17" w:rsidRDefault="0E4E29E4" w:rsidP="0E4E29E4">
                <w:pPr>
                  <w:spacing w:after="0"/>
                  <w:ind w:left="-20" w:right="-20"/>
                  <w:jc w:val="right"/>
                  <w:rPr>
                    <w:sz w:val="18"/>
                    <w:szCs w:val="18"/>
                  </w:rPr>
                </w:pPr>
                <w:r w:rsidRPr="003B3A17">
                  <w:rPr>
                    <w:rFonts w:ascii="Times New Roman" w:eastAsia="Times New Roman" w:hAnsi="Times New Roman"/>
                    <w:b/>
                    <w:bCs/>
                    <w:color w:val="000000" w:themeColor="text1"/>
                    <w:sz w:val="18"/>
                    <w:szCs w:val="18"/>
                  </w:rPr>
                  <w:t>31.589.865.213</w:t>
                </w:r>
              </w:p>
            </w:tc>
          </w:tr>
        </w:tbl>
        <w:p w14:paraId="55D250ED" w14:textId="28D0D136" w:rsidR="003A4D8E" w:rsidRPr="00931DCE" w:rsidRDefault="64C58135" w:rsidP="0E4E29E4">
          <w:pPr>
            <w:ind w:left="-20" w:right="-20"/>
            <w:jc w:val="both"/>
          </w:pPr>
          <w:r w:rsidRPr="0E4E29E4">
            <w:rPr>
              <w:rFonts w:ascii="Times New Roman" w:eastAsia="Times New Roman" w:hAnsi="Times New Roman"/>
              <w:sz w:val="24"/>
              <w:szCs w:val="24"/>
            </w:rPr>
            <w:t xml:space="preserve"> </w:t>
          </w:r>
          <w:r w:rsidRPr="0E4E29E4">
            <w:rPr>
              <w:rFonts w:ascii="Times New Roman" w:eastAsia="Times New Roman" w:hAnsi="Times New Roman"/>
              <w:sz w:val="14"/>
              <w:szCs w:val="14"/>
            </w:rPr>
            <w:t>Cifras expresadas en pesos</w:t>
          </w:r>
        </w:p>
        <w:p w14:paraId="3848B603" w14:textId="6491CD17" w:rsidR="003A4D8E" w:rsidRPr="00931DCE" w:rsidRDefault="64C58135" w:rsidP="0E4E29E4">
          <w:pPr>
            <w:ind w:left="-20" w:right="-20"/>
            <w:jc w:val="both"/>
          </w:pPr>
          <w:r w:rsidRPr="0E4E29E4">
            <w:rPr>
              <w:rFonts w:ascii="Times New Roman" w:eastAsia="Times New Roman" w:hAnsi="Times New Roman"/>
              <w:sz w:val="24"/>
              <w:szCs w:val="24"/>
            </w:rPr>
            <w:lastRenderedPageBreak/>
            <w:t xml:space="preserve">En lo relacionado con la disminución de la subcuenta </w:t>
          </w:r>
          <w:r w:rsidRPr="0E4E29E4">
            <w:rPr>
              <w:rFonts w:ascii="Times New Roman" w:eastAsia="Times New Roman" w:hAnsi="Times New Roman"/>
              <w:i/>
              <w:iCs/>
              <w:sz w:val="24"/>
              <w:szCs w:val="24"/>
            </w:rPr>
            <w:t>Pérdida por baja en cuentas de cuentas por cobrar</w:t>
          </w:r>
          <w:r w:rsidRPr="0E4E29E4">
            <w:rPr>
              <w:rFonts w:ascii="Times New Roman" w:eastAsia="Times New Roman" w:hAnsi="Times New Roman"/>
              <w:sz w:val="24"/>
              <w:szCs w:val="24"/>
            </w:rPr>
            <w:t xml:space="preserve"> por valor de $-4.469.870.264, obedece a menores valores registrados para la vigencia 2023 por este concepto.</w:t>
          </w:r>
        </w:p>
        <w:p w14:paraId="4ECD6C08" w14:textId="5AA5405C" w:rsidR="003A4D8E" w:rsidRPr="00931DCE" w:rsidRDefault="64C58135" w:rsidP="0E4E29E4">
          <w:pPr>
            <w:ind w:left="-20" w:right="-20"/>
            <w:jc w:val="both"/>
          </w:pPr>
          <w:r w:rsidRPr="0E4E29E4">
            <w:rPr>
              <w:rFonts w:ascii="Times New Roman" w:eastAsia="Times New Roman" w:hAnsi="Times New Roman"/>
              <w:sz w:val="24"/>
              <w:szCs w:val="24"/>
            </w:rPr>
            <w:t>Ahora bien, en la vigencia 2023 se registró movimiento para la EPS Sanitas SAS, NIT 800.251.440, por valor de $15.449.096, por concepto de incapacidades (Licencia de Maternidad - Enfermedad General de Ana María Parada Fernandez, C.C. 52.696.316), presentada ante el Comité de Sostenibilidad del Sistema Contable con memorando No. 20234030145113 de 27 septiembre 2023 y aprobada mediante Acta No. 2 del 2023, sesionada el día 28 de noviembre de 2023.</w:t>
          </w:r>
        </w:p>
        <w:p w14:paraId="36DA1DC2" w14:textId="647BDC16" w:rsidR="003A4D8E" w:rsidRPr="00931DCE" w:rsidRDefault="64C58135" w:rsidP="0E4E29E4">
          <w:pPr>
            <w:ind w:left="-20" w:right="-20"/>
            <w:jc w:val="both"/>
          </w:pPr>
          <w:r w:rsidRPr="0E4E29E4">
            <w:rPr>
              <w:rFonts w:ascii="Times New Roman" w:eastAsia="Times New Roman" w:hAnsi="Times New Roman"/>
              <w:sz w:val="24"/>
              <w:szCs w:val="24"/>
            </w:rPr>
            <w:t xml:space="preserve">Otra variación significativa en el grupo de </w:t>
          </w:r>
          <w:r w:rsidRPr="0E4E29E4">
            <w:rPr>
              <w:rFonts w:ascii="Times New Roman" w:eastAsia="Times New Roman" w:hAnsi="Times New Roman"/>
              <w:i/>
              <w:iCs/>
              <w:sz w:val="24"/>
              <w:szCs w:val="24"/>
            </w:rPr>
            <w:t>Otros gastos</w:t>
          </w:r>
          <w:r w:rsidRPr="0E4E29E4">
            <w:rPr>
              <w:rFonts w:ascii="Times New Roman" w:eastAsia="Times New Roman" w:hAnsi="Times New Roman"/>
              <w:sz w:val="24"/>
              <w:szCs w:val="24"/>
            </w:rPr>
            <w:t xml:space="preserve"> (3) obedeció a un incremento en la cuenta </w:t>
          </w:r>
          <w:r w:rsidRPr="0E4E29E4">
            <w:rPr>
              <w:rFonts w:ascii="Times New Roman" w:eastAsia="Times New Roman" w:hAnsi="Times New Roman"/>
              <w:i/>
              <w:iCs/>
              <w:sz w:val="24"/>
              <w:szCs w:val="24"/>
            </w:rPr>
            <w:t>Ajuste por diferencia en cambio</w:t>
          </w:r>
          <w:r w:rsidRPr="0E4E29E4">
            <w:rPr>
              <w:rFonts w:ascii="Times New Roman" w:eastAsia="Times New Roman" w:hAnsi="Times New Roman"/>
              <w:sz w:val="24"/>
              <w:szCs w:val="24"/>
            </w:rPr>
            <w:t xml:space="preserve"> por valor de $8.317.301.138, representado por la reexpresión de las sanciones contractuales pactadas en moneda extranjera, de acuerdo con la política contable de la ANI, y realizada mediante el anexo conversión y reexpresión moneda extranjera a moneda funcional.</w:t>
          </w:r>
          <w:r w:rsidR="004A1FBC">
            <w:rPr>
              <w:rFonts w:ascii="Times New Roman" w:eastAsia="Times New Roman" w:hAnsi="Times New Roman"/>
              <w:sz w:val="24"/>
              <w:szCs w:val="24"/>
            </w:rPr>
            <w:t xml:space="preserve"> (</w:t>
          </w:r>
          <w:r w:rsidR="004A1FBC" w:rsidRPr="004A1FBC">
            <w:rPr>
              <w:rFonts w:ascii="Times New Roman" w:eastAsia="Times New Roman" w:hAnsi="Times New Roman"/>
              <w:sz w:val="24"/>
              <w:szCs w:val="24"/>
            </w:rPr>
            <w:t>NOTA 3</w:t>
          </w:r>
          <w:r w:rsidR="004A1FBC">
            <w:rPr>
              <w:rFonts w:ascii="Times New Roman" w:eastAsia="Times New Roman" w:hAnsi="Times New Roman"/>
              <w:sz w:val="24"/>
              <w:szCs w:val="24"/>
            </w:rPr>
            <w:t>4</w:t>
          </w:r>
          <w:r w:rsidR="004A1FBC" w:rsidRPr="004A1FBC">
            <w:rPr>
              <w:rFonts w:ascii="Times New Roman" w:eastAsia="Times New Roman" w:hAnsi="Times New Roman"/>
              <w:sz w:val="24"/>
              <w:szCs w:val="24"/>
            </w:rPr>
            <w:t>)</w:t>
          </w:r>
        </w:p>
        <w:p w14:paraId="0FD2BFBE" w14:textId="5619301A" w:rsidR="003A4D8E" w:rsidRPr="00931DCE" w:rsidRDefault="003A4D8E" w:rsidP="0E4E29E4">
          <w:pPr>
            <w:spacing w:line="254" w:lineRule="auto"/>
            <w:ind w:left="-20" w:right="-20"/>
            <w:jc w:val="both"/>
          </w:pPr>
        </w:p>
        <w:p w14:paraId="135AF8B1" w14:textId="1B1230E4" w:rsidR="003A4D8E" w:rsidRPr="00931DCE" w:rsidRDefault="64C58135" w:rsidP="0E4E29E4">
          <w:pPr>
            <w:spacing w:line="254" w:lineRule="auto"/>
            <w:ind w:left="-20" w:right="-20"/>
            <w:jc w:val="both"/>
          </w:pPr>
          <w:r w:rsidRPr="0E4E29E4">
            <w:rPr>
              <w:rFonts w:ascii="Times New Roman" w:eastAsiaTheme="majorEastAsia" w:hAnsi="Times New Roman" w:cstheme="majorBidi"/>
              <w:b/>
              <w:bCs/>
              <w:color w:val="1F3864" w:themeColor="accent1" w:themeShade="80"/>
              <w:sz w:val="24"/>
              <w:szCs w:val="24"/>
            </w:rPr>
            <w:t xml:space="preserve"> </w:t>
          </w:r>
          <w:r w:rsidR="001F541A" w:rsidRPr="0E4E29E4">
            <w:rPr>
              <w:rFonts w:ascii="Times New Roman" w:eastAsiaTheme="majorEastAsia" w:hAnsi="Times New Roman" w:cstheme="majorBidi"/>
              <w:b/>
              <w:color w:val="1F3864" w:themeColor="accent1" w:themeShade="80"/>
              <w:sz w:val="24"/>
              <w:szCs w:val="24"/>
            </w:rPr>
            <w:t>NOTA 3</w:t>
          </w:r>
          <w:r w:rsidR="00111580" w:rsidRPr="0E4E29E4">
            <w:rPr>
              <w:rFonts w:ascii="Times New Roman" w:eastAsiaTheme="majorEastAsia" w:hAnsi="Times New Roman" w:cstheme="majorBidi"/>
              <w:b/>
              <w:color w:val="1F3864" w:themeColor="accent1" w:themeShade="80"/>
              <w:sz w:val="24"/>
              <w:szCs w:val="24"/>
            </w:rPr>
            <w:t>2</w:t>
          </w:r>
          <w:r w:rsidR="001F541A" w:rsidRPr="0E4E29E4">
            <w:rPr>
              <w:rFonts w:ascii="Times New Roman" w:eastAsiaTheme="majorEastAsia" w:hAnsi="Times New Roman" w:cstheme="majorBidi"/>
              <w:b/>
              <w:color w:val="1F3864" w:themeColor="accent1" w:themeShade="80"/>
              <w:sz w:val="24"/>
              <w:szCs w:val="24"/>
            </w:rPr>
            <w:t>. A</w:t>
          </w:r>
          <w:r w:rsidR="003A4D8E" w:rsidRPr="0E4E29E4">
            <w:rPr>
              <w:rFonts w:ascii="Times New Roman" w:eastAsiaTheme="majorEastAsia" w:hAnsi="Times New Roman" w:cstheme="majorBidi"/>
              <w:b/>
              <w:color w:val="1F3864" w:themeColor="accent1" w:themeShade="80"/>
              <w:sz w:val="24"/>
              <w:szCs w:val="24"/>
            </w:rPr>
            <w:t>CUERDOS DE CONCESIÓN - ENTIDAD CONCEDENTE</w:t>
          </w:r>
        </w:p>
        <w:p w14:paraId="601E7B7A" w14:textId="0F3A556D" w:rsidR="00ED5C3E" w:rsidRPr="00931DCE" w:rsidRDefault="00ED5C3E" w:rsidP="004A000E">
          <w:pPr>
            <w:spacing w:after="0" w:line="240" w:lineRule="auto"/>
            <w:jc w:val="both"/>
            <w:rPr>
              <w:rFonts w:ascii="Times New Roman" w:hAnsi="Times New Roman"/>
              <w:sz w:val="24"/>
              <w:szCs w:val="24"/>
            </w:rPr>
          </w:pPr>
        </w:p>
        <w:p w14:paraId="714675F6" w14:textId="0F3A556D" w:rsidR="00804BAC" w:rsidRPr="00931DCE" w:rsidRDefault="00804BAC" w:rsidP="004A000E">
          <w:pPr>
            <w:pStyle w:val="Ttulo2"/>
            <w:numPr>
              <w:ilvl w:val="0"/>
              <w:numId w:val="0"/>
            </w:numPr>
            <w:rPr>
              <w:rFonts w:cs="Times New Roman"/>
            </w:rPr>
          </w:pPr>
          <w:bookmarkStart w:id="121" w:name="_Toc159952445"/>
          <w:r w:rsidRPr="00931DCE">
            <w:rPr>
              <w:rFonts w:cs="Times New Roman"/>
            </w:rPr>
            <w:t>Composición</w:t>
          </w:r>
          <w:bookmarkEnd w:id="121"/>
        </w:p>
        <w:p w14:paraId="636EAB38" w14:textId="6AB80A81" w:rsidR="003A3E75" w:rsidRPr="00931DCE" w:rsidRDefault="003A3E75" w:rsidP="00F543D8">
          <w:pPr>
            <w:spacing w:after="0" w:line="240" w:lineRule="auto"/>
            <w:rPr>
              <w:rFonts w:ascii="Times New Roman" w:hAnsi="Times New Roman"/>
              <w:sz w:val="14"/>
              <w:szCs w:val="14"/>
            </w:rPr>
          </w:pPr>
        </w:p>
        <w:tbl>
          <w:tblPr>
            <w:tblW w:w="5000" w:type="pct"/>
            <w:tblLayout w:type="fixed"/>
            <w:tblCellMar>
              <w:top w:w="15" w:type="dxa"/>
              <w:left w:w="70" w:type="dxa"/>
              <w:bottom w:w="15" w:type="dxa"/>
              <w:right w:w="70" w:type="dxa"/>
            </w:tblCellMar>
            <w:tblLook w:val="04A0" w:firstRow="1" w:lastRow="0" w:firstColumn="1" w:lastColumn="0" w:noHBand="0" w:noVBand="1"/>
          </w:tblPr>
          <w:tblGrid>
            <w:gridCol w:w="1118"/>
            <w:gridCol w:w="579"/>
            <w:gridCol w:w="2692"/>
            <w:gridCol w:w="1561"/>
            <w:gridCol w:w="1561"/>
            <w:gridCol w:w="1458"/>
          </w:tblGrid>
          <w:tr w:rsidR="00FD21E8" w:rsidRPr="00FB4FAA" w14:paraId="57A22F49" w14:textId="77777777" w:rsidTr="00053D6D">
            <w:trPr>
              <w:trHeight w:val="300"/>
              <w:tblHeader/>
            </w:trPr>
            <w:tc>
              <w:tcPr>
                <w:tcW w:w="2447" w:type="pct"/>
                <w:gridSpan w:val="3"/>
                <w:tcBorders>
                  <w:top w:val="single" w:sz="4" w:space="0" w:color="A6A6A6"/>
                  <w:left w:val="single" w:sz="4" w:space="0" w:color="A6A6A6"/>
                  <w:bottom w:val="single" w:sz="4" w:space="0" w:color="A6A6A6"/>
                  <w:right w:val="nil"/>
                </w:tcBorders>
                <w:vAlign w:val="center"/>
                <w:hideMark/>
              </w:tcPr>
              <w:p w14:paraId="57DE3674" w14:textId="77777777" w:rsidR="00FB4FAA" w:rsidRPr="00FB4FAA" w:rsidRDefault="00FB4FAA" w:rsidP="00FB4FAA">
                <w:pPr>
                  <w:spacing w:after="0" w:line="240" w:lineRule="auto"/>
                  <w:jc w:val="center"/>
                  <w:rPr>
                    <w:rFonts w:ascii="Times New Roman" w:eastAsia="Times New Roman" w:hAnsi="Times New Roman"/>
                    <w:b/>
                    <w:bCs/>
                    <w:sz w:val="16"/>
                    <w:szCs w:val="16"/>
                    <w:lang w:eastAsia="es-CO"/>
                  </w:rPr>
                </w:pPr>
                <w:r w:rsidRPr="00FB4FAA">
                  <w:rPr>
                    <w:rFonts w:ascii="Times New Roman" w:eastAsia="Times New Roman" w:hAnsi="Times New Roman"/>
                    <w:b/>
                    <w:bCs/>
                    <w:sz w:val="16"/>
                    <w:szCs w:val="16"/>
                    <w:lang w:eastAsia="es-CO"/>
                  </w:rPr>
                  <w:t>DESCRIPCIÓN</w:t>
                </w:r>
              </w:p>
            </w:tc>
            <w:tc>
              <w:tcPr>
                <w:tcW w:w="1740" w:type="pct"/>
                <w:gridSpan w:val="2"/>
                <w:tcBorders>
                  <w:top w:val="single" w:sz="4" w:space="0" w:color="A6A6A6"/>
                  <w:left w:val="single" w:sz="4" w:space="0" w:color="A6A6A6"/>
                  <w:bottom w:val="single" w:sz="4" w:space="0" w:color="A6A6A6"/>
                  <w:right w:val="nil"/>
                </w:tcBorders>
                <w:vAlign w:val="center"/>
                <w:hideMark/>
              </w:tcPr>
              <w:p w14:paraId="02DBE825" w14:textId="77777777" w:rsidR="00FB4FAA" w:rsidRPr="00FB4FAA" w:rsidRDefault="00FB4FAA" w:rsidP="00FB4FAA">
                <w:pPr>
                  <w:spacing w:after="0" w:line="240" w:lineRule="auto"/>
                  <w:jc w:val="center"/>
                  <w:rPr>
                    <w:rFonts w:ascii="Times New Roman" w:eastAsia="Times New Roman" w:hAnsi="Times New Roman"/>
                    <w:b/>
                    <w:bCs/>
                    <w:sz w:val="16"/>
                    <w:szCs w:val="16"/>
                    <w:lang w:eastAsia="es-CO"/>
                  </w:rPr>
                </w:pPr>
                <w:r w:rsidRPr="00FB4FAA">
                  <w:rPr>
                    <w:rFonts w:ascii="Times New Roman" w:eastAsia="Times New Roman" w:hAnsi="Times New Roman"/>
                    <w:b/>
                    <w:bCs/>
                    <w:sz w:val="16"/>
                    <w:szCs w:val="16"/>
                    <w:lang w:eastAsia="es-CO"/>
                  </w:rPr>
                  <w:t>SALDOS A CORTES DE VIGENCIA</w:t>
                </w:r>
              </w:p>
            </w:tc>
            <w:tc>
              <w:tcPr>
                <w:tcW w:w="813" w:type="pct"/>
                <w:tcBorders>
                  <w:top w:val="single" w:sz="4" w:space="0" w:color="A6A6A6"/>
                  <w:left w:val="single" w:sz="4" w:space="0" w:color="A6A6A6"/>
                  <w:bottom w:val="single" w:sz="4" w:space="0" w:color="A6A6A6"/>
                  <w:right w:val="single" w:sz="4" w:space="0" w:color="A6A6A6"/>
                </w:tcBorders>
                <w:vAlign w:val="center"/>
                <w:hideMark/>
              </w:tcPr>
              <w:p w14:paraId="49658B6A" w14:textId="77777777" w:rsidR="00FB4FAA" w:rsidRPr="00FB4FAA" w:rsidRDefault="00FB4FAA" w:rsidP="00FB4FAA">
                <w:pPr>
                  <w:spacing w:after="0" w:line="240" w:lineRule="auto"/>
                  <w:jc w:val="center"/>
                  <w:rPr>
                    <w:rFonts w:ascii="Times New Roman" w:eastAsia="Times New Roman" w:hAnsi="Times New Roman"/>
                    <w:b/>
                    <w:bCs/>
                    <w:sz w:val="16"/>
                    <w:szCs w:val="16"/>
                    <w:lang w:eastAsia="es-CO"/>
                  </w:rPr>
                </w:pPr>
                <w:r w:rsidRPr="00FB4FAA">
                  <w:rPr>
                    <w:rFonts w:ascii="Times New Roman" w:eastAsia="Times New Roman" w:hAnsi="Times New Roman"/>
                    <w:b/>
                    <w:bCs/>
                    <w:sz w:val="16"/>
                    <w:szCs w:val="16"/>
                    <w:lang w:eastAsia="es-CO"/>
                  </w:rPr>
                  <w:t>VARIACIÓN</w:t>
                </w:r>
              </w:p>
            </w:tc>
          </w:tr>
          <w:tr w:rsidR="00FD21E8" w:rsidRPr="00FB4FAA" w14:paraId="6D163194" w14:textId="77777777" w:rsidTr="00053D6D">
            <w:trPr>
              <w:trHeight w:val="570"/>
              <w:tblHeader/>
            </w:trPr>
            <w:tc>
              <w:tcPr>
                <w:tcW w:w="623" w:type="pct"/>
                <w:tcBorders>
                  <w:top w:val="single" w:sz="4" w:space="0" w:color="A6A6A6"/>
                  <w:left w:val="single" w:sz="4" w:space="0" w:color="A6A6A6"/>
                  <w:bottom w:val="single" w:sz="4" w:space="0" w:color="A6A6A6"/>
                  <w:right w:val="single" w:sz="4" w:space="0" w:color="A6A6A6"/>
                </w:tcBorders>
                <w:vAlign w:val="center"/>
                <w:hideMark/>
              </w:tcPr>
              <w:p w14:paraId="03FCE2D5" w14:textId="77777777" w:rsidR="00FB4FAA" w:rsidRPr="00FB4FAA" w:rsidRDefault="00FB4FAA" w:rsidP="00FB4FAA">
                <w:pPr>
                  <w:spacing w:after="0" w:line="240" w:lineRule="auto"/>
                  <w:jc w:val="center"/>
                  <w:rPr>
                    <w:rFonts w:ascii="Times New Roman" w:eastAsia="Times New Roman" w:hAnsi="Times New Roman"/>
                    <w:b/>
                    <w:bCs/>
                    <w:sz w:val="16"/>
                    <w:szCs w:val="16"/>
                    <w:lang w:eastAsia="es-CO"/>
                  </w:rPr>
                </w:pPr>
                <w:r w:rsidRPr="00FB4FAA">
                  <w:rPr>
                    <w:rFonts w:ascii="Times New Roman" w:eastAsia="Times New Roman" w:hAnsi="Times New Roman"/>
                    <w:b/>
                    <w:bCs/>
                    <w:sz w:val="16"/>
                    <w:szCs w:val="16"/>
                    <w:lang w:eastAsia="es-CO"/>
                  </w:rPr>
                  <w:t>CÓDIGO CONTABLE</w:t>
                </w:r>
              </w:p>
            </w:tc>
            <w:tc>
              <w:tcPr>
                <w:tcW w:w="323" w:type="pct"/>
                <w:tcBorders>
                  <w:top w:val="single" w:sz="4" w:space="0" w:color="A6A6A6"/>
                  <w:left w:val="single" w:sz="4" w:space="0" w:color="A6A6A6"/>
                  <w:bottom w:val="single" w:sz="4" w:space="0" w:color="A6A6A6"/>
                  <w:right w:val="single" w:sz="4" w:space="0" w:color="A6A6A6"/>
                </w:tcBorders>
                <w:vAlign w:val="center"/>
                <w:hideMark/>
              </w:tcPr>
              <w:p w14:paraId="1796BAA8" w14:textId="77777777" w:rsidR="00FB4FAA" w:rsidRPr="00FB4FAA" w:rsidRDefault="00FB4FAA" w:rsidP="00FB4FAA">
                <w:pPr>
                  <w:spacing w:after="0" w:line="240" w:lineRule="auto"/>
                  <w:jc w:val="center"/>
                  <w:rPr>
                    <w:rFonts w:ascii="Times New Roman" w:eastAsia="Times New Roman" w:hAnsi="Times New Roman"/>
                    <w:b/>
                    <w:bCs/>
                    <w:sz w:val="16"/>
                    <w:szCs w:val="16"/>
                    <w:lang w:eastAsia="es-CO"/>
                  </w:rPr>
                </w:pPr>
                <w:r w:rsidRPr="00FB4FAA">
                  <w:rPr>
                    <w:rFonts w:ascii="Times New Roman" w:eastAsia="Times New Roman" w:hAnsi="Times New Roman"/>
                    <w:b/>
                    <w:bCs/>
                    <w:sz w:val="16"/>
                    <w:szCs w:val="16"/>
                    <w:lang w:eastAsia="es-CO"/>
                  </w:rPr>
                  <w:t>NAT</w:t>
                </w:r>
              </w:p>
            </w:tc>
            <w:tc>
              <w:tcPr>
                <w:tcW w:w="1501" w:type="pct"/>
                <w:tcBorders>
                  <w:top w:val="single" w:sz="4" w:space="0" w:color="A6A6A6"/>
                  <w:left w:val="single" w:sz="4" w:space="0" w:color="A6A6A6"/>
                  <w:bottom w:val="single" w:sz="4" w:space="0" w:color="A6A6A6"/>
                  <w:right w:val="single" w:sz="4" w:space="0" w:color="A6A6A6"/>
                </w:tcBorders>
                <w:vAlign w:val="center"/>
                <w:hideMark/>
              </w:tcPr>
              <w:p w14:paraId="0C837821" w14:textId="77777777" w:rsidR="00FB4FAA" w:rsidRPr="00FB4FAA" w:rsidRDefault="00FB4FAA" w:rsidP="00FB4FAA">
                <w:pPr>
                  <w:spacing w:after="0" w:line="240" w:lineRule="auto"/>
                  <w:jc w:val="center"/>
                  <w:rPr>
                    <w:rFonts w:ascii="Times New Roman" w:eastAsia="Times New Roman" w:hAnsi="Times New Roman"/>
                    <w:b/>
                    <w:bCs/>
                    <w:sz w:val="16"/>
                    <w:szCs w:val="16"/>
                    <w:lang w:eastAsia="es-CO"/>
                  </w:rPr>
                </w:pPr>
                <w:r w:rsidRPr="00FB4FAA">
                  <w:rPr>
                    <w:rFonts w:ascii="Times New Roman" w:eastAsia="Times New Roman" w:hAnsi="Times New Roman"/>
                    <w:b/>
                    <w:bCs/>
                    <w:sz w:val="16"/>
                    <w:szCs w:val="16"/>
                    <w:lang w:eastAsia="es-CO"/>
                  </w:rPr>
                  <w:t>CONCEPTO</w:t>
                </w:r>
              </w:p>
            </w:tc>
            <w:tc>
              <w:tcPr>
                <w:tcW w:w="870" w:type="pct"/>
                <w:tcBorders>
                  <w:top w:val="single" w:sz="4" w:space="0" w:color="A6A6A6"/>
                  <w:left w:val="single" w:sz="4" w:space="0" w:color="A6A6A6"/>
                  <w:bottom w:val="single" w:sz="4" w:space="0" w:color="A6A6A6"/>
                  <w:right w:val="single" w:sz="4" w:space="0" w:color="A6A6A6"/>
                </w:tcBorders>
                <w:vAlign w:val="center"/>
                <w:hideMark/>
              </w:tcPr>
              <w:p w14:paraId="2AA44D33" w14:textId="77777777" w:rsidR="00FB4FAA" w:rsidRPr="00FB4FAA" w:rsidRDefault="00FB4FAA" w:rsidP="00FB4FAA">
                <w:pPr>
                  <w:spacing w:after="0" w:line="240" w:lineRule="auto"/>
                  <w:jc w:val="center"/>
                  <w:rPr>
                    <w:rFonts w:ascii="Times New Roman" w:eastAsia="Times New Roman" w:hAnsi="Times New Roman"/>
                    <w:b/>
                    <w:bCs/>
                    <w:sz w:val="16"/>
                    <w:szCs w:val="16"/>
                    <w:lang w:eastAsia="es-CO"/>
                  </w:rPr>
                </w:pPr>
                <w:r w:rsidRPr="00FB4FAA">
                  <w:rPr>
                    <w:rFonts w:ascii="Times New Roman" w:eastAsia="Times New Roman" w:hAnsi="Times New Roman"/>
                    <w:b/>
                    <w:bCs/>
                    <w:sz w:val="16"/>
                    <w:szCs w:val="16"/>
                    <w:lang w:eastAsia="es-CO"/>
                  </w:rPr>
                  <w:t xml:space="preserve">2023 </w:t>
                </w:r>
              </w:p>
            </w:tc>
            <w:tc>
              <w:tcPr>
                <w:tcW w:w="870" w:type="pct"/>
                <w:tcBorders>
                  <w:top w:val="single" w:sz="4" w:space="0" w:color="A6A6A6"/>
                  <w:left w:val="single" w:sz="4" w:space="0" w:color="A6A6A6"/>
                  <w:bottom w:val="single" w:sz="4" w:space="0" w:color="A6A6A6"/>
                  <w:right w:val="single" w:sz="4" w:space="0" w:color="A6A6A6"/>
                </w:tcBorders>
                <w:vAlign w:val="center"/>
                <w:hideMark/>
              </w:tcPr>
              <w:p w14:paraId="7C3274BE" w14:textId="77777777" w:rsidR="00FB4FAA" w:rsidRPr="00FB4FAA" w:rsidRDefault="00FB4FAA" w:rsidP="00FB4FAA">
                <w:pPr>
                  <w:spacing w:after="0" w:line="240" w:lineRule="auto"/>
                  <w:jc w:val="center"/>
                  <w:rPr>
                    <w:rFonts w:ascii="Times New Roman" w:eastAsia="Times New Roman" w:hAnsi="Times New Roman"/>
                    <w:b/>
                    <w:bCs/>
                    <w:sz w:val="16"/>
                    <w:szCs w:val="16"/>
                    <w:lang w:eastAsia="es-CO"/>
                  </w:rPr>
                </w:pPr>
                <w:r w:rsidRPr="00FB4FAA">
                  <w:rPr>
                    <w:rFonts w:ascii="Times New Roman" w:eastAsia="Times New Roman" w:hAnsi="Times New Roman"/>
                    <w:b/>
                    <w:bCs/>
                    <w:sz w:val="16"/>
                    <w:szCs w:val="16"/>
                    <w:lang w:eastAsia="es-CO"/>
                  </w:rPr>
                  <w:t xml:space="preserve">2022 </w:t>
                </w:r>
              </w:p>
            </w:tc>
            <w:tc>
              <w:tcPr>
                <w:tcW w:w="813" w:type="pct"/>
                <w:tcBorders>
                  <w:top w:val="single" w:sz="4" w:space="0" w:color="A6A6A6"/>
                  <w:left w:val="single" w:sz="4" w:space="0" w:color="A6A6A6"/>
                  <w:bottom w:val="single" w:sz="4" w:space="0" w:color="A6A6A6"/>
                  <w:right w:val="single" w:sz="4" w:space="0" w:color="A6A6A6"/>
                </w:tcBorders>
                <w:vAlign w:val="center"/>
                <w:hideMark/>
              </w:tcPr>
              <w:p w14:paraId="36B58759" w14:textId="77777777" w:rsidR="00FB4FAA" w:rsidRPr="00FB4FAA" w:rsidRDefault="00FB4FAA" w:rsidP="00FB4FAA">
                <w:pPr>
                  <w:spacing w:after="0" w:line="240" w:lineRule="auto"/>
                  <w:jc w:val="center"/>
                  <w:rPr>
                    <w:rFonts w:ascii="Times New Roman" w:eastAsia="Times New Roman" w:hAnsi="Times New Roman"/>
                    <w:b/>
                    <w:bCs/>
                    <w:sz w:val="16"/>
                    <w:szCs w:val="16"/>
                    <w:lang w:eastAsia="es-CO"/>
                  </w:rPr>
                </w:pPr>
                <w:r w:rsidRPr="00FB4FAA">
                  <w:rPr>
                    <w:rFonts w:ascii="Times New Roman" w:eastAsia="Times New Roman" w:hAnsi="Times New Roman"/>
                    <w:b/>
                    <w:bCs/>
                    <w:sz w:val="16"/>
                    <w:szCs w:val="16"/>
                    <w:lang w:eastAsia="es-CO"/>
                  </w:rPr>
                  <w:t>VALOR VARIACIÓN</w:t>
                </w:r>
              </w:p>
            </w:tc>
          </w:tr>
          <w:tr w:rsidR="00FD21E8" w:rsidRPr="00FB4FAA" w14:paraId="53FBABAC" w14:textId="77777777" w:rsidTr="00FD21E8">
            <w:trPr>
              <w:trHeight w:val="300"/>
            </w:trPr>
            <w:tc>
              <w:tcPr>
                <w:tcW w:w="623" w:type="pct"/>
                <w:tcBorders>
                  <w:top w:val="single" w:sz="4" w:space="0" w:color="A6A6A6"/>
                  <w:left w:val="single" w:sz="4" w:space="0" w:color="A6A6A6"/>
                  <w:bottom w:val="single" w:sz="4" w:space="0" w:color="A6A6A6"/>
                  <w:right w:val="single" w:sz="4" w:space="0" w:color="A6A6A6"/>
                </w:tcBorders>
                <w:noWrap/>
                <w:vAlign w:val="center"/>
                <w:hideMark/>
              </w:tcPr>
              <w:p w14:paraId="0778E937" w14:textId="77777777" w:rsidR="00FB4FAA" w:rsidRPr="00FB4FAA" w:rsidRDefault="00FB4FAA" w:rsidP="00FB4FAA">
                <w:pPr>
                  <w:spacing w:after="0" w:line="240" w:lineRule="auto"/>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1.6.83</w:t>
                </w:r>
              </w:p>
            </w:tc>
            <w:tc>
              <w:tcPr>
                <w:tcW w:w="323" w:type="pct"/>
                <w:tcBorders>
                  <w:top w:val="single" w:sz="4" w:space="0" w:color="A6A6A6"/>
                  <w:left w:val="single" w:sz="4" w:space="0" w:color="A6A6A6"/>
                  <w:bottom w:val="single" w:sz="4" w:space="0" w:color="A6A6A6"/>
                  <w:right w:val="nil"/>
                </w:tcBorders>
                <w:noWrap/>
                <w:vAlign w:val="center"/>
                <w:hideMark/>
              </w:tcPr>
              <w:p w14:paraId="44978C91" w14:textId="77777777" w:rsidR="00FB4FAA" w:rsidRPr="00FB4FAA" w:rsidRDefault="00FB4FAA" w:rsidP="00FB4FAA">
                <w:pPr>
                  <w:spacing w:after="0" w:line="240" w:lineRule="auto"/>
                  <w:jc w:val="center"/>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Db</w:t>
                </w:r>
              </w:p>
            </w:tc>
            <w:tc>
              <w:tcPr>
                <w:tcW w:w="1501" w:type="pct"/>
                <w:tcBorders>
                  <w:top w:val="single" w:sz="4" w:space="0" w:color="A6A6A6"/>
                  <w:left w:val="single" w:sz="4" w:space="0" w:color="A6A6A6"/>
                  <w:bottom w:val="single" w:sz="4" w:space="0" w:color="A6A6A6"/>
                  <w:right w:val="nil"/>
                </w:tcBorders>
                <w:vAlign w:val="center"/>
                <w:hideMark/>
              </w:tcPr>
              <w:p w14:paraId="04F86940" w14:textId="77777777" w:rsidR="00FB4FAA" w:rsidRPr="00FB4FAA" w:rsidRDefault="00FB4FAA" w:rsidP="00FB4FAA">
                <w:pPr>
                  <w:spacing w:after="0" w:line="240" w:lineRule="auto"/>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Propiedades, planta y equipo en concesión</w:t>
                </w:r>
              </w:p>
            </w:tc>
            <w:tc>
              <w:tcPr>
                <w:tcW w:w="870" w:type="pct"/>
                <w:tcBorders>
                  <w:top w:val="single" w:sz="4" w:space="0" w:color="A6A6A6"/>
                  <w:left w:val="single" w:sz="4" w:space="0" w:color="A6A6A6"/>
                  <w:bottom w:val="single" w:sz="4" w:space="0" w:color="A6A6A6"/>
                  <w:right w:val="single" w:sz="4" w:space="0" w:color="A6A6A6"/>
                </w:tcBorders>
                <w:noWrap/>
                <w:vAlign w:val="center"/>
                <w:hideMark/>
              </w:tcPr>
              <w:p w14:paraId="48EA762B" w14:textId="77777777" w:rsidR="00FB4FAA" w:rsidRPr="00FB4FAA" w:rsidRDefault="00FB4FAA" w:rsidP="00FB4FAA">
                <w:pPr>
                  <w:spacing w:after="0" w:line="240" w:lineRule="auto"/>
                  <w:jc w:val="right"/>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3.066.866.697.595</w:t>
                </w:r>
              </w:p>
            </w:tc>
            <w:tc>
              <w:tcPr>
                <w:tcW w:w="870" w:type="pct"/>
                <w:tcBorders>
                  <w:top w:val="single" w:sz="4" w:space="0" w:color="A6A6A6"/>
                  <w:left w:val="single" w:sz="4" w:space="0" w:color="A6A6A6"/>
                  <w:bottom w:val="single" w:sz="4" w:space="0" w:color="A6A6A6"/>
                  <w:right w:val="single" w:sz="4" w:space="0" w:color="A6A6A6"/>
                </w:tcBorders>
                <w:noWrap/>
                <w:vAlign w:val="center"/>
                <w:hideMark/>
              </w:tcPr>
              <w:p w14:paraId="65C4391E" w14:textId="77777777" w:rsidR="00FB4FAA" w:rsidRPr="00FB4FAA" w:rsidRDefault="00FB4FAA" w:rsidP="00FB4FAA">
                <w:pPr>
                  <w:spacing w:after="0" w:line="240" w:lineRule="auto"/>
                  <w:jc w:val="right"/>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2.876.190.428.129</w:t>
                </w:r>
              </w:p>
            </w:tc>
            <w:tc>
              <w:tcPr>
                <w:tcW w:w="813" w:type="pct"/>
                <w:tcBorders>
                  <w:top w:val="single" w:sz="4" w:space="0" w:color="A6A6A6"/>
                  <w:left w:val="single" w:sz="4" w:space="0" w:color="A6A6A6"/>
                  <w:bottom w:val="single" w:sz="4" w:space="0" w:color="A6A6A6"/>
                  <w:right w:val="single" w:sz="4" w:space="0" w:color="A6A6A6"/>
                </w:tcBorders>
                <w:noWrap/>
                <w:vAlign w:val="center"/>
                <w:hideMark/>
              </w:tcPr>
              <w:p w14:paraId="33D02A83" w14:textId="77777777" w:rsidR="00FB4FAA" w:rsidRPr="00FB4FAA" w:rsidRDefault="00FB4FAA" w:rsidP="00FB4FAA">
                <w:pPr>
                  <w:spacing w:after="0" w:line="240" w:lineRule="auto"/>
                  <w:jc w:val="right"/>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190.676.269.466</w:t>
                </w:r>
              </w:p>
            </w:tc>
          </w:tr>
          <w:tr w:rsidR="00FD21E8" w:rsidRPr="00FB4FAA" w14:paraId="448892A7" w14:textId="77777777" w:rsidTr="00FD21E8">
            <w:trPr>
              <w:trHeight w:val="600"/>
            </w:trPr>
            <w:tc>
              <w:tcPr>
                <w:tcW w:w="623" w:type="pct"/>
                <w:tcBorders>
                  <w:top w:val="single" w:sz="4" w:space="0" w:color="A6A6A6"/>
                  <w:left w:val="single" w:sz="4" w:space="0" w:color="A6A6A6"/>
                  <w:bottom w:val="single" w:sz="4" w:space="0" w:color="A6A6A6"/>
                  <w:right w:val="single" w:sz="4" w:space="0" w:color="A6A6A6"/>
                </w:tcBorders>
                <w:noWrap/>
                <w:vAlign w:val="center"/>
                <w:hideMark/>
              </w:tcPr>
              <w:p w14:paraId="78F5B548" w14:textId="77777777" w:rsidR="00FB4FAA" w:rsidRPr="00FB4FAA" w:rsidRDefault="00FB4FAA" w:rsidP="00FB4FAA">
                <w:pPr>
                  <w:spacing w:after="0" w:line="240" w:lineRule="auto"/>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1.6.85.16</w:t>
                </w:r>
              </w:p>
            </w:tc>
            <w:tc>
              <w:tcPr>
                <w:tcW w:w="323" w:type="pct"/>
                <w:tcBorders>
                  <w:top w:val="single" w:sz="4" w:space="0" w:color="A6A6A6"/>
                  <w:left w:val="single" w:sz="4" w:space="0" w:color="A6A6A6"/>
                  <w:bottom w:val="single" w:sz="4" w:space="0" w:color="A6A6A6"/>
                  <w:right w:val="nil"/>
                </w:tcBorders>
                <w:noWrap/>
                <w:vAlign w:val="center"/>
                <w:hideMark/>
              </w:tcPr>
              <w:p w14:paraId="05387628" w14:textId="77777777" w:rsidR="00FB4FAA" w:rsidRPr="00FB4FAA" w:rsidRDefault="00FB4FAA" w:rsidP="00FB4FAA">
                <w:pPr>
                  <w:spacing w:after="0" w:line="240" w:lineRule="auto"/>
                  <w:jc w:val="center"/>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Cr</w:t>
                </w:r>
              </w:p>
            </w:tc>
            <w:tc>
              <w:tcPr>
                <w:tcW w:w="1501" w:type="pct"/>
                <w:tcBorders>
                  <w:top w:val="single" w:sz="4" w:space="0" w:color="A6A6A6"/>
                  <w:left w:val="single" w:sz="4" w:space="0" w:color="A6A6A6"/>
                  <w:bottom w:val="single" w:sz="4" w:space="0" w:color="A6A6A6"/>
                  <w:right w:val="nil"/>
                </w:tcBorders>
                <w:vAlign w:val="center"/>
                <w:hideMark/>
              </w:tcPr>
              <w:p w14:paraId="62199EB1" w14:textId="77777777" w:rsidR="00FB4FAA" w:rsidRPr="00FB4FAA" w:rsidRDefault="00FB4FAA" w:rsidP="00FB4FAA">
                <w:pPr>
                  <w:spacing w:after="0" w:line="240" w:lineRule="auto"/>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Depreciación acumulada: Propiedades, planta y equipo en concesión (cr)</w:t>
                </w:r>
              </w:p>
            </w:tc>
            <w:tc>
              <w:tcPr>
                <w:tcW w:w="870" w:type="pct"/>
                <w:tcBorders>
                  <w:top w:val="single" w:sz="4" w:space="0" w:color="A6A6A6"/>
                  <w:left w:val="single" w:sz="4" w:space="0" w:color="A6A6A6"/>
                  <w:bottom w:val="single" w:sz="4" w:space="0" w:color="A6A6A6"/>
                  <w:right w:val="single" w:sz="4" w:space="0" w:color="A6A6A6"/>
                </w:tcBorders>
                <w:noWrap/>
                <w:vAlign w:val="center"/>
                <w:hideMark/>
              </w:tcPr>
              <w:p w14:paraId="0BE9D50E" w14:textId="77777777" w:rsidR="00FB4FAA" w:rsidRPr="00FB4FAA" w:rsidRDefault="00FB4FAA" w:rsidP="00FB4FAA">
                <w:pPr>
                  <w:spacing w:after="0" w:line="240" w:lineRule="auto"/>
                  <w:jc w:val="right"/>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-6.745.500.462</w:t>
                </w:r>
              </w:p>
            </w:tc>
            <w:tc>
              <w:tcPr>
                <w:tcW w:w="870" w:type="pct"/>
                <w:tcBorders>
                  <w:top w:val="single" w:sz="4" w:space="0" w:color="A6A6A6"/>
                  <w:left w:val="single" w:sz="4" w:space="0" w:color="A6A6A6"/>
                  <w:bottom w:val="single" w:sz="4" w:space="0" w:color="A6A6A6"/>
                  <w:right w:val="single" w:sz="4" w:space="0" w:color="A6A6A6"/>
                </w:tcBorders>
                <w:noWrap/>
                <w:vAlign w:val="center"/>
                <w:hideMark/>
              </w:tcPr>
              <w:p w14:paraId="249F2B04" w14:textId="77777777" w:rsidR="00FB4FAA" w:rsidRPr="00FB4FAA" w:rsidRDefault="00FB4FAA" w:rsidP="00FB4FAA">
                <w:pPr>
                  <w:spacing w:after="0" w:line="240" w:lineRule="auto"/>
                  <w:jc w:val="right"/>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-6.383.291.030</w:t>
                </w:r>
              </w:p>
            </w:tc>
            <w:tc>
              <w:tcPr>
                <w:tcW w:w="813" w:type="pct"/>
                <w:tcBorders>
                  <w:top w:val="single" w:sz="4" w:space="0" w:color="A6A6A6"/>
                  <w:left w:val="single" w:sz="4" w:space="0" w:color="A6A6A6"/>
                  <w:bottom w:val="single" w:sz="4" w:space="0" w:color="A6A6A6"/>
                  <w:right w:val="single" w:sz="4" w:space="0" w:color="A6A6A6"/>
                </w:tcBorders>
                <w:noWrap/>
                <w:vAlign w:val="center"/>
                <w:hideMark/>
              </w:tcPr>
              <w:p w14:paraId="09420363" w14:textId="77777777" w:rsidR="00FB4FAA" w:rsidRPr="00FB4FAA" w:rsidRDefault="00FB4FAA" w:rsidP="00FB4FAA">
                <w:pPr>
                  <w:spacing w:after="0" w:line="240" w:lineRule="auto"/>
                  <w:jc w:val="right"/>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-362.209.432</w:t>
                </w:r>
              </w:p>
            </w:tc>
          </w:tr>
          <w:tr w:rsidR="00FD21E8" w:rsidRPr="00FB4FAA" w14:paraId="00E3EBD4" w14:textId="77777777" w:rsidTr="00FD21E8">
            <w:trPr>
              <w:trHeight w:val="525"/>
            </w:trPr>
            <w:tc>
              <w:tcPr>
                <w:tcW w:w="623" w:type="pct"/>
                <w:tcBorders>
                  <w:top w:val="single" w:sz="4" w:space="0" w:color="A6A6A6"/>
                  <w:left w:val="single" w:sz="4" w:space="0" w:color="A6A6A6"/>
                  <w:bottom w:val="single" w:sz="4" w:space="0" w:color="A6A6A6"/>
                  <w:right w:val="single" w:sz="4" w:space="0" w:color="A6A6A6"/>
                </w:tcBorders>
                <w:noWrap/>
                <w:vAlign w:val="center"/>
                <w:hideMark/>
              </w:tcPr>
              <w:p w14:paraId="466EF885" w14:textId="77777777" w:rsidR="00FB4FAA" w:rsidRPr="00FB4FAA" w:rsidRDefault="00FB4FAA" w:rsidP="00FB4FAA">
                <w:pPr>
                  <w:spacing w:after="0" w:line="240" w:lineRule="auto"/>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1.6.95.22</w:t>
                </w:r>
              </w:p>
            </w:tc>
            <w:tc>
              <w:tcPr>
                <w:tcW w:w="323" w:type="pct"/>
                <w:tcBorders>
                  <w:top w:val="single" w:sz="4" w:space="0" w:color="A6A6A6"/>
                  <w:left w:val="single" w:sz="4" w:space="0" w:color="A6A6A6"/>
                  <w:bottom w:val="single" w:sz="4" w:space="0" w:color="A6A6A6"/>
                  <w:right w:val="nil"/>
                </w:tcBorders>
                <w:noWrap/>
                <w:vAlign w:val="center"/>
                <w:hideMark/>
              </w:tcPr>
              <w:p w14:paraId="2A40D6B7" w14:textId="77777777" w:rsidR="00FB4FAA" w:rsidRPr="00FB4FAA" w:rsidRDefault="00FB4FAA" w:rsidP="00FB4FAA">
                <w:pPr>
                  <w:spacing w:after="0" w:line="240" w:lineRule="auto"/>
                  <w:jc w:val="center"/>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Cr</w:t>
                </w:r>
              </w:p>
            </w:tc>
            <w:tc>
              <w:tcPr>
                <w:tcW w:w="1501" w:type="pct"/>
                <w:tcBorders>
                  <w:top w:val="single" w:sz="4" w:space="0" w:color="A6A6A6"/>
                  <w:left w:val="single" w:sz="4" w:space="0" w:color="A6A6A6"/>
                  <w:bottom w:val="single" w:sz="4" w:space="0" w:color="A6A6A6"/>
                  <w:right w:val="nil"/>
                </w:tcBorders>
                <w:vAlign w:val="center"/>
                <w:hideMark/>
              </w:tcPr>
              <w:p w14:paraId="147A0080" w14:textId="77777777" w:rsidR="00FB4FAA" w:rsidRPr="00FB4FAA" w:rsidRDefault="00FB4FAA" w:rsidP="00FB4FAA">
                <w:pPr>
                  <w:spacing w:after="0" w:line="240" w:lineRule="auto"/>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Deterioro acumulado: Propiedades, planta y equipo en concesión (cr)</w:t>
                </w:r>
              </w:p>
            </w:tc>
            <w:tc>
              <w:tcPr>
                <w:tcW w:w="870" w:type="pct"/>
                <w:tcBorders>
                  <w:top w:val="single" w:sz="4" w:space="0" w:color="A6A6A6"/>
                  <w:left w:val="single" w:sz="4" w:space="0" w:color="A6A6A6"/>
                  <w:bottom w:val="single" w:sz="4" w:space="0" w:color="A6A6A6"/>
                  <w:right w:val="single" w:sz="4" w:space="0" w:color="A6A6A6"/>
                </w:tcBorders>
                <w:noWrap/>
                <w:vAlign w:val="center"/>
                <w:hideMark/>
              </w:tcPr>
              <w:p w14:paraId="2771F60F" w14:textId="77777777" w:rsidR="00FB4FAA" w:rsidRPr="00FB4FAA" w:rsidRDefault="00FB4FAA" w:rsidP="00FB4FAA">
                <w:pPr>
                  <w:spacing w:after="0" w:line="240" w:lineRule="auto"/>
                  <w:rPr>
                    <w:rFonts w:ascii="Times New Roman" w:eastAsia="Times New Roman" w:hAnsi="Times New Roman"/>
                    <w:sz w:val="16"/>
                    <w:szCs w:val="16"/>
                    <w:lang w:eastAsia="es-CO"/>
                  </w:rPr>
                </w:pPr>
              </w:p>
            </w:tc>
            <w:tc>
              <w:tcPr>
                <w:tcW w:w="870" w:type="pct"/>
                <w:tcBorders>
                  <w:top w:val="single" w:sz="4" w:space="0" w:color="A6A6A6"/>
                  <w:left w:val="single" w:sz="4" w:space="0" w:color="A6A6A6"/>
                  <w:bottom w:val="single" w:sz="4" w:space="0" w:color="A6A6A6"/>
                  <w:right w:val="single" w:sz="4" w:space="0" w:color="A6A6A6"/>
                </w:tcBorders>
                <w:noWrap/>
                <w:vAlign w:val="center"/>
                <w:hideMark/>
              </w:tcPr>
              <w:p w14:paraId="59F962D5" w14:textId="77777777" w:rsidR="00FB4FAA" w:rsidRPr="00FB4FAA" w:rsidRDefault="00FB4FAA" w:rsidP="00FB4FAA">
                <w:pPr>
                  <w:spacing w:after="0" w:line="240" w:lineRule="auto"/>
                  <w:rPr>
                    <w:rFonts w:ascii="Times New Roman" w:eastAsia="Times New Roman" w:hAnsi="Times New Roman"/>
                    <w:sz w:val="16"/>
                    <w:szCs w:val="16"/>
                    <w:lang w:eastAsia="es-CO"/>
                  </w:rPr>
                </w:pPr>
              </w:p>
            </w:tc>
            <w:tc>
              <w:tcPr>
                <w:tcW w:w="813" w:type="pct"/>
                <w:tcBorders>
                  <w:top w:val="single" w:sz="4" w:space="0" w:color="A6A6A6"/>
                  <w:left w:val="single" w:sz="4" w:space="0" w:color="A6A6A6"/>
                  <w:bottom w:val="single" w:sz="4" w:space="0" w:color="A6A6A6"/>
                  <w:right w:val="single" w:sz="4" w:space="0" w:color="A6A6A6"/>
                </w:tcBorders>
                <w:noWrap/>
                <w:vAlign w:val="center"/>
                <w:hideMark/>
              </w:tcPr>
              <w:p w14:paraId="4F5166DC" w14:textId="77777777" w:rsidR="00FB4FAA" w:rsidRPr="00FB4FAA" w:rsidRDefault="00FB4FAA" w:rsidP="00FB4FAA">
                <w:pPr>
                  <w:spacing w:after="0" w:line="240" w:lineRule="auto"/>
                  <w:jc w:val="right"/>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0</w:t>
                </w:r>
              </w:p>
            </w:tc>
          </w:tr>
          <w:tr w:rsidR="00FD21E8" w:rsidRPr="00FB4FAA" w14:paraId="062B2D7B" w14:textId="77777777" w:rsidTr="00FD21E8">
            <w:trPr>
              <w:trHeight w:val="285"/>
            </w:trPr>
            <w:tc>
              <w:tcPr>
                <w:tcW w:w="623" w:type="pct"/>
                <w:tcBorders>
                  <w:top w:val="single" w:sz="4" w:space="0" w:color="A6A6A6"/>
                  <w:left w:val="single" w:sz="4" w:space="0" w:color="A6A6A6"/>
                  <w:bottom w:val="single" w:sz="4" w:space="0" w:color="A6A6A6"/>
                  <w:right w:val="single" w:sz="4" w:space="0" w:color="A6A6A6"/>
                </w:tcBorders>
                <w:noWrap/>
                <w:vAlign w:val="center"/>
                <w:hideMark/>
              </w:tcPr>
              <w:p w14:paraId="42DAD8B1" w14:textId="77777777" w:rsidR="00FB4FAA" w:rsidRPr="00FB4FAA" w:rsidRDefault="00FB4FAA" w:rsidP="00FB4FAA">
                <w:pPr>
                  <w:spacing w:after="0" w:line="240" w:lineRule="auto"/>
                  <w:jc w:val="right"/>
                  <w:rPr>
                    <w:rFonts w:ascii="Times New Roman" w:eastAsia="Times New Roman" w:hAnsi="Times New Roman"/>
                    <w:sz w:val="16"/>
                    <w:szCs w:val="16"/>
                    <w:lang w:eastAsia="es-CO"/>
                  </w:rPr>
                </w:pPr>
              </w:p>
            </w:tc>
            <w:tc>
              <w:tcPr>
                <w:tcW w:w="323" w:type="pct"/>
                <w:tcBorders>
                  <w:top w:val="single" w:sz="4" w:space="0" w:color="A6A6A6"/>
                  <w:left w:val="single" w:sz="4" w:space="0" w:color="A6A6A6"/>
                  <w:bottom w:val="single" w:sz="4" w:space="0" w:color="A6A6A6"/>
                  <w:right w:val="nil"/>
                </w:tcBorders>
                <w:noWrap/>
                <w:vAlign w:val="center"/>
                <w:hideMark/>
              </w:tcPr>
              <w:p w14:paraId="60B7CC60" w14:textId="77777777" w:rsidR="00FB4FAA" w:rsidRPr="00FB4FAA" w:rsidRDefault="00FB4FAA" w:rsidP="00FB4FAA">
                <w:pPr>
                  <w:spacing w:after="0" w:line="240" w:lineRule="auto"/>
                  <w:rPr>
                    <w:rFonts w:ascii="Times New Roman" w:eastAsia="Times New Roman" w:hAnsi="Times New Roman"/>
                    <w:sz w:val="16"/>
                    <w:szCs w:val="16"/>
                    <w:lang w:eastAsia="es-CO"/>
                  </w:rPr>
                </w:pPr>
              </w:p>
            </w:tc>
            <w:tc>
              <w:tcPr>
                <w:tcW w:w="1501" w:type="pct"/>
                <w:tcBorders>
                  <w:top w:val="single" w:sz="4" w:space="0" w:color="A6A6A6"/>
                  <w:left w:val="single" w:sz="4" w:space="0" w:color="A6A6A6"/>
                  <w:bottom w:val="single" w:sz="4" w:space="0" w:color="A6A6A6"/>
                  <w:right w:val="nil"/>
                </w:tcBorders>
                <w:vAlign w:val="center"/>
                <w:hideMark/>
              </w:tcPr>
              <w:p w14:paraId="06286E86" w14:textId="77777777" w:rsidR="00FB4FAA" w:rsidRPr="00FB4FAA" w:rsidRDefault="00FB4FAA" w:rsidP="00FB4FAA">
                <w:pPr>
                  <w:spacing w:after="0" w:line="240" w:lineRule="auto"/>
                  <w:rPr>
                    <w:rFonts w:ascii="Times New Roman" w:eastAsia="Times New Roman" w:hAnsi="Times New Roman"/>
                    <w:b/>
                    <w:bCs/>
                    <w:sz w:val="16"/>
                    <w:szCs w:val="16"/>
                    <w:lang w:eastAsia="es-CO"/>
                  </w:rPr>
                </w:pPr>
                <w:r w:rsidRPr="00FB4FAA">
                  <w:rPr>
                    <w:rFonts w:ascii="Times New Roman" w:eastAsia="Times New Roman" w:hAnsi="Times New Roman"/>
                    <w:b/>
                    <w:bCs/>
                    <w:sz w:val="16"/>
                    <w:szCs w:val="16"/>
                    <w:lang w:eastAsia="es-CO"/>
                  </w:rPr>
                  <w:t>Valor en libros PPE en Concesión</w:t>
                </w:r>
              </w:p>
            </w:tc>
            <w:tc>
              <w:tcPr>
                <w:tcW w:w="870" w:type="pct"/>
                <w:tcBorders>
                  <w:top w:val="single" w:sz="4" w:space="0" w:color="A6A6A6"/>
                  <w:left w:val="single" w:sz="4" w:space="0" w:color="A6A6A6"/>
                  <w:bottom w:val="single" w:sz="4" w:space="0" w:color="A6A6A6"/>
                  <w:right w:val="single" w:sz="4" w:space="0" w:color="A6A6A6"/>
                </w:tcBorders>
                <w:noWrap/>
                <w:vAlign w:val="center"/>
                <w:hideMark/>
              </w:tcPr>
              <w:p w14:paraId="5824B084" w14:textId="77777777" w:rsidR="00FB4FAA" w:rsidRPr="00FB4FAA" w:rsidRDefault="00FB4FAA" w:rsidP="00FB4FAA">
                <w:pPr>
                  <w:spacing w:after="0" w:line="240" w:lineRule="auto"/>
                  <w:jc w:val="right"/>
                  <w:rPr>
                    <w:rFonts w:ascii="Times New Roman" w:eastAsia="Times New Roman" w:hAnsi="Times New Roman"/>
                    <w:b/>
                    <w:bCs/>
                    <w:sz w:val="16"/>
                    <w:szCs w:val="16"/>
                    <w:lang w:eastAsia="es-CO"/>
                  </w:rPr>
                </w:pPr>
                <w:r w:rsidRPr="00FB4FAA">
                  <w:rPr>
                    <w:rFonts w:ascii="Times New Roman" w:eastAsia="Times New Roman" w:hAnsi="Times New Roman"/>
                    <w:b/>
                    <w:bCs/>
                    <w:sz w:val="16"/>
                    <w:szCs w:val="16"/>
                    <w:lang w:eastAsia="es-CO"/>
                  </w:rPr>
                  <w:t>3.060.121.197.133</w:t>
                </w:r>
              </w:p>
            </w:tc>
            <w:tc>
              <w:tcPr>
                <w:tcW w:w="870" w:type="pct"/>
                <w:tcBorders>
                  <w:top w:val="single" w:sz="4" w:space="0" w:color="A6A6A6"/>
                  <w:left w:val="single" w:sz="4" w:space="0" w:color="A6A6A6"/>
                  <w:bottom w:val="single" w:sz="4" w:space="0" w:color="A6A6A6"/>
                  <w:right w:val="single" w:sz="4" w:space="0" w:color="A6A6A6"/>
                </w:tcBorders>
                <w:noWrap/>
                <w:vAlign w:val="center"/>
                <w:hideMark/>
              </w:tcPr>
              <w:p w14:paraId="1294ADBE" w14:textId="77777777" w:rsidR="00FB4FAA" w:rsidRPr="00FB4FAA" w:rsidRDefault="00FB4FAA" w:rsidP="00FB4FAA">
                <w:pPr>
                  <w:spacing w:after="0" w:line="240" w:lineRule="auto"/>
                  <w:jc w:val="right"/>
                  <w:rPr>
                    <w:rFonts w:ascii="Times New Roman" w:eastAsia="Times New Roman" w:hAnsi="Times New Roman"/>
                    <w:b/>
                    <w:bCs/>
                    <w:sz w:val="16"/>
                    <w:szCs w:val="16"/>
                    <w:lang w:eastAsia="es-CO"/>
                  </w:rPr>
                </w:pPr>
                <w:r w:rsidRPr="00FB4FAA">
                  <w:rPr>
                    <w:rFonts w:ascii="Times New Roman" w:eastAsia="Times New Roman" w:hAnsi="Times New Roman"/>
                    <w:b/>
                    <w:bCs/>
                    <w:sz w:val="16"/>
                    <w:szCs w:val="16"/>
                    <w:lang w:eastAsia="es-CO"/>
                  </w:rPr>
                  <w:t>2.869.807.137.099</w:t>
                </w:r>
              </w:p>
            </w:tc>
            <w:tc>
              <w:tcPr>
                <w:tcW w:w="813" w:type="pct"/>
                <w:tcBorders>
                  <w:top w:val="single" w:sz="4" w:space="0" w:color="A6A6A6"/>
                  <w:left w:val="single" w:sz="4" w:space="0" w:color="A6A6A6"/>
                  <w:bottom w:val="single" w:sz="4" w:space="0" w:color="A6A6A6"/>
                  <w:right w:val="single" w:sz="4" w:space="0" w:color="A6A6A6"/>
                </w:tcBorders>
                <w:noWrap/>
                <w:vAlign w:val="center"/>
                <w:hideMark/>
              </w:tcPr>
              <w:p w14:paraId="6CDA1A2D" w14:textId="77777777" w:rsidR="00FB4FAA" w:rsidRPr="00FB4FAA" w:rsidRDefault="00FB4FAA" w:rsidP="00FB4FAA">
                <w:pPr>
                  <w:spacing w:after="0" w:line="240" w:lineRule="auto"/>
                  <w:jc w:val="right"/>
                  <w:rPr>
                    <w:rFonts w:ascii="Times New Roman" w:eastAsia="Times New Roman" w:hAnsi="Times New Roman"/>
                    <w:b/>
                    <w:bCs/>
                    <w:sz w:val="16"/>
                    <w:szCs w:val="16"/>
                    <w:lang w:eastAsia="es-CO"/>
                  </w:rPr>
                </w:pPr>
                <w:r w:rsidRPr="00FB4FAA">
                  <w:rPr>
                    <w:rFonts w:ascii="Times New Roman" w:eastAsia="Times New Roman" w:hAnsi="Times New Roman"/>
                    <w:b/>
                    <w:bCs/>
                    <w:sz w:val="16"/>
                    <w:szCs w:val="16"/>
                    <w:lang w:eastAsia="es-CO"/>
                  </w:rPr>
                  <w:t>190.314.060.034</w:t>
                </w:r>
              </w:p>
            </w:tc>
          </w:tr>
          <w:tr w:rsidR="00FD21E8" w:rsidRPr="00FB4FAA" w14:paraId="7B9D7A6E" w14:textId="77777777" w:rsidTr="00FD21E8">
            <w:trPr>
              <w:trHeight w:val="300"/>
            </w:trPr>
            <w:tc>
              <w:tcPr>
                <w:tcW w:w="623" w:type="pct"/>
                <w:tcBorders>
                  <w:top w:val="single" w:sz="4" w:space="0" w:color="A6A6A6"/>
                  <w:left w:val="single" w:sz="4" w:space="0" w:color="A6A6A6"/>
                  <w:bottom w:val="single" w:sz="4" w:space="0" w:color="A6A6A6"/>
                  <w:right w:val="single" w:sz="4" w:space="0" w:color="A6A6A6"/>
                </w:tcBorders>
                <w:noWrap/>
                <w:vAlign w:val="center"/>
                <w:hideMark/>
              </w:tcPr>
              <w:p w14:paraId="417C8859" w14:textId="77777777" w:rsidR="00FB4FAA" w:rsidRPr="00FB4FAA" w:rsidRDefault="00FB4FAA" w:rsidP="00FB4FAA">
                <w:pPr>
                  <w:spacing w:after="0" w:line="240" w:lineRule="auto"/>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1.7.06</w:t>
                </w:r>
              </w:p>
            </w:tc>
            <w:tc>
              <w:tcPr>
                <w:tcW w:w="323" w:type="pct"/>
                <w:tcBorders>
                  <w:top w:val="single" w:sz="4" w:space="0" w:color="A6A6A6"/>
                  <w:left w:val="single" w:sz="4" w:space="0" w:color="A6A6A6"/>
                  <w:bottom w:val="single" w:sz="4" w:space="0" w:color="A6A6A6"/>
                  <w:right w:val="nil"/>
                </w:tcBorders>
                <w:noWrap/>
                <w:vAlign w:val="center"/>
                <w:hideMark/>
              </w:tcPr>
              <w:p w14:paraId="61878ECE" w14:textId="77777777" w:rsidR="00FB4FAA" w:rsidRPr="00FB4FAA" w:rsidRDefault="00FB4FAA" w:rsidP="00FB4FAA">
                <w:pPr>
                  <w:spacing w:after="0" w:line="240" w:lineRule="auto"/>
                  <w:jc w:val="center"/>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Db</w:t>
                </w:r>
              </w:p>
            </w:tc>
            <w:tc>
              <w:tcPr>
                <w:tcW w:w="1501" w:type="pct"/>
                <w:tcBorders>
                  <w:top w:val="single" w:sz="4" w:space="0" w:color="A6A6A6"/>
                  <w:left w:val="single" w:sz="4" w:space="0" w:color="A6A6A6"/>
                  <w:bottom w:val="single" w:sz="4" w:space="0" w:color="A6A6A6"/>
                  <w:right w:val="nil"/>
                </w:tcBorders>
                <w:vAlign w:val="center"/>
                <w:hideMark/>
              </w:tcPr>
              <w:p w14:paraId="287E51D3" w14:textId="77777777" w:rsidR="00FB4FAA" w:rsidRPr="00FB4FAA" w:rsidRDefault="00FB4FAA" w:rsidP="00FB4FAA">
                <w:pPr>
                  <w:spacing w:after="0" w:line="240" w:lineRule="auto"/>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Bienes de uso público en construcción - concesiones</w:t>
                </w:r>
              </w:p>
            </w:tc>
            <w:tc>
              <w:tcPr>
                <w:tcW w:w="870" w:type="pct"/>
                <w:tcBorders>
                  <w:top w:val="single" w:sz="4" w:space="0" w:color="A6A6A6"/>
                  <w:left w:val="single" w:sz="4" w:space="0" w:color="A6A6A6"/>
                  <w:bottom w:val="single" w:sz="4" w:space="0" w:color="A6A6A6"/>
                  <w:right w:val="single" w:sz="4" w:space="0" w:color="A6A6A6"/>
                </w:tcBorders>
                <w:noWrap/>
                <w:vAlign w:val="center"/>
                <w:hideMark/>
              </w:tcPr>
              <w:p w14:paraId="1115CF17" w14:textId="77777777" w:rsidR="00FB4FAA" w:rsidRPr="00FB4FAA" w:rsidRDefault="00FB4FAA" w:rsidP="00FB4FAA">
                <w:pPr>
                  <w:spacing w:after="0" w:line="240" w:lineRule="auto"/>
                  <w:jc w:val="right"/>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37.241.865.596.561</w:t>
                </w:r>
              </w:p>
            </w:tc>
            <w:tc>
              <w:tcPr>
                <w:tcW w:w="870" w:type="pct"/>
                <w:tcBorders>
                  <w:top w:val="single" w:sz="4" w:space="0" w:color="A6A6A6"/>
                  <w:left w:val="single" w:sz="4" w:space="0" w:color="A6A6A6"/>
                  <w:bottom w:val="single" w:sz="4" w:space="0" w:color="A6A6A6"/>
                  <w:right w:val="single" w:sz="4" w:space="0" w:color="A6A6A6"/>
                </w:tcBorders>
                <w:noWrap/>
                <w:vAlign w:val="center"/>
                <w:hideMark/>
              </w:tcPr>
              <w:p w14:paraId="0CB66B1E" w14:textId="77777777" w:rsidR="00FB4FAA" w:rsidRPr="00FB4FAA" w:rsidRDefault="00FB4FAA" w:rsidP="00FB4FAA">
                <w:pPr>
                  <w:spacing w:after="0" w:line="240" w:lineRule="auto"/>
                  <w:jc w:val="right"/>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28.530.630.678.020</w:t>
                </w:r>
              </w:p>
            </w:tc>
            <w:tc>
              <w:tcPr>
                <w:tcW w:w="813" w:type="pct"/>
                <w:tcBorders>
                  <w:top w:val="single" w:sz="4" w:space="0" w:color="A6A6A6"/>
                  <w:left w:val="single" w:sz="4" w:space="0" w:color="A6A6A6"/>
                  <w:bottom w:val="single" w:sz="4" w:space="0" w:color="A6A6A6"/>
                  <w:right w:val="single" w:sz="4" w:space="0" w:color="A6A6A6"/>
                </w:tcBorders>
                <w:noWrap/>
                <w:vAlign w:val="center"/>
                <w:hideMark/>
              </w:tcPr>
              <w:p w14:paraId="4D38157F" w14:textId="77777777" w:rsidR="00FB4FAA" w:rsidRPr="00FB4FAA" w:rsidRDefault="00FB4FAA" w:rsidP="00FB4FAA">
                <w:pPr>
                  <w:spacing w:after="0" w:line="240" w:lineRule="auto"/>
                  <w:jc w:val="right"/>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8.711.234.918.541</w:t>
                </w:r>
              </w:p>
            </w:tc>
          </w:tr>
          <w:tr w:rsidR="00FD21E8" w:rsidRPr="00FB4FAA" w14:paraId="36BE88FA" w14:textId="77777777" w:rsidTr="00FD21E8">
            <w:trPr>
              <w:trHeight w:val="300"/>
            </w:trPr>
            <w:tc>
              <w:tcPr>
                <w:tcW w:w="623" w:type="pct"/>
                <w:tcBorders>
                  <w:top w:val="single" w:sz="4" w:space="0" w:color="A6A6A6"/>
                  <w:left w:val="single" w:sz="4" w:space="0" w:color="A6A6A6"/>
                  <w:bottom w:val="single" w:sz="4" w:space="0" w:color="A6A6A6"/>
                  <w:right w:val="single" w:sz="4" w:space="0" w:color="A6A6A6"/>
                </w:tcBorders>
                <w:noWrap/>
                <w:vAlign w:val="center"/>
                <w:hideMark/>
              </w:tcPr>
              <w:p w14:paraId="636ED13C" w14:textId="77777777" w:rsidR="00FB4FAA" w:rsidRPr="00FB4FAA" w:rsidRDefault="00FB4FAA" w:rsidP="00FB4FAA">
                <w:pPr>
                  <w:spacing w:after="0" w:line="240" w:lineRule="auto"/>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1.7.11</w:t>
                </w:r>
              </w:p>
            </w:tc>
            <w:tc>
              <w:tcPr>
                <w:tcW w:w="323" w:type="pct"/>
                <w:tcBorders>
                  <w:top w:val="single" w:sz="4" w:space="0" w:color="A6A6A6"/>
                  <w:left w:val="single" w:sz="4" w:space="0" w:color="A6A6A6"/>
                  <w:bottom w:val="single" w:sz="4" w:space="0" w:color="A6A6A6"/>
                  <w:right w:val="nil"/>
                </w:tcBorders>
                <w:noWrap/>
                <w:vAlign w:val="center"/>
                <w:hideMark/>
              </w:tcPr>
              <w:p w14:paraId="2D5DCDA1" w14:textId="77777777" w:rsidR="00FB4FAA" w:rsidRPr="00FB4FAA" w:rsidRDefault="00FB4FAA" w:rsidP="00FB4FAA">
                <w:pPr>
                  <w:spacing w:after="0" w:line="240" w:lineRule="auto"/>
                  <w:jc w:val="center"/>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Db</w:t>
                </w:r>
              </w:p>
            </w:tc>
            <w:tc>
              <w:tcPr>
                <w:tcW w:w="1501" w:type="pct"/>
                <w:tcBorders>
                  <w:top w:val="single" w:sz="4" w:space="0" w:color="A6A6A6"/>
                  <w:left w:val="single" w:sz="4" w:space="0" w:color="A6A6A6"/>
                  <w:bottom w:val="single" w:sz="4" w:space="0" w:color="A6A6A6"/>
                  <w:right w:val="nil"/>
                </w:tcBorders>
                <w:vAlign w:val="center"/>
                <w:hideMark/>
              </w:tcPr>
              <w:p w14:paraId="02A6635F" w14:textId="77777777" w:rsidR="00FB4FAA" w:rsidRPr="00FB4FAA" w:rsidRDefault="00FB4FAA" w:rsidP="00FB4FAA">
                <w:pPr>
                  <w:spacing w:after="0" w:line="240" w:lineRule="auto"/>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Bienes de uso público en servicio - concesiones</w:t>
                </w:r>
              </w:p>
            </w:tc>
            <w:tc>
              <w:tcPr>
                <w:tcW w:w="870" w:type="pct"/>
                <w:tcBorders>
                  <w:top w:val="single" w:sz="4" w:space="0" w:color="A6A6A6"/>
                  <w:left w:val="single" w:sz="4" w:space="0" w:color="A6A6A6"/>
                  <w:bottom w:val="single" w:sz="4" w:space="0" w:color="A6A6A6"/>
                  <w:right w:val="single" w:sz="4" w:space="0" w:color="A6A6A6"/>
                </w:tcBorders>
                <w:noWrap/>
                <w:vAlign w:val="center"/>
                <w:hideMark/>
              </w:tcPr>
              <w:p w14:paraId="443EEABC" w14:textId="77777777" w:rsidR="00FB4FAA" w:rsidRPr="00FB4FAA" w:rsidRDefault="00FB4FAA" w:rsidP="00FB4FAA">
                <w:pPr>
                  <w:spacing w:after="0" w:line="240" w:lineRule="auto"/>
                  <w:jc w:val="right"/>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25.872.283.997.200</w:t>
                </w:r>
              </w:p>
            </w:tc>
            <w:tc>
              <w:tcPr>
                <w:tcW w:w="870" w:type="pct"/>
                <w:tcBorders>
                  <w:top w:val="single" w:sz="4" w:space="0" w:color="A6A6A6"/>
                  <w:left w:val="single" w:sz="4" w:space="0" w:color="A6A6A6"/>
                  <w:bottom w:val="single" w:sz="4" w:space="0" w:color="A6A6A6"/>
                  <w:right w:val="single" w:sz="4" w:space="0" w:color="A6A6A6"/>
                </w:tcBorders>
                <w:noWrap/>
                <w:vAlign w:val="center"/>
                <w:hideMark/>
              </w:tcPr>
              <w:p w14:paraId="3CC0031E" w14:textId="77777777" w:rsidR="00FB4FAA" w:rsidRPr="00FB4FAA" w:rsidRDefault="00FB4FAA" w:rsidP="00FB4FAA">
                <w:pPr>
                  <w:spacing w:after="0" w:line="240" w:lineRule="auto"/>
                  <w:jc w:val="right"/>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28.643.979.132.711</w:t>
                </w:r>
              </w:p>
            </w:tc>
            <w:tc>
              <w:tcPr>
                <w:tcW w:w="813" w:type="pct"/>
                <w:tcBorders>
                  <w:top w:val="single" w:sz="4" w:space="0" w:color="A6A6A6"/>
                  <w:left w:val="single" w:sz="4" w:space="0" w:color="A6A6A6"/>
                  <w:bottom w:val="single" w:sz="4" w:space="0" w:color="A6A6A6"/>
                  <w:right w:val="single" w:sz="4" w:space="0" w:color="A6A6A6"/>
                </w:tcBorders>
                <w:noWrap/>
                <w:vAlign w:val="center"/>
                <w:hideMark/>
              </w:tcPr>
              <w:p w14:paraId="2D44780E" w14:textId="77777777" w:rsidR="00FB4FAA" w:rsidRPr="00FB4FAA" w:rsidRDefault="00FB4FAA" w:rsidP="00FB4FAA">
                <w:pPr>
                  <w:spacing w:after="0" w:line="240" w:lineRule="auto"/>
                  <w:jc w:val="right"/>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-2.771.695.135.511</w:t>
                </w:r>
              </w:p>
            </w:tc>
          </w:tr>
          <w:tr w:rsidR="00FD21E8" w:rsidRPr="00FB4FAA" w14:paraId="705925D8" w14:textId="77777777" w:rsidTr="00FD21E8">
            <w:trPr>
              <w:trHeight w:val="600"/>
            </w:trPr>
            <w:tc>
              <w:tcPr>
                <w:tcW w:w="623" w:type="pct"/>
                <w:tcBorders>
                  <w:top w:val="single" w:sz="4" w:space="0" w:color="A6A6A6"/>
                  <w:left w:val="single" w:sz="4" w:space="0" w:color="A6A6A6"/>
                  <w:bottom w:val="single" w:sz="4" w:space="0" w:color="A6A6A6"/>
                  <w:right w:val="single" w:sz="4" w:space="0" w:color="A6A6A6"/>
                </w:tcBorders>
                <w:noWrap/>
                <w:vAlign w:val="center"/>
                <w:hideMark/>
              </w:tcPr>
              <w:p w14:paraId="4699BB22" w14:textId="77777777" w:rsidR="00FB4FAA" w:rsidRPr="00FB4FAA" w:rsidRDefault="00FB4FAA" w:rsidP="00FB4FAA">
                <w:pPr>
                  <w:spacing w:after="0" w:line="240" w:lineRule="auto"/>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1.7.87</w:t>
                </w:r>
              </w:p>
            </w:tc>
            <w:tc>
              <w:tcPr>
                <w:tcW w:w="323" w:type="pct"/>
                <w:tcBorders>
                  <w:top w:val="single" w:sz="4" w:space="0" w:color="A6A6A6"/>
                  <w:left w:val="single" w:sz="4" w:space="0" w:color="A6A6A6"/>
                  <w:bottom w:val="single" w:sz="4" w:space="0" w:color="A6A6A6"/>
                  <w:right w:val="nil"/>
                </w:tcBorders>
                <w:noWrap/>
                <w:vAlign w:val="center"/>
                <w:hideMark/>
              </w:tcPr>
              <w:p w14:paraId="12ACD8CD" w14:textId="77777777" w:rsidR="00FB4FAA" w:rsidRPr="00FB4FAA" w:rsidRDefault="00FB4FAA" w:rsidP="00FB4FAA">
                <w:pPr>
                  <w:spacing w:after="0" w:line="240" w:lineRule="auto"/>
                  <w:jc w:val="center"/>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Cr</w:t>
                </w:r>
              </w:p>
            </w:tc>
            <w:tc>
              <w:tcPr>
                <w:tcW w:w="1501" w:type="pct"/>
                <w:tcBorders>
                  <w:top w:val="single" w:sz="4" w:space="0" w:color="A6A6A6"/>
                  <w:left w:val="single" w:sz="4" w:space="0" w:color="A6A6A6"/>
                  <w:bottom w:val="single" w:sz="4" w:space="0" w:color="A6A6A6"/>
                  <w:right w:val="nil"/>
                </w:tcBorders>
                <w:vAlign w:val="center"/>
                <w:hideMark/>
              </w:tcPr>
              <w:p w14:paraId="0C05F4F6" w14:textId="77777777" w:rsidR="00FB4FAA" w:rsidRPr="00FB4FAA" w:rsidRDefault="00FB4FAA" w:rsidP="00FB4FAA">
                <w:pPr>
                  <w:spacing w:after="0" w:line="240" w:lineRule="auto"/>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Depreciación acumulada de bienes de uso público en servicio - concesiones (cr)</w:t>
                </w:r>
              </w:p>
            </w:tc>
            <w:tc>
              <w:tcPr>
                <w:tcW w:w="870" w:type="pct"/>
                <w:tcBorders>
                  <w:top w:val="single" w:sz="4" w:space="0" w:color="A6A6A6"/>
                  <w:left w:val="single" w:sz="4" w:space="0" w:color="A6A6A6"/>
                  <w:bottom w:val="single" w:sz="4" w:space="0" w:color="A6A6A6"/>
                  <w:right w:val="single" w:sz="4" w:space="0" w:color="A6A6A6"/>
                </w:tcBorders>
                <w:noWrap/>
                <w:vAlign w:val="center"/>
                <w:hideMark/>
              </w:tcPr>
              <w:p w14:paraId="5B933597" w14:textId="77777777" w:rsidR="00FB4FAA" w:rsidRPr="00FB4FAA" w:rsidRDefault="00FB4FAA" w:rsidP="00FB4FAA">
                <w:pPr>
                  <w:spacing w:after="0" w:line="240" w:lineRule="auto"/>
                  <w:jc w:val="right"/>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-202.944.843.156</w:t>
                </w:r>
              </w:p>
            </w:tc>
            <w:tc>
              <w:tcPr>
                <w:tcW w:w="870" w:type="pct"/>
                <w:tcBorders>
                  <w:top w:val="single" w:sz="4" w:space="0" w:color="A6A6A6"/>
                  <w:left w:val="single" w:sz="4" w:space="0" w:color="A6A6A6"/>
                  <w:bottom w:val="single" w:sz="4" w:space="0" w:color="A6A6A6"/>
                  <w:right w:val="single" w:sz="4" w:space="0" w:color="A6A6A6"/>
                </w:tcBorders>
                <w:noWrap/>
                <w:vAlign w:val="center"/>
                <w:hideMark/>
              </w:tcPr>
              <w:p w14:paraId="397BD2D9" w14:textId="77777777" w:rsidR="00FB4FAA" w:rsidRPr="00FB4FAA" w:rsidRDefault="00FB4FAA" w:rsidP="00FB4FAA">
                <w:pPr>
                  <w:spacing w:after="0" w:line="240" w:lineRule="auto"/>
                  <w:jc w:val="right"/>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-198.736.527.474</w:t>
                </w:r>
              </w:p>
            </w:tc>
            <w:tc>
              <w:tcPr>
                <w:tcW w:w="813" w:type="pct"/>
                <w:tcBorders>
                  <w:top w:val="single" w:sz="4" w:space="0" w:color="A6A6A6"/>
                  <w:left w:val="single" w:sz="4" w:space="0" w:color="A6A6A6"/>
                  <w:bottom w:val="single" w:sz="4" w:space="0" w:color="A6A6A6"/>
                  <w:right w:val="single" w:sz="4" w:space="0" w:color="A6A6A6"/>
                </w:tcBorders>
                <w:noWrap/>
                <w:vAlign w:val="center"/>
                <w:hideMark/>
              </w:tcPr>
              <w:p w14:paraId="5E54A55F" w14:textId="77777777" w:rsidR="00FB4FAA" w:rsidRPr="00FB4FAA" w:rsidRDefault="00FB4FAA" w:rsidP="00FB4FAA">
                <w:pPr>
                  <w:spacing w:after="0" w:line="240" w:lineRule="auto"/>
                  <w:jc w:val="right"/>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-4.208.315.682</w:t>
                </w:r>
              </w:p>
            </w:tc>
          </w:tr>
          <w:tr w:rsidR="00FD21E8" w:rsidRPr="00FB4FAA" w14:paraId="3FD4BC66" w14:textId="77777777" w:rsidTr="00FD21E8">
            <w:trPr>
              <w:trHeight w:val="459"/>
            </w:trPr>
            <w:tc>
              <w:tcPr>
                <w:tcW w:w="623" w:type="pct"/>
                <w:tcBorders>
                  <w:top w:val="single" w:sz="4" w:space="0" w:color="A6A6A6"/>
                  <w:left w:val="single" w:sz="4" w:space="0" w:color="A6A6A6"/>
                  <w:bottom w:val="single" w:sz="4" w:space="0" w:color="A6A6A6"/>
                  <w:right w:val="single" w:sz="4" w:space="0" w:color="A6A6A6"/>
                </w:tcBorders>
                <w:noWrap/>
                <w:vAlign w:val="center"/>
                <w:hideMark/>
              </w:tcPr>
              <w:p w14:paraId="270DC4BC" w14:textId="77777777" w:rsidR="00FB4FAA" w:rsidRPr="00FB4FAA" w:rsidRDefault="00FB4FAA" w:rsidP="00FB4FAA">
                <w:pPr>
                  <w:spacing w:after="0" w:line="240" w:lineRule="auto"/>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1.7.91</w:t>
                </w:r>
              </w:p>
            </w:tc>
            <w:tc>
              <w:tcPr>
                <w:tcW w:w="323" w:type="pct"/>
                <w:tcBorders>
                  <w:top w:val="single" w:sz="4" w:space="0" w:color="A6A6A6"/>
                  <w:left w:val="single" w:sz="4" w:space="0" w:color="A6A6A6"/>
                  <w:bottom w:val="single" w:sz="4" w:space="0" w:color="A6A6A6"/>
                  <w:right w:val="nil"/>
                </w:tcBorders>
                <w:noWrap/>
                <w:vAlign w:val="center"/>
                <w:hideMark/>
              </w:tcPr>
              <w:p w14:paraId="56411E1D" w14:textId="77777777" w:rsidR="00FB4FAA" w:rsidRPr="00FB4FAA" w:rsidRDefault="00FB4FAA" w:rsidP="00FB4FAA">
                <w:pPr>
                  <w:spacing w:after="0" w:line="240" w:lineRule="auto"/>
                  <w:jc w:val="center"/>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Cr</w:t>
                </w:r>
              </w:p>
            </w:tc>
            <w:tc>
              <w:tcPr>
                <w:tcW w:w="1501" w:type="pct"/>
                <w:tcBorders>
                  <w:top w:val="single" w:sz="4" w:space="0" w:color="A6A6A6"/>
                  <w:left w:val="single" w:sz="4" w:space="0" w:color="A6A6A6"/>
                  <w:bottom w:val="single" w:sz="4" w:space="0" w:color="A6A6A6"/>
                  <w:right w:val="nil"/>
                </w:tcBorders>
                <w:vAlign w:val="center"/>
                <w:hideMark/>
              </w:tcPr>
              <w:p w14:paraId="1B2D12C2" w14:textId="77777777" w:rsidR="00FB4FAA" w:rsidRPr="00FB4FAA" w:rsidRDefault="00FB4FAA" w:rsidP="00FB4FAA">
                <w:pPr>
                  <w:spacing w:after="0" w:line="240" w:lineRule="auto"/>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Deterioro acumulado de bienes de uso público - concesiones (cr)</w:t>
                </w:r>
              </w:p>
            </w:tc>
            <w:tc>
              <w:tcPr>
                <w:tcW w:w="870" w:type="pct"/>
                <w:tcBorders>
                  <w:top w:val="single" w:sz="4" w:space="0" w:color="A6A6A6"/>
                  <w:left w:val="single" w:sz="4" w:space="0" w:color="A6A6A6"/>
                  <w:bottom w:val="single" w:sz="4" w:space="0" w:color="A6A6A6"/>
                  <w:right w:val="single" w:sz="4" w:space="0" w:color="A6A6A6"/>
                </w:tcBorders>
                <w:noWrap/>
                <w:vAlign w:val="center"/>
                <w:hideMark/>
              </w:tcPr>
              <w:p w14:paraId="2B35563F" w14:textId="77777777" w:rsidR="00FB4FAA" w:rsidRPr="00FB4FAA" w:rsidRDefault="00FB4FAA" w:rsidP="00FB4FAA">
                <w:pPr>
                  <w:spacing w:after="0" w:line="240" w:lineRule="auto"/>
                  <w:rPr>
                    <w:rFonts w:ascii="Times New Roman" w:eastAsia="Times New Roman" w:hAnsi="Times New Roman"/>
                    <w:sz w:val="16"/>
                    <w:szCs w:val="16"/>
                    <w:lang w:eastAsia="es-CO"/>
                  </w:rPr>
                </w:pPr>
              </w:p>
            </w:tc>
            <w:tc>
              <w:tcPr>
                <w:tcW w:w="870" w:type="pct"/>
                <w:tcBorders>
                  <w:top w:val="single" w:sz="4" w:space="0" w:color="A6A6A6"/>
                  <w:left w:val="single" w:sz="4" w:space="0" w:color="A6A6A6"/>
                  <w:bottom w:val="single" w:sz="4" w:space="0" w:color="A6A6A6"/>
                  <w:right w:val="single" w:sz="4" w:space="0" w:color="A6A6A6"/>
                </w:tcBorders>
                <w:noWrap/>
                <w:vAlign w:val="center"/>
                <w:hideMark/>
              </w:tcPr>
              <w:p w14:paraId="383A8A73" w14:textId="77777777" w:rsidR="00FB4FAA" w:rsidRPr="00FB4FAA" w:rsidRDefault="00FB4FAA" w:rsidP="00FB4FAA">
                <w:pPr>
                  <w:spacing w:after="0" w:line="240" w:lineRule="auto"/>
                  <w:rPr>
                    <w:rFonts w:ascii="Times New Roman" w:eastAsia="Times New Roman" w:hAnsi="Times New Roman"/>
                    <w:sz w:val="16"/>
                    <w:szCs w:val="16"/>
                    <w:lang w:eastAsia="es-CO"/>
                  </w:rPr>
                </w:pPr>
              </w:p>
            </w:tc>
            <w:tc>
              <w:tcPr>
                <w:tcW w:w="813" w:type="pct"/>
                <w:tcBorders>
                  <w:top w:val="single" w:sz="4" w:space="0" w:color="A6A6A6"/>
                  <w:left w:val="single" w:sz="4" w:space="0" w:color="A6A6A6"/>
                  <w:bottom w:val="single" w:sz="4" w:space="0" w:color="A6A6A6"/>
                  <w:right w:val="single" w:sz="4" w:space="0" w:color="A6A6A6"/>
                </w:tcBorders>
                <w:noWrap/>
                <w:vAlign w:val="center"/>
                <w:hideMark/>
              </w:tcPr>
              <w:p w14:paraId="38DE3645" w14:textId="77777777" w:rsidR="00FB4FAA" w:rsidRPr="00FB4FAA" w:rsidRDefault="00FB4FAA" w:rsidP="00FB4FAA">
                <w:pPr>
                  <w:spacing w:after="0" w:line="240" w:lineRule="auto"/>
                  <w:jc w:val="right"/>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0</w:t>
                </w:r>
              </w:p>
            </w:tc>
          </w:tr>
          <w:tr w:rsidR="00FD21E8" w:rsidRPr="00FB4FAA" w14:paraId="721EE694" w14:textId="77777777" w:rsidTr="00FD21E8">
            <w:trPr>
              <w:trHeight w:val="285"/>
            </w:trPr>
            <w:tc>
              <w:tcPr>
                <w:tcW w:w="623" w:type="pct"/>
                <w:tcBorders>
                  <w:top w:val="single" w:sz="4" w:space="0" w:color="A6A6A6"/>
                  <w:left w:val="single" w:sz="4" w:space="0" w:color="A6A6A6"/>
                  <w:bottom w:val="single" w:sz="4" w:space="0" w:color="A6A6A6"/>
                  <w:right w:val="single" w:sz="4" w:space="0" w:color="A6A6A6"/>
                </w:tcBorders>
                <w:noWrap/>
                <w:vAlign w:val="center"/>
                <w:hideMark/>
              </w:tcPr>
              <w:p w14:paraId="5F4C6BE5" w14:textId="77777777" w:rsidR="00FB4FAA" w:rsidRPr="00FB4FAA" w:rsidRDefault="00FB4FAA" w:rsidP="00FB4FAA">
                <w:pPr>
                  <w:spacing w:after="0" w:line="240" w:lineRule="auto"/>
                  <w:jc w:val="right"/>
                  <w:rPr>
                    <w:rFonts w:ascii="Times New Roman" w:eastAsia="Times New Roman" w:hAnsi="Times New Roman"/>
                    <w:sz w:val="16"/>
                    <w:szCs w:val="16"/>
                    <w:lang w:eastAsia="es-CO"/>
                  </w:rPr>
                </w:pPr>
              </w:p>
            </w:tc>
            <w:tc>
              <w:tcPr>
                <w:tcW w:w="323" w:type="pct"/>
                <w:tcBorders>
                  <w:top w:val="single" w:sz="4" w:space="0" w:color="A6A6A6"/>
                  <w:left w:val="single" w:sz="4" w:space="0" w:color="A6A6A6"/>
                  <w:bottom w:val="single" w:sz="4" w:space="0" w:color="A6A6A6"/>
                  <w:right w:val="nil"/>
                </w:tcBorders>
                <w:noWrap/>
                <w:vAlign w:val="center"/>
                <w:hideMark/>
              </w:tcPr>
              <w:p w14:paraId="11D41E0A" w14:textId="77777777" w:rsidR="00FB4FAA" w:rsidRPr="00FB4FAA" w:rsidRDefault="00FB4FAA" w:rsidP="00FB4FAA">
                <w:pPr>
                  <w:spacing w:after="0" w:line="240" w:lineRule="auto"/>
                  <w:rPr>
                    <w:rFonts w:ascii="Times New Roman" w:eastAsia="Times New Roman" w:hAnsi="Times New Roman"/>
                    <w:sz w:val="16"/>
                    <w:szCs w:val="16"/>
                    <w:lang w:eastAsia="es-CO"/>
                  </w:rPr>
                </w:pPr>
              </w:p>
            </w:tc>
            <w:tc>
              <w:tcPr>
                <w:tcW w:w="1501" w:type="pct"/>
                <w:tcBorders>
                  <w:top w:val="single" w:sz="4" w:space="0" w:color="A6A6A6"/>
                  <w:left w:val="single" w:sz="4" w:space="0" w:color="A6A6A6"/>
                  <w:bottom w:val="single" w:sz="4" w:space="0" w:color="A6A6A6"/>
                  <w:right w:val="nil"/>
                </w:tcBorders>
                <w:vAlign w:val="center"/>
                <w:hideMark/>
              </w:tcPr>
              <w:p w14:paraId="1191240D" w14:textId="77777777" w:rsidR="00FB4FAA" w:rsidRPr="00FB4FAA" w:rsidRDefault="00FB4FAA" w:rsidP="00FB4FAA">
                <w:pPr>
                  <w:spacing w:after="0" w:line="240" w:lineRule="auto"/>
                  <w:rPr>
                    <w:rFonts w:ascii="Times New Roman" w:eastAsia="Times New Roman" w:hAnsi="Times New Roman"/>
                    <w:b/>
                    <w:bCs/>
                    <w:sz w:val="16"/>
                    <w:szCs w:val="16"/>
                    <w:lang w:eastAsia="es-CO"/>
                  </w:rPr>
                </w:pPr>
                <w:r w:rsidRPr="00FB4FAA">
                  <w:rPr>
                    <w:rFonts w:ascii="Times New Roman" w:eastAsia="Times New Roman" w:hAnsi="Times New Roman"/>
                    <w:b/>
                    <w:bCs/>
                    <w:sz w:val="16"/>
                    <w:szCs w:val="16"/>
                    <w:lang w:eastAsia="es-CO"/>
                  </w:rPr>
                  <w:t>Valor en libros BUP en servicio - Concesiones</w:t>
                </w:r>
              </w:p>
            </w:tc>
            <w:tc>
              <w:tcPr>
                <w:tcW w:w="870" w:type="pct"/>
                <w:tcBorders>
                  <w:top w:val="single" w:sz="4" w:space="0" w:color="A6A6A6"/>
                  <w:left w:val="single" w:sz="4" w:space="0" w:color="A6A6A6"/>
                  <w:bottom w:val="single" w:sz="4" w:space="0" w:color="A6A6A6"/>
                  <w:right w:val="single" w:sz="4" w:space="0" w:color="A6A6A6"/>
                </w:tcBorders>
                <w:noWrap/>
                <w:vAlign w:val="center"/>
                <w:hideMark/>
              </w:tcPr>
              <w:p w14:paraId="0820C5F7" w14:textId="77777777" w:rsidR="00FB4FAA" w:rsidRPr="00FB4FAA" w:rsidRDefault="00FB4FAA" w:rsidP="00FB4FAA">
                <w:pPr>
                  <w:spacing w:after="0" w:line="240" w:lineRule="auto"/>
                  <w:jc w:val="right"/>
                  <w:rPr>
                    <w:rFonts w:ascii="Times New Roman" w:eastAsia="Times New Roman" w:hAnsi="Times New Roman"/>
                    <w:b/>
                    <w:bCs/>
                    <w:sz w:val="16"/>
                    <w:szCs w:val="16"/>
                    <w:lang w:eastAsia="es-CO"/>
                  </w:rPr>
                </w:pPr>
                <w:r w:rsidRPr="00FB4FAA">
                  <w:rPr>
                    <w:rFonts w:ascii="Times New Roman" w:eastAsia="Times New Roman" w:hAnsi="Times New Roman"/>
                    <w:b/>
                    <w:bCs/>
                    <w:sz w:val="16"/>
                    <w:szCs w:val="16"/>
                    <w:lang w:eastAsia="es-CO"/>
                  </w:rPr>
                  <w:t>62.911.204.750.605</w:t>
                </w:r>
              </w:p>
            </w:tc>
            <w:tc>
              <w:tcPr>
                <w:tcW w:w="870" w:type="pct"/>
                <w:tcBorders>
                  <w:top w:val="single" w:sz="4" w:space="0" w:color="A6A6A6"/>
                  <w:left w:val="single" w:sz="4" w:space="0" w:color="A6A6A6"/>
                  <w:bottom w:val="single" w:sz="4" w:space="0" w:color="A6A6A6"/>
                  <w:right w:val="single" w:sz="4" w:space="0" w:color="A6A6A6"/>
                </w:tcBorders>
                <w:noWrap/>
                <w:vAlign w:val="center"/>
                <w:hideMark/>
              </w:tcPr>
              <w:p w14:paraId="6C5753E5" w14:textId="77777777" w:rsidR="00FB4FAA" w:rsidRPr="00FB4FAA" w:rsidRDefault="00FB4FAA" w:rsidP="00FB4FAA">
                <w:pPr>
                  <w:spacing w:after="0" w:line="240" w:lineRule="auto"/>
                  <w:jc w:val="right"/>
                  <w:rPr>
                    <w:rFonts w:ascii="Times New Roman" w:eastAsia="Times New Roman" w:hAnsi="Times New Roman"/>
                    <w:b/>
                    <w:bCs/>
                    <w:sz w:val="16"/>
                    <w:szCs w:val="16"/>
                    <w:lang w:eastAsia="es-CO"/>
                  </w:rPr>
                </w:pPr>
                <w:r w:rsidRPr="00FB4FAA">
                  <w:rPr>
                    <w:rFonts w:ascii="Times New Roman" w:eastAsia="Times New Roman" w:hAnsi="Times New Roman"/>
                    <w:b/>
                    <w:bCs/>
                    <w:sz w:val="16"/>
                    <w:szCs w:val="16"/>
                    <w:lang w:eastAsia="es-CO"/>
                  </w:rPr>
                  <w:t>56.975.873.283.257</w:t>
                </w:r>
              </w:p>
            </w:tc>
            <w:tc>
              <w:tcPr>
                <w:tcW w:w="813" w:type="pct"/>
                <w:tcBorders>
                  <w:top w:val="single" w:sz="4" w:space="0" w:color="A6A6A6"/>
                  <w:left w:val="single" w:sz="4" w:space="0" w:color="A6A6A6"/>
                  <w:bottom w:val="single" w:sz="4" w:space="0" w:color="A6A6A6"/>
                  <w:right w:val="single" w:sz="4" w:space="0" w:color="A6A6A6"/>
                </w:tcBorders>
                <w:noWrap/>
                <w:vAlign w:val="center"/>
                <w:hideMark/>
              </w:tcPr>
              <w:p w14:paraId="6D3A56C0" w14:textId="77777777" w:rsidR="00FB4FAA" w:rsidRPr="00FB4FAA" w:rsidRDefault="00FB4FAA" w:rsidP="00FB4FAA">
                <w:pPr>
                  <w:spacing w:after="0" w:line="240" w:lineRule="auto"/>
                  <w:jc w:val="right"/>
                  <w:rPr>
                    <w:rFonts w:ascii="Times New Roman" w:eastAsia="Times New Roman" w:hAnsi="Times New Roman"/>
                    <w:b/>
                    <w:bCs/>
                    <w:sz w:val="16"/>
                    <w:szCs w:val="16"/>
                    <w:lang w:eastAsia="es-CO"/>
                  </w:rPr>
                </w:pPr>
                <w:r w:rsidRPr="00FB4FAA">
                  <w:rPr>
                    <w:rFonts w:ascii="Times New Roman" w:eastAsia="Times New Roman" w:hAnsi="Times New Roman"/>
                    <w:b/>
                    <w:bCs/>
                    <w:sz w:val="16"/>
                    <w:szCs w:val="16"/>
                    <w:lang w:eastAsia="es-CO"/>
                  </w:rPr>
                  <w:t>5.935.331.467.348</w:t>
                </w:r>
              </w:p>
            </w:tc>
          </w:tr>
          <w:tr w:rsidR="00FD21E8" w:rsidRPr="00FB4FAA" w14:paraId="2A2E05A1" w14:textId="77777777" w:rsidTr="00FD21E8">
            <w:trPr>
              <w:trHeight w:val="300"/>
            </w:trPr>
            <w:tc>
              <w:tcPr>
                <w:tcW w:w="623" w:type="pct"/>
                <w:tcBorders>
                  <w:top w:val="single" w:sz="4" w:space="0" w:color="A6A6A6"/>
                  <w:left w:val="single" w:sz="4" w:space="0" w:color="A6A6A6"/>
                  <w:bottom w:val="single" w:sz="4" w:space="0" w:color="A6A6A6"/>
                  <w:right w:val="single" w:sz="4" w:space="0" w:color="A6A6A6"/>
                </w:tcBorders>
                <w:noWrap/>
                <w:vAlign w:val="center"/>
                <w:hideMark/>
              </w:tcPr>
              <w:p w14:paraId="2680AC16" w14:textId="77777777" w:rsidR="00FB4FAA" w:rsidRPr="00FB4FAA" w:rsidRDefault="00FB4FAA" w:rsidP="00FB4FAA">
                <w:pPr>
                  <w:spacing w:after="0" w:line="240" w:lineRule="auto"/>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1.9.70.12</w:t>
                </w:r>
              </w:p>
            </w:tc>
            <w:tc>
              <w:tcPr>
                <w:tcW w:w="323" w:type="pct"/>
                <w:tcBorders>
                  <w:top w:val="single" w:sz="4" w:space="0" w:color="A6A6A6"/>
                  <w:left w:val="single" w:sz="4" w:space="0" w:color="A6A6A6"/>
                  <w:bottom w:val="single" w:sz="4" w:space="0" w:color="A6A6A6"/>
                  <w:right w:val="nil"/>
                </w:tcBorders>
                <w:noWrap/>
                <w:vAlign w:val="center"/>
                <w:hideMark/>
              </w:tcPr>
              <w:p w14:paraId="31568642" w14:textId="77777777" w:rsidR="00FB4FAA" w:rsidRPr="00FB4FAA" w:rsidRDefault="00FB4FAA" w:rsidP="00FB4FAA">
                <w:pPr>
                  <w:spacing w:after="0" w:line="240" w:lineRule="auto"/>
                  <w:jc w:val="center"/>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Db</w:t>
                </w:r>
              </w:p>
            </w:tc>
            <w:tc>
              <w:tcPr>
                <w:tcW w:w="1501" w:type="pct"/>
                <w:tcBorders>
                  <w:top w:val="single" w:sz="4" w:space="0" w:color="A6A6A6"/>
                  <w:left w:val="single" w:sz="4" w:space="0" w:color="A6A6A6"/>
                  <w:bottom w:val="single" w:sz="4" w:space="0" w:color="A6A6A6"/>
                  <w:right w:val="nil"/>
                </w:tcBorders>
                <w:vAlign w:val="center"/>
                <w:hideMark/>
              </w:tcPr>
              <w:p w14:paraId="5F6969A4" w14:textId="77777777" w:rsidR="00FB4FAA" w:rsidRPr="00FB4FAA" w:rsidRDefault="00FB4FAA" w:rsidP="00FB4FAA">
                <w:pPr>
                  <w:spacing w:after="0" w:line="240" w:lineRule="auto"/>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Activos intangibles en concesión</w:t>
                </w:r>
              </w:p>
            </w:tc>
            <w:tc>
              <w:tcPr>
                <w:tcW w:w="870" w:type="pct"/>
                <w:tcBorders>
                  <w:top w:val="single" w:sz="4" w:space="0" w:color="A6A6A6"/>
                  <w:left w:val="single" w:sz="4" w:space="0" w:color="A6A6A6"/>
                  <w:bottom w:val="single" w:sz="4" w:space="0" w:color="A6A6A6"/>
                  <w:right w:val="single" w:sz="4" w:space="0" w:color="A6A6A6"/>
                </w:tcBorders>
                <w:noWrap/>
                <w:vAlign w:val="center"/>
                <w:hideMark/>
              </w:tcPr>
              <w:p w14:paraId="6A06A659" w14:textId="77777777" w:rsidR="00FB4FAA" w:rsidRPr="00FB4FAA" w:rsidRDefault="00FB4FAA" w:rsidP="00FB4FAA">
                <w:pPr>
                  <w:spacing w:after="0" w:line="240" w:lineRule="auto"/>
                  <w:jc w:val="right"/>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241.471.174.112</w:t>
                </w:r>
              </w:p>
            </w:tc>
            <w:tc>
              <w:tcPr>
                <w:tcW w:w="870" w:type="pct"/>
                <w:tcBorders>
                  <w:top w:val="single" w:sz="4" w:space="0" w:color="A6A6A6"/>
                  <w:left w:val="single" w:sz="4" w:space="0" w:color="A6A6A6"/>
                  <w:bottom w:val="single" w:sz="4" w:space="0" w:color="A6A6A6"/>
                  <w:right w:val="single" w:sz="4" w:space="0" w:color="A6A6A6"/>
                </w:tcBorders>
                <w:noWrap/>
                <w:vAlign w:val="center"/>
                <w:hideMark/>
              </w:tcPr>
              <w:p w14:paraId="1C288225" w14:textId="77777777" w:rsidR="00FB4FAA" w:rsidRPr="00FB4FAA" w:rsidRDefault="00FB4FAA" w:rsidP="00FB4FAA">
                <w:pPr>
                  <w:spacing w:after="0" w:line="240" w:lineRule="auto"/>
                  <w:jc w:val="right"/>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226.390.683.281</w:t>
                </w:r>
              </w:p>
            </w:tc>
            <w:tc>
              <w:tcPr>
                <w:tcW w:w="813" w:type="pct"/>
                <w:tcBorders>
                  <w:top w:val="single" w:sz="4" w:space="0" w:color="A6A6A6"/>
                  <w:left w:val="single" w:sz="4" w:space="0" w:color="A6A6A6"/>
                  <w:bottom w:val="single" w:sz="4" w:space="0" w:color="A6A6A6"/>
                  <w:right w:val="single" w:sz="4" w:space="0" w:color="A6A6A6"/>
                </w:tcBorders>
                <w:noWrap/>
                <w:vAlign w:val="center"/>
                <w:hideMark/>
              </w:tcPr>
              <w:p w14:paraId="591588CD" w14:textId="77777777" w:rsidR="00FB4FAA" w:rsidRPr="00FB4FAA" w:rsidRDefault="00FB4FAA" w:rsidP="00FB4FAA">
                <w:pPr>
                  <w:spacing w:after="0" w:line="240" w:lineRule="auto"/>
                  <w:jc w:val="right"/>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15.080.490.831</w:t>
                </w:r>
              </w:p>
            </w:tc>
          </w:tr>
          <w:tr w:rsidR="00FD21E8" w:rsidRPr="00FB4FAA" w14:paraId="3E33655B" w14:textId="77777777" w:rsidTr="00FD21E8">
            <w:trPr>
              <w:trHeight w:val="492"/>
            </w:trPr>
            <w:tc>
              <w:tcPr>
                <w:tcW w:w="623" w:type="pct"/>
                <w:tcBorders>
                  <w:top w:val="single" w:sz="4" w:space="0" w:color="A6A6A6"/>
                  <w:left w:val="single" w:sz="4" w:space="0" w:color="A6A6A6"/>
                  <w:bottom w:val="single" w:sz="4" w:space="0" w:color="A6A6A6"/>
                  <w:right w:val="single" w:sz="4" w:space="0" w:color="A6A6A6"/>
                </w:tcBorders>
                <w:noWrap/>
                <w:vAlign w:val="center"/>
                <w:hideMark/>
              </w:tcPr>
              <w:p w14:paraId="429AAD35" w14:textId="77777777" w:rsidR="00FB4FAA" w:rsidRPr="00FB4FAA" w:rsidRDefault="00FB4FAA" w:rsidP="00FB4FAA">
                <w:pPr>
                  <w:spacing w:after="0" w:line="240" w:lineRule="auto"/>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1.9.75.11</w:t>
                </w:r>
              </w:p>
            </w:tc>
            <w:tc>
              <w:tcPr>
                <w:tcW w:w="323" w:type="pct"/>
                <w:tcBorders>
                  <w:top w:val="single" w:sz="4" w:space="0" w:color="A6A6A6"/>
                  <w:left w:val="single" w:sz="4" w:space="0" w:color="A6A6A6"/>
                  <w:bottom w:val="single" w:sz="4" w:space="0" w:color="A6A6A6"/>
                  <w:right w:val="nil"/>
                </w:tcBorders>
                <w:noWrap/>
                <w:vAlign w:val="center"/>
                <w:hideMark/>
              </w:tcPr>
              <w:p w14:paraId="42F39B2D" w14:textId="77777777" w:rsidR="00FB4FAA" w:rsidRPr="00FB4FAA" w:rsidRDefault="00FB4FAA" w:rsidP="00FB4FAA">
                <w:pPr>
                  <w:spacing w:after="0" w:line="240" w:lineRule="auto"/>
                  <w:jc w:val="center"/>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Cr</w:t>
                </w:r>
              </w:p>
            </w:tc>
            <w:tc>
              <w:tcPr>
                <w:tcW w:w="1501" w:type="pct"/>
                <w:tcBorders>
                  <w:top w:val="single" w:sz="4" w:space="0" w:color="A6A6A6"/>
                  <w:left w:val="single" w:sz="4" w:space="0" w:color="A6A6A6"/>
                  <w:bottom w:val="single" w:sz="4" w:space="0" w:color="A6A6A6"/>
                  <w:right w:val="nil"/>
                </w:tcBorders>
                <w:vAlign w:val="center"/>
                <w:hideMark/>
              </w:tcPr>
              <w:p w14:paraId="1694EDC9" w14:textId="77777777" w:rsidR="00FB4FAA" w:rsidRPr="00FB4FAA" w:rsidRDefault="00FB4FAA" w:rsidP="00FB4FAA">
                <w:pPr>
                  <w:spacing w:after="0" w:line="240" w:lineRule="auto"/>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Amortización acumulada: Activos intangibles en concesión (cr)</w:t>
                </w:r>
              </w:p>
            </w:tc>
            <w:tc>
              <w:tcPr>
                <w:tcW w:w="870" w:type="pct"/>
                <w:tcBorders>
                  <w:top w:val="single" w:sz="4" w:space="0" w:color="A6A6A6"/>
                  <w:left w:val="single" w:sz="4" w:space="0" w:color="A6A6A6"/>
                  <w:bottom w:val="single" w:sz="4" w:space="0" w:color="A6A6A6"/>
                  <w:right w:val="single" w:sz="4" w:space="0" w:color="A6A6A6"/>
                </w:tcBorders>
                <w:noWrap/>
                <w:vAlign w:val="center"/>
                <w:hideMark/>
              </w:tcPr>
              <w:p w14:paraId="6A72E2BA" w14:textId="77777777" w:rsidR="00FB4FAA" w:rsidRPr="00FB4FAA" w:rsidRDefault="00FB4FAA" w:rsidP="00FB4FAA">
                <w:pPr>
                  <w:spacing w:after="0" w:line="240" w:lineRule="auto"/>
                  <w:jc w:val="right"/>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-16.650.426.000</w:t>
                </w:r>
              </w:p>
            </w:tc>
            <w:tc>
              <w:tcPr>
                <w:tcW w:w="870" w:type="pct"/>
                <w:tcBorders>
                  <w:top w:val="single" w:sz="4" w:space="0" w:color="A6A6A6"/>
                  <w:left w:val="single" w:sz="4" w:space="0" w:color="A6A6A6"/>
                  <w:bottom w:val="single" w:sz="4" w:space="0" w:color="A6A6A6"/>
                  <w:right w:val="single" w:sz="4" w:space="0" w:color="A6A6A6"/>
                </w:tcBorders>
                <w:noWrap/>
                <w:vAlign w:val="center"/>
                <w:hideMark/>
              </w:tcPr>
              <w:p w14:paraId="5470E7F0" w14:textId="77777777" w:rsidR="00FB4FAA" w:rsidRPr="00FB4FAA" w:rsidRDefault="00FB4FAA" w:rsidP="00FB4FAA">
                <w:pPr>
                  <w:spacing w:after="0" w:line="240" w:lineRule="auto"/>
                  <w:jc w:val="right"/>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-16.650.426.000</w:t>
                </w:r>
              </w:p>
            </w:tc>
            <w:tc>
              <w:tcPr>
                <w:tcW w:w="813" w:type="pct"/>
                <w:tcBorders>
                  <w:top w:val="single" w:sz="4" w:space="0" w:color="A6A6A6"/>
                  <w:left w:val="single" w:sz="4" w:space="0" w:color="A6A6A6"/>
                  <w:bottom w:val="single" w:sz="4" w:space="0" w:color="A6A6A6"/>
                  <w:right w:val="single" w:sz="4" w:space="0" w:color="A6A6A6"/>
                </w:tcBorders>
                <w:noWrap/>
                <w:vAlign w:val="center"/>
                <w:hideMark/>
              </w:tcPr>
              <w:p w14:paraId="0A7ED162" w14:textId="77777777" w:rsidR="00FB4FAA" w:rsidRPr="00FB4FAA" w:rsidRDefault="00FB4FAA" w:rsidP="00FB4FAA">
                <w:pPr>
                  <w:spacing w:after="0" w:line="240" w:lineRule="auto"/>
                  <w:jc w:val="right"/>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0</w:t>
                </w:r>
              </w:p>
            </w:tc>
          </w:tr>
          <w:tr w:rsidR="00FD21E8" w:rsidRPr="00FB4FAA" w14:paraId="4D3FC148" w14:textId="77777777" w:rsidTr="00FD21E8">
            <w:trPr>
              <w:trHeight w:val="300"/>
            </w:trPr>
            <w:tc>
              <w:tcPr>
                <w:tcW w:w="623" w:type="pct"/>
                <w:tcBorders>
                  <w:top w:val="single" w:sz="4" w:space="0" w:color="A6A6A6"/>
                  <w:left w:val="single" w:sz="4" w:space="0" w:color="A6A6A6"/>
                  <w:bottom w:val="single" w:sz="4" w:space="0" w:color="A6A6A6"/>
                  <w:right w:val="single" w:sz="4" w:space="0" w:color="A6A6A6"/>
                </w:tcBorders>
                <w:noWrap/>
                <w:vAlign w:val="center"/>
                <w:hideMark/>
              </w:tcPr>
              <w:p w14:paraId="54C43C35" w14:textId="77777777" w:rsidR="00FB4FAA" w:rsidRPr="00FB4FAA" w:rsidRDefault="00FB4FAA" w:rsidP="00FB4FAA">
                <w:pPr>
                  <w:spacing w:after="0" w:line="240" w:lineRule="auto"/>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1.9.76.11</w:t>
                </w:r>
              </w:p>
            </w:tc>
            <w:tc>
              <w:tcPr>
                <w:tcW w:w="323" w:type="pct"/>
                <w:tcBorders>
                  <w:top w:val="single" w:sz="4" w:space="0" w:color="A6A6A6"/>
                  <w:left w:val="single" w:sz="4" w:space="0" w:color="A6A6A6"/>
                  <w:bottom w:val="single" w:sz="4" w:space="0" w:color="A6A6A6"/>
                  <w:right w:val="nil"/>
                </w:tcBorders>
                <w:noWrap/>
                <w:vAlign w:val="center"/>
                <w:hideMark/>
              </w:tcPr>
              <w:p w14:paraId="0746A987" w14:textId="77777777" w:rsidR="00FB4FAA" w:rsidRPr="00FB4FAA" w:rsidRDefault="00FB4FAA" w:rsidP="00FB4FAA">
                <w:pPr>
                  <w:spacing w:after="0" w:line="240" w:lineRule="auto"/>
                  <w:jc w:val="center"/>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Cr</w:t>
                </w:r>
              </w:p>
            </w:tc>
            <w:tc>
              <w:tcPr>
                <w:tcW w:w="1501" w:type="pct"/>
                <w:tcBorders>
                  <w:top w:val="single" w:sz="4" w:space="0" w:color="A6A6A6"/>
                  <w:left w:val="single" w:sz="4" w:space="0" w:color="A6A6A6"/>
                  <w:bottom w:val="single" w:sz="4" w:space="0" w:color="A6A6A6"/>
                  <w:right w:val="nil"/>
                </w:tcBorders>
                <w:vAlign w:val="center"/>
                <w:hideMark/>
              </w:tcPr>
              <w:p w14:paraId="3CE26594" w14:textId="77777777" w:rsidR="00FB4FAA" w:rsidRPr="00FB4FAA" w:rsidRDefault="00FB4FAA" w:rsidP="00FB4FAA">
                <w:pPr>
                  <w:spacing w:after="0" w:line="240" w:lineRule="auto"/>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Deterioro acumulado: Activos intangibles en concesión</w:t>
                </w:r>
              </w:p>
            </w:tc>
            <w:tc>
              <w:tcPr>
                <w:tcW w:w="870" w:type="pct"/>
                <w:tcBorders>
                  <w:top w:val="single" w:sz="4" w:space="0" w:color="A6A6A6"/>
                  <w:left w:val="single" w:sz="4" w:space="0" w:color="A6A6A6"/>
                  <w:bottom w:val="single" w:sz="4" w:space="0" w:color="A6A6A6"/>
                  <w:right w:val="single" w:sz="4" w:space="0" w:color="A6A6A6"/>
                </w:tcBorders>
                <w:noWrap/>
                <w:vAlign w:val="center"/>
                <w:hideMark/>
              </w:tcPr>
              <w:p w14:paraId="545FA7D2" w14:textId="77777777" w:rsidR="00FB4FAA" w:rsidRPr="00FB4FAA" w:rsidRDefault="00FB4FAA" w:rsidP="00FB4FAA">
                <w:pPr>
                  <w:spacing w:after="0" w:line="240" w:lineRule="auto"/>
                  <w:rPr>
                    <w:rFonts w:ascii="Times New Roman" w:eastAsia="Times New Roman" w:hAnsi="Times New Roman"/>
                    <w:sz w:val="16"/>
                    <w:szCs w:val="16"/>
                    <w:lang w:eastAsia="es-CO"/>
                  </w:rPr>
                </w:pPr>
              </w:p>
            </w:tc>
            <w:tc>
              <w:tcPr>
                <w:tcW w:w="870" w:type="pct"/>
                <w:tcBorders>
                  <w:top w:val="single" w:sz="4" w:space="0" w:color="A6A6A6"/>
                  <w:left w:val="single" w:sz="4" w:space="0" w:color="A6A6A6"/>
                  <w:bottom w:val="single" w:sz="4" w:space="0" w:color="A6A6A6"/>
                  <w:right w:val="single" w:sz="4" w:space="0" w:color="A6A6A6"/>
                </w:tcBorders>
                <w:noWrap/>
                <w:vAlign w:val="center"/>
                <w:hideMark/>
              </w:tcPr>
              <w:p w14:paraId="74B600F2" w14:textId="77777777" w:rsidR="00FB4FAA" w:rsidRPr="00FB4FAA" w:rsidRDefault="00FB4FAA" w:rsidP="00FB4FAA">
                <w:pPr>
                  <w:spacing w:after="0" w:line="240" w:lineRule="auto"/>
                  <w:rPr>
                    <w:rFonts w:ascii="Times New Roman" w:eastAsia="Times New Roman" w:hAnsi="Times New Roman"/>
                    <w:sz w:val="16"/>
                    <w:szCs w:val="16"/>
                    <w:lang w:eastAsia="es-CO"/>
                  </w:rPr>
                </w:pPr>
              </w:p>
            </w:tc>
            <w:tc>
              <w:tcPr>
                <w:tcW w:w="813" w:type="pct"/>
                <w:tcBorders>
                  <w:top w:val="single" w:sz="4" w:space="0" w:color="A6A6A6"/>
                  <w:left w:val="single" w:sz="4" w:space="0" w:color="A6A6A6"/>
                  <w:bottom w:val="single" w:sz="4" w:space="0" w:color="A6A6A6"/>
                  <w:right w:val="single" w:sz="4" w:space="0" w:color="A6A6A6"/>
                </w:tcBorders>
                <w:noWrap/>
                <w:vAlign w:val="center"/>
                <w:hideMark/>
              </w:tcPr>
              <w:p w14:paraId="054F4612" w14:textId="77777777" w:rsidR="00FB4FAA" w:rsidRPr="00FB4FAA" w:rsidRDefault="00FB4FAA" w:rsidP="00FB4FAA">
                <w:pPr>
                  <w:spacing w:after="0" w:line="240" w:lineRule="auto"/>
                  <w:jc w:val="right"/>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0</w:t>
                </w:r>
              </w:p>
            </w:tc>
          </w:tr>
          <w:tr w:rsidR="00FD21E8" w:rsidRPr="00FB4FAA" w14:paraId="299158DA" w14:textId="77777777" w:rsidTr="00FD21E8">
            <w:trPr>
              <w:trHeight w:val="285"/>
            </w:trPr>
            <w:tc>
              <w:tcPr>
                <w:tcW w:w="623" w:type="pct"/>
                <w:tcBorders>
                  <w:top w:val="single" w:sz="4" w:space="0" w:color="A6A6A6"/>
                  <w:left w:val="single" w:sz="4" w:space="0" w:color="A6A6A6"/>
                  <w:bottom w:val="single" w:sz="4" w:space="0" w:color="A6A6A6"/>
                  <w:right w:val="single" w:sz="4" w:space="0" w:color="A6A6A6"/>
                </w:tcBorders>
                <w:noWrap/>
                <w:vAlign w:val="center"/>
                <w:hideMark/>
              </w:tcPr>
              <w:p w14:paraId="21E6CF75" w14:textId="77777777" w:rsidR="00FB4FAA" w:rsidRPr="00FB4FAA" w:rsidRDefault="00FB4FAA" w:rsidP="00FB4FAA">
                <w:pPr>
                  <w:spacing w:after="0" w:line="240" w:lineRule="auto"/>
                  <w:jc w:val="right"/>
                  <w:rPr>
                    <w:rFonts w:ascii="Times New Roman" w:eastAsia="Times New Roman" w:hAnsi="Times New Roman"/>
                    <w:sz w:val="16"/>
                    <w:szCs w:val="16"/>
                    <w:lang w:eastAsia="es-CO"/>
                  </w:rPr>
                </w:pPr>
              </w:p>
            </w:tc>
            <w:tc>
              <w:tcPr>
                <w:tcW w:w="323" w:type="pct"/>
                <w:tcBorders>
                  <w:top w:val="single" w:sz="4" w:space="0" w:color="A6A6A6"/>
                  <w:left w:val="single" w:sz="4" w:space="0" w:color="A6A6A6"/>
                  <w:bottom w:val="single" w:sz="4" w:space="0" w:color="A6A6A6"/>
                  <w:right w:val="nil"/>
                </w:tcBorders>
                <w:noWrap/>
                <w:vAlign w:val="center"/>
                <w:hideMark/>
              </w:tcPr>
              <w:p w14:paraId="2EB18F5A" w14:textId="77777777" w:rsidR="00FB4FAA" w:rsidRPr="00FB4FAA" w:rsidRDefault="00FB4FAA" w:rsidP="00FB4FAA">
                <w:pPr>
                  <w:spacing w:after="0" w:line="240" w:lineRule="auto"/>
                  <w:rPr>
                    <w:rFonts w:ascii="Times New Roman" w:eastAsia="Times New Roman" w:hAnsi="Times New Roman"/>
                    <w:sz w:val="16"/>
                    <w:szCs w:val="16"/>
                    <w:lang w:eastAsia="es-CO"/>
                  </w:rPr>
                </w:pPr>
              </w:p>
            </w:tc>
            <w:tc>
              <w:tcPr>
                <w:tcW w:w="1501" w:type="pct"/>
                <w:tcBorders>
                  <w:top w:val="single" w:sz="4" w:space="0" w:color="A6A6A6"/>
                  <w:left w:val="single" w:sz="4" w:space="0" w:color="A6A6A6"/>
                  <w:bottom w:val="single" w:sz="4" w:space="0" w:color="A6A6A6"/>
                  <w:right w:val="nil"/>
                </w:tcBorders>
                <w:vAlign w:val="center"/>
                <w:hideMark/>
              </w:tcPr>
              <w:p w14:paraId="6CD52CFC" w14:textId="77777777" w:rsidR="00FB4FAA" w:rsidRPr="00FB4FAA" w:rsidRDefault="00FB4FAA" w:rsidP="00FB4FAA">
                <w:pPr>
                  <w:spacing w:after="0" w:line="240" w:lineRule="auto"/>
                  <w:rPr>
                    <w:rFonts w:ascii="Times New Roman" w:eastAsia="Times New Roman" w:hAnsi="Times New Roman"/>
                    <w:b/>
                    <w:bCs/>
                    <w:sz w:val="16"/>
                    <w:szCs w:val="16"/>
                    <w:lang w:eastAsia="es-CO"/>
                  </w:rPr>
                </w:pPr>
                <w:r w:rsidRPr="00FB4FAA">
                  <w:rPr>
                    <w:rFonts w:ascii="Times New Roman" w:eastAsia="Times New Roman" w:hAnsi="Times New Roman"/>
                    <w:b/>
                    <w:bCs/>
                    <w:sz w:val="16"/>
                    <w:szCs w:val="16"/>
                    <w:lang w:eastAsia="es-CO"/>
                  </w:rPr>
                  <w:t>Valor en libros Intangibles en Concesiones</w:t>
                </w:r>
              </w:p>
            </w:tc>
            <w:tc>
              <w:tcPr>
                <w:tcW w:w="870" w:type="pct"/>
                <w:tcBorders>
                  <w:top w:val="single" w:sz="4" w:space="0" w:color="A6A6A6"/>
                  <w:left w:val="single" w:sz="4" w:space="0" w:color="A6A6A6"/>
                  <w:bottom w:val="single" w:sz="4" w:space="0" w:color="A6A6A6"/>
                  <w:right w:val="single" w:sz="4" w:space="0" w:color="A6A6A6"/>
                </w:tcBorders>
                <w:noWrap/>
                <w:vAlign w:val="center"/>
                <w:hideMark/>
              </w:tcPr>
              <w:p w14:paraId="492BAFB7" w14:textId="77777777" w:rsidR="00FB4FAA" w:rsidRPr="00FB4FAA" w:rsidRDefault="00FB4FAA" w:rsidP="00FB4FAA">
                <w:pPr>
                  <w:spacing w:after="0" w:line="240" w:lineRule="auto"/>
                  <w:jc w:val="right"/>
                  <w:rPr>
                    <w:rFonts w:ascii="Times New Roman" w:eastAsia="Times New Roman" w:hAnsi="Times New Roman"/>
                    <w:b/>
                    <w:bCs/>
                    <w:sz w:val="16"/>
                    <w:szCs w:val="16"/>
                    <w:lang w:eastAsia="es-CO"/>
                  </w:rPr>
                </w:pPr>
                <w:r w:rsidRPr="00FB4FAA">
                  <w:rPr>
                    <w:rFonts w:ascii="Times New Roman" w:eastAsia="Times New Roman" w:hAnsi="Times New Roman"/>
                    <w:b/>
                    <w:bCs/>
                    <w:sz w:val="16"/>
                    <w:szCs w:val="16"/>
                    <w:lang w:eastAsia="es-CO"/>
                  </w:rPr>
                  <w:t>224.820.748.112</w:t>
                </w:r>
              </w:p>
            </w:tc>
            <w:tc>
              <w:tcPr>
                <w:tcW w:w="870" w:type="pct"/>
                <w:tcBorders>
                  <w:top w:val="single" w:sz="4" w:space="0" w:color="A6A6A6"/>
                  <w:left w:val="single" w:sz="4" w:space="0" w:color="A6A6A6"/>
                  <w:bottom w:val="single" w:sz="4" w:space="0" w:color="A6A6A6"/>
                  <w:right w:val="single" w:sz="4" w:space="0" w:color="A6A6A6"/>
                </w:tcBorders>
                <w:noWrap/>
                <w:vAlign w:val="center"/>
                <w:hideMark/>
              </w:tcPr>
              <w:p w14:paraId="2C00D62D" w14:textId="77777777" w:rsidR="00FB4FAA" w:rsidRPr="00FB4FAA" w:rsidRDefault="00FB4FAA" w:rsidP="00FB4FAA">
                <w:pPr>
                  <w:spacing w:after="0" w:line="240" w:lineRule="auto"/>
                  <w:jc w:val="right"/>
                  <w:rPr>
                    <w:rFonts w:ascii="Times New Roman" w:eastAsia="Times New Roman" w:hAnsi="Times New Roman"/>
                    <w:b/>
                    <w:bCs/>
                    <w:sz w:val="16"/>
                    <w:szCs w:val="16"/>
                    <w:lang w:eastAsia="es-CO"/>
                  </w:rPr>
                </w:pPr>
                <w:r w:rsidRPr="00FB4FAA">
                  <w:rPr>
                    <w:rFonts w:ascii="Times New Roman" w:eastAsia="Times New Roman" w:hAnsi="Times New Roman"/>
                    <w:b/>
                    <w:bCs/>
                    <w:sz w:val="16"/>
                    <w:szCs w:val="16"/>
                    <w:lang w:eastAsia="es-CO"/>
                  </w:rPr>
                  <w:t>209.740.257.281</w:t>
                </w:r>
              </w:p>
            </w:tc>
            <w:tc>
              <w:tcPr>
                <w:tcW w:w="813" w:type="pct"/>
                <w:tcBorders>
                  <w:top w:val="single" w:sz="4" w:space="0" w:color="A6A6A6"/>
                  <w:left w:val="single" w:sz="4" w:space="0" w:color="A6A6A6"/>
                  <w:bottom w:val="single" w:sz="4" w:space="0" w:color="A6A6A6"/>
                  <w:right w:val="single" w:sz="4" w:space="0" w:color="A6A6A6"/>
                </w:tcBorders>
                <w:noWrap/>
                <w:vAlign w:val="center"/>
                <w:hideMark/>
              </w:tcPr>
              <w:p w14:paraId="372535E5" w14:textId="77777777" w:rsidR="00FB4FAA" w:rsidRPr="00FB4FAA" w:rsidRDefault="00FB4FAA" w:rsidP="00FB4FAA">
                <w:pPr>
                  <w:spacing w:after="0" w:line="240" w:lineRule="auto"/>
                  <w:jc w:val="right"/>
                  <w:rPr>
                    <w:rFonts w:ascii="Times New Roman" w:eastAsia="Times New Roman" w:hAnsi="Times New Roman"/>
                    <w:b/>
                    <w:bCs/>
                    <w:sz w:val="16"/>
                    <w:szCs w:val="16"/>
                    <w:lang w:eastAsia="es-CO"/>
                  </w:rPr>
                </w:pPr>
                <w:r w:rsidRPr="00FB4FAA">
                  <w:rPr>
                    <w:rFonts w:ascii="Times New Roman" w:eastAsia="Times New Roman" w:hAnsi="Times New Roman"/>
                    <w:b/>
                    <w:bCs/>
                    <w:sz w:val="16"/>
                    <w:szCs w:val="16"/>
                    <w:lang w:eastAsia="es-CO"/>
                  </w:rPr>
                  <w:t>15.080.490.831</w:t>
                </w:r>
              </w:p>
            </w:tc>
          </w:tr>
          <w:tr w:rsidR="00FD21E8" w:rsidRPr="00FB4FAA" w14:paraId="5F8795BF" w14:textId="77777777" w:rsidTr="00FD21E8">
            <w:trPr>
              <w:trHeight w:val="600"/>
            </w:trPr>
            <w:tc>
              <w:tcPr>
                <w:tcW w:w="623" w:type="pct"/>
                <w:tcBorders>
                  <w:top w:val="single" w:sz="4" w:space="0" w:color="A6A6A6"/>
                  <w:left w:val="single" w:sz="4" w:space="0" w:color="A6A6A6"/>
                  <w:bottom w:val="single" w:sz="4" w:space="0" w:color="A6A6A6"/>
                  <w:right w:val="single" w:sz="4" w:space="0" w:color="A6A6A6"/>
                </w:tcBorders>
                <w:noWrap/>
                <w:vAlign w:val="center"/>
                <w:hideMark/>
              </w:tcPr>
              <w:p w14:paraId="480A61AF" w14:textId="77777777" w:rsidR="00FB4FAA" w:rsidRPr="00FB4FAA" w:rsidRDefault="00FB4FAA" w:rsidP="00FB4FAA">
                <w:pPr>
                  <w:spacing w:after="0" w:line="240" w:lineRule="auto"/>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1.9.89</w:t>
                </w:r>
              </w:p>
            </w:tc>
            <w:tc>
              <w:tcPr>
                <w:tcW w:w="323" w:type="pct"/>
                <w:tcBorders>
                  <w:top w:val="single" w:sz="4" w:space="0" w:color="A6A6A6"/>
                  <w:left w:val="single" w:sz="4" w:space="0" w:color="A6A6A6"/>
                  <w:bottom w:val="single" w:sz="4" w:space="0" w:color="A6A6A6"/>
                  <w:right w:val="nil"/>
                </w:tcBorders>
                <w:noWrap/>
                <w:vAlign w:val="center"/>
                <w:hideMark/>
              </w:tcPr>
              <w:p w14:paraId="51526325" w14:textId="77777777" w:rsidR="00FB4FAA" w:rsidRPr="00FB4FAA" w:rsidRDefault="00FB4FAA" w:rsidP="00FB4FAA">
                <w:pPr>
                  <w:spacing w:after="0" w:line="240" w:lineRule="auto"/>
                  <w:jc w:val="center"/>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Db</w:t>
                </w:r>
              </w:p>
            </w:tc>
            <w:tc>
              <w:tcPr>
                <w:tcW w:w="1501" w:type="pct"/>
                <w:tcBorders>
                  <w:top w:val="single" w:sz="4" w:space="0" w:color="A6A6A6"/>
                  <w:left w:val="single" w:sz="4" w:space="0" w:color="A6A6A6"/>
                  <w:bottom w:val="single" w:sz="4" w:space="0" w:color="A6A6A6"/>
                  <w:right w:val="nil"/>
                </w:tcBorders>
                <w:vAlign w:val="center"/>
                <w:hideMark/>
              </w:tcPr>
              <w:p w14:paraId="60B263D9" w14:textId="77777777" w:rsidR="00FB4FAA" w:rsidRPr="00FB4FAA" w:rsidRDefault="00FB4FAA" w:rsidP="00FB4FAA">
                <w:pPr>
                  <w:spacing w:after="0" w:line="240" w:lineRule="auto"/>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Recursos de la entidad concedente en patrimonios autónomos constituidos por los concesionarios</w:t>
                </w:r>
              </w:p>
            </w:tc>
            <w:tc>
              <w:tcPr>
                <w:tcW w:w="870" w:type="pct"/>
                <w:tcBorders>
                  <w:top w:val="single" w:sz="4" w:space="0" w:color="A6A6A6"/>
                  <w:left w:val="single" w:sz="4" w:space="0" w:color="A6A6A6"/>
                  <w:bottom w:val="single" w:sz="4" w:space="0" w:color="A6A6A6"/>
                  <w:right w:val="single" w:sz="4" w:space="0" w:color="A6A6A6"/>
                </w:tcBorders>
                <w:noWrap/>
                <w:vAlign w:val="center"/>
                <w:hideMark/>
              </w:tcPr>
              <w:p w14:paraId="36AD5AC4" w14:textId="77777777" w:rsidR="00FB4FAA" w:rsidRPr="00FB4FAA" w:rsidRDefault="00FB4FAA" w:rsidP="00FB4FAA">
                <w:pPr>
                  <w:spacing w:after="0" w:line="240" w:lineRule="auto"/>
                  <w:rPr>
                    <w:rFonts w:ascii="Times New Roman" w:eastAsia="Times New Roman" w:hAnsi="Times New Roman"/>
                    <w:sz w:val="16"/>
                    <w:szCs w:val="16"/>
                    <w:lang w:eastAsia="es-CO"/>
                  </w:rPr>
                </w:pPr>
              </w:p>
            </w:tc>
            <w:tc>
              <w:tcPr>
                <w:tcW w:w="870" w:type="pct"/>
                <w:tcBorders>
                  <w:top w:val="single" w:sz="4" w:space="0" w:color="A6A6A6"/>
                  <w:left w:val="single" w:sz="4" w:space="0" w:color="A6A6A6"/>
                  <w:bottom w:val="single" w:sz="4" w:space="0" w:color="A6A6A6"/>
                  <w:right w:val="single" w:sz="4" w:space="0" w:color="A6A6A6"/>
                </w:tcBorders>
                <w:noWrap/>
                <w:vAlign w:val="center"/>
                <w:hideMark/>
              </w:tcPr>
              <w:p w14:paraId="337FF05D" w14:textId="77777777" w:rsidR="00FB4FAA" w:rsidRPr="00FB4FAA" w:rsidRDefault="00FB4FAA" w:rsidP="00FB4FAA">
                <w:pPr>
                  <w:spacing w:after="0" w:line="240" w:lineRule="auto"/>
                  <w:rPr>
                    <w:rFonts w:ascii="Times New Roman" w:eastAsia="Times New Roman" w:hAnsi="Times New Roman"/>
                    <w:sz w:val="16"/>
                    <w:szCs w:val="16"/>
                    <w:lang w:eastAsia="es-CO"/>
                  </w:rPr>
                </w:pPr>
              </w:p>
            </w:tc>
            <w:tc>
              <w:tcPr>
                <w:tcW w:w="813" w:type="pct"/>
                <w:tcBorders>
                  <w:top w:val="single" w:sz="4" w:space="0" w:color="A6A6A6"/>
                  <w:left w:val="single" w:sz="4" w:space="0" w:color="A6A6A6"/>
                  <w:bottom w:val="single" w:sz="4" w:space="0" w:color="A6A6A6"/>
                  <w:right w:val="single" w:sz="4" w:space="0" w:color="A6A6A6"/>
                </w:tcBorders>
                <w:noWrap/>
                <w:vAlign w:val="center"/>
                <w:hideMark/>
              </w:tcPr>
              <w:p w14:paraId="4E34ED7C" w14:textId="77777777" w:rsidR="00FB4FAA" w:rsidRPr="00FB4FAA" w:rsidRDefault="00FB4FAA" w:rsidP="00FB4FAA">
                <w:pPr>
                  <w:spacing w:after="0" w:line="240" w:lineRule="auto"/>
                  <w:jc w:val="right"/>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0</w:t>
                </w:r>
              </w:p>
            </w:tc>
          </w:tr>
          <w:tr w:rsidR="00FD21E8" w:rsidRPr="00FB4FAA" w14:paraId="1B13058B" w14:textId="77777777" w:rsidTr="00FD21E8">
            <w:trPr>
              <w:trHeight w:val="285"/>
            </w:trPr>
            <w:tc>
              <w:tcPr>
                <w:tcW w:w="2447" w:type="pct"/>
                <w:gridSpan w:val="3"/>
                <w:tcBorders>
                  <w:top w:val="single" w:sz="4" w:space="0" w:color="A6A6A6"/>
                  <w:left w:val="single" w:sz="4" w:space="0" w:color="A6A6A6"/>
                  <w:bottom w:val="single" w:sz="4" w:space="0" w:color="A6A6A6"/>
                  <w:right w:val="single" w:sz="4" w:space="0" w:color="A6A6A6"/>
                </w:tcBorders>
                <w:noWrap/>
                <w:vAlign w:val="center"/>
                <w:hideMark/>
              </w:tcPr>
              <w:p w14:paraId="1C3B30B3" w14:textId="77777777" w:rsidR="00FB4FAA" w:rsidRPr="00FB4FAA" w:rsidRDefault="00FB4FAA" w:rsidP="00FB4FAA">
                <w:pPr>
                  <w:spacing w:after="0" w:line="240" w:lineRule="auto"/>
                  <w:rPr>
                    <w:rFonts w:ascii="Times New Roman" w:eastAsia="Times New Roman" w:hAnsi="Times New Roman"/>
                    <w:b/>
                    <w:bCs/>
                    <w:sz w:val="16"/>
                    <w:szCs w:val="16"/>
                    <w:lang w:eastAsia="es-CO"/>
                  </w:rPr>
                </w:pPr>
                <w:r w:rsidRPr="00FB4FAA">
                  <w:rPr>
                    <w:rFonts w:ascii="Times New Roman" w:eastAsia="Times New Roman" w:hAnsi="Times New Roman"/>
                    <w:b/>
                    <w:bCs/>
                    <w:sz w:val="16"/>
                    <w:szCs w:val="16"/>
                    <w:lang w:eastAsia="es-CO"/>
                  </w:rPr>
                  <w:t>ACTIVOS POR ACUERDOS DE CONCESIÓN</w:t>
                </w:r>
              </w:p>
            </w:tc>
            <w:tc>
              <w:tcPr>
                <w:tcW w:w="870" w:type="pct"/>
                <w:tcBorders>
                  <w:top w:val="single" w:sz="4" w:space="0" w:color="A6A6A6"/>
                  <w:left w:val="single" w:sz="4" w:space="0" w:color="A6A6A6"/>
                  <w:bottom w:val="single" w:sz="4" w:space="0" w:color="A6A6A6"/>
                  <w:right w:val="single" w:sz="4" w:space="0" w:color="A6A6A6"/>
                </w:tcBorders>
                <w:noWrap/>
                <w:vAlign w:val="center"/>
                <w:hideMark/>
              </w:tcPr>
              <w:p w14:paraId="25C7F708" w14:textId="77777777" w:rsidR="00FB4FAA" w:rsidRPr="00FB4FAA" w:rsidRDefault="00FB4FAA" w:rsidP="00FB4FAA">
                <w:pPr>
                  <w:spacing w:after="0" w:line="240" w:lineRule="auto"/>
                  <w:jc w:val="right"/>
                  <w:rPr>
                    <w:rFonts w:ascii="Times New Roman" w:eastAsia="Times New Roman" w:hAnsi="Times New Roman"/>
                    <w:b/>
                    <w:bCs/>
                    <w:sz w:val="16"/>
                    <w:szCs w:val="16"/>
                    <w:lang w:eastAsia="es-CO"/>
                  </w:rPr>
                </w:pPr>
                <w:r w:rsidRPr="00FB4FAA">
                  <w:rPr>
                    <w:rFonts w:ascii="Times New Roman" w:eastAsia="Times New Roman" w:hAnsi="Times New Roman"/>
                    <w:b/>
                    <w:bCs/>
                    <w:sz w:val="16"/>
                    <w:szCs w:val="16"/>
                    <w:lang w:eastAsia="es-CO"/>
                  </w:rPr>
                  <w:t>66.196.146.695.850</w:t>
                </w:r>
              </w:p>
            </w:tc>
            <w:tc>
              <w:tcPr>
                <w:tcW w:w="870" w:type="pct"/>
                <w:tcBorders>
                  <w:top w:val="single" w:sz="4" w:space="0" w:color="A6A6A6"/>
                  <w:left w:val="single" w:sz="4" w:space="0" w:color="A6A6A6"/>
                  <w:bottom w:val="single" w:sz="4" w:space="0" w:color="A6A6A6"/>
                  <w:right w:val="single" w:sz="4" w:space="0" w:color="A6A6A6"/>
                </w:tcBorders>
                <w:noWrap/>
                <w:vAlign w:val="center"/>
                <w:hideMark/>
              </w:tcPr>
              <w:p w14:paraId="035CA3A2" w14:textId="77777777" w:rsidR="00FB4FAA" w:rsidRPr="00FB4FAA" w:rsidRDefault="00FB4FAA" w:rsidP="00FB4FAA">
                <w:pPr>
                  <w:spacing w:after="0" w:line="240" w:lineRule="auto"/>
                  <w:jc w:val="right"/>
                  <w:rPr>
                    <w:rFonts w:ascii="Times New Roman" w:eastAsia="Times New Roman" w:hAnsi="Times New Roman"/>
                    <w:b/>
                    <w:bCs/>
                    <w:sz w:val="16"/>
                    <w:szCs w:val="16"/>
                    <w:lang w:eastAsia="es-CO"/>
                  </w:rPr>
                </w:pPr>
                <w:r w:rsidRPr="00FB4FAA">
                  <w:rPr>
                    <w:rFonts w:ascii="Times New Roman" w:eastAsia="Times New Roman" w:hAnsi="Times New Roman"/>
                    <w:b/>
                    <w:bCs/>
                    <w:sz w:val="16"/>
                    <w:szCs w:val="16"/>
                    <w:lang w:eastAsia="es-CO"/>
                  </w:rPr>
                  <w:t>60.055.420.677.637</w:t>
                </w:r>
              </w:p>
            </w:tc>
            <w:tc>
              <w:tcPr>
                <w:tcW w:w="813" w:type="pct"/>
                <w:tcBorders>
                  <w:top w:val="single" w:sz="4" w:space="0" w:color="A6A6A6"/>
                  <w:left w:val="single" w:sz="4" w:space="0" w:color="A6A6A6"/>
                  <w:bottom w:val="single" w:sz="4" w:space="0" w:color="A6A6A6"/>
                  <w:right w:val="single" w:sz="4" w:space="0" w:color="A6A6A6"/>
                </w:tcBorders>
                <w:noWrap/>
                <w:vAlign w:val="center"/>
                <w:hideMark/>
              </w:tcPr>
              <w:p w14:paraId="13FE3A66" w14:textId="77777777" w:rsidR="00FB4FAA" w:rsidRPr="00FB4FAA" w:rsidRDefault="00FB4FAA" w:rsidP="00FB4FAA">
                <w:pPr>
                  <w:spacing w:after="0" w:line="240" w:lineRule="auto"/>
                  <w:jc w:val="right"/>
                  <w:rPr>
                    <w:rFonts w:ascii="Times New Roman" w:eastAsia="Times New Roman" w:hAnsi="Times New Roman"/>
                    <w:b/>
                    <w:bCs/>
                    <w:sz w:val="16"/>
                    <w:szCs w:val="16"/>
                    <w:lang w:eastAsia="es-CO"/>
                  </w:rPr>
                </w:pPr>
                <w:r w:rsidRPr="00FB4FAA">
                  <w:rPr>
                    <w:rFonts w:ascii="Times New Roman" w:eastAsia="Times New Roman" w:hAnsi="Times New Roman"/>
                    <w:b/>
                    <w:bCs/>
                    <w:sz w:val="16"/>
                    <w:szCs w:val="16"/>
                    <w:lang w:eastAsia="es-CO"/>
                  </w:rPr>
                  <w:t>6.140.726.018.213</w:t>
                </w:r>
              </w:p>
            </w:tc>
          </w:tr>
          <w:tr w:rsidR="00FD21E8" w:rsidRPr="00FB4FAA" w14:paraId="50A347CA" w14:textId="77777777" w:rsidTr="00FD21E8">
            <w:trPr>
              <w:trHeight w:val="440"/>
            </w:trPr>
            <w:tc>
              <w:tcPr>
                <w:tcW w:w="623" w:type="pct"/>
                <w:tcBorders>
                  <w:top w:val="single" w:sz="4" w:space="0" w:color="A6A6A6"/>
                  <w:left w:val="single" w:sz="4" w:space="0" w:color="A6A6A6"/>
                  <w:bottom w:val="single" w:sz="4" w:space="0" w:color="A6A6A6"/>
                  <w:right w:val="single" w:sz="4" w:space="0" w:color="A6A6A6"/>
                </w:tcBorders>
                <w:noWrap/>
                <w:vAlign w:val="center"/>
                <w:hideMark/>
              </w:tcPr>
              <w:p w14:paraId="43C85899" w14:textId="77777777" w:rsidR="00FB4FAA" w:rsidRPr="00FB4FAA" w:rsidRDefault="00FB4FAA" w:rsidP="00FB4FAA">
                <w:pPr>
                  <w:spacing w:after="0" w:line="240" w:lineRule="auto"/>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2.3.14.13</w:t>
                </w:r>
              </w:p>
            </w:tc>
            <w:tc>
              <w:tcPr>
                <w:tcW w:w="323" w:type="pct"/>
                <w:tcBorders>
                  <w:top w:val="single" w:sz="4" w:space="0" w:color="A6A6A6"/>
                  <w:left w:val="single" w:sz="4" w:space="0" w:color="A6A6A6"/>
                  <w:bottom w:val="single" w:sz="4" w:space="0" w:color="A6A6A6"/>
                  <w:right w:val="nil"/>
                </w:tcBorders>
                <w:noWrap/>
                <w:vAlign w:val="center"/>
                <w:hideMark/>
              </w:tcPr>
              <w:p w14:paraId="77FBBAC6" w14:textId="77777777" w:rsidR="00FB4FAA" w:rsidRPr="00FB4FAA" w:rsidRDefault="00FB4FAA" w:rsidP="00FB4FAA">
                <w:pPr>
                  <w:spacing w:after="0" w:line="240" w:lineRule="auto"/>
                  <w:jc w:val="center"/>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Cr</w:t>
                </w:r>
              </w:p>
            </w:tc>
            <w:tc>
              <w:tcPr>
                <w:tcW w:w="1501" w:type="pct"/>
                <w:tcBorders>
                  <w:top w:val="single" w:sz="4" w:space="0" w:color="A6A6A6"/>
                  <w:left w:val="single" w:sz="4" w:space="0" w:color="A6A6A6"/>
                  <w:bottom w:val="single" w:sz="4" w:space="0" w:color="A6A6A6"/>
                  <w:right w:val="nil"/>
                </w:tcBorders>
                <w:vAlign w:val="center"/>
                <w:hideMark/>
              </w:tcPr>
              <w:p w14:paraId="0F392BED" w14:textId="77777777" w:rsidR="00FB4FAA" w:rsidRPr="00FB4FAA" w:rsidRDefault="00FB4FAA" w:rsidP="00FB4FAA">
                <w:pPr>
                  <w:spacing w:after="0" w:line="240" w:lineRule="auto"/>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Pasivo financiero por acuerdos de concesión (concedente)</w:t>
                </w:r>
              </w:p>
            </w:tc>
            <w:tc>
              <w:tcPr>
                <w:tcW w:w="870" w:type="pct"/>
                <w:tcBorders>
                  <w:top w:val="single" w:sz="4" w:space="0" w:color="A6A6A6"/>
                  <w:left w:val="single" w:sz="4" w:space="0" w:color="A6A6A6"/>
                  <w:bottom w:val="single" w:sz="4" w:space="0" w:color="A6A6A6"/>
                  <w:right w:val="single" w:sz="4" w:space="0" w:color="A6A6A6"/>
                </w:tcBorders>
                <w:noWrap/>
                <w:vAlign w:val="center"/>
                <w:hideMark/>
              </w:tcPr>
              <w:p w14:paraId="1F56EF74" w14:textId="77777777" w:rsidR="00FB4FAA" w:rsidRPr="00FB4FAA" w:rsidRDefault="00FB4FAA" w:rsidP="00FB4FAA">
                <w:pPr>
                  <w:spacing w:after="0" w:line="240" w:lineRule="auto"/>
                  <w:jc w:val="right"/>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21.176.173.330.889</w:t>
                </w:r>
              </w:p>
            </w:tc>
            <w:tc>
              <w:tcPr>
                <w:tcW w:w="870" w:type="pct"/>
                <w:tcBorders>
                  <w:top w:val="single" w:sz="4" w:space="0" w:color="A6A6A6"/>
                  <w:left w:val="single" w:sz="4" w:space="0" w:color="A6A6A6"/>
                  <w:bottom w:val="single" w:sz="4" w:space="0" w:color="A6A6A6"/>
                  <w:right w:val="single" w:sz="4" w:space="0" w:color="A6A6A6"/>
                </w:tcBorders>
                <w:noWrap/>
                <w:vAlign w:val="center"/>
                <w:hideMark/>
              </w:tcPr>
              <w:p w14:paraId="652CEC23" w14:textId="77777777" w:rsidR="00FB4FAA" w:rsidRPr="00FB4FAA" w:rsidRDefault="00FB4FAA" w:rsidP="00FB4FAA">
                <w:pPr>
                  <w:spacing w:after="0" w:line="240" w:lineRule="auto"/>
                  <w:jc w:val="right"/>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21.252.716.043.882</w:t>
                </w:r>
              </w:p>
            </w:tc>
            <w:tc>
              <w:tcPr>
                <w:tcW w:w="813" w:type="pct"/>
                <w:tcBorders>
                  <w:top w:val="single" w:sz="4" w:space="0" w:color="A6A6A6"/>
                  <w:left w:val="single" w:sz="4" w:space="0" w:color="A6A6A6"/>
                  <w:bottom w:val="single" w:sz="4" w:space="0" w:color="A6A6A6"/>
                  <w:right w:val="single" w:sz="4" w:space="0" w:color="A6A6A6"/>
                </w:tcBorders>
                <w:noWrap/>
                <w:vAlign w:val="center"/>
                <w:hideMark/>
              </w:tcPr>
              <w:p w14:paraId="076BE0FF" w14:textId="77777777" w:rsidR="00FB4FAA" w:rsidRPr="00FB4FAA" w:rsidRDefault="00FB4FAA" w:rsidP="00FB4FAA">
                <w:pPr>
                  <w:spacing w:after="0" w:line="240" w:lineRule="auto"/>
                  <w:jc w:val="right"/>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-76.542.712.993</w:t>
                </w:r>
              </w:p>
            </w:tc>
          </w:tr>
          <w:tr w:rsidR="00FD21E8" w:rsidRPr="00FB4FAA" w14:paraId="77CE442A" w14:textId="77777777" w:rsidTr="00FD21E8">
            <w:trPr>
              <w:trHeight w:val="300"/>
            </w:trPr>
            <w:tc>
              <w:tcPr>
                <w:tcW w:w="623" w:type="pct"/>
                <w:tcBorders>
                  <w:top w:val="single" w:sz="4" w:space="0" w:color="A6A6A6"/>
                  <w:left w:val="single" w:sz="4" w:space="0" w:color="A6A6A6"/>
                  <w:bottom w:val="single" w:sz="4" w:space="0" w:color="A6A6A6"/>
                  <w:right w:val="single" w:sz="4" w:space="0" w:color="A6A6A6"/>
                </w:tcBorders>
                <w:noWrap/>
                <w:vAlign w:val="center"/>
                <w:hideMark/>
              </w:tcPr>
              <w:p w14:paraId="2305F038" w14:textId="77777777" w:rsidR="00FB4FAA" w:rsidRPr="00FB4FAA" w:rsidRDefault="00FB4FAA" w:rsidP="00FB4FAA">
                <w:pPr>
                  <w:spacing w:after="0" w:line="240" w:lineRule="auto"/>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2.4.90.19</w:t>
                </w:r>
              </w:p>
            </w:tc>
            <w:tc>
              <w:tcPr>
                <w:tcW w:w="323" w:type="pct"/>
                <w:tcBorders>
                  <w:top w:val="single" w:sz="4" w:space="0" w:color="A6A6A6"/>
                  <w:left w:val="single" w:sz="4" w:space="0" w:color="A6A6A6"/>
                  <w:bottom w:val="single" w:sz="4" w:space="0" w:color="A6A6A6"/>
                  <w:right w:val="nil"/>
                </w:tcBorders>
                <w:noWrap/>
                <w:vAlign w:val="center"/>
                <w:hideMark/>
              </w:tcPr>
              <w:p w14:paraId="35DD5409" w14:textId="77777777" w:rsidR="00FB4FAA" w:rsidRPr="00FB4FAA" w:rsidRDefault="00FB4FAA" w:rsidP="00FB4FAA">
                <w:pPr>
                  <w:spacing w:after="0" w:line="240" w:lineRule="auto"/>
                  <w:jc w:val="center"/>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Cr</w:t>
                </w:r>
              </w:p>
            </w:tc>
            <w:tc>
              <w:tcPr>
                <w:tcW w:w="1501" w:type="pct"/>
                <w:tcBorders>
                  <w:top w:val="single" w:sz="4" w:space="0" w:color="A6A6A6"/>
                  <w:left w:val="single" w:sz="4" w:space="0" w:color="A6A6A6"/>
                  <w:bottom w:val="single" w:sz="4" w:space="0" w:color="A6A6A6"/>
                  <w:right w:val="nil"/>
                </w:tcBorders>
                <w:vAlign w:val="center"/>
                <w:hideMark/>
              </w:tcPr>
              <w:p w14:paraId="06ED9FE2" w14:textId="77777777" w:rsidR="00FB4FAA" w:rsidRPr="00FB4FAA" w:rsidRDefault="00FB4FAA" w:rsidP="00FB4FAA">
                <w:pPr>
                  <w:spacing w:after="0" w:line="240" w:lineRule="auto"/>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Cuentas por pagar: Garantías contractuales - concesiones</w:t>
                </w:r>
              </w:p>
            </w:tc>
            <w:tc>
              <w:tcPr>
                <w:tcW w:w="870" w:type="pct"/>
                <w:tcBorders>
                  <w:top w:val="single" w:sz="4" w:space="0" w:color="A6A6A6"/>
                  <w:left w:val="single" w:sz="4" w:space="0" w:color="A6A6A6"/>
                  <w:bottom w:val="single" w:sz="4" w:space="0" w:color="A6A6A6"/>
                  <w:right w:val="single" w:sz="4" w:space="0" w:color="A6A6A6"/>
                </w:tcBorders>
                <w:noWrap/>
                <w:vAlign w:val="center"/>
                <w:hideMark/>
              </w:tcPr>
              <w:p w14:paraId="651B66EF" w14:textId="77777777" w:rsidR="00FB4FAA" w:rsidRPr="00FB4FAA" w:rsidRDefault="00FB4FAA" w:rsidP="00FB4FAA">
                <w:pPr>
                  <w:spacing w:after="0" w:line="240" w:lineRule="auto"/>
                  <w:jc w:val="right"/>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0</w:t>
                </w:r>
              </w:p>
            </w:tc>
            <w:tc>
              <w:tcPr>
                <w:tcW w:w="870" w:type="pct"/>
                <w:tcBorders>
                  <w:top w:val="single" w:sz="4" w:space="0" w:color="A6A6A6"/>
                  <w:left w:val="single" w:sz="4" w:space="0" w:color="A6A6A6"/>
                  <w:bottom w:val="single" w:sz="4" w:space="0" w:color="A6A6A6"/>
                  <w:right w:val="single" w:sz="4" w:space="0" w:color="A6A6A6"/>
                </w:tcBorders>
                <w:noWrap/>
                <w:vAlign w:val="center"/>
                <w:hideMark/>
              </w:tcPr>
              <w:p w14:paraId="6748C3C0" w14:textId="77777777" w:rsidR="00FB4FAA" w:rsidRPr="00FB4FAA" w:rsidRDefault="00FB4FAA" w:rsidP="00FB4FAA">
                <w:pPr>
                  <w:spacing w:after="0" w:line="240" w:lineRule="auto"/>
                  <w:jc w:val="right"/>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270.641.373</w:t>
                </w:r>
              </w:p>
            </w:tc>
            <w:tc>
              <w:tcPr>
                <w:tcW w:w="813" w:type="pct"/>
                <w:tcBorders>
                  <w:top w:val="single" w:sz="4" w:space="0" w:color="A6A6A6"/>
                  <w:left w:val="single" w:sz="4" w:space="0" w:color="A6A6A6"/>
                  <w:bottom w:val="single" w:sz="4" w:space="0" w:color="A6A6A6"/>
                  <w:right w:val="single" w:sz="4" w:space="0" w:color="A6A6A6"/>
                </w:tcBorders>
                <w:noWrap/>
                <w:vAlign w:val="center"/>
                <w:hideMark/>
              </w:tcPr>
              <w:p w14:paraId="6D8A9049" w14:textId="77777777" w:rsidR="00FB4FAA" w:rsidRPr="00FB4FAA" w:rsidRDefault="00FB4FAA" w:rsidP="00FB4FAA">
                <w:pPr>
                  <w:spacing w:after="0" w:line="240" w:lineRule="auto"/>
                  <w:jc w:val="right"/>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-270.641.373</w:t>
                </w:r>
              </w:p>
            </w:tc>
          </w:tr>
          <w:tr w:rsidR="00FD21E8" w:rsidRPr="00FB4FAA" w14:paraId="11A0A91C" w14:textId="77777777" w:rsidTr="00FD21E8">
            <w:trPr>
              <w:trHeight w:val="300"/>
            </w:trPr>
            <w:tc>
              <w:tcPr>
                <w:tcW w:w="623" w:type="pct"/>
                <w:tcBorders>
                  <w:top w:val="single" w:sz="4" w:space="0" w:color="A6A6A6"/>
                  <w:left w:val="single" w:sz="4" w:space="0" w:color="A6A6A6"/>
                  <w:bottom w:val="single" w:sz="4" w:space="0" w:color="A6A6A6"/>
                  <w:right w:val="single" w:sz="4" w:space="0" w:color="A6A6A6"/>
                </w:tcBorders>
                <w:noWrap/>
                <w:vAlign w:val="center"/>
                <w:hideMark/>
              </w:tcPr>
              <w:p w14:paraId="3F1A0501" w14:textId="77777777" w:rsidR="00FB4FAA" w:rsidRPr="00FB4FAA" w:rsidRDefault="00FB4FAA" w:rsidP="00FB4FAA">
                <w:pPr>
                  <w:spacing w:after="0" w:line="240" w:lineRule="auto"/>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2.7.07.02</w:t>
                </w:r>
              </w:p>
            </w:tc>
            <w:tc>
              <w:tcPr>
                <w:tcW w:w="323" w:type="pct"/>
                <w:tcBorders>
                  <w:top w:val="single" w:sz="4" w:space="0" w:color="A6A6A6"/>
                  <w:left w:val="single" w:sz="4" w:space="0" w:color="A6A6A6"/>
                  <w:bottom w:val="single" w:sz="4" w:space="0" w:color="A6A6A6"/>
                  <w:right w:val="nil"/>
                </w:tcBorders>
                <w:noWrap/>
                <w:vAlign w:val="center"/>
                <w:hideMark/>
              </w:tcPr>
              <w:p w14:paraId="643EDA0B" w14:textId="77777777" w:rsidR="00FB4FAA" w:rsidRPr="00FB4FAA" w:rsidRDefault="00FB4FAA" w:rsidP="00FB4FAA">
                <w:pPr>
                  <w:spacing w:after="0" w:line="240" w:lineRule="auto"/>
                  <w:jc w:val="center"/>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Cr</w:t>
                </w:r>
              </w:p>
            </w:tc>
            <w:tc>
              <w:tcPr>
                <w:tcW w:w="1501" w:type="pct"/>
                <w:tcBorders>
                  <w:top w:val="single" w:sz="4" w:space="0" w:color="A6A6A6"/>
                  <w:left w:val="single" w:sz="4" w:space="0" w:color="A6A6A6"/>
                  <w:bottom w:val="single" w:sz="4" w:space="0" w:color="A6A6A6"/>
                  <w:right w:val="nil"/>
                </w:tcBorders>
                <w:vAlign w:val="center"/>
                <w:hideMark/>
              </w:tcPr>
              <w:p w14:paraId="5A3FBA4D" w14:textId="77777777" w:rsidR="00FB4FAA" w:rsidRPr="00FB4FAA" w:rsidRDefault="00FB4FAA" w:rsidP="00FB4FAA">
                <w:pPr>
                  <w:spacing w:after="0" w:line="240" w:lineRule="auto"/>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Provisiones: Garantías contractuales - concesiones</w:t>
                </w:r>
              </w:p>
            </w:tc>
            <w:tc>
              <w:tcPr>
                <w:tcW w:w="870" w:type="pct"/>
                <w:tcBorders>
                  <w:top w:val="single" w:sz="4" w:space="0" w:color="A6A6A6"/>
                  <w:left w:val="single" w:sz="4" w:space="0" w:color="A6A6A6"/>
                  <w:bottom w:val="single" w:sz="4" w:space="0" w:color="A6A6A6"/>
                  <w:right w:val="single" w:sz="4" w:space="0" w:color="A6A6A6"/>
                </w:tcBorders>
                <w:noWrap/>
                <w:vAlign w:val="center"/>
                <w:hideMark/>
              </w:tcPr>
              <w:p w14:paraId="59DB01CD" w14:textId="77777777" w:rsidR="00FB4FAA" w:rsidRPr="00FB4FAA" w:rsidRDefault="00FB4FAA" w:rsidP="00FB4FAA">
                <w:pPr>
                  <w:spacing w:after="0" w:line="240" w:lineRule="auto"/>
                  <w:rPr>
                    <w:rFonts w:ascii="Times New Roman" w:eastAsia="Times New Roman" w:hAnsi="Times New Roman"/>
                    <w:sz w:val="16"/>
                    <w:szCs w:val="16"/>
                    <w:lang w:eastAsia="es-CO"/>
                  </w:rPr>
                </w:pPr>
              </w:p>
            </w:tc>
            <w:tc>
              <w:tcPr>
                <w:tcW w:w="870" w:type="pct"/>
                <w:tcBorders>
                  <w:top w:val="single" w:sz="4" w:space="0" w:color="A6A6A6"/>
                  <w:left w:val="single" w:sz="4" w:space="0" w:color="A6A6A6"/>
                  <w:bottom w:val="single" w:sz="4" w:space="0" w:color="A6A6A6"/>
                  <w:right w:val="single" w:sz="4" w:space="0" w:color="A6A6A6"/>
                </w:tcBorders>
                <w:noWrap/>
                <w:vAlign w:val="center"/>
                <w:hideMark/>
              </w:tcPr>
              <w:p w14:paraId="41E0E98B" w14:textId="77777777" w:rsidR="00FB4FAA" w:rsidRPr="00FB4FAA" w:rsidRDefault="00FB4FAA" w:rsidP="00FB4FAA">
                <w:pPr>
                  <w:spacing w:after="0" w:line="240" w:lineRule="auto"/>
                  <w:rPr>
                    <w:rFonts w:ascii="Times New Roman" w:eastAsia="Times New Roman" w:hAnsi="Times New Roman"/>
                    <w:sz w:val="16"/>
                    <w:szCs w:val="16"/>
                    <w:lang w:eastAsia="es-CO"/>
                  </w:rPr>
                </w:pPr>
              </w:p>
            </w:tc>
            <w:tc>
              <w:tcPr>
                <w:tcW w:w="813" w:type="pct"/>
                <w:tcBorders>
                  <w:top w:val="single" w:sz="4" w:space="0" w:color="A6A6A6"/>
                  <w:left w:val="single" w:sz="4" w:space="0" w:color="A6A6A6"/>
                  <w:bottom w:val="single" w:sz="4" w:space="0" w:color="A6A6A6"/>
                  <w:right w:val="single" w:sz="4" w:space="0" w:color="A6A6A6"/>
                </w:tcBorders>
                <w:noWrap/>
                <w:vAlign w:val="center"/>
                <w:hideMark/>
              </w:tcPr>
              <w:p w14:paraId="6C6C4BB1" w14:textId="77777777" w:rsidR="00FB4FAA" w:rsidRPr="00FB4FAA" w:rsidRDefault="00FB4FAA" w:rsidP="00FB4FAA">
                <w:pPr>
                  <w:spacing w:after="0" w:line="240" w:lineRule="auto"/>
                  <w:jc w:val="right"/>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0</w:t>
                </w:r>
              </w:p>
            </w:tc>
          </w:tr>
          <w:tr w:rsidR="00FD21E8" w:rsidRPr="00FB4FAA" w14:paraId="35AA7E56" w14:textId="77777777" w:rsidTr="00FD21E8">
            <w:trPr>
              <w:trHeight w:val="300"/>
            </w:trPr>
            <w:tc>
              <w:tcPr>
                <w:tcW w:w="623" w:type="pct"/>
                <w:tcBorders>
                  <w:top w:val="single" w:sz="4" w:space="0" w:color="A6A6A6"/>
                  <w:left w:val="single" w:sz="4" w:space="0" w:color="A6A6A6"/>
                  <w:bottom w:val="single" w:sz="4" w:space="0" w:color="A6A6A6"/>
                  <w:right w:val="single" w:sz="4" w:space="0" w:color="A6A6A6"/>
                </w:tcBorders>
                <w:noWrap/>
                <w:vAlign w:val="center"/>
                <w:hideMark/>
              </w:tcPr>
              <w:p w14:paraId="5B84488C" w14:textId="77777777" w:rsidR="00FB4FAA" w:rsidRPr="00FB4FAA" w:rsidRDefault="00FB4FAA" w:rsidP="00FB4FAA">
                <w:pPr>
                  <w:spacing w:after="0" w:line="240" w:lineRule="auto"/>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2.9.90.04</w:t>
                </w:r>
              </w:p>
            </w:tc>
            <w:tc>
              <w:tcPr>
                <w:tcW w:w="323" w:type="pct"/>
                <w:tcBorders>
                  <w:top w:val="single" w:sz="4" w:space="0" w:color="A6A6A6"/>
                  <w:left w:val="single" w:sz="4" w:space="0" w:color="A6A6A6"/>
                  <w:bottom w:val="single" w:sz="4" w:space="0" w:color="A6A6A6"/>
                  <w:right w:val="nil"/>
                </w:tcBorders>
                <w:noWrap/>
                <w:vAlign w:val="center"/>
                <w:hideMark/>
              </w:tcPr>
              <w:p w14:paraId="7CE01798" w14:textId="77777777" w:rsidR="00FB4FAA" w:rsidRPr="00FB4FAA" w:rsidRDefault="00FB4FAA" w:rsidP="00FB4FAA">
                <w:pPr>
                  <w:spacing w:after="0" w:line="240" w:lineRule="auto"/>
                  <w:jc w:val="center"/>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Cr</w:t>
                </w:r>
              </w:p>
            </w:tc>
            <w:tc>
              <w:tcPr>
                <w:tcW w:w="1501" w:type="pct"/>
                <w:tcBorders>
                  <w:top w:val="single" w:sz="4" w:space="0" w:color="A6A6A6"/>
                  <w:left w:val="single" w:sz="4" w:space="0" w:color="A6A6A6"/>
                  <w:bottom w:val="single" w:sz="4" w:space="0" w:color="A6A6A6"/>
                  <w:right w:val="nil"/>
                </w:tcBorders>
                <w:vAlign w:val="center"/>
                <w:hideMark/>
              </w:tcPr>
              <w:p w14:paraId="3BF62246" w14:textId="77777777" w:rsidR="00FB4FAA" w:rsidRPr="00FB4FAA" w:rsidRDefault="00FB4FAA" w:rsidP="00FB4FAA">
                <w:pPr>
                  <w:spacing w:after="0" w:line="240" w:lineRule="auto"/>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Ingreso diferido por concesiones - concedente</w:t>
                </w:r>
              </w:p>
            </w:tc>
            <w:tc>
              <w:tcPr>
                <w:tcW w:w="870" w:type="pct"/>
                <w:tcBorders>
                  <w:top w:val="single" w:sz="4" w:space="0" w:color="A6A6A6"/>
                  <w:left w:val="single" w:sz="4" w:space="0" w:color="A6A6A6"/>
                  <w:bottom w:val="single" w:sz="4" w:space="0" w:color="A6A6A6"/>
                  <w:right w:val="single" w:sz="4" w:space="0" w:color="A6A6A6"/>
                </w:tcBorders>
                <w:noWrap/>
                <w:vAlign w:val="center"/>
                <w:hideMark/>
              </w:tcPr>
              <w:p w14:paraId="6C8D9B3D" w14:textId="77777777" w:rsidR="00FB4FAA" w:rsidRPr="00FB4FAA" w:rsidRDefault="00FB4FAA" w:rsidP="00FB4FAA">
                <w:pPr>
                  <w:spacing w:after="0" w:line="240" w:lineRule="auto"/>
                  <w:jc w:val="right"/>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25.875.582.952.074</w:t>
                </w:r>
              </w:p>
            </w:tc>
            <w:tc>
              <w:tcPr>
                <w:tcW w:w="870" w:type="pct"/>
                <w:tcBorders>
                  <w:top w:val="single" w:sz="4" w:space="0" w:color="A6A6A6"/>
                  <w:left w:val="single" w:sz="4" w:space="0" w:color="A6A6A6"/>
                  <w:bottom w:val="single" w:sz="4" w:space="0" w:color="A6A6A6"/>
                  <w:right w:val="single" w:sz="4" w:space="0" w:color="A6A6A6"/>
                </w:tcBorders>
                <w:noWrap/>
                <w:vAlign w:val="center"/>
                <w:hideMark/>
              </w:tcPr>
              <w:p w14:paraId="0F895BC3" w14:textId="77777777" w:rsidR="00FB4FAA" w:rsidRPr="00FB4FAA" w:rsidRDefault="00FB4FAA" w:rsidP="00FB4FAA">
                <w:pPr>
                  <w:spacing w:after="0" w:line="240" w:lineRule="auto"/>
                  <w:jc w:val="right"/>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23.002.391.792.746</w:t>
                </w:r>
              </w:p>
            </w:tc>
            <w:tc>
              <w:tcPr>
                <w:tcW w:w="813" w:type="pct"/>
                <w:tcBorders>
                  <w:top w:val="single" w:sz="4" w:space="0" w:color="A6A6A6"/>
                  <w:left w:val="single" w:sz="4" w:space="0" w:color="A6A6A6"/>
                  <w:bottom w:val="single" w:sz="4" w:space="0" w:color="A6A6A6"/>
                  <w:right w:val="single" w:sz="4" w:space="0" w:color="A6A6A6"/>
                </w:tcBorders>
                <w:noWrap/>
                <w:vAlign w:val="center"/>
                <w:hideMark/>
              </w:tcPr>
              <w:p w14:paraId="23921132" w14:textId="77777777" w:rsidR="00FB4FAA" w:rsidRPr="00FB4FAA" w:rsidRDefault="00FB4FAA" w:rsidP="00FB4FAA">
                <w:pPr>
                  <w:spacing w:after="0" w:line="240" w:lineRule="auto"/>
                  <w:jc w:val="right"/>
                  <w:rPr>
                    <w:rFonts w:ascii="Times New Roman" w:eastAsia="Times New Roman" w:hAnsi="Times New Roman"/>
                    <w:sz w:val="16"/>
                    <w:szCs w:val="16"/>
                    <w:lang w:eastAsia="es-CO"/>
                  </w:rPr>
                </w:pPr>
                <w:r w:rsidRPr="00FB4FAA">
                  <w:rPr>
                    <w:rFonts w:ascii="Times New Roman" w:eastAsia="Times New Roman" w:hAnsi="Times New Roman"/>
                    <w:sz w:val="16"/>
                    <w:szCs w:val="16"/>
                    <w:lang w:eastAsia="es-CO"/>
                  </w:rPr>
                  <w:t>2.873.191.159.328</w:t>
                </w:r>
              </w:p>
            </w:tc>
          </w:tr>
          <w:tr w:rsidR="00FD21E8" w:rsidRPr="00FB4FAA" w14:paraId="71082733" w14:textId="77777777" w:rsidTr="00FD21E8">
            <w:trPr>
              <w:trHeight w:val="285"/>
            </w:trPr>
            <w:tc>
              <w:tcPr>
                <w:tcW w:w="2447" w:type="pct"/>
                <w:gridSpan w:val="3"/>
                <w:tcBorders>
                  <w:top w:val="single" w:sz="4" w:space="0" w:color="A6A6A6"/>
                  <w:left w:val="single" w:sz="4" w:space="0" w:color="A6A6A6"/>
                  <w:bottom w:val="single" w:sz="4" w:space="0" w:color="A6A6A6"/>
                  <w:right w:val="single" w:sz="4" w:space="0" w:color="A6A6A6"/>
                </w:tcBorders>
                <w:noWrap/>
                <w:vAlign w:val="center"/>
                <w:hideMark/>
              </w:tcPr>
              <w:p w14:paraId="20B5BA93" w14:textId="77777777" w:rsidR="00FB4FAA" w:rsidRPr="00FB4FAA" w:rsidRDefault="00FB4FAA" w:rsidP="00FB4FAA">
                <w:pPr>
                  <w:spacing w:after="0" w:line="240" w:lineRule="auto"/>
                  <w:rPr>
                    <w:rFonts w:ascii="Times New Roman" w:eastAsia="Times New Roman" w:hAnsi="Times New Roman"/>
                    <w:b/>
                    <w:bCs/>
                    <w:sz w:val="16"/>
                    <w:szCs w:val="16"/>
                    <w:lang w:eastAsia="es-CO"/>
                  </w:rPr>
                </w:pPr>
                <w:r w:rsidRPr="00FB4FAA">
                  <w:rPr>
                    <w:rFonts w:ascii="Times New Roman" w:eastAsia="Times New Roman" w:hAnsi="Times New Roman"/>
                    <w:b/>
                    <w:bCs/>
                    <w:sz w:val="16"/>
                    <w:szCs w:val="16"/>
                    <w:lang w:eastAsia="es-CO"/>
                  </w:rPr>
                  <w:t>PASIVOS POR ACUERDOS DE CONCESIÓN</w:t>
                </w:r>
              </w:p>
            </w:tc>
            <w:tc>
              <w:tcPr>
                <w:tcW w:w="870" w:type="pct"/>
                <w:tcBorders>
                  <w:top w:val="single" w:sz="4" w:space="0" w:color="A6A6A6"/>
                  <w:left w:val="single" w:sz="4" w:space="0" w:color="A6A6A6"/>
                  <w:bottom w:val="single" w:sz="4" w:space="0" w:color="A6A6A6"/>
                  <w:right w:val="single" w:sz="4" w:space="0" w:color="A6A6A6"/>
                </w:tcBorders>
                <w:noWrap/>
                <w:vAlign w:val="center"/>
                <w:hideMark/>
              </w:tcPr>
              <w:p w14:paraId="76C36BAC" w14:textId="77777777" w:rsidR="00FB4FAA" w:rsidRPr="00FB4FAA" w:rsidRDefault="00FB4FAA" w:rsidP="00FB4FAA">
                <w:pPr>
                  <w:spacing w:after="0" w:line="240" w:lineRule="auto"/>
                  <w:jc w:val="right"/>
                  <w:rPr>
                    <w:rFonts w:ascii="Times New Roman" w:eastAsia="Times New Roman" w:hAnsi="Times New Roman"/>
                    <w:b/>
                    <w:bCs/>
                    <w:sz w:val="16"/>
                    <w:szCs w:val="16"/>
                    <w:lang w:eastAsia="es-CO"/>
                  </w:rPr>
                </w:pPr>
                <w:r w:rsidRPr="00FB4FAA">
                  <w:rPr>
                    <w:rFonts w:ascii="Times New Roman" w:eastAsia="Times New Roman" w:hAnsi="Times New Roman"/>
                    <w:b/>
                    <w:bCs/>
                    <w:sz w:val="16"/>
                    <w:szCs w:val="16"/>
                    <w:lang w:eastAsia="es-CO"/>
                  </w:rPr>
                  <w:t>47.051.756.282.963</w:t>
                </w:r>
              </w:p>
            </w:tc>
            <w:tc>
              <w:tcPr>
                <w:tcW w:w="870" w:type="pct"/>
                <w:tcBorders>
                  <w:top w:val="single" w:sz="4" w:space="0" w:color="A6A6A6"/>
                  <w:left w:val="single" w:sz="4" w:space="0" w:color="A6A6A6"/>
                  <w:bottom w:val="single" w:sz="4" w:space="0" w:color="A6A6A6"/>
                  <w:right w:val="single" w:sz="4" w:space="0" w:color="A6A6A6"/>
                </w:tcBorders>
                <w:noWrap/>
                <w:vAlign w:val="center"/>
                <w:hideMark/>
              </w:tcPr>
              <w:p w14:paraId="42069042" w14:textId="77777777" w:rsidR="00FB4FAA" w:rsidRPr="00FB4FAA" w:rsidRDefault="00FB4FAA" w:rsidP="00FB4FAA">
                <w:pPr>
                  <w:spacing w:after="0" w:line="240" w:lineRule="auto"/>
                  <w:jc w:val="right"/>
                  <w:rPr>
                    <w:rFonts w:ascii="Times New Roman" w:eastAsia="Times New Roman" w:hAnsi="Times New Roman"/>
                    <w:b/>
                    <w:bCs/>
                    <w:sz w:val="16"/>
                    <w:szCs w:val="16"/>
                    <w:lang w:eastAsia="es-CO"/>
                  </w:rPr>
                </w:pPr>
                <w:r w:rsidRPr="00FB4FAA">
                  <w:rPr>
                    <w:rFonts w:ascii="Times New Roman" w:eastAsia="Times New Roman" w:hAnsi="Times New Roman"/>
                    <w:b/>
                    <w:bCs/>
                    <w:sz w:val="16"/>
                    <w:szCs w:val="16"/>
                    <w:lang w:eastAsia="es-CO"/>
                  </w:rPr>
                  <w:t>44.255.378.478.001</w:t>
                </w:r>
              </w:p>
            </w:tc>
            <w:tc>
              <w:tcPr>
                <w:tcW w:w="813" w:type="pct"/>
                <w:tcBorders>
                  <w:top w:val="single" w:sz="4" w:space="0" w:color="A6A6A6"/>
                  <w:left w:val="single" w:sz="4" w:space="0" w:color="A6A6A6"/>
                  <w:bottom w:val="single" w:sz="4" w:space="0" w:color="A6A6A6"/>
                  <w:right w:val="single" w:sz="4" w:space="0" w:color="A6A6A6"/>
                </w:tcBorders>
                <w:noWrap/>
                <w:vAlign w:val="center"/>
                <w:hideMark/>
              </w:tcPr>
              <w:p w14:paraId="10D907AD" w14:textId="77777777" w:rsidR="00FB4FAA" w:rsidRPr="00FB4FAA" w:rsidRDefault="00FB4FAA" w:rsidP="00FB4FAA">
                <w:pPr>
                  <w:spacing w:after="0" w:line="240" w:lineRule="auto"/>
                  <w:jc w:val="right"/>
                  <w:rPr>
                    <w:rFonts w:ascii="Times New Roman" w:eastAsia="Times New Roman" w:hAnsi="Times New Roman"/>
                    <w:b/>
                    <w:bCs/>
                    <w:sz w:val="16"/>
                    <w:szCs w:val="16"/>
                    <w:lang w:eastAsia="es-CO"/>
                  </w:rPr>
                </w:pPr>
                <w:r w:rsidRPr="00FB4FAA">
                  <w:rPr>
                    <w:rFonts w:ascii="Times New Roman" w:eastAsia="Times New Roman" w:hAnsi="Times New Roman"/>
                    <w:b/>
                    <w:bCs/>
                    <w:sz w:val="16"/>
                    <w:szCs w:val="16"/>
                    <w:lang w:eastAsia="es-CO"/>
                  </w:rPr>
                  <w:t>2.796.377.804.962</w:t>
                </w:r>
              </w:p>
            </w:tc>
          </w:tr>
          <w:tr w:rsidR="00FD21E8" w:rsidRPr="00FB4FAA" w14:paraId="4182746D" w14:textId="77777777" w:rsidTr="00FD21E8">
            <w:trPr>
              <w:trHeight w:val="285"/>
            </w:trPr>
            <w:tc>
              <w:tcPr>
                <w:tcW w:w="2447" w:type="pct"/>
                <w:gridSpan w:val="3"/>
                <w:tcBorders>
                  <w:top w:val="single" w:sz="4" w:space="0" w:color="A6A6A6"/>
                  <w:left w:val="single" w:sz="4" w:space="0" w:color="A6A6A6"/>
                  <w:bottom w:val="single" w:sz="4" w:space="0" w:color="A6A6A6"/>
                  <w:right w:val="single" w:sz="4" w:space="0" w:color="A6A6A6"/>
                </w:tcBorders>
                <w:noWrap/>
                <w:vAlign w:val="center"/>
                <w:hideMark/>
              </w:tcPr>
              <w:p w14:paraId="513590F0" w14:textId="77777777" w:rsidR="00FB4FAA" w:rsidRPr="00FB4FAA" w:rsidRDefault="00FB4FAA" w:rsidP="00FB4FAA">
                <w:pPr>
                  <w:spacing w:after="0" w:line="240" w:lineRule="auto"/>
                  <w:rPr>
                    <w:rFonts w:ascii="Times New Roman" w:eastAsia="Times New Roman" w:hAnsi="Times New Roman"/>
                    <w:b/>
                    <w:bCs/>
                    <w:sz w:val="16"/>
                    <w:szCs w:val="16"/>
                    <w:lang w:eastAsia="es-CO"/>
                  </w:rPr>
                </w:pPr>
                <w:r w:rsidRPr="00FB4FAA">
                  <w:rPr>
                    <w:rFonts w:ascii="Times New Roman" w:eastAsia="Times New Roman" w:hAnsi="Times New Roman"/>
                    <w:b/>
                    <w:bCs/>
                    <w:sz w:val="16"/>
                    <w:szCs w:val="16"/>
                    <w:lang w:eastAsia="es-CO"/>
                  </w:rPr>
                  <w:t>NETO ACUERDOS DE CONCESIÓN</w:t>
                </w:r>
              </w:p>
            </w:tc>
            <w:tc>
              <w:tcPr>
                <w:tcW w:w="870" w:type="pct"/>
                <w:tcBorders>
                  <w:top w:val="single" w:sz="4" w:space="0" w:color="A6A6A6"/>
                  <w:left w:val="single" w:sz="4" w:space="0" w:color="A6A6A6"/>
                  <w:bottom w:val="single" w:sz="4" w:space="0" w:color="A6A6A6"/>
                  <w:right w:val="single" w:sz="4" w:space="0" w:color="A6A6A6"/>
                </w:tcBorders>
                <w:noWrap/>
                <w:vAlign w:val="center"/>
                <w:hideMark/>
              </w:tcPr>
              <w:p w14:paraId="0F06370F" w14:textId="77777777" w:rsidR="00FB4FAA" w:rsidRPr="00FB4FAA" w:rsidRDefault="00FB4FAA" w:rsidP="00FB4FAA">
                <w:pPr>
                  <w:spacing w:after="0" w:line="240" w:lineRule="auto"/>
                  <w:jc w:val="right"/>
                  <w:rPr>
                    <w:rFonts w:ascii="Times New Roman" w:eastAsia="Times New Roman" w:hAnsi="Times New Roman"/>
                    <w:b/>
                    <w:bCs/>
                    <w:sz w:val="16"/>
                    <w:szCs w:val="16"/>
                    <w:lang w:eastAsia="es-CO"/>
                  </w:rPr>
                </w:pPr>
                <w:r w:rsidRPr="00FB4FAA">
                  <w:rPr>
                    <w:rFonts w:ascii="Times New Roman" w:eastAsia="Times New Roman" w:hAnsi="Times New Roman"/>
                    <w:b/>
                    <w:bCs/>
                    <w:sz w:val="16"/>
                    <w:szCs w:val="16"/>
                    <w:lang w:eastAsia="es-CO"/>
                  </w:rPr>
                  <w:t>19.144.390.412.887</w:t>
                </w:r>
              </w:p>
            </w:tc>
            <w:tc>
              <w:tcPr>
                <w:tcW w:w="870" w:type="pct"/>
                <w:tcBorders>
                  <w:top w:val="single" w:sz="4" w:space="0" w:color="A6A6A6"/>
                  <w:left w:val="single" w:sz="4" w:space="0" w:color="A6A6A6"/>
                  <w:bottom w:val="single" w:sz="4" w:space="0" w:color="A6A6A6"/>
                  <w:right w:val="single" w:sz="4" w:space="0" w:color="A6A6A6"/>
                </w:tcBorders>
                <w:noWrap/>
                <w:vAlign w:val="center"/>
                <w:hideMark/>
              </w:tcPr>
              <w:p w14:paraId="7C7AF531" w14:textId="77777777" w:rsidR="00FB4FAA" w:rsidRPr="00FB4FAA" w:rsidRDefault="00FB4FAA" w:rsidP="00FB4FAA">
                <w:pPr>
                  <w:spacing w:after="0" w:line="240" w:lineRule="auto"/>
                  <w:jc w:val="right"/>
                  <w:rPr>
                    <w:rFonts w:ascii="Times New Roman" w:eastAsia="Times New Roman" w:hAnsi="Times New Roman"/>
                    <w:b/>
                    <w:bCs/>
                    <w:sz w:val="16"/>
                    <w:szCs w:val="16"/>
                    <w:lang w:eastAsia="es-CO"/>
                  </w:rPr>
                </w:pPr>
                <w:r w:rsidRPr="00FB4FAA">
                  <w:rPr>
                    <w:rFonts w:ascii="Times New Roman" w:eastAsia="Times New Roman" w:hAnsi="Times New Roman"/>
                    <w:b/>
                    <w:bCs/>
                    <w:sz w:val="16"/>
                    <w:szCs w:val="16"/>
                    <w:lang w:eastAsia="es-CO"/>
                  </w:rPr>
                  <w:t>15.800.042.199.636</w:t>
                </w:r>
              </w:p>
            </w:tc>
            <w:tc>
              <w:tcPr>
                <w:tcW w:w="813" w:type="pct"/>
                <w:tcBorders>
                  <w:top w:val="single" w:sz="4" w:space="0" w:color="A6A6A6"/>
                  <w:left w:val="single" w:sz="4" w:space="0" w:color="A6A6A6"/>
                  <w:bottom w:val="single" w:sz="4" w:space="0" w:color="A6A6A6"/>
                  <w:right w:val="single" w:sz="4" w:space="0" w:color="A6A6A6"/>
                </w:tcBorders>
                <w:noWrap/>
                <w:vAlign w:val="center"/>
                <w:hideMark/>
              </w:tcPr>
              <w:p w14:paraId="141D423A" w14:textId="77777777" w:rsidR="00FB4FAA" w:rsidRPr="00FB4FAA" w:rsidRDefault="00FB4FAA" w:rsidP="00FB4FAA">
                <w:pPr>
                  <w:spacing w:after="0" w:line="240" w:lineRule="auto"/>
                  <w:jc w:val="right"/>
                  <w:rPr>
                    <w:rFonts w:ascii="Times New Roman" w:eastAsia="Times New Roman" w:hAnsi="Times New Roman"/>
                    <w:b/>
                    <w:bCs/>
                    <w:sz w:val="16"/>
                    <w:szCs w:val="16"/>
                    <w:lang w:eastAsia="es-CO"/>
                  </w:rPr>
                </w:pPr>
                <w:r w:rsidRPr="00FB4FAA">
                  <w:rPr>
                    <w:rFonts w:ascii="Times New Roman" w:eastAsia="Times New Roman" w:hAnsi="Times New Roman"/>
                    <w:b/>
                    <w:bCs/>
                    <w:sz w:val="16"/>
                    <w:szCs w:val="16"/>
                    <w:lang w:eastAsia="es-CO"/>
                  </w:rPr>
                  <w:t>3.344.348.213.251</w:t>
                </w:r>
              </w:p>
            </w:tc>
          </w:tr>
        </w:tbl>
        <w:p w14:paraId="677979ED" w14:textId="21748DE5" w:rsidR="00F93FD9" w:rsidRPr="00931DCE" w:rsidRDefault="000419F7" w:rsidP="00F543D8">
          <w:pPr>
            <w:spacing w:after="0" w:line="240" w:lineRule="auto"/>
            <w:rPr>
              <w:rFonts w:ascii="Times New Roman" w:hAnsi="Times New Roman"/>
              <w:sz w:val="14"/>
              <w:szCs w:val="14"/>
            </w:rPr>
          </w:pPr>
          <w:r w:rsidRPr="00931DCE">
            <w:rPr>
              <w:rFonts w:ascii="Times New Roman" w:hAnsi="Times New Roman"/>
              <w:sz w:val="14"/>
              <w:szCs w:val="14"/>
            </w:rPr>
            <w:t>Cifras en pesos</w:t>
          </w:r>
        </w:p>
        <w:p w14:paraId="31D46C1B" w14:textId="77777777" w:rsidR="00F543D8" w:rsidRPr="00931DCE" w:rsidRDefault="00F543D8" w:rsidP="00F543D8">
          <w:pPr>
            <w:spacing w:after="0" w:line="240" w:lineRule="auto"/>
            <w:rPr>
              <w:rFonts w:ascii="Times New Roman" w:hAnsi="Times New Roman"/>
              <w:sz w:val="24"/>
              <w:szCs w:val="24"/>
            </w:rPr>
          </w:pPr>
        </w:p>
        <w:p w14:paraId="1CA87B14" w14:textId="3232F1F8" w:rsidR="00804BAC" w:rsidRPr="00931DCE" w:rsidRDefault="00804BAC">
          <w:pPr>
            <w:pStyle w:val="Ttulo2"/>
            <w:numPr>
              <w:ilvl w:val="1"/>
              <w:numId w:val="21"/>
            </w:numPr>
            <w:spacing w:line="240" w:lineRule="auto"/>
            <w:ind w:left="567" w:hanging="567"/>
            <w:rPr>
              <w:rFonts w:cs="Times New Roman"/>
              <w:szCs w:val="24"/>
            </w:rPr>
          </w:pPr>
          <w:bookmarkStart w:id="122" w:name="_Toc159952446"/>
          <w:r w:rsidRPr="00931DCE">
            <w:rPr>
              <w:rFonts w:cs="Times New Roman"/>
              <w:szCs w:val="24"/>
            </w:rPr>
            <w:t>Detalle</w:t>
          </w:r>
          <w:r w:rsidR="00173D29" w:rsidRPr="00931DCE">
            <w:rPr>
              <w:rFonts w:cs="Times New Roman"/>
              <w:szCs w:val="24"/>
            </w:rPr>
            <w:t xml:space="preserve"> de los acuerdos de concesión</w:t>
          </w:r>
          <w:bookmarkEnd w:id="122"/>
        </w:p>
        <w:p w14:paraId="06868231" w14:textId="6A774792" w:rsidR="00804BAC" w:rsidRPr="00931DCE" w:rsidRDefault="00804BAC" w:rsidP="009759FC">
          <w:pPr>
            <w:spacing w:after="0" w:line="240" w:lineRule="auto"/>
            <w:jc w:val="both"/>
            <w:rPr>
              <w:rFonts w:ascii="Times New Roman" w:hAnsi="Times New Roman"/>
              <w:sz w:val="24"/>
              <w:szCs w:val="24"/>
            </w:rPr>
          </w:pPr>
        </w:p>
        <w:p w14:paraId="63526E0C" w14:textId="77777777" w:rsidR="009759FC" w:rsidRPr="00931DCE" w:rsidRDefault="009759FC" w:rsidP="009759FC">
          <w:pPr>
            <w:pStyle w:val="Ttulo2"/>
            <w:numPr>
              <w:ilvl w:val="0"/>
              <w:numId w:val="0"/>
            </w:numPr>
            <w:rPr>
              <w:rFonts w:cs="Times New Roman"/>
            </w:rPr>
          </w:pPr>
          <w:bookmarkStart w:id="123" w:name="_Toc159952447"/>
          <w:r w:rsidRPr="00931DCE">
            <w:rPr>
              <w:rFonts w:cs="Times New Roman"/>
            </w:rPr>
            <w:t>Composición</w:t>
          </w:r>
          <w:bookmarkEnd w:id="123"/>
        </w:p>
        <w:p w14:paraId="7D01ACD6" w14:textId="77777777" w:rsidR="009759FC" w:rsidRPr="00931DCE" w:rsidRDefault="009759FC" w:rsidP="009759FC">
          <w:pPr>
            <w:spacing w:after="0" w:line="240" w:lineRule="auto"/>
            <w:jc w:val="both"/>
            <w:rPr>
              <w:rFonts w:ascii="Times New Roman" w:hAnsi="Times New Roman"/>
              <w:sz w:val="24"/>
              <w:szCs w:val="24"/>
            </w:rPr>
          </w:pPr>
        </w:p>
        <w:p w14:paraId="3EC596CC" w14:textId="4D48FEF7" w:rsidR="00127FD9" w:rsidRPr="00931DCE" w:rsidRDefault="005B2D7C" w:rsidP="00F543D8">
          <w:pPr>
            <w:pStyle w:val="Ttulo3"/>
            <w:spacing w:line="240" w:lineRule="auto"/>
            <w:rPr>
              <w:rFonts w:cs="Times New Roman"/>
              <w:color w:val="1F3864" w:themeColor="accent1" w:themeShade="80"/>
            </w:rPr>
          </w:pPr>
          <w:bookmarkStart w:id="124" w:name="_Toc159952448"/>
          <w:r w:rsidRPr="00931DCE">
            <w:rPr>
              <w:rFonts w:cs="Times New Roman"/>
              <w:color w:val="1F3864" w:themeColor="accent1" w:themeShade="80"/>
            </w:rPr>
            <w:t xml:space="preserve">32.1.1 </w:t>
          </w:r>
          <w:r w:rsidR="00C93DE0" w:rsidRPr="00931DCE">
            <w:rPr>
              <w:rFonts w:cs="Times New Roman"/>
              <w:color w:val="1F3864" w:themeColor="accent1" w:themeShade="80"/>
            </w:rPr>
            <w:t>Modo Carretero:</w:t>
          </w:r>
          <w:bookmarkEnd w:id="124"/>
        </w:p>
        <w:p w14:paraId="1518F153" w14:textId="6C54AA0F" w:rsidR="00C93DE0" w:rsidRPr="00931DCE" w:rsidRDefault="00C93DE0" w:rsidP="00F543D8">
          <w:pPr>
            <w:spacing w:after="0" w:line="240" w:lineRule="auto"/>
            <w:jc w:val="both"/>
            <w:rPr>
              <w:rFonts w:ascii="Times New Roman" w:hAnsi="Times New Roman"/>
              <w:color w:val="000000" w:themeColor="text1"/>
              <w:sz w:val="24"/>
              <w:szCs w:val="24"/>
            </w:rPr>
          </w:pPr>
        </w:p>
        <w:p w14:paraId="3CA2667D" w14:textId="77777777" w:rsidR="009759FC" w:rsidRDefault="009759FC" w:rsidP="009759FC">
          <w:pPr>
            <w:pStyle w:val="Ttulo2"/>
            <w:numPr>
              <w:ilvl w:val="0"/>
              <w:numId w:val="0"/>
            </w:numPr>
            <w:rPr>
              <w:rFonts w:cs="Times New Roman"/>
            </w:rPr>
          </w:pPr>
          <w:bookmarkStart w:id="125" w:name="_Toc159952449"/>
          <w:r w:rsidRPr="00931DCE">
            <w:rPr>
              <w:rFonts w:cs="Times New Roman"/>
            </w:rPr>
            <w:t>Composición</w:t>
          </w:r>
          <w:bookmarkEnd w:id="125"/>
        </w:p>
        <w:p w14:paraId="07424646" w14:textId="306234A7" w:rsidR="0072073F" w:rsidRPr="0072073F" w:rsidRDefault="0072073F" w:rsidP="0072073F"/>
        <w:tbl>
          <w:tblPr>
            <w:tblW w:w="5000" w:type="pct"/>
            <w:tblBorders>
              <w:top w:val="single" w:sz="8" w:space="0" w:color="808080"/>
              <w:left w:val="single" w:sz="8" w:space="0" w:color="808080"/>
              <w:bottom w:val="single" w:sz="8" w:space="0" w:color="808080"/>
              <w:right w:val="single" w:sz="8" w:space="0" w:color="808080"/>
              <w:insideH w:val="single" w:sz="6" w:space="0" w:color="808080"/>
              <w:insideV w:val="single" w:sz="6" w:space="0" w:color="808080"/>
            </w:tblBorders>
            <w:tblCellMar>
              <w:left w:w="70" w:type="dxa"/>
              <w:right w:w="70" w:type="dxa"/>
            </w:tblCellMar>
            <w:tblLook w:val="04A0" w:firstRow="1" w:lastRow="0" w:firstColumn="1" w:lastColumn="0" w:noHBand="0" w:noVBand="1"/>
          </w:tblPr>
          <w:tblGrid>
            <w:gridCol w:w="3542"/>
            <w:gridCol w:w="1735"/>
            <w:gridCol w:w="1841"/>
            <w:gridCol w:w="1841"/>
          </w:tblGrid>
          <w:tr w:rsidR="00E53C94" w:rsidRPr="00E53C94" w14:paraId="042CE23F" w14:textId="77777777" w:rsidTr="00094B9B">
            <w:trPr>
              <w:trHeight w:val="340"/>
              <w:tblHeader/>
            </w:trPr>
            <w:tc>
              <w:tcPr>
                <w:tcW w:w="1827" w:type="pct"/>
                <w:shd w:val="clear" w:color="auto" w:fill="auto"/>
                <w:noWrap/>
                <w:vAlign w:val="center"/>
                <w:hideMark/>
              </w:tcPr>
              <w:p w14:paraId="4FD08408" w14:textId="21B007F2" w:rsidR="00E53C94" w:rsidRPr="00E53C94" w:rsidRDefault="00140471" w:rsidP="00E53C94">
                <w:pPr>
                  <w:spacing w:after="0" w:line="240" w:lineRule="auto"/>
                  <w:jc w:val="center"/>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PROYECTO/TIPO DE ACTIVO</w:t>
                </w:r>
              </w:p>
            </w:tc>
            <w:tc>
              <w:tcPr>
                <w:tcW w:w="1020" w:type="pct"/>
                <w:shd w:val="clear" w:color="auto" w:fill="auto"/>
                <w:noWrap/>
                <w:vAlign w:val="center"/>
                <w:hideMark/>
              </w:tcPr>
              <w:p w14:paraId="0D65F8F5" w14:textId="642EEE22" w:rsidR="00E53C94" w:rsidRPr="00E53C94" w:rsidRDefault="00140471" w:rsidP="00E53C94">
                <w:pPr>
                  <w:spacing w:after="0" w:line="240" w:lineRule="auto"/>
                  <w:jc w:val="center"/>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2023</w:t>
                </w:r>
              </w:p>
            </w:tc>
            <w:tc>
              <w:tcPr>
                <w:tcW w:w="1076" w:type="pct"/>
                <w:shd w:val="clear" w:color="auto" w:fill="auto"/>
                <w:noWrap/>
                <w:vAlign w:val="center"/>
                <w:hideMark/>
              </w:tcPr>
              <w:p w14:paraId="1C0C7E83" w14:textId="7DFF4FD8" w:rsidR="00E53C94" w:rsidRPr="00E53C94" w:rsidRDefault="00140471" w:rsidP="00E53C94">
                <w:pPr>
                  <w:spacing w:after="0" w:line="240" w:lineRule="auto"/>
                  <w:jc w:val="center"/>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2022</w:t>
                </w:r>
              </w:p>
            </w:tc>
            <w:tc>
              <w:tcPr>
                <w:tcW w:w="1076" w:type="pct"/>
                <w:shd w:val="clear" w:color="auto" w:fill="auto"/>
                <w:noWrap/>
                <w:vAlign w:val="center"/>
                <w:hideMark/>
              </w:tcPr>
              <w:p w14:paraId="265E2136" w14:textId="12B9C119" w:rsidR="00E53C94" w:rsidRPr="00E53C94" w:rsidRDefault="00140471" w:rsidP="00E53C94">
                <w:pPr>
                  <w:spacing w:after="0" w:line="240" w:lineRule="auto"/>
                  <w:jc w:val="center"/>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VARIACIÓN</w:t>
                </w:r>
              </w:p>
            </w:tc>
          </w:tr>
          <w:tr w:rsidR="00E53C94" w:rsidRPr="00E53C94" w14:paraId="697C0992" w14:textId="77777777" w:rsidTr="00357A89">
            <w:trPr>
              <w:trHeight w:val="340"/>
            </w:trPr>
            <w:tc>
              <w:tcPr>
                <w:tcW w:w="1827" w:type="pct"/>
                <w:shd w:val="clear" w:color="auto" w:fill="auto"/>
                <w:noWrap/>
                <w:vAlign w:val="center"/>
                <w:hideMark/>
              </w:tcPr>
              <w:p w14:paraId="48F04541" w14:textId="77777777" w:rsidR="00E53C94" w:rsidRPr="00E53C94" w:rsidRDefault="00E53C94" w:rsidP="00E53C94">
                <w:pPr>
                  <w:spacing w:after="0" w:line="240" w:lineRule="auto"/>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ACCESOS NORTE DE BOGOTA S.A.S.</w:t>
                </w:r>
              </w:p>
            </w:tc>
            <w:tc>
              <w:tcPr>
                <w:tcW w:w="1020" w:type="pct"/>
                <w:shd w:val="clear" w:color="auto" w:fill="auto"/>
                <w:noWrap/>
                <w:vAlign w:val="center"/>
                <w:hideMark/>
              </w:tcPr>
              <w:p w14:paraId="449DBB8F"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782.766.319.715</w:t>
                </w:r>
              </w:p>
            </w:tc>
            <w:tc>
              <w:tcPr>
                <w:tcW w:w="1076" w:type="pct"/>
                <w:shd w:val="clear" w:color="auto" w:fill="auto"/>
                <w:noWrap/>
                <w:vAlign w:val="center"/>
                <w:hideMark/>
              </w:tcPr>
              <w:p w14:paraId="72313AD5"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704.629.142.223</w:t>
                </w:r>
              </w:p>
            </w:tc>
            <w:tc>
              <w:tcPr>
                <w:tcW w:w="1076" w:type="pct"/>
                <w:shd w:val="clear" w:color="auto" w:fill="auto"/>
                <w:noWrap/>
                <w:vAlign w:val="center"/>
                <w:hideMark/>
              </w:tcPr>
              <w:p w14:paraId="65AAEE12"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78.137.177.492</w:t>
                </w:r>
              </w:p>
            </w:tc>
          </w:tr>
          <w:tr w:rsidR="00E53C94" w:rsidRPr="00E53C94" w14:paraId="7C307BD2" w14:textId="77777777" w:rsidTr="00357A89">
            <w:trPr>
              <w:trHeight w:val="340"/>
            </w:trPr>
            <w:tc>
              <w:tcPr>
                <w:tcW w:w="1827" w:type="pct"/>
                <w:shd w:val="clear" w:color="auto" w:fill="auto"/>
                <w:noWrap/>
                <w:vAlign w:val="center"/>
                <w:hideMark/>
              </w:tcPr>
              <w:p w14:paraId="5688087E"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Propiedades, planta y equipo en concesión</w:t>
                </w:r>
              </w:p>
            </w:tc>
            <w:tc>
              <w:tcPr>
                <w:tcW w:w="1020" w:type="pct"/>
                <w:shd w:val="clear" w:color="000000" w:fill="FFFFFF"/>
                <w:noWrap/>
                <w:vAlign w:val="center"/>
                <w:hideMark/>
              </w:tcPr>
              <w:p w14:paraId="3BBABD8A"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1.270.058.000</w:t>
                </w:r>
              </w:p>
            </w:tc>
            <w:tc>
              <w:tcPr>
                <w:tcW w:w="1076" w:type="pct"/>
                <w:shd w:val="clear" w:color="auto" w:fill="auto"/>
                <w:noWrap/>
                <w:vAlign w:val="center"/>
                <w:hideMark/>
              </w:tcPr>
              <w:p w14:paraId="060622F7"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1.270.058.000</w:t>
                </w:r>
              </w:p>
            </w:tc>
            <w:tc>
              <w:tcPr>
                <w:tcW w:w="1076" w:type="pct"/>
                <w:shd w:val="clear" w:color="auto" w:fill="auto"/>
                <w:noWrap/>
                <w:vAlign w:val="center"/>
                <w:hideMark/>
              </w:tcPr>
              <w:p w14:paraId="34780A50"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0</w:t>
                </w:r>
              </w:p>
            </w:tc>
          </w:tr>
          <w:tr w:rsidR="00E53C94" w:rsidRPr="00E53C94" w14:paraId="3C2E724E" w14:textId="77777777" w:rsidTr="00357A89">
            <w:trPr>
              <w:trHeight w:val="340"/>
            </w:trPr>
            <w:tc>
              <w:tcPr>
                <w:tcW w:w="1827" w:type="pct"/>
                <w:shd w:val="clear" w:color="auto" w:fill="auto"/>
                <w:noWrap/>
                <w:vAlign w:val="center"/>
                <w:hideMark/>
              </w:tcPr>
              <w:p w14:paraId="6B0B228B"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Red carretera en construcción</w:t>
                </w:r>
              </w:p>
            </w:tc>
            <w:tc>
              <w:tcPr>
                <w:tcW w:w="1020" w:type="pct"/>
                <w:shd w:val="clear" w:color="000000" w:fill="FFFFFF"/>
                <w:noWrap/>
                <w:vAlign w:val="center"/>
                <w:hideMark/>
              </w:tcPr>
              <w:p w14:paraId="2539270F"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680.963.790.957</w:t>
                </w:r>
              </w:p>
            </w:tc>
            <w:tc>
              <w:tcPr>
                <w:tcW w:w="1076" w:type="pct"/>
                <w:shd w:val="clear" w:color="auto" w:fill="auto"/>
                <w:noWrap/>
                <w:vAlign w:val="center"/>
                <w:hideMark/>
              </w:tcPr>
              <w:p w14:paraId="1C9C27F8"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614.254.448.505</w:t>
                </w:r>
              </w:p>
            </w:tc>
            <w:tc>
              <w:tcPr>
                <w:tcW w:w="1076" w:type="pct"/>
                <w:shd w:val="clear" w:color="auto" w:fill="auto"/>
                <w:noWrap/>
                <w:vAlign w:val="center"/>
                <w:hideMark/>
              </w:tcPr>
              <w:p w14:paraId="2DB60D71"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66.709.342.452</w:t>
                </w:r>
              </w:p>
            </w:tc>
          </w:tr>
          <w:tr w:rsidR="00E53C94" w:rsidRPr="00E53C94" w14:paraId="15AF488C" w14:textId="77777777" w:rsidTr="00357A89">
            <w:trPr>
              <w:trHeight w:val="340"/>
            </w:trPr>
            <w:tc>
              <w:tcPr>
                <w:tcW w:w="1827" w:type="pct"/>
                <w:shd w:val="clear" w:color="auto" w:fill="auto"/>
                <w:noWrap/>
                <w:vAlign w:val="center"/>
                <w:hideMark/>
              </w:tcPr>
              <w:p w14:paraId="5CE3F466"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Terrenos en construcción</w:t>
                </w:r>
              </w:p>
            </w:tc>
            <w:tc>
              <w:tcPr>
                <w:tcW w:w="1020" w:type="pct"/>
                <w:shd w:val="clear" w:color="000000" w:fill="FFFFFF"/>
                <w:noWrap/>
                <w:vAlign w:val="center"/>
                <w:hideMark/>
              </w:tcPr>
              <w:p w14:paraId="3023D3A2"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100.532.470.758</w:t>
                </w:r>
              </w:p>
            </w:tc>
            <w:tc>
              <w:tcPr>
                <w:tcW w:w="1076" w:type="pct"/>
                <w:shd w:val="clear" w:color="auto" w:fill="auto"/>
                <w:noWrap/>
                <w:vAlign w:val="center"/>
                <w:hideMark/>
              </w:tcPr>
              <w:p w14:paraId="697ABAE0"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89.104.635.718</w:t>
                </w:r>
              </w:p>
            </w:tc>
            <w:tc>
              <w:tcPr>
                <w:tcW w:w="1076" w:type="pct"/>
                <w:shd w:val="clear" w:color="auto" w:fill="auto"/>
                <w:noWrap/>
                <w:vAlign w:val="center"/>
                <w:hideMark/>
              </w:tcPr>
              <w:p w14:paraId="24601917"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11.427.835.040</w:t>
                </w:r>
              </w:p>
            </w:tc>
          </w:tr>
          <w:tr w:rsidR="00E53C94" w:rsidRPr="00E53C94" w14:paraId="7462E842" w14:textId="77777777" w:rsidTr="00357A89">
            <w:trPr>
              <w:trHeight w:val="340"/>
            </w:trPr>
            <w:tc>
              <w:tcPr>
                <w:tcW w:w="1827" w:type="pct"/>
                <w:shd w:val="clear" w:color="auto" w:fill="auto"/>
                <w:noWrap/>
                <w:vAlign w:val="center"/>
                <w:hideMark/>
              </w:tcPr>
              <w:p w14:paraId="007ED763" w14:textId="77777777" w:rsidR="00E53C94" w:rsidRPr="00E53C94" w:rsidRDefault="00E53C94" w:rsidP="00E53C94">
                <w:pPr>
                  <w:spacing w:after="0" w:line="240" w:lineRule="auto"/>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ALO SUR S.A.S</w:t>
                </w:r>
              </w:p>
            </w:tc>
            <w:tc>
              <w:tcPr>
                <w:tcW w:w="1020" w:type="pct"/>
                <w:shd w:val="clear" w:color="000000" w:fill="FFFFFF"/>
                <w:noWrap/>
                <w:vAlign w:val="center"/>
                <w:hideMark/>
              </w:tcPr>
              <w:p w14:paraId="1D19B11B"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34.008.935.676</w:t>
                </w:r>
              </w:p>
            </w:tc>
            <w:tc>
              <w:tcPr>
                <w:tcW w:w="1076" w:type="pct"/>
                <w:shd w:val="clear" w:color="000000" w:fill="FFFFFF"/>
                <w:noWrap/>
                <w:vAlign w:val="center"/>
                <w:hideMark/>
              </w:tcPr>
              <w:p w14:paraId="7DAC1EDD"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153.577.937</w:t>
                </w:r>
              </w:p>
            </w:tc>
            <w:tc>
              <w:tcPr>
                <w:tcW w:w="1076" w:type="pct"/>
                <w:shd w:val="clear" w:color="000000" w:fill="FFFFFF"/>
                <w:noWrap/>
                <w:vAlign w:val="center"/>
                <w:hideMark/>
              </w:tcPr>
              <w:p w14:paraId="4F29099F"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33.855.357.739</w:t>
                </w:r>
              </w:p>
            </w:tc>
          </w:tr>
          <w:tr w:rsidR="00E53C94" w:rsidRPr="00E53C94" w14:paraId="3EAB947D" w14:textId="77777777" w:rsidTr="00357A89">
            <w:trPr>
              <w:trHeight w:val="340"/>
            </w:trPr>
            <w:tc>
              <w:tcPr>
                <w:tcW w:w="1827" w:type="pct"/>
                <w:shd w:val="clear" w:color="auto" w:fill="auto"/>
                <w:noWrap/>
                <w:vAlign w:val="center"/>
                <w:hideMark/>
              </w:tcPr>
              <w:p w14:paraId="11752178"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Propiedades, planta y equipo en concesión</w:t>
                </w:r>
              </w:p>
            </w:tc>
            <w:tc>
              <w:tcPr>
                <w:tcW w:w="1020" w:type="pct"/>
                <w:shd w:val="clear" w:color="000000" w:fill="FFFFFF"/>
                <w:noWrap/>
                <w:vAlign w:val="center"/>
                <w:hideMark/>
              </w:tcPr>
              <w:p w14:paraId="5591A4E0"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96.077.937</w:t>
                </w:r>
              </w:p>
            </w:tc>
            <w:tc>
              <w:tcPr>
                <w:tcW w:w="1076" w:type="pct"/>
                <w:shd w:val="clear" w:color="auto" w:fill="auto"/>
                <w:noWrap/>
                <w:vAlign w:val="center"/>
                <w:hideMark/>
              </w:tcPr>
              <w:p w14:paraId="4F6F0CA0"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153.577.937</w:t>
                </w:r>
              </w:p>
            </w:tc>
            <w:tc>
              <w:tcPr>
                <w:tcW w:w="1076" w:type="pct"/>
                <w:shd w:val="clear" w:color="auto" w:fill="auto"/>
                <w:noWrap/>
                <w:vAlign w:val="center"/>
                <w:hideMark/>
              </w:tcPr>
              <w:p w14:paraId="72443B80"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-57.500.000</w:t>
                </w:r>
              </w:p>
            </w:tc>
          </w:tr>
          <w:tr w:rsidR="00E53C94" w:rsidRPr="00E53C94" w14:paraId="0545DF1A" w14:textId="77777777" w:rsidTr="00357A89">
            <w:trPr>
              <w:trHeight w:val="340"/>
            </w:trPr>
            <w:tc>
              <w:tcPr>
                <w:tcW w:w="1827" w:type="pct"/>
                <w:shd w:val="clear" w:color="auto" w:fill="auto"/>
                <w:noWrap/>
                <w:vAlign w:val="center"/>
                <w:hideMark/>
              </w:tcPr>
              <w:p w14:paraId="576C43F8"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Red carretera en construcción</w:t>
                </w:r>
              </w:p>
            </w:tc>
            <w:tc>
              <w:tcPr>
                <w:tcW w:w="1020" w:type="pct"/>
                <w:shd w:val="clear" w:color="000000" w:fill="FFFFFF"/>
                <w:noWrap/>
                <w:vAlign w:val="center"/>
                <w:hideMark/>
              </w:tcPr>
              <w:p w14:paraId="6F7862A6"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12.383.471.223</w:t>
                </w:r>
              </w:p>
            </w:tc>
            <w:tc>
              <w:tcPr>
                <w:tcW w:w="1076" w:type="pct"/>
                <w:shd w:val="clear" w:color="auto" w:fill="auto"/>
                <w:noWrap/>
                <w:vAlign w:val="center"/>
                <w:hideMark/>
              </w:tcPr>
              <w:p w14:paraId="786D672C"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0</w:t>
                </w:r>
              </w:p>
            </w:tc>
            <w:tc>
              <w:tcPr>
                <w:tcW w:w="1076" w:type="pct"/>
                <w:shd w:val="clear" w:color="auto" w:fill="auto"/>
                <w:noWrap/>
                <w:vAlign w:val="center"/>
                <w:hideMark/>
              </w:tcPr>
              <w:p w14:paraId="181C0058"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12383471223</w:t>
                </w:r>
              </w:p>
            </w:tc>
          </w:tr>
          <w:tr w:rsidR="00E53C94" w:rsidRPr="00E53C94" w14:paraId="34682BF9" w14:textId="77777777" w:rsidTr="00357A89">
            <w:trPr>
              <w:trHeight w:val="340"/>
            </w:trPr>
            <w:tc>
              <w:tcPr>
                <w:tcW w:w="1827" w:type="pct"/>
                <w:shd w:val="clear" w:color="auto" w:fill="auto"/>
                <w:noWrap/>
                <w:vAlign w:val="center"/>
                <w:hideMark/>
              </w:tcPr>
              <w:p w14:paraId="648CA596"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Terrenos en construcción</w:t>
                </w:r>
              </w:p>
            </w:tc>
            <w:tc>
              <w:tcPr>
                <w:tcW w:w="1020" w:type="pct"/>
                <w:shd w:val="clear" w:color="000000" w:fill="FFFFFF"/>
                <w:noWrap/>
                <w:vAlign w:val="center"/>
                <w:hideMark/>
              </w:tcPr>
              <w:p w14:paraId="02B94DBA"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21.529.386.516</w:t>
                </w:r>
              </w:p>
            </w:tc>
            <w:tc>
              <w:tcPr>
                <w:tcW w:w="1076" w:type="pct"/>
                <w:shd w:val="clear" w:color="auto" w:fill="auto"/>
                <w:noWrap/>
                <w:vAlign w:val="center"/>
                <w:hideMark/>
              </w:tcPr>
              <w:p w14:paraId="19E79112"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0</w:t>
                </w:r>
              </w:p>
            </w:tc>
            <w:tc>
              <w:tcPr>
                <w:tcW w:w="1076" w:type="pct"/>
                <w:shd w:val="clear" w:color="auto" w:fill="auto"/>
                <w:noWrap/>
                <w:vAlign w:val="center"/>
                <w:hideMark/>
              </w:tcPr>
              <w:p w14:paraId="63B5115E"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21529386516</w:t>
                </w:r>
              </w:p>
            </w:tc>
          </w:tr>
          <w:tr w:rsidR="00E53C94" w:rsidRPr="00E53C94" w14:paraId="57E2DC84" w14:textId="77777777" w:rsidTr="00357A89">
            <w:trPr>
              <w:trHeight w:val="340"/>
            </w:trPr>
            <w:tc>
              <w:tcPr>
                <w:tcW w:w="1827" w:type="pct"/>
                <w:shd w:val="clear" w:color="auto" w:fill="auto"/>
                <w:noWrap/>
                <w:vAlign w:val="center"/>
                <w:hideMark/>
              </w:tcPr>
              <w:p w14:paraId="1B6BCDB8" w14:textId="77777777" w:rsidR="00E53C94" w:rsidRPr="00E53C94" w:rsidRDefault="00E53C94" w:rsidP="00E53C94">
                <w:pPr>
                  <w:spacing w:after="0" w:line="240" w:lineRule="auto"/>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APP GICA S.A.</w:t>
                </w:r>
              </w:p>
            </w:tc>
            <w:tc>
              <w:tcPr>
                <w:tcW w:w="1020" w:type="pct"/>
                <w:shd w:val="clear" w:color="000000" w:fill="FFFFFF"/>
                <w:noWrap/>
                <w:vAlign w:val="center"/>
                <w:hideMark/>
              </w:tcPr>
              <w:p w14:paraId="11BFD2A7"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968.027.237.594</w:t>
                </w:r>
              </w:p>
            </w:tc>
            <w:tc>
              <w:tcPr>
                <w:tcW w:w="1076" w:type="pct"/>
                <w:shd w:val="clear" w:color="000000" w:fill="FFFFFF"/>
                <w:noWrap/>
                <w:vAlign w:val="center"/>
                <w:hideMark/>
              </w:tcPr>
              <w:p w14:paraId="07011D19"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484.382.780.356</w:t>
                </w:r>
              </w:p>
            </w:tc>
            <w:tc>
              <w:tcPr>
                <w:tcW w:w="1076" w:type="pct"/>
                <w:shd w:val="clear" w:color="000000" w:fill="FFFFFF"/>
                <w:noWrap/>
                <w:vAlign w:val="center"/>
                <w:hideMark/>
              </w:tcPr>
              <w:p w14:paraId="50C6060C"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483.644.457.238</w:t>
                </w:r>
              </w:p>
            </w:tc>
          </w:tr>
          <w:tr w:rsidR="00E53C94" w:rsidRPr="00E53C94" w14:paraId="6033BEC7" w14:textId="77777777" w:rsidTr="00357A89">
            <w:trPr>
              <w:trHeight w:val="340"/>
            </w:trPr>
            <w:tc>
              <w:tcPr>
                <w:tcW w:w="1827" w:type="pct"/>
                <w:shd w:val="clear" w:color="000000" w:fill="FFFFFF"/>
                <w:noWrap/>
                <w:vAlign w:val="center"/>
                <w:hideMark/>
              </w:tcPr>
              <w:p w14:paraId="35328BD8"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Propiedades, planta y equipo en concesión</w:t>
                </w:r>
              </w:p>
            </w:tc>
            <w:tc>
              <w:tcPr>
                <w:tcW w:w="1020" w:type="pct"/>
                <w:shd w:val="clear" w:color="000000" w:fill="FFFFFF"/>
                <w:noWrap/>
                <w:vAlign w:val="center"/>
                <w:hideMark/>
              </w:tcPr>
              <w:p w14:paraId="6F2BB9C7"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3.153.382.717</w:t>
                </w:r>
              </w:p>
            </w:tc>
            <w:tc>
              <w:tcPr>
                <w:tcW w:w="1076" w:type="pct"/>
                <w:shd w:val="clear" w:color="auto" w:fill="auto"/>
                <w:noWrap/>
                <w:vAlign w:val="center"/>
                <w:hideMark/>
              </w:tcPr>
              <w:p w14:paraId="7B82FF1A"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0</w:t>
                </w:r>
              </w:p>
            </w:tc>
            <w:tc>
              <w:tcPr>
                <w:tcW w:w="1076" w:type="pct"/>
                <w:shd w:val="clear" w:color="auto" w:fill="auto"/>
                <w:noWrap/>
                <w:vAlign w:val="center"/>
                <w:hideMark/>
              </w:tcPr>
              <w:p w14:paraId="6B81735E"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3153382717</w:t>
                </w:r>
              </w:p>
            </w:tc>
          </w:tr>
          <w:tr w:rsidR="00E53C94" w:rsidRPr="00E53C94" w14:paraId="74C02EDD" w14:textId="77777777" w:rsidTr="00357A89">
            <w:trPr>
              <w:trHeight w:val="340"/>
            </w:trPr>
            <w:tc>
              <w:tcPr>
                <w:tcW w:w="1827" w:type="pct"/>
                <w:shd w:val="clear" w:color="auto" w:fill="auto"/>
                <w:noWrap/>
                <w:vAlign w:val="center"/>
                <w:hideMark/>
              </w:tcPr>
              <w:p w14:paraId="3C2ACC35"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Red carretera en construcción</w:t>
                </w:r>
              </w:p>
            </w:tc>
            <w:tc>
              <w:tcPr>
                <w:tcW w:w="1020" w:type="pct"/>
                <w:shd w:val="clear" w:color="000000" w:fill="FFFFFF"/>
                <w:noWrap/>
                <w:vAlign w:val="center"/>
                <w:hideMark/>
              </w:tcPr>
              <w:p w14:paraId="50E8E704"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892.205.045.213</w:t>
                </w:r>
              </w:p>
            </w:tc>
            <w:tc>
              <w:tcPr>
                <w:tcW w:w="1076" w:type="pct"/>
                <w:shd w:val="clear" w:color="auto" w:fill="auto"/>
                <w:noWrap/>
                <w:vAlign w:val="center"/>
                <w:hideMark/>
              </w:tcPr>
              <w:p w14:paraId="11F37586"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459.893.829.550</w:t>
                </w:r>
              </w:p>
            </w:tc>
            <w:tc>
              <w:tcPr>
                <w:tcW w:w="1076" w:type="pct"/>
                <w:shd w:val="clear" w:color="auto" w:fill="auto"/>
                <w:noWrap/>
                <w:vAlign w:val="center"/>
                <w:hideMark/>
              </w:tcPr>
              <w:p w14:paraId="43F04CD4"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432.311.215.663</w:t>
                </w:r>
              </w:p>
            </w:tc>
          </w:tr>
          <w:tr w:rsidR="00E53C94" w:rsidRPr="00E53C94" w14:paraId="01141522" w14:textId="77777777" w:rsidTr="00357A89">
            <w:trPr>
              <w:trHeight w:val="340"/>
            </w:trPr>
            <w:tc>
              <w:tcPr>
                <w:tcW w:w="1827" w:type="pct"/>
                <w:shd w:val="clear" w:color="auto" w:fill="auto"/>
                <w:noWrap/>
                <w:vAlign w:val="center"/>
                <w:hideMark/>
              </w:tcPr>
              <w:p w14:paraId="0BD2C9ED"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Terrenos en construcción</w:t>
                </w:r>
              </w:p>
            </w:tc>
            <w:tc>
              <w:tcPr>
                <w:tcW w:w="1020" w:type="pct"/>
                <w:shd w:val="clear" w:color="000000" w:fill="FFFFFF"/>
                <w:noWrap/>
                <w:vAlign w:val="center"/>
                <w:hideMark/>
              </w:tcPr>
              <w:p w14:paraId="30994378"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72.668.809.664</w:t>
                </w:r>
              </w:p>
            </w:tc>
            <w:tc>
              <w:tcPr>
                <w:tcW w:w="1076" w:type="pct"/>
                <w:shd w:val="clear" w:color="auto" w:fill="auto"/>
                <w:noWrap/>
                <w:vAlign w:val="center"/>
                <w:hideMark/>
              </w:tcPr>
              <w:p w14:paraId="02BE192E"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24.488.950.806</w:t>
                </w:r>
              </w:p>
            </w:tc>
            <w:tc>
              <w:tcPr>
                <w:tcW w:w="1076" w:type="pct"/>
                <w:shd w:val="clear" w:color="auto" w:fill="auto"/>
                <w:noWrap/>
                <w:vAlign w:val="center"/>
                <w:hideMark/>
              </w:tcPr>
              <w:p w14:paraId="51D8B13B"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48.179.858.858</w:t>
                </w:r>
              </w:p>
            </w:tc>
          </w:tr>
          <w:tr w:rsidR="00E53C94" w:rsidRPr="00E53C94" w14:paraId="1E8ABD7C" w14:textId="77777777" w:rsidTr="00357A89">
            <w:trPr>
              <w:trHeight w:val="340"/>
            </w:trPr>
            <w:tc>
              <w:tcPr>
                <w:tcW w:w="1827" w:type="pct"/>
                <w:shd w:val="clear" w:color="auto" w:fill="auto"/>
                <w:noWrap/>
                <w:vAlign w:val="center"/>
                <w:hideMark/>
              </w:tcPr>
              <w:p w14:paraId="7A7B64A8" w14:textId="77777777" w:rsidR="00E53C94" w:rsidRPr="00E53C94" w:rsidRDefault="00E53C94" w:rsidP="00E53C94">
                <w:pPr>
                  <w:spacing w:after="0" w:line="240" w:lineRule="auto"/>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AUTOPISTA DEL RIO GRANDE S.A.S</w:t>
                </w:r>
              </w:p>
            </w:tc>
            <w:tc>
              <w:tcPr>
                <w:tcW w:w="1020" w:type="pct"/>
                <w:shd w:val="clear" w:color="000000" w:fill="FFFFFF"/>
                <w:noWrap/>
                <w:vAlign w:val="center"/>
                <w:hideMark/>
              </w:tcPr>
              <w:p w14:paraId="6AD180C8"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1.951.522.178</w:t>
                </w:r>
              </w:p>
            </w:tc>
            <w:tc>
              <w:tcPr>
                <w:tcW w:w="1076" w:type="pct"/>
                <w:shd w:val="clear" w:color="000000" w:fill="FFFFFF"/>
                <w:noWrap/>
                <w:vAlign w:val="center"/>
                <w:hideMark/>
              </w:tcPr>
              <w:p w14:paraId="024678DD"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849.500.000</w:t>
                </w:r>
              </w:p>
            </w:tc>
            <w:tc>
              <w:tcPr>
                <w:tcW w:w="1076" w:type="pct"/>
                <w:shd w:val="clear" w:color="000000" w:fill="FFFFFF"/>
                <w:noWrap/>
                <w:vAlign w:val="center"/>
                <w:hideMark/>
              </w:tcPr>
              <w:p w14:paraId="649761AB"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1.102.022.178</w:t>
                </w:r>
              </w:p>
            </w:tc>
          </w:tr>
          <w:tr w:rsidR="00E53C94" w:rsidRPr="00E53C94" w14:paraId="60FB01F6" w14:textId="77777777" w:rsidTr="00357A89">
            <w:trPr>
              <w:trHeight w:val="340"/>
            </w:trPr>
            <w:tc>
              <w:tcPr>
                <w:tcW w:w="1827" w:type="pct"/>
                <w:shd w:val="clear" w:color="auto" w:fill="auto"/>
                <w:noWrap/>
                <w:vAlign w:val="center"/>
                <w:hideMark/>
              </w:tcPr>
              <w:p w14:paraId="4B93F8CA"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Propiedades, planta y equipo en concesión</w:t>
                </w:r>
              </w:p>
            </w:tc>
            <w:tc>
              <w:tcPr>
                <w:tcW w:w="1020" w:type="pct"/>
                <w:shd w:val="clear" w:color="000000" w:fill="FFFFFF"/>
                <w:noWrap/>
                <w:vAlign w:val="center"/>
                <w:hideMark/>
              </w:tcPr>
              <w:p w14:paraId="06BC46D0"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1.951.522.178</w:t>
                </w:r>
              </w:p>
            </w:tc>
            <w:tc>
              <w:tcPr>
                <w:tcW w:w="1076" w:type="pct"/>
                <w:shd w:val="clear" w:color="auto" w:fill="auto"/>
                <w:noWrap/>
                <w:vAlign w:val="center"/>
                <w:hideMark/>
              </w:tcPr>
              <w:p w14:paraId="7FF53C7A"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849.500.000</w:t>
                </w:r>
              </w:p>
            </w:tc>
            <w:tc>
              <w:tcPr>
                <w:tcW w:w="1076" w:type="pct"/>
                <w:shd w:val="clear" w:color="auto" w:fill="auto"/>
                <w:noWrap/>
                <w:vAlign w:val="center"/>
                <w:hideMark/>
              </w:tcPr>
              <w:p w14:paraId="7E1E06E2"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1.102.022.178</w:t>
                </w:r>
              </w:p>
            </w:tc>
          </w:tr>
          <w:tr w:rsidR="00E53C94" w:rsidRPr="00E53C94" w14:paraId="2D54677F" w14:textId="77777777" w:rsidTr="00357A89">
            <w:trPr>
              <w:trHeight w:val="340"/>
            </w:trPr>
            <w:tc>
              <w:tcPr>
                <w:tcW w:w="1827" w:type="pct"/>
                <w:shd w:val="clear" w:color="auto" w:fill="auto"/>
                <w:noWrap/>
                <w:vAlign w:val="center"/>
                <w:hideMark/>
              </w:tcPr>
              <w:p w14:paraId="18872FEF" w14:textId="77777777" w:rsidR="00E53C94" w:rsidRPr="00E53C94" w:rsidRDefault="00E53C94" w:rsidP="00E53C94">
                <w:pPr>
                  <w:spacing w:after="0" w:line="240" w:lineRule="auto"/>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lastRenderedPageBreak/>
                  <w:t>AUTOPISTA MAGDALENA MEDIO SAS</w:t>
                </w:r>
              </w:p>
            </w:tc>
            <w:tc>
              <w:tcPr>
                <w:tcW w:w="1020" w:type="pct"/>
                <w:shd w:val="clear" w:color="000000" w:fill="FFFFFF"/>
                <w:noWrap/>
                <w:vAlign w:val="center"/>
                <w:hideMark/>
              </w:tcPr>
              <w:p w14:paraId="15469714"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45.539.091.013</w:t>
                </w:r>
              </w:p>
            </w:tc>
            <w:tc>
              <w:tcPr>
                <w:tcW w:w="1076" w:type="pct"/>
                <w:shd w:val="clear" w:color="000000" w:fill="FFFFFF"/>
                <w:noWrap/>
                <w:vAlign w:val="center"/>
                <w:hideMark/>
              </w:tcPr>
              <w:p w14:paraId="501E9708"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0</w:t>
                </w:r>
              </w:p>
            </w:tc>
            <w:tc>
              <w:tcPr>
                <w:tcW w:w="1076" w:type="pct"/>
                <w:shd w:val="clear" w:color="000000" w:fill="FFFFFF"/>
                <w:noWrap/>
                <w:vAlign w:val="center"/>
                <w:hideMark/>
              </w:tcPr>
              <w:p w14:paraId="4094F3A9"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45.539.091.013</w:t>
                </w:r>
              </w:p>
            </w:tc>
          </w:tr>
          <w:tr w:rsidR="00E53C94" w:rsidRPr="00E53C94" w14:paraId="02CCF234" w14:textId="77777777" w:rsidTr="00357A89">
            <w:trPr>
              <w:trHeight w:val="340"/>
            </w:trPr>
            <w:tc>
              <w:tcPr>
                <w:tcW w:w="1827" w:type="pct"/>
                <w:shd w:val="clear" w:color="auto" w:fill="auto"/>
                <w:noWrap/>
                <w:vAlign w:val="center"/>
                <w:hideMark/>
              </w:tcPr>
              <w:p w14:paraId="1A134975"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Propiedades, planta y equipo en concesión</w:t>
                </w:r>
              </w:p>
            </w:tc>
            <w:tc>
              <w:tcPr>
                <w:tcW w:w="1020" w:type="pct"/>
                <w:shd w:val="clear" w:color="000000" w:fill="FFFFFF"/>
                <w:noWrap/>
                <w:vAlign w:val="center"/>
                <w:hideMark/>
              </w:tcPr>
              <w:p w14:paraId="70F5CA91"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4.030.584.053</w:t>
                </w:r>
              </w:p>
            </w:tc>
            <w:tc>
              <w:tcPr>
                <w:tcW w:w="1076" w:type="pct"/>
                <w:shd w:val="clear" w:color="auto" w:fill="auto"/>
                <w:noWrap/>
                <w:vAlign w:val="center"/>
                <w:hideMark/>
              </w:tcPr>
              <w:p w14:paraId="20691E4E"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0</w:t>
                </w:r>
              </w:p>
            </w:tc>
            <w:tc>
              <w:tcPr>
                <w:tcW w:w="1076" w:type="pct"/>
                <w:shd w:val="clear" w:color="auto" w:fill="auto"/>
                <w:noWrap/>
                <w:vAlign w:val="center"/>
                <w:hideMark/>
              </w:tcPr>
              <w:p w14:paraId="7BBC5319"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4030584053</w:t>
                </w:r>
              </w:p>
            </w:tc>
          </w:tr>
          <w:tr w:rsidR="00E53C94" w:rsidRPr="00E53C94" w14:paraId="32362EA8" w14:textId="77777777" w:rsidTr="00357A89">
            <w:trPr>
              <w:trHeight w:val="340"/>
            </w:trPr>
            <w:tc>
              <w:tcPr>
                <w:tcW w:w="1827" w:type="pct"/>
                <w:shd w:val="clear" w:color="auto" w:fill="auto"/>
                <w:noWrap/>
                <w:vAlign w:val="center"/>
                <w:hideMark/>
              </w:tcPr>
              <w:p w14:paraId="0B745BC8"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Red carretera en construcción</w:t>
                </w:r>
              </w:p>
            </w:tc>
            <w:tc>
              <w:tcPr>
                <w:tcW w:w="1020" w:type="pct"/>
                <w:shd w:val="clear" w:color="000000" w:fill="FFFFFF"/>
                <w:noWrap/>
                <w:vAlign w:val="center"/>
                <w:hideMark/>
              </w:tcPr>
              <w:p w14:paraId="09F1C58E"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41.508.506.960</w:t>
                </w:r>
              </w:p>
            </w:tc>
            <w:tc>
              <w:tcPr>
                <w:tcW w:w="1076" w:type="pct"/>
                <w:shd w:val="clear" w:color="auto" w:fill="auto"/>
                <w:noWrap/>
                <w:vAlign w:val="center"/>
                <w:hideMark/>
              </w:tcPr>
              <w:p w14:paraId="1B347E0B"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0</w:t>
                </w:r>
              </w:p>
            </w:tc>
            <w:tc>
              <w:tcPr>
                <w:tcW w:w="1076" w:type="pct"/>
                <w:shd w:val="clear" w:color="auto" w:fill="auto"/>
                <w:noWrap/>
                <w:vAlign w:val="center"/>
                <w:hideMark/>
              </w:tcPr>
              <w:p w14:paraId="47D42FAF"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41508506960</w:t>
                </w:r>
              </w:p>
            </w:tc>
          </w:tr>
          <w:tr w:rsidR="00E53C94" w:rsidRPr="00E53C94" w14:paraId="3FB01CD9" w14:textId="77777777" w:rsidTr="00357A89">
            <w:trPr>
              <w:trHeight w:val="340"/>
            </w:trPr>
            <w:tc>
              <w:tcPr>
                <w:tcW w:w="1827" w:type="pct"/>
                <w:shd w:val="clear" w:color="auto" w:fill="auto"/>
                <w:noWrap/>
                <w:vAlign w:val="center"/>
                <w:hideMark/>
              </w:tcPr>
              <w:p w14:paraId="63A8B3F4" w14:textId="77777777" w:rsidR="00E53C94" w:rsidRPr="00E53C94" w:rsidRDefault="00E53C94" w:rsidP="00E53C94">
                <w:pPr>
                  <w:spacing w:after="0" w:line="240" w:lineRule="auto"/>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AUTOPISTA RIO MAGDALENA S A S</w:t>
                </w:r>
              </w:p>
            </w:tc>
            <w:tc>
              <w:tcPr>
                <w:tcW w:w="1020" w:type="pct"/>
                <w:shd w:val="clear" w:color="000000" w:fill="FFFFFF"/>
                <w:noWrap/>
                <w:vAlign w:val="center"/>
                <w:hideMark/>
              </w:tcPr>
              <w:p w14:paraId="5A0C7812"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1.073.394.664.821</w:t>
                </w:r>
              </w:p>
            </w:tc>
            <w:tc>
              <w:tcPr>
                <w:tcW w:w="1076" w:type="pct"/>
                <w:shd w:val="clear" w:color="000000" w:fill="FFFFFF"/>
                <w:noWrap/>
                <w:vAlign w:val="center"/>
                <w:hideMark/>
              </w:tcPr>
              <w:p w14:paraId="2B6741FA"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856.293.995.025</w:t>
                </w:r>
              </w:p>
            </w:tc>
            <w:tc>
              <w:tcPr>
                <w:tcW w:w="1076" w:type="pct"/>
                <w:shd w:val="clear" w:color="000000" w:fill="FFFFFF"/>
                <w:noWrap/>
                <w:vAlign w:val="center"/>
                <w:hideMark/>
              </w:tcPr>
              <w:p w14:paraId="335ADBD4"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217.100.669.796</w:t>
                </w:r>
              </w:p>
            </w:tc>
          </w:tr>
          <w:tr w:rsidR="00E53C94" w:rsidRPr="00E53C94" w14:paraId="484FE8FD" w14:textId="77777777" w:rsidTr="00357A89">
            <w:trPr>
              <w:trHeight w:val="340"/>
            </w:trPr>
            <w:tc>
              <w:tcPr>
                <w:tcW w:w="1827" w:type="pct"/>
                <w:shd w:val="clear" w:color="auto" w:fill="auto"/>
                <w:noWrap/>
                <w:vAlign w:val="center"/>
                <w:hideMark/>
              </w:tcPr>
              <w:p w14:paraId="624F7996"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Propiedades, planta y equipo en concesión</w:t>
                </w:r>
              </w:p>
            </w:tc>
            <w:tc>
              <w:tcPr>
                <w:tcW w:w="1020" w:type="pct"/>
                <w:shd w:val="clear" w:color="000000" w:fill="FFFFFF"/>
                <w:noWrap/>
                <w:vAlign w:val="center"/>
                <w:hideMark/>
              </w:tcPr>
              <w:p w14:paraId="1DF857A5"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9.089.472.298</w:t>
                </w:r>
              </w:p>
            </w:tc>
            <w:tc>
              <w:tcPr>
                <w:tcW w:w="1076" w:type="pct"/>
                <w:shd w:val="clear" w:color="auto" w:fill="auto"/>
                <w:noWrap/>
                <w:vAlign w:val="center"/>
                <w:hideMark/>
              </w:tcPr>
              <w:p w14:paraId="5B471AD9"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3.866.605.123</w:t>
                </w:r>
              </w:p>
            </w:tc>
            <w:tc>
              <w:tcPr>
                <w:tcW w:w="1076" w:type="pct"/>
                <w:shd w:val="clear" w:color="auto" w:fill="auto"/>
                <w:noWrap/>
                <w:vAlign w:val="center"/>
                <w:hideMark/>
              </w:tcPr>
              <w:p w14:paraId="51DDE2BA"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5.222.867.175</w:t>
                </w:r>
              </w:p>
            </w:tc>
          </w:tr>
          <w:tr w:rsidR="00E53C94" w:rsidRPr="00E53C94" w14:paraId="3BED0E58" w14:textId="77777777" w:rsidTr="00357A89">
            <w:trPr>
              <w:trHeight w:val="340"/>
            </w:trPr>
            <w:tc>
              <w:tcPr>
                <w:tcW w:w="1827" w:type="pct"/>
                <w:shd w:val="clear" w:color="auto" w:fill="auto"/>
                <w:noWrap/>
                <w:vAlign w:val="center"/>
                <w:hideMark/>
              </w:tcPr>
              <w:p w14:paraId="3CAA0F92"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Red carretera en construcción</w:t>
                </w:r>
              </w:p>
            </w:tc>
            <w:tc>
              <w:tcPr>
                <w:tcW w:w="1020" w:type="pct"/>
                <w:shd w:val="clear" w:color="000000" w:fill="FFFFFF"/>
                <w:noWrap/>
                <w:vAlign w:val="center"/>
                <w:hideMark/>
              </w:tcPr>
              <w:p w14:paraId="63242FD3"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1.045.439.908.277</w:t>
                </w:r>
              </w:p>
            </w:tc>
            <w:tc>
              <w:tcPr>
                <w:tcW w:w="1076" w:type="pct"/>
                <w:shd w:val="clear" w:color="auto" w:fill="auto"/>
                <w:noWrap/>
                <w:vAlign w:val="center"/>
                <w:hideMark/>
              </w:tcPr>
              <w:p w14:paraId="7E4B9F0B"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838.492.610.307</w:t>
                </w:r>
              </w:p>
            </w:tc>
            <w:tc>
              <w:tcPr>
                <w:tcW w:w="1076" w:type="pct"/>
                <w:shd w:val="clear" w:color="auto" w:fill="auto"/>
                <w:noWrap/>
                <w:vAlign w:val="center"/>
                <w:hideMark/>
              </w:tcPr>
              <w:p w14:paraId="362170B1"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206.947.297.970</w:t>
                </w:r>
              </w:p>
            </w:tc>
          </w:tr>
          <w:tr w:rsidR="00E53C94" w:rsidRPr="00E53C94" w14:paraId="42901094" w14:textId="77777777" w:rsidTr="00357A89">
            <w:trPr>
              <w:trHeight w:val="340"/>
            </w:trPr>
            <w:tc>
              <w:tcPr>
                <w:tcW w:w="1827" w:type="pct"/>
                <w:shd w:val="clear" w:color="auto" w:fill="auto"/>
                <w:noWrap/>
                <w:vAlign w:val="center"/>
                <w:hideMark/>
              </w:tcPr>
              <w:p w14:paraId="104C09DB"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Terrenos en construcción</w:t>
                </w:r>
              </w:p>
            </w:tc>
            <w:tc>
              <w:tcPr>
                <w:tcW w:w="1020" w:type="pct"/>
                <w:shd w:val="clear" w:color="000000" w:fill="FFFFFF"/>
                <w:noWrap/>
                <w:vAlign w:val="center"/>
                <w:hideMark/>
              </w:tcPr>
              <w:p w14:paraId="5022DFC3"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18.190.804.375</w:t>
                </w:r>
              </w:p>
            </w:tc>
            <w:tc>
              <w:tcPr>
                <w:tcW w:w="1076" w:type="pct"/>
                <w:shd w:val="clear" w:color="auto" w:fill="auto"/>
                <w:noWrap/>
                <w:vAlign w:val="center"/>
                <w:hideMark/>
              </w:tcPr>
              <w:p w14:paraId="64EF276F"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13.934.779.595</w:t>
                </w:r>
              </w:p>
            </w:tc>
            <w:tc>
              <w:tcPr>
                <w:tcW w:w="1076" w:type="pct"/>
                <w:shd w:val="clear" w:color="auto" w:fill="auto"/>
                <w:noWrap/>
                <w:vAlign w:val="center"/>
                <w:hideMark/>
              </w:tcPr>
              <w:p w14:paraId="45C8C73C"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4.256.024.780</w:t>
                </w:r>
              </w:p>
            </w:tc>
          </w:tr>
          <w:tr w:rsidR="00E53C94" w:rsidRPr="00E53C94" w14:paraId="1BC0BD75" w14:textId="77777777" w:rsidTr="00357A89">
            <w:trPr>
              <w:trHeight w:val="340"/>
            </w:trPr>
            <w:tc>
              <w:tcPr>
                <w:tcW w:w="1827" w:type="pct"/>
                <w:shd w:val="clear" w:color="auto" w:fill="auto"/>
                <w:noWrap/>
                <w:vAlign w:val="center"/>
                <w:hideMark/>
              </w:tcPr>
              <w:p w14:paraId="2BD8D80E"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Activos intangibles en concesión</w:t>
                </w:r>
              </w:p>
            </w:tc>
            <w:tc>
              <w:tcPr>
                <w:tcW w:w="1020" w:type="pct"/>
                <w:shd w:val="clear" w:color="000000" w:fill="FFFFFF"/>
                <w:noWrap/>
                <w:vAlign w:val="center"/>
                <w:hideMark/>
              </w:tcPr>
              <w:p w14:paraId="38E56635"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674.479.871</w:t>
                </w:r>
              </w:p>
            </w:tc>
            <w:tc>
              <w:tcPr>
                <w:tcW w:w="1076" w:type="pct"/>
                <w:shd w:val="clear" w:color="auto" w:fill="auto"/>
                <w:noWrap/>
                <w:vAlign w:val="center"/>
                <w:hideMark/>
              </w:tcPr>
              <w:p w14:paraId="538EBFEB"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0</w:t>
                </w:r>
              </w:p>
            </w:tc>
            <w:tc>
              <w:tcPr>
                <w:tcW w:w="1076" w:type="pct"/>
                <w:shd w:val="clear" w:color="auto" w:fill="auto"/>
                <w:noWrap/>
                <w:vAlign w:val="center"/>
                <w:hideMark/>
              </w:tcPr>
              <w:p w14:paraId="26656AD9"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674479871</w:t>
                </w:r>
              </w:p>
            </w:tc>
          </w:tr>
          <w:tr w:rsidR="00E53C94" w:rsidRPr="00E53C94" w14:paraId="29136E37" w14:textId="77777777" w:rsidTr="00357A89">
            <w:trPr>
              <w:trHeight w:val="340"/>
            </w:trPr>
            <w:tc>
              <w:tcPr>
                <w:tcW w:w="1827" w:type="pct"/>
                <w:shd w:val="clear" w:color="auto" w:fill="auto"/>
                <w:noWrap/>
                <w:vAlign w:val="center"/>
                <w:hideMark/>
              </w:tcPr>
              <w:p w14:paraId="4C30F4F0" w14:textId="77777777" w:rsidR="00E53C94" w:rsidRPr="00E53C94" w:rsidRDefault="00E53C94" w:rsidP="00E53C94">
                <w:pPr>
                  <w:spacing w:after="0" w:line="240" w:lineRule="auto"/>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AUTOPISTAS   URABA   SAS</w:t>
                </w:r>
              </w:p>
            </w:tc>
            <w:tc>
              <w:tcPr>
                <w:tcW w:w="1020" w:type="pct"/>
                <w:shd w:val="clear" w:color="auto" w:fill="auto"/>
                <w:noWrap/>
                <w:vAlign w:val="center"/>
                <w:hideMark/>
              </w:tcPr>
              <w:p w14:paraId="0D318750"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2.046.156.154.545</w:t>
                </w:r>
              </w:p>
            </w:tc>
            <w:tc>
              <w:tcPr>
                <w:tcW w:w="1076" w:type="pct"/>
                <w:shd w:val="clear" w:color="auto" w:fill="auto"/>
                <w:noWrap/>
                <w:vAlign w:val="center"/>
                <w:hideMark/>
              </w:tcPr>
              <w:p w14:paraId="4020BFA9"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1.841.255.828.958</w:t>
                </w:r>
              </w:p>
            </w:tc>
            <w:tc>
              <w:tcPr>
                <w:tcW w:w="1076" w:type="pct"/>
                <w:shd w:val="clear" w:color="auto" w:fill="auto"/>
                <w:noWrap/>
                <w:vAlign w:val="center"/>
                <w:hideMark/>
              </w:tcPr>
              <w:p w14:paraId="436587B1"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204.900.325.587</w:t>
                </w:r>
              </w:p>
            </w:tc>
          </w:tr>
          <w:tr w:rsidR="00E53C94" w:rsidRPr="00E53C94" w14:paraId="35DD4C7F" w14:textId="77777777" w:rsidTr="00357A89">
            <w:trPr>
              <w:trHeight w:val="340"/>
            </w:trPr>
            <w:tc>
              <w:tcPr>
                <w:tcW w:w="1827" w:type="pct"/>
                <w:shd w:val="clear" w:color="auto" w:fill="auto"/>
                <w:noWrap/>
                <w:vAlign w:val="center"/>
                <w:hideMark/>
              </w:tcPr>
              <w:p w14:paraId="6977F072"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Activos intangibles en concesión</w:t>
                </w:r>
              </w:p>
            </w:tc>
            <w:tc>
              <w:tcPr>
                <w:tcW w:w="1020" w:type="pct"/>
                <w:shd w:val="clear" w:color="auto" w:fill="auto"/>
                <w:noWrap/>
                <w:vAlign w:val="center"/>
                <w:hideMark/>
              </w:tcPr>
              <w:p w14:paraId="395035A8"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452.200.000</w:t>
                </w:r>
              </w:p>
            </w:tc>
            <w:tc>
              <w:tcPr>
                <w:tcW w:w="1076" w:type="pct"/>
                <w:shd w:val="clear" w:color="auto" w:fill="auto"/>
                <w:noWrap/>
                <w:vAlign w:val="center"/>
                <w:hideMark/>
              </w:tcPr>
              <w:p w14:paraId="55274B9E"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452.200.000</w:t>
                </w:r>
              </w:p>
            </w:tc>
            <w:tc>
              <w:tcPr>
                <w:tcW w:w="1076" w:type="pct"/>
                <w:shd w:val="clear" w:color="auto" w:fill="auto"/>
                <w:noWrap/>
                <w:vAlign w:val="center"/>
                <w:hideMark/>
              </w:tcPr>
              <w:p w14:paraId="5F8CC137"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0</w:t>
                </w:r>
              </w:p>
            </w:tc>
          </w:tr>
          <w:tr w:rsidR="00E53C94" w:rsidRPr="00E53C94" w14:paraId="44E6A9DB" w14:textId="77777777" w:rsidTr="00357A89">
            <w:trPr>
              <w:trHeight w:val="340"/>
            </w:trPr>
            <w:tc>
              <w:tcPr>
                <w:tcW w:w="1827" w:type="pct"/>
                <w:shd w:val="clear" w:color="auto" w:fill="auto"/>
                <w:noWrap/>
                <w:vAlign w:val="center"/>
                <w:hideMark/>
              </w:tcPr>
              <w:p w14:paraId="05CC8519"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Propiedades, planta y equipo en concesión</w:t>
                </w:r>
              </w:p>
            </w:tc>
            <w:tc>
              <w:tcPr>
                <w:tcW w:w="1020" w:type="pct"/>
                <w:shd w:val="clear" w:color="auto" w:fill="auto"/>
                <w:noWrap/>
                <w:vAlign w:val="center"/>
                <w:hideMark/>
              </w:tcPr>
              <w:p w14:paraId="121AC536"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7.309.891.711</w:t>
                </w:r>
              </w:p>
            </w:tc>
            <w:tc>
              <w:tcPr>
                <w:tcW w:w="1076" w:type="pct"/>
                <w:shd w:val="clear" w:color="auto" w:fill="auto"/>
                <w:noWrap/>
                <w:vAlign w:val="center"/>
                <w:hideMark/>
              </w:tcPr>
              <w:p w14:paraId="280C53C7"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5.567.905.822</w:t>
                </w:r>
              </w:p>
            </w:tc>
            <w:tc>
              <w:tcPr>
                <w:tcW w:w="1076" w:type="pct"/>
                <w:shd w:val="clear" w:color="auto" w:fill="auto"/>
                <w:noWrap/>
                <w:vAlign w:val="center"/>
                <w:hideMark/>
              </w:tcPr>
              <w:p w14:paraId="7BF6C4BE"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1.741.985.889</w:t>
                </w:r>
              </w:p>
            </w:tc>
          </w:tr>
          <w:tr w:rsidR="00E53C94" w:rsidRPr="00E53C94" w14:paraId="58D4D7A6" w14:textId="77777777" w:rsidTr="00357A89">
            <w:trPr>
              <w:trHeight w:val="340"/>
            </w:trPr>
            <w:tc>
              <w:tcPr>
                <w:tcW w:w="1827" w:type="pct"/>
                <w:shd w:val="clear" w:color="auto" w:fill="auto"/>
                <w:noWrap/>
                <w:vAlign w:val="center"/>
                <w:hideMark/>
              </w:tcPr>
              <w:p w14:paraId="600F01B6"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Red carretera en construcción</w:t>
                </w:r>
              </w:p>
            </w:tc>
            <w:tc>
              <w:tcPr>
                <w:tcW w:w="1020" w:type="pct"/>
                <w:shd w:val="clear" w:color="auto" w:fill="auto"/>
                <w:noWrap/>
                <w:vAlign w:val="center"/>
                <w:hideMark/>
              </w:tcPr>
              <w:p w14:paraId="3AC18413"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2.033.884.358.981</w:t>
                </w:r>
              </w:p>
            </w:tc>
            <w:tc>
              <w:tcPr>
                <w:tcW w:w="1076" w:type="pct"/>
                <w:shd w:val="clear" w:color="auto" w:fill="auto"/>
                <w:noWrap/>
                <w:vAlign w:val="center"/>
                <w:hideMark/>
              </w:tcPr>
              <w:p w14:paraId="2CF4A864"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1.832.873.265.099</w:t>
                </w:r>
              </w:p>
            </w:tc>
            <w:tc>
              <w:tcPr>
                <w:tcW w:w="1076" w:type="pct"/>
                <w:shd w:val="clear" w:color="auto" w:fill="auto"/>
                <w:noWrap/>
                <w:vAlign w:val="center"/>
                <w:hideMark/>
              </w:tcPr>
              <w:p w14:paraId="40ECD5DA"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201.011.093.882</w:t>
                </w:r>
              </w:p>
            </w:tc>
          </w:tr>
          <w:tr w:rsidR="00E53C94" w:rsidRPr="00E53C94" w14:paraId="3815C331" w14:textId="77777777" w:rsidTr="00357A89">
            <w:trPr>
              <w:trHeight w:val="340"/>
            </w:trPr>
            <w:tc>
              <w:tcPr>
                <w:tcW w:w="1827" w:type="pct"/>
                <w:shd w:val="clear" w:color="auto" w:fill="auto"/>
                <w:noWrap/>
                <w:vAlign w:val="center"/>
                <w:hideMark/>
              </w:tcPr>
              <w:p w14:paraId="7861D1C5"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Terrenos en construcción</w:t>
                </w:r>
              </w:p>
            </w:tc>
            <w:tc>
              <w:tcPr>
                <w:tcW w:w="1020" w:type="pct"/>
                <w:shd w:val="clear" w:color="auto" w:fill="auto"/>
                <w:noWrap/>
                <w:vAlign w:val="center"/>
                <w:hideMark/>
              </w:tcPr>
              <w:p w14:paraId="5BB963EE"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4.509.703.853</w:t>
                </w:r>
              </w:p>
            </w:tc>
            <w:tc>
              <w:tcPr>
                <w:tcW w:w="1076" w:type="pct"/>
                <w:shd w:val="clear" w:color="auto" w:fill="auto"/>
                <w:noWrap/>
                <w:vAlign w:val="center"/>
                <w:hideMark/>
              </w:tcPr>
              <w:p w14:paraId="723B9AEB"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2.362.458.037</w:t>
                </w:r>
              </w:p>
            </w:tc>
            <w:tc>
              <w:tcPr>
                <w:tcW w:w="1076" w:type="pct"/>
                <w:shd w:val="clear" w:color="auto" w:fill="auto"/>
                <w:noWrap/>
                <w:vAlign w:val="center"/>
                <w:hideMark/>
              </w:tcPr>
              <w:p w14:paraId="73B31411"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2.147.245.816</w:t>
                </w:r>
              </w:p>
            </w:tc>
          </w:tr>
          <w:tr w:rsidR="00E53C94" w:rsidRPr="00E53C94" w14:paraId="51D5F2A4" w14:textId="77777777" w:rsidTr="00357A89">
            <w:trPr>
              <w:trHeight w:val="340"/>
            </w:trPr>
            <w:tc>
              <w:tcPr>
                <w:tcW w:w="1827" w:type="pct"/>
                <w:shd w:val="clear" w:color="auto" w:fill="auto"/>
                <w:noWrap/>
                <w:vAlign w:val="center"/>
                <w:hideMark/>
              </w:tcPr>
              <w:p w14:paraId="35EE01BF" w14:textId="77777777" w:rsidR="00E53C94" w:rsidRPr="00E53C94" w:rsidRDefault="00E53C94" w:rsidP="00E53C94">
                <w:pPr>
                  <w:spacing w:after="0" w:line="240" w:lineRule="auto"/>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AUTOPISTAS DE LA SABANA S.A.S</w:t>
                </w:r>
              </w:p>
            </w:tc>
            <w:tc>
              <w:tcPr>
                <w:tcW w:w="1020" w:type="pct"/>
                <w:shd w:val="clear" w:color="auto" w:fill="auto"/>
                <w:noWrap/>
                <w:vAlign w:val="center"/>
                <w:hideMark/>
              </w:tcPr>
              <w:p w14:paraId="06C5D927"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1.500.423.620.235</w:t>
                </w:r>
              </w:p>
            </w:tc>
            <w:tc>
              <w:tcPr>
                <w:tcW w:w="1076" w:type="pct"/>
                <w:shd w:val="clear" w:color="auto" w:fill="auto"/>
                <w:noWrap/>
                <w:vAlign w:val="center"/>
                <w:hideMark/>
              </w:tcPr>
              <w:p w14:paraId="6F285BB2"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1.434.252.665.727</w:t>
                </w:r>
              </w:p>
            </w:tc>
            <w:tc>
              <w:tcPr>
                <w:tcW w:w="1076" w:type="pct"/>
                <w:shd w:val="clear" w:color="auto" w:fill="auto"/>
                <w:noWrap/>
                <w:vAlign w:val="center"/>
                <w:hideMark/>
              </w:tcPr>
              <w:p w14:paraId="7A52B425"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66.170.954.508</w:t>
                </w:r>
              </w:p>
            </w:tc>
          </w:tr>
          <w:tr w:rsidR="00E53C94" w:rsidRPr="00E53C94" w14:paraId="5A294862" w14:textId="77777777" w:rsidTr="00357A89">
            <w:trPr>
              <w:trHeight w:val="340"/>
            </w:trPr>
            <w:tc>
              <w:tcPr>
                <w:tcW w:w="1827" w:type="pct"/>
                <w:shd w:val="clear" w:color="auto" w:fill="auto"/>
                <w:noWrap/>
                <w:vAlign w:val="center"/>
                <w:hideMark/>
              </w:tcPr>
              <w:p w14:paraId="17CA5985"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Propiedades, planta y equipo en concesión</w:t>
                </w:r>
              </w:p>
            </w:tc>
            <w:tc>
              <w:tcPr>
                <w:tcW w:w="1020" w:type="pct"/>
                <w:shd w:val="clear" w:color="auto" w:fill="auto"/>
                <w:noWrap/>
                <w:vAlign w:val="center"/>
                <w:hideMark/>
              </w:tcPr>
              <w:p w14:paraId="48D8F1EC"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6.800.780.718</w:t>
                </w:r>
              </w:p>
            </w:tc>
            <w:tc>
              <w:tcPr>
                <w:tcW w:w="1076" w:type="pct"/>
                <w:shd w:val="clear" w:color="auto" w:fill="auto"/>
                <w:noWrap/>
                <w:vAlign w:val="center"/>
                <w:hideMark/>
              </w:tcPr>
              <w:p w14:paraId="45C5C3D3"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1.829.721.347</w:t>
                </w:r>
              </w:p>
            </w:tc>
            <w:tc>
              <w:tcPr>
                <w:tcW w:w="1076" w:type="pct"/>
                <w:shd w:val="clear" w:color="auto" w:fill="auto"/>
                <w:noWrap/>
                <w:vAlign w:val="center"/>
                <w:hideMark/>
              </w:tcPr>
              <w:p w14:paraId="4EF64E5E"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4.971.059.371</w:t>
                </w:r>
              </w:p>
            </w:tc>
          </w:tr>
          <w:tr w:rsidR="00E53C94" w:rsidRPr="00E53C94" w14:paraId="6EFC531F" w14:textId="77777777" w:rsidTr="00357A89">
            <w:trPr>
              <w:trHeight w:val="340"/>
            </w:trPr>
            <w:tc>
              <w:tcPr>
                <w:tcW w:w="1827" w:type="pct"/>
                <w:shd w:val="clear" w:color="auto" w:fill="auto"/>
                <w:noWrap/>
                <w:vAlign w:val="center"/>
                <w:hideMark/>
              </w:tcPr>
              <w:p w14:paraId="7CCAC871"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Red carretera en servicio</w:t>
                </w:r>
              </w:p>
            </w:tc>
            <w:tc>
              <w:tcPr>
                <w:tcW w:w="1020" w:type="pct"/>
                <w:shd w:val="clear" w:color="auto" w:fill="auto"/>
                <w:noWrap/>
                <w:vAlign w:val="center"/>
                <w:hideMark/>
              </w:tcPr>
              <w:p w14:paraId="0A788606"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1.452.388.314.400</w:t>
                </w:r>
              </w:p>
            </w:tc>
            <w:tc>
              <w:tcPr>
                <w:tcW w:w="1076" w:type="pct"/>
                <w:shd w:val="clear" w:color="auto" w:fill="auto"/>
                <w:noWrap/>
                <w:vAlign w:val="center"/>
                <w:hideMark/>
              </w:tcPr>
              <w:p w14:paraId="4CBA481B"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1.408.864.963.904</w:t>
                </w:r>
              </w:p>
            </w:tc>
            <w:tc>
              <w:tcPr>
                <w:tcW w:w="1076" w:type="pct"/>
                <w:shd w:val="clear" w:color="auto" w:fill="auto"/>
                <w:noWrap/>
                <w:vAlign w:val="center"/>
                <w:hideMark/>
              </w:tcPr>
              <w:p w14:paraId="216D08EE"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43.523.350.496</w:t>
                </w:r>
              </w:p>
            </w:tc>
          </w:tr>
          <w:tr w:rsidR="00E53C94" w:rsidRPr="00E53C94" w14:paraId="264B9422" w14:textId="77777777" w:rsidTr="00357A89">
            <w:trPr>
              <w:trHeight w:val="340"/>
            </w:trPr>
            <w:tc>
              <w:tcPr>
                <w:tcW w:w="1827" w:type="pct"/>
                <w:shd w:val="clear" w:color="auto" w:fill="auto"/>
                <w:noWrap/>
                <w:vAlign w:val="center"/>
                <w:hideMark/>
              </w:tcPr>
              <w:p w14:paraId="610DC319"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Terrenos en servicio</w:t>
                </w:r>
              </w:p>
            </w:tc>
            <w:tc>
              <w:tcPr>
                <w:tcW w:w="1020" w:type="pct"/>
                <w:shd w:val="clear" w:color="auto" w:fill="auto"/>
                <w:noWrap/>
                <w:vAlign w:val="center"/>
                <w:hideMark/>
              </w:tcPr>
              <w:p w14:paraId="68027337"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41.234.525.117</w:t>
                </w:r>
              </w:p>
            </w:tc>
            <w:tc>
              <w:tcPr>
                <w:tcW w:w="1076" w:type="pct"/>
                <w:shd w:val="clear" w:color="auto" w:fill="auto"/>
                <w:noWrap/>
                <w:vAlign w:val="center"/>
                <w:hideMark/>
              </w:tcPr>
              <w:p w14:paraId="410AFCB7"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23.557.980.476</w:t>
                </w:r>
              </w:p>
            </w:tc>
            <w:tc>
              <w:tcPr>
                <w:tcW w:w="1076" w:type="pct"/>
                <w:shd w:val="clear" w:color="auto" w:fill="auto"/>
                <w:noWrap/>
                <w:vAlign w:val="center"/>
                <w:hideMark/>
              </w:tcPr>
              <w:p w14:paraId="5D8DDC5C"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17.676.544.641</w:t>
                </w:r>
              </w:p>
            </w:tc>
          </w:tr>
          <w:tr w:rsidR="00E53C94" w:rsidRPr="00E53C94" w14:paraId="1305C6F4" w14:textId="77777777" w:rsidTr="00357A89">
            <w:trPr>
              <w:trHeight w:val="340"/>
            </w:trPr>
            <w:tc>
              <w:tcPr>
                <w:tcW w:w="1827" w:type="pct"/>
                <w:shd w:val="clear" w:color="auto" w:fill="auto"/>
                <w:noWrap/>
                <w:vAlign w:val="center"/>
                <w:hideMark/>
              </w:tcPr>
              <w:p w14:paraId="3C7EA69B" w14:textId="77777777" w:rsidR="00E53C94" w:rsidRPr="00E53C94" w:rsidRDefault="00E53C94" w:rsidP="00E53C94">
                <w:pPr>
                  <w:spacing w:after="0" w:line="240" w:lineRule="auto"/>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AUTOPISTAS DEL CAFE S.A.</w:t>
                </w:r>
              </w:p>
            </w:tc>
            <w:tc>
              <w:tcPr>
                <w:tcW w:w="1020" w:type="pct"/>
                <w:shd w:val="clear" w:color="auto" w:fill="auto"/>
                <w:noWrap/>
                <w:vAlign w:val="center"/>
                <w:hideMark/>
              </w:tcPr>
              <w:p w14:paraId="61CA625F"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1.416.710.177.154</w:t>
                </w:r>
              </w:p>
            </w:tc>
            <w:tc>
              <w:tcPr>
                <w:tcW w:w="1076" w:type="pct"/>
                <w:shd w:val="clear" w:color="auto" w:fill="auto"/>
                <w:noWrap/>
                <w:vAlign w:val="center"/>
                <w:hideMark/>
              </w:tcPr>
              <w:p w14:paraId="2C2CBD17"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1.358.963.867.211</w:t>
                </w:r>
              </w:p>
            </w:tc>
            <w:tc>
              <w:tcPr>
                <w:tcW w:w="1076" w:type="pct"/>
                <w:shd w:val="clear" w:color="auto" w:fill="auto"/>
                <w:noWrap/>
                <w:vAlign w:val="center"/>
                <w:hideMark/>
              </w:tcPr>
              <w:p w14:paraId="4B5EE862"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57.746.309.943</w:t>
                </w:r>
              </w:p>
            </w:tc>
          </w:tr>
          <w:tr w:rsidR="00E53C94" w:rsidRPr="00E53C94" w14:paraId="336F3FB8" w14:textId="77777777" w:rsidTr="00357A89">
            <w:trPr>
              <w:trHeight w:val="340"/>
            </w:trPr>
            <w:tc>
              <w:tcPr>
                <w:tcW w:w="1827" w:type="pct"/>
                <w:shd w:val="clear" w:color="auto" w:fill="auto"/>
                <w:noWrap/>
                <w:vAlign w:val="center"/>
                <w:hideMark/>
              </w:tcPr>
              <w:p w14:paraId="5FAE3FD4"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Propiedades, planta y equipo en concesión</w:t>
                </w:r>
              </w:p>
            </w:tc>
            <w:tc>
              <w:tcPr>
                <w:tcW w:w="1020" w:type="pct"/>
                <w:shd w:val="clear" w:color="auto" w:fill="auto"/>
                <w:noWrap/>
                <w:vAlign w:val="center"/>
                <w:hideMark/>
              </w:tcPr>
              <w:p w14:paraId="3AD382E7"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22.466.739.790</w:t>
                </w:r>
              </w:p>
            </w:tc>
            <w:tc>
              <w:tcPr>
                <w:tcW w:w="1076" w:type="pct"/>
                <w:shd w:val="clear" w:color="auto" w:fill="auto"/>
                <w:noWrap/>
                <w:vAlign w:val="center"/>
                <w:hideMark/>
              </w:tcPr>
              <w:p w14:paraId="5F51BE6B"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15.476.782.089</w:t>
                </w:r>
              </w:p>
            </w:tc>
            <w:tc>
              <w:tcPr>
                <w:tcW w:w="1076" w:type="pct"/>
                <w:shd w:val="clear" w:color="auto" w:fill="auto"/>
                <w:noWrap/>
                <w:vAlign w:val="center"/>
                <w:hideMark/>
              </w:tcPr>
              <w:p w14:paraId="5E02FB4A"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6.989.957.701</w:t>
                </w:r>
              </w:p>
            </w:tc>
          </w:tr>
          <w:tr w:rsidR="00E53C94" w:rsidRPr="00E53C94" w14:paraId="61DAA845" w14:textId="77777777" w:rsidTr="00357A89">
            <w:trPr>
              <w:trHeight w:val="340"/>
            </w:trPr>
            <w:tc>
              <w:tcPr>
                <w:tcW w:w="1827" w:type="pct"/>
                <w:shd w:val="clear" w:color="auto" w:fill="auto"/>
                <w:noWrap/>
                <w:vAlign w:val="center"/>
                <w:hideMark/>
              </w:tcPr>
              <w:p w14:paraId="4DEC36A8"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Red carretera en servicio</w:t>
                </w:r>
              </w:p>
            </w:tc>
            <w:tc>
              <w:tcPr>
                <w:tcW w:w="1020" w:type="pct"/>
                <w:shd w:val="clear" w:color="auto" w:fill="auto"/>
                <w:noWrap/>
                <w:vAlign w:val="center"/>
                <w:hideMark/>
              </w:tcPr>
              <w:p w14:paraId="79F9A970"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1.380.375.253.141</w:t>
                </w:r>
              </w:p>
            </w:tc>
            <w:tc>
              <w:tcPr>
                <w:tcW w:w="1076" w:type="pct"/>
                <w:shd w:val="clear" w:color="auto" w:fill="auto"/>
                <w:noWrap/>
                <w:vAlign w:val="center"/>
                <w:hideMark/>
              </w:tcPr>
              <w:p w14:paraId="79E628CB"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1.333.456.029.865</w:t>
                </w:r>
              </w:p>
            </w:tc>
            <w:tc>
              <w:tcPr>
                <w:tcW w:w="1076" w:type="pct"/>
                <w:shd w:val="clear" w:color="auto" w:fill="auto"/>
                <w:noWrap/>
                <w:vAlign w:val="center"/>
                <w:hideMark/>
              </w:tcPr>
              <w:p w14:paraId="0DB7DE5F"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46.919.223.276</w:t>
                </w:r>
              </w:p>
            </w:tc>
          </w:tr>
          <w:tr w:rsidR="00E53C94" w:rsidRPr="00E53C94" w14:paraId="2B4C6167" w14:textId="77777777" w:rsidTr="00357A89">
            <w:trPr>
              <w:trHeight w:val="340"/>
            </w:trPr>
            <w:tc>
              <w:tcPr>
                <w:tcW w:w="1827" w:type="pct"/>
                <w:shd w:val="clear" w:color="auto" w:fill="auto"/>
                <w:noWrap/>
                <w:vAlign w:val="center"/>
                <w:hideMark/>
              </w:tcPr>
              <w:p w14:paraId="1C763D07"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Terrenos en servicio</w:t>
                </w:r>
              </w:p>
            </w:tc>
            <w:tc>
              <w:tcPr>
                <w:tcW w:w="1020" w:type="pct"/>
                <w:shd w:val="clear" w:color="auto" w:fill="auto"/>
                <w:noWrap/>
                <w:vAlign w:val="center"/>
                <w:hideMark/>
              </w:tcPr>
              <w:p w14:paraId="7F1006D6"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13.868.184.223</w:t>
                </w:r>
              </w:p>
            </w:tc>
            <w:tc>
              <w:tcPr>
                <w:tcW w:w="1076" w:type="pct"/>
                <w:shd w:val="clear" w:color="auto" w:fill="auto"/>
                <w:noWrap/>
                <w:vAlign w:val="center"/>
                <w:hideMark/>
              </w:tcPr>
              <w:p w14:paraId="24E34305"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10.031.055.257</w:t>
                </w:r>
              </w:p>
            </w:tc>
            <w:tc>
              <w:tcPr>
                <w:tcW w:w="1076" w:type="pct"/>
                <w:shd w:val="clear" w:color="auto" w:fill="auto"/>
                <w:noWrap/>
                <w:vAlign w:val="center"/>
                <w:hideMark/>
              </w:tcPr>
              <w:p w14:paraId="3D8ED349"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3.837.128.966</w:t>
                </w:r>
              </w:p>
            </w:tc>
          </w:tr>
          <w:tr w:rsidR="00E53C94" w:rsidRPr="00E53C94" w14:paraId="41D2CC1B" w14:textId="77777777" w:rsidTr="00357A89">
            <w:trPr>
              <w:trHeight w:val="340"/>
            </w:trPr>
            <w:tc>
              <w:tcPr>
                <w:tcW w:w="1827" w:type="pct"/>
                <w:shd w:val="clear" w:color="auto" w:fill="auto"/>
                <w:noWrap/>
                <w:vAlign w:val="center"/>
                <w:hideMark/>
              </w:tcPr>
              <w:p w14:paraId="2C4163A4" w14:textId="77777777" w:rsidR="00E53C94" w:rsidRPr="00E53C94" w:rsidRDefault="00E53C94" w:rsidP="00E53C94">
                <w:pPr>
                  <w:spacing w:after="0" w:line="240" w:lineRule="auto"/>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AUTOPISTAS DEL CARIBE SAS</w:t>
                </w:r>
              </w:p>
            </w:tc>
            <w:tc>
              <w:tcPr>
                <w:tcW w:w="1020" w:type="pct"/>
                <w:shd w:val="clear" w:color="auto" w:fill="auto"/>
                <w:noWrap/>
                <w:vAlign w:val="center"/>
                <w:hideMark/>
              </w:tcPr>
              <w:p w14:paraId="63985F65"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26.010.970.033</w:t>
                </w:r>
              </w:p>
            </w:tc>
            <w:tc>
              <w:tcPr>
                <w:tcW w:w="1076" w:type="pct"/>
                <w:shd w:val="clear" w:color="auto" w:fill="auto"/>
                <w:noWrap/>
                <w:vAlign w:val="center"/>
                <w:hideMark/>
              </w:tcPr>
              <w:p w14:paraId="67909735"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26.010.970.033</w:t>
                </w:r>
              </w:p>
            </w:tc>
            <w:tc>
              <w:tcPr>
                <w:tcW w:w="1076" w:type="pct"/>
                <w:shd w:val="clear" w:color="auto" w:fill="auto"/>
                <w:noWrap/>
                <w:vAlign w:val="center"/>
                <w:hideMark/>
              </w:tcPr>
              <w:p w14:paraId="3105AD36"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0</w:t>
                </w:r>
              </w:p>
            </w:tc>
          </w:tr>
          <w:tr w:rsidR="00E53C94" w:rsidRPr="00E53C94" w14:paraId="2384CF15" w14:textId="77777777" w:rsidTr="00357A89">
            <w:trPr>
              <w:trHeight w:val="340"/>
            </w:trPr>
            <w:tc>
              <w:tcPr>
                <w:tcW w:w="1827" w:type="pct"/>
                <w:shd w:val="clear" w:color="auto" w:fill="auto"/>
                <w:noWrap/>
                <w:vAlign w:val="center"/>
                <w:hideMark/>
              </w:tcPr>
              <w:p w14:paraId="4EECF954"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Propiedades, planta y equipo en concesión</w:t>
                </w:r>
              </w:p>
            </w:tc>
            <w:tc>
              <w:tcPr>
                <w:tcW w:w="1020" w:type="pct"/>
                <w:shd w:val="clear" w:color="auto" w:fill="auto"/>
                <w:noWrap/>
                <w:vAlign w:val="center"/>
                <w:hideMark/>
              </w:tcPr>
              <w:p w14:paraId="7425FD54"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294.598.161</w:t>
                </w:r>
              </w:p>
            </w:tc>
            <w:tc>
              <w:tcPr>
                <w:tcW w:w="1076" w:type="pct"/>
                <w:shd w:val="clear" w:color="auto" w:fill="auto"/>
                <w:noWrap/>
                <w:vAlign w:val="center"/>
                <w:hideMark/>
              </w:tcPr>
              <w:p w14:paraId="70747C58"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271.012.361</w:t>
                </w:r>
              </w:p>
            </w:tc>
            <w:tc>
              <w:tcPr>
                <w:tcW w:w="1076" w:type="pct"/>
                <w:shd w:val="clear" w:color="auto" w:fill="auto"/>
                <w:noWrap/>
                <w:vAlign w:val="center"/>
                <w:hideMark/>
              </w:tcPr>
              <w:p w14:paraId="3FD32D7C"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23.585.800</w:t>
                </w:r>
              </w:p>
            </w:tc>
          </w:tr>
          <w:tr w:rsidR="00E53C94" w:rsidRPr="00E53C94" w14:paraId="67B6CD2C" w14:textId="77777777" w:rsidTr="00357A89">
            <w:trPr>
              <w:trHeight w:val="340"/>
            </w:trPr>
            <w:tc>
              <w:tcPr>
                <w:tcW w:w="1827" w:type="pct"/>
                <w:shd w:val="clear" w:color="auto" w:fill="auto"/>
                <w:noWrap/>
                <w:vAlign w:val="center"/>
                <w:hideMark/>
              </w:tcPr>
              <w:p w14:paraId="390914B9"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Red carretera en construcción</w:t>
                </w:r>
              </w:p>
            </w:tc>
            <w:tc>
              <w:tcPr>
                <w:tcW w:w="1020" w:type="pct"/>
                <w:shd w:val="clear" w:color="auto" w:fill="auto"/>
                <w:noWrap/>
                <w:vAlign w:val="center"/>
                <w:hideMark/>
              </w:tcPr>
              <w:p w14:paraId="2C6CCA9C"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25.356.462.322</w:t>
                </w:r>
              </w:p>
            </w:tc>
            <w:tc>
              <w:tcPr>
                <w:tcW w:w="1076" w:type="pct"/>
                <w:shd w:val="clear" w:color="auto" w:fill="auto"/>
                <w:noWrap/>
                <w:vAlign w:val="center"/>
                <w:hideMark/>
              </w:tcPr>
              <w:p w14:paraId="64A58E7F"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25.739.957.672</w:t>
                </w:r>
              </w:p>
            </w:tc>
            <w:tc>
              <w:tcPr>
                <w:tcW w:w="1076" w:type="pct"/>
                <w:shd w:val="clear" w:color="auto" w:fill="auto"/>
                <w:noWrap/>
                <w:vAlign w:val="center"/>
                <w:hideMark/>
              </w:tcPr>
              <w:p w14:paraId="3E589772"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-383.495.350</w:t>
                </w:r>
              </w:p>
            </w:tc>
          </w:tr>
          <w:tr w:rsidR="00E53C94" w:rsidRPr="00E53C94" w14:paraId="1EDF20AF" w14:textId="77777777" w:rsidTr="00357A89">
            <w:trPr>
              <w:trHeight w:val="340"/>
            </w:trPr>
            <w:tc>
              <w:tcPr>
                <w:tcW w:w="1827" w:type="pct"/>
                <w:shd w:val="clear" w:color="auto" w:fill="auto"/>
                <w:noWrap/>
                <w:vAlign w:val="center"/>
                <w:hideMark/>
              </w:tcPr>
              <w:p w14:paraId="6AEA0C3D"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Activos intangibles en concesión</w:t>
                </w:r>
              </w:p>
            </w:tc>
            <w:tc>
              <w:tcPr>
                <w:tcW w:w="1020" w:type="pct"/>
                <w:shd w:val="clear" w:color="auto" w:fill="auto"/>
                <w:noWrap/>
                <w:vAlign w:val="center"/>
                <w:hideMark/>
              </w:tcPr>
              <w:p w14:paraId="2FE478A5"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359.909.550</w:t>
                </w:r>
              </w:p>
            </w:tc>
            <w:tc>
              <w:tcPr>
                <w:tcW w:w="1076" w:type="pct"/>
                <w:shd w:val="clear" w:color="auto" w:fill="auto"/>
                <w:noWrap/>
                <w:vAlign w:val="center"/>
                <w:hideMark/>
              </w:tcPr>
              <w:p w14:paraId="6AF52EC6"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0</w:t>
                </w:r>
              </w:p>
            </w:tc>
            <w:tc>
              <w:tcPr>
                <w:tcW w:w="1076" w:type="pct"/>
                <w:shd w:val="clear" w:color="auto" w:fill="auto"/>
                <w:noWrap/>
                <w:vAlign w:val="center"/>
                <w:hideMark/>
              </w:tcPr>
              <w:p w14:paraId="5B106427"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359909550</w:t>
                </w:r>
              </w:p>
            </w:tc>
          </w:tr>
          <w:tr w:rsidR="00E53C94" w:rsidRPr="00E53C94" w14:paraId="6E157170" w14:textId="77777777" w:rsidTr="00357A89">
            <w:trPr>
              <w:trHeight w:val="340"/>
            </w:trPr>
            <w:tc>
              <w:tcPr>
                <w:tcW w:w="1827" w:type="pct"/>
                <w:shd w:val="clear" w:color="auto" w:fill="auto"/>
                <w:noWrap/>
                <w:vAlign w:val="center"/>
                <w:hideMark/>
              </w:tcPr>
              <w:p w14:paraId="70F59E5B" w14:textId="77777777" w:rsidR="00E53C94" w:rsidRPr="00E53C94" w:rsidRDefault="00E53C94" w:rsidP="00E53C94">
                <w:pPr>
                  <w:spacing w:after="0" w:line="240" w:lineRule="auto"/>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AUTOPISTAS DEL NORDESTE S.A.S.</w:t>
                </w:r>
              </w:p>
            </w:tc>
            <w:tc>
              <w:tcPr>
                <w:tcW w:w="1020" w:type="pct"/>
                <w:shd w:val="clear" w:color="auto" w:fill="auto"/>
                <w:noWrap/>
                <w:vAlign w:val="center"/>
                <w:hideMark/>
              </w:tcPr>
              <w:p w14:paraId="19C8FF86"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884.631.642.798</w:t>
                </w:r>
              </w:p>
            </w:tc>
            <w:tc>
              <w:tcPr>
                <w:tcW w:w="1076" w:type="pct"/>
                <w:shd w:val="clear" w:color="auto" w:fill="auto"/>
                <w:noWrap/>
                <w:vAlign w:val="center"/>
                <w:hideMark/>
              </w:tcPr>
              <w:p w14:paraId="4EFF71E6"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840.359.149.489</w:t>
                </w:r>
              </w:p>
            </w:tc>
            <w:tc>
              <w:tcPr>
                <w:tcW w:w="1076" w:type="pct"/>
                <w:shd w:val="clear" w:color="auto" w:fill="auto"/>
                <w:noWrap/>
                <w:vAlign w:val="center"/>
                <w:hideMark/>
              </w:tcPr>
              <w:p w14:paraId="38C16391"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44.272.493.309</w:t>
                </w:r>
              </w:p>
            </w:tc>
          </w:tr>
          <w:tr w:rsidR="00E53C94" w:rsidRPr="00E53C94" w14:paraId="0D167AEB" w14:textId="77777777" w:rsidTr="00357A89">
            <w:trPr>
              <w:trHeight w:val="340"/>
            </w:trPr>
            <w:tc>
              <w:tcPr>
                <w:tcW w:w="1827" w:type="pct"/>
                <w:shd w:val="clear" w:color="auto" w:fill="auto"/>
                <w:noWrap/>
                <w:vAlign w:val="center"/>
                <w:hideMark/>
              </w:tcPr>
              <w:p w14:paraId="47ADC5A1"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Propiedades, planta y equipo en concesión</w:t>
                </w:r>
              </w:p>
            </w:tc>
            <w:tc>
              <w:tcPr>
                <w:tcW w:w="1020" w:type="pct"/>
                <w:shd w:val="clear" w:color="auto" w:fill="auto"/>
                <w:noWrap/>
                <w:vAlign w:val="center"/>
                <w:hideMark/>
              </w:tcPr>
              <w:p w14:paraId="708399B6"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6.291.771.966</w:t>
                </w:r>
              </w:p>
            </w:tc>
            <w:tc>
              <w:tcPr>
                <w:tcW w:w="1076" w:type="pct"/>
                <w:shd w:val="clear" w:color="auto" w:fill="auto"/>
                <w:noWrap/>
                <w:vAlign w:val="center"/>
                <w:hideMark/>
              </w:tcPr>
              <w:p w14:paraId="03ACCE5C"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5.912.389.815</w:t>
                </w:r>
              </w:p>
            </w:tc>
            <w:tc>
              <w:tcPr>
                <w:tcW w:w="1076" w:type="pct"/>
                <w:shd w:val="clear" w:color="auto" w:fill="auto"/>
                <w:noWrap/>
                <w:vAlign w:val="center"/>
                <w:hideMark/>
              </w:tcPr>
              <w:p w14:paraId="177560FD"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379.382.151</w:t>
                </w:r>
              </w:p>
            </w:tc>
          </w:tr>
          <w:tr w:rsidR="00E53C94" w:rsidRPr="00E53C94" w14:paraId="0660FD9E" w14:textId="77777777" w:rsidTr="00357A89">
            <w:trPr>
              <w:trHeight w:val="340"/>
            </w:trPr>
            <w:tc>
              <w:tcPr>
                <w:tcW w:w="1827" w:type="pct"/>
                <w:shd w:val="clear" w:color="auto" w:fill="auto"/>
                <w:noWrap/>
                <w:vAlign w:val="center"/>
                <w:hideMark/>
              </w:tcPr>
              <w:p w14:paraId="327634E8"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Red carretera en construcción</w:t>
                </w:r>
              </w:p>
            </w:tc>
            <w:tc>
              <w:tcPr>
                <w:tcW w:w="1020" w:type="pct"/>
                <w:shd w:val="clear" w:color="auto" w:fill="auto"/>
                <w:noWrap/>
                <w:vAlign w:val="center"/>
                <w:hideMark/>
              </w:tcPr>
              <w:p w14:paraId="7BD87036"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831.880.360.547</w:t>
                </w:r>
              </w:p>
            </w:tc>
            <w:tc>
              <w:tcPr>
                <w:tcW w:w="1076" w:type="pct"/>
                <w:shd w:val="clear" w:color="auto" w:fill="auto"/>
                <w:noWrap/>
                <w:vAlign w:val="center"/>
                <w:hideMark/>
              </w:tcPr>
              <w:p w14:paraId="3955AFD8"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775.888.313.168</w:t>
                </w:r>
              </w:p>
            </w:tc>
            <w:tc>
              <w:tcPr>
                <w:tcW w:w="1076" w:type="pct"/>
                <w:shd w:val="clear" w:color="auto" w:fill="auto"/>
                <w:noWrap/>
                <w:vAlign w:val="center"/>
                <w:hideMark/>
              </w:tcPr>
              <w:p w14:paraId="2747BE6C"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55.992.047.379</w:t>
                </w:r>
              </w:p>
            </w:tc>
          </w:tr>
          <w:tr w:rsidR="00E53C94" w:rsidRPr="00E53C94" w14:paraId="391FF865" w14:textId="77777777" w:rsidTr="00357A89">
            <w:trPr>
              <w:trHeight w:val="340"/>
            </w:trPr>
            <w:tc>
              <w:tcPr>
                <w:tcW w:w="1827" w:type="pct"/>
                <w:shd w:val="clear" w:color="auto" w:fill="auto"/>
                <w:noWrap/>
                <w:vAlign w:val="center"/>
                <w:hideMark/>
              </w:tcPr>
              <w:p w14:paraId="51EE5BB5"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Terrenos en construcción</w:t>
                </w:r>
              </w:p>
            </w:tc>
            <w:tc>
              <w:tcPr>
                <w:tcW w:w="1020" w:type="pct"/>
                <w:shd w:val="clear" w:color="auto" w:fill="auto"/>
                <w:noWrap/>
                <w:vAlign w:val="center"/>
                <w:hideMark/>
              </w:tcPr>
              <w:p w14:paraId="40410945"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46.459.510.285</w:t>
                </w:r>
              </w:p>
            </w:tc>
            <w:tc>
              <w:tcPr>
                <w:tcW w:w="1076" w:type="pct"/>
                <w:shd w:val="clear" w:color="auto" w:fill="auto"/>
                <w:noWrap/>
                <w:vAlign w:val="center"/>
                <w:hideMark/>
              </w:tcPr>
              <w:p w14:paraId="1A0D5FBB"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58.558.446.506</w:t>
                </w:r>
              </w:p>
            </w:tc>
            <w:tc>
              <w:tcPr>
                <w:tcW w:w="1076" w:type="pct"/>
                <w:shd w:val="clear" w:color="auto" w:fill="auto"/>
                <w:noWrap/>
                <w:vAlign w:val="center"/>
                <w:hideMark/>
              </w:tcPr>
              <w:p w14:paraId="0E1E3D3D"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-12.098.936.221</w:t>
                </w:r>
              </w:p>
            </w:tc>
          </w:tr>
          <w:tr w:rsidR="00E53C94" w:rsidRPr="00E53C94" w14:paraId="764D8032" w14:textId="77777777" w:rsidTr="00357A89">
            <w:trPr>
              <w:trHeight w:val="340"/>
            </w:trPr>
            <w:tc>
              <w:tcPr>
                <w:tcW w:w="1827" w:type="pct"/>
                <w:shd w:val="clear" w:color="auto" w:fill="auto"/>
                <w:noWrap/>
                <w:vAlign w:val="center"/>
                <w:hideMark/>
              </w:tcPr>
              <w:p w14:paraId="1A890D1D" w14:textId="77777777" w:rsidR="00E53C94" w:rsidRPr="00E53C94" w:rsidRDefault="00E53C94" w:rsidP="00E53C94">
                <w:pPr>
                  <w:spacing w:after="0" w:line="240" w:lineRule="auto"/>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AUTOPISTAS DEL SOL SAS</w:t>
                </w:r>
              </w:p>
            </w:tc>
            <w:tc>
              <w:tcPr>
                <w:tcW w:w="1020" w:type="pct"/>
                <w:shd w:val="clear" w:color="auto" w:fill="auto"/>
                <w:noWrap/>
                <w:vAlign w:val="center"/>
                <w:hideMark/>
              </w:tcPr>
              <w:p w14:paraId="16C8E3E2"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1.247.171.913.959</w:t>
                </w:r>
              </w:p>
            </w:tc>
            <w:tc>
              <w:tcPr>
                <w:tcW w:w="1076" w:type="pct"/>
                <w:shd w:val="clear" w:color="auto" w:fill="auto"/>
                <w:noWrap/>
                <w:vAlign w:val="center"/>
                <w:hideMark/>
              </w:tcPr>
              <w:p w14:paraId="33DB207B"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1.158.493.635.511</w:t>
                </w:r>
              </w:p>
            </w:tc>
            <w:tc>
              <w:tcPr>
                <w:tcW w:w="1076" w:type="pct"/>
                <w:shd w:val="clear" w:color="auto" w:fill="auto"/>
                <w:noWrap/>
                <w:vAlign w:val="center"/>
                <w:hideMark/>
              </w:tcPr>
              <w:p w14:paraId="7879DE2E"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88.678.278.448</w:t>
                </w:r>
              </w:p>
            </w:tc>
          </w:tr>
          <w:tr w:rsidR="00E53C94" w:rsidRPr="00E53C94" w14:paraId="3C625838" w14:textId="77777777" w:rsidTr="00357A89">
            <w:trPr>
              <w:trHeight w:val="340"/>
            </w:trPr>
            <w:tc>
              <w:tcPr>
                <w:tcW w:w="1827" w:type="pct"/>
                <w:shd w:val="clear" w:color="auto" w:fill="auto"/>
                <w:noWrap/>
                <w:vAlign w:val="center"/>
                <w:hideMark/>
              </w:tcPr>
              <w:p w14:paraId="163BF72D"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Red carretera en servicio</w:t>
                </w:r>
              </w:p>
            </w:tc>
            <w:tc>
              <w:tcPr>
                <w:tcW w:w="1020" w:type="pct"/>
                <w:shd w:val="clear" w:color="auto" w:fill="auto"/>
                <w:noWrap/>
                <w:vAlign w:val="center"/>
                <w:hideMark/>
              </w:tcPr>
              <w:p w14:paraId="15863A50"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1.130.543.521.875</w:t>
                </w:r>
              </w:p>
            </w:tc>
            <w:tc>
              <w:tcPr>
                <w:tcW w:w="1076" w:type="pct"/>
                <w:shd w:val="clear" w:color="auto" w:fill="auto"/>
                <w:noWrap/>
                <w:vAlign w:val="center"/>
                <w:hideMark/>
              </w:tcPr>
              <w:p w14:paraId="5977D50B"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1.046.198.867.359</w:t>
                </w:r>
              </w:p>
            </w:tc>
            <w:tc>
              <w:tcPr>
                <w:tcW w:w="1076" w:type="pct"/>
                <w:shd w:val="clear" w:color="auto" w:fill="auto"/>
                <w:noWrap/>
                <w:vAlign w:val="center"/>
                <w:hideMark/>
              </w:tcPr>
              <w:p w14:paraId="6534F9DC"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84.344.654.516</w:t>
                </w:r>
              </w:p>
            </w:tc>
          </w:tr>
          <w:tr w:rsidR="00E53C94" w:rsidRPr="00E53C94" w14:paraId="70EB90BB" w14:textId="77777777" w:rsidTr="00357A89">
            <w:trPr>
              <w:trHeight w:val="340"/>
            </w:trPr>
            <w:tc>
              <w:tcPr>
                <w:tcW w:w="1827" w:type="pct"/>
                <w:shd w:val="clear" w:color="auto" w:fill="auto"/>
                <w:noWrap/>
                <w:vAlign w:val="center"/>
                <w:hideMark/>
              </w:tcPr>
              <w:p w14:paraId="23DF3A61"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Terrenos en servicio</w:t>
                </w:r>
              </w:p>
            </w:tc>
            <w:tc>
              <w:tcPr>
                <w:tcW w:w="1020" w:type="pct"/>
                <w:shd w:val="clear" w:color="auto" w:fill="auto"/>
                <w:noWrap/>
                <w:vAlign w:val="center"/>
                <w:hideMark/>
              </w:tcPr>
              <w:p w14:paraId="45CF7381"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116.628.392.084</w:t>
                </w:r>
              </w:p>
            </w:tc>
            <w:tc>
              <w:tcPr>
                <w:tcW w:w="1076" w:type="pct"/>
                <w:shd w:val="clear" w:color="auto" w:fill="auto"/>
                <w:noWrap/>
                <w:vAlign w:val="center"/>
                <w:hideMark/>
              </w:tcPr>
              <w:p w14:paraId="428EF4A7"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112.294.768.152</w:t>
                </w:r>
              </w:p>
            </w:tc>
            <w:tc>
              <w:tcPr>
                <w:tcW w:w="1076" w:type="pct"/>
                <w:shd w:val="clear" w:color="auto" w:fill="auto"/>
                <w:noWrap/>
                <w:vAlign w:val="center"/>
                <w:hideMark/>
              </w:tcPr>
              <w:p w14:paraId="014C8DE1"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4.333.623.932</w:t>
                </w:r>
              </w:p>
            </w:tc>
          </w:tr>
          <w:tr w:rsidR="00E53C94" w:rsidRPr="00E53C94" w14:paraId="7C89AB78" w14:textId="77777777" w:rsidTr="00357A89">
            <w:trPr>
              <w:trHeight w:val="340"/>
            </w:trPr>
            <w:tc>
              <w:tcPr>
                <w:tcW w:w="1827" w:type="pct"/>
                <w:shd w:val="clear" w:color="auto" w:fill="auto"/>
                <w:noWrap/>
                <w:vAlign w:val="center"/>
                <w:hideMark/>
              </w:tcPr>
              <w:p w14:paraId="181C4548" w14:textId="77777777" w:rsidR="00E53C94" w:rsidRPr="00E53C94" w:rsidRDefault="00E53C94" w:rsidP="00E53C94">
                <w:pPr>
                  <w:spacing w:after="0" w:line="240" w:lineRule="auto"/>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AUTOVIA BUCARAMANGA PAMPLONA S.A.S</w:t>
                </w:r>
              </w:p>
            </w:tc>
            <w:tc>
              <w:tcPr>
                <w:tcW w:w="1020" w:type="pct"/>
                <w:shd w:val="clear" w:color="auto" w:fill="auto"/>
                <w:noWrap/>
                <w:vAlign w:val="center"/>
                <w:hideMark/>
              </w:tcPr>
              <w:p w14:paraId="0F9A9707"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91.448.332.327</w:t>
                </w:r>
              </w:p>
            </w:tc>
            <w:tc>
              <w:tcPr>
                <w:tcW w:w="1076" w:type="pct"/>
                <w:shd w:val="clear" w:color="auto" w:fill="auto"/>
                <w:noWrap/>
                <w:vAlign w:val="center"/>
                <w:hideMark/>
              </w:tcPr>
              <w:p w14:paraId="38A0A00A"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91.448.332.327</w:t>
                </w:r>
              </w:p>
            </w:tc>
            <w:tc>
              <w:tcPr>
                <w:tcW w:w="1076" w:type="pct"/>
                <w:shd w:val="clear" w:color="auto" w:fill="auto"/>
                <w:noWrap/>
                <w:vAlign w:val="center"/>
                <w:hideMark/>
              </w:tcPr>
              <w:p w14:paraId="052877D4"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0</w:t>
                </w:r>
              </w:p>
            </w:tc>
          </w:tr>
          <w:tr w:rsidR="00E53C94" w:rsidRPr="00E53C94" w14:paraId="06DA01DF" w14:textId="77777777" w:rsidTr="00357A89">
            <w:trPr>
              <w:trHeight w:val="340"/>
            </w:trPr>
            <w:tc>
              <w:tcPr>
                <w:tcW w:w="1827" w:type="pct"/>
                <w:shd w:val="clear" w:color="auto" w:fill="auto"/>
                <w:noWrap/>
                <w:vAlign w:val="center"/>
                <w:hideMark/>
              </w:tcPr>
              <w:p w14:paraId="48842848"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Propiedades, planta y equipo en concesión</w:t>
                </w:r>
              </w:p>
            </w:tc>
            <w:tc>
              <w:tcPr>
                <w:tcW w:w="1020" w:type="pct"/>
                <w:shd w:val="clear" w:color="auto" w:fill="auto"/>
                <w:noWrap/>
                <w:vAlign w:val="center"/>
                <w:hideMark/>
              </w:tcPr>
              <w:p w14:paraId="110A3E95"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4.927.092.434</w:t>
                </w:r>
              </w:p>
            </w:tc>
            <w:tc>
              <w:tcPr>
                <w:tcW w:w="1076" w:type="pct"/>
                <w:shd w:val="clear" w:color="auto" w:fill="auto"/>
                <w:noWrap/>
                <w:vAlign w:val="center"/>
                <w:hideMark/>
              </w:tcPr>
              <w:p w14:paraId="510F873C"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5.087.747.644</w:t>
                </w:r>
              </w:p>
            </w:tc>
            <w:tc>
              <w:tcPr>
                <w:tcW w:w="1076" w:type="pct"/>
                <w:shd w:val="clear" w:color="auto" w:fill="auto"/>
                <w:noWrap/>
                <w:vAlign w:val="center"/>
                <w:hideMark/>
              </w:tcPr>
              <w:p w14:paraId="5BC3EFF9"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-160.655.210</w:t>
                </w:r>
              </w:p>
            </w:tc>
          </w:tr>
          <w:tr w:rsidR="00E53C94" w:rsidRPr="00E53C94" w14:paraId="5DC20970" w14:textId="77777777" w:rsidTr="00357A89">
            <w:trPr>
              <w:trHeight w:val="340"/>
            </w:trPr>
            <w:tc>
              <w:tcPr>
                <w:tcW w:w="1827" w:type="pct"/>
                <w:shd w:val="clear" w:color="auto" w:fill="auto"/>
                <w:noWrap/>
                <w:vAlign w:val="center"/>
                <w:hideMark/>
              </w:tcPr>
              <w:p w14:paraId="74867664"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Red carretera en construcción</w:t>
                </w:r>
              </w:p>
            </w:tc>
            <w:tc>
              <w:tcPr>
                <w:tcW w:w="1020" w:type="pct"/>
                <w:shd w:val="clear" w:color="auto" w:fill="auto"/>
                <w:noWrap/>
                <w:vAlign w:val="center"/>
                <w:hideMark/>
              </w:tcPr>
              <w:p w14:paraId="6578C4E0"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78.670.070.440</w:t>
                </w:r>
              </w:p>
            </w:tc>
            <w:tc>
              <w:tcPr>
                <w:tcW w:w="1076" w:type="pct"/>
                <w:shd w:val="clear" w:color="auto" w:fill="auto"/>
                <w:noWrap/>
                <w:vAlign w:val="center"/>
                <w:hideMark/>
              </w:tcPr>
              <w:p w14:paraId="6525AA9A"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78.509.415.230</w:t>
                </w:r>
              </w:p>
            </w:tc>
            <w:tc>
              <w:tcPr>
                <w:tcW w:w="1076" w:type="pct"/>
                <w:shd w:val="clear" w:color="auto" w:fill="auto"/>
                <w:noWrap/>
                <w:vAlign w:val="center"/>
                <w:hideMark/>
              </w:tcPr>
              <w:p w14:paraId="710EBEFE"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160.655.210</w:t>
                </w:r>
              </w:p>
            </w:tc>
          </w:tr>
          <w:tr w:rsidR="00E53C94" w:rsidRPr="00E53C94" w14:paraId="449A9978" w14:textId="77777777" w:rsidTr="00357A89">
            <w:trPr>
              <w:trHeight w:val="340"/>
            </w:trPr>
            <w:tc>
              <w:tcPr>
                <w:tcW w:w="1827" w:type="pct"/>
                <w:shd w:val="clear" w:color="auto" w:fill="auto"/>
                <w:noWrap/>
                <w:vAlign w:val="center"/>
                <w:hideMark/>
              </w:tcPr>
              <w:p w14:paraId="77F0EE91"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lastRenderedPageBreak/>
                  <w:t>Terrenos en construcción</w:t>
                </w:r>
              </w:p>
            </w:tc>
            <w:tc>
              <w:tcPr>
                <w:tcW w:w="1020" w:type="pct"/>
                <w:shd w:val="clear" w:color="auto" w:fill="auto"/>
                <w:noWrap/>
                <w:vAlign w:val="center"/>
                <w:hideMark/>
              </w:tcPr>
              <w:p w14:paraId="70FD2B8E"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7.851.169.453</w:t>
                </w:r>
              </w:p>
            </w:tc>
            <w:tc>
              <w:tcPr>
                <w:tcW w:w="1076" w:type="pct"/>
                <w:shd w:val="clear" w:color="auto" w:fill="auto"/>
                <w:noWrap/>
                <w:vAlign w:val="center"/>
                <w:hideMark/>
              </w:tcPr>
              <w:p w14:paraId="3B7CE298"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7.851.169.453</w:t>
                </w:r>
              </w:p>
            </w:tc>
            <w:tc>
              <w:tcPr>
                <w:tcW w:w="1076" w:type="pct"/>
                <w:shd w:val="clear" w:color="auto" w:fill="auto"/>
                <w:noWrap/>
                <w:vAlign w:val="center"/>
                <w:hideMark/>
              </w:tcPr>
              <w:p w14:paraId="410DAC5F"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0</w:t>
                </w:r>
              </w:p>
            </w:tc>
          </w:tr>
          <w:tr w:rsidR="00E53C94" w:rsidRPr="00E53C94" w14:paraId="150E5E71" w14:textId="77777777" w:rsidTr="00357A89">
            <w:trPr>
              <w:trHeight w:val="340"/>
            </w:trPr>
            <w:tc>
              <w:tcPr>
                <w:tcW w:w="1827" w:type="pct"/>
                <w:shd w:val="clear" w:color="auto" w:fill="auto"/>
                <w:noWrap/>
                <w:vAlign w:val="center"/>
                <w:hideMark/>
              </w:tcPr>
              <w:p w14:paraId="79FE6C14" w14:textId="77777777" w:rsidR="00E53C94" w:rsidRPr="00E53C94" w:rsidRDefault="00E53C94" w:rsidP="00E53C94">
                <w:pPr>
                  <w:spacing w:after="0" w:line="240" w:lineRule="auto"/>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AUTOVIA NEIVA GIRARDOT S.A.S</w:t>
                </w:r>
              </w:p>
            </w:tc>
            <w:tc>
              <w:tcPr>
                <w:tcW w:w="1020" w:type="pct"/>
                <w:shd w:val="clear" w:color="auto" w:fill="auto"/>
                <w:noWrap/>
                <w:vAlign w:val="center"/>
                <w:hideMark/>
              </w:tcPr>
              <w:p w14:paraId="30853327"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1.058.226.188.574</w:t>
                </w:r>
              </w:p>
            </w:tc>
            <w:tc>
              <w:tcPr>
                <w:tcW w:w="1076" w:type="pct"/>
                <w:shd w:val="clear" w:color="auto" w:fill="auto"/>
                <w:noWrap/>
                <w:vAlign w:val="center"/>
                <w:hideMark/>
              </w:tcPr>
              <w:p w14:paraId="01082AA0"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1.006.046.077.651</w:t>
                </w:r>
              </w:p>
            </w:tc>
            <w:tc>
              <w:tcPr>
                <w:tcW w:w="1076" w:type="pct"/>
                <w:shd w:val="clear" w:color="auto" w:fill="auto"/>
                <w:noWrap/>
                <w:vAlign w:val="center"/>
                <w:hideMark/>
              </w:tcPr>
              <w:p w14:paraId="3157EC3B"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52.180.110.923</w:t>
                </w:r>
              </w:p>
            </w:tc>
          </w:tr>
          <w:tr w:rsidR="00E53C94" w:rsidRPr="00E53C94" w14:paraId="31071F7F" w14:textId="77777777" w:rsidTr="00357A89">
            <w:trPr>
              <w:trHeight w:val="340"/>
            </w:trPr>
            <w:tc>
              <w:tcPr>
                <w:tcW w:w="1827" w:type="pct"/>
                <w:shd w:val="clear" w:color="auto" w:fill="auto"/>
                <w:noWrap/>
                <w:vAlign w:val="center"/>
                <w:hideMark/>
              </w:tcPr>
              <w:p w14:paraId="6349CD35"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Activos intangibles en concesión</w:t>
                </w:r>
              </w:p>
            </w:tc>
            <w:tc>
              <w:tcPr>
                <w:tcW w:w="1020" w:type="pct"/>
                <w:shd w:val="clear" w:color="auto" w:fill="auto"/>
                <w:noWrap/>
                <w:vAlign w:val="center"/>
                <w:hideMark/>
              </w:tcPr>
              <w:p w14:paraId="21525CA2"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115.481.934</w:t>
                </w:r>
              </w:p>
            </w:tc>
            <w:tc>
              <w:tcPr>
                <w:tcW w:w="1076" w:type="pct"/>
                <w:shd w:val="clear" w:color="auto" w:fill="auto"/>
                <w:noWrap/>
                <w:vAlign w:val="center"/>
                <w:hideMark/>
              </w:tcPr>
              <w:p w14:paraId="6FB88412"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43.470.956</w:t>
                </w:r>
              </w:p>
            </w:tc>
            <w:tc>
              <w:tcPr>
                <w:tcW w:w="1076" w:type="pct"/>
                <w:shd w:val="clear" w:color="auto" w:fill="auto"/>
                <w:noWrap/>
                <w:vAlign w:val="center"/>
                <w:hideMark/>
              </w:tcPr>
              <w:p w14:paraId="14AFA2D9"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72.010.978</w:t>
                </w:r>
              </w:p>
            </w:tc>
          </w:tr>
          <w:tr w:rsidR="00E53C94" w:rsidRPr="00E53C94" w14:paraId="27A05591" w14:textId="77777777" w:rsidTr="00357A89">
            <w:trPr>
              <w:trHeight w:val="340"/>
            </w:trPr>
            <w:tc>
              <w:tcPr>
                <w:tcW w:w="1827" w:type="pct"/>
                <w:shd w:val="clear" w:color="auto" w:fill="auto"/>
                <w:noWrap/>
                <w:vAlign w:val="center"/>
                <w:hideMark/>
              </w:tcPr>
              <w:p w14:paraId="79501B9B"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Propiedades, planta y equipo en concesión</w:t>
                </w:r>
              </w:p>
            </w:tc>
            <w:tc>
              <w:tcPr>
                <w:tcW w:w="1020" w:type="pct"/>
                <w:shd w:val="clear" w:color="auto" w:fill="auto"/>
                <w:noWrap/>
                <w:vAlign w:val="center"/>
                <w:hideMark/>
              </w:tcPr>
              <w:p w14:paraId="11400CA9"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8.869.832.506</w:t>
                </w:r>
              </w:p>
            </w:tc>
            <w:tc>
              <w:tcPr>
                <w:tcW w:w="1076" w:type="pct"/>
                <w:shd w:val="clear" w:color="auto" w:fill="auto"/>
                <w:noWrap/>
                <w:vAlign w:val="center"/>
                <w:hideMark/>
              </w:tcPr>
              <w:p w14:paraId="613272E7"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7.777.996.800</w:t>
                </w:r>
              </w:p>
            </w:tc>
            <w:tc>
              <w:tcPr>
                <w:tcW w:w="1076" w:type="pct"/>
                <w:shd w:val="clear" w:color="auto" w:fill="auto"/>
                <w:noWrap/>
                <w:vAlign w:val="center"/>
                <w:hideMark/>
              </w:tcPr>
              <w:p w14:paraId="676EFB01"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1.091.835.706</w:t>
                </w:r>
              </w:p>
            </w:tc>
          </w:tr>
          <w:tr w:rsidR="00E53C94" w:rsidRPr="00E53C94" w14:paraId="452FA83E" w14:textId="77777777" w:rsidTr="00357A89">
            <w:trPr>
              <w:trHeight w:val="340"/>
            </w:trPr>
            <w:tc>
              <w:tcPr>
                <w:tcW w:w="1827" w:type="pct"/>
                <w:shd w:val="clear" w:color="auto" w:fill="auto"/>
                <w:noWrap/>
                <w:vAlign w:val="center"/>
                <w:hideMark/>
              </w:tcPr>
              <w:p w14:paraId="4CFF6D59"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Red carretera en construcción</w:t>
                </w:r>
              </w:p>
            </w:tc>
            <w:tc>
              <w:tcPr>
                <w:tcW w:w="1020" w:type="pct"/>
                <w:shd w:val="clear" w:color="auto" w:fill="auto"/>
                <w:noWrap/>
                <w:vAlign w:val="center"/>
                <w:hideMark/>
              </w:tcPr>
              <w:p w14:paraId="7E12C8B8"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1.002.851.371.357</w:t>
                </w:r>
              </w:p>
            </w:tc>
            <w:tc>
              <w:tcPr>
                <w:tcW w:w="1076" w:type="pct"/>
                <w:shd w:val="clear" w:color="auto" w:fill="auto"/>
                <w:noWrap/>
                <w:vAlign w:val="center"/>
                <w:hideMark/>
              </w:tcPr>
              <w:p w14:paraId="31AB2F6F"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955.783.153.625</w:t>
                </w:r>
              </w:p>
            </w:tc>
            <w:tc>
              <w:tcPr>
                <w:tcW w:w="1076" w:type="pct"/>
                <w:shd w:val="clear" w:color="auto" w:fill="auto"/>
                <w:noWrap/>
                <w:vAlign w:val="center"/>
                <w:hideMark/>
              </w:tcPr>
              <w:p w14:paraId="0F478114"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47.068.217.732</w:t>
                </w:r>
              </w:p>
            </w:tc>
          </w:tr>
          <w:tr w:rsidR="00E53C94" w:rsidRPr="00E53C94" w14:paraId="43B70676" w14:textId="77777777" w:rsidTr="00357A89">
            <w:trPr>
              <w:trHeight w:val="340"/>
            </w:trPr>
            <w:tc>
              <w:tcPr>
                <w:tcW w:w="1827" w:type="pct"/>
                <w:shd w:val="clear" w:color="auto" w:fill="auto"/>
                <w:noWrap/>
                <w:vAlign w:val="center"/>
                <w:hideMark/>
              </w:tcPr>
              <w:p w14:paraId="50563368"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Terrenos en construcción</w:t>
                </w:r>
              </w:p>
            </w:tc>
            <w:tc>
              <w:tcPr>
                <w:tcW w:w="1020" w:type="pct"/>
                <w:shd w:val="clear" w:color="auto" w:fill="auto"/>
                <w:noWrap/>
                <w:vAlign w:val="center"/>
                <w:hideMark/>
              </w:tcPr>
              <w:p w14:paraId="15FEF14E"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46.389.502.777</w:t>
                </w:r>
              </w:p>
            </w:tc>
            <w:tc>
              <w:tcPr>
                <w:tcW w:w="1076" w:type="pct"/>
                <w:shd w:val="clear" w:color="auto" w:fill="auto"/>
                <w:noWrap/>
                <w:vAlign w:val="center"/>
                <w:hideMark/>
              </w:tcPr>
              <w:p w14:paraId="707BEC9D"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42.441.456.270</w:t>
                </w:r>
              </w:p>
            </w:tc>
            <w:tc>
              <w:tcPr>
                <w:tcW w:w="1076" w:type="pct"/>
                <w:shd w:val="clear" w:color="auto" w:fill="auto"/>
                <w:noWrap/>
                <w:vAlign w:val="center"/>
                <w:hideMark/>
              </w:tcPr>
              <w:p w14:paraId="5D31347A"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3.948.046.507</w:t>
                </w:r>
              </w:p>
            </w:tc>
          </w:tr>
          <w:tr w:rsidR="00E53C94" w:rsidRPr="00E53C94" w14:paraId="30C9D097" w14:textId="77777777" w:rsidTr="00357A89">
            <w:trPr>
              <w:trHeight w:val="340"/>
            </w:trPr>
            <w:tc>
              <w:tcPr>
                <w:tcW w:w="1827" w:type="pct"/>
                <w:shd w:val="clear" w:color="auto" w:fill="auto"/>
                <w:noWrap/>
                <w:vAlign w:val="center"/>
                <w:hideMark/>
              </w:tcPr>
              <w:p w14:paraId="5F7FA40C" w14:textId="77777777" w:rsidR="00E53C94" w:rsidRPr="00E53C94" w:rsidRDefault="00E53C94" w:rsidP="00E53C94">
                <w:pPr>
                  <w:spacing w:after="0" w:line="240" w:lineRule="auto"/>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BTS CONCESIONARIO S.A.S.</w:t>
                </w:r>
              </w:p>
            </w:tc>
            <w:tc>
              <w:tcPr>
                <w:tcW w:w="1020" w:type="pct"/>
                <w:shd w:val="clear" w:color="auto" w:fill="auto"/>
                <w:noWrap/>
                <w:vAlign w:val="center"/>
                <w:hideMark/>
              </w:tcPr>
              <w:p w14:paraId="3EC54FA1"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 xml:space="preserve">               1.617.975.967.499 </w:t>
                </w:r>
              </w:p>
            </w:tc>
            <w:tc>
              <w:tcPr>
                <w:tcW w:w="1076" w:type="pct"/>
                <w:shd w:val="clear" w:color="auto" w:fill="auto"/>
                <w:noWrap/>
                <w:vAlign w:val="center"/>
                <w:hideMark/>
              </w:tcPr>
              <w:p w14:paraId="328CA337"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 xml:space="preserve">                  1.568.323.889.281 </w:t>
                </w:r>
              </w:p>
            </w:tc>
            <w:tc>
              <w:tcPr>
                <w:tcW w:w="1076" w:type="pct"/>
                <w:shd w:val="clear" w:color="auto" w:fill="auto"/>
                <w:noWrap/>
                <w:vAlign w:val="center"/>
                <w:hideMark/>
              </w:tcPr>
              <w:p w14:paraId="585E32A5"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 xml:space="preserve">                       49.652.078.218 </w:t>
                </w:r>
              </w:p>
            </w:tc>
          </w:tr>
          <w:tr w:rsidR="00E53C94" w:rsidRPr="00E53C94" w14:paraId="71B320D3" w14:textId="77777777" w:rsidTr="00357A89">
            <w:trPr>
              <w:trHeight w:val="340"/>
            </w:trPr>
            <w:tc>
              <w:tcPr>
                <w:tcW w:w="1827" w:type="pct"/>
                <w:shd w:val="clear" w:color="auto" w:fill="auto"/>
                <w:noWrap/>
                <w:vAlign w:val="center"/>
                <w:hideMark/>
              </w:tcPr>
              <w:p w14:paraId="4953F2DE"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Red carretera en construcción</w:t>
                </w:r>
              </w:p>
            </w:tc>
            <w:tc>
              <w:tcPr>
                <w:tcW w:w="1020" w:type="pct"/>
                <w:shd w:val="clear" w:color="auto" w:fill="auto"/>
                <w:noWrap/>
                <w:vAlign w:val="center"/>
                <w:hideMark/>
              </w:tcPr>
              <w:p w14:paraId="34990976"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0</w:t>
                </w:r>
              </w:p>
            </w:tc>
            <w:tc>
              <w:tcPr>
                <w:tcW w:w="1076" w:type="pct"/>
                <w:shd w:val="clear" w:color="auto" w:fill="auto"/>
                <w:noWrap/>
                <w:vAlign w:val="center"/>
                <w:hideMark/>
              </w:tcPr>
              <w:p w14:paraId="6E0CD366"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1.535.142.835.678</w:t>
                </w:r>
              </w:p>
            </w:tc>
            <w:tc>
              <w:tcPr>
                <w:tcW w:w="1076" w:type="pct"/>
                <w:shd w:val="clear" w:color="auto" w:fill="auto"/>
                <w:noWrap/>
                <w:vAlign w:val="center"/>
                <w:hideMark/>
              </w:tcPr>
              <w:p w14:paraId="7D16E098"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-1.535.142.835.678</w:t>
                </w:r>
              </w:p>
            </w:tc>
          </w:tr>
          <w:tr w:rsidR="00E53C94" w:rsidRPr="00E53C94" w14:paraId="7DA2358D" w14:textId="77777777" w:rsidTr="00357A89">
            <w:trPr>
              <w:trHeight w:val="340"/>
            </w:trPr>
            <w:tc>
              <w:tcPr>
                <w:tcW w:w="1827" w:type="pct"/>
                <w:shd w:val="clear" w:color="auto" w:fill="auto"/>
                <w:noWrap/>
                <w:vAlign w:val="center"/>
                <w:hideMark/>
              </w:tcPr>
              <w:p w14:paraId="7FFF375C"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Terrenos en construcción</w:t>
                </w:r>
              </w:p>
            </w:tc>
            <w:tc>
              <w:tcPr>
                <w:tcW w:w="1020" w:type="pct"/>
                <w:shd w:val="clear" w:color="auto" w:fill="auto"/>
                <w:noWrap/>
                <w:vAlign w:val="center"/>
                <w:hideMark/>
              </w:tcPr>
              <w:p w14:paraId="7CFBB63C"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0</w:t>
                </w:r>
              </w:p>
            </w:tc>
            <w:tc>
              <w:tcPr>
                <w:tcW w:w="1076" w:type="pct"/>
                <w:shd w:val="clear" w:color="auto" w:fill="auto"/>
                <w:noWrap/>
                <w:vAlign w:val="center"/>
                <w:hideMark/>
              </w:tcPr>
              <w:p w14:paraId="5F8B18B3"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33.181.053.603</w:t>
                </w:r>
              </w:p>
            </w:tc>
            <w:tc>
              <w:tcPr>
                <w:tcW w:w="1076" w:type="pct"/>
                <w:shd w:val="clear" w:color="auto" w:fill="auto"/>
                <w:noWrap/>
                <w:vAlign w:val="center"/>
                <w:hideMark/>
              </w:tcPr>
              <w:p w14:paraId="763F836F"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-33.181.053.603</w:t>
                </w:r>
              </w:p>
            </w:tc>
          </w:tr>
          <w:tr w:rsidR="00E53C94" w:rsidRPr="00E53C94" w14:paraId="42F43FB3" w14:textId="77777777" w:rsidTr="00357A89">
            <w:trPr>
              <w:trHeight w:val="340"/>
            </w:trPr>
            <w:tc>
              <w:tcPr>
                <w:tcW w:w="1827" w:type="pct"/>
                <w:shd w:val="clear" w:color="auto" w:fill="auto"/>
                <w:noWrap/>
                <w:vAlign w:val="center"/>
                <w:hideMark/>
              </w:tcPr>
              <w:p w14:paraId="52ED68B8"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Red carretera en servicio</w:t>
                </w:r>
              </w:p>
            </w:tc>
            <w:tc>
              <w:tcPr>
                <w:tcW w:w="1020" w:type="pct"/>
                <w:shd w:val="clear" w:color="auto" w:fill="auto"/>
                <w:noWrap/>
                <w:vAlign w:val="center"/>
                <w:hideMark/>
              </w:tcPr>
              <w:p w14:paraId="78D7367A"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1.567.222.389.189</w:t>
                </w:r>
              </w:p>
            </w:tc>
            <w:tc>
              <w:tcPr>
                <w:tcW w:w="1076" w:type="pct"/>
                <w:shd w:val="clear" w:color="auto" w:fill="auto"/>
                <w:noWrap/>
                <w:vAlign w:val="center"/>
                <w:hideMark/>
              </w:tcPr>
              <w:p w14:paraId="7351EC24"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0</w:t>
                </w:r>
              </w:p>
            </w:tc>
            <w:tc>
              <w:tcPr>
                <w:tcW w:w="1076" w:type="pct"/>
                <w:shd w:val="clear" w:color="auto" w:fill="auto"/>
                <w:noWrap/>
                <w:vAlign w:val="center"/>
                <w:hideMark/>
              </w:tcPr>
              <w:p w14:paraId="28DD0ACE"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1,56722E+12</w:t>
                </w:r>
              </w:p>
            </w:tc>
          </w:tr>
          <w:tr w:rsidR="00E53C94" w:rsidRPr="00E53C94" w14:paraId="0AF2DCDA" w14:textId="77777777" w:rsidTr="00357A89">
            <w:trPr>
              <w:trHeight w:val="340"/>
            </w:trPr>
            <w:tc>
              <w:tcPr>
                <w:tcW w:w="1827" w:type="pct"/>
                <w:shd w:val="clear" w:color="auto" w:fill="auto"/>
                <w:noWrap/>
                <w:vAlign w:val="center"/>
                <w:hideMark/>
              </w:tcPr>
              <w:p w14:paraId="2F3C9F14"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Terrenos en servicio</w:t>
                </w:r>
              </w:p>
            </w:tc>
            <w:tc>
              <w:tcPr>
                <w:tcW w:w="1020" w:type="pct"/>
                <w:shd w:val="clear" w:color="auto" w:fill="auto"/>
                <w:noWrap/>
                <w:vAlign w:val="center"/>
                <w:hideMark/>
              </w:tcPr>
              <w:p w14:paraId="43AF8F11"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50.373.544.533</w:t>
                </w:r>
              </w:p>
            </w:tc>
            <w:tc>
              <w:tcPr>
                <w:tcW w:w="1076" w:type="pct"/>
                <w:shd w:val="clear" w:color="auto" w:fill="auto"/>
                <w:noWrap/>
                <w:vAlign w:val="center"/>
                <w:hideMark/>
              </w:tcPr>
              <w:p w14:paraId="41105FFC"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0</w:t>
                </w:r>
              </w:p>
            </w:tc>
            <w:tc>
              <w:tcPr>
                <w:tcW w:w="1076" w:type="pct"/>
                <w:shd w:val="clear" w:color="auto" w:fill="auto"/>
                <w:noWrap/>
                <w:vAlign w:val="center"/>
                <w:hideMark/>
              </w:tcPr>
              <w:p w14:paraId="2C3F1419"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50373544533</w:t>
                </w:r>
              </w:p>
            </w:tc>
          </w:tr>
          <w:tr w:rsidR="00E53C94" w:rsidRPr="00E53C94" w14:paraId="267188BC" w14:textId="77777777" w:rsidTr="00357A89">
            <w:trPr>
              <w:trHeight w:val="340"/>
            </w:trPr>
            <w:tc>
              <w:tcPr>
                <w:tcW w:w="1827" w:type="pct"/>
                <w:shd w:val="clear" w:color="auto" w:fill="auto"/>
                <w:noWrap/>
                <w:vAlign w:val="center"/>
                <w:hideMark/>
              </w:tcPr>
              <w:p w14:paraId="220F3B8A"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Propiedades, planta y equipo en concesión</w:t>
                </w:r>
              </w:p>
            </w:tc>
            <w:tc>
              <w:tcPr>
                <w:tcW w:w="1020" w:type="pct"/>
                <w:shd w:val="clear" w:color="auto" w:fill="auto"/>
                <w:noWrap/>
                <w:vAlign w:val="center"/>
                <w:hideMark/>
              </w:tcPr>
              <w:p w14:paraId="3D6BD448"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365.863.266</w:t>
                </w:r>
              </w:p>
            </w:tc>
            <w:tc>
              <w:tcPr>
                <w:tcW w:w="1076" w:type="pct"/>
                <w:shd w:val="clear" w:color="auto" w:fill="auto"/>
                <w:noWrap/>
                <w:vAlign w:val="center"/>
                <w:hideMark/>
              </w:tcPr>
              <w:p w14:paraId="6CBB9C01"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0</w:t>
                </w:r>
              </w:p>
            </w:tc>
            <w:tc>
              <w:tcPr>
                <w:tcW w:w="1076" w:type="pct"/>
                <w:shd w:val="clear" w:color="auto" w:fill="auto"/>
                <w:noWrap/>
                <w:vAlign w:val="center"/>
                <w:hideMark/>
              </w:tcPr>
              <w:p w14:paraId="745CC7FF"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365863266</w:t>
                </w:r>
              </w:p>
            </w:tc>
          </w:tr>
          <w:tr w:rsidR="00E53C94" w:rsidRPr="00E53C94" w14:paraId="0EDAC3BE" w14:textId="77777777" w:rsidTr="00357A89">
            <w:trPr>
              <w:trHeight w:val="340"/>
            </w:trPr>
            <w:tc>
              <w:tcPr>
                <w:tcW w:w="1827" w:type="pct"/>
                <w:shd w:val="clear" w:color="auto" w:fill="auto"/>
                <w:noWrap/>
                <w:vAlign w:val="center"/>
                <w:hideMark/>
              </w:tcPr>
              <w:p w14:paraId="6C975AF4"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Activos intangibles en concesión</w:t>
                </w:r>
              </w:p>
            </w:tc>
            <w:tc>
              <w:tcPr>
                <w:tcW w:w="1020" w:type="pct"/>
                <w:shd w:val="clear" w:color="auto" w:fill="auto"/>
                <w:noWrap/>
                <w:vAlign w:val="center"/>
                <w:hideMark/>
              </w:tcPr>
              <w:p w14:paraId="0589277F"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14.170.511</w:t>
                </w:r>
              </w:p>
            </w:tc>
            <w:tc>
              <w:tcPr>
                <w:tcW w:w="1076" w:type="pct"/>
                <w:shd w:val="clear" w:color="auto" w:fill="auto"/>
                <w:noWrap/>
                <w:vAlign w:val="center"/>
                <w:hideMark/>
              </w:tcPr>
              <w:p w14:paraId="79BCF97E"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0</w:t>
                </w:r>
              </w:p>
            </w:tc>
            <w:tc>
              <w:tcPr>
                <w:tcW w:w="1076" w:type="pct"/>
                <w:shd w:val="clear" w:color="auto" w:fill="auto"/>
                <w:noWrap/>
                <w:vAlign w:val="center"/>
                <w:hideMark/>
              </w:tcPr>
              <w:p w14:paraId="61BC461D"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14170511</w:t>
                </w:r>
              </w:p>
            </w:tc>
          </w:tr>
          <w:tr w:rsidR="00E53C94" w:rsidRPr="00E53C94" w14:paraId="779AB39B" w14:textId="77777777" w:rsidTr="00357A89">
            <w:trPr>
              <w:trHeight w:val="340"/>
            </w:trPr>
            <w:tc>
              <w:tcPr>
                <w:tcW w:w="1827" w:type="pct"/>
                <w:shd w:val="clear" w:color="auto" w:fill="auto"/>
                <w:noWrap/>
                <w:vAlign w:val="center"/>
                <w:hideMark/>
              </w:tcPr>
              <w:p w14:paraId="79941780" w14:textId="77777777" w:rsidR="00E53C94" w:rsidRPr="00E53C94" w:rsidRDefault="00E53C94" w:rsidP="00E53C94">
                <w:pPr>
                  <w:spacing w:after="0" w:line="240" w:lineRule="auto"/>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CONCESIÓN ALTO MAGDALENA S A S</w:t>
                </w:r>
              </w:p>
            </w:tc>
            <w:tc>
              <w:tcPr>
                <w:tcW w:w="1020" w:type="pct"/>
                <w:shd w:val="clear" w:color="auto" w:fill="auto"/>
                <w:noWrap/>
                <w:vAlign w:val="center"/>
                <w:hideMark/>
              </w:tcPr>
              <w:p w14:paraId="415694A4"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958.516.407.361</w:t>
                </w:r>
              </w:p>
            </w:tc>
            <w:tc>
              <w:tcPr>
                <w:tcW w:w="1076" w:type="pct"/>
                <w:shd w:val="clear" w:color="auto" w:fill="auto"/>
                <w:noWrap/>
                <w:vAlign w:val="center"/>
                <w:hideMark/>
              </w:tcPr>
              <w:p w14:paraId="31913D42"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948.725.630.507</w:t>
                </w:r>
              </w:p>
            </w:tc>
            <w:tc>
              <w:tcPr>
                <w:tcW w:w="1076" w:type="pct"/>
                <w:shd w:val="clear" w:color="auto" w:fill="auto"/>
                <w:noWrap/>
                <w:vAlign w:val="center"/>
                <w:hideMark/>
              </w:tcPr>
              <w:p w14:paraId="2BE7D31C"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9.790.776.854</w:t>
                </w:r>
              </w:p>
            </w:tc>
          </w:tr>
          <w:tr w:rsidR="00E53C94" w:rsidRPr="00E53C94" w14:paraId="6BDE9A70" w14:textId="77777777" w:rsidTr="00357A89">
            <w:trPr>
              <w:trHeight w:val="340"/>
            </w:trPr>
            <w:tc>
              <w:tcPr>
                <w:tcW w:w="1827" w:type="pct"/>
                <w:shd w:val="clear" w:color="auto" w:fill="auto"/>
                <w:noWrap/>
                <w:vAlign w:val="center"/>
                <w:hideMark/>
              </w:tcPr>
              <w:p w14:paraId="04E94ABB"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Activos intangibles en concesión</w:t>
                </w:r>
              </w:p>
            </w:tc>
            <w:tc>
              <w:tcPr>
                <w:tcW w:w="1020" w:type="pct"/>
                <w:shd w:val="clear" w:color="auto" w:fill="auto"/>
                <w:noWrap/>
                <w:vAlign w:val="center"/>
                <w:hideMark/>
              </w:tcPr>
              <w:p w14:paraId="04E4A082"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470.000</w:t>
                </w:r>
              </w:p>
            </w:tc>
            <w:tc>
              <w:tcPr>
                <w:tcW w:w="1076" w:type="pct"/>
                <w:shd w:val="clear" w:color="auto" w:fill="auto"/>
                <w:noWrap/>
                <w:vAlign w:val="center"/>
                <w:hideMark/>
              </w:tcPr>
              <w:p w14:paraId="51EE5405"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470.000</w:t>
                </w:r>
              </w:p>
            </w:tc>
            <w:tc>
              <w:tcPr>
                <w:tcW w:w="1076" w:type="pct"/>
                <w:shd w:val="clear" w:color="auto" w:fill="auto"/>
                <w:noWrap/>
                <w:vAlign w:val="center"/>
                <w:hideMark/>
              </w:tcPr>
              <w:p w14:paraId="3F1A37E1"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0</w:t>
                </w:r>
              </w:p>
            </w:tc>
          </w:tr>
          <w:tr w:rsidR="00E53C94" w:rsidRPr="00E53C94" w14:paraId="1F6B73FE" w14:textId="77777777" w:rsidTr="00357A89">
            <w:trPr>
              <w:trHeight w:val="340"/>
            </w:trPr>
            <w:tc>
              <w:tcPr>
                <w:tcW w:w="1827" w:type="pct"/>
                <w:shd w:val="clear" w:color="auto" w:fill="auto"/>
                <w:noWrap/>
                <w:vAlign w:val="center"/>
                <w:hideMark/>
              </w:tcPr>
              <w:p w14:paraId="55D7A383"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Propiedades, planta y equipo en concesión</w:t>
                </w:r>
              </w:p>
            </w:tc>
            <w:tc>
              <w:tcPr>
                <w:tcW w:w="1020" w:type="pct"/>
                <w:shd w:val="clear" w:color="auto" w:fill="auto"/>
                <w:noWrap/>
                <w:vAlign w:val="center"/>
                <w:hideMark/>
              </w:tcPr>
              <w:p w14:paraId="4CA8B6ED"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5.544.129.111</w:t>
                </w:r>
              </w:p>
            </w:tc>
            <w:tc>
              <w:tcPr>
                <w:tcW w:w="1076" w:type="pct"/>
                <w:shd w:val="clear" w:color="auto" w:fill="auto"/>
                <w:noWrap/>
                <w:vAlign w:val="center"/>
                <w:hideMark/>
              </w:tcPr>
              <w:p w14:paraId="7F7E6FDF"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5.264.700.026</w:t>
                </w:r>
              </w:p>
            </w:tc>
            <w:tc>
              <w:tcPr>
                <w:tcW w:w="1076" w:type="pct"/>
                <w:shd w:val="clear" w:color="auto" w:fill="auto"/>
                <w:noWrap/>
                <w:vAlign w:val="center"/>
                <w:hideMark/>
              </w:tcPr>
              <w:p w14:paraId="3096ACAF"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279.429.085</w:t>
                </w:r>
              </w:p>
            </w:tc>
          </w:tr>
          <w:tr w:rsidR="00E53C94" w:rsidRPr="00E53C94" w14:paraId="4160546C" w14:textId="77777777" w:rsidTr="00357A89">
            <w:trPr>
              <w:trHeight w:val="340"/>
            </w:trPr>
            <w:tc>
              <w:tcPr>
                <w:tcW w:w="1827" w:type="pct"/>
                <w:shd w:val="clear" w:color="auto" w:fill="auto"/>
                <w:noWrap/>
                <w:vAlign w:val="center"/>
                <w:hideMark/>
              </w:tcPr>
              <w:p w14:paraId="784D9683"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Red carretera en servicio</w:t>
                </w:r>
              </w:p>
            </w:tc>
            <w:tc>
              <w:tcPr>
                <w:tcW w:w="1020" w:type="pct"/>
                <w:shd w:val="clear" w:color="auto" w:fill="auto"/>
                <w:noWrap/>
                <w:vAlign w:val="center"/>
                <w:hideMark/>
              </w:tcPr>
              <w:p w14:paraId="5394051E"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924.559.510.633</w:t>
                </w:r>
              </w:p>
            </w:tc>
            <w:tc>
              <w:tcPr>
                <w:tcW w:w="1076" w:type="pct"/>
                <w:shd w:val="clear" w:color="auto" w:fill="auto"/>
                <w:noWrap/>
                <w:vAlign w:val="center"/>
                <w:hideMark/>
              </w:tcPr>
              <w:p w14:paraId="70952E88"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915.877.365.876</w:t>
                </w:r>
              </w:p>
            </w:tc>
            <w:tc>
              <w:tcPr>
                <w:tcW w:w="1076" w:type="pct"/>
                <w:shd w:val="clear" w:color="auto" w:fill="auto"/>
                <w:noWrap/>
                <w:vAlign w:val="center"/>
                <w:hideMark/>
              </w:tcPr>
              <w:p w14:paraId="2627010F"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8.682.144.757</w:t>
                </w:r>
              </w:p>
            </w:tc>
          </w:tr>
          <w:tr w:rsidR="00E53C94" w:rsidRPr="00E53C94" w14:paraId="1645ADCE" w14:textId="77777777" w:rsidTr="00357A89">
            <w:trPr>
              <w:trHeight w:val="340"/>
            </w:trPr>
            <w:tc>
              <w:tcPr>
                <w:tcW w:w="1827" w:type="pct"/>
                <w:shd w:val="clear" w:color="auto" w:fill="auto"/>
                <w:noWrap/>
                <w:vAlign w:val="center"/>
                <w:hideMark/>
              </w:tcPr>
              <w:p w14:paraId="27938103"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Terrenos en servicio</w:t>
                </w:r>
              </w:p>
            </w:tc>
            <w:tc>
              <w:tcPr>
                <w:tcW w:w="1020" w:type="pct"/>
                <w:shd w:val="clear" w:color="auto" w:fill="auto"/>
                <w:noWrap/>
                <w:vAlign w:val="center"/>
                <w:hideMark/>
              </w:tcPr>
              <w:p w14:paraId="60C91865"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28.412.297.617</w:t>
                </w:r>
              </w:p>
            </w:tc>
            <w:tc>
              <w:tcPr>
                <w:tcW w:w="1076" w:type="pct"/>
                <w:shd w:val="clear" w:color="auto" w:fill="auto"/>
                <w:noWrap/>
                <w:vAlign w:val="center"/>
                <w:hideMark/>
              </w:tcPr>
              <w:p w14:paraId="1DB9BF66"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27.583.094.605</w:t>
                </w:r>
              </w:p>
            </w:tc>
            <w:tc>
              <w:tcPr>
                <w:tcW w:w="1076" w:type="pct"/>
                <w:shd w:val="clear" w:color="auto" w:fill="auto"/>
                <w:noWrap/>
                <w:vAlign w:val="center"/>
                <w:hideMark/>
              </w:tcPr>
              <w:p w14:paraId="79F06453"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829.203.012</w:t>
                </w:r>
              </w:p>
            </w:tc>
          </w:tr>
          <w:tr w:rsidR="00E53C94" w:rsidRPr="00E53C94" w14:paraId="36077506" w14:textId="77777777" w:rsidTr="00357A89">
            <w:trPr>
              <w:trHeight w:val="340"/>
            </w:trPr>
            <w:tc>
              <w:tcPr>
                <w:tcW w:w="1827" w:type="pct"/>
                <w:shd w:val="clear" w:color="auto" w:fill="auto"/>
                <w:vAlign w:val="center"/>
                <w:hideMark/>
              </w:tcPr>
              <w:p w14:paraId="0A296FD0" w14:textId="77777777" w:rsidR="00E53C94" w:rsidRPr="00E53C94" w:rsidRDefault="00E53C94" w:rsidP="00E53C94">
                <w:pPr>
                  <w:spacing w:after="0" w:line="240" w:lineRule="auto"/>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CONCESIÓN COSTERA CARTAGENA BARRANQUILLA S.A.S.</w:t>
                </w:r>
              </w:p>
            </w:tc>
            <w:tc>
              <w:tcPr>
                <w:tcW w:w="1020" w:type="pct"/>
                <w:shd w:val="clear" w:color="auto" w:fill="auto"/>
                <w:noWrap/>
                <w:vAlign w:val="center"/>
                <w:hideMark/>
              </w:tcPr>
              <w:p w14:paraId="72B325F9"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1.372.510.754.027</w:t>
                </w:r>
              </w:p>
            </w:tc>
            <w:tc>
              <w:tcPr>
                <w:tcW w:w="1076" w:type="pct"/>
                <w:shd w:val="clear" w:color="auto" w:fill="auto"/>
                <w:noWrap/>
                <w:vAlign w:val="center"/>
                <w:hideMark/>
              </w:tcPr>
              <w:p w14:paraId="5DC4B020"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1.329.117.868.509</w:t>
                </w:r>
              </w:p>
            </w:tc>
            <w:tc>
              <w:tcPr>
                <w:tcW w:w="1076" w:type="pct"/>
                <w:shd w:val="clear" w:color="auto" w:fill="auto"/>
                <w:noWrap/>
                <w:vAlign w:val="center"/>
                <w:hideMark/>
              </w:tcPr>
              <w:p w14:paraId="5DA5A067"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43.392.885.518</w:t>
                </w:r>
              </w:p>
            </w:tc>
          </w:tr>
          <w:tr w:rsidR="00E53C94" w:rsidRPr="00E53C94" w14:paraId="0717E76C" w14:textId="77777777" w:rsidTr="00357A89">
            <w:trPr>
              <w:trHeight w:val="340"/>
            </w:trPr>
            <w:tc>
              <w:tcPr>
                <w:tcW w:w="1827" w:type="pct"/>
                <w:shd w:val="clear" w:color="auto" w:fill="auto"/>
                <w:noWrap/>
                <w:vAlign w:val="center"/>
                <w:hideMark/>
              </w:tcPr>
              <w:p w14:paraId="57212658"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Propiedades, planta y equipo en concesión</w:t>
                </w:r>
              </w:p>
            </w:tc>
            <w:tc>
              <w:tcPr>
                <w:tcW w:w="1020" w:type="pct"/>
                <w:shd w:val="clear" w:color="auto" w:fill="auto"/>
                <w:noWrap/>
                <w:vAlign w:val="center"/>
                <w:hideMark/>
              </w:tcPr>
              <w:p w14:paraId="2DC8DC88"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9.942.058.189</w:t>
                </w:r>
              </w:p>
            </w:tc>
            <w:tc>
              <w:tcPr>
                <w:tcW w:w="1076" w:type="pct"/>
                <w:shd w:val="clear" w:color="auto" w:fill="auto"/>
                <w:noWrap/>
                <w:vAlign w:val="center"/>
                <w:hideMark/>
              </w:tcPr>
              <w:p w14:paraId="0DC109BA"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10.051.641.301</w:t>
                </w:r>
              </w:p>
            </w:tc>
            <w:tc>
              <w:tcPr>
                <w:tcW w:w="1076" w:type="pct"/>
                <w:shd w:val="clear" w:color="auto" w:fill="auto"/>
                <w:noWrap/>
                <w:vAlign w:val="center"/>
                <w:hideMark/>
              </w:tcPr>
              <w:p w14:paraId="419EE083"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-109.583.112</w:t>
                </w:r>
              </w:p>
            </w:tc>
          </w:tr>
          <w:tr w:rsidR="00E53C94" w:rsidRPr="00E53C94" w14:paraId="4644B2DF" w14:textId="77777777" w:rsidTr="00357A89">
            <w:trPr>
              <w:trHeight w:val="340"/>
            </w:trPr>
            <w:tc>
              <w:tcPr>
                <w:tcW w:w="1827" w:type="pct"/>
                <w:shd w:val="clear" w:color="auto" w:fill="auto"/>
                <w:noWrap/>
                <w:vAlign w:val="center"/>
                <w:hideMark/>
              </w:tcPr>
              <w:p w14:paraId="3B15C7F1"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Red carretera en servicio</w:t>
                </w:r>
              </w:p>
            </w:tc>
            <w:tc>
              <w:tcPr>
                <w:tcW w:w="1020" w:type="pct"/>
                <w:shd w:val="clear" w:color="auto" w:fill="auto"/>
                <w:noWrap/>
                <w:vAlign w:val="center"/>
                <w:hideMark/>
              </w:tcPr>
              <w:p w14:paraId="4DA43ABF"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1.061.363.599.515</w:t>
                </w:r>
              </w:p>
            </w:tc>
            <w:tc>
              <w:tcPr>
                <w:tcW w:w="1076" w:type="pct"/>
                <w:shd w:val="clear" w:color="auto" w:fill="auto"/>
                <w:noWrap/>
                <w:vAlign w:val="center"/>
                <w:hideMark/>
              </w:tcPr>
              <w:p w14:paraId="306E9531"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1.035.494.503.542</w:t>
                </w:r>
              </w:p>
            </w:tc>
            <w:tc>
              <w:tcPr>
                <w:tcW w:w="1076" w:type="pct"/>
                <w:shd w:val="clear" w:color="auto" w:fill="auto"/>
                <w:noWrap/>
                <w:vAlign w:val="center"/>
                <w:hideMark/>
              </w:tcPr>
              <w:p w14:paraId="1D5E508B"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25.869.095.973</w:t>
                </w:r>
              </w:p>
            </w:tc>
          </w:tr>
          <w:tr w:rsidR="00E53C94" w:rsidRPr="00E53C94" w14:paraId="561D55EF" w14:textId="77777777" w:rsidTr="00357A89">
            <w:trPr>
              <w:trHeight w:val="340"/>
            </w:trPr>
            <w:tc>
              <w:tcPr>
                <w:tcW w:w="1827" w:type="pct"/>
                <w:shd w:val="clear" w:color="auto" w:fill="auto"/>
                <w:noWrap/>
                <w:vAlign w:val="center"/>
                <w:hideMark/>
              </w:tcPr>
              <w:p w14:paraId="548EEEB3"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Terrenos en servicio</w:t>
                </w:r>
              </w:p>
            </w:tc>
            <w:tc>
              <w:tcPr>
                <w:tcW w:w="1020" w:type="pct"/>
                <w:shd w:val="clear" w:color="auto" w:fill="auto"/>
                <w:noWrap/>
                <w:vAlign w:val="center"/>
                <w:hideMark/>
              </w:tcPr>
              <w:p w14:paraId="0A683321"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301.205.096.323</w:t>
                </w:r>
              </w:p>
            </w:tc>
            <w:tc>
              <w:tcPr>
                <w:tcW w:w="1076" w:type="pct"/>
                <w:shd w:val="clear" w:color="auto" w:fill="auto"/>
                <w:noWrap/>
                <w:vAlign w:val="center"/>
                <w:hideMark/>
              </w:tcPr>
              <w:p w14:paraId="5A7E3441"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283.571.723.666</w:t>
                </w:r>
              </w:p>
            </w:tc>
            <w:tc>
              <w:tcPr>
                <w:tcW w:w="1076" w:type="pct"/>
                <w:shd w:val="clear" w:color="auto" w:fill="auto"/>
                <w:noWrap/>
                <w:vAlign w:val="center"/>
                <w:hideMark/>
              </w:tcPr>
              <w:p w14:paraId="36A79574"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17.633.372.657</w:t>
                </w:r>
              </w:p>
            </w:tc>
          </w:tr>
          <w:tr w:rsidR="00E53C94" w:rsidRPr="00E53C94" w14:paraId="7EE0CC2B" w14:textId="77777777" w:rsidTr="00357A89">
            <w:trPr>
              <w:trHeight w:val="340"/>
            </w:trPr>
            <w:tc>
              <w:tcPr>
                <w:tcW w:w="1827" w:type="pct"/>
                <w:shd w:val="clear" w:color="auto" w:fill="auto"/>
                <w:noWrap/>
                <w:vAlign w:val="center"/>
                <w:hideMark/>
              </w:tcPr>
              <w:p w14:paraId="3E76A703" w14:textId="77777777" w:rsidR="00E53C94" w:rsidRPr="00E53C94" w:rsidRDefault="00E53C94" w:rsidP="00E53C94">
                <w:pPr>
                  <w:spacing w:after="0" w:line="240" w:lineRule="auto"/>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CONCESION LA PINTADA S.A.S.</w:t>
                </w:r>
              </w:p>
            </w:tc>
            <w:tc>
              <w:tcPr>
                <w:tcW w:w="1020" w:type="pct"/>
                <w:shd w:val="clear" w:color="auto" w:fill="auto"/>
                <w:noWrap/>
                <w:vAlign w:val="center"/>
                <w:hideMark/>
              </w:tcPr>
              <w:p w14:paraId="68F1FB39"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1.590.270.230.078</w:t>
                </w:r>
              </w:p>
            </w:tc>
            <w:tc>
              <w:tcPr>
                <w:tcW w:w="1076" w:type="pct"/>
                <w:shd w:val="clear" w:color="auto" w:fill="auto"/>
                <w:noWrap/>
                <w:vAlign w:val="center"/>
                <w:hideMark/>
              </w:tcPr>
              <w:p w14:paraId="263FB172"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1.486.752.329.560</w:t>
                </w:r>
              </w:p>
            </w:tc>
            <w:tc>
              <w:tcPr>
                <w:tcW w:w="1076" w:type="pct"/>
                <w:shd w:val="clear" w:color="auto" w:fill="auto"/>
                <w:noWrap/>
                <w:vAlign w:val="center"/>
                <w:hideMark/>
              </w:tcPr>
              <w:p w14:paraId="74871FED"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103.517.900.518</w:t>
                </w:r>
              </w:p>
            </w:tc>
          </w:tr>
          <w:tr w:rsidR="00E53C94" w:rsidRPr="00E53C94" w14:paraId="4E6A5069" w14:textId="77777777" w:rsidTr="00357A89">
            <w:trPr>
              <w:trHeight w:val="340"/>
            </w:trPr>
            <w:tc>
              <w:tcPr>
                <w:tcW w:w="1827" w:type="pct"/>
                <w:shd w:val="clear" w:color="auto" w:fill="auto"/>
                <w:noWrap/>
                <w:vAlign w:val="center"/>
                <w:hideMark/>
              </w:tcPr>
              <w:p w14:paraId="11057E3E"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Propiedades, planta y equipo en concesión</w:t>
                </w:r>
              </w:p>
            </w:tc>
            <w:tc>
              <w:tcPr>
                <w:tcW w:w="1020" w:type="pct"/>
                <w:shd w:val="clear" w:color="auto" w:fill="auto"/>
                <w:noWrap/>
                <w:vAlign w:val="center"/>
                <w:hideMark/>
              </w:tcPr>
              <w:p w14:paraId="1AC8C44D"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5.242.304.893</w:t>
                </w:r>
              </w:p>
            </w:tc>
            <w:tc>
              <w:tcPr>
                <w:tcW w:w="1076" w:type="pct"/>
                <w:shd w:val="clear" w:color="auto" w:fill="auto"/>
                <w:noWrap/>
                <w:vAlign w:val="center"/>
                <w:hideMark/>
              </w:tcPr>
              <w:p w14:paraId="231F8528"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4.883.766.853</w:t>
                </w:r>
              </w:p>
            </w:tc>
            <w:tc>
              <w:tcPr>
                <w:tcW w:w="1076" w:type="pct"/>
                <w:shd w:val="clear" w:color="auto" w:fill="auto"/>
                <w:noWrap/>
                <w:vAlign w:val="center"/>
                <w:hideMark/>
              </w:tcPr>
              <w:p w14:paraId="0B441871"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358.538.040</w:t>
                </w:r>
              </w:p>
            </w:tc>
          </w:tr>
          <w:tr w:rsidR="00E53C94" w:rsidRPr="00E53C94" w14:paraId="31247F7D" w14:textId="77777777" w:rsidTr="00357A89">
            <w:trPr>
              <w:trHeight w:val="340"/>
            </w:trPr>
            <w:tc>
              <w:tcPr>
                <w:tcW w:w="1827" w:type="pct"/>
                <w:shd w:val="clear" w:color="auto" w:fill="auto"/>
                <w:noWrap/>
                <w:vAlign w:val="center"/>
                <w:hideMark/>
              </w:tcPr>
              <w:p w14:paraId="5F9BB02C"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Red carretera en servicio</w:t>
                </w:r>
              </w:p>
            </w:tc>
            <w:tc>
              <w:tcPr>
                <w:tcW w:w="1020" w:type="pct"/>
                <w:shd w:val="clear" w:color="auto" w:fill="auto"/>
                <w:noWrap/>
                <w:vAlign w:val="center"/>
                <w:hideMark/>
              </w:tcPr>
              <w:p w14:paraId="72C274A1"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1.529.578.626.587</w:t>
                </w:r>
              </w:p>
            </w:tc>
            <w:tc>
              <w:tcPr>
                <w:tcW w:w="1076" w:type="pct"/>
                <w:shd w:val="clear" w:color="auto" w:fill="auto"/>
                <w:noWrap/>
                <w:vAlign w:val="center"/>
                <w:hideMark/>
              </w:tcPr>
              <w:p w14:paraId="29012CDD"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1.426.457.903.706</w:t>
                </w:r>
              </w:p>
            </w:tc>
            <w:tc>
              <w:tcPr>
                <w:tcW w:w="1076" w:type="pct"/>
                <w:shd w:val="clear" w:color="auto" w:fill="auto"/>
                <w:noWrap/>
                <w:vAlign w:val="center"/>
                <w:hideMark/>
              </w:tcPr>
              <w:p w14:paraId="2D22F52D"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103.120.722.881</w:t>
                </w:r>
              </w:p>
            </w:tc>
          </w:tr>
          <w:tr w:rsidR="00E53C94" w:rsidRPr="00E53C94" w14:paraId="0A5C417B" w14:textId="77777777" w:rsidTr="00357A89">
            <w:trPr>
              <w:trHeight w:val="340"/>
            </w:trPr>
            <w:tc>
              <w:tcPr>
                <w:tcW w:w="1827" w:type="pct"/>
                <w:shd w:val="clear" w:color="auto" w:fill="auto"/>
                <w:noWrap/>
                <w:vAlign w:val="center"/>
                <w:hideMark/>
              </w:tcPr>
              <w:p w14:paraId="603BA477"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Terrenos en servicio</w:t>
                </w:r>
              </w:p>
            </w:tc>
            <w:tc>
              <w:tcPr>
                <w:tcW w:w="1020" w:type="pct"/>
                <w:shd w:val="clear" w:color="auto" w:fill="auto"/>
                <w:noWrap/>
                <w:vAlign w:val="center"/>
                <w:hideMark/>
              </w:tcPr>
              <w:p w14:paraId="6B216310"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55.449.298.598</w:t>
                </w:r>
              </w:p>
            </w:tc>
            <w:tc>
              <w:tcPr>
                <w:tcW w:w="1076" w:type="pct"/>
                <w:shd w:val="clear" w:color="auto" w:fill="auto"/>
                <w:noWrap/>
                <w:vAlign w:val="center"/>
                <w:hideMark/>
              </w:tcPr>
              <w:p w14:paraId="7AE243FC"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55.410.659.001</w:t>
                </w:r>
              </w:p>
            </w:tc>
            <w:tc>
              <w:tcPr>
                <w:tcW w:w="1076" w:type="pct"/>
                <w:shd w:val="clear" w:color="auto" w:fill="auto"/>
                <w:noWrap/>
                <w:vAlign w:val="center"/>
                <w:hideMark/>
              </w:tcPr>
              <w:p w14:paraId="55571F65"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38.639.597</w:t>
                </w:r>
              </w:p>
            </w:tc>
          </w:tr>
          <w:tr w:rsidR="00E53C94" w:rsidRPr="00E53C94" w14:paraId="443D717A" w14:textId="77777777" w:rsidTr="00357A89">
            <w:trPr>
              <w:trHeight w:val="340"/>
            </w:trPr>
            <w:tc>
              <w:tcPr>
                <w:tcW w:w="1827" w:type="pct"/>
                <w:shd w:val="clear" w:color="auto" w:fill="auto"/>
                <w:noWrap/>
                <w:vAlign w:val="center"/>
                <w:hideMark/>
              </w:tcPr>
              <w:p w14:paraId="1048D2B8" w14:textId="77777777" w:rsidR="00E53C94" w:rsidRPr="00E53C94" w:rsidRDefault="00E53C94" w:rsidP="00E53C94">
                <w:pPr>
                  <w:spacing w:after="0" w:line="240" w:lineRule="auto"/>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CONCESIÓN PACIFICO TRES S.A.S.</w:t>
                </w:r>
              </w:p>
            </w:tc>
            <w:tc>
              <w:tcPr>
                <w:tcW w:w="1020" w:type="pct"/>
                <w:shd w:val="clear" w:color="auto" w:fill="auto"/>
                <w:noWrap/>
                <w:vAlign w:val="center"/>
                <w:hideMark/>
              </w:tcPr>
              <w:p w14:paraId="54C897D0"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1.509.371.783.013</w:t>
                </w:r>
              </w:p>
            </w:tc>
            <w:tc>
              <w:tcPr>
                <w:tcW w:w="1076" w:type="pct"/>
                <w:shd w:val="clear" w:color="auto" w:fill="auto"/>
                <w:noWrap/>
                <w:vAlign w:val="center"/>
                <w:hideMark/>
              </w:tcPr>
              <w:p w14:paraId="2E74DE88"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1.255.245.505.383</w:t>
                </w:r>
              </w:p>
            </w:tc>
            <w:tc>
              <w:tcPr>
                <w:tcW w:w="1076" w:type="pct"/>
                <w:shd w:val="clear" w:color="auto" w:fill="auto"/>
                <w:noWrap/>
                <w:vAlign w:val="center"/>
                <w:hideMark/>
              </w:tcPr>
              <w:p w14:paraId="5489C452"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254.126.277.630</w:t>
                </w:r>
              </w:p>
            </w:tc>
          </w:tr>
          <w:tr w:rsidR="00E53C94" w:rsidRPr="00E53C94" w14:paraId="18BE7BC8" w14:textId="77777777" w:rsidTr="00357A89">
            <w:trPr>
              <w:trHeight w:val="340"/>
            </w:trPr>
            <w:tc>
              <w:tcPr>
                <w:tcW w:w="1827" w:type="pct"/>
                <w:shd w:val="clear" w:color="auto" w:fill="auto"/>
                <w:noWrap/>
                <w:vAlign w:val="center"/>
                <w:hideMark/>
              </w:tcPr>
              <w:p w14:paraId="0437408C"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Propiedades, planta y equipo en concesión</w:t>
                </w:r>
              </w:p>
            </w:tc>
            <w:tc>
              <w:tcPr>
                <w:tcW w:w="1020" w:type="pct"/>
                <w:shd w:val="clear" w:color="auto" w:fill="auto"/>
                <w:noWrap/>
                <w:vAlign w:val="center"/>
                <w:hideMark/>
              </w:tcPr>
              <w:p w14:paraId="56B3EB90"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7.408.142.683</w:t>
                </w:r>
              </w:p>
            </w:tc>
            <w:tc>
              <w:tcPr>
                <w:tcW w:w="1076" w:type="pct"/>
                <w:shd w:val="clear" w:color="auto" w:fill="auto"/>
                <w:noWrap/>
                <w:vAlign w:val="center"/>
                <w:hideMark/>
              </w:tcPr>
              <w:p w14:paraId="4F60CFB3"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5.933.321.563</w:t>
                </w:r>
              </w:p>
            </w:tc>
            <w:tc>
              <w:tcPr>
                <w:tcW w:w="1076" w:type="pct"/>
                <w:shd w:val="clear" w:color="auto" w:fill="auto"/>
                <w:noWrap/>
                <w:vAlign w:val="center"/>
                <w:hideMark/>
              </w:tcPr>
              <w:p w14:paraId="500CDE71"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1.474.821.120</w:t>
                </w:r>
              </w:p>
            </w:tc>
          </w:tr>
          <w:tr w:rsidR="00E53C94" w:rsidRPr="00E53C94" w14:paraId="06C501FF" w14:textId="77777777" w:rsidTr="00357A89">
            <w:trPr>
              <w:trHeight w:val="340"/>
            </w:trPr>
            <w:tc>
              <w:tcPr>
                <w:tcW w:w="1827" w:type="pct"/>
                <w:shd w:val="clear" w:color="auto" w:fill="auto"/>
                <w:noWrap/>
                <w:vAlign w:val="center"/>
                <w:hideMark/>
              </w:tcPr>
              <w:p w14:paraId="5E9F5C41"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Red carretera en construcción</w:t>
                </w:r>
              </w:p>
            </w:tc>
            <w:tc>
              <w:tcPr>
                <w:tcW w:w="1020" w:type="pct"/>
                <w:shd w:val="clear" w:color="auto" w:fill="auto"/>
                <w:noWrap/>
                <w:vAlign w:val="center"/>
                <w:hideMark/>
              </w:tcPr>
              <w:p w14:paraId="22A31716"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1.376.292.536.899</w:t>
                </w:r>
              </w:p>
            </w:tc>
            <w:tc>
              <w:tcPr>
                <w:tcW w:w="1076" w:type="pct"/>
                <w:shd w:val="clear" w:color="auto" w:fill="auto"/>
                <w:noWrap/>
                <w:vAlign w:val="center"/>
                <w:hideMark/>
              </w:tcPr>
              <w:p w14:paraId="65B968ED"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1.173.778.316.415</w:t>
                </w:r>
              </w:p>
            </w:tc>
            <w:tc>
              <w:tcPr>
                <w:tcW w:w="1076" w:type="pct"/>
                <w:shd w:val="clear" w:color="auto" w:fill="auto"/>
                <w:noWrap/>
                <w:vAlign w:val="center"/>
                <w:hideMark/>
              </w:tcPr>
              <w:p w14:paraId="14FB464F"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202.514.220.484</w:t>
                </w:r>
              </w:p>
            </w:tc>
          </w:tr>
          <w:tr w:rsidR="00E53C94" w:rsidRPr="00E53C94" w14:paraId="6FE0FF68" w14:textId="77777777" w:rsidTr="00357A89">
            <w:trPr>
              <w:trHeight w:val="340"/>
            </w:trPr>
            <w:tc>
              <w:tcPr>
                <w:tcW w:w="1827" w:type="pct"/>
                <w:shd w:val="clear" w:color="auto" w:fill="auto"/>
                <w:noWrap/>
                <w:vAlign w:val="center"/>
                <w:hideMark/>
              </w:tcPr>
              <w:p w14:paraId="4EEA3714"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Terrenos en construcción</w:t>
                </w:r>
              </w:p>
            </w:tc>
            <w:tc>
              <w:tcPr>
                <w:tcW w:w="1020" w:type="pct"/>
                <w:shd w:val="clear" w:color="auto" w:fill="auto"/>
                <w:noWrap/>
                <w:vAlign w:val="center"/>
                <w:hideMark/>
              </w:tcPr>
              <w:p w14:paraId="0A4FD0E3"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125.671.103.431</w:t>
                </w:r>
              </w:p>
            </w:tc>
            <w:tc>
              <w:tcPr>
                <w:tcW w:w="1076" w:type="pct"/>
                <w:shd w:val="clear" w:color="auto" w:fill="auto"/>
                <w:noWrap/>
                <w:vAlign w:val="center"/>
                <w:hideMark/>
              </w:tcPr>
              <w:p w14:paraId="330D470B"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75.533.867.405</w:t>
                </w:r>
              </w:p>
            </w:tc>
            <w:tc>
              <w:tcPr>
                <w:tcW w:w="1076" w:type="pct"/>
                <w:shd w:val="clear" w:color="auto" w:fill="auto"/>
                <w:noWrap/>
                <w:vAlign w:val="center"/>
                <w:hideMark/>
              </w:tcPr>
              <w:p w14:paraId="1F6B3BC7"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50.137.236.026</w:t>
                </w:r>
              </w:p>
            </w:tc>
          </w:tr>
          <w:tr w:rsidR="00E53C94" w:rsidRPr="00E53C94" w14:paraId="2FFE5819" w14:textId="77777777" w:rsidTr="00357A89">
            <w:trPr>
              <w:trHeight w:val="340"/>
            </w:trPr>
            <w:tc>
              <w:tcPr>
                <w:tcW w:w="1827" w:type="pct"/>
                <w:shd w:val="clear" w:color="auto" w:fill="auto"/>
                <w:noWrap/>
                <w:vAlign w:val="center"/>
                <w:hideMark/>
              </w:tcPr>
              <w:p w14:paraId="25B328E0" w14:textId="77777777" w:rsidR="00E53C94" w:rsidRPr="00E53C94" w:rsidRDefault="00E53C94" w:rsidP="00E53C94">
                <w:pPr>
                  <w:spacing w:after="0" w:line="240" w:lineRule="auto"/>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CONCESIÒN RUTA AL MAR S.A.S.</w:t>
                </w:r>
              </w:p>
            </w:tc>
            <w:tc>
              <w:tcPr>
                <w:tcW w:w="1020" w:type="pct"/>
                <w:shd w:val="clear" w:color="auto" w:fill="auto"/>
                <w:noWrap/>
                <w:vAlign w:val="center"/>
                <w:hideMark/>
              </w:tcPr>
              <w:p w14:paraId="6533E906"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1.064.636.107.517</w:t>
                </w:r>
              </w:p>
            </w:tc>
            <w:tc>
              <w:tcPr>
                <w:tcW w:w="1076" w:type="pct"/>
                <w:shd w:val="clear" w:color="auto" w:fill="auto"/>
                <w:noWrap/>
                <w:vAlign w:val="center"/>
                <w:hideMark/>
              </w:tcPr>
              <w:p w14:paraId="137F683E"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849.566.344.320</w:t>
                </w:r>
              </w:p>
            </w:tc>
            <w:tc>
              <w:tcPr>
                <w:tcW w:w="1076" w:type="pct"/>
                <w:shd w:val="clear" w:color="auto" w:fill="auto"/>
                <w:noWrap/>
                <w:vAlign w:val="center"/>
                <w:hideMark/>
              </w:tcPr>
              <w:p w14:paraId="19CEDCEE"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215.069.763.197</w:t>
                </w:r>
              </w:p>
            </w:tc>
          </w:tr>
          <w:tr w:rsidR="00E53C94" w:rsidRPr="00E53C94" w14:paraId="2EB20D83" w14:textId="77777777" w:rsidTr="00357A89">
            <w:trPr>
              <w:trHeight w:val="340"/>
            </w:trPr>
            <w:tc>
              <w:tcPr>
                <w:tcW w:w="1827" w:type="pct"/>
                <w:shd w:val="clear" w:color="auto" w:fill="auto"/>
                <w:noWrap/>
                <w:vAlign w:val="center"/>
                <w:hideMark/>
              </w:tcPr>
              <w:p w14:paraId="4B86956B"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Propiedades, planta y equipo en concesión</w:t>
                </w:r>
              </w:p>
            </w:tc>
            <w:tc>
              <w:tcPr>
                <w:tcW w:w="1020" w:type="pct"/>
                <w:shd w:val="clear" w:color="auto" w:fill="auto"/>
                <w:noWrap/>
                <w:vAlign w:val="center"/>
                <w:hideMark/>
              </w:tcPr>
              <w:p w14:paraId="051EF7A7"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3.973.513.192</w:t>
                </w:r>
              </w:p>
            </w:tc>
            <w:tc>
              <w:tcPr>
                <w:tcW w:w="1076" w:type="pct"/>
                <w:shd w:val="clear" w:color="auto" w:fill="auto"/>
                <w:noWrap/>
                <w:vAlign w:val="center"/>
                <w:hideMark/>
              </w:tcPr>
              <w:p w14:paraId="100F639D"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4.705.193.364</w:t>
                </w:r>
              </w:p>
            </w:tc>
            <w:tc>
              <w:tcPr>
                <w:tcW w:w="1076" w:type="pct"/>
                <w:shd w:val="clear" w:color="auto" w:fill="auto"/>
                <w:noWrap/>
                <w:vAlign w:val="center"/>
                <w:hideMark/>
              </w:tcPr>
              <w:p w14:paraId="396D3C60"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-731.680.172</w:t>
                </w:r>
              </w:p>
            </w:tc>
          </w:tr>
          <w:tr w:rsidR="00E53C94" w:rsidRPr="00E53C94" w14:paraId="41CD8E53" w14:textId="77777777" w:rsidTr="00357A89">
            <w:trPr>
              <w:trHeight w:val="340"/>
            </w:trPr>
            <w:tc>
              <w:tcPr>
                <w:tcW w:w="1827" w:type="pct"/>
                <w:shd w:val="clear" w:color="auto" w:fill="auto"/>
                <w:noWrap/>
                <w:vAlign w:val="center"/>
                <w:hideMark/>
              </w:tcPr>
              <w:p w14:paraId="7FBD1DDF"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Red carretera en construcción</w:t>
                </w:r>
              </w:p>
            </w:tc>
            <w:tc>
              <w:tcPr>
                <w:tcW w:w="1020" w:type="pct"/>
                <w:shd w:val="clear" w:color="auto" w:fill="auto"/>
                <w:noWrap/>
                <w:vAlign w:val="center"/>
                <w:hideMark/>
              </w:tcPr>
              <w:p w14:paraId="152FF890"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991.570.162.743</w:t>
                </w:r>
              </w:p>
            </w:tc>
            <w:tc>
              <w:tcPr>
                <w:tcW w:w="1076" w:type="pct"/>
                <w:shd w:val="clear" w:color="auto" w:fill="auto"/>
                <w:noWrap/>
                <w:vAlign w:val="center"/>
                <w:hideMark/>
              </w:tcPr>
              <w:p w14:paraId="6C5F6C39"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790.964.897.077</w:t>
                </w:r>
              </w:p>
            </w:tc>
            <w:tc>
              <w:tcPr>
                <w:tcW w:w="1076" w:type="pct"/>
                <w:shd w:val="clear" w:color="auto" w:fill="auto"/>
                <w:noWrap/>
                <w:vAlign w:val="center"/>
                <w:hideMark/>
              </w:tcPr>
              <w:p w14:paraId="23C7C497"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200.605.265.666</w:t>
                </w:r>
              </w:p>
            </w:tc>
          </w:tr>
          <w:tr w:rsidR="00E53C94" w:rsidRPr="00E53C94" w14:paraId="177C8037" w14:textId="77777777" w:rsidTr="00357A89">
            <w:trPr>
              <w:trHeight w:val="340"/>
            </w:trPr>
            <w:tc>
              <w:tcPr>
                <w:tcW w:w="1827" w:type="pct"/>
                <w:shd w:val="clear" w:color="auto" w:fill="auto"/>
                <w:noWrap/>
                <w:vAlign w:val="center"/>
                <w:hideMark/>
              </w:tcPr>
              <w:p w14:paraId="05D9EC35"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Terrenos en construcción</w:t>
                </w:r>
              </w:p>
            </w:tc>
            <w:tc>
              <w:tcPr>
                <w:tcW w:w="1020" w:type="pct"/>
                <w:shd w:val="clear" w:color="auto" w:fill="auto"/>
                <w:noWrap/>
                <w:vAlign w:val="center"/>
                <w:hideMark/>
              </w:tcPr>
              <w:p w14:paraId="14476FDE"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69.092.431.582</w:t>
                </w:r>
              </w:p>
            </w:tc>
            <w:tc>
              <w:tcPr>
                <w:tcW w:w="1076" w:type="pct"/>
                <w:shd w:val="clear" w:color="auto" w:fill="auto"/>
                <w:noWrap/>
                <w:vAlign w:val="center"/>
                <w:hideMark/>
              </w:tcPr>
              <w:p w14:paraId="139B5D7C"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53.896.253.879</w:t>
                </w:r>
              </w:p>
            </w:tc>
            <w:tc>
              <w:tcPr>
                <w:tcW w:w="1076" w:type="pct"/>
                <w:shd w:val="clear" w:color="auto" w:fill="auto"/>
                <w:noWrap/>
                <w:vAlign w:val="center"/>
                <w:hideMark/>
              </w:tcPr>
              <w:p w14:paraId="4A5E1C9D"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15.196.177.703</w:t>
                </w:r>
              </w:p>
            </w:tc>
          </w:tr>
          <w:tr w:rsidR="00E53C94" w:rsidRPr="00E53C94" w14:paraId="67DCB530" w14:textId="77777777" w:rsidTr="00357A89">
            <w:trPr>
              <w:trHeight w:val="340"/>
            </w:trPr>
            <w:tc>
              <w:tcPr>
                <w:tcW w:w="1827" w:type="pct"/>
                <w:shd w:val="clear" w:color="auto" w:fill="auto"/>
                <w:noWrap/>
                <w:vAlign w:val="center"/>
                <w:hideMark/>
              </w:tcPr>
              <w:p w14:paraId="1E4F74E8" w14:textId="77777777" w:rsidR="00E53C94" w:rsidRPr="00E53C94" w:rsidRDefault="00E53C94" w:rsidP="00E53C94">
                <w:pPr>
                  <w:spacing w:after="0" w:line="240" w:lineRule="auto"/>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CONCESION SABANA DE OCCIDENTE S.A.S</w:t>
                </w:r>
              </w:p>
            </w:tc>
            <w:tc>
              <w:tcPr>
                <w:tcW w:w="1020" w:type="pct"/>
                <w:shd w:val="clear" w:color="auto" w:fill="auto"/>
                <w:noWrap/>
                <w:vAlign w:val="center"/>
                <w:hideMark/>
              </w:tcPr>
              <w:p w14:paraId="6944A139"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574.730.413.391</w:t>
                </w:r>
              </w:p>
            </w:tc>
            <w:tc>
              <w:tcPr>
                <w:tcW w:w="1076" w:type="pct"/>
                <w:shd w:val="clear" w:color="auto" w:fill="auto"/>
                <w:noWrap/>
                <w:vAlign w:val="center"/>
                <w:hideMark/>
              </w:tcPr>
              <w:p w14:paraId="08EA09B6"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573.130.988.315</w:t>
                </w:r>
              </w:p>
            </w:tc>
            <w:tc>
              <w:tcPr>
                <w:tcW w:w="1076" w:type="pct"/>
                <w:shd w:val="clear" w:color="auto" w:fill="auto"/>
                <w:noWrap/>
                <w:vAlign w:val="center"/>
                <w:hideMark/>
              </w:tcPr>
              <w:p w14:paraId="15834437"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1.599.425.076</w:t>
                </w:r>
              </w:p>
            </w:tc>
          </w:tr>
          <w:tr w:rsidR="00E53C94" w:rsidRPr="00E53C94" w14:paraId="1C91B06B" w14:textId="77777777" w:rsidTr="00357A89">
            <w:trPr>
              <w:trHeight w:val="340"/>
            </w:trPr>
            <w:tc>
              <w:tcPr>
                <w:tcW w:w="1827" w:type="pct"/>
                <w:shd w:val="clear" w:color="auto" w:fill="auto"/>
                <w:noWrap/>
                <w:vAlign w:val="center"/>
                <w:hideMark/>
              </w:tcPr>
              <w:p w14:paraId="191FF005"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lastRenderedPageBreak/>
                  <w:t>Propiedades, planta y equipo en concesión</w:t>
                </w:r>
              </w:p>
            </w:tc>
            <w:tc>
              <w:tcPr>
                <w:tcW w:w="1020" w:type="pct"/>
                <w:shd w:val="clear" w:color="auto" w:fill="auto"/>
                <w:noWrap/>
                <w:vAlign w:val="center"/>
                <w:hideMark/>
              </w:tcPr>
              <w:p w14:paraId="7947B3C6"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3.886.868.880</w:t>
                </w:r>
              </w:p>
            </w:tc>
            <w:tc>
              <w:tcPr>
                <w:tcW w:w="1076" w:type="pct"/>
                <w:shd w:val="clear" w:color="auto" w:fill="auto"/>
                <w:noWrap/>
                <w:vAlign w:val="center"/>
                <w:hideMark/>
              </w:tcPr>
              <w:p w14:paraId="4EC8A977"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3.886.868.880</w:t>
                </w:r>
              </w:p>
            </w:tc>
            <w:tc>
              <w:tcPr>
                <w:tcW w:w="1076" w:type="pct"/>
                <w:shd w:val="clear" w:color="auto" w:fill="auto"/>
                <w:noWrap/>
                <w:vAlign w:val="center"/>
                <w:hideMark/>
              </w:tcPr>
              <w:p w14:paraId="031A21DC"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0</w:t>
                </w:r>
              </w:p>
            </w:tc>
          </w:tr>
          <w:tr w:rsidR="00E53C94" w:rsidRPr="00E53C94" w14:paraId="5A75E8AC" w14:textId="77777777" w:rsidTr="00357A89">
            <w:trPr>
              <w:trHeight w:val="340"/>
            </w:trPr>
            <w:tc>
              <w:tcPr>
                <w:tcW w:w="1827" w:type="pct"/>
                <w:shd w:val="clear" w:color="auto" w:fill="auto"/>
                <w:noWrap/>
                <w:vAlign w:val="center"/>
                <w:hideMark/>
              </w:tcPr>
              <w:p w14:paraId="1C29B4E5"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Red carretera en servicio</w:t>
                </w:r>
              </w:p>
            </w:tc>
            <w:tc>
              <w:tcPr>
                <w:tcW w:w="1020" w:type="pct"/>
                <w:shd w:val="clear" w:color="auto" w:fill="auto"/>
                <w:noWrap/>
                <w:vAlign w:val="center"/>
                <w:hideMark/>
              </w:tcPr>
              <w:p w14:paraId="070D6C44"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507.859.906.319</w:t>
                </w:r>
              </w:p>
            </w:tc>
            <w:tc>
              <w:tcPr>
                <w:tcW w:w="1076" w:type="pct"/>
                <w:shd w:val="clear" w:color="auto" w:fill="auto"/>
                <w:noWrap/>
                <w:vAlign w:val="center"/>
                <w:hideMark/>
              </w:tcPr>
              <w:p w14:paraId="28FF3396"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522.954.074.275</w:t>
                </w:r>
              </w:p>
            </w:tc>
            <w:tc>
              <w:tcPr>
                <w:tcW w:w="1076" w:type="pct"/>
                <w:shd w:val="clear" w:color="auto" w:fill="auto"/>
                <w:noWrap/>
                <w:vAlign w:val="center"/>
                <w:hideMark/>
              </w:tcPr>
              <w:p w14:paraId="616AD4E3"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-15.094.167.956</w:t>
                </w:r>
              </w:p>
            </w:tc>
          </w:tr>
          <w:tr w:rsidR="00E53C94" w:rsidRPr="00E53C94" w14:paraId="3434CA32" w14:textId="77777777" w:rsidTr="00357A89">
            <w:trPr>
              <w:trHeight w:val="340"/>
            </w:trPr>
            <w:tc>
              <w:tcPr>
                <w:tcW w:w="1827" w:type="pct"/>
                <w:shd w:val="clear" w:color="auto" w:fill="auto"/>
                <w:noWrap/>
                <w:vAlign w:val="center"/>
                <w:hideMark/>
              </w:tcPr>
              <w:p w14:paraId="786BF103"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Terrenos en servicio</w:t>
                </w:r>
              </w:p>
            </w:tc>
            <w:tc>
              <w:tcPr>
                <w:tcW w:w="1020" w:type="pct"/>
                <w:shd w:val="clear" w:color="auto" w:fill="auto"/>
                <w:noWrap/>
                <w:vAlign w:val="center"/>
                <w:hideMark/>
              </w:tcPr>
              <w:p w14:paraId="6009FAD2"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62.983.638.192</w:t>
                </w:r>
              </w:p>
            </w:tc>
            <w:tc>
              <w:tcPr>
                <w:tcW w:w="1076" w:type="pct"/>
                <w:shd w:val="clear" w:color="auto" w:fill="auto"/>
                <w:noWrap/>
                <w:vAlign w:val="center"/>
                <w:hideMark/>
              </w:tcPr>
              <w:p w14:paraId="79E83881"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46.290.045.160</w:t>
                </w:r>
              </w:p>
            </w:tc>
            <w:tc>
              <w:tcPr>
                <w:tcW w:w="1076" w:type="pct"/>
                <w:shd w:val="clear" w:color="auto" w:fill="auto"/>
                <w:noWrap/>
                <w:vAlign w:val="center"/>
                <w:hideMark/>
              </w:tcPr>
              <w:p w14:paraId="5CCCB47B"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16.693.593.032</w:t>
                </w:r>
              </w:p>
            </w:tc>
          </w:tr>
          <w:tr w:rsidR="00E53C94" w:rsidRPr="00E53C94" w14:paraId="28159403" w14:textId="77777777" w:rsidTr="00357A89">
            <w:trPr>
              <w:trHeight w:val="340"/>
            </w:trPr>
            <w:tc>
              <w:tcPr>
                <w:tcW w:w="1827" w:type="pct"/>
                <w:shd w:val="clear" w:color="auto" w:fill="auto"/>
                <w:noWrap/>
                <w:vAlign w:val="center"/>
                <w:hideMark/>
              </w:tcPr>
              <w:p w14:paraId="683DAF23" w14:textId="77777777" w:rsidR="00E53C94" w:rsidRPr="00E53C94" w:rsidRDefault="00E53C94" w:rsidP="00E53C94">
                <w:pPr>
                  <w:spacing w:after="0" w:line="240" w:lineRule="auto"/>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CONCESION SANTA MARTA PARAGUACHON S.A.</w:t>
                </w:r>
              </w:p>
            </w:tc>
            <w:tc>
              <w:tcPr>
                <w:tcW w:w="1020" w:type="pct"/>
                <w:shd w:val="clear" w:color="auto" w:fill="auto"/>
                <w:noWrap/>
                <w:vAlign w:val="center"/>
                <w:hideMark/>
              </w:tcPr>
              <w:p w14:paraId="2174BCCA"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407.401.492.480</w:t>
                </w:r>
              </w:p>
            </w:tc>
            <w:tc>
              <w:tcPr>
                <w:tcW w:w="1076" w:type="pct"/>
                <w:shd w:val="clear" w:color="auto" w:fill="auto"/>
                <w:noWrap/>
                <w:vAlign w:val="center"/>
                <w:hideMark/>
              </w:tcPr>
              <w:p w14:paraId="167B5A84"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407.401.492.480</w:t>
                </w:r>
              </w:p>
            </w:tc>
            <w:tc>
              <w:tcPr>
                <w:tcW w:w="1076" w:type="pct"/>
                <w:shd w:val="clear" w:color="auto" w:fill="auto"/>
                <w:noWrap/>
                <w:vAlign w:val="center"/>
                <w:hideMark/>
              </w:tcPr>
              <w:p w14:paraId="154C3839"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0</w:t>
                </w:r>
              </w:p>
            </w:tc>
          </w:tr>
          <w:tr w:rsidR="00E53C94" w:rsidRPr="00E53C94" w14:paraId="22FEEE3B" w14:textId="77777777" w:rsidTr="00357A89">
            <w:trPr>
              <w:trHeight w:val="340"/>
            </w:trPr>
            <w:tc>
              <w:tcPr>
                <w:tcW w:w="1827" w:type="pct"/>
                <w:shd w:val="clear" w:color="auto" w:fill="auto"/>
                <w:noWrap/>
                <w:vAlign w:val="center"/>
                <w:hideMark/>
              </w:tcPr>
              <w:p w14:paraId="5EDBFE7F"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Propiedades, planta y equipo en concesión</w:t>
                </w:r>
              </w:p>
            </w:tc>
            <w:tc>
              <w:tcPr>
                <w:tcW w:w="1020" w:type="pct"/>
                <w:shd w:val="clear" w:color="auto" w:fill="auto"/>
                <w:noWrap/>
                <w:vAlign w:val="center"/>
                <w:hideMark/>
              </w:tcPr>
              <w:p w14:paraId="38BF2BF3"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6.541.189.426</w:t>
                </w:r>
              </w:p>
            </w:tc>
            <w:tc>
              <w:tcPr>
                <w:tcW w:w="1076" w:type="pct"/>
                <w:shd w:val="clear" w:color="auto" w:fill="auto"/>
                <w:noWrap/>
                <w:vAlign w:val="center"/>
                <w:hideMark/>
              </w:tcPr>
              <w:p w14:paraId="1905CCA4"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6.541.189.426</w:t>
                </w:r>
              </w:p>
            </w:tc>
            <w:tc>
              <w:tcPr>
                <w:tcW w:w="1076" w:type="pct"/>
                <w:shd w:val="clear" w:color="auto" w:fill="auto"/>
                <w:noWrap/>
                <w:vAlign w:val="center"/>
                <w:hideMark/>
              </w:tcPr>
              <w:p w14:paraId="0E886E5F"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0</w:t>
                </w:r>
              </w:p>
            </w:tc>
          </w:tr>
          <w:tr w:rsidR="00E53C94" w:rsidRPr="00E53C94" w14:paraId="1F292BC1" w14:textId="77777777" w:rsidTr="00357A89">
            <w:trPr>
              <w:trHeight w:val="340"/>
            </w:trPr>
            <w:tc>
              <w:tcPr>
                <w:tcW w:w="1827" w:type="pct"/>
                <w:shd w:val="clear" w:color="auto" w:fill="auto"/>
                <w:noWrap/>
                <w:vAlign w:val="center"/>
                <w:hideMark/>
              </w:tcPr>
              <w:p w14:paraId="29061E5C"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Red carretera en servicio</w:t>
                </w:r>
              </w:p>
            </w:tc>
            <w:tc>
              <w:tcPr>
                <w:tcW w:w="1020" w:type="pct"/>
                <w:shd w:val="clear" w:color="auto" w:fill="auto"/>
                <w:noWrap/>
                <w:vAlign w:val="center"/>
                <w:hideMark/>
              </w:tcPr>
              <w:p w14:paraId="6AC7697D"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400.860.303.054</w:t>
                </w:r>
              </w:p>
            </w:tc>
            <w:tc>
              <w:tcPr>
                <w:tcW w:w="1076" w:type="pct"/>
                <w:shd w:val="clear" w:color="auto" w:fill="auto"/>
                <w:noWrap/>
                <w:vAlign w:val="center"/>
                <w:hideMark/>
              </w:tcPr>
              <w:p w14:paraId="7F26D7D8"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400.860.303.054</w:t>
                </w:r>
              </w:p>
            </w:tc>
            <w:tc>
              <w:tcPr>
                <w:tcW w:w="1076" w:type="pct"/>
                <w:shd w:val="clear" w:color="auto" w:fill="auto"/>
                <w:noWrap/>
                <w:vAlign w:val="center"/>
                <w:hideMark/>
              </w:tcPr>
              <w:p w14:paraId="103367FE"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0</w:t>
                </w:r>
              </w:p>
            </w:tc>
          </w:tr>
          <w:tr w:rsidR="00E53C94" w:rsidRPr="00E53C94" w14:paraId="2B56C880" w14:textId="77777777" w:rsidTr="00357A89">
            <w:trPr>
              <w:trHeight w:val="340"/>
            </w:trPr>
            <w:tc>
              <w:tcPr>
                <w:tcW w:w="1827" w:type="pct"/>
                <w:shd w:val="clear" w:color="auto" w:fill="auto"/>
                <w:noWrap/>
                <w:vAlign w:val="center"/>
                <w:hideMark/>
              </w:tcPr>
              <w:p w14:paraId="09805299" w14:textId="77777777" w:rsidR="00E53C94" w:rsidRPr="00E53C94" w:rsidRDefault="00E53C94" w:rsidP="00E53C94">
                <w:pPr>
                  <w:spacing w:after="0" w:line="240" w:lineRule="auto"/>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CONCESION TRANSVERSAL DEL SISGA S.A.S</w:t>
                </w:r>
              </w:p>
            </w:tc>
            <w:tc>
              <w:tcPr>
                <w:tcW w:w="1020" w:type="pct"/>
                <w:shd w:val="clear" w:color="auto" w:fill="auto"/>
                <w:noWrap/>
                <w:vAlign w:val="center"/>
                <w:hideMark/>
              </w:tcPr>
              <w:p w14:paraId="1AED7600"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526.321.250.234</w:t>
                </w:r>
              </w:p>
            </w:tc>
            <w:tc>
              <w:tcPr>
                <w:tcW w:w="1076" w:type="pct"/>
                <w:shd w:val="clear" w:color="auto" w:fill="auto"/>
                <w:noWrap/>
                <w:vAlign w:val="center"/>
                <w:hideMark/>
              </w:tcPr>
              <w:p w14:paraId="22D49D3E"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523.852.127.277</w:t>
                </w:r>
              </w:p>
            </w:tc>
            <w:tc>
              <w:tcPr>
                <w:tcW w:w="1076" w:type="pct"/>
                <w:shd w:val="clear" w:color="auto" w:fill="auto"/>
                <w:noWrap/>
                <w:vAlign w:val="center"/>
                <w:hideMark/>
              </w:tcPr>
              <w:p w14:paraId="51A112B0"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2.469.122.957</w:t>
                </w:r>
              </w:p>
            </w:tc>
          </w:tr>
          <w:tr w:rsidR="00E53C94" w:rsidRPr="00E53C94" w14:paraId="1DE1E66C" w14:textId="77777777" w:rsidTr="00357A89">
            <w:trPr>
              <w:trHeight w:val="340"/>
            </w:trPr>
            <w:tc>
              <w:tcPr>
                <w:tcW w:w="1827" w:type="pct"/>
                <w:shd w:val="clear" w:color="auto" w:fill="auto"/>
                <w:noWrap/>
                <w:vAlign w:val="center"/>
                <w:hideMark/>
              </w:tcPr>
              <w:p w14:paraId="3B5692D1"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Activos intangibles en concesión</w:t>
                </w:r>
              </w:p>
            </w:tc>
            <w:tc>
              <w:tcPr>
                <w:tcW w:w="1020" w:type="pct"/>
                <w:shd w:val="clear" w:color="auto" w:fill="auto"/>
                <w:noWrap/>
                <w:vAlign w:val="center"/>
                <w:hideMark/>
              </w:tcPr>
              <w:p w14:paraId="034B3E3C"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559.847.400</w:t>
                </w:r>
              </w:p>
            </w:tc>
            <w:tc>
              <w:tcPr>
                <w:tcW w:w="1076" w:type="pct"/>
                <w:shd w:val="clear" w:color="auto" w:fill="auto"/>
                <w:noWrap/>
                <w:vAlign w:val="center"/>
                <w:hideMark/>
              </w:tcPr>
              <w:p w14:paraId="789F4342"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559.847.400</w:t>
                </w:r>
              </w:p>
            </w:tc>
            <w:tc>
              <w:tcPr>
                <w:tcW w:w="1076" w:type="pct"/>
                <w:shd w:val="clear" w:color="auto" w:fill="auto"/>
                <w:noWrap/>
                <w:vAlign w:val="center"/>
                <w:hideMark/>
              </w:tcPr>
              <w:p w14:paraId="10E4356A"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0</w:t>
                </w:r>
              </w:p>
            </w:tc>
          </w:tr>
          <w:tr w:rsidR="00E53C94" w:rsidRPr="00E53C94" w14:paraId="2D294CEC" w14:textId="77777777" w:rsidTr="00357A89">
            <w:trPr>
              <w:trHeight w:val="340"/>
            </w:trPr>
            <w:tc>
              <w:tcPr>
                <w:tcW w:w="1827" w:type="pct"/>
                <w:shd w:val="clear" w:color="auto" w:fill="auto"/>
                <w:noWrap/>
                <w:vAlign w:val="center"/>
                <w:hideMark/>
              </w:tcPr>
              <w:p w14:paraId="7E517893"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Propiedades, planta y equipo en concesión</w:t>
                </w:r>
              </w:p>
            </w:tc>
            <w:tc>
              <w:tcPr>
                <w:tcW w:w="1020" w:type="pct"/>
                <w:shd w:val="clear" w:color="auto" w:fill="auto"/>
                <w:noWrap/>
                <w:vAlign w:val="center"/>
                <w:hideMark/>
              </w:tcPr>
              <w:p w14:paraId="168B9A36"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5.303.731.649</w:t>
                </w:r>
              </w:p>
            </w:tc>
            <w:tc>
              <w:tcPr>
                <w:tcW w:w="1076" w:type="pct"/>
                <w:shd w:val="clear" w:color="auto" w:fill="auto"/>
                <w:noWrap/>
                <w:vAlign w:val="center"/>
                <w:hideMark/>
              </w:tcPr>
              <w:p w14:paraId="04A7D85F"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4.509.648.219</w:t>
                </w:r>
              </w:p>
            </w:tc>
            <w:tc>
              <w:tcPr>
                <w:tcW w:w="1076" w:type="pct"/>
                <w:shd w:val="clear" w:color="auto" w:fill="auto"/>
                <w:noWrap/>
                <w:vAlign w:val="center"/>
                <w:hideMark/>
              </w:tcPr>
              <w:p w14:paraId="36246451"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794.083.430</w:t>
                </w:r>
              </w:p>
            </w:tc>
          </w:tr>
          <w:tr w:rsidR="00E53C94" w:rsidRPr="00E53C94" w14:paraId="1D56F876" w14:textId="77777777" w:rsidTr="00357A89">
            <w:trPr>
              <w:trHeight w:val="340"/>
            </w:trPr>
            <w:tc>
              <w:tcPr>
                <w:tcW w:w="1827" w:type="pct"/>
                <w:shd w:val="clear" w:color="auto" w:fill="auto"/>
                <w:noWrap/>
                <w:vAlign w:val="center"/>
                <w:hideMark/>
              </w:tcPr>
              <w:p w14:paraId="2478B6E1"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Red carretera en construcción</w:t>
                </w:r>
              </w:p>
            </w:tc>
            <w:tc>
              <w:tcPr>
                <w:tcW w:w="1020" w:type="pct"/>
                <w:shd w:val="clear" w:color="auto" w:fill="auto"/>
                <w:noWrap/>
                <w:vAlign w:val="center"/>
                <w:hideMark/>
              </w:tcPr>
              <w:p w14:paraId="460C919B"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516.616.523.101</w:t>
                </w:r>
              </w:p>
            </w:tc>
            <w:tc>
              <w:tcPr>
                <w:tcW w:w="1076" w:type="pct"/>
                <w:shd w:val="clear" w:color="auto" w:fill="auto"/>
                <w:noWrap/>
                <w:vAlign w:val="center"/>
                <w:hideMark/>
              </w:tcPr>
              <w:p w14:paraId="6B3AC62A"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514.970.219.169</w:t>
                </w:r>
              </w:p>
            </w:tc>
            <w:tc>
              <w:tcPr>
                <w:tcW w:w="1076" w:type="pct"/>
                <w:shd w:val="clear" w:color="auto" w:fill="auto"/>
                <w:noWrap/>
                <w:vAlign w:val="center"/>
                <w:hideMark/>
              </w:tcPr>
              <w:p w14:paraId="48D137D0"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1.646.303.932</w:t>
                </w:r>
              </w:p>
            </w:tc>
          </w:tr>
          <w:tr w:rsidR="00E53C94" w:rsidRPr="00E53C94" w14:paraId="5DDD4447" w14:textId="77777777" w:rsidTr="00357A89">
            <w:trPr>
              <w:trHeight w:val="340"/>
            </w:trPr>
            <w:tc>
              <w:tcPr>
                <w:tcW w:w="1827" w:type="pct"/>
                <w:shd w:val="clear" w:color="auto" w:fill="auto"/>
                <w:noWrap/>
                <w:vAlign w:val="center"/>
                <w:hideMark/>
              </w:tcPr>
              <w:p w14:paraId="2C868ECD"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Terrenos en construcción</w:t>
                </w:r>
              </w:p>
            </w:tc>
            <w:tc>
              <w:tcPr>
                <w:tcW w:w="1020" w:type="pct"/>
                <w:shd w:val="clear" w:color="auto" w:fill="auto"/>
                <w:noWrap/>
                <w:vAlign w:val="center"/>
                <w:hideMark/>
              </w:tcPr>
              <w:p w14:paraId="41211056"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3.841.148.084</w:t>
                </w:r>
              </w:p>
            </w:tc>
            <w:tc>
              <w:tcPr>
                <w:tcW w:w="1076" w:type="pct"/>
                <w:shd w:val="clear" w:color="auto" w:fill="auto"/>
                <w:noWrap/>
                <w:vAlign w:val="center"/>
                <w:hideMark/>
              </w:tcPr>
              <w:p w14:paraId="2C7C801F"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3.812.412.489</w:t>
                </w:r>
              </w:p>
            </w:tc>
            <w:tc>
              <w:tcPr>
                <w:tcW w:w="1076" w:type="pct"/>
                <w:shd w:val="clear" w:color="auto" w:fill="auto"/>
                <w:noWrap/>
                <w:vAlign w:val="center"/>
                <w:hideMark/>
              </w:tcPr>
              <w:p w14:paraId="3F4BE6AD"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28.735.595</w:t>
                </w:r>
              </w:p>
            </w:tc>
          </w:tr>
          <w:tr w:rsidR="00E53C94" w:rsidRPr="00E53C94" w14:paraId="1D995F6F" w14:textId="77777777" w:rsidTr="00357A89">
            <w:trPr>
              <w:trHeight w:val="340"/>
            </w:trPr>
            <w:tc>
              <w:tcPr>
                <w:tcW w:w="1827" w:type="pct"/>
                <w:shd w:val="clear" w:color="auto" w:fill="auto"/>
                <w:noWrap/>
                <w:vAlign w:val="center"/>
                <w:hideMark/>
              </w:tcPr>
              <w:p w14:paraId="0C9131EF" w14:textId="77777777" w:rsidR="00E53C94" w:rsidRPr="00E53C94" w:rsidRDefault="00E53C94" w:rsidP="00E53C94">
                <w:pPr>
                  <w:spacing w:after="0" w:line="240" w:lineRule="auto"/>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CONCESION VIAL DE LOS LLANOS SAS</w:t>
                </w:r>
              </w:p>
            </w:tc>
            <w:tc>
              <w:tcPr>
                <w:tcW w:w="1020" w:type="pct"/>
                <w:shd w:val="clear" w:color="auto" w:fill="auto"/>
                <w:noWrap/>
                <w:vAlign w:val="center"/>
                <w:hideMark/>
              </w:tcPr>
              <w:p w14:paraId="39356502"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212.319.952.418</w:t>
                </w:r>
              </w:p>
            </w:tc>
            <w:tc>
              <w:tcPr>
                <w:tcW w:w="1076" w:type="pct"/>
                <w:shd w:val="clear" w:color="auto" w:fill="auto"/>
                <w:noWrap/>
                <w:vAlign w:val="center"/>
                <w:hideMark/>
              </w:tcPr>
              <w:p w14:paraId="5070C6A2"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21.780.369.376</w:t>
                </w:r>
              </w:p>
            </w:tc>
            <w:tc>
              <w:tcPr>
                <w:tcW w:w="1076" w:type="pct"/>
                <w:shd w:val="clear" w:color="auto" w:fill="auto"/>
                <w:noWrap/>
                <w:vAlign w:val="center"/>
                <w:hideMark/>
              </w:tcPr>
              <w:p w14:paraId="11810494"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190.539.583.042</w:t>
                </w:r>
              </w:p>
            </w:tc>
          </w:tr>
          <w:tr w:rsidR="00E53C94" w:rsidRPr="00E53C94" w14:paraId="0360F2AF" w14:textId="77777777" w:rsidTr="00357A89">
            <w:trPr>
              <w:trHeight w:val="340"/>
            </w:trPr>
            <w:tc>
              <w:tcPr>
                <w:tcW w:w="1827" w:type="pct"/>
                <w:shd w:val="clear" w:color="auto" w:fill="auto"/>
                <w:noWrap/>
                <w:vAlign w:val="center"/>
                <w:hideMark/>
              </w:tcPr>
              <w:p w14:paraId="1FEEEB9C"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Activos intangibles en concesión</w:t>
                </w:r>
              </w:p>
            </w:tc>
            <w:tc>
              <w:tcPr>
                <w:tcW w:w="1020" w:type="pct"/>
                <w:shd w:val="clear" w:color="auto" w:fill="auto"/>
                <w:noWrap/>
                <w:vAlign w:val="center"/>
                <w:hideMark/>
              </w:tcPr>
              <w:p w14:paraId="2BD181AF"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699.484.064</w:t>
                </w:r>
              </w:p>
            </w:tc>
            <w:tc>
              <w:tcPr>
                <w:tcW w:w="1076" w:type="pct"/>
                <w:shd w:val="clear" w:color="auto" w:fill="auto"/>
                <w:noWrap/>
                <w:vAlign w:val="center"/>
                <w:hideMark/>
              </w:tcPr>
              <w:p w14:paraId="1F68F164"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509.300.885</w:t>
                </w:r>
              </w:p>
            </w:tc>
            <w:tc>
              <w:tcPr>
                <w:tcW w:w="1076" w:type="pct"/>
                <w:shd w:val="clear" w:color="auto" w:fill="auto"/>
                <w:noWrap/>
                <w:vAlign w:val="center"/>
                <w:hideMark/>
              </w:tcPr>
              <w:p w14:paraId="18014280"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190.183.179</w:t>
                </w:r>
              </w:p>
            </w:tc>
          </w:tr>
          <w:tr w:rsidR="00E53C94" w:rsidRPr="00E53C94" w14:paraId="4E88641A" w14:textId="77777777" w:rsidTr="00357A89">
            <w:trPr>
              <w:trHeight w:val="340"/>
            </w:trPr>
            <w:tc>
              <w:tcPr>
                <w:tcW w:w="1827" w:type="pct"/>
                <w:shd w:val="clear" w:color="auto" w:fill="auto"/>
                <w:noWrap/>
                <w:vAlign w:val="center"/>
                <w:hideMark/>
              </w:tcPr>
              <w:p w14:paraId="394AD04F"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Propiedades, planta y equipo en concesión</w:t>
                </w:r>
              </w:p>
            </w:tc>
            <w:tc>
              <w:tcPr>
                <w:tcW w:w="1020" w:type="pct"/>
                <w:shd w:val="clear" w:color="auto" w:fill="auto"/>
                <w:noWrap/>
                <w:vAlign w:val="center"/>
                <w:hideMark/>
              </w:tcPr>
              <w:p w14:paraId="06262B0A"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1.693.866.348</w:t>
                </w:r>
              </w:p>
            </w:tc>
            <w:tc>
              <w:tcPr>
                <w:tcW w:w="1076" w:type="pct"/>
                <w:shd w:val="clear" w:color="auto" w:fill="auto"/>
                <w:noWrap/>
                <w:vAlign w:val="center"/>
                <w:hideMark/>
              </w:tcPr>
              <w:p w14:paraId="014DC4ED"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1.650.054.567</w:t>
                </w:r>
              </w:p>
            </w:tc>
            <w:tc>
              <w:tcPr>
                <w:tcW w:w="1076" w:type="pct"/>
                <w:shd w:val="clear" w:color="auto" w:fill="auto"/>
                <w:noWrap/>
                <w:vAlign w:val="center"/>
                <w:hideMark/>
              </w:tcPr>
              <w:p w14:paraId="1F88649B"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43.811.781</w:t>
                </w:r>
              </w:p>
            </w:tc>
          </w:tr>
          <w:tr w:rsidR="00E53C94" w:rsidRPr="00E53C94" w14:paraId="202D2647" w14:textId="77777777" w:rsidTr="00357A89">
            <w:trPr>
              <w:trHeight w:val="340"/>
            </w:trPr>
            <w:tc>
              <w:tcPr>
                <w:tcW w:w="1827" w:type="pct"/>
                <w:shd w:val="clear" w:color="auto" w:fill="auto"/>
                <w:noWrap/>
                <w:vAlign w:val="center"/>
                <w:hideMark/>
              </w:tcPr>
              <w:p w14:paraId="61751DF6"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Red carretera en construcción</w:t>
                </w:r>
              </w:p>
            </w:tc>
            <w:tc>
              <w:tcPr>
                <w:tcW w:w="1020" w:type="pct"/>
                <w:shd w:val="clear" w:color="auto" w:fill="auto"/>
                <w:noWrap/>
                <w:vAlign w:val="center"/>
                <w:hideMark/>
              </w:tcPr>
              <w:p w14:paraId="650B46B9"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202.408.970.172</w:t>
                </w:r>
              </w:p>
            </w:tc>
            <w:tc>
              <w:tcPr>
                <w:tcW w:w="1076" w:type="pct"/>
                <w:shd w:val="clear" w:color="auto" w:fill="auto"/>
                <w:noWrap/>
                <w:vAlign w:val="center"/>
                <w:hideMark/>
              </w:tcPr>
              <w:p w14:paraId="7CA517AC"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15.114.508.149</w:t>
                </w:r>
              </w:p>
            </w:tc>
            <w:tc>
              <w:tcPr>
                <w:tcW w:w="1076" w:type="pct"/>
                <w:shd w:val="clear" w:color="auto" w:fill="auto"/>
                <w:noWrap/>
                <w:vAlign w:val="center"/>
                <w:hideMark/>
              </w:tcPr>
              <w:p w14:paraId="648A13F9"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187.294.462.023</w:t>
                </w:r>
              </w:p>
            </w:tc>
          </w:tr>
          <w:tr w:rsidR="00E53C94" w:rsidRPr="00E53C94" w14:paraId="6B90600E" w14:textId="77777777" w:rsidTr="00357A89">
            <w:trPr>
              <w:trHeight w:val="340"/>
            </w:trPr>
            <w:tc>
              <w:tcPr>
                <w:tcW w:w="1827" w:type="pct"/>
                <w:shd w:val="clear" w:color="auto" w:fill="auto"/>
                <w:noWrap/>
                <w:vAlign w:val="center"/>
                <w:hideMark/>
              </w:tcPr>
              <w:p w14:paraId="7F223E11"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Terrenos en construcción</w:t>
                </w:r>
              </w:p>
            </w:tc>
            <w:tc>
              <w:tcPr>
                <w:tcW w:w="1020" w:type="pct"/>
                <w:shd w:val="clear" w:color="auto" w:fill="auto"/>
                <w:noWrap/>
                <w:vAlign w:val="center"/>
                <w:hideMark/>
              </w:tcPr>
              <w:p w14:paraId="5FB40EEE"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7.517.631.834</w:t>
                </w:r>
              </w:p>
            </w:tc>
            <w:tc>
              <w:tcPr>
                <w:tcW w:w="1076" w:type="pct"/>
                <w:shd w:val="clear" w:color="auto" w:fill="auto"/>
                <w:noWrap/>
                <w:vAlign w:val="center"/>
                <w:hideMark/>
              </w:tcPr>
              <w:p w14:paraId="19ADAAF0"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4.506.505.775</w:t>
                </w:r>
              </w:p>
            </w:tc>
            <w:tc>
              <w:tcPr>
                <w:tcW w:w="1076" w:type="pct"/>
                <w:shd w:val="clear" w:color="auto" w:fill="auto"/>
                <w:noWrap/>
                <w:vAlign w:val="center"/>
                <w:hideMark/>
              </w:tcPr>
              <w:p w14:paraId="368370EF"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3.011.126.059</w:t>
                </w:r>
              </w:p>
            </w:tc>
          </w:tr>
          <w:tr w:rsidR="00E53C94" w:rsidRPr="00E53C94" w14:paraId="217C2E0F" w14:textId="77777777" w:rsidTr="00357A89">
            <w:trPr>
              <w:trHeight w:val="340"/>
            </w:trPr>
            <w:tc>
              <w:tcPr>
                <w:tcW w:w="1827" w:type="pct"/>
                <w:shd w:val="clear" w:color="auto" w:fill="auto"/>
                <w:noWrap/>
                <w:vAlign w:val="center"/>
                <w:hideMark/>
              </w:tcPr>
              <w:p w14:paraId="1CC1F41F" w14:textId="77777777" w:rsidR="00E53C94" w:rsidRPr="00E53C94" w:rsidRDefault="00E53C94" w:rsidP="00E53C94">
                <w:pPr>
                  <w:spacing w:after="0" w:line="240" w:lineRule="auto"/>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CONCESION VIAS DEL NUS S.A.S</w:t>
                </w:r>
              </w:p>
            </w:tc>
            <w:tc>
              <w:tcPr>
                <w:tcW w:w="1020" w:type="pct"/>
                <w:shd w:val="clear" w:color="auto" w:fill="auto"/>
                <w:noWrap/>
                <w:vAlign w:val="center"/>
                <w:hideMark/>
              </w:tcPr>
              <w:p w14:paraId="57BF06A0"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1.302.851.378.226</w:t>
                </w:r>
              </w:p>
            </w:tc>
            <w:tc>
              <w:tcPr>
                <w:tcW w:w="1076" w:type="pct"/>
                <w:shd w:val="clear" w:color="auto" w:fill="auto"/>
                <w:noWrap/>
                <w:vAlign w:val="center"/>
                <w:hideMark/>
              </w:tcPr>
              <w:p w14:paraId="566E1F43"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1.272.813.149.532</w:t>
                </w:r>
              </w:p>
            </w:tc>
            <w:tc>
              <w:tcPr>
                <w:tcW w:w="1076" w:type="pct"/>
                <w:shd w:val="clear" w:color="auto" w:fill="auto"/>
                <w:noWrap/>
                <w:vAlign w:val="center"/>
                <w:hideMark/>
              </w:tcPr>
              <w:p w14:paraId="59B21FD6"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30.038.228.694</w:t>
                </w:r>
              </w:p>
            </w:tc>
          </w:tr>
          <w:tr w:rsidR="00E53C94" w:rsidRPr="00E53C94" w14:paraId="13058C7A" w14:textId="77777777" w:rsidTr="00357A89">
            <w:trPr>
              <w:trHeight w:val="340"/>
            </w:trPr>
            <w:tc>
              <w:tcPr>
                <w:tcW w:w="1827" w:type="pct"/>
                <w:shd w:val="clear" w:color="auto" w:fill="auto"/>
                <w:noWrap/>
                <w:vAlign w:val="center"/>
                <w:hideMark/>
              </w:tcPr>
              <w:p w14:paraId="33FFBCB5"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Activos intangibles en concesión</w:t>
                </w:r>
              </w:p>
            </w:tc>
            <w:tc>
              <w:tcPr>
                <w:tcW w:w="1020" w:type="pct"/>
                <w:shd w:val="clear" w:color="auto" w:fill="auto"/>
                <w:noWrap/>
                <w:vAlign w:val="center"/>
                <w:hideMark/>
              </w:tcPr>
              <w:p w14:paraId="74F73BA0"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323.918.000</w:t>
                </w:r>
              </w:p>
            </w:tc>
            <w:tc>
              <w:tcPr>
                <w:tcW w:w="1076" w:type="pct"/>
                <w:shd w:val="clear" w:color="auto" w:fill="auto"/>
                <w:noWrap/>
                <w:vAlign w:val="center"/>
                <w:hideMark/>
              </w:tcPr>
              <w:p w14:paraId="4BB75B17"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323.918.000</w:t>
                </w:r>
              </w:p>
            </w:tc>
            <w:tc>
              <w:tcPr>
                <w:tcW w:w="1076" w:type="pct"/>
                <w:shd w:val="clear" w:color="auto" w:fill="auto"/>
                <w:noWrap/>
                <w:vAlign w:val="center"/>
                <w:hideMark/>
              </w:tcPr>
              <w:p w14:paraId="542E65D5"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0</w:t>
                </w:r>
              </w:p>
            </w:tc>
          </w:tr>
          <w:tr w:rsidR="00E53C94" w:rsidRPr="00E53C94" w14:paraId="0CEF2611" w14:textId="77777777" w:rsidTr="00357A89">
            <w:trPr>
              <w:trHeight w:val="340"/>
            </w:trPr>
            <w:tc>
              <w:tcPr>
                <w:tcW w:w="1827" w:type="pct"/>
                <w:shd w:val="clear" w:color="auto" w:fill="auto"/>
                <w:noWrap/>
                <w:vAlign w:val="center"/>
                <w:hideMark/>
              </w:tcPr>
              <w:p w14:paraId="56EACD9B"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Propiedades, planta y equipo en concesión</w:t>
                </w:r>
              </w:p>
            </w:tc>
            <w:tc>
              <w:tcPr>
                <w:tcW w:w="1020" w:type="pct"/>
                <w:shd w:val="clear" w:color="auto" w:fill="auto"/>
                <w:noWrap/>
                <w:vAlign w:val="center"/>
                <w:hideMark/>
              </w:tcPr>
              <w:p w14:paraId="08DE9060"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4.754.927.328</w:t>
                </w:r>
              </w:p>
            </w:tc>
            <w:tc>
              <w:tcPr>
                <w:tcW w:w="1076" w:type="pct"/>
                <w:shd w:val="clear" w:color="auto" w:fill="auto"/>
                <w:noWrap/>
                <w:vAlign w:val="center"/>
                <w:hideMark/>
              </w:tcPr>
              <w:p w14:paraId="5D5556EA"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3.109.617.646</w:t>
                </w:r>
              </w:p>
            </w:tc>
            <w:tc>
              <w:tcPr>
                <w:tcW w:w="1076" w:type="pct"/>
                <w:shd w:val="clear" w:color="auto" w:fill="auto"/>
                <w:noWrap/>
                <w:vAlign w:val="center"/>
                <w:hideMark/>
              </w:tcPr>
              <w:p w14:paraId="2DF43702"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1.645.309.682</w:t>
                </w:r>
              </w:p>
            </w:tc>
          </w:tr>
          <w:tr w:rsidR="00E53C94" w:rsidRPr="00E53C94" w14:paraId="0CEA32A2" w14:textId="77777777" w:rsidTr="00357A89">
            <w:trPr>
              <w:trHeight w:val="340"/>
            </w:trPr>
            <w:tc>
              <w:tcPr>
                <w:tcW w:w="1827" w:type="pct"/>
                <w:shd w:val="clear" w:color="auto" w:fill="auto"/>
                <w:noWrap/>
                <w:vAlign w:val="center"/>
                <w:hideMark/>
              </w:tcPr>
              <w:p w14:paraId="4D940196"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Red carretera en servicio</w:t>
                </w:r>
              </w:p>
            </w:tc>
            <w:tc>
              <w:tcPr>
                <w:tcW w:w="1020" w:type="pct"/>
                <w:shd w:val="clear" w:color="auto" w:fill="auto"/>
                <w:noWrap/>
                <w:vAlign w:val="center"/>
                <w:hideMark/>
              </w:tcPr>
              <w:p w14:paraId="420DC629"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1.265.210.736.972</w:t>
                </w:r>
              </w:p>
            </w:tc>
            <w:tc>
              <w:tcPr>
                <w:tcW w:w="1076" w:type="pct"/>
                <w:shd w:val="clear" w:color="auto" w:fill="auto"/>
                <w:noWrap/>
                <w:vAlign w:val="center"/>
                <w:hideMark/>
              </w:tcPr>
              <w:p w14:paraId="2577F79A"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1.245.956.756.033</w:t>
                </w:r>
              </w:p>
            </w:tc>
            <w:tc>
              <w:tcPr>
                <w:tcW w:w="1076" w:type="pct"/>
                <w:shd w:val="clear" w:color="auto" w:fill="auto"/>
                <w:noWrap/>
                <w:vAlign w:val="center"/>
                <w:hideMark/>
              </w:tcPr>
              <w:p w14:paraId="06628738"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19.253.980.939</w:t>
                </w:r>
              </w:p>
            </w:tc>
          </w:tr>
          <w:tr w:rsidR="00E53C94" w:rsidRPr="00E53C94" w14:paraId="6CB58EAD" w14:textId="77777777" w:rsidTr="00357A89">
            <w:trPr>
              <w:trHeight w:val="340"/>
            </w:trPr>
            <w:tc>
              <w:tcPr>
                <w:tcW w:w="1827" w:type="pct"/>
                <w:shd w:val="clear" w:color="auto" w:fill="auto"/>
                <w:noWrap/>
                <w:vAlign w:val="center"/>
                <w:hideMark/>
              </w:tcPr>
              <w:p w14:paraId="0FA528AD"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Terrenos en servicio</w:t>
                </w:r>
              </w:p>
            </w:tc>
            <w:tc>
              <w:tcPr>
                <w:tcW w:w="1020" w:type="pct"/>
                <w:shd w:val="clear" w:color="auto" w:fill="auto"/>
                <w:noWrap/>
                <w:vAlign w:val="center"/>
                <w:hideMark/>
              </w:tcPr>
              <w:p w14:paraId="4E1634B0"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32.561.795.926</w:t>
                </w:r>
              </w:p>
            </w:tc>
            <w:tc>
              <w:tcPr>
                <w:tcW w:w="1076" w:type="pct"/>
                <w:shd w:val="clear" w:color="auto" w:fill="auto"/>
                <w:noWrap/>
                <w:vAlign w:val="center"/>
                <w:hideMark/>
              </w:tcPr>
              <w:p w14:paraId="44F0147C"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23.422.857.853</w:t>
                </w:r>
              </w:p>
            </w:tc>
            <w:tc>
              <w:tcPr>
                <w:tcW w:w="1076" w:type="pct"/>
                <w:shd w:val="clear" w:color="auto" w:fill="auto"/>
                <w:noWrap/>
                <w:vAlign w:val="center"/>
                <w:hideMark/>
              </w:tcPr>
              <w:p w14:paraId="494EBD00"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9.138.938.073</w:t>
                </w:r>
              </w:p>
            </w:tc>
          </w:tr>
          <w:tr w:rsidR="00E53C94" w:rsidRPr="00E53C94" w14:paraId="01BB4545" w14:textId="77777777" w:rsidTr="00357A89">
            <w:trPr>
              <w:trHeight w:val="340"/>
            </w:trPr>
            <w:tc>
              <w:tcPr>
                <w:tcW w:w="1827" w:type="pct"/>
                <w:shd w:val="clear" w:color="auto" w:fill="auto"/>
                <w:noWrap/>
                <w:vAlign w:val="center"/>
                <w:hideMark/>
              </w:tcPr>
              <w:p w14:paraId="0C2F6F59" w14:textId="77777777" w:rsidR="00E53C94" w:rsidRPr="00E53C94" w:rsidRDefault="00E53C94" w:rsidP="00E53C94">
                <w:pPr>
                  <w:spacing w:after="0" w:line="240" w:lineRule="auto"/>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CONCESIONARIA ALTERNATIVAS VIALES S.A.S.</w:t>
                </w:r>
              </w:p>
            </w:tc>
            <w:tc>
              <w:tcPr>
                <w:tcW w:w="1020" w:type="pct"/>
                <w:shd w:val="clear" w:color="auto" w:fill="auto"/>
                <w:noWrap/>
                <w:vAlign w:val="center"/>
                <w:hideMark/>
              </w:tcPr>
              <w:p w14:paraId="12CF5D69"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564.687.879.957</w:t>
                </w:r>
              </w:p>
            </w:tc>
            <w:tc>
              <w:tcPr>
                <w:tcW w:w="1076" w:type="pct"/>
                <w:shd w:val="clear" w:color="auto" w:fill="auto"/>
                <w:noWrap/>
                <w:vAlign w:val="center"/>
                <w:hideMark/>
              </w:tcPr>
              <w:p w14:paraId="383F41D6"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365.246.529.958</w:t>
                </w:r>
              </w:p>
            </w:tc>
            <w:tc>
              <w:tcPr>
                <w:tcW w:w="1076" w:type="pct"/>
                <w:shd w:val="clear" w:color="auto" w:fill="auto"/>
                <w:noWrap/>
                <w:vAlign w:val="center"/>
                <w:hideMark/>
              </w:tcPr>
              <w:p w14:paraId="6DCD8D86"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199.441.349.999</w:t>
                </w:r>
              </w:p>
            </w:tc>
          </w:tr>
          <w:tr w:rsidR="00E53C94" w:rsidRPr="00E53C94" w14:paraId="014DD3FC" w14:textId="77777777" w:rsidTr="00357A89">
            <w:trPr>
              <w:trHeight w:val="340"/>
            </w:trPr>
            <w:tc>
              <w:tcPr>
                <w:tcW w:w="1827" w:type="pct"/>
                <w:shd w:val="clear" w:color="auto" w:fill="auto"/>
                <w:noWrap/>
                <w:vAlign w:val="center"/>
                <w:hideMark/>
              </w:tcPr>
              <w:p w14:paraId="085D17A6"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Activos intangibles en concesión</w:t>
                </w:r>
              </w:p>
            </w:tc>
            <w:tc>
              <w:tcPr>
                <w:tcW w:w="1020" w:type="pct"/>
                <w:shd w:val="clear" w:color="auto" w:fill="auto"/>
                <w:noWrap/>
                <w:vAlign w:val="center"/>
                <w:hideMark/>
              </w:tcPr>
              <w:p w14:paraId="7660FBE4"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367.678.975</w:t>
                </w:r>
              </w:p>
            </w:tc>
            <w:tc>
              <w:tcPr>
                <w:tcW w:w="1076" w:type="pct"/>
                <w:shd w:val="clear" w:color="auto" w:fill="auto"/>
                <w:noWrap/>
                <w:vAlign w:val="center"/>
                <w:hideMark/>
              </w:tcPr>
              <w:p w14:paraId="01AC60B2"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299.880.000</w:t>
                </w:r>
              </w:p>
            </w:tc>
            <w:tc>
              <w:tcPr>
                <w:tcW w:w="1076" w:type="pct"/>
                <w:shd w:val="clear" w:color="auto" w:fill="auto"/>
                <w:noWrap/>
                <w:vAlign w:val="center"/>
                <w:hideMark/>
              </w:tcPr>
              <w:p w14:paraId="4D062F35"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67.798.975</w:t>
                </w:r>
              </w:p>
            </w:tc>
          </w:tr>
          <w:tr w:rsidR="00E53C94" w:rsidRPr="00E53C94" w14:paraId="32083D6B" w14:textId="77777777" w:rsidTr="00357A89">
            <w:trPr>
              <w:trHeight w:val="340"/>
            </w:trPr>
            <w:tc>
              <w:tcPr>
                <w:tcW w:w="1827" w:type="pct"/>
                <w:shd w:val="clear" w:color="auto" w:fill="auto"/>
                <w:noWrap/>
                <w:vAlign w:val="center"/>
                <w:hideMark/>
              </w:tcPr>
              <w:p w14:paraId="21CA18DB"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Propiedades, planta y equipo en concesión</w:t>
                </w:r>
              </w:p>
            </w:tc>
            <w:tc>
              <w:tcPr>
                <w:tcW w:w="1020" w:type="pct"/>
                <w:shd w:val="clear" w:color="auto" w:fill="auto"/>
                <w:noWrap/>
                <w:vAlign w:val="center"/>
                <w:hideMark/>
              </w:tcPr>
              <w:p w14:paraId="612846C6"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5.167.106.182</w:t>
                </w:r>
              </w:p>
            </w:tc>
            <w:tc>
              <w:tcPr>
                <w:tcW w:w="1076" w:type="pct"/>
                <w:shd w:val="clear" w:color="auto" w:fill="auto"/>
                <w:noWrap/>
                <w:vAlign w:val="center"/>
                <w:hideMark/>
              </w:tcPr>
              <w:p w14:paraId="61300EA1"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2.443.239.010</w:t>
                </w:r>
              </w:p>
            </w:tc>
            <w:tc>
              <w:tcPr>
                <w:tcW w:w="1076" w:type="pct"/>
                <w:shd w:val="clear" w:color="auto" w:fill="auto"/>
                <w:noWrap/>
                <w:vAlign w:val="center"/>
                <w:hideMark/>
              </w:tcPr>
              <w:p w14:paraId="0BAE1FD7"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2.723.867.172</w:t>
                </w:r>
              </w:p>
            </w:tc>
          </w:tr>
          <w:tr w:rsidR="00E53C94" w:rsidRPr="00E53C94" w14:paraId="303B7C92" w14:textId="77777777" w:rsidTr="00357A89">
            <w:trPr>
              <w:trHeight w:val="340"/>
            </w:trPr>
            <w:tc>
              <w:tcPr>
                <w:tcW w:w="1827" w:type="pct"/>
                <w:shd w:val="clear" w:color="auto" w:fill="auto"/>
                <w:noWrap/>
                <w:vAlign w:val="center"/>
                <w:hideMark/>
              </w:tcPr>
              <w:p w14:paraId="01290233"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Red carretera en construcción</w:t>
                </w:r>
              </w:p>
            </w:tc>
            <w:tc>
              <w:tcPr>
                <w:tcW w:w="1020" w:type="pct"/>
                <w:shd w:val="clear" w:color="auto" w:fill="auto"/>
                <w:noWrap/>
                <w:vAlign w:val="center"/>
                <w:hideMark/>
              </w:tcPr>
              <w:p w14:paraId="1D460737"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555.539.797.096</w:t>
                </w:r>
              </w:p>
            </w:tc>
            <w:tc>
              <w:tcPr>
                <w:tcW w:w="1076" w:type="pct"/>
                <w:shd w:val="clear" w:color="auto" w:fill="auto"/>
                <w:noWrap/>
                <w:vAlign w:val="center"/>
                <w:hideMark/>
              </w:tcPr>
              <w:p w14:paraId="228F94A9"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360.114.961.830</w:t>
                </w:r>
              </w:p>
            </w:tc>
            <w:tc>
              <w:tcPr>
                <w:tcW w:w="1076" w:type="pct"/>
                <w:shd w:val="clear" w:color="auto" w:fill="auto"/>
                <w:noWrap/>
                <w:vAlign w:val="center"/>
                <w:hideMark/>
              </w:tcPr>
              <w:p w14:paraId="7946E7E7"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195.424.835.266</w:t>
                </w:r>
              </w:p>
            </w:tc>
          </w:tr>
          <w:tr w:rsidR="00E53C94" w:rsidRPr="00E53C94" w14:paraId="73A92F6D" w14:textId="77777777" w:rsidTr="00357A89">
            <w:trPr>
              <w:trHeight w:val="340"/>
            </w:trPr>
            <w:tc>
              <w:tcPr>
                <w:tcW w:w="1827" w:type="pct"/>
                <w:shd w:val="clear" w:color="auto" w:fill="auto"/>
                <w:noWrap/>
                <w:vAlign w:val="center"/>
                <w:hideMark/>
              </w:tcPr>
              <w:p w14:paraId="7526C1A1"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Terrenos en construcción</w:t>
                </w:r>
              </w:p>
            </w:tc>
            <w:tc>
              <w:tcPr>
                <w:tcW w:w="1020" w:type="pct"/>
                <w:shd w:val="clear" w:color="auto" w:fill="auto"/>
                <w:noWrap/>
                <w:vAlign w:val="center"/>
                <w:hideMark/>
              </w:tcPr>
              <w:p w14:paraId="6ADF4076"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3.613.297.704</w:t>
                </w:r>
              </w:p>
            </w:tc>
            <w:tc>
              <w:tcPr>
                <w:tcW w:w="1076" w:type="pct"/>
                <w:shd w:val="clear" w:color="auto" w:fill="auto"/>
                <w:noWrap/>
                <w:vAlign w:val="center"/>
                <w:hideMark/>
              </w:tcPr>
              <w:p w14:paraId="11B8DC31"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2.388.449.118</w:t>
                </w:r>
              </w:p>
            </w:tc>
            <w:tc>
              <w:tcPr>
                <w:tcW w:w="1076" w:type="pct"/>
                <w:shd w:val="clear" w:color="auto" w:fill="auto"/>
                <w:noWrap/>
                <w:vAlign w:val="center"/>
                <w:hideMark/>
              </w:tcPr>
              <w:p w14:paraId="7BE3F7DF"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1.224.848.586</w:t>
                </w:r>
              </w:p>
            </w:tc>
          </w:tr>
          <w:tr w:rsidR="00E53C94" w:rsidRPr="00E53C94" w14:paraId="7316DE5A" w14:textId="77777777" w:rsidTr="00357A89">
            <w:trPr>
              <w:trHeight w:val="340"/>
            </w:trPr>
            <w:tc>
              <w:tcPr>
                <w:tcW w:w="1827" w:type="pct"/>
                <w:shd w:val="clear" w:color="auto" w:fill="auto"/>
                <w:noWrap/>
                <w:vAlign w:val="center"/>
                <w:hideMark/>
              </w:tcPr>
              <w:p w14:paraId="3C8D6DE5" w14:textId="77777777" w:rsidR="00E53C94" w:rsidRPr="00E53C94" w:rsidRDefault="00E53C94" w:rsidP="00E53C94">
                <w:pPr>
                  <w:spacing w:after="0" w:line="240" w:lineRule="auto"/>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CONCESIONARIA DE OCCIDENTE S.A.</w:t>
                </w:r>
              </w:p>
            </w:tc>
            <w:tc>
              <w:tcPr>
                <w:tcW w:w="1020" w:type="pct"/>
                <w:shd w:val="clear" w:color="auto" w:fill="auto"/>
                <w:noWrap/>
                <w:vAlign w:val="center"/>
                <w:hideMark/>
              </w:tcPr>
              <w:p w14:paraId="18BDC96E"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0</w:t>
                </w:r>
              </w:p>
            </w:tc>
            <w:tc>
              <w:tcPr>
                <w:tcW w:w="1076" w:type="pct"/>
                <w:shd w:val="clear" w:color="auto" w:fill="auto"/>
                <w:noWrap/>
                <w:vAlign w:val="center"/>
                <w:hideMark/>
              </w:tcPr>
              <w:p w14:paraId="43E52F44"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 xml:space="preserve">                     334.728.251.358 </w:t>
                </w:r>
              </w:p>
            </w:tc>
            <w:tc>
              <w:tcPr>
                <w:tcW w:w="1076" w:type="pct"/>
                <w:shd w:val="clear" w:color="auto" w:fill="auto"/>
                <w:noWrap/>
                <w:vAlign w:val="center"/>
                <w:hideMark/>
              </w:tcPr>
              <w:p w14:paraId="4A532748"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 xml:space="preserve">-                   334.728.251.358 </w:t>
                </w:r>
              </w:p>
            </w:tc>
          </w:tr>
          <w:tr w:rsidR="00E53C94" w:rsidRPr="00E53C94" w14:paraId="16FEBF1B" w14:textId="77777777" w:rsidTr="00357A89">
            <w:trPr>
              <w:trHeight w:val="340"/>
            </w:trPr>
            <w:tc>
              <w:tcPr>
                <w:tcW w:w="1827" w:type="pct"/>
                <w:shd w:val="clear" w:color="auto" w:fill="auto"/>
                <w:noWrap/>
                <w:vAlign w:val="center"/>
                <w:hideMark/>
              </w:tcPr>
              <w:p w14:paraId="4F5D23CC"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Red carretera en servicio</w:t>
                </w:r>
              </w:p>
            </w:tc>
            <w:tc>
              <w:tcPr>
                <w:tcW w:w="1020" w:type="pct"/>
                <w:shd w:val="clear" w:color="auto" w:fill="auto"/>
                <w:noWrap/>
                <w:vAlign w:val="center"/>
                <w:hideMark/>
              </w:tcPr>
              <w:p w14:paraId="433321C0"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0</w:t>
                </w:r>
              </w:p>
            </w:tc>
            <w:tc>
              <w:tcPr>
                <w:tcW w:w="1076" w:type="pct"/>
                <w:shd w:val="clear" w:color="auto" w:fill="auto"/>
                <w:noWrap/>
                <w:vAlign w:val="center"/>
                <w:hideMark/>
              </w:tcPr>
              <w:p w14:paraId="1BA29805"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334.728.251.358</w:t>
                </w:r>
              </w:p>
            </w:tc>
            <w:tc>
              <w:tcPr>
                <w:tcW w:w="1076" w:type="pct"/>
                <w:shd w:val="clear" w:color="auto" w:fill="auto"/>
                <w:noWrap/>
                <w:vAlign w:val="center"/>
                <w:hideMark/>
              </w:tcPr>
              <w:p w14:paraId="47AEC66B"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-334.728.251.358</w:t>
                </w:r>
              </w:p>
            </w:tc>
          </w:tr>
          <w:tr w:rsidR="00E53C94" w:rsidRPr="00E53C94" w14:paraId="645D6A7B" w14:textId="77777777" w:rsidTr="00357A89">
            <w:trPr>
              <w:trHeight w:val="340"/>
            </w:trPr>
            <w:tc>
              <w:tcPr>
                <w:tcW w:w="1827" w:type="pct"/>
                <w:shd w:val="clear" w:color="auto" w:fill="auto"/>
                <w:noWrap/>
                <w:vAlign w:val="center"/>
                <w:hideMark/>
              </w:tcPr>
              <w:p w14:paraId="45F6262E" w14:textId="77777777" w:rsidR="00E53C94" w:rsidRPr="00E53C94" w:rsidRDefault="00E53C94" w:rsidP="00E53C94">
                <w:pPr>
                  <w:spacing w:after="0" w:line="240" w:lineRule="auto"/>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CONCESIONARIA NUEVA VIA AL MAR S.A.S</w:t>
                </w:r>
              </w:p>
            </w:tc>
            <w:tc>
              <w:tcPr>
                <w:tcW w:w="1020" w:type="pct"/>
                <w:shd w:val="clear" w:color="auto" w:fill="auto"/>
                <w:noWrap/>
                <w:vAlign w:val="center"/>
                <w:hideMark/>
              </w:tcPr>
              <w:p w14:paraId="0F239578"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19.905.142.385</w:t>
                </w:r>
              </w:p>
            </w:tc>
            <w:tc>
              <w:tcPr>
                <w:tcW w:w="1076" w:type="pct"/>
                <w:shd w:val="clear" w:color="auto" w:fill="auto"/>
                <w:noWrap/>
                <w:vAlign w:val="center"/>
                <w:hideMark/>
              </w:tcPr>
              <w:p w14:paraId="6329DF81"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19.905.142.385</w:t>
                </w:r>
              </w:p>
            </w:tc>
            <w:tc>
              <w:tcPr>
                <w:tcW w:w="1076" w:type="pct"/>
                <w:shd w:val="clear" w:color="auto" w:fill="auto"/>
                <w:noWrap/>
                <w:vAlign w:val="center"/>
                <w:hideMark/>
              </w:tcPr>
              <w:p w14:paraId="58703992"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0</w:t>
                </w:r>
              </w:p>
            </w:tc>
          </w:tr>
          <w:tr w:rsidR="00E53C94" w:rsidRPr="00E53C94" w14:paraId="237A3CCE" w14:textId="77777777" w:rsidTr="00357A89">
            <w:trPr>
              <w:trHeight w:val="340"/>
            </w:trPr>
            <w:tc>
              <w:tcPr>
                <w:tcW w:w="1827" w:type="pct"/>
                <w:shd w:val="clear" w:color="auto" w:fill="auto"/>
                <w:noWrap/>
                <w:vAlign w:val="center"/>
                <w:hideMark/>
              </w:tcPr>
              <w:p w14:paraId="6ECAE5B8"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Terrenos en construcción</w:t>
                </w:r>
              </w:p>
            </w:tc>
            <w:tc>
              <w:tcPr>
                <w:tcW w:w="1020" w:type="pct"/>
                <w:shd w:val="clear" w:color="auto" w:fill="auto"/>
                <w:noWrap/>
                <w:vAlign w:val="center"/>
                <w:hideMark/>
              </w:tcPr>
              <w:p w14:paraId="78DBB967"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19.905.142.385</w:t>
                </w:r>
              </w:p>
            </w:tc>
            <w:tc>
              <w:tcPr>
                <w:tcW w:w="1076" w:type="pct"/>
                <w:shd w:val="clear" w:color="auto" w:fill="auto"/>
                <w:noWrap/>
                <w:vAlign w:val="center"/>
                <w:hideMark/>
              </w:tcPr>
              <w:p w14:paraId="2064A479"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19.905.142.385</w:t>
                </w:r>
              </w:p>
            </w:tc>
            <w:tc>
              <w:tcPr>
                <w:tcW w:w="1076" w:type="pct"/>
                <w:shd w:val="clear" w:color="auto" w:fill="auto"/>
                <w:noWrap/>
                <w:vAlign w:val="center"/>
                <w:hideMark/>
              </w:tcPr>
              <w:p w14:paraId="500679C4"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0</w:t>
                </w:r>
              </w:p>
            </w:tc>
          </w:tr>
          <w:tr w:rsidR="00E53C94" w:rsidRPr="00E53C94" w14:paraId="3C7425C2" w14:textId="77777777" w:rsidTr="00357A89">
            <w:trPr>
              <w:trHeight w:val="340"/>
            </w:trPr>
            <w:tc>
              <w:tcPr>
                <w:tcW w:w="1827" w:type="pct"/>
                <w:shd w:val="clear" w:color="auto" w:fill="auto"/>
                <w:noWrap/>
                <w:vAlign w:val="center"/>
                <w:hideMark/>
              </w:tcPr>
              <w:p w14:paraId="237B7431" w14:textId="77777777" w:rsidR="00E53C94" w:rsidRPr="00E53C94" w:rsidRDefault="00E53C94" w:rsidP="00E53C94">
                <w:pPr>
                  <w:spacing w:after="0" w:line="240" w:lineRule="auto"/>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CONCESIONARIA RUTA AL SUR S.A.S.</w:t>
                </w:r>
              </w:p>
            </w:tc>
            <w:tc>
              <w:tcPr>
                <w:tcW w:w="1020" w:type="pct"/>
                <w:shd w:val="clear" w:color="auto" w:fill="auto"/>
                <w:noWrap/>
                <w:vAlign w:val="center"/>
                <w:hideMark/>
              </w:tcPr>
              <w:p w14:paraId="52254EF8"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608.996.212.810</w:t>
                </w:r>
              </w:p>
            </w:tc>
            <w:tc>
              <w:tcPr>
                <w:tcW w:w="1076" w:type="pct"/>
                <w:shd w:val="clear" w:color="auto" w:fill="auto"/>
                <w:noWrap/>
                <w:vAlign w:val="center"/>
                <w:hideMark/>
              </w:tcPr>
              <w:p w14:paraId="7C5371C2"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318.154.475.924</w:t>
                </w:r>
              </w:p>
            </w:tc>
            <w:tc>
              <w:tcPr>
                <w:tcW w:w="1076" w:type="pct"/>
                <w:shd w:val="clear" w:color="auto" w:fill="auto"/>
                <w:noWrap/>
                <w:vAlign w:val="center"/>
                <w:hideMark/>
              </w:tcPr>
              <w:p w14:paraId="28400E5F"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290.841.736.886</w:t>
                </w:r>
              </w:p>
            </w:tc>
          </w:tr>
          <w:tr w:rsidR="00E53C94" w:rsidRPr="00E53C94" w14:paraId="41803390" w14:textId="77777777" w:rsidTr="00357A89">
            <w:trPr>
              <w:trHeight w:val="340"/>
            </w:trPr>
            <w:tc>
              <w:tcPr>
                <w:tcW w:w="1827" w:type="pct"/>
                <w:shd w:val="clear" w:color="auto" w:fill="auto"/>
                <w:noWrap/>
                <w:vAlign w:val="center"/>
                <w:hideMark/>
              </w:tcPr>
              <w:p w14:paraId="4ED955BF"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Activos intangibles en concesión</w:t>
                </w:r>
              </w:p>
            </w:tc>
            <w:tc>
              <w:tcPr>
                <w:tcW w:w="1020" w:type="pct"/>
                <w:shd w:val="clear" w:color="auto" w:fill="auto"/>
                <w:noWrap/>
                <w:vAlign w:val="center"/>
                <w:hideMark/>
              </w:tcPr>
              <w:p w14:paraId="02BB6B2A"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2.339.862.526</w:t>
                </w:r>
              </w:p>
            </w:tc>
            <w:tc>
              <w:tcPr>
                <w:tcW w:w="1076" w:type="pct"/>
                <w:shd w:val="clear" w:color="auto" w:fill="auto"/>
                <w:noWrap/>
                <w:vAlign w:val="center"/>
                <w:hideMark/>
              </w:tcPr>
              <w:p w14:paraId="6B0AD783"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891.121.252</w:t>
                </w:r>
              </w:p>
            </w:tc>
            <w:tc>
              <w:tcPr>
                <w:tcW w:w="1076" w:type="pct"/>
                <w:shd w:val="clear" w:color="auto" w:fill="auto"/>
                <w:noWrap/>
                <w:vAlign w:val="center"/>
                <w:hideMark/>
              </w:tcPr>
              <w:p w14:paraId="19FAB1B5"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1.448.741.274</w:t>
                </w:r>
              </w:p>
            </w:tc>
          </w:tr>
          <w:tr w:rsidR="00E53C94" w:rsidRPr="00E53C94" w14:paraId="6114F760" w14:textId="77777777" w:rsidTr="00357A89">
            <w:trPr>
              <w:trHeight w:val="340"/>
            </w:trPr>
            <w:tc>
              <w:tcPr>
                <w:tcW w:w="1827" w:type="pct"/>
                <w:shd w:val="clear" w:color="auto" w:fill="auto"/>
                <w:noWrap/>
                <w:vAlign w:val="center"/>
                <w:hideMark/>
              </w:tcPr>
              <w:p w14:paraId="6E46E7BD"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Propiedades, planta y equipo en concesión</w:t>
                </w:r>
              </w:p>
            </w:tc>
            <w:tc>
              <w:tcPr>
                <w:tcW w:w="1020" w:type="pct"/>
                <w:shd w:val="clear" w:color="auto" w:fill="auto"/>
                <w:noWrap/>
                <w:vAlign w:val="center"/>
                <w:hideMark/>
              </w:tcPr>
              <w:p w14:paraId="313521FE"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17.064.063.909</w:t>
                </w:r>
              </w:p>
            </w:tc>
            <w:tc>
              <w:tcPr>
                <w:tcW w:w="1076" w:type="pct"/>
                <w:shd w:val="clear" w:color="auto" w:fill="auto"/>
                <w:noWrap/>
                <w:vAlign w:val="center"/>
                <w:hideMark/>
              </w:tcPr>
              <w:p w14:paraId="5E65C924"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16.281.667.985</w:t>
                </w:r>
              </w:p>
            </w:tc>
            <w:tc>
              <w:tcPr>
                <w:tcW w:w="1076" w:type="pct"/>
                <w:shd w:val="clear" w:color="auto" w:fill="auto"/>
                <w:noWrap/>
                <w:vAlign w:val="center"/>
                <w:hideMark/>
              </w:tcPr>
              <w:p w14:paraId="01E248F1"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782.395.924</w:t>
                </w:r>
              </w:p>
            </w:tc>
          </w:tr>
          <w:tr w:rsidR="00E53C94" w:rsidRPr="00E53C94" w14:paraId="46B0F4F6" w14:textId="77777777" w:rsidTr="00357A89">
            <w:trPr>
              <w:trHeight w:val="340"/>
            </w:trPr>
            <w:tc>
              <w:tcPr>
                <w:tcW w:w="1827" w:type="pct"/>
                <w:shd w:val="clear" w:color="auto" w:fill="auto"/>
                <w:noWrap/>
                <w:vAlign w:val="center"/>
                <w:hideMark/>
              </w:tcPr>
              <w:p w14:paraId="7C63160F"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Red carretera en construcción</w:t>
                </w:r>
              </w:p>
            </w:tc>
            <w:tc>
              <w:tcPr>
                <w:tcW w:w="1020" w:type="pct"/>
                <w:shd w:val="clear" w:color="auto" w:fill="auto"/>
                <w:noWrap/>
                <w:vAlign w:val="center"/>
                <w:hideMark/>
              </w:tcPr>
              <w:p w14:paraId="00523BC8"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576.059.549.527</w:t>
                </w:r>
              </w:p>
            </w:tc>
            <w:tc>
              <w:tcPr>
                <w:tcW w:w="1076" w:type="pct"/>
                <w:shd w:val="clear" w:color="auto" w:fill="auto"/>
                <w:noWrap/>
                <w:vAlign w:val="center"/>
                <w:hideMark/>
              </w:tcPr>
              <w:p w14:paraId="6DCC24B8"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296.469.248.810</w:t>
                </w:r>
              </w:p>
            </w:tc>
            <w:tc>
              <w:tcPr>
                <w:tcW w:w="1076" w:type="pct"/>
                <w:shd w:val="clear" w:color="auto" w:fill="auto"/>
                <w:noWrap/>
                <w:vAlign w:val="center"/>
                <w:hideMark/>
              </w:tcPr>
              <w:p w14:paraId="4BA9A879"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279.590.300.717</w:t>
                </w:r>
              </w:p>
            </w:tc>
          </w:tr>
          <w:tr w:rsidR="00E53C94" w:rsidRPr="00E53C94" w14:paraId="2F968964" w14:textId="77777777" w:rsidTr="00357A89">
            <w:trPr>
              <w:trHeight w:val="340"/>
            </w:trPr>
            <w:tc>
              <w:tcPr>
                <w:tcW w:w="1827" w:type="pct"/>
                <w:shd w:val="clear" w:color="auto" w:fill="auto"/>
                <w:noWrap/>
                <w:vAlign w:val="center"/>
                <w:hideMark/>
              </w:tcPr>
              <w:p w14:paraId="0DB25464"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Terrenos en construcción</w:t>
                </w:r>
              </w:p>
            </w:tc>
            <w:tc>
              <w:tcPr>
                <w:tcW w:w="1020" w:type="pct"/>
                <w:shd w:val="clear" w:color="auto" w:fill="auto"/>
                <w:noWrap/>
                <w:vAlign w:val="center"/>
                <w:hideMark/>
              </w:tcPr>
              <w:p w14:paraId="0D5C3DB3"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13.532.736.848</w:t>
                </w:r>
              </w:p>
            </w:tc>
            <w:tc>
              <w:tcPr>
                <w:tcW w:w="1076" w:type="pct"/>
                <w:shd w:val="clear" w:color="auto" w:fill="auto"/>
                <w:noWrap/>
                <w:vAlign w:val="center"/>
                <w:hideMark/>
              </w:tcPr>
              <w:p w14:paraId="26B7A670"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4.512.437.877</w:t>
                </w:r>
              </w:p>
            </w:tc>
            <w:tc>
              <w:tcPr>
                <w:tcW w:w="1076" w:type="pct"/>
                <w:shd w:val="clear" w:color="auto" w:fill="auto"/>
                <w:noWrap/>
                <w:vAlign w:val="center"/>
                <w:hideMark/>
              </w:tcPr>
              <w:p w14:paraId="6E78E92E"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9.020.298.971</w:t>
                </w:r>
              </w:p>
            </w:tc>
          </w:tr>
          <w:tr w:rsidR="00E53C94" w:rsidRPr="00E53C94" w14:paraId="2541A64B" w14:textId="77777777" w:rsidTr="00357A89">
            <w:trPr>
              <w:trHeight w:val="340"/>
            </w:trPr>
            <w:tc>
              <w:tcPr>
                <w:tcW w:w="1827" w:type="pct"/>
                <w:shd w:val="clear" w:color="auto" w:fill="auto"/>
                <w:noWrap/>
                <w:vAlign w:val="center"/>
                <w:hideMark/>
              </w:tcPr>
              <w:p w14:paraId="3D218896" w14:textId="77777777" w:rsidR="00E53C94" w:rsidRPr="00E53C94" w:rsidRDefault="00E53C94" w:rsidP="00E53C94">
                <w:pPr>
                  <w:spacing w:after="0" w:line="240" w:lineRule="auto"/>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lastRenderedPageBreak/>
                  <w:t>CONCESIONARIA RUTA BOGOTÁ NORTE S.A.S</w:t>
                </w:r>
              </w:p>
            </w:tc>
            <w:tc>
              <w:tcPr>
                <w:tcW w:w="1020" w:type="pct"/>
                <w:shd w:val="clear" w:color="auto" w:fill="auto"/>
                <w:noWrap/>
                <w:vAlign w:val="center"/>
                <w:hideMark/>
              </w:tcPr>
              <w:p w14:paraId="4A81B25E"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1.563.839.113</w:t>
                </w:r>
              </w:p>
            </w:tc>
            <w:tc>
              <w:tcPr>
                <w:tcW w:w="1076" w:type="pct"/>
                <w:shd w:val="clear" w:color="auto" w:fill="auto"/>
                <w:noWrap/>
                <w:vAlign w:val="center"/>
                <w:hideMark/>
              </w:tcPr>
              <w:p w14:paraId="6CA48BC0"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235.620.000</w:t>
                </w:r>
              </w:p>
            </w:tc>
            <w:tc>
              <w:tcPr>
                <w:tcW w:w="1076" w:type="pct"/>
                <w:shd w:val="clear" w:color="auto" w:fill="auto"/>
                <w:noWrap/>
                <w:vAlign w:val="center"/>
                <w:hideMark/>
              </w:tcPr>
              <w:p w14:paraId="7F922926"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1.328.219.113</w:t>
                </w:r>
              </w:p>
            </w:tc>
          </w:tr>
          <w:tr w:rsidR="00E53C94" w:rsidRPr="00E53C94" w14:paraId="63746223" w14:textId="77777777" w:rsidTr="00357A89">
            <w:trPr>
              <w:trHeight w:val="340"/>
            </w:trPr>
            <w:tc>
              <w:tcPr>
                <w:tcW w:w="1827" w:type="pct"/>
                <w:shd w:val="clear" w:color="auto" w:fill="auto"/>
                <w:noWrap/>
                <w:vAlign w:val="center"/>
                <w:hideMark/>
              </w:tcPr>
              <w:p w14:paraId="62955F17"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Activos intangibles en concesión</w:t>
                </w:r>
              </w:p>
            </w:tc>
            <w:tc>
              <w:tcPr>
                <w:tcW w:w="1020" w:type="pct"/>
                <w:shd w:val="clear" w:color="auto" w:fill="auto"/>
                <w:noWrap/>
                <w:vAlign w:val="center"/>
                <w:hideMark/>
              </w:tcPr>
              <w:p w14:paraId="176DD903"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581.994.403</w:t>
                </w:r>
              </w:p>
            </w:tc>
            <w:tc>
              <w:tcPr>
                <w:tcW w:w="1076" w:type="pct"/>
                <w:shd w:val="clear" w:color="auto" w:fill="auto"/>
                <w:noWrap/>
                <w:vAlign w:val="center"/>
                <w:hideMark/>
              </w:tcPr>
              <w:p w14:paraId="6C2B11E4"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235.620.000</w:t>
                </w:r>
              </w:p>
            </w:tc>
            <w:tc>
              <w:tcPr>
                <w:tcW w:w="1076" w:type="pct"/>
                <w:shd w:val="clear" w:color="auto" w:fill="auto"/>
                <w:noWrap/>
                <w:vAlign w:val="center"/>
                <w:hideMark/>
              </w:tcPr>
              <w:p w14:paraId="4B5A54CF"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346.374.403</w:t>
                </w:r>
              </w:p>
            </w:tc>
          </w:tr>
          <w:tr w:rsidR="00E53C94" w:rsidRPr="00E53C94" w14:paraId="624A52AE" w14:textId="77777777" w:rsidTr="00357A89">
            <w:trPr>
              <w:trHeight w:val="340"/>
            </w:trPr>
            <w:tc>
              <w:tcPr>
                <w:tcW w:w="1827" w:type="pct"/>
                <w:shd w:val="clear" w:color="auto" w:fill="auto"/>
                <w:noWrap/>
                <w:vAlign w:val="center"/>
                <w:hideMark/>
              </w:tcPr>
              <w:p w14:paraId="02E5C9DC"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Propiedades, planta y equipo en concesión</w:t>
                </w:r>
              </w:p>
            </w:tc>
            <w:tc>
              <w:tcPr>
                <w:tcW w:w="1020" w:type="pct"/>
                <w:shd w:val="clear" w:color="auto" w:fill="auto"/>
                <w:noWrap/>
                <w:vAlign w:val="center"/>
                <w:hideMark/>
              </w:tcPr>
              <w:p w14:paraId="447DBB0A"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981.844.710</w:t>
                </w:r>
              </w:p>
            </w:tc>
            <w:tc>
              <w:tcPr>
                <w:tcW w:w="1076" w:type="pct"/>
                <w:shd w:val="clear" w:color="auto" w:fill="auto"/>
                <w:noWrap/>
                <w:vAlign w:val="center"/>
                <w:hideMark/>
              </w:tcPr>
              <w:p w14:paraId="267D385E"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0</w:t>
                </w:r>
              </w:p>
            </w:tc>
            <w:tc>
              <w:tcPr>
                <w:tcW w:w="1076" w:type="pct"/>
                <w:shd w:val="clear" w:color="auto" w:fill="auto"/>
                <w:noWrap/>
                <w:vAlign w:val="center"/>
                <w:hideMark/>
              </w:tcPr>
              <w:p w14:paraId="2CE82E70"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981844710</w:t>
                </w:r>
              </w:p>
            </w:tc>
          </w:tr>
          <w:tr w:rsidR="00E53C94" w:rsidRPr="00E53C94" w14:paraId="58D26B06" w14:textId="77777777" w:rsidTr="00357A89">
            <w:trPr>
              <w:trHeight w:val="340"/>
            </w:trPr>
            <w:tc>
              <w:tcPr>
                <w:tcW w:w="1827" w:type="pct"/>
                <w:shd w:val="clear" w:color="auto" w:fill="auto"/>
                <w:noWrap/>
                <w:vAlign w:val="center"/>
                <w:hideMark/>
              </w:tcPr>
              <w:p w14:paraId="5852CECD" w14:textId="77777777" w:rsidR="00E53C94" w:rsidRPr="00E53C94" w:rsidRDefault="00E53C94" w:rsidP="00E53C94">
                <w:pPr>
                  <w:spacing w:after="0" w:line="240" w:lineRule="auto"/>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CONCESIONARIA RUTA DEL CACAO S.A.S.</w:t>
                </w:r>
              </w:p>
            </w:tc>
            <w:tc>
              <w:tcPr>
                <w:tcW w:w="1020" w:type="pct"/>
                <w:shd w:val="clear" w:color="auto" w:fill="auto"/>
                <w:noWrap/>
                <w:vAlign w:val="center"/>
                <w:hideMark/>
              </w:tcPr>
              <w:p w14:paraId="7BD47665"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2.351.383.541.402</w:t>
                </w:r>
              </w:p>
            </w:tc>
            <w:tc>
              <w:tcPr>
                <w:tcW w:w="1076" w:type="pct"/>
                <w:shd w:val="clear" w:color="auto" w:fill="auto"/>
                <w:noWrap/>
                <w:vAlign w:val="center"/>
                <w:hideMark/>
              </w:tcPr>
              <w:p w14:paraId="20CEFE6C"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2.215.688.065.185</w:t>
                </w:r>
              </w:p>
            </w:tc>
            <w:tc>
              <w:tcPr>
                <w:tcW w:w="1076" w:type="pct"/>
                <w:shd w:val="clear" w:color="auto" w:fill="auto"/>
                <w:noWrap/>
                <w:vAlign w:val="center"/>
                <w:hideMark/>
              </w:tcPr>
              <w:p w14:paraId="40034748"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135.695.476.217</w:t>
                </w:r>
              </w:p>
            </w:tc>
          </w:tr>
          <w:tr w:rsidR="00E53C94" w:rsidRPr="00E53C94" w14:paraId="54D62109" w14:textId="77777777" w:rsidTr="00357A89">
            <w:trPr>
              <w:trHeight w:val="340"/>
            </w:trPr>
            <w:tc>
              <w:tcPr>
                <w:tcW w:w="1827" w:type="pct"/>
                <w:shd w:val="clear" w:color="auto" w:fill="auto"/>
                <w:noWrap/>
                <w:vAlign w:val="center"/>
                <w:hideMark/>
              </w:tcPr>
              <w:p w14:paraId="1B60A52A"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Activos intangibles en concesión</w:t>
                </w:r>
              </w:p>
            </w:tc>
            <w:tc>
              <w:tcPr>
                <w:tcW w:w="1020" w:type="pct"/>
                <w:shd w:val="clear" w:color="auto" w:fill="auto"/>
                <w:noWrap/>
                <w:vAlign w:val="center"/>
                <w:hideMark/>
              </w:tcPr>
              <w:p w14:paraId="65AD09E2"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5.899.651.872</w:t>
                </w:r>
              </w:p>
            </w:tc>
            <w:tc>
              <w:tcPr>
                <w:tcW w:w="1076" w:type="pct"/>
                <w:shd w:val="clear" w:color="auto" w:fill="auto"/>
                <w:noWrap/>
                <w:vAlign w:val="center"/>
                <w:hideMark/>
              </w:tcPr>
              <w:p w14:paraId="3A6103D6"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5.899.651.872</w:t>
                </w:r>
              </w:p>
            </w:tc>
            <w:tc>
              <w:tcPr>
                <w:tcW w:w="1076" w:type="pct"/>
                <w:shd w:val="clear" w:color="auto" w:fill="auto"/>
                <w:noWrap/>
                <w:vAlign w:val="center"/>
                <w:hideMark/>
              </w:tcPr>
              <w:p w14:paraId="36DCEF53"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0</w:t>
                </w:r>
              </w:p>
            </w:tc>
          </w:tr>
          <w:tr w:rsidR="00E53C94" w:rsidRPr="00E53C94" w14:paraId="1D15711A" w14:textId="77777777" w:rsidTr="00357A89">
            <w:trPr>
              <w:trHeight w:val="340"/>
            </w:trPr>
            <w:tc>
              <w:tcPr>
                <w:tcW w:w="1827" w:type="pct"/>
                <w:shd w:val="clear" w:color="auto" w:fill="auto"/>
                <w:noWrap/>
                <w:vAlign w:val="center"/>
                <w:hideMark/>
              </w:tcPr>
              <w:p w14:paraId="35BE46F6"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Propiedades, planta y equipo en concesión</w:t>
                </w:r>
              </w:p>
            </w:tc>
            <w:tc>
              <w:tcPr>
                <w:tcW w:w="1020" w:type="pct"/>
                <w:shd w:val="clear" w:color="auto" w:fill="auto"/>
                <w:noWrap/>
                <w:vAlign w:val="center"/>
                <w:hideMark/>
              </w:tcPr>
              <w:p w14:paraId="5FB52C66"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13.511.623.421</w:t>
                </w:r>
              </w:p>
            </w:tc>
            <w:tc>
              <w:tcPr>
                <w:tcW w:w="1076" w:type="pct"/>
                <w:shd w:val="clear" w:color="auto" w:fill="auto"/>
                <w:noWrap/>
                <w:vAlign w:val="center"/>
                <w:hideMark/>
              </w:tcPr>
              <w:p w14:paraId="44752783"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13.316.530.481</w:t>
                </w:r>
              </w:p>
            </w:tc>
            <w:tc>
              <w:tcPr>
                <w:tcW w:w="1076" w:type="pct"/>
                <w:shd w:val="clear" w:color="auto" w:fill="auto"/>
                <w:noWrap/>
                <w:vAlign w:val="center"/>
                <w:hideMark/>
              </w:tcPr>
              <w:p w14:paraId="5D7999FD"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195.092.940</w:t>
                </w:r>
              </w:p>
            </w:tc>
          </w:tr>
          <w:tr w:rsidR="00E53C94" w:rsidRPr="00E53C94" w14:paraId="739F0F58" w14:textId="77777777" w:rsidTr="00357A89">
            <w:trPr>
              <w:trHeight w:val="340"/>
            </w:trPr>
            <w:tc>
              <w:tcPr>
                <w:tcW w:w="1827" w:type="pct"/>
                <w:shd w:val="clear" w:color="auto" w:fill="auto"/>
                <w:noWrap/>
                <w:vAlign w:val="center"/>
                <w:hideMark/>
              </w:tcPr>
              <w:p w14:paraId="5AA0C564"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Red carretera en construcción</w:t>
                </w:r>
              </w:p>
            </w:tc>
            <w:tc>
              <w:tcPr>
                <w:tcW w:w="1020" w:type="pct"/>
                <w:shd w:val="clear" w:color="auto" w:fill="auto"/>
                <w:noWrap/>
                <w:vAlign w:val="center"/>
                <w:hideMark/>
              </w:tcPr>
              <w:p w14:paraId="64C16A16"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2.221.711.290.554</w:t>
                </w:r>
              </w:p>
            </w:tc>
            <w:tc>
              <w:tcPr>
                <w:tcW w:w="1076" w:type="pct"/>
                <w:shd w:val="clear" w:color="auto" w:fill="auto"/>
                <w:noWrap/>
                <w:vAlign w:val="center"/>
                <w:hideMark/>
              </w:tcPr>
              <w:p w14:paraId="6B0FC93F"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2.102.883.837.933</w:t>
                </w:r>
              </w:p>
            </w:tc>
            <w:tc>
              <w:tcPr>
                <w:tcW w:w="1076" w:type="pct"/>
                <w:shd w:val="clear" w:color="auto" w:fill="auto"/>
                <w:noWrap/>
                <w:vAlign w:val="center"/>
                <w:hideMark/>
              </w:tcPr>
              <w:p w14:paraId="57A86E5F"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118.827.452.621</w:t>
                </w:r>
              </w:p>
            </w:tc>
          </w:tr>
          <w:tr w:rsidR="00E53C94" w:rsidRPr="00E53C94" w14:paraId="4A6B90FD" w14:textId="77777777" w:rsidTr="00357A89">
            <w:trPr>
              <w:trHeight w:val="340"/>
            </w:trPr>
            <w:tc>
              <w:tcPr>
                <w:tcW w:w="1827" w:type="pct"/>
                <w:shd w:val="clear" w:color="auto" w:fill="auto"/>
                <w:noWrap/>
                <w:vAlign w:val="center"/>
                <w:hideMark/>
              </w:tcPr>
              <w:p w14:paraId="381CA532"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Terrenos en construcción</w:t>
                </w:r>
              </w:p>
            </w:tc>
            <w:tc>
              <w:tcPr>
                <w:tcW w:w="1020" w:type="pct"/>
                <w:shd w:val="clear" w:color="auto" w:fill="auto"/>
                <w:noWrap/>
                <w:vAlign w:val="center"/>
                <w:hideMark/>
              </w:tcPr>
              <w:p w14:paraId="3DFA3D51"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110.260.975.555</w:t>
                </w:r>
              </w:p>
            </w:tc>
            <w:tc>
              <w:tcPr>
                <w:tcW w:w="1076" w:type="pct"/>
                <w:shd w:val="clear" w:color="auto" w:fill="auto"/>
                <w:noWrap/>
                <w:vAlign w:val="center"/>
                <w:hideMark/>
              </w:tcPr>
              <w:p w14:paraId="440F1136"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93.588.044.899</w:t>
                </w:r>
              </w:p>
            </w:tc>
            <w:tc>
              <w:tcPr>
                <w:tcW w:w="1076" w:type="pct"/>
                <w:shd w:val="clear" w:color="auto" w:fill="auto"/>
                <w:noWrap/>
                <w:vAlign w:val="center"/>
                <w:hideMark/>
              </w:tcPr>
              <w:p w14:paraId="111414B8"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16.672.930.656</w:t>
                </w:r>
              </w:p>
            </w:tc>
          </w:tr>
          <w:tr w:rsidR="00E53C94" w:rsidRPr="00E53C94" w14:paraId="3DC87D98" w14:textId="77777777" w:rsidTr="00357A89">
            <w:trPr>
              <w:trHeight w:val="340"/>
            </w:trPr>
            <w:tc>
              <w:tcPr>
                <w:tcW w:w="1827" w:type="pct"/>
                <w:shd w:val="clear" w:color="auto" w:fill="auto"/>
                <w:vAlign w:val="center"/>
                <w:hideMark/>
              </w:tcPr>
              <w:p w14:paraId="1BA611F4" w14:textId="77777777" w:rsidR="00E53C94" w:rsidRPr="00E53C94" w:rsidRDefault="00E53C94" w:rsidP="00E53C94">
                <w:pPr>
                  <w:spacing w:after="0" w:line="240" w:lineRule="auto"/>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CONCESIONARIA RUTA DEL SOL S A S EN LIQUIDACION JUDICIAL</w:t>
                </w:r>
              </w:p>
            </w:tc>
            <w:tc>
              <w:tcPr>
                <w:tcW w:w="1020" w:type="pct"/>
                <w:shd w:val="clear" w:color="auto" w:fill="auto"/>
                <w:noWrap/>
                <w:vAlign w:val="center"/>
                <w:hideMark/>
              </w:tcPr>
              <w:p w14:paraId="4D0B8186"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 xml:space="preserve">                                          -   </w:t>
                </w:r>
              </w:p>
            </w:tc>
            <w:tc>
              <w:tcPr>
                <w:tcW w:w="1076" w:type="pct"/>
                <w:shd w:val="clear" w:color="auto" w:fill="auto"/>
                <w:noWrap/>
                <w:vAlign w:val="center"/>
                <w:hideMark/>
              </w:tcPr>
              <w:p w14:paraId="4D74E13F"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 xml:space="preserve">                    2.009.289.606,00 </w:t>
                </w:r>
              </w:p>
            </w:tc>
            <w:tc>
              <w:tcPr>
                <w:tcW w:w="1076" w:type="pct"/>
                <w:shd w:val="clear" w:color="auto" w:fill="auto"/>
                <w:noWrap/>
                <w:vAlign w:val="center"/>
                <w:hideMark/>
              </w:tcPr>
              <w:p w14:paraId="17F2197D"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 xml:space="preserve">-                  2.009.289.606,00 </w:t>
                </w:r>
              </w:p>
            </w:tc>
          </w:tr>
          <w:tr w:rsidR="00E53C94" w:rsidRPr="00E53C94" w14:paraId="5694CE17" w14:textId="77777777" w:rsidTr="00357A89">
            <w:trPr>
              <w:trHeight w:val="340"/>
            </w:trPr>
            <w:tc>
              <w:tcPr>
                <w:tcW w:w="1827" w:type="pct"/>
                <w:shd w:val="clear" w:color="auto" w:fill="auto"/>
                <w:noWrap/>
                <w:vAlign w:val="center"/>
                <w:hideMark/>
              </w:tcPr>
              <w:p w14:paraId="4F86F800"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Red carretera en servicio</w:t>
                </w:r>
              </w:p>
            </w:tc>
            <w:tc>
              <w:tcPr>
                <w:tcW w:w="1020" w:type="pct"/>
                <w:shd w:val="clear" w:color="auto" w:fill="auto"/>
                <w:noWrap/>
                <w:vAlign w:val="center"/>
                <w:hideMark/>
              </w:tcPr>
              <w:p w14:paraId="07E4F24B"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0</w:t>
                </w:r>
              </w:p>
            </w:tc>
            <w:tc>
              <w:tcPr>
                <w:tcW w:w="1076" w:type="pct"/>
                <w:shd w:val="clear" w:color="auto" w:fill="auto"/>
                <w:noWrap/>
                <w:vAlign w:val="center"/>
                <w:hideMark/>
              </w:tcPr>
              <w:p w14:paraId="752FD600"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2.009.289.606</w:t>
                </w:r>
              </w:p>
            </w:tc>
            <w:tc>
              <w:tcPr>
                <w:tcW w:w="1076" w:type="pct"/>
                <w:shd w:val="clear" w:color="auto" w:fill="auto"/>
                <w:noWrap/>
                <w:vAlign w:val="center"/>
                <w:hideMark/>
              </w:tcPr>
              <w:p w14:paraId="4731A507"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-2.009.289.606</w:t>
                </w:r>
              </w:p>
            </w:tc>
          </w:tr>
          <w:tr w:rsidR="00E53C94" w:rsidRPr="00E53C94" w14:paraId="0866EA56" w14:textId="77777777" w:rsidTr="00357A89">
            <w:trPr>
              <w:trHeight w:val="340"/>
            </w:trPr>
            <w:tc>
              <w:tcPr>
                <w:tcW w:w="1827" w:type="pct"/>
                <w:shd w:val="clear" w:color="auto" w:fill="auto"/>
                <w:noWrap/>
                <w:vAlign w:val="center"/>
                <w:hideMark/>
              </w:tcPr>
              <w:p w14:paraId="25B32C50" w14:textId="77777777" w:rsidR="00E53C94" w:rsidRPr="00E53C94" w:rsidRDefault="00E53C94" w:rsidP="00E53C94">
                <w:pPr>
                  <w:spacing w:after="0" w:line="240" w:lineRule="auto"/>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CONCESIONARIA RUTAS DEL VALLE S.A.S.</w:t>
                </w:r>
              </w:p>
            </w:tc>
            <w:tc>
              <w:tcPr>
                <w:tcW w:w="1020" w:type="pct"/>
                <w:shd w:val="clear" w:color="auto" w:fill="auto"/>
                <w:noWrap/>
                <w:vAlign w:val="center"/>
                <w:hideMark/>
              </w:tcPr>
              <w:p w14:paraId="65B7B860"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43.868.674.911</w:t>
                </w:r>
              </w:p>
            </w:tc>
            <w:tc>
              <w:tcPr>
                <w:tcW w:w="1076" w:type="pct"/>
                <w:shd w:val="clear" w:color="auto" w:fill="auto"/>
                <w:noWrap/>
                <w:vAlign w:val="center"/>
                <w:hideMark/>
              </w:tcPr>
              <w:p w14:paraId="5429275F"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3.817.725.069</w:t>
                </w:r>
              </w:p>
            </w:tc>
            <w:tc>
              <w:tcPr>
                <w:tcW w:w="1076" w:type="pct"/>
                <w:shd w:val="clear" w:color="auto" w:fill="auto"/>
                <w:noWrap/>
                <w:vAlign w:val="center"/>
                <w:hideMark/>
              </w:tcPr>
              <w:p w14:paraId="49D841F3"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40.050.949.842</w:t>
                </w:r>
              </w:p>
            </w:tc>
          </w:tr>
          <w:tr w:rsidR="00E53C94" w:rsidRPr="00E53C94" w14:paraId="1B728B46" w14:textId="77777777" w:rsidTr="00357A89">
            <w:trPr>
              <w:trHeight w:val="340"/>
            </w:trPr>
            <w:tc>
              <w:tcPr>
                <w:tcW w:w="1827" w:type="pct"/>
                <w:shd w:val="clear" w:color="auto" w:fill="auto"/>
                <w:noWrap/>
                <w:vAlign w:val="center"/>
                <w:hideMark/>
              </w:tcPr>
              <w:p w14:paraId="6F389DA9"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Activos intangibles en concesión</w:t>
                </w:r>
              </w:p>
            </w:tc>
            <w:tc>
              <w:tcPr>
                <w:tcW w:w="1020" w:type="pct"/>
                <w:shd w:val="clear" w:color="auto" w:fill="auto"/>
                <w:noWrap/>
                <w:vAlign w:val="center"/>
                <w:hideMark/>
              </w:tcPr>
              <w:p w14:paraId="6A0553FA"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340.796.747</w:t>
                </w:r>
              </w:p>
            </w:tc>
            <w:tc>
              <w:tcPr>
                <w:tcW w:w="1076" w:type="pct"/>
                <w:shd w:val="clear" w:color="auto" w:fill="auto"/>
                <w:noWrap/>
                <w:vAlign w:val="center"/>
                <w:hideMark/>
              </w:tcPr>
              <w:p w14:paraId="69739A20"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317.531.032</w:t>
                </w:r>
              </w:p>
            </w:tc>
            <w:tc>
              <w:tcPr>
                <w:tcW w:w="1076" w:type="pct"/>
                <w:shd w:val="clear" w:color="auto" w:fill="auto"/>
                <w:noWrap/>
                <w:vAlign w:val="center"/>
                <w:hideMark/>
              </w:tcPr>
              <w:p w14:paraId="12ECA494"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23.265.715</w:t>
                </w:r>
              </w:p>
            </w:tc>
          </w:tr>
          <w:tr w:rsidR="00E53C94" w:rsidRPr="00E53C94" w14:paraId="6800DDE5" w14:textId="77777777" w:rsidTr="00357A89">
            <w:trPr>
              <w:trHeight w:val="340"/>
            </w:trPr>
            <w:tc>
              <w:tcPr>
                <w:tcW w:w="1827" w:type="pct"/>
                <w:shd w:val="clear" w:color="auto" w:fill="auto"/>
                <w:noWrap/>
                <w:vAlign w:val="center"/>
                <w:hideMark/>
              </w:tcPr>
              <w:p w14:paraId="1455B72D"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Propiedades, planta y equipo en concesión</w:t>
                </w:r>
              </w:p>
            </w:tc>
            <w:tc>
              <w:tcPr>
                <w:tcW w:w="1020" w:type="pct"/>
                <w:shd w:val="clear" w:color="auto" w:fill="auto"/>
                <w:noWrap/>
                <w:vAlign w:val="center"/>
                <w:hideMark/>
              </w:tcPr>
              <w:p w14:paraId="3760FC69"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6.645.213.233</w:t>
                </w:r>
              </w:p>
            </w:tc>
            <w:tc>
              <w:tcPr>
                <w:tcW w:w="1076" w:type="pct"/>
                <w:shd w:val="clear" w:color="auto" w:fill="auto"/>
                <w:noWrap/>
                <w:vAlign w:val="center"/>
                <w:hideMark/>
              </w:tcPr>
              <w:p w14:paraId="1EC0116D"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3.500.194.037</w:t>
                </w:r>
              </w:p>
            </w:tc>
            <w:tc>
              <w:tcPr>
                <w:tcW w:w="1076" w:type="pct"/>
                <w:shd w:val="clear" w:color="auto" w:fill="auto"/>
                <w:noWrap/>
                <w:vAlign w:val="center"/>
                <w:hideMark/>
              </w:tcPr>
              <w:p w14:paraId="49694ECD"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3.145.019.196</w:t>
                </w:r>
              </w:p>
            </w:tc>
          </w:tr>
          <w:tr w:rsidR="00E53C94" w:rsidRPr="00E53C94" w14:paraId="37A77313" w14:textId="77777777" w:rsidTr="00357A89">
            <w:trPr>
              <w:trHeight w:val="340"/>
            </w:trPr>
            <w:tc>
              <w:tcPr>
                <w:tcW w:w="1827" w:type="pct"/>
                <w:shd w:val="clear" w:color="auto" w:fill="auto"/>
                <w:noWrap/>
                <w:vAlign w:val="center"/>
                <w:hideMark/>
              </w:tcPr>
              <w:p w14:paraId="044D88B7"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Red carretera en construcción</w:t>
                </w:r>
              </w:p>
            </w:tc>
            <w:tc>
              <w:tcPr>
                <w:tcW w:w="1020" w:type="pct"/>
                <w:shd w:val="clear" w:color="auto" w:fill="auto"/>
                <w:noWrap/>
                <w:vAlign w:val="center"/>
                <w:hideMark/>
              </w:tcPr>
              <w:p w14:paraId="2D8284E3"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30.637.098.639</w:t>
                </w:r>
              </w:p>
            </w:tc>
            <w:tc>
              <w:tcPr>
                <w:tcW w:w="1076" w:type="pct"/>
                <w:shd w:val="clear" w:color="auto" w:fill="auto"/>
                <w:noWrap/>
                <w:vAlign w:val="center"/>
                <w:hideMark/>
              </w:tcPr>
              <w:p w14:paraId="0330B8FB"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0</w:t>
                </w:r>
              </w:p>
            </w:tc>
            <w:tc>
              <w:tcPr>
                <w:tcW w:w="1076" w:type="pct"/>
                <w:shd w:val="clear" w:color="auto" w:fill="auto"/>
                <w:noWrap/>
                <w:vAlign w:val="center"/>
                <w:hideMark/>
              </w:tcPr>
              <w:p w14:paraId="7F3537B7"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30637098639</w:t>
                </w:r>
              </w:p>
            </w:tc>
          </w:tr>
          <w:tr w:rsidR="00E53C94" w:rsidRPr="00E53C94" w14:paraId="2B077614" w14:textId="77777777" w:rsidTr="00357A89">
            <w:trPr>
              <w:trHeight w:val="340"/>
            </w:trPr>
            <w:tc>
              <w:tcPr>
                <w:tcW w:w="1827" w:type="pct"/>
                <w:shd w:val="clear" w:color="auto" w:fill="auto"/>
                <w:noWrap/>
                <w:vAlign w:val="center"/>
                <w:hideMark/>
              </w:tcPr>
              <w:p w14:paraId="2DF67998"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Terrenos en construcción</w:t>
                </w:r>
              </w:p>
            </w:tc>
            <w:tc>
              <w:tcPr>
                <w:tcW w:w="1020" w:type="pct"/>
                <w:shd w:val="clear" w:color="auto" w:fill="auto"/>
                <w:noWrap/>
                <w:vAlign w:val="center"/>
                <w:hideMark/>
              </w:tcPr>
              <w:p w14:paraId="63A37FF4"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6.245.566.292</w:t>
                </w:r>
              </w:p>
            </w:tc>
            <w:tc>
              <w:tcPr>
                <w:tcW w:w="1076" w:type="pct"/>
                <w:shd w:val="clear" w:color="auto" w:fill="auto"/>
                <w:noWrap/>
                <w:vAlign w:val="center"/>
                <w:hideMark/>
              </w:tcPr>
              <w:p w14:paraId="12709546"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0</w:t>
                </w:r>
              </w:p>
            </w:tc>
            <w:tc>
              <w:tcPr>
                <w:tcW w:w="1076" w:type="pct"/>
                <w:shd w:val="clear" w:color="auto" w:fill="auto"/>
                <w:noWrap/>
                <w:vAlign w:val="center"/>
                <w:hideMark/>
              </w:tcPr>
              <w:p w14:paraId="041B6BE9"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6245566292</w:t>
                </w:r>
              </w:p>
            </w:tc>
          </w:tr>
          <w:tr w:rsidR="00E53C94" w:rsidRPr="00E53C94" w14:paraId="07B2FD81" w14:textId="77777777" w:rsidTr="00357A89">
            <w:trPr>
              <w:trHeight w:val="340"/>
            </w:trPr>
            <w:tc>
              <w:tcPr>
                <w:tcW w:w="1827" w:type="pct"/>
                <w:shd w:val="clear" w:color="auto" w:fill="auto"/>
                <w:noWrap/>
                <w:vAlign w:val="center"/>
                <w:hideMark/>
              </w:tcPr>
              <w:p w14:paraId="5849AC17" w14:textId="77777777" w:rsidR="00E53C94" w:rsidRPr="00E53C94" w:rsidRDefault="00E53C94" w:rsidP="00E53C94">
                <w:pPr>
                  <w:spacing w:after="0" w:line="240" w:lineRule="auto"/>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CONCESIONARIA SAN RAFAEL S A</w:t>
                </w:r>
              </w:p>
            </w:tc>
            <w:tc>
              <w:tcPr>
                <w:tcW w:w="1020" w:type="pct"/>
                <w:shd w:val="clear" w:color="auto" w:fill="auto"/>
                <w:noWrap/>
                <w:vAlign w:val="center"/>
                <w:hideMark/>
              </w:tcPr>
              <w:p w14:paraId="1D5BCB7E"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 xml:space="preserve">                                          -   </w:t>
                </w:r>
              </w:p>
            </w:tc>
            <w:tc>
              <w:tcPr>
                <w:tcW w:w="1076" w:type="pct"/>
                <w:shd w:val="clear" w:color="auto" w:fill="auto"/>
                <w:noWrap/>
                <w:vAlign w:val="center"/>
                <w:hideMark/>
              </w:tcPr>
              <w:p w14:paraId="659A7225"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 xml:space="preserve">                     483.108.553.569 </w:t>
                </w:r>
              </w:p>
            </w:tc>
            <w:tc>
              <w:tcPr>
                <w:tcW w:w="1076" w:type="pct"/>
                <w:shd w:val="clear" w:color="auto" w:fill="auto"/>
                <w:noWrap/>
                <w:vAlign w:val="center"/>
                <w:hideMark/>
              </w:tcPr>
              <w:p w14:paraId="7119D951"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 xml:space="preserve">-                   483.108.553.569 </w:t>
                </w:r>
              </w:p>
            </w:tc>
          </w:tr>
          <w:tr w:rsidR="00E53C94" w:rsidRPr="00E53C94" w14:paraId="09942EC2" w14:textId="77777777" w:rsidTr="00357A89">
            <w:trPr>
              <w:trHeight w:val="340"/>
            </w:trPr>
            <w:tc>
              <w:tcPr>
                <w:tcW w:w="1827" w:type="pct"/>
                <w:shd w:val="clear" w:color="auto" w:fill="auto"/>
                <w:noWrap/>
                <w:vAlign w:val="center"/>
                <w:hideMark/>
              </w:tcPr>
              <w:p w14:paraId="78B3E1C0"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Propiedades, planta y equipo en concesión</w:t>
                </w:r>
              </w:p>
            </w:tc>
            <w:tc>
              <w:tcPr>
                <w:tcW w:w="1020" w:type="pct"/>
                <w:shd w:val="clear" w:color="auto" w:fill="auto"/>
                <w:noWrap/>
                <w:vAlign w:val="center"/>
                <w:hideMark/>
              </w:tcPr>
              <w:p w14:paraId="27E8832E"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0</w:t>
                </w:r>
              </w:p>
            </w:tc>
            <w:tc>
              <w:tcPr>
                <w:tcW w:w="1076" w:type="pct"/>
                <w:shd w:val="clear" w:color="auto" w:fill="auto"/>
                <w:noWrap/>
                <w:vAlign w:val="center"/>
                <w:hideMark/>
              </w:tcPr>
              <w:p w14:paraId="1DFD3C14"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843.174.466</w:t>
                </w:r>
              </w:p>
            </w:tc>
            <w:tc>
              <w:tcPr>
                <w:tcW w:w="1076" w:type="pct"/>
                <w:shd w:val="clear" w:color="auto" w:fill="auto"/>
                <w:noWrap/>
                <w:vAlign w:val="center"/>
                <w:hideMark/>
              </w:tcPr>
              <w:p w14:paraId="16F67FDE"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-843.174.466</w:t>
                </w:r>
              </w:p>
            </w:tc>
          </w:tr>
          <w:tr w:rsidR="00E53C94" w:rsidRPr="00E53C94" w14:paraId="27D2CAEF" w14:textId="77777777" w:rsidTr="00357A89">
            <w:trPr>
              <w:trHeight w:val="340"/>
            </w:trPr>
            <w:tc>
              <w:tcPr>
                <w:tcW w:w="1827" w:type="pct"/>
                <w:shd w:val="clear" w:color="auto" w:fill="auto"/>
                <w:noWrap/>
                <w:vAlign w:val="center"/>
                <w:hideMark/>
              </w:tcPr>
              <w:p w14:paraId="14D28A6B"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Red carretera en servicio</w:t>
                </w:r>
              </w:p>
            </w:tc>
            <w:tc>
              <w:tcPr>
                <w:tcW w:w="1020" w:type="pct"/>
                <w:shd w:val="clear" w:color="auto" w:fill="auto"/>
                <w:noWrap/>
                <w:vAlign w:val="center"/>
                <w:hideMark/>
              </w:tcPr>
              <w:p w14:paraId="6C14D85A"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0</w:t>
                </w:r>
              </w:p>
            </w:tc>
            <w:tc>
              <w:tcPr>
                <w:tcW w:w="1076" w:type="pct"/>
                <w:shd w:val="clear" w:color="auto" w:fill="auto"/>
                <w:noWrap/>
                <w:vAlign w:val="center"/>
                <w:hideMark/>
              </w:tcPr>
              <w:p w14:paraId="76BCD859"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438.327.038.076</w:t>
                </w:r>
              </w:p>
            </w:tc>
            <w:tc>
              <w:tcPr>
                <w:tcW w:w="1076" w:type="pct"/>
                <w:shd w:val="clear" w:color="auto" w:fill="auto"/>
                <w:noWrap/>
                <w:vAlign w:val="center"/>
                <w:hideMark/>
              </w:tcPr>
              <w:p w14:paraId="45C4BEA6"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-438.327.038.076</w:t>
                </w:r>
              </w:p>
            </w:tc>
          </w:tr>
          <w:tr w:rsidR="00E53C94" w:rsidRPr="00E53C94" w14:paraId="383EA5C9" w14:textId="77777777" w:rsidTr="00357A89">
            <w:trPr>
              <w:trHeight w:val="340"/>
            </w:trPr>
            <w:tc>
              <w:tcPr>
                <w:tcW w:w="1827" w:type="pct"/>
                <w:shd w:val="clear" w:color="auto" w:fill="auto"/>
                <w:noWrap/>
                <w:vAlign w:val="center"/>
                <w:hideMark/>
              </w:tcPr>
              <w:p w14:paraId="5CC00A7D"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Terrenos en servicio</w:t>
                </w:r>
              </w:p>
            </w:tc>
            <w:tc>
              <w:tcPr>
                <w:tcW w:w="1020" w:type="pct"/>
                <w:shd w:val="clear" w:color="auto" w:fill="auto"/>
                <w:noWrap/>
                <w:vAlign w:val="center"/>
                <w:hideMark/>
              </w:tcPr>
              <w:p w14:paraId="4E5F4B2E"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0</w:t>
                </w:r>
              </w:p>
            </w:tc>
            <w:tc>
              <w:tcPr>
                <w:tcW w:w="1076" w:type="pct"/>
                <w:shd w:val="clear" w:color="auto" w:fill="auto"/>
                <w:noWrap/>
                <w:vAlign w:val="center"/>
                <w:hideMark/>
              </w:tcPr>
              <w:p w14:paraId="38D40186"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43.938.341.027</w:t>
                </w:r>
              </w:p>
            </w:tc>
            <w:tc>
              <w:tcPr>
                <w:tcW w:w="1076" w:type="pct"/>
                <w:shd w:val="clear" w:color="auto" w:fill="auto"/>
                <w:noWrap/>
                <w:vAlign w:val="center"/>
                <w:hideMark/>
              </w:tcPr>
              <w:p w14:paraId="384B350B"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-43.938.341.027</w:t>
                </w:r>
              </w:p>
            </w:tc>
          </w:tr>
          <w:tr w:rsidR="00E53C94" w:rsidRPr="00E53C94" w14:paraId="545149E5" w14:textId="77777777" w:rsidTr="00357A89">
            <w:trPr>
              <w:trHeight w:val="340"/>
            </w:trPr>
            <w:tc>
              <w:tcPr>
                <w:tcW w:w="1827" w:type="pct"/>
                <w:shd w:val="clear" w:color="auto" w:fill="auto"/>
                <w:noWrap/>
                <w:vAlign w:val="center"/>
                <w:hideMark/>
              </w:tcPr>
              <w:p w14:paraId="566AF21A" w14:textId="77777777" w:rsidR="00E53C94" w:rsidRPr="00E53C94" w:rsidRDefault="00E53C94" w:rsidP="00E53C94">
                <w:pPr>
                  <w:spacing w:after="0" w:line="240" w:lineRule="auto"/>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CONCESIONARIA SAN SIMON S A</w:t>
                </w:r>
              </w:p>
            </w:tc>
            <w:tc>
              <w:tcPr>
                <w:tcW w:w="1020" w:type="pct"/>
                <w:shd w:val="clear" w:color="auto" w:fill="auto"/>
                <w:noWrap/>
                <w:vAlign w:val="center"/>
                <w:hideMark/>
              </w:tcPr>
              <w:p w14:paraId="5FD6A05E"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384.129.050.200</w:t>
                </w:r>
              </w:p>
            </w:tc>
            <w:tc>
              <w:tcPr>
                <w:tcW w:w="1076" w:type="pct"/>
                <w:shd w:val="clear" w:color="auto" w:fill="auto"/>
                <w:noWrap/>
                <w:vAlign w:val="center"/>
                <w:hideMark/>
              </w:tcPr>
              <w:p w14:paraId="47D31695"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383.529.306.328</w:t>
                </w:r>
              </w:p>
            </w:tc>
            <w:tc>
              <w:tcPr>
                <w:tcW w:w="1076" w:type="pct"/>
                <w:shd w:val="clear" w:color="auto" w:fill="auto"/>
                <w:noWrap/>
                <w:vAlign w:val="center"/>
                <w:hideMark/>
              </w:tcPr>
              <w:p w14:paraId="08162334"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599.743.872</w:t>
                </w:r>
              </w:p>
            </w:tc>
          </w:tr>
          <w:tr w:rsidR="00E53C94" w:rsidRPr="00E53C94" w14:paraId="31130165" w14:textId="77777777" w:rsidTr="00357A89">
            <w:trPr>
              <w:trHeight w:val="340"/>
            </w:trPr>
            <w:tc>
              <w:tcPr>
                <w:tcW w:w="1827" w:type="pct"/>
                <w:shd w:val="clear" w:color="auto" w:fill="auto"/>
                <w:noWrap/>
                <w:vAlign w:val="center"/>
                <w:hideMark/>
              </w:tcPr>
              <w:p w14:paraId="4D8CC562"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Red carretera en servicio</w:t>
                </w:r>
              </w:p>
            </w:tc>
            <w:tc>
              <w:tcPr>
                <w:tcW w:w="1020" w:type="pct"/>
                <w:shd w:val="clear" w:color="auto" w:fill="auto"/>
                <w:noWrap/>
                <w:vAlign w:val="center"/>
                <w:hideMark/>
              </w:tcPr>
              <w:p w14:paraId="2C7D2FB9"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343.908.808.606</w:t>
                </w:r>
              </w:p>
            </w:tc>
            <w:tc>
              <w:tcPr>
                <w:tcW w:w="1076" w:type="pct"/>
                <w:shd w:val="clear" w:color="auto" w:fill="auto"/>
                <w:noWrap/>
                <w:vAlign w:val="center"/>
                <w:hideMark/>
              </w:tcPr>
              <w:p w14:paraId="599C8DFE"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343.309.064.734</w:t>
                </w:r>
              </w:p>
            </w:tc>
            <w:tc>
              <w:tcPr>
                <w:tcW w:w="1076" w:type="pct"/>
                <w:shd w:val="clear" w:color="auto" w:fill="auto"/>
                <w:noWrap/>
                <w:vAlign w:val="center"/>
                <w:hideMark/>
              </w:tcPr>
              <w:p w14:paraId="6600358B"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599.743.872</w:t>
                </w:r>
              </w:p>
            </w:tc>
          </w:tr>
          <w:tr w:rsidR="00E53C94" w:rsidRPr="00E53C94" w14:paraId="5E5FAC13" w14:textId="77777777" w:rsidTr="00357A89">
            <w:trPr>
              <w:trHeight w:val="340"/>
            </w:trPr>
            <w:tc>
              <w:tcPr>
                <w:tcW w:w="1827" w:type="pct"/>
                <w:shd w:val="clear" w:color="auto" w:fill="auto"/>
                <w:noWrap/>
                <w:vAlign w:val="center"/>
                <w:hideMark/>
              </w:tcPr>
              <w:p w14:paraId="412948BF"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Terrenos en servicio</w:t>
                </w:r>
              </w:p>
            </w:tc>
            <w:tc>
              <w:tcPr>
                <w:tcW w:w="1020" w:type="pct"/>
                <w:shd w:val="clear" w:color="auto" w:fill="auto"/>
                <w:noWrap/>
                <w:vAlign w:val="center"/>
                <w:hideMark/>
              </w:tcPr>
              <w:p w14:paraId="67D8A50C"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40.220.241.594</w:t>
                </w:r>
              </w:p>
            </w:tc>
            <w:tc>
              <w:tcPr>
                <w:tcW w:w="1076" w:type="pct"/>
                <w:shd w:val="clear" w:color="auto" w:fill="auto"/>
                <w:noWrap/>
                <w:vAlign w:val="center"/>
                <w:hideMark/>
              </w:tcPr>
              <w:p w14:paraId="7D409925"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40.220.241.594</w:t>
                </w:r>
              </w:p>
            </w:tc>
            <w:tc>
              <w:tcPr>
                <w:tcW w:w="1076" w:type="pct"/>
                <w:shd w:val="clear" w:color="auto" w:fill="auto"/>
                <w:noWrap/>
                <w:vAlign w:val="center"/>
                <w:hideMark/>
              </w:tcPr>
              <w:p w14:paraId="32400DD6"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0</w:t>
                </w:r>
              </w:p>
            </w:tc>
          </w:tr>
          <w:tr w:rsidR="00E53C94" w:rsidRPr="00E53C94" w14:paraId="72FCE196" w14:textId="77777777" w:rsidTr="00357A89">
            <w:trPr>
              <w:trHeight w:val="340"/>
            </w:trPr>
            <w:tc>
              <w:tcPr>
                <w:tcW w:w="1827" w:type="pct"/>
                <w:shd w:val="clear" w:color="auto" w:fill="auto"/>
                <w:noWrap/>
                <w:vAlign w:val="center"/>
                <w:hideMark/>
              </w:tcPr>
              <w:p w14:paraId="17592CDF" w14:textId="77777777" w:rsidR="00E53C94" w:rsidRPr="00E53C94" w:rsidRDefault="00E53C94" w:rsidP="00E53C94">
                <w:pPr>
                  <w:spacing w:after="0" w:line="240" w:lineRule="auto"/>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CONCESIONARIA VIAL ANDINA S A S</w:t>
                </w:r>
              </w:p>
            </w:tc>
            <w:tc>
              <w:tcPr>
                <w:tcW w:w="1020" w:type="pct"/>
                <w:shd w:val="clear" w:color="auto" w:fill="auto"/>
                <w:noWrap/>
                <w:vAlign w:val="center"/>
                <w:hideMark/>
              </w:tcPr>
              <w:p w14:paraId="531B23ED"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6.938.947.781.400</w:t>
                </w:r>
              </w:p>
            </w:tc>
            <w:tc>
              <w:tcPr>
                <w:tcW w:w="1076" w:type="pct"/>
                <w:shd w:val="clear" w:color="auto" w:fill="auto"/>
                <w:noWrap/>
                <w:vAlign w:val="center"/>
                <w:hideMark/>
              </w:tcPr>
              <w:p w14:paraId="533E2EC9"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6.112.519.391.428</w:t>
                </w:r>
              </w:p>
            </w:tc>
            <w:tc>
              <w:tcPr>
                <w:tcW w:w="1076" w:type="pct"/>
                <w:shd w:val="clear" w:color="auto" w:fill="auto"/>
                <w:noWrap/>
                <w:vAlign w:val="center"/>
                <w:hideMark/>
              </w:tcPr>
              <w:p w14:paraId="1395C03F"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826.428.389.972</w:t>
                </w:r>
              </w:p>
            </w:tc>
          </w:tr>
          <w:tr w:rsidR="00E53C94" w:rsidRPr="00E53C94" w14:paraId="69EA4FC4" w14:textId="77777777" w:rsidTr="00357A89">
            <w:trPr>
              <w:trHeight w:val="340"/>
            </w:trPr>
            <w:tc>
              <w:tcPr>
                <w:tcW w:w="1827" w:type="pct"/>
                <w:shd w:val="clear" w:color="auto" w:fill="auto"/>
                <w:noWrap/>
                <w:vAlign w:val="center"/>
                <w:hideMark/>
              </w:tcPr>
              <w:p w14:paraId="6A673A3D"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Propiedades, planta y equipo en concesión</w:t>
                </w:r>
              </w:p>
            </w:tc>
            <w:tc>
              <w:tcPr>
                <w:tcW w:w="1020" w:type="pct"/>
                <w:shd w:val="clear" w:color="auto" w:fill="auto"/>
                <w:noWrap/>
                <w:vAlign w:val="center"/>
                <w:hideMark/>
              </w:tcPr>
              <w:p w14:paraId="15323504"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12.093.013.677</w:t>
                </w:r>
              </w:p>
            </w:tc>
            <w:tc>
              <w:tcPr>
                <w:tcW w:w="1076" w:type="pct"/>
                <w:shd w:val="clear" w:color="auto" w:fill="auto"/>
                <w:noWrap/>
                <w:vAlign w:val="center"/>
                <w:hideMark/>
              </w:tcPr>
              <w:p w14:paraId="4228A1C9"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10.167.653.293</w:t>
                </w:r>
              </w:p>
            </w:tc>
            <w:tc>
              <w:tcPr>
                <w:tcW w:w="1076" w:type="pct"/>
                <w:shd w:val="clear" w:color="auto" w:fill="auto"/>
                <w:noWrap/>
                <w:vAlign w:val="center"/>
                <w:hideMark/>
              </w:tcPr>
              <w:p w14:paraId="2BD372DD"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1.925.360.384</w:t>
                </w:r>
              </w:p>
            </w:tc>
          </w:tr>
          <w:tr w:rsidR="00E53C94" w:rsidRPr="00E53C94" w14:paraId="134A448E" w14:textId="77777777" w:rsidTr="00357A89">
            <w:trPr>
              <w:trHeight w:val="340"/>
            </w:trPr>
            <w:tc>
              <w:tcPr>
                <w:tcW w:w="1827" w:type="pct"/>
                <w:shd w:val="clear" w:color="auto" w:fill="auto"/>
                <w:noWrap/>
                <w:vAlign w:val="center"/>
                <w:hideMark/>
              </w:tcPr>
              <w:p w14:paraId="5D02F6FB"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Red carretera en construcción</w:t>
                </w:r>
              </w:p>
            </w:tc>
            <w:tc>
              <w:tcPr>
                <w:tcW w:w="1020" w:type="pct"/>
                <w:shd w:val="clear" w:color="auto" w:fill="auto"/>
                <w:noWrap/>
                <w:vAlign w:val="center"/>
                <w:hideMark/>
              </w:tcPr>
              <w:p w14:paraId="55C9E0C9"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6.786.589.482.494</w:t>
                </w:r>
              </w:p>
            </w:tc>
            <w:tc>
              <w:tcPr>
                <w:tcW w:w="1076" w:type="pct"/>
                <w:shd w:val="clear" w:color="auto" w:fill="auto"/>
                <w:noWrap/>
                <w:vAlign w:val="center"/>
                <w:hideMark/>
              </w:tcPr>
              <w:p w14:paraId="3CC1648C"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2.732.996.209.786</w:t>
                </w:r>
              </w:p>
            </w:tc>
            <w:tc>
              <w:tcPr>
                <w:tcW w:w="1076" w:type="pct"/>
                <w:shd w:val="clear" w:color="auto" w:fill="auto"/>
                <w:noWrap/>
                <w:vAlign w:val="center"/>
                <w:hideMark/>
              </w:tcPr>
              <w:p w14:paraId="623B2D6B"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4.053.593.272.708</w:t>
                </w:r>
              </w:p>
            </w:tc>
          </w:tr>
          <w:tr w:rsidR="00E53C94" w:rsidRPr="00E53C94" w14:paraId="67C5BB88" w14:textId="77777777" w:rsidTr="00357A89">
            <w:trPr>
              <w:trHeight w:val="340"/>
            </w:trPr>
            <w:tc>
              <w:tcPr>
                <w:tcW w:w="1827" w:type="pct"/>
                <w:shd w:val="clear" w:color="auto" w:fill="auto"/>
                <w:noWrap/>
                <w:vAlign w:val="center"/>
                <w:hideMark/>
              </w:tcPr>
              <w:p w14:paraId="2334B788"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Red carretera en servicio</w:t>
                </w:r>
              </w:p>
            </w:tc>
            <w:tc>
              <w:tcPr>
                <w:tcW w:w="1020" w:type="pct"/>
                <w:shd w:val="clear" w:color="auto" w:fill="auto"/>
                <w:noWrap/>
                <w:vAlign w:val="center"/>
                <w:hideMark/>
              </w:tcPr>
              <w:p w14:paraId="38719BDF"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0</w:t>
                </w:r>
              </w:p>
            </w:tc>
            <w:tc>
              <w:tcPr>
                <w:tcW w:w="1076" w:type="pct"/>
                <w:shd w:val="clear" w:color="auto" w:fill="auto"/>
                <w:noWrap/>
                <w:vAlign w:val="center"/>
                <w:hideMark/>
              </w:tcPr>
              <w:p w14:paraId="79758E14"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3.353.416.170.554</w:t>
                </w:r>
              </w:p>
            </w:tc>
            <w:tc>
              <w:tcPr>
                <w:tcW w:w="1076" w:type="pct"/>
                <w:shd w:val="clear" w:color="auto" w:fill="auto"/>
                <w:noWrap/>
                <w:vAlign w:val="center"/>
                <w:hideMark/>
              </w:tcPr>
              <w:p w14:paraId="2DD88DD4"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-3.353.416.170.554</w:t>
                </w:r>
              </w:p>
            </w:tc>
          </w:tr>
          <w:tr w:rsidR="00E53C94" w:rsidRPr="00E53C94" w14:paraId="24E4D41E" w14:textId="77777777" w:rsidTr="00357A89">
            <w:trPr>
              <w:trHeight w:val="340"/>
            </w:trPr>
            <w:tc>
              <w:tcPr>
                <w:tcW w:w="1827" w:type="pct"/>
                <w:shd w:val="clear" w:color="auto" w:fill="auto"/>
                <w:noWrap/>
                <w:vAlign w:val="center"/>
                <w:hideMark/>
              </w:tcPr>
              <w:p w14:paraId="27B82F1E"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Terrenos en construcción</w:t>
                </w:r>
              </w:p>
            </w:tc>
            <w:tc>
              <w:tcPr>
                <w:tcW w:w="1020" w:type="pct"/>
                <w:shd w:val="clear" w:color="auto" w:fill="auto"/>
                <w:noWrap/>
                <w:vAlign w:val="center"/>
                <w:hideMark/>
              </w:tcPr>
              <w:p w14:paraId="5FF45C27"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140.265.285.229</w:t>
                </w:r>
              </w:p>
            </w:tc>
            <w:tc>
              <w:tcPr>
                <w:tcW w:w="1076" w:type="pct"/>
                <w:shd w:val="clear" w:color="auto" w:fill="auto"/>
                <w:noWrap/>
                <w:vAlign w:val="center"/>
                <w:hideMark/>
              </w:tcPr>
              <w:p w14:paraId="3C801E3B"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15.939.357.795</w:t>
                </w:r>
              </w:p>
            </w:tc>
            <w:tc>
              <w:tcPr>
                <w:tcW w:w="1076" w:type="pct"/>
                <w:shd w:val="clear" w:color="auto" w:fill="auto"/>
                <w:noWrap/>
                <w:vAlign w:val="center"/>
                <w:hideMark/>
              </w:tcPr>
              <w:p w14:paraId="1A14A403"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124.325.927.434</w:t>
                </w:r>
              </w:p>
            </w:tc>
          </w:tr>
          <w:tr w:rsidR="00E53C94" w:rsidRPr="00E53C94" w14:paraId="6A711C1E" w14:textId="77777777" w:rsidTr="00357A89">
            <w:trPr>
              <w:trHeight w:val="340"/>
            </w:trPr>
            <w:tc>
              <w:tcPr>
                <w:tcW w:w="1827" w:type="pct"/>
                <w:shd w:val="clear" w:color="auto" w:fill="auto"/>
                <w:vAlign w:val="center"/>
                <w:hideMark/>
              </w:tcPr>
              <w:p w14:paraId="79AA523F" w14:textId="77777777" w:rsidR="00E53C94" w:rsidRPr="00E53C94" w:rsidRDefault="00E53C94" w:rsidP="00E53C94">
                <w:pPr>
                  <w:spacing w:after="0" w:line="240" w:lineRule="auto"/>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CONCESIONARIA VIAL DE LOS ANDES S.A.S. COVIANDES S.A.S.</w:t>
                </w:r>
              </w:p>
            </w:tc>
            <w:tc>
              <w:tcPr>
                <w:tcW w:w="1020" w:type="pct"/>
                <w:shd w:val="clear" w:color="auto" w:fill="auto"/>
                <w:noWrap/>
                <w:vAlign w:val="center"/>
                <w:hideMark/>
              </w:tcPr>
              <w:p w14:paraId="16222271"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1.255.059.143</w:t>
                </w:r>
              </w:p>
            </w:tc>
            <w:tc>
              <w:tcPr>
                <w:tcW w:w="1076" w:type="pct"/>
                <w:shd w:val="clear" w:color="auto" w:fill="auto"/>
                <w:noWrap/>
                <w:vAlign w:val="center"/>
                <w:hideMark/>
              </w:tcPr>
              <w:p w14:paraId="368FFDBA"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110.737.578.372</w:t>
                </w:r>
              </w:p>
            </w:tc>
            <w:tc>
              <w:tcPr>
                <w:tcW w:w="1076" w:type="pct"/>
                <w:shd w:val="clear" w:color="auto" w:fill="auto"/>
                <w:noWrap/>
                <w:vAlign w:val="center"/>
                <w:hideMark/>
              </w:tcPr>
              <w:p w14:paraId="4D0596A5"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-109.482.519.229</w:t>
                </w:r>
              </w:p>
            </w:tc>
          </w:tr>
          <w:tr w:rsidR="00E53C94" w:rsidRPr="00E53C94" w14:paraId="562867C0" w14:textId="77777777" w:rsidTr="00357A89">
            <w:trPr>
              <w:trHeight w:val="340"/>
            </w:trPr>
            <w:tc>
              <w:tcPr>
                <w:tcW w:w="1827" w:type="pct"/>
                <w:shd w:val="clear" w:color="auto" w:fill="auto"/>
                <w:noWrap/>
                <w:vAlign w:val="center"/>
                <w:hideMark/>
              </w:tcPr>
              <w:p w14:paraId="1050A57C"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Terrenos en servicio</w:t>
                </w:r>
              </w:p>
            </w:tc>
            <w:tc>
              <w:tcPr>
                <w:tcW w:w="1020" w:type="pct"/>
                <w:shd w:val="clear" w:color="auto" w:fill="auto"/>
                <w:noWrap/>
                <w:vAlign w:val="center"/>
                <w:hideMark/>
              </w:tcPr>
              <w:p w14:paraId="00E93FD2"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1.255.059.143</w:t>
                </w:r>
              </w:p>
            </w:tc>
            <w:tc>
              <w:tcPr>
                <w:tcW w:w="1076" w:type="pct"/>
                <w:shd w:val="clear" w:color="auto" w:fill="auto"/>
                <w:noWrap/>
                <w:vAlign w:val="center"/>
                <w:hideMark/>
              </w:tcPr>
              <w:p w14:paraId="0F42107E"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110.737.578.372</w:t>
                </w:r>
              </w:p>
            </w:tc>
            <w:tc>
              <w:tcPr>
                <w:tcW w:w="1076" w:type="pct"/>
                <w:shd w:val="clear" w:color="auto" w:fill="auto"/>
                <w:noWrap/>
                <w:vAlign w:val="center"/>
                <w:hideMark/>
              </w:tcPr>
              <w:p w14:paraId="747F63E6"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-109.482.519.229</w:t>
                </w:r>
              </w:p>
            </w:tc>
          </w:tr>
          <w:tr w:rsidR="00E53C94" w:rsidRPr="00E53C94" w14:paraId="6DF6D268" w14:textId="77777777" w:rsidTr="00357A89">
            <w:trPr>
              <w:trHeight w:val="340"/>
            </w:trPr>
            <w:tc>
              <w:tcPr>
                <w:tcW w:w="1827" w:type="pct"/>
                <w:shd w:val="clear" w:color="auto" w:fill="auto"/>
                <w:vAlign w:val="center"/>
                <w:hideMark/>
              </w:tcPr>
              <w:p w14:paraId="67211647" w14:textId="77777777" w:rsidR="00E53C94" w:rsidRPr="00E53C94" w:rsidRDefault="00E53C94" w:rsidP="00E53C94">
                <w:pPr>
                  <w:spacing w:after="0" w:line="240" w:lineRule="auto"/>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CONCESIONARIA VIAL DEL ORIENTE S A S</w:t>
                </w:r>
              </w:p>
            </w:tc>
            <w:tc>
              <w:tcPr>
                <w:tcW w:w="1020" w:type="pct"/>
                <w:shd w:val="clear" w:color="auto" w:fill="auto"/>
                <w:noWrap/>
                <w:vAlign w:val="center"/>
                <w:hideMark/>
              </w:tcPr>
              <w:p w14:paraId="7B608059"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2.264.680.493.475</w:t>
                </w:r>
              </w:p>
            </w:tc>
            <w:tc>
              <w:tcPr>
                <w:tcW w:w="1076" w:type="pct"/>
                <w:shd w:val="clear" w:color="auto" w:fill="auto"/>
                <w:noWrap/>
                <w:vAlign w:val="center"/>
                <w:hideMark/>
              </w:tcPr>
              <w:p w14:paraId="4028DF60"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2.048.701.213.475</w:t>
                </w:r>
              </w:p>
            </w:tc>
            <w:tc>
              <w:tcPr>
                <w:tcW w:w="1076" w:type="pct"/>
                <w:shd w:val="clear" w:color="auto" w:fill="auto"/>
                <w:noWrap/>
                <w:vAlign w:val="center"/>
                <w:hideMark/>
              </w:tcPr>
              <w:p w14:paraId="7B0E4841"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215.979.280.000</w:t>
                </w:r>
              </w:p>
            </w:tc>
          </w:tr>
          <w:tr w:rsidR="00E53C94" w:rsidRPr="00E53C94" w14:paraId="049E92AC" w14:textId="77777777" w:rsidTr="00357A89">
            <w:trPr>
              <w:trHeight w:val="340"/>
            </w:trPr>
            <w:tc>
              <w:tcPr>
                <w:tcW w:w="1827" w:type="pct"/>
                <w:shd w:val="clear" w:color="auto" w:fill="auto"/>
                <w:noWrap/>
                <w:vAlign w:val="center"/>
                <w:hideMark/>
              </w:tcPr>
              <w:p w14:paraId="30F2D618"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Activos intangibles en concesión</w:t>
                </w:r>
              </w:p>
            </w:tc>
            <w:tc>
              <w:tcPr>
                <w:tcW w:w="1020" w:type="pct"/>
                <w:shd w:val="clear" w:color="auto" w:fill="auto"/>
                <w:noWrap/>
                <w:vAlign w:val="center"/>
                <w:hideMark/>
              </w:tcPr>
              <w:p w14:paraId="6F0C295D"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139.338.395</w:t>
                </w:r>
              </w:p>
            </w:tc>
            <w:tc>
              <w:tcPr>
                <w:tcW w:w="1076" w:type="pct"/>
                <w:shd w:val="clear" w:color="auto" w:fill="auto"/>
                <w:noWrap/>
                <w:vAlign w:val="center"/>
                <w:hideMark/>
              </w:tcPr>
              <w:p w14:paraId="409BBC09"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139.338.395</w:t>
                </w:r>
              </w:p>
            </w:tc>
            <w:tc>
              <w:tcPr>
                <w:tcW w:w="1076" w:type="pct"/>
                <w:shd w:val="clear" w:color="auto" w:fill="auto"/>
                <w:noWrap/>
                <w:vAlign w:val="center"/>
                <w:hideMark/>
              </w:tcPr>
              <w:p w14:paraId="31898ACC"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0</w:t>
                </w:r>
              </w:p>
            </w:tc>
          </w:tr>
          <w:tr w:rsidR="00E53C94" w:rsidRPr="00E53C94" w14:paraId="13B84A3A" w14:textId="77777777" w:rsidTr="00357A89">
            <w:trPr>
              <w:trHeight w:val="340"/>
            </w:trPr>
            <w:tc>
              <w:tcPr>
                <w:tcW w:w="1827" w:type="pct"/>
                <w:shd w:val="clear" w:color="auto" w:fill="auto"/>
                <w:noWrap/>
                <w:vAlign w:val="center"/>
                <w:hideMark/>
              </w:tcPr>
              <w:p w14:paraId="526D8CCD"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Propiedades, planta y equipo en concesión</w:t>
                </w:r>
              </w:p>
            </w:tc>
            <w:tc>
              <w:tcPr>
                <w:tcW w:w="1020" w:type="pct"/>
                <w:shd w:val="clear" w:color="auto" w:fill="auto"/>
                <w:noWrap/>
                <w:vAlign w:val="center"/>
                <w:hideMark/>
              </w:tcPr>
              <w:p w14:paraId="4FBF76C7"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31.083.188.886</w:t>
                </w:r>
              </w:p>
            </w:tc>
            <w:tc>
              <w:tcPr>
                <w:tcW w:w="1076" w:type="pct"/>
                <w:shd w:val="clear" w:color="auto" w:fill="auto"/>
                <w:noWrap/>
                <w:vAlign w:val="center"/>
                <w:hideMark/>
              </w:tcPr>
              <w:p w14:paraId="7F3C961E"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24.025.743.746</w:t>
                </w:r>
              </w:p>
            </w:tc>
            <w:tc>
              <w:tcPr>
                <w:tcW w:w="1076" w:type="pct"/>
                <w:shd w:val="clear" w:color="auto" w:fill="auto"/>
                <w:noWrap/>
                <w:vAlign w:val="center"/>
                <w:hideMark/>
              </w:tcPr>
              <w:p w14:paraId="5257F755"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7.057.445.140</w:t>
                </w:r>
              </w:p>
            </w:tc>
          </w:tr>
          <w:tr w:rsidR="00E53C94" w:rsidRPr="00E53C94" w14:paraId="762099B4" w14:textId="77777777" w:rsidTr="00357A89">
            <w:trPr>
              <w:trHeight w:val="340"/>
            </w:trPr>
            <w:tc>
              <w:tcPr>
                <w:tcW w:w="1827" w:type="pct"/>
                <w:shd w:val="clear" w:color="auto" w:fill="auto"/>
                <w:noWrap/>
                <w:vAlign w:val="center"/>
                <w:hideMark/>
              </w:tcPr>
              <w:p w14:paraId="20045E73"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Red carretera en construcción</w:t>
                </w:r>
              </w:p>
            </w:tc>
            <w:tc>
              <w:tcPr>
                <w:tcW w:w="1020" w:type="pct"/>
                <w:shd w:val="clear" w:color="auto" w:fill="auto"/>
                <w:noWrap/>
                <w:vAlign w:val="center"/>
                <w:hideMark/>
              </w:tcPr>
              <w:p w14:paraId="62A83146"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2.117.140.677.586</w:t>
                </w:r>
              </w:p>
            </w:tc>
            <w:tc>
              <w:tcPr>
                <w:tcW w:w="1076" w:type="pct"/>
                <w:shd w:val="clear" w:color="auto" w:fill="auto"/>
                <w:noWrap/>
                <w:vAlign w:val="center"/>
                <w:hideMark/>
              </w:tcPr>
              <w:p w14:paraId="69773FEA"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1.955.050.769.999</w:t>
                </w:r>
              </w:p>
            </w:tc>
            <w:tc>
              <w:tcPr>
                <w:tcW w:w="1076" w:type="pct"/>
                <w:shd w:val="clear" w:color="auto" w:fill="auto"/>
                <w:noWrap/>
                <w:vAlign w:val="center"/>
                <w:hideMark/>
              </w:tcPr>
              <w:p w14:paraId="1EDBED05"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162.089.907.587</w:t>
                </w:r>
              </w:p>
            </w:tc>
          </w:tr>
          <w:tr w:rsidR="00E53C94" w:rsidRPr="00E53C94" w14:paraId="294C02E5" w14:textId="77777777" w:rsidTr="00357A89">
            <w:trPr>
              <w:trHeight w:val="340"/>
            </w:trPr>
            <w:tc>
              <w:tcPr>
                <w:tcW w:w="1827" w:type="pct"/>
                <w:shd w:val="clear" w:color="auto" w:fill="auto"/>
                <w:noWrap/>
                <w:vAlign w:val="center"/>
                <w:hideMark/>
              </w:tcPr>
              <w:p w14:paraId="5BB573C4"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Terrenos en construcción</w:t>
                </w:r>
              </w:p>
            </w:tc>
            <w:tc>
              <w:tcPr>
                <w:tcW w:w="1020" w:type="pct"/>
                <w:shd w:val="clear" w:color="auto" w:fill="auto"/>
                <w:noWrap/>
                <w:vAlign w:val="center"/>
                <w:hideMark/>
              </w:tcPr>
              <w:p w14:paraId="5B271D43"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116.317.288.608</w:t>
                </w:r>
              </w:p>
            </w:tc>
            <w:tc>
              <w:tcPr>
                <w:tcW w:w="1076" w:type="pct"/>
                <w:shd w:val="clear" w:color="auto" w:fill="auto"/>
                <w:noWrap/>
                <w:vAlign w:val="center"/>
                <w:hideMark/>
              </w:tcPr>
              <w:p w14:paraId="069A853C"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69.485.361.335</w:t>
                </w:r>
              </w:p>
            </w:tc>
            <w:tc>
              <w:tcPr>
                <w:tcW w:w="1076" w:type="pct"/>
                <w:shd w:val="clear" w:color="auto" w:fill="auto"/>
                <w:noWrap/>
                <w:vAlign w:val="center"/>
                <w:hideMark/>
              </w:tcPr>
              <w:p w14:paraId="70F605DE"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46.831.927.273</w:t>
                </w:r>
              </w:p>
            </w:tc>
          </w:tr>
          <w:tr w:rsidR="00E53C94" w:rsidRPr="00E53C94" w14:paraId="2D35EE3D" w14:textId="77777777" w:rsidTr="00357A89">
            <w:trPr>
              <w:trHeight w:val="340"/>
            </w:trPr>
            <w:tc>
              <w:tcPr>
                <w:tcW w:w="1827" w:type="pct"/>
                <w:shd w:val="clear" w:color="auto" w:fill="auto"/>
                <w:noWrap/>
                <w:vAlign w:val="center"/>
                <w:hideMark/>
              </w:tcPr>
              <w:p w14:paraId="6417DEBC" w14:textId="77777777" w:rsidR="00E53C94" w:rsidRPr="00E53C94" w:rsidRDefault="00E53C94" w:rsidP="00E53C94">
                <w:pPr>
                  <w:spacing w:after="0" w:line="240" w:lineRule="auto"/>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CONCESIONARIA VIAL DEL PACIFICO S A S</w:t>
                </w:r>
              </w:p>
            </w:tc>
            <w:tc>
              <w:tcPr>
                <w:tcW w:w="1020" w:type="pct"/>
                <w:shd w:val="clear" w:color="auto" w:fill="auto"/>
                <w:noWrap/>
                <w:vAlign w:val="center"/>
                <w:hideMark/>
              </w:tcPr>
              <w:p w14:paraId="02C8C072"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2.430.150.840.659</w:t>
                </w:r>
              </w:p>
            </w:tc>
            <w:tc>
              <w:tcPr>
                <w:tcW w:w="1076" w:type="pct"/>
                <w:shd w:val="clear" w:color="auto" w:fill="auto"/>
                <w:noWrap/>
                <w:vAlign w:val="center"/>
                <w:hideMark/>
              </w:tcPr>
              <w:p w14:paraId="6A8B8956"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2.132.287.161.060</w:t>
                </w:r>
              </w:p>
            </w:tc>
            <w:tc>
              <w:tcPr>
                <w:tcW w:w="1076" w:type="pct"/>
                <w:shd w:val="clear" w:color="auto" w:fill="auto"/>
                <w:noWrap/>
                <w:vAlign w:val="center"/>
                <w:hideMark/>
              </w:tcPr>
              <w:p w14:paraId="0620A3BB"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297.863.679.599</w:t>
                </w:r>
              </w:p>
            </w:tc>
          </w:tr>
          <w:tr w:rsidR="00E53C94" w:rsidRPr="00E53C94" w14:paraId="31A10DED" w14:textId="77777777" w:rsidTr="00357A89">
            <w:trPr>
              <w:trHeight w:val="340"/>
            </w:trPr>
            <w:tc>
              <w:tcPr>
                <w:tcW w:w="1827" w:type="pct"/>
                <w:shd w:val="clear" w:color="auto" w:fill="auto"/>
                <w:noWrap/>
                <w:vAlign w:val="center"/>
                <w:hideMark/>
              </w:tcPr>
              <w:p w14:paraId="09016192"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lastRenderedPageBreak/>
                  <w:t>Propiedades, planta y equipo en concesión</w:t>
                </w:r>
              </w:p>
            </w:tc>
            <w:tc>
              <w:tcPr>
                <w:tcW w:w="1020" w:type="pct"/>
                <w:shd w:val="clear" w:color="auto" w:fill="auto"/>
                <w:noWrap/>
                <w:vAlign w:val="center"/>
                <w:hideMark/>
              </w:tcPr>
              <w:p w14:paraId="1508D57D"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2.646.691.883</w:t>
                </w:r>
              </w:p>
            </w:tc>
            <w:tc>
              <w:tcPr>
                <w:tcW w:w="1076" w:type="pct"/>
                <w:shd w:val="clear" w:color="auto" w:fill="auto"/>
                <w:noWrap/>
                <w:vAlign w:val="center"/>
                <w:hideMark/>
              </w:tcPr>
              <w:p w14:paraId="0EF2DFC6"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2.646.691.883</w:t>
                </w:r>
              </w:p>
            </w:tc>
            <w:tc>
              <w:tcPr>
                <w:tcW w:w="1076" w:type="pct"/>
                <w:shd w:val="clear" w:color="auto" w:fill="auto"/>
                <w:noWrap/>
                <w:vAlign w:val="center"/>
                <w:hideMark/>
              </w:tcPr>
              <w:p w14:paraId="167F6DB9"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0</w:t>
                </w:r>
              </w:p>
            </w:tc>
          </w:tr>
          <w:tr w:rsidR="00E53C94" w:rsidRPr="00E53C94" w14:paraId="777D7BB9" w14:textId="77777777" w:rsidTr="00357A89">
            <w:trPr>
              <w:trHeight w:val="340"/>
            </w:trPr>
            <w:tc>
              <w:tcPr>
                <w:tcW w:w="1827" w:type="pct"/>
                <w:shd w:val="clear" w:color="auto" w:fill="auto"/>
                <w:noWrap/>
                <w:vAlign w:val="center"/>
                <w:hideMark/>
              </w:tcPr>
              <w:p w14:paraId="0AA00E06"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Red carretera en construcción</w:t>
                </w:r>
              </w:p>
            </w:tc>
            <w:tc>
              <w:tcPr>
                <w:tcW w:w="1020" w:type="pct"/>
                <w:shd w:val="clear" w:color="auto" w:fill="auto"/>
                <w:noWrap/>
                <w:vAlign w:val="center"/>
                <w:hideMark/>
              </w:tcPr>
              <w:p w14:paraId="3946B640"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2.363.857.901.198</w:t>
                </w:r>
              </w:p>
            </w:tc>
            <w:tc>
              <w:tcPr>
                <w:tcW w:w="1076" w:type="pct"/>
                <w:shd w:val="clear" w:color="auto" w:fill="auto"/>
                <w:noWrap/>
                <w:vAlign w:val="center"/>
                <w:hideMark/>
              </w:tcPr>
              <w:p w14:paraId="68CA8652"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2.079.154.274.359</w:t>
                </w:r>
              </w:p>
            </w:tc>
            <w:tc>
              <w:tcPr>
                <w:tcW w:w="1076" w:type="pct"/>
                <w:shd w:val="clear" w:color="auto" w:fill="auto"/>
                <w:noWrap/>
                <w:vAlign w:val="center"/>
                <w:hideMark/>
              </w:tcPr>
              <w:p w14:paraId="3C8FE629"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284.703.626.839</w:t>
                </w:r>
              </w:p>
            </w:tc>
          </w:tr>
          <w:tr w:rsidR="00E53C94" w:rsidRPr="00E53C94" w14:paraId="64584B7E" w14:textId="77777777" w:rsidTr="00357A89">
            <w:trPr>
              <w:trHeight w:val="340"/>
            </w:trPr>
            <w:tc>
              <w:tcPr>
                <w:tcW w:w="1827" w:type="pct"/>
                <w:shd w:val="clear" w:color="auto" w:fill="auto"/>
                <w:noWrap/>
                <w:vAlign w:val="center"/>
                <w:hideMark/>
              </w:tcPr>
              <w:p w14:paraId="24005754"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Terrenos en construcción</w:t>
                </w:r>
              </w:p>
            </w:tc>
            <w:tc>
              <w:tcPr>
                <w:tcW w:w="1020" w:type="pct"/>
                <w:shd w:val="clear" w:color="auto" w:fill="auto"/>
                <w:noWrap/>
                <w:vAlign w:val="center"/>
                <w:hideMark/>
              </w:tcPr>
              <w:p w14:paraId="3C22F361"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63.646.247.578</w:t>
                </w:r>
              </w:p>
            </w:tc>
            <w:tc>
              <w:tcPr>
                <w:tcW w:w="1076" w:type="pct"/>
                <w:shd w:val="clear" w:color="auto" w:fill="auto"/>
                <w:noWrap/>
                <w:vAlign w:val="center"/>
                <w:hideMark/>
              </w:tcPr>
              <w:p w14:paraId="23DF9D1E"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50.486.194.818</w:t>
                </w:r>
              </w:p>
            </w:tc>
            <w:tc>
              <w:tcPr>
                <w:tcW w:w="1076" w:type="pct"/>
                <w:shd w:val="clear" w:color="auto" w:fill="auto"/>
                <w:noWrap/>
                <w:vAlign w:val="center"/>
                <w:hideMark/>
              </w:tcPr>
              <w:p w14:paraId="549B494F"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13.160.052.760</w:t>
                </w:r>
              </w:p>
            </w:tc>
          </w:tr>
          <w:tr w:rsidR="00E53C94" w:rsidRPr="00E53C94" w14:paraId="552D7159" w14:textId="77777777" w:rsidTr="00357A89">
            <w:trPr>
              <w:trHeight w:val="340"/>
            </w:trPr>
            <w:tc>
              <w:tcPr>
                <w:tcW w:w="1827" w:type="pct"/>
                <w:shd w:val="clear" w:color="auto" w:fill="auto"/>
                <w:noWrap/>
                <w:vAlign w:val="center"/>
                <w:hideMark/>
              </w:tcPr>
              <w:p w14:paraId="2A54FAEA" w14:textId="77777777" w:rsidR="00E53C94" w:rsidRPr="00E53C94" w:rsidRDefault="00E53C94" w:rsidP="00E53C94">
                <w:pPr>
                  <w:spacing w:after="0" w:line="240" w:lineRule="auto"/>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CONCESIONARIA VIAL UNIÓN DEL SUR S.A.S.</w:t>
                </w:r>
              </w:p>
            </w:tc>
            <w:tc>
              <w:tcPr>
                <w:tcW w:w="1020" w:type="pct"/>
                <w:shd w:val="clear" w:color="auto" w:fill="auto"/>
                <w:noWrap/>
                <w:vAlign w:val="center"/>
                <w:hideMark/>
              </w:tcPr>
              <w:p w14:paraId="192AAA31"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2.366.174.920.237</w:t>
                </w:r>
              </w:p>
            </w:tc>
            <w:tc>
              <w:tcPr>
                <w:tcW w:w="1076" w:type="pct"/>
                <w:shd w:val="clear" w:color="auto" w:fill="auto"/>
                <w:noWrap/>
                <w:vAlign w:val="center"/>
                <w:hideMark/>
              </w:tcPr>
              <w:p w14:paraId="14CFE2B5"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2.356.071.141.647</w:t>
                </w:r>
              </w:p>
            </w:tc>
            <w:tc>
              <w:tcPr>
                <w:tcW w:w="1076" w:type="pct"/>
                <w:shd w:val="clear" w:color="auto" w:fill="auto"/>
                <w:noWrap/>
                <w:vAlign w:val="center"/>
                <w:hideMark/>
              </w:tcPr>
              <w:p w14:paraId="0639097B"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10.103.778.590</w:t>
                </w:r>
              </w:p>
            </w:tc>
          </w:tr>
          <w:tr w:rsidR="00E53C94" w:rsidRPr="00E53C94" w14:paraId="0D581D3E" w14:textId="77777777" w:rsidTr="00357A89">
            <w:trPr>
              <w:trHeight w:val="340"/>
            </w:trPr>
            <w:tc>
              <w:tcPr>
                <w:tcW w:w="1827" w:type="pct"/>
                <w:shd w:val="clear" w:color="auto" w:fill="auto"/>
                <w:noWrap/>
                <w:vAlign w:val="center"/>
                <w:hideMark/>
              </w:tcPr>
              <w:p w14:paraId="4B624FFA"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Activos intangibles en concesión</w:t>
                </w:r>
              </w:p>
            </w:tc>
            <w:tc>
              <w:tcPr>
                <w:tcW w:w="1020" w:type="pct"/>
                <w:shd w:val="clear" w:color="auto" w:fill="auto"/>
                <w:noWrap/>
                <w:vAlign w:val="center"/>
                <w:hideMark/>
              </w:tcPr>
              <w:p w14:paraId="15A31233"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3.617.600</w:t>
                </w:r>
              </w:p>
            </w:tc>
            <w:tc>
              <w:tcPr>
                <w:tcW w:w="1076" w:type="pct"/>
                <w:shd w:val="clear" w:color="auto" w:fill="auto"/>
                <w:noWrap/>
                <w:vAlign w:val="center"/>
                <w:hideMark/>
              </w:tcPr>
              <w:p w14:paraId="2BFDE2FB"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3.617.600</w:t>
                </w:r>
              </w:p>
            </w:tc>
            <w:tc>
              <w:tcPr>
                <w:tcW w:w="1076" w:type="pct"/>
                <w:shd w:val="clear" w:color="auto" w:fill="auto"/>
                <w:noWrap/>
                <w:vAlign w:val="center"/>
                <w:hideMark/>
              </w:tcPr>
              <w:p w14:paraId="45F9705B"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0</w:t>
                </w:r>
              </w:p>
            </w:tc>
          </w:tr>
          <w:tr w:rsidR="00E53C94" w:rsidRPr="00E53C94" w14:paraId="47CDCE7D" w14:textId="77777777" w:rsidTr="00357A89">
            <w:trPr>
              <w:trHeight w:val="340"/>
            </w:trPr>
            <w:tc>
              <w:tcPr>
                <w:tcW w:w="1827" w:type="pct"/>
                <w:shd w:val="clear" w:color="auto" w:fill="auto"/>
                <w:noWrap/>
                <w:vAlign w:val="center"/>
                <w:hideMark/>
              </w:tcPr>
              <w:p w14:paraId="08668042"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Propiedades, planta y equipo en concesión</w:t>
                </w:r>
              </w:p>
            </w:tc>
            <w:tc>
              <w:tcPr>
                <w:tcW w:w="1020" w:type="pct"/>
                <w:shd w:val="clear" w:color="auto" w:fill="auto"/>
                <w:noWrap/>
                <w:vAlign w:val="center"/>
                <w:hideMark/>
              </w:tcPr>
              <w:p w14:paraId="5F53284F"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9.277.950.267</w:t>
                </w:r>
              </w:p>
            </w:tc>
            <w:tc>
              <w:tcPr>
                <w:tcW w:w="1076" w:type="pct"/>
                <w:shd w:val="clear" w:color="auto" w:fill="auto"/>
                <w:noWrap/>
                <w:vAlign w:val="center"/>
                <w:hideMark/>
              </w:tcPr>
              <w:p w14:paraId="143E51B8"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9.277.950.267</w:t>
                </w:r>
              </w:p>
            </w:tc>
            <w:tc>
              <w:tcPr>
                <w:tcW w:w="1076" w:type="pct"/>
                <w:shd w:val="clear" w:color="auto" w:fill="auto"/>
                <w:noWrap/>
                <w:vAlign w:val="center"/>
                <w:hideMark/>
              </w:tcPr>
              <w:p w14:paraId="35D1AC5A"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0</w:t>
                </w:r>
              </w:p>
            </w:tc>
          </w:tr>
          <w:tr w:rsidR="00E53C94" w:rsidRPr="00E53C94" w14:paraId="1A105CE4" w14:textId="77777777" w:rsidTr="00357A89">
            <w:trPr>
              <w:trHeight w:val="340"/>
            </w:trPr>
            <w:tc>
              <w:tcPr>
                <w:tcW w:w="1827" w:type="pct"/>
                <w:shd w:val="clear" w:color="auto" w:fill="auto"/>
                <w:noWrap/>
                <w:vAlign w:val="center"/>
                <w:hideMark/>
              </w:tcPr>
              <w:p w14:paraId="3D776A6D"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Red carretera en construcción</w:t>
                </w:r>
              </w:p>
            </w:tc>
            <w:tc>
              <w:tcPr>
                <w:tcW w:w="1020" w:type="pct"/>
                <w:shd w:val="clear" w:color="auto" w:fill="auto"/>
                <w:noWrap/>
                <w:vAlign w:val="center"/>
                <w:hideMark/>
              </w:tcPr>
              <w:p w14:paraId="293AA959"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2.177.122.654.542</w:t>
                </w:r>
              </w:p>
            </w:tc>
            <w:tc>
              <w:tcPr>
                <w:tcW w:w="1076" w:type="pct"/>
                <w:shd w:val="clear" w:color="auto" w:fill="auto"/>
                <w:noWrap/>
                <w:vAlign w:val="center"/>
                <w:hideMark/>
              </w:tcPr>
              <w:p w14:paraId="4A7F7554"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2.186.894.226.801</w:t>
                </w:r>
              </w:p>
            </w:tc>
            <w:tc>
              <w:tcPr>
                <w:tcW w:w="1076" w:type="pct"/>
                <w:shd w:val="clear" w:color="auto" w:fill="auto"/>
                <w:noWrap/>
                <w:vAlign w:val="center"/>
                <w:hideMark/>
              </w:tcPr>
              <w:p w14:paraId="16C4E19F"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-9.771.572.259</w:t>
                </w:r>
              </w:p>
            </w:tc>
          </w:tr>
          <w:tr w:rsidR="00E53C94" w:rsidRPr="00E53C94" w14:paraId="5C2325CE" w14:textId="77777777" w:rsidTr="00357A89">
            <w:trPr>
              <w:trHeight w:val="340"/>
            </w:trPr>
            <w:tc>
              <w:tcPr>
                <w:tcW w:w="1827" w:type="pct"/>
                <w:shd w:val="clear" w:color="auto" w:fill="auto"/>
                <w:noWrap/>
                <w:vAlign w:val="center"/>
                <w:hideMark/>
              </w:tcPr>
              <w:p w14:paraId="00C85F4A"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Terrenos en construcción</w:t>
                </w:r>
              </w:p>
            </w:tc>
            <w:tc>
              <w:tcPr>
                <w:tcW w:w="1020" w:type="pct"/>
                <w:shd w:val="clear" w:color="auto" w:fill="auto"/>
                <w:noWrap/>
                <w:vAlign w:val="center"/>
                <w:hideMark/>
              </w:tcPr>
              <w:p w14:paraId="21FC3FCC"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179.770.697.828</w:t>
                </w:r>
              </w:p>
            </w:tc>
            <w:tc>
              <w:tcPr>
                <w:tcW w:w="1076" w:type="pct"/>
                <w:shd w:val="clear" w:color="auto" w:fill="auto"/>
                <w:noWrap/>
                <w:vAlign w:val="center"/>
                <w:hideMark/>
              </w:tcPr>
              <w:p w14:paraId="65284B80"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159.895.346.979</w:t>
                </w:r>
              </w:p>
            </w:tc>
            <w:tc>
              <w:tcPr>
                <w:tcW w:w="1076" w:type="pct"/>
                <w:shd w:val="clear" w:color="auto" w:fill="auto"/>
                <w:noWrap/>
                <w:vAlign w:val="center"/>
                <w:hideMark/>
              </w:tcPr>
              <w:p w14:paraId="55E56366"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19.875.350.849</w:t>
                </w:r>
              </w:p>
            </w:tc>
          </w:tr>
          <w:tr w:rsidR="00E53C94" w:rsidRPr="00E53C94" w14:paraId="2708A822" w14:textId="77777777" w:rsidTr="00357A89">
            <w:trPr>
              <w:trHeight w:val="340"/>
            </w:trPr>
            <w:tc>
              <w:tcPr>
                <w:tcW w:w="1827" w:type="pct"/>
                <w:shd w:val="clear" w:color="auto" w:fill="auto"/>
                <w:noWrap/>
                <w:vAlign w:val="center"/>
                <w:hideMark/>
              </w:tcPr>
              <w:p w14:paraId="4B6E434D" w14:textId="77777777" w:rsidR="00E53C94" w:rsidRPr="00E53C94" w:rsidRDefault="00E53C94" w:rsidP="00E53C94">
                <w:pPr>
                  <w:spacing w:after="0" w:line="240" w:lineRule="auto"/>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CONCESIONES CCFC S.A.</w:t>
                </w:r>
              </w:p>
            </w:tc>
            <w:tc>
              <w:tcPr>
                <w:tcW w:w="1020" w:type="pct"/>
                <w:shd w:val="clear" w:color="auto" w:fill="auto"/>
                <w:noWrap/>
                <w:vAlign w:val="center"/>
                <w:hideMark/>
              </w:tcPr>
              <w:p w14:paraId="6018B74A"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279.609.642.375</w:t>
                </w:r>
              </w:p>
            </w:tc>
            <w:tc>
              <w:tcPr>
                <w:tcW w:w="1076" w:type="pct"/>
                <w:shd w:val="clear" w:color="auto" w:fill="auto"/>
                <w:noWrap/>
                <w:vAlign w:val="center"/>
                <w:hideMark/>
              </w:tcPr>
              <w:p w14:paraId="2F3C7550"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276.455.098.887</w:t>
                </w:r>
              </w:p>
            </w:tc>
            <w:tc>
              <w:tcPr>
                <w:tcW w:w="1076" w:type="pct"/>
                <w:shd w:val="clear" w:color="auto" w:fill="auto"/>
                <w:noWrap/>
                <w:vAlign w:val="center"/>
                <w:hideMark/>
              </w:tcPr>
              <w:p w14:paraId="3D6D5953"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3.154.543.488</w:t>
                </w:r>
              </w:p>
            </w:tc>
          </w:tr>
          <w:tr w:rsidR="00E53C94" w:rsidRPr="00E53C94" w14:paraId="647F507A" w14:textId="77777777" w:rsidTr="00357A89">
            <w:trPr>
              <w:trHeight w:val="340"/>
            </w:trPr>
            <w:tc>
              <w:tcPr>
                <w:tcW w:w="1827" w:type="pct"/>
                <w:shd w:val="clear" w:color="auto" w:fill="auto"/>
                <w:noWrap/>
                <w:vAlign w:val="center"/>
                <w:hideMark/>
              </w:tcPr>
              <w:p w14:paraId="1226F82C"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Activos intangibles en concesión</w:t>
                </w:r>
              </w:p>
            </w:tc>
            <w:tc>
              <w:tcPr>
                <w:tcW w:w="1020" w:type="pct"/>
                <w:shd w:val="clear" w:color="auto" w:fill="auto"/>
                <w:noWrap/>
                <w:vAlign w:val="center"/>
                <w:hideMark/>
              </w:tcPr>
              <w:p w14:paraId="7C0B5EF6"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1.622.530.893</w:t>
                </w:r>
              </w:p>
            </w:tc>
            <w:tc>
              <w:tcPr>
                <w:tcW w:w="1076" w:type="pct"/>
                <w:shd w:val="clear" w:color="auto" w:fill="auto"/>
                <w:noWrap/>
                <w:vAlign w:val="center"/>
                <w:hideMark/>
              </w:tcPr>
              <w:p w14:paraId="5B46FF4C"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1.266.948.995</w:t>
                </w:r>
              </w:p>
            </w:tc>
            <w:tc>
              <w:tcPr>
                <w:tcW w:w="1076" w:type="pct"/>
                <w:shd w:val="clear" w:color="auto" w:fill="auto"/>
                <w:noWrap/>
                <w:vAlign w:val="center"/>
                <w:hideMark/>
              </w:tcPr>
              <w:p w14:paraId="4DBCF13B"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355.581.898</w:t>
                </w:r>
              </w:p>
            </w:tc>
          </w:tr>
          <w:tr w:rsidR="00E53C94" w:rsidRPr="00E53C94" w14:paraId="2EFBFE73" w14:textId="77777777" w:rsidTr="00357A89">
            <w:trPr>
              <w:trHeight w:val="340"/>
            </w:trPr>
            <w:tc>
              <w:tcPr>
                <w:tcW w:w="1827" w:type="pct"/>
                <w:shd w:val="clear" w:color="auto" w:fill="auto"/>
                <w:noWrap/>
                <w:vAlign w:val="center"/>
                <w:hideMark/>
              </w:tcPr>
              <w:p w14:paraId="033F55AE"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Propiedades, planta y equipo en concesión</w:t>
                </w:r>
              </w:p>
            </w:tc>
            <w:tc>
              <w:tcPr>
                <w:tcW w:w="1020" w:type="pct"/>
                <w:shd w:val="clear" w:color="auto" w:fill="auto"/>
                <w:noWrap/>
                <w:vAlign w:val="center"/>
                <w:hideMark/>
              </w:tcPr>
              <w:p w14:paraId="2FC6A344"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3.574.519.871</w:t>
                </w:r>
              </w:p>
            </w:tc>
            <w:tc>
              <w:tcPr>
                <w:tcW w:w="1076" w:type="pct"/>
                <w:shd w:val="clear" w:color="auto" w:fill="auto"/>
                <w:noWrap/>
                <w:vAlign w:val="center"/>
                <w:hideMark/>
              </w:tcPr>
              <w:p w14:paraId="7272443D"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1.911.070.000</w:t>
                </w:r>
              </w:p>
            </w:tc>
            <w:tc>
              <w:tcPr>
                <w:tcW w:w="1076" w:type="pct"/>
                <w:shd w:val="clear" w:color="auto" w:fill="auto"/>
                <w:noWrap/>
                <w:vAlign w:val="center"/>
                <w:hideMark/>
              </w:tcPr>
              <w:p w14:paraId="24B0D584"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1.663.449.871</w:t>
                </w:r>
              </w:p>
            </w:tc>
          </w:tr>
          <w:tr w:rsidR="00E53C94" w:rsidRPr="00E53C94" w14:paraId="7886765D" w14:textId="77777777" w:rsidTr="00357A89">
            <w:trPr>
              <w:trHeight w:val="340"/>
            </w:trPr>
            <w:tc>
              <w:tcPr>
                <w:tcW w:w="1827" w:type="pct"/>
                <w:shd w:val="clear" w:color="auto" w:fill="auto"/>
                <w:noWrap/>
                <w:vAlign w:val="center"/>
                <w:hideMark/>
              </w:tcPr>
              <w:p w14:paraId="145D3EEC"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Red carretera en servicio</w:t>
                </w:r>
              </w:p>
            </w:tc>
            <w:tc>
              <w:tcPr>
                <w:tcW w:w="1020" w:type="pct"/>
                <w:shd w:val="clear" w:color="auto" w:fill="auto"/>
                <w:noWrap/>
                <w:vAlign w:val="center"/>
                <w:hideMark/>
              </w:tcPr>
              <w:p w14:paraId="58439F9A"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242.613.539.626</w:t>
                </w:r>
              </w:p>
            </w:tc>
            <w:tc>
              <w:tcPr>
                <w:tcW w:w="1076" w:type="pct"/>
                <w:shd w:val="clear" w:color="auto" w:fill="auto"/>
                <w:noWrap/>
                <w:vAlign w:val="center"/>
                <w:hideMark/>
              </w:tcPr>
              <w:p w14:paraId="354EB5CE"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241.478.027.907</w:t>
                </w:r>
              </w:p>
            </w:tc>
            <w:tc>
              <w:tcPr>
                <w:tcW w:w="1076" w:type="pct"/>
                <w:shd w:val="clear" w:color="auto" w:fill="auto"/>
                <w:noWrap/>
                <w:vAlign w:val="center"/>
                <w:hideMark/>
              </w:tcPr>
              <w:p w14:paraId="27A17807"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1.135.511.719</w:t>
                </w:r>
              </w:p>
            </w:tc>
          </w:tr>
          <w:tr w:rsidR="00E53C94" w:rsidRPr="00E53C94" w14:paraId="3FD946F2" w14:textId="77777777" w:rsidTr="00357A89">
            <w:trPr>
              <w:trHeight w:val="340"/>
            </w:trPr>
            <w:tc>
              <w:tcPr>
                <w:tcW w:w="1827" w:type="pct"/>
                <w:shd w:val="clear" w:color="auto" w:fill="auto"/>
                <w:noWrap/>
                <w:vAlign w:val="center"/>
                <w:hideMark/>
              </w:tcPr>
              <w:p w14:paraId="5977B51C"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Terrenos en servicio</w:t>
                </w:r>
              </w:p>
            </w:tc>
            <w:tc>
              <w:tcPr>
                <w:tcW w:w="1020" w:type="pct"/>
                <w:shd w:val="clear" w:color="auto" w:fill="auto"/>
                <w:noWrap/>
                <w:vAlign w:val="center"/>
                <w:hideMark/>
              </w:tcPr>
              <w:p w14:paraId="606BDF97"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31.799.051.985</w:t>
                </w:r>
              </w:p>
            </w:tc>
            <w:tc>
              <w:tcPr>
                <w:tcW w:w="1076" w:type="pct"/>
                <w:shd w:val="clear" w:color="auto" w:fill="auto"/>
                <w:noWrap/>
                <w:vAlign w:val="center"/>
                <w:hideMark/>
              </w:tcPr>
              <w:p w14:paraId="256D9DB1"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31.799.051.985</w:t>
                </w:r>
              </w:p>
            </w:tc>
            <w:tc>
              <w:tcPr>
                <w:tcW w:w="1076" w:type="pct"/>
                <w:shd w:val="clear" w:color="auto" w:fill="auto"/>
                <w:noWrap/>
                <w:vAlign w:val="center"/>
                <w:hideMark/>
              </w:tcPr>
              <w:p w14:paraId="7947501C"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0</w:t>
                </w:r>
              </w:p>
            </w:tc>
          </w:tr>
          <w:tr w:rsidR="00E53C94" w:rsidRPr="00E53C94" w14:paraId="43DAD92C" w14:textId="77777777" w:rsidTr="00357A89">
            <w:trPr>
              <w:trHeight w:val="340"/>
            </w:trPr>
            <w:tc>
              <w:tcPr>
                <w:tcW w:w="1827" w:type="pct"/>
                <w:shd w:val="clear" w:color="auto" w:fill="auto"/>
                <w:vAlign w:val="center"/>
                <w:hideMark/>
              </w:tcPr>
              <w:p w14:paraId="0D8386A9" w14:textId="77777777" w:rsidR="00E53C94" w:rsidRPr="00E53C94" w:rsidRDefault="00E53C94" w:rsidP="00E53C94">
                <w:pPr>
                  <w:spacing w:after="0" w:line="240" w:lineRule="auto"/>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CONSORCIO INTEGRADO POR CONSULTORES DEL DESARROLLO S A Y EDGARDO NAVARRO VIVES</w:t>
                </w:r>
              </w:p>
            </w:tc>
            <w:tc>
              <w:tcPr>
                <w:tcW w:w="1020" w:type="pct"/>
                <w:shd w:val="clear" w:color="auto" w:fill="auto"/>
                <w:noWrap/>
                <w:vAlign w:val="center"/>
                <w:hideMark/>
              </w:tcPr>
              <w:p w14:paraId="09D1C595"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396.656.182.583</w:t>
                </w:r>
              </w:p>
            </w:tc>
            <w:tc>
              <w:tcPr>
                <w:tcW w:w="1076" w:type="pct"/>
                <w:shd w:val="clear" w:color="auto" w:fill="auto"/>
                <w:noWrap/>
                <w:vAlign w:val="center"/>
                <w:hideMark/>
              </w:tcPr>
              <w:p w14:paraId="4F95A3D8"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396.656.182.583</w:t>
                </w:r>
              </w:p>
            </w:tc>
            <w:tc>
              <w:tcPr>
                <w:tcW w:w="1076" w:type="pct"/>
                <w:shd w:val="clear" w:color="auto" w:fill="auto"/>
                <w:noWrap/>
                <w:vAlign w:val="center"/>
                <w:hideMark/>
              </w:tcPr>
              <w:p w14:paraId="3ABB7095"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0</w:t>
                </w:r>
              </w:p>
            </w:tc>
          </w:tr>
          <w:tr w:rsidR="00E53C94" w:rsidRPr="00E53C94" w14:paraId="26FCD997" w14:textId="77777777" w:rsidTr="00357A89">
            <w:trPr>
              <w:trHeight w:val="340"/>
            </w:trPr>
            <w:tc>
              <w:tcPr>
                <w:tcW w:w="1827" w:type="pct"/>
                <w:shd w:val="clear" w:color="auto" w:fill="auto"/>
                <w:noWrap/>
                <w:vAlign w:val="center"/>
                <w:hideMark/>
              </w:tcPr>
              <w:p w14:paraId="3DCA4D0B"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Red carretera en servicio</w:t>
                </w:r>
              </w:p>
            </w:tc>
            <w:tc>
              <w:tcPr>
                <w:tcW w:w="1020" w:type="pct"/>
                <w:shd w:val="clear" w:color="auto" w:fill="auto"/>
                <w:noWrap/>
                <w:vAlign w:val="center"/>
                <w:hideMark/>
              </w:tcPr>
              <w:p w14:paraId="14FA7398"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396.656.182.583</w:t>
                </w:r>
              </w:p>
            </w:tc>
            <w:tc>
              <w:tcPr>
                <w:tcW w:w="1076" w:type="pct"/>
                <w:shd w:val="clear" w:color="auto" w:fill="auto"/>
                <w:noWrap/>
                <w:vAlign w:val="center"/>
                <w:hideMark/>
              </w:tcPr>
              <w:p w14:paraId="67314477"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396.656.182.583</w:t>
                </w:r>
              </w:p>
            </w:tc>
            <w:tc>
              <w:tcPr>
                <w:tcW w:w="1076" w:type="pct"/>
                <w:shd w:val="clear" w:color="auto" w:fill="auto"/>
                <w:noWrap/>
                <w:vAlign w:val="center"/>
                <w:hideMark/>
              </w:tcPr>
              <w:p w14:paraId="681C768C"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0</w:t>
                </w:r>
              </w:p>
            </w:tc>
          </w:tr>
          <w:tr w:rsidR="00E53C94" w:rsidRPr="00E53C94" w14:paraId="38847D2A" w14:textId="77777777" w:rsidTr="00357A89">
            <w:trPr>
              <w:trHeight w:val="340"/>
            </w:trPr>
            <w:tc>
              <w:tcPr>
                <w:tcW w:w="1827" w:type="pct"/>
                <w:shd w:val="clear" w:color="auto" w:fill="auto"/>
                <w:noWrap/>
                <w:vAlign w:val="center"/>
                <w:hideMark/>
              </w:tcPr>
              <w:p w14:paraId="4D342B94" w14:textId="77777777" w:rsidR="00E53C94" w:rsidRPr="00E53C94" w:rsidRDefault="00E53C94" w:rsidP="00E53C94">
                <w:pPr>
                  <w:spacing w:after="0" w:line="240" w:lineRule="auto"/>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CONSORCIO VIAL HELIOS</w:t>
                </w:r>
              </w:p>
            </w:tc>
            <w:tc>
              <w:tcPr>
                <w:tcW w:w="1020" w:type="pct"/>
                <w:shd w:val="clear" w:color="auto" w:fill="auto"/>
                <w:noWrap/>
                <w:vAlign w:val="center"/>
                <w:hideMark/>
              </w:tcPr>
              <w:p w14:paraId="6578AFAB"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0</w:t>
                </w:r>
              </w:p>
            </w:tc>
            <w:tc>
              <w:tcPr>
                <w:tcW w:w="1076" w:type="pct"/>
                <w:shd w:val="clear" w:color="auto" w:fill="auto"/>
                <w:noWrap/>
                <w:vAlign w:val="center"/>
                <w:hideMark/>
              </w:tcPr>
              <w:p w14:paraId="61F82A55"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1,79272E+12</w:t>
                </w:r>
              </w:p>
            </w:tc>
            <w:tc>
              <w:tcPr>
                <w:tcW w:w="1076" w:type="pct"/>
                <w:shd w:val="clear" w:color="auto" w:fill="auto"/>
                <w:noWrap/>
                <w:vAlign w:val="center"/>
                <w:hideMark/>
              </w:tcPr>
              <w:p w14:paraId="087CD859"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-1,79272E+12</w:t>
                </w:r>
              </w:p>
            </w:tc>
          </w:tr>
          <w:tr w:rsidR="00E53C94" w:rsidRPr="00E53C94" w14:paraId="4049F171" w14:textId="77777777" w:rsidTr="00357A89">
            <w:trPr>
              <w:trHeight w:val="340"/>
            </w:trPr>
            <w:tc>
              <w:tcPr>
                <w:tcW w:w="1827" w:type="pct"/>
                <w:shd w:val="clear" w:color="auto" w:fill="auto"/>
                <w:noWrap/>
                <w:vAlign w:val="center"/>
                <w:hideMark/>
              </w:tcPr>
              <w:p w14:paraId="4DC27BE4"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Activos intangibles en concesión</w:t>
                </w:r>
              </w:p>
            </w:tc>
            <w:tc>
              <w:tcPr>
                <w:tcW w:w="1020" w:type="pct"/>
                <w:shd w:val="clear" w:color="auto" w:fill="auto"/>
                <w:noWrap/>
                <w:vAlign w:val="center"/>
                <w:hideMark/>
              </w:tcPr>
              <w:p w14:paraId="3917A62E"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0</w:t>
                </w:r>
              </w:p>
            </w:tc>
            <w:tc>
              <w:tcPr>
                <w:tcW w:w="1076" w:type="pct"/>
                <w:shd w:val="clear" w:color="auto" w:fill="auto"/>
                <w:noWrap/>
                <w:vAlign w:val="center"/>
                <w:hideMark/>
              </w:tcPr>
              <w:p w14:paraId="5B4F1012"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762.895.833</w:t>
                </w:r>
              </w:p>
            </w:tc>
            <w:tc>
              <w:tcPr>
                <w:tcW w:w="1076" w:type="pct"/>
                <w:shd w:val="clear" w:color="auto" w:fill="auto"/>
                <w:noWrap/>
                <w:vAlign w:val="center"/>
                <w:hideMark/>
              </w:tcPr>
              <w:p w14:paraId="032868D2"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-762.895.833</w:t>
                </w:r>
              </w:p>
            </w:tc>
          </w:tr>
          <w:tr w:rsidR="00E53C94" w:rsidRPr="00E53C94" w14:paraId="42770F80" w14:textId="77777777" w:rsidTr="00357A89">
            <w:trPr>
              <w:trHeight w:val="340"/>
            </w:trPr>
            <w:tc>
              <w:tcPr>
                <w:tcW w:w="1827" w:type="pct"/>
                <w:shd w:val="clear" w:color="auto" w:fill="auto"/>
                <w:noWrap/>
                <w:vAlign w:val="center"/>
                <w:hideMark/>
              </w:tcPr>
              <w:p w14:paraId="6FC05BE2"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Propiedades, planta y equipo en concesión</w:t>
                </w:r>
              </w:p>
            </w:tc>
            <w:tc>
              <w:tcPr>
                <w:tcW w:w="1020" w:type="pct"/>
                <w:shd w:val="clear" w:color="auto" w:fill="auto"/>
                <w:noWrap/>
                <w:vAlign w:val="center"/>
                <w:hideMark/>
              </w:tcPr>
              <w:p w14:paraId="4191EA28"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0</w:t>
                </w:r>
              </w:p>
            </w:tc>
            <w:tc>
              <w:tcPr>
                <w:tcW w:w="1076" w:type="pct"/>
                <w:shd w:val="clear" w:color="auto" w:fill="auto"/>
                <w:noWrap/>
                <w:vAlign w:val="center"/>
                <w:hideMark/>
              </w:tcPr>
              <w:p w14:paraId="15D0E084"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6.828.742.009</w:t>
                </w:r>
              </w:p>
            </w:tc>
            <w:tc>
              <w:tcPr>
                <w:tcW w:w="1076" w:type="pct"/>
                <w:shd w:val="clear" w:color="auto" w:fill="auto"/>
                <w:noWrap/>
                <w:vAlign w:val="center"/>
                <w:hideMark/>
              </w:tcPr>
              <w:p w14:paraId="0941F595"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-6.828.742.009</w:t>
                </w:r>
              </w:p>
            </w:tc>
          </w:tr>
          <w:tr w:rsidR="00E53C94" w:rsidRPr="00E53C94" w14:paraId="774415A7" w14:textId="77777777" w:rsidTr="00357A89">
            <w:trPr>
              <w:trHeight w:val="340"/>
            </w:trPr>
            <w:tc>
              <w:tcPr>
                <w:tcW w:w="1827" w:type="pct"/>
                <w:shd w:val="clear" w:color="auto" w:fill="auto"/>
                <w:noWrap/>
                <w:vAlign w:val="center"/>
                <w:hideMark/>
              </w:tcPr>
              <w:p w14:paraId="6C9A6814"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Red carretera en servicio</w:t>
                </w:r>
              </w:p>
            </w:tc>
            <w:tc>
              <w:tcPr>
                <w:tcW w:w="1020" w:type="pct"/>
                <w:shd w:val="clear" w:color="auto" w:fill="auto"/>
                <w:noWrap/>
                <w:vAlign w:val="center"/>
                <w:hideMark/>
              </w:tcPr>
              <w:p w14:paraId="7A97CB83"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0</w:t>
                </w:r>
              </w:p>
            </w:tc>
            <w:tc>
              <w:tcPr>
                <w:tcW w:w="1076" w:type="pct"/>
                <w:shd w:val="clear" w:color="auto" w:fill="auto"/>
                <w:noWrap/>
                <w:vAlign w:val="center"/>
                <w:hideMark/>
              </w:tcPr>
              <w:p w14:paraId="2C67515C"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1.765.520.492.640</w:t>
                </w:r>
              </w:p>
            </w:tc>
            <w:tc>
              <w:tcPr>
                <w:tcW w:w="1076" w:type="pct"/>
                <w:shd w:val="clear" w:color="auto" w:fill="auto"/>
                <w:noWrap/>
                <w:vAlign w:val="center"/>
                <w:hideMark/>
              </w:tcPr>
              <w:p w14:paraId="12A8F823"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-1.765.520.492.640</w:t>
                </w:r>
              </w:p>
            </w:tc>
          </w:tr>
          <w:tr w:rsidR="00E53C94" w:rsidRPr="00E53C94" w14:paraId="658DAD54" w14:textId="77777777" w:rsidTr="00357A89">
            <w:trPr>
              <w:trHeight w:val="340"/>
            </w:trPr>
            <w:tc>
              <w:tcPr>
                <w:tcW w:w="1827" w:type="pct"/>
                <w:shd w:val="clear" w:color="auto" w:fill="auto"/>
                <w:noWrap/>
                <w:vAlign w:val="center"/>
                <w:hideMark/>
              </w:tcPr>
              <w:p w14:paraId="09FF97B0"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Terrenos en servicio</w:t>
                </w:r>
              </w:p>
            </w:tc>
            <w:tc>
              <w:tcPr>
                <w:tcW w:w="1020" w:type="pct"/>
                <w:shd w:val="clear" w:color="auto" w:fill="auto"/>
                <w:noWrap/>
                <w:vAlign w:val="center"/>
                <w:hideMark/>
              </w:tcPr>
              <w:p w14:paraId="2D6B03B2"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0</w:t>
                </w:r>
              </w:p>
            </w:tc>
            <w:tc>
              <w:tcPr>
                <w:tcW w:w="1076" w:type="pct"/>
                <w:shd w:val="clear" w:color="auto" w:fill="auto"/>
                <w:noWrap/>
                <w:vAlign w:val="center"/>
                <w:hideMark/>
              </w:tcPr>
              <w:p w14:paraId="7D798573"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19.611.977.272</w:t>
                </w:r>
              </w:p>
            </w:tc>
            <w:tc>
              <w:tcPr>
                <w:tcW w:w="1076" w:type="pct"/>
                <w:shd w:val="clear" w:color="auto" w:fill="auto"/>
                <w:noWrap/>
                <w:vAlign w:val="center"/>
                <w:hideMark/>
              </w:tcPr>
              <w:p w14:paraId="3A01790D"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-19.611.977.272</w:t>
                </w:r>
              </w:p>
            </w:tc>
          </w:tr>
          <w:tr w:rsidR="00E53C94" w:rsidRPr="00E53C94" w14:paraId="3FC35694" w14:textId="77777777" w:rsidTr="00357A89">
            <w:trPr>
              <w:trHeight w:val="340"/>
            </w:trPr>
            <w:tc>
              <w:tcPr>
                <w:tcW w:w="1827" w:type="pct"/>
                <w:shd w:val="clear" w:color="auto" w:fill="auto"/>
                <w:noWrap/>
                <w:vAlign w:val="center"/>
                <w:hideMark/>
              </w:tcPr>
              <w:p w14:paraId="073F65E8" w14:textId="77777777" w:rsidR="00E53C94" w:rsidRPr="00E53C94" w:rsidRDefault="00E53C94" w:rsidP="00E53C94">
                <w:pPr>
                  <w:spacing w:after="0" w:line="240" w:lineRule="auto"/>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DESARROLLO VIA AL MAR   S.A.S</w:t>
                </w:r>
              </w:p>
            </w:tc>
            <w:tc>
              <w:tcPr>
                <w:tcW w:w="1020" w:type="pct"/>
                <w:shd w:val="clear" w:color="auto" w:fill="auto"/>
                <w:noWrap/>
                <w:vAlign w:val="center"/>
                <w:hideMark/>
              </w:tcPr>
              <w:p w14:paraId="26352876"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1.594.445.597.547</w:t>
                </w:r>
              </w:p>
            </w:tc>
            <w:tc>
              <w:tcPr>
                <w:tcW w:w="1076" w:type="pct"/>
                <w:shd w:val="clear" w:color="auto" w:fill="auto"/>
                <w:noWrap/>
                <w:vAlign w:val="center"/>
                <w:hideMark/>
              </w:tcPr>
              <w:p w14:paraId="605DECAA"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1.581.075.109.569</w:t>
                </w:r>
              </w:p>
            </w:tc>
            <w:tc>
              <w:tcPr>
                <w:tcW w:w="1076" w:type="pct"/>
                <w:shd w:val="clear" w:color="auto" w:fill="auto"/>
                <w:noWrap/>
                <w:vAlign w:val="center"/>
                <w:hideMark/>
              </w:tcPr>
              <w:p w14:paraId="0E4D1FA3"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13.370.487.978</w:t>
                </w:r>
              </w:p>
            </w:tc>
          </w:tr>
          <w:tr w:rsidR="00E53C94" w:rsidRPr="00E53C94" w14:paraId="17DB7F3E" w14:textId="77777777" w:rsidTr="00357A89">
            <w:trPr>
              <w:trHeight w:val="340"/>
            </w:trPr>
            <w:tc>
              <w:tcPr>
                <w:tcW w:w="1827" w:type="pct"/>
                <w:shd w:val="clear" w:color="auto" w:fill="auto"/>
                <w:noWrap/>
                <w:vAlign w:val="center"/>
                <w:hideMark/>
              </w:tcPr>
              <w:p w14:paraId="43DD459B"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Propiedades, planta y equipo en concesión</w:t>
                </w:r>
              </w:p>
            </w:tc>
            <w:tc>
              <w:tcPr>
                <w:tcW w:w="1020" w:type="pct"/>
                <w:shd w:val="clear" w:color="auto" w:fill="auto"/>
                <w:noWrap/>
                <w:vAlign w:val="center"/>
                <w:hideMark/>
              </w:tcPr>
              <w:p w14:paraId="1AC41CFC"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15.698.118.018</w:t>
                </w:r>
              </w:p>
            </w:tc>
            <w:tc>
              <w:tcPr>
                <w:tcW w:w="1076" w:type="pct"/>
                <w:shd w:val="clear" w:color="auto" w:fill="auto"/>
                <w:noWrap/>
                <w:vAlign w:val="center"/>
                <w:hideMark/>
              </w:tcPr>
              <w:p w14:paraId="7098A292"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13.797.318.172</w:t>
                </w:r>
              </w:p>
            </w:tc>
            <w:tc>
              <w:tcPr>
                <w:tcW w:w="1076" w:type="pct"/>
                <w:shd w:val="clear" w:color="auto" w:fill="auto"/>
                <w:noWrap/>
                <w:vAlign w:val="center"/>
                <w:hideMark/>
              </w:tcPr>
              <w:p w14:paraId="2AA1AFA1"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1.900.799.846</w:t>
                </w:r>
              </w:p>
            </w:tc>
          </w:tr>
          <w:tr w:rsidR="00E53C94" w:rsidRPr="00E53C94" w14:paraId="6766595B" w14:textId="77777777" w:rsidTr="00357A89">
            <w:trPr>
              <w:trHeight w:val="340"/>
            </w:trPr>
            <w:tc>
              <w:tcPr>
                <w:tcW w:w="1827" w:type="pct"/>
                <w:shd w:val="clear" w:color="auto" w:fill="auto"/>
                <w:noWrap/>
                <w:vAlign w:val="center"/>
                <w:hideMark/>
              </w:tcPr>
              <w:p w14:paraId="5AAD3980"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Red carretera en servicio</w:t>
                </w:r>
              </w:p>
            </w:tc>
            <w:tc>
              <w:tcPr>
                <w:tcW w:w="1020" w:type="pct"/>
                <w:shd w:val="clear" w:color="auto" w:fill="auto"/>
                <w:noWrap/>
                <w:vAlign w:val="center"/>
                <w:hideMark/>
              </w:tcPr>
              <w:p w14:paraId="4283C462"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1.501.404.312.923</w:t>
                </w:r>
              </w:p>
            </w:tc>
            <w:tc>
              <w:tcPr>
                <w:tcW w:w="1076" w:type="pct"/>
                <w:shd w:val="clear" w:color="auto" w:fill="auto"/>
                <w:noWrap/>
                <w:vAlign w:val="center"/>
                <w:hideMark/>
              </w:tcPr>
              <w:p w14:paraId="5411B81F"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1.498.484.949.266</w:t>
                </w:r>
              </w:p>
            </w:tc>
            <w:tc>
              <w:tcPr>
                <w:tcW w:w="1076" w:type="pct"/>
                <w:shd w:val="clear" w:color="auto" w:fill="auto"/>
                <w:noWrap/>
                <w:vAlign w:val="center"/>
                <w:hideMark/>
              </w:tcPr>
              <w:p w14:paraId="46D152E8"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2.919.363.657</w:t>
                </w:r>
              </w:p>
            </w:tc>
          </w:tr>
          <w:tr w:rsidR="00E53C94" w:rsidRPr="00E53C94" w14:paraId="3901A123" w14:textId="77777777" w:rsidTr="00357A89">
            <w:trPr>
              <w:trHeight w:val="340"/>
            </w:trPr>
            <w:tc>
              <w:tcPr>
                <w:tcW w:w="1827" w:type="pct"/>
                <w:shd w:val="clear" w:color="auto" w:fill="auto"/>
                <w:noWrap/>
                <w:vAlign w:val="center"/>
                <w:hideMark/>
              </w:tcPr>
              <w:p w14:paraId="5C7EF869"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Terrenos en servicio</w:t>
                </w:r>
              </w:p>
            </w:tc>
            <w:tc>
              <w:tcPr>
                <w:tcW w:w="1020" w:type="pct"/>
                <w:shd w:val="clear" w:color="auto" w:fill="auto"/>
                <w:noWrap/>
                <w:vAlign w:val="center"/>
                <w:hideMark/>
              </w:tcPr>
              <w:p w14:paraId="0E0CB3C2"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77.298.443.361</w:t>
                </w:r>
              </w:p>
            </w:tc>
            <w:tc>
              <w:tcPr>
                <w:tcW w:w="1076" w:type="pct"/>
                <w:shd w:val="clear" w:color="auto" w:fill="auto"/>
                <w:noWrap/>
                <w:vAlign w:val="center"/>
                <w:hideMark/>
              </w:tcPr>
              <w:p w14:paraId="1858C443"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68.792.842.131</w:t>
                </w:r>
              </w:p>
            </w:tc>
            <w:tc>
              <w:tcPr>
                <w:tcW w:w="1076" w:type="pct"/>
                <w:shd w:val="clear" w:color="auto" w:fill="auto"/>
                <w:noWrap/>
                <w:vAlign w:val="center"/>
                <w:hideMark/>
              </w:tcPr>
              <w:p w14:paraId="206E0D51"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8.505.601.230</w:t>
                </w:r>
              </w:p>
            </w:tc>
          </w:tr>
          <w:tr w:rsidR="00E53C94" w:rsidRPr="00E53C94" w14:paraId="4B5DEE57" w14:textId="77777777" w:rsidTr="00357A89">
            <w:trPr>
              <w:trHeight w:val="340"/>
            </w:trPr>
            <w:tc>
              <w:tcPr>
                <w:tcW w:w="1827" w:type="pct"/>
                <w:shd w:val="clear" w:color="auto" w:fill="auto"/>
                <w:noWrap/>
                <w:vAlign w:val="center"/>
                <w:hideMark/>
              </w:tcPr>
              <w:p w14:paraId="0E8F84D9"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Activos intangibles en concesión</w:t>
                </w:r>
              </w:p>
            </w:tc>
            <w:tc>
              <w:tcPr>
                <w:tcW w:w="1020" w:type="pct"/>
                <w:shd w:val="clear" w:color="auto" w:fill="auto"/>
                <w:noWrap/>
                <w:vAlign w:val="center"/>
                <w:hideMark/>
              </w:tcPr>
              <w:p w14:paraId="32E83719"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44.723.245</w:t>
                </w:r>
              </w:p>
            </w:tc>
            <w:tc>
              <w:tcPr>
                <w:tcW w:w="1076" w:type="pct"/>
                <w:shd w:val="clear" w:color="auto" w:fill="auto"/>
                <w:noWrap/>
                <w:vAlign w:val="center"/>
                <w:hideMark/>
              </w:tcPr>
              <w:p w14:paraId="119691C0"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0</w:t>
                </w:r>
              </w:p>
            </w:tc>
            <w:tc>
              <w:tcPr>
                <w:tcW w:w="1076" w:type="pct"/>
                <w:shd w:val="clear" w:color="auto" w:fill="auto"/>
                <w:noWrap/>
                <w:vAlign w:val="center"/>
                <w:hideMark/>
              </w:tcPr>
              <w:p w14:paraId="58623A28"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44723245</w:t>
                </w:r>
              </w:p>
            </w:tc>
          </w:tr>
          <w:tr w:rsidR="00E53C94" w:rsidRPr="00E53C94" w14:paraId="60B660ED" w14:textId="77777777" w:rsidTr="00357A89">
            <w:trPr>
              <w:trHeight w:val="340"/>
            </w:trPr>
            <w:tc>
              <w:tcPr>
                <w:tcW w:w="1827" w:type="pct"/>
                <w:shd w:val="clear" w:color="auto" w:fill="auto"/>
                <w:noWrap/>
                <w:vAlign w:val="center"/>
                <w:hideMark/>
              </w:tcPr>
              <w:p w14:paraId="6D8D6954" w14:textId="77777777" w:rsidR="00E53C94" w:rsidRPr="00E53C94" w:rsidRDefault="00E53C94" w:rsidP="00E53C94">
                <w:pPr>
                  <w:spacing w:after="0" w:line="240" w:lineRule="auto"/>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DESARROLLO VIAL DE NARIÑO S.A.</w:t>
                </w:r>
              </w:p>
            </w:tc>
            <w:tc>
              <w:tcPr>
                <w:tcW w:w="1020" w:type="pct"/>
                <w:shd w:val="clear" w:color="auto" w:fill="auto"/>
                <w:noWrap/>
                <w:vAlign w:val="center"/>
                <w:hideMark/>
              </w:tcPr>
              <w:p w14:paraId="650EA0AB"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0</w:t>
                </w:r>
              </w:p>
            </w:tc>
            <w:tc>
              <w:tcPr>
                <w:tcW w:w="1076" w:type="pct"/>
                <w:shd w:val="clear" w:color="auto" w:fill="auto"/>
                <w:noWrap/>
                <w:vAlign w:val="center"/>
                <w:hideMark/>
              </w:tcPr>
              <w:p w14:paraId="7D36A259"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2474608940</w:t>
                </w:r>
              </w:p>
            </w:tc>
            <w:tc>
              <w:tcPr>
                <w:tcW w:w="1076" w:type="pct"/>
                <w:shd w:val="clear" w:color="auto" w:fill="auto"/>
                <w:noWrap/>
                <w:vAlign w:val="center"/>
                <w:hideMark/>
              </w:tcPr>
              <w:p w14:paraId="33FF358E"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-2474608940</w:t>
                </w:r>
              </w:p>
            </w:tc>
          </w:tr>
          <w:tr w:rsidR="00E53C94" w:rsidRPr="00E53C94" w14:paraId="4195E5C9" w14:textId="77777777" w:rsidTr="00357A89">
            <w:trPr>
              <w:trHeight w:val="340"/>
            </w:trPr>
            <w:tc>
              <w:tcPr>
                <w:tcW w:w="1827" w:type="pct"/>
                <w:shd w:val="clear" w:color="auto" w:fill="auto"/>
                <w:noWrap/>
                <w:vAlign w:val="center"/>
                <w:hideMark/>
              </w:tcPr>
              <w:p w14:paraId="4FB143DB"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Red carretera en servicio</w:t>
                </w:r>
              </w:p>
            </w:tc>
            <w:tc>
              <w:tcPr>
                <w:tcW w:w="1020" w:type="pct"/>
                <w:shd w:val="clear" w:color="auto" w:fill="auto"/>
                <w:noWrap/>
                <w:vAlign w:val="center"/>
                <w:hideMark/>
              </w:tcPr>
              <w:p w14:paraId="5E8507A4"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0</w:t>
                </w:r>
              </w:p>
            </w:tc>
            <w:tc>
              <w:tcPr>
                <w:tcW w:w="1076" w:type="pct"/>
                <w:shd w:val="clear" w:color="auto" w:fill="auto"/>
                <w:noWrap/>
                <w:vAlign w:val="center"/>
                <w:hideMark/>
              </w:tcPr>
              <w:p w14:paraId="30830BAD"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2.474.608.940</w:t>
                </w:r>
              </w:p>
            </w:tc>
            <w:tc>
              <w:tcPr>
                <w:tcW w:w="1076" w:type="pct"/>
                <w:shd w:val="clear" w:color="auto" w:fill="auto"/>
                <w:noWrap/>
                <w:vAlign w:val="center"/>
                <w:hideMark/>
              </w:tcPr>
              <w:p w14:paraId="2E63B14F"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-2.474.608.940</w:t>
                </w:r>
              </w:p>
            </w:tc>
          </w:tr>
          <w:tr w:rsidR="00E53C94" w:rsidRPr="00E53C94" w14:paraId="72942C6B" w14:textId="77777777" w:rsidTr="00357A89">
            <w:trPr>
              <w:trHeight w:val="340"/>
            </w:trPr>
            <w:tc>
              <w:tcPr>
                <w:tcW w:w="1827" w:type="pct"/>
                <w:shd w:val="clear" w:color="auto" w:fill="auto"/>
                <w:noWrap/>
                <w:vAlign w:val="center"/>
                <w:hideMark/>
              </w:tcPr>
              <w:p w14:paraId="2E9D31CD" w14:textId="77777777" w:rsidR="00E53C94" w:rsidRPr="00E53C94" w:rsidRDefault="00E53C94" w:rsidP="00E53C94">
                <w:pPr>
                  <w:spacing w:after="0" w:line="240" w:lineRule="auto"/>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DEVIMED S.A.</w:t>
                </w:r>
              </w:p>
            </w:tc>
            <w:tc>
              <w:tcPr>
                <w:tcW w:w="1020" w:type="pct"/>
                <w:shd w:val="clear" w:color="auto" w:fill="auto"/>
                <w:noWrap/>
                <w:vAlign w:val="center"/>
                <w:hideMark/>
              </w:tcPr>
              <w:p w14:paraId="5F8C60E2"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691.997.031.430</w:t>
                </w:r>
              </w:p>
            </w:tc>
            <w:tc>
              <w:tcPr>
                <w:tcW w:w="1076" w:type="pct"/>
                <w:shd w:val="clear" w:color="auto" w:fill="auto"/>
                <w:noWrap/>
                <w:vAlign w:val="center"/>
                <w:hideMark/>
              </w:tcPr>
              <w:p w14:paraId="276DAF05"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676.446.684.082</w:t>
                </w:r>
              </w:p>
            </w:tc>
            <w:tc>
              <w:tcPr>
                <w:tcW w:w="1076" w:type="pct"/>
                <w:shd w:val="clear" w:color="auto" w:fill="auto"/>
                <w:noWrap/>
                <w:vAlign w:val="center"/>
                <w:hideMark/>
              </w:tcPr>
              <w:p w14:paraId="35E02264"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15.550.347.348</w:t>
                </w:r>
              </w:p>
            </w:tc>
          </w:tr>
          <w:tr w:rsidR="00E53C94" w:rsidRPr="00E53C94" w14:paraId="4832CF4F" w14:textId="77777777" w:rsidTr="00357A89">
            <w:trPr>
              <w:trHeight w:val="340"/>
            </w:trPr>
            <w:tc>
              <w:tcPr>
                <w:tcW w:w="1827" w:type="pct"/>
                <w:shd w:val="clear" w:color="auto" w:fill="auto"/>
                <w:noWrap/>
                <w:vAlign w:val="center"/>
                <w:hideMark/>
              </w:tcPr>
              <w:p w14:paraId="3978F9C3"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Activos intangibles en concesión</w:t>
                </w:r>
              </w:p>
            </w:tc>
            <w:tc>
              <w:tcPr>
                <w:tcW w:w="1020" w:type="pct"/>
                <w:shd w:val="clear" w:color="auto" w:fill="auto"/>
                <w:noWrap/>
                <w:vAlign w:val="center"/>
                <w:hideMark/>
              </w:tcPr>
              <w:p w14:paraId="71126F1A"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585.086.000</w:t>
                </w:r>
              </w:p>
            </w:tc>
            <w:tc>
              <w:tcPr>
                <w:tcW w:w="1076" w:type="pct"/>
                <w:shd w:val="clear" w:color="auto" w:fill="auto"/>
                <w:noWrap/>
                <w:vAlign w:val="center"/>
                <w:hideMark/>
              </w:tcPr>
              <w:p w14:paraId="6B3D1A4D"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585.086.000</w:t>
                </w:r>
              </w:p>
            </w:tc>
            <w:tc>
              <w:tcPr>
                <w:tcW w:w="1076" w:type="pct"/>
                <w:shd w:val="clear" w:color="auto" w:fill="auto"/>
                <w:noWrap/>
                <w:vAlign w:val="center"/>
                <w:hideMark/>
              </w:tcPr>
              <w:p w14:paraId="2226DE81"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0</w:t>
                </w:r>
              </w:p>
            </w:tc>
          </w:tr>
          <w:tr w:rsidR="00E53C94" w:rsidRPr="00E53C94" w14:paraId="72343E61" w14:textId="77777777" w:rsidTr="00357A89">
            <w:trPr>
              <w:trHeight w:val="340"/>
            </w:trPr>
            <w:tc>
              <w:tcPr>
                <w:tcW w:w="1827" w:type="pct"/>
                <w:shd w:val="clear" w:color="auto" w:fill="auto"/>
                <w:noWrap/>
                <w:vAlign w:val="center"/>
                <w:hideMark/>
              </w:tcPr>
              <w:p w14:paraId="6047D85F"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Propiedades, planta y equipo en concesión</w:t>
                </w:r>
              </w:p>
            </w:tc>
            <w:tc>
              <w:tcPr>
                <w:tcW w:w="1020" w:type="pct"/>
                <w:shd w:val="clear" w:color="auto" w:fill="auto"/>
                <w:noWrap/>
                <w:vAlign w:val="center"/>
                <w:hideMark/>
              </w:tcPr>
              <w:p w14:paraId="3F44AA13"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13.506.709.720</w:t>
                </w:r>
              </w:p>
            </w:tc>
            <w:tc>
              <w:tcPr>
                <w:tcW w:w="1076" w:type="pct"/>
                <w:shd w:val="clear" w:color="auto" w:fill="auto"/>
                <w:noWrap/>
                <w:vAlign w:val="center"/>
                <w:hideMark/>
              </w:tcPr>
              <w:p w14:paraId="483D7484"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13.499.669.720</w:t>
                </w:r>
              </w:p>
            </w:tc>
            <w:tc>
              <w:tcPr>
                <w:tcW w:w="1076" w:type="pct"/>
                <w:shd w:val="clear" w:color="auto" w:fill="auto"/>
                <w:noWrap/>
                <w:vAlign w:val="center"/>
                <w:hideMark/>
              </w:tcPr>
              <w:p w14:paraId="78ABCF15"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7.040.000</w:t>
                </w:r>
              </w:p>
            </w:tc>
          </w:tr>
          <w:tr w:rsidR="00E53C94" w:rsidRPr="00E53C94" w14:paraId="3A605B3D" w14:textId="77777777" w:rsidTr="00357A89">
            <w:trPr>
              <w:trHeight w:val="340"/>
            </w:trPr>
            <w:tc>
              <w:tcPr>
                <w:tcW w:w="1827" w:type="pct"/>
                <w:shd w:val="clear" w:color="auto" w:fill="auto"/>
                <w:noWrap/>
                <w:vAlign w:val="center"/>
                <w:hideMark/>
              </w:tcPr>
              <w:p w14:paraId="594A02DA"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Red carretera en servicio</w:t>
                </w:r>
              </w:p>
            </w:tc>
            <w:tc>
              <w:tcPr>
                <w:tcW w:w="1020" w:type="pct"/>
                <w:shd w:val="clear" w:color="auto" w:fill="auto"/>
                <w:noWrap/>
                <w:vAlign w:val="center"/>
                <w:hideMark/>
              </w:tcPr>
              <w:p w14:paraId="075C4987"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662.219.072.073</w:t>
                </w:r>
              </w:p>
            </w:tc>
            <w:tc>
              <w:tcPr>
                <w:tcW w:w="1076" w:type="pct"/>
                <w:shd w:val="clear" w:color="auto" w:fill="auto"/>
                <w:noWrap/>
                <w:vAlign w:val="center"/>
                <w:hideMark/>
              </w:tcPr>
              <w:p w14:paraId="7A7D7BD5"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662.361.928.362</w:t>
                </w:r>
              </w:p>
            </w:tc>
            <w:tc>
              <w:tcPr>
                <w:tcW w:w="1076" w:type="pct"/>
                <w:shd w:val="clear" w:color="auto" w:fill="auto"/>
                <w:noWrap/>
                <w:vAlign w:val="center"/>
                <w:hideMark/>
              </w:tcPr>
              <w:p w14:paraId="3B0498A2"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-142.856.289</w:t>
                </w:r>
              </w:p>
            </w:tc>
          </w:tr>
          <w:tr w:rsidR="00E53C94" w:rsidRPr="00E53C94" w14:paraId="0092EFB1" w14:textId="77777777" w:rsidTr="00357A89">
            <w:trPr>
              <w:trHeight w:val="340"/>
            </w:trPr>
            <w:tc>
              <w:tcPr>
                <w:tcW w:w="1827" w:type="pct"/>
                <w:shd w:val="clear" w:color="auto" w:fill="auto"/>
                <w:noWrap/>
                <w:vAlign w:val="center"/>
                <w:hideMark/>
              </w:tcPr>
              <w:p w14:paraId="1D990B94"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Terrenos en servicio</w:t>
                </w:r>
              </w:p>
            </w:tc>
            <w:tc>
              <w:tcPr>
                <w:tcW w:w="1020" w:type="pct"/>
                <w:shd w:val="clear" w:color="auto" w:fill="auto"/>
                <w:noWrap/>
                <w:vAlign w:val="center"/>
                <w:hideMark/>
              </w:tcPr>
              <w:p w14:paraId="135DED22"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15.686.163.637</w:t>
                </w:r>
              </w:p>
            </w:tc>
            <w:tc>
              <w:tcPr>
                <w:tcW w:w="1076" w:type="pct"/>
                <w:shd w:val="clear" w:color="auto" w:fill="auto"/>
                <w:noWrap/>
                <w:vAlign w:val="center"/>
                <w:hideMark/>
              </w:tcPr>
              <w:p w14:paraId="155EE5F4"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0</w:t>
                </w:r>
              </w:p>
            </w:tc>
            <w:tc>
              <w:tcPr>
                <w:tcW w:w="1076" w:type="pct"/>
                <w:shd w:val="clear" w:color="auto" w:fill="auto"/>
                <w:noWrap/>
                <w:vAlign w:val="center"/>
                <w:hideMark/>
              </w:tcPr>
              <w:p w14:paraId="74A888BF"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15686163637</w:t>
                </w:r>
              </w:p>
            </w:tc>
          </w:tr>
          <w:tr w:rsidR="00E53C94" w:rsidRPr="00E53C94" w14:paraId="4679FEE6" w14:textId="77777777" w:rsidTr="00357A89">
            <w:trPr>
              <w:trHeight w:val="340"/>
            </w:trPr>
            <w:tc>
              <w:tcPr>
                <w:tcW w:w="1827" w:type="pct"/>
                <w:shd w:val="clear" w:color="auto" w:fill="auto"/>
                <w:noWrap/>
                <w:vAlign w:val="center"/>
                <w:hideMark/>
              </w:tcPr>
              <w:p w14:paraId="200206C9" w14:textId="77777777" w:rsidR="00E53C94" w:rsidRPr="00E53C94" w:rsidRDefault="00E53C94" w:rsidP="00E53C94">
                <w:pPr>
                  <w:spacing w:after="0" w:line="240" w:lineRule="auto"/>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NUEVO CAUCA S A S</w:t>
                </w:r>
              </w:p>
            </w:tc>
            <w:tc>
              <w:tcPr>
                <w:tcW w:w="1020" w:type="pct"/>
                <w:shd w:val="clear" w:color="auto" w:fill="auto"/>
                <w:noWrap/>
                <w:vAlign w:val="center"/>
                <w:hideMark/>
              </w:tcPr>
              <w:p w14:paraId="08CB0A51"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400.786.282.382</w:t>
                </w:r>
              </w:p>
            </w:tc>
            <w:tc>
              <w:tcPr>
                <w:tcW w:w="1076" w:type="pct"/>
                <w:shd w:val="clear" w:color="auto" w:fill="auto"/>
                <w:noWrap/>
                <w:vAlign w:val="center"/>
                <w:hideMark/>
              </w:tcPr>
              <w:p w14:paraId="7057745E"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70.666.147.292</w:t>
                </w:r>
              </w:p>
            </w:tc>
            <w:tc>
              <w:tcPr>
                <w:tcW w:w="1076" w:type="pct"/>
                <w:shd w:val="clear" w:color="auto" w:fill="auto"/>
                <w:noWrap/>
                <w:vAlign w:val="center"/>
                <w:hideMark/>
              </w:tcPr>
              <w:p w14:paraId="66181F69"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330.120.135.090</w:t>
                </w:r>
              </w:p>
            </w:tc>
          </w:tr>
          <w:tr w:rsidR="00E53C94" w:rsidRPr="00E53C94" w14:paraId="28EB24F6" w14:textId="77777777" w:rsidTr="00357A89">
            <w:trPr>
              <w:trHeight w:val="340"/>
            </w:trPr>
            <w:tc>
              <w:tcPr>
                <w:tcW w:w="1827" w:type="pct"/>
                <w:shd w:val="clear" w:color="auto" w:fill="auto"/>
                <w:noWrap/>
                <w:vAlign w:val="center"/>
                <w:hideMark/>
              </w:tcPr>
              <w:p w14:paraId="51348BC7"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Activos intangibles en concesión</w:t>
                </w:r>
              </w:p>
            </w:tc>
            <w:tc>
              <w:tcPr>
                <w:tcW w:w="1020" w:type="pct"/>
                <w:shd w:val="clear" w:color="auto" w:fill="auto"/>
                <w:noWrap/>
                <w:vAlign w:val="center"/>
                <w:hideMark/>
              </w:tcPr>
              <w:p w14:paraId="67E34368"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7.227.960</w:t>
                </w:r>
              </w:p>
            </w:tc>
            <w:tc>
              <w:tcPr>
                <w:tcW w:w="1076" w:type="pct"/>
                <w:shd w:val="clear" w:color="auto" w:fill="auto"/>
                <w:noWrap/>
                <w:vAlign w:val="center"/>
                <w:hideMark/>
              </w:tcPr>
              <w:p w14:paraId="149DDF20"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7.227.960</w:t>
                </w:r>
              </w:p>
            </w:tc>
            <w:tc>
              <w:tcPr>
                <w:tcW w:w="1076" w:type="pct"/>
                <w:shd w:val="clear" w:color="auto" w:fill="auto"/>
                <w:noWrap/>
                <w:vAlign w:val="center"/>
                <w:hideMark/>
              </w:tcPr>
              <w:p w14:paraId="07858926"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0</w:t>
                </w:r>
              </w:p>
            </w:tc>
          </w:tr>
          <w:tr w:rsidR="00E53C94" w:rsidRPr="00E53C94" w14:paraId="62B54B2C" w14:textId="77777777" w:rsidTr="00357A89">
            <w:trPr>
              <w:trHeight w:val="340"/>
            </w:trPr>
            <w:tc>
              <w:tcPr>
                <w:tcW w:w="1827" w:type="pct"/>
                <w:shd w:val="clear" w:color="auto" w:fill="auto"/>
                <w:noWrap/>
                <w:vAlign w:val="center"/>
                <w:hideMark/>
              </w:tcPr>
              <w:p w14:paraId="5FF5C702"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lastRenderedPageBreak/>
                  <w:t>Propiedades, planta y equipo en concesión</w:t>
                </w:r>
              </w:p>
            </w:tc>
            <w:tc>
              <w:tcPr>
                <w:tcW w:w="1020" w:type="pct"/>
                <w:shd w:val="clear" w:color="auto" w:fill="auto"/>
                <w:noWrap/>
                <w:vAlign w:val="center"/>
                <w:hideMark/>
              </w:tcPr>
              <w:p w14:paraId="72E0892A"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3.132.675.276</w:t>
                </w:r>
              </w:p>
            </w:tc>
            <w:tc>
              <w:tcPr>
                <w:tcW w:w="1076" w:type="pct"/>
                <w:shd w:val="clear" w:color="auto" w:fill="auto"/>
                <w:noWrap/>
                <w:vAlign w:val="center"/>
                <w:hideMark/>
              </w:tcPr>
              <w:p w14:paraId="2AFB109D"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3.132.675.276</w:t>
                </w:r>
              </w:p>
            </w:tc>
            <w:tc>
              <w:tcPr>
                <w:tcW w:w="1076" w:type="pct"/>
                <w:shd w:val="clear" w:color="auto" w:fill="auto"/>
                <w:noWrap/>
                <w:vAlign w:val="center"/>
                <w:hideMark/>
              </w:tcPr>
              <w:p w14:paraId="7CB9105A"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0</w:t>
                </w:r>
              </w:p>
            </w:tc>
          </w:tr>
          <w:tr w:rsidR="00E53C94" w:rsidRPr="00E53C94" w14:paraId="0CD10B17" w14:textId="77777777" w:rsidTr="00357A89">
            <w:trPr>
              <w:trHeight w:val="340"/>
            </w:trPr>
            <w:tc>
              <w:tcPr>
                <w:tcW w:w="1827" w:type="pct"/>
                <w:shd w:val="clear" w:color="auto" w:fill="auto"/>
                <w:noWrap/>
                <w:vAlign w:val="center"/>
                <w:hideMark/>
              </w:tcPr>
              <w:p w14:paraId="6011C833"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Red carretera en construcción</w:t>
                </w:r>
              </w:p>
            </w:tc>
            <w:tc>
              <w:tcPr>
                <w:tcW w:w="1020" w:type="pct"/>
                <w:shd w:val="clear" w:color="auto" w:fill="auto"/>
                <w:noWrap/>
                <w:vAlign w:val="center"/>
                <w:hideMark/>
              </w:tcPr>
              <w:p w14:paraId="253A37FA"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360.598.881.523</w:t>
                </w:r>
              </w:p>
            </w:tc>
            <w:tc>
              <w:tcPr>
                <w:tcW w:w="1076" w:type="pct"/>
                <w:shd w:val="clear" w:color="auto" w:fill="auto"/>
                <w:noWrap/>
                <w:vAlign w:val="center"/>
                <w:hideMark/>
              </w:tcPr>
              <w:p w14:paraId="4582376E"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32.624.257.485</w:t>
                </w:r>
              </w:p>
            </w:tc>
            <w:tc>
              <w:tcPr>
                <w:tcW w:w="1076" w:type="pct"/>
                <w:shd w:val="clear" w:color="auto" w:fill="auto"/>
                <w:noWrap/>
                <w:vAlign w:val="center"/>
                <w:hideMark/>
              </w:tcPr>
              <w:p w14:paraId="2F9546FC"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327.974.624.038</w:t>
                </w:r>
              </w:p>
            </w:tc>
          </w:tr>
          <w:tr w:rsidR="00E53C94" w:rsidRPr="00E53C94" w14:paraId="7DF12807" w14:textId="77777777" w:rsidTr="00357A89">
            <w:trPr>
              <w:trHeight w:val="340"/>
            </w:trPr>
            <w:tc>
              <w:tcPr>
                <w:tcW w:w="1827" w:type="pct"/>
                <w:shd w:val="clear" w:color="auto" w:fill="auto"/>
                <w:noWrap/>
                <w:vAlign w:val="center"/>
                <w:hideMark/>
              </w:tcPr>
              <w:p w14:paraId="4AA32727"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Terrenos en construcción</w:t>
                </w:r>
              </w:p>
            </w:tc>
            <w:tc>
              <w:tcPr>
                <w:tcW w:w="1020" w:type="pct"/>
                <w:shd w:val="clear" w:color="auto" w:fill="auto"/>
                <w:noWrap/>
                <w:vAlign w:val="center"/>
                <w:hideMark/>
              </w:tcPr>
              <w:p w14:paraId="7021ED0A"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37.047.497.623</w:t>
                </w:r>
              </w:p>
            </w:tc>
            <w:tc>
              <w:tcPr>
                <w:tcW w:w="1076" w:type="pct"/>
                <w:shd w:val="clear" w:color="auto" w:fill="auto"/>
                <w:noWrap/>
                <w:vAlign w:val="center"/>
                <w:hideMark/>
              </w:tcPr>
              <w:p w14:paraId="608F8BB9"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34.901.986.571</w:t>
                </w:r>
              </w:p>
            </w:tc>
            <w:tc>
              <w:tcPr>
                <w:tcW w:w="1076" w:type="pct"/>
                <w:shd w:val="clear" w:color="auto" w:fill="auto"/>
                <w:noWrap/>
                <w:vAlign w:val="center"/>
                <w:hideMark/>
              </w:tcPr>
              <w:p w14:paraId="7DF0120B"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2.145.511.052</w:t>
                </w:r>
              </w:p>
            </w:tc>
          </w:tr>
          <w:tr w:rsidR="00E53C94" w:rsidRPr="00E53C94" w14:paraId="07B88A5D" w14:textId="77777777" w:rsidTr="00357A89">
            <w:trPr>
              <w:trHeight w:val="340"/>
            </w:trPr>
            <w:tc>
              <w:tcPr>
                <w:tcW w:w="1827" w:type="pct"/>
                <w:shd w:val="clear" w:color="auto" w:fill="auto"/>
                <w:noWrap/>
                <w:vAlign w:val="center"/>
                <w:hideMark/>
              </w:tcPr>
              <w:p w14:paraId="27999473" w14:textId="77777777" w:rsidR="00E53C94" w:rsidRPr="00E53C94" w:rsidRDefault="00E53C94" w:rsidP="00E53C94">
                <w:pPr>
                  <w:spacing w:after="0" w:line="240" w:lineRule="auto"/>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PERIMETRAL ORIENTAL DE BOGOTA SAS</w:t>
                </w:r>
              </w:p>
            </w:tc>
            <w:tc>
              <w:tcPr>
                <w:tcW w:w="1020" w:type="pct"/>
                <w:shd w:val="clear" w:color="auto" w:fill="auto"/>
                <w:noWrap/>
                <w:vAlign w:val="center"/>
                <w:hideMark/>
              </w:tcPr>
              <w:p w14:paraId="49E0B5A7"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470.144.124.303</w:t>
                </w:r>
              </w:p>
            </w:tc>
            <w:tc>
              <w:tcPr>
                <w:tcW w:w="1076" w:type="pct"/>
                <w:shd w:val="clear" w:color="auto" w:fill="auto"/>
                <w:noWrap/>
                <w:vAlign w:val="center"/>
                <w:hideMark/>
              </w:tcPr>
              <w:p w14:paraId="4CA59225"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396.825.227.565</w:t>
                </w:r>
              </w:p>
            </w:tc>
            <w:tc>
              <w:tcPr>
                <w:tcW w:w="1076" w:type="pct"/>
                <w:shd w:val="clear" w:color="auto" w:fill="auto"/>
                <w:noWrap/>
                <w:vAlign w:val="center"/>
                <w:hideMark/>
              </w:tcPr>
              <w:p w14:paraId="06E4846A"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73.318.896.738</w:t>
                </w:r>
              </w:p>
            </w:tc>
          </w:tr>
          <w:tr w:rsidR="00E53C94" w:rsidRPr="00E53C94" w14:paraId="37D011D6" w14:textId="77777777" w:rsidTr="00357A89">
            <w:trPr>
              <w:trHeight w:val="340"/>
            </w:trPr>
            <w:tc>
              <w:tcPr>
                <w:tcW w:w="1827" w:type="pct"/>
                <w:shd w:val="clear" w:color="auto" w:fill="auto"/>
                <w:noWrap/>
                <w:vAlign w:val="center"/>
                <w:hideMark/>
              </w:tcPr>
              <w:p w14:paraId="4DA0B992"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Propiedades, planta y equipo en concesión</w:t>
                </w:r>
              </w:p>
            </w:tc>
            <w:tc>
              <w:tcPr>
                <w:tcW w:w="1020" w:type="pct"/>
                <w:shd w:val="clear" w:color="auto" w:fill="auto"/>
                <w:noWrap/>
                <w:vAlign w:val="center"/>
                <w:hideMark/>
              </w:tcPr>
              <w:p w14:paraId="29FC0130"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5.259.465.525</w:t>
                </w:r>
              </w:p>
            </w:tc>
            <w:tc>
              <w:tcPr>
                <w:tcW w:w="1076" w:type="pct"/>
                <w:shd w:val="clear" w:color="auto" w:fill="auto"/>
                <w:noWrap/>
                <w:vAlign w:val="center"/>
                <w:hideMark/>
              </w:tcPr>
              <w:p w14:paraId="43C65E89"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4.898.341.795</w:t>
                </w:r>
              </w:p>
            </w:tc>
            <w:tc>
              <w:tcPr>
                <w:tcW w:w="1076" w:type="pct"/>
                <w:shd w:val="clear" w:color="auto" w:fill="auto"/>
                <w:noWrap/>
                <w:vAlign w:val="center"/>
                <w:hideMark/>
              </w:tcPr>
              <w:p w14:paraId="2C258E47"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361.123.730</w:t>
                </w:r>
              </w:p>
            </w:tc>
          </w:tr>
          <w:tr w:rsidR="00E53C94" w:rsidRPr="00E53C94" w14:paraId="07EED44E" w14:textId="77777777" w:rsidTr="00357A89">
            <w:trPr>
              <w:trHeight w:val="340"/>
            </w:trPr>
            <w:tc>
              <w:tcPr>
                <w:tcW w:w="1827" w:type="pct"/>
                <w:shd w:val="clear" w:color="auto" w:fill="auto"/>
                <w:noWrap/>
                <w:vAlign w:val="center"/>
                <w:hideMark/>
              </w:tcPr>
              <w:p w14:paraId="444902A1"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Red carretera en construcción</w:t>
                </w:r>
              </w:p>
            </w:tc>
            <w:tc>
              <w:tcPr>
                <w:tcW w:w="1020" w:type="pct"/>
                <w:shd w:val="clear" w:color="auto" w:fill="auto"/>
                <w:noWrap/>
                <w:vAlign w:val="center"/>
                <w:hideMark/>
              </w:tcPr>
              <w:p w14:paraId="3FF6A3B2"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404.434.888.479</w:t>
                </w:r>
              </w:p>
            </w:tc>
            <w:tc>
              <w:tcPr>
                <w:tcW w:w="1076" w:type="pct"/>
                <w:shd w:val="clear" w:color="auto" w:fill="auto"/>
                <w:noWrap/>
                <w:vAlign w:val="center"/>
                <w:hideMark/>
              </w:tcPr>
              <w:p w14:paraId="73F2A8E5"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339.844.309.412</w:t>
                </w:r>
              </w:p>
            </w:tc>
            <w:tc>
              <w:tcPr>
                <w:tcW w:w="1076" w:type="pct"/>
                <w:shd w:val="clear" w:color="auto" w:fill="auto"/>
                <w:noWrap/>
                <w:vAlign w:val="center"/>
                <w:hideMark/>
              </w:tcPr>
              <w:p w14:paraId="3F46531A"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64.590.579.067</w:t>
                </w:r>
              </w:p>
            </w:tc>
          </w:tr>
          <w:tr w:rsidR="00E53C94" w:rsidRPr="00E53C94" w14:paraId="43AA72EF" w14:textId="77777777" w:rsidTr="00357A89">
            <w:trPr>
              <w:trHeight w:val="340"/>
            </w:trPr>
            <w:tc>
              <w:tcPr>
                <w:tcW w:w="1827" w:type="pct"/>
                <w:shd w:val="clear" w:color="auto" w:fill="auto"/>
                <w:noWrap/>
                <w:vAlign w:val="center"/>
                <w:hideMark/>
              </w:tcPr>
              <w:p w14:paraId="70536F3A"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Terrenos en construcción</w:t>
                </w:r>
              </w:p>
            </w:tc>
            <w:tc>
              <w:tcPr>
                <w:tcW w:w="1020" w:type="pct"/>
                <w:shd w:val="clear" w:color="auto" w:fill="auto"/>
                <w:noWrap/>
                <w:vAlign w:val="center"/>
                <w:hideMark/>
              </w:tcPr>
              <w:p w14:paraId="4BDEFB6E"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60.449.770.299</w:t>
                </w:r>
              </w:p>
            </w:tc>
            <w:tc>
              <w:tcPr>
                <w:tcW w:w="1076" w:type="pct"/>
                <w:shd w:val="clear" w:color="auto" w:fill="auto"/>
                <w:noWrap/>
                <w:vAlign w:val="center"/>
                <w:hideMark/>
              </w:tcPr>
              <w:p w14:paraId="44609270"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52.082.576.358</w:t>
                </w:r>
              </w:p>
            </w:tc>
            <w:tc>
              <w:tcPr>
                <w:tcW w:w="1076" w:type="pct"/>
                <w:shd w:val="clear" w:color="auto" w:fill="auto"/>
                <w:noWrap/>
                <w:vAlign w:val="center"/>
                <w:hideMark/>
              </w:tcPr>
              <w:p w14:paraId="47DEA69B"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8.367.193.941</w:t>
                </w:r>
              </w:p>
            </w:tc>
          </w:tr>
          <w:tr w:rsidR="00E53C94" w:rsidRPr="00E53C94" w14:paraId="45C1AF1E" w14:textId="77777777" w:rsidTr="00357A89">
            <w:trPr>
              <w:trHeight w:val="340"/>
            </w:trPr>
            <w:tc>
              <w:tcPr>
                <w:tcW w:w="1827" w:type="pct"/>
                <w:shd w:val="clear" w:color="auto" w:fill="auto"/>
                <w:vAlign w:val="center"/>
                <w:hideMark/>
              </w:tcPr>
              <w:p w14:paraId="7D080081" w14:textId="77777777" w:rsidR="00E53C94" w:rsidRPr="00E53C94" w:rsidRDefault="00E53C94" w:rsidP="00E53C94">
                <w:pPr>
                  <w:spacing w:after="0" w:line="240" w:lineRule="auto"/>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SOCIEDAD CONCESIONARIA VIAL MONTES DE MARIA SAS</w:t>
                </w:r>
              </w:p>
            </w:tc>
            <w:tc>
              <w:tcPr>
                <w:tcW w:w="1020" w:type="pct"/>
                <w:shd w:val="clear" w:color="auto" w:fill="auto"/>
                <w:noWrap/>
                <w:vAlign w:val="center"/>
                <w:hideMark/>
              </w:tcPr>
              <w:p w14:paraId="37085238"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913.849.550.227</w:t>
                </w:r>
              </w:p>
            </w:tc>
            <w:tc>
              <w:tcPr>
                <w:tcW w:w="1076" w:type="pct"/>
                <w:shd w:val="clear" w:color="auto" w:fill="auto"/>
                <w:noWrap/>
                <w:vAlign w:val="center"/>
                <w:hideMark/>
              </w:tcPr>
              <w:p w14:paraId="554703D6"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913.666.987.365</w:t>
                </w:r>
              </w:p>
            </w:tc>
            <w:tc>
              <w:tcPr>
                <w:tcW w:w="1076" w:type="pct"/>
                <w:shd w:val="clear" w:color="auto" w:fill="auto"/>
                <w:noWrap/>
                <w:vAlign w:val="center"/>
                <w:hideMark/>
              </w:tcPr>
              <w:p w14:paraId="206B0C40"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182.562.862</w:t>
                </w:r>
              </w:p>
            </w:tc>
          </w:tr>
          <w:tr w:rsidR="00E53C94" w:rsidRPr="00E53C94" w14:paraId="613D2CB8" w14:textId="77777777" w:rsidTr="00357A89">
            <w:trPr>
              <w:trHeight w:val="340"/>
            </w:trPr>
            <w:tc>
              <w:tcPr>
                <w:tcW w:w="1827" w:type="pct"/>
                <w:shd w:val="clear" w:color="auto" w:fill="auto"/>
                <w:noWrap/>
                <w:vAlign w:val="center"/>
                <w:hideMark/>
              </w:tcPr>
              <w:p w14:paraId="3267F0C2"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Activos intangibles en concesión</w:t>
                </w:r>
              </w:p>
            </w:tc>
            <w:tc>
              <w:tcPr>
                <w:tcW w:w="1020" w:type="pct"/>
                <w:shd w:val="clear" w:color="auto" w:fill="auto"/>
                <w:noWrap/>
                <w:vAlign w:val="center"/>
                <w:hideMark/>
              </w:tcPr>
              <w:p w14:paraId="588C1AAA"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759.077.977</w:t>
                </w:r>
              </w:p>
            </w:tc>
            <w:tc>
              <w:tcPr>
                <w:tcW w:w="1076" w:type="pct"/>
                <w:shd w:val="clear" w:color="auto" w:fill="auto"/>
                <w:noWrap/>
                <w:vAlign w:val="center"/>
                <w:hideMark/>
              </w:tcPr>
              <w:p w14:paraId="11E7E3F2"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759.077.977</w:t>
                </w:r>
              </w:p>
            </w:tc>
            <w:tc>
              <w:tcPr>
                <w:tcW w:w="1076" w:type="pct"/>
                <w:shd w:val="clear" w:color="auto" w:fill="auto"/>
                <w:noWrap/>
                <w:vAlign w:val="center"/>
                <w:hideMark/>
              </w:tcPr>
              <w:p w14:paraId="08207BE1"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0</w:t>
                </w:r>
              </w:p>
            </w:tc>
          </w:tr>
          <w:tr w:rsidR="00E53C94" w:rsidRPr="00E53C94" w14:paraId="68ACA41C" w14:textId="77777777" w:rsidTr="00357A89">
            <w:trPr>
              <w:trHeight w:val="340"/>
            </w:trPr>
            <w:tc>
              <w:tcPr>
                <w:tcW w:w="1827" w:type="pct"/>
                <w:shd w:val="clear" w:color="auto" w:fill="auto"/>
                <w:noWrap/>
                <w:vAlign w:val="center"/>
                <w:hideMark/>
              </w:tcPr>
              <w:p w14:paraId="02E981B6"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Propiedades, planta y equipo en concesión</w:t>
                </w:r>
              </w:p>
            </w:tc>
            <w:tc>
              <w:tcPr>
                <w:tcW w:w="1020" w:type="pct"/>
                <w:shd w:val="clear" w:color="auto" w:fill="auto"/>
                <w:noWrap/>
                <w:vAlign w:val="center"/>
                <w:hideMark/>
              </w:tcPr>
              <w:p w14:paraId="5321E80D"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17.389.701.836</w:t>
                </w:r>
              </w:p>
            </w:tc>
            <w:tc>
              <w:tcPr>
                <w:tcW w:w="1076" w:type="pct"/>
                <w:shd w:val="clear" w:color="auto" w:fill="auto"/>
                <w:noWrap/>
                <w:vAlign w:val="center"/>
                <w:hideMark/>
              </w:tcPr>
              <w:p w14:paraId="56D018C2"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17.944.762.016</w:t>
                </w:r>
              </w:p>
            </w:tc>
            <w:tc>
              <w:tcPr>
                <w:tcW w:w="1076" w:type="pct"/>
                <w:shd w:val="clear" w:color="auto" w:fill="auto"/>
                <w:noWrap/>
                <w:vAlign w:val="center"/>
                <w:hideMark/>
              </w:tcPr>
              <w:p w14:paraId="0852B9C0"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-555.060.180</w:t>
                </w:r>
              </w:p>
            </w:tc>
          </w:tr>
          <w:tr w:rsidR="00E53C94" w:rsidRPr="00E53C94" w14:paraId="0CAD7034" w14:textId="77777777" w:rsidTr="00357A89">
            <w:trPr>
              <w:trHeight w:val="340"/>
            </w:trPr>
            <w:tc>
              <w:tcPr>
                <w:tcW w:w="1827" w:type="pct"/>
                <w:shd w:val="clear" w:color="auto" w:fill="auto"/>
                <w:noWrap/>
                <w:vAlign w:val="center"/>
                <w:hideMark/>
              </w:tcPr>
              <w:p w14:paraId="4220AA34"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Red carretera en servicio</w:t>
                </w:r>
              </w:p>
            </w:tc>
            <w:tc>
              <w:tcPr>
                <w:tcW w:w="1020" w:type="pct"/>
                <w:shd w:val="clear" w:color="auto" w:fill="auto"/>
                <w:noWrap/>
                <w:vAlign w:val="center"/>
                <w:hideMark/>
              </w:tcPr>
              <w:p w14:paraId="7A2E532C"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887.364.385.879</w:t>
                </w:r>
              </w:p>
            </w:tc>
            <w:tc>
              <w:tcPr>
                <w:tcW w:w="1076" w:type="pct"/>
                <w:shd w:val="clear" w:color="auto" w:fill="auto"/>
                <w:noWrap/>
                <w:vAlign w:val="center"/>
                <w:hideMark/>
              </w:tcPr>
              <w:p w14:paraId="5E39A75C"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888.269.855.953</w:t>
                </w:r>
              </w:p>
            </w:tc>
            <w:tc>
              <w:tcPr>
                <w:tcW w:w="1076" w:type="pct"/>
                <w:shd w:val="clear" w:color="auto" w:fill="auto"/>
                <w:noWrap/>
                <w:vAlign w:val="center"/>
                <w:hideMark/>
              </w:tcPr>
              <w:p w14:paraId="64D64F4F"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-905.470.074</w:t>
                </w:r>
              </w:p>
            </w:tc>
          </w:tr>
          <w:tr w:rsidR="00E53C94" w:rsidRPr="00E53C94" w14:paraId="48D572BB" w14:textId="77777777" w:rsidTr="00357A89">
            <w:trPr>
              <w:trHeight w:val="340"/>
            </w:trPr>
            <w:tc>
              <w:tcPr>
                <w:tcW w:w="1827" w:type="pct"/>
                <w:shd w:val="clear" w:color="auto" w:fill="auto"/>
                <w:noWrap/>
                <w:vAlign w:val="center"/>
                <w:hideMark/>
              </w:tcPr>
              <w:p w14:paraId="74B640F2"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Terrenos en servicio</w:t>
                </w:r>
              </w:p>
            </w:tc>
            <w:tc>
              <w:tcPr>
                <w:tcW w:w="1020" w:type="pct"/>
                <w:shd w:val="clear" w:color="auto" w:fill="auto"/>
                <w:noWrap/>
                <w:vAlign w:val="center"/>
                <w:hideMark/>
              </w:tcPr>
              <w:p w14:paraId="0EE67DC0"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8.336.384.535</w:t>
                </w:r>
              </w:p>
            </w:tc>
            <w:tc>
              <w:tcPr>
                <w:tcW w:w="1076" w:type="pct"/>
                <w:shd w:val="clear" w:color="auto" w:fill="auto"/>
                <w:noWrap/>
                <w:vAlign w:val="center"/>
                <w:hideMark/>
              </w:tcPr>
              <w:p w14:paraId="3B72EFB7"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6.693.291.419</w:t>
                </w:r>
              </w:p>
            </w:tc>
            <w:tc>
              <w:tcPr>
                <w:tcW w:w="1076" w:type="pct"/>
                <w:shd w:val="clear" w:color="auto" w:fill="auto"/>
                <w:noWrap/>
                <w:vAlign w:val="center"/>
                <w:hideMark/>
              </w:tcPr>
              <w:p w14:paraId="43630577"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1.643.093.116</w:t>
                </w:r>
              </w:p>
            </w:tc>
          </w:tr>
          <w:tr w:rsidR="00E53C94" w:rsidRPr="00E53C94" w14:paraId="5C323852" w14:textId="77777777" w:rsidTr="00357A89">
            <w:trPr>
              <w:trHeight w:val="340"/>
            </w:trPr>
            <w:tc>
              <w:tcPr>
                <w:tcW w:w="1827" w:type="pct"/>
                <w:shd w:val="clear" w:color="auto" w:fill="auto"/>
                <w:noWrap/>
                <w:vAlign w:val="center"/>
                <w:hideMark/>
              </w:tcPr>
              <w:p w14:paraId="3F9F5B3B" w14:textId="77777777" w:rsidR="00E53C94" w:rsidRPr="00E53C94" w:rsidRDefault="00E53C94" w:rsidP="00E53C94">
                <w:pPr>
                  <w:spacing w:after="0" w:line="240" w:lineRule="auto"/>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UNION VIAL RIO PAMPLONITA SAS</w:t>
                </w:r>
              </w:p>
            </w:tc>
            <w:tc>
              <w:tcPr>
                <w:tcW w:w="1020" w:type="pct"/>
                <w:shd w:val="clear" w:color="auto" w:fill="auto"/>
                <w:noWrap/>
                <w:vAlign w:val="center"/>
                <w:hideMark/>
              </w:tcPr>
              <w:p w14:paraId="5F7BC478"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1.811.494.288.449</w:t>
                </w:r>
              </w:p>
            </w:tc>
            <w:tc>
              <w:tcPr>
                <w:tcW w:w="1076" w:type="pct"/>
                <w:shd w:val="clear" w:color="auto" w:fill="auto"/>
                <w:noWrap/>
                <w:vAlign w:val="center"/>
                <w:hideMark/>
              </w:tcPr>
              <w:p w14:paraId="2A2D07DC"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1.398.856.269.723</w:t>
                </w:r>
              </w:p>
            </w:tc>
            <w:tc>
              <w:tcPr>
                <w:tcW w:w="1076" w:type="pct"/>
                <w:shd w:val="clear" w:color="auto" w:fill="auto"/>
                <w:noWrap/>
                <w:vAlign w:val="center"/>
                <w:hideMark/>
              </w:tcPr>
              <w:p w14:paraId="1C935BB7"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412.638.018.726</w:t>
                </w:r>
              </w:p>
            </w:tc>
          </w:tr>
          <w:tr w:rsidR="00E53C94" w:rsidRPr="00E53C94" w14:paraId="0BC4E500" w14:textId="77777777" w:rsidTr="00357A89">
            <w:trPr>
              <w:trHeight w:val="340"/>
            </w:trPr>
            <w:tc>
              <w:tcPr>
                <w:tcW w:w="1827" w:type="pct"/>
                <w:shd w:val="clear" w:color="auto" w:fill="auto"/>
                <w:noWrap/>
                <w:vAlign w:val="center"/>
                <w:hideMark/>
              </w:tcPr>
              <w:p w14:paraId="0DA78E83"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Activos intangibles en concesión</w:t>
                </w:r>
              </w:p>
            </w:tc>
            <w:tc>
              <w:tcPr>
                <w:tcW w:w="1020" w:type="pct"/>
                <w:shd w:val="clear" w:color="auto" w:fill="auto"/>
                <w:noWrap/>
                <w:vAlign w:val="center"/>
                <w:hideMark/>
              </w:tcPr>
              <w:p w14:paraId="70130091"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43.840.662</w:t>
                </w:r>
              </w:p>
            </w:tc>
            <w:tc>
              <w:tcPr>
                <w:tcW w:w="1076" w:type="pct"/>
                <w:shd w:val="clear" w:color="auto" w:fill="auto"/>
                <w:noWrap/>
                <w:vAlign w:val="center"/>
                <w:hideMark/>
              </w:tcPr>
              <w:p w14:paraId="2409B7BC"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43.840.662</w:t>
                </w:r>
              </w:p>
            </w:tc>
            <w:tc>
              <w:tcPr>
                <w:tcW w:w="1076" w:type="pct"/>
                <w:shd w:val="clear" w:color="auto" w:fill="auto"/>
                <w:noWrap/>
                <w:vAlign w:val="center"/>
                <w:hideMark/>
              </w:tcPr>
              <w:p w14:paraId="23DA60EB"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0</w:t>
                </w:r>
              </w:p>
            </w:tc>
          </w:tr>
          <w:tr w:rsidR="00E53C94" w:rsidRPr="00E53C94" w14:paraId="736A523F" w14:textId="77777777" w:rsidTr="00357A89">
            <w:trPr>
              <w:trHeight w:val="340"/>
            </w:trPr>
            <w:tc>
              <w:tcPr>
                <w:tcW w:w="1827" w:type="pct"/>
                <w:shd w:val="clear" w:color="auto" w:fill="auto"/>
                <w:noWrap/>
                <w:vAlign w:val="center"/>
                <w:hideMark/>
              </w:tcPr>
              <w:p w14:paraId="1B91EB5F"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Propiedades, planta y equipo en concesión</w:t>
                </w:r>
              </w:p>
            </w:tc>
            <w:tc>
              <w:tcPr>
                <w:tcW w:w="1020" w:type="pct"/>
                <w:shd w:val="clear" w:color="auto" w:fill="auto"/>
                <w:noWrap/>
                <w:vAlign w:val="center"/>
                <w:hideMark/>
              </w:tcPr>
              <w:p w14:paraId="47FF6218"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22.107.599.123</w:t>
                </w:r>
              </w:p>
            </w:tc>
            <w:tc>
              <w:tcPr>
                <w:tcW w:w="1076" w:type="pct"/>
                <w:shd w:val="clear" w:color="auto" w:fill="auto"/>
                <w:noWrap/>
                <w:vAlign w:val="center"/>
                <w:hideMark/>
              </w:tcPr>
              <w:p w14:paraId="2B63109B"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18.213.947.923</w:t>
                </w:r>
              </w:p>
            </w:tc>
            <w:tc>
              <w:tcPr>
                <w:tcW w:w="1076" w:type="pct"/>
                <w:shd w:val="clear" w:color="auto" w:fill="auto"/>
                <w:noWrap/>
                <w:vAlign w:val="center"/>
                <w:hideMark/>
              </w:tcPr>
              <w:p w14:paraId="1280D4A4"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3.893.651.200</w:t>
                </w:r>
              </w:p>
            </w:tc>
          </w:tr>
          <w:tr w:rsidR="00E53C94" w:rsidRPr="00E53C94" w14:paraId="04577065" w14:textId="77777777" w:rsidTr="00357A89">
            <w:trPr>
              <w:trHeight w:val="340"/>
            </w:trPr>
            <w:tc>
              <w:tcPr>
                <w:tcW w:w="1827" w:type="pct"/>
                <w:shd w:val="clear" w:color="auto" w:fill="auto"/>
                <w:noWrap/>
                <w:vAlign w:val="center"/>
                <w:hideMark/>
              </w:tcPr>
              <w:p w14:paraId="50E21D58"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Red carretera en construcción</w:t>
                </w:r>
              </w:p>
            </w:tc>
            <w:tc>
              <w:tcPr>
                <w:tcW w:w="1020" w:type="pct"/>
                <w:shd w:val="clear" w:color="auto" w:fill="auto"/>
                <w:noWrap/>
                <w:vAlign w:val="center"/>
                <w:hideMark/>
              </w:tcPr>
              <w:p w14:paraId="0D8C8686"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1.718.371.549.937</w:t>
                </w:r>
              </w:p>
            </w:tc>
            <w:tc>
              <w:tcPr>
                <w:tcW w:w="1076" w:type="pct"/>
                <w:shd w:val="clear" w:color="auto" w:fill="auto"/>
                <w:noWrap/>
                <w:vAlign w:val="center"/>
                <w:hideMark/>
              </w:tcPr>
              <w:p w14:paraId="63117614"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1.312.452.416.119</w:t>
                </w:r>
              </w:p>
            </w:tc>
            <w:tc>
              <w:tcPr>
                <w:tcW w:w="1076" w:type="pct"/>
                <w:shd w:val="clear" w:color="auto" w:fill="auto"/>
                <w:noWrap/>
                <w:vAlign w:val="center"/>
                <w:hideMark/>
              </w:tcPr>
              <w:p w14:paraId="2FEBCE55"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405.919.133.818</w:t>
                </w:r>
              </w:p>
            </w:tc>
          </w:tr>
          <w:tr w:rsidR="00E53C94" w:rsidRPr="00E53C94" w14:paraId="0EC589C4" w14:textId="77777777" w:rsidTr="00357A89">
            <w:trPr>
              <w:trHeight w:val="340"/>
            </w:trPr>
            <w:tc>
              <w:tcPr>
                <w:tcW w:w="1827" w:type="pct"/>
                <w:shd w:val="clear" w:color="auto" w:fill="auto"/>
                <w:noWrap/>
                <w:vAlign w:val="center"/>
                <w:hideMark/>
              </w:tcPr>
              <w:p w14:paraId="297F7A2E"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Terrenos en construcción</w:t>
                </w:r>
              </w:p>
            </w:tc>
            <w:tc>
              <w:tcPr>
                <w:tcW w:w="1020" w:type="pct"/>
                <w:shd w:val="clear" w:color="auto" w:fill="auto"/>
                <w:noWrap/>
                <w:vAlign w:val="center"/>
                <w:hideMark/>
              </w:tcPr>
              <w:p w14:paraId="1A7F05FD"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70.971.298.727</w:t>
                </w:r>
              </w:p>
            </w:tc>
            <w:tc>
              <w:tcPr>
                <w:tcW w:w="1076" w:type="pct"/>
                <w:shd w:val="clear" w:color="auto" w:fill="auto"/>
                <w:noWrap/>
                <w:vAlign w:val="center"/>
                <w:hideMark/>
              </w:tcPr>
              <w:p w14:paraId="16157522"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68.146.065.019</w:t>
                </w:r>
              </w:p>
            </w:tc>
            <w:tc>
              <w:tcPr>
                <w:tcW w:w="1076" w:type="pct"/>
                <w:shd w:val="clear" w:color="auto" w:fill="auto"/>
                <w:noWrap/>
                <w:vAlign w:val="center"/>
                <w:hideMark/>
              </w:tcPr>
              <w:p w14:paraId="503B51FF"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2.825.233.708</w:t>
                </w:r>
              </w:p>
            </w:tc>
          </w:tr>
          <w:tr w:rsidR="00E53C94" w:rsidRPr="00E53C94" w14:paraId="36C5939B" w14:textId="77777777" w:rsidTr="00357A89">
            <w:trPr>
              <w:trHeight w:val="340"/>
            </w:trPr>
            <w:tc>
              <w:tcPr>
                <w:tcW w:w="1827" w:type="pct"/>
                <w:shd w:val="clear" w:color="auto" w:fill="auto"/>
                <w:noWrap/>
                <w:vAlign w:val="center"/>
                <w:hideMark/>
              </w:tcPr>
              <w:p w14:paraId="4B42EDC8" w14:textId="77777777" w:rsidR="00E53C94" w:rsidRPr="00E53C94" w:rsidRDefault="00E53C94" w:rsidP="00E53C94">
                <w:pPr>
                  <w:spacing w:after="0" w:line="240" w:lineRule="auto"/>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VÍA 40 EXPRESS S.A.S.</w:t>
                </w:r>
              </w:p>
            </w:tc>
            <w:tc>
              <w:tcPr>
                <w:tcW w:w="1020" w:type="pct"/>
                <w:shd w:val="clear" w:color="auto" w:fill="auto"/>
                <w:noWrap/>
                <w:vAlign w:val="center"/>
                <w:hideMark/>
              </w:tcPr>
              <w:p w14:paraId="61A8F9BB"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3.625.747.315.147</w:t>
                </w:r>
              </w:p>
            </w:tc>
            <w:tc>
              <w:tcPr>
                <w:tcW w:w="1076" w:type="pct"/>
                <w:shd w:val="clear" w:color="auto" w:fill="auto"/>
                <w:noWrap/>
                <w:vAlign w:val="center"/>
                <w:hideMark/>
              </w:tcPr>
              <w:p w14:paraId="2A81603D"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2.786.501.087.875</w:t>
                </w:r>
              </w:p>
            </w:tc>
            <w:tc>
              <w:tcPr>
                <w:tcW w:w="1076" w:type="pct"/>
                <w:shd w:val="clear" w:color="auto" w:fill="auto"/>
                <w:noWrap/>
                <w:vAlign w:val="center"/>
                <w:hideMark/>
              </w:tcPr>
              <w:p w14:paraId="4055CDD1"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839.246.227.272</w:t>
                </w:r>
              </w:p>
            </w:tc>
          </w:tr>
          <w:tr w:rsidR="00E53C94" w:rsidRPr="00E53C94" w14:paraId="351394E2" w14:textId="77777777" w:rsidTr="00357A89">
            <w:trPr>
              <w:trHeight w:val="340"/>
            </w:trPr>
            <w:tc>
              <w:tcPr>
                <w:tcW w:w="1827" w:type="pct"/>
                <w:shd w:val="clear" w:color="auto" w:fill="auto"/>
                <w:noWrap/>
                <w:vAlign w:val="center"/>
                <w:hideMark/>
              </w:tcPr>
              <w:p w14:paraId="54BC827D"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Activos intangibles en concesión</w:t>
                </w:r>
              </w:p>
            </w:tc>
            <w:tc>
              <w:tcPr>
                <w:tcW w:w="1020" w:type="pct"/>
                <w:shd w:val="clear" w:color="auto" w:fill="auto"/>
                <w:noWrap/>
                <w:vAlign w:val="center"/>
                <w:hideMark/>
              </w:tcPr>
              <w:p w14:paraId="5EE6E5CD"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243.159.263</w:t>
                </w:r>
              </w:p>
            </w:tc>
            <w:tc>
              <w:tcPr>
                <w:tcW w:w="1076" w:type="pct"/>
                <w:shd w:val="clear" w:color="auto" w:fill="auto"/>
                <w:noWrap/>
                <w:vAlign w:val="center"/>
                <w:hideMark/>
              </w:tcPr>
              <w:p w14:paraId="5B0AD4FE"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220.925.528</w:t>
                </w:r>
              </w:p>
            </w:tc>
            <w:tc>
              <w:tcPr>
                <w:tcW w:w="1076" w:type="pct"/>
                <w:shd w:val="clear" w:color="auto" w:fill="auto"/>
                <w:noWrap/>
                <w:vAlign w:val="center"/>
                <w:hideMark/>
              </w:tcPr>
              <w:p w14:paraId="499A0737"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22.233.735</w:t>
                </w:r>
              </w:p>
            </w:tc>
          </w:tr>
          <w:tr w:rsidR="00E53C94" w:rsidRPr="00E53C94" w14:paraId="4E910C90" w14:textId="77777777" w:rsidTr="00357A89">
            <w:trPr>
              <w:trHeight w:val="340"/>
            </w:trPr>
            <w:tc>
              <w:tcPr>
                <w:tcW w:w="1827" w:type="pct"/>
                <w:shd w:val="clear" w:color="auto" w:fill="auto"/>
                <w:noWrap/>
                <w:vAlign w:val="center"/>
                <w:hideMark/>
              </w:tcPr>
              <w:p w14:paraId="4B437C04"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Propiedades, planta y equipo en concesión</w:t>
                </w:r>
              </w:p>
            </w:tc>
            <w:tc>
              <w:tcPr>
                <w:tcW w:w="1020" w:type="pct"/>
                <w:shd w:val="clear" w:color="auto" w:fill="auto"/>
                <w:noWrap/>
                <w:vAlign w:val="center"/>
                <w:hideMark/>
              </w:tcPr>
              <w:p w14:paraId="76F97E17"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18.448.984.125</w:t>
                </w:r>
              </w:p>
            </w:tc>
            <w:tc>
              <w:tcPr>
                <w:tcW w:w="1076" w:type="pct"/>
                <w:shd w:val="clear" w:color="auto" w:fill="auto"/>
                <w:noWrap/>
                <w:vAlign w:val="center"/>
                <w:hideMark/>
              </w:tcPr>
              <w:p w14:paraId="5C6733FC"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12.022.452.480</w:t>
                </w:r>
              </w:p>
            </w:tc>
            <w:tc>
              <w:tcPr>
                <w:tcW w:w="1076" w:type="pct"/>
                <w:shd w:val="clear" w:color="auto" w:fill="auto"/>
                <w:noWrap/>
                <w:vAlign w:val="center"/>
                <w:hideMark/>
              </w:tcPr>
              <w:p w14:paraId="7E423FA8"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6.426.531.645</w:t>
                </w:r>
              </w:p>
            </w:tc>
          </w:tr>
          <w:tr w:rsidR="00E53C94" w:rsidRPr="00E53C94" w14:paraId="180AECE0" w14:textId="77777777" w:rsidTr="00357A89">
            <w:trPr>
              <w:trHeight w:val="340"/>
            </w:trPr>
            <w:tc>
              <w:tcPr>
                <w:tcW w:w="1827" w:type="pct"/>
                <w:shd w:val="clear" w:color="auto" w:fill="auto"/>
                <w:noWrap/>
                <w:vAlign w:val="center"/>
                <w:hideMark/>
              </w:tcPr>
              <w:p w14:paraId="2D9BC5F5"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Red carretera en construcción</w:t>
                </w:r>
              </w:p>
            </w:tc>
            <w:tc>
              <w:tcPr>
                <w:tcW w:w="1020" w:type="pct"/>
                <w:shd w:val="clear" w:color="auto" w:fill="auto"/>
                <w:noWrap/>
                <w:vAlign w:val="center"/>
                <w:hideMark/>
              </w:tcPr>
              <w:p w14:paraId="4C061315"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3.453.570.096.346</w:t>
                </w:r>
              </w:p>
            </w:tc>
            <w:tc>
              <w:tcPr>
                <w:tcW w:w="1076" w:type="pct"/>
                <w:shd w:val="clear" w:color="auto" w:fill="auto"/>
                <w:noWrap/>
                <w:vAlign w:val="center"/>
                <w:hideMark/>
              </w:tcPr>
              <w:p w14:paraId="2016E69F"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2.629.055.319.364</w:t>
                </w:r>
              </w:p>
            </w:tc>
            <w:tc>
              <w:tcPr>
                <w:tcW w:w="1076" w:type="pct"/>
                <w:shd w:val="clear" w:color="auto" w:fill="auto"/>
                <w:noWrap/>
                <w:vAlign w:val="center"/>
                <w:hideMark/>
              </w:tcPr>
              <w:p w14:paraId="299A1B02"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824.514.776.982</w:t>
                </w:r>
              </w:p>
            </w:tc>
          </w:tr>
          <w:tr w:rsidR="00E53C94" w:rsidRPr="00E53C94" w14:paraId="0555E0FE" w14:textId="77777777" w:rsidTr="00357A89">
            <w:trPr>
              <w:trHeight w:val="340"/>
            </w:trPr>
            <w:tc>
              <w:tcPr>
                <w:tcW w:w="1827" w:type="pct"/>
                <w:shd w:val="clear" w:color="auto" w:fill="auto"/>
                <w:noWrap/>
                <w:vAlign w:val="center"/>
                <w:hideMark/>
              </w:tcPr>
              <w:p w14:paraId="762E1C59"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Terrenos en construcción</w:t>
                </w:r>
              </w:p>
            </w:tc>
            <w:tc>
              <w:tcPr>
                <w:tcW w:w="1020" w:type="pct"/>
                <w:shd w:val="clear" w:color="auto" w:fill="auto"/>
                <w:noWrap/>
                <w:vAlign w:val="center"/>
                <w:hideMark/>
              </w:tcPr>
              <w:p w14:paraId="62026D67"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153.485.075.413</w:t>
                </w:r>
              </w:p>
            </w:tc>
            <w:tc>
              <w:tcPr>
                <w:tcW w:w="1076" w:type="pct"/>
                <w:shd w:val="clear" w:color="auto" w:fill="auto"/>
                <w:noWrap/>
                <w:vAlign w:val="center"/>
                <w:hideMark/>
              </w:tcPr>
              <w:p w14:paraId="122BF7FD"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145.202.390.503</w:t>
                </w:r>
              </w:p>
            </w:tc>
            <w:tc>
              <w:tcPr>
                <w:tcW w:w="1076" w:type="pct"/>
                <w:shd w:val="clear" w:color="auto" w:fill="auto"/>
                <w:noWrap/>
                <w:vAlign w:val="center"/>
                <w:hideMark/>
              </w:tcPr>
              <w:p w14:paraId="3BD56A25"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8.282.684.910</w:t>
                </w:r>
              </w:p>
            </w:tc>
          </w:tr>
          <w:tr w:rsidR="00E53C94" w:rsidRPr="00E53C94" w14:paraId="1D1DFE99" w14:textId="77777777" w:rsidTr="00357A89">
            <w:trPr>
              <w:trHeight w:val="340"/>
            </w:trPr>
            <w:tc>
              <w:tcPr>
                <w:tcW w:w="1827" w:type="pct"/>
                <w:shd w:val="clear" w:color="auto" w:fill="auto"/>
                <w:noWrap/>
                <w:vAlign w:val="center"/>
                <w:hideMark/>
              </w:tcPr>
              <w:p w14:paraId="4AA511B1" w14:textId="77777777" w:rsidR="00E53C94" w:rsidRPr="00E53C94" w:rsidRDefault="00E53C94" w:rsidP="00E53C94">
                <w:pPr>
                  <w:spacing w:after="0" w:line="240" w:lineRule="auto"/>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VIAS DE LAS AMERICAS S.A.S.</w:t>
                </w:r>
              </w:p>
            </w:tc>
            <w:tc>
              <w:tcPr>
                <w:tcW w:w="1020" w:type="pct"/>
                <w:shd w:val="clear" w:color="auto" w:fill="auto"/>
                <w:noWrap/>
                <w:vAlign w:val="center"/>
                <w:hideMark/>
              </w:tcPr>
              <w:p w14:paraId="39A48D97"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1.916.948.128.641</w:t>
                </w:r>
              </w:p>
            </w:tc>
            <w:tc>
              <w:tcPr>
                <w:tcW w:w="1076" w:type="pct"/>
                <w:shd w:val="clear" w:color="auto" w:fill="auto"/>
                <w:noWrap/>
                <w:vAlign w:val="center"/>
                <w:hideMark/>
              </w:tcPr>
              <w:p w14:paraId="78D8AEF9"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1.392.115.781.891</w:t>
                </w:r>
              </w:p>
            </w:tc>
            <w:tc>
              <w:tcPr>
                <w:tcW w:w="1076" w:type="pct"/>
                <w:shd w:val="clear" w:color="auto" w:fill="auto"/>
                <w:noWrap/>
                <w:vAlign w:val="center"/>
                <w:hideMark/>
              </w:tcPr>
              <w:p w14:paraId="2BBD6D7C"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524.832.346.750</w:t>
                </w:r>
              </w:p>
            </w:tc>
          </w:tr>
          <w:tr w:rsidR="00E53C94" w:rsidRPr="00E53C94" w14:paraId="4DB58DC2" w14:textId="77777777" w:rsidTr="00357A89">
            <w:trPr>
              <w:trHeight w:val="340"/>
            </w:trPr>
            <w:tc>
              <w:tcPr>
                <w:tcW w:w="1827" w:type="pct"/>
                <w:shd w:val="clear" w:color="auto" w:fill="auto"/>
                <w:noWrap/>
                <w:vAlign w:val="center"/>
                <w:hideMark/>
              </w:tcPr>
              <w:p w14:paraId="22BCF12D"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Red carretera en servicio</w:t>
                </w:r>
              </w:p>
            </w:tc>
            <w:tc>
              <w:tcPr>
                <w:tcW w:w="1020" w:type="pct"/>
                <w:shd w:val="clear" w:color="auto" w:fill="auto"/>
                <w:noWrap/>
                <w:vAlign w:val="center"/>
                <w:hideMark/>
              </w:tcPr>
              <w:p w14:paraId="457D0AA9"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1.622.452.278.492</w:t>
                </w:r>
              </w:p>
            </w:tc>
            <w:tc>
              <w:tcPr>
                <w:tcW w:w="1076" w:type="pct"/>
                <w:shd w:val="clear" w:color="auto" w:fill="auto"/>
                <w:noWrap/>
                <w:vAlign w:val="center"/>
                <w:hideMark/>
              </w:tcPr>
              <w:p w14:paraId="690EE1E3"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1.392.115.781.891</w:t>
                </w:r>
              </w:p>
            </w:tc>
            <w:tc>
              <w:tcPr>
                <w:tcW w:w="1076" w:type="pct"/>
                <w:shd w:val="clear" w:color="auto" w:fill="auto"/>
                <w:noWrap/>
                <w:vAlign w:val="center"/>
                <w:hideMark/>
              </w:tcPr>
              <w:p w14:paraId="7AFCC243"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230.336.496.601</w:t>
                </w:r>
              </w:p>
            </w:tc>
          </w:tr>
          <w:tr w:rsidR="00E53C94" w:rsidRPr="00E53C94" w14:paraId="539E71CA" w14:textId="77777777" w:rsidTr="00357A89">
            <w:trPr>
              <w:trHeight w:val="340"/>
            </w:trPr>
            <w:tc>
              <w:tcPr>
                <w:tcW w:w="1827" w:type="pct"/>
                <w:shd w:val="clear" w:color="auto" w:fill="auto"/>
                <w:noWrap/>
                <w:vAlign w:val="center"/>
                <w:hideMark/>
              </w:tcPr>
              <w:p w14:paraId="490C2A69"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Terrenos en servicio</w:t>
                </w:r>
              </w:p>
            </w:tc>
            <w:tc>
              <w:tcPr>
                <w:tcW w:w="1020" w:type="pct"/>
                <w:shd w:val="clear" w:color="auto" w:fill="auto"/>
                <w:noWrap/>
                <w:vAlign w:val="center"/>
                <w:hideMark/>
              </w:tcPr>
              <w:p w14:paraId="72C3DD4D"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294.495.850.149</w:t>
                </w:r>
              </w:p>
            </w:tc>
            <w:tc>
              <w:tcPr>
                <w:tcW w:w="1076" w:type="pct"/>
                <w:shd w:val="clear" w:color="auto" w:fill="auto"/>
                <w:noWrap/>
                <w:vAlign w:val="center"/>
                <w:hideMark/>
              </w:tcPr>
              <w:p w14:paraId="5F0DC709"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0</w:t>
                </w:r>
              </w:p>
            </w:tc>
            <w:tc>
              <w:tcPr>
                <w:tcW w:w="1076" w:type="pct"/>
                <w:shd w:val="clear" w:color="auto" w:fill="auto"/>
                <w:noWrap/>
                <w:vAlign w:val="center"/>
                <w:hideMark/>
              </w:tcPr>
              <w:p w14:paraId="2E998C0C"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2,94496E+11</w:t>
                </w:r>
              </w:p>
            </w:tc>
          </w:tr>
          <w:tr w:rsidR="00E53C94" w:rsidRPr="00E53C94" w14:paraId="329E81EC" w14:textId="77777777" w:rsidTr="00357A89">
            <w:trPr>
              <w:trHeight w:val="340"/>
            </w:trPr>
            <w:tc>
              <w:tcPr>
                <w:tcW w:w="1827" w:type="pct"/>
                <w:shd w:val="clear" w:color="auto" w:fill="auto"/>
                <w:vAlign w:val="center"/>
                <w:hideMark/>
              </w:tcPr>
              <w:p w14:paraId="00802C87" w14:textId="77777777" w:rsidR="00E53C94" w:rsidRPr="00E53C94" w:rsidRDefault="00E53C94" w:rsidP="00E53C94">
                <w:pPr>
                  <w:spacing w:after="0" w:line="240" w:lineRule="auto"/>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YUMA CONCESIONARIA S A - EN REORGANIZACION</w:t>
                </w:r>
              </w:p>
            </w:tc>
            <w:tc>
              <w:tcPr>
                <w:tcW w:w="1020" w:type="pct"/>
                <w:shd w:val="clear" w:color="auto" w:fill="auto"/>
                <w:noWrap/>
                <w:vAlign w:val="center"/>
                <w:hideMark/>
              </w:tcPr>
              <w:p w14:paraId="5038D7DC"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2.108.151.749.363</w:t>
                </w:r>
              </w:p>
            </w:tc>
            <w:tc>
              <w:tcPr>
                <w:tcW w:w="1076" w:type="pct"/>
                <w:shd w:val="clear" w:color="auto" w:fill="auto"/>
                <w:noWrap/>
                <w:vAlign w:val="center"/>
                <w:hideMark/>
              </w:tcPr>
              <w:p w14:paraId="2FBE0231"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1.529.757.376.635</w:t>
                </w:r>
              </w:p>
            </w:tc>
            <w:tc>
              <w:tcPr>
                <w:tcW w:w="1076" w:type="pct"/>
                <w:shd w:val="clear" w:color="auto" w:fill="auto"/>
                <w:noWrap/>
                <w:vAlign w:val="center"/>
                <w:hideMark/>
              </w:tcPr>
              <w:p w14:paraId="2766ECFE" w14:textId="77777777" w:rsidR="00E53C94" w:rsidRPr="00E53C94" w:rsidRDefault="00E53C94" w:rsidP="00E53C94">
                <w:pPr>
                  <w:spacing w:after="0" w:line="240" w:lineRule="auto"/>
                  <w:jc w:val="right"/>
                  <w:rPr>
                    <w:rFonts w:ascii="Times New Roman" w:eastAsia="Times New Roman" w:hAnsi="Times New Roman"/>
                    <w:b/>
                    <w:bCs/>
                    <w:color w:val="000000"/>
                    <w:sz w:val="16"/>
                    <w:szCs w:val="16"/>
                    <w:lang w:eastAsia="es-CO"/>
                  </w:rPr>
                </w:pPr>
                <w:r w:rsidRPr="00E53C94">
                  <w:rPr>
                    <w:rFonts w:ascii="Times New Roman" w:eastAsia="Times New Roman" w:hAnsi="Times New Roman"/>
                    <w:b/>
                    <w:bCs/>
                    <w:color w:val="000000"/>
                    <w:sz w:val="16"/>
                    <w:szCs w:val="16"/>
                    <w:lang w:eastAsia="es-CO"/>
                  </w:rPr>
                  <w:t>578.394.372.728</w:t>
                </w:r>
              </w:p>
            </w:tc>
          </w:tr>
          <w:tr w:rsidR="00E53C94" w:rsidRPr="00E53C94" w14:paraId="67FECE0A" w14:textId="77777777" w:rsidTr="00357A89">
            <w:trPr>
              <w:trHeight w:val="340"/>
            </w:trPr>
            <w:tc>
              <w:tcPr>
                <w:tcW w:w="1827" w:type="pct"/>
                <w:shd w:val="clear" w:color="auto" w:fill="auto"/>
                <w:noWrap/>
                <w:vAlign w:val="center"/>
                <w:hideMark/>
              </w:tcPr>
              <w:p w14:paraId="05EB16AD"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Propiedades, planta y equipo en concesión</w:t>
                </w:r>
              </w:p>
            </w:tc>
            <w:tc>
              <w:tcPr>
                <w:tcW w:w="1020" w:type="pct"/>
                <w:shd w:val="clear" w:color="auto" w:fill="auto"/>
                <w:noWrap/>
                <w:vAlign w:val="center"/>
                <w:hideMark/>
              </w:tcPr>
              <w:p w14:paraId="26D19974"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17.312.320.119</w:t>
                </w:r>
              </w:p>
            </w:tc>
            <w:tc>
              <w:tcPr>
                <w:tcW w:w="1076" w:type="pct"/>
                <w:shd w:val="clear" w:color="auto" w:fill="auto"/>
                <w:noWrap/>
                <w:vAlign w:val="center"/>
                <w:hideMark/>
              </w:tcPr>
              <w:p w14:paraId="51F8D03B"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13.054.421.560</w:t>
                </w:r>
              </w:p>
            </w:tc>
            <w:tc>
              <w:tcPr>
                <w:tcW w:w="1076" w:type="pct"/>
                <w:shd w:val="clear" w:color="auto" w:fill="auto"/>
                <w:noWrap/>
                <w:vAlign w:val="center"/>
                <w:hideMark/>
              </w:tcPr>
              <w:p w14:paraId="51594026"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4.257.898.559</w:t>
                </w:r>
              </w:p>
            </w:tc>
          </w:tr>
          <w:tr w:rsidR="00E53C94" w:rsidRPr="00E53C94" w14:paraId="1DBA05D8" w14:textId="77777777" w:rsidTr="00357A89">
            <w:trPr>
              <w:trHeight w:val="340"/>
            </w:trPr>
            <w:tc>
              <w:tcPr>
                <w:tcW w:w="1827" w:type="pct"/>
                <w:shd w:val="clear" w:color="auto" w:fill="auto"/>
                <w:noWrap/>
                <w:vAlign w:val="center"/>
                <w:hideMark/>
              </w:tcPr>
              <w:p w14:paraId="3533467A"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Red carretera en construcción</w:t>
                </w:r>
              </w:p>
            </w:tc>
            <w:tc>
              <w:tcPr>
                <w:tcW w:w="1020" w:type="pct"/>
                <w:shd w:val="clear" w:color="auto" w:fill="auto"/>
                <w:noWrap/>
                <w:vAlign w:val="center"/>
                <w:hideMark/>
              </w:tcPr>
              <w:p w14:paraId="0B237EEE"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2.057.132.599.811</w:t>
                </w:r>
              </w:p>
            </w:tc>
            <w:tc>
              <w:tcPr>
                <w:tcW w:w="1076" w:type="pct"/>
                <w:shd w:val="clear" w:color="auto" w:fill="auto"/>
                <w:noWrap/>
                <w:vAlign w:val="center"/>
                <w:hideMark/>
              </w:tcPr>
              <w:p w14:paraId="6BC9244F"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1.516.556.245.546</w:t>
                </w:r>
              </w:p>
            </w:tc>
            <w:tc>
              <w:tcPr>
                <w:tcW w:w="1076" w:type="pct"/>
                <w:shd w:val="clear" w:color="auto" w:fill="auto"/>
                <w:noWrap/>
                <w:vAlign w:val="center"/>
                <w:hideMark/>
              </w:tcPr>
              <w:p w14:paraId="1E82DF37"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540.576.354.265</w:t>
                </w:r>
              </w:p>
            </w:tc>
          </w:tr>
          <w:tr w:rsidR="00E53C94" w:rsidRPr="00E53C94" w14:paraId="6B3BD39D" w14:textId="77777777" w:rsidTr="00357A89">
            <w:trPr>
              <w:trHeight w:val="340"/>
            </w:trPr>
            <w:tc>
              <w:tcPr>
                <w:tcW w:w="1827" w:type="pct"/>
                <w:shd w:val="clear" w:color="auto" w:fill="auto"/>
                <w:noWrap/>
                <w:vAlign w:val="center"/>
                <w:hideMark/>
              </w:tcPr>
              <w:p w14:paraId="047EE02D" w14:textId="77777777" w:rsidR="00E53C94" w:rsidRPr="00E53C94" w:rsidRDefault="00E53C94" w:rsidP="00E53C94">
                <w:pPr>
                  <w:spacing w:after="0" w:line="240" w:lineRule="auto"/>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Terrenos en construcción</w:t>
                </w:r>
              </w:p>
            </w:tc>
            <w:tc>
              <w:tcPr>
                <w:tcW w:w="1020" w:type="pct"/>
                <w:shd w:val="clear" w:color="auto" w:fill="auto"/>
                <w:noWrap/>
                <w:vAlign w:val="center"/>
                <w:hideMark/>
              </w:tcPr>
              <w:p w14:paraId="126AD460"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33.706.829.433</w:t>
                </w:r>
              </w:p>
            </w:tc>
            <w:tc>
              <w:tcPr>
                <w:tcW w:w="1076" w:type="pct"/>
                <w:shd w:val="clear" w:color="auto" w:fill="auto"/>
                <w:noWrap/>
                <w:vAlign w:val="center"/>
                <w:hideMark/>
              </w:tcPr>
              <w:p w14:paraId="276218EE"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146.709.529</w:t>
                </w:r>
              </w:p>
            </w:tc>
            <w:tc>
              <w:tcPr>
                <w:tcW w:w="1076" w:type="pct"/>
                <w:shd w:val="clear" w:color="auto" w:fill="auto"/>
                <w:noWrap/>
                <w:vAlign w:val="center"/>
                <w:hideMark/>
              </w:tcPr>
              <w:p w14:paraId="796322D2" w14:textId="77777777" w:rsidR="00E53C94" w:rsidRPr="00E53C94" w:rsidRDefault="00E53C94" w:rsidP="00E53C94">
                <w:pPr>
                  <w:spacing w:after="0" w:line="240" w:lineRule="auto"/>
                  <w:jc w:val="right"/>
                  <w:rPr>
                    <w:rFonts w:ascii="Times New Roman" w:eastAsia="Times New Roman" w:hAnsi="Times New Roman"/>
                    <w:color w:val="000000"/>
                    <w:sz w:val="16"/>
                    <w:szCs w:val="16"/>
                    <w:lang w:eastAsia="es-CO"/>
                  </w:rPr>
                </w:pPr>
                <w:r w:rsidRPr="00E53C94">
                  <w:rPr>
                    <w:rFonts w:ascii="Times New Roman" w:eastAsia="Times New Roman" w:hAnsi="Times New Roman"/>
                    <w:color w:val="000000"/>
                    <w:sz w:val="16"/>
                    <w:szCs w:val="16"/>
                    <w:lang w:eastAsia="es-CO"/>
                  </w:rPr>
                  <w:t>33.560.119.904</w:t>
                </w:r>
              </w:p>
            </w:tc>
          </w:tr>
        </w:tbl>
        <w:p w14:paraId="3522EF54" w14:textId="6F99F10A" w:rsidR="00B02867" w:rsidRPr="002C5C6B" w:rsidRDefault="002C5C6B" w:rsidP="00B02867">
          <w:pPr>
            <w:rPr>
              <w:rFonts w:ascii="Times New Roman" w:hAnsi="Times New Roman"/>
              <w:sz w:val="14"/>
              <w:szCs w:val="14"/>
            </w:rPr>
          </w:pPr>
          <w:r w:rsidRPr="002C5C6B">
            <w:rPr>
              <w:rFonts w:ascii="Times New Roman" w:hAnsi="Times New Roman"/>
              <w:sz w:val="14"/>
              <w:szCs w:val="14"/>
            </w:rPr>
            <w:t>Cifras expresadas en pesos</w:t>
          </w:r>
        </w:p>
        <w:p w14:paraId="28E52F79" w14:textId="77777777" w:rsidR="00EE15E8" w:rsidRDefault="00EE15E8" w:rsidP="007803E3">
          <w:pPr>
            <w:rPr>
              <w:rFonts w:ascii="Times New Roman" w:hAnsi="Times New Roman"/>
              <w:b/>
              <w:sz w:val="24"/>
              <w:szCs w:val="24"/>
              <w:lang w:val="es-MX"/>
            </w:rPr>
          </w:pPr>
          <w:bookmarkStart w:id="126" w:name="_Hlk62826888"/>
        </w:p>
        <w:p w14:paraId="52AB952B" w14:textId="24353955"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POPAYAN SANTANDER DE QUILICHAO</w:t>
          </w:r>
        </w:p>
        <w:p w14:paraId="1B866379" w14:textId="77777777" w:rsidR="007803E3" w:rsidRPr="0020113A" w:rsidRDefault="007803E3" w:rsidP="000C447D">
          <w:pPr>
            <w:pStyle w:val="Prrafodelista"/>
            <w:numPr>
              <w:ilvl w:val="0"/>
              <w:numId w:val="60"/>
            </w:numPr>
            <w:spacing w:line="259" w:lineRule="auto"/>
            <w:rPr>
              <w:rFonts w:ascii="Times New Roman" w:hAnsi="Times New Roman"/>
              <w:b/>
              <w:sz w:val="24"/>
              <w:szCs w:val="24"/>
              <w:lang w:val="es-MX"/>
            </w:rPr>
          </w:pPr>
          <w:r w:rsidRPr="0020113A">
            <w:rPr>
              <w:rFonts w:ascii="Times New Roman" w:hAnsi="Times New Roman"/>
              <w:b/>
              <w:sz w:val="24"/>
              <w:szCs w:val="24"/>
              <w:lang w:val="es-MX"/>
            </w:rPr>
            <w:t>Descripción del Acuerdo</w:t>
          </w:r>
        </w:p>
        <w:p w14:paraId="0DA2CC10" w14:textId="77777777" w:rsidR="007803E3" w:rsidRPr="0020113A" w:rsidRDefault="007803E3" w:rsidP="18BAD2EC">
          <w:pPr>
            <w:spacing w:after="0"/>
            <w:rPr>
              <w:rFonts w:ascii="Times New Roman" w:hAnsi="Times New Roman"/>
              <w:b/>
              <w:sz w:val="24"/>
              <w:szCs w:val="24"/>
              <w:lang w:val="es-MX"/>
            </w:rPr>
          </w:pPr>
          <w:r w:rsidRPr="0020113A">
            <w:rPr>
              <w:rFonts w:ascii="Times New Roman" w:hAnsi="Times New Roman"/>
              <w:b/>
              <w:sz w:val="24"/>
              <w:szCs w:val="24"/>
              <w:lang w:val="es-MX"/>
            </w:rPr>
            <w:t xml:space="preserve">Número del Acuerdo de Concesión:  </w:t>
          </w:r>
          <w:r w:rsidRPr="0020113A">
            <w:rPr>
              <w:rFonts w:ascii="Times New Roman" w:hAnsi="Times New Roman"/>
              <w:sz w:val="24"/>
              <w:szCs w:val="24"/>
              <w:lang w:val="es-MX"/>
            </w:rPr>
            <w:t>Nº11 del 11 de agosto de 2015</w:t>
          </w:r>
        </w:p>
        <w:p w14:paraId="397B30A5" w14:textId="35A99F47" w:rsidR="007803E3" w:rsidRPr="0020113A" w:rsidRDefault="007803E3" w:rsidP="18BAD2EC">
          <w:pPr>
            <w:spacing w:after="0"/>
            <w:jc w:val="both"/>
            <w:rPr>
              <w:rFonts w:ascii="Times New Roman" w:hAnsi="Times New Roman"/>
              <w:sz w:val="24"/>
              <w:szCs w:val="24"/>
              <w:lang w:val="es-MX"/>
            </w:rPr>
          </w:pPr>
          <w:r w:rsidRPr="0020113A">
            <w:rPr>
              <w:rFonts w:ascii="Times New Roman" w:hAnsi="Times New Roman"/>
              <w:b/>
              <w:sz w:val="24"/>
              <w:szCs w:val="24"/>
              <w:lang w:val="es-MX"/>
            </w:rPr>
            <w:lastRenderedPageBreak/>
            <w:t xml:space="preserve">Objeto / Descripción: </w:t>
          </w:r>
          <w:r w:rsidRPr="0020113A">
            <w:rPr>
              <w:rFonts w:ascii="Times New Roman" w:hAnsi="Times New Roman"/>
              <w:sz w:val="24"/>
              <w:szCs w:val="24"/>
              <w:lang w:val="es-MX"/>
            </w:rPr>
            <w:t xml:space="preserve">De acuerdo </w:t>
          </w:r>
          <w:r w:rsidR="00AB668B" w:rsidRPr="009A46BB">
            <w:rPr>
              <w:rFonts w:ascii="Times New Roman" w:hAnsi="Times New Roman"/>
              <w:sz w:val="24"/>
              <w:szCs w:val="24"/>
              <w:lang w:val="es-MX"/>
            </w:rPr>
            <w:t>con el</w:t>
          </w:r>
          <w:r w:rsidRPr="0020113A">
            <w:rPr>
              <w:rFonts w:ascii="Times New Roman" w:hAnsi="Times New Roman"/>
              <w:sz w:val="24"/>
              <w:szCs w:val="24"/>
              <w:lang w:val="es-MX"/>
            </w:rPr>
            <w:t xml:space="preserve"> numeral 2.1 del Capítulo II de la Parte General del Contrato de Concesión se tiene que: “El presente Contrato de concesión bajo un esquema de asociación público-privada en los términos de la Ley 1508 de 2012, tiene por objeto el otorgamiento de una concesión para que</w:t>
          </w:r>
          <w:r w:rsidR="00C50AD6" w:rsidRPr="18BAD2EC">
            <w:rPr>
              <w:rFonts w:ascii="Times New Roman" w:hAnsi="Times New Roman"/>
              <w:sz w:val="24"/>
              <w:szCs w:val="24"/>
              <w:lang w:val="es-MX"/>
            </w:rPr>
            <w:t>,</w:t>
          </w:r>
          <w:r w:rsidRPr="0020113A">
            <w:rPr>
              <w:rFonts w:ascii="Times New Roman" w:hAnsi="Times New Roman"/>
              <w:sz w:val="24"/>
              <w:szCs w:val="24"/>
              <w:lang w:val="es-MX"/>
            </w:rPr>
            <w:t xml:space="preserve"> de conformidad con lo previsto en este Contrato, el Concesionario, por su cuenta y riesgo, lleve a cabo el Proyecto. Específicamente, la financiación, construcción, rehabilitación, mejoramiento, operación, mantenimiento y reversión del corredor Popayán- Santander de Quilichao, de acuerdo con el Apéndice Técnico 1 y los demás Apéndices Técnicos del Contrato.</w:t>
          </w:r>
        </w:p>
        <w:p w14:paraId="4605F193" w14:textId="7E1B3BEE" w:rsidR="007803E3" w:rsidRPr="0020113A" w:rsidRDefault="007803E3" w:rsidP="18BAD2EC">
          <w:pPr>
            <w:spacing w:after="0"/>
            <w:rPr>
              <w:rFonts w:ascii="Times New Roman" w:hAnsi="Times New Roman"/>
              <w:b/>
              <w:sz w:val="24"/>
              <w:szCs w:val="24"/>
              <w:lang w:val="es-MX"/>
            </w:rPr>
          </w:pPr>
          <w:r w:rsidRPr="0020113A">
            <w:rPr>
              <w:rFonts w:ascii="Times New Roman" w:hAnsi="Times New Roman"/>
              <w:b/>
              <w:sz w:val="24"/>
              <w:szCs w:val="24"/>
              <w:lang w:val="es-MX"/>
            </w:rPr>
            <w:t xml:space="preserve">Valor Inicial: </w:t>
          </w:r>
          <w:r w:rsidRPr="0020113A">
            <w:rPr>
              <w:rFonts w:ascii="Times New Roman" w:hAnsi="Times New Roman"/>
              <w:sz w:val="24"/>
              <w:szCs w:val="24"/>
              <w:lang w:val="es-MX"/>
            </w:rPr>
            <w:t>Un billón setecientos dos mil setecientos ochenta y seis millones setecientos diez y seis mil ciento sesenta y siete ($1.702.786.716.167) Pesos del Mes de Referencia.</w:t>
          </w:r>
        </w:p>
        <w:p w14:paraId="6D1160C0" w14:textId="77777777" w:rsidR="007803E3" w:rsidRPr="0020113A" w:rsidRDefault="007803E3" w:rsidP="00A1352A">
          <w:pPr>
            <w:spacing w:after="0"/>
            <w:rPr>
              <w:rFonts w:ascii="Times New Roman" w:hAnsi="Times New Roman"/>
              <w:b/>
              <w:sz w:val="24"/>
              <w:szCs w:val="24"/>
              <w:lang w:val="es-MX"/>
            </w:rPr>
          </w:pPr>
          <w:r w:rsidRPr="0020113A">
            <w:rPr>
              <w:rFonts w:ascii="Times New Roman" w:hAnsi="Times New Roman"/>
              <w:b/>
              <w:sz w:val="24"/>
              <w:szCs w:val="24"/>
              <w:lang w:val="es-MX"/>
            </w:rPr>
            <w:t xml:space="preserve">Fecha de Inicio: </w:t>
          </w:r>
          <w:r w:rsidRPr="0020113A">
            <w:rPr>
              <w:rFonts w:ascii="Times New Roman" w:hAnsi="Times New Roman"/>
              <w:sz w:val="24"/>
              <w:szCs w:val="24"/>
              <w:lang w:val="es-MX"/>
            </w:rPr>
            <w:t>23/09/2015</w:t>
          </w:r>
        </w:p>
        <w:p w14:paraId="4EB9A979" w14:textId="77777777" w:rsidR="007803E3" w:rsidRPr="0020113A" w:rsidRDefault="007803E3" w:rsidP="00A1352A">
          <w:pPr>
            <w:spacing w:after="0"/>
            <w:rPr>
              <w:rFonts w:ascii="Times New Roman" w:hAnsi="Times New Roman"/>
              <w:b/>
              <w:sz w:val="24"/>
              <w:szCs w:val="24"/>
              <w:lang w:val="es-MX"/>
            </w:rPr>
          </w:pPr>
          <w:r w:rsidRPr="0020113A">
            <w:rPr>
              <w:rFonts w:ascii="Times New Roman" w:hAnsi="Times New Roman"/>
              <w:b/>
              <w:sz w:val="24"/>
              <w:szCs w:val="24"/>
              <w:lang w:val="es-MX"/>
            </w:rPr>
            <w:t xml:space="preserve">Fecha de Finalización Estimada: </w:t>
          </w:r>
          <w:r w:rsidRPr="0020113A">
            <w:rPr>
              <w:rFonts w:ascii="Times New Roman" w:hAnsi="Times New Roman"/>
              <w:sz w:val="24"/>
              <w:szCs w:val="24"/>
              <w:lang w:val="es-MX"/>
            </w:rPr>
            <w:t>22/09/2040</w:t>
          </w:r>
        </w:p>
        <w:p w14:paraId="43A76D62" w14:textId="77777777" w:rsidR="007803E3" w:rsidRPr="0020113A" w:rsidRDefault="007803E3" w:rsidP="00A1352A">
          <w:pPr>
            <w:spacing w:after="0"/>
            <w:rPr>
              <w:rFonts w:ascii="Times New Roman" w:hAnsi="Times New Roman"/>
              <w:b/>
              <w:sz w:val="24"/>
              <w:szCs w:val="24"/>
              <w:lang w:val="es-MX"/>
            </w:rPr>
          </w:pPr>
          <w:r w:rsidRPr="0020113A">
            <w:rPr>
              <w:rFonts w:ascii="Times New Roman" w:hAnsi="Times New Roman"/>
              <w:b/>
              <w:sz w:val="24"/>
              <w:szCs w:val="24"/>
              <w:lang w:val="es-MX"/>
            </w:rPr>
            <w:t xml:space="preserve">Tipo ID: </w:t>
          </w:r>
          <w:r w:rsidRPr="0020113A">
            <w:rPr>
              <w:rFonts w:ascii="Times New Roman" w:hAnsi="Times New Roman"/>
              <w:sz w:val="24"/>
              <w:szCs w:val="24"/>
              <w:lang w:val="es-MX"/>
            </w:rPr>
            <w:t>NIT</w:t>
          </w:r>
        </w:p>
        <w:p w14:paraId="091C2E0F" w14:textId="77777777" w:rsidR="007803E3" w:rsidRPr="0020113A" w:rsidRDefault="007803E3" w:rsidP="00A1352A">
          <w:pPr>
            <w:spacing w:after="0"/>
            <w:rPr>
              <w:rFonts w:ascii="Times New Roman" w:hAnsi="Times New Roman"/>
              <w:b/>
              <w:sz w:val="24"/>
              <w:szCs w:val="24"/>
              <w:lang w:val="es-MX"/>
            </w:rPr>
          </w:pPr>
          <w:r w:rsidRPr="0020113A">
            <w:rPr>
              <w:rFonts w:ascii="Times New Roman" w:hAnsi="Times New Roman"/>
              <w:b/>
              <w:sz w:val="24"/>
              <w:szCs w:val="24"/>
              <w:lang w:val="es-MX"/>
            </w:rPr>
            <w:t xml:space="preserve">Numero ID: </w:t>
          </w:r>
          <w:r w:rsidRPr="0020113A">
            <w:rPr>
              <w:rFonts w:ascii="Times New Roman" w:hAnsi="Times New Roman"/>
              <w:sz w:val="24"/>
              <w:szCs w:val="24"/>
              <w:lang w:val="es-MX"/>
            </w:rPr>
            <w:t>900.866.440-9</w:t>
          </w:r>
        </w:p>
        <w:p w14:paraId="191FA6AE" w14:textId="77777777" w:rsidR="007803E3" w:rsidRPr="0020113A" w:rsidRDefault="007803E3" w:rsidP="00A1352A">
          <w:pPr>
            <w:spacing w:after="0"/>
            <w:rPr>
              <w:rFonts w:ascii="Times New Roman" w:hAnsi="Times New Roman"/>
              <w:b/>
              <w:sz w:val="24"/>
              <w:szCs w:val="24"/>
              <w:lang w:val="es-MX"/>
            </w:rPr>
          </w:pPr>
          <w:r w:rsidRPr="0020113A">
            <w:rPr>
              <w:rFonts w:ascii="Times New Roman" w:hAnsi="Times New Roman"/>
              <w:b/>
              <w:sz w:val="24"/>
              <w:szCs w:val="24"/>
              <w:lang w:val="es-MX"/>
            </w:rPr>
            <w:t xml:space="preserve">Razón Social del Concesionario: </w:t>
          </w:r>
          <w:r w:rsidRPr="0020113A">
            <w:rPr>
              <w:rFonts w:ascii="Times New Roman" w:hAnsi="Times New Roman"/>
              <w:sz w:val="24"/>
              <w:szCs w:val="24"/>
              <w:lang w:val="es-MX"/>
            </w:rPr>
            <w:t>NUEVO CAUCA S.A.S</w:t>
          </w:r>
        </w:p>
        <w:p w14:paraId="6E4A21A6" w14:textId="77777777"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 xml:space="preserve">Nombre del Proyecto: </w:t>
          </w:r>
          <w:r w:rsidRPr="0020113A">
            <w:rPr>
              <w:rFonts w:ascii="Times New Roman" w:hAnsi="Times New Roman"/>
              <w:sz w:val="24"/>
              <w:szCs w:val="24"/>
              <w:lang w:val="es-MX"/>
            </w:rPr>
            <w:t>POPAYÁN - SANTANDER DE QUILICHAO</w:t>
          </w:r>
        </w:p>
        <w:p w14:paraId="2CF9BF3D" w14:textId="77777777" w:rsidR="007803E3" w:rsidRPr="0020113A" w:rsidRDefault="007803E3" w:rsidP="000C447D">
          <w:pPr>
            <w:pStyle w:val="Prrafodelista"/>
            <w:numPr>
              <w:ilvl w:val="0"/>
              <w:numId w:val="60"/>
            </w:numPr>
            <w:spacing w:line="259" w:lineRule="auto"/>
            <w:rPr>
              <w:rFonts w:ascii="Times New Roman" w:hAnsi="Times New Roman"/>
              <w:b/>
              <w:sz w:val="24"/>
              <w:szCs w:val="24"/>
              <w:lang w:val="es-MX"/>
            </w:rPr>
          </w:pPr>
          <w:r w:rsidRPr="0020113A">
            <w:rPr>
              <w:rFonts w:ascii="Times New Roman" w:hAnsi="Times New Roman"/>
              <w:b/>
              <w:sz w:val="24"/>
              <w:szCs w:val="24"/>
              <w:lang w:val="es-MX"/>
            </w:rPr>
            <w:t>Términos significativos del acuerdo que puedan afectar su valor, el calendario y la certeza de los flujos</w:t>
          </w:r>
        </w:p>
        <w:p w14:paraId="042A4A3A" w14:textId="77777777" w:rsidR="007803E3" w:rsidRPr="0020113A" w:rsidRDefault="007803E3" w:rsidP="007803E3">
          <w:pPr>
            <w:jc w:val="both"/>
            <w:rPr>
              <w:rFonts w:ascii="Times New Roman" w:hAnsi="Times New Roman"/>
              <w:b/>
              <w:sz w:val="24"/>
              <w:szCs w:val="24"/>
              <w:lang w:val="es-MX"/>
            </w:rPr>
          </w:pPr>
          <w:r w:rsidRPr="0020113A">
            <w:rPr>
              <w:rFonts w:ascii="Times New Roman" w:hAnsi="Times New Roman"/>
              <w:b/>
              <w:sz w:val="24"/>
              <w:szCs w:val="24"/>
              <w:lang w:val="es-MX"/>
            </w:rPr>
            <w:t xml:space="preserve">Términos de Valor: </w:t>
          </w:r>
          <w:r w:rsidRPr="0020113A">
            <w:rPr>
              <w:rFonts w:ascii="Times New Roman" w:hAnsi="Times New Roman"/>
              <w:sz w:val="24"/>
              <w:szCs w:val="24"/>
              <w:lang w:val="es-MX"/>
            </w:rPr>
            <w:t>Recaudo de Peaje: las tarifas aplicadas en cada peaje son las definidas específicamente mediante resolución de la autoridad competente para el proyecto, las que se aplicarán a los todos los vehículos según su categoría, anualmente se actualizan esas tarifas utilizando el IPC; actualmente no hay operación de peajes, lo que se espera ocurra después de 2026. Aportes de la Nación: los aportes de la nación a lo largo del proyecto se aseguran mediante la modalidad de vigencias futuras aportadas de manera anual, cuyos montos comprometidos están expresados en pesos del mes de referencia del proyecto y se actualiza cada año de acuerdo a la fórmula contractual que involucra, además del IPC, la TRM en los casos que aplique, en pesos corrientes, a dic/31/2023 se han recibido en el proyecto por este concepto $837.063 millones. Plan de Inversión: luego de la estructuración del proyecto, como parte de los soportes para la contratación, el concesionario se compromete con un plan financiero que se convierte en el punto de referencia para el control y seguimiento, el flujo está expresado en pesos del mes de referencia para el proyecto; en esos términos se definió que el capex es de $1´190.200 millones, el opex de $443.361 millones y el mantenimiento mayor de $190.100 millones.  Régimen de sanciones (capítulo VI de la Parte Especial): el contrato de concesión incluye las cláusulas que detallan las sanciones aplicables al concesionario por incumplimientos contractuales, como multas por cobro excesivo de peajes y por no cumplir con las especificaciones técnicas, por demoras en los aportes de equity y otros aportes convenidos, etc.</w:t>
          </w:r>
        </w:p>
        <w:p w14:paraId="218BE370" w14:textId="77F4AA02" w:rsidR="18BAD2EC" w:rsidRDefault="18BAD2EC" w:rsidP="18BAD2EC">
          <w:pPr>
            <w:jc w:val="both"/>
            <w:rPr>
              <w:rFonts w:ascii="Times New Roman" w:hAnsi="Times New Roman"/>
              <w:b/>
              <w:bCs/>
              <w:sz w:val="24"/>
              <w:szCs w:val="24"/>
              <w:lang w:val="es-MX"/>
            </w:rPr>
          </w:pPr>
        </w:p>
        <w:p w14:paraId="656E35FC" w14:textId="6AC40FEE"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Términos de Calendario: </w:t>
          </w:r>
          <w:r w:rsidRPr="0020113A">
            <w:rPr>
              <w:rFonts w:ascii="Times New Roman" w:hAnsi="Times New Roman"/>
              <w:sz w:val="24"/>
              <w:szCs w:val="24"/>
              <w:lang w:val="es-MX"/>
            </w:rPr>
            <w:t xml:space="preserve">En las cláusulas contractuales están definidos las variables que determinan el modelo para expresar el calendario del proyecto. El apéndice financiero contractual está planteado en períodos anuales para la duración del proyecto donde se definió el riegue de los recursos previstos para la aplicación del capex, opex y mantenimiento mayor </w:t>
          </w:r>
          <w:r w:rsidRPr="0020113A">
            <w:rPr>
              <w:rFonts w:ascii="Times New Roman" w:hAnsi="Times New Roman"/>
              <w:sz w:val="24"/>
              <w:szCs w:val="24"/>
              <w:lang w:val="es-MX"/>
            </w:rPr>
            <w:lastRenderedPageBreak/>
            <w:t>de manera anual. La cláusula 5.2 de la Parte Especial determina los plazos máximos para el plan de obras y antes del inicio de la fase de construcción se define entre las partes el plan de obras detallado sobre el cual se realiza el control y seguimiento. La fase de construcción inició en jul/2022 y terminará en jul/2026, a dic/2023 el avance de obra es de 18,56%. La actualización de tarifas está pactada que se realizará de manera anual cada 16 de enero y los peajes deberán iniciar operación en jul/2026. Los aportes de la nación en la modalidad de vigencias futuras se realizan de manera anual y hasta dic/2023 se han realizado cabalmente los aportes de las cinco vigencias 2019 a 2023. La retribución al concesionario por unidad funcional relacionada con los aportes de la nación se realiza a partir de la terminación de la misma y en función del recibo efectivo de tales aportes y la retribución por unidad funcional relacionada con el recaudo de peaje se realiza de manera mensual; a dic/2023 no se ha iniciado el proceso de reconocimiento y pago de retribución alguna. El calendario de los aportes de equity y los compromisos de fondeo a las diferentes subcuentas del patrimonio autónomo que debe hacer el concesionario están definidos en el contrato en la parte especial y a dic/2023 se han cumplido a cabalidad los aportes de equity y fondeos pactados.</w:t>
          </w:r>
        </w:p>
        <w:p w14:paraId="5019F71D" w14:textId="77777777" w:rsidR="007803E3" w:rsidRPr="0020113A" w:rsidRDefault="007803E3" w:rsidP="007803E3">
          <w:pPr>
            <w:jc w:val="both"/>
            <w:rPr>
              <w:rFonts w:ascii="Times New Roman" w:hAnsi="Times New Roman"/>
              <w:sz w:val="24"/>
              <w:szCs w:val="24"/>
            </w:rPr>
          </w:pPr>
          <w:r w:rsidRPr="0020113A">
            <w:rPr>
              <w:rFonts w:ascii="Times New Roman" w:hAnsi="Times New Roman"/>
              <w:b/>
              <w:sz w:val="24"/>
              <w:szCs w:val="24"/>
              <w:lang w:val="es-MX"/>
            </w:rPr>
            <w:t xml:space="preserve">Términos de Certeza de Flujos de Efectivo Futuros: </w:t>
          </w:r>
          <w:r w:rsidRPr="0020113A">
            <w:rPr>
              <w:rFonts w:ascii="Times New Roman" w:hAnsi="Times New Roman"/>
              <w:sz w:val="24"/>
              <w:szCs w:val="24"/>
              <w:lang w:val="es-MX"/>
            </w:rPr>
            <w:t>Variables que puedan afectar el flujo de efectivo. Variaciones en la demanda por cambios en el volumen de usuarios o en la utilización de la vía. Como no se ha iniciado el recaudo de peaje, no hay eventos que reportar; fluctuaciones en las tarifas por políticas del gobierno, decisiones regulatorias, o indexación a variables económicas. Costos operativos variables que son a riesgo del concesionario. Cambios regulatorios. Variables macroeconómicas (inflación, las tasas de interés, trm, etc.) que son a riesgo del concesionario. Condiciones del mercado como la entrada de nuevos competidores o la aparición de tecnologías disruptivas, pueden influir en la demanda y en la estructura de costos. Riesgos de construcción y preoperativos, retrasos en la construcción, costos adicionales no previstos, o problemas en la obtención de permisos pueden afectar el flujo de efectivo. Incumplimientos contractuales y sanciones. Cuestiones ambientales y sociales locales pueden generar retrasos, costos adicionales o restricciones operativas; la comunidad destruyó un peaje que había en la vía concesionada y se estima que reactivar el recaudo puede generar inconveniente con la comunidad. Eventos de Fuerza Mayor; ese tramo de la vía panamericana ha sido objeto de varios bloqueos por parte de la comunidad y ha ocasionado inconvenientes por retrasos y reclamos del concesionario, además las acciones de grupos de delincuencia común han robado e incinerado varios equipos del concesionario que seguramente ha tenido implicaciones de sobrecostos financieros que debe asumir el concesionario.</w:t>
          </w:r>
        </w:p>
        <w:p w14:paraId="0F29E2F6" w14:textId="77777777" w:rsidR="007803E3" w:rsidRPr="0020113A" w:rsidRDefault="007803E3" w:rsidP="000C447D">
          <w:pPr>
            <w:pStyle w:val="Prrafodelista"/>
            <w:numPr>
              <w:ilvl w:val="0"/>
              <w:numId w:val="60"/>
            </w:numPr>
            <w:spacing w:line="259" w:lineRule="auto"/>
            <w:jc w:val="both"/>
            <w:rPr>
              <w:rFonts w:ascii="Times New Roman" w:hAnsi="Times New Roman"/>
              <w:b/>
              <w:sz w:val="24"/>
              <w:szCs w:val="24"/>
              <w:lang w:val="es-MX"/>
            </w:rPr>
          </w:pPr>
          <w:bookmarkStart w:id="127" w:name="_Hlk159516175"/>
          <w:r w:rsidRPr="0020113A">
            <w:rPr>
              <w:rFonts w:ascii="Times New Roman" w:hAnsi="Times New Roman"/>
              <w:b/>
              <w:sz w:val="24"/>
              <w:szCs w:val="24"/>
              <w:lang w:val="es-MX"/>
            </w:rPr>
            <w:t>Naturaleza y alcance del derecho a utilizar activos especificados, de los aspectos pactados en torno a lo que se espera que el concesionario proporcione en relación con el acuerdo de concesión</w:t>
          </w:r>
        </w:p>
        <w:bookmarkEnd w:id="127"/>
        <w:p w14:paraId="54F4BF86" w14:textId="77777777" w:rsidR="007803E3" w:rsidRPr="0020113A" w:rsidRDefault="007803E3" w:rsidP="006C42F5">
          <w:pPr>
            <w:jc w:val="center"/>
            <w:rPr>
              <w:rFonts w:ascii="Times New Roman" w:hAnsi="Times New Roman"/>
              <w:b/>
              <w:sz w:val="24"/>
              <w:szCs w:val="24"/>
              <w:lang w:val="es-MX"/>
            </w:rPr>
          </w:pPr>
          <w:r w:rsidRPr="0020113A">
            <w:rPr>
              <w:rFonts w:ascii="Times New Roman" w:hAnsi="Times New Roman"/>
              <w:b/>
              <w:sz w:val="24"/>
              <w:szCs w:val="24"/>
              <w:lang w:val="es-MX"/>
            </w:rPr>
            <w:t>Naturaleza y alcance del derecho de uso de los activos</w:t>
          </w:r>
        </w:p>
        <w:p w14:paraId="4C644E72"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Descripción: </w:t>
          </w:r>
          <w:r w:rsidRPr="0020113A">
            <w:rPr>
              <w:rFonts w:ascii="Times New Roman" w:hAnsi="Times New Roman"/>
              <w:sz w:val="24"/>
              <w:szCs w:val="24"/>
              <w:lang w:val="es-MX"/>
            </w:rPr>
            <w:t xml:space="preserve">Los derechos cedidos al concesionario incluyen el uso, operación, y mantenimiento de los activos de la concesión, esto abarca la gestión de la infraestructura, la recaudación de tarifas y la realización de las mejoras necesarias. Estos derechos están condicionados al cumplimiento de las normativas y estándares establecidos en el contrato. La </w:t>
          </w:r>
          <w:r w:rsidRPr="0020113A">
            <w:rPr>
              <w:rFonts w:ascii="Times New Roman" w:hAnsi="Times New Roman"/>
              <w:sz w:val="24"/>
              <w:szCs w:val="24"/>
              <w:lang w:val="es-MX"/>
            </w:rPr>
            <w:lastRenderedPageBreak/>
            <w:t>concesión otorga al concesionario la autorización para llevar a cabo estas actividades durante un periodo definido, con el objetivo de recuperar la inversión realizada y obtener una rentabilidad adecuada. Es fundamental que el concesionario adhiera a los términos contractuales, incluyendo las obligaciones de servicio y calidad, para mantener la validez de estos derechos.</w:t>
          </w:r>
        </w:p>
        <w:p w14:paraId="3F22524A" w14:textId="77777777" w:rsidR="007803E3" w:rsidRPr="0020113A" w:rsidRDefault="007803E3" w:rsidP="007803E3">
          <w:pPr>
            <w:rPr>
              <w:rFonts w:ascii="Times New Roman" w:hAnsi="Times New Roman"/>
              <w:sz w:val="24"/>
              <w:szCs w:val="24"/>
              <w:lang w:val="es-MX"/>
            </w:rPr>
          </w:pPr>
          <w:r w:rsidRPr="0020113A">
            <w:rPr>
              <w:rFonts w:ascii="Times New Roman" w:hAnsi="Times New Roman"/>
              <w:b/>
              <w:sz w:val="24"/>
              <w:szCs w:val="24"/>
              <w:lang w:val="es-MX"/>
            </w:rPr>
            <w:t>Observaciones:</w:t>
          </w:r>
          <w:r w:rsidRPr="0020113A">
            <w:rPr>
              <w:rFonts w:ascii="Times New Roman" w:hAnsi="Times New Roman"/>
              <w:sz w:val="24"/>
              <w:szCs w:val="24"/>
            </w:rPr>
            <w:t xml:space="preserve"> </w:t>
          </w:r>
          <w:r w:rsidRPr="0020113A">
            <w:rPr>
              <w:rFonts w:ascii="Times New Roman" w:hAnsi="Times New Roman"/>
              <w:sz w:val="24"/>
              <w:szCs w:val="24"/>
              <w:lang w:val="es-MX"/>
            </w:rPr>
            <w:t xml:space="preserve">No se tiene ninguna observación. </w:t>
          </w:r>
        </w:p>
        <w:p w14:paraId="22BBC9C9" w14:textId="77777777" w:rsidR="007803E3" w:rsidRPr="0020113A" w:rsidRDefault="007803E3" w:rsidP="007803E3">
          <w:pPr>
            <w:jc w:val="center"/>
            <w:rPr>
              <w:rFonts w:ascii="Times New Roman" w:hAnsi="Times New Roman"/>
              <w:b/>
              <w:sz w:val="24"/>
              <w:szCs w:val="24"/>
              <w:lang w:val="es-MX"/>
            </w:rPr>
          </w:pPr>
          <w:r w:rsidRPr="0020113A">
            <w:rPr>
              <w:rFonts w:ascii="Times New Roman" w:hAnsi="Times New Roman"/>
              <w:b/>
              <w:sz w:val="24"/>
              <w:szCs w:val="24"/>
              <w:lang w:val="es-MX"/>
            </w:rPr>
            <w:t>Retribución al Concesionario</w:t>
          </w:r>
        </w:p>
        <w:p w14:paraId="1938E2E3" w14:textId="77777777" w:rsidR="007803E3" w:rsidRPr="0020113A" w:rsidRDefault="007803E3" w:rsidP="007803E3">
          <w:pPr>
            <w:rPr>
              <w:rFonts w:ascii="Times New Roman" w:hAnsi="Times New Roman"/>
              <w:sz w:val="24"/>
              <w:szCs w:val="24"/>
              <w:lang w:val="es-MX"/>
            </w:rPr>
          </w:pPr>
          <w:r w:rsidRPr="0020113A">
            <w:rPr>
              <w:rFonts w:ascii="Times New Roman" w:hAnsi="Times New Roman"/>
              <w:b/>
              <w:sz w:val="24"/>
              <w:szCs w:val="24"/>
              <w:lang w:val="es-MX"/>
            </w:rPr>
            <w:t xml:space="preserve">Descripción: </w:t>
          </w:r>
          <w:r w:rsidRPr="0020113A">
            <w:rPr>
              <w:rFonts w:ascii="Times New Roman" w:hAnsi="Times New Roman"/>
              <w:sz w:val="24"/>
              <w:szCs w:val="24"/>
              <w:lang w:val="es-MX"/>
            </w:rPr>
            <w:t>Numeral 3.1 del capítulo III "Aspectos Económicos del Contrato" de la Parte General del Contrato de Concesión.</w:t>
          </w:r>
        </w:p>
        <w:p w14:paraId="3664E127"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Tasa de Retribución:</w:t>
          </w:r>
          <w:r w:rsidRPr="0020113A">
            <w:rPr>
              <w:rFonts w:ascii="Times New Roman" w:hAnsi="Times New Roman"/>
              <w:sz w:val="24"/>
              <w:szCs w:val="24"/>
            </w:rPr>
            <w:t xml:space="preserve"> </w:t>
          </w:r>
          <w:r w:rsidRPr="0020113A">
            <w:rPr>
              <w:rFonts w:ascii="Times New Roman" w:hAnsi="Times New Roman"/>
              <w:sz w:val="24"/>
              <w:szCs w:val="24"/>
              <w:lang w:val="es-MX"/>
            </w:rPr>
            <w:t xml:space="preserve">La metodología utilizada se basa en la aplicación del costo promedio ponderado de capital, que incorpora, de manera ponderada, tanto el costo del capital propio, determinado a través del modelo de valoración de activos financieros, que contempla variables como el rendimiento del mercado y la tasa libre de riesgo, como el costo del capital ajeno, reflejado en la tasa de interés de los préstamos contratados, ajustada por el efecto fiscal del endeudamiento. Ese costo promedio ponderado de capital, en su función de tasa de descuento, es utilizado para actualizar los flujos de caja futuros del proyecto a su valor presente, permitiendo una valoración acorde con el nivel de riesgo y la estructura financiera de la concesión, en línea con los principios de eficiencia y sostenibilidad financiera que rigen los proyectos de infraestructura vial bajo el esquema de concesión APP. </w:t>
          </w:r>
        </w:p>
        <w:p w14:paraId="571E61F8" w14:textId="77777777" w:rsidR="007803E3" w:rsidRPr="0020113A" w:rsidRDefault="007803E3" w:rsidP="000C447D">
          <w:pPr>
            <w:pStyle w:val="Prrafodelista"/>
            <w:numPr>
              <w:ilvl w:val="0"/>
              <w:numId w:val="60"/>
            </w:numPr>
            <w:spacing w:line="259" w:lineRule="auto"/>
            <w:rPr>
              <w:rFonts w:ascii="Times New Roman" w:hAnsi="Times New Roman"/>
              <w:b/>
              <w:sz w:val="24"/>
              <w:szCs w:val="24"/>
              <w:lang w:val="es-MX"/>
            </w:rPr>
          </w:pPr>
          <w:bookmarkStart w:id="128" w:name="_Hlk159516211"/>
          <w:r w:rsidRPr="0020113A">
            <w:rPr>
              <w:rFonts w:ascii="Times New Roman" w:hAnsi="Times New Roman"/>
              <w:b/>
              <w:sz w:val="24"/>
              <w:szCs w:val="24"/>
              <w:lang w:val="es-MX"/>
            </w:rPr>
            <w:t>Derechos a recibir activos especificados al final del acuerdo de concesión</w:t>
          </w:r>
        </w:p>
        <w:bookmarkEnd w:id="128"/>
        <w:p w14:paraId="43A147E7"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Descripción: </w:t>
          </w:r>
          <w:r w:rsidRPr="0020113A">
            <w:rPr>
              <w:rFonts w:ascii="Times New Roman" w:hAnsi="Times New Roman"/>
              <w:sz w:val="24"/>
              <w:szCs w:val="24"/>
              <w:lang w:val="es-MX"/>
            </w:rPr>
            <w:t>En el Capítulo IX de la Parte General del del contrato de concesión se detalla la obligación del concesionario de revertir los activos en concesión a la entidad concedente una vez finalice el plazo del acuerdo. Allí se establece que, al término del contrato, todos los activos e infraestructuras desarrollados o mejorados durante la concesión deben ser transferidos a la entidad concedente en condiciones óptimas para su funcionamiento y uso continuo. Esta disposición garantiza que la entidad concedente recupere la posesión de los activos, asegurando su adecuada manutención y operatividad a lo largo del periodo de concesión y facilitando una transición eficiente al finalizar el acuerdo.</w:t>
          </w:r>
        </w:p>
        <w:p w14:paraId="1D503679" w14:textId="77777777" w:rsidR="007803E3" w:rsidRPr="0020113A" w:rsidRDefault="007803E3" w:rsidP="007803E3">
          <w:pPr>
            <w:rPr>
              <w:rFonts w:ascii="Times New Roman" w:hAnsi="Times New Roman"/>
              <w:sz w:val="24"/>
              <w:szCs w:val="24"/>
              <w:lang w:val="es-MX"/>
            </w:rPr>
          </w:pPr>
          <w:r w:rsidRPr="0020113A">
            <w:rPr>
              <w:rFonts w:ascii="Times New Roman" w:hAnsi="Times New Roman"/>
              <w:b/>
              <w:sz w:val="24"/>
              <w:szCs w:val="24"/>
              <w:lang w:val="es-MX"/>
            </w:rPr>
            <w:t xml:space="preserve">Observaciones: </w:t>
          </w:r>
          <w:r w:rsidRPr="0020113A">
            <w:rPr>
              <w:rFonts w:ascii="Times New Roman" w:hAnsi="Times New Roman"/>
              <w:sz w:val="24"/>
              <w:szCs w:val="24"/>
              <w:lang w:val="es-MX"/>
            </w:rPr>
            <w:t>No se tiene ninguna observación.</w:t>
          </w:r>
        </w:p>
        <w:p w14:paraId="2946735C" w14:textId="54BCCE3A" w:rsidR="007803E3" w:rsidRPr="0020113A" w:rsidRDefault="007803E3" w:rsidP="000C447D">
          <w:pPr>
            <w:pStyle w:val="Prrafodelista"/>
            <w:numPr>
              <w:ilvl w:val="0"/>
              <w:numId w:val="60"/>
            </w:numPr>
            <w:spacing w:line="259" w:lineRule="auto"/>
            <w:rPr>
              <w:rFonts w:ascii="Times New Roman" w:hAnsi="Times New Roman"/>
              <w:b/>
              <w:sz w:val="24"/>
              <w:szCs w:val="24"/>
              <w:lang w:val="es-MX"/>
            </w:rPr>
          </w:pPr>
          <w:bookmarkStart w:id="129" w:name="_Hlk159516362"/>
          <w:r>
            <w:rPr>
              <w:rFonts w:ascii="Times New Roman" w:hAnsi="Times New Roman"/>
              <w:b/>
              <w:sz w:val="24"/>
              <w:szCs w:val="24"/>
              <w:lang w:val="es-MX"/>
            </w:rPr>
            <w:t>No se presentaron c</w:t>
          </w:r>
          <w:r w:rsidRPr="0020113A">
            <w:rPr>
              <w:rFonts w:ascii="Times New Roman" w:hAnsi="Times New Roman"/>
              <w:b/>
              <w:sz w:val="24"/>
              <w:szCs w:val="24"/>
              <w:lang w:val="es-MX"/>
            </w:rPr>
            <w:t>ambios en el acuerdo de concesión que se realicen durante el periodo fiscal</w:t>
          </w:r>
          <w:r>
            <w:rPr>
              <w:rFonts w:ascii="Times New Roman" w:hAnsi="Times New Roman"/>
              <w:b/>
              <w:sz w:val="24"/>
              <w:szCs w:val="24"/>
              <w:lang w:val="es-MX"/>
            </w:rPr>
            <w:t>.</w:t>
          </w:r>
        </w:p>
        <w:bookmarkEnd w:id="129"/>
        <w:p w14:paraId="563792BA" w14:textId="77777777" w:rsidR="007803E3" w:rsidRPr="0020113A" w:rsidRDefault="007803E3" w:rsidP="007803E3">
          <w:pPr>
            <w:rPr>
              <w:rFonts w:ascii="Times New Roman" w:hAnsi="Times New Roman"/>
              <w:sz w:val="24"/>
              <w:szCs w:val="24"/>
              <w:lang w:val="es-MX"/>
            </w:rPr>
          </w:pPr>
        </w:p>
        <w:p w14:paraId="2D04D552" w14:textId="77777777"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TRONCAL DEL MAGDALENA 1</w:t>
          </w:r>
        </w:p>
        <w:p w14:paraId="2D7865E9" w14:textId="77777777" w:rsidR="007803E3" w:rsidRPr="0020113A" w:rsidRDefault="007803E3" w:rsidP="00E60BAB">
          <w:pPr>
            <w:pStyle w:val="Prrafodelista"/>
            <w:numPr>
              <w:ilvl w:val="0"/>
              <w:numId w:val="71"/>
            </w:numPr>
            <w:spacing w:line="259" w:lineRule="auto"/>
            <w:rPr>
              <w:rFonts w:ascii="Times New Roman" w:hAnsi="Times New Roman"/>
              <w:b/>
              <w:sz w:val="24"/>
              <w:szCs w:val="24"/>
              <w:lang w:val="es-MX"/>
            </w:rPr>
          </w:pPr>
          <w:bookmarkStart w:id="130" w:name="_Hlk159516120"/>
          <w:r w:rsidRPr="0020113A">
            <w:rPr>
              <w:rFonts w:ascii="Times New Roman" w:hAnsi="Times New Roman"/>
              <w:b/>
              <w:sz w:val="24"/>
              <w:szCs w:val="24"/>
              <w:lang w:val="es-MX"/>
            </w:rPr>
            <w:t>Descripción del Acuerdo</w:t>
          </w:r>
        </w:p>
        <w:bookmarkEnd w:id="130"/>
        <w:p w14:paraId="7EEA5B2E" w14:textId="77777777" w:rsidR="007803E3" w:rsidRPr="0020113A" w:rsidRDefault="007803E3" w:rsidP="18BAD2EC">
          <w:pPr>
            <w:spacing w:after="0"/>
            <w:rPr>
              <w:rFonts w:ascii="Times New Roman" w:hAnsi="Times New Roman"/>
              <w:sz w:val="24"/>
              <w:szCs w:val="24"/>
              <w:lang w:val="es-MX"/>
            </w:rPr>
          </w:pPr>
          <w:r w:rsidRPr="0020113A">
            <w:rPr>
              <w:rFonts w:ascii="Times New Roman" w:hAnsi="Times New Roman"/>
              <w:b/>
              <w:sz w:val="24"/>
              <w:szCs w:val="24"/>
              <w:lang w:val="es-MX"/>
            </w:rPr>
            <w:t>Número del Acuerdo de Concesión:</w:t>
          </w:r>
          <w:r w:rsidRPr="0020113A">
            <w:rPr>
              <w:rFonts w:ascii="Times New Roman" w:hAnsi="Times New Roman"/>
              <w:sz w:val="24"/>
              <w:szCs w:val="24"/>
            </w:rPr>
            <w:t xml:space="preserve"> </w:t>
          </w:r>
          <w:r w:rsidRPr="0020113A">
            <w:rPr>
              <w:rFonts w:ascii="Times New Roman" w:hAnsi="Times New Roman"/>
              <w:bCs/>
              <w:sz w:val="24"/>
              <w:szCs w:val="24"/>
              <w:lang w:val="es-MX"/>
            </w:rPr>
            <w:t xml:space="preserve">APP No. 002 de 2022. </w:t>
          </w:r>
        </w:p>
        <w:p w14:paraId="7FB8F51C" w14:textId="77777777" w:rsidR="007803E3" w:rsidRPr="0020113A" w:rsidRDefault="007803E3" w:rsidP="18BAD2EC">
          <w:pPr>
            <w:spacing w:after="0"/>
            <w:jc w:val="both"/>
            <w:rPr>
              <w:rFonts w:ascii="Times New Roman" w:hAnsi="Times New Roman"/>
              <w:sz w:val="24"/>
              <w:szCs w:val="24"/>
              <w:lang w:val="es-MX"/>
            </w:rPr>
          </w:pPr>
          <w:r w:rsidRPr="0020113A">
            <w:rPr>
              <w:rFonts w:ascii="Times New Roman" w:hAnsi="Times New Roman"/>
              <w:b/>
              <w:sz w:val="24"/>
              <w:szCs w:val="24"/>
              <w:lang w:val="es-MX"/>
            </w:rPr>
            <w:lastRenderedPageBreak/>
            <w:t>Objeto / Descripción</w:t>
          </w:r>
          <w:r w:rsidRPr="0020113A">
            <w:rPr>
              <w:rFonts w:ascii="Times New Roman" w:hAnsi="Times New Roman"/>
              <w:sz w:val="24"/>
              <w:szCs w:val="24"/>
              <w:lang w:val="es-MX"/>
            </w:rPr>
            <w:t>:</w:t>
          </w:r>
          <w:r w:rsidRPr="0020113A">
            <w:rPr>
              <w:rFonts w:ascii="Times New Roman" w:hAnsi="Times New Roman"/>
              <w:sz w:val="24"/>
              <w:szCs w:val="24"/>
            </w:rPr>
            <w:t xml:space="preserve"> La financiación, elaboración de estudios y diseños definitivos, gestión ambiental, gestión predial, gestión social, construcción, rehabilitación, mejoramiento, operación y mantenimiento del corredor “PUERTO SALGAR-BARRANCAMERMEJA”.</w:t>
          </w:r>
        </w:p>
        <w:p w14:paraId="75A027AF" w14:textId="77777777" w:rsidR="007803E3" w:rsidRPr="0020113A" w:rsidRDefault="007803E3" w:rsidP="18BAD2EC">
          <w:pPr>
            <w:spacing w:after="0"/>
            <w:jc w:val="both"/>
            <w:rPr>
              <w:rFonts w:ascii="Times New Roman" w:hAnsi="Times New Roman"/>
              <w:sz w:val="24"/>
              <w:szCs w:val="24"/>
              <w:lang w:val="es-MX"/>
            </w:rPr>
          </w:pPr>
          <w:r w:rsidRPr="0020113A">
            <w:rPr>
              <w:rFonts w:ascii="Times New Roman" w:hAnsi="Times New Roman"/>
              <w:b/>
              <w:sz w:val="24"/>
              <w:szCs w:val="24"/>
              <w:lang w:val="es-MX"/>
            </w:rPr>
            <w:t xml:space="preserve">Valor Inicial: </w:t>
          </w:r>
          <w:r w:rsidRPr="0020113A">
            <w:rPr>
              <w:rFonts w:ascii="Times New Roman" w:hAnsi="Times New Roman"/>
              <w:bCs/>
              <w:sz w:val="24"/>
              <w:szCs w:val="24"/>
              <w:lang w:val="es-MX"/>
            </w:rPr>
            <w:t xml:space="preserve">TRES BILLONES SETECIENTOS SESENTA Y CUATRO MIL DOSCIENTOS VEINTISIETE MILLONES CIENTO CUARENTA Y </w:t>
          </w:r>
          <w:r>
            <w:rPr>
              <w:rFonts w:ascii="Times New Roman" w:hAnsi="Times New Roman"/>
              <w:bCs/>
              <w:sz w:val="24"/>
              <w:szCs w:val="24"/>
              <w:lang w:val="es-MX"/>
            </w:rPr>
            <w:t>SIETE</w:t>
          </w:r>
          <w:r w:rsidRPr="0020113A">
            <w:rPr>
              <w:rFonts w:ascii="Times New Roman" w:hAnsi="Times New Roman"/>
              <w:bCs/>
              <w:sz w:val="24"/>
              <w:szCs w:val="24"/>
              <w:lang w:val="es-MX"/>
            </w:rPr>
            <w:t xml:space="preserve"> MIL TRESCIENTOS NOVENTA Y CINCO ($3.764.227.147.395) Pesos del Mes de Referencia. ($Dic 2020)</w:t>
          </w:r>
        </w:p>
        <w:p w14:paraId="1C1F4FCD" w14:textId="77777777" w:rsidR="007803E3" w:rsidRPr="0020113A" w:rsidRDefault="007803E3" w:rsidP="00A1352A">
          <w:pPr>
            <w:spacing w:after="0"/>
            <w:rPr>
              <w:rFonts w:ascii="Times New Roman" w:hAnsi="Times New Roman"/>
              <w:b/>
              <w:sz w:val="24"/>
              <w:szCs w:val="24"/>
              <w:lang w:val="es-MX"/>
            </w:rPr>
          </w:pPr>
          <w:r w:rsidRPr="0020113A">
            <w:rPr>
              <w:rFonts w:ascii="Times New Roman" w:hAnsi="Times New Roman"/>
              <w:b/>
              <w:sz w:val="24"/>
              <w:szCs w:val="24"/>
              <w:lang w:val="es-MX"/>
            </w:rPr>
            <w:t xml:space="preserve">Fecha de Inicio: </w:t>
          </w:r>
          <w:r w:rsidRPr="0020113A">
            <w:rPr>
              <w:rFonts w:ascii="Times New Roman" w:hAnsi="Times New Roman"/>
              <w:bCs/>
              <w:sz w:val="24"/>
              <w:szCs w:val="24"/>
              <w:lang w:val="es-MX"/>
            </w:rPr>
            <w:t>1/12/2022</w:t>
          </w:r>
          <w:r w:rsidRPr="0020113A">
            <w:rPr>
              <w:rFonts w:ascii="Times New Roman" w:hAnsi="Times New Roman"/>
              <w:b/>
              <w:sz w:val="24"/>
              <w:szCs w:val="24"/>
              <w:lang w:val="es-MX"/>
            </w:rPr>
            <w:t xml:space="preserve"> </w:t>
          </w:r>
        </w:p>
        <w:p w14:paraId="78451C3F" w14:textId="77777777" w:rsidR="007803E3" w:rsidRPr="0020113A" w:rsidRDefault="007803E3" w:rsidP="00A1352A">
          <w:pPr>
            <w:spacing w:after="0"/>
            <w:rPr>
              <w:rFonts w:ascii="Times New Roman" w:hAnsi="Times New Roman"/>
              <w:sz w:val="24"/>
              <w:szCs w:val="24"/>
              <w:lang w:val="es-MX"/>
            </w:rPr>
          </w:pPr>
          <w:r w:rsidRPr="0020113A">
            <w:rPr>
              <w:rFonts w:ascii="Times New Roman" w:hAnsi="Times New Roman"/>
              <w:b/>
              <w:sz w:val="24"/>
              <w:szCs w:val="24"/>
              <w:lang w:val="es-MX"/>
            </w:rPr>
            <w:t xml:space="preserve">Fecha de Finalización Estimada:  </w:t>
          </w:r>
          <w:r w:rsidRPr="0020113A">
            <w:rPr>
              <w:rFonts w:ascii="Times New Roman" w:hAnsi="Times New Roman"/>
              <w:bCs/>
              <w:sz w:val="24"/>
              <w:szCs w:val="24"/>
              <w:lang w:val="es-MX"/>
            </w:rPr>
            <w:t>1/12/2051</w:t>
          </w:r>
        </w:p>
        <w:p w14:paraId="0E59A69C" w14:textId="77777777" w:rsidR="007803E3" w:rsidRPr="0020113A" w:rsidRDefault="007803E3" w:rsidP="00A1352A">
          <w:pPr>
            <w:spacing w:after="0"/>
            <w:rPr>
              <w:rFonts w:ascii="Times New Roman" w:hAnsi="Times New Roman"/>
              <w:b/>
              <w:sz w:val="24"/>
              <w:szCs w:val="24"/>
              <w:lang w:val="es-MX"/>
            </w:rPr>
          </w:pPr>
          <w:r w:rsidRPr="0020113A">
            <w:rPr>
              <w:rFonts w:ascii="Times New Roman" w:hAnsi="Times New Roman"/>
              <w:b/>
              <w:sz w:val="24"/>
              <w:szCs w:val="24"/>
              <w:lang w:val="es-MX"/>
            </w:rPr>
            <w:t xml:space="preserve">Tipo ID:  </w:t>
          </w:r>
          <w:r w:rsidRPr="0020113A">
            <w:rPr>
              <w:rFonts w:ascii="Times New Roman" w:hAnsi="Times New Roman"/>
              <w:bCs/>
              <w:sz w:val="24"/>
              <w:szCs w:val="24"/>
              <w:lang w:val="es-MX"/>
            </w:rPr>
            <w:t>NIT</w:t>
          </w:r>
        </w:p>
        <w:p w14:paraId="20595CC1" w14:textId="77777777" w:rsidR="007803E3" w:rsidRPr="0020113A" w:rsidRDefault="007803E3" w:rsidP="00A1352A">
          <w:pPr>
            <w:spacing w:after="0"/>
            <w:rPr>
              <w:rFonts w:ascii="Times New Roman" w:hAnsi="Times New Roman"/>
              <w:b/>
              <w:sz w:val="24"/>
              <w:szCs w:val="24"/>
              <w:lang w:val="es-MX"/>
            </w:rPr>
          </w:pPr>
          <w:r w:rsidRPr="0020113A">
            <w:rPr>
              <w:rFonts w:ascii="Times New Roman" w:hAnsi="Times New Roman"/>
              <w:b/>
              <w:sz w:val="24"/>
              <w:szCs w:val="24"/>
              <w:lang w:val="es-MX"/>
            </w:rPr>
            <w:t xml:space="preserve">Numero ID:  </w:t>
          </w:r>
          <w:r w:rsidRPr="0020113A">
            <w:rPr>
              <w:rFonts w:ascii="Times New Roman" w:hAnsi="Times New Roman"/>
              <w:bCs/>
              <w:sz w:val="24"/>
              <w:szCs w:val="24"/>
              <w:lang w:val="es-MX"/>
            </w:rPr>
            <w:t>901.602.085-8</w:t>
          </w:r>
        </w:p>
        <w:p w14:paraId="1F4826CA" w14:textId="77777777" w:rsidR="007803E3" w:rsidRPr="0020113A" w:rsidRDefault="007803E3" w:rsidP="00A1352A">
          <w:pPr>
            <w:spacing w:after="0"/>
            <w:rPr>
              <w:rFonts w:ascii="Times New Roman" w:hAnsi="Times New Roman"/>
              <w:b/>
              <w:sz w:val="24"/>
              <w:szCs w:val="24"/>
              <w:lang w:val="es-MX"/>
            </w:rPr>
          </w:pPr>
          <w:r w:rsidRPr="0020113A">
            <w:rPr>
              <w:rFonts w:ascii="Times New Roman" w:hAnsi="Times New Roman"/>
              <w:b/>
              <w:sz w:val="24"/>
              <w:szCs w:val="24"/>
              <w:lang w:val="es-MX"/>
            </w:rPr>
            <w:t xml:space="preserve">Razón Social del Concesionario: </w:t>
          </w:r>
          <w:r w:rsidRPr="0020113A">
            <w:rPr>
              <w:rFonts w:ascii="Times New Roman" w:hAnsi="Times New Roman"/>
              <w:bCs/>
              <w:sz w:val="24"/>
              <w:szCs w:val="24"/>
              <w:lang w:val="es-MX"/>
            </w:rPr>
            <w:t>AUTOPISTA MAGDALENA MEDIO SAS</w:t>
          </w:r>
        </w:p>
        <w:p w14:paraId="2E04E295" w14:textId="77777777"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 xml:space="preserve">Nombre del Proyecto: </w:t>
          </w:r>
          <w:r w:rsidRPr="0020113A">
            <w:rPr>
              <w:rFonts w:ascii="Times New Roman" w:hAnsi="Times New Roman"/>
              <w:bCs/>
              <w:sz w:val="24"/>
              <w:szCs w:val="24"/>
              <w:lang w:val="es-MX"/>
            </w:rPr>
            <w:t>PUERTO SALGAR-BARRANCABERMEJA</w:t>
          </w:r>
        </w:p>
        <w:p w14:paraId="0C7547BF" w14:textId="77777777" w:rsidR="007803E3" w:rsidRPr="0020113A" w:rsidRDefault="007803E3" w:rsidP="00E60BAB">
          <w:pPr>
            <w:pStyle w:val="Prrafodelista"/>
            <w:numPr>
              <w:ilvl w:val="0"/>
              <w:numId w:val="71"/>
            </w:numPr>
            <w:spacing w:line="259" w:lineRule="auto"/>
            <w:rPr>
              <w:rFonts w:ascii="Times New Roman" w:hAnsi="Times New Roman"/>
              <w:b/>
              <w:sz w:val="24"/>
              <w:szCs w:val="24"/>
              <w:lang w:val="es-MX"/>
            </w:rPr>
          </w:pPr>
          <w:bookmarkStart w:id="131" w:name="_Hlk159516147"/>
          <w:r w:rsidRPr="0020113A">
            <w:rPr>
              <w:rFonts w:ascii="Times New Roman" w:hAnsi="Times New Roman"/>
              <w:b/>
              <w:sz w:val="24"/>
              <w:szCs w:val="24"/>
              <w:lang w:val="es-MX"/>
            </w:rPr>
            <w:t>Términos significativos del acuerdo que puedan afectar su valor, el calendario y la certeza de los flujos</w:t>
          </w:r>
        </w:p>
        <w:bookmarkEnd w:id="131"/>
        <w:p w14:paraId="0A4E2728" w14:textId="77777777" w:rsidR="007803E3" w:rsidRPr="0020113A" w:rsidRDefault="007803E3" w:rsidP="007803E3">
          <w:pPr>
            <w:jc w:val="both"/>
            <w:rPr>
              <w:rFonts w:ascii="Times New Roman" w:hAnsi="Times New Roman"/>
              <w:bCs/>
              <w:sz w:val="24"/>
              <w:szCs w:val="24"/>
              <w:lang w:val="es-MX"/>
            </w:rPr>
          </w:pPr>
          <w:r w:rsidRPr="0020113A">
            <w:rPr>
              <w:rFonts w:ascii="Times New Roman" w:hAnsi="Times New Roman"/>
              <w:b/>
              <w:sz w:val="24"/>
              <w:szCs w:val="24"/>
              <w:lang w:val="es-MX"/>
            </w:rPr>
            <w:t xml:space="preserve">Términos de Valor: </w:t>
          </w:r>
          <w:r w:rsidRPr="0020113A">
            <w:rPr>
              <w:rFonts w:ascii="Times New Roman" w:hAnsi="Times New Roman"/>
              <w:bCs/>
              <w:sz w:val="24"/>
              <w:szCs w:val="24"/>
              <w:lang w:val="es-MX"/>
            </w:rPr>
            <w:t>El VPIP equivale a UN BILLON DOSCIENTOS NOVENTA Y SEIS MIL SETECIENTOS NUEVE MILLONES QUINIENTOS DIECISIETE MIL NOVECIENTOS CUARENTA y TRES PESOS DEL Mes de Referencia ($1.296.709.517.943) en valor presente de la Fecha de Inicio, conforme lo estipulado en la parte especial numeral 1.204 del contrato de concesión.</w:t>
          </w:r>
        </w:p>
        <w:p w14:paraId="7340E8EB" w14:textId="77777777" w:rsidR="007803E3" w:rsidRPr="0020113A" w:rsidRDefault="007803E3" w:rsidP="007803E3">
          <w:pPr>
            <w:jc w:val="both"/>
            <w:rPr>
              <w:rFonts w:ascii="Times New Roman" w:hAnsi="Times New Roman"/>
              <w:bCs/>
              <w:sz w:val="24"/>
              <w:szCs w:val="24"/>
              <w:lang w:val="es-MX"/>
            </w:rPr>
          </w:pPr>
          <w:r w:rsidRPr="0020113A">
            <w:rPr>
              <w:rFonts w:ascii="Times New Roman" w:hAnsi="Times New Roman"/>
              <w:bCs/>
              <w:sz w:val="24"/>
              <w:szCs w:val="24"/>
              <w:lang w:val="es-MX"/>
            </w:rPr>
            <w:t>Es preciso indicar que al corte del mes de Diciembre de 2023 se han elaborado 5 actas de retribución asociados a la Unidad Funcional No " 0 "por un valor de $112.904.396.510.</w:t>
          </w:r>
        </w:p>
        <w:p w14:paraId="1C3472D7" w14:textId="77777777" w:rsidR="007803E3" w:rsidRPr="0020113A" w:rsidRDefault="007803E3" w:rsidP="007803E3">
          <w:pPr>
            <w:jc w:val="both"/>
            <w:rPr>
              <w:rFonts w:ascii="Times New Roman" w:hAnsi="Times New Roman"/>
              <w:bCs/>
              <w:sz w:val="24"/>
              <w:szCs w:val="24"/>
              <w:lang w:val="es-MX"/>
            </w:rPr>
          </w:pPr>
          <w:r w:rsidRPr="0020113A">
            <w:rPr>
              <w:rFonts w:ascii="Times New Roman" w:hAnsi="Times New Roman"/>
              <w:bCs/>
              <w:sz w:val="24"/>
              <w:szCs w:val="24"/>
              <w:lang w:val="es-MX"/>
            </w:rPr>
            <w:t>El Gobierno Nacional a través del Decreto No.0050 de 2023, se ordenó no incrementar las tarifas de peaje a vehículos que transiten por el territorio nacional por las estaciones de peaje a cargo del INVIAS y de la ANI. Con base en la expedición del Decreto 0050 de 2023, fue necesario reestablecer las tarifas a las cobradas durante la vigencia de 2022 para las Estaciones de Peaje de Zambito y Aguas Negras.</w:t>
          </w:r>
        </w:p>
        <w:p w14:paraId="23265223"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Cs/>
              <w:sz w:val="24"/>
              <w:szCs w:val="24"/>
              <w:lang w:val="es-MX"/>
            </w:rPr>
            <w:t>En ese orden se generó la compensación por no incremento de las tarifas mediante 4 actas trimestrales cobijando el periodo del 16 de enero al 31 de Diciembre de 2023 por un valor de $12.526.487.400.</w:t>
          </w:r>
        </w:p>
        <w:p w14:paraId="1029CCC1"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Términos de Calendario:</w:t>
          </w:r>
          <w:r w:rsidRPr="0020113A">
            <w:rPr>
              <w:rFonts w:ascii="Times New Roman" w:hAnsi="Times New Roman"/>
              <w:sz w:val="24"/>
              <w:szCs w:val="24"/>
              <w:lang w:val="es-MX"/>
            </w:rPr>
            <w:t xml:space="preserve"> 5.2 establece la programación de las obras las cuales empiezan a contarse a partir del acta de inicio de la fase de construcción:</w:t>
          </w:r>
        </w:p>
        <w:p w14:paraId="2EA0B8E5"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UF 1 (11 Meses</w:t>
          </w:r>
          <w:r w:rsidRPr="0020113A">
            <w:rPr>
              <w:rFonts w:ascii="Times New Roman" w:hAnsi="Times New Roman"/>
              <w:bCs/>
              <w:sz w:val="24"/>
              <w:szCs w:val="24"/>
              <w:lang w:val="es-MX"/>
            </w:rPr>
            <w:t>),</w:t>
          </w:r>
          <w:r w:rsidRPr="0020113A">
            <w:rPr>
              <w:rFonts w:ascii="Times New Roman" w:hAnsi="Times New Roman"/>
              <w:sz w:val="24"/>
              <w:szCs w:val="24"/>
              <w:lang w:val="es-MX"/>
            </w:rPr>
            <w:t>Uf 2 (19 Meses</w:t>
          </w:r>
          <w:r w:rsidRPr="0020113A">
            <w:rPr>
              <w:rFonts w:ascii="Times New Roman" w:hAnsi="Times New Roman"/>
              <w:bCs/>
              <w:sz w:val="24"/>
              <w:szCs w:val="24"/>
              <w:lang w:val="es-MX"/>
            </w:rPr>
            <w:t>),</w:t>
          </w:r>
          <w:r w:rsidRPr="0020113A">
            <w:rPr>
              <w:rFonts w:ascii="Times New Roman" w:hAnsi="Times New Roman"/>
              <w:sz w:val="24"/>
              <w:szCs w:val="24"/>
              <w:lang w:val="es-MX"/>
            </w:rPr>
            <w:t>UF 3 (26 Meses</w:t>
          </w:r>
          <w:r w:rsidRPr="0020113A">
            <w:rPr>
              <w:rFonts w:ascii="Times New Roman" w:hAnsi="Times New Roman"/>
              <w:bCs/>
              <w:sz w:val="24"/>
              <w:szCs w:val="24"/>
              <w:lang w:val="es-MX"/>
            </w:rPr>
            <w:t>),</w:t>
          </w:r>
          <w:r w:rsidRPr="0020113A">
            <w:rPr>
              <w:rFonts w:ascii="Times New Roman" w:hAnsi="Times New Roman"/>
              <w:sz w:val="24"/>
              <w:szCs w:val="24"/>
              <w:lang w:val="es-MX"/>
            </w:rPr>
            <w:t>UF 4 (30 Meses</w:t>
          </w:r>
          <w:r w:rsidRPr="0020113A">
            <w:rPr>
              <w:rFonts w:ascii="Times New Roman" w:hAnsi="Times New Roman"/>
              <w:bCs/>
              <w:sz w:val="24"/>
              <w:szCs w:val="24"/>
              <w:lang w:val="es-MX"/>
            </w:rPr>
            <w:t>),</w:t>
          </w:r>
          <w:r w:rsidRPr="0020113A">
            <w:rPr>
              <w:rFonts w:ascii="Times New Roman" w:hAnsi="Times New Roman"/>
              <w:sz w:val="24"/>
              <w:szCs w:val="24"/>
              <w:lang w:val="es-MX"/>
            </w:rPr>
            <w:t>UF 5 ( 47Meses</w:t>
          </w:r>
          <w:r w:rsidRPr="0020113A">
            <w:rPr>
              <w:rFonts w:ascii="Times New Roman" w:hAnsi="Times New Roman"/>
              <w:bCs/>
              <w:sz w:val="24"/>
              <w:szCs w:val="24"/>
              <w:lang w:val="es-MX"/>
            </w:rPr>
            <w:t>),</w:t>
          </w:r>
          <w:r w:rsidRPr="0020113A">
            <w:rPr>
              <w:rFonts w:ascii="Times New Roman" w:hAnsi="Times New Roman"/>
              <w:sz w:val="24"/>
              <w:szCs w:val="24"/>
              <w:lang w:val="es-MX"/>
            </w:rPr>
            <w:t>UF 6 ( 9 Meses</w:t>
          </w:r>
          <w:r w:rsidRPr="0020113A">
            <w:rPr>
              <w:rFonts w:ascii="Times New Roman" w:hAnsi="Times New Roman"/>
              <w:bCs/>
              <w:sz w:val="24"/>
              <w:szCs w:val="24"/>
              <w:lang w:val="es-MX"/>
            </w:rPr>
            <w:t>),</w:t>
          </w:r>
          <w:r w:rsidRPr="0020113A">
            <w:rPr>
              <w:rFonts w:ascii="Times New Roman" w:hAnsi="Times New Roman"/>
              <w:sz w:val="24"/>
              <w:szCs w:val="24"/>
              <w:lang w:val="es-MX"/>
            </w:rPr>
            <w:t>UF 7 (19 Meses</w:t>
          </w:r>
          <w:r w:rsidRPr="0020113A">
            <w:rPr>
              <w:rFonts w:ascii="Times New Roman" w:hAnsi="Times New Roman"/>
              <w:bCs/>
              <w:sz w:val="24"/>
              <w:szCs w:val="24"/>
              <w:lang w:val="es-MX"/>
            </w:rPr>
            <w:t>),</w:t>
          </w:r>
          <w:r w:rsidRPr="0020113A">
            <w:rPr>
              <w:rFonts w:ascii="Times New Roman" w:hAnsi="Times New Roman"/>
              <w:sz w:val="24"/>
              <w:szCs w:val="24"/>
              <w:lang w:val="es-MX"/>
            </w:rPr>
            <w:t>UF 8 (12 Meses</w:t>
          </w:r>
          <w:r w:rsidRPr="0020113A">
            <w:rPr>
              <w:rFonts w:ascii="Times New Roman" w:hAnsi="Times New Roman"/>
              <w:bCs/>
              <w:sz w:val="24"/>
              <w:szCs w:val="24"/>
              <w:lang w:val="es-MX"/>
            </w:rPr>
            <w:t>),</w:t>
          </w:r>
          <w:r w:rsidRPr="0020113A">
            <w:rPr>
              <w:rFonts w:ascii="Times New Roman" w:hAnsi="Times New Roman"/>
              <w:sz w:val="24"/>
              <w:szCs w:val="24"/>
              <w:lang w:val="es-MX"/>
            </w:rPr>
            <w:t>UF 9 ( 21 Meses</w:t>
          </w:r>
          <w:r w:rsidRPr="0020113A">
            <w:rPr>
              <w:rFonts w:ascii="Times New Roman" w:hAnsi="Times New Roman"/>
              <w:bCs/>
              <w:sz w:val="24"/>
              <w:szCs w:val="24"/>
              <w:lang w:val="es-MX"/>
            </w:rPr>
            <w:t>),</w:t>
          </w:r>
          <w:r w:rsidRPr="0020113A">
            <w:rPr>
              <w:rFonts w:ascii="Times New Roman" w:hAnsi="Times New Roman"/>
              <w:sz w:val="24"/>
              <w:szCs w:val="24"/>
              <w:lang w:val="es-MX"/>
            </w:rPr>
            <w:t>UF 10 (24 Meses</w:t>
          </w:r>
          <w:r w:rsidRPr="0020113A">
            <w:rPr>
              <w:rFonts w:ascii="Times New Roman" w:hAnsi="Times New Roman"/>
              <w:bCs/>
              <w:sz w:val="24"/>
              <w:szCs w:val="24"/>
              <w:lang w:val="es-MX"/>
            </w:rPr>
            <w:t>),</w:t>
          </w:r>
          <w:r w:rsidRPr="0020113A">
            <w:rPr>
              <w:rFonts w:ascii="Times New Roman" w:hAnsi="Times New Roman"/>
              <w:sz w:val="24"/>
              <w:szCs w:val="24"/>
              <w:lang w:val="es-MX"/>
            </w:rPr>
            <w:t>UF 11 (38 Meses</w:t>
          </w:r>
          <w:r w:rsidRPr="0020113A">
            <w:rPr>
              <w:rFonts w:ascii="Times New Roman" w:hAnsi="Times New Roman"/>
              <w:bCs/>
              <w:sz w:val="24"/>
              <w:szCs w:val="24"/>
              <w:lang w:val="es-MX"/>
            </w:rPr>
            <w:t>),</w:t>
          </w:r>
          <w:r w:rsidRPr="0020113A">
            <w:rPr>
              <w:rFonts w:ascii="Times New Roman" w:hAnsi="Times New Roman"/>
              <w:sz w:val="24"/>
              <w:szCs w:val="24"/>
              <w:lang w:val="es-MX"/>
            </w:rPr>
            <w:t>UF 12 (20 Meses</w:t>
          </w:r>
          <w:r w:rsidRPr="0020113A">
            <w:rPr>
              <w:rFonts w:ascii="Times New Roman" w:hAnsi="Times New Roman"/>
              <w:bCs/>
              <w:sz w:val="24"/>
              <w:szCs w:val="24"/>
              <w:lang w:val="es-MX"/>
            </w:rPr>
            <w:t>),</w:t>
          </w:r>
          <w:r w:rsidRPr="0020113A">
            <w:rPr>
              <w:rFonts w:ascii="Times New Roman" w:hAnsi="Times New Roman"/>
              <w:sz w:val="24"/>
              <w:szCs w:val="24"/>
              <w:lang w:val="es-MX"/>
            </w:rPr>
            <w:t>UF 13 (26 Meses)</w:t>
          </w:r>
        </w:p>
        <w:p w14:paraId="66E1E62E"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Términos de Certeza de Flujos de Efectivo Futuros</w:t>
          </w:r>
          <w:r w:rsidRPr="0020113A">
            <w:rPr>
              <w:rFonts w:ascii="Times New Roman" w:hAnsi="Times New Roman"/>
              <w:bCs/>
              <w:sz w:val="24"/>
              <w:szCs w:val="24"/>
              <w:lang w:val="es-MX"/>
            </w:rPr>
            <w:t xml:space="preserve">: Parte General Numeral 1.204” VPIP”: Es el valor presente al Mes de Referencia del Recaudo de Peaje. Teniendo en cuenta que el contrato inicio el 01 de diciembre de 2022, a la fecha no se ha suscrito el acta de VPIP. No obstante, este corresponde a $1.296.709.517.943 (Un billón doscientos noventa y seis mil </w:t>
          </w:r>
          <w:r w:rsidRPr="0020113A">
            <w:rPr>
              <w:rFonts w:ascii="Times New Roman" w:hAnsi="Times New Roman"/>
              <w:bCs/>
              <w:sz w:val="24"/>
              <w:szCs w:val="24"/>
              <w:lang w:val="es-MX"/>
            </w:rPr>
            <w:lastRenderedPageBreak/>
            <w:t>setecientos nueve millones quinientos diecisiete mil novecientos cuarenta y tres pesos del mes de referencia.</w:t>
          </w:r>
        </w:p>
        <w:p w14:paraId="03486D5F" w14:textId="77777777" w:rsidR="007803E3" w:rsidRPr="0020113A" w:rsidRDefault="007803E3" w:rsidP="00E60BAB">
          <w:pPr>
            <w:pStyle w:val="Prrafodelista"/>
            <w:numPr>
              <w:ilvl w:val="0"/>
              <w:numId w:val="71"/>
            </w:numPr>
            <w:spacing w:line="259" w:lineRule="auto"/>
            <w:jc w:val="both"/>
            <w:rPr>
              <w:rFonts w:ascii="Times New Roman" w:hAnsi="Times New Roman"/>
              <w:b/>
              <w:sz w:val="24"/>
              <w:szCs w:val="24"/>
              <w:lang w:val="es-MX"/>
            </w:rPr>
          </w:pPr>
          <w:r w:rsidRPr="0020113A">
            <w:rPr>
              <w:rFonts w:ascii="Times New Roman" w:hAnsi="Times New Roman"/>
              <w:b/>
              <w:sz w:val="24"/>
              <w:szCs w:val="24"/>
              <w:lang w:val="es-MX"/>
            </w:rPr>
            <w:t>Naturaleza y alcance del derecho a utilizar activos especificados, de los aspectos pactados en torno a lo que se espera que el concesionario proporcione en relación con el acuerdo de concesión</w:t>
          </w:r>
        </w:p>
        <w:p w14:paraId="0C989641" w14:textId="77777777" w:rsidR="007803E3" w:rsidRPr="0020113A" w:rsidRDefault="007803E3" w:rsidP="007803E3">
          <w:pPr>
            <w:jc w:val="center"/>
            <w:rPr>
              <w:rFonts w:ascii="Times New Roman" w:hAnsi="Times New Roman"/>
              <w:b/>
              <w:sz w:val="24"/>
              <w:szCs w:val="24"/>
              <w:lang w:val="es-MX"/>
            </w:rPr>
          </w:pPr>
          <w:r w:rsidRPr="0020113A">
            <w:rPr>
              <w:rFonts w:ascii="Times New Roman" w:hAnsi="Times New Roman"/>
              <w:b/>
              <w:sz w:val="24"/>
              <w:szCs w:val="24"/>
              <w:lang w:val="es-MX"/>
            </w:rPr>
            <w:t>Naturaleza y alcance del derecho de uso de los activos</w:t>
          </w:r>
        </w:p>
        <w:p w14:paraId="54C8ECB1" w14:textId="77777777" w:rsidR="007803E3" w:rsidRPr="0020113A" w:rsidRDefault="007803E3" w:rsidP="007803E3">
          <w:pPr>
            <w:jc w:val="both"/>
            <w:rPr>
              <w:rFonts w:ascii="Times New Roman" w:hAnsi="Times New Roman"/>
              <w:bCs/>
              <w:sz w:val="24"/>
              <w:szCs w:val="24"/>
              <w:lang w:val="es-MX"/>
            </w:rPr>
          </w:pPr>
          <w:r w:rsidRPr="0020113A">
            <w:rPr>
              <w:rFonts w:ascii="Times New Roman" w:hAnsi="Times New Roman"/>
              <w:b/>
              <w:sz w:val="24"/>
              <w:szCs w:val="24"/>
              <w:lang w:val="es-MX"/>
            </w:rPr>
            <w:t xml:space="preserve">Descripción: </w:t>
          </w:r>
          <w:r w:rsidRPr="0020113A">
            <w:rPr>
              <w:rFonts w:ascii="Times New Roman" w:hAnsi="Times New Roman"/>
              <w:bCs/>
              <w:sz w:val="24"/>
              <w:szCs w:val="24"/>
              <w:lang w:val="es-MX"/>
            </w:rPr>
            <w:t>En la parte general  4.2  (t) (z) (bb) principales obligaciones durante la fase de pre-construcción se indica:</w:t>
          </w:r>
        </w:p>
        <w:p w14:paraId="3B2D3229" w14:textId="77777777" w:rsidR="007803E3" w:rsidRPr="0020113A" w:rsidRDefault="007803E3" w:rsidP="007803E3">
          <w:pPr>
            <w:jc w:val="both"/>
            <w:rPr>
              <w:rFonts w:ascii="Times New Roman" w:hAnsi="Times New Roman"/>
              <w:bCs/>
              <w:sz w:val="24"/>
              <w:szCs w:val="24"/>
              <w:lang w:val="es-MX"/>
            </w:rPr>
          </w:pPr>
          <w:r w:rsidRPr="0020113A">
            <w:rPr>
              <w:rFonts w:ascii="Times New Roman" w:hAnsi="Times New Roman"/>
              <w:bCs/>
              <w:sz w:val="24"/>
              <w:szCs w:val="24"/>
              <w:lang w:val="es-MX"/>
            </w:rPr>
            <w:t>Actualizar anualmente el Inventario de Activos de la Concesión y enviar tal actualización a la ANI dentro de los primeros tres (3) Meses de cada año.</w:t>
          </w:r>
        </w:p>
        <w:p w14:paraId="4FEA20B7"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Cs/>
              <w:sz w:val="24"/>
              <w:szCs w:val="24"/>
              <w:lang w:val="es-MX"/>
            </w:rPr>
            <w:t>Parte General 3.3 Peajes, Tráfico, Derecho de Recaudo e Ingresos por Explotación Comercial. Se cederá al Concesionario la operación de las Estaciones de Peaje (el "Derecho de Recaudo") en la misma fecha de Entrega de la Infraestructura, salvo por las excepciones establecidas en la Parte Especial. El producto del Recaudo del Peaje será utilizado por la ANI como fuente de recursos para efectos del desembolso de la Retribución del Concesionario, de la Compensación Especial y de la Compensación por Riesgo, en los términos y condiciones señalados en el Contrato.</w:t>
          </w:r>
        </w:p>
        <w:p w14:paraId="63F5F3CE" w14:textId="77777777" w:rsidR="007803E3" w:rsidRPr="0020113A" w:rsidRDefault="007803E3" w:rsidP="007803E3">
          <w:pPr>
            <w:rPr>
              <w:rFonts w:ascii="Times New Roman" w:hAnsi="Times New Roman"/>
              <w:sz w:val="24"/>
              <w:szCs w:val="24"/>
              <w:lang w:val="es-MX"/>
            </w:rPr>
          </w:pPr>
          <w:r w:rsidRPr="0020113A">
            <w:rPr>
              <w:rFonts w:ascii="Times New Roman" w:hAnsi="Times New Roman"/>
              <w:b/>
              <w:sz w:val="24"/>
              <w:szCs w:val="24"/>
              <w:lang w:val="es-MX"/>
            </w:rPr>
            <w:t xml:space="preserve">Observaciones: </w:t>
          </w:r>
          <w:r w:rsidRPr="0020113A">
            <w:rPr>
              <w:rFonts w:ascii="Times New Roman" w:hAnsi="Times New Roman"/>
              <w:bCs/>
              <w:sz w:val="24"/>
              <w:szCs w:val="24"/>
              <w:lang w:val="es-MX"/>
            </w:rPr>
            <w:t>No se tienen observaciones</w:t>
          </w:r>
        </w:p>
        <w:p w14:paraId="6D97122E" w14:textId="77777777" w:rsidR="007803E3" w:rsidRPr="0020113A" w:rsidRDefault="007803E3" w:rsidP="007803E3">
          <w:pPr>
            <w:jc w:val="center"/>
            <w:rPr>
              <w:rFonts w:ascii="Times New Roman" w:hAnsi="Times New Roman"/>
              <w:b/>
              <w:sz w:val="24"/>
              <w:szCs w:val="24"/>
              <w:lang w:val="es-MX"/>
            </w:rPr>
          </w:pPr>
          <w:r w:rsidRPr="0020113A">
            <w:rPr>
              <w:rFonts w:ascii="Times New Roman" w:hAnsi="Times New Roman"/>
              <w:b/>
              <w:sz w:val="24"/>
              <w:szCs w:val="24"/>
              <w:lang w:val="es-MX"/>
            </w:rPr>
            <w:t>Retribución al Concesionario</w:t>
          </w:r>
        </w:p>
        <w:p w14:paraId="57A16193" w14:textId="09B69881" w:rsidR="007803E3" w:rsidRPr="0020113A" w:rsidRDefault="007803E3" w:rsidP="007803E3">
          <w:pPr>
            <w:jc w:val="both"/>
            <w:rPr>
              <w:rFonts w:ascii="Times New Roman" w:hAnsi="Times New Roman"/>
              <w:bCs/>
              <w:sz w:val="24"/>
              <w:szCs w:val="24"/>
              <w:lang w:val="es-MX"/>
            </w:rPr>
          </w:pPr>
          <w:r w:rsidRPr="0020113A">
            <w:rPr>
              <w:rFonts w:ascii="Times New Roman" w:hAnsi="Times New Roman"/>
              <w:b/>
              <w:sz w:val="24"/>
              <w:szCs w:val="24"/>
              <w:lang w:val="es-MX"/>
            </w:rPr>
            <w:t xml:space="preserve">Descripción: </w:t>
          </w:r>
          <w:r w:rsidRPr="0020113A">
            <w:rPr>
              <w:rFonts w:ascii="Times New Roman" w:hAnsi="Times New Roman"/>
              <w:bCs/>
              <w:sz w:val="24"/>
              <w:szCs w:val="24"/>
              <w:lang w:val="es-MX"/>
            </w:rPr>
            <w:t>Parte General 3.1 “Retribución” se indica el derecho a la Retribución del Concesionario con respecto a cada Unidad Funcional se iniciará a partir de la suscripción de la respectiva Acta de Terminación de Unidad Funcional de Operación y Mantenimiento, según el caso, y terminará en la fecha de terminación de la etapa de Operación y Mantenimiento o el día de la declaratoria de Terminación anticipada del contrato. La suscripción del Acta de Terminación Parcial de la Unidad Funcional cuando sea aplicable de conformidad con este contrato dará lugar a la causación y pago de la Compensación Especial. Las fuentes de la retribución aplican.</w:t>
          </w:r>
        </w:p>
        <w:p w14:paraId="781AA3EE" w14:textId="77777777" w:rsidR="007803E3" w:rsidRPr="0020113A" w:rsidRDefault="007803E3" w:rsidP="00350EE8">
          <w:pPr>
            <w:spacing w:after="0"/>
            <w:rPr>
              <w:rFonts w:ascii="Times New Roman" w:hAnsi="Times New Roman"/>
              <w:bCs/>
              <w:sz w:val="24"/>
              <w:szCs w:val="24"/>
              <w:lang w:val="es-MX"/>
            </w:rPr>
          </w:pPr>
          <w:r w:rsidRPr="0020113A">
            <w:rPr>
              <w:rFonts w:ascii="Times New Roman" w:hAnsi="Times New Roman"/>
              <w:bCs/>
              <w:sz w:val="24"/>
              <w:szCs w:val="24"/>
              <w:lang w:val="es-MX"/>
            </w:rPr>
            <w:t xml:space="preserve">Aportes ANI </w:t>
          </w:r>
        </w:p>
        <w:p w14:paraId="310FDBF8" w14:textId="77777777" w:rsidR="007803E3" w:rsidRPr="0020113A" w:rsidRDefault="007803E3" w:rsidP="00350EE8">
          <w:pPr>
            <w:spacing w:after="0"/>
            <w:rPr>
              <w:rFonts w:ascii="Times New Roman" w:hAnsi="Times New Roman"/>
              <w:bCs/>
              <w:sz w:val="24"/>
              <w:szCs w:val="24"/>
              <w:lang w:val="es-MX"/>
            </w:rPr>
          </w:pPr>
          <w:r w:rsidRPr="0020113A">
            <w:rPr>
              <w:rFonts w:ascii="Times New Roman" w:hAnsi="Times New Roman"/>
              <w:bCs/>
              <w:sz w:val="24"/>
              <w:szCs w:val="24"/>
              <w:lang w:val="es-MX"/>
            </w:rPr>
            <w:t xml:space="preserve">Recaudo de Peajes </w:t>
          </w:r>
        </w:p>
        <w:p w14:paraId="48769255" w14:textId="77777777" w:rsidR="007803E3" w:rsidRPr="0020113A" w:rsidRDefault="007803E3" w:rsidP="00350EE8">
          <w:pPr>
            <w:spacing w:after="0"/>
            <w:rPr>
              <w:rFonts w:ascii="Times New Roman" w:hAnsi="Times New Roman"/>
              <w:bCs/>
              <w:sz w:val="24"/>
              <w:szCs w:val="24"/>
              <w:lang w:val="es-MX"/>
            </w:rPr>
          </w:pPr>
          <w:r w:rsidRPr="0020113A">
            <w:rPr>
              <w:rFonts w:ascii="Times New Roman" w:hAnsi="Times New Roman"/>
              <w:bCs/>
              <w:sz w:val="24"/>
              <w:szCs w:val="24"/>
              <w:lang w:val="es-MX"/>
            </w:rPr>
            <w:t xml:space="preserve">Los Ingresos por Explotación Comercial, </w:t>
          </w:r>
        </w:p>
        <w:p w14:paraId="07D8AD89" w14:textId="77777777" w:rsidR="007803E3" w:rsidRPr="0020113A" w:rsidRDefault="007803E3" w:rsidP="00350EE8">
          <w:pPr>
            <w:spacing w:after="0"/>
            <w:rPr>
              <w:rFonts w:ascii="Times New Roman" w:hAnsi="Times New Roman"/>
              <w:sz w:val="24"/>
              <w:szCs w:val="24"/>
              <w:lang w:val="es-MX"/>
            </w:rPr>
          </w:pPr>
          <w:r w:rsidRPr="0020113A">
            <w:rPr>
              <w:rFonts w:ascii="Times New Roman" w:hAnsi="Times New Roman"/>
              <w:bCs/>
              <w:sz w:val="24"/>
              <w:szCs w:val="24"/>
              <w:lang w:val="es-MX"/>
            </w:rPr>
            <w:t>(iv) Otras Fuentes definidas en la parte Especial.</w:t>
          </w:r>
        </w:p>
        <w:p w14:paraId="1E860E67" w14:textId="0191BA4C" w:rsidR="007803E3" w:rsidRPr="0020113A" w:rsidRDefault="007803E3" w:rsidP="007803E3">
          <w:pPr>
            <w:rPr>
              <w:rFonts w:ascii="Times New Roman" w:hAnsi="Times New Roman"/>
              <w:bCs/>
              <w:sz w:val="24"/>
              <w:szCs w:val="24"/>
              <w:lang w:val="es-MX"/>
            </w:rPr>
          </w:pPr>
          <w:r w:rsidRPr="0020113A">
            <w:rPr>
              <w:rFonts w:ascii="Times New Roman" w:hAnsi="Times New Roman"/>
              <w:b/>
              <w:sz w:val="24"/>
              <w:szCs w:val="24"/>
              <w:lang w:val="es-MX"/>
            </w:rPr>
            <w:t xml:space="preserve">Tasa de Retribución: </w:t>
          </w:r>
          <w:r w:rsidRPr="0020113A">
            <w:rPr>
              <w:rFonts w:ascii="Times New Roman" w:hAnsi="Times New Roman"/>
              <w:bCs/>
              <w:sz w:val="24"/>
              <w:szCs w:val="24"/>
              <w:lang w:val="es-MX"/>
            </w:rPr>
            <w:t xml:space="preserve">Tasa de retribución: La tasa de descuento real (TDI) expresada en términos Efectivos Mensuales, será de cero </w:t>
          </w:r>
          <w:r w:rsidR="00707DF4" w:rsidRPr="0020113A">
            <w:rPr>
              <w:rFonts w:ascii="Times New Roman" w:hAnsi="Times New Roman"/>
              <w:bCs/>
              <w:sz w:val="24"/>
              <w:szCs w:val="24"/>
              <w:lang w:val="es-MX"/>
            </w:rPr>
            <w:t>puntos</w:t>
          </w:r>
          <w:r w:rsidRPr="0020113A">
            <w:rPr>
              <w:rFonts w:ascii="Times New Roman" w:hAnsi="Times New Roman"/>
              <w:bCs/>
              <w:sz w:val="24"/>
              <w:szCs w:val="24"/>
              <w:lang w:val="es-MX"/>
            </w:rPr>
            <w:t xml:space="preserve"> sesenta y ocho sesenta y cinco por ciento (0,6865%).</w:t>
          </w:r>
        </w:p>
        <w:p w14:paraId="17E350A6" w14:textId="77777777" w:rsidR="007803E3" w:rsidRPr="0020113A" w:rsidRDefault="007803E3" w:rsidP="00E60BAB">
          <w:pPr>
            <w:pStyle w:val="Prrafodelista"/>
            <w:numPr>
              <w:ilvl w:val="0"/>
              <w:numId w:val="71"/>
            </w:numPr>
            <w:spacing w:line="259" w:lineRule="auto"/>
            <w:rPr>
              <w:rFonts w:ascii="Times New Roman" w:hAnsi="Times New Roman"/>
              <w:b/>
              <w:sz w:val="24"/>
              <w:szCs w:val="24"/>
              <w:lang w:val="es-MX"/>
            </w:rPr>
          </w:pPr>
          <w:r w:rsidRPr="0020113A">
            <w:rPr>
              <w:rFonts w:ascii="Times New Roman" w:hAnsi="Times New Roman"/>
              <w:b/>
              <w:sz w:val="24"/>
              <w:szCs w:val="24"/>
              <w:lang w:val="es-MX"/>
            </w:rPr>
            <w:t>Derechos a recibir activos especificados al final del acuerdo de concesión</w:t>
          </w:r>
        </w:p>
        <w:p w14:paraId="0699B1DF"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Descripción</w:t>
          </w:r>
          <w:r w:rsidRPr="0020113A">
            <w:rPr>
              <w:rFonts w:ascii="Times New Roman" w:hAnsi="Times New Roman"/>
              <w:sz w:val="24"/>
              <w:szCs w:val="24"/>
              <w:lang w:val="es-MX"/>
            </w:rPr>
            <w:t>: Se encuentra regulado en la numeral 9.7 Etapa de Reversión:</w:t>
          </w:r>
        </w:p>
        <w:p w14:paraId="51496904"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lastRenderedPageBreak/>
            <w:t>Al Día siguiente de la Fecha de Terminación de la Etapa de Operación y Mantenimiento o de la declaratoria de Terminación Anticipada del Contrato, el Concesionario y el Interventor deberán iniciar la verificación final del Proyecto Con el fin de proceder a la Reversión.</w:t>
          </w:r>
        </w:p>
        <w:p w14:paraId="084E905A"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Observaciones: </w:t>
          </w:r>
          <w:r w:rsidRPr="0020113A">
            <w:rPr>
              <w:rFonts w:ascii="Times New Roman" w:hAnsi="Times New Roman"/>
              <w:sz w:val="24"/>
              <w:szCs w:val="24"/>
              <w:lang w:val="es-MX"/>
            </w:rPr>
            <w:t>La actualización del Inventario de Activos de la Concesión que incluirá todos los bienes inmuebles por adhesión y destinación y en general todos aquellos bienes que (1) hayan sido adquiridos por el Concesionario y se encuentren destinados a las actividades de Operación, lo cual en ningún caso incluirá maquinaria de construcción; (2) hayan sido entregados por la ANI; y (3) que hubieren sido de particulares que hayan sido requeridos por el Proyecto. En todo caso este listado incluirá -como mínimo~ el listado de bienes reversibles que aparece en el Apéndice Técnico 2. Así mismo, al momento de la actualización del Inventario de Activos de la Concesión se verificará que los predios adquiridos se encuentran libres de toda ocupación ilegal.</w:t>
          </w:r>
        </w:p>
        <w:p w14:paraId="490494A0" w14:textId="1AE0AF6D" w:rsidR="007803E3" w:rsidRPr="0020113A" w:rsidRDefault="00A060C8" w:rsidP="00E60BAB">
          <w:pPr>
            <w:pStyle w:val="Prrafodelista"/>
            <w:numPr>
              <w:ilvl w:val="0"/>
              <w:numId w:val="71"/>
            </w:numPr>
            <w:spacing w:line="259" w:lineRule="auto"/>
            <w:rPr>
              <w:rFonts w:ascii="Times New Roman" w:hAnsi="Times New Roman"/>
              <w:b/>
              <w:sz w:val="24"/>
              <w:szCs w:val="24"/>
              <w:lang w:val="es-MX"/>
            </w:rPr>
          </w:pPr>
          <w:r>
            <w:rPr>
              <w:rFonts w:ascii="Times New Roman" w:hAnsi="Times New Roman"/>
              <w:b/>
              <w:sz w:val="24"/>
              <w:szCs w:val="24"/>
              <w:lang w:val="es-MX"/>
            </w:rPr>
            <w:t>No hay c</w:t>
          </w:r>
          <w:r w:rsidR="007803E3" w:rsidRPr="0020113A">
            <w:rPr>
              <w:rFonts w:ascii="Times New Roman" w:hAnsi="Times New Roman"/>
              <w:b/>
              <w:sz w:val="24"/>
              <w:szCs w:val="24"/>
              <w:lang w:val="es-MX"/>
            </w:rPr>
            <w:t>ambios en el acuerdo de concesión que se realicen durante el periodo fiscal</w:t>
          </w:r>
        </w:p>
        <w:p w14:paraId="2D9A6888" w14:textId="77777777" w:rsidR="007803E3" w:rsidRPr="0020113A" w:rsidRDefault="007803E3" w:rsidP="007803E3">
          <w:pPr>
            <w:rPr>
              <w:rFonts w:ascii="Times New Roman" w:hAnsi="Times New Roman"/>
              <w:sz w:val="24"/>
              <w:szCs w:val="24"/>
            </w:rPr>
          </w:pPr>
        </w:p>
        <w:p w14:paraId="17A901C0" w14:textId="77777777"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SANTANA MOCOA NEIVA</w:t>
          </w:r>
        </w:p>
        <w:p w14:paraId="49B4DC25" w14:textId="77777777" w:rsidR="007803E3" w:rsidRPr="0020113A" w:rsidRDefault="007803E3" w:rsidP="00E60BAB">
          <w:pPr>
            <w:pStyle w:val="Prrafodelista"/>
            <w:numPr>
              <w:ilvl w:val="0"/>
              <w:numId w:val="61"/>
            </w:numPr>
            <w:spacing w:line="259" w:lineRule="auto"/>
            <w:rPr>
              <w:rFonts w:ascii="Times New Roman" w:hAnsi="Times New Roman"/>
              <w:b/>
              <w:sz w:val="24"/>
              <w:szCs w:val="24"/>
              <w:lang w:val="es-MX"/>
            </w:rPr>
          </w:pPr>
          <w:r w:rsidRPr="0020113A">
            <w:rPr>
              <w:rFonts w:ascii="Times New Roman" w:hAnsi="Times New Roman"/>
              <w:b/>
              <w:sz w:val="24"/>
              <w:szCs w:val="24"/>
              <w:lang w:val="es-MX"/>
            </w:rPr>
            <w:t>Descripción del Acuerdo</w:t>
          </w:r>
        </w:p>
        <w:p w14:paraId="3A6E5687" w14:textId="77777777" w:rsidR="007803E3" w:rsidRPr="0020113A" w:rsidRDefault="007803E3" w:rsidP="18BAD2EC">
          <w:pPr>
            <w:spacing w:after="0"/>
            <w:jc w:val="both"/>
            <w:rPr>
              <w:rFonts w:ascii="Times New Roman" w:hAnsi="Times New Roman"/>
              <w:b/>
              <w:sz w:val="24"/>
              <w:szCs w:val="24"/>
              <w:lang w:val="es-MX"/>
            </w:rPr>
          </w:pPr>
          <w:r w:rsidRPr="0020113A">
            <w:rPr>
              <w:rFonts w:ascii="Times New Roman" w:hAnsi="Times New Roman"/>
              <w:b/>
              <w:sz w:val="24"/>
              <w:szCs w:val="24"/>
              <w:lang w:val="es-MX"/>
            </w:rPr>
            <w:t xml:space="preserve">Número del Acuerdo de Concesión: </w:t>
          </w:r>
          <w:r w:rsidRPr="0020113A">
            <w:rPr>
              <w:rFonts w:ascii="Times New Roman" w:hAnsi="Times New Roman"/>
              <w:sz w:val="24"/>
              <w:szCs w:val="24"/>
              <w:lang w:val="es-MX"/>
            </w:rPr>
            <w:t>No 012 de 2015</w:t>
          </w:r>
        </w:p>
        <w:p w14:paraId="35FA3FC7" w14:textId="131B535E" w:rsidR="007803E3" w:rsidRPr="0020113A" w:rsidRDefault="007803E3" w:rsidP="18BAD2EC">
          <w:pPr>
            <w:spacing w:after="0"/>
            <w:jc w:val="both"/>
            <w:rPr>
              <w:rFonts w:ascii="Times New Roman" w:hAnsi="Times New Roman"/>
              <w:b/>
              <w:sz w:val="24"/>
              <w:szCs w:val="24"/>
              <w:lang w:val="es-MX"/>
            </w:rPr>
          </w:pPr>
          <w:r w:rsidRPr="0020113A">
            <w:rPr>
              <w:rFonts w:ascii="Times New Roman" w:hAnsi="Times New Roman"/>
              <w:b/>
              <w:sz w:val="24"/>
              <w:szCs w:val="24"/>
              <w:lang w:val="es-MX"/>
            </w:rPr>
            <w:t xml:space="preserve">Objeto / Descripción: </w:t>
          </w:r>
          <w:r w:rsidRPr="0020113A">
            <w:rPr>
              <w:rFonts w:ascii="Times New Roman" w:hAnsi="Times New Roman"/>
              <w:sz w:val="24"/>
              <w:szCs w:val="24"/>
              <w:lang w:val="es-MX"/>
            </w:rPr>
            <w:t>El presente Contrato de concesión bajo un esquema de asociación público</w:t>
          </w:r>
          <w:r w:rsidR="00350EE8" w:rsidRPr="0020113A">
            <w:rPr>
              <w:rFonts w:ascii="Times New Roman" w:hAnsi="Times New Roman"/>
              <w:sz w:val="24"/>
              <w:szCs w:val="24"/>
              <w:lang w:val="es-MX"/>
            </w:rPr>
            <w:t>-</w:t>
          </w:r>
          <w:r w:rsidRPr="0020113A">
            <w:rPr>
              <w:rFonts w:ascii="Times New Roman" w:hAnsi="Times New Roman"/>
              <w:sz w:val="24"/>
              <w:szCs w:val="24"/>
              <w:lang w:val="es-MX"/>
            </w:rPr>
            <w:t>privada en los términos de la Ley 1508 de 2012, tiene por objeto el otorgamiento de una concesión para que de conformidad con lo previsto en este Contrato, el Concesionario, por su cuenta y riesgo, lleve a cabo el Proyecto. El alcance físico del Proyecto se describe en la Parte Especial y en el Apéndice Técnico 1.</w:t>
          </w:r>
        </w:p>
        <w:p w14:paraId="5C6D7AC0" w14:textId="77777777" w:rsidR="007803E3" w:rsidRPr="0020113A" w:rsidRDefault="007803E3" w:rsidP="00350EE8">
          <w:pPr>
            <w:spacing w:after="0"/>
            <w:rPr>
              <w:rFonts w:ascii="Times New Roman" w:hAnsi="Times New Roman"/>
              <w:b/>
              <w:sz w:val="24"/>
              <w:szCs w:val="24"/>
              <w:lang w:val="es-MX"/>
            </w:rPr>
          </w:pPr>
          <w:r w:rsidRPr="0020113A">
            <w:rPr>
              <w:rFonts w:ascii="Times New Roman" w:hAnsi="Times New Roman"/>
              <w:b/>
              <w:sz w:val="24"/>
              <w:szCs w:val="24"/>
              <w:lang w:val="es-MX"/>
            </w:rPr>
            <w:t xml:space="preserve">Valor Inicial: </w:t>
          </w:r>
          <w:r w:rsidRPr="0020113A">
            <w:rPr>
              <w:rFonts w:ascii="Times New Roman" w:hAnsi="Times New Roman"/>
              <w:sz w:val="24"/>
              <w:szCs w:val="24"/>
              <w:lang w:val="es-MX"/>
            </w:rPr>
            <w:t>$ 2.969.581.000,000 de diciembre de /2013</w:t>
          </w:r>
        </w:p>
        <w:p w14:paraId="6F0B0033" w14:textId="77777777" w:rsidR="007803E3" w:rsidRPr="0020113A" w:rsidRDefault="007803E3" w:rsidP="00350EE8">
          <w:pPr>
            <w:spacing w:after="0"/>
            <w:rPr>
              <w:rFonts w:ascii="Times New Roman" w:hAnsi="Times New Roman"/>
              <w:b/>
              <w:sz w:val="24"/>
              <w:szCs w:val="24"/>
              <w:lang w:val="es-MX"/>
            </w:rPr>
          </w:pPr>
          <w:r w:rsidRPr="0020113A">
            <w:rPr>
              <w:rFonts w:ascii="Times New Roman" w:hAnsi="Times New Roman"/>
              <w:b/>
              <w:sz w:val="24"/>
              <w:szCs w:val="24"/>
              <w:lang w:val="es-MX"/>
            </w:rPr>
            <w:t xml:space="preserve">Fecha de Inicio: </w:t>
          </w:r>
          <w:r w:rsidRPr="0020113A">
            <w:rPr>
              <w:rFonts w:ascii="Times New Roman" w:hAnsi="Times New Roman"/>
              <w:sz w:val="24"/>
              <w:szCs w:val="24"/>
              <w:lang w:val="es-MX"/>
            </w:rPr>
            <w:t>29 de septiembre de 2015</w:t>
          </w:r>
        </w:p>
        <w:p w14:paraId="14138650" w14:textId="77777777" w:rsidR="007803E3" w:rsidRPr="0020113A" w:rsidRDefault="007803E3" w:rsidP="00350EE8">
          <w:pPr>
            <w:spacing w:after="0"/>
            <w:jc w:val="both"/>
            <w:rPr>
              <w:rFonts w:ascii="Times New Roman" w:hAnsi="Times New Roman"/>
              <w:sz w:val="24"/>
              <w:szCs w:val="24"/>
              <w:lang w:val="es-MX"/>
            </w:rPr>
          </w:pPr>
          <w:r w:rsidRPr="0020113A">
            <w:rPr>
              <w:rFonts w:ascii="Times New Roman" w:hAnsi="Times New Roman"/>
              <w:b/>
              <w:sz w:val="24"/>
              <w:szCs w:val="24"/>
              <w:lang w:val="es-MX"/>
            </w:rPr>
            <w:t xml:space="preserve">Fecha de Finalización </w:t>
          </w:r>
          <w:r w:rsidRPr="0020113A">
            <w:rPr>
              <w:rFonts w:ascii="Times New Roman" w:hAnsi="Times New Roman"/>
              <w:sz w:val="24"/>
              <w:szCs w:val="24"/>
              <w:lang w:val="es-MX"/>
            </w:rPr>
            <w:t>Estimada: 22 de septiembre de 2040</w:t>
          </w:r>
        </w:p>
        <w:p w14:paraId="4C146030" w14:textId="77777777" w:rsidR="007803E3" w:rsidRPr="0020113A" w:rsidRDefault="007803E3" w:rsidP="00350EE8">
          <w:pPr>
            <w:spacing w:after="0"/>
            <w:rPr>
              <w:rFonts w:ascii="Times New Roman" w:hAnsi="Times New Roman"/>
              <w:sz w:val="24"/>
              <w:szCs w:val="24"/>
              <w:lang w:val="es-MX"/>
            </w:rPr>
          </w:pPr>
          <w:r w:rsidRPr="0020113A">
            <w:rPr>
              <w:rFonts w:ascii="Times New Roman" w:hAnsi="Times New Roman"/>
              <w:b/>
              <w:sz w:val="24"/>
              <w:szCs w:val="24"/>
              <w:lang w:val="es-MX"/>
            </w:rPr>
            <w:t xml:space="preserve">Tipo ID: </w:t>
          </w:r>
          <w:r w:rsidRPr="0020113A">
            <w:rPr>
              <w:rFonts w:ascii="Times New Roman" w:hAnsi="Times New Roman"/>
              <w:sz w:val="24"/>
              <w:szCs w:val="24"/>
              <w:lang w:val="es-MX"/>
            </w:rPr>
            <w:t>NIT</w:t>
          </w:r>
        </w:p>
        <w:p w14:paraId="44BAE2F6" w14:textId="77777777" w:rsidR="007803E3" w:rsidRPr="0020113A" w:rsidRDefault="007803E3" w:rsidP="00350EE8">
          <w:pPr>
            <w:spacing w:after="0"/>
            <w:jc w:val="both"/>
            <w:rPr>
              <w:rFonts w:ascii="Times New Roman" w:hAnsi="Times New Roman"/>
              <w:b/>
              <w:sz w:val="24"/>
              <w:szCs w:val="24"/>
              <w:lang w:val="es-MX"/>
            </w:rPr>
          </w:pPr>
          <w:r w:rsidRPr="0020113A">
            <w:rPr>
              <w:rFonts w:ascii="Times New Roman" w:hAnsi="Times New Roman"/>
              <w:b/>
              <w:sz w:val="24"/>
              <w:szCs w:val="24"/>
              <w:lang w:val="es-MX"/>
            </w:rPr>
            <w:t xml:space="preserve">Numero ID: </w:t>
          </w:r>
          <w:r w:rsidRPr="0020113A">
            <w:rPr>
              <w:rFonts w:ascii="Times New Roman" w:hAnsi="Times New Roman"/>
              <w:sz w:val="24"/>
              <w:szCs w:val="24"/>
              <w:lang w:val="es-MX"/>
            </w:rPr>
            <w:t>901.482.899</w:t>
          </w:r>
        </w:p>
        <w:p w14:paraId="50A1C2D2" w14:textId="77777777" w:rsidR="007803E3" w:rsidRPr="0020113A" w:rsidRDefault="007803E3" w:rsidP="00350EE8">
          <w:pPr>
            <w:spacing w:after="0"/>
            <w:rPr>
              <w:rFonts w:ascii="Times New Roman" w:hAnsi="Times New Roman"/>
              <w:b/>
              <w:sz w:val="24"/>
              <w:szCs w:val="24"/>
              <w:lang w:val="es-MX"/>
            </w:rPr>
          </w:pPr>
          <w:r w:rsidRPr="0020113A">
            <w:rPr>
              <w:rFonts w:ascii="Times New Roman" w:hAnsi="Times New Roman"/>
              <w:b/>
              <w:sz w:val="24"/>
              <w:szCs w:val="24"/>
              <w:lang w:val="es-MX"/>
            </w:rPr>
            <w:t xml:space="preserve">Razón Social del Concesionario: </w:t>
          </w:r>
          <w:r w:rsidRPr="0020113A">
            <w:rPr>
              <w:rFonts w:ascii="Times New Roman" w:hAnsi="Times New Roman"/>
              <w:sz w:val="24"/>
              <w:szCs w:val="24"/>
              <w:lang w:val="es-MX"/>
            </w:rPr>
            <w:t>CONCESIONARIA RUTA AL SUR S.A.S.</w:t>
          </w:r>
        </w:p>
        <w:p w14:paraId="68BBC8C1" w14:textId="77777777"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 xml:space="preserve">Nombre del Proyecto: </w:t>
          </w:r>
          <w:r w:rsidRPr="0020113A">
            <w:rPr>
              <w:rFonts w:ascii="Times New Roman" w:hAnsi="Times New Roman"/>
              <w:sz w:val="24"/>
              <w:szCs w:val="24"/>
              <w:lang w:val="es-MX"/>
            </w:rPr>
            <w:t>SANTANA MOCOA NEIVA</w:t>
          </w:r>
        </w:p>
        <w:p w14:paraId="0711857C" w14:textId="77777777" w:rsidR="007803E3" w:rsidRPr="0020113A" w:rsidRDefault="007803E3" w:rsidP="00E60BAB">
          <w:pPr>
            <w:pStyle w:val="Prrafodelista"/>
            <w:numPr>
              <w:ilvl w:val="0"/>
              <w:numId w:val="61"/>
            </w:numPr>
            <w:spacing w:line="259" w:lineRule="auto"/>
            <w:rPr>
              <w:rFonts w:ascii="Times New Roman" w:hAnsi="Times New Roman"/>
              <w:b/>
              <w:sz w:val="24"/>
              <w:szCs w:val="24"/>
              <w:lang w:val="es-MX"/>
            </w:rPr>
          </w:pPr>
          <w:r w:rsidRPr="0020113A">
            <w:rPr>
              <w:rFonts w:ascii="Times New Roman" w:hAnsi="Times New Roman"/>
              <w:b/>
              <w:sz w:val="24"/>
              <w:szCs w:val="24"/>
              <w:lang w:val="es-MX"/>
            </w:rPr>
            <w:t>Términos significativos del acuerdo que puedan afectar su valor, el calendario y la certeza de los flujos</w:t>
          </w:r>
        </w:p>
        <w:p w14:paraId="463A92B4"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Términos de Valor: </w:t>
          </w:r>
          <w:r w:rsidRPr="0020113A">
            <w:rPr>
              <w:rFonts w:ascii="Times New Roman" w:hAnsi="Times New Roman"/>
              <w:sz w:val="24"/>
              <w:szCs w:val="24"/>
              <w:lang w:val="es-MX"/>
            </w:rPr>
            <w:t>Esquema Tarifario según la Resolución No. 1207 del 30 Abril de 2015 y la resolución 002503 del 24 de Julio 2015, Con 21 Aportes estatales (Vigencias Futuras) programados desde el año 2019 a 2039 por valor de $ 2.641.603.022.649 pesos de diciembre de 2013.</w:t>
          </w:r>
        </w:p>
        <w:p w14:paraId="501AE71F" w14:textId="77777777" w:rsidR="007803E3" w:rsidRPr="0020113A" w:rsidRDefault="007803E3" w:rsidP="007803E3">
          <w:pPr>
            <w:jc w:val="both"/>
            <w:rPr>
              <w:rFonts w:ascii="Times New Roman" w:hAnsi="Times New Roman"/>
              <w:b/>
              <w:sz w:val="24"/>
              <w:szCs w:val="24"/>
              <w:lang w:val="es-MX"/>
            </w:rPr>
          </w:pPr>
          <w:r w:rsidRPr="0020113A">
            <w:rPr>
              <w:rFonts w:ascii="Times New Roman" w:hAnsi="Times New Roman"/>
              <w:b/>
              <w:sz w:val="24"/>
              <w:szCs w:val="24"/>
              <w:lang w:val="es-MX"/>
            </w:rPr>
            <w:t xml:space="preserve">Términos de Calendario: </w:t>
          </w:r>
          <w:r w:rsidRPr="0020113A">
            <w:rPr>
              <w:rFonts w:ascii="Times New Roman" w:hAnsi="Times New Roman"/>
              <w:sz w:val="24"/>
              <w:szCs w:val="24"/>
              <w:lang w:val="es-MX"/>
            </w:rPr>
            <w:t xml:space="preserve">Las Tarifas de los Peajes de la Concesión se actualizarán cada 16 de enero con las fórmulas de IPC., con formula de redondeo a la centena. Los Aportes Estatales (Vigencias Futuras) que están dentro del esquema de retribución al Concesionario, se inician </w:t>
          </w:r>
          <w:r w:rsidRPr="0020113A">
            <w:rPr>
              <w:rFonts w:ascii="Times New Roman" w:hAnsi="Times New Roman"/>
              <w:sz w:val="24"/>
              <w:szCs w:val="24"/>
              <w:lang w:val="es-MX"/>
            </w:rPr>
            <w:lastRenderedPageBreak/>
            <w:t>a la terminación de cada Unidad Funcional, Incluyendo el VPIP (Valor presente de Peaje), La etapa de Construcción se inició el 02 de julio de 2022, al corte del mes de diciembre de 2023, se tiene un avance del plan de obras del 20,30%., se espera que el 3 de junio de 2025 se estén terminadas las obras de las Unidades Funcionales.</w:t>
          </w:r>
        </w:p>
        <w:p w14:paraId="33216109" w14:textId="77777777"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 xml:space="preserve">Términos de Certeza de Flujos de Efectivo Futuros: </w:t>
          </w:r>
          <w:r w:rsidRPr="0020113A">
            <w:rPr>
              <w:rFonts w:ascii="Times New Roman" w:hAnsi="Times New Roman"/>
              <w:sz w:val="24"/>
              <w:szCs w:val="24"/>
              <w:lang w:val="es-MX"/>
            </w:rPr>
            <w:t>No hay explotación comercial</w:t>
          </w:r>
        </w:p>
        <w:p w14:paraId="229468C5" w14:textId="77777777" w:rsidR="007803E3" w:rsidRPr="0020113A" w:rsidRDefault="007803E3" w:rsidP="00E60BAB">
          <w:pPr>
            <w:pStyle w:val="Prrafodelista"/>
            <w:numPr>
              <w:ilvl w:val="0"/>
              <w:numId w:val="61"/>
            </w:numPr>
            <w:spacing w:line="259" w:lineRule="auto"/>
            <w:jc w:val="both"/>
            <w:rPr>
              <w:rFonts w:ascii="Times New Roman" w:hAnsi="Times New Roman"/>
              <w:b/>
              <w:sz w:val="24"/>
              <w:szCs w:val="24"/>
              <w:lang w:val="es-MX"/>
            </w:rPr>
          </w:pPr>
          <w:r w:rsidRPr="0020113A">
            <w:rPr>
              <w:rFonts w:ascii="Times New Roman" w:hAnsi="Times New Roman"/>
              <w:b/>
              <w:sz w:val="24"/>
              <w:szCs w:val="24"/>
              <w:lang w:val="es-MX"/>
            </w:rPr>
            <w:t>Naturaleza y alcance del derecho a utilizar activos especificados, de los aspectos pactados en torno a lo que se espera que el concesionario proporcione en relación con el acuerdo de concesión</w:t>
          </w:r>
        </w:p>
        <w:p w14:paraId="32840085" w14:textId="77777777" w:rsidR="007803E3" w:rsidRPr="0020113A" w:rsidRDefault="007803E3" w:rsidP="007803E3">
          <w:pPr>
            <w:jc w:val="center"/>
            <w:rPr>
              <w:rFonts w:ascii="Times New Roman" w:hAnsi="Times New Roman"/>
              <w:b/>
              <w:sz w:val="24"/>
              <w:szCs w:val="24"/>
              <w:lang w:val="es-MX"/>
            </w:rPr>
          </w:pPr>
          <w:r w:rsidRPr="0020113A">
            <w:rPr>
              <w:rFonts w:ascii="Times New Roman" w:hAnsi="Times New Roman"/>
              <w:b/>
              <w:sz w:val="24"/>
              <w:szCs w:val="24"/>
              <w:lang w:val="es-MX"/>
            </w:rPr>
            <w:t>Naturaleza y alcance del derecho de uso de los activos</w:t>
          </w:r>
        </w:p>
        <w:p w14:paraId="0D14B594" w14:textId="77777777" w:rsidR="007803E3" w:rsidRPr="0020113A" w:rsidRDefault="007803E3" w:rsidP="007803E3">
          <w:pPr>
            <w:jc w:val="both"/>
            <w:rPr>
              <w:rFonts w:ascii="Times New Roman" w:hAnsi="Times New Roman"/>
              <w:b/>
              <w:sz w:val="24"/>
              <w:szCs w:val="24"/>
              <w:lang w:val="es-MX"/>
            </w:rPr>
          </w:pPr>
          <w:r w:rsidRPr="0020113A">
            <w:rPr>
              <w:rFonts w:ascii="Times New Roman" w:hAnsi="Times New Roman"/>
              <w:b/>
              <w:sz w:val="24"/>
              <w:szCs w:val="24"/>
              <w:lang w:val="es-MX"/>
            </w:rPr>
            <w:t xml:space="preserve">Descripción: </w:t>
          </w:r>
          <w:r w:rsidRPr="0020113A">
            <w:rPr>
              <w:rFonts w:ascii="Times New Roman" w:hAnsi="Times New Roman"/>
              <w:sz w:val="24"/>
              <w:szCs w:val="24"/>
              <w:lang w:val="es-MX"/>
            </w:rPr>
            <w:t>No hay explotación comercial</w:t>
          </w:r>
        </w:p>
        <w:p w14:paraId="6E869846" w14:textId="77777777" w:rsidR="007803E3" w:rsidRPr="0020113A" w:rsidRDefault="007803E3" w:rsidP="007803E3">
          <w:pPr>
            <w:jc w:val="both"/>
            <w:rPr>
              <w:rFonts w:ascii="Times New Roman" w:hAnsi="Times New Roman"/>
              <w:b/>
              <w:sz w:val="24"/>
              <w:szCs w:val="24"/>
              <w:lang w:val="es-MX"/>
            </w:rPr>
          </w:pPr>
          <w:r w:rsidRPr="0020113A">
            <w:rPr>
              <w:rFonts w:ascii="Times New Roman" w:hAnsi="Times New Roman"/>
              <w:b/>
              <w:sz w:val="24"/>
              <w:szCs w:val="24"/>
              <w:lang w:val="es-MX"/>
            </w:rPr>
            <w:t xml:space="preserve">Observaciones: </w:t>
          </w:r>
          <w:r w:rsidRPr="0020113A">
            <w:rPr>
              <w:rFonts w:ascii="Times New Roman" w:hAnsi="Times New Roman"/>
              <w:sz w:val="24"/>
              <w:szCs w:val="24"/>
              <w:lang w:val="es-MX"/>
            </w:rPr>
            <w:t>No Aplica</w:t>
          </w:r>
        </w:p>
        <w:p w14:paraId="3C8CA765" w14:textId="77777777" w:rsidR="007803E3" w:rsidRPr="0020113A" w:rsidRDefault="007803E3" w:rsidP="007803E3">
          <w:pPr>
            <w:jc w:val="center"/>
            <w:rPr>
              <w:rFonts w:ascii="Times New Roman" w:hAnsi="Times New Roman"/>
              <w:b/>
              <w:sz w:val="24"/>
              <w:szCs w:val="24"/>
              <w:lang w:val="es-MX"/>
            </w:rPr>
          </w:pPr>
          <w:r w:rsidRPr="0020113A">
            <w:rPr>
              <w:rFonts w:ascii="Times New Roman" w:hAnsi="Times New Roman"/>
              <w:b/>
              <w:sz w:val="24"/>
              <w:szCs w:val="24"/>
              <w:lang w:val="es-MX"/>
            </w:rPr>
            <w:t>Retribución al Concesionario</w:t>
          </w:r>
        </w:p>
        <w:p w14:paraId="7AFEB22B" w14:textId="77777777"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 xml:space="preserve">Descripción: </w:t>
          </w:r>
          <w:r w:rsidRPr="0020113A">
            <w:rPr>
              <w:rFonts w:ascii="Times New Roman" w:hAnsi="Times New Roman"/>
              <w:sz w:val="24"/>
              <w:szCs w:val="24"/>
              <w:lang w:val="es-MX"/>
            </w:rPr>
            <w:t>El esquema de retribución al concesionario, incluye los recaudos de peaje, las vigencias Futuras (aportes del estado), y la explotación comercial.</w:t>
          </w:r>
        </w:p>
        <w:p w14:paraId="18060BB7" w14:textId="77777777" w:rsidR="007803E3" w:rsidRPr="0020113A" w:rsidRDefault="007803E3" w:rsidP="007803E3">
          <w:pPr>
            <w:jc w:val="both"/>
            <w:rPr>
              <w:rFonts w:ascii="Times New Roman" w:hAnsi="Times New Roman"/>
              <w:b/>
              <w:sz w:val="24"/>
              <w:szCs w:val="24"/>
              <w:lang w:val="es-MX"/>
            </w:rPr>
          </w:pPr>
          <w:r w:rsidRPr="0020113A">
            <w:rPr>
              <w:rFonts w:ascii="Times New Roman" w:hAnsi="Times New Roman"/>
              <w:b/>
              <w:sz w:val="24"/>
              <w:szCs w:val="24"/>
              <w:lang w:val="es-MX"/>
            </w:rPr>
            <w:t xml:space="preserve">Tasa de Retribución: </w:t>
          </w:r>
          <w:r w:rsidRPr="0020113A">
            <w:rPr>
              <w:rFonts w:ascii="Times New Roman" w:hAnsi="Times New Roman"/>
              <w:sz w:val="24"/>
              <w:szCs w:val="24"/>
              <w:lang w:val="es-MX"/>
            </w:rPr>
            <w:t>TDI (Tasa de descuento de los ingresos por recaudo de peajes del 0,5571% E.A.  aplicada al VPIP (Valor presente de los Ingresos de Peaje)</w:t>
          </w:r>
        </w:p>
        <w:p w14:paraId="3AFC3B21" w14:textId="77777777" w:rsidR="007803E3" w:rsidRPr="0020113A" w:rsidRDefault="007803E3" w:rsidP="00E60BAB">
          <w:pPr>
            <w:pStyle w:val="Prrafodelista"/>
            <w:numPr>
              <w:ilvl w:val="0"/>
              <w:numId w:val="61"/>
            </w:numPr>
            <w:spacing w:line="259" w:lineRule="auto"/>
            <w:rPr>
              <w:rFonts w:ascii="Times New Roman" w:hAnsi="Times New Roman"/>
              <w:b/>
              <w:sz w:val="24"/>
              <w:szCs w:val="24"/>
              <w:lang w:val="es-MX"/>
            </w:rPr>
          </w:pPr>
          <w:r w:rsidRPr="0020113A">
            <w:rPr>
              <w:rFonts w:ascii="Times New Roman" w:hAnsi="Times New Roman"/>
              <w:b/>
              <w:sz w:val="24"/>
              <w:szCs w:val="24"/>
              <w:lang w:val="es-MX"/>
            </w:rPr>
            <w:t>Derechos a recibir activos especificados al final del acuerdo de concesión</w:t>
          </w:r>
        </w:p>
        <w:p w14:paraId="79753E0C" w14:textId="438F77F9"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 xml:space="preserve">Descripción: </w:t>
          </w:r>
          <w:r w:rsidRPr="0020113A">
            <w:rPr>
              <w:rFonts w:ascii="Times New Roman" w:hAnsi="Times New Roman"/>
              <w:sz w:val="24"/>
              <w:szCs w:val="24"/>
              <w:lang w:val="es-MX"/>
            </w:rPr>
            <w:t xml:space="preserve">Según la cláusula 9.7 Etapa de Reversión, los activos y </w:t>
          </w:r>
          <w:r w:rsidR="00D71BD7">
            <w:rPr>
              <w:rFonts w:ascii="Times New Roman" w:hAnsi="Times New Roman"/>
              <w:sz w:val="24"/>
              <w:szCs w:val="24"/>
              <w:lang w:val="es-MX"/>
            </w:rPr>
            <w:t>o</w:t>
          </w:r>
          <w:r w:rsidRPr="0020113A">
            <w:rPr>
              <w:rFonts w:ascii="Times New Roman" w:hAnsi="Times New Roman"/>
              <w:sz w:val="24"/>
              <w:szCs w:val="24"/>
              <w:lang w:val="es-MX"/>
            </w:rPr>
            <w:t>bras del proyecto, revierten a la nación.</w:t>
          </w:r>
        </w:p>
        <w:p w14:paraId="21DA4321" w14:textId="77777777" w:rsidR="007803E3" w:rsidRPr="0020113A" w:rsidRDefault="007803E3" w:rsidP="007803E3">
          <w:pPr>
            <w:jc w:val="both"/>
            <w:rPr>
              <w:rFonts w:ascii="Times New Roman" w:hAnsi="Times New Roman"/>
              <w:b/>
              <w:sz w:val="24"/>
              <w:szCs w:val="24"/>
              <w:lang w:val="es-MX"/>
            </w:rPr>
          </w:pPr>
          <w:r w:rsidRPr="0020113A">
            <w:rPr>
              <w:rFonts w:ascii="Times New Roman" w:hAnsi="Times New Roman"/>
              <w:b/>
              <w:sz w:val="24"/>
              <w:szCs w:val="24"/>
              <w:lang w:val="es-MX"/>
            </w:rPr>
            <w:t>Observaciones:</w:t>
          </w:r>
          <w:r w:rsidRPr="0020113A">
            <w:rPr>
              <w:rFonts w:ascii="Times New Roman" w:hAnsi="Times New Roman"/>
              <w:sz w:val="24"/>
              <w:szCs w:val="24"/>
            </w:rPr>
            <w:t xml:space="preserve"> </w:t>
          </w:r>
          <w:r w:rsidRPr="0020113A">
            <w:rPr>
              <w:rFonts w:ascii="Times New Roman" w:hAnsi="Times New Roman"/>
              <w:sz w:val="24"/>
              <w:szCs w:val="24"/>
              <w:lang w:val="es-MX"/>
            </w:rPr>
            <w:t>No se tiene ninguna observación</w:t>
          </w:r>
          <w:r w:rsidRPr="0020113A">
            <w:rPr>
              <w:rFonts w:ascii="Times New Roman" w:hAnsi="Times New Roman"/>
              <w:b/>
              <w:sz w:val="24"/>
              <w:szCs w:val="24"/>
              <w:lang w:val="es-MX"/>
            </w:rPr>
            <w:t>.</w:t>
          </w:r>
        </w:p>
        <w:p w14:paraId="4D4E0AB3" w14:textId="17EA4E1F" w:rsidR="007803E3" w:rsidRPr="0020113A" w:rsidRDefault="00D71BD7" w:rsidP="00E60BAB">
          <w:pPr>
            <w:pStyle w:val="Prrafodelista"/>
            <w:numPr>
              <w:ilvl w:val="0"/>
              <w:numId w:val="61"/>
            </w:numPr>
            <w:spacing w:line="259" w:lineRule="auto"/>
            <w:rPr>
              <w:rFonts w:ascii="Times New Roman" w:hAnsi="Times New Roman"/>
              <w:b/>
              <w:sz w:val="24"/>
              <w:szCs w:val="24"/>
              <w:lang w:val="es-MX"/>
            </w:rPr>
          </w:pPr>
          <w:r>
            <w:rPr>
              <w:rFonts w:ascii="Times New Roman" w:hAnsi="Times New Roman"/>
              <w:b/>
              <w:sz w:val="24"/>
              <w:szCs w:val="24"/>
              <w:lang w:val="es-MX"/>
            </w:rPr>
            <w:t>No hay c</w:t>
          </w:r>
          <w:r w:rsidR="007803E3" w:rsidRPr="0020113A">
            <w:rPr>
              <w:rFonts w:ascii="Times New Roman" w:hAnsi="Times New Roman"/>
              <w:b/>
              <w:sz w:val="24"/>
              <w:szCs w:val="24"/>
              <w:lang w:val="es-MX"/>
            </w:rPr>
            <w:t>ambios en el acuerdo de concesión que se realicen durante el periodo fiscal</w:t>
          </w:r>
        </w:p>
        <w:p w14:paraId="23E938B4" w14:textId="77777777" w:rsidR="007803E3" w:rsidRPr="0020113A" w:rsidRDefault="007803E3" w:rsidP="007803E3">
          <w:pPr>
            <w:rPr>
              <w:rFonts w:ascii="Times New Roman" w:hAnsi="Times New Roman"/>
              <w:b/>
              <w:sz w:val="24"/>
              <w:szCs w:val="24"/>
              <w:lang w:val="es-MX"/>
            </w:rPr>
          </w:pPr>
        </w:p>
        <w:p w14:paraId="4531234A" w14:textId="77777777"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DESARROLLO VIAL DEL ORIENTE DE MEDELLIN – DEVIMED</w:t>
          </w:r>
        </w:p>
        <w:p w14:paraId="092395D1" w14:textId="77777777" w:rsidR="007803E3" w:rsidRPr="0020113A" w:rsidRDefault="007803E3" w:rsidP="00E60BAB">
          <w:pPr>
            <w:pStyle w:val="Prrafodelista"/>
            <w:numPr>
              <w:ilvl w:val="0"/>
              <w:numId w:val="62"/>
            </w:numPr>
            <w:spacing w:line="259" w:lineRule="auto"/>
            <w:jc w:val="both"/>
            <w:rPr>
              <w:rFonts w:ascii="Times New Roman" w:hAnsi="Times New Roman"/>
              <w:b/>
              <w:sz w:val="24"/>
              <w:szCs w:val="24"/>
              <w:lang w:val="es-MX"/>
            </w:rPr>
          </w:pPr>
          <w:r w:rsidRPr="0020113A">
            <w:rPr>
              <w:rFonts w:ascii="Times New Roman" w:hAnsi="Times New Roman"/>
              <w:b/>
              <w:sz w:val="24"/>
              <w:szCs w:val="24"/>
              <w:lang w:val="es-MX"/>
            </w:rPr>
            <w:t>Descripción del Acuerdo</w:t>
          </w:r>
        </w:p>
        <w:p w14:paraId="353734CA" w14:textId="77777777" w:rsidR="007803E3" w:rsidRPr="0020113A" w:rsidRDefault="007803E3" w:rsidP="18BAD2EC">
          <w:pPr>
            <w:spacing w:after="0"/>
            <w:jc w:val="both"/>
            <w:rPr>
              <w:rFonts w:ascii="Times New Roman" w:hAnsi="Times New Roman"/>
              <w:sz w:val="24"/>
              <w:szCs w:val="24"/>
              <w:lang w:val="es-MX"/>
            </w:rPr>
          </w:pPr>
          <w:r w:rsidRPr="0020113A">
            <w:rPr>
              <w:rFonts w:ascii="Times New Roman" w:hAnsi="Times New Roman"/>
              <w:b/>
              <w:sz w:val="24"/>
              <w:szCs w:val="24"/>
              <w:lang w:val="es-MX"/>
            </w:rPr>
            <w:t xml:space="preserve">Número del Acuerdo de Concesión:  </w:t>
          </w:r>
          <w:r w:rsidRPr="0020113A">
            <w:rPr>
              <w:rFonts w:ascii="Times New Roman" w:hAnsi="Times New Roman"/>
              <w:sz w:val="24"/>
              <w:szCs w:val="24"/>
              <w:lang w:val="es-MX"/>
            </w:rPr>
            <w:t>0275 del 23 de mayo de 1996</w:t>
          </w:r>
        </w:p>
        <w:p w14:paraId="21F0F643" w14:textId="77777777" w:rsidR="007803E3" w:rsidRPr="0020113A" w:rsidRDefault="007803E3" w:rsidP="18BAD2EC">
          <w:pPr>
            <w:spacing w:after="0"/>
            <w:jc w:val="both"/>
            <w:rPr>
              <w:rFonts w:ascii="Times New Roman" w:hAnsi="Times New Roman"/>
              <w:b/>
              <w:sz w:val="24"/>
              <w:szCs w:val="24"/>
              <w:lang w:val="es-MX"/>
            </w:rPr>
          </w:pPr>
          <w:r w:rsidRPr="0020113A">
            <w:rPr>
              <w:rFonts w:ascii="Times New Roman" w:hAnsi="Times New Roman"/>
              <w:b/>
              <w:sz w:val="24"/>
              <w:szCs w:val="24"/>
              <w:lang w:val="es-MX"/>
            </w:rPr>
            <w:t xml:space="preserve">Objeto / Descripción: </w:t>
          </w:r>
          <w:r w:rsidRPr="0020113A">
            <w:rPr>
              <w:rFonts w:ascii="Times New Roman" w:hAnsi="Times New Roman"/>
              <w:sz w:val="24"/>
              <w:szCs w:val="24"/>
              <w:lang w:val="es-MX"/>
            </w:rPr>
            <w:t>Según lo acordado en la Cláusula Primera del contrato, este tiene por objeto realizar por el sistema de concesión los estudios y diseños definitivos, las obras de rehabilitación y de construcción, la operación y el mantenimiento del proyecto “Medellín - Valle de Rionegro y conexión a Puerto Triunfo Caño Alegre</w:t>
          </w:r>
        </w:p>
        <w:p w14:paraId="342429C1" w14:textId="1B59C0CD" w:rsidR="007803E3" w:rsidRPr="0020113A" w:rsidRDefault="007803E3" w:rsidP="00A1352A">
          <w:pPr>
            <w:spacing w:after="0"/>
            <w:jc w:val="both"/>
            <w:rPr>
              <w:rFonts w:ascii="Times New Roman" w:hAnsi="Times New Roman"/>
              <w:sz w:val="24"/>
              <w:szCs w:val="24"/>
              <w:lang w:val="es-MX"/>
            </w:rPr>
          </w:pPr>
          <w:r w:rsidRPr="0020113A">
            <w:rPr>
              <w:rFonts w:ascii="Times New Roman" w:hAnsi="Times New Roman"/>
              <w:b/>
              <w:sz w:val="24"/>
              <w:szCs w:val="24"/>
              <w:lang w:val="es-MX"/>
            </w:rPr>
            <w:t>Valor Inicial</w:t>
          </w:r>
          <w:r w:rsidR="00707DF4" w:rsidRPr="0020113A">
            <w:rPr>
              <w:rFonts w:ascii="Times New Roman" w:hAnsi="Times New Roman"/>
              <w:b/>
              <w:sz w:val="24"/>
              <w:szCs w:val="24"/>
              <w:lang w:val="es-MX"/>
            </w:rPr>
            <w:t>:</w:t>
          </w:r>
          <w:r w:rsidR="00707DF4" w:rsidRPr="0020113A">
            <w:rPr>
              <w:rFonts w:ascii="Times New Roman" w:hAnsi="Times New Roman"/>
              <w:sz w:val="24"/>
              <w:szCs w:val="24"/>
              <w:lang w:val="es-MX"/>
            </w:rPr>
            <w:t xml:space="preserve"> $</w:t>
          </w:r>
          <w:r w:rsidRPr="0020113A">
            <w:rPr>
              <w:rFonts w:ascii="Times New Roman" w:hAnsi="Times New Roman"/>
              <w:sz w:val="24"/>
              <w:szCs w:val="24"/>
              <w:lang w:val="es-MX"/>
            </w:rPr>
            <w:t>97.406.008.294 pesos constantes</w:t>
          </w:r>
        </w:p>
        <w:p w14:paraId="6A629A8A" w14:textId="77777777" w:rsidR="007803E3" w:rsidRPr="0020113A" w:rsidRDefault="007803E3" w:rsidP="00A1352A">
          <w:pPr>
            <w:spacing w:after="0"/>
            <w:jc w:val="both"/>
            <w:rPr>
              <w:rFonts w:ascii="Times New Roman" w:hAnsi="Times New Roman"/>
              <w:sz w:val="24"/>
              <w:szCs w:val="24"/>
              <w:lang w:val="es-MX"/>
            </w:rPr>
          </w:pPr>
          <w:r w:rsidRPr="0020113A">
            <w:rPr>
              <w:rFonts w:ascii="Times New Roman" w:hAnsi="Times New Roman"/>
              <w:b/>
              <w:sz w:val="24"/>
              <w:szCs w:val="24"/>
              <w:lang w:val="es-MX"/>
            </w:rPr>
            <w:t xml:space="preserve">Fecha de Inicio:  </w:t>
          </w:r>
          <w:r w:rsidRPr="0020113A">
            <w:rPr>
              <w:rFonts w:ascii="Times New Roman" w:hAnsi="Times New Roman"/>
              <w:sz w:val="24"/>
              <w:szCs w:val="24"/>
              <w:lang w:val="es-MX"/>
            </w:rPr>
            <w:t xml:space="preserve"> 16/06/1996</w:t>
          </w:r>
        </w:p>
        <w:p w14:paraId="63CFA0A2" w14:textId="77777777" w:rsidR="007803E3" w:rsidRPr="0020113A" w:rsidRDefault="007803E3" w:rsidP="00A1352A">
          <w:pPr>
            <w:spacing w:after="0"/>
            <w:jc w:val="both"/>
            <w:rPr>
              <w:rFonts w:ascii="Times New Roman" w:hAnsi="Times New Roman"/>
              <w:sz w:val="24"/>
              <w:szCs w:val="24"/>
              <w:lang w:val="es-MX"/>
            </w:rPr>
          </w:pPr>
          <w:r w:rsidRPr="0020113A">
            <w:rPr>
              <w:rFonts w:ascii="Times New Roman" w:hAnsi="Times New Roman"/>
              <w:b/>
              <w:sz w:val="24"/>
              <w:szCs w:val="24"/>
              <w:lang w:val="es-MX"/>
            </w:rPr>
            <w:t xml:space="preserve">Fecha de Finalización Estimada:  </w:t>
          </w:r>
          <w:r w:rsidRPr="0020113A">
            <w:rPr>
              <w:rFonts w:ascii="Times New Roman" w:hAnsi="Times New Roman"/>
              <w:sz w:val="24"/>
              <w:szCs w:val="24"/>
              <w:lang w:val="es-MX"/>
            </w:rPr>
            <w:t>31/07/2026</w:t>
          </w:r>
        </w:p>
        <w:p w14:paraId="2F525466" w14:textId="77777777" w:rsidR="007803E3" w:rsidRPr="0020113A" w:rsidRDefault="007803E3" w:rsidP="00A1352A">
          <w:pPr>
            <w:spacing w:after="0"/>
            <w:jc w:val="both"/>
            <w:rPr>
              <w:rFonts w:ascii="Times New Roman" w:hAnsi="Times New Roman"/>
              <w:sz w:val="24"/>
              <w:szCs w:val="24"/>
              <w:lang w:val="es-MX"/>
            </w:rPr>
          </w:pPr>
          <w:r w:rsidRPr="0020113A">
            <w:rPr>
              <w:rFonts w:ascii="Times New Roman" w:hAnsi="Times New Roman"/>
              <w:b/>
              <w:sz w:val="24"/>
              <w:szCs w:val="24"/>
              <w:lang w:val="es-MX"/>
            </w:rPr>
            <w:t xml:space="preserve">Tipo ID:   </w:t>
          </w:r>
          <w:r w:rsidRPr="0020113A">
            <w:rPr>
              <w:rFonts w:ascii="Times New Roman" w:hAnsi="Times New Roman"/>
              <w:sz w:val="24"/>
              <w:szCs w:val="24"/>
              <w:lang w:val="es-MX"/>
            </w:rPr>
            <w:t>NIT</w:t>
          </w:r>
        </w:p>
        <w:p w14:paraId="047C95F7" w14:textId="77777777" w:rsidR="007803E3" w:rsidRPr="0020113A" w:rsidRDefault="007803E3" w:rsidP="00A1352A">
          <w:pPr>
            <w:spacing w:after="0"/>
            <w:jc w:val="both"/>
            <w:rPr>
              <w:rFonts w:ascii="Times New Roman" w:hAnsi="Times New Roman"/>
              <w:sz w:val="24"/>
              <w:szCs w:val="24"/>
              <w:lang w:val="es-MX"/>
            </w:rPr>
          </w:pPr>
          <w:r w:rsidRPr="0020113A">
            <w:rPr>
              <w:rFonts w:ascii="Times New Roman" w:hAnsi="Times New Roman"/>
              <w:b/>
              <w:sz w:val="24"/>
              <w:szCs w:val="24"/>
              <w:lang w:val="es-MX"/>
            </w:rPr>
            <w:t xml:space="preserve">Numero ID:   </w:t>
          </w:r>
          <w:r w:rsidRPr="0020113A">
            <w:rPr>
              <w:rFonts w:ascii="Times New Roman" w:hAnsi="Times New Roman"/>
              <w:sz w:val="24"/>
              <w:szCs w:val="24"/>
              <w:lang w:val="es-MX"/>
            </w:rPr>
            <w:t>811.005.050-3</w:t>
          </w:r>
        </w:p>
        <w:p w14:paraId="3A91CE17" w14:textId="77777777" w:rsidR="007803E3" w:rsidRPr="0020113A" w:rsidRDefault="007803E3" w:rsidP="00A1352A">
          <w:pPr>
            <w:spacing w:after="0"/>
            <w:jc w:val="both"/>
            <w:rPr>
              <w:rFonts w:ascii="Times New Roman" w:hAnsi="Times New Roman"/>
              <w:b/>
              <w:sz w:val="24"/>
              <w:szCs w:val="24"/>
              <w:lang w:val="es-MX"/>
            </w:rPr>
          </w:pPr>
          <w:r w:rsidRPr="0020113A">
            <w:rPr>
              <w:rFonts w:ascii="Times New Roman" w:hAnsi="Times New Roman"/>
              <w:b/>
              <w:sz w:val="24"/>
              <w:szCs w:val="24"/>
              <w:lang w:val="es-MX"/>
            </w:rPr>
            <w:lastRenderedPageBreak/>
            <w:t>Razón Social del Concesionario:</w:t>
          </w:r>
          <w:r w:rsidRPr="0020113A">
            <w:rPr>
              <w:rFonts w:ascii="Times New Roman" w:hAnsi="Times New Roman"/>
              <w:b/>
              <w:bCs/>
              <w:sz w:val="24"/>
              <w:szCs w:val="24"/>
              <w:lang w:val="es-MX"/>
            </w:rPr>
            <w:t xml:space="preserve">  </w:t>
          </w:r>
          <w:r w:rsidRPr="0020113A">
            <w:rPr>
              <w:rFonts w:ascii="Times New Roman" w:hAnsi="Times New Roman"/>
              <w:sz w:val="24"/>
              <w:szCs w:val="24"/>
              <w:lang w:val="es-MX"/>
            </w:rPr>
            <w:t xml:space="preserve"> DEVIMED S.A.</w:t>
          </w:r>
        </w:p>
        <w:p w14:paraId="069C2C63" w14:textId="77777777" w:rsidR="007803E3" w:rsidRPr="0020113A" w:rsidRDefault="007803E3" w:rsidP="007803E3">
          <w:pPr>
            <w:jc w:val="both"/>
            <w:rPr>
              <w:rFonts w:ascii="Times New Roman" w:hAnsi="Times New Roman"/>
              <w:b/>
              <w:sz w:val="24"/>
              <w:szCs w:val="24"/>
              <w:lang w:val="es-MX"/>
            </w:rPr>
          </w:pPr>
          <w:r w:rsidRPr="0020113A">
            <w:rPr>
              <w:rFonts w:ascii="Times New Roman" w:hAnsi="Times New Roman"/>
              <w:b/>
              <w:sz w:val="24"/>
              <w:szCs w:val="24"/>
              <w:lang w:val="es-MX"/>
            </w:rPr>
            <w:t xml:space="preserve">Nombre del Proyecto: </w:t>
          </w:r>
          <w:r w:rsidRPr="0020113A">
            <w:rPr>
              <w:rFonts w:ascii="Times New Roman" w:hAnsi="Times New Roman"/>
              <w:sz w:val="24"/>
              <w:szCs w:val="24"/>
              <w:lang w:val="es-MX"/>
            </w:rPr>
            <w:t>DESARROLLO VIAL DEL ORIENTE DE MEDELLÍN VALLE DE RIONEGRO Y CONEXIÓN A PUERTO TRIUNFO - DEVIMED S.A.</w:t>
          </w:r>
        </w:p>
        <w:p w14:paraId="305F9840" w14:textId="77777777" w:rsidR="007803E3" w:rsidRPr="0020113A" w:rsidRDefault="007803E3" w:rsidP="00E60BAB">
          <w:pPr>
            <w:pStyle w:val="Prrafodelista"/>
            <w:numPr>
              <w:ilvl w:val="0"/>
              <w:numId w:val="62"/>
            </w:numPr>
            <w:spacing w:line="259" w:lineRule="auto"/>
            <w:jc w:val="both"/>
            <w:rPr>
              <w:rFonts w:ascii="Times New Roman" w:hAnsi="Times New Roman"/>
              <w:b/>
              <w:sz w:val="24"/>
              <w:szCs w:val="24"/>
              <w:lang w:val="es-MX"/>
            </w:rPr>
          </w:pPr>
          <w:r w:rsidRPr="0020113A">
            <w:rPr>
              <w:rFonts w:ascii="Times New Roman" w:hAnsi="Times New Roman"/>
              <w:b/>
              <w:sz w:val="24"/>
              <w:szCs w:val="24"/>
              <w:lang w:val="es-MX"/>
            </w:rPr>
            <w:t>Términos significativos del acuerdo que puedan afectar su valor, el calendario y la certeza de los flujos</w:t>
          </w:r>
        </w:p>
        <w:p w14:paraId="5E609143" w14:textId="77777777" w:rsidR="007803E3" w:rsidRPr="0020113A" w:rsidRDefault="007803E3" w:rsidP="007803E3">
          <w:pPr>
            <w:spacing w:line="257" w:lineRule="auto"/>
            <w:jc w:val="both"/>
            <w:rPr>
              <w:rFonts w:ascii="Times New Roman" w:hAnsi="Times New Roman"/>
              <w:sz w:val="24"/>
              <w:szCs w:val="24"/>
            </w:rPr>
          </w:pPr>
          <w:r w:rsidRPr="0020113A">
            <w:rPr>
              <w:rFonts w:ascii="Times New Roman" w:hAnsi="Times New Roman"/>
              <w:b/>
              <w:sz w:val="24"/>
              <w:szCs w:val="24"/>
              <w:lang w:val="es-MX"/>
            </w:rPr>
            <w:t xml:space="preserve">Términos de Valor: </w:t>
          </w:r>
          <w:r w:rsidRPr="0020113A">
            <w:rPr>
              <w:rFonts w:ascii="Times New Roman" w:hAnsi="Times New Roman"/>
              <w:sz w:val="24"/>
              <w:szCs w:val="24"/>
              <w:lang w:val="es-MX"/>
            </w:rPr>
            <w:t>Según lo indicado en la Cláusula cuarta del contrato de concesión, las tarifas de los peajes están expresadas en pesos colombianos de julio de 1995, Para el periodo hacen parte del contrato la Estación de Peaje de la caseta Guarne y estación de Peaje de la caseta Las Palma</w:t>
          </w:r>
        </w:p>
        <w:p w14:paraId="39B19227" w14:textId="77777777" w:rsidR="007803E3" w:rsidRPr="0020113A" w:rsidRDefault="007803E3" w:rsidP="007803E3">
          <w:pPr>
            <w:spacing w:line="257" w:lineRule="auto"/>
            <w:jc w:val="both"/>
            <w:rPr>
              <w:rFonts w:ascii="Times New Roman" w:hAnsi="Times New Roman"/>
              <w:sz w:val="24"/>
              <w:szCs w:val="24"/>
              <w:lang w:val="es-MX"/>
            </w:rPr>
          </w:pPr>
          <w:r w:rsidRPr="0020113A">
            <w:rPr>
              <w:rFonts w:ascii="Times New Roman" w:hAnsi="Times New Roman"/>
              <w:sz w:val="24"/>
              <w:szCs w:val="24"/>
              <w:lang w:val="es-MX"/>
            </w:rPr>
            <w:t xml:space="preserve">Para el desarrollo del contrato no se comprometieron vigencias futuras. </w:t>
          </w:r>
        </w:p>
        <w:p w14:paraId="6C40C1B3" w14:textId="77777777" w:rsidR="007803E3" w:rsidRPr="0020113A" w:rsidRDefault="007803E3" w:rsidP="007803E3">
          <w:pPr>
            <w:spacing w:line="257" w:lineRule="auto"/>
            <w:jc w:val="both"/>
            <w:rPr>
              <w:rFonts w:ascii="Times New Roman" w:hAnsi="Times New Roman"/>
              <w:sz w:val="24"/>
              <w:szCs w:val="24"/>
              <w:lang w:val="es-MX"/>
            </w:rPr>
          </w:pPr>
          <w:r w:rsidRPr="0020113A">
            <w:rPr>
              <w:rFonts w:ascii="Times New Roman" w:hAnsi="Times New Roman"/>
              <w:sz w:val="24"/>
              <w:szCs w:val="24"/>
              <w:lang w:val="es-MX"/>
            </w:rPr>
            <w:t xml:space="preserve">Según lo indicado en la cláusula trigésima segunda si durante la ejecución de la etapa de operación, el Concesionario incumple el índice de estado mínimo establecido en las normas de mantenimiento para carreteras por concesiones, le serán impuesta multas proporcióneles a la reducción del valor del índice de Estado de la siguiente manera: a): para índices de estado entre 3,5 y 40 el 2% del recaudo de los peajes de los cuatro meses que se evalúan en la caseta del tramo calificado, b): para índices de estado entre 3,0 y 3,5 el 3% del recaudo de los peajes de los cuatro meses que se evalúan en la caseta de tráfico calificado.  c):  para índices de estado entra 2,5 y 2.0 el 4 del recaudo de los peajes de los cuatro meses que se evalúan en las casetas del tramo calificado. d): para índices de estado inferiores a 2,5 el 6% del recaudo de los peajes de los cuatro meses que se evalúan en las casetas del tramo calificado.  </w:t>
          </w:r>
        </w:p>
        <w:p w14:paraId="0B53E093" w14:textId="032E0414" w:rsidR="007803E3" w:rsidRPr="0020113A" w:rsidRDefault="007803E3" w:rsidP="007803E3">
          <w:pPr>
            <w:spacing w:line="257" w:lineRule="auto"/>
            <w:jc w:val="both"/>
            <w:rPr>
              <w:rFonts w:ascii="Times New Roman" w:hAnsi="Times New Roman"/>
              <w:sz w:val="24"/>
              <w:szCs w:val="24"/>
              <w:lang w:val="es-MX"/>
            </w:rPr>
          </w:pPr>
          <w:r w:rsidRPr="0020113A">
            <w:rPr>
              <w:rFonts w:ascii="Times New Roman" w:hAnsi="Times New Roman"/>
              <w:sz w:val="24"/>
              <w:szCs w:val="24"/>
              <w:lang w:val="es-MX"/>
            </w:rPr>
            <w:t>El Concesionario a partir de la fecha de establecimiento del índice de estado, tendrá 30 días calendario para recuperar el índice de estado mínimo establecido en el contrato. Una vez recalificado el tramo se procederá con la sanción si a ello hubiere lugar.  S</w:t>
          </w:r>
          <w:r w:rsidR="003502E2">
            <w:rPr>
              <w:rFonts w:ascii="Times New Roman" w:hAnsi="Times New Roman"/>
              <w:sz w:val="24"/>
              <w:szCs w:val="24"/>
              <w:lang w:val="es-MX"/>
            </w:rPr>
            <w:t>i</w:t>
          </w:r>
          <w:r w:rsidRPr="0020113A">
            <w:rPr>
              <w:rFonts w:ascii="Times New Roman" w:hAnsi="Times New Roman"/>
              <w:sz w:val="24"/>
              <w:szCs w:val="24"/>
              <w:lang w:val="es-MX"/>
            </w:rPr>
            <w:t xml:space="preserve"> durante la ejecución de la etapa de operación el Concesionario incumple alguna de las obligaciones contractuales incluidas en el reglamento de operación que forma parte del presente contrato deberá pagar al INSTITUTO una multa diaria de acuerdo con la gravedad de la falta hasta por valor equivalente al recaudo de peaje promedio diario del mes inmediatamente anterior.  El concesionario autoriza al INSTITUTO para descontar y tomar el valor de las multas de que tratan los literales anteriores de cualquier suma que le adeuda por algún compensación que se haya establecido de acuerdo a la Cláusula Trigésima Quinta sin prejuicio que este las haga efectivas conforme a la ley,  El pago o la deducción de dichas mu</w:t>
          </w:r>
          <w:r w:rsidR="003502E2">
            <w:rPr>
              <w:rFonts w:ascii="Times New Roman" w:hAnsi="Times New Roman"/>
              <w:sz w:val="24"/>
              <w:szCs w:val="24"/>
              <w:lang w:val="es-MX"/>
            </w:rPr>
            <w:t>l</w:t>
          </w:r>
          <w:r w:rsidRPr="0020113A">
            <w:rPr>
              <w:rFonts w:ascii="Times New Roman" w:hAnsi="Times New Roman"/>
              <w:sz w:val="24"/>
              <w:szCs w:val="24"/>
              <w:lang w:val="es-MX"/>
            </w:rPr>
            <w:t>ta no exonera al Concesionario de su obligación de termina</w:t>
          </w:r>
          <w:r w:rsidR="003502E2">
            <w:rPr>
              <w:rFonts w:ascii="Times New Roman" w:hAnsi="Times New Roman"/>
              <w:sz w:val="24"/>
              <w:szCs w:val="24"/>
              <w:lang w:val="es-MX"/>
            </w:rPr>
            <w:t>r</w:t>
          </w:r>
          <w:r w:rsidRPr="0020113A">
            <w:rPr>
              <w:rFonts w:ascii="Times New Roman" w:hAnsi="Times New Roman"/>
              <w:sz w:val="24"/>
              <w:szCs w:val="24"/>
              <w:lang w:val="es-MX"/>
            </w:rPr>
            <w:t xml:space="preserve"> las obra</w:t>
          </w:r>
          <w:r w:rsidR="003502E2">
            <w:rPr>
              <w:rFonts w:ascii="Times New Roman" w:hAnsi="Times New Roman"/>
              <w:sz w:val="24"/>
              <w:szCs w:val="24"/>
              <w:lang w:val="es-MX"/>
            </w:rPr>
            <w:t>,</w:t>
          </w:r>
          <w:r w:rsidRPr="0020113A">
            <w:rPr>
              <w:rFonts w:ascii="Times New Roman" w:hAnsi="Times New Roman"/>
              <w:sz w:val="24"/>
              <w:szCs w:val="24"/>
              <w:lang w:val="es-MX"/>
            </w:rPr>
            <w:t xml:space="preserve"> ni de las demás responsabilidades y obligaciones que emanen d</w:t>
          </w:r>
          <w:r w:rsidR="003502E2">
            <w:rPr>
              <w:rFonts w:ascii="Times New Roman" w:hAnsi="Times New Roman"/>
              <w:sz w:val="24"/>
              <w:szCs w:val="24"/>
              <w:lang w:val="es-MX"/>
            </w:rPr>
            <w:t>e</w:t>
          </w:r>
          <w:r w:rsidRPr="0020113A">
            <w:rPr>
              <w:rFonts w:ascii="Times New Roman" w:hAnsi="Times New Roman"/>
              <w:sz w:val="24"/>
              <w:szCs w:val="24"/>
              <w:lang w:val="es-MX"/>
            </w:rPr>
            <w:t xml:space="preserve"> este contrato ni de las indemnizaciones por caducidad en favor del INSTITUTO, los porcentajes establecidos en esta cláusula constituyen el tope máximo aplicable pero el monto de las multas podrá ser graduable por EL INSTITUTO conforme a la mayor o menor incidencia del incumplimiento del Concesionario en la ejecución del contrato.  </w:t>
          </w:r>
        </w:p>
        <w:p w14:paraId="2BDB1449" w14:textId="77777777" w:rsidR="007803E3" w:rsidRPr="0020113A" w:rsidRDefault="007803E3" w:rsidP="007803E3">
          <w:pPr>
            <w:spacing w:line="257" w:lineRule="auto"/>
            <w:jc w:val="both"/>
            <w:rPr>
              <w:rFonts w:ascii="Times New Roman" w:hAnsi="Times New Roman"/>
              <w:b/>
              <w:sz w:val="24"/>
              <w:szCs w:val="24"/>
              <w:lang w:val="es-MX"/>
            </w:rPr>
          </w:pPr>
          <w:r w:rsidRPr="0020113A">
            <w:rPr>
              <w:rFonts w:ascii="Times New Roman" w:hAnsi="Times New Roman"/>
              <w:b/>
              <w:sz w:val="24"/>
              <w:szCs w:val="24"/>
              <w:lang w:val="es-MX"/>
            </w:rPr>
            <w:t xml:space="preserve">Términos de Calendario: </w:t>
          </w:r>
          <w:r w:rsidRPr="0020113A">
            <w:rPr>
              <w:rFonts w:ascii="Times New Roman" w:hAnsi="Times New Roman"/>
              <w:sz w:val="24"/>
              <w:szCs w:val="24"/>
              <w:lang w:val="es-MX"/>
            </w:rPr>
            <w:t>Según lo indicado en la Cláusula cuarta del contrato de concesión, las tarifas de los peajes están expresadas en pesos colombianos de julio de 1995, ajustadas al 1 de enero de cada año calendario con el porcentaje de variación de índice de precios al consumidor establecido por el DANE.</w:t>
          </w:r>
        </w:p>
        <w:p w14:paraId="0EA606CB" w14:textId="77777777" w:rsidR="007803E3" w:rsidRPr="0020113A" w:rsidRDefault="007803E3" w:rsidP="007803E3">
          <w:pPr>
            <w:spacing w:line="257" w:lineRule="auto"/>
            <w:jc w:val="both"/>
            <w:rPr>
              <w:rFonts w:ascii="Times New Roman" w:hAnsi="Times New Roman"/>
              <w:sz w:val="24"/>
              <w:szCs w:val="24"/>
            </w:rPr>
          </w:pPr>
          <w:r w:rsidRPr="0020113A">
            <w:rPr>
              <w:rFonts w:ascii="Times New Roman" w:hAnsi="Times New Roman"/>
              <w:sz w:val="24"/>
              <w:szCs w:val="24"/>
              <w:lang w:val="es-MX"/>
            </w:rPr>
            <w:lastRenderedPageBreak/>
            <w:t xml:space="preserve"> La infraestructura ya se encuentra en servicio.  El contrato se encuentra en etapa de operación y mantenimiento.</w:t>
          </w:r>
        </w:p>
        <w:p w14:paraId="125F5E29" w14:textId="77777777" w:rsidR="007803E3" w:rsidRPr="0020113A" w:rsidRDefault="007803E3" w:rsidP="007803E3">
          <w:pPr>
            <w:jc w:val="both"/>
            <w:rPr>
              <w:rFonts w:ascii="Times New Roman" w:hAnsi="Times New Roman"/>
              <w:sz w:val="24"/>
              <w:szCs w:val="24"/>
            </w:rPr>
          </w:pPr>
          <w:r w:rsidRPr="0020113A">
            <w:rPr>
              <w:rFonts w:ascii="Times New Roman" w:hAnsi="Times New Roman"/>
              <w:b/>
              <w:sz w:val="24"/>
              <w:szCs w:val="24"/>
              <w:lang w:val="es-MX"/>
            </w:rPr>
            <w:t xml:space="preserve">Términos de Certeza de Flujos de Efectivo Futuros: </w:t>
          </w:r>
          <w:r w:rsidRPr="0020113A">
            <w:rPr>
              <w:rFonts w:ascii="Times New Roman" w:hAnsi="Times New Roman"/>
              <w:sz w:val="24"/>
              <w:szCs w:val="24"/>
              <w:lang w:val="es-MX"/>
            </w:rPr>
            <w:t>El proyecto se encuentra en operación y mantenimiento, por tanto, no se identifican variables que puedan afectar los flujos de efectivo, las actividades de construcción que se están desarrollando corresponden a la inversión de los excedentes y no tienen impacto en el modelo, según acuerdo conciliatorio del adicional 17</w:t>
          </w:r>
        </w:p>
        <w:p w14:paraId="6FABF826" w14:textId="77777777" w:rsidR="007803E3" w:rsidRPr="0020113A" w:rsidRDefault="007803E3" w:rsidP="00E60BAB">
          <w:pPr>
            <w:pStyle w:val="Prrafodelista"/>
            <w:numPr>
              <w:ilvl w:val="0"/>
              <w:numId w:val="62"/>
            </w:numPr>
            <w:spacing w:line="259" w:lineRule="auto"/>
            <w:jc w:val="both"/>
            <w:rPr>
              <w:rFonts w:ascii="Times New Roman" w:hAnsi="Times New Roman"/>
              <w:b/>
              <w:sz w:val="24"/>
              <w:szCs w:val="24"/>
              <w:lang w:val="es-MX"/>
            </w:rPr>
          </w:pPr>
          <w:r w:rsidRPr="0020113A">
            <w:rPr>
              <w:rFonts w:ascii="Times New Roman" w:hAnsi="Times New Roman"/>
              <w:b/>
              <w:sz w:val="24"/>
              <w:szCs w:val="24"/>
              <w:lang w:val="es-MX"/>
            </w:rPr>
            <w:t>Naturaleza y alcance del derecho a utilizar activos especificados, de los aspectos pactados en torno a lo que se espera que el concesionario proporcione en relación con el acuerdo de concesión</w:t>
          </w:r>
        </w:p>
        <w:p w14:paraId="335BBEEB" w14:textId="77777777" w:rsidR="007803E3" w:rsidRPr="0020113A" w:rsidRDefault="007803E3" w:rsidP="007803E3">
          <w:pPr>
            <w:jc w:val="center"/>
            <w:rPr>
              <w:rFonts w:ascii="Times New Roman" w:hAnsi="Times New Roman"/>
              <w:b/>
              <w:sz w:val="24"/>
              <w:szCs w:val="24"/>
              <w:lang w:val="es-MX"/>
            </w:rPr>
          </w:pPr>
          <w:r w:rsidRPr="0020113A">
            <w:rPr>
              <w:rFonts w:ascii="Times New Roman" w:hAnsi="Times New Roman"/>
              <w:b/>
              <w:sz w:val="24"/>
              <w:szCs w:val="24"/>
              <w:lang w:val="es-MX"/>
            </w:rPr>
            <w:t>Naturaleza y alcance del derecho de uso de los activos</w:t>
          </w:r>
        </w:p>
        <w:p w14:paraId="61B8139D"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Descripción: </w:t>
          </w:r>
          <w:r w:rsidRPr="0020113A">
            <w:rPr>
              <w:rFonts w:ascii="Times New Roman" w:eastAsia="Times New Roman" w:hAnsi="Times New Roman"/>
              <w:sz w:val="24"/>
              <w:szCs w:val="24"/>
              <w:lang w:val="es-MX"/>
            </w:rPr>
            <w:t>Los activos entregados al concesionario, referidos a vías, se entregan para construcción, operación y mantenimiento.  El recaudo de peajes hasta el fin de la concesión</w:t>
          </w:r>
        </w:p>
        <w:p w14:paraId="6DD54A7F" w14:textId="77777777" w:rsidR="007803E3" w:rsidRPr="0020113A" w:rsidRDefault="007803E3" w:rsidP="007803E3">
          <w:pPr>
            <w:spacing w:line="257" w:lineRule="auto"/>
            <w:jc w:val="both"/>
            <w:rPr>
              <w:rFonts w:ascii="Times New Roman" w:hAnsi="Times New Roman"/>
              <w:b/>
              <w:sz w:val="24"/>
              <w:szCs w:val="24"/>
              <w:lang w:val="es-MX"/>
            </w:rPr>
          </w:pPr>
          <w:r w:rsidRPr="0020113A">
            <w:rPr>
              <w:rFonts w:ascii="Times New Roman" w:hAnsi="Times New Roman"/>
              <w:b/>
              <w:sz w:val="24"/>
              <w:szCs w:val="24"/>
              <w:lang w:val="es-MX"/>
            </w:rPr>
            <w:t xml:space="preserve">Observaciones: </w:t>
          </w:r>
          <w:r w:rsidRPr="0020113A">
            <w:rPr>
              <w:rFonts w:ascii="Times New Roman" w:hAnsi="Times New Roman"/>
              <w:sz w:val="24"/>
              <w:szCs w:val="24"/>
              <w:lang w:val="es-MX"/>
            </w:rPr>
            <w:t>Para el desarrollo del contrato se hizo entrega para su rehabilitación operación y mantenimiento las siguientes calzadas existentes en los tramos de carretera:</w:t>
          </w:r>
        </w:p>
        <w:p w14:paraId="2A97C986" w14:textId="77777777" w:rsidR="007803E3" w:rsidRPr="0020113A" w:rsidRDefault="007803E3" w:rsidP="00E60BAB">
          <w:pPr>
            <w:pStyle w:val="Prrafodelista"/>
            <w:numPr>
              <w:ilvl w:val="0"/>
              <w:numId w:val="67"/>
            </w:numPr>
            <w:spacing w:line="257" w:lineRule="auto"/>
            <w:jc w:val="both"/>
            <w:rPr>
              <w:rFonts w:ascii="Times New Roman" w:hAnsi="Times New Roman"/>
              <w:sz w:val="24"/>
              <w:szCs w:val="24"/>
              <w:lang w:val="es-MX"/>
            </w:rPr>
          </w:pPr>
          <w:r w:rsidRPr="0020113A">
            <w:rPr>
              <w:rFonts w:ascii="Times New Roman" w:hAnsi="Times New Roman"/>
              <w:sz w:val="24"/>
              <w:szCs w:val="24"/>
              <w:lang w:val="es-MX"/>
            </w:rPr>
            <w:t xml:space="preserve"> Medellín – Guarne – Santuario de la ruta 60tramo 04</w:t>
          </w:r>
        </w:p>
        <w:p w14:paraId="1C1AD600" w14:textId="77777777" w:rsidR="007803E3" w:rsidRPr="0020113A" w:rsidRDefault="007803E3" w:rsidP="00E60BAB">
          <w:pPr>
            <w:pStyle w:val="Prrafodelista"/>
            <w:numPr>
              <w:ilvl w:val="0"/>
              <w:numId w:val="67"/>
            </w:numPr>
            <w:spacing w:line="257" w:lineRule="auto"/>
            <w:jc w:val="both"/>
            <w:rPr>
              <w:rFonts w:ascii="Times New Roman" w:hAnsi="Times New Roman"/>
              <w:sz w:val="24"/>
              <w:szCs w:val="24"/>
              <w:lang w:val="es-MX"/>
            </w:rPr>
          </w:pPr>
          <w:r w:rsidRPr="0020113A">
            <w:rPr>
              <w:rFonts w:ascii="Times New Roman" w:hAnsi="Times New Roman"/>
              <w:sz w:val="24"/>
              <w:szCs w:val="24"/>
              <w:lang w:val="es-MX"/>
            </w:rPr>
            <w:t>Medellín – Don Diego –La Ceja – La Unión de la ruta 56 Tramo 01</w:t>
          </w:r>
        </w:p>
        <w:p w14:paraId="4C9079F1" w14:textId="77777777" w:rsidR="007803E3" w:rsidRPr="0020113A" w:rsidRDefault="007803E3" w:rsidP="00E60BAB">
          <w:pPr>
            <w:pStyle w:val="Prrafodelista"/>
            <w:numPr>
              <w:ilvl w:val="0"/>
              <w:numId w:val="67"/>
            </w:numPr>
            <w:spacing w:line="257" w:lineRule="auto"/>
            <w:jc w:val="both"/>
            <w:rPr>
              <w:rFonts w:ascii="Times New Roman" w:hAnsi="Times New Roman"/>
              <w:sz w:val="24"/>
              <w:szCs w:val="24"/>
              <w:lang w:val="es-MX"/>
            </w:rPr>
          </w:pPr>
          <w:r w:rsidRPr="0020113A">
            <w:rPr>
              <w:rFonts w:ascii="Times New Roman" w:hAnsi="Times New Roman"/>
              <w:sz w:val="24"/>
              <w:szCs w:val="24"/>
              <w:lang w:val="es-MX"/>
            </w:rPr>
            <w:t>Don diego – Rionegro de la ruta 56AN Tramo 02</w:t>
          </w:r>
        </w:p>
        <w:p w14:paraId="5DA2F860" w14:textId="77777777" w:rsidR="007803E3" w:rsidRPr="0020113A" w:rsidRDefault="007803E3" w:rsidP="00E60BAB">
          <w:pPr>
            <w:pStyle w:val="Prrafodelista"/>
            <w:numPr>
              <w:ilvl w:val="0"/>
              <w:numId w:val="67"/>
            </w:numPr>
            <w:spacing w:line="257" w:lineRule="auto"/>
            <w:jc w:val="both"/>
            <w:rPr>
              <w:rFonts w:ascii="Times New Roman" w:hAnsi="Times New Roman"/>
              <w:sz w:val="24"/>
              <w:szCs w:val="24"/>
              <w:lang w:val="es-MX"/>
            </w:rPr>
          </w:pPr>
          <w:r w:rsidRPr="0020113A">
            <w:rPr>
              <w:rFonts w:ascii="Times New Roman" w:hAnsi="Times New Roman"/>
              <w:sz w:val="24"/>
              <w:szCs w:val="24"/>
              <w:lang w:val="es-MX"/>
            </w:rPr>
            <w:t>La Ceja – Rionegro de la ruta 56AN Tramo 03</w:t>
          </w:r>
        </w:p>
        <w:p w14:paraId="501F754F" w14:textId="77777777" w:rsidR="007803E3" w:rsidRPr="0020113A" w:rsidRDefault="007803E3" w:rsidP="00E60BAB">
          <w:pPr>
            <w:pStyle w:val="Prrafodelista"/>
            <w:numPr>
              <w:ilvl w:val="0"/>
              <w:numId w:val="67"/>
            </w:numPr>
            <w:spacing w:line="257" w:lineRule="auto"/>
            <w:jc w:val="both"/>
            <w:rPr>
              <w:rFonts w:ascii="Times New Roman" w:hAnsi="Times New Roman"/>
              <w:sz w:val="24"/>
              <w:szCs w:val="24"/>
              <w:lang w:val="es-MX"/>
            </w:rPr>
          </w:pPr>
          <w:r w:rsidRPr="0020113A">
            <w:rPr>
              <w:rFonts w:ascii="Times New Roman" w:hAnsi="Times New Roman"/>
              <w:sz w:val="24"/>
              <w:szCs w:val="24"/>
              <w:lang w:val="es-MX"/>
            </w:rPr>
            <w:t>T de Aeropuerto (cruce ruta 60) – aeropuerto</w:t>
          </w:r>
        </w:p>
        <w:p w14:paraId="61E429E5" w14:textId="77777777" w:rsidR="007803E3" w:rsidRPr="0020113A" w:rsidRDefault="007803E3" w:rsidP="00E60BAB">
          <w:pPr>
            <w:pStyle w:val="Prrafodelista"/>
            <w:numPr>
              <w:ilvl w:val="0"/>
              <w:numId w:val="67"/>
            </w:numPr>
            <w:spacing w:line="257" w:lineRule="auto"/>
            <w:jc w:val="both"/>
            <w:rPr>
              <w:rFonts w:ascii="Times New Roman" w:hAnsi="Times New Roman"/>
              <w:sz w:val="24"/>
              <w:szCs w:val="24"/>
              <w:lang w:val="es-MX"/>
            </w:rPr>
          </w:pPr>
          <w:r w:rsidRPr="0020113A">
            <w:rPr>
              <w:rFonts w:ascii="Times New Roman" w:hAnsi="Times New Roman"/>
              <w:sz w:val="24"/>
              <w:szCs w:val="24"/>
              <w:lang w:val="es-MX"/>
            </w:rPr>
            <w:t>Llano Grande- T de Rionegro – Aeropuerto</w:t>
          </w:r>
        </w:p>
        <w:p w14:paraId="09281A00" w14:textId="77777777" w:rsidR="007803E3" w:rsidRPr="0020113A" w:rsidRDefault="007803E3" w:rsidP="00E60BAB">
          <w:pPr>
            <w:pStyle w:val="Prrafodelista"/>
            <w:numPr>
              <w:ilvl w:val="0"/>
              <w:numId w:val="67"/>
            </w:numPr>
            <w:spacing w:line="257" w:lineRule="auto"/>
            <w:jc w:val="both"/>
            <w:rPr>
              <w:rFonts w:ascii="Times New Roman" w:hAnsi="Times New Roman"/>
              <w:sz w:val="24"/>
              <w:szCs w:val="24"/>
              <w:lang w:val="es-MX"/>
            </w:rPr>
          </w:pPr>
          <w:r w:rsidRPr="0020113A">
            <w:rPr>
              <w:rFonts w:ascii="Times New Roman" w:hAnsi="Times New Roman"/>
              <w:sz w:val="24"/>
              <w:szCs w:val="24"/>
              <w:lang w:val="es-MX"/>
            </w:rPr>
            <w:t>Rionegro – Marinilla (Cruce ruta 60)</w:t>
          </w:r>
        </w:p>
        <w:p w14:paraId="627A2360" w14:textId="77777777" w:rsidR="007803E3" w:rsidRPr="0020113A" w:rsidRDefault="007803E3" w:rsidP="00E60BAB">
          <w:pPr>
            <w:pStyle w:val="Prrafodelista"/>
            <w:numPr>
              <w:ilvl w:val="0"/>
              <w:numId w:val="67"/>
            </w:numPr>
            <w:spacing w:line="257" w:lineRule="auto"/>
            <w:jc w:val="both"/>
            <w:rPr>
              <w:rFonts w:ascii="Times New Roman" w:hAnsi="Times New Roman"/>
              <w:sz w:val="24"/>
              <w:szCs w:val="24"/>
              <w:lang w:val="es-MX"/>
            </w:rPr>
          </w:pPr>
          <w:r w:rsidRPr="0020113A">
            <w:rPr>
              <w:rFonts w:ascii="Times New Roman" w:hAnsi="Times New Roman"/>
              <w:sz w:val="24"/>
              <w:szCs w:val="24"/>
              <w:lang w:val="es-MX"/>
            </w:rPr>
            <w:t>La Fe – El Retiro</w:t>
          </w:r>
        </w:p>
        <w:p w14:paraId="02AC0E9E" w14:textId="77777777" w:rsidR="007803E3" w:rsidRPr="0020113A" w:rsidRDefault="007803E3" w:rsidP="00E60BAB">
          <w:pPr>
            <w:pStyle w:val="Prrafodelista"/>
            <w:numPr>
              <w:ilvl w:val="0"/>
              <w:numId w:val="67"/>
            </w:numPr>
            <w:spacing w:line="257" w:lineRule="auto"/>
            <w:jc w:val="both"/>
            <w:rPr>
              <w:rFonts w:ascii="Times New Roman" w:hAnsi="Times New Roman"/>
              <w:sz w:val="24"/>
              <w:szCs w:val="24"/>
              <w:lang w:val="es-MX"/>
            </w:rPr>
          </w:pPr>
          <w:r w:rsidRPr="0020113A">
            <w:rPr>
              <w:rFonts w:ascii="Times New Roman" w:hAnsi="Times New Roman"/>
              <w:sz w:val="24"/>
              <w:szCs w:val="24"/>
              <w:lang w:val="es-MX"/>
            </w:rPr>
            <w:t>Rionegro – Carmen de Viboral</w:t>
          </w:r>
        </w:p>
        <w:p w14:paraId="1DB976BA" w14:textId="77777777" w:rsidR="007803E3" w:rsidRPr="0020113A" w:rsidRDefault="007803E3" w:rsidP="00E60BAB">
          <w:pPr>
            <w:pStyle w:val="Prrafodelista"/>
            <w:numPr>
              <w:ilvl w:val="0"/>
              <w:numId w:val="67"/>
            </w:numPr>
            <w:spacing w:line="257" w:lineRule="auto"/>
            <w:jc w:val="both"/>
            <w:rPr>
              <w:rFonts w:ascii="Times New Roman" w:hAnsi="Times New Roman"/>
              <w:sz w:val="24"/>
              <w:szCs w:val="24"/>
              <w:lang w:val="es-MX"/>
            </w:rPr>
          </w:pPr>
          <w:r w:rsidRPr="0020113A">
            <w:rPr>
              <w:rFonts w:ascii="Times New Roman" w:hAnsi="Times New Roman"/>
              <w:sz w:val="24"/>
              <w:szCs w:val="24"/>
              <w:lang w:val="es-MX"/>
            </w:rPr>
            <w:t>Accesos a Marinilla y Santuario</w:t>
          </w:r>
        </w:p>
        <w:p w14:paraId="6F0C814E" w14:textId="77777777" w:rsidR="007803E3" w:rsidRPr="0020113A" w:rsidRDefault="007803E3" w:rsidP="007803E3">
          <w:pPr>
            <w:spacing w:line="257" w:lineRule="auto"/>
            <w:jc w:val="both"/>
            <w:rPr>
              <w:rFonts w:ascii="Times New Roman" w:hAnsi="Times New Roman"/>
              <w:sz w:val="24"/>
              <w:szCs w:val="24"/>
            </w:rPr>
          </w:pPr>
          <w:r w:rsidRPr="0020113A">
            <w:rPr>
              <w:rFonts w:ascii="Times New Roman" w:hAnsi="Times New Roman"/>
              <w:sz w:val="24"/>
              <w:szCs w:val="24"/>
              <w:lang w:val="es-MX"/>
            </w:rPr>
            <w:t xml:space="preserve"> En el contrato se pacta adicionalmente la operación y mantenimiento de los tramos rehabilitados y construidos</w:t>
          </w:r>
        </w:p>
        <w:p w14:paraId="4DC985F8" w14:textId="77777777" w:rsidR="007803E3" w:rsidRPr="0020113A" w:rsidRDefault="007803E3" w:rsidP="007803E3">
          <w:pPr>
            <w:jc w:val="center"/>
            <w:rPr>
              <w:rFonts w:ascii="Times New Roman" w:hAnsi="Times New Roman"/>
              <w:b/>
              <w:sz w:val="24"/>
              <w:szCs w:val="24"/>
              <w:lang w:val="es-MX"/>
            </w:rPr>
          </w:pPr>
          <w:r w:rsidRPr="0020113A">
            <w:rPr>
              <w:rFonts w:ascii="Times New Roman" w:hAnsi="Times New Roman"/>
              <w:b/>
              <w:sz w:val="24"/>
              <w:szCs w:val="24"/>
              <w:lang w:val="es-MX"/>
            </w:rPr>
            <w:t>Retribución al Concesionario</w:t>
          </w:r>
        </w:p>
        <w:p w14:paraId="47256604" w14:textId="77777777" w:rsidR="007803E3" w:rsidRPr="0020113A" w:rsidRDefault="007803E3" w:rsidP="007803E3">
          <w:pPr>
            <w:jc w:val="both"/>
            <w:rPr>
              <w:rFonts w:ascii="Times New Roman" w:hAnsi="Times New Roman"/>
              <w:b/>
              <w:sz w:val="24"/>
              <w:szCs w:val="24"/>
              <w:lang w:val="es-MX"/>
            </w:rPr>
          </w:pPr>
          <w:r w:rsidRPr="0020113A">
            <w:rPr>
              <w:rFonts w:ascii="Times New Roman" w:hAnsi="Times New Roman"/>
              <w:b/>
              <w:sz w:val="24"/>
              <w:szCs w:val="24"/>
              <w:lang w:val="es-MX"/>
            </w:rPr>
            <w:t xml:space="preserve">Descripción: </w:t>
          </w:r>
          <w:r w:rsidRPr="0020113A">
            <w:rPr>
              <w:rFonts w:ascii="Times New Roman" w:hAnsi="Times New Roman"/>
              <w:sz w:val="24"/>
              <w:szCs w:val="24"/>
              <w:lang w:val="es-MX"/>
            </w:rPr>
            <w:t>La retribución al Concesionario se encuentra detallada en el clausula cuarta del contrato de Concesión</w:t>
          </w:r>
        </w:p>
        <w:p w14:paraId="00C78904" w14:textId="77777777" w:rsidR="007803E3" w:rsidRPr="0020113A" w:rsidRDefault="007803E3" w:rsidP="007803E3">
          <w:pPr>
            <w:spacing w:line="257" w:lineRule="auto"/>
            <w:jc w:val="both"/>
            <w:rPr>
              <w:rFonts w:ascii="Times New Roman" w:hAnsi="Times New Roman"/>
              <w:sz w:val="24"/>
              <w:szCs w:val="24"/>
            </w:rPr>
          </w:pPr>
          <w:r w:rsidRPr="0020113A">
            <w:rPr>
              <w:rFonts w:ascii="Times New Roman" w:hAnsi="Times New Roman"/>
              <w:sz w:val="24"/>
              <w:szCs w:val="24"/>
              <w:lang w:val="es-MX"/>
            </w:rPr>
            <w:t>Tasa de retribución: la tasa de retribución del proyecto, según lo dispuesto en el parágrafo octavo de la cláusula quinta del contrato básico es del 18.98%, en términos reales.  Adicionalmente en resolución No 446 de 2010 del Ministerio de Hacienda y Crédito Público, se establece que la tasa para las adiciones o prorrogas de los contratos de Concesión   será del 7.75% en términos reales</w:t>
          </w:r>
          <w:r w:rsidRPr="0020113A">
            <w:rPr>
              <w:rFonts w:ascii="Times New Roman" w:hAnsi="Times New Roman"/>
              <w:b/>
              <w:sz w:val="24"/>
              <w:szCs w:val="24"/>
              <w:lang w:val="es-MX"/>
            </w:rPr>
            <w:t xml:space="preserve"> </w:t>
          </w:r>
        </w:p>
        <w:p w14:paraId="01DFFE9A" w14:textId="77777777" w:rsidR="007803E3" w:rsidRPr="0020113A" w:rsidRDefault="007803E3" w:rsidP="007803E3">
          <w:pPr>
            <w:spacing w:line="257" w:lineRule="auto"/>
            <w:jc w:val="both"/>
            <w:rPr>
              <w:rFonts w:ascii="Times New Roman" w:hAnsi="Times New Roman"/>
              <w:sz w:val="24"/>
              <w:szCs w:val="24"/>
              <w:lang w:val="es-MX"/>
            </w:rPr>
          </w:pPr>
          <w:r w:rsidRPr="0020113A">
            <w:rPr>
              <w:rFonts w:ascii="Times New Roman" w:hAnsi="Times New Roman"/>
              <w:b/>
              <w:sz w:val="24"/>
              <w:szCs w:val="24"/>
              <w:lang w:val="es-MX"/>
            </w:rPr>
            <w:t xml:space="preserve">Tasa de Retribución:   </w:t>
          </w:r>
          <w:r w:rsidRPr="0020113A">
            <w:rPr>
              <w:rFonts w:ascii="Times New Roman" w:hAnsi="Times New Roman"/>
              <w:sz w:val="24"/>
              <w:szCs w:val="24"/>
              <w:lang w:val="es-MX"/>
            </w:rPr>
            <w:t>18.98%</w:t>
          </w:r>
        </w:p>
        <w:p w14:paraId="09370A81" w14:textId="77777777" w:rsidR="007803E3" w:rsidRPr="0020113A" w:rsidRDefault="007803E3" w:rsidP="00E60BAB">
          <w:pPr>
            <w:pStyle w:val="Prrafodelista"/>
            <w:numPr>
              <w:ilvl w:val="0"/>
              <w:numId w:val="62"/>
            </w:numPr>
            <w:spacing w:line="259" w:lineRule="auto"/>
            <w:jc w:val="both"/>
            <w:rPr>
              <w:rFonts w:ascii="Times New Roman" w:hAnsi="Times New Roman"/>
              <w:b/>
              <w:sz w:val="24"/>
              <w:szCs w:val="24"/>
              <w:lang w:val="es-MX"/>
            </w:rPr>
          </w:pPr>
          <w:r w:rsidRPr="0020113A">
            <w:rPr>
              <w:rFonts w:ascii="Times New Roman" w:hAnsi="Times New Roman"/>
              <w:b/>
              <w:sz w:val="24"/>
              <w:szCs w:val="24"/>
              <w:lang w:val="es-MX"/>
            </w:rPr>
            <w:t>Derechos a recibir activos especificados al final del acuerdo de concesión</w:t>
          </w:r>
        </w:p>
        <w:p w14:paraId="1F9AAA74" w14:textId="77777777" w:rsidR="007803E3" w:rsidRPr="0020113A" w:rsidRDefault="007803E3" w:rsidP="007803E3">
          <w:pPr>
            <w:jc w:val="both"/>
            <w:rPr>
              <w:rFonts w:ascii="Times New Roman" w:hAnsi="Times New Roman"/>
              <w:sz w:val="24"/>
              <w:szCs w:val="24"/>
            </w:rPr>
          </w:pPr>
          <w:r w:rsidRPr="0020113A">
            <w:rPr>
              <w:rFonts w:ascii="Times New Roman" w:hAnsi="Times New Roman"/>
              <w:b/>
              <w:sz w:val="24"/>
              <w:szCs w:val="24"/>
              <w:lang w:val="es-MX"/>
            </w:rPr>
            <w:lastRenderedPageBreak/>
            <w:t xml:space="preserve">Descripción: </w:t>
          </w:r>
          <w:r w:rsidRPr="0020113A">
            <w:rPr>
              <w:rFonts w:ascii="Times New Roman" w:hAnsi="Times New Roman"/>
              <w:sz w:val="24"/>
              <w:szCs w:val="24"/>
              <w:lang w:val="es-MX"/>
            </w:rPr>
            <w:t>Según lo estipulado en la Cláusula vigésima sexta del contrato de concesión, la reversión de los bienes afectados a la concesión del proyecto se realizará al vencimiento de la etapa de operación</w:t>
          </w:r>
        </w:p>
        <w:p w14:paraId="0B89D618" w14:textId="738CE765"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Observaciones: </w:t>
          </w:r>
          <w:r w:rsidRPr="0020113A">
            <w:rPr>
              <w:rFonts w:ascii="Times New Roman" w:eastAsia="Times New Roman" w:hAnsi="Times New Roman"/>
              <w:sz w:val="24"/>
              <w:szCs w:val="24"/>
              <w:lang w:val="es-MX"/>
            </w:rPr>
            <w:t>Los bienes a revertir incluyen: los predios para el derecho de vía, la obra civil: calzadas, separadores, intersecciones, estructuras, obras de drenaje, obras de arte y señales, las casetas de peaje y sus áreas de servicio, los equipos instalados para la operación del proyecto, revertirán al Instituto sin costo alguno , libres de todo gravamen y con un nivel de servicio que alcance una calificación mínima del índice de estado de pavimento de cuatro (4) puntos, acorde a los norma de mantenimiento para carreteras concesionadas.  Por otra parte, el Instituto, reconocerá las mejoras realizadas sobre los predios que conforman el derecho de vía para la instalación de los servicios complementarios autorizados</w:t>
          </w:r>
          <w:r w:rsidR="00940D06">
            <w:rPr>
              <w:rFonts w:ascii="Times New Roman" w:eastAsia="Times New Roman" w:hAnsi="Times New Roman"/>
              <w:sz w:val="24"/>
              <w:szCs w:val="24"/>
              <w:lang w:val="es-MX"/>
            </w:rPr>
            <w:t>,</w:t>
          </w:r>
          <w:r w:rsidRPr="0020113A">
            <w:rPr>
              <w:rFonts w:ascii="Times New Roman" w:eastAsia="Times New Roman" w:hAnsi="Times New Roman"/>
              <w:sz w:val="24"/>
              <w:szCs w:val="24"/>
              <w:lang w:val="es-MX"/>
            </w:rPr>
            <w:t xml:space="preserve"> o si así lo quisiera el Concesionario, podrá solicitar la ampliación o prórroga de la concesión para la explotación de los servicios complementarios que se hayan instalado.  Las máquinas y equipos que pasen a ser parte del Instituto deben encontrarse en buen estado y libres de cualquier gravamen o reserva de dominio.  Para el caso de las máquinas y equipos necesarios para la operación del proyecto, adquiridos por leasing y cuyos pagos no se hayan efectuado en su totalidad la responsabilidad de continuar con los pagos a partir de la terminación del contrato serán exclusivamente del Concesionario”.</w:t>
          </w:r>
        </w:p>
        <w:p w14:paraId="41E708B2" w14:textId="1687D204" w:rsidR="007803E3" w:rsidRPr="0020113A" w:rsidRDefault="009D09B9" w:rsidP="00E60BAB">
          <w:pPr>
            <w:pStyle w:val="Prrafodelista"/>
            <w:numPr>
              <w:ilvl w:val="0"/>
              <w:numId w:val="62"/>
            </w:numPr>
            <w:spacing w:line="259" w:lineRule="auto"/>
            <w:jc w:val="both"/>
            <w:rPr>
              <w:rFonts w:ascii="Times New Roman" w:hAnsi="Times New Roman"/>
              <w:b/>
              <w:sz w:val="24"/>
              <w:szCs w:val="24"/>
              <w:lang w:val="es-MX"/>
            </w:rPr>
          </w:pPr>
          <w:r>
            <w:rPr>
              <w:rFonts w:ascii="Times New Roman" w:hAnsi="Times New Roman"/>
              <w:b/>
              <w:sz w:val="24"/>
              <w:szCs w:val="24"/>
              <w:lang w:val="es-MX"/>
            </w:rPr>
            <w:t>No hay c</w:t>
          </w:r>
          <w:r w:rsidR="007803E3" w:rsidRPr="0020113A">
            <w:rPr>
              <w:rFonts w:ascii="Times New Roman" w:hAnsi="Times New Roman"/>
              <w:b/>
              <w:sz w:val="24"/>
              <w:szCs w:val="24"/>
              <w:lang w:val="es-MX"/>
            </w:rPr>
            <w:t>ambios en el acuerdo de concesión que se realicen durante el periodo fiscal</w:t>
          </w:r>
        </w:p>
        <w:p w14:paraId="42CB249A" w14:textId="77777777" w:rsidR="007803E3" w:rsidRPr="0020113A" w:rsidRDefault="007803E3" w:rsidP="007803E3">
          <w:pPr>
            <w:rPr>
              <w:rFonts w:ascii="Times New Roman" w:hAnsi="Times New Roman"/>
              <w:b/>
              <w:sz w:val="24"/>
              <w:szCs w:val="24"/>
              <w:lang w:val="es-MX"/>
            </w:rPr>
          </w:pPr>
        </w:p>
        <w:p w14:paraId="06480ED3" w14:textId="77777777"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RUMICHACA PASTO</w:t>
          </w:r>
        </w:p>
        <w:p w14:paraId="156D7731" w14:textId="77777777" w:rsidR="007803E3" w:rsidRPr="0020113A" w:rsidRDefault="007803E3" w:rsidP="00E60BAB">
          <w:pPr>
            <w:pStyle w:val="Prrafodelista"/>
            <w:numPr>
              <w:ilvl w:val="0"/>
              <w:numId w:val="63"/>
            </w:numPr>
            <w:spacing w:line="259" w:lineRule="auto"/>
            <w:rPr>
              <w:rFonts w:ascii="Times New Roman" w:hAnsi="Times New Roman"/>
              <w:b/>
              <w:sz w:val="24"/>
              <w:szCs w:val="24"/>
              <w:lang w:val="es-MX"/>
            </w:rPr>
          </w:pPr>
          <w:r w:rsidRPr="0020113A">
            <w:rPr>
              <w:rFonts w:ascii="Times New Roman" w:hAnsi="Times New Roman"/>
              <w:b/>
              <w:sz w:val="24"/>
              <w:szCs w:val="24"/>
              <w:lang w:val="es-MX"/>
            </w:rPr>
            <w:t>Descripción del Acuerdo</w:t>
          </w:r>
        </w:p>
        <w:p w14:paraId="238251AB" w14:textId="77777777"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 xml:space="preserve">Número del Acuerdo de Concesión: </w:t>
          </w:r>
          <w:r w:rsidRPr="0020113A">
            <w:rPr>
              <w:rFonts w:ascii="Times New Roman" w:hAnsi="Times New Roman"/>
              <w:sz w:val="24"/>
              <w:szCs w:val="24"/>
              <w:lang w:val="es-MX"/>
            </w:rPr>
            <w:t>No. 015 del 15 de 2015</w:t>
          </w:r>
        </w:p>
        <w:p w14:paraId="5983CFCE" w14:textId="1E17079E" w:rsidR="007803E3" w:rsidRPr="0020113A" w:rsidRDefault="007803E3" w:rsidP="18BAD2EC">
          <w:pPr>
            <w:spacing w:after="0"/>
            <w:jc w:val="both"/>
            <w:rPr>
              <w:rFonts w:ascii="Times New Roman" w:hAnsi="Times New Roman"/>
              <w:b/>
              <w:sz w:val="24"/>
              <w:szCs w:val="24"/>
              <w:lang w:val="es-MX"/>
            </w:rPr>
          </w:pPr>
          <w:r w:rsidRPr="0020113A">
            <w:rPr>
              <w:rFonts w:ascii="Times New Roman" w:hAnsi="Times New Roman"/>
              <w:b/>
              <w:sz w:val="24"/>
              <w:szCs w:val="24"/>
              <w:lang w:val="es-MX"/>
            </w:rPr>
            <w:t xml:space="preserve">Objeto / Descripción: </w:t>
          </w:r>
          <w:r w:rsidRPr="0020113A">
            <w:rPr>
              <w:rFonts w:ascii="Times New Roman" w:hAnsi="Times New Roman"/>
              <w:sz w:val="24"/>
              <w:szCs w:val="24"/>
              <w:lang w:val="es-MX"/>
            </w:rPr>
            <w:t xml:space="preserve">El otorgamiento de una concesión para que, de conformidad con lo previsto en este Contrato, el Concesionario por su cuenta y riesgo, lleve a cabo el Proyecto. El alcance del Proyecto corresponde a </w:t>
          </w:r>
          <w:r w:rsidR="00895291">
            <w:rPr>
              <w:rFonts w:ascii="Times New Roman" w:hAnsi="Times New Roman"/>
              <w:sz w:val="24"/>
              <w:szCs w:val="24"/>
              <w:lang w:val="es-MX"/>
            </w:rPr>
            <w:t>l</w:t>
          </w:r>
          <w:r w:rsidRPr="0020113A">
            <w:rPr>
              <w:rFonts w:ascii="Times New Roman" w:hAnsi="Times New Roman"/>
              <w:sz w:val="24"/>
              <w:szCs w:val="24"/>
              <w:lang w:val="es-MX"/>
            </w:rPr>
            <w:t>a financiación, construcción, rehabilitación, mejoramiento, operación y mantenimiento</w:t>
          </w:r>
          <w:r w:rsidR="00895291">
            <w:rPr>
              <w:rFonts w:ascii="Times New Roman" w:hAnsi="Times New Roman"/>
              <w:sz w:val="24"/>
              <w:szCs w:val="24"/>
              <w:lang w:val="es-MX"/>
            </w:rPr>
            <w:t>,</w:t>
          </w:r>
          <w:r w:rsidRPr="0020113A">
            <w:rPr>
              <w:rFonts w:ascii="Times New Roman" w:hAnsi="Times New Roman"/>
              <w:sz w:val="24"/>
              <w:szCs w:val="24"/>
              <w:lang w:val="es-MX"/>
            </w:rPr>
            <w:t xml:space="preserve"> y reversión del corredor Rumichaca- Pasto, de acuerdo con el Apéndice Técnico 1 y demás Apéndices Técnicos del Contrato.</w:t>
          </w:r>
        </w:p>
        <w:p w14:paraId="30C80501" w14:textId="77777777" w:rsidR="007803E3" w:rsidRPr="0020113A" w:rsidRDefault="007803E3" w:rsidP="00A1352A">
          <w:pPr>
            <w:spacing w:after="0"/>
            <w:jc w:val="both"/>
            <w:rPr>
              <w:rFonts w:ascii="Times New Roman" w:hAnsi="Times New Roman"/>
              <w:b/>
              <w:sz w:val="24"/>
              <w:szCs w:val="24"/>
              <w:lang w:val="es-MX"/>
            </w:rPr>
          </w:pPr>
          <w:r w:rsidRPr="0020113A">
            <w:rPr>
              <w:rFonts w:ascii="Times New Roman" w:hAnsi="Times New Roman"/>
              <w:b/>
              <w:sz w:val="24"/>
              <w:szCs w:val="24"/>
              <w:lang w:val="es-MX"/>
            </w:rPr>
            <w:t xml:space="preserve">Valor Inicial: </w:t>
          </w:r>
          <w:r w:rsidRPr="0020113A">
            <w:rPr>
              <w:rFonts w:ascii="Times New Roman" w:hAnsi="Times New Roman"/>
              <w:sz w:val="24"/>
              <w:szCs w:val="24"/>
              <w:lang w:val="es-MX"/>
            </w:rPr>
            <w:t>Dos billones trescientos diez y seis mil cientos veinte y siete millones setecientos setenta y unos mil cientos ochenta y un ($2.316.127.771.181) Pesos del Mes de Referencia (dic.2013).</w:t>
          </w:r>
        </w:p>
        <w:p w14:paraId="0474B1D0" w14:textId="77777777" w:rsidR="007803E3" w:rsidRPr="0020113A" w:rsidRDefault="007803E3" w:rsidP="00A1352A">
          <w:pPr>
            <w:spacing w:after="0"/>
            <w:rPr>
              <w:rFonts w:ascii="Times New Roman" w:hAnsi="Times New Roman"/>
              <w:sz w:val="24"/>
              <w:szCs w:val="24"/>
              <w:lang w:val="es-MX"/>
            </w:rPr>
          </w:pPr>
          <w:r w:rsidRPr="0020113A">
            <w:rPr>
              <w:rFonts w:ascii="Times New Roman" w:hAnsi="Times New Roman"/>
              <w:b/>
              <w:sz w:val="24"/>
              <w:szCs w:val="24"/>
              <w:lang w:val="es-MX"/>
            </w:rPr>
            <w:t xml:space="preserve">Fecha de Inicio: </w:t>
          </w:r>
          <w:r w:rsidRPr="0020113A">
            <w:rPr>
              <w:rFonts w:ascii="Times New Roman" w:hAnsi="Times New Roman"/>
              <w:sz w:val="24"/>
              <w:szCs w:val="24"/>
              <w:lang w:val="es-MX"/>
            </w:rPr>
            <w:t>27/10/2015</w:t>
          </w:r>
        </w:p>
        <w:p w14:paraId="0BD61FC1" w14:textId="77777777" w:rsidR="007803E3" w:rsidRPr="0020113A" w:rsidRDefault="007803E3" w:rsidP="00A1352A">
          <w:pPr>
            <w:spacing w:after="0"/>
            <w:rPr>
              <w:rFonts w:ascii="Times New Roman" w:hAnsi="Times New Roman"/>
              <w:sz w:val="24"/>
              <w:szCs w:val="24"/>
              <w:lang w:val="es-MX"/>
            </w:rPr>
          </w:pPr>
          <w:r w:rsidRPr="0020113A">
            <w:rPr>
              <w:rFonts w:ascii="Times New Roman" w:hAnsi="Times New Roman"/>
              <w:b/>
              <w:sz w:val="24"/>
              <w:szCs w:val="24"/>
              <w:lang w:val="es-MX"/>
            </w:rPr>
            <w:t xml:space="preserve">Fecha de Finalización Estimada: </w:t>
          </w:r>
          <w:r w:rsidRPr="0020113A">
            <w:rPr>
              <w:rFonts w:ascii="Times New Roman" w:hAnsi="Times New Roman"/>
              <w:sz w:val="24"/>
              <w:szCs w:val="24"/>
              <w:lang w:val="es-MX"/>
            </w:rPr>
            <w:t>27/10/2040</w:t>
          </w:r>
        </w:p>
        <w:p w14:paraId="308CE284" w14:textId="77777777" w:rsidR="007803E3" w:rsidRPr="0020113A" w:rsidRDefault="007803E3" w:rsidP="00A1352A">
          <w:pPr>
            <w:spacing w:after="0"/>
            <w:rPr>
              <w:rFonts w:ascii="Times New Roman" w:hAnsi="Times New Roman"/>
              <w:sz w:val="24"/>
              <w:szCs w:val="24"/>
              <w:lang w:val="es-MX"/>
            </w:rPr>
          </w:pPr>
          <w:r w:rsidRPr="0020113A">
            <w:rPr>
              <w:rFonts w:ascii="Times New Roman" w:hAnsi="Times New Roman"/>
              <w:b/>
              <w:sz w:val="24"/>
              <w:szCs w:val="24"/>
              <w:lang w:val="es-MX"/>
            </w:rPr>
            <w:t xml:space="preserve">Tipo ID: </w:t>
          </w:r>
          <w:r w:rsidRPr="0020113A">
            <w:rPr>
              <w:rFonts w:ascii="Times New Roman" w:hAnsi="Times New Roman"/>
              <w:sz w:val="24"/>
              <w:szCs w:val="24"/>
              <w:lang w:val="es-MX"/>
            </w:rPr>
            <w:t>NIT</w:t>
          </w:r>
        </w:p>
        <w:p w14:paraId="27DAACA9" w14:textId="77777777" w:rsidR="007803E3" w:rsidRPr="0020113A" w:rsidRDefault="007803E3" w:rsidP="00A1352A">
          <w:pPr>
            <w:spacing w:after="0"/>
            <w:rPr>
              <w:rFonts w:ascii="Times New Roman" w:hAnsi="Times New Roman"/>
              <w:b/>
              <w:sz w:val="24"/>
              <w:szCs w:val="24"/>
              <w:lang w:val="es-MX"/>
            </w:rPr>
          </w:pPr>
          <w:r w:rsidRPr="0020113A">
            <w:rPr>
              <w:rFonts w:ascii="Times New Roman" w:hAnsi="Times New Roman"/>
              <w:b/>
              <w:sz w:val="24"/>
              <w:szCs w:val="24"/>
              <w:lang w:val="es-MX"/>
            </w:rPr>
            <w:t xml:space="preserve">Numero ID: </w:t>
          </w:r>
          <w:r w:rsidRPr="0020113A">
            <w:rPr>
              <w:rFonts w:ascii="Times New Roman" w:hAnsi="Times New Roman"/>
              <w:sz w:val="24"/>
              <w:szCs w:val="24"/>
              <w:lang w:val="es-MX"/>
            </w:rPr>
            <w:t>900880846</w:t>
          </w:r>
        </w:p>
        <w:p w14:paraId="0B1E868C" w14:textId="77777777" w:rsidR="007803E3" w:rsidRPr="0020113A" w:rsidRDefault="007803E3" w:rsidP="00A1352A">
          <w:pPr>
            <w:spacing w:after="0"/>
            <w:rPr>
              <w:rFonts w:ascii="Times New Roman" w:hAnsi="Times New Roman"/>
              <w:b/>
              <w:sz w:val="24"/>
              <w:szCs w:val="24"/>
              <w:lang w:val="es-MX"/>
            </w:rPr>
          </w:pPr>
          <w:r w:rsidRPr="0020113A">
            <w:rPr>
              <w:rFonts w:ascii="Times New Roman" w:hAnsi="Times New Roman"/>
              <w:b/>
              <w:sz w:val="24"/>
              <w:szCs w:val="24"/>
              <w:lang w:val="es-MX"/>
            </w:rPr>
            <w:t xml:space="preserve">Razón Social del Concesionario: </w:t>
          </w:r>
          <w:r w:rsidRPr="0020113A">
            <w:rPr>
              <w:rFonts w:ascii="Times New Roman" w:hAnsi="Times New Roman"/>
              <w:sz w:val="24"/>
              <w:szCs w:val="24"/>
              <w:lang w:val="es-MX"/>
            </w:rPr>
            <w:t>Concesionaria Vial Unión del Sur</w:t>
          </w:r>
        </w:p>
        <w:p w14:paraId="2D1C5059" w14:textId="77777777"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Nombre del Proyecto:</w:t>
          </w:r>
          <w:r w:rsidRPr="0020113A">
            <w:rPr>
              <w:rFonts w:ascii="Times New Roman" w:hAnsi="Times New Roman"/>
              <w:sz w:val="24"/>
              <w:szCs w:val="24"/>
            </w:rPr>
            <w:t xml:space="preserve"> </w:t>
          </w:r>
          <w:r w:rsidRPr="0020113A">
            <w:rPr>
              <w:rFonts w:ascii="Times New Roman" w:hAnsi="Times New Roman"/>
              <w:sz w:val="24"/>
              <w:szCs w:val="24"/>
              <w:lang w:val="es-MX"/>
            </w:rPr>
            <w:t>Concesión Rumichaca - Pasto</w:t>
          </w:r>
        </w:p>
        <w:p w14:paraId="3243359B" w14:textId="77777777" w:rsidR="007803E3" w:rsidRPr="0020113A" w:rsidRDefault="007803E3" w:rsidP="00E60BAB">
          <w:pPr>
            <w:pStyle w:val="Prrafodelista"/>
            <w:numPr>
              <w:ilvl w:val="0"/>
              <w:numId w:val="63"/>
            </w:numPr>
            <w:spacing w:line="259" w:lineRule="auto"/>
            <w:rPr>
              <w:rFonts w:ascii="Times New Roman" w:hAnsi="Times New Roman"/>
              <w:b/>
              <w:sz w:val="24"/>
              <w:szCs w:val="24"/>
              <w:lang w:val="es-MX"/>
            </w:rPr>
          </w:pPr>
          <w:r w:rsidRPr="0020113A">
            <w:rPr>
              <w:rFonts w:ascii="Times New Roman" w:hAnsi="Times New Roman"/>
              <w:b/>
              <w:sz w:val="24"/>
              <w:szCs w:val="24"/>
              <w:lang w:val="es-MX"/>
            </w:rPr>
            <w:lastRenderedPageBreak/>
            <w:t>Términos significativos del acuerdo que puedan afectar su valor, el calendario y la certeza de los flujos</w:t>
          </w:r>
        </w:p>
        <w:p w14:paraId="576C5BE4"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Términos de Valor: </w:t>
          </w:r>
          <w:r w:rsidRPr="0020113A">
            <w:rPr>
              <w:rFonts w:ascii="Times New Roman" w:hAnsi="Times New Roman"/>
              <w:sz w:val="24"/>
              <w:szCs w:val="24"/>
              <w:lang w:val="es-MX"/>
            </w:rPr>
            <w:t xml:space="preserve">Parte General Sección 3.6 Intereses Remuneratorios y de Mora </w:t>
          </w:r>
        </w:p>
        <w:p w14:paraId="730E18D6"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(a) La tasa de mora aplicable a los pagos debidos por las Partes bajo el presente Contrato será la equivalente a DTF más diez puntos porcentuales (10%), pero en ningún caso podrá ser una tasa mayor que la máxima permitida por la Ley Aplicable.</w:t>
          </w:r>
        </w:p>
        <w:p w14:paraId="7EDBAFDE"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 xml:space="preserve">(d) Para obligaciones de pago de dinero distintas de las de realizar los Aportes ANI, desde la fecha de surgimiento de la respectiva obligación a cargo de la ANI y durante los primeros cuarenta y cinco (45) Días no se causarán intereses de ningún tipo. Desde el vencimiento del plazo anterior y hasta los quinientos cuarenta (540) Días se causarán intereses remuneratorios a la tasa DTF más cinco puntos porcentuales (5%). </w:t>
          </w:r>
        </w:p>
        <w:p w14:paraId="4CF6C7AA"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Parte Especial Sección 4.2 Estructura Tarifaria</w:t>
          </w:r>
        </w:p>
        <w:p w14:paraId="3256B3E1" w14:textId="0C99BEB6"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 xml:space="preserve">(a) Para efectos de lo dispuesto en la Sección 1.139 de la Parte General, y de acuerdo con lo establecido por la Resolución No.0001920 del 23 de junio de 2015, la estructura tarifaria que regirá el Proyecto no incluye las tasas correspondientes al Fondo de Seguridad Vial o cualquier sobretasa o similar que tenga destinación diferente al proyecto y estará compuesta por las siguientes tarifas: (…) </w:t>
          </w:r>
        </w:p>
        <w:p w14:paraId="433F8087"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Parte Especial Sección 4.3 Cálculo de la Retribución</w:t>
          </w:r>
        </w:p>
        <w:p w14:paraId="763280F3"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El cálculo de la Retribución por Unidad Funcional para cada Mes será efectuado de acuerdo con la siguiente fórmula:</w:t>
          </w:r>
        </w:p>
        <w:p w14:paraId="0A89D62D" w14:textId="77777777" w:rsidR="007803E3" w:rsidRPr="0020113A" w:rsidRDefault="007803E3" w:rsidP="007803E3">
          <w:pPr>
            <w:jc w:val="center"/>
            <w:rPr>
              <w:rFonts w:ascii="Times New Roman" w:hAnsi="Times New Roman"/>
              <w:sz w:val="24"/>
              <w:szCs w:val="24"/>
              <w:lang w:val="pt-PT"/>
            </w:rPr>
          </w:pPr>
          <w:r w:rsidRPr="0020113A">
            <w:rPr>
              <w:rFonts w:ascii="Times New Roman" w:eastAsia="Cambria Math" w:hAnsi="Times New Roman"/>
              <w:sz w:val="24"/>
              <w:szCs w:val="24"/>
              <w:lang w:val="es-MX"/>
            </w:rPr>
            <w:t>〖</w:t>
          </w:r>
          <w:r w:rsidRPr="0020113A">
            <w:rPr>
              <w:rFonts w:ascii="Times New Roman" w:hAnsi="Times New Roman"/>
              <w:sz w:val="24"/>
              <w:szCs w:val="24"/>
              <w:lang w:val="pt-PT"/>
            </w:rPr>
            <w:t>R_h^u</w:t>
          </w:r>
          <w:r w:rsidRPr="0020113A">
            <w:rPr>
              <w:rFonts w:ascii="Times New Roman" w:eastAsia="Cambria Math" w:hAnsi="Times New Roman"/>
              <w:sz w:val="24"/>
              <w:szCs w:val="24"/>
              <w:lang w:val="es-MX"/>
            </w:rPr>
            <w:t>〗</w:t>
          </w:r>
          <w:r w:rsidRPr="0020113A">
            <w:rPr>
              <w:rFonts w:ascii="Times New Roman" w:hAnsi="Times New Roman"/>
              <w:sz w:val="24"/>
              <w:szCs w:val="24"/>
              <w:lang w:val="pt-PT"/>
            </w:rPr>
            <w:t xml:space="preserve">_ = </w:t>
          </w:r>
          <w:r w:rsidRPr="0020113A">
            <w:rPr>
              <w:rFonts w:ascii="Times New Roman" w:eastAsia="Cambria Math" w:hAnsi="Times New Roman"/>
              <w:sz w:val="24"/>
              <w:szCs w:val="24"/>
              <w:lang w:val="es-MX"/>
            </w:rPr>
            <w:t>〖</w:t>
          </w:r>
          <w:r w:rsidRPr="0020113A">
            <w:rPr>
              <w:rFonts w:ascii="Times New Roman" w:hAnsi="Times New Roman"/>
              <w:sz w:val="24"/>
              <w:szCs w:val="24"/>
              <w:lang w:val="pt-PT"/>
            </w:rPr>
            <w:t>Aportes</w:t>
          </w:r>
          <w:r w:rsidRPr="0020113A">
            <w:rPr>
              <w:rFonts w:ascii="Times New Roman" w:eastAsia="Cambria Math" w:hAnsi="Times New Roman"/>
              <w:sz w:val="24"/>
              <w:szCs w:val="24"/>
              <w:lang w:val="es-MX"/>
            </w:rPr>
            <w:t>〗</w:t>
          </w:r>
          <w:r w:rsidRPr="0020113A">
            <w:rPr>
              <w:rFonts w:ascii="Times New Roman" w:hAnsi="Times New Roman"/>
              <w:sz w:val="24"/>
              <w:szCs w:val="24"/>
              <w:lang w:val="pt-PT"/>
            </w:rPr>
            <w:t>_h^u+</w:t>
          </w:r>
          <w:r w:rsidRPr="0020113A">
            <w:rPr>
              <w:rFonts w:ascii="Times New Roman" w:eastAsia="Cambria Math" w:hAnsi="Times New Roman"/>
              <w:sz w:val="24"/>
              <w:szCs w:val="24"/>
              <w:lang w:val="es-MX"/>
            </w:rPr>
            <w:t>〖</w:t>
          </w:r>
          <w:r w:rsidRPr="0020113A">
            <w:rPr>
              <w:rFonts w:ascii="Times New Roman" w:hAnsi="Times New Roman"/>
              <w:sz w:val="24"/>
              <w:szCs w:val="24"/>
              <w:lang w:val="pt-PT"/>
            </w:rPr>
            <w:t>Peajes</w:t>
          </w:r>
          <w:r w:rsidRPr="0020113A">
            <w:rPr>
              <w:rFonts w:ascii="Times New Roman" w:eastAsia="Cambria Math" w:hAnsi="Times New Roman"/>
              <w:sz w:val="24"/>
              <w:szCs w:val="24"/>
              <w:lang w:val="es-MX"/>
            </w:rPr>
            <w:t>〗</w:t>
          </w:r>
          <w:r w:rsidRPr="0020113A">
            <w:rPr>
              <w:rFonts w:ascii="Times New Roman" w:hAnsi="Times New Roman"/>
              <w:sz w:val="24"/>
              <w:szCs w:val="24"/>
              <w:lang w:val="pt-PT"/>
            </w:rPr>
            <w:t>_h^u+</w:t>
          </w:r>
          <w:r w:rsidRPr="0020113A">
            <w:rPr>
              <w:rFonts w:ascii="Times New Roman" w:eastAsia="Cambria Math" w:hAnsi="Times New Roman"/>
              <w:sz w:val="24"/>
              <w:szCs w:val="24"/>
              <w:lang w:val="es-MX"/>
            </w:rPr>
            <w:t>〖</w:t>
          </w:r>
          <w:r w:rsidRPr="0020113A">
            <w:rPr>
              <w:rFonts w:ascii="Times New Roman" w:hAnsi="Times New Roman"/>
              <w:sz w:val="24"/>
              <w:szCs w:val="24"/>
              <w:lang w:val="pt-PT"/>
            </w:rPr>
            <w:t>EC</w:t>
          </w:r>
          <w:r w:rsidRPr="0020113A">
            <w:rPr>
              <w:rFonts w:ascii="Times New Roman" w:eastAsia="Cambria Math" w:hAnsi="Times New Roman"/>
              <w:sz w:val="24"/>
              <w:szCs w:val="24"/>
              <w:lang w:val="es-MX"/>
            </w:rPr>
            <w:t>〗</w:t>
          </w:r>
          <w:r w:rsidRPr="0020113A">
            <w:rPr>
              <w:rFonts w:ascii="Times New Roman" w:hAnsi="Times New Roman"/>
              <w:sz w:val="24"/>
              <w:szCs w:val="24"/>
              <w:lang w:val="pt-PT"/>
            </w:rPr>
            <w:t>_h^u-D_h</w:t>
          </w:r>
        </w:p>
        <w:p w14:paraId="64EA4567"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Parte Especial Sección 4.4 Giros de Equity</w:t>
          </w:r>
        </w:p>
        <w:p w14:paraId="0A755E15"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 xml:space="preserve">El Concesionario deberá girar como mínimo a la Cuenta Proyecto los siguientes valores dentro de los plazos que a continuación se establecen: (…) </w:t>
          </w:r>
        </w:p>
        <w:p w14:paraId="53A7010D"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 Las fechas máximas y montos mínimos de los Giros 3 a 11 indicados en la tabla anterior podrán ser modificados, siempre que: i) dicho cambio sea autorizado expresamente por los Prestamistas, ii) se acredite tal autorización expresa en los documentos del Cierre Financiero, y iii) la suma de los montos mínimos de los Giros 3 a 11 modificados –expresados en Pesos del Mes de Referencia- sea igual o mayor al setenta por ciento (70%) de la suma total de los Giros 1 a 11 establecidos en esta Parte Especial.</w:t>
          </w:r>
        </w:p>
        <w:p w14:paraId="48E03D1E"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A la fecha el Concesionario ha dado cabal cumplimiento a su obligación de giros de equity acumulando un total de $ 603.528.636.794 pesos del mes de referencia (Dic 2013), equivalentes a un total de $730.198.438.891 pesos moneda corriente.</w:t>
          </w:r>
        </w:p>
        <w:p w14:paraId="5D95893B"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Parte Especial Sección 4.5 Fondeos Subcuentas del Patrimonio Autónomo:</w:t>
          </w:r>
        </w:p>
        <w:p w14:paraId="4CBE7466"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Fondeos Subcuenta PREDIOS</w:t>
          </w:r>
        </w:p>
        <w:p w14:paraId="41845056"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lastRenderedPageBreak/>
            <w:t>Total, aportes realizados, corresponde al 153,36% del valor estimado descrito en el numeral 7.2 literal (d) (i) de la parte General del Contrato, en pesos del mes de referencia $188.314.241.101,77, en pesos corrientes 229.860.712.574,40</w:t>
          </w:r>
        </w:p>
        <w:p w14:paraId="0C0AC092"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Como se detalla, el concesionario ha dado cumplimiento a los fondeos contractuales respecto a la subcuenta predial hasta la franja de riesgo correspondiente a él (120%), y consecuentemente ha realizado los fondeos requeridos frente a la necesidad y a la materialización de riesgos por sobrecostos en la adquisición predial de tal forma que acumula un total de 153.36% a cierre de la vigencia 2023.</w:t>
          </w:r>
        </w:p>
        <w:p w14:paraId="138A65E7"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Fondeos Subcuenta COMPENSACIONES AMBIENTALES</w:t>
          </w:r>
        </w:p>
        <w:p w14:paraId="3F73FF9F"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El Concesionario ha dado cumplimiento a la totalidad de los fondeos contractuales de la subcuenta de Compensaciones Ambientales por un total de $56.570.576.838 pesos del mes de referencia (Dic 2013), equivalentes a $69.466.767.787 pesos moneda corriente.</w:t>
          </w:r>
        </w:p>
        <w:p w14:paraId="60225326"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Fondeos Subcuenta INTERVENTORÍA Y SUPERVISIÓN</w:t>
          </w:r>
        </w:p>
        <w:p w14:paraId="1FDCB139"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Al cierre de la vigencia del año 2023 el concesionario ha dado cumplimiento a la totalidad de los fondeos contractuales de la subcuenta de Interventoría y supervisión por un total de 51.558.691.025,94 pesos del mes de referencia (Dic 2013), equivalentes a $67.485.562.065 pesos moneda corriente.</w:t>
          </w:r>
        </w:p>
        <w:p w14:paraId="70879811"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Fondeos Subcuenta SOPORTE CONTRACTUAL</w:t>
          </w:r>
        </w:p>
        <w:p w14:paraId="1CE1C581"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Al cierre de la vigencia del año 2023 el concesionario ha dado cumplimiento a la totalidad de los fondeos contractuales de la subcuenta de Soporte Contractual por un total de $2.884.000.000 pesos del mes de referencia (Dic 2013), equivalentes a $ 3.762.445.347 pesos moneda corriente.</w:t>
          </w:r>
        </w:p>
        <w:p w14:paraId="1C62AD1F"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Fondeos Subcuenta AMIGABLE COMPOSICIÓN</w:t>
          </w:r>
        </w:p>
        <w:p w14:paraId="10984E23"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Al cierre de la vigencia del año 2023 el concesionario ha dado cumplimiento a la totalidad de los fondeos contractuales de la subcuenta MASC por un total de $3.065.280.000 pesos del mes de referencia (Dic 2013), equivalentes a $ 3.997.882.394 pesos moneda corriente</w:t>
          </w:r>
        </w:p>
        <w:p w14:paraId="3DFA6051"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Fondeos Subcuenta REDES</w:t>
          </w:r>
        </w:p>
        <w:p w14:paraId="494DE7D4"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El concesionario ha dado cumplimiento a los fondeos contractuales respecto a la subcuenta redes hasta la franja de riesgo correspondiente a él (120%), y consecuentemente ha realizado los fondeos requeridos frente a la necesidad y a la materialización de riesgos por sobrecostos en la protección y traslado de redes, de tal forma que acumula un total de 147.25% a cierre de la vigencia 2023, en pesos del mes de referencia $16.658.578.233,62 y en pesos corrientes $20.946.099.001,82.</w:t>
          </w:r>
        </w:p>
        <w:p w14:paraId="4CC39924"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Parte Especial, numeral 4.5 (d) Subcuenta Aportes ANI</w:t>
          </w:r>
        </w:p>
        <w:p w14:paraId="06D6CDDA"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 xml:space="preserve">En la siguiente tabla se establecen los valores correspondientes a los Aportes ANI, así como las fechas máximas de desembolso para cada uno de ellos. Los valores están expresados en </w:t>
          </w:r>
          <w:r w:rsidRPr="0020113A">
            <w:rPr>
              <w:rFonts w:ascii="Times New Roman" w:hAnsi="Times New Roman"/>
              <w:sz w:val="24"/>
              <w:szCs w:val="24"/>
              <w:lang w:val="es-MX"/>
            </w:rPr>
            <w:lastRenderedPageBreak/>
            <w:t>Pesos del Mes de Referencia y serán actualizados, para el cálculo de la Retribución, como se prevé en la Sección 4.5 (d) de esta Parte Especial.</w:t>
          </w:r>
        </w:p>
        <w:p w14:paraId="79A3DA84"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Al final del año 2023 la ANI efectúo una consignación por valor de $202.670.522.046,00 pesos como abono a la vigencia 2023. El monto contractual correspondiente a la vigencia futura expresada en pesos del mes de referencia es de $197.929.558.486,00</w:t>
          </w:r>
        </w:p>
        <w:p w14:paraId="1E02EE3F"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Términos de Calendario: </w:t>
          </w:r>
          <w:r w:rsidRPr="0020113A">
            <w:rPr>
              <w:rFonts w:ascii="Times New Roman" w:hAnsi="Times New Roman"/>
              <w:sz w:val="24"/>
              <w:szCs w:val="24"/>
              <w:lang w:val="es-MX"/>
            </w:rPr>
            <w:t>Parte Especial Sección 4.2 Estructura Tarifaria</w:t>
          </w:r>
        </w:p>
        <w:p w14:paraId="717A96C3"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 xml:space="preserve">Para efectos de lo dispuesto en la Sección 1.139 de la Parte General, y de acuerdo con lo establecido por la Resolución No.0001920 del 23 de junio de 2015, la estructura tarifaria que regirá el Proyecto, no incluye las tasas correspondientes al Fondo de Seguridad Vial o cualquier sobretasa o similar que tenga destinación diferente al proyecto y estará compuesta por las siguientes tarifas: (…) </w:t>
          </w:r>
        </w:p>
        <w:p w14:paraId="06F6B9AB"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 xml:space="preserve">Mintransporte, Resolución No.20213040020955 de 20-05-2021 </w:t>
          </w:r>
        </w:p>
        <w:p w14:paraId="423D8E4B"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“Por la cual se establecen las tarifas a cobrar en la estación de peaje denominada el Placer ubicada en el PR 49+560 del proyecto de asociación publico privada de iniciativa pública que pertenece al corredor vial Rumichaca – Pasto, y se dictan otras disposiciones”</w:t>
          </w:r>
        </w:p>
        <w:p w14:paraId="4E889D6D"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Mintransporte, Resolución No.20213040021155 de 21-05-2021</w:t>
          </w:r>
        </w:p>
        <w:p w14:paraId="6A0C31B1"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 xml:space="preserve"> “Por la cual se modifica la Resolución No.20213040020955 del 20 de mayo de 2021 “Por la cual se establecen las tarifas a cobrar en la estación de peaje denominada el Placer ubicada en el PR 49+560 del proyecto de asociación publico privada de iniciativa pública que pertenece al corredor vial Rumichaca – Pasto, y se dictan otras disposiciones”</w:t>
          </w:r>
        </w:p>
        <w:p w14:paraId="70DB3DFF"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 xml:space="preserve">Mediante la suscripción de Actas de Acuerdo, el incremento tarifario de enero de 2022 fue aplazado  y la Agencia se fundamentó en generar un alivio a los usuarios de la vía, dado el grave impacto que en la economía Nacional tuvo la Pandemia del Covid-19 y los hechos notorios de alteración del orden público que se presentaron en el país, como consecuencia de la crisis económica generada por la Pandemia, a lo largo de todo el territorio Nacional, lo anterior representaría un alivio para el sector transportador del corredor y evitaría un problema de orden social, dado que es bien sabido el inconformismo de dicho gremio por las alzas de tarifas y los impactos económicos que la Pandemia tuvo en el comercio local y las economías familiares de todas las regiones del País. </w:t>
          </w:r>
        </w:p>
        <w:p w14:paraId="25E652A7"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Que, mediante el Decreto 050 de 2023, el Ministerio de Transporte ordenó, a partir de la vigencia del mismo (15 de enero de 2023), no incrementar las tarifas de peaje a los vehículos que transiten por el territorio nacional por las Estaciones de Peaje a cargo del Instituto Nacional de Vías - INVIAS y de la Agencia Nacional de Infraestructura. Lo anterior, implicó para el CONCESIONARIO, no aplicar a las tarifas de peaje previstas en la Estación de Peaje El Placer, el incremento correspondiente al IPC y el incremento porcentual y gradual para el año 2023 establecido en las Resoluciones 20213040020955 de 20 de mayo de 2021 y No. 20213040021155 de 21 de mayo de 2021.</w:t>
          </w:r>
        </w:p>
        <w:p w14:paraId="0FFDA39E"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Parte Especial Sección 4.3 Cálculo de la Retribución</w:t>
          </w:r>
        </w:p>
        <w:p w14:paraId="107A9ACD"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lastRenderedPageBreak/>
            <w:t>(a) El cálculo de la Retribución por Unidad Funcional para cada Mes será efectuado de acuerdo con la siguiente fórmula:</w:t>
          </w:r>
        </w:p>
        <w:p w14:paraId="4A915901" w14:textId="77777777" w:rsidR="007803E3" w:rsidRPr="0020113A" w:rsidRDefault="007803E3" w:rsidP="007803E3">
          <w:pPr>
            <w:jc w:val="center"/>
            <w:rPr>
              <w:rFonts w:ascii="Times New Roman" w:hAnsi="Times New Roman"/>
              <w:sz w:val="24"/>
              <w:szCs w:val="24"/>
              <w:lang w:val="pt-PT"/>
            </w:rPr>
          </w:pPr>
          <w:r w:rsidRPr="0020113A">
            <w:rPr>
              <w:rFonts w:ascii="Times New Roman" w:eastAsia="Cambria Math" w:hAnsi="Times New Roman"/>
              <w:sz w:val="24"/>
              <w:szCs w:val="24"/>
              <w:lang w:val="es-MX"/>
            </w:rPr>
            <w:t>〖</w:t>
          </w:r>
          <w:r w:rsidRPr="0020113A">
            <w:rPr>
              <w:rFonts w:ascii="Times New Roman" w:hAnsi="Times New Roman"/>
              <w:sz w:val="24"/>
              <w:szCs w:val="24"/>
              <w:lang w:val="pt-PT"/>
            </w:rPr>
            <w:t>R_h^u</w:t>
          </w:r>
          <w:r w:rsidRPr="0020113A">
            <w:rPr>
              <w:rFonts w:ascii="Times New Roman" w:eastAsia="Cambria Math" w:hAnsi="Times New Roman"/>
              <w:sz w:val="24"/>
              <w:szCs w:val="24"/>
              <w:lang w:val="es-MX"/>
            </w:rPr>
            <w:t>〗</w:t>
          </w:r>
          <w:r w:rsidRPr="0020113A">
            <w:rPr>
              <w:rFonts w:ascii="Times New Roman" w:hAnsi="Times New Roman"/>
              <w:sz w:val="24"/>
              <w:szCs w:val="24"/>
              <w:lang w:val="pt-PT"/>
            </w:rPr>
            <w:t>_ = Aportes_h^u+Peajes_h^u+EC_h^u-D_h</w:t>
          </w:r>
        </w:p>
        <w:p w14:paraId="45104D7C"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Otrosí No. 6 (28-06-2021) Cláusula Cuarta</w:t>
          </w:r>
        </w:p>
        <w:p w14:paraId="1D796AE3"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“MODIFICAR la sección 4.3(a) de la Parte Especial del Contrato de Concesión No. 015 de 2015, en el sentido de incluir la variable DICP_h^u a la fórmula del Cálculo de la Retribución, que para todos los efectos legales quedará así:</w:t>
          </w:r>
        </w:p>
        <w:p w14:paraId="56063BF6" w14:textId="77777777" w:rsidR="007803E3" w:rsidRPr="0020113A" w:rsidRDefault="007803E3" w:rsidP="007803E3">
          <w:pPr>
            <w:jc w:val="center"/>
            <w:rPr>
              <w:rFonts w:ascii="Times New Roman" w:hAnsi="Times New Roman"/>
              <w:sz w:val="24"/>
              <w:szCs w:val="24"/>
              <w:lang w:val="es-MX"/>
            </w:rPr>
          </w:pPr>
          <w:r w:rsidRPr="0020113A">
            <w:rPr>
              <w:rFonts w:ascii="Times New Roman" w:eastAsia="Cambria Math" w:hAnsi="Times New Roman"/>
              <w:sz w:val="24"/>
              <w:szCs w:val="24"/>
              <w:lang w:val="es-MX"/>
            </w:rPr>
            <w:t>〖</w:t>
          </w:r>
          <w:r w:rsidRPr="0020113A">
            <w:rPr>
              <w:rFonts w:ascii="Times New Roman" w:hAnsi="Times New Roman"/>
              <w:sz w:val="24"/>
              <w:szCs w:val="24"/>
              <w:lang w:val="es-MX"/>
            </w:rPr>
            <w:t>R_h^u</w:t>
          </w:r>
          <w:r w:rsidRPr="0020113A">
            <w:rPr>
              <w:rFonts w:ascii="Times New Roman" w:eastAsia="Cambria Math" w:hAnsi="Times New Roman"/>
              <w:sz w:val="24"/>
              <w:szCs w:val="24"/>
              <w:lang w:val="es-MX"/>
            </w:rPr>
            <w:t>〗</w:t>
          </w:r>
          <w:r w:rsidRPr="0020113A">
            <w:rPr>
              <w:rFonts w:ascii="Times New Roman" w:hAnsi="Times New Roman"/>
              <w:sz w:val="24"/>
              <w:szCs w:val="24"/>
              <w:lang w:val="es-MX"/>
            </w:rPr>
            <w:t>_ = Aportes_h^u+Peajes_h^u+EC_h^u-D_(h  )-DICP_h^u</w:t>
          </w:r>
        </w:p>
        <w:p w14:paraId="483740BB"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Parte General Sección 3.1 Retribución</w:t>
          </w:r>
        </w:p>
        <w:p w14:paraId="0ABB2326"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 xml:space="preserve"> (d) La Retribución del Concesionario –y de la Compensación Especial, cuando sea aplicable– será calculada entre el Interventor y el Concesionario, dentro de los primeros diez (10) Días del Mes siguiente al Mes respecto del cual se calcula la Retribución. El Interventor y el Concesionario consignarán las bases de cálculo en el Acta de Cálculo de la Retribución.</w:t>
          </w:r>
        </w:p>
        <w:p w14:paraId="48401AC8"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 xml:space="preserve">(e) El Acta de Cálculo de la Retribución será remitida por el Interventor a la ANI y a la Fiduciaria, a más tardar al Día Hábil siguiente a su suscripción. De no haber objeción por parte de la ANI dentro de los doce (12) Días Hábiles siguientes a la recepción de dicha acta, la Fiduciaria procederá a la transferencia de la Retribución. Lo anterior sin perjuicio de que, si con posterioridad se identifican errores en el cálculo de la Retribución, cualquiera de las Partes podrá solicitar la corrección correspondiente, la cual se reconocerá –actualizada con la variación del IPC– en la Retribución inmediatamente siguiente de la Unidad Funcional respecto de la cual se haya identificado el error. </w:t>
          </w:r>
        </w:p>
        <w:p w14:paraId="5E504A6A"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Parte Especial Sección 4.5 Fondeo de Subcuentas del Patrimonio Autónomo</w:t>
          </w:r>
        </w:p>
        <w:p w14:paraId="4943A397"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 xml:space="preserve">Se han realizado los fondeos a las cuentas del fideicomiso, en las fechas establecidas en el contrato, como son:  Predios, Compensaciones Ambientales, Redes, Aportes ANI, Interventoría y Supervisión, Soporte contractual, Amigable Composición.  </w:t>
          </w:r>
        </w:p>
        <w:p w14:paraId="42E7C4F4"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Parte Especial Sección 4.6 Cálculo de la Diferencia de Recaudo</w:t>
          </w:r>
        </w:p>
        <w:p w14:paraId="507B8A19"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 xml:space="preserve">La fórmula a la que se refiere la Sección 3.4(b)(ii) de la Parte General para el cálculo del DR8, DR13 y DR18, es la siguiente: </w:t>
          </w:r>
        </w:p>
        <w:p w14:paraId="2E6DC989" w14:textId="77777777" w:rsidR="007803E3" w:rsidRPr="0020113A" w:rsidRDefault="007803E3" w:rsidP="007803E3">
          <w:pPr>
            <w:jc w:val="center"/>
            <w:rPr>
              <w:rFonts w:ascii="Times New Roman" w:hAnsi="Times New Roman"/>
              <w:sz w:val="24"/>
              <w:szCs w:val="24"/>
              <w:lang w:val="es-MX"/>
            </w:rPr>
          </w:pPr>
          <w:r w:rsidRPr="0020113A">
            <w:rPr>
              <w:rFonts w:ascii="Times New Roman" w:eastAsia="Cambria Math" w:hAnsi="Times New Roman"/>
              <w:sz w:val="24"/>
              <w:szCs w:val="24"/>
              <w:lang w:val="es-MX"/>
            </w:rPr>
            <w:t>〖</w:t>
          </w:r>
          <w:r w:rsidRPr="0020113A">
            <w:rPr>
              <w:rFonts w:ascii="Times New Roman" w:hAnsi="Times New Roman"/>
              <w:sz w:val="24"/>
              <w:szCs w:val="24"/>
              <w:lang w:val="es-MX"/>
            </w:rPr>
            <w:t>DR</w:t>
          </w:r>
          <w:r w:rsidRPr="0020113A">
            <w:rPr>
              <w:rFonts w:ascii="Times New Roman" w:eastAsia="Cambria Math" w:hAnsi="Times New Roman"/>
              <w:sz w:val="24"/>
              <w:szCs w:val="24"/>
              <w:lang w:val="es-MX"/>
            </w:rPr>
            <w:t>〗</w:t>
          </w:r>
          <w:r w:rsidRPr="0020113A">
            <w:rPr>
              <w:rFonts w:ascii="Times New Roman" w:hAnsi="Times New Roman"/>
              <w:sz w:val="24"/>
              <w:szCs w:val="24"/>
              <w:lang w:val="es-MX"/>
            </w:rPr>
            <w:t>_F= ∆_F*</w:t>
          </w:r>
          <w:r w:rsidRPr="0020113A">
            <w:rPr>
              <w:rFonts w:ascii="Times New Roman" w:eastAsia="Cambria Math" w:hAnsi="Times New Roman"/>
              <w:sz w:val="24"/>
              <w:szCs w:val="24"/>
              <w:lang w:val="es-MX"/>
            </w:rPr>
            <w:t>〖</w:t>
          </w:r>
          <w:r w:rsidRPr="0020113A">
            <w:rPr>
              <w:rFonts w:ascii="Times New Roman" w:hAnsi="Times New Roman"/>
              <w:sz w:val="24"/>
              <w:szCs w:val="24"/>
              <w:lang w:val="es-MX"/>
            </w:rPr>
            <w:t>ICP</w:t>
          </w:r>
          <w:r w:rsidRPr="0020113A">
            <w:rPr>
              <w:rFonts w:ascii="Times New Roman" w:eastAsia="Cambria Math" w:hAnsi="Times New Roman"/>
              <w:sz w:val="24"/>
              <w:szCs w:val="24"/>
              <w:lang w:val="es-MX"/>
            </w:rPr>
            <w:t>〗</w:t>
          </w:r>
          <w:r w:rsidRPr="0020113A">
            <w:rPr>
              <w:rFonts w:ascii="Times New Roman" w:hAnsi="Times New Roman"/>
              <w:sz w:val="24"/>
              <w:szCs w:val="24"/>
              <w:lang w:val="es-MX"/>
            </w:rPr>
            <w:t>_f*(</w:t>
          </w:r>
          <w:r w:rsidRPr="0020113A">
            <w:rPr>
              <w:rFonts w:ascii="Times New Roman" w:eastAsia="Cambria Math" w:hAnsi="Times New Roman"/>
              <w:sz w:val="24"/>
              <w:szCs w:val="24"/>
              <w:lang w:val="es-MX"/>
            </w:rPr>
            <w:t>〖</w:t>
          </w:r>
          <w:r w:rsidRPr="0020113A">
            <w:rPr>
              <w:rFonts w:ascii="Times New Roman" w:hAnsi="Times New Roman"/>
              <w:sz w:val="24"/>
              <w:szCs w:val="24"/>
              <w:lang w:val="es-MX"/>
            </w:rPr>
            <w:t>IPC</w:t>
          </w:r>
          <w:r w:rsidRPr="0020113A">
            <w:rPr>
              <w:rFonts w:ascii="Times New Roman" w:eastAsia="Cambria Math" w:hAnsi="Times New Roman"/>
              <w:sz w:val="24"/>
              <w:szCs w:val="24"/>
              <w:lang w:val="es-MX"/>
            </w:rPr>
            <w:t>〗</w:t>
          </w:r>
          <w:r w:rsidRPr="0020113A">
            <w:rPr>
              <w:rFonts w:ascii="Times New Roman" w:hAnsi="Times New Roman"/>
              <w:sz w:val="24"/>
              <w:szCs w:val="24"/>
              <w:lang w:val="es-MX"/>
            </w:rPr>
            <w:t>_f/</w:t>
          </w:r>
          <w:r w:rsidRPr="0020113A">
            <w:rPr>
              <w:rFonts w:ascii="Times New Roman" w:eastAsia="Cambria Math" w:hAnsi="Times New Roman"/>
              <w:sz w:val="24"/>
              <w:szCs w:val="24"/>
              <w:lang w:val="es-MX"/>
            </w:rPr>
            <w:t>〖</w:t>
          </w:r>
          <w:r w:rsidRPr="0020113A">
            <w:rPr>
              <w:rFonts w:ascii="Times New Roman" w:hAnsi="Times New Roman"/>
              <w:sz w:val="24"/>
              <w:szCs w:val="24"/>
              <w:lang w:val="es-MX"/>
            </w:rPr>
            <w:t>IPC</w:t>
          </w:r>
          <w:r w:rsidRPr="0020113A">
            <w:rPr>
              <w:rFonts w:ascii="Times New Roman" w:eastAsia="Cambria Math" w:hAnsi="Times New Roman"/>
              <w:sz w:val="24"/>
              <w:szCs w:val="24"/>
              <w:lang w:val="es-MX"/>
            </w:rPr>
            <w:t>〗</w:t>
          </w:r>
          <w:r w:rsidRPr="0020113A">
            <w:rPr>
              <w:rFonts w:ascii="Times New Roman" w:hAnsi="Times New Roman"/>
              <w:sz w:val="24"/>
              <w:szCs w:val="24"/>
              <w:lang w:val="es-MX"/>
            </w:rPr>
            <w:t xml:space="preserve">_r ) </w:t>
          </w:r>
          <w:r w:rsidRPr="0020113A">
            <w:rPr>
              <w:rFonts w:ascii="Times New Roman" w:eastAsia="Cambria Math" w:hAnsi="Times New Roman"/>
              <w:sz w:val="24"/>
              <w:szCs w:val="24"/>
              <w:lang w:val="es-MX"/>
            </w:rPr>
            <w:t>〖</w:t>
          </w:r>
          <w:r w:rsidRPr="0020113A">
            <w:rPr>
              <w:rFonts w:ascii="Times New Roman" w:hAnsi="Times New Roman"/>
              <w:sz w:val="24"/>
              <w:szCs w:val="24"/>
              <w:lang w:val="es-MX"/>
            </w:rPr>
            <w:t>*(1+TDI)</w:t>
          </w:r>
          <w:r w:rsidRPr="0020113A">
            <w:rPr>
              <w:rFonts w:ascii="Times New Roman" w:eastAsia="Cambria Math" w:hAnsi="Times New Roman"/>
              <w:sz w:val="24"/>
              <w:szCs w:val="24"/>
              <w:lang w:val="es-MX"/>
            </w:rPr>
            <w:t>〗</w:t>
          </w:r>
          <w:r w:rsidRPr="0020113A">
            <w:rPr>
              <w:rFonts w:ascii="Times New Roman" w:hAnsi="Times New Roman"/>
              <w:sz w:val="24"/>
              <w:szCs w:val="24"/>
              <w:lang w:val="es-MX"/>
            </w:rPr>
            <w:t>^(f+q )</w:t>
          </w:r>
        </w:p>
        <w:p w14:paraId="44D94830"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Fuente: Elaboración Interventoría a partir de la Parte Especial Capítulo II Tabla de Referencias a la Parte General del Contrato de Concesión</w:t>
          </w:r>
        </w:p>
        <w:p w14:paraId="5EB334D9" w14:textId="77777777" w:rsidR="007803E3" w:rsidRPr="0020113A" w:rsidRDefault="007803E3" w:rsidP="007803E3">
          <w:pPr>
            <w:jc w:val="both"/>
            <w:rPr>
              <w:rFonts w:ascii="Times New Roman" w:hAnsi="Times New Roman"/>
              <w:b/>
              <w:sz w:val="24"/>
              <w:szCs w:val="24"/>
              <w:lang w:val="es-MX"/>
            </w:rPr>
          </w:pPr>
          <w:r w:rsidRPr="0020113A">
            <w:rPr>
              <w:rFonts w:ascii="Times New Roman" w:hAnsi="Times New Roman"/>
              <w:sz w:val="24"/>
              <w:szCs w:val="24"/>
              <w:lang w:val="es-MX"/>
            </w:rPr>
            <w:t>Al final del mes de septiembre, llegado al año 8, se efectuó el cálculo del DR8 con base en el VPIP acumulado a la fecha precitada. El valor conciliado y verificado por las partes asciende a: DR8 = $559.328.871.628.</w:t>
          </w:r>
        </w:p>
        <w:p w14:paraId="1BFF59C0" w14:textId="77777777" w:rsidR="007803E3" w:rsidRPr="0020113A" w:rsidRDefault="007803E3" w:rsidP="007803E3">
          <w:pPr>
            <w:rPr>
              <w:rFonts w:ascii="Times New Roman" w:hAnsi="Times New Roman"/>
              <w:sz w:val="24"/>
              <w:szCs w:val="24"/>
              <w:lang w:val="es-MX"/>
            </w:rPr>
          </w:pPr>
          <w:r w:rsidRPr="0020113A">
            <w:rPr>
              <w:rFonts w:ascii="Times New Roman" w:hAnsi="Times New Roman"/>
              <w:b/>
              <w:sz w:val="24"/>
              <w:szCs w:val="24"/>
              <w:lang w:val="es-MX"/>
            </w:rPr>
            <w:t xml:space="preserve">Términos de Certeza de Flujos de Efectivo Futuros: </w:t>
          </w:r>
          <w:r w:rsidRPr="0020113A">
            <w:rPr>
              <w:rFonts w:ascii="Times New Roman" w:hAnsi="Times New Roman"/>
              <w:sz w:val="24"/>
              <w:szCs w:val="24"/>
              <w:lang w:val="es-MX"/>
            </w:rPr>
            <w:t>Parte General Sección 1.162 VPIP</w:t>
          </w:r>
        </w:p>
        <w:p w14:paraId="2E22EA53" w14:textId="77777777" w:rsidR="007803E3" w:rsidRPr="0020113A" w:rsidRDefault="007803E3" w:rsidP="007803E3">
          <w:pPr>
            <w:rPr>
              <w:rFonts w:ascii="Times New Roman" w:hAnsi="Times New Roman"/>
              <w:sz w:val="24"/>
              <w:szCs w:val="24"/>
              <w:lang w:val="es-MX"/>
            </w:rPr>
          </w:pPr>
          <w:r w:rsidRPr="0020113A">
            <w:rPr>
              <w:rFonts w:ascii="Times New Roman" w:hAnsi="Times New Roman"/>
              <w:sz w:val="24"/>
              <w:szCs w:val="24"/>
              <w:lang w:val="es-MX"/>
            </w:rPr>
            <w:lastRenderedPageBreak/>
            <w:t>Es el valor presente al Mes de Referencia del Recaudo de Peaje, cuyo monto se establece en la Parte Especial</w:t>
          </w:r>
        </w:p>
        <w:p w14:paraId="0C844840" w14:textId="77777777" w:rsidR="007803E3" w:rsidRPr="0020113A" w:rsidRDefault="007803E3" w:rsidP="007803E3">
          <w:pPr>
            <w:rPr>
              <w:rFonts w:ascii="Times New Roman" w:hAnsi="Times New Roman"/>
              <w:sz w:val="24"/>
              <w:szCs w:val="24"/>
              <w:lang w:val="es-MX"/>
            </w:rPr>
          </w:pPr>
          <w:r w:rsidRPr="0020113A">
            <w:rPr>
              <w:rFonts w:ascii="Times New Roman" w:hAnsi="Times New Roman"/>
              <w:sz w:val="24"/>
              <w:szCs w:val="24"/>
              <w:lang w:val="es-MX"/>
            </w:rPr>
            <w:t>Parte Especial Capítulo II Tabla de Referencias a la Parte General</w:t>
          </w:r>
        </w:p>
        <w:p w14:paraId="49D46769" w14:textId="77777777" w:rsidR="007803E3" w:rsidRPr="0020113A" w:rsidRDefault="007803E3" w:rsidP="00A906C1">
          <w:pPr>
            <w:jc w:val="both"/>
            <w:rPr>
              <w:rFonts w:ascii="Times New Roman" w:hAnsi="Times New Roman"/>
              <w:sz w:val="24"/>
              <w:szCs w:val="24"/>
              <w:lang w:val="es-MX"/>
            </w:rPr>
          </w:pPr>
          <w:r w:rsidRPr="0020113A">
            <w:rPr>
              <w:rFonts w:ascii="Times New Roman" w:hAnsi="Times New Roman"/>
              <w:sz w:val="24"/>
              <w:szCs w:val="24"/>
              <w:lang w:val="es-MX"/>
            </w:rPr>
            <w:t xml:space="preserve">El VPIP equivale a un billón ciento setenta y dos mil cuatrocientos noventa y cinco millones ciento ochenta y tres mil cuatrocientos cinco ($1.172.495.183.405) Pesos del Mes de Referencia </w:t>
          </w:r>
        </w:p>
        <w:p w14:paraId="74900EC4" w14:textId="77777777" w:rsidR="007803E3" w:rsidRPr="0020113A" w:rsidRDefault="007803E3" w:rsidP="007803E3">
          <w:pPr>
            <w:rPr>
              <w:rFonts w:ascii="Times New Roman" w:hAnsi="Times New Roman"/>
              <w:sz w:val="24"/>
              <w:szCs w:val="24"/>
              <w:lang w:val="es-MX"/>
            </w:rPr>
          </w:pPr>
          <w:r w:rsidRPr="0020113A">
            <w:rPr>
              <w:rFonts w:ascii="Times New Roman" w:hAnsi="Times New Roman"/>
              <w:sz w:val="24"/>
              <w:szCs w:val="24"/>
              <w:lang w:val="es-MX"/>
            </w:rPr>
            <w:t xml:space="preserve">Al cierre del presente informe Dic 2023 se presenta un acumulado en términos de VPIP de $121.592.882.204,94. </w:t>
          </w:r>
        </w:p>
        <w:p w14:paraId="55937D6C" w14:textId="77777777" w:rsidR="007803E3" w:rsidRPr="0020113A" w:rsidRDefault="007803E3" w:rsidP="007803E3">
          <w:pPr>
            <w:rPr>
              <w:rFonts w:ascii="Times New Roman" w:hAnsi="Times New Roman"/>
              <w:sz w:val="24"/>
              <w:szCs w:val="24"/>
              <w:lang w:val="es-MX"/>
            </w:rPr>
          </w:pPr>
          <w:r w:rsidRPr="0020113A">
            <w:rPr>
              <w:rFonts w:ascii="Times New Roman" w:hAnsi="Times New Roman"/>
              <w:sz w:val="24"/>
              <w:szCs w:val="24"/>
              <w:lang w:val="es-MX"/>
            </w:rPr>
            <w:t>Parte General Sección 3.4 Obtención del VPIP</w:t>
          </w:r>
        </w:p>
        <w:p w14:paraId="163F7AC5" w14:textId="77777777" w:rsidR="007803E3" w:rsidRPr="0020113A" w:rsidRDefault="007803E3" w:rsidP="007803E3">
          <w:pPr>
            <w:rPr>
              <w:rFonts w:ascii="Times New Roman" w:hAnsi="Times New Roman"/>
              <w:sz w:val="24"/>
              <w:szCs w:val="24"/>
              <w:lang w:val="es-MX"/>
            </w:rPr>
          </w:pPr>
          <w:r w:rsidRPr="0020113A">
            <w:rPr>
              <w:rFonts w:ascii="Times New Roman" w:hAnsi="Times New Roman"/>
              <w:sz w:val="24"/>
              <w:szCs w:val="24"/>
              <w:lang w:val="es-MX"/>
            </w:rPr>
            <w:t>Cálculo del VPIP. En cualquier momento de ejecución del Contrato (Mes “m”) se podrá calcular el valor presente al Mes de Referencia del VPIP acumulado hasta ese momento (VPIPm), conforme a la siguiente fórmula:</w:t>
          </w:r>
        </w:p>
        <w:p w14:paraId="1C558593" w14:textId="77777777" w:rsidR="007803E3" w:rsidRPr="0020113A" w:rsidRDefault="007803E3" w:rsidP="007803E3">
          <w:pPr>
            <w:jc w:val="center"/>
            <w:rPr>
              <w:rFonts w:ascii="Times New Roman" w:hAnsi="Times New Roman"/>
              <w:sz w:val="24"/>
              <w:szCs w:val="24"/>
              <w:lang w:val="es-MX"/>
            </w:rPr>
          </w:pPr>
          <w:r w:rsidRPr="0020113A">
            <w:rPr>
              <w:rFonts w:ascii="Times New Roman" w:eastAsia="Cambria Math" w:hAnsi="Times New Roman"/>
              <w:sz w:val="24"/>
              <w:szCs w:val="24"/>
              <w:lang w:val="es-MX"/>
            </w:rPr>
            <w:t>〖</w:t>
          </w:r>
          <w:r w:rsidRPr="0020113A">
            <w:rPr>
              <w:rFonts w:ascii="Times New Roman" w:hAnsi="Times New Roman"/>
              <w:sz w:val="24"/>
              <w:szCs w:val="24"/>
              <w:lang w:val="es-MX"/>
            </w:rPr>
            <w:t>VPIP</w:t>
          </w:r>
          <w:r w:rsidRPr="0020113A">
            <w:rPr>
              <w:rFonts w:ascii="Times New Roman" w:eastAsia="Cambria Math" w:hAnsi="Times New Roman"/>
              <w:sz w:val="24"/>
              <w:szCs w:val="24"/>
              <w:lang w:val="es-MX"/>
            </w:rPr>
            <w:t>〗</w:t>
          </w:r>
          <w:r w:rsidRPr="0020113A">
            <w:rPr>
              <w:rFonts w:ascii="Times New Roman" w:hAnsi="Times New Roman"/>
              <w:sz w:val="24"/>
              <w:szCs w:val="24"/>
              <w:lang w:val="es-MX"/>
            </w:rPr>
            <w:t>_m=∑_(i=1)^m▒</w:t>
          </w:r>
          <w:r w:rsidRPr="0020113A">
            <w:rPr>
              <w:rFonts w:ascii="Times New Roman" w:eastAsia="Cambria Math" w:hAnsi="Times New Roman"/>
              <w:sz w:val="24"/>
              <w:szCs w:val="24"/>
              <w:lang w:val="es-MX"/>
            </w:rPr>
            <w:t>〖</w:t>
          </w:r>
          <w:r w:rsidRPr="0020113A">
            <w:rPr>
              <w:rFonts w:ascii="Times New Roman" w:hAnsi="Times New Roman"/>
              <w:sz w:val="24"/>
              <w:szCs w:val="24"/>
              <w:lang w:val="es-MX"/>
            </w:rPr>
            <w:t xml:space="preserve"> </w:t>
          </w:r>
          <w:r w:rsidRPr="0020113A">
            <w:rPr>
              <w:rFonts w:ascii="Times New Roman" w:eastAsia="Cambria Math" w:hAnsi="Times New Roman"/>
              <w:sz w:val="24"/>
              <w:szCs w:val="24"/>
              <w:lang w:val="es-MX"/>
            </w:rPr>
            <w:t>〖</w:t>
          </w:r>
          <w:r w:rsidRPr="0020113A">
            <w:rPr>
              <w:rFonts w:ascii="Times New Roman" w:hAnsi="Times New Roman"/>
              <w:sz w:val="24"/>
              <w:szCs w:val="24"/>
              <w:lang w:val="es-MX"/>
            </w:rPr>
            <w:t>Peajes</w:t>
          </w:r>
          <w:r w:rsidRPr="0020113A">
            <w:rPr>
              <w:rFonts w:ascii="Times New Roman" w:eastAsia="Cambria Math" w:hAnsi="Times New Roman"/>
              <w:sz w:val="24"/>
              <w:szCs w:val="24"/>
              <w:lang w:val="es-MX"/>
            </w:rPr>
            <w:t>〗</w:t>
          </w:r>
          <w:r w:rsidRPr="0020113A">
            <w:rPr>
              <w:rFonts w:ascii="Times New Roman" w:hAnsi="Times New Roman"/>
              <w:sz w:val="24"/>
              <w:szCs w:val="24"/>
              <w:lang w:val="es-MX"/>
            </w:rPr>
            <w:t>_i/</w:t>
          </w:r>
          <w:r w:rsidRPr="0020113A">
            <w:rPr>
              <w:rFonts w:ascii="Times New Roman" w:eastAsia="Cambria Math" w:hAnsi="Times New Roman"/>
              <w:sz w:val="24"/>
              <w:szCs w:val="24"/>
              <w:lang w:val="es-MX"/>
            </w:rPr>
            <w:t>〖</w:t>
          </w:r>
          <w:r w:rsidRPr="0020113A">
            <w:rPr>
              <w:rFonts w:ascii="Times New Roman" w:hAnsi="Times New Roman"/>
              <w:sz w:val="24"/>
              <w:szCs w:val="24"/>
              <w:lang w:val="es-MX"/>
            </w:rPr>
            <w:t>(1+TDI)</w:t>
          </w:r>
          <w:r w:rsidRPr="0020113A">
            <w:rPr>
              <w:rFonts w:ascii="Times New Roman" w:eastAsia="Cambria Math" w:hAnsi="Times New Roman"/>
              <w:sz w:val="24"/>
              <w:szCs w:val="24"/>
              <w:lang w:val="es-MX"/>
            </w:rPr>
            <w:t>〗</w:t>
          </w:r>
          <w:r w:rsidRPr="0020113A">
            <w:rPr>
              <w:rFonts w:ascii="Times New Roman" w:hAnsi="Times New Roman"/>
              <w:sz w:val="24"/>
              <w:szCs w:val="24"/>
              <w:lang w:val="es-MX"/>
            </w:rPr>
            <w:t xml:space="preserve">^(i+q ) </w:t>
          </w:r>
          <w:r w:rsidRPr="0020113A">
            <w:rPr>
              <w:rFonts w:ascii="Times New Roman" w:eastAsia="Cambria Math" w:hAnsi="Times New Roman"/>
              <w:sz w:val="24"/>
              <w:szCs w:val="24"/>
              <w:lang w:val="es-MX"/>
            </w:rPr>
            <w:t>〗</w:t>
          </w:r>
          <w:r w:rsidRPr="0020113A">
            <w:rPr>
              <w:rFonts w:ascii="Times New Roman" w:hAnsi="Times New Roman"/>
              <w:sz w:val="24"/>
              <w:szCs w:val="24"/>
              <w:lang w:val="es-MX"/>
            </w:rPr>
            <w:t>+∑_(j=1)^J▒∆_(F=5j+3)</w:t>
          </w:r>
        </w:p>
        <w:p w14:paraId="17F2201D" w14:textId="77777777" w:rsidR="007803E3" w:rsidRPr="0020113A" w:rsidRDefault="007803E3" w:rsidP="00E60BAB">
          <w:pPr>
            <w:pStyle w:val="Prrafodelista"/>
            <w:numPr>
              <w:ilvl w:val="0"/>
              <w:numId w:val="63"/>
            </w:numPr>
            <w:spacing w:line="259" w:lineRule="auto"/>
            <w:jc w:val="both"/>
            <w:rPr>
              <w:rFonts w:ascii="Times New Roman" w:hAnsi="Times New Roman"/>
              <w:b/>
              <w:sz w:val="24"/>
              <w:szCs w:val="24"/>
              <w:lang w:val="es-MX"/>
            </w:rPr>
          </w:pPr>
          <w:r w:rsidRPr="0020113A">
            <w:rPr>
              <w:rFonts w:ascii="Times New Roman" w:hAnsi="Times New Roman"/>
              <w:b/>
              <w:sz w:val="24"/>
              <w:szCs w:val="24"/>
              <w:lang w:val="es-MX"/>
            </w:rPr>
            <w:t>Naturaleza y alcance del derecho a utilizar activos especificados, de los aspectos pactados en torno a lo que se espera que el concesionario proporcione en relación con el acuerdo de concesión</w:t>
          </w:r>
        </w:p>
        <w:p w14:paraId="3EC6A57E" w14:textId="77777777" w:rsidR="007803E3" w:rsidRPr="0020113A" w:rsidRDefault="007803E3" w:rsidP="007803E3">
          <w:pPr>
            <w:jc w:val="center"/>
            <w:rPr>
              <w:rFonts w:ascii="Times New Roman" w:hAnsi="Times New Roman"/>
              <w:b/>
              <w:sz w:val="24"/>
              <w:szCs w:val="24"/>
              <w:lang w:val="es-MX"/>
            </w:rPr>
          </w:pPr>
          <w:r w:rsidRPr="0020113A">
            <w:rPr>
              <w:rFonts w:ascii="Times New Roman" w:hAnsi="Times New Roman"/>
              <w:b/>
              <w:sz w:val="24"/>
              <w:szCs w:val="24"/>
              <w:lang w:val="es-MX"/>
            </w:rPr>
            <w:t>Naturaleza y alcance del derecho de uso de los activos</w:t>
          </w:r>
        </w:p>
        <w:p w14:paraId="65C7AC03" w14:textId="77777777" w:rsidR="007803E3" w:rsidRPr="0020113A" w:rsidRDefault="007803E3" w:rsidP="00A906C1">
          <w:pPr>
            <w:jc w:val="both"/>
            <w:rPr>
              <w:rFonts w:ascii="Times New Roman" w:hAnsi="Times New Roman"/>
              <w:sz w:val="24"/>
              <w:szCs w:val="24"/>
              <w:lang w:val="es-MX"/>
            </w:rPr>
          </w:pPr>
          <w:r w:rsidRPr="0020113A">
            <w:rPr>
              <w:rFonts w:ascii="Times New Roman" w:hAnsi="Times New Roman"/>
              <w:b/>
              <w:sz w:val="24"/>
              <w:szCs w:val="24"/>
              <w:lang w:val="es-MX"/>
            </w:rPr>
            <w:t xml:space="preserve">Descripción: </w:t>
          </w:r>
          <w:r w:rsidRPr="0020113A">
            <w:rPr>
              <w:rFonts w:ascii="Times New Roman" w:hAnsi="Times New Roman"/>
              <w:sz w:val="24"/>
              <w:szCs w:val="24"/>
              <w:lang w:val="es-MX"/>
            </w:rPr>
            <w:t>Parte General Sección 3.3 Peajes, Derecho de Recaudo e Ingresos por Explotación Comercial. Se cederá al Concesionario el Derecho de Recaudo sobre la operación de las Estaciones de Peaje en la misma fecha de Entrega de la Infraestructura, salvo por las excepciones establecidas en la Parte Especial.</w:t>
          </w:r>
        </w:p>
        <w:p w14:paraId="381ED5BE" w14:textId="77777777" w:rsidR="007803E3" w:rsidRPr="0020113A" w:rsidRDefault="007803E3" w:rsidP="00A906C1">
          <w:pPr>
            <w:jc w:val="both"/>
            <w:rPr>
              <w:rFonts w:ascii="Times New Roman" w:hAnsi="Times New Roman"/>
              <w:sz w:val="24"/>
              <w:szCs w:val="24"/>
              <w:lang w:val="es-MX"/>
            </w:rPr>
          </w:pPr>
          <w:r w:rsidRPr="0020113A">
            <w:rPr>
              <w:rFonts w:ascii="Times New Roman" w:hAnsi="Times New Roman"/>
              <w:sz w:val="24"/>
              <w:szCs w:val="24"/>
              <w:lang w:val="es-MX"/>
            </w:rPr>
            <w:t>(b) El producto del Recaudo de Peaje será utilizado por la ANI como fuente de recursos para efectos del desembolso de la Retribución del Concesionario en los términos y condiciones señalados en el presente Contrato.</w:t>
          </w:r>
        </w:p>
        <w:p w14:paraId="11FAAE05" w14:textId="77777777" w:rsidR="007803E3" w:rsidRPr="0020113A" w:rsidRDefault="007803E3" w:rsidP="00A906C1">
          <w:pPr>
            <w:jc w:val="both"/>
            <w:rPr>
              <w:rFonts w:ascii="Times New Roman" w:hAnsi="Times New Roman"/>
              <w:sz w:val="24"/>
              <w:szCs w:val="24"/>
              <w:lang w:val="es-MX"/>
            </w:rPr>
          </w:pPr>
          <w:r w:rsidRPr="0020113A">
            <w:rPr>
              <w:rFonts w:ascii="Times New Roman" w:hAnsi="Times New Roman"/>
              <w:sz w:val="24"/>
              <w:szCs w:val="24"/>
              <w:lang w:val="es-MX"/>
            </w:rPr>
            <w:t>(c) El Concesionario tendrá la obligación de llevar a cabo el Recaudo de Peaje de la totalidad de las Estaciones de Peaje del Proyecto cuando le sean entregadas por la ANI, así como también de los valores por contribución al Fondo de Seguridad Vial o cualquier otra sobretasa, contribución o similar que tenga destinación diferente al Proyecto. El producto de los anteriores recaudos será consignado en su totalidad en la Subcuenta Recaudo Peaje y se manejará de conformidad con lo previsto en la Sección 3.14(i)(iii) de esta Parte General.</w:t>
          </w:r>
        </w:p>
        <w:p w14:paraId="58F2C10B" w14:textId="77777777" w:rsidR="007803E3" w:rsidRPr="0020113A" w:rsidRDefault="007803E3" w:rsidP="00A906C1">
          <w:pPr>
            <w:jc w:val="both"/>
            <w:rPr>
              <w:rFonts w:ascii="Times New Roman" w:hAnsi="Times New Roman"/>
              <w:sz w:val="24"/>
              <w:szCs w:val="24"/>
              <w:lang w:val="es-MX"/>
            </w:rPr>
          </w:pPr>
          <w:r w:rsidRPr="0020113A">
            <w:rPr>
              <w:rFonts w:ascii="Times New Roman" w:hAnsi="Times New Roman"/>
              <w:sz w:val="24"/>
              <w:szCs w:val="24"/>
              <w:lang w:val="es-MX"/>
            </w:rPr>
            <w:t xml:space="preserve">En el caso en que el Concesionario cobre una tarifa superior a la autorizada en este Contrato que corresponde a la prevista en la Resolución de Peaje, además de las Multas que de acuerdo con la Parte Especial se causen, el Concesionario deberá consignar el valor cobrado en exceso en la Subcuenta Excedentes ANI. </w:t>
          </w:r>
        </w:p>
        <w:p w14:paraId="73E4AAEB" w14:textId="77777777" w:rsidR="007803E3" w:rsidRPr="0020113A" w:rsidRDefault="007803E3" w:rsidP="007803E3">
          <w:pPr>
            <w:rPr>
              <w:rFonts w:ascii="Times New Roman" w:hAnsi="Times New Roman"/>
              <w:sz w:val="24"/>
              <w:szCs w:val="24"/>
              <w:lang w:val="es-MX"/>
            </w:rPr>
          </w:pPr>
          <w:r w:rsidRPr="0020113A">
            <w:rPr>
              <w:rFonts w:ascii="Times New Roman" w:hAnsi="Times New Roman"/>
              <w:b/>
              <w:sz w:val="24"/>
              <w:szCs w:val="24"/>
              <w:lang w:val="es-MX"/>
            </w:rPr>
            <w:t xml:space="preserve">Observaciones: </w:t>
          </w:r>
          <w:r w:rsidRPr="0020113A">
            <w:rPr>
              <w:rFonts w:ascii="Times New Roman" w:hAnsi="Times New Roman"/>
              <w:sz w:val="24"/>
              <w:szCs w:val="24"/>
              <w:lang w:val="es-MX"/>
            </w:rPr>
            <w:t>No Aplica</w:t>
          </w:r>
        </w:p>
        <w:p w14:paraId="6C9E21A4" w14:textId="77777777" w:rsidR="007803E3" w:rsidRPr="0020113A" w:rsidRDefault="007803E3" w:rsidP="007803E3">
          <w:pPr>
            <w:jc w:val="center"/>
            <w:rPr>
              <w:rFonts w:ascii="Times New Roman" w:hAnsi="Times New Roman"/>
              <w:b/>
              <w:sz w:val="24"/>
              <w:szCs w:val="24"/>
              <w:lang w:val="es-MX"/>
            </w:rPr>
          </w:pPr>
          <w:r w:rsidRPr="0020113A">
            <w:rPr>
              <w:rFonts w:ascii="Times New Roman" w:hAnsi="Times New Roman"/>
              <w:b/>
              <w:sz w:val="24"/>
              <w:szCs w:val="24"/>
              <w:lang w:val="es-MX"/>
            </w:rPr>
            <w:lastRenderedPageBreak/>
            <w:t>Retribución al Concesionario</w:t>
          </w:r>
        </w:p>
        <w:p w14:paraId="097D7091"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Descripción: </w:t>
          </w:r>
          <w:r w:rsidRPr="0020113A">
            <w:rPr>
              <w:rFonts w:ascii="Times New Roman" w:hAnsi="Times New Roman"/>
              <w:sz w:val="24"/>
              <w:szCs w:val="24"/>
              <w:lang w:val="es-MX"/>
            </w:rPr>
            <w:t>El derecho a la Retribución del Concesionario con respecto a cada Unidad Funcional se iniciará a partir de la suscripción de la respectiva Acta de Terminación de Unidad Funcional. La suscripción del Acta de Terminación Parcial de Unidad Funcional cuando sea aplicable de conformidad con este Contrato, dará lugar a la causación y pago de la Compensación Especial.</w:t>
          </w:r>
        </w:p>
        <w:p w14:paraId="2C541204"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Fuentes de la Retribución. Las fuentes para el pago de la Retribución del Concesionario –o de la Compensación Especial, cuando sea aplicable– serán las siguientes:</w:t>
          </w:r>
        </w:p>
        <w:p w14:paraId="3043E4CB"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Aportes ANI</w:t>
          </w:r>
        </w:p>
        <w:p w14:paraId="37AD0235"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Recaudo de Peajes</w:t>
          </w:r>
        </w:p>
        <w:p w14:paraId="033A8985"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Los Ingresos por Explotación Comercial.</w:t>
          </w:r>
        </w:p>
        <w:p w14:paraId="77BA53C2"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 xml:space="preserve">La Retribución correspondiente a cada Unidad Funcional se calculará conforme a la metodología definida en la Parte Especial. </w:t>
          </w:r>
        </w:p>
        <w:p w14:paraId="422C2C45"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Tasa de Retribución: </w:t>
          </w:r>
          <w:r w:rsidRPr="0020113A">
            <w:rPr>
              <w:rFonts w:ascii="Times New Roman" w:hAnsi="Times New Roman"/>
              <w:sz w:val="24"/>
              <w:szCs w:val="24"/>
              <w:lang w:val="es-MX"/>
            </w:rPr>
            <w:t>Parte Especial Capítulo II Tabla de Referencias a la Parte General. La tasa de descuento real (TDI) expresada en términos efectivos mensuales, para efectos de este Proyecto, será de cero coma cincuenta y cinco setenta y uno por ciento (0,5571%)</w:t>
          </w:r>
        </w:p>
        <w:p w14:paraId="33AB281C" w14:textId="77777777" w:rsidR="007803E3" w:rsidRPr="0020113A" w:rsidRDefault="007803E3" w:rsidP="00E60BAB">
          <w:pPr>
            <w:pStyle w:val="Prrafodelista"/>
            <w:numPr>
              <w:ilvl w:val="0"/>
              <w:numId w:val="63"/>
            </w:numPr>
            <w:spacing w:line="259" w:lineRule="auto"/>
            <w:rPr>
              <w:rFonts w:ascii="Times New Roman" w:hAnsi="Times New Roman"/>
              <w:b/>
              <w:sz w:val="24"/>
              <w:szCs w:val="24"/>
              <w:lang w:val="es-MX"/>
            </w:rPr>
          </w:pPr>
          <w:r w:rsidRPr="0020113A">
            <w:rPr>
              <w:rFonts w:ascii="Times New Roman" w:hAnsi="Times New Roman"/>
              <w:b/>
              <w:sz w:val="24"/>
              <w:szCs w:val="24"/>
              <w:lang w:val="es-MX"/>
            </w:rPr>
            <w:t>Derechos a recibir activos especificados al final del acuerdo de concesión</w:t>
          </w:r>
        </w:p>
        <w:p w14:paraId="482E9A3B"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Descripción: </w:t>
          </w:r>
          <w:r w:rsidRPr="0020113A">
            <w:rPr>
              <w:rFonts w:ascii="Times New Roman" w:hAnsi="Times New Roman"/>
              <w:sz w:val="24"/>
              <w:szCs w:val="24"/>
              <w:lang w:val="es-MX"/>
            </w:rPr>
            <w:t xml:space="preserve">Al día siguiente de la fecha de terminación de la etapa de operación y mantenimiento o de la declaratoria de terminación anticipada del contrato el concesionario y el interventor deberán iniciar la verificación final del proyecto con el fin de proceder a la Reversión. </w:t>
          </w:r>
        </w:p>
        <w:p w14:paraId="3EDF9E07"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 El procedimiento para la Reversión incluirá:</w:t>
          </w:r>
        </w:p>
        <w:p w14:paraId="23BE4F28" w14:textId="77777777" w:rsidR="007803E3" w:rsidRPr="0020113A" w:rsidRDefault="007803E3" w:rsidP="007803E3">
          <w:pPr>
            <w:jc w:val="both"/>
            <w:rPr>
              <w:rFonts w:ascii="Times New Roman" w:hAnsi="Times New Roman"/>
              <w:b/>
              <w:sz w:val="24"/>
              <w:szCs w:val="24"/>
              <w:lang w:val="es-MX"/>
            </w:rPr>
          </w:pPr>
          <w:r w:rsidRPr="0020113A">
            <w:rPr>
              <w:rFonts w:ascii="Times New Roman" w:hAnsi="Times New Roman"/>
              <w:sz w:val="24"/>
              <w:szCs w:val="24"/>
              <w:lang w:val="es-MX"/>
            </w:rPr>
            <w:t>(d) La actualización del Inventario de Activos de la Concesión que incluirá todos los bienes inmuebles por adhesión y destinación y en general todos aquellos bienes que (1) hayan sido adquiridos por el Concesionario y se encuentren destinados a las actividades de Operación, lo cual en ningún caso incluirá maquinaria de construcción, (2) hayan sido entregados por la ANI, y (3) que hubieren sido de particulares que hayan sido requeridos por el Proyecto. En todo caso este listado incluirá –como mínimo– el listado de bienes reversibles que aparece en el Apéndice Técnico 2. Así mismo, al momento de la actualización del Inventario de Activos de la Concesión se verificará que los Predios adquiridos se encuentran libres de toda ocupación ilegal.</w:t>
          </w:r>
        </w:p>
        <w:p w14:paraId="56EF787D"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Observaciones: </w:t>
          </w:r>
          <w:r w:rsidRPr="0020113A">
            <w:rPr>
              <w:rFonts w:ascii="Times New Roman" w:hAnsi="Times New Roman"/>
              <w:sz w:val="24"/>
              <w:szCs w:val="24"/>
              <w:lang w:val="es-MX"/>
            </w:rPr>
            <w:t>El listado de activos revertirles se lista en el Apéndice Técnico del Contrato de Concesión.</w:t>
          </w:r>
        </w:p>
        <w:p w14:paraId="3BEE2DC6" w14:textId="62A038E5" w:rsidR="007803E3" w:rsidRPr="0020113A" w:rsidRDefault="00561B6E" w:rsidP="00E60BAB">
          <w:pPr>
            <w:pStyle w:val="Prrafodelista"/>
            <w:numPr>
              <w:ilvl w:val="0"/>
              <w:numId w:val="63"/>
            </w:numPr>
            <w:spacing w:line="259" w:lineRule="auto"/>
            <w:rPr>
              <w:rFonts w:ascii="Times New Roman" w:hAnsi="Times New Roman"/>
              <w:b/>
              <w:sz w:val="24"/>
              <w:szCs w:val="24"/>
              <w:lang w:val="es-MX"/>
            </w:rPr>
          </w:pPr>
          <w:r>
            <w:rPr>
              <w:rFonts w:ascii="Times New Roman" w:hAnsi="Times New Roman"/>
              <w:b/>
              <w:sz w:val="24"/>
              <w:szCs w:val="24"/>
              <w:lang w:val="es-MX"/>
            </w:rPr>
            <w:t>No hay c</w:t>
          </w:r>
          <w:r w:rsidR="007803E3" w:rsidRPr="0020113A">
            <w:rPr>
              <w:rFonts w:ascii="Times New Roman" w:hAnsi="Times New Roman"/>
              <w:b/>
              <w:sz w:val="24"/>
              <w:szCs w:val="24"/>
              <w:lang w:val="es-MX"/>
            </w:rPr>
            <w:t>ambios en el acuerdo de concesión que se realicen durante el periodo fiscal</w:t>
          </w:r>
        </w:p>
        <w:p w14:paraId="0591FE34" w14:textId="77777777" w:rsidR="007803E3" w:rsidRPr="0020113A" w:rsidRDefault="007803E3" w:rsidP="007803E3">
          <w:pPr>
            <w:rPr>
              <w:rFonts w:ascii="Times New Roman" w:hAnsi="Times New Roman"/>
              <w:b/>
              <w:sz w:val="24"/>
              <w:szCs w:val="24"/>
              <w:lang w:val="es-MX"/>
            </w:rPr>
          </w:pPr>
        </w:p>
        <w:p w14:paraId="4CD1B7DA" w14:textId="77777777" w:rsidR="007803E3" w:rsidRPr="0020113A" w:rsidRDefault="007803E3" w:rsidP="007803E3">
          <w:pPr>
            <w:jc w:val="both"/>
            <w:rPr>
              <w:rFonts w:ascii="Times New Roman" w:hAnsi="Times New Roman"/>
              <w:b/>
              <w:sz w:val="24"/>
              <w:szCs w:val="24"/>
              <w:lang w:val="es-MX"/>
            </w:rPr>
          </w:pPr>
          <w:r w:rsidRPr="0020113A">
            <w:rPr>
              <w:rFonts w:ascii="Times New Roman" w:hAnsi="Times New Roman"/>
              <w:b/>
              <w:sz w:val="24"/>
              <w:szCs w:val="24"/>
              <w:lang w:val="es-MX"/>
            </w:rPr>
            <w:lastRenderedPageBreak/>
            <w:t>AUTOPISTA AL MAR 2</w:t>
          </w:r>
        </w:p>
        <w:p w14:paraId="2487116B" w14:textId="77777777" w:rsidR="007803E3" w:rsidRPr="0020113A" w:rsidRDefault="007803E3" w:rsidP="00E60BAB">
          <w:pPr>
            <w:pStyle w:val="Prrafodelista"/>
            <w:numPr>
              <w:ilvl w:val="0"/>
              <w:numId w:val="72"/>
            </w:numPr>
            <w:spacing w:line="259" w:lineRule="auto"/>
            <w:jc w:val="both"/>
            <w:rPr>
              <w:rFonts w:ascii="Times New Roman" w:hAnsi="Times New Roman"/>
              <w:b/>
              <w:sz w:val="24"/>
              <w:szCs w:val="24"/>
              <w:lang w:val="es-MX"/>
            </w:rPr>
          </w:pPr>
          <w:r w:rsidRPr="0020113A">
            <w:rPr>
              <w:rFonts w:ascii="Times New Roman" w:hAnsi="Times New Roman"/>
              <w:b/>
              <w:sz w:val="24"/>
              <w:szCs w:val="24"/>
              <w:lang w:val="es-MX"/>
            </w:rPr>
            <w:t>Descripción del Acuerdo</w:t>
          </w:r>
        </w:p>
        <w:p w14:paraId="6CB40CEF" w14:textId="77777777" w:rsidR="007803E3" w:rsidRPr="0020113A" w:rsidRDefault="007803E3" w:rsidP="18BAD2EC">
          <w:pPr>
            <w:spacing w:after="0"/>
            <w:jc w:val="both"/>
            <w:rPr>
              <w:rFonts w:ascii="Times New Roman" w:hAnsi="Times New Roman"/>
              <w:b/>
              <w:sz w:val="24"/>
              <w:szCs w:val="24"/>
              <w:lang w:val="es-MX"/>
            </w:rPr>
          </w:pPr>
          <w:r w:rsidRPr="0020113A">
            <w:rPr>
              <w:rFonts w:ascii="Times New Roman" w:hAnsi="Times New Roman"/>
              <w:b/>
              <w:sz w:val="24"/>
              <w:szCs w:val="24"/>
              <w:lang w:val="es-MX"/>
            </w:rPr>
            <w:t xml:space="preserve">Número del Acuerdo de Concesión: </w:t>
          </w:r>
          <w:r w:rsidRPr="0020113A">
            <w:rPr>
              <w:rFonts w:ascii="Times New Roman" w:hAnsi="Times New Roman"/>
              <w:sz w:val="24"/>
              <w:szCs w:val="24"/>
              <w:lang w:val="es-MX"/>
            </w:rPr>
            <w:t>Contrato de Concesión 018 de 2015</w:t>
          </w:r>
        </w:p>
        <w:p w14:paraId="52612F93" w14:textId="77777777" w:rsidR="007803E3" w:rsidRPr="0020113A" w:rsidRDefault="007803E3" w:rsidP="18BAD2EC">
          <w:pPr>
            <w:spacing w:after="0"/>
            <w:jc w:val="both"/>
            <w:rPr>
              <w:rFonts w:ascii="Times New Roman" w:hAnsi="Times New Roman"/>
              <w:sz w:val="24"/>
              <w:szCs w:val="24"/>
              <w:lang w:val="es-MX"/>
            </w:rPr>
          </w:pPr>
          <w:r w:rsidRPr="0020113A">
            <w:rPr>
              <w:rFonts w:ascii="Times New Roman" w:hAnsi="Times New Roman"/>
              <w:b/>
              <w:sz w:val="24"/>
              <w:szCs w:val="24"/>
              <w:lang w:val="es-MX"/>
            </w:rPr>
            <w:t xml:space="preserve">Objeto / Descripción: </w:t>
          </w:r>
          <w:r w:rsidRPr="0020113A">
            <w:rPr>
              <w:rFonts w:ascii="Times New Roman" w:hAnsi="Times New Roman"/>
              <w:sz w:val="24"/>
              <w:szCs w:val="24"/>
              <w:lang w:val="es-MX"/>
            </w:rPr>
            <w:t>Los estudios y diseños definitivos, financiación, gestión ambiental, predial y social, construcción, mejoramiento, rehabilitación, operación, mantenimiento y reversión de la Concesión Autopista al Mar 2, del Proyecto "Autopistas para la Prosperidad"</w:t>
          </w:r>
        </w:p>
        <w:p w14:paraId="756AF2E4" w14:textId="77777777" w:rsidR="007803E3" w:rsidRPr="0020113A" w:rsidRDefault="007803E3" w:rsidP="18BAD2EC">
          <w:pPr>
            <w:spacing w:after="0" w:line="240" w:lineRule="auto"/>
            <w:jc w:val="both"/>
            <w:rPr>
              <w:rFonts w:ascii="Times New Roman" w:hAnsi="Times New Roman"/>
              <w:b/>
              <w:sz w:val="24"/>
              <w:szCs w:val="24"/>
              <w:lang w:val="es-MX"/>
            </w:rPr>
          </w:pPr>
          <w:r w:rsidRPr="0020113A">
            <w:rPr>
              <w:rFonts w:ascii="Times New Roman" w:hAnsi="Times New Roman"/>
              <w:b/>
              <w:sz w:val="24"/>
              <w:szCs w:val="24"/>
              <w:lang w:val="es-MX"/>
            </w:rPr>
            <w:t xml:space="preserve">Valor Inicial: </w:t>
          </w:r>
          <w:r w:rsidRPr="0020113A">
            <w:rPr>
              <w:rFonts w:ascii="Times New Roman" w:hAnsi="Times New Roman"/>
              <w:sz w:val="24"/>
              <w:szCs w:val="24"/>
              <w:lang w:val="es-MX"/>
            </w:rPr>
            <w:t>$2.574.127.191.649 en pesos de diciembre de 2012</w:t>
          </w:r>
        </w:p>
        <w:p w14:paraId="22F50286" w14:textId="77777777" w:rsidR="007803E3" w:rsidRPr="0020113A" w:rsidRDefault="007803E3" w:rsidP="18BAD2EC">
          <w:pPr>
            <w:spacing w:after="0" w:line="240" w:lineRule="auto"/>
            <w:jc w:val="both"/>
            <w:rPr>
              <w:rFonts w:ascii="Times New Roman" w:hAnsi="Times New Roman"/>
              <w:b/>
              <w:sz w:val="24"/>
              <w:szCs w:val="24"/>
              <w:lang w:val="es-MX"/>
            </w:rPr>
          </w:pPr>
          <w:r w:rsidRPr="0020113A">
            <w:rPr>
              <w:rFonts w:ascii="Times New Roman" w:hAnsi="Times New Roman"/>
              <w:b/>
              <w:sz w:val="24"/>
              <w:szCs w:val="24"/>
              <w:lang w:val="es-MX"/>
            </w:rPr>
            <w:t xml:space="preserve">Fecha de Inicio: </w:t>
          </w:r>
          <w:r w:rsidRPr="0020113A">
            <w:rPr>
              <w:rFonts w:ascii="Times New Roman" w:hAnsi="Times New Roman"/>
              <w:sz w:val="24"/>
              <w:szCs w:val="24"/>
              <w:lang w:val="es-MX"/>
            </w:rPr>
            <w:t>12 de enero de 2016</w:t>
          </w:r>
        </w:p>
        <w:p w14:paraId="2C6EA586" w14:textId="77777777" w:rsidR="007803E3" w:rsidRPr="0020113A" w:rsidRDefault="007803E3" w:rsidP="3F53C375">
          <w:pPr>
            <w:spacing w:after="0" w:line="240" w:lineRule="auto"/>
            <w:jc w:val="both"/>
            <w:rPr>
              <w:rFonts w:ascii="Times New Roman" w:hAnsi="Times New Roman"/>
              <w:b/>
              <w:sz w:val="24"/>
              <w:szCs w:val="24"/>
              <w:lang w:val="es-MX"/>
            </w:rPr>
          </w:pPr>
          <w:r w:rsidRPr="0020113A">
            <w:rPr>
              <w:rFonts w:ascii="Times New Roman" w:hAnsi="Times New Roman"/>
              <w:b/>
              <w:sz w:val="24"/>
              <w:szCs w:val="24"/>
              <w:lang w:val="es-MX"/>
            </w:rPr>
            <w:t xml:space="preserve">Fecha de Finalización Estimada: </w:t>
          </w:r>
          <w:r w:rsidRPr="0020113A">
            <w:rPr>
              <w:rFonts w:ascii="Times New Roman" w:hAnsi="Times New Roman"/>
              <w:sz w:val="24"/>
              <w:szCs w:val="24"/>
              <w:lang w:val="es-MX"/>
            </w:rPr>
            <w:t>12 de enero de 2041</w:t>
          </w:r>
        </w:p>
        <w:p w14:paraId="2BD0CD2A" w14:textId="77777777" w:rsidR="007803E3" w:rsidRPr="0020113A" w:rsidRDefault="007803E3" w:rsidP="3F53C375">
          <w:pPr>
            <w:spacing w:after="0" w:line="240" w:lineRule="auto"/>
            <w:jc w:val="both"/>
            <w:rPr>
              <w:rFonts w:ascii="Times New Roman" w:hAnsi="Times New Roman"/>
              <w:sz w:val="24"/>
              <w:szCs w:val="24"/>
              <w:lang w:val="es-MX"/>
            </w:rPr>
          </w:pPr>
          <w:r w:rsidRPr="0020113A">
            <w:rPr>
              <w:rFonts w:ascii="Times New Roman" w:hAnsi="Times New Roman"/>
              <w:b/>
              <w:sz w:val="24"/>
              <w:szCs w:val="24"/>
              <w:lang w:val="es-MX"/>
            </w:rPr>
            <w:t xml:space="preserve">Tipo ID: </w:t>
          </w:r>
          <w:r w:rsidRPr="0020113A">
            <w:rPr>
              <w:rFonts w:ascii="Times New Roman" w:hAnsi="Times New Roman"/>
              <w:sz w:val="24"/>
              <w:szCs w:val="24"/>
              <w:lang w:val="es-MX"/>
            </w:rPr>
            <w:t>NIT</w:t>
          </w:r>
        </w:p>
        <w:p w14:paraId="045B82AD" w14:textId="77777777" w:rsidR="007803E3" w:rsidRPr="0020113A" w:rsidRDefault="007803E3" w:rsidP="3F53C375">
          <w:pPr>
            <w:spacing w:after="0" w:line="240" w:lineRule="auto"/>
            <w:jc w:val="both"/>
            <w:rPr>
              <w:rFonts w:ascii="Times New Roman" w:hAnsi="Times New Roman"/>
              <w:b/>
              <w:sz w:val="24"/>
              <w:szCs w:val="24"/>
              <w:lang w:val="es-MX"/>
            </w:rPr>
          </w:pPr>
          <w:r w:rsidRPr="0020113A">
            <w:rPr>
              <w:rFonts w:ascii="Times New Roman" w:hAnsi="Times New Roman"/>
              <w:b/>
              <w:sz w:val="24"/>
              <w:szCs w:val="24"/>
              <w:lang w:val="es-MX"/>
            </w:rPr>
            <w:t xml:space="preserve">Numero ID: </w:t>
          </w:r>
          <w:r w:rsidRPr="0020113A">
            <w:rPr>
              <w:rFonts w:ascii="Times New Roman" w:hAnsi="Times New Roman"/>
              <w:sz w:val="24"/>
              <w:szCs w:val="24"/>
              <w:lang w:val="es-MX"/>
            </w:rPr>
            <w:t>900.902.591</w:t>
          </w:r>
        </w:p>
        <w:p w14:paraId="45B0E616" w14:textId="77777777" w:rsidR="007803E3" w:rsidRPr="0020113A" w:rsidRDefault="007803E3" w:rsidP="3F53C375">
          <w:pPr>
            <w:spacing w:after="0" w:line="240" w:lineRule="auto"/>
            <w:jc w:val="both"/>
            <w:rPr>
              <w:rFonts w:ascii="Times New Roman" w:hAnsi="Times New Roman"/>
              <w:sz w:val="24"/>
              <w:szCs w:val="24"/>
              <w:lang w:val="es-MX"/>
            </w:rPr>
          </w:pPr>
          <w:r w:rsidRPr="0020113A">
            <w:rPr>
              <w:rFonts w:ascii="Times New Roman" w:hAnsi="Times New Roman"/>
              <w:b/>
              <w:sz w:val="24"/>
              <w:szCs w:val="24"/>
              <w:lang w:val="es-MX"/>
            </w:rPr>
            <w:t xml:space="preserve">Razón Social del Concesionario: </w:t>
          </w:r>
          <w:r w:rsidRPr="0020113A">
            <w:rPr>
              <w:rFonts w:ascii="Times New Roman" w:hAnsi="Times New Roman"/>
              <w:sz w:val="24"/>
              <w:szCs w:val="24"/>
              <w:lang w:val="es-MX"/>
            </w:rPr>
            <w:t>Autopistas Urabá S.A.S.</w:t>
          </w:r>
        </w:p>
        <w:p w14:paraId="2E77BF85" w14:textId="77777777" w:rsidR="007803E3" w:rsidRPr="0020113A" w:rsidRDefault="007803E3" w:rsidP="3F53C375">
          <w:pPr>
            <w:spacing w:after="0" w:line="240" w:lineRule="auto"/>
            <w:jc w:val="both"/>
            <w:rPr>
              <w:rFonts w:ascii="Times New Roman" w:hAnsi="Times New Roman"/>
              <w:b/>
              <w:sz w:val="24"/>
              <w:szCs w:val="24"/>
              <w:lang w:val="es-MX"/>
            </w:rPr>
          </w:pPr>
          <w:r w:rsidRPr="0020113A">
            <w:rPr>
              <w:rFonts w:ascii="Times New Roman" w:hAnsi="Times New Roman"/>
              <w:b/>
              <w:sz w:val="24"/>
              <w:szCs w:val="24"/>
              <w:lang w:val="es-MX"/>
            </w:rPr>
            <w:t xml:space="preserve">Nombre del Proyecto: </w:t>
          </w:r>
          <w:r w:rsidRPr="0020113A">
            <w:rPr>
              <w:rFonts w:ascii="Times New Roman" w:hAnsi="Times New Roman"/>
              <w:sz w:val="24"/>
              <w:szCs w:val="24"/>
              <w:lang w:val="es-MX"/>
            </w:rPr>
            <w:t>Concesión Autopista al Mar 2</w:t>
          </w:r>
        </w:p>
        <w:p w14:paraId="7C5AF599" w14:textId="3BC49CAA" w:rsidR="5C9B1038" w:rsidRDefault="5C9B1038" w:rsidP="5C9B1038">
          <w:pPr>
            <w:spacing w:after="0" w:line="240" w:lineRule="auto"/>
            <w:jc w:val="both"/>
            <w:rPr>
              <w:rFonts w:ascii="Times New Roman" w:hAnsi="Times New Roman"/>
              <w:sz w:val="24"/>
              <w:szCs w:val="24"/>
              <w:lang w:val="es-MX"/>
            </w:rPr>
          </w:pPr>
        </w:p>
        <w:p w14:paraId="42FB2FE0" w14:textId="77777777" w:rsidR="007803E3" w:rsidRPr="0020113A" w:rsidRDefault="007803E3" w:rsidP="00E60BAB">
          <w:pPr>
            <w:pStyle w:val="Prrafodelista"/>
            <w:numPr>
              <w:ilvl w:val="0"/>
              <w:numId w:val="72"/>
            </w:numPr>
            <w:spacing w:line="259" w:lineRule="auto"/>
            <w:jc w:val="both"/>
            <w:rPr>
              <w:rFonts w:ascii="Times New Roman" w:hAnsi="Times New Roman"/>
              <w:b/>
              <w:sz w:val="24"/>
              <w:szCs w:val="24"/>
              <w:lang w:val="es-MX"/>
            </w:rPr>
          </w:pPr>
          <w:r w:rsidRPr="0020113A">
            <w:rPr>
              <w:rFonts w:ascii="Times New Roman" w:hAnsi="Times New Roman"/>
              <w:b/>
              <w:sz w:val="24"/>
              <w:szCs w:val="24"/>
              <w:lang w:val="es-MX"/>
            </w:rPr>
            <w:t>Términos significativos del acuerdo que puedan afectar su valor, el calendario y la certeza de los flujos</w:t>
          </w:r>
        </w:p>
        <w:p w14:paraId="3968870E"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Términos de Valor: </w:t>
          </w:r>
          <w:r w:rsidRPr="0020113A">
            <w:rPr>
              <w:rFonts w:ascii="Times New Roman" w:hAnsi="Times New Roman"/>
              <w:sz w:val="24"/>
              <w:szCs w:val="24"/>
              <w:lang w:val="es-MX"/>
            </w:rPr>
            <w:t xml:space="preserve">Lo referente a las Estaciones de Peaje del Proyecto se encuentra dispuesto en la Sección 3.6 de la Parte Especial y las tarifas aplicables a los Peajes se encuentran en la Sección 4.2 (b) de la misma Parte Especial. Los valores de las obligaciones de pago de Vigencias Futuras se encuentran en la Sección 4.5 (d) de la Parte Especial y se actualizan conforme al procedimiento establecido en la Sección 4.3 (e) de la misma Parte Especial. A la fecha han sido pagados por la ANI las Vigencias Futuras 1, 2, 3, 4 Y 5 en la Subcuenta de Aportes ANI, correspondientes a los años de 2019, 2020, 2021, 2022 y 2023, este último aporte se pagó parcialmente pues no ha ingresado la totalidad del valor al Patrimonio Autónomo. </w:t>
          </w:r>
        </w:p>
        <w:p w14:paraId="7A120663"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 xml:space="preserve">Se suscribió el 11 de febrero de 2021 el Otrosí 4 al Contrato de Concesión con el cual se adicionó al Alcance del Proyecto la construcción y puesta en operación de la estación de peaje El Tigre, estación mediante la cual se unificarán las estaciones de peaje de Chaparral y Riogrande como resultado del Evento Eximente de Responsabilidad que surgió en el año 2018, declarado mediante acta suscrita por las Partes el 22 de marzo de 2018. Las inversiones de dicha estación de peaje serán ejecutadas por el Concesionario y compensadas de la Reducción de la Retribución a pagar por el Concesionario, en virtud de lo establecido en la Sección 4.9 de la Parte General del Contrato. Así, en aplicación del artículo 1714 del Código Civil Colombiano, las Partes compensarán sus acreencias mutuas en función de las obligaciones pactadas en el Otrosí 4 sin modificar el valor del Contrato de Concesión. </w:t>
          </w:r>
        </w:p>
        <w:p w14:paraId="208C1028"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 xml:space="preserve">Se incorporó al Alcance del Contrato de Concesión la obra adicional anteriormente referenciada por un valor de Capex de $5.860.351.032 expresados en pesos corrientes de agosto de 2020. El Opex neto a favor de la ANI asociado a esa modificación del Contrato por el ahorro en la Operación y Mantenimiento de las estaciones de peaje de Chaparral y Riogrande, asciende a $5.335.893.663 expresados en Pesos del Mes de Referencia y el procedimiento para su incorporación en las cuentas del Proyecto está establecido en el texto de Otrosí suscrito por las Partes el 11 de febrero de 2021. Las cifras anteriormente citadas no </w:t>
          </w:r>
          <w:r w:rsidRPr="0020113A">
            <w:rPr>
              <w:rFonts w:ascii="Times New Roman" w:hAnsi="Times New Roman"/>
              <w:sz w:val="24"/>
              <w:szCs w:val="24"/>
              <w:lang w:val="es-MX"/>
            </w:rPr>
            <w:lastRenderedPageBreak/>
            <w:t xml:space="preserve">se incluyen dentro del modelo contable del año 2023 debido a que estas no modifican el valor del Contrato de Concesión, pues el pago de las nuevas obligaciones se descuenta del valor de la Reducción de la Retribución establecida en la Sección 4.9 de la Parte General del Contrato. Lo anterior se sustenta también en que la aplicación de la Sección 4.9 de la Parte General no supone un cambio en el valor del Contrato de Concesión, por lo tanto, reducir en mayor o menor medida el valor de un derecho que, independientemente de si el Concesionario lo ejerce o no, no altera el valor total del Contrato, no supone una modificación al valor dinerario de las obligaciones del Concesionario. Lo enunciado anteriormente aplica igualmente para lo pactado por las Partes mediante el Otrosí 7, suscrito el 4 de agosto de 2022, mediante el cual se modificó el Tipo de Ventilación de la Unidad Funcional 3 del Proyecto. </w:t>
          </w:r>
        </w:p>
        <w:p w14:paraId="3854A2AD"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 xml:space="preserve">Por otro lado, el Otrosí 8, suscrito el 30 de junio de 2023, no supone una modificación al valor del Contrato de Concesión. </w:t>
          </w:r>
        </w:p>
        <w:p w14:paraId="21F1A004"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 xml:space="preserve">El cálculo de la Retribución del Concesionario está regulado en la Sección 4.3 de la Parte Especial. El valor presente del recaudo de peaje (VPIP) del Proyecto se encuentra establecido en la definición 1.167 de la Parte General y su valor se establece en la Parte Especial. Las condiciones para el derecho de recaudo de peajes a favor del Concesionario se establecen en la Sección 3.3 de la Parte General. A la fecha el valor del recaudo de peaje, incluyendo el pago de las contingencias por diferencial tarifario y no instalación de peajes, se encuentra reportado en el modelo contable de acuerdo con la certificación fiduciaria a 31 de diciembre de 2023.  </w:t>
          </w:r>
        </w:p>
        <w:p w14:paraId="4D9472C6"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 xml:space="preserve">A 31 de diciembre de 2023 existen Actas de Terminación de Unidad Funcional para las Unidades Funcionales 2, 3 y 5. Para la Unidad Funcional 4 se suscribió un Acta de Terminación Parcial de Unidad Funcional.  Para la Unidad Funcional 2 se ha suscrito un (1) Acta de Cálculo de la Retribución, para la UF 3 se han suscrito tres (3) Actas de Cálculo de la Retribución, para la UF 4 se ha suscrito un (1) Acta de Cálculo de la Compensación Especial y para la Unidad Funcional 5 se han suscrito nueve (9) Actas de Cálculo de la Retribución. </w:t>
          </w:r>
        </w:p>
        <w:p w14:paraId="5303EE0B"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 xml:space="preserve">El avance de inversión del Capex se encuentra reportado en el modelo contable de acuerdo con la información del avance del Plan de Obras con corte al 31 de diciembre de cada año, el cual ha sido reportado a la ANI a través de las herramientas establecidas para ese propósito. Dentro del Opex se incorporó el cálculo anual, a partir del cálculo del Índice de Cumplimiento de acuerdo con los Indicadores aplicables para cada Unidad Funcional, teniendo en cuenta los Apéndices Técnicos 2 y 4 según corresponda.  </w:t>
          </w:r>
        </w:p>
        <w:p w14:paraId="58D00D36"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 xml:space="preserve">El procedimiento para la imposición de Multas y la actualización de las mismas se encuentra en las Secciones 10.3 y 10.4 de la Parte General respectivamente. </w:t>
          </w:r>
        </w:p>
        <w:p w14:paraId="4097BC11"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Términos de Calendario: </w:t>
          </w:r>
          <w:r w:rsidRPr="0020113A">
            <w:rPr>
              <w:rFonts w:ascii="Times New Roman" w:hAnsi="Times New Roman"/>
              <w:sz w:val="24"/>
              <w:szCs w:val="24"/>
              <w:lang w:val="es-MX"/>
            </w:rPr>
            <w:t xml:space="preserve">Las fechas de actualización de las tarifas aplicables a los Peajes se encuentran en las Secciones 4.2 (c), 4.2 (d) y 4.2 (e) de la Parte Especial. Las tarifas aplicables a las Estaciones de Peaje del Proyecto para un año determinado regirán hasta el quince (15) de Enero del siguiente año y para los años posteriores las tarifas serán actualizada el dieciséis (16) de enero de cada año. </w:t>
          </w:r>
        </w:p>
        <w:p w14:paraId="18169DC9"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 xml:space="preserve">Las fechas para el pago de los valores de las obligaciones de Vigencias Futuras se encuentran en la Sección 4.5 (d) de la Parte Especial. El cálculo de la Retribución del Concesionario está </w:t>
          </w:r>
          <w:r w:rsidRPr="0020113A">
            <w:rPr>
              <w:rFonts w:ascii="Times New Roman" w:hAnsi="Times New Roman"/>
              <w:sz w:val="24"/>
              <w:szCs w:val="24"/>
              <w:lang w:val="es-MX"/>
            </w:rPr>
            <w:lastRenderedPageBreak/>
            <w:t xml:space="preserve">regulado en la Sección 4.3 de la Parte Especial. En la Sección 4.18 de la Parte General se establecen las condiciones para el Plan de Obras del Proyecto, documento mediante el cual se formalizan los plazos de inicio y terminación de las Unidades Funcionales. </w:t>
          </w:r>
        </w:p>
        <w:p w14:paraId="36AFF80B" w14:textId="77777777" w:rsidR="007803E3" w:rsidRPr="0020113A" w:rsidRDefault="007803E3" w:rsidP="007803E3">
          <w:pPr>
            <w:jc w:val="both"/>
            <w:rPr>
              <w:rFonts w:ascii="Times New Roman" w:hAnsi="Times New Roman"/>
              <w:b/>
              <w:sz w:val="24"/>
              <w:szCs w:val="24"/>
              <w:lang w:val="es-MX"/>
            </w:rPr>
          </w:pPr>
          <w:r w:rsidRPr="0020113A">
            <w:rPr>
              <w:rFonts w:ascii="Times New Roman" w:hAnsi="Times New Roman"/>
              <w:sz w:val="24"/>
              <w:szCs w:val="24"/>
              <w:lang w:val="es-MX"/>
            </w:rPr>
            <w:t xml:space="preserve">La fase de construcción del proyecto inició el 11 de enero de 2017 y terminará cuando se suscriba el Acta de Terminación de la UF 1, de acuerdo con las adiciones en tiempo que se muestran en la sección f) del presente documento y con el Plazo de Cura otorgado al Concesionario para la terminación de la Unidad Funcional 1 del Proyecto. El avance reportado a 31 de diciembre de 2023, por Unidad Funcional, es el siguiente: 94,58% para la UF1, 99,28% para la UF2, 99,86% para la UF3, 98,28% para la UF4 y 100% para la UF5. Las fechas de terminación de cada Unidad Funcional se muestran en la sección f) del presente documento. </w:t>
          </w:r>
        </w:p>
        <w:p w14:paraId="17CB978A" w14:textId="77777777" w:rsidR="007803E3" w:rsidRPr="0020113A" w:rsidRDefault="007803E3" w:rsidP="007803E3">
          <w:pPr>
            <w:jc w:val="both"/>
            <w:rPr>
              <w:rFonts w:ascii="Times New Roman" w:hAnsi="Times New Roman"/>
              <w:b/>
              <w:sz w:val="24"/>
              <w:szCs w:val="24"/>
              <w:lang w:val="es-MX"/>
            </w:rPr>
          </w:pPr>
          <w:r w:rsidRPr="0020113A">
            <w:rPr>
              <w:rFonts w:ascii="Times New Roman" w:hAnsi="Times New Roman"/>
              <w:b/>
              <w:sz w:val="24"/>
              <w:szCs w:val="24"/>
              <w:lang w:val="es-MX"/>
            </w:rPr>
            <w:t xml:space="preserve">Términos de Certeza de Flujos de Efectivo Futuros: </w:t>
          </w:r>
          <w:r w:rsidRPr="0020113A">
            <w:rPr>
              <w:rFonts w:ascii="Times New Roman" w:hAnsi="Times New Roman"/>
              <w:sz w:val="24"/>
              <w:szCs w:val="24"/>
              <w:lang w:val="es-MX"/>
            </w:rPr>
            <w:t>El cálculo de la Diferencia de Recaudo que se hace para garantizar los flujos de caja futuros del Proyecto en los años 8, 13 y 18 de ejecución a partir del Acta de inicio se establece en la Sección 4.6 de la Parte Especial. Las deducciones máximas que se pueden hacer a los flujos de caja se establecen en la Sección 4.3 de la Parte Especial. Los valores de las obligaciones de pago de Vigencias Futuras se encuentran en la Sección 4.5 (d) de la Parte Especial y se actualizan conforme al procedimiento establecido en la Sección 4.3 (e) de la Parte Especial.</w:t>
          </w:r>
        </w:p>
        <w:p w14:paraId="78813EEE" w14:textId="77777777" w:rsidR="007803E3" w:rsidRPr="0020113A" w:rsidRDefault="007803E3" w:rsidP="00E60BAB">
          <w:pPr>
            <w:pStyle w:val="Prrafodelista"/>
            <w:numPr>
              <w:ilvl w:val="0"/>
              <w:numId w:val="72"/>
            </w:numPr>
            <w:spacing w:line="259" w:lineRule="auto"/>
            <w:jc w:val="both"/>
            <w:rPr>
              <w:rFonts w:ascii="Times New Roman" w:hAnsi="Times New Roman"/>
              <w:b/>
              <w:sz w:val="24"/>
              <w:szCs w:val="24"/>
              <w:lang w:val="es-MX"/>
            </w:rPr>
          </w:pPr>
          <w:r w:rsidRPr="0020113A">
            <w:rPr>
              <w:rFonts w:ascii="Times New Roman" w:hAnsi="Times New Roman"/>
              <w:b/>
              <w:sz w:val="24"/>
              <w:szCs w:val="24"/>
              <w:lang w:val="es-MX"/>
            </w:rPr>
            <w:t>Naturaleza y alcance del derecho a utilizar activos especificados, de los aspectos pactados en torno a lo que se espera que el concesionario proporcione en relación con el acuerdo de concesión</w:t>
          </w:r>
        </w:p>
        <w:p w14:paraId="11581A56" w14:textId="77777777" w:rsidR="007803E3" w:rsidRPr="0020113A" w:rsidRDefault="007803E3" w:rsidP="007803E3">
          <w:pPr>
            <w:jc w:val="center"/>
            <w:rPr>
              <w:rFonts w:ascii="Times New Roman" w:hAnsi="Times New Roman"/>
              <w:b/>
              <w:sz w:val="24"/>
              <w:szCs w:val="24"/>
              <w:lang w:val="es-MX"/>
            </w:rPr>
          </w:pPr>
          <w:r w:rsidRPr="0020113A">
            <w:rPr>
              <w:rFonts w:ascii="Times New Roman" w:hAnsi="Times New Roman"/>
              <w:b/>
              <w:sz w:val="24"/>
              <w:szCs w:val="24"/>
              <w:lang w:val="es-MX"/>
            </w:rPr>
            <w:t>Naturaleza y alcance del derecho de uso de los activos</w:t>
          </w:r>
        </w:p>
        <w:p w14:paraId="7BF7220A" w14:textId="77777777" w:rsidR="007803E3" w:rsidRPr="0020113A" w:rsidRDefault="007803E3" w:rsidP="007803E3">
          <w:pPr>
            <w:jc w:val="both"/>
            <w:rPr>
              <w:rFonts w:ascii="Times New Roman" w:hAnsi="Times New Roman"/>
              <w:b/>
              <w:sz w:val="24"/>
              <w:szCs w:val="24"/>
              <w:lang w:val="es-MX"/>
            </w:rPr>
          </w:pPr>
          <w:r w:rsidRPr="0020113A">
            <w:rPr>
              <w:rFonts w:ascii="Times New Roman" w:hAnsi="Times New Roman"/>
              <w:b/>
              <w:sz w:val="24"/>
              <w:szCs w:val="24"/>
              <w:lang w:val="es-MX"/>
            </w:rPr>
            <w:t xml:space="preserve">Descripción: </w:t>
          </w:r>
          <w:r w:rsidRPr="0020113A">
            <w:rPr>
              <w:rFonts w:ascii="Times New Roman" w:hAnsi="Times New Roman"/>
              <w:sz w:val="24"/>
              <w:szCs w:val="24"/>
              <w:lang w:val="es-MX"/>
            </w:rPr>
            <w:t>Alcance del derecho de uso de los activos: De acuerdo con el objeto del Contrato, establecido en la Sección 2.1 de la Parte General, el Contrato tiene por objeto el otorgamiento de una concesión para que, de conformidad con los previsto en este Contrato, el Concesionario, por su cuenta y riesgo, lleve a cabo el Proyecto. El alcance físico del Proyecto se describe en la Parte Especial y en el Apéndice Técnico 1.</w:t>
          </w:r>
        </w:p>
        <w:p w14:paraId="52E1E0CD"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Observaciones: </w:t>
          </w:r>
          <w:r w:rsidRPr="0020113A">
            <w:rPr>
              <w:rFonts w:ascii="Times New Roman" w:hAnsi="Times New Roman"/>
              <w:sz w:val="24"/>
              <w:szCs w:val="24"/>
              <w:lang w:val="es-MX"/>
            </w:rPr>
            <w:t>No aplica.</w:t>
          </w:r>
        </w:p>
        <w:p w14:paraId="3E7A0C63" w14:textId="77777777" w:rsidR="007803E3" w:rsidRPr="0020113A" w:rsidRDefault="007803E3" w:rsidP="007803E3">
          <w:pPr>
            <w:jc w:val="both"/>
            <w:rPr>
              <w:rFonts w:ascii="Times New Roman" w:hAnsi="Times New Roman"/>
              <w:sz w:val="24"/>
              <w:szCs w:val="24"/>
              <w:lang w:val="es-MX"/>
            </w:rPr>
          </w:pPr>
        </w:p>
        <w:p w14:paraId="6B3A0BBA" w14:textId="77777777" w:rsidR="007803E3" w:rsidRPr="0020113A" w:rsidRDefault="007803E3" w:rsidP="007803E3">
          <w:pPr>
            <w:jc w:val="center"/>
            <w:rPr>
              <w:rFonts w:ascii="Times New Roman" w:hAnsi="Times New Roman"/>
              <w:b/>
              <w:sz w:val="24"/>
              <w:szCs w:val="24"/>
              <w:lang w:val="es-MX"/>
            </w:rPr>
          </w:pPr>
          <w:r w:rsidRPr="0020113A">
            <w:rPr>
              <w:rFonts w:ascii="Times New Roman" w:hAnsi="Times New Roman"/>
              <w:b/>
              <w:sz w:val="24"/>
              <w:szCs w:val="24"/>
              <w:lang w:val="es-MX"/>
            </w:rPr>
            <w:t>Retribución al Concesionario</w:t>
          </w:r>
        </w:p>
        <w:p w14:paraId="2CE0CFA3" w14:textId="77777777" w:rsidR="007803E3" w:rsidRPr="0020113A" w:rsidRDefault="007803E3" w:rsidP="007803E3">
          <w:pPr>
            <w:jc w:val="both"/>
            <w:rPr>
              <w:rFonts w:ascii="Times New Roman" w:hAnsi="Times New Roman"/>
              <w:b/>
              <w:sz w:val="24"/>
              <w:szCs w:val="24"/>
              <w:lang w:val="es-MX"/>
            </w:rPr>
          </w:pPr>
          <w:r w:rsidRPr="0020113A">
            <w:rPr>
              <w:rFonts w:ascii="Times New Roman" w:hAnsi="Times New Roman"/>
              <w:b/>
              <w:sz w:val="24"/>
              <w:szCs w:val="24"/>
              <w:lang w:val="es-MX"/>
            </w:rPr>
            <w:t xml:space="preserve">Descripción: </w:t>
          </w:r>
          <w:r w:rsidRPr="0020113A">
            <w:rPr>
              <w:rFonts w:ascii="Times New Roman" w:hAnsi="Times New Roman"/>
              <w:sz w:val="24"/>
              <w:szCs w:val="24"/>
              <w:lang w:val="es-MX"/>
            </w:rPr>
            <w:t>El cálculo de la Retribución del Concesionario está regulado en la Sección 4.3 de la Parte Especial.</w:t>
          </w:r>
        </w:p>
        <w:p w14:paraId="478A7DCD"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Tasa de Retribución: </w:t>
          </w:r>
          <w:r w:rsidRPr="0020113A">
            <w:rPr>
              <w:rFonts w:ascii="Times New Roman" w:hAnsi="Times New Roman"/>
              <w:sz w:val="24"/>
              <w:szCs w:val="24"/>
              <w:lang w:val="es-MX"/>
            </w:rPr>
            <w:t xml:space="preserve">La tasa de retribución del Concesionario o tasa de descuento real (TDI) expresada en términos efectivos mensuales, para efectos de este Proyecto, será del cero punto cincuenta y seis treinta (0.5630%) de acuerdo con la definición 18.3(d) de la Parte General y el valor establecido en la Parte Especial. </w:t>
          </w:r>
        </w:p>
        <w:p w14:paraId="2708F64B"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 xml:space="preserve">La metodología para el cálculo de la carga financiera se estableció conforme a lo planteado en el modelo financiero contratado por la Agencia con Deloitte, en este la carga financiera se obtiene a través del cálculo de una tasa resultante para mantener el equilibrio entre los recursos </w:t>
          </w:r>
          <w:r w:rsidRPr="0020113A">
            <w:rPr>
              <w:rFonts w:ascii="Times New Roman" w:hAnsi="Times New Roman"/>
              <w:sz w:val="24"/>
              <w:szCs w:val="24"/>
              <w:lang w:val="es-MX"/>
            </w:rPr>
            <w:lastRenderedPageBreak/>
            <w:t>disponibles del proyecto y las obligaciones a pagar, la tasa que asegure ese equilibrio es la tasa de cierre del modelo.</w:t>
          </w:r>
        </w:p>
        <w:p w14:paraId="1DDD6667"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 xml:space="preserve">El Cálculo de la Retribución del Concesionario se encuentra establecido en la Sección 4.3 de la Parte Especial y está compuesto por el pago de las Vigencias Futuras (Aportes), el Recaudo de Peajes (Peajes) y los Ingresos por Explotación Comercial (EC), variables que están sujetas a cualquier Descuento pendiente que se deba efectuar a la Retribución.  La fórmula se muestra a continuación: </w:t>
          </w:r>
        </w:p>
        <w:p w14:paraId="51AE3803" w14:textId="77777777" w:rsidR="007803E3" w:rsidRPr="0020113A" w:rsidRDefault="007803E3" w:rsidP="007803E3">
          <w:pPr>
            <w:jc w:val="center"/>
            <w:rPr>
              <w:rFonts w:ascii="Times New Roman" w:hAnsi="Times New Roman"/>
              <w:sz w:val="24"/>
              <w:szCs w:val="24"/>
              <w:lang w:val="es-MX"/>
            </w:rPr>
          </w:pPr>
          <w:r w:rsidRPr="0020113A">
            <w:rPr>
              <w:rFonts w:ascii="Times New Roman" w:hAnsi="Times New Roman"/>
              <w:sz w:val="24"/>
              <w:szCs w:val="24"/>
              <w:lang w:val="es-MX"/>
            </w:rPr>
            <w:t>R_h^u=</w:t>
          </w:r>
          <w:r w:rsidRPr="0020113A">
            <w:rPr>
              <w:rFonts w:ascii="Times New Roman" w:eastAsia="Cambria Math" w:hAnsi="Times New Roman"/>
              <w:sz w:val="24"/>
              <w:szCs w:val="24"/>
              <w:lang w:val="es-MX"/>
            </w:rPr>
            <w:t>〖</w:t>
          </w:r>
          <w:r w:rsidRPr="0020113A">
            <w:rPr>
              <w:rFonts w:ascii="Times New Roman" w:hAnsi="Times New Roman"/>
              <w:sz w:val="24"/>
              <w:szCs w:val="24"/>
              <w:lang w:val="es-MX"/>
            </w:rPr>
            <w:t>Aportes</w:t>
          </w:r>
          <w:r w:rsidRPr="0020113A">
            <w:rPr>
              <w:rFonts w:ascii="Times New Roman" w:eastAsia="Cambria Math" w:hAnsi="Times New Roman"/>
              <w:sz w:val="24"/>
              <w:szCs w:val="24"/>
              <w:lang w:val="es-MX"/>
            </w:rPr>
            <w:t>〗</w:t>
          </w:r>
          <w:r w:rsidRPr="0020113A">
            <w:rPr>
              <w:rFonts w:ascii="Times New Roman" w:hAnsi="Times New Roman"/>
              <w:sz w:val="24"/>
              <w:szCs w:val="24"/>
              <w:lang w:val="es-MX"/>
            </w:rPr>
            <w:t>_h^u+</w:t>
          </w:r>
          <w:r w:rsidRPr="0020113A">
            <w:rPr>
              <w:rFonts w:ascii="Times New Roman" w:eastAsia="Cambria Math" w:hAnsi="Times New Roman"/>
              <w:sz w:val="24"/>
              <w:szCs w:val="24"/>
              <w:lang w:val="es-MX"/>
            </w:rPr>
            <w:t>〖</w:t>
          </w:r>
          <w:r w:rsidRPr="0020113A">
            <w:rPr>
              <w:rFonts w:ascii="Times New Roman" w:hAnsi="Times New Roman"/>
              <w:sz w:val="24"/>
              <w:szCs w:val="24"/>
              <w:lang w:val="es-MX"/>
            </w:rPr>
            <w:t>Peajes</w:t>
          </w:r>
          <w:r w:rsidRPr="0020113A">
            <w:rPr>
              <w:rFonts w:ascii="Times New Roman" w:eastAsia="Cambria Math" w:hAnsi="Times New Roman"/>
              <w:sz w:val="24"/>
              <w:szCs w:val="24"/>
              <w:lang w:val="es-MX"/>
            </w:rPr>
            <w:t>〗</w:t>
          </w:r>
          <w:r w:rsidRPr="0020113A">
            <w:rPr>
              <w:rFonts w:ascii="Times New Roman" w:hAnsi="Times New Roman"/>
              <w:sz w:val="24"/>
              <w:szCs w:val="24"/>
              <w:lang w:val="es-MX"/>
            </w:rPr>
            <w:t>_h^u+</w:t>
          </w:r>
          <w:r w:rsidRPr="0020113A">
            <w:rPr>
              <w:rFonts w:ascii="Times New Roman" w:eastAsia="Cambria Math" w:hAnsi="Times New Roman"/>
              <w:sz w:val="24"/>
              <w:szCs w:val="24"/>
              <w:lang w:val="es-MX"/>
            </w:rPr>
            <w:t>〖</w:t>
          </w:r>
          <w:r w:rsidRPr="0020113A">
            <w:rPr>
              <w:rFonts w:ascii="Times New Roman" w:hAnsi="Times New Roman"/>
              <w:sz w:val="24"/>
              <w:szCs w:val="24"/>
              <w:lang w:val="es-MX"/>
            </w:rPr>
            <w:t>EC</w:t>
          </w:r>
          <w:r w:rsidRPr="0020113A">
            <w:rPr>
              <w:rFonts w:ascii="Times New Roman" w:eastAsia="Cambria Math" w:hAnsi="Times New Roman"/>
              <w:sz w:val="24"/>
              <w:szCs w:val="24"/>
              <w:lang w:val="es-MX"/>
            </w:rPr>
            <w:t>〗</w:t>
          </w:r>
          <w:r w:rsidRPr="0020113A">
            <w:rPr>
              <w:rFonts w:ascii="Times New Roman" w:hAnsi="Times New Roman"/>
              <w:sz w:val="24"/>
              <w:szCs w:val="24"/>
              <w:lang w:val="es-MX"/>
            </w:rPr>
            <w:t>_h^u-D_h</w:t>
          </w:r>
        </w:p>
        <w:p w14:paraId="23A7A694"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 xml:space="preserve">Los índices sobre las variables se encuentran definidos en la citada sección del Contrato de Concesión. Las condiciones para el Cierre Financiero del Proyecto se encuentran en la Sección 3.8 de la Parte General. </w:t>
          </w:r>
        </w:p>
        <w:p w14:paraId="71AE4D49" w14:textId="77777777" w:rsidR="007803E3" w:rsidRPr="0020113A" w:rsidRDefault="007803E3" w:rsidP="00E60BAB">
          <w:pPr>
            <w:pStyle w:val="Prrafodelista"/>
            <w:numPr>
              <w:ilvl w:val="0"/>
              <w:numId w:val="72"/>
            </w:numPr>
            <w:spacing w:line="259" w:lineRule="auto"/>
            <w:rPr>
              <w:rFonts w:ascii="Times New Roman" w:hAnsi="Times New Roman"/>
              <w:b/>
              <w:sz w:val="24"/>
              <w:szCs w:val="24"/>
              <w:lang w:val="es-MX"/>
            </w:rPr>
          </w:pPr>
          <w:r w:rsidRPr="0020113A">
            <w:rPr>
              <w:rFonts w:ascii="Times New Roman" w:hAnsi="Times New Roman"/>
              <w:b/>
              <w:sz w:val="24"/>
              <w:szCs w:val="24"/>
              <w:lang w:val="es-MX"/>
            </w:rPr>
            <w:t>Derechos a recibir activos especificados al final del acuerdo de concesión</w:t>
          </w:r>
        </w:p>
        <w:p w14:paraId="46D7DB56" w14:textId="77777777" w:rsidR="007803E3" w:rsidRPr="0020113A" w:rsidRDefault="007803E3" w:rsidP="007803E3">
          <w:pPr>
            <w:jc w:val="both"/>
            <w:rPr>
              <w:rFonts w:ascii="Times New Roman" w:hAnsi="Times New Roman"/>
              <w:b/>
              <w:sz w:val="24"/>
              <w:szCs w:val="24"/>
              <w:lang w:val="es-MX"/>
            </w:rPr>
          </w:pPr>
          <w:r w:rsidRPr="0020113A">
            <w:rPr>
              <w:rFonts w:ascii="Times New Roman" w:hAnsi="Times New Roman"/>
              <w:b/>
              <w:sz w:val="24"/>
              <w:szCs w:val="24"/>
              <w:lang w:val="es-MX"/>
            </w:rPr>
            <w:t xml:space="preserve">Descripción: </w:t>
          </w:r>
          <w:r w:rsidRPr="0020113A">
            <w:rPr>
              <w:rFonts w:ascii="Times New Roman" w:hAnsi="Times New Roman"/>
              <w:sz w:val="24"/>
              <w:szCs w:val="24"/>
              <w:lang w:val="es-MX"/>
            </w:rPr>
            <w:t>En la Sección 9.7 se establece que la ANI se hará propietario de las obras que conforman el Proyecto al momento de su ejecución, incluyendo además, pero sin limitarse, las Estaciones de Peaje y Estaciones de Pesaje, y la totalidad de los bienes muebles o inmuebles por destinación o adhesión que se encuentren en las mismas. El Concesionario conservará la mera tenencia de esos bienes para efectos del cumplimiento del Contrato y será responsable de la guarda material y jurídica de los bienes que conforman el Proyecto.</w:t>
          </w:r>
        </w:p>
        <w:p w14:paraId="620648C8" w14:textId="77777777" w:rsidR="007803E3" w:rsidRPr="0020113A" w:rsidRDefault="007803E3" w:rsidP="007803E3">
          <w:pPr>
            <w:jc w:val="both"/>
            <w:rPr>
              <w:rFonts w:ascii="Times New Roman" w:hAnsi="Times New Roman"/>
              <w:b/>
              <w:sz w:val="24"/>
              <w:szCs w:val="24"/>
              <w:lang w:val="es-MX"/>
            </w:rPr>
          </w:pPr>
          <w:r w:rsidRPr="0020113A">
            <w:rPr>
              <w:rFonts w:ascii="Times New Roman" w:hAnsi="Times New Roman"/>
              <w:b/>
              <w:sz w:val="24"/>
              <w:szCs w:val="24"/>
              <w:lang w:val="es-MX"/>
            </w:rPr>
            <w:t xml:space="preserve">Observaciones: </w:t>
          </w:r>
          <w:r w:rsidRPr="0020113A">
            <w:rPr>
              <w:rFonts w:ascii="Times New Roman" w:hAnsi="Times New Roman"/>
              <w:sz w:val="24"/>
              <w:szCs w:val="24"/>
              <w:lang w:val="es-MX"/>
            </w:rPr>
            <w:t>Los bienes de propiedad de la ANI, y, en general, todos los bienes inmuebles con todas sus anexidades y equipos, software y demás activos que hacen parte del Proyecto, serán entregados a la ANI en las condiciones señaladas en el Apéndice Técnico 2 al momento de la terminación de la Etapa de Reversión.</w:t>
          </w:r>
        </w:p>
        <w:p w14:paraId="262318FE" w14:textId="77777777" w:rsidR="007803E3" w:rsidRPr="0020113A" w:rsidRDefault="007803E3" w:rsidP="00E60BAB">
          <w:pPr>
            <w:pStyle w:val="Prrafodelista"/>
            <w:numPr>
              <w:ilvl w:val="0"/>
              <w:numId w:val="72"/>
            </w:numPr>
            <w:spacing w:line="259" w:lineRule="auto"/>
            <w:rPr>
              <w:rFonts w:ascii="Times New Roman" w:hAnsi="Times New Roman"/>
              <w:b/>
              <w:sz w:val="24"/>
              <w:szCs w:val="24"/>
              <w:lang w:val="es-MX"/>
            </w:rPr>
          </w:pPr>
          <w:r w:rsidRPr="0020113A">
            <w:rPr>
              <w:rFonts w:ascii="Times New Roman" w:hAnsi="Times New Roman"/>
              <w:b/>
              <w:sz w:val="24"/>
              <w:szCs w:val="24"/>
              <w:lang w:val="es-MX"/>
            </w:rPr>
            <w:t>Cambios en el acuerdo de concesión que se realicen durante el periodo fiscal</w:t>
          </w:r>
        </w:p>
        <w:p w14:paraId="2B82972D" w14:textId="77777777" w:rsidR="007803E3" w:rsidRPr="0020113A" w:rsidRDefault="007803E3" w:rsidP="007803E3">
          <w:pPr>
            <w:jc w:val="center"/>
            <w:rPr>
              <w:rFonts w:ascii="Times New Roman" w:hAnsi="Times New Roman"/>
              <w:b/>
              <w:sz w:val="24"/>
              <w:szCs w:val="24"/>
              <w:lang w:val="es-MX"/>
            </w:rPr>
          </w:pPr>
          <w:r w:rsidRPr="0020113A">
            <w:rPr>
              <w:rFonts w:ascii="Times New Roman" w:hAnsi="Times New Roman"/>
              <w:b/>
              <w:sz w:val="24"/>
              <w:szCs w:val="24"/>
              <w:lang w:val="es-MX"/>
            </w:rPr>
            <w:t>Adiciones o Modificaciones en Tiempo</w:t>
          </w:r>
        </w:p>
        <w:tbl>
          <w:tblPr>
            <w:tblStyle w:val="Tablaconcuadrcula"/>
            <w:tblW w:w="0" w:type="auto"/>
            <w:tblLook w:val="04A0" w:firstRow="1" w:lastRow="0" w:firstColumn="1" w:lastColumn="0" w:noHBand="0" w:noVBand="1"/>
          </w:tblPr>
          <w:tblGrid>
            <w:gridCol w:w="3103"/>
            <w:gridCol w:w="2467"/>
            <w:gridCol w:w="3258"/>
          </w:tblGrid>
          <w:tr w:rsidR="007803E3" w:rsidRPr="005C2319" w14:paraId="77997F7F" w14:textId="77777777" w:rsidTr="006D6444">
            <w:trPr>
              <w:trHeight w:val="300"/>
            </w:trPr>
            <w:tc>
              <w:tcPr>
                <w:tcW w:w="3103" w:type="dxa"/>
                <w:shd w:val="clear" w:color="auto" w:fill="auto"/>
                <w:vAlign w:val="center"/>
              </w:tcPr>
              <w:p w14:paraId="4BEE5717" w14:textId="77777777" w:rsidR="007803E3" w:rsidRPr="005C2319" w:rsidRDefault="007803E3" w:rsidP="006D6444">
                <w:pPr>
                  <w:jc w:val="center"/>
                  <w:rPr>
                    <w:rFonts w:ascii="Times New Roman" w:hAnsi="Times New Roman"/>
                    <w:b/>
                    <w:sz w:val="16"/>
                    <w:szCs w:val="16"/>
                  </w:rPr>
                </w:pPr>
                <w:r w:rsidRPr="005C2319">
                  <w:rPr>
                    <w:rFonts w:ascii="Times New Roman" w:hAnsi="Times New Roman"/>
                    <w:b/>
                    <w:sz w:val="16"/>
                    <w:szCs w:val="16"/>
                  </w:rPr>
                  <w:t>Fechas de las adiciones o modificaciones</w:t>
                </w:r>
              </w:p>
            </w:tc>
            <w:tc>
              <w:tcPr>
                <w:tcW w:w="2467" w:type="dxa"/>
                <w:shd w:val="clear" w:color="auto" w:fill="auto"/>
                <w:vAlign w:val="center"/>
              </w:tcPr>
              <w:p w14:paraId="118FDA9C" w14:textId="77777777" w:rsidR="007803E3" w:rsidRPr="005C2319" w:rsidRDefault="007803E3" w:rsidP="006D6444">
                <w:pPr>
                  <w:jc w:val="center"/>
                  <w:rPr>
                    <w:rFonts w:ascii="Times New Roman" w:hAnsi="Times New Roman"/>
                    <w:b/>
                    <w:sz w:val="16"/>
                    <w:szCs w:val="16"/>
                  </w:rPr>
                </w:pPr>
                <w:r w:rsidRPr="005C2319">
                  <w:rPr>
                    <w:rFonts w:ascii="Times New Roman" w:hAnsi="Times New Roman"/>
                    <w:b/>
                    <w:sz w:val="16"/>
                    <w:szCs w:val="16"/>
                  </w:rPr>
                  <w:t>Nueva fecha de finalización estimada</w:t>
                </w:r>
              </w:p>
            </w:tc>
            <w:tc>
              <w:tcPr>
                <w:tcW w:w="3258" w:type="dxa"/>
                <w:shd w:val="clear" w:color="auto" w:fill="auto"/>
                <w:vAlign w:val="center"/>
              </w:tcPr>
              <w:p w14:paraId="56C25090" w14:textId="77777777" w:rsidR="007803E3" w:rsidRPr="005C2319" w:rsidRDefault="007803E3" w:rsidP="006D6444">
                <w:pPr>
                  <w:jc w:val="center"/>
                  <w:rPr>
                    <w:rFonts w:ascii="Times New Roman" w:hAnsi="Times New Roman"/>
                    <w:b/>
                    <w:sz w:val="16"/>
                    <w:szCs w:val="16"/>
                  </w:rPr>
                </w:pPr>
                <w:r w:rsidRPr="005C2319">
                  <w:rPr>
                    <w:rFonts w:ascii="Times New Roman" w:hAnsi="Times New Roman"/>
                    <w:b/>
                    <w:sz w:val="16"/>
                    <w:szCs w:val="16"/>
                  </w:rPr>
                  <w:t>Observaciones</w:t>
                </w:r>
              </w:p>
            </w:tc>
          </w:tr>
          <w:tr w:rsidR="007803E3" w:rsidRPr="005C2319" w14:paraId="7E15222D" w14:textId="77777777" w:rsidTr="006D6444">
            <w:trPr>
              <w:trHeight w:val="300"/>
            </w:trPr>
            <w:tc>
              <w:tcPr>
                <w:tcW w:w="3103" w:type="dxa"/>
                <w:shd w:val="clear" w:color="auto" w:fill="auto"/>
                <w:vAlign w:val="center"/>
              </w:tcPr>
              <w:p w14:paraId="56BD2D83" w14:textId="5C2A4F7B" w:rsidR="007803E3" w:rsidRPr="005C2319" w:rsidRDefault="007803E3" w:rsidP="006D6444">
                <w:pPr>
                  <w:jc w:val="both"/>
                  <w:rPr>
                    <w:rFonts w:ascii="Times New Roman" w:hAnsi="Times New Roman"/>
                    <w:sz w:val="16"/>
                    <w:szCs w:val="16"/>
                  </w:rPr>
                </w:pPr>
                <w:r w:rsidRPr="005C2319">
                  <w:rPr>
                    <w:rFonts w:ascii="Times New Roman" w:hAnsi="Times New Roman"/>
                    <w:sz w:val="16"/>
                    <w:szCs w:val="16"/>
                  </w:rPr>
                  <w:t>05/10/2020 (Fecha de firma del acuerdo COVID-19). 9/03/2022 (Fechas de firma de los EER de Paro Nacional de 2021 y Ola Invernal de 2020). 17/06/2022 (Fecha de Notificación del inicio del Plazo de Cura del 20% del plazo originalmente previsto para la terminación de la UF1).</w:t>
                </w:r>
              </w:p>
            </w:tc>
            <w:tc>
              <w:tcPr>
                <w:tcW w:w="2467" w:type="dxa"/>
                <w:shd w:val="clear" w:color="auto" w:fill="auto"/>
              </w:tcPr>
              <w:p w14:paraId="3287D687" w14:textId="77777777" w:rsidR="007803E3" w:rsidRPr="005C2319" w:rsidRDefault="007803E3" w:rsidP="006D6444">
                <w:pPr>
                  <w:pStyle w:val="Prrafodelista"/>
                  <w:jc w:val="both"/>
                  <w:rPr>
                    <w:rFonts w:ascii="Times New Roman" w:hAnsi="Times New Roman"/>
                    <w:sz w:val="16"/>
                    <w:szCs w:val="16"/>
                  </w:rPr>
                </w:pPr>
                <w:r w:rsidRPr="005C2319">
                  <w:rPr>
                    <w:rFonts w:ascii="Times New Roman" w:hAnsi="Times New Roman"/>
                    <w:sz w:val="16"/>
                    <w:szCs w:val="16"/>
                  </w:rPr>
                  <w:t>13/06/2023</w:t>
                </w:r>
              </w:p>
            </w:tc>
            <w:tc>
              <w:tcPr>
                <w:tcW w:w="3258" w:type="dxa"/>
                <w:shd w:val="clear" w:color="auto" w:fill="auto"/>
              </w:tcPr>
              <w:p w14:paraId="203DCE04" w14:textId="77777777" w:rsidR="007803E3" w:rsidRPr="005C2319" w:rsidRDefault="007803E3" w:rsidP="006D6444">
                <w:pPr>
                  <w:jc w:val="both"/>
                  <w:rPr>
                    <w:rFonts w:ascii="Times New Roman" w:hAnsi="Times New Roman"/>
                    <w:sz w:val="16"/>
                    <w:szCs w:val="16"/>
                  </w:rPr>
                </w:pPr>
                <w:r w:rsidRPr="005C2319">
                  <w:rPr>
                    <w:rFonts w:ascii="Times New Roman" w:hAnsi="Times New Roman"/>
                    <w:sz w:val="16"/>
                    <w:szCs w:val="16"/>
                  </w:rPr>
                  <w:t>Modificación plazo UF 1 por plazo COVID-19, por los EER de Paro Nacional de 2021 y Ola Invernal de 2020 y por el Plazo de Cura del 20% del plazo previsto para su terminación.</w:t>
                </w:r>
              </w:p>
            </w:tc>
          </w:tr>
          <w:tr w:rsidR="007803E3" w:rsidRPr="005C2319" w14:paraId="74597646" w14:textId="77777777" w:rsidTr="00F61C4C">
            <w:trPr>
              <w:trHeight w:val="4400"/>
            </w:trPr>
            <w:tc>
              <w:tcPr>
                <w:tcW w:w="3103" w:type="dxa"/>
                <w:shd w:val="clear" w:color="auto" w:fill="auto"/>
              </w:tcPr>
              <w:p w14:paraId="0BCD176E" w14:textId="77777777" w:rsidR="007803E3" w:rsidRPr="005C2319" w:rsidRDefault="007803E3" w:rsidP="006D6444">
                <w:pPr>
                  <w:jc w:val="both"/>
                  <w:rPr>
                    <w:rFonts w:ascii="Times New Roman" w:hAnsi="Times New Roman"/>
                    <w:sz w:val="16"/>
                    <w:szCs w:val="16"/>
                  </w:rPr>
                </w:pPr>
                <w:r w:rsidRPr="005C2319">
                  <w:rPr>
                    <w:rFonts w:ascii="Times New Roman" w:hAnsi="Times New Roman"/>
                    <w:sz w:val="16"/>
                    <w:szCs w:val="16"/>
                  </w:rPr>
                  <w:lastRenderedPageBreak/>
                  <w:t xml:space="preserve">05/10/2020 (Fecha de firma del acuerdo COVID-19),   16/10/2020 (Fecha del oficio en donde se autoriza el plazo adicional por la Reducción de la Retribución) y 11/02/2021 (Fecha de firma del Otrosí 4 del Contrato de Concesión en donde se otorgó un Plazo de Cura de 288 Días para la terminación de la UF 3. 9/03/2022 (Fechas de firma de los EER de Paro Nacional de 2021 y Ola Invernal de 2020).   </w:t>
                </w:r>
              </w:p>
            </w:tc>
            <w:tc>
              <w:tcPr>
                <w:tcW w:w="2467" w:type="dxa"/>
                <w:shd w:val="clear" w:color="auto" w:fill="auto"/>
              </w:tcPr>
              <w:p w14:paraId="56088CD5" w14:textId="77777777" w:rsidR="007803E3" w:rsidRPr="005C2319" w:rsidRDefault="007803E3" w:rsidP="006D6444">
                <w:pPr>
                  <w:jc w:val="center"/>
                  <w:rPr>
                    <w:rFonts w:ascii="Times New Roman" w:hAnsi="Times New Roman"/>
                    <w:sz w:val="16"/>
                    <w:szCs w:val="16"/>
                  </w:rPr>
                </w:pPr>
                <w:r w:rsidRPr="005C2319">
                  <w:rPr>
                    <w:rFonts w:ascii="Times New Roman" w:hAnsi="Times New Roman"/>
                    <w:sz w:val="16"/>
                    <w:szCs w:val="16"/>
                  </w:rPr>
                  <w:t>06/12/2022 para la UF2 Y 05/12/2022 para la UF3</w:t>
                </w:r>
              </w:p>
            </w:tc>
            <w:tc>
              <w:tcPr>
                <w:tcW w:w="3258" w:type="dxa"/>
                <w:shd w:val="clear" w:color="auto" w:fill="auto"/>
                <w:vAlign w:val="center"/>
              </w:tcPr>
              <w:p w14:paraId="210FB839" w14:textId="77777777" w:rsidR="007803E3" w:rsidRPr="005C2319" w:rsidRDefault="007803E3" w:rsidP="006D6444">
                <w:pPr>
                  <w:jc w:val="both"/>
                  <w:rPr>
                    <w:rFonts w:ascii="Times New Roman" w:hAnsi="Times New Roman"/>
                    <w:sz w:val="16"/>
                    <w:szCs w:val="16"/>
                  </w:rPr>
                </w:pPr>
                <w:r w:rsidRPr="005C2319">
                  <w:rPr>
                    <w:rFonts w:ascii="Times New Roman" w:hAnsi="Times New Roman"/>
                    <w:sz w:val="16"/>
                    <w:szCs w:val="16"/>
                  </w:rPr>
                  <w:t>Modificación plazo UF 2 por plazo COVID-19, Reducción de la Retribución y Plazo de Cura del Otrosí 4. La firma del acuerdo COVID-19 desplaza el calendario 98 días, la compra de plazo que se dio a través del oficio ANI 20203120311311 de fecha 16 de octubre de 2020 agrega 90 días al calendario y la firma del Otrosí 4 adiciona 288 días. La firma de los EER del Paro Nacional de 2021 y la Ola Invernal de 2022 otorgaron 87 Días adicionales y hubo un Plazo de Cura de 60 Días para la terminación de la UF 2. Modificación plazo UF 3 por plazo COVID-19, Reducción de la Retribución y Plazo de Cura del Otrosí 4. La firma del acuerdo COVID-19 desplaza el calendario 98 días, la compra de plazo que se dio a través del oficio ANI 20203120311311 de fecha 16 de octubre de 2020 agrega 90 días al calendario y la firma del Otrosí 4 adiciona 288 días. La firma de los EER del Paro Nacional de 2021 y la Ola Invernal de 2022 otorgaron 87 Días adicionales y hubo un Plazo de Cura de 60 Días para la terminación de la UF 3.</w:t>
                </w:r>
              </w:p>
              <w:p w14:paraId="731B2B4F" w14:textId="77777777" w:rsidR="007803E3" w:rsidRPr="005C2319" w:rsidRDefault="007803E3" w:rsidP="006D6444">
                <w:pPr>
                  <w:pStyle w:val="Prrafodelista"/>
                  <w:rPr>
                    <w:rFonts w:ascii="Times New Roman" w:hAnsi="Times New Roman"/>
                    <w:sz w:val="16"/>
                    <w:szCs w:val="16"/>
                  </w:rPr>
                </w:pPr>
              </w:p>
            </w:tc>
          </w:tr>
          <w:tr w:rsidR="007803E3" w:rsidRPr="005C2319" w14:paraId="03982007" w14:textId="77777777" w:rsidTr="006D6444">
            <w:trPr>
              <w:trHeight w:val="300"/>
            </w:trPr>
            <w:tc>
              <w:tcPr>
                <w:tcW w:w="3103" w:type="dxa"/>
                <w:shd w:val="clear" w:color="auto" w:fill="auto"/>
                <w:vAlign w:val="center"/>
              </w:tcPr>
              <w:p w14:paraId="271B4FF2" w14:textId="77777777" w:rsidR="007803E3" w:rsidRPr="005C2319" w:rsidRDefault="007803E3" w:rsidP="006D6444">
                <w:pPr>
                  <w:jc w:val="both"/>
                  <w:rPr>
                    <w:rFonts w:ascii="Times New Roman" w:hAnsi="Times New Roman"/>
                    <w:sz w:val="16"/>
                    <w:szCs w:val="16"/>
                  </w:rPr>
                </w:pPr>
                <w:r w:rsidRPr="005C2319">
                  <w:rPr>
                    <w:rFonts w:ascii="Times New Roman" w:hAnsi="Times New Roman"/>
                    <w:sz w:val="16"/>
                    <w:szCs w:val="16"/>
                  </w:rPr>
                  <w:t xml:space="preserve">05/10/2020 (Fecha de firma del acuerdo COVID-19),   16/10/2020 (Fecha del oficio en donde se autoriza el plazo adicional por la Reducción de la Retribución) y 11/02/2021 (Fecha de firma del Otrosí 4 del Contrato de Concesión en donde se otorgó un Plazo de Cura de 288 Días para la terminación de la UF 4. 9/03/2022 (Fechas de firma de los EER de Paro Nacional de 2021 y Ola Invernal de 2020).   </w:t>
                </w:r>
              </w:p>
            </w:tc>
            <w:tc>
              <w:tcPr>
                <w:tcW w:w="2467" w:type="dxa"/>
                <w:shd w:val="clear" w:color="auto" w:fill="auto"/>
                <w:vAlign w:val="center"/>
              </w:tcPr>
              <w:p w14:paraId="5DD6BBC6" w14:textId="77777777" w:rsidR="007803E3" w:rsidRPr="005C2319" w:rsidRDefault="007803E3" w:rsidP="006D6444">
                <w:pPr>
                  <w:pStyle w:val="Prrafodelista"/>
                  <w:jc w:val="both"/>
                  <w:rPr>
                    <w:rFonts w:ascii="Times New Roman" w:hAnsi="Times New Roman"/>
                    <w:sz w:val="16"/>
                    <w:szCs w:val="16"/>
                  </w:rPr>
                </w:pPr>
                <w:r w:rsidRPr="005C2319">
                  <w:rPr>
                    <w:rFonts w:ascii="Times New Roman" w:hAnsi="Times New Roman"/>
                    <w:sz w:val="16"/>
                    <w:szCs w:val="16"/>
                  </w:rPr>
                  <w:t>23/12/2022</w:t>
                </w:r>
              </w:p>
            </w:tc>
            <w:tc>
              <w:tcPr>
                <w:tcW w:w="3258" w:type="dxa"/>
                <w:shd w:val="clear" w:color="auto" w:fill="auto"/>
                <w:vAlign w:val="center"/>
              </w:tcPr>
              <w:p w14:paraId="11EE7200" w14:textId="77777777" w:rsidR="007803E3" w:rsidRPr="005C2319" w:rsidRDefault="007803E3" w:rsidP="006D6444">
                <w:pPr>
                  <w:jc w:val="both"/>
                  <w:rPr>
                    <w:rFonts w:ascii="Times New Roman" w:hAnsi="Times New Roman"/>
                    <w:sz w:val="16"/>
                    <w:szCs w:val="16"/>
                  </w:rPr>
                </w:pPr>
                <w:r w:rsidRPr="005C2319">
                  <w:rPr>
                    <w:rFonts w:ascii="Times New Roman" w:hAnsi="Times New Roman"/>
                    <w:sz w:val="16"/>
                    <w:szCs w:val="16"/>
                  </w:rPr>
                  <w:t>Modificación plazo UF 4 por plazo COVID-19, Reducción de la Retribución y Plazo de Cura del Otrosí 4. La firma del acuerdo COVID-19 desplaza el calendario 98 días, la compra de plazo que se dio a través del oficio ANI 20203120311311 de fecha 16 de octubre de 2020 agrega 90 días al calendario y la firma del Otrosí 4 adiciona 288 días. La firma de los EER del Paro Nacional de 2021 y la Ola Invernal de 2022 otorgaron 87 Días adicionales y hubo un Plazo de Cura de 60 Días para la terminación de la UF 4.</w:t>
                </w:r>
              </w:p>
            </w:tc>
          </w:tr>
        </w:tbl>
        <w:p w14:paraId="7E115E97" w14:textId="77777777" w:rsidR="007803E3" w:rsidRPr="0020113A" w:rsidRDefault="007803E3" w:rsidP="007803E3">
          <w:pPr>
            <w:jc w:val="center"/>
            <w:rPr>
              <w:rFonts w:ascii="Times New Roman" w:hAnsi="Times New Roman"/>
              <w:b/>
              <w:sz w:val="24"/>
              <w:szCs w:val="24"/>
              <w:lang w:val="es-MX"/>
            </w:rPr>
          </w:pPr>
        </w:p>
        <w:p w14:paraId="7B66D3F1" w14:textId="77777777" w:rsidR="007803E3" w:rsidRPr="0020113A" w:rsidRDefault="007803E3" w:rsidP="007803E3">
          <w:pPr>
            <w:jc w:val="center"/>
            <w:rPr>
              <w:rFonts w:ascii="Times New Roman" w:hAnsi="Times New Roman"/>
              <w:b/>
              <w:sz w:val="24"/>
              <w:szCs w:val="24"/>
              <w:lang w:val="es-MX"/>
            </w:rPr>
          </w:pPr>
          <w:r w:rsidRPr="0020113A">
            <w:rPr>
              <w:rFonts w:ascii="Times New Roman" w:hAnsi="Times New Roman"/>
              <w:b/>
              <w:sz w:val="24"/>
              <w:szCs w:val="24"/>
              <w:lang w:val="es-MX"/>
            </w:rPr>
            <w:t>Adiciones o Modificaciones en Valor</w:t>
          </w:r>
        </w:p>
        <w:tbl>
          <w:tblPr>
            <w:tblStyle w:val="Tablaconcuadrcula"/>
            <w:tblW w:w="0" w:type="auto"/>
            <w:tblLook w:val="04A0" w:firstRow="1" w:lastRow="0" w:firstColumn="1" w:lastColumn="0" w:noHBand="0" w:noVBand="1"/>
          </w:tblPr>
          <w:tblGrid>
            <w:gridCol w:w="3103"/>
            <w:gridCol w:w="2467"/>
            <w:gridCol w:w="3258"/>
          </w:tblGrid>
          <w:tr w:rsidR="007803E3" w:rsidRPr="005C2319" w14:paraId="70574881" w14:textId="77777777" w:rsidTr="006D6444">
            <w:trPr>
              <w:trHeight w:val="300"/>
            </w:trPr>
            <w:tc>
              <w:tcPr>
                <w:tcW w:w="3103" w:type="dxa"/>
                <w:shd w:val="clear" w:color="auto" w:fill="auto"/>
                <w:vAlign w:val="center"/>
              </w:tcPr>
              <w:p w14:paraId="32DDC5F4" w14:textId="77777777" w:rsidR="007803E3" w:rsidRPr="005C2319" w:rsidRDefault="007803E3" w:rsidP="006D6444">
                <w:pPr>
                  <w:jc w:val="center"/>
                  <w:rPr>
                    <w:rFonts w:ascii="Times New Roman" w:hAnsi="Times New Roman"/>
                    <w:b/>
                    <w:sz w:val="16"/>
                    <w:szCs w:val="16"/>
                  </w:rPr>
                </w:pPr>
                <w:r w:rsidRPr="005C2319">
                  <w:rPr>
                    <w:rFonts w:ascii="Times New Roman" w:hAnsi="Times New Roman"/>
                    <w:b/>
                    <w:sz w:val="16"/>
                    <w:szCs w:val="16"/>
                  </w:rPr>
                  <w:t>Valor de la adición o modificación</w:t>
                </w:r>
              </w:p>
            </w:tc>
            <w:tc>
              <w:tcPr>
                <w:tcW w:w="2467" w:type="dxa"/>
                <w:shd w:val="clear" w:color="auto" w:fill="auto"/>
                <w:vAlign w:val="center"/>
              </w:tcPr>
              <w:p w14:paraId="00FFEFCC" w14:textId="77777777" w:rsidR="007803E3" w:rsidRPr="005C2319" w:rsidRDefault="007803E3" w:rsidP="006D6444">
                <w:pPr>
                  <w:jc w:val="center"/>
                  <w:rPr>
                    <w:rFonts w:ascii="Times New Roman" w:hAnsi="Times New Roman"/>
                    <w:b/>
                    <w:sz w:val="16"/>
                    <w:szCs w:val="16"/>
                  </w:rPr>
                </w:pPr>
                <w:r w:rsidRPr="005C2319">
                  <w:rPr>
                    <w:rFonts w:ascii="Times New Roman" w:hAnsi="Times New Roman"/>
                    <w:b/>
                    <w:sz w:val="16"/>
                    <w:szCs w:val="16"/>
                  </w:rPr>
                  <w:t>Nuevo valor del acuerdo</w:t>
                </w:r>
              </w:p>
            </w:tc>
            <w:tc>
              <w:tcPr>
                <w:tcW w:w="3258" w:type="dxa"/>
                <w:shd w:val="clear" w:color="auto" w:fill="auto"/>
                <w:vAlign w:val="center"/>
              </w:tcPr>
              <w:p w14:paraId="759F0387" w14:textId="77777777" w:rsidR="007803E3" w:rsidRPr="005C2319" w:rsidRDefault="007803E3" w:rsidP="006D6444">
                <w:pPr>
                  <w:jc w:val="center"/>
                  <w:rPr>
                    <w:rFonts w:ascii="Times New Roman" w:hAnsi="Times New Roman"/>
                    <w:b/>
                    <w:sz w:val="16"/>
                    <w:szCs w:val="16"/>
                  </w:rPr>
                </w:pPr>
                <w:r w:rsidRPr="005C2319">
                  <w:rPr>
                    <w:rFonts w:ascii="Times New Roman" w:hAnsi="Times New Roman"/>
                    <w:b/>
                    <w:sz w:val="16"/>
                    <w:szCs w:val="16"/>
                  </w:rPr>
                  <w:t>Observaciones</w:t>
                </w:r>
              </w:p>
            </w:tc>
          </w:tr>
          <w:tr w:rsidR="007803E3" w:rsidRPr="005C2319" w14:paraId="58E3687B" w14:textId="77777777" w:rsidTr="006D6444">
            <w:trPr>
              <w:trHeight w:val="300"/>
            </w:trPr>
            <w:tc>
              <w:tcPr>
                <w:tcW w:w="3103" w:type="dxa"/>
                <w:shd w:val="clear" w:color="auto" w:fill="auto"/>
                <w:vAlign w:val="center"/>
              </w:tcPr>
              <w:p w14:paraId="5F8568FC" w14:textId="77777777" w:rsidR="007803E3" w:rsidRPr="005C2319" w:rsidRDefault="007803E3" w:rsidP="006D6444">
                <w:pPr>
                  <w:jc w:val="both"/>
                  <w:rPr>
                    <w:rFonts w:ascii="Times New Roman" w:hAnsi="Times New Roman"/>
                    <w:sz w:val="16"/>
                    <w:szCs w:val="16"/>
                  </w:rPr>
                </w:pPr>
                <w:r w:rsidRPr="005C2319">
                  <w:rPr>
                    <w:rFonts w:ascii="Times New Roman" w:hAnsi="Times New Roman"/>
                    <w:sz w:val="16"/>
                    <w:szCs w:val="16"/>
                  </w:rPr>
                  <w:t xml:space="preserve">$9.693.748.065,13 Pesos del Mes de Referencia.  </w:t>
                </w:r>
              </w:p>
            </w:tc>
            <w:tc>
              <w:tcPr>
                <w:tcW w:w="2467" w:type="dxa"/>
                <w:shd w:val="clear" w:color="auto" w:fill="auto"/>
                <w:vAlign w:val="center"/>
              </w:tcPr>
              <w:p w14:paraId="1C196996" w14:textId="77777777" w:rsidR="007803E3" w:rsidRPr="005C2319" w:rsidRDefault="007803E3" w:rsidP="006D6444">
                <w:pPr>
                  <w:pStyle w:val="Prrafodelista"/>
                  <w:rPr>
                    <w:rFonts w:ascii="Times New Roman" w:hAnsi="Times New Roman"/>
                    <w:sz w:val="16"/>
                    <w:szCs w:val="16"/>
                  </w:rPr>
                </w:pPr>
                <w:r w:rsidRPr="005C2319">
                  <w:rPr>
                    <w:rFonts w:ascii="Times New Roman" w:hAnsi="Times New Roman"/>
                    <w:sz w:val="16"/>
                    <w:szCs w:val="16"/>
                  </w:rPr>
                  <w:t>No aplica</w:t>
                </w:r>
              </w:p>
            </w:tc>
            <w:tc>
              <w:tcPr>
                <w:tcW w:w="3258" w:type="dxa"/>
                <w:shd w:val="clear" w:color="auto" w:fill="auto"/>
              </w:tcPr>
              <w:p w14:paraId="15F45166" w14:textId="77777777" w:rsidR="007803E3" w:rsidRPr="005C2319" w:rsidRDefault="007803E3" w:rsidP="006D6444">
                <w:pPr>
                  <w:jc w:val="both"/>
                  <w:rPr>
                    <w:rFonts w:ascii="Times New Roman" w:hAnsi="Times New Roman"/>
                    <w:sz w:val="16"/>
                    <w:szCs w:val="16"/>
                  </w:rPr>
                </w:pPr>
                <w:r w:rsidRPr="005C2319">
                  <w:rPr>
                    <w:rFonts w:ascii="Times New Roman" w:hAnsi="Times New Roman"/>
                    <w:sz w:val="16"/>
                    <w:szCs w:val="16"/>
                  </w:rPr>
                  <w:t>El valor de las obligaciones pactadas en el Otrosí 4 del Contrato de Concesión, por $9.693.748.065,13 Pesos del Mes de Referencia, no supuso un cambio en el valor del Contrato de Concesión.</w:t>
                </w:r>
              </w:p>
            </w:tc>
          </w:tr>
          <w:tr w:rsidR="007803E3" w:rsidRPr="005C2319" w14:paraId="09A76791" w14:textId="77777777" w:rsidTr="006D6444">
            <w:trPr>
              <w:trHeight w:val="300"/>
            </w:trPr>
            <w:tc>
              <w:tcPr>
                <w:tcW w:w="3103" w:type="dxa"/>
                <w:shd w:val="clear" w:color="auto" w:fill="auto"/>
                <w:vAlign w:val="center"/>
              </w:tcPr>
              <w:p w14:paraId="272C19E4" w14:textId="77777777" w:rsidR="007803E3" w:rsidRPr="005C2319" w:rsidRDefault="007803E3" w:rsidP="006D6444">
                <w:pPr>
                  <w:jc w:val="both"/>
                  <w:rPr>
                    <w:rFonts w:ascii="Times New Roman" w:hAnsi="Times New Roman"/>
                    <w:sz w:val="16"/>
                    <w:szCs w:val="16"/>
                  </w:rPr>
                </w:pPr>
                <w:r w:rsidRPr="005C2319">
                  <w:rPr>
                    <w:rFonts w:ascii="Times New Roman" w:hAnsi="Times New Roman"/>
                    <w:sz w:val="16"/>
                    <w:szCs w:val="16"/>
                  </w:rPr>
                  <w:t xml:space="preserve">$11.222.051.028,55 Pesos del Mes de Referencia.  </w:t>
                </w:r>
              </w:p>
            </w:tc>
            <w:tc>
              <w:tcPr>
                <w:tcW w:w="2467" w:type="dxa"/>
                <w:shd w:val="clear" w:color="auto" w:fill="auto"/>
                <w:vAlign w:val="center"/>
              </w:tcPr>
              <w:p w14:paraId="61EA062F" w14:textId="77777777" w:rsidR="007803E3" w:rsidRPr="005C2319" w:rsidRDefault="007803E3" w:rsidP="006D6444">
                <w:pPr>
                  <w:pStyle w:val="Prrafodelista"/>
                  <w:rPr>
                    <w:rFonts w:ascii="Times New Roman" w:hAnsi="Times New Roman"/>
                    <w:sz w:val="16"/>
                    <w:szCs w:val="16"/>
                  </w:rPr>
                </w:pPr>
                <w:r w:rsidRPr="005C2319">
                  <w:rPr>
                    <w:rFonts w:ascii="Times New Roman" w:hAnsi="Times New Roman"/>
                    <w:sz w:val="16"/>
                    <w:szCs w:val="16"/>
                  </w:rPr>
                  <w:t>No Aplica</w:t>
                </w:r>
              </w:p>
            </w:tc>
            <w:tc>
              <w:tcPr>
                <w:tcW w:w="3258" w:type="dxa"/>
                <w:shd w:val="clear" w:color="auto" w:fill="auto"/>
                <w:vAlign w:val="center"/>
              </w:tcPr>
              <w:p w14:paraId="69FC286A" w14:textId="77777777" w:rsidR="007803E3" w:rsidRPr="005C2319" w:rsidRDefault="007803E3" w:rsidP="006D6444">
                <w:pPr>
                  <w:jc w:val="both"/>
                  <w:rPr>
                    <w:rFonts w:ascii="Times New Roman" w:hAnsi="Times New Roman"/>
                    <w:sz w:val="16"/>
                    <w:szCs w:val="16"/>
                  </w:rPr>
                </w:pPr>
                <w:r w:rsidRPr="005C2319">
                  <w:rPr>
                    <w:rFonts w:ascii="Times New Roman" w:hAnsi="Times New Roman"/>
                    <w:sz w:val="16"/>
                    <w:szCs w:val="16"/>
                  </w:rPr>
                  <w:t>El valor de las obligaciones pactadas en el Otrosí 7 del Contrato de Concesión, por $11.222.051.028,55 Pesos del Mes de Referencia, no supuso un cambio en el valor del Contrato de Concesión.</w:t>
                </w:r>
              </w:p>
            </w:tc>
          </w:tr>
        </w:tbl>
        <w:p w14:paraId="763CDF38" w14:textId="77777777" w:rsidR="007803E3" w:rsidRDefault="007803E3" w:rsidP="007803E3">
          <w:pPr>
            <w:rPr>
              <w:rFonts w:ascii="Times New Roman" w:hAnsi="Times New Roman"/>
              <w:b/>
              <w:sz w:val="24"/>
              <w:szCs w:val="24"/>
              <w:lang w:val="es-MX"/>
            </w:rPr>
          </w:pPr>
        </w:p>
        <w:p w14:paraId="1A602FB6" w14:textId="77777777" w:rsidR="00757F75" w:rsidRPr="0020113A" w:rsidRDefault="00757F75" w:rsidP="007803E3">
          <w:pPr>
            <w:rPr>
              <w:rFonts w:ascii="Times New Roman" w:hAnsi="Times New Roman"/>
              <w:b/>
              <w:sz w:val="24"/>
              <w:szCs w:val="24"/>
              <w:lang w:val="es-MX"/>
            </w:rPr>
          </w:pPr>
        </w:p>
        <w:p w14:paraId="184C545E" w14:textId="77777777"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MALLA VIAL DEL META</w:t>
          </w:r>
        </w:p>
        <w:p w14:paraId="434D58B7" w14:textId="77777777" w:rsidR="007803E3" w:rsidRPr="0020113A" w:rsidRDefault="007803E3" w:rsidP="00E60BAB">
          <w:pPr>
            <w:pStyle w:val="Prrafodelista"/>
            <w:numPr>
              <w:ilvl w:val="0"/>
              <w:numId w:val="65"/>
            </w:numPr>
            <w:spacing w:line="259" w:lineRule="auto"/>
            <w:rPr>
              <w:rFonts w:ascii="Times New Roman" w:hAnsi="Times New Roman"/>
              <w:b/>
              <w:sz w:val="24"/>
              <w:szCs w:val="24"/>
              <w:lang w:val="es-MX"/>
            </w:rPr>
          </w:pPr>
          <w:r w:rsidRPr="0020113A">
            <w:rPr>
              <w:rFonts w:ascii="Times New Roman" w:hAnsi="Times New Roman"/>
              <w:b/>
              <w:sz w:val="24"/>
              <w:szCs w:val="24"/>
              <w:lang w:val="es-MX"/>
            </w:rPr>
            <w:t>Descripción del Acuerdo</w:t>
          </w:r>
        </w:p>
        <w:p w14:paraId="095131A9" w14:textId="77777777" w:rsidR="007803E3" w:rsidRPr="0020113A" w:rsidRDefault="007803E3" w:rsidP="18BAD2EC">
          <w:pPr>
            <w:spacing w:after="0"/>
            <w:rPr>
              <w:rFonts w:ascii="Times New Roman" w:hAnsi="Times New Roman"/>
              <w:sz w:val="24"/>
              <w:szCs w:val="24"/>
              <w:lang w:val="es-MX"/>
            </w:rPr>
          </w:pPr>
          <w:r w:rsidRPr="0020113A">
            <w:rPr>
              <w:rFonts w:ascii="Times New Roman" w:hAnsi="Times New Roman"/>
              <w:b/>
              <w:sz w:val="24"/>
              <w:szCs w:val="24"/>
              <w:lang w:val="es-MX"/>
            </w:rPr>
            <w:lastRenderedPageBreak/>
            <w:t xml:space="preserve">Número del Acuerdo de Concesión: </w:t>
          </w:r>
          <w:r w:rsidRPr="0020113A">
            <w:rPr>
              <w:rFonts w:ascii="Times New Roman" w:hAnsi="Times New Roman"/>
              <w:sz w:val="24"/>
              <w:szCs w:val="24"/>
              <w:lang w:val="es-MX"/>
            </w:rPr>
            <w:t>Contrato de Concesión bajo el esquema de APP-IP No 004 del 04/05/2015 - Otrosí No. 10 del 08/01/2021</w:t>
          </w:r>
        </w:p>
        <w:p w14:paraId="0AEAD752" w14:textId="77777777" w:rsidR="007803E3" w:rsidRPr="0020113A" w:rsidRDefault="007803E3" w:rsidP="18BAD2EC">
          <w:pPr>
            <w:spacing w:after="0"/>
            <w:jc w:val="both"/>
            <w:rPr>
              <w:rFonts w:ascii="Times New Roman" w:hAnsi="Times New Roman"/>
              <w:b/>
              <w:sz w:val="24"/>
              <w:szCs w:val="24"/>
              <w:lang w:val="es-MX"/>
            </w:rPr>
          </w:pPr>
          <w:r w:rsidRPr="0020113A">
            <w:rPr>
              <w:rFonts w:ascii="Times New Roman" w:hAnsi="Times New Roman"/>
              <w:b/>
              <w:sz w:val="24"/>
              <w:szCs w:val="24"/>
              <w:lang w:val="es-MX"/>
            </w:rPr>
            <w:t xml:space="preserve">Objeto / Descripción: </w:t>
          </w:r>
          <w:r w:rsidRPr="0020113A">
            <w:rPr>
              <w:rFonts w:ascii="Times New Roman" w:hAnsi="Times New Roman"/>
              <w:sz w:val="24"/>
              <w:szCs w:val="24"/>
              <w:lang w:val="es-MX"/>
            </w:rPr>
            <w:t>Realizar los estudios, diseños, financiación, construcción, operación, mantenimiento, gestión social, predial y ambiental respecto de los siguientes ítems: i) Corredor Granada – Villavicencio – Puerto López – Puerto Gaitán – Puente Arimena. ii) Anillo Vial de Villavicencio y Accesos a la Ciudad – Malla Vial del Meta</w:t>
          </w:r>
        </w:p>
        <w:p w14:paraId="6E531DBB" w14:textId="77777777" w:rsidR="007803E3" w:rsidRPr="0020113A" w:rsidRDefault="007803E3" w:rsidP="00A1352A">
          <w:pPr>
            <w:spacing w:after="0"/>
            <w:rPr>
              <w:rFonts w:ascii="Times New Roman" w:hAnsi="Times New Roman"/>
              <w:b/>
              <w:sz w:val="24"/>
              <w:szCs w:val="24"/>
              <w:lang w:val="es-MX"/>
            </w:rPr>
          </w:pPr>
          <w:r w:rsidRPr="0020113A">
            <w:rPr>
              <w:rFonts w:ascii="Times New Roman" w:hAnsi="Times New Roman"/>
              <w:b/>
              <w:sz w:val="24"/>
              <w:szCs w:val="24"/>
              <w:lang w:val="es-MX"/>
            </w:rPr>
            <w:t xml:space="preserve">Valor Inicial: </w:t>
          </w:r>
          <w:r w:rsidRPr="0020113A">
            <w:rPr>
              <w:rFonts w:ascii="Times New Roman" w:hAnsi="Times New Roman"/>
              <w:sz w:val="24"/>
              <w:szCs w:val="24"/>
              <w:lang w:val="es-MX"/>
            </w:rPr>
            <w:t>$ 3.200.531.909.579,00</w:t>
          </w:r>
        </w:p>
        <w:p w14:paraId="05A890F0" w14:textId="77777777" w:rsidR="007803E3" w:rsidRPr="0020113A" w:rsidRDefault="007803E3" w:rsidP="00A1352A">
          <w:pPr>
            <w:spacing w:after="0"/>
            <w:rPr>
              <w:rFonts w:ascii="Times New Roman" w:hAnsi="Times New Roman"/>
              <w:b/>
              <w:sz w:val="24"/>
              <w:szCs w:val="24"/>
              <w:lang w:val="es-MX"/>
            </w:rPr>
          </w:pPr>
          <w:r w:rsidRPr="0020113A">
            <w:rPr>
              <w:rFonts w:ascii="Times New Roman" w:hAnsi="Times New Roman"/>
              <w:b/>
              <w:sz w:val="24"/>
              <w:szCs w:val="24"/>
              <w:lang w:val="es-MX"/>
            </w:rPr>
            <w:t xml:space="preserve">Fecha de Inicio: </w:t>
          </w:r>
          <w:r w:rsidRPr="0020113A">
            <w:rPr>
              <w:rFonts w:ascii="Times New Roman" w:hAnsi="Times New Roman"/>
              <w:sz w:val="24"/>
              <w:szCs w:val="24"/>
              <w:lang w:val="es-MX"/>
            </w:rPr>
            <w:t>5/05/2015</w:t>
          </w:r>
        </w:p>
        <w:p w14:paraId="2ECD005C" w14:textId="77777777" w:rsidR="007803E3" w:rsidRPr="0020113A" w:rsidRDefault="007803E3" w:rsidP="00A1352A">
          <w:pPr>
            <w:spacing w:after="0"/>
            <w:rPr>
              <w:rFonts w:ascii="Times New Roman" w:hAnsi="Times New Roman"/>
              <w:sz w:val="24"/>
              <w:szCs w:val="24"/>
              <w:lang w:val="es-MX"/>
            </w:rPr>
          </w:pPr>
          <w:r w:rsidRPr="0020113A">
            <w:rPr>
              <w:rFonts w:ascii="Times New Roman" w:hAnsi="Times New Roman"/>
              <w:b/>
              <w:sz w:val="24"/>
              <w:szCs w:val="24"/>
              <w:lang w:val="es-MX"/>
            </w:rPr>
            <w:t>Fecha de Finalización Estimada</w:t>
          </w:r>
          <w:r w:rsidRPr="0020113A">
            <w:rPr>
              <w:rFonts w:ascii="Times New Roman" w:hAnsi="Times New Roman"/>
              <w:sz w:val="24"/>
              <w:szCs w:val="24"/>
            </w:rPr>
            <w:t xml:space="preserve"> </w:t>
          </w:r>
          <w:r w:rsidRPr="0020113A">
            <w:rPr>
              <w:rFonts w:ascii="Times New Roman" w:hAnsi="Times New Roman"/>
              <w:sz w:val="24"/>
              <w:szCs w:val="24"/>
              <w:lang w:val="es-MX"/>
            </w:rPr>
            <w:t>4/06/2045</w:t>
          </w:r>
        </w:p>
        <w:p w14:paraId="0993939B" w14:textId="77777777" w:rsidR="007803E3" w:rsidRPr="0020113A" w:rsidRDefault="007803E3" w:rsidP="00A1352A">
          <w:pPr>
            <w:spacing w:after="0"/>
            <w:rPr>
              <w:rFonts w:ascii="Times New Roman" w:hAnsi="Times New Roman"/>
              <w:b/>
              <w:sz w:val="24"/>
              <w:szCs w:val="24"/>
              <w:lang w:val="es-MX"/>
            </w:rPr>
          </w:pPr>
          <w:r w:rsidRPr="0020113A">
            <w:rPr>
              <w:rFonts w:ascii="Times New Roman" w:hAnsi="Times New Roman"/>
              <w:b/>
              <w:sz w:val="24"/>
              <w:szCs w:val="24"/>
              <w:lang w:val="es-MX"/>
            </w:rPr>
            <w:t xml:space="preserve">Tipo ID: </w:t>
          </w:r>
          <w:r w:rsidRPr="0020113A">
            <w:rPr>
              <w:rFonts w:ascii="Times New Roman" w:hAnsi="Times New Roman"/>
              <w:sz w:val="24"/>
              <w:szCs w:val="24"/>
              <w:lang w:val="es-MX"/>
            </w:rPr>
            <w:t>NIT</w:t>
          </w:r>
        </w:p>
        <w:p w14:paraId="7D924E0A" w14:textId="77777777" w:rsidR="007803E3" w:rsidRPr="0020113A" w:rsidRDefault="007803E3" w:rsidP="00A1352A">
          <w:pPr>
            <w:spacing w:after="0"/>
            <w:rPr>
              <w:rFonts w:ascii="Times New Roman" w:hAnsi="Times New Roman"/>
              <w:b/>
              <w:sz w:val="24"/>
              <w:szCs w:val="24"/>
              <w:lang w:val="es-MX"/>
            </w:rPr>
          </w:pPr>
          <w:r w:rsidRPr="0020113A">
            <w:rPr>
              <w:rFonts w:ascii="Times New Roman" w:hAnsi="Times New Roman"/>
              <w:b/>
              <w:sz w:val="24"/>
              <w:szCs w:val="24"/>
              <w:lang w:val="es-MX"/>
            </w:rPr>
            <w:t>Numero ID:</w:t>
          </w:r>
          <w:r w:rsidRPr="0020113A">
            <w:rPr>
              <w:rFonts w:ascii="Times New Roman" w:hAnsi="Times New Roman"/>
              <w:sz w:val="24"/>
              <w:szCs w:val="24"/>
              <w:lang w:val="es-MX"/>
            </w:rPr>
            <w:t xml:space="preserve"> 900.843.297-2</w:t>
          </w:r>
        </w:p>
        <w:p w14:paraId="70C8C054" w14:textId="77777777" w:rsidR="007803E3" w:rsidRPr="0020113A" w:rsidRDefault="007803E3" w:rsidP="00A1352A">
          <w:pPr>
            <w:spacing w:after="0"/>
            <w:rPr>
              <w:rFonts w:ascii="Times New Roman" w:hAnsi="Times New Roman"/>
              <w:sz w:val="24"/>
              <w:szCs w:val="24"/>
              <w:lang w:val="es-MX"/>
            </w:rPr>
          </w:pPr>
          <w:r w:rsidRPr="0020113A">
            <w:rPr>
              <w:rFonts w:ascii="Times New Roman" w:hAnsi="Times New Roman"/>
              <w:b/>
              <w:sz w:val="24"/>
              <w:szCs w:val="24"/>
              <w:lang w:val="es-MX"/>
            </w:rPr>
            <w:t xml:space="preserve">Razón Social del Concesionario: </w:t>
          </w:r>
          <w:r w:rsidRPr="0020113A">
            <w:rPr>
              <w:rFonts w:ascii="Times New Roman" w:hAnsi="Times New Roman"/>
              <w:sz w:val="24"/>
              <w:szCs w:val="24"/>
              <w:lang w:val="es-MX"/>
            </w:rPr>
            <w:t>Concesión Vial De Los Llanos SAS</w:t>
          </w:r>
        </w:p>
        <w:p w14:paraId="60874987" w14:textId="77777777" w:rsidR="007803E3" w:rsidRPr="0020113A" w:rsidRDefault="007803E3" w:rsidP="007803E3">
          <w:pPr>
            <w:rPr>
              <w:rFonts w:ascii="Times New Roman" w:hAnsi="Times New Roman"/>
              <w:sz w:val="24"/>
              <w:szCs w:val="24"/>
              <w:lang w:val="es-MX"/>
            </w:rPr>
          </w:pPr>
          <w:r w:rsidRPr="0020113A">
            <w:rPr>
              <w:rFonts w:ascii="Times New Roman" w:hAnsi="Times New Roman"/>
              <w:b/>
              <w:sz w:val="24"/>
              <w:szCs w:val="24"/>
              <w:lang w:val="es-MX"/>
            </w:rPr>
            <w:t xml:space="preserve">Nombre del Proyecto: </w:t>
          </w:r>
          <w:r w:rsidRPr="0020113A">
            <w:rPr>
              <w:rFonts w:ascii="Times New Roman" w:hAnsi="Times New Roman"/>
              <w:sz w:val="24"/>
              <w:szCs w:val="24"/>
              <w:lang w:val="es-MX"/>
            </w:rPr>
            <w:t>Malla Vial Meta</w:t>
          </w:r>
        </w:p>
        <w:p w14:paraId="411CB95A" w14:textId="77777777" w:rsidR="007803E3" w:rsidRPr="0020113A" w:rsidRDefault="007803E3" w:rsidP="00E60BAB">
          <w:pPr>
            <w:pStyle w:val="Prrafodelista"/>
            <w:numPr>
              <w:ilvl w:val="0"/>
              <w:numId w:val="65"/>
            </w:numPr>
            <w:spacing w:line="259" w:lineRule="auto"/>
            <w:rPr>
              <w:rFonts w:ascii="Times New Roman" w:hAnsi="Times New Roman"/>
              <w:b/>
              <w:sz w:val="24"/>
              <w:szCs w:val="24"/>
              <w:lang w:val="es-MX"/>
            </w:rPr>
          </w:pPr>
          <w:r w:rsidRPr="0020113A">
            <w:rPr>
              <w:rFonts w:ascii="Times New Roman" w:hAnsi="Times New Roman"/>
              <w:b/>
              <w:sz w:val="24"/>
              <w:szCs w:val="24"/>
              <w:lang w:val="es-MX"/>
            </w:rPr>
            <w:t>Términos significativos del acuerdo que puedan afectar su valor, el calendario y la certeza de los flujos</w:t>
          </w:r>
        </w:p>
        <w:p w14:paraId="05FF8E76"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Términos de Valor: </w:t>
          </w:r>
          <w:r w:rsidRPr="0020113A">
            <w:rPr>
              <w:rFonts w:ascii="Times New Roman" w:hAnsi="Times New Roman"/>
              <w:sz w:val="24"/>
              <w:szCs w:val="24"/>
              <w:lang w:val="es-MX"/>
            </w:rPr>
            <w:t>En el año 2023 no se realizaron los ajustes por gradualidad de incremento en tarifas de peajes de Yucao y Casetabla, regulado en la Resolución No. 20213040037385 del 26/08/2021, y ajuste del esquema tarifario por inflación del año 2022 en la totalidad de los peajes del proyecto; por instrucción del Decreto No. 050 de 2023.</w:t>
          </w:r>
        </w:p>
        <w:p w14:paraId="3808F366"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Los valores de los saldos iniciales por gastos de Opex y ejecución financiera de la vigencia anterior se ajustan por la reprogramación de estos gastos de acuerdo con el avance ejecutado del cronograma de obras de la presente vigencia y por la actualización del IPC proyectado en estos gastos.</w:t>
          </w:r>
        </w:p>
        <w:p w14:paraId="4A6E622D"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Términos de Calendario: </w:t>
          </w:r>
          <w:r w:rsidRPr="0020113A">
            <w:rPr>
              <w:rFonts w:ascii="Times New Roman" w:hAnsi="Times New Roman"/>
              <w:sz w:val="24"/>
              <w:szCs w:val="24"/>
              <w:lang w:val="es-MX"/>
            </w:rPr>
            <w:t>El estado de avance determina la evolución del proceso constructivo. En términos generales a la entrega de la infraestructura y el cumplimiento de los correspondientes niveles de servicio se genera el derecho por parte del concesionario a recibir la retribución.</w:t>
          </w:r>
        </w:p>
        <w:p w14:paraId="07B93530"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 xml:space="preserve">Las fechas estimadas de terminación de la etapa de construcción, se establecen de acuerdo con lo estipulado en el numeral 2.5 del capítulo II PG del Contrato de Concesión. </w:t>
          </w:r>
        </w:p>
        <w:p w14:paraId="673A27EF"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Términos de Certeza de Flujos de Efectivo Futuros: </w:t>
          </w:r>
          <w:r w:rsidRPr="0020113A">
            <w:rPr>
              <w:rFonts w:ascii="Times New Roman" w:hAnsi="Times New Roman"/>
              <w:sz w:val="24"/>
              <w:szCs w:val="24"/>
              <w:lang w:val="es-MX"/>
            </w:rPr>
            <w:t>La principal fuente de ingreso efectivo del proyecto es el recaudo de peajes; como se establece en cláusula 3.4 PG del Contrato de Concesión.</w:t>
          </w:r>
        </w:p>
        <w:p w14:paraId="3D1AF030" w14:textId="77777777" w:rsidR="007803E3" w:rsidRPr="0020113A" w:rsidRDefault="007803E3" w:rsidP="00E60BAB">
          <w:pPr>
            <w:pStyle w:val="Prrafodelista"/>
            <w:numPr>
              <w:ilvl w:val="0"/>
              <w:numId w:val="65"/>
            </w:numPr>
            <w:spacing w:line="259" w:lineRule="auto"/>
            <w:jc w:val="both"/>
            <w:rPr>
              <w:rFonts w:ascii="Times New Roman" w:hAnsi="Times New Roman"/>
              <w:b/>
              <w:sz w:val="24"/>
              <w:szCs w:val="24"/>
              <w:lang w:val="es-MX"/>
            </w:rPr>
          </w:pPr>
          <w:r w:rsidRPr="0020113A">
            <w:rPr>
              <w:rFonts w:ascii="Times New Roman" w:hAnsi="Times New Roman"/>
              <w:b/>
              <w:sz w:val="24"/>
              <w:szCs w:val="24"/>
              <w:lang w:val="es-MX"/>
            </w:rPr>
            <w:t>Naturaleza y alcance del derecho a utilizar activos especificados, de los aspectos pactados en torno a lo que se espera que el concesionario proporcione en relación con el acuerdo de concesión</w:t>
          </w:r>
        </w:p>
        <w:p w14:paraId="4D7D3EA6" w14:textId="77777777" w:rsidR="007803E3" w:rsidRPr="0020113A" w:rsidRDefault="007803E3" w:rsidP="007803E3">
          <w:pPr>
            <w:jc w:val="center"/>
            <w:rPr>
              <w:rFonts w:ascii="Times New Roman" w:hAnsi="Times New Roman"/>
              <w:b/>
              <w:sz w:val="24"/>
              <w:szCs w:val="24"/>
              <w:lang w:val="es-MX"/>
            </w:rPr>
          </w:pPr>
          <w:r w:rsidRPr="0020113A">
            <w:rPr>
              <w:rFonts w:ascii="Times New Roman" w:hAnsi="Times New Roman"/>
              <w:b/>
              <w:sz w:val="24"/>
              <w:szCs w:val="24"/>
              <w:lang w:val="es-MX"/>
            </w:rPr>
            <w:t>Naturaleza y alcance del derecho de uso de los activos</w:t>
          </w:r>
        </w:p>
        <w:p w14:paraId="58D93EA5"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Descripción: </w:t>
          </w:r>
          <w:r w:rsidRPr="0020113A">
            <w:rPr>
              <w:rFonts w:ascii="Times New Roman" w:hAnsi="Times New Roman"/>
              <w:sz w:val="24"/>
              <w:szCs w:val="24"/>
              <w:lang w:val="es-MX"/>
            </w:rPr>
            <w:t xml:space="preserve">La naturaleza y alcance del derecho al uso de activos especificados, está determinada en el Otrosi 10, Parte Especial, Numeral 3,5; particularmente por el uso de las vías Granada - La Ye de Granada, Ye de Granada - Villavicencio, Villavicencio - Puerto </w:t>
          </w:r>
          <w:r w:rsidRPr="0020113A">
            <w:rPr>
              <w:rFonts w:ascii="Times New Roman" w:hAnsi="Times New Roman"/>
              <w:sz w:val="24"/>
              <w:szCs w:val="24"/>
              <w:lang w:val="es-MX"/>
            </w:rPr>
            <w:lastRenderedPageBreak/>
            <w:t>López, y Puerto López - Puerto Gaitán; así como las estaciones de peaje Ocoa, La Libertad, Iracá, Yucao y Casetabla</w:t>
          </w:r>
        </w:p>
        <w:p w14:paraId="21451FB4"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Observaciones: </w:t>
          </w:r>
          <w:r w:rsidRPr="0020113A">
            <w:rPr>
              <w:rFonts w:ascii="Times New Roman" w:hAnsi="Times New Roman"/>
              <w:sz w:val="24"/>
              <w:szCs w:val="24"/>
              <w:lang w:val="es-MX"/>
            </w:rPr>
            <w:t>El concesionario tiene el derecho a obtener el VPIP contractual. Establecido mediante Otrosí No. 10 del 08/01/2021, tabla de referencia 1,169 VPIP $ 951.237.143.568 pesos del mes de referencia. Teniendo en cuenta una TDI mensual del 0,6027 %, tabla de referencia, numeral 3.5, literal a) PE del contrato.</w:t>
          </w:r>
        </w:p>
        <w:p w14:paraId="73DDF51C" w14:textId="77777777" w:rsidR="007803E3" w:rsidRPr="0020113A" w:rsidRDefault="007803E3" w:rsidP="007803E3">
          <w:pPr>
            <w:jc w:val="center"/>
            <w:rPr>
              <w:rFonts w:ascii="Times New Roman" w:hAnsi="Times New Roman"/>
              <w:b/>
              <w:sz w:val="24"/>
              <w:szCs w:val="24"/>
              <w:lang w:val="es-MX"/>
            </w:rPr>
          </w:pPr>
          <w:r w:rsidRPr="0020113A">
            <w:rPr>
              <w:rFonts w:ascii="Times New Roman" w:hAnsi="Times New Roman"/>
              <w:b/>
              <w:sz w:val="24"/>
              <w:szCs w:val="24"/>
              <w:lang w:val="es-MX"/>
            </w:rPr>
            <w:t>Retribución al Concesionario</w:t>
          </w:r>
        </w:p>
        <w:p w14:paraId="25112045"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Descripción: </w:t>
          </w:r>
          <w:r w:rsidRPr="0020113A">
            <w:rPr>
              <w:rFonts w:ascii="Times New Roman" w:hAnsi="Times New Roman"/>
              <w:sz w:val="24"/>
              <w:szCs w:val="24"/>
              <w:lang w:val="es-MX"/>
            </w:rPr>
            <w:t>La retribución es la contraprestación económica a la que tiene derecho el Concesionario. Está definida en las secciones 1.143 y 3.1 PG del contrato. Las fuentes de retribución son recaudo de peajes e ingresos por explotación comercial.</w:t>
          </w:r>
        </w:p>
        <w:p w14:paraId="1D0FBC87" w14:textId="77777777" w:rsidR="007803E3" w:rsidRPr="0020113A" w:rsidRDefault="007803E3" w:rsidP="007803E3">
          <w:pPr>
            <w:jc w:val="both"/>
            <w:rPr>
              <w:rFonts w:ascii="Times New Roman" w:hAnsi="Times New Roman"/>
              <w:b/>
              <w:sz w:val="24"/>
              <w:szCs w:val="24"/>
              <w:lang w:val="es-MX"/>
            </w:rPr>
          </w:pPr>
          <w:r w:rsidRPr="0020113A">
            <w:rPr>
              <w:rFonts w:ascii="Times New Roman" w:hAnsi="Times New Roman"/>
              <w:b/>
              <w:sz w:val="24"/>
              <w:szCs w:val="24"/>
              <w:lang w:val="es-MX"/>
            </w:rPr>
            <w:t xml:space="preserve">Tasa de Retribución: </w:t>
          </w:r>
          <w:r w:rsidRPr="0020113A">
            <w:rPr>
              <w:rFonts w:ascii="Times New Roman" w:hAnsi="Times New Roman"/>
              <w:sz w:val="24"/>
              <w:szCs w:val="24"/>
              <w:lang w:val="es-MX"/>
            </w:rPr>
            <w:t>La retribución se determina de acuerdo con la cláusula 3.1, literal a), PG del contrato. Actualmente se retribuye al concesionario el 47,7 % del recaudo de peajes por concepto de la UF 0, de acuerdo con la metodología establecida en la parte especial del contrato.</w:t>
          </w:r>
        </w:p>
        <w:p w14:paraId="7FC04920" w14:textId="77777777" w:rsidR="007803E3" w:rsidRPr="0020113A" w:rsidRDefault="007803E3" w:rsidP="00E60BAB">
          <w:pPr>
            <w:pStyle w:val="Prrafodelista"/>
            <w:numPr>
              <w:ilvl w:val="0"/>
              <w:numId w:val="65"/>
            </w:numPr>
            <w:spacing w:line="259" w:lineRule="auto"/>
            <w:rPr>
              <w:rFonts w:ascii="Times New Roman" w:hAnsi="Times New Roman"/>
              <w:b/>
              <w:sz w:val="24"/>
              <w:szCs w:val="24"/>
              <w:lang w:val="es-MX"/>
            </w:rPr>
          </w:pPr>
          <w:r w:rsidRPr="0020113A">
            <w:rPr>
              <w:rFonts w:ascii="Times New Roman" w:hAnsi="Times New Roman"/>
              <w:b/>
              <w:sz w:val="24"/>
              <w:szCs w:val="24"/>
              <w:lang w:val="es-MX"/>
            </w:rPr>
            <w:t>Derechos a recibir activos especificados al final del acuerdo de concesión</w:t>
          </w:r>
        </w:p>
        <w:p w14:paraId="0EC258C6"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Descripción: </w:t>
          </w:r>
          <w:r w:rsidRPr="0020113A">
            <w:rPr>
              <w:rFonts w:ascii="Times New Roman" w:hAnsi="Times New Roman"/>
              <w:sz w:val="24"/>
              <w:szCs w:val="24"/>
              <w:lang w:val="es-MX"/>
            </w:rPr>
            <w:t>En la sección 9.7, Parte General del Contrato se establece el proceso de reversión que se dará cuando concluya la etapa de operación y mantenimiento, o cuando el contrato se termine anticipadamente.</w:t>
          </w:r>
        </w:p>
        <w:p w14:paraId="50D4590E" w14:textId="77777777" w:rsidR="007803E3" w:rsidRPr="0020113A" w:rsidRDefault="007803E3" w:rsidP="007803E3">
          <w:pPr>
            <w:jc w:val="both"/>
            <w:rPr>
              <w:rFonts w:ascii="Times New Roman" w:hAnsi="Times New Roman"/>
              <w:b/>
              <w:sz w:val="24"/>
              <w:szCs w:val="24"/>
              <w:lang w:val="es-MX"/>
            </w:rPr>
          </w:pPr>
          <w:r w:rsidRPr="0020113A">
            <w:rPr>
              <w:rFonts w:ascii="Times New Roman" w:hAnsi="Times New Roman"/>
              <w:b/>
              <w:sz w:val="24"/>
              <w:szCs w:val="24"/>
              <w:lang w:val="es-MX"/>
            </w:rPr>
            <w:t xml:space="preserve">Observaciones: </w:t>
          </w:r>
          <w:r w:rsidRPr="0020113A">
            <w:rPr>
              <w:rFonts w:ascii="Times New Roman" w:hAnsi="Times New Roman"/>
              <w:sz w:val="24"/>
              <w:szCs w:val="24"/>
              <w:lang w:val="es-MX"/>
            </w:rPr>
            <w:t>El numeral 5 del apéndice técnico 2 se definen las obras y bienes que hacen parte de la concesión y que deberán ser entregados a la ANI, sin costo alguno y libre de todo gravamen.</w:t>
          </w:r>
        </w:p>
        <w:p w14:paraId="7D693F9B" w14:textId="77777777" w:rsidR="007803E3" w:rsidRPr="0020113A" w:rsidRDefault="007803E3" w:rsidP="00E60BAB">
          <w:pPr>
            <w:pStyle w:val="Prrafodelista"/>
            <w:numPr>
              <w:ilvl w:val="0"/>
              <w:numId w:val="65"/>
            </w:numPr>
            <w:spacing w:line="259" w:lineRule="auto"/>
            <w:rPr>
              <w:rFonts w:ascii="Times New Roman" w:hAnsi="Times New Roman"/>
              <w:b/>
              <w:sz w:val="24"/>
              <w:szCs w:val="24"/>
              <w:lang w:val="es-MX"/>
            </w:rPr>
          </w:pPr>
          <w:r w:rsidRPr="0020113A">
            <w:rPr>
              <w:rFonts w:ascii="Times New Roman" w:hAnsi="Times New Roman"/>
              <w:b/>
              <w:sz w:val="24"/>
              <w:szCs w:val="24"/>
              <w:lang w:val="es-MX"/>
            </w:rPr>
            <w:t>Cambios en el acuerdo de concesión que se realicen durante el periodo fiscal</w:t>
          </w:r>
        </w:p>
        <w:p w14:paraId="49BA0F20" w14:textId="42761340" w:rsidR="007803E3" w:rsidRPr="0020113A" w:rsidRDefault="00AE4B79" w:rsidP="5C9B1038">
          <w:pPr>
            <w:rPr>
              <w:rFonts w:ascii="Times New Roman" w:hAnsi="Times New Roman"/>
              <w:b/>
              <w:sz w:val="24"/>
              <w:szCs w:val="24"/>
              <w:lang w:val="es-MX"/>
            </w:rPr>
          </w:pPr>
          <w:r>
            <w:rPr>
              <w:rFonts w:ascii="Times New Roman" w:hAnsi="Times New Roman"/>
              <w:b/>
              <w:sz w:val="24"/>
              <w:szCs w:val="24"/>
              <w:lang w:val="es-MX"/>
            </w:rPr>
            <w:t xml:space="preserve">No hay </w:t>
          </w:r>
          <w:r w:rsidR="007803E3" w:rsidRPr="0020113A">
            <w:rPr>
              <w:rFonts w:ascii="Times New Roman" w:hAnsi="Times New Roman"/>
              <w:b/>
              <w:sz w:val="24"/>
              <w:szCs w:val="24"/>
              <w:lang w:val="es-MX"/>
            </w:rPr>
            <w:t>Adiciones o Modificaciones en Tiempo</w:t>
          </w:r>
        </w:p>
        <w:p w14:paraId="5341E805" w14:textId="77777777" w:rsidR="007803E3" w:rsidRPr="0020113A" w:rsidRDefault="007803E3" w:rsidP="007803E3">
          <w:pPr>
            <w:jc w:val="center"/>
            <w:rPr>
              <w:rFonts w:ascii="Times New Roman" w:hAnsi="Times New Roman"/>
              <w:b/>
              <w:sz w:val="24"/>
              <w:szCs w:val="24"/>
              <w:lang w:val="es-MX"/>
            </w:rPr>
          </w:pPr>
          <w:r w:rsidRPr="0020113A">
            <w:rPr>
              <w:rFonts w:ascii="Times New Roman" w:hAnsi="Times New Roman"/>
              <w:b/>
              <w:sz w:val="24"/>
              <w:szCs w:val="24"/>
              <w:lang w:val="es-MX"/>
            </w:rPr>
            <w:t>Adiciones o Modificaciones en Valor</w:t>
          </w:r>
        </w:p>
        <w:tbl>
          <w:tblPr>
            <w:tblStyle w:val="Tablaconcuadrcula"/>
            <w:tblW w:w="0" w:type="auto"/>
            <w:tblLook w:val="04A0" w:firstRow="1" w:lastRow="0" w:firstColumn="1" w:lastColumn="0" w:noHBand="0" w:noVBand="1"/>
          </w:tblPr>
          <w:tblGrid>
            <w:gridCol w:w="3103"/>
            <w:gridCol w:w="2467"/>
            <w:gridCol w:w="3258"/>
          </w:tblGrid>
          <w:tr w:rsidR="007803E3" w:rsidRPr="005C2319" w14:paraId="7CCE93AD" w14:textId="77777777" w:rsidTr="006D6444">
            <w:tc>
              <w:tcPr>
                <w:tcW w:w="3103" w:type="dxa"/>
                <w:shd w:val="clear" w:color="auto" w:fill="auto"/>
                <w:vAlign w:val="center"/>
              </w:tcPr>
              <w:p w14:paraId="226EE195" w14:textId="77777777" w:rsidR="007803E3" w:rsidRPr="005C2319" w:rsidRDefault="007803E3" w:rsidP="006D6444">
                <w:pPr>
                  <w:jc w:val="center"/>
                  <w:rPr>
                    <w:rFonts w:ascii="Times New Roman" w:hAnsi="Times New Roman"/>
                    <w:b/>
                    <w:sz w:val="16"/>
                    <w:szCs w:val="16"/>
                  </w:rPr>
                </w:pPr>
                <w:r w:rsidRPr="005C2319">
                  <w:rPr>
                    <w:rFonts w:ascii="Times New Roman" w:hAnsi="Times New Roman"/>
                    <w:b/>
                    <w:sz w:val="16"/>
                    <w:szCs w:val="16"/>
                  </w:rPr>
                  <w:t>Valor de la adición o modificación</w:t>
                </w:r>
              </w:p>
            </w:tc>
            <w:tc>
              <w:tcPr>
                <w:tcW w:w="2467" w:type="dxa"/>
                <w:shd w:val="clear" w:color="auto" w:fill="auto"/>
                <w:vAlign w:val="center"/>
              </w:tcPr>
              <w:p w14:paraId="12D0DBD6" w14:textId="77777777" w:rsidR="007803E3" w:rsidRPr="005C2319" w:rsidRDefault="007803E3" w:rsidP="006D6444">
                <w:pPr>
                  <w:jc w:val="center"/>
                  <w:rPr>
                    <w:rFonts w:ascii="Times New Roman" w:hAnsi="Times New Roman"/>
                    <w:b/>
                    <w:sz w:val="16"/>
                    <w:szCs w:val="16"/>
                  </w:rPr>
                </w:pPr>
                <w:r w:rsidRPr="005C2319">
                  <w:rPr>
                    <w:rFonts w:ascii="Times New Roman" w:hAnsi="Times New Roman"/>
                    <w:b/>
                    <w:sz w:val="16"/>
                    <w:szCs w:val="16"/>
                  </w:rPr>
                  <w:t>Nuevo valor del acuerdo</w:t>
                </w:r>
              </w:p>
            </w:tc>
            <w:tc>
              <w:tcPr>
                <w:tcW w:w="3258" w:type="dxa"/>
                <w:shd w:val="clear" w:color="auto" w:fill="auto"/>
                <w:vAlign w:val="center"/>
              </w:tcPr>
              <w:p w14:paraId="718E57E3" w14:textId="77777777" w:rsidR="007803E3" w:rsidRPr="005C2319" w:rsidRDefault="007803E3" w:rsidP="006D6444">
                <w:pPr>
                  <w:jc w:val="center"/>
                  <w:rPr>
                    <w:rFonts w:ascii="Times New Roman" w:hAnsi="Times New Roman"/>
                    <w:b/>
                    <w:sz w:val="16"/>
                    <w:szCs w:val="16"/>
                  </w:rPr>
                </w:pPr>
                <w:r w:rsidRPr="005C2319">
                  <w:rPr>
                    <w:rFonts w:ascii="Times New Roman" w:hAnsi="Times New Roman"/>
                    <w:b/>
                    <w:sz w:val="16"/>
                    <w:szCs w:val="16"/>
                  </w:rPr>
                  <w:t>Observaciones</w:t>
                </w:r>
              </w:p>
            </w:tc>
          </w:tr>
          <w:tr w:rsidR="007803E3" w:rsidRPr="005C2319" w14:paraId="472E9582" w14:textId="77777777" w:rsidTr="006D6444">
            <w:tc>
              <w:tcPr>
                <w:tcW w:w="3103" w:type="dxa"/>
                <w:shd w:val="clear" w:color="auto" w:fill="auto"/>
                <w:vAlign w:val="center"/>
              </w:tcPr>
              <w:p w14:paraId="1C044990" w14:textId="77777777" w:rsidR="007803E3" w:rsidRPr="005C2319" w:rsidRDefault="007803E3" w:rsidP="006D6444">
                <w:pPr>
                  <w:jc w:val="center"/>
                  <w:rPr>
                    <w:rFonts w:ascii="Times New Roman" w:hAnsi="Times New Roman"/>
                    <w:sz w:val="16"/>
                    <w:szCs w:val="16"/>
                  </w:rPr>
                </w:pPr>
                <w:r w:rsidRPr="005C2319">
                  <w:rPr>
                    <w:rFonts w:ascii="Times New Roman" w:hAnsi="Times New Roman"/>
                    <w:sz w:val="16"/>
                    <w:szCs w:val="16"/>
                  </w:rPr>
                  <w:t>($1.619.604.878.672,00)</w:t>
                </w:r>
              </w:p>
            </w:tc>
            <w:tc>
              <w:tcPr>
                <w:tcW w:w="2467" w:type="dxa"/>
                <w:shd w:val="clear" w:color="auto" w:fill="auto"/>
                <w:vAlign w:val="center"/>
              </w:tcPr>
              <w:p w14:paraId="6B86DA93" w14:textId="77777777" w:rsidR="007803E3" w:rsidRPr="005C2319" w:rsidRDefault="007803E3" w:rsidP="006D6444">
                <w:pPr>
                  <w:jc w:val="center"/>
                  <w:rPr>
                    <w:rFonts w:ascii="Times New Roman" w:hAnsi="Times New Roman"/>
                    <w:sz w:val="16"/>
                    <w:szCs w:val="16"/>
                  </w:rPr>
                </w:pPr>
                <w:r w:rsidRPr="005C2319">
                  <w:rPr>
                    <w:rFonts w:ascii="Times New Roman" w:hAnsi="Times New Roman"/>
                    <w:sz w:val="16"/>
                    <w:szCs w:val="16"/>
                  </w:rPr>
                  <w:t>$1.580.927.030.907,00</w:t>
                </w:r>
              </w:p>
            </w:tc>
            <w:tc>
              <w:tcPr>
                <w:tcW w:w="3258" w:type="dxa"/>
                <w:shd w:val="clear" w:color="auto" w:fill="auto"/>
              </w:tcPr>
              <w:p w14:paraId="2F7C1B43" w14:textId="77777777" w:rsidR="007803E3" w:rsidRPr="005C2319" w:rsidRDefault="007803E3" w:rsidP="006D6444">
                <w:pPr>
                  <w:jc w:val="both"/>
                  <w:rPr>
                    <w:rFonts w:ascii="Times New Roman" w:hAnsi="Times New Roman"/>
                    <w:sz w:val="16"/>
                    <w:szCs w:val="16"/>
                  </w:rPr>
                </w:pPr>
                <w:r w:rsidRPr="005C2319">
                  <w:rPr>
                    <w:rFonts w:ascii="Times New Roman" w:hAnsi="Times New Roman"/>
                    <w:sz w:val="16"/>
                    <w:szCs w:val="16"/>
                  </w:rPr>
                  <w:t>De conformidad con el Laudo Arbitral del 28/02/2019, se suscribió el Otrosí No. 10 al Contrato de Concesión. Mediante el cual se modificó el alcance del proyecto con el fin de hacerlo financieramente viable.</w:t>
                </w:r>
              </w:p>
            </w:tc>
          </w:tr>
        </w:tbl>
        <w:p w14:paraId="612A7098" w14:textId="77777777" w:rsidR="007803E3" w:rsidRPr="0020113A" w:rsidRDefault="007803E3" w:rsidP="007803E3">
          <w:pPr>
            <w:rPr>
              <w:rFonts w:ascii="Times New Roman" w:hAnsi="Times New Roman"/>
              <w:b/>
              <w:sz w:val="24"/>
              <w:szCs w:val="24"/>
              <w:lang w:val="es-MX"/>
            </w:rPr>
          </w:pPr>
        </w:p>
        <w:p w14:paraId="4EB65C28" w14:textId="77777777" w:rsidR="00AE4B79" w:rsidRDefault="00AE4B79" w:rsidP="007803E3">
          <w:pPr>
            <w:rPr>
              <w:rFonts w:ascii="Times New Roman" w:hAnsi="Times New Roman"/>
              <w:b/>
              <w:sz w:val="24"/>
              <w:szCs w:val="24"/>
              <w:lang w:val="es-MX"/>
            </w:rPr>
          </w:pPr>
        </w:p>
        <w:p w14:paraId="342E654A" w14:textId="46CD5804"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CAMBAO MANIZALES</w:t>
          </w:r>
        </w:p>
        <w:p w14:paraId="72F09B33" w14:textId="77777777" w:rsidR="007803E3" w:rsidRPr="0020113A" w:rsidRDefault="007803E3" w:rsidP="00E60BAB">
          <w:pPr>
            <w:pStyle w:val="Prrafodelista"/>
            <w:numPr>
              <w:ilvl w:val="0"/>
              <w:numId w:val="64"/>
            </w:numPr>
            <w:spacing w:line="259" w:lineRule="auto"/>
            <w:rPr>
              <w:rFonts w:ascii="Times New Roman" w:hAnsi="Times New Roman"/>
              <w:b/>
              <w:sz w:val="24"/>
              <w:szCs w:val="24"/>
              <w:lang w:val="es-MX"/>
            </w:rPr>
          </w:pPr>
          <w:r w:rsidRPr="0020113A">
            <w:rPr>
              <w:rFonts w:ascii="Times New Roman" w:hAnsi="Times New Roman"/>
              <w:b/>
              <w:sz w:val="24"/>
              <w:szCs w:val="24"/>
              <w:lang w:val="es-MX"/>
            </w:rPr>
            <w:t>Descripción del Acuerdo</w:t>
          </w:r>
        </w:p>
        <w:p w14:paraId="137EF322" w14:textId="77777777" w:rsidR="007803E3" w:rsidRPr="0020113A" w:rsidRDefault="007803E3" w:rsidP="18BAD2EC">
          <w:pPr>
            <w:spacing w:after="0"/>
            <w:rPr>
              <w:rFonts w:ascii="Times New Roman" w:hAnsi="Times New Roman"/>
              <w:b/>
              <w:sz w:val="24"/>
              <w:szCs w:val="24"/>
              <w:lang w:val="es-MX"/>
            </w:rPr>
          </w:pPr>
          <w:r w:rsidRPr="0020113A">
            <w:rPr>
              <w:rFonts w:ascii="Times New Roman" w:hAnsi="Times New Roman"/>
              <w:b/>
              <w:sz w:val="24"/>
              <w:szCs w:val="24"/>
              <w:lang w:val="es-MX"/>
            </w:rPr>
            <w:t xml:space="preserve">Número del Acuerdo de Concesión: </w:t>
          </w:r>
          <w:r w:rsidRPr="0020113A">
            <w:rPr>
              <w:rFonts w:ascii="Times New Roman" w:hAnsi="Times New Roman"/>
              <w:sz w:val="24"/>
              <w:szCs w:val="24"/>
              <w:lang w:val="es-MX"/>
            </w:rPr>
            <w:t>008 de 2015</w:t>
          </w:r>
        </w:p>
        <w:p w14:paraId="08421FB8" w14:textId="77777777" w:rsidR="007803E3" w:rsidRPr="0020113A" w:rsidRDefault="007803E3" w:rsidP="18BAD2EC">
          <w:pPr>
            <w:spacing w:after="0"/>
            <w:jc w:val="both"/>
            <w:rPr>
              <w:rFonts w:ascii="Times New Roman" w:hAnsi="Times New Roman"/>
              <w:b/>
              <w:sz w:val="24"/>
              <w:szCs w:val="24"/>
              <w:lang w:val="es-MX"/>
            </w:rPr>
          </w:pPr>
          <w:r w:rsidRPr="0020113A">
            <w:rPr>
              <w:rFonts w:ascii="Times New Roman" w:hAnsi="Times New Roman"/>
              <w:b/>
              <w:sz w:val="24"/>
              <w:szCs w:val="24"/>
              <w:lang w:val="es-MX"/>
            </w:rPr>
            <w:lastRenderedPageBreak/>
            <w:t xml:space="preserve">Objeto / Descripción: </w:t>
          </w:r>
          <w:r w:rsidRPr="0020113A">
            <w:rPr>
              <w:rFonts w:ascii="Times New Roman" w:hAnsi="Times New Roman"/>
              <w:sz w:val="24"/>
              <w:szCs w:val="24"/>
              <w:lang w:val="es-MX"/>
            </w:rPr>
            <w:t>La financiación, operación, mantenimiento y rehabilitación del corredor - Ibagué - Armero - Mariquita - Honda y la financiación, operación, mantenimiento, mejoramiento y rehabilitación del corredor existente entre Cambao - Armero - Líbano - Murillo - La Esperanza</w:t>
          </w:r>
        </w:p>
        <w:p w14:paraId="6BC78A71" w14:textId="77777777" w:rsidR="007803E3" w:rsidRPr="0020113A" w:rsidRDefault="007803E3" w:rsidP="18BAD2EC">
          <w:pPr>
            <w:spacing w:after="0"/>
            <w:rPr>
              <w:rFonts w:ascii="Times New Roman" w:hAnsi="Times New Roman"/>
              <w:b/>
              <w:sz w:val="24"/>
              <w:szCs w:val="24"/>
              <w:lang w:val="es-MX"/>
            </w:rPr>
          </w:pPr>
          <w:r w:rsidRPr="0020113A">
            <w:rPr>
              <w:rFonts w:ascii="Times New Roman" w:hAnsi="Times New Roman"/>
              <w:b/>
              <w:sz w:val="24"/>
              <w:szCs w:val="24"/>
              <w:lang w:val="es-MX"/>
            </w:rPr>
            <w:t xml:space="preserve">Valor Inicial: </w:t>
          </w:r>
          <w:r w:rsidRPr="0020113A">
            <w:rPr>
              <w:rFonts w:ascii="Times New Roman" w:hAnsi="Times New Roman"/>
              <w:sz w:val="24"/>
              <w:szCs w:val="24"/>
              <w:lang w:val="es-MX"/>
            </w:rPr>
            <w:t>$1.334.383.590.504 a precios de diciembre de 2013</w:t>
          </w:r>
        </w:p>
        <w:p w14:paraId="6116FE85" w14:textId="77777777" w:rsidR="007803E3" w:rsidRPr="0020113A" w:rsidRDefault="007803E3" w:rsidP="29FA6526">
          <w:pPr>
            <w:spacing w:after="0"/>
            <w:rPr>
              <w:rFonts w:ascii="Times New Roman" w:hAnsi="Times New Roman"/>
              <w:b/>
              <w:sz w:val="24"/>
              <w:szCs w:val="24"/>
              <w:lang w:val="es-MX"/>
            </w:rPr>
          </w:pPr>
          <w:r w:rsidRPr="0020113A">
            <w:rPr>
              <w:rFonts w:ascii="Times New Roman" w:hAnsi="Times New Roman"/>
              <w:b/>
              <w:sz w:val="24"/>
              <w:szCs w:val="24"/>
              <w:lang w:val="es-MX"/>
            </w:rPr>
            <w:t>Fecha de Inicio:</w:t>
          </w:r>
          <w:r w:rsidRPr="0020113A">
            <w:rPr>
              <w:rFonts w:ascii="Times New Roman" w:hAnsi="Times New Roman"/>
              <w:b/>
              <w:bCs/>
              <w:sz w:val="24"/>
              <w:szCs w:val="24"/>
              <w:lang w:val="es-MX"/>
            </w:rPr>
            <w:t xml:space="preserve"> </w:t>
          </w:r>
          <w:r w:rsidRPr="0020113A">
            <w:rPr>
              <w:rFonts w:ascii="Times New Roman" w:hAnsi="Times New Roman"/>
              <w:sz w:val="24"/>
              <w:szCs w:val="24"/>
              <w:lang w:val="es-MX"/>
            </w:rPr>
            <w:t>21/08/2015</w:t>
          </w:r>
        </w:p>
        <w:p w14:paraId="4A2F1CB1" w14:textId="77777777" w:rsidR="007803E3" w:rsidRPr="0020113A" w:rsidRDefault="007803E3" w:rsidP="29FA6526">
          <w:pPr>
            <w:spacing w:after="0"/>
            <w:rPr>
              <w:rFonts w:ascii="Times New Roman" w:hAnsi="Times New Roman"/>
              <w:b/>
              <w:sz w:val="24"/>
              <w:szCs w:val="24"/>
              <w:lang w:val="es-MX"/>
            </w:rPr>
          </w:pPr>
          <w:r w:rsidRPr="0020113A">
            <w:rPr>
              <w:rFonts w:ascii="Times New Roman" w:hAnsi="Times New Roman"/>
              <w:b/>
              <w:sz w:val="24"/>
              <w:szCs w:val="24"/>
              <w:lang w:val="es-MX"/>
            </w:rPr>
            <w:t>Fecha de Finalización Estimada:</w:t>
          </w:r>
          <w:r w:rsidRPr="0020113A">
            <w:rPr>
              <w:rFonts w:ascii="Times New Roman" w:hAnsi="Times New Roman"/>
              <w:b/>
              <w:bCs/>
              <w:sz w:val="24"/>
              <w:szCs w:val="24"/>
              <w:lang w:val="es-MX"/>
            </w:rPr>
            <w:t xml:space="preserve"> </w:t>
          </w:r>
          <w:r w:rsidRPr="0020113A">
            <w:rPr>
              <w:rFonts w:ascii="Times New Roman" w:hAnsi="Times New Roman"/>
              <w:sz w:val="24"/>
              <w:szCs w:val="24"/>
              <w:lang w:val="es-MX"/>
            </w:rPr>
            <w:t>20/08/2049</w:t>
          </w:r>
        </w:p>
        <w:p w14:paraId="0C6C8D1E" w14:textId="77777777" w:rsidR="007803E3" w:rsidRPr="0020113A" w:rsidRDefault="007803E3" w:rsidP="29FA6526">
          <w:pPr>
            <w:spacing w:after="0"/>
            <w:rPr>
              <w:rFonts w:ascii="Times New Roman" w:hAnsi="Times New Roman"/>
              <w:b/>
              <w:sz w:val="24"/>
              <w:szCs w:val="24"/>
              <w:lang w:val="es-MX"/>
            </w:rPr>
          </w:pPr>
          <w:r w:rsidRPr="0020113A">
            <w:rPr>
              <w:rFonts w:ascii="Times New Roman" w:hAnsi="Times New Roman"/>
              <w:b/>
              <w:sz w:val="24"/>
              <w:szCs w:val="24"/>
              <w:lang w:val="es-MX"/>
            </w:rPr>
            <w:t>Tipo ID:</w:t>
          </w:r>
          <w:r w:rsidRPr="0020113A">
            <w:rPr>
              <w:rFonts w:ascii="Times New Roman" w:hAnsi="Times New Roman"/>
              <w:b/>
              <w:bCs/>
              <w:sz w:val="24"/>
              <w:szCs w:val="24"/>
              <w:lang w:val="es-MX"/>
            </w:rPr>
            <w:t xml:space="preserve"> </w:t>
          </w:r>
          <w:r w:rsidRPr="0020113A">
            <w:rPr>
              <w:rFonts w:ascii="Times New Roman" w:hAnsi="Times New Roman"/>
              <w:sz w:val="24"/>
              <w:szCs w:val="24"/>
              <w:lang w:val="es-MX"/>
            </w:rPr>
            <w:t>NIT</w:t>
          </w:r>
        </w:p>
        <w:p w14:paraId="3B6E7112" w14:textId="77777777" w:rsidR="007803E3" w:rsidRPr="0020113A" w:rsidRDefault="007803E3" w:rsidP="29FA6526">
          <w:pPr>
            <w:spacing w:after="0"/>
            <w:rPr>
              <w:rFonts w:ascii="Times New Roman" w:hAnsi="Times New Roman"/>
              <w:b/>
              <w:sz w:val="24"/>
              <w:szCs w:val="24"/>
              <w:lang w:val="es-MX"/>
            </w:rPr>
          </w:pPr>
          <w:r w:rsidRPr="0020113A">
            <w:rPr>
              <w:rFonts w:ascii="Times New Roman" w:hAnsi="Times New Roman"/>
              <w:b/>
              <w:sz w:val="24"/>
              <w:szCs w:val="24"/>
              <w:lang w:val="es-MX"/>
            </w:rPr>
            <w:t>Numero ID:</w:t>
          </w:r>
          <w:r w:rsidRPr="0020113A">
            <w:rPr>
              <w:rFonts w:ascii="Times New Roman" w:hAnsi="Times New Roman"/>
              <w:b/>
              <w:bCs/>
              <w:sz w:val="24"/>
              <w:szCs w:val="24"/>
              <w:lang w:val="es-MX"/>
            </w:rPr>
            <w:t xml:space="preserve"> </w:t>
          </w:r>
          <w:r w:rsidRPr="0020113A">
            <w:rPr>
              <w:rFonts w:ascii="Times New Roman" w:hAnsi="Times New Roman"/>
              <w:sz w:val="24"/>
              <w:szCs w:val="24"/>
              <w:lang w:val="es-MX"/>
            </w:rPr>
            <w:t>900.864.150-9</w:t>
          </w:r>
        </w:p>
        <w:p w14:paraId="16F489B9" w14:textId="77777777" w:rsidR="007803E3" w:rsidRPr="0020113A" w:rsidRDefault="007803E3" w:rsidP="29FA6526">
          <w:pPr>
            <w:spacing w:after="0"/>
            <w:rPr>
              <w:rFonts w:ascii="Times New Roman" w:hAnsi="Times New Roman"/>
              <w:b/>
              <w:sz w:val="24"/>
              <w:szCs w:val="24"/>
              <w:lang w:val="es-MX"/>
            </w:rPr>
          </w:pPr>
          <w:r w:rsidRPr="0020113A">
            <w:rPr>
              <w:rFonts w:ascii="Times New Roman" w:hAnsi="Times New Roman"/>
              <w:b/>
              <w:sz w:val="24"/>
              <w:szCs w:val="24"/>
              <w:lang w:val="es-MX"/>
            </w:rPr>
            <w:t>Razón Social del Concesionario:</w:t>
          </w:r>
          <w:r w:rsidRPr="0020113A">
            <w:rPr>
              <w:rFonts w:ascii="Times New Roman" w:hAnsi="Times New Roman"/>
              <w:b/>
              <w:bCs/>
              <w:sz w:val="24"/>
              <w:szCs w:val="24"/>
              <w:lang w:val="es-MX"/>
            </w:rPr>
            <w:t xml:space="preserve"> </w:t>
          </w:r>
          <w:r w:rsidRPr="0020113A">
            <w:rPr>
              <w:rFonts w:ascii="Times New Roman" w:hAnsi="Times New Roman"/>
              <w:sz w:val="24"/>
              <w:szCs w:val="24"/>
              <w:lang w:val="es-MX"/>
            </w:rPr>
            <w:t>Concesionaria Alternativas Viales S.A.S.</w:t>
          </w:r>
        </w:p>
        <w:p w14:paraId="3E542AF1" w14:textId="77777777" w:rsidR="007803E3" w:rsidRPr="0020113A" w:rsidRDefault="007803E3" w:rsidP="29FA6526">
          <w:pPr>
            <w:spacing w:after="0"/>
            <w:rPr>
              <w:rFonts w:ascii="Times New Roman" w:hAnsi="Times New Roman"/>
              <w:b/>
              <w:sz w:val="24"/>
              <w:szCs w:val="24"/>
              <w:lang w:val="es-MX"/>
            </w:rPr>
          </w:pPr>
          <w:r w:rsidRPr="0020113A">
            <w:rPr>
              <w:rFonts w:ascii="Times New Roman" w:hAnsi="Times New Roman"/>
              <w:b/>
              <w:bCs/>
              <w:sz w:val="24"/>
              <w:szCs w:val="24"/>
              <w:lang w:val="es-MX"/>
            </w:rPr>
            <w:t xml:space="preserve">Nombre del Proyecto: </w:t>
          </w:r>
          <w:r w:rsidRPr="0020113A">
            <w:rPr>
              <w:rFonts w:ascii="Times New Roman" w:hAnsi="Times New Roman"/>
              <w:sz w:val="24"/>
              <w:szCs w:val="24"/>
              <w:lang w:val="es-MX"/>
            </w:rPr>
            <w:t>PROYECTO VÍAL CAMBAO –MANIZALES, IBAGUE- MARIQUITA-HONDA</w:t>
          </w:r>
        </w:p>
        <w:p w14:paraId="5B2CF1CA" w14:textId="6EBB0545" w:rsidR="29FA6526" w:rsidRDefault="29FA6526" w:rsidP="29FA6526">
          <w:pPr>
            <w:spacing w:after="0"/>
            <w:rPr>
              <w:rFonts w:ascii="Times New Roman" w:hAnsi="Times New Roman"/>
              <w:sz w:val="24"/>
              <w:szCs w:val="24"/>
              <w:lang w:val="es-MX"/>
            </w:rPr>
          </w:pPr>
        </w:p>
        <w:p w14:paraId="3E0023E3" w14:textId="77777777" w:rsidR="007803E3" w:rsidRPr="0020113A" w:rsidRDefault="007803E3" w:rsidP="00E60BAB">
          <w:pPr>
            <w:pStyle w:val="Prrafodelista"/>
            <w:numPr>
              <w:ilvl w:val="0"/>
              <w:numId w:val="64"/>
            </w:numPr>
            <w:spacing w:line="259" w:lineRule="auto"/>
            <w:rPr>
              <w:rFonts w:ascii="Times New Roman" w:hAnsi="Times New Roman"/>
              <w:b/>
              <w:sz w:val="24"/>
              <w:szCs w:val="24"/>
              <w:lang w:val="es-MX"/>
            </w:rPr>
          </w:pPr>
          <w:r w:rsidRPr="0020113A">
            <w:rPr>
              <w:rFonts w:ascii="Times New Roman" w:hAnsi="Times New Roman"/>
              <w:b/>
              <w:sz w:val="24"/>
              <w:szCs w:val="24"/>
              <w:lang w:val="es-MX"/>
            </w:rPr>
            <w:t>Términos significativos del acuerdo que puedan afectar su valor, el calendario y la certeza de los flujos</w:t>
          </w:r>
        </w:p>
        <w:p w14:paraId="266D881E"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bCs/>
              <w:sz w:val="24"/>
              <w:szCs w:val="24"/>
              <w:lang w:val="es-MX"/>
            </w:rPr>
            <w:t xml:space="preserve">Términos de Valor: </w:t>
          </w:r>
          <w:r w:rsidRPr="0020113A">
            <w:rPr>
              <w:rFonts w:ascii="Times New Roman" w:hAnsi="Times New Roman"/>
              <w:sz w:val="24"/>
              <w:szCs w:val="24"/>
              <w:lang w:val="es-MX"/>
            </w:rPr>
            <w:t>El valor del contrato se fijó, mediante la Cláusula Tercera del Otrosí 6 de 2019 en $1.147.653.421.799 pesos de dic-13. El valor del VPIP equivale a $648.991.699.537 pesos del mes de referencia, según la Cláusula Primera del Otrosí 6 de 2019.</w:t>
          </w:r>
        </w:p>
        <w:p w14:paraId="530BB9C5"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Mediante Decreto 050 de 2023 no se permitió el incremento de tarifas. Este riesgo se ha compensado mediante actas trimestrales. En 2023 se ha compensado $5.198.594.900 que corresponde al periodo enero a septiembre de 2023.</w:t>
          </w:r>
        </w:p>
        <w:p w14:paraId="03E2905D" w14:textId="77777777" w:rsidR="007803E3" w:rsidRPr="0020113A" w:rsidRDefault="007803E3" w:rsidP="007803E3">
          <w:pPr>
            <w:jc w:val="both"/>
            <w:rPr>
              <w:rFonts w:ascii="Times New Roman" w:hAnsi="Times New Roman"/>
              <w:b/>
              <w:sz w:val="24"/>
              <w:szCs w:val="24"/>
              <w:lang w:val="es-MX"/>
            </w:rPr>
          </w:pPr>
          <w:r w:rsidRPr="0020113A">
            <w:rPr>
              <w:rFonts w:ascii="Times New Roman" w:hAnsi="Times New Roman"/>
              <w:sz w:val="24"/>
              <w:szCs w:val="24"/>
              <w:lang w:val="es-MX"/>
            </w:rPr>
            <w:t>Los valores de los saldos iniciales por gastos de Opex y Carga Financiera de la vigencia anterior se recalculan por la reprogramación de estos gastos de acuerdo con el avance ejecutado del cronograma de obras de la presente vigencia y por la actualización del IPC proyectado en estos gastos.</w:t>
          </w:r>
        </w:p>
        <w:p w14:paraId="25C8F270" w14:textId="77777777" w:rsidR="007803E3" w:rsidRPr="0020113A" w:rsidRDefault="007803E3" w:rsidP="007803E3">
          <w:pPr>
            <w:jc w:val="both"/>
            <w:rPr>
              <w:rFonts w:ascii="Times New Roman" w:hAnsi="Times New Roman"/>
              <w:b/>
              <w:sz w:val="24"/>
              <w:szCs w:val="24"/>
              <w:lang w:val="es-MX"/>
            </w:rPr>
          </w:pPr>
          <w:r w:rsidRPr="0020113A">
            <w:rPr>
              <w:rFonts w:ascii="Times New Roman" w:hAnsi="Times New Roman"/>
              <w:b/>
              <w:bCs/>
              <w:sz w:val="24"/>
              <w:szCs w:val="24"/>
              <w:lang w:val="es-MX"/>
            </w:rPr>
            <w:t xml:space="preserve">Términos de Calendario: </w:t>
          </w:r>
          <w:r w:rsidRPr="0020113A">
            <w:rPr>
              <w:rFonts w:ascii="Times New Roman" w:hAnsi="Times New Roman"/>
              <w:sz w:val="24"/>
              <w:szCs w:val="24"/>
              <w:lang w:val="es-MX"/>
            </w:rPr>
            <w:t>El plazo del contrato se determinó en 34 años. Para las unidades funcionales 3, 4 y 5 se tiene previsto se complete un avance del 100% del CAPEX en el año 2024, de acuerdo con el cronograma de obra.</w:t>
          </w:r>
        </w:p>
        <w:p w14:paraId="29098470" w14:textId="77777777" w:rsidR="007803E3" w:rsidRPr="0020113A" w:rsidRDefault="007803E3" w:rsidP="007803E3">
          <w:pPr>
            <w:jc w:val="both"/>
            <w:rPr>
              <w:rFonts w:ascii="Times New Roman" w:hAnsi="Times New Roman"/>
              <w:b/>
              <w:sz w:val="24"/>
              <w:szCs w:val="24"/>
              <w:lang w:val="es-MX"/>
            </w:rPr>
          </w:pPr>
          <w:r w:rsidRPr="0020113A">
            <w:rPr>
              <w:rFonts w:ascii="Times New Roman" w:hAnsi="Times New Roman"/>
              <w:b/>
              <w:bCs/>
              <w:sz w:val="24"/>
              <w:szCs w:val="24"/>
              <w:lang w:val="es-MX"/>
            </w:rPr>
            <w:t xml:space="preserve">Términos de Certeza de Flujos de Efectivo Futuros: </w:t>
          </w:r>
          <w:r w:rsidRPr="0020113A">
            <w:rPr>
              <w:rFonts w:ascii="Times New Roman" w:hAnsi="Times New Roman"/>
              <w:sz w:val="24"/>
              <w:szCs w:val="24"/>
              <w:lang w:val="es-MX"/>
            </w:rPr>
            <w:t>La fecha estimada para el inicio de la etapa de operación y mantenimiento es el 1 de abril de 2024. En esta fecha se pagaría el acumulado de saldos en las subcuentas de peajes de las UF 3 a UF5.</w:t>
          </w:r>
        </w:p>
        <w:p w14:paraId="6D2A76AE" w14:textId="77777777" w:rsidR="007803E3" w:rsidRPr="0020113A" w:rsidRDefault="007803E3" w:rsidP="00E60BAB">
          <w:pPr>
            <w:pStyle w:val="Prrafodelista"/>
            <w:numPr>
              <w:ilvl w:val="0"/>
              <w:numId w:val="64"/>
            </w:numPr>
            <w:spacing w:line="259" w:lineRule="auto"/>
            <w:jc w:val="both"/>
            <w:rPr>
              <w:rFonts w:ascii="Times New Roman" w:hAnsi="Times New Roman"/>
              <w:b/>
              <w:sz w:val="24"/>
              <w:szCs w:val="24"/>
              <w:lang w:val="es-MX"/>
            </w:rPr>
          </w:pPr>
          <w:r w:rsidRPr="0020113A">
            <w:rPr>
              <w:rFonts w:ascii="Times New Roman" w:hAnsi="Times New Roman"/>
              <w:b/>
              <w:sz w:val="24"/>
              <w:szCs w:val="24"/>
              <w:lang w:val="es-MX"/>
            </w:rPr>
            <w:t>Naturaleza y alcance del derecho a utilizar activos especificados, de los aspectos pactados en torno a lo que se espera que el concesionario proporcione en relación con el acuerdo de concesión</w:t>
          </w:r>
        </w:p>
        <w:p w14:paraId="1117E1AE" w14:textId="77777777" w:rsidR="007803E3" w:rsidRPr="0020113A" w:rsidRDefault="007803E3" w:rsidP="007803E3">
          <w:pPr>
            <w:jc w:val="center"/>
            <w:rPr>
              <w:rFonts w:ascii="Times New Roman" w:hAnsi="Times New Roman"/>
              <w:b/>
              <w:sz w:val="24"/>
              <w:szCs w:val="24"/>
              <w:lang w:val="es-MX"/>
            </w:rPr>
          </w:pPr>
          <w:r w:rsidRPr="0020113A">
            <w:rPr>
              <w:rFonts w:ascii="Times New Roman" w:hAnsi="Times New Roman"/>
              <w:b/>
              <w:sz w:val="24"/>
              <w:szCs w:val="24"/>
              <w:lang w:val="es-MX"/>
            </w:rPr>
            <w:t>Naturaleza y alcance del derecho de uso de los activos</w:t>
          </w:r>
        </w:p>
        <w:p w14:paraId="5C399C69" w14:textId="77777777" w:rsidR="007803E3" w:rsidRPr="0020113A" w:rsidRDefault="007803E3" w:rsidP="007803E3">
          <w:pPr>
            <w:jc w:val="both"/>
            <w:rPr>
              <w:rFonts w:ascii="Times New Roman" w:hAnsi="Times New Roman"/>
              <w:b/>
              <w:sz w:val="24"/>
              <w:szCs w:val="24"/>
              <w:lang w:val="es-MX"/>
            </w:rPr>
          </w:pPr>
          <w:r w:rsidRPr="0020113A">
            <w:rPr>
              <w:rFonts w:ascii="Times New Roman" w:hAnsi="Times New Roman"/>
              <w:b/>
              <w:bCs/>
              <w:sz w:val="24"/>
              <w:szCs w:val="24"/>
              <w:lang w:val="es-MX"/>
            </w:rPr>
            <w:t xml:space="preserve">Descripción: </w:t>
          </w:r>
          <w:r w:rsidRPr="0020113A">
            <w:rPr>
              <w:rFonts w:ascii="Times New Roman" w:hAnsi="Times New Roman"/>
              <w:sz w:val="24"/>
              <w:szCs w:val="24"/>
              <w:lang w:val="es-MX"/>
            </w:rPr>
            <w:t>El Proyecto corresponde al corredor existente entre Ibagué – Armero – Mariquita – Honda en una longitud de 124.6 km (tramo longitudinal), y el mejoramiento y rehabilitación del corredor existente entre Cambao – Armero – Líbano – Murillo – La Esperanza con una longitud de 132 km (tramo longitudinal), el cual se divide en cinco (5) Unidades Funcionales</w:t>
          </w:r>
        </w:p>
        <w:p w14:paraId="29325DEF" w14:textId="77777777" w:rsidR="007803E3" w:rsidRPr="0020113A" w:rsidRDefault="007803E3" w:rsidP="007803E3">
          <w:pPr>
            <w:rPr>
              <w:rFonts w:ascii="Times New Roman" w:hAnsi="Times New Roman"/>
              <w:sz w:val="24"/>
              <w:szCs w:val="24"/>
              <w:lang w:val="es-MX"/>
            </w:rPr>
          </w:pPr>
          <w:r w:rsidRPr="0020113A">
            <w:rPr>
              <w:rFonts w:ascii="Times New Roman" w:hAnsi="Times New Roman"/>
              <w:b/>
              <w:sz w:val="24"/>
              <w:szCs w:val="24"/>
              <w:lang w:val="es-MX"/>
            </w:rPr>
            <w:lastRenderedPageBreak/>
            <w:t>Observaciones:</w:t>
          </w:r>
          <w:r w:rsidRPr="0020113A">
            <w:rPr>
              <w:rFonts w:ascii="Times New Roman" w:hAnsi="Times New Roman"/>
              <w:b/>
              <w:bCs/>
              <w:sz w:val="24"/>
              <w:szCs w:val="24"/>
              <w:lang w:val="es-MX"/>
            </w:rPr>
            <w:t xml:space="preserve"> </w:t>
          </w:r>
          <w:r w:rsidRPr="0020113A">
            <w:rPr>
              <w:rFonts w:ascii="Times New Roman" w:hAnsi="Times New Roman"/>
              <w:sz w:val="24"/>
              <w:szCs w:val="24"/>
              <w:lang w:val="es-MX"/>
            </w:rPr>
            <w:t>No Aplica</w:t>
          </w:r>
        </w:p>
        <w:p w14:paraId="0C4A61FC" w14:textId="77777777" w:rsidR="007803E3" w:rsidRPr="0020113A" w:rsidRDefault="007803E3" w:rsidP="007803E3">
          <w:pPr>
            <w:jc w:val="center"/>
            <w:rPr>
              <w:rFonts w:ascii="Times New Roman" w:hAnsi="Times New Roman"/>
              <w:b/>
              <w:sz w:val="24"/>
              <w:szCs w:val="24"/>
              <w:lang w:val="es-MX"/>
            </w:rPr>
          </w:pPr>
          <w:r w:rsidRPr="0020113A">
            <w:rPr>
              <w:rFonts w:ascii="Times New Roman" w:hAnsi="Times New Roman"/>
              <w:b/>
              <w:sz w:val="24"/>
              <w:szCs w:val="24"/>
              <w:lang w:val="es-MX"/>
            </w:rPr>
            <w:t>Retribución al Concesionario</w:t>
          </w:r>
        </w:p>
        <w:p w14:paraId="1C9DB0F4" w14:textId="77777777" w:rsidR="007803E3" w:rsidRPr="0020113A" w:rsidRDefault="007803E3" w:rsidP="007803E3">
          <w:pPr>
            <w:rPr>
              <w:rFonts w:ascii="Times New Roman" w:hAnsi="Times New Roman"/>
              <w:sz w:val="24"/>
              <w:szCs w:val="24"/>
              <w:lang w:val="es-MX"/>
            </w:rPr>
          </w:pPr>
          <w:r w:rsidRPr="0020113A">
            <w:rPr>
              <w:rFonts w:ascii="Times New Roman" w:hAnsi="Times New Roman"/>
              <w:b/>
              <w:bCs/>
              <w:sz w:val="24"/>
              <w:szCs w:val="24"/>
              <w:lang w:val="es-MX"/>
            </w:rPr>
            <w:t>Descripción</w:t>
          </w:r>
          <w:r w:rsidRPr="0020113A">
            <w:rPr>
              <w:rFonts w:ascii="Times New Roman" w:hAnsi="Times New Roman"/>
              <w:sz w:val="24"/>
              <w:szCs w:val="24"/>
              <w:lang w:val="es-MX"/>
            </w:rPr>
            <w:t>: El valor del VPIP corresponde a $648.991.699.537 de diciembre de 2013</w:t>
          </w:r>
        </w:p>
        <w:p w14:paraId="689A4127" w14:textId="77777777"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Tasa de Retribución:</w:t>
          </w:r>
          <w:r w:rsidRPr="0020113A">
            <w:rPr>
              <w:rFonts w:ascii="Times New Roman" w:hAnsi="Times New Roman"/>
              <w:b/>
              <w:bCs/>
              <w:sz w:val="24"/>
              <w:szCs w:val="24"/>
              <w:lang w:val="es-MX"/>
            </w:rPr>
            <w:t xml:space="preserve"> </w:t>
          </w:r>
          <w:r w:rsidRPr="0020113A">
            <w:rPr>
              <w:rFonts w:ascii="Times New Roman" w:hAnsi="Times New Roman"/>
              <w:sz w:val="24"/>
              <w:szCs w:val="24"/>
              <w:lang w:val="es-MX"/>
            </w:rPr>
            <w:t>TDI: 0,5742%</w:t>
          </w:r>
        </w:p>
        <w:p w14:paraId="00C25E12" w14:textId="77777777" w:rsidR="007803E3" w:rsidRPr="0020113A" w:rsidRDefault="007803E3" w:rsidP="00E60BAB">
          <w:pPr>
            <w:pStyle w:val="Prrafodelista"/>
            <w:numPr>
              <w:ilvl w:val="0"/>
              <w:numId w:val="64"/>
            </w:numPr>
            <w:spacing w:line="259" w:lineRule="auto"/>
            <w:rPr>
              <w:rFonts w:ascii="Times New Roman" w:hAnsi="Times New Roman"/>
              <w:b/>
              <w:sz w:val="24"/>
              <w:szCs w:val="24"/>
              <w:lang w:val="es-MX"/>
            </w:rPr>
          </w:pPr>
          <w:r w:rsidRPr="0020113A">
            <w:rPr>
              <w:rFonts w:ascii="Times New Roman" w:hAnsi="Times New Roman"/>
              <w:b/>
              <w:sz w:val="24"/>
              <w:szCs w:val="24"/>
              <w:lang w:val="es-MX"/>
            </w:rPr>
            <w:t>Derechos a recibir activos especificados al final del acuerdo de concesión</w:t>
          </w:r>
        </w:p>
        <w:p w14:paraId="3B9F9768"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bCs/>
              <w:sz w:val="24"/>
              <w:szCs w:val="24"/>
              <w:lang w:val="es-MX"/>
            </w:rPr>
            <w:t xml:space="preserve">Descripción: </w:t>
          </w:r>
          <w:r w:rsidRPr="0020113A">
            <w:rPr>
              <w:rFonts w:ascii="Times New Roman" w:hAnsi="Times New Roman"/>
              <w:sz w:val="24"/>
              <w:szCs w:val="24"/>
              <w:lang w:val="es-MX"/>
            </w:rPr>
            <w:t>Se cederá al Concesionario el "Derecho de Recaudo" sobre la operación de las Estaciones de Peaje en la misma fecha de Entrega de la Infraestructura, salvo por las excepciones establecidas en la Parte Especial.</w:t>
          </w:r>
        </w:p>
        <w:p w14:paraId="74803377" w14:textId="77777777" w:rsidR="007803E3" w:rsidRPr="0020113A" w:rsidRDefault="007803E3" w:rsidP="007803E3">
          <w:pPr>
            <w:rPr>
              <w:rFonts w:ascii="Times New Roman" w:hAnsi="Times New Roman"/>
              <w:bCs/>
              <w:sz w:val="24"/>
              <w:szCs w:val="24"/>
              <w:lang w:val="es-MX"/>
            </w:rPr>
          </w:pPr>
          <w:r w:rsidRPr="0020113A">
            <w:rPr>
              <w:rFonts w:ascii="Times New Roman" w:hAnsi="Times New Roman"/>
              <w:b/>
              <w:sz w:val="24"/>
              <w:szCs w:val="24"/>
              <w:lang w:val="es-MX"/>
            </w:rPr>
            <w:t xml:space="preserve">Observaciones: </w:t>
          </w:r>
          <w:r w:rsidRPr="0020113A">
            <w:rPr>
              <w:rFonts w:ascii="Times New Roman" w:hAnsi="Times New Roman"/>
              <w:bCs/>
              <w:sz w:val="24"/>
              <w:szCs w:val="24"/>
              <w:lang w:val="es-MX"/>
            </w:rPr>
            <w:t>No Aplica</w:t>
          </w:r>
        </w:p>
        <w:p w14:paraId="75435ADB" w14:textId="77777777" w:rsidR="007803E3" w:rsidRPr="0020113A" w:rsidRDefault="007803E3" w:rsidP="00E60BAB">
          <w:pPr>
            <w:pStyle w:val="Prrafodelista"/>
            <w:numPr>
              <w:ilvl w:val="0"/>
              <w:numId w:val="64"/>
            </w:numPr>
            <w:spacing w:line="259" w:lineRule="auto"/>
            <w:rPr>
              <w:rFonts w:ascii="Times New Roman" w:hAnsi="Times New Roman"/>
              <w:b/>
              <w:sz w:val="24"/>
              <w:szCs w:val="24"/>
              <w:lang w:val="es-MX"/>
            </w:rPr>
          </w:pPr>
          <w:r w:rsidRPr="0020113A">
            <w:rPr>
              <w:rFonts w:ascii="Times New Roman" w:hAnsi="Times New Roman"/>
              <w:b/>
              <w:sz w:val="24"/>
              <w:szCs w:val="24"/>
              <w:lang w:val="es-MX"/>
            </w:rPr>
            <w:t>Cambios en el acuerdo de concesión que se realicen durante el periodo fiscal</w:t>
          </w:r>
        </w:p>
        <w:p w14:paraId="49C7C2FC" w14:textId="04C6A429" w:rsidR="007803E3" w:rsidRPr="0020113A" w:rsidRDefault="00BD6C42" w:rsidP="29FA6526">
          <w:pPr>
            <w:rPr>
              <w:rFonts w:ascii="Times New Roman" w:hAnsi="Times New Roman"/>
              <w:b/>
              <w:sz w:val="24"/>
              <w:szCs w:val="24"/>
              <w:lang w:val="es-MX"/>
            </w:rPr>
          </w:pPr>
          <w:r>
            <w:rPr>
              <w:rFonts w:ascii="Times New Roman" w:hAnsi="Times New Roman"/>
              <w:b/>
              <w:sz w:val="24"/>
              <w:szCs w:val="24"/>
              <w:lang w:val="es-MX"/>
            </w:rPr>
            <w:t>No hay a</w:t>
          </w:r>
          <w:r w:rsidR="007803E3" w:rsidRPr="0020113A">
            <w:rPr>
              <w:rFonts w:ascii="Times New Roman" w:hAnsi="Times New Roman"/>
              <w:b/>
              <w:sz w:val="24"/>
              <w:szCs w:val="24"/>
              <w:lang w:val="es-MX"/>
            </w:rPr>
            <w:t>diciones o Modificaciones en Tiempo</w:t>
          </w:r>
        </w:p>
        <w:p w14:paraId="0F900F4C" w14:textId="77777777" w:rsidR="007803E3" w:rsidRPr="0020113A" w:rsidRDefault="007803E3" w:rsidP="007803E3">
          <w:pPr>
            <w:jc w:val="center"/>
            <w:rPr>
              <w:rFonts w:ascii="Times New Roman" w:hAnsi="Times New Roman"/>
              <w:b/>
              <w:sz w:val="24"/>
              <w:szCs w:val="24"/>
              <w:lang w:val="es-MX"/>
            </w:rPr>
          </w:pPr>
          <w:r w:rsidRPr="0020113A">
            <w:rPr>
              <w:rFonts w:ascii="Times New Roman" w:hAnsi="Times New Roman"/>
              <w:b/>
              <w:sz w:val="24"/>
              <w:szCs w:val="24"/>
              <w:lang w:val="es-MX"/>
            </w:rPr>
            <w:t>Adiciones o Modificaciones en Valor</w:t>
          </w:r>
        </w:p>
        <w:tbl>
          <w:tblPr>
            <w:tblStyle w:val="Tablaconcuadrcula"/>
            <w:tblW w:w="0" w:type="auto"/>
            <w:tblLook w:val="04A0" w:firstRow="1" w:lastRow="0" w:firstColumn="1" w:lastColumn="0" w:noHBand="0" w:noVBand="1"/>
          </w:tblPr>
          <w:tblGrid>
            <w:gridCol w:w="3103"/>
            <w:gridCol w:w="2467"/>
            <w:gridCol w:w="3258"/>
          </w:tblGrid>
          <w:tr w:rsidR="007803E3" w:rsidRPr="005C2319" w14:paraId="68655FAB" w14:textId="77777777" w:rsidTr="006D6444">
            <w:tc>
              <w:tcPr>
                <w:tcW w:w="3103" w:type="dxa"/>
                <w:shd w:val="clear" w:color="auto" w:fill="auto"/>
                <w:vAlign w:val="center"/>
              </w:tcPr>
              <w:p w14:paraId="24A7909B" w14:textId="77777777" w:rsidR="007803E3" w:rsidRPr="005C2319" w:rsidRDefault="007803E3" w:rsidP="006D6444">
                <w:pPr>
                  <w:jc w:val="center"/>
                  <w:rPr>
                    <w:rFonts w:ascii="Times New Roman" w:hAnsi="Times New Roman"/>
                    <w:b/>
                    <w:sz w:val="16"/>
                    <w:szCs w:val="16"/>
                  </w:rPr>
                </w:pPr>
                <w:r w:rsidRPr="005C2319">
                  <w:rPr>
                    <w:rFonts w:ascii="Times New Roman" w:hAnsi="Times New Roman"/>
                    <w:b/>
                    <w:sz w:val="16"/>
                    <w:szCs w:val="16"/>
                  </w:rPr>
                  <w:t>Valor de la adición o modificación</w:t>
                </w:r>
              </w:p>
            </w:tc>
            <w:tc>
              <w:tcPr>
                <w:tcW w:w="2467" w:type="dxa"/>
                <w:shd w:val="clear" w:color="auto" w:fill="auto"/>
                <w:vAlign w:val="center"/>
              </w:tcPr>
              <w:p w14:paraId="4B63546A" w14:textId="77777777" w:rsidR="007803E3" w:rsidRPr="005C2319" w:rsidRDefault="007803E3" w:rsidP="006D6444">
                <w:pPr>
                  <w:jc w:val="center"/>
                  <w:rPr>
                    <w:rFonts w:ascii="Times New Roman" w:hAnsi="Times New Roman"/>
                    <w:b/>
                    <w:sz w:val="16"/>
                    <w:szCs w:val="16"/>
                  </w:rPr>
                </w:pPr>
                <w:r w:rsidRPr="005C2319">
                  <w:rPr>
                    <w:rFonts w:ascii="Times New Roman" w:hAnsi="Times New Roman"/>
                    <w:b/>
                    <w:sz w:val="16"/>
                    <w:szCs w:val="16"/>
                  </w:rPr>
                  <w:t>Nuevo valor del acuerdo</w:t>
                </w:r>
              </w:p>
            </w:tc>
            <w:tc>
              <w:tcPr>
                <w:tcW w:w="3258" w:type="dxa"/>
                <w:shd w:val="clear" w:color="auto" w:fill="auto"/>
                <w:vAlign w:val="center"/>
              </w:tcPr>
              <w:p w14:paraId="3CAA32A3" w14:textId="77777777" w:rsidR="007803E3" w:rsidRPr="005C2319" w:rsidRDefault="007803E3" w:rsidP="006D6444">
                <w:pPr>
                  <w:jc w:val="center"/>
                  <w:rPr>
                    <w:rFonts w:ascii="Times New Roman" w:hAnsi="Times New Roman"/>
                    <w:b/>
                    <w:sz w:val="16"/>
                    <w:szCs w:val="16"/>
                  </w:rPr>
                </w:pPr>
                <w:r w:rsidRPr="005C2319">
                  <w:rPr>
                    <w:rFonts w:ascii="Times New Roman" w:hAnsi="Times New Roman"/>
                    <w:b/>
                    <w:sz w:val="16"/>
                    <w:szCs w:val="16"/>
                  </w:rPr>
                  <w:t>Observaciones</w:t>
                </w:r>
              </w:p>
            </w:tc>
          </w:tr>
          <w:tr w:rsidR="007803E3" w:rsidRPr="005C2319" w14:paraId="229F0F86" w14:textId="77777777" w:rsidTr="006D6444">
            <w:tc>
              <w:tcPr>
                <w:tcW w:w="3103" w:type="dxa"/>
                <w:shd w:val="clear" w:color="auto" w:fill="auto"/>
                <w:vAlign w:val="center"/>
              </w:tcPr>
              <w:p w14:paraId="141415C4" w14:textId="77777777" w:rsidR="007803E3" w:rsidRPr="005C2319" w:rsidRDefault="007803E3" w:rsidP="006D6444">
                <w:pPr>
                  <w:rPr>
                    <w:rFonts w:ascii="Times New Roman" w:hAnsi="Times New Roman"/>
                    <w:sz w:val="16"/>
                    <w:szCs w:val="16"/>
                  </w:rPr>
                </w:pPr>
                <w:r w:rsidRPr="005C2319">
                  <w:rPr>
                    <w:rFonts w:ascii="Times New Roman" w:hAnsi="Times New Roman"/>
                    <w:sz w:val="16"/>
                    <w:szCs w:val="16"/>
                  </w:rPr>
                  <w:t>-$186.730.168.705 pesos dic-13</w:t>
                </w:r>
              </w:p>
            </w:tc>
            <w:tc>
              <w:tcPr>
                <w:tcW w:w="2467" w:type="dxa"/>
                <w:shd w:val="clear" w:color="auto" w:fill="auto"/>
                <w:vAlign w:val="center"/>
              </w:tcPr>
              <w:p w14:paraId="6193B03B" w14:textId="77777777" w:rsidR="007803E3" w:rsidRPr="005C2319" w:rsidRDefault="007803E3" w:rsidP="006D6444">
                <w:pPr>
                  <w:jc w:val="center"/>
                  <w:rPr>
                    <w:rFonts w:ascii="Times New Roman" w:hAnsi="Times New Roman"/>
                    <w:sz w:val="16"/>
                    <w:szCs w:val="16"/>
                  </w:rPr>
                </w:pPr>
                <w:r w:rsidRPr="005C2319">
                  <w:rPr>
                    <w:rFonts w:ascii="Times New Roman" w:hAnsi="Times New Roman"/>
                    <w:sz w:val="16"/>
                    <w:szCs w:val="16"/>
                  </w:rPr>
                  <w:t>$1.147.653.421.799 pesos dic-13</w:t>
                </w:r>
              </w:p>
            </w:tc>
            <w:tc>
              <w:tcPr>
                <w:tcW w:w="3258" w:type="dxa"/>
                <w:shd w:val="clear" w:color="auto" w:fill="auto"/>
              </w:tcPr>
              <w:p w14:paraId="79DCB1D4" w14:textId="77777777" w:rsidR="007803E3" w:rsidRPr="005C2319" w:rsidRDefault="007803E3" w:rsidP="006D6444">
                <w:pPr>
                  <w:rPr>
                    <w:rFonts w:ascii="Times New Roman" w:hAnsi="Times New Roman"/>
                    <w:sz w:val="16"/>
                    <w:szCs w:val="16"/>
                  </w:rPr>
                </w:pPr>
                <w:r w:rsidRPr="005C2319">
                  <w:rPr>
                    <w:rFonts w:ascii="Times New Roman" w:hAnsi="Times New Roman"/>
                    <w:sz w:val="16"/>
                    <w:szCs w:val="16"/>
                  </w:rPr>
                  <w:t>La modificación en valor se realizó con el Otrosí 6 de 2019</w:t>
                </w:r>
              </w:p>
            </w:tc>
          </w:tr>
        </w:tbl>
        <w:p w14:paraId="4B2344BF" w14:textId="77777777" w:rsidR="007803E3" w:rsidRPr="0020113A" w:rsidRDefault="007803E3" w:rsidP="007803E3">
          <w:pPr>
            <w:rPr>
              <w:rFonts w:ascii="Times New Roman" w:hAnsi="Times New Roman"/>
              <w:b/>
              <w:sz w:val="24"/>
              <w:szCs w:val="24"/>
              <w:lang w:val="es-MX"/>
            </w:rPr>
          </w:pPr>
        </w:p>
        <w:p w14:paraId="6DE26FC8" w14:textId="77777777" w:rsidR="00C96FCC" w:rsidRDefault="00C96FCC" w:rsidP="007803E3">
          <w:pPr>
            <w:rPr>
              <w:rFonts w:ascii="Times New Roman" w:hAnsi="Times New Roman"/>
              <w:b/>
              <w:sz w:val="24"/>
              <w:szCs w:val="24"/>
              <w:lang w:val="es-MX"/>
            </w:rPr>
          </w:pPr>
        </w:p>
        <w:p w14:paraId="23112EA7" w14:textId="38D210FC"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VILLAVICENCIO YOPAL</w:t>
          </w:r>
        </w:p>
        <w:p w14:paraId="65377948" w14:textId="77777777" w:rsidR="007803E3" w:rsidRPr="0020113A" w:rsidRDefault="007803E3" w:rsidP="00E60BAB">
          <w:pPr>
            <w:pStyle w:val="Prrafodelista"/>
            <w:numPr>
              <w:ilvl w:val="0"/>
              <w:numId w:val="70"/>
            </w:numPr>
            <w:spacing w:line="259" w:lineRule="auto"/>
            <w:rPr>
              <w:rFonts w:ascii="Times New Roman" w:hAnsi="Times New Roman"/>
              <w:b/>
              <w:sz w:val="24"/>
              <w:szCs w:val="24"/>
              <w:lang w:val="es-MX"/>
            </w:rPr>
          </w:pPr>
          <w:r w:rsidRPr="0020113A">
            <w:rPr>
              <w:rFonts w:ascii="Times New Roman" w:hAnsi="Times New Roman"/>
              <w:b/>
              <w:sz w:val="24"/>
              <w:szCs w:val="24"/>
              <w:lang w:val="es-MX"/>
            </w:rPr>
            <w:t>Descripción del Acuerdo</w:t>
          </w:r>
        </w:p>
        <w:p w14:paraId="1C34BD57" w14:textId="77777777" w:rsidR="007803E3" w:rsidRPr="0020113A" w:rsidRDefault="007803E3" w:rsidP="18BAD2EC">
          <w:pPr>
            <w:spacing w:after="0"/>
            <w:rPr>
              <w:rFonts w:ascii="Times New Roman" w:hAnsi="Times New Roman"/>
              <w:b/>
              <w:sz w:val="24"/>
              <w:szCs w:val="24"/>
              <w:lang w:val="es-MX"/>
            </w:rPr>
          </w:pPr>
          <w:r w:rsidRPr="0020113A">
            <w:rPr>
              <w:rFonts w:ascii="Times New Roman" w:hAnsi="Times New Roman"/>
              <w:b/>
              <w:sz w:val="24"/>
              <w:szCs w:val="24"/>
              <w:lang w:val="es-MX"/>
            </w:rPr>
            <w:t>Número del Acuerdo de Concesión:</w:t>
          </w:r>
          <w:r w:rsidRPr="0020113A">
            <w:rPr>
              <w:rFonts w:ascii="Times New Roman" w:hAnsi="Times New Roman"/>
              <w:b/>
              <w:bCs/>
              <w:sz w:val="24"/>
              <w:szCs w:val="24"/>
              <w:lang w:val="es-MX"/>
            </w:rPr>
            <w:t xml:space="preserve"> </w:t>
          </w:r>
          <w:r w:rsidRPr="0020113A">
            <w:rPr>
              <w:rFonts w:ascii="Times New Roman" w:hAnsi="Times New Roman"/>
              <w:sz w:val="24"/>
              <w:szCs w:val="24"/>
              <w:lang w:val="es-MX"/>
            </w:rPr>
            <w:t>010 de 2015</w:t>
          </w:r>
        </w:p>
        <w:p w14:paraId="2E506196" w14:textId="77777777" w:rsidR="007803E3" w:rsidRPr="0020113A" w:rsidRDefault="007803E3" w:rsidP="007803E3">
          <w:pPr>
            <w:autoSpaceDE w:val="0"/>
            <w:autoSpaceDN w:val="0"/>
            <w:adjustRightInd w:val="0"/>
            <w:spacing w:after="0" w:line="240" w:lineRule="auto"/>
            <w:jc w:val="both"/>
            <w:rPr>
              <w:rFonts w:ascii="Times New Roman" w:hAnsi="Times New Roman"/>
              <w:sz w:val="24"/>
              <w:szCs w:val="24"/>
            </w:rPr>
          </w:pPr>
          <w:r w:rsidRPr="0020113A">
            <w:rPr>
              <w:rFonts w:ascii="Times New Roman" w:hAnsi="Times New Roman"/>
              <w:b/>
              <w:bCs/>
              <w:sz w:val="24"/>
              <w:szCs w:val="24"/>
              <w:lang w:val="es-MX"/>
            </w:rPr>
            <w:t xml:space="preserve">Objeto / Descripción: </w:t>
          </w:r>
          <w:r w:rsidRPr="0020113A">
            <w:rPr>
              <w:rFonts w:ascii="Times New Roman" w:hAnsi="Times New Roman"/>
              <w:sz w:val="24"/>
              <w:szCs w:val="24"/>
            </w:rPr>
            <w:t>El presente contrato de concesión bajo un esquema de asociación publico privada en los términos de la ley 1508 de 2012, tiene por objeto el otorgamiento de una Concesión para que, de conformidad con lo previsto en este Contrato, el Concesionario, por su cuenta y riesgo, lleve a cabo el proyecto. (Parte General, CAPITULO II ASPECTOS GENERALES DEL CONTRATO numeral 2.1). ALCANCE: La financiación, elaboración de estudios y diseños, Construcción, Rehabilitación, mejoramiento, Operación y mantenimiento, Gestión predial, Gestión Social y Ambiental y Reversión del corredor Villavicencio – Yopal, de acuerdo con el Apéndice Técnico 1 y demás apéndices del Contrato. (Parte especial, CAPITULO III ASPECTOS GENERALES, numeral 3.2)</w:t>
          </w:r>
        </w:p>
        <w:p w14:paraId="487C62EC" w14:textId="77777777" w:rsidR="007803E3" w:rsidRPr="0020113A" w:rsidRDefault="007803E3" w:rsidP="18BAD2EC">
          <w:pPr>
            <w:spacing w:after="0"/>
            <w:rPr>
              <w:rFonts w:ascii="Times New Roman" w:hAnsi="Times New Roman"/>
              <w:b/>
              <w:sz w:val="24"/>
              <w:szCs w:val="24"/>
              <w:lang w:val="es-MX"/>
            </w:rPr>
          </w:pPr>
          <w:r w:rsidRPr="0020113A">
            <w:rPr>
              <w:rFonts w:ascii="Times New Roman" w:hAnsi="Times New Roman"/>
              <w:b/>
              <w:bCs/>
              <w:sz w:val="24"/>
              <w:szCs w:val="24"/>
              <w:lang w:val="es-MX"/>
            </w:rPr>
            <w:t>Valor Inicial:</w:t>
          </w:r>
          <w:r w:rsidRPr="0020113A">
            <w:rPr>
              <w:rFonts w:ascii="Times New Roman" w:hAnsi="Times New Roman"/>
              <w:sz w:val="24"/>
              <w:szCs w:val="24"/>
            </w:rPr>
            <w:t xml:space="preserve"> </w:t>
          </w:r>
          <w:r w:rsidRPr="0020113A">
            <w:rPr>
              <w:rFonts w:ascii="Times New Roman" w:hAnsi="Times New Roman"/>
              <w:sz w:val="24"/>
              <w:szCs w:val="24"/>
              <w:lang w:val="es-MX"/>
            </w:rPr>
            <w:t>$2.939.320.796.324 Pesos de diciembre de 2013</w:t>
          </w:r>
        </w:p>
        <w:p w14:paraId="66EBD5D8" w14:textId="77777777" w:rsidR="007803E3" w:rsidRPr="0020113A" w:rsidRDefault="007803E3" w:rsidP="29FA6526">
          <w:pPr>
            <w:spacing w:after="0"/>
            <w:rPr>
              <w:rFonts w:ascii="Times New Roman" w:hAnsi="Times New Roman"/>
              <w:b/>
              <w:sz w:val="24"/>
              <w:szCs w:val="24"/>
              <w:lang w:val="es-MX"/>
            </w:rPr>
          </w:pPr>
          <w:r w:rsidRPr="0020113A">
            <w:rPr>
              <w:rFonts w:ascii="Times New Roman" w:hAnsi="Times New Roman"/>
              <w:b/>
              <w:sz w:val="24"/>
              <w:szCs w:val="24"/>
              <w:lang w:val="es-MX"/>
            </w:rPr>
            <w:t>Fecha de Inicio:</w:t>
          </w:r>
          <w:r w:rsidRPr="0020113A">
            <w:rPr>
              <w:rFonts w:ascii="Times New Roman" w:hAnsi="Times New Roman"/>
              <w:b/>
              <w:bCs/>
              <w:sz w:val="24"/>
              <w:szCs w:val="24"/>
              <w:lang w:val="es-MX"/>
            </w:rPr>
            <w:t xml:space="preserve"> </w:t>
          </w:r>
          <w:r w:rsidRPr="0020113A">
            <w:rPr>
              <w:rFonts w:ascii="Times New Roman" w:hAnsi="Times New Roman"/>
              <w:sz w:val="24"/>
              <w:szCs w:val="24"/>
              <w:lang w:val="es-MX"/>
            </w:rPr>
            <w:t>08/09/2015</w:t>
          </w:r>
        </w:p>
        <w:p w14:paraId="00779EB5" w14:textId="77777777" w:rsidR="007803E3" w:rsidRPr="0020113A" w:rsidRDefault="007803E3" w:rsidP="29FA6526">
          <w:pPr>
            <w:spacing w:after="0"/>
            <w:rPr>
              <w:rFonts w:ascii="Times New Roman" w:hAnsi="Times New Roman"/>
              <w:b/>
              <w:sz w:val="24"/>
              <w:szCs w:val="24"/>
              <w:lang w:val="es-MX"/>
            </w:rPr>
          </w:pPr>
          <w:r w:rsidRPr="0020113A">
            <w:rPr>
              <w:rFonts w:ascii="Times New Roman" w:hAnsi="Times New Roman"/>
              <w:b/>
              <w:sz w:val="24"/>
              <w:szCs w:val="24"/>
              <w:lang w:val="es-MX"/>
            </w:rPr>
            <w:t>Fecha de Finalización Estimada:</w:t>
          </w:r>
          <w:r w:rsidRPr="0020113A">
            <w:rPr>
              <w:rFonts w:ascii="Times New Roman" w:hAnsi="Times New Roman"/>
              <w:b/>
              <w:bCs/>
              <w:sz w:val="24"/>
              <w:szCs w:val="24"/>
              <w:lang w:val="es-MX"/>
            </w:rPr>
            <w:t xml:space="preserve"> </w:t>
          </w:r>
          <w:r w:rsidRPr="0020113A">
            <w:rPr>
              <w:rFonts w:ascii="Times New Roman" w:hAnsi="Times New Roman"/>
              <w:sz w:val="24"/>
              <w:szCs w:val="24"/>
              <w:lang w:val="es-MX"/>
            </w:rPr>
            <w:t>7/09/2040</w:t>
          </w:r>
        </w:p>
        <w:p w14:paraId="08103410" w14:textId="77777777" w:rsidR="007803E3" w:rsidRPr="0020113A" w:rsidRDefault="007803E3" w:rsidP="29FA6526">
          <w:pPr>
            <w:spacing w:after="0"/>
            <w:rPr>
              <w:rFonts w:ascii="Times New Roman" w:hAnsi="Times New Roman"/>
              <w:b/>
              <w:sz w:val="24"/>
              <w:szCs w:val="24"/>
              <w:lang w:val="es-MX"/>
            </w:rPr>
          </w:pPr>
          <w:r w:rsidRPr="0020113A">
            <w:rPr>
              <w:rFonts w:ascii="Times New Roman" w:hAnsi="Times New Roman"/>
              <w:b/>
              <w:sz w:val="24"/>
              <w:szCs w:val="24"/>
              <w:lang w:val="es-MX"/>
            </w:rPr>
            <w:t>Tipo ID:</w:t>
          </w:r>
          <w:r w:rsidRPr="0020113A">
            <w:rPr>
              <w:rFonts w:ascii="Times New Roman" w:hAnsi="Times New Roman"/>
              <w:b/>
              <w:bCs/>
              <w:sz w:val="24"/>
              <w:szCs w:val="24"/>
              <w:lang w:val="es-MX"/>
            </w:rPr>
            <w:t xml:space="preserve"> </w:t>
          </w:r>
          <w:r w:rsidRPr="0020113A">
            <w:rPr>
              <w:rFonts w:ascii="Times New Roman" w:hAnsi="Times New Roman"/>
              <w:sz w:val="24"/>
              <w:szCs w:val="24"/>
              <w:lang w:val="es-MX"/>
            </w:rPr>
            <w:t>NIT</w:t>
          </w:r>
        </w:p>
        <w:p w14:paraId="70AA0707" w14:textId="77777777" w:rsidR="007803E3" w:rsidRPr="0020113A" w:rsidRDefault="007803E3" w:rsidP="29FA6526">
          <w:pPr>
            <w:spacing w:after="0"/>
            <w:rPr>
              <w:rFonts w:ascii="Times New Roman" w:hAnsi="Times New Roman"/>
              <w:b/>
              <w:sz w:val="24"/>
              <w:szCs w:val="24"/>
              <w:lang w:val="es-MX"/>
            </w:rPr>
          </w:pPr>
          <w:r w:rsidRPr="0020113A">
            <w:rPr>
              <w:rFonts w:ascii="Times New Roman" w:hAnsi="Times New Roman"/>
              <w:b/>
              <w:sz w:val="24"/>
              <w:szCs w:val="24"/>
              <w:lang w:val="es-MX"/>
            </w:rPr>
            <w:t>Numero ID:</w:t>
          </w:r>
          <w:r w:rsidRPr="0020113A">
            <w:rPr>
              <w:rFonts w:ascii="Times New Roman" w:hAnsi="Times New Roman"/>
              <w:b/>
              <w:bCs/>
              <w:sz w:val="24"/>
              <w:szCs w:val="24"/>
              <w:lang w:val="es-MX"/>
            </w:rPr>
            <w:t xml:space="preserve"> </w:t>
          </w:r>
          <w:r w:rsidRPr="0020113A">
            <w:rPr>
              <w:rFonts w:ascii="Times New Roman" w:hAnsi="Times New Roman"/>
              <w:sz w:val="24"/>
              <w:szCs w:val="24"/>
              <w:lang w:val="es-MX"/>
            </w:rPr>
            <w:t>900.862.215-1</w:t>
          </w:r>
        </w:p>
        <w:p w14:paraId="45DC8C3E" w14:textId="77777777" w:rsidR="007803E3" w:rsidRPr="0020113A" w:rsidRDefault="007803E3" w:rsidP="29FA6526">
          <w:pPr>
            <w:spacing w:after="0"/>
            <w:rPr>
              <w:rFonts w:ascii="Times New Roman" w:hAnsi="Times New Roman"/>
              <w:b/>
              <w:sz w:val="24"/>
              <w:szCs w:val="24"/>
              <w:lang w:val="es-MX"/>
            </w:rPr>
          </w:pPr>
          <w:r w:rsidRPr="0020113A">
            <w:rPr>
              <w:rFonts w:ascii="Times New Roman" w:hAnsi="Times New Roman"/>
              <w:b/>
              <w:sz w:val="24"/>
              <w:szCs w:val="24"/>
              <w:lang w:val="es-MX"/>
            </w:rPr>
            <w:t>Razón Social del Concesionario:</w:t>
          </w:r>
          <w:r w:rsidRPr="0020113A">
            <w:rPr>
              <w:rFonts w:ascii="Times New Roman" w:hAnsi="Times New Roman"/>
              <w:b/>
              <w:bCs/>
              <w:sz w:val="24"/>
              <w:szCs w:val="24"/>
              <w:lang w:val="es-MX"/>
            </w:rPr>
            <w:t xml:space="preserve"> </w:t>
          </w:r>
          <w:r w:rsidRPr="0020113A">
            <w:rPr>
              <w:rFonts w:ascii="Times New Roman" w:hAnsi="Times New Roman"/>
              <w:sz w:val="24"/>
              <w:szCs w:val="24"/>
              <w:lang w:val="es-MX"/>
            </w:rPr>
            <w:t>Concesionaria Vial del Oriente S.A.S</w:t>
          </w:r>
        </w:p>
        <w:p w14:paraId="38FD0FF3" w14:textId="66B17820" w:rsidR="007803E3" w:rsidRPr="0020113A" w:rsidRDefault="007803E3" w:rsidP="18BAD2EC">
          <w:pPr>
            <w:spacing w:after="0"/>
            <w:rPr>
              <w:rFonts w:ascii="Times New Roman" w:hAnsi="Times New Roman"/>
              <w:b/>
              <w:sz w:val="24"/>
              <w:szCs w:val="24"/>
              <w:lang w:val="es-MX"/>
            </w:rPr>
          </w:pPr>
          <w:r w:rsidRPr="0020113A">
            <w:rPr>
              <w:rFonts w:ascii="Times New Roman" w:hAnsi="Times New Roman"/>
              <w:b/>
              <w:sz w:val="24"/>
              <w:szCs w:val="24"/>
              <w:lang w:val="es-MX"/>
            </w:rPr>
            <w:t>Nombre del Proyecto:</w:t>
          </w:r>
          <w:r w:rsidRPr="0020113A">
            <w:rPr>
              <w:rFonts w:ascii="Times New Roman" w:hAnsi="Times New Roman"/>
              <w:sz w:val="24"/>
              <w:szCs w:val="24"/>
              <w:lang w:val="es-MX"/>
            </w:rPr>
            <w:t xml:space="preserve"> Villavicencio </w:t>
          </w:r>
          <w:r w:rsidR="29962B39" w:rsidRPr="18BAD2EC">
            <w:rPr>
              <w:rFonts w:ascii="Times New Roman" w:hAnsi="Times New Roman"/>
              <w:sz w:val="24"/>
              <w:szCs w:val="24"/>
              <w:lang w:val="es-MX"/>
            </w:rPr>
            <w:t>–</w:t>
          </w:r>
          <w:r w:rsidRPr="0020113A">
            <w:rPr>
              <w:rFonts w:ascii="Times New Roman" w:hAnsi="Times New Roman"/>
              <w:sz w:val="24"/>
              <w:szCs w:val="24"/>
              <w:lang w:val="es-MX"/>
            </w:rPr>
            <w:t xml:space="preserve"> Yopal</w:t>
          </w:r>
        </w:p>
        <w:p w14:paraId="55190D56" w14:textId="2261CAFD" w:rsidR="18BAD2EC" w:rsidRDefault="18BAD2EC" w:rsidP="18BAD2EC">
          <w:pPr>
            <w:spacing w:after="0"/>
            <w:rPr>
              <w:rFonts w:ascii="Times New Roman" w:hAnsi="Times New Roman"/>
              <w:sz w:val="24"/>
              <w:szCs w:val="24"/>
              <w:lang w:val="es-MX"/>
            </w:rPr>
          </w:pPr>
        </w:p>
        <w:p w14:paraId="5F59A68E" w14:textId="77777777" w:rsidR="007803E3" w:rsidRPr="0020113A" w:rsidRDefault="007803E3" w:rsidP="00E60BAB">
          <w:pPr>
            <w:pStyle w:val="Prrafodelista"/>
            <w:numPr>
              <w:ilvl w:val="0"/>
              <w:numId w:val="70"/>
            </w:numPr>
            <w:spacing w:line="259" w:lineRule="auto"/>
            <w:rPr>
              <w:rFonts w:ascii="Times New Roman" w:hAnsi="Times New Roman"/>
              <w:b/>
              <w:sz w:val="24"/>
              <w:szCs w:val="24"/>
              <w:lang w:val="es-MX"/>
            </w:rPr>
          </w:pPr>
          <w:r w:rsidRPr="0020113A">
            <w:rPr>
              <w:rFonts w:ascii="Times New Roman" w:hAnsi="Times New Roman"/>
              <w:b/>
              <w:sz w:val="24"/>
              <w:szCs w:val="24"/>
              <w:lang w:val="es-MX"/>
            </w:rPr>
            <w:t>Términos significativos del acuerdo que puedan afectar su valor, el calendario y la certeza de los flujos</w:t>
          </w:r>
        </w:p>
        <w:p w14:paraId="0D578828" w14:textId="77777777" w:rsidR="007803E3" w:rsidRPr="0020113A" w:rsidRDefault="007803E3" w:rsidP="007803E3">
          <w:pPr>
            <w:autoSpaceDE w:val="0"/>
            <w:autoSpaceDN w:val="0"/>
            <w:adjustRightInd w:val="0"/>
            <w:spacing w:after="0" w:line="240" w:lineRule="auto"/>
            <w:jc w:val="both"/>
            <w:rPr>
              <w:rFonts w:ascii="Times New Roman" w:hAnsi="Times New Roman"/>
              <w:sz w:val="24"/>
              <w:szCs w:val="24"/>
            </w:rPr>
          </w:pPr>
          <w:r w:rsidRPr="0020113A">
            <w:rPr>
              <w:rFonts w:ascii="Times New Roman" w:hAnsi="Times New Roman"/>
              <w:b/>
              <w:bCs/>
              <w:sz w:val="24"/>
              <w:szCs w:val="24"/>
              <w:lang w:val="es-MX"/>
            </w:rPr>
            <w:t xml:space="preserve">Términos de Valor: </w:t>
          </w:r>
          <w:r w:rsidRPr="0020113A">
            <w:rPr>
              <w:rFonts w:ascii="Times New Roman" w:hAnsi="Times New Roman"/>
              <w:sz w:val="24"/>
              <w:szCs w:val="24"/>
            </w:rPr>
            <w:t>Las estaciones de peaje vigentes son: Puente Amarillo, Veracruz y San Pedro (en operación) y Tacuya y Yopal (nuevas). La fecha de incremento contractual es a partir del 16 de enero de cada año.</w:t>
          </w:r>
        </w:p>
        <w:p w14:paraId="720F0F97" w14:textId="77777777" w:rsidR="007803E3" w:rsidRPr="0020113A" w:rsidRDefault="007803E3" w:rsidP="007803E3">
          <w:pPr>
            <w:autoSpaceDE w:val="0"/>
            <w:autoSpaceDN w:val="0"/>
            <w:adjustRightInd w:val="0"/>
            <w:spacing w:after="0" w:line="240" w:lineRule="auto"/>
            <w:rPr>
              <w:rFonts w:ascii="Times New Roman" w:hAnsi="Times New Roman"/>
              <w:sz w:val="24"/>
              <w:szCs w:val="24"/>
            </w:rPr>
          </w:pPr>
        </w:p>
        <w:p w14:paraId="46D60260" w14:textId="77777777" w:rsidR="007803E3" w:rsidRPr="0020113A" w:rsidRDefault="007803E3" w:rsidP="007803E3">
          <w:pPr>
            <w:autoSpaceDE w:val="0"/>
            <w:autoSpaceDN w:val="0"/>
            <w:adjustRightInd w:val="0"/>
            <w:spacing w:after="0" w:line="240" w:lineRule="auto"/>
            <w:jc w:val="both"/>
            <w:rPr>
              <w:rFonts w:ascii="Times New Roman" w:hAnsi="Times New Roman"/>
              <w:sz w:val="24"/>
              <w:szCs w:val="24"/>
            </w:rPr>
          </w:pPr>
          <w:r w:rsidRPr="0020113A">
            <w:rPr>
              <w:rFonts w:ascii="Times New Roman" w:hAnsi="Times New Roman"/>
              <w:sz w:val="24"/>
              <w:szCs w:val="24"/>
            </w:rPr>
            <w:t>En el Contrato de Concesión N° 010 de 2015, Parte Especial, numeral 4.2, Estructura Tarifaria literales (a) al (f), se presentan las tarifas del usuario al Proyecto en pesos del Mes de Referencia (Dic-2013).</w:t>
          </w:r>
        </w:p>
        <w:p w14:paraId="1B25F3B8" w14:textId="77777777" w:rsidR="007803E3" w:rsidRPr="0020113A" w:rsidRDefault="007803E3" w:rsidP="007803E3">
          <w:pPr>
            <w:autoSpaceDE w:val="0"/>
            <w:autoSpaceDN w:val="0"/>
            <w:adjustRightInd w:val="0"/>
            <w:spacing w:after="0" w:line="240" w:lineRule="auto"/>
            <w:rPr>
              <w:rFonts w:ascii="Times New Roman" w:hAnsi="Times New Roman"/>
              <w:sz w:val="24"/>
              <w:szCs w:val="24"/>
            </w:rPr>
          </w:pPr>
        </w:p>
        <w:p w14:paraId="1A03A154" w14:textId="77777777" w:rsidR="007803E3" w:rsidRPr="0020113A" w:rsidRDefault="007803E3" w:rsidP="007803E3">
          <w:pPr>
            <w:autoSpaceDE w:val="0"/>
            <w:autoSpaceDN w:val="0"/>
            <w:adjustRightInd w:val="0"/>
            <w:spacing w:after="0" w:line="240" w:lineRule="auto"/>
            <w:rPr>
              <w:rFonts w:ascii="Times New Roman" w:hAnsi="Times New Roman"/>
              <w:sz w:val="24"/>
              <w:szCs w:val="24"/>
            </w:rPr>
          </w:pPr>
          <w:r w:rsidRPr="0020113A">
            <w:rPr>
              <w:rFonts w:ascii="Times New Roman" w:hAnsi="Times New Roman"/>
              <w:sz w:val="24"/>
              <w:szCs w:val="24"/>
            </w:rPr>
            <w:t>Los montos y plazos de los aportes ANI se establecen en numeral 4.5 (d) de la parte especial del contrato de concesión, por valor de $2.501.255.341.139 Pesos de diciembre de 2013.</w:t>
          </w:r>
        </w:p>
        <w:p w14:paraId="1850D1EF" w14:textId="77777777" w:rsidR="007803E3" w:rsidRPr="0020113A" w:rsidRDefault="007803E3" w:rsidP="007803E3">
          <w:pPr>
            <w:autoSpaceDE w:val="0"/>
            <w:autoSpaceDN w:val="0"/>
            <w:adjustRightInd w:val="0"/>
            <w:spacing w:after="0" w:line="240" w:lineRule="auto"/>
            <w:jc w:val="both"/>
            <w:rPr>
              <w:rFonts w:ascii="Times New Roman" w:hAnsi="Times New Roman"/>
              <w:sz w:val="24"/>
              <w:szCs w:val="24"/>
            </w:rPr>
          </w:pPr>
        </w:p>
        <w:p w14:paraId="6F927D10" w14:textId="77777777" w:rsidR="007803E3" w:rsidRPr="0020113A" w:rsidRDefault="007803E3" w:rsidP="007803E3">
          <w:pPr>
            <w:autoSpaceDE w:val="0"/>
            <w:autoSpaceDN w:val="0"/>
            <w:adjustRightInd w:val="0"/>
            <w:spacing w:after="0" w:line="240" w:lineRule="auto"/>
            <w:jc w:val="both"/>
            <w:rPr>
              <w:rFonts w:ascii="Times New Roman" w:hAnsi="Times New Roman"/>
              <w:sz w:val="24"/>
              <w:szCs w:val="24"/>
            </w:rPr>
          </w:pPr>
          <w:r w:rsidRPr="0020113A">
            <w:rPr>
              <w:rFonts w:ascii="Times New Roman" w:hAnsi="Times New Roman"/>
              <w:sz w:val="24"/>
              <w:szCs w:val="24"/>
            </w:rPr>
            <w:t>El giro del déficit de las vigencias futuras del año 2022 se efectuó el día 13 de septiembre de 2023 por un valor de $ 68.272.370.080 y el giro parcial de las vigencias futuras del año 2023 se efectuó el día 22 de septiembre de 2023 por un valor de $177.885.261.089 a precios corrientes. Déficit pendiente de giro por valor de $90.336.541.399 Pesos de diciembre de 2013, el cual se actualizará al momento del giro. Las variables para la actualización de las Vigencias Futuras están contempladas en la sección 4.3(e) de la parte especial del contrato.</w:t>
          </w:r>
        </w:p>
        <w:p w14:paraId="61D4B457" w14:textId="77777777" w:rsidR="007803E3" w:rsidRPr="0020113A" w:rsidRDefault="007803E3" w:rsidP="007803E3">
          <w:pPr>
            <w:rPr>
              <w:rFonts w:ascii="Times New Roman" w:hAnsi="Times New Roman"/>
              <w:b/>
              <w:bCs/>
              <w:sz w:val="24"/>
              <w:szCs w:val="24"/>
              <w:lang w:val="es-MX"/>
            </w:rPr>
          </w:pPr>
        </w:p>
        <w:p w14:paraId="38174C3E" w14:textId="77777777" w:rsidR="007803E3" w:rsidRPr="0020113A" w:rsidRDefault="007803E3" w:rsidP="007C4DEE">
          <w:pPr>
            <w:autoSpaceDE w:val="0"/>
            <w:autoSpaceDN w:val="0"/>
            <w:adjustRightInd w:val="0"/>
            <w:spacing w:after="0" w:line="240" w:lineRule="auto"/>
            <w:jc w:val="both"/>
            <w:rPr>
              <w:rFonts w:ascii="Times New Roman" w:hAnsi="Times New Roman"/>
              <w:sz w:val="24"/>
              <w:szCs w:val="24"/>
            </w:rPr>
          </w:pPr>
          <w:r w:rsidRPr="0020113A">
            <w:rPr>
              <w:rFonts w:ascii="Times New Roman" w:hAnsi="Times New Roman"/>
              <w:b/>
              <w:bCs/>
              <w:sz w:val="24"/>
              <w:szCs w:val="24"/>
              <w:lang w:val="es-MX"/>
            </w:rPr>
            <w:t xml:space="preserve">Términos de Calendario: </w:t>
          </w:r>
          <w:r w:rsidRPr="0020113A">
            <w:rPr>
              <w:rFonts w:ascii="Times New Roman" w:hAnsi="Times New Roman"/>
              <w:sz w:val="24"/>
              <w:szCs w:val="24"/>
            </w:rPr>
            <w:t>Todas las UF cuentan con actas de terminación parcial. De las UF 2 a la 6, su fecha de terminación con plazo de cura era 15/05/23 y todas cuentan con eventos eximentes de responsabilidad. De la UF1 y 7 su fecha de terminación con plazo de cura es del 14/03/2024. A la fecha se desconoce fecha de terminación definitiva.</w:t>
          </w:r>
        </w:p>
        <w:p w14:paraId="70D4A9CE" w14:textId="77777777" w:rsidR="007803E3" w:rsidRPr="0020113A" w:rsidRDefault="007803E3" w:rsidP="007803E3">
          <w:pPr>
            <w:autoSpaceDE w:val="0"/>
            <w:autoSpaceDN w:val="0"/>
            <w:adjustRightInd w:val="0"/>
            <w:spacing w:after="0" w:line="240" w:lineRule="auto"/>
            <w:rPr>
              <w:rFonts w:ascii="Times New Roman" w:hAnsi="Times New Roman"/>
              <w:sz w:val="24"/>
              <w:szCs w:val="24"/>
            </w:rPr>
          </w:pPr>
        </w:p>
        <w:p w14:paraId="29834863" w14:textId="77777777" w:rsidR="007803E3" w:rsidRPr="0020113A" w:rsidRDefault="007803E3" w:rsidP="007803E3">
          <w:pPr>
            <w:autoSpaceDE w:val="0"/>
            <w:autoSpaceDN w:val="0"/>
            <w:adjustRightInd w:val="0"/>
            <w:spacing w:after="0" w:line="240" w:lineRule="auto"/>
            <w:jc w:val="both"/>
            <w:rPr>
              <w:rFonts w:ascii="Times New Roman" w:hAnsi="Times New Roman"/>
              <w:sz w:val="24"/>
              <w:szCs w:val="24"/>
            </w:rPr>
          </w:pPr>
          <w:r w:rsidRPr="0020113A">
            <w:rPr>
              <w:rFonts w:ascii="Times New Roman" w:hAnsi="Times New Roman"/>
              <w:b/>
              <w:bCs/>
              <w:sz w:val="24"/>
              <w:szCs w:val="24"/>
              <w:lang w:val="es-MX"/>
            </w:rPr>
            <w:t xml:space="preserve">Términos de Certeza de Flujos de Efectivo Futuros: </w:t>
          </w:r>
          <w:r w:rsidRPr="0020113A">
            <w:rPr>
              <w:rFonts w:ascii="Times New Roman" w:hAnsi="Times New Roman"/>
              <w:sz w:val="24"/>
              <w:szCs w:val="24"/>
            </w:rPr>
            <w:t>El proyecto se encuentra en etapa de construcción con acta de inicio del 13 de noviembre de 2018, la fecha de inicio de construcción se dio dos años después de lo estipulado contractualmente. Todas las UF cuentan con actas de terminación parcial.</w:t>
          </w:r>
        </w:p>
        <w:p w14:paraId="2C7CBDE1" w14:textId="77777777" w:rsidR="007803E3" w:rsidRPr="0020113A" w:rsidRDefault="007803E3" w:rsidP="007803E3">
          <w:pPr>
            <w:autoSpaceDE w:val="0"/>
            <w:autoSpaceDN w:val="0"/>
            <w:adjustRightInd w:val="0"/>
            <w:spacing w:after="0" w:line="240" w:lineRule="auto"/>
            <w:rPr>
              <w:rFonts w:ascii="Times New Roman" w:hAnsi="Times New Roman"/>
              <w:sz w:val="24"/>
              <w:szCs w:val="24"/>
            </w:rPr>
          </w:pPr>
        </w:p>
        <w:p w14:paraId="488D3841" w14:textId="77777777" w:rsidR="007803E3" w:rsidRPr="0020113A" w:rsidRDefault="007803E3" w:rsidP="00E60BAB">
          <w:pPr>
            <w:pStyle w:val="Prrafodelista"/>
            <w:numPr>
              <w:ilvl w:val="0"/>
              <w:numId w:val="70"/>
            </w:numPr>
            <w:spacing w:line="259" w:lineRule="auto"/>
            <w:jc w:val="both"/>
            <w:rPr>
              <w:rFonts w:ascii="Times New Roman" w:hAnsi="Times New Roman"/>
              <w:b/>
              <w:sz w:val="24"/>
              <w:szCs w:val="24"/>
              <w:lang w:val="es-MX"/>
            </w:rPr>
          </w:pPr>
          <w:r w:rsidRPr="0020113A">
            <w:rPr>
              <w:rFonts w:ascii="Times New Roman" w:hAnsi="Times New Roman"/>
              <w:b/>
              <w:sz w:val="24"/>
              <w:szCs w:val="24"/>
              <w:lang w:val="es-MX"/>
            </w:rPr>
            <w:t>Naturaleza y alcance del derecho a utilizar activos especificados, de los aspectos pactados en torno a lo que se espera que el concesionario proporcione en relación con el acuerdo de concesión</w:t>
          </w:r>
        </w:p>
        <w:p w14:paraId="6CB3F572" w14:textId="77777777" w:rsidR="007803E3" w:rsidRPr="0020113A" w:rsidRDefault="007803E3" w:rsidP="007803E3">
          <w:pPr>
            <w:jc w:val="center"/>
            <w:rPr>
              <w:rFonts w:ascii="Times New Roman" w:hAnsi="Times New Roman"/>
              <w:b/>
              <w:sz w:val="24"/>
              <w:szCs w:val="24"/>
              <w:lang w:val="es-MX"/>
            </w:rPr>
          </w:pPr>
          <w:r w:rsidRPr="0020113A">
            <w:rPr>
              <w:rFonts w:ascii="Times New Roman" w:hAnsi="Times New Roman"/>
              <w:b/>
              <w:sz w:val="24"/>
              <w:szCs w:val="24"/>
              <w:lang w:val="es-MX"/>
            </w:rPr>
            <w:t>Naturaleza y alcance del derecho de uso de los activos</w:t>
          </w:r>
        </w:p>
        <w:p w14:paraId="4EDBFC77" w14:textId="77777777" w:rsidR="007803E3" w:rsidRPr="0020113A" w:rsidRDefault="007803E3" w:rsidP="007803E3">
          <w:pPr>
            <w:autoSpaceDE w:val="0"/>
            <w:autoSpaceDN w:val="0"/>
            <w:adjustRightInd w:val="0"/>
            <w:spacing w:after="0" w:line="240" w:lineRule="auto"/>
            <w:jc w:val="both"/>
            <w:rPr>
              <w:rFonts w:ascii="Times New Roman" w:hAnsi="Times New Roman"/>
              <w:sz w:val="24"/>
              <w:szCs w:val="24"/>
            </w:rPr>
          </w:pPr>
          <w:r w:rsidRPr="0020113A">
            <w:rPr>
              <w:rFonts w:ascii="Times New Roman" w:hAnsi="Times New Roman"/>
              <w:b/>
              <w:bCs/>
              <w:sz w:val="24"/>
              <w:szCs w:val="24"/>
              <w:lang w:val="es-MX"/>
            </w:rPr>
            <w:t>Descripción:</w:t>
          </w:r>
          <w:r w:rsidRPr="0020113A">
            <w:rPr>
              <w:rFonts w:ascii="Times New Roman" w:hAnsi="Times New Roman"/>
              <w:sz w:val="24"/>
              <w:szCs w:val="24"/>
            </w:rPr>
            <w:t xml:space="preserve"> Los derechos que cedió el concedente al concesionario para explotar los activos en concesión, se encuentran en la parte General del Contrato capítulo III Aspectos Económicos del Contrato numeral 3.3 y se estableció que se ceden los peajes, derecho de recaudo e ingresos por explotación comercial.</w:t>
          </w:r>
        </w:p>
        <w:p w14:paraId="68714A5A" w14:textId="77777777" w:rsidR="007803E3" w:rsidRPr="0020113A" w:rsidRDefault="007803E3" w:rsidP="007803E3">
          <w:pPr>
            <w:autoSpaceDE w:val="0"/>
            <w:autoSpaceDN w:val="0"/>
            <w:adjustRightInd w:val="0"/>
            <w:spacing w:after="0" w:line="240" w:lineRule="auto"/>
            <w:rPr>
              <w:rFonts w:ascii="Times New Roman" w:hAnsi="Times New Roman"/>
              <w:sz w:val="24"/>
              <w:szCs w:val="24"/>
            </w:rPr>
          </w:pPr>
        </w:p>
        <w:p w14:paraId="5D3E58D4" w14:textId="77777777" w:rsidR="007803E3" w:rsidRPr="0020113A" w:rsidRDefault="007803E3" w:rsidP="007803E3">
          <w:pPr>
            <w:autoSpaceDE w:val="0"/>
            <w:autoSpaceDN w:val="0"/>
            <w:adjustRightInd w:val="0"/>
            <w:spacing w:after="0" w:line="240" w:lineRule="auto"/>
            <w:rPr>
              <w:rFonts w:ascii="Times New Roman" w:hAnsi="Times New Roman"/>
              <w:sz w:val="24"/>
              <w:szCs w:val="24"/>
            </w:rPr>
          </w:pPr>
          <w:r w:rsidRPr="0020113A">
            <w:rPr>
              <w:rFonts w:ascii="Times New Roman" w:hAnsi="Times New Roman"/>
              <w:sz w:val="24"/>
              <w:szCs w:val="24"/>
            </w:rPr>
            <w:t>Activos para el desarrollo del acuerdo de concesión: En el Contrato de Concesión N° 010 de 2015, Parte Especial, numeral 3.5, Entrega de la Infraestructura literales (a) y (b).</w:t>
          </w:r>
        </w:p>
        <w:p w14:paraId="3BE299B4" w14:textId="77777777" w:rsidR="007803E3" w:rsidRPr="0020113A" w:rsidRDefault="007803E3" w:rsidP="007803E3">
          <w:pPr>
            <w:autoSpaceDE w:val="0"/>
            <w:autoSpaceDN w:val="0"/>
            <w:adjustRightInd w:val="0"/>
            <w:spacing w:after="0" w:line="240" w:lineRule="auto"/>
            <w:rPr>
              <w:rFonts w:ascii="Times New Roman" w:hAnsi="Times New Roman"/>
              <w:sz w:val="24"/>
              <w:szCs w:val="24"/>
            </w:rPr>
          </w:pPr>
        </w:p>
        <w:p w14:paraId="7F2F5C50" w14:textId="77777777" w:rsidR="007803E3" w:rsidRPr="0020113A" w:rsidRDefault="007803E3" w:rsidP="007803E3">
          <w:pPr>
            <w:rPr>
              <w:rFonts w:ascii="Times New Roman" w:hAnsi="Times New Roman"/>
              <w:bCs/>
              <w:sz w:val="24"/>
              <w:szCs w:val="24"/>
              <w:lang w:val="es-MX"/>
            </w:rPr>
          </w:pPr>
          <w:r w:rsidRPr="0020113A">
            <w:rPr>
              <w:rFonts w:ascii="Times New Roman" w:hAnsi="Times New Roman"/>
              <w:b/>
              <w:sz w:val="24"/>
              <w:szCs w:val="24"/>
              <w:lang w:val="es-MX"/>
            </w:rPr>
            <w:t xml:space="preserve">Observaciones: </w:t>
          </w:r>
          <w:r w:rsidRPr="0020113A">
            <w:rPr>
              <w:rFonts w:ascii="Times New Roman" w:hAnsi="Times New Roman"/>
              <w:bCs/>
              <w:sz w:val="24"/>
              <w:szCs w:val="24"/>
              <w:lang w:val="es-MX"/>
            </w:rPr>
            <w:t>No aplica</w:t>
          </w:r>
        </w:p>
        <w:p w14:paraId="56F565AB" w14:textId="77777777" w:rsidR="007803E3" w:rsidRPr="0020113A" w:rsidRDefault="007803E3" w:rsidP="007803E3">
          <w:pPr>
            <w:jc w:val="center"/>
            <w:rPr>
              <w:rFonts w:ascii="Times New Roman" w:hAnsi="Times New Roman"/>
              <w:b/>
              <w:sz w:val="24"/>
              <w:szCs w:val="24"/>
              <w:lang w:val="es-MX"/>
            </w:rPr>
          </w:pPr>
          <w:r w:rsidRPr="0020113A">
            <w:rPr>
              <w:rFonts w:ascii="Times New Roman" w:hAnsi="Times New Roman"/>
              <w:b/>
              <w:sz w:val="24"/>
              <w:szCs w:val="24"/>
              <w:lang w:val="es-MX"/>
            </w:rPr>
            <w:lastRenderedPageBreak/>
            <w:t>Retribución al Concesionario</w:t>
          </w:r>
        </w:p>
        <w:p w14:paraId="1F4A2DA9" w14:textId="77777777" w:rsidR="007803E3" w:rsidRPr="0020113A" w:rsidRDefault="007803E3" w:rsidP="007803E3">
          <w:pPr>
            <w:autoSpaceDE w:val="0"/>
            <w:autoSpaceDN w:val="0"/>
            <w:adjustRightInd w:val="0"/>
            <w:spacing w:after="0" w:line="240" w:lineRule="auto"/>
            <w:jc w:val="both"/>
            <w:rPr>
              <w:rFonts w:ascii="Times New Roman" w:hAnsi="Times New Roman"/>
              <w:sz w:val="24"/>
              <w:szCs w:val="24"/>
            </w:rPr>
          </w:pPr>
          <w:r w:rsidRPr="0020113A">
            <w:rPr>
              <w:rFonts w:ascii="Times New Roman" w:hAnsi="Times New Roman"/>
              <w:b/>
              <w:bCs/>
              <w:sz w:val="24"/>
              <w:szCs w:val="24"/>
              <w:lang w:val="es-MX"/>
            </w:rPr>
            <w:t xml:space="preserve">Descripción: </w:t>
          </w:r>
          <w:r w:rsidRPr="0020113A">
            <w:rPr>
              <w:rFonts w:ascii="Times New Roman" w:hAnsi="Times New Roman"/>
              <w:sz w:val="24"/>
              <w:szCs w:val="24"/>
            </w:rPr>
            <w:t>Se establece en el Contrato en la Parte General Capítulo III Aspectos Económicos del Contrato numeral 3.1 Retribución al Concesionario literales a) al i) y en la Parte Especial capítulo IV numeral 4.1 Porcentaje de Participación de las Unidades Funcionales para efectos de la retribución y 4.3 Cálculo de la retribución.</w:t>
          </w:r>
        </w:p>
        <w:p w14:paraId="7BC66C61" w14:textId="77777777" w:rsidR="007803E3" w:rsidRPr="0020113A" w:rsidRDefault="007803E3" w:rsidP="007803E3">
          <w:pPr>
            <w:autoSpaceDE w:val="0"/>
            <w:autoSpaceDN w:val="0"/>
            <w:adjustRightInd w:val="0"/>
            <w:spacing w:after="0" w:line="240" w:lineRule="auto"/>
            <w:jc w:val="both"/>
            <w:rPr>
              <w:rFonts w:ascii="Times New Roman" w:hAnsi="Times New Roman"/>
              <w:sz w:val="24"/>
              <w:szCs w:val="24"/>
            </w:rPr>
          </w:pPr>
        </w:p>
        <w:p w14:paraId="0638CA17" w14:textId="77777777" w:rsidR="007803E3" w:rsidRPr="0020113A" w:rsidRDefault="007803E3" w:rsidP="007803E3">
          <w:pPr>
            <w:autoSpaceDE w:val="0"/>
            <w:autoSpaceDN w:val="0"/>
            <w:adjustRightInd w:val="0"/>
            <w:spacing w:after="0" w:line="240" w:lineRule="auto"/>
            <w:jc w:val="both"/>
            <w:rPr>
              <w:rFonts w:ascii="Times New Roman" w:hAnsi="Times New Roman"/>
              <w:sz w:val="24"/>
              <w:szCs w:val="24"/>
            </w:rPr>
          </w:pPr>
          <w:r w:rsidRPr="0020113A">
            <w:rPr>
              <w:rFonts w:ascii="Times New Roman" w:hAnsi="Times New Roman"/>
              <w:b/>
              <w:bCs/>
              <w:sz w:val="24"/>
              <w:szCs w:val="24"/>
              <w:lang w:val="es-MX"/>
            </w:rPr>
            <w:t xml:space="preserve">Tasa de Retribución: </w:t>
          </w:r>
          <w:r w:rsidRPr="0020113A">
            <w:rPr>
              <w:rFonts w:ascii="Times New Roman" w:hAnsi="Times New Roman"/>
              <w:sz w:val="24"/>
              <w:szCs w:val="24"/>
            </w:rPr>
            <w:t>La metodología para el cálculo de la carga financiera se estableció conforme a lo planteado en el modelo financiero, en este la carga financiera se obtiene a través del cálculo de una tasa resultante para mantener el equilibrio entre los recursos disponibles del proyecto y las obligaciones a pagar, la tasa que asegure ese equilibrio es la tasa de cierre del modelo.</w:t>
          </w:r>
        </w:p>
        <w:p w14:paraId="4BAD89C7" w14:textId="77777777" w:rsidR="007803E3" w:rsidRPr="0020113A" w:rsidRDefault="007803E3" w:rsidP="007803E3">
          <w:pPr>
            <w:autoSpaceDE w:val="0"/>
            <w:autoSpaceDN w:val="0"/>
            <w:adjustRightInd w:val="0"/>
            <w:spacing w:after="0" w:line="240" w:lineRule="auto"/>
            <w:rPr>
              <w:rFonts w:ascii="Times New Roman" w:hAnsi="Times New Roman"/>
              <w:sz w:val="24"/>
              <w:szCs w:val="24"/>
            </w:rPr>
          </w:pPr>
        </w:p>
        <w:p w14:paraId="5B8B84B0" w14:textId="77777777" w:rsidR="007803E3" w:rsidRPr="0020113A" w:rsidRDefault="007803E3" w:rsidP="00E60BAB">
          <w:pPr>
            <w:pStyle w:val="Prrafodelista"/>
            <w:numPr>
              <w:ilvl w:val="0"/>
              <w:numId w:val="70"/>
            </w:numPr>
            <w:spacing w:line="259" w:lineRule="auto"/>
            <w:rPr>
              <w:rFonts w:ascii="Times New Roman" w:hAnsi="Times New Roman"/>
              <w:b/>
              <w:sz w:val="24"/>
              <w:szCs w:val="24"/>
              <w:lang w:val="es-MX"/>
            </w:rPr>
          </w:pPr>
          <w:r w:rsidRPr="0020113A">
            <w:rPr>
              <w:rFonts w:ascii="Times New Roman" w:hAnsi="Times New Roman"/>
              <w:b/>
              <w:sz w:val="24"/>
              <w:szCs w:val="24"/>
              <w:lang w:val="es-MX"/>
            </w:rPr>
            <w:t>Derechos a recibir activos especificados al final del acuerdo de concesión</w:t>
          </w:r>
        </w:p>
        <w:p w14:paraId="126E3546" w14:textId="77777777" w:rsidR="007803E3" w:rsidRPr="0020113A" w:rsidRDefault="007803E3" w:rsidP="007803E3">
          <w:pPr>
            <w:autoSpaceDE w:val="0"/>
            <w:autoSpaceDN w:val="0"/>
            <w:adjustRightInd w:val="0"/>
            <w:spacing w:after="0" w:line="240" w:lineRule="auto"/>
            <w:jc w:val="both"/>
            <w:rPr>
              <w:rFonts w:ascii="Times New Roman" w:hAnsi="Times New Roman"/>
              <w:sz w:val="24"/>
              <w:szCs w:val="24"/>
            </w:rPr>
          </w:pPr>
          <w:r w:rsidRPr="0020113A">
            <w:rPr>
              <w:rFonts w:ascii="Times New Roman" w:hAnsi="Times New Roman"/>
              <w:b/>
              <w:bCs/>
              <w:sz w:val="24"/>
              <w:szCs w:val="24"/>
              <w:lang w:val="es-MX"/>
            </w:rPr>
            <w:t xml:space="preserve">Descripción: </w:t>
          </w:r>
          <w:r w:rsidRPr="0020113A">
            <w:rPr>
              <w:rFonts w:ascii="Times New Roman" w:hAnsi="Times New Roman"/>
              <w:sz w:val="24"/>
              <w:szCs w:val="24"/>
            </w:rPr>
            <w:t>La sección 9.7 literales a) al (h) de la Parte General del Contrato establece lo correspondiente a la reversión, que se dará cuando concluya la etapa de Operación y Mantenimiento o cuando el Contrato se termine anticipadamente.</w:t>
          </w:r>
        </w:p>
        <w:p w14:paraId="28FE7009" w14:textId="77777777" w:rsidR="007803E3" w:rsidRPr="0020113A" w:rsidRDefault="007803E3" w:rsidP="007803E3">
          <w:pPr>
            <w:autoSpaceDE w:val="0"/>
            <w:autoSpaceDN w:val="0"/>
            <w:adjustRightInd w:val="0"/>
            <w:spacing w:after="0" w:line="240" w:lineRule="auto"/>
            <w:rPr>
              <w:rFonts w:ascii="Times New Roman" w:hAnsi="Times New Roman"/>
              <w:sz w:val="24"/>
              <w:szCs w:val="24"/>
            </w:rPr>
          </w:pPr>
        </w:p>
        <w:p w14:paraId="441CC630" w14:textId="77777777" w:rsidR="007803E3" w:rsidRPr="0020113A" w:rsidRDefault="007803E3" w:rsidP="007803E3">
          <w:pPr>
            <w:autoSpaceDE w:val="0"/>
            <w:autoSpaceDN w:val="0"/>
            <w:adjustRightInd w:val="0"/>
            <w:spacing w:after="0" w:line="240" w:lineRule="auto"/>
            <w:jc w:val="both"/>
            <w:rPr>
              <w:rFonts w:ascii="Times New Roman" w:hAnsi="Times New Roman"/>
              <w:sz w:val="24"/>
              <w:szCs w:val="24"/>
            </w:rPr>
          </w:pPr>
          <w:r w:rsidRPr="0020113A">
            <w:rPr>
              <w:rFonts w:ascii="Times New Roman" w:hAnsi="Times New Roman"/>
              <w:b/>
              <w:bCs/>
              <w:sz w:val="24"/>
              <w:szCs w:val="24"/>
              <w:lang w:val="es-MX"/>
            </w:rPr>
            <w:t xml:space="preserve">Observaciones: </w:t>
          </w:r>
          <w:r w:rsidRPr="0020113A">
            <w:rPr>
              <w:rFonts w:ascii="Times New Roman" w:hAnsi="Times New Roman"/>
              <w:sz w:val="24"/>
              <w:szCs w:val="24"/>
            </w:rPr>
            <w:t>El Apéndice Técnico 2 numeral 5 Reversión define: “todas las obras y bienes de la Concesión, incluyendo los predios de la zona del Corredor del Proyecto y las obras civiles (calzadas, separadores, intersecciones, estructuras, obras de drenaje, obras de arte y señales), las Estaciones de Peaje y sus equipos, las Estaciones de Pesaje y sus equipos, el Centro de Control de Operación y sus equipos, las Bases de Operación (uno o los que haya), las Áreas de Servicio, todos los automotores y equipos instalados para la Operación del Proyecto, incluyendo equipos y software de computación, equipos de telecomunicaciones, red de fibra óptica, los entregados a la Policía de Carreteras, los equipos de rescate, los elementos de Traslado Asistencial Médico (TAM) y cualquier otra obra y bien que forme parte de la concesión, deberán ser entregados a la ANI sin costo alguno y libre de todo gravamen.”</w:t>
          </w:r>
        </w:p>
        <w:p w14:paraId="1EEBECC4" w14:textId="77777777" w:rsidR="007803E3" w:rsidRPr="0020113A" w:rsidRDefault="007803E3" w:rsidP="007803E3">
          <w:pPr>
            <w:autoSpaceDE w:val="0"/>
            <w:autoSpaceDN w:val="0"/>
            <w:adjustRightInd w:val="0"/>
            <w:spacing w:after="0" w:line="240" w:lineRule="auto"/>
            <w:rPr>
              <w:rFonts w:ascii="Times New Roman" w:hAnsi="Times New Roman"/>
              <w:sz w:val="24"/>
              <w:szCs w:val="24"/>
            </w:rPr>
          </w:pPr>
        </w:p>
        <w:p w14:paraId="5BE6E010" w14:textId="0A491CB7" w:rsidR="007803E3" w:rsidRPr="0020113A" w:rsidRDefault="007C4DEE" w:rsidP="00E60BAB">
          <w:pPr>
            <w:pStyle w:val="Prrafodelista"/>
            <w:numPr>
              <w:ilvl w:val="0"/>
              <w:numId w:val="70"/>
            </w:numPr>
            <w:spacing w:line="259" w:lineRule="auto"/>
            <w:rPr>
              <w:rFonts w:ascii="Times New Roman" w:hAnsi="Times New Roman"/>
              <w:b/>
              <w:sz w:val="24"/>
              <w:szCs w:val="24"/>
              <w:lang w:val="es-MX"/>
            </w:rPr>
          </w:pPr>
          <w:r>
            <w:rPr>
              <w:rFonts w:ascii="Times New Roman" w:hAnsi="Times New Roman"/>
              <w:b/>
              <w:sz w:val="24"/>
              <w:szCs w:val="24"/>
              <w:lang w:val="es-MX"/>
            </w:rPr>
            <w:t>No hay c</w:t>
          </w:r>
          <w:r w:rsidR="007803E3" w:rsidRPr="0020113A">
            <w:rPr>
              <w:rFonts w:ascii="Times New Roman" w:hAnsi="Times New Roman"/>
              <w:b/>
              <w:sz w:val="24"/>
              <w:szCs w:val="24"/>
              <w:lang w:val="es-MX"/>
            </w:rPr>
            <w:t>ambios en el acuerdo de concesión que se realicen durante el periodo fiscal</w:t>
          </w:r>
        </w:p>
        <w:p w14:paraId="73A1C6B4" w14:textId="77777777" w:rsidR="007803E3" w:rsidRPr="0020113A" w:rsidRDefault="007803E3" w:rsidP="007803E3">
          <w:pPr>
            <w:rPr>
              <w:rFonts w:ascii="Times New Roman" w:hAnsi="Times New Roman"/>
              <w:b/>
              <w:sz w:val="24"/>
              <w:szCs w:val="24"/>
              <w:lang w:val="es-MX"/>
            </w:rPr>
          </w:pPr>
        </w:p>
        <w:p w14:paraId="2050DDEE" w14:textId="77777777"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TRONCAL DEL MAGDALENA 2</w:t>
          </w:r>
        </w:p>
        <w:p w14:paraId="595EB4B9" w14:textId="77777777" w:rsidR="007803E3" w:rsidRPr="0020113A" w:rsidRDefault="007803E3" w:rsidP="007803E3">
          <w:pPr>
            <w:rPr>
              <w:rFonts w:ascii="Times New Roman" w:hAnsi="Times New Roman"/>
              <w:sz w:val="24"/>
              <w:szCs w:val="24"/>
            </w:rPr>
          </w:pPr>
          <w:r w:rsidRPr="0020113A">
            <w:rPr>
              <w:rFonts w:ascii="Times New Roman" w:hAnsi="Times New Roman"/>
              <w:b/>
              <w:sz w:val="24"/>
              <w:szCs w:val="24"/>
              <w:lang w:val="es-MX"/>
            </w:rPr>
            <w:t>a. Descripción del acuerdo</w:t>
          </w:r>
        </w:p>
        <w:p w14:paraId="2147FF11" w14:textId="77777777" w:rsidR="007803E3" w:rsidRPr="0020113A" w:rsidRDefault="007803E3" w:rsidP="18BAD2EC">
          <w:pPr>
            <w:spacing w:after="0"/>
            <w:rPr>
              <w:rFonts w:ascii="Times New Roman" w:hAnsi="Times New Roman"/>
              <w:sz w:val="24"/>
              <w:szCs w:val="24"/>
              <w:lang w:val="es-MX"/>
            </w:rPr>
          </w:pPr>
          <w:r w:rsidRPr="0020113A">
            <w:rPr>
              <w:rFonts w:ascii="Times New Roman" w:hAnsi="Times New Roman"/>
              <w:b/>
              <w:sz w:val="24"/>
              <w:szCs w:val="24"/>
            </w:rPr>
            <w:t>Número del acuerdo de concesión:</w:t>
          </w:r>
          <w:r w:rsidRPr="0020113A">
            <w:rPr>
              <w:rFonts w:ascii="Times New Roman" w:hAnsi="Times New Roman"/>
              <w:sz w:val="24"/>
              <w:szCs w:val="24"/>
            </w:rPr>
            <w:t xml:space="preserve"> CONTRATO DE CONCESIÓN BAJO EL ESQUEMA DE APP </w:t>
          </w:r>
          <w:r>
            <w:tab/>
          </w:r>
          <w:r w:rsidRPr="0020113A">
            <w:rPr>
              <w:rFonts w:ascii="Times New Roman" w:hAnsi="Times New Roman"/>
              <w:sz w:val="24"/>
              <w:szCs w:val="24"/>
            </w:rPr>
            <w:t>No. 003 DE 2022.</w:t>
          </w:r>
        </w:p>
        <w:p w14:paraId="6210EB31" w14:textId="77777777" w:rsidR="007803E3" w:rsidRPr="0020113A" w:rsidRDefault="007803E3" w:rsidP="18BAD2EC">
          <w:pPr>
            <w:spacing w:after="0"/>
            <w:rPr>
              <w:rFonts w:ascii="Times New Roman" w:hAnsi="Times New Roman"/>
              <w:b/>
              <w:sz w:val="24"/>
              <w:szCs w:val="24"/>
              <w:lang w:val="es-MX"/>
            </w:rPr>
          </w:pPr>
          <w:r w:rsidRPr="0020113A">
            <w:rPr>
              <w:rFonts w:ascii="Times New Roman" w:hAnsi="Times New Roman"/>
              <w:b/>
              <w:sz w:val="24"/>
              <w:szCs w:val="24"/>
              <w:lang w:val="es-MX"/>
            </w:rPr>
            <w:t xml:space="preserve">Objeto / Descripción: </w:t>
          </w:r>
        </w:p>
        <w:p w14:paraId="3E1BA399" w14:textId="2BF14DA1" w:rsidR="007803E3" w:rsidRPr="0020113A" w:rsidRDefault="007803E3" w:rsidP="18BAD2EC">
          <w:pPr>
            <w:spacing w:after="0" w:line="257" w:lineRule="auto"/>
            <w:ind w:left="-20" w:right="-20"/>
            <w:jc w:val="both"/>
            <w:rPr>
              <w:rFonts w:ascii="Times New Roman" w:hAnsi="Times New Roman"/>
              <w:sz w:val="24"/>
              <w:szCs w:val="24"/>
            </w:rPr>
          </w:pPr>
          <w:r w:rsidRPr="0020113A">
            <w:rPr>
              <w:rFonts w:ascii="Times New Roman" w:hAnsi="Times New Roman"/>
              <w:sz w:val="24"/>
              <w:szCs w:val="24"/>
              <w:lang w:val="es-MX"/>
            </w:rPr>
            <w:t>El presente Contrato de concesión bajo un esquema de asociación público</w:t>
          </w:r>
          <w:r w:rsidR="00A317E1" w:rsidRPr="0020113A">
            <w:rPr>
              <w:rFonts w:ascii="Times New Roman" w:hAnsi="Times New Roman"/>
              <w:sz w:val="24"/>
              <w:szCs w:val="24"/>
              <w:lang w:val="es-MX"/>
            </w:rPr>
            <w:t>-</w:t>
          </w:r>
          <w:r w:rsidRPr="0020113A">
            <w:rPr>
              <w:rFonts w:ascii="Times New Roman" w:hAnsi="Times New Roman"/>
              <w:sz w:val="24"/>
              <w:szCs w:val="24"/>
              <w:lang w:val="es-MX"/>
            </w:rPr>
            <w:t>privada de Iniciativa Privada en los términos de la Ley 1508 de 2012, tiene por objeto el otorgamiento de una concesión para que, de conformidad con lo previsto en este Contrato, el Concesionario, por su cuenta y riesgo, lleve a cabo el Proyecto. El alcance físico del Proyecto se describe en la Parte Especial y en el Apéndice Técnico 1.</w:t>
          </w:r>
        </w:p>
        <w:p w14:paraId="455FF488" w14:textId="77777777" w:rsidR="007803E3" w:rsidRPr="0020113A" w:rsidRDefault="007803E3" w:rsidP="00A1352A">
          <w:pPr>
            <w:spacing w:after="0"/>
            <w:ind w:left="-20" w:right="-20"/>
            <w:rPr>
              <w:rFonts w:ascii="Times New Roman" w:hAnsi="Times New Roman"/>
              <w:sz w:val="24"/>
              <w:szCs w:val="24"/>
            </w:rPr>
          </w:pPr>
          <w:r w:rsidRPr="0020113A">
            <w:rPr>
              <w:rFonts w:ascii="Times New Roman" w:hAnsi="Times New Roman"/>
              <w:b/>
              <w:sz w:val="24"/>
              <w:szCs w:val="24"/>
              <w:lang w:val="es-MX"/>
            </w:rPr>
            <w:t>Valor inicial:</w:t>
          </w:r>
          <w:r w:rsidRPr="0020113A">
            <w:rPr>
              <w:rFonts w:ascii="Times New Roman" w:hAnsi="Times New Roman"/>
              <w:sz w:val="24"/>
              <w:szCs w:val="24"/>
              <w:lang w:val="es-MX"/>
            </w:rPr>
            <w:t xml:space="preserve"> $3.640.401.125.347(Mes de referencia)</w:t>
          </w:r>
        </w:p>
        <w:p w14:paraId="0D34D7FB" w14:textId="77777777" w:rsidR="007803E3" w:rsidRPr="0020113A" w:rsidRDefault="007803E3" w:rsidP="00A1352A">
          <w:pPr>
            <w:spacing w:after="0"/>
            <w:ind w:left="-20" w:right="-20"/>
            <w:rPr>
              <w:rFonts w:ascii="Times New Roman" w:hAnsi="Times New Roman"/>
              <w:sz w:val="24"/>
              <w:szCs w:val="24"/>
            </w:rPr>
          </w:pPr>
          <w:r w:rsidRPr="0020113A">
            <w:rPr>
              <w:rFonts w:ascii="Times New Roman" w:hAnsi="Times New Roman"/>
              <w:b/>
              <w:sz w:val="24"/>
              <w:szCs w:val="24"/>
              <w:lang w:val="es-MX"/>
            </w:rPr>
            <w:t>Fecha de inicio:</w:t>
          </w:r>
          <w:r w:rsidRPr="0020113A">
            <w:rPr>
              <w:rFonts w:ascii="Times New Roman" w:hAnsi="Times New Roman"/>
              <w:sz w:val="24"/>
              <w:szCs w:val="24"/>
              <w:lang w:val="es-MX"/>
            </w:rPr>
            <w:t xml:space="preserve"> 22/07/2022</w:t>
          </w:r>
        </w:p>
        <w:p w14:paraId="3F4E721B" w14:textId="77777777" w:rsidR="007803E3" w:rsidRPr="0020113A" w:rsidRDefault="007803E3" w:rsidP="00A1352A">
          <w:pPr>
            <w:spacing w:after="0"/>
            <w:ind w:left="-20" w:right="-20"/>
            <w:rPr>
              <w:rFonts w:ascii="Times New Roman" w:hAnsi="Times New Roman"/>
              <w:sz w:val="24"/>
              <w:szCs w:val="24"/>
            </w:rPr>
          </w:pPr>
          <w:r w:rsidRPr="0020113A">
            <w:rPr>
              <w:rFonts w:ascii="Times New Roman" w:hAnsi="Times New Roman"/>
              <w:b/>
              <w:sz w:val="24"/>
              <w:szCs w:val="24"/>
              <w:lang w:val="es-MX"/>
            </w:rPr>
            <w:lastRenderedPageBreak/>
            <w:t>Fecha de finalización estimada:</w:t>
          </w:r>
          <w:r w:rsidRPr="0020113A">
            <w:rPr>
              <w:rFonts w:ascii="Times New Roman" w:hAnsi="Times New Roman"/>
              <w:sz w:val="24"/>
              <w:szCs w:val="24"/>
              <w:lang w:val="es-MX"/>
            </w:rPr>
            <w:t xml:space="preserve"> A la terminación de la etapa de reversión</w:t>
          </w:r>
        </w:p>
        <w:p w14:paraId="3F7C38F2" w14:textId="77777777" w:rsidR="007803E3" w:rsidRPr="0020113A" w:rsidRDefault="007803E3" w:rsidP="00A1352A">
          <w:pPr>
            <w:spacing w:after="0"/>
            <w:ind w:left="-20" w:right="-20"/>
            <w:rPr>
              <w:rFonts w:ascii="Times New Roman" w:hAnsi="Times New Roman"/>
              <w:sz w:val="24"/>
              <w:szCs w:val="24"/>
            </w:rPr>
          </w:pPr>
          <w:r w:rsidRPr="0020113A">
            <w:rPr>
              <w:rFonts w:ascii="Times New Roman" w:hAnsi="Times New Roman"/>
              <w:b/>
              <w:sz w:val="24"/>
              <w:szCs w:val="24"/>
              <w:lang w:val="es-MX"/>
            </w:rPr>
            <w:t>Tipo ID:</w:t>
          </w:r>
          <w:r w:rsidRPr="0020113A">
            <w:rPr>
              <w:rFonts w:ascii="Times New Roman" w:hAnsi="Times New Roman"/>
              <w:sz w:val="24"/>
              <w:szCs w:val="24"/>
              <w:lang w:val="es-MX"/>
            </w:rPr>
            <w:t xml:space="preserve"> NIT </w:t>
          </w:r>
        </w:p>
        <w:p w14:paraId="1BA16C2A" w14:textId="77777777" w:rsidR="007803E3" w:rsidRPr="0020113A" w:rsidRDefault="007803E3" w:rsidP="00A1352A">
          <w:pPr>
            <w:spacing w:after="0"/>
            <w:ind w:left="-20" w:right="-20"/>
            <w:rPr>
              <w:rFonts w:ascii="Times New Roman" w:hAnsi="Times New Roman"/>
              <w:sz w:val="24"/>
              <w:szCs w:val="24"/>
            </w:rPr>
          </w:pPr>
          <w:r w:rsidRPr="0020113A">
            <w:rPr>
              <w:rFonts w:ascii="Times New Roman" w:hAnsi="Times New Roman"/>
              <w:b/>
              <w:sz w:val="24"/>
              <w:szCs w:val="24"/>
              <w:lang w:val="es-MX"/>
            </w:rPr>
            <w:t>Número ID:</w:t>
          </w:r>
          <w:r w:rsidRPr="0020113A">
            <w:rPr>
              <w:rFonts w:ascii="Times New Roman" w:hAnsi="Times New Roman"/>
              <w:sz w:val="24"/>
              <w:szCs w:val="24"/>
              <w:lang w:val="es-MX"/>
            </w:rPr>
            <w:t xml:space="preserve"> 901.607.093-1 </w:t>
          </w:r>
        </w:p>
        <w:p w14:paraId="1ABF4F57" w14:textId="77777777" w:rsidR="007803E3" w:rsidRPr="0020113A" w:rsidRDefault="007803E3" w:rsidP="00A1352A">
          <w:pPr>
            <w:spacing w:after="0"/>
            <w:ind w:left="-20" w:right="-20"/>
            <w:rPr>
              <w:rFonts w:ascii="Times New Roman" w:hAnsi="Times New Roman"/>
              <w:sz w:val="24"/>
              <w:szCs w:val="24"/>
            </w:rPr>
          </w:pPr>
          <w:r w:rsidRPr="0020113A">
            <w:rPr>
              <w:rFonts w:ascii="Times New Roman" w:hAnsi="Times New Roman"/>
              <w:b/>
              <w:sz w:val="24"/>
              <w:szCs w:val="24"/>
              <w:lang w:val="es-MX"/>
            </w:rPr>
            <w:t>Razón social del concesionario:</w:t>
          </w:r>
          <w:r w:rsidRPr="0020113A">
            <w:rPr>
              <w:rFonts w:ascii="Times New Roman" w:hAnsi="Times New Roman"/>
              <w:sz w:val="24"/>
              <w:szCs w:val="24"/>
              <w:lang w:val="es-MX"/>
            </w:rPr>
            <w:t xml:space="preserve"> AUTOPISTA DEL RIO GRANDE SAS. </w:t>
          </w:r>
        </w:p>
        <w:p w14:paraId="38538C68" w14:textId="77777777" w:rsidR="007803E3" w:rsidRPr="0020113A" w:rsidRDefault="007803E3" w:rsidP="007803E3">
          <w:pPr>
            <w:ind w:left="-20" w:right="-20"/>
            <w:rPr>
              <w:rFonts w:ascii="Times New Roman" w:hAnsi="Times New Roman"/>
              <w:sz w:val="24"/>
              <w:szCs w:val="24"/>
            </w:rPr>
          </w:pPr>
          <w:r w:rsidRPr="0020113A">
            <w:rPr>
              <w:rFonts w:ascii="Times New Roman" w:hAnsi="Times New Roman"/>
              <w:b/>
              <w:sz w:val="24"/>
              <w:szCs w:val="24"/>
              <w:lang w:val="es-MX"/>
            </w:rPr>
            <w:t>Nombre del proyecto:</w:t>
          </w:r>
          <w:r w:rsidRPr="0020113A">
            <w:rPr>
              <w:rFonts w:ascii="Times New Roman" w:hAnsi="Times New Roman"/>
              <w:sz w:val="24"/>
              <w:szCs w:val="24"/>
              <w:lang w:val="es-MX"/>
            </w:rPr>
            <w:t xml:space="preserve"> CORREDOR SABANA DE TORRES CURUMANI.</w:t>
          </w:r>
        </w:p>
        <w:p w14:paraId="783E366A" w14:textId="77777777" w:rsidR="007803E3" w:rsidRPr="0020113A" w:rsidRDefault="007803E3" w:rsidP="007803E3">
          <w:pPr>
            <w:ind w:left="-20" w:right="-20"/>
            <w:rPr>
              <w:rFonts w:ascii="Times New Roman" w:hAnsi="Times New Roman"/>
              <w:b/>
              <w:sz w:val="24"/>
              <w:szCs w:val="24"/>
              <w:lang w:val="es-MX"/>
            </w:rPr>
          </w:pPr>
          <w:r w:rsidRPr="0020113A">
            <w:rPr>
              <w:rFonts w:ascii="Times New Roman" w:hAnsi="Times New Roman"/>
              <w:b/>
              <w:sz w:val="24"/>
              <w:szCs w:val="24"/>
              <w:lang w:val="es-MX"/>
            </w:rPr>
            <w:t>b. Términos significativos del acuerdo que puedan afectar su valor, el calendario y la certeza de los flujos.</w:t>
          </w:r>
        </w:p>
        <w:p w14:paraId="05BA6909" w14:textId="06FDA955" w:rsidR="007803E3" w:rsidRPr="0020113A" w:rsidRDefault="007803E3" w:rsidP="007803E3">
          <w:pPr>
            <w:ind w:left="-20" w:right="-20"/>
            <w:jc w:val="both"/>
            <w:rPr>
              <w:rFonts w:ascii="Times New Roman" w:hAnsi="Times New Roman"/>
              <w:sz w:val="24"/>
              <w:szCs w:val="24"/>
              <w:lang w:val="es-MX"/>
            </w:rPr>
          </w:pPr>
          <w:r w:rsidRPr="0020113A">
            <w:rPr>
              <w:rFonts w:ascii="Times New Roman" w:hAnsi="Times New Roman"/>
              <w:b/>
              <w:sz w:val="24"/>
              <w:szCs w:val="24"/>
              <w:lang w:val="es-MX"/>
            </w:rPr>
            <w:t>Términos de valor:</w:t>
          </w:r>
          <w:r w:rsidRPr="0020113A">
            <w:rPr>
              <w:rFonts w:ascii="Times New Roman" w:hAnsi="Times New Roman"/>
              <w:sz w:val="24"/>
              <w:szCs w:val="24"/>
              <w:lang w:val="es-MX"/>
            </w:rPr>
            <w:t xml:space="preserve"> En el numeral 3.6 de la Parte Especial, el contrato establece que la ANI entrega al Concesionario tres (3) estaciones de peaje para gestionar el recaudo de peajes, denominadas: La Gómez, Morrison y Pailitas. A 31 de diciembre de 2023 el valor certificado por la Fiduciaria Bancolombia del recaudo de peaje en las tres estaciones es de $ 172.839.840.400. El mes de referencia del contrato corresponde a diciembre de 2020. Así lo establece el Contrato en su numeral 1.113 de la Tabla de Referencia - Parte Especial. El derecho del Concesionario a obtener Retribución con respecto a cada Unidad Funcional se acuerda en la Sección 3.1 de la Parte General del Contrato. El cálculo de la misma queda contenida en la Parte Especial Sección 4.3. El proyecto está dividido en once (11) unidades funciones, a las cuales se le asigna un porcentaje de participación en el proyecto para efectos del cálculo de la Retribución. Las Fuentes para obtener la retribución son: Aportes ANI, el Recaudo de Peaje, Ingresos Por Explotación Comercial y otras fuentes definidas en la Parte Especial del Contrato. En cuanto a la Estructura tarifaria, las tarifas se actualizan cada 16 de enero de acuerdo a la sección 4.2 de la Parte Especial. La Sección 3.4 de la Parte General establece la obtención del VPIP. El VPIP contractual es de $2.123.802.184.328 pesos del Mes de Referencia. En la Parte Especial del Contrato, Sección 1.204 de la Tabla de referencia, queda definido el presente valor. En la sección 3.6 de la Parte General del Contrato se establecen los Intereses Remuneratorio y de Mora aplicables a los pagos debidos por las partes. La obligación en firme de financiación y los Recursos de Patrimonio, deben ser gestionados y obtenidos por el Concesionario de acuerdo con lo estipulado en la Sección 3.7 de la Parte General. En cuanto a la obligación contractual Subcuentas del Patrimonio en la Sección 4.5 de la Parte Especial del Contrato quedan estipulado las fechas y montos que se deben cumplir.</w:t>
          </w:r>
        </w:p>
        <w:p w14:paraId="5B5C40BB"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Términos de calendario: </w:t>
          </w:r>
          <w:r w:rsidRPr="0020113A">
            <w:rPr>
              <w:rFonts w:ascii="Times New Roman" w:hAnsi="Times New Roman"/>
              <w:sz w:val="24"/>
              <w:szCs w:val="24"/>
              <w:lang w:val="es-MX"/>
            </w:rPr>
            <w:t>El plazo inicial del contrato es de treinta (30) años. El plazo estimado de la etapa de preconstrucción es de Doce (12) meses contados desde la fecha de inicio. El plazo estimado de la etapa de construcción es de Cuarenta y Siete (47) meses contados desde la fecha de acta de inicio de la fase de construcción.</w:t>
          </w:r>
        </w:p>
        <w:p w14:paraId="7D2C2431" w14:textId="77777777" w:rsidR="007803E3" w:rsidRPr="0020113A" w:rsidRDefault="007803E3" w:rsidP="007803E3">
          <w:pPr>
            <w:rPr>
              <w:rFonts w:ascii="Times New Roman" w:hAnsi="Times New Roman"/>
              <w:sz w:val="24"/>
              <w:szCs w:val="24"/>
            </w:rPr>
          </w:pPr>
          <w:r w:rsidRPr="0020113A">
            <w:rPr>
              <w:rFonts w:ascii="Times New Roman" w:hAnsi="Times New Roman"/>
              <w:b/>
              <w:sz w:val="24"/>
              <w:szCs w:val="24"/>
              <w:lang w:val="es-MX"/>
            </w:rPr>
            <w:t xml:space="preserve">Términos de certeza de flujos de efectivo futuros: </w:t>
          </w:r>
          <w:r w:rsidRPr="0020113A">
            <w:rPr>
              <w:rFonts w:ascii="Times New Roman" w:hAnsi="Times New Roman"/>
              <w:sz w:val="24"/>
              <w:szCs w:val="24"/>
              <w:lang w:val="es-MX"/>
            </w:rPr>
            <w:t>NO APLICA.</w:t>
          </w:r>
        </w:p>
        <w:p w14:paraId="217558F9" w14:textId="77777777" w:rsidR="007803E3" w:rsidRPr="0020113A" w:rsidRDefault="007803E3" w:rsidP="007803E3">
          <w:pPr>
            <w:jc w:val="both"/>
            <w:rPr>
              <w:rFonts w:ascii="Times New Roman" w:hAnsi="Times New Roman"/>
              <w:b/>
              <w:sz w:val="24"/>
              <w:szCs w:val="24"/>
              <w:lang w:val="es-MX"/>
            </w:rPr>
          </w:pPr>
          <w:r w:rsidRPr="0020113A">
            <w:rPr>
              <w:rFonts w:ascii="Times New Roman" w:hAnsi="Times New Roman"/>
              <w:b/>
              <w:sz w:val="24"/>
              <w:szCs w:val="24"/>
              <w:lang w:val="es-MX"/>
            </w:rPr>
            <w:t>c. Naturaleza y alcance del derecho a utilizar activos especificados, de los aspectos pactados en torno a lo que se espera que el concesionario proporcione en relación con el acuerdo de concesión</w:t>
          </w:r>
        </w:p>
        <w:p w14:paraId="2DE314F6" w14:textId="77777777" w:rsidR="007803E3" w:rsidRPr="0020113A" w:rsidRDefault="007803E3" w:rsidP="007803E3">
          <w:pPr>
            <w:jc w:val="both"/>
            <w:rPr>
              <w:rFonts w:ascii="Times New Roman" w:hAnsi="Times New Roman"/>
              <w:sz w:val="24"/>
              <w:szCs w:val="24"/>
            </w:rPr>
          </w:pPr>
          <w:r w:rsidRPr="0020113A">
            <w:rPr>
              <w:rFonts w:ascii="Times New Roman" w:hAnsi="Times New Roman"/>
              <w:b/>
              <w:sz w:val="24"/>
              <w:szCs w:val="24"/>
              <w:lang w:val="es-MX"/>
            </w:rPr>
            <w:t xml:space="preserve">Descripción: </w:t>
          </w:r>
          <w:r w:rsidRPr="0020113A">
            <w:rPr>
              <w:rFonts w:ascii="Times New Roman" w:hAnsi="Times New Roman"/>
              <w:sz w:val="24"/>
              <w:szCs w:val="24"/>
              <w:lang w:val="es-MX"/>
            </w:rPr>
            <w:t>El Contrato de Concesión en su Sección 4.3 (a) de la Parte General acuerda: “Realizar la entrega de la Infraestructura al Concesionario, incluyendo las Estaciones de Pesaje y las Estaciones de Peaje existentes en el plazo señalado en la Parte Especial”.</w:t>
          </w:r>
        </w:p>
        <w:p w14:paraId="7BA7E64C" w14:textId="77777777" w:rsidR="007803E3" w:rsidRPr="0020113A" w:rsidRDefault="007803E3" w:rsidP="007803E3">
          <w:pPr>
            <w:spacing w:line="257" w:lineRule="auto"/>
            <w:ind w:left="-20" w:right="-20"/>
            <w:jc w:val="both"/>
            <w:rPr>
              <w:rFonts w:ascii="Times New Roman" w:hAnsi="Times New Roman"/>
              <w:sz w:val="24"/>
              <w:szCs w:val="24"/>
            </w:rPr>
          </w:pPr>
          <w:r w:rsidRPr="0020113A">
            <w:rPr>
              <w:rFonts w:ascii="Times New Roman" w:hAnsi="Times New Roman"/>
              <w:sz w:val="24"/>
              <w:szCs w:val="24"/>
              <w:lang w:val="es-MX"/>
            </w:rPr>
            <w:lastRenderedPageBreak/>
            <w:t>Las estaciones de peaje señaladas son las que conforman el Sistema Vial entre Sabana de Torres - Curumaní denominadas Pailitas, Morrison, La Gómez.</w:t>
          </w:r>
        </w:p>
        <w:p w14:paraId="733AF601" w14:textId="77777777" w:rsidR="007803E3" w:rsidRPr="0020113A" w:rsidRDefault="007803E3" w:rsidP="007803E3">
          <w:pPr>
            <w:spacing w:line="257" w:lineRule="auto"/>
            <w:ind w:left="-20" w:right="-20"/>
            <w:jc w:val="both"/>
            <w:rPr>
              <w:rFonts w:ascii="Times New Roman" w:hAnsi="Times New Roman"/>
              <w:sz w:val="24"/>
              <w:szCs w:val="24"/>
            </w:rPr>
          </w:pPr>
          <w:r w:rsidRPr="0020113A">
            <w:rPr>
              <w:rFonts w:ascii="Times New Roman" w:hAnsi="Times New Roman"/>
              <w:sz w:val="24"/>
              <w:szCs w:val="24"/>
              <w:lang w:val="es-MX"/>
            </w:rPr>
            <w:t>Se cede al Concesionario el “Derecho de Recaudo” de las Estaciones de Peaje de acuerdo con lo establecido en la Sección 3.3 (a) de la Parte General.</w:t>
          </w:r>
        </w:p>
        <w:p w14:paraId="37FC8311" w14:textId="77777777" w:rsidR="007803E3" w:rsidRPr="0020113A" w:rsidRDefault="007803E3" w:rsidP="007803E3">
          <w:pPr>
            <w:rPr>
              <w:rFonts w:ascii="Times New Roman" w:hAnsi="Times New Roman"/>
              <w:sz w:val="24"/>
              <w:szCs w:val="24"/>
              <w:lang w:val="es-MX"/>
            </w:rPr>
          </w:pPr>
          <w:r w:rsidRPr="0020113A">
            <w:rPr>
              <w:rFonts w:ascii="Times New Roman" w:hAnsi="Times New Roman"/>
              <w:b/>
              <w:sz w:val="24"/>
              <w:szCs w:val="24"/>
              <w:lang w:val="es-MX"/>
            </w:rPr>
            <w:t>Observaciones:</w:t>
          </w:r>
          <w:r w:rsidRPr="0020113A">
            <w:rPr>
              <w:rFonts w:ascii="Times New Roman" w:hAnsi="Times New Roman"/>
              <w:sz w:val="24"/>
              <w:szCs w:val="24"/>
              <w:lang w:val="es-MX"/>
            </w:rPr>
            <w:t xml:space="preserve"> No se tiene ninguna observación.</w:t>
          </w:r>
        </w:p>
        <w:p w14:paraId="6D3D0302" w14:textId="77777777" w:rsidR="007803E3" w:rsidRPr="0020113A" w:rsidRDefault="007803E3" w:rsidP="007803E3">
          <w:pPr>
            <w:jc w:val="center"/>
            <w:rPr>
              <w:rFonts w:ascii="Times New Roman" w:hAnsi="Times New Roman"/>
              <w:sz w:val="24"/>
              <w:szCs w:val="24"/>
            </w:rPr>
          </w:pPr>
          <w:r w:rsidRPr="0020113A">
            <w:rPr>
              <w:rFonts w:ascii="Times New Roman" w:hAnsi="Times New Roman"/>
              <w:b/>
              <w:sz w:val="24"/>
              <w:szCs w:val="24"/>
              <w:lang w:val="es-MX"/>
            </w:rPr>
            <w:t>Retribución al concesionario</w:t>
          </w:r>
        </w:p>
        <w:p w14:paraId="58A949C7" w14:textId="77777777" w:rsidR="007803E3" w:rsidRPr="0020113A" w:rsidRDefault="007803E3" w:rsidP="007803E3">
          <w:pPr>
            <w:jc w:val="both"/>
            <w:rPr>
              <w:rFonts w:ascii="Times New Roman" w:hAnsi="Times New Roman"/>
              <w:sz w:val="24"/>
              <w:szCs w:val="24"/>
            </w:rPr>
          </w:pPr>
          <w:r w:rsidRPr="0020113A">
            <w:rPr>
              <w:rFonts w:ascii="Times New Roman" w:hAnsi="Times New Roman"/>
              <w:b/>
              <w:sz w:val="24"/>
              <w:szCs w:val="24"/>
              <w:lang w:val="es-MX"/>
            </w:rPr>
            <w:t xml:space="preserve">Descripción: </w:t>
          </w:r>
          <w:r w:rsidRPr="0020113A">
            <w:rPr>
              <w:rFonts w:ascii="Times New Roman" w:hAnsi="Times New Roman"/>
              <w:sz w:val="24"/>
              <w:szCs w:val="24"/>
              <w:lang w:val="es-MX"/>
            </w:rPr>
            <w:t>En la Sección 3.1.(a) Parte General queda establecido el derecho a la Retribución así: “El derecho a la Retribución del Concesionario con respecto a cada Unidad Funcional se iniciará a partir de la suscripción de la respectiva Acta de Terminación de Unidad Funcional, salvo por lo establecido en Parte Especial para la Unidad Funcional de Operación y Mantenimiento, según el caso, y terminará en la Fecha de Terminación de la Etapa de Operación y Mantenimiento o el Día de la declaratoria de Terminación Anticipada del Contrato.   La suscripción del Acta de Terminación Parcial de Unidad Funcional cuando sea aplicable de conformidad con este Contrato dará lugar a la causación y pago de la Compensación Especial”.</w:t>
          </w:r>
        </w:p>
        <w:p w14:paraId="7180406A" w14:textId="77777777" w:rsidR="007803E3" w:rsidRPr="0020113A" w:rsidRDefault="007803E3" w:rsidP="007803E3">
          <w:pPr>
            <w:rPr>
              <w:rFonts w:ascii="Times New Roman" w:hAnsi="Times New Roman"/>
              <w:sz w:val="24"/>
              <w:szCs w:val="24"/>
            </w:rPr>
          </w:pPr>
          <w:r w:rsidRPr="0020113A">
            <w:rPr>
              <w:rFonts w:ascii="Times New Roman" w:hAnsi="Times New Roman"/>
              <w:b/>
              <w:sz w:val="24"/>
              <w:szCs w:val="24"/>
              <w:lang w:val="es-MX"/>
            </w:rPr>
            <w:t xml:space="preserve">Tasa de retribución: </w:t>
          </w:r>
          <w:r w:rsidRPr="0020113A">
            <w:rPr>
              <w:rFonts w:ascii="Times New Roman" w:hAnsi="Times New Roman"/>
              <w:sz w:val="24"/>
              <w:szCs w:val="24"/>
              <w:lang w:val="es-MX"/>
            </w:rPr>
            <w:t>NO APLICA.</w:t>
          </w:r>
        </w:p>
        <w:p w14:paraId="60341CA4" w14:textId="77777777"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d. Derechos a recibir activos especificados al final del acuerdo de concesión</w:t>
          </w:r>
        </w:p>
        <w:p w14:paraId="4A3B9C6A"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Descripción: </w:t>
          </w:r>
          <w:r w:rsidRPr="0020113A">
            <w:rPr>
              <w:rFonts w:ascii="Times New Roman" w:hAnsi="Times New Roman"/>
              <w:sz w:val="24"/>
              <w:szCs w:val="24"/>
              <w:lang w:val="es-MX"/>
            </w:rPr>
            <w:t>En cuanto a la reversión de los bienes entregados al Concesionario y su entrega a la Ani una vez finalice el Contrato de Concesión, las condiciones están establecidas en la Sección 9.7 de la Parte General del Contrato y Apéndice Técnico 2 Sección 5- REVERSIÓN, el cual manifiesta:</w:t>
          </w:r>
        </w:p>
        <w:p w14:paraId="6BEC6A5E"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 De acuerdo con la Sección 9.7 de la Parte General Contrato, cuando concluya la Etapa de Operación y Mantenimiento o cuando el Contrato se termine anticipadamente, todas las obras y bienes de la Concesión, incluyendo los Predios de la zona del Corredor del Proyecto y las obras civiles (calzadas, separadores, intersecciones, estructuras, obras de drenaje, obras de arte y señales), las Estaciones de Peaje y sus equipos, las Estaciones de Pesaje y sus equipos, el Centro de Control de Operación y sus equipos, las Bases de Operación (uno o los que haya), las Áreas de Servicio, todos los automotores y equipos instalados para la Operación del Proyecto, incluyendo equipos y software de computación, equipos de telecomunicaciones, red de fibra óptica, así como los entregados a la Policía de Carreteras, los equipos de rescate, los elementos de Traslado Asistencial Médico (TAM) y cualquier otra obra y bien que forme parte de la concesión, deberán ser entregados a la ANI sin costo alguno y libre de todo gravamen”.</w:t>
          </w:r>
        </w:p>
        <w:p w14:paraId="67B98C83" w14:textId="77777777" w:rsidR="007803E3" w:rsidRPr="0020113A" w:rsidRDefault="007803E3" w:rsidP="007803E3">
          <w:pPr>
            <w:jc w:val="both"/>
            <w:rPr>
              <w:rFonts w:ascii="Times New Roman" w:hAnsi="Times New Roman"/>
              <w:sz w:val="24"/>
              <w:szCs w:val="24"/>
            </w:rPr>
          </w:pPr>
          <w:r w:rsidRPr="0020113A">
            <w:rPr>
              <w:rFonts w:ascii="Times New Roman" w:hAnsi="Times New Roman"/>
              <w:b/>
              <w:sz w:val="24"/>
              <w:szCs w:val="24"/>
              <w:lang w:val="es-MX"/>
            </w:rPr>
            <w:t xml:space="preserve">Observaciones: </w:t>
          </w:r>
          <w:r w:rsidRPr="0020113A">
            <w:rPr>
              <w:rFonts w:ascii="Times New Roman" w:hAnsi="Times New Roman"/>
              <w:sz w:val="24"/>
              <w:szCs w:val="24"/>
              <w:lang w:val="es-MX"/>
            </w:rPr>
            <w:t>Todos los activos deben ser devueltos a la Agencia Nacional de Infraestructura en las condiciones físicas señaladas en el Apéndice Técnico 2, exentos de cargas tributarias y valor cero (0).</w:t>
          </w:r>
        </w:p>
        <w:p w14:paraId="54505AE0" w14:textId="5ABDBA00"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 xml:space="preserve">e. </w:t>
          </w:r>
          <w:r w:rsidR="00770C84">
            <w:rPr>
              <w:rFonts w:ascii="Times New Roman" w:hAnsi="Times New Roman"/>
              <w:b/>
              <w:sz w:val="24"/>
              <w:szCs w:val="24"/>
              <w:lang w:val="es-MX"/>
            </w:rPr>
            <w:t>No hay c</w:t>
          </w:r>
          <w:r w:rsidRPr="0020113A">
            <w:rPr>
              <w:rFonts w:ascii="Times New Roman" w:hAnsi="Times New Roman"/>
              <w:b/>
              <w:sz w:val="24"/>
              <w:szCs w:val="24"/>
              <w:lang w:val="es-MX"/>
            </w:rPr>
            <w:t>ambios en el acuerdo de concesión que se realicen durante el periodo fiscal</w:t>
          </w:r>
        </w:p>
        <w:p w14:paraId="1AC4F24F" w14:textId="77777777" w:rsidR="00770C84" w:rsidRDefault="00770C84" w:rsidP="007803E3">
          <w:pPr>
            <w:rPr>
              <w:rFonts w:ascii="Times New Roman" w:hAnsi="Times New Roman"/>
              <w:b/>
              <w:sz w:val="24"/>
              <w:szCs w:val="24"/>
              <w:lang w:val="es-MX"/>
            </w:rPr>
          </w:pPr>
        </w:p>
        <w:p w14:paraId="50FB1341" w14:textId="77777777"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lastRenderedPageBreak/>
            <w:t>AUTOPISTA CONEXIÓN NORTE</w:t>
          </w:r>
        </w:p>
        <w:p w14:paraId="4B1E8F3C" w14:textId="4561FB47" w:rsidR="007803E3" w:rsidRPr="001159D8" w:rsidRDefault="001159D8" w:rsidP="001159D8">
          <w:pPr>
            <w:spacing w:after="0" w:line="259" w:lineRule="auto"/>
            <w:jc w:val="both"/>
            <w:rPr>
              <w:rFonts w:ascii="Times New Roman" w:eastAsia="Times New Roman" w:hAnsi="Times New Roman"/>
              <w:b/>
              <w:sz w:val="24"/>
              <w:szCs w:val="24"/>
              <w:lang w:val="es"/>
            </w:rPr>
          </w:pPr>
          <w:r>
            <w:rPr>
              <w:rFonts w:ascii="Times New Roman" w:eastAsia="Times New Roman" w:hAnsi="Times New Roman"/>
              <w:b/>
              <w:sz w:val="24"/>
              <w:szCs w:val="24"/>
              <w:lang w:val="es"/>
            </w:rPr>
            <w:t xml:space="preserve">a. </w:t>
          </w:r>
          <w:r w:rsidR="007803E3" w:rsidRPr="001159D8">
            <w:rPr>
              <w:rFonts w:ascii="Times New Roman" w:eastAsia="Times New Roman" w:hAnsi="Times New Roman"/>
              <w:b/>
              <w:sz w:val="24"/>
              <w:szCs w:val="24"/>
              <w:lang w:val="es"/>
            </w:rPr>
            <w:t>Descripción del acuerdo</w:t>
          </w:r>
        </w:p>
        <w:p w14:paraId="6E69DCD7" w14:textId="77777777" w:rsidR="007803E3" w:rsidRPr="0020113A" w:rsidRDefault="007803E3" w:rsidP="007803E3">
          <w:pPr>
            <w:pStyle w:val="Prrafodelista"/>
            <w:spacing w:after="0"/>
            <w:jc w:val="both"/>
            <w:rPr>
              <w:rFonts w:ascii="Times New Roman" w:eastAsia="Times New Roman" w:hAnsi="Times New Roman"/>
              <w:b/>
              <w:sz w:val="24"/>
              <w:szCs w:val="24"/>
              <w:lang w:val="es"/>
            </w:rPr>
          </w:pPr>
        </w:p>
        <w:p w14:paraId="6E4A2175" w14:textId="77777777" w:rsidR="007803E3" w:rsidRPr="0020113A" w:rsidRDefault="007803E3" w:rsidP="18BAD2EC">
          <w:pPr>
            <w:spacing w:after="0"/>
            <w:ind w:right="-20"/>
            <w:jc w:val="both"/>
            <w:rPr>
              <w:rFonts w:ascii="Times New Roman" w:hAnsi="Times New Roman"/>
              <w:sz w:val="24"/>
              <w:szCs w:val="24"/>
            </w:rPr>
          </w:pPr>
          <w:r w:rsidRPr="0020113A">
            <w:rPr>
              <w:rFonts w:ascii="Times New Roman" w:eastAsia="Times New Roman" w:hAnsi="Times New Roman"/>
              <w:b/>
              <w:sz w:val="24"/>
              <w:szCs w:val="24"/>
              <w:lang w:val="es"/>
            </w:rPr>
            <w:t>Número del acuerdo de concesión:</w:t>
          </w:r>
          <w:r w:rsidRPr="0020113A">
            <w:rPr>
              <w:rFonts w:ascii="Times New Roman" w:eastAsia="Times New Roman" w:hAnsi="Times New Roman"/>
              <w:sz w:val="24"/>
              <w:szCs w:val="24"/>
              <w:lang w:val="es"/>
            </w:rPr>
            <w:t xml:space="preserve"> 009 del 10 diciembre 2014</w:t>
          </w:r>
        </w:p>
        <w:p w14:paraId="2CF2815D" w14:textId="77777777" w:rsidR="007803E3" w:rsidRPr="0020113A" w:rsidRDefault="007803E3" w:rsidP="18BAD2EC">
          <w:pPr>
            <w:spacing w:after="0"/>
            <w:ind w:right="-20"/>
            <w:jc w:val="both"/>
            <w:rPr>
              <w:rFonts w:ascii="Times New Roman" w:hAnsi="Times New Roman"/>
              <w:sz w:val="24"/>
              <w:szCs w:val="24"/>
            </w:rPr>
          </w:pPr>
          <w:r w:rsidRPr="0020113A">
            <w:rPr>
              <w:rFonts w:ascii="Times New Roman" w:eastAsia="Times New Roman" w:hAnsi="Times New Roman"/>
              <w:b/>
              <w:sz w:val="24"/>
              <w:szCs w:val="24"/>
              <w:lang w:val="es"/>
            </w:rPr>
            <w:t xml:space="preserve">Objeto / Descripción: </w:t>
          </w:r>
          <w:r w:rsidRPr="001159D8">
            <w:rPr>
              <w:rFonts w:ascii="Times New Roman" w:eastAsia="Times New Roman" w:hAnsi="Times New Roman"/>
              <w:iCs/>
              <w:sz w:val="24"/>
              <w:szCs w:val="24"/>
              <w:lang w:val="es"/>
            </w:rPr>
            <w:t>“ (..) estudios y diseños definitivos, financiación, gestión ambiental, predial y social, construcción, mejoramiento, rehabilitación, operación, mantenimiento y reversión de la Concesión Autopista Conexión Norte, del Proyecto "Autopistas para la Prosperidad", de acuerdo con el Apéndice Técnico 1 y demás Apéndices del Contrato.”</w:t>
          </w:r>
        </w:p>
        <w:p w14:paraId="6E598A00" w14:textId="77777777" w:rsidR="007803E3" w:rsidRPr="0020113A" w:rsidRDefault="007803E3" w:rsidP="18BAD2EC">
          <w:pPr>
            <w:spacing w:after="0"/>
            <w:ind w:right="-20"/>
            <w:jc w:val="both"/>
            <w:rPr>
              <w:rFonts w:ascii="Times New Roman" w:hAnsi="Times New Roman"/>
              <w:sz w:val="24"/>
              <w:szCs w:val="24"/>
            </w:rPr>
          </w:pPr>
          <w:r w:rsidRPr="0020113A">
            <w:rPr>
              <w:rFonts w:ascii="Times New Roman" w:eastAsia="Times New Roman" w:hAnsi="Times New Roman"/>
              <w:b/>
              <w:sz w:val="24"/>
              <w:szCs w:val="24"/>
              <w:lang w:val="es"/>
            </w:rPr>
            <w:t xml:space="preserve">Valor inicial: </w:t>
          </w:r>
          <w:r w:rsidRPr="0020113A">
            <w:rPr>
              <w:rFonts w:ascii="Times New Roman" w:eastAsia="Times New Roman" w:hAnsi="Times New Roman"/>
              <w:sz w:val="24"/>
              <w:szCs w:val="24"/>
              <w:lang w:val="es"/>
            </w:rPr>
            <w:t>UN BILLÓN TRESCIENTOS MIL DOSCIENTOS SETENTA Y TRES MILLONES SETECIENTOS OCHENTA Y CUATRO MIL CUATROCIENTOS VEINTE PESOS ($1.300.273.784.420) del Mes de Referencia.</w:t>
          </w:r>
        </w:p>
        <w:p w14:paraId="7C100B32" w14:textId="77777777" w:rsidR="007803E3" w:rsidRPr="0020113A" w:rsidRDefault="007803E3" w:rsidP="18BAD2EC">
          <w:pPr>
            <w:spacing w:after="0"/>
            <w:ind w:right="-20"/>
            <w:jc w:val="both"/>
            <w:rPr>
              <w:rFonts w:ascii="Times New Roman" w:hAnsi="Times New Roman"/>
              <w:sz w:val="24"/>
              <w:szCs w:val="24"/>
            </w:rPr>
          </w:pPr>
          <w:r w:rsidRPr="0020113A">
            <w:rPr>
              <w:rFonts w:ascii="Times New Roman" w:eastAsia="Times New Roman" w:hAnsi="Times New Roman"/>
              <w:b/>
              <w:sz w:val="24"/>
              <w:szCs w:val="24"/>
              <w:lang w:val="es"/>
            </w:rPr>
            <w:t xml:space="preserve">Fecha de inicio: </w:t>
          </w:r>
          <w:r w:rsidRPr="0020113A">
            <w:rPr>
              <w:rFonts w:ascii="Times New Roman" w:eastAsia="Times New Roman" w:hAnsi="Times New Roman"/>
              <w:sz w:val="24"/>
              <w:szCs w:val="24"/>
              <w:lang w:val="es"/>
            </w:rPr>
            <w:t>06 de febrero de 2015</w:t>
          </w:r>
        </w:p>
        <w:p w14:paraId="0E8A7E45" w14:textId="77777777" w:rsidR="007803E3" w:rsidRPr="0020113A" w:rsidRDefault="007803E3" w:rsidP="18BAD2EC">
          <w:pPr>
            <w:spacing w:after="0"/>
            <w:ind w:right="-20"/>
            <w:jc w:val="both"/>
            <w:rPr>
              <w:rFonts w:ascii="Times New Roman" w:hAnsi="Times New Roman"/>
              <w:sz w:val="24"/>
              <w:szCs w:val="24"/>
            </w:rPr>
          </w:pPr>
          <w:r w:rsidRPr="0020113A">
            <w:rPr>
              <w:rFonts w:ascii="Times New Roman" w:eastAsia="Times New Roman" w:hAnsi="Times New Roman"/>
              <w:b/>
              <w:sz w:val="24"/>
              <w:szCs w:val="24"/>
              <w:lang w:val="es"/>
            </w:rPr>
            <w:t xml:space="preserve">Fecha de finalización estimada: </w:t>
          </w:r>
          <w:r w:rsidRPr="0020113A">
            <w:rPr>
              <w:rFonts w:ascii="Times New Roman" w:eastAsia="Times New Roman" w:hAnsi="Times New Roman"/>
              <w:sz w:val="24"/>
              <w:szCs w:val="24"/>
              <w:lang w:val="es"/>
            </w:rPr>
            <w:t>04 de febrero de 2040</w:t>
          </w:r>
        </w:p>
        <w:p w14:paraId="721ACF57" w14:textId="77777777" w:rsidR="007803E3" w:rsidRPr="0020113A" w:rsidRDefault="007803E3" w:rsidP="18BAD2EC">
          <w:pPr>
            <w:spacing w:after="0"/>
            <w:ind w:right="-20"/>
            <w:jc w:val="both"/>
            <w:rPr>
              <w:rFonts w:ascii="Times New Roman" w:hAnsi="Times New Roman"/>
              <w:sz w:val="24"/>
              <w:szCs w:val="24"/>
            </w:rPr>
          </w:pPr>
          <w:r w:rsidRPr="0020113A">
            <w:rPr>
              <w:rFonts w:ascii="Times New Roman" w:eastAsia="Times New Roman" w:hAnsi="Times New Roman"/>
              <w:b/>
              <w:sz w:val="24"/>
              <w:szCs w:val="24"/>
              <w:lang w:val="es"/>
            </w:rPr>
            <w:t xml:space="preserve">Tipo ID: </w:t>
          </w:r>
          <w:r w:rsidRPr="0020113A">
            <w:rPr>
              <w:rFonts w:ascii="Times New Roman" w:eastAsia="Times New Roman" w:hAnsi="Times New Roman"/>
              <w:sz w:val="24"/>
              <w:szCs w:val="24"/>
              <w:lang w:val="es"/>
            </w:rPr>
            <w:t>NIT</w:t>
          </w:r>
        </w:p>
        <w:p w14:paraId="0991383E" w14:textId="77777777" w:rsidR="007803E3" w:rsidRPr="0020113A" w:rsidRDefault="007803E3" w:rsidP="18BAD2EC">
          <w:pPr>
            <w:spacing w:after="0"/>
            <w:ind w:right="-20"/>
            <w:jc w:val="both"/>
            <w:rPr>
              <w:rFonts w:ascii="Times New Roman" w:hAnsi="Times New Roman"/>
              <w:sz w:val="24"/>
              <w:szCs w:val="24"/>
            </w:rPr>
          </w:pPr>
          <w:r w:rsidRPr="0020113A">
            <w:rPr>
              <w:rFonts w:ascii="Times New Roman" w:eastAsia="Times New Roman" w:hAnsi="Times New Roman"/>
              <w:b/>
              <w:sz w:val="24"/>
              <w:szCs w:val="24"/>
              <w:lang w:val="es"/>
            </w:rPr>
            <w:t xml:space="preserve">Número ID: </w:t>
          </w:r>
          <w:r w:rsidRPr="0020113A">
            <w:rPr>
              <w:rFonts w:ascii="Times New Roman" w:eastAsia="Times New Roman" w:hAnsi="Times New Roman"/>
              <w:sz w:val="24"/>
              <w:szCs w:val="24"/>
              <w:lang w:val="es"/>
            </w:rPr>
            <w:t>900.793.991-0</w:t>
          </w:r>
        </w:p>
        <w:p w14:paraId="23274AE9" w14:textId="77777777" w:rsidR="007803E3" w:rsidRPr="0020113A" w:rsidRDefault="007803E3" w:rsidP="18BAD2EC">
          <w:pPr>
            <w:spacing w:after="0"/>
            <w:ind w:right="-20"/>
            <w:jc w:val="both"/>
            <w:rPr>
              <w:rFonts w:ascii="Times New Roman" w:hAnsi="Times New Roman"/>
              <w:sz w:val="24"/>
              <w:szCs w:val="24"/>
            </w:rPr>
          </w:pPr>
          <w:r w:rsidRPr="0020113A">
            <w:rPr>
              <w:rFonts w:ascii="Times New Roman" w:eastAsia="Times New Roman" w:hAnsi="Times New Roman"/>
              <w:b/>
              <w:sz w:val="24"/>
              <w:szCs w:val="24"/>
              <w:lang w:val="es"/>
            </w:rPr>
            <w:t xml:space="preserve">Razón social del concesionario: </w:t>
          </w:r>
          <w:r w:rsidRPr="0020113A">
            <w:rPr>
              <w:rFonts w:ascii="Times New Roman" w:eastAsia="Times New Roman" w:hAnsi="Times New Roman"/>
              <w:sz w:val="24"/>
              <w:szCs w:val="24"/>
              <w:lang w:val="es"/>
            </w:rPr>
            <w:t>Autopistas del Nordeste S.A.S.</w:t>
          </w:r>
        </w:p>
        <w:p w14:paraId="3571A2D0" w14:textId="77777777" w:rsidR="007803E3" w:rsidRPr="0020113A" w:rsidRDefault="007803E3" w:rsidP="29FA6526">
          <w:pPr>
            <w:spacing w:after="0"/>
            <w:ind w:right="-20"/>
            <w:jc w:val="both"/>
            <w:rPr>
              <w:rFonts w:ascii="Times New Roman" w:hAnsi="Times New Roman"/>
              <w:sz w:val="24"/>
              <w:szCs w:val="24"/>
            </w:rPr>
          </w:pPr>
          <w:r w:rsidRPr="0020113A">
            <w:rPr>
              <w:rFonts w:ascii="Times New Roman" w:eastAsia="Times New Roman" w:hAnsi="Times New Roman"/>
              <w:b/>
              <w:sz w:val="24"/>
              <w:szCs w:val="24"/>
              <w:lang w:val="es"/>
            </w:rPr>
            <w:t xml:space="preserve">Nombre del proyecto: </w:t>
          </w:r>
          <w:r w:rsidRPr="0020113A">
            <w:rPr>
              <w:rFonts w:ascii="Times New Roman" w:eastAsia="Times New Roman" w:hAnsi="Times New Roman"/>
              <w:sz w:val="24"/>
              <w:szCs w:val="24"/>
              <w:lang w:val="es"/>
            </w:rPr>
            <w:t>AUTOPISTA CONEXIÓN NORTE</w:t>
          </w:r>
        </w:p>
        <w:p w14:paraId="03BA69CD" w14:textId="1DED9362" w:rsidR="29FA6526" w:rsidRDefault="29FA6526" w:rsidP="29FA6526">
          <w:pPr>
            <w:spacing w:after="0"/>
            <w:ind w:right="-20"/>
            <w:jc w:val="both"/>
            <w:rPr>
              <w:rFonts w:ascii="Times New Roman" w:eastAsia="Times New Roman" w:hAnsi="Times New Roman"/>
              <w:sz w:val="24"/>
              <w:szCs w:val="24"/>
              <w:lang w:val="es"/>
            </w:rPr>
          </w:pPr>
        </w:p>
        <w:p w14:paraId="637FDB0E" w14:textId="353C4768" w:rsidR="007803E3" w:rsidRPr="00A55EEF" w:rsidRDefault="00A55EEF" w:rsidP="00A55EEF">
          <w:pPr>
            <w:spacing w:after="0" w:line="259" w:lineRule="auto"/>
            <w:jc w:val="both"/>
            <w:rPr>
              <w:rFonts w:ascii="Times New Roman" w:eastAsia="Times New Roman" w:hAnsi="Times New Roman"/>
              <w:b/>
              <w:sz w:val="24"/>
              <w:szCs w:val="24"/>
              <w:lang w:val="es"/>
            </w:rPr>
          </w:pPr>
          <w:r>
            <w:rPr>
              <w:rFonts w:ascii="Times New Roman" w:eastAsia="Times New Roman" w:hAnsi="Times New Roman"/>
              <w:b/>
              <w:sz w:val="24"/>
              <w:szCs w:val="24"/>
            </w:rPr>
            <w:t xml:space="preserve">b. </w:t>
          </w:r>
          <w:r w:rsidR="007803E3" w:rsidRPr="00A55EEF">
            <w:rPr>
              <w:rFonts w:ascii="Times New Roman" w:eastAsia="Times New Roman" w:hAnsi="Times New Roman"/>
              <w:b/>
              <w:sz w:val="24"/>
              <w:szCs w:val="24"/>
              <w:lang w:val="es"/>
            </w:rPr>
            <w:t>Términos significativos del acuerdo que puedan afectar su valor, el calendario y la certeza de los flujos</w:t>
          </w:r>
        </w:p>
        <w:p w14:paraId="3B038B97" w14:textId="77777777" w:rsidR="007803E3" w:rsidRPr="0020113A" w:rsidRDefault="007803E3" w:rsidP="007803E3">
          <w:pPr>
            <w:pStyle w:val="Prrafodelista"/>
            <w:spacing w:after="0"/>
            <w:jc w:val="both"/>
            <w:rPr>
              <w:rFonts w:ascii="Times New Roman" w:eastAsia="Times New Roman" w:hAnsi="Times New Roman"/>
              <w:b/>
              <w:sz w:val="24"/>
              <w:szCs w:val="24"/>
              <w:lang w:val="es"/>
            </w:rPr>
          </w:pPr>
        </w:p>
        <w:p w14:paraId="120F0217" w14:textId="77777777" w:rsidR="007803E3" w:rsidRPr="0020113A" w:rsidRDefault="007803E3" w:rsidP="00A55EEF">
          <w:pPr>
            <w:ind w:right="-20"/>
            <w:jc w:val="both"/>
            <w:rPr>
              <w:rFonts w:ascii="Times New Roman" w:eastAsia="Times New Roman" w:hAnsi="Times New Roman"/>
              <w:b/>
              <w:sz w:val="24"/>
              <w:szCs w:val="24"/>
              <w:lang w:val="es"/>
            </w:rPr>
          </w:pPr>
          <w:r w:rsidRPr="0020113A">
            <w:rPr>
              <w:rFonts w:ascii="Times New Roman" w:eastAsia="Times New Roman" w:hAnsi="Times New Roman"/>
              <w:b/>
              <w:sz w:val="24"/>
              <w:szCs w:val="24"/>
              <w:lang w:val="es"/>
            </w:rPr>
            <w:t>Recaudo de peaje</w:t>
          </w:r>
        </w:p>
        <w:p w14:paraId="64CFE4D9" w14:textId="77777777" w:rsidR="007803E3" w:rsidRPr="0020113A" w:rsidRDefault="007803E3" w:rsidP="00A55EEF">
          <w:pPr>
            <w:spacing w:line="257" w:lineRule="auto"/>
            <w:ind w:right="-20"/>
            <w:jc w:val="both"/>
            <w:rPr>
              <w:rFonts w:ascii="Times New Roman" w:hAnsi="Times New Roman"/>
              <w:sz w:val="24"/>
              <w:szCs w:val="24"/>
            </w:rPr>
          </w:pPr>
          <w:r w:rsidRPr="0020113A">
            <w:rPr>
              <w:rFonts w:ascii="Times New Roman" w:eastAsia="Times New Roman" w:hAnsi="Times New Roman"/>
              <w:sz w:val="24"/>
              <w:szCs w:val="24"/>
              <w:lang w:val="es"/>
            </w:rPr>
            <w:t xml:space="preserve">Está definida por el recaudo de las estaciones de Peaje y este flujo está compuesto por dos factores: a) por el valor de las tarifas; y b) por el tráfico de vehículos. </w:t>
          </w:r>
        </w:p>
        <w:p w14:paraId="168B5764" w14:textId="77777777" w:rsidR="007803E3" w:rsidRPr="0020113A" w:rsidRDefault="007803E3" w:rsidP="00A55EEF">
          <w:pPr>
            <w:spacing w:line="257" w:lineRule="auto"/>
            <w:ind w:right="-20"/>
            <w:jc w:val="both"/>
            <w:rPr>
              <w:rFonts w:ascii="Times New Roman" w:hAnsi="Times New Roman"/>
              <w:sz w:val="24"/>
              <w:szCs w:val="24"/>
            </w:rPr>
          </w:pPr>
          <w:r w:rsidRPr="0020113A">
            <w:rPr>
              <w:rFonts w:ascii="Times New Roman" w:eastAsia="Times New Roman" w:hAnsi="Times New Roman"/>
              <w:sz w:val="24"/>
              <w:szCs w:val="24"/>
              <w:lang w:val="es"/>
            </w:rPr>
            <w:t xml:space="preserve">La Concesión Autopista Conexión Norte contempla dos (2) estaciones de Peaje, a saber: </w:t>
          </w:r>
        </w:p>
        <w:p w14:paraId="7AA442C9" w14:textId="77777777" w:rsidR="007803E3" w:rsidRPr="0020113A" w:rsidRDefault="007803E3" w:rsidP="00E60BAB">
          <w:pPr>
            <w:pStyle w:val="Prrafodelista"/>
            <w:numPr>
              <w:ilvl w:val="0"/>
              <w:numId w:val="83"/>
            </w:numPr>
            <w:spacing w:after="0" w:line="257" w:lineRule="auto"/>
            <w:jc w:val="both"/>
            <w:rPr>
              <w:rFonts w:ascii="Times New Roman" w:eastAsia="Times New Roman" w:hAnsi="Times New Roman"/>
              <w:sz w:val="24"/>
              <w:szCs w:val="24"/>
              <w:lang w:val="es"/>
            </w:rPr>
          </w:pPr>
          <w:r w:rsidRPr="0020113A">
            <w:rPr>
              <w:rFonts w:ascii="Times New Roman" w:eastAsia="Times New Roman" w:hAnsi="Times New Roman"/>
              <w:sz w:val="24"/>
              <w:szCs w:val="24"/>
              <w:lang w:val="es"/>
            </w:rPr>
            <w:t xml:space="preserve">Peaje Fragua en la Unidad Funcional 1,  </w:t>
          </w:r>
        </w:p>
        <w:p w14:paraId="0AA30059" w14:textId="77777777" w:rsidR="007803E3" w:rsidRPr="0020113A" w:rsidRDefault="007803E3" w:rsidP="00E60BAB">
          <w:pPr>
            <w:pStyle w:val="Prrafodelista"/>
            <w:numPr>
              <w:ilvl w:val="0"/>
              <w:numId w:val="83"/>
            </w:numPr>
            <w:spacing w:after="0" w:line="257" w:lineRule="auto"/>
            <w:jc w:val="both"/>
            <w:rPr>
              <w:rFonts w:ascii="Times New Roman" w:eastAsia="Times New Roman" w:hAnsi="Times New Roman"/>
              <w:sz w:val="24"/>
              <w:szCs w:val="24"/>
              <w:lang w:val="es"/>
            </w:rPr>
          </w:pPr>
          <w:r w:rsidRPr="0020113A">
            <w:rPr>
              <w:rFonts w:ascii="Times New Roman" w:eastAsia="Times New Roman" w:hAnsi="Times New Roman"/>
              <w:sz w:val="24"/>
              <w:szCs w:val="24"/>
              <w:lang w:val="es"/>
            </w:rPr>
            <w:t xml:space="preserve">Peaje Zaragoza en la Unidad Funcional 2. </w:t>
          </w:r>
        </w:p>
        <w:p w14:paraId="2A511C64" w14:textId="77777777" w:rsidR="007803E3" w:rsidRPr="0020113A" w:rsidRDefault="007803E3" w:rsidP="007803E3">
          <w:pPr>
            <w:pStyle w:val="Prrafodelista"/>
            <w:spacing w:after="0" w:line="257" w:lineRule="auto"/>
            <w:jc w:val="both"/>
            <w:rPr>
              <w:rFonts w:ascii="Times New Roman" w:eastAsia="Times New Roman" w:hAnsi="Times New Roman"/>
              <w:sz w:val="24"/>
              <w:szCs w:val="24"/>
              <w:lang w:val="es"/>
            </w:rPr>
          </w:pPr>
        </w:p>
        <w:p w14:paraId="04BAFBCD" w14:textId="77777777" w:rsidR="007803E3" w:rsidRPr="0020113A" w:rsidRDefault="007803E3" w:rsidP="00A55EEF">
          <w:pPr>
            <w:spacing w:line="257" w:lineRule="auto"/>
            <w:ind w:right="-20"/>
            <w:jc w:val="both"/>
            <w:rPr>
              <w:rFonts w:ascii="Times New Roman" w:hAnsi="Times New Roman"/>
              <w:sz w:val="24"/>
              <w:szCs w:val="24"/>
            </w:rPr>
          </w:pPr>
          <w:r w:rsidRPr="0020113A">
            <w:rPr>
              <w:rFonts w:ascii="Times New Roman" w:eastAsia="Times New Roman" w:hAnsi="Times New Roman"/>
              <w:sz w:val="24"/>
              <w:szCs w:val="24"/>
              <w:lang w:val="es"/>
            </w:rPr>
            <w:t>De acuerdo con el Contrato de Concesión las tarifas serán actualizadas el dieciséis (16) de enero de cada año bajo la siguiente fórmula:</w:t>
          </w:r>
        </w:p>
        <w:p w14:paraId="145AA84A" w14:textId="77777777" w:rsidR="007803E3" w:rsidRPr="0020113A" w:rsidRDefault="007803E3" w:rsidP="007803E3">
          <w:pPr>
            <w:spacing w:line="257" w:lineRule="auto"/>
            <w:ind w:left="720" w:right="-20"/>
            <w:jc w:val="center"/>
            <w:rPr>
              <w:rFonts w:ascii="Times New Roman" w:hAnsi="Times New Roman"/>
              <w:sz w:val="24"/>
              <w:szCs w:val="24"/>
            </w:rPr>
          </w:pPr>
          <w:r>
            <w:rPr>
              <w:noProof/>
            </w:rPr>
            <w:drawing>
              <wp:inline distT="0" distB="0" distL="0" distR="0" wp14:anchorId="5F77EEBB" wp14:editId="55BBA0AB">
                <wp:extent cx="1669168" cy="340132"/>
                <wp:effectExtent l="0" t="0" r="0" b="0"/>
                <wp:docPr id="1657727637" name="Imagen 1657727637"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57727637"/>
                        <pic:cNvPicPr/>
                      </pic:nvPicPr>
                      <pic:blipFill>
                        <a:blip r:embed="rId16">
                          <a:extLst>
                            <a:ext uri="{28A0092B-C50C-407E-A947-70E740481C1C}">
                              <a14:useLocalDpi xmlns:a14="http://schemas.microsoft.com/office/drawing/2010/main" val="0"/>
                            </a:ext>
                          </a:extLst>
                        </a:blip>
                        <a:stretch>
                          <a:fillRect/>
                        </a:stretch>
                      </pic:blipFill>
                      <pic:spPr>
                        <a:xfrm>
                          <a:off x="0" y="0"/>
                          <a:ext cx="1669168" cy="340132"/>
                        </a:xfrm>
                        <a:prstGeom prst="rect">
                          <a:avLst/>
                        </a:prstGeom>
                      </pic:spPr>
                    </pic:pic>
                  </a:graphicData>
                </a:graphic>
              </wp:inline>
            </w:drawing>
          </w:r>
        </w:p>
        <w:p w14:paraId="74F6D6ED" w14:textId="77777777" w:rsidR="007803E3" w:rsidRPr="0020113A" w:rsidRDefault="007803E3" w:rsidP="00A55EEF">
          <w:pPr>
            <w:spacing w:line="257" w:lineRule="auto"/>
            <w:ind w:right="-20"/>
            <w:rPr>
              <w:rFonts w:ascii="Times New Roman" w:hAnsi="Times New Roman"/>
              <w:sz w:val="24"/>
              <w:szCs w:val="24"/>
            </w:rPr>
          </w:pPr>
          <w:r w:rsidRPr="0020113A">
            <w:rPr>
              <w:rFonts w:ascii="Times New Roman" w:eastAsia="Times New Roman" w:hAnsi="Times New Roman"/>
              <w:sz w:val="24"/>
              <w:szCs w:val="24"/>
              <w:lang w:val="es"/>
            </w:rPr>
            <w:t>Donde:</w:t>
          </w:r>
        </w:p>
        <w:p w14:paraId="3CA03D35" w14:textId="77777777" w:rsidR="007803E3" w:rsidRPr="0020113A" w:rsidRDefault="007803E3" w:rsidP="00A55EEF">
          <w:pPr>
            <w:spacing w:line="257" w:lineRule="auto"/>
            <w:ind w:left="720" w:right="-20"/>
            <w:rPr>
              <w:rFonts w:ascii="Times New Roman" w:hAnsi="Times New Roman"/>
              <w:sz w:val="24"/>
              <w:szCs w:val="24"/>
            </w:rPr>
          </w:pPr>
          <w:r>
            <w:rPr>
              <w:noProof/>
            </w:rPr>
            <w:drawing>
              <wp:inline distT="0" distB="0" distL="0" distR="0" wp14:anchorId="1FE2D1BA" wp14:editId="03485465">
                <wp:extent cx="4552952" cy="725385"/>
                <wp:effectExtent l="0" t="0" r="0" b="0"/>
                <wp:docPr id="458961353" name="Imagen 45896135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8961353"/>
                        <pic:cNvPicPr/>
                      </pic:nvPicPr>
                      <pic:blipFill>
                        <a:blip r:embed="rId17">
                          <a:extLst>
                            <a:ext uri="{28A0092B-C50C-407E-A947-70E740481C1C}">
                              <a14:useLocalDpi xmlns:a14="http://schemas.microsoft.com/office/drawing/2010/main" val="0"/>
                            </a:ext>
                          </a:extLst>
                        </a:blip>
                        <a:stretch>
                          <a:fillRect/>
                        </a:stretch>
                      </pic:blipFill>
                      <pic:spPr>
                        <a:xfrm>
                          <a:off x="0" y="0"/>
                          <a:ext cx="4552952" cy="725385"/>
                        </a:xfrm>
                        <a:prstGeom prst="rect">
                          <a:avLst/>
                        </a:prstGeom>
                      </pic:spPr>
                    </pic:pic>
                  </a:graphicData>
                </a:graphic>
              </wp:inline>
            </w:drawing>
          </w:r>
        </w:p>
        <w:p w14:paraId="6A58DE83" w14:textId="3E38A6D0" w:rsidR="007803E3" w:rsidRPr="0020113A" w:rsidRDefault="007803E3" w:rsidP="00A55EEF">
          <w:pPr>
            <w:spacing w:line="257" w:lineRule="auto"/>
            <w:ind w:right="-20"/>
            <w:jc w:val="both"/>
            <w:rPr>
              <w:rFonts w:ascii="Times New Roman" w:hAnsi="Times New Roman"/>
              <w:sz w:val="24"/>
              <w:szCs w:val="24"/>
            </w:rPr>
          </w:pPr>
          <w:r w:rsidRPr="0020113A">
            <w:rPr>
              <w:rFonts w:ascii="Times New Roman" w:eastAsia="Times New Roman" w:hAnsi="Times New Roman"/>
              <w:sz w:val="24"/>
              <w:szCs w:val="24"/>
              <w:lang w:val="es"/>
            </w:rPr>
            <w:lastRenderedPageBreak/>
            <w:t>A diciembre de 2023, de las dos casetas de peaje, la única en operación es la denominada “Zaragoza”, correspondiente a la Unidad Funcional Número 2. Las tarifas de peaje las regula la Resolución No. 645 de 2014.</w:t>
          </w:r>
        </w:p>
        <w:p w14:paraId="6E5D33A2" w14:textId="67DB7D59" w:rsidR="007803E3" w:rsidRPr="00A55EEF" w:rsidRDefault="007803E3" w:rsidP="00A55EEF">
          <w:pPr>
            <w:spacing w:after="0" w:line="257" w:lineRule="auto"/>
            <w:ind w:right="-20"/>
            <w:jc w:val="both"/>
            <w:rPr>
              <w:rFonts w:ascii="Times New Roman" w:eastAsia="Times New Roman" w:hAnsi="Times New Roman"/>
              <w:b/>
              <w:sz w:val="24"/>
              <w:szCs w:val="24"/>
              <w:lang w:val="es"/>
            </w:rPr>
          </w:pPr>
          <w:r w:rsidRPr="00A55EEF">
            <w:rPr>
              <w:rFonts w:ascii="Times New Roman" w:eastAsia="Times New Roman" w:hAnsi="Times New Roman"/>
              <w:b/>
              <w:sz w:val="24"/>
              <w:szCs w:val="24"/>
              <w:lang w:val="es"/>
            </w:rPr>
            <w:t>Aportes ANI.</w:t>
          </w:r>
        </w:p>
        <w:p w14:paraId="0892CB36" w14:textId="77777777" w:rsidR="007803E3" w:rsidRPr="0020113A" w:rsidRDefault="007803E3" w:rsidP="00A55EEF">
          <w:pPr>
            <w:ind w:right="-20"/>
            <w:jc w:val="both"/>
            <w:rPr>
              <w:rFonts w:ascii="Times New Roman" w:hAnsi="Times New Roman"/>
              <w:sz w:val="24"/>
              <w:szCs w:val="24"/>
            </w:rPr>
          </w:pPr>
          <w:r w:rsidRPr="0020113A">
            <w:rPr>
              <w:rFonts w:ascii="Times New Roman" w:eastAsia="Times New Roman" w:hAnsi="Times New Roman"/>
              <w:sz w:val="24"/>
              <w:szCs w:val="24"/>
              <w:lang w:val="es"/>
            </w:rPr>
            <w:t xml:space="preserve">Para al año 2023, el Patrimonio Autónomo del proyecto reportó que al 31 de diciembre de se recibieron dos giros por valor de $ 95.485.997.294  y $ 136.245.622.636 respectivamente, para un total de $ 231.731.619.930  pesos corrientes. Por otro lado, y de acuerdo con lo reportado por la Fiduciaria Bancolombia, el total acumulado de aportes ANI girado a la fecha asciende a $ 989.589.524.870 pesos. </w:t>
          </w:r>
        </w:p>
        <w:p w14:paraId="028A85C0" w14:textId="77777777" w:rsidR="007803E3" w:rsidRPr="0020113A" w:rsidRDefault="007803E3" w:rsidP="00A55EEF">
          <w:pPr>
            <w:ind w:right="-20"/>
            <w:jc w:val="both"/>
            <w:rPr>
              <w:rFonts w:ascii="Times New Roman" w:hAnsi="Times New Roman"/>
              <w:sz w:val="24"/>
              <w:szCs w:val="24"/>
            </w:rPr>
          </w:pPr>
          <w:r w:rsidRPr="0020113A">
            <w:rPr>
              <w:rFonts w:ascii="Times New Roman" w:eastAsia="Times New Roman" w:hAnsi="Times New Roman"/>
              <w:sz w:val="24"/>
              <w:szCs w:val="24"/>
              <w:lang w:val="es"/>
            </w:rPr>
            <w:t>Luego del cierre del año 2023, quedó pendiente por girar un valor ascendería a la suma de $113.972.307.984 pesos, no obstante, se aclara que dicho valor puede modificarse con la aplicación de las variables económicas establecidas en el contrato al momento de realización del giro.</w:t>
          </w:r>
        </w:p>
        <w:p w14:paraId="1739D3E5" w14:textId="77777777" w:rsidR="007803E3" w:rsidRPr="00A55EEF" w:rsidRDefault="007803E3" w:rsidP="00A55EEF">
          <w:pPr>
            <w:spacing w:after="0" w:line="257" w:lineRule="auto"/>
            <w:jc w:val="both"/>
            <w:rPr>
              <w:rFonts w:ascii="Times New Roman" w:eastAsia="Times New Roman" w:hAnsi="Times New Roman"/>
              <w:b/>
              <w:sz w:val="24"/>
              <w:szCs w:val="24"/>
              <w:lang w:val="es"/>
            </w:rPr>
          </w:pPr>
          <w:r w:rsidRPr="00A55EEF">
            <w:rPr>
              <w:rFonts w:ascii="Times New Roman" w:eastAsia="Times New Roman" w:hAnsi="Times New Roman"/>
              <w:b/>
              <w:sz w:val="24"/>
              <w:szCs w:val="24"/>
              <w:lang w:val="es"/>
            </w:rPr>
            <w:t>Avance de las Obras.</w:t>
          </w:r>
        </w:p>
        <w:p w14:paraId="2082B410" w14:textId="77777777" w:rsidR="007803E3" w:rsidRPr="0020113A" w:rsidRDefault="007803E3" w:rsidP="007803E3">
          <w:pPr>
            <w:pStyle w:val="Prrafodelista"/>
            <w:spacing w:after="0" w:line="257" w:lineRule="auto"/>
            <w:jc w:val="both"/>
            <w:rPr>
              <w:rFonts w:ascii="Times New Roman" w:eastAsia="Times New Roman" w:hAnsi="Times New Roman"/>
              <w:b/>
              <w:sz w:val="24"/>
              <w:szCs w:val="24"/>
              <w:lang w:val="es"/>
            </w:rPr>
          </w:pPr>
        </w:p>
        <w:p w14:paraId="51429950" w14:textId="77777777" w:rsidR="007803E3" w:rsidRPr="0020113A" w:rsidRDefault="007803E3" w:rsidP="00A55EEF">
          <w:pPr>
            <w:ind w:right="-20"/>
            <w:jc w:val="both"/>
            <w:rPr>
              <w:rFonts w:ascii="Times New Roman" w:hAnsi="Times New Roman"/>
              <w:sz w:val="24"/>
              <w:szCs w:val="24"/>
            </w:rPr>
          </w:pPr>
          <w:r w:rsidRPr="0020113A">
            <w:rPr>
              <w:rFonts w:ascii="Times New Roman" w:eastAsia="Times New Roman" w:hAnsi="Times New Roman"/>
              <w:sz w:val="24"/>
              <w:szCs w:val="24"/>
              <w:lang w:val="es"/>
            </w:rPr>
            <w:t>El estado de avance determina la evolución del proceso constructivo. En términos generales a la entrega de la infraestructura y el cumplimiento de los correspondientes niveles de servicio se genera el derecho por parte del concesionario a recibir la retribución.</w:t>
          </w:r>
        </w:p>
        <w:p w14:paraId="03006131" w14:textId="77777777" w:rsidR="007803E3" w:rsidRPr="0020113A" w:rsidRDefault="007803E3" w:rsidP="00A55EEF">
          <w:pPr>
            <w:ind w:right="-20"/>
            <w:jc w:val="both"/>
            <w:rPr>
              <w:rFonts w:ascii="Times New Roman" w:hAnsi="Times New Roman"/>
              <w:sz w:val="24"/>
              <w:szCs w:val="24"/>
            </w:rPr>
          </w:pPr>
          <w:r w:rsidRPr="0020113A">
            <w:rPr>
              <w:rFonts w:ascii="Times New Roman" w:eastAsia="Times New Roman" w:hAnsi="Times New Roman"/>
              <w:sz w:val="24"/>
              <w:szCs w:val="24"/>
              <w:lang w:val="es"/>
            </w:rPr>
            <w:t>El proyecto se encuentra en un avance estimado de las obras de 98,94%, con corte al 31 de diciembre de 2023.</w:t>
          </w:r>
        </w:p>
        <w:p w14:paraId="409D4115" w14:textId="27F1F262" w:rsidR="007803E3" w:rsidRPr="00A55EEF" w:rsidRDefault="00A55EEF" w:rsidP="00A55EEF">
          <w:pPr>
            <w:spacing w:after="0" w:line="259" w:lineRule="auto"/>
            <w:jc w:val="both"/>
            <w:rPr>
              <w:rFonts w:ascii="Times New Roman" w:eastAsia="Times New Roman" w:hAnsi="Times New Roman"/>
              <w:b/>
              <w:sz w:val="24"/>
              <w:szCs w:val="24"/>
              <w:lang w:val="es"/>
            </w:rPr>
          </w:pPr>
          <w:r>
            <w:rPr>
              <w:rFonts w:ascii="Times New Roman" w:eastAsia="Times New Roman" w:hAnsi="Times New Roman"/>
              <w:b/>
              <w:sz w:val="24"/>
              <w:szCs w:val="24"/>
              <w:lang w:val="es"/>
            </w:rPr>
            <w:t xml:space="preserve">c. </w:t>
          </w:r>
          <w:r w:rsidR="007803E3" w:rsidRPr="00A55EEF">
            <w:rPr>
              <w:rFonts w:ascii="Times New Roman" w:eastAsia="Times New Roman" w:hAnsi="Times New Roman"/>
              <w:b/>
              <w:sz w:val="24"/>
              <w:szCs w:val="24"/>
              <w:lang w:val="es"/>
            </w:rPr>
            <w:t>Naturaleza y alcance del derecho a utilizar activos especificados, de los aspectos pactados en torno a lo que se espera que el concesionario proporcione en relación con el acuerdo de concesión y de los activos reconocidos como activos en concesión</w:t>
          </w:r>
        </w:p>
        <w:p w14:paraId="6BD6A9E1" w14:textId="77777777" w:rsidR="007803E3" w:rsidRPr="0020113A" w:rsidRDefault="007803E3" w:rsidP="007803E3">
          <w:pPr>
            <w:pStyle w:val="Prrafodelista"/>
            <w:spacing w:after="0"/>
            <w:jc w:val="both"/>
            <w:rPr>
              <w:rFonts w:ascii="Times New Roman" w:eastAsia="Times New Roman" w:hAnsi="Times New Roman"/>
              <w:b/>
              <w:sz w:val="24"/>
              <w:szCs w:val="24"/>
              <w:lang w:val="es"/>
            </w:rPr>
          </w:pPr>
        </w:p>
        <w:p w14:paraId="2540191F" w14:textId="77777777" w:rsidR="007803E3" w:rsidRPr="0020113A" w:rsidRDefault="007803E3" w:rsidP="00F449C4">
          <w:pPr>
            <w:ind w:right="-20"/>
            <w:jc w:val="both"/>
            <w:rPr>
              <w:rFonts w:ascii="Times New Roman" w:hAnsi="Times New Roman"/>
              <w:sz w:val="24"/>
              <w:szCs w:val="24"/>
            </w:rPr>
          </w:pPr>
          <w:r w:rsidRPr="0020113A">
            <w:rPr>
              <w:rFonts w:ascii="Times New Roman" w:eastAsia="Times New Roman" w:hAnsi="Times New Roman"/>
              <w:b/>
              <w:sz w:val="24"/>
              <w:szCs w:val="24"/>
              <w:lang w:val="es"/>
            </w:rPr>
            <w:t>Activos reconocidos</w:t>
          </w:r>
        </w:p>
        <w:p w14:paraId="271081D2" w14:textId="2461BD1E" w:rsidR="007803E3" w:rsidRPr="0020113A" w:rsidRDefault="007803E3" w:rsidP="007803E3">
          <w:pPr>
            <w:ind w:left="-20" w:right="-20"/>
            <w:jc w:val="both"/>
            <w:rPr>
              <w:rFonts w:ascii="Times New Roman" w:eastAsia="Times New Roman" w:hAnsi="Times New Roman"/>
              <w:sz w:val="24"/>
              <w:szCs w:val="24"/>
              <w:lang w:val="es"/>
            </w:rPr>
          </w:pPr>
          <w:r w:rsidRPr="0020113A">
            <w:rPr>
              <w:rFonts w:ascii="Times New Roman" w:hAnsi="Times New Roman"/>
              <w:sz w:val="24"/>
              <w:szCs w:val="24"/>
            </w:rPr>
            <w:tab/>
          </w:r>
          <w:r w:rsidRPr="0020113A">
            <w:rPr>
              <w:rFonts w:ascii="Times New Roman" w:eastAsia="Times New Roman" w:hAnsi="Times New Roman"/>
              <w:sz w:val="24"/>
              <w:szCs w:val="24"/>
              <w:lang w:val="es"/>
            </w:rPr>
            <w:t>Alcance del derecho de uso de los activos:</w:t>
          </w:r>
        </w:p>
        <w:p w14:paraId="3F511AAC" w14:textId="77777777" w:rsidR="007803E3" w:rsidRPr="0020113A" w:rsidRDefault="007803E3" w:rsidP="00E60BAB">
          <w:pPr>
            <w:pStyle w:val="Prrafodelista"/>
            <w:numPr>
              <w:ilvl w:val="0"/>
              <w:numId w:val="82"/>
            </w:numPr>
            <w:spacing w:after="0" w:line="259" w:lineRule="auto"/>
            <w:jc w:val="both"/>
            <w:rPr>
              <w:rFonts w:ascii="Times New Roman" w:eastAsia="Times New Roman" w:hAnsi="Times New Roman"/>
              <w:b/>
              <w:sz w:val="24"/>
              <w:szCs w:val="24"/>
              <w:lang w:val="es"/>
            </w:rPr>
          </w:pPr>
          <w:r w:rsidRPr="0020113A">
            <w:rPr>
              <w:rFonts w:ascii="Times New Roman" w:eastAsia="Times New Roman" w:hAnsi="Times New Roman"/>
              <w:b/>
              <w:sz w:val="24"/>
              <w:szCs w:val="24"/>
              <w:lang w:val="es"/>
            </w:rPr>
            <w:t xml:space="preserve">Activos para el desarrollo del acuerdo de concesión: </w:t>
          </w:r>
        </w:p>
        <w:p w14:paraId="257919F8" w14:textId="77777777" w:rsidR="007803E3" w:rsidRPr="0020113A" w:rsidRDefault="007803E3" w:rsidP="007803E3">
          <w:pPr>
            <w:pStyle w:val="Prrafodelista"/>
            <w:spacing w:after="0"/>
            <w:jc w:val="both"/>
            <w:rPr>
              <w:rFonts w:ascii="Times New Roman" w:eastAsia="Times New Roman" w:hAnsi="Times New Roman"/>
              <w:b/>
              <w:sz w:val="24"/>
              <w:szCs w:val="24"/>
              <w:lang w:val="es"/>
            </w:rPr>
          </w:pPr>
        </w:p>
        <w:p w14:paraId="31E5FEA2" w14:textId="77777777" w:rsidR="007803E3" w:rsidRPr="0020113A" w:rsidRDefault="007803E3" w:rsidP="00A1352A">
          <w:pPr>
            <w:tabs>
              <w:tab w:val="left" w:pos="426"/>
            </w:tabs>
            <w:ind w:left="426" w:right="-20"/>
            <w:jc w:val="both"/>
            <w:rPr>
              <w:rFonts w:ascii="Times New Roman" w:hAnsi="Times New Roman"/>
              <w:sz w:val="24"/>
              <w:szCs w:val="24"/>
            </w:rPr>
          </w:pPr>
          <w:r w:rsidRPr="0020113A">
            <w:rPr>
              <w:rFonts w:ascii="Times New Roman" w:eastAsia="Times New Roman" w:hAnsi="Times New Roman"/>
              <w:sz w:val="24"/>
              <w:szCs w:val="24"/>
              <w:lang w:val="es"/>
            </w:rPr>
            <w:t>La sección 3.5 (b) del Capítulo III de la Parte Especial del Contrato determina la infraestructura programada para ser recibida por el Concesionario al inicio del Contrato.</w:t>
          </w:r>
        </w:p>
        <w:p w14:paraId="5F6667E3" w14:textId="77777777" w:rsidR="007803E3" w:rsidRPr="0020113A" w:rsidRDefault="007803E3" w:rsidP="007803E3">
          <w:pPr>
            <w:ind w:left="720" w:right="-20"/>
            <w:jc w:val="both"/>
            <w:rPr>
              <w:rFonts w:ascii="Times New Roman" w:hAnsi="Times New Roman"/>
              <w:sz w:val="24"/>
              <w:szCs w:val="24"/>
            </w:rPr>
          </w:pPr>
          <w:r w:rsidRPr="0020113A">
            <w:rPr>
              <w:rFonts w:ascii="Times New Roman" w:eastAsia="Times New Roman" w:hAnsi="Times New Roman"/>
              <w:sz w:val="24"/>
              <w:szCs w:val="24"/>
              <w:lang w:val="es"/>
            </w:rPr>
            <w:t>Así mismo, se programó la puesta en operación (conforme a la Sección 3.6 - Parte Especial del contrato de concesión), de las estaciones de Peaje denominadas Fragua y Zaragoza respectivamente, las cuales estarán operativas en el año 2024.</w:t>
          </w:r>
        </w:p>
        <w:p w14:paraId="76AC63E7" w14:textId="77777777" w:rsidR="007803E3" w:rsidRPr="0020113A" w:rsidRDefault="007803E3" w:rsidP="00F449C4">
          <w:pPr>
            <w:spacing w:line="257" w:lineRule="auto"/>
            <w:ind w:right="-20"/>
            <w:rPr>
              <w:rFonts w:ascii="Times New Roman" w:hAnsi="Times New Roman"/>
              <w:sz w:val="24"/>
              <w:szCs w:val="24"/>
            </w:rPr>
          </w:pPr>
          <w:r w:rsidRPr="0020113A">
            <w:rPr>
              <w:rFonts w:ascii="Times New Roman" w:eastAsia="Times New Roman" w:hAnsi="Times New Roman"/>
              <w:b/>
              <w:sz w:val="24"/>
              <w:szCs w:val="24"/>
              <w:lang w:val="es"/>
            </w:rPr>
            <w:t xml:space="preserve">ii.  Los derechos cedidos al concesionario para explotar los activos en concesión. </w:t>
          </w:r>
        </w:p>
        <w:p w14:paraId="4E817919" w14:textId="77777777" w:rsidR="007803E3" w:rsidRPr="0020113A" w:rsidRDefault="007803E3" w:rsidP="00F449C4">
          <w:pPr>
            <w:ind w:right="-20"/>
            <w:jc w:val="both"/>
            <w:rPr>
              <w:rFonts w:ascii="Times New Roman" w:eastAsia="Times New Roman" w:hAnsi="Times New Roman"/>
              <w:sz w:val="24"/>
              <w:szCs w:val="24"/>
              <w:lang w:val="es"/>
            </w:rPr>
          </w:pPr>
          <w:r w:rsidRPr="0020113A">
            <w:rPr>
              <w:rFonts w:ascii="Times New Roman" w:eastAsia="Times New Roman" w:hAnsi="Times New Roman"/>
              <w:sz w:val="24"/>
              <w:szCs w:val="24"/>
              <w:lang w:val="es"/>
            </w:rPr>
            <w:t>Obtención del VPIP</w:t>
          </w:r>
        </w:p>
        <w:p w14:paraId="580F8860" w14:textId="77777777" w:rsidR="007803E3" w:rsidRPr="0020113A" w:rsidRDefault="007803E3" w:rsidP="00F449C4">
          <w:pPr>
            <w:ind w:right="-20"/>
            <w:jc w:val="both"/>
            <w:rPr>
              <w:rFonts w:ascii="Times New Roman" w:hAnsi="Times New Roman"/>
              <w:sz w:val="24"/>
              <w:szCs w:val="24"/>
            </w:rPr>
          </w:pPr>
          <w:r w:rsidRPr="0020113A">
            <w:rPr>
              <w:rFonts w:ascii="Times New Roman" w:eastAsia="Times New Roman" w:hAnsi="Times New Roman"/>
              <w:sz w:val="24"/>
              <w:szCs w:val="24"/>
              <w:lang w:val="es"/>
            </w:rPr>
            <w:t>El concesionario tiene el derecho a obtener el VPIP contractual. Entiéndase las siglas VPIP, según el numeral 1.162 de la Parte General del Contrato, cómo:</w:t>
          </w:r>
        </w:p>
        <w:p w14:paraId="66EFB1F9" w14:textId="77777777" w:rsidR="007803E3" w:rsidRPr="0020113A" w:rsidRDefault="007803E3" w:rsidP="00F449C4">
          <w:pPr>
            <w:ind w:right="-20"/>
            <w:jc w:val="both"/>
            <w:rPr>
              <w:rFonts w:ascii="Times New Roman" w:hAnsi="Times New Roman"/>
              <w:sz w:val="24"/>
              <w:szCs w:val="24"/>
            </w:rPr>
          </w:pPr>
          <w:r w:rsidRPr="0020113A">
            <w:rPr>
              <w:rFonts w:ascii="Times New Roman" w:eastAsia="Times New Roman" w:hAnsi="Times New Roman"/>
              <w:i/>
              <w:sz w:val="24"/>
              <w:szCs w:val="24"/>
              <w:lang w:val="es"/>
            </w:rPr>
            <w:lastRenderedPageBreak/>
            <w:t>“Es el valor presente al Mes de Referencia del Recaudo de Peaje, ofrecido por la ANI al Concesionario en las reglas del Proceso de Selección. El monto de VPIP se señala en la Parte Especial.”. En la Sección 1.162 de la Parte Especial se señala: “El VPIP equivale a QUINIENTOS MIL NOVECIENTOS SESENTA MILLONES CIENTO CINCUENTA Y NUEVE MIL CUATROCIENTOS NOVENTA Y CUATRO PESOS ($500.960.159.494) del Mes de Referencia.”</w:t>
          </w:r>
        </w:p>
        <w:p w14:paraId="148B9B44" w14:textId="19EF2554" w:rsidR="007803E3" w:rsidRPr="0020113A" w:rsidRDefault="007803E3" w:rsidP="00F449C4">
          <w:pPr>
            <w:ind w:right="-20"/>
            <w:jc w:val="both"/>
            <w:rPr>
              <w:rFonts w:ascii="Times New Roman" w:eastAsia="Times New Roman" w:hAnsi="Times New Roman"/>
              <w:sz w:val="24"/>
              <w:szCs w:val="24"/>
              <w:lang w:val="es"/>
            </w:rPr>
          </w:pPr>
          <w:r w:rsidRPr="0020113A">
            <w:rPr>
              <w:rFonts w:ascii="Times New Roman" w:eastAsia="Times New Roman" w:hAnsi="Times New Roman"/>
              <w:sz w:val="24"/>
              <w:szCs w:val="24"/>
              <w:lang w:val="es"/>
            </w:rPr>
            <w:t>Teniendo en cuenta que a corte 31 de diciembre de 2023, ninguna de las dos estaciones de cobro de peaje, han sido puestas en funcionamiento, el valor del V.P.I.P. del proyecto es de Cero ($1.317.453.426) pesos, desde el punto de vista del recaudo de peajes como fuente inicial de ingresos.</w:t>
          </w:r>
        </w:p>
        <w:p w14:paraId="76DB7BEE" w14:textId="37435BA6" w:rsidR="00A1352A" w:rsidRPr="009A46BB" w:rsidRDefault="007803E3" w:rsidP="00F449C4">
          <w:pPr>
            <w:ind w:right="-20"/>
            <w:jc w:val="both"/>
            <w:rPr>
              <w:rFonts w:ascii="Times New Roman" w:eastAsia="Times New Roman" w:hAnsi="Times New Roman"/>
              <w:sz w:val="24"/>
              <w:szCs w:val="24"/>
              <w:lang w:val="es"/>
            </w:rPr>
          </w:pPr>
          <w:r w:rsidRPr="0020113A">
            <w:rPr>
              <w:rFonts w:ascii="Times New Roman" w:eastAsia="Times New Roman" w:hAnsi="Times New Roman"/>
              <w:sz w:val="24"/>
              <w:szCs w:val="24"/>
              <w:lang w:val="es"/>
            </w:rPr>
            <w:t>No obstante lo anterior, en el 1er semestre del año 2023, la ANI reconoció la Diferencia de Recaudo del año 8 (DR8), la cual equilibró el contrato en términos del Riesgo Comercial. Al final del año el valor del VPIP cumulado, y teniendo en cuenta el factor DR8 es el siguiente:</w:t>
          </w:r>
        </w:p>
        <w:tbl>
          <w:tblPr>
            <w:tblStyle w:val="Tablaconcuadrcula"/>
            <w:tblW w:w="0" w:type="auto"/>
            <w:jc w:val="center"/>
            <w:tblLayout w:type="fixed"/>
            <w:tblLook w:val="04A0" w:firstRow="1" w:lastRow="0" w:firstColumn="1" w:lastColumn="0" w:noHBand="0" w:noVBand="1"/>
          </w:tblPr>
          <w:tblGrid>
            <w:gridCol w:w="2860"/>
            <w:gridCol w:w="2665"/>
            <w:gridCol w:w="2423"/>
          </w:tblGrid>
          <w:tr w:rsidR="007803E3" w:rsidRPr="004E79BA" w14:paraId="6F7AA974" w14:textId="77777777" w:rsidTr="004E79BA">
            <w:trPr>
              <w:trHeight w:val="199"/>
              <w:jc w:val="center"/>
            </w:trPr>
            <w:tc>
              <w:tcPr>
                <w:tcW w:w="28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22DF11" w14:textId="77777777" w:rsidR="007803E3" w:rsidRPr="004E79BA" w:rsidRDefault="007803E3" w:rsidP="006D6444">
                <w:pPr>
                  <w:spacing w:line="257" w:lineRule="auto"/>
                  <w:ind w:left="-20" w:right="-20"/>
                  <w:jc w:val="center"/>
                  <w:rPr>
                    <w:rFonts w:ascii="Times New Roman" w:hAnsi="Times New Roman"/>
                    <w:sz w:val="16"/>
                    <w:szCs w:val="16"/>
                  </w:rPr>
                </w:pPr>
                <w:r w:rsidRPr="004E79BA">
                  <w:rPr>
                    <w:rFonts w:ascii="Times New Roman" w:eastAsia="Times New Roman" w:hAnsi="Times New Roman"/>
                    <w:b/>
                    <w:sz w:val="16"/>
                    <w:szCs w:val="16"/>
                    <w:lang w:val="es"/>
                  </w:rPr>
                  <w:t>VPIP Contractual</w:t>
                </w:r>
              </w:p>
            </w:tc>
            <w:tc>
              <w:tcPr>
                <w:tcW w:w="26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D4516A" w14:textId="77777777" w:rsidR="007803E3" w:rsidRPr="004E79BA" w:rsidRDefault="007803E3" w:rsidP="006D6444">
                <w:pPr>
                  <w:spacing w:line="257" w:lineRule="auto"/>
                  <w:ind w:left="-20" w:right="-20"/>
                  <w:jc w:val="center"/>
                  <w:rPr>
                    <w:rFonts w:ascii="Times New Roman" w:hAnsi="Times New Roman"/>
                    <w:sz w:val="16"/>
                    <w:szCs w:val="16"/>
                  </w:rPr>
                </w:pPr>
                <w:r w:rsidRPr="004E79BA">
                  <w:rPr>
                    <w:rFonts w:ascii="Times New Roman" w:eastAsia="Times New Roman" w:hAnsi="Times New Roman"/>
                    <w:b/>
                    <w:sz w:val="16"/>
                    <w:szCs w:val="16"/>
                    <w:lang w:val="es"/>
                  </w:rPr>
                  <w:t>VPIP Acumulado</w:t>
                </w:r>
              </w:p>
            </w:tc>
            <w:tc>
              <w:tcPr>
                <w:tcW w:w="242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4418DD" w14:textId="77777777" w:rsidR="007803E3" w:rsidRPr="004E79BA" w:rsidRDefault="007803E3" w:rsidP="006D6444">
                <w:pPr>
                  <w:spacing w:line="257" w:lineRule="auto"/>
                  <w:ind w:left="-20" w:right="-20"/>
                  <w:jc w:val="center"/>
                  <w:rPr>
                    <w:rFonts w:ascii="Times New Roman" w:hAnsi="Times New Roman"/>
                    <w:sz w:val="16"/>
                    <w:szCs w:val="16"/>
                  </w:rPr>
                </w:pPr>
                <w:r w:rsidRPr="004E79BA">
                  <w:rPr>
                    <w:rFonts w:ascii="Times New Roman" w:eastAsia="Times New Roman" w:hAnsi="Times New Roman"/>
                    <w:b/>
                    <w:sz w:val="16"/>
                    <w:szCs w:val="16"/>
                    <w:lang w:val="es"/>
                  </w:rPr>
                  <w:t>% de VPIP</w:t>
                </w:r>
              </w:p>
            </w:tc>
          </w:tr>
          <w:tr w:rsidR="007803E3" w:rsidRPr="004E79BA" w14:paraId="34B682E0" w14:textId="77777777" w:rsidTr="004E79BA">
            <w:trPr>
              <w:trHeight w:val="247"/>
              <w:jc w:val="center"/>
            </w:trPr>
            <w:tc>
              <w:tcPr>
                <w:tcW w:w="286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C3B8CE" w14:textId="77777777" w:rsidR="007803E3" w:rsidRPr="004E79BA" w:rsidRDefault="007803E3" w:rsidP="006D6444">
                <w:pPr>
                  <w:spacing w:line="257" w:lineRule="auto"/>
                  <w:ind w:left="-20" w:right="-20"/>
                  <w:jc w:val="right"/>
                  <w:rPr>
                    <w:rFonts w:ascii="Times New Roman" w:hAnsi="Times New Roman"/>
                    <w:sz w:val="16"/>
                    <w:szCs w:val="16"/>
                  </w:rPr>
                </w:pPr>
                <w:r w:rsidRPr="004E79BA">
                  <w:rPr>
                    <w:rFonts w:ascii="Times New Roman" w:eastAsia="Times New Roman" w:hAnsi="Times New Roman"/>
                    <w:sz w:val="16"/>
                    <w:szCs w:val="16"/>
                    <w:lang w:val="es"/>
                  </w:rPr>
                  <w:t>$500.960.159.494</w:t>
                </w:r>
              </w:p>
            </w:tc>
            <w:tc>
              <w:tcPr>
                <w:tcW w:w="26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95A5CF" w14:textId="77777777" w:rsidR="007803E3" w:rsidRPr="004E79BA" w:rsidRDefault="007803E3" w:rsidP="006D6444">
                <w:pPr>
                  <w:spacing w:line="257" w:lineRule="auto"/>
                  <w:ind w:left="-20" w:right="-20"/>
                  <w:jc w:val="right"/>
                  <w:rPr>
                    <w:rFonts w:ascii="Times New Roman" w:hAnsi="Times New Roman"/>
                    <w:sz w:val="16"/>
                    <w:szCs w:val="16"/>
                  </w:rPr>
                </w:pPr>
                <w:r w:rsidRPr="004E79BA">
                  <w:rPr>
                    <w:rFonts w:ascii="Times New Roman" w:eastAsia="Times New Roman" w:hAnsi="Times New Roman"/>
                    <w:sz w:val="16"/>
                    <w:szCs w:val="16"/>
                    <w:lang w:val="es"/>
                  </w:rPr>
                  <w:t>$ 82.634.232.887</w:t>
                </w:r>
              </w:p>
            </w:tc>
            <w:tc>
              <w:tcPr>
                <w:tcW w:w="242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06AA0C" w14:textId="77777777" w:rsidR="007803E3" w:rsidRPr="004E79BA" w:rsidRDefault="007803E3" w:rsidP="006D6444">
                <w:pPr>
                  <w:spacing w:line="257" w:lineRule="auto"/>
                  <w:ind w:left="-20" w:right="-20"/>
                  <w:jc w:val="right"/>
                  <w:rPr>
                    <w:rFonts w:ascii="Times New Roman" w:hAnsi="Times New Roman"/>
                    <w:sz w:val="16"/>
                    <w:szCs w:val="16"/>
                  </w:rPr>
                </w:pPr>
                <w:r w:rsidRPr="004E79BA">
                  <w:rPr>
                    <w:rFonts w:ascii="Times New Roman" w:eastAsia="Times New Roman" w:hAnsi="Times New Roman"/>
                    <w:sz w:val="16"/>
                    <w:szCs w:val="16"/>
                    <w:lang w:val="es"/>
                  </w:rPr>
                  <w:t>16,4952%</w:t>
                </w:r>
              </w:p>
            </w:tc>
          </w:tr>
        </w:tbl>
        <w:p w14:paraId="58C79028" w14:textId="77777777" w:rsidR="007803E3" w:rsidRPr="0020113A" w:rsidRDefault="007803E3" w:rsidP="007803E3">
          <w:pPr>
            <w:ind w:left="720" w:right="-20"/>
            <w:jc w:val="both"/>
            <w:rPr>
              <w:rFonts w:ascii="Times New Roman" w:eastAsia="Times New Roman" w:hAnsi="Times New Roman"/>
              <w:sz w:val="24"/>
              <w:szCs w:val="24"/>
              <w:lang w:val="es"/>
            </w:rPr>
          </w:pPr>
          <w:r w:rsidRPr="0020113A">
            <w:rPr>
              <w:rFonts w:ascii="Times New Roman" w:eastAsia="Times New Roman" w:hAnsi="Times New Roman"/>
              <w:sz w:val="24"/>
              <w:szCs w:val="24"/>
              <w:lang w:val="es"/>
            </w:rPr>
            <w:t xml:space="preserve"> </w:t>
          </w:r>
        </w:p>
        <w:p w14:paraId="7AF244FD" w14:textId="77777777" w:rsidR="007803E3" w:rsidRPr="0020113A" w:rsidRDefault="007803E3" w:rsidP="00F449C4">
          <w:pPr>
            <w:ind w:right="-20"/>
            <w:jc w:val="both"/>
            <w:rPr>
              <w:rFonts w:ascii="Times New Roman" w:hAnsi="Times New Roman"/>
              <w:sz w:val="24"/>
              <w:szCs w:val="24"/>
            </w:rPr>
          </w:pPr>
          <w:r w:rsidRPr="0020113A">
            <w:rPr>
              <w:rFonts w:ascii="Times New Roman" w:eastAsia="Times New Roman" w:hAnsi="Times New Roman"/>
              <w:sz w:val="24"/>
              <w:szCs w:val="24"/>
              <w:lang w:val="es"/>
            </w:rPr>
            <w:t>De acuerdo con la Sección 2.4 de la Parte General literal (b):</w:t>
          </w:r>
        </w:p>
        <w:p w14:paraId="3B4DA4C8" w14:textId="77777777" w:rsidR="007803E3" w:rsidRPr="0020113A" w:rsidRDefault="007803E3" w:rsidP="007803E3">
          <w:pPr>
            <w:spacing w:line="257" w:lineRule="auto"/>
            <w:ind w:left="709" w:right="-20"/>
            <w:rPr>
              <w:rFonts w:ascii="Times New Roman" w:hAnsi="Times New Roman"/>
              <w:sz w:val="24"/>
              <w:szCs w:val="24"/>
            </w:rPr>
          </w:pPr>
          <w:r w:rsidRPr="0020113A">
            <w:rPr>
              <w:rFonts w:ascii="Times New Roman" w:eastAsia="Times New Roman" w:hAnsi="Times New Roman"/>
              <w:sz w:val="24"/>
              <w:szCs w:val="24"/>
              <w:lang w:val="es"/>
            </w:rPr>
            <w:t xml:space="preserve"> </w:t>
          </w:r>
          <w:r w:rsidRPr="0020113A">
            <w:rPr>
              <w:rFonts w:ascii="Times New Roman" w:eastAsia="Times New Roman" w:hAnsi="Times New Roman"/>
              <w:i/>
              <w:sz w:val="24"/>
              <w:szCs w:val="24"/>
              <w:lang w:val="es"/>
            </w:rPr>
            <w:t>“(b) La Fecha de Terminación de la Etapa de Operación y Mantenimiento ocurrirá en cualquiera de los siguientes eventos, el que primera acaezca:</w:t>
          </w:r>
        </w:p>
        <w:p w14:paraId="2CB764B3" w14:textId="77777777" w:rsidR="007803E3" w:rsidRPr="0020113A" w:rsidRDefault="007803E3" w:rsidP="007803E3">
          <w:pPr>
            <w:spacing w:line="257" w:lineRule="auto"/>
            <w:ind w:left="709" w:right="-20"/>
            <w:rPr>
              <w:rFonts w:ascii="Times New Roman" w:hAnsi="Times New Roman"/>
              <w:sz w:val="24"/>
              <w:szCs w:val="24"/>
            </w:rPr>
          </w:pPr>
          <w:r w:rsidRPr="0020113A">
            <w:rPr>
              <w:rFonts w:ascii="Times New Roman" w:eastAsia="Times New Roman" w:hAnsi="Times New Roman"/>
              <w:i/>
              <w:sz w:val="24"/>
              <w:szCs w:val="24"/>
              <w:lang w:val="es"/>
            </w:rPr>
            <w:t xml:space="preserve"> (i) Al cumplirse el año VEINTICINCO (25) contado a partir de la Fecha de Inicio si se ha alcanzado o superado el VPIP, o;</w:t>
          </w:r>
        </w:p>
        <w:p w14:paraId="129EEAEA" w14:textId="77777777" w:rsidR="007803E3" w:rsidRPr="0020113A" w:rsidRDefault="007803E3" w:rsidP="007803E3">
          <w:pPr>
            <w:spacing w:line="257" w:lineRule="auto"/>
            <w:ind w:left="709" w:right="-20"/>
            <w:rPr>
              <w:rFonts w:ascii="Times New Roman" w:hAnsi="Times New Roman"/>
              <w:sz w:val="24"/>
              <w:szCs w:val="24"/>
            </w:rPr>
          </w:pPr>
          <w:r w:rsidRPr="0020113A">
            <w:rPr>
              <w:rFonts w:ascii="Times New Roman" w:eastAsia="Times New Roman" w:hAnsi="Times New Roman"/>
              <w:i/>
              <w:sz w:val="24"/>
              <w:szCs w:val="24"/>
              <w:lang w:val="es"/>
            </w:rPr>
            <w:t xml:space="preserve"> (ii) En el momento en que, pasados los VEINTICINCO (25) años se verifique de acuerdo con el procedimiento de verificación del VPIP, que se ha alcanzado o superado el VPIP para lo cual se tendrá como fecha de terminación el décimo Día Hábil del Mes correspondiente a la fecha en la que se verifica tal circunstancia, o;</w:t>
          </w:r>
        </w:p>
        <w:p w14:paraId="75A6DC36" w14:textId="77777777" w:rsidR="007803E3" w:rsidRPr="0020113A" w:rsidRDefault="007803E3" w:rsidP="00A1352A">
          <w:pPr>
            <w:tabs>
              <w:tab w:val="left" w:pos="142"/>
              <w:tab w:val="left" w:pos="709"/>
            </w:tabs>
            <w:spacing w:line="257" w:lineRule="auto"/>
            <w:ind w:left="709" w:right="-20" w:hanging="567"/>
            <w:rPr>
              <w:rFonts w:ascii="Times New Roman" w:hAnsi="Times New Roman"/>
              <w:sz w:val="24"/>
              <w:szCs w:val="24"/>
            </w:rPr>
          </w:pPr>
          <w:r w:rsidRPr="0020113A">
            <w:rPr>
              <w:rFonts w:ascii="Times New Roman" w:eastAsia="Times New Roman" w:hAnsi="Times New Roman"/>
              <w:i/>
              <w:sz w:val="24"/>
              <w:szCs w:val="24"/>
              <w:lang w:val="es"/>
            </w:rPr>
            <w:t xml:space="preserve"> (iii) Al cumplirse el año VEINTINUEVE (29) contado a partir de la Fecha de Inicio, aun en el caso en que llegada esa fecha el Concesionario no hubiere obtenido el VPIP.”</w:t>
          </w:r>
        </w:p>
        <w:p w14:paraId="1D5AEF37" w14:textId="77777777" w:rsidR="007803E3" w:rsidRPr="0020113A" w:rsidRDefault="007803E3" w:rsidP="00F449C4">
          <w:pPr>
            <w:spacing w:line="257" w:lineRule="auto"/>
            <w:ind w:right="-20"/>
            <w:rPr>
              <w:rFonts w:ascii="Times New Roman" w:hAnsi="Times New Roman"/>
              <w:sz w:val="24"/>
              <w:szCs w:val="24"/>
            </w:rPr>
          </w:pPr>
          <w:r w:rsidRPr="0020113A">
            <w:rPr>
              <w:rFonts w:ascii="Times New Roman" w:eastAsia="Times New Roman" w:hAnsi="Times New Roman"/>
              <w:b/>
              <w:sz w:val="24"/>
              <w:szCs w:val="24"/>
              <w:lang w:val="es"/>
            </w:rPr>
            <w:t>iii) Las actividades y servicios del concesionario durante el acuerdo de concesión:</w:t>
          </w:r>
        </w:p>
        <w:p w14:paraId="4497E487" w14:textId="77777777" w:rsidR="007803E3" w:rsidRPr="0020113A" w:rsidRDefault="007803E3" w:rsidP="00F449C4">
          <w:pPr>
            <w:spacing w:line="257" w:lineRule="auto"/>
            <w:ind w:right="-20"/>
            <w:jc w:val="both"/>
            <w:rPr>
              <w:rFonts w:ascii="Times New Roman" w:hAnsi="Times New Roman"/>
              <w:sz w:val="24"/>
              <w:szCs w:val="24"/>
            </w:rPr>
          </w:pPr>
          <w:r w:rsidRPr="0020113A">
            <w:rPr>
              <w:rFonts w:ascii="Times New Roman" w:eastAsia="Times New Roman" w:hAnsi="Times New Roman"/>
              <w:sz w:val="24"/>
              <w:szCs w:val="24"/>
              <w:lang w:val="es"/>
            </w:rPr>
            <w:t>El proyecto Autopista Conexión Norte está conformado por dos (2) Unidades Funcionales, en las cuales el Concesionario ejecutará las siguientes Intervenciones</w:t>
          </w:r>
          <w:hyperlink r:id="rId18" w:anchor="_ftn1">
            <w:r w:rsidRPr="0020113A">
              <w:rPr>
                <w:rStyle w:val="Hipervnculo"/>
                <w:rFonts w:ascii="Times New Roman" w:eastAsia="Times New Roman" w:hAnsi="Times New Roman"/>
                <w:sz w:val="24"/>
                <w:szCs w:val="24"/>
                <w:vertAlign w:val="superscript"/>
                <w:lang w:val="es"/>
              </w:rPr>
              <w:t>[1]</w:t>
            </w:r>
          </w:hyperlink>
          <w:r w:rsidRPr="0020113A">
            <w:rPr>
              <w:rFonts w:ascii="Times New Roman" w:eastAsia="Times New Roman" w:hAnsi="Times New Roman"/>
              <w:sz w:val="24"/>
              <w:szCs w:val="24"/>
              <w:lang w:val="es"/>
            </w:rPr>
            <w:t>:</w:t>
          </w:r>
        </w:p>
        <w:tbl>
          <w:tblPr>
            <w:tblStyle w:val="Tablaconcuadrcula"/>
            <w:tblW w:w="0" w:type="auto"/>
            <w:jc w:val="center"/>
            <w:tblLayout w:type="fixed"/>
            <w:tblLook w:val="04A0" w:firstRow="1" w:lastRow="0" w:firstColumn="1" w:lastColumn="0" w:noHBand="0" w:noVBand="1"/>
          </w:tblPr>
          <w:tblGrid>
            <w:gridCol w:w="656"/>
            <w:gridCol w:w="2065"/>
            <w:gridCol w:w="2736"/>
            <w:gridCol w:w="1389"/>
          </w:tblGrid>
          <w:tr w:rsidR="007803E3" w:rsidRPr="004E79BA" w14:paraId="19A09D48" w14:textId="77777777" w:rsidTr="006D6444">
            <w:trPr>
              <w:trHeight w:val="300"/>
              <w:jc w:val="center"/>
            </w:trPr>
            <w:tc>
              <w:tcPr>
                <w:tcW w:w="65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26D6D4" w14:textId="77777777" w:rsidR="007803E3" w:rsidRPr="004E79BA" w:rsidRDefault="007803E3" w:rsidP="006D6444">
                <w:pPr>
                  <w:spacing w:line="257" w:lineRule="auto"/>
                  <w:ind w:left="-20" w:right="-20"/>
                  <w:jc w:val="center"/>
                  <w:rPr>
                    <w:rFonts w:ascii="Times New Roman" w:hAnsi="Times New Roman"/>
                    <w:sz w:val="16"/>
                    <w:szCs w:val="16"/>
                  </w:rPr>
                </w:pPr>
                <w:r w:rsidRPr="004E79BA">
                  <w:rPr>
                    <w:rFonts w:ascii="Times New Roman" w:eastAsia="Times New Roman" w:hAnsi="Times New Roman"/>
                    <w:sz w:val="16"/>
                    <w:szCs w:val="16"/>
                    <w:lang w:val="es"/>
                  </w:rPr>
                  <w:t xml:space="preserve"> </w:t>
                </w:r>
                <w:r w:rsidRPr="004E79BA">
                  <w:rPr>
                    <w:rFonts w:ascii="Times New Roman" w:eastAsia="Times New Roman" w:hAnsi="Times New Roman"/>
                    <w:b/>
                    <w:sz w:val="16"/>
                    <w:szCs w:val="16"/>
                    <w:lang w:val="es"/>
                  </w:rPr>
                  <w:t>UF</w:t>
                </w:r>
              </w:p>
            </w:tc>
            <w:tc>
              <w:tcPr>
                <w:tcW w:w="20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0C36F0" w14:textId="77777777" w:rsidR="007803E3" w:rsidRPr="004E79BA" w:rsidRDefault="007803E3" w:rsidP="006D6444">
                <w:pPr>
                  <w:spacing w:line="257" w:lineRule="auto"/>
                  <w:ind w:left="-20" w:right="-20"/>
                  <w:jc w:val="center"/>
                  <w:rPr>
                    <w:rFonts w:ascii="Times New Roman" w:hAnsi="Times New Roman"/>
                    <w:sz w:val="16"/>
                    <w:szCs w:val="16"/>
                  </w:rPr>
                </w:pPr>
                <w:r w:rsidRPr="004E79BA">
                  <w:rPr>
                    <w:rFonts w:ascii="Times New Roman" w:eastAsia="Times New Roman" w:hAnsi="Times New Roman"/>
                    <w:b/>
                    <w:sz w:val="16"/>
                    <w:szCs w:val="16"/>
                    <w:lang w:val="es"/>
                  </w:rPr>
                  <w:t>Sector</w:t>
                </w:r>
              </w:p>
            </w:tc>
            <w:tc>
              <w:tcPr>
                <w:tcW w:w="273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A490AC" w14:textId="77777777" w:rsidR="007803E3" w:rsidRPr="004E79BA" w:rsidRDefault="007803E3" w:rsidP="006D6444">
                <w:pPr>
                  <w:spacing w:line="257" w:lineRule="auto"/>
                  <w:ind w:left="-20" w:right="-20"/>
                  <w:jc w:val="center"/>
                  <w:rPr>
                    <w:rFonts w:ascii="Times New Roman" w:hAnsi="Times New Roman"/>
                    <w:sz w:val="16"/>
                    <w:szCs w:val="16"/>
                  </w:rPr>
                </w:pPr>
                <w:r w:rsidRPr="004E79BA">
                  <w:rPr>
                    <w:rFonts w:ascii="Times New Roman" w:eastAsia="Times New Roman" w:hAnsi="Times New Roman"/>
                    <w:b/>
                    <w:sz w:val="16"/>
                    <w:szCs w:val="16"/>
                    <w:lang w:val="es"/>
                  </w:rPr>
                  <w:t>TIPO DE INTERVENCIÓN</w:t>
                </w:r>
              </w:p>
            </w:tc>
            <w:tc>
              <w:tcPr>
                <w:tcW w:w="13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4ED727" w14:textId="77777777" w:rsidR="007803E3" w:rsidRPr="004E79BA" w:rsidRDefault="007803E3" w:rsidP="006D6444">
                <w:pPr>
                  <w:spacing w:line="257" w:lineRule="auto"/>
                  <w:ind w:left="-20" w:right="-20"/>
                  <w:jc w:val="center"/>
                  <w:rPr>
                    <w:rFonts w:ascii="Times New Roman" w:hAnsi="Times New Roman"/>
                    <w:sz w:val="16"/>
                    <w:szCs w:val="16"/>
                  </w:rPr>
                </w:pPr>
                <w:r w:rsidRPr="004E79BA">
                  <w:rPr>
                    <w:rFonts w:ascii="Times New Roman" w:eastAsia="Times New Roman" w:hAnsi="Times New Roman"/>
                    <w:b/>
                    <w:sz w:val="16"/>
                    <w:szCs w:val="16"/>
                    <w:lang w:val="es"/>
                  </w:rPr>
                  <w:t>LONGITUD</w:t>
                </w:r>
              </w:p>
            </w:tc>
          </w:tr>
          <w:tr w:rsidR="007803E3" w:rsidRPr="004E79BA" w14:paraId="60AEBC74" w14:textId="77777777" w:rsidTr="006D6444">
            <w:trPr>
              <w:trHeight w:val="300"/>
              <w:jc w:val="center"/>
            </w:trPr>
            <w:tc>
              <w:tcPr>
                <w:tcW w:w="656" w:type="dxa"/>
                <w:tcBorders>
                  <w:top w:val="single" w:sz="8" w:space="0" w:color="auto"/>
                  <w:left w:val="single" w:sz="8" w:space="0" w:color="auto"/>
                  <w:bottom w:val="single" w:sz="8" w:space="0" w:color="auto"/>
                  <w:right w:val="single" w:sz="8" w:space="0" w:color="auto"/>
                </w:tcBorders>
                <w:tcMar>
                  <w:left w:w="108" w:type="dxa"/>
                  <w:right w:w="108" w:type="dxa"/>
                </w:tcMar>
              </w:tcPr>
              <w:p w14:paraId="41BE89C7" w14:textId="77777777" w:rsidR="007803E3" w:rsidRPr="004E79BA" w:rsidRDefault="007803E3" w:rsidP="006D6444">
                <w:pPr>
                  <w:spacing w:line="257" w:lineRule="auto"/>
                  <w:ind w:left="-20" w:right="-20"/>
                  <w:jc w:val="both"/>
                  <w:rPr>
                    <w:rFonts w:ascii="Times New Roman" w:hAnsi="Times New Roman"/>
                    <w:sz w:val="16"/>
                    <w:szCs w:val="16"/>
                  </w:rPr>
                </w:pPr>
                <w:r w:rsidRPr="004E79BA">
                  <w:rPr>
                    <w:rFonts w:ascii="Times New Roman" w:eastAsia="Times New Roman" w:hAnsi="Times New Roman"/>
                    <w:sz w:val="16"/>
                    <w:szCs w:val="16"/>
                    <w:lang w:val="es"/>
                  </w:rPr>
                  <w:t>UF1</w:t>
                </w:r>
              </w:p>
            </w:tc>
            <w:tc>
              <w:tcPr>
                <w:tcW w:w="2065" w:type="dxa"/>
                <w:tcBorders>
                  <w:top w:val="single" w:sz="8" w:space="0" w:color="auto"/>
                  <w:left w:val="single" w:sz="8" w:space="0" w:color="auto"/>
                  <w:bottom w:val="single" w:sz="8" w:space="0" w:color="auto"/>
                  <w:right w:val="single" w:sz="8" w:space="0" w:color="auto"/>
                </w:tcBorders>
                <w:tcMar>
                  <w:left w:w="108" w:type="dxa"/>
                  <w:right w:w="108" w:type="dxa"/>
                </w:tcMar>
              </w:tcPr>
              <w:p w14:paraId="45B88117" w14:textId="77777777" w:rsidR="007803E3" w:rsidRPr="004E79BA" w:rsidRDefault="007803E3" w:rsidP="006D6444">
                <w:pPr>
                  <w:spacing w:line="257" w:lineRule="auto"/>
                  <w:ind w:left="-20" w:right="-20"/>
                  <w:jc w:val="both"/>
                  <w:rPr>
                    <w:rFonts w:ascii="Times New Roman" w:hAnsi="Times New Roman"/>
                    <w:sz w:val="16"/>
                    <w:szCs w:val="16"/>
                  </w:rPr>
                </w:pPr>
                <w:r w:rsidRPr="004E79BA">
                  <w:rPr>
                    <w:rFonts w:ascii="Times New Roman" w:eastAsia="Times New Roman" w:hAnsi="Times New Roman"/>
                    <w:sz w:val="16"/>
                    <w:szCs w:val="16"/>
                    <w:lang w:val="es"/>
                  </w:rPr>
                  <w:t>Remedios - Zaragoza</w:t>
                </w:r>
              </w:p>
            </w:tc>
            <w:tc>
              <w:tcPr>
                <w:tcW w:w="2736" w:type="dxa"/>
                <w:tcBorders>
                  <w:top w:val="single" w:sz="8" w:space="0" w:color="auto"/>
                  <w:left w:val="single" w:sz="8" w:space="0" w:color="auto"/>
                  <w:bottom w:val="single" w:sz="8" w:space="0" w:color="auto"/>
                  <w:right w:val="single" w:sz="8" w:space="0" w:color="auto"/>
                </w:tcBorders>
                <w:tcMar>
                  <w:left w:w="108" w:type="dxa"/>
                  <w:right w:w="108" w:type="dxa"/>
                </w:tcMar>
              </w:tcPr>
              <w:p w14:paraId="523D3B7A" w14:textId="77777777" w:rsidR="007803E3" w:rsidRPr="004E79BA" w:rsidRDefault="007803E3" w:rsidP="006D6444">
                <w:pPr>
                  <w:spacing w:line="257" w:lineRule="auto"/>
                  <w:ind w:left="-20" w:right="-20"/>
                  <w:jc w:val="both"/>
                  <w:rPr>
                    <w:rFonts w:ascii="Times New Roman" w:hAnsi="Times New Roman"/>
                    <w:sz w:val="16"/>
                    <w:szCs w:val="16"/>
                  </w:rPr>
                </w:pPr>
                <w:r w:rsidRPr="004E79BA">
                  <w:rPr>
                    <w:rFonts w:ascii="Times New Roman" w:eastAsia="Times New Roman" w:hAnsi="Times New Roman"/>
                    <w:sz w:val="16"/>
                    <w:szCs w:val="16"/>
                    <w:lang w:val="es"/>
                  </w:rPr>
                  <w:t>Construcción</w:t>
                </w:r>
              </w:p>
            </w:tc>
            <w:tc>
              <w:tcPr>
                <w:tcW w:w="13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1F9549" w14:textId="77777777" w:rsidR="007803E3" w:rsidRPr="004E79BA" w:rsidRDefault="007803E3" w:rsidP="006D6444">
                <w:pPr>
                  <w:spacing w:line="257" w:lineRule="auto"/>
                  <w:ind w:left="-20" w:right="-20"/>
                  <w:jc w:val="center"/>
                  <w:rPr>
                    <w:rFonts w:ascii="Times New Roman" w:hAnsi="Times New Roman"/>
                    <w:sz w:val="16"/>
                    <w:szCs w:val="16"/>
                  </w:rPr>
                </w:pPr>
                <w:r w:rsidRPr="004E79BA">
                  <w:rPr>
                    <w:rFonts w:ascii="Times New Roman" w:eastAsia="Times New Roman" w:hAnsi="Times New Roman"/>
                    <w:sz w:val="16"/>
                    <w:szCs w:val="16"/>
                    <w:lang w:val="es"/>
                  </w:rPr>
                  <w:t>58 km</w:t>
                </w:r>
              </w:p>
            </w:tc>
          </w:tr>
          <w:tr w:rsidR="007803E3" w:rsidRPr="004E79BA" w14:paraId="1E9BCDBF" w14:textId="77777777" w:rsidTr="006D6444">
            <w:trPr>
              <w:trHeight w:val="300"/>
              <w:jc w:val="center"/>
            </w:trPr>
            <w:tc>
              <w:tcPr>
                <w:tcW w:w="656" w:type="dxa"/>
                <w:tcBorders>
                  <w:top w:val="single" w:sz="8" w:space="0" w:color="auto"/>
                  <w:left w:val="single" w:sz="8" w:space="0" w:color="auto"/>
                  <w:bottom w:val="single" w:sz="8" w:space="0" w:color="auto"/>
                  <w:right w:val="single" w:sz="8" w:space="0" w:color="auto"/>
                </w:tcBorders>
                <w:tcMar>
                  <w:left w:w="108" w:type="dxa"/>
                  <w:right w:w="108" w:type="dxa"/>
                </w:tcMar>
              </w:tcPr>
              <w:p w14:paraId="2A808B0E" w14:textId="77777777" w:rsidR="007803E3" w:rsidRPr="004E79BA" w:rsidRDefault="007803E3" w:rsidP="006D6444">
                <w:pPr>
                  <w:spacing w:line="257" w:lineRule="auto"/>
                  <w:ind w:left="-20" w:right="-20"/>
                  <w:jc w:val="both"/>
                  <w:rPr>
                    <w:rFonts w:ascii="Times New Roman" w:hAnsi="Times New Roman"/>
                    <w:sz w:val="16"/>
                    <w:szCs w:val="16"/>
                  </w:rPr>
                </w:pPr>
                <w:r w:rsidRPr="004E79BA">
                  <w:rPr>
                    <w:rFonts w:ascii="Times New Roman" w:eastAsia="Times New Roman" w:hAnsi="Times New Roman"/>
                    <w:sz w:val="16"/>
                    <w:szCs w:val="16"/>
                    <w:lang w:val="es"/>
                  </w:rPr>
                  <w:t>UF2</w:t>
                </w:r>
              </w:p>
            </w:tc>
            <w:tc>
              <w:tcPr>
                <w:tcW w:w="2065" w:type="dxa"/>
                <w:tcBorders>
                  <w:top w:val="single" w:sz="8" w:space="0" w:color="auto"/>
                  <w:left w:val="single" w:sz="8" w:space="0" w:color="auto"/>
                  <w:bottom w:val="single" w:sz="8" w:space="0" w:color="auto"/>
                  <w:right w:val="single" w:sz="8" w:space="0" w:color="auto"/>
                </w:tcBorders>
                <w:tcMar>
                  <w:left w:w="108" w:type="dxa"/>
                  <w:right w:w="108" w:type="dxa"/>
                </w:tcMar>
              </w:tcPr>
              <w:p w14:paraId="2063548E" w14:textId="77777777" w:rsidR="007803E3" w:rsidRPr="004E79BA" w:rsidRDefault="007803E3" w:rsidP="006D6444">
                <w:pPr>
                  <w:spacing w:line="257" w:lineRule="auto"/>
                  <w:ind w:left="-20" w:right="-20"/>
                  <w:jc w:val="both"/>
                  <w:rPr>
                    <w:rFonts w:ascii="Times New Roman" w:hAnsi="Times New Roman"/>
                    <w:sz w:val="16"/>
                    <w:szCs w:val="16"/>
                  </w:rPr>
                </w:pPr>
                <w:r w:rsidRPr="004E79BA">
                  <w:rPr>
                    <w:rFonts w:ascii="Times New Roman" w:eastAsia="Times New Roman" w:hAnsi="Times New Roman"/>
                    <w:sz w:val="16"/>
                    <w:szCs w:val="16"/>
                    <w:lang w:val="es"/>
                  </w:rPr>
                  <w:t xml:space="preserve">Zaragoza – Caucasia* </w:t>
                </w:r>
              </w:p>
            </w:tc>
            <w:tc>
              <w:tcPr>
                <w:tcW w:w="2736" w:type="dxa"/>
                <w:tcBorders>
                  <w:top w:val="single" w:sz="8" w:space="0" w:color="auto"/>
                  <w:left w:val="single" w:sz="8" w:space="0" w:color="auto"/>
                  <w:bottom w:val="single" w:sz="8" w:space="0" w:color="auto"/>
                  <w:right w:val="single" w:sz="8" w:space="0" w:color="auto"/>
                </w:tcBorders>
                <w:tcMar>
                  <w:left w:w="108" w:type="dxa"/>
                  <w:right w:w="108" w:type="dxa"/>
                </w:tcMar>
              </w:tcPr>
              <w:p w14:paraId="1DAF9578" w14:textId="77777777" w:rsidR="007803E3" w:rsidRPr="004E79BA" w:rsidRDefault="007803E3" w:rsidP="006D6444">
                <w:pPr>
                  <w:spacing w:line="257" w:lineRule="auto"/>
                  <w:ind w:left="-20" w:right="-20"/>
                  <w:jc w:val="both"/>
                  <w:rPr>
                    <w:rFonts w:ascii="Times New Roman" w:hAnsi="Times New Roman"/>
                    <w:sz w:val="16"/>
                    <w:szCs w:val="16"/>
                  </w:rPr>
                </w:pPr>
                <w:r w:rsidRPr="004E79BA">
                  <w:rPr>
                    <w:rFonts w:ascii="Times New Roman" w:eastAsia="Times New Roman" w:hAnsi="Times New Roman"/>
                    <w:sz w:val="16"/>
                    <w:szCs w:val="16"/>
                    <w:lang w:val="es"/>
                  </w:rPr>
                  <w:t>Mejoramiento y construcción</w:t>
                </w:r>
              </w:p>
            </w:tc>
            <w:tc>
              <w:tcPr>
                <w:tcW w:w="13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05D3D0" w14:textId="77777777" w:rsidR="007803E3" w:rsidRPr="004E79BA" w:rsidRDefault="007803E3" w:rsidP="006D6444">
                <w:pPr>
                  <w:spacing w:line="257" w:lineRule="auto"/>
                  <w:ind w:left="-20" w:right="-20"/>
                  <w:jc w:val="center"/>
                  <w:rPr>
                    <w:rFonts w:ascii="Times New Roman" w:hAnsi="Times New Roman"/>
                    <w:sz w:val="16"/>
                    <w:szCs w:val="16"/>
                  </w:rPr>
                </w:pPr>
                <w:r w:rsidRPr="004E79BA">
                  <w:rPr>
                    <w:rFonts w:ascii="Times New Roman" w:eastAsia="Times New Roman" w:hAnsi="Times New Roman"/>
                    <w:sz w:val="16"/>
                    <w:szCs w:val="16"/>
                    <w:lang w:val="es"/>
                  </w:rPr>
                  <w:t>87 km</w:t>
                </w:r>
              </w:p>
            </w:tc>
          </w:tr>
          <w:tr w:rsidR="007803E3" w:rsidRPr="004E79BA" w14:paraId="36747BD8" w14:textId="77777777" w:rsidTr="006D6444">
            <w:trPr>
              <w:trHeight w:val="75"/>
              <w:jc w:val="center"/>
            </w:trPr>
            <w:tc>
              <w:tcPr>
                <w:tcW w:w="5457"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5A30E38A" w14:textId="77777777" w:rsidR="007803E3" w:rsidRPr="004E79BA" w:rsidRDefault="007803E3" w:rsidP="006D6444">
                <w:pPr>
                  <w:spacing w:line="257" w:lineRule="auto"/>
                  <w:ind w:left="-20" w:right="-20"/>
                  <w:jc w:val="center"/>
                  <w:rPr>
                    <w:rFonts w:ascii="Times New Roman" w:hAnsi="Times New Roman"/>
                    <w:sz w:val="16"/>
                    <w:szCs w:val="16"/>
                  </w:rPr>
                </w:pPr>
                <w:r w:rsidRPr="004E79BA">
                  <w:rPr>
                    <w:rFonts w:ascii="Times New Roman" w:eastAsia="Times New Roman" w:hAnsi="Times New Roman"/>
                    <w:sz w:val="16"/>
                    <w:szCs w:val="16"/>
                    <w:lang w:val="es"/>
                  </w:rPr>
                  <w:t>TOTAL</w:t>
                </w:r>
              </w:p>
            </w:tc>
            <w:tc>
              <w:tcPr>
                <w:tcW w:w="1389" w:type="dxa"/>
                <w:tcBorders>
                  <w:top w:val="single" w:sz="8" w:space="0" w:color="auto"/>
                  <w:left w:val="nil"/>
                  <w:bottom w:val="single" w:sz="8" w:space="0" w:color="auto"/>
                  <w:right w:val="single" w:sz="8" w:space="0" w:color="auto"/>
                </w:tcBorders>
                <w:tcMar>
                  <w:left w:w="108" w:type="dxa"/>
                  <w:right w:w="108" w:type="dxa"/>
                </w:tcMar>
                <w:vAlign w:val="center"/>
              </w:tcPr>
              <w:p w14:paraId="20960618" w14:textId="77777777" w:rsidR="007803E3" w:rsidRPr="004E79BA" w:rsidRDefault="007803E3" w:rsidP="006D6444">
                <w:pPr>
                  <w:spacing w:line="257" w:lineRule="auto"/>
                  <w:ind w:left="-20" w:right="-20"/>
                  <w:jc w:val="center"/>
                  <w:rPr>
                    <w:rFonts w:ascii="Times New Roman" w:hAnsi="Times New Roman"/>
                    <w:sz w:val="16"/>
                    <w:szCs w:val="16"/>
                  </w:rPr>
                </w:pPr>
                <w:r w:rsidRPr="004E79BA">
                  <w:rPr>
                    <w:rFonts w:ascii="Times New Roman" w:eastAsia="Times New Roman" w:hAnsi="Times New Roman"/>
                    <w:sz w:val="16"/>
                    <w:szCs w:val="16"/>
                    <w:lang w:val="es"/>
                  </w:rPr>
                  <w:t>145 km</w:t>
                </w:r>
              </w:p>
            </w:tc>
          </w:tr>
        </w:tbl>
        <w:p w14:paraId="2DBFDEFE" w14:textId="77777777" w:rsidR="007803E3" w:rsidRPr="0020113A" w:rsidRDefault="007803E3" w:rsidP="007803E3">
          <w:pPr>
            <w:spacing w:line="257" w:lineRule="auto"/>
            <w:ind w:left="993" w:right="-20"/>
            <w:jc w:val="both"/>
            <w:rPr>
              <w:rFonts w:ascii="Times New Roman" w:hAnsi="Times New Roman"/>
              <w:sz w:val="24"/>
              <w:szCs w:val="24"/>
            </w:rPr>
          </w:pPr>
          <w:r w:rsidRPr="0020113A">
            <w:rPr>
              <w:rFonts w:ascii="Times New Roman" w:eastAsia="Times New Roman" w:hAnsi="Times New Roman"/>
              <w:sz w:val="24"/>
              <w:szCs w:val="24"/>
              <w:lang w:val="es"/>
            </w:rPr>
            <w:t>*(incluida conexión con grupo 4)</w:t>
          </w:r>
        </w:p>
        <w:p w14:paraId="34DA81BA" w14:textId="77777777" w:rsidR="007803E3" w:rsidRPr="0020113A" w:rsidRDefault="007803E3" w:rsidP="00F449C4">
          <w:pPr>
            <w:spacing w:line="257" w:lineRule="auto"/>
            <w:ind w:right="-20"/>
            <w:jc w:val="both"/>
            <w:rPr>
              <w:rFonts w:ascii="Times New Roman" w:hAnsi="Times New Roman"/>
              <w:sz w:val="24"/>
              <w:szCs w:val="24"/>
            </w:rPr>
          </w:pPr>
          <w:r w:rsidRPr="0020113A">
            <w:rPr>
              <w:rFonts w:ascii="Times New Roman" w:eastAsia="Times New Roman" w:hAnsi="Times New Roman"/>
              <w:sz w:val="24"/>
              <w:szCs w:val="24"/>
              <w:lang w:val="es"/>
            </w:rPr>
            <w:lastRenderedPageBreak/>
            <w:t xml:space="preserve">De conformidad con lo establecido en el Apéndice Técnico 2 – </w:t>
          </w:r>
          <w:r w:rsidRPr="0020113A">
            <w:rPr>
              <w:rFonts w:ascii="Times New Roman" w:eastAsia="Times New Roman" w:hAnsi="Times New Roman"/>
              <w:i/>
              <w:sz w:val="24"/>
              <w:szCs w:val="24"/>
              <w:lang w:val="es"/>
            </w:rPr>
            <w:t xml:space="preserve">Operación y Mantenimiento </w:t>
          </w:r>
          <w:r w:rsidRPr="0020113A">
            <w:rPr>
              <w:rFonts w:ascii="Times New Roman" w:eastAsia="Times New Roman" w:hAnsi="Times New Roman"/>
              <w:sz w:val="24"/>
              <w:szCs w:val="24"/>
              <w:lang w:val="es"/>
            </w:rPr>
            <w:t>del Contrato de Concesión, los servicios que presta el Concesionario son los siguientes:</w:t>
          </w:r>
        </w:p>
        <w:p w14:paraId="3DAF930A" w14:textId="77777777" w:rsidR="007803E3" w:rsidRPr="0020113A" w:rsidRDefault="007803E3" w:rsidP="00F449C4">
          <w:pPr>
            <w:spacing w:line="257" w:lineRule="auto"/>
            <w:ind w:right="-20"/>
            <w:rPr>
              <w:rFonts w:ascii="Times New Roman" w:hAnsi="Times New Roman"/>
              <w:sz w:val="24"/>
              <w:szCs w:val="24"/>
            </w:rPr>
          </w:pPr>
          <w:r w:rsidRPr="0020113A">
            <w:rPr>
              <w:rFonts w:ascii="Times New Roman" w:eastAsia="Times New Roman" w:hAnsi="Times New Roman"/>
              <w:sz w:val="24"/>
              <w:szCs w:val="24"/>
              <w:lang w:val="es"/>
            </w:rPr>
            <w:t xml:space="preserve"> “</w:t>
          </w:r>
          <w:r w:rsidRPr="0020113A">
            <w:rPr>
              <w:rFonts w:ascii="Times New Roman" w:eastAsia="Times New Roman" w:hAnsi="Times New Roman"/>
              <w:i/>
              <w:sz w:val="24"/>
              <w:szCs w:val="24"/>
              <w:lang w:val="es"/>
            </w:rPr>
            <w:t xml:space="preserve">Los servicios a cargo del Concesionario se dividen en dos (2) categorías: </w:t>
          </w:r>
        </w:p>
        <w:p w14:paraId="13A8B1A4" w14:textId="77777777" w:rsidR="007803E3" w:rsidRPr="0020113A" w:rsidRDefault="007803E3" w:rsidP="00F449C4">
          <w:pPr>
            <w:spacing w:line="257" w:lineRule="auto"/>
            <w:ind w:right="-20"/>
            <w:jc w:val="both"/>
            <w:rPr>
              <w:rFonts w:ascii="Times New Roman" w:eastAsia="Times New Roman" w:hAnsi="Times New Roman"/>
              <w:i/>
              <w:sz w:val="24"/>
              <w:szCs w:val="24"/>
              <w:lang w:val="es"/>
            </w:rPr>
          </w:pPr>
          <w:r w:rsidRPr="0020113A">
            <w:rPr>
              <w:rFonts w:ascii="Times New Roman" w:eastAsia="Times New Roman" w:hAnsi="Times New Roman"/>
              <w:i/>
              <w:sz w:val="24"/>
              <w:szCs w:val="24"/>
              <w:lang w:val="es"/>
            </w:rPr>
            <w:t xml:space="preserve"> Aquellos de carácter obligatorio, por los cuales no puede cobrar en ningún caso cargo alguno a los usuarios del servicio diferente del peaje establecido en la Resolución 0000645 del 18 Marzo de 2014. Estos servicios serán prestados a costo y riesgo del Concesionario y serán remunerados enteramente mediante la Retribución prevista en el Contrato, sin considerar Ingresos Comerciales.</w:t>
          </w:r>
        </w:p>
        <w:p w14:paraId="49B38D3C" w14:textId="77777777" w:rsidR="007803E3" w:rsidRPr="0020113A" w:rsidRDefault="007803E3" w:rsidP="00E60BAB">
          <w:pPr>
            <w:pStyle w:val="Prrafodelista"/>
            <w:numPr>
              <w:ilvl w:val="0"/>
              <w:numId w:val="81"/>
            </w:numPr>
            <w:spacing w:after="0" w:line="259" w:lineRule="auto"/>
            <w:jc w:val="both"/>
            <w:rPr>
              <w:rFonts w:ascii="Times New Roman" w:eastAsia="Times New Roman" w:hAnsi="Times New Roman"/>
              <w:i/>
              <w:sz w:val="24"/>
              <w:szCs w:val="24"/>
              <w:lang w:val="es"/>
            </w:rPr>
          </w:pPr>
          <w:r w:rsidRPr="0020113A">
            <w:rPr>
              <w:rFonts w:ascii="Times New Roman" w:eastAsia="Times New Roman" w:hAnsi="Times New Roman"/>
              <w:i/>
              <w:sz w:val="24"/>
              <w:szCs w:val="24"/>
              <w:lang w:val="es"/>
            </w:rPr>
            <w:t>Los Servicios Adicionales, los cuales no son de carácter obligatorio y que pueden ser cobrados a los usuarios del servicio, generando Ingresos Comerciales que formarán parte de la Retribución del Concesionario. Forman parte de los Servicios Adicionales, entre otros, la venta de publicidad, la explotación comercial de las Áreas de Servicio mediante actividades tales como la venta de combustibles, alimentos, restaurante, hostelería o mediante la celebración de contratos con terceros para la explotación de dichas áreas.”</w:t>
          </w:r>
        </w:p>
        <w:p w14:paraId="083E1A88" w14:textId="77777777" w:rsidR="007803E3" w:rsidRPr="0020113A" w:rsidRDefault="007803E3" w:rsidP="007803E3">
          <w:pPr>
            <w:pStyle w:val="Prrafodelista"/>
            <w:spacing w:after="0"/>
            <w:jc w:val="both"/>
            <w:rPr>
              <w:rFonts w:ascii="Times New Roman" w:eastAsia="Times New Roman" w:hAnsi="Times New Roman"/>
              <w:i/>
              <w:sz w:val="24"/>
              <w:szCs w:val="24"/>
              <w:lang w:val="es"/>
            </w:rPr>
          </w:pPr>
        </w:p>
        <w:p w14:paraId="518C7DD1" w14:textId="77777777" w:rsidR="007803E3" w:rsidRPr="0020113A" w:rsidRDefault="007803E3" w:rsidP="007803E3">
          <w:pPr>
            <w:ind w:right="-20"/>
            <w:jc w:val="both"/>
            <w:rPr>
              <w:rFonts w:ascii="Times New Roman" w:hAnsi="Times New Roman"/>
              <w:sz w:val="24"/>
              <w:szCs w:val="24"/>
            </w:rPr>
          </w:pPr>
          <w:r w:rsidRPr="0020113A">
            <w:rPr>
              <w:rFonts w:ascii="Times New Roman" w:eastAsia="Times New Roman" w:hAnsi="Times New Roman"/>
              <w:sz w:val="24"/>
              <w:szCs w:val="24"/>
              <w:lang w:val="es"/>
            </w:rPr>
            <w:t xml:space="preserve">Los Servicios de Carácter Obligatorio son: </w:t>
          </w:r>
        </w:p>
        <w:p w14:paraId="15C38D6D" w14:textId="77777777" w:rsidR="007803E3" w:rsidRPr="0020113A" w:rsidRDefault="007803E3" w:rsidP="00E60BAB">
          <w:pPr>
            <w:pStyle w:val="Prrafodelista"/>
            <w:numPr>
              <w:ilvl w:val="0"/>
              <w:numId w:val="80"/>
            </w:numPr>
            <w:spacing w:after="0" w:line="259" w:lineRule="auto"/>
            <w:jc w:val="both"/>
            <w:rPr>
              <w:rFonts w:ascii="Times New Roman" w:eastAsia="Times New Roman" w:hAnsi="Times New Roman"/>
              <w:i/>
              <w:sz w:val="24"/>
              <w:szCs w:val="24"/>
              <w:lang w:val="es"/>
            </w:rPr>
          </w:pPr>
          <w:r w:rsidRPr="0020113A">
            <w:rPr>
              <w:rFonts w:ascii="Times New Roman" w:eastAsia="Times New Roman" w:hAnsi="Times New Roman"/>
              <w:sz w:val="24"/>
              <w:szCs w:val="24"/>
              <w:lang w:val="es"/>
            </w:rPr>
            <w:t>“</w:t>
          </w:r>
          <w:r w:rsidRPr="0020113A">
            <w:rPr>
              <w:rFonts w:ascii="Times New Roman" w:eastAsia="Times New Roman" w:hAnsi="Times New Roman"/>
              <w:i/>
              <w:sz w:val="24"/>
              <w:szCs w:val="24"/>
              <w:lang w:val="es"/>
            </w:rPr>
            <w:t>Mantenimiento rutinario y periódico de los pavimentos de la(s) vía(s) objeto de la concesión;</w:t>
          </w:r>
        </w:p>
        <w:p w14:paraId="0A15418D" w14:textId="77777777" w:rsidR="007803E3" w:rsidRPr="0020113A" w:rsidRDefault="007803E3" w:rsidP="00E60BAB">
          <w:pPr>
            <w:pStyle w:val="Prrafodelista"/>
            <w:numPr>
              <w:ilvl w:val="0"/>
              <w:numId w:val="80"/>
            </w:numPr>
            <w:spacing w:after="0" w:line="259" w:lineRule="auto"/>
            <w:jc w:val="both"/>
            <w:rPr>
              <w:rFonts w:ascii="Times New Roman" w:eastAsia="Times New Roman" w:hAnsi="Times New Roman"/>
              <w:i/>
              <w:sz w:val="24"/>
              <w:szCs w:val="24"/>
              <w:lang w:val="es"/>
            </w:rPr>
          </w:pPr>
          <w:r w:rsidRPr="0020113A">
            <w:rPr>
              <w:rFonts w:ascii="Times New Roman" w:eastAsia="Times New Roman" w:hAnsi="Times New Roman"/>
              <w:i/>
              <w:sz w:val="24"/>
              <w:szCs w:val="24"/>
              <w:lang w:val="es"/>
            </w:rPr>
            <w:t>Mantenimiento de la zona de vía, libre de obstáculos, ramas, troncos, arbustos, piedras, animales muertos y demás objetos que impiden la visibilidad, tránsito y drenaje de la vía.</w:t>
          </w:r>
        </w:p>
        <w:p w14:paraId="6C80857A" w14:textId="77777777" w:rsidR="007803E3" w:rsidRPr="0020113A" w:rsidRDefault="007803E3" w:rsidP="00E60BAB">
          <w:pPr>
            <w:pStyle w:val="Prrafodelista"/>
            <w:numPr>
              <w:ilvl w:val="0"/>
              <w:numId w:val="80"/>
            </w:numPr>
            <w:spacing w:after="0" w:line="259" w:lineRule="auto"/>
            <w:jc w:val="both"/>
            <w:rPr>
              <w:rFonts w:ascii="Times New Roman" w:eastAsia="Times New Roman" w:hAnsi="Times New Roman"/>
              <w:i/>
              <w:sz w:val="24"/>
              <w:szCs w:val="24"/>
              <w:lang w:val="es"/>
            </w:rPr>
          </w:pPr>
          <w:r w:rsidRPr="0020113A">
            <w:rPr>
              <w:rFonts w:ascii="Times New Roman" w:eastAsia="Times New Roman" w:hAnsi="Times New Roman"/>
              <w:i/>
              <w:sz w:val="24"/>
              <w:szCs w:val="24"/>
              <w:lang w:val="es"/>
            </w:rPr>
            <w:t>Atención de emergencias como derrumbes o inundaciones que afecten la normal circulación por las vías.</w:t>
          </w:r>
        </w:p>
        <w:p w14:paraId="198D8F8F" w14:textId="77777777" w:rsidR="007803E3" w:rsidRPr="0020113A" w:rsidRDefault="007803E3" w:rsidP="00E60BAB">
          <w:pPr>
            <w:pStyle w:val="Prrafodelista"/>
            <w:numPr>
              <w:ilvl w:val="0"/>
              <w:numId w:val="80"/>
            </w:numPr>
            <w:spacing w:after="0" w:line="259" w:lineRule="auto"/>
            <w:jc w:val="both"/>
            <w:rPr>
              <w:rFonts w:ascii="Times New Roman" w:eastAsia="Times New Roman" w:hAnsi="Times New Roman"/>
              <w:i/>
              <w:sz w:val="24"/>
              <w:szCs w:val="24"/>
              <w:lang w:val="es"/>
            </w:rPr>
          </w:pPr>
          <w:r w:rsidRPr="0020113A">
            <w:rPr>
              <w:rFonts w:ascii="Times New Roman" w:eastAsia="Times New Roman" w:hAnsi="Times New Roman"/>
              <w:i/>
              <w:sz w:val="24"/>
              <w:szCs w:val="24"/>
              <w:lang w:val="es"/>
            </w:rPr>
            <w:t>Mantenimiento de obras hidráulicas, puentes, pontones y obras de contención,</w:t>
          </w:r>
        </w:p>
        <w:p w14:paraId="66C92CB3" w14:textId="77777777" w:rsidR="007803E3" w:rsidRPr="0020113A" w:rsidRDefault="007803E3" w:rsidP="00E60BAB">
          <w:pPr>
            <w:pStyle w:val="Prrafodelista"/>
            <w:numPr>
              <w:ilvl w:val="0"/>
              <w:numId w:val="80"/>
            </w:numPr>
            <w:spacing w:after="0" w:line="259" w:lineRule="auto"/>
            <w:jc w:val="both"/>
            <w:rPr>
              <w:rFonts w:ascii="Times New Roman" w:eastAsia="Times New Roman" w:hAnsi="Times New Roman"/>
              <w:i/>
              <w:sz w:val="24"/>
              <w:szCs w:val="24"/>
              <w:lang w:val="es"/>
            </w:rPr>
          </w:pPr>
          <w:r w:rsidRPr="0020113A">
            <w:rPr>
              <w:rFonts w:ascii="Times New Roman" w:eastAsia="Times New Roman" w:hAnsi="Times New Roman"/>
              <w:i/>
              <w:sz w:val="24"/>
              <w:szCs w:val="24"/>
              <w:lang w:val="es"/>
            </w:rPr>
            <w:t>Mantenimiento señalización.</w:t>
          </w:r>
        </w:p>
        <w:p w14:paraId="4EC4C15E" w14:textId="77777777" w:rsidR="007803E3" w:rsidRPr="0020113A" w:rsidRDefault="007803E3" w:rsidP="00E60BAB">
          <w:pPr>
            <w:pStyle w:val="Prrafodelista"/>
            <w:numPr>
              <w:ilvl w:val="0"/>
              <w:numId w:val="80"/>
            </w:numPr>
            <w:spacing w:after="0" w:line="259" w:lineRule="auto"/>
            <w:jc w:val="both"/>
            <w:rPr>
              <w:rFonts w:ascii="Times New Roman" w:eastAsia="Times New Roman" w:hAnsi="Times New Roman"/>
              <w:i/>
              <w:sz w:val="24"/>
              <w:szCs w:val="24"/>
              <w:lang w:val="es"/>
            </w:rPr>
          </w:pPr>
          <w:r w:rsidRPr="0020113A">
            <w:rPr>
              <w:rFonts w:ascii="Times New Roman" w:eastAsia="Times New Roman" w:hAnsi="Times New Roman"/>
              <w:i/>
              <w:sz w:val="24"/>
              <w:szCs w:val="24"/>
              <w:lang w:val="es"/>
            </w:rPr>
            <w:t>Mantenimiento de obras de infraestructuras construidas para la Operación de la concesión (peajes, áreas de servicio, estación de pesaje, etc.).</w:t>
          </w:r>
        </w:p>
        <w:p w14:paraId="6D3B1407" w14:textId="77777777" w:rsidR="007803E3" w:rsidRPr="0020113A" w:rsidRDefault="007803E3" w:rsidP="00E60BAB">
          <w:pPr>
            <w:pStyle w:val="Prrafodelista"/>
            <w:numPr>
              <w:ilvl w:val="0"/>
              <w:numId w:val="80"/>
            </w:numPr>
            <w:spacing w:after="0" w:line="259" w:lineRule="auto"/>
            <w:jc w:val="both"/>
            <w:rPr>
              <w:rFonts w:ascii="Times New Roman" w:eastAsia="Times New Roman" w:hAnsi="Times New Roman"/>
              <w:i/>
              <w:sz w:val="24"/>
              <w:szCs w:val="24"/>
              <w:lang w:val="es"/>
            </w:rPr>
          </w:pPr>
          <w:r w:rsidRPr="0020113A">
            <w:rPr>
              <w:rFonts w:ascii="Times New Roman" w:eastAsia="Times New Roman" w:hAnsi="Times New Roman"/>
              <w:i/>
              <w:sz w:val="24"/>
              <w:szCs w:val="24"/>
              <w:lang w:val="es"/>
            </w:rPr>
            <w:t>Operación de las Estaciones de Peaje;</w:t>
          </w:r>
        </w:p>
        <w:p w14:paraId="0E7C4B6E" w14:textId="77777777" w:rsidR="007803E3" w:rsidRPr="0020113A" w:rsidRDefault="007803E3" w:rsidP="00E60BAB">
          <w:pPr>
            <w:pStyle w:val="Prrafodelista"/>
            <w:numPr>
              <w:ilvl w:val="0"/>
              <w:numId w:val="80"/>
            </w:numPr>
            <w:spacing w:after="0" w:line="259" w:lineRule="auto"/>
            <w:jc w:val="both"/>
            <w:rPr>
              <w:rFonts w:ascii="Times New Roman" w:eastAsia="Times New Roman" w:hAnsi="Times New Roman"/>
              <w:i/>
              <w:sz w:val="24"/>
              <w:szCs w:val="24"/>
              <w:lang w:val="es"/>
            </w:rPr>
          </w:pPr>
          <w:r w:rsidRPr="0020113A">
            <w:rPr>
              <w:rFonts w:ascii="Times New Roman" w:eastAsia="Times New Roman" w:hAnsi="Times New Roman"/>
              <w:i/>
              <w:sz w:val="24"/>
              <w:szCs w:val="24"/>
              <w:lang w:val="es"/>
            </w:rPr>
            <w:t xml:space="preserve">Cercado de los Predios que se encuentran en el Corredor del Proyecto y Mantenimiento del cercado durante el término de la Concesión. </w:t>
          </w:r>
        </w:p>
        <w:p w14:paraId="51666A3D" w14:textId="77777777" w:rsidR="007803E3" w:rsidRPr="0020113A" w:rsidRDefault="007803E3" w:rsidP="00E60BAB">
          <w:pPr>
            <w:pStyle w:val="Prrafodelista"/>
            <w:numPr>
              <w:ilvl w:val="0"/>
              <w:numId w:val="80"/>
            </w:numPr>
            <w:spacing w:after="0" w:line="259" w:lineRule="auto"/>
            <w:jc w:val="both"/>
            <w:rPr>
              <w:rFonts w:ascii="Times New Roman" w:eastAsia="Times New Roman" w:hAnsi="Times New Roman"/>
              <w:i/>
              <w:sz w:val="24"/>
              <w:szCs w:val="24"/>
              <w:lang w:val="es"/>
            </w:rPr>
          </w:pPr>
          <w:r w:rsidRPr="0020113A">
            <w:rPr>
              <w:rFonts w:ascii="Times New Roman" w:eastAsia="Times New Roman" w:hAnsi="Times New Roman"/>
              <w:i/>
              <w:sz w:val="24"/>
              <w:szCs w:val="24"/>
              <w:lang w:val="es"/>
            </w:rPr>
            <w:t>Operación, seguimiento y control del tránsito;</w:t>
          </w:r>
        </w:p>
        <w:p w14:paraId="6106979A" w14:textId="77777777" w:rsidR="007803E3" w:rsidRPr="0020113A" w:rsidRDefault="007803E3" w:rsidP="00E60BAB">
          <w:pPr>
            <w:pStyle w:val="Prrafodelista"/>
            <w:numPr>
              <w:ilvl w:val="0"/>
              <w:numId w:val="80"/>
            </w:numPr>
            <w:spacing w:after="0" w:line="259" w:lineRule="auto"/>
            <w:jc w:val="both"/>
            <w:rPr>
              <w:rFonts w:ascii="Times New Roman" w:eastAsia="Times New Roman" w:hAnsi="Times New Roman"/>
              <w:i/>
              <w:sz w:val="24"/>
              <w:szCs w:val="24"/>
              <w:lang w:val="es"/>
            </w:rPr>
          </w:pPr>
          <w:r w:rsidRPr="0020113A">
            <w:rPr>
              <w:rFonts w:ascii="Times New Roman" w:eastAsia="Times New Roman" w:hAnsi="Times New Roman"/>
              <w:i/>
              <w:sz w:val="24"/>
              <w:szCs w:val="24"/>
              <w:lang w:val="es"/>
            </w:rPr>
            <w:t xml:space="preserve">Atención de accidentes. </w:t>
          </w:r>
        </w:p>
        <w:p w14:paraId="54F2C8EF" w14:textId="77777777" w:rsidR="007803E3" w:rsidRPr="0020113A" w:rsidRDefault="007803E3" w:rsidP="00E60BAB">
          <w:pPr>
            <w:pStyle w:val="Prrafodelista"/>
            <w:numPr>
              <w:ilvl w:val="0"/>
              <w:numId w:val="80"/>
            </w:numPr>
            <w:spacing w:after="0" w:line="259" w:lineRule="auto"/>
            <w:jc w:val="both"/>
            <w:rPr>
              <w:rFonts w:ascii="Times New Roman" w:eastAsia="Times New Roman" w:hAnsi="Times New Roman"/>
              <w:i/>
              <w:sz w:val="24"/>
              <w:szCs w:val="24"/>
              <w:lang w:val="es"/>
            </w:rPr>
          </w:pPr>
          <w:r w:rsidRPr="0020113A">
            <w:rPr>
              <w:rFonts w:ascii="Times New Roman" w:eastAsia="Times New Roman" w:hAnsi="Times New Roman"/>
              <w:i/>
              <w:sz w:val="24"/>
              <w:szCs w:val="24"/>
              <w:lang w:val="es"/>
            </w:rPr>
            <w:t>Primeros auxilios a personas;</w:t>
          </w:r>
        </w:p>
        <w:p w14:paraId="01135870" w14:textId="77777777" w:rsidR="007803E3" w:rsidRPr="0020113A" w:rsidRDefault="007803E3" w:rsidP="00E60BAB">
          <w:pPr>
            <w:pStyle w:val="Prrafodelista"/>
            <w:numPr>
              <w:ilvl w:val="0"/>
              <w:numId w:val="80"/>
            </w:numPr>
            <w:spacing w:after="0" w:line="259" w:lineRule="auto"/>
            <w:jc w:val="both"/>
            <w:rPr>
              <w:rFonts w:ascii="Times New Roman" w:eastAsia="Times New Roman" w:hAnsi="Times New Roman"/>
              <w:i/>
              <w:sz w:val="24"/>
              <w:szCs w:val="24"/>
              <w:lang w:val="es"/>
            </w:rPr>
          </w:pPr>
          <w:r w:rsidRPr="0020113A">
            <w:rPr>
              <w:rFonts w:ascii="Times New Roman" w:eastAsia="Times New Roman" w:hAnsi="Times New Roman"/>
              <w:i/>
              <w:sz w:val="24"/>
              <w:szCs w:val="24"/>
              <w:lang w:val="es"/>
            </w:rPr>
            <w:t>Auxilio mecánico básico a vehículos;</w:t>
          </w:r>
        </w:p>
        <w:p w14:paraId="5E346B78" w14:textId="77777777" w:rsidR="007803E3" w:rsidRPr="0020113A" w:rsidRDefault="007803E3" w:rsidP="00E60BAB">
          <w:pPr>
            <w:pStyle w:val="Prrafodelista"/>
            <w:numPr>
              <w:ilvl w:val="0"/>
              <w:numId w:val="80"/>
            </w:numPr>
            <w:spacing w:after="0" w:line="259" w:lineRule="auto"/>
            <w:jc w:val="both"/>
            <w:rPr>
              <w:rFonts w:ascii="Times New Roman" w:eastAsia="Times New Roman" w:hAnsi="Times New Roman"/>
              <w:i/>
              <w:sz w:val="24"/>
              <w:szCs w:val="24"/>
              <w:lang w:val="es"/>
            </w:rPr>
          </w:pPr>
          <w:r w:rsidRPr="0020113A">
            <w:rPr>
              <w:rFonts w:ascii="Times New Roman" w:eastAsia="Times New Roman" w:hAnsi="Times New Roman"/>
              <w:i/>
              <w:sz w:val="24"/>
              <w:szCs w:val="24"/>
              <w:lang w:val="es"/>
            </w:rPr>
            <w:t>Manejo y control ambiental;</w:t>
          </w:r>
        </w:p>
        <w:p w14:paraId="1C0BCFEF" w14:textId="77777777" w:rsidR="007803E3" w:rsidRPr="0020113A" w:rsidRDefault="007803E3" w:rsidP="00E60BAB">
          <w:pPr>
            <w:pStyle w:val="Prrafodelista"/>
            <w:numPr>
              <w:ilvl w:val="0"/>
              <w:numId w:val="80"/>
            </w:numPr>
            <w:spacing w:after="0" w:line="259" w:lineRule="auto"/>
            <w:jc w:val="both"/>
            <w:rPr>
              <w:rFonts w:ascii="Times New Roman" w:eastAsia="Times New Roman" w:hAnsi="Times New Roman"/>
              <w:i/>
              <w:sz w:val="24"/>
              <w:szCs w:val="24"/>
              <w:lang w:val="es"/>
            </w:rPr>
          </w:pPr>
          <w:r w:rsidRPr="0020113A">
            <w:rPr>
              <w:rFonts w:ascii="Times New Roman" w:eastAsia="Times New Roman" w:hAnsi="Times New Roman"/>
              <w:i/>
              <w:sz w:val="24"/>
              <w:szCs w:val="24"/>
              <w:lang w:val="es"/>
            </w:rPr>
            <w:t xml:space="preserve">Áreas de Servicio. Será obligatoria la existencia de un número de Áreas de Servicio según se define en el Apéndice Técnico 1, a las cuales podrán acceder cualquier vehículo que circulen en la vía, sin que exista un cargo por el acceso a éstas. Lo anterior, sin perjuicio del derecho que le asiste al Concesionario de explotar </w:t>
          </w:r>
          <w:r w:rsidRPr="0020113A">
            <w:rPr>
              <w:rFonts w:ascii="Times New Roman" w:eastAsia="Times New Roman" w:hAnsi="Times New Roman"/>
              <w:i/>
              <w:sz w:val="24"/>
              <w:szCs w:val="24"/>
              <w:lang w:val="es"/>
            </w:rPr>
            <w:lastRenderedPageBreak/>
            <w:t xml:space="preserve">comercialmente dichas Áreas de Servicio mediante la prestación de Servicios Adicionales; </w:t>
          </w:r>
        </w:p>
        <w:p w14:paraId="0C34D400" w14:textId="77777777" w:rsidR="007803E3" w:rsidRPr="0020113A" w:rsidRDefault="007803E3" w:rsidP="00E60BAB">
          <w:pPr>
            <w:pStyle w:val="Prrafodelista"/>
            <w:numPr>
              <w:ilvl w:val="0"/>
              <w:numId w:val="80"/>
            </w:numPr>
            <w:spacing w:after="0" w:line="259" w:lineRule="auto"/>
            <w:jc w:val="both"/>
            <w:rPr>
              <w:rFonts w:ascii="Times New Roman" w:eastAsia="Times New Roman" w:hAnsi="Times New Roman"/>
              <w:i/>
              <w:sz w:val="24"/>
              <w:szCs w:val="24"/>
              <w:lang w:val="es"/>
            </w:rPr>
          </w:pPr>
          <w:r w:rsidRPr="0020113A">
            <w:rPr>
              <w:rFonts w:ascii="Times New Roman" w:eastAsia="Times New Roman" w:hAnsi="Times New Roman"/>
              <w:i/>
              <w:sz w:val="24"/>
              <w:szCs w:val="24"/>
              <w:lang w:val="es"/>
            </w:rPr>
            <w:t>Pago de Peaje con tarjeta o telepeaje, sin perjuicio de lo previsto en la Sección 3.3.4.3 de este mismo Apéndice.</w:t>
          </w:r>
        </w:p>
        <w:p w14:paraId="61B5C51C" w14:textId="77777777" w:rsidR="007803E3" w:rsidRPr="0020113A" w:rsidRDefault="007803E3" w:rsidP="00E60BAB">
          <w:pPr>
            <w:pStyle w:val="Prrafodelista"/>
            <w:numPr>
              <w:ilvl w:val="0"/>
              <w:numId w:val="80"/>
            </w:numPr>
            <w:spacing w:after="0" w:line="259" w:lineRule="auto"/>
            <w:jc w:val="both"/>
            <w:rPr>
              <w:rFonts w:ascii="Times New Roman" w:eastAsia="Times New Roman" w:hAnsi="Times New Roman"/>
              <w:i/>
              <w:sz w:val="24"/>
              <w:szCs w:val="24"/>
              <w:lang w:val="es"/>
            </w:rPr>
          </w:pPr>
          <w:r w:rsidRPr="0020113A">
            <w:rPr>
              <w:rFonts w:ascii="Times New Roman" w:eastAsia="Times New Roman" w:hAnsi="Times New Roman"/>
              <w:i/>
              <w:sz w:val="24"/>
              <w:szCs w:val="24"/>
              <w:lang w:val="es"/>
            </w:rPr>
            <w:t>Control del peso de vehículos de carga (Estaciones de Pesaje);</w:t>
          </w:r>
        </w:p>
        <w:p w14:paraId="1557BD75" w14:textId="77777777" w:rsidR="007803E3" w:rsidRPr="0020113A" w:rsidRDefault="007803E3" w:rsidP="00E60BAB">
          <w:pPr>
            <w:pStyle w:val="Prrafodelista"/>
            <w:numPr>
              <w:ilvl w:val="0"/>
              <w:numId w:val="80"/>
            </w:numPr>
            <w:spacing w:after="0" w:line="259" w:lineRule="auto"/>
            <w:jc w:val="both"/>
            <w:rPr>
              <w:rFonts w:ascii="Times New Roman" w:eastAsia="Times New Roman" w:hAnsi="Times New Roman"/>
              <w:i/>
              <w:sz w:val="24"/>
              <w:szCs w:val="24"/>
              <w:lang w:val="es"/>
            </w:rPr>
          </w:pPr>
          <w:r w:rsidRPr="0020113A">
            <w:rPr>
              <w:rFonts w:ascii="Times New Roman" w:eastAsia="Times New Roman" w:hAnsi="Times New Roman"/>
              <w:i/>
              <w:sz w:val="24"/>
              <w:szCs w:val="24"/>
              <w:lang w:val="es"/>
            </w:rPr>
            <w:t>Vigilancia de las instalaciones de las Estaciones de Peaje;</w:t>
          </w:r>
        </w:p>
        <w:p w14:paraId="620BF5C3" w14:textId="77777777" w:rsidR="007803E3" w:rsidRPr="0020113A" w:rsidRDefault="007803E3" w:rsidP="00E60BAB">
          <w:pPr>
            <w:pStyle w:val="Prrafodelista"/>
            <w:numPr>
              <w:ilvl w:val="0"/>
              <w:numId w:val="80"/>
            </w:numPr>
            <w:spacing w:after="0" w:line="259" w:lineRule="auto"/>
            <w:jc w:val="both"/>
            <w:rPr>
              <w:rFonts w:ascii="Times New Roman" w:eastAsia="Times New Roman" w:hAnsi="Times New Roman"/>
              <w:i/>
              <w:sz w:val="24"/>
              <w:szCs w:val="24"/>
              <w:lang w:val="es"/>
            </w:rPr>
          </w:pPr>
          <w:r w:rsidRPr="0020113A">
            <w:rPr>
              <w:rFonts w:ascii="Times New Roman" w:eastAsia="Times New Roman" w:hAnsi="Times New Roman"/>
              <w:i/>
              <w:sz w:val="24"/>
              <w:szCs w:val="24"/>
              <w:lang w:val="es"/>
            </w:rPr>
            <w:t>Comunicaciones con el Centro de Control de Operación;</w:t>
          </w:r>
        </w:p>
        <w:p w14:paraId="7FE025E2" w14:textId="77777777" w:rsidR="007803E3" w:rsidRPr="0020113A" w:rsidRDefault="007803E3" w:rsidP="00E60BAB">
          <w:pPr>
            <w:pStyle w:val="Prrafodelista"/>
            <w:numPr>
              <w:ilvl w:val="0"/>
              <w:numId w:val="80"/>
            </w:numPr>
            <w:spacing w:after="0" w:line="259" w:lineRule="auto"/>
            <w:jc w:val="both"/>
            <w:rPr>
              <w:rFonts w:ascii="Times New Roman" w:eastAsia="Times New Roman" w:hAnsi="Times New Roman"/>
              <w:i/>
              <w:sz w:val="24"/>
              <w:szCs w:val="24"/>
              <w:lang w:val="es"/>
            </w:rPr>
          </w:pPr>
          <w:r w:rsidRPr="0020113A">
            <w:rPr>
              <w:rFonts w:ascii="Times New Roman" w:eastAsia="Times New Roman" w:hAnsi="Times New Roman"/>
              <w:i/>
              <w:sz w:val="24"/>
              <w:szCs w:val="24"/>
              <w:lang w:val="es"/>
            </w:rPr>
            <w:t>Paraderos para el servicio de transporte público;</w:t>
          </w:r>
        </w:p>
        <w:p w14:paraId="551A4C75" w14:textId="77777777" w:rsidR="007803E3" w:rsidRPr="0020113A" w:rsidRDefault="007803E3" w:rsidP="00E60BAB">
          <w:pPr>
            <w:pStyle w:val="Prrafodelista"/>
            <w:numPr>
              <w:ilvl w:val="0"/>
              <w:numId w:val="80"/>
            </w:numPr>
            <w:spacing w:after="0" w:line="259" w:lineRule="auto"/>
            <w:jc w:val="both"/>
            <w:rPr>
              <w:rFonts w:ascii="Times New Roman" w:eastAsia="Times New Roman" w:hAnsi="Times New Roman"/>
              <w:i/>
              <w:sz w:val="24"/>
              <w:szCs w:val="24"/>
              <w:lang w:val="es"/>
            </w:rPr>
          </w:pPr>
          <w:r w:rsidRPr="0020113A">
            <w:rPr>
              <w:rFonts w:ascii="Times New Roman" w:eastAsia="Times New Roman" w:hAnsi="Times New Roman"/>
              <w:i/>
              <w:sz w:val="24"/>
              <w:szCs w:val="24"/>
              <w:lang w:val="es"/>
            </w:rPr>
            <w:t>Grúas;</w:t>
          </w:r>
        </w:p>
        <w:p w14:paraId="6CF3F9FF" w14:textId="77777777" w:rsidR="007803E3" w:rsidRPr="0020113A" w:rsidRDefault="007803E3" w:rsidP="00E60BAB">
          <w:pPr>
            <w:pStyle w:val="Prrafodelista"/>
            <w:numPr>
              <w:ilvl w:val="0"/>
              <w:numId w:val="80"/>
            </w:numPr>
            <w:spacing w:after="0" w:line="259" w:lineRule="auto"/>
            <w:jc w:val="both"/>
            <w:rPr>
              <w:rFonts w:ascii="Times New Roman" w:eastAsia="Times New Roman" w:hAnsi="Times New Roman"/>
              <w:i/>
              <w:sz w:val="24"/>
              <w:szCs w:val="24"/>
              <w:lang w:val="es"/>
            </w:rPr>
          </w:pPr>
          <w:r w:rsidRPr="0020113A">
            <w:rPr>
              <w:rFonts w:ascii="Times New Roman" w:eastAsia="Times New Roman" w:hAnsi="Times New Roman"/>
              <w:i/>
              <w:sz w:val="24"/>
              <w:szCs w:val="24"/>
              <w:lang w:val="es"/>
            </w:rPr>
            <w:t xml:space="preserve">Carrotalleres; </w:t>
          </w:r>
        </w:p>
        <w:p w14:paraId="66CA8F24" w14:textId="77777777" w:rsidR="007803E3" w:rsidRPr="0020113A" w:rsidRDefault="007803E3" w:rsidP="00E60BAB">
          <w:pPr>
            <w:pStyle w:val="Prrafodelista"/>
            <w:numPr>
              <w:ilvl w:val="0"/>
              <w:numId w:val="80"/>
            </w:numPr>
            <w:spacing w:after="0" w:line="259" w:lineRule="auto"/>
            <w:jc w:val="both"/>
            <w:rPr>
              <w:rFonts w:ascii="Times New Roman" w:eastAsia="Times New Roman" w:hAnsi="Times New Roman"/>
              <w:i/>
              <w:sz w:val="24"/>
              <w:szCs w:val="24"/>
              <w:lang w:val="es"/>
            </w:rPr>
          </w:pPr>
          <w:r w:rsidRPr="0020113A">
            <w:rPr>
              <w:rFonts w:ascii="Times New Roman" w:eastAsia="Times New Roman" w:hAnsi="Times New Roman"/>
              <w:i/>
              <w:sz w:val="24"/>
              <w:szCs w:val="24"/>
              <w:lang w:val="es"/>
            </w:rPr>
            <w:t xml:space="preserve">Postes SOS; </w:t>
          </w:r>
        </w:p>
        <w:p w14:paraId="03E23A50" w14:textId="77777777" w:rsidR="007803E3" w:rsidRPr="0020113A" w:rsidRDefault="007803E3" w:rsidP="00E60BAB">
          <w:pPr>
            <w:pStyle w:val="Prrafodelista"/>
            <w:numPr>
              <w:ilvl w:val="0"/>
              <w:numId w:val="80"/>
            </w:numPr>
            <w:spacing w:after="0" w:line="259" w:lineRule="auto"/>
            <w:jc w:val="both"/>
            <w:rPr>
              <w:rFonts w:ascii="Times New Roman" w:eastAsia="Times New Roman" w:hAnsi="Times New Roman"/>
              <w:i/>
              <w:sz w:val="24"/>
              <w:szCs w:val="24"/>
              <w:lang w:val="es"/>
            </w:rPr>
          </w:pPr>
          <w:r w:rsidRPr="0020113A">
            <w:rPr>
              <w:rFonts w:ascii="Times New Roman" w:eastAsia="Times New Roman" w:hAnsi="Times New Roman"/>
              <w:i/>
              <w:sz w:val="24"/>
              <w:szCs w:val="24"/>
              <w:lang w:val="es"/>
            </w:rPr>
            <w:t xml:space="preserve">Sistema de información al usuario a cerca de los trabajos que se presentan en la vía, accidentes o incidentes que afecten la normal circulación de vehículos dentro de la concesión, tarifas de cada estación de peaje, mapa con el corredor vial donde se indique la ubicación de los peajes y sitios de interés como hospitales, estaciones de servicio y sitios turísticos. </w:t>
          </w:r>
        </w:p>
        <w:p w14:paraId="18E3C790" w14:textId="77777777" w:rsidR="007803E3" w:rsidRPr="0020113A" w:rsidRDefault="007803E3" w:rsidP="00E60BAB">
          <w:pPr>
            <w:pStyle w:val="Prrafodelista"/>
            <w:numPr>
              <w:ilvl w:val="0"/>
              <w:numId w:val="80"/>
            </w:numPr>
            <w:spacing w:after="0" w:line="259" w:lineRule="auto"/>
            <w:jc w:val="both"/>
            <w:rPr>
              <w:rFonts w:ascii="Times New Roman" w:eastAsia="Times New Roman" w:hAnsi="Times New Roman"/>
              <w:sz w:val="24"/>
              <w:szCs w:val="24"/>
              <w:lang w:val="es"/>
            </w:rPr>
          </w:pPr>
          <w:r w:rsidRPr="0020113A">
            <w:rPr>
              <w:rFonts w:ascii="Times New Roman" w:eastAsia="Times New Roman" w:hAnsi="Times New Roman"/>
              <w:i/>
              <w:sz w:val="24"/>
              <w:szCs w:val="24"/>
              <w:lang w:val="es"/>
            </w:rPr>
            <w:t>Cualquier otro servicio que, por su naturaleza, sea necesario para el desarrollo de los servicios obligatorios anteriormente mencionados, o de las obligaciones especiales de Operación a que hace referencia el numeral 3.3 de este Apéndice.</w:t>
          </w:r>
          <w:r w:rsidRPr="0020113A">
            <w:rPr>
              <w:rFonts w:ascii="Times New Roman" w:eastAsia="Times New Roman" w:hAnsi="Times New Roman"/>
              <w:sz w:val="24"/>
              <w:szCs w:val="24"/>
              <w:lang w:val="es"/>
            </w:rPr>
            <w:t>”</w:t>
          </w:r>
        </w:p>
        <w:p w14:paraId="756B9123" w14:textId="77777777" w:rsidR="007803E3" w:rsidRPr="0020113A" w:rsidRDefault="007803E3" w:rsidP="007803E3">
          <w:pPr>
            <w:ind w:left="720" w:right="-20"/>
            <w:jc w:val="both"/>
            <w:rPr>
              <w:rFonts w:ascii="Times New Roman" w:hAnsi="Times New Roman"/>
              <w:sz w:val="24"/>
              <w:szCs w:val="24"/>
            </w:rPr>
          </w:pPr>
          <w:r w:rsidRPr="0020113A">
            <w:rPr>
              <w:rFonts w:ascii="Times New Roman" w:eastAsia="Times New Roman" w:hAnsi="Times New Roman"/>
              <w:sz w:val="24"/>
              <w:szCs w:val="24"/>
              <w:lang w:val="es"/>
            </w:rPr>
            <w:t xml:space="preserve"> </w:t>
          </w:r>
        </w:p>
        <w:p w14:paraId="3AABE3E7" w14:textId="77777777" w:rsidR="007803E3" w:rsidRPr="0020113A" w:rsidRDefault="007803E3" w:rsidP="007803E3">
          <w:pPr>
            <w:ind w:left="720" w:right="-20"/>
            <w:jc w:val="center"/>
            <w:rPr>
              <w:rFonts w:ascii="Times New Roman" w:hAnsi="Times New Roman"/>
              <w:sz w:val="24"/>
              <w:szCs w:val="24"/>
            </w:rPr>
          </w:pPr>
          <w:r w:rsidRPr="0020113A">
            <w:rPr>
              <w:rFonts w:ascii="Times New Roman" w:eastAsia="Times New Roman" w:hAnsi="Times New Roman"/>
              <w:b/>
              <w:sz w:val="24"/>
              <w:szCs w:val="24"/>
              <w:lang w:val="es"/>
            </w:rPr>
            <w:t>Retribución al concesionario</w:t>
          </w:r>
        </w:p>
        <w:p w14:paraId="6F52D5E1" w14:textId="77777777" w:rsidR="007803E3" w:rsidRPr="0020113A" w:rsidRDefault="007803E3" w:rsidP="007803E3">
          <w:pPr>
            <w:ind w:right="-20"/>
            <w:jc w:val="both"/>
            <w:rPr>
              <w:rFonts w:ascii="Times New Roman" w:eastAsia="Times New Roman" w:hAnsi="Times New Roman"/>
              <w:sz w:val="24"/>
              <w:szCs w:val="24"/>
              <w:lang w:val="es"/>
            </w:rPr>
          </w:pPr>
          <w:r w:rsidRPr="0020113A">
            <w:rPr>
              <w:rFonts w:ascii="Times New Roman" w:eastAsia="Times New Roman" w:hAnsi="Times New Roman"/>
              <w:b/>
              <w:bCs/>
              <w:sz w:val="24"/>
              <w:szCs w:val="24"/>
              <w:lang w:val="es"/>
            </w:rPr>
            <w:t>Descripción:</w:t>
          </w:r>
          <w:r w:rsidRPr="0020113A">
            <w:rPr>
              <w:rFonts w:ascii="Times New Roman" w:eastAsia="Times New Roman" w:hAnsi="Times New Roman"/>
              <w:sz w:val="24"/>
              <w:szCs w:val="24"/>
              <w:lang w:val="es"/>
            </w:rPr>
            <w:t xml:space="preserve"> De acuerdo con la sección 1.138 de la Parte General la retribución se define como:</w:t>
          </w:r>
        </w:p>
        <w:p w14:paraId="57E40515" w14:textId="77777777" w:rsidR="007803E3" w:rsidRPr="0020113A" w:rsidRDefault="007803E3" w:rsidP="00F449C4">
          <w:pPr>
            <w:ind w:right="-20"/>
            <w:jc w:val="both"/>
            <w:rPr>
              <w:rFonts w:ascii="Times New Roman" w:hAnsi="Times New Roman"/>
              <w:sz w:val="24"/>
              <w:szCs w:val="24"/>
            </w:rPr>
          </w:pPr>
          <w:r w:rsidRPr="0020113A">
            <w:rPr>
              <w:rFonts w:ascii="Times New Roman" w:eastAsia="Times New Roman" w:hAnsi="Times New Roman"/>
              <w:i/>
              <w:sz w:val="24"/>
              <w:szCs w:val="24"/>
              <w:lang w:val="es"/>
            </w:rPr>
            <w:t>“Se refiere a la contraprestación económica a la que tiene derecho el Concesionario en los términos de la Sección 3.1 de esta Parte General. El reconocimiento de la Retribución –y de la Compensación Especial, cuando sea aplicable– se verificará mediante los traslados entre las subcuentas del Patrimonio Autónomo a los que se refiere dicha Sección. En el caso en que el Concesionario decida instrumentar mecanismos de financiación a través de uno o varios Patrimonios Autónomos-Deuda, incluido el mecanismo previsto en el Apéndice Financiero 2, el reconocimiento de la Retribución se verificará mediante el traslado de las subcuentas del Patrimonio Autónomo que correspondan, de conformidad con este Contrato, a dicho(s) Patrimonio(s) Autónomo(s)-Deuda. El reconocimiento de la Retribución –y de la Compensación Especial, cuando sea aplicable– también se podrá efectuar mediante el traslado de recursos directamente a los Cesionarios Especiales, tal y como se prevé en el Apéndice Financiero 2.”</w:t>
          </w:r>
        </w:p>
        <w:p w14:paraId="61A3E9A4" w14:textId="77777777" w:rsidR="007803E3" w:rsidRPr="0020113A" w:rsidRDefault="007803E3" w:rsidP="007803E3">
          <w:pPr>
            <w:ind w:right="-20"/>
            <w:jc w:val="both"/>
            <w:rPr>
              <w:rFonts w:ascii="Times New Roman" w:eastAsia="Times New Roman" w:hAnsi="Times New Roman"/>
              <w:sz w:val="24"/>
              <w:szCs w:val="24"/>
              <w:lang w:val="es"/>
            </w:rPr>
          </w:pPr>
          <w:r w:rsidRPr="0020113A">
            <w:rPr>
              <w:rFonts w:ascii="Times New Roman" w:eastAsia="Times New Roman" w:hAnsi="Times New Roman"/>
              <w:sz w:val="24"/>
              <w:szCs w:val="24"/>
              <w:lang w:val="es"/>
            </w:rPr>
            <w:t xml:space="preserve"> En la sección 4.3 de la Parte Especial del contrato de concesión se establece el cálculo de la retribución al concesionario.</w:t>
          </w:r>
        </w:p>
        <w:p w14:paraId="684731CF" w14:textId="77777777" w:rsidR="007803E3" w:rsidRPr="0020113A" w:rsidRDefault="007803E3" w:rsidP="007803E3">
          <w:pPr>
            <w:ind w:right="-20"/>
            <w:jc w:val="both"/>
            <w:rPr>
              <w:rFonts w:ascii="Times New Roman" w:eastAsia="Times New Roman" w:hAnsi="Times New Roman"/>
              <w:sz w:val="24"/>
              <w:szCs w:val="24"/>
              <w:lang w:val="es"/>
            </w:rPr>
          </w:pPr>
          <w:r w:rsidRPr="0020113A">
            <w:rPr>
              <w:rFonts w:ascii="Times New Roman" w:eastAsia="Times New Roman" w:hAnsi="Times New Roman"/>
              <w:sz w:val="24"/>
              <w:szCs w:val="24"/>
              <w:lang w:val="es"/>
            </w:rPr>
            <w:t xml:space="preserve"> </w:t>
          </w:r>
          <w:r w:rsidRPr="0020113A">
            <w:rPr>
              <w:rFonts w:ascii="Times New Roman" w:eastAsia="Times New Roman" w:hAnsi="Times New Roman"/>
              <w:b/>
              <w:bCs/>
              <w:sz w:val="24"/>
              <w:szCs w:val="24"/>
              <w:lang w:val="es"/>
            </w:rPr>
            <w:t xml:space="preserve">Tasa de retribución: </w:t>
          </w:r>
          <w:r w:rsidRPr="0020113A">
            <w:rPr>
              <w:rFonts w:ascii="Times New Roman" w:eastAsia="Times New Roman" w:hAnsi="Times New Roman"/>
              <w:sz w:val="24"/>
              <w:szCs w:val="24"/>
              <w:lang w:val="es"/>
            </w:rPr>
            <w:t>La tasa de interés plasmada en el contrato de concesión es de: 0,5661% expresada en términos Nominales Mensuales Vencidos, de acuerdo con la tabla de datos de la Parte Especial del Contrato en su numeral 18.3(d)</w:t>
          </w:r>
        </w:p>
        <w:p w14:paraId="0E4ECE5C" w14:textId="77777777" w:rsidR="007803E3" w:rsidRPr="0020113A" w:rsidRDefault="007803E3" w:rsidP="007803E3">
          <w:pPr>
            <w:spacing w:after="0"/>
            <w:ind w:right="-20"/>
            <w:rPr>
              <w:rFonts w:ascii="Times New Roman" w:eastAsia="Times New Roman" w:hAnsi="Times New Roman"/>
              <w:b/>
              <w:sz w:val="24"/>
              <w:szCs w:val="24"/>
              <w:lang w:val="es"/>
            </w:rPr>
          </w:pPr>
          <w:r w:rsidRPr="0020113A">
            <w:rPr>
              <w:rFonts w:ascii="Times New Roman" w:eastAsia="Times New Roman" w:hAnsi="Times New Roman"/>
              <w:b/>
              <w:sz w:val="24"/>
              <w:szCs w:val="24"/>
              <w:lang w:val="es"/>
            </w:rPr>
            <w:lastRenderedPageBreak/>
            <w:t>d.  Derechos a recibir activos especificados al final del acuerdo de concesión</w:t>
          </w:r>
        </w:p>
        <w:p w14:paraId="004F5214" w14:textId="77777777" w:rsidR="007803E3" w:rsidRPr="0020113A" w:rsidRDefault="007803E3" w:rsidP="007803E3">
          <w:pPr>
            <w:ind w:left="720" w:right="-20"/>
            <w:jc w:val="both"/>
            <w:rPr>
              <w:rFonts w:ascii="Times New Roman" w:hAnsi="Times New Roman"/>
              <w:sz w:val="24"/>
              <w:szCs w:val="24"/>
            </w:rPr>
          </w:pPr>
          <w:r w:rsidRPr="0020113A">
            <w:rPr>
              <w:rFonts w:ascii="Times New Roman" w:eastAsia="Times New Roman" w:hAnsi="Times New Roman"/>
              <w:sz w:val="24"/>
              <w:szCs w:val="24"/>
              <w:lang w:val="es"/>
            </w:rPr>
            <w:t xml:space="preserve"> </w:t>
          </w:r>
        </w:p>
        <w:p w14:paraId="7E0C74A5" w14:textId="77777777" w:rsidR="007803E3" w:rsidRPr="0020113A" w:rsidRDefault="007803E3" w:rsidP="007803E3">
          <w:pPr>
            <w:ind w:right="-20"/>
            <w:jc w:val="both"/>
            <w:rPr>
              <w:rFonts w:ascii="Times New Roman" w:hAnsi="Times New Roman"/>
              <w:sz w:val="24"/>
              <w:szCs w:val="24"/>
            </w:rPr>
          </w:pPr>
          <w:r w:rsidRPr="0020113A">
            <w:rPr>
              <w:rFonts w:ascii="Times New Roman" w:eastAsia="Times New Roman" w:hAnsi="Times New Roman"/>
              <w:b/>
              <w:bCs/>
              <w:sz w:val="24"/>
              <w:szCs w:val="24"/>
              <w:lang w:val="es"/>
            </w:rPr>
            <w:t xml:space="preserve">Descripción: </w:t>
          </w:r>
          <w:r w:rsidRPr="0020113A">
            <w:rPr>
              <w:rFonts w:ascii="Times New Roman" w:eastAsia="Times New Roman" w:hAnsi="Times New Roman"/>
              <w:sz w:val="24"/>
              <w:szCs w:val="24"/>
              <w:lang w:val="es"/>
            </w:rPr>
            <w:t>De acuerdo con la Sección 9.7 de la Parte General del Contrato, al terminar el Contrato de Concesión, la ANI recibirá la infraestructura concesionada en los siguientes términos:</w:t>
          </w:r>
        </w:p>
        <w:p w14:paraId="3EE3E4AA" w14:textId="77777777" w:rsidR="007803E3" w:rsidRPr="0020113A" w:rsidRDefault="007803E3" w:rsidP="00F449C4">
          <w:pPr>
            <w:ind w:right="-20"/>
            <w:jc w:val="both"/>
            <w:rPr>
              <w:rFonts w:ascii="Times New Roman" w:hAnsi="Times New Roman"/>
              <w:sz w:val="24"/>
              <w:szCs w:val="24"/>
            </w:rPr>
          </w:pPr>
          <w:r w:rsidRPr="0020113A">
            <w:rPr>
              <w:rFonts w:ascii="Times New Roman" w:eastAsia="Times New Roman" w:hAnsi="Times New Roman"/>
              <w:i/>
              <w:sz w:val="24"/>
              <w:szCs w:val="24"/>
              <w:lang w:val="es"/>
            </w:rPr>
            <w:t>“(b)</w:t>
          </w:r>
          <w:r w:rsidRPr="0020113A">
            <w:rPr>
              <w:rFonts w:ascii="Times New Roman" w:hAnsi="Times New Roman"/>
              <w:sz w:val="24"/>
              <w:szCs w:val="24"/>
            </w:rPr>
            <w:tab/>
          </w:r>
          <w:r w:rsidRPr="0020113A">
            <w:rPr>
              <w:rFonts w:ascii="Times New Roman" w:eastAsia="Times New Roman" w:hAnsi="Times New Roman"/>
              <w:i/>
              <w:sz w:val="24"/>
              <w:szCs w:val="24"/>
              <w:lang w:val="es"/>
            </w:rPr>
            <w:t xml:space="preserve">Sin perjuicio de la obligación que le asiste al Concesionario en cuanto a la ejecución de las Intervenciones, las obligaciones de Operación y las Obras de Mantenimiento a que se refiere el Contrato, se entenderá que la ANI se hará propietario de las obras que conforman el Proyecto al momento de su ejecución, incluyendo además, pero sin limitarse, las Estaciones de Peaje y de Pesaje, junto con la totalidad de los bienes muebles o inmuebles por destinación o adhesión, que se encuentren en las mismas, no obstante lo cual, el Concesionario conservará la mera tenencia para efectos del cumplimiento del Contrato y será por ende responsable de la guarda material y jurídica de tales bienes aquí mencionados que conforman el Proyecto. </w:t>
          </w:r>
        </w:p>
        <w:p w14:paraId="47C8263F" w14:textId="24B3559D" w:rsidR="007803E3" w:rsidRPr="0020113A" w:rsidRDefault="007803E3" w:rsidP="00F449C4">
          <w:pPr>
            <w:ind w:right="-20"/>
            <w:jc w:val="both"/>
            <w:rPr>
              <w:rFonts w:ascii="Times New Roman" w:hAnsi="Times New Roman"/>
              <w:sz w:val="24"/>
              <w:szCs w:val="24"/>
            </w:rPr>
          </w:pPr>
          <w:r w:rsidRPr="0020113A">
            <w:rPr>
              <w:rFonts w:ascii="Times New Roman" w:eastAsia="Times New Roman" w:hAnsi="Times New Roman"/>
              <w:i/>
              <w:sz w:val="24"/>
              <w:szCs w:val="24"/>
              <w:lang w:val="es"/>
            </w:rPr>
            <w:t>(c) Estos bienes de propiedad de la ANI, y, en general, todos los bienes inmuebles con todas sus anexidades y los equipos, software y demás activos que hacen parte del Proyecto, serán entregados a la ANI, según corresponda, en las condiciones señaladas en el Apéndice Técnico 2 al momento de la terminación de la Etapa de Reversión.”</w:t>
          </w:r>
        </w:p>
        <w:p w14:paraId="64702C94" w14:textId="13AC0558" w:rsidR="007803E3" w:rsidRPr="0020113A" w:rsidRDefault="007803E3" w:rsidP="007803E3">
          <w:pPr>
            <w:spacing w:after="0"/>
            <w:jc w:val="both"/>
            <w:rPr>
              <w:rFonts w:ascii="Times New Roman" w:eastAsia="Times New Roman" w:hAnsi="Times New Roman"/>
              <w:b/>
              <w:sz w:val="24"/>
              <w:szCs w:val="24"/>
              <w:lang w:val="es"/>
            </w:rPr>
          </w:pPr>
          <w:r w:rsidRPr="0020113A">
            <w:rPr>
              <w:rFonts w:ascii="Times New Roman" w:eastAsia="Times New Roman" w:hAnsi="Times New Roman"/>
              <w:b/>
              <w:sz w:val="24"/>
              <w:szCs w:val="24"/>
              <w:lang w:val="es"/>
            </w:rPr>
            <w:t>Alternativas de renovación y cese del acuerdo</w:t>
          </w:r>
        </w:p>
        <w:p w14:paraId="3E6B26F9" w14:textId="77777777" w:rsidR="007803E3" w:rsidRPr="0020113A" w:rsidRDefault="007803E3" w:rsidP="007803E3">
          <w:pPr>
            <w:spacing w:after="0"/>
            <w:jc w:val="both"/>
            <w:rPr>
              <w:rFonts w:ascii="Times New Roman" w:eastAsia="Times New Roman" w:hAnsi="Times New Roman"/>
              <w:b/>
              <w:sz w:val="24"/>
              <w:szCs w:val="24"/>
              <w:lang w:val="es"/>
            </w:rPr>
          </w:pPr>
        </w:p>
        <w:p w14:paraId="2FC2E5F1" w14:textId="77777777" w:rsidR="007803E3" w:rsidRPr="0020113A" w:rsidRDefault="007803E3" w:rsidP="00F449C4">
          <w:pPr>
            <w:ind w:right="-20"/>
            <w:jc w:val="both"/>
            <w:rPr>
              <w:rFonts w:ascii="Times New Roman" w:hAnsi="Times New Roman"/>
              <w:sz w:val="24"/>
              <w:szCs w:val="24"/>
            </w:rPr>
          </w:pPr>
          <w:r w:rsidRPr="0020113A">
            <w:rPr>
              <w:rFonts w:ascii="Times New Roman" w:eastAsia="Times New Roman" w:hAnsi="Times New Roman"/>
              <w:sz w:val="24"/>
              <w:szCs w:val="24"/>
              <w:lang w:val="es"/>
            </w:rPr>
            <w:t>Descripción: La sección 17.2 de la Parte General del Contrato indica las causales de terminación anticipada del contrato.</w:t>
          </w:r>
        </w:p>
        <w:p w14:paraId="62FC0CF7" w14:textId="77777777" w:rsidR="00F449C4" w:rsidRDefault="007803E3" w:rsidP="00F449C4">
          <w:pPr>
            <w:ind w:right="-20"/>
            <w:jc w:val="both"/>
            <w:rPr>
              <w:rFonts w:ascii="Times New Roman" w:hAnsi="Times New Roman"/>
              <w:sz w:val="24"/>
              <w:szCs w:val="24"/>
            </w:rPr>
          </w:pPr>
          <w:r w:rsidRPr="0020113A">
            <w:rPr>
              <w:rFonts w:ascii="Times New Roman" w:eastAsia="Times New Roman" w:hAnsi="Times New Roman"/>
              <w:sz w:val="24"/>
              <w:szCs w:val="24"/>
              <w:lang w:val="es"/>
            </w:rPr>
            <w:t>Observaciones: El contrato de concesión no prevé renovación y cese del acuerdo.</w:t>
          </w:r>
        </w:p>
        <w:p w14:paraId="7A8A4554" w14:textId="67D8CBFF" w:rsidR="007803E3" w:rsidRPr="00F449C4" w:rsidRDefault="00F449C4" w:rsidP="00F449C4">
          <w:pPr>
            <w:ind w:right="-20"/>
            <w:jc w:val="both"/>
            <w:rPr>
              <w:rFonts w:ascii="Times New Roman" w:hAnsi="Times New Roman"/>
              <w:sz w:val="24"/>
              <w:szCs w:val="24"/>
            </w:rPr>
          </w:pPr>
          <w:r>
            <w:rPr>
              <w:rFonts w:ascii="Times New Roman" w:eastAsia="Times New Roman" w:hAnsi="Times New Roman"/>
              <w:b/>
              <w:sz w:val="24"/>
              <w:szCs w:val="24"/>
              <w:lang w:val="es"/>
            </w:rPr>
            <w:t>e. No hay c</w:t>
          </w:r>
          <w:r w:rsidR="007803E3" w:rsidRPr="00F449C4">
            <w:rPr>
              <w:rFonts w:ascii="Times New Roman" w:eastAsia="Times New Roman" w:hAnsi="Times New Roman"/>
              <w:b/>
              <w:sz w:val="24"/>
              <w:szCs w:val="24"/>
              <w:lang w:val="es"/>
            </w:rPr>
            <w:t>ambios en el acuerdo de concesión que se realicen durante el periodo</w:t>
          </w:r>
        </w:p>
        <w:p w14:paraId="0270CE76" w14:textId="77777777" w:rsidR="007803E3" w:rsidRPr="0020113A" w:rsidRDefault="007803E3" w:rsidP="007803E3">
          <w:pPr>
            <w:rPr>
              <w:rFonts w:ascii="Times New Roman" w:hAnsi="Times New Roman"/>
              <w:b/>
              <w:sz w:val="24"/>
              <w:szCs w:val="24"/>
              <w:lang w:val="es-MX"/>
            </w:rPr>
          </w:pPr>
        </w:p>
        <w:p w14:paraId="3CAD28FC" w14:textId="77777777" w:rsidR="007803E3" w:rsidRPr="0020113A" w:rsidRDefault="007803E3" w:rsidP="007803E3">
          <w:pPr>
            <w:spacing w:line="257" w:lineRule="auto"/>
            <w:jc w:val="both"/>
            <w:rPr>
              <w:rFonts w:ascii="Times New Roman" w:hAnsi="Times New Roman"/>
              <w:sz w:val="24"/>
              <w:szCs w:val="24"/>
            </w:rPr>
          </w:pPr>
          <w:r w:rsidRPr="0020113A">
            <w:rPr>
              <w:rFonts w:ascii="Times New Roman" w:hAnsi="Times New Roman"/>
              <w:b/>
              <w:bCs/>
              <w:sz w:val="24"/>
              <w:szCs w:val="24"/>
              <w:lang w:val="es-MX"/>
            </w:rPr>
            <w:t xml:space="preserve">PERIMETRAL DE ORIENTE DE CUNDINAMARCA </w:t>
          </w:r>
        </w:p>
        <w:p w14:paraId="5A0A1427" w14:textId="77777777" w:rsidR="007803E3" w:rsidRPr="0020113A" w:rsidRDefault="007803E3" w:rsidP="00E60BAB">
          <w:pPr>
            <w:pStyle w:val="Prrafodelista"/>
            <w:numPr>
              <w:ilvl w:val="0"/>
              <w:numId w:val="102"/>
            </w:numPr>
            <w:spacing w:line="257" w:lineRule="auto"/>
            <w:jc w:val="both"/>
            <w:rPr>
              <w:rFonts w:ascii="Times New Roman" w:hAnsi="Times New Roman"/>
              <w:b/>
              <w:bCs/>
              <w:sz w:val="24"/>
              <w:szCs w:val="24"/>
              <w:lang w:val="es-MX"/>
            </w:rPr>
          </w:pPr>
          <w:r w:rsidRPr="0020113A">
            <w:rPr>
              <w:rFonts w:ascii="Times New Roman" w:hAnsi="Times New Roman"/>
              <w:b/>
              <w:bCs/>
              <w:sz w:val="24"/>
              <w:szCs w:val="24"/>
              <w:lang w:val="es-MX"/>
            </w:rPr>
            <w:t>Descripción del Acuerdo</w:t>
          </w:r>
        </w:p>
        <w:p w14:paraId="4FB40D62" w14:textId="77777777" w:rsidR="007803E3" w:rsidRPr="0020113A" w:rsidRDefault="007803E3" w:rsidP="18BAD2EC">
          <w:pPr>
            <w:spacing w:after="0" w:line="257" w:lineRule="auto"/>
            <w:jc w:val="both"/>
            <w:rPr>
              <w:rFonts w:ascii="Times New Roman" w:hAnsi="Times New Roman"/>
              <w:sz w:val="24"/>
              <w:szCs w:val="24"/>
            </w:rPr>
          </w:pPr>
          <w:r w:rsidRPr="0020113A">
            <w:rPr>
              <w:rFonts w:ascii="Times New Roman" w:hAnsi="Times New Roman"/>
              <w:b/>
              <w:bCs/>
              <w:sz w:val="24"/>
              <w:szCs w:val="24"/>
              <w:lang w:val="es-MX"/>
            </w:rPr>
            <w:t xml:space="preserve">Número del Acuerdo de Concesión:  </w:t>
          </w:r>
          <w:r w:rsidRPr="0020113A">
            <w:rPr>
              <w:rFonts w:ascii="Times New Roman" w:hAnsi="Times New Roman"/>
              <w:sz w:val="24"/>
              <w:szCs w:val="24"/>
              <w:lang w:val="es-MX"/>
            </w:rPr>
            <w:t>No.002 del 08 de septiembre de 2014</w:t>
          </w:r>
        </w:p>
        <w:p w14:paraId="4972540C" w14:textId="77777777" w:rsidR="007803E3" w:rsidRPr="0020113A" w:rsidRDefault="007803E3" w:rsidP="18BAD2EC">
          <w:pPr>
            <w:spacing w:after="0" w:line="257" w:lineRule="auto"/>
            <w:jc w:val="both"/>
            <w:rPr>
              <w:rFonts w:ascii="Times New Roman" w:hAnsi="Times New Roman"/>
              <w:sz w:val="24"/>
              <w:szCs w:val="24"/>
            </w:rPr>
          </w:pPr>
          <w:r w:rsidRPr="0020113A">
            <w:rPr>
              <w:rFonts w:ascii="Times New Roman" w:hAnsi="Times New Roman"/>
              <w:b/>
              <w:bCs/>
              <w:sz w:val="24"/>
              <w:szCs w:val="24"/>
              <w:lang w:val="es-MX"/>
            </w:rPr>
            <w:t xml:space="preserve">Objeto / Descripción: </w:t>
          </w:r>
          <w:r w:rsidRPr="0020113A">
            <w:rPr>
              <w:rFonts w:ascii="Times New Roman" w:hAnsi="Times New Roman"/>
              <w:sz w:val="24"/>
              <w:szCs w:val="24"/>
              <w:lang w:val="es-MX"/>
            </w:rPr>
            <w:t>De acuerdo al numeral 2.1 del Capítulo II de la Parte General del Contrato de Concesión se tiene que: “Otorgamiento de una Concesión para que de conformidad con lo previsto en el Contrato, el Concesionario, por su cuenta y riesgo, lleve a cabo el Proyecto. El alcance físico del Proyecto se describe en le Parte Especial y en el Apéndice técnico 1.”</w:t>
          </w:r>
        </w:p>
        <w:p w14:paraId="420F3C55" w14:textId="0EE8234F" w:rsidR="007803E3" w:rsidRPr="0020113A" w:rsidRDefault="007803E3" w:rsidP="00A1352A">
          <w:pPr>
            <w:spacing w:after="0" w:line="257" w:lineRule="auto"/>
            <w:jc w:val="both"/>
            <w:rPr>
              <w:rFonts w:ascii="Times New Roman" w:hAnsi="Times New Roman"/>
              <w:sz w:val="24"/>
              <w:szCs w:val="24"/>
            </w:rPr>
          </w:pPr>
          <w:r w:rsidRPr="0020113A">
            <w:rPr>
              <w:rFonts w:ascii="Times New Roman" w:hAnsi="Times New Roman"/>
              <w:b/>
              <w:bCs/>
              <w:sz w:val="24"/>
              <w:szCs w:val="24"/>
              <w:lang w:val="es-MX"/>
            </w:rPr>
            <w:t xml:space="preserve">Valor Inicial:  </w:t>
          </w:r>
          <w:r w:rsidRPr="0020113A">
            <w:rPr>
              <w:rFonts w:ascii="Times New Roman" w:hAnsi="Times New Roman"/>
              <w:sz w:val="24"/>
              <w:szCs w:val="24"/>
              <w:lang w:val="es-MX"/>
            </w:rPr>
            <w:t xml:space="preserve"> El Valor del Contrato es de UN BILLÓN SEISCIENTOS CUARENTA Y SIETE MIL SETECIENTOS SETENTA Y SEIS MILLONES CIENTO ONCE MIL CIENTO SESENTA Y NUEVE ($1.647.776.111.169) pesos de diciembre de 2012.</w:t>
          </w:r>
        </w:p>
        <w:p w14:paraId="5D8A58E7" w14:textId="77777777" w:rsidR="007803E3" w:rsidRPr="0020113A" w:rsidRDefault="007803E3" w:rsidP="00A1352A">
          <w:pPr>
            <w:spacing w:after="0" w:line="257" w:lineRule="auto"/>
            <w:jc w:val="both"/>
            <w:rPr>
              <w:rFonts w:ascii="Times New Roman" w:hAnsi="Times New Roman"/>
              <w:sz w:val="24"/>
              <w:szCs w:val="24"/>
            </w:rPr>
          </w:pPr>
          <w:r w:rsidRPr="0020113A">
            <w:rPr>
              <w:rFonts w:ascii="Times New Roman" w:hAnsi="Times New Roman"/>
              <w:b/>
              <w:bCs/>
              <w:sz w:val="24"/>
              <w:szCs w:val="24"/>
              <w:lang w:val="es-MX"/>
            </w:rPr>
            <w:t xml:space="preserve">Fecha de Inicio: </w:t>
          </w:r>
          <w:r w:rsidRPr="0020113A">
            <w:rPr>
              <w:rFonts w:ascii="Times New Roman" w:eastAsia="Times New Roman" w:hAnsi="Times New Roman"/>
              <w:sz w:val="24"/>
              <w:szCs w:val="24"/>
            </w:rPr>
            <w:t>18 de abril de 2016</w:t>
          </w:r>
        </w:p>
        <w:p w14:paraId="1F816F76" w14:textId="77777777" w:rsidR="007803E3" w:rsidRPr="0020113A" w:rsidRDefault="007803E3" w:rsidP="00A1352A">
          <w:pPr>
            <w:spacing w:after="0" w:line="257" w:lineRule="auto"/>
            <w:jc w:val="both"/>
            <w:rPr>
              <w:rFonts w:ascii="Times New Roman" w:hAnsi="Times New Roman"/>
              <w:sz w:val="24"/>
              <w:szCs w:val="24"/>
            </w:rPr>
          </w:pPr>
          <w:r w:rsidRPr="0020113A">
            <w:rPr>
              <w:rFonts w:ascii="Times New Roman" w:hAnsi="Times New Roman"/>
              <w:b/>
              <w:bCs/>
              <w:sz w:val="24"/>
              <w:szCs w:val="24"/>
              <w:lang w:val="es-MX"/>
            </w:rPr>
            <w:t xml:space="preserve">Fecha de Finalización Estimada: </w:t>
          </w:r>
          <w:r w:rsidRPr="0020113A">
            <w:rPr>
              <w:rFonts w:ascii="Times New Roman" w:hAnsi="Times New Roman"/>
              <w:sz w:val="24"/>
              <w:szCs w:val="24"/>
            </w:rPr>
            <w:t>19 de diciembre de 2039</w:t>
          </w:r>
        </w:p>
        <w:p w14:paraId="439DB7AA" w14:textId="77777777" w:rsidR="007803E3" w:rsidRPr="0020113A" w:rsidRDefault="007803E3" w:rsidP="00A1352A">
          <w:pPr>
            <w:spacing w:after="0" w:line="257" w:lineRule="auto"/>
            <w:jc w:val="both"/>
            <w:rPr>
              <w:rFonts w:ascii="Times New Roman" w:hAnsi="Times New Roman"/>
              <w:sz w:val="24"/>
              <w:szCs w:val="24"/>
            </w:rPr>
          </w:pPr>
          <w:r w:rsidRPr="0020113A">
            <w:rPr>
              <w:rFonts w:ascii="Times New Roman" w:hAnsi="Times New Roman"/>
              <w:b/>
              <w:bCs/>
              <w:sz w:val="24"/>
              <w:szCs w:val="24"/>
              <w:lang w:val="es-MX"/>
            </w:rPr>
            <w:t xml:space="preserve">Tipo ID: </w:t>
          </w:r>
          <w:r w:rsidRPr="0020113A">
            <w:rPr>
              <w:rFonts w:ascii="Times New Roman" w:hAnsi="Times New Roman"/>
              <w:sz w:val="24"/>
              <w:szCs w:val="24"/>
              <w:lang w:val="es-MX"/>
            </w:rPr>
            <w:t>NIT</w:t>
          </w:r>
        </w:p>
        <w:p w14:paraId="149BDEA2" w14:textId="77777777" w:rsidR="007803E3" w:rsidRPr="0020113A" w:rsidRDefault="007803E3" w:rsidP="00A1352A">
          <w:pPr>
            <w:spacing w:after="0" w:line="257" w:lineRule="auto"/>
            <w:jc w:val="both"/>
            <w:rPr>
              <w:rFonts w:ascii="Times New Roman" w:hAnsi="Times New Roman"/>
              <w:sz w:val="24"/>
              <w:szCs w:val="24"/>
            </w:rPr>
          </w:pPr>
          <w:r w:rsidRPr="0020113A">
            <w:rPr>
              <w:rFonts w:ascii="Times New Roman" w:hAnsi="Times New Roman"/>
              <w:b/>
              <w:bCs/>
              <w:sz w:val="24"/>
              <w:szCs w:val="24"/>
              <w:lang w:val="es-MX"/>
            </w:rPr>
            <w:lastRenderedPageBreak/>
            <w:t xml:space="preserve">Numero ID: </w:t>
          </w:r>
          <w:r w:rsidRPr="0020113A">
            <w:rPr>
              <w:rFonts w:ascii="Times New Roman" w:hAnsi="Times New Roman"/>
              <w:sz w:val="24"/>
              <w:szCs w:val="24"/>
              <w:lang w:val="es-MX"/>
            </w:rPr>
            <w:t>900761657-8</w:t>
          </w:r>
        </w:p>
        <w:p w14:paraId="3AB8B994" w14:textId="77777777" w:rsidR="007803E3" w:rsidRPr="0020113A" w:rsidRDefault="007803E3" w:rsidP="00A1352A">
          <w:pPr>
            <w:spacing w:after="0" w:line="257" w:lineRule="auto"/>
            <w:jc w:val="both"/>
            <w:rPr>
              <w:rFonts w:ascii="Times New Roman" w:hAnsi="Times New Roman"/>
              <w:sz w:val="24"/>
              <w:szCs w:val="24"/>
            </w:rPr>
          </w:pPr>
          <w:r w:rsidRPr="0020113A">
            <w:rPr>
              <w:rFonts w:ascii="Times New Roman" w:hAnsi="Times New Roman"/>
              <w:b/>
              <w:bCs/>
              <w:sz w:val="24"/>
              <w:szCs w:val="24"/>
              <w:lang w:val="es-MX"/>
            </w:rPr>
            <w:t xml:space="preserve">Razón Social del Concesionario: </w:t>
          </w:r>
          <w:r w:rsidRPr="0020113A">
            <w:rPr>
              <w:rFonts w:ascii="Times New Roman" w:hAnsi="Times New Roman"/>
              <w:sz w:val="24"/>
              <w:szCs w:val="24"/>
              <w:lang w:val="es-MX"/>
            </w:rPr>
            <w:t>Perimetral Oriental de Bogotá S.A.S.</w:t>
          </w:r>
        </w:p>
        <w:p w14:paraId="5BB43C9A" w14:textId="77777777" w:rsidR="007803E3" w:rsidRPr="0020113A" w:rsidRDefault="007803E3" w:rsidP="007803E3">
          <w:pPr>
            <w:spacing w:line="257" w:lineRule="auto"/>
            <w:jc w:val="both"/>
            <w:rPr>
              <w:rFonts w:ascii="Times New Roman" w:hAnsi="Times New Roman"/>
              <w:sz w:val="24"/>
              <w:szCs w:val="24"/>
            </w:rPr>
          </w:pPr>
          <w:r w:rsidRPr="0020113A">
            <w:rPr>
              <w:rFonts w:ascii="Times New Roman" w:hAnsi="Times New Roman"/>
              <w:b/>
              <w:bCs/>
              <w:sz w:val="24"/>
              <w:szCs w:val="24"/>
              <w:lang w:val="es-MX"/>
            </w:rPr>
            <w:t xml:space="preserve">Nombre del Proyecto: </w:t>
          </w:r>
          <w:r w:rsidRPr="0020113A">
            <w:rPr>
              <w:rFonts w:ascii="Times New Roman" w:hAnsi="Times New Roman"/>
              <w:sz w:val="24"/>
              <w:szCs w:val="24"/>
              <w:lang w:val="es-MX"/>
            </w:rPr>
            <w:t>Corredor Perimetral del Oriente de Cundinamarca</w:t>
          </w:r>
        </w:p>
        <w:p w14:paraId="2C85D7FB" w14:textId="77777777" w:rsidR="007803E3" w:rsidRPr="0020113A" w:rsidRDefault="007803E3" w:rsidP="00E60BAB">
          <w:pPr>
            <w:pStyle w:val="Prrafodelista"/>
            <w:numPr>
              <w:ilvl w:val="0"/>
              <w:numId w:val="102"/>
            </w:numPr>
            <w:spacing w:line="257" w:lineRule="auto"/>
            <w:jc w:val="both"/>
            <w:rPr>
              <w:rFonts w:ascii="Times New Roman" w:hAnsi="Times New Roman"/>
              <w:b/>
              <w:bCs/>
              <w:sz w:val="24"/>
              <w:szCs w:val="24"/>
              <w:lang w:val="es-MX"/>
            </w:rPr>
          </w:pPr>
          <w:r w:rsidRPr="0020113A">
            <w:rPr>
              <w:rFonts w:ascii="Times New Roman" w:hAnsi="Times New Roman"/>
              <w:b/>
              <w:bCs/>
              <w:sz w:val="24"/>
              <w:szCs w:val="24"/>
              <w:lang w:val="es-MX"/>
            </w:rPr>
            <w:t>Términos significativos del acuerdo que puedan afectar su valor, el calendario y la certeza de los flujos</w:t>
          </w:r>
        </w:p>
        <w:p w14:paraId="25BB9193" w14:textId="0B5B4E88" w:rsidR="007803E3" w:rsidRPr="0020113A" w:rsidRDefault="007803E3" w:rsidP="007803E3">
          <w:pPr>
            <w:spacing w:line="257" w:lineRule="auto"/>
            <w:jc w:val="both"/>
            <w:rPr>
              <w:rFonts w:ascii="Times New Roman" w:hAnsi="Times New Roman"/>
              <w:sz w:val="24"/>
              <w:szCs w:val="24"/>
            </w:rPr>
          </w:pPr>
          <w:r w:rsidRPr="0020113A">
            <w:rPr>
              <w:rFonts w:ascii="Times New Roman" w:hAnsi="Times New Roman"/>
              <w:b/>
              <w:bCs/>
              <w:sz w:val="24"/>
              <w:szCs w:val="24"/>
              <w:lang w:val="es-MX"/>
            </w:rPr>
            <w:t xml:space="preserve">Términos de Valor: </w:t>
          </w:r>
          <w:r w:rsidRPr="0020113A">
            <w:rPr>
              <w:rFonts w:ascii="Times New Roman" w:hAnsi="Times New Roman"/>
              <w:sz w:val="24"/>
              <w:szCs w:val="24"/>
              <w:lang w:val="es-MX"/>
            </w:rPr>
            <w:t>La principal fuente de efectivo del proyecto es el recaudo de las estaciones de Peaje y este flujo está compuesto por dos factores: a) por el valor de las tarifas; y b) por el tráfico de vehículos.  El proyecto contempla cinco peajes, de los cuales se encuentran en funcionamiento 5.</w:t>
          </w:r>
        </w:p>
        <w:p w14:paraId="6BBC263D" w14:textId="5A1FC33B" w:rsidR="007803E3" w:rsidRPr="0020113A" w:rsidRDefault="007803E3" w:rsidP="007803E3">
          <w:pPr>
            <w:spacing w:line="257" w:lineRule="auto"/>
            <w:jc w:val="both"/>
            <w:rPr>
              <w:rFonts w:ascii="Times New Roman" w:hAnsi="Times New Roman"/>
              <w:sz w:val="24"/>
              <w:szCs w:val="24"/>
            </w:rPr>
          </w:pPr>
          <w:r w:rsidRPr="0020113A">
            <w:rPr>
              <w:rFonts w:ascii="Times New Roman" w:hAnsi="Times New Roman"/>
              <w:sz w:val="24"/>
              <w:szCs w:val="24"/>
              <w:lang w:val="es-MX"/>
            </w:rPr>
            <w:t>El Recaudo neto de Peajes al cierre de diciembre de 2023 asciende a la suma de $239.723.047.914 pesos corrientes, equivalentes a $174.427.396.086,03 pesos de diciembre de 2012. Durante el año 2023 los ingresos por explotación comercial ascendieron a $47.359.736,55. Al cierre de diciembre de 2023, el VPIP alcanzó un total de $109.426.586.664,66, lo que equivale al 32,46% del VPIP13 y 19,04 del VPIP total. En relación con las vigencias futuras recibidas durante 2023, se realizó el traslado a las subcuentas de unidades funcionales 1 a 3, de acuerdo con su porcentaje de participación dentro del total del contrato y considerando que para estas unidades funcionales ya se esta dando la retribución. No obstante, no se ha realizado el traslado equivalente en dólares a cada unidad funcional. Al cierre de 2023, se encuentra pendiente realizar la retribución en dólares correspondiente al pago de vigencias futuras de 2023.</w:t>
          </w:r>
        </w:p>
        <w:p w14:paraId="2C13E481" w14:textId="77777777" w:rsidR="007803E3" w:rsidRPr="0020113A" w:rsidRDefault="007803E3" w:rsidP="007803E3">
          <w:pPr>
            <w:spacing w:line="257" w:lineRule="auto"/>
            <w:jc w:val="both"/>
            <w:rPr>
              <w:rFonts w:ascii="Times New Roman" w:hAnsi="Times New Roman"/>
              <w:sz w:val="24"/>
              <w:szCs w:val="24"/>
            </w:rPr>
          </w:pPr>
          <w:r w:rsidRPr="0020113A">
            <w:rPr>
              <w:rFonts w:ascii="Times New Roman" w:hAnsi="Times New Roman"/>
              <w:b/>
              <w:bCs/>
              <w:sz w:val="24"/>
              <w:szCs w:val="24"/>
              <w:lang w:val="es-MX"/>
            </w:rPr>
            <w:t xml:space="preserve">Términos de Calendario: </w:t>
          </w:r>
          <w:r w:rsidRPr="0020113A">
            <w:rPr>
              <w:rFonts w:ascii="Times New Roman" w:hAnsi="Times New Roman"/>
              <w:sz w:val="24"/>
              <w:szCs w:val="24"/>
              <w:lang w:val="es-MX"/>
            </w:rPr>
            <w:t>El estado de avance determina la evolución del proceso constructivo. En términos generales a la entrega de la infraestructura y el cumplimiento de los correspondientes niveles de servicio se genera el derecho por parte del concesionario a recibir la retribución. El proyecto se encuentra en la fase Construcción por los EER de las Unidades Funcionales 4 y 5.</w:t>
          </w:r>
        </w:p>
        <w:p w14:paraId="1231E389" w14:textId="77777777" w:rsidR="007803E3" w:rsidRPr="0020113A" w:rsidRDefault="007803E3" w:rsidP="007803E3">
          <w:pPr>
            <w:spacing w:line="257" w:lineRule="auto"/>
            <w:jc w:val="both"/>
            <w:rPr>
              <w:rFonts w:ascii="Times New Roman" w:hAnsi="Times New Roman"/>
              <w:sz w:val="24"/>
              <w:szCs w:val="24"/>
            </w:rPr>
          </w:pPr>
          <w:r w:rsidRPr="0020113A">
            <w:rPr>
              <w:rFonts w:ascii="Times New Roman" w:hAnsi="Times New Roman"/>
              <w:b/>
              <w:bCs/>
              <w:sz w:val="24"/>
              <w:szCs w:val="24"/>
              <w:lang w:val="es-MX"/>
            </w:rPr>
            <w:t xml:space="preserve">Términos de Certeza de Flujos de Efectivo Futuros: </w:t>
          </w:r>
          <w:r w:rsidRPr="0020113A">
            <w:rPr>
              <w:rFonts w:ascii="Times New Roman" w:hAnsi="Times New Roman"/>
              <w:sz w:val="24"/>
              <w:szCs w:val="24"/>
              <w:lang w:val="es-MX"/>
            </w:rPr>
            <w:t xml:space="preserve">Variables que puedan afectar el flujo de efectivo. Variaciones en la demanda por cambios en el volumen de usuarios o en la utilización de la vía. Costos operativos variables que son a riesgo del concesionario. Cambios regulatorios. Variables macroeconómicas (inflación, las tasas de interés, TRM, etc.) que son a riesgo del Concesionario. Condiciones del mercado como la entrada de nuevos competidores o la aparición de tecnologías disruptivas, pueden influir en la demanda y en la estructura de costos. Riesgos de construcción, retrasos en la construcción, costos adicionales no previstos, o problemas en la obtención de permisos pueden afectar el flujo de efectivo. Incumplimientos contractuales y sanciones. Cuestiones ambientales y sociales locales pueden generar retrasos, costos adicionales o restricciones operativas. </w:t>
          </w:r>
        </w:p>
        <w:p w14:paraId="1EF2BADD" w14:textId="77777777" w:rsidR="007803E3" w:rsidRPr="0020113A" w:rsidRDefault="007803E3" w:rsidP="00E60BAB">
          <w:pPr>
            <w:pStyle w:val="Prrafodelista"/>
            <w:numPr>
              <w:ilvl w:val="0"/>
              <w:numId w:val="102"/>
            </w:numPr>
            <w:spacing w:line="257" w:lineRule="auto"/>
            <w:jc w:val="both"/>
            <w:rPr>
              <w:rFonts w:ascii="Times New Roman" w:hAnsi="Times New Roman"/>
              <w:b/>
              <w:bCs/>
              <w:sz w:val="24"/>
              <w:szCs w:val="24"/>
              <w:lang w:val="es-MX"/>
            </w:rPr>
          </w:pPr>
          <w:r w:rsidRPr="0020113A">
            <w:rPr>
              <w:rFonts w:ascii="Times New Roman" w:hAnsi="Times New Roman"/>
              <w:b/>
              <w:bCs/>
              <w:sz w:val="24"/>
              <w:szCs w:val="24"/>
              <w:lang w:val="es-MX"/>
            </w:rPr>
            <w:t>Naturaleza y alcance del derecho a utilizar activos especificados, de los aspectos pactados en torno a lo que se espera que el concesionario proporcione en relación con el acuerdo de concesión</w:t>
          </w:r>
        </w:p>
        <w:p w14:paraId="60F77DAF" w14:textId="77777777" w:rsidR="007803E3" w:rsidRPr="0020113A" w:rsidRDefault="007803E3" w:rsidP="007803E3">
          <w:pPr>
            <w:spacing w:line="257" w:lineRule="auto"/>
            <w:jc w:val="both"/>
            <w:rPr>
              <w:rFonts w:ascii="Times New Roman" w:hAnsi="Times New Roman"/>
              <w:sz w:val="24"/>
              <w:szCs w:val="24"/>
            </w:rPr>
          </w:pPr>
          <w:r w:rsidRPr="0020113A">
            <w:rPr>
              <w:rFonts w:ascii="Times New Roman" w:hAnsi="Times New Roman"/>
              <w:b/>
              <w:bCs/>
              <w:sz w:val="24"/>
              <w:szCs w:val="24"/>
              <w:lang w:val="es-MX"/>
            </w:rPr>
            <w:t>Naturaleza y alcance del derecho de uso de los activos</w:t>
          </w:r>
        </w:p>
        <w:p w14:paraId="119D94C5" w14:textId="77777777" w:rsidR="007803E3" w:rsidRPr="0020113A" w:rsidRDefault="007803E3" w:rsidP="007803E3">
          <w:pPr>
            <w:spacing w:line="257" w:lineRule="auto"/>
            <w:jc w:val="both"/>
            <w:rPr>
              <w:rFonts w:ascii="Times New Roman" w:hAnsi="Times New Roman"/>
              <w:sz w:val="24"/>
              <w:szCs w:val="24"/>
            </w:rPr>
          </w:pPr>
          <w:r w:rsidRPr="0020113A">
            <w:rPr>
              <w:rFonts w:ascii="Times New Roman" w:hAnsi="Times New Roman"/>
              <w:b/>
              <w:bCs/>
              <w:sz w:val="24"/>
              <w:szCs w:val="24"/>
              <w:lang w:val="es-MX"/>
            </w:rPr>
            <w:lastRenderedPageBreak/>
            <w:t xml:space="preserve">Descripción: </w:t>
          </w:r>
          <w:r w:rsidRPr="0020113A">
            <w:rPr>
              <w:rFonts w:ascii="Times New Roman" w:hAnsi="Times New Roman"/>
              <w:sz w:val="24"/>
              <w:szCs w:val="24"/>
              <w:lang w:val="es-MX"/>
            </w:rPr>
            <w:t xml:space="preserve">La sección 4.5 (a) del Capítulo IV de la Parte Especial del Contrato determina la infraestructura programada para ser recibida por el Concesionario al inicio del Contrato. </w:t>
          </w:r>
        </w:p>
        <w:p w14:paraId="6560F626" w14:textId="77777777" w:rsidR="007803E3" w:rsidRPr="0020113A" w:rsidRDefault="007803E3" w:rsidP="007803E3">
          <w:pPr>
            <w:spacing w:line="257" w:lineRule="auto"/>
            <w:jc w:val="both"/>
            <w:rPr>
              <w:rFonts w:ascii="Times New Roman" w:hAnsi="Times New Roman"/>
              <w:sz w:val="24"/>
              <w:szCs w:val="24"/>
            </w:rPr>
          </w:pPr>
          <w:r w:rsidRPr="0020113A">
            <w:rPr>
              <w:rFonts w:ascii="Times New Roman" w:hAnsi="Times New Roman"/>
              <w:b/>
              <w:bCs/>
              <w:sz w:val="24"/>
              <w:szCs w:val="24"/>
              <w:lang w:val="es-MX"/>
            </w:rPr>
            <w:t>Observaciones:</w:t>
          </w:r>
          <w:r w:rsidRPr="0020113A">
            <w:rPr>
              <w:rFonts w:ascii="Times New Roman" w:hAnsi="Times New Roman"/>
              <w:sz w:val="24"/>
              <w:szCs w:val="24"/>
              <w:lang w:val="es-MX"/>
            </w:rPr>
            <w:t xml:space="preserve"> No se tiene ninguna observación. </w:t>
          </w:r>
        </w:p>
        <w:p w14:paraId="53CFEC91" w14:textId="77777777" w:rsidR="007803E3" w:rsidRPr="0020113A" w:rsidRDefault="007803E3" w:rsidP="007803E3">
          <w:pPr>
            <w:spacing w:line="257" w:lineRule="auto"/>
            <w:jc w:val="both"/>
            <w:rPr>
              <w:rFonts w:ascii="Times New Roman" w:hAnsi="Times New Roman"/>
              <w:sz w:val="24"/>
              <w:szCs w:val="24"/>
            </w:rPr>
          </w:pPr>
          <w:r w:rsidRPr="0020113A">
            <w:rPr>
              <w:rFonts w:ascii="Times New Roman" w:hAnsi="Times New Roman"/>
              <w:b/>
              <w:bCs/>
              <w:sz w:val="24"/>
              <w:szCs w:val="24"/>
              <w:lang w:val="es-MX"/>
            </w:rPr>
            <w:t>Retribución al Concesionario</w:t>
          </w:r>
        </w:p>
        <w:p w14:paraId="6AB34B91" w14:textId="77777777" w:rsidR="007803E3" w:rsidRPr="0020113A" w:rsidRDefault="007803E3" w:rsidP="007803E3">
          <w:pPr>
            <w:spacing w:line="257" w:lineRule="auto"/>
            <w:jc w:val="both"/>
            <w:rPr>
              <w:rFonts w:ascii="Times New Roman" w:hAnsi="Times New Roman"/>
              <w:sz w:val="24"/>
              <w:szCs w:val="24"/>
            </w:rPr>
          </w:pPr>
          <w:r w:rsidRPr="0020113A">
            <w:rPr>
              <w:rFonts w:ascii="Times New Roman" w:hAnsi="Times New Roman"/>
              <w:b/>
              <w:bCs/>
              <w:sz w:val="24"/>
              <w:szCs w:val="24"/>
              <w:lang w:val="es-MX"/>
            </w:rPr>
            <w:t xml:space="preserve">Descripción: </w:t>
          </w:r>
          <w:r w:rsidRPr="0020113A">
            <w:rPr>
              <w:rFonts w:ascii="Times New Roman" w:hAnsi="Times New Roman"/>
              <w:sz w:val="24"/>
              <w:szCs w:val="24"/>
              <w:lang w:val="es-MX"/>
            </w:rPr>
            <w:t>De acuerdo con la sección 1.138 de la Parte General la retribución se define como: “Se refiere a la contraprestación económica a la que tiene derecho el Concesionario en los términos de la Sección 3.1 de esta Parte General. El reconocimiento de la Retribución –y de la Compensación Especial, cuando sea aplicable– se verificará mediante los traslados entre las subcuentas del Patrimonio Autónomo a los que se refiere dicha Sección. En el caso en que el Concesionario decida instrumentar mecanismos de financiación a través de uno o varios Patrimonios Autónomos-Deuda, incluido el mecanismo previsto en el Apéndice Financiero 2, el reconocimiento de la Retribución se verificará mediante el traslado de las subcuentas del Patrimonio Autónomo que correspondan, de conformidad con este Contrato, a dicho(s) Patrimonio(s) Autónomo(s)-Deuda. El reconocimiento de la Retribución –y de la Compensación Especial, cuando sea aplicable– también se podrá efectuar mediante el traslado de recursos directamente a los Cesionarios Especiales, tal y como se prevé en el Apéndice Financiero 2..”</w:t>
          </w:r>
        </w:p>
        <w:p w14:paraId="3764EBBB" w14:textId="6F7C0EB1" w:rsidR="007803E3" w:rsidRPr="0020113A" w:rsidRDefault="007803E3" w:rsidP="007803E3">
          <w:pPr>
            <w:spacing w:line="257" w:lineRule="auto"/>
            <w:jc w:val="both"/>
            <w:rPr>
              <w:rFonts w:ascii="Times New Roman" w:hAnsi="Times New Roman"/>
              <w:sz w:val="24"/>
              <w:szCs w:val="24"/>
            </w:rPr>
          </w:pPr>
          <w:r w:rsidRPr="0020113A">
            <w:rPr>
              <w:rFonts w:ascii="Times New Roman" w:hAnsi="Times New Roman"/>
              <w:b/>
              <w:bCs/>
              <w:sz w:val="24"/>
              <w:szCs w:val="24"/>
              <w:lang w:val="es-MX"/>
            </w:rPr>
            <w:t>Tasa de Retribución:</w:t>
          </w:r>
          <w:r w:rsidRPr="0020113A">
            <w:rPr>
              <w:rFonts w:ascii="Times New Roman" w:hAnsi="Times New Roman"/>
              <w:sz w:val="24"/>
              <w:szCs w:val="24"/>
              <w:lang w:val="es-MX"/>
            </w:rPr>
            <w:t xml:space="preserve"> La tasa de descuento real (TDI) expresada en términos efectivos mensuales, para efectos de este proyecto, es de 0,5671%.</w:t>
          </w:r>
        </w:p>
        <w:p w14:paraId="35B440DF" w14:textId="77777777" w:rsidR="007803E3" w:rsidRPr="0020113A" w:rsidRDefault="007803E3" w:rsidP="00E60BAB">
          <w:pPr>
            <w:pStyle w:val="Prrafodelista"/>
            <w:numPr>
              <w:ilvl w:val="0"/>
              <w:numId w:val="102"/>
            </w:numPr>
            <w:spacing w:line="257" w:lineRule="auto"/>
            <w:jc w:val="both"/>
            <w:rPr>
              <w:rFonts w:ascii="Times New Roman" w:hAnsi="Times New Roman"/>
              <w:b/>
              <w:bCs/>
              <w:sz w:val="24"/>
              <w:szCs w:val="24"/>
              <w:lang w:val="es-MX"/>
            </w:rPr>
          </w:pPr>
          <w:r w:rsidRPr="0020113A">
            <w:rPr>
              <w:rFonts w:ascii="Times New Roman" w:hAnsi="Times New Roman"/>
              <w:b/>
              <w:bCs/>
              <w:sz w:val="24"/>
              <w:szCs w:val="24"/>
              <w:lang w:val="es-MX"/>
            </w:rPr>
            <w:t>Derechos a recibir activos especificados al final del acuerdo de concesión</w:t>
          </w:r>
        </w:p>
        <w:p w14:paraId="5F297FFB" w14:textId="77777777" w:rsidR="007803E3" w:rsidRPr="0020113A" w:rsidRDefault="007803E3" w:rsidP="007803E3">
          <w:pPr>
            <w:spacing w:line="257" w:lineRule="auto"/>
            <w:jc w:val="both"/>
            <w:rPr>
              <w:rFonts w:ascii="Times New Roman" w:hAnsi="Times New Roman"/>
              <w:sz w:val="24"/>
              <w:szCs w:val="24"/>
            </w:rPr>
          </w:pPr>
          <w:r w:rsidRPr="0020113A">
            <w:rPr>
              <w:rFonts w:ascii="Times New Roman" w:hAnsi="Times New Roman"/>
              <w:b/>
              <w:bCs/>
              <w:sz w:val="24"/>
              <w:szCs w:val="24"/>
              <w:lang w:val="es-MX"/>
            </w:rPr>
            <w:t xml:space="preserve">Descripción: </w:t>
          </w:r>
          <w:r w:rsidRPr="0020113A">
            <w:rPr>
              <w:rFonts w:ascii="Times New Roman" w:hAnsi="Times New Roman"/>
              <w:sz w:val="24"/>
              <w:szCs w:val="24"/>
              <w:lang w:val="es-MX"/>
            </w:rPr>
            <w:t xml:space="preserve">Corresponde al procedimiento señalado en la sección 9.7 de la Parte General, mediante el cual el Concesionario entrega los bienes asociados al proyecto a la ANI para dar por terminado el contrato. “(…) (b) </w:t>
          </w:r>
          <w:r w:rsidRPr="0020113A">
            <w:rPr>
              <w:rFonts w:ascii="Times New Roman" w:hAnsi="Times New Roman"/>
              <w:sz w:val="24"/>
              <w:szCs w:val="24"/>
            </w:rPr>
            <w:tab/>
          </w:r>
          <w:r w:rsidRPr="0020113A">
            <w:rPr>
              <w:rFonts w:ascii="Times New Roman" w:hAnsi="Times New Roman"/>
              <w:sz w:val="24"/>
              <w:szCs w:val="24"/>
              <w:lang w:val="es-MX"/>
            </w:rPr>
            <w:t xml:space="preserve">Se entenderá que la ANI se hará propietario de las obras que conforman el Proyecto al momento de su ejecución, incluyendo, además, pero sin limitarse, las Estaciones de Peaje y Estaciones de Pesaje, y la totalidad de los bienes muebles o inmuebles por destinación o adhesión que se encuentren en las mismas. El Concesionario conservará la mera tenencia de estos bienes para efectos del cumplimiento del Contrato y será responsable de la guardia material y jurídica de los bienes que conforman el Proyecto. (c) </w:t>
          </w:r>
          <w:r w:rsidRPr="0020113A">
            <w:rPr>
              <w:rFonts w:ascii="Times New Roman" w:hAnsi="Times New Roman"/>
              <w:sz w:val="24"/>
              <w:szCs w:val="24"/>
            </w:rPr>
            <w:tab/>
          </w:r>
          <w:r w:rsidRPr="0020113A">
            <w:rPr>
              <w:rFonts w:ascii="Times New Roman" w:hAnsi="Times New Roman"/>
              <w:sz w:val="24"/>
              <w:szCs w:val="24"/>
              <w:lang w:val="es-MX"/>
            </w:rPr>
            <w:t>Los bienes de propiedad de la ANI, y, en general, todos los bienes inmuebles con todas sus anexidades, los bienes muebles, los equipos, software y demás activos que hacen parte del Proyecto, serán entregados a la ANI, en las condiciones señaladas en el Apéndice Técnico 2 al momento de la terminación de la Etapa de Reversión. (…)”</w:t>
          </w:r>
        </w:p>
        <w:p w14:paraId="561F9946" w14:textId="77777777" w:rsidR="007803E3" w:rsidRPr="0020113A" w:rsidRDefault="007803E3" w:rsidP="007803E3">
          <w:pPr>
            <w:spacing w:line="257" w:lineRule="auto"/>
            <w:jc w:val="both"/>
            <w:rPr>
              <w:rFonts w:ascii="Times New Roman" w:hAnsi="Times New Roman"/>
              <w:sz w:val="24"/>
              <w:szCs w:val="24"/>
            </w:rPr>
          </w:pPr>
          <w:r w:rsidRPr="0020113A">
            <w:rPr>
              <w:rFonts w:ascii="Times New Roman" w:hAnsi="Times New Roman"/>
              <w:b/>
              <w:bCs/>
              <w:sz w:val="24"/>
              <w:szCs w:val="24"/>
              <w:lang w:val="es-MX"/>
            </w:rPr>
            <w:t xml:space="preserve">Observaciones: </w:t>
          </w:r>
          <w:r w:rsidRPr="0020113A">
            <w:rPr>
              <w:rFonts w:ascii="Times New Roman" w:hAnsi="Times New Roman"/>
              <w:sz w:val="24"/>
              <w:szCs w:val="24"/>
              <w:lang w:val="es-MX"/>
            </w:rPr>
            <w:t>No se tiene ninguna observación.</w:t>
          </w:r>
        </w:p>
        <w:p w14:paraId="1547EB26" w14:textId="1695D387" w:rsidR="007803E3" w:rsidRPr="0020113A" w:rsidRDefault="00C82058" w:rsidP="00E60BAB">
          <w:pPr>
            <w:pStyle w:val="Prrafodelista"/>
            <w:numPr>
              <w:ilvl w:val="0"/>
              <w:numId w:val="102"/>
            </w:numPr>
            <w:spacing w:line="257" w:lineRule="auto"/>
            <w:jc w:val="both"/>
            <w:rPr>
              <w:rFonts w:ascii="Times New Roman" w:hAnsi="Times New Roman"/>
              <w:b/>
              <w:bCs/>
              <w:sz w:val="24"/>
              <w:szCs w:val="24"/>
              <w:lang w:val="es-MX"/>
            </w:rPr>
          </w:pPr>
          <w:r>
            <w:rPr>
              <w:rFonts w:ascii="Times New Roman" w:hAnsi="Times New Roman"/>
              <w:b/>
              <w:bCs/>
              <w:sz w:val="24"/>
              <w:szCs w:val="24"/>
              <w:lang w:val="es-MX"/>
            </w:rPr>
            <w:t>No hay c</w:t>
          </w:r>
          <w:r w:rsidR="007803E3" w:rsidRPr="0020113A">
            <w:rPr>
              <w:rFonts w:ascii="Times New Roman" w:hAnsi="Times New Roman"/>
              <w:b/>
              <w:bCs/>
              <w:sz w:val="24"/>
              <w:szCs w:val="24"/>
              <w:lang w:val="es-MX"/>
            </w:rPr>
            <w:t>ambios en el acuerdo de concesión que se realicen durante el periodo fiscal</w:t>
          </w:r>
        </w:p>
        <w:p w14:paraId="581C038B" w14:textId="77777777" w:rsidR="007803E3" w:rsidRPr="0020113A" w:rsidRDefault="007803E3" w:rsidP="007803E3">
          <w:pPr>
            <w:rPr>
              <w:rFonts w:ascii="Times New Roman" w:hAnsi="Times New Roman"/>
              <w:b/>
              <w:sz w:val="24"/>
              <w:szCs w:val="24"/>
              <w:lang w:val="es-MX"/>
            </w:rPr>
          </w:pPr>
        </w:p>
        <w:p w14:paraId="45C0E062" w14:textId="77777777" w:rsidR="007803E3" w:rsidRPr="0020113A" w:rsidRDefault="007803E3" w:rsidP="007803E3">
          <w:pPr>
            <w:rPr>
              <w:rFonts w:ascii="Times New Roman" w:hAnsi="Times New Roman"/>
              <w:b/>
              <w:bCs/>
              <w:sz w:val="24"/>
              <w:szCs w:val="24"/>
              <w:lang w:val="es-MX"/>
            </w:rPr>
          </w:pPr>
          <w:r w:rsidRPr="0020113A">
            <w:rPr>
              <w:rFonts w:ascii="Times New Roman" w:hAnsi="Times New Roman"/>
              <w:b/>
              <w:sz w:val="24"/>
              <w:szCs w:val="24"/>
              <w:lang w:val="es-MX"/>
            </w:rPr>
            <w:t>ACCESOS NORTE 1</w:t>
          </w:r>
        </w:p>
        <w:p w14:paraId="136CF73B" w14:textId="77777777" w:rsidR="007803E3" w:rsidRPr="0020113A" w:rsidRDefault="007803E3" w:rsidP="00E60BAB">
          <w:pPr>
            <w:pStyle w:val="Prrafodelista"/>
            <w:numPr>
              <w:ilvl w:val="0"/>
              <w:numId w:val="98"/>
            </w:numPr>
            <w:spacing w:line="257" w:lineRule="auto"/>
            <w:jc w:val="both"/>
            <w:rPr>
              <w:rFonts w:ascii="Times New Roman" w:hAnsi="Times New Roman"/>
              <w:b/>
              <w:bCs/>
              <w:sz w:val="24"/>
              <w:szCs w:val="24"/>
              <w:lang w:val="es-MX"/>
            </w:rPr>
          </w:pPr>
          <w:r w:rsidRPr="0020113A">
            <w:rPr>
              <w:rFonts w:ascii="Times New Roman" w:hAnsi="Times New Roman"/>
              <w:b/>
              <w:bCs/>
              <w:sz w:val="24"/>
              <w:szCs w:val="24"/>
              <w:lang w:val="es-MX"/>
            </w:rPr>
            <w:t>Descripción del Acuerdo</w:t>
          </w:r>
        </w:p>
        <w:p w14:paraId="56554DED" w14:textId="77777777" w:rsidR="007803E3" w:rsidRPr="0020113A" w:rsidRDefault="007803E3" w:rsidP="18BAD2EC">
          <w:pPr>
            <w:spacing w:after="0" w:line="257" w:lineRule="auto"/>
            <w:jc w:val="both"/>
            <w:rPr>
              <w:rFonts w:ascii="Times New Roman" w:hAnsi="Times New Roman"/>
              <w:sz w:val="24"/>
              <w:szCs w:val="24"/>
            </w:rPr>
          </w:pPr>
          <w:r w:rsidRPr="0020113A">
            <w:rPr>
              <w:rFonts w:ascii="Times New Roman" w:hAnsi="Times New Roman"/>
              <w:b/>
              <w:bCs/>
              <w:sz w:val="24"/>
              <w:szCs w:val="24"/>
              <w:lang w:val="es-MX"/>
            </w:rPr>
            <w:lastRenderedPageBreak/>
            <w:t xml:space="preserve">Número del Acuerdo de Concesión:  </w:t>
          </w:r>
          <w:r w:rsidRPr="0020113A">
            <w:rPr>
              <w:rFonts w:ascii="Times New Roman" w:hAnsi="Times New Roman"/>
              <w:sz w:val="24"/>
              <w:szCs w:val="24"/>
              <w:lang w:val="es-MX"/>
            </w:rPr>
            <w:t>Nº001 del 10 de enero de 2017</w:t>
          </w:r>
        </w:p>
        <w:p w14:paraId="219B5F7B" w14:textId="77777777" w:rsidR="007803E3" w:rsidRPr="0020113A" w:rsidRDefault="007803E3" w:rsidP="18BAD2EC">
          <w:pPr>
            <w:spacing w:after="0" w:line="257" w:lineRule="auto"/>
            <w:jc w:val="both"/>
            <w:rPr>
              <w:rFonts w:ascii="Times New Roman" w:hAnsi="Times New Roman"/>
              <w:sz w:val="24"/>
              <w:szCs w:val="24"/>
            </w:rPr>
          </w:pPr>
          <w:r w:rsidRPr="0020113A">
            <w:rPr>
              <w:rFonts w:ascii="Times New Roman" w:hAnsi="Times New Roman"/>
              <w:b/>
              <w:bCs/>
              <w:sz w:val="24"/>
              <w:szCs w:val="24"/>
              <w:lang w:val="es-MX"/>
            </w:rPr>
            <w:t xml:space="preserve">Objeto / Descripción: </w:t>
          </w:r>
          <w:r w:rsidRPr="0020113A">
            <w:rPr>
              <w:rFonts w:ascii="Times New Roman" w:hAnsi="Times New Roman"/>
              <w:sz w:val="24"/>
              <w:szCs w:val="24"/>
              <w:lang w:val="es-MX"/>
            </w:rPr>
            <w:t>De acuerdo al numeral 2.1 del Capítulo II de la Parte General del Contrato de Concesión se tiene que: “El presente Contrato de concesión bajo un esquema de asociación público-privada en los términos de la Ley 1508 de 2012, tiene por objeto el otorgamiento de una concesión para que de conformidad con lo previsto en este Contrato, el Concesionario, por su cuenta y riesgo, lleve a cabo el Proyecto. El alcance físico se describe en la Parte Especial y en el Apéndice Técnico 1.”</w:t>
          </w:r>
        </w:p>
        <w:p w14:paraId="60AAB81D" w14:textId="77777777" w:rsidR="007803E3" w:rsidRPr="0020113A" w:rsidRDefault="007803E3" w:rsidP="18BAD2EC">
          <w:pPr>
            <w:spacing w:after="0" w:line="257" w:lineRule="auto"/>
            <w:jc w:val="both"/>
            <w:rPr>
              <w:rFonts w:ascii="Times New Roman" w:hAnsi="Times New Roman"/>
              <w:sz w:val="24"/>
              <w:szCs w:val="24"/>
            </w:rPr>
          </w:pPr>
          <w:r w:rsidRPr="0020113A">
            <w:rPr>
              <w:rFonts w:ascii="Times New Roman" w:hAnsi="Times New Roman"/>
              <w:b/>
              <w:bCs/>
              <w:sz w:val="24"/>
              <w:szCs w:val="24"/>
              <w:lang w:val="es-MX"/>
            </w:rPr>
            <w:t xml:space="preserve">Valor Inicial: </w:t>
          </w:r>
          <w:r w:rsidRPr="0020113A">
            <w:rPr>
              <w:rFonts w:ascii="Times New Roman" w:hAnsi="Times New Roman"/>
              <w:sz w:val="24"/>
              <w:szCs w:val="24"/>
              <w:lang w:val="es-MX"/>
            </w:rPr>
            <w:t>Un billón doscientos veinticinco mil seiscientos ochenta y seis millones doscientos cuarenta y siete mil doscientos cuarenta</w:t>
          </w:r>
          <w:r w:rsidRPr="0020113A">
            <w:rPr>
              <w:rFonts w:ascii="Times New Roman" w:hAnsi="Times New Roman"/>
              <w:b/>
              <w:bCs/>
              <w:sz w:val="24"/>
              <w:szCs w:val="24"/>
              <w:lang w:val="es-MX"/>
            </w:rPr>
            <w:t xml:space="preserve"> </w:t>
          </w:r>
          <w:r w:rsidRPr="0020113A">
            <w:rPr>
              <w:rFonts w:ascii="Times New Roman" w:hAnsi="Times New Roman"/>
              <w:sz w:val="24"/>
              <w:szCs w:val="24"/>
              <w:lang w:val="es-MX"/>
            </w:rPr>
            <w:t>$1.225.686.247.240 pesos de Diciembre de 2014</w:t>
          </w:r>
        </w:p>
        <w:p w14:paraId="106626DA" w14:textId="77777777" w:rsidR="007803E3" w:rsidRPr="0020113A" w:rsidRDefault="007803E3" w:rsidP="008F25E9">
          <w:pPr>
            <w:spacing w:after="0" w:line="257" w:lineRule="auto"/>
            <w:jc w:val="both"/>
            <w:rPr>
              <w:rFonts w:ascii="Times New Roman" w:hAnsi="Times New Roman"/>
              <w:sz w:val="24"/>
              <w:szCs w:val="24"/>
            </w:rPr>
          </w:pPr>
          <w:r w:rsidRPr="0020113A">
            <w:rPr>
              <w:rFonts w:ascii="Times New Roman" w:hAnsi="Times New Roman"/>
              <w:b/>
              <w:bCs/>
              <w:sz w:val="24"/>
              <w:szCs w:val="24"/>
              <w:lang w:val="es-MX"/>
            </w:rPr>
            <w:t xml:space="preserve">Fecha de Inicio: </w:t>
          </w:r>
          <w:r w:rsidRPr="0020113A">
            <w:rPr>
              <w:rFonts w:ascii="Times New Roman" w:hAnsi="Times New Roman"/>
              <w:sz w:val="24"/>
              <w:szCs w:val="24"/>
              <w:lang w:val="es-MX"/>
            </w:rPr>
            <w:t>07/04/2017</w:t>
          </w:r>
        </w:p>
        <w:p w14:paraId="39ED2567" w14:textId="77777777" w:rsidR="007803E3" w:rsidRPr="0020113A" w:rsidRDefault="007803E3" w:rsidP="008F25E9">
          <w:pPr>
            <w:spacing w:after="0" w:line="257" w:lineRule="auto"/>
            <w:jc w:val="both"/>
            <w:rPr>
              <w:rFonts w:ascii="Times New Roman" w:hAnsi="Times New Roman"/>
              <w:sz w:val="24"/>
              <w:szCs w:val="24"/>
            </w:rPr>
          </w:pPr>
          <w:r w:rsidRPr="0020113A">
            <w:rPr>
              <w:rFonts w:ascii="Times New Roman" w:hAnsi="Times New Roman"/>
              <w:b/>
              <w:bCs/>
              <w:sz w:val="24"/>
              <w:szCs w:val="24"/>
              <w:lang w:val="es-MX"/>
            </w:rPr>
            <w:t xml:space="preserve">Fecha de Finalización Estimada: </w:t>
          </w:r>
          <w:r w:rsidRPr="0020113A">
            <w:rPr>
              <w:rFonts w:ascii="Times New Roman" w:hAnsi="Times New Roman"/>
              <w:sz w:val="24"/>
              <w:szCs w:val="24"/>
              <w:lang w:val="es-MX"/>
            </w:rPr>
            <w:t>07/04/2042</w:t>
          </w:r>
        </w:p>
        <w:p w14:paraId="59C0C0B3" w14:textId="77777777" w:rsidR="007803E3" w:rsidRPr="0020113A" w:rsidRDefault="007803E3" w:rsidP="008F25E9">
          <w:pPr>
            <w:spacing w:after="0" w:line="257" w:lineRule="auto"/>
            <w:jc w:val="both"/>
            <w:rPr>
              <w:rFonts w:ascii="Times New Roman" w:hAnsi="Times New Roman"/>
              <w:sz w:val="24"/>
              <w:szCs w:val="24"/>
            </w:rPr>
          </w:pPr>
          <w:r w:rsidRPr="0020113A">
            <w:rPr>
              <w:rFonts w:ascii="Times New Roman" w:hAnsi="Times New Roman"/>
              <w:b/>
              <w:bCs/>
              <w:sz w:val="24"/>
              <w:szCs w:val="24"/>
              <w:lang w:val="es-MX"/>
            </w:rPr>
            <w:t xml:space="preserve">Tipo ID: </w:t>
          </w:r>
          <w:r w:rsidRPr="0020113A">
            <w:rPr>
              <w:rFonts w:ascii="Times New Roman" w:hAnsi="Times New Roman"/>
              <w:sz w:val="24"/>
              <w:szCs w:val="24"/>
              <w:lang w:val="es-MX"/>
            </w:rPr>
            <w:t>NIT</w:t>
          </w:r>
        </w:p>
        <w:p w14:paraId="52AD7C87" w14:textId="77777777" w:rsidR="007803E3" w:rsidRPr="0020113A" w:rsidRDefault="007803E3" w:rsidP="008F25E9">
          <w:pPr>
            <w:spacing w:after="0" w:line="257" w:lineRule="auto"/>
            <w:jc w:val="both"/>
            <w:rPr>
              <w:rFonts w:ascii="Times New Roman" w:hAnsi="Times New Roman"/>
              <w:sz w:val="24"/>
              <w:szCs w:val="24"/>
            </w:rPr>
          </w:pPr>
          <w:r w:rsidRPr="0020113A">
            <w:rPr>
              <w:rFonts w:ascii="Times New Roman" w:hAnsi="Times New Roman"/>
              <w:b/>
              <w:bCs/>
              <w:sz w:val="24"/>
              <w:szCs w:val="24"/>
              <w:lang w:val="es-MX"/>
            </w:rPr>
            <w:t xml:space="preserve">Numero ID: </w:t>
          </w:r>
          <w:r w:rsidRPr="0020113A">
            <w:rPr>
              <w:rFonts w:ascii="Times New Roman" w:hAnsi="Times New Roman"/>
              <w:sz w:val="24"/>
              <w:szCs w:val="24"/>
              <w:lang w:val="es-MX"/>
            </w:rPr>
            <w:t>901.039.225-8</w:t>
          </w:r>
        </w:p>
        <w:p w14:paraId="648F174A" w14:textId="77777777" w:rsidR="007803E3" w:rsidRPr="0020113A" w:rsidRDefault="007803E3" w:rsidP="008F25E9">
          <w:pPr>
            <w:spacing w:after="0" w:line="257" w:lineRule="auto"/>
            <w:jc w:val="both"/>
            <w:rPr>
              <w:rFonts w:ascii="Times New Roman" w:hAnsi="Times New Roman"/>
              <w:sz w:val="24"/>
              <w:szCs w:val="24"/>
            </w:rPr>
          </w:pPr>
          <w:r w:rsidRPr="0020113A">
            <w:rPr>
              <w:rFonts w:ascii="Times New Roman" w:hAnsi="Times New Roman"/>
              <w:b/>
              <w:bCs/>
              <w:sz w:val="24"/>
              <w:szCs w:val="24"/>
              <w:lang w:val="es-MX"/>
            </w:rPr>
            <w:t xml:space="preserve">Razón Social del Concesionario: </w:t>
          </w:r>
          <w:r w:rsidRPr="0020113A">
            <w:rPr>
              <w:rFonts w:ascii="Times New Roman" w:hAnsi="Times New Roman"/>
              <w:sz w:val="24"/>
              <w:szCs w:val="24"/>
              <w:lang w:val="es-MX"/>
            </w:rPr>
            <w:t>Accesos Norte de Bogotá SAS – Accenorte SAS</w:t>
          </w:r>
        </w:p>
        <w:p w14:paraId="607D6053" w14:textId="77777777" w:rsidR="007803E3" w:rsidRDefault="007803E3" w:rsidP="008F25E9">
          <w:pPr>
            <w:spacing w:after="0" w:line="257" w:lineRule="auto"/>
            <w:jc w:val="both"/>
            <w:rPr>
              <w:rFonts w:ascii="Times New Roman" w:hAnsi="Times New Roman"/>
              <w:sz w:val="24"/>
              <w:szCs w:val="24"/>
              <w:lang w:val="es-MX"/>
            </w:rPr>
          </w:pPr>
          <w:r w:rsidRPr="0020113A">
            <w:rPr>
              <w:rFonts w:ascii="Times New Roman" w:hAnsi="Times New Roman"/>
              <w:b/>
              <w:bCs/>
              <w:sz w:val="24"/>
              <w:szCs w:val="24"/>
              <w:lang w:val="es-MX"/>
            </w:rPr>
            <w:t xml:space="preserve">Nombre del Proyecto: </w:t>
          </w:r>
          <w:r w:rsidRPr="0020113A">
            <w:rPr>
              <w:rFonts w:ascii="Times New Roman" w:hAnsi="Times New Roman"/>
              <w:sz w:val="24"/>
              <w:szCs w:val="24"/>
              <w:lang w:val="es-MX"/>
            </w:rPr>
            <w:t>IP Accesos Norte de Bogotá</w:t>
          </w:r>
        </w:p>
        <w:p w14:paraId="715C8A48" w14:textId="77777777" w:rsidR="00A1352A" w:rsidRPr="009A46BB" w:rsidRDefault="00A1352A" w:rsidP="008F25E9">
          <w:pPr>
            <w:spacing w:after="0" w:line="257" w:lineRule="auto"/>
            <w:jc w:val="both"/>
            <w:rPr>
              <w:rFonts w:ascii="Times New Roman" w:hAnsi="Times New Roman"/>
              <w:sz w:val="24"/>
              <w:szCs w:val="24"/>
            </w:rPr>
          </w:pPr>
        </w:p>
        <w:p w14:paraId="44E54650" w14:textId="77777777" w:rsidR="007803E3" w:rsidRPr="0020113A" w:rsidRDefault="007803E3" w:rsidP="00E60BAB">
          <w:pPr>
            <w:pStyle w:val="Prrafodelista"/>
            <w:numPr>
              <w:ilvl w:val="0"/>
              <w:numId w:val="98"/>
            </w:numPr>
            <w:spacing w:line="257" w:lineRule="auto"/>
            <w:jc w:val="both"/>
            <w:rPr>
              <w:rFonts w:ascii="Times New Roman" w:hAnsi="Times New Roman"/>
              <w:b/>
              <w:bCs/>
              <w:sz w:val="24"/>
              <w:szCs w:val="24"/>
              <w:lang w:val="es-MX"/>
            </w:rPr>
          </w:pPr>
          <w:r w:rsidRPr="0020113A">
            <w:rPr>
              <w:rFonts w:ascii="Times New Roman" w:hAnsi="Times New Roman"/>
              <w:b/>
              <w:bCs/>
              <w:sz w:val="24"/>
              <w:szCs w:val="24"/>
              <w:lang w:val="es-MX"/>
            </w:rPr>
            <w:t>Términos significativos del acuerdo que puedan afectar su valor, el calendario y la certeza de los flujos</w:t>
          </w:r>
        </w:p>
        <w:p w14:paraId="2AC75610" w14:textId="77777777" w:rsidR="007803E3" w:rsidRPr="0020113A" w:rsidRDefault="007803E3" w:rsidP="007803E3">
          <w:pPr>
            <w:spacing w:line="257" w:lineRule="auto"/>
            <w:jc w:val="both"/>
            <w:rPr>
              <w:rFonts w:ascii="Times New Roman" w:hAnsi="Times New Roman"/>
              <w:sz w:val="24"/>
              <w:szCs w:val="24"/>
            </w:rPr>
          </w:pPr>
          <w:r w:rsidRPr="0020113A">
            <w:rPr>
              <w:rFonts w:ascii="Times New Roman" w:hAnsi="Times New Roman"/>
              <w:b/>
              <w:bCs/>
              <w:sz w:val="24"/>
              <w:szCs w:val="24"/>
              <w:lang w:val="es-MX"/>
            </w:rPr>
            <w:t xml:space="preserve">Términos de Valor: </w:t>
          </w:r>
          <w:r w:rsidRPr="0020113A">
            <w:rPr>
              <w:rFonts w:ascii="Times New Roman" w:hAnsi="Times New Roman"/>
              <w:sz w:val="24"/>
              <w:szCs w:val="24"/>
              <w:lang w:val="es-MX"/>
            </w:rPr>
            <w:t>Recaudo de Peaje: las tarifas aplicadas en cada peaje son las definidas específicamente mediante resolución de la autoridad competente para el proyecto, las que se aplicarán a los todos los vehículos según su categoría, anualmente se actualizan esas tarifas utilizando el IPC;  Aportes de la Nación: El proyecto no cuenta con Aportes de la Nación por ser una Iniciativa Privada.; El Esquema Tarifario según la Resoluciones Nos. 0937del 12 Abril de 1994, 05640 del 4 de septiembre de 1996, 00005 de enero de 2000 y 0003084 del 25 de octubre de 2000. El Gobierno Nacional a través del Decreto No.0050 de 2023, se ordenó no incrementar las tarifas de peaje a vehículos que transiten por el territorio nacional por las estaciones de peaje a cargo del INVIAS y de la ANI. Con base en la expedición del Decreto 0050 de 2023, fue necesario reestablecer las tarifas a las cobradas durante la vigencia de 2022 para las Estaciones de Peaje.</w:t>
          </w:r>
        </w:p>
        <w:p w14:paraId="725915CD" w14:textId="6EA62DCD" w:rsidR="18BAD2EC" w:rsidRDefault="18BAD2EC" w:rsidP="18BAD2EC">
          <w:pPr>
            <w:spacing w:line="257" w:lineRule="auto"/>
            <w:jc w:val="both"/>
            <w:rPr>
              <w:rFonts w:ascii="Times New Roman" w:hAnsi="Times New Roman"/>
              <w:b/>
              <w:bCs/>
              <w:sz w:val="24"/>
              <w:szCs w:val="24"/>
              <w:lang w:val="es-MX"/>
            </w:rPr>
          </w:pPr>
        </w:p>
        <w:p w14:paraId="3C3D65FA" w14:textId="77777777" w:rsidR="007803E3" w:rsidRPr="0020113A" w:rsidRDefault="007803E3" w:rsidP="007803E3">
          <w:pPr>
            <w:spacing w:line="257" w:lineRule="auto"/>
            <w:jc w:val="both"/>
            <w:rPr>
              <w:rFonts w:ascii="Times New Roman" w:hAnsi="Times New Roman"/>
              <w:sz w:val="24"/>
              <w:szCs w:val="24"/>
            </w:rPr>
          </w:pPr>
          <w:r w:rsidRPr="0020113A">
            <w:rPr>
              <w:rFonts w:ascii="Times New Roman" w:hAnsi="Times New Roman"/>
              <w:b/>
              <w:bCs/>
              <w:sz w:val="24"/>
              <w:szCs w:val="24"/>
              <w:lang w:val="es-MX"/>
            </w:rPr>
            <w:t xml:space="preserve">Términos de Calendario: </w:t>
          </w:r>
          <w:r w:rsidRPr="0020113A">
            <w:rPr>
              <w:rFonts w:ascii="Times New Roman" w:hAnsi="Times New Roman"/>
              <w:sz w:val="24"/>
              <w:szCs w:val="24"/>
              <w:lang w:val="es-MX"/>
            </w:rPr>
            <w:t>Las Tarifas de los Peajes de la Concesión se actualizarán cada 16 de enero con las fórmulas de IPC., con formula de redondeo a la centena. Con  la terminación de cada Unidad Funcional el concesionario puede recibir retribución por recaudo . La etapa de Construcción se inició el 06 de abril de 2018; el 01 de Diciembre de 2017 es la fecha de entrega del corredor e inicio de recaudo del proyecto; 7 de Diciembre de 2023: Fecha de entrega de la UF 1, 26 de Febrero de 2021: Fecha de entrega de la UF 2, la UF 3 está en revisión por modificación en el Licenciamiento Ambienta lo cual implica modificación de los diseños y la UF4 corresponde a Operación y Mantenimiento.</w:t>
          </w:r>
        </w:p>
        <w:p w14:paraId="1A7DEA36" w14:textId="77777777" w:rsidR="007803E3" w:rsidRPr="0020113A" w:rsidRDefault="007803E3" w:rsidP="007803E3">
          <w:pPr>
            <w:spacing w:line="257" w:lineRule="auto"/>
            <w:jc w:val="both"/>
            <w:rPr>
              <w:rFonts w:ascii="Times New Roman" w:hAnsi="Times New Roman"/>
              <w:sz w:val="24"/>
              <w:szCs w:val="24"/>
            </w:rPr>
          </w:pPr>
          <w:r w:rsidRPr="0020113A">
            <w:rPr>
              <w:rFonts w:ascii="Times New Roman" w:hAnsi="Times New Roman"/>
              <w:b/>
              <w:bCs/>
              <w:sz w:val="24"/>
              <w:szCs w:val="24"/>
              <w:lang w:val="es-MX"/>
            </w:rPr>
            <w:t xml:space="preserve">Términos de Certeza de Flujos de Efectivo Futuros: </w:t>
          </w:r>
          <w:r w:rsidRPr="0020113A">
            <w:rPr>
              <w:rFonts w:ascii="Times New Roman" w:hAnsi="Times New Roman"/>
              <w:sz w:val="24"/>
              <w:szCs w:val="24"/>
              <w:lang w:val="es-MX"/>
            </w:rPr>
            <w:t xml:space="preserve">Variables que puedan afectar el flujo de efectivo. Variaciones en la demanda por cambios en el volumen de usuarios o en la </w:t>
          </w:r>
          <w:r w:rsidRPr="0020113A">
            <w:rPr>
              <w:rFonts w:ascii="Times New Roman" w:hAnsi="Times New Roman"/>
              <w:sz w:val="24"/>
              <w:szCs w:val="24"/>
              <w:lang w:val="es-MX"/>
            </w:rPr>
            <w:lastRenderedPageBreak/>
            <w:t>utilización de la vía. Costos operativos variables que son a riesgo del concesionario. Cambios regulatorios. Variables macroeconómicas (inflación, las tasas de interés, TRM, etc.) que son a riesgo del Concesionario. Condiciones del mercado como la entrada de nuevos competidores o la aparición de tecnologías disruptivas, pueden influir en la demanda y en la estructura de costos. Riesgos de construcción y preoperativos, retrasos en la construcción, costos adicionales no previstos, o problemas en la obtención de permisos pueden afectar el flujo de efectivo. Incumplimientos contractuales y sanciones. Cuestiones ambientales y sociales locales pueden generar retrasos, costos adicionales o restricciones operativas.</w:t>
          </w:r>
        </w:p>
        <w:p w14:paraId="6B8ECA8B" w14:textId="77777777" w:rsidR="007803E3" w:rsidRPr="0020113A" w:rsidRDefault="007803E3" w:rsidP="00E60BAB">
          <w:pPr>
            <w:pStyle w:val="Prrafodelista"/>
            <w:numPr>
              <w:ilvl w:val="0"/>
              <w:numId w:val="98"/>
            </w:numPr>
            <w:spacing w:line="257" w:lineRule="auto"/>
            <w:jc w:val="both"/>
            <w:rPr>
              <w:rFonts w:ascii="Times New Roman" w:hAnsi="Times New Roman"/>
              <w:b/>
              <w:bCs/>
              <w:sz w:val="24"/>
              <w:szCs w:val="24"/>
              <w:lang w:val="es-MX"/>
            </w:rPr>
          </w:pPr>
          <w:r w:rsidRPr="0020113A">
            <w:rPr>
              <w:rFonts w:ascii="Times New Roman" w:hAnsi="Times New Roman"/>
              <w:b/>
              <w:bCs/>
              <w:sz w:val="24"/>
              <w:szCs w:val="24"/>
              <w:lang w:val="es-MX"/>
            </w:rPr>
            <w:t>Naturaleza y alcance del derecho a utilizar activos especificados, de los aspectos pactados en torno a lo que se espera que el concesionario proporcione en relación con el acuerdo de concesión</w:t>
          </w:r>
        </w:p>
        <w:p w14:paraId="5FFD27C9" w14:textId="77777777" w:rsidR="007803E3" w:rsidRPr="0020113A" w:rsidRDefault="007803E3" w:rsidP="007803E3">
          <w:pPr>
            <w:spacing w:line="257" w:lineRule="auto"/>
            <w:jc w:val="center"/>
            <w:rPr>
              <w:rFonts w:ascii="Times New Roman" w:hAnsi="Times New Roman"/>
              <w:sz w:val="24"/>
              <w:szCs w:val="24"/>
            </w:rPr>
          </w:pPr>
          <w:r w:rsidRPr="0020113A">
            <w:rPr>
              <w:rFonts w:ascii="Times New Roman" w:hAnsi="Times New Roman"/>
              <w:b/>
              <w:bCs/>
              <w:sz w:val="24"/>
              <w:szCs w:val="24"/>
              <w:lang w:val="es-MX"/>
            </w:rPr>
            <w:t>Naturaleza y alcance del derecho de uso de los activos</w:t>
          </w:r>
        </w:p>
        <w:p w14:paraId="0DEC3C70" w14:textId="77777777" w:rsidR="007803E3" w:rsidRPr="0020113A" w:rsidRDefault="007803E3" w:rsidP="007803E3">
          <w:pPr>
            <w:spacing w:line="257" w:lineRule="auto"/>
            <w:jc w:val="both"/>
            <w:rPr>
              <w:rFonts w:ascii="Times New Roman" w:hAnsi="Times New Roman"/>
              <w:sz w:val="24"/>
              <w:szCs w:val="24"/>
            </w:rPr>
          </w:pPr>
          <w:r w:rsidRPr="0020113A">
            <w:rPr>
              <w:rFonts w:ascii="Times New Roman" w:hAnsi="Times New Roman"/>
              <w:b/>
              <w:bCs/>
              <w:sz w:val="24"/>
              <w:szCs w:val="24"/>
              <w:lang w:val="es-MX"/>
            </w:rPr>
            <w:t xml:space="preserve">Descripción: </w:t>
          </w:r>
          <w:r w:rsidRPr="0020113A">
            <w:rPr>
              <w:rFonts w:ascii="Times New Roman" w:hAnsi="Times New Roman"/>
              <w:sz w:val="24"/>
              <w:szCs w:val="24"/>
              <w:lang w:val="es-MX"/>
            </w:rPr>
            <w:t>El proyecto tiene una longitud estimada en términos de Origen-Destino de 59,19 Km y comprenden entre otros aspectos constructivos: La ampliación de la autopista norte en los sentidos norte-sur y sur-norte, desde la calle 245, hasta la Caro, en una longitud de 3.2 Km aproximadamente, la construcción de andenes y ciclorutas. De igual manera, se contempla la construcción de la segunda calzada de la carrera séptima, y su adecuación para el cumplimiento de los estándares de la Ley 105, desde la calle 245 hasta la Caro, en una longitud de 4.91 Km aproximadamente. Adicionalmente se realiza la construcción de la variante del municipio de Chía, también llamada Troncal de Los Andes, la cual cuenta con una longitud de 3.4 Km en doble calzada, e incluye el diseño y la construcción del respectivo puente vehicular sobre el Rio Bogotá, así como la intersección correspondiente en la autopista norte, considerando todos los posibles giros para los vehículos. Consecuentemente se cedió el derecho de recaudo de peajes, junto con la custodia y resguardo del efectivo, además de la explotación comercial del corredor. Estas dos fuentes de efectivo constituyen la fuente de pago de retribución del concesionario en los términos y condiciones del contrato de concesión 001 de 2017.</w:t>
          </w:r>
        </w:p>
        <w:p w14:paraId="3AD7562D" w14:textId="77777777" w:rsidR="007803E3" w:rsidRPr="0020113A" w:rsidRDefault="007803E3" w:rsidP="007803E3">
          <w:pPr>
            <w:spacing w:line="257" w:lineRule="auto"/>
            <w:jc w:val="both"/>
            <w:rPr>
              <w:rFonts w:ascii="Times New Roman" w:hAnsi="Times New Roman"/>
              <w:sz w:val="24"/>
              <w:szCs w:val="24"/>
            </w:rPr>
          </w:pPr>
          <w:r w:rsidRPr="0020113A">
            <w:rPr>
              <w:rFonts w:ascii="Times New Roman" w:hAnsi="Times New Roman"/>
              <w:b/>
              <w:bCs/>
              <w:sz w:val="24"/>
              <w:szCs w:val="24"/>
              <w:lang w:val="es-MX"/>
            </w:rPr>
            <w:t>Observaciones:</w:t>
          </w:r>
          <w:r w:rsidRPr="0020113A">
            <w:rPr>
              <w:rFonts w:ascii="Times New Roman" w:hAnsi="Times New Roman"/>
              <w:sz w:val="24"/>
              <w:szCs w:val="24"/>
              <w:lang w:val="es-MX"/>
            </w:rPr>
            <w:t xml:space="preserve"> No se tiene ninguna observación. </w:t>
          </w:r>
        </w:p>
        <w:p w14:paraId="7211CCBE" w14:textId="77777777" w:rsidR="007803E3" w:rsidRPr="0020113A" w:rsidRDefault="007803E3" w:rsidP="007803E3">
          <w:pPr>
            <w:spacing w:line="257" w:lineRule="auto"/>
            <w:jc w:val="center"/>
            <w:rPr>
              <w:rFonts w:ascii="Times New Roman" w:hAnsi="Times New Roman"/>
              <w:sz w:val="24"/>
              <w:szCs w:val="24"/>
            </w:rPr>
          </w:pPr>
          <w:r w:rsidRPr="0020113A">
            <w:rPr>
              <w:rFonts w:ascii="Times New Roman" w:hAnsi="Times New Roman"/>
              <w:b/>
              <w:bCs/>
              <w:sz w:val="24"/>
              <w:szCs w:val="24"/>
              <w:lang w:val="es-MX"/>
            </w:rPr>
            <w:t>Retribución al Concesionario</w:t>
          </w:r>
        </w:p>
        <w:p w14:paraId="2FE89168" w14:textId="77777777" w:rsidR="007803E3" w:rsidRPr="0020113A" w:rsidRDefault="007803E3" w:rsidP="007803E3">
          <w:pPr>
            <w:spacing w:line="257" w:lineRule="auto"/>
            <w:jc w:val="both"/>
            <w:rPr>
              <w:rFonts w:ascii="Times New Roman" w:hAnsi="Times New Roman"/>
              <w:sz w:val="24"/>
              <w:szCs w:val="24"/>
              <w:lang w:val="es-MX"/>
            </w:rPr>
          </w:pPr>
          <w:r w:rsidRPr="0020113A">
            <w:rPr>
              <w:rFonts w:ascii="Times New Roman" w:hAnsi="Times New Roman"/>
              <w:b/>
              <w:bCs/>
              <w:sz w:val="24"/>
              <w:szCs w:val="24"/>
              <w:lang w:val="es-MX"/>
            </w:rPr>
            <w:t xml:space="preserve">Descripción: </w:t>
          </w:r>
          <w:r w:rsidRPr="0020113A">
            <w:rPr>
              <w:rFonts w:ascii="Times New Roman" w:hAnsi="Times New Roman"/>
              <w:sz w:val="24"/>
              <w:szCs w:val="24"/>
              <w:lang w:val="es-MX"/>
            </w:rPr>
            <w:t xml:space="preserve">De acuerdo con la sección 1.147 de la Parte General la retribución se define como: “Se refiere a la contraprestación económica a la que tiene derecho el Concesionario en los términos de la Sección 3.1 de esta Parte General. El reconocimiento de la Retribución –y de la Compensación Especial, cuando sea aplicable– se realizará mediante los traslados entre las subcuentas del Patrimonio Autónomo a los que se refiere dicha Sección. En el caso en que el Concesionario decida instrumentar mecanismos de financiación a través de uno o varios Patrimonios Autónomos-Deuda, incluido el mecanismo previsto en el Apéndice Financiero 2, el reconocimiento de la Retribución se realizará mediante el traslado de las subcuentas del Patrimonio Autónomo que correspondan, de conformidad con este Contrato, a dicho(s) Patrimonio(s) Autónomo(s)-Deuda. El reconocimiento de la Retribución –y de la Compensación Especial, cuando sea aplicable– también se podrá efectuar mediante el traslado de recursos directamente a los Cesionarios Especiales, tal y como se prevé en el Apéndice </w:t>
          </w:r>
          <w:r w:rsidRPr="0020113A">
            <w:rPr>
              <w:rFonts w:ascii="Times New Roman" w:hAnsi="Times New Roman"/>
              <w:sz w:val="24"/>
              <w:szCs w:val="24"/>
              <w:lang w:val="es-MX"/>
            </w:rPr>
            <w:lastRenderedPageBreak/>
            <w:t>Financiero 2.” En la sección 4.3 de la Parte Especial del contrato de concesión se establece el cálculo de la retribución al concesionario. En este sentido, el proyecto tiene dos Unidades Funcionales, operacionales (1, 2 y 4).</w:t>
          </w:r>
        </w:p>
        <w:p w14:paraId="081F0A57" w14:textId="77777777" w:rsidR="007803E3" w:rsidRPr="0020113A" w:rsidRDefault="007803E3" w:rsidP="007803E3">
          <w:pPr>
            <w:spacing w:line="257" w:lineRule="auto"/>
            <w:jc w:val="both"/>
            <w:rPr>
              <w:rFonts w:ascii="Times New Roman" w:hAnsi="Times New Roman"/>
              <w:sz w:val="24"/>
              <w:szCs w:val="24"/>
            </w:rPr>
          </w:pPr>
          <w:r w:rsidRPr="0020113A">
            <w:rPr>
              <w:rFonts w:ascii="Times New Roman" w:hAnsi="Times New Roman"/>
              <w:b/>
              <w:bCs/>
              <w:sz w:val="24"/>
              <w:szCs w:val="24"/>
              <w:lang w:val="es-MX"/>
            </w:rPr>
            <w:t>Tasa de Retribución:</w:t>
          </w:r>
          <w:r w:rsidRPr="0020113A">
            <w:rPr>
              <w:rFonts w:ascii="Times New Roman" w:hAnsi="Times New Roman"/>
              <w:sz w:val="24"/>
              <w:szCs w:val="24"/>
              <w:lang w:val="es-MX"/>
            </w:rPr>
            <w:t xml:space="preserve"> La tasa de costo de capital con la cual se definió el proyecto fue de 8,08% Efectiva Anual, esta tasa de interés se encuentra expresada en términos reales, es decir, sin tener en cuenta la inflación. La tasa de descuento real (TDI) expresada en términos efectivos mensuales, para efectos de este proyecto, es de cero coma sesenta y cuatro noventa y siete por ciento (0,6497%)</w:t>
          </w:r>
        </w:p>
        <w:p w14:paraId="29DC70FE" w14:textId="77777777" w:rsidR="007803E3" w:rsidRPr="0020113A" w:rsidRDefault="007803E3" w:rsidP="00E60BAB">
          <w:pPr>
            <w:pStyle w:val="Prrafodelista"/>
            <w:numPr>
              <w:ilvl w:val="0"/>
              <w:numId w:val="98"/>
            </w:numPr>
            <w:spacing w:line="257" w:lineRule="auto"/>
            <w:jc w:val="both"/>
            <w:rPr>
              <w:rFonts w:ascii="Times New Roman" w:hAnsi="Times New Roman"/>
              <w:b/>
              <w:bCs/>
              <w:sz w:val="24"/>
              <w:szCs w:val="24"/>
              <w:lang w:val="es-MX"/>
            </w:rPr>
          </w:pPr>
          <w:r w:rsidRPr="0020113A">
            <w:rPr>
              <w:rFonts w:ascii="Times New Roman" w:hAnsi="Times New Roman"/>
              <w:b/>
              <w:bCs/>
              <w:sz w:val="24"/>
              <w:szCs w:val="24"/>
              <w:lang w:val="es-MX"/>
            </w:rPr>
            <w:t>Derechos a recibir activos especificados al final del acuerdo de concesión</w:t>
          </w:r>
        </w:p>
        <w:p w14:paraId="08E77B65" w14:textId="77777777" w:rsidR="007803E3" w:rsidRPr="0020113A" w:rsidRDefault="007803E3" w:rsidP="007803E3">
          <w:pPr>
            <w:spacing w:line="257" w:lineRule="auto"/>
            <w:jc w:val="both"/>
            <w:rPr>
              <w:rFonts w:ascii="Times New Roman" w:hAnsi="Times New Roman"/>
              <w:sz w:val="24"/>
              <w:szCs w:val="24"/>
            </w:rPr>
          </w:pPr>
          <w:r w:rsidRPr="0020113A">
            <w:rPr>
              <w:rFonts w:ascii="Times New Roman" w:hAnsi="Times New Roman"/>
              <w:b/>
              <w:bCs/>
              <w:sz w:val="24"/>
              <w:szCs w:val="24"/>
              <w:lang w:val="es-MX"/>
            </w:rPr>
            <w:t xml:space="preserve">Descripción: </w:t>
          </w:r>
          <w:r w:rsidRPr="0020113A">
            <w:rPr>
              <w:rFonts w:ascii="Times New Roman" w:hAnsi="Times New Roman"/>
              <w:sz w:val="24"/>
              <w:szCs w:val="24"/>
              <w:lang w:val="es-MX"/>
            </w:rPr>
            <w:t>El contrato de concesión define la recepción de los activos entregados en los siguientes términos: “La etapa de Reversión es la tercera etapa del Contrato de Concesión durante la cual se adelantarán todas las actividades necesarias para la Reversión de los bienes de la Concesión. Esta iniciará en uno de los siguientes momentos: i) a la Fecha de Terminación de la Etapa de Operación y Mantenimiento o, ii) cuando se declare la Terminación Anticipada del Contrato en cualquiera de sus etapas. La Etapa de Reversión culminará cuando i) se suscriba el Acta de Reversión o ii) se venza el Plazo Máximo de la Etapa de Reversión, lo que ocurra primero. Durante la Etapa de Reversión el Concesionario deberá continuar con las actividades de Operación y Mantenimiento del Proyecto”</w:t>
          </w:r>
        </w:p>
        <w:p w14:paraId="3375913B" w14:textId="77777777" w:rsidR="007803E3" w:rsidRPr="0020113A" w:rsidRDefault="007803E3" w:rsidP="007803E3">
          <w:pPr>
            <w:spacing w:line="257" w:lineRule="auto"/>
            <w:jc w:val="both"/>
            <w:rPr>
              <w:rFonts w:ascii="Times New Roman" w:hAnsi="Times New Roman"/>
              <w:sz w:val="24"/>
              <w:szCs w:val="24"/>
            </w:rPr>
          </w:pPr>
          <w:r w:rsidRPr="0020113A">
            <w:rPr>
              <w:rFonts w:ascii="Times New Roman" w:hAnsi="Times New Roman"/>
              <w:b/>
              <w:bCs/>
              <w:sz w:val="24"/>
              <w:szCs w:val="24"/>
              <w:lang w:val="es-MX"/>
            </w:rPr>
            <w:t xml:space="preserve">Observaciones: </w:t>
          </w:r>
          <w:r w:rsidRPr="0020113A">
            <w:rPr>
              <w:rFonts w:ascii="Times New Roman" w:hAnsi="Times New Roman"/>
              <w:sz w:val="24"/>
              <w:szCs w:val="24"/>
              <w:lang w:val="es-MX"/>
            </w:rPr>
            <w:t>No se tiene ninguna observación.</w:t>
          </w:r>
        </w:p>
        <w:p w14:paraId="40515F79" w14:textId="6B0CC8A6" w:rsidR="007803E3" w:rsidRPr="0020113A" w:rsidRDefault="00247181" w:rsidP="00E60BAB">
          <w:pPr>
            <w:pStyle w:val="Prrafodelista"/>
            <w:numPr>
              <w:ilvl w:val="0"/>
              <w:numId w:val="98"/>
            </w:numPr>
            <w:spacing w:line="257" w:lineRule="auto"/>
            <w:jc w:val="both"/>
            <w:rPr>
              <w:rFonts w:ascii="Times New Roman" w:hAnsi="Times New Roman"/>
              <w:b/>
              <w:bCs/>
              <w:sz w:val="24"/>
              <w:szCs w:val="24"/>
              <w:lang w:val="es-MX"/>
            </w:rPr>
          </w:pPr>
          <w:r>
            <w:rPr>
              <w:rFonts w:ascii="Times New Roman" w:hAnsi="Times New Roman"/>
              <w:b/>
              <w:bCs/>
              <w:sz w:val="24"/>
              <w:szCs w:val="24"/>
              <w:lang w:val="es-MX"/>
            </w:rPr>
            <w:t>No hay c</w:t>
          </w:r>
          <w:r w:rsidR="007803E3" w:rsidRPr="0020113A">
            <w:rPr>
              <w:rFonts w:ascii="Times New Roman" w:hAnsi="Times New Roman"/>
              <w:b/>
              <w:bCs/>
              <w:sz w:val="24"/>
              <w:szCs w:val="24"/>
              <w:lang w:val="es-MX"/>
            </w:rPr>
            <w:t>ambios en el acuerdo de concesión que se realicen durante el periodo fiscal</w:t>
          </w:r>
        </w:p>
        <w:p w14:paraId="0CF7F2D9" w14:textId="77777777" w:rsidR="007803E3" w:rsidRPr="0020113A" w:rsidRDefault="007803E3" w:rsidP="007803E3">
          <w:pPr>
            <w:rPr>
              <w:rFonts w:ascii="Times New Roman" w:hAnsi="Times New Roman"/>
              <w:b/>
              <w:sz w:val="24"/>
              <w:szCs w:val="24"/>
              <w:lang w:val="es-MX"/>
            </w:rPr>
          </w:pPr>
        </w:p>
        <w:p w14:paraId="1F2C31E5" w14:textId="77777777" w:rsidR="007803E3" w:rsidRPr="0020113A" w:rsidRDefault="007803E3" w:rsidP="007803E3">
          <w:pPr>
            <w:jc w:val="both"/>
            <w:rPr>
              <w:rFonts w:ascii="Times New Roman" w:hAnsi="Times New Roman"/>
              <w:b/>
              <w:sz w:val="24"/>
              <w:szCs w:val="24"/>
              <w:lang w:val="es-MX"/>
            </w:rPr>
          </w:pPr>
          <w:r w:rsidRPr="0020113A">
            <w:rPr>
              <w:rFonts w:ascii="Times New Roman" w:hAnsi="Times New Roman"/>
              <w:b/>
              <w:sz w:val="24"/>
              <w:szCs w:val="24"/>
              <w:lang w:val="es-MX"/>
            </w:rPr>
            <w:t>ACCESOS NORTE 2</w:t>
          </w:r>
        </w:p>
        <w:p w14:paraId="7D82E778" w14:textId="77777777" w:rsidR="007803E3" w:rsidRPr="0020113A" w:rsidRDefault="007803E3" w:rsidP="00E60BAB">
          <w:pPr>
            <w:pStyle w:val="Prrafodelista"/>
            <w:numPr>
              <w:ilvl w:val="0"/>
              <w:numId w:val="100"/>
            </w:numPr>
            <w:spacing w:line="259" w:lineRule="auto"/>
            <w:jc w:val="both"/>
            <w:rPr>
              <w:rFonts w:ascii="Times New Roman" w:hAnsi="Times New Roman"/>
              <w:b/>
              <w:sz w:val="24"/>
              <w:szCs w:val="24"/>
              <w:lang w:val="es-MX"/>
            </w:rPr>
          </w:pPr>
          <w:r w:rsidRPr="0020113A">
            <w:rPr>
              <w:rFonts w:ascii="Times New Roman" w:hAnsi="Times New Roman"/>
              <w:b/>
              <w:sz w:val="24"/>
              <w:szCs w:val="24"/>
              <w:lang w:val="es-MX"/>
            </w:rPr>
            <w:t>Descripción del Acuerdo</w:t>
          </w:r>
        </w:p>
        <w:p w14:paraId="21F6D929" w14:textId="77777777" w:rsidR="007803E3" w:rsidRPr="0020113A" w:rsidRDefault="007803E3" w:rsidP="18BAD2EC">
          <w:pPr>
            <w:spacing w:after="0"/>
            <w:jc w:val="both"/>
            <w:rPr>
              <w:rFonts w:ascii="Times New Roman" w:hAnsi="Times New Roman"/>
              <w:b/>
              <w:sz w:val="24"/>
              <w:szCs w:val="24"/>
              <w:lang w:val="es-MX"/>
            </w:rPr>
          </w:pPr>
          <w:r w:rsidRPr="0020113A">
            <w:rPr>
              <w:rFonts w:ascii="Times New Roman" w:hAnsi="Times New Roman"/>
              <w:b/>
              <w:sz w:val="24"/>
              <w:szCs w:val="24"/>
              <w:lang w:val="es-MX"/>
            </w:rPr>
            <w:t xml:space="preserve">Número del Acuerdo de Concesión:  </w:t>
          </w:r>
          <w:r w:rsidRPr="0020113A">
            <w:rPr>
              <w:rFonts w:ascii="Times New Roman" w:hAnsi="Times New Roman"/>
              <w:sz w:val="24"/>
              <w:szCs w:val="24"/>
              <w:lang w:val="es-MX"/>
            </w:rPr>
            <w:t>Nº001 del 01 de abril de 2022</w:t>
          </w:r>
        </w:p>
        <w:p w14:paraId="15F5C965" w14:textId="769EA232" w:rsidR="007803E3" w:rsidRPr="0020113A" w:rsidRDefault="007803E3" w:rsidP="18BAD2EC">
          <w:pPr>
            <w:spacing w:after="0"/>
            <w:jc w:val="both"/>
            <w:rPr>
              <w:rFonts w:ascii="Times New Roman" w:hAnsi="Times New Roman"/>
              <w:sz w:val="24"/>
              <w:szCs w:val="24"/>
              <w:lang w:val="es-MX"/>
            </w:rPr>
          </w:pPr>
          <w:r w:rsidRPr="0020113A">
            <w:rPr>
              <w:rFonts w:ascii="Times New Roman" w:hAnsi="Times New Roman"/>
              <w:b/>
              <w:sz w:val="24"/>
              <w:szCs w:val="24"/>
              <w:lang w:val="es-MX"/>
            </w:rPr>
            <w:t xml:space="preserve">Objeto / Descripción: </w:t>
          </w:r>
          <w:r w:rsidRPr="0020113A">
            <w:rPr>
              <w:rFonts w:ascii="Times New Roman" w:hAnsi="Times New Roman"/>
              <w:sz w:val="24"/>
              <w:szCs w:val="24"/>
              <w:lang w:val="es-MX"/>
            </w:rPr>
            <w:t>De acuerdo al numeral 2.1 del Capítulo II de la Parte General del Contrato de Concesión se tiene que: “El presente Contrato de concesión bajo un esquema de asociación público</w:t>
          </w:r>
          <w:r w:rsidR="00A317E1" w:rsidRPr="0020113A">
            <w:rPr>
              <w:rFonts w:ascii="Times New Roman" w:hAnsi="Times New Roman"/>
              <w:sz w:val="24"/>
              <w:szCs w:val="24"/>
              <w:lang w:val="es-MX"/>
            </w:rPr>
            <w:t>-</w:t>
          </w:r>
          <w:r w:rsidRPr="0020113A">
            <w:rPr>
              <w:rFonts w:ascii="Times New Roman" w:hAnsi="Times New Roman"/>
              <w:sz w:val="24"/>
              <w:szCs w:val="24"/>
              <w:lang w:val="es-MX"/>
            </w:rPr>
            <w:t>privada de iniciativa Pública en los términos de la Ley 1508 de 2012, tiene por objeto el otorgamiento de una concesión para que, de conformidad con lo previsto en este Contrato, el Concesionario, por su cuenta y riesgo, lleve a cabo el Proyecto. El alcance físico del Proyecto se describe en la Parte Especial y en el Apéndice Técnico 1.” Según la Sección 4.2 de la Parte Especial “El Objeto del presente Contrato es la financiación, elaboración de estudios y diseños definitivos, gestión ambiental, gestión predial, gestión social, construcción, rehabilitación, mejoramiento, operación y mantenimiento del corredor PROYECTO ACCESOS NORTE FASE II, de acuerdo con el alcance descrito en la presente Parte Especial, el Apéndice Técnico 1 y demás Apéndices del Contrato.</w:t>
          </w:r>
        </w:p>
        <w:p w14:paraId="113BF6D2" w14:textId="77777777" w:rsidR="007803E3" w:rsidRPr="0020113A" w:rsidRDefault="007803E3" w:rsidP="18BAD2EC">
          <w:pPr>
            <w:spacing w:after="0"/>
            <w:jc w:val="both"/>
            <w:rPr>
              <w:rFonts w:ascii="Times New Roman" w:hAnsi="Times New Roman"/>
              <w:bCs/>
              <w:sz w:val="24"/>
              <w:szCs w:val="24"/>
              <w:lang w:val="es-MX"/>
            </w:rPr>
          </w:pPr>
          <w:r w:rsidRPr="0020113A">
            <w:rPr>
              <w:rFonts w:ascii="Times New Roman" w:hAnsi="Times New Roman"/>
              <w:b/>
              <w:sz w:val="24"/>
              <w:szCs w:val="24"/>
              <w:lang w:val="es-MX"/>
            </w:rPr>
            <w:t xml:space="preserve">Valor Inicial: </w:t>
          </w:r>
          <w:r w:rsidRPr="0020113A">
            <w:rPr>
              <w:rFonts w:ascii="Times New Roman" w:hAnsi="Times New Roman"/>
              <w:bCs/>
              <w:sz w:val="24"/>
              <w:szCs w:val="24"/>
              <w:lang w:val="es-MX"/>
            </w:rPr>
            <w:t xml:space="preserve">El Valor del Contrato es de un billón setecientos noventa y siete mil doscientos sesenta y nueve millones noventa y cinco mil novecientos noventa y cinco pesos ($1.797.269.095.995) del Mes de Referencia. En el evento que se materialice lo dispuesto en </w:t>
          </w:r>
          <w:r w:rsidRPr="0020113A">
            <w:rPr>
              <w:rFonts w:ascii="Times New Roman" w:hAnsi="Times New Roman"/>
              <w:bCs/>
              <w:sz w:val="24"/>
              <w:szCs w:val="24"/>
              <w:lang w:val="es-MX"/>
            </w:rPr>
            <w:lastRenderedPageBreak/>
            <w:t>la Sección 4.2(c) de la Parte Especial, se modificará el valor del Contrato, el cual será la suma de un billón seiscientos sesenta y nueve mil trescientos cincuenta y un millones setecientos veintiún mil cuatrocientos ochenta y ocho pesos ($1.669.351.721.488) del Mes de Referencia.</w:t>
          </w:r>
        </w:p>
        <w:p w14:paraId="44788292" w14:textId="77777777" w:rsidR="007803E3" w:rsidRPr="0020113A" w:rsidRDefault="007803E3" w:rsidP="4051395B">
          <w:pPr>
            <w:spacing w:after="0"/>
            <w:jc w:val="both"/>
            <w:rPr>
              <w:rFonts w:ascii="Times New Roman" w:hAnsi="Times New Roman"/>
              <w:b/>
              <w:sz w:val="24"/>
              <w:szCs w:val="24"/>
              <w:lang w:val="es-MX"/>
            </w:rPr>
          </w:pPr>
          <w:r w:rsidRPr="0020113A">
            <w:rPr>
              <w:rFonts w:ascii="Times New Roman" w:hAnsi="Times New Roman"/>
              <w:b/>
              <w:sz w:val="24"/>
              <w:szCs w:val="24"/>
              <w:lang w:val="es-MX"/>
            </w:rPr>
            <w:t xml:space="preserve">Fecha de Inicio: </w:t>
          </w:r>
          <w:sdt>
            <w:sdtPr>
              <w:rPr>
                <w:rFonts w:ascii="Times New Roman" w:hAnsi="Times New Roman"/>
                <w:sz w:val="24"/>
                <w:szCs w:val="24"/>
              </w:rPr>
              <w:id w:val="887150413"/>
              <w:placeholder>
                <w:docPart w:val="037DFAD754C34935AF510951B5034621"/>
              </w:placeholder>
              <w:date>
                <w:dateFormat w:val="d/MM/yyyy"/>
                <w:lid w:val="es-CO"/>
                <w:storeMappedDataAs w:val="dateTime"/>
                <w:calendar w:val="gregorian"/>
              </w:date>
            </w:sdtPr>
            <w:sdtContent>
              <w:r w:rsidRPr="0020113A">
                <w:rPr>
                  <w:rFonts w:ascii="Times New Roman" w:hAnsi="Times New Roman"/>
                  <w:sz w:val="24"/>
                  <w:szCs w:val="24"/>
                </w:rPr>
                <w:t>23 de junio de 2022</w:t>
              </w:r>
            </w:sdtContent>
          </w:sdt>
        </w:p>
        <w:p w14:paraId="5E36024A" w14:textId="77777777" w:rsidR="007803E3" w:rsidRPr="0020113A" w:rsidRDefault="007803E3" w:rsidP="4051395B">
          <w:pPr>
            <w:spacing w:after="0"/>
            <w:jc w:val="both"/>
            <w:rPr>
              <w:rFonts w:ascii="Times New Roman" w:hAnsi="Times New Roman"/>
              <w:b/>
              <w:sz w:val="24"/>
              <w:szCs w:val="24"/>
              <w:lang w:val="es-MX"/>
            </w:rPr>
          </w:pPr>
          <w:r w:rsidRPr="0020113A">
            <w:rPr>
              <w:rFonts w:ascii="Times New Roman" w:hAnsi="Times New Roman"/>
              <w:b/>
              <w:sz w:val="24"/>
              <w:szCs w:val="24"/>
              <w:lang w:val="es-MX"/>
            </w:rPr>
            <w:t xml:space="preserve">Fecha de Finalización Estimada: </w:t>
          </w:r>
          <w:sdt>
            <w:sdtPr>
              <w:rPr>
                <w:rStyle w:val="Estilo3"/>
              </w:rPr>
              <w:id w:val="1318765954"/>
              <w:placeholder>
                <w:docPart w:val="5416EA45E3DA48E49171817C29FB7D20"/>
              </w:placeholder>
              <w:date>
                <w:dateFormat w:val="d/MM/yyyy"/>
                <w:lid w:val="es-CO"/>
                <w:storeMappedDataAs w:val="dateTime"/>
                <w:calendar w:val="gregorian"/>
              </w:date>
            </w:sdtPr>
            <w:sdtContent>
              <w:r w:rsidRPr="4051395B">
                <w:rPr>
                  <w:rStyle w:val="Estilo3"/>
                </w:rPr>
                <w:t>23 de junio de 2051</w:t>
              </w:r>
            </w:sdtContent>
          </w:sdt>
        </w:p>
        <w:p w14:paraId="5902B642" w14:textId="77777777" w:rsidR="007803E3" w:rsidRPr="0020113A" w:rsidRDefault="007803E3" w:rsidP="4051395B">
          <w:pPr>
            <w:spacing w:after="0"/>
            <w:jc w:val="both"/>
            <w:rPr>
              <w:rFonts w:ascii="Times New Roman" w:hAnsi="Times New Roman"/>
              <w:b/>
              <w:sz w:val="24"/>
              <w:szCs w:val="24"/>
              <w:lang w:val="es-MX"/>
            </w:rPr>
          </w:pPr>
          <w:r w:rsidRPr="0020113A">
            <w:rPr>
              <w:rFonts w:ascii="Times New Roman" w:hAnsi="Times New Roman"/>
              <w:b/>
              <w:sz w:val="24"/>
              <w:szCs w:val="24"/>
              <w:lang w:val="es-MX"/>
            </w:rPr>
            <w:t xml:space="preserve">Tipo ID: </w:t>
          </w:r>
          <w:r w:rsidRPr="0020113A">
            <w:rPr>
              <w:rFonts w:ascii="Times New Roman" w:hAnsi="Times New Roman"/>
              <w:sz w:val="24"/>
              <w:szCs w:val="24"/>
              <w:lang w:val="es-MX"/>
            </w:rPr>
            <w:t>NIT</w:t>
          </w:r>
        </w:p>
        <w:p w14:paraId="5816F8F6" w14:textId="77777777" w:rsidR="007803E3" w:rsidRPr="0020113A" w:rsidRDefault="007803E3" w:rsidP="4051395B">
          <w:pPr>
            <w:spacing w:after="0"/>
            <w:jc w:val="both"/>
            <w:rPr>
              <w:rFonts w:ascii="Times New Roman" w:hAnsi="Times New Roman"/>
              <w:b/>
              <w:sz w:val="24"/>
              <w:szCs w:val="24"/>
              <w:lang w:val="es-MX"/>
            </w:rPr>
          </w:pPr>
          <w:r w:rsidRPr="0020113A">
            <w:rPr>
              <w:rFonts w:ascii="Times New Roman" w:hAnsi="Times New Roman"/>
              <w:b/>
              <w:sz w:val="24"/>
              <w:szCs w:val="24"/>
              <w:lang w:val="es-MX"/>
            </w:rPr>
            <w:t xml:space="preserve">Numero ID: </w:t>
          </w:r>
          <w:r w:rsidRPr="0020113A">
            <w:rPr>
              <w:rFonts w:ascii="Times New Roman" w:hAnsi="Times New Roman"/>
              <w:sz w:val="24"/>
              <w:szCs w:val="24"/>
              <w:lang w:val="es-MX"/>
            </w:rPr>
            <w:t>901.580.796-1</w:t>
          </w:r>
        </w:p>
        <w:p w14:paraId="0459E04B" w14:textId="77777777" w:rsidR="007803E3" w:rsidRPr="0020113A" w:rsidRDefault="007803E3" w:rsidP="4051395B">
          <w:pPr>
            <w:spacing w:after="0"/>
            <w:jc w:val="both"/>
            <w:rPr>
              <w:rFonts w:ascii="Times New Roman" w:hAnsi="Times New Roman"/>
              <w:sz w:val="24"/>
              <w:szCs w:val="24"/>
              <w:lang w:val="es-MX"/>
            </w:rPr>
          </w:pPr>
          <w:r w:rsidRPr="0020113A">
            <w:rPr>
              <w:rFonts w:ascii="Times New Roman" w:hAnsi="Times New Roman"/>
              <w:b/>
              <w:sz w:val="24"/>
              <w:szCs w:val="24"/>
              <w:lang w:val="es-MX"/>
            </w:rPr>
            <w:t xml:space="preserve">Razón Social del Concesionario: </w:t>
          </w:r>
          <w:r w:rsidRPr="0020113A">
            <w:rPr>
              <w:rFonts w:ascii="Times New Roman" w:hAnsi="Times New Roman"/>
              <w:sz w:val="24"/>
              <w:szCs w:val="24"/>
              <w:lang w:val="es-MX"/>
            </w:rPr>
            <w:t>Ruta Bogotá Norte S.A.S</w:t>
          </w:r>
        </w:p>
        <w:p w14:paraId="06FE5871" w14:textId="3B070771" w:rsidR="007803E3" w:rsidRPr="0020113A" w:rsidRDefault="007803E3" w:rsidP="4051395B">
          <w:pPr>
            <w:spacing w:after="0"/>
            <w:jc w:val="both"/>
            <w:rPr>
              <w:rFonts w:ascii="Times New Roman" w:hAnsi="Times New Roman"/>
              <w:sz w:val="24"/>
              <w:szCs w:val="24"/>
              <w:lang w:val="es-MX"/>
            </w:rPr>
          </w:pPr>
          <w:r w:rsidRPr="0020113A">
            <w:rPr>
              <w:rFonts w:ascii="Times New Roman" w:hAnsi="Times New Roman"/>
              <w:b/>
              <w:sz w:val="24"/>
              <w:szCs w:val="24"/>
              <w:lang w:val="es-MX"/>
            </w:rPr>
            <w:t xml:space="preserve">Nombre del Proyecto: </w:t>
          </w:r>
          <w:r w:rsidRPr="0020113A">
            <w:rPr>
              <w:rFonts w:ascii="Times New Roman" w:hAnsi="Times New Roman"/>
              <w:sz w:val="24"/>
              <w:szCs w:val="24"/>
              <w:lang w:val="es-MX"/>
            </w:rPr>
            <w:t>ACCESOS NORTE FASE II</w:t>
          </w:r>
        </w:p>
        <w:p w14:paraId="2037A171" w14:textId="3CED7B3B" w:rsidR="4051395B" w:rsidRDefault="4051395B" w:rsidP="4051395B">
          <w:pPr>
            <w:spacing w:after="0"/>
            <w:jc w:val="both"/>
            <w:rPr>
              <w:rFonts w:ascii="Times New Roman" w:hAnsi="Times New Roman"/>
              <w:sz w:val="24"/>
              <w:szCs w:val="24"/>
              <w:lang w:val="es-MX"/>
            </w:rPr>
          </w:pPr>
        </w:p>
        <w:p w14:paraId="6693AD8E" w14:textId="77777777" w:rsidR="007803E3" w:rsidRPr="0020113A" w:rsidRDefault="007803E3" w:rsidP="00E60BAB">
          <w:pPr>
            <w:pStyle w:val="Prrafodelista"/>
            <w:numPr>
              <w:ilvl w:val="0"/>
              <w:numId w:val="100"/>
            </w:numPr>
            <w:spacing w:line="259" w:lineRule="auto"/>
            <w:jc w:val="both"/>
            <w:rPr>
              <w:rFonts w:ascii="Times New Roman" w:hAnsi="Times New Roman"/>
              <w:b/>
              <w:sz w:val="24"/>
              <w:szCs w:val="24"/>
              <w:lang w:val="es-MX"/>
            </w:rPr>
          </w:pPr>
          <w:r w:rsidRPr="0020113A">
            <w:rPr>
              <w:rFonts w:ascii="Times New Roman" w:hAnsi="Times New Roman"/>
              <w:b/>
              <w:sz w:val="24"/>
              <w:szCs w:val="24"/>
              <w:lang w:val="es-MX"/>
            </w:rPr>
            <w:t>Términos significativos del acuerdo que puedan afectar su valor, el calendario y la certeza de los flujos</w:t>
          </w:r>
        </w:p>
        <w:p w14:paraId="4A761DDE" w14:textId="77777777" w:rsidR="007803E3" w:rsidRPr="0020113A" w:rsidRDefault="007803E3" w:rsidP="007803E3">
          <w:pPr>
            <w:jc w:val="both"/>
            <w:rPr>
              <w:rFonts w:ascii="Times New Roman" w:hAnsi="Times New Roman"/>
              <w:bCs/>
              <w:sz w:val="24"/>
              <w:szCs w:val="24"/>
              <w:lang w:val="es-MX"/>
            </w:rPr>
          </w:pPr>
          <w:r w:rsidRPr="0020113A">
            <w:rPr>
              <w:rFonts w:ascii="Times New Roman" w:hAnsi="Times New Roman"/>
              <w:b/>
              <w:sz w:val="24"/>
              <w:szCs w:val="24"/>
              <w:lang w:val="es-MX"/>
            </w:rPr>
            <w:t xml:space="preserve">Términos de Valor: </w:t>
          </w:r>
          <w:r w:rsidRPr="0020113A">
            <w:rPr>
              <w:rFonts w:ascii="Times New Roman" w:hAnsi="Times New Roman"/>
              <w:sz w:val="24"/>
              <w:szCs w:val="24"/>
              <w:lang w:val="es-MX"/>
            </w:rPr>
            <w:t>La principal fuente de efectivo del proyecto es el recaudo de las estaciones de Peaje y este flujo está compuesto por dos factores: a) por el valor de las tarifas; y b) por el tráfico de vehículos.  La Concesión Ruta Bogotá Norte S.A.S contempla tres (3) estaciones de Peaje existentes, a saber: 1) Andes, 2) Fusca, 3) Unisabana (estación de peaje ubicada en el acceso al Puente Curvo Teletón).  La sección 5.2 (a)(v) de la Parte Especial del Contrato de Concesión define la formula con la cual deberán ser actualizadas las tarifas el dieciséis (16) de enero de cada año. A diciembre de 2023 hace parte de la retribución del Concesionario el recaudo de peaje de las estaciones de peaje Andes, Fusca y Unisabana, las tres casetas de peaje contempladas en el contrato de Concesión No. 001 de 2017 y 001 de 2022 De acuerdo con lo establecido en el contrato de Concesión este proyecto no tiene previsto la realización de Aportes ANI</w:t>
          </w:r>
        </w:p>
        <w:p w14:paraId="30649C1A"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Términos de Calendario: </w:t>
          </w:r>
          <w:r w:rsidRPr="0020113A">
            <w:rPr>
              <w:rFonts w:ascii="Times New Roman" w:hAnsi="Times New Roman"/>
              <w:sz w:val="24"/>
              <w:szCs w:val="24"/>
              <w:lang w:val="es-MX"/>
            </w:rPr>
            <w:t>El estado de avance determina la evolución del proceso constructivo. En términos generales a la entrega de la infraestructura y el cumplimiento de los correspondientes niveles de servicio se genera el derecho por parte del concesionario a recibir la retribución. El proyecto se encuentra en la fase Preconstrucción de la Etapa Preoperativa.</w:t>
          </w:r>
        </w:p>
        <w:p w14:paraId="6DD0F540" w14:textId="51E345ED" w:rsidR="18BAD2EC" w:rsidRDefault="18BAD2EC" w:rsidP="18BAD2EC">
          <w:pPr>
            <w:jc w:val="both"/>
            <w:rPr>
              <w:rFonts w:ascii="Times New Roman" w:hAnsi="Times New Roman"/>
              <w:b/>
              <w:bCs/>
              <w:sz w:val="24"/>
              <w:szCs w:val="24"/>
              <w:lang w:val="es-MX"/>
            </w:rPr>
          </w:pPr>
        </w:p>
        <w:p w14:paraId="1EC54BBE"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Términos de Certeza de Flujos de Efectivo Futuros: </w:t>
          </w:r>
          <w:r w:rsidRPr="0020113A">
            <w:rPr>
              <w:rFonts w:ascii="Times New Roman" w:hAnsi="Times New Roman"/>
              <w:sz w:val="24"/>
              <w:szCs w:val="24"/>
              <w:lang w:val="es-MX"/>
            </w:rPr>
            <w:t>Variables que puedan afectar el flujo de efectivo. Variaciones en la demanda por cambios en el volumen de usuarios o en la utilización de la vía. Costos operativos variables que son a riesgo del concesionario. Cambios regulatorios. Variables macroeconómicas (inflación, las tasas de interés, TRM, etc.) que son a riesgo del Concesionario. Condiciones del mercado como la entrada de nuevos competidores o la aparición de tecnologías disruptivas, pueden influir en la demanda y en la estructura de costos. Riesgos de construcción y preoperativos, retrasos en la construcción, costos adicionales no previstos, o problemas en la obtención de permisos pueden afectar el flujo de efectivo. Incumplimientos contractuales y sanciones. Cuestiones ambientales y sociales locales pueden generar retrasos, costos adicionales o restricciones operativas.</w:t>
          </w:r>
          <w:r w:rsidRPr="0020113A">
            <w:rPr>
              <w:rFonts w:ascii="Times New Roman" w:hAnsi="Times New Roman"/>
              <w:sz w:val="24"/>
              <w:szCs w:val="24"/>
            </w:rPr>
            <w:t xml:space="preserve"> </w:t>
          </w:r>
        </w:p>
        <w:p w14:paraId="11F777A4" w14:textId="77777777" w:rsidR="007803E3" w:rsidRPr="0020113A" w:rsidRDefault="007803E3" w:rsidP="00E60BAB">
          <w:pPr>
            <w:pStyle w:val="Prrafodelista"/>
            <w:numPr>
              <w:ilvl w:val="0"/>
              <w:numId w:val="100"/>
            </w:numPr>
            <w:spacing w:line="259" w:lineRule="auto"/>
            <w:jc w:val="both"/>
            <w:rPr>
              <w:rFonts w:ascii="Times New Roman" w:hAnsi="Times New Roman"/>
              <w:b/>
              <w:sz w:val="24"/>
              <w:szCs w:val="24"/>
              <w:lang w:val="es-MX"/>
            </w:rPr>
          </w:pPr>
          <w:r w:rsidRPr="0020113A">
            <w:rPr>
              <w:rFonts w:ascii="Times New Roman" w:hAnsi="Times New Roman"/>
              <w:b/>
              <w:sz w:val="24"/>
              <w:szCs w:val="24"/>
              <w:lang w:val="es-MX"/>
            </w:rPr>
            <w:t>Naturaleza y alcance del derecho a utilizar activos especificados, de los aspectos pactados en torno a lo que se espera que el concesionario proporcione en relación con el acuerdo de concesión</w:t>
          </w:r>
        </w:p>
        <w:p w14:paraId="5DB58A38" w14:textId="77777777" w:rsidR="007803E3" w:rsidRPr="0020113A" w:rsidRDefault="007803E3" w:rsidP="007803E3">
          <w:pPr>
            <w:jc w:val="center"/>
            <w:rPr>
              <w:rFonts w:ascii="Times New Roman" w:hAnsi="Times New Roman"/>
              <w:b/>
              <w:sz w:val="24"/>
              <w:szCs w:val="24"/>
              <w:lang w:val="es-MX"/>
            </w:rPr>
          </w:pPr>
          <w:r w:rsidRPr="0020113A">
            <w:rPr>
              <w:rFonts w:ascii="Times New Roman" w:hAnsi="Times New Roman"/>
              <w:b/>
              <w:sz w:val="24"/>
              <w:szCs w:val="24"/>
              <w:lang w:val="es-MX"/>
            </w:rPr>
            <w:lastRenderedPageBreak/>
            <w:t>Naturaleza y alcance del derecho de uso de los activos</w:t>
          </w:r>
        </w:p>
        <w:p w14:paraId="188476AA"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Descripción: </w:t>
          </w:r>
          <w:r w:rsidRPr="0020113A">
            <w:rPr>
              <w:rFonts w:ascii="Times New Roman" w:hAnsi="Times New Roman"/>
              <w:sz w:val="24"/>
              <w:szCs w:val="24"/>
              <w:lang w:val="es-MX"/>
            </w:rPr>
            <w:t xml:space="preserve">La sección 4.5 (a) del Capítulo IV de la Parte Especial del Contrato determina la infraestructura programada para ser recibida por el Concesionario al inicio del Contrato. Así mismo, se programó la entrega (Capitulo IV, Sección 4.5(b) - Parte Especial) de los predios del Distrito. </w:t>
          </w:r>
        </w:p>
        <w:p w14:paraId="2CC915F3"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Observaciones:</w:t>
          </w:r>
          <w:r w:rsidRPr="0020113A">
            <w:rPr>
              <w:rFonts w:ascii="Times New Roman" w:hAnsi="Times New Roman"/>
              <w:sz w:val="24"/>
              <w:szCs w:val="24"/>
            </w:rPr>
            <w:t xml:space="preserve"> </w:t>
          </w:r>
          <w:r w:rsidRPr="0020113A">
            <w:rPr>
              <w:rFonts w:ascii="Times New Roman" w:hAnsi="Times New Roman"/>
              <w:sz w:val="24"/>
              <w:szCs w:val="24"/>
              <w:lang w:val="es-MX"/>
            </w:rPr>
            <w:t xml:space="preserve">No se tiene ninguna observación. </w:t>
          </w:r>
        </w:p>
        <w:p w14:paraId="395BDBFA" w14:textId="77777777" w:rsidR="007803E3" w:rsidRPr="0020113A" w:rsidRDefault="007803E3" w:rsidP="007803E3">
          <w:pPr>
            <w:jc w:val="center"/>
            <w:rPr>
              <w:rFonts w:ascii="Times New Roman" w:hAnsi="Times New Roman"/>
              <w:b/>
              <w:sz w:val="24"/>
              <w:szCs w:val="24"/>
              <w:lang w:val="es-MX"/>
            </w:rPr>
          </w:pPr>
          <w:r w:rsidRPr="0020113A">
            <w:rPr>
              <w:rFonts w:ascii="Times New Roman" w:hAnsi="Times New Roman"/>
              <w:b/>
              <w:sz w:val="24"/>
              <w:szCs w:val="24"/>
              <w:lang w:val="es-MX"/>
            </w:rPr>
            <w:t>Retribución al Concesionario</w:t>
          </w:r>
        </w:p>
        <w:p w14:paraId="1412D15A" w14:textId="5B53ACF4"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Descripción: </w:t>
          </w:r>
          <w:r w:rsidRPr="0020113A">
            <w:rPr>
              <w:rFonts w:ascii="Times New Roman" w:hAnsi="Times New Roman"/>
              <w:sz w:val="24"/>
              <w:szCs w:val="24"/>
              <w:lang w:val="es-MX"/>
            </w:rPr>
            <w:t>De acuerdo con la sección 1.167 de la Parte General la retribución se define como: “Se refiere a la contraprestación económica a la que tiene derecho el Concesionario en los términos de la Sección 3.1 de esta Parte General. El reconocimiento de la Retribución –y de la Compensación Especial, cuando sea aplicable– se realizará mediante los traslados entre las subcuentas del Patrimonio Autónomo a los que se refiere dicha Sección. En el caso en que el Concesionario decida instrumentar mecanismos de financiación a través de uno o varios Patrimonios Autónomos-Deuda, incluido el mecanismo previsto en el Apéndice Financiero 2, el reconocimiento de la Retribución se realizará mediante el traslado de las subcuentas del Patrimonio Autónomo que correspondan, de conformidad con este Contrato, a dicho(s) Patrimonio(s) Autónomo(s)-Deuda. El reconocimiento de la Retribución –y de la Compensación Especial, cuando sea aplicable– también se podrá efectuar mediante el traslado de recursos directamente a los Cesionarios Especiales, tal y como se prevé en el Apéndice Financiero 2.”</w:t>
          </w:r>
          <w:r w:rsidR="00AB668B" w:rsidRPr="009A46BB">
            <w:rPr>
              <w:rFonts w:ascii="Times New Roman" w:hAnsi="Times New Roman"/>
              <w:b/>
              <w:sz w:val="24"/>
              <w:szCs w:val="24"/>
              <w:lang w:val="es-MX"/>
            </w:rPr>
            <w:t xml:space="preserve"> </w:t>
          </w:r>
          <w:r w:rsidRPr="0020113A">
            <w:rPr>
              <w:rFonts w:ascii="Times New Roman" w:hAnsi="Times New Roman"/>
              <w:b/>
              <w:sz w:val="24"/>
              <w:szCs w:val="24"/>
              <w:lang w:val="es-MX"/>
            </w:rPr>
            <w:t>Tasa de Retribución:</w:t>
          </w:r>
          <w:r w:rsidRPr="0020113A">
            <w:rPr>
              <w:rFonts w:ascii="Times New Roman" w:hAnsi="Times New Roman"/>
              <w:sz w:val="24"/>
              <w:szCs w:val="24"/>
            </w:rPr>
            <w:t xml:space="preserve"> </w:t>
          </w:r>
          <w:r w:rsidRPr="0020113A">
            <w:rPr>
              <w:rFonts w:ascii="Times New Roman" w:hAnsi="Times New Roman"/>
              <w:sz w:val="24"/>
              <w:szCs w:val="24"/>
              <w:lang w:val="es-MX"/>
            </w:rPr>
            <w:t>La tasa de costo de capital con la cual se definió el proyecto fue de 8,08% Efectiva Anual, esta tasa de interés se encuentra expresada en términos reales, es decir, sin tener en cuenta la inflación. La tasa de descuento real (TDI) expresada en términos efectivos mensuales, para efectos de este proyecto, es de cero coma sesenta y cuatro noventa y siete por ciento (0,6497%)</w:t>
          </w:r>
        </w:p>
        <w:p w14:paraId="30F620C5" w14:textId="77777777" w:rsidR="007803E3" w:rsidRPr="0020113A" w:rsidRDefault="007803E3" w:rsidP="00E60BAB">
          <w:pPr>
            <w:pStyle w:val="Prrafodelista"/>
            <w:numPr>
              <w:ilvl w:val="0"/>
              <w:numId w:val="100"/>
            </w:numPr>
            <w:spacing w:line="259" w:lineRule="auto"/>
            <w:jc w:val="both"/>
            <w:rPr>
              <w:rFonts w:ascii="Times New Roman" w:hAnsi="Times New Roman"/>
              <w:b/>
              <w:sz w:val="24"/>
              <w:szCs w:val="24"/>
              <w:lang w:val="es-MX"/>
            </w:rPr>
          </w:pPr>
          <w:r w:rsidRPr="0020113A">
            <w:rPr>
              <w:rFonts w:ascii="Times New Roman" w:hAnsi="Times New Roman"/>
              <w:b/>
              <w:sz w:val="24"/>
              <w:szCs w:val="24"/>
              <w:lang w:val="es-MX"/>
            </w:rPr>
            <w:t>Derechos a recibir activos especificados al final del acuerdo de concesión</w:t>
          </w:r>
        </w:p>
        <w:p w14:paraId="6D53EC72"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Descripción: </w:t>
          </w:r>
          <w:r w:rsidRPr="0020113A">
            <w:rPr>
              <w:rFonts w:ascii="Times New Roman" w:hAnsi="Times New Roman"/>
              <w:sz w:val="24"/>
              <w:szCs w:val="24"/>
              <w:lang w:val="es-MX"/>
            </w:rPr>
            <w:t xml:space="preserve">Corresponde al procedimiento señalado en la sección 9.7 de la Parte General, mediante el cual el Concesionario entrega los bienes asociados al proyecto a la ANI para dar por terminado el contrato. “(…) (b) </w:t>
          </w:r>
          <w:r w:rsidRPr="0020113A">
            <w:rPr>
              <w:rFonts w:ascii="Times New Roman" w:hAnsi="Times New Roman"/>
              <w:sz w:val="24"/>
              <w:szCs w:val="24"/>
              <w:lang w:val="es-MX"/>
            </w:rPr>
            <w:tab/>
            <w:t xml:space="preserve">Se entenderá que la ANI se hará propietario de las obras que conforman el Proyecto al momento de su ejecución, incluyendo, además, pero sin limitarse, las Estaciones de Peaje y Estaciones de Pesaje, y la totalidad de los bienes muebles o inmuebles por destinación o adhesión que se encuentren en las mismas. El Concesionario conservará la mera tenencia de estos bienes para efectos del cumplimiento del Contrato y será responsable de la guardia material y jurídica de los bienes que conforman el Proyecto. (c) </w:t>
          </w:r>
          <w:r w:rsidRPr="0020113A">
            <w:rPr>
              <w:rFonts w:ascii="Times New Roman" w:hAnsi="Times New Roman"/>
              <w:sz w:val="24"/>
              <w:szCs w:val="24"/>
              <w:lang w:val="es-MX"/>
            </w:rPr>
            <w:tab/>
            <w:t>Los bienes de propiedad de la ANI, y, en general, todos los bienes inmuebles con todas sus anexidades, los bienes muebles, los equipos, software y demás activos que hacen parte del Proyecto, serán entregados a la ANI, en las condiciones señaladas en el Apéndice Técnico 2 al momento de la terminación de la Etapa de Reversión. (…)”</w:t>
          </w:r>
        </w:p>
        <w:p w14:paraId="47A2CB2C"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Observaciones: </w:t>
          </w:r>
          <w:r w:rsidRPr="0020113A">
            <w:rPr>
              <w:rFonts w:ascii="Times New Roman" w:hAnsi="Times New Roman"/>
              <w:sz w:val="24"/>
              <w:szCs w:val="24"/>
              <w:lang w:val="es-MX"/>
            </w:rPr>
            <w:t>No se tiene ninguna observación.</w:t>
          </w:r>
        </w:p>
        <w:p w14:paraId="4B593744" w14:textId="4E3AC5DA" w:rsidR="007803E3" w:rsidRPr="0020113A" w:rsidRDefault="009D1346" w:rsidP="00E60BAB">
          <w:pPr>
            <w:pStyle w:val="Prrafodelista"/>
            <w:numPr>
              <w:ilvl w:val="0"/>
              <w:numId w:val="100"/>
            </w:numPr>
            <w:spacing w:line="259" w:lineRule="auto"/>
            <w:jc w:val="both"/>
            <w:rPr>
              <w:rFonts w:ascii="Times New Roman" w:hAnsi="Times New Roman"/>
              <w:b/>
              <w:sz w:val="24"/>
              <w:szCs w:val="24"/>
              <w:lang w:val="es-MX"/>
            </w:rPr>
          </w:pPr>
          <w:r>
            <w:rPr>
              <w:rFonts w:ascii="Times New Roman" w:hAnsi="Times New Roman"/>
              <w:b/>
              <w:sz w:val="24"/>
              <w:szCs w:val="24"/>
              <w:lang w:val="es-MX"/>
            </w:rPr>
            <w:lastRenderedPageBreak/>
            <w:t>No hay c</w:t>
          </w:r>
          <w:r w:rsidR="007803E3" w:rsidRPr="0020113A">
            <w:rPr>
              <w:rFonts w:ascii="Times New Roman" w:hAnsi="Times New Roman"/>
              <w:b/>
              <w:sz w:val="24"/>
              <w:szCs w:val="24"/>
              <w:lang w:val="es-MX"/>
            </w:rPr>
            <w:t>ambios en el acuerdo de concesión que se realicen durante el periodo fiscal</w:t>
          </w:r>
        </w:p>
        <w:p w14:paraId="61420CAE" w14:textId="77777777" w:rsidR="007803E3" w:rsidRPr="0020113A" w:rsidRDefault="007803E3" w:rsidP="007803E3">
          <w:pPr>
            <w:jc w:val="both"/>
            <w:rPr>
              <w:rFonts w:ascii="Times New Roman" w:hAnsi="Times New Roman"/>
              <w:b/>
              <w:sz w:val="24"/>
              <w:szCs w:val="24"/>
              <w:lang w:val="es-MX"/>
            </w:rPr>
          </w:pPr>
        </w:p>
        <w:p w14:paraId="4835AFD6" w14:textId="77777777" w:rsidR="007803E3" w:rsidRPr="0020113A" w:rsidRDefault="007803E3" w:rsidP="007803E3">
          <w:pPr>
            <w:rPr>
              <w:rFonts w:ascii="Times New Roman" w:eastAsia="Times New Roman" w:hAnsi="Times New Roman"/>
              <w:b/>
              <w:sz w:val="24"/>
              <w:szCs w:val="24"/>
              <w:lang w:val="es-MX"/>
            </w:rPr>
          </w:pPr>
          <w:r w:rsidRPr="0020113A">
            <w:rPr>
              <w:rFonts w:ascii="Times New Roman" w:eastAsia="Times New Roman" w:hAnsi="Times New Roman"/>
              <w:b/>
              <w:sz w:val="24"/>
              <w:szCs w:val="24"/>
              <w:lang w:val="es-MX"/>
            </w:rPr>
            <w:t>AUTOPISTA CONCEXIÓN PACIFICO 2</w:t>
          </w:r>
        </w:p>
        <w:p w14:paraId="4EA7833A" w14:textId="77777777" w:rsidR="007803E3" w:rsidRPr="0020113A" w:rsidRDefault="007803E3" w:rsidP="00E60BAB">
          <w:pPr>
            <w:pStyle w:val="Prrafodelista"/>
            <w:numPr>
              <w:ilvl w:val="0"/>
              <w:numId w:val="78"/>
            </w:numPr>
            <w:spacing w:line="259" w:lineRule="auto"/>
            <w:rPr>
              <w:rFonts w:ascii="Times New Roman" w:hAnsi="Times New Roman"/>
              <w:b/>
              <w:sz w:val="24"/>
              <w:szCs w:val="24"/>
              <w:lang w:val="es-MX"/>
            </w:rPr>
          </w:pPr>
          <w:r w:rsidRPr="0020113A">
            <w:rPr>
              <w:rFonts w:ascii="Times New Roman" w:hAnsi="Times New Roman"/>
              <w:b/>
              <w:sz w:val="24"/>
              <w:szCs w:val="24"/>
              <w:lang w:val="es-MX"/>
            </w:rPr>
            <w:t>Descripción del Acuerdo</w:t>
          </w:r>
        </w:p>
        <w:p w14:paraId="0B6223C9" w14:textId="77777777" w:rsidR="007803E3" w:rsidRPr="0020113A" w:rsidRDefault="007803E3" w:rsidP="18BAD2EC">
          <w:pPr>
            <w:spacing w:after="0" w:afterAutospacing="1" w:line="240" w:lineRule="auto"/>
            <w:rPr>
              <w:rFonts w:ascii="Times New Roman" w:hAnsi="Times New Roman"/>
              <w:b/>
              <w:sz w:val="24"/>
              <w:szCs w:val="24"/>
              <w:lang w:val="es-MX"/>
            </w:rPr>
          </w:pPr>
          <w:r w:rsidRPr="0020113A">
            <w:rPr>
              <w:rFonts w:ascii="Times New Roman" w:hAnsi="Times New Roman"/>
              <w:b/>
              <w:sz w:val="24"/>
              <w:szCs w:val="24"/>
              <w:lang w:val="es-MX"/>
            </w:rPr>
            <w:t>Número del Acuerdo de Concesión:</w:t>
          </w:r>
          <w:r w:rsidRPr="0020113A">
            <w:rPr>
              <w:rFonts w:ascii="Times New Roman" w:hAnsi="Times New Roman"/>
              <w:sz w:val="24"/>
              <w:szCs w:val="24"/>
            </w:rPr>
            <w:t xml:space="preserve"> </w:t>
          </w:r>
          <w:r w:rsidRPr="0020113A">
            <w:rPr>
              <w:rFonts w:ascii="Times New Roman" w:hAnsi="Times New Roman"/>
              <w:sz w:val="24"/>
              <w:szCs w:val="24"/>
              <w:lang w:val="es-MX"/>
            </w:rPr>
            <w:t>Contrato APP No 006 del 11 de septiembre de 2014</w:t>
          </w:r>
          <w:r w:rsidRPr="0020113A">
            <w:rPr>
              <w:rFonts w:ascii="Times New Roman" w:hAnsi="Times New Roman"/>
              <w:b/>
              <w:sz w:val="24"/>
              <w:szCs w:val="24"/>
              <w:lang w:val="es-MX"/>
            </w:rPr>
            <w:t xml:space="preserve"> </w:t>
          </w:r>
        </w:p>
        <w:p w14:paraId="57A18915" w14:textId="77777777" w:rsidR="007803E3" w:rsidRPr="0020113A" w:rsidRDefault="007803E3" w:rsidP="18BAD2EC">
          <w:pPr>
            <w:spacing w:afterAutospacing="1"/>
            <w:jc w:val="both"/>
            <w:rPr>
              <w:rFonts w:ascii="Times New Roman" w:hAnsi="Times New Roman"/>
              <w:sz w:val="24"/>
              <w:szCs w:val="24"/>
              <w:lang w:val="es-MX"/>
            </w:rPr>
          </w:pPr>
          <w:r w:rsidRPr="0020113A">
            <w:rPr>
              <w:rFonts w:ascii="Times New Roman" w:hAnsi="Times New Roman"/>
              <w:b/>
              <w:sz w:val="24"/>
              <w:szCs w:val="24"/>
              <w:lang w:val="es-MX"/>
            </w:rPr>
            <w:t xml:space="preserve">Objeto / Descripción: </w:t>
          </w:r>
          <w:r w:rsidRPr="0020113A">
            <w:rPr>
              <w:rFonts w:ascii="Times New Roman" w:hAnsi="Times New Roman"/>
              <w:sz w:val="24"/>
              <w:szCs w:val="24"/>
              <w:lang w:val="es-MX"/>
            </w:rPr>
            <w:t>Contrato de concesión bajo un esquema de asociación publico privada en los términos de la Ley 1508 de 2012, tiene por objeto el otorgamiento de una Concesión para que, de conformidad con lo previsto en este Contrato, el Concesionario, por su cuenta y riesgo, lleve a cabo el proyecto. (Parte General, CAPITULO II ASPECTOS GENERALES DEL CONTRATO numeral 2.1).  ALCANCE: Los estudios y diseños definitivos, financiación, gestión ambiental, predial y social, construcción, mejoramiento, rehabilitación, operación, mantenimiento y reversión de la Concesión Autopista Conexión Pacífico 2, del Proyecto “Autopistas para la ai ”, de acuerdo con el Apéndice Técnico 1 y demás Apéndices del Contrato. (Parte especial, CAPITULO III ASPECTOS GENERALES, numeral 3.2).</w:t>
          </w:r>
        </w:p>
        <w:p w14:paraId="6B14C238" w14:textId="77777777" w:rsidR="007803E3" w:rsidRPr="0020113A" w:rsidRDefault="007803E3" w:rsidP="18BAD2EC">
          <w:pPr>
            <w:spacing w:after="0" w:afterAutospacing="1"/>
            <w:rPr>
              <w:rFonts w:ascii="Times New Roman" w:hAnsi="Times New Roman"/>
              <w:b/>
              <w:sz w:val="24"/>
              <w:szCs w:val="24"/>
              <w:lang w:val="es-MX"/>
            </w:rPr>
          </w:pPr>
          <w:r w:rsidRPr="0020113A">
            <w:rPr>
              <w:rFonts w:ascii="Times New Roman" w:hAnsi="Times New Roman"/>
              <w:b/>
              <w:sz w:val="24"/>
              <w:szCs w:val="24"/>
              <w:lang w:val="es-MX"/>
            </w:rPr>
            <w:t xml:space="preserve">Valor Inicial: </w:t>
          </w:r>
          <w:r w:rsidRPr="0020113A">
            <w:rPr>
              <w:rFonts w:ascii="Times New Roman" w:hAnsi="Times New Roman"/>
              <w:sz w:val="24"/>
              <w:szCs w:val="24"/>
              <w:lang w:val="es-MX"/>
            </w:rPr>
            <w:t>($1.300.234.031.470) del Mes de Referencia (diciembre de 2012)</w:t>
          </w:r>
        </w:p>
        <w:p w14:paraId="166BC526" w14:textId="77777777" w:rsidR="007803E3" w:rsidRPr="0020113A" w:rsidRDefault="007803E3" w:rsidP="008F25E9">
          <w:pPr>
            <w:spacing w:after="0"/>
            <w:rPr>
              <w:rFonts w:ascii="Times New Roman" w:hAnsi="Times New Roman"/>
              <w:b/>
              <w:sz w:val="24"/>
              <w:szCs w:val="24"/>
              <w:lang w:val="es-MX"/>
            </w:rPr>
          </w:pPr>
          <w:r w:rsidRPr="0020113A">
            <w:rPr>
              <w:rFonts w:ascii="Times New Roman" w:hAnsi="Times New Roman"/>
              <w:b/>
              <w:sz w:val="24"/>
              <w:szCs w:val="24"/>
              <w:lang w:val="es-MX"/>
            </w:rPr>
            <w:t xml:space="preserve">Fecha de Inicio: </w:t>
          </w:r>
          <w:r w:rsidRPr="0020113A">
            <w:rPr>
              <w:rFonts w:ascii="Times New Roman" w:hAnsi="Times New Roman"/>
              <w:sz w:val="24"/>
              <w:szCs w:val="24"/>
              <w:lang w:val="es-MX"/>
            </w:rPr>
            <w:t>11/11/2014</w:t>
          </w:r>
        </w:p>
        <w:p w14:paraId="3F76FE5F" w14:textId="77777777" w:rsidR="007803E3" w:rsidRPr="0020113A" w:rsidRDefault="007803E3" w:rsidP="008F25E9">
          <w:pPr>
            <w:spacing w:after="0"/>
            <w:rPr>
              <w:rFonts w:ascii="Times New Roman" w:hAnsi="Times New Roman"/>
              <w:b/>
              <w:sz w:val="24"/>
              <w:szCs w:val="24"/>
              <w:lang w:val="es-MX"/>
            </w:rPr>
          </w:pPr>
          <w:r w:rsidRPr="0020113A">
            <w:rPr>
              <w:rFonts w:ascii="Times New Roman" w:hAnsi="Times New Roman"/>
              <w:b/>
              <w:sz w:val="24"/>
              <w:szCs w:val="24"/>
              <w:lang w:val="es-MX"/>
            </w:rPr>
            <w:t xml:space="preserve">Fecha de Finalización Estimada: </w:t>
          </w:r>
          <w:r w:rsidRPr="0020113A">
            <w:rPr>
              <w:rFonts w:ascii="Times New Roman" w:hAnsi="Times New Roman"/>
              <w:sz w:val="24"/>
              <w:szCs w:val="24"/>
              <w:lang w:val="es-MX"/>
            </w:rPr>
            <w:t>10/11/2039</w:t>
          </w:r>
        </w:p>
        <w:p w14:paraId="53096BDC" w14:textId="77777777" w:rsidR="007803E3" w:rsidRPr="0020113A" w:rsidRDefault="007803E3" w:rsidP="008F25E9">
          <w:pPr>
            <w:spacing w:after="0"/>
            <w:rPr>
              <w:rFonts w:ascii="Times New Roman" w:hAnsi="Times New Roman"/>
              <w:b/>
              <w:sz w:val="24"/>
              <w:szCs w:val="24"/>
              <w:lang w:val="es-MX"/>
            </w:rPr>
          </w:pPr>
          <w:r w:rsidRPr="0020113A">
            <w:rPr>
              <w:rFonts w:ascii="Times New Roman" w:hAnsi="Times New Roman"/>
              <w:b/>
              <w:sz w:val="24"/>
              <w:szCs w:val="24"/>
              <w:lang w:val="es-MX"/>
            </w:rPr>
            <w:t xml:space="preserve">Tipo ID: </w:t>
          </w:r>
          <w:r w:rsidRPr="0020113A">
            <w:rPr>
              <w:rFonts w:ascii="Times New Roman" w:hAnsi="Times New Roman"/>
              <w:sz w:val="24"/>
              <w:szCs w:val="24"/>
              <w:lang w:val="es-MX"/>
            </w:rPr>
            <w:t>NIT</w:t>
          </w:r>
        </w:p>
        <w:p w14:paraId="2B7BBF99" w14:textId="77777777" w:rsidR="007803E3" w:rsidRPr="0020113A" w:rsidRDefault="007803E3" w:rsidP="008F25E9">
          <w:pPr>
            <w:spacing w:after="0"/>
            <w:rPr>
              <w:rFonts w:ascii="Times New Roman" w:hAnsi="Times New Roman"/>
              <w:b/>
              <w:sz w:val="24"/>
              <w:szCs w:val="24"/>
              <w:lang w:val="es-MX"/>
            </w:rPr>
          </w:pPr>
          <w:r w:rsidRPr="0020113A">
            <w:rPr>
              <w:rFonts w:ascii="Times New Roman" w:hAnsi="Times New Roman"/>
              <w:b/>
              <w:sz w:val="24"/>
              <w:szCs w:val="24"/>
              <w:lang w:val="es-MX"/>
            </w:rPr>
            <w:t xml:space="preserve">Numero ID: </w:t>
          </w:r>
          <w:r w:rsidRPr="0020113A">
            <w:rPr>
              <w:rFonts w:ascii="Times New Roman" w:hAnsi="Times New Roman"/>
              <w:sz w:val="24"/>
              <w:szCs w:val="24"/>
              <w:lang w:val="es-MX"/>
            </w:rPr>
            <w:t>900.740.893-1</w:t>
          </w:r>
        </w:p>
        <w:p w14:paraId="457220E8" w14:textId="77777777" w:rsidR="007803E3" w:rsidRPr="0020113A" w:rsidRDefault="007803E3" w:rsidP="008F25E9">
          <w:pPr>
            <w:spacing w:after="0"/>
            <w:rPr>
              <w:rFonts w:ascii="Times New Roman" w:hAnsi="Times New Roman"/>
              <w:b/>
              <w:sz w:val="24"/>
              <w:szCs w:val="24"/>
              <w:lang w:val="es-MX"/>
            </w:rPr>
          </w:pPr>
          <w:r w:rsidRPr="0020113A">
            <w:rPr>
              <w:rFonts w:ascii="Times New Roman" w:hAnsi="Times New Roman"/>
              <w:b/>
              <w:sz w:val="24"/>
              <w:szCs w:val="24"/>
              <w:lang w:val="es-MX"/>
            </w:rPr>
            <w:t xml:space="preserve">Razón Social del Concesionario: </w:t>
          </w:r>
          <w:r w:rsidRPr="0020113A">
            <w:rPr>
              <w:rFonts w:ascii="Times New Roman" w:hAnsi="Times New Roman"/>
              <w:sz w:val="24"/>
              <w:szCs w:val="24"/>
              <w:lang w:val="es-MX"/>
            </w:rPr>
            <w:t>Concesión La Pintada S.A.S.</w:t>
          </w:r>
        </w:p>
        <w:p w14:paraId="46653355" w14:textId="77777777"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 xml:space="preserve">Nombre del Proyecto: </w:t>
          </w:r>
          <w:r w:rsidRPr="0020113A">
            <w:rPr>
              <w:rFonts w:ascii="Times New Roman" w:hAnsi="Times New Roman"/>
              <w:sz w:val="24"/>
              <w:szCs w:val="24"/>
              <w:lang w:val="es-MX"/>
            </w:rPr>
            <w:t>Autopista Concesión Pacífico 2.</w:t>
          </w:r>
        </w:p>
        <w:p w14:paraId="336F0F8F" w14:textId="77777777" w:rsidR="007803E3" w:rsidRPr="0020113A" w:rsidRDefault="007803E3" w:rsidP="00E60BAB">
          <w:pPr>
            <w:pStyle w:val="Prrafodelista"/>
            <w:numPr>
              <w:ilvl w:val="0"/>
              <w:numId w:val="78"/>
            </w:numPr>
            <w:spacing w:line="259" w:lineRule="auto"/>
            <w:rPr>
              <w:rFonts w:ascii="Times New Roman" w:hAnsi="Times New Roman"/>
              <w:b/>
              <w:sz w:val="24"/>
              <w:szCs w:val="24"/>
              <w:lang w:val="es-MX"/>
            </w:rPr>
          </w:pPr>
          <w:r w:rsidRPr="0020113A">
            <w:rPr>
              <w:rFonts w:ascii="Times New Roman" w:hAnsi="Times New Roman"/>
              <w:b/>
              <w:sz w:val="24"/>
              <w:szCs w:val="24"/>
              <w:lang w:val="es-MX"/>
            </w:rPr>
            <w:t>Términos significativos del acuerdo que puedan afectar su valor, el calendario y la certeza de los flujos</w:t>
          </w:r>
        </w:p>
        <w:p w14:paraId="1B4F8D03" w14:textId="6A0E9E6F"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Términos de Valor: </w:t>
          </w:r>
          <w:r w:rsidRPr="0020113A">
            <w:rPr>
              <w:rFonts w:ascii="Times New Roman" w:hAnsi="Times New Roman"/>
              <w:sz w:val="24"/>
              <w:szCs w:val="24"/>
              <w:lang w:val="es-MX"/>
            </w:rPr>
            <w:t>La Resolución 20223040001745 del 14 de enero de 2022, se establecieron tarifas diferenciales en las categorías I, II, III y IV en la estación de Peaje La Pintada y modificó los Art 3° y 7° de la Resolución Contractual No. 0001056 de 2014, la cual corresponde a la estructura tarifaria, quedando incrementos progresivos en las tarifas del Peaje La Pintada. En virtud de ello la ANI reconoció y Pagó las Actas 001, 002, 003, 004, 005, 006, 008 y 010 que cubren el período comprendido entre el 10 Nov-21 y el 30 Sep-23 por este concepto.</w:t>
          </w:r>
        </w:p>
        <w:p w14:paraId="55E159DF"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Mediante el Decreto 0050 de 2023 el Mintransporte dispuso que para 2023 no se incrementarían las tarifas de los Peajes para la vigencia y por tanto durante este año se mantuvieron las mismas tarifas que regían en 2022. En consecuencia al cierre de 2023 la ANI al cierre de diciembre había reconocido y pagado las Actas de Menor Recaudo por Diferencia Tarifaria (para los Peajes Primavera y la Pintada) 007, 009 y 011 que cubrieron hasta el 30 Sep-23 por este Concepto.</w:t>
          </w:r>
        </w:p>
        <w:p w14:paraId="4141992D"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lastRenderedPageBreak/>
            <w:t xml:space="preserve">Así mismo, el DR-8 que se cumplió en Nov-22 se calculó con corte a Oct-2 de acuerdo con la Sección 4.6 de la Parte Especial del Contrato de Concesión, Se pagó en Feb-23 y el saldo se pagó en May-23 en cumplimiento del Acta de Aclaración con Efectos Transaccionales suscrita entre la ANI y el Concesionario. </w:t>
          </w:r>
        </w:p>
        <w:p w14:paraId="0C9E3309" w14:textId="0F91597A"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La Retribución por Peajes, y Explotación Comercial de todas las UFs, al corte de diciembre de 2023 se han pagado hasta el mes de octubre de 2023.</w:t>
          </w:r>
        </w:p>
        <w:p w14:paraId="2C189206"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Para Vigencias Futuras el Saldo que estaba Pendiente por las VF de 2022 se pagó en sep-23 liquidado usando la TRM al 31 de Ene-23 y el IPC de Ene-23 y con sus correspondientes intereses remuneratorios y de mora (pagados en sep/23) liquidados usando la DTF semanal + 5 Puntos, según el acuerdo celebrado con el Concesionario. En Sep-23 también se efectuó Pago Parcial de las VF de 2023.</w:t>
          </w:r>
        </w:p>
        <w:p w14:paraId="45A6BB08"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Por otra parte, en cumplimiento del Otrosi 007 al Contrato de Concesión para el cierre de 2023, teniendo en cuenta que se desafectó la Inversión no realizada por el Concesionario para la construcción de la segunda estación de pesaje que contemplaba el Contrato, en el Modelo Financiero con fines Contables los recursos provenientes de la devolución por Capex que realiza el Concesionario se descontaron de la ejecución del año 2021 para la UF-4 en que debió entregarse y se trasladan al 2025, año en que se estima que se ejecutará tal Capex pendiente. Lo anterior modifica los valores reportados en vigencias anteriores y las cargas financieras que cerraban el modelo.</w:t>
          </w:r>
        </w:p>
        <w:p w14:paraId="28620D5B"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 xml:space="preserve">En el Modelo también se ajustó la proyección de los Mantenimientos Mayores de 2023 hacia adelante considerando la metodología de la Guía que indica que el Modelo debe coincidir con las cifras contempladas en el Apéndice Financiero.   </w:t>
          </w:r>
        </w:p>
        <w:p w14:paraId="54A721AB"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Términos de Calendario: </w:t>
          </w:r>
          <w:r w:rsidRPr="0020113A">
            <w:rPr>
              <w:rFonts w:ascii="Times New Roman" w:hAnsi="Times New Roman"/>
              <w:sz w:val="24"/>
              <w:szCs w:val="24"/>
              <w:lang w:val="es-MX"/>
            </w:rPr>
            <w:t>La Etapa de Operación y Mantenimiento en que se encuentra el Proyecto se inició el 15 de octubre de 2021 y durante 2023 se cumplió lo establecido en la Sección 3.1 (d) de la Parte General que indica que la Retribución del Concesionario -y de la Compensación Especial, cuando sea aplicable, dentro de los primeros diez días del Mes siguiente al cálculo de la Retribución.</w:t>
          </w:r>
        </w:p>
        <w:p w14:paraId="2AC36D25"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También se cumplió lo establecido en la Sección 3.1 (e) de la Parte General que dispone que el acta de Cálculo de la Retribución será remitida por el Interventor a la ANI y a la Fiduciaria, a más tardar al Día Hábil siguiente a su suscripción. También la Fiduciaria giró los recursos de las Actas cumpliendo la instrucción contractual que estable que de no haber objeción por parte de la ANI dentro de los doce días Hábiles siguientes a la recepción de dicha acta, la Fiduciaria procederá a la transferencia de la retribución. Las Actas de Retribución se pagaron durante 2023 para todas las UF y su último pago al cierre del año fueron las Actas de Oct-23.</w:t>
          </w:r>
        </w:p>
        <w:p w14:paraId="263EFDFC" w14:textId="7F7F3CE3"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De acuerdo con el Contrato, el 16 de enero de cada año se deben incrementar las tarifas de los Peajes. Sin embargo</w:t>
          </w:r>
          <w:r w:rsidR="007E6139">
            <w:rPr>
              <w:rFonts w:ascii="Times New Roman" w:hAnsi="Times New Roman"/>
              <w:sz w:val="24"/>
              <w:szCs w:val="24"/>
              <w:lang w:val="es-MX"/>
            </w:rPr>
            <w:t>,</w:t>
          </w:r>
          <w:r w:rsidRPr="0020113A">
            <w:rPr>
              <w:rFonts w:ascii="Times New Roman" w:hAnsi="Times New Roman"/>
              <w:sz w:val="24"/>
              <w:szCs w:val="24"/>
              <w:lang w:val="es-MX"/>
            </w:rPr>
            <w:t xml:space="preserve"> el Decreto 0050 de 2023 estableció que para esa vigencia no habría incrementos, por lo cual durante el año se mantuvieron las mismas tarifas que se cobraron durante 2022. En Consecuencia</w:t>
          </w:r>
          <w:r w:rsidR="007E6139">
            <w:rPr>
              <w:rFonts w:ascii="Times New Roman" w:hAnsi="Times New Roman"/>
              <w:sz w:val="24"/>
              <w:szCs w:val="24"/>
              <w:lang w:val="es-MX"/>
            </w:rPr>
            <w:t>,</w:t>
          </w:r>
          <w:r w:rsidRPr="0020113A">
            <w:rPr>
              <w:rFonts w:ascii="Times New Roman" w:hAnsi="Times New Roman"/>
              <w:sz w:val="24"/>
              <w:szCs w:val="24"/>
              <w:lang w:val="es-MX"/>
            </w:rPr>
            <w:t xml:space="preserve"> la ANI reconoció y pagó las Actas 007, 009 y 011 correspondiente a la Compensación por Diferencia Tarifaria por este Concepto que cubrió el período comprendido entre el 16 de enero y el 30 de Septiembre de 2023.</w:t>
          </w:r>
        </w:p>
        <w:p w14:paraId="59A26258"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lastRenderedPageBreak/>
            <w:t>En el mismo sentido, durante 2023 la ANI reconoció y pago al Concesionario las Actas 001 a 006, 008 y 010 de Compensación por Menor Recaudo por Diferencia Tarifaria del Peaje la Pintada por la no aplicación completa de la Tarifa Contractual fijada por la Resolución 1056/2014 que cubrió el período comprendido entre el 10 de noviembre de 2021 y el 30 de septiembre de 2023.</w:t>
          </w:r>
        </w:p>
        <w:p w14:paraId="45A3B3D8"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Por su parte, la Interventoría calculó, de acuerdo con la fórmula correspondiente antes descrita, el Diferencial de Recaudo en el año 8 (DR8), el cual se cumplió el 11 de noviembre de 2022 y se calculó con corte a octubre de 2022, cifra que la Agencia pagó el 07 de Febrero de 2023. En el mismo sentido, el Concesionario y la ANI suscribieron el Acta de Entendimiento con Efectos Transaccionales en virtud de la cual la ANI reconoció y pagó el 15 may-23 el saldo pendiente.</w:t>
          </w:r>
        </w:p>
        <w:p w14:paraId="34373232"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Por otro lado, el Contrato establece que las Vigencias Futuras se pagarán a más tardar el 31 de diciembre de cada vigencia. Sin embargo, de la Vigencia Futura de 2022 quedó un saldo pendiente que se pagó en Sep-23 calculado usando la TRM e IPC de Ene-23 con sus respectivos intereses Remuneratorios y de Mora. En Sep-23 la ANI efectuó giro parcial a la VF de 2023, usando para su cálculo las variables de Ago-23.</w:t>
          </w:r>
        </w:p>
        <w:p w14:paraId="448D8201"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Términos de Certeza de Flujos de Efectivo Futuros: </w:t>
          </w:r>
          <w:r w:rsidRPr="0020113A">
            <w:rPr>
              <w:rFonts w:ascii="Times New Roman" w:hAnsi="Times New Roman"/>
              <w:sz w:val="24"/>
              <w:szCs w:val="24"/>
              <w:lang w:val="es-MX"/>
            </w:rPr>
            <w:t>El 15 de octubre de 2021 se inició a la Etapa de Operación y Mantenimiento y se activó el Riesgo Tarifario por cuanto para las tarifas actuales del Peaje la Pintada aún no será aplicado completamente el esquema contemplado inicialmente en la Resolución 0156 de 2014.</w:t>
          </w:r>
        </w:p>
        <w:p w14:paraId="03C1320A"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En consecuencia, durante 2023 la ANI reconoció y pago las Actas 001 a 011 que cubren hasta el corte de Septiembre de 2023. Adicionalmente el no incremento de las tarifas de los Peajes como lo dispuso el Decreto 0050 de 2022 para el año 2023 afecta los flujos futuros del Proyecto cuya compensación debe cubrirse con recursos públicos de la Nación.</w:t>
          </w:r>
        </w:p>
        <w:p w14:paraId="25A95CA9" w14:textId="77777777" w:rsidR="007803E3" w:rsidRPr="0020113A" w:rsidRDefault="007803E3" w:rsidP="00E60BAB">
          <w:pPr>
            <w:pStyle w:val="Prrafodelista"/>
            <w:numPr>
              <w:ilvl w:val="0"/>
              <w:numId w:val="78"/>
            </w:numPr>
            <w:spacing w:line="259" w:lineRule="auto"/>
            <w:jc w:val="both"/>
            <w:rPr>
              <w:rFonts w:ascii="Times New Roman" w:hAnsi="Times New Roman"/>
              <w:b/>
              <w:sz w:val="24"/>
              <w:szCs w:val="24"/>
              <w:lang w:val="es-MX"/>
            </w:rPr>
          </w:pPr>
          <w:r w:rsidRPr="0020113A">
            <w:rPr>
              <w:rFonts w:ascii="Times New Roman" w:hAnsi="Times New Roman"/>
              <w:b/>
              <w:sz w:val="24"/>
              <w:szCs w:val="24"/>
              <w:lang w:val="es-MX"/>
            </w:rPr>
            <w:t>Naturaleza y alcance del derecho a utilizar activos especificados, de los aspectos pactados en torno a lo que se espera que el concesionario proporcione en relación con el acuerdo de concesión</w:t>
          </w:r>
        </w:p>
        <w:p w14:paraId="6D548D9E" w14:textId="77777777" w:rsidR="007803E3" w:rsidRPr="0020113A" w:rsidRDefault="007803E3" w:rsidP="007803E3">
          <w:pPr>
            <w:jc w:val="center"/>
            <w:rPr>
              <w:rFonts w:ascii="Times New Roman" w:hAnsi="Times New Roman"/>
              <w:b/>
              <w:sz w:val="24"/>
              <w:szCs w:val="24"/>
              <w:lang w:val="es-MX"/>
            </w:rPr>
          </w:pPr>
          <w:r w:rsidRPr="0020113A">
            <w:rPr>
              <w:rFonts w:ascii="Times New Roman" w:hAnsi="Times New Roman"/>
              <w:b/>
              <w:sz w:val="24"/>
              <w:szCs w:val="24"/>
              <w:lang w:val="es-MX"/>
            </w:rPr>
            <w:t>Naturaleza y alcance del derecho de uso de los activos</w:t>
          </w:r>
        </w:p>
        <w:p w14:paraId="5FC9D883"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Descripción: </w:t>
          </w:r>
          <w:r w:rsidRPr="0020113A">
            <w:rPr>
              <w:rFonts w:ascii="Times New Roman" w:hAnsi="Times New Roman"/>
              <w:sz w:val="24"/>
              <w:szCs w:val="24"/>
              <w:lang w:val="es-MX"/>
            </w:rPr>
            <w:t>El 15 de octubre de 2021 se inició a la Etapa de Operación y Mantenimiento y se activó el Riesgo Tarifario por cuanto para las tarifas actuales del Peaje la Pintada aún no será aplicado completamente el esquema contemplado inicialmente en la Resolución 0156 de 2014.</w:t>
          </w:r>
        </w:p>
        <w:p w14:paraId="5D840C01"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En consecuencia, durante 2023 la ANI reconoció y pago las Actas 001 a 011 que cubren hasta el corte de Septiembre de 2023. Adicionalmente el no incremento de las tarifas de los Peajes como lo dispuso el Decreto 0050 de 2022 para el año 2023 afecta los flujos futuros del Proyecto cuya compensación debe cubrirse con recursos públicos de la Nación.</w:t>
          </w:r>
        </w:p>
        <w:p w14:paraId="2DCD6A37"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Observaciones:</w:t>
          </w:r>
          <w:r w:rsidRPr="0020113A">
            <w:rPr>
              <w:rFonts w:ascii="Times New Roman" w:hAnsi="Times New Roman"/>
              <w:sz w:val="24"/>
              <w:szCs w:val="24"/>
            </w:rPr>
            <w:t xml:space="preserve"> </w:t>
          </w:r>
          <w:r w:rsidRPr="0020113A">
            <w:rPr>
              <w:rFonts w:ascii="Times New Roman" w:hAnsi="Times New Roman"/>
              <w:sz w:val="24"/>
              <w:szCs w:val="24"/>
              <w:lang w:val="es-MX"/>
            </w:rPr>
            <w:t xml:space="preserve">Sin observaciones. </w:t>
          </w:r>
        </w:p>
        <w:p w14:paraId="3C709061" w14:textId="77777777" w:rsidR="007803E3" w:rsidRPr="0020113A" w:rsidRDefault="007803E3" w:rsidP="007803E3">
          <w:pPr>
            <w:jc w:val="center"/>
            <w:rPr>
              <w:rFonts w:ascii="Times New Roman" w:hAnsi="Times New Roman"/>
              <w:b/>
              <w:sz w:val="24"/>
              <w:szCs w:val="24"/>
              <w:lang w:val="es-MX"/>
            </w:rPr>
          </w:pPr>
          <w:r w:rsidRPr="0020113A">
            <w:rPr>
              <w:rFonts w:ascii="Times New Roman" w:hAnsi="Times New Roman"/>
              <w:b/>
              <w:sz w:val="24"/>
              <w:szCs w:val="24"/>
              <w:lang w:val="es-MX"/>
            </w:rPr>
            <w:t>Retribución al Concesionario</w:t>
          </w:r>
        </w:p>
        <w:p w14:paraId="455FAF42"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lastRenderedPageBreak/>
            <w:t xml:space="preserve">Descripción: </w:t>
          </w:r>
          <w:r w:rsidRPr="0020113A">
            <w:rPr>
              <w:rFonts w:ascii="Times New Roman" w:hAnsi="Times New Roman"/>
              <w:sz w:val="24"/>
              <w:szCs w:val="24"/>
              <w:lang w:val="es-MX"/>
            </w:rPr>
            <w:t>Parte general 3.1 “Retribución”; literales a) al i) y en la Parte Especial capítulo IV numeral 4.1 Porcentaje de Participación de las Unidades Funcionales para efectos de la retribución y 4.3 Cálculo de la retribución. Las fuentes de la retribución aplican así: i) Aportes ANI; ii) Recaudo de peajes; y iii) Los ingresos por Explotación Comercial.</w:t>
          </w:r>
        </w:p>
        <w:p w14:paraId="02D33E8A"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Tasa de Retribución:</w:t>
          </w:r>
          <w:r w:rsidRPr="0020113A">
            <w:rPr>
              <w:rFonts w:ascii="Times New Roman" w:hAnsi="Times New Roman"/>
              <w:sz w:val="24"/>
              <w:szCs w:val="24"/>
            </w:rPr>
            <w:t xml:space="preserve"> </w:t>
          </w:r>
          <w:r w:rsidRPr="0020113A">
            <w:rPr>
              <w:rFonts w:ascii="Times New Roman" w:hAnsi="Times New Roman"/>
              <w:sz w:val="24"/>
              <w:szCs w:val="24"/>
              <w:lang w:val="es-MX"/>
            </w:rPr>
            <w:t>En cuanto al Modelo Financiero con propósito Contable, la metodología para el cálculo de la carga financiera se estableció conforme a lo planteado en el modelo financiero contratado por la Agencia. La carga financiera se obtiene a través del cálculo resultante para mantener el equilibrio entre los recursos disponibles del proyecto y las obligaciones a pagar.</w:t>
          </w:r>
        </w:p>
        <w:p w14:paraId="7D12D326" w14:textId="77777777" w:rsidR="007803E3" w:rsidRPr="0020113A" w:rsidRDefault="007803E3" w:rsidP="00E60BAB">
          <w:pPr>
            <w:pStyle w:val="Prrafodelista"/>
            <w:numPr>
              <w:ilvl w:val="0"/>
              <w:numId w:val="78"/>
            </w:numPr>
            <w:spacing w:line="259" w:lineRule="auto"/>
            <w:jc w:val="both"/>
            <w:rPr>
              <w:rFonts w:ascii="Times New Roman" w:hAnsi="Times New Roman"/>
              <w:b/>
              <w:sz w:val="24"/>
              <w:szCs w:val="24"/>
              <w:lang w:val="es-MX"/>
            </w:rPr>
          </w:pPr>
          <w:r w:rsidRPr="0020113A">
            <w:rPr>
              <w:rFonts w:ascii="Times New Roman" w:hAnsi="Times New Roman"/>
              <w:b/>
              <w:sz w:val="24"/>
              <w:szCs w:val="24"/>
              <w:lang w:val="es-MX"/>
            </w:rPr>
            <w:t>Derechos a recibir activos especificados al final del acuerdo de concesión</w:t>
          </w:r>
        </w:p>
        <w:p w14:paraId="563B60A7"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Descripción: </w:t>
          </w:r>
          <w:r w:rsidRPr="0020113A">
            <w:rPr>
              <w:rFonts w:ascii="Times New Roman" w:hAnsi="Times New Roman"/>
              <w:sz w:val="24"/>
              <w:szCs w:val="24"/>
              <w:lang w:val="es-MX"/>
            </w:rPr>
            <w:t>La sección 9.7 literales a) al (h) de la Parte General del Contrato establece lo correspondiente a la reversión, que se dará cuando concluya la etapa de Operación y Mantenimiento o cuando el Contrato se termine anticipadamente.</w:t>
          </w:r>
        </w:p>
        <w:p w14:paraId="3EF7BD36"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Observaciones: </w:t>
          </w:r>
          <w:r w:rsidRPr="0020113A">
            <w:rPr>
              <w:rFonts w:ascii="Times New Roman" w:hAnsi="Times New Roman"/>
              <w:sz w:val="24"/>
              <w:szCs w:val="24"/>
              <w:lang w:val="es-MX"/>
            </w:rPr>
            <w:t>El Apéndice Técnico 2 numeral 5 Reversión define: “todas las obras y bienes de la Concesión, incluyendo los predios de la zona del Corredor del Proyecto y las obras civiles (calzadas, separadores, intersecciones, estructuras, obras de drenaje, obras de arte y señales), las Estaciones de Peaje y sus equipos, las Estaciones de Pesaje y sus equipos, el Centro de Control de Operación y sus equipos, las Bases de Operación (uno o los que haya), las Áreas de Servicio, todos los automotores y equipos instalados para la Operación del Proyecto, incluyendo equipos y software de computación, equipos de telecomunicaciones, red de fibra óptica, los entregados a la Policía de Carreteras, los equipos de rescate, los elementos de Traslado Asistencial Médico (TAM) y cualquier otra obra y bien que forme parte de la concesión, deberán ser entregados a la ANI sin costo alguno y libre de todo gravamen.”</w:t>
          </w:r>
        </w:p>
        <w:p w14:paraId="41229297" w14:textId="77777777" w:rsidR="007803E3" w:rsidRPr="0020113A" w:rsidRDefault="007803E3" w:rsidP="00E60BAB">
          <w:pPr>
            <w:pStyle w:val="Prrafodelista"/>
            <w:numPr>
              <w:ilvl w:val="0"/>
              <w:numId w:val="78"/>
            </w:numPr>
            <w:spacing w:line="259" w:lineRule="auto"/>
            <w:rPr>
              <w:rFonts w:ascii="Times New Roman" w:hAnsi="Times New Roman"/>
              <w:b/>
              <w:sz w:val="24"/>
              <w:szCs w:val="24"/>
              <w:lang w:val="es-MX"/>
            </w:rPr>
          </w:pPr>
          <w:r w:rsidRPr="0020113A">
            <w:rPr>
              <w:rFonts w:ascii="Times New Roman" w:hAnsi="Times New Roman"/>
              <w:b/>
              <w:sz w:val="24"/>
              <w:szCs w:val="24"/>
              <w:lang w:val="es-MX"/>
            </w:rPr>
            <w:t>Cambios en el acuerdo de concesión que se realicen durante el periodo fiscal</w:t>
          </w:r>
        </w:p>
        <w:p w14:paraId="665E79C1" w14:textId="4007BEFE" w:rsidR="007803E3" w:rsidRPr="0020113A" w:rsidRDefault="007E6139" w:rsidP="007803E3">
          <w:pPr>
            <w:jc w:val="center"/>
            <w:rPr>
              <w:rFonts w:ascii="Times New Roman" w:hAnsi="Times New Roman"/>
              <w:b/>
              <w:sz w:val="24"/>
              <w:szCs w:val="24"/>
              <w:lang w:val="es-MX"/>
            </w:rPr>
          </w:pPr>
          <w:r>
            <w:rPr>
              <w:rFonts w:ascii="Times New Roman" w:hAnsi="Times New Roman"/>
              <w:b/>
              <w:sz w:val="24"/>
              <w:szCs w:val="24"/>
              <w:lang w:val="es-MX"/>
            </w:rPr>
            <w:t>No hay a</w:t>
          </w:r>
          <w:r w:rsidR="007803E3" w:rsidRPr="0020113A">
            <w:rPr>
              <w:rFonts w:ascii="Times New Roman" w:hAnsi="Times New Roman"/>
              <w:b/>
              <w:sz w:val="24"/>
              <w:szCs w:val="24"/>
              <w:lang w:val="es-MX"/>
            </w:rPr>
            <w:t>diciones o Modificaciones en Tiempo</w:t>
          </w:r>
        </w:p>
        <w:p w14:paraId="30A6313B" w14:textId="77777777" w:rsidR="007803E3" w:rsidRPr="0020113A" w:rsidRDefault="007803E3" w:rsidP="007803E3">
          <w:pPr>
            <w:jc w:val="center"/>
            <w:rPr>
              <w:rFonts w:ascii="Times New Roman" w:hAnsi="Times New Roman"/>
              <w:b/>
              <w:sz w:val="24"/>
              <w:szCs w:val="24"/>
              <w:lang w:val="es-MX"/>
            </w:rPr>
          </w:pPr>
          <w:r w:rsidRPr="0020113A">
            <w:rPr>
              <w:rFonts w:ascii="Times New Roman" w:hAnsi="Times New Roman"/>
              <w:b/>
              <w:sz w:val="24"/>
              <w:szCs w:val="24"/>
              <w:lang w:val="es-MX"/>
            </w:rPr>
            <w:t>Adiciones o Modificaciones en Valor</w:t>
          </w:r>
        </w:p>
        <w:tbl>
          <w:tblPr>
            <w:tblStyle w:val="Tablaconcuadrcula"/>
            <w:tblW w:w="0" w:type="auto"/>
            <w:tblLook w:val="04A0" w:firstRow="1" w:lastRow="0" w:firstColumn="1" w:lastColumn="0" w:noHBand="0" w:noVBand="1"/>
          </w:tblPr>
          <w:tblGrid>
            <w:gridCol w:w="3103"/>
            <w:gridCol w:w="2467"/>
            <w:gridCol w:w="3258"/>
          </w:tblGrid>
          <w:tr w:rsidR="007803E3" w:rsidRPr="004E79BA" w14:paraId="7B78648D" w14:textId="77777777" w:rsidTr="006D6444">
            <w:tc>
              <w:tcPr>
                <w:tcW w:w="3103" w:type="dxa"/>
                <w:shd w:val="clear" w:color="auto" w:fill="auto"/>
                <w:vAlign w:val="center"/>
              </w:tcPr>
              <w:p w14:paraId="72BB7308" w14:textId="77777777" w:rsidR="007803E3" w:rsidRPr="004E79BA" w:rsidRDefault="007803E3" w:rsidP="006D6444">
                <w:pPr>
                  <w:jc w:val="center"/>
                  <w:rPr>
                    <w:rFonts w:ascii="Times New Roman" w:hAnsi="Times New Roman"/>
                    <w:b/>
                    <w:sz w:val="16"/>
                    <w:szCs w:val="16"/>
                  </w:rPr>
                </w:pPr>
                <w:r w:rsidRPr="004E79BA">
                  <w:rPr>
                    <w:rFonts w:ascii="Times New Roman" w:hAnsi="Times New Roman"/>
                    <w:b/>
                    <w:sz w:val="16"/>
                    <w:szCs w:val="16"/>
                  </w:rPr>
                  <w:t>Valor de la adición o modificación</w:t>
                </w:r>
              </w:p>
            </w:tc>
            <w:tc>
              <w:tcPr>
                <w:tcW w:w="2467" w:type="dxa"/>
                <w:shd w:val="clear" w:color="auto" w:fill="auto"/>
                <w:vAlign w:val="center"/>
              </w:tcPr>
              <w:p w14:paraId="1C38E881" w14:textId="77777777" w:rsidR="007803E3" w:rsidRPr="004E79BA" w:rsidRDefault="007803E3" w:rsidP="006D6444">
                <w:pPr>
                  <w:jc w:val="center"/>
                  <w:rPr>
                    <w:rFonts w:ascii="Times New Roman" w:hAnsi="Times New Roman"/>
                    <w:b/>
                    <w:sz w:val="16"/>
                    <w:szCs w:val="16"/>
                  </w:rPr>
                </w:pPr>
                <w:r w:rsidRPr="004E79BA">
                  <w:rPr>
                    <w:rFonts w:ascii="Times New Roman" w:hAnsi="Times New Roman"/>
                    <w:b/>
                    <w:sz w:val="16"/>
                    <w:szCs w:val="16"/>
                  </w:rPr>
                  <w:t>Nuevo valor del acuerdo</w:t>
                </w:r>
              </w:p>
            </w:tc>
            <w:tc>
              <w:tcPr>
                <w:tcW w:w="3258" w:type="dxa"/>
                <w:shd w:val="clear" w:color="auto" w:fill="auto"/>
                <w:vAlign w:val="center"/>
              </w:tcPr>
              <w:p w14:paraId="4E3C543C" w14:textId="77777777" w:rsidR="007803E3" w:rsidRPr="004E79BA" w:rsidRDefault="007803E3" w:rsidP="006D6444">
                <w:pPr>
                  <w:jc w:val="center"/>
                  <w:rPr>
                    <w:rFonts w:ascii="Times New Roman" w:hAnsi="Times New Roman"/>
                    <w:b/>
                    <w:sz w:val="16"/>
                    <w:szCs w:val="16"/>
                  </w:rPr>
                </w:pPr>
                <w:r w:rsidRPr="004E79BA">
                  <w:rPr>
                    <w:rFonts w:ascii="Times New Roman" w:hAnsi="Times New Roman"/>
                    <w:b/>
                    <w:sz w:val="16"/>
                    <w:szCs w:val="16"/>
                  </w:rPr>
                  <w:t>Observaciones</w:t>
                </w:r>
              </w:p>
            </w:tc>
          </w:tr>
          <w:tr w:rsidR="007803E3" w:rsidRPr="004E79BA" w14:paraId="6B603A92" w14:textId="77777777" w:rsidTr="006D6444">
            <w:tc>
              <w:tcPr>
                <w:tcW w:w="3103" w:type="dxa"/>
                <w:shd w:val="clear" w:color="auto" w:fill="auto"/>
                <w:vAlign w:val="center"/>
              </w:tcPr>
              <w:p w14:paraId="54B65E7F" w14:textId="77777777" w:rsidR="007803E3" w:rsidRPr="004E79BA" w:rsidRDefault="007803E3" w:rsidP="006D6444">
                <w:pPr>
                  <w:pStyle w:val="Prrafodelista"/>
                  <w:rPr>
                    <w:rFonts w:ascii="Times New Roman" w:hAnsi="Times New Roman"/>
                    <w:sz w:val="16"/>
                    <w:szCs w:val="16"/>
                  </w:rPr>
                </w:pPr>
                <w:r w:rsidRPr="004E79BA">
                  <w:rPr>
                    <w:rFonts w:ascii="Times New Roman" w:hAnsi="Times New Roman"/>
                    <w:sz w:val="16"/>
                    <w:szCs w:val="16"/>
                  </w:rPr>
                  <w:t>N/A</w:t>
                </w:r>
              </w:p>
            </w:tc>
            <w:tc>
              <w:tcPr>
                <w:tcW w:w="2467" w:type="dxa"/>
                <w:shd w:val="clear" w:color="auto" w:fill="auto"/>
                <w:vAlign w:val="center"/>
              </w:tcPr>
              <w:p w14:paraId="73540FEA" w14:textId="77777777" w:rsidR="007803E3" w:rsidRPr="004E79BA" w:rsidRDefault="007803E3" w:rsidP="006D6444">
                <w:pPr>
                  <w:pStyle w:val="Prrafodelista"/>
                  <w:rPr>
                    <w:rFonts w:ascii="Times New Roman" w:hAnsi="Times New Roman"/>
                    <w:sz w:val="16"/>
                    <w:szCs w:val="16"/>
                  </w:rPr>
                </w:pPr>
                <w:r w:rsidRPr="004E79BA">
                  <w:rPr>
                    <w:rFonts w:ascii="Times New Roman" w:hAnsi="Times New Roman"/>
                    <w:sz w:val="16"/>
                    <w:szCs w:val="16"/>
                  </w:rPr>
                  <w:t>N/A</w:t>
                </w:r>
              </w:p>
            </w:tc>
            <w:tc>
              <w:tcPr>
                <w:tcW w:w="3258" w:type="dxa"/>
                <w:shd w:val="clear" w:color="auto" w:fill="auto"/>
              </w:tcPr>
              <w:p w14:paraId="7AF385C8" w14:textId="77777777" w:rsidR="007803E3" w:rsidRPr="004E79BA" w:rsidRDefault="007803E3" w:rsidP="006D6444">
                <w:pPr>
                  <w:jc w:val="both"/>
                  <w:rPr>
                    <w:rFonts w:ascii="Times New Roman" w:hAnsi="Times New Roman"/>
                    <w:sz w:val="16"/>
                    <w:szCs w:val="16"/>
                  </w:rPr>
                </w:pPr>
                <w:r w:rsidRPr="004E79BA">
                  <w:rPr>
                    <w:rFonts w:ascii="Times New Roman" w:hAnsi="Times New Roman"/>
                    <w:sz w:val="16"/>
                    <w:szCs w:val="16"/>
                  </w:rPr>
                  <w:t>Mediante el Otrosí N° 007 suscrito el 21 de diciembre de 2023, las partes acordaron que definitivamente no resultaba pertinente y necesario construir una segunda estación de Pesaje en el corredor vial del Proyecto y por ende se reintegrarán los recursos correspondientes al CAPEX y OPEX causado desde el inicio de la etapa de Operación y Mantenimiento y tales recursos deberán trasladarse a la Subcuenta de Obras Menores. en el Modelo Financiero con fines Contables los recursos provenientes la devolución por Capex que realiza el Concesionario se descontaron de la ejecución del año 2021 para la UF-4 en que debió entregarse y se trasladan a 2025, año en que se estima se ejecutará tal Capex pendiente por utilizar.</w:t>
                </w:r>
              </w:p>
            </w:tc>
          </w:tr>
        </w:tbl>
        <w:p w14:paraId="65B3E90D" w14:textId="77777777" w:rsidR="007803E3" w:rsidRPr="0020113A" w:rsidRDefault="007803E3" w:rsidP="007803E3">
          <w:pPr>
            <w:rPr>
              <w:rFonts w:ascii="Times New Roman" w:hAnsi="Times New Roman"/>
              <w:sz w:val="24"/>
              <w:szCs w:val="24"/>
              <w:lang w:val="es-MX"/>
            </w:rPr>
          </w:pPr>
        </w:p>
        <w:p w14:paraId="420074DC" w14:textId="77777777"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PUERTA DE HIERRO PALMAR DE VARELA Y CARRETO CRUZ DEL VISO</w:t>
          </w:r>
        </w:p>
        <w:p w14:paraId="268FED4C" w14:textId="77777777" w:rsidR="007803E3" w:rsidRPr="0020113A" w:rsidRDefault="007803E3" w:rsidP="00E60BAB">
          <w:pPr>
            <w:pStyle w:val="Prrafodelista"/>
            <w:numPr>
              <w:ilvl w:val="0"/>
              <w:numId w:val="84"/>
            </w:numPr>
            <w:spacing w:line="259" w:lineRule="auto"/>
            <w:rPr>
              <w:rFonts w:ascii="Times New Roman" w:hAnsi="Times New Roman"/>
              <w:b/>
              <w:sz w:val="24"/>
              <w:szCs w:val="24"/>
              <w:lang w:val="es-MX"/>
            </w:rPr>
          </w:pPr>
          <w:r w:rsidRPr="0020113A">
            <w:rPr>
              <w:rFonts w:ascii="Times New Roman" w:hAnsi="Times New Roman"/>
              <w:b/>
              <w:sz w:val="24"/>
              <w:szCs w:val="24"/>
              <w:lang w:val="es-MX"/>
            </w:rPr>
            <w:t>Descripción del Acuerdo</w:t>
          </w:r>
        </w:p>
        <w:p w14:paraId="7A8F3A1F" w14:textId="77777777" w:rsidR="007803E3" w:rsidRPr="0020113A" w:rsidRDefault="007803E3" w:rsidP="007803E3">
          <w:pPr>
            <w:spacing w:after="0" w:line="240" w:lineRule="auto"/>
            <w:rPr>
              <w:rFonts w:ascii="Times New Roman" w:hAnsi="Times New Roman"/>
              <w:sz w:val="24"/>
              <w:szCs w:val="24"/>
              <w:lang w:val="es-MX"/>
            </w:rPr>
          </w:pPr>
          <w:r w:rsidRPr="0020113A">
            <w:rPr>
              <w:rFonts w:ascii="Times New Roman" w:hAnsi="Times New Roman"/>
              <w:b/>
              <w:sz w:val="24"/>
              <w:szCs w:val="24"/>
              <w:lang w:val="es-MX"/>
            </w:rPr>
            <w:t>Número del Acuerdo de Concesión:</w:t>
          </w:r>
          <w:r w:rsidRPr="0020113A">
            <w:rPr>
              <w:rFonts w:ascii="Times New Roman" w:hAnsi="Times New Roman"/>
              <w:sz w:val="24"/>
              <w:szCs w:val="24"/>
            </w:rPr>
            <w:t xml:space="preserve"> </w:t>
          </w:r>
          <w:r w:rsidRPr="0020113A">
            <w:rPr>
              <w:rFonts w:ascii="Times New Roman" w:hAnsi="Times New Roman"/>
              <w:sz w:val="24"/>
              <w:szCs w:val="24"/>
              <w:lang w:val="es-MX"/>
            </w:rPr>
            <w:t>No 007 de 03 de julio de 2015.</w:t>
          </w:r>
        </w:p>
        <w:p w14:paraId="4E06F97F" w14:textId="77777777" w:rsidR="007803E3" w:rsidRPr="0020113A" w:rsidRDefault="007803E3" w:rsidP="18BAD2EC">
          <w:pPr>
            <w:spacing w:after="0"/>
            <w:rPr>
              <w:rFonts w:ascii="Times New Roman" w:hAnsi="Times New Roman"/>
              <w:sz w:val="24"/>
              <w:szCs w:val="24"/>
              <w:lang w:val="es-MX"/>
            </w:rPr>
          </w:pPr>
          <w:r w:rsidRPr="0020113A">
            <w:rPr>
              <w:rFonts w:ascii="Times New Roman" w:hAnsi="Times New Roman"/>
              <w:b/>
              <w:sz w:val="24"/>
              <w:szCs w:val="24"/>
              <w:lang w:val="es-MX"/>
            </w:rPr>
            <w:t xml:space="preserve">Objeto / Descripción: </w:t>
          </w:r>
          <w:r w:rsidRPr="0020113A">
            <w:rPr>
              <w:rFonts w:ascii="Times New Roman" w:hAnsi="Times New Roman"/>
              <w:sz w:val="24"/>
              <w:szCs w:val="24"/>
              <w:lang w:val="es-MX"/>
            </w:rPr>
            <w:t>Financiación, elaboración de estudios y diseños definitivos, gestión social y ambiental, gestión predial, construcción, mejoramiento, operación y mantenimiento del corredor Puerta Hierro – Palmar de Varela y Carreto – Cruz del Viso.</w:t>
          </w:r>
        </w:p>
        <w:p w14:paraId="7C9E5732" w14:textId="77777777" w:rsidR="007803E3" w:rsidRPr="0020113A" w:rsidRDefault="007803E3" w:rsidP="18BAD2EC">
          <w:pPr>
            <w:spacing w:after="0"/>
            <w:jc w:val="both"/>
            <w:rPr>
              <w:rFonts w:ascii="Times New Roman" w:hAnsi="Times New Roman"/>
              <w:sz w:val="24"/>
              <w:szCs w:val="24"/>
              <w:lang w:val="es-MX"/>
            </w:rPr>
          </w:pPr>
          <w:r w:rsidRPr="0020113A">
            <w:rPr>
              <w:rFonts w:ascii="Times New Roman" w:hAnsi="Times New Roman"/>
              <w:b/>
              <w:bCs/>
              <w:sz w:val="24"/>
              <w:szCs w:val="24"/>
              <w:lang w:val="es-MX"/>
            </w:rPr>
            <w:t xml:space="preserve">Valor Inicial: </w:t>
          </w:r>
          <w:r w:rsidRPr="0020113A">
            <w:rPr>
              <w:rFonts w:ascii="Times New Roman" w:hAnsi="Times New Roman"/>
              <w:sz w:val="24"/>
              <w:szCs w:val="24"/>
              <w:lang w:val="es-MX"/>
            </w:rPr>
            <w:t>UN BILLÓN DOSCIENTOS CUARENTA MIL OCHOCIENTOS VEITISIETE MILLONES NOVECIENTOS NOVENTA Y SEIS MIL DOSCIENTOS CINCUENTA Y SEIS ($1.240.827.996.256.00) Pesos del Mes de Referencia (dic 2013).</w:t>
          </w:r>
        </w:p>
        <w:p w14:paraId="6184261A" w14:textId="77777777" w:rsidR="007803E3" w:rsidRPr="0020113A" w:rsidRDefault="007803E3" w:rsidP="008F25E9">
          <w:pPr>
            <w:spacing w:after="0"/>
            <w:rPr>
              <w:rFonts w:ascii="Times New Roman" w:hAnsi="Times New Roman"/>
              <w:b/>
              <w:sz w:val="24"/>
              <w:szCs w:val="24"/>
              <w:lang w:val="es-MX"/>
            </w:rPr>
          </w:pPr>
          <w:r w:rsidRPr="0020113A">
            <w:rPr>
              <w:rFonts w:ascii="Times New Roman" w:hAnsi="Times New Roman"/>
              <w:b/>
              <w:sz w:val="24"/>
              <w:szCs w:val="24"/>
              <w:lang w:val="es-MX"/>
            </w:rPr>
            <w:t xml:space="preserve">Fecha de Inicio: </w:t>
          </w:r>
          <w:r w:rsidRPr="0020113A">
            <w:rPr>
              <w:rFonts w:ascii="Times New Roman" w:hAnsi="Times New Roman"/>
              <w:sz w:val="24"/>
              <w:szCs w:val="24"/>
              <w:lang w:val="es-MX"/>
            </w:rPr>
            <w:t>20 de agosto de 2015</w:t>
          </w:r>
        </w:p>
        <w:p w14:paraId="25B6A6E9" w14:textId="77777777" w:rsidR="007803E3" w:rsidRPr="0020113A" w:rsidRDefault="007803E3" w:rsidP="008F25E9">
          <w:pPr>
            <w:spacing w:after="0"/>
            <w:rPr>
              <w:rFonts w:ascii="Times New Roman" w:hAnsi="Times New Roman"/>
              <w:b/>
              <w:sz w:val="24"/>
              <w:szCs w:val="24"/>
              <w:lang w:val="es-MX"/>
            </w:rPr>
          </w:pPr>
          <w:r w:rsidRPr="0020113A">
            <w:rPr>
              <w:rFonts w:ascii="Times New Roman" w:hAnsi="Times New Roman"/>
              <w:b/>
              <w:sz w:val="24"/>
              <w:szCs w:val="24"/>
              <w:lang w:val="es-MX"/>
            </w:rPr>
            <w:t xml:space="preserve">Fecha de Finalización Estimada: </w:t>
          </w:r>
          <w:r w:rsidRPr="0020113A">
            <w:rPr>
              <w:rFonts w:ascii="Times New Roman" w:hAnsi="Times New Roman"/>
              <w:sz w:val="24"/>
              <w:szCs w:val="24"/>
              <w:lang w:val="es-MX"/>
            </w:rPr>
            <w:t>19/08/2040</w:t>
          </w:r>
        </w:p>
        <w:p w14:paraId="6B2E0EF6" w14:textId="77777777" w:rsidR="007803E3" w:rsidRPr="0020113A" w:rsidRDefault="007803E3" w:rsidP="008F25E9">
          <w:pPr>
            <w:spacing w:after="0"/>
            <w:rPr>
              <w:rFonts w:ascii="Times New Roman" w:hAnsi="Times New Roman"/>
              <w:b/>
              <w:sz w:val="24"/>
              <w:szCs w:val="24"/>
              <w:lang w:val="es-MX"/>
            </w:rPr>
          </w:pPr>
          <w:r w:rsidRPr="0020113A">
            <w:rPr>
              <w:rFonts w:ascii="Times New Roman" w:hAnsi="Times New Roman"/>
              <w:b/>
              <w:sz w:val="24"/>
              <w:szCs w:val="24"/>
              <w:lang w:val="es-MX"/>
            </w:rPr>
            <w:t xml:space="preserve">Tipo ID: </w:t>
          </w:r>
          <w:r w:rsidRPr="0020113A">
            <w:rPr>
              <w:rFonts w:ascii="Times New Roman" w:hAnsi="Times New Roman"/>
              <w:sz w:val="24"/>
              <w:szCs w:val="24"/>
              <w:lang w:val="es-MX"/>
            </w:rPr>
            <w:t>NIT</w:t>
          </w:r>
        </w:p>
        <w:p w14:paraId="6100D6CC" w14:textId="77777777" w:rsidR="007803E3" w:rsidRPr="0020113A" w:rsidRDefault="007803E3" w:rsidP="008F25E9">
          <w:pPr>
            <w:spacing w:after="0"/>
            <w:rPr>
              <w:rFonts w:ascii="Times New Roman" w:hAnsi="Times New Roman"/>
              <w:sz w:val="24"/>
              <w:szCs w:val="24"/>
              <w:lang w:val="es-MX"/>
            </w:rPr>
          </w:pPr>
          <w:r w:rsidRPr="0020113A">
            <w:rPr>
              <w:rFonts w:ascii="Times New Roman" w:hAnsi="Times New Roman"/>
              <w:b/>
              <w:sz w:val="24"/>
              <w:szCs w:val="24"/>
              <w:lang w:val="es-MX"/>
            </w:rPr>
            <w:t xml:space="preserve">Numero ID: </w:t>
          </w:r>
          <w:r w:rsidRPr="0020113A">
            <w:rPr>
              <w:rFonts w:ascii="Times New Roman" w:hAnsi="Times New Roman"/>
              <w:sz w:val="24"/>
              <w:szCs w:val="24"/>
              <w:lang w:val="es-MX"/>
            </w:rPr>
            <w:t>900858096</w:t>
          </w:r>
        </w:p>
        <w:p w14:paraId="783D2B72" w14:textId="77777777" w:rsidR="007803E3" w:rsidRPr="0020113A" w:rsidRDefault="007803E3" w:rsidP="008F25E9">
          <w:pPr>
            <w:spacing w:after="0"/>
            <w:rPr>
              <w:rFonts w:ascii="Times New Roman" w:hAnsi="Times New Roman"/>
              <w:sz w:val="24"/>
              <w:szCs w:val="24"/>
              <w:lang w:val="es-MX"/>
            </w:rPr>
          </w:pPr>
          <w:r w:rsidRPr="0020113A">
            <w:rPr>
              <w:rFonts w:ascii="Times New Roman" w:hAnsi="Times New Roman"/>
              <w:b/>
              <w:sz w:val="24"/>
              <w:szCs w:val="24"/>
              <w:lang w:val="es-MX"/>
            </w:rPr>
            <w:t xml:space="preserve">Razón Social del Concesionario: </w:t>
          </w:r>
          <w:r w:rsidRPr="0020113A">
            <w:rPr>
              <w:rFonts w:ascii="Times New Roman" w:hAnsi="Times New Roman"/>
              <w:sz w:val="24"/>
              <w:szCs w:val="24"/>
              <w:lang w:val="es-MX"/>
            </w:rPr>
            <w:t>SOCIEDAD CONCESIONARIA VIAL MONTES DE MARÍA S.A.S</w:t>
          </w:r>
        </w:p>
        <w:p w14:paraId="5DB89E5C" w14:textId="77777777" w:rsidR="007803E3" w:rsidRDefault="007803E3" w:rsidP="008F25E9">
          <w:pPr>
            <w:spacing w:after="0"/>
            <w:rPr>
              <w:rFonts w:ascii="Times New Roman" w:hAnsi="Times New Roman"/>
              <w:b/>
              <w:sz w:val="24"/>
              <w:szCs w:val="24"/>
              <w:lang w:val="es-MX"/>
            </w:rPr>
          </w:pPr>
          <w:r w:rsidRPr="0020113A">
            <w:rPr>
              <w:rFonts w:ascii="Times New Roman" w:hAnsi="Times New Roman"/>
              <w:b/>
              <w:sz w:val="24"/>
              <w:szCs w:val="24"/>
              <w:lang w:val="es-MX"/>
            </w:rPr>
            <w:t xml:space="preserve">Nombre del Proyecto: </w:t>
          </w:r>
          <w:r w:rsidRPr="0020113A">
            <w:rPr>
              <w:rFonts w:ascii="Times New Roman" w:hAnsi="Times New Roman"/>
              <w:sz w:val="24"/>
              <w:szCs w:val="24"/>
              <w:lang w:val="es-MX"/>
            </w:rPr>
            <w:t>CONCESION PUERTA DE HIERRO PALMAR DE VARELA Y CARRETO CRUZ DEL VISO</w:t>
          </w:r>
          <w:r w:rsidRPr="0020113A">
            <w:rPr>
              <w:rFonts w:ascii="Times New Roman" w:hAnsi="Times New Roman"/>
              <w:b/>
              <w:sz w:val="24"/>
              <w:szCs w:val="24"/>
              <w:lang w:val="es-MX"/>
            </w:rPr>
            <w:t xml:space="preserve"> </w:t>
          </w:r>
        </w:p>
        <w:p w14:paraId="458405D5" w14:textId="77777777" w:rsidR="008F25E9" w:rsidRPr="009A46BB" w:rsidRDefault="008F25E9" w:rsidP="008F25E9">
          <w:pPr>
            <w:spacing w:after="0"/>
            <w:rPr>
              <w:rFonts w:ascii="Times New Roman" w:hAnsi="Times New Roman"/>
              <w:sz w:val="24"/>
              <w:szCs w:val="24"/>
              <w:lang w:val="es-MX"/>
            </w:rPr>
          </w:pPr>
        </w:p>
        <w:p w14:paraId="0EA029A2" w14:textId="77777777" w:rsidR="007803E3" w:rsidRPr="0020113A" w:rsidRDefault="007803E3" w:rsidP="00E60BAB">
          <w:pPr>
            <w:pStyle w:val="Prrafodelista"/>
            <w:numPr>
              <w:ilvl w:val="0"/>
              <w:numId w:val="84"/>
            </w:numPr>
            <w:spacing w:line="259" w:lineRule="auto"/>
            <w:rPr>
              <w:rFonts w:ascii="Times New Roman" w:hAnsi="Times New Roman"/>
              <w:b/>
              <w:sz w:val="24"/>
              <w:szCs w:val="24"/>
              <w:lang w:val="es-MX"/>
            </w:rPr>
          </w:pPr>
          <w:r w:rsidRPr="0020113A">
            <w:rPr>
              <w:rFonts w:ascii="Times New Roman" w:hAnsi="Times New Roman"/>
              <w:b/>
              <w:sz w:val="24"/>
              <w:szCs w:val="24"/>
              <w:lang w:val="es-MX"/>
            </w:rPr>
            <w:t>Términos significativos del acuerdo que puedan afectar su valor, el calendario y la certeza de los flujos</w:t>
          </w:r>
        </w:p>
        <w:p w14:paraId="3169E925"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Términos de Valor: </w:t>
          </w:r>
          <w:r w:rsidRPr="0020113A">
            <w:rPr>
              <w:rFonts w:ascii="Times New Roman" w:hAnsi="Times New Roman"/>
              <w:sz w:val="24"/>
              <w:szCs w:val="24"/>
              <w:lang w:val="es-MX"/>
            </w:rPr>
            <w:t>EL DR8 se cumplió el 20 de agosto de 2023, sin embargo, con base en lo acordado en el acta aclaratoria con efectos transaccionales suscrita el 29 de noviembre de 2023 y de conformidad con lo establecido en la sección 3.4 literal (b) romanito (i)(ii) de la parte general del contrato de concesión, se realizó el corte de reconocimiento con fecha 31 de julio de 023. En el mes de diciembre se realizó un primer pago, quedando un saldo pendiente para cancelar a más tardar el 31 de marzo de 2024.</w:t>
          </w:r>
        </w:p>
        <w:p w14:paraId="4721FA3F"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En el mes de septiembre de 2023 fue girado el saldo pendiente de Aportes ANI de la vigencia de 2022 con el reconocimiento de los intereses remuneratorios y moratorios liquidados usando la DTF semanal + 5 puntos.</w:t>
          </w:r>
        </w:p>
        <w:p w14:paraId="7D8A1980"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Igualmente fue realizado giro parcial de los Aportes ANI de la vigencia 2023.</w:t>
          </w:r>
        </w:p>
        <w:p w14:paraId="360142CE"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En aplicación de la Sección 3.3. literal (i) Parte General del Contrato, por no incremento de tarifas de acuerdo con la Resolución contractual para la Estación de Peaje El Carmen en el periodo 2023 fue consignado por parte de la ANI a la Subcuenta de Recaudo el valor correspondiente a las actas de compensación trimestral: Acta No. 3 y 4.</w:t>
          </w:r>
        </w:p>
        <w:p w14:paraId="696CA3B0"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En la vigencia 2023 para las Estaciones de Peaje El Carmen y Calamar se suscribieron y giraron a la Subcuenta de Recaudo los recursos correspondientes a las actas No. 5 y 6 de compensación trimestral de menor recaudo por efectos del Decreto 050 que ordeno no incrementar las tarifas.</w:t>
          </w:r>
        </w:p>
        <w:p w14:paraId="07D08263"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lastRenderedPageBreak/>
            <w:t>A corte de 31 de diciembre de 2023 se suscribieron y pagaron actas de Retribución por Recaudo de Peaje y Aportes ANI entre el Concesionario y la Interventoría hasta el mes de octubre.</w:t>
          </w:r>
        </w:p>
        <w:p w14:paraId="6526D592"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Términos de Calendario: </w:t>
          </w:r>
          <w:r w:rsidRPr="0020113A">
            <w:rPr>
              <w:rFonts w:ascii="Times New Roman" w:hAnsi="Times New Roman"/>
              <w:sz w:val="24"/>
              <w:szCs w:val="24"/>
              <w:lang w:val="es-MX"/>
            </w:rPr>
            <w:t>La Etapa de Operación y Mantenimiento en que se encuentra el Proyecto se inició el 19 de mayo de 2021 y durante 2023 se cumplió lo establecido en la Sección 3.1 (d) de la Parte General que indica que la Retribución del Concesionario, será calculada dentro de los primeros diez días del Mes siguiente al mes respecto del cual va a retribuir, también se cumplió con el literal (e) se remitieron a la ANI y a la Fiducia las actas de Retribución, a más tardar al Día Hábil siguiente a su suscripción. Adicionalmente, la Fiduciaria giró los recursos de las Actas cumpliendo la instrucción contractual que estable que de no haber objeción por parte de la ANI dentro de los doce días hábiles siguientes de su recepción, la Fiduciaria procederá con el giro. Las Actas de Retribución se pagaron durante 2023 para todas las UF y su último pago al cierre del año fueron las Actas de Octubre de 2023.</w:t>
          </w:r>
        </w:p>
        <w:p w14:paraId="1DDC386E"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De acuerdo con el Contrato, Las tarifas se actualizan el 16 de enero de cada vigencia, sin embargo, en 2023 no se llevó a cabo este incremento por la expedición del Decreto 050 que ordenó no incrementar las tarifas. En Consecuencia la ANI reconoció y pagó las Actas trimestrales No. 5 y 6 de compensación por menor recaudo para las Estaciones de El Carmen y Calamar correspondiente a los períodos comprendido entre el 16 de enero y el 16 de julio de 2023 respectivamente. En el mes de enero de 2023 se giraron a la Subcuenta Recaudo de Peaje el valor correspondiente al Acta No. 3 de compensación trimestral por el no incremento contractual en la estación de Peaje El Carmen, correspondientes al trimestre del 16 de julio de 2022 al 15 de octubre de 2022 y en marzo de 2023 se giraron a la Subcuenta de Recaudo el valor del Acta No. 4 correspondiente al trimestre del 16 de octubre de 2022 al 15 de enero de 2023.</w:t>
          </w:r>
        </w:p>
        <w:p w14:paraId="246D8724"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Parte Especial Numeral 4.6 Cálculo de la diferencia de Recaudo: En agosto de 2023 se cumplió la fecha para realizar el cálculo correspondiente al DR8, el cual se mide con corte a julio de 2023. El 15 de diciembre de 2023 fue realizado el primer abono, el saldo se estima cancelar antes del 31 de marzo de 2024, de acuerdo con el Acta Aclaratoria con Efectos Transaccionales suscrita entre la ANI y el Concesionario.</w:t>
          </w:r>
        </w:p>
        <w:p w14:paraId="18E625E1"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En el mes de septiembre de 2023 fue realizado el giro del saldo pendiente del Aporte ANI de 2022 Actualizando el capital con la variable IPC de enero de 2023 y el reconocimiento de intereses remuneratorios y moratorios. Igualmente fue realizado en septiembre de 2023 un giro parcial del Aporte ANI de la vigencia de 2023 actualizado con la variable de IPC del mes de agosto de 2023.</w:t>
          </w:r>
        </w:p>
        <w:p w14:paraId="5047EC3F"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Términos de Certeza de Flujos de Efectivo Futuros: </w:t>
          </w:r>
          <w:r w:rsidRPr="0020113A">
            <w:rPr>
              <w:rFonts w:ascii="Times New Roman" w:hAnsi="Times New Roman"/>
              <w:sz w:val="24"/>
              <w:szCs w:val="24"/>
              <w:lang w:val="es-MX"/>
            </w:rPr>
            <w:t xml:space="preserve">El Gobierno Nacional expidió el Decreto No.0050 de 2023, se ordenó no incrementar las tarifas de peaje. </w:t>
          </w:r>
        </w:p>
        <w:p w14:paraId="723F1FF9" w14:textId="77777777" w:rsidR="007803E3" w:rsidRPr="0020113A" w:rsidRDefault="007803E3" w:rsidP="00E60BAB">
          <w:pPr>
            <w:pStyle w:val="Prrafodelista"/>
            <w:numPr>
              <w:ilvl w:val="0"/>
              <w:numId w:val="84"/>
            </w:numPr>
            <w:spacing w:line="259" w:lineRule="auto"/>
            <w:jc w:val="both"/>
            <w:rPr>
              <w:rFonts w:ascii="Times New Roman" w:hAnsi="Times New Roman"/>
              <w:b/>
              <w:sz w:val="24"/>
              <w:szCs w:val="24"/>
              <w:lang w:val="es-MX"/>
            </w:rPr>
          </w:pPr>
          <w:r w:rsidRPr="0020113A">
            <w:rPr>
              <w:rFonts w:ascii="Times New Roman" w:hAnsi="Times New Roman"/>
              <w:b/>
              <w:sz w:val="24"/>
              <w:szCs w:val="24"/>
              <w:lang w:val="es-MX"/>
            </w:rPr>
            <w:t>Naturaleza y alcance del derecho a utilizar activos especificados, de los aspectos pactados en torno a lo que se espera que el concesionario proporcione en relación con el acuerdo de concesión</w:t>
          </w:r>
        </w:p>
        <w:p w14:paraId="7ABA93A8" w14:textId="77777777" w:rsidR="007803E3" w:rsidRPr="0020113A" w:rsidRDefault="007803E3" w:rsidP="007803E3">
          <w:pPr>
            <w:jc w:val="center"/>
            <w:rPr>
              <w:rFonts w:ascii="Times New Roman" w:hAnsi="Times New Roman"/>
              <w:b/>
              <w:sz w:val="24"/>
              <w:szCs w:val="24"/>
              <w:lang w:val="es-MX"/>
            </w:rPr>
          </w:pPr>
          <w:r w:rsidRPr="0020113A">
            <w:rPr>
              <w:rFonts w:ascii="Times New Roman" w:hAnsi="Times New Roman"/>
              <w:b/>
              <w:sz w:val="24"/>
              <w:szCs w:val="24"/>
              <w:lang w:val="es-MX"/>
            </w:rPr>
            <w:t>Naturaleza y alcance del derecho de uso de los activos</w:t>
          </w:r>
        </w:p>
        <w:p w14:paraId="62BF8C24"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lastRenderedPageBreak/>
            <w:t xml:space="preserve">Descripción: </w:t>
          </w:r>
          <w:r w:rsidRPr="0020113A">
            <w:rPr>
              <w:rFonts w:ascii="Times New Roman" w:hAnsi="Times New Roman"/>
              <w:sz w:val="24"/>
              <w:szCs w:val="24"/>
              <w:lang w:val="es-MX"/>
            </w:rPr>
            <w:t>La sección 3.5 (b) del Capítulo III de la Parte Especial del Contrato determina la infraestructura programada para ser recibida por el Concesionario.</w:t>
          </w:r>
        </w:p>
        <w:p w14:paraId="69702182"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Sección 3.6 - Parte Especial – Estaciones de Peaje.</w:t>
          </w:r>
        </w:p>
        <w:p w14:paraId="0DC26FAA"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Sección 3.3 Parte General  peajes, Derecho de Recaudo e ingresos por Explotación Comercial.</w:t>
          </w:r>
        </w:p>
        <w:p w14:paraId="774294C3"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Observaciones:</w:t>
          </w:r>
          <w:r w:rsidRPr="0020113A">
            <w:rPr>
              <w:rFonts w:ascii="Times New Roman" w:hAnsi="Times New Roman"/>
              <w:sz w:val="24"/>
              <w:szCs w:val="24"/>
            </w:rPr>
            <w:t xml:space="preserve"> </w:t>
          </w:r>
          <w:r w:rsidRPr="0020113A">
            <w:rPr>
              <w:rFonts w:ascii="Times New Roman" w:hAnsi="Times New Roman"/>
              <w:sz w:val="24"/>
              <w:szCs w:val="24"/>
              <w:lang w:val="es-MX"/>
            </w:rPr>
            <w:t>N/A</w:t>
          </w:r>
        </w:p>
        <w:p w14:paraId="5051EC08" w14:textId="77777777" w:rsidR="007803E3" w:rsidRPr="0020113A" w:rsidRDefault="007803E3" w:rsidP="007803E3">
          <w:pPr>
            <w:jc w:val="center"/>
            <w:rPr>
              <w:rFonts w:ascii="Times New Roman" w:hAnsi="Times New Roman"/>
              <w:b/>
              <w:sz w:val="24"/>
              <w:szCs w:val="24"/>
              <w:lang w:val="es-MX"/>
            </w:rPr>
          </w:pPr>
          <w:r w:rsidRPr="0020113A">
            <w:rPr>
              <w:rFonts w:ascii="Times New Roman" w:hAnsi="Times New Roman"/>
              <w:b/>
              <w:sz w:val="24"/>
              <w:szCs w:val="24"/>
              <w:lang w:val="es-MX"/>
            </w:rPr>
            <w:t>Retribución al Concesionario</w:t>
          </w:r>
        </w:p>
        <w:p w14:paraId="71D8DE06"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Descripción: </w:t>
          </w:r>
          <w:r w:rsidRPr="0020113A">
            <w:rPr>
              <w:rFonts w:ascii="Times New Roman" w:hAnsi="Times New Roman"/>
              <w:sz w:val="24"/>
              <w:szCs w:val="24"/>
              <w:lang w:val="es-MX"/>
            </w:rPr>
            <w:t>Se establece en el Contrato en la Parte General Capítulo III Aspectos Económicos del Contrato numeral 3.1 Retribución al Concesionario literales a) al i) y 3.2 deducciones por desempeño y en la Parte Especial capítulo IV numeral 4.3 cálculo de la Retribución al cierre de la vigencia de 2023 se encuentran reconocidas actas de retribución al corte del mes de octubre de 2023.</w:t>
          </w:r>
        </w:p>
        <w:p w14:paraId="27CA7455"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Tasa de Retribución:</w:t>
          </w:r>
          <w:r w:rsidRPr="0020113A">
            <w:rPr>
              <w:rFonts w:ascii="Times New Roman" w:hAnsi="Times New Roman"/>
              <w:sz w:val="24"/>
              <w:szCs w:val="24"/>
            </w:rPr>
            <w:t xml:space="preserve"> </w:t>
          </w:r>
          <w:r w:rsidRPr="0020113A">
            <w:rPr>
              <w:rFonts w:ascii="Times New Roman" w:hAnsi="Times New Roman"/>
              <w:sz w:val="24"/>
              <w:szCs w:val="24"/>
              <w:lang w:val="es-MX"/>
            </w:rPr>
            <w:t>En cuanto al Modelo Financiero con propósito Contable, la metodología para el cálculo de la carga financiera se estableció conforme a lo planteado en el modelo financiero contratado por la Agencia. La carga financiera se obtiene a través del cálculo resultante para mantener el equilibrio entre los recursos disponibles del proyecto y las obligaciones a pagar.</w:t>
          </w:r>
        </w:p>
        <w:p w14:paraId="1CDDA6F0" w14:textId="77777777" w:rsidR="007803E3" w:rsidRPr="0020113A" w:rsidRDefault="007803E3" w:rsidP="00E60BAB">
          <w:pPr>
            <w:pStyle w:val="Prrafodelista"/>
            <w:numPr>
              <w:ilvl w:val="0"/>
              <w:numId w:val="84"/>
            </w:numPr>
            <w:spacing w:line="259" w:lineRule="auto"/>
            <w:jc w:val="both"/>
            <w:rPr>
              <w:rFonts w:ascii="Times New Roman" w:hAnsi="Times New Roman"/>
              <w:sz w:val="24"/>
              <w:szCs w:val="24"/>
              <w:lang w:val="es-MX"/>
            </w:rPr>
          </w:pPr>
          <w:r w:rsidRPr="0020113A">
            <w:rPr>
              <w:rFonts w:ascii="Times New Roman" w:hAnsi="Times New Roman"/>
              <w:b/>
              <w:sz w:val="24"/>
              <w:szCs w:val="24"/>
              <w:lang w:val="es-MX"/>
            </w:rPr>
            <w:t>Derechos a recibir activos especificados al final del acuerdo de concesión</w:t>
          </w:r>
        </w:p>
        <w:p w14:paraId="7E5A18A7"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Descripción: </w:t>
          </w:r>
          <w:r w:rsidRPr="0020113A">
            <w:rPr>
              <w:rFonts w:ascii="Times New Roman" w:hAnsi="Times New Roman"/>
              <w:sz w:val="24"/>
              <w:szCs w:val="24"/>
              <w:lang w:val="es-MX"/>
            </w:rPr>
            <w:t>Sección 9.7 Etapa de Reversión de la Parte General del Contrato de Concesión.</w:t>
          </w:r>
        </w:p>
        <w:p w14:paraId="6170CC35"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Observaciones: </w:t>
          </w:r>
          <w:r w:rsidRPr="0020113A">
            <w:rPr>
              <w:rFonts w:ascii="Times New Roman" w:hAnsi="Times New Roman"/>
              <w:sz w:val="24"/>
              <w:szCs w:val="24"/>
              <w:lang w:val="es-MX"/>
            </w:rPr>
            <w:t>No se tiene observación.</w:t>
          </w:r>
        </w:p>
        <w:p w14:paraId="68F918FD" w14:textId="52044582" w:rsidR="007803E3" w:rsidRPr="00A20AB8" w:rsidRDefault="00A20AB8" w:rsidP="00E60BAB">
          <w:pPr>
            <w:pStyle w:val="Prrafodelista"/>
            <w:numPr>
              <w:ilvl w:val="0"/>
              <w:numId w:val="84"/>
            </w:numPr>
            <w:spacing w:line="259" w:lineRule="auto"/>
            <w:rPr>
              <w:rFonts w:ascii="Times New Roman" w:hAnsi="Times New Roman"/>
              <w:b/>
              <w:sz w:val="24"/>
              <w:szCs w:val="24"/>
              <w:lang w:val="es-MX"/>
            </w:rPr>
          </w:pPr>
          <w:r>
            <w:rPr>
              <w:rFonts w:ascii="Times New Roman" w:hAnsi="Times New Roman"/>
              <w:b/>
              <w:sz w:val="24"/>
              <w:szCs w:val="24"/>
              <w:lang w:val="es-MX"/>
            </w:rPr>
            <w:t>No hay c</w:t>
          </w:r>
          <w:r w:rsidR="007803E3" w:rsidRPr="0020113A">
            <w:rPr>
              <w:rFonts w:ascii="Times New Roman" w:hAnsi="Times New Roman"/>
              <w:b/>
              <w:sz w:val="24"/>
              <w:szCs w:val="24"/>
              <w:lang w:val="es-MX"/>
            </w:rPr>
            <w:t>ambios en el acuerdo de concesión que se realicen durante el periodo fiscal</w:t>
          </w:r>
        </w:p>
        <w:p w14:paraId="37409A52" w14:textId="77777777" w:rsidR="007803E3" w:rsidRPr="0020113A" w:rsidRDefault="007803E3" w:rsidP="007803E3">
          <w:pPr>
            <w:jc w:val="both"/>
            <w:rPr>
              <w:rFonts w:ascii="Times New Roman" w:hAnsi="Times New Roman"/>
              <w:sz w:val="24"/>
              <w:szCs w:val="24"/>
              <w:lang w:val="es-MX"/>
            </w:rPr>
          </w:pPr>
        </w:p>
        <w:p w14:paraId="446D11A8" w14:textId="77777777"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GIRARDOT HONDA PUERTO SALGAR</w:t>
          </w:r>
        </w:p>
        <w:p w14:paraId="274B3A04" w14:textId="77777777" w:rsidR="007803E3" w:rsidRPr="0020113A" w:rsidRDefault="007803E3" w:rsidP="00E60BAB">
          <w:pPr>
            <w:pStyle w:val="Prrafodelista"/>
            <w:numPr>
              <w:ilvl w:val="0"/>
              <w:numId w:val="85"/>
            </w:numPr>
            <w:spacing w:line="259" w:lineRule="auto"/>
            <w:rPr>
              <w:rFonts w:ascii="Times New Roman" w:hAnsi="Times New Roman"/>
              <w:b/>
              <w:sz w:val="24"/>
              <w:szCs w:val="24"/>
              <w:lang w:val="es-MX"/>
            </w:rPr>
          </w:pPr>
          <w:r w:rsidRPr="0020113A">
            <w:rPr>
              <w:rFonts w:ascii="Times New Roman" w:hAnsi="Times New Roman"/>
              <w:b/>
              <w:sz w:val="24"/>
              <w:szCs w:val="24"/>
              <w:lang w:val="es-MX"/>
            </w:rPr>
            <w:t>Descripción del Acuerdo</w:t>
          </w:r>
        </w:p>
        <w:p w14:paraId="0BFD7915" w14:textId="77777777" w:rsidR="007803E3" w:rsidRPr="0020113A" w:rsidRDefault="007803E3" w:rsidP="18BAD2EC">
          <w:pPr>
            <w:spacing w:after="0" w:afterAutospacing="1" w:line="240" w:lineRule="auto"/>
            <w:rPr>
              <w:rFonts w:ascii="Times New Roman" w:hAnsi="Times New Roman"/>
              <w:b/>
              <w:sz w:val="24"/>
              <w:szCs w:val="24"/>
              <w:lang w:val="es-MX"/>
            </w:rPr>
          </w:pPr>
          <w:r w:rsidRPr="0020113A">
            <w:rPr>
              <w:rFonts w:ascii="Times New Roman" w:hAnsi="Times New Roman"/>
              <w:b/>
              <w:sz w:val="24"/>
              <w:szCs w:val="24"/>
              <w:lang w:val="es-MX"/>
            </w:rPr>
            <w:t>Número del Acuerdo de Concesión:</w:t>
          </w:r>
          <w:r w:rsidRPr="0020113A">
            <w:rPr>
              <w:rFonts w:ascii="Times New Roman" w:hAnsi="Times New Roman"/>
              <w:sz w:val="24"/>
              <w:szCs w:val="24"/>
            </w:rPr>
            <w:t xml:space="preserve"> </w:t>
          </w:r>
          <w:r w:rsidRPr="0020113A">
            <w:rPr>
              <w:rFonts w:ascii="Times New Roman" w:hAnsi="Times New Roman"/>
              <w:sz w:val="24"/>
              <w:szCs w:val="24"/>
              <w:lang w:val="es-MX"/>
            </w:rPr>
            <w:t>No. 003 de 9 de septiembre de 2014.</w:t>
          </w:r>
        </w:p>
        <w:p w14:paraId="1E6A2796" w14:textId="77777777" w:rsidR="007803E3" w:rsidRPr="0020113A" w:rsidRDefault="007803E3" w:rsidP="18BAD2EC">
          <w:pPr>
            <w:spacing w:afterAutospacing="1"/>
            <w:jc w:val="both"/>
            <w:rPr>
              <w:rFonts w:ascii="Times New Roman" w:hAnsi="Times New Roman"/>
              <w:sz w:val="24"/>
              <w:szCs w:val="24"/>
              <w:lang w:val="es-MX"/>
            </w:rPr>
          </w:pPr>
          <w:r w:rsidRPr="0020113A">
            <w:rPr>
              <w:rFonts w:ascii="Times New Roman" w:hAnsi="Times New Roman"/>
              <w:b/>
              <w:sz w:val="24"/>
              <w:szCs w:val="24"/>
              <w:lang w:val="es-MX"/>
            </w:rPr>
            <w:t xml:space="preserve">Objeto / Descripción: </w:t>
          </w:r>
          <w:r w:rsidRPr="0020113A">
            <w:rPr>
              <w:rFonts w:ascii="Times New Roman" w:hAnsi="Times New Roman"/>
              <w:sz w:val="24"/>
              <w:szCs w:val="24"/>
              <w:lang w:val="es-MX"/>
            </w:rPr>
            <w:t>La financiación; construcción, rehabilitación, mejoramiento, operación y mantenimiento del corredor Honda- Puerto Salgar- Girardot.</w:t>
          </w:r>
        </w:p>
        <w:p w14:paraId="697D5D03" w14:textId="32958794" w:rsidR="007803E3" w:rsidRPr="0020113A" w:rsidRDefault="007803E3" w:rsidP="18BAD2EC">
          <w:pPr>
            <w:spacing w:after="0" w:afterAutospacing="1"/>
            <w:rPr>
              <w:rFonts w:ascii="Times New Roman" w:hAnsi="Times New Roman"/>
              <w:sz w:val="24"/>
              <w:szCs w:val="24"/>
              <w:lang w:val="es-MX"/>
            </w:rPr>
          </w:pPr>
          <w:r w:rsidRPr="0020113A">
            <w:rPr>
              <w:rFonts w:ascii="Times New Roman" w:hAnsi="Times New Roman"/>
              <w:b/>
              <w:sz w:val="24"/>
              <w:szCs w:val="24"/>
              <w:lang w:val="es-MX"/>
            </w:rPr>
            <w:t xml:space="preserve">Valor Inicial: </w:t>
          </w:r>
          <w:r w:rsidRPr="0020113A">
            <w:rPr>
              <w:rFonts w:ascii="Times New Roman" w:hAnsi="Times New Roman"/>
              <w:sz w:val="24"/>
              <w:szCs w:val="24"/>
              <w:lang w:val="es-MX"/>
            </w:rPr>
            <w:t>$1.465.609.000.000 del Mes de Referencia. (Dic. 2012).</w:t>
          </w:r>
        </w:p>
        <w:p w14:paraId="09662CC9" w14:textId="77777777" w:rsidR="007803E3" w:rsidRPr="0020113A" w:rsidRDefault="007803E3" w:rsidP="6B0FA225">
          <w:pPr>
            <w:spacing w:after="0"/>
            <w:rPr>
              <w:rFonts w:ascii="Times New Roman" w:hAnsi="Times New Roman"/>
              <w:b/>
              <w:sz w:val="24"/>
              <w:szCs w:val="24"/>
              <w:lang w:val="es-MX"/>
            </w:rPr>
          </w:pPr>
          <w:r w:rsidRPr="0020113A">
            <w:rPr>
              <w:rFonts w:ascii="Times New Roman" w:hAnsi="Times New Roman"/>
              <w:b/>
              <w:sz w:val="24"/>
              <w:szCs w:val="24"/>
              <w:lang w:val="es-MX"/>
            </w:rPr>
            <w:t xml:space="preserve">Fecha de Inicio: </w:t>
          </w:r>
          <w:r w:rsidRPr="0020113A">
            <w:rPr>
              <w:rFonts w:ascii="Times New Roman" w:hAnsi="Times New Roman"/>
              <w:sz w:val="24"/>
              <w:szCs w:val="24"/>
              <w:lang w:val="es-MX"/>
            </w:rPr>
            <w:t>4 de noviembre de 2014.</w:t>
          </w:r>
        </w:p>
        <w:p w14:paraId="2FD0D5B1" w14:textId="77777777" w:rsidR="007803E3" w:rsidRPr="0020113A" w:rsidRDefault="007803E3" w:rsidP="6B0FA225">
          <w:pPr>
            <w:spacing w:after="0"/>
            <w:rPr>
              <w:rFonts w:ascii="Times New Roman" w:hAnsi="Times New Roman"/>
              <w:b/>
              <w:sz w:val="24"/>
              <w:szCs w:val="24"/>
              <w:lang w:val="es-MX"/>
            </w:rPr>
          </w:pPr>
          <w:r w:rsidRPr="0020113A">
            <w:rPr>
              <w:rFonts w:ascii="Times New Roman" w:hAnsi="Times New Roman"/>
              <w:b/>
              <w:sz w:val="24"/>
              <w:szCs w:val="24"/>
              <w:lang w:val="es-MX"/>
            </w:rPr>
            <w:t xml:space="preserve">Fecha de Finalización Estimada: </w:t>
          </w:r>
          <w:r w:rsidRPr="0020113A">
            <w:rPr>
              <w:rFonts w:ascii="Times New Roman" w:hAnsi="Times New Roman"/>
              <w:sz w:val="24"/>
              <w:szCs w:val="24"/>
              <w:lang w:val="es-MX"/>
            </w:rPr>
            <w:t>3 de noviembre de 2039</w:t>
          </w:r>
        </w:p>
        <w:p w14:paraId="79A2A364" w14:textId="77777777" w:rsidR="007803E3" w:rsidRPr="0020113A" w:rsidRDefault="007803E3" w:rsidP="6B0FA225">
          <w:pPr>
            <w:spacing w:after="0"/>
            <w:rPr>
              <w:rFonts w:ascii="Times New Roman" w:hAnsi="Times New Roman"/>
              <w:b/>
              <w:sz w:val="24"/>
              <w:szCs w:val="24"/>
              <w:lang w:val="es-MX"/>
            </w:rPr>
          </w:pPr>
          <w:r w:rsidRPr="0020113A">
            <w:rPr>
              <w:rFonts w:ascii="Times New Roman" w:hAnsi="Times New Roman"/>
              <w:b/>
              <w:sz w:val="24"/>
              <w:szCs w:val="24"/>
              <w:lang w:val="es-MX"/>
            </w:rPr>
            <w:t xml:space="preserve">Tipo ID: </w:t>
          </w:r>
          <w:r w:rsidRPr="0020113A">
            <w:rPr>
              <w:rFonts w:ascii="Times New Roman" w:hAnsi="Times New Roman"/>
              <w:sz w:val="24"/>
              <w:szCs w:val="24"/>
              <w:lang w:val="es-MX"/>
            </w:rPr>
            <w:t>NIT</w:t>
          </w:r>
        </w:p>
        <w:p w14:paraId="6F632717" w14:textId="77777777" w:rsidR="007803E3" w:rsidRPr="0020113A" w:rsidRDefault="007803E3" w:rsidP="6B0FA225">
          <w:pPr>
            <w:spacing w:after="0"/>
            <w:rPr>
              <w:rFonts w:ascii="Times New Roman" w:hAnsi="Times New Roman"/>
              <w:b/>
              <w:sz w:val="24"/>
              <w:szCs w:val="24"/>
              <w:lang w:val="es-MX"/>
            </w:rPr>
          </w:pPr>
          <w:r w:rsidRPr="0020113A">
            <w:rPr>
              <w:rFonts w:ascii="Times New Roman" w:hAnsi="Times New Roman"/>
              <w:b/>
              <w:sz w:val="24"/>
              <w:szCs w:val="24"/>
              <w:lang w:val="es-MX"/>
            </w:rPr>
            <w:t xml:space="preserve">Numero ID: </w:t>
          </w:r>
          <w:r w:rsidRPr="0020113A">
            <w:rPr>
              <w:rFonts w:ascii="Times New Roman" w:hAnsi="Times New Roman"/>
              <w:sz w:val="24"/>
              <w:szCs w:val="24"/>
              <w:lang w:val="es-MX"/>
            </w:rPr>
            <w:t>900.745.219-8</w:t>
          </w:r>
        </w:p>
        <w:p w14:paraId="49DF8F9F" w14:textId="77777777" w:rsidR="007803E3" w:rsidRPr="0020113A" w:rsidRDefault="007803E3" w:rsidP="6B0FA225">
          <w:pPr>
            <w:spacing w:after="0"/>
            <w:rPr>
              <w:rFonts w:ascii="Times New Roman" w:hAnsi="Times New Roman"/>
              <w:b/>
              <w:sz w:val="24"/>
              <w:szCs w:val="24"/>
              <w:lang w:val="es-MX"/>
            </w:rPr>
          </w:pPr>
          <w:r w:rsidRPr="0020113A">
            <w:rPr>
              <w:rFonts w:ascii="Times New Roman" w:hAnsi="Times New Roman"/>
              <w:b/>
              <w:sz w:val="24"/>
              <w:szCs w:val="24"/>
              <w:lang w:val="es-MX"/>
            </w:rPr>
            <w:t xml:space="preserve">Razón Social del Concesionario: </w:t>
          </w:r>
          <w:r w:rsidRPr="0020113A">
            <w:rPr>
              <w:rFonts w:ascii="Times New Roman" w:hAnsi="Times New Roman"/>
              <w:sz w:val="24"/>
              <w:szCs w:val="24"/>
              <w:lang w:val="es-MX"/>
            </w:rPr>
            <w:t>Concesión Alto Magdalena S.A.S.</w:t>
          </w:r>
        </w:p>
        <w:p w14:paraId="2095A0C1" w14:textId="6A5E7F7E" w:rsidR="007803E3" w:rsidRPr="0020113A" w:rsidRDefault="007803E3" w:rsidP="6B0FA225">
          <w:pPr>
            <w:spacing w:after="0"/>
            <w:rPr>
              <w:rFonts w:ascii="Times New Roman" w:hAnsi="Times New Roman"/>
              <w:b/>
              <w:sz w:val="24"/>
              <w:szCs w:val="24"/>
              <w:lang w:val="es-MX"/>
            </w:rPr>
          </w:pPr>
          <w:r w:rsidRPr="0020113A">
            <w:rPr>
              <w:rFonts w:ascii="Times New Roman" w:hAnsi="Times New Roman"/>
              <w:b/>
              <w:sz w:val="24"/>
              <w:szCs w:val="24"/>
              <w:lang w:val="es-MX"/>
            </w:rPr>
            <w:lastRenderedPageBreak/>
            <w:t xml:space="preserve">Nombre del Proyecto: </w:t>
          </w:r>
          <w:r w:rsidRPr="0020113A">
            <w:rPr>
              <w:rFonts w:ascii="Times New Roman" w:hAnsi="Times New Roman"/>
              <w:sz w:val="24"/>
              <w:szCs w:val="24"/>
              <w:lang w:val="es-MX"/>
            </w:rPr>
            <w:t>Concesión Honda – Puerto Salgar –Girardot.</w:t>
          </w:r>
        </w:p>
        <w:p w14:paraId="4F168D1B" w14:textId="3359D904" w:rsidR="6B0FA225" w:rsidRDefault="6B0FA225" w:rsidP="6B0FA225">
          <w:pPr>
            <w:spacing w:after="0"/>
            <w:rPr>
              <w:rFonts w:ascii="Times New Roman" w:hAnsi="Times New Roman"/>
              <w:sz w:val="24"/>
              <w:szCs w:val="24"/>
              <w:lang w:val="es-MX"/>
            </w:rPr>
          </w:pPr>
        </w:p>
        <w:p w14:paraId="2744C55C" w14:textId="77777777" w:rsidR="007803E3" w:rsidRPr="0020113A" w:rsidRDefault="007803E3" w:rsidP="00E60BAB">
          <w:pPr>
            <w:pStyle w:val="Prrafodelista"/>
            <w:numPr>
              <w:ilvl w:val="0"/>
              <w:numId w:val="85"/>
            </w:numPr>
            <w:spacing w:line="259" w:lineRule="auto"/>
            <w:rPr>
              <w:rFonts w:ascii="Times New Roman" w:hAnsi="Times New Roman"/>
              <w:b/>
              <w:sz w:val="24"/>
              <w:szCs w:val="24"/>
              <w:lang w:val="es-MX"/>
            </w:rPr>
          </w:pPr>
          <w:r w:rsidRPr="0020113A">
            <w:rPr>
              <w:rFonts w:ascii="Times New Roman" w:hAnsi="Times New Roman"/>
              <w:b/>
              <w:sz w:val="24"/>
              <w:szCs w:val="24"/>
              <w:lang w:val="es-MX"/>
            </w:rPr>
            <w:t>Términos significativos del acuerdo que puedan afectar su valor, el calendario y la certeza de los flujos</w:t>
          </w:r>
        </w:p>
        <w:p w14:paraId="14542B92"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Términos de Valor: </w:t>
          </w:r>
          <w:r w:rsidRPr="0020113A">
            <w:rPr>
              <w:rFonts w:ascii="Times New Roman" w:hAnsi="Times New Roman"/>
              <w:sz w:val="24"/>
              <w:szCs w:val="24"/>
              <w:lang w:val="es-MX"/>
            </w:rPr>
            <w:t>En el 2023 se reconoció y giró el DR8, fue calculado de acuerdo con el Acta Aclaratoria con Efectos Transaccionales suscrita por el Concesionario y la ANI.</w:t>
          </w:r>
        </w:p>
        <w:p w14:paraId="7C184F03"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La ANI giró el saldo pendiente de los aportes ANI año 2022 actualizando el capital con las variables TRM e IPC, con intereses remuneratorios y moratorios liquidados usando la DTF semanal + 5 puntos, también realizó pago parcial de los aportes ANI del año 2023 actualizado con las variables TRM e IPC.</w:t>
          </w:r>
        </w:p>
        <w:p w14:paraId="4B9C1129"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En el 2023 se suscribió solo un acta de compensación trimestral de menor recaudo por efectos del Decreto 050 que ordeno no incrementar las tarifas, se pagó en noviembre.</w:t>
          </w:r>
        </w:p>
        <w:p w14:paraId="3D4B4177"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A corte de 31 de diciembre de 2023 se suscribieron actas de Retribución entre el Concesionario y la Interventoría hasta el mes de octubre, y a este mismo corte se realizaron pagos hasta las actas del mes de agosto.</w:t>
          </w:r>
        </w:p>
        <w:p w14:paraId="0B1B3778"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Términos de Calendario: </w:t>
          </w:r>
          <w:r w:rsidRPr="0020113A">
            <w:rPr>
              <w:rFonts w:ascii="Times New Roman" w:hAnsi="Times New Roman"/>
              <w:sz w:val="24"/>
              <w:szCs w:val="24"/>
              <w:lang w:val="es-MX"/>
            </w:rPr>
            <w:t>El 01-10-2020 inicia la etapa de operación y mantenimiento.</w:t>
          </w:r>
        </w:p>
        <w:p w14:paraId="2E2BA3C7"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 xml:space="preserve">Las tarifas se actualizan el 16 de enero de cada vigencia, sin embargo, en 2023 no se llevó a cabo este incremento por la expedición del Decreto 050 que ordenó no incrementar las tarifas. El acta trimestral del Decreto 050 comprende el periodo de enero a marzo 2023 y se reconoció el 23-10-2023. </w:t>
          </w:r>
        </w:p>
        <w:p w14:paraId="5B36D113"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El DR8 se cumplió el 03-11-2022 y se calculó con corte a octubre de 2022. Se reconoció una primera parte el 30-01-2023 y la segunda parte correspondiente al saldo el 16-06-2023, de acuerdo con el Acta Aclaratoria con Efectos Transaccionales.</w:t>
          </w:r>
        </w:p>
        <w:p w14:paraId="60FFA030"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El aporte ANI de la vigencia 2022 con sus intereses remuneratorios y moratorios se giró el 13-09-2023, su capital se actualizó con las variables TRM e IPC del mes de diciembre de 2022. El aporte ANI parcial de la vigencia 2023 se realizó el 22-09-2023, su capital se actualizo con las variables TRM e IPC de agosto de 2023.</w:t>
          </w:r>
        </w:p>
        <w:p w14:paraId="49B14CEB"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A corte de 31 de diciembre de 2023 se suscribieron actas de retribución hasta el mes de octubre, el 15-12-2023 la Fiduciaria pago actas correspondientes al mes de agosto.</w:t>
          </w:r>
        </w:p>
        <w:p w14:paraId="31E0BA66"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Términos de Certeza de Flujos de Efectivo Futuros: </w:t>
          </w:r>
          <w:r w:rsidRPr="0020113A">
            <w:rPr>
              <w:rFonts w:ascii="Times New Roman" w:hAnsi="Times New Roman"/>
              <w:sz w:val="24"/>
              <w:szCs w:val="24"/>
              <w:lang w:val="es-MX"/>
            </w:rPr>
            <w:t>El Gobierno Nacional expidió el Decreto No.0050 de 2023, se ordenó no incrementar las tarifas de peaje.</w:t>
          </w:r>
        </w:p>
        <w:p w14:paraId="155BAB88" w14:textId="77777777" w:rsidR="007803E3" w:rsidRPr="0020113A" w:rsidRDefault="007803E3" w:rsidP="00E60BAB">
          <w:pPr>
            <w:pStyle w:val="Prrafodelista"/>
            <w:numPr>
              <w:ilvl w:val="0"/>
              <w:numId w:val="85"/>
            </w:numPr>
            <w:spacing w:line="259" w:lineRule="auto"/>
            <w:jc w:val="both"/>
            <w:rPr>
              <w:rFonts w:ascii="Times New Roman" w:hAnsi="Times New Roman"/>
              <w:b/>
              <w:sz w:val="24"/>
              <w:szCs w:val="24"/>
              <w:lang w:val="es-MX"/>
            </w:rPr>
          </w:pPr>
          <w:r w:rsidRPr="0020113A">
            <w:rPr>
              <w:rFonts w:ascii="Times New Roman" w:hAnsi="Times New Roman"/>
              <w:b/>
              <w:sz w:val="24"/>
              <w:szCs w:val="24"/>
              <w:lang w:val="es-MX"/>
            </w:rPr>
            <w:t>Naturaleza y alcance del derecho a utilizar activos especificados, de los aspectos pactados en torno a lo que se espera que el concesionario proporcione en relación con el acuerdo de concesión</w:t>
          </w:r>
        </w:p>
        <w:p w14:paraId="78D03707" w14:textId="77777777" w:rsidR="007803E3" w:rsidRPr="0020113A" w:rsidRDefault="007803E3" w:rsidP="007803E3">
          <w:pPr>
            <w:jc w:val="center"/>
            <w:rPr>
              <w:rFonts w:ascii="Times New Roman" w:hAnsi="Times New Roman"/>
              <w:b/>
              <w:sz w:val="24"/>
              <w:szCs w:val="24"/>
              <w:lang w:val="es-MX"/>
            </w:rPr>
          </w:pPr>
          <w:r w:rsidRPr="0020113A">
            <w:rPr>
              <w:rFonts w:ascii="Times New Roman" w:hAnsi="Times New Roman"/>
              <w:b/>
              <w:sz w:val="24"/>
              <w:szCs w:val="24"/>
              <w:lang w:val="es-MX"/>
            </w:rPr>
            <w:t>Naturaleza y alcance del derecho de uso de los activos</w:t>
          </w:r>
        </w:p>
        <w:p w14:paraId="66DBF157"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Descripción: </w:t>
          </w:r>
          <w:r w:rsidRPr="0020113A">
            <w:rPr>
              <w:rFonts w:ascii="Times New Roman" w:hAnsi="Times New Roman"/>
              <w:sz w:val="24"/>
              <w:szCs w:val="24"/>
              <w:lang w:val="es-MX"/>
            </w:rPr>
            <w:t xml:space="preserve">Está regulada en el Contrato de Concesión 3.3 peajes, Derecho de Recaudo e ingresos por Explotación Comercial, entrega de la infraestructura la sección 3.5 (b) del </w:t>
          </w:r>
          <w:r w:rsidRPr="0020113A">
            <w:rPr>
              <w:rFonts w:ascii="Times New Roman" w:hAnsi="Times New Roman"/>
              <w:sz w:val="24"/>
              <w:szCs w:val="24"/>
              <w:lang w:val="es-MX"/>
            </w:rPr>
            <w:lastRenderedPageBreak/>
            <w:t>Capítulo III de la Parte Especial del Contrato, Así mismo, en el Capítulo III, Sección 3.6 - Parte Especial – Estaciones de Peaje.</w:t>
          </w:r>
        </w:p>
        <w:p w14:paraId="1EC682BB"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Observaciones:</w:t>
          </w:r>
          <w:r w:rsidRPr="0020113A">
            <w:rPr>
              <w:rFonts w:ascii="Times New Roman" w:hAnsi="Times New Roman"/>
              <w:sz w:val="24"/>
              <w:szCs w:val="24"/>
            </w:rPr>
            <w:t xml:space="preserve"> </w:t>
          </w:r>
          <w:r w:rsidRPr="0020113A">
            <w:rPr>
              <w:rFonts w:ascii="Times New Roman" w:hAnsi="Times New Roman"/>
              <w:sz w:val="24"/>
              <w:szCs w:val="24"/>
              <w:lang w:val="es-MX"/>
            </w:rPr>
            <w:t>No se tiene ninguna observación</w:t>
          </w:r>
        </w:p>
        <w:p w14:paraId="4091F788" w14:textId="77777777" w:rsidR="007803E3" w:rsidRPr="0020113A" w:rsidRDefault="007803E3" w:rsidP="007803E3">
          <w:pPr>
            <w:jc w:val="center"/>
            <w:rPr>
              <w:rFonts w:ascii="Times New Roman" w:hAnsi="Times New Roman"/>
              <w:b/>
              <w:sz w:val="24"/>
              <w:szCs w:val="24"/>
              <w:lang w:val="es-MX"/>
            </w:rPr>
          </w:pPr>
          <w:r w:rsidRPr="0020113A">
            <w:rPr>
              <w:rFonts w:ascii="Times New Roman" w:hAnsi="Times New Roman"/>
              <w:b/>
              <w:sz w:val="24"/>
              <w:szCs w:val="24"/>
              <w:lang w:val="es-MX"/>
            </w:rPr>
            <w:t>Retribución al Concesionario</w:t>
          </w:r>
        </w:p>
        <w:p w14:paraId="3AD1EDB4"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Descripción: </w:t>
          </w:r>
          <w:r w:rsidRPr="0020113A">
            <w:rPr>
              <w:rFonts w:ascii="Times New Roman" w:hAnsi="Times New Roman"/>
              <w:sz w:val="24"/>
              <w:szCs w:val="24"/>
              <w:lang w:val="es-MX"/>
            </w:rPr>
            <w:t>La Retribución al Concesionario, se encuentra en la Parte general 3.1 y 3.2 del Contrato de Concesión, así mismo hace parte el numeral 4.3 cálculo de la Retribución de la parte Especial del Contrato.</w:t>
          </w:r>
        </w:p>
        <w:p w14:paraId="2298EF4E"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Tasa de Retribución:</w:t>
          </w:r>
          <w:r w:rsidRPr="0020113A">
            <w:rPr>
              <w:rFonts w:ascii="Times New Roman" w:hAnsi="Times New Roman"/>
              <w:sz w:val="24"/>
              <w:szCs w:val="24"/>
            </w:rPr>
            <w:t xml:space="preserve"> </w:t>
          </w:r>
          <w:r w:rsidRPr="0020113A">
            <w:rPr>
              <w:rFonts w:ascii="Times New Roman" w:hAnsi="Times New Roman"/>
              <w:sz w:val="24"/>
              <w:szCs w:val="24"/>
              <w:lang w:val="es-MX"/>
            </w:rPr>
            <w:t>La metodología para el cálculo de la carga financiera se estableció conforme a lo planteado en el modelo financiero contratado por la Agencia. La carga financiera se obtiene a través del cálculo de una tasa resultante para mantener el equilibrio entre los recursos disponibles del proyecto y las obligaciones a pagar, que corresponde a la tasa de cierre del modelo.</w:t>
          </w:r>
        </w:p>
        <w:p w14:paraId="60213FCD" w14:textId="77777777" w:rsidR="007803E3" w:rsidRPr="0020113A" w:rsidRDefault="007803E3" w:rsidP="00E60BAB">
          <w:pPr>
            <w:pStyle w:val="Prrafodelista"/>
            <w:numPr>
              <w:ilvl w:val="0"/>
              <w:numId w:val="85"/>
            </w:numPr>
            <w:spacing w:line="259" w:lineRule="auto"/>
            <w:jc w:val="both"/>
            <w:rPr>
              <w:rFonts w:ascii="Times New Roman" w:hAnsi="Times New Roman"/>
              <w:b/>
              <w:sz w:val="24"/>
              <w:szCs w:val="24"/>
              <w:lang w:val="es-MX"/>
            </w:rPr>
          </w:pPr>
          <w:r w:rsidRPr="0020113A">
            <w:rPr>
              <w:rFonts w:ascii="Times New Roman" w:hAnsi="Times New Roman"/>
              <w:b/>
              <w:sz w:val="24"/>
              <w:szCs w:val="24"/>
              <w:lang w:val="es-MX"/>
            </w:rPr>
            <w:t>Derechos a recibir activos especificados al final del acuerdo de concesión</w:t>
          </w:r>
        </w:p>
        <w:p w14:paraId="76998BB6"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Descripción: </w:t>
          </w:r>
          <w:r w:rsidRPr="0020113A">
            <w:rPr>
              <w:rFonts w:ascii="Times New Roman" w:hAnsi="Times New Roman"/>
              <w:sz w:val="24"/>
              <w:szCs w:val="24"/>
              <w:lang w:val="es-MX"/>
            </w:rPr>
            <w:t>Está regulada en el Numeral 9.7 Etapa de Reversión del Contrato de Concesión.</w:t>
          </w:r>
        </w:p>
        <w:p w14:paraId="7B91C910"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Observaciones: </w:t>
          </w:r>
          <w:r w:rsidRPr="0020113A">
            <w:rPr>
              <w:rFonts w:ascii="Times New Roman" w:hAnsi="Times New Roman"/>
              <w:sz w:val="24"/>
              <w:szCs w:val="24"/>
              <w:lang w:val="es-MX"/>
            </w:rPr>
            <w:t xml:space="preserve">No se tiene ninguna observación </w:t>
          </w:r>
        </w:p>
        <w:p w14:paraId="22DB6612" w14:textId="0F199A4E" w:rsidR="007803E3" w:rsidRPr="0020113A" w:rsidRDefault="006D6444" w:rsidP="00E60BAB">
          <w:pPr>
            <w:pStyle w:val="Prrafodelista"/>
            <w:numPr>
              <w:ilvl w:val="0"/>
              <w:numId w:val="85"/>
            </w:numPr>
            <w:spacing w:line="259" w:lineRule="auto"/>
            <w:jc w:val="both"/>
            <w:rPr>
              <w:rFonts w:ascii="Times New Roman" w:hAnsi="Times New Roman"/>
              <w:b/>
              <w:sz w:val="24"/>
              <w:szCs w:val="24"/>
              <w:lang w:val="es-MX"/>
            </w:rPr>
          </w:pPr>
          <w:r>
            <w:rPr>
              <w:rFonts w:ascii="Times New Roman" w:hAnsi="Times New Roman"/>
              <w:b/>
              <w:sz w:val="24"/>
              <w:szCs w:val="24"/>
              <w:lang w:val="es-MX"/>
            </w:rPr>
            <w:t>No hay c</w:t>
          </w:r>
          <w:r w:rsidR="007803E3" w:rsidRPr="0020113A">
            <w:rPr>
              <w:rFonts w:ascii="Times New Roman" w:hAnsi="Times New Roman"/>
              <w:b/>
              <w:sz w:val="24"/>
              <w:szCs w:val="24"/>
              <w:lang w:val="es-MX"/>
            </w:rPr>
            <w:t>ambios en el acuerdo de concesión que se realicen durante el periodo fiscal</w:t>
          </w:r>
        </w:p>
        <w:p w14:paraId="2F4BB71D" w14:textId="77777777" w:rsidR="007803E3" w:rsidRDefault="007803E3" w:rsidP="007803E3">
          <w:pPr>
            <w:pStyle w:val="paragraph"/>
            <w:spacing w:before="0" w:beforeAutospacing="0" w:after="0" w:afterAutospacing="0"/>
            <w:textAlignment w:val="baseline"/>
            <w:rPr>
              <w:rStyle w:val="normaltextrun"/>
              <w:b/>
              <w:lang w:val="es-MX"/>
            </w:rPr>
          </w:pPr>
        </w:p>
        <w:p w14:paraId="37A01417" w14:textId="77777777" w:rsidR="006D6444" w:rsidRPr="0020113A" w:rsidRDefault="006D6444" w:rsidP="007803E3">
          <w:pPr>
            <w:pStyle w:val="paragraph"/>
            <w:spacing w:before="0" w:beforeAutospacing="0" w:after="0" w:afterAutospacing="0"/>
            <w:textAlignment w:val="baseline"/>
            <w:rPr>
              <w:rStyle w:val="normaltextrun"/>
              <w:b/>
              <w:lang w:val="es-MX"/>
            </w:rPr>
          </w:pPr>
        </w:p>
        <w:p w14:paraId="06BC8DAF" w14:textId="77777777" w:rsidR="007803E3" w:rsidRPr="0020113A" w:rsidRDefault="007803E3" w:rsidP="007803E3">
          <w:pPr>
            <w:pStyle w:val="paragraph"/>
            <w:spacing w:before="0" w:beforeAutospacing="0" w:after="0" w:afterAutospacing="0"/>
            <w:textAlignment w:val="baseline"/>
          </w:pPr>
          <w:r w:rsidRPr="0020113A">
            <w:rPr>
              <w:rStyle w:val="normaltextrun"/>
              <w:b/>
              <w:lang w:val="es-MX"/>
            </w:rPr>
            <w:t>NUEVA MALLA VIAL DEL VALLE DEL CAUCA Y CAUCA – ACCESOS CALI PALMIRA</w:t>
          </w:r>
          <w:r w:rsidRPr="0020113A">
            <w:rPr>
              <w:rStyle w:val="eop"/>
            </w:rPr>
            <w:t> </w:t>
          </w:r>
        </w:p>
        <w:p w14:paraId="0A942441" w14:textId="77777777" w:rsidR="007803E3" w:rsidRPr="0020113A" w:rsidRDefault="007803E3" w:rsidP="007803E3">
          <w:pPr>
            <w:pStyle w:val="paragraph"/>
            <w:spacing w:before="0" w:beforeAutospacing="0" w:after="0" w:afterAutospacing="0"/>
            <w:textAlignment w:val="baseline"/>
          </w:pPr>
          <w:r w:rsidRPr="0020113A">
            <w:rPr>
              <w:rStyle w:val="eop"/>
            </w:rPr>
            <w:t> </w:t>
          </w:r>
        </w:p>
        <w:p w14:paraId="703F957F" w14:textId="77777777" w:rsidR="007803E3" w:rsidRPr="0020113A" w:rsidRDefault="007803E3" w:rsidP="00E60BAB">
          <w:pPr>
            <w:pStyle w:val="paragraph"/>
            <w:numPr>
              <w:ilvl w:val="0"/>
              <w:numId w:val="88"/>
            </w:numPr>
            <w:spacing w:before="0" w:beforeAutospacing="0" w:after="0" w:afterAutospacing="0"/>
            <w:textAlignment w:val="baseline"/>
            <w:rPr>
              <w:rStyle w:val="eop"/>
              <w:b/>
              <w:bCs/>
            </w:rPr>
          </w:pPr>
          <w:r w:rsidRPr="0020113A">
            <w:rPr>
              <w:rStyle w:val="normaltextrun"/>
              <w:b/>
              <w:bCs/>
              <w:shd w:val="clear" w:color="auto" w:fill="FFFFFF"/>
              <w:lang w:val="es-MX"/>
            </w:rPr>
            <w:t>Descripción del Acuerdo</w:t>
          </w:r>
          <w:r w:rsidRPr="0020113A">
            <w:rPr>
              <w:rStyle w:val="eop"/>
              <w:b/>
              <w:bCs/>
              <w:shd w:val="clear" w:color="auto" w:fill="FFFFFF"/>
            </w:rPr>
            <w:t> </w:t>
          </w:r>
          <w:r w:rsidRPr="0020113A">
            <w:rPr>
              <w:rStyle w:val="eop"/>
              <w:b/>
              <w:bCs/>
            </w:rPr>
            <w:t> </w:t>
          </w:r>
        </w:p>
        <w:p w14:paraId="525718B4" w14:textId="77777777" w:rsidR="007803E3" w:rsidRPr="0020113A" w:rsidRDefault="007803E3" w:rsidP="007803E3">
          <w:pPr>
            <w:pStyle w:val="paragraph"/>
            <w:spacing w:before="0" w:beforeAutospacing="0" w:after="0" w:afterAutospacing="0"/>
            <w:textAlignment w:val="baseline"/>
            <w:rPr>
              <w:rStyle w:val="eop"/>
            </w:rPr>
          </w:pPr>
        </w:p>
        <w:p w14:paraId="725B9D0F" w14:textId="77777777" w:rsidR="007803E3" w:rsidRPr="0020113A" w:rsidRDefault="007803E3" w:rsidP="18BAD2EC">
          <w:pPr>
            <w:spacing w:after="0"/>
            <w:rPr>
              <w:rFonts w:ascii="Times New Roman" w:hAnsi="Times New Roman"/>
              <w:sz w:val="24"/>
              <w:szCs w:val="24"/>
            </w:rPr>
          </w:pPr>
          <w:r w:rsidRPr="0020113A">
            <w:rPr>
              <w:rStyle w:val="normaltextrun"/>
              <w:rFonts w:ascii="Times New Roman" w:hAnsi="Times New Roman"/>
              <w:b/>
              <w:bCs/>
              <w:sz w:val="24"/>
              <w:szCs w:val="24"/>
              <w:bdr w:val="none" w:sz="0" w:space="0" w:color="auto" w:frame="1"/>
              <w:lang w:val="es-MX"/>
            </w:rPr>
            <w:t xml:space="preserve">Número del Acuerdo de Concesión: </w:t>
          </w:r>
          <w:r w:rsidRPr="0020113A">
            <w:rPr>
              <w:rStyle w:val="normaltextrun"/>
              <w:rFonts w:ascii="Times New Roman" w:hAnsi="Times New Roman"/>
              <w:sz w:val="24"/>
              <w:szCs w:val="24"/>
              <w:bdr w:val="none" w:sz="0" w:space="0" w:color="auto" w:frame="1"/>
              <w:lang w:val="es-MX"/>
            </w:rPr>
            <w:t>CONTRATO DE CONCESION BAJO EL ESQUEMA DE APP No 001 DE 2021</w:t>
          </w:r>
        </w:p>
        <w:p w14:paraId="3FA54954" w14:textId="77777777" w:rsidR="007803E3" w:rsidRPr="0020113A" w:rsidRDefault="007803E3" w:rsidP="18BAD2EC">
          <w:pPr>
            <w:spacing w:after="0"/>
            <w:jc w:val="both"/>
            <w:rPr>
              <w:rStyle w:val="normaltextrun"/>
              <w:rFonts w:ascii="Times New Roman" w:eastAsia="Times New Roman" w:hAnsi="Times New Roman"/>
              <w:sz w:val="24"/>
              <w:szCs w:val="24"/>
              <w:shd w:val="clear" w:color="auto" w:fill="FFFFFF"/>
              <w:lang w:eastAsia="es-CO"/>
            </w:rPr>
          </w:pPr>
          <w:r w:rsidRPr="0020113A">
            <w:rPr>
              <w:rStyle w:val="normaltextrun"/>
              <w:rFonts w:ascii="Times New Roman" w:hAnsi="Times New Roman"/>
              <w:b/>
              <w:bCs/>
              <w:sz w:val="24"/>
              <w:szCs w:val="24"/>
              <w:shd w:val="clear" w:color="auto" w:fill="FFFFFF"/>
            </w:rPr>
            <w:t xml:space="preserve">Objeto / Descripción: </w:t>
          </w:r>
          <w:r w:rsidRPr="0020113A">
            <w:rPr>
              <w:rStyle w:val="normaltextrun"/>
              <w:rFonts w:ascii="Times New Roman" w:eastAsia="Times New Roman" w:hAnsi="Times New Roman"/>
              <w:sz w:val="24"/>
              <w:szCs w:val="24"/>
              <w:shd w:val="clear" w:color="auto" w:fill="FFFFFF"/>
              <w:lang w:eastAsia="es-CO"/>
            </w:rPr>
            <w:t>Financiación, elaboración de estudios y diseños definitivos, gestión ambiental, gestión predial, gestión social, construcción, rehabilitación, operación y mantenimiento de proyecto Nueva Malla Vial del Valle del Cauca.</w:t>
          </w:r>
        </w:p>
        <w:p w14:paraId="42FADF2D" w14:textId="77777777" w:rsidR="007803E3" w:rsidRPr="0020113A" w:rsidRDefault="007803E3" w:rsidP="008F25E9">
          <w:pPr>
            <w:spacing w:after="0"/>
            <w:rPr>
              <w:rStyle w:val="normaltextrun"/>
              <w:rFonts w:ascii="Times New Roman" w:eastAsia="Times New Roman" w:hAnsi="Times New Roman"/>
              <w:b/>
              <w:bCs/>
              <w:sz w:val="24"/>
              <w:szCs w:val="24"/>
              <w:bdr w:val="none" w:sz="0" w:space="0" w:color="auto" w:frame="1"/>
              <w:lang w:val="es-MX" w:eastAsia="es-CO"/>
            </w:rPr>
          </w:pPr>
          <w:r w:rsidRPr="0020113A">
            <w:rPr>
              <w:rStyle w:val="normaltextrun"/>
              <w:rFonts w:ascii="Times New Roman" w:hAnsi="Times New Roman"/>
              <w:b/>
              <w:bCs/>
              <w:sz w:val="24"/>
              <w:szCs w:val="24"/>
              <w:bdr w:val="none" w:sz="0" w:space="0" w:color="auto" w:frame="1"/>
              <w:lang w:val="es-MX"/>
            </w:rPr>
            <w:t xml:space="preserve">Valor Inicial: </w:t>
          </w:r>
          <w:r w:rsidRPr="0020113A">
            <w:rPr>
              <w:rStyle w:val="normaltextrun"/>
              <w:rFonts w:ascii="Times New Roman" w:eastAsia="Times New Roman" w:hAnsi="Times New Roman"/>
              <w:sz w:val="24"/>
              <w:szCs w:val="24"/>
              <w:bdr w:val="none" w:sz="0" w:space="0" w:color="auto" w:frame="1"/>
              <w:lang w:val="es-MX" w:eastAsia="es-CO"/>
            </w:rPr>
            <w:t>$3.000.590.680.619 de diciembre de 2018</w:t>
          </w:r>
        </w:p>
        <w:p w14:paraId="2D509C03" w14:textId="77777777" w:rsidR="007803E3" w:rsidRPr="0020113A" w:rsidRDefault="007803E3" w:rsidP="6B0FA225">
          <w:pPr>
            <w:pStyle w:val="paragraph"/>
            <w:spacing w:before="0" w:beforeAutospacing="0" w:after="0"/>
            <w:textAlignment w:val="baseline"/>
            <w:rPr>
              <w:rStyle w:val="normaltextrun"/>
              <w:b/>
              <w:bCs/>
              <w:shd w:val="clear" w:color="auto" w:fill="FFFFFF"/>
            </w:rPr>
          </w:pPr>
          <w:r w:rsidRPr="0020113A">
            <w:rPr>
              <w:rStyle w:val="normaltextrun"/>
              <w:b/>
              <w:bCs/>
              <w:bdr w:val="none" w:sz="0" w:space="0" w:color="auto" w:frame="1"/>
              <w:lang w:val="es-MX"/>
            </w:rPr>
            <w:t xml:space="preserve">Fecha de Inicio: </w:t>
          </w:r>
          <w:r w:rsidRPr="0020113A">
            <w:rPr>
              <w:rStyle w:val="normaltextrun"/>
              <w:bdr w:val="none" w:sz="0" w:space="0" w:color="auto" w:frame="1"/>
              <w:lang w:val="es-MX"/>
            </w:rPr>
            <w:t>1 de septiembre de 2021</w:t>
          </w:r>
        </w:p>
        <w:p w14:paraId="6287625B" w14:textId="77777777" w:rsidR="007803E3" w:rsidRPr="0020113A" w:rsidRDefault="007803E3" w:rsidP="6B0FA225">
          <w:pPr>
            <w:pStyle w:val="paragraph"/>
            <w:spacing w:before="0" w:beforeAutospacing="0" w:after="0"/>
            <w:textAlignment w:val="baseline"/>
            <w:rPr>
              <w:rStyle w:val="normaltextrun"/>
              <w:b/>
              <w:bCs/>
              <w:shd w:val="clear" w:color="auto" w:fill="FFFFFF"/>
            </w:rPr>
          </w:pPr>
          <w:r w:rsidRPr="0020113A">
            <w:rPr>
              <w:rStyle w:val="normaltextrun"/>
              <w:b/>
              <w:bCs/>
              <w:shd w:val="clear" w:color="auto" w:fill="FFFFFF"/>
            </w:rPr>
            <w:t xml:space="preserve">Fecha de Finalización Estimada: </w:t>
          </w:r>
          <w:r w:rsidRPr="0020113A">
            <w:rPr>
              <w:rStyle w:val="normaltextrun"/>
              <w:shd w:val="clear" w:color="auto" w:fill="FFFFFF"/>
            </w:rPr>
            <w:t>30 de agosto de 2050</w:t>
          </w:r>
        </w:p>
        <w:p w14:paraId="547C91F2" w14:textId="77777777" w:rsidR="007803E3" w:rsidRPr="0020113A" w:rsidRDefault="007803E3" w:rsidP="6B0FA225">
          <w:pPr>
            <w:pStyle w:val="paragraph"/>
            <w:spacing w:before="0" w:beforeAutospacing="0" w:after="0"/>
            <w:textAlignment w:val="baseline"/>
          </w:pPr>
          <w:r w:rsidRPr="0020113A">
            <w:rPr>
              <w:rStyle w:val="normaltextrun"/>
              <w:b/>
              <w:bCs/>
              <w:bdr w:val="none" w:sz="0" w:space="0" w:color="auto" w:frame="1"/>
              <w:lang w:val="es-MX"/>
            </w:rPr>
            <w:t xml:space="preserve">Tipo ID: </w:t>
          </w:r>
          <w:r w:rsidRPr="0020113A">
            <w:rPr>
              <w:rStyle w:val="normaltextrun"/>
              <w:bdr w:val="none" w:sz="0" w:space="0" w:color="auto" w:frame="1"/>
              <w:lang w:val="es-MX"/>
            </w:rPr>
            <w:t>NIT</w:t>
          </w:r>
        </w:p>
        <w:p w14:paraId="40A33160" w14:textId="77777777" w:rsidR="007803E3" w:rsidRPr="0020113A" w:rsidRDefault="007803E3" w:rsidP="6B0FA225">
          <w:pPr>
            <w:pStyle w:val="paragraph"/>
            <w:spacing w:before="0" w:beforeAutospacing="0" w:after="0"/>
            <w:textAlignment w:val="baseline"/>
            <w:rPr>
              <w:rStyle w:val="normaltextrun"/>
              <w:b/>
              <w:bCs/>
              <w:bdr w:val="none" w:sz="0" w:space="0" w:color="auto" w:frame="1"/>
              <w:lang w:val="es-MX"/>
            </w:rPr>
          </w:pPr>
          <w:r w:rsidRPr="0020113A">
            <w:rPr>
              <w:rStyle w:val="normaltextrun"/>
              <w:b/>
              <w:bCs/>
              <w:bdr w:val="none" w:sz="0" w:space="0" w:color="auto" w:frame="1"/>
              <w:lang w:val="es-MX"/>
            </w:rPr>
            <w:t xml:space="preserve">Numero ID: </w:t>
          </w:r>
          <w:r w:rsidRPr="0020113A">
            <w:rPr>
              <w:rStyle w:val="normaltextrun"/>
              <w:bdr w:val="none" w:sz="0" w:space="0" w:color="auto" w:frame="1"/>
              <w:lang w:val="es-MX"/>
            </w:rPr>
            <w:t>901.489.697</w:t>
          </w:r>
        </w:p>
        <w:p w14:paraId="46F35DCB" w14:textId="77777777" w:rsidR="007803E3" w:rsidRPr="0020113A" w:rsidRDefault="007803E3" w:rsidP="6B0FA225">
          <w:pPr>
            <w:pStyle w:val="paragraph"/>
            <w:spacing w:before="0" w:beforeAutospacing="0" w:after="0"/>
            <w:textAlignment w:val="baseline"/>
            <w:rPr>
              <w:rStyle w:val="normaltextrun"/>
              <w:bdr w:val="none" w:sz="0" w:space="0" w:color="auto" w:frame="1"/>
              <w:lang w:val="es-MX"/>
            </w:rPr>
          </w:pPr>
          <w:r w:rsidRPr="0020113A">
            <w:rPr>
              <w:rStyle w:val="normaltextrun"/>
              <w:b/>
              <w:bCs/>
              <w:bdr w:val="none" w:sz="0" w:space="0" w:color="auto" w:frame="1"/>
              <w:lang w:val="es-MX"/>
            </w:rPr>
            <w:t xml:space="preserve">Razón Social del Concesionario: </w:t>
          </w:r>
          <w:r w:rsidRPr="0020113A">
            <w:rPr>
              <w:rStyle w:val="normaltextrun"/>
              <w:bdr w:val="none" w:sz="0" w:space="0" w:color="auto" w:frame="1"/>
              <w:lang w:val="es-MX"/>
            </w:rPr>
            <w:t>CONCESIONARIA RUTAS DEL VALLE S.A.S.</w:t>
          </w:r>
        </w:p>
        <w:p w14:paraId="2A82DA68" w14:textId="77777777" w:rsidR="007803E3" w:rsidRPr="0020113A" w:rsidRDefault="007803E3" w:rsidP="6B0FA225">
          <w:pPr>
            <w:pStyle w:val="paragraph"/>
            <w:spacing w:before="0" w:beforeAutospacing="0" w:after="0"/>
            <w:textAlignment w:val="baseline"/>
            <w:rPr>
              <w:rStyle w:val="normaltextrun"/>
              <w:b/>
              <w:bCs/>
              <w:bdr w:val="none" w:sz="0" w:space="0" w:color="auto" w:frame="1"/>
              <w:lang w:val="es-MX"/>
            </w:rPr>
          </w:pPr>
          <w:r w:rsidRPr="0020113A">
            <w:rPr>
              <w:rStyle w:val="normaltextrun"/>
              <w:b/>
              <w:bCs/>
              <w:bdr w:val="none" w:sz="0" w:space="0" w:color="auto" w:frame="1"/>
              <w:lang w:val="es-MX"/>
            </w:rPr>
            <w:lastRenderedPageBreak/>
            <w:t xml:space="preserve">Nombre del Proyecto: </w:t>
          </w:r>
          <w:r w:rsidRPr="0020113A">
            <w:rPr>
              <w:rStyle w:val="normaltextrun"/>
              <w:bdr w:val="none" w:sz="0" w:space="0" w:color="auto" w:frame="1"/>
              <w:lang w:val="es-MX"/>
            </w:rPr>
            <w:t>Nueva Malla Vial del Valle del Cauca - Corredor Accesos Cali y Palmira</w:t>
          </w:r>
        </w:p>
        <w:p w14:paraId="79019016" w14:textId="77777777" w:rsidR="007803E3" w:rsidRPr="0020113A" w:rsidRDefault="007803E3" w:rsidP="007803E3">
          <w:pPr>
            <w:pStyle w:val="paragraph"/>
            <w:spacing w:before="0" w:beforeAutospacing="0" w:after="0" w:afterAutospacing="0"/>
            <w:textAlignment w:val="baseline"/>
            <w:rPr>
              <w:rStyle w:val="normaltextrun"/>
              <w:b/>
              <w:bCs/>
              <w:shd w:val="clear" w:color="auto" w:fill="FFFFFF"/>
            </w:rPr>
          </w:pPr>
        </w:p>
        <w:p w14:paraId="4C018C32" w14:textId="77777777" w:rsidR="007803E3" w:rsidRPr="0020113A" w:rsidRDefault="007803E3" w:rsidP="00E60BAB">
          <w:pPr>
            <w:pStyle w:val="paragraph"/>
            <w:numPr>
              <w:ilvl w:val="0"/>
              <w:numId w:val="88"/>
            </w:numPr>
            <w:spacing w:before="0" w:beforeAutospacing="0" w:after="0" w:afterAutospacing="0"/>
            <w:textAlignment w:val="baseline"/>
            <w:rPr>
              <w:rStyle w:val="normaltextrun"/>
              <w:b/>
              <w:bCs/>
              <w:shd w:val="clear" w:color="auto" w:fill="FFFFFF"/>
              <w:lang w:val="es-MX"/>
            </w:rPr>
          </w:pPr>
          <w:r w:rsidRPr="0020113A">
            <w:rPr>
              <w:rStyle w:val="normaltextrun"/>
              <w:b/>
              <w:bCs/>
              <w:shd w:val="clear" w:color="auto" w:fill="FFFFFF"/>
              <w:lang w:val="es-MX"/>
            </w:rPr>
            <w:t>Términos significativos del acuerdo que puedan afectar su valor, el calendario y la certeza de los flujos </w:t>
          </w:r>
        </w:p>
        <w:p w14:paraId="726C477B" w14:textId="77777777" w:rsidR="007803E3" w:rsidRPr="0020113A" w:rsidRDefault="007803E3" w:rsidP="007803E3">
          <w:pPr>
            <w:pStyle w:val="paragraph"/>
            <w:spacing w:after="0"/>
            <w:ind w:left="-30" w:right="-30"/>
            <w:jc w:val="both"/>
            <w:textAlignment w:val="baseline"/>
            <w:rPr>
              <w:rStyle w:val="normaltextrun"/>
              <w:b/>
              <w:bCs/>
              <w:shd w:val="clear" w:color="auto" w:fill="FFFFFF"/>
            </w:rPr>
          </w:pPr>
          <w:r w:rsidRPr="0020113A">
            <w:rPr>
              <w:rStyle w:val="normaltextrun"/>
              <w:b/>
              <w:bCs/>
              <w:lang w:val="es-MX"/>
            </w:rPr>
            <w:t>Términos de Valor: </w:t>
          </w:r>
          <w:r w:rsidRPr="0020113A">
            <w:rPr>
              <w:rStyle w:val="eop"/>
            </w:rPr>
            <w:t> El valor del contrato se fijo en $3.000.590.680.619 de diciembre de 2018 El valor del VPIP asciende a $2.401.086.577.068 de diciembre de 2018. Fijación de tarifas: Resolución No. 20213040003685 del 29 de enero de 2021.</w:t>
          </w:r>
        </w:p>
        <w:p w14:paraId="3EFF3A69" w14:textId="77777777" w:rsidR="007803E3" w:rsidRPr="0020113A" w:rsidRDefault="007803E3" w:rsidP="007803E3">
          <w:pPr>
            <w:pStyle w:val="paragraph"/>
            <w:spacing w:after="0"/>
            <w:jc w:val="both"/>
            <w:textAlignment w:val="baseline"/>
            <w:rPr>
              <w:rStyle w:val="normaltextrun"/>
              <w:b/>
              <w:bCs/>
              <w:shd w:val="clear" w:color="auto" w:fill="FFFFFF"/>
            </w:rPr>
          </w:pPr>
          <w:r w:rsidRPr="0020113A">
            <w:rPr>
              <w:rStyle w:val="normaltextrun"/>
              <w:b/>
              <w:bCs/>
              <w:shd w:val="clear" w:color="auto" w:fill="FFFFFF"/>
              <w:lang w:val="es-MX"/>
            </w:rPr>
            <w:t>Términos de Calendario:</w:t>
          </w:r>
          <w:r w:rsidRPr="0020113A">
            <w:rPr>
              <w:rStyle w:val="eop"/>
              <w:shd w:val="clear" w:color="auto" w:fill="FFFFFF"/>
            </w:rPr>
            <w:t> El plazo del contrato se determinó en 29 años. Fecha de revisión de tarifas: serán actualizadas cada 16 de enero.</w:t>
          </w:r>
        </w:p>
        <w:p w14:paraId="6070AA61" w14:textId="77777777" w:rsidR="007803E3" w:rsidRPr="0020113A" w:rsidRDefault="007803E3" w:rsidP="007803E3">
          <w:pPr>
            <w:pStyle w:val="paragraph"/>
            <w:spacing w:before="0" w:beforeAutospacing="0" w:after="0" w:afterAutospacing="0"/>
            <w:jc w:val="both"/>
            <w:textAlignment w:val="baseline"/>
            <w:rPr>
              <w:rStyle w:val="normaltextrun"/>
              <w:shd w:val="clear" w:color="auto" w:fill="FFFFFF"/>
            </w:rPr>
          </w:pPr>
          <w:r w:rsidRPr="0020113A">
            <w:rPr>
              <w:rStyle w:val="normaltextrun"/>
              <w:b/>
              <w:bCs/>
              <w:bdr w:val="none" w:sz="0" w:space="0" w:color="auto" w:frame="1"/>
              <w:lang w:val="es-MX"/>
            </w:rPr>
            <w:t xml:space="preserve">Términos de Certeza de Flujos de Efectivo Futuros: </w:t>
          </w:r>
          <w:r w:rsidRPr="0020113A">
            <w:rPr>
              <w:rStyle w:val="normaltextrun"/>
              <w:bdr w:val="none" w:sz="0" w:space="0" w:color="auto" w:frame="1"/>
              <w:lang w:val="es-MX"/>
            </w:rPr>
            <w:t>Durante toda la duración del proyecto se retribuye la UF 0, una vez finalizadas y recibidas las UF se retribuyen de acuerdo con la participación.</w:t>
          </w:r>
        </w:p>
        <w:p w14:paraId="5D453C14" w14:textId="77777777" w:rsidR="007803E3" w:rsidRPr="0020113A" w:rsidRDefault="007803E3" w:rsidP="007803E3">
          <w:pPr>
            <w:pStyle w:val="paragraph"/>
            <w:spacing w:before="0" w:beforeAutospacing="0" w:after="0" w:afterAutospacing="0"/>
            <w:textAlignment w:val="baseline"/>
            <w:rPr>
              <w:rStyle w:val="normaltextrun"/>
              <w:b/>
              <w:bCs/>
              <w:shd w:val="clear" w:color="auto" w:fill="FFFFFF"/>
            </w:rPr>
          </w:pPr>
        </w:p>
        <w:p w14:paraId="441EBA3C" w14:textId="77777777" w:rsidR="007803E3" w:rsidRPr="0020113A" w:rsidRDefault="007803E3" w:rsidP="00E60BAB">
          <w:pPr>
            <w:pStyle w:val="paragraph"/>
            <w:numPr>
              <w:ilvl w:val="0"/>
              <w:numId w:val="88"/>
            </w:numPr>
            <w:spacing w:before="0" w:beforeAutospacing="0" w:after="0" w:afterAutospacing="0"/>
            <w:textAlignment w:val="baseline"/>
            <w:rPr>
              <w:rStyle w:val="normaltextrun"/>
              <w:b/>
              <w:bCs/>
              <w:shd w:val="clear" w:color="auto" w:fill="FFFFFF"/>
              <w:lang w:val="es-MX"/>
            </w:rPr>
          </w:pPr>
          <w:r w:rsidRPr="0020113A">
            <w:rPr>
              <w:rStyle w:val="normaltextrun"/>
              <w:b/>
              <w:bCs/>
              <w:shd w:val="clear" w:color="auto" w:fill="FFFFFF"/>
              <w:lang w:val="es-MX"/>
            </w:rPr>
            <w:t>Naturaleza y alcance del derecho a utilizar activos especificados, de los aspectos pactados en torno a lo que se espera que el concesionario proporcione en relación con el acuerdo de concesión</w:t>
          </w:r>
          <w:r w:rsidRPr="0020113A">
            <w:rPr>
              <w:rStyle w:val="normaltextrun"/>
              <w:b/>
              <w:bCs/>
              <w:lang w:val="es-MX"/>
            </w:rPr>
            <w:t> </w:t>
          </w:r>
        </w:p>
        <w:p w14:paraId="69DB6A02" w14:textId="77777777" w:rsidR="007803E3" w:rsidRPr="0020113A" w:rsidRDefault="007803E3" w:rsidP="007803E3">
          <w:pPr>
            <w:pStyle w:val="paragraph"/>
            <w:spacing w:before="0" w:beforeAutospacing="0" w:after="0" w:afterAutospacing="0"/>
            <w:textAlignment w:val="baseline"/>
          </w:pPr>
        </w:p>
        <w:p w14:paraId="217EC33E" w14:textId="77777777" w:rsidR="007803E3" w:rsidRPr="0020113A" w:rsidRDefault="007803E3" w:rsidP="007803E3">
          <w:pPr>
            <w:pStyle w:val="paragraph"/>
            <w:spacing w:before="0" w:beforeAutospacing="0" w:after="0" w:afterAutospacing="0"/>
            <w:jc w:val="center"/>
            <w:textAlignment w:val="baseline"/>
            <w:rPr>
              <w:rStyle w:val="eop"/>
              <w:shd w:val="clear" w:color="auto" w:fill="FFFFFF"/>
            </w:rPr>
          </w:pPr>
          <w:r w:rsidRPr="0020113A">
            <w:rPr>
              <w:rStyle w:val="normaltextrun"/>
              <w:b/>
              <w:bCs/>
              <w:shd w:val="clear" w:color="auto" w:fill="FFFFFF"/>
              <w:lang w:val="es-MX"/>
            </w:rPr>
            <w:t>Naturaleza y alcance del derecho de uso de los activos</w:t>
          </w:r>
        </w:p>
        <w:p w14:paraId="1714E64F" w14:textId="77777777" w:rsidR="007803E3" w:rsidRPr="0020113A" w:rsidRDefault="007803E3" w:rsidP="007803E3">
          <w:pPr>
            <w:pStyle w:val="paragraph"/>
            <w:spacing w:before="0" w:beforeAutospacing="0" w:after="0" w:afterAutospacing="0"/>
            <w:jc w:val="both"/>
            <w:textAlignment w:val="baseline"/>
            <w:rPr>
              <w:rStyle w:val="normaltextrun"/>
              <w:b/>
              <w:bCs/>
              <w:bdr w:val="none" w:sz="0" w:space="0" w:color="auto" w:frame="1"/>
              <w:lang w:val="es-MX"/>
            </w:rPr>
          </w:pPr>
          <w:r w:rsidRPr="0020113A">
            <w:rPr>
              <w:rStyle w:val="normaltextrun"/>
              <w:b/>
              <w:bCs/>
              <w:bdr w:val="none" w:sz="0" w:space="0" w:color="auto" w:frame="1"/>
              <w:lang w:val="es-MX"/>
            </w:rPr>
            <w:t xml:space="preserve">Descripción: </w:t>
          </w:r>
          <w:r w:rsidRPr="0020113A">
            <w:rPr>
              <w:rStyle w:val="normaltextrun"/>
              <w:bdr w:val="none" w:sz="0" w:space="0" w:color="auto" w:frame="1"/>
              <w:lang w:val="es-MX"/>
            </w:rPr>
            <w:t>Sección 3.3 – Contrato de Concesión - parte general: se cederá al concesionario el derecho de recaudo sobre la operación de las Estaciones de Peaje (el “derecho de recaudo”) en la misma fecha de entrega de la infraestructura, salvo por las excepciones en la Parte Especial.</w:t>
          </w:r>
        </w:p>
        <w:p w14:paraId="17D434CD" w14:textId="77777777" w:rsidR="007803E3" w:rsidRPr="0020113A" w:rsidRDefault="007803E3" w:rsidP="007803E3">
          <w:pPr>
            <w:pStyle w:val="paragraph"/>
            <w:spacing w:before="0" w:beforeAutospacing="0" w:after="0" w:afterAutospacing="0"/>
            <w:textAlignment w:val="baseline"/>
            <w:rPr>
              <w:rStyle w:val="normaltextrun"/>
              <w:b/>
              <w:bCs/>
              <w:bdr w:val="none" w:sz="0" w:space="0" w:color="auto" w:frame="1"/>
              <w:lang w:val="es-MX"/>
            </w:rPr>
          </w:pPr>
        </w:p>
        <w:p w14:paraId="42FA569E" w14:textId="77777777" w:rsidR="007803E3" w:rsidRPr="0020113A" w:rsidRDefault="007803E3" w:rsidP="007803E3">
          <w:pPr>
            <w:pStyle w:val="paragraph"/>
            <w:spacing w:before="0" w:beforeAutospacing="0" w:after="0" w:afterAutospacing="0"/>
            <w:textAlignment w:val="baseline"/>
            <w:rPr>
              <w:rStyle w:val="eop"/>
              <w:shd w:val="clear" w:color="auto" w:fill="FFFFFF"/>
            </w:rPr>
          </w:pPr>
          <w:r w:rsidRPr="0020113A">
            <w:rPr>
              <w:rStyle w:val="normaltextrun"/>
              <w:b/>
              <w:bCs/>
              <w:shd w:val="clear" w:color="auto" w:fill="FFFFFF"/>
              <w:lang w:val="es-MX"/>
            </w:rPr>
            <w:t>Observaciones:</w:t>
          </w:r>
          <w:r w:rsidRPr="0020113A">
            <w:rPr>
              <w:rStyle w:val="eop"/>
              <w:shd w:val="clear" w:color="auto" w:fill="FFFFFF"/>
            </w:rPr>
            <w:t> No se tienen observaciones</w:t>
          </w:r>
        </w:p>
        <w:p w14:paraId="18D9C371" w14:textId="77777777" w:rsidR="007803E3" w:rsidRPr="0020113A" w:rsidRDefault="007803E3" w:rsidP="007803E3">
          <w:pPr>
            <w:pStyle w:val="paragraph"/>
            <w:spacing w:before="0" w:beforeAutospacing="0" w:after="0" w:afterAutospacing="0"/>
            <w:textAlignment w:val="baseline"/>
            <w:rPr>
              <w:rStyle w:val="eop"/>
              <w:shd w:val="clear" w:color="auto" w:fill="FFFFFF"/>
            </w:rPr>
          </w:pPr>
        </w:p>
        <w:p w14:paraId="752B89EF" w14:textId="77777777" w:rsidR="007803E3" w:rsidRPr="0020113A" w:rsidRDefault="007803E3" w:rsidP="007803E3">
          <w:pPr>
            <w:pStyle w:val="paragraph"/>
            <w:spacing w:before="0" w:beforeAutospacing="0" w:after="0" w:afterAutospacing="0"/>
            <w:jc w:val="center"/>
            <w:textAlignment w:val="baseline"/>
            <w:rPr>
              <w:rStyle w:val="eop"/>
              <w:shd w:val="clear" w:color="auto" w:fill="FFFFFF"/>
            </w:rPr>
          </w:pPr>
          <w:r w:rsidRPr="0020113A">
            <w:rPr>
              <w:rStyle w:val="normaltextrun"/>
              <w:b/>
              <w:bCs/>
              <w:shd w:val="clear" w:color="auto" w:fill="FFFFFF"/>
              <w:lang w:val="es-MX"/>
            </w:rPr>
            <w:t>Retribución al Concesionario</w:t>
          </w:r>
        </w:p>
        <w:p w14:paraId="22578565" w14:textId="77777777" w:rsidR="007803E3" w:rsidRPr="0020113A" w:rsidRDefault="007803E3" w:rsidP="007803E3">
          <w:pPr>
            <w:pStyle w:val="paragraph"/>
            <w:spacing w:before="0" w:beforeAutospacing="0" w:after="0" w:afterAutospacing="0"/>
            <w:textAlignment w:val="baseline"/>
            <w:rPr>
              <w:rStyle w:val="eop"/>
              <w:shd w:val="clear" w:color="auto" w:fill="FFFFFF"/>
            </w:rPr>
          </w:pPr>
        </w:p>
        <w:p w14:paraId="12A53901" w14:textId="77777777" w:rsidR="007803E3" w:rsidRPr="0020113A" w:rsidRDefault="007803E3" w:rsidP="007803E3">
          <w:pPr>
            <w:pStyle w:val="paragraph"/>
            <w:spacing w:before="0" w:beforeAutospacing="0" w:after="0" w:afterAutospacing="0"/>
            <w:textAlignment w:val="baseline"/>
            <w:rPr>
              <w:rStyle w:val="eop"/>
              <w:shd w:val="clear" w:color="auto" w:fill="FFFFFF"/>
            </w:rPr>
          </w:pPr>
          <w:r w:rsidRPr="0020113A">
            <w:rPr>
              <w:rStyle w:val="normaltextrun"/>
              <w:b/>
              <w:bCs/>
              <w:bdr w:val="none" w:sz="0" w:space="0" w:color="auto" w:frame="1"/>
              <w:lang w:val="es-MX"/>
            </w:rPr>
            <w:t xml:space="preserve">Descripción: </w:t>
          </w:r>
          <w:r w:rsidRPr="0020113A">
            <w:rPr>
              <w:rStyle w:val="normaltextrun"/>
              <w:bdr w:val="none" w:sz="0" w:space="0" w:color="auto" w:frame="1"/>
              <w:lang w:val="es-MX"/>
            </w:rPr>
            <w:t>El valor del VPIP corresponde a $2.401.086.577.068 de diciembre de 2018.</w:t>
          </w:r>
        </w:p>
        <w:p w14:paraId="67888F83" w14:textId="77777777" w:rsidR="007803E3" w:rsidRPr="0020113A" w:rsidRDefault="007803E3" w:rsidP="007803E3">
          <w:pPr>
            <w:pStyle w:val="paragraph"/>
            <w:spacing w:before="0" w:beforeAutospacing="0" w:after="0" w:afterAutospacing="0"/>
            <w:textAlignment w:val="baseline"/>
            <w:rPr>
              <w:rStyle w:val="eop"/>
              <w:shd w:val="clear" w:color="auto" w:fill="FFFFFF"/>
            </w:rPr>
          </w:pPr>
        </w:p>
        <w:p w14:paraId="7CF67E9C" w14:textId="77777777" w:rsidR="007803E3" w:rsidRPr="0020113A" w:rsidRDefault="007803E3" w:rsidP="007803E3">
          <w:pPr>
            <w:pStyle w:val="paragraph"/>
            <w:spacing w:before="0" w:beforeAutospacing="0" w:after="0" w:afterAutospacing="0"/>
            <w:textAlignment w:val="baseline"/>
            <w:rPr>
              <w:rStyle w:val="normaltextrun"/>
              <w:b/>
              <w:bCs/>
              <w:bdr w:val="none" w:sz="0" w:space="0" w:color="auto" w:frame="1"/>
              <w:lang w:val="es-MX"/>
            </w:rPr>
          </w:pPr>
          <w:r w:rsidRPr="0020113A">
            <w:rPr>
              <w:rStyle w:val="normaltextrun"/>
              <w:b/>
              <w:bCs/>
              <w:bdr w:val="none" w:sz="0" w:space="0" w:color="auto" w:frame="1"/>
              <w:lang w:val="es-MX"/>
            </w:rPr>
            <w:t xml:space="preserve">Tasa de Retribución: </w:t>
          </w:r>
          <w:r w:rsidRPr="0020113A">
            <w:rPr>
              <w:rStyle w:val="normaltextrun"/>
              <w:bdr w:val="none" w:sz="0" w:space="0" w:color="auto" w:frame="1"/>
              <w:lang w:val="es-MX"/>
            </w:rPr>
            <w:t>Tasa de Descuento Real (TDI): 0.5722</w:t>
          </w:r>
        </w:p>
        <w:p w14:paraId="176427B4" w14:textId="77777777" w:rsidR="007803E3" w:rsidRPr="0020113A" w:rsidRDefault="007803E3" w:rsidP="007803E3">
          <w:pPr>
            <w:pStyle w:val="paragraph"/>
            <w:spacing w:before="0" w:beforeAutospacing="0" w:after="0" w:afterAutospacing="0"/>
            <w:textAlignment w:val="baseline"/>
            <w:rPr>
              <w:rStyle w:val="normaltextrun"/>
              <w:b/>
              <w:bCs/>
              <w:bdr w:val="none" w:sz="0" w:space="0" w:color="auto" w:frame="1"/>
              <w:lang w:val="es-MX"/>
            </w:rPr>
          </w:pPr>
        </w:p>
        <w:p w14:paraId="7853CFC5" w14:textId="77777777" w:rsidR="007803E3" w:rsidRPr="0020113A" w:rsidRDefault="007803E3" w:rsidP="00E60BAB">
          <w:pPr>
            <w:pStyle w:val="paragraph"/>
            <w:numPr>
              <w:ilvl w:val="0"/>
              <w:numId w:val="88"/>
            </w:numPr>
            <w:spacing w:before="0" w:beforeAutospacing="0" w:after="0" w:afterAutospacing="0"/>
            <w:textAlignment w:val="baseline"/>
            <w:rPr>
              <w:rStyle w:val="normaltextrun"/>
              <w:b/>
              <w:bCs/>
              <w:shd w:val="clear" w:color="auto" w:fill="FFFFFF"/>
              <w:lang w:val="es-MX"/>
            </w:rPr>
          </w:pPr>
          <w:r w:rsidRPr="0020113A">
            <w:rPr>
              <w:rStyle w:val="normaltextrun"/>
              <w:b/>
              <w:bCs/>
              <w:shd w:val="clear" w:color="auto" w:fill="FFFFFF"/>
              <w:lang w:val="es-MX"/>
            </w:rPr>
            <w:t>Derechos a recibir activos especificados al final del acuerdo de concesión</w:t>
          </w:r>
          <w:r w:rsidRPr="0020113A">
            <w:rPr>
              <w:rStyle w:val="normaltextrun"/>
              <w:b/>
              <w:bCs/>
              <w:lang w:val="es-MX"/>
            </w:rPr>
            <w:t> </w:t>
          </w:r>
        </w:p>
        <w:p w14:paraId="4256BF4A" w14:textId="77777777" w:rsidR="007803E3" w:rsidRPr="0020113A" w:rsidRDefault="007803E3" w:rsidP="007803E3">
          <w:pPr>
            <w:pStyle w:val="paragraph"/>
            <w:spacing w:before="0" w:beforeAutospacing="0" w:after="0" w:afterAutospacing="0"/>
            <w:ind w:left="720"/>
            <w:textAlignment w:val="baseline"/>
            <w:rPr>
              <w:rStyle w:val="normaltextrun"/>
              <w:b/>
              <w:bCs/>
              <w:shd w:val="clear" w:color="auto" w:fill="FFFFFF"/>
              <w:lang w:val="es-MX"/>
            </w:rPr>
          </w:pPr>
        </w:p>
        <w:p w14:paraId="14F54424" w14:textId="77777777" w:rsidR="007803E3" w:rsidRPr="0020113A" w:rsidRDefault="007803E3" w:rsidP="007803E3">
          <w:pPr>
            <w:pStyle w:val="paragraph"/>
            <w:spacing w:before="0" w:beforeAutospacing="0" w:after="0" w:afterAutospacing="0"/>
            <w:jc w:val="both"/>
            <w:textAlignment w:val="baseline"/>
            <w:rPr>
              <w:rStyle w:val="normaltextrun"/>
              <w:b/>
              <w:bCs/>
              <w:shd w:val="clear" w:color="auto" w:fill="FFFFFF"/>
              <w:lang w:val="es-MX"/>
            </w:rPr>
          </w:pPr>
          <w:r w:rsidRPr="0020113A">
            <w:rPr>
              <w:rStyle w:val="normaltextrun"/>
              <w:b/>
              <w:bCs/>
              <w:bdr w:val="none" w:sz="0" w:space="0" w:color="auto" w:frame="1"/>
              <w:lang w:val="es-MX"/>
            </w:rPr>
            <w:t>Descripción:</w:t>
          </w:r>
          <w:r w:rsidRPr="0020113A">
            <w:rPr>
              <w:rStyle w:val="eop"/>
              <w:shd w:val="clear" w:color="auto" w:fill="FFFFFF"/>
            </w:rPr>
            <w:t xml:space="preserve"> La ANI se hará propietario de las obras que conforman el proyecto al momento de su ejecución, incluyendo las estaciones de peaje, de pesaje y la totalidad de bienes muebles o inmuebles por destinación o adhesión que se encuentren en las mismas.</w:t>
          </w:r>
        </w:p>
        <w:p w14:paraId="2043CCC8" w14:textId="77777777" w:rsidR="007803E3" w:rsidRPr="0020113A" w:rsidRDefault="007803E3" w:rsidP="007803E3">
          <w:pPr>
            <w:pStyle w:val="paragraph"/>
            <w:spacing w:before="0" w:beforeAutospacing="0" w:after="0" w:afterAutospacing="0"/>
            <w:textAlignment w:val="baseline"/>
          </w:pPr>
        </w:p>
        <w:p w14:paraId="6413D4DE" w14:textId="77777777" w:rsidR="007803E3" w:rsidRPr="0020113A" w:rsidRDefault="007803E3" w:rsidP="007803E3">
          <w:pPr>
            <w:pStyle w:val="paragraph"/>
            <w:spacing w:before="0" w:beforeAutospacing="0" w:after="0" w:afterAutospacing="0"/>
            <w:jc w:val="both"/>
            <w:textAlignment w:val="baseline"/>
            <w:rPr>
              <w:rStyle w:val="eop"/>
              <w:shd w:val="clear" w:color="auto" w:fill="FFFFFF"/>
            </w:rPr>
          </w:pPr>
          <w:r w:rsidRPr="0020113A">
            <w:rPr>
              <w:rStyle w:val="normaltextrun"/>
              <w:b/>
              <w:bCs/>
              <w:shd w:val="clear" w:color="auto" w:fill="FFFFFF"/>
              <w:lang w:val="es-MX"/>
            </w:rPr>
            <w:t>Observaciones:</w:t>
          </w:r>
          <w:r w:rsidRPr="0020113A">
            <w:rPr>
              <w:rStyle w:val="eop"/>
              <w:shd w:val="clear" w:color="auto" w:fill="FFFFFF"/>
            </w:rPr>
            <w:t> Como parte del alcance del proyecto se tienen obras que serán revertidas anticipadamente a los municipios aledaños.</w:t>
          </w:r>
        </w:p>
        <w:p w14:paraId="67DA3C09" w14:textId="77777777" w:rsidR="007803E3" w:rsidRPr="0020113A" w:rsidRDefault="007803E3" w:rsidP="007803E3">
          <w:pPr>
            <w:pStyle w:val="paragraph"/>
            <w:spacing w:before="0" w:beforeAutospacing="0" w:after="0" w:afterAutospacing="0"/>
            <w:textAlignment w:val="baseline"/>
            <w:rPr>
              <w:rStyle w:val="eop"/>
              <w:shd w:val="clear" w:color="auto" w:fill="FFFFFF"/>
            </w:rPr>
          </w:pPr>
        </w:p>
        <w:p w14:paraId="3A3E1AFC" w14:textId="3BC27784" w:rsidR="007803E3" w:rsidRPr="0020113A" w:rsidRDefault="007869D6" w:rsidP="00E60BAB">
          <w:pPr>
            <w:pStyle w:val="paragraph"/>
            <w:numPr>
              <w:ilvl w:val="0"/>
              <w:numId w:val="88"/>
            </w:numPr>
            <w:spacing w:before="0" w:beforeAutospacing="0" w:after="0" w:afterAutospacing="0"/>
            <w:textAlignment w:val="baseline"/>
            <w:rPr>
              <w:rStyle w:val="normaltextrun"/>
              <w:b/>
              <w:bCs/>
              <w:shd w:val="clear" w:color="auto" w:fill="FFFFFF"/>
              <w:lang w:val="es-MX"/>
            </w:rPr>
          </w:pPr>
          <w:r>
            <w:rPr>
              <w:rStyle w:val="normaltextrun"/>
              <w:b/>
              <w:bCs/>
              <w:shd w:val="clear" w:color="auto" w:fill="FFFFFF"/>
              <w:lang w:val="es-MX"/>
            </w:rPr>
            <w:t>No hay c</w:t>
          </w:r>
          <w:r w:rsidR="007803E3" w:rsidRPr="0020113A">
            <w:rPr>
              <w:rStyle w:val="normaltextrun"/>
              <w:b/>
              <w:bCs/>
              <w:shd w:val="clear" w:color="auto" w:fill="FFFFFF"/>
              <w:lang w:val="es-MX"/>
            </w:rPr>
            <w:t>ambios en el acuerdo de concesión que se realicen durante el periodo fiscal</w:t>
          </w:r>
          <w:r w:rsidR="007803E3" w:rsidRPr="0020113A">
            <w:rPr>
              <w:rStyle w:val="normaltextrun"/>
              <w:b/>
              <w:bCs/>
              <w:lang w:val="es-MX"/>
            </w:rPr>
            <w:t> </w:t>
          </w:r>
        </w:p>
        <w:p w14:paraId="7B9DF6BB" w14:textId="77777777" w:rsidR="007803E3" w:rsidRPr="0020113A" w:rsidRDefault="007803E3" w:rsidP="007803E3">
          <w:pPr>
            <w:pStyle w:val="paragraph"/>
            <w:spacing w:before="0" w:beforeAutospacing="0" w:after="0" w:afterAutospacing="0"/>
            <w:textAlignment w:val="baseline"/>
          </w:pPr>
        </w:p>
        <w:p w14:paraId="6DD8C209" w14:textId="77777777" w:rsidR="007803E3" w:rsidRPr="0020113A" w:rsidRDefault="007803E3" w:rsidP="007803E3">
          <w:pPr>
            <w:spacing w:after="0" w:line="240" w:lineRule="auto"/>
            <w:jc w:val="center"/>
            <w:rPr>
              <w:rFonts w:ascii="Times New Roman" w:eastAsia="Times New Roman" w:hAnsi="Times New Roman"/>
              <w:sz w:val="24"/>
              <w:szCs w:val="24"/>
              <w:lang w:eastAsia="es-CO"/>
            </w:rPr>
          </w:pPr>
        </w:p>
        <w:p w14:paraId="4E4D855B" w14:textId="77777777" w:rsidR="007803E3" w:rsidRPr="0020113A" w:rsidRDefault="007803E3" w:rsidP="007803E3">
          <w:pPr>
            <w:spacing w:after="0" w:line="240" w:lineRule="auto"/>
            <w:textAlignment w:val="baseline"/>
            <w:rPr>
              <w:rFonts w:ascii="Times New Roman" w:eastAsia="Times New Roman" w:hAnsi="Times New Roman"/>
              <w:sz w:val="24"/>
              <w:szCs w:val="24"/>
              <w:lang w:eastAsia="es-CO"/>
            </w:rPr>
          </w:pPr>
          <w:r w:rsidRPr="0020113A">
            <w:rPr>
              <w:rFonts w:ascii="Times New Roman" w:eastAsia="Times New Roman" w:hAnsi="Times New Roman"/>
              <w:sz w:val="24"/>
              <w:szCs w:val="24"/>
              <w:lang w:eastAsia="es-CO"/>
            </w:rPr>
            <w:t> </w:t>
          </w:r>
        </w:p>
        <w:p w14:paraId="0F01DCE3" w14:textId="77777777" w:rsidR="007803E3" w:rsidRPr="0020113A" w:rsidRDefault="007803E3" w:rsidP="007803E3">
          <w:pPr>
            <w:pStyle w:val="paragraph"/>
            <w:spacing w:before="0" w:beforeAutospacing="0" w:after="0" w:afterAutospacing="0"/>
            <w:textAlignment w:val="baseline"/>
          </w:pPr>
        </w:p>
        <w:p w14:paraId="5583A85C" w14:textId="77777777" w:rsidR="007803E3" w:rsidRPr="0020113A" w:rsidRDefault="007803E3" w:rsidP="007803E3">
          <w:pPr>
            <w:pStyle w:val="paragraph"/>
            <w:spacing w:before="0" w:beforeAutospacing="0" w:after="0" w:afterAutospacing="0"/>
            <w:textAlignment w:val="baseline"/>
          </w:pPr>
          <w:r w:rsidRPr="0020113A">
            <w:rPr>
              <w:rStyle w:val="normaltextrun"/>
              <w:b/>
              <w:lang w:val="es-MX"/>
            </w:rPr>
            <w:t>AUTOPISTA CONEXIÓN PACIFICO 1</w:t>
          </w:r>
          <w:r w:rsidRPr="0020113A">
            <w:rPr>
              <w:rStyle w:val="eop"/>
            </w:rPr>
            <w:t> </w:t>
          </w:r>
        </w:p>
        <w:p w14:paraId="36DEBE98" w14:textId="77777777" w:rsidR="007803E3" w:rsidRPr="0020113A" w:rsidRDefault="007803E3" w:rsidP="007803E3">
          <w:pPr>
            <w:pStyle w:val="paragraph"/>
            <w:spacing w:before="0" w:beforeAutospacing="0" w:after="0" w:afterAutospacing="0"/>
            <w:textAlignment w:val="baseline"/>
          </w:pPr>
          <w:r w:rsidRPr="0020113A">
            <w:rPr>
              <w:rStyle w:val="eop"/>
            </w:rPr>
            <w:t> </w:t>
          </w:r>
        </w:p>
        <w:p w14:paraId="1A4299A6" w14:textId="77777777" w:rsidR="007803E3" w:rsidRPr="0020113A" w:rsidRDefault="007803E3" w:rsidP="00E60BAB">
          <w:pPr>
            <w:pStyle w:val="paragraph"/>
            <w:numPr>
              <w:ilvl w:val="0"/>
              <w:numId w:val="89"/>
            </w:numPr>
            <w:spacing w:before="0" w:beforeAutospacing="0" w:after="0" w:afterAutospacing="0"/>
            <w:textAlignment w:val="baseline"/>
            <w:rPr>
              <w:rStyle w:val="eop"/>
              <w:b/>
              <w:bCs/>
            </w:rPr>
          </w:pPr>
          <w:r w:rsidRPr="0020113A">
            <w:rPr>
              <w:rStyle w:val="normaltextrun"/>
              <w:b/>
              <w:bCs/>
              <w:shd w:val="clear" w:color="auto" w:fill="FFFFFF"/>
              <w:lang w:val="es-MX"/>
            </w:rPr>
            <w:t>Descripción del Acuerdo</w:t>
          </w:r>
          <w:r w:rsidRPr="0020113A">
            <w:rPr>
              <w:rStyle w:val="eop"/>
              <w:b/>
              <w:bCs/>
              <w:shd w:val="clear" w:color="auto" w:fill="FFFFFF"/>
            </w:rPr>
            <w:t> </w:t>
          </w:r>
          <w:r w:rsidRPr="0020113A">
            <w:rPr>
              <w:rStyle w:val="eop"/>
              <w:b/>
              <w:bCs/>
            </w:rPr>
            <w:t> </w:t>
          </w:r>
        </w:p>
        <w:p w14:paraId="080D3346" w14:textId="77777777" w:rsidR="007803E3" w:rsidRPr="0020113A" w:rsidRDefault="007803E3" w:rsidP="007803E3">
          <w:pPr>
            <w:pStyle w:val="paragraph"/>
            <w:spacing w:before="0" w:beforeAutospacing="0" w:after="0" w:afterAutospacing="0"/>
            <w:textAlignment w:val="baseline"/>
            <w:rPr>
              <w:rStyle w:val="eop"/>
            </w:rPr>
          </w:pPr>
        </w:p>
        <w:p w14:paraId="7D74C038" w14:textId="77777777" w:rsidR="007803E3" w:rsidRPr="0020113A" w:rsidRDefault="007803E3" w:rsidP="18BAD2EC">
          <w:pPr>
            <w:spacing w:after="0"/>
            <w:rPr>
              <w:rStyle w:val="normaltextrun"/>
              <w:rFonts w:ascii="Times New Roman" w:eastAsia="Times New Roman" w:hAnsi="Times New Roman"/>
              <w:b/>
              <w:bCs/>
              <w:sz w:val="24"/>
              <w:szCs w:val="24"/>
              <w:bdr w:val="none" w:sz="0" w:space="0" w:color="auto" w:frame="1"/>
              <w:lang w:val="es-MX" w:eastAsia="es-CO"/>
            </w:rPr>
          </w:pPr>
          <w:r w:rsidRPr="0020113A">
            <w:rPr>
              <w:rStyle w:val="normaltextrun"/>
              <w:rFonts w:ascii="Times New Roman" w:hAnsi="Times New Roman"/>
              <w:b/>
              <w:bCs/>
              <w:sz w:val="24"/>
              <w:szCs w:val="24"/>
              <w:bdr w:val="none" w:sz="0" w:space="0" w:color="auto" w:frame="1"/>
              <w:lang w:val="es-MX"/>
            </w:rPr>
            <w:t xml:space="preserve">Número del Acuerdo de Concesión: </w:t>
          </w:r>
          <w:r w:rsidRPr="0020113A">
            <w:rPr>
              <w:rStyle w:val="normaltextrun"/>
              <w:rFonts w:ascii="Times New Roman" w:eastAsia="Times New Roman" w:hAnsi="Times New Roman"/>
              <w:sz w:val="24"/>
              <w:szCs w:val="24"/>
              <w:bdr w:val="none" w:sz="0" w:space="0" w:color="auto" w:frame="1"/>
              <w:lang w:val="es-MX" w:eastAsia="es-CO"/>
            </w:rPr>
            <w:t>Contrato de Concesión No. 007 del 15 de septiembre de 2014.</w:t>
          </w:r>
        </w:p>
        <w:p w14:paraId="02FF229A" w14:textId="77777777" w:rsidR="007803E3" w:rsidRPr="0020113A" w:rsidRDefault="007803E3" w:rsidP="18BAD2EC">
          <w:pPr>
            <w:pStyle w:val="paragraph"/>
            <w:spacing w:after="0" w:afterAutospacing="0"/>
            <w:jc w:val="both"/>
            <w:textAlignment w:val="baseline"/>
            <w:rPr>
              <w:rStyle w:val="normaltextrun"/>
              <w:shd w:val="clear" w:color="auto" w:fill="FFFFFF"/>
            </w:rPr>
          </w:pPr>
          <w:r w:rsidRPr="0020113A">
            <w:rPr>
              <w:rStyle w:val="normaltextrun"/>
              <w:b/>
              <w:bCs/>
              <w:shd w:val="clear" w:color="auto" w:fill="FFFFFF"/>
            </w:rPr>
            <w:t xml:space="preserve">Objeto / Descripción: </w:t>
          </w:r>
          <w:r w:rsidRPr="0020113A">
            <w:rPr>
              <w:rStyle w:val="normaltextrun"/>
              <w:shd w:val="clear" w:color="auto" w:fill="FFFFFF"/>
            </w:rPr>
            <w:t xml:space="preserve">El presente Contrato de concesión bajo un esquema de asociación público-privada en los términos de la Ley 1508 de 2012, tiene por objeto el otorgamiento de una concesión para que, de conformidad con lo previsto en este Contrato, el Concesionario, por su cuenta y riesgo, lleve a cabo el Proyecto. Contrato corresponde a los estudios y diseños definitivos, financiación, gestión </w:t>
          </w:r>
          <w:r w:rsidRPr="0020113A">
            <w:rPr>
              <w:rStyle w:val="normaltextrun"/>
              <w:shd w:val="clear" w:color="auto" w:fill="FFFFFF"/>
            </w:rPr>
            <w:tab/>
            <w:t>ambiental, predial y social, construcción, mejoramiento, rehabilitación, operación, mantenimiento y reversión de la Concesión Autopista Conexión Pacífico 1, del Proyecto "Autopistas para la Prosperidad", de acuerdo con el Apéndice Técnico 1 y demás Apéndices del Contrato.</w:t>
          </w:r>
        </w:p>
        <w:p w14:paraId="10DF23F9" w14:textId="77777777" w:rsidR="007803E3" w:rsidRPr="0020113A" w:rsidRDefault="007803E3" w:rsidP="007803E3">
          <w:pPr>
            <w:pStyle w:val="paragraph"/>
            <w:spacing w:before="0" w:beforeAutospacing="0" w:after="0" w:afterAutospacing="0"/>
            <w:textAlignment w:val="baseline"/>
            <w:rPr>
              <w:rStyle w:val="normaltextrun"/>
              <w:b/>
              <w:bCs/>
              <w:shd w:val="clear" w:color="auto" w:fill="FFFFFF"/>
            </w:rPr>
          </w:pPr>
          <w:r w:rsidRPr="0020113A">
            <w:rPr>
              <w:rStyle w:val="normaltextrun"/>
              <w:b/>
              <w:bCs/>
              <w:bdr w:val="none" w:sz="0" w:space="0" w:color="auto" w:frame="1"/>
              <w:lang w:val="es-MX"/>
            </w:rPr>
            <w:t xml:space="preserve">Valor Inicial: </w:t>
          </w:r>
          <w:r w:rsidRPr="0020113A">
            <w:rPr>
              <w:rStyle w:val="normaltextrun"/>
              <w:bdr w:val="none" w:sz="0" w:space="0" w:color="auto" w:frame="1"/>
              <w:lang w:val="es-MX"/>
            </w:rPr>
            <w:t>$ 2.087.106.175.109 precios mes de referencia del contrato dic-2012.</w:t>
          </w:r>
        </w:p>
        <w:p w14:paraId="01A0ADF6" w14:textId="77777777" w:rsidR="007803E3" w:rsidRPr="0020113A" w:rsidRDefault="007803E3" w:rsidP="007803E3">
          <w:pPr>
            <w:pStyle w:val="paragraph"/>
            <w:spacing w:before="0" w:beforeAutospacing="0" w:after="0" w:afterAutospacing="0"/>
            <w:textAlignment w:val="baseline"/>
            <w:rPr>
              <w:rStyle w:val="normaltextrun"/>
              <w:b/>
              <w:bCs/>
              <w:shd w:val="clear" w:color="auto" w:fill="FFFFFF"/>
            </w:rPr>
          </w:pPr>
          <w:r w:rsidRPr="0020113A">
            <w:rPr>
              <w:rStyle w:val="normaltextrun"/>
              <w:b/>
              <w:bCs/>
              <w:bdr w:val="none" w:sz="0" w:space="0" w:color="auto" w:frame="1"/>
              <w:lang w:val="es-MX"/>
            </w:rPr>
            <w:t xml:space="preserve">Fecha de Inicio: </w:t>
          </w:r>
          <w:r w:rsidRPr="0020113A">
            <w:rPr>
              <w:rStyle w:val="normaltextrun"/>
              <w:bdr w:val="none" w:sz="0" w:space="0" w:color="auto" w:frame="1"/>
              <w:lang w:val="es-MX"/>
            </w:rPr>
            <w:t>11 de noviembre de 2014</w:t>
          </w:r>
        </w:p>
        <w:p w14:paraId="503EA2DA" w14:textId="77777777" w:rsidR="007803E3" w:rsidRPr="0020113A" w:rsidRDefault="007803E3" w:rsidP="007803E3">
          <w:pPr>
            <w:pStyle w:val="paragraph"/>
            <w:spacing w:before="0" w:beforeAutospacing="0" w:after="0" w:afterAutospacing="0"/>
            <w:textAlignment w:val="baseline"/>
            <w:rPr>
              <w:rStyle w:val="normaltextrun"/>
              <w:b/>
              <w:bCs/>
              <w:shd w:val="clear" w:color="auto" w:fill="FFFFFF"/>
            </w:rPr>
          </w:pPr>
          <w:r w:rsidRPr="0020113A">
            <w:rPr>
              <w:rStyle w:val="normaltextrun"/>
              <w:b/>
              <w:bCs/>
              <w:shd w:val="clear" w:color="auto" w:fill="FFFFFF"/>
            </w:rPr>
            <w:t xml:space="preserve">Fecha de Finalización Estimada: </w:t>
          </w:r>
          <w:r w:rsidRPr="0020113A">
            <w:rPr>
              <w:rStyle w:val="normaltextrun"/>
              <w:shd w:val="clear" w:color="auto" w:fill="FFFFFF"/>
            </w:rPr>
            <w:t>11 de noviembre de 2039</w:t>
          </w:r>
        </w:p>
        <w:p w14:paraId="573E1383" w14:textId="77777777" w:rsidR="007803E3" w:rsidRPr="0020113A" w:rsidRDefault="007803E3" w:rsidP="007803E3">
          <w:pPr>
            <w:pStyle w:val="paragraph"/>
            <w:spacing w:before="0" w:beforeAutospacing="0" w:after="0" w:afterAutospacing="0"/>
            <w:textAlignment w:val="baseline"/>
          </w:pPr>
          <w:r w:rsidRPr="0020113A">
            <w:rPr>
              <w:rStyle w:val="normaltextrun"/>
              <w:b/>
              <w:bCs/>
              <w:bdr w:val="none" w:sz="0" w:space="0" w:color="auto" w:frame="1"/>
              <w:lang w:val="es-MX"/>
            </w:rPr>
            <w:t xml:space="preserve">Tipo ID: </w:t>
          </w:r>
          <w:r w:rsidRPr="0020113A">
            <w:rPr>
              <w:rStyle w:val="normaltextrun"/>
              <w:bdr w:val="none" w:sz="0" w:space="0" w:color="auto" w:frame="1"/>
              <w:lang w:val="es-MX"/>
            </w:rPr>
            <w:t>NIT</w:t>
          </w:r>
        </w:p>
        <w:p w14:paraId="48BC29F6" w14:textId="77777777" w:rsidR="007803E3" w:rsidRPr="0020113A" w:rsidRDefault="007803E3" w:rsidP="0610E510">
          <w:pPr>
            <w:pStyle w:val="paragraph"/>
            <w:spacing w:before="0" w:beforeAutospacing="0" w:after="0"/>
            <w:textAlignment w:val="baseline"/>
            <w:rPr>
              <w:rStyle w:val="normaltextrun"/>
              <w:b/>
              <w:bCs/>
              <w:bdr w:val="none" w:sz="0" w:space="0" w:color="auto" w:frame="1"/>
              <w:lang w:val="es-MX"/>
            </w:rPr>
          </w:pPr>
          <w:r w:rsidRPr="0020113A">
            <w:rPr>
              <w:rStyle w:val="normaltextrun"/>
              <w:b/>
              <w:bCs/>
              <w:bdr w:val="none" w:sz="0" w:space="0" w:color="auto" w:frame="1"/>
              <w:lang w:val="es-MX"/>
            </w:rPr>
            <w:t xml:space="preserve">Numero ID: </w:t>
          </w:r>
          <w:r w:rsidRPr="0020113A">
            <w:rPr>
              <w:rStyle w:val="normaltextrun"/>
              <w:bdr w:val="none" w:sz="0" w:space="0" w:color="auto" w:frame="1"/>
              <w:lang w:val="es-MX"/>
            </w:rPr>
            <w:t>900.744.773</w:t>
          </w:r>
        </w:p>
        <w:p w14:paraId="79DC7418" w14:textId="77777777" w:rsidR="007803E3" w:rsidRPr="0020113A" w:rsidRDefault="007803E3" w:rsidP="0610E510">
          <w:pPr>
            <w:spacing w:afterAutospacing="1"/>
            <w:rPr>
              <w:rFonts w:ascii="Times New Roman" w:hAnsi="Times New Roman"/>
              <w:sz w:val="24"/>
              <w:szCs w:val="24"/>
            </w:rPr>
          </w:pPr>
          <w:r w:rsidRPr="0020113A">
            <w:rPr>
              <w:rStyle w:val="normaltextrun"/>
              <w:rFonts w:ascii="Times New Roman" w:hAnsi="Times New Roman"/>
              <w:b/>
              <w:bCs/>
              <w:sz w:val="24"/>
              <w:szCs w:val="24"/>
              <w:bdr w:val="none" w:sz="0" w:space="0" w:color="auto" w:frame="1"/>
              <w:lang w:val="es-MX"/>
            </w:rPr>
            <w:t xml:space="preserve">Razón Social del Concesionario: </w:t>
          </w:r>
          <w:r w:rsidRPr="0020113A">
            <w:rPr>
              <w:rStyle w:val="normaltextrun"/>
              <w:rFonts w:ascii="Times New Roman" w:eastAsia="Times New Roman" w:hAnsi="Times New Roman"/>
              <w:sz w:val="24"/>
              <w:szCs w:val="24"/>
              <w:bdr w:val="none" w:sz="0" w:space="0" w:color="auto" w:frame="1"/>
              <w:lang w:val="es-MX" w:eastAsia="es-CO"/>
            </w:rPr>
            <w:t>Concesionaria Vial del Pacifico S.A.S – COVIPACIFICO S.A.S.</w:t>
          </w:r>
        </w:p>
        <w:p w14:paraId="195EC803" w14:textId="77777777" w:rsidR="007803E3" w:rsidRPr="0020113A" w:rsidRDefault="007803E3" w:rsidP="0610E510">
          <w:pPr>
            <w:spacing w:afterAutospacing="1"/>
            <w:rPr>
              <w:rStyle w:val="normaltextrun"/>
              <w:rFonts w:ascii="Times New Roman" w:hAnsi="Times New Roman"/>
              <w:b/>
              <w:bCs/>
              <w:sz w:val="24"/>
              <w:szCs w:val="24"/>
              <w:shd w:val="clear" w:color="auto" w:fill="FFFFFF"/>
            </w:rPr>
          </w:pPr>
          <w:r w:rsidRPr="0020113A">
            <w:rPr>
              <w:rStyle w:val="normaltextrun"/>
              <w:rFonts w:ascii="Times New Roman" w:hAnsi="Times New Roman"/>
              <w:b/>
              <w:bCs/>
              <w:sz w:val="24"/>
              <w:szCs w:val="24"/>
              <w:shd w:val="clear" w:color="auto" w:fill="FFFFFF"/>
            </w:rPr>
            <w:t xml:space="preserve">Nombre del Proyecto: </w:t>
          </w:r>
          <w:r w:rsidRPr="0020113A">
            <w:rPr>
              <w:rStyle w:val="normaltextrun"/>
              <w:rFonts w:ascii="Times New Roman" w:eastAsia="Times New Roman" w:hAnsi="Times New Roman"/>
              <w:sz w:val="24"/>
              <w:szCs w:val="24"/>
              <w:shd w:val="clear" w:color="auto" w:fill="FFFFFF"/>
              <w:lang w:eastAsia="es-CO"/>
            </w:rPr>
            <w:t>Autopista Conexión Pacifico 1</w:t>
          </w:r>
        </w:p>
        <w:p w14:paraId="1A52C400" w14:textId="136E2919" w:rsidR="0610E510" w:rsidRDefault="0610E510" w:rsidP="0610E510">
          <w:pPr>
            <w:spacing w:afterAutospacing="1"/>
            <w:rPr>
              <w:rStyle w:val="normaltextrun"/>
              <w:rFonts w:ascii="Times New Roman" w:eastAsia="Times New Roman" w:hAnsi="Times New Roman"/>
              <w:sz w:val="24"/>
              <w:szCs w:val="24"/>
              <w:lang w:eastAsia="es-CO"/>
            </w:rPr>
          </w:pPr>
        </w:p>
        <w:p w14:paraId="642BE857" w14:textId="77777777" w:rsidR="007803E3" w:rsidRPr="0020113A" w:rsidRDefault="007803E3" w:rsidP="00E60BAB">
          <w:pPr>
            <w:pStyle w:val="paragraph"/>
            <w:numPr>
              <w:ilvl w:val="0"/>
              <w:numId w:val="89"/>
            </w:numPr>
            <w:spacing w:before="0" w:beforeAutospacing="0" w:after="0" w:afterAutospacing="0"/>
            <w:textAlignment w:val="baseline"/>
            <w:rPr>
              <w:rStyle w:val="normaltextrun"/>
              <w:b/>
              <w:bCs/>
              <w:shd w:val="clear" w:color="auto" w:fill="FFFFFF"/>
              <w:lang w:val="es-MX"/>
            </w:rPr>
          </w:pPr>
          <w:r w:rsidRPr="0020113A">
            <w:rPr>
              <w:rStyle w:val="normaltextrun"/>
              <w:b/>
              <w:bCs/>
              <w:shd w:val="clear" w:color="auto" w:fill="FFFFFF"/>
              <w:lang w:val="es-MX"/>
            </w:rPr>
            <w:t>Términos significativos del acuerdo que puedan afectar su valor, el calendario y la certeza de los flujos </w:t>
          </w:r>
        </w:p>
        <w:p w14:paraId="037D35DD" w14:textId="77777777" w:rsidR="007803E3" w:rsidRPr="0020113A" w:rsidRDefault="007803E3" w:rsidP="007803E3">
          <w:pPr>
            <w:pStyle w:val="paragraph"/>
            <w:spacing w:after="0"/>
            <w:ind w:left="-30" w:right="-30"/>
            <w:jc w:val="both"/>
            <w:textAlignment w:val="baseline"/>
            <w:rPr>
              <w:rStyle w:val="eop"/>
            </w:rPr>
          </w:pPr>
          <w:r w:rsidRPr="0020113A">
            <w:rPr>
              <w:rStyle w:val="normaltextrun"/>
              <w:b/>
              <w:bCs/>
              <w:lang w:val="es-MX"/>
            </w:rPr>
            <w:t>Términos de Valor: </w:t>
          </w:r>
          <w:r w:rsidRPr="0020113A">
            <w:rPr>
              <w:rStyle w:val="eop"/>
            </w:rPr>
            <w:t xml:space="preserve"> Los pesos de referencia del contrato corresponden a diciembre de 2012 Tabla de Referencia en la Parte Especial. El valor del contrato en precios de referencia es de $2.087.106.175.109, de acuerdo con la sección 3.4 de la Parte Especial. En el numeral 3.1 del contrato en su parte General se establece los términos de la retribución por Unidad Funcional, la retribución puede efectuarse por Acta de Terminación, Compensación Especial o retribución parcial. La Sección 4.3 de la Parte Especia establece el cálculo de la retribución. Las Fuentes de retribución son los Aportes ANI, el Recaudo de Peaje e ingresos por Explotación Comercial. El contrato contempla la cesión del recaudo de peajes de dos estaciones: Peaje Amagá y Ancón Sur, como lo establece el contrato en su numeral 3.6. Estación de Peaje de la Parte Especial. Sin embargo, teniendo en cuenta las condiciones sociales del área de influencia del proyecto se estableció mediante otrosí No.4 la no instalación de la estación de Peaje Ancón Sur, y por lo </w:t>
          </w:r>
          <w:r w:rsidRPr="0020113A">
            <w:rPr>
              <w:rStyle w:val="eop"/>
            </w:rPr>
            <w:lastRenderedPageBreak/>
            <w:t xml:space="preserve">cual, trimestralmente la Agencia paga una compensación con el objeto de no afectar el VPIP y Project finance del proyecto. La estructura tarifaria se encuentra determinada en el numeral 4.2. Estructura Tarifaria de la Parte Especial. Cada 16 de enero se realiza el incremento por inflación a las tarifas de las estaciones de peaje, de acuerdo con la sección 4.2 de la Parte Especial. El valor del VPIP equivale a $1.117.896.880.711 pesos del mes de referencia, Tabla de referencia a la Parte Especial.  El cálculo del VPIP se encuentra establecido en la Sección 3.4 de la Parte General del Contrato de Concesión. La obtención del VPIP determina la fecha de terminación del contrato, siendo su tiempo máximo el año 29 del Contrato de Concesión. Los Aportes ANI se encuentran establecidas en la sección 4.5 literal d) Parte Especial, por un valor total de $2.597.747.762.745 en precios de referencia. A corte de 31 de diciembre de 2022 se han desembolsado cinco vigencias futuras, por el valor de $931.293.029.337, en el año 2022 se desembolsó la suma de $ 245.006.861.800.  La actualización del valor, depende del IPC del mes anterior a la fecha de gira respecto al IPC de diciembre de 2012, así como la fracción en dólares solicitada. La sección 3.6 de la Parte General establece los Intereses Remuneratorio y de Mora a los pagos debidos por las partes. La obligación de financiación, fuente equity y deuda, se encuentra a cargo del Concesionario de acuerdo con la Sección 3.7 de la Parte General. Los valores de los saldos iniciales por gastos de Opex y Carga Financiera de la vigencia anterior se recalculan por la reprogramación de los mismos de acuerdo al avance ejecutado del cronograma de obras de la presente vigencia y por la actualización del IPC proyectado en estos gastos. </w:t>
          </w:r>
        </w:p>
        <w:p w14:paraId="4E79ADE8" w14:textId="684338B8" w:rsidR="18BAD2EC" w:rsidRDefault="18BAD2EC" w:rsidP="18BAD2EC">
          <w:pPr>
            <w:pStyle w:val="paragraph"/>
            <w:spacing w:after="0"/>
            <w:jc w:val="both"/>
            <w:rPr>
              <w:rStyle w:val="normaltextrun"/>
              <w:b/>
              <w:bCs/>
              <w:lang w:val="es-MX"/>
            </w:rPr>
          </w:pPr>
        </w:p>
        <w:p w14:paraId="7588141B" w14:textId="77777777" w:rsidR="007803E3" w:rsidRPr="0020113A" w:rsidRDefault="007803E3" w:rsidP="007803E3">
          <w:pPr>
            <w:pStyle w:val="paragraph"/>
            <w:spacing w:after="0"/>
            <w:jc w:val="both"/>
            <w:textAlignment w:val="baseline"/>
            <w:rPr>
              <w:rStyle w:val="normaltextrun"/>
              <w:shd w:val="clear" w:color="auto" w:fill="FFFFFF"/>
            </w:rPr>
          </w:pPr>
          <w:r w:rsidRPr="0020113A">
            <w:rPr>
              <w:rStyle w:val="normaltextrun"/>
              <w:b/>
              <w:bCs/>
              <w:shd w:val="clear" w:color="auto" w:fill="FFFFFF"/>
              <w:lang w:val="es-MX"/>
            </w:rPr>
            <w:t>Términos de Calendario:</w:t>
          </w:r>
          <w:r w:rsidRPr="0020113A">
            <w:rPr>
              <w:rStyle w:val="eop"/>
              <w:shd w:val="clear" w:color="auto" w:fill="FFFFFF"/>
            </w:rPr>
            <w:t>  El plazo del contrato se determinó en 25 años, conforme Contrato de la Parte General. El plazo estimado de la etapa de construcción es de (1800) días, contados desde el acta de inicio de construcción, la cual se firmó el 10 de mayo de 2018. Se suscribió durante la vigencia 2022 el otrosí 10. El objeto de este Otrosí es la incorporación de tres nuevos capítulos a la Parte Especial del Contrato, con el fin de incluir: (i) la regulación particular aplicable a la terminación e inicio de Operación de las Unidades Funcionales 1 y 4 del Proyecto, en atención a los hechos constitutivos de los Eventos Eximentes de Responsabilidad de Sinifaná y Paso Nivel referidos en los considerandos de este documento; (ii) las reglas aplicables al reconocimiento de los sobrecostos de la Solución de Movilidad de Paso Nivel, en consideración de las previsiones contractuales contenidas en la Parte General del Contrato y de la decisión de los Amigables Componedores de fecha 4 de octubre de 2021, adicionada el 14 de octubre de la misma anualidad; y (iii) las reglas y parámetros generales aplicables, entre otros asuntos, a la definición del presupuesto, sobrecostos y fuente de pago de las nuevas Intervenciones para la reconexión de la doble calzada de Sinifaná.</w:t>
          </w:r>
        </w:p>
        <w:p w14:paraId="510026FB" w14:textId="73077BE5" w:rsidR="18BAD2EC" w:rsidRDefault="18BAD2EC" w:rsidP="18BAD2EC">
          <w:pPr>
            <w:pStyle w:val="paragraph"/>
            <w:spacing w:after="0"/>
            <w:jc w:val="both"/>
            <w:rPr>
              <w:rStyle w:val="normaltextrun"/>
              <w:b/>
              <w:bCs/>
              <w:lang w:val="es-MX"/>
            </w:rPr>
          </w:pPr>
        </w:p>
        <w:p w14:paraId="00785230"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
              <w:bCs/>
              <w:bdr w:val="none" w:sz="0" w:space="0" w:color="auto" w:frame="1"/>
              <w:lang w:val="es-MX"/>
            </w:rPr>
            <w:t xml:space="preserve">Términos de Certeza de Flujos de Efectivo Futuros: </w:t>
          </w:r>
          <w:r w:rsidRPr="0020113A">
            <w:rPr>
              <w:rStyle w:val="normaltextrun"/>
              <w:bdr w:val="none" w:sz="0" w:space="0" w:color="auto" w:frame="1"/>
              <w:lang w:val="es-MX"/>
            </w:rPr>
            <w:t>El 31 de mayo de 2021 se suscribió el Acta de Terminación Parcial de la UF1 y el 28 de febrero de 2022 se suscribió el Acta de Terminación Parcial de la UF4, en los términos del Capítulo XIV de la Parte General del Contrato de Concesión. Según lo previsto en la Sección 3.1 Retribución, literal (d) y (e), de la Parte General del Contrato de Concesión, durante 2022 se remitieron 19 actas de compensación especial en la UF 1 y 10 actas de compensación especial en la UF 4, según datos consolidados que se presenta a continuación:</w:t>
          </w:r>
        </w:p>
        <w:p w14:paraId="22F5B103"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lastRenderedPageBreak/>
            <w:t>El valor de las actas de compensación especial pagadas para la UF 1 representan:</w:t>
          </w:r>
        </w:p>
        <w:p w14:paraId="4694950F"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t>$268.442.324.600 de Aportes ANI</w:t>
          </w:r>
        </w:p>
        <w:p w14:paraId="4D27450A"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t>$69.220.907.091 de Recaudo de Peajes y Rendimientos Financieros de estas Subcuentas</w:t>
          </w:r>
        </w:p>
        <w:p w14:paraId="76907808"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t>USD 117.711 de Aportes ANI en dólares</w:t>
          </w:r>
        </w:p>
        <w:p w14:paraId="1F59BE39"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t>El valor de las actas de compensación especial pagadas para la UF 4 representan:</w:t>
          </w:r>
        </w:p>
        <w:p w14:paraId="50E35929"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t>$50.547.622.346 de Aportes ANI</w:t>
          </w:r>
        </w:p>
        <w:p w14:paraId="3CE06C89"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t>$20.187.222.142 de Recaudo de Peajes y Rendimientos Financieros de estas Subcuentas</w:t>
          </w:r>
        </w:p>
        <w:p w14:paraId="08B09A2A"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t>USD 49.940 de Aportes ANI en dólares</w:t>
          </w:r>
        </w:p>
        <w:p w14:paraId="7A17014A"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t>Actas de Cálculo de Retribución UF3</w:t>
          </w:r>
        </w:p>
        <w:p w14:paraId="5F997163"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t>El 31 de agosto de 2022 se suscribió el Acta de Terminación de la Unidad Funcional 3, con lo cual se activó el derecho para el Concesionario de percibir la retribución conforme a lo estipulado en la Sección 3.1 de la Parte General del Contrato de Concesión; Otrosí No. 7 del 09 de marzo de 2022. Al corte del 31 de diciembre de 2022, se ha remitido 4 actas de retribución en la UF 3, cuyos acumulados teniendo en cuenta fuente de pago, se presentan a continuación:</w:t>
          </w:r>
        </w:p>
        <w:p w14:paraId="1C9FC666"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t>El valor de las actas de retribución pagadas para la UF 3 representan:</w:t>
          </w:r>
        </w:p>
        <w:p w14:paraId="388AEBF4"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t>$69.535.776.449 de Aportes ANI</w:t>
          </w:r>
        </w:p>
        <w:p w14:paraId="448AD29F"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t>$35.411.428.888 de Recaudo de Peajes y Rendimientos Financieros de estas Subcuentas</w:t>
          </w:r>
        </w:p>
        <w:p w14:paraId="1CBEF595"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t>USD 1.990.314 de Aportes ANI en dólares</w:t>
          </w:r>
        </w:p>
        <w:p w14:paraId="64E0041B"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t>Por otra parte, a 31 de diciembre de 2022 este es el avance de obra por Unidad Funcional:</w:t>
          </w:r>
        </w:p>
        <w:p w14:paraId="010A7BBF"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t>UF1=90,49%</w:t>
          </w:r>
        </w:p>
        <w:p w14:paraId="0A39EC23"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t>UF2=96,69%</w:t>
          </w:r>
        </w:p>
        <w:p w14:paraId="6B24B276"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t>UF3=100,00%</w:t>
          </w:r>
        </w:p>
        <w:p w14:paraId="79DF4399"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t>UF4=91,32%</w:t>
          </w:r>
        </w:p>
        <w:p w14:paraId="05314E61"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t>Variables que pueden afectar los flujos de efectivo:</w:t>
          </w:r>
        </w:p>
        <w:p w14:paraId="4F989436"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lastRenderedPageBreak/>
            <w:t>Las variables que pueden afectar los flujos de efectivo son principalmente el riesgo por sobrecostos y el riesgo por menor recaudo. Ver Capítulo XIII Ecuación Contractual y Asignación de Riesgos del Contrato de Concesión.</w:t>
          </w:r>
        </w:p>
        <w:p w14:paraId="598293F5" w14:textId="2FCB3BF9" w:rsidR="18BAD2EC" w:rsidRDefault="18BAD2EC" w:rsidP="18BAD2EC">
          <w:pPr>
            <w:pStyle w:val="paragraph"/>
            <w:spacing w:after="0"/>
            <w:jc w:val="both"/>
            <w:rPr>
              <w:rStyle w:val="normaltextrun"/>
              <w:b/>
              <w:bCs/>
              <w:lang w:val="es-MX"/>
            </w:rPr>
          </w:pPr>
        </w:p>
        <w:p w14:paraId="2B7AC591"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
              <w:bCs/>
              <w:bdr w:val="none" w:sz="0" w:space="0" w:color="auto" w:frame="1"/>
              <w:lang w:val="es-MX"/>
            </w:rPr>
            <w:t xml:space="preserve">Términos de calendario: </w:t>
          </w:r>
          <w:r w:rsidRPr="0020113A">
            <w:rPr>
              <w:rStyle w:val="normaltextrun"/>
              <w:bdr w:val="none" w:sz="0" w:space="0" w:color="auto" w:frame="1"/>
              <w:lang w:val="es-MX"/>
            </w:rPr>
            <w:t>Las fechas estimadas de terminación de la etapa de construcción, por Unidad Funcional son las siguientes:</w:t>
          </w:r>
        </w:p>
        <w:p w14:paraId="1FFA1F5F" w14:textId="77777777" w:rsidR="007803E3" w:rsidRPr="0020113A" w:rsidRDefault="007803E3" w:rsidP="00A317E1">
          <w:pPr>
            <w:pStyle w:val="paragraph"/>
            <w:spacing w:before="0" w:beforeAutospacing="0" w:after="0"/>
            <w:jc w:val="both"/>
            <w:textAlignment w:val="baseline"/>
            <w:rPr>
              <w:rStyle w:val="normaltextrun"/>
              <w:bdr w:val="none" w:sz="0" w:space="0" w:color="auto" w:frame="1"/>
              <w:lang w:val="es-MX"/>
            </w:rPr>
          </w:pPr>
          <w:r w:rsidRPr="0020113A">
            <w:rPr>
              <w:rStyle w:val="normaltextrun"/>
              <w:bdr w:val="none" w:sz="0" w:space="0" w:color="auto" w:frame="1"/>
              <w:lang w:val="es-MX"/>
            </w:rPr>
            <w:t>UF1=02/02/2024</w:t>
          </w:r>
        </w:p>
        <w:p w14:paraId="5992553A" w14:textId="77777777" w:rsidR="007803E3" w:rsidRPr="0020113A" w:rsidRDefault="007803E3" w:rsidP="00A317E1">
          <w:pPr>
            <w:pStyle w:val="paragraph"/>
            <w:spacing w:before="0" w:beforeAutospacing="0" w:after="0"/>
            <w:jc w:val="both"/>
            <w:textAlignment w:val="baseline"/>
            <w:rPr>
              <w:rStyle w:val="normaltextrun"/>
              <w:bdr w:val="none" w:sz="0" w:space="0" w:color="auto" w:frame="1"/>
              <w:lang w:val="es-MX"/>
            </w:rPr>
          </w:pPr>
          <w:r w:rsidRPr="0020113A">
            <w:rPr>
              <w:rStyle w:val="normaltextrun"/>
              <w:bdr w:val="none" w:sz="0" w:space="0" w:color="auto" w:frame="1"/>
              <w:lang w:val="es-MX"/>
            </w:rPr>
            <w:t>UF2=19/07/2023</w:t>
          </w:r>
        </w:p>
        <w:p w14:paraId="5DDC8A7B" w14:textId="77777777" w:rsidR="007803E3" w:rsidRPr="0020113A" w:rsidRDefault="007803E3" w:rsidP="00A317E1">
          <w:pPr>
            <w:pStyle w:val="paragraph"/>
            <w:spacing w:before="0" w:beforeAutospacing="0" w:after="0"/>
            <w:jc w:val="both"/>
            <w:textAlignment w:val="baseline"/>
            <w:rPr>
              <w:rStyle w:val="normaltextrun"/>
              <w:bdr w:val="none" w:sz="0" w:space="0" w:color="auto" w:frame="1"/>
              <w:lang w:val="es-MX"/>
            </w:rPr>
          </w:pPr>
          <w:r w:rsidRPr="0020113A">
            <w:rPr>
              <w:rStyle w:val="normaltextrun"/>
              <w:bdr w:val="none" w:sz="0" w:space="0" w:color="auto" w:frame="1"/>
              <w:lang w:val="es-MX"/>
            </w:rPr>
            <w:t>UF3=31/08/2022</w:t>
          </w:r>
        </w:p>
        <w:p w14:paraId="70B9668C" w14:textId="77777777" w:rsidR="007803E3" w:rsidRPr="0020113A" w:rsidRDefault="007803E3" w:rsidP="00A317E1">
          <w:pPr>
            <w:pStyle w:val="paragraph"/>
            <w:spacing w:before="0" w:beforeAutospacing="0" w:after="0"/>
            <w:jc w:val="both"/>
            <w:textAlignment w:val="baseline"/>
            <w:rPr>
              <w:rStyle w:val="normaltextrun"/>
              <w:bdr w:val="none" w:sz="0" w:space="0" w:color="auto" w:frame="1"/>
              <w:lang w:val="es-MX"/>
            </w:rPr>
          </w:pPr>
          <w:r w:rsidRPr="0020113A">
            <w:rPr>
              <w:rStyle w:val="normaltextrun"/>
              <w:bdr w:val="none" w:sz="0" w:space="0" w:color="auto" w:frame="1"/>
              <w:lang w:val="es-MX"/>
            </w:rPr>
            <w:t>UF4=31/03/2025</w:t>
          </w:r>
        </w:p>
        <w:p w14:paraId="13A00F35"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t>*Para la UF1 y UF4 la fecha de finalización de las obras ejecutables son 11 de abril de 2023 y 7 de febrero de 2023 respectivamente.</w:t>
          </w:r>
        </w:p>
        <w:p w14:paraId="7E7431F3"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t xml:space="preserve">Es importante indicar que de acuerdo al Otrosí No. 10, los porcentajes máximos de retribución para la UF1  sin incluir el segmento de UF1 Sinifaná es el 87.98% y  para la UF4  sin incluir el segmento de UF4 Paso Nivel es del  92.83%. </w:t>
          </w:r>
        </w:p>
        <w:p w14:paraId="4AAD4557"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t xml:space="preserve">La UF1 Sinifaná, corresponde a los segmentos comprendidos entre el k8+088 y el k10+756 por la calzada izquierda y el k8+091y el k10+151 por la calzada derecha. Por su parte la UF4 Paso Nivel se refiere a tramo comprendido entre el k27+750 - K28+150 y del k29+380 - k30+468 por la calzada izquierda y entre el k27+750 - k28+200 y del k29+430 - k30+508 por la calzada izquierda. </w:t>
          </w:r>
        </w:p>
        <w:p w14:paraId="744A036D"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t>A continuación, se presenta el avance planeado y ejecutado para cada unidad funcional con fecha de corte al 30 de noviembre de 2023, según el plan de obras vigente</w:t>
          </w:r>
        </w:p>
        <w:p w14:paraId="2C391063" w14:textId="4B383F89" w:rsidR="0610E510" w:rsidRDefault="0610E510" w:rsidP="0610E510">
          <w:pPr>
            <w:pStyle w:val="paragraph"/>
            <w:spacing w:after="0"/>
            <w:jc w:val="both"/>
            <w:rPr>
              <w:rStyle w:val="normaltextrun"/>
              <w:lang w:val="es-MX"/>
            </w:rPr>
          </w:pPr>
        </w:p>
        <w:p w14:paraId="56727138" w14:textId="77777777" w:rsidR="007803E3" w:rsidRPr="0020113A" w:rsidRDefault="007803E3" w:rsidP="00E60BAB">
          <w:pPr>
            <w:pStyle w:val="paragraph"/>
            <w:numPr>
              <w:ilvl w:val="0"/>
              <w:numId w:val="89"/>
            </w:numPr>
            <w:spacing w:before="0" w:beforeAutospacing="0" w:after="0" w:afterAutospacing="0"/>
            <w:textAlignment w:val="baseline"/>
            <w:rPr>
              <w:rStyle w:val="normaltextrun"/>
              <w:b/>
              <w:bCs/>
              <w:shd w:val="clear" w:color="auto" w:fill="FFFFFF"/>
              <w:lang w:val="es-MX"/>
            </w:rPr>
          </w:pPr>
          <w:r w:rsidRPr="0020113A">
            <w:rPr>
              <w:rStyle w:val="normaltextrun"/>
              <w:b/>
              <w:bCs/>
              <w:shd w:val="clear" w:color="auto" w:fill="FFFFFF"/>
              <w:lang w:val="es-MX"/>
            </w:rPr>
            <w:t>Naturaleza y alcance del derecho a utilizar activos especificados, de los aspectos pactados en torno a lo que se espera que el concesionario proporcione en relación con el acuerdo de concesión</w:t>
          </w:r>
          <w:r w:rsidRPr="0020113A">
            <w:rPr>
              <w:rStyle w:val="normaltextrun"/>
              <w:b/>
              <w:bCs/>
              <w:lang w:val="es-MX"/>
            </w:rPr>
            <w:t> </w:t>
          </w:r>
        </w:p>
        <w:p w14:paraId="7F6E5EA9" w14:textId="77777777" w:rsidR="007803E3" w:rsidRPr="0020113A" w:rsidRDefault="007803E3" w:rsidP="007803E3">
          <w:pPr>
            <w:pStyle w:val="paragraph"/>
            <w:spacing w:before="0" w:beforeAutospacing="0" w:after="0" w:afterAutospacing="0"/>
            <w:textAlignment w:val="baseline"/>
          </w:pPr>
        </w:p>
        <w:p w14:paraId="48327A1F" w14:textId="77777777" w:rsidR="007803E3" w:rsidRPr="0020113A" w:rsidRDefault="007803E3" w:rsidP="007803E3">
          <w:pPr>
            <w:pStyle w:val="paragraph"/>
            <w:spacing w:before="0" w:beforeAutospacing="0" w:after="0" w:afterAutospacing="0"/>
            <w:jc w:val="center"/>
            <w:textAlignment w:val="baseline"/>
            <w:rPr>
              <w:rStyle w:val="eop"/>
              <w:shd w:val="clear" w:color="auto" w:fill="FFFFFF"/>
            </w:rPr>
          </w:pPr>
          <w:r w:rsidRPr="0020113A">
            <w:rPr>
              <w:rStyle w:val="normaltextrun"/>
              <w:b/>
              <w:bCs/>
              <w:shd w:val="clear" w:color="auto" w:fill="FFFFFF"/>
              <w:lang w:val="es-MX"/>
            </w:rPr>
            <w:t>Naturaleza y alcance del derecho de uso de los activos</w:t>
          </w:r>
        </w:p>
        <w:p w14:paraId="68786598" w14:textId="0EA3882C" w:rsidR="18BAD2EC" w:rsidRDefault="18BAD2EC" w:rsidP="18BAD2EC">
          <w:pPr>
            <w:pStyle w:val="paragraph"/>
            <w:spacing w:after="0"/>
            <w:rPr>
              <w:rStyle w:val="normaltextrun"/>
              <w:b/>
              <w:bCs/>
              <w:lang w:val="es-MX"/>
            </w:rPr>
          </w:pPr>
        </w:p>
        <w:p w14:paraId="5383D37F" w14:textId="77777777" w:rsidR="007803E3" w:rsidRPr="0020113A" w:rsidRDefault="007803E3" w:rsidP="007803E3">
          <w:pPr>
            <w:pStyle w:val="paragraph"/>
            <w:spacing w:after="0"/>
            <w:textAlignment w:val="baseline"/>
            <w:rPr>
              <w:rStyle w:val="normaltextrun"/>
              <w:bdr w:val="none" w:sz="0" w:space="0" w:color="auto" w:frame="1"/>
              <w:lang w:val="es-MX"/>
            </w:rPr>
          </w:pPr>
          <w:r w:rsidRPr="0020113A">
            <w:rPr>
              <w:rStyle w:val="normaltextrun"/>
              <w:b/>
              <w:bCs/>
              <w:bdr w:val="none" w:sz="0" w:space="0" w:color="auto" w:frame="1"/>
              <w:lang w:val="es-MX"/>
            </w:rPr>
            <w:t xml:space="preserve">Descripción: </w:t>
          </w:r>
          <w:r w:rsidRPr="0020113A">
            <w:rPr>
              <w:rStyle w:val="normaltextrun"/>
              <w:bdr w:val="none" w:sz="0" w:space="0" w:color="auto" w:frame="1"/>
              <w:lang w:val="es-MX"/>
            </w:rPr>
            <w:t>Activos reconocidos</w:t>
          </w:r>
        </w:p>
        <w:p w14:paraId="03559FFC"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t>Alcance del derecho de uso de los activos:</w:t>
          </w:r>
        </w:p>
        <w:p w14:paraId="06E728CB"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lastRenderedPageBreak/>
            <w:t xml:space="preserve">i.  Los derechos que cedió al concesionario para explotar los activos en concesión. </w:t>
          </w:r>
        </w:p>
        <w:p w14:paraId="6D14A798"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t>a) Obtención del Valor Presente al Mes de Referencia del Recaudo de Peaje (VPIP), el cual equivale a un billón ciento diecisiete mil ochocientos noventa y seis millones ochocientos ochenta mil setecientos once Pesos ($1.117.896.880.711,) del Mes de Referencia).</w:t>
          </w:r>
        </w:p>
        <w:p w14:paraId="4C6E66BB"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t>b) Aportes ANI</w:t>
          </w:r>
        </w:p>
        <w:p w14:paraId="4267FF28"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t xml:space="preserve">ii. Activos para el desarrollo del acuerdo de concesión: </w:t>
          </w:r>
        </w:p>
        <w:p w14:paraId="2AB47899"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t>Infraestructura Entregada al Concesionario</w:t>
          </w:r>
        </w:p>
        <w:p w14:paraId="688361F7"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t>Del PR48+000 al PR88+100 de la Ruta Nacional 6003 (Bolombolo – Cuatro Palos). Calzada sencilla.</w:t>
          </w:r>
        </w:p>
        <w:p w14:paraId="13523F83"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t>Del PR90+000 al PR93+700 de la Ruta Nacional 6003 (Rancherito Amagá – Rancherito Caldas). Doble calzada.</w:t>
          </w:r>
        </w:p>
        <w:p w14:paraId="555B44F4"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t>Del PR54+000 al PR64+000 de la Ruta Nacional 2509 (Primavera – Ancón Sur). Doble calzada.</w:t>
          </w:r>
        </w:p>
        <w:p w14:paraId="29711F9B"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t>iii. Obligaciones de desempeño:</w:t>
          </w:r>
        </w:p>
        <w:p w14:paraId="73D6446A"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t xml:space="preserve">El alcance del proyecto esta definido en el apéndice técnico 1 numeral 2.4 literal a), </w:t>
          </w:r>
        </w:p>
        <w:p w14:paraId="7E0B7ECE"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t>En el Apéndice Técnico 4 están los Indicadores que debe cumplir el Concesionario, entre otros con:  Indicadores exclusivos para Pavimento Flexible: entre los cuales tenemos, Ahuellamiento, Fisuras, Baches, Hundimientos y Capacidad Estructural. Indicadores exclusivos para Pavimento Rígido: Escalonamiento, Grietas, Desportillamiento o de juntas, Juntas y Eficiencia en la transferencia de carga. Puentes y Estructuras, Disponibilidad de la Vía, Ocupación de Carriles, Cola de peaje, Tiempo de atención de incidentes, Tiempo de atención de accidentes y emergencias, Disponibilidad del SICC. Indicadores exclusivos para Túneles: Estado de elementos estructurales, Sistema de iluminación, Sistema de ventilación, Sistema de túneles, Tiempo de atención de incidentes en túneles, Tiempo de atención de accidentes y emergencias en túneles.</w:t>
          </w:r>
        </w:p>
        <w:p w14:paraId="1A0C9F0C"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t>Finalmente, se resalta que en el 2023 se activó el Diferencial de Recaudo 8, el cual se entiende como la diferencia entre el valor presente del Recaudo de Peaje acumulado hasta el año ocho (8) y el VPIP8, de conformidad con lo previsto en la Sección 3.4(b) de esta Parte General.</w:t>
          </w:r>
        </w:p>
        <w:p w14:paraId="713E4CB9"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t>Conforme la metodología acordada en el Acta Aclaratoria con Efectos Transaccionales por concepto del Diferencial de Recaudo del año 8 (DR8), con la comunicación CO-COSE-0436-2023-VT (2023-409-0431932, - 05-01-20230420023488), se remitió por parte de la Interventoría el cálculo del DR8 Así:</w:t>
          </w:r>
        </w:p>
        <w:p w14:paraId="7E124C57" w14:textId="77777777" w:rsidR="007803E3" w:rsidRPr="0020113A" w:rsidRDefault="007803E3" w:rsidP="00A317E1">
          <w:pPr>
            <w:pStyle w:val="paragraph"/>
            <w:spacing w:before="0" w:beforeAutospacing="0" w:after="0"/>
            <w:jc w:val="both"/>
            <w:textAlignment w:val="baseline"/>
            <w:rPr>
              <w:rStyle w:val="normaltextrun"/>
              <w:bdr w:val="none" w:sz="0" w:space="0" w:color="auto" w:frame="1"/>
              <w:lang w:val="fr-FR"/>
            </w:rPr>
          </w:pPr>
          <w:r w:rsidRPr="0020113A">
            <w:rPr>
              <w:rStyle w:val="normaltextrun"/>
              <w:bdr w:val="none" w:sz="0" w:space="0" w:color="auto" w:frame="1"/>
              <w:lang w:val="fr-FR"/>
            </w:rPr>
            <w:t>UF 1 = $132.459.166.361</w:t>
          </w:r>
        </w:p>
        <w:p w14:paraId="1F079E9E" w14:textId="77777777" w:rsidR="007803E3" w:rsidRPr="0020113A" w:rsidRDefault="007803E3" w:rsidP="00A317E1">
          <w:pPr>
            <w:pStyle w:val="paragraph"/>
            <w:spacing w:before="0" w:beforeAutospacing="0" w:after="0"/>
            <w:jc w:val="both"/>
            <w:textAlignment w:val="baseline"/>
            <w:rPr>
              <w:rStyle w:val="normaltextrun"/>
              <w:bdr w:val="none" w:sz="0" w:space="0" w:color="auto" w:frame="1"/>
              <w:lang w:val="fr-FR"/>
            </w:rPr>
          </w:pPr>
          <w:r w:rsidRPr="0020113A">
            <w:rPr>
              <w:rStyle w:val="normaltextrun"/>
              <w:bdr w:val="none" w:sz="0" w:space="0" w:color="auto" w:frame="1"/>
              <w:lang w:val="fr-FR"/>
            </w:rPr>
            <w:lastRenderedPageBreak/>
            <w:t>UF 2= $142.977.015.799</w:t>
          </w:r>
        </w:p>
        <w:p w14:paraId="025CD45E" w14:textId="77777777" w:rsidR="007803E3" w:rsidRPr="0020113A" w:rsidRDefault="007803E3" w:rsidP="00A317E1">
          <w:pPr>
            <w:pStyle w:val="paragraph"/>
            <w:spacing w:before="0" w:beforeAutospacing="0" w:after="0"/>
            <w:jc w:val="both"/>
            <w:textAlignment w:val="baseline"/>
            <w:rPr>
              <w:rStyle w:val="normaltextrun"/>
              <w:bdr w:val="none" w:sz="0" w:space="0" w:color="auto" w:frame="1"/>
              <w:lang w:val="fr-FR"/>
            </w:rPr>
          </w:pPr>
          <w:r w:rsidRPr="0020113A">
            <w:rPr>
              <w:rStyle w:val="normaltextrun"/>
              <w:bdr w:val="none" w:sz="0" w:space="0" w:color="auto" w:frame="1"/>
              <w:lang w:val="fr-FR"/>
            </w:rPr>
            <w:t>UF 3 = $52.698.808.122</w:t>
          </w:r>
        </w:p>
        <w:p w14:paraId="3E4BB9C5" w14:textId="77777777" w:rsidR="007803E3" w:rsidRPr="0020113A" w:rsidRDefault="007803E3" w:rsidP="00A317E1">
          <w:pPr>
            <w:pStyle w:val="paragraph"/>
            <w:spacing w:before="0" w:beforeAutospacing="0" w:after="0"/>
            <w:jc w:val="both"/>
            <w:textAlignment w:val="baseline"/>
            <w:rPr>
              <w:rStyle w:val="normaltextrun"/>
              <w:bdr w:val="none" w:sz="0" w:space="0" w:color="auto" w:frame="1"/>
              <w:lang w:val="fr-FR"/>
            </w:rPr>
          </w:pPr>
          <w:r w:rsidRPr="0020113A">
            <w:rPr>
              <w:rStyle w:val="normaltextrun"/>
              <w:bdr w:val="none" w:sz="0" w:space="0" w:color="auto" w:frame="1"/>
              <w:lang w:val="fr-FR"/>
            </w:rPr>
            <w:t>UF 4 = $37.068.115.207</w:t>
          </w:r>
        </w:p>
        <w:p w14:paraId="7A228711" w14:textId="77777777" w:rsidR="007803E3" w:rsidRPr="0020113A" w:rsidRDefault="007803E3" w:rsidP="00A317E1">
          <w:pPr>
            <w:pStyle w:val="paragraph"/>
            <w:spacing w:before="0" w:beforeAutospacing="0" w:after="0"/>
            <w:jc w:val="both"/>
            <w:textAlignment w:val="baseline"/>
            <w:rPr>
              <w:rStyle w:val="normaltextrun"/>
              <w:bdr w:val="none" w:sz="0" w:space="0" w:color="auto" w:frame="1"/>
              <w:lang w:val="fr-FR"/>
            </w:rPr>
          </w:pPr>
          <w:r w:rsidRPr="0020113A">
            <w:rPr>
              <w:rStyle w:val="normaltextrun"/>
              <w:bdr w:val="none" w:sz="0" w:space="0" w:color="auto" w:frame="1"/>
              <w:lang w:val="fr-FR"/>
            </w:rPr>
            <w:t>TOTAL = $365.203.105.489</w:t>
          </w:r>
        </w:p>
        <w:p w14:paraId="19A4997B" w14:textId="77777777" w:rsidR="007803E3" w:rsidRPr="0020113A" w:rsidRDefault="007803E3" w:rsidP="007803E3">
          <w:pPr>
            <w:pStyle w:val="paragraph"/>
            <w:spacing w:before="0" w:beforeAutospacing="0" w:after="0" w:afterAutospacing="0"/>
            <w:textAlignment w:val="baseline"/>
            <w:rPr>
              <w:rStyle w:val="eop"/>
              <w:shd w:val="clear" w:color="auto" w:fill="FFFFFF"/>
            </w:rPr>
          </w:pPr>
          <w:r w:rsidRPr="0020113A">
            <w:rPr>
              <w:rStyle w:val="normaltextrun"/>
              <w:b/>
              <w:bCs/>
              <w:shd w:val="clear" w:color="auto" w:fill="FFFFFF"/>
              <w:lang w:val="es-MX"/>
            </w:rPr>
            <w:t>Observaciones:</w:t>
          </w:r>
          <w:r w:rsidRPr="0020113A">
            <w:rPr>
              <w:rStyle w:val="eop"/>
              <w:shd w:val="clear" w:color="auto" w:fill="FFFFFF"/>
            </w:rPr>
            <w:t> N/A</w:t>
          </w:r>
        </w:p>
        <w:p w14:paraId="5AA0B25D" w14:textId="77777777" w:rsidR="007803E3" w:rsidRPr="0020113A" w:rsidRDefault="007803E3" w:rsidP="007803E3">
          <w:pPr>
            <w:pStyle w:val="paragraph"/>
            <w:spacing w:before="0" w:beforeAutospacing="0" w:after="0" w:afterAutospacing="0"/>
            <w:textAlignment w:val="baseline"/>
            <w:rPr>
              <w:rStyle w:val="eop"/>
              <w:shd w:val="clear" w:color="auto" w:fill="FFFFFF"/>
            </w:rPr>
          </w:pPr>
        </w:p>
        <w:p w14:paraId="61E779D7" w14:textId="77777777" w:rsidR="007803E3" w:rsidRPr="0020113A" w:rsidRDefault="007803E3" w:rsidP="007803E3">
          <w:pPr>
            <w:pStyle w:val="paragraph"/>
            <w:spacing w:before="0" w:beforeAutospacing="0" w:after="0" w:afterAutospacing="0"/>
            <w:jc w:val="center"/>
            <w:textAlignment w:val="baseline"/>
            <w:rPr>
              <w:rStyle w:val="normaltextrun"/>
              <w:shd w:val="clear" w:color="auto" w:fill="FFFFFF"/>
            </w:rPr>
          </w:pPr>
          <w:r w:rsidRPr="0020113A">
            <w:rPr>
              <w:rStyle w:val="normaltextrun"/>
              <w:b/>
              <w:bCs/>
              <w:shd w:val="clear" w:color="auto" w:fill="FFFFFF"/>
              <w:lang w:val="es-MX"/>
            </w:rPr>
            <w:t>Retribución al Concesionario</w:t>
          </w:r>
        </w:p>
        <w:p w14:paraId="083A2811" w14:textId="77777777" w:rsidR="007803E3" w:rsidRPr="0020113A" w:rsidRDefault="007803E3" w:rsidP="007803E3">
          <w:pPr>
            <w:pStyle w:val="paragraph"/>
            <w:spacing w:after="0"/>
            <w:jc w:val="both"/>
            <w:textAlignment w:val="baseline"/>
            <w:rPr>
              <w:rStyle w:val="normaltextrun"/>
              <w:b/>
              <w:bCs/>
              <w:bdr w:val="none" w:sz="0" w:space="0" w:color="auto" w:frame="1"/>
              <w:lang w:val="es-MX"/>
            </w:rPr>
          </w:pPr>
          <w:r w:rsidRPr="0020113A">
            <w:rPr>
              <w:rStyle w:val="normaltextrun"/>
              <w:b/>
              <w:bCs/>
              <w:bdr w:val="none" w:sz="0" w:space="0" w:color="auto" w:frame="1"/>
              <w:lang w:val="es-MX"/>
            </w:rPr>
            <w:t xml:space="preserve">Descripción: </w:t>
          </w:r>
          <w:r w:rsidRPr="0020113A">
            <w:rPr>
              <w:rStyle w:val="normaltextrun"/>
              <w:bdr w:val="none" w:sz="0" w:space="0" w:color="auto" w:frame="1"/>
              <w:lang w:val="es-MX"/>
            </w:rPr>
            <w:t>La Sección 3.1 de la Parte General del Contrato de Concesión y la Cláusula Décima, establecen los términos de retribución al Concesionario.  Así mismo, la Sección 4.3 literal (a) y (b) de la Parte Especial establece el cálculo de la retribución.</w:t>
          </w:r>
          <w:r w:rsidRPr="0020113A">
            <w:rPr>
              <w:rStyle w:val="normaltextrun"/>
              <w:b/>
              <w:bCs/>
              <w:bdr w:val="none" w:sz="0" w:space="0" w:color="auto" w:frame="1"/>
              <w:lang w:val="es-MX"/>
            </w:rPr>
            <w:t xml:space="preserve"> </w:t>
          </w:r>
        </w:p>
        <w:p w14:paraId="3A1FCA6D"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
              <w:bCs/>
              <w:bdr w:val="none" w:sz="0" w:space="0" w:color="auto" w:frame="1"/>
              <w:lang w:val="es-MX"/>
            </w:rPr>
            <w:t xml:space="preserve">Tasa de Retribución: </w:t>
          </w:r>
          <w:r w:rsidRPr="0020113A">
            <w:rPr>
              <w:rStyle w:val="normaltextrun"/>
              <w:bdr w:val="none" w:sz="0" w:space="0" w:color="auto" w:frame="1"/>
              <w:lang w:val="es-MX"/>
            </w:rPr>
            <w:t>La metodología para el cálculo de la carga financiera se establece conforme a lo plantado en el modelo financiero contratado, en esta la carga financiera se obtiene a través del cálculo de una tasa resultante para mantener el equilibrio entre los recursos disponibles del proyecto y las obligaciones a pagar, la tasa que asegure se equilibrio es la tasa de cierre del modelo. La tasa de descuento real (TDI) expresada en términos efectivos mensuales, para efectos de este Proyecto, será del cero punto cincuenta y seis sesenta y cinco por ciento (0.5665%). A continuación, se relaciona el consolidado de las actas de retribución reconocidas por UF al corte del 31 de diciembre de 2023:</w:t>
          </w:r>
        </w:p>
        <w:p w14:paraId="70A57E8D"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t>UF 1 = $462.281.227.668</w:t>
          </w:r>
        </w:p>
        <w:p w14:paraId="17F4E7F4"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t>UF 3 = $211.120.338.318</w:t>
          </w:r>
        </w:p>
        <w:p w14:paraId="29733184"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t>UF 4 = $123.714.635.617</w:t>
          </w:r>
        </w:p>
        <w:p w14:paraId="433F5F6F"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t>TOTAL = $797.116.201.602</w:t>
          </w:r>
        </w:p>
        <w:p w14:paraId="713CEDED" w14:textId="77777777" w:rsidR="007803E3" w:rsidRPr="0020113A" w:rsidRDefault="007803E3" w:rsidP="007803E3">
          <w:pPr>
            <w:pStyle w:val="paragraph"/>
            <w:spacing w:after="0"/>
            <w:jc w:val="both"/>
            <w:rPr>
              <w:rStyle w:val="normaltextrun"/>
              <w:lang w:val="es-MX"/>
            </w:rPr>
          </w:pPr>
        </w:p>
        <w:p w14:paraId="49809DAD" w14:textId="77777777" w:rsidR="007803E3" w:rsidRPr="0020113A" w:rsidRDefault="007803E3" w:rsidP="00E60BAB">
          <w:pPr>
            <w:pStyle w:val="paragraph"/>
            <w:numPr>
              <w:ilvl w:val="0"/>
              <w:numId w:val="89"/>
            </w:numPr>
            <w:spacing w:before="0" w:beforeAutospacing="0" w:after="0" w:afterAutospacing="0"/>
            <w:textAlignment w:val="baseline"/>
            <w:rPr>
              <w:rStyle w:val="normaltextrun"/>
              <w:b/>
              <w:bCs/>
              <w:shd w:val="clear" w:color="auto" w:fill="FFFFFF"/>
              <w:lang w:val="es-MX"/>
            </w:rPr>
          </w:pPr>
          <w:r w:rsidRPr="0020113A">
            <w:rPr>
              <w:rStyle w:val="normaltextrun"/>
              <w:b/>
              <w:bCs/>
              <w:shd w:val="clear" w:color="auto" w:fill="FFFFFF"/>
              <w:lang w:val="es-MX"/>
            </w:rPr>
            <w:t>Derechos a recibir activos especificados al final del acuerdo de concesión</w:t>
          </w:r>
          <w:r w:rsidRPr="0020113A">
            <w:rPr>
              <w:rStyle w:val="normaltextrun"/>
              <w:b/>
              <w:bCs/>
              <w:lang w:val="es-MX"/>
            </w:rPr>
            <w:t> </w:t>
          </w:r>
        </w:p>
        <w:p w14:paraId="662DC3FF" w14:textId="77777777" w:rsidR="007803E3" w:rsidRPr="0020113A" w:rsidRDefault="007803E3" w:rsidP="007803E3">
          <w:pPr>
            <w:pStyle w:val="paragraph"/>
            <w:spacing w:before="0" w:beforeAutospacing="0" w:after="0" w:afterAutospacing="0"/>
            <w:rPr>
              <w:rStyle w:val="normaltextrun"/>
              <w:b/>
              <w:bCs/>
              <w:lang w:val="es-MX"/>
            </w:rPr>
          </w:pPr>
        </w:p>
        <w:p w14:paraId="04C4F8CA"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
              <w:bCs/>
              <w:bdr w:val="none" w:sz="0" w:space="0" w:color="auto" w:frame="1"/>
              <w:lang w:val="es-MX"/>
            </w:rPr>
            <w:t xml:space="preserve">Descripción: </w:t>
          </w:r>
          <w:r w:rsidRPr="0020113A">
            <w:rPr>
              <w:rStyle w:val="normaltextrun"/>
              <w:bdr w:val="none" w:sz="0" w:space="0" w:color="auto" w:frame="1"/>
              <w:lang w:val="es-MX"/>
            </w:rPr>
            <w:t>De acuerdo con lo establecido en Apéndice Técnico 2, numeral 5 Reversión:</w:t>
          </w:r>
        </w:p>
        <w:p w14:paraId="1389071F"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t xml:space="preserve">De acuerdo con la sección 9.7 de Parte General del Contrato, cuando concluya la Etapa de Operación y Mantenimiento o cuando el Contrato se termine anticipadamente, todas las obras y bienes de la Concesión, incluyendo los predios de la zona del Corredor del Proyecto y las Obras civiles (calzadas, separadores, intersecciones, estructuras, obras de drenaje, obras de arte y señales), las Estaciones de Peaje y sus equipos, las Estaciones de Peaje y sus equipos , el Centro de Control de Operación y sus equipos, las Bases de Operación (uno o los que haya), </w:t>
          </w:r>
          <w:r w:rsidRPr="0020113A">
            <w:rPr>
              <w:rStyle w:val="normaltextrun"/>
              <w:bdr w:val="none" w:sz="0" w:space="0" w:color="auto" w:frame="1"/>
              <w:lang w:val="es-MX"/>
            </w:rPr>
            <w:lastRenderedPageBreak/>
            <w:t>las áreas de Servicio, todos los automotores y equipos instalados para la Operación del Proyecto, incluyendo equipos y software de computación, equipos de telecomunicaciones, red de fibra óptica, los entregados a la Policía de carreteras , los equipos de rescate, los elementos de Traslado Asistencial Médico (TAM) y cualquier otra obra y bien que forme parte de la concesión, deberán ser entregados a la ANI sin costo alguno y libre de todo gravamen. El estado de las obras y bienes al momento de entregar la obra se detallan en el Apéndice Técnico 4. El plazo del contrato es de 25 años, tiempo después del cual se deberá revertir la infraestructura a la ANI.</w:t>
          </w:r>
        </w:p>
        <w:p w14:paraId="0AE2EA69"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t>17.2 Causales de Terminación Anticipada del Contrato:</w:t>
          </w:r>
        </w:p>
        <w:p w14:paraId="3E476FD3"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t>El presente contrato terminará de manera anticipada en los siguientes casos:</w:t>
          </w:r>
        </w:p>
        <w:p w14:paraId="5599B589"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t>Por las siguientes causas imputables al Concesionario en cualquier de las Etapas del Contrato:</w:t>
          </w:r>
        </w:p>
        <w:p w14:paraId="04D63857"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t>Por declaración de Caducidad del Contrato</w:t>
          </w:r>
        </w:p>
        <w:p w14:paraId="293C26D7"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t>Por declaración de Terminación Unilateral, a menos que ésta se deba a la aplicación del numeral 1 del artículo 17 de la ley 80 de 1993, caso en el cual no se entenderá que la causal es, necesariamente, imputable al Concesionario.</w:t>
          </w:r>
        </w:p>
        <w:p w14:paraId="03AAD9A8"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t>Por las siguientes causas no imputables a ninguna de las Partes, en cualquiera de las Etapas del Contrato:</w:t>
          </w:r>
        </w:p>
        <w:p w14:paraId="4C6CA373"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t>Por solicitud de cualquiera de las Partes por la ocurrencia de un Evento Eximente de Responsabilidad cuya duración supere noventa (90) Días y se haya paralizado la ejecución del Contrato en su totalidad. Esta estipulación también será aplicable cuando las Partes (o el Amigable Componedor, en caso de desacuerdo) concluyan que las obligaciones afectadas por un Evento Eximente de Responsabilidad son de tal importancia que hayan conducido a la suspensión total del plazo contractual, en los términos previstos en la Sección 14.2 (i)(ii) de esta Parte General.</w:t>
          </w:r>
        </w:p>
        <w:p w14:paraId="7EC74D10"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t>Por declaratoria de Terminación Unilateral con base en la aplicación del numeral 1 del artículo 17 de la Ley 80 de 1993.</w:t>
          </w:r>
        </w:p>
        <w:p w14:paraId="3EE45A4B"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t>Por solicitud de cualquiera de las Partes ante la ocurrencia del evento previsto en la Sección 8.1(g) y 14.1(e) de esta Parte General.</w:t>
          </w:r>
        </w:p>
        <w:p w14:paraId="5968D645" w14:textId="77777777" w:rsidR="007803E3" w:rsidRPr="0020113A" w:rsidRDefault="007803E3" w:rsidP="007803E3">
          <w:pPr>
            <w:pStyle w:val="paragraph"/>
            <w:spacing w:after="0"/>
            <w:jc w:val="both"/>
            <w:textAlignment w:val="baseline"/>
            <w:rPr>
              <w:rStyle w:val="normaltextrun"/>
              <w:bdr w:val="none" w:sz="0" w:space="0" w:color="auto" w:frame="1"/>
              <w:lang w:val="es-MX"/>
            </w:rPr>
          </w:pPr>
          <w:r w:rsidRPr="0020113A">
            <w:rPr>
              <w:rStyle w:val="normaltextrun"/>
              <w:bdr w:val="none" w:sz="0" w:space="0" w:color="auto" w:frame="1"/>
              <w:lang w:val="es-MX"/>
            </w:rPr>
            <w:t>Por solicitud del Concesionario si se presenta mora superior a sesenta (60) Días en el pago de cualquier obligación dineraria a cargo de ANI, siempre que el valor pendiente de pago sea superior al definido en la Parte Especial. Se entenderá que hay mora de la ANI sólo desde cuándo, de conformidad con este Contrato, procedan intereses de mora, de acuerdo con lo previsto en la Sección 3.6 de esta Parte General.</w:t>
          </w:r>
        </w:p>
        <w:p w14:paraId="25F10BE8" w14:textId="77777777" w:rsidR="007803E3" w:rsidRPr="0020113A" w:rsidRDefault="007803E3" w:rsidP="007803E3">
          <w:pPr>
            <w:pStyle w:val="paragraph"/>
            <w:spacing w:before="0" w:beforeAutospacing="0" w:after="0" w:afterAutospacing="0"/>
            <w:jc w:val="both"/>
            <w:textAlignment w:val="baseline"/>
            <w:rPr>
              <w:rStyle w:val="normaltextrun"/>
              <w:shd w:val="clear" w:color="auto" w:fill="FFFFFF"/>
              <w:lang w:val="es-MX"/>
            </w:rPr>
          </w:pPr>
          <w:r w:rsidRPr="0020113A">
            <w:rPr>
              <w:rStyle w:val="normaltextrun"/>
              <w:bdr w:val="none" w:sz="0" w:space="0" w:color="auto" w:frame="1"/>
              <w:lang w:val="es-MX"/>
            </w:rPr>
            <w:t>Por decisión unilateral de la ANI de acuerdo con la autorización dada por el artículo 32 de la Ley 1508 de 2012.</w:t>
          </w:r>
        </w:p>
        <w:p w14:paraId="2B6279E8" w14:textId="77777777" w:rsidR="007803E3" w:rsidRPr="0020113A" w:rsidRDefault="007803E3" w:rsidP="007803E3">
          <w:pPr>
            <w:pStyle w:val="paragraph"/>
            <w:spacing w:before="0" w:beforeAutospacing="0" w:after="0" w:afterAutospacing="0"/>
            <w:textAlignment w:val="baseline"/>
          </w:pPr>
        </w:p>
        <w:p w14:paraId="7BEB7CB7" w14:textId="77777777" w:rsidR="007803E3" w:rsidRPr="0020113A" w:rsidRDefault="007803E3" w:rsidP="007803E3">
          <w:pPr>
            <w:pStyle w:val="paragraph"/>
            <w:spacing w:before="0" w:beforeAutospacing="0" w:after="0" w:afterAutospacing="0"/>
            <w:textAlignment w:val="baseline"/>
            <w:rPr>
              <w:rStyle w:val="eop"/>
              <w:shd w:val="clear" w:color="auto" w:fill="FFFFFF"/>
            </w:rPr>
          </w:pPr>
          <w:r w:rsidRPr="0020113A">
            <w:rPr>
              <w:rStyle w:val="normaltextrun"/>
              <w:b/>
              <w:bCs/>
              <w:shd w:val="clear" w:color="auto" w:fill="FFFFFF"/>
              <w:lang w:val="es-MX"/>
            </w:rPr>
            <w:t>Observaciones:</w:t>
          </w:r>
          <w:r w:rsidRPr="0020113A">
            <w:rPr>
              <w:rStyle w:val="eop"/>
              <w:shd w:val="clear" w:color="auto" w:fill="FFFFFF"/>
            </w:rPr>
            <w:t> N/A</w:t>
          </w:r>
        </w:p>
        <w:p w14:paraId="141C649B" w14:textId="77777777" w:rsidR="007803E3" w:rsidRPr="0020113A" w:rsidRDefault="007803E3" w:rsidP="007803E3">
          <w:pPr>
            <w:pStyle w:val="paragraph"/>
            <w:spacing w:before="0" w:beforeAutospacing="0" w:after="0" w:afterAutospacing="0"/>
            <w:textAlignment w:val="baseline"/>
            <w:rPr>
              <w:rStyle w:val="eop"/>
              <w:shd w:val="clear" w:color="auto" w:fill="FFFFFF"/>
            </w:rPr>
          </w:pPr>
        </w:p>
        <w:p w14:paraId="204C45FC" w14:textId="4C9765A3" w:rsidR="007803E3" w:rsidRPr="0020113A" w:rsidRDefault="00373BA4" w:rsidP="00E60BAB">
          <w:pPr>
            <w:pStyle w:val="paragraph"/>
            <w:numPr>
              <w:ilvl w:val="0"/>
              <w:numId w:val="89"/>
            </w:numPr>
            <w:spacing w:before="0" w:beforeAutospacing="0" w:after="0" w:afterAutospacing="0"/>
            <w:textAlignment w:val="baseline"/>
            <w:rPr>
              <w:rStyle w:val="normaltextrun"/>
              <w:b/>
              <w:bCs/>
              <w:shd w:val="clear" w:color="auto" w:fill="FFFFFF"/>
              <w:lang w:val="es-MX"/>
            </w:rPr>
          </w:pPr>
          <w:r>
            <w:rPr>
              <w:rStyle w:val="normaltextrun"/>
              <w:b/>
              <w:bCs/>
              <w:shd w:val="clear" w:color="auto" w:fill="FFFFFF"/>
              <w:lang w:val="es-MX"/>
            </w:rPr>
            <w:t>No hay c</w:t>
          </w:r>
          <w:r w:rsidR="007803E3" w:rsidRPr="0020113A">
            <w:rPr>
              <w:rStyle w:val="normaltextrun"/>
              <w:b/>
              <w:bCs/>
              <w:shd w:val="clear" w:color="auto" w:fill="FFFFFF"/>
              <w:lang w:val="es-MX"/>
            </w:rPr>
            <w:t>ambios en el acuerdo de concesión que se realicen durante el periodo fiscal</w:t>
          </w:r>
          <w:r w:rsidR="007803E3" w:rsidRPr="0020113A">
            <w:rPr>
              <w:rStyle w:val="normaltextrun"/>
              <w:b/>
              <w:bCs/>
              <w:lang w:val="es-MX"/>
            </w:rPr>
            <w:t> </w:t>
          </w:r>
        </w:p>
        <w:p w14:paraId="29258673" w14:textId="77777777" w:rsidR="007803E3" w:rsidRPr="0020113A" w:rsidRDefault="007803E3" w:rsidP="007803E3">
          <w:pPr>
            <w:pStyle w:val="paragraph"/>
            <w:spacing w:before="0" w:beforeAutospacing="0" w:after="0" w:afterAutospacing="0"/>
            <w:textAlignment w:val="baseline"/>
          </w:pPr>
        </w:p>
        <w:p w14:paraId="6688BD4A" w14:textId="77777777" w:rsidR="007803E3" w:rsidRPr="0020113A" w:rsidRDefault="007803E3" w:rsidP="007803E3">
          <w:pPr>
            <w:spacing w:after="0" w:line="240" w:lineRule="auto"/>
            <w:jc w:val="center"/>
            <w:textAlignment w:val="baseline"/>
            <w:rPr>
              <w:rFonts w:ascii="Times New Roman" w:eastAsia="Times New Roman" w:hAnsi="Times New Roman"/>
              <w:sz w:val="24"/>
              <w:szCs w:val="24"/>
              <w:lang w:eastAsia="es-CO"/>
            </w:rPr>
          </w:pPr>
          <w:r w:rsidRPr="0020113A">
            <w:rPr>
              <w:rFonts w:ascii="Times New Roman" w:eastAsia="Times New Roman" w:hAnsi="Times New Roman"/>
              <w:sz w:val="24"/>
              <w:szCs w:val="24"/>
              <w:lang w:eastAsia="es-CO"/>
            </w:rPr>
            <w:t> </w:t>
          </w:r>
        </w:p>
        <w:p w14:paraId="4CFCACC7" w14:textId="77777777" w:rsidR="007803E3" w:rsidRPr="0020113A" w:rsidRDefault="007803E3" w:rsidP="007803E3">
          <w:pPr>
            <w:pStyle w:val="paragraph"/>
            <w:spacing w:before="0" w:beforeAutospacing="0" w:after="0" w:afterAutospacing="0"/>
            <w:textAlignment w:val="baseline"/>
          </w:pPr>
          <w:r w:rsidRPr="0020113A">
            <w:rPr>
              <w:rStyle w:val="eop"/>
            </w:rPr>
            <w:t> </w:t>
          </w:r>
        </w:p>
        <w:p w14:paraId="147D35C6" w14:textId="77777777" w:rsidR="007803E3" w:rsidRPr="0020113A" w:rsidRDefault="007803E3" w:rsidP="007803E3">
          <w:pPr>
            <w:pStyle w:val="paragraph"/>
            <w:spacing w:before="0" w:beforeAutospacing="0" w:after="0" w:afterAutospacing="0"/>
            <w:textAlignment w:val="baseline"/>
          </w:pPr>
          <w:r w:rsidRPr="0020113A">
            <w:rPr>
              <w:rStyle w:val="eop"/>
            </w:rPr>
            <w:t> </w:t>
          </w:r>
        </w:p>
        <w:p w14:paraId="2284A5F4" w14:textId="77777777" w:rsidR="007803E3" w:rsidRPr="0020113A" w:rsidRDefault="007803E3" w:rsidP="007803E3">
          <w:pPr>
            <w:pStyle w:val="paragraph"/>
            <w:spacing w:before="0" w:beforeAutospacing="0" w:after="0" w:afterAutospacing="0"/>
            <w:textAlignment w:val="baseline"/>
          </w:pPr>
          <w:r w:rsidRPr="0020113A">
            <w:rPr>
              <w:rStyle w:val="normaltextrun"/>
              <w:b/>
              <w:lang w:val="es-MX"/>
            </w:rPr>
            <w:t>CHIRAJARA FUNDADORES</w:t>
          </w:r>
          <w:r w:rsidRPr="0020113A">
            <w:rPr>
              <w:rStyle w:val="eop"/>
            </w:rPr>
            <w:t> </w:t>
          </w:r>
        </w:p>
        <w:p w14:paraId="55DF3DE2" w14:textId="77777777" w:rsidR="007803E3" w:rsidRPr="0020113A" w:rsidRDefault="007803E3" w:rsidP="007803E3">
          <w:pPr>
            <w:pStyle w:val="paragraph"/>
            <w:spacing w:before="0" w:beforeAutospacing="0" w:after="0" w:afterAutospacing="0"/>
            <w:textAlignment w:val="baseline"/>
          </w:pPr>
          <w:r w:rsidRPr="0020113A">
            <w:rPr>
              <w:rStyle w:val="eop"/>
            </w:rPr>
            <w:t> </w:t>
          </w:r>
        </w:p>
        <w:p w14:paraId="7055E270" w14:textId="77777777" w:rsidR="007803E3" w:rsidRPr="0020113A" w:rsidRDefault="007803E3" w:rsidP="00E60BAB">
          <w:pPr>
            <w:pStyle w:val="paragraph"/>
            <w:numPr>
              <w:ilvl w:val="0"/>
              <w:numId w:val="90"/>
            </w:numPr>
            <w:spacing w:before="0" w:beforeAutospacing="0" w:after="0" w:afterAutospacing="0"/>
            <w:textAlignment w:val="baseline"/>
            <w:rPr>
              <w:rStyle w:val="eop"/>
              <w:b/>
              <w:bCs/>
            </w:rPr>
          </w:pPr>
          <w:r w:rsidRPr="0020113A">
            <w:rPr>
              <w:rStyle w:val="normaltextrun"/>
              <w:b/>
              <w:bCs/>
              <w:shd w:val="clear" w:color="auto" w:fill="FFFFFF"/>
              <w:lang w:val="es-MX"/>
            </w:rPr>
            <w:t>Descripción del Acuerdo</w:t>
          </w:r>
          <w:r w:rsidRPr="0020113A">
            <w:rPr>
              <w:rStyle w:val="eop"/>
              <w:b/>
              <w:bCs/>
              <w:shd w:val="clear" w:color="auto" w:fill="FFFFFF"/>
            </w:rPr>
            <w:t> </w:t>
          </w:r>
          <w:r w:rsidRPr="0020113A">
            <w:rPr>
              <w:rStyle w:val="eop"/>
              <w:b/>
              <w:bCs/>
            </w:rPr>
            <w:t> </w:t>
          </w:r>
        </w:p>
        <w:p w14:paraId="29DCCCA3" w14:textId="77777777" w:rsidR="007803E3" w:rsidRPr="0020113A" w:rsidRDefault="007803E3" w:rsidP="007803E3">
          <w:pPr>
            <w:pStyle w:val="paragraph"/>
            <w:spacing w:before="0" w:beforeAutospacing="0" w:after="0" w:afterAutospacing="0"/>
            <w:textAlignment w:val="baseline"/>
            <w:rPr>
              <w:rStyle w:val="eop"/>
            </w:rPr>
          </w:pPr>
        </w:p>
        <w:p w14:paraId="16A35D10" w14:textId="77777777" w:rsidR="007803E3" w:rsidRPr="0020113A" w:rsidRDefault="007803E3" w:rsidP="007803E3">
          <w:pPr>
            <w:pStyle w:val="paragraph"/>
            <w:spacing w:before="0" w:beforeAutospacing="0" w:after="0" w:afterAutospacing="0"/>
            <w:textAlignment w:val="baseline"/>
            <w:rPr>
              <w:rStyle w:val="normaltextrun"/>
              <w:b/>
              <w:bCs/>
              <w:bdr w:val="none" w:sz="0" w:space="0" w:color="auto" w:frame="1"/>
              <w:lang w:val="es-MX"/>
            </w:rPr>
          </w:pPr>
          <w:r w:rsidRPr="0020113A">
            <w:rPr>
              <w:rStyle w:val="normaltextrun"/>
              <w:b/>
              <w:bCs/>
              <w:bdr w:val="none" w:sz="0" w:space="0" w:color="auto" w:frame="1"/>
              <w:lang w:val="es-MX"/>
            </w:rPr>
            <w:t xml:space="preserve">Número del Acuerdo de Concesión: </w:t>
          </w:r>
          <w:r w:rsidRPr="0020113A">
            <w:rPr>
              <w:rStyle w:val="normaltextrun"/>
              <w:bdr w:val="none" w:sz="0" w:space="0" w:color="auto" w:frame="1"/>
              <w:lang w:val="es-MX"/>
            </w:rPr>
            <w:t>Contrato de Concesión No. 005 de 2015</w:t>
          </w:r>
        </w:p>
        <w:p w14:paraId="73AF919C" w14:textId="77777777" w:rsidR="007803E3" w:rsidRPr="0020113A" w:rsidRDefault="007803E3" w:rsidP="007803E3">
          <w:pPr>
            <w:pStyle w:val="paragraph"/>
            <w:spacing w:before="0" w:beforeAutospacing="0" w:after="0" w:afterAutospacing="0"/>
            <w:jc w:val="both"/>
            <w:textAlignment w:val="baseline"/>
            <w:rPr>
              <w:rStyle w:val="normaltextrun"/>
              <w:b/>
              <w:bCs/>
              <w:shd w:val="clear" w:color="auto" w:fill="FFFFFF"/>
            </w:rPr>
          </w:pPr>
          <w:r w:rsidRPr="0020113A">
            <w:rPr>
              <w:rStyle w:val="normaltextrun"/>
              <w:b/>
              <w:bCs/>
              <w:shd w:val="clear" w:color="auto" w:fill="FFFFFF"/>
            </w:rPr>
            <w:t xml:space="preserve">Objeto / Descripción: </w:t>
          </w:r>
          <w:r w:rsidRPr="0020113A">
            <w:rPr>
              <w:rStyle w:val="normaltextrun"/>
              <w:shd w:val="clear" w:color="auto" w:fill="FFFFFF"/>
            </w:rPr>
            <w:t>Construcción, operación y mantenimiento de una nueva calzada entre Chirajara y la intersección Fundadores, y la operación y el mantenimiento de todo el corredor Bogotá-Villavicencio, para mejorar la capacidad, las condiciones de seguridad en la operación y el nivel de servicio ofrecido a los usuarios, atendiendo la demanda de tráfico actual y contribuyendo al desarrollo del país con una infraestructura adecuada para los requerimientos actuales y futuros.</w:t>
          </w:r>
        </w:p>
        <w:p w14:paraId="7F0F819B" w14:textId="0228864B" w:rsidR="007803E3" w:rsidRPr="0050758A" w:rsidRDefault="007803E3" w:rsidP="0050758A">
          <w:pPr>
            <w:pStyle w:val="paragraph"/>
            <w:spacing w:after="0"/>
            <w:textAlignment w:val="baseline"/>
            <w:rPr>
              <w:rStyle w:val="normaltextrun"/>
              <w:b/>
              <w:bdr w:val="none" w:sz="0" w:space="0" w:color="auto" w:frame="1"/>
              <w:lang w:val="es-MX"/>
            </w:rPr>
          </w:pPr>
          <w:r w:rsidRPr="0020113A">
            <w:rPr>
              <w:rStyle w:val="normaltextrun"/>
              <w:b/>
              <w:bCs/>
              <w:bdr w:val="none" w:sz="0" w:space="0" w:color="auto" w:frame="1"/>
              <w:lang w:val="es-MX"/>
            </w:rPr>
            <w:t xml:space="preserve">Valor Inicial: </w:t>
          </w:r>
          <w:r w:rsidRPr="0020113A">
            <w:rPr>
              <w:rStyle w:val="normaltextrun"/>
              <w:bdr w:val="none" w:sz="0" w:space="0" w:color="auto" w:frame="1"/>
              <w:lang w:val="es-MX"/>
            </w:rPr>
            <w:t>$5.090.472.461.167</w:t>
          </w:r>
        </w:p>
        <w:p w14:paraId="10EC0874" w14:textId="77777777" w:rsidR="007803E3" w:rsidRPr="0020113A" w:rsidRDefault="007803E3" w:rsidP="007803E3">
          <w:pPr>
            <w:pStyle w:val="paragraph"/>
            <w:spacing w:before="0" w:beforeAutospacing="0" w:after="0" w:afterAutospacing="0"/>
            <w:textAlignment w:val="baseline"/>
            <w:rPr>
              <w:rStyle w:val="normaltextrun"/>
              <w:b/>
              <w:bCs/>
              <w:shd w:val="clear" w:color="auto" w:fill="FFFFFF"/>
            </w:rPr>
          </w:pPr>
          <w:r w:rsidRPr="0020113A">
            <w:rPr>
              <w:rStyle w:val="normaltextrun"/>
              <w:b/>
              <w:bCs/>
              <w:bdr w:val="none" w:sz="0" w:space="0" w:color="auto" w:frame="1"/>
              <w:lang w:val="es-MX"/>
            </w:rPr>
            <w:t xml:space="preserve">Fecha de Inicio: </w:t>
          </w:r>
          <w:r w:rsidRPr="0020113A">
            <w:rPr>
              <w:rStyle w:val="normaltextrun"/>
              <w:bdr w:val="none" w:sz="0" w:space="0" w:color="auto" w:frame="1"/>
              <w:lang w:val="es-MX"/>
            </w:rPr>
            <w:t>23/07/2015</w:t>
          </w:r>
        </w:p>
        <w:p w14:paraId="71085572" w14:textId="77777777" w:rsidR="007803E3" w:rsidRPr="0020113A" w:rsidRDefault="007803E3" w:rsidP="007803E3">
          <w:pPr>
            <w:pStyle w:val="paragraph"/>
            <w:spacing w:before="0" w:beforeAutospacing="0" w:after="0" w:afterAutospacing="0"/>
            <w:textAlignment w:val="baseline"/>
            <w:rPr>
              <w:rStyle w:val="normaltextrun"/>
              <w:b/>
              <w:bCs/>
              <w:shd w:val="clear" w:color="auto" w:fill="FFFFFF"/>
            </w:rPr>
          </w:pPr>
          <w:r w:rsidRPr="0020113A">
            <w:rPr>
              <w:rStyle w:val="normaltextrun"/>
              <w:b/>
              <w:bCs/>
              <w:shd w:val="clear" w:color="auto" w:fill="FFFFFF"/>
            </w:rPr>
            <w:t xml:space="preserve">Fecha de Finalización Estimada: </w:t>
          </w:r>
          <w:r w:rsidRPr="0020113A">
            <w:rPr>
              <w:rStyle w:val="normaltextrun"/>
              <w:shd w:val="clear" w:color="auto" w:fill="FFFFFF"/>
            </w:rPr>
            <w:t>15/09/2054</w:t>
          </w:r>
        </w:p>
        <w:p w14:paraId="3AB8BCF6" w14:textId="77777777" w:rsidR="007803E3" w:rsidRPr="0020113A" w:rsidRDefault="007803E3" w:rsidP="007803E3">
          <w:pPr>
            <w:pStyle w:val="paragraph"/>
            <w:spacing w:before="0" w:beforeAutospacing="0" w:after="0" w:afterAutospacing="0"/>
            <w:textAlignment w:val="baseline"/>
          </w:pPr>
          <w:r w:rsidRPr="0020113A">
            <w:rPr>
              <w:rStyle w:val="normaltextrun"/>
              <w:b/>
              <w:bCs/>
              <w:bdr w:val="none" w:sz="0" w:space="0" w:color="auto" w:frame="1"/>
              <w:lang w:val="es-MX"/>
            </w:rPr>
            <w:t xml:space="preserve">Tipo ID: </w:t>
          </w:r>
          <w:r w:rsidRPr="0020113A">
            <w:rPr>
              <w:rStyle w:val="normaltextrun"/>
              <w:bdr w:val="none" w:sz="0" w:space="0" w:color="auto" w:frame="1"/>
              <w:lang w:val="es-MX"/>
            </w:rPr>
            <w:t>NIT</w:t>
          </w:r>
        </w:p>
        <w:p w14:paraId="1CD2D4B3" w14:textId="77777777" w:rsidR="007803E3" w:rsidRPr="0020113A" w:rsidRDefault="007803E3" w:rsidP="007803E3">
          <w:pPr>
            <w:pStyle w:val="paragraph"/>
            <w:spacing w:before="0" w:beforeAutospacing="0" w:after="0" w:afterAutospacing="0"/>
            <w:textAlignment w:val="baseline"/>
            <w:rPr>
              <w:rStyle w:val="normaltextrun"/>
              <w:b/>
              <w:bCs/>
              <w:bdr w:val="none" w:sz="0" w:space="0" w:color="auto" w:frame="1"/>
              <w:lang w:val="es-MX"/>
            </w:rPr>
          </w:pPr>
          <w:r w:rsidRPr="0020113A">
            <w:rPr>
              <w:rStyle w:val="normaltextrun"/>
              <w:b/>
              <w:bCs/>
              <w:bdr w:val="none" w:sz="0" w:space="0" w:color="auto" w:frame="1"/>
              <w:lang w:val="es-MX"/>
            </w:rPr>
            <w:t xml:space="preserve">Numero ID: </w:t>
          </w:r>
          <w:r w:rsidRPr="0020113A">
            <w:rPr>
              <w:rStyle w:val="normaltextrun"/>
              <w:bdr w:val="none" w:sz="0" w:space="0" w:color="auto" w:frame="1"/>
              <w:lang w:val="es-MX"/>
            </w:rPr>
            <w:t>900.848.064</w:t>
          </w:r>
        </w:p>
        <w:p w14:paraId="4BB6D9AA" w14:textId="77777777" w:rsidR="007803E3" w:rsidRPr="0020113A" w:rsidRDefault="007803E3" w:rsidP="007803E3">
          <w:pPr>
            <w:pStyle w:val="paragraph"/>
            <w:spacing w:before="0" w:beforeAutospacing="0" w:after="0" w:afterAutospacing="0"/>
            <w:textAlignment w:val="baseline"/>
          </w:pPr>
          <w:r w:rsidRPr="0020113A">
            <w:rPr>
              <w:rStyle w:val="normaltextrun"/>
              <w:b/>
              <w:bCs/>
              <w:bdr w:val="none" w:sz="0" w:space="0" w:color="auto" w:frame="1"/>
              <w:lang w:val="es-MX"/>
            </w:rPr>
            <w:t xml:space="preserve">Razón Social del Concesionario: </w:t>
          </w:r>
          <w:r w:rsidRPr="0020113A">
            <w:rPr>
              <w:rStyle w:val="normaltextrun"/>
              <w:bdr w:val="none" w:sz="0" w:space="0" w:color="auto" w:frame="1"/>
              <w:lang w:val="es-MX"/>
            </w:rPr>
            <w:t>Concesionaria Vial Andina SAS- Coviandina SAS</w:t>
          </w:r>
        </w:p>
        <w:p w14:paraId="40C91A96" w14:textId="0E955373" w:rsidR="007803E3" w:rsidRPr="0020113A" w:rsidRDefault="007803E3" w:rsidP="007803E3">
          <w:pPr>
            <w:pStyle w:val="paragraph"/>
            <w:spacing w:after="0"/>
            <w:jc w:val="both"/>
            <w:textAlignment w:val="baseline"/>
            <w:rPr>
              <w:rStyle w:val="normaltextrun"/>
              <w:shd w:val="clear" w:color="auto" w:fill="FFFFFF"/>
            </w:rPr>
          </w:pPr>
          <w:r w:rsidRPr="0020113A">
            <w:rPr>
              <w:rStyle w:val="normaltextrun"/>
              <w:b/>
              <w:bCs/>
              <w:shd w:val="clear" w:color="auto" w:fill="FFFFFF"/>
            </w:rPr>
            <w:t xml:space="preserve">Nombre del Proyecto: </w:t>
          </w:r>
          <w:r w:rsidRPr="0020113A">
            <w:rPr>
              <w:rStyle w:val="normaltextrun"/>
              <w:shd w:val="clear" w:color="auto" w:fill="FFFFFF"/>
            </w:rPr>
            <w:t>Construcción de una nueva calzada en el sector Chirajara-Fundadores y la administración, operación y mantenimiento de la carretera Bogotá-Villavicencio</w:t>
          </w:r>
          <w:r w:rsidR="4B196D68" w:rsidRPr="0020113A">
            <w:rPr>
              <w:rStyle w:val="normaltextrun"/>
              <w:shd w:val="clear" w:color="auto" w:fill="FFFFFF"/>
            </w:rPr>
            <w:t>.</w:t>
          </w:r>
        </w:p>
        <w:p w14:paraId="2128E7D4" w14:textId="4B2C3FB8" w:rsidR="18BAD2EC" w:rsidRDefault="18BAD2EC" w:rsidP="18BAD2EC">
          <w:pPr>
            <w:pStyle w:val="paragraph"/>
            <w:spacing w:after="0"/>
            <w:jc w:val="both"/>
            <w:rPr>
              <w:rStyle w:val="normaltextrun"/>
            </w:rPr>
          </w:pPr>
        </w:p>
        <w:p w14:paraId="7E0DBF6F" w14:textId="77777777" w:rsidR="007803E3" w:rsidRPr="0020113A" w:rsidRDefault="007803E3" w:rsidP="00E60BAB">
          <w:pPr>
            <w:pStyle w:val="paragraph"/>
            <w:numPr>
              <w:ilvl w:val="0"/>
              <w:numId w:val="90"/>
            </w:numPr>
            <w:spacing w:before="0" w:beforeAutospacing="0" w:after="0" w:afterAutospacing="0"/>
            <w:textAlignment w:val="baseline"/>
            <w:rPr>
              <w:rStyle w:val="normaltextrun"/>
              <w:b/>
              <w:bCs/>
              <w:shd w:val="clear" w:color="auto" w:fill="FFFFFF"/>
              <w:lang w:val="es-MX"/>
            </w:rPr>
          </w:pPr>
          <w:r w:rsidRPr="0020113A">
            <w:rPr>
              <w:rStyle w:val="normaltextrun"/>
              <w:b/>
              <w:bCs/>
              <w:shd w:val="clear" w:color="auto" w:fill="FFFFFF"/>
              <w:lang w:val="es-MX"/>
            </w:rPr>
            <w:t>Términos significativos del acuerdo que puedan afectar su valor, el calendario y la certeza de los flujos </w:t>
          </w:r>
        </w:p>
        <w:p w14:paraId="70760872" w14:textId="77777777" w:rsidR="007803E3" w:rsidRPr="0020113A" w:rsidRDefault="007803E3" w:rsidP="007803E3">
          <w:pPr>
            <w:pStyle w:val="paragraph"/>
            <w:spacing w:after="0"/>
            <w:ind w:left="-30" w:right="-30"/>
            <w:jc w:val="both"/>
            <w:textAlignment w:val="baseline"/>
            <w:rPr>
              <w:rStyle w:val="normaltextrun"/>
            </w:rPr>
          </w:pPr>
          <w:r w:rsidRPr="0020113A">
            <w:rPr>
              <w:rStyle w:val="normaltextrun"/>
              <w:b/>
              <w:bCs/>
              <w:lang w:val="es-MX"/>
            </w:rPr>
            <w:t>Términos de Valor: </w:t>
          </w:r>
          <w:r w:rsidRPr="0020113A">
            <w:rPr>
              <w:rStyle w:val="eop"/>
            </w:rPr>
            <w:t xml:space="preserve">Los pesos de referencia del contrato corresponden a diciembre de 2013.El valor presente ofertado está descontado a una tasa de descuento efectiva mensual del 0,8919%. El valor del VPIP equivale a $2.185.031.662.470 pesos del mes de referencia, numeral 1.171 Tabla de referencias a la Parte Especial. La obtención del VPIP determina la fecha de terminación del contrato, siendo su tiempo máximo el año 39 del Contrato de Concesión. El contrato contempla la cesión del recaudo de peajes de cuatro estaciones: Peaje Boquerón I, Boquerón II, Peaje Naranjal y Peaje Pipiral. Capítulo IV de la Parte Especial del Contrato. La estructura tarifaria se encuentra determinada en la Parte Especial 4.2 (a) y en la Resolución N. 0001131 del 28 de abril de 2015 expedida por el Ministerio de Transporte. En el numeral 4.1 del Contrato Parte Especial define el porcentaje de participación de las Unidades Funcionales </w:t>
          </w:r>
          <w:r w:rsidRPr="0020113A">
            <w:rPr>
              <w:rStyle w:val="eop"/>
            </w:rPr>
            <w:lastRenderedPageBreak/>
            <w:t>y el Otrosí N.7 al Contrato de Concesión firmado el 2 de julio de 2020 acuerdan la modificación los porcentajes de participación de las Unidades Funcionales.  Las Fuentes de retribución son los Aportes ANI, el Recaudo de Peaje y los Ingresos Por Explotación Comercial.</w:t>
          </w:r>
        </w:p>
        <w:p w14:paraId="7B2EF8D1" w14:textId="77777777" w:rsidR="007803E3" w:rsidRPr="0020113A" w:rsidRDefault="007803E3" w:rsidP="007803E3">
          <w:pPr>
            <w:pStyle w:val="paragraph"/>
            <w:spacing w:before="0" w:beforeAutospacing="0" w:after="0" w:afterAutospacing="0"/>
            <w:jc w:val="both"/>
            <w:textAlignment w:val="baseline"/>
            <w:rPr>
              <w:rStyle w:val="normaltextrun"/>
              <w:b/>
              <w:bCs/>
              <w:shd w:val="clear" w:color="auto" w:fill="FFFFFF"/>
            </w:rPr>
          </w:pPr>
          <w:r w:rsidRPr="0020113A">
            <w:rPr>
              <w:rStyle w:val="normaltextrun"/>
              <w:b/>
              <w:bCs/>
              <w:shd w:val="clear" w:color="auto" w:fill="FFFFFF"/>
              <w:lang w:val="es-MX"/>
            </w:rPr>
            <w:t>Términos de Calendario:</w:t>
          </w:r>
          <w:r w:rsidRPr="0020113A">
            <w:rPr>
              <w:rStyle w:val="eop"/>
              <w:shd w:val="clear" w:color="auto" w:fill="FFFFFF"/>
            </w:rPr>
            <w:t xml:space="preserve"> El plazo del contrato se determinó en 39 años, conforme al numeral 2.4 “Plazo del Contrato” de la Parte General. Plazo fase preconstrucción:  365 días desde la fecha de inicio. El plazo estimado de la etapa de construcción es de sesenta (60) meses (1.825 días) contados desde el acta de inicio de construcción, la cual se firmó el 23 de julio de 2015. El Otrosí N. 2 otorgó 6 meses adicionales para la etapa de construcción. Como resultado del acuerdo 001 por efecto del COVID y a que el Concesionario hizo parte del Acuerdo de la CCI, se otorgó 98 días adicionales.  La etapa de construcción terminó el 31 de julio de 2023. </w:t>
          </w:r>
        </w:p>
        <w:p w14:paraId="540C706C" w14:textId="77777777" w:rsidR="007803E3" w:rsidRPr="0020113A" w:rsidRDefault="007803E3" w:rsidP="007803E3">
          <w:pPr>
            <w:pStyle w:val="paragraph"/>
            <w:spacing w:before="0" w:beforeAutospacing="0" w:after="0" w:afterAutospacing="0"/>
            <w:textAlignment w:val="baseline"/>
            <w:rPr>
              <w:rStyle w:val="normaltextrun"/>
              <w:b/>
              <w:bCs/>
              <w:shd w:val="clear" w:color="auto" w:fill="FFFFFF"/>
            </w:rPr>
          </w:pPr>
        </w:p>
        <w:p w14:paraId="7C41BADE" w14:textId="77777777" w:rsidR="007803E3" w:rsidRPr="0020113A" w:rsidRDefault="007803E3" w:rsidP="007803E3">
          <w:pPr>
            <w:pStyle w:val="paragraph"/>
            <w:spacing w:before="0" w:beforeAutospacing="0" w:after="0" w:afterAutospacing="0"/>
            <w:jc w:val="both"/>
            <w:textAlignment w:val="baseline"/>
            <w:rPr>
              <w:rStyle w:val="normaltextrun"/>
              <w:shd w:val="clear" w:color="auto" w:fill="FFFFFF"/>
            </w:rPr>
          </w:pPr>
          <w:r w:rsidRPr="0020113A">
            <w:rPr>
              <w:rStyle w:val="normaltextrun"/>
              <w:b/>
              <w:bCs/>
              <w:bdr w:val="none" w:sz="0" w:space="0" w:color="auto" w:frame="1"/>
              <w:lang w:val="es-MX"/>
            </w:rPr>
            <w:t xml:space="preserve">Términos de Certeza de Flujos de Efectivo Futuros: </w:t>
          </w:r>
          <w:r w:rsidRPr="0020113A">
            <w:rPr>
              <w:rStyle w:val="normaltextrun"/>
              <w:bdr w:val="none" w:sz="0" w:space="0" w:color="auto" w:frame="1"/>
              <w:lang w:val="es-MX"/>
            </w:rPr>
            <w:t>El Capitulo XIII Parte General -Ecuación Contractual y Asignación de Riesgos-, establece la asignación de riesgos que permita mantener la ecuación contractual del Contrato de Concesión.  La Clausula 3.2 de la Parte de General del Contrato de Concesión, “Compensación por Riesgos” señala cuales son los mecanismos por Compensación por riesgos a favor del Concesionario, cuando sean aplicables.</w:t>
          </w:r>
        </w:p>
        <w:p w14:paraId="00AADC79" w14:textId="77777777" w:rsidR="007803E3" w:rsidRPr="0020113A" w:rsidRDefault="007803E3" w:rsidP="007803E3">
          <w:pPr>
            <w:pStyle w:val="paragraph"/>
            <w:spacing w:before="0" w:beforeAutospacing="0" w:after="0" w:afterAutospacing="0"/>
            <w:textAlignment w:val="baseline"/>
            <w:rPr>
              <w:rStyle w:val="normaltextrun"/>
              <w:b/>
              <w:bCs/>
              <w:shd w:val="clear" w:color="auto" w:fill="FFFFFF"/>
            </w:rPr>
          </w:pPr>
        </w:p>
        <w:p w14:paraId="35D8D152" w14:textId="77777777" w:rsidR="007803E3" w:rsidRPr="0020113A" w:rsidRDefault="007803E3" w:rsidP="00E60BAB">
          <w:pPr>
            <w:pStyle w:val="paragraph"/>
            <w:numPr>
              <w:ilvl w:val="0"/>
              <w:numId w:val="90"/>
            </w:numPr>
            <w:spacing w:before="0" w:beforeAutospacing="0" w:after="0" w:afterAutospacing="0"/>
            <w:textAlignment w:val="baseline"/>
            <w:rPr>
              <w:rStyle w:val="normaltextrun"/>
              <w:b/>
              <w:bCs/>
              <w:shd w:val="clear" w:color="auto" w:fill="FFFFFF"/>
              <w:lang w:val="es-MX"/>
            </w:rPr>
          </w:pPr>
          <w:r w:rsidRPr="0020113A">
            <w:rPr>
              <w:rStyle w:val="normaltextrun"/>
              <w:b/>
              <w:bCs/>
              <w:shd w:val="clear" w:color="auto" w:fill="FFFFFF"/>
              <w:lang w:val="es-MX"/>
            </w:rPr>
            <w:t>Naturaleza y alcance del derecho a utilizar activos especificados, de los aspectos pactados en torno a lo que se espera que el concesionario proporcione en relación con el acuerdo de concesión</w:t>
          </w:r>
          <w:r w:rsidRPr="0020113A">
            <w:rPr>
              <w:rStyle w:val="normaltextrun"/>
              <w:b/>
              <w:bCs/>
              <w:lang w:val="es-MX"/>
            </w:rPr>
            <w:t> </w:t>
          </w:r>
        </w:p>
        <w:p w14:paraId="59E2F594" w14:textId="77777777" w:rsidR="007803E3" w:rsidRPr="0020113A" w:rsidRDefault="007803E3" w:rsidP="007803E3">
          <w:pPr>
            <w:pStyle w:val="paragraph"/>
            <w:spacing w:before="0" w:beforeAutospacing="0" w:after="0" w:afterAutospacing="0"/>
            <w:textAlignment w:val="baseline"/>
          </w:pPr>
        </w:p>
        <w:p w14:paraId="72F41C4F" w14:textId="77777777" w:rsidR="007803E3" w:rsidRPr="0020113A" w:rsidRDefault="007803E3" w:rsidP="007803E3">
          <w:pPr>
            <w:pStyle w:val="paragraph"/>
            <w:spacing w:before="0" w:beforeAutospacing="0" w:after="0" w:afterAutospacing="0"/>
            <w:jc w:val="center"/>
            <w:textAlignment w:val="baseline"/>
            <w:rPr>
              <w:rStyle w:val="eop"/>
              <w:shd w:val="clear" w:color="auto" w:fill="FFFFFF"/>
            </w:rPr>
          </w:pPr>
          <w:r w:rsidRPr="0020113A">
            <w:rPr>
              <w:rStyle w:val="normaltextrun"/>
              <w:b/>
              <w:bCs/>
              <w:shd w:val="clear" w:color="auto" w:fill="FFFFFF"/>
              <w:lang w:val="es-MX"/>
            </w:rPr>
            <w:t>Naturaleza y alcance del derecho de uso de los activos</w:t>
          </w:r>
        </w:p>
        <w:p w14:paraId="19EEF1F8" w14:textId="77777777" w:rsidR="007803E3" w:rsidRPr="0020113A" w:rsidRDefault="007803E3" w:rsidP="007803E3">
          <w:pPr>
            <w:pStyle w:val="paragraph"/>
            <w:spacing w:after="0"/>
            <w:jc w:val="both"/>
            <w:textAlignment w:val="baseline"/>
            <w:rPr>
              <w:rStyle w:val="normaltextrun"/>
              <w:b/>
              <w:bCs/>
              <w:bdr w:val="none" w:sz="0" w:space="0" w:color="auto" w:frame="1"/>
              <w:lang w:val="es-MX"/>
            </w:rPr>
          </w:pPr>
          <w:r w:rsidRPr="0020113A">
            <w:rPr>
              <w:rStyle w:val="normaltextrun"/>
              <w:b/>
              <w:bCs/>
              <w:bdr w:val="none" w:sz="0" w:space="0" w:color="auto" w:frame="1"/>
              <w:lang w:val="es-MX"/>
            </w:rPr>
            <w:t xml:space="preserve">Descripción: </w:t>
          </w:r>
          <w:r w:rsidRPr="0020113A">
            <w:rPr>
              <w:rStyle w:val="normaltextrun"/>
              <w:bdr w:val="none" w:sz="0" w:space="0" w:color="auto" w:frame="1"/>
              <w:lang w:val="es-MX"/>
            </w:rPr>
            <w:t>Los derechos que se le cedió al Concesionario fue el recaudo de peaje de las estaciones de Peaje revertidas del Contrato de Concesión 444 de 1994, de acuerdo con la Sección 4.2 de la Parte Especial y la Sección 3.3 de la Parte General. El proyecto está localizado entre los departamentos del Meta y Cundinamarca, la nueva calzada tiene una longitud total estimada origen - destino de 22.60 km y de desarrollo de 32.46 km. La operación y mantenimiento del Corredor Bogotá–Villavicencio corresponderá a una longitud total estimada origen – destino de 85.60 km y de desarrollo de 174 km.</w:t>
          </w:r>
        </w:p>
        <w:p w14:paraId="7EC586E4" w14:textId="77777777" w:rsidR="007803E3" w:rsidRPr="0020113A" w:rsidRDefault="007803E3" w:rsidP="007803E3">
          <w:pPr>
            <w:pStyle w:val="paragraph"/>
            <w:spacing w:after="0"/>
            <w:jc w:val="both"/>
            <w:textAlignment w:val="baseline"/>
            <w:rPr>
              <w:rStyle w:val="normaltextrun"/>
              <w:shd w:val="clear" w:color="auto" w:fill="FFFFFF"/>
            </w:rPr>
          </w:pPr>
          <w:r w:rsidRPr="0020113A">
            <w:rPr>
              <w:rStyle w:val="normaltextrun"/>
              <w:b/>
              <w:bCs/>
              <w:shd w:val="clear" w:color="auto" w:fill="FFFFFF"/>
              <w:lang w:val="es-MX"/>
            </w:rPr>
            <w:t>Observaciones:</w:t>
          </w:r>
          <w:r w:rsidRPr="0020113A">
            <w:rPr>
              <w:rStyle w:val="eop"/>
              <w:shd w:val="clear" w:color="auto" w:fill="FFFFFF"/>
            </w:rPr>
            <w:t> La información descrita en el presente capítulo corresponde al Alcance del Contrato y a lo descrito en el Apéndice Técnico 1 (Estructuración del Proyecto).</w:t>
          </w:r>
        </w:p>
        <w:p w14:paraId="7AD4C3D3" w14:textId="77777777" w:rsidR="007803E3" w:rsidRPr="0020113A" w:rsidRDefault="007803E3" w:rsidP="007803E3">
          <w:pPr>
            <w:pStyle w:val="paragraph"/>
            <w:spacing w:before="0" w:beforeAutospacing="0" w:after="0" w:afterAutospacing="0"/>
            <w:jc w:val="center"/>
            <w:textAlignment w:val="baseline"/>
            <w:rPr>
              <w:rStyle w:val="normaltextrun"/>
              <w:shd w:val="clear" w:color="auto" w:fill="FFFFFF"/>
            </w:rPr>
          </w:pPr>
          <w:r w:rsidRPr="0020113A">
            <w:rPr>
              <w:rStyle w:val="normaltextrun"/>
              <w:b/>
              <w:bCs/>
              <w:shd w:val="clear" w:color="auto" w:fill="FFFFFF"/>
              <w:lang w:val="es-MX"/>
            </w:rPr>
            <w:t>Retribución al Concesionario</w:t>
          </w:r>
        </w:p>
        <w:p w14:paraId="4F695E2D" w14:textId="77777777" w:rsidR="007803E3" w:rsidRPr="0020113A" w:rsidRDefault="007803E3" w:rsidP="007803E3">
          <w:pPr>
            <w:pStyle w:val="paragraph"/>
            <w:spacing w:after="0"/>
            <w:jc w:val="both"/>
            <w:textAlignment w:val="baseline"/>
            <w:rPr>
              <w:rStyle w:val="normaltextrun"/>
              <w:b/>
              <w:bCs/>
              <w:bdr w:val="none" w:sz="0" w:space="0" w:color="auto" w:frame="1"/>
              <w:lang w:val="es-MX"/>
            </w:rPr>
          </w:pPr>
          <w:r w:rsidRPr="0020113A">
            <w:rPr>
              <w:rStyle w:val="normaltextrun"/>
              <w:b/>
              <w:bCs/>
              <w:bdr w:val="none" w:sz="0" w:space="0" w:color="auto" w:frame="1"/>
              <w:lang w:val="es-MX"/>
            </w:rPr>
            <w:t xml:space="preserve">Descripción: </w:t>
          </w:r>
          <w:r w:rsidRPr="0020113A">
            <w:rPr>
              <w:rStyle w:val="normaltextrun"/>
              <w:bdr w:val="none" w:sz="0" w:space="0" w:color="auto" w:frame="1"/>
              <w:lang w:val="es-MX"/>
            </w:rPr>
            <w:t>La Sección 3.1 de la Parte General del Contrato de Concesión establece los términos de retribución al Concesionario.  Así mismo, la Sección 4.3 literal (a) y (b) de la Parte Especial establece el cálculo de la retribución.</w:t>
          </w:r>
        </w:p>
        <w:p w14:paraId="184ECD2D" w14:textId="77777777" w:rsidR="007803E3" w:rsidRPr="0020113A" w:rsidRDefault="007803E3" w:rsidP="007803E3">
          <w:pPr>
            <w:pStyle w:val="paragraph"/>
            <w:spacing w:before="0" w:beforeAutospacing="0" w:after="0" w:afterAutospacing="0"/>
            <w:jc w:val="both"/>
            <w:textAlignment w:val="baseline"/>
            <w:rPr>
              <w:rStyle w:val="normaltextrun"/>
              <w:b/>
              <w:bCs/>
              <w:bdr w:val="none" w:sz="0" w:space="0" w:color="auto" w:frame="1"/>
              <w:lang w:val="es-MX"/>
            </w:rPr>
          </w:pPr>
          <w:r w:rsidRPr="0020113A">
            <w:rPr>
              <w:rStyle w:val="normaltextrun"/>
              <w:b/>
              <w:bCs/>
              <w:bdr w:val="none" w:sz="0" w:space="0" w:color="auto" w:frame="1"/>
              <w:lang w:val="es-MX"/>
            </w:rPr>
            <w:t>Tasa de Retribución:</w:t>
          </w:r>
          <w:r w:rsidRPr="0020113A">
            <w:t xml:space="preserve"> </w:t>
          </w:r>
          <w:r w:rsidRPr="0020113A">
            <w:rPr>
              <w:rStyle w:val="normaltextrun"/>
              <w:bdr w:val="none" w:sz="0" w:space="0" w:color="auto" w:frame="1"/>
              <w:lang w:val="es-MX"/>
            </w:rPr>
            <w:t>La Tasa de descuento TDI expresada en términos efectivos mensuales, es de 0,8919%. De acuerdo con lo establecido en la sección 3.1 de la Parte General del Contrato, las fuentes para el pago de la retribución serán los recursos consignados por recaudo de peajes y los ingresos por explotación comercial. La retribución para cada unidad funcional será calculada de acuerdo con lo definido en el Capítulo IV numeral 4.1 de la Parte Especial del Contrato</w:t>
          </w:r>
          <w:r w:rsidRPr="0020113A">
            <w:rPr>
              <w:rStyle w:val="normaltextrun"/>
              <w:b/>
              <w:bCs/>
              <w:bdr w:val="none" w:sz="0" w:space="0" w:color="auto" w:frame="1"/>
              <w:lang w:val="es-MX"/>
            </w:rPr>
            <w:t>.</w:t>
          </w:r>
        </w:p>
        <w:p w14:paraId="2221EF3F" w14:textId="77777777" w:rsidR="007803E3" w:rsidRPr="0020113A" w:rsidRDefault="007803E3" w:rsidP="007803E3">
          <w:pPr>
            <w:pStyle w:val="paragraph"/>
            <w:spacing w:before="0" w:beforeAutospacing="0" w:after="0" w:afterAutospacing="0"/>
            <w:textAlignment w:val="baseline"/>
            <w:rPr>
              <w:rStyle w:val="normaltextrun"/>
              <w:b/>
              <w:bCs/>
              <w:bdr w:val="none" w:sz="0" w:space="0" w:color="auto" w:frame="1"/>
              <w:lang w:val="es-MX"/>
            </w:rPr>
          </w:pPr>
        </w:p>
        <w:p w14:paraId="0AE40AB3" w14:textId="77777777" w:rsidR="007803E3" w:rsidRPr="0020113A" w:rsidRDefault="007803E3" w:rsidP="00E60BAB">
          <w:pPr>
            <w:pStyle w:val="paragraph"/>
            <w:numPr>
              <w:ilvl w:val="0"/>
              <w:numId w:val="90"/>
            </w:numPr>
            <w:spacing w:before="0" w:beforeAutospacing="0" w:after="0" w:afterAutospacing="0"/>
            <w:textAlignment w:val="baseline"/>
            <w:rPr>
              <w:rStyle w:val="normaltextrun"/>
              <w:b/>
              <w:bCs/>
              <w:shd w:val="clear" w:color="auto" w:fill="FFFFFF"/>
              <w:lang w:val="es-MX"/>
            </w:rPr>
          </w:pPr>
          <w:r w:rsidRPr="0020113A">
            <w:rPr>
              <w:rStyle w:val="normaltextrun"/>
              <w:b/>
              <w:bCs/>
              <w:shd w:val="clear" w:color="auto" w:fill="FFFFFF"/>
              <w:lang w:val="es-MX"/>
            </w:rPr>
            <w:t>Derechos a recibir activos especificados al final del acuerdo de concesión</w:t>
          </w:r>
          <w:r w:rsidRPr="0020113A">
            <w:rPr>
              <w:rStyle w:val="normaltextrun"/>
              <w:b/>
              <w:bCs/>
              <w:lang w:val="es-MX"/>
            </w:rPr>
            <w:t> </w:t>
          </w:r>
        </w:p>
        <w:p w14:paraId="697B1B17" w14:textId="77777777" w:rsidR="007803E3" w:rsidRPr="0020113A" w:rsidRDefault="007803E3" w:rsidP="007803E3">
          <w:pPr>
            <w:pStyle w:val="paragraph"/>
            <w:spacing w:before="0" w:beforeAutospacing="0" w:after="0" w:afterAutospacing="0"/>
            <w:ind w:left="720"/>
            <w:textAlignment w:val="baseline"/>
            <w:rPr>
              <w:rStyle w:val="normaltextrun"/>
              <w:b/>
              <w:bCs/>
              <w:shd w:val="clear" w:color="auto" w:fill="FFFFFF"/>
              <w:lang w:val="es-MX"/>
            </w:rPr>
          </w:pPr>
        </w:p>
        <w:p w14:paraId="32CB25B0" w14:textId="77777777" w:rsidR="007803E3" w:rsidRPr="0020113A" w:rsidRDefault="007803E3" w:rsidP="007803E3">
          <w:pPr>
            <w:pStyle w:val="paragraph"/>
            <w:spacing w:before="0" w:beforeAutospacing="0" w:after="0" w:afterAutospacing="0"/>
            <w:jc w:val="both"/>
            <w:textAlignment w:val="baseline"/>
            <w:rPr>
              <w:rStyle w:val="normaltextrun"/>
              <w:shd w:val="clear" w:color="auto" w:fill="FFFFFF"/>
              <w:lang w:val="es-MX"/>
            </w:rPr>
          </w:pPr>
          <w:r w:rsidRPr="0020113A">
            <w:rPr>
              <w:rStyle w:val="normaltextrun"/>
              <w:b/>
              <w:bCs/>
              <w:bdr w:val="none" w:sz="0" w:space="0" w:color="auto" w:frame="1"/>
              <w:lang w:val="es-MX"/>
            </w:rPr>
            <w:t xml:space="preserve">Descripción: </w:t>
          </w:r>
          <w:r w:rsidRPr="0020113A">
            <w:rPr>
              <w:rStyle w:val="normaltextrun"/>
              <w:bdr w:val="none" w:sz="0" w:space="0" w:color="auto" w:frame="1"/>
              <w:lang w:val="es-MX"/>
            </w:rPr>
            <w:t>Según el numeral 1.141 “Reversión” del CAPITULO I Definiciones de la Parte General, estipulada lo siguiente: Corresponde al procedimiento señalado en la sección 9.7 de esta Parte General, mediante el cual el Concesionario entrega los bienes asociados al proyecto a la ANI para dar por terminado el contrato.</w:t>
          </w:r>
        </w:p>
        <w:p w14:paraId="36718CBB" w14:textId="77777777" w:rsidR="007803E3" w:rsidRPr="0020113A" w:rsidRDefault="007803E3" w:rsidP="007803E3">
          <w:pPr>
            <w:pStyle w:val="paragraph"/>
            <w:spacing w:after="0"/>
            <w:jc w:val="both"/>
            <w:textAlignment w:val="baseline"/>
            <w:rPr>
              <w:rStyle w:val="eop"/>
              <w:shd w:val="clear" w:color="auto" w:fill="FFFFFF"/>
            </w:rPr>
          </w:pPr>
          <w:r w:rsidRPr="0020113A">
            <w:rPr>
              <w:rStyle w:val="normaltextrun"/>
              <w:b/>
              <w:bCs/>
              <w:shd w:val="clear" w:color="auto" w:fill="FFFFFF"/>
              <w:lang w:val="es-MX"/>
            </w:rPr>
            <w:t>Observaciones:</w:t>
          </w:r>
          <w:r w:rsidRPr="0020113A">
            <w:rPr>
              <w:rStyle w:val="eop"/>
              <w:shd w:val="clear" w:color="auto" w:fill="FFFFFF"/>
            </w:rPr>
            <w:t> Al momento de la Terminación del Contrato el Concesionario deberá cumplir con los Valores Mínimos de Aceptación de los Indicadores incluidos en el Apéndice Técnico 4. En el Apéndice Técnico 2 – Capitulo 5 y 6, se detalla el estado de los activos para la reversión.</w:t>
          </w:r>
        </w:p>
        <w:p w14:paraId="3D30B9D3" w14:textId="77777777" w:rsidR="007803E3" w:rsidRPr="0020113A" w:rsidRDefault="007803E3" w:rsidP="00E60BAB">
          <w:pPr>
            <w:pStyle w:val="paragraph"/>
            <w:numPr>
              <w:ilvl w:val="0"/>
              <w:numId w:val="90"/>
            </w:numPr>
            <w:spacing w:before="0" w:beforeAutospacing="0" w:after="0" w:afterAutospacing="0"/>
            <w:textAlignment w:val="baseline"/>
            <w:rPr>
              <w:rStyle w:val="normaltextrun"/>
              <w:b/>
              <w:bCs/>
              <w:shd w:val="clear" w:color="auto" w:fill="FFFFFF"/>
              <w:lang w:val="es-MX"/>
            </w:rPr>
          </w:pPr>
          <w:r w:rsidRPr="0020113A">
            <w:rPr>
              <w:rStyle w:val="normaltextrun"/>
              <w:b/>
              <w:bCs/>
              <w:shd w:val="clear" w:color="auto" w:fill="FFFFFF"/>
              <w:lang w:val="es-MX"/>
            </w:rPr>
            <w:t>Cambios en el acuerdo de concesión que se realicen durante el periodo fiscal</w:t>
          </w:r>
          <w:r w:rsidRPr="0020113A">
            <w:rPr>
              <w:rStyle w:val="normaltextrun"/>
              <w:b/>
              <w:bCs/>
              <w:lang w:val="es-MX"/>
            </w:rPr>
            <w:t> </w:t>
          </w:r>
        </w:p>
        <w:p w14:paraId="1155AFF8" w14:textId="77777777" w:rsidR="007803E3" w:rsidRPr="0020113A" w:rsidRDefault="007803E3" w:rsidP="007803E3">
          <w:pPr>
            <w:pStyle w:val="paragraph"/>
            <w:spacing w:before="0" w:beforeAutospacing="0" w:after="0" w:afterAutospacing="0"/>
            <w:textAlignment w:val="baseline"/>
          </w:pPr>
        </w:p>
        <w:p w14:paraId="1F4C682E" w14:textId="77777777" w:rsidR="007803E3" w:rsidRPr="0020113A" w:rsidRDefault="007803E3" w:rsidP="11FCA23F">
          <w:pPr>
            <w:spacing w:after="0" w:line="240" w:lineRule="auto"/>
            <w:textAlignment w:val="baseline"/>
            <w:rPr>
              <w:rFonts w:ascii="Times New Roman" w:eastAsia="Times New Roman" w:hAnsi="Times New Roman"/>
              <w:sz w:val="24"/>
              <w:szCs w:val="24"/>
              <w:lang w:eastAsia="es-CO"/>
            </w:rPr>
          </w:pPr>
          <w:r w:rsidRPr="0020113A">
            <w:rPr>
              <w:rFonts w:ascii="Times New Roman" w:eastAsia="Times New Roman" w:hAnsi="Times New Roman"/>
              <w:b/>
              <w:bCs/>
              <w:sz w:val="24"/>
              <w:szCs w:val="24"/>
              <w:lang w:val="es-MX" w:eastAsia="es-CO"/>
            </w:rPr>
            <w:t>Adiciones o Modificaciones en Tiempo</w:t>
          </w:r>
          <w:r w:rsidRPr="0020113A">
            <w:rPr>
              <w:rFonts w:ascii="Times New Roman" w:eastAsia="Times New Roman" w:hAnsi="Times New Roman"/>
              <w:sz w:val="24"/>
              <w:szCs w:val="24"/>
              <w:lang w:eastAsia="es-CO"/>
            </w:rPr>
            <w:t> </w:t>
          </w:r>
        </w:p>
        <w:p w14:paraId="51457132" w14:textId="77777777" w:rsidR="007803E3" w:rsidRPr="0020113A" w:rsidRDefault="007803E3" w:rsidP="007803E3">
          <w:pPr>
            <w:spacing w:after="0" w:line="240" w:lineRule="auto"/>
            <w:jc w:val="center"/>
            <w:textAlignment w:val="baseline"/>
            <w:rPr>
              <w:rFonts w:ascii="Times New Roman" w:eastAsia="Times New Roman" w:hAnsi="Times New Roman"/>
              <w:sz w:val="24"/>
              <w:szCs w:val="24"/>
              <w:lang w:eastAsia="es-CO"/>
            </w:rPr>
          </w:pPr>
        </w:p>
        <w:tbl>
          <w:tblPr>
            <w:tblW w:w="88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90"/>
            <w:gridCol w:w="2460"/>
            <w:gridCol w:w="3255"/>
          </w:tblGrid>
          <w:tr w:rsidR="007803E3" w:rsidRPr="0050758A" w14:paraId="624A1EA5" w14:textId="77777777" w:rsidTr="006D6444">
            <w:trPr>
              <w:trHeight w:val="300"/>
            </w:trPr>
            <w:tc>
              <w:tcPr>
                <w:tcW w:w="30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1465C0" w14:textId="77777777" w:rsidR="007803E3" w:rsidRPr="0050758A" w:rsidRDefault="007803E3" w:rsidP="006D6444">
                <w:pPr>
                  <w:spacing w:after="0" w:line="240" w:lineRule="auto"/>
                  <w:ind w:left="720"/>
                  <w:textAlignment w:val="baseline"/>
                  <w:rPr>
                    <w:rFonts w:ascii="Times New Roman" w:eastAsia="Times New Roman" w:hAnsi="Times New Roman"/>
                    <w:sz w:val="16"/>
                    <w:szCs w:val="16"/>
                    <w:lang w:eastAsia="es-CO"/>
                  </w:rPr>
                </w:pPr>
                <w:r w:rsidRPr="0050758A">
                  <w:rPr>
                    <w:rFonts w:ascii="Times New Roman" w:eastAsia="Times New Roman" w:hAnsi="Times New Roman"/>
                    <w:b/>
                    <w:sz w:val="16"/>
                    <w:szCs w:val="16"/>
                    <w:lang w:eastAsia="es-CO"/>
                  </w:rPr>
                  <w:t>Fechas de las adiciones o modificaciones</w:t>
                </w:r>
                <w:r w:rsidRPr="0050758A">
                  <w:rPr>
                    <w:rFonts w:ascii="Times New Roman" w:eastAsia="Times New Roman" w:hAnsi="Times New Roman"/>
                    <w:sz w:val="16"/>
                    <w:szCs w:val="16"/>
                    <w:lang w:eastAsia="es-CO"/>
                  </w:rPr>
                  <w:t> </w:t>
                </w:r>
              </w:p>
            </w:tc>
            <w:tc>
              <w:tcPr>
                <w:tcW w:w="24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9067BE" w14:textId="77777777" w:rsidR="007803E3" w:rsidRPr="0050758A" w:rsidRDefault="007803E3" w:rsidP="006D6444">
                <w:pPr>
                  <w:spacing w:after="0" w:line="240" w:lineRule="auto"/>
                  <w:ind w:left="720"/>
                  <w:textAlignment w:val="baseline"/>
                  <w:rPr>
                    <w:rFonts w:ascii="Times New Roman" w:eastAsia="Times New Roman" w:hAnsi="Times New Roman"/>
                    <w:sz w:val="16"/>
                    <w:szCs w:val="16"/>
                    <w:lang w:eastAsia="es-CO"/>
                  </w:rPr>
                </w:pPr>
                <w:r w:rsidRPr="0050758A">
                  <w:rPr>
                    <w:rFonts w:ascii="Times New Roman" w:eastAsia="Times New Roman" w:hAnsi="Times New Roman"/>
                    <w:b/>
                    <w:sz w:val="16"/>
                    <w:szCs w:val="16"/>
                    <w:lang w:eastAsia="es-CO"/>
                  </w:rPr>
                  <w:t>Nueva fecha de finalización estimada</w:t>
                </w:r>
                <w:r w:rsidRPr="0050758A">
                  <w:rPr>
                    <w:rFonts w:ascii="Times New Roman" w:eastAsia="Times New Roman" w:hAnsi="Times New Roman"/>
                    <w:sz w:val="16"/>
                    <w:szCs w:val="16"/>
                    <w:lang w:eastAsia="es-CO"/>
                  </w:rPr>
                  <w:t> </w:t>
                </w:r>
              </w:p>
            </w:tc>
            <w:tc>
              <w:tcPr>
                <w:tcW w:w="32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E8BA92" w14:textId="77777777" w:rsidR="007803E3" w:rsidRPr="0050758A" w:rsidRDefault="007803E3" w:rsidP="006D6444">
                <w:pPr>
                  <w:spacing w:after="0" w:line="240" w:lineRule="auto"/>
                  <w:ind w:left="720"/>
                  <w:textAlignment w:val="baseline"/>
                  <w:rPr>
                    <w:rFonts w:ascii="Times New Roman" w:eastAsia="Times New Roman" w:hAnsi="Times New Roman"/>
                    <w:sz w:val="16"/>
                    <w:szCs w:val="16"/>
                    <w:lang w:eastAsia="es-CO"/>
                  </w:rPr>
                </w:pPr>
                <w:r w:rsidRPr="0050758A">
                  <w:rPr>
                    <w:rFonts w:ascii="Times New Roman" w:eastAsia="Times New Roman" w:hAnsi="Times New Roman"/>
                    <w:b/>
                    <w:sz w:val="16"/>
                    <w:szCs w:val="16"/>
                    <w:lang w:eastAsia="es-CO"/>
                  </w:rPr>
                  <w:t>Observaciones</w:t>
                </w:r>
                <w:r w:rsidRPr="0050758A">
                  <w:rPr>
                    <w:rFonts w:ascii="Times New Roman" w:eastAsia="Times New Roman" w:hAnsi="Times New Roman"/>
                    <w:sz w:val="16"/>
                    <w:szCs w:val="16"/>
                    <w:lang w:eastAsia="es-CO"/>
                  </w:rPr>
                  <w:t> </w:t>
                </w:r>
              </w:p>
            </w:tc>
          </w:tr>
          <w:tr w:rsidR="007803E3" w:rsidRPr="0050758A" w14:paraId="6EE486B7" w14:textId="77777777" w:rsidTr="006D6444">
            <w:trPr>
              <w:trHeight w:val="300"/>
            </w:trPr>
            <w:tc>
              <w:tcPr>
                <w:tcW w:w="30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869534" w14:textId="77777777" w:rsidR="007803E3" w:rsidRPr="0050758A" w:rsidRDefault="007803E3" w:rsidP="006D6444">
                <w:pPr>
                  <w:spacing w:after="0" w:line="240" w:lineRule="auto"/>
                  <w:ind w:left="720"/>
                  <w:textAlignment w:val="baseline"/>
                  <w:rPr>
                    <w:rFonts w:ascii="Times New Roman" w:eastAsia="Times New Roman" w:hAnsi="Times New Roman"/>
                    <w:sz w:val="16"/>
                    <w:szCs w:val="16"/>
                    <w:lang w:eastAsia="es-CO"/>
                  </w:rPr>
                </w:pPr>
                <w:r w:rsidRPr="0050758A">
                  <w:rPr>
                    <w:rFonts w:ascii="Times New Roman" w:eastAsia="Times New Roman" w:hAnsi="Times New Roman"/>
                    <w:sz w:val="16"/>
                    <w:szCs w:val="16"/>
                    <w:lang w:eastAsia="es-CO"/>
                  </w:rPr>
                  <w:t>24/07/2017</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5616CFFE" w14:textId="77777777" w:rsidR="007803E3" w:rsidRPr="0050758A" w:rsidRDefault="007803E3" w:rsidP="006D6444">
                <w:pPr>
                  <w:spacing w:after="0" w:line="240" w:lineRule="auto"/>
                  <w:ind w:left="720"/>
                  <w:textAlignment w:val="baseline"/>
                  <w:rPr>
                    <w:rFonts w:ascii="Times New Roman" w:eastAsia="Times New Roman" w:hAnsi="Times New Roman"/>
                    <w:sz w:val="16"/>
                    <w:szCs w:val="16"/>
                    <w:lang w:eastAsia="es-CO"/>
                  </w:rPr>
                </w:pPr>
                <w:r w:rsidRPr="0050758A">
                  <w:rPr>
                    <w:rFonts w:ascii="Times New Roman" w:eastAsia="Times New Roman" w:hAnsi="Times New Roman"/>
                    <w:sz w:val="16"/>
                    <w:szCs w:val="16"/>
                    <w:lang w:eastAsia="es-CO"/>
                  </w:rPr>
                  <w:t>Marzo 2022</w:t>
                </w:r>
              </w:p>
            </w:tc>
            <w:tc>
              <w:tcPr>
                <w:tcW w:w="32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3636E3" w14:textId="77777777" w:rsidR="007803E3" w:rsidRPr="0050758A" w:rsidRDefault="007803E3" w:rsidP="006D6444">
                <w:pPr>
                  <w:spacing w:after="0" w:line="240" w:lineRule="auto"/>
                  <w:ind w:left="720"/>
                  <w:textAlignment w:val="baseline"/>
                  <w:rPr>
                    <w:rFonts w:ascii="Times New Roman" w:eastAsia="Times New Roman" w:hAnsi="Times New Roman"/>
                    <w:sz w:val="16"/>
                    <w:szCs w:val="16"/>
                    <w:lang w:eastAsia="es-CO"/>
                  </w:rPr>
                </w:pPr>
                <w:r w:rsidRPr="0050758A">
                  <w:rPr>
                    <w:rFonts w:ascii="Times New Roman" w:eastAsia="Times New Roman" w:hAnsi="Times New Roman"/>
                    <w:sz w:val="16"/>
                    <w:szCs w:val="16"/>
                    <w:lang w:eastAsia="es-CO"/>
                  </w:rPr>
                  <w:t>Otrosí N.2</w:t>
                </w:r>
              </w:p>
            </w:tc>
          </w:tr>
          <w:tr w:rsidR="007803E3" w:rsidRPr="0050758A" w14:paraId="1F3C8690" w14:textId="77777777" w:rsidTr="006D6444">
            <w:trPr>
              <w:trHeight w:val="300"/>
            </w:trPr>
            <w:tc>
              <w:tcPr>
                <w:tcW w:w="3090" w:type="dxa"/>
                <w:tcBorders>
                  <w:top w:val="single" w:sz="6" w:space="0" w:color="auto"/>
                  <w:left w:val="single" w:sz="6" w:space="0" w:color="auto"/>
                  <w:bottom w:val="single" w:sz="6" w:space="0" w:color="auto"/>
                  <w:right w:val="single" w:sz="6" w:space="0" w:color="auto"/>
                </w:tcBorders>
                <w:shd w:val="clear" w:color="auto" w:fill="auto"/>
                <w:hideMark/>
              </w:tcPr>
              <w:p w14:paraId="50111C08" w14:textId="77777777" w:rsidR="007803E3" w:rsidRPr="0050758A" w:rsidRDefault="007803E3" w:rsidP="006D6444">
                <w:pPr>
                  <w:spacing w:after="0" w:line="240" w:lineRule="auto"/>
                  <w:ind w:left="720"/>
                  <w:textAlignment w:val="baseline"/>
                  <w:rPr>
                    <w:rFonts w:ascii="Times New Roman" w:eastAsia="Times New Roman" w:hAnsi="Times New Roman"/>
                    <w:sz w:val="16"/>
                    <w:szCs w:val="16"/>
                    <w:lang w:eastAsia="es-CO"/>
                  </w:rPr>
                </w:pPr>
                <w:r w:rsidRPr="0050758A">
                  <w:rPr>
                    <w:rFonts w:ascii="Times New Roman" w:eastAsia="Times New Roman" w:hAnsi="Times New Roman"/>
                    <w:sz w:val="16"/>
                    <w:szCs w:val="16"/>
                    <w:lang w:eastAsia="es-CO"/>
                  </w:rPr>
                  <w:t> 05/10/2020</w:t>
                </w:r>
              </w:p>
            </w:tc>
            <w:tc>
              <w:tcPr>
                <w:tcW w:w="24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6D3AFE" w14:textId="77777777" w:rsidR="007803E3" w:rsidRPr="0050758A" w:rsidRDefault="007803E3" w:rsidP="006D6444">
                <w:pPr>
                  <w:spacing w:after="0" w:line="240" w:lineRule="auto"/>
                  <w:ind w:left="720"/>
                  <w:textAlignment w:val="baseline"/>
                  <w:rPr>
                    <w:rFonts w:ascii="Times New Roman" w:eastAsia="Times New Roman" w:hAnsi="Times New Roman"/>
                    <w:sz w:val="16"/>
                    <w:szCs w:val="16"/>
                    <w:lang w:eastAsia="es-CO"/>
                  </w:rPr>
                </w:pPr>
                <w:r w:rsidRPr="0050758A">
                  <w:rPr>
                    <w:rFonts w:ascii="Times New Roman" w:eastAsia="Times New Roman" w:hAnsi="Times New Roman"/>
                    <w:sz w:val="16"/>
                    <w:szCs w:val="16"/>
                    <w:lang w:eastAsia="es-CO"/>
                  </w:rPr>
                  <w:t> Junio de 2022</w:t>
                </w:r>
              </w:p>
            </w:tc>
            <w:tc>
              <w:tcPr>
                <w:tcW w:w="32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7D052D" w14:textId="77777777" w:rsidR="007803E3" w:rsidRPr="0050758A" w:rsidRDefault="007803E3" w:rsidP="006D6444">
                <w:pPr>
                  <w:spacing w:after="0" w:line="240" w:lineRule="auto"/>
                  <w:ind w:left="720"/>
                  <w:textAlignment w:val="baseline"/>
                  <w:rPr>
                    <w:rFonts w:ascii="Times New Roman" w:eastAsia="Times New Roman" w:hAnsi="Times New Roman"/>
                    <w:sz w:val="16"/>
                    <w:szCs w:val="16"/>
                    <w:lang w:eastAsia="es-CO"/>
                  </w:rPr>
                </w:pPr>
                <w:r w:rsidRPr="0050758A">
                  <w:rPr>
                    <w:rFonts w:ascii="Times New Roman" w:eastAsia="Times New Roman" w:hAnsi="Times New Roman"/>
                    <w:sz w:val="16"/>
                    <w:szCs w:val="16"/>
                    <w:lang w:eastAsia="es-CO"/>
                  </w:rPr>
                  <w:t> Acuerdo EER COVID 19</w:t>
                </w:r>
              </w:p>
            </w:tc>
          </w:tr>
        </w:tbl>
        <w:p w14:paraId="7002F569" w14:textId="77777777" w:rsidR="007803E3" w:rsidRPr="0020113A" w:rsidRDefault="007803E3" w:rsidP="007803E3">
          <w:pPr>
            <w:spacing w:after="0" w:line="240" w:lineRule="auto"/>
            <w:textAlignment w:val="baseline"/>
            <w:rPr>
              <w:rFonts w:ascii="Times New Roman" w:eastAsia="Times New Roman" w:hAnsi="Times New Roman"/>
              <w:sz w:val="24"/>
              <w:szCs w:val="24"/>
              <w:lang w:eastAsia="es-CO"/>
            </w:rPr>
          </w:pPr>
          <w:r w:rsidRPr="0020113A">
            <w:rPr>
              <w:rFonts w:ascii="Times New Roman" w:eastAsia="Times New Roman" w:hAnsi="Times New Roman"/>
              <w:sz w:val="24"/>
              <w:szCs w:val="24"/>
              <w:lang w:eastAsia="es-CO"/>
            </w:rPr>
            <w:t> </w:t>
          </w:r>
        </w:p>
        <w:p w14:paraId="3C8DB8B4" w14:textId="1A4ECAB2" w:rsidR="007803E3" w:rsidRPr="0020113A" w:rsidRDefault="0050758A" w:rsidP="007803E3">
          <w:pPr>
            <w:spacing w:after="0" w:line="240" w:lineRule="auto"/>
            <w:jc w:val="center"/>
            <w:textAlignment w:val="baseline"/>
            <w:rPr>
              <w:rFonts w:ascii="Times New Roman" w:eastAsia="Times New Roman" w:hAnsi="Times New Roman"/>
              <w:sz w:val="24"/>
              <w:szCs w:val="24"/>
              <w:lang w:eastAsia="es-CO"/>
            </w:rPr>
          </w:pPr>
          <w:r>
            <w:rPr>
              <w:rFonts w:ascii="Times New Roman" w:eastAsia="Times New Roman" w:hAnsi="Times New Roman"/>
              <w:b/>
              <w:bCs/>
              <w:sz w:val="24"/>
              <w:szCs w:val="24"/>
              <w:lang w:val="es-MX" w:eastAsia="es-CO"/>
            </w:rPr>
            <w:t>No hay a</w:t>
          </w:r>
          <w:r w:rsidR="007803E3" w:rsidRPr="0020113A">
            <w:rPr>
              <w:rFonts w:ascii="Times New Roman" w:eastAsia="Times New Roman" w:hAnsi="Times New Roman"/>
              <w:b/>
              <w:bCs/>
              <w:sz w:val="24"/>
              <w:szCs w:val="24"/>
              <w:lang w:val="es-MX" w:eastAsia="es-CO"/>
            </w:rPr>
            <w:t xml:space="preserve">diciones o </w:t>
          </w:r>
          <w:r>
            <w:rPr>
              <w:rFonts w:ascii="Times New Roman" w:eastAsia="Times New Roman" w:hAnsi="Times New Roman"/>
              <w:b/>
              <w:bCs/>
              <w:sz w:val="24"/>
              <w:szCs w:val="24"/>
              <w:lang w:val="es-MX" w:eastAsia="es-CO"/>
            </w:rPr>
            <w:t>m</w:t>
          </w:r>
          <w:r w:rsidR="007803E3" w:rsidRPr="0020113A">
            <w:rPr>
              <w:rFonts w:ascii="Times New Roman" w:eastAsia="Times New Roman" w:hAnsi="Times New Roman"/>
              <w:b/>
              <w:bCs/>
              <w:sz w:val="24"/>
              <w:szCs w:val="24"/>
              <w:lang w:val="es-MX" w:eastAsia="es-CO"/>
            </w:rPr>
            <w:t xml:space="preserve">odificaciones en </w:t>
          </w:r>
          <w:r>
            <w:rPr>
              <w:rFonts w:ascii="Times New Roman" w:eastAsia="Times New Roman" w:hAnsi="Times New Roman"/>
              <w:b/>
              <w:bCs/>
              <w:sz w:val="24"/>
              <w:szCs w:val="24"/>
              <w:lang w:val="es-MX" w:eastAsia="es-CO"/>
            </w:rPr>
            <w:t>v</w:t>
          </w:r>
          <w:r w:rsidR="007803E3" w:rsidRPr="0020113A">
            <w:rPr>
              <w:rFonts w:ascii="Times New Roman" w:eastAsia="Times New Roman" w:hAnsi="Times New Roman"/>
              <w:b/>
              <w:bCs/>
              <w:sz w:val="24"/>
              <w:szCs w:val="24"/>
              <w:lang w:val="es-MX" w:eastAsia="es-CO"/>
            </w:rPr>
            <w:t>alor</w:t>
          </w:r>
          <w:r w:rsidR="007803E3" w:rsidRPr="0020113A">
            <w:rPr>
              <w:rFonts w:ascii="Times New Roman" w:eastAsia="Times New Roman" w:hAnsi="Times New Roman"/>
              <w:sz w:val="24"/>
              <w:szCs w:val="24"/>
              <w:lang w:eastAsia="es-CO"/>
            </w:rPr>
            <w:t> </w:t>
          </w:r>
        </w:p>
        <w:p w14:paraId="23F39919" w14:textId="77777777" w:rsidR="007803E3" w:rsidRPr="0020113A" w:rsidRDefault="007803E3" w:rsidP="007803E3">
          <w:pPr>
            <w:spacing w:after="0" w:line="240" w:lineRule="auto"/>
            <w:jc w:val="center"/>
            <w:textAlignment w:val="baseline"/>
            <w:rPr>
              <w:rFonts w:ascii="Times New Roman" w:eastAsia="Times New Roman" w:hAnsi="Times New Roman"/>
              <w:sz w:val="24"/>
              <w:szCs w:val="24"/>
              <w:lang w:eastAsia="es-CO"/>
            </w:rPr>
          </w:pPr>
        </w:p>
        <w:p w14:paraId="6EC5AD6F" w14:textId="77777777" w:rsidR="007803E3" w:rsidRPr="0020113A" w:rsidRDefault="007803E3" w:rsidP="007803E3">
          <w:pPr>
            <w:rPr>
              <w:rFonts w:ascii="Times New Roman" w:eastAsia="Times New Roman" w:hAnsi="Times New Roman"/>
              <w:sz w:val="24"/>
              <w:szCs w:val="24"/>
              <w:lang w:eastAsia="es-CO"/>
            </w:rPr>
          </w:pPr>
        </w:p>
        <w:p w14:paraId="309B638D" w14:textId="77777777" w:rsidR="007803E3" w:rsidRPr="0020113A" w:rsidRDefault="007803E3" w:rsidP="007803E3">
          <w:pPr>
            <w:rPr>
              <w:rFonts w:ascii="Times New Roman" w:hAnsi="Times New Roman"/>
              <w:b/>
              <w:sz w:val="24"/>
              <w:szCs w:val="24"/>
              <w:lang w:val="es-MX"/>
            </w:rPr>
          </w:pPr>
          <w:r w:rsidRPr="0020113A">
            <w:rPr>
              <w:rFonts w:ascii="Times New Roman" w:eastAsia="Times New Roman" w:hAnsi="Times New Roman"/>
              <w:sz w:val="24"/>
              <w:szCs w:val="24"/>
              <w:lang w:eastAsia="es-CO"/>
            </w:rPr>
            <w:t> </w:t>
          </w:r>
          <w:r w:rsidRPr="0020113A">
            <w:rPr>
              <w:rFonts w:ascii="Times New Roman" w:hAnsi="Times New Roman"/>
              <w:b/>
              <w:sz w:val="24"/>
              <w:szCs w:val="24"/>
              <w:lang w:val="es-MX"/>
            </w:rPr>
            <w:t>NEIVA ESPINAL GIRARDOT</w:t>
          </w:r>
        </w:p>
        <w:p w14:paraId="5446E52C" w14:textId="77777777" w:rsidR="007803E3" w:rsidRPr="0020113A" w:rsidRDefault="007803E3" w:rsidP="00E60BAB">
          <w:pPr>
            <w:pStyle w:val="Prrafodelista"/>
            <w:numPr>
              <w:ilvl w:val="0"/>
              <w:numId w:val="68"/>
            </w:numPr>
            <w:spacing w:line="259" w:lineRule="auto"/>
            <w:ind w:left="720"/>
            <w:rPr>
              <w:rFonts w:ascii="Times New Roman" w:hAnsi="Times New Roman"/>
              <w:b/>
              <w:sz w:val="24"/>
              <w:szCs w:val="24"/>
              <w:lang w:val="es-MX"/>
            </w:rPr>
          </w:pPr>
          <w:r w:rsidRPr="0020113A">
            <w:rPr>
              <w:rFonts w:ascii="Times New Roman" w:hAnsi="Times New Roman"/>
              <w:b/>
              <w:sz w:val="24"/>
              <w:szCs w:val="24"/>
              <w:lang w:val="es-MX"/>
            </w:rPr>
            <w:t>Descripción del Acuerdo</w:t>
          </w:r>
        </w:p>
        <w:p w14:paraId="3ED2B7BB" w14:textId="77777777" w:rsidR="007803E3" w:rsidRPr="0020113A" w:rsidRDefault="007803E3" w:rsidP="18BAD2EC">
          <w:pPr>
            <w:spacing w:after="0"/>
            <w:rPr>
              <w:rFonts w:ascii="Times New Roman" w:hAnsi="Times New Roman"/>
              <w:b/>
              <w:sz w:val="24"/>
              <w:szCs w:val="24"/>
              <w:lang w:val="es-MX"/>
            </w:rPr>
          </w:pPr>
          <w:r w:rsidRPr="0020113A">
            <w:rPr>
              <w:rFonts w:ascii="Times New Roman" w:hAnsi="Times New Roman"/>
              <w:b/>
              <w:sz w:val="24"/>
              <w:szCs w:val="24"/>
              <w:lang w:val="es-MX"/>
            </w:rPr>
            <w:t xml:space="preserve">Número del Acuerdo de Concesión: </w:t>
          </w:r>
          <w:r w:rsidRPr="0020113A">
            <w:rPr>
              <w:rFonts w:ascii="Times New Roman" w:hAnsi="Times New Roman"/>
              <w:sz w:val="24"/>
              <w:szCs w:val="24"/>
              <w:lang w:val="es-MX"/>
            </w:rPr>
            <w:t>Contrato 017-2015</w:t>
          </w:r>
        </w:p>
        <w:p w14:paraId="34DF463E" w14:textId="77777777" w:rsidR="007803E3" w:rsidRPr="0020113A" w:rsidRDefault="007803E3" w:rsidP="18BAD2EC">
          <w:pPr>
            <w:spacing w:after="0"/>
            <w:jc w:val="both"/>
            <w:rPr>
              <w:rFonts w:ascii="Times New Roman" w:hAnsi="Times New Roman"/>
              <w:sz w:val="24"/>
              <w:szCs w:val="24"/>
              <w:lang w:val="es-MX"/>
            </w:rPr>
          </w:pPr>
          <w:r w:rsidRPr="0020113A">
            <w:rPr>
              <w:rFonts w:ascii="Times New Roman" w:hAnsi="Times New Roman"/>
              <w:b/>
              <w:sz w:val="24"/>
              <w:szCs w:val="24"/>
              <w:lang w:val="es-MX"/>
            </w:rPr>
            <w:t xml:space="preserve">Objeto / Descripción: </w:t>
          </w:r>
          <w:r w:rsidRPr="0020113A">
            <w:rPr>
              <w:rFonts w:ascii="Times New Roman" w:hAnsi="Times New Roman"/>
              <w:sz w:val="24"/>
              <w:szCs w:val="24"/>
              <w:lang w:val="es-MX"/>
            </w:rPr>
            <w:t>El alcance del contrato correspondo a los estudios, diseños, construcción, operación, mantenimiento, gestión social, predial y ambiental del corredor Neiva-Espinal-Girardot, de acuerdo con el Apendice Tecnico 1 y demás apéndices del contrato.</w:t>
          </w:r>
        </w:p>
        <w:p w14:paraId="74969309" w14:textId="77777777" w:rsidR="007803E3" w:rsidRPr="0020113A" w:rsidRDefault="007803E3" w:rsidP="18BAD2EC">
          <w:pPr>
            <w:spacing w:after="0"/>
            <w:jc w:val="both"/>
            <w:rPr>
              <w:rFonts w:ascii="Times New Roman" w:hAnsi="Times New Roman"/>
              <w:b/>
              <w:sz w:val="24"/>
              <w:szCs w:val="24"/>
              <w:lang w:val="es-MX"/>
            </w:rPr>
          </w:pPr>
          <w:r w:rsidRPr="0020113A">
            <w:rPr>
              <w:rFonts w:ascii="Times New Roman" w:hAnsi="Times New Roman"/>
              <w:b/>
              <w:sz w:val="24"/>
              <w:szCs w:val="24"/>
              <w:lang w:val="es-MX"/>
            </w:rPr>
            <w:t xml:space="preserve">Valor Inicial: </w:t>
          </w:r>
          <w:r w:rsidRPr="0020113A">
            <w:rPr>
              <w:rFonts w:ascii="Times New Roman" w:hAnsi="Times New Roman"/>
              <w:sz w:val="24"/>
              <w:szCs w:val="24"/>
              <w:lang w:val="es-MX"/>
            </w:rPr>
            <w:t>Dos billones diecisiete mil novecientos un millones seiscientos treinta y seis mil cuarenta y siete Pesos ($2.017.901.636.047) de diciembre de 2014.</w:t>
          </w:r>
        </w:p>
        <w:p w14:paraId="4F93AA4B" w14:textId="77777777" w:rsidR="007803E3" w:rsidRPr="0020113A" w:rsidRDefault="007803E3" w:rsidP="11FCA23F">
          <w:pPr>
            <w:spacing w:after="0"/>
            <w:rPr>
              <w:rFonts w:ascii="Times New Roman" w:hAnsi="Times New Roman"/>
              <w:b/>
              <w:sz w:val="24"/>
              <w:szCs w:val="24"/>
              <w:lang w:val="es-MX"/>
            </w:rPr>
          </w:pPr>
          <w:r w:rsidRPr="0020113A">
            <w:rPr>
              <w:rFonts w:ascii="Times New Roman" w:hAnsi="Times New Roman"/>
              <w:b/>
              <w:sz w:val="24"/>
              <w:szCs w:val="24"/>
              <w:lang w:val="es-MX"/>
            </w:rPr>
            <w:t xml:space="preserve">Fecha de Inicio: </w:t>
          </w:r>
          <w:r w:rsidRPr="0020113A">
            <w:rPr>
              <w:rFonts w:ascii="Times New Roman" w:hAnsi="Times New Roman"/>
              <w:sz w:val="24"/>
              <w:szCs w:val="24"/>
              <w:lang w:val="es-MX"/>
            </w:rPr>
            <w:t>23/12/2015</w:t>
          </w:r>
        </w:p>
        <w:p w14:paraId="6EF8D9FB" w14:textId="77777777" w:rsidR="007803E3" w:rsidRPr="0020113A" w:rsidRDefault="007803E3" w:rsidP="11FCA23F">
          <w:pPr>
            <w:spacing w:after="0"/>
            <w:rPr>
              <w:rFonts w:ascii="Times New Roman" w:hAnsi="Times New Roman"/>
              <w:b/>
              <w:sz w:val="24"/>
              <w:szCs w:val="24"/>
              <w:lang w:val="es-MX"/>
            </w:rPr>
          </w:pPr>
          <w:r w:rsidRPr="0020113A">
            <w:rPr>
              <w:rFonts w:ascii="Times New Roman" w:hAnsi="Times New Roman"/>
              <w:b/>
              <w:sz w:val="24"/>
              <w:szCs w:val="24"/>
              <w:lang w:val="es-MX"/>
            </w:rPr>
            <w:t xml:space="preserve">Fecha de Finalización Estimada: </w:t>
          </w:r>
          <w:r w:rsidRPr="0020113A">
            <w:rPr>
              <w:rFonts w:ascii="Times New Roman" w:hAnsi="Times New Roman"/>
              <w:sz w:val="24"/>
              <w:szCs w:val="24"/>
              <w:lang w:val="es-MX"/>
            </w:rPr>
            <w:t>23/12/2045</w:t>
          </w:r>
        </w:p>
        <w:p w14:paraId="5BCF711C" w14:textId="77777777" w:rsidR="007803E3" w:rsidRPr="0020113A" w:rsidRDefault="007803E3" w:rsidP="11FCA23F">
          <w:pPr>
            <w:spacing w:after="0"/>
            <w:rPr>
              <w:rFonts w:ascii="Times New Roman" w:hAnsi="Times New Roman"/>
              <w:sz w:val="24"/>
              <w:szCs w:val="24"/>
              <w:lang w:val="es-MX"/>
            </w:rPr>
          </w:pPr>
          <w:r w:rsidRPr="0020113A">
            <w:rPr>
              <w:rFonts w:ascii="Times New Roman" w:hAnsi="Times New Roman"/>
              <w:b/>
              <w:sz w:val="24"/>
              <w:szCs w:val="24"/>
              <w:lang w:val="es-MX"/>
            </w:rPr>
            <w:t xml:space="preserve">Tipo ID: </w:t>
          </w:r>
          <w:r w:rsidRPr="0020113A">
            <w:rPr>
              <w:rFonts w:ascii="Times New Roman" w:hAnsi="Times New Roman"/>
              <w:sz w:val="24"/>
              <w:szCs w:val="24"/>
              <w:lang w:val="es-MX"/>
            </w:rPr>
            <w:t>NIT</w:t>
          </w:r>
        </w:p>
        <w:p w14:paraId="403333FC" w14:textId="77777777" w:rsidR="007803E3" w:rsidRPr="0020113A" w:rsidRDefault="007803E3" w:rsidP="11FCA23F">
          <w:pPr>
            <w:spacing w:after="0"/>
            <w:ind w:left="-20" w:right="-20"/>
            <w:rPr>
              <w:rFonts w:ascii="Times New Roman" w:hAnsi="Times New Roman"/>
              <w:b/>
              <w:sz w:val="24"/>
              <w:szCs w:val="24"/>
              <w:lang w:val="es-MX"/>
            </w:rPr>
          </w:pPr>
          <w:r w:rsidRPr="0020113A">
            <w:rPr>
              <w:rFonts w:ascii="Times New Roman" w:hAnsi="Times New Roman"/>
              <w:b/>
              <w:sz w:val="24"/>
              <w:szCs w:val="24"/>
              <w:lang w:val="es-MX"/>
            </w:rPr>
            <w:t xml:space="preserve">Numero ID:  </w:t>
          </w:r>
          <w:r w:rsidRPr="0020113A">
            <w:rPr>
              <w:rFonts w:ascii="Times New Roman" w:hAnsi="Times New Roman"/>
              <w:sz w:val="24"/>
              <w:szCs w:val="24"/>
              <w:lang w:val="es-MX"/>
            </w:rPr>
            <w:t>900.903.279</w:t>
          </w:r>
        </w:p>
        <w:p w14:paraId="075E2B35" w14:textId="77777777" w:rsidR="007803E3" w:rsidRPr="0020113A" w:rsidRDefault="007803E3" w:rsidP="11FCA23F">
          <w:pPr>
            <w:spacing w:after="0" w:line="257" w:lineRule="auto"/>
            <w:ind w:left="-20" w:right="-20"/>
            <w:rPr>
              <w:rFonts w:ascii="Times New Roman" w:hAnsi="Times New Roman"/>
              <w:b/>
              <w:sz w:val="24"/>
              <w:szCs w:val="24"/>
              <w:lang w:val="es-MX"/>
            </w:rPr>
          </w:pPr>
          <w:r w:rsidRPr="0020113A">
            <w:rPr>
              <w:rFonts w:ascii="Times New Roman" w:hAnsi="Times New Roman"/>
              <w:b/>
              <w:sz w:val="24"/>
              <w:szCs w:val="24"/>
              <w:lang w:val="es-MX"/>
            </w:rPr>
            <w:t xml:space="preserve">Razón Social del Concesionario: </w:t>
          </w:r>
          <w:r w:rsidRPr="0020113A">
            <w:rPr>
              <w:rFonts w:ascii="Times New Roman" w:hAnsi="Times New Roman"/>
              <w:sz w:val="24"/>
              <w:szCs w:val="24"/>
              <w:lang w:val="es-MX"/>
            </w:rPr>
            <w:t>Concesionaria Autovía Neiva Girardot S.A.S</w:t>
          </w:r>
        </w:p>
        <w:p w14:paraId="42AC4FDE" w14:textId="77777777" w:rsidR="007803E3" w:rsidRPr="0020113A" w:rsidRDefault="007803E3" w:rsidP="11FCA23F">
          <w:pPr>
            <w:spacing w:after="0"/>
            <w:rPr>
              <w:rFonts w:ascii="Times New Roman" w:hAnsi="Times New Roman"/>
              <w:b/>
              <w:sz w:val="24"/>
              <w:szCs w:val="24"/>
              <w:lang w:val="es-MX"/>
            </w:rPr>
          </w:pPr>
          <w:r w:rsidRPr="0020113A">
            <w:rPr>
              <w:rFonts w:ascii="Times New Roman" w:hAnsi="Times New Roman"/>
              <w:b/>
              <w:sz w:val="24"/>
              <w:szCs w:val="24"/>
              <w:lang w:val="es-MX"/>
            </w:rPr>
            <w:t xml:space="preserve">Nombre del Proyecto: </w:t>
          </w:r>
          <w:r w:rsidRPr="0020113A">
            <w:rPr>
              <w:rFonts w:ascii="Times New Roman" w:hAnsi="Times New Roman"/>
              <w:sz w:val="24"/>
              <w:szCs w:val="24"/>
              <w:lang w:val="es-MX"/>
            </w:rPr>
            <w:t>Concesión Corredor Vial Neiva-Espinal-Girardot</w:t>
          </w:r>
        </w:p>
        <w:p w14:paraId="6F694FE9" w14:textId="1192DB3E" w:rsidR="11FCA23F" w:rsidRDefault="11FCA23F" w:rsidP="11FCA23F">
          <w:pPr>
            <w:spacing w:after="0"/>
            <w:rPr>
              <w:rFonts w:ascii="Times New Roman" w:hAnsi="Times New Roman"/>
              <w:sz w:val="24"/>
              <w:szCs w:val="24"/>
              <w:lang w:val="es-MX"/>
            </w:rPr>
          </w:pPr>
        </w:p>
        <w:p w14:paraId="6780D9A7" w14:textId="77777777" w:rsidR="007803E3" w:rsidRPr="0020113A" w:rsidRDefault="007803E3" w:rsidP="00E60BAB">
          <w:pPr>
            <w:pStyle w:val="Prrafodelista"/>
            <w:numPr>
              <w:ilvl w:val="0"/>
              <w:numId w:val="68"/>
            </w:numPr>
            <w:spacing w:line="259" w:lineRule="auto"/>
            <w:ind w:left="720"/>
            <w:rPr>
              <w:rFonts w:ascii="Times New Roman" w:hAnsi="Times New Roman"/>
              <w:b/>
              <w:sz w:val="24"/>
              <w:szCs w:val="24"/>
              <w:lang w:val="es-MX"/>
            </w:rPr>
          </w:pPr>
          <w:r w:rsidRPr="0020113A">
            <w:rPr>
              <w:rFonts w:ascii="Times New Roman" w:hAnsi="Times New Roman"/>
              <w:b/>
              <w:sz w:val="24"/>
              <w:szCs w:val="24"/>
              <w:lang w:val="es-MX"/>
            </w:rPr>
            <w:t>Términos significativos del acuerdo que puedan afectar su valor, el calendario y la certeza de los flujos</w:t>
          </w:r>
        </w:p>
        <w:p w14:paraId="552ACBFC" w14:textId="77777777" w:rsidR="007803E3" w:rsidRPr="0020113A" w:rsidRDefault="007803E3" w:rsidP="007803E3">
          <w:pPr>
            <w:spacing w:line="257" w:lineRule="auto"/>
            <w:ind w:left="-20" w:right="-20"/>
            <w:rPr>
              <w:rFonts w:ascii="Times New Roman" w:hAnsi="Times New Roman"/>
              <w:b/>
              <w:sz w:val="24"/>
              <w:szCs w:val="24"/>
              <w:lang w:val="es-MX"/>
            </w:rPr>
          </w:pPr>
          <w:r w:rsidRPr="0020113A">
            <w:rPr>
              <w:rFonts w:ascii="Times New Roman" w:hAnsi="Times New Roman"/>
              <w:b/>
              <w:sz w:val="24"/>
              <w:szCs w:val="24"/>
              <w:lang w:val="es-MX"/>
            </w:rPr>
            <w:lastRenderedPageBreak/>
            <w:t xml:space="preserve">Términos de Valor: </w:t>
          </w:r>
          <w:r w:rsidRPr="0020113A">
            <w:rPr>
              <w:rFonts w:ascii="Times New Roman" w:hAnsi="Times New Roman"/>
              <w:sz w:val="24"/>
              <w:szCs w:val="24"/>
              <w:lang w:val="es-MX"/>
            </w:rPr>
            <w:t>Los pesos de referencia del contrato corresponden a diciembre de 2014.</w:t>
          </w:r>
        </w:p>
        <w:p w14:paraId="65E06719" w14:textId="77777777" w:rsidR="007803E3" w:rsidRPr="0020113A" w:rsidRDefault="007803E3" w:rsidP="007803E3">
          <w:pPr>
            <w:spacing w:line="257" w:lineRule="auto"/>
            <w:ind w:left="-20" w:right="-20"/>
            <w:jc w:val="both"/>
            <w:rPr>
              <w:rFonts w:ascii="Times New Roman" w:hAnsi="Times New Roman"/>
              <w:sz w:val="24"/>
              <w:szCs w:val="24"/>
            </w:rPr>
          </w:pPr>
          <w:r w:rsidRPr="0020113A">
            <w:rPr>
              <w:rFonts w:ascii="Times New Roman" w:hAnsi="Times New Roman"/>
              <w:sz w:val="24"/>
              <w:szCs w:val="24"/>
              <w:lang w:val="es-MX"/>
            </w:rPr>
            <w:t xml:space="preserve">-El valor del contrato se fijó, lo establecido en el Capítulo III, numeral 3.4 de la Parte Especial del Contrato de Concesión. </w:t>
          </w:r>
        </w:p>
        <w:p w14:paraId="6CE02124" w14:textId="77777777" w:rsidR="007803E3" w:rsidRPr="0020113A" w:rsidRDefault="007803E3" w:rsidP="007803E3">
          <w:pPr>
            <w:spacing w:line="257" w:lineRule="auto"/>
            <w:ind w:left="-20" w:right="-20"/>
            <w:jc w:val="both"/>
            <w:rPr>
              <w:rFonts w:ascii="Times New Roman" w:hAnsi="Times New Roman"/>
              <w:sz w:val="24"/>
              <w:szCs w:val="24"/>
            </w:rPr>
          </w:pPr>
          <w:r w:rsidRPr="0020113A">
            <w:rPr>
              <w:rFonts w:ascii="Times New Roman" w:hAnsi="Times New Roman"/>
              <w:sz w:val="24"/>
              <w:szCs w:val="24"/>
              <w:lang w:val="es-MX"/>
            </w:rPr>
            <w:t xml:space="preserve">-La tasa de descuento real (TDI) del 0,6465%. </w:t>
          </w:r>
        </w:p>
        <w:p w14:paraId="6D6453F7" w14:textId="77777777" w:rsidR="007803E3" w:rsidRPr="0020113A" w:rsidRDefault="007803E3" w:rsidP="007803E3">
          <w:pPr>
            <w:spacing w:line="257" w:lineRule="auto"/>
            <w:ind w:left="-20" w:right="-20"/>
            <w:jc w:val="both"/>
            <w:rPr>
              <w:rFonts w:ascii="Times New Roman" w:hAnsi="Times New Roman"/>
              <w:sz w:val="24"/>
              <w:szCs w:val="24"/>
            </w:rPr>
          </w:pPr>
          <w:r w:rsidRPr="0020113A">
            <w:rPr>
              <w:rFonts w:ascii="Times New Roman" w:hAnsi="Times New Roman"/>
              <w:sz w:val="24"/>
              <w:szCs w:val="24"/>
              <w:lang w:val="es-MX"/>
            </w:rPr>
            <w:t>-El Valor Presente de los Ingresos por Peajes (VPIP) que establece el contrato, es de $1.192.995.671.750 en términos constantes a diciembre de 2014.</w:t>
          </w:r>
        </w:p>
        <w:p w14:paraId="3CF62E88" w14:textId="77777777" w:rsidR="007803E3" w:rsidRPr="0020113A" w:rsidRDefault="007803E3" w:rsidP="007803E3">
          <w:pPr>
            <w:spacing w:line="257" w:lineRule="auto"/>
            <w:ind w:left="-20" w:right="-20"/>
            <w:jc w:val="both"/>
            <w:rPr>
              <w:rFonts w:ascii="Times New Roman" w:hAnsi="Times New Roman"/>
              <w:sz w:val="24"/>
              <w:szCs w:val="24"/>
            </w:rPr>
          </w:pPr>
          <w:r w:rsidRPr="0020113A">
            <w:rPr>
              <w:rFonts w:ascii="Times New Roman" w:hAnsi="Times New Roman"/>
              <w:sz w:val="24"/>
              <w:szCs w:val="24"/>
              <w:lang w:val="es-MX"/>
            </w:rPr>
            <w:t>-El apéndice 2 en el numeral 3.3.4 del contrato de concesión estableció que el Concesionario será responsable del cumplimiento de las obligaciones en materia de recaudo de peaje, equipos y sistemas relacionados en dicho apéndice. Las estaciones de peajes fueron entregadas al Concesionario el 21 de junio de 2016 de acuerdo con lo indicado el apéndice 4 numeral 5.4.7 del contrato de concesión.</w:t>
          </w:r>
        </w:p>
        <w:p w14:paraId="4B63DE5D" w14:textId="77777777" w:rsidR="007803E3" w:rsidRPr="0020113A" w:rsidRDefault="007803E3" w:rsidP="007803E3">
          <w:pPr>
            <w:spacing w:line="257" w:lineRule="auto"/>
            <w:ind w:left="-20" w:right="-20"/>
            <w:jc w:val="both"/>
            <w:rPr>
              <w:rFonts w:ascii="Times New Roman" w:hAnsi="Times New Roman"/>
              <w:sz w:val="24"/>
              <w:szCs w:val="24"/>
            </w:rPr>
          </w:pPr>
          <w:r w:rsidRPr="0020113A">
            <w:rPr>
              <w:rFonts w:ascii="Times New Roman" w:hAnsi="Times New Roman"/>
              <w:sz w:val="24"/>
              <w:szCs w:val="24"/>
              <w:lang w:val="es-MX"/>
            </w:rPr>
            <w:t>-La estructura tarifaria se encuentra establecida en la sección 4.2 de la Parte Especial del contrato de concesión, y en el apéndice 1 numeral 2.3 del contrato de concesión, el proyecto cuenta con tres estaciones de peaje, las cuales operan con las tarifas fijadas con la Resolución N.º 02109 del 2 de julio de 2015.</w:t>
          </w:r>
        </w:p>
        <w:p w14:paraId="51567026" w14:textId="77777777" w:rsidR="007803E3" w:rsidRPr="0020113A" w:rsidRDefault="007803E3" w:rsidP="007803E3">
          <w:pPr>
            <w:spacing w:line="257" w:lineRule="auto"/>
            <w:ind w:left="-20" w:right="-20"/>
            <w:jc w:val="both"/>
            <w:rPr>
              <w:rFonts w:ascii="Times New Roman" w:hAnsi="Times New Roman"/>
              <w:sz w:val="24"/>
              <w:szCs w:val="24"/>
            </w:rPr>
          </w:pPr>
          <w:r w:rsidRPr="0020113A">
            <w:rPr>
              <w:rFonts w:ascii="Times New Roman" w:hAnsi="Times New Roman"/>
              <w:sz w:val="24"/>
              <w:szCs w:val="24"/>
              <w:lang w:val="es-MX"/>
            </w:rPr>
            <w:t>-A partir de junio de 2016, se inicia la remuneración mensual. La retribución del Concesionario es la contraprestación económica a la que tiene derecho en los términos de la sección 3.1 de la Parte General del Contrato de Concesión.</w:t>
          </w:r>
        </w:p>
        <w:p w14:paraId="7C193DE3" w14:textId="77777777" w:rsidR="007803E3" w:rsidRPr="0020113A" w:rsidRDefault="007803E3" w:rsidP="007803E3">
          <w:pPr>
            <w:spacing w:line="257" w:lineRule="auto"/>
            <w:ind w:left="-20" w:right="-20"/>
            <w:rPr>
              <w:rFonts w:ascii="Times New Roman" w:hAnsi="Times New Roman"/>
              <w:b/>
              <w:sz w:val="24"/>
              <w:szCs w:val="24"/>
              <w:lang w:val="es-MX"/>
            </w:rPr>
          </w:pPr>
          <w:r w:rsidRPr="0020113A">
            <w:rPr>
              <w:rFonts w:ascii="Times New Roman" w:hAnsi="Times New Roman"/>
              <w:b/>
              <w:sz w:val="24"/>
              <w:szCs w:val="24"/>
              <w:lang w:val="es-MX"/>
            </w:rPr>
            <w:t xml:space="preserve">Términos de Calendario:  </w:t>
          </w:r>
          <w:r w:rsidRPr="0020113A">
            <w:rPr>
              <w:rFonts w:ascii="Times New Roman" w:eastAsia="Times New Roman" w:hAnsi="Times New Roman"/>
              <w:sz w:val="24"/>
              <w:szCs w:val="24"/>
              <w:lang w:val="es-MX"/>
            </w:rPr>
            <w:t>-</w:t>
          </w:r>
          <w:r w:rsidRPr="0020113A">
            <w:rPr>
              <w:rFonts w:ascii="Times New Roman" w:hAnsi="Times New Roman"/>
              <w:sz w:val="24"/>
              <w:szCs w:val="24"/>
              <w:lang w:val="es-MX"/>
            </w:rPr>
            <w:t>El plazo del contrato se estimó en 30 años, conforme Contrato de Concesión bajo el Esquema de APP - Parte Especial - Tabla de Referencias a la Parte General - Numeral 1.130.</w:t>
          </w:r>
        </w:p>
        <w:p w14:paraId="6F6836BB" w14:textId="77777777" w:rsidR="007803E3" w:rsidRPr="0020113A" w:rsidRDefault="007803E3" w:rsidP="007803E3">
          <w:pPr>
            <w:spacing w:line="257" w:lineRule="auto"/>
            <w:ind w:left="-20" w:right="-20"/>
            <w:jc w:val="both"/>
            <w:rPr>
              <w:rFonts w:ascii="Times New Roman" w:hAnsi="Times New Roman"/>
              <w:sz w:val="24"/>
              <w:szCs w:val="24"/>
            </w:rPr>
          </w:pPr>
          <w:r w:rsidRPr="0020113A">
            <w:rPr>
              <w:rFonts w:ascii="Times New Roman" w:hAnsi="Times New Roman"/>
              <w:sz w:val="24"/>
              <w:szCs w:val="24"/>
              <w:lang w:val="es-MX"/>
            </w:rPr>
            <w:t xml:space="preserve">-El  acta de inicio de construcción se firmó el 20 de septiembre de 2016. </w:t>
          </w:r>
        </w:p>
        <w:p w14:paraId="0C089B26" w14:textId="77777777" w:rsidR="007803E3" w:rsidRPr="0020113A" w:rsidRDefault="007803E3" w:rsidP="007803E3">
          <w:pPr>
            <w:spacing w:line="257" w:lineRule="auto"/>
            <w:ind w:left="-20" w:right="-20"/>
            <w:jc w:val="both"/>
            <w:rPr>
              <w:rFonts w:ascii="Times New Roman" w:hAnsi="Times New Roman"/>
              <w:sz w:val="24"/>
              <w:szCs w:val="24"/>
            </w:rPr>
          </w:pPr>
          <w:r w:rsidRPr="0020113A">
            <w:rPr>
              <w:rFonts w:ascii="Times New Roman" w:hAnsi="Times New Roman"/>
              <w:sz w:val="24"/>
              <w:szCs w:val="24"/>
              <w:lang w:val="es-MX"/>
            </w:rPr>
            <w:t>-De acuerdo con el área técnica, el porcentaje de avance del CAPEX para las 7 unidades funcionales (UF 0 no contempla CAPEX) es el siguiente, con corte a 31 de diciembre de 2023:</w:t>
          </w:r>
        </w:p>
        <w:p w14:paraId="4134B3FB" w14:textId="48B9E25C" w:rsidR="007803E3" w:rsidRPr="0020113A" w:rsidRDefault="007803E3" w:rsidP="11FCA23F">
          <w:pPr>
            <w:spacing w:after="0" w:line="257" w:lineRule="auto"/>
            <w:ind w:right="-20"/>
            <w:jc w:val="both"/>
            <w:rPr>
              <w:rFonts w:ascii="Times New Roman" w:hAnsi="Times New Roman"/>
              <w:sz w:val="24"/>
              <w:szCs w:val="24"/>
            </w:rPr>
          </w:pPr>
          <w:r w:rsidRPr="0020113A">
            <w:rPr>
              <w:rFonts w:ascii="Times New Roman" w:hAnsi="Times New Roman"/>
              <w:sz w:val="24"/>
              <w:szCs w:val="24"/>
              <w:lang w:val="es-MX"/>
            </w:rPr>
            <w:t>Unidad Funcional 1:100,00%</w:t>
          </w:r>
        </w:p>
        <w:p w14:paraId="1DE98059" w14:textId="77777777" w:rsidR="007803E3" w:rsidRPr="0020113A" w:rsidRDefault="007803E3" w:rsidP="11FCA23F">
          <w:pPr>
            <w:spacing w:after="0" w:line="257" w:lineRule="auto"/>
            <w:ind w:right="-20"/>
            <w:jc w:val="both"/>
            <w:rPr>
              <w:rFonts w:ascii="Times New Roman" w:hAnsi="Times New Roman"/>
              <w:sz w:val="24"/>
              <w:szCs w:val="24"/>
            </w:rPr>
          </w:pPr>
          <w:r w:rsidRPr="0020113A">
            <w:rPr>
              <w:rFonts w:ascii="Times New Roman" w:hAnsi="Times New Roman"/>
              <w:sz w:val="24"/>
              <w:szCs w:val="24"/>
              <w:lang w:val="es-MX"/>
            </w:rPr>
            <w:t>Unidad Funcional 2A:</w:t>
          </w:r>
          <w:r>
            <w:tab/>
          </w:r>
          <w:r w:rsidRPr="0020113A">
            <w:rPr>
              <w:rFonts w:ascii="Times New Roman" w:hAnsi="Times New Roman"/>
              <w:sz w:val="24"/>
              <w:szCs w:val="24"/>
              <w:lang w:val="es-MX"/>
            </w:rPr>
            <w:t>95,52%</w:t>
          </w:r>
        </w:p>
        <w:p w14:paraId="21ED99D8" w14:textId="77777777" w:rsidR="007803E3" w:rsidRPr="0020113A" w:rsidRDefault="007803E3" w:rsidP="11FCA23F">
          <w:pPr>
            <w:spacing w:after="0" w:line="257" w:lineRule="auto"/>
            <w:ind w:right="-20"/>
            <w:jc w:val="both"/>
            <w:rPr>
              <w:rFonts w:ascii="Times New Roman" w:hAnsi="Times New Roman"/>
              <w:sz w:val="24"/>
              <w:szCs w:val="24"/>
            </w:rPr>
          </w:pPr>
          <w:r w:rsidRPr="0020113A">
            <w:rPr>
              <w:rFonts w:ascii="Times New Roman" w:hAnsi="Times New Roman"/>
              <w:sz w:val="24"/>
              <w:szCs w:val="24"/>
              <w:lang w:val="es-MX"/>
            </w:rPr>
            <w:t>Unidad Funcional 2B:</w:t>
          </w:r>
          <w:r>
            <w:tab/>
          </w:r>
          <w:r w:rsidRPr="0020113A">
            <w:rPr>
              <w:rFonts w:ascii="Times New Roman" w:hAnsi="Times New Roman"/>
              <w:sz w:val="24"/>
              <w:szCs w:val="24"/>
              <w:lang w:val="es-MX"/>
            </w:rPr>
            <w:t>100,00%</w:t>
          </w:r>
        </w:p>
        <w:p w14:paraId="3333C032" w14:textId="5A1ED7E4" w:rsidR="007803E3" w:rsidRPr="0020113A" w:rsidRDefault="007803E3" w:rsidP="11FCA23F">
          <w:pPr>
            <w:spacing w:after="0" w:line="257" w:lineRule="auto"/>
            <w:ind w:right="-20"/>
            <w:jc w:val="both"/>
            <w:rPr>
              <w:rFonts w:ascii="Times New Roman" w:hAnsi="Times New Roman"/>
              <w:sz w:val="24"/>
              <w:szCs w:val="24"/>
            </w:rPr>
          </w:pPr>
          <w:r w:rsidRPr="0020113A">
            <w:rPr>
              <w:rFonts w:ascii="Times New Roman" w:hAnsi="Times New Roman"/>
              <w:sz w:val="24"/>
              <w:szCs w:val="24"/>
              <w:lang w:val="es-MX"/>
            </w:rPr>
            <w:t>Unidad Funcional 3:100,00%</w:t>
          </w:r>
        </w:p>
        <w:p w14:paraId="63611800" w14:textId="77777777" w:rsidR="007803E3" w:rsidRPr="0020113A" w:rsidRDefault="007803E3" w:rsidP="11FCA23F">
          <w:pPr>
            <w:spacing w:after="0" w:line="257" w:lineRule="auto"/>
            <w:ind w:right="-20"/>
            <w:jc w:val="both"/>
            <w:rPr>
              <w:rFonts w:ascii="Times New Roman" w:hAnsi="Times New Roman"/>
              <w:sz w:val="24"/>
              <w:szCs w:val="24"/>
            </w:rPr>
          </w:pPr>
          <w:r w:rsidRPr="0020113A">
            <w:rPr>
              <w:rFonts w:ascii="Times New Roman" w:hAnsi="Times New Roman"/>
              <w:sz w:val="24"/>
              <w:szCs w:val="24"/>
              <w:lang w:val="es-MX"/>
            </w:rPr>
            <w:t>Unidad Funcional 4A:</w:t>
          </w:r>
          <w:r>
            <w:tab/>
          </w:r>
          <w:r w:rsidRPr="0020113A">
            <w:rPr>
              <w:rFonts w:ascii="Times New Roman" w:hAnsi="Times New Roman"/>
              <w:sz w:val="24"/>
              <w:szCs w:val="24"/>
              <w:lang w:val="es-MX"/>
            </w:rPr>
            <w:t>99,37%</w:t>
          </w:r>
        </w:p>
        <w:p w14:paraId="1EE2B00A" w14:textId="77777777" w:rsidR="007803E3" w:rsidRPr="0020113A" w:rsidRDefault="007803E3" w:rsidP="11FCA23F">
          <w:pPr>
            <w:spacing w:after="0" w:line="257" w:lineRule="auto"/>
            <w:ind w:right="-20"/>
            <w:jc w:val="both"/>
            <w:rPr>
              <w:rFonts w:ascii="Times New Roman" w:hAnsi="Times New Roman"/>
              <w:sz w:val="24"/>
              <w:szCs w:val="24"/>
            </w:rPr>
          </w:pPr>
          <w:r w:rsidRPr="0020113A">
            <w:rPr>
              <w:rFonts w:ascii="Times New Roman" w:hAnsi="Times New Roman"/>
              <w:sz w:val="24"/>
              <w:szCs w:val="24"/>
              <w:lang w:val="es-MX"/>
            </w:rPr>
            <w:t>Unidad Funcional 4B:</w:t>
          </w:r>
          <w:r>
            <w:tab/>
          </w:r>
          <w:r w:rsidRPr="0020113A">
            <w:rPr>
              <w:rFonts w:ascii="Times New Roman" w:hAnsi="Times New Roman"/>
              <w:sz w:val="24"/>
              <w:szCs w:val="24"/>
              <w:lang w:val="es-MX"/>
            </w:rPr>
            <w:t>97,25%</w:t>
          </w:r>
        </w:p>
        <w:p w14:paraId="798822A8" w14:textId="69A1884D" w:rsidR="007803E3" w:rsidRPr="0020113A" w:rsidRDefault="007803E3" w:rsidP="007803E3">
          <w:pPr>
            <w:spacing w:line="257" w:lineRule="auto"/>
            <w:ind w:right="-20"/>
            <w:jc w:val="both"/>
            <w:rPr>
              <w:rFonts w:ascii="Times New Roman" w:hAnsi="Times New Roman"/>
              <w:sz w:val="24"/>
              <w:szCs w:val="24"/>
            </w:rPr>
          </w:pPr>
          <w:r w:rsidRPr="0020113A">
            <w:rPr>
              <w:rFonts w:ascii="Times New Roman" w:hAnsi="Times New Roman"/>
              <w:sz w:val="24"/>
              <w:szCs w:val="24"/>
              <w:lang w:val="es-MX"/>
            </w:rPr>
            <w:t>Unidad Funcional 5:100,00%</w:t>
          </w:r>
        </w:p>
        <w:p w14:paraId="76A67B9E" w14:textId="77777777" w:rsidR="007803E3" w:rsidRPr="0020113A" w:rsidRDefault="007803E3" w:rsidP="007803E3">
          <w:pPr>
            <w:spacing w:line="257" w:lineRule="auto"/>
            <w:ind w:left="-20" w:right="-20"/>
            <w:jc w:val="both"/>
            <w:rPr>
              <w:rFonts w:ascii="Times New Roman" w:hAnsi="Times New Roman"/>
              <w:sz w:val="24"/>
              <w:szCs w:val="24"/>
            </w:rPr>
          </w:pPr>
          <w:r w:rsidRPr="0020113A">
            <w:rPr>
              <w:rFonts w:ascii="Times New Roman" w:hAnsi="Times New Roman"/>
              <w:sz w:val="24"/>
              <w:szCs w:val="24"/>
              <w:lang w:val="es-MX"/>
            </w:rPr>
            <w:t>Se debe precisar que se realizaron modificaciones en la proyeccion del CAPEX por ejecutar, en precios constantes del mes referencia</w:t>
          </w:r>
        </w:p>
        <w:p w14:paraId="6BE14E83" w14:textId="77777777" w:rsidR="007803E3" w:rsidRPr="0020113A" w:rsidRDefault="007803E3" w:rsidP="007803E3">
          <w:pPr>
            <w:spacing w:line="257" w:lineRule="auto"/>
            <w:ind w:left="-20" w:right="-20"/>
            <w:jc w:val="both"/>
            <w:rPr>
              <w:rFonts w:ascii="Times New Roman" w:hAnsi="Times New Roman"/>
              <w:sz w:val="24"/>
              <w:szCs w:val="24"/>
            </w:rPr>
          </w:pPr>
          <w:r w:rsidRPr="0020113A">
            <w:rPr>
              <w:rFonts w:ascii="Times New Roman" w:hAnsi="Times New Roman"/>
              <w:sz w:val="24"/>
              <w:szCs w:val="24"/>
              <w:lang w:val="es-MX"/>
            </w:rPr>
            <w:t>-Para las unidades funcionales 2A, 4A y 4B se tiene previsto se complete un avance del 100% del CAPEX en el año 2024.</w:t>
          </w:r>
        </w:p>
        <w:p w14:paraId="3D8DEA01" w14:textId="77777777" w:rsidR="007803E3" w:rsidRPr="0020113A" w:rsidRDefault="007803E3" w:rsidP="007803E3">
          <w:pPr>
            <w:spacing w:line="257" w:lineRule="auto"/>
            <w:ind w:left="-20" w:right="-20"/>
            <w:jc w:val="both"/>
            <w:rPr>
              <w:rFonts w:ascii="Times New Roman" w:hAnsi="Times New Roman"/>
              <w:sz w:val="24"/>
              <w:szCs w:val="24"/>
            </w:rPr>
          </w:pPr>
          <w:r w:rsidRPr="0020113A">
            <w:rPr>
              <w:rFonts w:ascii="Times New Roman" w:hAnsi="Times New Roman"/>
              <w:sz w:val="24"/>
              <w:szCs w:val="24"/>
              <w:lang w:val="es-MX"/>
            </w:rPr>
            <w:lastRenderedPageBreak/>
            <w:t>Según lo establecido en Contrato en su Parte Especial - Numeral 3.3.- División del Proyecto. El Corredor Neiva-Espinal-Girardot, se divide en 5 Unidades Funcionales constructivas y una Unidad Funcional de Operación y Mantenimiento (UF0 Transversal a todo el proyecto).</w:t>
          </w:r>
        </w:p>
        <w:p w14:paraId="0857104B" w14:textId="77777777" w:rsidR="007803E3" w:rsidRPr="0020113A" w:rsidRDefault="007803E3" w:rsidP="007803E3">
          <w:pPr>
            <w:spacing w:line="257" w:lineRule="auto"/>
            <w:ind w:left="-20" w:right="-20"/>
            <w:jc w:val="both"/>
            <w:rPr>
              <w:rFonts w:ascii="Times New Roman" w:hAnsi="Times New Roman"/>
              <w:sz w:val="24"/>
              <w:szCs w:val="24"/>
            </w:rPr>
          </w:pPr>
          <w:r w:rsidRPr="0020113A">
            <w:rPr>
              <w:rFonts w:ascii="Times New Roman" w:hAnsi="Times New Roman"/>
              <w:sz w:val="24"/>
              <w:szCs w:val="24"/>
              <w:lang w:val="es-MX"/>
            </w:rPr>
            <w:t>-La fecha para el inicio de la etapa de operación y mantenimiento será cuando se entreguen todas las Unidades Funcionales, estando pendiente la UF 2A, UF 4A y UF 4B. Por Unidad Funcional, la operación inició en las siguientes fechas:</w:t>
          </w:r>
        </w:p>
        <w:p w14:paraId="0F18BE41" w14:textId="6F47D615" w:rsidR="007803E3" w:rsidRPr="0020113A" w:rsidRDefault="007803E3" w:rsidP="007803E3">
          <w:pPr>
            <w:spacing w:line="257" w:lineRule="auto"/>
            <w:ind w:left="-20" w:right="-20"/>
            <w:jc w:val="both"/>
            <w:rPr>
              <w:rFonts w:ascii="Times New Roman" w:hAnsi="Times New Roman"/>
              <w:sz w:val="24"/>
              <w:szCs w:val="24"/>
            </w:rPr>
          </w:pPr>
          <w:r w:rsidRPr="0020113A">
            <w:rPr>
              <w:rFonts w:ascii="Times New Roman" w:hAnsi="Times New Roman"/>
              <w:sz w:val="24"/>
              <w:szCs w:val="24"/>
              <w:lang w:val="es-MX"/>
            </w:rPr>
            <w:t>UNIDAD FUNCIONAL 1 = Acta de Terminación 20 de octubre de 2017</w:t>
          </w:r>
          <w:r>
            <w:br/>
          </w:r>
          <w:r w:rsidRPr="0020113A">
            <w:rPr>
              <w:rFonts w:ascii="Times New Roman" w:hAnsi="Times New Roman"/>
              <w:sz w:val="24"/>
              <w:szCs w:val="24"/>
              <w:lang w:val="es-MX"/>
            </w:rPr>
            <w:t>UNIDAD FUNCIONAL 2A = Acta de Terminación 29 de agosto de 2022</w:t>
          </w:r>
          <w:r>
            <w:br/>
          </w:r>
          <w:r w:rsidRPr="0020113A">
            <w:rPr>
              <w:rFonts w:ascii="Times New Roman" w:hAnsi="Times New Roman"/>
              <w:sz w:val="24"/>
              <w:szCs w:val="24"/>
              <w:lang w:val="es-MX"/>
            </w:rPr>
            <w:t>UNIDAD FUNCIONAL 2B = Acta de Terminación 31 de marzo de 2022</w:t>
          </w:r>
          <w:r>
            <w:br/>
          </w:r>
          <w:r w:rsidRPr="0020113A">
            <w:rPr>
              <w:rFonts w:ascii="Times New Roman" w:hAnsi="Times New Roman"/>
              <w:sz w:val="24"/>
              <w:szCs w:val="24"/>
              <w:lang w:val="es-MX"/>
            </w:rPr>
            <w:t>UNIDAD FUNCIONAL 3 = Acta de Terminación 5 de agosto de 2020</w:t>
          </w:r>
          <w:r>
            <w:br/>
          </w:r>
          <w:r w:rsidRPr="0020113A">
            <w:rPr>
              <w:rFonts w:ascii="Times New Roman" w:hAnsi="Times New Roman"/>
              <w:sz w:val="24"/>
              <w:szCs w:val="24"/>
              <w:lang w:val="es-MX"/>
            </w:rPr>
            <w:t>UNIDAD FUNCIONAL 4A = Acta de Terminación parcial el 29 junio 2022. Acta terminación definitiva 7 de diciembre de 2023</w:t>
          </w:r>
          <w:r>
            <w:br/>
          </w:r>
          <w:r w:rsidRPr="0020113A">
            <w:rPr>
              <w:rFonts w:ascii="Times New Roman" w:hAnsi="Times New Roman"/>
              <w:sz w:val="24"/>
              <w:szCs w:val="24"/>
              <w:lang w:val="es-MX"/>
            </w:rPr>
            <w:t xml:space="preserve"> UNIDAD FUNCIONAL 4B = Acta de Terminación Parcial 28 de octubre de 2022</w:t>
          </w:r>
          <w:r>
            <w:br/>
          </w:r>
          <w:r w:rsidRPr="0020113A">
            <w:rPr>
              <w:rFonts w:ascii="Times New Roman" w:hAnsi="Times New Roman"/>
              <w:sz w:val="24"/>
              <w:szCs w:val="24"/>
              <w:lang w:val="es-MX"/>
            </w:rPr>
            <w:t xml:space="preserve"> UNIDAD FUNCIONAL 5 = Acta de Terminación 28 de enero de 2019</w:t>
          </w:r>
        </w:p>
        <w:p w14:paraId="43476F26" w14:textId="77777777" w:rsidR="007803E3" w:rsidRPr="0020113A" w:rsidRDefault="007803E3" w:rsidP="007803E3">
          <w:pPr>
            <w:spacing w:line="257" w:lineRule="auto"/>
            <w:ind w:left="-20" w:right="-20"/>
            <w:jc w:val="both"/>
            <w:rPr>
              <w:rFonts w:ascii="Times New Roman" w:hAnsi="Times New Roman"/>
              <w:sz w:val="24"/>
              <w:szCs w:val="24"/>
            </w:rPr>
          </w:pPr>
          <w:r w:rsidRPr="0020113A">
            <w:rPr>
              <w:rFonts w:ascii="Times New Roman" w:hAnsi="Times New Roman"/>
              <w:sz w:val="24"/>
              <w:szCs w:val="24"/>
              <w:lang w:val="es-MX"/>
            </w:rPr>
            <w:t xml:space="preserve">De lo anterior, se concluye que la única Unidad Funcional que a la fecha no cuenta con acta de terminación definitiva es la UF4B, por lo que, al suscribir dicha acta (a pesar que en las Unidades 2A, 4A y 4B existan faltantes que no permitan llevar la ejecución al 100%) se pasaría de manera automática a etapa de Operación y Mantenimiento, y en dicha etapa se terminarían las respectivas ejecuciones, no obstante, dado que lo que mas pesa en las ejecución es lo relacionado a ITS y se está exigiendo su finalización para la suscripción del Acta de Terminación de la UF4B, se espera que sean del 100% las ejecuciones. </w:t>
          </w:r>
        </w:p>
        <w:p w14:paraId="267FCCBD" w14:textId="77777777" w:rsidR="007803E3" w:rsidRPr="0020113A" w:rsidRDefault="007803E3" w:rsidP="007803E3">
          <w:pPr>
            <w:spacing w:line="257" w:lineRule="auto"/>
            <w:ind w:left="-20" w:right="-20"/>
            <w:jc w:val="both"/>
            <w:rPr>
              <w:rFonts w:ascii="Times New Roman" w:hAnsi="Times New Roman"/>
              <w:sz w:val="24"/>
              <w:szCs w:val="24"/>
            </w:rPr>
          </w:pPr>
          <w:r w:rsidRPr="0020113A">
            <w:rPr>
              <w:rFonts w:ascii="Times New Roman" w:hAnsi="Times New Roman"/>
              <w:sz w:val="24"/>
              <w:szCs w:val="24"/>
              <w:lang w:val="es-MX"/>
            </w:rPr>
            <w:t>La distribución del OPEX en el modelo contable se realiza de manera lineaL.</w:t>
          </w:r>
        </w:p>
        <w:p w14:paraId="0FDE3087" w14:textId="77777777" w:rsidR="007803E3" w:rsidRPr="0020113A" w:rsidRDefault="007803E3" w:rsidP="007803E3">
          <w:pPr>
            <w:spacing w:line="257" w:lineRule="auto"/>
            <w:ind w:left="-20" w:right="-20"/>
            <w:jc w:val="both"/>
            <w:rPr>
              <w:rFonts w:ascii="Times New Roman" w:hAnsi="Times New Roman"/>
              <w:sz w:val="24"/>
              <w:szCs w:val="24"/>
            </w:rPr>
          </w:pPr>
          <w:r w:rsidRPr="0020113A">
            <w:rPr>
              <w:rFonts w:ascii="Times New Roman" w:hAnsi="Times New Roman"/>
              <w:sz w:val="24"/>
              <w:szCs w:val="24"/>
              <w:lang w:val="es-MX"/>
            </w:rPr>
            <w:t>El mantenimiento mayor se proyecta con una periodicidad aproximada de cinco años contados a partir de la entrega de cada unidad funcional.</w:t>
          </w:r>
        </w:p>
        <w:p w14:paraId="59F8518E" w14:textId="77777777" w:rsidR="007803E3" w:rsidRPr="0020113A" w:rsidRDefault="007803E3" w:rsidP="007803E3">
          <w:pPr>
            <w:spacing w:line="257" w:lineRule="auto"/>
            <w:ind w:left="-20" w:right="-20"/>
            <w:rPr>
              <w:rFonts w:ascii="Times New Roman" w:hAnsi="Times New Roman"/>
              <w:b/>
              <w:sz w:val="24"/>
              <w:szCs w:val="24"/>
              <w:lang w:val="es-MX"/>
            </w:rPr>
          </w:pPr>
          <w:r w:rsidRPr="0020113A">
            <w:rPr>
              <w:rFonts w:ascii="Times New Roman" w:hAnsi="Times New Roman"/>
              <w:b/>
              <w:sz w:val="24"/>
              <w:szCs w:val="24"/>
              <w:lang w:val="es-MX"/>
            </w:rPr>
            <w:t xml:space="preserve">Términos de Certeza de Flujos de Efectivo Futuros: </w:t>
          </w:r>
          <w:r w:rsidRPr="0020113A">
            <w:rPr>
              <w:rFonts w:ascii="Times New Roman" w:hAnsi="Times New Roman"/>
              <w:sz w:val="24"/>
              <w:szCs w:val="24"/>
              <w:lang w:val="es-MX"/>
            </w:rPr>
            <w:t>Las variables que pueden afectar los flujos de efectivo son principalmente el riesgo por sobrecostos y el riesgo por menor recaudo. Ver Capítulo XIII  Ecuación Contractual y Asignación de Riesgos, de la Parte General del Contrato de Concesión.</w:t>
          </w:r>
        </w:p>
        <w:p w14:paraId="265D9C5D" w14:textId="77777777" w:rsidR="007803E3" w:rsidRPr="0020113A" w:rsidRDefault="007803E3" w:rsidP="00E60BAB">
          <w:pPr>
            <w:pStyle w:val="Prrafodelista"/>
            <w:numPr>
              <w:ilvl w:val="0"/>
              <w:numId w:val="68"/>
            </w:numPr>
            <w:spacing w:line="259" w:lineRule="auto"/>
            <w:ind w:left="720"/>
            <w:rPr>
              <w:rFonts w:ascii="Times New Roman" w:hAnsi="Times New Roman"/>
              <w:b/>
              <w:sz w:val="24"/>
              <w:szCs w:val="24"/>
              <w:lang w:val="es-MX"/>
            </w:rPr>
          </w:pPr>
          <w:r w:rsidRPr="0020113A">
            <w:rPr>
              <w:rFonts w:ascii="Times New Roman" w:hAnsi="Times New Roman"/>
              <w:b/>
              <w:sz w:val="24"/>
              <w:szCs w:val="24"/>
              <w:lang w:val="es-MX"/>
            </w:rPr>
            <w:t>Naturaleza y alcance del derecho a utilizar activos especificados, de los aspectos pactados en torno a lo que se espera que el concesionario proporcione en relación con el acuerdo de concesión</w:t>
          </w:r>
        </w:p>
        <w:p w14:paraId="70446536" w14:textId="77777777" w:rsidR="007803E3" w:rsidRPr="0020113A" w:rsidRDefault="007803E3" w:rsidP="007803E3">
          <w:pPr>
            <w:jc w:val="center"/>
            <w:rPr>
              <w:rFonts w:ascii="Times New Roman" w:hAnsi="Times New Roman"/>
              <w:b/>
              <w:sz w:val="24"/>
              <w:szCs w:val="24"/>
              <w:lang w:val="es-MX"/>
            </w:rPr>
          </w:pPr>
          <w:r w:rsidRPr="0020113A">
            <w:rPr>
              <w:rFonts w:ascii="Times New Roman" w:hAnsi="Times New Roman"/>
              <w:b/>
              <w:sz w:val="24"/>
              <w:szCs w:val="24"/>
              <w:lang w:val="es-MX"/>
            </w:rPr>
            <w:t>Naturaleza y alcance del derecho de uso de los activos</w:t>
          </w:r>
        </w:p>
        <w:p w14:paraId="0AEBC91F"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Descripción: </w:t>
          </w:r>
          <w:r w:rsidRPr="0020113A">
            <w:rPr>
              <w:rFonts w:ascii="Times New Roman" w:hAnsi="Times New Roman"/>
              <w:sz w:val="24"/>
              <w:szCs w:val="24"/>
              <w:lang w:val="es-MX"/>
            </w:rPr>
            <w:t>A continuación, se presenta la descripción de las vías descritas en La Parte Especial del Contrato de Concesión literal (b) numeral 3.5 Entrega de la Infraestructura: Tramos de ruta 45 que hacen parte del corredor</w:t>
          </w:r>
        </w:p>
        <w:p w14:paraId="128F7186" w14:textId="77777777" w:rsidR="007803E3" w:rsidRPr="0020113A" w:rsidRDefault="007803E3" w:rsidP="11FCA23F">
          <w:pPr>
            <w:spacing w:after="0"/>
            <w:rPr>
              <w:rFonts w:ascii="Times New Roman" w:hAnsi="Times New Roman"/>
              <w:sz w:val="24"/>
              <w:szCs w:val="24"/>
              <w:lang w:val="pt-PT"/>
            </w:rPr>
          </w:pPr>
          <w:r w:rsidRPr="0020113A">
            <w:rPr>
              <w:rFonts w:ascii="Times New Roman" w:hAnsi="Times New Roman"/>
              <w:sz w:val="24"/>
              <w:szCs w:val="24"/>
              <w:lang w:val="pt-PT"/>
            </w:rPr>
            <w:t>ORIGEN = Juncal PR 000+000 DESTINO = Neiva PR 21+300 21,3 km</w:t>
          </w:r>
        </w:p>
        <w:p w14:paraId="2402CB31" w14:textId="77777777" w:rsidR="007803E3" w:rsidRPr="0020113A" w:rsidRDefault="007803E3" w:rsidP="11FCA23F">
          <w:pPr>
            <w:spacing w:after="0"/>
            <w:rPr>
              <w:rFonts w:ascii="Times New Roman" w:hAnsi="Times New Roman"/>
              <w:sz w:val="24"/>
              <w:szCs w:val="24"/>
              <w:lang w:val="es-MX"/>
            </w:rPr>
          </w:pPr>
          <w:r w:rsidRPr="0020113A">
            <w:rPr>
              <w:rFonts w:ascii="Times New Roman" w:hAnsi="Times New Roman"/>
              <w:sz w:val="24"/>
              <w:szCs w:val="24"/>
              <w:lang w:val="es-MX"/>
            </w:rPr>
            <w:t>-Vía secundaría pavimentada en regular estado con un ancho de calzada de 9.3 m</w:t>
          </w:r>
        </w:p>
        <w:p w14:paraId="1A39E268" w14:textId="77777777" w:rsidR="007803E3" w:rsidRPr="0020113A" w:rsidRDefault="007803E3" w:rsidP="11FCA23F">
          <w:pPr>
            <w:spacing w:after="0"/>
            <w:rPr>
              <w:rFonts w:ascii="Times New Roman" w:hAnsi="Times New Roman"/>
              <w:sz w:val="24"/>
              <w:szCs w:val="24"/>
              <w:lang w:val="es-MX"/>
            </w:rPr>
          </w:pPr>
          <w:r w:rsidRPr="0020113A">
            <w:rPr>
              <w:rFonts w:ascii="Times New Roman" w:hAnsi="Times New Roman"/>
              <w:sz w:val="24"/>
              <w:szCs w:val="24"/>
              <w:lang w:val="es-MX"/>
            </w:rPr>
            <w:t>ORIGEN = Neiva PR 21 +300 DESTINO = Castilla PR 107+000 107 km</w:t>
          </w:r>
        </w:p>
        <w:p w14:paraId="39AF6DD3" w14:textId="77777777" w:rsidR="007803E3" w:rsidRPr="0020113A" w:rsidRDefault="007803E3" w:rsidP="11FCA23F">
          <w:pPr>
            <w:spacing w:after="0"/>
            <w:rPr>
              <w:rFonts w:ascii="Times New Roman" w:hAnsi="Times New Roman"/>
              <w:sz w:val="24"/>
              <w:szCs w:val="24"/>
              <w:lang w:val="es-MX"/>
            </w:rPr>
          </w:pPr>
          <w:r w:rsidRPr="0020113A">
            <w:rPr>
              <w:rFonts w:ascii="Times New Roman" w:hAnsi="Times New Roman"/>
              <w:sz w:val="24"/>
              <w:szCs w:val="24"/>
              <w:lang w:val="es-MX"/>
            </w:rPr>
            <w:lastRenderedPageBreak/>
            <w:t>-Vía concesionada de primer orden, bidireccional pavimentada.</w:t>
          </w:r>
        </w:p>
        <w:p w14:paraId="1A14FA6B" w14:textId="77777777" w:rsidR="007803E3" w:rsidRPr="0020113A" w:rsidRDefault="007803E3" w:rsidP="11FCA23F">
          <w:pPr>
            <w:spacing w:after="0"/>
            <w:rPr>
              <w:rFonts w:ascii="Times New Roman" w:hAnsi="Times New Roman"/>
              <w:sz w:val="24"/>
              <w:szCs w:val="24"/>
              <w:lang w:val="es-MX"/>
            </w:rPr>
          </w:pPr>
          <w:r w:rsidRPr="0020113A">
            <w:rPr>
              <w:rFonts w:ascii="Times New Roman" w:hAnsi="Times New Roman"/>
              <w:sz w:val="24"/>
              <w:szCs w:val="24"/>
              <w:lang w:val="es-MX"/>
            </w:rPr>
            <w:t>ORIGEN = Castilla PR 107+000 DESTINO = Girardot PR 60+800 60.8 km</w:t>
          </w:r>
        </w:p>
        <w:p w14:paraId="31D78847" w14:textId="77777777" w:rsidR="007803E3" w:rsidRPr="0020113A" w:rsidRDefault="007803E3" w:rsidP="11FCA23F">
          <w:pPr>
            <w:spacing w:after="0"/>
            <w:jc w:val="both"/>
            <w:rPr>
              <w:rFonts w:ascii="Times New Roman" w:hAnsi="Times New Roman"/>
              <w:sz w:val="24"/>
              <w:szCs w:val="24"/>
              <w:lang w:val="es-MX"/>
            </w:rPr>
          </w:pPr>
          <w:r w:rsidRPr="0020113A">
            <w:rPr>
              <w:rFonts w:ascii="Times New Roman" w:hAnsi="Times New Roman"/>
              <w:sz w:val="24"/>
              <w:szCs w:val="24"/>
              <w:lang w:val="es-MX"/>
            </w:rPr>
            <w:t>-Vía concesionada de primer orden, bidireccional pavimentada.</w:t>
          </w:r>
        </w:p>
        <w:p w14:paraId="3493E87B" w14:textId="77777777" w:rsidR="007803E3" w:rsidRPr="0020113A" w:rsidRDefault="007803E3" w:rsidP="11FCA23F">
          <w:pPr>
            <w:spacing w:after="0"/>
            <w:jc w:val="both"/>
            <w:rPr>
              <w:rFonts w:ascii="Times New Roman" w:hAnsi="Times New Roman"/>
              <w:sz w:val="24"/>
              <w:szCs w:val="24"/>
              <w:lang w:val="es-MX"/>
            </w:rPr>
          </w:pPr>
          <w:r w:rsidRPr="0020113A">
            <w:rPr>
              <w:rFonts w:ascii="Times New Roman" w:hAnsi="Times New Roman"/>
              <w:sz w:val="24"/>
              <w:szCs w:val="24"/>
              <w:lang w:val="es-MX"/>
            </w:rPr>
            <w:t>En el numeral 3.6 Estaciones de Peaje, Parte Especial del contrato de Concesión literal (a) se enuncian las estaciones de Peaje existentes como parte de la infraestructura a ser entregada por la ANI al Concesionario el 21 de junio de 2016 así:</w:t>
          </w:r>
        </w:p>
        <w:p w14:paraId="294A849C" w14:textId="77777777" w:rsidR="007803E3" w:rsidRPr="0020113A" w:rsidRDefault="007803E3" w:rsidP="11FCA23F">
          <w:pPr>
            <w:spacing w:after="0"/>
            <w:rPr>
              <w:rFonts w:ascii="Times New Roman" w:hAnsi="Times New Roman"/>
              <w:sz w:val="24"/>
              <w:szCs w:val="24"/>
            </w:rPr>
          </w:pPr>
          <w:r w:rsidRPr="0020113A">
            <w:rPr>
              <w:rFonts w:ascii="Times New Roman" w:hAnsi="Times New Roman"/>
              <w:sz w:val="24"/>
              <w:szCs w:val="24"/>
              <w:lang w:val="es-MX"/>
            </w:rPr>
            <w:t>CASETA DE PEAJE NEIVA - PR3 +300 – UF 2 – Entregada el 21 de junio de 2016</w:t>
          </w:r>
        </w:p>
        <w:p w14:paraId="2ACE2AEA" w14:textId="77777777" w:rsidR="007803E3" w:rsidRPr="0020113A" w:rsidRDefault="007803E3" w:rsidP="11FCA23F">
          <w:pPr>
            <w:spacing w:after="0"/>
            <w:rPr>
              <w:rFonts w:ascii="Times New Roman" w:hAnsi="Times New Roman"/>
              <w:sz w:val="24"/>
              <w:szCs w:val="24"/>
            </w:rPr>
          </w:pPr>
          <w:r w:rsidRPr="0020113A">
            <w:rPr>
              <w:rFonts w:ascii="Times New Roman" w:hAnsi="Times New Roman"/>
              <w:sz w:val="24"/>
              <w:szCs w:val="24"/>
              <w:lang w:val="es-MX"/>
            </w:rPr>
            <w:t>CASETA DE PEAJE PATÁ - PR53 +400 – UF 3 – Entregada el 21 de junio de 2016</w:t>
          </w:r>
        </w:p>
        <w:p w14:paraId="42512F78" w14:textId="77777777" w:rsidR="007803E3" w:rsidRPr="0020113A" w:rsidRDefault="007803E3" w:rsidP="11FCA23F">
          <w:pPr>
            <w:spacing w:after="0"/>
            <w:rPr>
              <w:rFonts w:ascii="Times New Roman" w:hAnsi="Times New Roman"/>
              <w:sz w:val="24"/>
              <w:szCs w:val="24"/>
            </w:rPr>
          </w:pPr>
          <w:r w:rsidRPr="0020113A">
            <w:rPr>
              <w:rFonts w:ascii="Times New Roman" w:hAnsi="Times New Roman"/>
              <w:sz w:val="24"/>
              <w:szCs w:val="24"/>
              <w:lang w:val="es-MX"/>
            </w:rPr>
            <w:t>CASETA DE PEAJE FLANDES – PR155 +370 – UF 5 – Entregada el 21 de junio de 2016</w:t>
          </w:r>
        </w:p>
        <w:p w14:paraId="334621E6" w14:textId="25670A09" w:rsidR="6EC97610" w:rsidRDefault="6EC97610" w:rsidP="6EC97610">
          <w:pPr>
            <w:rPr>
              <w:rFonts w:ascii="Times New Roman" w:hAnsi="Times New Roman"/>
              <w:b/>
              <w:bCs/>
              <w:sz w:val="24"/>
              <w:szCs w:val="24"/>
              <w:lang w:val="es-MX"/>
            </w:rPr>
          </w:pPr>
        </w:p>
        <w:p w14:paraId="3F96EDFA" w14:textId="77777777" w:rsidR="007803E3" w:rsidRPr="0020113A" w:rsidRDefault="007803E3" w:rsidP="007803E3">
          <w:pPr>
            <w:rPr>
              <w:rFonts w:ascii="Times New Roman" w:hAnsi="Times New Roman"/>
              <w:bCs/>
              <w:sz w:val="24"/>
              <w:szCs w:val="24"/>
              <w:lang w:val="es-MX"/>
            </w:rPr>
          </w:pPr>
          <w:r w:rsidRPr="0020113A">
            <w:rPr>
              <w:rFonts w:ascii="Times New Roman" w:hAnsi="Times New Roman"/>
              <w:b/>
              <w:sz w:val="24"/>
              <w:szCs w:val="24"/>
              <w:lang w:val="es-MX"/>
            </w:rPr>
            <w:t xml:space="preserve">Observaciones: </w:t>
          </w:r>
          <w:r w:rsidRPr="0020113A">
            <w:rPr>
              <w:rFonts w:ascii="Times New Roman" w:hAnsi="Times New Roman"/>
              <w:bCs/>
              <w:sz w:val="24"/>
              <w:szCs w:val="24"/>
              <w:lang w:val="es-MX"/>
            </w:rPr>
            <w:t>No aplica</w:t>
          </w:r>
        </w:p>
        <w:p w14:paraId="1C34726E" w14:textId="77777777" w:rsidR="007803E3" w:rsidRPr="0020113A" w:rsidRDefault="007803E3" w:rsidP="007803E3">
          <w:pPr>
            <w:jc w:val="center"/>
            <w:rPr>
              <w:rFonts w:ascii="Times New Roman" w:hAnsi="Times New Roman"/>
              <w:b/>
              <w:sz w:val="24"/>
              <w:szCs w:val="24"/>
              <w:lang w:val="es-MX"/>
            </w:rPr>
          </w:pPr>
          <w:r w:rsidRPr="0020113A">
            <w:rPr>
              <w:rFonts w:ascii="Times New Roman" w:hAnsi="Times New Roman"/>
              <w:b/>
              <w:sz w:val="24"/>
              <w:szCs w:val="24"/>
              <w:lang w:val="es-MX"/>
            </w:rPr>
            <w:t>Retribución al Concesionario</w:t>
          </w:r>
        </w:p>
        <w:p w14:paraId="23169AF0" w14:textId="77777777" w:rsidR="007803E3" w:rsidRPr="0020113A" w:rsidRDefault="007803E3" w:rsidP="007803E3">
          <w:pPr>
            <w:spacing w:line="257" w:lineRule="auto"/>
            <w:ind w:left="-20" w:right="-20"/>
            <w:rPr>
              <w:rFonts w:ascii="Times New Roman" w:hAnsi="Times New Roman"/>
              <w:b/>
              <w:sz w:val="24"/>
              <w:szCs w:val="24"/>
              <w:lang w:val="es-MX"/>
            </w:rPr>
          </w:pPr>
          <w:r w:rsidRPr="0020113A">
            <w:rPr>
              <w:rFonts w:ascii="Times New Roman" w:hAnsi="Times New Roman"/>
              <w:b/>
              <w:sz w:val="24"/>
              <w:szCs w:val="24"/>
              <w:lang w:val="es-MX"/>
            </w:rPr>
            <w:t xml:space="preserve">Descripción: </w:t>
          </w:r>
          <w:r w:rsidRPr="0020113A">
            <w:rPr>
              <w:rFonts w:ascii="Times New Roman" w:hAnsi="Times New Roman"/>
              <w:sz w:val="24"/>
              <w:szCs w:val="24"/>
              <w:lang w:val="es-MX"/>
            </w:rPr>
            <w:t>Parte Especial, Capitulo IV, Numeral 4.3 Cálculo de la Retribución. La Retribución total será la suma de la Retribución de las Unidades Funcionales. El Cálculo de la Retribución por Unidad funcional para cada Mes será efectuado de acuerdo con la siguiente fórmula:</w:t>
          </w:r>
        </w:p>
        <w:p w14:paraId="3542ACC6" w14:textId="77777777" w:rsidR="007803E3" w:rsidRPr="0020113A" w:rsidRDefault="007803E3" w:rsidP="007803E3">
          <w:pPr>
            <w:spacing w:line="257" w:lineRule="auto"/>
            <w:ind w:left="-20" w:right="-20"/>
            <w:jc w:val="center"/>
            <w:rPr>
              <w:rFonts w:ascii="Times New Roman" w:hAnsi="Times New Roman"/>
              <w:sz w:val="24"/>
              <w:szCs w:val="24"/>
            </w:rPr>
          </w:pPr>
          <w:r w:rsidRPr="0020113A">
            <w:rPr>
              <w:rFonts w:ascii="Times New Roman" w:hAnsi="Times New Roman"/>
              <w:noProof/>
              <w:sz w:val="24"/>
              <w:szCs w:val="24"/>
            </w:rPr>
            <w:drawing>
              <wp:inline distT="0" distB="0" distL="0" distR="0" wp14:anchorId="6F1A4ED3" wp14:editId="5F4EEC63">
                <wp:extent cx="1896020" cy="371888"/>
                <wp:effectExtent l="0" t="0" r="0" b="0"/>
                <wp:docPr id="399089746" name="Imagen 39908974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089746" name="Imagen 399089746" descr="Texto&#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1896020" cy="371888"/>
                        </a:xfrm>
                        <a:prstGeom prst="rect">
                          <a:avLst/>
                        </a:prstGeom>
                      </pic:spPr>
                    </pic:pic>
                  </a:graphicData>
                </a:graphic>
              </wp:inline>
            </w:drawing>
          </w:r>
        </w:p>
        <w:p w14:paraId="59EAFBA0" w14:textId="77777777" w:rsidR="007803E3" w:rsidRPr="0020113A" w:rsidRDefault="007803E3" w:rsidP="007803E3">
          <w:pPr>
            <w:spacing w:line="257" w:lineRule="auto"/>
            <w:ind w:left="-20" w:right="-20"/>
            <w:jc w:val="both"/>
            <w:rPr>
              <w:rFonts w:ascii="Times New Roman" w:hAnsi="Times New Roman"/>
              <w:b/>
              <w:sz w:val="24"/>
              <w:szCs w:val="24"/>
              <w:lang w:val="es-MX"/>
            </w:rPr>
          </w:pPr>
          <w:r w:rsidRPr="0020113A">
            <w:rPr>
              <w:rFonts w:ascii="Times New Roman" w:hAnsi="Times New Roman"/>
              <w:b/>
              <w:sz w:val="24"/>
              <w:szCs w:val="24"/>
              <w:lang w:val="es-MX"/>
            </w:rPr>
            <w:t xml:space="preserve">Tasa de Retribución: </w:t>
          </w:r>
          <w:r w:rsidRPr="0020113A">
            <w:rPr>
              <w:rFonts w:ascii="Times New Roman" w:eastAsia="Times New Roman" w:hAnsi="Times New Roman"/>
              <w:sz w:val="24"/>
              <w:szCs w:val="24"/>
              <w:lang w:val="es-MX"/>
            </w:rPr>
            <w:t>La tasa de descuento real (TDI) expresada en términos efectivos mensuales, para efectos de este proyecto, será del cero punto sesenta y cuatro sesenta y cinco por ciento (0,6465%)</w:t>
          </w:r>
        </w:p>
        <w:p w14:paraId="26C3FED8" w14:textId="77777777" w:rsidR="007803E3" w:rsidRPr="0020113A" w:rsidRDefault="007803E3" w:rsidP="007803E3">
          <w:pPr>
            <w:spacing w:line="257" w:lineRule="auto"/>
            <w:ind w:left="-20" w:right="-20"/>
            <w:jc w:val="both"/>
            <w:rPr>
              <w:rFonts w:ascii="Times New Roman" w:hAnsi="Times New Roman"/>
              <w:sz w:val="24"/>
              <w:szCs w:val="24"/>
            </w:rPr>
          </w:pPr>
          <w:r w:rsidRPr="0020113A">
            <w:rPr>
              <w:rFonts w:ascii="Times New Roman" w:eastAsia="Times New Roman" w:hAnsi="Times New Roman"/>
              <w:sz w:val="24"/>
              <w:szCs w:val="24"/>
              <w:lang w:val="es-MX"/>
            </w:rPr>
            <w:t xml:space="preserve"> E</w:t>
          </w:r>
          <w:r w:rsidRPr="0020113A">
            <w:rPr>
              <w:rFonts w:ascii="Times New Roman" w:hAnsi="Times New Roman"/>
              <w:sz w:val="24"/>
              <w:szCs w:val="24"/>
              <w:lang w:val="es-MX"/>
            </w:rPr>
            <w:t>l valor de las actas de retribución por UF, al corte del 31 de diciembre de 2023 son las siguientes:</w:t>
          </w:r>
        </w:p>
        <w:p w14:paraId="48147684" w14:textId="77777777" w:rsidR="007803E3" w:rsidRPr="0080485B" w:rsidRDefault="007803E3" w:rsidP="6EC97610">
          <w:pPr>
            <w:spacing w:after="0" w:line="257" w:lineRule="auto"/>
            <w:ind w:left="-20" w:right="-20"/>
            <w:rPr>
              <w:rFonts w:ascii="Times New Roman" w:hAnsi="Times New Roman"/>
              <w:sz w:val="24"/>
              <w:szCs w:val="24"/>
              <w:lang w:val="de-DE"/>
            </w:rPr>
          </w:pPr>
          <w:r w:rsidRPr="0080485B">
            <w:rPr>
              <w:rFonts w:ascii="Times New Roman" w:hAnsi="Times New Roman"/>
              <w:sz w:val="24"/>
              <w:szCs w:val="24"/>
              <w:lang w:val="de-DE"/>
            </w:rPr>
            <w:t>UF 0 = $ 206.305.977.896,10</w:t>
          </w:r>
        </w:p>
        <w:p w14:paraId="54137BD2" w14:textId="77777777" w:rsidR="007803E3" w:rsidRPr="0080485B" w:rsidRDefault="007803E3" w:rsidP="6EC97610">
          <w:pPr>
            <w:spacing w:after="0" w:line="257" w:lineRule="auto"/>
            <w:ind w:left="-20" w:right="-20"/>
            <w:rPr>
              <w:rFonts w:ascii="Times New Roman" w:hAnsi="Times New Roman"/>
              <w:sz w:val="24"/>
              <w:szCs w:val="24"/>
              <w:lang w:val="de-DE"/>
            </w:rPr>
          </w:pPr>
          <w:r w:rsidRPr="0080485B">
            <w:rPr>
              <w:rFonts w:ascii="Times New Roman" w:hAnsi="Times New Roman"/>
              <w:sz w:val="24"/>
              <w:szCs w:val="24"/>
              <w:lang w:val="de-DE"/>
            </w:rPr>
            <w:t>UF 1 = $ 31.872.516.263,76</w:t>
          </w:r>
        </w:p>
        <w:p w14:paraId="0A820747" w14:textId="77777777" w:rsidR="007803E3" w:rsidRPr="0080485B" w:rsidRDefault="007803E3" w:rsidP="6EC97610">
          <w:pPr>
            <w:spacing w:after="0" w:line="257" w:lineRule="auto"/>
            <w:ind w:left="-20" w:right="-20"/>
            <w:rPr>
              <w:rFonts w:ascii="Times New Roman" w:hAnsi="Times New Roman"/>
              <w:sz w:val="24"/>
              <w:szCs w:val="24"/>
              <w:lang w:val="de-DE"/>
            </w:rPr>
          </w:pPr>
          <w:r w:rsidRPr="0080485B">
            <w:rPr>
              <w:rFonts w:ascii="Times New Roman" w:hAnsi="Times New Roman"/>
              <w:sz w:val="24"/>
              <w:szCs w:val="24"/>
              <w:lang w:val="de-DE"/>
            </w:rPr>
            <w:t>UF 2A = $ 49.438.842.926</w:t>
          </w:r>
        </w:p>
        <w:p w14:paraId="395DD60E" w14:textId="77777777" w:rsidR="007803E3" w:rsidRPr="0080485B" w:rsidRDefault="007803E3" w:rsidP="6EC97610">
          <w:pPr>
            <w:spacing w:after="0" w:line="257" w:lineRule="auto"/>
            <w:ind w:left="-20" w:right="-20"/>
            <w:rPr>
              <w:rFonts w:ascii="Times New Roman" w:hAnsi="Times New Roman"/>
              <w:sz w:val="24"/>
              <w:szCs w:val="24"/>
              <w:lang w:val="de-DE"/>
            </w:rPr>
          </w:pPr>
          <w:r w:rsidRPr="0080485B">
            <w:rPr>
              <w:rFonts w:ascii="Times New Roman" w:hAnsi="Times New Roman"/>
              <w:sz w:val="24"/>
              <w:szCs w:val="24"/>
              <w:lang w:val="de-DE"/>
            </w:rPr>
            <w:t>UF 2B = $ 57.175.449.207,25</w:t>
          </w:r>
        </w:p>
        <w:p w14:paraId="5FE9B7D1" w14:textId="77777777" w:rsidR="007803E3" w:rsidRPr="0080485B" w:rsidRDefault="007803E3" w:rsidP="6EC97610">
          <w:pPr>
            <w:spacing w:after="0" w:line="257" w:lineRule="auto"/>
            <w:ind w:left="-20" w:right="-20"/>
            <w:rPr>
              <w:rFonts w:ascii="Times New Roman" w:hAnsi="Times New Roman"/>
              <w:sz w:val="24"/>
              <w:szCs w:val="24"/>
              <w:lang w:val="de-DE"/>
            </w:rPr>
          </w:pPr>
          <w:r w:rsidRPr="0080485B">
            <w:rPr>
              <w:rFonts w:ascii="Times New Roman" w:hAnsi="Times New Roman"/>
              <w:sz w:val="24"/>
              <w:szCs w:val="24"/>
              <w:lang w:val="de-DE"/>
            </w:rPr>
            <w:t>UF 3 = $ 83.339.473.882,82</w:t>
          </w:r>
        </w:p>
        <w:p w14:paraId="243DB9E0" w14:textId="77777777" w:rsidR="007803E3" w:rsidRPr="0020113A" w:rsidRDefault="007803E3" w:rsidP="6EC97610">
          <w:pPr>
            <w:spacing w:after="0" w:line="257" w:lineRule="auto"/>
            <w:ind w:left="-20" w:right="-20"/>
            <w:rPr>
              <w:rFonts w:ascii="Times New Roman" w:hAnsi="Times New Roman"/>
              <w:sz w:val="24"/>
              <w:szCs w:val="24"/>
              <w:lang w:val="en-US"/>
            </w:rPr>
          </w:pPr>
          <w:r w:rsidRPr="0020113A">
            <w:rPr>
              <w:rFonts w:ascii="Times New Roman" w:hAnsi="Times New Roman"/>
              <w:sz w:val="24"/>
              <w:szCs w:val="24"/>
              <w:lang w:val="en-US"/>
            </w:rPr>
            <w:t>UF 4A= $ 86.884.015.215</w:t>
          </w:r>
        </w:p>
        <w:p w14:paraId="6F107DE5" w14:textId="77777777" w:rsidR="007803E3" w:rsidRPr="0020113A" w:rsidRDefault="007803E3" w:rsidP="6EC97610">
          <w:pPr>
            <w:spacing w:after="0" w:line="257" w:lineRule="auto"/>
            <w:ind w:left="-20" w:right="-20"/>
            <w:rPr>
              <w:rFonts w:ascii="Times New Roman" w:hAnsi="Times New Roman"/>
              <w:sz w:val="24"/>
              <w:szCs w:val="24"/>
              <w:lang w:val="en-US"/>
            </w:rPr>
          </w:pPr>
          <w:r w:rsidRPr="0020113A">
            <w:rPr>
              <w:rFonts w:ascii="Times New Roman" w:hAnsi="Times New Roman"/>
              <w:sz w:val="24"/>
              <w:szCs w:val="24"/>
              <w:lang w:val="en-US"/>
            </w:rPr>
            <w:t>UF4B= $ 89.258.374.082</w:t>
          </w:r>
        </w:p>
        <w:p w14:paraId="66BAAAE2" w14:textId="77777777" w:rsidR="007803E3" w:rsidRPr="0020113A" w:rsidRDefault="007803E3" w:rsidP="6EC97610">
          <w:pPr>
            <w:spacing w:after="0"/>
            <w:rPr>
              <w:rFonts w:ascii="Times New Roman" w:hAnsi="Times New Roman"/>
              <w:sz w:val="24"/>
              <w:szCs w:val="24"/>
              <w:lang w:val="en-US"/>
            </w:rPr>
          </w:pPr>
          <w:r w:rsidRPr="0020113A">
            <w:rPr>
              <w:rFonts w:ascii="Times New Roman" w:hAnsi="Times New Roman"/>
              <w:sz w:val="24"/>
              <w:szCs w:val="24"/>
              <w:lang w:val="en-US"/>
            </w:rPr>
            <w:t>UF5 = $ 37.346.274.482,94</w:t>
          </w:r>
        </w:p>
        <w:p w14:paraId="6D988D33" w14:textId="4FBBCA92" w:rsidR="6EC97610" w:rsidRDefault="6EC97610" w:rsidP="6EC97610">
          <w:pPr>
            <w:spacing w:after="0"/>
            <w:rPr>
              <w:rFonts w:ascii="Times New Roman" w:hAnsi="Times New Roman"/>
              <w:sz w:val="24"/>
              <w:szCs w:val="24"/>
              <w:lang w:val="en-US"/>
            </w:rPr>
          </w:pPr>
        </w:p>
        <w:p w14:paraId="223A8123" w14:textId="77777777" w:rsidR="007803E3" w:rsidRPr="0020113A" w:rsidRDefault="007803E3" w:rsidP="00E60BAB">
          <w:pPr>
            <w:pStyle w:val="Prrafodelista"/>
            <w:numPr>
              <w:ilvl w:val="0"/>
              <w:numId w:val="68"/>
            </w:numPr>
            <w:spacing w:line="259" w:lineRule="auto"/>
            <w:ind w:left="720"/>
            <w:rPr>
              <w:rFonts w:ascii="Times New Roman" w:hAnsi="Times New Roman"/>
              <w:b/>
              <w:sz w:val="24"/>
              <w:szCs w:val="24"/>
              <w:lang w:val="es-MX"/>
            </w:rPr>
          </w:pPr>
          <w:r w:rsidRPr="0020113A">
            <w:rPr>
              <w:rFonts w:ascii="Times New Roman" w:hAnsi="Times New Roman"/>
              <w:b/>
              <w:sz w:val="24"/>
              <w:szCs w:val="24"/>
              <w:lang w:val="es-MX"/>
            </w:rPr>
            <w:t>Derechos a recibir activos especificados al final del acuerdo de concesión</w:t>
          </w:r>
        </w:p>
        <w:p w14:paraId="3978D7CF"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Descripción: </w:t>
          </w:r>
          <w:r w:rsidRPr="0020113A">
            <w:rPr>
              <w:rFonts w:ascii="Times New Roman" w:hAnsi="Times New Roman"/>
              <w:sz w:val="24"/>
              <w:szCs w:val="24"/>
              <w:lang w:val="es-MX"/>
            </w:rPr>
            <w:t>Capitulo XVII TERMINACIÓN DEL CONTRATO</w:t>
          </w:r>
        </w:p>
        <w:p w14:paraId="6BFBED99"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Ocurrencia</w:t>
          </w:r>
        </w:p>
        <w:p w14:paraId="3AD6F8C6"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 xml:space="preserve">El presente Contrato terminará cuando finalice la Etapa de Reversión, lo cual ocurrirá a más tardar al vencimiento del Plazo Máximo de la Etapa de Reversión, sin que dicho término pueda </w:t>
          </w:r>
          <w:r w:rsidRPr="0020113A">
            <w:rPr>
              <w:rFonts w:ascii="Times New Roman" w:hAnsi="Times New Roman"/>
              <w:sz w:val="24"/>
              <w:szCs w:val="24"/>
              <w:lang w:val="es-MX"/>
            </w:rPr>
            <w:lastRenderedPageBreak/>
            <w:t>superar el Plazo Máximo de la Compensación por Riesgo VPIP</w:t>
          </w:r>
          <w:r w:rsidRPr="0020113A">
            <w:rPr>
              <w:rFonts w:ascii="Cambria Math" w:hAnsi="Cambria Math" w:cs="Cambria Math"/>
              <w:sz w:val="24"/>
              <w:szCs w:val="24"/>
              <w:lang w:val="es-MX"/>
            </w:rPr>
            <w:t>𝑟𝑐𝑝𝑚</w:t>
          </w:r>
          <w:r w:rsidRPr="0020113A">
            <w:rPr>
              <w:rFonts w:ascii="Times New Roman" w:hAnsi="Times New Roman"/>
              <w:sz w:val="24"/>
              <w:szCs w:val="24"/>
              <w:lang w:val="es-MX"/>
            </w:rPr>
            <w:t>, incluida la Etapa de Reversión.</w:t>
          </w:r>
        </w:p>
        <w:p w14:paraId="641296E0"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En la sección 9.7 de la parte general se menciona lo siguiente:</w:t>
          </w:r>
        </w:p>
        <w:p w14:paraId="3832EC23"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Al día siguiente de (i) la Fecha de Terminación de la Etapa de Operación y Mantenimiento de que trata la Sección 2.4 (b) de esta Parte General, o (ii) cuando el Concesionario haya recibido el VPIP, VPIPrcpm, VPIPrctm de acuerdo con lo que corresponda, o (iii) antes de la declaratoria de Terminación Anticipada del Contrato, el Concesionario y el Interventor deberán iniciar la verificación final del Proyecto con el fin de proceder a la Reversión. Por otra parte en la sección 11. 2 se establece lo siguiente:</w:t>
          </w:r>
        </w:p>
        <w:p w14:paraId="1499CF9D" w14:textId="77777777" w:rsidR="007803E3" w:rsidRPr="0020113A" w:rsidRDefault="007803E3" w:rsidP="007803E3">
          <w:pPr>
            <w:jc w:val="both"/>
            <w:rPr>
              <w:rFonts w:ascii="Times New Roman" w:hAnsi="Times New Roman"/>
              <w:sz w:val="24"/>
              <w:szCs w:val="24"/>
            </w:rPr>
          </w:pPr>
          <w:r w:rsidRPr="0020113A">
            <w:rPr>
              <w:rFonts w:ascii="Times New Roman" w:hAnsi="Times New Roman"/>
              <w:sz w:val="24"/>
              <w:szCs w:val="24"/>
              <w:lang w:val="es-MX"/>
            </w:rPr>
            <w:t>La ANI podrá decretar la Terminación Anticipada y unilateral del Contrato por las causales y en las condiciones previstas en el artículo 17 de la ley 80 de 1993 o en las normas que lo modifiquen, complementen o substituyan. La terminación unilateral podrá ser decretada por la ANI en cualquiera de las Fases y Etapas de ejecución del presente Contrato.</w:t>
          </w:r>
        </w:p>
        <w:p w14:paraId="6BBE65CA" w14:textId="77777777" w:rsidR="007803E3" w:rsidRPr="0020113A" w:rsidRDefault="007803E3" w:rsidP="007803E3">
          <w:pPr>
            <w:jc w:val="both"/>
            <w:rPr>
              <w:rFonts w:ascii="Times New Roman" w:hAnsi="Times New Roman"/>
              <w:sz w:val="24"/>
              <w:szCs w:val="24"/>
            </w:rPr>
          </w:pPr>
          <w:r w:rsidRPr="0020113A">
            <w:rPr>
              <w:rFonts w:ascii="Times New Roman" w:hAnsi="Times New Roman"/>
              <w:sz w:val="24"/>
              <w:szCs w:val="24"/>
              <w:lang w:val="es-MX"/>
            </w:rPr>
            <w:t>En el caso que se presente cualquiera de las causales previstas en el artículo 17 de la ley 80 de 1993 se podrá aplicar, en lo pertinente lo previsto en el Contrato, para continuar la ejecución del Proyecto con los Prestamistas o la entidad que ellos designen.</w:t>
          </w:r>
        </w:p>
        <w:p w14:paraId="0253F996" w14:textId="77777777" w:rsidR="007803E3" w:rsidRPr="0020113A" w:rsidRDefault="007803E3" w:rsidP="007803E3">
          <w:pPr>
            <w:rPr>
              <w:rFonts w:ascii="Times New Roman" w:hAnsi="Times New Roman"/>
              <w:bCs/>
              <w:sz w:val="24"/>
              <w:szCs w:val="24"/>
              <w:lang w:val="es-MX"/>
            </w:rPr>
          </w:pPr>
          <w:r w:rsidRPr="0020113A">
            <w:rPr>
              <w:rFonts w:ascii="Times New Roman" w:hAnsi="Times New Roman"/>
              <w:b/>
              <w:sz w:val="24"/>
              <w:szCs w:val="24"/>
              <w:lang w:val="es-MX"/>
            </w:rPr>
            <w:t xml:space="preserve">Observaciones: </w:t>
          </w:r>
          <w:r w:rsidRPr="0020113A">
            <w:rPr>
              <w:rFonts w:ascii="Times New Roman" w:hAnsi="Times New Roman"/>
              <w:bCs/>
              <w:sz w:val="24"/>
              <w:szCs w:val="24"/>
              <w:lang w:val="es-MX"/>
            </w:rPr>
            <w:t>No aplica</w:t>
          </w:r>
        </w:p>
        <w:p w14:paraId="6A9AA510" w14:textId="3FEDFBCC" w:rsidR="007803E3" w:rsidRPr="0020113A" w:rsidRDefault="008404EA" w:rsidP="00E60BAB">
          <w:pPr>
            <w:pStyle w:val="Prrafodelista"/>
            <w:numPr>
              <w:ilvl w:val="0"/>
              <w:numId w:val="68"/>
            </w:numPr>
            <w:spacing w:line="259" w:lineRule="auto"/>
            <w:ind w:left="720"/>
            <w:rPr>
              <w:rFonts w:ascii="Times New Roman" w:hAnsi="Times New Roman"/>
              <w:b/>
              <w:sz w:val="24"/>
              <w:szCs w:val="24"/>
              <w:lang w:val="es-MX"/>
            </w:rPr>
          </w:pPr>
          <w:r>
            <w:rPr>
              <w:rFonts w:ascii="Times New Roman" w:hAnsi="Times New Roman"/>
              <w:b/>
              <w:sz w:val="24"/>
              <w:szCs w:val="24"/>
              <w:lang w:val="es-MX"/>
            </w:rPr>
            <w:t>No hay c</w:t>
          </w:r>
          <w:r w:rsidR="007803E3" w:rsidRPr="0020113A">
            <w:rPr>
              <w:rFonts w:ascii="Times New Roman" w:hAnsi="Times New Roman"/>
              <w:b/>
              <w:sz w:val="24"/>
              <w:szCs w:val="24"/>
              <w:lang w:val="es-MX"/>
            </w:rPr>
            <w:t>ambios en el acuerdo de concesión que se realicen durante el periodo fiscal</w:t>
          </w:r>
        </w:p>
        <w:p w14:paraId="21660261" w14:textId="77777777" w:rsidR="007803E3" w:rsidRPr="0020113A" w:rsidRDefault="007803E3" w:rsidP="007803E3">
          <w:pPr>
            <w:rPr>
              <w:rFonts w:ascii="Times New Roman" w:hAnsi="Times New Roman"/>
              <w:b/>
              <w:sz w:val="24"/>
              <w:szCs w:val="24"/>
              <w:lang w:val="es-MX"/>
            </w:rPr>
          </w:pPr>
        </w:p>
        <w:p w14:paraId="6B2CBE3C" w14:textId="77777777" w:rsidR="007803E3" w:rsidRPr="0020113A" w:rsidRDefault="007803E3" w:rsidP="007803E3">
          <w:pPr>
            <w:rPr>
              <w:rFonts w:ascii="Times New Roman" w:hAnsi="Times New Roman"/>
              <w:b/>
              <w:sz w:val="24"/>
              <w:szCs w:val="24"/>
              <w:lang w:val="es-MX"/>
            </w:rPr>
          </w:pPr>
        </w:p>
        <w:p w14:paraId="2E8AED26" w14:textId="77777777"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AUTOPISTA MAR 1</w:t>
          </w:r>
        </w:p>
        <w:p w14:paraId="22B88D45" w14:textId="77777777" w:rsidR="007803E3" w:rsidRPr="0020113A" w:rsidRDefault="007803E3" w:rsidP="00E60BAB">
          <w:pPr>
            <w:pStyle w:val="Prrafodelista"/>
            <w:numPr>
              <w:ilvl w:val="0"/>
              <w:numId w:val="74"/>
            </w:numPr>
            <w:spacing w:line="259" w:lineRule="auto"/>
            <w:rPr>
              <w:rFonts w:ascii="Times New Roman" w:hAnsi="Times New Roman"/>
              <w:sz w:val="24"/>
              <w:szCs w:val="24"/>
              <w:lang w:val="es-MX"/>
            </w:rPr>
          </w:pPr>
          <w:r w:rsidRPr="0020113A">
            <w:rPr>
              <w:rFonts w:ascii="Times New Roman" w:hAnsi="Times New Roman"/>
              <w:b/>
              <w:sz w:val="24"/>
              <w:szCs w:val="24"/>
              <w:lang w:val="es-MX"/>
            </w:rPr>
            <w:t xml:space="preserve">Descripción del Acuerdo: </w:t>
          </w:r>
        </w:p>
        <w:p w14:paraId="1D1047F7" w14:textId="77777777" w:rsidR="007803E3" w:rsidRPr="0020113A" w:rsidRDefault="007803E3" w:rsidP="18BAD2EC">
          <w:pPr>
            <w:spacing w:after="0"/>
            <w:jc w:val="both"/>
            <w:rPr>
              <w:rFonts w:ascii="Times New Roman" w:hAnsi="Times New Roman"/>
              <w:sz w:val="24"/>
              <w:szCs w:val="24"/>
              <w:lang w:val="es-MX"/>
            </w:rPr>
          </w:pPr>
          <w:r w:rsidRPr="0020113A">
            <w:rPr>
              <w:rFonts w:ascii="Times New Roman" w:hAnsi="Times New Roman"/>
              <w:b/>
              <w:sz w:val="24"/>
              <w:szCs w:val="24"/>
              <w:lang w:val="es-MX"/>
            </w:rPr>
            <w:t>Número del Acuerdo de Concesión:</w:t>
          </w:r>
          <w:r w:rsidRPr="0020113A">
            <w:rPr>
              <w:rFonts w:ascii="Times New Roman" w:hAnsi="Times New Roman"/>
              <w:sz w:val="24"/>
              <w:szCs w:val="24"/>
              <w:lang w:val="es-MX"/>
            </w:rPr>
            <w:t xml:space="preserve"> Contrato de Concesion No.014 del 3 de septiembre de 2015</w:t>
          </w:r>
        </w:p>
        <w:p w14:paraId="14A5958A" w14:textId="77777777" w:rsidR="007803E3" w:rsidRPr="0020113A" w:rsidRDefault="007803E3" w:rsidP="18BAD2EC">
          <w:pPr>
            <w:spacing w:after="0"/>
            <w:jc w:val="both"/>
            <w:rPr>
              <w:rFonts w:ascii="Times New Roman" w:hAnsi="Times New Roman"/>
              <w:b/>
              <w:sz w:val="24"/>
              <w:szCs w:val="24"/>
              <w:lang w:val="es-MX"/>
            </w:rPr>
          </w:pPr>
          <w:r w:rsidRPr="0020113A">
            <w:rPr>
              <w:rFonts w:ascii="Times New Roman" w:hAnsi="Times New Roman"/>
              <w:b/>
              <w:sz w:val="24"/>
              <w:szCs w:val="24"/>
              <w:lang w:val="es-MX"/>
            </w:rPr>
            <w:t xml:space="preserve">Objeto / Descripción: </w:t>
          </w:r>
          <w:r w:rsidRPr="0020113A">
            <w:rPr>
              <w:rFonts w:ascii="Times New Roman" w:hAnsi="Times New Roman"/>
              <w:sz w:val="24"/>
              <w:szCs w:val="24"/>
              <w:lang w:val="es-MX"/>
            </w:rPr>
            <w:t>De conformidad con el Objeto del Contrato dispuesto en la Parte General de este Contrato el Alcance del Contrato corresponde a los estudios y diseños definitivos, financiación, gestión ambiental, predial y social, construcción, mejoramiento, rehabilitación, operación, mantenimiento y reversión de la Concesión Autopista al Mar 1, del Proyecto "Autopistas para la Prosperidad", de acuerdo con el Apéndice Técnico 1 y demás Apendices del Contrato”</w:t>
          </w:r>
        </w:p>
        <w:p w14:paraId="2F669B90" w14:textId="77777777" w:rsidR="007803E3" w:rsidRPr="0020113A" w:rsidRDefault="007803E3" w:rsidP="18BAD2EC">
          <w:pPr>
            <w:spacing w:after="0"/>
            <w:jc w:val="both"/>
            <w:rPr>
              <w:rFonts w:ascii="Times New Roman" w:hAnsi="Times New Roman"/>
              <w:b/>
              <w:sz w:val="24"/>
              <w:szCs w:val="24"/>
              <w:lang w:val="es-MX"/>
            </w:rPr>
          </w:pPr>
          <w:r w:rsidRPr="0020113A">
            <w:rPr>
              <w:rFonts w:ascii="Times New Roman" w:hAnsi="Times New Roman"/>
              <w:b/>
              <w:sz w:val="24"/>
              <w:szCs w:val="24"/>
              <w:lang w:val="es-MX"/>
            </w:rPr>
            <w:t xml:space="preserve">Valor Inicial: </w:t>
          </w:r>
          <w:r w:rsidRPr="0020113A">
            <w:rPr>
              <w:rFonts w:ascii="Times New Roman" w:hAnsi="Times New Roman"/>
              <w:sz w:val="24"/>
              <w:szCs w:val="24"/>
              <w:lang w:val="es-MX"/>
            </w:rPr>
            <w:t>El Valor del Contrato es de DOS BILLONES DOSCIENTOS CUARENTA Y CUATRO MIL SETECIENTOS VEINTIOCHO MILLONES SEISCIENTOS DOS MIL SETECIENTOS CUARENTA Y SEIS PESOS ($2.244.728.602.746) de dic-2012</w:t>
          </w:r>
        </w:p>
        <w:p w14:paraId="0E6AA148" w14:textId="77777777" w:rsidR="007803E3" w:rsidRPr="0020113A" w:rsidRDefault="007803E3" w:rsidP="6EC97610">
          <w:pPr>
            <w:spacing w:after="0"/>
            <w:rPr>
              <w:rFonts w:ascii="Times New Roman" w:hAnsi="Times New Roman"/>
              <w:b/>
              <w:sz w:val="24"/>
              <w:szCs w:val="24"/>
              <w:lang w:val="es-MX"/>
            </w:rPr>
          </w:pPr>
          <w:r w:rsidRPr="0020113A">
            <w:rPr>
              <w:rFonts w:ascii="Times New Roman" w:hAnsi="Times New Roman"/>
              <w:b/>
              <w:sz w:val="24"/>
              <w:szCs w:val="24"/>
              <w:lang w:val="es-MX"/>
            </w:rPr>
            <w:t xml:space="preserve">Fecha de Inicio: </w:t>
          </w:r>
          <w:r w:rsidRPr="0020113A">
            <w:rPr>
              <w:rFonts w:ascii="Times New Roman" w:hAnsi="Times New Roman"/>
              <w:sz w:val="24"/>
              <w:szCs w:val="24"/>
              <w:lang w:val="es-MX"/>
            </w:rPr>
            <w:t>15/10/2015</w:t>
          </w:r>
        </w:p>
        <w:p w14:paraId="2BBA02F3" w14:textId="77777777" w:rsidR="007803E3" w:rsidRPr="0020113A" w:rsidRDefault="007803E3" w:rsidP="6EC97610">
          <w:pPr>
            <w:spacing w:after="0"/>
            <w:rPr>
              <w:rFonts w:ascii="Times New Roman" w:hAnsi="Times New Roman"/>
              <w:b/>
              <w:sz w:val="24"/>
              <w:szCs w:val="24"/>
              <w:lang w:val="es-MX"/>
            </w:rPr>
          </w:pPr>
          <w:r w:rsidRPr="0020113A">
            <w:rPr>
              <w:rFonts w:ascii="Times New Roman" w:hAnsi="Times New Roman"/>
              <w:b/>
              <w:sz w:val="24"/>
              <w:szCs w:val="24"/>
              <w:lang w:val="es-MX"/>
            </w:rPr>
            <w:t xml:space="preserve">Fecha de Finalización Estimada: </w:t>
          </w:r>
          <w:r w:rsidRPr="0020113A">
            <w:rPr>
              <w:rFonts w:ascii="Times New Roman" w:hAnsi="Times New Roman"/>
              <w:sz w:val="24"/>
              <w:szCs w:val="24"/>
              <w:lang w:val="es-MX"/>
            </w:rPr>
            <w:t>15/10/2040</w:t>
          </w:r>
        </w:p>
        <w:p w14:paraId="1A0FFC2C" w14:textId="77777777" w:rsidR="007803E3" w:rsidRPr="0020113A" w:rsidRDefault="007803E3" w:rsidP="6EC97610">
          <w:pPr>
            <w:spacing w:after="0"/>
            <w:rPr>
              <w:rFonts w:ascii="Times New Roman" w:hAnsi="Times New Roman"/>
              <w:b/>
              <w:sz w:val="24"/>
              <w:szCs w:val="24"/>
              <w:lang w:val="es-MX"/>
            </w:rPr>
          </w:pPr>
          <w:r w:rsidRPr="0020113A">
            <w:rPr>
              <w:rFonts w:ascii="Times New Roman" w:hAnsi="Times New Roman"/>
              <w:b/>
              <w:sz w:val="24"/>
              <w:szCs w:val="24"/>
              <w:lang w:val="es-MX"/>
            </w:rPr>
            <w:t xml:space="preserve">Tipo ID: </w:t>
          </w:r>
          <w:r w:rsidRPr="0020113A">
            <w:rPr>
              <w:rFonts w:ascii="Times New Roman" w:hAnsi="Times New Roman"/>
              <w:sz w:val="24"/>
              <w:szCs w:val="24"/>
              <w:lang w:val="es-MX"/>
            </w:rPr>
            <w:t>NIT</w:t>
          </w:r>
        </w:p>
        <w:p w14:paraId="7249D9EE" w14:textId="77777777" w:rsidR="007803E3" w:rsidRPr="0020113A" w:rsidRDefault="007803E3" w:rsidP="6EC97610">
          <w:pPr>
            <w:spacing w:after="0"/>
            <w:rPr>
              <w:rFonts w:ascii="Times New Roman" w:hAnsi="Times New Roman"/>
              <w:b/>
              <w:sz w:val="24"/>
              <w:szCs w:val="24"/>
              <w:lang w:val="es-MX"/>
            </w:rPr>
          </w:pPr>
          <w:r w:rsidRPr="0020113A">
            <w:rPr>
              <w:rFonts w:ascii="Times New Roman" w:hAnsi="Times New Roman"/>
              <w:b/>
              <w:sz w:val="24"/>
              <w:szCs w:val="24"/>
              <w:lang w:val="es-MX"/>
            </w:rPr>
            <w:t xml:space="preserve">Numero ID:  </w:t>
          </w:r>
          <w:r w:rsidRPr="0020113A">
            <w:rPr>
              <w:rFonts w:ascii="Times New Roman" w:hAnsi="Times New Roman"/>
              <w:sz w:val="24"/>
              <w:szCs w:val="24"/>
              <w:lang w:val="es-MX"/>
            </w:rPr>
            <w:t>900.869.678-8</w:t>
          </w:r>
        </w:p>
        <w:p w14:paraId="163A7746" w14:textId="77777777" w:rsidR="007803E3" w:rsidRPr="0020113A" w:rsidRDefault="007803E3" w:rsidP="6EC97610">
          <w:pPr>
            <w:spacing w:after="0"/>
            <w:rPr>
              <w:rFonts w:ascii="Times New Roman" w:hAnsi="Times New Roman"/>
              <w:b/>
              <w:sz w:val="24"/>
              <w:szCs w:val="24"/>
              <w:lang w:val="es-MX"/>
            </w:rPr>
          </w:pPr>
          <w:r w:rsidRPr="0020113A">
            <w:rPr>
              <w:rFonts w:ascii="Times New Roman" w:hAnsi="Times New Roman"/>
              <w:b/>
              <w:sz w:val="24"/>
              <w:szCs w:val="24"/>
              <w:lang w:val="es-MX"/>
            </w:rPr>
            <w:lastRenderedPageBreak/>
            <w:t xml:space="preserve">Razón Social del Concesionario:  </w:t>
          </w:r>
          <w:r w:rsidRPr="0020113A">
            <w:rPr>
              <w:rFonts w:ascii="Times New Roman" w:hAnsi="Times New Roman"/>
              <w:sz w:val="24"/>
              <w:szCs w:val="24"/>
              <w:lang w:val="es-MX"/>
            </w:rPr>
            <w:t>Desarrollo Vía al Mar S.A.S.</w:t>
          </w:r>
        </w:p>
        <w:p w14:paraId="5BFE7CFD" w14:textId="77777777" w:rsidR="007803E3" w:rsidRPr="0020113A" w:rsidRDefault="007803E3" w:rsidP="6EC97610">
          <w:pPr>
            <w:spacing w:after="0"/>
            <w:rPr>
              <w:rFonts w:ascii="Times New Roman" w:hAnsi="Times New Roman"/>
              <w:b/>
              <w:sz w:val="24"/>
              <w:szCs w:val="24"/>
              <w:lang w:val="es-MX"/>
            </w:rPr>
          </w:pPr>
          <w:r w:rsidRPr="0020113A">
            <w:rPr>
              <w:rFonts w:ascii="Times New Roman" w:hAnsi="Times New Roman"/>
              <w:b/>
              <w:sz w:val="24"/>
              <w:szCs w:val="24"/>
              <w:lang w:val="es-MX"/>
            </w:rPr>
            <w:t xml:space="preserve">Nombre del Proyecto: </w:t>
          </w:r>
          <w:r w:rsidRPr="0020113A">
            <w:rPr>
              <w:rFonts w:ascii="Times New Roman" w:hAnsi="Times New Roman"/>
              <w:sz w:val="24"/>
              <w:szCs w:val="24"/>
              <w:lang w:val="es-MX"/>
            </w:rPr>
            <w:t>Autopista al Mar1</w:t>
          </w:r>
        </w:p>
        <w:p w14:paraId="134A24D6" w14:textId="07150DB1" w:rsidR="6EC97610" w:rsidRDefault="6EC97610" w:rsidP="6EC97610">
          <w:pPr>
            <w:spacing w:after="0"/>
            <w:rPr>
              <w:rFonts w:ascii="Times New Roman" w:hAnsi="Times New Roman"/>
              <w:sz w:val="24"/>
              <w:szCs w:val="24"/>
              <w:lang w:val="es-MX"/>
            </w:rPr>
          </w:pPr>
        </w:p>
        <w:p w14:paraId="4D0DD777" w14:textId="77777777" w:rsidR="007803E3" w:rsidRPr="0020113A" w:rsidRDefault="007803E3" w:rsidP="00E60BAB">
          <w:pPr>
            <w:pStyle w:val="Prrafodelista"/>
            <w:numPr>
              <w:ilvl w:val="0"/>
              <w:numId w:val="74"/>
            </w:numPr>
            <w:spacing w:line="259" w:lineRule="auto"/>
            <w:rPr>
              <w:rFonts w:ascii="Times New Roman" w:hAnsi="Times New Roman"/>
              <w:b/>
              <w:sz w:val="24"/>
              <w:szCs w:val="24"/>
              <w:lang w:val="es-MX"/>
            </w:rPr>
          </w:pPr>
          <w:r w:rsidRPr="0020113A">
            <w:rPr>
              <w:rFonts w:ascii="Times New Roman" w:hAnsi="Times New Roman"/>
              <w:b/>
              <w:sz w:val="24"/>
              <w:szCs w:val="24"/>
              <w:lang w:val="es-MX"/>
            </w:rPr>
            <w:t>Términos significativos del acuerdo que puedan afectar su valor, el calendario y la certeza de los flujos</w:t>
          </w:r>
        </w:p>
        <w:p w14:paraId="270FDD1A" w14:textId="77777777" w:rsidR="007803E3" w:rsidRPr="0020113A" w:rsidRDefault="007803E3" w:rsidP="007803E3">
          <w:pPr>
            <w:jc w:val="both"/>
            <w:rPr>
              <w:rFonts w:ascii="Times New Roman" w:hAnsi="Times New Roman"/>
              <w:b/>
              <w:sz w:val="24"/>
              <w:szCs w:val="24"/>
              <w:lang w:val="es-MX"/>
            </w:rPr>
          </w:pPr>
          <w:r w:rsidRPr="0020113A">
            <w:rPr>
              <w:rFonts w:ascii="Times New Roman" w:hAnsi="Times New Roman"/>
              <w:b/>
              <w:sz w:val="24"/>
              <w:szCs w:val="24"/>
              <w:lang w:val="es-MX"/>
            </w:rPr>
            <w:t xml:space="preserve">Términos de Valor: </w:t>
          </w:r>
          <w:r w:rsidRPr="0020113A">
            <w:rPr>
              <w:rFonts w:ascii="Times New Roman" w:hAnsi="Times New Roman"/>
              <w:sz w:val="24"/>
              <w:szCs w:val="24"/>
              <w:lang w:val="es-MX"/>
            </w:rPr>
            <w:t>Se ajustó el valor retribuido y su distribución por Unidad Funcional por concepto de vigencias futuras, para que sean acordes al Contrato. Se ajustó el valor del OPEX para alcanzar la totalidad del valor del contrato, de acuerdo con la guia contable. Lo anterior, genera que la carga financiera del año anterior se recalcula por la reprogramación de estos valores mencionados.</w:t>
          </w:r>
        </w:p>
        <w:p w14:paraId="26A2055D" w14:textId="77777777" w:rsidR="007803E3" w:rsidRPr="0020113A" w:rsidRDefault="007803E3" w:rsidP="007803E3">
          <w:pPr>
            <w:jc w:val="both"/>
            <w:rPr>
              <w:rFonts w:ascii="Times New Roman" w:hAnsi="Times New Roman"/>
              <w:b/>
              <w:sz w:val="24"/>
              <w:szCs w:val="24"/>
              <w:lang w:val="es-MX"/>
            </w:rPr>
          </w:pPr>
          <w:r w:rsidRPr="0020113A">
            <w:rPr>
              <w:rFonts w:ascii="Times New Roman" w:hAnsi="Times New Roman"/>
              <w:b/>
              <w:sz w:val="24"/>
              <w:szCs w:val="24"/>
              <w:lang w:val="es-MX"/>
            </w:rPr>
            <w:t xml:space="preserve">Términos de Calendario: </w:t>
          </w:r>
          <w:r w:rsidRPr="0020113A">
            <w:rPr>
              <w:rFonts w:ascii="Times New Roman" w:hAnsi="Times New Roman"/>
              <w:sz w:val="24"/>
              <w:szCs w:val="24"/>
              <w:lang w:val="es-MX"/>
            </w:rPr>
            <w:t>En el 2023 no se presentó ningún hecho relacionado con modificación de fechas relevantes sobre la ejecución en el proyecto.</w:t>
          </w:r>
        </w:p>
        <w:p w14:paraId="30B48F3D"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Términos de Certeza de Flujos de Efectivo Futuros: </w:t>
          </w:r>
          <w:r w:rsidRPr="0020113A">
            <w:rPr>
              <w:rFonts w:ascii="Times New Roman" w:hAnsi="Times New Roman"/>
              <w:sz w:val="24"/>
              <w:szCs w:val="24"/>
              <w:lang w:val="es-MX"/>
            </w:rPr>
            <w:t xml:space="preserve">Para el año 2023 no se presentó ningún hecho que afecte los flujos de efectivo futuros. </w:t>
          </w:r>
        </w:p>
        <w:p w14:paraId="19E7D175" w14:textId="77777777" w:rsidR="007803E3" w:rsidRPr="0020113A" w:rsidRDefault="007803E3" w:rsidP="00E60BAB">
          <w:pPr>
            <w:pStyle w:val="Prrafodelista"/>
            <w:numPr>
              <w:ilvl w:val="0"/>
              <w:numId w:val="74"/>
            </w:numPr>
            <w:spacing w:line="259" w:lineRule="auto"/>
            <w:rPr>
              <w:rFonts w:ascii="Times New Roman" w:hAnsi="Times New Roman"/>
              <w:b/>
              <w:sz w:val="24"/>
              <w:szCs w:val="24"/>
              <w:lang w:val="es-MX"/>
            </w:rPr>
          </w:pPr>
          <w:r w:rsidRPr="0020113A">
            <w:rPr>
              <w:rFonts w:ascii="Times New Roman" w:hAnsi="Times New Roman"/>
              <w:b/>
              <w:sz w:val="24"/>
              <w:szCs w:val="24"/>
              <w:lang w:val="es-MX"/>
            </w:rPr>
            <w:t>Naturaleza y alcance del derecho a utilizar activos especificados, de los aspectos pactados en torno a lo que se espera que el concesionario proporcione en relación con el acuerdo de concesión</w:t>
          </w:r>
        </w:p>
        <w:p w14:paraId="6D5B351E" w14:textId="77777777" w:rsidR="007803E3" w:rsidRPr="0020113A" w:rsidRDefault="007803E3" w:rsidP="007803E3">
          <w:pPr>
            <w:jc w:val="center"/>
            <w:rPr>
              <w:rFonts w:ascii="Times New Roman" w:hAnsi="Times New Roman"/>
              <w:b/>
              <w:sz w:val="24"/>
              <w:szCs w:val="24"/>
              <w:lang w:val="es-MX"/>
            </w:rPr>
          </w:pPr>
          <w:r w:rsidRPr="0020113A">
            <w:rPr>
              <w:rFonts w:ascii="Times New Roman" w:hAnsi="Times New Roman"/>
              <w:b/>
              <w:sz w:val="24"/>
              <w:szCs w:val="24"/>
              <w:lang w:val="es-MX"/>
            </w:rPr>
            <w:t>Naturaleza y alcance del derecho de uso de los activos</w:t>
          </w:r>
        </w:p>
        <w:p w14:paraId="5F11A1E7" w14:textId="77777777" w:rsidR="007803E3" w:rsidRPr="0020113A" w:rsidRDefault="007803E3" w:rsidP="007803E3">
          <w:pPr>
            <w:jc w:val="both"/>
            <w:rPr>
              <w:rFonts w:ascii="Times New Roman" w:hAnsi="Times New Roman"/>
              <w:b/>
              <w:sz w:val="24"/>
              <w:szCs w:val="24"/>
              <w:lang w:val="es-MX"/>
            </w:rPr>
          </w:pPr>
          <w:r w:rsidRPr="0020113A">
            <w:rPr>
              <w:rFonts w:ascii="Times New Roman" w:hAnsi="Times New Roman"/>
              <w:b/>
              <w:sz w:val="24"/>
              <w:szCs w:val="24"/>
              <w:lang w:val="es-MX"/>
            </w:rPr>
            <w:t xml:space="preserve">Descripción: </w:t>
          </w:r>
          <w:r w:rsidRPr="0020113A">
            <w:rPr>
              <w:rFonts w:ascii="Times New Roman" w:hAnsi="Times New Roman"/>
              <w:sz w:val="24"/>
              <w:szCs w:val="24"/>
              <w:lang w:val="es-MX"/>
            </w:rPr>
            <w:t>Se cederá al Concesionario el "Derecho de Recaudo" sobre la operación de las Estaciones de Peaje en la misma fecha de Entrega de la Infraestructura, salvo por las excepciones establecidas en la Parte Especial. En 2023 el Concesionario prestó los servicios correspondientes a la Fase de Operación y Mantenimiento.</w:t>
          </w:r>
        </w:p>
        <w:p w14:paraId="427D0B3C"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Observaciones: </w:t>
          </w:r>
          <w:r w:rsidRPr="0020113A">
            <w:rPr>
              <w:rFonts w:ascii="Times New Roman" w:hAnsi="Times New Roman"/>
              <w:sz w:val="24"/>
              <w:szCs w:val="24"/>
              <w:lang w:val="es-MX"/>
            </w:rPr>
            <w:t>El monto de VPIP se señala en la Parte Especial, en la Sección 1.162 “ EL VPIP equivale a CUATROCIENTOS NOVENTA Y SIETE MIL NOVECIENTOS SETENTA Y NUEVE MILLONES QUINIENTOS SETENTA Y CUATRO MIL SESENTA Y UN PESOS ($497.979.574.061) de diciembre de 2012. Con corte de 31 de diciembre de 2023 el proyecto presenta acumulado VPIP por 182.317.458.961.15, que representa un avance del 36,61% frente al VPIP contractual.</w:t>
          </w:r>
        </w:p>
        <w:p w14:paraId="5224E15A" w14:textId="77777777" w:rsidR="007803E3" w:rsidRPr="0020113A" w:rsidRDefault="007803E3" w:rsidP="007803E3">
          <w:pPr>
            <w:jc w:val="center"/>
            <w:rPr>
              <w:rFonts w:ascii="Times New Roman" w:hAnsi="Times New Roman"/>
              <w:b/>
              <w:sz w:val="24"/>
              <w:szCs w:val="24"/>
              <w:lang w:val="es-MX"/>
            </w:rPr>
          </w:pPr>
          <w:r w:rsidRPr="0020113A">
            <w:rPr>
              <w:rFonts w:ascii="Times New Roman" w:hAnsi="Times New Roman"/>
              <w:b/>
              <w:sz w:val="24"/>
              <w:szCs w:val="24"/>
              <w:lang w:val="es-MX"/>
            </w:rPr>
            <w:t>Retribución al Concesionario</w:t>
          </w:r>
        </w:p>
        <w:p w14:paraId="6BE60A64"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Descripción: </w:t>
          </w:r>
          <w:r w:rsidRPr="0020113A">
            <w:rPr>
              <w:rFonts w:ascii="Times New Roman" w:hAnsi="Times New Roman"/>
              <w:sz w:val="24"/>
              <w:szCs w:val="24"/>
              <w:lang w:val="es-MX"/>
            </w:rPr>
            <w:t>El derecho a la Retribución del Concesionario con respecto a cada Unidad Funcional se iniciará a partir de la suscripción de la respectiva Acta de Terminación de Unidad Funcional. A 31 de diciembre de 2023 se han firmado actas de retribución por concepto de Recaudo Peajes, Explotación Comercial y Vigencias Futuras, así:</w:t>
          </w:r>
        </w:p>
        <w:p w14:paraId="73299037" w14:textId="77777777" w:rsidR="007803E3" w:rsidRPr="0080485B" w:rsidRDefault="007803E3" w:rsidP="6EC97610">
          <w:pPr>
            <w:spacing w:after="0"/>
            <w:jc w:val="both"/>
            <w:rPr>
              <w:rFonts w:ascii="Times New Roman" w:hAnsi="Times New Roman"/>
              <w:sz w:val="24"/>
              <w:szCs w:val="24"/>
              <w:lang w:val="de-DE"/>
            </w:rPr>
          </w:pPr>
          <w:r w:rsidRPr="0080485B">
            <w:rPr>
              <w:rFonts w:ascii="Times New Roman" w:hAnsi="Times New Roman"/>
              <w:sz w:val="24"/>
              <w:szCs w:val="24"/>
              <w:lang w:val="de-DE"/>
            </w:rPr>
            <w:t>UF1: $ 695.663.253.798,21</w:t>
          </w:r>
        </w:p>
        <w:p w14:paraId="1C8E91C8" w14:textId="77777777" w:rsidR="007803E3" w:rsidRPr="0080485B" w:rsidRDefault="007803E3" w:rsidP="6EC97610">
          <w:pPr>
            <w:spacing w:after="0"/>
            <w:jc w:val="both"/>
            <w:rPr>
              <w:rFonts w:ascii="Times New Roman" w:hAnsi="Times New Roman"/>
              <w:sz w:val="24"/>
              <w:szCs w:val="24"/>
              <w:lang w:val="de-DE"/>
            </w:rPr>
          </w:pPr>
          <w:r w:rsidRPr="0080485B">
            <w:rPr>
              <w:rFonts w:ascii="Times New Roman" w:hAnsi="Times New Roman"/>
              <w:sz w:val="24"/>
              <w:szCs w:val="24"/>
              <w:lang w:val="de-DE"/>
            </w:rPr>
            <w:t>UF2: $ 453.771.812.380,28</w:t>
          </w:r>
        </w:p>
        <w:p w14:paraId="247B6C9E" w14:textId="77777777" w:rsidR="007803E3" w:rsidRPr="0080485B" w:rsidRDefault="007803E3" w:rsidP="6EC97610">
          <w:pPr>
            <w:spacing w:after="0"/>
            <w:jc w:val="both"/>
            <w:rPr>
              <w:rFonts w:ascii="Times New Roman" w:hAnsi="Times New Roman"/>
              <w:sz w:val="24"/>
              <w:szCs w:val="24"/>
              <w:lang w:val="de-DE"/>
            </w:rPr>
          </w:pPr>
          <w:r w:rsidRPr="0080485B">
            <w:rPr>
              <w:rFonts w:ascii="Times New Roman" w:hAnsi="Times New Roman"/>
              <w:sz w:val="24"/>
              <w:szCs w:val="24"/>
              <w:lang w:val="de-DE"/>
            </w:rPr>
            <w:t>UF3: $ 152.126.824.052,86</w:t>
          </w:r>
        </w:p>
        <w:p w14:paraId="2E029D66" w14:textId="77777777" w:rsidR="007803E3" w:rsidRPr="0080485B" w:rsidRDefault="007803E3" w:rsidP="6EC97610">
          <w:pPr>
            <w:spacing w:after="0"/>
            <w:jc w:val="both"/>
            <w:rPr>
              <w:rFonts w:ascii="Times New Roman" w:hAnsi="Times New Roman"/>
              <w:sz w:val="24"/>
              <w:szCs w:val="24"/>
              <w:lang w:val="de-DE"/>
            </w:rPr>
          </w:pPr>
          <w:r w:rsidRPr="0080485B">
            <w:rPr>
              <w:rFonts w:ascii="Times New Roman" w:hAnsi="Times New Roman"/>
              <w:sz w:val="24"/>
              <w:szCs w:val="24"/>
              <w:lang w:val="de-DE"/>
            </w:rPr>
            <w:t>UF3.1A: $ 27.943.044.432,72</w:t>
          </w:r>
        </w:p>
        <w:p w14:paraId="355D2E24" w14:textId="77777777" w:rsidR="007803E3" w:rsidRPr="0080485B" w:rsidRDefault="007803E3" w:rsidP="6EC97610">
          <w:pPr>
            <w:spacing w:after="0"/>
            <w:jc w:val="both"/>
            <w:rPr>
              <w:rFonts w:ascii="Times New Roman" w:hAnsi="Times New Roman"/>
              <w:sz w:val="24"/>
              <w:szCs w:val="24"/>
              <w:lang w:val="de-DE"/>
            </w:rPr>
          </w:pPr>
          <w:r w:rsidRPr="0080485B">
            <w:rPr>
              <w:rFonts w:ascii="Times New Roman" w:hAnsi="Times New Roman"/>
              <w:sz w:val="24"/>
              <w:szCs w:val="24"/>
              <w:lang w:val="de-DE"/>
            </w:rPr>
            <w:t>UF3.1.B: $ 20.487.500.850,10</w:t>
          </w:r>
        </w:p>
        <w:p w14:paraId="52BFFDFC" w14:textId="77777777" w:rsidR="007803E3" w:rsidRPr="0020113A" w:rsidRDefault="007803E3" w:rsidP="6EC97610">
          <w:pPr>
            <w:spacing w:after="0"/>
            <w:jc w:val="both"/>
            <w:rPr>
              <w:rFonts w:ascii="Times New Roman" w:hAnsi="Times New Roman"/>
              <w:sz w:val="24"/>
              <w:szCs w:val="24"/>
              <w:lang w:val="pt-PT"/>
            </w:rPr>
          </w:pPr>
          <w:r w:rsidRPr="0020113A">
            <w:rPr>
              <w:rFonts w:ascii="Times New Roman" w:hAnsi="Times New Roman"/>
              <w:sz w:val="24"/>
              <w:szCs w:val="24"/>
              <w:lang w:val="pt-PT"/>
            </w:rPr>
            <w:lastRenderedPageBreak/>
            <w:t>UF3.1.C: $ 27.230.674.956,69</w:t>
          </w:r>
        </w:p>
        <w:p w14:paraId="2A7F7D65" w14:textId="77777777" w:rsidR="007803E3" w:rsidRPr="0020113A" w:rsidRDefault="007803E3" w:rsidP="6EC97610">
          <w:pPr>
            <w:spacing w:after="0"/>
            <w:jc w:val="both"/>
            <w:rPr>
              <w:rFonts w:ascii="Times New Roman" w:hAnsi="Times New Roman"/>
              <w:sz w:val="24"/>
              <w:szCs w:val="24"/>
              <w:lang w:val="pt-PT"/>
            </w:rPr>
          </w:pPr>
          <w:r w:rsidRPr="0020113A">
            <w:rPr>
              <w:rFonts w:ascii="Times New Roman" w:hAnsi="Times New Roman"/>
              <w:sz w:val="24"/>
              <w:szCs w:val="24"/>
              <w:lang w:val="pt-PT"/>
            </w:rPr>
            <w:t>UF3.1 D: $27.910.201.537,51</w:t>
          </w:r>
        </w:p>
        <w:p w14:paraId="77FA6527" w14:textId="77777777" w:rsidR="007803E3" w:rsidRPr="0020113A" w:rsidRDefault="007803E3" w:rsidP="6EC97610">
          <w:pPr>
            <w:spacing w:after="0"/>
            <w:jc w:val="both"/>
            <w:rPr>
              <w:rFonts w:ascii="Times New Roman" w:hAnsi="Times New Roman"/>
              <w:sz w:val="24"/>
              <w:szCs w:val="24"/>
              <w:lang w:val="pt-PT"/>
            </w:rPr>
          </w:pPr>
          <w:r w:rsidRPr="0020113A">
            <w:rPr>
              <w:rFonts w:ascii="Times New Roman" w:hAnsi="Times New Roman"/>
              <w:sz w:val="24"/>
              <w:szCs w:val="24"/>
              <w:lang w:val="pt-PT"/>
            </w:rPr>
            <w:t>UF3.1 E: $ 12.191.356.050,40</w:t>
          </w:r>
        </w:p>
        <w:p w14:paraId="5C0784B9" w14:textId="77777777" w:rsidR="007803E3" w:rsidRPr="0080485B" w:rsidRDefault="007803E3" w:rsidP="6EC97610">
          <w:pPr>
            <w:spacing w:after="0"/>
            <w:jc w:val="both"/>
            <w:rPr>
              <w:rFonts w:ascii="Times New Roman" w:hAnsi="Times New Roman"/>
              <w:sz w:val="24"/>
              <w:szCs w:val="24"/>
              <w:lang w:val="de-DE"/>
            </w:rPr>
          </w:pPr>
          <w:r w:rsidRPr="0080485B">
            <w:rPr>
              <w:rFonts w:ascii="Times New Roman" w:hAnsi="Times New Roman"/>
              <w:sz w:val="24"/>
              <w:szCs w:val="24"/>
              <w:lang w:val="de-DE"/>
            </w:rPr>
            <w:t>UF4: $246.449.937.032,36</w:t>
          </w:r>
        </w:p>
        <w:p w14:paraId="277B9B47" w14:textId="77777777"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Tasa de Retribución:</w:t>
          </w:r>
          <w:r w:rsidRPr="0020113A">
            <w:rPr>
              <w:rFonts w:ascii="Times New Roman" w:hAnsi="Times New Roman"/>
              <w:sz w:val="24"/>
              <w:szCs w:val="24"/>
              <w:lang w:val="es-MX"/>
            </w:rPr>
            <w:t xml:space="preserve"> TDI: 0,5570%</w:t>
          </w:r>
        </w:p>
        <w:p w14:paraId="4C00C61D" w14:textId="77777777" w:rsidR="007803E3" w:rsidRPr="0020113A" w:rsidRDefault="007803E3" w:rsidP="00E60BAB">
          <w:pPr>
            <w:pStyle w:val="Prrafodelista"/>
            <w:numPr>
              <w:ilvl w:val="0"/>
              <w:numId w:val="74"/>
            </w:numPr>
            <w:spacing w:line="259" w:lineRule="auto"/>
            <w:rPr>
              <w:rFonts w:ascii="Times New Roman" w:hAnsi="Times New Roman"/>
              <w:b/>
              <w:sz w:val="24"/>
              <w:szCs w:val="24"/>
              <w:lang w:val="es-MX"/>
            </w:rPr>
          </w:pPr>
          <w:r w:rsidRPr="0020113A">
            <w:rPr>
              <w:rFonts w:ascii="Times New Roman" w:hAnsi="Times New Roman"/>
              <w:b/>
              <w:sz w:val="24"/>
              <w:szCs w:val="24"/>
              <w:lang w:val="es-MX"/>
            </w:rPr>
            <w:t>Derechos a recibir activos especificados al final del acuerdo de concesión</w:t>
          </w:r>
        </w:p>
        <w:p w14:paraId="54BD1FC6" w14:textId="77777777" w:rsidR="007803E3" w:rsidRPr="0020113A" w:rsidRDefault="007803E3" w:rsidP="007803E3">
          <w:pPr>
            <w:jc w:val="both"/>
            <w:rPr>
              <w:rFonts w:ascii="Times New Roman" w:hAnsi="Times New Roman"/>
              <w:b/>
              <w:sz w:val="24"/>
              <w:szCs w:val="24"/>
              <w:lang w:val="es-MX"/>
            </w:rPr>
          </w:pPr>
          <w:r w:rsidRPr="0020113A">
            <w:rPr>
              <w:rFonts w:ascii="Times New Roman" w:hAnsi="Times New Roman"/>
              <w:b/>
              <w:sz w:val="24"/>
              <w:szCs w:val="24"/>
              <w:lang w:val="es-MX"/>
            </w:rPr>
            <w:t xml:space="preserve">Descripción: </w:t>
          </w:r>
          <w:r w:rsidRPr="0020113A">
            <w:rPr>
              <w:rFonts w:ascii="Times New Roman" w:hAnsi="Times New Roman"/>
              <w:sz w:val="24"/>
              <w:szCs w:val="24"/>
              <w:lang w:val="es-MX"/>
            </w:rPr>
            <w:t>De conformidad con el Objeto del Contrato dispuesto en la Parte General de este Contrato el Alcance del Contrato corresponde a los estudios y diseños definitivos,financiación, gestión ambiental, predial y social, construcción, mejoramiento, rehabilitación, operación, mantenimiento y reversión de la Concesión Autopista al Mar 1, del Proyecto "Autopistas para la Prosperidad", de acuerdo con el Apéndice Técnico 1 y demás Apéndices del Contrato.</w:t>
          </w:r>
        </w:p>
        <w:p w14:paraId="7678D594" w14:textId="77777777" w:rsidR="007803E3" w:rsidRPr="0020113A" w:rsidRDefault="007803E3" w:rsidP="007803E3">
          <w:pPr>
            <w:jc w:val="both"/>
            <w:rPr>
              <w:rFonts w:ascii="Times New Roman" w:hAnsi="Times New Roman"/>
              <w:b/>
              <w:sz w:val="24"/>
              <w:szCs w:val="24"/>
              <w:lang w:val="es-MX"/>
            </w:rPr>
          </w:pPr>
          <w:r w:rsidRPr="0020113A">
            <w:rPr>
              <w:rFonts w:ascii="Times New Roman" w:hAnsi="Times New Roman"/>
              <w:b/>
              <w:sz w:val="24"/>
              <w:szCs w:val="24"/>
              <w:lang w:val="es-MX"/>
            </w:rPr>
            <w:t xml:space="preserve">Observaciones: </w:t>
          </w:r>
          <w:r w:rsidRPr="0020113A">
            <w:rPr>
              <w:rFonts w:ascii="Times New Roman" w:hAnsi="Times New Roman"/>
              <w:sz w:val="24"/>
              <w:szCs w:val="24"/>
              <w:lang w:val="es-MX"/>
            </w:rPr>
            <w:t>Para el año 2023 no hubo modificaciones en la expectativa de los derechos a recibir activos especificados al final del acuerdo de concesión</w:t>
          </w:r>
        </w:p>
        <w:p w14:paraId="14A68920" w14:textId="23DE30BD" w:rsidR="007803E3" w:rsidRPr="0020113A" w:rsidRDefault="002731CA" w:rsidP="00E60BAB">
          <w:pPr>
            <w:pStyle w:val="Prrafodelista"/>
            <w:numPr>
              <w:ilvl w:val="0"/>
              <w:numId w:val="74"/>
            </w:numPr>
            <w:spacing w:line="259" w:lineRule="auto"/>
            <w:rPr>
              <w:rFonts w:ascii="Times New Roman" w:hAnsi="Times New Roman"/>
              <w:b/>
              <w:sz w:val="24"/>
              <w:szCs w:val="24"/>
              <w:lang w:val="es-MX"/>
            </w:rPr>
          </w:pPr>
          <w:r>
            <w:rPr>
              <w:rFonts w:ascii="Times New Roman" w:hAnsi="Times New Roman"/>
              <w:b/>
              <w:sz w:val="24"/>
              <w:szCs w:val="24"/>
              <w:lang w:val="es-MX"/>
            </w:rPr>
            <w:t>No hay c</w:t>
          </w:r>
          <w:r w:rsidR="007803E3" w:rsidRPr="0020113A">
            <w:rPr>
              <w:rFonts w:ascii="Times New Roman" w:hAnsi="Times New Roman"/>
              <w:b/>
              <w:sz w:val="24"/>
              <w:szCs w:val="24"/>
              <w:lang w:val="es-MX"/>
            </w:rPr>
            <w:t>ambios en el acuerdo de concesión que se realicen durante el periodo fiscal</w:t>
          </w:r>
        </w:p>
        <w:p w14:paraId="569C19E0" w14:textId="77777777" w:rsidR="007803E3" w:rsidRPr="0020113A" w:rsidRDefault="007803E3" w:rsidP="007803E3">
          <w:pPr>
            <w:rPr>
              <w:rFonts w:ascii="Times New Roman" w:hAnsi="Times New Roman"/>
              <w:b/>
              <w:sz w:val="24"/>
              <w:szCs w:val="24"/>
              <w:lang w:val="es-MX"/>
            </w:rPr>
          </w:pPr>
        </w:p>
        <w:p w14:paraId="3D999C03" w14:textId="77777777"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 xml:space="preserve">BUCARAMANGA BARRANCEBERMEJA YONDO </w:t>
          </w:r>
        </w:p>
        <w:p w14:paraId="4902FFAC" w14:textId="77777777" w:rsidR="007803E3" w:rsidRPr="0020113A" w:rsidRDefault="007803E3" w:rsidP="00E60BAB">
          <w:pPr>
            <w:pStyle w:val="Prrafodelista"/>
            <w:numPr>
              <w:ilvl w:val="0"/>
              <w:numId w:val="87"/>
            </w:numPr>
            <w:spacing w:line="259" w:lineRule="auto"/>
            <w:rPr>
              <w:rFonts w:ascii="Times New Roman" w:hAnsi="Times New Roman"/>
              <w:b/>
              <w:sz w:val="24"/>
              <w:szCs w:val="24"/>
              <w:lang w:val="es-MX"/>
            </w:rPr>
          </w:pPr>
          <w:r w:rsidRPr="0020113A">
            <w:rPr>
              <w:rFonts w:ascii="Times New Roman" w:hAnsi="Times New Roman"/>
              <w:b/>
              <w:sz w:val="24"/>
              <w:szCs w:val="24"/>
              <w:lang w:val="es-MX"/>
            </w:rPr>
            <w:t>Descripción del Acuerdo</w:t>
          </w:r>
        </w:p>
        <w:p w14:paraId="1317487F" w14:textId="77777777" w:rsidR="007803E3" w:rsidRPr="0020113A" w:rsidRDefault="007803E3" w:rsidP="18BAD2EC">
          <w:pPr>
            <w:spacing w:after="0" w:line="257" w:lineRule="auto"/>
            <w:ind w:left="-20" w:right="-20"/>
            <w:rPr>
              <w:rFonts w:ascii="Times New Roman" w:hAnsi="Times New Roman"/>
              <w:b/>
              <w:sz w:val="24"/>
              <w:szCs w:val="24"/>
              <w:lang w:val="es-MX"/>
            </w:rPr>
          </w:pPr>
          <w:r w:rsidRPr="0020113A">
            <w:rPr>
              <w:rFonts w:ascii="Times New Roman" w:hAnsi="Times New Roman"/>
              <w:b/>
              <w:sz w:val="24"/>
              <w:szCs w:val="24"/>
              <w:lang w:val="es-MX"/>
            </w:rPr>
            <w:t xml:space="preserve">Número del Acuerdo de Concesión: </w:t>
          </w:r>
          <w:r w:rsidRPr="0020113A">
            <w:rPr>
              <w:rFonts w:ascii="Times New Roman" w:hAnsi="Times New Roman"/>
              <w:sz w:val="24"/>
              <w:szCs w:val="24"/>
              <w:lang w:val="es-MX"/>
            </w:rPr>
            <w:t>Contrato de Concesión bajo el esquema de APP 013 del 21 de agosto de 2015</w:t>
          </w:r>
        </w:p>
        <w:p w14:paraId="7F44EFE6" w14:textId="77777777" w:rsidR="007803E3" w:rsidRPr="0020113A" w:rsidRDefault="007803E3" w:rsidP="18BAD2EC">
          <w:pPr>
            <w:spacing w:after="0" w:line="257" w:lineRule="auto"/>
            <w:ind w:left="-20" w:right="-20"/>
            <w:jc w:val="both"/>
            <w:rPr>
              <w:rFonts w:ascii="Times New Roman" w:hAnsi="Times New Roman"/>
              <w:sz w:val="24"/>
              <w:szCs w:val="24"/>
              <w:lang w:val="es-MX"/>
            </w:rPr>
          </w:pPr>
          <w:r w:rsidRPr="0020113A">
            <w:rPr>
              <w:rFonts w:ascii="Times New Roman" w:hAnsi="Times New Roman"/>
              <w:b/>
              <w:sz w:val="24"/>
              <w:szCs w:val="24"/>
              <w:lang w:val="es-MX"/>
            </w:rPr>
            <w:t xml:space="preserve">Objeto / Descripción: </w:t>
          </w:r>
          <w:r w:rsidRPr="0020113A">
            <w:rPr>
              <w:rFonts w:ascii="Times New Roman" w:hAnsi="Times New Roman"/>
              <w:sz w:val="24"/>
              <w:szCs w:val="24"/>
              <w:lang w:val="es-MX"/>
            </w:rPr>
            <w:t>Según la Sección 3.2 de la Parte Especial “El alcance del contrato corresponde a los estudios y diseños definitivos, la financiación, gestión ambiental, predial y social, construcción, mejoramiento, rehabilitación operación, mantenimiento y reversión del corredor vial PROYECTO BUCARAMANGA- BARRANCABERMEJA- YONDÓ, de acuerdo con el Apéndice Técnico 1 y demás Apéndices del Contrato.”</w:t>
          </w:r>
        </w:p>
        <w:p w14:paraId="12B43A80" w14:textId="77777777" w:rsidR="007803E3" w:rsidRPr="0020113A" w:rsidRDefault="007803E3" w:rsidP="18BAD2EC">
          <w:pPr>
            <w:spacing w:after="0" w:line="257" w:lineRule="auto"/>
            <w:ind w:left="-20" w:right="-20"/>
            <w:jc w:val="both"/>
            <w:rPr>
              <w:rFonts w:ascii="Times New Roman" w:hAnsi="Times New Roman"/>
              <w:sz w:val="24"/>
              <w:szCs w:val="24"/>
              <w:lang w:val="es-MX"/>
            </w:rPr>
          </w:pPr>
          <w:r w:rsidRPr="0020113A">
            <w:rPr>
              <w:rFonts w:ascii="Times New Roman" w:hAnsi="Times New Roman"/>
              <w:b/>
              <w:sz w:val="24"/>
              <w:szCs w:val="24"/>
              <w:lang w:val="es-MX"/>
            </w:rPr>
            <w:t xml:space="preserve">Valor Inicial: </w:t>
          </w:r>
          <w:r w:rsidRPr="0020113A">
            <w:rPr>
              <w:rFonts w:ascii="Times New Roman" w:hAnsi="Times New Roman"/>
              <w:sz w:val="24"/>
              <w:szCs w:val="24"/>
              <w:lang w:val="es-MX"/>
            </w:rPr>
            <w:t>DOS BILLONES SEISCIENTOS NOVENTA Y UN MIL TRESCIENTOS NOVENTA Y DOS MILLONES CUATROCIENTOS TREINTA Y OCHO MIL CIENTO CATORCE ($2,691,392,438,114) Pesos de diciembre de 2013.</w:t>
          </w:r>
        </w:p>
        <w:p w14:paraId="2735025D" w14:textId="77777777" w:rsidR="007803E3" w:rsidRPr="0020113A" w:rsidRDefault="007803E3" w:rsidP="6EC97610">
          <w:pPr>
            <w:spacing w:after="0"/>
            <w:rPr>
              <w:rFonts w:ascii="Times New Roman" w:hAnsi="Times New Roman"/>
              <w:b/>
              <w:sz w:val="24"/>
              <w:szCs w:val="24"/>
              <w:lang w:val="es-MX"/>
            </w:rPr>
          </w:pPr>
          <w:r w:rsidRPr="0020113A">
            <w:rPr>
              <w:rFonts w:ascii="Times New Roman" w:hAnsi="Times New Roman"/>
              <w:b/>
              <w:sz w:val="24"/>
              <w:szCs w:val="24"/>
              <w:lang w:val="es-MX"/>
            </w:rPr>
            <w:t xml:space="preserve">Fecha de Inicio: </w:t>
          </w:r>
          <w:r w:rsidRPr="0020113A">
            <w:rPr>
              <w:rFonts w:ascii="Times New Roman" w:hAnsi="Times New Roman"/>
              <w:sz w:val="24"/>
              <w:szCs w:val="24"/>
              <w:lang w:val="es-MX"/>
            </w:rPr>
            <w:t>Trece de octubre de 2015</w:t>
          </w:r>
        </w:p>
        <w:p w14:paraId="37A876AA" w14:textId="77777777" w:rsidR="007803E3" w:rsidRPr="0020113A" w:rsidRDefault="007803E3" w:rsidP="6EC97610">
          <w:pPr>
            <w:spacing w:after="0"/>
            <w:rPr>
              <w:rFonts w:ascii="Times New Roman" w:hAnsi="Times New Roman"/>
              <w:b/>
              <w:sz w:val="24"/>
              <w:szCs w:val="24"/>
              <w:lang w:val="es-MX"/>
            </w:rPr>
          </w:pPr>
          <w:r w:rsidRPr="0020113A">
            <w:rPr>
              <w:rFonts w:ascii="Times New Roman" w:hAnsi="Times New Roman"/>
              <w:b/>
              <w:sz w:val="24"/>
              <w:szCs w:val="24"/>
              <w:lang w:val="es-MX"/>
            </w:rPr>
            <w:t xml:space="preserve">Fecha de Finalización Estimada: </w:t>
          </w:r>
          <w:r w:rsidRPr="0020113A">
            <w:rPr>
              <w:rFonts w:ascii="Times New Roman" w:hAnsi="Times New Roman"/>
              <w:sz w:val="24"/>
              <w:szCs w:val="24"/>
              <w:lang w:val="es-MX"/>
            </w:rPr>
            <w:t>12 de octubre de 2040</w:t>
          </w:r>
        </w:p>
        <w:p w14:paraId="54DD192B" w14:textId="77777777" w:rsidR="007803E3" w:rsidRPr="0020113A" w:rsidRDefault="007803E3" w:rsidP="6EC97610">
          <w:pPr>
            <w:spacing w:after="0"/>
            <w:rPr>
              <w:rFonts w:ascii="Times New Roman" w:hAnsi="Times New Roman"/>
              <w:b/>
              <w:sz w:val="24"/>
              <w:szCs w:val="24"/>
              <w:lang w:val="es-MX"/>
            </w:rPr>
          </w:pPr>
          <w:r w:rsidRPr="0020113A">
            <w:rPr>
              <w:rFonts w:ascii="Times New Roman" w:hAnsi="Times New Roman"/>
              <w:b/>
              <w:sz w:val="24"/>
              <w:szCs w:val="24"/>
              <w:lang w:val="es-MX"/>
            </w:rPr>
            <w:t xml:space="preserve">Tipo ID: </w:t>
          </w:r>
          <w:r w:rsidRPr="0020113A">
            <w:rPr>
              <w:rFonts w:ascii="Times New Roman" w:hAnsi="Times New Roman"/>
              <w:bCs/>
              <w:sz w:val="24"/>
              <w:szCs w:val="24"/>
              <w:lang w:val="es-MX"/>
            </w:rPr>
            <w:t>NIT</w:t>
          </w:r>
        </w:p>
        <w:p w14:paraId="411B766A" w14:textId="77777777" w:rsidR="007803E3" w:rsidRPr="0020113A" w:rsidRDefault="007803E3" w:rsidP="6EC97610">
          <w:pPr>
            <w:spacing w:after="0"/>
            <w:rPr>
              <w:rFonts w:ascii="Times New Roman" w:hAnsi="Times New Roman"/>
              <w:b/>
              <w:sz w:val="24"/>
              <w:szCs w:val="24"/>
              <w:lang w:val="es-MX"/>
            </w:rPr>
          </w:pPr>
          <w:r w:rsidRPr="0020113A">
            <w:rPr>
              <w:rFonts w:ascii="Times New Roman" w:hAnsi="Times New Roman"/>
              <w:b/>
              <w:sz w:val="24"/>
              <w:szCs w:val="24"/>
              <w:lang w:val="es-MX"/>
            </w:rPr>
            <w:t xml:space="preserve">Numero ID: </w:t>
          </w:r>
          <w:r w:rsidRPr="0020113A">
            <w:rPr>
              <w:rFonts w:ascii="Times New Roman" w:hAnsi="Times New Roman"/>
              <w:sz w:val="24"/>
              <w:szCs w:val="24"/>
              <w:lang w:val="es-MX"/>
            </w:rPr>
            <w:t>900871368</w:t>
          </w:r>
        </w:p>
        <w:p w14:paraId="559A9AA5" w14:textId="77777777" w:rsidR="007803E3" w:rsidRPr="0020113A" w:rsidRDefault="007803E3" w:rsidP="6EC97610">
          <w:pPr>
            <w:spacing w:after="0" w:line="257" w:lineRule="auto"/>
            <w:ind w:left="-20" w:right="-20"/>
            <w:rPr>
              <w:rFonts w:ascii="Times New Roman" w:hAnsi="Times New Roman"/>
              <w:b/>
              <w:sz w:val="24"/>
              <w:szCs w:val="24"/>
              <w:lang w:val="es-MX"/>
            </w:rPr>
          </w:pPr>
          <w:r w:rsidRPr="0020113A">
            <w:rPr>
              <w:rFonts w:ascii="Times New Roman" w:hAnsi="Times New Roman"/>
              <w:b/>
              <w:sz w:val="24"/>
              <w:szCs w:val="24"/>
              <w:lang w:val="es-MX"/>
            </w:rPr>
            <w:t xml:space="preserve">Razón Social del Concesionario: </w:t>
          </w:r>
          <w:r w:rsidRPr="0020113A">
            <w:rPr>
              <w:rFonts w:ascii="Times New Roman" w:hAnsi="Times New Roman"/>
              <w:sz w:val="24"/>
              <w:szCs w:val="24"/>
              <w:lang w:val="es-MX"/>
            </w:rPr>
            <w:t>Concesionaria Ruta del Cacao SAS.</w:t>
          </w:r>
        </w:p>
        <w:p w14:paraId="272B997D" w14:textId="77777777" w:rsidR="007803E3" w:rsidRPr="0020113A" w:rsidRDefault="007803E3" w:rsidP="6EC97610">
          <w:pPr>
            <w:spacing w:after="0"/>
            <w:ind w:left="-20" w:right="-20"/>
            <w:rPr>
              <w:rFonts w:ascii="Times New Roman" w:hAnsi="Times New Roman"/>
              <w:b/>
              <w:sz w:val="24"/>
              <w:szCs w:val="24"/>
              <w:lang w:val="es-MX"/>
            </w:rPr>
          </w:pPr>
          <w:r w:rsidRPr="0020113A">
            <w:rPr>
              <w:rFonts w:ascii="Times New Roman" w:hAnsi="Times New Roman"/>
              <w:b/>
              <w:sz w:val="24"/>
              <w:szCs w:val="24"/>
              <w:lang w:val="es-MX"/>
            </w:rPr>
            <w:t xml:space="preserve">Nombre del Proyecto: </w:t>
          </w:r>
          <w:r w:rsidRPr="0020113A">
            <w:rPr>
              <w:rFonts w:ascii="Times New Roman" w:hAnsi="Times New Roman"/>
              <w:sz w:val="24"/>
              <w:szCs w:val="24"/>
              <w:lang w:val="es-MX"/>
            </w:rPr>
            <w:t>Concesión Corredor Vial Bucaramanga - Barrancabermeja - Yondó</w:t>
          </w:r>
        </w:p>
        <w:p w14:paraId="0706FBA9" w14:textId="30A1F617" w:rsidR="6EC97610" w:rsidRDefault="6EC97610" w:rsidP="6EC97610">
          <w:pPr>
            <w:spacing w:after="0"/>
            <w:ind w:left="-20" w:right="-20"/>
            <w:rPr>
              <w:rFonts w:ascii="Times New Roman" w:hAnsi="Times New Roman"/>
              <w:sz w:val="24"/>
              <w:szCs w:val="24"/>
              <w:lang w:val="es-MX"/>
            </w:rPr>
          </w:pPr>
        </w:p>
        <w:p w14:paraId="4EAC1951" w14:textId="77777777" w:rsidR="007803E3" w:rsidRPr="0020113A" w:rsidRDefault="007803E3" w:rsidP="00E60BAB">
          <w:pPr>
            <w:pStyle w:val="Prrafodelista"/>
            <w:numPr>
              <w:ilvl w:val="0"/>
              <w:numId w:val="87"/>
            </w:numPr>
            <w:spacing w:line="259" w:lineRule="auto"/>
            <w:rPr>
              <w:rFonts w:ascii="Times New Roman" w:hAnsi="Times New Roman"/>
              <w:b/>
              <w:sz w:val="24"/>
              <w:szCs w:val="24"/>
              <w:lang w:val="es-MX"/>
            </w:rPr>
          </w:pPr>
          <w:r w:rsidRPr="0020113A">
            <w:rPr>
              <w:rFonts w:ascii="Times New Roman" w:hAnsi="Times New Roman"/>
              <w:b/>
              <w:sz w:val="24"/>
              <w:szCs w:val="24"/>
              <w:lang w:val="es-MX"/>
            </w:rPr>
            <w:t>Términos significativos del acuerdo que puedan afectar su valor, el calendario y la certeza de los flujos</w:t>
          </w:r>
        </w:p>
        <w:p w14:paraId="3B540826" w14:textId="77777777" w:rsidR="007803E3" w:rsidRPr="0020113A" w:rsidRDefault="007803E3" w:rsidP="007803E3">
          <w:pPr>
            <w:spacing w:line="257" w:lineRule="auto"/>
            <w:ind w:left="-20" w:right="-20"/>
            <w:jc w:val="both"/>
            <w:rPr>
              <w:rFonts w:ascii="Times New Roman" w:hAnsi="Times New Roman"/>
              <w:sz w:val="24"/>
              <w:szCs w:val="24"/>
              <w:lang w:val="es-MX"/>
            </w:rPr>
          </w:pPr>
          <w:r w:rsidRPr="0020113A">
            <w:rPr>
              <w:rFonts w:ascii="Times New Roman" w:hAnsi="Times New Roman"/>
              <w:b/>
              <w:sz w:val="24"/>
              <w:szCs w:val="24"/>
              <w:lang w:val="es-MX"/>
            </w:rPr>
            <w:t xml:space="preserve">Términos de Valor: </w:t>
          </w:r>
          <w:r w:rsidRPr="0020113A">
            <w:rPr>
              <w:rFonts w:ascii="Times New Roman" w:eastAsiaTheme="minorEastAsia" w:hAnsi="Times New Roman"/>
              <w:sz w:val="24"/>
              <w:szCs w:val="24"/>
              <w:lang w:val="es-MX"/>
            </w:rPr>
            <w:t xml:space="preserve">La sección 4.2 de la Parte Especial del contrato de concesión define la formula con la cual deberan ser actualizadas las tarifas el dieciseis (16) de enero de cada año. </w:t>
          </w:r>
          <w:r w:rsidRPr="0020113A">
            <w:rPr>
              <w:rFonts w:ascii="Times New Roman" w:eastAsiaTheme="minorEastAsia" w:hAnsi="Times New Roman"/>
              <w:sz w:val="24"/>
              <w:szCs w:val="24"/>
              <w:lang w:val="es-MX"/>
            </w:rPr>
            <w:lastRenderedPageBreak/>
            <w:t xml:space="preserve">Durante la vigencia hicieron parte de la retribución del Concesionario: los Aportes ANI, el Recaudo Peajes de la estación la Lizama.  </w:t>
          </w:r>
          <w:r w:rsidRPr="0020113A">
            <w:rPr>
              <w:rFonts w:ascii="Times New Roman" w:hAnsi="Times New Roman"/>
              <w:sz w:val="24"/>
              <w:szCs w:val="24"/>
              <w:lang w:val="es-MX"/>
            </w:rPr>
            <w:t xml:space="preserve"> </w:t>
          </w:r>
        </w:p>
        <w:p w14:paraId="21C97DD6" w14:textId="77777777" w:rsidR="007803E3" w:rsidRPr="0020113A" w:rsidRDefault="007803E3" w:rsidP="007803E3">
          <w:pPr>
            <w:spacing w:line="257" w:lineRule="auto"/>
            <w:ind w:left="-20" w:right="-20"/>
            <w:jc w:val="both"/>
            <w:rPr>
              <w:rFonts w:ascii="Times New Roman" w:hAnsi="Times New Roman"/>
              <w:sz w:val="24"/>
              <w:szCs w:val="24"/>
              <w:lang w:val="es-MX"/>
            </w:rPr>
          </w:pPr>
          <w:bookmarkStart w:id="132" w:name="_Int_Y2IsVCl4"/>
          <w:r w:rsidRPr="0020113A">
            <w:rPr>
              <w:rFonts w:ascii="Times New Roman" w:hAnsi="Times New Roman"/>
              <w:sz w:val="24"/>
              <w:szCs w:val="24"/>
              <w:lang w:val="es-MX"/>
            </w:rPr>
            <w:t>El recaudo de peaje en el año 2023 de dicha estación fue de $ 17.432.527.700 y por concepto de compensaciones por no instalación de las estaciones de peaje La Renta y La Paz y por menor recaudo de tarifas diferenciales de la estación La Lizama se trasladó a la subcuenta Recaudo Peajes un valor de $ 45.548.000.280.</w:t>
          </w:r>
          <w:bookmarkEnd w:id="132"/>
          <w:r w:rsidRPr="0020113A">
            <w:rPr>
              <w:rFonts w:ascii="Times New Roman" w:hAnsi="Times New Roman"/>
              <w:sz w:val="24"/>
              <w:szCs w:val="24"/>
              <w:lang w:val="es-MX"/>
            </w:rPr>
            <w:t xml:space="preserve"> Asi mismo se trasladó a la subcuenta del recaudo $ 1.938.073.436 por la contingencia por menor recaudo derivado de la no instalación de la estación de peaje Lizama. </w:t>
          </w:r>
        </w:p>
        <w:p w14:paraId="49ED4106" w14:textId="77777777" w:rsidR="007803E3" w:rsidRPr="0020113A" w:rsidRDefault="007803E3" w:rsidP="007803E3">
          <w:pPr>
            <w:spacing w:line="257" w:lineRule="auto"/>
            <w:ind w:left="-20" w:right="-20"/>
            <w:jc w:val="both"/>
            <w:rPr>
              <w:rFonts w:ascii="Times New Roman" w:hAnsi="Times New Roman"/>
              <w:sz w:val="24"/>
              <w:szCs w:val="24"/>
              <w:lang w:val="es-MX"/>
            </w:rPr>
          </w:pPr>
          <w:r w:rsidRPr="0020113A">
            <w:rPr>
              <w:rFonts w:ascii="Times New Roman" w:hAnsi="Times New Roman"/>
              <w:sz w:val="24"/>
              <w:szCs w:val="24"/>
              <w:lang w:val="es-MX"/>
            </w:rPr>
            <w:t xml:space="preserve">El recaudo acumulado al corte 2023 certificado por Fiduciaria Bancolombia fue de $ 172.518.927.326.  El VPIP ejecutado al corte de diciembre 2023 fue $ 79.039.985.883,45 con un porcentaje de avance del 5,08%. </w:t>
          </w:r>
          <w:bookmarkStart w:id="133" w:name="_Int_rp3YzJbR"/>
          <w:r w:rsidRPr="0020113A">
            <w:rPr>
              <w:rFonts w:ascii="Times New Roman" w:hAnsi="Times New Roman"/>
              <w:sz w:val="24"/>
              <w:szCs w:val="24"/>
              <w:lang w:val="es-MX"/>
            </w:rPr>
            <w:t>En el mes de septiembre de 2023 fue girado el segundo abono por el saldo de la vigencia 2022 por $ 23.356.525.240 y el primer abono de la vigencia 2023 por $ 165.844.239.591.</w:t>
          </w:r>
          <w:bookmarkEnd w:id="133"/>
          <w:r w:rsidRPr="0020113A">
            <w:rPr>
              <w:rFonts w:ascii="Times New Roman" w:hAnsi="Times New Roman"/>
              <w:sz w:val="24"/>
              <w:szCs w:val="24"/>
              <w:lang w:val="es-MX"/>
            </w:rPr>
            <w:t xml:space="preserve"> </w:t>
          </w:r>
        </w:p>
        <w:p w14:paraId="165E0E59" w14:textId="48A7577F" w:rsidR="00A56C91" w:rsidRPr="009E562B" w:rsidRDefault="007803E3" w:rsidP="007803E3">
          <w:pPr>
            <w:spacing w:line="257" w:lineRule="auto"/>
            <w:ind w:left="-20" w:right="-20"/>
            <w:jc w:val="both"/>
            <w:rPr>
              <w:rFonts w:ascii="Times New Roman" w:hAnsi="Times New Roman"/>
              <w:sz w:val="24"/>
              <w:szCs w:val="24"/>
            </w:rPr>
            <w:sectPr w:rsidR="00A56C91" w:rsidRPr="009E562B" w:rsidSect="00376BDD">
              <w:type w:val="continuous"/>
              <w:pgSz w:w="12240" w:h="15840"/>
              <w:pgMar w:top="1418" w:right="1418" w:bottom="1418" w:left="1843" w:header="680" w:footer="709" w:gutter="0"/>
              <w:pgNumType w:start="166"/>
              <w:cols w:space="708"/>
              <w:titlePg/>
              <w:docGrid w:linePitch="360"/>
            </w:sectPr>
          </w:pPr>
          <w:r w:rsidRPr="0020113A">
            <w:rPr>
              <w:rFonts w:ascii="Times New Roman" w:hAnsi="Times New Roman"/>
              <w:sz w:val="24"/>
              <w:szCs w:val="24"/>
              <w:lang w:val="es-MX"/>
            </w:rPr>
            <w:t xml:space="preserve">Los avances de ejecución de inversión al corte de 2023 por unidad funcional fueron: </w:t>
          </w:r>
        </w:p>
        <w:p w14:paraId="2EFF0167" w14:textId="77777777" w:rsidR="007803E3" w:rsidRPr="0080485B" w:rsidRDefault="007803E3" w:rsidP="6EC97610">
          <w:pPr>
            <w:spacing w:after="0" w:line="257" w:lineRule="auto"/>
            <w:ind w:left="-20" w:right="-20"/>
            <w:jc w:val="both"/>
            <w:rPr>
              <w:rFonts w:ascii="Times New Roman" w:hAnsi="Times New Roman"/>
              <w:sz w:val="24"/>
              <w:szCs w:val="24"/>
              <w:lang w:val="de-DE"/>
            </w:rPr>
          </w:pPr>
          <w:r w:rsidRPr="0080485B">
            <w:rPr>
              <w:rFonts w:ascii="Times New Roman" w:hAnsi="Times New Roman"/>
              <w:sz w:val="24"/>
              <w:szCs w:val="24"/>
              <w:lang w:val="de-DE"/>
            </w:rPr>
            <w:t>UF1: 56%</w:t>
          </w:r>
        </w:p>
        <w:p w14:paraId="07E58598" w14:textId="77777777" w:rsidR="007803E3" w:rsidRPr="0080485B" w:rsidRDefault="007803E3" w:rsidP="6EC97610">
          <w:pPr>
            <w:spacing w:after="0" w:line="257" w:lineRule="auto"/>
            <w:ind w:left="-20" w:right="-20"/>
            <w:jc w:val="both"/>
            <w:rPr>
              <w:rFonts w:ascii="Times New Roman" w:hAnsi="Times New Roman"/>
              <w:sz w:val="24"/>
              <w:szCs w:val="24"/>
              <w:lang w:val="de-DE"/>
            </w:rPr>
          </w:pPr>
          <w:r w:rsidRPr="0080485B">
            <w:rPr>
              <w:rFonts w:ascii="Times New Roman" w:hAnsi="Times New Roman"/>
              <w:sz w:val="24"/>
              <w:szCs w:val="24"/>
              <w:lang w:val="de-DE"/>
            </w:rPr>
            <w:t>UF2: 100%</w:t>
          </w:r>
        </w:p>
        <w:p w14:paraId="0B42BC0A" w14:textId="77777777" w:rsidR="007803E3" w:rsidRPr="0080485B" w:rsidRDefault="007803E3" w:rsidP="6EC97610">
          <w:pPr>
            <w:spacing w:after="0" w:line="257" w:lineRule="auto"/>
            <w:ind w:left="-20" w:right="-20"/>
            <w:jc w:val="both"/>
            <w:rPr>
              <w:rFonts w:ascii="Times New Roman" w:hAnsi="Times New Roman"/>
              <w:sz w:val="24"/>
              <w:szCs w:val="24"/>
              <w:lang w:val="de-DE"/>
            </w:rPr>
          </w:pPr>
          <w:r w:rsidRPr="0080485B">
            <w:rPr>
              <w:rFonts w:ascii="Times New Roman" w:hAnsi="Times New Roman"/>
              <w:sz w:val="24"/>
              <w:szCs w:val="24"/>
              <w:lang w:val="de-DE"/>
            </w:rPr>
            <w:t>UF3: 89,63%</w:t>
          </w:r>
        </w:p>
        <w:p w14:paraId="1A34785E" w14:textId="77777777" w:rsidR="007803E3" w:rsidRPr="0080485B" w:rsidRDefault="007803E3" w:rsidP="6EC97610">
          <w:pPr>
            <w:spacing w:after="0" w:line="257" w:lineRule="auto"/>
            <w:ind w:left="-20" w:right="-20"/>
            <w:jc w:val="both"/>
            <w:rPr>
              <w:rFonts w:ascii="Times New Roman" w:hAnsi="Times New Roman"/>
              <w:sz w:val="24"/>
              <w:szCs w:val="24"/>
              <w:lang w:val="de-DE"/>
            </w:rPr>
          </w:pPr>
          <w:r w:rsidRPr="0080485B">
            <w:rPr>
              <w:rFonts w:ascii="Times New Roman" w:hAnsi="Times New Roman"/>
              <w:sz w:val="24"/>
              <w:szCs w:val="24"/>
              <w:lang w:val="de-DE"/>
            </w:rPr>
            <w:t>UF4: 100%</w:t>
          </w:r>
        </w:p>
        <w:p w14:paraId="69FA727B" w14:textId="77777777" w:rsidR="007803E3" w:rsidRPr="0080485B" w:rsidRDefault="007803E3" w:rsidP="6EC97610">
          <w:pPr>
            <w:spacing w:after="0" w:line="257" w:lineRule="auto"/>
            <w:ind w:left="-20" w:right="-20"/>
            <w:jc w:val="both"/>
            <w:rPr>
              <w:rFonts w:ascii="Times New Roman" w:hAnsi="Times New Roman"/>
              <w:sz w:val="24"/>
              <w:szCs w:val="24"/>
              <w:lang w:val="de-DE"/>
            </w:rPr>
          </w:pPr>
          <w:r w:rsidRPr="0080485B">
            <w:rPr>
              <w:rFonts w:ascii="Times New Roman" w:hAnsi="Times New Roman"/>
              <w:sz w:val="24"/>
              <w:szCs w:val="24"/>
              <w:lang w:val="de-DE"/>
            </w:rPr>
            <w:t>UF5: 100%</w:t>
          </w:r>
        </w:p>
        <w:p w14:paraId="4806CBB3" w14:textId="77777777" w:rsidR="007803E3" w:rsidRPr="0020113A" w:rsidRDefault="007803E3" w:rsidP="6EC97610">
          <w:pPr>
            <w:spacing w:after="0" w:line="257" w:lineRule="auto"/>
            <w:ind w:left="-20" w:right="-20"/>
            <w:jc w:val="both"/>
            <w:rPr>
              <w:rFonts w:ascii="Times New Roman" w:hAnsi="Times New Roman"/>
              <w:sz w:val="24"/>
              <w:szCs w:val="24"/>
            </w:rPr>
          </w:pPr>
          <w:r w:rsidRPr="0020113A">
            <w:rPr>
              <w:rFonts w:ascii="Times New Roman" w:hAnsi="Times New Roman"/>
              <w:sz w:val="24"/>
              <w:szCs w:val="24"/>
              <w:lang w:val="es-MX"/>
            </w:rPr>
            <w:t>UF6: 100%</w:t>
          </w:r>
        </w:p>
        <w:p w14:paraId="47C164E6" w14:textId="77777777" w:rsidR="007803E3" w:rsidRPr="0020113A" w:rsidRDefault="007803E3" w:rsidP="6EC97610">
          <w:pPr>
            <w:spacing w:after="0" w:line="257" w:lineRule="auto"/>
            <w:ind w:left="-20" w:right="-20"/>
            <w:jc w:val="both"/>
            <w:rPr>
              <w:rFonts w:ascii="Times New Roman" w:hAnsi="Times New Roman"/>
              <w:sz w:val="24"/>
              <w:szCs w:val="24"/>
            </w:rPr>
          </w:pPr>
          <w:r w:rsidRPr="0020113A">
            <w:rPr>
              <w:rFonts w:ascii="Times New Roman" w:hAnsi="Times New Roman"/>
              <w:sz w:val="24"/>
              <w:szCs w:val="24"/>
              <w:lang w:val="es-MX"/>
            </w:rPr>
            <w:t>UF7: 100%</w:t>
          </w:r>
        </w:p>
        <w:p w14:paraId="6148A159" w14:textId="77777777" w:rsidR="007803E3" w:rsidRPr="0020113A" w:rsidRDefault="007803E3" w:rsidP="6EC97610">
          <w:pPr>
            <w:spacing w:after="0" w:line="257" w:lineRule="auto"/>
            <w:ind w:left="-20" w:right="-20"/>
            <w:jc w:val="both"/>
            <w:rPr>
              <w:rFonts w:ascii="Times New Roman" w:hAnsi="Times New Roman"/>
              <w:sz w:val="24"/>
              <w:szCs w:val="24"/>
            </w:rPr>
          </w:pPr>
          <w:r w:rsidRPr="0020113A">
            <w:rPr>
              <w:rFonts w:ascii="Times New Roman" w:hAnsi="Times New Roman"/>
              <w:sz w:val="24"/>
              <w:szCs w:val="24"/>
              <w:lang w:val="es-MX"/>
            </w:rPr>
            <w:t>UF8: 82,90%</w:t>
          </w:r>
        </w:p>
        <w:p w14:paraId="3A62AC59" w14:textId="77777777" w:rsidR="007803E3" w:rsidRPr="0020113A" w:rsidRDefault="007803E3" w:rsidP="6EC97610">
          <w:pPr>
            <w:spacing w:after="0" w:line="257" w:lineRule="auto"/>
            <w:ind w:left="-20" w:right="-20"/>
            <w:jc w:val="both"/>
            <w:rPr>
              <w:rFonts w:ascii="Times New Roman" w:hAnsi="Times New Roman"/>
              <w:sz w:val="24"/>
              <w:szCs w:val="24"/>
            </w:rPr>
          </w:pPr>
          <w:r w:rsidRPr="0020113A">
            <w:rPr>
              <w:rFonts w:ascii="Times New Roman" w:hAnsi="Times New Roman"/>
              <w:sz w:val="24"/>
              <w:szCs w:val="24"/>
              <w:lang w:val="es-MX"/>
            </w:rPr>
            <w:t>UF9: 92,91%</w:t>
          </w:r>
        </w:p>
        <w:p w14:paraId="31593B88" w14:textId="77777777" w:rsidR="00A56C91" w:rsidRPr="009A46BB" w:rsidRDefault="00A56C91" w:rsidP="007803E3">
          <w:pPr>
            <w:spacing w:line="257" w:lineRule="auto"/>
            <w:ind w:left="-20" w:right="-20"/>
            <w:jc w:val="both"/>
            <w:rPr>
              <w:rFonts w:ascii="Times New Roman" w:hAnsi="Times New Roman"/>
              <w:sz w:val="24"/>
              <w:szCs w:val="24"/>
              <w:lang w:val="es-MX"/>
            </w:rPr>
            <w:sectPr w:rsidR="00A56C91" w:rsidRPr="009A46BB" w:rsidSect="00376BDD">
              <w:type w:val="continuous"/>
              <w:pgSz w:w="12240" w:h="15840"/>
              <w:pgMar w:top="1418" w:right="1418" w:bottom="1418" w:left="1843" w:header="680" w:footer="709" w:gutter="0"/>
              <w:pgNumType w:start="1"/>
              <w:cols w:num="3" w:space="708"/>
              <w:titlePg/>
              <w:docGrid w:linePitch="360"/>
            </w:sectPr>
          </w:pPr>
        </w:p>
        <w:p w14:paraId="767AA413" w14:textId="2D5C7ACB" w:rsidR="007803E3" w:rsidRPr="0020113A" w:rsidRDefault="007803E3" w:rsidP="007803E3">
          <w:pPr>
            <w:spacing w:line="257" w:lineRule="auto"/>
            <w:ind w:left="-20" w:right="-20"/>
            <w:jc w:val="both"/>
            <w:rPr>
              <w:rFonts w:ascii="Times New Roman" w:hAnsi="Times New Roman"/>
              <w:sz w:val="24"/>
              <w:szCs w:val="24"/>
              <w:lang w:val="es-MX"/>
            </w:rPr>
          </w:pPr>
          <w:r w:rsidRPr="0020113A">
            <w:rPr>
              <w:rFonts w:ascii="Times New Roman" w:hAnsi="Times New Roman"/>
              <w:sz w:val="24"/>
              <w:szCs w:val="24"/>
              <w:lang w:val="es-MX"/>
            </w:rPr>
            <w:t xml:space="preserve">En el ejercicio desarrollado, se realizaron ajustes respecto a la medición inicial del Capex, teniendo en cuenta el cambio en el cronograma para la culminación de las obras.  </w:t>
          </w:r>
          <w:bookmarkStart w:id="134" w:name="_Int_ABJaPJK5"/>
          <w:r w:rsidRPr="0020113A">
            <w:rPr>
              <w:rFonts w:ascii="Times New Roman" w:hAnsi="Times New Roman"/>
              <w:sz w:val="24"/>
              <w:szCs w:val="24"/>
              <w:lang w:val="es-MX"/>
            </w:rPr>
            <w:t>Adicionalmente, se ajusta la proyección del mantenimiento periódico teniendo en cuenta la proyección de la terminación de las unidades funcionales y finalmente para el OPEX se ajusta su estimación, considerando los saldos acumulados al 2022 y aplicando la medición de indicadores en cumplimiento de la guía contable.</w:t>
          </w:r>
          <w:bookmarkEnd w:id="134"/>
        </w:p>
        <w:p w14:paraId="59F5739F" w14:textId="25F53C87" w:rsidR="007803E3" w:rsidRPr="0020113A" w:rsidRDefault="007803E3" w:rsidP="007803E3">
          <w:pPr>
            <w:spacing w:line="257" w:lineRule="auto"/>
            <w:ind w:left="-20" w:right="-20"/>
            <w:jc w:val="both"/>
            <w:rPr>
              <w:rFonts w:ascii="Times New Roman" w:hAnsi="Times New Roman"/>
              <w:b/>
              <w:sz w:val="24"/>
              <w:szCs w:val="24"/>
              <w:lang w:val="es-MX"/>
            </w:rPr>
          </w:pPr>
          <w:r w:rsidRPr="0020113A">
            <w:rPr>
              <w:rFonts w:ascii="Times New Roman" w:hAnsi="Times New Roman"/>
              <w:b/>
              <w:sz w:val="24"/>
              <w:szCs w:val="24"/>
              <w:lang w:val="es-MX"/>
            </w:rPr>
            <w:t>Términos de Calendario:</w:t>
          </w:r>
          <w:r w:rsidRPr="0020113A">
            <w:rPr>
              <w:rFonts w:ascii="Times New Roman" w:eastAsiaTheme="minorEastAsia" w:hAnsi="Times New Roman"/>
              <w:b/>
              <w:sz w:val="24"/>
              <w:szCs w:val="24"/>
              <w:lang w:val="es-MX"/>
            </w:rPr>
            <w:t xml:space="preserve"> </w:t>
          </w:r>
          <w:r w:rsidRPr="0020113A">
            <w:rPr>
              <w:rFonts w:ascii="Times New Roman" w:eastAsiaTheme="minorEastAsia" w:hAnsi="Times New Roman"/>
              <w:sz w:val="24"/>
              <w:szCs w:val="24"/>
              <w:lang w:val="es-MX"/>
            </w:rPr>
            <w:t xml:space="preserve">Las tarifas de peaje son incrementadas cada 16 de enero con el IPC publicado por el DANE. Para la vigencia2023 de acuerdo con el decreto 050 no se </w:t>
          </w:r>
          <w:r w:rsidR="001F57C8" w:rsidRPr="009A46BB">
            <w:rPr>
              <w:rFonts w:ascii="Times New Roman" w:eastAsiaTheme="minorEastAsia" w:hAnsi="Times New Roman"/>
              <w:sz w:val="24"/>
              <w:szCs w:val="24"/>
              <w:lang w:val="es-MX"/>
            </w:rPr>
            <w:t>presentó</w:t>
          </w:r>
          <w:r w:rsidRPr="0020113A">
            <w:rPr>
              <w:rFonts w:ascii="Times New Roman" w:eastAsiaTheme="minorEastAsia" w:hAnsi="Times New Roman"/>
              <w:sz w:val="24"/>
              <w:szCs w:val="24"/>
              <w:lang w:val="es-MX"/>
            </w:rPr>
            <w:t xml:space="preserve"> incremento</w:t>
          </w:r>
        </w:p>
        <w:p w14:paraId="38618B61" w14:textId="79010973" w:rsidR="007803E3" w:rsidRPr="0020113A" w:rsidRDefault="007803E3" w:rsidP="007803E3">
          <w:pPr>
            <w:rPr>
              <w:rFonts w:ascii="Times New Roman" w:hAnsi="Times New Roman"/>
              <w:sz w:val="24"/>
              <w:szCs w:val="24"/>
              <w:lang w:val="es-MX"/>
            </w:rPr>
          </w:pPr>
          <w:r w:rsidRPr="0020113A">
            <w:rPr>
              <w:rFonts w:ascii="Times New Roman" w:hAnsi="Times New Roman"/>
              <w:b/>
              <w:sz w:val="24"/>
              <w:szCs w:val="24"/>
              <w:lang w:val="es-MX"/>
            </w:rPr>
            <w:t xml:space="preserve">Términos de Certeza de Flujos de Efectivo Futuros: </w:t>
          </w:r>
          <w:r w:rsidRPr="0020113A">
            <w:rPr>
              <w:rFonts w:ascii="Times New Roman" w:hAnsi="Times New Roman"/>
              <w:sz w:val="24"/>
              <w:szCs w:val="24"/>
              <w:lang w:val="es-MX"/>
            </w:rPr>
            <w:t xml:space="preserve">Las variables que pueden afectar los flujos de efectivo tienen en cuenta lo señalado en el </w:t>
          </w:r>
          <w:r w:rsidR="001F57C8" w:rsidRPr="009A46BB">
            <w:rPr>
              <w:rFonts w:ascii="Times New Roman" w:hAnsi="Times New Roman"/>
              <w:sz w:val="24"/>
              <w:szCs w:val="24"/>
              <w:lang w:val="es-MX"/>
            </w:rPr>
            <w:t>Capítulo</w:t>
          </w:r>
          <w:r w:rsidRPr="0020113A">
            <w:rPr>
              <w:rFonts w:ascii="Times New Roman" w:hAnsi="Times New Roman"/>
              <w:sz w:val="24"/>
              <w:szCs w:val="24"/>
              <w:lang w:val="es-MX"/>
            </w:rPr>
            <w:t xml:space="preserve"> XIII de la ecuación contractual y asignación de riesgos de la Parte General del contrato de concesión.</w:t>
          </w:r>
        </w:p>
        <w:p w14:paraId="112CE24E" w14:textId="77777777" w:rsidR="007803E3" w:rsidRPr="0020113A" w:rsidRDefault="007803E3" w:rsidP="00E60BAB">
          <w:pPr>
            <w:pStyle w:val="Prrafodelista"/>
            <w:numPr>
              <w:ilvl w:val="0"/>
              <w:numId w:val="87"/>
            </w:numPr>
            <w:spacing w:line="259" w:lineRule="auto"/>
            <w:rPr>
              <w:rFonts w:ascii="Times New Roman" w:hAnsi="Times New Roman"/>
              <w:b/>
              <w:sz w:val="24"/>
              <w:szCs w:val="24"/>
              <w:lang w:val="es-MX"/>
            </w:rPr>
          </w:pPr>
          <w:r w:rsidRPr="0020113A">
            <w:rPr>
              <w:rFonts w:ascii="Times New Roman" w:hAnsi="Times New Roman"/>
              <w:b/>
              <w:sz w:val="24"/>
              <w:szCs w:val="24"/>
              <w:lang w:val="es-MX"/>
            </w:rPr>
            <w:t>Naturaleza y alcance del derecho a utilizar activos especificados, de los aspectos pactados en torno a lo que se espera que el concesionario proporcione en relación con el acuerdo de concesión</w:t>
          </w:r>
        </w:p>
        <w:p w14:paraId="01F28A8E" w14:textId="77777777" w:rsidR="007803E3" w:rsidRPr="0020113A" w:rsidRDefault="007803E3" w:rsidP="007803E3">
          <w:pPr>
            <w:jc w:val="center"/>
            <w:rPr>
              <w:rFonts w:ascii="Times New Roman" w:hAnsi="Times New Roman"/>
              <w:b/>
              <w:sz w:val="24"/>
              <w:szCs w:val="24"/>
              <w:lang w:val="es-MX"/>
            </w:rPr>
          </w:pPr>
          <w:r w:rsidRPr="0020113A">
            <w:rPr>
              <w:rFonts w:ascii="Times New Roman" w:hAnsi="Times New Roman"/>
              <w:b/>
              <w:sz w:val="24"/>
              <w:szCs w:val="24"/>
              <w:lang w:val="es-MX"/>
            </w:rPr>
            <w:t>Naturaleza y alcance del derecho de uso de los activos</w:t>
          </w:r>
        </w:p>
        <w:p w14:paraId="50BA1040" w14:textId="77777777" w:rsidR="007803E3" w:rsidRPr="0020113A" w:rsidRDefault="007803E3" w:rsidP="007803E3">
          <w:pPr>
            <w:jc w:val="both"/>
            <w:rPr>
              <w:rFonts w:ascii="Times New Roman" w:hAnsi="Times New Roman"/>
              <w:b/>
              <w:sz w:val="24"/>
              <w:szCs w:val="24"/>
              <w:lang w:val="es-MX"/>
            </w:rPr>
          </w:pPr>
          <w:r w:rsidRPr="0020113A">
            <w:rPr>
              <w:rFonts w:ascii="Times New Roman" w:hAnsi="Times New Roman"/>
              <w:b/>
              <w:sz w:val="24"/>
              <w:szCs w:val="24"/>
              <w:lang w:val="es-MX"/>
            </w:rPr>
            <w:t>Descripción:</w:t>
          </w:r>
          <w:r w:rsidRPr="0020113A">
            <w:rPr>
              <w:rFonts w:ascii="Times New Roman" w:hAnsi="Times New Roman"/>
              <w:sz w:val="24"/>
              <w:szCs w:val="24"/>
              <w:lang w:val="es-MX"/>
            </w:rPr>
            <w:t xml:space="preserve"> La sección 3.5 (b) del Capítulo III de la Parte Especial del Contrato determina la infraestructura programada para ser recibida por el Concesionario. Sección 3.6 - Parte Especial – Estaciones de Peaje. Sección 3.3 Parte General peajes, Derecho de Recaudo e ingresos por Explotación Comercial</w:t>
          </w:r>
          <w:r w:rsidRPr="0020113A">
            <w:rPr>
              <w:rFonts w:ascii="Times New Roman" w:hAnsi="Times New Roman"/>
              <w:b/>
              <w:sz w:val="24"/>
              <w:szCs w:val="24"/>
              <w:lang w:val="es-MX"/>
            </w:rPr>
            <w:t>.</w:t>
          </w:r>
        </w:p>
        <w:p w14:paraId="0D0E369B" w14:textId="77777777"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 xml:space="preserve">Observaciones: </w:t>
          </w:r>
          <w:r w:rsidRPr="0020113A">
            <w:rPr>
              <w:rFonts w:ascii="Times New Roman" w:hAnsi="Times New Roman"/>
              <w:bCs/>
              <w:sz w:val="24"/>
              <w:szCs w:val="24"/>
              <w:lang w:val="es-MX"/>
            </w:rPr>
            <w:t>No se tienen observaciones</w:t>
          </w:r>
        </w:p>
        <w:p w14:paraId="75518A22" w14:textId="77777777" w:rsidR="007803E3" w:rsidRPr="0020113A" w:rsidRDefault="007803E3" w:rsidP="007803E3">
          <w:pPr>
            <w:jc w:val="center"/>
            <w:rPr>
              <w:rFonts w:ascii="Times New Roman" w:hAnsi="Times New Roman"/>
              <w:b/>
              <w:sz w:val="24"/>
              <w:szCs w:val="24"/>
              <w:lang w:val="es-MX"/>
            </w:rPr>
          </w:pPr>
          <w:r w:rsidRPr="0020113A">
            <w:rPr>
              <w:rFonts w:ascii="Times New Roman" w:hAnsi="Times New Roman"/>
              <w:b/>
              <w:sz w:val="24"/>
              <w:szCs w:val="24"/>
              <w:lang w:val="es-MX"/>
            </w:rPr>
            <w:lastRenderedPageBreak/>
            <w:t>Retribución al Concesionario</w:t>
          </w:r>
        </w:p>
        <w:p w14:paraId="542D3289" w14:textId="77777777" w:rsidR="007803E3" w:rsidRPr="0020113A" w:rsidRDefault="007803E3" w:rsidP="007803E3">
          <w:pPr>
            <w:spacing w:line="257" w:lineRule="auto"/>
            <w:ind w:left="-20" w:right="-20"/>
            <w:jc w:val="both"/>
            <w:rPr>
              <w:rFonts w:ascii="Times New Roman" w:hAnsi="Times New Roman"/>
              <w:b/>
              <w:sz w:val="24"/>
              <w:szCs w:val="24"/>
              <w:lang w:val="es-MX"/>
            </w:rPr>
          </w:pPr>
          <w:r w:rsidRPr="0020113A">
            <w:rPr>
              <w:rFonts w:ascii="Times New Roman" w:hAnsi="Times New Roman"/>
              <w:b/>
              <w:sz w:val="24"/>
              <w:szCs w:val="24"/>
              <w:lang w:val="es-MX"/>
            </w:rPr>
            <w:t xml:space="preserve">Descripción: </w:t>
          </w:r>
          <w:r w:rsidRPr="0020113A">
            <w:rPr>
              <w:rFonts w:ascii="Times New Roman" w:hAnsi="Times New Roman"/>
              <w:sz w:val="24"/>
              <w:szCs w:val="24"/>
              <w:lang w:val="es-MX"/>
            </w:rPr>
            <w:t>En la sección 4.3 de la Parte Especial del contrato de concesión se establece el cálculo de la retribución al concesionario. Al corte del 2023 la Fiduciaria Bancolombia reporto por pagos de actas de retribución $ 920.643.833.540,89, de los cuales por concepto de pagos de vigencias se ha girado $ 729.706.970.239,77.</w:t>
          </w:r>
        </w:p>
        <w:p w14:paraId="64F89918"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Tasa de Retribución: </w:t>
          </w:r>
          <w:r w:rsidRPr="0020113A">
            <w:rPr>
              <w:rFonts w:ascii="Times New Roman" w:hAnsi="Times New Roman"/>
              <w:sz w:val="24"/>
              <w:szCs w:val="24"/>
              <w:lang w:val="es-MX"/>
            </w:rPr>
            <w:t>Capitulo II Aspectos económicos del contrato: La tasa de descuento real (TDI) expresada en términos efectivos mensuales, para efectos de este Proyecto, será del cero punto cincuenta y cinco setenta y uno por ciento 0.5571%</w:t>
          </w:r>
        </w:p>
        <w:p w14:paraId="30161A11" w14:textId="77777777" w:rsidR="007803E3" w:rsidRPr="0020113A" w:rsidRDefault="007803E3" w:rsidP="00E60BAB">
          <w:pPr>
            <w:pStyle w:val="Prrafodelista"/>
            <w:numPr>
              <w:ilvl w:val="0"/>
              <w:numId w:val="87"/>
            </w:numPr>
            <w:spacing w:line="259" w:lineRule="auto"/>
            <w:rPr>
              <w:rFonts w:ascii="Times New Roman" w:hAnsi="Times New Roman"/>
              <w:b/>
              <w:sz w:val="24"/>
              <w:szCs w:val="24"/>
              <w:lang w:val="es-MX"/>
            </w:rPr>
          </w:pPr>
          <w:r w:rsidRPr="0020113A">
            <w:rPr>
              <w:rFonts w:ascii="Times New Roman" w:hAnsi="Times New Roman"/>
              <w:b/>
              <w:sz w:val="24"/>
              <w:szCs w:val="24"/>
              <w:lang w:val="es-MX"/>
            </w:rPr>
            <w:t>Derechos a recibir activos especificados al final del acuerdo de concesión</w:t>
          </w:r>
        </w:p>
        <w:p w14:paraId="5AF2CAAD" w14:textId="77777777" w:rsidR="007803E3" w:rsidRPr="0020113A" w:rsidRDefault="007803E3" w:rsidP="007803E3">
          <w:pPr>
            <w:spacing w:line="257" w:lineRule="auto"/>
            <w:ind w:left="-20" w:right="-20"/>
            <w:jc w:val="both"/>
            <w:rPr>
              <w:rFonts w:ascii="Times New Roman" w:hAnsi="Times New Roman"/>
              <w:sz w:val="24"/>
              <w:szCs w:val="24"/>
              <w:lang w:val="es-MX"/>
            </w:rPr>
          </w:pPr>
          <w:r w:rsidRPr="0020113A">
            <w:rPr>
              <w:rFonts w:ascii="Times New Roman" w:hAnsi="Times New Roman"/>
              <w:b/>
              <w:sz w:val="24"/>
              <w:szCs w:val="24"/>
              <w:lang w:val="es-MX"/>
            </w:rPr>
            <w:t xml:space="preserve">Descripción: </w:t>
          </w:r>
          <w:r w:rsidRPr="0020113A">
            <w:rPr>
              <w:rFonts w:ascii="Times New Roman" w:hAnsi="Times New Roman"/>
              <w:sz w:val="24"/>
              <w:szCs w:val="24"/>
              <w:lang w:val="es-MX"/>
            </w:rPr>
            <w:t>Corresponde al procedimiento señalado en la sección 9.7 del Contrato Parte General, mediante el cual el Concesionario entrega los bienes asociados al proyecto a la ANI para dar por terminado el contrato.</w:t>
          </w:r>
        </w:p>
        <w:p w14:paraId="2F563A25" w14:textId="77777777"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 xml:space="preserve">Observaciones: </w:t>
          </w:r>
          <w:r w:rsidRPr="0020113A">
            <w:rPr>
              <w:rFonts w:ascii="Times New Roman" w:hAnsi="Times New Roman"/>
              <w:bCs/>
              <w:sz w:val="24"/>
              <w:szCs w:val="24"/>
              <w:lang w:val="es-MX"/>
            </w:rPr>
            <w:t>No se tienen observaciones</w:t>
          </w:r>
        </w:p>
        <w:p w14:paraId="1A017B7B" w14:textId="7A7F2111" w:rsidR="007803E3" w:rsidRPr="0020113A" w:rsidRDefault="00AB2FD5" w:rsidP="00E60BAB">
          <w:pPr>
            <w:pStyle w:val="Prrafodelista"/>
            <w:numPr>
              <w:ilvl w:val="0"/>
              <w:numId w:val="87"/>
            </w:numPr>
            <w:spacing w:line="259" w:lineRule="auto"/>
            <w:rPr>
              <w:rFonts w:ascii="Times New Roman" w:hAnsi="Times New Roman"/>
              <w:b/>
              <w:sz w:val="24"/>
              <w:szCs w:val="24"/>
              <w:lang w:val="es-MX"/>
            </w:rPr>
          </w:pPr>
          <w:r>
            <w:rPr>
              <w:rFonts w:ascii="Times New Roman" w:hAnsi="Times New Roman"/>
              <w:b/>
              <w:sz w:val="24"/>
              <w:szCs w:val="24"/>
              <w:lang w:val="es-MX"/>
            </w:rPr>
            <w:t>No hay c</w:t>
          </w:r>
          <w:r w:rsidR="007803E3" w:rsidRPr="00AB2FD5">
            <w:rPr>
              <w:rFonts w:ascii="Times New Roman" w:hAnsi="Times New Roman"/>
              <w:b/>
              <w:sz w:val="24"/>
              <w:szCs w:val="24"/>
              <w:lang w:val="es-MX"/>
            </w:rPr>
            <w:t>ambios</w:t>
          </w:r>
          <w:r w:rsidR="007803E3" w:rsidRPr="0020113A">
            <w:rPr>
              <w:rFonts w:ascii="Times New Roman" w:hAnsi="Times New Roman"/>
              <w:b/>
              <w:sz w:val="24"/>
              <w:szCs w:val="24"/>
              <w:lang w:val="es-MX"/>
            </w:rPr>
            <w:t xml:space="preserve"> en el acuerdo de concesión que se realicen durante el periodo fiscal</w:t>
          </w:r>
        </w:p>
        <w:p w14:paraId="55E6E0FC" w14:textId="77777777" w:rsidR="007803E3" w:rsidRPr="0020113A" w:rsidRDefault="007803E3" w:rsidP="007803E3">
          <w:pPr>
            <w:rPr>
              <w:rFonts w:ascii="Times New Roman" w:hAnsi="Times New Roman"/>
              <w:b/>
              <w:sz w:val="24"/>
              <w:szCs w:val="24"/>
              <w:lang w:val="es-MX"/>
            </w:rPr>
          </w:pPr>
        </w:p>
        <w:p w14:paraId="1552082E" w14:textId="77777777"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CORDOBA SUCRE</w:t>
          </w:r>
        </w:p>
        <w:p w14:paraId="07107E04" w14:textId="77777777" w:rsidR="007803E3" w:rsidRPr="0020113A" w:rsidRDefault="007803E3" w:rsidP="00E60BAB">
          <w:pPr>
            <w:pStyle w:val="Prrafodelista"/>
            <w:numPr>
              <w:ilvl w:val="0"/>
              <w:numId w:val="69"/>
            </w:numPr>
            <w:spacing w:line="259" w:lineRule="auto"/>
            <w:rPr>
              <w:rFonts w:ascii="Times New Roman" w:hAnsi="Times New Roman"/>
              <w:b/>
              <w:sz w:val="24"/>
              <w:szCs w:val="24"/>
              <w:lang w:val="es-MX"/>
            </w:rPr>
          </w:pPr>
          <w:r w:rsidRPr="0020113A">
            <w:rPr>
              <w:rFonts w:ascii="Times New Roman" w:hAnsi="Times New Roman"/>
              <w:b/>
              <w:sz w:val="24"/>
              <w:szCs w:val="24"/>
              <w:lang w:val="es-MX"/>
            </w:rPr>
            <w:t>Descripción del Acuerdo</w:t>
          </w:r>
        </w:p>
        <w:p w14:paraId="1EBF26DD" w14:textId="77777777" w:rsidR="007803E3" w:rsidRPr="0020113A" w:rsidRDefault="007803E3" w:rsidP="2EBECF5A">
          <w:pPr>
            <w:spacing w:after="0"/>
            <w:rPr>
              <w:rFonts w:ascii="Times New Roman" w:hAnsi="Times New Roman"/>
              <w:b/>
              <w:sz w:val="24"/>
              <w:szCs w:val="24"/>
              <w:lang w:val="es-MX"/>
            </w:rPr>
          </w:pPr>
          <w:r w:rsidRPr="0020113A">
            <w:rPr>
              <w:rFonts w:ascii="Times New Roman" w:hAnsi="Times New Roman"/>
              <w:b/>
              <w:sz w:val="24"/>
              <w:szCs w:val="24"/>
              <w:lang w:val="es-MX"/>
            </w:rPr>
            <w:t xml:space="preserve">Número del Acuerdo de Concesión: </w:t>
          </w:r>
          <w:r w:rsidRPr="0020113A">
            <w:rPr>
              <w:rFonts w:ascii="Times New Roman" w:hAnsi="Times New Roman"/>
              <w:sz w:val="24"/>
              <w:szCs w:val="24"/>
              <w:lang w:val="es-MX"/>
            </w:rPr>
            <w:t>002 del 06 de marzo de 2007</w:t>
          </w:r>
        </w:p>
        <w:p w14:paraId="2642A3BC" w14:textId="71074474" w:rsidR="007803E3" w:rsidRPr="0020113A" w:rsidRDefault="007803E3" w:rsidP="2EBECF5A">
          <w:pPr>
            <w:spacing w:after="0"/>
            <w:jc w:val="both"/>
            <w:rPr>
              <w:rFonts w:ascii="Times New Roman" w:hAnsi="Times New Roman"/>
              <w:sz w:val="24"/>
              <w:szCs w:val="24"/>
              <w:lang w:val="es-MX"/>
            </w:rPr>
          </w:pPr>
          <w:r w:rsidRPr="0020113A">
            <w:rPr>
              <w:rFonts w:ascii="Times New Roman" w:hAnsi="Times New Roman"/>
              <w:b/>
              <w:sz w:val="24"/>
              <w:szCs w:val="24"/>
              <w:lang w:val="es-MX"/>
            </w:rPr>
            <w:t xml:space="preserve">Objeto / Descripción: </w:t>
          </w:r>
          <w:r w:rsidRPr="0020113A">
            <w:rPr>
              <w:rFonts w:ascii="Times New Roman" w:hAnsi="Times New Roman"/>
              <w:sz w:val="24"/>
              <w:szCs w:val="24"/>
              <w:lang w:val="es-MX"/>
            </w:rPr>
            <w:t>La realización de los Estudios y diseños definitivos, gestión predial, gestión. social, gestión ambiental, financiación, construcción, rehabilitación, mejoramiento, operación y mantenimiento del proyecto de concesión vial "Córdoba - Sucre" Cláusula 2 Contrato de Concesión No. 002 del 06 de marzo de 2.007</w:t>
          </w:r>
        </w:p>
        <w:p w14:paraId="659026A8" w14:textId="77777777" w:rsidR="007803E3" w:rsidRPr="0020113A" w:rsidRDefault="007803E3" w:rsidP="2EBECF5A">
          <w:pPr>
            <w:spacing w:after="0"/>
            <w:jc w:val="both"/>
            <w:rPr>
              <w:rFonts w:ascii="Times New Roman" w:hAnsi="Times New Roman"/>
              <w:sz w:val="24"/>
              <w:szCs w:val="24"/>
              <w:lang w:val="es-MX"/>
            </w:rPr>
          </w:pPr>
          <w:r w:rsidRPr="0020113A">
            <w:rPr>
              <w:rFonts w:ascii="Times New Roman" w:hAnsi="Times New Roman"/>
              <w:b/>
              <w:sz w:val="24"/>
              <w:szCs w:val="24"/>
              <w:lang w:val="es-MX"/>
            </w:rPr>
            <w:t xml:space="preserve">Valor inicial:  </w:t>
          </w:r>
          <w:r w:rsidRPr="0020113A">
            <w:rPr>
              <w:rFonts w:ascii="Times New Roman" w:hAnsi="Times New Roman"/>
              <w:sz w:val="24"/>
              <w:szCs w:val="24"/>
              <w:lang w:val="es-MX"/>
            </w:rPr>
            <w:t xml:space="preserve">$849.811.507.598 pesos de Dic-2005, integra los valores de los siguientes alcances contractuales: </w:t>
          </w:r>
        </w:p>
        <w:p w14:paraId="6627E02F" w14:textId="77777777" w:rsidR="007803E3" w:rsidRPr="0020113A" w:rsidRDefault="007803E3" w:rsidP="1ECA1C46">
          <w:pPr>
            <w:spacing w:after="0"/>
            <w:rPr>
              <w:rFonts w:ascii="Times New Roman" w:hAnsi="Times New Roman"/>
              <w:sz w:val="24"/>
              <w:szCs w:val="24"/>
            </w:rPr>
          </w:pPr>
          <w:r w:rsidRPr="0020113A">
            <w:rPr>
              <w:rFonts w:ascii="Times New Roman" w:hAnsi="Times New Roman"/>
              <w:b/>
              <w:sz w:val="24"/>
              <w:szCs w:val="24"/>
              <w:lang w:val="es-MX"/>
            </w:rPr>
            <w:t>Fecha de inicio</w:t>
          </w:r>
          <w:r w:rsidRPr="0020113A">
            <w:rPr>
              <w:rFonts w:ascii="Times New Roman" w:hAnsi="Times New Roman"/>
              <w:sz w:val="24"/>
              <w:szCs w:val="24"/>
              <w:lang w:val="es-MX"/>
            </w:rPr>
            <w:t>: 1ero de noviembre de 2007</w:t>
          </w:r>
        </w:p>
        <w:p w14:paraId="22D04D28" w14:textId="77777777" w:rsidR="007803E3" w:rsidRPr="0020113A" w:rsidRDefault="007803E3" w:rsidP="1ECA1C46">
          <w:pPr>
            <w:spacing w:after="0"/>
            <w:rPr>
              <w:rFonts w:ascii="Times New Roman" w:hAnsi="Times New Roman"/>
              <w:sz w:val="24"/>
              <w:szCs w:val="24"/>
            </w:rPr>
          </w:pPr>
          <w:r w:rsidRPr="0020113A">
            <w:rPr>
              <w:rFonts w:ascii="Times New Roman" w:hAnsi="Times New Roman"/>
              <w:b/>
              <w:sz w:val="24"/>
              <w:szCs w:val="24"/>
              <w:lang w:val="es-MX"/>
            </w:rPr>
            <w:t>Fecha de finalización estimada contractual:</w:t>
          </w:r>
          <w:r w:rsidRPr="0020113A">
            <w:rPr>
              <w:rFonts w:ascii="Times New Roman" w:hAnsi="Times New Roman"/>
              <w:sz w:val="24"/>
              <w:szCs w:val="24"/>
              <w:lang w:val="es-MX"/>
            </w:rPr>
            <w:t xml:space="preserve"> 24 de junio de 2024</w:t>
          </w:r>
        </w:p>
        <w:p w14:paraId="2C2CC875" w14:textId="77777777" w:rsidR="007803E3" w:rsidRPr="0020113A" w:rsidRDefault="007803E3" w:rsidP="1ECA1C46">
          <w:pPr>
            <w:spacing w:after="0"/>
            <w:rPr>
              <w:rFonts w:ascii="Times New Roman" w:hAnsi="Times New Roman"/>
              <w:sz w:val="24"/>
              <w:szCs w:val="24"/>
            </w:rPr>
          </w:pPr>
          <w:r w:rsidRPr="0020113A">
            <w:rPr>
              <w:rFonts w:ascii="Times New Roman" w:hAnsi="Times New Roman"/>
              <w:b/>
              <w:sz w:val="24"/>
              <w:szCs w:val="24"/>
              <w:lang w:val="es-MX"/>
            </w:rPr>
            <w:t>Tipo ID:</w:t>
          </w:r>
          <w:r w:rsidRPr="0020113A">
            <w:rPr>
              <w:rFonts w:ascii="Times New Roman" w:hAnsi="Times New Roman"/>
              <w:sz w:val="24"/>
              <w:szCs w:val="24"/>
              <w:lang w:val="es-MX"/>
            </w:rPr>
            <w:t xml:space="preserve"> NIT</w:t>
          </w:r>
        </w:p>
        <w:p w14:paraId="4D12EA93" w14:textId="77777777" w:rsidR="007803E3" w:rsidRPr="0020113A" w:rsidRDefault="007803E3" w:rsidP="1ECA1C46">
          <w:pPr>
            <w:spacing w:after="0"/>
            <w:rPr>
              <w:rFonts w:ascii="Times New Roman" w:hAnsi="Times New Roman"/>
              <w:sz w:val="24"/>
              <w:szCs w:val="24"/>
            </w:rPr>
          </w:pPr>
          <w:r w:rsidRPr="0020113A">
            <w:rPr>
              <w:rFonts w:ascii="Times New Roman" w:hAnsi="Times New Roman"/>
              <w:b/>
              <w:sz w:val="24"/>
              <w:szCs w:val="24"/>
              <w:lang w:val="es-MX"/>
            </w:rPr>
            <w:t>Número ID:</w:t>
          </w:r>
          <w:r w:rsidRPr="0020113A">
            <w:rPr>
              <w:rFonts w:ascii="Times New Roman" w:hAnsi="Times New Roman"/>
              <w:sz w:val="24"/>
              <w:szCs w:val="24"/>
              <w:lang w:val="es-MX"/>
            </w:rPr>
            <w:t xml:space="preserve"> 900.135.168</w:t>
          </w:r>
        </w:p>
        <w:p w14:paraId="69BDDA79" w14:textId="77777777" w:rsidR="007803E3" w:rsidRPr="0020113A" w:rsidRDefault="007803E3" w:rsidP="1ECA1C46">
          <w:pPr>
            <w:spacing w:after="0"/>
            <w:rPr>
              <w:rFonts w:ascii="Times New Roman" w:hAnsi="Times New Roman"/>
              <w:sz w:val="24"/>
              <w:szCs w:val="24"/>
            </w:rPr>
          </w:pPr>
          <w:r w:rsidRPr="0020113A">
            <w:rPr>
              <w:rFonts w:ascii="Times New Roman" w:hAnsi="Times New Roman"/>
              <w:b/>
              <w:sz w:val="24"/>
              <w:szCs w:val="24"/>
              <w:lang w:val="es-MX"/>
            </w:rPr>
            <w:t>Razón social del concesionario</w:t>
          </w:r>
          <w:r w:rsidRPr="0020113A">
            <w:rPr>
              <w:rFonts w:ascii="Times New Roman" w:hAnsi="Times New Roman"/>
              <w:sz w:val="24"/>
              <w:szCs w:val="24"/>
              <w:lang w:val="es-MX"/>
            </w:rPr>
            <w:t>: Autopistas de la Sabana S.A.S.</w:t>
          </w:r>
        </w:p>
        <w:p w14:paraId="33734254" w14:textId="77777777" w:rsidR="007803E3" w:rsidRPr="0020113A" w:rsidRDefault="007803E3" w:rsidP="1ECA1C46">
          <w:pPr>
            <w:spacing w:after="0"/>
            <w:rPr>
              <w:rFonts w:ascii="Times New Roman" w:hAnsi="Times New Roman"/>
              <w:sz w:val="24"/>
              <w:szCs w:val="24"/>
            </w:rPr>
          </w:pPr>
          <w:r w:rsidRPr="0020113A">
            <w:rPr>
              <w:rFonts w:ascii="Times New Roman" w:hAnsi="Times New Roman"/>
              <w:b/>
              <w:sz w:val="24"/>
              <w:szCs w:val="24"/>
              <w:lang w:val="es-MX"/>
            </w:rPr>
            <w:t>Nombre del proyecto</w:t>
          </w:r>
          <w:r w:rsidRPr="0020113A">
            <w:rPr>
              <w:rFonts w:ascii="Times New Roman" w:hAnsi="Times New Roman"/>
              <w:sz w:val="24"/>
              <w:szCs w:val="24"/>
              <w:lang w:val="es-MX"/>
            </w:rPr>
            <w:t xml:space="preserve">: Córdoba Sucre </w:t>
          </w:r>
        </w:p>
        <w:p w14:paraId="67C45958" w14:textId="77777777" w:rsidR="007803E3" w:rsidRPr="0020113A" w:rsidRDefault="007803E3" w:rsidP="00E60BAB">
          <w:pPr>
            <w:pStyle w:val="Prrafodelista"/>
            <w:numPr>
              <w:ilvl w:val="0"/>
              <w:numId w:val="69"/>
            </w:numPr>
            <w:spacing w:line="259" w:lineRule="auto"/>
            <w:rPr>
              <w:rFonts w:ascii="Times New Roman" w:hAnsi="Times New Roman"/>
              <w:b/>
              <w:sz w:val="24"/>
              <w:szCs w:val="24"/>
              <w:lang w:val="es-MX"/>
            </w:rPr>
          </w:pPr>
          <w:r w:rsidRPr="0020113A">
            <w:rPr>
              <w:rFonts w:ascii="Times New Roman" w:hAnsi="Times New Roman"/>
              <w:b/>
              <w:sz w:val="24"/>
              <w:szCs w:val="24"/>
              <w:lang w:val="es-MX"/>
            </w:rPr>
            <w:t>Términos significativos del acuerdo que puedan afectar su valor, el calendario y la certeza de los flujos.</w:t>
          </w:r>
        </w:p>
        <w:p w14:paraId="72A47416" w14:textId="77777777"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Términos de valor:</w:t>
          </w:r>
        </w:p>
        <w:p w14:paraId="2A065825" w14:textId="77777777" w:rsidR="007803E3" w:rsidRPr="0020113A" w:rsidRDefault="007803E3" w:rsidP="007803E3">
          <w:pPr>
            <w:rPr>
              <w:rFonts w:ascii="Times New Roman" w:hAnsi="Times New Roman"/>
              <w:bCs/>
              <w:sz w:val="24"/>
              <w:szCs w:val="24"/>
              <w:lang w:val="es-MX"/>
            </w:rPr>
          </w:pPr>
          <w:r w:rsidRPr="0020113A">
            <w:rPr>
              <w:rFonts w:ascii="Times New Roman" w:hAnsi="Times New Roman"/>
              <w:bCs/>
              <w:sz w:val="24"/>
              <w:szCs w:val="24"/>
              <w:u w:val="single"/>
              <w:lang w:val="es-MX"/>
            </w:rPr>
            <w:t>Estaciones de peaje. (Estaciones de peaje vigentes)</w:t>
          </w:r>
          <w:r w:rsidRPr="0020113A">
            <w:rPr>
              <w:rFonts w:ascii="Times New Roman" w:hAnsi="Times New Roman"/>
              <w:bCs/>
              <w:sz w:val="24"/>
              <w:szCs w:val="24"/>
              <w:lang w:val="es-MX"/>
            </w:rPr>
            <w:t>:</w:t>
          </w:r>
        </w:p>
        <w:p w14:paraId="50704980" w14:textId="77777777" w:rsidR="007803E3" w:rsidRPr="0020113A" w:rsidRDefault="007803E3" w:rsidP="007803E3">
          <w:pPr>
            <w:rPr>
              <w:rFonts w:ascii="Times New Roman" w:hAnsi="Times New Roman"/>
              <w:sz w:val="24"/>
              <w:szCs w:val="24"/>
              <w:lang w:val="es-MX"/>
            </w:rPr>
          </w:pPr>
          <w:r w:rsidRPr="0020113A">
            <w:rPr>
              <w:rFonts w:ascii="Times New Roman" w:hAnsi="Times New Roman"/>
              <w:sz w:val="24"/>
              <w:szCs w:val="24"/>
              <w:lang w:val="es-MX"/>
            </w:rPr>
            <w:t>• Estación de Peaje Bidireccional Denominada Las Flores, la cual opera en ambos sentidos, con casetas de cobro separadas entre sí (Flores I y Flores II)</w:t>
          </w:r>
        </w:p>
        <w:p w14:paraId="7EC086F7" w14:textId="77777777" w:rsidR="007803E3" w:rsidRPr="0020113A" w:rsidRDefault="007803E3" w:rsidP="007803E3">
          <w:pPr>
            <w:rPr>
              <w:rFonts w:ascii="Times New Roman" w:hAnsi="Times New Roman"/>
              <w:sz w:val="24"/>
              <w:szCs w:val="24"/>
              <w:lang w:val="es-MX"/>
            </w:rPr>
          </w:pPr>
          <w:r w:rsidRPr="0020113A">
            <w:rPr>
              <w:rFonts w:ascii="Times New Roman" w:hAnsi="Times New Roman"/>
              <w:sz w:val="24"/>
              <w:szCs w:val="24"/>
              <w:lang w:val="es-MX"/>
            </w:rPr>
            <w:lastRenderedPageBreak/>
            <w:t>• Estación de Peaje Bidireccional Denominada Garzones, la cual opera en ambos sentidos, con casetas de cobro separadas entre sí (Garzones I y Garzones II)</w:t>
          </w:r>
        </w:p>
        <w:p w14:paraId="3B06BF45" w14:textId="77777777" w:rsidR="007803E3" w:rsidRPr="0020113A" w:rsidRDefault="007803E3" w:rsidP="007803E3">
          <w:pPr>
            <w:rPr>
              <w:rFonts w:ascii="Times New Roman" w:hAnsi="Times New Roman"/>
              <w:sz w:val="24"/>
              <w:szCs w:val="24"/>
              <w:lang w:val="es-MX"/>
            </w:rPr>
          </w:pPr>
          <w:r w:rsidRPr="0020113A">
            <w:rPr>
              <w:rFonts w:ascii="Times New Roman" w:hAnsi="Times New Roman"/>
              <w:sz w:val="24"/>
              <w:szCs w:val="24"/>
              <w:lang w:val="es-MX"/>
            </w:rPr>
            <w:t>• Estación de Peaje Bidireccional Denominada La Esperanza, la cual opera en ambos sentidos, con casetas de cobro separadas entre sí (Esperanza I y Esperanza II)</w:t>
          </w:r>
        </w:p>
        <w:p w14:paraId="0CE4988E" w14:textId="77777777" w:rsidR="007803E3" w:rsidRPr="0020113A" w:rsidRDefault="007803E3" w:rsidP="007803E3">
          <w:pPr>
            <w:rPr>
              <w:rFonts w:ascii="Times New Roman" w:hAnsi="Times New Roman"/>
              <w:bCs/>
              <w:sz w:val="24"/>
              <w:szCs w:val="24"/>
              <w:lang w:val="es-MX"/>
            </w:rPr>
          </w:pPr>
          <w:r w:rsidRPr="0020113A">
            <w:rPr>
              <w:rFonts w:ascii="Times New Roman" w:hAnsi="Times New Roman"/>
              <w:bCs/>
              <w:sz w:val="24"/>
              <w:szCs w:val="24"/>
              <w:lang w:val="es-MX"/>
            </w:rPr>
            <w:t>Fecha de incremento (cláusula contractual):</w:t>
          </w:r>
        </w:p>
        <w:p w14:paraId="38BD34F0" w14:textId="77777777" w:rsidR="007803E3" w:rsidRPr="0020113A" w:rsidRDefault="007803E3" w:rsidP="007803E3">
          <w:pPr>
            <w:rPr>
              <w:rFonts w:ascii="Times New Roman" w:hAnsi="Times New Roman"/>
              <w:sz w:val="24"/>
              <w:szCs w:val="24"/>
              <w:lang w:val="es-MX"/>
            </w:rPr>
          </w:pPr>
          <w:r w:rsidRPr="0020113A">
            <w:rPr>
              <w:rFonts w:ascii="Times New Roman" w:hAnsi="Times New Roman"/>
              <w:sz w:val="24"/>
              <w:szCs w:val="24"/>
              <w:lang w:val="es-MX"/>
            </w:rPr>
            <w:t>Según la Resolución 3284 de 2006 del Mintransporte, se debe incrementar anualmente las estaciones de peaje.</w:t>
          </w:r>
        </w:p>
        <w:p w14:paraId="4DA49B40" w14:textId="77777777" w:rsidR="007803E3" w:rsidRPr="0020113A" w:rsidRDefault="007803E3" w:rsidP="007803E3">
          <w:pPr>
            <w:rPr>
              <w:rFonts w:ascii="Times New Roman" w:hAnsi="Times New Roman"/>
              <w:bCs/>
              <w:sz w:val="24"/>
              <w:szCs w:val="24"/>
              <w:lang w:val="es-MX"/>
            </w:rPr>
          </w:pPr>
          <w:r w:rsidRPr="0020113A">
            <w:rPr>
              <w:rFonts w:ascii="Times New Roman" w:hAnsi="Times New Roman"/>
              <w:bCs/>
              <w:sz w:val="24"/>
              <w:szCs w:val="24"/>
              <w:lang w:val="es-MX"/>
            </w:rPr>
            <w:t>Variables utilizadas para el Incremento: De acuerdo con el Artículo 5 de la Resolución 3284 de 2006 el procedimiento de incremento es el siguiente:</w:t>
          </w:r>
        </w:p>
        <w:p w14:paraId="3EE4CBB4" w14:textId="77777777" w:rsidR="007803E3" w:rsidRPr="0020113A" w:rsidRDefault="007803E3" w:rsidP="007803E3">
          <w:pPr>
            <w:jc w:val="both"/>
            <w:rPr>
              <w:rFonts w:ascii="Times New Roman" w:hAnsi="Times New Roman"/>
              <w:bCs/>
              <w:sz w:val="24"/>
              <w:szCs w:val="24"/>
              <w:lang w:val="es-MX"/>
            </w:rPr>
          </w:pPr>
          <w:r w:rsidRPr="0020113A">
            <w:rPr>
              <w:rFonts w:ascii="Times New Roman" w:hAnsi="Times New Roman"/>
              <w:bCs/>
              <w:sz w:val="24"/>
              <w:szCs w:val="24"/>
              <w:lang w:val="es-MX"/>
            </w:rPr>
            <w:t>“Procedimiento para el incremento del IPC.</w:t>
          </w:r>
        </w:p>
        <w:p w14:paraId="6A678FFB" w14:textId="77777777" w:rsidR="007803E3" w:rsidRPr="0020113A" w:rsidRDefault="007803E3" w:rsidP="007803E3">
          <w:pPr>
            <w:jc w:val="both"/>
            <w:rPr>
              <w:rFonts w:ascii="Times New Roman" w:hAnsi="Times New Roman"/>
              <w:bCs/>
              <w:sz w:val="24"/>
              <w:szCs w:val="24"/>
              <w:lang w:val="es-MX"/>
            </w:rPr>
          </w:pPr>
          <w:r w:rsidRPr="0020113A">
            <w:rPr>
              <w:rFonts w:ascii="Times New Roman" w:hAnsi="Times New Roman"/>
              <w:bCs/>
              <w:sz w:val="24"/>
              <w:szCs w:val="24"/>
              <w:lang w:val="es-MX"/>
            </w:rPr>
            <w:t>a) El valor de las tarifas se ajustará de acuerdo con el incremento del IPC, aplicando la siguiente fórmula:</w:t>
          </w:r>
        </w:p>
        <w:p w14:paraId="220B76FD" w14:textId="77777777" w:rsidR="007803E3" w:rsidRPr="007B0E76" w:rsidRDefault="007803E3" w:rsidP="007803E3">
          <w:pPr>
            <w:jc w:val="center"/>
            <w:rPr>
              <w:rFonts w:ascii="Times New Roman" w:hAnsi="Times New Roman"/>
              <w:sz w:val="24"/>
              <w:szCs w:val="24"/>
              <w:lang w:val="en-US"/>
            </w:rPr>
          </w:pPr>
          <w:r w:rsidRPr="007B0E76">
            <w:rPr>
              <w:rFonts w:ascii="Times New Roman" w:hAnsi="Times New Roman"/>
              <w:sz w:val="24"/>
              <w:szCs w:val="24"/>
              <w:lang w:val="en-US"/>
            </w:rPr>
            <w:t>Tni = T(n-1)i (IPCn/IPCn-1)</w:t>
          </w:r>
        </w:p>
        <w:p w14:paraId="2CE0837B"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Dónde:</w:t>
          </w:r>
        </w:p>
        <w:p w14:paraId="3C20C8AC"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Tni: Valor de la tarifa para el vehículo de la categoría i actualizada, en pesos corrientes</w:t>
          </w:r>
        </w:p>
        <w:p w14:paraId="50BF30CC"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T(n-1)i: Valor de la tarifa, en pesos corrientes, resultante de la última actualización o la tarifa establecida en el artículo 2° de esta resolución, según el caso.</w:t>
          </w:r>
        </w:p>
        <w:p w14:paraId="51BFD26F"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IPCn: Índice de Precios al Consumidor del mes calendario anterior a la fecha de actualización.</w:t>
          </w:r>
        </w:p>
        <w:p w14:paraId="46F8BB60"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IPCn-1: Índice de Precios al Consumidor del mes calendario anterior a la fecha de la última actualización o del mes de diciembre de 2005, según el caso”</w:t>
          </w:r>
        </w:p>
        <w:p w14:paraId="5838C2FC" w14:textId="1076C862" w:rsidR="0D29D3A1" w:rsidRDefault="0D29D3A1" w:rsidP="1ECA1C46">
          <w:pPr>
            <w:rPr>
              <w:rFonts w:ascii="Times New Roman" w:hAnsi="Times New Roman"/>
              <w:b/>
              <w:bCs/>
              <w:sz w:val="24"/>
              <w:szCs w:val="24"/>
              <w:lang w:val="es-MX"/>
            </w:rPr>
          </w:pPr>
          <w:r w:rsidRPr="3AC18003">
            <w:rPr>
              <w:rFonts w:ascii="Times New Roman" w:hAnsi="Times New Roman"/>
              <w:b/>
              <w:bCs/>
              <w:sz w:val="24"/>
              <w:szCs w:val="24"/>
              <w:lang w:val="es-MX"/>
            </w:rPr>
            <w:t>Términos de calendarios</w:t>
          </w:r>
        </w:p>
        <w:p w14:paraId="2EE13924" w14:textId="77777777" w:rsidR="0D29D3A1" w:rsidRDefault="0D29D3A1" w:rsidP="1ECA1C46">
          <w:pPr>
            <w:pStyle w:val="Default"/>
            <w:jc w:val="both"/>
            <w:rPr>
              <w:rFonts w:ascii="Times New Roman" w:hAnsi="Times New Roman" w:cs="Times New Roman"/>
              <w:color w:val="auto"/>
            </w:rPr>
          </w:pPr>
          <w:r w:rsidRPr="1ECA1C46">
            <w:rPr>
              <w:rFonts w:ascii="Times New Roman" w:hAnsi="Times New Roman" w:cs="Times New Roman"/>
              <w:color w:val="auto"/>
              <w:lang w:val="es-MX"/>
            </w:rPr>
            <w:t xml:space="preserve">Términos de certeza de flujos de efectivo futuros: </w:t>
          </w:r>
          <w:r w:rsidRPr="1ECA1C46">
            <w:rPr>
              <w:rFonts w:ascii="Times New Roman" w:hAnsi="Times New Roman" w:cs="Times New Roman"/>
              <w:color w:val="auto"/>
            </w:rPr>
            <w:t xml:space="preserve">El Concesionario Autopistas de la Sabana presentó una demanda arbitral en contra de la Agencia Nacional de Infraestructura el día 22 de febrero de 2018. Dicha demanda se centró fundamentalmente en recamar tres aspectos: </w:t>
          </w:r>
        </w:p>
        <w:p w14:paraId="01FBBEC7" w14:textId="77777777" w:rsidR="1ECA1C46" w:rsidRDefault="1ECA1C46" w:rsidP="1ECA1C46">
          <w:pPr>
            <w:pStyle w:val="Default"/>
            <w:jc w:val="both"/>
            <w:rPr>
              <w:rFonts w:ascii="Times New Roman" w:hAnsi="Times New Roman" w:cs="Times New Roman"/>
              <w:color w:val="auto"/>
            </w:rPr>
          </w:pPr>
        </w:p>
        <w:p w14:paraId="62D2EC9C" w14:textId="77777777" w:rsidR="0D29D3A1" w:rsidRDefault="0D29D3A1" w:rsidP="1ECA1C46">
          <w:pPr>
            <w:pStyle w:val="Default"/>
            <w:jc w:val="both"/>
            <w:rPr>
              <w:rFonts w:ascii="Times New Roman" w:hAnsi="Times New Roman" w:cs="Times New Roman"/>
              <w:color w:val="auto"/>
            </w:rPr>
          </w:pPr>
          <w:r w:rsidRPr="1ECA1C46">
            <w:rPr>
              <w:rFonts w:ascii="Times New Roman" w:hAnsi="Times New Roman" w:cs="Times New Roman"/>
              <w:color w:val="auto"/>
            </w:rPr>
            <w:t xml:space="preserve">1) El reconocimiento de afectaciones causadas por el no pago de la ANI de los sobrecostos prediales del proyecto para las obras comprendidas en el Alcance Básico y el Otrosí número 3 del mismo, </w:t>
          </w:r>
        </w:p>
        <w:p w14:paraId="447967AB" w14:textId="77777777" w:rsidR="0D29D3A1" w:rsidRDefault="0D29D3A1" w:rsidP="1ECA1C46">
          <w:pPr>
            <w:pStyle w:val="Default"/>
            <w:jc w:val="both"/>
            <w:rPr>
              <w:rFonts w:ascii="Times New Roman" w:hAnsi="Times New Roman" w:cs="Times New Roman"/>
              <w:color w:val="auto"/>
            </w:rPr>
          </w:pPr>
          <w:r w:rsidRPr="1ECA1C46">
            <w:rPr>
              <w:rFonts w:ascii="Times New Roman" w:hAnsi="Times New Roman" w:cs="Times New Roman"/>
              <w:color w:val="auto"/>
            </w:rPr>
            <w:t xml:space="preserve">2) El reconocimiento de una compensación económica por la reducción del beneficio tributario de inversión en activos fijos productivos para los adicionales 2 y 3 del contrato. Las pretensiones del Concesionario en materia predial alcanzan los $35.411 Millones de Pesos, mientras que por la eliminación de los beneficios tributarios mencionan tener que haber pagado la suma de $18.126 millones entre los años 2014 a 2016. </w:t>
          </w:r>
        </w:p>
        <w:p w14:paraId="4B6A219B" w14:textId="77777777" w:rsidR="0D29D3A1" w:rsidRDefault="0D29D3A1" w:rsidP="1ECA1C46">
          <w:pPr>
            <w:pStyle w:val="Default"/>
            <w:jc w:val="both"/>
            <w:rPr>
              <w:rFonts w:ascii="Times New Roman" w:hAnsi="Times New Roman" w:cs="Times New Roman"/>
              <w:color w:val="auto"/>
            </w:rPr>
          </w:pPr>
          <w:r w:rsidRPr="1ECA1C46">
            <w:rPr>
              <w:rFonts w:ascii="Times New Roman" w:hAnsi="Times New Roman" w:cs="Times New Roman"/>
              <w:color w:val="auto"/>
            </w:rPr>
            <w:t xml:space="preserve">3) La reclamación de mayores costos por permanencia en obra y Stand By de Maquinaria y equipo en el corredor del proyecto. </w:t>
          </w:r>
        </w:p>
        <w:p w14:paraId="30D7A087" w14:textId="77777777" w:rsidR="0D29D3A1" w:rsidRDefault="0D29D3A1" w:rsidP="1ECA1C46">
          <w:pPr>
            <w:pStyle w:val="Default"/>
            <w:jc w:val="both"/>
            <w:rPr>
              <w:rFonts w:ascii="Times New Roman" w:hAnsi="Times New Roman" w:cs="Times New Roman"/>
              <w:color w:val="auto"/>
            </w:rPr>
          </w:pPr>
          <w:r w:rsidRPr="1ECA1C46">
            <w:rPr>
              <w:rFonts w:ascii="Times New Roman" w:hAnsi="Times New Roman" w:cs="Times New Roman"/>
              <w:color w:val="auto"/>
            </w:rPr>
            <w:lastRenderedPageBreak/>
            <w:t xml:space="preserve">El tribunal de arbitramento de la Cámara de Comercio de Bogotá, se pronunció en el primer trimestre de 2020 fallando a favor del Concesionario la pretensión del numeral 1) anterior y negando al Concesionario las pretensiones de los numerales 2) y 3 anteriores. </w:t>
          </w:r>
        </w:p>
        <w:p w14:paraId="20B49A84" w14:textId="77777777" w:rsidR="1ECA1C46" w:rsidRDefault="1ECA1C46" w:rsidP="1ECA1C46">
          <w:pPr>
            <w:pStyle w:val="Default"/>
            <w:jc w:val="both"/>
            <w:rPr>
              <w:rFonts w:ascii="Times New Roman" w:hAnsi="Times New Roman" w:cs="Times New Roman"/>
              <w:color w:val="auto"/>
            </w:rPr>
          </w:pPr>
        </w:p>
        <w:p w14:paraId="05DEB4A6" w14:textId="576BD8F9" w:rsidR="0D29D3A1" w:rsidRDefault="0D29D3A1" w:rsidP="1ECA1C46">
          <w:pPr>
            <w:jc w:val="both"/>
            <w:rPr>
              <w:rFonts w:ascii="Times New Roman" w:hAnsi="Times New Roman"/>
              <w:sz w:val="24"/>
              <w:szCs w:val="24"/>
            </w:rPr>
          </w:pPr>
          <w:r w:rsidRPr="1ECA1C46">
            <w:rPr>
              <w:rFonts w:ascii="Times New Roman" w:hAnsi="Times New Roman"/>
              <w:sz w:val="24"/>
              <w:szCs w:val="24"/>
            </w:rPr>
            <w:t>Adicionalmente el tribunal condenó a Autopistas de la Sabana a reintegrar al proyecto los valores usados irregularmente por parte del concesionario en los pagos de la Subcuentas ambientales del Proyecto. Esta última condena no fue realizada con base en una suma específica y se debe de realizar la estimación por parte de la ANI y del concesionario, inicialmente de manera conjunta.</w:t>
          </w:r>
        </w:p>
        <w:p w14:paraId="4F391D8D"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Variables que puedan afectar los flujos</w:t>
          </w:r>
          <w:r w:rsidRPr="0020113A">
            <w:rPr>
              <w:rFonts w:ascii="Times New Roman" w:hAnsi="Times New Roman"/>
              <w:sz w:val="24"/>
              <w:szCs w:val="24"/>
              <w:lang w:val="es-MX"/>
            </w:rPr>
            <w:t>: El ajuste tarifario, se ha realizado en los términos previstos por el contrato.</w:t>
          </w:r>
        </w:p>
        <w:p w14:paraId="5D2F9598"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El 22 de noviembre de 2022 se suscribió la Resolución Ministerial 20223040070255, “Por la cual se modifica el artículo 3º de la Resolución 003284 de 2006, modificado por el artículo 2º de la Resolución 3695 de 2007, a su vez modificado por el artículo 2º de la Resolución 3088 del 26 de julio de 2016 y se modifica el artículo 10º de la Resolución 011500 de 2003, a su vez modificado por el artículo 4º de la Resolución 1147 de 2004” adicionando tarifas diferenciales y número de beneficiarios, la cual rige a partir de la fecha de publicación en el Diario Oficial.</w:t>
          </w:r>
        </w:p>
        <w:p w14:paraId="058ACD3A"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El 15 de enero de 2023 se expide el Decreto 050 de 2023, de la Presidencia de la República, “Por medio del cual se ordena no incrementar las tarifas de peaje a vehículos que transiten por el territorio nacional por las estaciones de peaje a cargo del Instituto Nacional de Vías - INVIAS y de la Agencia Nacional de Infraestructura”.</w:t>
          </w:r>
        </w:p>
        <w:p w14:paraId="38EFD7DA"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Por lo anterior la ANI tiene la obligación de pagar el Diferencial Tarifario por efecto de la aplicación de la Resolución y del Decreto precitados. Se tiene pendiente el reenvío por parte de la Concesión de las Actas de reconocimiento del Diferencial Tarifario, las cuales fueron devueltas a fin de ajustar el texto.</w:t>
          </w:r>
        </w:p>
        <w:p w14:paraId="64389F5C"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Cs/>
              <w:sz w:val="24"/>
              <w:szCs w:val="24"/>
              <w:lang w:val="es-MX"/>
            </w:rPr>
            <w:t>Aportes ANI. Los Aportes entregados por la Agencia Nacional de Infraestructura al Concesionario ascienden a $1.145</w:t>
          </w:r>
          <w:r w:rsidRPr="0020113A">
            <w:rPr>
              <w:rFonts w:ascii="Times New Roman" w:hAnsi="Times New Roman"/>
              <w:sz w:val="24"/>
              <w:szCs w:val="24"/>
              <w:lang w:val="es-MX"/>
            </w:rPr>
            <w:t>.130,37 millones de pesos, actualmente la ANI ya terminó con el giro de sus obligaciones por vigencias futuras al proyecto, para todos los alcances contractuales.</w:t>
          </w:r>
        </w:p>
        <w:p w14:paraId="6B466C1A"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Variables utilizadas para la actualización de la Vigencia Futura</w:t>
          </w:r>
          <w:r w:rsidRPr="0020113A">
            <w:rPr>
              <w:rFonts w:ascii="Times New Roman" w:hAnsi="Times New Roman"/>
              <w:sz w:val="24"/>
              <w:szCs w:val="24"/>
              <w:lang w:val="es-MX"/>
            </w:rPr>
            <w:t>: No aplican, debido a que tanto en el contrato de concesión No. 002 del 06 de marzo de 2.007, como en sus adicionales y Otrosíes, estas cifras se encuentran relacionadas en pesos corrientes.</w:t>
          </w:r>
        </w:p>
        <w:p w14:paraId="07AE1FEE" w14:textId="430F53C0"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Retribución al Concesionario: Por tratarse de un proyecto de tercera generación, este se encuentra en función del cumplimiento del Ingreso Esperado del proyecto, razón por la cual la figura de la “Retribución al Concesionario”, no aplica.</w:t>
          </w:r>
        </w:p>
        <w:p w14:paraId="72938226" w14:textId="77777777" w:rsidR="007803E3" w:rsidRPr="0020113A" w:rsidRDefault="007803E3" w:rsidP="00E60BAB">
          <w:pPr>
            <w:pStyle w:val="Prrafodelista"/>
            <w:numPr>
              <w:ilvl w:val="0"/>
              <w:numId w:val="69"/>
            </w:numPr>
            <w:spacing w:line="259" w:lineRule="auto"/>
            <w:jc w:val="both"/>
            <w:rPr>
              <w:rFonts w:ascii="Times New Roman" w:hAnsi="Times New Roman"/>
              <w:b/>
              <w:sz w:val="24"/>
              <w:szCs w:val="24"/>
              <w:lang w:val="es-MX"/>
            </w:rPr>
          </w:pPr>
          <w:r w:rsidRPr="0020113A">
            <w:rPr>
              <w:rFonts w:ascii="Times New Roman" w:hAnsi="Times New Roman"/>
              <w:b/>
              <w:sz w:val="24"/>
              <w:szCs w:val="24"/>
              <w:lang w:val="es-MX"/>
            </w:rPr>
            <w:t>Naturaleza y alcance del derecho a utilizar activos especificados, de los aspectos pactados en torno a lo que se espera que el concesionario proporcione en relación con el acuerdo de concesión.</w:t>
          </w:r>
        </w:p>
        <w:p w14:paraId="1FF4D6F4" w14:textId="77777777" w:rsidR="007803E3" w:rsidRPr="0020113A" w:rsidRDefault="007803E3" w:rsidP="007803E3">
          <w:pPr>
            <w:autoSpaceDE w:val="0"/>
            <w:autoSpaceDN w:val="0"/>
            <w:adjustRightInd w:val="0"/>
            <w:spacing w:after="0" w:line="240" w:lineRule="auto"/>
            <w:ind w:left="708"/>
            <w:jc w:val="center"/>
            <w:rPr>
              <w:rFonts w:ascii="Times New Roman" w:hAnsi="Times New Roman"/>
              <w:b/>
              <w:sz w:val="24"/>
              <w:szCs w:val="24"/>
            </w:rPr>
          </w:pPr>
          <w:r w:rsidRPr="0020113A">
            <w:rPr>
              <w:rFonts w:ascii="Times New Roman" w:hAnsi="Times New Roman"/>
              <w:b/>
              <w:sz w:val="24"/>
              <w:szCs w:val="24"/>
            </w:rPr>
            <w:lastRenderedPageBreak/>
            <w:t>Naturaleza y alcance del derecho de uso de los activos</w:t>
          </w:r>
        </w:p>
        <w:p w14:paraId="0EE71EE4" w14:textId="77777777" w:rsidR="007803E3" w:rsidRPr="0020113A" w:rsidRDefault="007803E3" w:rsidP="007803E3">
          <w:pPr>
            <w:autoSpaceDE w:val="0"/>
            <w:autoSpaceDN w:val="0"/>
            <w:adjustRightInd w:val="0"/>
            <w:spacing w:after="0" w:line="240" w:lineRule="auto"/>
            <w:ind w:left="708"/>
            <w:jc w:val="both"/>
            <w:rPr>
              <w:rFonts w:ascii="Times New Roman" w:hAnsi="Times New Roman"/>
              <w:b/>
              <w:sz w:val="24"/>
              <w:szCs w:val="24"/>
            </w:rPr>
          </w:pPr>
        </w:p>
        <w:p w14:paraId="5398D8E9" w14:textId="77777777" w:rsidR="007803E3" w:rsidRPr="0020113A" w:rsidRDefault="007803E3" w:rsidP="007803E3">
          <w:pPr>
            <w:pStyle w:val="Default"/>
            <w:jc w:val="both"/>
            <w:rPr>
              <w:rFonts w:ascii="Times New Roman" w:hAnsi="Times New Roman" w:cs="Times New Roman"/>
              <w:color w:val="auto"/>
            </w:rPr>
          </w:pPr>
          <w:r w:rsidRPr="0020113A">
            <w:rPr>
              <w:rFonts w:ascii="Times New Roman" w:hAnsi="Times New Roman" w:cs="Times New Roman"/>
              <w:b/>
              <w:color w:val="auto"/>
            </w:rPr>
            <w:t xml:space="preserve">Descripción: </w:t>
          </w:r>
          <w:r w:rsidRPr="0020113A">
            <w:rPr>
              <w:rFonts w:ascii="Times New Roman" w:hAnsi="Times New Roman" w:cs="Times New Roman"/>
              <w:color w:val="auto"/>
            </w:rPr>
            <w:t xml:space="preserve">Los derechos que cedió al concesionario para explotar los activos en concesión. </w:t>
          </w:r>
        </w:p>
        <w:p w14:paraId="29C63272" w14:textId="77777777" w:rsidR="007803E3" w:rsidRPr="0020113A" w:rsidRDefault="007803E3" w:rsidP="007803E3">
          <w:pPr>
            <w:pStyle w:val="Default"/>
            <w:ind w:left="708"/>
            <w:jc w:val="both"/>
            <w:rPr>
              <w:rFonts w:ascii="Times New Roman" w:hAnsi="Times New Roman" w:cs="Times New Roman"/>
              <w:color w:val="auto"/>
            </w:rPr>
          </w:pPr>
        </w:p>
        <w:p w14:paraId="338A040D" w14:textId="77777777" w:rsidR="007803E3" w:rsidRPr="0020113A" w:rsidRDefault="007803E3" w:rsidP="007803E3">
          <w:pPr>
            <w:pStyle w:val="Default"/>
            <w:jc w:val="both"/>
            <w:rPr>
              <w:rFonts w:ascii="Times New Roman" w:hAnsi="Times New Roman" w:cs="Times New Roman"/>
              <w:color w:val="auto"/>
            </w:rPr>
          </w:pPr>
          <w:r w:rsidRPr="0020113A">
            <w:rPr>
              <w:rFonts w:ascii="Times New Roman" w:hAnsi="Times New Roman" w:cs="Times New Roman"/>
              <w:color w:val="auto"/>
            </w:rPr>
            <w:t xml:space="preserve">Activos para el desarrollo del acuerdo de concesión: </w:t>
          </w:r>
        </w:p>
        <w:p w14:paraId="50CA28E2" w14:textId="77777777" w:rsidR="007803E3" w:rsidRPr="0020113A" w:rsidRDefault="007803E3" w:rsidP="007803E3">
          <w:pPr>
            <w:pStyle w:val="Default"/>
            <w:ind w:left="708"/>
            <w:jc w:val="both"/>
            <w:rPr>
              <w:rFonts w:ascii="Times New Roman" w:hAnsi="Times New Roman" w:cs="Times New Roman"/>
              <w:color w:val="auto"/>
            </w:rPr>
          </w:pPr>
        </w:p>
        <w:p w14:paraId="768F4ED9" w14:textId="77777777" w:rsidR="007803E3" w:rsidRPr="0020113A" w:rsidRDefault="007803E3" w:rsidP="007803E3">
          <w:pPr>
            <w:pStyle w:val="Default"/>
            <w:jc w:val="both"/>
            <w:rPr>
              <w:rFonts w:ascii="Times New Roman" w:hAnsi="Times New Roman" w:cs="Times New Roman"/>
              <w:color w:val="auto"/>
              <w:u w:val="single"/>
            </w:rPr>
          </w:pPr>
          <w:r w:rsidRPr="0020113A">
            <w:rPr>
              <w:rFonts w:ascii="Times New Roman" w:hAnsi="Times New Roman" w:cs="Times New Roman"/>
              <w:color w:val="auto"/>
              <w:u w:val="single"/>
            </w:rPr>
            <w:t xml:space="preserve">TRAYECTO I: </w:t>
          </w:r>
        </w:p>
        <w:p w14:paraId="72D0D87C" w14:textId="77777777" w:rsidR="007803E3" w:rsidRPr="0020113A" w:rsidRDefault="007803E3" w:rsidP="007803E3">
          <w:pPr>
            <w:pStyle w:val="Default"/>
            <w:ind w:left="708"/>
            <w:jc w:val="both"/>
            <w:rPr>
              <w:rFonts w:ascii="Times New Roman" w:hAnsi="Times New Roman" w:cs="Times New Roman"/>
              <w:color w:val="auto"/>
              <w:u w:val="single"/>
            </w:rPr>
          </w:pPr>
        </w:p>
        <w:p w14:paraId="510DFE6A" w14:textId="77777777" w:rsidR="007803E3" w:rsidRPr="0020113A" w:rsidRDefault="007803E3" w:rsidP="007803E3">
          <w:pPr>
            <w:pStyle w:val="Default"/>
            <w:jc w:val="both"/>
            <w:rPr>
              <w:rFonts w:ascii="Times New Roman" w:hAnsi="Times New Roman" w:cs="Times New Roman"/>
              <w:color w:val="auto"/>
            </w:rPr>
          </w:pPr>
          <w:r w:rsidRPr="0020113A">
            <w:rPr>
              <w:rFonts w:ascii="Times New Roman" w:hAnsi="Times New Roman" w:cs="Times New Roman"/>
              <w:color w:val="auto"/>
            </w:rPr>
            <w:t xml:space="preserve">• Rehabilitación Montería - T del Aeropuerto los Garzones </w:t>
          </w:r>
        </w:p>
        <w:p w14:paraId="20E5FB9B" w14:textId="77777777" w:rsidR="007803E3" w:rsidRPr="0020113A" w:rsidRDefault="007803E3" w:rsidP="007803E3">
          <w:pPr>
            <w:pStyle w:val="Default"/>
            <w:jc w:val="both"/>
            <w:rPr>
              <w:rFonts w:ascii="Times New Roman" w:hAnsi="Times New Roman" w:cs="Times New Roman"/>
              <w:color w:val="auto"/>
            </w:rPr>
          </w:pPr>
          <w:r w:rsidRPr="0020113A">
            <w:rPr>
              <w:rFonts w:ascii="Times New Roman" w:hAnsi="Times New Roman" w:cs="Times New Roman"/>
              <w:color w:val="auto"/>
            </w:rPr>
            <w:t xml:space="preserve">Rehabilitación, mejoramiento y mantenimiento de la Doble Calzada existente desde la Fábrica de Gaseosas Postobón de la ciudad de Montería hasta el PR 0+000 en la T del Aeropuerto los Garzones de la Ruta 2103 de la Red Vial Nacional, para una longitud de 14,0 Km en calzada Sencilla. </w:t>
          </w:r>
        </w:p>
        <w:p w14:paraId="31F22DA5" w14:textId="77777777" w:rsidR="007803E3" w:rsidRPr="0020113A" w:rsidRDefault="007803E3" w:rsidP="007803E3">
          <w:pPr>
            <w:autoSpaceDE w:val="0"/>
            <w:autoSpaceDN w:val="0"/>
            <w:adjustRightInd w:val="0"/>
            <w:spacing w:after="0" w:line="240" w:lineRule="auto"/>
            <w:jc w:val="both"/>
            <w:rPr>
              <w:rFonts w:ascii="Times New Roman" w:hAnsi="Times New Roman"/>
              <w:sz w:val="24"/>
              <w:szCs w:val="24"/>
            </w:rPr>
          </w:pPr>
          <w:r w:rsidRPr="0020113A">
            <w:rPr>
              <w:rFonts w:ascii="Times New Roman" w:hAnsi="Times New Roman"/>
              <w:sz w:val="24"/>
              <w:szCs w:val="24"/>
            </w:rPr>
            <w:t xml:space="preserve">Estado Actual: Construido y en Servicio </w:t>
          </w:r>
        </w:p>
        <w:p w14:paraId="32CDDF98" w14:textId="77777777" w:rsidR="007803E3" w:rsidRPr="0020113A" w:rsidRDefault="007803E3" w:rsidP="007803E3">
          <w:pPr>
            <w:autoSpaceDE w:val="0"/>
            <w:autoSpaceDN w:val="0"/>
            <w:adjustRightInd w:val="0"/>
            <w:spacing w:after="0" w:line="240" w:lineRule="auto"/>
            <w:ind w:left="708"/>
            <w:jc w:val="both"/>
            <w:rPr>
              <w:rFonts w:ascii="Times New Roman" w:hAnsi="Times New Roman"/>
              <w:sz w:val="24"/>
              <w:szCs w:val="24"/>
            </w:rPr>
          </w:pPr>
        </w:p>
        <w:p w14:paraId="1F079D17" w14:textId="77777777" w:rsidR="007803E3" w:rsidRPr="0020113A" w:rsidRDefault="007803E3" w:rsidP="007803E3">
          <w:pPr>
            <w:pStyle w:val="Default"/>
            <w:jc w:val="both"/>
            <w:rPr>
              <w:rFonts w:ascii="Times New Roman" w:hAnsi="Times New Roman" w:cs="Times New Roman"/>
              <w:color w:val="auto"/>
            </w:rPr>
          </w:pPr>
          <w:r w:rsidRPr="0020113A">
            <w:rPr>
              <w:rFonts w:ascii="Times New Roman" w:hAnsi="Times New Roman" w:cs="Times New Roman"/>
              <w:color w:val="auto"/>
            </w:rPr>
            <w:t xml:space="preserve">• Rehabilitación T del Aeropuerto los Garzones –Cereté </w:t>
          </w:r>
        </w:p>
        <w:p w14:paraId="02225127" w14:textId="77777777" w:rsidR="007803E3" w:rsidRPr="0020113A" w:rsidRDefault="007803E3" w:rsidP="007803E3">
          <w:pPr>
            <w:pStyle w:val="Default"/>
            <w:ind w:left="708"/>
            <w:jc w:val="both"/>
            <w:rPr>
              <w:rFonts w:ascii="Times New Roman" w:hAnsi="Times New Roman" w:cs="Times New Roman"/>
              <w:color w:val="auto"/>
            </w:rPr>
          </w:pPr>
        </w:p>
        <w:p w14:paraId="798FF7D1" w14:textId="77777777" w:rsidR="007803E3" w:rsidRPr="0020113A" w:rsidRDefault="007803E3" w:rsidP="007803E3">
          <w:pPr>
            <w:pStyle w:val="Default"/>
            <w:jc w:val="both"/>
            <w:rPr>
              <w:rFonts w:ascii="Times New Roman" w:hAnsi="Times New Roman" w:cs="Times New Roman"/>
              <w:color w:val="auto"/>
            </w:rPr>
          </w:pPr>
          <w:r w:rsidRPr="0020113A">
            <w:rPr>
              <w:rFonts w:ascii="Times New Roman" w:hAnsi="Times New Roman" w:cs="Times New Roman"/>
              <w:color w:val="auto"/>
            </w:rPr>
            <w:t xml:space="preserve">Rehabilitación, mejoramiento y mantenimiento de la Calzada sencilla existente desde el PR 0+0000, ubicado en la T del Aeropuerto los Garzones hasta la entrada al Municipio de Cereté a la altura del CAI de la Policía Nacional, localizada en el PR 6+0942 de la Ruta 2103. </w:t>
          </w:r>
        </w:p>
        <w:p w14:paraId="2323050A" w14:textId="77777777" w:rsidR="007803E3" w:rsidRPr="0020113A" w:rsidRDefault="007803E3" w:rsidP="007803E3">
          <w:pPr>
            <w:pStyle w:val="Default"/>
            <w:jc w:val="both"/>
            <w:rPr>
              <w:rFonts w:ascii="Times New Roman" w:hAnsi="Times New Roman" w:cs="Times New Roman"/>
              <w:color w:val="auto"/>
            </w:rPr>
          </w:pPr>
          <w:r w:rsidRPr="0020113A">
            <w:rPr>
              <w:rFonts w:ascii="Times New Roman" w:hAnsi="Times New Roman" w:cs="Times New Roman"/>
              <w:color w:val="auto"/>
            </w:rPr>
            <w:t xml:space="preserve">Estado Actual: Construido y en Servicio </w:t>
          </w:r>
        </w:p>
        <w:p w14:paraId="118521A2" w14:textId="77777777" w:rsidR="007803E3" w:rsidRPr="0020113A" w:rsidRDefault="007803E3" w:rsidP="007803E3">
          <w:pPr>
            <w:pStyle w:val="Default"/>
            <w:ind w:left="708"/>
            <w:jc w:val="both"/>
            <w:rPr>
              <w:rFonts w:ascii="Times New Roman" w:hAnsi="Times New Roman" w:cs="Times New Roman"/>
              <w:color w:val="auto"/>
            </w:rPr>
          </w:pPr>
        </w:p>
        <w:p w14:paraId="3B6804E4" w14:textId="77777777" w:rsidR="007803E3" w:rsidRPr="0020113A" w:rsidRDefault="007803E3" w:rsidP="007803E3">
          <w:pPr>
            <w:pStyle w:val="Default"/>
            <w:jc w:val="both"/>
            <w:rPr>
              <w:rFonts w:ascii="Times New Roman" w:hAnsi="Times New Roman" w:cs="Times New Roman"/>
              <w:color w:val="auto"/>
            </w:rPr>
          </w:pPr>
          <w:r w:rsidRPr="0020113A">
            <w:rPr>
              <w:rFonts w:ascii="Times New Roman" w:hAnsi="Times New Roman" w:cs="Times New Roman"/>
              <w:color w:val="auto"/>
            </w:rPr>
            <w:t xml:space="preserve">• Puente Peatonal Universidad de Córdoba </w:t>
          </w:r>
        </w:p>
        <w:p w14:paraId="20906BC8" w14:textId="77777777" w:rsidR="007803E3" w:rsidRPr="0020113A" w:rsidRDefault="007803E3" w:rsidP="007803E3">
          <w:pPr>
            <w:pStyle w:val="Default"/>
            <w:jc w:val="both"/>
            <w:rPr>
              <w:rFonts w:ascii="Times New Roman" w:hAnsi="Times New Roman" w:cs="Times New Roman"/>
              <w:color w:val="auto"/>
            </w:rPr>
          </w:pPr>
          <w:r w:rsidRPr="0020113A">
            <w:rPr>
              <w:rFonts w:ascii="Times New Roman" w:hAnsi="Times New Roman" w:cs="Times New Roman"/>
              <w:color w:val="auto"/>
            </w:rPr>
            <w:t xml:space="preserve">Estudio, Diseño y Construcción de un Puente Peatonal con rampa para minusválidos y paradero. </w:t>
          </w:r>
        </w:p>
        <w:p w14:paraId="5F83A009" w14:textId="77777777" w:rsidR="007803E3" w:rsidRPr="0020113A" w:rsidRDefault="007803E3" w:rsidP="007803E3">
          <w:pPr>
            <w:pStyle w:val="Default"/>
            <w:jc w:val="both"/>
            <w:rPr>
              <w:rFonts w:ascii="Times New Roman" w:hAnsi="Times New Roman" w:cs="Times New Roman"/>
              <w:color w:val="auto"/>
            </w:rPr>
          </w:pPr>
          <w:r w:rsidRPr="0020113A">
            <w:rPr>
              <w:rFonts w:ascii="Times New Roman" w:hAnsi="Times New Roman" w:cs="Times New Roman"/>
              <w:color w:val="auto"/>
            </w:rPr>
            <w:t xml:space="preserve">Estado Actual: Construido y en Servicio </w:t>
          </w:r>
        </w:p>
        <w:p w14:paraId="579F64F1" w14:textId="77777777" w:rsidR="007803E3" w:rsidRPr="0020113A" w:rsidRDefault="007803E3" w:rsidP="007803E3">
          <w:pPr>
            <w:pStyle w:val="Default"/>
            <w:ind w:left="708"/>
            <w:jc w:val="both"/>
            <w:rPr>
              <w:rFonts w:ascii="Times New Roman" w:hAnsi="Times New Roman" w:cs="Times New Roman"/>
              <w:color w:val="auto"/>
            </w:rPr>
          </w:pPr>
        </w:p>
        <w:p w14:paraId="18F04C11" w14:textId="77777777" w:rsidR="007803E3" w:rsidRPr="0020113A" w:rsidRDefault="007803E3" w:rsidP="007803E3">
          <w:pPr>
            <w:pStyle w:val="Default"/>
            <w:jc w:val="both"/>
            <w:rPr>
              <w:rFonts w:ascii="Times New Roman" w:hAnsi="Times New Roman" w:cs="Times New Roman"/>
              <w:color w:val="auto"/>
            </w:rPr>
          </w:pPr>
          <w:r w:rsidRPr="0020113A">
            <w:rPr>
              <w:rFonts w:ascii="Times New Roman" w:hAnsi="Times New Roman" w:cs="Times New Roman"/>
              <w:color w:val="auto"/>
            </w:rPr>
            <w:t xml:space="preserve">• Ciclo-ruta Fabrica de Gaseosas Postobón – T del Aeropuerto los Garzones </w:t>
          </w:r>
        </w:p>
        <w:p w14:paraId="55A2EBD6" w14:textId="77777777" w:rsidR="007803E3" w:rsidRPr="0020113A" w:rsidRDefault="007803E3" w:rsidP="007803E3">
          <w:pPr>
            <w:pStyle w:val="Default"/>
            <w:ind w:left="708"/>
            <w:jc w:val="both"/>
            <w:rPr>
              <w:rFonts w:ascii="Times New Roman" w:hAnsi="Times New Roman" w:cs="Times New Roman"/>
              <w:color w:val="auto"/>
            </w:rPr>
          </w:pPr>
        </w:p>
        <w:p w14:paraId="663E4B67" w14:textId="77777777" w:rsidR="007803E3" w:rsidRPr="0020113A" w:rsidRDefault="007803E3" w:rsidP="007803E3">
          <w:pPr>
            <w:pStyle w:val="Default"/>
            <w:jc w:val="both"/>
            <w:rPr>
              <w:rFonts w:ascii="Times New Roman" w:hAnsi="Times New Roman" w:cs="Times New Roman"/>
              <w:color w:val="auto"/>
            </w:rPr>
          </w:pPr>
          <w:r w:rsidRPr="0020113A">
            <w:rPr>
              <w:rFonts w:ascii="Times New Roman" w:hAnsi="Times New Roman" w:cs="Times New Roman"/>
              <w:color w:val="auto"/>
            </w:rPr>
            <w:t xml:space="preserve">Estudio, diseño y construcción de la ciclo-ruta desde la Fábrica de Gaseosas Postobón de la ciudad de Montería con avenida Circunvalar hasta el PR 0+0000 de la Ruta 2103, correspondiente a la entrada a la Te del Aeropuerto Los Garzones. </w:t>
          </w:r>
        </w:p>
        <w:p w14:paraId="7EDFA660" w14:textId="77777777" w:rsidR="007803E3" w:rsidRPr="0020113A" w:rsidRDefault="007803E3" w:rsidP="007803E3">
          <w:pPr>
            <w:pStyle w:val="Default"/>
            <w:jc w:val="both"/>
            <w:rPr>
              <w:rFonts w:ascii="Times New Roman" w:hAnsi="Times New Roman" w:cs="Times New Roman"/>
              <w:color w:val="auto"/>
            </w:rPr>
          </w:pPr>
          <w:r w:rsidRPr="0020113A">
            <w:rPr>
              <w:rFonts w:ascii="Times New Roman" w:hAnsi="Times New Roman" w:cs="Times New Roman"/>
              <w:color w:val="auto"/>
            </w:rPr>
            <w:t xml:space="preserve">Estado Actual: Construido y en Servicio </w:t>
          </w:r>
        </w:p>
        <w:p w14:paraId="64FEA9A8" w14:textId="77777777" w:rsidR="007803E3" w:rsidRPr="0020113A" w:rsidRDefault="007803E3" w:rsidP="007803E3">
          <w:pPr>
            <w:pStyle w:val="Default"/>
            <w:ind w:left="708"/>
            <w:jc w:val="both"/>
            <w:rPr>
              <w:rFonts w:ascii="Times New Roman" w:hAnsi="Times New Roman" w:cs="Times New Roman"/>
              <w:color w:val="auto"/>
            </w:rPr>
          </w:pPr>
        </w:p>
        <w:p w14:paraId="18BF8ABE" w14:textId="77777777" w:rsidR="007803E3" w:rsidRPr="0020113A" w:rsidRDefault="007803E3" w:rsidP="007803E3">
          <w:pPr>
            <w:autoSpaceDE w:val="0"/>
            <w:autoSpaceDN w:val="0"/>
            <w:adjustRightInd w:val="0"/>
            <w:spacing w:after="0" w:line="240" w:lineRule="auto"/>
            <w:jc w:val="both"/>
            <w:rPr>
              <w:rFonts w:ascii="Times New Roman" w:hAnsi="Times New Roman"/>
              <w:sz w:val="24"/>
              <w:szCs w:val="24"/>
              <w:u w:val="single"/>
            </w:rPr>
          </w:pPr>
          <w:r w:rsidRPr="0020113A">
            <w:rPr>
              <w:rFonts w:ascii="Times New Roman" w:hAnsi="Times New Roman"/>
              <w:sz w:val="24"/>
              <w:szCs w:val="24"/>
              <w:u w:val="single"/>
            </w:rPr>
            <w:t xml:space="preserve">TRAYECTO II: </w:t>
          </w:r>
        </w:p>
        <w:p w14:paraId="073A6668" w14:textId="77777777" w:rsidR="007803E3" w:rsidRPr="0020113A" w:rsidRDefault="007803E3" w:rsidP="007803E3">
          <w:pPr>
            <w:pStyle w:val="Prrafodelista"/>
            <w:jc w:val="both"/>
            <w:rPr>
              <w:rFonts w:ascii="Times New Roman" w:hAnsi="Times New Roman"/>
              <w:sz w:val="24"/>
              <w:szCs w:val="24"/>
              <w:lang w:val="es-MX"/>
            </w:rPr>
          </w:pPr>
        </w:p>
        <w:p w14:paraId="66774CEA" w14:textId="77777777" w:rsidR="007803E3" w:rsidRPr="0020113A" w:rsidRDefault="007803E3" w:rsidP="00E60BAB">
          <w:pPr>
            <w:pStyle w:val="Default"/>
            <w:numPr>
              <w:ilvl w:val="0"/>
              <w:numId w:val="73"/>
            </w:numPr>
            <w:jc w:val="both"/>
            <w:rPr>
              <w:rFonts w:ascii="Times New Roman" w:hAnsi="Times New Roman" w:cs="Times New Roman"/>
              <w:color w:val="auto"/>
            </w:rPr>
          </w:pPr>
          <w:r w:rsidRPr="0020113A">
            <w:rPr>
              <w:rFonts w:ascii="Times New Roman" w:hAnsi="Times New Roman" w:cs="Times New Roman"/>
              <w:color w:val="auto"/>
            </w:rPr>
            <w:t xml:space="preserve">Rehabilitación Cereté – la Ye </w:t>
          </w:r>
        </w:p>
        <w:p w14:paraId="09CEA280" w14:textId="77777777" w:rsidR="007803E3" w:rsidRPr="0020113A" w:rsidRDefault="007803E3" w:rsidP="007803E3">
          <w:pPr>
            <w:pStyle w:val="Default"/>
            <w:jc w:val="both"/>
            <w:rPr>
              <w:rFonts w:ascii="Times New Roman" w:hAnsi="Times New Roman" w:cs="Times New Roman"/>
              <w:color w:val="auto"/>
            </w:rPr>
          </w:pPr>
          <w:r w:rsidRPr="0020113A">
            <w:rPr>
              <w:rFonts w:ascii="Times New Roman" w:hAnsi="Times New Roman" w:cs="Times New Roman"/>
              <w:color w:val="auto"/>
            </w:rPr>
            <w:t xml:space="preserve">Rehabilitación, mejoramiento y mantenimiento de la Calzada sencilla existente entre el PR 6+0942 a la altura del CAI de la Policía Nacional en la entrada al Municipio de Cereté hasta el PR 35+0000 que corresponde a la entrada a la población de la Ye. Desde el PR 6+0942 al PR 20+0000 el ancho de Calzada es de 7,30 m, berma interna de 0.30 m y berma externa de 1,80 m. del PR 20+0000 al PR 35+0000 las bermas internas y externas miden 1,80 m. </w:t>
          </w:r>
        </w:p>
        <w:p w14:paraId="573CB4C8" w14:textId="77777777" w:rsidR="007803E3" w:rsidRPr="0020113A" w:rsidRDefault="007803E3" w:rsidP="007803E3">
          <w:pPr>
            <w:pStyle w:val="Default"/>
            <w:jc w:val="both"/>
            <w:rPr>
              <w:rFonts w:ascii="Times New Roman" w:hAnsi="Times New Roman" w:cs="Times New Roman"/>
              <w:color w:val="auto"/>
            </w:rPr>
          </w:pPr>
          <w:r w:rsidRPr="0020113A">
            <w:rPr>
              <w:rFonts w:ascii="Times New Roman" w:hAnsi="Times New Roman" w:cs="Times New Roman"/>
              <w:color w:val="auto"/>
            </w:rPr>
            <w:t xml:space="preserve">Estado Actual: Construido y en Servicio </w:t>
          </w:r>
        </w:p>
        <w:p w14:paraId="4EF043E8" w14:textId="77777777" w:rsidR="007803E3" w:rsidRPr="0020113A" w:rsidRDefault="007803E3" w:rsidP="007803E3">
          <w:pPr>
            <w:pStyle w:val="Default"/>
            <w:ind w:left="1068"/>
            <w:jc w:val="both"/>
            <w:rPr>
              <w:rFonts w:ascii="Times New Roman" w:hAnsi="Times New Roman" w:cs="Times New Roman"/>
              <w:color w:val="auto"/>
            </w:rPr>
          </w:pPr>
        </w:p>
        <w:p w14:paraId="726A00A8" w14:textId="77777777" w:rsidR="007803E3" w:rsidRPr="0020113A" w:rsidRDefault="007803E3" w:rsidP="007803E3">
          <w:pPr>
            <w:pStyle w:val="Default"/>
            <w:jc w:val="both"/>
            <w:rPr>
              <w:rFonts w:ascii="Times New Roman" w:hAnsi="Times New Roman" w:cs="Times New Roman"/>
              <w:color w:val="auto"/>
              <w:u w:val="single"/>
            </w:rPr>
          </w:pPr>
          <w:r w:rsidRPr="0020113A">
            <w:rPr>
              <w:rFonts w:ascii="Times New Roman" w:hAnsi="Times New Roman" w:cs="Times New Roman"/>
              <w:color w:val="auto"/>
              <w:u w:val="single"/>
            </w:rPr>
            <w:t xml:space="preserve">TRAYECTO III: </w:t>
          </w:r>
        </w:p>
        <w:p w14:paraId="67A82404" w14:textId="77777777" w:rsidR="007803E3" w:rsidRPr="0020113A" w:rsidRDefault="007803E3" w:rsidP="007803E3">
          <w:pPr>
            <w:pStyle w:val="Default"/>
            <w:ind w:left="1068"/>
            <w:jc w:val="both"/>
            <w:rPr>
              <w:rFonts w:ascii="Times New Roman" w:hAnsi="Times New Roman" w:cs="Times New Roman"/>
              <w:color w:val="auto"/>
              <w:u w:val="single"/>
            </w:rPr>
          </w:pPr>
        </w:p>
        <w:p w14:paraId="387A9860" w14:textId="77777777" w:rsidR="007803E3" w:rsidRPr="0020113A" w:rsidRDefault="007803E3" w:rsidP="00E60BAB">
          <w:pPr>
            <w:pStyle w:val="Default"/>
            <w:numPr>
              <w:ilvl w:val="0"/>
              <w:numId w:val="73"/>
            </w:numPr>
            <w:jc w:val="both"/>
            <w:rPr>
              <w:rFonts w:ascii="Times New Roman" w:hAnsi="Times New Roman" w:cs="Times New Roman"/>
              <w:bCs/>
              <w:color w:val="auto"/>
            </w:rPr>
          </w:pPr>
          <w:r w:rsidRPr="0020113A">
            <w:rPr>
              <w:rFonts w:ascii="Times New Roman" w:hAnsi="Times New Roman" w:cs="Times New Roman"/>
              <w:bCs/>
              <w:color w:val="auto"/>
            </w:rPr>
            <w:lastRenderedPageBreak/>
            <w:t xml:space="preserve">Rehabilitación paso Urbano por Sincelejo </w:t>
          </w:r>
        </w:p>
        <w:p w14:paraId="52347C6E" w14:textId="77777777" w:rsidR="007803E3" w:rsidRPr="0020113A" w:rsidRDefault="007803E3" w:rsidP="007803E3">
          <w:pPr>
            <w:pStyle w:val="Default"/>
            <w:jc w:val="both"/>
            <w:rPr>
              <w:rFonts w:ascii="Times New Roman" w:hAnsi="Times New Roman" w:cs="Times New Roman"/>
              <w:bCs/>
              <w:color w:val="auto"/>
            </w:rPr>
          </w:pPr>
          <w:r w:rsidRPr="0020113A">
            <w:rPr>
              <w:rFonts w:ascii="Times New Roman" w:hAnsi="Times New Roman" w:cs="Times New Roman"/>
              <w:bCs/>
              <w:color w:val="auto"/>
            </w:rPr>
            <w:t xml:space="preserve">Rehabilitación, mejoramiento y mantenimiento de la Doble Calzada existente Paso Urbano del Municipio de Sincelejo. </w:t>
          </w:r>
        </w:p>
        <w:p w14:paraId="429674D5" w14:textId="77777777" w:rsidR="007803E3" w:rsidRPr="0020113A" w:rsidRDefault="007803E3" w:rsidP="007803E3">
          <w:pPr>
            <w:pStyle w:val="Default"/>
            <w:jc w:val="both"/>
            <w:rPr>
              <w:rFonts w:ascii="Times New Roman" w:hAnsi="Times New Roman" w:cs="Times New Roman"/>
              <w:bCs/>
              <w:color w:val="auto"/>
            </w:rPr>
          </w:pPr>
          <w:r w:rsidRPr="0020113A">
            <w:rPr>
              <w:rFonts w:ascii="Times New Roman" w:hAnsi="Times New Roman" w:cs="Times New Roman"/>
              <w:bCs/>
              <w:color w:val="auto"/>
            </w:rPr>
            <w:t xml:space="preserve">Estado Actual: Rehabilitado y en Servicio </w:t>
          </w:r>
        </w:p>
        <w:p w14:paraId="210CE64C" w14:textId="77777777" w:rsidR="007803E3" w:rsidRPr="0020113A" w:rsidRDefault="007803E3" w:rsidP="007803E3">
          <w:pPr>
            <w:pStyle w:val="Default"/>
            <w:ind w:left="1068"/>
            <w:jc w:val="both"/>
            <w:rPr>
              <w:rFonts w:ascii="Times New Roman" w:hAnsi="Times New Roman" w:cs="Times New Roman"/>
              <w:bCs/>
              <w:color w:val="auto"/>
            </w:rPr>
          </w:pPr>
        </w:p>
        <w:p w14:paraId="06EBC010" w14:textId="77777777" w:rsidR="007803E3" w:rsidRPr="0020113A" w:rsidRDefault="007803E3" w:rsidP="007803E3">
          <w:pPr>
            <w:pStyle w:val="Default"/>
            <w:jc w:val="both"/>
            <w:rPr>
              <w:rFonts w:ascii="Times New Roman" w:hAnsi="Times New Roman" w:cs="Times New Roman"/>
              <w:bCs/>
              <w:color w:val="auto"/>
            </w:rPr>
          </w:pPr>
          <w:r w:rsidRPr="0020113A">
            <w:rPr>
              <w:rFonts w:ascii="Times New Roman" w:hAnsi="Times New Roman" w:cs="Times New Roman"/>
              <w:bCs/>
              <w:color w:val="auto"/>
            </w:rPr>
            <w:t xml:space="preserve">Obligaciones de desempeño:  </w:t>
          </w:r>
        </w:p>
        <w:p w14:paraId="1D33E01C" w14:textId="77777777" w:rsidR="007803E3" w:rsidRPr="0020113A" w:rsidRDefault="007803E3" w:rsidP="00E60BAB">
          <w:pPr>
            <w:pStyle w:val="Default"/>
            <w:numPr>
              <w:ilvl w:val="0"/>
              <w:numId w:val="75"/>
            </w:numPr>
            <w:jc w:val="both"/>
            <w:rPr>
              <w:rFonts w:ascii="Times New Roman" w:hAnsi="Times New Roman" w:cs="Times New Roman"/>
              <w:bCs/>
              <w:color w:val="auto"/>
            </w:rPr>
          </w:pPr>
          <w:r w:rsidRPr="0020113A">
            <w:rPr>
              <w:rFonts w:ascii="Times New Roman" w:hAnsi="Times New Roman" w:cs="Times New Roman"/>
              <w:bCs/>
              <w:color w:val="auto"/>
            </w:rPr>
            <w:t>Construcción,</w:t>
          </w:r>
        </w:p>
        <w:p w14:paraId="6A2951C9" w14:textId="77777777" w:rsidR="007803E3" w:rsidRPr="0020113A" w:rsidRDefault="007803E3" w:rsidP="00E60BAB">
          <w:pPr>
            <w:pStyle w:val="Default"/>
            <w:numPr>
              <w:ilvl w:val="0"/>
              <w:numId w:val="75"/>
            </w:numPr>
            <w:jc w:val="both"/>
            <w:rPr>
              <w:rFonts w:ascii="Times New Roman" w:hAnsi="Times New Roman" w:cs="Times New Roman"/>
              <w:color w:val="auto"/>
            </w:rPr>
          </w:pPr>
          <w:r w:rsidRPr="0020113A">
            <w:rPr>
              <w:rFonts w:ascii="Times New Roman" w:hAnsi="Times New Roman" w:cs="Times New Roman"/>
              <w:color w:val="auto"/>
            </w:rPr>
            <w:t xml:space="preserve">Operación y Mantenimiento (rutinario y periódico). </w:t>
          </w:r>
        </w:p>
        <w:p w14:paraId="4E336E06" w14:textId="77777777" w:rsidR="007803E3" w:rsidRPr="0020113A" w:rsidRDefault="007803E3" w:rsidP="00E60BAB">
          <w:pPr>
            <w:pStyle w:val="Default"/>
            <w:numPr>
              <w:ilvl w:val="0"/>
              <w:numId w:val="75"/>
            </w:numPr>
            <w:jc w:val="both"/>
            <w:rPr>
              <w:rFonts w:ascii="Times New Roman" w:hAnsi="Times New Roman" w:cs="Times New Roman"/>
              <w:color w:val="auto"/>
            </w:rPr>
          </w:pPr>
          <w:r w:rsidRPr="0020113A">
            <w:rPr>
              <w:rFonts w:ascii="Times New Roman" w:hAnsi="Times New Roman" w:cs="Times New Roman"/>
              <w:color w:val="auto"/>
            </w:rPr>
            <w:t xml:space="preserve">Cumplimiento de indicadores de ingeniería como Índice de Estado de 4.1 para vías rehabilitadas y 4.5 para calzadas nuevas. Deflectometría de menos de 0,7 milímetros para pavimentos y reflectividad de 150 mili candelas por Mt2. </w:t>
          </w:r>
        </w:p>
        <w:p w14:paraId="2610CC80" w14:textId="77777777" w:rsidR="007803E3" w:rsidRPr="0020113A" w:rsidRDefault="007803E3" w:rsidP="00E60BAB">
          <w:pPr>
            <w:pStyle w:val="Default"/>
            <w:numPr>
              <w:ilvl w:val="0"/>
              <w:numId w:val="75"/>
            </w:numPr>
            <w:jc w:val="both"/>
            <w:rPr>
              <w:rFonts w:ascii="Times New Roman" w:hAnsi="Times New Roman" w:cs="Times New Roman"/>
              <w:color w:val="auto"/>
            </w:rPr>
          </w:pPr>
          <w:r w:rsidRPr="0020113A">
            <w:rPr>
              <w:rFonts w:ascii="Times New Roman" w:hAnsi="Times New Roman" w:cs="Times New Roman"/>
              <w:color w:val="auto"/>
            </w:rPr>
            <w:t xml:space="preserve">Servicios en la vía: Grúa, Carro taller, Postes S.O.S. y Ambulancias </w:t>
          </w:r>
        </w:p>
        <w:p w14:paraId="6D8208B0" w14:textId="77777777" w:rsidR="007803E3" w:rsidRPr="0020113A" w:rsidRDefault="007803E3" w:rsidP="007803E3">
          <w:pPr>
            <w:pStyle w:val="Prrafodelista"/>
            <w:ind w:left="1068" w:firstLine="348"/>
            <w:jc w:val="both"/>
            <w:rPr>
              <w:rFonts w:ascii="Times New Roman" w:hAnsi="Times New Roman"/>
              <w:sz w:val="24"/>
              <w:szCs w:val="24"/>
              <w:lang w:val="es-MX"/>
            </w:rPr>
          </w:pPr>
          <w:r w:rsidRPr="0020113A">
            <w:rPr>
              <w:rFonts w:ascii="Times New Roman" w:hAnsi="Times New Roman"/>
              <w:sz w:val="24"/>
              <w:szCs w:val="24"/>
            </w:rPr>
            <w:t xml:space="preserve">Alcance del derecho de uso de los activos: NO APLICA </w:t>
          </w:r>
        </w:p>
        <w:p w14:paraId="30943F00" w14:textId="77777777" w:rsidR="007803E3" w:rsidRPr="0020113A" w:rsidRDefault="007803E3" w:rsidP="007803E3">
          <w:pPr>
            <w:pStyle w:val="Prrafodelista"/>
            <w:rPr>
              <w:rFonts w:ascii="Times New Roman" w:hAnsi="Times New Roman"/>
              <w:b/>
              <w:sz w:val="24"/>
              <w:szCs w:val="24"/>
              <w:lang w:val="es-MX"/>
            </w:rPr>
          </w:pPr>
        </w:p>
        <w:p w14:paraId="4241AE9A" w14:textId="77777777" w:rsidR="007803E3" w:rsidRPr="0020113A" w:rsidRDefault="007803E3" w:rsidP="007803E3">
          <w:pPr>
            <w:pStyle w:val="Prrafodelista"/>
            <w:ind w:left="0"/>
            <w:jc w:val="center"/>
            <w:rPr>
              <w:rFonts w:ascii="Times New Roman" w:hAnsi="Times New Roman"/>
              <w:b/>
              <w:sz w:val="24"/>
              <w:szCs w:val="24"/>
              <w:lang w:val="es-MX"/>
            </w:rPr>
          </w:pPr>
          <w:r w:rsidRPr="0020113A">
            <w:rPr>
              <w:rFonts w:ascii="Times New Roman" w:hAnsi="Times New Roman"/>
              <w:b/>
              <w:sz w:val="24"/>
              <w:szCs w:val="24"/>
              <w:lang w:val="es-MX"/>
            </w:rPr>
            <w:t>Retribución al concesionario</w:t>
          </w:r>
        </w:p>
        <w:p w14:paraId="6CD42E59" w14:textId="77777777" w:rsidR="007803E3" w:rsidRPr="0020113A" w:rsidRDefault="007803E3" w:rsidP="007803E3">
          <w:pPr>
            <w:pStyle w:val="Default"/>
            <w:rPr>
              <w:rFonts w:ascii="Times New Roman" w:hAnsi="Times New Roman" w:cs="Times New Roman"/>
              <w:color w:val="auto"/>
            </w:rPr>
          </w:pPr>
          <w:r w:rsidRPr="0020113A">
            <w:rPr>
              <w:rFonts w:ascii="Times New Roman" w:hAnsi="Times New Roman" w:cs="Times New Roman"/>
              <w:b/>
              <w:color w:val="auto"/>
              <w:lang w:val="es-MX"/>
            </w:rPr>
            <w:t xml:space="preserve">Descripción:  </w:t>
          </w:r>
          <w:r w:rsidRPr="0020113A">
            <w:rPr>
              <w:rFonts w:ascii="Times New Roman" w:hAnsi="Times New Roman" w:cs="Times New Roman"/>
              <w:color w:val="auto"/>
            </w:rPr>
            <w:t xml:space="preserve">Recaudo de peajes, hasta la consecución del Ingreso Esperado del proyecto (I.E.), el cual se encuentra a diciembre 31 de 2023 en $471.384.770.284 pesos de 2005 (90.72%), sobre un total de $519.621.162.123 </w:t>
          </w:r>
        </w:p>
        <w:p w14:paraId="2302F575" w14:textId="77777777" w:rsidR="007803E3" w:rsidRPr="0020113A" w:rsidRDefault="007803E3" w:rsidP="007803E3">
          <w:pPr>
            <w:pStyle w:val="Prrafodelista"/>
            <w:ind w:left="0"/>
            <w:rPr>
              <w:rFonts w:ascii="Times New Roman" w:hAnsi="Times New Roman"/>
              <w:sz w:val="24"/>
              <w:szCs w:val="24"/>
            </w:rPr>
          </w:pPr>
          <w:r w:rsidRPr="0020113A">
            <w:rPr>
              <w:rFonts w:ascii="Times New Roman" w:hAnsi="Times New Roman"/>
              <w:sz w:val="24"/>
              <w:szCs w:val="24"/>
            </w:rPr>
            <w:t xml:space="preserve">Aportes ANI, ya reseñados en este documento </w:t>
          </w:r>
        </w:p>
        <w:p w14:paraId="438F5D59" w14:textId="77777777" w:rsidR="007803E3" w:rsidRPr="0020113A" w:rsidRDefault="007803E3" w:rsidP="007803E3">
          <w:pPr>
            <w:pStyle w:val="Prrafodelista"/>
            <w:ind w:left="0"/>
            <w:rPr>
              <w:rFonts w:ascii="Times New Roman" w:hAnsi="Times New Roman"/>
              <w:sz w:val="24"/>
              <w:szCs w:val="24"/>
            </w:rPr>
          </w:pPr>
        </w:p>
        <w:p w14:paraId="6DFD02FC" w14:textId="77777777" w:rsidR="007803E3" w:rsidRPr="0020113A" w:rsidRDefault="007803E3" w:rsidP="007803E3">
          <w:pPr>
            <w:pStyle w:val="Prrafodelista"/>
            <w:ind w:left="0"/>
            <w:rPr>
              <w:rFonts w:ascii="Times New Roman" w:hAnsi="Times New Roman"/>
              <w:sz w:val="24"/>
              <w:szCs w:val="24"/>
            </w:rPr>
          </w:pPr>
          <w:r w:rsidRPr="0020113A">
            <w:rPr>
              <w:rFonts w:ascii="Times New Roman" w:hAnsi="Times New Roman"/>
              <w:b/>
              <w:sz w:val="24"/>
              <w:szCs w:val="24"/>
            </w:rPr>
            <w:t>Tasa de Retribución:</w:t>
          </w:r>
          <w:r w:rsidRPr="0020113A">
            <w:rPr>
              <w:rFonts w:ascii="Times New Roman" w:hAnsi="Times New Roman"/>
              <w:sz w:val="24"/>
              <w:szCs w:val="24"/>
            </w:rPr>
            <w:t xml:space="preserve"> No aplica.</w:t>
          </w:r>
        </w:p>
        <w:p w14:paraId="1E686DB8" w14:textId="77777777" w:rsidR="007803E3" w:rsidRPr="0020113A" w:rsidRDefault="007803E3" w:rsidP="00E60BAB">
          <w:pPr>
            <w:numPr>
              <w:ilvl w:val="0"/>
              <w:numId w:val="76"/>
            </w:numPr>
            <w:autoSpaceDE w:val="0"/>
            <w:autoSpaceDN w:val="0"/>
            <w:adjustRightInd w:val="0"/>
            <w:spacing w:after="0" w:line="240" w:lineRule="auto"/>
            <w:rPr>
              <w:rFonts w:ascii="Times New Roman" w:hAnsi="Times New Roman"/>
              <w:b/>
              <w:sz w:val="24"/>
              <w:szCs w:val="24"/>
            </w:rPr>
          </w:pPr>
          <w:r w:rsidRPr="0020113A">
            <w:rPr>
              <w:rFonts w:ascii="Times New Roman" w:hAnsi="Times New Roman"/>
              <w:b/>
              <w:sz w:val="24"/>
              <w:szCs w:val="24"/>
            </w:rPr>
            <w:t xml:space="preserve">d. Derechos a recibir activos especificados al final del acuerdo de concesión </w:t>
          </w:r>
        </w:p>
        <w:p w14:paraId="2745DC2D" w14:textId="77777777" w:rsidR="007803E3" w:rsidRPr="0020113A" w:rsidRDefault="007803E3" w:rsidP="00CB38EE">
          <w:pPr>
            <w:autoSpaceDE w:val="0"/>
            <w:autoSpaceDN w:val="0"/>
            <w:adjustRightInd w:val="0"/>
            <w:spacing w:after="0" w:line="240" w:lineRule="auto"/>
            <w:ind w:left="720"/>
            <w:rPr>
              <w:rFonts w:ascii="Times New Roman" w:hAnsi="Times New Roman"/>
              <w:b/>
              <w:sz w:val="24"/>
              <w:szCs w:val="24"/>
            </w:rPr>
          </w:pPr>
        </w:p>
        <w:p w14:paraId="3E1C63E5" w14:textId="77777777" w:rsidR="007803E3" w:rsidRPr="0020113A" w:rsidRDefault="007803E3" w:rsidP="007803E3">
          <w:pPr>
            <w:pStyle w:val="Default"/>
            <w:jc w:val="both"/>
            <w:rPr>
              <w:rFonts w:ascii="Times New Roman" w:hAnsi="Times New Roman" w:cs="Times New Roman"/>
              <w:color w:val="auto"/>
            </w:rPr>
          </w:pPr>
          <w:r w:rsidRPr="0020113A">
            <w:rPr>
              <w:rFonts w:ascii="Times New Roman" w:hAnsi="Times New Roman" w:cs="Times New Roman"/>
              <w:b/>
              <w:color w:val="auto"/>
            </w:rPr>
            <w:t xml:space="preserve"> Descripción: </w:t>
          </w:r>
          <w:r w:rsidRPr="0020113A">
            <w:rPr>
              <w:rFonts w:ascii="Times New Roman" w:hAnsi="Times New Roman" w:cs="Times New Roman"/>
              <w:color w:val="auto"/>
            </w:rPr>
            <w:t xml:space="preserve">Los términos y condiciones para la devolución de los activos del Proyecto de Concesión a la Entidad Contratante, se encuentran consignados en la Cláusula 62 del Contrato 002 de 2007 la cual menciona: </w:t>
          </w:r>
        </w:p>
        <w:p w14:paraId="62310ED9" w14:textId="2A97312C" w:rsidR="007803E3" w:rsidRPr="0020113A" w:rsidRDefault="007803E3" w:rsidP="007803E3">
          <w:pPr>
            <w:pStyle w:val="Default"/>
            <w:jc w:val="both"/>
            <w:rPr>
              <w:rFonts w:ascii="Times New Roman" w:hAnsi="Times New Roman" w:cs="Times New Roman"/>
              <w:color w:val="auto"/>
            </w:rPr>
          </w:pPr>
          <w:r w:rsidRPr="0020113A">
            <w:rPr>
              <w:rFonts w:ascii="Times New Roman" w:hAnsi="Times New Roman" w:cs="Times New Roman"/>
              <w:color w:val="auto"/>
            </w:rPr>
            <w:t xml:space="preserve"> </w:t>
          </w:r>
        </w:p>
        <w:p w14:paraId="0F137FB0" w14:textId="77777777" w:rsidR="007803E3" w:rsidRPr="0020113A" w:rsidRDefault="007803E3" w:rsidP="00CB38EE">
          <w:pPr>
            <w:pStyle w:val="Default"/>
            <w:jc w:val="both"/>
            <w:rPr>
              <w:rFonts w:ascii="Times New Roman" w:hAnsi="Times New Roman" w:cs="Times New Roman"/>
              <w:i/>
              <w:color w:val="auto"/>
            </w:rPr>
          </w:pPr>
          <w:r w:rsidRPr="0020113A">
            <w:rPr>
              <w:rFonts w:ascii="Times New Roman" w:hAnsi="Times New Roman" w:cs="Times New Roman"/>
              <w:color w:val="auto"/>
            </w:rPr>
            <w:t>“</w:t>
          </w:r>
          <w:r w:rsidRPr="0020113A">
            <w:rPr>
              <w:rFonts w:ascii="Times New Roman" w:hAnsi="Times New Roman" w:cs="Times New Roman"/>
              <w:i/>
              <w:color w:val="auto"/>
            </w:rPr>
            <w:t xml:space="preserve">CLAUSULA 62. DEVOLUCION Y REVERSION DE LOS BIENES AFECTOS A LA CONCESION 62.1. Sin perjuicio del derecho que tiene EL CONCESIONARIO - en los términos de este CONTRATO -de usar y explotar económicamente los bienes que hacen parte del Proyecto, se entenderá que EL INCO se hará propietario de las obras que conforman el Proyecto, al momento de su ejecución, y de los equipos afectos a la Concesión, que conforman el Proyecto, al momento de su suministro e instalación. Por lo tanto, estos bienes son de propiedad de EL INCO, y, en general, EL CONCESIONARIO tendrá estos bienes hasta su reversión al. INCO en calidad de usufructo, teniendo a su cargo las obligaciones establecidas de manera expresa o implícita en el presente CONTRATO, sus Anexos y sus Apéndices. AL momento de terminación de EL CONTRATO, por cualquier causa, todos los bienes inmuebles, con todas sus anexidades, que hacen parte del Proyecto serán entregados al INCO en las condiciones señaladas en las Especificaciones Técnicas de Operación y Mantenimiento, especialmente de acuerdo a lo establecido en el Apéndice D, al momento de la terminación de EL CONTRATO, por cualquier causa. EL CONCESIONARIO deberá mantener indemne al INCO contra cualquier reclamación derivada de sus actuaciones u omisiones. </w:t>
          </w:r>
        </w:p>
        <w:p w14:paraId="7A164924" w14:textId="77777777" w:rsidR="007803E3" w:rsidRPr="0020113A" w:rsidRDefault="007803E3" w:rsidP="007803E3">
          <w:pPr>
            <w:pStyle w:val="Default"/>
            <w:ind w:left="708"/>
            <w:jc w:val="both"/>
            <w:rPr>
              <w:rFonts w:ascii="Times New Roman" w:hAnsi="Times New Roman" w:cs="Times New Roman"/>
              <w:i/>
              <w:color w:val="auto"/>
            </w:rPr>
          </w:pPr>
        </w:p>
        <w:p w14:paraId="4400F1D9" w14:textId="7C5754ED" w:rsidR="007803E3" w:rsidRPr="0020113A" w:rsidRDefault="007803E3" w:rsidP="00CB38EE">
          <w:pPr>
            <w:pStyle w:val="Default"/>
            <w:jc w:val="both"/>
            <w:rPr>
              <w:rFonts w:ascii="Times New Roman" w:hAnsi="Times New Roman" w:cs="Times New Roman"/>
              <w:i/>
              <w:color w:val="auto"/>
            </w:rPr>
          </w:pPr>
          <w:r w:rsidRPr="0020113A">
            <w:rPr>
              <w:rFonts w:ascii="Times New Roman" w:hAnsi="Times New Roman" w:cs="Times New Roman"/>
              <w:i/>
              <w:color w:val="auto"/>
            </w:rPr>
            <w:t xml:space="preserve">62.2. A la terminación de EL CONTRATO por cualquier causa, todos los bienes directamente afectados a la concesión que no sean de propiedad de EL INCO serán transferidos a título </w:t>
          </w:r>
          <w:r w:rsidRPr="0020113A">
            <w:rPr>
              <w:rFonts w:ascii="Times New Roman" w:hAnsi="Times New Roman" w:cs="Times New Roman"/>
              <w:i/>
              <w:color w:val="auto"/>
            </w:rPr>
            <w:lastRenderedPageBreak/>
            <w:t xml:space="preserve">traslaticio de dominio al INCO libres de todo gravamen, sin que para ello este deba pagar compensación alguna al CONCESIONARIO. </w:t>
          </w:r>
        </w:p>
        <w:p w14:paraId="734AF0C3" w14:textId="77777777" w:rsidR="007803E3" w:rsidRPr="0020113A" w:rsidRDefault="007803E3" w:rsidP="007803E3">
          <w:pPr>
            <w:pStyle w:val="Default"/>
            <w:ind w:left="708"/>
            <w:jc w:val="both"/>
            <w:rPr>
              <w:rFonts w:ascii="Times New Roman" w:hAnsi="Times New Roman" w:cs="Times New Roman"/>
              <w:i/>
              <w:color w:val="auto"/>
            </w:rPr>
          </w:pPr>
        </w:p>
        <w:p w14:paraId="1D036E5D" w14:textId="4E456DFA" w:rsidR="007803E3" w:rsidRPr="0020113A" w:rsidRDefault="007803E3" w:rsidP="00CB38EE">
          <w:pPr>
            <w:pStyle w:val="Default"/>
            <w:jc w:val="both"/>
            <w:rPr>
              <w:rFonts w:ascii="Times New Roman" w:hAnsi="Times New Roman" w:cs="Times New Roman"/>
              <w:i/>
              <w:color w:val="auto"/>
            </w:rPr>
          </w:pPr>
          <w:r w:rsidRPr="0020113A">
            <w:rPr>
              <w:rFonts w:ascii="Times New Roman" w:hAnsi="Times New Roman" w:cs="Times New Roman"/>
              <w:i/>
              <w:color w:val="auto"/>
            </w:rPr>
            <w:t xml:space="preserve">Para efectos de este CONTRATO, se entiende que los bienes afectos a la concesión son los establecidos en el Apéndice D de EL CONTRATO de Concesión”. </w:t>
          </w:r>
        </w:p>
        <w:p w14:paraId="27ADB3A3" w14:textId="77777777" w:rsidR="007803E3" w:rsidRPr="0020113A" w:rsidRDefault="007803E3" w:rsidP="007803E3">
          <w:pPr>
            <w:autoSpaceDE w:val="0"/>
            <w:autoSpaceDN w:val="0"/>
            <w:adjustRightInd w:val="0"/>
            <w:spacing w:after="0" w:line="240" w:lineRule="auto"/>
            <w:rPr>
              <w:rFonts w:ascii="Times New Roman" w:hAnsi="Times New Roman"/>
              <w:sz w:val="24"/>
              <w:szCs w:val="24"/>
            </w:rPr>
          </w:pPr>
        </w:p>
        <w:p w14:paraId="4DD1437D" w14:textId="77777777" w:rsidR="007803E3" w:rsidRPr="0020113A" w:rsidRDefault="007803E3" w:rsidP="00E60BAB">
          <w:pPr>
            <w:numPr>
              <w:ilvl w:val="0"/>
              <w:numId w:val="77"/>
            </w:numPr>
            <w:autoSpaceDE w:val="0"/>
            <w:autoSpaceDN w:val="0"/>
            <w:adjustRightInd w:val="0"/>
            <w:spacing w:after="0" w:line="240" w:lineRule="auto"/>
            <w:ind w:left="720" w:hanging="360"/>
            <w:rPr>
              <w:rFonts w:ascii="Times New Roman" w:hAnsi="Times New Roman"/>
              <w:sz w:val="24"/>
              <w:szCs w:val="24"/>
            </w:rPr>
          </w:pPr>
          <w:r w:rsidRPr="0020113A">
            <w:rPr>
              <w:rFonts w:ascii="Times New Roman" w:hAnsi="Times New Roman"/>
              <w:b/>
              <w:sz w:val="24"/>
              <w:szCs w:val="24"/>
            </w:rPr>
            <w:t xml:space="preserve">e. Cambios en el acuerdo de concesión que se realicen durante el periodo fiscal </w:t>
          </w:r>
        </w:p>
        <w:p w14:paraId="7016F2FD" w14:textId="77777777" w:rsidR="007803E3" w:rsidRPr="0020113A" w:rsidRDefault="007803E3" w:rsidP="007803E3">
          <w:pPr>
            <w:pStyle w:val="Prrafodelista"/>
            <w:rPr>
              <w:rFonts w:ascii="Times New Roman" w:hAnsi="Times New Roman"/>
              <w:sz w:val="24"/>
              <w:szCs w:val="24"/>
              <w:lang w:val="es-MX"/>
            </w:rPr>
          </w:pPr>
        </w:p>
        <w:p w14:paraId="3B74D948" w14:textId="77777777" w:rsidR="007803E3" w:rsidRPr="0020113A" w:rsidRDefault="007803E3" w:rsidP="007803E3">
          <w:pPr>
            <w:autoSpaceDE w:val="0"/>
            <w:autoSpaceDN w:val="0"/>
            <w:adjustRightInd w:val="0"/>
            <w:spacing w:after="0" w:line="240" w:lineRule="auto"/>
            <w:ind w:firstLine="708"/>
            <w:jc w:val="center"/>
            <w:rPr>
              <w:rFonts w:ascii="Times New Roman" w:hAnsi="Times New Roman"/>
              <w:b/>
              <w:sz w:val="24"/>
              <w:szCs w:val="24"/>
            </w:rPr>
          </w:pPr>
          <w:r w:rsidRPr="0020113A">
            <w:rPr>
              <w:rFonts w:ascii="Times New Roman" w:hAnsi="Times New Roman"/>
              <w:b/>
              <w:sz w:val="24"/>
              <w:szCs w:val="24"/>
            </w:rPr>
            <w:t>Adiciones o modificaciones en tiempo</w:t>
          </w:r>
        </w:p>
        <w:p w14:paraId="0CC08549" w14:textId="77777777" w:rsidR="007803E3" w:rsidRPr="0020113A" w:rsidRDefault="007803E3" w:rsidP="007803E3">
          <w:pPr>
            <w:autoSpaceDE w:val="0"/>
            <w:autoSpaceDN w:val="0"/>
            <w:adjustRightInd w:val="0"/>
            <w:spacing w:after="0" w:line="240" w:lineRule="auto"/>
            <w:ind w:firstLine="708"/>
            <w:jc w:val="center"/>
            <w:rPr>
              <w:rFonts w:ascii="Times New Roman" w:hAnsi="Times New Roman"/>
              <w:sz w:val="24"/>
              <w:szCs w:val="24"/>
            </w:rPr>
          </w:pPr>
        </w:p>
        <w:tbl>
          <w:tblPr>
            <w:tblStyle w:val="Tablaconcuadrcula"/>
            <w:tblW w:w="0" w:type="auto"/>
            <w:tblInd w:w="720" w:type="dxa"/>
            <w:tblLook w:val="04A0" w:firstRow="1" w:lastRow="0" w:firstColumn="1" w:lastColumn="0" w:noHBand="0" w:noVBand="1"/>
          </w:tblPr>
          <w:tblGrid>
            <w:gridCol w:w="2443"/>
            <w:gridCol w:w="3338"/>
            <w:gridCol w:w="2327"/>
          </w:tblGrid>
          <w:tr w:rsidR="007803E3" w:rsidRPr="00CB38EE" w14:paraId="379B92B7" w14:textId="77777777" w:rsidTr="006D6444">
            <w:tc>
              <w:tcPr>
                <w:tcW w:w="2443" w:type="dxa"/>
              </w:tcPr>
              <w:p w14:paraId="50C60B19" w14:textId="77777777" w:rsidR="007803E3" w:rsidRPr="00CB38EE" w:rsidRDefault="007803E3" w:rsidP="006D6444">
                <w:pPr>
                  <w:pStyle w:val="Default"/>
                  <w:jc w:val="center"/>
                  <w:rPr>
                    <w:rFonts w:ascii="Times New Roman" w:hAnsi="Times New Roman" w:cs="Times New Roman"/>
                    <w:color w:val="auto"/>
                    <w:sz w:val="16"/>
                    <w:szCs w:val="16"/>
                  </w:rPr>
                </w:pPr>
                <w:r w:rsidRPr="00CB38EE">
                  <w:rPr>
                    <w:rFonts w:ascii="Times New Roman" w:hAnsi="Times New Roman" w:cs="Times New Roman"/>
                    <w:b/>
                    <w:color w:val="auto"/>
                    <w:sz w:val="16"/>
                    <w:szCs w:val="16"/>
                  </w:rPr>
                  <w:t>Fechas de las adiciones o modificaciones</w:t>
                </w:r>
              </w:p>
              <w:p w14:paraId="58A4A628" w14:textId="77777777" w:rsidR="007803E3" w:rsidRPr="00CB38EE" w:rsidRDefault="007803E3" w:rsidP="006D6444">
                <w:pPr>
                  <w:pStyle w:val="Prrafodelista"/>
                  <w:ind w:left="0"/>
                  <w:jc w:val="center"/>
                  <w:rPr>
                    <w:rFonts w:ascii="Times New Roman" w:hAnsi="Times New Roman"/>
                    <w:sz w:val="16"/>
                    <w:szCs w:val="16"/>
                    <w:lang w:val="es-MX"/>
                  </w:rPr>
                </w:pPr>
              </w:p>
            </w:tc>
            <w:tc>
              <w:tcPr>
                <w:tcW w:w="3338" w:type="dxa"/>
              </w:tcPr>
              <w:p w14:paraId="3F8731D6" w14:textId="77777777" w:rsidR="007803E3" w:rsidRPr="00CB38EE" w:rsidRDefault="007803E3" w:rsidP="006D6444">
                <w:pPr>
                  <w:pStyle w:val="Default"/>
                  <w:jc w:val="center"/>
                  <w:rPr>
                    <w:rFonts w:ascii="Times New Roman" w:hAnsi="Times New Roman" w:cs="Times New Roman"/>
                    <w:color w:val="auto"/>
                    <w:sz w:val="16"/>
                    <w:szCs w:val="16"/>
                  </w:rPr>
                </w:pPr>
                <w:r w:rsidRPr="00CB38EE">
                  <w:rPr>
                    <w:rFonts w:ascii="Times New Roman" w:hAnsi="Times New Roman" w:cs="Times New Roman"/>
                    <w:b/>
                    <w:color w:val="auto"/>
                    <w:sz w:val="16"/>
                    <w:szCs w:val="16"/>
                  </w:rPr>
                  <w:t>Nueva fecha de finalización estimada</w:t>
                </w:r>
              </w:p>
              <w:p w14:paraId="408FA866" w14:textId="77777777" w:rsidR="007803E3" w:rsidRPr="00CB38EE" w:rsidRDefault="007803E3" w:rsidP="006D6444">
                <w:pPr>
                  <w:pStyle w:val="Prrafodelista"/>
                  <w:ind w:left="0"/>
                  <w:jc w:val="center"/>
                  <w:rPr>
                    <w:rFonts w:ascii="Times New Roman" w:hAnsi="Times New Roman"/>
                    <w:sz w:val="16"/>
                    <w:szCs w:val="16"/>
                    <w:lang w:val="es-MX"/>
                  </w:rPr>
                </w:pPr>
              </w:p>
            </w:tc>
            <w:tc>
              <w:tcPr>
                <w:tcW w:w="2327" w:type="dxa"/>
              </w:tcPr>
              <w:p w14:paraId="623C19BC" w14:textId="77777777" w:rsidR="007803E3" w:rsidRPr="00CB38EE" w:rsidRDefault="007803E3" w:rsidP="006D6444">
                <w:pPr>
                  <w:pStyle w:val="Default"/>
                  <w:jc w:val="center"/>
                  <w:rPr>
                    <w:rFonts w:ascii="Times New Roman" w:hAnsi="Times New Roman" w:cs="Times New Roman"/>
                    <w:color w:val="auto"/>
                    <w:sz w:val="16"/>
                    <w:szCs w:val="16"/>
                  </w:rPr>
                </w:pPr>
                <w:r w:rsidRPr="00CB38EE">
                  <w:rPr>
                    <w:rFonts w:ascii="Times New Roman" w:hAnsi="Times New Roman" w:cs="Times New Roman"/>
                    <w:b/>
                    <w:color w:val="auto"/>
                    <w:sz w:val="16"/>
                    <w:szCs w:val="16"/>
                  </w:rPr>
                  <w:t>Observaciones</w:t>
                </w:r>
              </w:p>
              <w:p w14:paraId="36B4227B" w14:textId="77777777" w:rsidR="007803E3" w:rsidRPr="00CB38EE" w:rsidRDefault="007803E3" w:rsidP="006D6444">
                <w:pPr>
                  <w:pStyle w:val="Prrafodelista"/>
                  <w:ind w:left="0"/>
                  <w:jc w:val="center"/>
                  <w:rPr>
                    <w:rFonts w:ascii="Times New Roman" w:hAnsi="Times New Roman"/>
                    <w:sz w:val="16"/>
                    <w:szCs w:val="16"/>
                    <w:lang w:val="es-MX"/>
                  </w:rPr>
                </w:pPr>
              </w:p>
            </w:tc>
          </w:tr>
          <w:tr w:rsidR="007803E3" w:rsidRPr="00CB38EE" w14:paraId="51F6653D" w14:textId="77777777" w:rsidTr="006D6444">
            <w:trPr>
              <w:trHeight w:val="244"/>
            </w:trPr>
            <w:tc>
              <w:tcPr>
                <w:tcW w:w="0" w:type="auto"/>
              </w:tcPr>
              <w:p w14:paraId="66583BA3" w14:textId="77777777" w:rsidR="007803E3" w:rsidRPr="00CB38EE" w:rsidRDefault="007803E3" w:rsidP="006D6444">
                <w:pPr>
                  <w:pStyle w:val="Default"/>
                  <w:rPr>
                    <w:rFonts w:ascii="Times New Roman" w:hAnsi="Times New Roman" w:cs="Times New Roman"/>
                    <w:color w:val="auto"/>
                    <w:sz w:val="16"/>
                    <w:szCs w:val="16"/>
                  </w:rPr>
                </w:pPr>
                <w:r w:rsidRPr="00CB38EE">
                  <w:rPr>
                    <w:rFonts w:ascii="Times New Roman" w:hAnsi="Times New Roman" w:cs="Times New Roman"/>
                    <w:color w:val="auto"/>
                    <w:sz w:val="16"/>
                    <w:szCs w:val="16"/>
                  </w:rPr>
                  <w:t xml:space="preserve">11 de diciembre de 2015 </w:t>
                </w:r>
              </w:p>
            </w:tc>
            <w:tc>
              <w:tcPr>
                <w:tcW w:w="0" w:type="auto"/>
              </w:tcPr>
              <w:p w14:paraId="61F4CF27" w14:textId="77777777" w:rsidR="007803E3" w:rsidRPr="00CB38EE" w:rsidRDefault="007803E3" w:rsidP="006D6444">
                <w:pPr>
                  <w:pStyle w:val="Default"/>
                  <w:rPr>
                    <w:rFonts w:ascii="Times New Roman" w:hAnsi="Times New Roman" w:cs="Times New Roman"/>
                    <w:color w:val="auto"/>
                    <w:sz w:val="16"/>
                    <w:szCs w:val="16"/>
                  </w:rPr>
                </w:pPr>
                <w:r w:rsidRPr="00CB38EE">
                  <w:rPr>
                    <w:rFonts w:ascii="Times New Roman" w:hAnsi="Times New Roman" w:cs="Times New Roman"/>
                    <w:color w:val="auto"/>
                    <w:sz w:val="16"/>
                    <w:szCs w:val="16"/>
                  </w:rPr>
                  <w:t xml:space="preserve">24 de junio de 2024 </w:t>
                </w:r>
              </w:p>
            </w:tc>
            <w:tc>
              <w:tcPr>
                <w:tcW w:w="0" w:type="auto"/>
              </w:tcPr>
              <w:p w14:paraId="07BBFD70" w14:textId="77777777" w:rsidR="007803E3" w:rsidRPr="00CB38EE" w:rsidRDefault="007803E3" w:rsidP="006D6444">
                <w:pPr>
                  <w:pStyle w:val="Default"/>
                  <w:rPr>
                    <w:rFonts w:ascii="Times New Roman" w:hAnsi="Times New Roman" w:cs="Times New Roman"/>
                    <w:color w:val="auto"/>
                    <w:sz w:val="16"/>
                    <w:szCs w:val="16"/>
                  </w:rPr>
                </w:pPr>
                <w:r w:rsidRPr="00CB38EE">
                  <w:rPr>
                    <w:rFonts w:ascii="Times New Roman" w:hAnsi="Times New Roman" w:cs="Times New Roman"/>
                    <w:color w:val="auto"/>
                    <w:sz w:val="16"/>
                    <w:szCs w:val="16"/>
                  </w:rPr>
                  <w:t xml:space="preserve">Otrosí No. 7 al Contrato </w:t>
                </w:r>
              </w:p>
            </w:tc>
          </w:tr>
        </w:tbl>
        <w:p w14:paraId="7496ADCC" w14:textId="77777777" w:rsidR="007803E3" w:rsidRPr="0020113A" w:rsidRDefault="007803E3" w:rsidP="007803E3">
          <w:pPr>
            <w:rPr>
              <w:rFonts w:ascii="Times New Roman" w:hAnsi="Times New Roman"/>
              <w:b/>
              <w:sz w:val="24"/>
              <w:szCs w:val="24"/>
              <w:lang w:val="es-MX"/>
            </w:rPr>
          </w:pPr>
        </w:p>
        <w:p w14:paraId="5E176319" w14:textId="77777777" w:rsidR="007803E3" w:rsidRPr="0020113A" w:rsidRDefault="007803E3" w:rsidP="007803E3">
          <w:pPr>
            <w:autoSpaceDE w:val="0"/>
            <w:autoSpaceDN w:val="0"/>
            <w:adjustRightInd w:val="0"/>
            <w:spacing w:after="0" w:line="240" w:lineRule="auto"/>
            <w:ind w:firstLine="708"/>
            <w:jc w:val="center"/>
            <w:rPr>
              <w:rFonts w:ascii="Times New Roman" w:hAnsi="Times New Roman"/>
              <w:b/>
              <w:sz w:val="24"/>
              <w:szCs w:val="24"/>
            </w:rPr>
          </w:pPr>
          <w:r w:rsidRPr="0020113A">
            <w:rPr>
              <w:rFonts w:ascii="Times New Roman" w:hAnsi="Times New Roman"/>
              <w:b/>
              <w:sz w:val="24"/>
              <w:szCs w:val="24"/>
            </w:rPr>
            <w:t>Adiciones o modificaciones en valor</w:t>
          </w:r>
        </w:p>
        <w:p w14:paraId="42418B93" w14:textId="77777777" w:rsidR="007803E3" w:rsidRPr="0020113A" w:rsidRDefault="007803E3" w:rsidP="007803E3">
          <w:pPr>
            <w:autoSpaceDE w:val="0"/>
            <w:autoSpaceDN w:val="0"/>
            <w:adjustRightInd w:val="0"/>
            <w:spacing w:after="0" w:line="240" w:lineRule="auto"/>
            <w:ind w:firstLine="708"/>
            <w:jc w:val="center"/>
            <w:rPr>
              <w:rFonts w:ascii="Times New Roman" w:hAnsi="Times New Roman"/>
              <w:b/>
              <w:sz w:val="24"/>
              <w:szCs w:val="24"/>
            </w:rPr>
          </w:pPr>
        </w:p>
        <w:tbl>
          <w:tblPr>
            <w:tblStyle w:val="Tablaconcuadrcula"/>
            <w:tblW w:w="0" w:type="auto"/>
            <w:tblInd w:w="720" w:type="dxa"/>
            <w:tblLook w:val="04A0" w:firstRow="1" w:lastRow="0" w:firstColumn="1" w:lastColumn="0" w:noHBand="0" w:noVBand="1"/>
          </w:tblPr>
          <w:tblGrid>
            <w:gridCol w:w="2311"/>
            <w:gridCol w:w="3605"/>
            <w:gridCol w:w="2333"/>
          </w:tblGrid>
          <w:tr w:rsidR="007803E3" w:rsidRPr="00CB38EE" w14:paraId="2BD1F6F8" w14:textId="77777777" w:rsidTr="006D6444">
            <w:trPr>
              <w:trHeight w:val="245"/>
            </w:trPr>
            <w:tc>
              <w:tcPr>
                <w:tcW w:w="0" w:type="auto"/>
              </w:tcPr>
              <w:p w14:paraId="679469E8" w14:textId="77777777" w:rsidR="007803E3" w:rsidRPr="00CB38EE" w:rsidRDefault="007803E3" w:rsidP="006D6444">
                <w:pPr>
                  <w:autoSpaceDE w:val="0"/>
                  <w:autoSpaceDN w:val="0"/>
                  <w:adjustRightInd w:val="0"/>
                  <w:jc w:val="center"/>
                  <w:rPr>
                    <w:rFonts w:ascii="Times New Roman" w:hAnsi="Times New Roman"/>
                    <w:sz w:val="16"/>
                    <w:szCs w:val="16"/>
                  </w:rPr>
                </w:pPr>
                <w:r w:rsidRPr="00CB38EE">
                  <w:rPr>
                    <w:rFonts w:ascii="Times New Roman" w:hAnsi="Times New Roman"/>
                    <w:b/>
                    <w:sz w:val="16"/>
                    <w:szCs w:val="16"/>
                  </w:rPr>
                  <w:t>Valor de la adición o modificación</w:t>
                </w:r>
              </w:p>
            </w:tc>
            <w:tc>
              <w:tcPr>
                <w:tcW w:w="0" w:type="auto"/>
              </w:tcPr>
              <w:p w14:paraId="43AFCB83" w14:textId="77777777" w:rsidR="007803E3" w:rsidRPr="00CB38EE" w:rsidRDefault="007803E3" w:rsidP="006D6444">
                <w:pPr>
                  <w:autoSpaceDE w:val="0"/>
                  <w:autoSpaceDN w:val="0"/>
                  <w:adjustRightInd w:val="0"/>
                  <w:jc w:val="center"/>
                  <w:rPr>
                    <w:rFonts w:ascii="Times New Roman" w:hAnsi="Times New Roman"/>
                    <w:sz w:val="16"/>
                    <w:szCs w:val="16"/>
                  </w:rPr>
                </w:pPr>
                <w:r w:rsidRPr="00CB38EE">
                  <w:rPr>
                    <w:rFonts w:ascii="Times New Roman" w:hAnsi="Times New Roman"/>
                    <w:b/>
                    <w:sz w:val="16"/>
                    <w:szCs w:val="16"/>
                  </w:rPr>
                  <w:t>Nuevo valor del acuerdo</w:t>
                </w:r>
              </w:p>
            </w:tc>
            <w:tc>
              <w:tcPr>
                <w:tcW w:w="0" w:type="auto"/>
              </w:tcPr>
              <w:p w14:paraId="4A1F3F73" w14:textId="77777777" w:rsidR="007803E3" w:rsidRPr="00CB38EE" w:rsidRDefault="007803E3" w:rsidP="006D6444">
                <w:pPr>
                  <w:autoSpaceDE w:val="0"/>
                  <w:autoSpaceDN w:val="0"/>
                  <w:adjustRightInd w:val="0"/>
                  <w:jc w:val="center"/>
                  <w:rPr>
                    <w:rFonts w:ascii="Times New Roman" w:hAnsi="Times New Roman"/>
                    <w:sz w:val="16"/>
                    <w:szCs w:val="16"/>
                  </w:rPr>
                </w:pPr>
                <w:r w:rsidRPr="00CB38EE">
                  <w:rPr>
                    <w:rFonts w:ascii="Times New Roman" w:hAnsi="Times New Roman"/>
                    <w:b/>
                    <w:sz w:val="16"/>
                    <w:szCs w:val="16"/>
                  </w:rPr>
                  <w:t>Observaciones</w:t>
                </w:r>
              </w:p>
            </w:tc>
          </w:tr>
          <w:tr w:rsidR="007803E3" w:rsidRPr="00CB38EE" w14:paraId="01ED6757" w14:textId="77777777" w:rsidTr="006D6444">
            <w:trPr>
              <w:trHeight w:val="379"/>
            </w:trPr>
            <w:tc>
              <w:tcPr>
                <w:tcW w:w="0" w:type="auto"/>
              </w:tcPr>
              <w:p w14:paraId="30FC59EB" w14:textId="77777777" w:rsidR="007803E3" w:rsidRPr="00CB38EE" w:rsidRDefault="007803E3" w:rsidP="006D6444">
                <w:pPr>
                  <w:autoSpaceDE w:val="0"/>
                  <w:autoSpaceDN w:val="0"/>
                  <w:adjustRightInd w:val="0"/>
                  <w:rPr>
                    <w:rFonts w:ascii="Times New Roman" w:hAnsi="Times New Roman"/>
                    <w:sz w:val="16"/>
                    <w:szCs w:val="16"/>
                  </w:rPr>
                </w:pPr>
                <w:r w:rsidRPr="00CB38EE">
                  <w:rPr>
                    <w:rFonts w:ascii="Times New Roman" w:hAnsi="Times New Roman"/>
                    <w:sz w:val="16"/>
                    <w:szCs w:val="16"/>
                  </w:rPr>
                  <w:t xml:space="preserve">$70.399.452.287 </w:t>
                </w:r>
              </w:p>
              <w:p w14:paraId="5C124D55" w14:textId="77777777" w:rsidR="007803E3" w:rsidRPr="00CB38EE" w:rsidRDefault="007803E3" w:rsidP="006D6444">
                <w:pPr>
                  <w:autoSpaceDE w:val="0"/>
                  <w:autoSpaceDN w:val="0"/>
                  <w:adjustRightInd w:val="0"/>
                  <w:rPr>
                    <w:rFonts w:ascii="Times New Roman" w:hAnsi="Times New Roman"/>
                    <w:sz w:val="16"/>
                    <w:szCs w:val="16"/>
                  </w:rPr>
                </w:pPr>
                <w:r w:rsidRPr="00CB38EE">
                  <w:rPr>
                    <w:rFonts w:ascii="Times New Roman" w:hAnsi="Times New Roman"/>
                    <w:sz w:val="16"/>
                    <w:szCs w:val="16"/>
                  </w:rPr>
                  <w:t xml:space="preserve">Pesos de Dic-2005 </w:t>
                </w:r>
              </w:p>
            </w:tc>
            <w:tc>
              <w:tcPr>
                <w:tcW w:w="0" w:type="auto"/>
              </w:tcPr>
              <w:p w14:paraId="452DA23A" w14:textId="77777777" w:rsidR="007803E3" w:rsidRPr="00CB38EE" w:rsidRDefault="007803E3" w:rsidP="006D6444">
                <w:pPr>
                  <w:autoSpaceDE w:val="0"/>
                  <w:autoSpaceDN w:val="0"/>
                  <w:adjustRightInd w:val="0"/>
                  <w:rPr>
                    <w:rFonts w:ascii="Times New Roman" w:hAnsi="Times New Roman"/>
                    <w:sz w:val="16"/>
                    <w:szCs w:val="16"/>
                  </w:rPr>
                </w:pPr>
                <w:r w:rsidRPr="00CB38EE">
                  <w:rPr>
                    <w:rFonts w:ascii="Times New Roman" w:hAnsi="Times New Roman"/>
                    <w:sz w:val="16"/>
                    <w:szCs w:val="16"/>
                  </w:rPr>
                  <w:t xml:space="preserve">$519.621.162.123 Pesos de Dic-2005 </w:t>
                </w:r>
              </w:p>
            </w:tc>
            <w:tc>
              <w:tcPr>
                <w:tcW w:w="0" w:type="auto"/>
              </w:tcPr>
              <w:p w14:paraId="02B55793" w14:textId="77777777" w:rsidR="007803E3" w:rsidRPr="00CB38EE" w:rsidRDefault="007803E3" w:rsidP="006D6444">
                <w:pPr>
                  <w:autoSpaceDE w:val="0"/>
                  <w:autoSpaceDN w:val="0"/>
                  <w:adjustRightInd w:val="0"/>
                  <w:rPr>
                    <w:rFonts w:ascii="Times New Roman" w:hAnsi="Times New Roman"/>
                    <w:sz w:val="16"/>
                    <w:szCs w:val="16"/>
                  </w:rPr>
                </w:pPr>
                <w:r w:rsidRPr="00CB38EE">
                  <w:rPr>
                    <w:rFonts w:ascii="Times New Roman" w:hAnsi="Times New Roman"/>
                    <w:sz w:val="16"/>
                    <w:szCs w:val="16"/>
                  </w:rPr>
                  <w:t xml:space="preserve">Otrosí No 7 al Contrato de Concesión </w:t>
                </w:r>
              </w:p>
            </w:tc>
          </w:tr>
          <w:tr w:rsidR="007803E3" w:rsidRPr="00CB38EE" w14:paraId="6959AF64" w14:textId="77777777" w:rsidTr="006D6444">
            <w:trPr>
              <w:trHeight w:val="379"/>
            </w:trPr>
            <w:tc>
              <w:tcPr>
                <w:tcW w:w="0" w:type="auto"/>
              </w:tcPr>
              <w:p w14:paraId="0BA22C48" w14:textId="77777777" w:rsidR="007803E3" w:rsidRPr="00CB38EE" w:rsidRDefault="007803E3" w:rsidP="006D6444">
                <w:pPr>
                  <w:autoSpaceDE w:val="0"/>
                  <w:autoSpaceDN w:val="0"/>
                  <w:adjustRightInd w:val="0"/>
                  <w:rPr>
                    <w:rFonts w:ascii="Times New Roman" w:hAnsi="Times New Roman"/>
                    <w:sz w:val="16"/>
                    <w:szCs w:val="16"/>
                  </w:rPr>
                </w:pPr>
                <w:r w:rsidRPr="00CB38EE">
                  <w:rPr>
                    <w:rFonts w:ascii="Times New Roman" w:hAnsi="Times New Roman"/>
                    <w:sz w:val="16"/>
                    <w:szCs w:val="16"/>
                  </w:rPr>
                  <w:t xml:space="preserve">$7.293.590.421,00 </w:t>
                </w:r>
              </w:p>
              <w:p w14:paraId="67898F0E" w14:textId="77777777" w:rsidR="007803E3" w:rsidRPr="00CB38EE" w:rsidRDefault="007803E3" w:rsidP="006D6444">
                <w:pPr>
                  <w:autoSpaceDE w:val="0"/>
                  <w:autoSpaceDN w:val="0"/>
                  <w:adjustRightInd w:val="0"/>
                  <w:rPr>
                    <w:rFonts w:ascii="Times New Roman" w:hAnsi="Times New Roman"/>
                    <w:sz w:val="16"/>
                    <w:szCs w:val="16"/>
                  </w:rPr>
                </w:pPr>
                <w:r w:rsidRPr="00CB38EE">
                  <w:rPr>
                    <w:rFonts w:ascii="Times New Roman" w:hAnsi="Times New Roman"/>
                    <w:sz w:val="16"/>
                    <w:szCs w:val="16"/>
                  </w:rPr>
                  <w:t xml:space="preserve">Pesos corrientes </w:t>
                </w:r>
              </w:p>
            </w:tc>
            <w:tc>
              <w:tcPr>
                <w:tcW w:w="0" w:type="auto"/>
              </w:tcPr>
              <w:p w14:paraId="2341FA8D" w14:textId="77777777" w:rsidR="007803E3" w:rsidRPr="00CB38EE" w:rsidRDefault="007803E3" w:rsidP="006D6444">
                <w:pPr>
                  <w:autoSpaceDE w:val="0"/>
                  <w:autoSpaceDN w:val="0"/>
                  <w:adjustRightInd w:val="0"/>
                  <w:rPr>
                    <w:rFonts w:ascii="Times New Roman" w:hAnsi="Times New Roman"/>
                    <w:sz w:val="16"/>
                    <w:szCs w:val="16"/>
                  </w:rPr>
                </w:pPr>
                <w:r w:rsidRPr="00CB38EE">
                  <w:rPr>
                    <w:rFonts w:ascii="Times New Roman" w:hAnsi="Times New Roman"/>
                    <w:sz w:val="16"/>
                    <w:szCs w:val="16"/>
                  </w:rPr>
                  <w:t xml:space="preserve">No se modifica sigue en $519.621.162.123 Pesos de Dic-2005 </w:t>
                </w:r>
              </w:p>
            </w:tc>
            <w:tc>
              <w:tcPr>
                <w:tcW w:w="0" w:type="auto"/>
              </w:tcPr>
              <w:p w14:paraId="3535BB28" w14:textId="77777777" w:rsidR="007803E3" w:rsidRPr="00CB38EE" w:rsidRDefault="007803E3" w:rsidP="006D6444">
                <w:pPr>
                  <w:autoSpaceDE w:val="0"/>
                  <w:autoSpaceDN w:val="0"/>
                  <w:adjustRightInd w:val="0"/>
                  <w:rPr>
                    <w:rFonts w:ascii="Times New Roman" w:hAnsi="Times New Roman"/>
                    <w:sz w:val="16"/>
                    <w:szCs w:val="16"/>
                  </w:rPr>
                </w:pPr>
                <w:r w:rsidRPr="00CB38EE">
                  <w:rPr>
                    <w:rFonts w:ascii="Times New Roman" w:hAnsi="Times New Roman"/>
                    <w:sz w:val="16"/>
                    <w:szCs w:val="16"/>
                  </w:rPr>
                  <w:t xml:space="preserve">Otrosí No 8 al Contrato de Concesión </w:t>
                </w:r>
              </w:p>
            </w:tc>
          </w:tr>
        </w:tbl>
        <w:p w14:paraId="30AA8292" w14:textId="77777777" w:rsidR="007803E3" w:rsidRPr="0020113A" w:rsidRDefault="007803E3" w:rsidP="007803E3">
          <w:pPr>
            <w:rPr>
              <w:rFonts w:ascii="Times New Roman" w:hAnsi="Times New Roman"/>
              <w:b/>
              <w:sz w:val="24"/>
              <w:szCs w:val="24"/>
              <w:lang w:val="es-MX"/>
            </w:rPr>
          </w:pPr>
        </w:p>
        <w:p w14:paraId="3E154C60" w14:textId="77777777" w:rsidR="00CB38EE" w:rsidRPr="0020113A" w:rsidRDefault="00CB38EE" w:rsidP="007803E3">
          <w:pPr>
            <w:rPr>
              <w:rFonts w:ascii="Times New Roman" w:hAnsi="Times New Roman"/>
              <w:b/>
              <w:sz w:val="24"/>
              <w:szCs w:val="24"/>
              <w:lang w:val="es-MX"/>
            </w:rPr>
          </w:pPr>
        </w:p>
        <w:p w14:paraId="185FDC74" w14:textId="77777777" w:rsidR="007803E3" w:rsidRPr="0020113A" w:rsidRDefault="007803E3" w:rsidP="007803E3">
          <w:pPr>
            <w:pStyle w:val="paragraph"/>
            <w:spacing w:before="0" w:beforeAutospacing="0" w:after="0" w:afterAutospacing="0"/>
            <w:jc w:val="both"/>
            <w:textAlignment w:val="baseline"/>
            <w:rPr>
              <w:rStyle w:val="normaltextrun"/>
              <w:b/>
              <w:lang w:val="es-MX"/>
            </w:rPr>
          </w:pPr>
          <w:r w:rsidRPr="0020113A">
            <w:rPr>
              <w:rStyle w:val="normaltextrun"/>
              <w:b/>
              <w:lang w:val="es-MX"/>
            </w:rPr>
            <w:t>GIRARDOT – CAJAMARCA (GICA IP)</w:t>
          </w:r>
        </w:p>
        <w:p w14:paraId="30991792" w14:textId="77777777" w:rsidR="007803E3" w:rsidRPr="0020113A" w:rsidRDefault="007803E3" w:rsidP="007803E3">
          <w:pPr>
            <w:pStyle w:val="paragraph"/>
            <w:spacing w:before="0" w:beforeAutospacing="0" w:after="0" w:afterAutospacing="0"/>
            <w:jc w:val="both"/>
            <w:textAlignment w:val="baseline"/>
          </w:pPr>
        </w:p>
        <w:p w14:paraId="7C2A162D" w14:textId="77777777" w:rsidR="007803E3" w:rsidRPr="0020113A" w:rsidRDefault="007803E3" w:rsidP="00E60BAB">
          <w:pPr>
            <w:pStyle w:val="paragraph"/>
            <w:numPr>
              <w:ilvl w:val="0"/>
              <w:numId w:val="93"/>
            </w:numPr>
            <w:spacing w:before="0" w:beforeAutospacing="0" w:after="0" w:afterAutospacing="0"/>
            <w:jc w:val="both"/>
            <w:textAlignment w:val="baseline"/>
            <w:rPr>
              <w:rStyle w:val="eop"/>
            </w:rPr>
          </w:pPr>
          <w:r w:rsidRPr="0020113A">
            <w:rPr>
              <w:rStyle w:val="normaltextrun"/>
              <w:lang w:val="es-MX"/>
            </w:rPr>
            <w:t> </w:t>
          </w:r>
          <w:r w:rsidRPr="0020113A">
            <w:rPr>
              <w:rStyle w:val="normaltextrun"/>
              <w:b/>
              <w:bCs/>
              <w:lang w:val="es-MX"/>
            </w:rPr>
            <w:t>Descripción del acuerdo </w:t>
          </w:r>
          <w:r w:rsidRPr="0020113A">
            <w:rPr>
              <w:rStyle w:val="normaltextrun"/>
              <w:lang w:val="es-MX"/>
            </w:rPr>
            <w:t> </w:t>
          </w:r>
          <w:r w:rsidRPr="0020113A">
            <w:rPr>
              <w:rStyle w:val="eop"/>
            </w:rPr>
            <w:t> </w:t>
          </w:r>
        </w:p>
        <w:p w14:paraId="75A1A9E4" w14:textId="77777777" w:rsidR="007803E3" w:rsidRPr="0020113A" w:rsidRDefault="007803E3" w:rsidP="007803E3">
          <w:pPr>
            <w:pStyle w:val="paragraph"/>
            <w:spacing w:before="0" w:beforeAutospacing="0" w:after="0" w:afterAutospacing="0"/>
            <w:ind w:left="720"/>
            <w:jc w:val="both"/>
            <w:textAlignment w:val="baseline"/>
          </w:pPr>
        </w:p>
        <w:p w14:paraId="55FF7F3F" w14:textId="6574DE67" w:rsidR="007803E3" w:rsidRPr="0020113A" w:rsidRDefault="007803E3" w:rsidP="007803E3">
          <w:pPr>
            <w:spacing w:after="0" w:line="240" w:lineRule="auto"/>
            <w:rPr>
              <w:rFonts w:ascii="Times New Roman" w:hAnsi="Times New Roman"/>
              <w:sz w:val="24"/>
              <w:szCs w:val="24"/>
            </w:rPr>
          </w:pPr>
          <w:r w:rsidRPr="0020113A">
            <w:rPr>
              <w:rStyle w:val="normaltextrun"/>
              <w:rFonts w:ascii="Times New Roman" w:hAnsi="Times New Roman"/>
              <w:b/>
              <w:bCs/>
              <w:sz w:val="24"/>
              <w:szCs w:val="24"/>
              <w:lang w:val="es-MX"/>
            </w:rPr>
            <w:t xml:space="preserve">Número del acuerdo de concesión: </w:t>
          </w:r>
          <w:sdt>
            <w:sdtPr>
              <w:rPr>
                <w:rStyle w:val="Estilo3"/>
              </w:rPr>
              <w:id w:val="-1197532590"/>
              <w:placeholder>
                <w:docPart w:val="11A6797B82AA466D9C544DD0C4235549"/>
              </w:placeholder>
            </w:sdtPr>
            <w:sdtEndPr>
              <w:rPr>
                <w:rStyle w:val="Fuentedeprrafopredeter"/>
                <w:rFonts w:ascii="Calibri" w:hAnsi="Calibri"/>
                <w:sz w:val="22"/>
              </w:rPr>
            </w:sdtEndPr>
            <w:sdtContent>
              <w:r w:rsidRPr="0020113A">
                <w:rPr>
                  <w:rFonts w:ascii="Times New Roman" w:hAnsi="Times New Roman"/>
                  <w:sz w:val="24"/>
                  <w:szCs w:val="24"/>
                </w:rPr>
                <w:t>APP No 002 de 2015</w:t>
              </w:r>
            </w:sdtContent>
          </w:sdt>
        </w:p>
        <w:p w14:paraId="2930C385" w14:textId="06255E16" w:rsidR="007803E3" w:rsidRPr="0020113A" w:rsidRDefault="007803E3" w:rsidP="2EBECF5A">
          <w:pPr>
            <w:spacing w:after="0"/>
            <w:jc w:val="both"/>
            <w:rPr>
              <w:rFonts w:ascii="Times New Roman" w:hAnsi="Times New Roman"/>
              <w:sz w:val="24"/>
              <w:szCs w:val="24"/>
            </w:rPr>
          </w:pPr>
          <w:r w:rsidRPr="0020113A">
            <w:rPr>
              <w:rStyle w:val="normaltextrun"/>
              <w:rFonts w:ascii="Times New Roman" w:hAnsi="Times New Roman"/>
              <w:b/>
              <w:bCs/>
              <w:sz w:val="24"/>
              <w:szCs w:val="24"/>
              <w:lang w:val="es-MX"/>
            </w:rPr>
            <w:t xml:space="preserve">Objeto / Descripción:  </w:t>
          </w:r>
          <w:r w:rsidRPr="0020113A">
            <w:rPr>
              <w:rStyle w:val="normaltextrun"/>
              <w:rFonts w:ascii="Times New Roman" w:eastAsia="Times New Roman" w:hAnsi="Times New Roman"/>
              <w:sz w:val="24"/>
              <w:szCs w:val="24"/>
              <w:lang w:val="es-MX" w:eastAsia="es-CO"/>
            </w:rPr>
            <w:t>De conformidad con la sección 2.1 de la Parte General del Contrato, el objeto es: “El presente Contrato de concesión bajo un esquema de asociación público</w:t>
          </w:r>
          <w:r w:rsidR="00F61C4C" w:rsidRPr="2EBECF5A">
            <w:rPr>
              <w:rStyle w:val="normaltextrun"/>
              <w:rFonts w:ascii="Times New Roman" w:eastAsia="Times New Roman" w:hAnsi="Times New Roman"/>
              <w:sz w:val="24"/>
              <w:szCs w:val="24"/>
              <w:lang w:val="es-MX" w:eastAsia="es-CO"/>
            </w:rPr>
            <w:t>-</w:t>
          </w:r>
          <w:r w:rsidRPr="0020113A">
            <w:rPr>
              <w:rStyle w:val="normaltextrun"/>
              <w:rFonts w:ascii="Times New Roman" w:eastAsia="Times New Roman" w:hAnsi="Times New Roman"/>
              <w:sz w:val="24"/>
              <w:szCs w:val="24"/>
              <w:lang w:val="es-MX" w:eastAsia="es-CO"/>
            </w:rPr>
            <w:t xml:space="preserve">privada de Iniciativa Privada en los términos de la Ley 1508 de 2012, tiene por objeto el otorgamiento de una concesión para que, de conformidad con lo previsto en este Contrato, el Concesionario, por su cuenta y riesgo, lleve a cabo el Proyecto. El alcance físico del Proyecto se describe en la Parte Especial y en el Apéndice Técnico 1.” Así mismo, de acuerdo con lo dispuesto en la sección 3.2 de la Parte Especial del Contrato, el alcance es: “De conformidad con el Objeto del Contrato dispuesto en la Parte General el alcance del Contrato corresponde a los Estudios, diseños, construcción, operación, mantenimiento, gestión social, predial y ambiental de la segunda calzada de la vía Ibagué – Cajamarca; y la operación y mantenimiento del sistema vial Variante Chicoral, Variante Gualanday, Gualanday -Ibagué, Gualanday – </w:t>
          </w:r>
          <w:r w:rsidRPr="0020113A">
            <w:rPr>
              <w:rStyle w:val="normaltextrun"/>
              <w:rFonts w:ascii="Times New Roman" w:eastAsia="Times New Roman" w:hAnsi="Times New Roman"/>
              <w:sz w:val="24"/>
              <w:szCs w:val="24"/>
              <w:lang w:val="es-MX" w:eastAsia="es-CO"/>
            </w:rPr>
            <w:lastRenderedPageBreak/>
            <w:t>Espinal, Variante Picaleña, Ramal Norte y trazado existente Ibagué-Cajamarca, de acuerdo con el Apéndice Técnico 1 y demás Apéndices del Contrato</w:t>
          </w:r>
          <w:r w:rsidRPr="0020113A">
            <w:rPr>
              <w:rFonts w:ascii="Times New Roman" w:hAnsi="Times New Roman"/>
              <w:sz w:val="24"/>
              <w:szCs w:val="24"/>
            </w:rPr>
            <w:t xml:space="preserve"> </w:t>
          </w:r>
        </w:p>
        <w:p w14:paraId="4EC9883A" w14:textId="337257A7" w:rsidR="007803E3" w:rsidRPr="0020113A" w:rsidRDefault="007803E3" w:rsidP="007803E3">
          <w:pPr>
            <w:pStyle w:val="paragraph"/>
            <w:spacing w:before="0" w:beforeAutospacing="0" w:after="0" w:afterAutospacing="0"/>
            <w:jc w:val="both"/>
            <w:textAlignment w:val="baseline"/>
            <w:rPr>
              <w:rStyle w:val="normaltextrun"/>
              <w:b/>
              <w:bCs/>
              <w:lang w:val="es-MX"/>
            </w:rPr>
          </w:pPr>
          <w:r w:rsidRPr="0020113A">
            <w:rPr>
              <w:rStyle w:val="normaltextrun"/>
              <w:b/>
              <w:bCs/>
              <w:lang w:val="es-MX"/>
            </w:rPr>
            <w:t xml:space="preserve">Valor inicial: </w:t>
          </w:r>
          <w:r w:rsidRPr="0020113A">
            <w:rPr>
              <w:rStyle w:val="normaltextrun"/>
              <w:lang w:val="es-MX"/>
            </w:rPr>
            <w:t>El valor inicial del Contrato era de Un Billón Ochocientos sesenta mil seiscientos cuarenta y nueve millones quinientos ochenta y seis mil quinientos treinta y un pesos ($1.860.649.586.531.) del Mes de Referencia (Diciembre 2012), el cual fue modificado en la Cláusula Decima del Otrosí No. 1 al Contrato, quedando en Un Billón ochocientos diez mil trescientos noventa y dos millones ($1.810.392.000.000.) del Mes de Referencia</w:t>
          </w:r>
        </w:p>
        <w:p w14:paraId="435078BD" w14:textId="4B3CD867" w:rsidR="007803E3" w:rsidRPr="0020113A" w:rsidRDefault="007803E3" w:rsidP="007803E3">
          <w:pPr>
            <w:pStyle w:val="paragraph"/>
            <w:spacing w:before="0" w:beforeAutospacing="0" w:after="0" w:afterAutospacing="0"/>
            <w:jc w:val="both"/>
            <w:textAlignment w:val="baseline"/>
            <w:rPr>
              <w:rStyle w:val="eop"/>
            </w:rPr>
          </w:pPr>
          <w:r w:rsidRPr="0020113A">
            <w:rPr>
              <w:rStyle w:val="normaltextrun"/>
              <w:b/>
              <w:bCs/>
              <w:lang w:val="es-MX"/>
            </w:rPr>
            <w:t xml:space="preserve">Fecha de inicio: </w:t>
          </w:r>
          <w:r w:rsidRPr="0020113A">
            <w:rPr>
              <w:rStyle w:val="normaltextrun"/>
              <w:lang w:val="es-MX"/>
            </w:rPr>
            <w:t>15/04/2015 </w:t>
          </w:r>
          <w:r w:rsidRPr="0020113A">
            <w:rPr>
              <w:rStyle w:val="eop"/>
            </w:rPr>
            <w:t> </w:t>
          </w:r>
        </w:p>
        <w:p w14:paraId="5EB6E771" w14:textId="77777777" w:rsidR="007803E3" w:rsidRPr="0020113A" w:rsidRDefault="007803E3" w:rsidP="007803E3">
          <w:pPr>
            <w:pStyle w:val="paragraph"/>
            <w:spacing w:before="0" w:beforeAutospacing="0" w:after="0" w:afterAutospacing="0"/>
            <w:jc w:val="both"/>
            <w:textAlignment w:val="baseline"/>
          </w:pPr>
          <w:r w:rsidRPr="0020113A">
            <w:rPr>
              <w:rStyle w:val="normaltextrun"/>
              <w:b/>
              <w:bCs/>
              <w:lang w:val="es-MX"/>
            </w:rPr>
            <w:t xml:space="preserve">Fecha de finalización estimada: </w:t>
          </w:r>
          <w:r w:rsidRPr="0020113A">
            <w:rPr>
              <w:rStyle w:val="normaltextrun"/>
              <w:lang w:val="es-MX"/>
            </w:rPr>
            <w:t>30/09/2034 </w:t>
          </w:r>
          <w:r w:rsidRPr="0020113A">
            <w:rPr>
              <w:rStyle w:val="eop"/>
            </w:rPr>
            <w:t> </w:t>
          </w:r>
        </w:p>
        <w:p w14:paraId="1FCE6F5B" w14:textId="77777777" w:rsidR="007803E3" w:rsidRPr="0020113A" w:rsidRDefault="007803E3" w:rsidP="007803E3">
          <w:pPr>
            <w:pStyle w:val="paragraph"/>
            <w:spacing w:before="0" w:beforeAutospacing="0" w:after="0" w:afterAutospacing="0"/>
            <w:jc w:val="both"/>
            <w:textAlignment w:val="baseline"/>
          </w:pPr>
          <w:r w:rsidRPr="0020113A">
            <w:rPr>
              <w:rStyle w:val="normaltextrun"/>
              <w:b/>
              <w:bCs/>
              <w:lang w:val="es-MX"/>
            </w:rPr>
            <w:t>Tipo ID:</w:t>
          </w:r>
          <w:r w:rsidRPr="0020113A">
            <w:rPr>
              <w:rStyle w:val="normaltextrun"/>
              <w:lang w:val="es-MX"/>
            </w:rPr>
            <w:t xml:space="preserve"> NIT </w:t>
          </w:r>
          <w:r w:rsidRPr="0020113A">
            <w:rPr>
              <w:rStyle w:val="eop"/>
            </w:rPr>
            <w:t> </w:t>
          </w:r>
        </w:p>
        <w:p w14:paraId="0F1437B8" w14:textId="77777777" w:rsidR="007803E3" w:rsidRPr="0020113A" w:rsidRDefault="007803E3" w:rsidP="007803E3">
          <w:pPr>
            <w:pStyle w:val="paragraph"/>
            <w:spacing w:before="0" w:beforeAutospacing="0" w:after="0" w:afterAutospacing="0"/>
            <w:jc w:val="both"/>
            <w:textAlignment w:val="baseline"/>
            <w:rPr>
              <w:rStyle w:val="eop"/>
            </w:rPr>
          </w:pPr>
          <w:r w:rsidRPr="0020113A">
            <w:rPr>
              <w:rStyle w:val="normaltextrun"/>
              <w:b/>
              <w:bCs/>
              <w:lang w:val="es-MX"/>
            </w:rPr>
            <w:t xml:space="preserve">Número ID: </w:t>
          </w:r>
          <w:r w:rsidRPr="0020113A">
            <w:rPr>
              <w:rStyle w:val="normaltextrun"/>
              <w:lang w:val="es-MX"/>
            </w:rPr>
            <w:t>900.816.750-3</w:t>
          </w:r>
          <w:r w:rsidRPr="0020113A">
            <w:rPr>
              <w:rStyle w:val="eop"/>
            </w:rPr>
            <w:t> </w:t>
          </w:r>
        </w:p>
        <w:p w14:paraId="41E8DDD2" w14:textId="77777777" w:rsidR="007803E3" w:rsidRPr="0020113A" w:rsidRDefault="007803E3" w:rsidP="2935CAC4">
          <w:pPr>
            <w:spacing w:after="0"/>
            <w:rPr>
              <w:rFonts w:ascii="Times New Roman" w:hAnsi="Times New Roman"/>
              <w:sz w:val="24"/>
              <w:szCs w:val="24"/>
            </w:rPr>
          </w:pPr>
          <w:r w:rsidRPr="0020113A">
            <w:rPr>
              <w:rStyle w:val="normaltextrun"/>
              <w:rFonts w:ascii="Times New Roman" w:hAnsi="Times New Roman"/>
              <w:b/>
              <w:bCs/>
              <w:sz w:val="24"/>
              <w:szCs w:val="24"/>
              <w:lang w:val="es-MX"/>
            </w:rPr>
            <w:t xml:space="preserve">Razón social del concesionario: </w:t>
          </w:r>
          <w:r w:rsidRPr="0020113A">
            <w:rPr>
              <w:rStyle w:val="normaltextrun"/>
              <w:rFonts w:ascii="Times New Roman" w:eastAsia="Times New Roman" w:hAnsi="Times New Roman"/>
              <w:sz w:val="24"/>
              <w:szCs w:val="24"/>
              <w:lang w:val="es-MX" w:eastAsia="es-CO"/>
            </w:rPr>
            <w:t>Concesión APP GICA</w:t>
          </w:r>
        </w:p>
        <w:p w14:paraId="1D9295BC" w14:textId="77777777" w:rsidR="007803E3" w:rsidRPr="0020113A" w:rsidRDefault="007803E3" w:rsidP="007803E3">
          <w:pPr>
            <w:pStyle w:val="paragraph"/>
            <w:spacing w:before="0" w:beforeAutospacing="0" w:after="0" w:afterAutospacing="0"/>
            <w:jc w:val="both"/>
            <w:textAlignment w:val="baseline"/>
          </w:pPr>
          <w:r w:rsidRPr="0020113A">
            <w:rPr>
              <w:rStyle w:val="normaltextrun"/>
              <w:b/>
              <w:bCs/>
              <w:lang w:val="es-MX"/>
            </w:rPr>
            <w:t xml:space="preserve">Nombre del proyecto: </w:t>
          </w:r>
          <w:r w:rsidRPr="0020113A">
            <w:rPr>
              <w:rStyle w:val="normaltextrun"/>
              <w:lang w:val="es-MX"/>
            </w:rPr>
            <w:t>GICA IP</w:t>
          </w:r>
          <w:r w:rsidRPr="0020113A">
            <w:rPr>
              <w:rStyle w:val="eop"/>
            </w:rPr>
            <w:t> </w:t>
          </w:r>
        </w:p>
        <w:p w14:paraId="1B871BF9" w14:textId="77777777" w:rsidR="007803E3" w:rsidRPr="0020113A" w:rsidRDefault="007803E3" w:rsidP="007803E3">
          <w:pPr>
            <w:pStyle w:val="paragraph"/>
            <w:spacing w:before="0" w:beforeAutospacing="0" w:after="0" w:afterAutospacing="0"/>
            <w:jc w:val="both"/>
            <w:textAlignment w:val="baseline"/>
          </w:pPr>
          <w:r w:rsidRPr="0020113A">
            <w:rPr>
              <w:rStyle w:val="normaltextrun"/>
              <w:lang w:val="es-MX"/>
            </w:rPr>
            <w:t> </w:t>
          </w:r>
          <w:r w:rsidRPr="0020113A">
            <w:rPr>
              <w:rStyle w:val="eop"/>
            </w:rPr>
            <w:t> </w:t>
          </w:r>
        </w:p>
        <w:p w14:paraId="2948EEA8" w14:textId="77777777" w:rsidR="007803E3" w:rsidRPr="0020113A" w:rsidRDefault="007803E3" w:rsidP="00E60BAB">
          <w:pPr>
            <w:pStyle w:val="paragraph"/>
            <w:numPr>
              <w:ilvl w:val="0"/>
              <w:numId w:val="93"/>
            </w:numPr>
            <w:spacing w:before="0" w:beforeAutospacing="0" w:after="0" w:afterAutospacing="0"/>
            <w:jc w:val="both"/>
            <w:textAlignment w:val="baseline"/>
            <w:rPr>
              <w:rStyle w:val="eop"/>
            </w:rPr>
          </w:pPr>
          <w:r w:rsidRPr="0020113A">
            <w:rPr>
              <w:rStyle w:val="normaltextrun"/>
              <w:b/>
              <w:bCs/>
              <w:lang w:val="es-MX"/>
            </w:rPr>
            <w:t>Términos significativos del acuerdo que puedan afectar su valor, el calendario y la certeza de los flujos</w:t>
          </w:r>
          <w:r w:rsidRPr="0020113A">
            <w:rPr>
              <w:rStyle w:val="normaltextrun"/>
              <w:lang w:val="es-MX"/>
            </w:rPr>
            <w:t> </w:t>
          </w:r>
          <w:r w:rsidRPr="0020113A">
            <w:rPr>
              <w:rStyle w:val="eop"/>
            </w:rPr>
            <w:t> </w:t>
          </w:r>
        </w:p>
        <w:p w14:paraId="6DF87CA5" w14:textId="77777777" w:rsidR="007803E3" w:rsidRPr="0020113A" w:rsidRDefault="007803E3" w:rsidP="007803E3">
          <w:pPr>
            <w:pStyle w:val="paragraph"/>
            <w:spacing w:before="0" w:beforeAutospacing="0" w:after="0" w:afterAutospacing="0"/>
            <w:ind w:left="1080"/>
            <w:jc w:val="both"/>
            <w:textAlignment w:val="baseline"/>
          </w:pPr>
        </w:p>
        <w:p w14:paraId="70D2A912" w14:textId="77777777" w:rsidR="007803E3" w:rsidRPr="0020113A" w:rsidRDefault="007803E3" w:rsidP="007803E3">
          <w:pPr>
            <w:spacing w:after="0" w:line="240" w:lineRule="auto"/>
            <w:rPr>
              <w:rStyle w:val="normaltextrun"/>
              <w:rFonts w:ascii="Times New Roman" w:hAnsi="Times New Roman"/>
              <w:b/>
              <w:bCs/>
              <w:sz w:val="24"/>
              <w:szCs w:val="24"/>
              <w:lang w:val="es-MX"/>
            </w:rPr>
          </w:pPr>
          <w:r w:rsidRPr="0020113A">
            <w:rPr>
              <w:rStyle w:val="normaltextrun"/>
              <w:rFonts w:ascii="Times New Roman" w:hAnsi="Times New Roman"/>
              <w:b/>
              <w:bCs/>
              <w:sz w:val="24"/>
              <w:szCs w:val="24"/>
              <w:lang w:val="es-MX"/>
            </w:rPr>
            <w:t xml:space="preserve">Términos de valor: </w:t>
          </w:r>
          <w:r w:rsidRPr="0020113A">
            <w:rPr>
              <w:rStyle w:val="normaltextrun"/>
              <w:rFonts w:ascii="Times New Roman" w:eastAsia="Times New Roman" w:hAnsi="Times New Roman"/>
              <w:sz w:val="24"/>
              <w:szCs w:val="24"/>
              <w:lang w:val="es-MX" w:eastAsia="es-CO"/>
            </w:rPr>
            <w:t>De acuerdo con la sección 1.99 de la Parte General del Contrato, el Mes de Referencia es Diciembre de 2012</w:t>
          </w:r>
        </w:p>
        <w:p w14:paraId="5CACFD5D" w14:textId="77777777" w:rsidR="007803E3" w:rsidRPr="0020113A" w:rsidRDefault="007803E3" w:rsidP="007803E3">
          <w:pPr>
            <w:spacing w:after="0" w:line="240" w:lineRule="auto"/>
            <w:rPr>
              <w:rFonts w:ascii="Times New Roman" w:hAnsi="Times New Roman"/>
              <w:b/>
              <w:bCs/>
              <w:sz w:val="24"/>
              <w:szCs w:val="24"/>
            </w:rPr>
          </w:pPr>
        </w:p>
        <w:p w14:paraId="7380D34A" w14:textId="77777777" w:rsidR="007803E3" w:rsidRPr="0020113A" w:rsidRDefault="007803E3" w:rsidP="007803E3">
          <w:pPr>
            <w:spacing w:after="0" w:line="240" w:lineRule="auto"/>
            <w:jc w:val="both"/>
            <w:rPr>
              <w:rStyle w:val="normaltextrun"/>
              <w:rFonts w:ascii="Times New Roman" w:eastAsia="Times New Roman" w:hAnsi="Times New Roman"/>
              <w:sz w:val="24"/>
              <w:szCs w:val="24"/>
              <w:lang w:val="es-MX" w:eastAsia="es-CO"/>
            </w:rPr>
          </w:pPr>
          <w:r w:rsidRPr="0020113A">
            <w:rPr>
              <w:rStyle w:val="normaltextrun"/>
              <w:rFonts w:ascii="Times New Roman" w:hAnsi="Times New Roman"/>
              <w:b/>
              <w:bCs/>
              <w:sz w:val="24"/>
              <w:szCs w:val="24"/>
              <w:lang w:val="es-MX"/>
            </w:rPr>
            <w:t xml:space="preserve">Términos de calendario: </w:t>
          </w:r>
          <w:r w:rsidRPr="0020113A">
            <w:rPr>
              <w:rStyle w:val="normaltextrun"/>
              <w:rFonts w:ascii="Times New Roman" w:eastAsia="Times New Roman" w:hAnsi="Times New Roman"/>
              <w:sz w:val="24"/>
              <w:szCs w:val="24"/>
              <w:lang w:val="es-MX" w:eastAsia="es-CO"/>
            </w:rPr>
            <w:t>El plazo del contrato se determinó en 28 años, conforme a la sección 1.124 de la Parte General del Contrato”.</w:t>
          </w:r>
        </w:p>
        <w:p w14:paraId="3036BD69" w14:textId="77777777" w:rsidR="007803E3" w:rsidRPr="0020113A" w:rsidRDefault="007803E3" w:rsidP="007803E3">
          <w:pPr>
            <w:spacing w:after="0" w:line="240" w:lineRule="auto"/>
            <w:jc w:val="both"/>
            <w:rPr>
              <w:rStyle w:val="normaltextrun"/>
              <w:rFonts w:ascii="Times New Roman" w:eastAsia="Times New Roman" w:hAnsi="Times New Roman"/>
              <w:sz w:val="24"/>
              <w:szCs w:val="24"/>
              <w:lang w:val="es-MX" w:eastAsia="es-CO"/>
            </w:rPr>
          </w:pPr>
          <w:r w:rsidRPr="0020113A">
            <w:rPr>
              <w:rStyle w:val="normaltextrun"/>
              <w:rFonts w:ascii="Times New Roman" w:eastAsia="Times New Roman" w:hAnsi="Times New Roman"/>
              <w:sz w:val="24"/>
              <w:szCs w:val="24"/>
              <w:lang w:val="es-MX" w:eastAsia="es-CO"/>
            </w:rPr>
            <w:t>El plazo estimado de la etapa de construcción es de (2.920) días contados desde el Acta de Inicio de construcción, la cual se firmó el 15 de abril de 2016.  El proyecto está dividido en tres Unidades Funcionales.  La estructura tarifaria se encuentra determinada en la sección 4.2 de la Parte Especial del Contrato</w:t>
          </w:r>
        </w:p>
        <w:p w14:paraId="3F0D44FA" w14:textId="77777777" w:rsidR="007803E3" w:rsidRPr="0020113A" w:rsidRDefault="007803E3" w:rsidP="007803E3">
          <w:pPr>
            <w:spacing w:after="0" w:line="240" w:lineRule="auto"/>
            <w:jc w:val="both"/>
            <w:rPr>
              <w:rFonts w:ascii="Times New Roman" w:hAnsi="Times New Roman"/>
              <w:b/>
              <w:bCs/>
              <w:sz w:val="24"/>
              <w:szCs w:val="24"/>
            </w:rPr>
          </w:pPr>
        </w:p>
        <w:p w14:paraId="7B1C10DF" w14:textId="77777777" w:rsidR="007803E3" w:rsidRPr="0020113A" w:rsidRDefault="007803E3" w:rsidP="007803E3">
          <w:pPr>
            <w:jc w:val="both"/>
            <w:rPr>
              <w:rStyle w:val="normaltextrun"/>
              <w:rFonts w:ascii="Times New Roman" w:eastAsia="Times New Roman" w:hAnsi="Times New Roman"/>
              <w:sz w:val="24"/>
              <w:szCs w:val="24"/>
              <w:lang w:val="es-MX" w:eastAsia="es-CO"/>
            </w:rPr>
          </w:pPr>
          <w:r w:rsidRPr="0020113A">
            <w:rPr>
              <w:rStyle w:val="normaltextrun"/>
              <w:rFonts w:ascii="Times New Roman" w:hAnsi="Times New Roman"/>
              <w:b/>
              <w:bCs/>
              <w:sz w:val="24"/>
              <w:szCs w:val="24"/>
              <w:lang w:val="es-MX"/>
            </w:rPr>
            <w:t xml:space="preserve">Términos de certeza de flujos de efectivo futuros: </w:t>
          </w:r>
          <w:r w:rsidRPr="0020113A">
            <w:rPr>
              <w:rStyle w:val="normaltextrun"/>
              <w:rFonts w:ascii="Times New Roman" w:eastAsia="Times New Roman" w:hAnsi="Times New Roman"/>
              <w:sz w:val="24"/>
              <w:szCs w:val="24"/>
              <w:lang w:val="es-MX" w:eastAsia="es-CO"/>
            </w:rPr>
            <w:t>De conformidad a la Cláusula Tercera del Otrosí No. 5, Clausula Tercera el Porcentaje de Participación de las Unidades Funcionales.</w:t>
          </w:r>
        </w:p>
        <w:p w14:paraId="7EC023FC" w14:textId="3E8423C1" w:rsidR="007803E3" w:rsidRPr="0020113A" w:rsidRDefault="007803E3" w:rsidP="007803E3">
          <w:pPr>
            <w:jc w:val="both"/>
            <w:rPr>
              <w:rStyle w:val="normaltextrun"/>
              <w:rFonts w:ascii="Times New Roman" w:eastAsia="Times New Roman" w:hAnsi="Times New Roman"/>
              <w:sz w:val="24"/>
              <w:szCs w:val="24"/>
              <w:lang w:val="es-MX" w:eastAsia="es-CO"/>
            </w:rPr>
          </w:pPr>
          <w:r w:rsidRPr="0020113A">
            <w:rPr>
              <w:rStyle w:val="normaltextrun"/>
              <w:rFonts w:ascii="Times New Roman" w:eastAsia="Times New Roman" w:hAnsi="Times New Roman"/>
              <w:sz w:val="24"/>
              <w:szCs w:val="24"/>
              <w:lang w:val="es-MX" w:eastAsia="es-CO"/>
            </w:rPr>
            <w:t>Como se describe en el Apéndice Técnico 1, el Proyecto está dividido en Tres (3) Unidades Funcionales, a las cuales se les asigna un porcentaje de participación en el Proyecto (dependiendo de los ingresos que recaude el Concesionario), para efectos del cálculo de la Retribución para cada Unidad Funcional.</w:t>
          </w:r>
        </w:p>
        <w:p w14:paraId="2C3166D2" w14:textId="77777777" w:rsidR="007803E3" w:rsidRPr="0020113A" w:rsidRDefault="007803E3" w:rsidP="007803E3">
          <w:pPr>
            <w:jc w:val="both"/>
            <w:rPr>
              <w:rStyle w:val="normaltextrun"/>
              <w:rFonts w:ascii="Times New Roman" w:eastAsia="Times New Roman" w:hAnsi="Times New Roman"/>
              <w:sz w:val="24"/>
              <w:szCs w:val="24"/>
              <w:lang w:val="es-MX" w:eastAsia="es-CO"/>
            </w:rPr>
          </w:pPr>
          <w:r w:rsidRPr="0020113A">
            <w:rPr>
              <w:rStyle w:val="normaltextrun"/>
              <w:rFonts w:ascii="Times New Roman" w:eastAsia="Times New Roman" w:hAnsi="Times New Roman"/>
              <w:sz w:val="24"/>
              <w:szCs w:val="24"/>
              <w:lang w:val="es-MX" w:eastAsia="es-CO"/>
            </w:rPr>
            <w:t>A través del Otrosí No. 1 se acordó modificar al Contrato de Concesión, en la Sección 3.7 de la Parte Especial – Estaciones de Peaje y, se pacto instalar una nueva de Caseta de Peaje y Pesaje “Cocora” y acordaron que la Concesionaria, a su cuenta y riesgo, instalará una caseta de control de peaje. A la fecha no se establece dicho control por decisión de la entidad.</w:t>
          </w:r>
        </w:p>
        <w:p w14:paraId="7E424BE5" w14:textId="77777777" w:rsidR="007803E3" w:rsidRPr="0020113A" w:rsidRDefault="007803E3" w:rsidP="007803E3">
          <w:pPr>
            <w:pStyle w:val="paragraph"/>
            <w:spacing w:before="0" w:beforeAutospacing="0" w:after="0" w:afterAutospacing="0"/>
            <w:jc w:val="both"/>
            <w:textAlignment w:val="baseline"/>
            <w:rPr>
              <w:rStyle w:val="normaltextrun"/>
            </w:rPr>
          </w:pPr>
        </w:p>
        <w:p w14:paraId="50668694" w14:textId="77777777" w:rsidR="007803E3" w:rsidRPr="0020113A" w:rsidRDefault="007803E3" w:rsidP="007803E3">
          <w:pPr>
            <w:pStyle w:val="paragraph"/>
            <w:spacing w:before="0" w:beforeAutospacing="0" w:after="0" w:afterAutospacing="0"/>
            <w:jc w:val="both"/>
            <w:textAlignment w:val="baseline"/>
            <w:rPr>
              <w:rStyle w:val="normaltextrun"/>
              <w:lang w:val="es-MX"/>
            </w:rPr>
          </w:pPr>
        </w:p>
        <w:p w14:paraId="0845B54F" w14:textId="77777777" w:rsidR="007803E3" w:rsidRPr="0020113A" w:rsidRDefault="007803E3" w:rsidP="00E60BAB">
          <w:pPr>
            <w:pStyle w:val="paragraph"/>
            <w:numPr>
              <w:ilvl w:val="0"/>
              <w:numId w:val="93"/>
            </w:numPr>
            <w:spacing w:before="0" w:beforeAutospacing="0" w:after="0" w:afterAutospacing="0"/>
            <w:jc w:val="both"/>
            <w:textAlignment w:val="baseline"/>
            <w:rPr>
              <w:rStyle w:val="eop"/>
            </w:rPr>
          </w:pPr>
          <w:r w:rsidRPr="0020113A">
            <w:rPr>
              <w:rStyle w:val="normaltextrun"/>
              <w:b/>
              <w:bCs/>
              <w:lang w:val="es-MX"/>
            </w:rPr>
            <w:t>Naturaleza y alcance del derecho a utilizar activos especificados, de los aspectos pactados en torno a lo que se espera que el concesionario proporcione en relación con el acuerdo de concesión </w:t>
          </w:r>
          <w:r w:rsidRPr="0020113A">
            <w:rPr>
              <w:rStyle w:val="eop"/>
            </w:rPr>
            <w:t> </w:t>
          </w:r>
        </w:p>
        <w:p w14:paraId="75494D7F" w14:textId="77777777" w:rsidR="007803E3" w:rsidRPr="0020113A" w:rsidRDefault="007803E3" w:rsidP="007803E3">
          <w:pPr>
            <w:pStyle w:val="paragraph"/>
            <w:spacing w:before="0" w:beforeAutospacing="0" w:after="0" w:afterAutospacing="0"/>
            <w:ind w:left="360"/>
            <w:jc w:val="both"/>
            <w:textAlignment w:val="baseline"/>
          </w:pPr>
        </w:p>
        <w:p w14:paraId="182EEB03" w14:textId="77777777" w:rsidR="007803E3" w:rsidRPr="0020113A" w:rsidRDefault="007803E3" w:rsidP="007803E3">
          <w:pPr>
            <w:pStyle w:val="paragraph"/>
            <w:spacing w:before="0" w:beforeAutospacing="0" w:after="0" w:afterAutospacing="0"/>
            <w:jc w:val="both"/>
            <w:textAlignment w:val="baseline"/>
            <w:rPr>
              <w:rStyle w:val="normaltextrun"/>
              <w:lang w:val="es-MX"/>
            </w:rPr>
          </w:pPr>
          <w:r w:rsidRPr="0020113A">
            <w:rPr>
              <w:rStyle w:val="normaltextrun"/>
              <w:b/>
              <w:bCs/>
              <w:lang w:val="es-MX"/>
            </w:rPr>
            <w:lastRenderedPageBreak/>
            <w:t>Descripción:</w:t>
          </w:r>
          <w:r w:rsidRPr="0020113A">
            <w:rPr>
              <w:rStyle w:val="normaltextrun"/>
              <w:lang w:val="es-MX"/>
            </w:rPr>
            <w:t xml:space="preserve"> El Proyecto corresponde a la segunda calzada de la vía Ibagué-Cajamarca y la operación y mantenimiento del sistema vial variante Chicoral, Variante Gualanday, Gualanday-Ibagué, Gualanday-Espinal, Variante Picaleña, Ramal Norte y Trazado existente Ibagué-Cajamarca con una longitud de 180 Km dividido en tres unidades funcionales.</w:t>
          </w:r>
        </w:p>
        <w:p w14:paraId="5AFA9EE4" w14:textId="77777777" w:rsidR="007803E3" w:rsidRPr="0020113A" w:rsidRDefault="007803E3" w:rsidP="007803E3">
          <w:pPr>
            <w:pStyle w:val="paragraph"/>
            <w:spacing w:before="0" w:beforeAutospacing="0" w:after="0" w:afterAutospacing="0"/>
            <w:jc w:val="both"/>
            <w:textAlignment w:val="baseline"/>
          </w:pPr>
        </w:p>
        <w:p w14:paraId="5BAE71A2" w14:textId="77777777" w:rsidR="007803E3" w:rsidRPr="0020113A" w:rsidRDefault="007803E3" w:rsidP="007803E3">
          <w:pPr>
            <w:pStyle w:val="paragraph"/>
            <w:spacing w:before="0" w:beforeAutospacing="0" w:after="0" w:afterAutospacing="0"/>
            <w:jc w:val="both"/>
            <w:textAlignment w:val="baseline"/>
            <w:rPr>
              <w:rStyle w:val="normaltextrun"/>
              <w:lang w:val="es-MX"/>
            </w:rPr>
          </w:pPr>
          <w:r w:rsidRPr="0020113A">
            <w:rPr>
              <w:rStyle w:val="normaltextrun"/>
              <w:b/>
              <w:bCs/>
              <w:lang w:val="es-MX"/>
            </w:rPr>
            <w:t>Observaciones:  </w:t>
          </w:r>
          <w:r w:rsidRPr="0020113A">
            <w:rPr>
              <w:rStyle w:val="normaltextrun"/>
              <w:lang w:val="es-MX"/>
            </w:rPr>
            <w:t xml:space="preserve"> No se tiene ninguna </w:t>
          </w:r>
        </w:p>
        <w:p w14:paraId="4E4A47C4" w14:textId="77777777" w:rsidR="007803E3" w:rsidRPr="0020113A" w:rsidRDefault="007803E3" w:rsidP="007803E3">
          <w:pPr>
            <w:pStyle w:val="paragraph"/>
            <w:spacing w:before="0" w:beforeAutospacing="0" w:after="0" w:afterAutospacing="0"/>
            <w:jc w:val="both"/>
            <w:textAlignment w:val="baseline"/>
            <w:rPr>
              <w:rStyle w:val="normaltextrun"/>
              <w:lang w:val="es-MX"/>
            </w:rPr>
          </w:pPr>
        </w:p>
        <w:p w14:paraId="12B003F8" w14:textId="77777777" w:rsidR="007803E3" w:rsidRPr="0020113A" w:rsidRDefault="007803E3" w:rsidP="007803E3">
          <w:pPr>
            <w:pStyle w:val="paragraph"/>
            <w:spacing w:before="0" w:beforeAutospacing="0" w:after="0" w:afterAutospacing="0"/>
            <w:jc w:val="center"/>
            <w:textAlignment w:val="baseline"/>
            <w:rPr>
              <w:rStyle w:val="normaltextrun"/>
              <w:b/>
              <w:bCs/>
              <w:lang w:val="es-MX"/>
            </w:rPr>
          </w:pPr>
          <w:r w:rsidRPr="0020113A">
            <w:rPr>
              <w:rStyle w:val="normaltextrun"/>
              <w:b/>
              <w:bCs/>
              <w:lang w:val="es-MX"/>
            </w:rPr>
            <w:t>Retribución al concesionario</w:t>
          </w:r>
        </w:p>
        <w:p w14:paraId="05950BCD" w14:textId="77777777" w:rsidR="007803E3" w:rsidRPr="0020113A" w:rsidRDefault="007803E3" w:rsidP="007803E3">
          <w:pPr>
            <w:pStyle w:val="paragraph"/>
            <w:spacing w:before="0" w:beforeAutospacing="0" w:after="0" w:afterAutospacing="0"/>
            <w:jc w:val="both"/>
            <w:textAlignment w:val="baseline"/>
            <w:rPr>
              <w:rStyle w:val="normaltextrun"/>
              <w:b/>
              <w:bCs/>
              <w:lang w:val="es-MX"/>
            </w:rPr>
          </w:pPr>
        </w:p>
        <w:p w14:paraId="41F26E9F" w14:textId="77777777" w:rsidR="007803E3" w:rsidRPr="0020113A" w:rsidRDefault="007803E3" w:rsidP="007803E3">
          <w:pPr>
            <w:pStyle w:val="paragraph"/>
            <w:spacing w:before="0" w:beforeAutospacing="0" w:after="0" w:afterAutospacing="0"/>
            <w:jc w:val="both"/>
            <w:textAlignment w:val="baseline"/>
            <w:rPr>
              <w:rStyle w:val="normaltextrun"/>
              <w:lang w:val="es-MX"/>
            </w:rPr>
          </w:pPr>
          <w:r w:rsidRPr="0020113A">
            <w:rPr>
              <w:rStyle w:val="normaltextrun"/>
              <w:b/>
              <w:bCs/>
              <w:lang w:val="es-MX"/>
            </w:rPr>
            <w:t>Observaciones:</w:t>
          </w:r>
          <w:r w:rsidRPr="0020113A">
            <w:rPr>
              <w:rStyle w:val="Estilo3"/>
            </w:rPr>
            <w:t xml:space="preserve">  </w:t>
          </w:r>
          <w:r w:rsidRPr="0020113A">
            <w:rPr>
              <w:rStyle w:val="normaltextrun"/>
              <w:lang w:val="es-MX"/>
            </w:rPr>
            <w:t>Clausula 4.3 Parte especial del contrato de Concesión</w:t>
          </w:r>
        </w:p>
        <w:p w14:paraId="0C8A979E" w14:textId="77777777" w:rsidR="007803E3" w:rsidRPr="0020113A" w:rsidRDefault="007803E3" w:rsidP="007803E3">
          <w:pPr>
            <w:pStyle w:val="paragraph"/>
            <w:spacing w:before="0" w:beforeAutospacing="0" w:after="0" w:afterAutospacing="0"/>
            <w:jc w:val="both"/>
            <w:textAlignment w:val="baseline"/>
            <w:rPr>
              <w:rStyle w:val="eop"/>
            </w:rPr>
          </w:pPr>
          <w:r w:rsidRPr="0020113A">
            <w:rPr>
              <w:rStyle w:val="normaltextrun"/>
              <w:lang w:val="es-MX"/>
            </w:rPr>
            <w:t> </w:t>
          </w:r>
          <w:r w:rsidRPr="0020113A">
            <w:rPr>
              <w:rStyle w:val="eop"/>
            </w:rPr>
            <w:t> </w:t>
          </w:r>
        </w:p>
        <w:p w14:paraId="3BE7314F" w14:textId="77777777" w:rsidR="007803E3" w:rsidRPr="0020113A" w:rsidRDefault="007803E3" w:rsidP="007803E3">
          <w:pPr>
            <w:rPr>
              <w:rStyle w:val="normaltextrun"/>
              <w:rFonts w:ascii="Times New Roman" w:eastAsia="Times New Roman" w:hAnsi="Times New Roman"/>
              <w:sz w:val="24"/>
              <w:szCs w:val="24"/>
              <w:lang w:val="es-MX" w:eastAsia="es-CO"/>
            </w:rPr>
          </w:pPr>
          <w:r w:rsidRPr="0020113A">
            <w:rPr>
              <w:rStyle w:val="normaltextrun"/>
              <w:rFonts w:ascii="Times New Roman" w:hAnsi="Times New Roman"/>
              <w:b/>
              <w:bCs/>
              <w:sz w:val="24"/>
              <w:szCs w:val="24"/>
              <w:lang w:val="es-MX"/>
            </w:rPr>
            <w:t xml:space="preserve">Tasa de Retribución:   </w:t>
          </w:r>
          <w:r w:rsidRPr="0020113A">
            <w:rPr>
              <w:rStyle w:val="normaltextrun"/>
              <w:rFonts w:ascii="Times New Roman" w:eastAsia="Times New Roman" w:hAnsi="Times New Roman"/>
              <w:sz w:val="24"/>
              <w:szCs w:val="24"/>
              <w:lang w:val="es-MX" w:eastAsia="es-CO"/>
            </w:rPr>
            <w:t>Según Otrosí No 5 Clausula Tercera La UF1 hasta abril de 2024 el 76.01%.</w:t>
          </w:r>
        </w:p>
        <w:p w14:paraId="2F5B8448" w14:textId="77777777" w:rsidR="007803E3" w:rsidRPr="0020113A" w:rsidRDefault="007803E3" w:rsidP="4F8A64AF">
          <w:pPr>
            <w:spacing w:after="0"/>
            <w:rPr>
              <w:rStyle w:val="normaltextrun"/>
              <w:rFonts w:ascii="Times New Roman" w:eastAsia="Times New Roman" w:hAnsi="Times New Roman"/>
              <w:sz w:val="24"/>
              <w:szCs w:val="24"/>
              <w:lang w:val="es-MX" w:eastAsia="es-CO"/>
            </w:rPr>
          </w:pPr>
          <w:r w:rsidRPr="0020113A">
            <w:rPr>
              <w:rStyle w:val="normaltextrun"/>
              <w:rFonts w:ascii="Times New Roman" w:eastAsia="Times New Roman" w:hAnsi="Times New Roman"/>
              <w:sz w:val="24"/>
              <w:szCs w:val="24"/>
              <w:lang w:val="es-MX" w:eastAsia="es-CO"/>
            </w:rPr>
            <w:t>La UF2 hasta abril de 2024 el 0%</w:t>
          </w:r>
        </w:p>
        <w:p w14:paraId="64EE9D2A" w14:textId="72C45144" w:rsidR="007803E3" w:rsidRPr="0020113A" w:rsidRDefault="007803E3" w:rsidP="4F8A64AF">
          <w:pPr>
            <w:spacing w:after="0"/>
            <w:rPr>
              <w:rStyle w:val="normaltextrun"/>
              <w:rFonts w:ascii="Times New Roman" w:eastAsia="Times New Roman" w:hAnsi="Times New Roman"/>
              <w:sz w:val="24"/>
              <w:szCs w:val="24"/>
              <w:lang w:val="es-MX" w:eastAsia="es-CO"/>
            </w:rPr>
          </w:pPr>
          <w:r w:rsidRPr="0020113A">
            <w:rPr>
              <w:rStyle w:val="normaltextrun"/>
              <w:rFonts w:ascii="Times New Roman" w:eastAsia="Times New Roman" w:hAnsi="Times New Roman"/>
              <w:sz w:val="24"/>
              <w:szCs w:val="24"/>
              <w:lang w:val="es-MX" w:eastAsia="es-CO"/>
            </w:rPr>
            <w:t>La UF3 hasta abril del 2024 el 23.99%</w:t>
          </w:r>
        </w:p>
        <w:p w14:paraId="31103A63" w14:textId="6BB13FA4" w:rsidR="007803E3" w:rsidRPr="0020113A" w:rsidRDefault="007803E3" w:rsidP="4F8A64AF">
          <w:pPr>
            <w:spacing w:after="0"/>
            <w:rPr>
              <w:rStyle w:val="normaltextrun"/>
              <w:rFonts w:ascii="Times New Roman" w:eastAsia="Times New Roman" w:hAnsi="Times New Roman"/>
              <w:sz w:val="24"/>
              <w:szCs w:val="24"/>
              <w:lang w:val="es-MX" w:eastAsia="es-CO"/>
            </w:rPr>
          </w:pPr>
          <w:r w:rsidRPr="0020113A">
            <w:rPr>
              <w:rStyle w:val="normaltextrun"/>
              <w:rFonts w:ascii="Times New Roman" w:eastAsia="Times New Roman" w:hAnsi="Times New Roman"/>
              <w:sz w:val="24"/>
              <w:szCs w:val="24"/>
              <w:lang w:val="es-MX" w:eastAsia="es-CO"/>
            </w:rPr>
            <w:t>A partir de la entrega de la Unidad Funcional 2 según plan de obras vigente no objetado por la Interventoría y la ANI, la retribución para cada unidad funcional estará conformada asi:</w:t>
          </w:r>
        </w:p>
        <w:p w14:paraId="569CB18B" w14:textId="77777777" w:rsidR="007803E3" w:rsidRPr="0020113A" w:rsidRDefault="007803E3" w:rsidP="4F8A64AF">
          <w:pPr>
            <w:spacing w:after="0"/>
            <w:rPr>
              <w:rStyle w:val="normaltextrun"/>
              <w:rFonts w:ascii="Times New Roman" w:eastAsia="Times New Roman" w:hAnsi="Times New Roman"/>
              <w:sz w:val="24"/>
              <w:szCs w:val="24"/>
              <w:lang w:val="es-MX" w:eastAsia="es-CO"/>
            </w:rPr>
          </w:pPr>
          <w:r w:rsidRPr="0020113A">
            <w:rPr>
              <w:rStyle w:val="normaltextrun"/>
              <w:rFonts w:ascii="Times New Roman" w:eastAsia="Times New Roman" w:hAnsi="Times New Roman"/>
              <w:sz w:val="24"/>
              <w:szCs w:val="24"/>
              <w:lang w:val="es-MX" w:eastAsia="es-CO"/>
            </w:rPr>
            <w:t>La UF1 el 41.5%</w:t>
          </w:r>
        </w:p>
        <w:p w14:paraId="54540992" w14:textId="77777777" w:rsidR="007803E3" w:rsidRPr="0020113A" w:rsidRDefault="007803E3" w:rsidP="4F8A64AF">
          <w:pPr>
            <w:spacing w:after="0"/>
            <w:rPr>
              <w:rStyle w:val="normaltextrun"/>
              <w:rFonts w:ascii="Times New Roman" w:eastAsia="Times New Roman" w:hAnsi="Times New Roman"/>
              <w:sz w:val="24"/>
              <w:szCs w:val="24"/>
              <w:lang w:val="es-MX" w:eastAsia="es-CO"/>
            </w:rPr>
          </w:pPr>
          <w:r w:rsidRPr="0020113A">
            <w:rPr>
              <w:rStyle w:val="normaltextrun"/>
              <w:rFonts w:ascii="Times New Roman" w:eastAsia="Times New Roman" w:hAnsi="Times New Roman"/>
              <w:sz w:val="24"/>
              <w:szCs w:val="24"/>
              <w:lang w:val="es-MX" w:eastAsia="es-CO"/>
            </w:rPr>
            <w:t>La UF2 el 45.4%</w:t>
          </w:r>
        </w:p>
        <w:p w14:paraId="37000B58" w14:textId="77777777" w:rsidR="007803E3" w:rsidRPr="0020113A" w:rsidRDefault="007803E3" w:rsidP="4F8A64AF">
          <w:pPr>
            <w:spacing w:after="0"/>
            <w:rPr>
              <w:rStyle w:val="normaltextrun"/>
              <w:rFonts w:ascii="Times New Roman" w:eastAsia="Times New Roman" w:hAnsi="Times New Roman"/>
              <w:sz w:val="24"/>
              <w:szCs w:val="24"/>
              <w:lang w:val="es-MX" w:eastAsia="es-CO"/>
            </w:rPr>
          </w:pPr>
          <w:r w:rsidRPr="0020113A">
            <w:rPr>
              <w:rStyle w:val="normaltextrun"/>
              <w:rFonts w:ascii="Times New Roman" w:eastAsia="Times New Roman" w:hAnsi="Times New Roman"/>
              <w:sz w:val="24"/>
              <w:szCs w:val="24"/>
              <w:lang w:val="es-MX" w:eastAsia="es-CO"/>
            </w:rPr>
            <w:t>La UF3 el 13.1%</w:t>
          </w:r>
        </w:p>
        <w:p w14:paraId="17BFF8A0" w14:textId="77777777" w:rsidR="007803E3" w:rsidRPr="0020113A" w:rsidRDefault="007803E3" w:rsidP="00E60BAB">
          <w:pPr>
            <w:pStyle w:val="paragraph"/>
            <w:numPr>
              <w:ilvl w:val="0"/>
              <w:numId w:val="93"/>
            </w:numPr>
            <w:spacing w:before="0" w:beforeAutospacing="0" w:after="0" w:afterAutospacing="0"/>
            <w:jc w:val="both"/>
            <w:textAlignment w:val="baseline"/>
          </w:pPr>
          <w:r w:rsidRPr="0020113A">
            <w:rPr>
              <w:rStyle w:val="normaltextrun"/>
              <w:b/>
              <w:bCs/>
              <w:lang w:val="es-MX"/>
            </w:rPr>
            <w:t>Derechos a recibir activos especificados al final del acuerdo de concesión </w:t>
          </w:r>
          <w:r w:rsidRPr="0020113A">
            <w:rPr>
              <w:rStyle w:val="eop"/>
            </w:rPr>
            <w:t> </w:t>
          </w:r>
        </w:p>
        <w:p w14:paraId="3AB1DACE" w14:textId="77777777" w:rsidR="007803E3" w:rsidRPr="0020113A" w:rsidRDefault="007803E3" w:rsidP="007803E3">
          <w:pPr>
            <w:pStyle w:val="paragraph"/>
            <w:spacing w:before="0" w:beforeAutospacing="0" w:after="0" w:afterAutospacing="0"/>
            <w:jc w:val="both"/>
            <w:textAlignment w:val="baseline"/>
            <w:rPr>
              <w:rStyle w:val="normaltextrun"/>
              <w:b/>
              <w:bCs/>
              <w:lang w:val="es-MX"/>
            </w:rPr>
          </w:pPr>
        </w:p>
        <w:p w14:paraId="5423F204" w14:textId="77777777" w:rsidR="007803E3" w:rsidRPr="0020113A" w:rsidRDefault="007803E3" w:rsidP="007803E3">
          <w:pPr>
            <w:pStyle w:val="paragraph"/>
            <w:spacing w:before="0" w:beforeAutospacing="0" w:after="0" w:afterAutospacing="0"/>
            <w:jc w:val="both"/>
            <w:textAlignment w:val="baseline"/>
            <w:rPr>
              <w:rStyle w:val="normaltextrun"/>
              <w:lang w:val="es-MX"/>
            </w:rPr>
          </w:pPr>
          <w:r w:rsidRPr="0020113A">
            <w:rPr>
              <w:rStyle w:val="normaltextrun"/>
              <w:b/>
              <w:bCs/>
              <w:lang w:val="es-MX"/>
            </w:rPr>
            <w:t xml:space="preserve"> Descripción:  </w:t>
          </w:r>
          <w:r w:rsidRPr="0020113A">
            <w:rPr>
              <w:rStyle w:val="normaltextrun"/>
              <w:lang w:val="es-MX"/>
            </w:rPr>
            <w:t>Clausula 9.7 Etapa de Reversión del Contrato de Concesión </w:t>
          </w:r>
        </w:p>
        <w:p w14:paraId="020873DA" w14:textId="77777777" w:rsidR="007803E3" w:rsidRPr="0020113A" w:rsidRDefault="007803E3" w:rsidP="007803E3">
          <w:pPr>
            <w:pStyle w:val="paragraph"/>
            <w:spacing w:before="0" w:beforeAutospacing="0" w:after="0" w:afterAutospacing="0"/>
            <w:jc w:val="both"/>
            <w:textAlignment w:val="baseline"/>
            <w:rPr>
              <w:rStyle w:val="eop"/>
              <w:lang w:val="es-ES"/>
            </w:rPr>
          </w:pPr>
        </w:p>
        <w:p w14:paraId="195110FE" w14:textId="77777777" w:rsidR="007803E3" w:rsidRPr="0020113A" w:rsidRDefault="007803E3" w:rsidP="00E60BAB">
          <w:pPr>
            <w:pStyle w:val="paragraph"/>
            <w:numPr>
              <w:ilvl w:val="0"/>
              <w:numId w:val="93"/>
            </w:numPr>
            <w:spacing w:before="0" w:beforeAutospacing="0" w:after="0" w:afterAutospacing="0"/>
            <w:jc w:val="both"/>
            <w:textAlignment w:val="baseline"/>
          </w:pPr>
          <w:r w:rsidRPr="0020113A">
            <w:rPr>
              <w:rStyle w:val="normaltextrun"/>
              <w:b/>
              <w:bCs/>
              <w:lang w:val="es-MX"/>
            </w:rPr>
            <w:t>Cambios en el acuerdo de concesión que se realicen durante el periodo fiscal </w:t>
          </w:r>
          <w:r w:rsidRPr="0020113A">
            <w:rPr>
              <w:rStyle w:val="eop"/>
            </w:rPr>
            <w:t> </w:t>
          </w:r>
        </w:p>
        <w:p w14:paraId="5605ACDA" w14:textId="77777777" w:rsidR="007803E3" w:rsidRPr="0020113A" w:rsidRDefault="007803E3" w:rsidP="007803E3">
          <w:pPr>
            <w:pStyle w:val="paragraph"/>
            <w:spacing w:before="0" w:beforeAutospacing="0" w:after="0" w:afterAutospacing="0"/>
            <w:jc w:val="both"/>
            <w:textAlignment w:val="baseline"/>
            <w:rPr>
              <w:rStyle w:val="normaltextrun"/>
              <w:rFonts w:eastAsiaTheme="minorHAnsi"/>
              <w:b/>
              <w:bCs/>
              <w:kern w:val="2"/>
              <w:lang w:val="es-MX" w:eastAsia="en-US"/>
              <w14:ligatures w14:val="standardContextual"/>
            </w:rPr>
          </w:pPr>
        </w:p>
        <w:p w14:paraId="32C50A1A" w14:textId="77777777" w:rsidR="007803E3" w:rsidRPr="0020113A" w:rsidRDefault="007803E3" w:rsidP="007803E3">
          <w:pPr>
            <w:pStyle w:val="paragraph"/>
            <w:spacing w:before="0" w:beforeAutospacing="0" w:after="0" w:afterAutospacing="0"/>
            <w:jc w:val="both"/>
            <w:textAlignment w:val="baseline"/>
            <w:rPr>
              <w:rStyle w:val="normaltextrun"/>
              <w:rFonts w:eastAsiaTheme="minorHAnsi"/>
              <w:b/>
              <w:bCs/>
              <w:kern w:val="2"/>
              <w:lang w:val="es-MX" w:eastAsia="en-US"/>
              <w14:ligatures w14:val="standardContextual"/>
            </w:rPr>
          </w:pPr>
          <w:r w:rsidRPr="0020113A">
            <w:rPr>
              <w:rStyle w:val="normaltextrun"/>
              <w:rFonts w:eastAsiaTheme="minorHAnsi"/>
              <w:b/>
              <w:bCs/>
              <w:kern w:val="2"/>
              <w:lang w:val="es-MX" w:eastAsia="en-US"/>
              <w14:ligatures w14:val="standardContextual"/>
            </w:rPr>
            <w:t xml:space="preserve">Fechas de Adiciones o Modificaciones: </w:t>
          </w:r>
          <w:r w:rsidRPr="0020113A">
            <w:rPr>
              <w:rStyle w:val="normaltextrun"/>
              <w:lang w:val="es-MX"/>
            </w:rPr>
            <w:t xml:space="preserve">En análisis y valoración de las Partes según acuerdo al que se llegue en 2024 dado </w:t>
          </w:r>
          <w:sdt>
            <w:sdtPr>
              <w:rPr>
                <w:rStyle w:val="normaltextrun"/>
                <w:lang w:val="es-MX"/>
              </w:rPr>
              <w:id w:val="-1421400952"/>
              <w:placeholder>
                <w:docPart w:val="0162E2BC282C4C1AAC5FA3D4209AB034"/>
              </w:placeholder>
            </w:sdtPr>
            <w:sdtContent>
              <w:r w:rsidRPr="0020113A">
                <w:rPr>
                  <w:rStyle w:val="normaltextrun"/>
                  <w:lang w:val="es-MX"/>
                </w:rPr>
                <w:t>Laudo Arbitral 24 de octubre de 2023</w:t>
              </w:r>
            </w:sdtContent>
          </w:sdt>
        </w:p>
        <w:p w14:paraId="4C21584B" w14:textId="77777777" w:rsidR="007803E3" w:rsidRPr="0020113A" w:rsidRDefault="007803E3" w:rsidP="007803E3">
          <w:pPr>
            <w:pStyle w:val="paragraph"/>
            <w:spacing w:before="0" w:beforeAutospacing="0" w:after="0" w:afterAutospacing="0"/>
            <w:jc w:val="both"/>
            <w:textAlignment w:val="baseline"/>
            <w:rPr>
              <w:rStyle w:val="normaltextrun"/>
              <w:rFonts w:eastAsiaTheme="minorHAnsi"/>
              <w:b/>
              <w:bCs/>
              <w:kern w:val="2"/>
              <w:lang w:val="es-MX" w:eastAsia="en-US"/>
              <w14:ligatures w14:val="standardContextual"/>
            </w:rPr>
          </w:pPr>
        </w:p>
        <w:p w14:paraId="36450EB6" w14:textId="77777777" w:rsidR="007803E3" w:rsidRPr="0020113A" w:rsidRDefault="007803E3" w:rsidP="007803E3">
          <w:pPr>
            <w:pStyle w:val="paragraph"/>
            <w:spacing w:before="0" w:beforeAutospacing="0" w:after="0" w:afterAutospacing="0"/>
            <w:jc w:val="both"/>
            <w:textAlignment w:val="baseline"/>
            <w:rPr>
              <w:rStyle w:val="normaltextrun"/>
              <w:rFonts w:eastAsiaTheme="minorHAnsi"/>
              <w:b/>
              <w:bCs/>
              <w:kern w:val="2"/>
              <w:lang w:val="es-MX" w:eastAsia="en-US"/>
              <w14:ligatures w14:val="standardContextual"/>
            </w:rPr>
          </w:pPr>
          <w:r w:rsidRPr="0020113A">
            <w:rPr>
              <w:rStyle w:val="normaltextrun"/>
              <w:rFonts w:eastAsiaTheme="minorHAnsi"/>
              <w:b/>
              <w:bCs/>
              <w:kern w:val="2"/>
              <w:lang w:val="es-MX" w:eastAsia="en-US"/>
              <w14:ligatures w14:val="standardContextual"/>
            </w:rPr>
            <w:t xml:space="preserve">Nueva Fecha de finalización estimada: </w:t>
          </w:r>
          <w:r w:rsidRPr="0020113A">
            <w:rPr>
              <w:rStyle w:val="normaltextrun"/>
              <w:lang w:val="es-MX"/>
            </w:rPr>
            <w:t xml:space="preserve">En análisis y valoración de las Partes según acuerdo al que se llegue en 2024 dado </w:t>
          </w:r>
          <w:sdt>
            <w:sdtPr>
              <w:rPr>
                <w:rStyle w:val="normaltextrun"/>
                <w:lang w:val="es-MX"/>
              </w:rPr>
              <w:id w:val="-1405302180"/>
              <w:placeholder>
                <w:docPart w:val="4E7E3E2975844FAE958EDC83FC34E61B"/>
              </w:placeholder>
            </w:sdtPr>
            <w:sdtContent>
              <w:r w:rsidRPr="0020113A">
                <w:rPr>
                  <w:rStyle w:val="normaltextrun"/>
                  <w:lang w:val="es-MX"/>
                </w:rPr>
                <w:t>Laudo Arbitral 24 de octubre de 2023</w:t>
              </w:r>
            </w:sdtContent>
          </w:sdt>
        </w:p>
        <w:p w14:paraId="12523150" w14:textId="77777777" w:rsidR="007803E3" w:rsidRPr="0020113A" w:rsidRDefault="007803E3" w:rsidP="007803E3">
          <w:pPr>
            <w:pStyle w:val="paragraph"/>
            <w:spacing w:before="0" w:beforeAutospacing="0" w:after="0" w:afterAutospacing="0"/>
            <w:jc w:val="both"/>
            <w:textAlignment w:val="baseline"/>
            <w:rPr>
              <w:rStyle w:val="normaltextrun"/>
              <w:rFonts w:eastAsiaTheme="minorHAnsi"/>
              <w:b/>
              <w:bCs/>
              <w:kern w:val="2"/>
              <w:lang w:val="es-MX" w:eastAsia="en-US"/>
              <w14:ligatures w14:val="standardContextual"/>
            </w:rPr>
          </w:pPr>
        </w:p>
        <w:p w14:paraId="763A91B1" w14:textId="77777777" w:rsidR="007803E3" w:rsidRPr="0020113A" w:rsidRDefault="007803E3" w:rsidP="007803E3">
          <w:pPr>
            <w:pStyle w:val="paragraph"/>
            <w:spacing w:before="0" w:beforeAutospacing="0" w:after="0" w:afterAutospacing="0"/>
            <w:jc w:val="both"/>
            <w:textAlignment w:val="baseline"/>
            <w:rPr>
              <w:rFonts w:eastAsiaTheme="minorHAnsi"/>
              <w:b/>
              <w:bCs/>
              <w:kern w:val="2"/>
              <w:lang w:val="es-MX" w:eastAsia="en-US"/>
              <w14:ligatures w14:val="standardContextual"/>
            </w:rPr>
          </w:pPr>
          <w:r w:rsidRPr="0020113A">
            <w:rPr>
              <w:rStyle w:val="normaltextrun"/>
              <w:rFonts w:eastAsiaTheme="minorHAnsi"/>
              <w:b/>
              <w:bCs/>
              <w:kern w:val="2"/>
              <w:lang w:val="es-MX" w:eastAsia="en-US"/>
              <w14:ligatures w14:val="standardContextual"/>
            </w:rPr>
            <w:t xml:space="preserve">Observaciones: </w:t>
          </w:r>
          <w:sdt>
            <w:sdtPr>
              <w:rPr>
                <w:rStyle w:val="normaltextrun"/>
                <w:lang w:val="es-MX"/>
              </w:rPr>
              <w:id w:val="611554331"/>
              <w:placeholder>
                <w:docPart w:val="C391075E27384E24A0160BC24608B4D7"/>
              </w:placeholder>
            </w:sdtPr>
            <w:sdtContent>
              <w:r w:rsidRPr="0020113A">
                <w:rPr>
                  <w:rStyle w:val="normaltextrun"/>
                  <w:lang w:val="es-MX"/>
                </w:rPr>
                <w:t>Laudo Arbitral 24 de octubre de 2023</w:t>
              </w:r>
            </w:sdtContent>
          </w:sdt>
        </w:p>
        <w:p w14:paraId="3FF42604" w14:textId="77777777" w:rsidR="007803E3" w:rsidRPr="0020113A" w:rsidRDefault="007803E3" w:rsidP="007803E3">
          <w:pPr>
            <w:rPr>
              <w:rFonts w:ascii="Times New Roman" w:hAnsi="Times New Roman"/>
              <w:b/>
              <w:sz w:val="24"/>
              <w:szCs w:val="24"/>
              <w:lang w:val="es-MX"/>
            </w:rPr>
          </w:pPr>
        </w:p>
        <w:p w14:paraId="56CD3454" w14:textId="77777777" w:rsidR="003B53E5" w:rsidRPr="0020113A" w:rsidRDefault="003B53E5" w:rsidP="007803E3">
          <w:pPr>
            <w:rPr>
              <w:rFonts w:ascii="Times New Roman" w:hAnsi="Times New Roman"/>
              <w:b/>
              <w:sz w:val="24"/>
              <w:szCs w:val="24"/>
              <w:lang w:val="es-MX"/>
            </w:rPr>
          </w:pPr>
        </w:p>
        <w:p w14:paraId="146344E4" w14:textId="77777777" w:rsidR="007803E3" w:rsidRPr="0020113A" w:rsidRDefault="007803E3" w:rsidP="007803E3">
          <w:pPr>
            <w:jc w:val="both"/>
            <w:rPr>
              <w:rFonts w:ascii="Times New Roman" w:hAnsi="Times New Roman"/>
              <w:b/>
              <w:sz w:val="24"/>
              <w:szCs w:val="24"/>
              <w:lang w:val="es-MX"/>
            </w:rPr>
          </w:pPr>
          <w:r w:rsidRPr="0020113A">
            <w:rPr>
              <w:rFonts w:ascii="Times New Roman" w:hAnsi="Times New Roman"/>
              <w:b/>
              <w:sz w:val="24"/>
              <w:szCs w:val="24"/>
              <w:lang w:val="es-MX"/>
            </w:rPr>
            <w:t>BUENAVENTURA – LOBOGUERRERO - BUGA</w:t>
          </w:r>
        </w:p>
        <w:p w14:paraId="3F56A5B6" w14:textId="77777777" w:rsidR="007803E3" w:rsidRPr="0020113A" w:rsidRDefault="007803E3" w:rsidP="00E60BAB">
          <w:pPr>
            <w:pStyle w:val="Prrafodelista"/>
            <w:numPr>
              <w:ilvl w:val="0"/>
              <w:numId w:val="97"/>
            </w:numPr>
            <w:spacing w:after="0" w:line="259" w:lineRule="auto"/>
            <w:jc w:val="both"/>
            <w:rPr>
              <w:rFonts w:ascii="Times New Roman" w:hAnsi="Times New Roman"/>
              <w:sz w:val="24"/>
              <w:szCs w:val="24"/>
              <w:lang w:val="es-MX"/>
            </w:rPr>
          </w:pPr>
          <w:r w:rsidRPr="0020113A">
            <w:rPr>
              <w:rFonts w:ascii="Times New Roman" w:eastAsia="Segoe UI" w:hAnsi="Times New Roman"/>
              <w:sz w:val="24"/>
              <w:szCs w:val="24"/>
              <w:lang w:val="es-MX"/>
            </w:rPr>
            <w:t xml:space="preserve"> </w:t>
          </w:r>
          <w:r w:rsidRPr="0020113A">
            <w:rPr>
              <w:rFonts w:ascii="Times New Roman" w:hAnsi="Times New Roman"/>
              <w:b/>
              <w:sz w:val="24"/>
              <w:szCs w:val="24"/>
              <w:lang w:val="es-MX"/>
            </w:rPr>
            <w:t xml:space="preserve">Descripción del acuerdo </w:t>
          </w:r>
          <w:r w:rsidRPr="0020113A">
            <w:rPr>
              <w:rFonts w:ascii="Times New Roman" w:hAnsi="Times New Roman"/>
              <w:sz w:val="24"/>
              <w:szCs w:val="24"/>
              <w:lang w:val="es-MX"/>
            </w:rPr>
            <w:t xml:space="preserve">  </w:t>
          </w:r>
        </w:p>
        <w:p w14:paraId="7A200A82" w14:textId="77777777" w:rsidR="007803E3" w:rsidRPr="0020113A" w:rsidRDefault="007803E3" w:rsidP="007803E3">
          <w:pPr>
            <w:pStyle w:val="Prrafodelista"/>
            <w:spacing w:after="0"/>
            <w:ind w:left="360"/>
            <w:jc w:val="both"/>
            <w:rPr>
              <w:rFonts w:ascii="Times New Roman" w:hAnsi="Times New Roman"/>
              <w:sz w:val="24"/>
              <w:szCs w:val="24"/>
              <w:lang w:val="es-MX"/>
            </w:rPr>
          </w:pPr>
        </w:p>
        <w:p w14:paraId="3A4023CC" w14:textId="0419694C" w:rsidR="007803E3" w:rsidRPr="0020113A" w:rsidRDefault="007803E3" w:rsidP="007803E3">
          <w:pPr>
            <w:rPr>
              <w:rFonts w:ascii="Times New Roman" w:hAnsi="Times New Roman"/>
              <w:sz w:val="24"/>
              <w:szCs w:val="24"/>
              <w:lang w:val="es-MX"/>
            </w:rPr>
          </w:pPr>
          <w:r w:rsidRPr="0020113A">
            <w:rPr>
              <w:rFonts w:ascii="Times New Roman" w:hAnsi="Times New Roman"/>
              <w:b/>
              <w:sz w:val="24"/>
              <w:szCs w:val="24"/>
              <w:lang w:val="es-MX"/>
            </w:rPr>
            <w:t xml:space="preserve">Número del acuerdo de concesión:  </w:t>
          </w:r>
          <w:r w:rsidRPr="0020113A">
            <w:rPr>
              <w:rFonts w:ascii="Times New Roman" w:hAnsi="Times New Roman"/>
              <w:sz w:val="24"/>
              <w:szCs w:val="24"/>
              <w:lang w:val="es-MX"/>
            </w:rPr>
            <w:t>APP No 004 de 2022</w:t>
          </w:r>
        </w:p>
        <w:p w14:paraId="49AA2BA4" w14:textId="1ED9FB2A" w:rsidR="007803E3" w:rsidRPr="0020113A" w:rsidRDefault="007803E3" w:rsidP="007803E3">
          <w:pPr>
            <w:spacing w:line="257" w:lineRule="auto"/>
            <w:jc w:val="both"/>
            <w:rPr>
              <w:rFonts w:ascii="Times New Roman" w:hAnsi="Times New Roman"/>
              <w:sz w:val="24"/>
              <w:szCs w:val="24"/>
              <w:lang w:val="es-MX"/>
            </w:rPr>
          </w:pPr>
          <w:r w:rsidRPr="0020113A">
            <w:rPr>
              <w:rFonts w:ascii="Times New Roman" w:hAnsi="Times New Roman"/>
              <w:b/>
              <w:sz w:val="24"/>
              <w:szCs w:val="24"/>
              <w:lang w:val="es-MX"/>
            </w:rPr>
            <w:t xml:space="preserve">Objeto / Descripción:  </w:t>
          </w:r>
          <w:r w:rsidRPr="0020113A">
            <w:rPr>
              <w:rFonts w:ascii="Times New Roman" w:hAnsi="Times New Roman"/>
              <w:sz w:val="24"/>
              <w:szCs w:val="24"/>
              <w:lang w:val="es-MX"/>
            </w:rPr>
            <w:t xml:space="preserve">Financiación, elaboración de estudios y diseños definitivos, gestión ambiental, gestión predial, gestión social, construcción, rehabilitación, operación y </w:t>
          </w:r>
          <w:r w:rsidRPr="0020113A">
            <w:rPr>
              <w:rFonts w:ascii="Times New Roman" w:hAnsi="Times New Roman"/>
              <w:sz w:val="24"/>
              <w:szCs w:val="24"/>
              <w:lang w:val="es-MX"/>
            </w:rPr>
            <w:lastRenderedPageBreak/>
            <w:t>mantenimiento del proyecto Nueva Malla Vial del Valle del Cauca - Corredor: Buenaventura - Loboguerrero - Buga</w:t>
          </w:r>
        </w:p>
        <w:p w14:paraId="205906F3" w14:textId="5D0FA478" w:rsidR="007803E3" w:rsidRPr="0020113A" w:rsidRDefault="007803E3" w:rsidP="2EBECF5A">
          <w:pPr>
            <w:spacing w:after="0"/>
            <w:jc w:val="both"/>
            <w:rPr>
              <w:rFonts w:ascii="Times New Roman" w:hAnsi="Times New Roman"/>
              <w:b/>
              <w:sz w:val="24"/>
              <w:szCs w:val="24"/>
              <w:lang w:val="es-MX"/>
            </w:rPr>
          </w:pPr>
          <w:r w:rsidRPr="0020113A">
            <w:rPr>
              <w:rFonts w:ascii="Times New Roman" w:hAnsi="Times New Roman"/>
              <w:b/>
              <w:sz w:val="24"/>
              <w:szCs w:val="24"/>
              <w:lang w:val="es-MX"/>
            </w:rPr>
            <w:t xml:space="preserve">Valor inicial: </w:t>
          </w:r>
          <w:r w:rsidRPr="0020113A">
            <w:rPr>
              <w:rFonts w:ascii="Times New Roman" w:hAnsi="Times New Roman"/>
              <w:bCs/>
              <w:sz w:val="24"/>
              <w:szCs w:val="24"/>
              <w:lang w:val="es-MX"/>
            </w:rPr>
            <w:t>El valor inicial del Contrato era de Cuatro billones cincuenta y ocho mil ochenta y siete millones trescientos sesenta y cinco mil setecientos ochenta y cinco pesos ($4.058.087.365.785.) del Mes de Referencia (Diciembre 2020).</w:t>
          </w:r>
        </w:p>
        <w:p w14:paraId="126C5FFD" w14:textId="77777777" w:rsidR="007803E3" w:rsidRPr="0020113A" w:rsidRDefault="007803E3" w:rsidP="11D66258">
          <w:pPr>
            <w:spacing w:after="0"/>
            <w:jc w:val="both"/>
            <w:rPr>
              <w:rFonts w:ascii="Times New Roman" w:hAnsi="Times New Roman"/>
              <w:b/>
              <w:sz w:val="24"/>
              <w:szCs w:val="24"/>
              <w:lang w:val="es-MX"/>
            </w:rPr>
          </w:pPr>
          <w:r w:rsidRPr="0020113A">
            <w:rPr>
              <w:rFonts w:ascii="Times New Roman" w:hAnsi="Times New Roman"/>
              <w:b/>
              <w:sz w:val="24"/>
              <w:szCs w:val="24"/>
              <w:lang w:val="es-MX"/>
            </w:rPr>
            <w:t xml:space="preserve">Fecha de inicio: </w:t>
          </w:r>
          <w:r w:rsidRPr="0020113A">
            <w:rPr>
              <w:rFonts w:ascii="Times New Roman" w:hAnsi="Times New Roman"/>
              <w:bCs/>
              <w:sz w:val="24"/>
              <w:szCs w:val="24"/>
              <w:lang w:val="es-MX"/>
            </w:rPr>
            <w:t>16/02/2023</w:t>
          </w:r>
          <w:r w:rsidRPr="0020113A">
            <w:rPr>
              <w:rFonts w:ascii="Times New Roman" w:hAnsi="Times New Roman"/>
              <w:b/>
              <w:sz w:val="24"/>
              <w:szCs w:val="24"/>
              <w:lang w:val="es-MX"/>
            </w:rPr>
            <w:t xml:space="preserve">  </w:t>
          </w:r>
        </w:p>
        <w:p w14:paraId="62AB19DE" w14:textId="77777777" w:rsidR="007803E3" w:rsidRPr="0020113A" w:rsidRDefault="007803E3" w:rsidP="11D66258">
          <w:pPr>
            <w:spacing w:after="0"/>
            <w:jc w:val="both"/>
            <w:rPr>
              <w:rFonts w:ascii="Times New Roman" w:hAnsi="Times New Roman"/>
              <w:sz w:val="24"/>
              <w:szCs w:val="24"/>
              <w:lang w:val="es-MX"/>
            </w:rPr>
          </w:pPr>
          <w:r w:rsidRPr="0020113A">
            <w:rPr>
              <w:rFonts w:ascii="Times New Roman" w:hAnsi="Times New Roman"/>
              <w:b/>
              <w:sz w:val="24"/>
              <w:szCs w:val="24"/>
              <w:lang w:val="es-MX"/>
            </w:rPr>
            <w:t xml:space="preserve">Fecha de finalización estimada: </w:t>
          </w:r>
          <w:r w:rsidRPr="0020113A">
            <w:rPr>
              <w:rFonts w:ascii="Times New Roman" w:hAnsi="Times New Roman"/>
              <w:sz w:val="24"/>
              <w:szCs w:val="24"/>
              <w:lang w:val="es-MX"/>
            </w:rPr>
            <w:t xml:space="preserve">15/02/2052  </w:t>
          </w:r>
        </w:p>
        <w:p w14:paraId="590C32E3" w14:textId="77777777" w:rsidR="007803E3" w:rsidRPr="0020113A" w:rsidRDefault="007803E3" w:rsidP="11D66258">
          <w:pPr>
            <w:spacing w:after="0"/>
            <w:jc w:val="both"/>
            <w:rPr>
              <w:rFonts w:ascii="Times New Roman" w:hAnsi="Times New Roman"/>
              <w:sz w:val="24"/>
              <w:szCs w:val="24"/>
              <w:lang w:val="es-MX"/>
            </w:rPr>
          </w:pPr>
          <w:r w:rsidRPr="0020113A">
            <w:rPr>
              <w:rFonts w:ascii="Times New Roman" w:hAnsi="Times New Roman"/>
              <w:b/>
              <w:sz w:val="24"/>
              <w:szCs w:val="24"/>
              <w:lang w:val="es-MX"/>
            </w:rPr>
            <w:t>Tipo ID:</w:t>
          </w:r>
          <w:r w:rsidRPr="0020113A">
            <w:rPr>
              <w:rFonts w:ascii="Times New Roman" w:hAnsi="Times New Roman"/>
              <w:sz w:val="24"/>
              <w:szCs w:val="24"/>
              <w:lang w:val="es-MX"/>
            </w:rPr>
            <w:t xml:space="preserve"> NIT  </w:t>
          </w:r>
        </w:p>
        <w:p w14:paraId="4409151E" w14:textId="77777777" w:rsidR="007803E3" w:rsidRPr="0020113A" w:rsidRDefault="007803E3" w:rsidP="11D66258">
          <w:pPr>
            <w:spacing w:after="0"/>
            <w:jc w:val="both"/>
            <w:rPr>
              <w:rFonts w:ascii="Times New Roman" w:hAnsi="Times New Roman"/>
              <w:sz w:val="24"/>
              <w:szCs w:val="24"/>
              <w:lang w:val="es-MX"/>
            </w:rPr>
          </w:pPr>
          <w:r w:rsidRPr="0020113A">
            <w:rPr>
              <w:rFonts w:ascii="Times New Roman" w:hAnsi="Times New Roman"/>
              <w:b/>
              <w:bCs/>
              <w:sz w:val="24"/>
              <w:szCs w:val="24"/>
              <w:lang w:val="es-MX"/>
            </w:rPr>
            <w:t xml:space="preserve">Número ID: </w:t>
          </w:r>
          <w:r w:rsidRPr="0020113A">
            <w:rPr>
              <w:rFonts w:ascii="Times New Roman" w:hAnsi="Times New Roman"/>
              <w:sz w:val="24"/>
              <w:szCs w:val="24"/>
              <w:lang w:val="es-MX"/>
            </w:rPr>
            <w:t>901.621.257</w:t>
          </w:r>
        </w:p>
        <w:p w14:paraId="2B7BF3E5" w14:textId="77777777" w:rsidR="007803E3" w:rsidRPr="0020113A" w:rsidRDefault="007803E3" w:rsidP="11D66258">
          <w:pPr>
            <w:spacing w:after="0" w:line="257" w:lineRule="auto"/>
            <w:rPr>
              <w:rFonts w:ascii="Times New Roman" w:hAnsi="Times New Roman"/>
              <w:sz w:val="24"/>
              <w:szCs w:val="24"/>
              <w:lang w:val="es-MX"/>
            </w:rPr>
          </w:pPr>
          <w:r w:rsidRPr="0020113A">
            <w:rPr>
              <w:rFonts w:ascii="Times New Roman" w:hAnsi="Times New Roman"/>
              <w:b/>
              <w:bCs/>
              <w:sz w:val="24"/>
              <w:szCs w:val="24"/>
              <w:lang w:val="es-MX"/>
            </w:rPr>
            <w:t xml:space="preserve">Razón social del concesionario: </w:t>
          </w:r>
          <w:r w:rsidRPr="0020113A">
            <w:rPr>
              <w:rFonts w:ascii="Times New Roman" w:hAnsi="Times New Roman"/>
              <w:sz w:val="24"/>
              <w:szCs w:val="24"/>
              <w:lang w:val="es-MX"/>
            </w:rPr>
            <w:t>Unión Vial Camino del Pacífico</w:t>
          </w:r>
        </w:p>
        <w:p w14:paraId="4D48636B" w14:textId="77777777" w:rsidR="007803E3" w:rsidRPr="0020113A" w:rsidRDefault="007803E3" w:rsidP="11D66258">
          <w:pPr>
            <w:spacing w:before="10" w:after="0" w:line="257" w:lineRule="auto"/>
            <w:rPr>
              <w:rFonts w:ascii="Times New Roman" w:hAnsi="Times New Roman"/>
              <w:sz w:val="24"/>
              <w:szCs w:val="24"/>
              <w:lang w:val="es-MX"/>
            </w:rPr>
          </w:pPr>
          <w:r w:rsidRPr="0020113A">
            <w:rPr>
              <w:rFonts w:ascii="Times New Roman" w:hAnsi="Times New Roman"/>
              <w:b/>
              <w:bCs/>
              <w:sz w:val="24"/>
              <w:szCs w:val="24"/>
              <w:lang w:val="es-MX"/>
            </w:rPr>
            <w:t xml:space="preserve">Nombre del proyecto: </w:t>
          </w:r>
          <w:r w:rsidRPr="0020113A">
            <w:rPr>
              <w:rFonts w:ascii="Times New Roman" w:hAnsi="Times New Roman"/>
              <w:sz w:val="24"/>
              <w:szCs w:val="24"/>
              <w:lang w:val="es-MX"/>
            </w:rPr>
            <w:t>APP Nueva Malla Vial del Valle del Cauca</w:t>
          </w:r>
        </w:p>
        <w:p w14:paraId="6D1AE7CB" w14:textId="77777777" w:rsidR="007803E3" w:rsidRPr="0020113A" w:rsidRDefault="007803E3" w:rsidP="007803E3">
          <w:pPr>
            <w:jc w:val="both"/>
            <w:rPr>
              <w:rFonts w:ascii="Times New Roman" w:eastAsia="Times New Roman" w:hAnsi="Times New Roman"/>
              <w:sz w:val="24"/>
              <w:szCs w:val="24"/>
              <w:lang w:val="es-MX"/>
            </w:rPr>
          </w:pPr>
          <w:r w:rsidRPr="0020113A">
            <w:rPr>
              <w:rFonts w:ascii="Times New Roman" w:eastAsia="Times New Roman" w:hAnsi="Times New Roman"/>
              <w:sz w:val="24"/>
              <w:szCs w:val="24"/>
              <w:lang w:val="es-MX"/>
            </w:rPr>
            <w:t xml:space="preserve">  </w:t>
          </w:r>
        </w:p>
        <w:p w14:paraId="3C3B547A" w14:textId="77777777" w:rsidR="007803E3" w:rsidRPr="0020113A" w:rsidRDefault="007803E3" w:rsidP="00E60BAB">
          <w:pPr>
            <w:pStyle w:val="Prrafodelista"/>
            <w:numPr>
              <w:ilvl w:val="0"/>
              <w:numId w:val="97"/>
            </w:numPr>
            <w:spacing w:after="0" w:line="259" w:lineRule="auto"/>
            <w:jc w:val="both"/>
            <w:rPr>
              <w:rFonts w:ascii="Times New Roman" w:hAnsi="Times New Roman"/>
              <w:sz w:val="24"/>
              <w:szCs w:val="24"/>
              <w:lang w:val="es-MX"/>
            </w:rPr>
          </w:pPr>
          <w:r w:rsidRPr="0020113A">
            <w:rPr>
              <w:rFonts w:ascii="Times New Roman" w:hAnsi="Times New Roman"/>
              <w:b/>
              <w:bCs/>
              <w:sz w:val="24"/>
              <w:szCs w:val="24"/>
              <w:lang w:val="es-MX"/>
            </w:rPr>
            <w:t>Términos significativos del acuerdo que puedan afectar su valor, el calendario y la certeza de los flujos</w:t>
          </w:r>
          <w:r w:rsidRPr="0020113A">
            <w:rPr>
              <w:rFonts w:ascii="Times New Roman" w:hAnsi="Times New Roman"/>
              <w:sz w:val="24"/>
              <w:szCs w:val="24"/>
              <w:lang w:val="es-MX"/>
            </w:rPr>
            <w:t xml:space="preserve">  </w:t>
          </w:r>
        </w:p>
        <w:p w14:paraId="4B249E5E" w14:textId="77777777" w:rsidR="007803E3" w:rsidRPr="0020113A" w:rsidRDefault="007803E3" w:rsidP="007803E3">
          <w:pPr>
            <w:tabs>
              <w:tab w:val="left" w:pos="5799"/>
            </w:tabs>
            <w:spacing w:before="38" w:line="156" w:lineRule="auto"/>
            <w:rPr>
              <w:rFonts w:ascii="Times New Roman" w:hAnsi="Times New Roman"/>
              <w:b/>
              <w:bCs/>
              <w:sz w:val="24"/>
              <w:szCs w:val="24"/>
              <w:lang w:val="es-MX"/>
            </w:rPr>
          </w:pPr>
        </w:p>
        <w:p w14:paraId="56DC5204" w14:textId="77777777" w:rsidR="007803E3" w:rsidRPr="0020113A" w:rsidRDefault="007803E3" w:rsidP="007803E3">
          <w:pPr>
            <w:tabs>
              <w:tab w:val="left" w:pos="5799"/>
            </w:tabs>
            <w:spacing w:before="38" w:line="156" w:lineRule="auto"/>
            <w:rPr>
              <w:rFonts w:ascii="Times New Roman" w:hAnsi="Times New Roman"/>
              <w:sz w:val="24"/>
              <w:szCs w:val="24"/>
              <w:lang w:val="es-MX"/>
            </w:rPr>
          </w:pPr>
          <w:r w:rsidRPr="0020113A">
            <w:rPr>
              <w:rFonts w:ascii="Times New Roman" w:hAnsi="Times New Roman"/>
              <w:b/>
              <w:bCs/>
              <w:sz w:val="24"/>
              <w:szCs w:val="24"/>
              <w:lang w:val="es-MX"/>
            </w:rPr>
            <w:t xml:space="preserve">Términos de valor: </w:t>
          </w:r>
          <w:r w:rsidRPr="0020113A">
            <w:rPr>
              <w:rFonts w:ascii="Times New Roman" w:hAnsi="Times New Roman"/>
              <w:sz w:val="24"/>
              <w:szCs w:val="24"/>
              <w:lang w:val="es-MX"/>
            </w:rPr>
            <w:t>La concesión en términos de valor para el año 2023 presentó las siguientes novedades:</w:t>
          </w:r>
        </w:p>
        <w:p w14:paraId="5D43436F" w14:textId="77777777" w:rsidR="007803E3" w:rsidRPr="0020113A" w:rsidRDefault="007803E3" w:rsidP="00E60BAB">
          <w:pPr>
            <w:pStyle w:val="Prrafodelista"/>
            <w:numPr>
              <w:ilvl w:val="0"/>
              <w:numId w:val="96"/>
            </w:numPr>
            <w:spacing w:before="1" w:line="259" w:lineRule="auto"/>
            <w:rPr>
              <w:rFonts w:ascii="Times New Roman" w:hAnsi="Times New Roman"/>
              <w:sz w:val="24"/>
              <w:szCs w:val="24"/>
              <w:lang w:val="es-MX"/>
            </w:rPr>
          </w:pPr>
          <w:r w:rsidRPr="0020113A">
            <w:rPr>
              <w:rFonts w:ascii="Times New Roman" w:hAnsi="Times New Roman"/>
              <w:sz w:val="24"/>
              <w:szCs w:val="24"/>
              <w:lang w:val="es-MX"/>
            </w:rPr>
            <w:t>Las tarifas de peajes se conservaron las mismas del año 2022 de acuerdo al Decreto 0050 del 15 de enero de 2023 expedido por el Ministerio de Transporte.</w:t>
          </w:r>
        </w:p>
        <w:p w14:paraId="787EED4F" w14:textId="77777777" w:rsidR="007803E3" w:rsidRPr="0020113A" w:rsidRDefault="007803E3" w:rsidP="00E60BAB">
          <w:pPr>
            <w:pStyle w:val="Prrafodelista"/>
            <w:numPr>
              <w:ilvl w:val="0"/>
              <w:numId w:val="96"/>
            </w:numPr>
            <w:spacing w:before="1" w:line="259" w:lineRule="auto"/>
            <w:rPr>
              <w:rFonts w:ascii="Times New Roman" w:hAnsi="Times New Roman"/>
              <w:sz w:val="24"/>
              <w:szCs w:val="24"/>
              <w:lang w:val="es-MX"/>
            </w:rPr>
          </w:pPr>
          <w:r w:rsidRPr="0020113A">
            <w:rPr>
              <w:rFonts w:ascii="Times New Roman" w:hAnsi="Times New Roman"/>
              <w:sz w:val="24"/>
              <w:szCs w:val="24"/>
              <w:lang w:val="es-MX"/>
            </w:rPr>
            <w:t>La Concesión recibió por concepto de retribución por recaudo de peajes lo siguiente:</w:t>
          </w:r>
        </w:p>
        <w:p w14:paraId="3862F6CC" w14:textId="77777777" w:rsidR="007803E3" w:rsidRPr="0020113A" w:rsidRDefault="007803E3" w:rsidP="11D66258">
          <w:pPr>
            <w:spacing w:after="0"/>
            <w:ind w:left="720"/>
            <w:rPr>
              <w:rFonts w:ascii="Times New Roman" w:hAnsi="Times New Roman"/>
              <w:sz w:val="24"/>
              <w:szCs w:val="24"/>
              <w:lang w:val="es-MX"/>
            </w:rPr>
          </w:pPr>
          <w:r w:rsidRPr="0020113A">
            <w:rPr>
              <w:rFonts w:ascii="Times New Roman" w:hAnsi="Times New Roman"/>
              <w:sz w:val="24"/>
              <w:szCs w:val="24"/>
              <w:lang w:val="es-MX"/>
            </w:rPr>
            <w:t>- Acta No. 1. $45.632.913.866,31</w:t>
          </w:r>
        </w:p>
        <w:p w14:paraId="47A2B6C4" w14:textId="77777777" w:rsidR="007803E3" w:rsidRPr="0020113A" w:rsidRDefault="007803E3" w:rsidP="11D66258">
          <w:pPr>
            <w:spacing w:after="0"/>
            <w:ind w:left="720"/>
            <w:rPr>
              <w:rFonts w:ascii="Times New Roman" w:hAnsi="Times New Roman"/>
              <w:sz w:val="24"/>
              <w:szCs w:val="24"/>
              <w:lang w:val="es-MX"/>
            </w:rPr>
          </w:pPr>
          <w:r w:rsidRPr="0020113A">
            <w:rPr>
              <w:rFonts w:ascii="Times New Roman" w:hAnsi="Times New Roman"/>
              <w:sz w:val="24"/>
              <w:szCs w:val="24"/>
              <w:lang w:val="es-MX"/>
            </w:rPr>
            <w:t>- Acta No. 2. $ 3.200.567.094,35</w:t>
          </w:r>
        </w:p>
        <w:p w14:paraId="484A620E" w14:textId="77777777" w:rsidR="007803E3" w:rsidRPr="0020113A" w:rsidRDefault="007803E3" w:rsidP="11D66258">
          <w:pPr>
            <w:spacing w:after="0"/>
            <w:ind w:left="720"/>
            <w:rPr>
              <w:rFonts w:ascii="Times New Roman" w:hAnsi="Times New Roman"/>
              <w:sz w:val="24"/>
              <w:szCs w:val="24"/>
              <w:lang w:val="es-MX"/>
            </w:rPr>
          </w:pPr>
          <w:r w:rsidRPr="0020113A">
            <w:rPr>
              <w:rFonts w:ascii="Times New Roman" w:hAnsi="Times New Roman"/>
              <w:sz w:val="24"/>
              <w:szCs w:val="24"/>
              <w:lang w:val="es-MX"/>
            </w:rPr>
            <w:t>- Acta No. 3. $3.792.163.825,07</w:t>
          </w:r>
        </w:p>
        <w:p w14:paraId="68A09FA8" w14:textId="77777777" w:rsidR="007803E3" w:rsidRPr="0020113A" w:rsidRDefault="007803E3" w:rsidP="11D66258">
          <w:pPr>
            <w:spacing w:after="0"/>
            <w:ind w:left="720"/>
            <w:rPr>
              <w:rFonts w:ascii="Times New Roman" w:hAnsi="Times New Roman"/>
              <w:sz w:val="24"/>
              <w:szCs w:val="24"/>
              <w:lang w:val="es-MX"/>
            </w:rPr>
          </w:pPr>
          <w:r w:rsidRPr="0020113A">
            <w:rPr>
              <w:rFonts w:ascii="Times New Roman" w:hAnsi="Times New Roman"/>
              <w:sz w:val="24"/>
              <w:szCs w:val="24"/>
              <w:lang w:val="es-MX"/>
            </w:rPr>
            <w:t>- Acta No. 4. $3.047.816.719,85</w:t>
          </w:r>
        </w:p>
        <w:p w14:paraId="7519D16F" w14:textId="77777777" w:rsidR="007803E3" w:rsidRPr="0020113A" w:rsidRDefault="007803E3" w:rsidP="00E60BAB">
          <w:pPr>
            <w:pStyle w:val="Prrafodelista"/>
            <w:numPr>
              <w:ilvl w:val="0"/>
              <w:numId w:val="95"/>
            </w:numPr>
            <w:spacing w:before="1" w:line="259" w:lineRule="auto"/>
            <w:rPr>
              <w:rFonts w:ascii="Times New Roman" w:hAnsi="Times New Roman"/>
              <w:sz w:val="24"/>
              <w:szCs w:val="24"/>
              <w:lang w:val="es-MX"/>
            </w:rPr>
          </w:pPr>
          <w:r w:rsidRPr="0020113A">
            <w:rPr>
              <w:rFonts w:ascii="Times New Roman" w:hAnsi="Times New Roman"/>
              <w:sz w:val="24"/>
              <w:szCs w:val="24"/>
              <w:lang w:val="es-MX"/>
            </w:rPr>
            <w:t>A corte del 31 de dicie</w:t>
          </w:r>
          <w:r w:rsidRPr="0020113A">
            <w:rPr>
              <w:rFonts w:ascii="Times New Roman" w:eastAsiaTheme="minorEastAsia" w:hAnsi="Times New Roman"/>
              <w:sz w:val="24"/>
              <w:szCs w:val="24"/>
              <w:lang w:val="es-MX"/>
            </w:rPr>
            <w:t>mbre de 2023 no se han recibido aportes Estatales.</w:t>
          </w:r>
        </w:p>
        <w:p w14:paraId="7A84949E" w14:textId="77777777" w:rsidR="007803E3" w:rsidRPr="0020113A" w:rsidRDefault="007803E3" w:rsidP="00E60BAB">
          <w:pPr>
            <w:pStyle w:val="Prrafodelista"/>
            <w:numPr>
              <w:ilvl w:val="0"/>
              <w:numId w:val="95"/>
            </w:numPr>
            <w:spacing w:before="1" w:line="259" w:lineRule="auto"/>
            <w:rPr>
              <w:rFonts w:ascii="Times New Roman" w:hAnsi="Times New Roman"/>
              <w:sz w:val="24"/>
              <w:szCs w:val="24"/>
              <w:lang w:val="es-MX"/>
            </w:rPr>
          </w:pPr>
          <w:r w:rsidRPr="0020113A">
            <w:rPr>
              <w:rFonts w:ascii="Times New Roman" w:hAnsi="Times New Roman"/>
              <w:sz w:val="24"/>
              <w:szCs w:val="24"/>
              <w:lang w:val="es-MX"/>
            </w:rPr>
            <w:t>A 31 de diciembre de 2023 no existen sanciones a cargo de la Concesión en relación al contrato</w:t>
          </w:r>
        </w:p>
        <w:p w14:paraId="4B4676FF" w14:textId="77777777" w:rsidR="007803E3" w:rsidRPr="0020113A" w:rsidRDefault="007803E3" w:rsidP="007803E3">
          <w:pPr>
            <w:spacing w:before="7"/>
            <w:rPr>
              <w:rFonts w:ascii="Times New Roman" w:hAnsi="Times New Roman"/>
              <w:sz w:val="24"/>
              <w:szCs w:val="24"/>
              <w:lang w:val="es-MX"/>
            </w:rPr>
          </w:pPr>
          <w:r w:rsidRPr="0020113A">
            <w:rPr>
              <w:rFonts w:ascii="Times New Roman" w:eastAsiaTheme="minorEastAsia" w:hAnsi="Times New Roman"/>
              <w:b/>
              <w:sz w:val="24"/>
              <w:szCs w:val="24"/>
              <w:lang w:val="es-MX"/>
            </w:rPr>
            <w:t>Términos de calendario:</w:t>
          </w:r>
          <w:r w:rsidRPr="0020113A">
            <w:rPr>
              <w:rFonts w:ascii="Times New Roman" w:eastAsiaTheme="minorEastAsia" w:hAnsi="Times New Roman"/>
              <w:b/>
              <w:bCs/>
              <w:sz w:val="24"/>
              <w:szCs w:val="24"/>
              <w:lang w:val="es-MX"/>
            </w:rPr>
            <w:t xml:space="preserve"> </w:t>
          </w:r>
          <w:r w:rsidRPr="0020113A">
            <w:rPr>
              <w:rFonts w:ascii="Times New Roman" w:hAnsi="Times New Roman"/>
              <w:sz w:val="24"/>
              <w:szCs w:val="24"/>
              <w:lang w:val="es-MX"/>
            </w:rPr>
            <w:t>En materia de calendario, la Concesión informa que:</w:t>
          </w:r>
        </w:p>
        <w:p w14:paraId="694FE961" w14:textId="77777777" w:rsidR="007803E3" w:rsidRPr="0020113A" w:rsidRDefault="007803E3" w:rsidP="00E60BAB">
          <w:pPr>
            <w:pStyle w:val="Prrafodelista"/>
            <w:numPr>
              <w:ilvl w:val="0"/>
              <w:numId w:val="96"/>
            </w:numPr>
            <w:spacing w:before="1" w:line="259" w:lineRule="auto"/>
            <w:rPr>
              <w:rFonts w:ascii="Times New Roman" w:hAnsi="Times New Roman"/>
              <w:sz w:val="24"/>
              <w:szCs w:val="24"/>
              <w:lang w:val="es-MX"/>
            </w:rPr>
          </w:pPr>
          <w:r w:rsidRPr="0020113A">
            <w:rPr>
              <w:rFonts w:ascii="Times New Roman" w:hAnsi="Times New Roman"/>
              <w:sz w:val="24"/>
              <w:szCs w:val="24"/>
              <w:lang w:val="es-MX"/>
            </w:rPr>
            <w:t>Se ha realizado los fondeos contractuales, tales como son excedentes ANI, subcuenta MASC, subcuenta interventoría y Coordinación, etc.</w:t>
          </w:r>
        </w:p>
        <w:p w14:paraId="39B918C9" w14:textId="77777777" w:rsidR="007803E3" w:rsidRPr="0020113A" w:rsidRDefault="007803E3" w:rsidP="00E60BAB">
          <w:pPr>
            <w:pStyle w:val="Prrafodelista"/>
            <w:numPr>
              <w:ilvl w:val="0"/>
              <w:numId w:val="96"/>
            </w:numPr>
            <w:spacing w:before="1" w:line="259" w:lineRule="auto"/>
            <w:rPr>
              <w:rFonts w:ascii="Times New Roman" w:hAnsi="Times New Roman"/>
              <w:sz w:val="24"/>
              <w:szCs w:val="24"/>
              <w:lang w:val="es-MX"/>
            </w:rPr>
          </w:pPr>
          <w:r w:rsidRPr="0020113A">
            <w:rPr>
              <w:rFonts w:ascii="Times New Roman" w:hAnsi="Times New Roman"/>
              <w:sz w:val="24"/>
              <w:szCs w:val="24"/>
              <w:lang w:val="es-MX"/>
            </w:rPr>
            <w:t>En materia de etapa de preconstrucción la Concesionaria se encuentra en ella desde el 16 de febrero del año 2023.</w:t>
          </w:r>
        </w:p>
        <w:p w14:paraId="0CF8BC1A" w14:textId="77777777" w:rsidR="007803E3" w:rsidRPr="0020113A" w:rsidRDefault="007803E3" w:rsidP="007803E3">
          <w:pPr>
            <w:rPr>
              <w:rFonts w:ascii="Times New Roman" w:hAnsi="Times New Roman"/>
              <w:sz w:val="24"/>
              <w:szCs w:val="24"/>
              <w:lang w:val="es-MX"/>
            </w:rPr>
          </w:pPr>
          <w:r w:rsidRPr="0020113A">
            <w:rPr>
              <w:rFonts w:ascii="Times New Roman" w:hAnsi="Times New Roman"/>
              <w:b/>
              <w:bCs/>
              <w:sz w:val="24"/>
              <w:szCs w:val="24"/>
              <w:lang w:val="es-MX"/>
            </w:rPr>
            <w:t xml:space="preserve">Términos de certeza de flujos de efectivo futuros: </w:t>
          </w:r>
          <w:r w:rsidRPr="0020113A">
            <w:rPr>
              <w:rFonts w:ascii="Times New Roman" w:hAnsi="Times New Roman"/>
              <w:sz w:val="24"/>
              <w:szCs w:val="24"/>
              <w:lang w:val="es-MX"/>
            </w:rPr>
            <w:t>Para 2024 se espera incremento en tarifas de peajes. De igual manera se espera el reconocimiento por parte de la entidad contratante el reconocimiento del recurso dejado de percibir por el no incremento de tarifas de peajes para el año 2023.</w:t>
          </w:r>
        </w:p>
        <w:p w14:paraId="3D54E632" w14:textId="77777777" w:rsidR="007803E3" w:rsidRPr="0020113A" w:rsidRDefault="007803E3" w:rsidP="00E60BAB">
          <w:pPr>
            <w:pStyle w:val="Prrafodelista"/>
            <w:numPr>
              <w:ilvl w:val="0"/>
              <w:numId w:val="97"/>
            </w:numPr>
            <w:spacing w:after="0" w:line="259" w:lineRule="auto"/>
            <w:jc w:val="both"/>
            <w:rPr>
              <w:rFonts w:ascii="Times New Roman" w:eastAsia="Times New Roman" w:hAnsi="Times New Roman"/>
              <w:sz w:val="24"/>
              <w:szCs w:val="24"/>
              <w:lang w:val="es-MX"/>
            </w:rPr>
          </w:pPr>
          <w:r w:rsidRPr="0020113A">
            <w:rPr>
              <w:rFonts w:ascii="Times New Roman" w:hAnsi="Times New Roman"/>
              <w:b/>
              <w:bCs/>
              <w:sz w:val="24"/>
              <w:szCs w:val="24"/>
              <w:lang w:val="es-MX"/>
            </w:rPr>
            <w:t>Naturaleza y alcance del derecho a utilizar activos especificados, de los aspectos pactados en torno a lo que se espera que el concesionario proporcione en relación con el acuerdo de concesión</w:t>
          </w:r>
          <w:r w:rsidRPr="0020113A">
            <w:rPr>
              <w:rFonts w:ascii="Times New Roman" w:eastAsia="Times New Roman" w:hAnsi="Times New Roman"/>
              <w:b/>
              <w:bCs/>
              <w:sz w:val="24"/>
              <w:szCs w:val="24"/>
              <w:lang w:val="es-MX"/>
            </w:rPr>
            <w:t xml:space="preserve"> </w:t>
          </w:r>
          <w:r w:rsidRPr="0020113A">
            <w:rPr>
              <w:rFonts w:ascii="Times New Roman" w:eastAsia="Times New Roman" w:hAnsi="Times New Roman"/>
              <w:sz w:val="24"/>
              <w:szCs w:val="24"/>
              <w:lang w:val="es-MX"/>
            </w:rPr>
            <w:t xml:space="preserve"> </w:t>
          </w:r>
        </w:p>
        <w:p w14:paraId="7D0FE134" w14:textId="77777777" w:rsidR="007803E3" w:rsidRPr="0020113A" w:rsidRDefault="007803E3" w:rsidP="007803E3">
          <w:pPr>
            <w:pStyle w:val="Prrafodelista"/>
            <w:spacing w:after="0"/>
            <w:ind w:left="360"/>
            <w:jc w:val="both"/>
            <w:rPr>
              <w:rFonts w:ascii="Times New Roman" w:eastAsia="Times New Roman" w:hAnsi="Times New Roman"/>
              <w:sz w:val="24"/>
              <w:szCs w:val="24"/>
              <w:lang w:val="es-MX"/>
            </w:rPr>
          </w:pPr>
        </w:p>
        <w:p w14:paraId="653F8E4F"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bCs/>
              <w:sz w:val="24"/>
              <w:szCs w:val="24"/>
              <w:lang w:val="es-MX"/>
            </w:rPr>
            <w:t>Descripción:</w:t>
          </w:r>
          <w:r w:rsidRPr="0020113A">
            <w:rPr>
              <w:rFonts w:ascii="Times New Roman" w:hAnsi="Times New Roman"/>
              <w:sz w:val="24"/>
              <w:szCs w:val="24"/>
              <w:lang w:val="es-MX"/>
            </w:rPr>
            <w:t xml:space="preserve"> Durante el contrato de concesión, el Concesionario tiene derecho a la explotación de la malla Vial comprendida entre los Municipios de Buenaventura - Loboguerrero - Buga.</w:t>
          </w:r>
        </w:p>
        <w:p w14:paraId="524367CE"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Dentro de este corredor vial, la Concesionaria realizará actividades de construcción doble calzada tramos faltantes y demás obras contempladas en el contrato de concesión, mantenimiento de toda la malla vial y recaudo y administración de Peaje Loboguerrero.</w:t>
          </w:r>
        </w:p>
        <w:p w14:paraId="7EF23461" w14:textId="77777777" w:rsidR="007803E3" w:rsidRPr="0020113A" w:rsidRDefault="007803E3" w:rsidP="007803E3">
          <w:pPr>
            <w:jc w:val="both"/>
            <w:rPr>
              <w:rFonts w:ascii="Times New Roman" w:eastAsia="Times New Roman" w:hAnsi="Times New Roman"/>
              <w:sz w:val="24"/>
              <w:szCs w:val="24"/>
              <w:lang w:val="es-MX"/>
            </w:rPr>
          </w:pPr>
          <w:r w:rsidRPr="0020113A">
            <w:rPr>
              <w:rFonts w:ascii="Times New Roman" w:hAnsi="Times New Roman"/>
              <w:b/>
              <w:bCs/>
              <w:sz w:val="24"/>
              <w:szCs w:val="24"/>
              <w:lang w:val="es-MX"/>
            </w:rPr>
            <w:t xml:space="preserve">Observaciones:  </w:t>
          </w:r>
          <w:r w:rsidRPr="0020113A">
            <w:rPr>
              <w:rFonts w:ascii="Times New Roman" w:hAnsi="Times New Roman"/>
              <w:sz w:val="24"/>
              <w:szCs w:val="24"/>
              <w:lang w:val="es-MX"/>
            </w:rPr>
            <w:t xml:space="preserve"> No se tiene ninguna</w:t>
          </w:r>
          <w:r w:rsidRPr="0020113A">
            <w:rPr>
              <w:rFonts w:ascii="Times New Roman" w:eastAsia="Times New Roman" w:hAnsi="Times New Roman"/>
              <w:sz w:val="24"/>
              <w:szCs w:val="24"/>
              <w:lang w:val="es-MX"/>
            </w:rPr>
            <w:t xml:space="preserve"> </w:t>
          </w:r>
        </w:p>
        <w:p w14:paraId="2CD078AE" w14:textId="77777777" w:rsidR="007803E3" w:rsidRPr="0020113A" w:rsidRDefault="007803E3" w:rsidP="007803E3">
          <w:pPr>
            <w:jc w:val="center"/>
            <w:rPr>
              <w:rFonts w:ascii="Times New Roman" w:hAnsi="Times New Roman"/>
              <w:b/>
              <w:bCs/>
              <w:sz w:val="24"/>
              <w:szCs w:val="24"/>
              <w:lang w:val="es-MX"/>
            </w:rPr>
          </w:pPr>
          <w:r w:rsidRPr="0020113A">
            <w:rPr>
              <w:rFonts w:ascii="Times New Roman" w:hAnsi="Times New Roman"/>
              <w:b/>
              <w:bCs/>
              <w:sz w:val="24"/>
              <w:szCs w:val="24"/>
              <w:lang w:val="es-MX"/>
            </w:rPr>
            <w:t>Retribución al concesionario</w:t>
          </w:r>
        </w:p>
        <w:p w14:paraId="54B28666" w14:textId="6E9DC798" w:rsidR="007803E3" w:rsidRPr="0020113A" w:rsidRDefault="007803E3" w:rsidP="007803E3">
          <w:pPr>
            <w:jc w:val="both"/>
            <w:rPr>
              <w:rFonts w:ascii="Times New Roman" w:hAnsi="Times New Roman"/>
              <w:sz w:val="24"/>
              <w:szCs w:val="24"/>
              <w:lang w:val="es-MX"/>
            </w:rPr>
          </w:pPr>
          <w:r w:rsidRPr="0020113A">
            <w:rPr>
              <w:rFonts w:ascii="Times New Roman" w:hAnsi="Times New Roman"/>
              <w:b/>
              <w:bCs/>
              <w:sz w:val="24"/>
              <w:szCs w:val="24"/>
              <w:lang w:val="es-MX"/>
            </w:rPr>
            <w:t>Observaciones</w:t>
          </w:r>
          <w:r w:rsidRPr="0020113A">
            <w:rPr>
              <w:rFonts w:ascii="Times New Roman" w:hAnsi="Times New Roman"/>
              <w:sz w:val="24"/>
              <w:szCs w:val="24"/>
              <w:lang w:val="es-MX"/>
            </w:rPr>
            <w:t>:  La</w:t>
          </w:r>
          <w:r w:rsidRPr="0020113A">
            <w:rPr>
              <w:rFonts w:ascii="Times New Roman" w:hAnsi="Times New Roman"/>
              <w:sz w:val="24"/>
              <w:szCs w:val="24"/>
            </w:rPr>
            <w:tab/>
          </w:r>
          <w:r w:rsidRPr="0020113A">
            <w:rPr>
              <w:rFonts w:ascii="Times New Roman" w:hAnsi="Times New Roman"/>
              <w:sz w:val="24"/>
              <w:szCs w:val="24"/>
              <w:lang w:val="es-MX"/>
            </w:rPr>
            <w:t>retribución al Concesionario se realiza de acuerdo al numeral 4.3 de la parte especial del contrato de concesión.</w:t>
          </w:r>
        </w:p>
        <w:p w14:paraId="5FDAD311" w14:textId="77777777" w:rsidR="007803E3" w:rsidRPr="0020113A" w:rsidRDefault="007803E3" w:rsidP="007803E3">
          <w:pPr>
            <w:tabs>
              <w:tab w:val="left" w:pos="1054"/>
              <w:tab w:val="left" w:pos="2346"/>
            </w:tabs>
            <w:spacing w:line="257" w:lineRule="auto"/>
            <w:rPr>
              <w:rFonts w:ascii="Times New Roman" w:hAnsi="Times New Roman"/>
              <w:sz w:val="24"/>
              <w:szCs w:val="24"/>
              <w:lang w:val="es-MX"/>
            </w:rPr>
          </w:pPr>
          <w:r w:rsidRPr="0020113A">
            <w:rPr>
              <w:rFonts w:ascii="Times New Roman" w:hAnsi="Times New Roman"/>
              <w:b/>
              <w:bCs/>
              <w:sz w:val="24"/>
              <w:szCs w:val="24"/>
              <w:lang w:val="es-MX"/>
            </w:rPr>
            <w:t xml:space="preserve">Tasa de Retribución:   </w:t>
          </w:r>
          <w:r w:rsidRPr="0020113A">
            <w:rPr>
              <w:rFonts w:ascii="Times New Roman" w:hAnsi="Times New Roman"/>
              <w:sz w:val="24"/>
              <w:szCs w:val="24"/>
              <w:lang w:val="es-MX"/>
            </w:rPr>
            <w:t>TDI 0,5779% efectivo mensual.</w:t>
          </w:r>
        </w:p>
        <w:p w14:paraId="68E00F1C" w14:textId="77777777" w:rsidR="007803E3" w:rsidRPr="0020113A" w:rsidRDefault="007803E3" w:rsidP="00E60BAB">
          <w:pPr>
            <w:pStyle w:val="Prrafodelista"/>
            <w:numPr>
              <w:ilvl w:val="0"/>
              <w:numId w:val="97"/>
            </w:numPr>
            <w:spacing w:line="259" w:lineRule="auto"/>
            <w:jc w:val="both"/>
            <w:rPr>
              <w:rFonts w:ascii="Times New Roman" w:hAnsi="Times New Roman"/>
              <w:sz w:val="24"/>
              <w:szCs w:val="24"/>
              <w:lang w:val="es-MX"/>
            </w:rPr>
          </w:pPr>
          <w:r w:rsidRPr="0020113A">
            <w:rPr>
              <w:rFonts w:ascii="Times New Roman" w:hAnsi="Times New Roman"/>
              <w:b/>
              <w:bCs/>
              <w:sz w:val="24"/>
              <w:szCs w:val="24"/>
              <w:lang w:val="es-MX"/>
            </w:rPr>
            <w:t xml:space="preserve">Derechos a recibir activos especificados al final del acuerdo de concesión </w:t>
          </w:r>
          <w:r w:rsidRPr="0020113A">
            <w:rPr>
              <w:rFonts w:ascii="Times New Roman" w:hAnsi="Times New Roman"/>
              <w:sz w:val="24"/>
              <w:szCs w:val="24"/>
              <w:lang w:val="es-MX"/>
            </w:rPr>
            <w:t xml:space="preserve"> </w:t>
          </w:r>
        </w:p>
        <w:p w14:paraId="76B0A080" w14:textId="77777777" w:rsidR="007803E3" w:rsidRPr="0020113A" w:rsidRDefault="007803E3" w:rsidP="007803E3">
          <w:pPr>
            <w:jc w:val="both"/>
            <w:rPr>
              <w:rFonts w:ascii="Times New Roman" w:hAnsi="Times New Roman"/>
              <w:b/>
              <w:sz w:val="24"/>
              <w:szCs w:val="24"/>
              <w:lang w:val="es-MX"/>
            </w:rPr>
          </w:pPr>
          <w:r w:rsidRPr="0020113A">
            <w:rPr>
              <w:rFonts w:ascii="Times New Roman" w:hAnsi="Times New Roman"/>
              <w:b/>
              <w:bCs/>
              <w:sz w:val="24"/>
              <w:szCs w:val="24"/>
              <w:lang w:val="es-MX"/>
            </w:rPr>
            <w:t xml:space="preserve"> Descripción:  </w:t>
          </w:r>
          <w:r w:rsidRPr="0020113A">
            <w:rPr>
              <w:rFonts w:ascii="Times New Roman" w:hAnsi="Times New Roman"/>
              <w:sz w:val="24"/>
              <w:szCs w:val="24"/>
              <w:lang w:val="es-MX"/>
            </w:rPr>
            <w:t>Al termino de contrato de Concesión, el Concesionario se obliga a entregar los activos reversibles consolidados durante la ejecución del proyecto.</w:t>
          </w:r>
        </w:p>
        <w:p w14:paraId="5F73BCBE" w14:textId="7F19C3C1" w:rsidR="003B53E5" w:rsidRDefault="35C102FD" w:rsidP="11D66258">
          <w:pPr>
            <w:ind w:left="-20" w:right="-20"/>
            <w:rPr>
              <w:rFonts w:ascii="Times New Roman" w:hAnsi="Times New Roman"/>
              <w:b/>
              <w:bCs/>
              <w:sz w:val="24"/>
              <w:szCs w:val="24"/>
              <w:lang w:val="es-MX"/>
            </w:rPr>
          </w:pPr>
          <w:r w:rsidRPr="11D66258">
            <w:rPr>
              <w:rFonts w:ascii="Times New Roman" w:hAnsi="Times New Roman"/>
              <w:b/>
              <w:bCs/>
              <w:sz w:val="24"/>
              <w:szCs w:val="24"/>
              <w:lang w:val="es-MX"/>
            </w:rPr>
            <w:t xml:space="preserve">e. </w:t>
          </w:r>
          <w:r w:rsidRPr="7E37599B">
            <w:rPr>
              <w:rFonts w:ascii="Times New Roman" w:hAnsi="Times New Roman"/>
              <w:b/>
              <w:bCs/>
              <w:sz w:val="24"/>
              <w:szCs w:val="24"/>
              <w:lang w:val="es-MX"/>
            </w:rPr>
            <w:t>No hay cambios</w:t>
          </w:r>
          <w:r w:rsidRPr="11D66258">
            <w:rPr>
              <w:rFonts w:ascii="Times New Roman" w:hAnsi="Times New Roman"/>
              <w:b/>
              <w:bCs/>
              <w:sz w:val="24"/>
              <w:szCs w:val="24"/>
              <w:lang w:val="es-MX"/>
            </w:rPr>
            <w:t xml:space="preserve"> en el acuerdo de concesión que se realicen durante el periodo fiscal</w:t>
          </w:r>
        </w:p>
        <w:p w14:paraId="2E264576" w14:textId="3B71A174" w:rsidR="003B53E5" w:rsidRDefault="003B53E5" w:rsidP="007803E3">
          <w:pPr>
            <w:rPr>
              <w:rFonts w:ascii="Times New Roman" w:hAnsi="Times New Roman"/>
              <w:b/>
              <w:sz w:val="24"/>
              <w:szCs w:val="24"/>
              <w:lang w:val="es-MX"/>
            </w:rPr>
          </w:pPr>
        </w:p>
        <w:p w14:paraId="16082121" w14:textId="7704D8E0" w:rsidR="7E37599B" w:rsidRDefault="7E37599B" w:rsidP="7E37599B">
          <w:pPr>
            <w:rPr>
              <w:rFonts w:ascii="Times New Roman" w:hAnsi="Times New Roman"/>
              <w:b/>
              <w:bCs/>
              <w:sz w:val="24"/>
              <w:szCs w:val="24"/>
              <w:lang w:val="es-MX"/>
            </w:rPr>
          </w:pPr>
        </w:p>
        <w:p w14:paraId="710A4DF3" w14:textId="195D5F86"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BOGOTA VILLETA</w:t>
          </w:r>
        </w:p>
        <w:p w14:paraId="335D626F" w14:textId="77777777" w:rsidR="007803E3" w:rsidRPr="0020113A" w:rsidRDefault="007803E3" w:rsidP="00E60BAB">
          <w:pPr>
            <w:pStyle w:val="Prrafodelista"/>
            <w:numPr>
              <w:ilvl w:val="0"/>
              <w:numId w:val="66"/>
            </w:numPr>
            <w:spacing w:line="259" w:lineRule="auto"/>
            <w:rPr>
              <w:rFonts w:ascii="Times New Roman" w:hAnsi="Times New Roman"/>
              <w:b/>
              <w:sz w:val="24"/>
              <w:szCs w:val="24"/>
              <w:lang w:val="es-MX"/>
            </w:rPr>
          </w:pPr>
          <w:r w:rsidRPr="0020113A">
            <w:rPr>
              <w:rFonts w:ascii="Times New Roman" w:hAnsi="Times New Roman"/>
              <w:b/>
              <w:sz w:val="24"/>
              <w:szCs w:val="24"/>
              <w:lang w:val="es-MX"/>
            </w:rPr>
            <w:t>Descripción del Acuerdo</w:t>
          </w:r>
        </w:p>
        <w:p w14:paraId="2095F93E" w14:textId="77777777" w:rsidR="007803E3" w:rsidRPr="0020113A" w:rsidRDefault="007803E3" w:rsidP="2EBECF5A">
          <w:pPr>
            <w:spacing w:after="0"/>
            <w:rPr>
              <w:rFonts w:ascii="Times New Roman" w:hAnsi="Times New Roman"/>
              <w:sz w:val="24"/>
              <w:szCs w:val="24"/>
              <w:lang w:val="es-MX"/>
            </w:rPr>
          </w:pPr>
          <w:r w:rsidRPr="0020113A">
            <w:rPr>
              <w:rFonts w:ascii="Times New Roman" w:hAnsi="Times New Roman"/>
              <w:b/>
              <w:sz w:val="24"/>
              <w:szCs w:val="24"/>
              <w:lang w:val="es-MX"/>
            </w:rPr>
            <w:t xml:space="preserve">Número del Acuerdo de Concesión: </w:t>
          </w:r>
          <w:r w:rsidRPr="0020113A">
            <w:rPr>
              <w:rFonts w:ascii="Times New Roman" w:hAnsi="Times New Roman"/>
              <w:sz w:val="24"/>
              <w:szCs w:val="24"/>
              <w:lang w:val="es-MX"/>
            </w:rPr>
            <w:t>CONTRATO DE CONCESION No 447 DE 1994</w:t>
          </w:r>
        </w:p>
        <w:p w14:paraId="34878CDA" w14:textId="77777777" w:rsidR="007803E3" w:rsidRPr="0020113A" w:rsidRDefault="007803E3" w:rsidP="2EBECF5A">
          <w:pPr>
            <w:spacing w:after="0"/>
            <w:jc w:val="both"/>
            <w:rPr>
              <w:rFonts w:ascii="Times New Roman" w:hAnsi="Times New Roman"/>
              <w:sz w:val="24"/>
              <w:szCs w:val="24"/>
              <w:lang w:val="es-MX"/>
            </w:rPr>
          </w:pPr>
          <w:r w:rsidRPr="0020113A">
            <w:rPr>
              <w:rFonts w:ascii="Times New Roman" w:hAnsi="Times New Roman"/>
              <w:b/>
              <w:sz w:val="24"/>
              <w:szCs w:val="24"/>
              <w:lang w:val="es-MX"/>
            </w:rPr>
            <w:t xml:space="preserve">Objeto / Descripción: </w:t>
          </w:r>
          <w:r w:rsidRPr="0020113A">
            <w:rPr>
              <w:rFonts w:ascii="Times New Roman" w:hAnsi="Times New Roman"/>
              <w:sz w:val="24"/>
              <w:szCs w:val="24"/>
              <w:lang w:val="es-MX"/>
            </w:rPr>
            <w:t>EL CONCESIONARIO se obliga a ejecutar por el sistema de concesión, según lo establecido por el artículo 32, numeral 4o. de la Ley 80 de 1993, los estudios, diseños definitivos, las obras de rehabilitación, de construcción, la operación y el mantenimiento de la carretera Santafé de Bogotá (Puente El Cortijo) -. Siberia- La Punta -El Vino, del tramo de carretera Santafé de Bogotá – La Vega, ruta 54, en el Departamento de Cundinamarca.</w:t>
          </w:r>
        </w:p>
        <w:p w14:paraId="4F334C0E" w14:textId="77777777" w:rsidR="007803E3" w:rsidRPr="0020113A" w:rsidRDefault="007803E3" w:rsidP="2EBECF5A">
          <w:pPr>
            <w:spacing w:after="0"/>
            <w:rPr>
              <w:rFonts w:ascii="Times New Roman" w:hAnsi="Times New Roman"/>
              <w:b/>
              <w:sz w:val="24"/>
              <w:szCs w:val="24"/>
              <w:lang w:val="es-MX"/>
            </w:rPr>
          </w:pPr>
          <w:r w:rsidRPr="0020113A">
            <w:rPr>
              <w:rFonts w:ascii="Times New Roman" w:hAnsi="Times New Roman"/>
              <w:b/>
              <w:sz w:val="24"/>
              <w:szCs w:val="24"/>
              <w:lang w:val="es-MX"/>
            </w:rPr>
            <w:t xml:space="preserve">Valor Inicial: </w:t>
          </w:r>
          <w:r w:rsidRPr="0020113A">
            <w:rPr>
              <w:rFonts w:ascii="Times New Roman" w:hAnsi="Times New Roman"/>
              <w:sz w:val="24"/>
              <w:szCs w:val="24"/>
              <w:lang w:val="es-MX"/>
            </w:rPr>
            <w:t>El valor es de $25.633.440.000 (junio de 1994).</w:t>
          </w:r>
        </w:p>
        <w:p w14:paraId="7DF98C26" w14:textId="77777777" w:rsidR="007803E3" w:rsidRPr="0020113A" w:rsidRDefault="007803E3" w:rsidP="13FCB80F">
          <w:pPr>
            <w:spacing w:after="0"/>
            <w:rPr>
              <w:rFonts w:ascii="Times New Roman" w:hAnsi="Times New Roman"/>
              <w:sz w:val="24"/>
              <w:szCs w:val="24"/>
              <w:lang w:val="es-MX"/>
            </w:rPr>
          </w:pPr>
          <w:r w:rsidRPr="0020113A">
            <w:rPr>
              <w:rFonts w:ascii="Times New Roman" w:hAnsi="Times New Roman"/>
              <w:b/>
              <w:sz w:val="24"/>
              <w:szCs w:val="24"/>
              <w:lang w:val="es-MX"/>
            </w:rPr>
            <w:t xml:space="preserve">Fecha de Inicio: </w:t>
          </w:r>
          <w:r w:rsidRPr="0020113A">
            <w:rPr>
              <w:rFonts w:ascii="Times New Roman" w:hAnsi="Times New Roman"/>
              <w:sz w:val="24"/>
              <w:szCs w:val="24"/>
              <w:lang w:val="es-MX"/>
            </w:rPr>
            <w:t>02 de agosto de 1994</w:t>
          </w:r>
        </w:p>
        <w:p w14:paraId="6982908D" w14:textId="77777777" w:rsidR="007803E3" w:rsidRPr="0020113A" w:rsidRDefault="007803E3" w:rsidP="13FCB80F">
          <w:pPr>
            <w:spacing w:after="0"/>
            <w:rPr>
              <w:rFonts w:ascii="Times New Roman" w:hAnsi="Times New Roman"/>
              <w:sz w:val="24"/>
              <w:szCs w:val="24"/>
              <w:lang w:val="es-MX"/>
            </w:rPr>
          </w:pPr>
          <w:r w:rsidRPr="0020113A">
            <w:rPr>
              <w:rFonts w:ascii="Times New Roman" w:hAnsi="Times New Roman"/>
              <w:b/>
              <w:sz w:val="24"/>
              <w:szCs w:val="24"/>
              <w:lang w:val="es-MX"/>
            </w:rPr>
            <w:t xml:space="preserve">Fecha de Finalización Estimada: </w:t>
          </w:r>
          <w:r w:rsidRPr="0020113A">
            <w:rPr>
              <w:rFonts w:ascii="Times New Roman" w:hAnsi="Times New Roman"/>
              <w:sz w:val="24"/>
              <w:szCs w:val="24"/>
              <w:lang w:val="es-MX"/>
            </w:rPr>
            <w:t>El plazo para la ejecución de las etapas del contrato es de ciento noventa (190) meses, estimado inicialmente para noviembre de 2026</w:t>
          </w:r>
        </w:p>
        <w:p w14:paraId="50F07013" w14:textId="77777777" w:rsidR="007803E3" w:rsidRPr="0020113A" w:rsidRDefault="007803E3" w:rsidP="13FCB80F">
          <w:pPr>
            <w:spacing w:after="0"/>
            <w:rPr>
              <w:rFonts w:ascii="Times New Roman" w:hAnsi="Times New Roman"/>
              <w:b/>
              <w:sz w:val="24"/>
              <w:szCs w:val="24"/>
              <w:lang w:val="es-MX"/>
            </w:rPr>
          </w:pPr>
          <w:r w:rsidRPr="0020113A">
            <w:rPr>
              <w:rFonts w:ascii="Times New Roman" w:hAnsi="Times New Roman"/>
              <w:b/>
              <w:sz w:val="24"/>
              <w:szCs w:val="24"/>
              <w:lang w:val="es-MX"/>
            </w:rPr>
            <w:t xml:space="preserve">Tipo ID: </w:t>
          </w:r>
          <w:r w:rsidRPr="0020113A">
            <w:rPr>
              <w:rFonts w:ascii="Times New Roman" w:hAnsi="Times New Roman"/>
              <w:sz w:val="24"/>
              <w:szCs w:val="24"/>
              <w:lang w:val="es-MX"/>
            </w:rPr>
            <w:t>NIT</w:t>
          </w:r>
        </w:p>
        <w:p w14:paraId="33087699" w14:textId="77777777" w:rsidR="007803E3" w:rsidRPr="0020113A" w:rsidRDefault="007803E3" w:rsidP="13FCB80F">
          <w:pPr>
            <w:spacing w:after="0"/>
            <w:rPr>
              <w:rFonts w:ascii="Times New Roman" w:hAnsi="Times New Roman"/>
              <w:b/>
              <w:sz w:val="24"/>
              <w:szCs w:val="24"/>
              <w:lang w:val="es-MX"/>
            </w:rPr>
          </w:pPr>
          <w:r w:rsidRPr="0020113A">
            <w:rPr>
              <w:rFonts w:ascii="Times New Roman" w:hAnsi="Times New Roman"/>
              <w:b/>
              <w:sz w:val="24"/>
              <w:szCs w:val="24"/>
              <w:lang w:val="es-MX"/>
            </w:rPr>
            <w:t xml:space="preserve">Numero ID: </w:t>
          </w:r>
          <w:r w:rsidRPr="0020113A">
            <w:rPr>
              <w:rFonts w:ascii="Times New Roman" w:hAnsi="Times New Roman"/>
              <w:sz w:val="24"/>
              <w:szCs w:val="24"/>
              <w:lang w:val="es-MX"/>
            </w:rPr>
            <w:t>800.235.280-7</w:t>
          </w:r>
        </w:p>
        <w:p w14:paraId="66BAA26C" w14:textId="77777777" w:rsidR="007803E3" w:rsidRPr="0020113A" w:rsidRDefault="007803E3" w:rsidP="13FCB80F">
          <w:pPr>
            <w:spacing w:after="0"/>
            <w:rPr>
              <w:rFonts w:ascii="Times New Roman" w:hAnsi="Times New Roman"/>
              <w:b/>
              <w:sz w:val="24"/>
              <w:szCs w:val="24"/>
              <w:lang w:val="es-MX"/>
            </w:rPr>
          </w:pPr>
          <w:r w:rsidRPr="0020113A">
            <w:rPr>
              <w:rFonts w:ascii="Times New Roman" w:hAnsi="Times New Roman"/>
              <w:b/>
              <w:sz w:val="24"/>
              <w:szCs w:val="24"/>
              <w:lang w:val="es-MX"/>
            </w:rPr>
            <w:t xml:space="preserve">Razón Social del Concesionario: </w:t>
          </w:r>
          <w:r w:rsidRPr="0020113A">
            <w:rPr>
              <w:rFonts w:ascii="Times New Roman" w:hAnsi="Times New Roman"/>
              <w:sz w:val="24"/>
              <w:szCs w:val="24"/>
              <w:lang w:val="es-MX"/>
            </w:rPr>
            <w:t>CONCESION SABANA DE OCCIDENTE S.A.S</w:t>
          </w:r>
        </w:p>
        <w:p w14:paraId="20F5F715" w14:textId="39C8CA16" w:rsidR="007803E3" w:rsidRPr="0020113A" w:rsidRDefault="007803E3" w:rsidP="13FCB80F">
          <w:pPr>
            <w:spacing w:after="0"/>
            <w:rPr>
              <w:rFonts w:ascii="Times New Roman" w:hAnsi="Times New Roman"/>
              <w:sz w:val="24"/>
              <w:szCs w:val="24"/>
              <w:lang w:val="es-MX"/>
            </w:rPr>
          </w:pPr>
          <w:r w:rsidRPr="0020113A">
            <w:rPr>
              <w:rFonts w:ascii="Times New Roman" w:hAnsi="Times New Roman"/>
              <w:b/>
              <w:sz w:val="24"/>
              <w:szCs w:val="24"/>
              <w:lang w:val="es-MX"/>
            </w:rPr>
            <w:t xml:space="preserve">Nombre del Proyecto: </w:t>
          </w:r>
          <w:r w:rsidRPr="0020113A">
            <w:rPr>
              <w:rFonts w:ascii="Times New Roman" w:hAnsi="Times New Roman"/>
              <w:sz w:val="24"/>
              <w:szCs w:val="24"/>
              <w:lang w:val="es-MX"/>
            </w:rPr>
            <w:t>SANTAFE DE BOGOTA (PUENTE EL CORTIJO) - SIBERIA- LA PUNTA - EL VINO - LA VEGA- VILLETA</w:t>
          </w:r>
        </w:p>
        <w:p w14:paraId="6E8FACFB" w14:textId="04F7FDA0" w:rsidR="13FCB80F" w:rsidRDefault="13FCB80F" w:rsidP="13FCB80F">
          <w:pPr>
            <w:spacing w:after="0"/>
            <w:rPr>
              <w:rFonts w:ascii="Times New Roman" w:hAnsi="Times New Roman"/>
              <w:sz w:val="24"/>
              <w:szCs w:val="24"/>
              <w:lang w:val="es-MX"/>
            </w:rPr>
          </w:pPr>
        </w:p>
        <w:p w14:paraId="17149F0C" w14:textId="77777777" w:rsidR="007803E3" w:rsidRPr="0020113A" w:rsidRDefault="007803E3" w:rsidP="00E60BAB">
          <w:pPr>
            <w:pStyle w:val="Prrafodelista"/>
            <w:numPr>
              <w:ilvl w:val="0"/>
              <w:numId w:val="66"/>
            </w:numPr>
            <w:spacing w:line="259" w:lineRule="auto"/>
            <w:rPr>
              <w:rFonts w:ascii="Times New Roman" w:hAnsi="Times New Roman"/>
              <w:b/>
              <w:sz w:val="24"/>
              <w:szCs w:val="24"/>
              <w:lang w:val="es-MX"/>
            </w:rPr>
          </w:pPr>
          <w:r w:rsidRPr="0020113A">
            <w:rPr>
              <w:rFonts w:ascii="Times New Roman" w:hAnsi="Times New Roman"/>
              <w:b/>
              <w:sz w:val="24"/>
              <w:szCs w:val="24"/>
              <w:lang w:val="es-MX"/>
            </w:rPr>
            <w:lastRenderedPageBreak/>
            <w:t>Términos significativos del acuerdo que puedan afectar su valor, el calendario y la certeza de los flujos</w:t>
          </w:r>
        </w:p>
        <w:p w14:paraId="0D264E9A" w14:textId="77777777"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 xml:space="preserve">Términos de Valor: </w:t>
          </w:r>
          <w:r w:rsidRPr="0020113A">
            <w:rPr>
              <w:rFonts w:ascii="Times New Roman" w:hAnsi="Times New Roman"/>
              <w:sz w:val="24"/>
              <w:szCs w:val="24"/>
              <w:lang w:val="es-MX"/>
            </w:rPr>
            <w:t>La principal fuente de efectivo del proyecto es el recaudo de las estaciones de Peaje Tarifas: Fecha máxima de actualización el 16 de enero de cada año. Las tarifas de peaje se actualizarán con el porcentaje de variación del Índice de Precios al Consumidor establecido per el DANE</w:t>
          </w:r>
        </w:p>
        <w:p w14:paraId="11A2291D" w14:textId="77777777" w:rsidR="007803E3" w:rsidRPr="0020113A" w:rsidRDefault="007803E3" w:rsidP="007803E3">
          <w:pPr>
            <w:rPr>
              <w:rFonts w:ascii="Times New Roman" w:hAnsi="Times New Roman"/>
              <w:sz w:val="24"/>
              <w:szCs w:val="24"/>
              <w:lang w:val="es-MX"/>
            </w:rPr>
          </w:pPr>
          <w:r w:rsidRPr="0020113A">
            <w:rPr>
              <w:rFonts w:ascii="Times New Roman" w:hAnsi="Times New Roman"/>
              <w:b/>
              <w:sz w:val="24"/>
              <w:szCs w:val="24"/>
              <w:lang w:val="es-MX"/>
            </w:rPr>
            <w:t xml:space="preserve">Términos de Calendario: </w:t>
          </w:r>
          <w:r w:rsidRPr="0020113A">
            <w:rPr>
              <w:rFonts w:ascii="Times New Roman" w:hAnsi="Times New Roman"/>
              <w:sz w:val="24"/>
              <w:szCs w:val="24"/>
              <w:lang w:val="es-MX"/>
            </w:rPr>
            <w:t>El anexo técnico financiero estableció un plazo máximo para alcanzar la TIR del modelo financiero contractual 26 años.</w:t>
          </w:r>
        </w:p>
        <w:p w14:paraId="150FF5BC" w14:textId="77777777"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 xml:space="preserve">Términos de Certeza de Flujos de Efectivo Futuros: </w:t>
          </w:r>
          <w:r w:rsidRPr="0020113A">
            <w:rPr>
              <w:rFonts w:ascii="Times New Roman" w:hAnsi="Times New Roman"/>
              <w:sz w:val="24"/>
              <w:szCs w:val="24"/>
              <w:lang w:val="es-MX"/>
            </w:rPr>
            <w:t>De acuerdo con el anexo técnico financiero, se modificó la forma de retribución al concesionario, actualmente se cuenta con ingreso esperado con modelo financiero contractual el cual tiene como TIR el 12.26%</w:t>
          </w:r>
        </w:p>
        <w:p w14:paraId="2052E99E" w14:textId="77777777" w:rsidR="007803E3" w:rsidRPr="0020113A" w:rsidRDefault="007803E3" w:rsidP="00E60BAB">
          <w:pPr>
            <w:pStyle w:val="Prrafodelista"/>
            <w:numPr>
              <w:ilvl w:val="0"/>
              <w:numId w:val="66"/>
            </w:numPr>
            <w:spacing w:line="259" w:lineRule="auto"/>
            <w:rPr>
              <w:rFonts w:ascii="Times New Roman" w:hAnsi="Times New Roman"/>
              <w:b/>
              <w:sz w:val="24"/>
              <w:szCs w:val="24"/>
              <w:lang w:val="es-MX"/>
            </w:rPr>
          </w:pPr>
          <w:r w:rsidRPr="0020113A">
            <w:rPr>
              <w:rFonts w:ascii="Times New Roman" w:hAnsi="Times New Roman"/>
              <w:b/>
              <w:sz w:val="24"/>
              <w:szCs w:val="24"/>
              <w:lang w:val="es-MX"/>
            </w:rPr>
            <w:t>Naturaleza y alcance del derecho a utilizar activos especificados, de los aspectos pactados en torno a lo que se espera que el concesionario proporcione en relación con el acuerdo de concesión</w:t>
          </w:r>
        </w:p>
        <w:p w14:paraId="27D90E58" w14:textId="77777777" w:rsidR="007803E3" w:rsidRPr="0020113A" w:rsidRDefault="007803E3" w:rsidP="007803E3">
          <w:pPr>
            <w:jc w:val="center"/>
            <w:rPr>
              <w:rFonts w:ascii="Times New Roman" w:hAnsi="Times New Roman"/>
              <w:b/>
              <w:sz w:val="24"/>
              <w:szCs w:val="24"/>
              <w:lang w:val="es-MX"/>
            </w:rPr>
          </w:pPr>
          <w:r w:rsidRPr="0020113A">
            <w:rPr>
              <w:rFonts w:ascii="Times New Roman" w:hAnsi="Times New Roman"/>
              <w:b/>
              <w:sz w:val="24"/>
              <w:szCs w:val="24"/>
              <w:lang w:val="es-MX"/>
            </w:rPr>
            <w:t>Naturaleza y alcance del derecho de uso de los activos</w:t>
          </w:r>
        </w:p>
        <w:p w14:paraId="4D08056F" w14:textId="77777777" w:rsidR="007803E3" w:rsidRPr="0020113A" w:rsidRDefault="007803E3" w:rsidP="007803E3">
          <w:pPr>
            <w:rPr>
              <w:rFonts w:ascii="Times New Roman" w:hAnsi="Times New Roman"/>
              <w:sz w:val="24"/>
              <w:szCs w:val="24"/>
              <w:lang w:val="es-MX"/>
            </w:rPr>
          </w:pPr>
          <w:r w:rsidRPr="0020113A">
            <w:rPr>
              <w:rFonts w:ascii="Times New Roman" w:hAnsi="Times New Roman"/>
              <w:b/>
              <w:sz w:val="24"/>
              <w:szCs w:val="24"/>
              <w:lang w:val="es-MX"/>
            </w:rPr>
            <w:t xml:space="preserve">Descripción: </w:t>
          </w:r>
          <w:r w:rsidRPr="0020113A">
            <w:rPr>
              <w:rFonts w:ascii="Times New Roman" w:hAnsi="Times New Roman"/>
              <w:sz w:val="24"/>
              <w:szCs w:val="24"/>
              <w:lang w:val="es-MX"/>
            </w:rPr>
            <w:t>Para el proceso de diseño, construcción y operación el corredor vial concesionado se dividió en los siguientes sectores:</w:t>
          </w:r>
        </w:p>
        <w:p w14:paraId="47C54765" w14:textId="77777777" w:rsidR="007803E3" w:rsidRPr="0020113A" w:rsidRDefault="007803E3" w:rsidP="13FCB80F">
          <w:pPr>
            <w:spacing w:after="0"/>
            <w:rPr>
              <w:rFonts w:ascii="Times New Roman" w:hAnsi="Times New Roman"/>
              <w:sz w:val="24"/>
              <w:szCs w:val="24"/>
              <w:lang w:val="es-MX"/>
            </w:rPr>
          </w:pPr>
          <w:r w:rsidRPr="0020113A">
            <w:rPr>
              <w:rFonts w:ascii="Times New Roman" w:hAnsi="Times New Roman"/>
              <w:sz w:val="24"/>
              <w:szCs w:val="24"/>
              <w:lang w:val="es-MX"/>
            </w:rPr>
            <w:t>• Tramo 7: Bogotá – Puente Piedra. K0+000 al K15+000</w:t>
          </w:r>
        </w:p>
        <w:p w14:paraId="7650BFE2" w14:textId="77777777" w:rsidR="007803E3" w:rsidRPr="0020113A" w:rsidRDefault="007803E3" w:rsidP="13FCB80F">
          <w:pPr>
            <w:spacing w:after="0"/>
            <w:rPr>
              <w:rFonts w:ascii="Times New Roman" w:hAnsi="Times New Roman"/>
              <w:sz w:val="24"/>
              <w:szCs w:val="24"/>
              <w:lang w:val="es-MX"/>
            </w:rPr>
          </w:pPr>
          <w:r w:rsidRPr="0020113A">
            <w:rPr>
              <w:rFonts w:ascii="Times New Roman" w:hAnsi="Times New Roman"/>
              <w:sz w:val="24"/>
              <w:szCs w:val="24"/>
              <w:lang w:val="es-MX"/>
            </w:rPr>
            <w:t>• Tramo 6: Puente Piedra – El Rosal K15+000 al K22+200</w:t>
          </w:r>
        </w:p>
        <w:p w14:paraId="12DE4B46" w14:textId="77777777" w:rsidR="007803E3" w:rsidRPr="0020113A" w:rsidRDefault="007803E3" w:rsidP="13FCB80F">
          <w:pPr>
            <w:spacing w:after="0"/>
            <w:rPr>
              <w:rFonts w:ascii="Times New Roman" w:hAnsi="Times New Roman"/>
              <w:sz w:val="24"/>
              <w:szCs w:val="24"/>
              <w:lang w:val="es-MX"/>
            </w:rPr>
          </w:pPr>
          <w:r w:rsidRPr="0020113A">
            <w:rPr>
              <w:rFonts w:ascii="Times New Roman" w:hAnsi="Times New Roman"/>
              <w:sz w:val="24"/>
              <w:szCs w:val="24"/>
              <w:lang w:val="es-MX"/>
            </w:rPr>
            <w:t>• Tramo 5: El Rosal – El Vino K22+200 al K31+200</w:t>
          </w:r>
        </w:p>
        <w:p w14:paraId="74FA6DCE" w14:textId="77777777" w:rsidR="007803E3" w:rsidRPr="0020113A" w:rsidRDefault="007803E3" w:rsidP="13FCB80F">
          <w:pPr>
            <w:spacing w:after="0"/>
            <w:rPr>
              <w:rFonts w:ascii="Times New Roman" w:hAnsi="Times New Roman"/>
              <w:sz w:val="24"/>
              <w:szCs w:val="24"/>
              <w:lang w:val="es-MX"/>
            </w:rPr>
          </w:pPr>
          <w:r w:rsidRPr="0020113A">
            <w:rPr>
              <w:rFonts w:ascii="Times New Roman" w:hAnsi="Times New Roman"/>
              <w:sz w:val="24"/>
              <w:szCs w:val="24"/>
              <w:lang w:val="es-MX"/>
            </w:rPr>
            <w:t>• Tramo 4: El Vino – El Chuscal. K31+200 al K37+900</w:t>
          </w:r>
        </w:p>
        <w:p w14:paraId="46536C93" w14:textId="77777777" w:rsidR="007803E3" w:rsidRPr="0020113A" w:rsidRDefault="007803E3" w:rsidP="13FCB80F">
          <w:pPr>
            <w:spacing w:after="0"/>
            <w:rPr>
              <w:rFonts w:ascii="Times New Roman" w:hAnsi="Times New Roman"/>
              <w:sz w:val="24"/>
              <w:szCs w:val="24"/>
              <w:lang w:val="es-MX"/>
            </w:rPr>
          </w:pPr>
          <w:r w:rsidRPr="0020113A">
            <w:rPr>
              <w:rFonts w:ascii="Times New Roman" w:hAnsi="Times New Roman"/>
              <w:sz w:val="24"/>
              <w:szCs w:val="24"/>
              <w:lang w:val="es-MX"/>
            </w:rPr>
            <w:t>• Tramo 3: El Chuscal – La Vega K37+900 al K56+700</w:t>
          </w:r>
        </w:p>
        <w:p w14:paraId="09791D3F" w14:textId="77777777" w:rsidR="007803E3" w:rsidRPr="0020113A" w:rsidRDefault="007803E3" w:rsidP="13FCB80F">
          <w:pPr>
            <w:spacing w:after="0"/>
            <w:rPr>
              <w:rFonts w:ascii="Times New Roman" w:hAnsi="Times New Roman"/>
              <w:sz w:val="24"/>
              <w:szCs w:val="24"/>
              <w:lang w:val="es-MX"/>
            </w:rPr>
          </w:pPr>
          <w:r w:rsidRPr="0020113A">
            <w:rPr>
              <w:rFonts w:ascii="Times New Roman" w:hAnsi="Times New Roman"/>
              <w:sz w:val="24"/>
              <w:szCs w:val="24"/>
              <w:lang w:val="es-MX"/>
            </w:rPr>
            <w:t>• Tramo 2: La Vega – Cruce a Utica K56+700 al K78+750</w:t>
          </w:r>
        </w:p>
        <w:p w14:paraId="0663A533" w14:textId="77777777" w:rsidR="007803E3" w:rsidRPr="0020113A" w:rsidRDefault="007803E3" w:rsidP="13FCB80F">
          <w:pPr>
            <w:spacing w:after="0"/>
            <w:rPr>
              <w:rFonts w:ascii="Times New Roman" w:hAnsi="Times New Roman"/>
              <w:sz w:val="24"/>
              <w:szCs w:val="24"/>
              <w:lang w:val="es-MX"/>
            </w:rPr>
          </w:pPr>
          <w:r w:rsidRPr="0020113A">
            <w:rPr>
              <w:rFonts w:ascii="Times New Roman" w:hAnsi="Times New Roman"/>
              <w:sz w:val="24"/>
              <w:szCs w:val="24"/>
              <w:lang w:val="es-MX"/>
            </w:rPr>
            <w:t>• Tramo 1: Cruce a Utica – Intercambiador Villeta – Guaduas K78+750 al K81+626</w:t>
          </w:r>
        </w:p>
        <w:p w14:paraId="37C5488E" w14:textId="41A647A0" w:rsidR="007803E3" w:rsidRPr="0020113A" w:rsidRDefault="007803E3" w:rsidP="13FCB80F">
          <w:pPr>
            <w:spacing w:after="0"/>
            <w:rPr>
              <w:rFonts w:ascii="Times New Roman" w:hAnsi="Times New Roman"/>
              <w:sz w:val="24"/>
              <w:szCs w:val="24"/>
              <w:lang w:val="es-MX"/>
            </w:rPr>
          </w:pPr>
          <w:r w:rsidRPr="0020113A">
            <w:rPr>
              <w:rFonts w:ascii="Times New Roman" w:hAnsi="Times New Roman"/>
              <w:sz w:val="24"/>
              <w:szCs w:val="24"/>
              <w:lang w:val="es-MX"/>
            </w:rPr>
            <w:t>Traslados al concesionario constitutivos de ingreso</w:t>
          </w:r>
        </w:p>
        <w:p w14:paraId="267D3DD0" w14:textId="1DDCC58B"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 xml:space="preserve">Observaciones: </w:t>
          </w:r>
          <w:r w:rsidRPr="0020113A">
            <w:rPr>
              <w:rFonts w:ascii="Times New Roman" w:hAnsi="Times New Roman"/>
              <w:sz w:val="24"/>
              <w:szCs w:val="24"/>
              <w:lang w:val="es-MX"/>
            </w:rPr>
            <w:t>No se tienen observaciones</w:t>
          </w:r>
        </w:p>
        <w:p w14:paraId="2DB92051" w14:textId="77777777" w:rsidR="007803E3" w:rsidRPr="0020113A" w:rsidRDefault="007803E3" w:rsidP="007803E3">
          <w:pPr>
            <w:jc w:val="center"/>
            <w:rPr>
              <w:rFonts w:ascii="Times New Roman" w:hAnsi="Times New Roman"/>
              <w:b/>
              <w:sz w:val="24"/>
              <w:szCs w:val="24"/>
              <w:lang w:val="es-MX"/>
            </w:rPr>
          </w:pPr>
          <w:r w:rsidRPr="0020113A">
            <w:rPr>
              <w:rFonts w:ascii="Times New Roman" w:hAnsi="Times New Roman"/>
              <w:b/>
              <w:sz w:val="24"/>
              <w:szCs w:val="24"/>
              <w:lang w:val="es-MX"/>
            </w:rPr>
            <w:t>Retribución al Concesionario</w:t>
          </w:r>
        </w:p>
        <w:p w14:paraId="32198F67"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Descripción: </w:t>
          </w:r>
          <w:r w:rsidRPr="0020113A">
            <w:rPr>
              <w:rFonts w:ascii="Times New Roman" w:hAnsi="Times New Roman"/>
              <w:sz w:val="24"/>
              <w:szCs w:val="24"/>
              <w:lang w:val="es-MX"/>
            </w:rPr>
            <w:t>Inicialmente se pacto la retribución al concesionario por el método de ingreso garantizado el fue modificado mediante ACUERDO CONCILIATORIO DE 2006, Y ANEXO TECNICO FINANCIERO</w:t>
          </w:r>
        </w:p>
        <w:p w14:paraId="199F434E"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CÁLCULO DE LA TASA INTERNA DE RETORNO, se acordó que el Contrato tiene un plazo estimado de 23 años contados a partir de la entrega de la estación de peaje de Caiquero (16 de febrero de 2008), sujeto a la obtención de la Tasa Interna de Retorno de 12.26% en términos constantes y después de impuestos, con un plazo máximo de 26 años.</w:t>
          </w:r>
        </w:p>
        <w:p w14:paraId="0DE5B57F" w14:textId="77777777" w:rsidR="007803E3" w:rsidRPr="0020113A" w:rsidRDefault="007803E3" w:rsidP="007803E3">
          <w:pPr>
            <w:rPr>
              <w:rFonts w:ascii="Times New Roman" w:hAnsi="Times New Roman"/>
              <w:sz w:val="24"/>
              <w:szCs w:val="24"/>
              <w:lang w:val="es-MX"/>
            </w:rPr>
          </w:pPr>
          <w:r w:rsidRPr="0020113A">
            <w:rPr>
              <w:rFonts w:ascii="Times New Roman" w:hAnsi="Times New Roman"/>
              <w:b/>
              <w:sz w:val="24"/>
              <w:szCs w:val="24"/>
              <w:lang w:val="es-MX"/>
            </w:rPr>
            <w:t xml:space="preserve">Tasa de Retribución: </w:t>
          </w:r>
          <w:r w:rsidRPr="0020113A">
            <w:rPr>
              <w:rFonts w:ascii="Times New Roman" w:hAnsi="Times New Roman"/>
              <w:sz w:val="24"/>
              <w:szCs w:val="24"/>
              <w:lang w:val="es-MX"/>
            </w:rPr>
            <w:t>Tasa interna de retorno de acuerdo con el acuerdo conciliatorio de 12.26% em términos constantes.</w:t>
          </w:r>
        </w:p>
        <w:p w14:paraId="4070786B" w14:textId="77777777" w:rsidR="007803E3" w:rsidRPr="0020113A" w:rsidRDefault="007803E3" w:rsidP="00E60BAB">
          <w:pPr>
            <w:pStyle w:val="Prrafodelista"/>
            <w:numPr>
              <w:ilvl w:val="0"/>
              <w:numId w:val="66"/>
            </w:numPr>
            <w:spacing w:line="259" w:lineRule="auto"/>
            <w:rPr>
              <w:rFonts w:ascii="Times New Roman" w:hAnsi="Times New Roman"/>
              <w:b/>
              <w:sz w:val="24"/>
              <w:szCs w:val="24"/>
              <w:lang w:val="es-MX"/>
            </w:rPr>
          </w:pPr>
          <w:r w:rsidRPr="0020113A">
            <w:rPr>
              <w:rFonts w:ascii="Times New Roman" w:hAnsi="Times New Roman"/>
              <w:b/>
              <w:sz w:val="24"/>
              <w:szCs w:val="24"/>
              <w:lang w:val="es-MX"/>
            </w:rPr>
            <w:t>Derechos a recibir activos especificados al final del acuerdo de concesión</w:t>
          </w:r>
        </w:p>
        <w:p w14:paraId="35C86BF3"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lastRenderedPageBreak/>
            <w:t xml:space="preserve">Descripción: </w:t>
          </w:r>
          <w:r w:rsidRPr="0020113A">
            <w:rPr>
              <w:rFonts w:ascii="Times New Roman" w:hAnsi="Times New Roman"/>
              <w:sz w:val="24"/>
              <w:szCs w:val="24"/>
              <w:lang w:val="es-MX"/>
            </w:rPr>
            <w:t>El INVIAS hizo entrega de los predios para la zona de carreteras, la obra civil: calzadas, separadores, intersecciones, estructuras, obras de drenaje, obras de arte y señales, las casetas de peaje y sus áreas de servicio y los equipos instalados para la operación del proyecto. Al vencimiento de la etapa de operación, los bienes afectados a la concesión del proyecto, en los que se incluyen: los predios para la zona de carreteras, la obra civil: calzadas, separadores, intersecciones, estructuras, obras de drenaje, obras de arte y señales, las casetas de peaje y sus áreas de servicio y los equipos instalados para la operación del proyecto, revertirán en favor del Instituto Nacional de Vías.</w:t>
          </w:r>
        </w:p>
        <w:p w14:paraId="64E22344" w14:textId="77777777"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 xml:space="preserve">Observaciones: </w:t>
          </w:r>
          <w:r w:rsidRPr="0020113A">
            <w:rPr>
              <w:rFonts w:ascii="Times New Roman" w:hAnsi="Times New Roman"/>
              <w:sz w:val="24"/>
              <w:szCs w:val="24"/>
              <w:lang w:val="es-MX"/>
            </w:rPr>
            <w:t>No hay observaciones</w:t>
          </w:r>
        </w:p>
        <w:p w14:paraId="526FC750" w14:textId="4AF36A85" w:rsidR="007803E3" w:rsidRPr="0020113A" w:rsidRDefault="003B53E5" w:rsidP="00E60BAB">
          <w:pPr>
            <w:pStyle w:val="Prrafodelista"/>
            <w:numPr>
              <w:ilvl w:val="0"/>
              <w:numId w:val="66"/>
            </w:numPr>
            <w:spacing w:line="259" w:lineRule="auto"/>
            <w:rPr>
              <w:rFonts w:ascii="Times New Roman" w:hAnsi="Times New Roman"/>
              <w:b/>
              <w:sz w:val="24"/>
              <w:szCs w:val="24"/>
              <w:lang w:val="es-MX"/>
            </w:rPr>
          </w:pPr>
          <w:r>
            <w:rPr>
              <w:rFonts w:ascii="Times New Roman" w:hAnsi="Times New Roman"/>
              <w:b/>
              <w:sz w:val="24"/>
              <w:szCs w:val="24"/>
              <w:lang w:val="es-MX"/>
            </w:rPr>
            <w:t>No hay c</w:t>
          </w:r>
          <w:r w:rsidR="007803E3" w:rsidRPr="0020113A">
            <w:rPr>
              <w:rFonts w:ascii="Times New Roman" w:hAnsi="Times New Roman"/>
              <w:b/>
              <w:sz w:val="24"/>
              <w:szCs w:val="24"/>
              <w:lang w:val="es-MX"/>
            </w:rPr>
            <w:t>ambios en el acuerdo de concesión que se realicen durante el periodo fiscal</w:t>
          </w:r>
        </w:p>
        <w:p w14:paraId="40BC6289" w14:textId="77777777" w:rsidR="007803E3" w:rsidRPr="0020113A" w:rsidRDefault="007803E3" w:rsidP="007803E3">
          <w:pPr>
            <w:rPr>
              <w:rFonts w:ascii="Times New Roman" w:hAnsi="Times New Roman"/>
              <w:b/>
              <w:sz w:val="24"/>
              <w:szCs w:val="24"/>
              <w:lang w:val="es-MX"/>
            </w:rPr>
          </w:pPr>
        </w:p>
        <w:p w14:paraId="161CFA90" w14:textId="77777777"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FONTIBON FACATATIVA LOS ALPES</w:t>
          </w:r>
        </w:p>
        <w:p w14:paraId="70C52E9E" w14:textId="77777777" w:rsidR="007803E3" w:rsidRPr="0020113A" w:rsidRDefault="007803E3" w:rsidP="00E60BAB">
          <w:pPr>
            <w:pStyle w:val="Prrafodelista"/>
            <w:numPr>
              <w:ilvl w:val="1"/>
              <w:numId w:val="81"/>
            </w:numPr>
            <w:spacing w:line="259" w:lineRule="auto"/>
            <w:rPr>
              <w:rFonts w:ascii="Times New Roman" w:hAnsi="Times New Roman"/>
              <w:b/>
              <w:sz w:val="24"/>
              <w:szCs w:val="24"/>
              <w:lang w:val="es-MX"/>
            </w:rPr>
          </w:pPr>
          <w:r w:rsidRPr="0020113A">
            <w:rPr>
              <w:rFonts w:ascii="Times New Roman" w:hAnsi="Times New Roman"/>
              <w:b/>
              <w:sz w:val="24"/>
              <w:szCs w:val="24"/>
              <w:lang w:val="es-MX"/>
            </w:rPr>
            <w:t>Descripción del Acuerdo</w:t>
          </w:r>
        </w:p>
        <w:p w14:paraId="579A481A" w14:textId="77777777" w:rsidR="007803E3" w:rsidRPr="0020113A" w:rsidRDefault="007803E3" w:rsidP="2EBECF5A">
          <w:pPr>
            <w:spacing w:after="0"/>
            <w:rPr>
              <w:rFonts w:ascii="Times New Roman" w:hAnsi="Times New Roman"/>
              <w:b/>
              <w:sz w:val="24"/>
              <w:szCs w:val="24"/>
              <w:lang w:val="es-MX"/>
            </w:rPr>
          </w:pPr>
          <w:r w:rsidRPr="0020113A">
            <w:rPr>
              <w:rFonts w:ascii="Times New Roman" w:hAnsi="Times New Roman"/>
              <w:b/>
              <w:sz w:val="24"/>
              <w:szCs w:val="24"/>
              <w:lang w:val="es-MX"/>
            </w:rPr>
            <w:t xml:space="preserve">Número del Acuerdo de Concesión: </w:t>
          </w:r>
          <w:r w:rsidRPr="0020113A">
            <w:rPr>
              <w:rFonts w:ascii="Times New Roman" w:hAnsi="Times New Roman"/>
              <w:sz w:val="24"/>
              <w:szCs w:val="24"/>
              <w:lang w:val="es-MX"/>
            </w:rPr>
            <w:t>0937 de 1995</w:t>
          </w:r>
        </w:p>
        <w:p w14:paraId="54CCEC14" w14:textId="77777777" w:rsidR="007803E3" w:rsidRPr="0020113A" w:rsidRDefault="007803E3" w:rsidP="2EBECF5A">
          <w:pPr>
            <w:spacing w:after="0"/>
            <w:jc w:val="both"/>
            <w:rPr>
              <w:rFonts w:ascii="Times New Roman" w:hAnsi="Times New Roman"/>
              <w:sz w:val="24"/>
              <w:szCs w:val="24"/>
              <w:lang w:val="es-MX"/>
            </w:rPr>
          </w:pPr>
          <w:r w:rsidRPr="0020113A">
            <w:rPr>
              <w:rFonts w:ascii="Times New Roman" w:hAnsi="Times New Roman"/>
              <w:b/>
              <w:sz w:val="24"/>
              <w:szCs w:val="24"/>
              <w:lang w:val="es-MX"/>
            </w:rPr>
            <w:t>Objeto / Descripción</w:t>
          </w:r>
          <w:r w:rsidRPr="0020113A">
            <w:rPr>
              <w:rFonts w:ascii="Times New Roman" w:hAnsi="Times New Roman"/>
              <w:sz w:val="24"/>
              <w:szCs w:val="24"/>
              <w:lang w:val="es-MX"/>
            </w:rPr>
            <w:t>:</w:t>
          </w:r>
          <w:r w:rsidRPr="0020113A">
            <w:rPr>
              <w:rFonts w:ascii="Times New Roman" w:hAnsi="Times New Roman"/>
              <w:sz w:val="24"/>
              <w:szCs w:val="24"/>
            </w:rPr>
            <w:t xml:space="preserve"> </w:t>
          </w:r>
          <w:r w:rsidRPr="0020113A">
            <w:rPr>
              <w:rFonts w:ascii="Times New Roman" w:hAnsi="Times New Roman"/>
              <w:sz w:val="24"/>
              <w:szCs w:val="24"/>
              <w:lang w:val="es-MX"/>
            </w:rPr>
            <w:t xml:space="preserve">De acuerdo con la cláusula Primera del Contrato de Concesión. El Concesionario se obliga a ejecutar por el sistema de Concesión, los estudios y diseños definitivos, las obras de rehabilitación y de construcción, la operación y el mantenimiento de la carretera Santa Fe de Bogotá (Fontibón) – Facatativá – Los Alpes, Tramo 08, de la ruta 50, en el Departamento de Cundinamarca. </w:t>
          </w:r>
        </w:p>
        <w:p w14:paraId="5489A4EA" w14:textId="77777777" w:rsidR="007803E3" w:rsidRPr="0020113A" w:rsidRDefault="007803E3" w:rsidP="2EBECF5A">
          <w:pPr>
            <w:spacing w:after="0"/>
            <w:rPr>
              <w:rFonts w:ascii="Times New Roman" w:hAnsi="Times New Roman"/>
              <w:b/>
              <w:sz w:val="24"/>
              <w:szCs w:val="24"/>
              <w:lang w:val="es-MX"/>
            </w:rPr>
          </w:pPr>
          <w:r w:rsidRPr="0020113A">
            <w:rPr>
              <w:rFonts w:ascii="Times New Roman" w:hAnsi="Times New Roman"/>
              <w:b/>
              <w:sz w:val="24"/>
              <w:szCs w:val="24"/>
              <w:lang w:val="es-MX"/>
            </w:rPr>
            <w:t xml:space="preserve">Valor Inicial: </w:t>
          </w:r>
          <w:r w:rsidRPr="0020113A">
            <w:rPr>
              <w:rFonts w:ascii="Times New Roman" w:hAnsi="Times New Roman"/>
              <w:sz w:val="24"/>
              <w:szCs w:val="24"/>
              <w:lang w:val="es-MX"/>
            </w:rPr>
            <w:t>$ 61.473.096.351</w:t>
          </w:r>
        </w:p>
        <w:p w14:paraId="3F888331" w14:textId="77777777" w:rsidR="007803E3" w:rsidRPr="0020113A" w:rsidRDefault="007803E3" w:rsidP="2EBECF5A">
          <w:pPr>
            <w:spacing w:after="0"/>
            <w:rPr>
              <w:rFonts w:ascii="Times New Roman" w:hAnsi="Times New Roman"/>
              <w:b/>
              <w:sz w:val="24"/>
              <w:szCs w:val="24"/>
              <w:lang w:val="es-MX"/>
            </w:rPr>
          </w:pPr>
          <w:r w:rsidRPr="0020113A">
            <w:rPr>
              <w:rFonts w:ascii="Times New Roman" w:hAnsi="Times New Roman"/>
              <w:b/>
              <w:sz w:val="24"/>
              <w:szCs w:val="24"/>
              <w:lang w:val="es-MX"/>
            </w:rPr>
            <w:t xml:space="preserve">Fecha de Inicio: </w:t>
          </w:r>
          <w:r w:rsidRPr="0020113A">
            <w:rPr>
              <w:rFonts w:ascii="Times New Roman" w:hAnsi="Times New Roman"/>
              <w:sz w:val="24"/>
              <w:szCs w:val="24"/>
              <w:lang w:val="es-MX"/>
            </w:rPr>
            <w:t>25/09/1995</w:t>
          </w:r>
        </w:p>
        <w:p w14:paraId="731DD500" w14:textId="77777777" w:rsidR="007803E3" w:rsidRPr="0020113A" w:rsidRDefault="007803E3" w:rsidP="2EBECF5A">
          <w:pPr>
            <w:spacing w:after="0"/>
            <w:rPr>
              <w:rFonts w:ascii="Times New Roman" w:hAnsi="Times New Roman"/>
              <w:b/>
              <w:sz w:val="24"/>
              <w:szCs w:val="24"/>
              <w:lang w:val="es-MX"/>
            </w:rPr>
          </w:pPr>
          <w:r w:rsidRPr="0020113A">
            <w:rPr>
              <w:rFonts w:ascii="Times New Roman" w:hAnsi="Times New Roman"/>
              <w:b/>
              <w:sz w:val="24"/>
              <w:szCs w:val="24"/>
              <w:lang w:val="es-MX"/>
            </w:rPr>
            <w:t xml:space="preserve">Fecha de Finalización Estimada: </w:t>
          </w:r>
          <w:r w:rsidRPr="0020113A">
            <w:rPr>
              <w:rFonts w:ascii="Times New Roman" w:hAnsi="Times New Roman"/>
              <w:sz w:val="24"/>
              <w:szCs w:val="24"/>
              <w:lang w:val="es-MX"/>
            </w:rPr>
            <w:t>27/03/2024</w:t>
          </w:r>
        </w:p>
        <w:p w14:paraId="5A8157E9" w14:textId="77777777" w:rsidR="007803E3" w:rsidRPr="0020113A" w:rsidRDefault="007803E3" w:rsidP="13FCB80F">
          <w:pPr>
            <w:spacing w:after="0"/>
            <w:rPr>
              <w:rFonts w:ascii="Times New Roman" w:hAnsi="Times New Roman"/>
              <w:b/>
              <w:sz w:val="24"/>
              <w:szCs w:val="24"/>
              <w:lang w:val="es-MX"/>
            </w:rPr>
          </w:pPr>
          <w:r w:rsidRPr="0020113A">
            <w:rPr>
              <w:rFonts w:ascii="Times New Roman" w:hAnsi="Times New Roman"/>
              <w:b/>
              <w:sz w:val="24"/>
              <w:szCs w:val="24"/>
              <w:lang w:val="es-MX"/>
            </w:rPr>
            <w:t xml:space="preserve">Tipo ID: </w:t>
          </w:r>
          <w:r w:rsidRPr="0020113A">
            <w:rPr>
              <w:rFonts w:ascii="Times New Roman" w:hAnsi="Times New Roman"/>
              <w:sz w:val="24"/>
              <w:szCs w:val="24"/>
              <w:lang w:val="es-MX"/>
            </w:rPr>
            <w:t>NIT</w:t>
          </w:r>
        </w:p>
        <w:p w14:paraId="2F1669AD" w14:textId="77777777" w:rsidR="007803E3" w:rsidRPr="0020113A" w:rsidRDefault="007803E3" w:rsidP="13FCB80F">
          <w:pPr>
            <w:spacing w:after="0"/>
            <w:rPr>
              <w:rFonts w:ascii="Times New Roman" w:hAnsi="Times New Roman"/>
              <w:b/>
              <w:sz w:val="24"/>
              <w:szCs w:val="24"/>
              <w:lang w:val="es-MX"/>
            </w:rPr>
          </w:pPr>
          <w:r w:rsidRPr="0020113A">
            <w:rPr>
              <w:rFonts w:ascii="Times New Roman" w:hAnsi="Times New Roman"/>
              <w:b/>
              <w:sz w:val="24"/>
              <w:szCs w:val="24"/>
              <w:lang w:val="es-MX"/>
            </w:rPr>
            <w:t xml:space="preserve">Numero ID: </w:t>
          </w:r>
          <w:r w:rsidRPr="0020113A">
            <w:rPr>
              <w:rFonts w:ascii="Times New Roman" w:hAnsi="Times New Roman"/>
              <w:sz w:val="24"/>
              <w:szCs w:val="24"/>
              <w:lang w:val="es-MX"/>
            </w:rPr>
            <w:t>830006021-3</w:t>
          </w:r>
        </w:p>
        <w:p w14:paraId="09E0D822" w14:textId="77777777" w:rsidR="007803E3" w:rsidRPr="0020113A" w:rsidRDefault="007803E3" w:rsidP="13FCB80F">
          <w:pPr>
            <w:spacing w:after="0"/>
            <w:rPr>
              <w:rFonts w:ascii="Times New Roman" w:hAnsi="Times New Roman"/>
              <w:b/>
              <w:sz w:val="24"/>
              <w:szCs w:val="24"/>
              <w:lang w:val="es-MX"/>
            </w:rPr>
          </w:pPr>
          <w:r w:rsidRPr="0020113A">
            <w:rPr>
              <w:rFonts w:ascii="Times New Roman" w:hAnsi="Times New Roman"/>
              <w:b/>
              <w:sz w:val="24"/>
              <w:szCs w:val="24"/>
              <w:lang w:val="es-MX"/>
            </w:rPr>
            <w:t xml:space="preserve">Razón Social del Concesionario: </w:t>
          </w:r>
          <w:r w:rsidRPr="0020113A">
            <w:rPr>
              <w:rFonts w:ascii="Times New Roman" w:hAnsi="Times New Roman"/>
              <w:sz w:val="24"/>
              <w:szCs w:val="24"/>
              <w:lang w:val="es-MX"/>
            </w:rPr>
            <w:t>Concesiones CCFC SAS</w:t>
          </w:r>
        </w:p>
        <w:p w14:paraId="11D0525E" w14:textId="77777777" w:rsidR="007803E3" w:rsidRPr="0020113A" w:rsidRDefault="007803E3" w:rsidP="13FCB80F">
          <w:pPr>
            <w:spacing w:after="0"/>
            <w:rPr>
              <w:rFonts w:ascii="Times New Roman" w:hAnsi="Times New Roman"/>
              <w:b/>
              <w:sz w:val="24"/>
              <w:szCs w:val="24"/>
              <w:lang w:val="es-MX"/>
            </w:rPr>
          </w:pPr>
          <w:r w:rsidRPr="0020113A">
            <w:rPr>
              <w:rFonts w:ascii="Times New Roman" w:hAnsi="Times New Roman"/>
              <w:b/>
              <w:sz w:val="24"/>
              <w:szCs w:val="24"/>
              <w:lang w:val="es-MX"/>
            </w:rPr>
            <w:t xml:space="preserve">Nombre del Proyecto: </w:t>
          </w:r>
          <w:r w:rsidRPr="0020113A">
            <w:rPr>
              <w:rFonts w:ascii="Times New Roman" w:hAnsi="Times New Roman"/>
              <w:sz w:val="24"/>
              <w:szCs w:val="24"/>
              <w:lang w:val="es-MX"/>
            </w:rPr>
            <w:t>Bogotá (Fontibón)- Facatativá- Los Alpes</w:t>
          </w:r>
        </w:p>
        <w:p w14:paraId="3D795222" w14:textId="26F275AC" w:rsidR="13FCB80F" w:rsidRDefault="13FCB80F" w:rsidP="13FCB80F">
          <w:pPr>
            <w:spacing w:after="0"/>
            <w:rPr>
              <w:rFonts w:ascii="Times New Roman" w:hAnsi="Times New Roman"/>
              <w:sz w:val="24"/>
              <w:szCs w:val="24"/>
              <w:lang w:val="es-MX"/>
            </w:rPr>
          </w:pPr>
        </w:p>
        <w:p w14:paraId="7FF49498" w14:textId="77777777" w:rsidR="007803E3" w:rsidRPr="0020113A" w:rsidRDefault="007803E3" w:rsidP="00E60BAB">
          <w:pPr>
            <w:pStyle w:val="Prrafodelista"/>
            <w:numPr>
              <w:ilvl w:val="0"/>
              <w:numId w:val="81"/>
            </w:numPr>
            <w:spacing w:line="259" w:lineRule="auto"/>
            <w:rPr>
              <w:rFonts w:ascii="Times New Roman" w:hAnsi="Times New Roman"/>
              <w:b/>
              <w:sz w:val="24"/>
              <w:szCs w:val="24"/>
              <w:lang w:val="es-MX"/>
            </w:rPr>
          </w:pPr>
          <w:r w:rsidRPr="0020113A">
            <w:rPr>
              <w:rFonts w:ascii="Times New Roman" w:hAnsi="Times New Roman"/>
              <w:b/>
              <w:sz w:val="24"/>
              <w:szCs w:val="24"/>
              <w:lang w:val="es-MX"/>
            </w:rPr>
            <w:t>Términos significativos del acuerdo que puedan afectar su valor, el calendario y la certeza de los flujos</w:t>
          </w:r>
        </w:p>
        <w:p w14:paraId="64F5911D"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Términos de Valor: </w:t>
          </w:r>
          <w:r w:rsidRPr="0020113A">
            <w:rPr>
              <w:rFonts w:ascii="Times New Roman" w:hAnsi="Times New Roman"/>
              <w:sz w:val="24"/>
              <w:szCs w:val="24"/>
              <w:lang w:val="es-MX"/>
            </w:rPr>
            <w:t>La concesión Bogotá (Fontibón) – Facatativá - Los Alpes cuenta con dos (2) estación de Peaje:</w:t>
          </w:r>
        </w:p>
        <w:p w14:paraId="3BCCF627"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 xml:space="preserve">Estación de Peaje Río de Bogotá </w:t>
          </w:r>
        </w:p>
        <w:p w14:paraId="410C103B"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Estación de Peaje El Corzo</w:t>
          </w:r>
        </w:p>
        <w:p w14:paraId="06D78E04"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 xml:space="preserve">Las tarifas serán ajustadas de acuerdo con lo estipulado en los parágrafos primero, segundo, Tercero, Cuarto y Quinto de la CLAUSULA CUARTA. – FORMA DE REMUNERACION Y TARIFAS DE PEAJE del Contrato Modificatorio del 28 de septiembre de 2001 al Contrato de Concesión No. 937 de 1995 </w:t>
          </w:r>
        </w:p>
        <w:p w14:paraId="166FD61E" w14:textId="77777777"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lastRenderedPageBreak/>
            <w:t xml:space="preserve">Términos de Calendario: </w:t>
          </w:r>
          <w:r w:rsidRPr="0020113A">
            <w:rPr>
              <w:rFonts w:ascii="Times New Roman" w:hAnsi="Times New Roman"/>
              <w:sz w:val="24"/>
              <w:szCs w:val="24"/>
              <w:lang w:val="es-MX"/>
            </w:rPr>
            <w:t>N/A</w:t>
          </w:r>
        </w:p>
        <w:p w14:paraId="5B760C3F"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Términos de Certeza de Flujos de Efectivo Futuros: </w:t>
          </w:r>
          <w:r w:rsidRPr="0020113A">
            <w:rPr>
              <w:rFonts w:ascii="Times New Roman" w:hAnsi="Times New Roman"/>
              <w:sz w:val="24"/>
              <w:szCs w:val="24"/>
              <w:lang w:val="es-MX"/>
            </w:rPr>
            <w:t>El Contrato de Concesión 0937 de 1995 tiene una fuente de ingreso pactada de Ingreso Mínimo Garantizado, se encuentra estipulado en la Clausula Decima Séptima “Volumen de Tránsito para la Garantía”, se calcula anualmente y es verificado por la Interventoría, para posteriormente suscribir en el mes de enero el acta de aforo correspondiente al año inmediatamente anterior.</w:t>
          </w:r>
        </w:p>
        <w:p w14:paraId="5AC0B470"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A la fecha se encuentra en análisis de la Entidad, la siguiente solicitud por parte del Concesionario, la cual pueden afectar el flujo de efectivo del proyecto y en caso de reconocimiento la fuente será a través de los excedentes:</w:t>
          </w:r>
        </w:p>
        <w:p w14:paraId="2DD70794"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El Concesionario solicitó a la ANI resarcimiento económico por la actualización e implementación del sistema de IP/REV para la interoperabilidad del recaudo electrónico en las estaciones de peaje de la vía Concesionada. Esto con el fin de dar cumplimiento con lo establecido por el Ministerio de Transporte para implementar dicho sistema, por valor de $ 795.112.680</w:t>
          </w:r>
        </w:p>
        <w:p w14:paraId="2D4A78E8" w14:textId="77777777" w:rsidR="007803E3" w:rsidRPr="0020113A" w:rsidRDefault="007803E3" w:rsidP="00E60BAB">
          <w:pPr>
            <w:pStyle w:val="Prrafodelista"/>
            <w:numPr>
              <w:ilvl w:val="0"/>
              <w:numId w:val="81"/>
            </w:numPr>
            <w:spacing w:line="259" w:lineRule="auto"/>
            <w:jc w:val="both"/>
            <w:rPr>
              <w:rFonts w:ascii="Times New Roman" w:hAnsi="Times New Roman"/>
              <w:b/>
              <w:sz w:val="24"/>
              <w:szCs w:val="24"/>
              <w:lang w:val="es-MX"/>
            </w:rPr>
          </w:pPr>
          <w:r w:rsidRPr="0020113A">
            <w:rPr>
              <w:rFonts w:ascii="Times New Roman" w:hAnsi="Times New Roman"/>
              <w:b/>
              <w:sz w:val="24"/>
              <w:szCs w:val="24"/>
              <w:lang w:val="es-MX"/>
            </w:rPr>
            <w:t>Naturaleza y alcance del derecho a utilizar activos especificados, de los aspectos pactados en torno a lo que se espera que el concesionario proporcione en relación con el acuerdo de concesión</w:t>
          </w:r>
        </w:p>
        <w:p w14:paraId="1D0D2257" w14:textId="77777777" w:rsidR="007803E3" w:rsidRPr="0020113A" w:rsidRDefault="007803E3" w:rsidP="007803E3">
          <w:pPr>
            <w:jc w:val="center"/>
            <w:rPr>
              <w:rFonts w:ascii="Times New Roman" w:hAnsi="Times New Roman"/>
              <w:b/>
              <w:sz w:val="24"/>
              <w:szCs w:val="24"/>
              <w:lang w:val="es-MX"/>
            </w:rPr>
          </w:pPr>
          <w:r w:rsidRPr="0020113A">
            <w:rPr>
              <w:rFonts w:ascii="Times New Roman" w:hAnsi="Times New Roman"/>
              <w:b/>
              <w:sz w:val="24"/>
              <w:szCs w:val="24"/>
              <w:lang w:val="es-MX"/>
            </w:rPr>
            <w:t>Naturaleza y alcance del derecho de uso de los activos</w:t>
          </w:r>
        </w:p>
        <w:p w14:paraId="1BEB3714" w14:textId="77777777" w:rsidR="007803E3" w:rsidRPr="0020113A" w:rsidRDefault="007803E3" w:rsidP="2C57CFF9">
          <w:pPr>
            <w:spacing w:after="0"/>
            <w:rPr>
              <w:rFonts w:ascii="Times New Roman" w:hAnsi="Times New Roman"/>
              <w:sz w:val="24"/>
              <w:szCs w:val="24"/>
              <w:lang w:val="es-MX"/>
            </w:rPr>
          </w:pPr>
          <w:r w:rsidRPr="0020113A">
            <w:rPr>
              <w:rFonts w:ascii="Times New Roman" w:hAnsi="Times New Roman"/>
              <w:b/>
              <w:sz w:val="24"/>
              <w:szCs w:val="24"/>
              <w:lang w:val="es-MX"/>
            </w:rPr>
            <w:t xml:space="preserve">Descripción: </w:t>
          </w:r>
          <w:r w:rsidRPr="0020113A">
            <w:rPr>
              <w:rFonts w:ascii="Times New Roman" w:hAnsi="Times New Roman"/>
              <w:sz w:val="24"/>
              <w:szCs w:val="24"/>
              <w:lang w:val="es-MX"/>
            </w:rPr>
            <w:t>Alcance del derecho de uso de los activos:</w:t>
          </w:r>
        </w:p>
        <w:p w14:paraId="29ACBB15" w14:textId="77777777" w:rsidR="007803E3" w:rsidRPr="0020113A" w:rsidRDefault="007803E3" w:rsidP="13FCB80F">
          <w:pPr>
            <w:spacing w:after="0"/>
            <w:rPr>
              <w:rFonts w:ascii="Times New Roman" w:hAnsi="Times New Roman"/>
              <w:sz w:val="24"/>
              <w:szCs w:val="24"/>
              <w:lang w:val="es-MX"/>
            </w:rPr>
          </w:pPr>
          <w:r w:rsidRPr="0020113A">
            <w:rPr>
              <w:rFonts w:ascii="Times New Roman" w:hAnsi="Times New Roman"/>
              <w:sz w:val="24"/>
              <w:szCs w:val="24"/>
              <w:lang w:val="es-MX"/>
            </w:rPr>
            <w:t xml:space="preserve">Activos para el desarrollo del acuerdo de concesión: </w:t>
          </w:r>
        </w:p>
        <w:p w14:paraId="6291CCAC" w14:textId="77777777" w:rsidR="007803E3" w:rsidRPr="0020113A" w:rsidRDefault="007803E3" w:rsidP="13FCB80F">
          <w:pPr>
            <w:spacing w:after="0"/>
            <w:rPr>
              <w:rFonts w:ascii="Times New Roman" w:hAnsi="Times New Roman"/>
              <w:sz w:val="24"/>
              <w:szCs w:val="24"/>
              <w:lang w:val="es-MX"/>
            </w:rPr>
          </w:pPr>
          <w:r w:rsidRPr="0020113A">
            <w:rPr>
              <w:rFonts w:ascii="Times New Roman" w:hAnsi="Times New Roman"/>
              <w:sz w:val="24"/>
              <w:szCs w:val="24"/>
              <w:lang w:val="es-MX"/>
            </w:rPr>
            <w:t>Tramo en calzada sencilla (km) 12.37</w:t>
          </w:r>
        </w:p>
        <w:p w14:paraId="0E65DD98" w14:textId="77777777" w:rsidR="007803E3" w:rsidRPr="0020113A" w:rsidRDefault="007803E3" w:rsidP="13FCB80F">
          <w:pPr>
            <w:spacing w:after="0"/>
            <w:rPr>
              <w:rFonts w:ascii="Times New Roman" w:hAnsi="Times New Roman"/>
              <w:sz w:val="24"/>
              <w:szCs w:val="24"/>
              <w:lang w:val="es-MX"/>
            </w:rPr>
          </w:pPr>
          <w:r w:rsidRPr="0020113A">
            <w:rPr>
              <w:rFonts w:ascii="Times New Roman" w:hAnsi="Times New Roman"/>
              <w:sz w:val="24"/>
              <w:szCs w:val="24"/>
              <w:lang w:val="es-MX"/>
            </w:rPr>
            <w:t>Tramo en doble calzada (km) 26.04</w:t>
          </w:r>
        </w:p>
        <w:p w14:paraId="74F2D467" w14:textId="77777777" w:rsidR="007803E3" w:rsidRPr="0020113A" w:rsidRDefault="007803E3" w:rsidP="13FCB80F">
          <w:pPr>
            <w:spacing w:after="0"/>
            <w:rPr>
              <w:rFonts w:ascii="Times New Roman" w:hAnsi="Times New Roman"/>
              <w:sz w:val="24"/>
              <w:szCs w:val="24"/>
              <w:lang w:val="es-MX"/>
            </w:rPr>
          </w:pPr>
          <w:r w:rsidRPr="0020113A">
            <w:rPr>
              <w:rFonts w:ascii="Times New Roman" w:hAnsi="Times New Roman"/>
              <w:sz w:val="24"/>
              <w:szCs w:val="24"/>
              <w:lang w:val="es-MX"/>
            </w:rPr>
            <w:t>Dos (2) Estaciones de Peaje ubicadas Río Bogotá ubicado en el K0+700 y Peaje el Corzo ubicado en el K16+760</w:t>
          </w:r>
        </w:p>
        <w:p w14:paraId="22CB5880" w14:textId="77777777" w:rsidR="007803E3" w:rsidRPr="0020113A" w:rsidRDefault="007803E3" w:rsidP="13FCB80F">
          <w:pPr>
            <w:spacing w:after="0"/>
            <w:rPr>
              <w:rFonts w:ascii="Times New Roman" w:hAnsi="Times New Roman"/>
              <w:sz w:val="24"/>
              <w:szCs w:val="24"/>
              <w:lang w:val="pt-PT"/>
            </w:rPr>
          </w:pPr>
          <w:r w:rsidRPr="0020113A">
            <w:rPr>
              <w:rFonts w:ascii="Times New Roman" w:hAnsi="Times New Roman"/>
              <w:sz w:val="24"/>
              <w:szCs w:val="24"/>
              <w:lang w:val="pt-PT"/>
            </w:rPr>
            <w:t xml:space="preserve">Dos (2) Basculas Dinámicas </w:t>
          </w:r>
        </w:p>
        <w:p w14:paraId="6E0EDB52" w14:textId="77777777" w:rsidR="007803E3" w:rsidRPr="0020113A" w:rsidRDefault="007803E3" w:rsidP="13FCB80F">
          <w:pPr>
            <w:spacing w:after="0"/>
            <w:rPr>
              <w:rFonts w:ascii="Times New Roman" w:hAnsi="Times New Roman"/>
              <w:sz w:val="24"/>
              <w:szCs w:val="24"/>
              <w:lang w:val="pt-PT"/>
            </w:rPr>
          </w:pPr>
          <w:r w:rsidRPr="0020113A">
            <w:rPr>
              <w:rFonts w:ascii="Times New Roman" w:hAnsi="Times New Roman"/>
              <w:sz w:val="24"/>
              <w:szCs w:val="24"/>
              <w:lang w:val="pt-PT"/>
            </w:rPr>
            <w:t>Dos (2) Basculas Estáticas</w:t>
          </w:r>
        </w:p>
        <w:p w14:paraId="4B00DB2A" w14:textId="77777777" w:rsidR="007803E3" w:rsidRPr="0020113A" w:rsidRDefault="007803E3" w:rsidP="13FCB80F">
          <w:pPr>
            <w:spacing w:after="0"/>
            <w:rPr>
              <w:rFonts w:ascii="Times New Roman" w:hAnsi="Times New Roman"/>
              <w:sz w:val="24"/>
              <w:szCs w:val="24"/>
              <w:lang w:val="es-MX"/>
            </w:rPr>
          </w:pPr>
          <w:r w:rsidRPr="0020113A">
            <w:rPr>
              <w:rFonts w:ascii="Times New Roman" w:hAnsi="Times New Roman"/>
              <w:sz w:val="24"/>
              <w:szCs w:val="24"/>
              <w:lang w:val="es-MX"/>
            </w:rPr>
            <w:t>Centro de Control Operacional y comunicaciones</w:t>
          </w:r>
        </w:p>
        <w:p w14:paraId="7AE4B631" w14:textId="77777777" w:rsidR="007803E3" w:rsidRPr="0020113A" w:rsidRDefault="007803E3" w:rsidP="13FCB80F">
          <w:pPr>
            <w:spacing w:after="0"/>
            <w:rPr>
              <w:rFonts w:ascii="Times New Roman" w:hAnsi="Times New Roman"/>
              <w:sz w:val="24"/>
              <w:szCs w:val="24"/>
              <w:lang w:val="es-MX"/>
            </w:rPr>
          </w:pPr>
          <w:r w:rsidRPr="0020113A">
            <w:rPr>
              <w:rFonts w:ascii="Times New Roman" w:hAnsi="Times New Roman"/>
              <w:sz w:val="24"/>
              <w:szCs w:val="24"/>
              <w:lang w:val="es-MX"/>
            </w:rPr>
            <w:t>15 Puentes Vehiculares</w:t>
          </w:r>
        </w:p>
        <w:p w14:paraId="332E7122" w14:textId="77777777" w:rsidR="007803E3" w:rsidRPr="0020113A" w:rsidRDefault="007803E3" w:rsidP="13FCB80F">
          <w:pPr>
            <w:spacing w:after="0"/>
            <w:rPr>
              <w:rFonts w:ascii="Times New Roman" w:hAnsi="Times New Roman"/>
              <w:sz w:val="24"/>
              <w:szCs w:val="24"/>
              <w:lang w:val="es-MX"/>
            </w:rPr>
          </w:pPr>
          <w:r w:rsidRPr="0020113A">
            <w:rPr>
              <w:rFonts w:ascii="Times New Roman" w:hAnsi="Times New Roman"/>
              <w:sz w:val="24"/>
              <w:szCs w:val="24"/>
              <w:lang w:val="es-MX"/>
            </w:rPr>
            <w:t>15 Puentes Peatonales (9 Puentes construidos por la Concesión, los otros 6 no están a cargo del Concesionario, pero se encuentran en el corredor vial).</w:t>
          </w:r>
        </w:p>
        <w:p w14:paraId="17B6FE98" w14:textId="77777777" w:rsidR="007803E3" w:rsidRPr="0020113A" w:rsidRDefault="007803E3" w:rsidP="13FCB80F">
          <w:pPr>
            <w:spacing w:after="0"/>
            <w:rPr>
              <w:rFonts w:ascii="Times New Roman" w:hAnsi="Times New Roman"/>
              <w:sz w:val="24"/>
              <w:szCs w:val="24"/>
              <w:lang w:val="es-MX"/>
            </w:rPr>
          </w:pPr>
          <w:r w:rsidRPr="0020113A">
            <w:rPr>
              <w:rFonts w:ascii="Times New Roman" w:hAnsi="Times New Roman"/>
              <w:sz w:val="24"/>
              <w:szCs w:val="24"/>
              <w:lang w:val="es-MX"/>
            </w:rPr>
            <w:t>Todo lo relacionado con servicios conexos excepto la ambulancia (Contratista)</w:t>
          </w:r>
        </w:p>
        <w:p w14:paraId="6251CD81" w14:textId="77777777"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 xml:space="preserve">Observaciones: </w:t>
          </w:r>
          <w:r w:rsidRPr="0020113A">
            <w:rPr>
              <w:rFonts w:ascii="Times New Roman" w:hAnsi="Times New Roman"/>
              <w:sz w:val="24"/>
              <w:szCs w:val="24"/>
              <w:lang w:val="es-MX"/>
            </w:rPr>
            <w:t>N/A</w:t>
          </w:r>
        </w:p>
        <w:p w14:paraId="7745C838" w14:textId="77777777" w:rsidR="007803E3" w:rsidRPr="0020113A" w:rsidRDefault="007803E3" w:rsidP="007803E3">
          <w:pPr>
            <w:jc w:val="center"/>
            <w:rPr>
              <w:rFonts w:ascii="Times New Roman" w:hAnsi="Times New Roman"/>
              <w:b/>
              <w:sz w:val="24"/>
              <w:szCs w:val="24"/>
              <w:lang w:val="es-MX"/>
            </w:rPr>
          </w:pPr>
          <w:r w:rsidRPr="0020113A">
            <w:rPr>
              <w:rFonts w:ascii="Times New Roman" w:hAnsi="Times New Roman"/>
              <w:b/>
              <w:sz w:val="24"/>
              <w:szCs w:val="24"/>
              <w:lang w:val="es-MX"/>
            </w:rPr>
            <w:t>Retribución al Concesionario</w:t>
          </w:r>
        </w:p>
        <w:p w14:paraId="4B1EFDEF" w14:textId="77777777" w:rsidR="007803E3" w:rsidRPr="0020113A" w:rsidRDefault="007803E3" w:rsidP="007803E3">
          <w:pPr>
            <w:rPr>
              <w:rFonts w:ascii="Times New Roman" w:hAnsi="Times New Roman"/>
              <w:sz w:val="24"/>
              <w:szCs w:val="24"/>
              <w:lang w:val="es-MX"/>
            </w:rPr>
          </w:pPr>
          <w:r w:rsidRPr="0020113A">
            <w:rPr>
              <w:rFonts w:ascii="Times New Roman" w:hAnsi="Times New Roman"/>
              <w:b/>
              <w:sz w:val="24"/>
              <w:szCs w:val="24"/>
              <w:lang w:val="es-MX"/>
            </w:rPr>
            <w:t xml:space="preserve">Descripción: </w:t>
          </w:r>
          <w:r w:rsidRPr="0020113A">
            <w:rPr>
              <w:rFonts w:ascii="Times New Roman" w:hAnsi="Times New Roman"/>
              <w:sz w:val="24"/>
              <w:szCs w:val="24"/>
              <w:lang w:val="es-MX"/>
            </w:rPr>
            <w:t>Modificación al documento de acuerdo para la ejecución del Contrato de Concesión 0937 de 1995</w:t>
          </w:r>
        </w:p>
        <w:p w14:paraId="7F00A1BF"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Tasa de Retribución: </w:t>
          </w:r>
          <w:r w:rsidRPr="0020113A">
            <w:rPr>
              <w:rFonts w:ascii="Times New Roman" w:hAnsi="Times New Roman"/>
              <w:sz w:val="24"/>
              <w:szCs w:val="24"/>
              <w:lang w:val="es-MX"/>
            </w:rPr>
            <w:t xml:space="preserve">Que el 11 de diciembre de 1998 se firmó un documento de acuerdo, en el que se estableció en su numeral 3 inicio de cobro de los peajes. El inicio del cobro de las estaciones de peaje Río Bogotá y Corzo será a más tardar el día 3 de enero de 1999. El INSTITUTO cede al Concesionario el recaudo neto de estos peajes más sus rendimientos hasta </w:t>
          </w:r>
          <w:r w:rsidRPr="0020113A">
            <w:rPr>
              <w:rFonts w:ascii="Times New Roman" w:hAnsi="Times New Roman"/>
              <w:sz w:val="24"/>
              <w:szCs w:val="24"/>
              <w:lang w:val="es-MX"/>
            </w:rPr>
            <w:lastRenderedPageBreak/>
            <w:t>el 3 de marzo de 1999, los cuales deberán ser depositados por el Concesionario de acuerdo con lo previsto en el documento de acuerdo del 14 de agosto de 1998 en su numeral 2 para exclusiva disponibilidad del INSTITUTO y para invertirlos en el proyecto.</w:t>
          </w:r>
        </w:p>
        <w:p w14:paraId="564A1A1E" w14:textId="77777777" w:rsidR="007803E3" w:rsidRPr="0020113A" w:rsidRDefault="007803E3" w:rsidP="00E60BAB">
          <w:pPr>
            <w:pStyle w:val="Prrafodelista"/>
            <w:numPr>
              <w:ilvl w:val="0"/>
              <w:numId w:val="81"/>
            </w:numPr>
            <w:spacing w:line="259" w:lineRule="auto"/>
            <w:rPr>
              <w:rFonts w:ascii="Times New Roman" w:hAnsi="Times New Roman"/>
              <w:b/>
              <w:sz w:val="24"/>
              <w:szCs w:val="24"/>
              <w:lang w:val="es-MX"/>
            </w:rPr>
          </w:pPr>
          <w:r w:rsidRPr="0020113A">
            <w:rPr>
              <w:rFonts w:ascii="Times New Roman" w:hAnsi="Times New Roman"/>
              <w:b/>
              <w:sz w:val="24"/>
              <w:szCs w:val="24"/>
              <w:lang w:val="es-MX"/>
            </w:rPr>
            <w:t>Derechos a recibir activos especificados al final del acuerdo de concesión</w:t>
          </w:r>
        </w:p>
        <w:p w14:paraId="73D8C2F1"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Descripción</w:t>
          </w:r>
          <w:r w:rsidRPr="0020113A">
            <w:rPr>
              <w:rFonts w:ascii="Times New Roman" w:hAnsi="Times New Roman"/>
              <w:sz w:val="24"/>
              <w:szCs w:val="24"/>
              <w:lang w:val="es-MX"/>
            </w:rPr>
            <w:t>: De acuerdo con lo establecido en la Cláusula Vigésima sexta Reversión y Entrega Final del contrato de Concesión y en el reglamento de operaciones numeral 25, al vencimiento del contrato de la etapa de operación, los bienes afectados a la vía en concesión tales como los predios  de la zona de carretera, calzadas, separadores, intersecciones, estructuras, obras de drenaje, obras de arte y señales, las casetas de peaje y sus áreas de servicio y los equipos instalados para la operación de la carretera, revertirán al Instituto Nacional de Vías, sin costo alguno, libres de todo gravamen y con un índice de estado que alcance una calificación mínima de 4.0 puntos de acuerdo con las Normas para Mantenimiento de Carreteras Concesionadas y el procedimiento para determinar el índice de estado de un pavimento en concreto asfaltico, anexas a los pliegos de condiciones.</w:t>
          </w:r>
        </w:p>
        <w:p w14:paraId="5DBB93C8" w14:textId="77777777" w:rsidR="007803E3" w:rsidRPr="0020113A" w:rsidRDefault="007803E3" w:rsidP="007803E3">
          <w:pPr>
            <w:rPr>
              <w:rFonts w:ascii="Times New Roman" w:hAnsi="Times New Roman"/>
              <w:sz w:val="24"/>
              <w:szCs w:val="24"/>
              <w:lang w:val="es-MX"/>
            </w:rPr>
          </w:pPr>
          <w:r w:rsidRPr="0020113A">
            <w:rPr>
              <w:rFonts w:ascii="Times New Roman" w:hAnsi="Times New Roman"/>
              <w:b/>
              <w:sz w:val="24"/>
              <w:szCs w:val="24"/>
              <w:lang w:val="es-MX"/>
            </w:rPr>
            <w:t xml:space="preserve">Observaciones: </w:t>
          </w:r>
          <w:r w:rsidRPr="0020113A">
            <w:rPr>
              <w:rFonts w:ascii="Times New Roman" w:hAnsi="Times New Roman"/>
              <w:sz w:val="24"/>
              <w:szCs w:val="24"/>
              <w:lang w:val="es-MX"/>
            </w:rPr>
            <w:t>De acuerdo con la periodicidad establecida por la Agencia se ha venido entregando el formato 301.</w:t>
          </w:r>
        </w:p>
        <w:p w14:paraId="00213FCB" w14:textId="77777777" w:rsidR="007803E3" w:rsidRPr="0020113A" w:rsidRDefault="007803E3" w:rsidP="00E60BAB">
          <w:pPr>
            <w:pStyle w:val="Prrafodelista"/>
            <w:numPr>
              <w:ilvl w:val="0"/>
              <w:numId w:val="81"/>
            </w:numPr>
            <w:spacing w:line="259" w:lineRule="auto"/>
            <w:rPr>
              <w:rFonts w:ascii="Times New Roman" w:hAnsi="Times New Roman"/>
              <w:b/>
              <w:sz w:val="24"/>
              <w:szCs w:val="24"/>
              <w:lang w:val="es-MX"/>
            </w:rPr>
          </w:pPr>
          <w:r w:rsidRPr="0020113A">
            <w:rPr>
              <w:rFonts w:ascii="Times New Roman" w:hAnsi="Times New Roman"/>
              <w:b/>
              <w:sz w:val="24"/>
              <w:szCs w:val="24"/>
              <w:lang w:val="es-MX"/>
            </w:rPr>
            <w:t>Cambios en el acuerdo de concesión que se realicen durante el periodo fiscal</w:t>
          </w:r>
        </w:p>
        <w:p w14:paraId="169903F3" w14:textId="77777777" w:rsidR="007803E3" w:rsidRPr="0020113A" w:rsidRDefault="007803E3" w:rsidP="007803E3">
          <w:pPr>
            <w:jc w:val="center"/>
            <w:rPr>
              <w:rFonts w:ascii="Times New Roman" w:hAnsi="Times New Roman"/>
              <w:b/>
              <w:sz w:val="24"/>
              <w:szCs w:val="24"/>
              <w:lang w:val="es-MX"/>
            </w:rPr>
          </w:pPr>
          <w:r w:rsidRPr="0020113A">
            <w:rPr>
              <w:rFonts w:ascii="Times New Roman" w:hAnsi="Times New Roman"/>
              <w:b/>
              <w:sz w:val="24"/>
              <w:szCs w:val="24"/>
              <w:lang w:val="es-MX"/>
            </w:rPr>
            <w:t>Adiciones o Modificaciones en Tiempo</w:t>
          </w:r>
        </w:p>
        <w:tbl>
          <w:tblPr>
            <w:tblStyle w:val="Tablaconcuadrcula"/>
            <w:tblW w:w="0" w:type="auto"/>
            <w:tblLook w:val="04A0" w:firstRow="1" w:lastRow="0" w:firstColumn="1" w:lastColumn="0" w:noHBand="0" w:noVBand="1"/>
          </w:tblPr>
          <w:tblGrid>
            <w:gridCol w:w="3103"/>
            <w:gridCol w:w="2467"/>
            <w:gridCol w:w="3258"/>
          </w:tblGrid>
          <w:tr w:rsidR="007803E3" w:rsidRPr="00655998" w14:paraId="10753847" w14:textId="77777777" w:rsidTr="006D6444">
            <w:tc>
              <w:tcPr>
                <w:tcW w:w="3103" w:type="dxa"/>
                <w:shd w:val="clear" w:color="auto" w:fill="auto"/>
                <w:vAlign w:val="center"/>
              </w:tcPr>
              <w:p w14:paraId="07393369" w14:textId="77777777" w:rsidR="007803E3" w:rsidRPr="00655998" w:rsidRDefault="007803E3" w:rsidP="006D6444">
                <w:pPr>
                  <w:pStyle w:val="Prrafodelista"/>
                  <w:rPr>
                    <w:rFonts w:ascii="Times New Roman" w:hAnsi="Times New Roman"/>
                    <w:b/>
                    <w:sz w:val="16"/>
                    <w:szCs w:val="16"/>
                  </w:rPr>
                </w:pPr>
                <w:r w:rsidRPr="00655998">
                  <w:rPr>
                    <w:rFonts w:ascii="Times New Roman" w:hAnsi="Times New Roman"/>
                    <w:b/>
                    <w:sz w:val="16"/>
                    <w:szCs w:val="16"/>
                  </w:rPr>
                  <w:t>Fechas de las adiciones o modificaciones</w:t>
                </w:r>
              </w:p>
            </w:tc>
            <w:tc>
              <w:tcPr>
                <w:tcW w:w="2467" w:type="dxa"/>
                <w:shd w:val="clear" w:color="auto" w:fill="auto"/>
                <w:vAlign w:val="center"/>
              </w:tcPr>
              <w:p w14:paraId="3875F27B" w14:textId="77777777" w:rsidR="007803E3" w:rsidRPr="00655998" w:rsidRDefault="007803E3" w:rsidP="006D6444">
                <w:pPr>
                  <w:pStyle w:val="Prrafodelista"/>
                  <w:rPr>
                    <w:rFonts w:ascii="Times New Roman" w:hAnsi="Times New Roman"/>
                    <w:b/>
                    <w:sz w:val="16"/>
                    <w:szCs w:val="16"/>
                  </w:rPr>
                </w:pPr>
                <w:r w:rsidRPr="00655998">
                  <w:rPr>
                    <w:rFonts w:ascii="Times New Roman" w:hAnsi="Times New Roman"/>
                    <w:b/>
                    <w:sz w:val="16"/>
                    <w:szCs w:val="16"/>
                  </w:rPr>
                  <w:t>Nueva fecha de finalización estimada</w:t>
                </w:r>
              </w:p>
            </w:tc>
            <w:tc>
              <w:tcPr>
                <w:tcW w:w="3258" w:type="dxa"/>
                <w:shd w:val="clear" w:color="auto" w:fill="auto"/>
                <w:vAlign w:val="center"/>
              </w:tcPr>
              <w:p w14:paraId="1FE43295" w14:textId="77777777" w:rsidR="007803E3" w:rsidRPr="00655998" w:rsidRDefault="007803E3" w:rsidP="006D6444">
                <w:pPr>
                  <w:pStyle w:val="Prrafodelista"/>
                  <w:rPr>
                    <w:rFonts w:ascii="Times New Roman" w:hAnsi="Times New Roman"/>
                    <w:b/>
                    <w:sz w:val="16"/>
                    <w:szCs w:val="16"/>
                  </w:rPr>
                </w:pPr>
                <w:r w:rsidRPr="00655998">
                  <w:rPr>
                    <w:rFonts w:ascii="Times New Roman" w:hAnsi="Times New Roman"/>
                    <w:b/>
                    <w:sz w:val="16"/>
                    <w:szCs w:val="16"/>
                  </w:rPr>
                  <w:t>Observaciones</w:t>
                </w:r>
              </w:p>
            </w:tc>
          </w:tr>
          <w:tr w:rsidR="007803E3" w:rsidRPr="00655998" w14:paraId="0DC7CAD3" w14:textId="77777777" w:rsidTr="006D6444">
            <w:sdt>
              <w:sdtPr>
                <w:rPr>
                  <w:rFonts w:ascii="Times New Roman" w:hAnsi="Times New Roman"/>
                  <w:b/>
                  <w:sz w:val="16"/>
                  <w:szCs w:val="16"/>
                </w:rPr>
                <w:id w:val="-46071957"/>
                <w:placeholder>
                  <w:docPart w:val="6545D890C56E4FB2922A90DCE4F43B03"/>
                </w:placeholder>
              </w:sdtPr>
              <w:sdtContent>
                <w:tc>
                  <w:tcPr>
                    <w:tcW w:w="3103" w:type="dxa"/>
                    <w:shd w:val="clear" w:color="auto" w:fill="auto"/>
                    <w:vAlign w:val="center"/>
                  </w:tcPr>
                  <w:p w14:paraId="7BFCAD78" w14:textId="77777777" w:rsidR="007803E3" w:rsidRPr="00655998" w:rsidRDefault="007803E3" w:rsidP="006D6444">
                    <w:pPr>
                      <w:pStyle w:val="Prrafodelista"/>
                      <w:rPr>
                        <w:rFonts w:ascii="Times New Roman" w:hAnsi="Times New Roman"/>
                        <w:sz w:val="16"/>
                        <w:szCs w:val="16"/>
                      </w:rPr>
                    </w:pPr>
                    <w:r w:rsidRPr="00655998">
                      <w:rPr>
                        <w:rFonts w:ascii="Times New Roman" w:hAnsi="Times New Roman"/>
                        <w:sz w:val="16"/>
                        <w:szCs w:val="16"/>
                      </w:rPr>
                      <w:t>Otrosí No.10</w:t>
                    </w:r>
                  </w:p>
                </w:tc>
              </w:sdtContent>
            </w:sdt>
            <w:sdt>
              <w:sdtPr>
                <w:rPr>
                  <w:rFonts w:ascii="Times New Roman" w:hAnsi="Times New Roman"/>
                  <w:b/>
                  <w:sz w:val="16"/>
                  <w:szCs w:val="16"/>
                </w:rPr>
                <w:id w:val="-141344088"/>
                <w:placeholder>
                  <w:docPart w:val="3C4600CF5FBB49488167785549B27927"/>
                </w:placeholder>
              </w:sdtPr>
              <w:sdtContent>
                <w:tc>
                  <w:tcPr>
                    <w:tcW w:w="2467" w:type="dxa"/>
                    <w:shd w:val="clear" w:color="auto" w:fill="auto"/>
                  </w:tcPr>
                  <w:p w14:paraId="2797BED8" w14:textId="77777777" w:rsidR="007803E3" w:rsidRPr="00655998" w:rsidRDefault="007803E3" w:rsidP="006D6444">
                    <w:pPr>
                      <w:pStyle w:val="Prrafodelista"/>
                      <w:rPr>
                        <w:rFonts w:ascii="Times New Roman" w:hAnsi="Times New Roman"/>
                        <w:sz w:val="16"/>
                        <w:szCs w:val="16"/>
                      </w:rPr>
                    </w:pPr>
                    <w:r w:rsidRPr="00655998">
                      <w:rPr>
                        <w:rFonts w:ascii="Times New Roman" w:hAnsi="Times New Roman"/>
                        <w:sz w:val="16"/>
                        <w:szCs w:val="16"/>
                      </w:rPr>
                      <w:t>27/03/2024</w:t>
                    </w:r>
                  </w:p>
                </w:tc>
              </w:sdtContent>
            </w:sdt>
            <w:tc>
              <w:tcPr>
                <w:tcW w:w="3258" w:type="dxa"/>
                <w:shd w:val="clear" w:color="auto" w:fill="auto"/>
                <w:vAlign w:val="center"/>
              </w:tcPr>
              <w:p w14:paraId="03812DD4" w14:textId="77777777" w:rsidR="007803E3" w:rsidRPr="00655998" w:rsidRDefault="007803E3" w:rsidP="006D6444">
                <w:pPr>
                  <w:pStyle w:val="Prrafodelista"/>
                  <w:rPr>
                    <w:rFonts w:ascii="Times New Roman" w:hAnsi="Times New Roman"/>
                    <w:sz w:val="16"/>
                    <w:szCs w:val="16"/>
                  </w:rPr>
                </w:pPr>
                <w:r w:rsidRPr="00655998">
                  <w:rPr>
                    <w:rFonts w:ascii="Times New Roman" w:hAnsi="Times New Roman"/>
                    <w:sz w:val="16"/>
                    <w:szCs w:val="16"/>
                  </w:rPr>
                  <w:t>Modificación que aplica durante la vigencia 2023</w:t>
                </w:r>
              </w:p>
            </w:tc>
          </w:tr>
        </w:tbl>
        <w:p w14:paraId="44BCCBF5" w14:textId="77777777" w:rsidR="007803E3" w:rsidRPr="0020113A" w:rsidRDefault="007803E3" w:rsidP="007803E3">
          <w:pPr>
            <w:rPr>
              <w:rFonts w:ascii="Times New Roman" w:hAnsi="Times New Roman"/>
              <w:b/>
              <w:sz w:val="24"/>
              <w:szCs w:val="24"/>
              <w:lang w:val="es-MX"/>
            </w:rPr>
          </w:pPr>
        </w:p>
        <w:p w14:paraId="19E93E8A" w14:textId="77777777" w:rsidR="007803E3" w:rsidRPr="0020113A" w:rsidRDefault="007803E3" w:rsidP="007803E3">
          <w:pPr>
            <w:jc w:val="center"/>
            <w:rPr>
              <w:rFonts w:ascii="Times New Roman" w:hAnsi="Times New Roman"/>
              <w:b/>
              <w:sz w:val="24"/>
              <w:szCs w:val="24"/>
              <w:lang w:val="es-MX"/>
            </w:rPr>
          </w:pPr>
          <w:r w:rsidRPr="0020113A">
            <w:rPr>
              <w:rFonts w:ascii="Times New Roman" w:hAnsi="Times New Roman"/>
              <w:b/>
              <w:sz w:val="24"/>
              <w:szCs w:val="24"/>
              <w:lang w:val="es-MX"/>
            </w:rPr>
            <w:t>Adiciones o Modificaciones en Valor</w:t>
          </w:r>
        </w:p>
        <w:tbl>
          <w:tblPr>
            <w:tblStyle w:val="Tablaconcuadrcula"/>
            <w:tblW w:w="0" w:type="auto"/>
            <w:tblLook w:val="04A0" w:firstRow="1" w:lastRow="0" w:firstColumn="1" w:lastColumn="0" w:noHBand="0" w:noVBand="1"/>
          </w:tblPr>
          <w:tblGrid>
            <w:gridCol w:w="3103"/>
            <w:gridCol w:w="2467"/>
            <w:gridCol w:w="3258"/>
          </w:tblGrid>
          <w:tr w:rsidR="007803E3" w:rsidRPr="00655998" w14:paraId="52CC0FCE" w14:textId="77777777" w:rsidTr="006D6444">
            <w:tc>
              <w:tcPr>
                <w:tcW w:w="3103" w:type="dxa"/>
                <w:shd w:val="clear" w:color="auto" w:fill="auto"/>
                <w:vAlign w:val="center"/>
              </w:tcPr>
              <w:p w14:paraId="2410E104" w14:textId="77777777" w:rsidR="007803E3" w:rsidRPr="00655998" w:rsidRDefault="007803E3" w:rsidP="006D6444">
                <w:pPr>
                  <w:jc w:val="center"/>
                  <w:rPr>
                    <w:rFonts w:ascii="Times New Roman" w:hAnsi="Times New Roman"/>
                    <w:b/>
                    <w:sz w:val="16"/>
                    <w:szCs w:val="16"/>
                  </w:rPr>
                </w:pPr>
                <w:r w:rsidRPr="00655998">
                  <w:rPr>
                    <w:rFonts w:ascii="Times New Roman" w:hAnsi="Times New Roman"/>
                    <w:b/>
                    <w:sz w:val="16"/>
                    <w:szCs w:val="16"/>
                  </w:rPr>
                  <w:t>Valor de la adición o modificación</w:t>
                </w:r>
              </w:p>
            </w:tc>
            <w:tc>
              <w:tcPr>
                <w:tcW w:w="2467" w:type="dxa"/>
                <w:shd w:val="clear" w:color="auto" w:fill="auto"/>
                <w:vAlign w:val="center"/>
              </w:tcPr>
              <w:p w14:paraId="369528BA" w14:textId="77777777" w:rsidR="007803E3" w:rsidRPr="00655998" w:rsidRDefault="007803E3" w:rsidP="006D6444">
                <w:pPr>
                  <w:jc w:val="center"/>
                  <w:rPr>
                    <w:rFonts w:ascii="Times New Roman" w:hAnsi="Times New Roman"/>
                    <w:b/>
                    <w:sz w:val="16"/>
                    <w:szCs w:val="16"/>
                  </w:rPr>
                </w:pPr>
                <w:r w:rsidRPr="00655998">
                  <w:rPr>
                    <w:rFonts w:ascii="Times New Roman" w:hAnsi="Times New Roman"/>
                    <w:b/>
                    <w:sz w:val="16"/>
                    <w:szCs w:val="16"/>
                  </w:rPr>
                  <w:t>Nuevo valor del acuerdo</w:t>
                </w:r>
              </w:p>
            </w:tc>
            <w:tc>
              <w:tcPr>
                <w:tcW w:w="3258" w:type="dxa"/>
                <w:shd w:val="clear" w:color="auto" w:fill="auto"/>
                <w:vAlign w:val="center"/>
              </w:tcPr>
              <w:p w14:paraId="13482BFC" w14:textId="77777777" w:rsidR="007803E3" w:rsidRPr="00655998" w:rsidRDefault="007803E3" w:rsidP="006D6444">
                <w:pPr>
                  <w:jc w:val="center"/>
                  <w:rPr>
                    <w:rFonts w:ascii="Times New Roman" w:hAnsi="Times New Roman"/>
                    <w:b/>
                    <w:sz w:val="16"/>
                    <w:szCs w:val="16"/>
                  </w:rPr>
                </w:pPr>
                <w:r w:rsidRPr="00655998">
                  <w:rPr>
                    <w:rFonts w:ascii="Times New Roman" w:hAnsi="Times New Roman"/>
                    <w:b/>
                    <w:sz w:val="16"/>
                    <w:szCs w:val="16"/>
                  </w:rPr>
                  <w:t>Observaciones</w:t>
                </w:r>
              </w:p>
            </w:tc>
          </w:tr>
          <w:tr w:rsidR="007803E3" w:rsidRPr="00655998" w14:paraId="036E9FB7" w14:textId="77777777" w:rsidTr="006D6444">
            <w:sdt>
              <w:sdtPr>
                <w:rPr>
                  <w:rFonts w:ascii="Times New Roman" w:hAnsi="Times New Roman"/>
                  <w:b/>
                  <w:sz w:val="16"/>
                  <w:szCs w:val="16"/>
                </w:rPr>
                <w:id w:val="673003460"/>
                <w:placeholder>
                  <w:docPart w:val="FE3BFCD09E2544AF94501EF587C472AC"/>
                </w:placeholder>
              </w:sdtPr>
              <w:sdtContent>
                <w:tc>
                  <w:tcPr>
                    <w:tcW w:w="3103" w:type="dxa"/>
                    <w:shd w:val="clear" w:color="auto" w:fill="auto"/>
                    <w:vAlign w:val="center"/>
                  </w:tcPr>
                  <w:p w14:paraId="79872095" w14:textId="77777777" w:rsidR="007803E3" w:rsidRPr="00655998" w:rsidRDefault="007803E3" w:rsidP="006D6444">
                    <w:pPr>
                      <w:pStyle w:val="Prrafodelista"/>
                      <w:rPr>
                        <w:rFonts w:ascii="Times New Roman" w:hAnsi="Times New Roman"/>
                        <w:sz w:val="16"/>
                        <w:szCs w:val="16"/>
                      </w:rPr>
                    </w:pPr>
                    <w:r w:rsidRPr="00655998">
                      <w:rPr>
                        <w:rFonts w:ascii="Times New Roman" w:hAnsi="Times New Roman"/>
                        <w:sz w:val="16"/>
                        <w:szCs w:val="16"/>
                      </w:rPr>
                      <w:t xml:space="preserve">$ 80.716.005.158,49 $ Septiembre de 1994 </w:t>
                    </w:r>
                  </w:p>
                </w:tc>
              </w:sdtContent>
            </w:sdt>
            <w:tc>
              <w:tcPr>
                <w:tcW w:w="2467" w:type="dxa"/>
                <w:shd w:val="clear" w:color="auto" w:fill="auto"/>
                <w:vAlign w:val="center"/>
              </w:tcPr>
              <w:p w14:paraId="4FF9F0A9" w14:textId="77777777" w:rsidR="007803E3" w:rsidRPr="00655998" w:rsidRDefault="007803E3" w:rsidP="006D6444">
                <w:pPr>
                  <w:pStyle w:val="Prrafodelista"/>
                  <w:rPr>
                    <w:rFonts w:ascii="Times New Roman" w:hAnsi="Times New Roman"/>
                    <w:sz w:val="16"/>
                    <w:szCs w:val="16"/>
                  </w:rPr>
                </w:pPr>
              </w:p>
            </w:tc>
            <w:tc>
              <w:tcPr>
                <w:tcW w:w="3258" w:type="dxa"/>
                <w:shd w:val="clear" w:color="auto" w:fill="auto"/>
              </w:tcPr>
              <w:p w14:paraId="4292590A" w14:textId="77777777" w:rsidR="007803E3" w:rsidRPr="00655998" w:rsidRDefault="007803E3" w:rsidP="006D6444">
                <w:pPr>
                  <w:rPr>
                    <w:rFonts w:ascii="Times New Roman" w:hAnsi="Times New Roman"/>
                    <w:sz w:val="16"/>
                    <w:szCs w:val="16"/>
                  </w:rPr>
                </w:pPr>
                <w:r w:rsidRPr="00655998">
                  <w:rPr>
                    <w:rFonts w:ascii="Times New Roman" w:hAnsi="Times New Roman"/>
                    <w:sz w:val="16"/>
                    <w:szCs w:val="16"/>
                  </w:rPr>
                  <w:t>Se presenta una modificación en el pasivo diferido, teniendo en cuenta que se reporta un mayor valor  de capex dadas las adiciones de capex de 2023 y 2024 producto de lo dispuesto en el otrosi No. 10</w:t>
                </w:r>
              </w:p>
            </w:tc>
          </w:tr>
        </w:tbl>
        <w:p w14:paraId="45F1E31B" w14:textId="77777777" w:rsidR="007803E3" w:rsidRPr="0020113A" w:rsidRDefault="007803E3" w:rsidP="007803E3">
          <w:pPr>
            <w:rPr>
              <w:rFonts w:ascii="Times New Roman" w:hAnsi="Times New Roman"/>
              <w:b/>
              <w:sz w:val="24"/>
              <w:szCs w:val="24"/>
              <w:lang w:val="es-MX"/>
            </w:rPr>
          </w:pPr>
        </w:p>
        <w:p w14:paraId="6BA2626A" w14:textId="77777777" w:rsidR="007803E3" w:rsidRPr="0020113A" w:rsidRDefault="007803E3" w:rsidP="007803E3">
          <w:pPr>
            <w:rPr>
              <w:rFonts w:ascii="Times New Roman" w:hAnsi="Times New Roman"/>
              <w:b/>
              <w:sz w:val="24"/>
              <w:szCs w:val="24"/>
              <w:lang w:val="es-MX"/>
            </w:rPr>
          </w:pPr>
        </w:p>
        <w:p w14:paraId="4FA67405" w14:textId="77777777"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CARTAGENA BARRANQUILLA CIRCUNVALAR DE LA PROSPERIDAD</w:t>
          </w:r>
        </w:p>
        <w:p w14:paraId="3FBDB2DE" w14:textId="77777777" w:rsidR="007803E3" w:rsidRPr="0020113A" w:rsidRDefault="007803E3" w:rsidP="00E60BAB">
          <w:pPr>
            <w:pStyle w:val="Prrafodelista"/>
            <w:numPr>
              <w:ilvl w:val="0"/>
              <w:numId w:val="104"/>
            </w:numPr>
            <w:spacing w:after="0" w:line="240" w:lineRule="auto"/>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Descripción del Acuerdo</w:t>
          </w:r>
          <w:r w:rsidRPr="0020113A">
            <w:rPr>
              <w:rFonts w:ascii="Times New Roman" w:eastAsia="Times New Roman" w:hAnsi="Times New Roman"/>
              <w:sz w:val="24"/>
              <w:szCs w:val="24"/>
              <w:lang w:eastAsia="es-CO"/>
            </w:rPr>
            <w:t> </w:t>
          </w:r>
        </w:p>
        <w:p w14:paraId="6B83BA53" w14:textId="77777777" w:rsidR="007803E3" w:rsidRPr="0020113A" w:rsidRDefault="007803E3" w:rsidP="007803E3">
          <w:pPr>
            <w:spacing w:after="0" w:line="240" w:lineRule="auto"/>
            <w:textAlignment w:val="baseline"/>
            <w:rPr>
              <w:rFonts w:ascii="Times New Roman" w:eastAsia="Times New Roman" w:hAnsi="Times New Roman"/>
              <w:b/>
              <w:sz w:val="24"/>
              <w:szCs w:val="24"/>
              <w:lang w:val="es-MX" w:eastAsia="es-CO"/>
            </w:rPr>
          </w:pPr>
        </w:p>
        <w:p w14:paraId="378FED87" w14:textId="77777777" w:rsidR="007803E3" w:rsidRPr="0020113A" w:rsidRDefault="007803E3" w:rsidP="007803E3">
          <w:pPr>
            <w:spacing w:after="0" w:line="240" w:lineRule="auto"/>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Número del Acuerdo de Concesión: 004 de 2014</w:t>
          </w:r>
          <w:r w:rsidRPr="0020113A">
            <w:rPr>
              <w:rFonts w:ascii="Times New Roman" w:eastAsia="Times New Roman" w:hAnsi="Times New Roman"/>
              <w:sz w:val="24"/>
              <w:szCs w:val="24"/>
              <w:lang w:eastAsia="es-CO"/>
            </w:rPr>
            <w:t> </w:t>
          </w:r>
        </w:p>
        <w:p w14:paraId="10147798" w14:textId="77777777" w:rsidR="007803E3" w:rsidRPr="0020113A" w:rsidRDefault="007803E3" w:rsidP="007803E3">
          <w:pPr>
            <w:spacing w:after="0" w:line="240" w:lineRule="auto"/>
            <w:jc w:val="both"/>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Objeto / Descripción:</w:t>
          </w:r>
          <w:r w:rsidRPr="0020113A">
            <w:rPr>
              <w:rFonts w:ascii="Times New Roman" w:eastAsia="Times New Roman" w:hAnsi="Times New Roman"/>
              <w:sz w:val="24"/>
              <w:szCs w:val="24"/>
              <w:lang w:eastAsia="es-CO"/>
            </w:rPr>
            <w:t xml:space="preserve"> El Contrato de concesión bajo un esquema de asociación público privada en los términos de la Ley 1508 de 2012, tiene por objeto el otorgamiento de una concesión para que, de conformidad con lo previsto en este Contrato, el Concesionario, por su cuenta y riesgo, lleve a cabo el Proyecto. </w:t>
          </w:r>
        </w:p>
        <w:p w14:paraId="3F5B479D" w14:textId="0F30AABB" w:rsidR="007803E3" w:rsidRPr="0020113A" w:rsidRDefault="007803E3" w:rsidP="007803E3">
          <w:pPr>
            <w:spacing w:after="0" w:line="240" w:lineRule="auto"/>
            <w:jc w:val="both"/>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lastRenderedPageBreak/>
            <w:t>Valor Inicial:</w:t>
          </w:r>
          <w:r w:rsidRPr="0020113A">
            <w:rPr>
              <w:rFonts w:ascii="Times New Roman" w:eastAsia="Times New Roman" w:hAnsi="Times New Roman"/>
              <w:sz w:val="24"/>
              <w:szCs w:val="24"/>
              <w:lang w:eastAsia="es-CO"/>
            </w:rPr>
            <w:t> UN BILLÓN SETECIENTOS NUEVE MIL TRESCIENTOS SESENTA Y CUATRO MILLONES QUINIENTOS TREINTA MIL DOSCIENTOS DIECISEIS PESOS ($1,709,364,530,216) constantes de 31 de diciembre de 2012.</w:t>
          </w:r>
        </w:p>
        <w:p w14:paraId="77F78AD7" w14:textId="286B1710" w:rsidR="007803E3" w:rsidRPr="0020113A" w:rsidRDefault="007803E3" w:rsidP="007803E3">
          <w:pPr>
            <w:spacing w:after="0" w:line="240" w:lineRule="auto"/>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Fecha de Inicio:</w:t>
          </w:r>
          <w:r w:rsidRPr="0020113A">
            <w:rPr>
              <w:rFonts w:ascii="Times New Roman" w:eastAsia="Times New Roman" w:hAnsi="Times New Roman"/>
              <w:sz w:val="24"/>
              <w:szCs w:val="24"/>
              <w:lang w:eastAsia="es-CO"/>
            </w:rPr>
            <w:t> 05 de noviembre de 2014</w:t>
          </w:r>
        </w:p>
        <w:p w14:paraId="1502C944" w14:textId="532D8A04" w:rsidR="007803E3" w:rsidRPr="0020113A" w:rsidRDefault="007803E3" w:rsidP="007803E3">
          <w:pPr>
            <w:spacing w:after="0" w:line="240" w:lineRule="auto"/>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Fecha de Finalización Estimada:</w:t>
          </w:r>
          <w:r w:rsidRPr="0020113A">
            <w:rPr>
              <w:rFonts w:ascii="Times New Roman" w:eastAsia="Times New Roman" w:hAnsi="Times New Roman"/>
              <w:sz w:val="24"/>
              <w:szCs w:val="24"/>
              <w:lang w:eastAsia="es-CO"/>
            </w:rPr>
            <w:t> 04 de noviembre de 2039</w:t>
          </w:r>
        </w:p>
        <w:p w14:paraId="5D279780" w14:textId="7F24F48E" w:rsidR="007803E3" w:rsidRPr="0020113A" w:rsidRDefault="007803E3" w:rsidP="007803E3">
          <w:pPr>
            <w:spacing w:after="0" w:line="240" w:lineRule="auto"/>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Tipo ID:</w:t>
          </w:r>
          <w:r w:rsidRPr="0020113A">
            <w:rPr>
              <w:rFonts w:ascii="Times New Roman" w:eastAsia="Times New Roman" w:hAnsi="Times New Roman"/>
              <w:sz w:val="24"/>
              <w:szCs w:val="24"/>
              <w:lang w:eastAsia="es-CO"/>
            </w:rPr>
            <w:t> NIT</w:t>
          </w:r>
        </w:p>
        <w:p w14:paraId="42E41F95" w14:textId="77777777" w:rsidR="007803E3" w:rsidRPr="0020113A" w:rsidRDefault="007803E3" w:rsidP="007803E3">
          <w:pPr>
            <w:spacing w:after="0" w:line="240" w:lineRule="auto"/>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Numero ID:</w:t>
          </w:r>
          <w:r w:rsidRPr="0020113A">
            <w:rPr>
              <w:rFonts w:ascii="Times New Roman" w:eastAsia="Times New Roman" w:hAnsi="Times New Roman"/>
              <w:sz w:val="24"/>
              <w:szCs w:val="24"/>
              <w:lang w:eastAsia="es-CO"/>
            </w:rPr>
            <w:t xml:space="preserve"> 900763355 </w:t>
          </w:r>
        </w:p>
        <w:p w14:paraId="3FF473C9" w14:textId="77777777" w:rsidR="007803E3" w:rsidRPr="0020113A" w:rsidRDefault="007803E3" w:rsidP="007803E3">
          <w:pPr>
            <w:spacing w:after="0" w:line="240" w:lineRule="auto"/>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Razón Social del Concesionario:</w:t>
          </w:r>
          <w:r w:rsidRPr="0020113A">
            <w:rPr>
              <w:rFonts w:ascii="Times New Roman" w:eastAsia="Times New Roman" w:hAnsi="Times New Roman"/>
              <w:sz w:val="24"/>
              <w:szCs w:val="24"/>
              <w:lang w:eastAsia="es-CO"/>
            </w:rPr>
            <w:t> Concesión Costera Cartagena Barranquilla SAS</w:t>
          </w:r>
        </w:p>
        <w:p w14:paraId="5569C3DF" w14:textId="77777777" w:rsidR="007803E3" w:rsidRPr="0020113A" w:rsidRDefault="007803E3" w:rsidP="007803E3">
          <w:pPr>
            <w:spacing w:after="0" w:line="240" w:lineRule="auto"/>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Nombre del Proyecto:</w:t>
          </w:r>
          <w:r w:rsidRPr="0020113A">
            <w:rPr>
              <w:rFonts w:ascii="Times New Roman" w:eastAsia="Times New Roman" w:hAnsi="Times New Roman"/>
              <w:sz w:val="24"/>
              <w:szCs w:val="24"/>
              <w:lang w:eastAsia="es-CO"/>
            </w:rPr>
            <w:t> CARTAGENA BARRANQUILLA Y CIRCUNVALAR DE LA PROSPERIDAD</w:t>
          </w:r>
        </w:p>
        <w:p w14:paraId="558C284A" w14:textId="77777777" w:rsidR="007803E3" w:rsidRPr="0020113A" w:rsidRDefault="007803E3" w:rsidP="007803E3">
          <w:pPr>
            <w:spacing w:after="0" w:line="240" w:lineRule="auto"/>
            <w:textAlignment w:val="baseline"/>
            <w:rPr>
              <w:rFonts w:ascii="Times New Roman" w:eastAsia="Times New Roman" w:hAnsi="Times New Roman"/>
              <w:sz w:val="24"/>
              <w:szCs w:val="24"/>
              <w:lang w:eastAsia="es-CO"/>
            </w:rPr>
          </w:pPr>
        </w:p>
        <w:p w14:paraId="7CF27665" w14:textId="77777777" w:rsidR="007803E3" w:rsidRPr="0020113A" w:rsidRDefault="007803E3" w:rsidP="00E60BAB">
          <w:pPr>
            <w:pStyle w:val="Prrafodelista"/>
            <w:numPr>
              <w:ilvl w:val="0"/>
              <w:numId w:val="104"/>
            </w:numPr>
            <w:spacing w:after="0" w:line="240" w:lineRule="auto"/>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Términos significativos del acuerdo que puedan afectar su valor, el calendario y la certeza de los flujos</w:t>
          </w:r>
          <w:r w:rsidRPr="0020113A">
            <w:rPr>
              <w:rFonts w:ascii="Times New Roman" w:eastAsia="Times New Roman" w:hAnsi="Times New Roman"/>
              <w:sz w:val="24"/>
              <w:szCs w:val="24"/>
              <w:lang w:eastAsia="es-CO"/>
            </w:rPr>
            <w:t> </w:t>
          </w:r>
        </w:p>
        <w:p w14:paraId="7CB506E2" w14:textId="77777777" w:rsidR="007803E3" w:rsidRPr="0020113A" w:rsidRDefault="007803E3" w:rsidP="007803E3">
          <w:pPr>
            <w:pStyle w:val="Prrafodelista"/>
            <w:spacing w:after="0" w:line="240" w:lineRule="auto"/>
            <w:textAlignment w:val="baseline"/>
            <w:rPr>
              <w:rFonts w:ascii="Times New Roman" w:eastAsia="Times New Roman" w:hAnsi="Times New Roman"/>
              <w:sz w:val="24"/>
              <w:szCs w:val="24"/>
              <w:lang w:eastAsia="es-CO"/>
            </w:rPr>
          </w:pPr>
        </w:p>
        <w:p w14:paraId="47D61898" w14:textId="77777777" w:rsidR="007803E3" w:rsidRPr="0020113A" w:rsidRDefault="007803E3" w:rsidP="007803E3">
          <w:pPr>
            <w:spacing w:after="0" w:line="240" w:lineRule="auto"/>
            <w:jc w:val="both"/>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Términos de Valor:</w:t>
          </w:r>
          <w:r w:rsidRPr="0020113A">
            <w:rPr>
              <w:rFonts w:ascii="Times New Roman" w:eastAsia="Times New Roman" w:hAnsi="Times New Roman"/>
              <w:sz w:val="24"/>
              <w:szCs w:val="24"/>
              <w:lang w:eastAsia="es-CO"/>
            </w:rPr>
            <w:t> Las principales variables, con efectos sobre el flujo de caja son Recaudo de peaje, Aportes ANI y el estado de avance del proyecto. En el mes de septiembre de 2023 fue cancelado el saldo el segundo giro de vigencias futuras 2022 y el primer pago de las vigencias 2023.</w:t>
          </w:r>
        </w:p>
        <w:p w14:paraId="7B7A48DF" w14:textId="77777777" w:rsidR="007803E3" w:rsidRPr="0020113A" w:rsidRDefault="007803E3" w:rsidP="007803E3">
          <w:pPr>
            <w:spacing w:after="0" w:line="240" w:lineRule="auto"/>
            <w:jc w:val="both"/>
            <w:textAlignment w:val="baseline"/>
            <w:rPr>
              <w:rFonts w:ascii="Times New Roman" w:eastAsia="Times New Roman" w:hAnsi="Times New Roman"/>
              <w:sz w:val="24"/>
              <w:szCs w:val="24"/>
              <w:lang w:eastAsia="es-CO"/>
            </w:rPr>
          </w:pPr>
          <w:r w:rsidRPr="0020113A">
            <w:rPr>
              <w:rFonts w:ascii="Times New Roman" w:eastAsia="Times New Roman" w:hAnsi="Times New Roman"/>
              <w:sz w:val="24"/>
              <w:szCs w:val="24"/>
              <w:lang w:eastAsia="es-CO"/>
            </w:rPr>
            <w:t>En la vigencia de 2023 fueron pagadas actas de retribución por compensación tarifaria por $37.065.215.100,00 (Certificación Fiducia).</w:t>
          </w:r>
        </w:p>
        <w:p w14:paraId="1D4A820F" w14:textId="77777777" w:rsidR="007803E3" w:rsidRPr="0020113A" w:rsidRDefault="007803E3" w:rsidP="007803E3">
          <w:pPr>
            <w:spacing w:after="0" w:line="240" w:lineRule="auto"/>
            <w:jc w:val="both"/>
            <w:textAlignment w:val="baseline"/>
            <w:rPr>
              <w:rFonts w:ascii="Times New Roman" w:eastAsia="Times New Roman" w:hAnsi="Times New Roman"/>
              <w:b/>
              <w:sz w:val="24"/>
              <w:szCs w:val="24"/>
              <w:lang w:val="es-MX" w:eastAsia="es-CO"/>
            </w:rPr>
          </w:pPr>
        </w:p>
        <w:p w14:paraId="4E6C346B" w14:textId="77777777" w:rsidR="007803E3" w:rsidRPr="0020113A" w:rsidRDefault="007803E3" w:rsidP="007803E3">
          <w:pPr>
            <w:spacing w:after="0" w:line="240" w:lineRule="auto"/>
            <w:jc w:val="both"/>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Términos de Calendario:</w:t>
          </w:r>
          <w:r w:rsidRPr="0020113A">
            <w:rPr>
              <w:rFonts w:ascii="Times New Roman" w:eastAsia="Times New Roman" w:hAnsi="Times New Roman"/>
              <w:sz w:val="24"/>
              <w:szCs w:val="24"/>
              <w:lang w:eastAsia="es-CO"/>
            </w:rPr>
            <w:t> Las tarifas de peaje son incrementadas cada 16 de enero con el IPC publicado por el DANE. Para la vigencia 2023 de acuerdo con el decreto 050 no se presentó incremento</w:t>
          </w:r>
        </w:p>
        <w:p w14:paraId="2823C4D7" w14:textId="77777777" w:rsidR="007803E3" w:rsidRPr="0020113A" w:rsidRDefault="007803E3" w:rsidP="007803E3">
          <w:pPr>
            <w:spacing w:after="0" w:line="240" w:lineRule="auto"/>
            <w:jc w:val="both"/>
            <w:textAlignment w:val="baseline"/>
            <w:rPr>
              <w:rFonts w:ascii="Times New Roman" w:eastAsia="Times New Roman" w:hAnsi="Times New Roman"/>
              <w:b/>
              <w:sz w:val="24"/>
              <w:szCs w:val="24"/>
              <w:lang w:val="es-MX" w:eastAsia="es-CO"/>
            </w:rPr>
          </w:pPr>
        </w:p>
        <w:p w14:paraId="7F432905" w14:textId="77777777" w:rsidR="007803E3" w:rsidRPr="0020113A" w:rsidRDefault="007803E3" w:rsidP="007803E3">
          <w:pPr>
            <w:spacing w:after="0" w:line="240" w:lineRule="auto"/>
            <w:jc w:val="both"/>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Términos de Certeza de Flujos de Efectivo Futuros:</w:t>
          </w:r>
          <w:r w:rsidRPr="0020113A">
            <w:rPr>
              <w:rFonts w:ascii="Times New Roman" w:eastAsia="Times New Roman" w:hAnsi="Times New Roman"/>
              <w:sz w:val="24"/>
              <w:szCs w:val="24"/>
              <w:lang w:eastAsia="es-CO"/>
            </w:rPr>
            <w:t> El reconocimiento de las actas por menor valor de recaudo decreto 050 se presentan trimestralmente, en la vigencia de 2023 no fueron pagadas al concesionario actas por este concepto. Para la vigencia de 2023 se presentaron resoluciones de tarifa diferencia y no cobro en la estación de Papiros.</w:t>
          </w:r>
        </w:p>
        <w:p w14:paraId="4E899881" w14:textId="77777777" w:rsidR="007803E3" w:rsidRPr="0020113A" w:rsidRDefault="007803E3" w:rsidP="007803E3">
          <w:pPr>
            <w:spacing w:after="0" w:line="240" w:lineRule="auto"/>
            <w:jc w:val="both"/>
            <w:textAlignment w:val="baseline"/>
            <w:rPr>
              <w:rFonts w:ascii="Times New Roman" w:eastAsia="Times New Roman" w:hAnsi="Times New Roman"/>
              <w:sz w:val="24"/>
              <w:szCs w:val="24"/>
              <w:lang w:eastAsia="es-CO"/>
            </w:rPr>
          </w:pPr>
        </w:p>
        <w:p w14:paraId="0FAC7817" w14:textId="77777777" w:rsidR="007803E3" w:rsidRPr="0020113A" w:rsidRDefault="007803E3" w:rsidP="00E60BAB">
          <w:pPr>
            <w:pStyle w:val="Prrafodelista"/>
            <w:numPr>
              <w:ilvl w:val="0"/>
              <w:numId w:val="104"/>
            </w:numPr>
            <w:spacing w:after="0" w:line="240" w:lineRule="auto"/>
            <w:jc w:val="both"/>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Naturaleza y alcance del derecho a utilizar activos especificados, de los aspectos pactados en torno a lo que se espera que el concesionario proporcione en relación con el acuerdo de concesión</w:t>
          </w:r>
          <w:r w:rsidRPr="0020113A">
            <w:rPr>
              <w:rFonts w:ascii="Times New Roman" w:eastAsia="Times New Roman" w:hAnsi="Times New Roman"/>
              <w:sz w:val="24"/>
              <w:szCs w:val="24"/>
              <w:lang w:eastAsia="es-CO"/>
            </w:rPr>
            <w:t> </w:t>
          </w:r>
        </w:p>
        <w:p w14:paraId="6687BB0F" w14:textId="77777777" w:rsidR="007803E3" w:rsidRPr="0020113A" w:rsidRDefault="007803E3" w:rsidP="007803E3">
          <w:pPr>
            <w:spacing w:after="0" w:line="240" w:lineRule="auto"/>
            <w:jc w:val="center"/>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Naturaleza y alcance del derecho de uso de los activos</w:t>
          </w:r>
          <w:r w:rsidRPr="0020113A">
            <w:rPr>
              <w:rFonts w:ascii="Times New Roman" w:eastAsia="Times New Roman" w:hAnsi="Times New Roman"/>
              <w:sz w:val="24"/>
              <w:szCs w:val="24"/>
              <w:lang w:eastAsia="es-CO"/>
            </w:rPr>
            <w:t> </w:t>
          </w:r>
        </w:p>
        <w:p w14:paraId="00200AD7" w14:textId="77777777" w:rsidR="007803E3" w:rsidRPr="0020113A" w:rsidRDefault="007803E3" w:rsidP="007803E3">
          <w:pPr>
            <w:spacing w:after="0" w:line="240" w:lineRule="auto"/>
            <w:textAlignment w:val="baseline"/>
            <w:rPr>
              <w:rFonts w:ascii="Times New Roman" w:eastAsia="Times New Roman" w:hAnsi="Times New Roman"/>
              <w:b/>
              <w:sz w:val="24"/>
              <w:szCs w:val="24"/>
              <w:lang w:val="es-MX" w:eastAsia="es-CO"/>
            </w:rPr>
          </w:pPr>
        </w:p>
        <w:p w14:paraId="684C8C28" w14:textId="77777777" w:rsidR="007803E3" w:rsidRPr="0020113A" w:rsidRDefault="007803E3" w:rsidP="007803E3">
          <w:pPr>
            <w:spacing w:after="0" w:line="240" w:lineRule="auto"/>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Descripción:</w:t>
          </w:r>
          <w:r w:rsidRPr="0020113A">
            <w:rPr>
              <w:rFonts w:ascii="Times New Roman" w:eastAsia="Times New Roman" w:hAnsi="Times New Roman"/>
              <w:sz w:val="24"/>
              <w:szCs w:val="24"/>
              <w:lang w:eastAsia="es-CO"/>
            </w:rPr>
            <w:t> N/A</w:t>
          </w:r>
        </w:p>
        <w:p w14:paraId="5BA9C142" w14:textId="77777777" w:rsidR="007803E3" w:rsidRPr="0020113A" w:rsidRDefault="007803E3" w:rsidP="007803E3">
          <w:pPr>
            <w:spacing w:after="0" w:line="240" w:lineRule="auto"/>
            <w:textAlignment w:val="baseline"/>
            <w:rPr>
              <w:rFonts w:ascii="Times New Roman" w:eastAsia="Times New Roman" w:hAnsi="Times New Roman"/>
              <w:b/>
              <w:sz w:val="24"/>
              <w:szCs w:val="24"/>
              <w:lang w:val="es-MX" w:eastAsia="es-CO"/>
            </w:rPr>
          </w:pPr>
        </w:p>
        <w:p w14:paraId="1A67EA54" w14:textId="77777777" w:rsidR="007803E3" w:rsidRPr="0020113A" w:rsidRDefault="007803E3" w:rsidP="007803E3">
          <w:pPr>
            <w:spacing w:after="0" w:line="240" w:lineRule="auto"/>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Observaciones:</w:t>
          </w:r>
          <w:r w:rsidRPr="0020113A">
            <w:rPr>
              <w:rFonts w:ascii="Times New Roman" w:eastAsia="Times New Roman" w:hAnsi="Times New Roman"/>
              <w:sz w:val="24"/>
              <w:szCs w:val="24"/>
              <w:lang w:eastAsia="es-CO"/>
            </w:rPr>
            <w:t> No hay observaciones</w:t>
          </w:r>
        </w:p>
        <w:p w14:paraId="1F955AD4" w14:textId="77777777" w:rsidR="007803E3" w:rsidRPr="0020113A" w:rsidRDefault="007803E3" w:rsidP="007803E3">
          <w:pPr>
            <w:spacing w:after="0" w:line="240" w:lineRule="auto"/>
            <w:textAlignment w:val="baseline"/>
            <w:rPr>
              <w:rFonts w:ascii="Times New Roman" w:eastAsia="Times New Roman" w:hAnsi="Times New Roman"/>
              <w:sz w:val="24"/>
              <w:szCs w:val="24"/>
              <w:lang w:eastAsia="es-CO"/>
            </w:rPr>
          </w:pPr>
        </w:p>
        <w:p w14:paraId="3FCA4757" w14:textId="77777777" w:rsidR="007803E3" w:rsidRPr="0020113A" w:rsidRDefault="007803E3" w:rsidP="007803E3">
          <w:pPr>
            <w:spacing w:after="0" w:line="240" w:lineRule="auto"/>
            <w:jc w:val="center"/>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Retribución al Concesionario</w:t>
          </w:r>
          <w:r w:rsidRPr="0020113A">
            <w:rPr>
              <w:rFonts w:ascii="Times New Roman" w:eastAsia="Times New Roman" w:hAnsi="Times New Roman"/>
              <w:sz w:val="24"/>
              <w:szCs w:val="24"/>
              <w:lang w:eastAsia="es-CO"/>
            </w:rPr>
            <w:t> </w:t>
          </w:r>
        </w:p>
        <w:p w14:paraId="4E1FA3A7" w14:textId="77777777" w:rsidR="007803E3" w:rsidRPr="0020113A" w:rsidRDefault="007803E3" w:rsidP="007803E3">
          <w:pPr>
            <w:spacing w:after="0" w:line="240" w:lineRule="auto"/>
            <w:jc w:val="center"/>
            <w:textAlignment w:val="baseline"/>
            <w:rPr>
              <w:rFonts w:ascii="Times New Roman" w:eastAsia="Times New Roman" w:hAnsi="Times New Roman"/>
              <w:sz w:val="24"/>
              <w:szCs w:val="24"/>
              <w:lang w:eastAsia="es-CO"/>
            </w:rPr>
          </w:pPr>
        </w:p>
        <w:p w14:paraId="2ED62FB6" w14:textId="77777777" w:rsidR="007803E3" w:rsidRPr="0020113A" w:rsidRDefault="007803E3" w:rsidP="007803E3">
          <w:pPr>
            <w:spacing w:after="0" w:line="240" w:lineRule="auto"/>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Descripción:</w:t>
          </w:r>
          <w:r w:rsidRPr="0020113A">
            <w:rPr>
              <w:rFonts w:ascii="Times New Roman" w:eastAsia="Times New Roman" w:hAnsi="Times New Roman"/>
              <w:sz w:val="24"/>
              <w:szCs w:val="24"/>
              <w:lang w:eastAsia="es-CO"/>
            </w:rPr>
            <w:t> En la sección 4.3 de la Parte Especial del contrato de concesión se establece el cálculo de la retribución al concesionario.</w:t>
          </w:r>
        </w:p>
        <w:p w14:paraId="69F11E20" w14:textId="77777777" w:rsidR="007803E3" w:rsidRPr="0020113A" w:rsidRDefault="007803E3" w:rsidP="007803E3">
          <w:pPr>
            <w:spacing w:after="0" w:line="240" w:lineRule="auto"/>
            <w:jc w:val="both"/>
            <w:textAlignment w:val="baseline"/>
            <w:rPr>
              <w:rFonts w:ascii="Times New Roman" w:eastAsia="Times New Roman" w:hAnsi="Times New Roman"/>
              <w:b/>
              <w:sz w:val="24"/>
              <w:szCs w:val="24"/>
              <w:lang w:val="es-MX" w:eastAsia="es-CO"/>
            </w:rPr>
          </w:pPr>
        </w:p>
        <w:p w14:paraId="621D96A0" w14:textId="77777777" w:rsidR="007803E3" w:rsidRPr="0020113A" w:rsidRDefault="007803E3" w:rsidP="007803E3">
          <w:pPr>
            <w:spacing w:after="0" w:line="240" w:lineRule="auto"/>
            <w:jc w:val="both"/>
            <w:textAlignment w:val="baseline"/>
            <w:rPr>
              <w:rFonts w:ascii="Times New Roman" w:hAnsi="Times New Roman"/>
              <w:sz w:val="24"/>
              <w:szCs w:val="24"/>
            </w:rPr>
          </w:pPr>
          <w:r w:rsidRPr="0020113A">
            <w:rPr>
              <w:rFonts w:ascii="Times New Roman" w:eastAsia="Times New Roman" w:hAnsi="Times New Roman"/>
              <w:b/>
              <w:sz w:val="24"/>
              <w:szCs w:val="24"/>
              <w:lang w:val="es-MX" w:eastAsia="es-CO"/>
            </w:rPr>
            <w:t>Tasa de Retribución:</w:t>
          </w:r>
          <w:r w:rsidRPr="0020113A">
            <w:rPr>
              <w:rFonts w:ascii="Times New Roman" w:eastAsia="Times New Roman" w:hAnsi="Times New Roman"/>
              <w:sz w:val="24"/>
              <w:szCs w:val="24"/>
              <w:lang w:eastAsia="es-CO"/>
            </w:rPr>
            <w:t> </w:t>
          </w:r>
          <w:r w:rsidRPr="0020113A">
            <w:rPr>
              <w:rFonts w:ascii="Times New Roman" w:hAnsi="Times New Roman"/>
              <w:sz w:val="24"/>
              <w:szCs w:val="24"/>
            </w:rPr>
            <w:t>De acuerdo con el contrato parte especial, la Tasa descuento real TDI expresada en términos efectivos mensuales, para efectos de este proyecto, será del cero punto cinco cuatro ocho siete por ciento 0.5487%</w:t>
          </w:r>
        </w:p>
        <w:p w14:paraId="242872A3" w14:textId="77777777" w:rsidR="007803E3" w:rsidRPr="0020113A" w:rsidRDefault="007803E3" w:rsidP="007803E3">
          <w:pPr>
            <w:spacing w:after="0" w:line="240" w:lineRule="auto"/>
            <w:jc w:val="both"/>
            <w:textAlignment w:val="baseline"/>
            <w:rPr>
              <w:rFonts w:ascii="Times New Roman" w:eastAsia="Times New Roman" w:hAnsi="Times New Roman"/>
              <w:sz w:val="24"/>
              <w:szCs w:val="24"/>
              <w:lang w:eastAsia="es-CO"/>
            </w:rPr>
          </w:pPr>
        </w:p>
        <w:p w14:paraId="3EC28A04" w14:textId="77777777" w:rsidR="007803E3" w:rsidRPr="0020113A" w:rsidRDefault="007803E3" w:rsidP="00E60BAB">
          <w:pPr>
            <w:pStyle w:val="Prrafodelista"/>
            <w:numPr>
              <w:ilvl w:val="0"/>
              <w:numId w:val="104"/>
            </w:numPr>
            <w:spacing w:after="0" w:line="240" w:lineRule="auto"/>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Derechos a recibir activos especificados al final del acuerdo de concesión</w:t>
          </w:r>
          <w:r w:rsidRPr="0020113A">
            <w:rPr>
              <w:rFonts w:ascii="Times New Roman" w:eastAsia="Times New Roman" w:hAnsi="Times New Roman"/>
              <w:sz w:val="24"/>
              <w:szCs w:val="24"/>
              <w:lang w:eastAsia="es-CO"/>
            </w:rPr>
            <w:t> </w:t>
          </w:r>
        </w:p>
        <w:p w14:paraId="48359B23" w14:textId="77777777" w:rsidR="007803E3" w:rsidRPr="0020113A" w:rsidRDefault="007803E3" w:rsidP="007803E3">
          <w:pPr>
            <w:spacing w:after="0" w:line="240" w:lineRule="auto"/>
            <w:textAlignment w:val="baseline"/>
            <w:rPr>
              <w:rFonts w:ascii="Times New Roman" w:eastAsia="Times New Roman" w:hAnsi="Times New Roman"/>
              <w:b/>
              <w:sz w:val="24"/>
              <w:szCs w:val="24"/>
              <w:lang w:val="es-MX" w:eastAsia="es-CO"/>
            </w:rPr>
          </w:pPr>
        </w:p>
        <w:p w14:paraId="4B8D65D5" w14:textId="77777777" w:rsidR="007803E3" w:rsidRPr="0020113A" w:rsidRDefault="007803E3" w:rsidP="007803E3">
          <w:pPr>
            <w:spacing w:after="0" w:line="240" w:lineRule="auto"/>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Descripción:</w:t>
          </w:r>
          <w:r w:rsidRPr="0020113A">
            <w:rPr>
              <w:rFonts w:ascii="Times New Roman" w:eastAsia="Times New Roman" w:hAnsi="Times New Roman"/>
              <w:sz w:val="24"/>
              <w:szCs w:val="24"/>
              <w:lang w:eastAsia="es-CO"/>
            </w:rPr>
            <w:t> Corresponde al procedimiento señalado en la sección 9.7 del Contrato Parte General, mediante el cual el Concesionario entrega los bienes asociados al proyecto a la ANI para dar por terminado el contrato.</w:t>
          </w:r>
        </w:p>
        <w:p w14:paraId="0A88673C" w14:textId="77777777" w:rsidR="007803E3" w:rsidRPr="0020113A" w:rsidRDefault="007803E3" w:rsidP="007803E3">
          <w:pPr>
            <w:spacing w:after="0" w:line="240" w:lineRule="auto"/>
            <w:textAlignment w:val="baseline"/>
            <w:rPr>
              <w:rFonts w:ascii="Times New Roman" w:eastAsia="Times New Roman" w:hAnsi="Times New Roman"/>
              <w:b/>
              <w:sz w:val="24"/>
              <w:szCs w:val="24"/>
              <w:lang w:val="es-MX" w:eastAsia="es-CO"/>
            </w:rPr>
          </w:pPr>
        </w:p>
        <w:p w14:paraId="2DED2DE2" w14:textId="77777777" w:rsidR="007803E3" w:rsidRPr="0020113A" w:rsidRDefault="007803E3" w:rsidP="007803E3">
          <w:pPr>
            <w:spacing w:after="0" w:line="240" w:lineRule="auto"/>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Observaciones:</w:t>
          </w:r>
          <w:r w:rsidRPr="0020113A">
            <w:rPr>
              <w:rFonts w:ascii="Times New Roman" w:eastAsia="Times New Roman" w:hAnsi="Times New Roman"/>
              <w:sz w:val="24"/>
              <w:szCs w:val="24"/>
              <w:lang w:eastAsia="es-CO"/>
            </w:rPr>
            <w:t> No hay observaciones</w:t>
          </w:r>
        </w:p>
        <w:p w14:paraId="7F05FCB5" w14:textId="77777777" w:rsidR="007803E3" w:rsidRPr="0020113A" w:rsidRDefault="007803E3" w:rsidP="007803E3">
          <w:pPr>
            <w:spacing w:after="0" w:line="240" w:lineRule="auto"/>
            <w:textAlignment w:val="baseline"/>
            <w:rPr>
              <w:rFonts w:ascii="Times New Roman" w:eastAsia="Times New Roman" w:hAnsi="Times New Roman"/>
              <w:sz w:val="24"/>
              <w:szCs w:val="24"/>
              <w:lang w:eastAsia="es-CO"/>
            </w:rPr>
          </w:pPr>
        </w:p>
        <w:p w14:paraId="23BCA225" w14:textId="7D9B1AE8" w:rsidR="007803E3" w:rsidRPr="0020113A" w:rsidRDefault="0021095D" w:rsidP="00E60BAB">
          <w:pPr>
            <w:pStyle w:val="Prrafodelista"/>
            <w:numPr>
              <w:ilvl w:val="0"/>
              <w:numId w:val="104"/>
            </w:numPr>
            <w:spacing w:after="0" w:line="240" w:lineRule="auto"/>
            <w:textAlignment w:val="baseline"/>
            <w:rPr>
              <w:rFonts w:ascii="Times New Roman" w:eastAsia="Times New Roman" w:hAnsi="Times New Roman"/>
              <w:sz w:val="24"/>
              <w:szCs w:val="24"/>
              <w:lang w:eastAsia="es-CO"/>
            </w:rPr>
          </w:pPr>
          <w:r>
            <w:rPr>
              <w:rFonts w:ascii="Times New Roman" w:eastAsia="Times New Roman" w:hAnsi="Times New Roman"/>
              <w:b/>
              <w:sz w:val="24"/>
              <w:szCs w:val="24"/>
              <w:lang w:val="es-MX" w:eastAsia="es-CO"/>
            </w:rPr>
            <w:t>No hay c</w:t>
          </w:r>
          <w:r w:rsidR="007803E3" w:rsidRPr="0020113A">
            <w:rPr>
              <w:rFonts w:ascii="Times New Roman" w:eastAsia="Times New Roman" w:hAnsi="Times New Roman"/>
              <w:b/>
              <w:sz w:val="24"/>
              <w:szCs w:val="24"/>
              <w:lang w:val="es-MX" w:eastAsia="es-CO"/>
            </w:rPr>
            <w:t>ambios en el acuerdo de concesión que se realicen durante el periodo fiscal</w:t>
          </w:r>
          <w:r w:rsidR="007803E3" w:rsidRPr="0020113A">
            <w:rPr>
              <w:rFonts w:ascii="Times New Roman" w:eastAsia="Times New Roman" w:hAnsi="Times New Roman"/>
              <w:sz w:val="24"/>
              <w:szCs w:val="24"/>
              <w:lang w:eastAsia="es-CO"/>
            </w:rPr>
            <w:t> </w:t>
          </w:r>
        </w:p>
        <w:p w14:paraId="16A5189F" w14:textId="77777777" w:rsidR="007803E3" w:rsidRPr="0020113A" w:rsidRDefault="007803E3" w:rsidP="007803E3">
          <w:pPr>
            <w:spacing w:after="0" w:line="240" w:lineRule="auto"/>
            <w:jc w:val="center"/>
            <w:textAlignment w:val="baseline"/>
            <w:rPr>
              <w:rFonts w:ascii="Times New Roman" w:eastAsia="Times New Roman" w:hAnsi="Times New Roman"/>
              <w:b/>
              <w:sz w:val="24"/>
              <w:szCs w:val="24"/>
              <w:lang w:val="es-MX" w:eastAsia="es-CO"/>
            </w:rPr>
          </w:pPr>
        </w:p>
        <w:p w14:paraId="797BD2D1" w14:textId="77777777" w:rsidR="007803E3" w:rsidRPr="0020113A" w:rsidRDefault="007803E3" w:rsidP="007803E3">
          <w:pPr>
            <w:rPr>
              <w:rFonts w:ascii="Times New Roman" w:hAnsi="Times New Roman"/>
              <w:b/>
              <w:sz w:val="24"/>
              <w:szCs w:val="24"/>
              <w:lang w:val="es-MX"/>
            </w:rPr>
          </w:pPr>
        </w:p>
        <w:p w14:paraId="1E5399F5" w14:textId="77777777"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AUTOPISTA RIO MAGDALENA 2</w:t>
          </w:r>
        </w:p>
        <w:p w14:paraId="08461390" w14:textId="77777777" w:rsidR="007803E3" w:rsidRPr="0020113A" w:rsidRDefault="007803E3" w:rsidP="00E60BAB">
          <w:pPr>
            <w:pStyle w:val="Prrafodelista"/>
            <w:numPr>
              <w:ilvl w:val="0"/>
              <w:numId w:val="105"/>
            </w:numPr>
            <w:spacing w:after="0" w:line="240" w:lineRule="auto"/>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Descripción del Acuerdo</w:t>
          </w:r>
          <w:r w:rsidRPr="0020113A">
            <w:rPr>
              <w:rFonts w:ascii="Times New Roman" w:eastAsia="Times New Roman" w:hAnsi="Times New Roman"/>
              <w:sz w:val="24"/>
              <w:szCs w:val="24"/>
              <w:lang w:eastAsia="es-CO"/>
            </w:rPr>
            <w:t> </w:t>
          </w:r>
        </w:p>
        <w:p w14:paraId="036940B3" w14:textId="77777777" w:rsidR="007803E3" w:rsidRPr="0020113A" w:rsidRDefault="007803E3" w:rsidP="007803E3">
          <w:pPr>
            <w:spacing w:after="0" w:line="240" w:lineRule="auto"/>
            <w:textAlignment w:val="baseline"/>
            <w:rPr>
              <w:rFonts w:ascii="Times New Roman" w:eastAsia="Times New Roman" w:hAnsi="Times New Roman"/>
              <w:b/>
              <w:sz w:val="24"/>
              <w:szCs w:val="24"/>
              <w:lang w:val="es-MX" w:eastAsia="es-CO"/>
            </w:rPr>
          </w:pPr>
        </w:p>
        <w:p w14:paraId="77E3CE25" w14:textId="77777777" w:rsidR="007803E3" w:rsidRPr="0020113A" w:rsidRDefault="007803E3" w:rsidP="007803E3">
          <w:pPr>
            <w:spacing w:after="0" w:line="240" w:lineRule="auto"/>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Número del Acuerdo de Concesión:</w:t>
          </w:r>
          <w:r w:rsidRPr="0020113A">
            <w:rPr>
              <w:rFonts w:ascii="Times New Roman" w:eastAsia="Times New Roman" w:hAnsi="Times New Roman"/>
              <w:sz w:val="24"/>
              <w:szCs w:val="24"/>
              <w:lang w:eastAsia="es-CO"/>
            </w:rPr>
            <w:t> 008 de 2014</w:t>
          </w:r>
        </w:p>
        <w:p w14:paraId="3085D602" w14:textId="77777777" w:rsidR="007803E3" w:rsidRPr="0020113A" w:rsidRDefault="007803E3" w:rsidP="007803E3">
          <w:pPr>
            <w:spacing w:after="0" w:line="240" w:lineRule="auto"/>
            <w:jc w:val="both"/>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Objeto / Descripción:</w:t>
          </w:r>
          <w:r w:rsidRPr="0020113A">
            <w:rPr>
              <w:rFonts w:ascii="Times New Roman" w:eastAsia="Times New Roman" w:hAnsi="Times New Roman"/>
              <w:sz w:val="24"/>
              <w:szCs w:val="24"/>
              <w:lang w:eastAsia="es-CO"/>
            </w:rPr>
            <w:t> El Contrato de concesión bajo un esquema de asociación público privada en los términos de la Ley 1508 de 2012, tiene por objeto el otorgamiento de una concesión para que, de conformidad con lo previsto en este Contrato, el Concesionario, por su cuenta y riesgo, lleve a cabo el Proyecto. El alcance físico del Proyecto se describe en la Parte Especial y en el Apéndice Técnico 1.</w:t>
          </w:r>
        </w:p>
        <w:p w14:paraId="196FD8E1" w14:textId="77777777" w:rsidR="007803E3" w:rsidRPr="0020113A" w:rsidRDefault="007803E3" w:rsidP="007803E3">
          <w:pPr>
            <w:spacing w:after="0" w:line="240" w:lineRule="auto"/>
            <w:jc w:val="both"/>
            <w:textAlignment w:val="baseline"/>
            <w:rPr>
              <w:rFonts w:ascii="Times New Roman" w:eastAsia="Times New Roman" w:hAnsi="Times New Roman"/>
              <w:sz w:val="24"/>
              <w:szCs w:val="24"/>
              <w:lang w:eastAsia="es-CO"/>
            </w:rPr>
          </w:pPr>
          <w:r w:rsidRPr="0020113A">
            <w:rPr>
              <w:rFonts w:ascii="Times New Roman" w:eastAsia="Times New Roman" w:hAnsi="Times New Roman"/>
              <w:sz w:val="24"/>
              <w:szCs w:val="24"/>
              <w:lang w:eastAsia="es-CO"/>
            </w:rPr>
            <w:t>Según la Sección 3.2 de la Parte Especial “De conformidad con el Objeto del Contrato dispuesto en la Parte General de este Contrato el Alcance del Contrato corresponde a los estudios y diseños definitivos, financiación, gestión ambiental, predial y social, construcción, mejoramiento, rehabilitación, operación, mantenimiento y reversión de la Concesión Autopista al Río Magdalena 2, del Proyecto "Autopistas para la Prosperidad", de acuerdo con el Apéndice Técnico 1 y demás Apéndices del Contrato.”</w:t>
          </w:r>
        </w:p>
        <w:p w14:paraId="14B488C8" w14:textId="17D87E19" w:rsidR="007803E3" w:rsidRPr="0020113A" w:rsidRDefault="007803E3" w:rsidP="007803E3">
          <w:pPr>
            <w:spacing w:after="0" w:line="240" w:lineRule="auto"/>
            <w:jc w:val="both"/>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Valor Inicial:</w:t>
          </w:r>
          <w:r w:rsidRPr="0020113A">
            <w:rPr>
              <w:rFonts w:ascii="Times New Roman" w:eastAsia="Times New Roman" w:hAnsi="Times New Roman"/>
              <w:sz w:val="24"/>
              <w:szCs w:val="24"/>
              <w:lang w:eastAsia="es-CO"/>
            </w:rPr>
            <w:t> El Valor del Contrato es de un billón setecientos cuarenta mil cuatrocientos veintisiete millones quinientos sesenta y tres mil trescientos treinta y siete pesos ($1.740.427.563.337) del Mes de Referencia</w:t>
          </w:r>
        </w:p>
        <w:p w14:paraId="5243E262" w14:textId="7D9564A0" w:rsidR="007803E3" w:rsidRPr="0020113A" w:rsidRDefault="007803E3" w:rsidP="007803E3">
          <w:pPr>
            <w:spacing w:after="0" w:line="240" w:lineRule="auto"/>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Fecha de Inicio:</w:t>
          </w:r>
          <w:r w:rsidRPr="0020113A">
            <w:rPr>
              <w:rFonts w:ascii="Times New Roman" w:eastAsia="Times New Roman" w:hAnsi="Times New Roman"/>
              <w:sz w:val="24"/>
              <w:szCs w:val="24"/>
              <w:lang w:eastAsia="es-CO"/>
            </w:rPr>
            <w:t> 14 de marzo de 2015</w:t>
          </w:r>
        </w:p>
        <w:p w14:paraId="5F726283" w14:textId="77777777" w:rsidR="007803E3" w:rsidRPr="0020113A" w:rsidRDefault="007803E3" w:rsidP="007803E3">
          <w:pPr>
            <w:spacing w:after="0" w:line="240" w:lineRule="auto"/>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Fecha de Finalización Estimada:</w:t>
          </w:r>
          <w:r w:rsidRPr="0020113A">
            <w:rPr>
              <w:rFonts w:ascii="Times New Roman" w:eastAsia="Times New Roman" w:hAnsi="Times New Roman"/>
              <w:sz w:val="24"/>
              <w:szCs w:val="24"/>
              <w:lang w:eastAsia="es-CO"/>
            </w:rPr>
            <w:t> 13 de marzo de 2040</w:t>
          </w:r>
        </w:p>
        <w:p w14:paraId="4B77160F" w14:textId="77777777" w:rsidR="007803E3" w:rsidRPr="0020113A" w:rsidRDefault="007803E3" w:rsidP="007803E3">
          <w:pPr>
            <w:spacing w:after="0" w:line="240" w:lineRule="auto"/>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Tipo ID:</w:t>
          </w:r>
          <w:r w:rsidRPr="0020113A">
            <w:rPr>
              <w:rFonts w:ascii="Times New Roman" w:eastAsia="Times New Roman" w:hAnsi="Times New Roman"/>
              <w:sz w:val="24"/>
              <w:szCs w:val="24"/>
              <w:lang w:eastAsia="es-CO"/>
            </w:rPr>
            <w:t> NIT</w:t>
          </w:r>
        </w:p>
        <w:p w14:paraId="465B1D46" w14:textId="77777777" w:rsidR="007803E3" w:rsidRPr="0020113A" w:rsidRDefault="007803E3" w:rsidP="007803E3">
          <w:pPr>
            <w:spacing w:after="0" w:line="240" w:lineRule="auto"/>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 xml:space="preserve">Numero ID: </w:t>
          </w:r>
          <w:r w:rsidRPr="0020113A">
            <w:rPr>
              <w:rFonts w:ascii="Times New Roman" w:eastAsia="Times New Roman" w:hAnsi="Times New Roman"/>
              <w:sz w:val="24"/>
              <w:szCs w:val="24"/>
              <w:lang w:val="es-MX" w:eastAsia="es-CO"/>
            </w:rPr>
            <w:t>900.788.548-0</w:t>
          </w:r>
          <w:r w:rsidRPr="0020113A">
            <w:rPr>
              <w:rFonts w:ascii="Times New Roman" w:eastAsia="Times New Roman" w:hAnsi="Times New Roman"/>
              <w:sz w:val="24"/>
              <w:szCs w:val="24"/>
              <w:lang w:eastAsia="es-CO"/>
            </w:rPr>
            <w:t> </w:t>
          </w:r>
        </w:p>
        <w:p w14:paraId="0F883C11" w14:textId="77777777" w:rsidR="007803E3" w:rsidRPr="0020113A" w:rsidRDefault="007803E3" w:rsidP="007803E3">
          <w:pPr>
            <w:spacing w:after="0" w:line="240" w:lineRule="auto"/>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Razón Social del Concesionario:</w:t>
          </w:r>
          <w:r w:rsidRPr="0020113A">
            <w:rPr>
              <w:rFonts w:ascii="Times New Roman" w:eastAsia="Times New Roman" w:hAnsi="Times New Roman"/>
              <w:sz w:val="24"/>
              <w:szCs w:val="24"/>
              <w:lang w:eastAsia="es-CO"/>
            </w:rPr>
            <w:t> Autopista Rio Magdalena SAS</w:t>
          </w:r>
        </w:p>
        <w:p w14:paraId="3FF338D2" w14:textId="77777777" w:rsidR="007803E3" w:rsidRPr="0020113A" w:rsidRDefault="007803E3" w:rsidP="007803E3">
          <w:pPr>
            <w:spacing w:after="0" w:line="240" w:lineRule="auto"/>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Nombre del Proyecto:</w:t>
          </w:r>
          <w:r w:rsidRPr="0020113A">
            <w:rPr>
              <w:rFonts w:ascii="Times New Roman" w:eastAsia="Times New Roman" w:hAnsi="Times New Roman"/>
              <w:sz w:val="24"/>
              <w:szCs w:val="24"/>
              <w:lang w:eastAsia="es-CO"/>
            </w:rPr>
            <w:t> RÍO MAGDALENA</w:t>
          </w:r>
        </w:p>
        <w:p w14:paraId="70D79C57" w14:textId="77777777" w:rsidR="007803E3" w:rsidRPr="0020113A" w:rsidRDefault="007803E3" w:rsidP="007803E3">
          <w:pPr>
            <w:spacing w:after="0" w:line="240" w:lineRule="auto"/>
            <w:ind w:left="1080"/>
            <w:textAlignment w:val="baseline"/>
            <w:rPr>
              <w:rFonts w:ascii="Times New Roman" w:eastAsia="Times New Roman" w:hAnsi="Times New Roman"/>
              <w:sz w:val="24"/>
              <w:szCs w:val="24"/>
              <w:lang w:eastAsia="es-CO"/>
            </w:rPr>
          </w:pPr>
        </w:p>
        <w:p w14:paraId="1A959D75" w14:textId="77777777" w:rsidR="007803E3" w:rsidRPr="0020113A" w:rsidRDefault="007803E3" w:rsidP="00E60BAB">
          <w:pPr>
            <w:pStyle w:val="Prrafodelista"/>
            <w:numPr>
              <w:ilvl w:val="0"/>
              <w:numId w:val="105"/>
            </w:numPr>
            <w:spacing w:after="0" w:line="240" w:lineRule="auto"/>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Términos significativos del acuerdo que puedan afectar su valor, el calendario y la certeza de los flujos</w:t>
          </w:r>
          <w:r w:rsidRPr="0020113A">
            <w:rPr>
              <w:rFonts w:ascii="Times New Roman" w:eastAsia="Times New Roman" w:hAnsi="Times New Roman"/>
              <w:sz w:val="24"/>
              <w:szCs w:val="24"/>
              <w:lang w:eastAsia="es-CO"/>
            </w:rPr>
            <w:t> </w:t>
          </w:r>
        </w:p>
        <w:p w14:paraId="78C6620C" w14:textId="77777777" w:rsidR="007803E3" w:rsidRPr="0020113A" w:rsidRDefault="007803E3" w:rsidP="007803E3">
          <w:pPr>
            <w:spacing w:after="0" w:line="240" w:lineRule="auto"/>
            <w:jc w:val="both"/>
            <w:textAlignment w:val="baseline"/>
            <w:rPr>
              <w:rFonts w:ascii="Times New Roman" w:eastAsia="Times New Roman" w:hAnsi="Times New Roman"/>
              <w:b/>
              <w:sz w:val="24"/>
              <w:szCs w:val="24"/>
              <w:lang w:val="es-MX" w:eastAsia="es-CO"/>
            </w:rPr>
          </w:pPr>
        </w:p>
        <w:p w14:paraId="6DAC70AD" w14:textId="77777777" w:rsidR="007803E3" w:rsidRPr="0020113A" w:rsidRDefault="007803E3" w:rsidP="007803E3">
          <w:pPr>
            <w:spacing w:after="0" w:line="240" w:lineRule="auto"/>
            <w:jc w:val="both"/>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Términos de Valor:</w:t>
          </w:r>
          <w:r w:rsidRPr="0020113A">
            <w:rPr>
              <w:rFonts w:ascii="Times New Roman" w:eastAsia="Times New Roman" w:hAnsi="Times New Roman"/>
              <w:sz w:val="24"/>
              <w:szCs w:val="24"/>
              <w:lang w:eastAsia="es-CO"/>
            </w:rPr>
            <w:t> La sección 4.2 (a)(iii) de la Parte Especial del Contrato de Concesión define la formula con la cual deberán ser actualizadas las tarifas el dieciséis (16) de enero de cada año.</w:t>
          </w:r>
        </w:p>
        <w:p w14:paraId="0B6B82AE" w14:textId="77777777" w:rsidR="007803E3" w:rsidRPr="0020113A" w:rsidRDefault="007803E3" w:rsidP="007803E3">
          <w:pPr>
            <w:spacing w:after="0" w:line="240" w:lineRule="auto"/>
            <w:jc w:val="both"/>
            <w:textAlignment w:val="baseline"/>
            <w:rPr>
              <w:rFonts w:ascii="Times New Roman" w:eastAsia="Times New Roman" w:hAnsi="Times New Roman"/>
              <w:sz w:val="24"/>
              <w:szCs w:val="24"/>
              <w:lang w:eastAsia="es-CO"/>
            </w:rPr>
          </w:pPr>
          <w:r w:rsidRPr="0020113A">
            <w:rPr>
              <w:rFonts w:ascii="Times New Roman" w:eastAsia="Times New Roman" w:hAnsi="Times New Roman"/>
              <w:sz w:val="24"/>
              <w:szCs w:val="24"/>
              <w:lang w:eastAsia="es-CO"/>
            </w:rPr>
            <w:lastRenderedPageBreak/>
            <w:t xml:space="preserve">Durante la vigencia 2023 hicieron parte de la retribución del Concesionario: los aportes ANI vigencias futuras, el recaudo de peaje de la caseta de peaje Puerto Berrío (regulada en la Resolución No. 1557 de 2014) y los ingresos por explotación comercial. </w:t>
          </w:r>
        </w:p>
        <w:p w14:paraId="3680FAFE" w14:textId="77777777" w:rsidR="007803E3" w:rsidRPr="0020113A" w:rsidRDefault="007803E3" w:rsidP="007803E3">
          <w:pPr>
            <w:spacing w:after="0" w:line="240" w:lineRule="auto"/>
            <w:jc w:val="both"/>
            <w:textAlignment w:val="baseline"/>
            <w:rPr>
              <w:rFonts w:ascii="Times New Roman" w:eastAsia="Times New Roman" w:hAnsi="Times New Roman"/>
              <w:sz w:val="24"/>
              <w:szCs w:val="24"/>
              <w:lang w:eastAsia="es-CO"/>
            </w:rPr>
          </w:pPr>
          <w:r w:rsidRPr="0020113A">
            <w:rPr>
              <w:rFonts w:ascii="Times New Roman" w:eastAsia="Times New Roman" w:hAnsi="Times New Roman"/>
              <w:sz w:val="24"/>
              <w:szCs w:val="24"/>
              <w:lang w:eastAsia="es-CO"/>
            </w:rPr>
            <w:t>En términos generales, entre marzo de 2015 y el 31 de diciembre de 2023 el total acumulado del recaudo de peajes de la Concesión alcanzó los $61.070 millones de pesos. Durante el año 2023 se recaudaron $ 12.449 millones de pesos.</w:t>
          </w:r>
        </w:p>
        <w:p w14:paraId="0D29BB71" w14:textId="77777777" w:rsidR="007803E3" w:rsidRPr="0020113A" w:rsidRDefault="007803E3" w:rsidP="007803E3">
          <w:pPr>
            <w:spacing w:after="0" w:line="240" w:lineRule="auto"/>
            <w:jc w:val="both"/>
            <w:textAlignment w:val="baseline"/>
            <w:rPr>
              <w:rFonts w:ascii="Times New Roman" w:eastAsia="Times New Roman" w:hAnsi="Times New Roman"/>
              <w:sz w:val="24"/>
              <w:szCs w:val="24"/>
              <w:lang w:eastAsia="es-CO"/>
            </w:rPr>
          </w:pPr>
          <w:r w:rsidRPr="0020113A">
            <w:rPr>
              <w:rFonts w:ascii="Times New Roman" w:eastAsia="Times New Roman" w:hAnsi="Times New Roman"/>
              <w:sz w:val="24"/>
              <w:szCs w:val="24"/>
              <w:lang w:eastAsia="es-CO"/>
            </w:rPr>
            <w:t>Para la vigencia 2023 el Patrimonio Autónomo del proyecto reportó que al 31 de diciembre de 2023 se recibió el saldo restante del giro de la vigencia 2022 por valor de $71.272.388.665,00 y se registró el ingreso del giro parcial por valor de $195.620.687.242,00 correspondiente a la vigencia 2023. Por otro lado, y de acuerdo con lo reportado por la Fiduciaria, se observa que el total acumulado de aportes ANI realizado a la fecha asciende a $1.077.388.643.312,00.</w:t>
          </w:r>
        </w:p>
        <w:p w14:paraId="15089760" w14:textId="77777777" w:rsidR="007803E3" w:rsidRPr="0020113A" w:rsidRDefault="007803E3" w:rsidP="007803E3">
          <w:pPr>
            <w:spacing w:after="0" w:line="240" w:lineRule="auto"/>
            <w:jc w:val="both"/>
            <w:textAlignment w:val="baseline"/>
            <w:rPr>
              <w:rFonts w:ascii="Times New Roman" w:eastAsia="Times New Roman" w:hAnsi="Times New Roman"/>
              <w:sz w:val="24"/>
              <w:szCs w:val="24"/>
              <w:lang w:eastAsia="es-CO"/>
            </w:rPr>
          </w:pPr>
          <w:r w:rsidRPr="0020113A">
            <w:rPr>
              <w:rFonts w:ascii="Times New Roman" w:eastAsia="Times New Roman" w:hAnsi="Times New Roman"/>
              <w:sz w:val="24"/>
              <w:szCs w:val="24"/>
              <w:lang w:eastAsia="es-CO"/>
            </w:rPr>
            <w:t>Durante el mes de octubre de 2023 se realizó un giro parcial del total de vigencias establecido para el año 2023. En virtud de lo anterior quedó pendiente por girar un saldo de $54.264.186.465,57 (precios del mes de referencia), valor que se actualizará con la aplicación de las variables económicas establecidas en el contrato, al momento de la realización del giro.</w:t>
          </w:r>
        </w:p>
        <w:p w14:paraId="05A3EFA2" w14:textId="77777777" w:rsidR="007803E3" w:rsidRPr="0020113A" w:rsidRDefault="007803E3" w:rsidP="007803E3">
          <w:pPr>
            <w:spacing w:after="0" w:line="240" w:lineRule="auto"/>
            <w:jc w:val="both"/>
            <w:textAlignment w:val="baseline"/>
            <w:rPr>
              <w:rFonts w:ascii="Times New Roman" w:eastAsia="Times New Roman" w:hAnsi="Times New Roman"/>
              <w:sz w:val="24"/>
              <w:szCs w:val="24"/>
              <w:lang w:eastAsia="es-CO"/>
            </w:rPr>
          </w:pPr>
          <w:r w:rsidRPr="0020113A">
            <w:rPr>
              <w:rFonts w:ascii="Times New Roman" w:eastAsia="Times New Roman" w:hAnsi="Times New Roman"/>
              <w:sz w:val="24"/>
              <w:szCs w:val="24"/>
              <w:lang w:eastAsia="es-CO"/>
            </w:rPr>
            <w:t>Durante la vigencia 2023 la Concesión recibió ingresos totales por explotación comercial por valor de $4.201.680,70 producto del Contrato de arrendamiento del área o espacio dentro del Centro de Control de Operaciones - CCO - del proyecto AUTOPISTA MAGDALENA 2, celebrado entre la Concesionaria Autopista Rio Magdalena SAS y Federico Bedoya Navarro.</w:t>
          </w:r>
        </w:p>
        <w:p w14:paraId="6DA80EED" w14:textId="77777777" w:rsidR="00AE4B2B" w:rsidRDefault="00AE4B2B" w:rsidP="007803E3">
          <w:pPr>
            <w:spacing w:after="0" w:line="240" w:lineRule="auto"/>
            <w:jc w:val="both"/>
            <w:textAlignment w:val="baseline"/>
            <w:rPr>
              <w:rFonts w:ascii="Times New Roman" w:eastAsia="Times New Roman" w:hAnsi="Times New Roman"/>
              <w:b/>
              <w:sz w:val="24"/>
              <w:szCs w:val="24"/>
              <w:lang w:val="es-MX" w:eastAsia="es-CO"/>
            </w:rPr>
          </w:pPr>
        </w:p>
        <w:p w14:paraId="7D2CBE57" w14:textId="06545E08" w:rsidR="007803E3" w:rsidRPr="0020113A" w:rsidRDefault="007803E3" w:rsidP="007803E3">
          <w:pPr>
            <w:spacing w:after="0" w:line="240" w:lineRule="auto"/>
            <w:jc w:val="both"/>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Términos de Calendario:</w:t>
          </w:r>
          <w:r w:rsidRPr="0020113A">
            <w:rPr>
              <w:rFonts w:ascii="Times New Roman" w:eastAsia="Times New Roman" w:hAnsi="Times New Roman"/>
              <w:sz w:val="24"/>
              <w:szCs w:val="24"/>
              <w:lang w:eastAsia="es-CO"/>
            </w:rPr>
            <w:t> En vista de la aplicación del decreto N.° 050 del 15 de enero de 2023, el proyecto viene liquidando actas de compensación por diferencial de recaudo. A la fecha se registran cuatro (4) actas trimestrales que reflejan un acumulado total por valor $7.038.103.020,00</w:t>
          </w:r>
        </w:p>
        <w:p w14:paraId="4C62B01A" w14:textId="77777777" w:rsidR="00AE4B2B" w:rsidRDefault="00AE4B2B" w:rsidP="007803E3">
          <w:pPr>
            <w:spacing w:after="0" w:line="240" w:lineRule="auto"/>
            <w:textAlignment w:val="baseline"/>
            <w:rPr>
              <w:rFonts w:ascii="Times New Roman" w:eastAsia="Times New Roman" w:hAnsi="Times New Roman"/>
              <w:b/>
              <w:sz w:val="24"/>
              <w:szCs w:val="24"/>
              <w:lang w:val="es-MX" w:eastAsia="es-CO"/>
            </w:rPr>
          </w:pPr>
        </w:p>
        <w:p w14:paraId="388EFB0E" w14:textId="635198E0" w:rsidR="007803E3" w:rsidRPr="0020113A" w:rsidRDefault="007803E3" w:rsidP="007803E3">
          <w:pPr>
            <w:spacing w:after="0" w:line="240" w:lineRule="auto"/>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Términos de Certeza de Flujos de Efectivo Futuros:</w:t>
          </w:r>
          <w:r w:rsidRPr="0020113A">
            <w:rPr>
              <w:rFonts w:ascii="Times New Roman" w:eastAsia="Times New Roman" w:hAnsi="Times New Roman"/>
              <w:sz w:val="24"/>
              <w:szCs w:val="24"/>
              <w:lang w:eastAsia="es-CO"/>
            </w:rPr>
            <w:t> </w:t>
          </w:r>
        </w:p>
        <w:p w14:paraId="60420DD8" w14:textId="77777777" w:rsidR="007803E3" w:rsidRPr="0020113A" w:rsidRDefault="007803E3" w:rsidP="007803E3">
          <w:pPr>
            <w:spacing w:after="0" w:line="240" w:lineRule="auto"/>
            <w:ind w:left="1080"/>
            <w:textAlignment w:val="baseline"/>
            <w:rPr>
              <w:rFonts w:ascii="Times New Roman" w:eastAsia="Times New Roman" w:hAnsi="Times New Roman"/>
              <w:sz w:val="24"/>
              <w:szCs w:val="24"/>
              <w:lang w:eastAsia="es-CO"/>
            </w:rPr>
          </w:pPr>
        </w:p>
        <w:p w14:paraId="6119F56D" w14:textId="77777777" w:rsidR="007803E3" w:rsidRPr="0020113A" w:rsidRDefault="007803E3" w:rsidP="00E60BAB">
          <w:pPr>
            <w:pStyle w:val="Prrafodelista"/>
            <w:numPr>
              <w:ilvl w:val="0"/>
              <w:numId w:val="105"/>
            </w:numPr>
            <w:spacing w:after="0" w:line="240" w:lineRule="auto"/>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Naturaleza y alcance del derecho a utilizar activos especificados, de los aspectos pactados en torno a lo que se espera que el concesionario proporcione en relación con el acuerdo de concesión</w:t>
          </w:r>
          <w:r w:rsidRPr="0020113A">
            <w:rPr>
              <w:rFonts w:ascii="Times New Roman" w:eastAsia="Times New Roman" w:hAnsi="Times New Roman"/>
              <w:sz w:val="24"/>
              <w:szCs w:val="24"/>
              <w:lang w:eastAsia="es-CO"/>
            </w:rPr>
            <w:t> </w:t>
          </w:r>
        </w:p>
        <w:p w14:paraId="3BE94E42" w14:textId="77777777" w:rsidR="007803E3" w:rsidRPr="0020113A" w:rsidRDefault="007803E3" w:rsidP="007803E3">
          <w:pPr>
            <w:spacing w:after="0" w:line="240" w:lineRule="auto"/>
            <w:jc w:val="center"/>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Naturaleza y alcance del derecho de uso de los activos</w:t>
          </w:r>
          <w:r w:rsidRPr="0020113A">
            <w:rPr>
              <w:rFonts w:ascii="Times New Roman" w:eastAsia="Times New Roman" w:hAnsi="Times New Roman"/>
              <w:sz w:val="24"/>
              <w:szCs w:val="24"/>
              <w:lang w:eastAsia="es-CO"/>
            </w:rPr>
            <w:t> </w:t>
          </w:r>
        </w:p>
        <w:p w14:paraId="006C16E4" w14:textId="77777777" w:rsidR="007803E3" w:rsidRPr="0020113A" w:rsidRDefault="007803E3" w:rsidP="007803E3">
          <w:pPr>
            <w:spacing w:after="0" w:line="240" w:lineRule="auto"/>
            <w:jc w:val="both"/>
            <w:textAlignment w:val="baseline"/>
            <w:rPr>
              <w:rFonts w:ascii="Times New Roman" w:eastAsia="Times New Roman" w:hAnsi="Times New Roman"/>
              <w:b/>
              <w:sz w:val="24"/>
              <w:szCs w:val="24"/>
              <w:lang w:val="es-MX" w:eastAsia="es-CO"/>
            </w:rPr>
          </w:pPr>
        </w:p>
        <w:p w14:paraId="4DB6E54B" w14:textId="77777777" w:rsidR="007803E3" w:rsidRPr="0020113A" w:rsidRDefault="007803E3" w:rsidP="007803E3">
          <w:pPr>
            <w:spacing w:after="0" w:line="240" w:lineRule="auto"/>
            <w:jc w:val="both"/>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Descripción:</w:t>
          </w:r>
          <w:r w:rsidRPr="0020113A">
            <w:rPr>
              <w:rFonts w:ascii="Times New Roman" w:eastAsia="Times New Roman" w:hAnsi="Times New Roman"/>
              <w:sz w:val="24"/>
              <w:szCs w:val="24"/>
              <w:lang w:eastAsia="es-CO"/>
            </w:rPr>
            <w:t> La sección 3.5 (b) del Capítulo III de la Parte Especial del Contrato determina la infraestructura programada para ser recibida por el Concesionario al inicio del Contrato.</w:t>
          </w:r>
        </w:p>
        <w:p w14:paraId="7C875E7D" w14:textId="77777777" w:rsidR="007803E3" w:rsidRPr="0020113A" w:rsidRDefault="007803E3" w:rsidP="007803E3">
          <w:pPr>
            <w:spacing w:after="0" w:line="240" w:lineRule="auto"/>
            <w:jc w:val="both"/>
            <w:textAlignment w:val="baseline"/>
            <w:rPr>
              <w:rFonts w:ascii="Times New Roman" w:eastAsia="Times New Roman" w:hAnsi="Times New Roman"/>
              <w:sz w:val="24"/>
              <w:szCs w:val="24"/>
              <w:lang w:eastAsia="es-CO"/>
            </w:rPr>
          </w:pPr>
          <w:r w:rsidRPr="0020113A">
            <w:rPr>
              <w:rFonts w:ascii="Times New Roman" w:eastAsia="Times New Roman" w:hAnsi="Times New Roman"/>
              <w:sz w:val="24"/>
              <w:szCs w:val="24"/>
              <w:lang w:eastAsia="es-CO"/>
            </w:rPr>
            <w:t>Así mismo, se programó la entrega (Capitulo III, Sección 3.6 - Parte Especial) de la estación de Peaje existente en el momento de la estructuración del contrato, a saber: Puerto Berrío.</w:t>
          </w:r>
        </w:p>
        <w:p w14:paraId="7040CA75" w14:textId="77777777" w:rsidR="007803E3" w:rsidRPr="0020113A" w:rsidRDefault="007803E3" w:rsidP="007803E3">
          <w:pPr>
            <w:spacing w:after="0" w:line="240" w:lineRule="auto"/>
            <w:jc w:val="both"/>
            <w:textAlignment w:val="baseline"/>
            <w:rPr>
              <w:rFonts w:ascii="Times New Roman" w:eastAsia="Times New Roman" w:hAnsi="Times New Roman"/>
              <w:b/>
              <w:sz w:val="24"/>
              <w:szCs w:val="24"/>
              <w:lang w:val="es-MX" w:eastAsia="es-CO"/>
            </w:rPr>
          </w:pPr>
        </w:p>
        <w:p w14:paraId="00A3DDD3" w14:textId="77777777" w:rsidR="007803E3" w:rsidRPr="0020113A" w:rsidRDefault="007803E3" w:rsidP="007803E3">
          <w:pPr>
            <w:spacing w:after="0" w:line="240" w:lineRule="auto"/>
            <w:jc w:val="both"/>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Observaciones:</w:t>
          </w:r>
          <w:r w:rsidRPr="0020113A">
            <w:rPr>
              <w:rFonts w:ascii="Times New Roman" w:eastAsia="Times New Roman" w:hAnsi="Times New Roman"/>
              <w:sz w:val="24"/>
              <w:szCs w:val="24"/>
              <w:lang w:eastAsia="es-CO"/>
            </w:rPr>
            <w:t> El concesionario tiene el derecho a obtener el VPIP contractual. Entiéndase las siglas VPIP, según el numeral 1.162 de la Parte General del Contrato, cómo “Es el valor presente al Mes de Referencia del Recaudo de Peaje, ofrecido por la ANI al Concesionario en las reglas del Proceso de Selección. El monto de VPIP se señala en la Parte Especial.”.  En la Sección 1.162 de la Parte Especial se señala: “El VPIP equivale a SETECIENTOS VEINTIDÓS MIL QUINIENTOS CUARENTA Y OCHO MILLONES NOVECIENTOS NOVENTA Y SIETE MIL OCHOCIENTOS CUARENTA Y CUATRO PESOS ($722.548.997.844) del Mes de Referencia.”, teniendo en cuenta que el Mes de Referencia es diciembre de 2012.  Con corte de 31 de diciembre de 2023 el proyecto presenta el siguiente VPIP:</w:t>
          </w:r>
        </w:p>
        <w:p w14:paraId="298189BF" w14:textId="77777777" w:rsidR="007803E3" w:rsidRPr="0020113A" w:rsidRDefault="007803E3" w:rsidP="007803E3">
          <w:pPr>
            <w:spacing w:after="0" w:line="240" w:lineRule="auto"/>
            <w:textAlignment w:val="baseline"/>
            <w:rPr>
              <w:rFonts w:ascii="Times New Roman" w:eastAsia="Times New Roman" w:hAnsi="Times New Roman"/>
              <w:sz w:val="24"/>
              <w:szCs w:val="24"/>
              <w:lang w:eastAsia="es-CO"/>
            </w:rPr>
          </w:pPr>
          <w:r w:rsidRPr="0020113A">
            <w:rPr>
              <w:rFonts w:ascii="Times New Roman" w:eastAsia="Times New Roman" w:hAnsi="Times New Roman"/>
              <w:sz w:val="24"/>
              <w:szCs w:val="24"/>
              <w:lang w:eastAsia="es-CO"/>
            </w:rPr>
            <w:lastRenderedPageBreak/>
            <w:t>VPIP Contractual: $722.548.997.844</w:t>
          </w:r>
        </w:p>
        <w:p w14:paraId="698E30AA" w14:textId="77777777" w:rsidR="007803E3" w:rsidRPr="0020113A" w:rsidRDefault="007803E3" w:rsidP="007803E3">
          <w:pPr>
            <w:spacing w:after="0" w:line="240" w:lineRule="auto"/>
            <w:textAlignment w:val="baseline"/>
            <w:rPr>
              <w:rFonts w:ascii="Times New Roman" w:eastAsia="Times New Roman" w:hAnsi="Times New Roman"/>
              <w:sz w:val="24"/>
              <w:szCs w:val="24"/>
              <w:lang w:eastAsia="es-CO"/>
            </w:rPr>
          </w:pPr>
          <w:r w:rsidRPr="0020113A">
            <w:rPr>
              <w:rFonts w:ascii="Times New Roman" w:eastAsia="Times New Roman" w:hAnsi="Times New Roman"/>
              <w:sz w:val="24"/>
              <w:szCs w:val="24"/>
              <w:lang w:eastAsia="es-CO"/>
            </w:rPr>
            <w:t>VPIP Acumulado: $27.244.221.564</w:t>
          </w:r>
        </w:p>
        <w:p w14:paraId="0EEDCBA8" w14:textId="77777777" w:rsidR="007803E3" w:rsidRPr="0020113A" w:rsidRDefault="007803E3" w:rsidP="007803E3">
          <w:pPr>
            <w:spacing w:after="0" w:line="240" w:lineRule="auto"/>
            <w:textAlignment w:val="baseline"/>
            <w:rPr>
              <w:rFonts w:ascii="Times New Roman" w:eastAsia="Times New Roman" w:hAnsi="Times New Roman"/>
              <w:sz w:val="24"/>
              <w:szCs w:val="24"/>
              <w:lang w:eastAsia="es-CO"/>
            </w:rPr>
          </w:pPr>
          <w:r w:rsidRPr="0020113A">
            <w:rPr>
              <w:rFonts w:ascii="Times New Roman" w:eastAsia="Times New Roman" w:hAnsi="Times New Roman"/>
              <w:sz w:val="24"/>
              <w:szCs w:val="24"/>
              <w:lang w:eastAsia="es-CO"/>
            </w:rPr>
            <w:t>% de VPIP: 3,77%</w:t>
          </w:r>
        </w:p>
        <w:p w14:paraId="53AA9863" w14:textId="77777777" w:rsidR="007803E3" w:rsidRPr="0020113A" w:rsidRDefault="007803E3" w:rsidP="007803E3">
          <w:pPr>
            <w:spacing w:after="0" w:line="240" w:lineRule="auto"/>
            <w:textAlignment w:val="baseline"/>
            <w:rPr>
              <w:rFonts w:ascii="Times New Roman" w:eastAsia="Times New Roman" w:hAnsi="Times New Roman"/>
              <w:sz w:val="24"/>
              <w:szCs w:val="24"/>
              <w:lang w:eastAsia="es-CO"/>
            </w:rPr>
          </w:pPr>
          <w:r w:rsidRPr="0020113A">
            <w:rPr>
              <w:rFonts w:ascii="Times New Roman" w:eastAsia="Times New Roman" w:hAnsi="Times New Roman"/>
              <w:sz w:val="24"/>
              <w:szCs w:val="24"/>
              <w:lang w:eastAsia="es-CO"/>
            </w:rPr>
            <w:t>Tiempo transcurrido: 8,04 años.</w:t>
          </w:r>
        </w:p>
        <w:p w14:paraId="52A4FC2F" w14:textId="77777777" w:rsidR="007803E3" w:rsidRPr="0020113A" w:rsidRDefault="007803E3" w:rsidP="007803E3">
          <w:pPr>
            <w:spacing w:after="0" w:line="240" w:lineRule="auto"/>
            <w:jc w:val="center"/>
            <w:textAlignment w:val="baseline"/>
            <w:rPr>
              <w:rFonts w:ascii="Times New Roman" w:eastAsia="Times New Roman" w:hAnsi="Times New Roman"/>
              <w:b/>
              <w:sz w:val="24"/>
              <w:szCs w:val="24"/>
              <w:lang w:val="es-MX" w:eastAsia="es-CO"/>
            </w:rPr>
          </w:pPr>
        </w:p>
        <w:p w14:paraId="1E6B7855" w14:textId="77777777" w:rsidR="007803E3" w:rsidRPr="0020113A" w:rsidRDefault="007803E3" w:rsidP="007803E3">
          <w:pPr>
            <w:spacing w:after="0" w:line="240" w:lineRule="auto"/>
            <w:jc w:val="center"/>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Retribución al Concesionario</w:t>
          </w:r>
          <w:r w:rsidRPr="0020113A">
            <w:rPr>
              <w:rFonts w:ascii="Times New Roman" w:eastAsia="Times New Roman" w:hAnsi="Times New Roman"/>
              <w:sz w:val="24"/>
              <w:szCs w:val="24"/>
              <w:lang w:eastAsia="es-CO"/>
            </w:rPr>
            <w:t> </w:t>
          </w:r>
        </w:p>
        <w:p w14:paraId="1BF425E1" w14:textId="77777777" w:rsidR="007803E3" w:rsidRPr="0020113A" w:rsidRDefault="007803E3" w:rsidP="007803E3">
          <w:pPr>
            <w:spacing w:after="0" w:line="240" w:lineRule="auto"/>
            <w:textAlignment w:val="baseline"/>
            <w:rPr>
              <w:rFonts w:ascii="Times New Roman" w:eastAsia="Times New Roman" w:hAnsi="Times New Roman"/>
              <w:b/>
              <w:sz w:val="24"/>
              <w:szCs w:val="24"/>
              <w:lang w:val="es-MX" w:eastAsia="es-CO"/>
            </w:rPr>
          </w:pPr>
        </w:p>
        <w:p w14:paraId="005DE9C8" w14:textId="77777777" w:rsidR="007803E3" w:rsidRPr="0020113A" w:rsidRDefault="007803E3" w:rsidP="007803E3">
          <w:pPr>
            <w:spacing w:after="0" w:line="240" w:lineRule="auto"/>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Descripción:</w:t>
          </w:r>
          <w:r w:rsidRPr="0020113A">
            <w:rPr>
              <w:rFonts w:ascii="Times New Roman" w:eastAsia="Times New Roman" w:hAnsi="Times New Roman"/>
              <w:sz w:val="24"/>
              <w:szCs w:val="24"/>
              <w:lang w:eastAsia="es-CO"/>
            </w:rPr>
            <w:t> De acuerdo con la sección 1.138 de la Parte General la retribución se define como:</w:t>
          </w:r>
        </w:p>
        <w:p w14:paraId="2DDE443F" w14:textId="77777777" w:rsidR="007803E3" w:rsidRPr="0020113A" w:rsidRDefault="007803E3" w:rsidP="007803E3">
          <w:pPr>
            <w:spacing w:after="0" w:line="240" w:lineRule="auto"/>
            <w:jc w:val="both"/>
            <w:textAlignment w:val="baseline"/>
            <w:rPr>
              <w:rFonts w:ascii="Times New Roman" w:eastAsia="Times New Roman" w:hAnsi="Times New Roman"/>
              <w:sz w:val="24"/>
              <w:szCs w:val="24"/>
              <w:lang w:eastAsia="es-CO"/>
            </w:rPr>
          </w:pPr>
          <w:r w:rsidRPr="0020113A">
            <w:rPr>
              <w:rFonts w:ascii="Times New Roman" w:eastAsia="Times New Roman" w:hAnsi="Times New Roman"/>
              <w:sz w:val="24"/>
              <w:szCs w:val="24"/>
              <w:lang w:eastAsia="es-CO"/>
            </w:rPr>
            <w:t>“Se refiere a la contraprestación económica a la que tiene derecho el Concesionario en los términos de la Sección 3.1 de esta Parte General. El reconocimiento de la Retribución –y de la Compensación Especial, cuando sea aplicable– se verificará mediante los traslados entre las subcuentas del Patrimonio Autónomo a los que se refiere dicha Sección. En el caso en que el Concesionario decida instrumentar mecanismos de financiación a través de uno o varios Patrimonios Autónomos-Deuda, incluido el mecanismo previsto en el Apéndice Financiero 2, el reconocimiento de la Retribución se verificará mediante el traslado de las subcuentas del Patrimonio Autónomo que correspondan, de conformidad con este Contrato, a dicho(s) Patrimonio(s) Autónomo(s)-Deuda. El reconocimiento de la Retribución –y de la Compensación Especial, cuando sea aplicable– también se podrá efectuar mediante el traslado de recursos directamente a los Cesionarios Especiales, tal y como se prevé en el Apéndice Financiero 2.”</w:t>
          </w:r>
        </w:p>
        <w:p w14:paraId="42ECED45" w14:textId="77777777" w:rsidR="007803E3" w:rsidRPr="0020113A" w:rsidRDefault="007803E3" w:rsidP="007803E3">
          <w:pPr>
            <w:spacing w:after="0" w:line="240" w:lineRule="auto"/>
            <w:jc w:val="both"/>
            <w:textAlignment w:val="baseline"/>
            <w:rPr>
              <w:rFonts w:ascii="Times New Roman" w:eastAsia="Times New Roman" w:hAnsi="Times New Roman"/>
              <w:sz w:val="24"/>
              <w:szCs w:val="24"/>
              <w:lang w:eastAsia="es-CO"/>
            </w:rPr>
          </w:pPr>
          <w:r w:rsidRPr="0020113A">
            <w:rPr>
              <w:rFonts w:ascii="Times New Roman" w:eastAsia="Times New Roman" w:hAnsi="Times New Roman"/>
              <w:sz w:val="24"/>
              <w:szCs w:val="24"/>
              <w:lang w:eastAsia="es-CO"/>
            </w:rPr>
            <w:t>En la sección 4.3 de la Parte Especial del contrato de concesión se establece el Cálculo de la Retribución al concesionario.</w:t>
          </w:r>
        </w:p>
        <w:p w14:paraId="165743C4" w14:textId="77777777" w:rsidR="007803E3" w:rsidRPr="0020113A" w:rsidRDefault="007803E3" w:rsidP="007803E3">
          <w:pPr>
            <w:spacing w:after="0" w:line="240" w:lineRule="auto"/>
            <w:jc w:val="both"/>
            <w:textAlignment w:val="baseline"/>
            <w:rPr>
              <w:rFonts w:ascii="Times New Roman" w:eastAsia="Times New Roman" w:hAnsi="Times New Roman"/>
              <w:b/>
              <w:sz w:val="24"/>
              <w:szCs w:val="24"/>
              <w:lang w:val="es-MX" w:eastAsia="es-CO"/>
            </w:rPr>
          </w:pPr>
        </w:p>
        <w:p w14:paraId="2CCF658F" w14:textId="77777777" w:rsidR="007803E3" w:rsidRPr="0020113A" w:rsidRDefault="007803E3" w:rsidP="007803E3">
          <w:pPr>
            <w:spacing w:after="0" w:line="240" w:lineRule="auto"/>
            <w:jc w:val="both"/>
            <w:textAlignment w:val="baseline"/>
            <w:rPr>
              <w:rFonts w:ascii="Times New Roman" w:hAnsi="Times New Roman"/>
              <w:sz w:val="24"/>
              <w:szCs w:val="24"/>
            </w:rPr>
          </w:pPr>
          <w:r w:rsidRPr="0020113A">
            <w:rPr>
              <w:rFonts w:ascii="Times New Roman" w:eastAsia="Times New Roman" w:hAnsi="Times New Roman"/>
              <w:b/>
              <w:sz w:val="24"/>
              <w:szCs w:val="24"/>
              <w:lang w:val="es-MX" w:eastAsia="es-CO"/>
            </w:rPr>
            <w:t>Tasa de Retribución:</w:t>
          </w:r>
          <w:r w:rsidRPr="0020113A">
            <w:rPr>
              <w:rFonts w:ascii="Times New Roman" w:eastAsia="Times New Roman" w:hAnsi="Times New Roman"/>
              <w:sz w:val="24"/>
              <w:szCs w:val="24"/>
              <w:lang w:eastAsia="es-CO"/>
            </w:rPr>
            <w:t> </w:t>
          </w:r>
          <w:r w:rsidRPr="0020113A">
            <w:rPr>
              <w:rFonts w:ascii="Times New Roman" w:hAnsi="Times New Roman"/>
              <w:sz w:val="24"/>
              <w:szCs w:val="24"/>
            </w:rPr>
            <w:t>De acuerdo con el contrato parte especial, la Tasa descuento real TDI expresada en términos efectivos mensuales, para efectos de este proyecto, será del cero punto cinco cuatro ocho siete por ciento 0.5665%.</w:t>
          </w:r>
        </w:p>
        <w:p w14:paraId="121E7341" w14:textId="77777777" w:rsidR="00AE4B2B" w:rsidRPr="0020113A" w:rsidRDefault="00AE4B2B" w:rsidP="007803E3">
          <w:pPr>
            <w:spacing w:after="0" w:line="240" w:lineRule="auto"/>
            <w:jc w:val="both"/>
            <w:textAlignment w:val="baseline"/>
            <w:rPr>
              <w:rFonts w:ascii="Times New Roman" w:hAnsi="Times New Roman"/>
              <w:sz w:val="24"/>
              <w:szCs w:val="24"/>
            </w:rPr>
          </w:pPr>
        </w:p>
        <w:p w14:paraId="2B77F0FF" w14:textId="77777777" w:rsidR="007803E3" w:rsidRPr="0020113A" w:rsidRDefault="007803E3" w:rsidP="00E60BAB">
          <w:pPr>
            <w:pStyle w:val="Prrafodelista"/>
            <w:numPr>
              <w:ilvl w:val="0"/>
              <w:numId w:val="105"/>
            </w:numPr>
            <w:spacing w:after="0" w:line="240" w:lineRule="auto"/>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Derechos a recibir activos especificados al final del acuerdo de concesión</w:t>
          </w:r>
        </w:p>
        <w:p w14:paraId="33653C81" w14:textId="77777777" w:rsidR="007803E3" w:rsidRPr="0020113A" w:rsidRDefault="007803E3" w:rsidP="007803E3">
          <w:pPr>
            <w:spacing w:after="0" w:line="240" w:lineRule="auto"/>
            <w:jc w:val="both"/>
            <w:textAlignment w:val="baseline"/>
            <w:rPr>
              <w:rFonts w:ascii="Times New Roman" w:eastAsia="Times New Roman" w:hAnsi="Times New Roman"/>
              <w:b/>
              <w:sz w:val="24"/>
              <w:szCs w:val="24"/>
              <w:lang w:val="es-MX" w:eastAsia="es-CO"/>
            </w:rPr>
          </w:pPr>
        </w:p>
        <w:p w14:paraId="4DCF00D9" w14:textId="77777777" w:rsidR="007803E3" w:rsidRPr="0020113A" w:rsidRDefault="007803E3" w:rsidP="007803E3">
          <w:pPr>
            <w:spacing w:after="0" w:line="240" w:lineRule="auto"/>
            <w:jc w:val="both"/>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Descripción:</w:t>
          </w:r>
          <w:r w:rsidRPr="0020113A">
            <w:rPr>
              <w:rFonts w:ascii="Times New Roman" w:eastAsia="Times New Roman" w:hAnsi="Times New Roman"/>
              <w:sz w:val="24"/>
              <w:szCs w:val="24"/>
              <w:lang w:eastAsia="es-CO"/>
            </w:rPr>
            <w:t> Corresponde al procedimiento señalado en la sección 9.7 de la Parte General, mediante el cual el Concesionario entrega los bienes asociados al proyecto a la ANI para dar por terminado el contrato.</w:t>
          </w:r>
        </w:p>
        <w:p w14:paraId="19605276" w14:textId="77777777" w:rsidR="007803E3" w:rsidRPr="0020113A" w:rsidRDefault="007803E3" w:rsidP="007803E3">
          <w:pPr>
            <w:spacing w:after="0" w:line="240" w:lineRule="auto"/>
            <w:jc w:val="both"/>
            <w:textAlignment w:val="baseline"/>
            <w:rPr>
              <w:rFonts w:ascii="Times New Roman" w:eastAsia="Times New Roman" w:hAnsi="Times New Roman"/>
              <w:sz w:val="24"/>
              <w:szCs w:val="24"/>
              <w:lang w:eastAsia="es-CO"/>
            </w:rPr>
          </w:pPr>
          <w:r w:rsidRPr="0020113A">
            <w:rPr>
              <w:rFonts w:ascii="Times New Roman" w:eastAsia="Times New Roman" w:hAnsi="Times New Roman"/>
              <w:sz w:val="24"/>
              <w:szCs w:val="24"/>
              <w:lang w:eastAsia="es-CO"/>
            </w:rPr>
            <w:t>“(…) (b) Sin perjuicio de la obligación que le asiste al Concesionario en cuanto a la ejecución de las intervenciones, las obligaciones de Operación y las Obras de Mantenimiento a que se refiere el Contrato, se entenderá que la ANI se hará propietario de las obras que conforman el Proyecto al momento de su ejecución, incluyendo además, pero sin limitarse, las Estaciones de Peaje y de Pesaje, junto con la totalidad de los bienes muebles o inmuebles por destinación o adhesión, que se encuentren en las mismas, no obstante lo cual, el Concesionario conservará la mera tenencia para efectos del cumplimiento del Contrato y será por ende responsable de la guarda material y jurídica de tales bienes aquí mencionados que conforman el Proyecto.</w:t>
          </w:r>
        </w:p>
        <w:p w14:paraId="1F48333D" w14:textId="77777777" w:rsidR="007803E3" w:rsidRPr="0020113A" w:rsidRDefault="007803E3" w:rsidP="007803E3">
          <w:pPr>
            <w:spacing w:after="0" w:line="240" w:lineRule="auto"/>
            <w:jc w:val="both"/>
            <w:textAlignment w:val="baseline"/>
            <w:rPr>
              <w:rFonts w:ascii="Times New Roman" w:eastAsia="Times New Roman" w:hAnsi="Times New Roman"/>
              <w:sz w:val="24"/>
              <w:szCs w:val="24"/>
              <w:lang w:eastAsia="es-CO"/>
            </w:rPr>
          </w:pPr>
          <w:r w:rsidRPr="0020113A">
            <w:rPr>
              <w:rFonts w:ascii="Times New Roman" w:eastAsia="Times New Roman" w:hAnsi="Times New Roman"/>
              <w:sz w:val="24"/>
              <w:szCs w:val="24"/>
              <w:lang w:eastAsia="es-CO"/>
            </w:rPr>
            <w:t xml:space="preserve">(c) </w:t>
          </w:r>
          <w:r w:rsidRPr="0020113A">
            <w:rPr>
              <w:rFonts w:ascii="Times New Roman" w:eastAsia="Times New Roman" w:hAnsi="Times New Roman"/>
              <w:sz w:val="24"/>
              <w:szCs w:val="24"/>
              <w:lang w:eastAsia="es-CO"/>
            </w:rPr>
            <w:tab/>
            <w:t>Estos bienes de propiedad de la ANI, y, en general, todos los bienes inmuebles con todas sus anexidades y los equipos, software y demás activos que hacen parte del Proyecto, serán entregados a la ANI, según corresponda, en las condiciones señaladas en el Apéndice Técnico 2 al momento de la terminación de la Etapa de Reversión (…)”</w:t>
          </w:r>
        </w:p>
        <w:p w14:paraId="2FE271BE" w14:textId="77777777" w:rsidR="007803E3" w:rsidRPr="0020113A" w:rsidRDefault="007803E3" w:rsidP="007803E3">
          <w:pPr>
            <w:spacing w:after="0" w:line="240" w:lineRule="auto"/>
            <w:jc w:val="both"/>
            <w:textAlignment w:val="baseline"/>
            <w:rPr>
              <w:rFonts w:ascii="Times New Roman" w:eastAsia="Times New Roman" w:hAnsi="Times New Roman"/>
              <w:b/>
              <w:sz w:val="24"/>
              <w:szCs w:val="24"/>
              <w:lang w:val="es-MX" w:eastAsia="es-CO"/>
            </w:rPr>
          </w:pPr>
        </w:p>
        <w:p w14:paraId="1D3263E9" w14:textId="77777777" w:rsidR="007803E3" w:rsidRPr="0020113A" w:rsidRDefault="007803E3" w:rsidP="007803E3">
          <w:pPr>
            <w:spacing w:after="0" w:line="240" w:lineRule="auto"/>
            <w:jc w:val="both"/>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lastRenderedPageBreak/>
            <w:t>Observaciones:</w:t>
          </w:r>
          <w:r w:rsidRPr="0020113A">
            <w:rPr>
              <w:rFonts w:ascii="Times New Roman" w:eastAsia="Times New Roman" w:hAnsi="Times New Roman"/>
              <w:sz w:val="24"/>
              <w:szCs w:val="24"/>
              <w:lang w:eastAsia="es-CO"/>
            </w:rPr>
            <w:t> El estado de las obras y bienes al momento de entregar la obra deberá ser el siguiente:  Al momento de la Terminación del Contrato el Concesionario deberá cumplir con los Valores Mínimos de Aceptación de los Indicadores incluidos en el Apéndice Técnico 4: (I) Pavimentos:  Sin perjuicio del cumplimiento de los demás Indicadores, al momento de la terminación del Contrato, los pavimentos deberán contar al menos con el índice de deflexión que se indica en el Apéndice Técnico 4 como valor mínimo de aceptación para el Indicador de Capacidad Estructural E16, (ii)  Equipos: Todos los equipos entregados deberán operar por lo menos durante cinco (5) años más sin necesidad de reposición, a excepción de los vehículos automotores que deberán tener una vida útil de tres (3) años como mínimo, (iii) Túneles: Sin perjuicio de las obligaciones estipuladas en la Parte General, para la reversión de la infraestructura, dentro cuatro (4) meses antes de la fecha de finalización de la Etapa de Operación y Mantenimiento el Concesionario deberá cumplir con todos y cada uno de los siguientes puntos: Permitirá el ingreso del personal de la ANI o a quien éste delegue a todas las instalaciones para la operación. Durante este tiempo el Concesionario deberá realizar el empalme con el encargado de la operación del túnel.</w:t>
          </w:r>
        </w:p>
        <w:p w14:paraId="312FABFA" w14:textId="77777777" w:rsidR="007803E3" w:rsidRPr="0020113A" w:rsidRDefault="007803E3" w:rsidP="007803E3">
          <w:pPr>
            <w:spacing w:after="0" w:line="240" w:lineRule="auto"/>
            <w:textAlignment w:val="baseline"/>
            <w:rPr>
              <w:rFonts w:ascii="Times New Roman" w:eastAsia="Times New Roman" w:hAnsi="Times New Roman"/>
              <w:b/>
              <w:sz w:val="24"/>
              <w:szCs w:val="24"/>
              <w:lang w:val="es-MX" w:eastAsia="es-CO"/>
            </w:rPr>
          </w:pPr>
        </w:p>
        <w:p w14:paraId="0CE5507E" w14:textId="5FE5FB1B" w:rsidR="007803E3" w:rsidRPr="0020113A" w:rsidRDefault="00AE4B2B" w:rsidP="00E60BAB">
          <w:pPr>
            <w:pStyle w:val="Prrafodelista"/>
            <w:numPr>
              <w:ilvl w:val="0"/>
              <w:numId w:val="105"/>
            </w:numPr>
            <w:spacing w:after="0" w:line="240" w:lineRule="auto"/>
            <w:textAlignment w:val="baseline"/>
            <w:rPr>
              <w:rFonts w:ascii="Times New Roman" w:eastAsia="Times New Roman" w:hAnsi="Times New Roman"/>
              <w:sz w:val="24"/>
              <w:szCs w:val="24"/>
              <w:lang w:eastAsia="es-CO"/>
            </w:rPr>
          </w:pPr>
          <w:r>
            <w:rPr>
              <w:rFonts w:ascii="Times New Roman" w:eastAsia="Times New Roman" w:hAnsi="Times New Roman"/>
              <w:b/>
              <w:sz w:val="24"/>
              <w:szCs w:val="24"/>
              <w:lang w:val="es-MX" w:eastAsia="es-CO"/>
            </w:rPr>
            <w:t>No hay c</w:t>
          </w:r>
          <w:r w:rsidR="007803E3" w:rsidRPr="0020113A">
            <w:rPr>
              <w:rFonts w:ascii="Times New Roman" w:eastAsia="Times New Roman" w:hAnsi="Times New Roman"/>
              <w:b/>
              <w:sz w:val="24"/>
              <w:szCs w:val="24"/>
              <w:lang w:val="es-MX" w:eastAsia="es-CO"/>
            </w:rPr>
            <w:t>ambios en el acuerdo de concesión que se realicen durante el periodo fiscal</w:t>
          </w:r>
          <w:r w:rsidR="007803E3" w:rsidRPr="0020113A">
            <w:rPr>
              <w:rFonts w:ascii="Times New Roman" w:eastAsia="Times New Roman" w:hAnsi="Times New Roman"/>
              <w:sz w:val="24"/>
              <w:szCs w:val="24"/>
              <w:lang w:eastAsia="es-CO"/>
            </w:rPr>
            <w:t> </w:t>
          </w:r>
        </w:p>
        <w:p w14:paraId="544DADDD" w14:textId="77777777" w:rsidR="007803E3" w:rsidRPr="0020113A" w:rsidRDefault="007803E3" w:rsidP="007803E3">
          <w:pPr>
            <w:spacing w:after="0" w:line="240" w:lineRule="auto"/>
            <w:jc w:val="center"/>
            <w:textAlignment w:val="baseline"/>
            <w:rPr>
              <w:rFonts w:ascii="Times New Roman" w:eastAsia="Times New Roman" w:hAnsi="Times New Roman"/>
              <w:b/>
              <w:sz w:val="24"/>
              <w:szCs w:val="24"/>
              <w:lang w:val="es-MX" w:eastAsia="es-CO"/>
            </w:rPr>
          </w:pPr>
        </w:p>
        <w:p w14:paraId="4D158DD4" w14:textId="77777777" w:rsidR="007803E3" w:rsidRPr="0020113A" w:rsidRDefault="007803E3" w:rsidP="007803E3">
          <w:pPr>
            <w:rPr>
              <w:rFonts w:ascii="Times New Roman" w:hAnsi="Times New Roman"/>
              <w:b/>
              <w:sz w:val="24"/>
              <w:szCs w:val="24"/>
              <w:lang w:val="es-MX"/>
            </w:rPr>
          </w:pPr>
        </w:p>
        <w:p w14:paraId="4EEEEBEF" w14:textId="77777777" w:rsidR="007803E3" w:rsidRPr="0020113A" w:rsidRDefault="007803E3" w:rsidP="007803E3">
          <w:pPr>
            <w:rPr>
              <w:rFonts w:ascii="Times New Roman" w:hAnsi="Times New Roman"/>
              <w:b/>
              <w:sz w:val="24"/>
              <w:szCs w:val="24"/>
              <w:lang w:val="es-MX"/>
            </w:rPr>
          </w:pPr>
        </w:p>
        <w:p w14:paraId="3EDE1B92" w14:textId="77777777"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VIAS DEL NUS</w:t>
          </w:r>
        </w:p>
        <w:p w14:paraId="69D49185" w14:textId="77777777" w:rsidR="007803E3" w:rsidRPr="0020113A" w:rsidRDefault="007803E3" w:rsidP="00E60BAB">
          <w:pPr>
            <w:pStyle w:val="Prrafodelista"/>
            <w:numPr>
              <w:ilvl w:val="0"/>
              <w:numId w:val="106"/>
            </w:numPr>
            <w:spacing w:after="0" w:line="240" w:lineRule="auto"/>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Descripción del Acuerdo</w:t>
          </w:r>
          <w:r w:rsidRPr="0020113A">
            <w:rPr>
              <w:rFonts w:ascii="Times New Roman" w:eastAsia="Times New Roman" w:hAnsi="Times New Roman"/>
              <w:sz w:val="24"/>
              <w:szCs w:val="24"/>
              <w:lang w:eastAsia="es-CO"/>
            </w:rPr>
            <w:t> </w:t>
          </w:r>
        </w:p>
        <w:p w14:paraId="1ADF8139" w14:textId="77777777" w:rsidR="007803E3" w:rsidRPr="0020113A" w:rsidRDefault="007803E3" w:rsidP="007803E3">
          <w:pPr>
            <w:spacing w:after="0" w:line="240" w:lineRule="auto"/>
            <w:textAlignment w:val="baseline"/>
            <w:rPr>
              <w:rFonts w:ascii="Times New Roman" w:eastAsia="Times New Roman" w:hAnsi="Times New Roman"/>
              <w:b/>
              <w:sz w:val="24"/>
              <w:szCs w:val="24"/>
              <w:lang w:val="es-MX" w:eastAsia="es-CO"/>
            </w:rPr>
          </w:pPr>
        </w:p>
        <w:p w14:paraId="0B6D1C63" w14:textId="77777777" w:rsidR="007803E3" w:rsidRPr="0020113A" w:rsidRDefault="007803E3" w:rsidP="007803E3">
          <w:pPr>
            <w:spacing w:after="0" w:line="240" w:lineRule="auto"/>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Número del Acuerdo de Concesión:</w:t>
          </w:r>
          <w:r w:rsidRPr="0020113A">
            <w:rPr>
              <w:rFonts w:ascii="Times New Roman" w:eastAsia="Times New Roman" w:hAnsi="Times New Roman"/>
              <w:sz w:val="24"/>
              <w:szCs w:val="24"/>
              <w:lang w:eastAsia="es-CO"/>
            </w:rPr>
            <w:t> 001 de 2016</w:t>
          </w:r>
        </w:p>
        <w:p w14:paraId="73083606" w14:textId="77777777" w:rsidR="007803E3" w:rsidRPr="0020113A" w:rsidRDefault="007803E3" w:rsidP="22C595FA">
          <w:pPr>
            <w:spacing w:after="0"/>
            <w:jc w:val="both"/>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Objeto / Descripción:</w:t>
          </w:r>
          <w:r w:rsidRPr="0020113A">
            <w:rPr>
              <w:rFonts w:ascii="Times New Roman" w:eastAsia="Times New Roman" w:hAnsi="Times New Roman"/>
              <w:sz w:val="24"/>
              <w:szCs w:val="24"/>
              <w:lang w:eastAsia="es-CO"/>
            </w:rPr>
            <w:t> El presente Contrato de concesión bajo un esquema de asociación público-privada de iniciativa privada en los términos de la Ley 1508 de 2012, tiene por objeto el otorgamiento de una concesión para que, de conformidad con lo previsto en este Contrato, el Concesionario, por su cuenta y riesgo, lleve a cabo el Proyecto. El alcance físico del Proyecto se describe en la Parte Especial y en el Apéndice Técnico 1.</w:t>
          </w:r>
        </w:p>
        <w:p w14:paraId="1D0D7ED7" w14:textId="77777777" w:rsidR="007803E3" w:rsidRPr="0020113A" w:rsidRDefault="007803E3" w:rsidP="007803E3">
          <w:pPr>
            <w:spacing w:after="0" w:line="240" w:lineRule="auto"/>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Valor Inicial:</w:t>
          </w:r>
          <w:r w:rsidRPr="0020113A">
            <w:rPr>
              <w:rFonts w:ascii="Times New Roman" w:eastAsia="Times New Roman" w:hAnsi="Times New Roman"/>
              <w:sz w:val="24"/>
              <w:szCs w:val="24"/>
              <w:lang w:eastAsia="es-CO"/>
            </w:rPr>
            <w:t> $ 2.490.135.961.386 pesos constantes de diciembre de 2013.</w:t>
          </w:r>
        </w:p>
        <w:p w14:paraId="6EF41BC7" w14:textId="77777777" w:rsidR="007803E3" w:rsidRPr="0020113A" w:rsidRDefault="007803E3" w:rsidP="007803E3">
          <w:pPr>
            <w:spacing w:after="0" w:line="240" w:lineRule="auto"/>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Fecha de Inicio:</w:t>
          </w:r>
          <w:r w:rsidRPr="0020113A">
            <w:rPr>
              <w:rFonts w:ascii="Times New Roman" w:eastAsia="Times New Roman" w:hAnsi="Times New Roman"/>
              <w:sz w:val="24"/>
              <w:szCs w:val="24"/>
              <w:lang w:eastAsia="es-CO"/>
            </w:rPr>
            <w:t> 9/03/2016</w:t>
          </w:r>
        </w:p>
        <w:p w14:paraId="4EAEDFAD" w14:textId="77777777" w:rsidR="007803E3" w:rsidRPr="0020113A" w:rsidRDefault="007803E3" w:rsidP="007803E3">
          <w:pPr>
            <w:spacing w:after="0" w:line="240" w:lineRule="auto"/>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Fecha de Finalización Estimada:</w:t>
          </w:r>
          <w:r w:rsidRPr="0020113A">
            <w:rPr>
              <w:rFonts w:ascii="Times New Roman" w:eastAsia="Times New Roman" w:hAnsi="Times New Roman"/>
              <w:sz w:val="24"/>
              <w:szCs w:val="24"/>
              <w:lang w:eastAsia="es-CO"/>
            </w:rPr>
            <w:t> 8/03/2046</w:t>
          </w:r>
        </w:p>
        <w:p w14:paraId="7F4BB72E" w14:textId="77777777" w:rsidR="007803E3" w:rsidRPr="0020113A" w:rsidRDefault="007803E3" w:rsidP="007803E3">
          <w:pPr>
            <w:spacing w:after="0" w:line="240" w:lineRule="auto"/>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Tipo ID:</w:t>
          </w:r>
          <w:r w:rsidRPr="0020113A">
            <w:rPr>
              <w:rFonts w:ascii="Times New Roman" w:eastAsia="Times New Roman" w:hAnsi="Times New Roman"/>
              <w:sz w:val="24"/>
              <w:szCs w:val="24"/>
              <w:lang w:eastAsia="es-CO"/>
            </w:rPr>
            <w:t> NIT</w:t>
          </w:r>
        </w:p>
        <w:p w14:paraId="4625CD4F" w14:textId="77777777" w:rsidR="007803E3" w:rsidRPr="0020113A" w:rsidRDefault="007803E3" w:rsidP="007803E3">
          <w:pPr>
            <w:spacing w:after="0" w:line="240" w:lineRule="auto"/>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Numero ID: 900.920.562</w:t>
          </w:r>
          <w:r w:rsidRPr="0020113A">
            <w:rPr>
              <w:rFonts w:ascii="Times New Roman" w:eastAsia="Times New Roman" w:hAnsi="Times New Roman"/>
              <w:sz w:val="24"/>
              <w:szCs w:val="24"/>
              <w:lang w:eastAsia="es-CO"/>
            </w:rPr>
            <w:t> </w:t>
          </w:r>
        </w:p>
        <w:p w14:paraId="0E206F36" w14:textId="77777777" w:rsidR="007803E3" w:rsidRPr="0020113A" w:rsidRDefault="007803E3" w:rsidP="007803E3">
          <w:pPr>
            <w:spacing w:after="0" w:line="240" w:lineRule="auto"/>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Razón Social del Concesionario:</w:t>
          </w:r>
          <w:r w:rsidRPr="0020113A">
            <w:rPr>
              <w:rFonts w:ascii="Times New Roman" w:eastAsia="Times New Roman" w:hAnsi="Times New Roman"/>
              <w:sz w:val="24"/>
              <w:szCs w:val="24"/>
              <w:lang w:eastAsia="es-CO"/>
            </w:rPr>
            <w:t> CONCESIÓN VIAS DEL NUS SAS</w:t>
          </w:r>
        </w:p>
        <w:p w14:paraId="62722D28" w14:textId="77777777" w:rsidR="007803E3" w:rsidRPr="0020113A" w:rsidRDefault="007803E3" w:rsidP="007803E3">
          <w:pPr>
            <w:spacing w:after="0" w:line="240" w:lineRule="auto"/>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Nombre del Proyecto:</w:t>
          </w:r>
          <w:r w:rsidRPr="0020113A">
            <w:rPr>
              <w:rFonts w:ascii="Times New Roman" w:eastAsia="Times New Roman" w:hAnsi="Times New Roman"/>
              <w:sz w:val="24"/>
              <w:szCs w:val="24"/>
              <w:lang w:eastAsia="es-CO"/>
            </w:rPr>
            <w:t> Vías del Nus</w:t>
          </w:r>
        </w:p>
        <w:p w14:paraId="513B3CFC" w14:textId="77777777" w:rsidR="007803E3" w:rsidRPr="0020113A" w:rsidRDefault="007803E3" w:rsidP="007803E3">
          <w:pPr>
            <w:spacing w:after="0" w:line="240" w:lineRule="auto"/>
            <w:textAlignment w:val="baseline"/>
            <w:rPr>
              <w:rFonts w:ascii="Times New Roman" w:eastAsia="Times New Roman" w:hAnsi="Times New Roman"/>
              <w:sz w:val="24"/>
              <w:szCs w:val="24"/>
              <w:lang w:eastAsia="es-CO"/>
            </w:rPr>
          </w:pPr>
        </w:p>
        <w:p w14:paraId="689F6723" w14:textId="77777777" w:rsidR="007803E3" w:rsidRPr="0020113A" w:rsidRDefault="007803E3" w:rsidP="00E60BAB">
          <w:pPr>
            <w:pStyle w:val="Prrafodelista"/>
            <w:numPr>
              <w:ilvl w:val="0"/>
              <w:numId w:val="106"/>
            </w:numPr>
            <w:spacing w:after="0" w:line="240" w:lineRule="auto"/>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Términos significativos del acuerdo que puedan afectar su valor, el calendario y la certeza de los flujos</w:t>
          </w:r>
          <w:r w:rsidRPr="0020113A">
            <w:rPr>
              <w:rFonts w:ascii="Times New Roman" w:eastAsia="Times New Roman" w:hAnsi="Times New Roman"/>
              <w:sz w:val="24"/>
              <w:szCs w:val="24"/>
              <w:lang w:eastAsia="es-CO"/>
            </w:rPr>
            <w:t> </w:t>
          </w:r>
        </w:p>
        <w:p w14:paraId="46449084" w14:textId="77777777" w:rsidR="007803E3" w:rsidRPr="0020113A" w:rsidRDefault="007803E3" w:rsidP="007803E3">
          <w:pPr>
            <w:spacing w:after="0" w:line="240" w:lineRule="auto"/>
            <w:textAlignment w:val="baseline"/>
            <w:rPr>
              <w:rFonts w:ascii="Times New Roman" w:eastAsia="Times New Roman" w:hAnsi="Times New Roman"/>
              <w:b/>
              <w:sz w:val="24"/>
              <w:szCs w:val="24"/>
              <w:lang w:val="es-MX" w:eastAsia="es-CO"/>
            </w:rPr>
          </w:pPr>
        </w:p>
        <w:p w14:paraId="4F68F9E2" w14:textId="77777777" w:rsidR="007803E3" w:rsidRPr="0020113A" w:rsidRDefault="007803E3" w:rsidP="007803E3">
          <w:pPr>
            <w:spacing w:after="0" w:line="240" w:lineRule="auto"/>
            <w:jc w:val="both"/>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Términos de Valor:</w:t>
          </w:r>
          <w:r w:rsidRPr="0020113A">
            <w:rPr>
              <w:rFonts w:ascii="Times New Roman" w:eastAsia="Times New Roman" w:hAnsi="Times New Roman"/>
              <w:sz w:val="24"/>
              <w:szCs w:val="24"/>
              <w:lang w:eastAsia="es-CO"/>
            </w:rPr>
            <w:t> Estaciones de peaje: Cisneros, Pandequeso, Trapiche y Cabildo</w:t>
          </w:r>
        </w:p>
        <w:p w14:paraId="09473C74" w14:textId="77777777" w:rsidR="007803E3" w:rsidRPr="0020113A" w:rsidRDefault="007803E3" w:rsidP="007803E3">
          <w:pPr>
            <w:spacing w:after="0" w:line="240" w:lineRule="auto"/>
            <w:jc w:val="both"/>
            <w:textAlignment w:val="baseline"/>
            <w:rPr>
              <w:rFonts w:ascii="Times New Roman" w:eastAsia="Times New Roman" w:hAnsi="Times New Roman"/>
              <w:sz w:val="24"/>
              <w:szCs w:val="24"/>
              <w:lang w:eastAsia="es-CO"/>
            </w:rPr>
          </w:pPr>
          <w:r w:rsidRPr="0020113A">
            <w:rPr>
              <w:rFonts w:ascii="Times New Roman" w:eastAsia="Times New Roman" w:hAnsi="Times New Roman"/>
              <w:sz w:val="24"/>
              <w:szCs w:val="24"/>
              <w:lang w:eastAsia="es-CO"/>
            </w:rPr>
            <w:t xml:space="preserve">La Resolución vigente para cobrar en la Estación de Peaje de Cisneros perteneciente al Proyecto de asociación público-privada Vías del Nus son las Resoluciones No. 3597 del 29 de </w:t>
          </w:r>
          <w:r w:rsidRPr="0020113A">
            <w:rPr>
              <w:rFonts w:ascii="Times New Roman" w:eastAsia="Times New Roman" w:hAnsi="Times New Roman"/>
              <w:sz w:val="24"/>
              <w:szCs w:val="24"/>
              <w:lang w:eastAsia="es-CO"/>
            </w:rPr>
            <w:lastRenderedPageBreak/>
            <w:t>septiembre de 2015, No. 3023 del 08 de agosto de 2017 y la Resolución número 20223040001825 que se emitió en enero de 2022 mediante la cual “se establecen tarifas diferenciales en las categorías I y II en las estaciones de Peaje denominadas Trapiche, Cabildo, Pandequeso y Cisneros pertenecientes al proyecto de asociación publico privada de iniciativa privada denominado Vías del Nus (Vinus) y se modifica el articulo 2 de la Resolución No. 0003597 del 29 de septiembre de 2015, modificado por el articulo 1 de la Resolución No. 0003023 del 8 de agosto de 2017, y se dictan otras disposiciones. “</w:t>
          </w:r>
        </w:p>
        <w:p w14:paraId="0CE6F075" w14:textId="77777777" w:rsidR="007803E3" w:rsidRPr="0020113A" w:rsidRDefault="007803E3" w:rsidP="007803E3">
          <w:pPr>
            <w:spacing w:after="0" w:line="240" w:lineRule="auto"/>
            <w:jc w:val="both"/>
            <w:textAlignment w:val="baseline"/>
            <w:rPr>
              <w:rFonts w:ascii="Times New Roman" w:eastAsia="Times New Roman" w:hAnsi="Times New Roman"/>
              <w:sz w:val="24"/>
              <w:szCs w:val="24"/>
              <w:lang w:eastAsia="es-CO"/>
            </w:rPr>
          </w:pPr>
          <w:r w:rsidRPr="0020113A">
            <w:rPr>
              <w:rFonts w:ascii="Times New Roman" w:eastAsia="Times New Roman" w:hAnsi="Times New Roman"/>
              <w:sz w:val="24"/>
              <w:szCs w:val="24"/>
              <w:lang w:eastAsia="es-CO"/>
            </w:rPr>
            <w:t>Se resalta como hecho relevante durante la vigencia, la suscripción del Otrosi 7 durante 2022, el cual regula y compensa en parte las novedades del contrato en términos de compensaciones por riesgos materializados a cargo de la ANI; entre los cuales se destacan las tarifas diferenciales en los peajes del corredor vial, la no entrega de la Estación de Peaje Niquia, la reducción de alcance del mantenimiento periódico en la UF6, entre otros.</w:t>
          </w:r>
        </w:p>
        <w:p w14:paraId="12A36278" w14:textId="77777777" w:rsidR="007803E3" w:rsidRPr="0020113A" w:rsidRDefault="007803E3" w:rsidP="007803E3">
          <w:pPr>
            <w:spacing w:after="0" w:line="240" w:lineRule="auto"/>
            <w:textAlignment w:val="baseline"/>
            <w:rPr>
              <w:rFonts w:ascii="Times New Roman" w:eastAsia="Times New Roman" w:hAnsi="Times New Roman"/>
              <w:sz w:val="24"/>
              <w:szCs w:val="24"/>
              <w:lang w:eastAsia="es-CO"/>
            </w:rPr>
          </w:pPr>
          <w:r w:rsidRPr="0020113A">
            <w:rPr>
              <w:rFonts w:ascii="Times New Roman" w:eastAsia="Times New Roman" w:hAnsi="Times New Roman"/>
              <w:sz w:val="24"/>
              <w:szCs w:val="24"/>
              <w:lang w:eastAsia="es-CO"/>
            </w:rPr>
            <w:t>Aportes ANI.</w:t>
          </w:r>
        </w:p>
        <w:p w14:paraId="21053E48" w14:textId="77777777" w:rsidR="007803E3" w:rsidRPr="0020113A" w:rsidRDefault="007803E3" w:rsidP="007803E3">
          <w:pPr>
            <w:spacing w:after="0" w:line="240" w:lineRule="auto"/>
            <w:textAlignment w:val="baseline"/>
            <w:rPr>
              <w:rFonts w:ascii="Times New Roman" w:eastAsia="Times New Roman" w:hAnsi="Times New Roman"/>
              <w:sz w:val="24"/>
              <w:szCs w:val="24"/>
              <w:lang w:eastAsia="es-CO"/>
            </w:rPr>
          </w:pPr>
          <w:r w:rsidRPr="0020113A">
            <w:rPr>
              <w:rFonts w:ascii="Times New Roman" w:eastAsia="Times New Roman" w:hAnsi="Times New Roman"/>
              <w:sz w:val="24"/>
              <w:szCs w:val="24"/>
              <w:lang w:eastAsia="es-CO"/>
            </w:rPr>
            <w:t xml:space="preserve">En este caso no aplica por corresponder a una iniciativa privada sin recursos públicos. </w:t>
          </w:r>
        </w:p>
        <w:p w14:paraId="61331BD5" w14:textId="77777777" w:rsidR="007803E3" w:rsidRPr="0020113A" w:rsidRDefault="007803E3" w:rsidP="007803E3">
          <w:pPr>
            <w:spacing w:after="0" w:line="240" w:lineRule="auto"/>
            <w:jc w:val="both"/>
            <w:textAlignment w:val="baseline"/>
            <w:rPr>
              <w:rFonts w:ascii="Times New Roman" w:eastAsia="Times New Roman" w:hAnsi="Times New Roman"/>
              <w:b/>
              <w:sz w:val="24"/>
              <w:szCs w:val="24"/>
              <w:lang w:val="es-MX" w:eastAsia="es-CO"/>
            </w:rPr>
          </w:pPr>
        </w:p>
        <w:p w14:paraId="00BFA5C1" w14:textId="77777777" w:rsidR="007803E3" w:rsidRPr="0020113A" w:rsidRDefault="007803E3" w:rsidP="007803E3">
          <w:pPr>
            <w:spacing w:after="0" w:line="240" w:lineRule="auto"/>
            <w:jc w:val="both"/>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Términos de Calendario:</w:t>
          </w:r>
          <w:r w:rsidRPr="0020113A">
            <w:rPr>
              <w:rFonts w:ascii="Times New Roman" w:eastAsia="Times New Roman" w:hAnsi="Times New Roman"/>
              <w:sz w:val="24"/>
              <w:szCs w:val="24"/>
              <w:lang w:eastAsia="es-CO"/>
            </w:rPr>
            <w:t> A 31 de diciembre de 2023, el avance de obra en las 5 unidades funcionales es el 100%. En el modelo contable al cierre de 2023, el valor del CAPEX, OPEX y Mantenimiento Mayor se ajustó teniendo en cuenta las ponderaciones del apéndice financiero y el avance real del proyecto, conforme lo establecido en la guía contable. La fecha estimada para la entrega de la infraestructura del Concesionario a la ANI de acuerdo con el plazo de duración del contrato que son 30 años que sería el 8 de marzo de 2046.</w:t>
          </w:r>
        </w:p>
        <w:p w14:paraId="53469BC1" w14:textId="77777777" w:rsidR="007803E3" w:rsidRPr="0020113A" w:rsidRDefault="007803E3" w:rsidP="007803E3">
          <w:pPr>
            <w:spacing w:after="0" w:line="240" w:lineRule="auto"/>
            <w:textAlignment w:val="baseline"/>
            <w:rPr>
              <w:rFonts w:ascii="Times New Roman" w:eastAsia="Times New Roman" w:hAnsi="Times New Roman"/>
              <w:b/>
              <w:sz w:val="24"/>
              <w:szCs w:val="24"/>
              <w:lang w:val="es-MX" w:eastAsia="es-CO"/>
            </w:rPr>
          </w:pPr>
        </w:p>
        <w:p w14:paraId="56D20F42" w14:textId="77777777" w:rsidR="007803E3" w:rsidRPr="0020113A" w:rsidRDefault="007803E3" w:rsidP="007803E3">
          <w:pPr>
            <w:spacing w:after="0" w:line="240" w:lineRule="auto"/>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Términos de Certeza de Flujos de Efectivo Futuros:</w:t>
          </w:r>
          <w:r w:rsidRPr="0020113A">
            <w:rPr>
              <w:rFonts w:ascii="Times New Roman" w:eastAsia="Times New Roman" w:hAnsi="Times New Roman"/>
              <w:sz w:val="24"/>
              <w:szCs w:val="24"/>
              <w:lang w:eastAsia="es-CO"/>
            </w:rPr>
            <w:t> Las variables que pueden afectar los flujos de efectivo son principalmente el riesgo por sobrecostos y el riesgo por menor recaudo. Ver Capítulo XIII Ecuación Contractual y Asignación de Riesgos del Contrato de Concesión.</w:t>
          </w:r>
        </w:p>
        <w:p w14:paraId="3C435BA8" w14:textId="77777777" w:rsidR="002B0F09" w:rsidRPr="0020113A" w:rsidRDefault="002B0F09" w:rsidP="007803E3">
          <w:pPr>
            <w:spacing w:after="0" w:line="240" w:lineRule="auto"/>
            <w:textAlignment w:val="baseline"/>
            <w:rPr>
              <w:rFonts w:ascii="Times New Roman" w:eastAsia="Times New Roman" w:hAnsi="Times New Roman"/>
              <w:sz w:val="24"/>
              <w:szCs w:val="24"/>
              <w:lang w:eastAsia="es-CO"/>
            </w:rPr>
          </w:pPr>
        </w:p>
        <w:p w14:paraId="53A03B9B" w14:textId="77777777" w:rsidR="007803E3" w:rsidRPr="0020113A" w:rsidRDefault="007803E3" w:rsidP="00E60BAB">
          <w:pPr>
            <w:pStyle w:val="Prrafodelista"/>
            <w:numPr>
              <w:ilvl w:val="0"/>
              <w:numId w:val="106"/>
            </w:numPr>
            <w:spacing w:after="0" w:line="240" w:lineRule="auto"/>
            <w:textAlignment w:val="baseline"/>
            <w:rPr>
              <w:rFonts w:ascii="Times New Roman" w:eastAsia="Times New Roman" w:hAnsi="Times New Roman"/>
              <w:b/>
              <w:sz w:val="24"/>
              <w:szCs w:val="24"/>
              <w:lang w:val="es-MX" w:eastAsia="es-CO"/>
            </w:rPr>
          </w:pPr>
          <w:r w:rsidRPr="0020113A">
            <w:rPr>
              <w:rFonts w:ascii="Times New Roman" w:eastAsia="Times New Roman" w:hAnsi="Times New Roman"/>
              <w:b/>
              <w:sz w:val="24"/>
              <w:szCs w:val="24"/>
              <w:lang w:val="es-MX" w:eastAsia="es-CO"/>
            </w:rPr>
            <w:t>Naturaleza y alcance del derecho a utilizar activos especificados, de los aspectos pactados en torno a lo que se espera que el concesionario proporcione en relación con el acuerdo de concesión </w:t>
          </w:r>
        </w:p>
        <w:p w14:paraId="451B80FA" w14:textId="77777777" w:rsidR="007803E3" w:rsidRPr="0020113A" w:rsidRDefault="007803E3" w:rsidP="007803E3">
          <w:pPr>
            <w:pStyle w:val="Prrafodelista"/>
            <w:spacing w:after="0" w:line="240" w:lineRule="auto"/>
            <w:textAlignment w:val="baseline"/>
            <w:rPr>
              <w:rFonts w:ascii="Times New Roman" w:eastAsia="Times New Roman" w:hAnsi="Times New Roman"/>
              <w:b/>
              <w:sz w:val="24"/>
              <w:szCs w:val="24"/>
              <w:lang w:val="es-MX" w:eastAsia="es-CO"/>
            </w:rPr>
          </w:pPr>
        </w:p>
        <w:p w14:paraId="4B2FBE3A" w14:textId="77777777" w:rsidR="007803E3" w:rsidRPr="0020113A" w:rsidRDefault="007803E3" w:rsidP="007803E3">
          <w:pPr>
            <w:spacing w:after="0" w:line="240" w:lineRule="auto"/>
            <w:jc w:val="center"/>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Naturaleza y alcance del derecho de uso de los activos</w:t>
          </w:r>
          <w:r w:rsidRPr="0020113A">
            <w:rPr>
              <w:rFonts w:ascii="Times New Roman" w:eastAsia="Times New Roman" w:hAnsi="Times New Roman"/>
              <w:sz w:val="24"/>
              <w:szCs w:val="24"/>
              <w:lang w:eastAsia="es-CO"/>
            </w:rPr>
            <w:t> </w:t>
          </w:r>
        </w:p>
        <w:p w14:paraId="01A194E2" w14:textId="77777777" w:rsidR="007803E3" w:rsidRPr="0020113A" w:rsidRDefault="007803E3" w:rsidP="007803E3">
          <w:pPr>
            <w:spacing w:after="0" w:line="240" w:lineRule="auto"/>
            <w:jc w:val="both"/>
            <w:textAlignment w:val="baseline"/>
            <w:rPr>
              <w:rFonts w:ascii="Times New Roman" w:eastAsia="Times New Roman" w:hAnsi="Times New Roman"/>
              <w:b/>
              <w:sz w:val="24"/>
              <w:szCs w:val="24"/>
              <w:lang w:val="es-MX" w:eastAsia="es-CO"/>
            </w:rPr>
          </w:pPr>
        </w:p>
        <w:p w14:paraId="2ED96577" w14:textId="77777777" w:rsidR="007803E3" w:rsidRPr="0020113A" w:rsidRDefault="007803E3" w:rsidP="007803E3">
          <w:pPr>
            <w:spacing w:after="0" w:line="240" w:lineRule="auto"/>
            <w:jc w:val="both"/>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Descripción:</w:t>
          </w:r>
          <w:r w:rsidRPr="0020113A">
            <w:rPr>
              <w:rFonts w:ascii="Times New Roman" w:eastAsia="Times New Roman" w:hAnsi="Times New Roman"/>
              <w:sz w:val="24"/>
              <w:szCs w:val="24"/>
              <w:lang w:eastAsia="es-CO"/>
            </w:rPr>
            <w:t> Activos reconocidos</w:t>
          </w:r>
        </w:p>
        <w:p w14:paraId="65164505" w14:textId="77777777" w:rsidR="007803E3" w:rsidRPr="0020113A" w:rsidRDefault="007803E3" w:rsidP="007803E3">
          <w:pPr>
            <w:spacing w:after="0" w:line="240" w:lineRule="auto"/>
            <w:jc w:val="both"/>
            <w:textAlignment w:val="baseline"/>
            <w:rPr>
              <w:rFonts w:ascii="Times New Roman" w:eastAsia="Times New Roman" w:hAnsi="Times New Roman"/>
              <w:sz w:val="24"/>
              <w:szCs w:val="24"/>
              <w:lang w:eastAsia="es-CO"/>
            </w:rPr>
          </w:pPr>
          <w:r w:rsidRPr="0020113A">
            <w:rPr>
              <w:rFonts w:ascii="Times New Roman" w:eastAsia="Times New Roman" w:hAnsi="Times New Roman"/>
              <w:sz w:val="24"/>
              <w:szCs w:val="24"/>
              <w:lang w:eastAsia="es-CO"/>
            </w:rPr>
            <w:t xml:space="preserve">Los derechos que cedió al concesionario para explotar los activos en concesión. </w:t>
          </w:r>
        </w:p>
        <w:p w14:paraId="2262BE67" w14:textId="77777777" w:rsidR="007803E3" w:rsidRPr="0020113A" w:rsidRDefault="007803E3" w:rsidP="007803E3">
          <w:pPr>
            <w:spacing w:after="0" w:line="240" w:lineRule="auto"/>
            <w:jc w:val="both"/>
            <w:textAlignment w:val="baseline"/>
            <w:rPr>
              <w:rFonts w:ascii="Times New Roman" w:eastAsia="Times New Roman" w:hAnsi="Times New Roman"/>
              <w:sz w:val="24"/>
              <w:szCs w:val="24"/>
              <w:lang w:eastAsia="es-CO"/>
            </w:rPr>
          </w:pPr>
          <w:r w:rsidRPr="0020113A">
            <w:rPr>
              <w:rFonts w:ascii="Times New Roman" w:eastAsia="Times New Roman" w:hAnsi="Times New Roman"/>
              <w:sz w:val="24"/>
              <w:szCs w:val="24"/>
              <w:lang w:eastAsia="es-CO"/>
            </w:rPr>
            <w:t>Activos entregados:</w:t>
          </w:r>
        </w:p>
        <w:p w14:paraId="412F2EAA" w14:textId="77777777" w:rsidR="007803E3" w:rsidRPr="0020113A" w:rsidRDefault="007803E3" w:rsidP="007803E3">
          <w:pPr>
            <w:spacing w:after="0" w:line="240" w:lineRule="auto"/>
            <w:jc w:val="both"/>
            <w:textAlignment w:val="baseline"/>
            <w:rPr>
              <w:rFonts w:ascii="Times New Roman" w:eastAsia="Times New Roman" w:hAnsi="Times New Roman"/>
              <w:sz w:val="24"/>
              <w:szCs w:val="24"/>
              <w:lang w:eastAsia="es-CO"/>
            </w:rPr>
          </w:pPr>
          <w:r w:rsidRPr="0020113A">
            <w:rPr>
              <w:rFonts w:ascii="Times New Roman" w:eastAsia="Times New Roman" w:hAnsi="Times New Roman"/>
              <w:sz w:val="24"/>
              <w:szCs w:val="24"/>
              <w:lang w:eastAsia="es-CO"/>
            </w:rPr>
            <w:t>Sector Barbosa (incluido el anillo de la glorieta) – Cisneros, comprendido entre los PRs 9+0700 y 53+0000 de la carretera Cruce Ruta 25 (Hatillo) – Cisneros, Ruta 6205.</w:t>
          </w:r>
        </w:p>
        <w:p w14:paraId="4A1E00E8" w14:textId="77777777" w:rsidR="007803E3" w:rsidRPr="0020113A" w:rsidRDefault="007803E3" w:rsidP="007803E3">
          <w:pPr>
            <w:spacing w:after="0" w:line="240" w:lineRule="auto"/>
            <w:jc w:val="both"/>
            <w:textAlignment w:val="baseline"/>
            <w:rPr>
              <w:rFonts w:ascii="Times New Roman" w:eastAsia="Times New Roman" w:hAnsi="Times New Roman"/>
              <w:sz w:val="24"/>
              <w:szCs w:val="24"/>
              <w:lang w:eastAsia="es-CO"/>
            </w:rPr>
          </w:pPr>
          <w:r w:rsidRPr="0020113A">
            <w:rPr>
              <w:rFonts w:ascii="Times New Roman" w:eastAsia="Times New Roman" w:hAnsi="Times New Roman"/>
              <w:sz w:val="24"/>
              <w:szCs w:val="24"/>
              <w:lang w:eastAsia="es-CO"/>
            </w:rPr>
            <w:t>Sector Cisneros – Alto de Dolores (hasta el empalme con la concesión Rio Magdalena 2). Comprendido entre los PRs 1+0000 Y 40+0900 de la carretera Cisneros – Puerto Berrio Cruce Ruta 45, Ruta 6206.</w:t>
          </w:r>
        </w:p>
        <w:p w14:paraId="7C159341" w14:textId="77777777" w:rsidR="007803E3" w:rsidRPr="0020113A" w:rsidRDefault="007803E3" w:rsidP="007803E3">
          <w:pPr>
            <w:spacing w:after="0" w:line="240" w:lineRule="auto"/>
            <w:jc w:val="both"/>
            <w:textAlignment w:val="baseline"/>
            <w:rPr>
              <w:rFonts w:ascii="Times New Roman" w:eastAsia="Times New Roman" w:hAnsi="Times New Roman"/>
              <w:sz w:val="24"/>
              <w:szCs w:val="24"/>
              <w:lang w:eastAsia="es-CO"/>
            </w:rPr>
          </w:pPr>
          <w:r w:rsidRPr="0020113A">
            <w:rPr>
              <w:rFonts w:ascii="Times New Roman" w:eastAsia="Times New Roman" w:hAnsi="Times New Roman"/>
              <w:sz w:val="24"/>
              <w:szCs w:val="24"/>
              <w:lang w:eastAsia="es-CO"/>
            </w:rPr>
            <w:t>Alcance del derecho de uso de los activos:</w:t>
          </w:r>
        </w:p>
        <w:p w14:paraId="62BF0FAF" w14:textId="77777777" w:rsidR="007803E3" w:rsidRPr="0020113A" w:rsidRDefault="007803E3" w:rsidP="007803E3">
          <w:pPr>
            <w:spacing w:after="0" w:line="240" w:lineRule="auto"/>
            <w:jc w:val="both"/>
            <w:textAlignment w:val="baseline"/>
            <w:rPr>
              <w:rFonts w:ascii="Times New Roman" w:eastAsia="Times New Roman" w:hAnsi="Times New Roman"/>
              <w:sz w:val="24"/>
              <w:szCs w:val="24"/>
              <w:lang w:eastAsia="es-CO"/>
            </w:rPr>
          </w:pPr>
          <w:r w:rsidRPr="0020113A">
            <w:rPr>
              <w:rFonts w:ascii="Times New Roman" w:eastAsia="Times New Roman" w:hAnsi="Times New Roman"/>
              <w:sz w:val="24"/>
              <w:szCs w:val="24"/>
              <w:lang w:eastAsia="es-CO"/>
            </w:rPr>
            <w:t>En el Apéndice Técnico 4 se especifican los indicadores que debe cumplir el Concesionario, dentro de los cuales se incluye Indicadores exclusivos para Pavimento Flexible, Indicadores exclusivos para Pavimento Rígido, Indicadores exclusivos para Túneles.</w:t>
          </w:r>
        </w:p>
        <w:p w14:paraId="56C99C24" w14:textId="77777777" w:rsidR="007803E3" w:rsidRPr="0020113A" w:rsidRDefault="007803E3" w:rsidP="007803E3">
          <w:pPr>
            <w:spacing w:after="0" w:line="240" w:lineRule="auto"/>
            <w:textAlignment w:val="baseline"/>
            <w:rPr>
              <w:rFonts w:ascii="Times New Roman" w:eastAsia="Times New Roman" w:hAnsi="Times New Roman"/>
              <w:b/>
              <w:sz w:val="24"/>
              <w:szCs w:val="24"/>
              <w:lang w:val="es-MX" w:eastAsia="es-CO"/>
            </w:rPr>
          </w:pPr>
        </w:p>
        <w:p w14:paraId="0F77FCAE" w14:textId="77777777" w:rsidR="007803E3" w:rsidRPr="0020113A" w:rsidRDefault="007803E3" w:rsidP="007803E3">
          <w:pPr>
            <w:spacing w:after="0" w:line="240" w:lineRule="auto"/>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Observaciones:</w:t>
          </w:r>
          <w:r w:rsidRPr="0020113A">
            <w:rPr>
              <w:rFonts w:ascii="Times New Roman" w:eastAsia="Times New Roman" w:hAnsi="Times New Roman"/>
              <w:sz w:val="24"/>
              <w:szCs w:val="24"/>
              <w:lang w:eastAsia="es-CO"/>
            </w:rPr>
            <w:t> No hay observaciones.</w:t>
          </w:r>
        </w:p>
        <w:p w14:paraId="09254C65" w14:textId="77777777" w:rsidR="007803E3" w:rsidRPr="0020113A" w:rsidRDefault="007803E3" w:rsidP="007803E3">
          <w:pPr>
            <w:spacing w:after="0" w:line="240" w:lineRule="auto"/>
            <w:jc w:val="center"/>
            <w:textAlignment w:val="baseline"/>
            <w:rPr>
              <w:rFonts w:ascii="Times New Roman" w:eastAsia="Times New Roman" w:hAnsi="Times New Roman"/>
              <w:b/>
              <w:sz w:val="24"/>
              <w:szCs w:val="24"/>
              <w:lang w:val="es-MX" w:eastAsia="es-CO"/>
            </w:rPr>
          </w:pPr>
        </w:p>
        <w:p w14:paraId="76F08678" w14:textId="77777777" w:rsidR="007803E3" w:rsidRPr="0020113A" w:rsidRDefault="007803E3" w:rsidP="007803E3">
          <w:pPr>
            <w:spacing w:after="0" w:line="240" w:lineRule="auto"/>
            <w:jc w:val="center"/>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Retribución al Concesionario</w:t>
          </w:r>
          <w:r w:rsidRPr="0020113A">
            <w:rPr>
              <w:rFonts w:ascii="Times New Roman" w:eastAsia="Times New Roman" w:hAnsi="Times New Roman"/>
              <w:sz w:val="24"/>
              <w:szCs w:val="24"/>
              <w:lang w:eastAsia="es-CO"/>
            </w:rPr>
            <w:t> </w:t>
          </w:r>
        </w:p>
        <w:p w14:paraId="0463AA40" w14:textId="77777777" w:rsidR="007803E3" w:rsidRPr="0020113A" w:rsidRDefault="007803E3" w:rsidP="007803E3">
          <w:pPr>
            <w:spacing w:after="0" w:line="240" w:lineRule="auto"/>
            <w:jc w:val="both"/>
            <w:textAlignment w:val="baseline"/>
            <w:rPr>
              <w:rFonts w:ascii="Times New Roman" w:eastAsia="Times New Roman" w:hAnsi="Times New Roman"/>
              <w:b/>
              <w:sz w:val="24"/>
              <w:szCs w:val="24"/>
              <w:lang w:val="es-MX" w:eastAsia="es-CO"/>
            </w:rPr>
          </w:pPr>
        </w:p>
        <w:p w14:paraId="7E870814" w14:textId="77777777" w:rsidR="007803E3" w:rsidRPr="0020113A" w:rsidRDefault="007803E3" w:rsidP="007803E3">
          <w:pPr>
            <w:spacing w:after="0" w:line="240" w:lineRule="auto"/>
            <w:jc w:val="both"/>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Descripción:</w:t>
          </w:r>
          <w:r w:rsidRPr="0020113A">
            <w:rPr>
              <w:rFonts w:ascii="Times New Roman" w:eastAsia="Times New Roman" w:hAnsi="Times New Roman"/>
              <w:sz w:val="24"/>
              <w:szCs w:val="24"/>
              <w:lang w:eastAsia="es-CO"/>
            </w:rPr>
            <w:t> Parte Especial, Capitulo IV, Numeral 4.4 Cálculo de la Retribución. La Retribución total será la suma de la Retribución de las Unidades Funcionales. El Cálculo de la Retribución por Unidad Funcional para cada Mes será efectuado de acuerdo con la fórmula dispuesta en dicho numeral. Es importante mencionar que el recaudo en la estación Cisneros entre 2016 y 2020 no se tiene en cuenta en el modelo contable, ya que estos valores no acumulan al VPIP y estos recursos se trasladaron a la subcuenta obras menores para financiar obras por demanda, como lo establece el numeral 3.5 de la parte especial del contrato.</w:t>
          </w:r>
        </w:p>
        <w:p w14:paraId="1D4DD543" w14:textId="77777777" w:rsidR="007803E3" w:rsidRPr="0020113A" w:rsidRDefault="007803E3" w:rsidP="007803E3">
          <w:pPr>
            <w:spacing w:after="0" w:line="240" w:lineRule="auto"/>
            <w:jc w:val="both"/>
            <w:textAlignment w:val="baseline"/>
            <w:rPr>
              <w:rFonts w:ascii="Times New Roman" w:eastAsia="Times New Roman" w:hAnsi="Times New Roman"/>
              <w:b/>
              <w:sz w:val="24"/>
              <w:szCs w:val="24"/>
              <w:lang w:val="es-MX" w:eastAsia="es-CO"/>
            </w:rPr>
          </w:pPr>
        </w:p>
        <w:p w14:paraId="4DFB37B1" w14:textId="77777777" w:rsidR="007803E3" w:rsidRPr="0020113A" w:rsidRDefault="007803E3" w:rsidP="007803E3">
          <w:pPr>
            <w:spacing w:after="0" w:line="240" w:lineRule="auto"/>
            <w:jc w:val="both"/>
            <w:textAlignment w:val="baseline"/>
            <w:rPr>
              <w:rFonts w:ascii="Times New Roman" w:hAnsi="Times New Roman"/>
              <w:sz w:val="24"/>
              <w:szCs w:val="24"/>
            </w:rPr>
          </w:pPr>
          <w:r w:rsidRPr="0020113A">
            <w:rPr>
              <w:rFonts w:ascii="Times New Roman" w:eastAsia="Times New Roman" w:hAnsi="Times New Roman"/>
              <w:b/>
              <w:sz w:val="24"/>
              <w:szCs w:val="24"/>
              <w:lang w:val="es-MX" w:eastAsia="es-CO"/>
            </w:rPr>
            <w:t>Tasa de Retribución:</w:t>
          </w:r>
          <w:r w:rsidRPr="0020113A">
            <w:rPr>
              <w:rFonts w:ascii="Times New Roman" w:eastAsia="Times New Roman" w:hAnsi="Times New Roman"/>
              <w:sz w:val="24"/>
              <w:szCs w:val="24"/>
              <w:lang w:eastAsia="es-CO"/>
            </w:rPr>
            <w:t> </w:t>
          </w:r>
          <w:r w:rsidRPr="0020113A">
            <w:rPr>
              <w:rFonts w:ascii="Times New Roman" w:hAnsi="Times New Roman"/>
              <w:sz w:val="24"/>
              <w:szCs w:val="24"/>
            </w:rPr>
            <w:t>De acuerdo con el contrato parte especial, la Tasa descuento real TDI expresada en términos efectivos mensuales, para efectos de este proyecto, será del cero punto cinco cuatro ocho siete por ciento 0.6577%.</w:t>
          </w:r>
        </w:p>
        <w:p w14:paraId="39945EAA" w14:textId="77777777" w:rsidR="007803E3" w:rsidRPr="0020113A" w:rsidRDefault="007803E3" w:rsidP="007803E3">
          <w:pPr>
            <w:spacing w:after="0" w:line="240" w:lineRule="auto"/>
            <w:textAlignment w:val="baseline"/>
            <w:rPr>
              <w:rFonts w:ascii="Times New Roman" w:eastAsia="Times New Roman" w:hAnsi="Times New Roman"/>
              <w:sz w:val="24"/>
              <w:szCs w:val="24"/>
              <w:lang w:eastAsia="es-CO"/>
            </w:rPr>
          </w:pPr>
        </w:p>
        <w:p w14:paraId="0C005FAD" w14:textId="77777777" w:rsidR="007803E3" w:rsidRPr="0020113A" w:rsidRDefault="007803E3" w:rsidP="00E60BAB">
          <w:pPr>
            <w:pStyle w:val="Prrafodelista"/>
            <w:numPr>
              <w:ilvl w:val="0"/>
              <w:numId w:val="106"/>
            </w:numPr>
            <w:spacing w:after="0" w:line="240" w:lineRule="auto"/>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Derechos a recibir activos especificados al final del acuerdo de concesión</w:t>
          </w:r>
          <w:r w:rsidRPr="0020113A">
            <w:rPr>
              <w:rFonts w:ascii="Times New Roman" w:eastAsia="Times New Roman" w:hAnsi="Times New Roman"/>
              <w:sz w:val="24"/>
              <w:szCs w:val="24"/>
              <w:lang w:eastAsia="es-CO"/>
            </w:rPr>
            <w:t> </w:t>
          </w:r>
        </w:p>
        <w:p w14:paraId="05632101" w14:textId="77777777" w:rsidR="007803E3" w:rsidRPr="0020113A" w:rsidRDefault="007803E3" w:rsidP="007803E3">
          <w:pPr>
            <w:spacing w:after="0" w:line="240" w:lineRule="auto"/>
            <w:textAlignment w:val="baseline"/>
            <w:rPr>
              <w:rFonts w:ascii="Times New Roman" w:eastAsia="Times New Roman" w:hAnsi="Times New Roman"/>
              <w:b/>
              <w:sz w:val="24"/>
              <w:szCs w:val="24"/>
              <w:lang w:val="es-MX" w:eastAsia="es-CO"/>
            </w:rPr>
          </w:pPr>
        </w:p>
        <w:p w14:paraId="46F5DCD5" w14:textId="77777777" w:rsidR="007803E3" w:rsidRPr="0020113A" w:rsidRDefault="007803E3" w:rsidP="007803E3">
          <w:pPr>
            <w:spacing w:after="0" w:line="240" w:lineRule="auto"/>
            <w:jc w:val="both"/>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Descripción:</w:t>
          </w:r>
          <w:r w:rsidRPr="0020113A">
            <w:rPr>
              <w:rFonts w:ascii="Times New Roman" w:eastAsia="Times New Roman" w:hAnsi="Times New Roman"/>
              <w:sz w:val="24"/>
              <w:szCs w:val="24"/>
              <w:lang w:eastAsia="es-CO"/>
            </w:rPr>
            <w:t> De acuerdo a lo establecido en Apéndice Técnico 2, numeral 5 Reversión:</w:t>
          </w:r>
        </w:p>
        <w:p w14:paraId="6125BD6E" w14:textId="77777777" w:rsidR="007803E3" w:rsidRPr="0020113A" w:rsidRDefault="007803E3" w:rsidP="007803E3">
          <w:pPr>
            <w:spacing w:after="0" w:line="240" w:lineRule="auto"/>
            <w:jc w:val="both"/>
            <w:textAlignment w:val="baseline"/>
            <w:rPr>
              <w:rFonts w:ascii="Times New Roman" w:eastAsia="Times New Roman" w:hAnsi="Times New Roman"/>
              <w:sz w:val="24"/>
              <w:szCs w:val="24"/>
              <w:lang w:eastAsia="es-CO"/>
            </w:rPr>
          </w:pPr>
          <w:r w:rsidRPr="0020113A">
            <w:rPr>
              <w:rFonts w:ascii="Times New Roman" w:eastAsia="Times New Roman" w:hAnsi="Times New Roman"/>
              <w:sz w:val="24"/>
              <w:szCs w:val="24"/>
              <w:lang w:eastAsia="es-CO"/>
            </w:rPr>
            <w:t xml:space="preserve">De acuerdo con la sección 9.7 de Parte General del Contrato, cuando concluya la Etapa de Operación y Mantenimiento o cuando el Contrato se termine anticipadamente, todas las obras y bienes de la Concesión, incluyendo los predios de la zona del Corredor del Proyecto y las Obras civiles (calzadas, separadores, intersecciones, estructuras, obras de drenaje, obras de arte y señales), las Estaciones de Peaje y sus equipos, las Estaciones de Peaje y sus equipos , el Centro de Control de Operación y sus equipos, las Bases de Operación (uno o los que haya), las áreas de Servicio, todos los automotores y equipos instalados para la Operación del Proyecto, incluyendo equipos y software de computación, equipos de telecomunicaciones, red de fibra óptica, los entregados a la Policía de carreteras , los equipos de rescate, los elementos de Traslado Asistencial Médico (TAM) y cualquier otra obra y bien que forme parte de la concesión, deberán ser entregados a la ANI sin costo alguno y libre de todo gravamen. </w:t>
          </w:r>
        </w:p>
        <w:p w14:paraId="7FE10DEF" w14:textId="77777777" w:rsidR="007803E3" w:rsidRPr="0020113A" w:rsidRDefault="007803E3" w:rsidP="007803E3">
          <w:pPr>
            <w:spacing w:after="0" w:line="240" w:lineRule="auto"/>
            <w:jc w:val="both"/>
            <w:textAlignment w:val="baseline"/>
            <w:rPr>
              <w:rFonts w:ascii="Times New Roman" w:eastAsia="Times New Roman" w:hAnsi="Times New Roman"/>
              <w:sz w:val="24"/>
              <w:szCs w:val="24"/>
              <w:lang w:eastAsia="es-CO"/>
            </w:rPr>
          </w:pPr>
          <w:r w:rsidRPr="0020113A">
            <w:rPr>
              <w:rFonts w:ascii="Times New Roman" w:eastAsia="Times New Roman" w:hAnsi="Times New Roman"/>
              <w:sz w:val="24"/>
              <w:szCs w:val="24"/>
              <w:lang w:eastAsia="es-CO"/>
            </w:rPr>
            <w:t>El Concesionario procederá a la reversión de todas las instalaciones a la ANI lo cual incluye tanto hardware como el software de mercado instalado para la operación de los sistemas. Esta entrega incluirá las licencias de los productos, el software de mercado instalado, tales como sistemas operativos y gestores de bases de datos, así como los códigos fuente de los programas que se encuentren en explotación. Además, se incluirá información de los protocolos de comunicaciones usados.</w:t>
          </w:r>
        </w:p>
        <w:p w14:paraId="77E07605" w14:textId="77777777" w:rsidR="007803E3" w:rsidRPr="0020113A" w:rsidRDefault="007803E3" w:rsidP="007803E3">
          <w:pPr>
            <w:spacing w:after="0" w:line="240" w:lineRule="auto"/>
            <w:jc w:val="both"/>
            <w:textAlignment w:val="baseline"/>
            <w:rPr>
              <w:rFonts w:ascii="Times New Roman" w:eastAsia="Times New Roman" w:hAnsi="Times New Roman"/>
              <w:sz w:val="24"/>
              <w:szCs w:val="24"/>
              <w:lang w:eastAsia="es-CO"/>
            </w:rPr>
          </w:pPr>
          <w:r w:rsidRPr="0020113A">
            <w:rPr>
              <w:rFonts w:ascii="Times New Roman" w:eastAsia="Times New Roman" w:hAnsi="Times New Roman"/>
              <w:sz w:val="24"/>
              <w:szCs w:val="24"/>
              <w:lang w:eastAsia="es-CO"/>
            </w:rPr>
            <w:t>Todos los elementos que de acuerdo con las recomendaciones del fabricante tiene una vida útil no mayor a 2 años serán restituidos por nuevos elementos al momento de la entrega de la operación.</w:t>
          </w:r>
        </w:p>
        <w:p w14:paraId="791C82BE" w14:textId="77777777" w:rsidR="007803E3" w:rsidRPr="0020113A" w:rsidRDefault="007803E3" w:rsidP="007803E3">
          <w:pPr>
            <w:spacing w:after="0" w:line="240" w:lineRule="auto"/>
            <w:jc w:val="both"/>
            <w:textAlignment w:val="baseline"/>
            <w:rPr>
              <w:rFonts w:ascii="Times New Roman" w:eastAsia="Times New Roman" w:hAnsi="Times New Roman"/>
              <w:sz w:val="24"/>
              <w:szCs w:val="24"/>
              <w:lang w:eastAsia="es-CO"/>
            </w:rPr>
          </w:pPr>
          <w:r w:rsidRPr="0020113A">
            <w:rPr>
              <w:rFonts w:ascii="Times New Roman" w:eastAsia="Times New Roman" w:hAnsi="Times New Roman"/>
              <w:sz w:val="24"/>
              <w:szCs w:val="24"/>
              <w:lang w:eastAsia="es-CO"/>
            </w:rPr>
            <w:t>Entrega de los stocks de repuestos y de herramientas indicados por el fabricante o aquellos considerados como necesarios para la operación de los equipos.</w:t>
          </w:r>
        </w:p>
        <w:p w14:paraId="55D0A6A3" w14:textId="77777777" w:rsidR="007803E3" w:rsidRPr="0020113A" w:rsidRDefault="007803E3" w:rsidP="007803E3">
          <w:pPr>
            <w:spacing w:after="0" w:line="240" w:lineRule="auto"/>
            <w:jc w:val="both"/>
            <w:textAlignment w:val="baseline"/>
            <w:rPr>
              <w:rFonts w:ascii="Times New Roman" w:eastAsia="Times New Roman" w:hAnsi="Times New Roman"/>
              <w:sz w:val="24"/>
              <w:szCs w:val="24"/>
              <w:lang w:eastAsia="es-CO"/>
            </w:rPr>
          </w:pPr>
          <w:r w:rsidRPr="0020113A">
            <w:rPr>
              <w:rFonts w:ascii="Times New Roman" w:eastAsia="Times New Roman" w:hAnsi="Times New Roman"/>
              <w:sz w:val="24"/>
              <w:szCs w:val="24"/>
              <w:lang w:eastAsia="es-CO"/>
            </w:rPr>
            <w:t>Entrega de toda la documentación relacionada con los equipos, manuales de mantenimiento, planes de contingencia, manual de operación, estadísticas de operación, indicadores de gestión, etc.</w:t>
          </w:r>
        </w:p>
        <w:p w14:paraId="40959F8B" w14:textId="77777777" w:rsidR="007803E3" w:rsidRPr="0020113A" w:rsidRDefault="007803E3" w:rsidP="007803E3">
          <w:pPr>
            <w:spacing w:after="0" w:line="240" w:lineRule="auto"/>
            <w:jc w:val="both"/>
            <w:textAlignment w:val="baseline"/>
            <w:rPr>
              <w:rFonts w:ascii="Times New Roman" w:eastAsia="Times New Roman" w:hAnsi="Times New Roman"/>
              <w:sz w:val="24"/>
              <w:szCs w:val="24"/>
              <w:lang w:eastAsia="es-CO"/>
            </w:rPr>
          </w:pPr>
          <w:r w:rsidRPr="0020113A">
            <w:rPr>
              <w:rFonts w:ascii="Times New Roman" w:eastAsia="Times New Roman" w:hAnsi="Times New Roman"/>
              <w:sz w:val="24"/>
              <w:szCs w:val="24"/>
              <w:lang w:eastAsia="es-CO"/>
            </w:rPr>
            <w:t>El plazo del contrato es de 30 años, tiempo después del cual se deberá revertir la infraestructura a la ANI. El plazo máximo para la compensación (PLAZO) es de 72 meses adicionales a los 30 años.</w:t>
          </w:r>
        </w:p>
        <w:p w14:paraId="471679A7" w14:textId="77777777" w:rsidR="007803E3" w:rsidRPr="0020113A" w:rsidRDefault="007803E3" w:rsidP="007803E3">
          <w:pPr>
            <w:spacing w:after="0" w:line="240" w:lineRule="auto"/>
            <w:jc w:val="both"/>
            <w:textAlignment w:val="baseline"/>
            <w:rPr>
              <w:rFonts w:ascii="Times New Roman" w:eastAsia="Times New Roman" w:hAnsi="Times New Roman"/>
              <w:sz w:val="24"/>
              <w:szCs w:val="24"/>
              <w:lang w:eastAsia="es-CO"/>
            </w:rPr>
          </w:pPr>
          <w:r w:rsidRPr="0020113A">
            <w:rPr>
              <w:rFonts w:ascii="Times New Roman" w:eastAsia="Times New Roman" w:hAnsi="Times New Roman"/>
              <w:sz w:val="24"/>
              <w:szCs w:val="24"/>
              <w:lang w:eastAsia="es-CO"/>
            </w:rPr>
            <w:lastRenderedPageBreak/>
            <w:t>De acuerdo a la Sección 11.2 del Contrato de Concesión: “La ANI podrá decretar la Terminación Anticipada y unilateral del Contrato por los causales y en las condiciones previstas en el artículo 17 de la Ley 80 de 1993 o en las normas que lo modifiquen, complementen o substituyan. La terminación unilateral podrá ser decretada por la ANI en cualquiera de las Fases y Etapas de ejecución del presente Contrato”.</w:t>
          </w:r>
        </w:p>
        <w:p w14:paraId="4445D38F" w14:textId="77777777" w:rsidR="007803E3" w:rsidRPr="0020113A" w:rsidRDefault="007803E3" w:rsidP="007803E3">
          <w:pPr>
            <w:spacing w:after="0" w:line="240" w:lineRule="auto"/>
            <w:textAlignment w:val="baseline"/>
            <w:rPr>
              <w:rFonts w:ascii="Times New Roman" w:eastAsia="Times New Roman" w:hAnsi="Times New Roman"/>
              <w:b/>
              <w:sz w:val="24"/>
              <w:szCs w:val="24"/>
              <w:lang w:val="es-MX" w:eastAsia="es-CO"/>
            </w:rPr>
          </w:pPr>
        </w:p>
        <w:p w14:paraId="45D1F143" w14:textId="77777777" w:rsidR="007803E3" w:rsidRPr="0020113A" w:rsidRDefault="007803E3" w:rsidP="007803E3">
          <w:pPr>
            <w:spacing w:after="0" w:line="240" w:lineRule="auto"/>
            <w:textAlignment w:val="baseline"/>
            <w:rPr>
              <w:rFonts w:ascii="Times New Roman" w:eastAsia="Times New Roman" w:hAnsi="Times New Roman"/>
              <w:sz w:val="24"/>
              <w:szCs w:val="24"/>
              <w:lang w:eastAsia="es-CO"/>
            </w:rPr>
          </w:pPr>
          <w:r w:rsidRPr="0020113A">
            <w:rPr>
              <w:rFonts w:ascii="Times New Roman" w:eastAsia="Times New Roman" w:hAnsi="Times New Roman"/>
              <w:b/>
              <w:sz w:val="24"/>
              <w:szCs w:val="24"/>
              <w:lang w:val="es-MX" w:eastAsia="es-CO"/>
            </w:rPr>
            <w:t>Observaciones:</w:t>
          </w:r>
          <w:r w:rsidRPr="0020113A">
            <w:rPr>
              <w:rFonts w:ascii="Times New Roman" w:eastAsia="Times New Roman" w:hAnsi="Times New Roman"/>
              <w:sz w:val="24"/>
              <w:szCs w:val="24"/>
              <w:lang w:eastAsia="es-CO"/>
            </w:rPr>
            <w:t> No aplican</w:t>
          </w:r>
        </w:p>
        <w:p w14:paraId="222168CA" w14:textId="77777777" w:rsidR="007803E3" w:rsidRPr="0020113A" w:rsidRDefault="007803E3" w:rsidP="007803E3">
          <w:pPr>
            <w:spacing w:after="0" w:line="240" w:lineRule="auto"/>
            <w:textAlignment w:val="baseline"/>
            <w:rPr>
              <w:rFonts w:ascii="Times New Roman" w:eastAsia="Times New Roman" w:hAnsi="Times New Roman"/>
              <w:sz w:val="24"/>
              <w:szCs w:val="24"/>
              <w:lang w:eastAsia="es-CO"/>
            </w:rPr>
          </w:pPr>
        </w:p>
        <w:p w14:paraId="76BDD1DD" w14:textId="78A9190C" w:rsidR="007803E3" w:rsidRPr="0020113A" w:rsidRDefault="002B0F09" w:rsidP="00E60BAB">
          <w:pPr>
            <w:pStyle w:val="Prrafodelista"/>
            <w:numPr>
              <w:ilvl w:val="0"/>
              <w:numId w:val="106"/>
            </w:numPr>
            <w:spacing w:after="0" w:line="240" w:lineRule="auto"/>
            <w:textAlignment w:val="baseline"/>
            <w:rPr>
              <w:rFonts w:ascii="Times New Roman" w:eastAsia="Times New Roman" w:hAnsi="Times New Roman"/>
              <w:sz w:val="24"/>
              <w:szCs w:val="24"/>
              <w:lang w:eastAsia="es-CO"/>
            </w:rPr>
          </w:pPr>
          <w:r>
            <w:rPr>
              <w:rFonts w:ascii="Times New Roman" w:eastAsia="Times New Roman" w:hAnsi="Times New Roman"/>
              <w:b/>
              <w:sz w:val="24"/>
              <w:szCs w:val="24"/>
              <w:lang w:val="es-MX" w:eastAsia="es-CO"/>
            </w:rPr>
            <w:t>No hay c</w:t>
          </w:r>
          <w:r w:rsidR="007803E3" w:rsidRPr="0020113A">
            <w:rPr>
              <w:rFonts w:ascii="Times New Roman" w:eastAsia="Times New Roman" w:hAnsi="Times New Roman"/>
              <w:b/>
              <w:sz w:val="24"/>
              <w:szCs w:val="24"/>
              <w:lang w:val="es-MX" w:eastAsia="es-CO"/>
            </w:rPr>
            <w:t>ambios en el acuerdo de concesión que se realicen durante el periodo fiscal</w:t>
          </w:r>
          <w:r w:rsidR="007803E3" w:rsidRPr="0020113A">
            <w:rPr>
              <w:rFonts w:ascii="Times New Roman" w:eastAsia="Times New Roman" w:hAnsi="Times New Roman"/>
              <w:sz w:val="24"/>
              <w:szCs w:val="24"/>
              <w:lang w:eastAsia="es-CO"/>
            </w:rPr>
            <w:t> </w:t>
          </w:r>
        </w:p>
        <w:p w14:paraId="6B290C3C" w14:textId="77777777" w:rsidR="007803E3" w:rsidRPr="0020113A" w:rsidRDefault="007803E3" w:rsidP="007803E3">
          <w:pPr>
            <w:spacing w:after="0" w:line="240" w:lineRule="auto"/>
            <w:jc w:val="center"/>
            <w:textAlignment w:val="baseline"/>
            <w:rPr>
              <w:rFonts w:ascii="Times New Roman" w:eastAsia="Times New Roman" w:hAnsi="Times New Roman"/>
              <w:b/>
              <w:sz w:val="24"/>
              <w:szCs w:val="24"/>
              <w:lang w:val="es-MX" w:eastAsia="es-CO"/>
            </w:rPr>
          </w:pPr>
        </w:p>
        <w:p w14:paraId="42E5AAB5" w14:textId="77777777" w:rsidR="007803E3" w:rsidRPr="0020113A" w:rsidRDefault="007803E3" w:rsidP="007803E3">
          <w:pPr>
            <w:rPr>
              <w:rFonts w:ascii="Times New Roman" w:hAnsi="Times New Roman"/>
              <w:b/>
              <w:sz w:val="24"/>
              <w:szCs w:val="24"/>
              <w:lang w:val="es-MX"/>
            </w:rPr>
          </w:pPr>
        </w:p>
        <w:p w14:paraId="7FD2AE41" w14:textId="77777777"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IP AUTOPISTAS DEL CARIBE CORREDOR DE CARGA CARTAGENA BARRANQUILLA</w:t>
          </w:r>
        </w:p>
        <w:p w14:paraId="5073DEE9" w14:textId="77777777" w:rsidR="007803E3" w:rsidRPr="0020113A" w:rsidRDefault="007803E3" w:rsidP="00E60BAB">
          <w:pPr>
            <w:pStyle w:val="Prrafodelista"/>
            <w:numPr>
              <w:ilvl w:val="0"/>
              <w:numId w:val="107"/>
            </w:numPr>
            <w:spacing w:line="259" w:lineRule="auto"/>
            <w:rPr>
              <w:rFonts w:ascii="Times New Roman" w:hAnsi="Times New Roman"/>
              <w:b/>
              <w:sz w:val="24"/>
              <w:szCs w:val="24"/>
              <w:lang w:val="es-MX"/>
            </w:rPr>
          </w:pPr>
          <w:r w:rsidRPr="0020113A">
            <w:rPr>
              <w:rFonts w:ascii="Times New Roman" w:hAnsi="Times New Roman"/>
              <w:b/>
              <w:sz w:val="24"/>
              <w:szCs w:val="24"/>
              <w:lang w:val="es-MX"/>
            </w:rPr>
            <w:t>Descripción del Acuerdo</w:t>
          </w:r>
        </w:p>
        <w:p w14:paraId="083B6EAF" w14:textId="18B26D35" w:rsidR="007803E3" w:rsidRPr="0020113A" w:rsidRDefault="007803E3" w:rsidP="007803E3">
          <w:pPr>
            <w:spacing w:after="0" w:line="240" w:lineRule="auto"/>
            <w:rPr>
              <w:rFonts w:ascii="Times New Roman" w:hAnsi="Times New Roman"/>
              <w:sz w:val="24"/>
              <w:szCs w:val="24"/>
            </w:rPr>
          </w:pPr>
          <w:r w:rsidRPr="0020113A">
            <w:rPr>
              <w:rFonts w:ascii="Times New Roman" w:hAnsi="Times New Roman"/>
              <w:b/>
              <w:sz w:val="24"/>
              <w:szCs w:val="24"/>
              <w:lang w:val="es-MX"/>
            </w:rPr>
            <w:t>Número del Acuerdo de Concesión:</w:t>
          </w:r>
          <w:r w:rsidRPr="0020113A">
            <w:rPr>
              <w:rFonts w:ascii="Times New Roman" w:hAnsi="Times New Roman"/>
              <w:sz w:val="24"/>
              <w:szCs w:val="24"/>
            </w:rPr>
            <w:t xml:space="preserve"> </w:t>
          </w:r>
          <w:sdt>
            <w:sdtPr>
              <w:rPr>
                <w:rStyle w:val="Estilo3"/>
              </w:rPr>
              <w:id w:val="22600049"/>
              <w:placeholder>
                <w:docPart w:val="E02BDE646334433CB28F1B8B38479DC9"/>
              </w:placeholder>
            </w:sdtPr>
            <w:sdtEndPr>
              <w:rPr>
                <w:rStyle w:val="Fuentedeprrafopredeter"/>
                <w:rFonts w:ascii="Calibri" w:hAnsi="Calibri"/>
                <w:sz w:val="22"/>
              </w:rPr>
            </w:sdtEndPr>
            <w:sdtContent>
              <w:r w:rsidRPr="22C595FA">
                <w:rPr>
                  <w:rStyle w:val="Estilo3"/>
                </w:rPr>
                <w:t>A</w:t>
              </w:r>
              <w:r w:rsidRPr="0020113A">
                <w:rPr>
                  <w:rFonts w:ascii="Times New Roman" w:hAnsi="Times New Roman"/>
                  <w:sz w:val="24"/>
                  <w:szCs w:val="24"/>
                </w:rPr>
                <w:t>cuerdo de concesión: 002 de 2021</w:t>
              </w:r>
            </w:sdtContent>
          </w:sdt>
        </w:p>
        <w:p w14:paraId="2803DE1D" w14:textId="32BCFCC2"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Objeto / Descripción:</w:t>
          </w:r>
          <w:r w:rsidRPr="0020113A">
            <w:rPr>
              <w:rFonts w:ascii="Times New Roman" w:hAnsi="Times New Roman"/>
              <w:sz w:val="24"/>
              <w:szCs w:val="24"/>
            </w:rPr>
            <w:t xml:space="preserve"> </w:t>
          </w:r>
          <w:r w:rsidRPr="0020113A">
            <w:rPr>
              <w:rFonts w:ascii="Times New Roman" w:hAnsi="Times New Roman"/>
              <w:sz w:val="24"/>
              <w:szCs w:val="24"/>
              <w:lang w:val="es-MX"/>
            </w:rPr>
            <w:t>El presente Contrato de concesión bajo un esquema de asociación público</w:t>
          </w:r>
          <w:r w:rsidR="004A2648" w:rsidRPr="009A46BB">
            <w:rPr>
              <w:rFonts w:ascii="Times New Roman" w:hAnsi="Times New Roman"/>
              <w:sz w:val="24"/>
              <w:szCs w:val="24"/>
              <w:lang w:val="es-MX"/>
            </w:rPr>
            <w:t>-</w:t>
          </w:r>
          <w:r w:rsidRPr="0020113A">
            <w:rPr>
              <w:rFonts w:ascii="Times New Roman" w:hAnsi="Times New Roman"/>
              <w:sz w:val="24"/>
              <w:szCs w:val="24"/>
              <w:lang w:val="es-MX"/>
            </w:rPr>
            <w:t>privada de Iniciativa Privada en los términos de la Ley 1508 de 2012, tiene por objeto el otorgamiento de una concesión para que de conformidad con lo previsto en este Contrato, el Concesionario, por su cuenta y riesgo, lleve a cabo el Proyecto. El alcance físico del Proyecto se describe en la Parte Especial y en el Apéndice Técnico 1.</w:t>
          </w:r>
        </w:p>
        <w:p w14:paraId="376CBB74" w14:textId="77777777" w:rsidR="007803E3" w:rsidRPr="0020113A" w:rsidRDefault="007803E3" w:rsidP="22C595FA">
          <w:pPr>
            <w:spacing w:after="0"/>
            <w:jc w:val="both"/>
            <w:rPr>
              <w:rFonts w:ascii="Times New Roman" w:hAnsi="Times New Roman"/>
              <w:sz w:val="24"/>
              <w:szCs w:val="24"/>
              <w:lang w:val="es-MX"/>
            </w:rPr>
          </w:pPr>
          <w:r w:rsidRPr="0020113A">
            <w:rPr>
              <w:rFonts w:ascii="Times New Roman" w:hAnsi="Times New Roman"/>
              <w:sz w:val="24"/>
              <w:szCs w:val="24"/>
              <w:lang w:val="es-MX"/>
            </w:rPr>
            <w:t>Alcance: Elaborar los estudios, diseños, construcción, operación, mantenimiento, gestión social, predial y ambiental del Proyecto de Concesión Vial Autopistas del Caribe Corredor de Carga Cartagena-Barranquilla, de acuerdo con el Apéndice Técnico 1 y demás Apéndices del Contrato</w:t>
          </w:r>
        </w:p>
        <w:p w14:paraId="61601E77" w14:textId="77777777" w:rsidR="007803E3" w:rsidRPr="0020113A" w:rsidRDefault="007803E3" w:rsidP="004A2648">
          <w:pPr>
            <w:spacing w:after="0"/>
            <w:rPr>
              <w:rFonts w:ascii="Times New Roman" w:hAnsi="Times New Roman"/>
              <w:b/>
              <w:sz w:val="24"/>
              <w:szCs w:val="24"/>
              <w:lang w:val="es-MX"/>
            </w:rPr>
          </w:pPr>
          <w:r w:rsidRPr="0020113A">
            <w:rPr>
              <w:rFonts w:ascii="Times New Roman" w:hAnsi="Times New Roman"/>
              <w:b/>
              <w:sz w:val="24"/>
              <w:szCs w:val="24"/>
              <w:lang w:val="es-MX"/>
            </w:rPr>
            <w:t>Valor Inicial:</w:t>
          </w:r>
          <w:r w:rsidRPr="0020113A">
            <w:rPr>
              <w:rFonts w:ascii="Times New Roman" w:hAnsi="Times New Roman"/>
              <w:sz w:val="24"/>
              <w:szCs w:val="24"/>
            </w:rPr>
            <w:t xml:space="preserve"> </w:t>
          </w:r>
          <w:r w:rsidRPr="0020113A">
            <w:rPr>
              <w:rFonts w:ascii="Times New Roman" w:hAnsi="Times New Roman"/>
              <w:sz w:val="24"/>
              <w:szCs w:val="24"/>
              <w:lang w:val="es-MX"/>
            </w:rPr>
            <w:t>$4.314.364.069.773 Pesos Constantes de Diciembre de 2015</w:t>
          </w:r>
        </w:p>
        <w:p w14:paraId="3F7DA674" w14:textId="77777777" w:rsidR="007803E3" w:rsidRPr="0020113A" w:rsidRDefault="007803E3" w:rsidP="004A2648">
          <w:pPr>
            <w:spacing w:after="0"/>
            <w:rPr>
              <w:rFonts w:ascii="Times New Roman" w:hAnsi="Times New Roman"/>
              <w:b/>
              <w:sz w:val="24"/>
              <w:szCs w:val="24"/>
              <w:lang w:val="es-MX"/>
            </w:rPr>
          </w:pPr>
          <w:r w:rsidRPr="0020113A">
            <w:rPr>
              <w:rFonts w:ascii="Times New Roman" w:hAnsi="Times New Roman"/>
              <w:b/>
              <w:sz w:val="24"/>
              <w:szCs w:val="24"/>
              <w:lang w:val="es-MX"/>
            </w:rPr>
            <w:t>Fecha de Inicio:</w:t>
          </w:r>
          <w:r w:rsidRPr="0020113A">
            <w:rPr>
              <w:rFonts w:ascii="Times New Roman" w:hAnsi="Times New Roman"/>
              <w:sz w:val="24"/>
              <w:szCs w:val="24"/>
            </w:rPr>
            <w:t xml:space="preserve"> </w:t>
          </w:r>
          <w:r w:rsidRPr="0020113A">
            <w:rPr>
              <w:rFonts w:ascii="Times New Roman" w:hAnsi="Times New Roman"/>
              <w:sz w:val="24"/>
              <w:szCs w:val="24"/>
              <w:lang w:val="es-MX"/>
            </w:rPr>
            <w:t>20 de octubre de 2021</w:t>
          </w:r>
        </w:p>
        <w:p w14:paraId="52678735" w14:textId="77777777" w:rsidR="007803E3" w:rsidRPr="0020113A" w:rsidRDefault="007803E3" w:rsidP="004A2648">
          <w:pPr>
            <w:spacing w:after="0"/>
            <w:rPr>
              <w:rFonts w:ascii="Times New Roman" w:hAnsi="Times New Roman"/>
              <w:b/>
              <w:sz w:val="24"/>
              <w:szCs w:val="24"/>
              <w:lang w:val="es-MX"/>
            </w:rPr>
          </w:pPr>
          <w:r w:rsidRPr="0020113A">
            <w:rPr>
              <w:rFonts w:ascii="Times New Roman" w:hAnsi="Times New Roman"/>
              <w:b/>
              <w:sz w:val="24"/>
              <w:szCs w:val="24"/>
              <w:lang w:val="es-MX"/>
            </w:rPr>
            <w:t xml:space="preserve">Fecha de Finalización Estimada: </w:t>
          </w:r>
          <w:r w:rsidRPr="0020113A">
            <w:rPr>
              <w:rFonts w:ascii="Times New Roman" w:hAnsi="Times New Roman"/>
              <w:sz w:val="24"/>
              <w:szCs w:val="24"/>
              <w:lang w:val="es-MX"/>
            </w:rPr>
            <w:t>20/10/2056</w:t>
          </w:r>
          <w:r w:rsidRPr="0020113A">
            <w:rPr>
              <w:rFonts w:ascii="Times New Roman" w:hAnsi="Times New Roman"/>
              <w:b/>
              <w:sz w:val="24"/>
              <w:szCs w:val="24"/>
              <w:lang w:val="es-MX"/>
            </w:rPr>
            <w:t xml:space="preserve"> </w:t>
          </w:r>
          <w:r w:rsidRPr="0020113A">
            <w:rPr>
              <w:rFonts w:ascii="Times New Roman" w:hAnsi="Times New Roman"/>
              <w:sz w:val="24"/>
              <w:szCs w:val="24"/>
              <w:lang w:val="es-MX"/>
            </w:rPr>
            <w:t>35 años contados a partir de la fecha de inicio</w:t>
          </w:r>
        </w:p>
        <w:p w14:paraId="68BAD8A3" w14:textId="77777777" w:rsidR="007803E3" w:rsidRPr="0020113A" w:rsidRDefault="007803E3" w:rsidP="004A2648">
          <w:pPr>
            <w:spacing w:after="0"/>
            <w:rPr>
              <w:rFonts w:ascii="Times New Roman" w:hAnsi="Times New Roman"/>
              <w:sz w:val="24"/>
              <w:szCs w:val="24"/>
              <w:lang w:val="es-MX"/>
            </w:rPr>
          </w:pPr>
          <w:r w:rsidRPr="0020113A">
            <w:rPr>
              <w:rFonts w:ascii="Times New Roman" w:hAnsi="Times New Roman"/>
              <w:b/>
              <w:sz w:val="24"/>
              <w:szCs w:val="24"/>
              <w:lang w:val="es-MX"/>
            </w:rPr>
            <w:t>Tipo ID:</w:t>
          </w:r>
          <w:r w:rsidRPr="0020113A">
            <w:rPr>
              <w:rFonts w:ascii="Times New Roman" w:hAnsi="Times New Roman"/>
              <w:sz w:val="24"/>
              <w:szCs w:val="24"/>
            </w:rPr>
            <w:t xml:space="preserve"> </w:t>
          </w:r>
          <w:r w:rsidRPr="0020113A">
            <w:rPr>
              <w:rFonts w:ascii="Times New Roman" w:hAnsi="Times New Roman"/>
              <w:sz w:val="24"/>
              <w:szCs w:val="24"/>
              <w:lang w:val="es-MX"/>
            </w:rPr>
            <w:t>NIT</w:t>
          </w:r>
        </w:p>
        <w:p w14:paraId="6315E3FE" w14:textId="77777777" w:rsidR="007803E3" w:rsidRPr="0020113A" w:rsidRDefault="007803E3" w:rsidP="004A2648">
          <w:pPr>
            <w:spacing w:after="0"/>
            <w:rPr>
              <w:rFonts w:ascii="Times New Roman" w:hAnsi="Times New Roman"/>
              <w:sz w:val="24"/>
              <w:szCs w:val="24"/>
              <w:lang w:val="es-MX"/>
            </w:rPr>
          </w:pPr>
          <w:r w:rsidRPr="0020113A">
            <w:rPr>
              <w:rFonts w:ascii="Times New Roman" w:hAnsi="Times New Roman"/>
              <w:b/>
              <w:sz w:val="24"/>
              <w:szCs w:val="24"/>
              <w:lang w:val="es-MX"/>
            </w:rPr>
            <w:t>Numero ID:</w:t>
          </w:r>
          <w:r w:rsidRPr="0020113A">
            <w:rPr>
              <w:rFonts w:ascii="Times New Roman" w:hAnsi="Times New Roman"/>
              <w:sz w:val="24"/>
              <w:szCs w:val="24"/>
            </w:rPr>
            <w:t xml:space="preserve"> </w:t>
          </w:r>
          <w:r w:rsidRPr="0020113A">
            <w:rPr>
              <w:rFonts w:ascii="Times New Roman" w:hAnsi="Times New Roman"/>
              <w:sz w:val="24"/>
              <w:szCs w:val="24"/>
              <w:lang w:val="es-MX"/>
            </w:rPr>
            <w:t>901.515.245-5</w:t>
          </w:r>
        </w:p>
        <w:p w14:paraId="59D86E00" w14:textId="77777777" w:rsidR="007803E3" w:rsidRPr="0020113A" w:rsidRDefault="007803E3" w:rsidP="004A2648">
          <w:pPr>
            <w:spacing w:after="0"/>
            <w:rPr>
              <w:rFonts w:ascii="Times New Roman" w:hAnsi="Times New Roman"/>
              <w:sz w:val="24"/>
              <w:szCs w:val="24"/>
              <w:lang w:val="es-MX"/>
            </w:rPr>
          </w:pPr>
          <w:r w:rsidRPr="0020113A">
            <w:rPr>
              <w:rFonts w:ascii="Times New Roman" w:hAnsi="Times New Roman"/>
              <w:b/>
              <w:sz w:val="24"/>
              <w:szCs w:val="24"/>
              <w:lang w:val="es-MX"/>
            </w:rPr>
            <w:t>Razón Social del Concesionario:</w:t>
          </w:r>
          <w:r w:rsidRPr="0020113A">
            <w:rPr>
              <w:rFonts w:ascii="Times New Roman" w:hAnsi="Times New Roman"/>
              <w:sz w:val="24"/>
              <w:szCs w:val="24"/>
            </w:rPr>
            <w:t xml:space="preserve"> </w:t>
          </w:r>
          <w:r w:rsidRPr="0020113A">
            <w:rPr>
              <w:rFonts w:ascii="Times New Roman" w:hAnsi="Times New Roman"/>
              <w:sz w:val="24"/>
              <w:szCs w:val="24"/>
              <w:lang w:val="es-MX"/>
            </w:rPr>
            <w:t>Autopistas del Caribe S.A.S.</w:t>
          </w:r>
        </w:p>
        <w:p w14:paraId="5F00D0F6" w14:textId="77777777" w:rsidR="007803E3" w:rsidRPr="0020113A" w:rsidRDefault="007803E3" w:rsidP="004A2648">
          <w:pPr>
            <w:spacing w:after="0"/>
            <w:rPr>
              <w:rFonts w:ascii="Times New Roman" w:hAnsi="Times New Roman"/>
              <w:sz w:val="24"/>
              <w:szCs w:val="24"/>
              <w:lang w:val="es-MX"/>
            </w:rPr>
          </w:pPr>
          <w:r w:rsidRPr="0020113A">
            <w:rPr>
              <w:rFonts w:ascii="Times New Roman" w:hAnsi="Times New Roman"/>
              <w:b/>
              <w:sz w:val="24"/>
              <w:szCs w:val="24"/>
              <w:lang w:val="es-MX"/>
            </w:rPr>
            <w:t>Nombre del Proyecto:</w:t>
          </w:r>
          <w:r w:rsidRPr="0020113A">
            <w:rPr>
              <w:rFonts w:ascii="Times New Roman" w:hAnsi="Times New Roman"/>
              <w:sz w:val="24"/>
              <w:szCs w:val="24"/>
            </w:rPr>
            <w:t xml:space="preserve"> </w:t>
          </w:r>
          <w:r w:rsidRPr="0020113A">
            <w:rPr>
              <w:rFonts w:ascii="Times New Roman" w:hAnsi="Times New Roman"/>
              <w:sz w:val="24"/>
              <w:szCs w:val="24"/>
              <w:lang w:val="es-MX"/>
            </w:rPr>
            <w:t>IP Autopistas del Caribe Corredor de Carga Cartagena – Barranquilla.</w:t>
          </w:r>
        </w:p>
        <w:p w14:paraId="6AE7536F" w14:textId="75C3D8E8" w:rsidR="5BE87AF6" w:rsidRDefault="5BE87AF6" w:rsidP="5BE87AF6">
          <w:pPr>
            <w:spacing w:after="0"/>
            <w:rPr>
              <w:rFonts w:ascii="Times New Roman" w:hAnsi="Times New Roman"/>
              <w:sz w:val="24"/>
              <w:szCs w:val="24"/>
              <w:lang w:val="es-MX"/>
            </w:rPr>
          </w:pPr>
        </w:p>
        <w:p w14:paraId="3D5D5AD7" w14:textId="77777777" w:rsidR="007803E3" w:rsidRPr="0020113A" w:rsidRDefault="007803E3" w:rsidP="00E60BAB">
          <w:pPr>
            <w:pStyle w:val="Prrafodelista"/>
            <w:numPr>
              <w:ilvl w:val="0"/>
              <w:numId w:val="107"/>
            </w:numPr>
            <w:spacing w:line="259" w:lineRule="auto"/>
            <w:rPr>
              <w:rFonts w:ascii="Times New Roman" w:hAnsi="Times New Roman"/>
              <w:b/>
              <w:sz w:val="24"/>
              <w:szCs w:val="24"/>
              <w:lang w:val="es-MX"/>
            </w:rPr>
          </w:pPr>
          <w:r w:rsidRPr="0020113A">
            <w:rPr>
              <w:rFonts w:ascii="Times New Roman" w:hAnsi="Times New Roman"/>
              <w:b/>
              <w:sz w:val="24"/>
              <w:szCs w:val="24"/>
              <w:lang w:val="es-MX"/>
            </w:rPr>
            <w:t>Términos significativos del acuerdo que puedan afectar su valor, el calendario y la certeza de los flujos</w:t>
          </w:r>
        </w:p>
        <w:p w14:paraId="4172AC0B" w14:textId="1D836FAB" w:rsidR="007803E3" w:rsidRPr="0020113A" w:rsidRDefault="007803E3" w:rsidP="007803E3">
          <w:pPr>
            <w:jc w:val="both"/>
            <w:rPr>
              <w:rFonts w:ascii="Times New Roman" w:hAnsi="Times New Roman"/>
              <w:b/>
              <w:sz w:val="24"/>
              <w:szCs w:val="24"/>
              <w:lang w:val="es-MX"/>
            </w:rPr>
          </w:pPr>
          <w:r w:rsidRPr="0020113A">
            <w:rPr>
              <w:rFonts w:ascii="Times New Roman" w:hAnsi="Times New Roman"/>
              <w:b/>
              <w:sz w:val="24"/>
              <w:szCs w:val="24"/>
              <w:lang w:val="es-MX"/>
            </w:rPr>
            <w:t>Términos de Valor:</w:t>
          </w:r>
          <w:r w:rsidRPr="0020113A">
            <w:rPr>
              <w:rFonts w:ascii="Times New Roman" w:hAnsi="Times New Roman"/>
              <w:sz w:val="24"/>
              <w:szCs w:val="24"/>
            </w:rPr>
            <w:t xml:space="preserve"> </w:t>
          </w:r>
          <w:r w:rsidRPr="0020113A">
            <w:rPr>
              <w:rFonts w:ascii="Times New Roman" w:hAnsi="Times New Roman"/>
              <w:sz w:val="24"/>
              <w:szCs w:val="24"/>
              <w:lang w:val="es-MX"/>
            </w:rPr>
            <w:t xml:space="preserve">Por la problemática social presentada en el corredor vial en la vigencia 2023 no fue posible avanzar en los siguientes aspectos: implementación de  la estructura tarifaria del proyecto (de conformidad con el numeral 4.2 del </w:t>
          </w:r>
          <w:r w:rsidR="004A2648" w:rsidRPr="009A46BB">
            <w:rPr>
              <w:rFonts w:ascii="Times New Roman" w:hAnsi="Times New Roman"/>
              <w:sz w:val="24"/>
              <w:szCs w:val="24"/>
              <w:lang w:val="es-MX"/>
            </w:rPr>
            <w:t>capítulo</w:t>
          </w:r>
          <w:r w:rsidRPr="0020113A">
            <w:rPr>
              <w:rFonts w:ascii="Times New Roman" w:hAnsi="Times New Roman"/>
              <w:sz w:val="24"/>
              <w:szCs w:val="24"/>
              <w:lang w:val="es-MX"/>
            </w:rPr>
            <w:t xml:space="preserve"> IV de la parte especial del contrato de Concesión), Asi mismo no fue posible   instalar la nueva estación de peaje Arroyo de Piedra y finalmente no se  </w:t>
          </w:r>
          <w:r w:rsidR="004A2648" w:rsidRPr="009A46BB">
            <w:rPr>
              <w:rFonts w:ascii="Times New Roman" w:hAnsi="Times New Roman"/>
              <w:sz w:val="24"/>
              <w:szCs w:val="24"/>
              <w:lang w:val="es-MX"/>
            </w:rPr>
            <w:t>logró</w:t>
          </w:r>
          <w:r w:rsidRPr="0020113A">
            <w:rPr>
              <w:rFonts w:ascii="Times New Roman" w:hAnsi="Times New Roman"/>
              <w:sz w:val="24"/>
              <w:szCs w:val="24"/>
              <w:lang w:val="es-MX"/>
            </w:rPr>
            <w:t xml:space="preserve"> el cobro de las categorías I y II en el peaje de Turbaco</w:t>
          </w:r>
          <w:r w:rsidRPr="0020113A">
            <w:rPr>
              <w:rFonts w:ascii="Times New Roman" w:hAnsi="Times New Roman"/>
              <w:b/>
              <w:sz w:val="24"/>
              <w:szCs w:val="24"/>
              <w:lang w:val="es-MX"/>
            </w:rPr>
            <w:t>.</w:t>
          </w:r>
        </w:p>
        <w:p w14:paraId="673EF5D7"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lastRenderedPageBreak/>
            <w:t>Términos de Calendario:</w:t>
          </w:r>
          <w:r w:rsidRPr="0020113A">
            <w:rPr>
              <w:rFonts w:ascii="Times New Roman" w:hAnsi="Times New Roman"/>
              <w:sz w:val="24"/>
              <w:szCs w:val="24"/>
            </w:rPr>
            <w:t xml:space="preserve"> </w:t>
          </w:r>
          <w:r w:rsidRPr="0020113A">
            <w:rPr>
              <w:rFonts w:ascii="Times New Roman" w:hAnsi="Times New Roman"/>
              <w:sz w:val="24"/>
              <w:szCs w:val="24"/>
              <w:lang w:val="es-MX"/>
            </w:rPr>
            <w:t>El 09 de enero de 2023 se prorroga el acta de suspensión de la estructura tarifaria del contrato  por tres meses, el  09 de enero de  2023 la entidad expidió el oficio de incremento de tarifas (tarifas Aut el Sol +IPC), el 10 de abril de  2023 no fue posible implementar la estructura tarifaria debido a que la problemática social del proyecto continua y por efectos  del Decreto 050 de  2023, el  24 de febrero de  2023 se suscribió el evento eximente de responsabilidad EER acordándose la implementación del periodo especial de un año desde el 21 de septiembre de 2022 para la realización del cierre financiero ante la problemática social. El 21 de septiembre de 2023 se amplió el periodo especial en 6 meses más.</w:t>
          </w:r>
        </w:p>
        <w:p w14:paraId="756A1CC2" w14:textId="111780A1" w:rsidR="007803E3" w:rsidRPr="0020113A" w:rsidRDefault="007803E3" w:rsidP="007803E3">
          <w:pPr>
            <w:rPr>
              <w:rFonts w:ascii="Times New Roman" w:hAnsi="Times New Roman"/>
              <w:sz w:val="24"/>
              <w:szCs w:val="24"/>
              <w:lang w:val="es-MX"/>
            </w:rPr>
          </w:pPr>
          <w:r w:rsidRPr="0020113A">
            <w:rPr>
              <w:rFonts w:ascii="Times New Roman" w:hAnsi="Times New Roman"/>
              <w:b/>
              <w:sz w:val="24"/>
              <w:szCs w:val="24"/>
              <w:lang w:val="es-MX"/>
            </w:rPr>
            <w:t>Términos de Certeza de Flujos de Efectivo Futuros:</w:t>
          </w:r>
          <w:r w:rsidRPr="0020113A">
            <w:rPr>
              <w:rFonts w:ascii="Times New Roman" w:hAnsi="Times New Roman"/>
              <w:sz w:val="24"/>
              <w:szCs w:val="24"/>
            </w:rPr>
            <w:t xml:space="preserve"> </w:t>
          </w:r>
          <w:r w:rsidRPr="0020113A">
            <w:rPr>
              <w:rFonts w:ascii="Times New Roman" w:hAnsi="Times New Roman"/>
              <w:sz w:val="24"/>
              <w:szCs w:val="24"/>
              <w:lang w:val="es-MX"/>
            </w:rPr>
            <w:t>Con el periodo especial del Evento eximente de responsabilidad se suspendió la realización del segundo giro Equity pactado para los 360 dias  posteriores al acta de inicio</w:t>
          </w:r>
        </w:p>
        <w:p w14:paraId="02DE2EA6" w14:textId="77777777" w:rsidR="007803E3" w:rsidRPr="0020113A" w:rsidRDefault="007803E3" w:rsidP="00E60BAB">
          <w:pPr>
            <w:pStyle w:val="Prrafodelista"/>
            <w:numPr>
              <w:ilvl w:val="0"/>
              <w:numId w:val="107"/>
            </w:numPr>
            <w:spacing w:line="259" w:lineRule="auto"/>
            <w:jc w:val="both"/>
            <w:rPr>
              <w:rFonts w:ascii="Times New Roman" w:hAnsi="Times New Roman"/>
              <w:b/>
              <w:sz w:val="24"/>
              <w:szCs w:val="24"/>
              <w:lang w:val="es-MX"/>
            </w:rPr>
          </w:pPr>
          <w:r w:rsidRPr="0020113A">
            <w:rPr>
              <w:rFonts w:ascii="Times New Roman" w:hAnsi="Times New Roman"/>
              <w:b/>
              <w:sz w:val="24"/>
              <w:szCs w:val="24"/>
              <w:lang w:val="es-MX"/>
            </w:rPr>
            <w:t>Naturaleza y alcance del derecho a utilizar activos especificados, de los aspectos pactados en torno a lo que se espera que el concesionario proporcione en relación con el acuerdo de concesión</w:t>
          </w:r>
        </w:p>
        <w:p w14:paraId="20B046A3" w14:textId="77777777" w:rsidR="007803E3" w:rsidRPr="0020113A" w:rsidRDefault="007803E3" w:rsidP="007803E3">
          <w:pPr>
            <w:jc w:val="center"/>
            <w:rPr>
              <w:rFonts w:ascii="Times New Roman" w:hAnsi="Times New Roman"/>
              <w:b/>
              <w:sz w:val="24"/>
              <w:szCs w:val="24"/>
              <w:lang w:val="es-MX"/>
            </w:rPr>
          </w:pPr>
          <w:r w:rsidRPr="0020113A">
            <w:rPr>
              <w:rFonts w:ascii="Times New Roman" w:hAnsi="Times New Roman"/>
              <w:b/>
              <w:sz w:val="24"/>
              <w:szCs w:val="24"/>
              <w:lang w:val="es-MX"/>
            </w:rPr>
            <w:t>Naturaleza y alcance del derecho de uso de los activos</w:t>
          </w:r>
        </w:p>
        <w:p w14:paraId="259294C4"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Descripción:</w:t>
          </w:r>
          <w:r w:rsidRPr="0020113A">
            <w:rPr>
              <w:rFonts w:ascii="Times New Roman" w:hAnsi="Times New Roman"/>
              <w:sz w:val="24"/>
              <w:szCs w:val="24"/>
            </w:rPr>
            <w:t xml:space="preserve"> </w:t>
          </w:r>
          <w:r w:rsidRPr="0020113A">
            <w:rPr>
              <w:rFonts w:ascii="Times New Roman" w:hAnsi="Times New Roman"/>
              <w:sz w:val="24"/>
              <w:szCs w:val="24"/>
              <w:lang w:val="es-MX"/>
            </w:rPr>
            <w:t xml:space="preserve">Se cederá al Concesionario el "Derecho de Recaudo" sobre la operación de las Estaciones de Peaje en la misma fecha de Entrega de la Infraestructura, salvo por las excepciones establecidas en la Parte Especial. </w:t>
          </w:r>
        </w:p>
        <w:p w14:paraId="0361DA81"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En 2023 el Concesionario prestó los servicios correspondientes a la Operación y Mantenimiento asociados a la Unidad Funcional 0.</w:t>
          </w:r>
        </w:p>
        <w:p w14:paraId="5C083C49" w14:textId="5AE9293B"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Observaciones:</w:t>
          </w:r>
          <w:r w:rsidR="007567FE">
            <w:rPr>
              <w:rFonts w:ascii="Times New Roman" w:hAnsi="Times New Roman"/>
              <w:b/>
              <w:sz w:val="24"/>
              <w:szCs w:val="24"/>
              <w:lang w:val="es-MX"/>
            </w:rPr>
            <w:t xml:space="preserve"> </w:t>
          </w:r>
          <w:r w:rsidR="007567FE" w:rsidRPr="007567FE">
            <w:rPr>
              <w:rFonts w:ascii="Times New Roman" w:hAnsi="Times New Roman"/>
              <w:bCs/>
              <w:sz w:val="24"/>
              <w:szCs w:val="24"/>
              <w:lang w:val="es-MX"/>
            </w:rPr>
            <w:t>NA</w:t>
          </w:r>
        </w:p>
        <w:p w14:paraId="42FDA9EA" w14:textId="77777777" w:rsidR="007803E3" w:rsidRPr="0020113A" w:rsidRDefault="007803E3" w:rsidP="007803E3">
          <w:pPr>
            <w:jc w:val="center"/>
            <w:rPr>
              <w:rFonts w:ascii="Times New Roman" w:hAnsi="Times New Roman"/>
              <w:b/>
              <w:sz w:val="24"/>
              <w:szCs w:val="24"/>
              <w:lang w:val="es-MX"/>
            </w:rPr>
          </w:pPr>
          <w:r w:rsidRPr="0020113A">
            <w:rPr>
              <w:rFonts w:ascii="Times New Roman" w:hAnsi="Times New Roman"/>
              <w:b/>
              <w:sz w:val="24"/>
              <w:szCs w:val="24"/>
              <w:lang w:val="es-MX"/>
            </w:rPr>
            <w:t>Retribución al Concesionario</w:t>
          </w:r>
        </w:p>
        <w:p w14:paraId="186C5758" w14:textId="77777777" w:rsidR="007803E3" w:rsidRPr="0020113A" w:rsidRDefault="007803E3" w:rsidP="007803E3">
          <w:pPr>
            <w:jc w:val="both"/>
            <w:rPr>
              <w:rFonts w:ascii="Times New Roman" w:hAnsi="Times New Roman"/>
              <w:b/>
              <w:sz w:val="24"/>
              <w:szCs w:val="24"/>
              <w:lang w:val="es-MX"/>
            </w:rPr>
          </w:pPr>
          <w:r w:rsidRPr="0020113A">
            <w:rPr>
              <w:rFonts w:ascii="Times New Roman" w:hAnsi="Times New Roman"/>
              <w:b/>
              <w:sz w:val="24"/>
              <w:szCs w:val="24"/>
              <w:lang w:val="es-MX"/>
            </w:rPr>
            <w:t>Descripción:</w:t>
          </w:r>
          <w:r w:rsidRPr="0020113A">
            <w:rPr>
              <w:rFonts w:ascii="Times New Roman" w:hAnsi="Times New Roman"/>
              <w:sz w:val="24"/>
              <w:szCs w:val="24"/>
            </w:rPr>
            <w:t xml:space="preserve"> </w:t>
          </w:r>
          <w:r w:rsidRPr="0020113A">
            <w:rPr>
              <w:rFonts w:ascii="Times New Roman" w:hAnsi="Times New Roman"/>
              <w:sz w:val="24"/>
              <w:szCs w:val="24"/>
              <w:lang w:val="es-MX"/>
            </w:rPr>
            <w:t>El derecho a la Retribución del Concesionario con respecto a cada Unidad Funcional se iniciará a partir de la suscripción de la respectiva Acta de Terminación de Unidad Funcional. Adicionalmente, se retribuye la UF0 de operación y mantenimiento.</w:t>
          </w:r>
        </w:p>
        <w:p w14:paraId="0F5F7C93" w14:textId="77777777" w:rsidR="007803E3" w:rsidRPr="0020113A" w:rsidRDefault="007803E3" w:rsidP="007803E3">
          <w:pPr>
            <w:rPr>
              <w:rFonts w:ascii="Times New Roman" w:hAnsi="Times New Roman"/>
              <w:sz w:val="24"/>
              <w:szCs w:val="24"/>
              <w:lang w:val="es-MX"/>
            </w:rPr>
          </w:pPr>
          <w:r w:rsidRPr="0020113A">
            <w:rPr>
              <w:rFonts w:ascii="Times New Roman" w:hAnsi="Times New Roman"/>
              <w:b/>
              <w:sz w:val="24"/>
              <w:szCs w:val="24"/>
              <w:lang w:val="es-MX"/>
            </w:rPr>
            <w:t>Tasa de Retribución:</w:t>
          </w:r>
          <w:r w:rsidRPr="0020113A">
            <w:rPr>
              <w:rFonts w:ascii="Times New Roman" w:hAnsi="Times New Roman"/>
              <w:sz w:val="24"/>
              <w:szCs w:val="24"/>
            </w:rPr>
            <w:t xml:space="preserve"> </w:t>
          </w:r>
          <w:r w:rsidRPr="0020113A">
            <w:rPr>
              <w:rFonts w:ascii="Times New Roman" w:hAnsi="Times New Roman"/>
              <w:sz w:val="24"/>
              <w:szCs w:val="24"/>
              <w:lang w:val="es-MX"/>
            </w:rPr>
            <w:t>TDI: 0,7146%</w:t>
          </w:r>
        </w:p>
        <w:p w14:paraId="7C5E8D2D" w14:textId="74967331" w:rsidR="007567FE" w:rsidRPr="007567FE" w:rsidRDefault="007567FE" w:rsidP="00E60BAB">
          <w:pPr>
            <w:pStyle w:val="Prrafodelista"/>
            <w:numPr>
              <w:ilvl w:val="0"/>
              <w:numId w:val="107"/>
            </w:numPr>
            <w:spacing w:after="0" w:line="240" w:lineRule="auto"/>
            <w:textAlignment w:val="baseline"/>
            <w:rPr>
              <w:rFonts w:ascii="Times New Roman" w:eastAsia="Times New Roman" w:hAnsi="Times New Roman"/>
              <w:sz w:val="24"/>
              <w:szCs w:val="24"/>
              <w:lang w:eastAsia="es-CO"/>
            </w:rPr>
          </w:pPr>
          <w:r w:rsidRPr="007567FE">
            <w:rPr>
              <w:rFonts w:ascii="Times New Roman" w:eastAsia="Times New Roman" w:hAnsi="Times New Roman"/>
              <w:b/>
              <w:sz w:val="24"/>
              <w:szCs w:val="24"/>
              <w:lang w:val="es-MX" w:eastAsia="es-CO"/>
            </w:rPr>
            <w:t>Derechos a recibir activos especificados al final del acuerdo de concesión</w:t>
          </w:r>
          <w:r w:rsidRPr="007567FE">
            <w:rPr>
              <w:rFonts w:ascii="Times New Roman" w:eastAsia="Times New Roman" w:hAnsi="Times New Roman"/>
              <w:sz w:val="24"/>
              <w:szCs w:val="24"/>
              <w:lang w:eastAsia="es-CO"/>
            </w:rPr>
            <w:t> </w:t>
          </w:r>
        </w:p>
        <w:p w14:paraId="2DD91745" w14:textId="77777777" w:rsidR="007567FE" w:rsidRPr="007567FE" w:rsidRDefault="007567FE" w:rsidP="007803E3">
          <w:pPr>
            <w:rPr>
              <w:rFonts w:ascii="Times New Roman" w:hAnsi="Times New Roman"/>
              <w:sz w:val="24"/>
              <w:szCs w:val="24"/>
            </w:rPr>
          </w:pPr>
        </w:p>
        <w:p w14:paraId="5D3AD051" w14:textId="77777777" w:rsidR="007803E3" w:rsidRPr="0020113A" w:rsidRDefault="007803E3" w:rsidP="007803E3">
          <w:pPr>
            <w:jc w:val="both"/>
            <w:rPr>
              <w:rFonts w:ascii="Times New Roman" w:hAnsi="Times New Roman"/>
              <w:b/>
              <w:sz w:val="24"/>
              <w:szCs w:val="24"/>
              <w:lang w:val="es-MX"/>
            </w:rPr>
          </w:pPr>
          <w:r w:rsidRPr="0020113A">
            <w:rPr>
              <w:rFonts w:ascii="Times New Roman" w:hAnsi="Times New Roman"/>
              <w:b/>
              <w:sz w:val="24"/>
              <w:szCs w:val="24"/>
              <w:lang w:val="es-MX"/>
            </w:rPr>
            <w:t xml:space="preserve">Descripción: </w:t>
          </w:r>
          <w:r w:rsidRPr="0020113A">
            <w:rPr>
              <w:rFonts w:ascii="Times New Roman" w:hAnsi="Times New Roman"/>
              <w:sz w:val="24"/>
              <w:szCs w:val="24"/>
              <w:lang w:val="es-MX"/>
            </w:rPr>
            <w:t>La ANI se hará propietario de las obras que conforman el proyecto al momento de su ejecución, incluyendo las estaciones de peaje, de pesaje y la totalidad de bienes muebles o inmuebles por destinación o adhesión que se encuentren en las mismas</w:t>
          </w:r>
          <w:r w:rsidRPr="0020113A">
            <w:rPr>
              <w:rFonts w:ascii="Times New Roman" w:hAnsi="Times New Roman"/>
              <w:b/>
              <w:sz w:val="24"/>
              <w:szCs w:val="24"/>
              <w:lang w:val="es-MX"/>
            </w:rPr>
            <w:t>.</w:t>
          </w:r>
        </w:p>
        <w:p w14:paraId="3456A71E" w14:textId="77777777" w:rsidR="007803E3" w:rsidRPr="0020113A" w:rsidRDefault="007803E3" w:rsidP="007803E3">
          <w:pPr>
            <w:rPr>
              <w:rFonts w:ascii="Times New Roman" w:hAnsi="Times New Roman"/>
              <w:sz w:val="24"/>
              <w:szCs w:val="24"/>
              <w:lang w:val="es-MX"/>
            </w:rPr>
          </w:pPr>
          <w:r w:rsidRPr="0020113A">
            <w:rPr>
              <w:rFonts w:ascii="Times New Roman" w:hAnsi="Times New Roman"/>
              <w:b/>
              <w:sz w:val="24"/>
              <w:szCs w:val="24"/>
              <w:lang w:val="es-MX"/>
            </w:rPr>
            <w:t xml:space="preserve">Observaciones: </w:t>
          </w:r>
          <w:r w:rsidRPr="0020113A">
            <w:rPr>
              <w:rFonts w:ascii="Times New Roman" w:hAnsi="Times New Roman"/>
              <w:sz w:val="24"/>
              <w:szCs w:val="24"/>
              <w:lang w:val="es-MX"/>
            </w:rPr>
            <w:t>No se tienen Observaciones</w:t>
          </w:r>
        </w:p>
        <w:p w14:paraId="7B55EEC1" w14:textId="182A091B" w:rsidR="007803E3" w:rsidRPr="0020113A" w:rsidRDefault="007567FE" w:rsidP="00E60BAB">
          <w:pPr>
            <w:pStyle w:val="Prrafodelista"/>
            <w:numPr>
              <w:ilvl w:val="0"/>
              <w:numId w:val="107"/>
            </w:numPr>
            <w:spacing w:line="259" w:lineRule="auto"/>
            <w:rPr>
              <w:rFonts w:ascii="Times New Roman" w:hAnsi="Times New Roman"/>
              <w:b/>
              <w:sz w:val="24"/>
              <w:szCs w:val="24"/>
              <w:lang w:val="es-MX"/>
            </w:rPr>
          </w:pPr>
          <w:r>
            <w:rPr>
              <w:rFonts w:ascii="Times New Roman" w:hAnsi="Times New Roman"/>
              <w:b/>
              <w:sz w:val="24"/>
              <w:szCs w:val="24"/>
              <w:lang w:val="es-MX"/>
            </w:rPr>
            <w:t>No hay c</w:t>
          </w:r>
          <w:r w:rsidR="007803E3" w:rsidRPr="0020113A">
            <w:rPr>
              <w:rFonts w:ascii="Times New Roman" w:hAnsi="Times New Roman"/>
              <w:b/>
              <w:sz w:val="24"/>
              <w:szCs w:val="24"/>
              <w:lang w:val="es-MX"/>
            </w:rPr>
            <w:t>ambios en el acuerdo de concesión que se realicen durante el periodo fiscal</w:t>
          </w:r>
        </w:p>
        <w:p w14:paraId="01A50332" w14:textId="77777777" w:rsidR="007803E3" w:rsidRPr="0020113A" w:rsidRDefault="007803E3" w:rsidP="007803E3">
          <w:pPr>
            <w:rPr>
              <w:rFonts w:ascii="Times New Roman" w:hAnsi="Times New Roman"/>
              <w:b/>
              <w:sz w:val="24"/>
              <w:szCs w:val="24"/>
              <w:lang w:val="es-MX"/>
            </w:rPr>
          </w:pPr>
        </w:p>
        <w:p w14:paraId="3278381F" w14:textId="77777777" w:rsidR="007803E3" w:rsidRPr="0020113A" w:rsidRDefault="007803E3" w:rsidP="007803E3">
          <w:pPr>
            <w:rPr>
              <w:rFonts w:ascii="Times New Roman" w:hAnsi="Times New Roman"/>
              <w:b/>
              <w:sz w:val="24"/>
              <w:szCs w:val="24"/>
              <w:lang w:val="es-MX"/>
            </w:rPr>
          </w:pPr>
        </w:p>
        <w:p w14:paraId="490DB9C4" w14:textId="77777777"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BRICEÑO TUNJA SOGAMOSO</w:t>
          </w:r>
        </w:p>
        <w:p w14:paraId="2E9C8040" w14:textId="77777777" w:rsidR="007803E3" w:rsidRPr="0020113A" w:rsidRDefault="007803E3" w:rsidP="00E60BAB">
          <w:pPr>
            <w:pStyle w:val="Prrafodelista"/>
            <w:numPr>
              <w:ilvl w:val="0"/>
              <w:numId w:val="108"/>
            </w:numPr>
            <w:spacing w:line="259" w:lineRule="auto"/>
            <w:rPr>
              <w:rFonts w:ascii="Times New Roman" w:hAnsi="Times New Roman"/>
              <w:b/>
              <w:sz w:val="24"/>
              <w:szCs w:val="24"/>
              <w:lang w:val="es-MX"/>
            </w:rPr>
          </w:pPr>
          <w:r w:rsidRPr="0020113A">
            <w:rPr>
              <w:rFonts w:ascii="Times New Roman" w:hAnsi="Times New Roman"/>
              <w:b/>
              <w:sz w:val="24"/>
              <w:szCs w:val="24"/>
              <w:lang w:val="es-MX"/>
            </w:rPr>
            <w:t>Descripción del Acuerdo</w:t>
          </w:r>
        </w:p>
        <w:p w14:paraId="44F0EE3E" w14:textId="77777777" w:rsidR="007803E3" w:rsidRPr="0020113A" w:rsidRDefault="007803E3" w:rsidP="007803E3">
          <w:pPr>
            <w:rPr>
              <w:rFonts w:ascii="Times New Roman" w:hAnsi="Times New Roman"/>
              <w:sz w:val="24"/>
              <w:szCs w:val="24"/>
              <w:lang w:val="es-MX"/>
            </w:rPr>
          </w:pPr>
          <w:r w:rsidRPr="0020113A">
            <w:rPr>
              <w:rFonts w:ascii="Times New Roman" w:hAnsi="Times New Roman"/>
              <w:b/>
              <w:sz w:val="24"/>
              <w:szCs w:val="24"/>
              <w:lang w:val="es-MX"/>
            </w:rPr>
            <w:t>Número del Acuerdo de Concesión:</w:t>
          </w:r>
          <w:r w:rsidRPr="0020113A">
            <w:rPr>
              <w:rFonts w:ascii="Times New Roman" w:hAnsi="Times New Roman"/>
              <w:sz w:val="24"/>
              <w:szCs w:val="24"/>
            </w:rPr>
            <w:t xml:space="preserve"> </w:t>
          </w:r>
          <w:r w:rsidRPr="0020113A">
            <w:rPr>
              <w:rFonts w:ascii="Times New Roman" w:hAnsi="Times New Roman"/>
              <w:sz w:val="24"/>
              <w:szCs w:val="24"/>
              <w:lang w:val="es-MX"/>
            </w:rPr>
            <w:t>CONTRATO DE CONCESIÓN Nro. 377 DE 2002 CORRESPONDIENTE AL CORREDOR DENOMINADO “BRICEÑO – TUNJA - SOGAMOSO</w:t>
          </w:r>
        </w:p>
        <w:p w14:paraId="69F095F1"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Objeto / Descripción:</w:t>
          </w:r>
          <w:r w:rsidRPr="0020113A">
            <w:rPr>
              <w:rFonts w:ascii="Times New Roman" w:hAnsi="Times New Roman"/>
              <w:sz w:val="24"/>
              <w:szCs w:val="24"/>
            </w:rPr>
            <w:t xml:space="preserve"> </w:t>
          </w:r>
          <w:r w:rsidRPr="0020113A">
            <w:rPr>
              <w:rFonts w:ascii="Times New Roman" w:hAnsi="Times New Roman"/>
              <w:sz w:val="24"/>
              <w:szCs w:val="24"/>
              <w:lang w:val="es-MX"/>
            </w:rPr>
            <w:t>Concesión para que realice a su cuenta y riesgo, los estudios y diseños definitivos, las obras de construcción, rehabilitación y mejoramiento, la operación y el mantenimiento de los trayectos, la prestación de servicios y el uso de los bienes de propiedad de la Agencia Nacional de Infraestructura dados en concesión, para la cabal ejecución del proyecto del Corredor BTS</w:t>
          </w:r>
        </w:p>
        <w:p w14:paraId="4DB51B16" w14:textId="77777777" w:rsidR="007803E3" w:rsidRPr="0020113A" w:rsidRDefault="007803E3" w:rsidP="0A40076B">
          <w:pPr>
            <w:spacing w:after="0"/>
            <w:rPr>
              <w:rFonts w:ascii="Times New Roman" w:hAnsi="Times New Roman"/>
              <w:sz w:val="24"/>
              <w:szCs w:val="24"/>
              <w:lang w:val="es-MX"/>
            </w:rPr>
          </w:pPr>
          <w:r w:rsidRPr="0020113A">
            <w:rPr>
              <w:rFonts w:ascii="Times New Roman" w:hAnsi="Times New Roman"/>
              <w:b/>
              <w:sz w:val="24"/>
              <w:szCs w:val="24"/>
              <w:lang w:val="es-MX"/>
            </w:rPr>
            <w:t>Valor Inicial:</w:t>
          </w:r>
          <w:r w:rsidRPr="0020113A">
            <w:rPr>
              <w:rFonts w:ascii="Times New Roman" w:hAnsi="Times New Roman"/>
              <w:sz w:val="24"/>
              <w:szCs w:val="24"/>
            </w:rPr>
            <w:t xml:space="preserve"> </w:t>
          </w:r>
          <w:r w:rsidRPr="0020113A">
            <w:rPr>
              <w:rFonts w:ascii="Times New Roman" w:hAnsi="Times New Roman"/>
              <w:sz w:val="24"/>
              <w:szCs w:val="24"/>
              <w:lang w:val="es-MX"/>
            </w:rPr>
            <w:t>$238.853.000.000 pesos de julio de 2000</w:t>
          </w:r>
        </w:p>
        <w:p w14:paraId="37DD0158" w14:textId="77777777" w:rsidR="007803E3" w:rsidRPr="0020113A" w:rsidRDefault="007803E3" w:rsidP="0A40076B">
          <w:pPr>
            <w:spacing w:after="0"/>
            <w:rPr>
              <w:rFonts w:ascii="Times New Roman" w:hAnsi="Times New Roman"/>
              <w:b/>
              <w:sz w:val="24"/>
              <w:szCs w:val="24"/>
              <w:lang w:val="es-MX"/>
            </w:rPr>
          </w:pPr>
          <w:r w:rsidRPr="0020113A">
            <w:rPr>
              <w:rFonts w:ascii="Times New Roman" w:hAnsi="Times New Roman"/>
              <w:b/>
              <w:sz w:val="24"/>
              <w:szCs w:val="24"/>
              <w:lang w:val="es-MX"/>
            </w:rPr>
            <w:t>Fecha de Inicio:</w:t>
          </w:r>
          <w:r w:rsidRPr="0020113A">
            <w:rPr>
              <w:rFonts w:ascii="Times New Roman" w:hAnsi="Times New Roman"/>
              <w:sz w:val="24"/>
              <w:szCs w:val="24"/>
            </w:rPr>
            <w:t xml:space="preserve"> </w:t>
          </w:r>
          <w:sdt>
            <w:sdtPr>
              <w:rPr>
                <w:rFonts w:ascii="Times New Roman" w:hAnsi="Times New Roman"/>
                <w:sz w:val="24"/>
                <w:szCs w:val="24"/>
              </w:rPr>
              <w:id w:val="1445262694"/>
              <w:placeholder>
                <w:docPart w:val="5A939AAA443845AAB027CB95E6F33D2C"/>
              </w:placeholder>
              <w:date>
                <w:dateFormat w:val="d/MM/yyyy"/>
                <w:lid w:val="es-CO"/>
                <w:storeMappedDataAs w:val="dateTime"/>
                <w:calendar w:val="gregorian"/>
              </w:date>
            </w:sdtPr>
            <w:sdtContent>
              <w:r w:rsidRPr="0020113A">
                <w:rPr>
                  <w:rFonts w:ascii="Times New Roman" w:hAnsi="Times New Roman"/>
                  <w:sz w:val="24"/>
                  <w:szCs w:val="24"/>
                </w:rPr>
                <w:t>23 de septiembre de 2002</w:t>
              </w:r>
            </w:sdtContent>
          </w:sdt>
        </w:p>
        <w:p w14:paraId="34896B74" w14:textId="77777777" w:rsidR="007803E3" w:rsidRPr="0020113A" w:rsidRDefault="007803E3" w:rsidP="0A40076B">
          <w:pPr>
            <w:spacing w:after="0"/>
            <w:rPr>
              <w:rFonts w:ascii="Times New Roman" w:hAnsi="Times New Roman"/>
              <w:b/>
              <w:sz w:val="24"/>
              <w:szCs w:val="24"/>
              <w:lang w:val="es-MX"/>
            </w:rPr>
          </w:pPr>
          <w:r w:rsidRPr="0020113A">
            <w:rPr>
              <w:rFonts w:ascii="Times New Roman" w:hAnsi="Times New Roman"/>
              <w:b/>
              <w:sz w:val="24"/>
              <w:szCs w:val="24"/>
              <w:lang w:val="es-MX"/>
            </w:rPr>
            <w:t>Fecha de Finalización Estimada:</w:t>
          </w:r>
          <w:r w:rsidRPr="0020113A">
            <w:rPr>
              <w:rFonts w:ascii="Times New Roman" w:hAnsi="Times New Roman"/>
              <w:sz w:val="24"/>
              <w:szCs w:val="24"/>
            </w:rPr>
            <w:t xml:space="preserve"> </w:t>
          </w:r>
          <w:r w:rsidRPr="0020113A">
            <w:rPr>
              <w:rFonts w:ascii="Times New Roman" w:hAnsi="Times New Roman"/>
              <w:sz w:val="24"/>
              <w:szCs w:val="24"/>
              <w:lang w:val="es-MX"/>
            </w:rPr>
            <w:t>Noviembre de 2031</w:t>
          </w:r>
        </w:p>
        <w:p w14:paraId="16EC1CDB" w14:textId="77777777" w:rsidR="007803E3" w:rsidRPr="0020113A" w:rsidRDefault="007803E3" w:rsidP="0A40076B">
          <w:pPr>
            <w:spacing w:after="0"/>
            <w:rPr>
              <w:rFonts w:ascii="Times New Roman" w:hAnsi="Times New Roman"/>
              <w:b/>
              <w:sz w:val="24"/>
              <w:szCs w:val="24"/>
              <w:lang w:val="es-MX"/>
            </w:rPr>
          </w:pPr>
          <w:r w:rsidRPr="0020113A">
            <w:rPr>
              <w:rFonts w:ascii="Times New Roman" w:hAnsi="Times New Roman"/>
              <w:b/>
              <w:sz w:val="24"/>
              <w:szCs w:val="24"/>
              <w:lang w:val="es-MX"/>
            </w:rPr>
            <w:t>Tipo ID:</w:t>
          </w:r>
          <w:r w:rsidRPr="0020113A">
            <w:rPr>
              <w:rFonts w:ascii="Times New Roman" w:hAnsi="Times New Roman"/>
              <w:sz w:val="24"/>
              <w:szCs w:val="24"/>
            </w:rPr>
            <w:t xml:space="preserve"> NIT</w:t>
          </w:r>
        </w:p>
        <w:p w14:paraId="7B1BBD9E" w14:textId="77777777" w:rsidR="007803E3" w:rsidRPr="0020113A" w:rsidRDefault="007803E3" w:rsidP="0A40076B">
          <w:pPr>
            <w:spacing w:after="0"/>
            <w:rPr>
              <w:rFonts w:ascii="Times New Roman" w:hAnsi="Times New Roman"/>
              <w:b/>
              <w:sz w:val="24"/>
              <w:szCs w:val="24"/>
              <w:lang w:val="es-MX"/>
            </w:rPr>
          </w:pPr>
          <w:r w:rsidRPr="0020113A">
            <w:rPr>
              <w:rFonts w:ascii="Times New Roman" w:hAnsi="Times New Roman"/>
              <w:b/>
              <w:sz w:val="24"/>
              <w:szCs w:val="24"/>
              <w:lang w:val="es-MX"/>
            </w:rPr>
            <w:t xml:space="preserve">Numero ID: </w:t>
          </w:r>
          <w:r w:rsidRPr="0020113A">
            <w:rPr>
              <w:rFonts w:ascii="Times New Roman" w:hAnsi="Times New Roman"/>
              <w:sz w:val="24"/>
              <w:szCs w:val="24"/>
              <w:lang w:val="es-MX"/>
            </w:rPr>
            <w:t>901.371.481.9</w:t>
          </w:r>
        </w:p>
        <w:p w14:paraId="72466236" w14:textId="77777777" w:rsidR="007803E3" w:rsidRPr="0020113A" w:rsidRDefault="007803E3" w:rsidP="0A40076B">
          <w:pPr>
            <w:spacing w:after="0"/>
            <w:rPr>
              <w:rFonts w:ascii="Times New Roman" w:hAnsi="Times New Roman"/>
              <w:b/>
              <w:sz w:val="24"/>
              <w:szCs w:val="24"/>
              <w:lang w:val="es-MX"/>
            </w:rPr>
          </w:pPr>
          <w:r w:rsidRPr="0020113A">
            <w:rPr>
              <w:rFonts w:ascii="Times New Roman" w:hAnsi="Times New Roman"/>
              <w:b/>
              <w:sz w:val="24"/>
              <w:szCs w:val="24"/>
              <w:lang w:val="es-MX"/>
            </w:rPr>
            <w:t xml:space="preserve">Razón Social del Concesionario: </w:t>
          </w:r>
          <w:r w:rsidRPr="0020113A">
            <w:rPr>
              <w:rFonts w:ascii="Times New Roman" w:hAnsi="Times New Roman"/>
              <w:sz w:val="24"/>
              <w:szCs w:val="24"/>
              <w:lang w:val="es-MX"/>
            </w:rPr>
            <w:t>BTS Concesionario S.A.S</w:t>
          </w:r>
        </w:p>
        <w:p w14:paraId="1132AFBA" w14:textId="1573C8CE" w:rsidR="007803E3" w:rsidRPr="0020113A" w:rsidRDefault="007803E3" w:rsidP="0A40076B">
          <w:pPr>
            <w:spacing w:after="0"/>
            <w:rPr>
              <w:rFonts w:ascii="Times New Roman" w:hAnsi="Times New Roman"/>
              <w:b/>
              <w:sz w:val="24"/>
              <w:szCs w:val="24"/>
              <w:lang w:val="es-MX"/>
            </w:rPr>
          </w:pPr>
          <w:r w:rsidRPr="0020113A">
            <w:rPr>
              <w:rFonts w:ascii="Times New Roman" w:hAnsi="Times New Roman"/>
              <w:b/>
              <w:sz w:val="24"/>
              <w:szCs w:val="24"/>
              <w:lang w:val="es-MX"/>
            </w:rPr>
            <w:t xml:space="preserve">Nombre del Proyecto: </w:t>
          </w:r>
          <w:r w:rsidRPr="0020113A">
            <w:rPr>
              <w:rFonts w:ascii="Times New Roman" w:hAnsi="Times New Roman"/>
              <w:sz w:val="24"/>
              <w:szCs w:val="24"/>
              <w:lang w:val="es-MX"/>
            </w:rPr>
            <w:t xml:space="preserve">Concesion Briceño - Tunja </w:t>
          </w:r>
          <w:r w:rsidR="28EA9425" w:rsidRPr="0A40076B">
            <w:rPr>
              <w:rFonts w:ascii="Times New Roman" w:hAnsi="Times New Roman"/>
              <w:sz w:val="24"/>
              <w:szCs w:val="24"/>
              <w:lang w:val="es-MX"/>
            </w:rPr>
            <w:t>–</w:t>
          </w:r>
          <w:r w:rsidRPr="0020113A">
            <w:rPr>
              <w:rFonts w:ascii="Times New Roman" w:hAnsi="Times New Roman"/>
              <w:sz w:val="24"/>
              <w:szCs w:val="24"/>
              <w:lang w:val="es-MX"/>
            </w:rPr>
            <w:t xml:space="preserve"> Sogamoso</w:t>
          </w:r>
        </w:p>
        <w:p w14:paraId="44A7BF98" w14:textId="6EFE3AED" w:rsidR="0A40076B" w:rsidRDefault="0A40076B" w:rsidP="0A40076B">
          <w:pPr>
            <w:spacing w:after="0"/>
            <w:rPr>
              <w:rFonts w:ascii="Times New Roman" w:hAnsi="Times New Roman"/>
              <w:sz w:val="24"/>
              <w:szCs w:val="24"/>
              <w:lang w:val="es-MX"/>
            </w:rPr>
          </w:pPr>
        </w:p>
        <w:p w14:paraId="608C1AA8" w14:textId="77777777" w:rsidR="007803E3" w:rsidRPr="0020113A" w:rsidRDefault="007803E3" w:rsidP="00E60BAB">
          <w:pPr>
            <w:pStyle w:val="Prrafodelista"/>
            <w:numPr>
              <w:ilvl w:val="0"/>
              <w:numId w:val="108"/>
            </w:numPr>
            <w:spacing w:line="259" w:lineRule="auto"/>
            <w:rPr>
              <w:rFonts w:ascii="Times New Roman" w:hAnsi="Times New Roman"/>
              <w:b/>
              <w:sz w:val="24"/>
              <w:szCs w:val="24"/>
              <w:lang w:val="es-MX"/>
            </w:rPr>
          </w:pPr>
          <w:r w:rsidRPr="0020113A">
            <w:rPr>
              <w:rFonts w:ascii="Times New Roman" w:hAnsi="Times New Roman"/>
              <w:b/>
              <w:sz w:val="24"/>
              <w:szCs w:val="24"/>
              <w:lang w:val="es-MX"/>
            </w:rPr>
            <w:t>Términos significativos del acuerdo que puedan afectar su valor, el calendario y la certeza de los flujos</w:t>
          </w:r>
        </w:p>
        <w:p w14:paraId="79E77FAF" w14:textId="2AF2569A"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Términos de Valor:</w:t>
          </w:r>
          <w:r w:rsidRPr="0020113A">
            <w:rPr>
              <w:rFonts w:ascii="Times New Roman" w:hAnsi="Times New Roman"/>
              <w:sz w:val="24"/>
              <w:szCs w:val="24"/>
            </w:rPr>
            <w:t xml:space="preserve"> </w:t>
          </w:r>
          <w:r w:rsidRPr="0020113A">
            <w:rPr>
              <w:rFonts w:ascii="Times New Roman" w:hAnsi="Times New Roman"/>
              <w:sz w:val="24"/>
              <w:szCs w:val="24"/>
              <w:lang w:val="es-MX"/>
            </w:rPr>
            <w:t>En la vigencia fiscal 2023 no se presentaron hechos que afectaran el valor del contrato ni sus variables económicas es así que se mantiene el ingreso esperado en $1.8 billones de pesos de diciembre del 2000 y El valor del contrato en $238.853.000.000 de julio de 2000 así mismo El valor de las tarifas de peaje para las Casetas El Roble, Tuta y Albarracin será ajustado el quince (15) de enero de cada año de acuerdo con el incremento del IPC.</w:t>
          </w:r>
        </w:p>
        <w:p w14:paraId="411A68EA"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Términos de Calendario:</w:t>
          </w:r>
          <w:r w:rsidRPr="0020113A">
            <w:rPr>
              <w:rFonts w:ascii="Times New Roman" w:hAnsi="Times New Roman"/>
              <w:sz w:val="24"/>
              <w:szCs w:val="24"/>
            </w:rPr>
            <w:t xml:space="preserve"> </w:t>
          </w:r>
          <w:r w:rsidRPr="0020113A">
            <w:rPr>
              <w:rFonts w:ascii="Times New Roman" w:hAnsi="Times New Roman"/>
              <w:sz w:val="24"/>
              <w:szCs w:val="24"/>
              <w:lang w:val="es-MX"/>
            </w:rPr>
            <w:t>En el periodo fiscal 2023 en el proyecto se suscribieron actas de terminación de Obras entre el concesionario y la interventoría (BTS-VISITUNJA) de los siguientes trayectos ;8,9 y 17 ( 08 de marzo de  2023), y trayecto  10 (03 de mayo de 2023)</w:t>
          </w:r>
        </w:p>
        <w:p w14:paraId="2D37BB17" w14:textId="145B1B89"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Términos de Certeza de Flujos de Efectivo Futuros:</w:t>
          </w:r>
          <w:r w:rsidRPr="0020113A">
            <w:rPr>
              <w:rFonts w:ascii="Times New Roman" w:hAnsi="Times New Roman"/>
              <w:sz w:val="24"/>
              <w:szCs w:val="24"/>
            </w:rPr>
            <w:t xml:space="preserve"> </w:t>
          </w:r>
          <w:r w:rsidRPr="0020113A">
            <w:rPr>
              <w:rFonts w:ascii="Times New Roman" w:hAnsi="Times New Roman"/>
              <w:sz w:val="24"/>
              <w:szCs w:val="24"/>
              <w:lang w:val="es-MX"/>
            </w:rPr>
            <w:t>En la vigencia 2023 se articularon acciones para adelantar el   proceso de reversión de los trayectos 8 a 11,17 y18 al INVIAS en   el marco del otrosi No 21 del 16 de octubre de 2020, una vez se logre la reversión, el concesionario trasladara  $195.000 millones a precios de julio de 2020 del recaudo de peajes del corredor vial  a razon de fondeos mensuales de $1.666.666.666</w:t>
          </w:r>
        </w:p>
        <w:p w14:paraId="4E113247" w14:textId="77777777" w:rsidR="007803E3" w:rsidRPr="0020113A" w:rsidRDefault="007803E3" w:rsidP="007803E3">
          <w:pPr>
            <w:rPr>
              <w:rFonts w:ascii="Times New Roman" w:hAnsi="Times New Roman"/>
              <w:b/>
              <w:sz w:val="24"/>
              <w:szCs w:val="24"/>
              <w:lang w:val="es-MX"/>
            </w:rPr>
          </w:pPr>
        </w:p>
        <w:p w14:paraId="04C2AE3B" w14:textId="77777777" w:rsidR="007803E3" w:rsidRPr="0020113A" w:rsidRDefault="007803E3" w:rsidP="00E60BAB">
          <w:pPr>
            <w:pStyle w:val="Prrafodelista"/>
            <w:numPr>
              <w:ilvl w:val="0"/>
              <w:numId w:val="108"/>
            </w:numPr>
            <w:spacing w:line="259" w:lineRule="auto"/>
            <w:rPr>
              <w:rFonts w:ascii="Times New Roman" w:hAnsi="Times New Roman"/>
              <w:b/>
              <w:sz w:val="24"/>
              <w:szCs w:val="24"/>
              <w:lang w:val="es-MX"/>
            </w:rPr>
          </w:pPr>
          <w:r w:rsidRPr="0020113A">
            <w:rPr>
              <w:rFonts w:ascii="Times New Roman" w:hAnsi="Times New Roman"/>
              <w:b/>
              <w:sz w:val="24"/>
              <w:szCs w:val="24"/>
              <w:lang w:val="es-MX"/>
            </w:rPr>
            <w:lastRenderedPageBreak/>
            <w:t>Naturaleza y alcance del derecho a utilizar activos especificados, de los aspectos pactados en torno a lo que se espera que el concesionario proporcione en relación con el acuerdo de concesión</w:t>
          </w:r>
        </w:p>
        <w:p w14:paraId="3BA2B825" w14:textId="77777777" w:rsidR="007803E3" w:rsidRPr="0020113A" w:rsidRDefault="007803E3" w:rsidP="007803E3">
          <w:pPr>
            <w:jc w:val="center"/>
            <w:rPr>
              <w:rFonts w:ascii="Times New Roman" w:hAnsi="Times New Roman"/>
              <w:b/>
              <w:sz w:val="24"/>
              <w:szCs w:val="24"/>
              <w:lang w:val="es-MX"/>
            </w:rPr>
          </w:pPr>
          <w:r w:rsidRPr="0020113A">
            <w:rPr>
              <w:rFonts w:ascii="Times New Roman" w:hAnsi="Times New Roman"/>
              <w:b/>
              <w:sz w:val="24"/>
              <w:szCs w:val="24"/>
              <w:lang w:val="es-MX"/>
            </w:rPr>
            <w:t>Naturaleza y alcance del derecho de uso de los activos</w:t>
          </w:r>
        </w:p>
        <w:p w14:paraId="6C7F2B72"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Descripción:</w:t>
          </w:r>
          <w:r w:rsidRPr="0020113A">
            <w:rPr>
              <w:rFonts w:ascii="Times New Roman" w:hAnsi="Times New Roman"/>
              <w:sz w:val="24"/>
              <w:szCs w:val="24"/>
            </w:rPr>
            <w:t xml:space="preserve"> </w:t>
          </w:r>
          <w:r w:rsidRPr="0020113A">
            <w:rPr>
              <w:rFonts w:ascii="Times New Roman" w:hAnsi="Times New Roman"/>
              <w:sz w:val="24"/>
              <w:szCs w:val="24"/>
              <w:lang w:val="es-MX"/>
            </w:rPr>
            <w:t>El contrato establece que sin perjuicio del derecho que tiene el concesionario de usar y explotar económicamente los bienes que hacen parte del proyecto, se entenderá que el INVIAS (hoy ANI) se hara propietario de las obras que conforman el proyecto, al momento de su ejecución, e los equipos que conforman el proyecto al momento de su instalación y de la infraestructura de peajes instalada por los terceros concesionarios en razón de los contratos de operación y recaudo de peajes.</w:t>
          </w:r>
        </w:p>
        <w:p w14:paraId="65B2A39B" w14:textId="77777777"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Observaciones:</w:t>
          </w:r>
          <w:r w:rsidRPr="0020113A">
            <w:rPr>
              <w:rFonts w:ascii="Times New Roman" w:hAnsi="Times New Roman"/>
              <w:sz w:val="24"/>
              <w:szCs w:val="24"/>
            </w:rPr>
            <w:t xml:space="preserve"> </w:t>
          </w:r>
          <w:r w:rsidRPr="0020113A">
            <w:rPr>
              <w:rFonts w:ascii="Times New Roman" w:hAnsi="Times New Roman"/>
              <w:sz w:val="24"/>
              <w:szCs w:val="24"/>
              <w:lang w:val="es-MX"/>
            </w:rPr>
            <w:t>No aplica</w:t>
          </w:r>
        </w:p>
        <w:p w14:paraId="113B606E" w14:textId="77777777" w:rsidR="007803E3" w:rsidRPr="0020113A" w:rsidRDefault="007803E3" w:rsidP="007803E3">
          <w:pPr>
            <w:jc w:val="center"/>
            <w:rPr>
              <w:rFonts w:ascii="Times New Roman" w:hAnsi="Times New Roman"/>
              <w:b/>
              <w:sz w:val="24"/>
              <w:szCs w:val="24"/>
              <w:lang w:val="es-MX"/>
            </w:rPr>
          </w:pPr>
          <w:r w:rsidRPr="0020113A">
            <w:rPr>
              <w:rFonts w:ascii="Times New Roman" w:hAnsi="Times New Roman"/>
              <w:b/>
              <w:sz w:val="24"/>
              <w:szCs w:val="24"/>
              <w:lang w:val="es-MX"/>
            </w:rPr>
            <w:t>Retribución al Concesionario</w:t>
          </w:r>
        </w:p>
        <w:p w14:paraId="2DEF1DC0" w14:textId="77777777"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Descripción:</w:t>
          </w:r>
        </w:p>
        <w:p w14:paraId="495514A8" w14:textId="42269ACB"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Tasa de Retribución:</w:t>
          </w:r>
          <w:r w:rsidRPr="0020113A">
            <w:rPr>
              <w:rFonts w:ascii="Times New Roman" w:hAnsi="Times New Roman"/>
              <w:sz w:val="24"/>
              <w:szCs w:val="24"/>
            </w:rPr>
            <w:t xml:space="preserve"> </w:t>
          </w:r>
          <w:r w:rsidRPr="0020113A">
            <w:rPr>
              <w:rFonts w:ascii="Times New Roman" w:hAnsi="Times New Roman"/>
              <w:sz w:val="24"/>
              <w:szCs w:val="24"/>
              <w:lang w:val="es-MX"/>
            </w:rPr>
            <w:t xml:space="preserve">En el periodo fiscal 2023, no se presentaron hechos que modificaran la remuneración, regulada en la </w:t>
          </w:r>
          <w:r w:rsidR="004A2648" w:rsidRPr="009A46BB">
            <w:rPr>
              <w:rFonts w:ascii="Times New Roman" w:hAnsi="Times New Roman"/>
              <w:sz w:val="24"/>
              <w:szCs w:val="24"/>
              <w:lang w:val="es-MX"/>
            </w:rPr>
            <w:t>cláusula</w:t>
          </w:r>
          <w:r w:rsidRPr="0020113A">
            <w:rPr>
              <w:rFonts w:ascii="Times New Roman" w:hAnsi="Times New Roman"/>
              <w:sz w:val="24"/>
              <w:szCs w:val="24"/>
              <w:lang w:val="es-MX"/>
            </w:rPr>
            <w:t xml:space="preserve"> 15 del contrato de concesión que básicamente establece que la remuneración consistirá en el recaudo de peajes, los pagos Estatales y demás compensaciones a favor del concesionario</w:t>
          </w:r>
        </w:p>
        <w:p w14:paraId="60065CED" w14:textId="77777777" w:rsidR="007803E3" w:rsidRPr="0020113A" w:rsidRDefault="007803E3" w:rsidP="00E60BAB">
          <w:pPr>
            <w:pStyle w:val="Prrafodelista"/>
            <w:numPr>
              <w:ilvl w:val="0"/>
              <w:numId w:val="108"/>
            </w:numPr>
            <w:spacing w:line="259" w:lineRule="auto"/>
            <w:rPr>
              <w:rFonts w:ascii="Times New Roman" w:hAnsi="Times New Roman"/>
              <w:b/>
              <w:sz w:val="24"/>
              <w:szCs w:val="24"/>
              <w:lang w:val="es-MX"/>
            </w:rPr>
          </w:pPr>
          <w:r w:rsidRPr="0020113A">
            <w:rPr>
              <w:rFonts w:ascii="Times New Roman" w:hAnsi="Times New Roman"/>
              <w:b/>
              <w:sz w:val="24"/>
              <w:szCs w:val="24"/>
              <w:lang w:val="es-MX"/>
            </w:rPr>
            <w:t>Derechos a recibir activos especificados al final del acuerdo de concesión</w:t>
          </w:r>
        </w:p>
        <w:p w14:paraId="6F27DF83" w14:textId="00FB238C"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Descripción</w:t>
          </w:r>
          <w:r w:rsidRPr="0020113A">
            <w:rPr>
              <w:rFonts w:ascii="Times New Roman" w:hAnsi="Times New Roman"/>
              <w:sz w:val="24"/>
              <w:szCs w:val="24"/>
              <w:lang w:val="es-MX"/>
            </w:rPr>
            <w:t>:</w:t>
          </w:r>
          <w:r w:rsidRPr="0020113A">
            <w:rPr>
              <w:rFonts w:ascii="Times New Roman" w:hAnsi="Times New Roman"/>
              <w:sz w:val="24"/>
              <w:szCs w:val="24"/>
            </w:rPr>
            <w:t xml:space="preserve"> </w:t>
          </w:r>
          <w:r w:rsidRPr="0020113A">
            <w:rPr>
              <w:rFonts w:ascii="Times New Roman" w:hAnsi="Times New Roman"/>
              <w:sz w:val="24"/>
              <w:szCs w:val="24"/>
              <w:lang w:val="es-MX"/>
            </w:rPr>
            <w:t xml:space="preserve">Sin perjuicio del derecho que tiene el CONCESIONARIO -en los términos de este Contrato- de usar y explotar económicamente los bienes que hacen parte del Proyecto y con fundarnento en el </w:t>
          </w:r>
          <w:r w:rsidR="004A2648" w:rsidRPr="009A46BB">
            <w:rPr>
              <w:rFonts w:ascii="Times New Roman" w:hAnsi="Times New Roman"/>
              <w:sz w:val="24"/>
              <w:szCs w:val="24"/>
              <w:lang w:val="es-MX"/>
            </w:rPr>
            <w:t>artículo</w:t>
          </w:r>
          <w:r w:rsidRPr="0020113A">
            <w:rPr>
              <w:rFonts w:ascii="Times New Roman" w:hAnsi="Times New Roman"/>
              <w:sz w:val="24"/>
              <w:szCs w:val="24"/>
              <w:lang w:val="es-MX"/>
            </w:rPr>
            <w:t xml:space="preserve"> 19 de la Ley 80 de 1993, se entenderá que el INVIAS se hara propietario (i) de las obras que conforman el Proyecto, al momento de su ejecución, (ii) de los equipos que conforman el Proyecto, al momento de su instalación, y (iii) de Ia infraestructura de Peajes instalada por los terceros concesionarios en razón de los contratos de operación y recaudo de Peajes celebrados con el INVIAS, al momento de la terminación de los respectivos contratos sin perjuicio de lo establecido para este </w:t>
          </w:r>
          <w:r w:rsidR="004A2648" w:rsidRPr="009A46BB">
            <w:rPr>
              <w:rFonts w:ascii="Times New Roman" w:hAnsi="Times New Roman"/>
              <w:sz w:val="24"/>
              <w:szCs w:val="24"/>
              <w:lang w:val="es-MX"/>
            </w:rPr>
            <w:t>último</w:t>
          </w:r>
          <w:r w:rsidRPr="0020113A">
            <w:rPr>
              <w:rFonts w:ascii="Times New Roman" w:hAnsi="Times New Roman"/>
              <w:sz w:val="24"/>
              <w:szCs w:val="24"/>
              <w:lang w:val="es-MX"/>
            </w:rPr>
            <w:t xml:space="preserve"> evento en la Clausula 16.1 de este Contrato. Por lo tanto, estos bienes de propiedad del INVIAS y, en general, todos los bienes inmuebles que hacen parte del Proyecto, con todas sus anexidades y mejoras, seran revertidos y entregados al INVIAS en condiciones óptimas para el normal funcionamiento y de acuerdo con lo señalado en las Especificaciones Tecnicas de Operacion y Mantenimiento, al momento de la terminación del Contrato, por cualquier causa</w:t>
          </w:r>
          <w:r w:rsidR="004A2648" w:rsidRPr="009A46BB">
            <w:rPr>
              <w:rFonts w:ascii="Times New Roman" w:hAnsi="Times New Roman"/>
              <w:sz w:val="24"/>
              <w:szCs w:val="24"/>
              <w:lang w:val="es-MX"/>
            </w:rPr>
            <w:t>.</w:t>
          </w:r>
        </w:p>
        <w:p w14:paraId="67B6A89D" w14:textId="77777777"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 xml:space="preserve">Observaciones: </w:t>
          </w:r>
          <w:r w:rsidRPr="0020113A">
            <w:rPr>
              <w:rFonts w:ascii="Times New Roman" w:hAnsi="Times New Roman"/>
              <w:sz w:val="24"/>
              <w:szCs w:val="24"/>
              <w:lang w:val="es-MX"/>
            </w:rPr>
            <w:t>no aplica</w:t>
          </w:r>
        </w:p>
        <w:p w14:paraId="656F6AF8" w14:textId="5AB2ED3D" w:rsidR="007803E3" w:rsidRPr="0020113A" w:rsidRDefault="00E5277A" w:rsidP="00E60BAB">
          <w:pPr>
            <w:pStyle w:val="Prrafodelista"/>
            <w:numPr>
              <w:ilvl w:val="0"/>
              <w:numId w:val="108"/>
            </w:numPr>
            <w:spacing w:line="259" w:lineRule="auto"/>
            <w:rPr>
              <w:rFonts w:ascii="Times New Roman" w:hAnsi="Times New Roman"/>
              <w:b/>
              <w:sz w:val="24"/>
              <w:szCs w:val="24"/>
              <w:lang w:val="es-MX"/>
            </w:rPr>
          </w:pPr>
          <w:r>
            <w:rPr>
              <w:rFonts w:ascii="Times New Roman" w:hAnsi="Times New Roman"/>
              <w:b/>
              <w:sz w:val="24"/>
              <w:szCs w:val="24"/>
              <w:lang w:val="es-MX"/>
            </w:rPr>
            <w:t>No hay c</w:t>
          </w:r>
          <w:r w:rsidR="007803E3" w:rsidRPr="0020113A">
            <w:rPr>
              <w:rFonts w:ascii="Times New Roman" w:hAnsi="Times New Roman"/>
              <w:b/>
              <w:sz w:val="24"/>
              <w:szCs w:val="24"/>
              <w:lang w:val="es-MX"/>
            </w:rPr>
            <w:t>ambios en el acuerdo de concesión que se realicen durante el periodo fiscal</w:t>
          </w:r>
        </w:p>
        <w:p w14:paraId="7F1F33D0" w14:textId="77777777" w:rsidR="007803E3" w:rsidRPr="0020113A" w:rsidRDefault="007803E3" w:rsidP="007803E3">
          <w:pPr>
            <w:rPr>
              <w:rFonts w:ascii="Times New Roman" w:hAnsi="Times New Roman"/>
              <w:b/>
              <w:sz w:val="24"/>
              <w:szCs w:val="24"/>
            </w:rPr>
          </w:pPr>
        </w:p>
        <w:p w14:paraId="6B13B7EF" w14:textId="77777777"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RUTA DEL SOL SECTOR 3</w:t>
          </w:r>
        </w:p>
        <w:p w14:paraId="6E8431F3" w14:textId="77777777" w:rsidR="007803E3" w:rsidRPr="0020113A" w:rsidRDefault="007803E3" w:rsidP="00E60BAB">
          <w:pPr>
            <w:pStyle w:val="Prrafodelista"/>
            <w:numPr>
              <w:ilvl w:val="0"/>
              <w:numId w:val="79"/>
            </w:numPr>
            <w:spacing w:line="259" w:lineRule="auto"/>
            <w:rPr>
              <w:rFonts w:ascii="Times New Roman" w:hAnsi="Times New Roman"/>
              <w:b/>
              <w:sz w:val="24"/>
              <w:szCs w:val="24"/>
              <w:lang w:val="es-MX"/>
            </w:rPr>
          </w:pPr>
          <w:r w:rsidRPr="0020113A">
            <w:rPr>
              <w:rFonts w:ascii="Times New Roman" w:hAnsi="Times New Roman"/>
              <w:b/>
              <w:sz w:val="24"/>
              <w:szCs w:val="24"/>
              <w:lang w:val="es-MX"/>
            </w:rPr>
            <w:t>Descripción del Acuerdo</w:t>
          </w:r>
        </w:p>
        <w:p w14:paraId="607D274B" w14:textId="77777777" w:rsidR="007803E3" w:rsidRPr="0020113A" w:rsidRDefault="007803E3" w:rsidP="22C595FA">
          <w:pPr>
            <w:spacing w:after="0"/>
            <w:rPr>
              <w:rFonts w:ascii="Times New Roman" w:hAnsi="Times New Roman"/>
              <w:sz w:val="24"/>
              <w:szCs w:val="24"/>
              <w:lang w:val="es-MX"/>
            </w:rPr>
          </w:pPr>
          <w:r w:rsidRPr="0020113A">
            <w:rPr>
              <w:rFonts w:ascii="Times New Roman" w:hAnsi="Times New Roman"/>
              <w:b/>
              <w:sz w:val="24"/>
              <w:szCs w:val="24"/>
              <w:lang w:val="es-MX"/>
            </w:rPr>
            <w:lastRenderedPageBreak/>
            <w:t>Número del Acuerdo de Concesión:</w:t>
          </w:r>
          <w:r w:rsidRPr="0020113A">
            <w:rPr>
              <w:rFonts w:ascii="Times New Roman" w:hAnsi="Times New Roman"/>
              <w:sz w:val="24"/>
              <w:szCs w:val="24"/>
            </w:rPr>
            <w:t xml:space="preserve"> </w:t>
          </w:r>
          <w:r w:rsidRPr="0020113A">
            <w:rPr>
              <w:rFonts w:ascii="Times New Roman" w:hAnsi="Times New Roman"/>
              <w:sz w:val="24"/>
              <w:szCs w:val="24"/>
              <w:lang w:val="es-MX"/>
            </w:rPr>
            <w:t xml:space="preserve">CONTRATO DE CONCESIÓN </w:t>
          </w:r>
          <w:r w:rsidRPr="0020113A">
            <w:rPr>
              <w:rFonts w:ascii="Times New Roman" w:eastAsia="Times New Roman" w:hAnsi="Times New Roman"/>
              <w:sz w:val="24"/>
              <w:szCs w:val="24"/>
              <w:lang w:val="es-MX"/>
            </w:rPr>
            <w:t>N°007 de 2010</w:t>
          </w:r>
        </w:p>
        <w:p w14:paraId="3C59575E" w14:textId="77777777" w:rsidR="007803E3" w:rsidRPr="0020113A" w:rsidRDefault="007803E3" w:rsidP="22C595FA">
          <w:pPr>
            <w:spacing w:after="0"/>
            <w:jc w:val="both"/>
            <w:rPr>
              <w:rFonts w:ascii="Times New Roman" w:hAnsi="Times New Roman"/>
              <w:sz w:val="24"/>
              <w:szCs w:val="24"/>
              <w:lang w:val="es-MX"/>
            </w:rPr>
          </w:pPr>
          <w:r w:rsidRPr="0020113A">
            <w:rPr>
              <w:rFonts w:ascii="Times New Roman" w:hAnsi="Times New Roman"/>
              <w:b/>
              <w:sz w:val="24"/>
              <w:szCs w:val="24"/>
              <w:lang w:val="es-MX"/>
            </w:rPr>
            <w:t>Objeto / Descripción:</w:t>
          </w:r>
          <w:r w:rsidRPr="0020113A">
            <w:rPr>
              <w:rFonts w:ascii="Times New Roman" w:hAnsi="Times New Roman"/>
              <w:sz w:val="24"/>
              <w:szCs w:val="24"/>
            </w:rPr>
            <w:t xml:space="preserve"> </w:t>
          </w:r>
          <w:r w:rsidRPr="0020113A">
            <w:rPr>
              <w:rFonts w:ascii="Times New Roman" w:eastAsia="Times New Roman" w:hAnsi="Times New Roman"/>
              <w:sz w:val="24"/>
              <w:szCs w:val="24"/>
            </w:rPr>
            <w:t>El otorgamiento de una concesión para que de conformidad con lo previsto en el número 4 del artículo 32 de la Ley 80 de 1993, el concesionario, por su cuenta y riesgo elabore los diseños, financie, obtenga las licencias ambientales y demás permisos, adquiera los predios, rehabilite, construya, mejore, opere y mantenga el sector, que es el trayecto comprendido entre San Roque - Yé de Ciénaga y Valledupar-Carmen de Bolívar, sobre el cual se llevarán a cabo las obligaciones de resultado a cargo del Concesionario.</w:t>
          </w:r>
          <w:r w:rsidRPr="0020113A">
            <w:rPr>
              <w:rFonts w:ascii="Times New Roman" w:hAnsi="Times New Roman"/>
              <w:sz w:val="24"/>
              <w:szCs w:val="24"/>
            </w:rPr>
            <w:t xml:space="preserve"> </w:t>
          </w:r>
        </w:p>
        <w:p w14:paraId="4A7972EF" w14:textId="77777777" w:rsidR="007803E3" w:rsidRPr="0020113A" w:rsidRDefault="007803E3" w:rsidP="22C595FA">
          <w:pPr>
            <w:spacing w:after="0"/>
            <w:jc w:val="both"/>
            <w:rPr>
              <w:rFonts w:ascii="Times New Roman" w:hAnsi="Times New Roman"/>
              <w:sz w:val="24"/>
              <w:szCs w:val="24"/>
            </w:rPr>
          </w:pPr>
          <w:r w:rsidRPr="0020113A">
            <w:rPr>
              <w:rFonts w:ascii="Times New Roman" w:hAnsi="Times New Roman"/>
              <w:b/>
              <w:sz w:val="24"/>
              <w:szCs w:val="24"/>
              <w:lang w:val="es-MX"/>
            </w:rPr>
            <w:t>Valor Inicial:</w:t>
          </w:r>
          <w:r w:rsidRPr="0020113A">
            <w:rPr>
              <w:rFonts w:ascii="Times New Roman" w:hAnsi="Times New Roman"/>
              <w:sz w:val="24"/>
              <w:szCs w:val="24"/>
            </w:rPr>
            <w:t xml:space="preserve"> </w:t>
          </w:r>
          <w:r w:rsidRPr="0020113A">
            <w:rPr>
              <w:rFonts w:ascii="Times New Roman" w:eastAsia="Times New Roman" w:hAnsi="Times New Roman"/>
              <w:sz w:val="24"/>
              <w:szCs w:val="24"/>
            </w:rPr>
            <w:t>$2.079.953.179.851 constantes del 31 de diciembre de 2008.</w:t>
          </w:r>
        </w:p>
        <w:p w14:paraId="303B2719" w14:textId="77777777" w:rsidR="007803E3" w:rsidRPr="0020113A" w:rsidRDefault="007803E3" w:rsidP="0A40076B">
          <w:pPr>
            <w:spacing w:after="0"/>
            <w:rPr>
              <w:rFonts w:ascii="Times New Roman" w:hAnsi="Times New Roman"/>
              <w:sz w:val="24"/>
              <w:szCs w:val="24"/>
            </w:rPr>
          </w:pPr>
          <w:r w:rsidRPr="0020113A">
            <w:rPr>
              <w:rFonts w:ascii="Times New Roman" w:hAnsi="Times New Roman"/>
              <w:b/>
              <w:sz w:val="24"/>
              <w:szCs w:val="24"/>
              <w:lang w:val="es-MX"/>
            </w:rPr>
            <w:t>Fecha de Inicio:</w:t>
          </w:r>
          <w:r w:rsidRPr="0020113A">
            <w:rPr>
              <w:rFonts w:ascii="Times New Roman" w:hAnsi="Times New Roman"/>
              <w:sz w:val="24"/>
              <w:szCs w:val="24"/>
            </w:rPr>
            <w:t xml:space="preserve"> </w:t>
          </w:r>
          <w:sdt>
            <w:sdtPr>
              <w:rPr>
                <w:rFonts w:ascii="Times New Roman" w:hAnsi="Times New Roman"/>
                <w:sz w:val="24"/>
                <w:szCs w:val="24"/>
              </w:rPr>
              <w:id w:val="252367884"/>
              <w:placeholder>
                <w:docPart w:val="41D9146832E74E52B6E7C7D24439CE3F"/>
              </w:placeholder>
            </w:sdtPr>
            <w:sdtContent>
              <w:r w:rsidRPr="0020113A">
                <w:rPr>
                  <w:rFonts w:ascii="Times New Roman" w:hAnsi="Times New Roman"/>
                  <w:sz w:val="24"/>
                  <w:szCs w:val="24"/>
                </w:rPr>
                <w:t>1 de junio de 2011</w:t>
              </w:r>
            </w:sdtContent>
          </w:sdt>
        </w:p>
        <w:p w14:paraId="6857AF9D" w14:textId="77777777" w:rsidR="007803E3" w:rsidRPr="0020113A" w:rsidRDefault="007803E3" w:rsidP="0A40076B">
          <w:pPr>
            <w:spacing w:after="0"/>
            <w:rPr>
              <w:rFonts w:ascii="Times New Roman" w:hAnsi="Times New Roman"/>
              <w:sz w:val="24"/>
              <w:szCs w:val="24"/>
              <w:lang w:val="es-MX"/>
            </w:rPr>
          </w:pPr>
          <w:r w:rsidRPr="0020113A">
            <w:rPr>
              <w:rFonts w:ascii="Times New Roman" w:hAnsi="Times New Roman"/>
              <w:b/>
              <w:sz w:val="24"/>
              <w:szCs w:val="24"/>
              <w:lang w:val="es-MX"/>
            </w:rPr>
            <w:t>Fecha de Finalización Estimada:</w:t>
          </w:r>
          <w:r w:rsidRPr="0020113A">
            <w:rPr>
              <w:rFonts w:ascii="Times New Roman" w:hAnsi="Times New Roman"/>
              <w:sz w:val="24"/>
              <w:szCs w:val="24"/>
            </w:rPr>
            <w:t xml:space="preserve"> 31 de mayo </w:t>
          </w:r>
          <w:r w:rsidRPr="0020113A">
            <w:rPr>
              <w:rFonts w:ascii="Times New Roman" w:hAnsi="Times New Roman"/>
              <w:sz w:val="24"/>
              <w:szCs w:val="24"/>
              <w:lang w:val="es-MX"/>
            </w:rPr>
            <w:t>de 2036</w:t>
          </w:r>
        </w:p>
        <w:p w14:paraId="06F90975" w14:textId="77777777" w:rsidR="007803E3" w:rsidRPr="0020113A" w:rsidRDefault="007803E3" w:rsidP="0A40076B">
          <w:pPr>
            <w:spacing w:after="0"/>
            <w:rPr>
              <w:rFonts w:ascii="Times New Roman" w:hAnsi="Times New Roman"/>
              <w:b/>
              <w:sz w:val="24"/>
              <w:szCs w:val="24"/>
              <w:lang w:val="es-MX"/>
            </w:rPr>
          </w:pPr>
          <w:r w:rsidRPr="0020113A">
            <w:rPr>
              <w:rFonts w:ascii="Times New Roman" w:hAnsi="Times New Roman"/>
              <w:b/>
              <w:sz w:val="24"/>
              <w:szCs w:val="24"/>
              <w:lang w:val="es-MX"/>
            </w:rPr>
            <w:t>Tipo ID:</w:t>
          </w:r>
          <w:r w:rsidRPr="0020113A">
            <w:rPr>
              <w:rFonts w:ascii="Times New Roman" w:hAnsi="Times New Roman"/>
              <w:sz w:val="24"/>
              <w:szCs w:val="24"/>
            </w:rPr>
            <w:t xml:space="preserve"> NIT</w:t>
          </w:r>
        </w:p>
        <w:p w14:paraId="1AEC84CE" w14:textId="77777777" w:rsidR="007803E3" w:rsidRPr="0020113A" w:rsidRDefault="007803E3" w:rsidP="0A40076B">
          <w:pPr>
            <w:spacing w:after="0"/>
            <w:jc w:val="both"/>
            <w:rPr>
              <w:rFonts w:ascii="Times New Roman" w:hAnsi="Times New Roman"/>
              <w:sz w:val="24"/>
              <w:szCs w:val="24"/>
              <w:lang w:val="es-MX"/>
            </w:rPr>
          </w:pPr>
          <w:r w:rsidRPr="0020113A">
            <w:rPr>
              <w:rFonts w:ascii="Times New Roman" w:hAnsi="Times New Roman"/>
              <w:b/>
              <w:sz w:val="24"/>
              <w:szCs w:val="24"/>
              <w:lang w:val="es-MX"/>
            </w:rPr>
            <w:t xml:space="preserve">Numero ID: </w:t>
          </w:r>
          <w:r w:rsidRPr="0020113A">
            <w:rPr>
              <w:rFonts w:ascii="Times New Roman" w:eastAsia="Times New Roman" w:hAnsi="Times New Roman"/>
              <w:sz w:val="24"/>
              <w:szCs w:val="24"/>
              <w:lang w:val="es-MX"/>
            </w:rPr>
            <w:t>900.373.090-2</w:t>
          </w:r>
        </w:p>
        <w:p w14:paraId="7EAF8842" w14:textId="77777777" w:rsidR="007803E3" w:rsidRPr="0020113A" w:rsidRDefault="007803E3" w:rsidP="0A40076B">
          <w:pPr>
            <w:spacing w:after="0"/>
            <w:jc w:val="both"/>
            <w:rPr>
              <w:rFonts w:ascii="Times New Roman" w:hAnsi="Times New Roman"/>
              <w:sz w:val="24"/>
              <w:szCs w:val="24"/>
              <w:lang w:val="es-MX"/>
            </w:rPr>
          </w:pPr>
          <w:r w:rsidRPr="0020113A">
            <w:rPr>
              <w:rFonts w:ascii="Times New Roman" w:hAnsi="Times New Roman"/>
              <w:b/>
              <w:sz w:val="24"/>
              <w:szCs w:val="24"/>
              <w:lang w:val="es-MX"/>
            </w:rPr>
            <w:t xml:space="preserve">Razón Social del Concesionario: </w:t>
          </w:r>
          <w:r w:rsidRPr="0020113A">
            <w:rPr>
              <w:rFonts w:ascii="Times New Roman" w:eastAsia="Times New Roman" w:hAnsi="Times New Roman"/>
              <w:sz w:val="24"/>
              <w:szCs w:val="24"/>
              <w:lang w:val="es-MX"/>
            </w:rPr>
            <w:t>Yuma Concesionaria S.A. en Reorganización</w:t>
          </w:r>
        </w:p>
        <w:p w14:paraId="2F0B3960" w14:textId="441754C2" w:rsidR="007803E3" w:rsidRPr="0020113A" w:rsidRDefault="007803E3" w:rsidP="0A40076B">
          <w:pPr>
            <w:spacing w:after="0"/>
            <w:jc w:val="both"/>
            <w:rPr>
              <w:rFonts w:ascii="Times New Roman" w:hAnsi="Times New Roman"/>
              <w:sz w:val="24"/>
              <w:szCs w:val="24"/>
              <w:lang w:val="es-MX"/>
            </w:rPr>
          </w:pPr>
          <w:r w:rsidRPr="0020113A">
            <w:rPr>
              <w:rFonts w:ascii="Times New Roman" w:hAnsi="Times New Roman"/>
              <w:b/>
              <w:sz w:val="24"/>
              <w:szCs w:val="24"/>
              <w:lang w:val="es-MX"/>
            </w:rPr>
            <w:t xml:space="preserve">Nombre del Proyecto: </w:t>
          </w:r>
          <w:r w:rsidRPr="0020113A">
            <w:rPr>
              <w:rFonts w:ascii="Times New Roman" w:eastAsia="Times New Roman" w:hAnsi="Times New Roman"/>
              <w:sz w:val="24"/>
              <w:szCs w:val="24"/>
              <w:lang w:val="es-MX"/>
            </w:rPr>
            <w:t>Ruta del Sol Sector 3</w:t>
          </w:r>
        </w:p>
        <w:p w14:paraId="4C30D8D6" w14:textId="760DB73E" w:rsidR="0A40076B" w:rsidRDefault="0A40076B" w:rsidP="0A40076B">
          <w:pPr>
            <w:spacing w:after="0"/>
            <w:jc w:val="both"/>
            <w:rPr>
              <w:rFonts w:ascii="Times New Roman" w:eastAsia="Times New Roman" w:hAnsi="Times New Roman"/>
              <w:sz w:val="24"/>
              <w:szCs w:val="24"/>
              <w:lang w:val="es-MX"/>
            </w:rPr>
          </w:pPr>
        </w:p>
        <w:p w14:paraId="5CA4D2D8" w14:textId="77777777" w:rsidR="007803E3" w:rsidRPr="0020113A" w:rsidRDefault="007803E3" w:rsidP="00E60BAB">
          <w:pPr>
            <w:pStyle w:val="Prrafodelista"/>
            <w:numPr>
              <w:ilvl w:val="0"/>
              <w:numId w:val="79"/>
            </w:numPr>
            <w:spacing w:line="259" w:lineRule="auto"/>
            <w:jc w:val="both"/>
            <w:rPr>
              <w:rFonts w:ascii="Times New Roman" w:hAnsi="Times New Roman"/>
              <w:b/>
              <w:sz w:val="24"/>
              <w:szCs w:val="24"/>
              <w:lang w:val="es-MX"/>
            </w:rPr>
          </w:pPr>
          <w:r w:rsidRPr="0020113A">
            <w:rPr>
              <w:rFonts w:ascii="Times New Roman" w:hAnsi="Times New Roman"/>
              <w:b/>
              <w:sz w:val="24"/>
              <w:szCs w:val="24"/>
              <w:lang w:val="es-MX"/>
            </w:rPr>
            <w:t>Términos significativos del acuerdo que puedan afectar su valor, el calendario y la certeza de los flujos</w:t>
          </w:r>
        </w:p>
        <w:p w14:paraId="3A39806F" w14:textId="77777777" w:rsidR="007803E3" w:rsidRPr="0020113A" w:rsidRDefault="007803E3" w:rsidP="007803E3">
          <w:pPr>
            <w:jc w:val="both"/>
            <w:rPr>
              <w:rFonts w:ascii="Times New Roman" w:eastAsia="Times New Roman" w:hAnsi="Times New Roman"/>
              <w:sz w:val="24"/>
              <w:szCs w:val="24"/>
            </w:rPr>
          </w:pPr>
          <w:r w:rsidRPr="0020113A">
            <w:rPr>
              <w:rFonts w:ascii="Times New Roman" w:hAnsi="Times New Roman"/>
              <w:b/>
              <w:sz w:val="24"/>
              <w:szCs w:val="24"/>
              <w:lang w:val="es-MX"/>
            </w:rPr>
            <w:t>Términos de Valor:</w:t>
          </w:r>
          <w:r w:rsidRPr="0020113A">
            <w:rPr>
              <w:rFonts w:ascii="Times New Roman" w:hAnsi="Times New Roman"/>
              <w:sz w:val="24"/>
              <w:szCs w:val="24"/>
            </w:rPr>
            <w:t xml:space="preserve"> </w:t>
          </w:r>
          <w:r w:rsidRPr="0020113A">
            <w:rPr>
              <w:rFonts w:ascii="Times New Roman" w:eastAsia="Times New Roman" w:hAnsi="Times New Roman"/>
              <w:sz w:val="24"/>
              <w:szCs w:val="24"/>
            </w:rPr>
            <w:t xml:space="preserve">Las principales variables, con efectos sobre el flujo de caja son el Recaudo de peaje, los Aportes ANI y el estado de avance del proyecto. Fijación de tarifas: La estructura tarifaria se encuentra en función de un factor de ajuste, el cual es modificado por tanto por las variaciones del Índice de Precios al Consumidor (IPC), como por las variaciones del Tráfico Promedio diario (TPD). Dicho factor de ajuste se utiliza a su vez, para realizar la actualización anual de tarifas de peajes, con los ajustes respectivos por redondeo, Fondo de Seguridad Vial (FSV). Pago de obligaciones: Serán de cargo de la ANI los aportes por Vigencias y serán de cargo del Concesionario todos los pagos y obligaciones derivadas de las actividades de construcción, operación y mantenimiento. Aportes estatales: La contribución de los aportes ANI se efectuará durante la respectiva vigencia fiscal a la cuenta aporte INCO del Patrimonio Autónomo, en pesos corrientes del último día del mes anterior a la fecha del respectivo aporte parcial o total. Existen dos tipos de aporte ANI cada uno asociado con diferentes etapas del contrato: (i) los aportes de la etapa preoperativa que corresponden a los años 2012 al 2016, y (ii) los aportes de la etapa de operación y mantenimiento que corresponden a los aportes de los años 2017 al 2025. Plan de inversión: (informacion de las vigencias) Variables a las que están indexados los pagos: (IPC) Sanciones por incumplimiento: (a) Por no realizar los traslados periódicos a la Subcuenta Interventoría: multa diaria de 20 smmlv. (b) Incumplimiento en la entrega de estudios de detalle o estudios de trazado y diseño geométrico: multa diaria de 40 smmlv. ( c ) Incumplimiento en la fecha de inicio de operación de cada tramo: multa diaria de 200 smmlv por tramo. (d) Incumplimiento de las Especificaciones Técnicas de Construcción: multas diarias de 10 smmlv. ( e ) Incumplimiento de las obligaciones de operación y mantenimiento: Si el Concesionario tiene una reducción del ingreso de Peajes mensual como causa del incumplimiento de los Indicadores en más del 10% por 3 meses consecutivos, se aplica multa ddiaria de 20 smmv. (f) Incumplimiento de la Constitución y Renovación de Garantías: Multa diaria de 40 smmlv. Si el incumplimiento es por el amparo de calidad la multa diaria es de 200 smmlv. (g) Incumplimiento de las </w:t>
          </w:r>
          <w:r w:rsidRPr="0020113A">
            <w:rPr>
              <w:rFonts w:ascii="Times New Roman" w:eastAsia="Times New Roman" w:hAnsi="Times New Roman"/>
              <w:sz w:val="24"/>
              <w:szCs w:val="24"/>
            </w:rPr>
            <w:lastRenderedPageBreak/>
            <w:t>obligaciones ambientales y de gestión social: Multa diaria de 10 smmlv (h) Incumplimiento en la entrega de información al interventor: Multa diaria de 10 smmlv. (i) Incumplimiento en el pago de salarios y prestaciones sociales: Multa diaria de 10 smmlv. (j) Incumplimiento de indicadores: multa diaria de 200 smmlv. (k) Incumplimientos relacionados con la reversión: Multas de conformidad a lo previsto en el Apéndice Técnico.</w:t>
          </w:r>
        </w:p>
        <w:p w14:paraId="4173404B" w14:textId="4BE6F80D" w:rsidR="0A40076B" w:rsidRDefault="0A40076B" w:rsidP="0A40076B">
          <w:pPr>
            <w:jc w:val="both"/>
            <w:rPr>
              <w:rFonts w:ascii="Times New Roman" w:hAnsi="Times New Roman"/>
              <w:b/>
              <w:bCs/>
              <w:sz w:val="24"/>
              <w:szCs w:val="24"/>
              <w:lang w:val="es-MX"/>
            </w:rPr>
          </w:pPr>
        </w:p>
        <w:p w14:paraId="4B01059B" w14:textId="77777777" w:rsidR="007803E3" w:rsidRPr="0020113A" w:rsidRDefault="007803E3" w:rsidP="007803E3">
          <w:pPr>
            <w:jc w:val="both"/>
            <w:rPr>
              <w:rFonts w:ascii="Times New Roman" w:hAnsi="Times New Roman"/>
              <w:sz w:val="24"/>
              <w:szCs w:val="24"/>
            </w:rPr>
          </w:pPr>
          <w:r w:rsidRPr="0020113A">
            <w:rPr>
              <w:rFonts w:ascii="Times New Roman" w:hAnsi="Times New Roman"/>
              <w:b/>
              <w:sz w:val="24"/>
              <w:szCs w:val="24"/>
              <w:lang w:val="es-MX"/>
            </w:rPr>
            <w:t>Términos de Calendario:</w:t>
          </w:r>
          <w:r w:rsidRPr="0020113A">
            <w:rPr>
              <w:rFonts w:ascii="Times New Roman" w:hAnsi="Times New Roman"/>
              <w:sz w:val="24"/>
              <w:szCs w:val="24"/>
            </w:rPr>
            <w:t xml:space="preserve"> </w:t>
          </w:r>
          <w:r w:rsidRPr="0020113A">
            <w:rPr>
              <w:rFonts w:ascii="Times New Roman" w:eastAsia="Times New Roman" w:hAnsi="Times New Roman"/>
              <w:sz w:val="24"/>
              <w:szCs w:val="24"/>
            </w:rPr>
            <w:t>Las tarifas serán reajustadas a más tardar el 20 de enero de cada año. La fecha de inicio de la etapa de construcción: 1 de junio de 2012 Fecha esperada de entrega en servicio: 16 de mayo de 2026</w:t>
          </w:r>
        </w:p>
        <w:p w14:paraId="0140D8A4" w14:textId="77777777" w:rsidR="007803E3" w:rsidRPr="0020113A" w:rsidRDefault="007803E3" w:rsidP="007803E3">
          <w:pPr>
            <w:jc w:val="both"/>
            <w:rPr>
              <w:rFonts w:ascii="Times New Roman" w:eastAsia="Times New Roman" w:hAnsi="Times New Roman"/>
              <w:sz w:val="24"/>
              <w:szCs w:val="24"/>
            </w:rPr>
          </w:pPr>
          <w:r w:rsidRPr="0020113A">
            <w:rPr>
              <w:rFonts w:ascii="Times New Roman" w:hAnsi="Times New Roman"/>
              <w:b/>
              <w:sz w:val="24"/>
              <w:szCs w:val="24"/>
              <w:lang w:val="es-MX"/>
            </w:rPr>
            <w:t>Términos de Certeza de Flujos de Efectivo Futuros:</w:t>
          </w:r>
          <w:r w:rsidRPr="0020113A">
            <w:rPr>
              <w:rFonts w:ascii="Times New Roman" w:hAnsi="Times New Roman"/>
              <w:sz w:val="24"/>
              <w:szCs w:val="24"/>
            </w:rPr>
            <w:t xml:space="preserve"> </w:t>
          </w:r>
          <w:r w:rsidRPr="0020113A">
            <w:rPr>
              <w:rFonts w:ascii="Times New Roman" w:eastAsia="Times New Roman" w:hAnsi="Times New Roman"/>
              <w:sz w:val="24"/>
              <w:szCs w:val="24"/>
            </w:rPr>
            <w:t>El flujo de efectivo puede estar afectado por el incumplimiento de las especificaciones técnicas del contrato. Las situaciones que pueden generar certeza de los flujos de efectivo son: Cumplimiento de metas del plan de obra. Recaudo de peajes. Las situaciones que pueden generar incertidumbre de los flujos de efectivo son: Dificultades para obtener financiación bancaria. Congelación de tarifas de peajes que disminuyen y retrasan el ingreso de los ingresos por peajes.</w:t>
          </w:r>
        </w:p>
        <w:p w14:paraId="2FC3AA13" w14:textId="77777777" w:rsidR="007803E3" w:rsidRPr="0020113A" w:rsidRDefault="007803E3" w:rsidP="00E60BAB">
          <w:pPr>
            <w:pStyle w:val="Prrafodelista"/>
            <w:numPr>
              <w:ilvl w:val="0"/>
              <w:numId w:val="79"/>
            </w:numPr>
            <w:spacing w:line="259" w:lineRule="auto"/>
            <w:rPr>
              <w:rFonts w:ascii="Times New Roman" w:hAnsi="Times New Roman"/>
              <w:b/>
              <w:sz w:val="24"/>
              <w:szCs w:val="24"/>
              <w:lang w:val="es-MX"/>
            </w:rPr>
          </w:pPr>
          <w:r w:rsidRPr="0020113A">
            <w:rPr>
              <w:rFonts w:ascii="Times New Roman" w:hAnsi="Times New Roman"/>
              <w:b/>
              <w:sz w:val="24"/>
              <w:szCs w:val="24"/>
              <w:lang w:val="es-MX"/>
            </w:rPr>
            <w:t>Naturaleza y alcance del derecho a utilizar activos especificados, de los aspectos pactados en torno a lo que se espera que el concesionario proporcione en relación con el acuerdo de concesión</w:t>
          </w:r>
        </w:p>
        <w:p w14:paraId="006071F9" w14:textId="77777777" w:rsidR="007803E3" w:rsidRPr="0020113A" w:rsidRDefault="007803E3" w:rsidP="007803E3">
          <w:pPr>
            <w:jc w:val="center"/>
            <w:rPr>
              <w:rFonts w:ascii="Times New Roman" w:hAnsi="Times New Roman"/>
              <w:b/>
              <w:sz w:val="24"/>
              <w:szCs w:val="24"/>
              <w:lang w:val="es-MX"/>
            </w:rPr>
          </w:pPr>
          <w:r w:rsidRPr="0020113A">
            <w:rPr>
              <w:rFonts w:ascii="Times New Roman" w:hAnsi="Times New Roman"/>
              <w:b/>
              <w:sz w:val="24"/>
              <w:szCs w:val="24"/>
              <w:lang w:val="es-MX"/>
            </w:rPr>
            <w:t>Naturaleza y alcance del derecho de uso de los activos</w:t>
          </w:r>
        </w:p>
        <w:p w14:paraId="0F011EFC" w14:textId="77777777" w:rsidR="007803E3" w:rsidRPr="0020113A" w:rsidRDefault="007803E3" w:rsidP="007803E3">
          <w:pPr>
            <w:jc w:val="both"/>
            <w:rPr>
              <w:rFonts w:ascii="Times New Roman" w:hAnsi="Times New Roman"/>
              <w:sz w:val="24"/>
              <w:szCs w:val="24"/>
            </w:rPr>
          </w:pPr>
          <w:r w:rsidRPr="0020113A">
            <w:rPr>
              <w:rFonts w:ascii="Times New Roman" w:hAnsi="Times New Roman"/>
              <w:b/>
              <w:sz w:val="24"/>
              <w:szCs w:val="24"/>
              <w:lang w:val="es-MX"/>
            </w:rPr>
            <w:t>Descripción:</w:t>
          </w:r>
          <w:r w:rsidRPr="0020113A">
            <w:rPr>
              <w:rFonts w:ascii="Times New Roman" w:hAnsi="Times New Roman"/>
              <w:sz w:val="24"/>
              <w:szCs w:val="24"/>
            </w:rPr>
            <w:t xml:space="preserve"> </w:t>
          </w:r>
          <w:r w:rsidRPr="0020113A">
            <w:rPr>
              <w:rFonts w:ascii="Times New Roman" w:eastAsia="Times New Roman" w:hAnsi="Times New Roman"/>
              <w:sz w:val="24"/>
              <w:szCs w:val="24"/>
            </w:rPr>
            <w:t>La sección 13.05 del contrato de concesión establece que además de los aportes ANI, la ANI cede y entrega al concesionario, durante la vigencia del contrato los peajes y el derecho del recaudo de los mismos. De igual manera se establece los términos de la entrega del Tramo Bosconia-Ye de Ciénaga. Así mismo, se determinan las condiciones para la construcción de las segundas calzadas de los tramos Bosconia-Valledupar y Carmen de Bolívar-Bosconia.</w:t>
          </w:r>
        </w:p>
        <w:p w14:paraId="390E6A40" w14:textId="77777777" w:rsidR="007803E3" w:rsidRPr="0020113A" w:rsidRDefault="007803E3" w:rsidP="007803E3">
          <w:pPr>
            <w:rPr>
              <w:rFonts w:ascii="Times New Roman" w:hAnsi="Times New Roman"/>
              <w:sz w:val="24"/>
              <w:szCs w:val="24"/>
              <w:lang w:val="es-MX"/>
            </w:rPr>
          </w:pPr>
          <w:r w:rsidRPr="0020113A">
            <w:rPr>
              <w:rFonts w:ascii="Times New Roman" w:hAnsi="Times New Roman"/>
              <w:b/>
              <w:sz w:val="24"/>
              <w:szCs w:val="24"/>
              <w:lang w:val="es-MX"/>
            </w:rPr>
            <w:t>Observaciones:</w:t>
          </w:r>
          <w:r w:rsidRPr="0020113A">
            <w:rPr>
              <w:rFonts w:ascii="Times New Roman" w:hAnsi="Times New Roman"/>
              <w:sz w:val="24"/>
              <w:szCs w:val="24"/>
            </w:rPr>
            <w:t xml:space="preserve"> Sin observaciones</w:t>
          </w:r>
        </w:p>
        <w:p w14:paraId="790EE864" w14:textId="77777777" w:rsidR="007803E3" w:rsidRPr="0020113A" w:rsidRDefault="007803E3" w:rsidP="007803E3">
          <w:pPr>
            <w:jc w:val="center"/>
            <w:rPr>
              <w:rFonts w:ascii="Times New Roman" w:hAnsi="Times New Roman"/>
              <w:b/>
              <w:sz w:val="24"/>
              <w:szCs w:val="24"/>
              <w:lang w:val="es-MX"/>
            </w:rPr>
          </w:pPr>
          <w:r w:rsidRPr="0020113A">
            <w:rPr>
              <w:rFonts w:ascii="Times New Roman" w:hAnsi="Times New Roman"/>
              <w:b/>
              <w:sz w:val="24"/>
              <w:szCs w:val="24"/>
              <w:lang w:val="es-MX"/>
            </w:rPr>
            <w:t>Retribución al Concesionario</w:t>
          </w:r>
        </w:p>
        <w:p w14:paraId="4BF63578" w14:textId="77777777" w:rsidR="007803E3" w:rsidRPr="0020113A" w:rsidRDefault="007803E3" w:rsidP="007803E3">
          <w:pPr>
            <w:jc w:val="both"/>
            <w:rPr>
              <w:rFonts w:ascii="Times New Roman" w:eastAsia="Times New Roman" w:hAnsi="Times New Roman"/>
              <w:sz w:val="24"/>
              <w:szCs w:val="24"/>
              <w:lang w:val="es-MX"/>
            </w:rPr>
          </w:pPr>
          <w:r w:rsidRPr="0020113A">
            <w:rPr>
              <w:rFonts w:ascii="Times New Roman" w:hAnsi="Times New Roman"/>
              <w:b/>
              <w:sz w:val="24"/>
              <w:szCs w:val="24"/>
              <w:lang w:val="es-MX"/>
            </w:rPr>
            <w:t xml:space="preserve">Descripción: </w:t>
          </w:r>
          <w:r w:rsidRPr="0020113A">
            <w:rPr>
              <w:rFonts w:ascii="Times New Roman" w:eastAsia="Times New Roman" w:hAnsi="Times New Roman"/>
              <w:sz w:val="24"/>
              <w:szCs w:val="24"/>
              <w:lang w:val="es-MX"/>
            </w:rPr>
            <w:t>La contraprestación del Concesionario consiste en el VPIT que se obtiene con los ingresos correspondientes a los Aportes ANI al Patrimonio Autónomo, siendo éste el valor presente calculado al 31 de diciembre de 2008 y a los ingresos provenientes del recaudo de Peajes y que una vez alcanzado el VPIT implicará la terminación del Contrato, salvo que se venza el plazo máximo que corresponde a veinticinco (25) años.</w:t>
          </w:r>
        </w:p>
        <w:p w14:paraId="3F6E2139" w14:textId="77777777" w:rsidR="007803E3" w:rsidRPr="0020113A" w:rsidRDefault="007803E3" w:rsidP="007803E3">
          <w:pPr>
            <w:jc w:val="both"/>
            <w:rPr>
              <w:rFonts w:ascii="Times New Roman" w:hAnsi="Times New Roman"/>
              <w:sz w:val="24"/>
              <w:szCs w:val="24"/>
            </w:rPr>
          </w:pPr>
          <w:r w:rsidRPr="0020113A">
            <w:rPr>
              <w:rFonts w:ascii="Times New Roman" w:hAnsi="Times New Roman"/>
              <w:b/>
              <w:sz w:val="24"/>
              <w:szCs w:val="24"/>
              <w:lang w:val="es-MX"/>
            </w:rPr>
            <w:t>Tasa de Retribución:</w:t>
          </w:r>
          <w:r w:rsidRPr="0020113A">
            <w:rPr>
              <w:rFonts w:ascii="Times New Roman" w:hAnsi="Times New Roman"/>
              <w:sz w:val="24"/>
              <w:szCs w:val="24"/>
            </w:rPr>
            <w:t xml:space="preserve"> </w:t>
          </w:r>
          <w:r w:rsidRPr="0020113A">
            <w:rPr>
              <w:rFonts w:ascii="Times New Roman" w:eastAsia="Times New Roman" w:hAnsi="Times New Roman"/>
              <w:sz w:val="24"/>
              <w:szCs w:val="24"/>
            </w:rPr>
            <w:t>Tasa de descuento real de los ingresos expresada en términos efectivo mensual y que para efectos de esta valoración será del cero punto seis dos cuatro cero por ciento (0.6240%).</w:t>
          </w:r>
        </w:p>
        <w:p w14:paraId="7EFD5F5F" w14:textId="77777777" w:rsidR="007803E3" w:rsidRPr="0020113A" w:rsidRDefault="007803E3" w:rsidP="00E60BAB">
          <w:pPr>
            <w:pStyle w:val="Prrafodelista"/>
            <w:numPr>
              <w:ilvl w:val="0"/>
              <w:numId w:val="79"/>
            </w:numPr>
            <w:spacing w:line="259" w:lineRule="auto"/>
            <w:rPr>
              <w:rFonts w:ascii="Times New Roman" w:hAnsi="Times New Roman"/>
              <w:b/>
              <w:sz w:val="24"/>
              <w:szCs w:val="24"/>
              <w:lang w:val="es-MX"/>
            </w:rPr>
          </w:pPr>
          <w:r w:rsidRPr="0020113A">
            <w:rPr>
              <w:rFonts w:ascii="Times New Roman" w:hAnsi="Times New Roman"/>
              <w:b/>
              <w:sz w:val="24"/>
              <w:szCs w:val="24"/>
              <w:lang w:val="es-MX"/>
            </w:rPr>
            <w:t>Derechos a recibir activos especificados al final del acuerdo de concesión</w:t>
          </w:r>
        </w:p>
        <w:p w14:paraId="5940AD48" w14:textId="77777777" w:rsidR="007803E3" w:rsidRPr="0020113A" w:rsidRDefault="007803E3" w:rsidP="007803E3">
          <w:pPr>
            <w:jc w:val="both"/>
            <w:rPr>
              <w:rFonts w:ascii="Times New Roman" w:eastAsia="Times New Roman" w:hAnsi="Times New Roman"/>
              <w:sz w:val="24"/>
              <w:szCs w:val="24"/>
            </w:rPr>
          </w:pPr>
          <w:r w:rsidRPr="0020113A">
            <w:rPr>
              <w:rFonts w:ascii="Times New Roman" w:hAnsi="Times New Roman"/>
              <w:b/>
              <w:sz w:val="24"/>
              <w:szCs w:val="24"/>
              <w:lang w:val="es-MX"/>
            </w:rPr>
            <w:lastRenderedPageBreak/>
            <w:t>Descripción</w:t>
          </w:r>
          <w:r w:rsidRPr="0020113A">
            <w:rPr>
              <w:rFonts w:ascii="Times New Roman" w:hAnsi="Times New Roman"/>
              <w:sz w:val="24"/>
              <w:szCs w:val="24"/>
              <w:lang w:val="es-MX"/>
            </w:rPr>
            <w:t>:</w:t>
          </w:r>
          <w:r w:rsidRPr="0020113A">
            <w:rPr>
              <w:rFonts w:ascii="Times New Roman" w:hAnsi="Times New Roman"/>
              <w:sz w:val="24"/>
              <w:szCs w:val="24"/>
            </w:rPr>
            <w:t xml:space="preserve"> </w:t>
          </w:r>
          <w:r w:rsidRPr="0020113A">
            <w:rPr>
              <w:rFonts w:ascii="Times New Roman" w:eastAsia="Times New Roman" w:hAnsi="Times New Roman"/>
              <w:sz w:val="24"/>
              <w:szCs w:val="24"/>
            </w:rPr>
            <w:t>la sección 15.04 del Contrato de Concesión literal c, describe que sin perjuicio de la obligación que le asiste al Concesionario en cuanto a la ejecución de las obras de construcción, rehabilitación y mejoramiento, las obligaciones de operación y las obras de mantenimiento a que se refiere este contrato, se entera que el INCO se hará propietario de las obras que conforman el sector al momento de su ejecución, incluyendo además, pero sin limitarse a las Estaciones de Peaje, junto con la totalidad de los bienes muebles o inmuebles por destinación o adhesión, que se encuentren en las mismas. Por lo tanto estos bienes de propiedad del INCO y en general todos los bienes inmuebles con todas sus anexidades que hacen parte del sector, serán entregados al INCO, según corresponda, en las condiciones señaladas en el apéndice técnico al momento de la terminación de la etapa de operación y mantenimiento y una vez suscrita el acta de recibo final o cuando se termine anticipadamente el contrato por cualquier causa.</w:t>
          </w:r>
        </w:p>
        <w:p w14:paraId="2144810B" w14:textId="77777777" w:rsidR="007803E3" w:rsidRPr="0020113A" w:rsidRDefault="007803E3" w:rsidP="007803E3">
          <w:pPr>
            <w:rPr>
              <w:rFonts w:ascii="Times New Roman" w:hAnsi="Times New Roman"/>
              <w:sz w:val="24"/>
              <w:szCs w:val="24"/>
              <w:lang w:val="es-MX"/>
            </w:rPr>
          </w:pPr>
          <w:r w:rsidRPr="0020113A">
            <w:rPr>
              <w:rFonts w:ascii="Times New Roman" w:hAnsi="Times New Roman"/>
              <w:b/>
              <w:sz w:val="24"/>
              <w:szCs w:val="24"/>
              <w:lang w:val="es-MX"/>
            </w:rPr>
            <w:t xml:space="preserve">Observaciones: </w:t>
          </w:r>
          <w:r w:rsidRPr="0020113A">
            <w:rPr>
              <w:rFonts w:ascii="Times New Roman" w:eastAsia="Times New Roman" w:hAnsi="Times New Roman"/>
              <w:sz w:val="24"/>
              <w:szCs w:val="24"/>
              <w:lang w:val="es-MX"/>
            </w:rPr>
            <w:t>Las especificaciones y detalles se encuentran consagradas en el Apéndice Técnico al Contrato de Concesión.</w:t>
          </w:r>
        </w:p>
        <w:p w14:paraId="5C174D53" w14:textId="77777777" w:rsidR="007803E3" w:rsidRPr="0020113A" w:rsidRDefault="007803E3" w:rsidP="00E60BAB">
          <w:pPr>
            <w:pStyle w:val="Prrafodelista"/>
            <w:numPr>
              <w:ilvl w:val="0"/>
              <w:numId w:val="79"/>
            </w:numPr>
            <w:spacing w:line="259" w:lineRule="auto"/>
            <w:rPr>
              <w:rFonts w:ascii="Times New Roman" w:hAnsi="Times New Roman"/>
              <w:b/>
              <w:sz w:val="24"/>
              <w:szCs w:val="24"/>
              <w:lang w:val="es-MX"/>
            </w:rPr>
          </w:pPr>
          <w:r w:rsidRPr="0020113A">
            <w:rPr>
              <w:rFonts w:ascii="Times New Roman" w:hAnsi="Times New Roman"/>
              <w:b/>
              <w:sz w:val="24"/>
              <w:szCs w:val="24"/>
              <w:lang w:val="es-MX"/>
            </w:rPr>
            <w:t>Cambios en el acuerdo de concesión que se realicen durante el periodo fiscal</w:t>
          </w:r>
        </w:p>
        <w:p w14:paraId="3C835FB5" w14:textId="5E3ABC3B" w:rsidR="007803E3" w:rsidRPr="0020113A" w:rsidRDefault="004E4B64" w:rsidP="007803E3">
          <w:pPr>
            <w:rPr>
              <w:rFonts w:ascii="Times New Roman" w:hAnsi="Times New Roman"/>
              <w:b/>
              <w:sz w:val="24"/>
              <w:szCs w:val="24"/>
              <w:lang w:val="es-MX"/>
            </w:rPr>
          </w:pPr>
          <w:r>
            <w:rPr>
              <w:rFonts w:ascii="Times New Roman" w:hAnsi="Times New Roman"/>
              <w:b/>
              <w:sz w:val="24"/>
              <w:szCs w:val="24"/>
              <w:lang w:val="es-MX"/>
            </w:rPr>
            <w:t>No hay a</w:t>
          </w:r>
          <w:r w:rsidR="007803E3" w:rsidRPr="0020113A">
            <w:rPr>
              <w:rFonts w:ascii="Times New Roman" w:hAnsi="Times New Roman"/>
              <w:b/>
              <w:sz w:val="24"/>
              <w:szCs w:val="24"/>
              <w:lang w:val="es-MX"/>
            </w:rPr>
            <w:t xml:space="preserve">diciones o </w:t>
          </w:r>
          <w:r>
            <w:rPr>
              <w:rFonts w:ascii="Times New Roman" w:hAnsi="Times New Roman"/>
              <w:b/>
              <w:sz w:val="24"/>
              <w:szCs w:val="24"/>
              <w:lang w:val="es-MX"/>
            </w:rPr>
            <w:t>m</w:t>
          </w:r>
          <w:r w:rsidR="007803E3" w:rsidRPr="0020113A">
            <w:rPr>
              <w:rFonts w:ascii="Times New Roman" w:hAnsi="Times New Roman"/>
              <w:b/>
              <w:sz w:val="24"/>
              <w:szCs w:val="24"/>
              <w:lang w:val="es-MX"/>
            </w:rPr>
            <w:t xml:space="preserve">odificaciones en </w:t>
          </w:r>
          <w:r>
            <w:rPr>
              <w:rFonts w:ascii="Times New Roman" w:hAnsi="Times New Roman"/>
              <w:b/>
              <w:sz w:val="24"/>
              <w:szCs w:val="24"/>
              <w:lang w:val="es-MX"/>
            </w:rPr>
            <w:t>t</w:t>
          </w:r>
          <w:r w:rsidR="007803E3" w:rsidRPr="0020113A">
            <w:rPr>
              <w:rFonts w:ascii="Times New Roman" w:hAnsi="Times New Roman"/>
              <w:b/>
              <w:sz w:val="24"/>
              <w:szCs w:val="24"/>
              <w:lang w:val="es-MX"/>
            </w:rPr>
            <w:t>iempo</w:t>
          </w:r>
        </w:p>
        <w:p w14:paraId="16FB8284" w14:textId="77777777" w:rsidR="007803E3" w:rsidRPr="0020113A" w:rsidRDefault="007803E3" w:rsidP="007803E3">
          <w:pPr>
            <w:jc w:val="center"/>
            <w:rPr>
              <w:rFonts w:ascii="Times New Roman" w:hAnsi="Times New Roman"/>
              <w:b/>
              <w:sz w:val="24"/>
              <w:szCs w:val="24"/>
              <w:lang w:val="es-MX"/>
            </w:rPr>
          </w:pPr>
          <w:r w:rsidRPr="0020113A">
            <w:rPr>
              <w:rFonts w:ascii="Times New Roman" w:hAnsi="Times New Roman"/>
              <w:b/>
              <w:sz w:val="24"/>
              <w:szCs w:val="24"/>
              <w:lang w:val="es-MX"/>
            </w:rPr>
            <w:t>Adiciones o Modificaciones en Valor</w:t>
          </w:r>
        </w:p>
        <w:tbl>
          <w:tblPr>
            <w:tblStyle w:val="Tablaconcuadrcula"/>
            <w:tblW w:w="0" w:type="auto"/>
            <w:tblLook w:val="04A0" w:firstRow="1" w:lastRow="0" w:firstColumn="1" w:lastColumn="0" w:noHBand="0" w:noVBand="1"/>
          </w:tblPr>
          <w:tblGrid>
            <w:gridCol w:w="3103"/>
            <w:gridCol w:w="2467"/>
            <w:gridCol w:w="3258"/>
          </w:tblGrid>
          <w:tr w:rsidR="007803E3" w:rsidRPr="0020113A" w14:paraId="3D68A4F2" w14:textId="77777777" w:rsidTr="006D6444">
            <w:trPr>
              <w:trHeight w:val="300"/>
            </w:trPr>
            <w:tc>
              <w:tcPr>
                <w:tcW w:w="3103" w:type="dxa"/>
                <w:shd w:val="clear" w:color="auto" w:fill="auto"/>
                <w:vAlign w:val="center"/>
              </w:tcPr>
              <w:p w14:paraId="49CABAAC" w14:textId="77777777" w:rsidR="007803E3" w:rsidRPr="004E4B64" w:rsidRDefault="007803E3" w:rsidP="006D6444">
                <w:pPr>
                  <w:jc w:val="center"/>
                  <w:rPr>
                    <w:rFonts w:ascii="Times New Roman" w:hAnsi="Times New Roman"/>
                    <w:b/>
                    <w:sz w:val="16"/>
                    <w:szCs w:val="16"/>
                  </w:rPr>
                </w:pPr>
                <w:r w:rsidRPr="004E4B64">
                  <w:rPr>
                    <w:rFonts w:ascii="Times New Roman" w:hAnsi="Times New Roman"/>
                    <w:b/>
                    <w:sz w:val="16"/>
                    <w:szCs w:val="16"/>
                  </w:rPr>
                  <w:t>Valor de la adición o modificación</w:t>
                </w:r>
              </w:p>
            </w:tc>
            <w:tc>
              <w:tcPr>
                <w:tcW w:w="2467" w:type="dxa"/>
                <w:shd w:val="clear" w:color="auto" w:fill="auto"/>
                <w:vAlign w:val="center"/>
              </w:tcPr>
              <w:p w14:paraId="01684596" w14:textId="77777777" w:rsidR="007803E3" w:rsidRPr="004E4B64" w:rsidRDefault="007803E3" w:rsidP="006D6444">
                <w:pPr>
                  <w:jc w:val="center"/>
                  <w:rPr>
                    <w:rFonts w:ascii="Times New Roman" w:hAnsi="Times New Roman"/>
                    <w:b/>
                    <w:sz w:val="16"/>
                    <w:szCs w:val="16"/>
                  </w:rPr>
                </w:pPr>
                <w:r w:rsidRPr="004E4B64">
                  <w:rPr>
                    <w:rFonts w:ascii="Times New Roman" w:hAnsi="Times New Roman"/>
                    <w:b/>
                    <w:sz w:val="16"/>
                    <w:szCs w:val="16"/>
                  </w:rPr>
                  <w:t>Nuevo valor del acuerdo</w:t>
                </w:r>
              </w:p>
            </w:tc>
            <w:tc>
              <w:tcPr>
                <w:tcW w:w="3258" w:type="dxa"/>
                <w:shd w:val="clear" w:color="auto" w:fill="auto"/>
                <w:vAlign w:val="center"/>
              </w:tcPr>
              <w:p w14:paraId="18422A97" w14:textId="77777777" w:rsidR="007803E3" w:rsidRPr="004E4B64" w:rsidRDefault="007803E3" w:rsidP="006D6444">
                <w:pPr>
                  <w:jc w:val="center"/>
                  <w:rPr>
                    <w:rFonts w:ascii="Times New Roman" w:hAnsi="Times New Roman"/>
                    <w:b/>
                    <w:sz w:val="16"/>
                    <w:szCs w:val="16"/>
                  </w:rPr>
                </w:pPr>
                <w:r w:rsidRPr="004E4B64">
                  <w:rPr>
                    <w:rFonts w:ascii="Times New Roman" w:hAnsi="Times New Roman"/>
                    <w:b/>
                    <w:sz w:val="16"/>
                    <w:szCs w:val="16"/>
                  </w:rPr>
                  <w:t>Observaciones</w:t>
                </w:r>
              </w:p>
            </w:tc>
          </w:tr>
          <w:tr w:rsidR="007803E3" w:rsidRPr="0020113A" w14:paraId="423C961E" w14:textId="77777777" w:rsidTr="006D6444">
            <w:trPr>
              <w:trHeight w:val="300"/>
            </w:trPr>
            <w:tc>
              <w:tcPr>
                <w:tcW w:w="3103" w:type="dxa"/>
                <w:shd w:val="clear" w:color="auto" w:fill="auto"/>
                <w:vAlign w:val="center"/>
              </w:tcPr>
              <w:p w14:paraId="728C9ED5" w14:textId="77777777" w:rsidR="007803E3" w:rsidRPr="004E4B64" w:rsidRDefault="007803E3" w:rsidP="006D6444">
                <w:pPr>
                  <w:pStyle w:val="Prrafodelista"/>
                  <w:rPr>
                    <w:rFonts w:ascii="Times New Roman" w:hAnsi="Times New Roman"/>
                    <w:sz w:val="16"/>
                    <w:szCs w:val="16"/>
                  </w:rPr>
                </w:pPr>
                <w:r w:rsidRPr="004E4B64">
                  <w:rPr>
                    <w:rFonts w:ascii="Times New Roman" w:eastAsia="Times New Roman" w:hAnsi="Times New Roman"/>
                    <w:sz w:val="16"/>
                    <w:szCs w:val="16"/>
                  </w:rPr>
                  <w:t>$5.788.240.106</w:t>
                </w:r>
              </w:p>
            </w:tc>
            <w:tc>
              <w:tcPr>
                <w:tcW w:w="2467" w:type="dxa"/>
                <w:shd w:val="clear" w:color="auto" w:fill="auto"/>
                <w:vAlign w:val="center"/>
              </w:tcPr>
              <w:p w14:paraId="17B63B7B" w14:textId="77777777" w:rsidR="007803E3" w:rsidRPr="004E4B64" w:rsidRDefault="007803E3" w:rsidP="006D6444">
                <w:pPr>
                  <w:pStyle w:val="Prrafodelista"/>
                  <w:ind w:left="0"/>
                  <w:rPr>
                    <w:rFonts w:ascii="Times New Roman" w:hAnsi="Times New Roman"/>
                    <w:sz w:val="16"/>
                    <w:szCs w:val="16"/>
                  </w:rPr>
                </w:pPr>
                <w:r w:rsidRPr="004E4B64">
                  <w:rPr>
                    <w:rFonts w:ascii="Times New Roman" w:eastAsia="Times New Roman" w:hAnsi="Times New Roman"/>
                    <w:sz w:val="16"/>
                    <w:szCs w:val="16"/>
                  </w:rPr>
                  <w:t>Estas obras no generaron adiciones, ni cambios en el valor inicial del contrato de Concesión.</w:t>
                </w:r>
              </w:p>
            </w:tc>
            <w:tc>
              <w:tcPr>
                <w:tcW w:w="3258" w:type="dxa"/>
                <w:shd w:val="clear" w:color="auto" w:fill="auto"/>
              </w:tcPr>
              <w:p w14:paraId="451498F4" w14:textId="77777777" w:rsidR="007803E3" w:rsidRPr="004E4B64" w:rsidRDefault="007803E3" w:rsidP="006D6444">
                <w:pPr>
                  <w:pStyle w:val="Prrafodelista"/>
                  <w:ind w:left="0"/>
                  <w:jc w:val="both"/>
                  <w:rPr>
                    <w:rFonts w:ascii="Times New Roman" w:hAnsi="Times New Roman"/>
                    <w:sz w:val="16"/>
                    <w:szCs w:val="16"/>
                  </w:rPr>
                </w:pPr>
                <w:r w:rsidRPr="004E4B64">
                  <w:rPr>
                    <w:rFonts w:ascii="Times New Roman" w:eastAsia="Times New Roman" w:hAnsi="Times New Roman"/>
                    <w:sz w:val="16"/>
                    <w:szCs w:val="16"/>
                  </w:rPr>
                  <w:t>Modificado Otrosí No 5. Clausula segunda. Adicionar el contrato de concesión para que el concesionario elabore los estudios y diseños fase III del segundo puente en Plato-Zambrano sobre el río magdalena, incluidos los tramos viales conforme al alcance determinado en las comunicaciones del 7 de julio del 2015, del 22 de julio del 2015, del 22 de abril del 2015 y 23 de abril del 2015. Octubre de 2014</w:t>
                </w:r>
              </w:p>
            </w:tc>
          </w:tr>
          <w:tr w:rsidR="007803E3" w:rsidRPr="0020113A" w14:paraId="6869A23B" w14:textId="77777777" w:rsidTr="006D6444">
            <w:trPr>
              <w:trHeight w:val="300"/>
            </w:trPr>
            <w:tc>
              <w:tcPr>
                <w:tcW w:w="3103" w:type="dxa"/>
                <w:shd w:val="clear" w:color="auto" w:fill="auto"/>
                <w:vAlign w:val="center"/>
              </w:tcPr>
              <w:p w14:paraId="2957CFB2" w14:textId="77777777" w:rsidR="007803E3" w:rsidRPr="004E4B64" w:rsidRDefault="007803E3" w:rsidP="006D6444">
                <w:pPr>
                  <w:pStyle w:val="Prrafodelista"/>
                  <w:rPr>
                    <w:rFonts w:ascii="Times New Roman" w:hAnsi="Times New Roman"/>
                    <w:sz w:val="16"/>
                    <w:szCs w:val="16"/>
                  </w:rPr>
                </w:pPr>
                <w:r w:rsidRPr="004E4B64">
                  <w:rPr>
                    <w:rFonts w:ascii="Times New Roman" w:eastAsia="Times New Roman" w:hAnsi="Times New Roman"/>
                    <w:sz w:val="16"/>
                    <w:szCs w:val="16"/>
                  </w:rPr>
                  <w:t xml:space="preserve">$7.060.731.671 </w:t>
                </w:r>
              </w:p>
            </w:tc>
            <w:tc>
              <w:tcPr>
                <w:tcW w:w="2467" w:type="dxa"/>
                <w:shd w:val="clear" w:color="auto" w:fill="auto"/>
                <w:vAlign w:val="center"/>
              </w:tcPr>
              <w:p w14:paraId="28C7AE7E" w14:textId="77777777" w:rsidR="007803E3" w:rsidRPr="004E4B64" w:rsidRDefault="007803E3" w:rsidP="006D6444">
                <w:pPr>
                  <w:pStyle w:val="Prrafodelista"/>
                  <w:ind w:left="0"/>
                  <w:rPr>
                    <w:rFonts w:ascii="Times New Roman" w:eastAsia="Times New Roman" w:hAnsi="Times New Roman"/>
                    <w:sz w:val="16"/>
                    <w:szCs w:val="16"/>
                  </w:rPr>
                </w:pPr>
                <w:r w:rsidRPr="004E4B64">
                  <w:rPr>
                    <w:rFonts w:ascii="Times New Roman" w:eastAsia="Times New Roman" w:hAnsi="Times New Roman"/>
                    <w:sz w:val="16"/>
                    <w:szCs w:val="16"/>
                  </w:rPr>
                  <w:t>Estas obras no generaron adiciones, ni cambios en el valor inicial del contrato de Concesión</w:t>
                </w:r>
                <w:r w:rsidRPr="004E4B64">
                  <w:rPr>
                    <w:rFonts w:ascii="Times New Roman" w:hAnsi="Times New Roman"/>
                    <w:sz w:val="16"/>
                    <w:szCs w:val="16"/>
                  </w:rPr>
                  <w:t xml:space="preserve"> </w:t>
                </w:r>
              </w:p>
            </w:tc>
            <w:tc>
              <w:tcPr>
                <w:tcW w:w="3258" w:type="dxa"/>
                <w:shd w:val="clear" w:color="auto" w:fill="auto"/>
              </w:tcPr>
              <w:p w14:paraId="0F7DCE8D" w14:textId="77777777" w:rsidR="007803E3" w:rsidRPr="004E4B64" w:rsidRDefault="007803E3" w:rsidP="006D6444">
                <w:pPr>
                  <w:pStyle w:val="Prrafodelista"/>
                  <w:ind w:left="0"/>
                  <w:jc w:val="both"/>
                  <w:rPr>
                    <w:rFonts w:ascii="Times New Roman" w:hAnsi="Times New Roman"/>
                    <w:sz w:val="16"/>
                    <w:szCs w:val="16"/>
                  </w:rPr>
                </w:pPr>
                <w:r w:rsidRPr="004E4B64">
                  <w:rPr>
                    <w:rFonts w:ascii="Times New Roman" w:eastAsia="Times New Roman" w:hAnsi="Times New Roman"/>
                    <w:sz w:val="16"/>
                    <w:szCs w:val="16"/>
                  </w:rPr>
                  <w:t>Modificado en el Otrosí No 7. Clausula octava. El concesionario ejecutara como parte del alcance del contrato de concesión la infraestructura denominada intersección a desnivel ubicada en el PR34+830 (PRODECO), de la ruta 4516, obra que se adelantara por un valor adicional al previsto para la infraestructura a nivel. Diciembre de 2015</w:t>
                </w:r>
              </w:p>
            </w:tc>
          </w:tr>
        </w:tbl>
        <w:p w14:paraId="37819550" w14:textId="77777777" w:rsidR="007803E3" w:rsidRPr="0020113A" w:rsidRDefault="007803E3" w:rsidP="007803E3">
          <w:pPr>
            <w:rPr>
              <w:rFonts w:ascii="Times New Roman" w:hAnsi="Times New Roman"/>
              <w:b/>
              <w:sz w:val="24"/>
              <w:szCs w:val="24"/>
              <w:lang w:val="es-MX"/>
            </w:rPr>
          </w:pPr>
        </w:p>
        <w:p w14:paraId="0E873A86" w14:textId="77777777" w:rsidR="004E4B64" w:rsidRPr="0020113A" w:rsidRDefault="004E4B64" w:rsidP="007803E3">
          <w:pPr>
            <w:rPr>
              <w:rFonts w:ascii="Times New Roman" w:hAnsi="Times New Roman"/>
              <w:b/>
              <w:sz w:val="24"/>
              <w:szCs w:val="24"/>
              <w:lang w:val="es-MX"/>
            </w:rPr>
          </w:pPr>
        </w:p>
        <w:p w14:paraId="0149FCC7" w14:textId="77777777"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AVENIDA LONGITUDINAL DEL ORIENTE ALO SUR</w:t>
          </w:r>
        </w:p>
        <w:p w14:paraId="0E730230" w14:textId="77777777" w:rsidR="007803E3" w:rsidRPr="0020113A" w:rsidRDefault="007803E3" w:rsidP="00E60BAB">
          <w:pPr>
            <w:pStyle w:val="Prrafodelista"/>
            <w:numPr>
              <w:ilvl w:val="0"/>
              <w:numId w:val="109"/>
            </w:numPr>
            <w:spacing w:line="259" w:lineRule="auto"/>
            <w:rPr>
              <w:rFonts w:ascii="Times New Roman" w:hAnsi="Times New Roman"/>
              <w:b/>
              <w:sz w:val="24"/>
              <w:szCs w:val="24"/>
              <w:lang w:val="es-MX"/>
            </w:rPr>
          </w:pPr>
          <w:r w:rsidRPr="0020113A">
            <w:rPr>
              <w:rFonts w:ascii="Times New Roman" w:hAnsi="Times New Roman"/>
              <w:b/>
              <w:sz w:val="24"/>
              <w:szCs w:val="24"/>
              <w:lang w:val="es-MX"/>
            </w:rPr>
            <w:t>Descripción del Acuerdo</w:t>
          </w:r>
        </w:p>
        <w:p w14:paraId="6D279F23" w14:textId="77777777" w:rsidR="007803E3" w:rsidRPr="0020113A" w:rsidRDefault="007803E3" w:rsidP="22C595FA">
          <w:pPr>
            <w:spacing w:after="0"/>
            <w:rPr>
              <w:rFonts w:ascii="Times New Roman" w:hAnsi="Times New Roman"/>
              <w:sz w:val="24"/>
              <w:szCs w:val="24"/>
              <w:lang w:val="es-MX"/>
            </w:rPr>
          </w:pPr>
          <w:r w:rsidRPr="0020113A">
            <w:rPr>
              <w:rFonts w:ascii="Times New Roman" w:hAnsi="Times New Roman"/>
              <w:b/>
              <w:sz w:val="24"/>
              <w:szCs w:val="24"/>
              <w:lang w:val="es-MX"/>
            </w:rPr>
            <w:t>Número del Acuerdo de Concesión:</w:t>
          </w:r>
          <w:r w:rsidRPr="0020113A">
            <w:rPr>
              <w:rFonts w:ascii="Times New Roman" w:hAnsi="Times New Roman"/>
              <w:sz w:val="24"/>
              <w:szCs w:val="24"/>
            </w:rPr>
            <w:t xml:space="preserve"> </w:t>
          </w:r>
          <w:r w:rsidRPr="0020113A">
            <w:rPr>
              <w:rFonts w:ascii="Times New Roman" w:hAnsi="Times New Roman"/>
              <w:sz w:val="24"/>
              <w:szCs w:val="24"/>
              <w:lang w:val="es-MX"/>
            </w:rPr>
            <w:t>CONTRATO DE CONCESIÓN Nro. 003 de 2021</w:t>
          </w:r>
        </w:p>
        <w:p w14:paraId="2410F3CC" w14:textId="77777777" w:rsidR="007803E3" w:rsidRPr="0020113A" w:rsidRDefault="007803E3" w:rsidP="22C595FA">
          <w:pPr>
            <w:spacing w:after="0"/>
            <w:jc w:val="both"/>
            <w:rPr>
              <w:rFonts w:ascii="Times New Roman" w:hAnsi="Times New Roman"/>
              <w:sz w:val="24"/>
              <w:szCs w:val="24"/>
              <w:lang w:val="es-MX"/>
            </w:rPr>
          </w:pPr>
          <w:r w:rsidRPr="0020113A">
            <w:rPr>
              <w:rFonts w:ascii="Times New Roman" w:hAnsi="Times New Roman"/>
              <w:b/>
              <w:sz w:val="24"/>
              <w:szCs w:val="24"/>
              <w:lang w:val="es-MX"/>
            </w:rPr>
            <w:t>Objeto / Descripción:</w:t>
          </w:r>
          <w:r w:rsidRPr="0020113A">
            <w:rPr>
              <w:rFonts w:ascii="Times New Roman" w:hAnsi="Times New Roman"/>
              <w:sz w:val="24"/>
              <w:szCs w:val="24"/>
            </w:rPr>
            <w:t xml:space="preserve"> Corresponde a la financiación, los estudios, diseños, construcción, operación, mantenimiento, gestión social, predial y ambiental del Proyecto de la “Avenida Longitudinal de Occidente – Tramo Sur” o “ALO Tramo Sur”.</w:t>
          </w:r>
        </w:p>
        <w:p w14:paraId="39658E89" w14:textId="77777777" w:rsidR="007803E3" w:rsidRPr="0020113A" w:rsidRDefault="007803E3" w:rsidP="22C595FA">
          <w:pPr>
            <w:spacing w:after="0"/>
            <w:rPr>
              <w:rFonts w:ascii="Times New Roman" w:hAnsi="Times New Roman"/>
              <w:sz w:val="24"/>
              <w:szCs w:val="24"/>
              <w:lang w:val="es-MX"/>
            </w:rPr>
          </w:pPr>
          <w:r w:rsidRPr="0020113A">
            <w:rPr>
              <w:rFonts w:ascii="Times New Roman" w:hAnsi="Times New Roman"/>
              <w:b/>
              <w:sz w:val="24"/>
              <w:szCs w:val="24"/>
              <w:lang w:val="es-MX"/>
            </w:rPr>
            <w:lastRenderedPageBreak/>
            <w:t>Valor Inicial:</w:t>
          </w:r>
          <w:r w:rsidRPr="0020113A">
            <w:rPr>
              <w:rFonts w:ascii="Times New Roman" w:hAnsi="Times New Roman"/>
              <w:sz w:val="24"/>
              <w:szCs w:val="24"/>
            </w:rPr>
            <w:t xml:space="preserve"> </w:t>
          </w:r>
          <w:r w:rsidRPr="0020113A">
            <w:rPr>
              <w:rFonts w:ascii="Times New Roman" w:hAnsi="Times New Roman"/>
              <w:sz w:val="24"/>
              <w:szCs w:val="24"/>
              <w:lang w:val="es-MX"/>
            </w:rPr>
            <w:t>$1.116.424.092.832 Pesos Constantes de diciembre de 2019.</w:t>
          </w:r>
        </w:p>
        <w:p w14:paraId="0819E4CE" w14:textId="77777777" w:rsidR="007803E3" w:rsidRPr="0020113A" w:rsidRDefault="007803E3" w:rsidP="68E61AA8">
          <w:pPr>
            <w:spacing w:after="0"/>
            <w:rPr>
              <w:rFonts w:ascii="Times New Roman" w:hAnsi="Times New Roman"/>
              <w:sz w:val="24"/>
              <w:szCs w:val="24"/>
              <w:lang w:val="es-MX"/>
            </w:rPr>
          </w:pPr>
          <w:r w:rsidRPr="0020113A">
            <w:rPr>
              <w:rFonts w:ascii="Times New Roman" w:hAnsi="Times New Roman"/>
              <w:b/>
              <w:sz w:val="24"/>
              <w:szCs w:val="24"/>
              <w:lang w:val="es-MX"/>
            </w:rPr>
            <w:t>Fecha de Inicio:</w:t>
          </w:r>
          <w:r w:rsidRPr="0020113A">
            <w:rPr>
              <w:rFonts w:ascii="Times New Roman" w:hAnsi="Times New Roman"/>
              <w:sz w:val="24"/>
              <w:szCs w:val="24"/>
            </w:rPr>
            <w:t xml:space="preserve"> </w:t>
          </w:r>
          <w:sdt>
            <w:sdtPr>
              <w:rPr>
                <w:rFonts w:ascii="Times New Roman" w:hAnsi="Times New Roman"/>
                <w:sz w:val="24"/>
                <w:szCs w:val="24"/>
              </w:rPr>
              <w:id w:val="1985737553"/>
              <w:placeholder>
                <w:docPart w:val="F0D12AC057DC4961A8C781316C1989FD"/>
              </w:placeholder>
            </w:sdtPr>
            <w:sdtContent>
              <w:r w:rsidRPr="0020113A">
                <w:rPr>
                  <w:rFonts w:ascii="Times New Roman" w:hAnsi="Times New Roman"/>
                  <w:sz w:val="24"/>
                  <w:szCs w:val="24"/>
                </w:rPr>
                <w:t>20 de julio de 2022</w:t>
              </w:r>
            </w:sdtContent>
          </w:sdt>
        </w:p>
        <w:p w14:paraId="646B6DCD" w14:textId="77777777" w:rsidR="007803E3" w:rsidRPr="0020113A" w:rsidRDefault="007803E3" w:rsidP="68E61AA8">
          <w:pPr>
            <w:spacing w:after="0"/>
            <w:rPr>
              <w:rFonts w:ascii="Times New Roman" w:hAnsi="Times New Roman"/>
              <w:b/>
              <w:sz w:val="24"/>
              <w:szCs w:val="24"/>
              <w:lang w:val="es-MX"/>
            </w:rPr>
          </w:pPr>
          <w:r w:rsidRPr="0020113A">
            <w:rPr>
              <w:rFonts w:ascii="Times New Roman" w:hAnsi="Times New Roman"/>
              <w:b/>
              <w:sz w:val="24"/>
              <w:szCs w:val="24"/>
              <w:lang w:val="es-MX"/>
            </w:rPr>
            <w:t>Fecha de Finalización Estimada:</w:t>
          </w:r>
          <w:r w:rsidRPr="0020113A">
            <w:rPr>
              <w:rFonts w:ascii="Times New Roman" w:hAnsi="Times New Roman"/>
              <w:sz w:val="24"/>
              <w:szCs w:val="24"/>
            </w:rPr>
            <w:t xml:space="preserve"> 19 de julio</w:t>
          </w:r>
          <w:r w:rsidRPr="0020113A">
            <w:rPr>
              <w:rFonts w:ascii="Times New Roman" w:hAnsi="Times New Roman"/>
              <w:sz w:val="24"/>
              <w:szCs w:val="24"/>
              <w:lang w:val="es-MX"/>
            </w:rPr>
            <w:t xml:space="preserve"> de 2052</w:t>
          </w:r>
        </w:p>
        <w:p w14:paraId="08604FCE" w14:textId="77777777" w:rsidR="007803E3" w:rsidRPr="0020113A" w:rsidRDefault="007803E3" w:rsidP="68E61AA8">
          <w:pPr>
            <w:spacing w:after="0"/>
            <w:rPr>
              <w:rFonts w:ascii="Times New Roman" w:hAnsi="Times New Roman"/>
              <w:b/>
              <w:sz w:val="24"/>
              <w:szCs w:val="24"/>
              <w:lang w:val="es-MX"/>
            </w:rPr>
          </w:pPr>
          <w:r w:rsidRPr="0020113A">
            <w:rPr>
              <w:rFonts w:ascii="Times New Roman" w:hAnsi="Times New Roman"/>
              <w:b/>
              <w:sz w:val="24"/>
              <w:szCs w:val="24"/>
              <w:lang w:val="es-MX"/>
            </w:rPr>
            <w:t>Tipo ID:</w:t>
          </w:r>
          <w:r w:rsidRPr="0020113A">
            <w:rPr>
              <w:rFonts w:ascii="Times New Roman" w:hAnsi="Times New Roman"/>
              <w:sz w:val="24"/>
              <w:szCs w:val="24"/>
            </w:rPr>
            <w:t xml:space="preserve"> NIT</w:t>
          </w:r>
        </w:p>
        <w:p w14:paraId="71E24EC0" w14:textId="77777777" w:rsidR="007803E3" w:rsidRPr="0020113A" w:rsidRDefault="007803E3" w:rsidP="68E61AA8">
          <w:pPr>
            <w:spacing w:after="0"/>
            <w:jc w:val="both"/>
            <w:rPr>
              <w:rFonts w:ascii="Times New Roman" w:hAnsi="Times New Roman"/>
              <w:b/>
              <w:sz w:val="24"/>
              <w:szCs w:val="24"/>
              <w:lang w:val="es-MX"/>
            </w:rPr>
          </w:pPr>
          <w:r w:rsidRPr="0020113A">
            <w:rPr>
              <w:rFonts w:ascii="Times New Roman" w:hAnsi="Times New Roman"/>
              <w:b/>
              <w:sz w:val="24"/>
              <w:szCs w:val="24"/>
              <w:lang w:val="es-MX"/>
            </w:rPr>
            <w:t xml:space="preserve">Numero ID: </w:t>
          </w:r>
          <w:r w:rsidRPr="0020113A">
            <w:rPr>
              <w:rFonts w:ascii="Times New Roman" w:hAnsi="Times New Roman"/>
              <w:sz w:val="24"/>
              <w:szCs w:val="24"/>
              <w:lang w:val="es-MX"/>
            </w:rPr>
            <w:t>901.551.242-8</w:t>
          </w:r>
        </w:p>
        <w:p w14:paraId="11F40F71" w14:textId="77777777" w:rsidR="007803E3" w:rsidRPr="0020113A" w:rsidRDefault="007803E3" w:rsidP="68E61AA8">
          <w:pPr>
            <w:spacing w:after="0"/>
            <w:jc w:val="both"/>
            <w:rPr>
              <w:rFonts w:ascii="Times New Roman" w:hAnsi="Times New Roman"/>
              <w:b/>
              <w:sz w:val="24"/>
              <w:szCs w:val="24"/>
              <w:lang w:val="es-MX"/>
            </w:rPr>
          </w:pPr>
          <w:r w:rsidRPr="0020113A">
            <w:rPr>
              <w:rFonts w:ascii="Times New Roman" w:hAnsi="Times New Roman"/>
              <w:b/>
              <w:sz w:val="24"/>
              <w:szCs w:val="24"/>
              <w:lang w:val="es-MX"/>
            </w:rPr>
            <w:t xml:space="preserve">Razón Social del Concesionario: </w:t>
          </w:r>
          <w:r w:rsidRPr="0020113A">
            <w:rPr>
              <w:rFonts w:ascii="Times New Roman" w:hAnsi="Times New Roman"/>
              <w:sz w:val="24"/>
              <w:szCs w:val="24"/>
              <w:lang w:val="es-MX"/>
            </w:rPr>
            <w:t>Sociedad ALO Sur S.A.S</w:t>
          </w:r>
        </w:p>
        <w:p w14:paraId="5B0126E9" w14:textId="77777777" w:rsidR="007803E3" w:rsidRPr="0020113A" w:rsidRDefault="007803E3" w:rsidP="68E61AA8">
          <w:pPr>
            <w:spacing w:after="0"/>
            <w:jc w:val="both"/>
            <w:rPr>
              <w:rFonts w:ascii="Times New Roman" w:hAnsi="Times New Roman"/>
              <w:b/>
              <w:sz w:val="24"/>
              <w:szCs w:val="24"/>
              <w:lang w:val="es-MX"/>
            </w:rPr>
          </w:pPr>
          <w:r w:rsidRPr="0020113A">
            <w:rPr>
              <w:rFonts w:ascii="Times New Roman" w:hAnsi="Times New Roman"/>
              <w:b/>
              <w:sz w:val="24"/>
              <w:szCs w:val="24"/>
              <w:lang w:val="es-MX"/>
            </w:rPr>
            <w:t xml:space="preserve">Nombre del Proyecto: </w:t>
          </w:r>
          <w:r w:rsidRPr="0020113A">
            <w:rPr>
              <w:rFonts w:ascii="Times New Roman" w:hAnsi="Times New Roman"/>
              <w:sz w:val="24"/>
              <w:szCs w:val="24"/>
              <w:lang w:val="es-MX"/>
            </w:rPr>
            <w:t>Avenida Longitudinal de Occidente – Tramo Sur” ALO SUR</w:t>
          </w:r>
        </w:p>
        <w:p w14:paraId="59836D6C" w14:textId="39CD594D" w:rsidR="68E61AA8" w:rsidRDefault="68E61AA8" w:rsidP="68E61AA8">
          <w:pPr>
            <w:spacing w:after="0"/>
            <w:jc w:val="both"/>
            <w:rPr>
              <w:rFonts w:ascii="Times New Roman" w:hAnsi="Times New Roman"/>
              <w:sz w:val="24"/>
              <w:szCs w:val="24"/>
              <w:lang w:val="es-MX"/>
            </w:rPr>
          </w:pPr>
        </w:p>
        <w:p w14:paraId="563E8FB6" w14:textId="77777777" w:rsidR="007803E3" w:rsidRPr="0020113A" w:rsidRDefault="007803E3" w:rsidP="00E60BAB">
          <w:pPr>
            <w:pStyle w:val="Prrafodelista"/>
            <w:numPr>
              <w:ilvl w:val="0"/>
              <w:numId w:val="109"/>
            </w:numPr>
            <w:spacing w:line="259" w:lineRule="auto"/>
            <w:jc w:val="both"/>
            <w:rPr>
              <w:rFonts w:ascii="Times New Roman" w:hAnsi="Times New Roman"/>
              <w:b/>
              <w:sz w:val="24"/>
              <w:szCs w:val="24"/>
              <w:lang w:val="es-MX"/>
            </w:rPr>
          </w:pPr>
          <w:r w:rsidRPr="0020113A">
            <w:rPr>
              <w:rFonts w:ascii="Times New Roman" w:hAnsi="Times New Roman"/>
              <w:b/>
              <w:sz w:val="24"/>
              <w:szCs w:val="24"/>
              <w:lang w:val="es-MX"/>
            </w:rPr>
            <w:t>Términos significativos del acuerdo que puedan afectar su valor, el calendario y la certeza de los flujos</w:t>
          </w:r>
        </w:p>
        <w:p w14:paraId="391C1581"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Términos de Valor:</w:t>
          </w:r>
          <w:r w:rsidRPr="0020113A">
            <w:rPr>
              <w:rFonts w:ascii="Times New Roman" w:hAnsi="Times New Roman"/>
              <w:sz w:val="24"/>
              <w:szCs w:val="24"/>
            </w:rPr>
            <w:t xml:space="preserve"> El valor del contrato se fijo en $1.116.424.092.832 de diciembre de 2019. El valor del VPIP asciende a $974.214.000.000 de diciembre de 2019.</w:t>
          </w:r>
        </w:p>
        <w:p w14:paraId="0571CE48"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Términos de Calendario:</w:t>
          </w:r>
          <w:r w:rsidRPr="0020113A">
            <w:rPr>
              <w:rFonts w:ascii="Times New Roman" w:hAnsi="Times New Roman"/>
              <w:sz w:val="24"/>
              <w:szCs w:val="24"/>
            </w:rPr>
            <w:t xml:space="preserve"> El plazo estimado del contrato es de 30 años. Una vez suscritas el Acta de Terminación de la Unidad Funcional 3, se iniciará el cobro de las tarifas contractuales. Se estima esta fecha en junio de 2028. Se realiza ajuste en los valores registrados en el CAPEX de 2021 y 2022, pues el Concesionario obtuvo cierre financiero y se cuenta con Apéndice Financiero 1.</w:t>
          </w:r>
        </w:p>
        <w:p w14:paraId="7A036084"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Términos de Certeza de Flujos de Efectivo Futuros:</w:t>
          </w:r>
          <w:r w:rsidRPr="0020113A">
            <w:rPr>
              <w:rFonts w:ascii="Times New Roman" w:hAnsi="Times New Roman"/>
              <w:sz w:val="24"/>
              <w:szCs w:val="24"/>
            </w:rPr>
            <w:t xml:space="preserve"> Durante toda la duración de la fase preoperativa del proyecto se retribuye la UF 0, una vez finalizadas y recibidas las UF se retribuyen de acuerdo con la participación.</w:t>
          </w:r>
        </w:p>
        <w:p w14:paraId="6E9AA947" w14:textId="77777777" w:rsidR="007803E3" w:rsidRPr="0020113A" w:rsidRDefault="007803E3" w:rsidP="00E60BAB">
          <w:pPr>
            <w:pStyle w:val="Prrafodelista"/>
            <w:numPr>
              <w:ilvl w:val="0"/>
              <w:numId w:val="109"/>
            </w:numPr>
            <w:spacing w:line="259" w:lineRule="auto"/>
            <w:jc w:val="both"/>
            <w:rPr>
              <w:rFonts w:ascii="Times New Roman" w:hAnsi="Times New Roman"/>
              <w:b/>
              <w:sz w:val="24"/>
              <w:szCs w:val="24"/>
              <w:lang w:val="es-MX"/>
            </w:rPr>
          </w:pPr>
          <w:r w:rsidRPr="0020113A">
            <w:rPr>
              <w:rFonts w:ascii="Times New Roman" w:hAnsi="Times New Roman"/>
              <w:b/>
              <w:sz w:val="24"/>
              <w:szCs w:val="24"/>
              <w:lang w:val="es-MX"/>
            </w:rPr>
            <w:t>Naturaleza y alcance del derecho a utilizar activos especificados, de los aspectos pactados en torno a lo que se espera que el concesionario proporcione en relación con el acuerdo de concesión</w:t>
          </w:r>
        </w:p>
        <w:p w14:paraId="3E5CF66A" w14:textId="77777777" w:rsidR="007803E3" w:rsidRPr="0020113A" w:rsidRDefault="007803E3" w:rsidP="007803E3">
          <w:pPr>
            <w:jc w:val="center"/>
            <w:rPr>
              <w:rFonts w:ascii="Times New Roman" w:hAnsi="Times New Roman"/>
              <w:b/>
              <w:sz w:val="24"/>
              <w:szCs w:val="24"/>
              <w:lang w:val="es-MX"/>
            </w:rPr>
          </w:pPr>
          <w:r w:rsidRPr="0020113A">
            <w:rPr>
              <w:rFonts w:ascii="Times New Roman" w:hAnsi="Times New Roman"/>
              <w:b/>
              <w:sz w:val="24"/>
              <w:szCs w:val="24"/>
              <w:lang w:val="es-MX"/>
            </w:rPr>
            <w:t>Naturaleza y alcance del derecho de uso de los activos</w:t>
          </w:r>
        </w:p>
        <w:p w14:paraId="0F661076"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Descripción:</w:t>
          </w:r>
          <w:r w:rsidRPr="0020113A">
            <w:rPr>
              <w:rFonts w:ascii="Times New Roman" w:hAnsi="Times New Roman"/>
              <w:sz w:val="24"/>
              <w:szCs w:val="24"/>
            </w:rPr>
            <w:t xml:space="preserve"> Sección 3.4 – Contrato de Concesión - parte general: se cederá al concesionario el derecho de recaudo sobre la operación de las Estaciones de Peaje (el “derecho de recaudo”) en la misma fecha de entrega de la infraestructura, salvo por las excepciones en la Parte Especial.</w:t>
          </w:r>
        </w:p>
        <w:p w14:paraId="59922B13" w14:textId="77777777"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Observaciones:</w:t>
          </w:r>
          <w:r w:rsidRPr="0020113A">
            <w:rPr>
              <w:rFonts w:ascii="Times New Roman" w:hAnsi="Times New Roman"/>
              <w:sz w:val="24"/>
              <w:szCs w:val="24"/>
            </w:rPr>
            <w:t xml:space="preserve"> La Entrega de la Infraestructura en ningún caso implica la obligación por parte de la ANI de entregar los Predios correspondientes a las Fajas ni al Corredor del Proyecto.” La ANI entregó el 20 de julio de 2022, con Acta de entrega y Recibo de la Vía, la infraestructura Vial.</w:t>
          </w:r>
        </w:p>
        <w:p w14:paraId="578B582F" w14:textId="77777777" w:rsidR="007803E3" w:rsidRPr="0020113A" w:rsidRDefault="007803E3" w:rsidP="007803E3">
          <w:pPr>
            <w:jc w:val="center"/>
            <w:rPr>
              <w:rFonts w:ascii="Times New Roman" w:hAnsi="Times New Roman"/>
              <w:b/>
              <w:sz w:val="24"/>
              <w:szCs w:val="24"/>
              <w:lang w:val="es-MX"/>
            </w:rPr>
          </w:pPr>
          <w:r w:rsidRPr="0020113A">
            <w:rPr>
              <w:rFonts w:ascii="Times New Roman" w:hAnsi="Times New Roman"/>
              <w:b/>
              <w:sz w:val="24"/>
              <w:szCs w:val="24"/>
              <w:lang w:val="es-MX"/>
            </w:rPr>
            <w:t>Retribución al Concesionario</w:t>
          </w:r>
        </w:p>
        <w:p w14:paraId="17C2EC93" w14:textId="77777777" w:rsidR="007803E3" w:rsidRPr="0020113A" w:rsidRDefault="007803E3" w:rsidP="007803E3">
          <w:pPr>
            <w:rPr>
              <w:rFonts w:ascii="Times New Roman" w:hAnsi="Times New Roman"/>
              <w:sz w:val="24"/>
              <w:szCs w:val="24"/>
              <w:lang w:val="es-MX"/>
            </w:rPr>
          </w:pPr>
          <w:r w:rsidRPr="0020113A">
            <w:rPr>
              <w:rFonts w:ascii="Times New Roman" w:hAnsi="Times New Roman"/>
              <w:b/>
              <w:sz w:val="24"/>
              <w:szCs w:val="24"/>
              <w:lang w:val="es-MX"/>
            </w:rPr>
            <w:t>Descripción:</w:t>
          </w:r>
          <w:r w:rsidRPr="0020113A">
            <w:rPr>
              <w:rFonts w:ascii="Times New Roman" w:hAnsi="Times New Roman"/>
              <w:sz w:val="24"/>
              <w:szCs w:val="24"/>
            </w:rPr>
            <w:t xml:space="preserve"> NUMERAL 3.5(a)(ii) DE LA El VPIP equivale a Novecientos Setenta y Cuatro Mil Doscientos Catorce Millones ($974.214.000.000) Pesos del Mes de la Referencia</w:t>
          </w:r>
        </w:p>
        <w:p w14:paraId="2BFA93A7"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Tasa de Retribución:</w:t>
          </w:r>
          <w:r w:rsidRPr="0020113A">
            <w:rPr>
              <w:rFonts w:ascii="Times New Roman" w:hAnsi="Times New Roman"/>
              <w:sz w:val="24"/>
              <w:szCs w:val="24"/>
            </w:rPr>
            <w:t xml:space="preserve"> Tasa de Descuento Real (TDI): 0,7663%</w:t>
          </w:r>
        </w:p>
        <w:p w14:paraId="46FF35C0" w14:textId="77777777" w:rsidR="007803E3" w:rsidRPr="0020113A" w:rsidRDefault="007803E3" w:rsidP="00E60BAB">
          <w:pPr>
            <w:pStyle w:val="Prrafodelista"/>
            <w:numPr>
              <w:ilvl w:val="0"/>
              <w:numId w:val="109"/>
            </w:numPr>
            <w:spacing w:line="259" w:lineRule="auto"/>
            <w:rPr>
              <w:rFonts w:ascii="Times New Roman" w:hAnsi="Times New Roman"/>
              <w:b/>
              <w:sz w:val="24"/>
              <w:szCs w:val="24"/>
              <w:lang w:val="es-MX"/>
            </w:rPr>
          </w:pPr>
          <w:r w:rsidRPr="0020113A">
            <w:rPr>
              <w:rFonts w:ascii="Times New Roman" w:hAnsi="Times New Roman"/>
              <w:b/>
              <w:sz w:val="24"/>
              <w:szCs w:val="24"/>
              <w:lang w:val="es-MX"/>
            </w:rPr>
            <w:t>Derechos a recibir activos especificados al final del acuerdo de concesión</w:t>
          </w:r>
        </w:p>
        <w:p w14:paraId="47BDD68C"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lastRenderedPageBreak/>
            <w:t>Descripción</w:t>
          </w:r>
          <w:r w:rsidRPr="0020113A">
            <w:rPr>
              <w:rFonts w:ascii="Times New Roman" w:hAnsi="Times New Roman"/>
              <w:sz w:val="24"/>
              <w:szCs w:val="24"/>
              <w:lang w:val="es-MX"/>
            </w:rPr>
            <w:t>:</w:t>
          </w:r>
          <w:r w:rsidRPr="0020113A">
            <w:rPr>
              <w:rFonts w:ascii="Times New Roman" w:hAnsi="Times New Roman"/>
              <w:sz w:val="24"/>
              <w:szCs w:val="24"/>
            </w:rPr>
            <w:t xml:space="preserve"> La ANI se hará propietario de las obras que conforman el proyecto al momento de su ejecución, incluyendo las estaciones de peaje, de pesaje y la totalidad de bienes muebles o inmuebles por destinación o adhesión que se encuentren en las mismas.</w:t>
          </w:r>
        </w:p>
        <w:p w14:paraId="58DCA3DB" w14:textId="77777777"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 xml:space="preserve">Observaciones: </w:t>
          </w:r>
          <w:r w:rsidRPr="0020113A">
            <w:rPr>
              <w:rFonts w:ascii="Times New Roman" w:hAnsi="Times New Roman"/>
              <w:sz w:val="24"/>
              <w:szCs w:val="24"/>
              <w:lang w:val="es-MX"/>
            </w:rPr>
            <w:t>no aplica</w:t>
          </w:r>
        </w:p>
        <w:p w14:paraId="2386F116" w14:textId="68FDBCD7" w:rsidR="007803E3" w:rsidRPr="0020113A" w:rsidRDefault="00B66C39" w:rsidP="00E60BAB">
          <w:pPr>
            <w:pStyle w:val="Prrafodelista"/>
            <w:numPr>
              <w:ilvl w:val="0"/>
              <w:numId w:val="109"/>
            </w:numPr>
            <w:spacing w:line="259" w:lineRule="auto"/>
            <w:rPr>
              <w:rFonts w:ascii="Times New Roman" w:hAnsi="Times New Roman"/>
              <w:b/>
              <w:sz w:val="24"/>
              <w:szCs w:val="24"/>
              <w:lang w:val="es-MX"/>
            </w:rPr>
          </w:pPr>
          <w:r>
            <w:rPr>
              <w:rFonts w:ascii="Times New Roman" w:hAnsi="Times New Roman"/>
              <w:b/>
              <w:sz w:val="24"/>
              <w:szCs w:val="24"/>
              <w:lang w:val="es-MX"/>
            </w:rPr>
            <w:t>No hay c</w:t>
          </w:r>
          <w:r w:rsidR="007803E3" w:rsidRPr="0020113A">
            <w:rPr>
              <w:rFonts w:ascii="Times New Roman" w:hAnsi="Times New Roman"/>
              <w:b/>
              <w:sz w:val="24"/>
              <w:szCs w:val="24"/>
              <w:lang w:val="es-MX"/>
            </w:rPr>
            <w:t>ambios en el acuerdo de concesión que se realicen durante el periodo fiscal</w:t>
          </w:r>
        </w:p>
        <w:p w14:paraId="1561D413" w14:textId="77777777" w:rsidR="007803E3" w:rsidRPr="0020113A" w:rsidRDefault="007803E3" w:rsidP="007803E3">
          <w:pPr>
            <w:rPr>
              <w:rFonts w:ascii="Times New Roman" w:hAnsi="Times New Roman"/>
              <w:b/>
              <w:sz w:val="24"/>
              <w:szCs w:val="24"/>
              <w:lang w:val="es-MX"/>
            </w:rPr>
          </w:pPr>
        </w:p>
        <w:p w14:paraId="6511A462" w14:textId="77777777"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SANTAMARTA RIOHACHA PARAGUACHON</w:t>
          </w:r>
        </w:p>
        <w:p w14:paraId="70DC2861" w14:textId="77777777" w:rsidR="007803E3" w:rsidRPr="0020113A" w:rsidRDefault="007803E3" w:rsidP="00E60BAB">
          <w:pPr>
            <w:pStyle w:val="Prrafodelista"/>
            <w:numPr>
              <w:ilvl w:val="0"/>
              <w:numId w:val="101"/>
            </w:numPr>
            <w:spacing w:line="259" w:lineRule="auto"/>
            <w:rPr>
              <w:rFonts w:ascii="Times New Roman" w:hAnsi="Times New Roman"/>
              <w:b/>
              <w:bCs/>
              <w:sz w:val="24"/>
              <w:szCs w:val="24"/>
              <w:lang w:val="es-MX"/>
            </w:rPr>
          </w:pPr>
          <w:r w:rsidRPr="0020113A">
            <w:rPr>
              <w:rFonts w:ascii="Times New Roman" w:hAnsi="Times New Roman"/>
              <w:b/>
              <w:bCs/>
              <w:sz w:val="24"/>
              <w:szCs w:val="24"/>
              <w:lang w:val="es-MX"/>
            </w:rPr>
            <w:t>Descripción del Acuerdo</w:t>
          </w:r>
        </w:p>
        <w:p w14:paraId="4905F6D7" w14:textId="77777777" w:rsidR="007803E3" w:rsidRPr="0020113A" w:rsidRDefault="007803E3" w:rsidP="22C595FA">
          <w:pPr>
            <w:spacing w:after="0"/>
            <w:rPr>
              <w:rFonts w:ascii="Times New Roman" w:hAnsi="Times New Roman"/>
              <w:b/>
              <w:bCs/>
              <w:sz w:val="24"/>
              <w:szCs w:val="24"/>
              <w:lang w:val="es-MX"/>
            </w:rPr>
          </w:pPr>
          <w:r w:rsidRPr="0020113A">
            <w:rPr>
              <w:rFonts w:ascii="Times New Roman" w:hAnsi="Times New Roman"/>
              <w:b/>
              <w:bCs/>
              <w:sz w:val="24"/>
              <w:szCs w:val="24"/>
              <w:lang w:val="es-MX"/>
            </w:rPr>
            <w:t xml:space="preserve">Número del Acuerdo de Concesión:   </w:t>
          </w:r>
          <w:r w:rsidRPr="0020113A">
            <w:rPr>
              <w:rFonts w:ascii="Times New Roman" w:hAnsi="Times New Roman"/>
              <w:sz w:val="24"/>
              <w:szCs w:val="24"/>
              <w:lang w:val="es-MX"/>
            </w:rPr>
            <w:t>445 de 1994</w:t>
          </w:r>
        </w:p>
        <w:p w14:paraId="04DB7BA3" w14:textId="77777777" w:rsidR="007803E3" w:rsidRPr="0020113A" w:rsidRDefault="007803E3" w:rsidP="22C595FA">
          <w:pPr>
            <w:spacing w:after="0"/>
            <w:jc w:val="both"/>
            <w:rPr>
              <w:rFonts w:ascii="Times New Roman" w:hAnsi="Times New Roman"/>
              <w:sz w:val="24"/>
              <w:szCs w:val="24"/>
              <w:lang w:val="es-MX"/>
            </w:rPr>
          </w:pPr>
          <w:r w:rsidRPr="0020113A">
            <w:rPr>
              <w:rFonts w:ascii="Times New Roman" w:hAnsi="Times New Roman"/>
              <w:b/>
              <w:bCs/>
              <w:sz w:val="24"/>
              <w:szCs w:val="24"/>
              <w:lang w:val="es-MX"/>
            </w:rPr>
            <w:t xml:space="preserve">Objeto / Descripción: </w:t>
          </w:r>
          <w:r w:rsidRPr="0020113A">
            <w:rPr>
              <w:rFonts w:ascii="Times New Roman" w:hAnsi="Times New Roman"/>
              <w:sz w:val="24"/>
              <w:szCs w:val="24"/>
              <w:lang w:val="es-MX"/>
            </w:rPr>
            <w:t>Ejecutar por el sistema de concesión, según lo establecido en el artículo 32, numeral 40, de la Ley 80 de 1993, realizar por el sistema de concesión los estudios, diseños definitivos, las obras de rehabilitación de construcción, la operación y el mantenimiento de los sectores Río Palomino Riohacha y Riohacha Paraguachón y el mantenimiento y la operación del sector Santa Marta Rio palomino, ruta 90 en los Departamentos del Magdalena y La Guajira. Las actividades incluidas para cumplir el objeto del contrato son:</w:t>
          </w:r>
        </w:p>
        <w:p w14:paraId="7322D469" w14:textId="77777777" w:rsidR="007803E3" w:rsidRPr="0020113A" w:rsidRDefault="007803E3" w:rsidP="22C595FA">
          <w:pPr>
            <w:spacing w:after="0"/>
            <w:jc w:val="both"/>
            <w:rPr>
              <w:rFonts w:ascii="Times New Roman" w:hAnsi="Times New Roman"/>
              <w:sz w:val="24"/>
              <w:szCs w:val="24"/>
              <w:lang w:val="es-MX"/>
            </w:rPr>
          </w:pPr>
          <w:r w:rsidRPr="0020113A">
            <w:rPr>
              <w:rFonts w:ascii="Times New Roman" w:hAnsi="Times New Roman"/>
              <w:sz w:val="24"/>
              <w:szCs w:val="24"/>
              <w:lang w:val="es-MX"/>
            </w:rPr>
            <w:t>Estudios y diseños finales, financiación, construcción, suministro, instalación, montaje y prueba de los equipos, puesta en funcionamiento y operación del proyecto, las cuales deben hacerse en un todo de acuerdo con las condiciones, términos, alcances y obligaciones establecidas en este documento, en la oferta del CONCESIONARIO negociada y aceptada por el Instituto Nacional de Vías, en el pliego de condiciones anexo a la invitación a presentar oferta dentro del proceso de contratación directa, y en los pliegos de la licitación pública No. 095-93 fecha 2-Ago-1994</w:t>
          </w:r>
        </w:p>
        <w:p w14:paraId="1A3BA2D4" w14:textId="77777777" w:rsidR="007803E3" w:rsidRPr="0020113A" w:rsidRDefault="007803E3" w:rsidP="22C595FA">
          <w:pPr>
            <w:spacing w:after="0"/>
            <w:jc w:val="both"/>
            <w:rPr>
              <w:rFonts w:ascii="Times New Roman" w:hAnsi="Times New Roman"/>
              <w:sz w:val="24"/>
              <w:szCs w:val="24"/>
              <w:lang w:val="es-MX"/>
            </w:rPr>
          </w:pPr>
          <w:r w:rsidRPr="0020113A">
            <w:rPr>
              <w:rFonts w:ascii="Times New Roman" w:hAnsi="Times New Roman"/>
              <w:sz w:val="24"/>
              <w:szCs w:val="24"/>
              <w:lang w:val="es-MX"/>
            </w:rPr>
            <w:t>Otrosí No. 10 $38.834.396.072 25 de marzo de 2009.</w:t>
          </w:r>
        </w:p>
        <w:p w14:paraId="7CE25B08" w14:textId="77777777" w:rsidR="007803E3" w:rsidRPr="0020113A" w:rsidRDefault="007803E3" w:rsidP="22C595FA">
          <w:pPr>
            <w:spacing w:after="0" w:afterAutospacing="1"/>
            <w:jc w:val="both"/>
            <w:rPr>
              <w:rFonts w:ascii="Times New Roman" w:hAnsi="Times New Roman"/>
              <w:sz w:val="24"/>
              <w:szCs w:val="24"/>
              <w:lang w:val="es-MX"/>
            </w:rPr>
          </w:pPr>
          <w:r w:rsidRPr="0020113A">
            <w:rPr>
              <w:rFonts w:ascii="Times New Roman" w:hAnsi="Times New Roman"/>
              <w:sz w:val="24"/>
              <w:szCs w:val="24"/>
              <w:lang w:val="es-MX"/>
            </w:rPr>
            <w:t>Diseño y rehabilitación paso nacional por el municipio de Riohacha, Diseño de la rehabilitación y mejoramiento de la vía Riohacha – La Florida, Revisión de los diseños del sector Maicao - Carraipía -Paradero y mejoramiento del sector Maicao - Carraipía - Paradero.</w:t>
          </w:r>
        </w:p>
        <w:p w14:paraId="12CB2EB5" w14:textId="77777777" w:rsidR="007803E3" w:rsidRPr="0020113A" w:rsidRDefault="007803E3" w:rsidP="22C595FA">
          <w:pPr>
            <w:spacing w:afterAutospacing="1"/>
            <w:jc w:val="both"/>
            <w:rPr>
              <w:rFonts w:ascii="Times New Roman" w:hAnsi="Times New Roman"/>
              <w:sz w:val="24"/>
              <w:szCs w:val="24"/>
              <w:lang w:val="es-MX"/>
            </w:rPr>
          </w:pPr>
          <w:r w:rsidRPr="0020113A">
            <w:rPr>
              <w:rFonts w:ascii="Times New Roman" w:hAnsi="Times New Roman"/>
              <w:sz w:val="24"/>
              <w:szCs w:val="24"/>
              <w:lang w:val="es-MX"/>
            </w:rPr>
            <w:t>Dado que los recursos destinados inicialmente al Contrato Adicional No. 9 eran insuficientes, se destinaron incluir $8.000.000 para la ejecución de las obras del fallo del Laudo arbitral del 31 de mayo de 2004.</w:t>
          </w:r>
        </w:p>
        <w:p w14:paraId="17CB7F58" w14:textId="77777777" w:rsidR="007803E3" w:rsidRPr="0020113A" w:rsidRDefault="007803E3" w:rsidP="22C595FA">
          <w:pPr>
            <w:spacing w:afterAutospacing="1"/>
            <w:jc w:val="both"/>
            <w:rPr>
              <w:rFonts w:ascii="Times New Roman" w:hAnsi="Times New Roman"/>
              <w:sz w:val="24"/>
              <w:szCs w:val="24"/>
              <w:lang w:val="es-MX"/>
            </w:rPr>
          </w:pPr>
          <w:r w:rsidRPr="0020113A">
            <w:rPr>
              <w:rFonts w:ascii="Times New Roman" w:hAnsi="Times New Roman"/>
              <w:sz w:val="24"/>
              <w:szCs w:val="24"/>
              <w:lang w:val="es-MX"/>
            </w:rPr>
            <w:t>Tiempo: Variable, según cumplimiento de los hitos de construcción para cada una de las obras.</w:t>
          </w:r>
        </w:p>
        <w:p w14:paraId="74E0FF2C" w14:textId="77777777" w:rsidR="007803E3" w:rsidRPr="0020113A" w:rsidRDefault="007803E3" w:rsidP="22C595FA">
          <w:pPr>
            <w:spacing w:afterAutospacing="1"/>
            <w:jc w:val="both"/>
            <w:rPr>
              <w:rFonts w:ascii="Times New Roman" w:hAnsi="Times New Roman"/>
              <w:sz w:val="24"/>
              <w:szCs w:val="24"/>
              <w:lang w:val="es-MX"/>
            </w:rPr>
          </w:pPr>
          <w:r w:rsidRPr="0020113A">
            <w:rPr>
              <w:rFonts w:ascii="Times New Roman" w:hAnsi="Times New Roman"/>
              <w:sz w:val="24"/>
              <w:szCs w:val="24"/>
              <w:lang w:val="es-MX"/>
            </w:rPr>
            <w:t>Diseño: 2 meses</w:t>
          </w:r>
        </w:p>
        <w:p w14:paraId="76AA41A1" w14:textId="77777777" w:rsidR="007803E3" w:rsidRPr="0020113A" w:rsidRDefault="007803E3" w:rsidP="22C595FA">
          <w:pPr>
            <w:spacing w:afterAutospacing="1"/>
            <w:jc w:val="both"/>
            <w:rPr>
              <w:rFonts w:ascii="Times New Roman" w:hAnsi="Times New Roman"/>
              <w:sz w:val="24"/>
              <w:szCs w:val="24"/>
              <w:lang w:val="es-MX"/>
            </w:rPr>
          </w:pPr>
          <w:r w:rsidRPr="0020113A">
            <w:rPr>
              <w:rFonts w:ascii="Times New Roman" w:hAnsi="Times New Roman"/>
              <w:sz w:val="24"/>
              <w:szCs w:val="24"/>
              <w:lang w:val="es-MX"/>
            </w:rPr>
            <w:t>Construcción: hasta 24 meses calendario dependiente de la obra a ejecutar.</w:t>
          </w:r>
        </w:p>
        <w:p w14:paraId="7CA4A70F" w14:textId="77777777" w:rsidR="007803E3" w:rsidRPr="0020113A" w:rsidRDefault="007803E3" w:rsidP="22C595FA">
          <w:pPr>
            <w:spacing w:after="0" w:afterAutospacing="1"/>
            <w:jc w:val="both"/>
            <w:rPr>
              <w:rFonts w:ascii="Times New Roman" w:hAnsi="Times New Roman"/>
              <w:sz w:val="24"/>
              <w:szCs w:val="24"/>
              <w:lang w:val="es-MX"/>
            </w:rPr>
          </w:pPr>
          <w:r w:rsidRPr="0020113A">
            <w:rPr>
              <w:rFonts w:ascii="Times New Roman" w:hAnsi="Times New Roman"/>
              <w:b/>
              <w:bCs/>
              <w:sz w:val="24"/>
              <w:szCs w:val="24"/>
              <w:lang w:val="es-MX"/>
            </w:rPr>
            <w:t xml:space="preserve">Valor Inicial:  </w:t>
          </w:r>
          <w:r w:rsidRPr="0020113A">
            <w:rPr>
              <w:rFonts w:ascii="Times New Roman" w:hAnsi="Times New Roman"/>
              <w:sz w:val="24"/>
              <w:szCs w:val="24"/>
              <w:lang w:val="es-MX"/>
            </w:rPr>
            <w:t>VEINTIOCHO MIL CUATROCIENTOS CUARENTA Y TRES MILLONES SEISCIENTOS NOVENTA Y OCHO MIL QUINIENTOS NOVENTA Y TRES PESOS COLOMBIANOS. ($28.443.698.593)</w:t>
          </w:r>
        </w:p>
        <w:p w14:paraId="53A9E81A" w14:textId="77777777" w:rsidR="007803E3" w:rsidRPr="0020113A" w:rsidRDefault="007803E3" w:rsidP="68E61AA8">
          <w:pPr>
            <w:spacing w:after="0"/>
            <w:rPr>
              <w:rFonts w:ascii="Times New Roman" w:hAnsi="Times New Roman"/>
              <w:sz w:val="24"/>
              <w:szCs w:val="24"/>
              <w:lang w:val="es-MX"/>
            </w:rPr>
          </w:pPr>
          <w:r w:rsidRPr="0020113A">
            <w:rPr>
              <w:rFonts w:ascii="Times New Roman" w:hAnsi="Times New Roman"/>
              <w:b/>
              <w:bCs/>
              <w:sz w:val="24"/>
              <w:szCs w:val="24"/>
              <w:lang w:val="es-MX"/>
            </w:rPr>
            <w:lastRenderedPageBreak/>
            <w:t xml:space="preserve">Fecha de Inicio:  </w:t>
          </w:r>
          <w:r w:rsidRPr="0020113A">
            <w:rPr>
              <w:rFonts w:ascii="Times New Roman" w:hAnsi="Times New Roman"/>
              <w:sz w:val="24"/>
              <w:szCs w:val="24"/>
              <w:lang w:val="es-MX"/>
            </w:rPr>
            <w:t>24 de agosto de 1994</w:t>
          </w:r>
        </w:p>
        <w:p w14:paraId="383A1ED0" w14:textId="77777777" w:rsidR="007803E3" w:rsidRPr="0020113A" w:rsidRDefault="007803E3" w:rsidP="68E61AA8">
          <w:pPr>
            <w:spacing w:after="0"/>
            <w:rPr>
              <w:rFonts w:ascii="Times New Roman" w:hAnsi="Times New Roman"/>
              <w:sz w:val="24"/>
              <w:szCs w:val="24"/>
              <w:lang w:val="es-MX"/>
            </w:rPr>
          </w:pPr>
          <w:r w:rsidRPr="0020113A">
            <w:rPr>
              <w:rFonts w:ascii="Times New Roman" w:hAnsi="Times New Roman"/>
              <w:b/>
              <w:bCs/>
              <w:sz w:val="24"/>
              <w:szCs w:val="24"/>
              <w:lang w:val="es-MX"/>
            </w:rPr>
            <w:t xml:space="preserve">Fecha de Finalización Estimada:  </w:t>
          </w:r>
          <w:r w:rsidRPr="0020113A">
            <w:rPr>
              <w:rFonts w:ascii="Times New Roman" w:hAnsi="Times New Roman"/>
              <w:sz w:val="24"/>
              <w:szCs w:val="24"/>
              <w:lang w:val="es-MX"/>
            </w:rPr>
            <w:t>27 de Julio de 2030</w:t>
          </w:r>
        </w:p>
        <w:p w14:paraId="28BCE496" w14:textId="77777777" w:rsidR="007803E3" w:rsidRPr="0020113A" w:rsidRDefault="007803E3" w:rsidP="68E61AA8">
          <w:pPr>
            <w:spacing w:after="0"/>
            <w:rPr>
              <w:rFonts w:ascii="Times New Roman" w:hAnsi="Times New Roman"/>
              <w:sz w:val="24"/>
              <w:szCs w:val="24"/>
              <w:lang w:val="es-MX"/>
            </w:rPr>
          </w:pPr>
          <w:r w:rsidRPr="0020113A">
            <w:rPr>
              <w:rFonts w:ascii="Times New Roman" w:hAnsi="Times New Roman"/>
              <w:b/>
              <w:bCs/>
              <w:sz w:val="24"/>
              <w:szCs w:val="24"/>
              <w:lang w:val="es-MX"/>
            </w:rPr>
            <w:t xml:space="preserve">Tipo ID:  </w:t>
          </w:r>
          <w:r w:rsidRPr="0020113A">
            <w:rPr>
              <w:rFonts w:ascii="Times New Roman" w:hAnsi="Times New Roman"/>
              <w:sz w:val="24"/>
              <w:szCs w:val="24"/>
              <w:lang w:val="es-MX"/>
            </w:rPr>
            <w:t>NIT</w:t>
          </w:r>
        </w:p>
        <w:p w14:paraId="719A0BDB" w14:textId="77777777" w:rsidR="007803E3" w:rsidRPr="0020113A" w:rsidRDefault="007803E3" w:rsidP="68E61AA8">
          <w:pPr>
            <w:spacing w:after="0"/>
            <w:rPr>
              <w:rFonts w:ascii="Times New Roman" w:hAnsi="Times New Roman"/>
              <w:sz w:val="24"/>
              <w:szCs w:val="24"/>
              <w:lang w:val="es-MX"/>
            </w:rPr>
          </w:pPr>
          <w:r w:rsidRPr="0020113A">
            <w:rPr>
              <w:rFonts w:ascii="Times New Roman" w:hAnsi="Times New Roman"/>
              <w:b/>
              <w:bCs/>
              <w:sz w:val="24"/>
              <w:szCs w:val="24"/>
              <w:lang w:val="es-MX"/>
            </w:rPr>
            <w:t xml:space="preserve">Numero ID:  </w:t>
          </w:r>
          <w:r w:rsidRPr="0020113A">
            <w:rPr>
              <w:rFonts w:ascii="Times New Roman" w:hAnsi="Times New Roman"/>
              <w:sz w:val="24"/>
              <w:szCs w:val="24"/>
              <w:lang w:val="es-MX"/>
            </w:rPr>
            <w:t>800.235.278 - 1</w:t>
          </w:r>
        </w:p>
        <w:p w14:paraId="3DC5C7B2" w14:textId="77777777" w:rsidR="007803E3" w:rsidRPr="0020113A" w:rsidRDefault="007803E3" w:rsidP="68E61AA8">
          <w:pPr>
            <w:spacing w:after="0"/>
            <w:rPr>
              <w:rFonts w:ascii="Times New Roman" w:hAnsi="Times New Roman"/>
              <w:b/>
              <w:bCs/>
              <w:sz w:val="24"/>
              <w:szCs w:val="24"/>
              <w:lang w:val="es-MX"/>
            </w:rPr>
          </w:pPr>
          <w:r w:rsidRPr="0020113A">
            <w:rPr>
              <w:rFonts w:ascii="Times New Roman" w:hAnsi="Times New Roman"/>
              <w:b/>
              <w:bCs/>
              <w:sz w:val="24"/>
              <w:szCs w:val="24"/>
              <w:lang w:val="es-MX"/>
            </w:rPr>
            <w:t xml:space="preserve">Razón Social del Concesionario:  </w:t>
          </w:r>
          <w:r w:rsidRPr="0020113A">
            <w:rPr>
              <w:rFonts w:ascii="Times New Roman" w:hAnsi="Times New Roman"/>
              <w:sz w:val="24"/>
              <w:szCs w:val="24"/>
              <w:lang w:val="es-MX"/>
            </w:rPr>
            <w:t>CONCESION SANTA MARTA PARAGUACHON S.A</w:t>
          </w:r>
        </w:p>
        <w:p w14:paraId="678ACA4F" w14:textId="77777777" w:rsidR="007803E3" w:rsidRPr="0020113A" w:rsidRDefault="007803E3" w:rsidP="68E61AA8">
          <w:pPr>
            <w:spacing w:after="0"/>
            <w:rPr>
              <w:rFonts w:ascii="Times New Roman" w:hAnsi="Times New Roman"/>
              <w:b/>
              <w:sz w:val="24"/>
              <w:szCs w:val="24"/>
              <w:lang w:val="es-MX"/>
            </w:rPr>
          </w:pPr>
          <w:r w:rsidRPr="0020113A">
            <w:rPr>
              <w:rFonts w:ascii="Times New Roman" w:hAnsi="Times New Roman"/>
              <w:b/>
              <w:bCs/>
              <w:sz w:val="24"/>
              <w:szCs w:val="24"/>
              <w:lang w:val="es-MX"/>
            </w:rPr>
            <w:t xml:space="preserve">Nombre del Proyecto:  </w:t>
          </w:r>
          <w:r w:rsidRPr="0020113A">
            <w:rPr>
              <w:rFonts w:ascii="Times New Roman" w:hAnsi="Times New Roman"/>
              <w:sz w:val="24"/>
              <w:szCs w:val="24"/>
              <w:lang w:val="es-MX"/>
            </w:rPr>
            <w:t>SANTA MARTA - RIOHACHA - PARAGUACHÓN</w:t>
          </w:r>
        </w:p>
        <w:p w14:paraId="52801FF3" w14:textId="77777777" w:rsidR="007803E3" w:rsidRPr="0020113A" w:rsidRDefault="007803E3" w:rsidP="007803E3">
          <w:pPr>
            <w:rPr>
              <w:rFonts w:ascii="Times New Roman" w:hAnsi="Times New Roman"/>
              <w:sz w:val="24"/>
              <w:szCs w:val="24"/>
              <w:lang w:val="es-MX"/>
            </w:rPr>
          </w:pPr>
        </w:p>
        <w:p w14:paraId="185692A8" w14:textId="77777777" w:rsidR="007803E3" w:rsidRPr="0020113A" w:rsidRDefault="007803E3" w:rsidP="00E60BAB">
          <w:pPr>
            <w:pStyle w:val="Prrafodelista"/>
            <w:numPr>
              <w:ilvl w:val="0"/>
              <w:numId w:val="101"/>
            </w:numPr>
            <w:spacing w:line="259" w:lineRule="auto"/>
            <w:rPr>
              <w:rFonts w:ascii="Times New Roman" w:hAnsi="Times New Roman"/>
              <w:b/>
              <w:bCs/>
              <w:sz w:val="24"/>
              <w:szCs w:val="24"/>
              <w:lang w:val="es-MX"/>
            </w:rPr>
          </w:pPr>
          <w:r w:rsidRPr="0020113A">
            <w:rPr>
              <w:rFonts w:ascii="Times New Roman" w:hAnsi="Times New Roman"/>
              <w:b/>
              <w:bCs/>
              <w:sz w:val="24"/>
              <w:szCs w:val="24"/>
              <w:lang w:val="es-MX"/>
            </w:rPr>
            <w:t xml:space="preserve">Términos significativos del acuerdo que puedan afectar su valor, el calendario y la </w:t>
          </w:r>
          <w:r w:rsidRPr="0020113A">
            <w:rPr>
              <w:rFonts w:ascii="Times New Roman" w:hAnsi="Times New Roman"/>
              <w:sz w:val="24"/>
              <w:szCs w:val="24"/>
            </w:rPr>
            <w:tab/>
          </w:r>
          <w:r w:rsidRPr="0020113A">
            <w:rPr>
              <w:rFonts w:ascii="Times New Roman" w:hAnsi="Times New Roman"/>
              <w:b/>
              <w:bCs/>
              <w:sz w:val="24"/>
              <w:szCs w:val="24"/>
              <w:lang w:val="es-MX"/>
            </w:rPr>
            <w:t>certeza de los flujos</w:t>
          </w:r>
        </w:p>
        <w:p w14:paraId="4C4507A7" w14:textId="77777777" w:rsidR="007803E3" w:rsidRPr="0020113A" w:rsidRDefault="007803E3" w:rsidP="007803E3">
          <w:pPr>
            <w:rPr>
              <w:rFonts w:ascii="Times New Roman" w:hAnsi="Times New Roman"/>
              <w:b/>
              <w:bCs/>
              <w:sz w:val="24"/>
              <w:szCs w:val="24"/>
              <w:lang w:val="es-MX"/>
            </w:rPr>
          </w:pPr>
        </w:p>
        <w:p w14:paraId="0F437C98" w14:textId="5032C22E" w:rsidR="007803E3" w:rsidRPr="0020113A" w:rsidRDefault="007803E3" w:rsidP="007803E3">
          <w:pPr>
            <w:rPr>
              <w:rFonts w:ascii="Times New Roman" w:hAnsi="Times New Roman"/>
              <w:sz w:val="24"/>
              <w:szCs w:val="24"/>
              <w:lang w:val="es-MX"/>
            </w:rPr>
          </w:pPr>
          <w:r w:rsidRPr="6F08DD59">
            <w:rPr>
              <w:rFonts w:ascii="Times New Roman" w:hAnsi="Times New Roman"/>
              <w:b/>
              <w:bCs/>
              <w:sz w:val="24"/>
              <w:szCs w:val="24"/>
              <w:lang w:val="es-MX"/>
            </w:rPr>
            <w:t xml:space="preserve">Términos de Valor: </w:t>
          </w:r>
          <w:r w:rsidR="50A5419A" w:rsidRPr="6F08DD59">
            <w:rPr>
              <w:rFonts w:ascii="Times New Roman" w:hAnsi="Times New Roman"/>
              <w:sz w:val="24"/>
              <w:szCs w:val="24"/>
              <w:lang w:val="es-MX"/>
            </w:rPr>
            <w:t>Para el año 2023 no se presentó ningún hecho que pudiera afectar los términos de valor.</w:t>
          </w:r>
        </w:p>
        <w:p w14:paraId="7299535E" w14:textId="32496659" w:rsidR="007803E3" w:rsidRPr="0020113A" w:rsidRDefault="007803E3" w:rsidP="64D7DA64">
          <w:pPr>
            <w:jc w:val="both"/>
            <w:rPr>
              <w:rFonts w:ascii="Times New Roman" w:hAnsi="Times New Roman"/>
              <w:sz w:val="24"/>
              <w:szCs w:val="24"/>
              <w:lang w:val="es-MX"/>
            </w:rPr>
          </w:pPr>
          <w:r w:rsidRPr="0020113A">
            <w:rPr>
              <w:rFonts w:ascii="Times New Roman" w:hAnsi="Times New Roman"/>
              <w:b/>
              <w:bCs/>
              <w:sz w:val="24"/>
              <w:szCs w:val="24"/>
              <w:lang w:val="es-MX"/>
            </w:rPr>
            <w:t>Términos de Calendario:</w:t>
          </w:r>
          <w:r w:rsidR="5B224CFD" w:rsidRPr="64D7DA64">
            <w:rPr>
              <w:rFonts w:ascii="Times New Roman" w:hAnsi="Times New Roman"/>
              <w:b/>
              <w:bCs/>
              <w:sz w:val="24"/>
              <w:szCs w:val="24"/>
              <w:lang w:val="es-MX"/>
            </w:rPr>
            <w:t xml:space="preserve"> </w:t>
          </w:r>
          <w:r w:rsidRPr="0020113A">
            <w:rPr>
              <w:rFonts w:ascii="Times New Roman" w:hAnsi="Times New Roman"/>
              <w:sz w:val="24"/>
              <w:szCs w:val="24"/>
              <w:lang w:val="es-MX"/>
            </w:rPr>
            <w:t>Otrosí 10 amplia el contrato hasta julio 2030.Diseño y Rehabilitación Paso Nacional por el municipio de Riohacha, Diseño de la Rehabilitación y mejoramiento de la vía Riohacha La Florida, Revisión de los diseños del sector Maicao Carraipía Paradero y mejoramiento del sector Maicao Carraipía Paradero</w:t>
          </w:r>
        </w:p>
        <w:p w14:paraId="7F2031F5" w14:textId="7E495D34" w:rsidR="007803E3" w:rsidRPr="0020113A" w:rsidRDefault="007803E3" w:rsidP="64D7DA64">
          <w:pPr>
            <w:jc w:val="both"/>
            <w:rPr>
              <w:rFonts w:ascii="Times New Roman" w:hAnsi="Times New Roman"/>
              <w:b/>
              <w:bCs/>
              <w:sz w:val="24"/>
              <w:szCs w:val="24"/>
              <w:lang w:val="es-MX"/>
            </w:rPr>
          </w:pPr>
          <w:r w:rsidRPr="64D7DA64">
            <w:rPr>
              <w:rFonts w:ascii="Times New Roman" w:hAnsi="Times New Roman"/>
              <w:b/>
              <w:bCs/>
              <w:sz w:val="24"/>
              <w:szCs w:val="24"/>
              <w:lang w:val="es-MX"/>
            </w:rPr>
            <w:t>Términos de Certeza de Flujos de Efectivo Futuros:</w:t>
          </w:r>
          <w:r w:rsidR="4B1C4BD7" w:rsidRPr="64D7DA64">
            <w:rPr>
              <w:rFonts w:ascii="Times New Roman" w:hAnsi="Times New Roman"/>
              <w:sz w:val="24"/>
              <w:szCs w:val="24"/>
              <w:lang w:val="es-MX"/>
            </w:rPr>
            <w:t xml:space="preserve"> Para el año 2023 no se presentó ningún hecho que pudiera afectar los términos de certeza de los flujos de efectivo.</w:t>
          </w:r>
        </w:p>
        <w:p w14:paraId="11298B1A" w14:textId="77777777" w:rsidR="007803E3" w:rsidRPr="0020113A" w:rsidRDefault="007803E3" w:rsidP="007803E3">
          <w:pPr>
            <w:rPr>
              <w:rFonts w:ascii="Times New Roman" w:hAnsi="Times New Roman"/>
              <w:b/>
              <w:bCs/>
              <w:sz w:val="24"/>
              <w:szCs w:val="24"/>
              <w:lang w:val="es-MX"/>
            </w:rPr>
          </w:pPr>
        </w:p>
        <w:p w14:paraId="01CA2B1B" w14:textId="77777777" w:rsidR="007803E3" w:rsidRPr="0020113A" w:rsidRDefault="007803E3" w:rsidP="00E60BAB">
          <w:pPr>
            <w:pStyle w:val="Prrafodelista"/>
            <w:numPr>
              <w:ilvl w:val="0"/>
              <w:numId w:val="101"/>
            </w:numPr>
            <w:spacing w:line="259" w:lineRule="auto"/>
            <w:jc w:val="both"/>
            <w:rPr>
              <w:rFonts w:ascii="Times New Roman" w:hAnsi="Times New Roman"/>
              <w:b/>
              <w:bCs/>
              <w:sz w:val="24"/>
              <w:szCs w:val="24"/>
              <w:lang w:val="es-MX"/>
            </w:rPr>
          </w:pPr>
          <w:r w:rsidRPr="0020113A">
            <w:rPr>
              <w:rFonts w:ascii="Times New Roman" w:hAnsi="Times New Roman"/>
              <w:b/>
              <w:bCs/>
              <w:sz w:val="24"/>
              <w:szCs w:val="24"/>
              <w:lang w:val="es-MX"/>
            </w:rPr>
            <w:t>Naturaleza y alcance del derecho a utilizar activos especificados, de los aspectos pactados en torno a lo que se espera que el concesionario proporcione en relación con el acuerdo de concesión</w:t>
          </w:r>
        </w:p>
        <w:p w14:paraId="43E4694D" w14:textId="77777777" w:rsidR="007803E3" w:rsidRPr="0020113A" w:rsidRDefault="007803E3" w:rsidP="007803E3">
          <w:pPr>
            <w:rPr>
              <w:rFonts w:ascii="Times New Roman" w:hAnsi="Times New Roman"/>
              <w:b/>
              <w:bCs/>
              <w:sz w:val="24"/>
              <w:szCs w:val="24"/>
              <w:lang w:val="es-MX"/>
            </w:rPr>
          </w:pPr>
        </w:p>
        <w:p w14:paraId="2CA8752F" w14:textId="77777777" w:rsidR="007803E3" w:rsidRPr="0020113A" w:rsidRDefault="007803E3" w:rsidP="007803E3">
          <w:pPr>
            <w:jc w:val="center"/>
            <w:rPr>
              <w:rFonts w:ascii="Times New Roman" w:hAnsi="Times New Roman"/>
              <w:b/>
              <w:bCs/>
              <w:sz w:val="24"/>
              <w:szCs w:val="24"/>
              <w:lang w:val="es-MX"/>
            </w:rPr>
          </w:pPr>
          <w:r w:rsidRPr="0020113A">
            <w:rPr>
              <w:rFonts w:ascii="Times New Roman" w:hAnsi="Times New Roman"/>
              <w:b/>
              <w:bCs/>
              <w:sz w:val="24"/>
              <w:szCs w:val="24"/>
              <w:lang w:val="es-MX"/>
            </w:rPr>
            <w:t>Naturaleza y alcance del derecho de uso de los activos</w:t>
          </w:r>
        </w:p>
        <w:p w14:paraId="55A45E1F" w14:textId="77777777" w:rsidR="007803E3" w:rsidRPr="0020113A" w:rsidRDefault="007803E3" w:rsidP="007803E3">
          <w:pPr>
            <w:rPr>
              <w:rFonts w:ascii="Times New Roman" w:hAnsi="Times New Roman"/>
              <w:b/>
              <w:bCs/>
              <w:sz w:val="24"/>
              <w:szCs w:val="24"/>
              <w:lang w:val="es-MX"/>
            </w:rPr>
          </w:pPr>
          <w:r w:rsidRPr="0020113A">
            <w:rPr>
              <w:rFonts w:ascii="Times New Roman" w:hAnsi="Times New Roman"/>
              <w:b/>
              <w:bCs/>
              <w:sz w:val="24"/>
              <w:szCs w:val="24"/>
              <w:lang w:val="es-MX"/>
            </w:rPr>
            <w:t>Descripción:</w:t>
          </w:r>
        </w:p>
        <w:p w14:paraId="1DBBA122" w14:textId="77777777" w:rsidR="007803E3" w:rsidRPr="0020113A" w:rsidRDefault="007803E3" w:rsidP="64D7DA64">
          <w:pPr>
            <w:jc w:val="both"/>
            <w:rPr>
              <w:rFonts w:ascii="Times New Roman" w:hAnsi="Times New Roman"/>
              <w:sz w:val="24"/>
              <w:szCs w:val="24"/>
              <w:lang w:val="es-MX"/>
            </w:rPr>
          </w:pPr>
          <w:r w:rsidRPr="0020113A">
            <w:rPr>
              <w:rFonts w:ascii="Times New Roman" w:hAnsi="Times New Roman"/>
              <w:sz w:val="24"/>
              <w:szCs w:val="24"/>
              <w:lang w:val="es-MX"/>
            </w:rPr>
            <w:t>Mediante la figura de concesión se asigna a la Concesión las actividades de construcción y mejoramiento de vías, prestación de servicios complementarios, operación, explotación, organización y gestión total del corredor vial por cuenta y riesgo del concesionario.</w:t>
          </w:r>
        </w:p>
        <w:p w14:paraId="42214EF9" w14:textId="77777777" w:rsidR="007803E3" w:rsidRPr="0020113A" w:rsidRDefault="007803E3" w:rsidP="64D7DA64">
          <w:pPr>
            <w:jc w:val="both"/>
            <w:rPr>
              <w:rFonts w:ascii="Times New Roman" w:hAnsi="Times New Roman"/>
              <w:sz w:val="24"/>
              <w:szCs w:val="24"/>
              <w:lang w:val="es-MX"/>
            </w:rPr>
          </w:pPr>
          <w:r w:rsidRPr="0020113A">
            <w:rPr>
              <w:rFonts w:ascii="Times New Roman" w:hAnsi="Times New Roman"/>
              <w:sz w:val="24"/>
              <w:szCs w:val="24"/>
              <w:lang w:val="es-MX"/>
            </w:rPr>
            <w:t>Los servicios básicos o esenciales que deberá prestar el Concesionario, directa o indirectamente a través de terceros, son los siguientes:</w:t>
          </w:r>
        </w:p>
        <w:p w14:paraId="12DF7416" w14:textId="77777777" w:rsidR="007803E3" w:rsidRPr="0020113A" w:rsidRDefault="007803E3" w:rsidP="00E60BAB">
          <w:pPr>
            <w:pStyle w:val="Prrafodelista"/>
            <w:numPr>
              <w:ilvl w:val="0"/>
              <w:numId w:val="103"/>
            </w:numPr>
            <w:spacing w:line="259" w:lineRule="auto"/>
            <w:rPr>
              <w:rFonts w:ascii="Times New Roman" w:hAnsi="Times New Roman"/>
              <w:sz w:val="24"/>
              <w:szCs w:val="24"/>
              <w:lang w:val="es-MX"/>
            </w:rPr>
          </w:pPr>
          <w:r w:rsidRPr="0020113A">
            <w:rPr>
              <w:rFonts w:ascii="Times New Roman" w:hAnsi="Times New Roman"/>
              <w:sz w:val="24"/>
              <w:szCs w:val="24"/>
              <w:lang w:val="es-MX"/>
            </w:rPr>
            <w:t>§ Mantenimiento del Sector</w:t>
          </w:r>
        </w:p>
        <w:p w14:paraId="21752A5D" w14:textId="77777777" w:rsidR="007803E3" w:rsidRPr="0020113A" w:rsidRDefault="007803E3" w:rsidP="00E60BAB">
          <w:pPr>
            <w:pStyle w:val="Prrafodelista"/>
            <w:numPr>
              <w:ilvl w:val="0"/>
              <w:numId w:val="103"/>
            </w:numPr>
            <w:spacing w:line="259" w:lineRule="auto"/>
            <w:rPr>
              <w:rFonts w:ascii="Times New Roman" w:hAnsi="Times New Roman"/>
              <w:sz w:val="24"/>
              <w:szCs w:val="24"/>
              <w:lang w:val="es-MX"/>
            </w:rPr>
          </w:pPr>
          <w:r w:rsidRPr="0020113A">
            <w:rPr>
              <w:rFonts w:ascii="Times New Roman" w:hAnsi="Times New Roman"/>
              <w:sz w:val="24"/>
              <w:szCs w:val="24"/>
              <w:lang w:val="es-MX"/>
            </w:rPr>
            <w:t>§ Operación de las Estaciones de Peaje</w:t>
          </w:r>
        </w:p>
        <w:p w14:paraId="26E6F85F" w14:textId="77777777" w:rsidR="007803E3" w:rsidRPr="0020113A" w:rsidRDefault="007803E3" w:rsidP="00E60BAB">
          <w:pPr>
            <w:pStyle w:val="Prrafodelista"/>
            <w:numPr>
              <w:ilvl w:val="0"/>
              <w:numId w:val="103"/>
            </w:numPr>
            <w:spacing w:line="259" w:lineRule="auto"/>
            <w:rPr>
              <w:rFonts w:ascii="Times New Roman" w:hAnsi="Times New Roman"/>
              <w:sz w:val="24"/>
              <w:szCs w:val="24"/>
              <w:lang w:val="es-MX"/>
            </w:rPr>
          </w:pPr>
          <w:r w:rsidRPr="0020113A">
            <w:rPr>
              <w:rFonts w:ascii="Times New Roman" w:hAnsi="Times New Roman"/>
              <w:sz w:val="24"/>
              <w:szCs w:val="24"/>
              <w:lang w:val="es-MX"/>
            </w:rPr>
            <w:t>§ Operación y seguimiento del tránsito</w:t>
          </w:r>
        </w:p>
        <w:p w14:paraId="05D30C0A" w14:textId="77777777" w:rsidR="007803E3" w:rsidRPr="0020113A" w:rsidRDefault="007803E3" w:rsidP="00E60BAB">
          <w:pPr>
            <w:pStyle w:val="Prrafodelista"/>
            <w:numPr>
              <w:ilvl w:val="0"/>
              <w:numId w:val="103"/>
            </w:numPr>
            <w:spacing w:line="259" w:lineRule="auto"/>
            <w:rPr>
              <w:rFonts w:ascii="Times New Roman" w:hAnsi="Times New Roman"/>
              <w:sz w:val="24"/>
              <w:szCs w:val="24"/>
              <w:lang w:val="es-MX"/>
            </w:rPr>
          </w:pPr>
          <w:r w:rsidRPr="0020113A">
            <w:rPr>
              <w:rFonts w:ascii="Times New Roman" w:hAnsi="Times New Roman"/>
              <w:sz w:val="24"/>
              <w:szCs w:val="24"/>
              <w:lang w:val="es-MX"/>
            </w:rPr>
            <w:t>§ Seguridad vial</w:t>
          </w:r>
        </w:p>
        <w:p w14:paraId="0C817F9A" w14:textId="77777777" w:rsidR="007803E3" w:rsidRPr="0020113A" w:rsidRDefault="007803E3" w:rsidP="00E60BAB">
          <w:pPr>
            <w:pStyle w:val="Prrafodelista"/>
            <w:numPr>
              <w:ilvl w:val="0"/>
              <w:numId w:val="103"/>
            </w:numPr>
            <w:spacing w:line="259" w:lineRule="auto"/>
            <w:rPr>
              <w:rFonts w:ascii="Times New Roman" w:hAnsi="Times New Roman"/>
              <w:sz w:val="24"/>
              <w:szCs w:val="24"/>
              <w:lang w:val="es-MX"/>
            </w:rPr>
          </w:pPr>
          <w:r w:rsidRPr="0020113A">
            <w:rPr>
              <w:rFonts w:ascii="Times New Roman" w:hAnsi="Times New Roman"/>
              <w:sz w:val="24"/>
              <w:szCs w:val="24"/>
              <w:lang w:val="es-MX"/>
            </w:rPr>
            <w:t>§ Atención de accidentes</w:t>
          </w:r>
        </w:p>
        <w:p w14:paraId="5F08F19D" w14:textId="77777777" w:rsidR="007803E3" w:rsidRPr="0020113A" w:rsidRDefault="007803E3" w:rsidP="00E60BAB">
          <w:pPr>
            <w:pStyle w:val="Prrafodelista"/>
            <w:numPr>
              <w:ilvl w:val="0"/>
              <w:numId w:val="103"/>
            </w:numPr>
            <w:spacing w:line="259" w:lineRule="auto"/>
            <w:rPr>
              <w:rFonts w:ascii="Times New Roman" w:hAnsi="Times New Roman"/>
              <w:sz w:val="24"/>
              <w:szCs w:val="24"/>
              <w:lang w:val="es-MX"/>
            </w:rPr>
          </w:pPr>
          <w:r w:rsidRPr="0020113A">
            <w:rPr>
              <w:rFonts w:ascii="Times New Roman" w:hAnsi="Times New Roman"/>
              <w:sz w:val="24"/>
              <w:szCs w:val="24"/>
              <w:lang w:val="es-MX"/>
            </w:rPr>
            <w:t>§ Primeros auxilios a personas</w:t>
          </w:r>
        </w:p>
        <w:p w14:paraId="7529F67D" w14:textId="77777777" w:rsidR="007803E3" w:rsidRPr="0020113A" w:rsidRDefault="007803E3" w:rsidP="00E60BAB">
          <w:pPr>
            <w:pStyle w:val="Prrafodelista"/>
            <w:numPr>
              <w:ilvl w:val="0"/>
              <w:numId w:val="103"/>
            </w:numPr>
            <w:spacing w:line="259" w:lineRule="auto"/>
            <w:rPr>
              <w:rFonts w:ascii="Times New Roman" w:hAnsi="Times New Roman"/>
              <w:sz w:val="24"/>
              <w:szCs w:val="24"/>
              <w:lang w:val="es-MX"/>
            </w:rPr>
          </w:pPr>
          <w:r w:rsidRPr="0020113A">
            <w:rPr>
              <w:rFonts w:ascii="Times New Roman" w:hAnsi="Times New Roman"/>
              <w:sz w:val="24"/>
              <w:szCs w:val="24"/>
              <w:lang w:val="es-MX"/>
            </w:rPr>
            <w:lastRenderedPageBreak/>
            <w:t>§ Primeros auxilios a vehículos</w:t>
          </w:r>
        </w:p>
        <w:p w14:paraId="65E20D2C" w14:textId="77777777" w:rsidR="007803E3" w:rsidRPr="0020113A" w:rsidRDefault="007803E3" w:rsidP="00E60BAB">
          <w:pPr>
            <w:pStyle w:val="Prrafodelista"/>
            <w:numPr>
              <w:ilvl w:val="0"/>
              <w:numId w:val="103"/>
            </w:numPr>
            <w:spacing w:line="259" w:lineRule="auto"/>
            <w:rPr>
              <w:rFonts w:ascii="Times New Roman" w:hAnsi="Times New Roman"/>
              <w:sz w:val="24"/>
              <w:szCs w:val="24"/>
              <w:lang w:val="es-MX"/>
            </w:rPr>
          </w:pPr>
          <w:r w:rsidRPr="0020113A">
            <w:rPr>
              <w:rFonts w:ascii="Times New Roman" w:hAnsi="Times New Roman"/>
              <w:sz w:val="24"/>
              <w:szCs w:val="24"/>
              <w:lang w:val="es-MX"/>
            </w:rPr>
            <w:t>§ Manejo y control Ambiental</w:t>
          </w:r>
        </w:p>
        <w:p w14:paraId="2C204340" w14:textId="77777777" w:rsidR="007803E3" w:rsidRPr="0020113A" w:rsidRDefault="007803E3" w:rsidP="00E60BAB">
          <w:pPr>
            <w:pStyle w:val="Prrafodelista"/>
            <w:numPr>
              <w:ilvl w:val="0"/>
              <w:numId w:val="103"/>
            </w:numPr>
            <w:spacing w:line="259" w:lineRule="auto"/>
            <w:rPr>
              <w:rFonts w:ascii="Times New Roman" w:hAnsi="Times New Roman"/>
              <w:sz w:val="24"/>
              <w:szCs w:val="24"/>
              <w:lang w:val="es-MX"/>
            </w:rPr>
          </w:pPr>
          <w:r w:rsidRPr="0020113A">
            <w:rPr>
              <w:rFonts w:ascii="Times New Roman" w:hAnsi="Times New Roman"/>
              <w:sz w:val="24"/>
              <w:szCs w:val="24"/>
              <w:lang w:val="es-MX"/>
            </w:rPr>
            <w:t>§ Áreas de Servicio</w:t>
          </w:r>
        </w:p>
        <w:p w14:paraId="6CC0C829" w14:textId="77777777" w:rsidR="007803E3" w:rsidRPr="0020113A" w:rsidRDefault="007803E3" w:rsidP="00E60BAB">
          <w:pPr>
            <w:pStyle w:val="Prrafodelista"/>
            <w:numPr>
              <w:ilvl w:val="0"/>
              <w:numId w:val="103"/>
            </w:numPr>
            <w:spacing w:line="259" w:lineRule="auto"/>
            <w:rPr>
              <w:rFonts w:ascii="Times New Roman" w:hAnsi="Times New Roman"/>
              <w:sz w:val="24"/>
              <w:szCs w:val="24"/>
              <w:lang w:val="es-MX"/>
            </w:rPr>
          </w:pPr>
          <w:r w:rsidRPr="0020113A">
            <w:rPr>
              <w:rFonts w:ascii="Times New Roman" w:hAnsi="Times New Roman"/>
              <w:sz w:val="24"/>
              <w:szCs w:val="24"/>
              <w:lang w:val="es-MX"/>
            </w:rPr>
            <w:t>§ Control del peso de vehículos de carga (Estaciones de Pesaje)</w:t>
          </w:r>
        </w:p>
        <w:p w14:paraId="3ACBCBE6" w14:textId="77777777" w:rsidR="007803E3" w:rsidRPr="0020113A" w:rsidRDefault="007803E3" w:rsidP="00E60BAB">
          <w:pPr>
            <w:pStyle w:val="Prrafodelista"/>
            <w:numPr>
              <w:ilvl w:val="0"/>
              <w:numId w:val="103"/>
            </w:numPr>
            <w:spacing w:line="259" w:lineRule="auto"/>
            <w:rPr>
              <w:rFonts w:ascii="Times New Roman" w:hAnsi="Times New Roman"/>
              <w:sz w:val="24"/>
              <w:szCs w:val="24"/>
              <w:lang w:val="es-MX"/>
            </w:rPr>
          </w:pPr>
          <w:r w:rsidRPr="0020113A">
            <w:rPr>
              <w:rFonts w:ascii="Times New Roman" w:hAnsi="Times New Roman"/>
              <w:sz w:val="24"/>
              <w:szCs w:val="24"/>
              <w:lang w:val="es-MX"/>
            </w:rPr>
            <w:t>§ Vigilancia de las instalaciones de las Estaciones de Peaje</w:t>
          </w:r>
        </w:p>
        <w:p w14:paraId="375A0BE6" w14:textId="77777777" w:rsidR="007803E3" w:rsidRPr="0020113A" w:rsidRDefault="007803E3" w:rsidP="00E60BAB">
          <w:pPr>
            <w:pStyle w:val="Prrafodelista"/>
            <w:numPr>
              <w:ilvl w:val="0"/>
              <w:numId w:val="103"/>
            </w:numPr>
            <w:spacing w:line="259" w:lineRule="auto"/>
            <w:rPr>
              <w:rFonts w:ascii="Times New Roman" w:hAnsi="Times New Roman"/>
              <w:sz w:val="24"/>
              <w:szCs w:val="24"/>
              <w:lang w:val="es-MX"/>
            </w:rPr>
          </w:pPr>
          <w:r w:rsidRPr="0020113A">
            <w:rPr>
              <w:rFonts w:ascii="Times New Roman" w:hAnsi="Times New Roman"/>
              <w:sz w:val="24"/>
              <w:szCs w:val="24"/>
              <w:lang w:val="es-MX"/>
            </w:rPr>
            <w:t>§ Comunicaciones con el Centro de Control de Operación</w:t>
          </w:r>
        </w:p>
        <w:p w14:paraId="14874C20" w14:textId="77777777" w:rsidR="007803E3" w:rsidRPr="0020113A" w:rsidRDefault="007803E3" w:rsidP="00E60BAB">
          <w:pPr>
            <w:pStyle w:val="Prrafodelista"/>
            <w:numPr>
              <w:ilvl w:val="0"/>
              <w:numId w:val="103"/>
            </w:numPr>
            <w:spacing w:line="259" w:lineRule="auto"/>
            <w:rPr>
              <w:rFonts w:ascii="Times New Roman" w:hAnsi="Times New Roman"/>
              <w:sz w:val="24"/>
              <w:szCs w:val="24"/>
              <w:lang w:val="es-MX"/>
            </w:rPr>
          </w:pPr>
          <w:r w:rsidRPr="0020113A">
            <w:rPr>
              <w:rFonts w:ascii="Times New Roman" w:hAnsi="Times New Roman"/>
              <w:sz w:val="24"/>
              <w:szCs w:val="24"/>
              <w:lang w:val="es-MX"/>
            </w:rPr>
            <w:t>§ Seguridad del Sector y de los Usuarios del Sector</w:t>
          </w:r>
        </w:p>
        <w:p w14:paraId="25802BBD" w14:textId="77777777" w:rsidR="007803E3" w:rsidRPr="0020113A" w:rsidRDefault="007803E3" w:rsidP="00E60BAB">
          <w:pPr>
            <w:pStyle w:val="Prrafodelista"/>
            <w:numPr>
              <w:ilvl w:val="0"/>
              <w:numId w:val="103"/>
            </w:numPr>
            <w:spacing w:line="259" w:lineRule="auto"/>
            <w:rPr>
              <w:rFonts w:ascii="Times New Roman" w:hAnsi="Times New Roman"/>
              <w:sz w:val="24"/>
              <w:szCs w:val="24"/>
              <w:lang w:val="es-MX"/>
            </w:rPr>
          </w:pPr>
          <w:r w:rsidRPr="0020113A">
            <w:rPr>
              <w:rFonts w:ascii="Times New Roman" w:hAnsi="Times New Roman"/>
              <w:sz w:val="24"/>
              <w:szCs w:val="24"/>
              <w:lang w:val="es-MX"/>
            </w:rPr>
            <w:t>§ Paraderos para el servicio de transporte público.</w:t>
          </w:r>
        </w:p>
        <w:p w14:paraId="411AA968" w14:textId="77777777" w:rsidR="007803E3" w:rsidRPr="0020113A" w:rsidRDefault="007803E3" w:rsidP="007803E3">
          <w:pPr>
            <w:rPr>
              <w:rFonts w:ascii="Times New Roman" w:hAnsi="Times New Roman"/>
              <w:sz w:val="24"/>
              <w:szCs w:val="24"/>
              <w:lang w:val="es-MX"/>
            </w:rPr>
          </w:pPr>
          <w:r w:rsidRPr="0020113A">
            <w:rPr>
              <w:rFonts w:ascii="Times New Roman" w:hAnsi="Times New Roman"/>
              <w:b/>
              <w:bCs/>
              <w:sz w:val="24"/>
              <w:szCs w:val="24"/>
              <w:lang w:val="es-MX"/>
            </w:rPr>
            <w:t xml:space="preserve">Observaciones:   </w:t>
          </w:r>
          <w:r w:rsidRPr="0020113A">
            <w:rPr>
              <w:rFonts w:ascii="Times New Roman" w:hAnsi="Times New Roman"/>
              <w:sz w:val="24"/>
              <w:szCs w:val="24"/>
              <w:lang w:val="es-MX"/>
            </w:rPr>
            <w:t>Sin observaciones</w:t>
          </w:r>
        </w:p>
        <w:p w14:paraId="36E1DA04" w14:textId="77777777" w:rsidR="007803E3" w:rsidRPr="0020113A" w:rsidRDefault="007803E3" w:rsidP="007803E3">
          <w:pPr>
            <w:ind w:left="708" w:firstLine="708"/>
            <w:rPr>
              <w:rFonts w:ascii="Times New Roman" w:hAnsi="Times New Roman"/>
              <w:b/>
              <w:bCs/>
              <w:sz w:val="24"/>
              <w:szCs w:val="24"/>
              <w:lang w:val="es-MX"/>
            </w:rPr>
          </w:pPr>
          <w:r w:rsidRPr="0020113A">
            <w:rPr>
              <w:rFonts w:ascii="Times New Roman" w:hAnsi="Times New Roman"/>
              <w:b/>
              <w:bCs/>
              <w:sz w:val="24"/>
              <w:szCs w:val="24"/>
              <w:lang w:val="es-MX"/>
            </w:rPr>
            <w:t>Retribución al Concesionario</w:t>
          </w:r>
        </w:p>
        <w:p w14:paraId="1175A020" w14:textId="77777777" w:rsidR="007803E3" w:rsidRPr="0020113A" w:rsidRDefault="007803E3" w:rsidP="007803E3">
          <w:pPr>
            <w:rPr>
              <w:rFonts w:ascii="Times New Roman" w:hAnsi="Times New Roman"/>
              <w:b/>
              <w:bCs/>
              <w:sz w:val="24"/>
              <w:szCs w:val="24"/>
              <w:lang w:val="es-MX"/>
            </w:rPr>
          </w:pPr>
          <w:r w:rsidRPr="0020113A">
            <w:rPr>
              <w:rFonts w:ascii="Times New Roman" w:hAnsi="Times New Roman"/>
              <w:b/>
              <w:bCs/>
              <w:sz w:val="24"/>
              <w:szCs w:val="24"/>
              <w:lang w:val="es-MX"/>
            </w:rPr>
            <w:t>Descripción:</w:t>
          </w:r>
        </w:p>
        <w:p w14:paraId="688CA8D7" w14:textId="77777777" w:rsidR="007803E3" w:rsidRPr="0020113A" w:rsidRDefault="007803E3" w:rsidP="64D7DA64">
          <w:pPr>
            <w:jc w:val="both"/>
            <w:rPr>
              <w:rFonts w:ascii="Times New Roman" w:hAnsi="Times New Roman"/>
              <w:sz w:val="24"/>
              <w:szCs w:val="24"/>
              <w:lang w:val="es-MX"/>
            </w:rPr>
          </w:pPr>
          <w:r w:rsidRPr="0020113A">
            <w:rPr>
              <w:rFonts w:ascii="Times New Roman" w:hAnsi="Times New Roman"/>
              <w:sz w:val="24"/>
              <w:szCs w:val="24"/>
              <w:lang w:val="es-MX"/>
            </w:rPr>
            <w:t>Definido como el valor presente en pesos de 1994 de los ingresos por peajes y por vigencias futuras pagadas al concesionario en el periodo respectivo. El cual al alcanzarse genera la toma de posesión por parte del concedente.</w:t>
          </w:r>
        </w:p>
        <w:p w14:paraId="7736294D" w14:textId="77777777" w:rsidR="007803E3" w:rsidRPr="0020113A" w:rsidRDefault="007803E3" w:rsidP="007803E3">
          <w:pPr>
            <w:rPr>
              <w:rFonts w:ascii="Times New Roman" w:hAnsi="Times New Roman"/>
              <w:sz w:val="24"/>
              <w:szCs w:val="24"/>
              <w:lang w:val="es-MX"/>
            </w:rPr>
          </w:pPr>
          <w:r w:rsidRPr="0020113A">
            <w:rPr>
              <w:rFonts w:ascii="Times New Roman" w:hAnsi="Times New Roman"/>
              <w:sz w:val="24"/>
              <w:szCs w:val="24"/>
              <w:lang w:val="es-MX"/>
            </w:rPr>
            <w:t>Documentos Contractuales:</w:t>
          </w:r>
        </w:p>
        <w:p w14:paraId="73DB7012" w14:textId="77777777" w:rsidR="007803E3" w:rsidRPr="0020113A" w:rsidRDefault="007803E3" w:rsidP="007803E3">
          <w:pPr>
            <w:rPr>
              <w:rFonts w:ascii="Times New Roman" w:hAnsi="Times New Roman"/>
              <w:sz w:val="24"/>
              <w:szCs w:val="24"/>
              <w:lang w:val="es-MX"/>
            </w:rPr>
          </w:pPr>
          <w:r w:rsidRPr="0020113A">
            <w:rPr>
              <w:rFonts w:ascii="Times New Roman" w:hAnsi="Times New Roman"/>
              <w:sz w:val="24"/>
              <w:szCs w:val="24"/>
              <w:lang w:val="es-MX"/>
            </w:rPr>
            <w:t xml:space="preserve">Otrosí No. 10  </w:t>
          </w:r>
        </w:p>
        <w:p w14:paraId="4467618B" w14:textId="77777777" w:rsidR="007803E3" w:rsidRPr="0020113A" w:rsidRDefault="007803E3" w:rsidP="1E2DECDA">
          <w:pPr>
            <w:jc w:val="both"/>
            <w:rPr>
              <w:rFonts w:ascii="Times New Roman" w:hAnsi="Times New Roman"/>
              <w:sz w:val="24"/>
              <w:szCs w:val="24"/>
              <w:lang w:val="es-MX"/>
            </w:rPr>
          </w:pPr>
          <w:r w:rsidRPr="0020113A">
            <w:rPr>
              <w:rFonts w:ascii="Times New Roman" w:hAnsi="Times New Roman"/>
              <w:sz w:val="24"/>
              <w:szCs w:val="24"/>
              <w:lang w:val="es-MX"/>
            </w:rPr>
            <w:t>Periodo: Su inicio se da a partir de febrero 28 de 2017 hasta que se realice la toma de posesión. Valor en pesos constantes de 1994: $83.672.094.023</w:t>
          </w:r>
        </w:p>
        <w:p w14:paraId="4D15E6D7" w14:textId="77777777" w:rsidR="007803E3" w:rsidRPr="0020113A" w:rsidRDefault="007803E3" w:rsidP="007803E3">
          <w:pPr>
            <w:rPr>
              <w:rFonts w:ascii="Times New Roman" w:hAnsi="Times New Roman"/>
              <w:sz w:val="24"/>
              <w:szCs w:val="24"/>
              <w:lang w:val="es-MX"/>
            </w:rPr>
          </w:pPr>
          <w:r w:rsidRPr="0020113A">
            <w:rPr>
              <w:rFonts w:ascii="Times New Roman" w:hAnsi="Times New Roman"/>
              <w:b/>
              <w:bCs/>
              <w:sz w:val="24"/>
              <w:szCs w:val="24"/>
              <w:lang w:val="es-MX"/>
            </w:rPr>
            <w:t xml:space="preserve">Tasa de Retribución:   </w:t>
          </w:r>
          <w:r w:rsidRPr="0020113A">
            <w:rPr>
              <w:rFonts w:ascii="Times New Roman" w:hAnsi="Times New Roman"/>
              <w:sz w:val="24"/>
              <w:szCs w:val="24"/>
              <w:lang w:val="es-MX"/>
            </w:rPr>
            <w:t>9.1300%</w:t>
          </w:r>
        </w:p>
        <w:p w14:paraId="5C459BAC" w14:textId="77777777" w:rsidR="007803E3" w:rsidRPr="0020113A" w:rsidRDefault="007803E3" w:rsidP="007803E3">
          <w:pPr>
            <w:rPr>
              <w:rFonts w:ascii="Times New Roman" w:hAnsi="Times New Roman"/>
              <w:sz w:val="24"/>
              <w:szCs w:val="24"/>
              <w:lang w:val="es-MX"/>
            </w:rPr>
          </w:pPr>
        </w:p>
        <w:p w14:paraId="7571FFF4" w14:textId="77777777" w:rsidR="007803E3" w:rsidRPr="0020113A" w:rsidRDefault="007803E3" w:rsidP="00E60BAB">
          <w:pPr>
            <w:pStyle w:val="Prrafodelista"/>
            <w:numPr>
              <w:ilvl w:val="0"/>
              <w:numId w:val="101"/>
            </w:numPr>
            <w:spacing w:line="259" w:lineRule="auto"/>
            <w:rPr>
              <w:rFonts w:ascii="Times New Roman" w:hAnsi="Times New Roman"/>
              <w:b/>
              <w:bCs/>
              <w:sz w:val="24"/>
              <w:szCs w:val="24"/>
              <w:lang w:val="es-MX"/>
            </w:rPr>
          </w:pPr>
          <w:r w:rsidRPr="0020113A">
            <w:rPr>
              <w:rFonts w:ascii="Times New Roman" w:hAnsi="Times New Roman"/>
              <w:b/>
              <w:bCs/>
              <w:sz w:val="24"/>
              <w:szCs w:val="24"/>
              <w:lang w:val="es-MX"/>
            </w:rPr>
            <w:t>Derechos a recibir activos especificados al final del acuerdo de concesión</w:t>
          </w:r>
        </w:p>
        <w:p w14:paraId="3175381D" w14:textId="77777777" w:rsidR="007803E3" w:rsidRPr="0020113A" w:rsidRDefault="007803E3" w:rsidP="007803E3">
          <w:pPr>
            <w:rPr>
              <w:rFonts w:ascii="Times New Roman" w:hAnsi="Times New Roman"/>
              <w:b/>
              <w:bCs/>
              <w:sz w:val="24"/>
              <w:szCs w:val="24"/>
              <w:lang w:val="es-MX"/>
            </w:rPr>
          </w:pPr>
        </w:p>
        <w:p w14:paraId="78F68FC4" w14:textId="77777777" w:rsidR="007803E3" w:rsidRPr="0020113A" w:rsidRDefault="007803E3" w:rsidP="007803E3">
          <w:pPr>
            <w:rPr>
              <w:rFonts w:ascii="Times New Roman" w:hAnsi="Times New Roman"/>
              <w:b/>
              <w:bCs/>
              <w:sz w:val="24"/>
              <w:szCs w:val="24"/>
              <w:lang w:val="es-MX"/>
            </w:rPr>
          </w:pPr>
          <w:r w:rsidRPr="0020113A">
            <w:rPr>
              <w:rFonts w:ascii="Times New Roman" w:hAnsi="Times New Roman"/>
              <w:b/>
              <w:bCs/>
              <w:sz w:val="24"/>
              <w:szCs w:val="24"/>
              <w:lang w:val="es-MX"/>
            </w:rPr>
            <w:t>Descripción:</w:t>
          </w:r>
        </w:p>
        <w:p w14:paraId="25F64D3D" w14:textId="77777777" w:rsidR="007803E3" w:rsidRPr="0020113A" w:rsidRDefault="007803E3" w:rsidP="007803E3">
          <w:pPr>
            <w:rPr>
              <w:rFonts w:ascii="Times New Roman" w:hAnsi="Times New Roman"/>
              <w:sz w:val="24"/>
              <w:szCs w:val="24"/>
              <w:lang w:val="es-MX"/>
            </w:rPr>
          </w:pPr>
          <w:r w:rsidRPr="0020113A">
            <w:rPr>
              <w:rFonts w:ascii="Times New Roman" w:hAnsi="Times New Roman"/>
              <w:sz w:val="24"/>
              <w:szCs w:val="24"/>
              <w:lang w:val="es-MX"/>
            </w:rPr>
            <w:t>Al vencimiento de la etapa de operación, los bienes afectados a la concesión del proyecto</w:t>
          </w:r>
        </w:p>
        <w:p w14:paraId="74FDDA86" w14:textId="77777777" w:rsidR="007803E3" w:rsidRPr="0020113A" w:rsidRDefault="007803E3" w:rsidP="007803E3">
          <w:pPr>
            <w:rPr>
              <w:rFonts w:ascii="Times New Roman" w:hAnsi="Times New Roman"/>
              <w:b/>
              <w:bCs/>
              <w:sz w:val="24"/>
              <w:szCs w:val="24"/>
              <w:lang w:val="es-MX"/>
            </w:rPr>
          </w:pPr>
          <w:r w:rsidRPr="0020113A">
            <w:rPr>
              <w:rFonts w:ascii="Times New Roman" w:hAnsi="Times New Roman"/>
              <w:b/>
              <w:bCs/>
              <w:sz w:val="24"/>
              <w:szCs w:val="24"/>
              <w:lang w:val="es-MX"/>
            </w:rPr>
            <w:t>Observaciones:</w:t>
          </w:r>
        </w:p>
        <w:p w14:paraId="49114D92" w14:textId="4AE17E81"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Los predios para la zona de carreteras, la obra civil: calzadas, separadores, intersecciones, estructuras, obras de drenaje,  obras de arte y señales, las casetas de peaje y sus áreas de servicio y los equipos instalados para la operación del proyecto, revertirán en favor del Instituto Nacional De Vías, sin costo alguno, libres de todo gravamen y con un nivel de servicio que alcance un calificación mínima de Cuatro (4) puntos, de acuerdo con las “Normas de Mantenimiento para Carreteras Concesionadas”  que forman parte de los Pliegos  de Condiciones.</w:t>
          </w:r>
        </w:p>
        <w:p w14:paraId="37D9C14B" w14:textId="77777777" w:rsidR="007803E3" w:rsidRPr="0020113A" w:rsidRDefault="007803E3" w:rsidP="00E60BAB">
          <w:pPr>
            <w:pStyle w:val="Prrafodelista"/>
            <w:numPr>
              <w:ilvl w:val="0"/>
              <w:numId w:val="101"/>
            </w:numPr>
            <w:spacing w:line="259" w:lineRule="auto"/>
            <w:rPr>
              <w:rFonts w:ascii="Times New Roman" w:hAnsi="Times New Roman"/>
              <w:b/>
              <w:bCs/>
              <w:sz w:val="24"/>
              <w:szCs w:val="24"/>
              <w:lang w:val="es-MX"/>
            </w:rPr>
          </w:pPr>
          <w:r w:rsidRPr="0020113A">
            <w:rPr>
              <w:rFonts w:ascii="Times New Roman" w:hAnsi="Times New Roman"/>
              <w:b/>
              <w:bCs/>
              <w:sz w:val="24"/>
              <w:szCs w:val="24"/>
              <w:lang w:val="es-MX"/>
            </w:rPr>
            <w:t>Cambios en el acuerdo de concesión que se realicen durante el periodo fiscal</w:t>
          </w:r>
        </w:p>
        <w:p w14:paraId="37D91943" w14:textId="77777777" w:rsidR="007803E3" w:rsidRPr="0020113A" w:rsidRDefault="007803E3" w:rsidP="007803E3">
          <w:pPr>
            <w:jc w:val="center"/>
            <w:rPr>
              <w:rFonts w:ascii="Times New Roman" w:hAnsi="Times New Roman"/>
              <w:b/>
              <w:bCs/>
              <w:sz w:val="24"/>
              <w:szCs w:val="24"/>
              <w:lang w:val="es-MX"/>
            </w:rPr>
          </w:pPr>
          <w:r w:rsidRPr="0020113A">
            <w:rPr>
              <w:rFonts w:ascii="Times New Roman" w:hAnsi="Times New Roman"/>
              <w:b/>
              <w:bCs/>
              <w:sz w:val="24"/>
              <w:szCs w:val="24"/>
              <w:lang w:val="es-MX"/>
            </w:rPr>
            <w:t>Adiciones o Modificaciones en Tiempo</w:t>
          </w:r>
        </w:p>
        <w:tbl>
          <w:tblPr>
            <w:tblStyle w:val="Tablaconcuadrcula"/>
            <w:tblW w:w="0" w:type="auto"/>
            <w:tblLook w:val="04A0" w:firstRow="1" w:lastRow="0" w:firstColumn="1" w:lastColumn="0" w:noHBand="0" w:noVBand="1"/>
          </w:tblPr>
          <w:tblGrid>
            <w:gridCol w:w="3103"/>
            <w:gridCol w:w="2467"/>
            <w:gridCol w:w="3258"/>
          </w:tblGrid>
          <w:tr w:rsidR="007803E3" w:rsidRPr="0020113A" w14:paraId="756F808E" w14:textId="77777777" w:rsidTr="006D6444">
            <w:trPr>
              <w:trHeight w:val="300"/>
            </w:trPr>
            <w:tc>
              <w:tcPr>
                <w:tcW w:w="3103" w:type="dxa"/>
                <w:shd w:val="clear" w:color="auto" w:fill="auto"/>
                <w:vAlign w:val="center"/>
              </w:tcPr>
              <w:p w14:paraId="1EAAEFF7" w14:textId="77777777" w:rsidR="007803E3" w:rsidRPr="002D1D96" w:rsidRDefault="007803E3" w:rsidP="006D6444">
                <w:pPr>
                  <w:pStyle w:val="Prrafodelista"/>
                  <w:rPr>
                    <w:rFonts w:ascii="Times New Roman" w:hAnsi="Times New Roman"/>
                    <w:b/>
                    <w:sz w:val="16"/>
                    <w:szCs w:val="16"/>
                  </w:rPr>
                </w:pPr>
                <w:r w:rsidRPr="002D1D96">
                  <w:rPr>
                    <w:rFonts w:ascii="Times New Roman" w:hAnsi="Times New Roman"/>
                    <w:b/>
                    <w:sz w:val="16"/>
                    <w:szCs w:val="16"/>
                  </w:rPr>
                  <w:lastRenderedPageBreak/>
                  <w:t>Fechas de las adiciones o modificaciones</w:t>
                </w:r>
              </w:p>
            </w:tc>
            <w:tc>
              <w:tcPr>
                <w:tcW w:w="2467" w:type="dxa"/>
                <w:shd w:val="clear" w:color="auto" w:fill="auto"/>
                <w:vAlign w:val="center"/>
              </w:tcPr>
              <w:p w14:paraId="1EC49B4B" w14:textId="77777777" w:rsidR="007803E3" w:rsidRPr="002D1D96" w:rsidRDefault="007803E3" w:rsidP="006D6444">
                <w:pPr>
                  <w:pStyle w:val="Prrafodelista"/>
                  <w:rPr>
                    <w:rFonts w:ascii="Times New Roman" w:hAnsi="Times New Roman"/>
                    <w:b/>
                    <w:sz w:val="16"/>
                    <w:szCs w:val="16"/>
                  </w:rPr>
                </w:pPr>
                <w:r w:rsidRPr="002D1D96">
                  <w:rPr>
                    <w:rFonts w:ascii="Times New Roman" w:hAnsi="Times New Roman"/>
                    <w:b/>
                    <w:sz w:val="16"/>
                    <w:szCs w:val="16"/>
                  </w:rPr>
                  <w:t>Nueva fecha de finalización estimada</w:t>
                </w:r>
              </w:p>
            </w:tc>
            <w:tc>
              <w:tcPr>
                <w:tcW w:w="3258" w:type="dxa"/>
                <w:shd w:val="clear" w:color="auto" w:fill="auto"/>
                <w:vAlign w:val="center"/>
              </w:tcPr>
              <w:p w14:paraId="77864770" w14:textId="77777777" w:rsidR="007803E3" w:rsidRPr="002D1D96" w:rsidRDefault="007803E3" w:rsidP="006D6444">
                <w:pPr>
                  <w:pStyle w:val="Prrafodelista"/>
                  <w:rPr>
                    <w:rFonts w:ascii="Times New Roman" w:hAnsi="Times New Roman"/>
                    <w:b/>
                    <w:sz w:val="16"/>
                    <w:szCs w:val="16"/>
                  </w:rPr>
                </w:pPr>
                <w:r w:rsidRPr="002D1D96">
                  <w:rPr>
                    <w:rFonts w:ascii="Times New Roman" w:hAnsi="Times New Roman"/>
                    <w:b/>
                    <w:sz w:val="16"/>
                    <w:szCs w:val="16"/>
                  </w:rPr>
                  <w:t>Observaciones</w:t>
                </w:r>
              </w:p>
            </w:tc>
          </w:tr>
          <w:tr w:rsidR="007803E3" w:rsidRPr="0020113A" w14:paraId="76E674BA" w14:textId="77777777" w:rsidTr="006D6444">
            <w:trPr>
              <w:trHeight w:val="300"/>
            </w:trPr>
            <w:tc>
              <w:tcPr>
                <w:tcW w:w="3103" w:type="dxa"/>
                <w:shd w:val="clear" w:color="auto" w:fill="auto"/>
                <w:vAlign w:val="center"/>
              </w:tcPr>
              <w:p w14:paraId="51A3C4F1" w14:textId="77777777" w:rsidR="007803E3" w:rsidRPr="002D1D96" w:rsidRDefault="007803E3" w:rsidP="006D6444">
                <w:pPr>
                  <w:pStyle w:val="Prrafodelista"/>
                  <w:rPr>
                    <w:rFonts w:ascii="Times New Roman" w:hAnsi="Times New Roman"/>
                    <w:sz w:val="16"/>
                    <w:szCs w:val="16"/>
                  </w:rPr>
                </w:pPr>
                <w:r w:rsidRPr="002D1D96">
                  <w:rPr>
                    <w:rFonts w:ascii="Times New Roman" w:hAnsi="Times New Roman"/>
                    <w:sz w:val="16"/>
                    <w:szCs w:val="16"/>
                  </w:rPr>
                  <w:t>25 de marzo de 2009</w:t>
                </w:r>
              </w:p>
            </w:tc>
            <w:tc>
              <w:tcPr>
                <w:tcW w:w="2467" w:type="dxa"/>
                <w:shd w:val="clear" w:color="auto" w:fill="auto"/>
              </w:tcPr>
              <w:p w14:paraId="12C7270C" w14:textId="77777777" w:rsidR="007803E3" w:rsidRPr="002D1D96" w:rsidRDefault="007803E3" w:rsidP="006D6444">
                <w:pPr>
                  <w:pStyle w:val="Prrafodelista"/>
                  <w:rPr>
                    <w:rFonts w:ascii="Times New Roman" w:hAnsi="Times New Roman"/>
                    <w:sz w:val="16"/>
                    <w:szCs w:val="16"/>
                  </w:rPr>
                </w:pPr>
                <w:r w:rsidRPr="002D1D96">
                  <w:rPr>
                    <w:rFonts w:ascii="Times New Roman" w:hAnsi="Times New Roman"/>
                    <w:sz w:val="16"/>
                    <w:szCs w:val="16"/>
                  </w:rPr>
                  <w:t>Julio de 2030</w:t>
                </w:r>
              </w:p>
            </w:tc>
            <w:tc>
              <w:tcPr>
                <w:tcW w:w="3258" w:type="dxa"/>
                <w:shd w:val="clear" w:color="auto" w:fill="auto"/>
                <w:vAlign w:val="center"/>
              </w:tcPr>
              <w:p w14:paraId="7D31B47F" w14:textId="77777777" w:rsidR="007803E3" w:rsidRPr="002D1D96" w:rsidRDefault="007803E3" w:rsidP="006D6444">
                <w:pPr>
                  <w:pStyle w:val="Prrafodelista"/>
                  <w:rPr>
                    <w:rFonts w:ascii="Times New Roman" w:hAnsi="Times New Roman"/>
                    <w:sz w:val="16"/>
                    <w:szCs w:val="16"/>
                  </w:rPr>
                </w:pPr>
                <w:r w:rsidRPr="002D1D96">
                  <w:rPr>
                    <w:rFonts w:ascii="Times New Roman" w:hAnsi="Times New Roman"/>
                    <w:sz w:val="16"/>
                    <w:szCs w:val="16"/>
                  </w:rPr>
                  <w:t>Otrosí  10</w:t>
                </w:r>
              </w:p>
            </w:tc>
          </w:tr>
        </w:tbl>
        <w:p w14:paraId="3B2A2767" w14:textId="77777777" w:rsidR="007803E3" w:rsidRPr="0020113A" w:rsidRDefault="007803E3" w:rsidP="007803E3">
          <w:pPr>
            <w:rPr>
              <w:rFonts w:ascii="Times New Roman" w:hAnsi="Times New Roman"/>
              <w:b/>
              <w:bCs/>
              <w:sz w:val="24"/>
              <w:szCs w:val="24"/>
              <w:lang w:val="es-MX"/>
            </w:rPr>
          </w:pPr>
        </w:p>
        <w:p w14:paraId="5B3661E6" w14:textId="03BA8EFE" w:rsidR="007803E3" w:rsidRPr="0020113A" w:rsidRDefault="002D1D96" w:rsidP="1E2DECDA">
          <w:pPr>
            <w:rPr>
              <w:rFonts w:ascii="Times New Roman" w:hAnsi="Times New Roman"/>
              <w:b/>
              <w:bCs/>
              <w:sz w:val="24"/>
              <w:szCs w:val="24"/>
              <w:lang w:val="es-MX"/>
            </w:rPr>
          </w:pPr>
          <w:r>
            <w:rPr>
              <w:rFonts w:ascii="Times New Roman" w:hAnsi="Times New Roman"/>
              <w:b/>
              <w:bCs/>
              <w:sz w:val="24"/>
              <w:szCs w:val="24"/>
              <w:lang w:val="es-MX"/>
            </w:rPr>
            <w:t>No hay a</w:t>
          </w:r>
          <w:r w:rsidR="007803E3" w:rsidRPr="0020113A">
            <w:rPr>
              <w:rFonts w:ascii="Times New Roman" w:hAnsi="Times New Roman"/>
              <w:b/>
              <w:bCs/>
              <w:sz w:val="24"/>
              <w:szCs w:val="24"/>
              <w:lang w:val="es-MX"/>
            </w:rPr>
            <w:t xml:space="preserve">diciones o </w:t>
          </w:r>
          <w:r>
            <w:rPr>
              <w:rFonts w:ascii="Times New Roman" w:hAnsi="Times New Roman"/>
              <w:b/>
              <w:bCs/>
              <w:sz w:val="24"/>
              <w:szCs w:val="24"/>
              <w:lang w:val="es-MX"/>
            </w:rPr>
            <w:t>m</w:t>
          </w:r>
          <w:r w:rsidR="007803E3" w:rsidRPr="0020113A">
            <w:rPr>
              <w:rFonts w:ascii="Times New Roman" w:hAnsi="Times New Roman"/>
              <w:b/>
              <w:bCs/>
              <w:sz w:val="24"/>
              <w:szCs w:val="24"/>
              <w:lang w:val="es-MX"/>
            </w:rPr>
            <w:t xml:space="preserve">odificaciones en </w:t>
          </w:r>
          <w:r>
            <w:rPr>
              <w:rFonts w:ascii="Times New Roman" w:hAnsi="Times New Roman"/>
              <w:b/>
              <w:bCs/>
              <w:sz w:val="24"/>
              <w:szCs w:val="24"/>
              <w:lang w:val="es-MX"/>
            </w:rPr>
            <w:t>v</w:t>
          </w:r>
          <w:r w:rsidR="007803E3" w:rsidRPr="0020113A">
            <w:rPr>
              <w:rFonts w:ascii="Times New Roman" w:hAnsi="Times New Roman"/>
              <w:b/>
              <w:bCs/>
              <w:sz w:val="24"/>
              <w:szCs w:val="24"/>
              <w:lang w:val="es-MX"/>
            </w:rPr>
            <w:t>alor</w:t>
          </w:r>
        </w:p>
        <w:p w14:paraId="266BA6D9" w14:textId="77777777" w:rsidR="007803E3" w:rsidRPr="0020113A" w:rsidRDefault="007803E3" w:rsidP="007803E3">
          <w:pPr>
            <w:rPr>
              <w:rFonts w:ascii="Times New Roman" w:hAnsi="Times New Roman"/>
              <w:b/>
              <w:bCs/>
              <w:sz w:val="24"/>
              <w:szCs w:val="24"/>
              <w:lang w:val="es-MX"/>
            </w:rPr>
          </w:pPr>
        </w:p>
        <w:p w14:paraId="0AEC8D6E" w14:textId="77777777" w:rsidR="007803E3" w:rsidRPr="0020113A" w:rsidRDefault="007803E3" w:rsidP="007803E3">
          <w:pPr>
            <w:rPr>
              <w:rFonts w:ascii="Times New Roman" w:hAnsi="Times New Roman"/>
              <w:b/>
              <w:sz w:val="24"/>
              <w:szCs w:val="24"/>
              <w:lang w:val="es-MX"/>
            </w:rPr>
          </w:pPr>
        </w:p>
        <w:p w14:paraId="2FFA6A16" w14:textId="56C84192"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ARMENIA PEREIRA MANIZALES</w:t>
          </w:r>
        </w:p>
        <w:p w14:paraId="5C17C889" w14:textId="5211C2FA" w:rsidR="007803E3" w:rsidRPr="0020113A" w:rsidRDefault="3AFFDD67" w:rsidP="00E60BAB">
          <w:pPr>
            <w:pStyle w:val="Prrafodelista"/>
            <w:numPr>
              <w:ilvl w:val="0"/>
              <w:numId w:val="161"/>
            </w:numPr>
            <w:spacing w:line="257" w:lineRule="auto"/>
            <w:ind w:left="-20" w:right="-20"/>
            <w:jc w:val="both"/>
            <w:rPr>
              <w:rFonts w:ascii="Times New Roman" w:eastAsia="Times New Roman" w:hAnsi="Times New Roman"/>
              <w:b/>
              <w:bCs/>
              <w:sz w:val="24"/>
              <w:szCs w:val="24"/>
              <w:lang w:val="es"/>
            </w:rPr>
          </w:pPr>
          <w:r w:rsidRPr="1E2DECDA">
            <w:rPr>
              <w:rFonts w:ascii="Times New Roman" w:eastAsia="Times New Roman" w:hAnsi="Times New Roman"/>
              <w:b/>
              <w:bCs/>
              <w:sz w:val="24"/>
              <w:szCs w:val="24"/>
              <w:lang w:val="es"/>
            </w:rPr>
            <w:t>Descripción del acuerdo</w:t>
          </w:r>
        </w:p>
        <w:p w14:paraId="1536F0C0" w14:textId="57812640" w:rsidR="007803E3" w:rsidRPr="0020113A" w:rsidRDefault="3AFFDD67" w:rsidP="0859E346">
          <w:pPr>
            <w:spacing w:after="0" w:line="257" w:lineRule="auto"/>
            <w:ind w:left="-20" w:right="-20"/>
            <w:jc w:val="both"/>
            <w:rPr>
              <w:rFonts w:ascii="Times New Roman" w:eastAsia="Times New Roman" w:hAnsi="Times New Roman"/>
              <w:sz w:val="24"/>
              <w:szCs w:val="24"/>
              <w:lang w:val="es-MX"/>
            </w:rPr>
          </w:pPr>
          <w:r w:rsidRPr="1E2DECDA">
            <w:rPr>
              <w:rFonts w:ascii="Times New Roman" w:eastAsia="Times New Roman" w:hAnsi="Times New Roman"/>
              <w:b/>
              <w:bCs/>
              <w:sz w:val="24"/>
              <w:szCs w:val="24"/>
              <w:lang w:val="es-MX"/>
            </w:rPr>
            <w:t xml:space="preserve">Número del Acuerdo de Concesión: </w:t>
          </w:r>
          <w:r w:rsidRPr="1E2DECDA">
            <w:rPr>
              <w:rFonts w:ascii="Times New Roman" w:eastAsia="Times New Roman" w:hAnsi="Times New Roman"/>
              <w:sz w:val="24"/>
              <w:szCs w:val="24"/>
              <w:lang w:val="es-MX"/>
            </w:rPr>
            <w:t>113 del 21 de abril de 1997</w:t>
          </w:r>
        </w:p>
        <w:p w14:paraId="1D5971CE" w14:textId="065E27D6" w:rsidR="007803E3" w:rsidRPr="0020113A" w:rsidRDefault="3AFFDD67" w:rsidP="0859E346">
          <w:pPr>
            <w:spacing w:after="0" w:line="257" w:lineRule="auto"/>
            <w:ind w:left="-20" w:right="-20"/>
            <w:jc w:val="both"/>
            <w:rPr>
              <w:rFonts w:ascii="Times New Roman" w:eastAsia="Times New Roman" w:hAnsi="Times New Roman"/>
              <w:sz w:val="24"/>
              <w:szCs w:val="24"/>
              <w:lang w:val="es"/>
            </w:rPr>
          </w:pPr>
          <w:r w:rsidRPr="1E2DECDA">
            <w:rPr>
              <w:rFonts w:ascii="Times New Roman" w:eastAsia="Times New Roman" w:hAnsi="Times New Roman"/>
              <w:b/>
              <w:bCs/>
              <w:sz w:val="24"/>
              <w:szCs w:val="24"/>
              <w:lang w:val="es"/>
            </w:rPr>
            <w:t xml:space="preserve">Objeto / Descripción: </w:t>
          </w:r>
          <w:r w:rsidRPr="1E2DECDA">
            <w:rPr>
              <w:rFonts w:ascii="Times New Roman" w:eastAsia="Times New Roman" w:hAnsi="Times New Roman"/>
              <w:sz w:val="24"/>
              <w:szCs w:val="24"/>
              <w:lang w:val="es"/>
            </w:rPr>
            <w:t>Proyecto Vial Armenia – Pereira – Manizales la Paila – Calarcá</w:t>
          </w:r>
        </w:p>
        <w:p w14:paraId="0BA201D1" w14:textId="4D62E4FD" w:rsidR="007803E3" w:rsidRPr="0020113A" w:rsidRDefault="3AFFDD67" w:rsidP="0859E346">
          <w:pPr>
            <w:spacing w:after="0" w:line="257" w:lineRule="auto"/>
            <w:ind w:left="-20" w:right="204"/>
            <w:jc w:val="both"/>
            <w:rPr>
              <w:rFonts w:ascii="Times New Roman" w:eastAsia="Times New Roman" w:hAnsi="Times New Roman"/>
              <w:sz w:val="24"/>
              <w:szCs w:val="24"/>
              <w:lang w:val="es"/>
            </w:rPr>
          </w:pPr>
          <w:r w:rsidRPr="1E2DECDA">
            <w:rPr>
              <w:rFonts w:ascii="Times New Roman" w:eastAsia="Times New Roman" w:hAnsi="Times New Roman"/>
              <w:b/>
              <w:bCs/>
              <w:sz w:val="24"/>
              <w:szCs w:val="24"/>
              <w:lang w:val="es"/>
            </w:rPr>
            <w:t xml:space="preserve">Valor inicial: </w:t>
          </w:r>
          <w:r w:rsidRPr="1E2DECDA">
            <w:rPr>
              <w:rFonts w:ascii="Times New Roman" w:eastAsia="Times New Roman" w:hAnsi="Times New Roman"/>
              <w:sz w:val="24"/>
              <w:szCs w:val="24"/>
              <w:lang w:val="es"/>
            </w:rPr>
            <w:t>ciento setenta y siete mil novecientos cincuenta millones de pesos del Mes de Referencia (septiembre de 1996).</w:t>
          </w:r>
        </w:p>
        <w:p w14:paraId="3A71DC45" w14:textId="0358A283" w:rsidR="007803E3" w:rsidRPr="0020113A" w:rsidRDefault="3AFFDD67" w:rsidP="0859E346">
          <w:pPr>
            <w:spacing w:after="0" w:line="257" w:lineRule="auto"/>
            <w:ind w:left="-20" w:right="204"/>
            <w:jc w:val="both"/>
            <w:rPr>
              <w:rFonts w:ascii="Times New Roman" w:eastAsia="Times New Roman" w:hAnsi="Times New Roman"/>
              <w:sz w:val="24"/>
              <w:szCs w:val="24"/>
              <w:lang w:val="es"/>
            </w:rPr>
          </w:pPr>
          <w:r w:rsidRPr="1E2DECDA">
            <w:rPr>
              <w:rFonts w:ascii="Times New Roman" w:eastAsia="Times New Roman" w:hAnsi="Times New Roman"/>
              <w:b/>
              <w:bCs/>
              <w:sz w:val="24"/>
              <w:szCs w:val="24"/>
              <w:lang w:val="es"/>
            </w:rPr>
            <w:t xml:space="preserve">Fecha de inicio: </w:t>
          </w:r>
          <w:r w:rsidRPr="1E2DECDA">
            <w:rPr>
              <w:rFonts w:ascii="Times New Roman" w:eastAsia="Times New Roman" w:hAnsi="Times New Roman"/>
              <w:sz w:val="24"/>
              <w:szCs w:val="24"/>
              <w:lang w:val="es"/>
            </w:rPr>
            <w:t>16 de junio de 1997</w:t>
          </w:r>
        </w:p>
        <w:p w14:paraId="69CA0078" w14:textId="520EF23E" w:rsidR="007803E3" w:rsidRPr="0020113A" w:rsidRDefault="3AFFDD67" w:rsidP="0859E346">
          <w:pPr>
            <w:spacing w:after="0" w:line="257" w:lineRule="auto"/>
            <w:ind w:left="-20" w:right="204"/>
            <w:jc w:val="both"/>
            <w:rPr>
              <w:rFonts w:ascii="Times New Roman" w:eastAsia="Times New Roman" w:hAnsi="Times New Roman"/>
              <w:sz w:val="24"/>
              <w:szCs w:val="24"/>
              <w:lang w:val="es"/>
            </w:rPr>
          </w:pPr>
          <w:r w:rsidRPr="1E2DECDA">
            <w:rPr>
              <w:rFonts w:ascii="Times New Roman" w:eastAsia="Times New Roman" w:hAnsi="Times New Roman"/>
              <w:b/>
              <w:bCs/>
              <w:sz w:val="24"/>
              <w:szCs w:val="24"/>
              <w:lang w:val="es"/>
            </w:rPr>
            <w:t>Fecha de finalización estimada:</w:t>
          </w:r>
          <w:r w:rsidRPr="1E2DECDA">
            <w:rPr>
              <w:rFonts w:ascii="Times New Roman" w:eastAsia="Times New Roman" w:hAnsi="Times New Roman"/>
              <w:sz w:val="24"/>
              <w:szCs w:val="24"/>
              <w:lang w:val="es"/>
            </w:rPr>
            <w:t xml:space="preserve"> 01 de febrero de 2027</w:t>
          </w:r>
        </w:p>
        <w:p w14:paraId="5E47BF7F" w14:textId="747713AC" w:rsidR="007803E3" w:rsidRPr="0020113A" w:rsidRDefault="3AFFDD67" w:rsidP="0859E346">
          <w:pPr>
            <w:spacing w:after="0" w:line="257" w:lineRule="auto"/>
            <w:ind w:left="-20" w:right="204"/>
            <w:jc w:val="both"/>
            <w:rPr>
              <w:rFonts w:ascii="Times New Roman" w:eastAsia="Times New Roman" w:hAnsi="Times New Roman"/>
              <w:sz w:val="24"/>
              <w:szCs w:val="24"/>
              <w:lang w:val="es"/>
            </w:rPr>
          </w:pPr>
          <w:r w:rsidRPr="1E2DECDA">
            <w:rPr>
              <w:rFonts w:ascii="Times New Roman" w:eastAsia="Times New Roman" w:hAnsi="Times New Roman"/>
              <w:b/>
              <w:bCs/>
              <w:sz w:val="24"/>
              <w:szCs w:val="24"/>
              <w:lang w:val="es"/>
            </w:rPr>
            <w:t xml:space="preserve">Tipo ID: </w:t>
          </w:r>
          <w:r w:rsidRPr="1E2DECDA">
            <w:rPr>
              <w:rFonts w:ascii="Times New Roman" w:eastAsia="Times New Roman" w:hAnsi="Times New Roman"/>
              <w:sz w:val="24"/>
              <w:szCs w:val="24"/>
              <w:lang w:val="es"/>
            </w:rPr>
            <w:t>NIT</w:t>
          </w:r>
        </w:p>
        <w:p w14:paraId="52197E41" w14:textId="7529C7FE" w:rsidR="007803E3" w:rsidRPr="0020113A" w:rsidRDefault="3AFFDD67" w:rsidP="0859E346">
          <w:pPr>
            <w:spacing w:after="0" w:line="257" w:lineRule="auto"/>
            <w:ind w:left="-20" w:right="204"/>
            <w:jc w:val="both"/>
            <w:rPr>
              <w:rFonts w:ascii="Times New Roman" w:eastAsia="Times New Roman" w:hAnsi="Times New Roman"/>
              <w:sz w:val="24"/>
              <w:szCs w:val="24"/>
              <w:lang w:val="es"/>
            </w:rPr>
          </w:pPr>
          <w:r w:rsidRPr="1E2DECDA">
            <w:rPr>
              <w:rFonts w:ascii="Times New Roman" w:eastAsia="Times New Roman" w:hAnsi="Times New Roman"/>
              <w:b/>
              <w:bCs/>
              <w:sz w:val="24"/>
              <w:szCs w:val="24"/>
              <w:lang w:val="es"/>
            </w:rPr>
            <w:t xml:space="preserve">Número ID: </w:t>
          </w:r>
          <w:r w:rsidRPr="1E2DECDA">
            <w:rPr>
              <w:rFonts w:ascii="Times New Roman" w:eastAsia="Times New Roman" w:hAnsi="Times New Roman"/>
              <w:sz w:val="24"/>
              <w:szCs w:val="24"/>
              <w:lang w:val="es"/>
            </w:rPr>
            <w:t xml:space="preserve">830.025.490-5 </w:t>
          </w:r>
        </w:p>
        <w:p w14:paraId="3583ACA3" w14:textId="1DFD54E9" w:rsidR="007803E3" w:rsidRPr="0020113A" w:rsidRDefault="3AFFDD67" w:rsidP="0859E346">
          <w:pPr>
            <w:spacing w:after="0" w:line="257" w:lineRule="auto"/>
            <w:ind w:left="-20" w:right="204"/>
            <w:jc w:val="both"/>
            <w:rPr>
              <w:rFonts w:ascii="Times New Roman" w:eastAsia="Times New Roman" w:hAnsi="Times New Roman"/>
              <w:sz w:val="24"/>
              <w:szCs w:val="24"/>
              <w:lang w:val="es"/>
            </w:rPr>
          </w:pPr>
          <w:r w:rsidRPr="1E2DECDA">
            <w:rPr>
              <w:rFonts w:ascii="Times New Roman" w:eastAsia="Times New Roman" w:hAnsi="Times New Roman"/>
              <w:b/>
              <w:bCs/>
              <w:sz w:val="24"/>
              <w:szCs w:val="24"/>
              <w:lang w:val="es"/>
            </w:rPr>
            <w:t xml:space="preserve">Razón social del concesionario: </w:t>
          </w:r>
          <w:r w:rsidRPr="1E2DECDA">
            <w:rPr>
              <w:rFonts w:ascii="Times New Roman" w:eastAsia="Times New Roman" w:hAnsi="Times New Roman"/>
              <w:sz w:val="24"/>
              <w:szCs w:val="24"/>
              <w:lang w:val="es"/>
            </w:rPr>
            <w:t>AUTOPISTAS DEL CAFE SA</w:t>
          </w:r>
        </w:p>
        <w:p w14:paraId="4172E23C" w14:textId="07BDE7B4" w:rsidR="007803E3" w:rsidRPr="0020113A" w:rsidRDefault="3AFFDD67" w:rsidP="0859E346">
          <w:pPr>
            <w:spacing w:after="0" w:line="257" w:lineRule="auto"/>
            <w:ind w:left="-20" w:right="204"/>
            <w:jc w:val="both"/>
            <w:rPr>
              <w:rFonts w:ascii="Times New Roman" w:eastAsia="Times New Roman" w:hAnsi="Times New Roman"/>
              <w:sz w:val="24"/>
              <w:szCs w:val="24"/>
              <w:lang w:val="es"/>
            </w:rPr>
          </w:pPr>
          <w:r w:rsidRPr="1E2DECDA">
            <w:rPr>
              <w:rFonts w:ascii="Times New Roman" w:eastAsia="Times New Roman" w:hAnsi="Times New Roman"/>
              <w:b/>
              <w:bCs/>
              <w:sz w:val="24"/>
              <w:szCs w:val="24"/>
              <w:lang w:val="es"/>
            </w:rPr>
            <w:t xml:space="preserve">Nombre del proyecto: </w:t>
          </w:r>
          <w:r w:rsidRPr="1E2DECDA">
            <w:rPr>
              <w:rFonts w:ascii="Times New Roman" w:eastAsia="Times New Roman" w:hAnsi="Times New Roman"/>
              <w:sz w:val="24"/>
              <w:szCs w:val="24"/>
              <w:lang w:val="es"/>
            </w:rPr>
            <w:t>Proyecto Vial Armenia – Pereira – Manizales la Paila – Calarcá</w:t>
          </w:r>
        </w:p>
        <w:p w14:paraId="3D144B21" w14:textId="2EC1B77C" w:rsidR="007803E3" w:rsidRPr="0020113A" w:rsidRDefault="3AFFDD67" w:rsidP="1E2DECDA">
          <w:pPr>
            <w:spacing w:line="257" w:lineRule="auto"/>
            <w:ind w:left="107" w:right="204"/>
            <w:jc w:val="both"/>
            <w:rPr>
              <w:rFonts w:ascii="Times New Roman" w:eastAsia="Times New Roman" w:hAnsi="Times New Roman"/>
              <w:sz w:val="24"/>
              <w:szCs w:val="24"/>
              <w:lang w:val="es"/>
            </w:rPr>
          </w:pPr>
          <w:r w:rsidRPr="1E2DECDA">
            <w:rPr>
              <w:rFonts w:ascii="Times New Roman" w:eastAsia="Times New Roman" w:hAnsi="Times New Roman"/>
              <w:sz w:val="24"/>
              <w:szCs w:val="24"/>
              <w:lang w:val="es"/>
            </w:rPr>
            <w:t xml:space="preserve"> </w:t>
          </w:r>
        </w:p>
        <w:p w14:paraId="69015F05" w14:textId="359CB066" w:rsidR="007803E3" w:rsidRPr="0020113A" w:rsidRDefault="007803E3" w:rsidP="00E60BAB">
          <w:pPr>
            <w:pStyle w:val="Prrafodelista"/>
            <w:numPr>
              <w:ilvl w:val="0"/>
              <w:numId w:val="161"/>
            </w:numPr>
            <w:spacing w:after="0" w:line="257" w:lineRule="auto"/>
            <w:ind w:left="-20" w:right="-20"/>
            <w:jc w:val="both"/>
            <w:rPr>
              <w:rFonts w:ascii="Times New Roman" w:eastAsia="Times New Roman" w:hAnsi="Times New Roman"/>
              <w:b/>
              <w:sz w:val="24"/>
              <w:szCs w:val="24"/>
              <w:lang w:val="es"/>
            </w:rPr>
          </w:pPr>
          <w:r w:rsidRPr="1E2DECDA">
            <w:rPr>
              <w:rFonts w:ascii="Times New Roman" w:eastAsia="Times New Roman" w:hAnsi="Times New Roman"/>
              <w:b/>
              <w:sz w:val="24"/>
              <w:szCs w:val="24"/>
              <w:lang w:val="es"/>
            </w:rPr>
            <w:t>Términos significativos del acuerdo que puedan afectar su valor, el calendario y la certeza de los flujos</w:t>
          </w:r>
        </w:p>
        <w:p w14:paraId="56439BA4" w14:textId="5D9AB9BD" w:rsidR="007803E3" w:rsidRPr="0020113A" w:rsidRDefault="3AFFDD67" w:rsidP="1E2DECDA">
          <w:pPr>
            <w:spacing w:line="257" w:lineRule="auto"/>
            <w:ind w:left="107" w:right="204"/>
            <w:jc w:val="both"/>
            <w:rPr>
              <w:rFonts w:ascii="Times New Roman" w:eastAsia="Times New Roman" w:hAnsi="Times New Roman"/>
              <w:b/>
              <w:bCs/>
              <w:sz w:val="24"/>
              <w:szCs w:val="24"/>
              <w:lang w:val="es"/>
            </w:rPr>
          </w:pPr>
          <w:r w:rsidRPr="1E2DECDA">
            <w:rPr>
              <w:rFonts w:ascii="Times New Roman" w:eastAsia="Times New Roman" w:hAnsi="Times New Roman"/>
              <w:b/>
              <w:bCs/>
              <w:sz w:val="24"/>
              <w:szCs w:val="24"/>
              <w:lang w:val="es"/>
            </w:rPr>
            <w:t xml:space="preserve"> </w:t>
          </w:r>
        </w:p>
        <w:p w14:paraId="230294A3" w14:textId="47C8501C" w:rsidR="007803E3" w:rsidRPr="0020113A" w:rsidRDefault="3AFFDD67" w:rsidP="1E2DECDA">
          <w:pPr>
            <w:spacing w:line="257" w:lineRule="auto"/>
            <w:ind w:left="-20" w:right="-20"/>
            <w:jc w:val="both"/>
            <w:rPr>
              <w:rFonts w:ascii="Times New Roman" w:eastAsia="Times New Roman" w:hAnsi="Times New Roman"/>
              <w:b/>
              <w:bCs/>
              <w:sz w:val="24"/>
              <w:szCs w:val="24"/>
              <w:lang w:val="es"/>
            </w:rPr>
          </w:pPr>
          <w:r w:rsidRPr="1E2DECDA">
            <w:rPr>
              <w:rFonts w:ascii="Times New Roman" w:eastAsia="Times New Roman" w:hAnsi="Times New Roman"/>
              <w:b/>
              <w:bCs/>
              <w:sz w:val="24"/>
              <w:szCs w:val="24"/>
              <w:lang w:val="es"/>
            </w:rPr>
            <w:t xml:space="preserve">Términos de valor: </w:t>
          </w:r>
        </w:p>
        <w:p w14:paraId="5B8856C7" w14:textId="4A707CF2" w:rsidR="007803E3" w:rsidRPr="0020113A" w:rsidRDefault="3AFFDD67" w:rsidP="00E60BAB">
          <w:pPr>
            <w:pStyle w:val="Prrafodelista"/>
            <w:numPr>
              <w:ilvl w:val="0"/>
              <w:numId w:val="160"/>
            </w:numPr>
            <w:spacing w:after="0" w:line="257" w:lineRule="auto"/>
            <w:ind w:left="-20" w:right="-20"/>
            <w:jc w:val="both"/>
            <w:rPr>
              <w:rFonts w:ascii="Times New Roman" w:eastAsia="Times New Roman" w:hAnsi="Times New Roman"/>
              <w:sz w:val="24"/>
              <w:szCs w:val="24"/>
              <w:lang w:val="es"/>
            </w:rPr>
          </w:pPr>
          <w:r w:rsidRPr="1E2DECDA">
            <w:rPr>
              <w:rFonts w:ascii="Times New Roman" w:eastAsia="Times New Roman" w:hAnsi="Times New Roman"/>
              <w:sz w:val="24"/>
              <w:szCs w:val="24"/>
              <w:lang w:val="es"/>
            </w:rPr>
            <w:t>El contrato de concesión contempla siete estaciones de peaje relacionadas a continuación:</w:t>
          </w:r>
        </w:p>
        <w:p w14:paraId="34B09FCD" w14:textId="5E67BBA6" w:rsidR="007803E3" w:rsidRPr="0020113A" w:rsidRDefault="3AFFDD67" w:rsidP="00E60BAB">
          <w:pPr>
            <w:pStyle w:val="Prrafodelista"/>
            <w:numPr>
              <w:ilvl w:val="0"/>
              <w:numId w:val="159"/>
            </w:numPr>
            <w:spacing w:line="257" w:lineRule="auto"/>
            <w:ind w:left="-20" w:right="-20"/>
            <w:jc w:val="both"/>
            <w:rPr>
              <w:rFonts w:ascii="Times New Roman" w:eastAsia="Times New Roman" w:hAnsi="Times New Roman"/>
              <w:sz w:val="24"/>
              <w:szCs w:val="24"/>
              <w:lang w:val="es"/>
            </w:rPr>
          </w:pPr>
          <w:r w:rsidRPr="1E2DECDA">
            <w:rPr>
              <w:rFonts w:ascii="Times New Roman" w:eastAsia="Times New Roman" w:hAnsi="Times New Roman"/>
              <w:sz w:val="24"/>
              <w:szCs w:val="24"/>
              <w:lang w:val="es"/>
            </w:rPr>
            <w:t>Estación de Peaje Corozal (PR 22+0600) Ruta 4002 La Paila - Club Campestre</w:t>
          </w:r>
        </w:p>
        <w:p w14:paraId="3900B77B" w14:textId="0EAB96FD" w:rsidR="007803E3" w:rsidRPr="0020113A" w:rsidRDefault="3AFFDD67" w:rsidP="00E60BAB">
          <w:pPr>
            <w:pStyle w:val="Prrafodelista"/>
            <w:numPr>
              <w:ilvl w:val="0"/>
              <w:numId w:val="159"/>
            </w:numPr>
            <w:spacing w:line="257" w:lineRule="auto"/>
            <w:ind w:left="-20" w:right="-20"/>
            <w:jc w:val="both"/>
            <w:rPr>
              <w:rFonts w:ascii="Times New Roman" w:eastAsia="Times New Roman" w:hAnsi="Times New Roman"/>
              <w:sz w:val="24"/>
              <w:szCs w:val="24"/>
              <w:lang w:val="es"/>
            </w:rPr>
          </w:pPr>
          <w:r w:rsidRPr="1E2DECDA">
            <w:rPr>
              <w:rFonts w:ascii="Times New Roman" w:eastAsia="Times New Roman" w:hAnsi="Times New Roman"/>
              <w:sz w:val="24"/>
              <w:szCs w:val="24"/>
              <w:lang w:val="es"/>
            </w:rPr>
            <w:t>Estación de Peaje Circasia (PR 16+0800) Ruta 2901 Armenia - Pereira</w:t>
          </w:r>
        </w:p>
        <w:p w14:paraId="3165ECA6" w14:textId="312B244B" w:rsidR="007803E3" w:rsidRPr="0020113A" w:rsidRDefault="3AFFDD67" w:rsidP="00E60BAB">
          <w:pPr>
            <w:pStyle w:val="Prrafodelista"/>
            <w:numPr>
              <w:ilvl w:val="0"/>
              <w:numId w:val="159"/>
            </w:numPr>
            <w:spacing w:line="257" w:lineRule="auto"/>
            <w:ind w:left="-20" w:right="-20"/>
            <w:jc w:val="both"/>
            <w:rPr>
              <w:rFonts w:ascii="Times New Roman" w:eastAsia="Times New Roman" w:hAnsi="Times New Roman"/>
              <w:sz w:val="24"/>
              <w:szCs w:val="24"/>
              <w:lang w:val="es"/>
            </w:rPr>
          </w:pPr>
          <w:r w:rsidRPr="1E2DECDA">
            <w:rPr>
              <w:rFonts w:ascii="Times New Roman" w:eastAsia="Times New Roman" w:hAnsi="Times New Roman"/>
              <w:sz w:val="24"/>
              <w:szCs w:val="24"/>
              <w:lang w:val="es"/>
            </w:rPr>
            <w:t>Estación de Peaje Tarapacá I (PR 20+0800) Ruta 2902 Jazmín - Chinchiná</w:t>
          </w:r>
        </w:p>
        <w:p w14:paraId="70EC5FCA" w14:textId="52ECB060" w:rsidR="007803E3" w:rsidRPr="0020113A" w:rsidRDefault="3AFFDD67" w:rsidP="00E60BAB">
          <w:pPr>
            <w:pStyle w:val="Prrafodelista"/>
            <w:numPr>
              <w:ilvl w:val="0"/>
              <w:numId w:val="159"/>
            </w:numPr>
            <w:spacing w:line="257" w:lineRule="auto"/>
            <w:ind w:left="-20" w:right="-20"/>
            <w:jc w:val="both"/>
            <w:rPr>
              <w:rFonts w:ascii="Times New Roman" w:eastAsia="Times New Roman" w:hAnsi="Times New Roman"/>
              <w:sz w:val="24"/>
              <w:szCs w:val="24"/>
              <w:lang w:val="es"/>
            </w:rPr>
          </w:pPr>
          <w:r w:rsidRPr="1E2DECDA">
            <w:rPr>
              <w:rFonts w:ascii="Times New Roman" w:eastAsia="Times New Roman" w:hAnsi="Times New Roman"/>
              <w:sz w:val="24"/>
              <w:szCs w:val="24"/>
              <w:lang w:val="es"/>
            </w:rPr>
            <w:t>Estación de Peaje Tarapacá II (PR 24+0800) Ruta 29RSC Jazmín- Intersección Chinchiná</w:t>
          </w:r>
        </w:p>
        <w:p w14:paraId="401CBA6C" w14:textId="490294FF" w:rsidR="007803E3" w:rsidRPr="0020113A" w:rsidRDefault="3AFFDD67" w:rsidP="00E60BAB">
          <w:pPr>
            <w:pStyle w:val="Prrafodelista"/>
            <w:numPr>
              <w:ilvl w:val="0"/>
              <w:numId w:val="159"/>
            </w:numPr>
            <w:spacing w:line="257" w:lineRule="auto"/>
            <w:ind w:left="-20" w:right="-20"/>
            <w:jc w:val="both"/>
            <w:rPr>
              <w:rFonts w:ascii="Times New Roman" w:eastAsia="Times New Roman" w:hAnsi="Times New Roman"/>
              <w:sz w:val="24"/>
              <w:szCs w:val="24"/>
              <w:lang w:val="es"/>
            </w:rPr>
          </w:pPr>
          <w:r w:rsidRPr="1E2DECDA">
            <w:rPr>
              <w:rFonts w:ascii="Times New Roman" w:eastAsia="Times New Roman" w:hAnsi="Times New Roman"/>
              <w:sz w:val="24"/>
              <w:szCs w:val="24"/>
              <w:lang w:val="es"/>
            </w:rPr>
            <w:t>Estación de Peaje Santagueda (PR 7+0150) Ruta 29CL03 La Yé - La Manuela</w:t>
          </w:r>
        </w:p>
        <w:p w14:paraId="35F27724" w14:textId="5CCBD040" w:rsidR="007803E3" w:rsidRPr="0020113A" w:rsidRDefault="3AFFDD67" w:rsidP="00E60BAB">
          <w:pPr>
            <w:pStyle w:val="Prrafodelista"/>
            <w:numPr>
              <w:ilvl w:val="0"/>
              <w:numId w:val="159"/>
            </w:numPr>
            <w:spacing w:line="257" w:lineRule="auto"/>
            <w:ind w:left="-20" w:right="-20"/>
            <w:jc w:val="both"/>
            <w:rPr>
              <w:rFonts w:ascii="Times New Roman" w:eastAsia="Times New Roman" w:hAnsi="Times New Roman"/>
              <w:sz w:val="24"/>
              <w:szCs w:val="24"/>
              <w:lang w:val="es"/>
            </w:rPr>
          </w:pPr>
          <w:r w:rsidRPr="1E2DECDA">
            <w:rPr>
              <w:rFonts w:ascii="Times New Roman" w:eastAsia="Times New Roman" w:hAnsi="Times New Roman"/>
              <w:sz w:val="24"/>
              <w:szCs w:val="24"/>
              <w:lang w:val="es"/>
            </w:rPr>
            <w:t>Estación de Peaje San Bernardo (PR 9+0170) Ruta 5005 La Manuela - La Trinidad</w:t>
          </w:r>
        </w:p>
        <w:p w14:paraId="7C178709" w14:textId="7694A5A6" w:rsidR="007803E3" w:rsidRPr="0020113A" w:rsidRDefault="3AFFDD67" w:rsidP="00E60BAB">
          <w:pPr>
            <w:pStyle w:val="Prrafodelista"/>
            <w:numPr>
              <w:ilvl w:val="0"/>
              <w:numId w:val="159"/>
            </w:numPr>
            <w:spacing w:line="257" w:lineRule="auto"/>
            <w:ind w:left="-20" w:right="-20"/>
            <w:jc w:val="both"/>
            <w:rPr>
              <w:rFonts w:ascii="Times New Roman" w:eastAsia="Times New Roman" w:hAnsi="Times New Roman"/>
              <w:sz w:val="24"/>
              <w:szCs w:val="24"/>
              <w:lang w:val="es"/>
            </w:rPr>
          </w:pPr>
          <w:r w:rsidRPr="1E2DECDA">
            <w:rPr>
              <w:rFonts w:ascii="Times New Roman" w:eastAsia="Times New Roman" w:hAnsi="Times New Roman"/>
              <w:sz w:val="24"/>
              <w:szCs w:val="24"/>
              <w:lang w:val="es"/>
            </w:rPr>
            <w:t>Estación de Peaje Las Pavas (PR 1+0200) Ruta 29CL03-1 La Yé - La Trinidad</w:t>
          </w:r>
        </w:p>
        <w:p w14:paraId="43D931A2" w14:textId="362F8E89" w:rsidR="007803E3" w:rsidRPr="0020113A" w:rsidRDefault="3AFFDD67" w:rsidP="1E2DECDA">
          <w:pPr>
            <w:spacing w:line="257" w:lineRule="auto"/>
            <w:ind w:left="-20" w:right="-20"/>
            <w:jc w:val="both"/>
            <w:rPr>
              <w:rFonts w:ascii="Times New Roman" w:eastAsia="Times New Roman" w:hAnsi="Times New Roman"/>
              <w:sz w:val="24"/>
              <w:szCs w:val="24"/>
              <w:lang w:val="es-MX"/>
            </w:rPr>
          </w:pPr>
          <w:r w:rsidRPr="1E2DECDA">
            <w:rPr>
              <w:rFonts w:ascii="Times New Roman" w:eastAsia="Times New Roman" w:hAnsi="Times New Roman"/>
              <w:b/>
              <w:bCs/>
              <w:i/>
              <w:iCs/>
              <w:sz w:val="24"/>
              <w:szCs w:val="24"/>
              <w:lang w:val="es-MX"/>
            </w:rPr>
            <w:t>Fecha de incremento (cláusula contractual):</w:t>
          </w:r>
          <w:r w:rsidRPr="1E2DECDA">
            <w:rPr>
              <w:rFonts w:ascii="Times New Roman" w:eastAsia="Times New Roman" w:hAnsi="Times New Roman"/>
              <w:sz w:val="24"/>
              <w:szCs w:val="24"/>
              <w:lang w:val="es-MX"/>
            </w:rPr>
            <w:t xml:space="preserve"> Cláusula Quinta del contrato, parágrafo 6. El ajuste se realiza al inicio de cada año calendario, de acuerdo al aumento del IPC del año anterior tan pronto se publique por parte del DANE el IPC de diciembre.</w:t>
          </w:r>
        </w:p>
        <w:p w14:paraId="5F107B51" w14:textId="597D256D" w:rsidR="007803E3" w:rsidRPr="0020113A" w:rsidRDefault="3AFFDD67" w:rsidP="1E2DECDA">
          <w:pPr>
            <w:spacing w:line="257" w:lineRule="auto"/>
            <w:ind w:left="-20" w:right="-20"/>
            <w:jc w:val="both"/>
            <w:rPr>
              <w:rFonts w:ascii="Times New Roman" w:eastAsia="Times New Roman" w:hAnsi="Times New Roman"/>
              <w:sz w:val="24"/>
              <w:szCs w:val="24"/>
              <w:lang w:val="es-MX"/>
            </w:rPr>
          </w:pPr>
          <w:r w:rsidRPr="1E2DECDA">
            <w:rPr>
              <w:rFonts w:ascii="Times New Roman" w:eastAsia="Times New Roman" w:hAnsi="Times New Roman"/>
              <w:b/>
              <w:bCs/>
              <w:i/>
              <w:iCs/>
              <w:sz w:val="24"/>
              <w:szCs w:val="24"/>
              <w:lang w:val="es-MX"/>
            </w:rPr>
            <w:t>Las variables utilizadas para el Incremento:</w:t>
          </w:r>
          <w:r w:rsidRPr="1E2DECDA">
            <w:rPr>
              <w:rFonts w:ascii="Times New Roman" w:eastAsia="Times New Roman" w:hAnsi="Times New Roman"/>
              <w:sz w:val="24"/>
              <w:szCs w:val="24"/>
              <w:lang w:val="es-MX"/>
            </w:rPr>
            <w:t xml:space="preserve"> Cláusula Quinta, parágrafo 6. El ajuste se realiza al inicio de cada año calendario, de acuerdo al aumento del IPC del año anterior tan pronto se publique por parte del DANE el IPC de diciembre.</w:t>
          </w:r>
        </w:p>
        <w:p w14:paraId="35CF4D04" w14:textId="5A95DC51" w:rsidR="007803E3" w:rsidRPr="0020113A" w:rsidRDefault="3AFFDD67" w:rsidP="1E2DECDA">
          <w:pPr>
            <w:spacing w:line="257" w:lineRule="auto"/>
            <w:ind w:left="-20" w:right="-20"/>
            <w:jc w:val="both"/>
            <w:rPr>
              <w:rFonts w:ascii="Times New Roman" w:eastAsia="Times New Roman" w:hAnsi="Times New Roman"/>
              <w:sz w:val="24"/>
              <w:szCs w:val="24"/>
              <w:lang w:val="es-MX"/>
            </w:rPr>
          </w:pPr>
          <w:r w:rsidRPr="1E2DECDA">
            <w:rPr>
              <w:rFonts w:ascii="Times New Roman" w:eastAsia="Times New Roman" w:hAnsi="Times New Roman"/>
              <w:b/>
              <w:bCs/>
              <w:i/>
              <w:iCs/>
              <w:sz w:val="24"/>
              <w:szCs w:val="24"/>
              <w:lang w:val="es-MX"/>
            </w:rPr>
            <w:lastRenderedPageBreak/>
            <w:t>Variables que puedan afectar los flujos:</w:t>
          </w:r>
          <w:r w:rsidRPr="1E2DECDA">
            <w:rPr>
              <w:rFonts w:ascii="Times New Roman" w:eastAsia="Times New Roman" w:hAnsi="Times New Roman"/>
              <w:sz w:val="24"/>
              <w:szCs w:val="24"/>
              <w:lang w:val="es-MX"/>
            </w:rPr>
            <w:t xml:space="preserve"> Tráfico y Tarifa. El volumen de tráfico depende de la estacionalidad del año y la entrada de nuevos proyectos viales que pueden tener dos efectos: atraer nuevo tráfico o ser vías alternas por lo cual se disminuye el flujo.</w:t>
          </w:r>
        </w:p>
        <w:p w14:paraId="75138E2B" w14:textId="04DFB3E9" w:rsidR="007803E3" w:rsidRPr="0020113A" w:rsidRDefault="3AFFDD67" w:rsidP="00E60BAB">
          <w:pPr>
            <w:pStyle w:val="Prrafodelista"/>
            <w:numPr>
              <w:ilvl w:val="0"/>
              <w:numId w:val="160"/>
            </w:numPr>
            <w:spacing w:line="257" w:lineRule="auto"/>
            <w:ind w:left="-20" w:right="-20"/>
            <w:jc w:val="both"/>
            <w:rPr>
              <w:rFonts w:ascii="Times New Roman" w:eastAsia="Times New Roman" w:hAnsi="Times New Roman"/>
              <w:b/>
              <w:bCs/>
              <w:sz w:val="24"/>
              <w:szCs w:val="24"/>
              <w:lang w:val="es"/>
            </w:rPr>
          </w:pPr>
          <w:r w:rsidRPr="1E2DECDA">
            <w:rPr>
              <w:rFonts w:ascii="Times New Roman" w:eastAsia="Times New Roman" w:hAnsi="Times New Roman"/>
              <w:b/>
              <w:bCs/>
              <w:sz w:val="24"/>
              <w:szCs w:val="24"/>
              <w:lang w:val="es"/>
            </w:rPr>
            <w:t>Aportes ANI.</w:t>
          </w:r>
        </w:p>
        <w:p w14:paraId="7AC29504" w14:textId="6BE03EF4" w:rsidR="007803E3" w:rsidRPr="0020113A" w:rsidRDefault="3AFFDD67" w:rsidP="1E2DECDA">
          <w:pPr>
            <w:spacing w:line="257" w:lineRule="auto"/>
            <w:ind w:left="-20" w:right="-20"/>
            <w:jc w:val="both"/>
            <w:rPr>
              <w:rFonts w:ascii="Times New Roman" w:eastAsia="Times New Roman" w:hAnsi="Times New Roman"/>
              <w:sz w:val="24"/>
              <w:szCs w:val="24"/>
              <w:lang w:val="es"/>
            </w:rPr>
          </w:pPr>
          <w:r w:rsidRPr="1E2DECDA">
            <w:rPr>
              <w:rFonts w:ascii="Times New Roman" w:eastAsia="Times New Roman" w:hAnsi="Times New Roman"/>
              <w:sz w:val="24"/>
              <w:szCs w:val="24"/>
              <w:lang w:val="es"/>
            </w:rPr>
            <w:t>Fecha de obligación contractual (cláusula contractual): Adicional 7, Cláusula Sexta. Se pagan las vigencias en el mes de diciembre de cada año.</w:t>
          </w:r>
        </w:p>
        <w:p w14:paraId="507E87B8" w14:textId="1147C7DD" w:rsidR="007803E3" w:rsidRPr="0020113A" w:rsidRDefault="3AFFDD67" w:rsidP="1E2DECDA">
          <w:pPr>
            <w:spacing w:line="257" w:lineRule="auto"/>
            <w:ind w:left="-20" w:right="-20"/>
            <w:jc w:val="both"/>
            <w:rPr>
              <w:rFonts w:ascii="Times New Roman" w:eastAsia="Times New Roman" w:hAnsi="Times New Roman"/>
              <w:sz w:val="24"/>
              <w:szCs w:val="24"/>
              <w:lang w:val="es"/>
            </w:rPr>
          </w:pPr>
          <w:r w:rsidRPr="1E2DECDA">
            <w:rPr>
              <w:rFonts w:ascii="Times New Roman" w:eastAsia="Times New Roman" w:hAnsi="Times New Roman"/>
              <w:sz w:val="24"/>
              <w:szCs w:val="24"/>
              <w:lang w:val="es"/>
            </w:rPr>
            <w:t xml:space="preserve"> </w:t>
          </w:r>
        </w:p>
        <w:tbl>
          <w:tblPr>
            <w:tblW w:w="0" w:type="auto"/>
            <w:tblLayout w:type="fixed"/>
            <w:tblLook w:val="06A0" w:firstRow="1" w:lastRow="0" w:firstColumn="1" w:lastColumn="0" w:noHBand="1" w:noVBand="1"/>
          </w:tblPr>
          <w:tblGrid>
            <w:gridCol w:w="1233"/>
            <w:gridCol w:w="3560"/>
          </w:tblGrid>
          <w:tr w:rsidR="1E2DECDA" w14:paraId="2F3F4322" w14:textId="77777777" w:rsidTr="1E2DECDA">
            <w:trPr>
              <w:trHeight w:val="120"/>
            </w:trPr>
            <w:tc>
              <w:tcPr>
                <w:tcW w:w="1233" w:type="dxa"/>
                <w:tcBorders>
                  <w:top w:val="nil"/>
                  <w:left w:val="nil"/>
                  <w:bottom w:val="nil"/>
                  <w:right w:val="nil"/>
                </w:tcBorders>
                <w:tcMar>
                  <w:left w:w="108" w:type="dxa"/>
                  <w:right w:w="108" w:type="dxa"/>
                </w:tcMar>
                <w:vAlign w:val="center"/>
              </w:tcPr>
              <w:p w14:paraId="7629A739" w14:textId="524DACD0" w:rsidR="1E2DECDA" w:rsidRDefault="1E2DECDA" w:rsidP="1E2DECDA">
                <w:pPr>
                  <w:spacing w:after="0"/>
                  <w:ind w:left="-20" w:right="-20"/>
                  <w:jc w:val="both"/>
                  <w:rPr>
                    <w:rFonts w:ascii="Times New Roman" w:eastAsia="Times New Roman" w:hAnsi="Times New Roman"/>
                    <w:b/>
                    <w:bCs/>
                    <w:color w:val="000000" w:themeColor="text1"/>
                    <w:sz w:val="24"/>
                    <w:szCs w:val="24"/>
                  </w:rPr>
                </w:pPr>
                <w:r w:rsidRPr="1E2DECDA">
                  <w:rPr>
                    <w:rFonts w:ascii="Times New Roman" w:eastAsia="Times New Roman" w:hAnsi="Times New Roman"/>
                    <w:b/>
                    <w:bCs/>
                    <w:color w:val="000000" w:themeColor="text1"/>
                    <w:sz w:val="24"/>
                    <w:szCs w:val="24"/>
                  </w:rPr>
                  <w:t>Mes</w:t>
                </w:r>
              </w:p>
            </w:tc>
            <w:tc>
              <w:tcPr>
                <w:tcW w:w="3560" w:type="dxa"/>
                <w:tcBorders>
                  <w:top w:val="nil"/>
                  <w:left w:val="nil"/>
                  <w:bottom w:val="nil"/>
                  <w:right w:val="nil"/>
                </w:tcBorders>
                <w:tcMar>
                  <w:left w:w="108" w:type="dxa"/>
                  <w:right w:w="108" w:type="dxa"/>
                </w:tcMar>
                <w:vAlign w:val="center"/>
              </w:tcPr>
              <w:p w14:paraId="766282F0" w14:textId="5483FDF6" w:rsidR="1E2DECDA" w:rsidRDefault="1E2DECDA" w:rsidP="1E2DECDA">
                <w:pPr>
                  <w:spacing w:after="0"/>
                  <w:ind w:left="-20" w:right="-20"/>
                  <w:jc w:val="both"/>
                  <w:rPr>
                    <w:rFonts w:ascii="Times New Roman" w:eastAsia="Times New Roman" w:hAnsi="Times New Roman"/>
                    <w:b/>
                    <w:bCs/>
                    <w:color w:val="000000" w:themeColor="text1"/>
                    <w:sz w:val="24"/>
                    <w:szCs w:val="24"/>
                  </w:rPr>
                </w:pPr>
                <w:r w:rsidRPr="1E2DECDA">
                  <w:rPr>
                    <w:rFonts w:ascii="Times New Roman" w:eastAsia="Times New Roman" w:hAnsi="Times New Roman"/>
                    <w:b/>
                    <w:bCs/>
                    <w:color w:val="000000" w:themeColor="text1"/>
                    <w:sz w:val="24"/>
                    <w:szCs w:val="24"/>
                  </w:rPr>
                  <w:t>Vigencia Futura ($ corrientes)</w:t>
                </w:r>
              </w:p>
            </w:tc>
          </w:tr>
          <w:tr w:rsidR="1E2DECDA" w14:paraId="7BB6D48B" w14:textId="77777777" w:rsidTr="1E2DECDA">
            <w:trPr>
              <w:trHeight w:val="120"/>
            </w:trPr>
            <w:tc>
              <w:tcPr>
                <w:tcW w:w="1233" w:type="dxa"/>
                <w:tcBorders>
                  <w:top w:val="nil"/>
                  <w:left w:val="nil"/>
                  <w:bottom w:val="nil"/>
                  <w:right w:val="nil"/>
                </w:tcBorders>
                <w:tcMar>
                  <w:left w:w="108" w:type="dxa"/>
                  <w:right w:w="108" w:type="dxa"/>
                </w:tcMar>
                <w:vAlign w:val="center"/>
              </w:tcPr>
              <w:p w14:paraId="3FAEBDC1" w14:textId="10122718"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dic-12</w:t>
                </w:r>
              </w:p>
            </w:tc>
            <w:tc>
              <w:tcPr>
                <w:tcW w:w="3560" w:type="dxa"/>
                <w:tcBorders>
                  <w:top w:val="nil"/>
                  <w:left w:val="nil"/>
                  <w:bottom w:val="nil"/>
                  <w:right w:val="nil"/>
                </w:tcBorders>
                <w:tcMar>
                  <w:left w:w="108" w:type="dxa"/>
                  <w:right w:w="108" w:type="dxa"/>
                </w:tcMar>
                <w:vAlign w:val="center"/>
              </w:tcPr>
              <w:p w14:paraId="7C968C3A" w14:textId="6140C69C"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$ 200.000.000.000</w:t>
                </w:r>
              </w:p>
            </w:tc>
          </w:tr>
          <w:tr w:rsidR="1E2DECDA" w14:paraId="6C8D9070" w14:textId="77777777" w:rsidTr="1E2DECDA">
            <w:trPr>
              <w:trHeight w:val="120"/>
            </w:trPr>
            <w:tc>
              <w:tcPr>
                <w:tcW w:w="1233" w:type="dxa"/>
                <w:tcBorders>
                  <w:top w:val="nil"/>
                  <w:left w:val="nil"/>
                  <w:bottom w:val="nil"/>
                  <w:right w:val="nil"/>
                </w:tcBorders>
                <w:tcMar>
                  <w:left w:w="108" w:type="dxa"/>
                  <w:right w:w="108" w:type="dxa"/>
                </w:tcMar>
                <w:vAlign w:val="center"/>
              </w:tcPr>
              <w:p w14:paraId="67919C45" w14:textId="1A32EC10"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dic-13</w:t>
                </w:r>
              </w:p>
            </w:tc>
            <w:tc>
              <w:tcPr>
                <w:tcW w:w="3560" w:type="dxa"/>
                <w:tcBorders>
                  <w:top w:val="nil"/>
                  <w:left w:val="nil"/>
                  <w:bottom w:val="nil"/>
                  <w:right w:val="nil"/>
                </w:tcBorders>
                <w:tcMar>
                  <w:left w:w="108" w:type="dxa"/>
                  <w:right w:w="108" w:type="dxa"/>
                </w:tcMar>
                <w:vAlign w:val="center"/>
              </w:tcPr>
              <w:p w14:paraId="628CBC46" w14:textId="2570086D"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$ 73.513.000.000</w:t>
                </w:r>
              </w:p>
            </w:tc>
          </w:tr>
          <w:tr w:rsidR="1E2DECDA" w14:paraId="6C1C20F6" w14:textId="77777777" w:rsidTr="1E2DECDA">
            <w:trPr>
              <w:trHeight w:val="120"/>
            </w:trPr>
            <w:tc>
              <w:tcPr>
                <w:tcW w:w="1233" w:type="dxa"/>
                <w:tcBorders>
                  <w:top w:val="nil"/>
                  <w:left w:val="nil"/>
                  <w:bottom w:val="nil"/>
                  <w:right w:val="nil"/>
                </w:tcBorders>
                <w:tcMar>
                  <w:left w:w="108" w:type="dxa"/>
                  <w:right w:w="108" w:type="dxa"/>
                </w:tcMar>
                <w:vAlign w:val="center"/>
              </w:tcPr>
              <w:p w14:paraId="2E83042B" w14:textId="547A7C41"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dic-14</w:t>
                </w:r>
              </w:p>
            </w:tc>
            <w:tc>
              <w:tcPr>
                <w:tcW w:w="3560" w:type="dxa"/>
                <w:tcBorders>
                  <w:top w:val="nil"/>
                  <w:left w:val="nil"/>
                  <w:bottom w:val="nil"/>
                  <w:right w:val="nil"/>
                </w:tcBorders>
                <w:tcMar>
                  <w:left w:w="108" w:type="dxa"/>
                  <w:right w:w="108" w:type="dxa"/>
                </w:tcMar>
                <w:vAlign w:val="center"/>
              </w:tcPr>
              <w:p w14:paraId="1AB09EEC" w14:textId="7E7C9333"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$ 16.765.094.480</w:t>
                </w:r>
              </w:p>
            </w:tc>
          </w:tr>
          <w:tr w:rsidR="1E2DECDA" w14:paraId="525703A5" w14:textId="77777777" w:rsidTr="1E2DECDA">
            <w:trPr>
              <w:trHeight w:val="120"/>
            </w:trPr>
            <w:tc>
              <w:tcPr>
                <w:tcW w:w="1233" w:type="dxa"/>
                <w:tcBorders>
                  <w:top w:val="nil"/>
                  <w:left w:val="nil"/>
                  <w:bottom w:val="nil"/>
                  <w:right w:val="nil"/>
                </w:tcBorders>
                <w:tcMar>
                  <w:left w:w="108" w:type="dxa"/>
                  <w:right w:w="108" w:type="dxa"/>
                </w:tcMar>
                <w:vAlign w:val="center"/>
              </w:tcPr>
              <w:p w14:paraId="18152F64" w14:textId="55E82F9E"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dic-15</w:t>
                </w:r>
              </w:p>
            </w:tc>
            <w:tc>
              <w:tcPr>
                <w:tcW w:w="3560" w:type="dxa"/>
                <w:tcBorders>
                  <w:top w:val="nil"/>
                  <w:left w:val="nil"/>
                  <w:bottom w:val="nil"/>
                  <w:right w:val="nil"/>
                </w:tcBorders>
                <w:tcMar>
                  <w:left w:w="108" w:type="dxa"/>
                  <w:right w:w="108" w:type="dxa"/>
                </w:tcMar>
                <w:vAlign w:val="center"/>
              </w:tcPr>
              <w:p w14:paraId="6601A603" w14:textId="45569FD6"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$ 36.323.719.542</w:t>
                </w:r>
              </w:p>
            </w:tc>
          </w:tr>
          <w:tr w:rsidR="1E2DECDA" w14:paraId="11DBF85F" w14:textId="77777777" w:rsidTr="1E2DECDA">
            <w:trPr>
              <w:trHeight w:val="120"/>
            </w:trPr>
            <w:tc>
              <w:tcPr>
                <w:tcW w:w="1233" w:type="dxa"/>
                <w:tcBorders>
                  <w:top w:val="nil"/>
                  <w:left w:val="nil"/>
                  <w:bottom w:val="nil"/>
                  <w:right w:val="nil"/>
                </w:tcBorders>
                <w:tcMar>
                  <w:left w:w="108" w:type="dxa"/>
                  <w:right w:w="108" w:type="dxa"/>
                </w:tcMar>
                <w:vAlign w:val="center"/>
              </w:tcPr>
              <w:p w14:paraId="14891909" w14:textId="0F9E7F1C"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dic-16</w:t>
                </w:r>
              </w:p>
            </w:tc>
            <w:tc>
              <w:tcPr>
                <w:tcW w:w="3560" w:type="dxa"/>
                <w:tcBorders>
                  <w:top w:val="nil"/>
                  <w:left w:val="nil"/>
                  <w:bottom w:val="nil"/>
                  <w:right w:val="nil"/>
                </w:tcBorders>
                <w:tcMar>
                  <w:left w:w="108" w:type="dxa"/>
                  <w:right w:w="108" w:type="dxa"/>
                </w:tcMar>
                <w:vAlign w:val="center"/>
              </w:tcPr>
              <w:p w14:paraId="0956FD71" w14:textId="10F5E509"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$ 1.646.021.394</w:t>
                </w:r>
              </w:p>
            </w:tc>
          </w:tr>
          <w:tr w:rsidR="1E2DECDA" w14:paraId="6A3A7C53" w14:textId="77777777" w:rsidTr="1E2DECDA">
            <w:trPr>
              <w:trHeight w:val="120"/>
            </w:trPr>
            <w:tc>
              <w:tcPr>
                <w:tcW w:w="1233" w:type="dxa"/>
                <w:tcBorders>
                  <w:top w:val="nil"/>
                  <w:left w:val="nil"/>
                  <w:bottom w:val="nil"/>
                  <w:right w:val="nil"/>
                </w:tcBorders>
                <w:tcMar>
                  <w:left w:w="108" w:type="dxa"/>
                  <w:right w:w="108" w:type="dxa"/>
                </w:tcMar>
                <w:vAlign w:val="center"/>
              </w:tcPr>
              <w:p w14:paraId="28977AB1" w14:textId="730CC75C"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dic-17</w:t>
                </w:r>
              </w:p>
            </w:tc>
            <w:tc>
              <w:tcPr>
                <w:tcW w:w="3560" w:type="dxa"/>
                <w:tcBorders>
                  <w:top w:val="nil"/>
                  <w:left w:val="nil"/>
                  <w:bottom w:val="nil"/>
                  <w:right w:val="nil"/>
                </w:tcBorders>
                <w:tcMar>
                  <w:left w:w="108" w:type="dxa"/>
                  <w:right w:w="108" w:type="dxa"/>
                </w:tcMar>
                <w:vAlign w:val="center"/>
              </w:tcPr>
              <w:p w14:paraId="09DB7C4C" w14:textId="7FE6F6CF"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$ 3.151.394.153</w:t>
                </w:r>
              </w:p>
            </w:tc>
          </w:tr>
          <w:tr w:rsidR="1E2DECDA" w14:paraId="2514EDBE" w14:textId="77777777" w:rsidTr="1E2DECDA">
            <w:trPr>
              <w:trHeight w:val="120"/>
            </w:trPr>
            <w:tc>
              <w:tcPr>
                <w:tcW w:w="1233" w:type="dxa"/>
                <w:tcBorders>
                  <w:top w:val="nil"/>
                  <w:left w:val="nil"/>
                  <w:bottom w:val="nil"/>
                  <w:right w:val="nil"/>
                </w:tcBorders>
                <w:tcMar>
                  <w:left w:w="108" w:type="dxa"/>
                  <w:right w:w="108" w:type="dxa"/>
                </w:tcMar>
                <w:vAlign w:val="center"/>
              </w:tcPr>
              <w:p w14:paraId="3568AA95" w14:textId="31048F88"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dic-18</w:t>
                </w:r>
              </w:p>
            </w:tc>
            <w:tc>
              <w:tcPr>
                <w:tcW w:w="3560" w:type="dxa"/>
                <w:tcBorders>
                  <w:top w:val="nil"/>
                  <w:left w:val="nil"/>
                  <w:bottom w:val="nil"/>
                  <w:right w:val="nil"/>
                </w:tcBorders>
                <w:tcMar>
                  <w:left w:w="108" w:type="dxa"/>
                  <w:right w:w="108" w:type="dxa"/>
                </w:tcMar>
                <w:vAlign w:val="center"/>
              </w:tcPr>
              <w:p w14:paraId="204D8E82" w14:textId="2DA11B85"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$ 2.361.342.060</w:t>
                </w:r>
              </w:p>
            </w:tc>
          </w:tr>
          <w:tr w:rsidR="1E2DECDA" w14:paraId="279725D2" w14:textId="77777777" w:rsidTr="1E2DECDA">
            <w:trPr>
              <w:trHeight w:val="120"/>
            </w:trPr>
            <w:tc>
              <w:tcPr>
                <w:tcW w:w="1233" w:type="dxa"/>
                <w:tcBorders>
                  <w:top w:val="nil"/>
                  <w:left w:val="nil"/>
                  <w:bottom w:val="nil"/>
                  <w:right w:val="nil"/>
                </w:tcBorders>
                <w:tcMar>
                  <w:left w:w="108" w:type="dxa"/>
                  <w:right w:w="108" w:type="dxa"/>
                </w:tcMar>
                <w:vAlign w:val="center"/>
              </w:tcPr>
              <w:p w14:paraId="23045118" w14:textId="1A3BEBC5"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dic-19</w:t>
                </w:r>
              </w:p>
            </w:tc>
            <w:tc>
              <w:tcPr>
                <w:tcW w:w="3560" w:type="dxa"/>
                <w:tcBorders>
                  <w:top w:val="nil"/>
                  <w:left w:val="nil"/>
                  <w:bottom w:val="nil"/>
                  <w:right w:val="nil"/>
                </w:tcBorders>
                <w:tcMar>
                  <w:left w:w="108" w:type="dxa"/>
                  <w:right w:w="108" w:type="dxa"/>
                </w:tcMar>
                <w:vAlign w:val="center"/>
              </w:tcPr>
              <w:p w14:paraId="06BEA308" w14:textId="763308DD"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$ 1.037.128.057</w:t>
                </w:r>
              </w:p>
            </w:tc>
          </w:tr>
          <w:tr w:rsidR="1E2DECDA" w14:paraId="23CD6343" w14:textId="77777777" w:rsidTr="1E2DECDA">
            <w:trPr>
              <w:trHeight w:val="120"/>
            </w:trPr>
            <w:tc>
              <w:tcPr>
                <w:tcW w:w="1233" w:type="dxa"/>
                <w:tcBorders>
                  <w:top w:val="nil"/>
                  <w:left w:val="nil"/>
                  <w:bottom w:val="nil"/>
                  <w:right w:val="nil"/>
                </w:tcBorders>
                <w:tcMar>
                  <w:left w:w="108" w:type="dxa"/>
                  <w:right w:w="108" w:type="dxa"/>
                </w:tcMar>
                <w:vAlign w:val="center"/>
              </w:tcPr>
              <w:p w14:paraId="5A4F3CE4" w14:textId="2DBB6A47"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dic-20</w:t>
                </w:r>
              </w:p>
            </w:tc>
            <w:tc>
              <w:tcPr>
                <w:tcW w:w="3560" w:type="dxa"/>
                <w:tcBorders>
                  <w:top w:val="nil"/>
                  <w:left w:val="nil"/>
                  <w:bottom w:val="nil"/>
                  <w:right w:val="nil"/>
                </w:tcBorders>
                <w:tcMar>
                  <w:left w:w="108" w:type="dxa"/>
                  <w:right w:w="108" w:type="dxa"/>
                </w:tcMar>
                <w:vAlign w:val="center"/>
              </w:tcPr>
              <w:p w14:paraId="373F33B9" w14:textId="2639205E"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$ 2.949.357.186</w:t>
                </w:r>
              </w:p>
            </w:tc>
          </w:tr>
          <w:tr w:rsidR="1E2DECDA" w14:paraId="4F759C96" w14:textId="77777777" w:rsidTr="1E2DECDA">
            <w:trPr>
              <w:trHeight w:val="120"/>
            </w:trPr>
            <w:tc>
              <w:tcPr>
                <w:tcW w:w="1233" w:type="dxa"/>
                <w:tcBorders>
                  <w:top w:val="nil"/>
                  <w:left w:val="nil"/>
                  <w:bottom w:val="nil"/>
                  <w:right w:val="nil"/>
                </w:tcBorders>
                <w:tcMar>
                  <w:left w:w="108" w:type="dxa"/>
                  <w:right w:w="108" w:type="dxa"/>
                </w:tcMar>
                <w:vAlign w:val="center"/>
              </w:tcPr>
              <w:p w14:paraId="2A70052C" w14:textId="5A7AC63D"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dic-21</w:t>
                </w:r>
              </w:p>
            </w:tc>
            <w:tc>
              <w:tcPr>
                <w:tcW w:w="3560" w:type="dxa"/>
                <w:tcBorders>
                  <w:top w:val="nil"/>
                  <w:left w:val="nil"/>
                  <w:bottom w:val="nil"/>
                  <w:right w:val="nil"/>
                </w:tcBorders>
                <w:tcMar>
                  <w:left w:w="108" w:type="dxa"/>
                  <w:right w:w="108" w:type="dxa"/>
                </w:tcMar>
                <w:vAlign w:val="center"/>
              </w:tcPr>
              <w:p w14:paraId="669D4482" w14:textId="1A19554D"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$ 1.740.557.827</w:t>
                </w:r>
              </w:p>
            </w:tc>
          </w:tr>
          <w:tr w:rsidR="1E2DECDA" w14:paraId="243BEE91" w14:textId="77777777" w:rsidTr="1E2DECDA">
            <w:trPr>
              <w:trHeight w:val="120"/>
            </w:trPr>
            <w:tc>
              <w:tcPr>
                <w:tcW w:w="1233" w:type="dxa"/>
                <w:tcBorders>
                  <w:top w:val="nil"/>
                  <w:left w:val="nil"/>
                  <w:bottom w:val="nil"/>
                  <w:right w:val="nil"/>
                </w:tcBorders>
                <w:tcMar>
                  <w:left w:w="108" w:type="dxa"/>
                  <w:right w:w="108" w:type="dxa"/>
                </w:tcMar>
                <w:vAlign w:val="center"/>
              </w:tcPr>
              <w:p w14:paraId="4DD93FE0" w14:textId="3CBD6747"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dic-22</w:t>
                </w:r>
              </w:p>
            </w:tc>
            <w:tc>
              <w:tcPr>
                <w:tcW w:w="3560" w:type="dxa"/>
                <w:tcBorders>
                  <w:top w:val="nil"/>
                  <w:left w:val="nil"/>
                  <w:bottom w:val="nil"/>
                  <w:right w:val="nil"/>
                </w:tcBorders>
                <w:tcMar>
                  <w:left w:w="108" w:type="dxa"/>
                  <w:right w:w="108" w:type="dxa"/>
                </w:tcMar>
                <w:vAlign w:val="center"/>
              </w:tcPr>
              <w:p w14:paraId="005A16E0" w14:textId="5646103C"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$ 3.111.246.158</w:t>
                </w:r>
              </w:p>
            </w:tc>
          </w:tr>
          <w:tr w:rsidR="1E2DECDA" w14:paraId="6D708F0C" w14:textId="77777777" w:rsidTr="1E2DECDA">
            <w:trPr>
              <w:trHeight w:val="120"/>
            </w:trPr>
            <w:tc>
              <w:tcPr>
                <w:tcW w:w="1233" w:type="dxa"/>
                <w:tcBorders>
                  <w:top w:val="nil"/>
                  <w:left w:val="nil"/>
                  <w:bottom w:val="nil"/>
                  <w:right w:val="nil"/>
                </w:tcBorders>
                <w:tcMar>
                  <w:left w:w="108" w:type="dxa"/>
                  <w:right w:w="108" w:type="dxa"/>
                </w:tcMar>
                <w:vAlign w:val="center"/>
              </w:tcPr>
              <w:p w14:paraId="118AEB3A" w14:textId="302C1900"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dic-23</w:t>
                </w:r>
              </w:p>
            </w:tc>
            <w:tc>
              <w:tcPr>
                <w:tcW w:w="3560" w:type="dxa"/>
                <w:tcBorders>
                  <w:top w:val="nil"/>
                  <w:left w:val="nil"/>
                  <w:bottom w:val="nil"/>
                  <w:right w:val="nil"/>
                </w:tcBorders>
                <w:tcMar>
                  <w:left w:w="108" w:type="dxa"/>
                  <w:right w:w="108" w:type="dxa"/>
                </w:tcMar>
                <w:vAlign w:val="center"/>
              </w:tcPr>
              <w:p w14:paraId="410CC372" w14:textId="1F657E6E"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$ 3.195.851.089</w:t>
                </w:r>
              </w:p>
            </w:tc>
          </w:tr>
          <w:tr w:rsidR="1E2DECDA" w14:paraId="0F59B38D" w14:textId="77777777" w:rsidTr="1E2DECDA">
            <w:trPr>
              <w:trHeight w:val="120"/>
            </w:trPr>
            <w:tc>
              <w:tcPr>
                <w:tcW w:w="1233" w:type="dxa"/>
                <w:tcBorders>
                  <w:top w:val="nil"/>
                  <w:left w:val="nil"/>
                  <w:bottom w:val="nil"/>
                  <w:right w:val="nil"/>
                </w:tcBorders>
                <w:tcMar>
                  <w:left w:w="108" w:type="dxa"/>
                  <w:right w:w="108" w:type="dxa"/>
                </w:tcMar>
                <w:vAlign w:val="center"/>
              </w:tcPr>
              <w:p w14:paraId="5C19FD24" w14:textId="1C9A282C"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dic-24</w:t>
                </w:r>
              </w:p>
            </w:tc>
            <w:tc>
              <w:tcPr>
                <w:tcW w:w="3560" w:type="dxa"/>
                <w:tcBorders>
                  <w:top w:val="nil"/>
                  <w:left w:val="nil"/>
                  <w:bottom w:val="nil"/>
                  <w:right w:val="nil"/>
                </w:tcBorders>
                <w:tcMar>
                  <w:left w:w="108" w:type="dxa"/>
                  <w:right w:w="108" w:type="dxa"/>
                </w:tcMar>
                <w:vAlign w:val="center"/>
              </w:tcPr>
              <w:p w14:paraId="5FBD0A99" w14:textId="4A824B96"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$ 3.282.994.168</w:t>
                </w:r>
              </w:p>
            </w:tc>
          </w:tr>
          <w:tr w:rsidR="1E2DECDA" w14:paraId="7520A02E" w14:textId="77777777" w:rsidTr="1E2DECDA">
            <w:trPr>
              <w:trHeight w:val="120"/>
            </w:trPr>
            <w:tc>
              <w:tcPr>
                <w:tcW w:w="1233" w:type="dxa"/>
                <w:tcBorders>
                  <w:top w:val="nil"/>
                  <w:left w:val="nil"/>
                  <w:bottom w:val="nil"/>
                  <w:right w:val="nil"/>
                </w:tcBorders>
                <w:tcMar>
                  <w:left w:w="108" w:type="dxa"/>
                  <w:right w:w="108" w:type="dxa"/>
                </w:tcMar>
                <w:vAlign w:val="center"/>
              </w:tcPr>
              <w:p w14:paraId="51C6D74B" w14:textId="10E14722"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dic-25</w:t>
                </w:r>
              </w:p>
            </w:tc>
            <w:tc>
              <w:tcPr>
                <w:tcW w:w="3560" w:type="dxa"/>
                <w:tcBorders>
                  <w:top w:val="nil"/>
                  <w:left w:val="nil"/>
                  <w:bottom w:val="nil"/>
                  <w:right w:val="nil"/>
                </w:tcBorders>
                <w:tcMar>
                  <w:left w:w="108" w:type="dxa"/>
                  <w:right w:w="108" w:type="dxa"/>
                </w:tcMar>
                <w:vAlign w:val="center"/>
              </w:tcPr>
              <w:p w14:paraId="105EA338" w14:textId="702AAC0F"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$ 3.452.936.109</w:t>
                </w:r>
              </w:p>
            </w:tc>
          </w:tr>
          <w:tr w:rsidR="1E2DECDA" w14:paraId="4F0A816B" w14:textId="77777777" w:rsidTr="1E2DECDA">
            <w:trPr>
              <w:trHeight w:val="120"/>
            </w:trPr>
            <w:tc>
              <w:tcPr>
                <w:tcW w:w="1233" w:type="dxa"/>
                <w:tcBorders>
                  <w:top w:val="nil"/>
                  <w:left w:val="nil"/>
                  <w:bottom w:val="nil"/>
                  <w:right w:val="nil"/>
                </w:tcBorders>
                <w:tcMar>
                  <w:left w:w="108" w:type="dxa"/>
                  <w:right w:w="108" w:type="dxa"/>
                </w:tcMar>
                <w:vAlign w:val="center"/>
              </w:tcPr>
              <w:p w14:paraId="0FC820AA" w14:textId="51C65361"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dic-26</w:t>
                </w:r>
              </w:p>
            </w:tc>
            <w:tc>
              <w:tcPr>
                <w:tcW w:w="3560" w:type="dxa"/>
                <w:tcBorders>
                  <w:top w:val="nil"/>
                  <w:left w:val="nil"/>
                  <w:bottom w:val="nil"/>
                  <w:right w:val="nil"/>
                </w:tcBorders>
                <w:tcMar>
                  <w:left w:w="108" w:type="dxa"/>
                  <w:right w:w="108" w:type="dxa"/>
                </w:tcMar>
                <w:vAlign w:val="center"/>
              </w:tcPr>
              <w:p w14:paraId="7E8E917E" w14:textId="3095D9A5"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$ 3.465.177.785</w:t>
                </w:r>
              </w:p>
            </w:tc>
          </w:tr>
        </w:tbl>
        <w:p w14:paraId="57719E9D" w14:textId="5BC54D9F" w:rsidR="007803E3" w:rsidRPr="0020113A" w:rsidRDefault="3AFFDD67" w:rsidP="1E2DECDA">
          <w:pPr>
            <w:spacing w:line="257" w:lineRule="auto"/>
            <w:ind w:left="-20" w:right="-20"/>
            <w:jc w:val="both"/>
            <w:rPr>
              <w:rFonts w:ascii="Times New Roman" w:eastAsia="Times New Roman" w:hAnsi="Times New Roman"/>
              <w:sz w:val="24"/>
              <w:szCs w:val="24"/>
              <w:lang w:val="es"/>
            </w:rPr>
          </w:pPr>
          <w:r w:rsidRPr="1E2DECDA">
            <w:rPr>
              <w:rFonts w:ascii="Times New Roman" w:eastAsia="Times New Roman" w:hAnsi="Times New Roman"/>
              <w:sz w:val="24"/>
              <w:szCs w:val="24"/>
              <w:lang w:val="es"/>
            </w:rPr>
            <w:t xml:space="preserve"> </w:t>
          </w:r>
        </w:p>
        <w:p w14:paraId="1DF29DB5" w14:textId="7B99EB49" w:rsidR="007803E3" w:rsidRPr="0020113A" w:rsidRDefault="3AFFDD67" w:rsidP="1E2DECDA">
          <w:pPr>
            <w:spacing w:line="257" w:lineRule="auto"/>
            <w:ind w:left="-20" w:right="-20"/>
            <w:jc w:val="both"/>
            <w:rPr>
              <w:rFonts w:ascii="Times New Roman" w:eastAsia="Times New Roman" w:hAnsi="Times New Roman"/>
              <w:b/>
              <w:bCs/>
              <w:sz w:val="24"/>
              <w:szCs w:val="24"/>
              <w:lang w:val="es"/>
            </w:rPr>
          </w:pPr>
          <w:r w:rsidRPr="1E2DECDA">
            <w:rPr>
              <w:rFonts w:ascii="Times New Roman" w:eastAsia="Times New Roman" w:hAnsi="Times New Roman"/>
              <w:b/>
              <w:bCs/>
              <w:sz w:val="24"/>
              <w:szCs w:val="24"/>
              <w:lang w:val="es"/>
            </w:rPr>
            <w:t xml:space="preserve">Términos de calendario: </w:t>
          </w:r>
        </w:p>
        <w:p w14:paraId="41D09427" w14:textId="4A45E98E" w:rsidR="007803E3" w:rsidRPr="0020113A" w:rsidRDefault="3AFFDD67" w:rsidP="1E2DECDA">
          <w:pPr>
            <w:tabs>
              <w:tab w:val="left" w:pos="2730"/>
            </w:tabs>
            <w:spacing w:line="257" w:lineRule="auto"/>
            <w:ind w:left="-20" w:right="96"/>
            <w:jc w:val="both"/>
            <w:rPr>
              <w:rFonts w:ascii="Times New Roman" w:eastAsia="Times New Roman" w:hAnsi="Times New Roman"/>
              <w:sz w:val="24"/>
              <w:szCs w:val="24"/>
              <w:lang w:val="es"/>
            </w:rPr>
          </w:pPr>
          <w:r w:rsidRPr="1E2DECDA">
            <w:rPr>
              <w:rFonts w:ascii="Times New Roman" w:eastAsia="Times New Roman" w:hAnsi="Times New Roman"/>
              <w:sz w:val="24"/>
              <w:szCs w:val="24"/>
              <w:lang w:val="es"/>
            </w:rPr>
            <w:t>El plazo de duración del presente Contrato, contados a partir de la fecha de suscripción del "Acta de Iniciación de la Etapa de Diseño y Programación", es de doscientos cincuenta y seis (256) meses el cual comprende tanto el plazo para la ejecución de las etapas del Contrato como el plazo para la liquidación del mismo.</w:t>
          </w:r>
        </w:p>
        <w:p w14:paraId="7D9E9340" w14:textId="14E1234D" w:rsidR="007803E3" w:rsidRPr="0020113A" w:rsidRDefault="3AFFDD67" w:rsidP="1E2DECDA">
          <w:pPr>
            <w:tabs>
              <w:tab w:val="left" w:pos="2730"/>
            </w:tabs>
            <w:spacing w:line="257" w:lineRule="auto"/>
            <w:ind w:left="-20" w:right="96"/>
            <w:jc w:val="both"/>
            <w:rPr>
              <w:rFonts w:ascii="Times New Roman" w:eastAsia="Times New Roman" w:hAnsi="Times New Roman"/>
              <w:sz w:val="24"/>
              <w:szCs w:val="24"/>
              <w:lang w:val="es"/>
            </w:rPr>
          </w:pPr>
          <w:r w:rsidRPr="1E2DECDA">
            <w:rPr>
              <w:rFonts w:ascii="Times New Roman" w:eastAsia="Times New Roman" w:hAnsi="Times New Roman"/>
              <w:sz w:val="24"/>
              <w:szCs w:val="24"/>
              <w:lang w:val="es"/>
            </w:rPr>
            <w:t>El plazo para la ejecución de las etapas del Contrato es de doscientos cincuenta y dos (252) meses. contados a partir de la fecha de suscripción del "Acta de Iniciación de la Etapa de Diseño y Programación" y hasta la fecha de firma del Acla de Finalización de la Etapa de Operación.</w:t>
          </w:r>
        </w:p>
        <w:p w14:paraId="2727B687" w14:textId="783D4921" w:rsidR="007803E3" w:rsidRPr="0020113A" w:rsidRDefault="3AFFDD67" w:rsidP="1E2DECDA">
          <w:pPr>
            <w:tabs>
              <w:tab w:val="left" w:pos="2730"/>
            </w:tabs>
            <w:spacing w:line="257" w:lineRule="auto"/>
            <w:ind w:left="-20" w:right="96"/>
            <w:jc w:val="both"/>
            <w:rPr>
              <w:rFonts w:ascii="Times New Roman" w:eastAsia="Times New Roman" w:hAnsi="Times New Roman"/>
              <w:b/>
              <w:bCs/>
              <w:i/>
              <w:iCs/>
              <w:sz w:val="24"/>
              <w:szCs w:val="24"/>
              <w:lang w:val="es"/>
            </w:rPr>
          </w:pPr>
          <w:r w:rsidRPr="1E2DECDA">
            <w:rPr>
              <w:rFonts w:ascii="Times New Roman" w:eastAsia="Times New Roman" w:hAnsi="Times New Roman"/>
              <w:b/>
              <w:bCs/>
              <w:i/>
              <w:iCs/>
              <w:sz w:val="24"/>
              <w:szCs w:val="24"/>
              <w:lang w:val="es"/>
            </w:rPr>
            <w:t xml:space="preserve"> </w:t>
          </w:r>
        </w:p>
        <w:p w14:paraId="03C1A744" w14:textId="15D745B1" w:rsidR="007803E3" w:rsidRPr="0020113A" w:rsidRDefault="3AFFDD67" w:rsidP="1E2DECDA">
          <w:pPr>
            <w:tabs>
              <w:tab w:val="left" w:pos="2730"/>
            </w:tabs>
            <w:spacing w:line="257" w:lineRule="auto"/>
            <w:ind w:left="-20" w:right="96"/>
            <w:jc w:val="both"/>
            <w:rPr>
              <w:rFonts w:ascii="Times New Roman" w:eastAsia="Times New Roman" w:hAnsi="Times New Roman"/>
              <w:b/>
              <w:bCs/>
              <w:i/>
              <w:iCs/>
              <w:sz w:val="24"/>
              <w:szCs w:val="24"/>
              <w:lang w:val="es"/>
            </w:rPr>
          </w:pPr>
          <w:r w:rsidRPr="1E2DECDA">
            <w:rPr>
              <w:rFonts w:ascii="Times New Roman" w:eastAsia="Times New Roman" w:hAnsi="Times New Roman"/>
              <w:b/>
              <w:bCs/>
              <w:i/>
              <w:iCs/>
              <w:sz w:val="24"/>
              <w:szCs w:val="24"/>
              <w:lang w:val="es"/>
            </w:rPr>
            <w:t>A. ETAPA DE DISEÑO Y PROGRAMACION.</w:t>
          </w:r>
        </w:p>
        <w:p w14:paraId="2E51206C" w14:textId="2C675062" w:rsidR="007803E3" w:rsidRPr="0020113A" w:rsidRDefault="3AFFDD67" w:rsidP="1E2DECDA">
          <w:pPr>
            <w:tabs>
              <w:tab w:val="left" w:pos="2730"/>
            </w:tabs>
            <w:spacing w:line="257" w:lineRule="auto"/>
            <w:ind w:left="-20" w:right="96"/>
            <w:jc w:val="both"/>
            <w:rPr>
              <w:rFonts w:ascii="Times New Roman" w:eastAsia="Times New Roman" w:hAnsi="Times New Roman"/>
              <w:sz w:val="24"/>
              <w:szCs w:val="24"/>
              <w:lang w:val="es"/>
            </w:rPr>
          </w:pPr>
          <w:r w:rsidRPr="1E2DECDA">
            <w:rPr>
              <w:rFonts w:ascii="Times New Roman" w:eastAsia="Times New Roman" w:hAnsi="Times New Roman"/>
              <w:sz w:val="24"/>
              <w:szCs w:val="24"/>
              <w:lang w:val="es"/>
            </w:rPr>
            <w:t>La Etapa de Diseño y Programación está comprendida entre la firma del "Acta de iniciación de la Etapa de Diseño y Programación" y la firma del "Acta de Terminación de la Etapa de Diseño y Programación".</w:t>
          </w:r>
        </w:p>
        <w:p w14:paraId="2A429D15" w14:textId="5D8A1FF0" w:rsidR="007803E3" w:rsidRPr="0020113A" w:rsidRDefault="3AFFDD67" w:rsidP="1E2DECDA">
          <w:pPr>
            <w:tabs>
              <w:tab w:val="left" w:pos="2730"/>
            </w:tabs>
            <w:spacing w:line="257" w:lineRule="auto"/>
            <w:ind w:left="-20" w:right="96"/>
            <w:jc w:val="both"/>
            <w:rPr>
              <w:rFonts w:ascii="Times New Roman" w:eastAsia="Times New Roman" w:hAnsi="Times New Roman"/>
              <w:sz w:val="24"/>
              <w:szCs w:val="24"/>
              <w:lang w:val="es"/>
            </w:rPr>
          </w:pPr>
          <w:r w:rsidRPr="1E2DECDA">
            <w:rPr>
              <w:rFonts w:ascii="Times New Roman" w:eastAsia="Times New Roman" w:hAnsi="Times New Roman"/>
              <w:sz w:val="24"/>
              <w:szCs w:val="24"/>
              <w:lang w:val="es"/>
            </w:rPr>
            <w:lastRenderedPageBreak/>
            <w:t>El CONCESIONARIO tendrá seis (6) meses a partir de la firma del "Acta de Iniciación de la Etapa de Diseño y Programación" para realizar todas las actividades previstas para esta etapa.</w:t>
          </w:r>
        </w:p>
        <w:p w14:paraId="1F59A8F6" w14:textId="4FF6898E" w:rsidR="007803E3" w:rsidRPr="0020113A" w:rsidRDefault="3AFFDD67" w:rsidP="1E2DECDA">
          <w:pPr>
            <w:tabs>
              <w:tab w:val="left" w:pos="2730"/>
            </w:tabs>
            <w:spacing w:line="257" w:lineRule="auto"/>
            <w:ind w:left="-20" w:right="96"/>
            <w:jc w:val="both"/>
            <w:rPr>
              <w:rFonts w:ascii="Times New Roman" w:eastAsia="Times New Roman" w:hAnsi="Times New Roman"/>
              <w:sz w:val="24"/>
              <w:szCs w:val="24"/>
              <w:lang w:val="es"/>
            </w:rPr>
          </w:pPr>
          <w:r w:rsidRPr="1E2DECDA">
            <w:rPr>
              <w:rFonts w:ascii="Times New Roman" w:eastAsia="Times New Roman" w:hAnsi="Times New Roman"/>
              <w:sz w:val="24"/>
              <w:szCs w:val="24"/>
              <w:lang w:val="es"/>
            </w:rPr>
            <w:t xml:space="preserve"> </w:t>
          </w:r>
        </w:p>
        <w:p w14:paraId="4EB56912" w14:textId="184FFF0C" w:rsidR="007803E3" w:rsidRPr="0020113A" w:rsidRDefault="3AFFDD67" w:rsidP="1E2DECDA">
          <w:pPr>
            <w:tabs>
              <w:tab w:val="left" w:pos="2730"/>
            </w:tabs>
            <w:spacing w:line="257" w:lineRule="auto"/>
            <w:ind w:left="-20" w:right="96"/>
            <w:jc w:val="both"/>
            <w:rPr>
              <w:rFonts w:ascii="Times New Roman" w:eastAsia="Times New Roman" w:hAnsi="Times New Roman"/>
              <w:b/>
              <w:bCs/>
              <w:i/>
              <w:iCs/>
              <w:sz w:val="24"/>
              <w:szCs w:val="24"/>
              <w:lang w:val="es"/>
            </w:rPr>
          </w:pPr>
          <w:r w:rsidRPr="1E2DECDA">
            <w:rPr>
              <w:rFonts w:ascii="Times New Roman" w:eastAsia="Times New Roman" w:hAnsi="Times New Roman"/>
              <w:b/>
              <w:bCs/>
              <w:i/>
              <w:iCs/>
              <w:sz w:val="24"/>
              <w:szCs w:val="24"/>
              <w:lang w:val="es"/>
            </w:rPr>
            <w:t>B. ETAPA DE CONSTRUCCIÓN.</w:t>
          </w:r>
        </w:p>
        <w:p w14:paraId="6E8F804F" w14:textId="656A106D" w:rsidR="007803E3" w:rsidRPr="0020113A" w:rsidRDefault="3AFFDD67" w:rsidP="1E2DECDA">
          <w:pPr>
            <w:tabs>
              <w:tab w:val="left" w:pos="2730"/>
            </w:tabs>
            <w:spacing w:line="257" w:lineRule="auto"/>
            <w:ind w:left="-20" w:right="96"/>
            <w:jc w:val="both"/>
            <w:rPr>
              <w:rFonts w:ascii="Times New Roman" w:eastAsia="Times New Roman" w:hAnsi="Times New Roman"/>
              <w:sz w:val="24"/>
              <w:szCs w:val="24"/>
              <w:lang w:val="es"/>
            </w:rPr>
          </w:pPr>
          <w:r w:rsidRPr="1E2DECDA">
            <w:rPr>
              <w:rFonts w:ascii="Times New Roman" w:eastAsia="Times New Roman" w:hAnsi="Times New Roman"/>
              <w:sz w:val="24"/>
              <w:szCs w:val="24"/>
              <w:lang w:val="es"/>
            </w:rPr>
            <w:t>La Etapa de Construcción está comprendida entre la fecha de suscripción del "Acta de Iniciación de la Etapa de Construcción" y la fecha de suscripción del "Acta de Finalización de la Etapa de construcción". la cual se firmará cuando las obras y equipos innecesarios para la puesta en servicio del último tramo de las obras básicas, sean recibidas por parte del INSTITUTO, y la totalidad del Proyecto Vial entre en operación. La Etapa de Construcción deberá adelantarse en un plazo máximo de veinticuatro (24) meses contados a partir de la fecha de iniciación de la misma EL CONCESIONARIO iniciará la Etapa de Construcción con obras de rehabilitación, por tramos. o por actividades definidas en el programa general de trabajo de tal forma que no se interrumpa la ejecución del Contrato. El plazo anterior no incluye las suspensiones y extensiones de plazos que procedan de conformidad con lo dispuesto en este Contrato.</w:t>
          </w:r>
        </w:p>
        <w:p w14:paraId="54F0DBFE" w14:textId="593D87B4" w:rsidR="007803E3" w:rsidRPr="0020113A" w:rsidRDefault="3AFFDD67" w:rsidP="1E2DECDA">
          <w:pPr>
            <w:tabs>
              <w:tab w:val="left" w:pos="2730"/>
            </w:tabs>
            <w:spacing w:line="257" w:lineRule="auto"/>
            <w:ind w:left="-20" w:right="96"/>
            <w:jc w:val="both"/>
            <w:rPr>
              <w:rFonts w:ascii="Times New Roman" w:eastAsia="Times New Roman" w:hAnsi="Times New Roman"/>
              <w:b/>
              <w:bCs/>
              <w:i/>
              <w:iCs/>
              <w:sz w:val="24"/>
              <w:szCs w:val="24"/>
              <w:lang w:val="es"/>
            </w:rPr>
          </w:pPr>
          <w:r w:rsidRPr="1E2DECDA">
            <w:rPr>
              <w:rFonts w:ascii="Times New Roman" w:eastAsia="Times New Roman" w:hAnsi="Times New Roman"/>
              <w:b/>
              <w:bCs/>
              <w:i/>
              <w:iCs/>
              <w:sz w:val="24"/>
              <w:szCs w:val="24"/>
              <w:lang w:val="es"/>
            </w:rPr>
            <w:t>C. ETAPA DE OPERACIÓN.</w:t>
          </w:r>
        </w:p>
        <w:p w14:paraId="521DAF7D" w14:textId="12CBED0C" w:rsidR="007803E3" w:rsidRPr="0020113A" w:rsidRDefault="3AFFDD67" w:rsidP="1E2DECDA">
          <w:pPr>
            <w:tabs>
              <w:tab w:val="left" w:pos="2730"/>
            </w:tabs>
            <w:spacing w:line="257" w:lineRule="auto"/>
            <w:ind w:left="-20" w:right="96"/>
            <w:jc w:val="both"/>
            <w:rPr>
              <w:rFonts w:ascii="Times New Roman" w:eastAsia="Times New Roman" w:hAnsi="Times New Roman"/>
              <w:sz w:val="24"/>
              <w:szCs w:val="24"/>
              <w:lang w:val="es"/>
            </w:rPr>
          </w:pPr>
          <w:r w:rsidRPr="1E2DECDA">
            <w:rPr>
              <w:rFonts w:ascii="Times New Roman" w:eastAsia="Times New Roman" w:hAnsi="Times New Roman"/>
              <w:sz w:val="24"/>
              <w:szCs w:val="24"/>
              <w:lang w:val="es"/>
            </w:rPr>
            <w:t xml:space="preserve">El plazo de la Etapa de Operación será de doscientos veintidós (222) meses contados a partir de la firma del "Acta de Iniciación de la Operación del Primer Tramo". Al finalizar la Etapa de Operación se suscribir8 el "Acta de Finalización de la Etapa de Operación" y simultáneamente se producirá la reversión de los bienes y servicios y el INSTITUTO reasumirá en forma inmediata el cobro y administración de los peajes dados en concesión y asumirá las obligaciones relacionadas con el mantenimiento y operación de la vía sin perjuicio de la garantía de estabilidad de la obra, en los términos previstos en este Contrato </w:t>
          </w:r>
        </w:p>
        <w:p w14:paraId="22A216BF" w14:textId="1CDC0C84" w:rsidR="007803E3" w:rsidRPr="0020113A" w:rsidRDefault="3AFFDD67" w:rsidP="1E2DECDA">
          <w:pPr>
            <w:tabs>
              <w:tab w:val="left" w:pos="2730"/>
            </w:tabs>
            <w:spacing w:line="257" w:lineRule="auto"/>
            <w:ind w:left="-20" w:right="96"/>
            <w:jc w:val="both"/>
            <w:rPr>
              <w:rFonts w:ascii="Times New Roman" w:eastAsia="Times New Roman" w:hAnsi="Times New Roman"/>
              <w:sz w:val="24"/>
              <w:szCs w:val="24"/>
              <w:lang w:val="es"/>
            </w:rPr>
          </w:pPr>
          <w:r w:rsidRPr="1E2DECDA">
            <w:rPr>
              <w:rFonts w:ascii="Times New Roman" w:eastAsia="Times New Roman" w:hAnsi="Times New Roman"/>
              <w:sz w:val="24"/>
              <w:szCs w:val="24"/>
              <w:lang w:val="es"/>
            </w:rPr>
            <w:t xml:space="preserve"> </w:t>
          </w:r>
        </w:p>
        <w:p w14:paraId="29E7940F" w14:textId="6EB9A3EC" w:rsidR="007803E3" w:rsidRPr="0020113A" w:rsidRDefault="3AFFDD67" w:rsidP="1E2DECDA">
          <w:pPr>
            <w:tabs>
              <w:tab w:val="left" w:pos="2730"/>
            </w:tabs>
            <w:spacing w:line="257" w:lineRule="auto"/>
            <w:ind w:left="-20" w:right="96"/>
            <w:jc w:val="both"/>
            <w:rPr>
              <w:rFonts w:ascii="Times New Roman" w:eastAsia="Times New Roman" w:hAnsi="Times New Roman"/>
              <w:sz w:val="24"/>
              <w:szCs w:val="24"/>
              <w:lang w:val="es-MX"/>
            </w:rPr>
          </w:pPr>
          <w:r w:rsidRPr="1E2DECDA">
            <w:rPr>
              <w:rFonts w:ascii="Times New Roman" w:eastAsia="Times New Roman" w:hAnsi="Times New Roman"/>
              <w:b/>
              <w:bCs/>
              <w:sz w:val="24"/>
              <w:szCs w:val="24"/>
              <w:lang w:val="es"/>
            </w:rPr>
            <w:t xml:space="preserve">Términos de certeza de flujos de efectivo futuros: </w:t>
          </w:r>
          <w:r w:rsidRPr="1E2DECDA">
            <w:rPr>
              <w:rFonts w:ascii="Times New Roman" w:eastAsia="Times New Roman" w:hAnsi="Times New Roman"/>
              <w:sz w:val="24"/>
              <w:szCs w:val="24"/>
              <w:lang w:val="es-MX"/>
            </w:rPr>
            <w:t>Las Vigencias Futuras se determinaron en pesos corrientes, por lo cual no aplica ningún ajuste.</w:t>
          </w:r>
        </w:p>
        <w:p w14:paraId="2709C4AE" w14:textId="3A121766" w:rsidR="007803E3" w:rsidRPr="0020113A" w:rsidRDefault="3AFFDD67" w:rsidP="1E2DECDA">
          <w:pPr>
            <w:spacing w:line="257" w:lineRule="auto"/>
            <w:ind w:left="-20" w:right="95"/>
            <w:jc w:val="both"/>
            <w:rPr>
              <w:rFonts w:ascii="Times New Roman" w:eastAsia="Times New Roman" w:hAnsi="Times New Roman"/>
              <w:sz w:val="24"/>
              <w:szCs w:val="24"/>
              <w:lang w:val="es"/>
            </w:rPr>
          </w:pPr>
          <w:r w:rsidRPr="1E2DECDA">
            <w:rPr>
              <w:rFonts w:ascii="Times New Roman" w:eastAsia="Times New Roman" w:hAnsi="Times New Roman"/>
              <w:sz w:val="24"/>
              <w:szCs w:val="24"/>
              <w:lang w:val="es"/>
            </w:rPr>
            <w:t xml:space="preserve"> </w:t>
          </w:r>
        </w:p>
        <w:p w14:paraId="06D5D256" w14:textId="559ED305" w:rsidR="007803E3" w:rsidRPr="0020113A" w:rsidRDefault="3AFFDD67" w:rsidP="00E60BAB">
          <w:pPr>
            <w:pStyle w:val="Prrafodelista"/>
            <w:numPr>
              <w:ilvl w:val="0"/>
              <w:numId w:val="161"/>
            </w:numPr>
            <w:spacing w:after="0" w:line="257" w:lineRule="auto"/>
            <w:ind w:left="-20" w:right="-20"/>
            <w:jc w:val="both"/>
            <w:rPr>
              <w:rFonts w:ascii="Times New Roman" w:eastAsia="Times New Roman" w:hAnsi="Times New Roman"/>
              <w:b/>
              <w:bCs/>
              <w:sz w:val="24"/>
              <w:szCs w:val="24"/>
              <w:lang w:val="es"/>
            </w:rPr>
          </w:pPr>
          <w:r w:rsidRPr="1E2DECDA">
            <w:rPr>
              <w:rFonts w:ascii="Times New Roman" w:eastAsia="Times New Roman" w:hAnsi="Times New Roman"/>
              <w:b/>
              <w:bCs/>
              <w:sz w:val="24"/>
              <w:szCs w:val="24"/>
              <w:lang w:val="es"/>
            </w:rPr>
            <w:t>Naturaleza y alcance del derecho a utilizar activos especificados, de los aspectos pactados en torno a lo que se espera que el concesionario proporcione en relación con el acuerdo de concesión.</w:t>
          </w:r>
        </w:p>
        <w:p w14:paraId="0CEF92FB" w14:textId="39774795" w:rsidR="007803E3" w:rsidRPr="0020113A" w:rsidRDefault="3AFFDD67" w:rsidP="1E2DECDA">
          <w:pPr>
            <w:spacing w:line="257" w:lineRule="auto"/>
            <w:ind w:left="-20" w:right="95"/>
            <w:jc w:val="both"/>
            <w:rPr>
              <w:rFonts w:ascii="Times New Roman" w:eastAsia="Times New Roman" w:hAnsi="Times New Roman"/>
              <w:b/>
              <w:bCs/>
              <w:sz w:val="24"/>
              <w:szCs w:val="24"/>
              <w:lang w:val="es"/>
            </w:rPr>
          </w:pPr>
          <w:r w:rsidRPr="1E2DECDA">
            <w:rPr>
              <w:rFonts w:ascii="Times New Roman" w:eastAsia="Times New Roman" w:hAnsi="Times New Roman"/>
              <w:b/>
              <w:bCs/>
              <w:sz w:val="24"/>
              <w:szCs w:val="24"/>
              <w:lang w:val="es"/>
            </w:rPr>
            <w:t xml:space="preserve"> </w:t>
          </w:r>
        </w:p>
        <w:p w14:paraId="44F79410" w14:textId="2C05BC07" w:rsidR="007803E3" w:rsidRPr="0020113A" w:rsidRDefault="3AFFDD67" w:rsidP="1E2DECDA">
          <w:pPr>
            <w:spacing w:line="257" w:lineRule="auto"/>
            <w:ind w:left="-20" w:right="297"/>
            <w:jc w:val="both"/>
            <w:rPr>
              <w:rFonts w:ascii="Times New Roman" w:eastAsia="Times New Roman" w:hAnsi="Times New Roman"/>
              <w:b/>
              <w:bCs/>
              <w:sz w:val="24"/>
              <w:szCs w:val="24"/>
              <w:lang w:val="es"/>
            </w:rPr>
          </w:pPr>
          <w:r w:rsidRPr="1E2DECDA">
            <w:rPr>
              <w:rFonts w:ascii="Times New Roman" w:eastAsia="Times New Roman" w:hAnsi="Times New Roman"/>
              <w:b/>
              <w:bCs/>
              <w:sz w:val="24"/>
              <w:szCs w:val="24"/>
              <w:lang w:val="es"/>
            </w:rPr>
            <w:t xml:space="preserve">Descripción: </w:t>
          </w:r>
        </w:p>
        <w:p w14:paraId="22CDB35F" w14:textId="5168CBC1" w:rsidR="007803E3" w:rsidRPr="0020113A" w:rsidRDefault="3AFFDD67" w:rsidP="1E2DECDA">
          <w:pPr>
            <w:spacing w:line="257" w:lineRule="auto"/>
            <w:ind w:left="-20" w:right="297"/>
            <w:jc w:val="both"/>
            <w:rPr>
              <w:rFonts w:ascii="Times New Roman" w:eastAsia="Times New Roman" w:hAnsi="Times New Roman"/>
              <w:b/>
              <w:bCs/>
              <w:sz w:val="24"/>
              <w:szCs w:val="24"/>
              <w:lang w:val="es"/>
            </w:rPr>
          </w:pPr>
          <w:r w:rsidRPr="1E2DECDA">
            <w:rPr>
              <w:rFonts w:ascii="Times New Roman" w:eastAsia="Times New Roman" w:hAnsi="Times New Roman"/>
              <w:b/>
              <w:bCs/>
              <w:sz w:val="24"/>
              <w:szCs w:val="24"/>
              <w:lang w:val="es"/>
            </w:rPr>
            <w:t xml:space="preserve"> </w:t>
          </w:r>
        </w:p>
        <w:p w14:paraId="4A6DAC49" w14:textId="1CCFF207" w:rsidR="007803E3" w:rsidRPr="0020113A" w:rsidRDefault="3AFFDD67" w:rsidP="1E2DECDA">
          <w:pPr>
            <w:spacing w:line="257" w:lineRule="auto"/>
            <w:ind w:left="-20" w:right="297"/>
            <w:jc w:val="both"/>
            <w:rPr>
              <w:rFonts w:ascii="Times New Roman" w:eastAsia="Times New Roman" w:hAnsi="Times New Roman"/>
              <w:sz w:val="24"/>
              <w:szCs w:val="24"/>
              <w:lang w:val="es-MX"/>
            </w:rPr>
          </w:pPr>
          <w:r w:rsidRPr="1E2DECDA">
            <w:rPr>
              <w:rFonts w:ascii="Times New Roman" w:eastAsia="Times New Roman" w:hAnsi="Times New Roman"/>
              <w:b/>
              <w:bCs/>
              <w:i/>
              <w:iCs/>
              <w:sz w:val="24"/>
              <w:szCs w:val="24"/>
              <w:lang w:val="es"/>
            </w:rPr>
            <w:t>Alcance del derecho de uso de los activos:</w:t>
          </w:r>
          <w:r w:rsidR="219677B8" w:rsidRPr="0859E346">
            <w:rPr>
              <w:rFonts w:ascii="Times New Roman" w:eastAsia="Times New Roman" w:hAnsi="Times New Roman"/>
              <w:b/>
              <w:bCs/>
              <w:i/>
              <w:iCs/>
              <w:sz w:val="24"/>
              <w:szCs w:val="24"/>
              <w:lang w:val="es"/>
            </w:rPr>
            <w:t xml:space="preserve"> </w:t>
          </w:r>
          <w:r w:rsidRPr="1E2DECDA">
            <w:rPr>
              <w:rFonts w:ascii="Times New Roman" w:eastAsia="Times New Roman" w:hAnsi="Times New Roman"/>
              <w:sz w:val="24"/>
              <w:szCs w:val="24"/>
              <w:lang w:val="es"/>
            </w:rPr>
            <w:t xml:space="preserve">De acuerdo con el contrato N° 113 de 1997 en su cláusula primera establece como objeto: “EL Concesionario se obliga a ejecutar por el sistema de concesión, según lo establecido por el artículo 32, numeral 4 de la Ley 80 de 1993, los estudios y diseños definitivos, las obras de rehabilitación y de construcción, la </w:t>
          </w:r>
          <w:r w:rsidRPr="1E2DECDA">
            <w:rPr>
              <w:rFonts w:ascii="Times New Roman" w:eastAsia="Times New Roman" w:hAnsi="Times New Roman"/>
              <w:sz w:val="24"/>
              <w:szCs w:val="24"/>
              <w:lang w:val="es"/>
            </w:rPr>
            <w:lastRenderedPageBreak/>
            <w:t xml:space="preserve">operación, el mantenimiento y la prestación de los Servicios del proyecto vial Armenia - Pereira – Manizales </w:t>
          </w:r>
          <w:r w:rsidRPr="1E2DECDA">
            <w:rPr>
              <w:rFonts w:ascii="Times New Roman" w:eastAsia="Times New Roman" w:hAnsi="Times New Roman"/>
              <w:sz w:val="24"/>
              <w:szCs w:val="24"/>
              <w:lang w:val="es-MX"/>
            </w:rPr>
            <w:t>y todas aquellas actividades necesarias para el adecuado funcionamiento de la obra y la prestación del servicio público.</w:t>
          </w:r>
        </w:p>
        <w:p w14:paraId="7A58B24A" w14:textId="1B7B602F" w:rsidR="007803E3" w:rsidRPr="0020113A" w:rsidRDefault="3AFFDD67" w:rsidP="1E2DECDA">
          <w:pPr>
            <w:spacing w:line="257" w:lineRule="auto"/>
            <w:ind w:left="-20" w:right="297"/>
            <w:jc w:val="both"/>
            <w:rPr>
              <w:rFonts w:ascii="Times New Roman" w:eastAsia="Times New Roman" w:hAnsi="Times New Roman"/>
              <w:sz w:val="24"/>
              <w:szCs w:val="24"/>
              <w:lang w:val="es"/>
            </w:rPr>
          </w:pPr>
          <w:r w:rsidRPr="1E2DECDA">
            <w:rPr>
              <w:rFonts w:ascii="Times New Roman" w:eastAsia="Times New Roman" w:hAnsi="Times New Roman"/>
              <w:sz w:val="24"/>
              <w:szCs w:val="24"/>
              <w:lang w:val="es"/>
            </w:rPr>
            <w:t>Y adicionalmente, el Parágrafo primero de dicha cláusula establece el alcance físico del proyecto vial y comprende las siguientes actividades, obras y servicios</w:t>
          </w:r>
        </w:p>
        <w:p w14:paraId="459AC010" w14:textId="206E5307" w:rsidR="007803E3" w:rsidRPr="0020113A" w:rsidRDefault="3AFFDD67" w:rsidP="00E60BAB">
          <w:pPr>
            <w:pStyle w:val="Prrafodelista"/>
            <w:numPr>
              <w:ilvl w:val="0"/>
              <w:numId w:val="158"/>
            </w:numPr>
            <w:spacing w:after="0" w:line="257" w:lineRule="auto"/>
            <w:ind w:left="-20" w:right="-20"/>
            <w:jc w:val="both"/>
            <w:rPr>
              <w:rFonts w:ascii="Times New Roman" w:eastAsia="Times New Roman" w:hAnsi="Times New Roman"/>
              <w:sz w:val="24"/>
              <w:szCs w:val="24"/>
              <w:lang w:val="es"/>
            </w:rPr>
          </w:pPr>
          <w:r w:rsidRPr="1E2DECDA">
            <w:rPr>
              <w:rFonts w:ascii="Times New Roman" w:eastAsia="Times New Roman" w:hAnsi="Times New Roman"/>
              <w:sz w:val="24"/>
              <w:szCs w:val="24"/>
              <w:lang w:val="es"/>
            </w:rPr>
            <w:t>Diseño. Rehabilitación, mantenimiento y operación de las calzadas existentes, en los tramos Armenia - Pereira y Pereira - Manizales (Estación La Uribe), 01 y 02 de la ruta 29.</w:t>
          </w:r>
        </w:p>
        <w:p w14:paraId="24B61594" w14:textId="33745D13" w:rsidR="007803E3" w:rsidRPr="0020113A" w:rsidRDefault="3AFFDD67" w:rsidP="00E60BAB">
          <w:pPr>
            <w:pStyle w:val="Prrafodelista"/>
            <w:numPr>
              <w:ilvl w:val="0"/>
              <w:numId w:val="158"/>
            </w:numPr>
            <w:spacing w:after="0" w:line="257" w:lineRule="auto"/>
            <w:ind w:left="-20" w:right="-20"/>
            <w:jc w:val="both"/>
            <w:rPr>
              <w:rFonts w:ascii="Times New Roman" w:eastAsia="Times New Roman" w:hAnsi="Times New Roman"/>
              <w:sz w:val="24"/>
              <w:szCs w:val="24"/>
              <w:lang w:val="es"/>
            </w:rPr>
          </w:pPr>
          <w:r w:rsidRPr="1E2DECDA">
            <w:rPr>
              <w:rFonts w:ascii="Times New Roman" w:eastAsia="Times New Roman" w:hAnsi="Times New Roman"/>
              <w:sz w:val="24"/>
              <w:szCs w:val="24"/>
              <w:lang w:val="es"/>
            </w:rPr>
            <w:t>Diseño. Rehabilitación. mantenimiento y operación de las calzadas existentes en los ramales Chinchiná - Club Campestre - La Trinidad y Chinchiná (Club Campestre) - La Manuela.</w:t>
          </w:r>
        </w:p>
        <w:p w14:paraId="1D9E8E33" w14:textId="25494BFE" w:rsidR="007803E3" w:rsidRPr="0020113A" w:rsidRDefault="3AFFDD67" w:rsidP="00E60BAB">
          <w:pPr>
            <w:pStyle w:val="Prrafodelista"/>
            <w:numPr>
              <w:ilvl w:val="0"/>
              <w:numId w:val="158"/>
            </w:numPr>
            <w:spacing w:after="0" w:line="257" w:lineRule="auto"/>
            <w:ind w:left="-20" w:right="-20"/>
            <w:jc w:val="both"/>
            <w:rPr>
              <w:rFonts w:ascii="Times New Roman" w:eastAsia="Times New Roman" w:hAnsi="Times New Roman"/>
              <w:sz w:val="24"/>
              <w:szCs w:val="24"/>
              <w:lang w:val="es"/>
            </w:rPr>
          </w:pPr>
          <w:r w:rsidRPr="1E2DECDA">
            <w:rPr>
              <w:rFonts w:ascii="Times New Roman" w:eastAsia="Times New Roman" w:hAnsi="Times New Roman"/>
              <w:sz w:val="24"/>
              <w:szCs w:val="24"/>
              <w:lang w:val="es"/>
            </w:rPr>
            <w:t>Diseño, Rehabilitación, mantenimiento y operación de las calzadas existentes en los tramos Estación La Uribe - La Trinidad - La Manuela, tramo 05 de la ruta 50.</w:t>
          </w:r>
        </w:p>
        <w:p w14:paraId="389E7511" w14:textId="1F9F7721" w:rsidR="007803E3" w:rsidRPr="0020113A" w:rsidRDefault="3AFFDD67" w:rsidP="00E60BAB">
          <w:pPr>
            <w:pStyle w:val="Prrafodelista"/>
            <w:numPr>
              <w:ilvl w:val="0"/>
              <w:numId w:val="158"/>
            </w:numPr>
            <w:spacing w:after="0" w:line="257" w:lineRule="auto"/>
            <w:ind w:left="-20" w:right="-20"/>
            <w:jc w:val="both"/>
            <w:rPr>
              <w:rFonts w:ascii="Times New Roman" w:eastAsia="Times New Roman" w:hAnsi="Times New Roman"/>
              <w:sz w:val="24"/>
              <w:szCs w:val="24"/>
              <w:lang w:val="es"/>
            </w:rPr>
          </w:pPr>
          <w:r w:rsidRPr="1E2DECDA">
            <w:rPr>
              <w:rFonts w:ascii="Times New Roman" w:eastAsia="Times New Roman" w:hAnsi="Times New Roman"/>
              <w:sz w:val="24"/>
              <w:szCs w:val="24"/>
              <w:lang w:val="es"/>
            </w:rPr>
            <w:t>Diseño, Construcción, operación y mantenimiento del Túnel de Santa Rosa de Cabal y sus accesos y conexión con la variante Troncal de Occidente (ruta alterna Pereira - El Pollo – La Romelia - Chinchiná).</w:t>
          </w:r>
        </w:p>
        <w:p w14:paraId="32FF40CA" w14:textId="04FE5FFA" w:rsidR="007803E3" w:rsidRPr="0020113A" w:rsidRDefault="3AFFDD67" w:rsidP="00E60BAB">
          <w:pPr>
            <w:pStyle w:val="Prrafodelista"/>
            <w:numPr>
              <w:ilvl w:val="0"/>
              <w:numId w:val="158"/>
            </w:numPr>
            <w:spacing w:after="0" w:line="257" w:lineRule="auto"/>
            <w:ind w:left="-20" w:right="-20"/>
            <w:jc w:val="both"/>
            <w:rPr>
              <w:rFonts w:ascii="Times New Roman" w:eastAsia="Times New Roman" w:hAnsi="Times New Roman"/>
              <w:sz w:val="24"/>
              <w:szCs w:val="24"/>
              <w:lang w:val="es"/>
            </w:rPr>
          </w:pPr>
          <w:r w:rsidRPr="1E2DECDA">
            <w:rPr>
              <w:rFonts w:ascii="Times New Roman" w:eastAsia="Times New Roman" w:hAnsi="Times New Roman"/>
              <w:sz w:val="24"/>
              <w:szCs w:val="24"/>
              <w:lang w:val="es"/>
            </w:rPr>
            <w:t>Diseño, Construcción, operación y mantenimiento de la segunda calzada en el tramo La Ye (Club Campestre-), La Trinidad - Manizales (Estación La Uribe).</w:t>
          </w:r>
        </w:p>
        <w:p w14:paraId="5865BA21" w14:textId="16B8DB38" w:rsidR="007803E3" w:rsidRPr="0020113A" w:rsidRDefault="3AFFDD67" w:rsidP="00E60BAB">
          <w:pPr>
            <w:pStyle w:val="Prrafodelista"/>
            <w:numPr>
              <w:ilvl w:val="0"/>
              <w:numId w:val="158"/>
            </w:numPr>
            <w:spacing w:after="0" w:line="257" w:lineRule="auto"/>
            <w:ind w:left="-20" w:right="-20"/>
            <w:jc w:val="both"/>
            <w:rPr>
              <w:rFonts w:ascii="Times New Roman" w:eastAsia="Times New Roman" w:hAnsi="Times New Roman"/>
              <w:sz w:val="24"/>
              <w:szCs w:val="24"/>
              <w:lang w:val="es"/>
            </w:rPr>
          </w:pPr>
          <w:r w:rsidRPr="1E2DECDA">
            <w:rPr>
              <w:rFonts w:ascii="Times New Roman" w:eastAsia="Times New Roman" w:hAnsi="Times New Roman"/>
              <w:sz w:val="24"/>
              <w:szCs w:val="24"/>
              <w:lang w:val="es"/>
            </w:rPr>
            <w:t>Diseño, Construcción, operación y mantenimiento del Tercer carril en el sector Chinchiná – La Ye (Club Campestre).</w:t>
          </w:r>
        </w:p>
        <w:p w14:paraId="42326A2E" w14:textId="274779EC" w:rsidR="007803E3" w:rsidRPr="0020113A" w:rsidRDefault="3AFFDD67" w:rsidP="00E60BAB">
          <w:pPr>
            <w:pStyle w:val="Prrafodelista"/>
            <w:numPr>
              <w:ilvl w:val="0"/>
              <w:numId w:val="158"/>
            </w:numPr>
            <w:spacing w:after="0" w:line="257" w:lineRule="auto"/>
            <w:ind w:left="-20" w:right="-20"/>
            <w:jc w:val="both"/>
            <w:rPr>
              <w:rFonts w:ascii="Times New Roman" w:eastAsia="Times New Roman" w:hAnsi="Times New Roman"/>
              <w:sz w:val="24"/>
              <w:szCs w:val="24"/>
              <w:lang w:val="es"/>
            </w:rPr>
          </w:pPr>
          <w:r w:rsidRPr="1E2DECDA">
            <w:rPr>
              <w:rFonts w:ascii="Times New Roman" w:eastAsia="Times New Roman" w:hAnsi="Times New Roman"/>
              <w:sz w:val="24"/>
              <w:szCs w:val="24"/>
              <w:lang w:val="es"/>
            </w:rPr>
            <w:t>Mantenimiento y operación de la Variante Troncal de Occidente Ruta Alterna Pereira (El Pollo) La Romelia- Chinchiná.</w:t>
          </w:r>
        </w:p>
        <w:p w14:paraId="13996CC7" w14:textId="6767ADC8" w:rsidR="007803E3" w:rsidRPr="0020113A" w:rsidRDefault="3AFFDD67" w:rsidP="00E60BAB">
          <w:pPr>
            <w:pStyle w:val="Prrafodelista"/>
            <w:numPr>
              <w:ilvl w:val="0"/>
              <w:numId w:val="158"/>
            </w:numPr>
            <w:spacing w:after="0" w:line="257" w:lineRule="auto"/>
            <w:ind w:left="-20" w:right="-20"/>
            <w:jc w:val="both"/>
            <w:rPr>
              <w:rFonts w:ascii="Times New Roman" w:eastAsia="Times New Roman" w:hAnsi="Times New Roman"/>
              <w:sz w:val="24"/>
              <w:szCs w:val="24"/>
              <w:lang w:val="es"/>
            </w:rPr>
          </w:pPr>
          <w:r w:rsidRPr="1E2DECDA">
            <w:rPr>
              <w:rFonts w:ascii="Times New Roman" w:eastAsia="Times New Roman" w:hAnsi="Times New Roman"/>
              <w:sz w:val="24"/>
              <w:szCs w:val="24"/>
              <w:lang w:val="es"/>
            </w:rPr>
            <w:t>Diseño. Construcción de Obras de Mejoramiento vial en pasos Urbanos en los Municipios de Dosquebradas, Santa Rosa de Cabal y Chinchiná.</w:t>
          </w:r>
        </w:p>
        <w:p w14:paraId="7720EEE7" w14:textId="04DF5A19" w:rsidR="007803E3" w:rsidRPr="0020113A" w:rsidRDefault="3AFFDD67" w:rsidP="00E60BAB">
          <w:pPr>
            <w:pStyle w:val="Prrafodelista"/>
            <w:numPr>
              <w:ilvl w:val="0"/>
              <w:numId w:val="158"/>
            </w:numPr>
            <w:spacing w:after="0" w:line="257" w:lineRule="auto"/>
            <w:ind w:left="-20" w:right="-20"/>
            <w:jc w:val="both"/>
            <w:rPr>
              <w:rFonts w:ascii="Times New Roman" w:eastAsia="Times New Roman" w:hAnsi="Times New Roman"/>
              <w:sz w:val="24"/>
              <w:szCs w:val="24"/>
              <w:lang w:val="es"/>
            </w:rPr>
          </w:pPr>
          <w:r w:rsidRPr="1E2DECDA">
            <w:rPr>
              <w:rFonts w:ascii="Times New Roman" w:eastAsia="Times New Roman" w:hAnsi="Times New Roman"/>
              <w:sz w:val="24"/>
              <w:szCs w:val="24"/>
              <w:lang w:val="es"/>
            </w:rPr>
            <w:t>Diseño. Construcción y mantenimiento de la infraestructura para la operación de la vía Armenia-Pereira y Pereira - Manizales (Estación La Uribe, tramos 01 y 02 de la ruta 29).</w:t>
          </w:r>
        </w:p>
        <w:p w14:paraId="5FB7DA66" w14:textId="671DBA67" w:rsidR="007803E3" w:rsidRPr="0020113A" w:rsidRDefault="3AFFDD67" w:rsidP="00E60BAB">
          <w:pPr>
            <w:pStyle w:val="Prrafodelista"/>
            <w:numPr>
              <w:ilvl w:val="0"/>
              <w:numId w:val="158"/>
            </w:numPr>
            <w:spacing w:after="0" w:line="257" w:lineRule="auto"/>
            <w:ind w:left="-20" w:right="-20"/>
            <w:jc w:val="both"/>
            <w:rPr>
              <w:rFonts w:ascii="Times New Roman" w:eastAsia="Times New Roman" w:hAnsi="Times New Roman"/>
              <w:sz w:val="24"/>
              <w:szCs w:val="24"/>
              <w:lang w:val="es"/>
            </w:rPr>
          </w:pPr>
          <w:r w:rsidRPr="1E2DECDA">
            <w:rPr>
              <w:rFonts w:ascii="Times New Roman" w:eastAsia="Times New Roman" w:hAnsi="Times New Roman"/>
              <w:sz w:val="24"/>
              <w:szCs w:val="24"/>
              <w:lang w:val="es"/>
            </w:rPr>
            <w:t>Diseño, construcción. operación y mantenimiento de la segunda calzada en el tramo Armenia - Pereira (Club de Tiro).</w:t>
          </w:r>
        </w:p>
        <w:p w14:paraId="64A62B71" w14:textId="4F354945" w:rsidR="007803E3" w:rsidRPr="0020113A" w:rsidRDefault="3AFFDD67" w:rsidP="1E2DECDA">
          <w:pPr>
            <w:spacing w:before="7" w:line="257" w:lineRule="auto"/>
            <w:ind w:left="-20" w:right="-20"/>
            <w:jc w:val="both"/>
            <w:rPr>
              <w:rFonts w:ascii="Times New Roman" w:eastAsia="Times New Roman" w:hAnsi="Times New Roman"/>
              <w:b/>
              <w:bCs/>
              <w:sz w:val="24"/>
              <w:szCs w:val="24"/>
              <w:lang w:val="es"/>
            </w:rPr>
          </w:pPr>
          <w:r w:rsidRPr="1E2DECDA">
            <w:rPr>
              <w:rFonts w:ascii="Times New Roman" w:eastAsia="Times New Roman" w:hAnsi="Times New Roman"/>
              <w:b/>
              <w:bCs/>
              <w:sz w:val="24"/>
              <w:szCs w:val="24"/>
              <w:lang w:val="es"/>
            </w:rPr>
            <w:t xml:space="preserve"> </w:t>
          </w:r>
        </w:p>
        <w:p w14:paraId="6F5677FD" w14:textId="48854FCB" w:rsidR="007803E3" w:rsidRPr="0020113A" w:rsidRDefault="3AFFDD67" w:rsidP="1E2DECDA">
          <w:pPr>
            <w:spacing w:before="7" w:line="257" w:lineRule="auto"/>
            <w:ind w:left="-20" w:right="-20"/>
            <w:jc w:val="both"/>
            <w:rPr>
              <w:rFonts w:ascii="Times New Roman" w:eastAsia="Times New Roman" w:hAnsi="Times New Roman"/>
              <w:b/>
              <w:bCs/>
              <w:sz w:val="24"/>
              <w:szCs w:val="24"/>
              <w:lang w:val="es"/>
            </w:rPr>
          </w:pPr>
          <w:r w:rsidRPr="1E2DECDA">
            <w:rPr>
              <w:rFonts w:ascii="Times New Roman" w:eastAsia="Times New Roman" w:hAnsi="Times New Roman"/>
              <w:b/>
              <w:bCs/>
              <w:sz w:val="24"/>
              <w:szCs w:val="24"/>
              <w:lang w:val="es"/>
            </w:rPr>
            <w:t xml:space="preserve">Tasa de retribución: </w:t>
          </w:r>
        </w:p>
        <w:p w14:paraId="424C8D2A" w14:textId="798E6949" w:rsidR="007803E3" w:rsidRPr="0020113A" w:rsidRDefault="3AFFDD67" w:rsidP="1E2DECDA">
          <w:pPr>
            <w:spacing w:before="7" w:line="257" w:lineRule="auto"/>
            <w:ind w:left="-20" w:right="-20"/>
            <w:jc w:val="both"/>
            <w:rPr>
              <w:rFonts w:ascii="Times New Roman" w:eastAsia="Times New Roman" w:hAnsi="Times New Roman"/>
              <w:sz w:val="24"/>
              <w:szCs w:val="24"/>
              <w:lang w:val="es-MX"/>
            </w:rPr>
          </w:pPr>
          <w:r w:rsidRPr="1E2DECDA">
            <w:rPr>
              <w:rFonts w:ascii="Times New Roman" w:eastAsia="Times New Roman" w:hAnsi="Times New Roman"/>
              <w:sz w:val="24"/>
              <w:szCs w:val="24"/>
              <w:lang w:val="es-MX"/>
            </w:rPr>
            <w:t xml:space="preserve">El modelo financiero avalado por el tribunal del año 2005 contempla  una Tasa Interna de Retorno del 14,99%EA. </w:t>
          </w:r>
        </w:p>
        <w:p w14:paraId="00192826" w14:textId="1B9008A3" w:rsidR="007803E3" w:rsidRPr="0020113A" w:rsidRDefault="007803E3" w:rsidP="1E2DECDA">
          <w:pPr>
            <w:spacing w:before="7" w:line="257" w:lineRule="auto"/>
            <w:ind w:left="-20" w:right="-20"/>
            <w:jc w:val="both"/>
            <w:rPr>
              <w:rFonts w:ascii="Times New Roman" w:eastAsia="Times New Roman" w:hAnsi="Times New Roman"/>
              <w:b/>
              <w:sz w:val="24"/>
              <w:szCs w:val="24"/>
              <w:lang w:val="es"/>
            </w:rPr>
          </w:pPr>
          <w:r w:rsidRPr="1E2DECDA">
            <w:rPr>
              <w:rFonts w:ascii="Times New Roman" w:eastAsia="Times New Roman" w:hAnsi="Times New Roman"/>
              <w:b/>
              <w:sz w:val="24"/>
              <w:szCs w:val="24"/>
              <w:lang w:val="es"/>
            </w:rPr>
            <w:t>Retribución al Concesionario</w:t>
          </w:r>
        </w:p>
        <w:p w14:paraId="185DCF97" w14:textId="0FF0A0A4" w:rsidR="007803E3" w:rsidRPr="0020113A" w:rsidRDefault="3AFFDD67" w:rsidP="1E2DECDA">
          <w:pPr>
            <w:spacing w:before="7" w:line="257" w:lineRule="auto"/>
            <w:ind w:left="-20" w:right="-20"/>
            <w:jc w:val="both"/>
            <w:rPr>
              <w:rFonts w:ascii="Times New Roman" w:eastAsia="Times New Roman" w:hAnsi="Times New Roman"/>
              <w:sz w:val="24"/>
              <w:szCs w:val="24"/>
              <w:lang w:val="es"/>
            </w:rPr>
          </w:pPr>
          <w:r w:rsidRPr="1E2DECDA">
            <w:rPr>
              <w:rFonts w:ascii="Times New Roman" w:eastAsia="Times New Roman" w:hAnsi="Times New Roman"/>
              <w:sz w:val="24"/>
              <w:szCs w:val="24"/>
              <w:lang w:val="es"/>
            </w:rPr>
            <w:t>Además de los recursos provenientes de los aportes estatales programados hasta el año 2026, se cuenta con los recursos provenientes del recaudo de peajes por medio de la figura del Ingreso Minimo Garantizado a traves de la siguiente linea de ingreso:</w:t>
          </w:r>
        </w:p>
        <w:tbl>
          <w:tblPr>
            <w:tblW w:w="0" w:type="auto"/>
            <w:tblLayout w:type="fixed"/>
            <w:tblLook w:val="06A0" w:firstRow="1" w:lastRow="0" w:firstColumn="1" w:lastColumn="0" w:noHBand="1" w:noVBand="1"/>
          </w:tblPr>
          <w:tblGrid>
            <w:gridCol w:w="2256"/>
            <w:gridCol w:w="3246"/>
          </w:tblGrid>
          <w:tr w:rsidR="1E2DECDA" w14:paraId="51FB388E" w14:textId="77777777" w:rsidTr="1E2DECDA">
            <w:trPr>
              <w:trHeight w:val="390"/>
            </w:trPr>
            <w:tc>
              <w:tcPr>
                <w:tcW w:w="2256" w:type="dxa"/>
                <w:tcBorders>
                  <w:top w:val="nil"/>
                  <w:left w:val="nil"/>
                  <w:bottom w:val="nil"/>
                  <w:right w:val="nil"/>
                </w:tcBorders>
                <w:tcMar>
                  <w:left w:w="108" w:type="dxa"/>
                  <w:right w:w="108" w:type="dxa"/>
                </w:tcMar>
              </w:tcPr>
              <w:p w14:paraId="510C614E" w14:textId="7453B53A" w:rsidR="1E2DECDA" w:rsidRDefault="1E2DECDA" w:rsidP="1E2DECDA">
                <w:pPr>
                  <w:spacing w:after="0"/>
                  <w:ind w:left="-20" w:right="-20"/>
                  <w:jc w:val="both"/>
                  <w:rPr>
                    <w:rFonts w:ascii="Times New Roman" w:eastAsia="Times New Roman" w:hAnsi="Times New Roman"/>
                    <w:b/>
                    <w:bCs/>
                    <w:color w:val="000000" w:themeColor="text1"/>
                    <w:sz w:val="24"/>
                    <w:szCs w:val="24"/>
                  </w:rPr>
                </w:pPr>
                <w:r w:rsidRPr="1E2DECDA">
                  <w:rPr>
                    <w:rFonts w:ascii="Times New Roman" w:eastAsia="Times New Roman" w:hAnsi="Times New Roman"/>
                    <w:b/>
                    <w:bCs/>
                    <w:color w:val="000000" w:themeColor="text1"/>
                    <w:sz w:val="24"/>
                    <w:szCs w:val="24"/>
                  </w:rPr>
                  <w:t>Año</w:t>
                </w:r>
              </w:p>
            </w:tc>
            <w:tc>
              <w:tcPr>
                <w:tcW w:w="3246" w:type="dxa"/>
                <w:tcBorders>
                  <w:top w:val="nil"/>
                  <w:left w:val="nil"/>
                  <w:bottom w:val="nil"/>
                  <w:right w:val="nil"/>
                </w:tcBorders>
                <w:tcMar>
                  <w:left w:w="108" w:type="dxa"/>
                  <w:right w:w="108" w:type="dxa"/>
                </w:tcMar>
              </w:tcPr>
              <w:p w14:paraId="2420CD4B" w14:textId="0E9C3DB2" w:rsidR="1E2DECDA" w:rsidRDefault="1E2DECDA" w:rsidP="1E2DECDA">
                <w:pPr>
                  <w:spacing w:after="0"/>
                  <w:ind w:left="-20" w:right="-20"/>
                  <w:jc w:val="both"/>
                  <w:rPr>
                    <w:rFonts w:ascii="Times New Roman" w:eastAsia="Times New Roman" w:hAnsi="Times New Roman"/>
                    <w:b/>
                    <w:bCs/>
                    <w:color w:val="000000" w:themeColor="text1"/>
                    <w:sz w:val="24"/>
                    <w:szCs w:val="24"/>
                  </w:rPr>
                </w:pPr>
                <w:r w:rsidRPr="1E2DECDA">
                  <w:rPr>
                    <w:rFonts w:ascii="Times New Roman" w:eastAsia="Times New Roman" w:hAnsi="Times New Roman"/>
                    <w:b/>
                    <w:bCs/>
                    <w:color w:val="000000" w:themeColor="text1"/>
                    <w:sz w:val="24"/>
                    <w:szCs w:val="24"/>
                  </w:rPr>
                  <w:t>Línea de Ingreso Garantizada</w:t>
                </w:r>
              </w:p>
              <w:p w14:paraId="7484E5BA" w14:textId="58101978" w:rsidR="1E2DECDA" w:rsidRDefault="1E2DECDA" w:rsidP="1E2DECDA">
                <w:pPr>
                  <w:spacing w:after="0"/>
                  <w:ind w:left="-20" w:right="-20"/>
                  <w:jc w:val="both"/>
                  <w:rPr>
                    <w:rFonts w:ascii="Times New Roman" w:eastAsia="Times New Roman" w:hAnsi="Times New Roman"/>
                    <w:b/>
                    <w:bCs/>
                    <w:color w:val="000000" w:themeColor="text1"/>
                    <w:sz w:val="24"/>
                    <w:szCs w:val="24"/>
                  </w:rPr>
                </w:pPr>
                <w:r w:rsidRPr="1E2DECDA">
                  <w:rPr>
                    <w:rFonts w:ascii="Times New Roman" w:eastAsia="Times New Roman" w:hAnsi="Times New Roman"/>
                    <w:b/>
                    <w:bCs/>
                    <w:color w:val="000000" w:themeColor="text1"/>
                    <w:sz w:val="24"/>
                    <w:szCs w:val="24"/>
                  </w:rPr>
                  <w:t>($ sep-96)</w:t>
                </w:r>
              </w:p>
            </w:tc>
          </w:tr>
          <w:tr w:rsidR="1E2DECDA" w14:paraId="7F8CD443" w14:textId="77777777" w:rsidTr="1E2DECDA">
            <w:trPr>
              <w:trHeight w:val="120"/>
            </w:trPr>
            <w:tc>
              <w:tcPr>
                <w:tcW w:w="2256" w:type="dxa"/>
                <w:tcBorders>
                  <w:top w:val="nil"/>
                  <w:left w:val="nil"/>
                  <w:bottom w:val="nil"/>
                  <w:right w:val="nil"/>
                </w:tcBorders>
                <w:tcMar>
                  <w:left w:w="108" w:type="dxa"/>
                  <w:right w:w="108" w:type="dxa"/>
                </w:tcMar>
              </w:tcPr>
              <w:p w14:paraId="2DECE7D1" w14:textId="4B4D7D79"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2004</w:t>
                </w:r>
              </w:p>
            </w:tc>
            <w:tc>
              <w:tcPr>
                <w:tcW w:w="3246" w:type="dxa"/>
                <w:tcBorders>
                  <w:top w:val="nil"/>
                  <w:left w:val="nil"/>
                  <w:bottom w:val="nil"/>
                  <w:right w:val="nil"/>
                </w:tcBorders>
                <w:tcMar>
                  <w:left w:w="108" w:type="dxa"/>
                  <w:right w:w="108" w:type="dxa"/>
                </w:tcMar>
              </w:tcPr>
              <w:p w14:paraId="21837F88" w14:textId="4FE99CF9"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$30.874.000.000</w:t>
                </w:r>
              </w:p>
            </w:tc>
          </w:tr>
          <w:tr w:rsidR="1E2DECDA" w14:paraId="6CE97585" w14:textId="77777777" w:rsidTr="1E2DECDA">
            <w:trPr>
              <w:trHeight w:val="120"/>
            </w:trPr>
            <w:tc>
              <w:tcPr>
                <w:tcW w:w="2256" w:type="dxa"/>
                <w:tcBorders>
                  <w:top w:val="nil"/>
                  <w:left w:val="nil"/>
                  <w:bottom w:val="nil"/>
                  <w:right w:val="nil"/>
                </w:tcBorders>
                <w:tcMar>
                  <w:left w:w="108" w:type="dxa"/>
                  <w:right w:w="108" w:type="dxa"/>
                </w:tcMar>
              </w:tcPr>
              <w:p w14:paraId="753233D7" w14:textId="1ED008BD"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2005</w:t>
                </w:r>
              </w:p>
            </w:tc>
            <w:tc>
              <w:tcPr>
                <w:tcW w:w="3246" w:type="dxa"/>
                <w:tcBorders>
                  <w:top w:val="nil"/>
                  <w:left w:val="nil"/>
                  <w:bottom w:val="nil"/>
                  <w:right w:val="nil"/>
                </w:tcBorders>
                <w:tcMar>
                  <w:left w:w="108" w:type="dxa"/>
                  <w:right w:w="108" w:type="dxa"/>
                </w:tcMar>
              </w:tcPr>
              <w:p w14:paraId="45CC17F0" w14:textId="107BBB8E"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$31.337.000.000</w:t>
                </w:r>
              </w:p>
            </w:tc>
          </w:tr>
          <w:tr w:rsidR="1E2DECDA" w14:paraId="0ED3903C" w14:textId="77777777" w:rsidTr="1E2DECDA">
            <w:trPr>
              <w:trHeight w:val="120"/>
            </w:trPr>
            <w:tc>
              <w:tcPr>
                <w:tcW w:w="2256" w:type="dxa"/>
                <w:tcBorders>
                  <w:top w:val="nil"/>
                  <w:left w:val="nil"/>
                  <w:bottom w:val="nil"/>
                  <w:right w:val="nil"/>
                </w:tcBorders>
                <w:tcMar>
                  <w:left w:w="108" w:type="dxa"/>
                  <w:right w:w="108" w:type="dxa"/>
                </w:tcMar>
              </w:tcPr>
              <w:p w14:paraId="2D8D964B" w14:textId="1CF2AAC9"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2006</w:t>
                </w:r>
              </w:p>
            </w:tc>
            <w:tc>
              <w:tcPr>
                <w:tcW w:w="3246" w:type="dxa"/>
                <w:tcBorders>
                  <w:top w:val="nil"/>
                  <w:left w:val="nil"/>
                  <w:bottom w:val="nil"/>
                  <w:right w:val="nil"/>
                </w:tcBorders>
                <w:tcMar>
                  <w:left w:w="108" w:type="dxa"/>
                  <w:right w:w="108" w:type="dxa"/>
                </w:tcMar>
              </w:tcPr>
              <w:p w14:paraId="4BE3BA5D" w14:textId="5CDCBB1B"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$32.923.000.000</w:t>
                </w:r>
              </w:p>
            </w:tc>
          </w:tr>
          <w:tr w:rsidR="1E2DECDA" w14:paraId="3C6EF8BD" w14:textId="77777777" w:rsidTr="1E2DECDA">
            <w:trPr>
              <w:trHeight w:val="120"/>
            </w:trPr>
            <w:tc>
              <w:tcPr>
                <w:tcW w:w="2256" w:type="dxa"/>
                <w:tcBorders>
                  <w:top w:val="nil"/>
                  <w:left w:val="nil"/>
                  <w:bottom w:val="nil"/>
                  <w:right w:val="nil"/>
                </w:tcBorders>
                <w:tcMar>
                  <w:left w:w="108" w:type="dxa"/>
                  <w:right w:w="108" w:type="dxa"/>
                </w:tcMar>
              </w:tcPr>
              <w:p w14:paraId="3D12C6A7" w14:textId="3D41A56E"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2007</w:t>
                </w:r>
              </w:p>
            </w:tc>
            <w:tc>
              <w:tcPr>
                <w:tcW w:w="3246" w:type="dxa"/>
                <w:tcBorders>
                  <w:top w:val="nil"/>
                  <w:left w:val="nil"/>
                  <w:bottom w:val="nil"/>
                  <w:right w:val="nil"/>
                </w:tcBorders>
                <w:tcMar>
                  <w:left w:w="108" w:type="dxa"/>
                  <w:right w:w="108" w:type="dxa"/>
                </w:tcMar>
              </w:tcPr>
              <w:p w14:paraId="067B330A" w14:textId="4DC145A4"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$33.433.000.000</w:t>
                </w:r>
              </w:p>
            </w:tc>
          </w:tr>
          <w:tr w:rsidR="1E2DECDA" w14:paraId="3AE0CF11" w14:textId="77777777" w:rsidTr="1E2DECDA">
            <w:trPr>
              <w:trHeight w:val="120"/>
            </w:trPr>
            <w:tc>
              <w:tcPr>
                <w:tcW w:w="2256" w:type="dxa"/>
                <w:tcBorders>
                  <w:top w:val="nil"/>
                  <w:left w:val="nil"/>
                  <w:bottom w:val="nil"/>
                  <w:right w:val="nil"/>
                </w:tcBorders>
                <w:tcMar>
                  <w:left w:w="108" w:type="dxa"/>
                  <w:right w:w="108" w:type="dxa"/>
                </w:tcMar>
              </w:tcPr>
              <w:p w14:paraId="7FA8FCBD" w14:textId="475244DD"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lastRenderedPageBreak/>
                  <w:t>2008</w:t>
                </w:r>
              </w:p>
            </w:tc>
            <w:tc>
              <w:tcPr>
                <w:tcW w:w="3246" w:type="dxa"/>
                <w:tcBorders>
                  <w:top w:val="nil"/>
                  <w:left w:val="nil"/>
                  <w:bottom w:val="nil"/>
                  <w:right w:val="nil"/>
                </w:tcBorders>
                <w:tcMar>
                  <w:left w:w="108" w:type="dxa"/>
                  <w:right w:w="108" w:type="dxa"/>
                </w:tcMar>
              </w:tcPr>
              <w:p w14:paraId="16E469EE" w14:textId="556E0ED5"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$33.935.000.000</w:t>
                </w:r>
              </w:p>
            </w:tc>
          </w:tr>
          <w:tr w:rsidR="1E2DECDA" w14:paraId="5E0C66B1" w14:textId="77777777" w:rsidTr="1E2DECDA">
            <w:trPr>
              <w:trHeight w:val="120"/>
            </w:trPr>
            <w:tc>
              <w:tcPr>
                <w:tcW w:w="2256" w:type="dxa"/>
                <w:tcBorders>
                  <w:top w:val="nil"/>
                  <w:left w:val="nil"/>
                  <w:bottom w:val="nil"/>
                  <w:right w:val="nil"/>
                </w:tcBorders>
                <w:tcMar>
                  <w:left w:w="108" w:type="dxa"/>
                  <w:right w:w="108" w:type="dxa"/>
                </w:tcMar>
              </w:tcPr>
              <w:p w14:paraId="0E337B42" w14:textId="692D5E4E"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2009</w:t>
                </w:r>
              </w:p>
            </w:tc>
            <w:tc>
              <w:tcPr>
                <w:tcW w:w="3246" w:type="dxa"/>
                <w:tcBorders>
                  <w:top w:val="nil"/>
                  <w:left w:val="nil"/>
                  <w:bottom w:val="nil"/>
                  <w:right w:val="nil"/>
                </w:tcBorders>
                <w:tcMar>
                  <w:left w:w="108" w:type="dxa"/>
                  <w:right w:w="108" w:type="dxa"/>
                </w:tcMar>
              </w:tcPr>
              <w:p w14:paraId="02855429" w14:textId="6ACCC7E1"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$34.444.000.000</w:t>
                </w:r>
              </w:p>
            </w:tc>
          </w:tr>
          <w:tr w:rsidR="1E2DECDA" w14:paraId="28D4AB99" w14:textId="77777777" w:rsidTr="1E2DECDA">
            <w:trPr>
              <w:trHeight w:val="120"/>
            </w:trPr>
            <w:tc>
              <w:tcPr>
                <w:tcW w:w="2256" w:type="dxa"/>
                <w:tcBorders>
                  <w:top w:val="nil"/>
                  <w:left w:val="nil"/>
                  <w:bottom w:val="nil"/>
                  <w:right w:val="nil"/>
                </w:tcBorders>
                <w:tcMar>
                  <w:left w:w="108" w:type="dxa"/>
                  <w:right w:w="108" w:type="dxa"/>
                </w:tcMar>
              </w:tcPr>
              <w:p w14:paraId="25603C49" w14:textId="4C5ABAB3"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2010</w:t>
                </w:r>
              </w:p>
            </w:tc>
            <w:tc>
              <w:tcPr>
                <w:tcW w:w="3246" w:type="dxa"/>
                <w:tcBorders>
                  <w:top w:val="nil"/>
                  <w:left w:val="nil"/>
                  <w:bottom w:val="nil"/>
                  <w:right w:val="nil"/>
                </w:tcBorders>
                <w:tcMar>
                  <w:left w:w="108" w:type="dxa"/>
                  <w:right w:w="108" w:type="dxa"/>
                </w:tcMar>
              </w:tcPr>
              <w:p w14:paraId="4630F239" w14:textId="35586230"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$34.960.000.000</w:t>
                </w:r>
              </w:p>
            </w:tc>
          </w:tr>
          <w:tr w:rsidR="1E2DECDA" w14:paraId="09C1F2FF" w14:textId="77777777" w:rsidTr="1E2DECDA">
            <w:trPr>
              <w:trHeight w:val="120"/>
            </w:trPr>
            <w:tc>
              <w:tcPr>
                <w:tcW w:w="2256" w:type="dxa"/>
                <w:tcBorders>
                  <w:top w:val="nil"/>
                  <w:left w:val="nil"/>
                  <w:bottom w:val="nil"/>
                  <w:right w:val="nil"/>
                </w:tcBorders>
                <w:tcMar>
                  <w:left w:w="108" w:type="dxa"/>
                  <w:right w:w="108" w:type="dxa"/>
                </w:tcMar>
              </w:tcPr>
              <w:p w14:paraId="672186B4" w14:textId="64928F51"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2011</w:t>
                </w:r>
              </w:p>
            </w:tc>
            <w:tc>
              <w:tcPr>
                <w:tcW w:w="3246" w:type="dxa"/>
                <w:tcBorders>
                  <w:top w:val="nil"/>
                  <w:left w:val="nil"/>
                  <w:bottom w:val="nil"/>
                  <w:right w:val="nil"/>
                </w:tcBorders>
                <w:tcMar>
                  <w:left w:w="108" w:type="dxa"/>
                  <w:right w:w="108" w:type="dxa"/>
                </w:tcMar>
              </w:tcPr>
              <w:p w14:paraId="6192B4E3" w14:textId="41E6FBFC"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$35.485.000.000</w:t>
                </w:r>
              </w:p>
            </w:tc>
          </w:tr>
          <w:tr w:rsidR="1E2DECDA" w14:paraId="5FE598FE" w14:textId="77777777" w:rsidTr="1E2DECDA">
            <w:trPr>
              <w:trHeight w:val="120"/>
            </w:trPr>
            <w:tc>
              <w:tcPr>
                <w:tcW w:w="2256" w:type="dxa"/>
                <w:tcBorders>
                  <w:top w:val="nil"/>
                  <w:left w:val="nil"/>
                  <w:bottom w:val="nil"/>
                  <w:right w:val="nil"/>
                </w:tcBorders>
                <w:tcMar>
                  <w:left w:w="108" w:type="dxa"/>
                  <w:right w:w="108" w:type="dxa"/>
                </w:tcMar>
              </w:tcPr>
              <w:p w14:paraId="1D7EBF0B" w14:textId="657D1B5E"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2012</w:t>
                </w:r>
              </w:p>
            </w:tc>
            <w:tc>
              <w:tcPr>
                <w:tcW w:w="3246" w:type="dxa"/>
                <w:tcBorders>
                  <w:top w:val="nil"/>
                  <w:left w:val="nil"/>
                  <w:bottom w:val="nil"/>
                  <w:right w:val="nil"/>
                </w:tcBorders>
                <w:tcMar>
                  <w:left w:w="108" w:type="dxa"/>
                  <w:right w:w="108" w:type="dxa"/>
                </w:tcMar>
              </w:tcPr>
              <w:p w14:paraId="5E4C6B40" w14:textId="358EBE35"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$36.017.000.000</w:t>
                </w:r>
              </w:p>
            </w:tc>
          </w:tr>
          <w:tr w:rsidR="1E2DECDA" w14:paraId="4A896639" w14:textId="77777777" w:rsidTr="1E2DECDA">
            <w:trPr>
              <w:trHeight w:val="120"/>
            </w:trPr>
            <w:tc>
              <w:tcPr>
                <w:tcW w:w="2256" w:type="dxa"/>
                <w:tcBorders>
                  <w:top w:val="nil"/>
                  <w:left w:val="nil"/>
                  <w:bottom w:val="nil"/>
                  <w:right w:val="nil"/>
                </w:tcBorders>
                <w:tcMar>
                  <w:left w:w="108" w:type="dxa"/>
                  <w:right w:w="108" w:type="dxa"/>
                </w:tcMar>
              </w:tcPr>
              <w:p w14:paraId="4FA05F31" w14:textId="0DB20BFD"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2013</w:t>
                </w:r>
              </w:p>
            </w:tc>
            <w:tc>
              <w:tcPr>
                <w:tcW w:w="3246" w:type="dxa"/>
                <w:tcBorders>
                  <w:top w:val="nil"/>
                  <w:left w:val="nil"/>
                  <w:bottom w:val="nil"/>
                  <w:right w:val="nil"/>
                </w:tcBorders>
                <w:tcMar>
                  <w:left w:w="108" w:type="dxa"/>
                  <w:right w:w="108" w:type="dxa"/>
                </w:tcMar>
              </w:tcPr>
              <w:p w14:paraId="328BED76" w14:textId="188458CC"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$36.557.000.000</w:t>
                </w:r>
              </w:p>
            </w:tc>
          </w:tr>
          <w:tr w:rsidR="1E2DECDA" w14:paraId="5CAB9693" w14:textId="77777777" w:rsidTr="1E2DECDA">
            <w:trPr>
              <w:trHeight w:val="120"/>
            </w:trPr>
            <w:tc>
              <w:tcPr>
                <w:tcW w:w="2256" w:type="dxa"/>
                <w:tcBorders>
                  <w:top w:val="nil"/>
                  <w:left w:val="nil"/>
                  <w:bottom w:val="nil"/>
                  <w:right w:val="nil"/>
                </w:tcBorders>
                <w:tcMar>
                  <w:left w:w="108" w:type="dxa"/>
                  <w:right w:w="108" w:type="dxa"/>
                </w:tcMar>
              </w:tcPr>
              <w:p w14:paraId="5979BF54" w14:textId="7468D380"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2014</w:t>
                </w:r>
              </w:p>
            </w:tc>
            <w:tc>
              <w:tcPr>
                <w:tcW w:w="3246" w:type="dxa"/>
                <w:tcBorders>
                  <w:top w:val="nil"/>
                  <w:left w:val="nil"/>
                  <w:bottom w:val="nil"/>
                  <w:right w:val="nil"/>
                </w:tcBorders>
                <w:tcMar>
                  <w:left w:w="108" w:type="dxa"/>
                  <w:right w:w="108" w:type="dxa"/>
                </w:tcMar>
              </w:tcPr>
              <w:p w14:paraId="1E5A0B69" w14:textId="51519719"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$37.200.000.000</w:t>
                </w:r>
              </w:p>
            </w:tc>
          </w:tr>
          <w:tr w:rsidR="1E2DECDA" w14:paraId="5F726792" w14:textId="77777777" w:rsidTr="1E2DECDA">
            <w:trPr>
              <w:trHeight w:val="120"/>
            </w:trPr>
            <w:tc>
              <w:tcPr>
                <w:tcW w:w="2256" w:type="dxa"/>
                <w:tcBorders>
                  <w:top w:val="nil"/>
                  <w:left w:val="nil"/>
                  <w:bottom w:val="nil"/>
                  <w:right w:val="nil"/>
                </w:tcBorders>
                <w:tcMar>
                  <w:left w:w="108" w:type="dxa"/>
                  <w:right w:w="108" w:type="dxa"/>
                </w:tcMar>
              </w:tcPr>
              <w:p w14:paraId="698C6011" w14:textId="23847E08"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2015</w:t>
                </w:r>
              </w:p>
            </w:tc>
            <w:tc>
              <w:tcPr>
                <w:tcW w:w="3246" w:type="dxa"/>
                <w:tcBorders>
                  <w:top w:val="nil"/>
                  <w:left w:val="nil"/>
                  <w:bottom w:val="nil"/>
                  <w:right w:val="nil"/>
                </w:tcBorders>
                <w:tcMar>
                  <w:left w:w="108" w:type="dxa"/>
                  <w:right w:w="108" w:type="dxa"/>
                </w:tcMar>
              </w:tcPr>
              <w:p w14:paraId="34DFD224" w14:textId="1DE83FF2"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$37.863.000.000</w:t>
                </w:r>
              </w:p>
            </w:tc>
          </w:tr>
          <w:tr w:rsidR="1E2DECDA" w14:paraId="2072BC48" w14:textId="77777777" w:rsidTr="1E2DECDA">
            <w:trPr>
              <w:trHeight w:val="120"/>
            </w:trPr>
            <w:tc>
              <w:tcPr>
                <w:tcW w:w="2256" w:type="dxa"/>
                <w:tcBorders>
                  <w:top w:val="nil"/>
                  <w:left w:val="nil"/>
                  <w:bottom w:val="nil"/>
                  <w:right w:val="nil"/>
                </w:tcBorders>
                <w:tcMar>
                  <w:left w:w="108" w:type="dxa"/>
                  <w:right w:w="108" w:type="dxa"/>
                </w:tcMar>
              </w:tcPr>
              <w:p w14:paraId="5521DC38" w14:textId="10569CB2"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2016</w:t>
                </w:r>
              </w:p>
            </w:tc>
            <w:tc>
              <w:tcPr>
                <w:tcW w:w="3246" w:type="dxa"/>
                <w:tcBorders>
                  <w:top w:val="nil"/>
                  <w:left w:val="nil"/>
                  <w:bottom w:val="nil"/>
                  <w:right w:val="nil"/>
                </w:tcBorders>
                <w:tcMar>
                  <w:left w:w="108" w:type="dxa"/>
                  <w:right w:w="108" w:type="dxa"/>
                </w:tcMar>
              </w:tcPr>
              <w:p w14:paraId="0FFAB666" w14:textId="54D57F3C"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$38.455.000.000</w:t>
                </w:r>
              </w:p>
            </w:tc>
          </w:tr>
          <w:tr w:rsidR="1E2DECDA" w14:paraId="67229430" w14:textId="77777777" w:rsidTr="1E2DECDA">
            <w:trPr>
              <w:trHeight w:val="120"/>
            </w:trPr>
            <w:tc>
              <w:tcPr>
                <w:tcW w:w="2256" w:type="dxa"/>
                <w:tcBorders>
                  <w:top w:val="nil"/>
                  <w:left w:val="nil"/>
                  <w:bottom w:val="nil"/>
                  <w:right w:val="nil"/>
                </w:tcBorders>
                <w:tcMar>
                  <w:left w:w="108" w:type="dxa"/>
                  <w:right w:w="108" w:type="dxa"/>
                </w:tcMar>
              </w:tcPr>
              <w:p w14:paraId="7B43EDA2" w14:textId="60F3541E"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2017</w:t>
                </w:r>
              </w:p>
            </w:tc>
            <w:tc>
              <w:tcPr>
                <w:tcW w:w="3246" w:type="dxa"/>
                <w:tcBorders>
                  <w:top w:val="nil"/>
                  <w:left w:val="nil"/>
                  <w:bottom w:val="nil"/>
                  <w:right w:val="nil"/>
                </w:tcBorders>
                <w:tcMar>
                  <w:left w:w="108" w:type="dxa"/>
                  <w:right w:w="108" w:type="dxa"/>
                </w:tcMar>
              </w:tcPr>
              <w:p w14:paraId="27CB2BA1" w14:textId="23B269BD"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$39.055.000.000</w:t>
                </w:r>
              </w:p>
            </w:tc>
          </w:tr>
          <w:tr w:rsidR="1E2DECDA" w14:paraId="549C1427" w14:textId="77777777" w:rsidTr="1E2DECDA">
            <w:trPr>
              <w:trHeight w:val="120"/>
            </w:trPr>
            <w:tc>
              <w:tcPr>
                <w:tcW w:w="2256" w:type="dxa"/>
                <w:tcBorders>
                  <w:top w:val="nil"/>
                  <w:left w:val="nil"/>
                  <w:bottom w:val="nil"/>
                  <w:right w:val="nil"/>
                </w:tcBorders>
                <w:tcMar>
                  <w:left w:w="108" w:type="dxa"/>
                  <w:right w:w="108" w:type="dxa"/>
                </w:tcMar>
              </w:tcPr>
              <w:p w14:paraId="19E72DA8" w14:textId="0E3AC348"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2018</w:t>
                </w:r>
              </w:p>
            </w:tc>
            <w:tc>
              <w:tcPr>
                <w:tcW w:w="3246" w:type="dxa"/>
                <w:tcBorders>
                  <w:top w:val="nil"/>
                  <w:left w:val="nil"/>
                  <w:bottom w:val="nil"/>
                  <w:right w:val="nil"/>
                </w:tcBorders>
                <w:tcMar>
                  <w:left w:w="108" w:type="dxa"/>
                  <w:right w:w="108" w:type="dxa"/>
                </w:tcMar>
              </w:tcPr>
              <w:p w14:paraId="5C85D205" w14:textId="4B0E78E6"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$39.666.000.000</w:t>
                </w:r>
              </w:p>
            </w:tc>
          </w:tr>
          <w:tr w:rsidR="1E2DECDA" w14:paraId="6FB763B8" w14:textId="77777777" w:rsidTr="1E2DECDA">
            <w:trPr>
              <w:trHeight w:val="120"/>
            </w:trPr>
            <w:tc>
              <w:tcPr>
                <w:tcW w:w="2256" w:type="dxa"/>
                <w:tcBorders>
                  <w:top w:val="nil"/>
                  <w:left w:val="nil"/>
                  <w:bottom w:val="nil"/>
                  <w:right w:val="nil"/>
                </w:tcBorders>
                <w:tcMar>
                  <w:left w:w="108" w:type="dxa"/>
                  <w:right w:w="108" w:type="dxa"/>
                </w:tcMar>
              </w:tcPr>
              <w:p w14:paraId="28234CB7" w14:textId="49F32675"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2019</w:t>
                </w:r>
              </w:p>
            </w:tc>
            <w:tc>
              <w:tcPr>
                <w:tcW w:w="3246" w:type="dxa"/>
                <w:tcBorders>
                  <w:top w:val="nil"/>
                  <w:left w:val="nil"/>
                  <w:bottom w:val="nil"/>
                  <w:right w:val="nil"/>
                </w:tcBorders>
                <w:tcMar>
                  <w:left w:w="108" w:type="dxa"/>
                  <w:right w:w="108" w:type="dxa"/>
                </w:tcMar>
              </w:tcPr>
              <w:p w14:paraId="26562F37" w14:textId="16963B40"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$40.286.000.000</w:t>
                </w:r>
              </w:p>
            </w:tc>
          </w:tr>
          <w:tr w:rsidR="1E2DECDA" w14:paraId="70514797" w14:textId="77777777" w:rsidTr="1E2DECDA">
            <w:trPr>
              <w:trHeight w:val="120"/>
            </w:trPr>
            <w:tc>
              <w:tcPr>
                <w:tcW w:w="2256" w:type="dxa"/>
                <w:tcBorders>
                  <w:top w:val="nil"/>
                  <w:left w:val="nil"/>
                  <w:bottom w:val="nil"/>
                  <w:right w:val="nil"/>
                </w:tcBorders>
                <w:tcMar>
                  <w:left w:w="108" w:type="dxa"/>
                  <w:right w:w="108" w:type="dxa"/>
                </w:tcMar>
              </w:tcPr>
              <w:p w14:paraId="149332E4" w14:textId="350F8C57"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2020</w:t>
                </w:r>
              </w:p>
            </w:tc>
            <w:tc>
              <w:tcPr>
                <w:tcW w:w="3246" w:type="dxa"/>
                <w:tcBorders>
                  <w:top w:val="nil"/>
                  <w:left w:val="nil"/>
                  <w:bottom w:val="nil"/>
                  <w:right w:val="nil"/>
                </w:tcBorders>
                <w:tcMar>
                  <w:left w:w="108" w:type="dxa"/>
                  <w:right w:w="108" w:type="dxa"/>
                </w:tcMar>
              </w:tcPr>
              <w:p w14:paraId="539D5548" w14:textId="68A50AEA"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$40.916.000.000</w:t>
                </w:r>
              </w:p>
            </w:tc>
          </w:tr>
          <w:tr w:rsidR="1E2DECDA" w14:paraId="4BF864A8" w14:textId="77777777" w:rsidTr="1E2DECDA">
            <w:trPr>
              <w:trHeight w:val="120"/>
            </w:trPr>
            <w:tc>
              <w:tcPr>
                <w:tcW w:w="2256" w:type="dxa"/>
                <w:tcBorders>
                  <w:top w:val="nil"/>
                  <w:left w:val="nil"/>
                  <w:bottom w:val="nil"/>
                  <w:right w:val="nil"/>
                </w:tcBorders>
                <w:tcMar>
                  <w:left w:w="108" w:type="dxa"/>
                  <w:right w:w="108" w:type="dxa"/>
                </w:tcMar>
              </w:tcPr>
              <w:p w14:paraId="14D37523" w14:textId="59DC0A93"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2021</w:t>
                </w:r>
              </w:p>
            </w:tc>
            <w:tc>
              <w:tcPr>
                <w:tcW w:w="3246" w:type="dxa"/>
                <w:tcBorders>
                  <w:top w:val="nil"/>
                  <w:left w:val="nil"/>
                  <w:bottom w:val="nil"/>
                  <w:right w:val="nil"/>
                </w:tcBorders>
                <w:tcMar>
                  <w:left w:w="108" w:type="dxa"/>
                  <w:right w:w="108" w:type="dxa"/>
                </w:tcMar>
              </w:tcPr>
              <w:p w14:paraId="19F665BB" w14:textId="0C50A832"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$41.555.000.000</w:t>
                </w:r>
              </w:p>
            </w:tc>
          </w:tr>
          <w:tr w:rsidR="1E2DECDA" w14:paraId="6F34CEA9" w14:textId="77777777" w:rsidTr="1E2DECDA">
            <w:trPr>
              <w:trHeight w:val="120"/>
            </w:trPr>
            <w:tc>
              <w:tcPr>
                <w:tcW w:w="2256" w:type="dxa"/>
                <w:tcBorders>
                  <w:top w:val="nil"/>
                  <w:left w:val="nil"/>
                  <w:bottom w:val="nil"/>
                  <w:right w:val="nil"/>
                </w:tcBorders>
                <w:tcMar>
                  <w:left w:w="108" w:type="dxa"/>
                  <w:right w:w="108" w:type="dxa"/>
                </w:tcMar>
              </w:tcPr>
              <w:p w14:paraId="46B2693C" w14:textId="4DDB2427"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2022</w:t>
                </w:r>
              </w:p>
            </w:tc>
            <w:tc>
              <w:tcPr>
                <w:tcW w:w="3246" w:type="dxa"/>
                <w:tcBorders>
                  <w:top w:val="nil"/>
                  <w:left w:val="nil"/>
                  <w:bottom w:val="nil"/>
                  <w:right w:val="nil"/>
                </w:tcBorders>
                <w:tcMar>
                  <w:left w:w="108" w:type="dxa"/>
                  <w:right w:w="108" w:type="dxa"/>
                </w:tcMar>
              </w:tcPr>
              <w:p w14:paraId="158340B8" w14:textId="3B8D7196"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$42.199.000.000</w:t>
                </w:r>
              </w:p>
            </w:tc>
          </w:tr>
          <w:tr w:rsidR="1E2DECDA" w14:paraId="7EFE21B4" w14:textId="77777777" w:rsidTr="1E2DECDA">
            <w:trPr>
              <w:trHeight w:val="120"/>
            </w:trPr>
            <w:tc>
              <w:tcPr>
                <w:tcW w:w="2256" w:type="dxa"/>
                <w:tcBorders>
                  <w:top w:val="nil"/>
                  <w:left w:val="nil"/>
                  <w:bottom w:val="nil"/>
                  <w:right w:val="nil"/>
                </w:tcBorders>
                <w:tcMar>
                  <w:left w:w="108" w:type="dxa"/>
                  <w:right w:w="108" w:type="dxa"/>
                </w:tcMar>
              </w:tcPr>
              <w:p w14:paraId="67FF8DBD" w14:textId="01FE77BE"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2023</w:t>
                </w:r>
              </w:p>
            </w:tc>
            <w:tc>
              <w:tcPr>
                <w:tcW w:w="3246" w:type="dxa"/>
                <w:tcBorders>
                  <w:top w:val="nil"/>
                  <w:left w:val="nil"/>
                  <w:bottom w:val="nil"/>
                  <w:right w:val="nil"/>
                </w:tcBorders>
                <w:tcMar>
                  <w:left w:w="108" w:type="dxa"/>
                  <w:right w:w="108" w:type="dxa"/>
                </w:tcMar>
              </w:tcPr>
              <w:p w14:paraId="68F28D93" w14:textId="4C020CE5"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$42.854.000.000</w:t>
                </w:r>
              </w:p>
            </w:tc>
          </w:tr>
          <w:tr w:rsidR="1E2DECDA" w14:paraId="47A073AD" w14:textId="77777777" w:rsidTr="1E2DECDA">
            <w:trPr>
              <w:trHeight w:val="120"/>
            </w:trPr>
            <w:tc>
              <w:tcPr>
                <w:tcW w:w="2256" w:type="dxa"/>
                <w:tcBorders>
                  <w:top w:val="nil"/>
                  <w:left w:val="nil"/>
                  <w:bottom w:val="nil"/>
                  <w:right w:val="nil"/>
                </w:tcBorders>
                <w:tcMar>
                  <w:left w:w="108" w:type="dxa"/>
                  <w:right w:w="108" w:type="dxa"/>
                </w:tcMar>
              </w:tcPr>
              <w:p w14:paraId="22222140" w14:textId="591B2841"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2024</w:t>
                </w:r>
              </w:p>
            </w:tc>
            <w:tc>
              <w:tcPr>
                <w:tcW w:w="3246" w:type="dxa"/>
                <w:tcBorders>
                  <w:top w:val="nil"/>
                  <w:left w:val="nil"/>
                  <w:bottom w:val="nil"/>
                  <w:right w:val="nil"/>
                </w:tcBorders>
                <w:tcMar>
                  <w:left w:w="108" w:type="dxa"/>
                  <w:right w:w="108" w:type="dxa"/>
                </w:tcMar>
              </w:tcPr>
              <w:p w14:paraId="5D85E28E" w14:textId="010AADE5"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$43.518.000.000</w:t>
                </w:r>
              </w:p>
            </w:tc>
          </w:tr>
          <w:tr w:rsidR="1E2DECDA" w14:paraId="5E9C44CF" w14:textId="77777777" w:rsidTr="1E2DECDA">
            <w:trPr>
              <w:trHeight w:val="120"/>
            </w:trPr>
            <w:tc>
              <w:tcPr>
                <w:tcW w:w="2256" w:type="dxa"/>
                <w:tcBorders>
                  <w:top w:val="nil"/>
                  <w:left w:val="nil"/>
                  <w:bottom w:val="nil"/>
                  <w:right w:val="nil"/>
                </w:tcBorders>
                <w:tcMar>
                  <w:left w:w="108" w:type="dxa"/>
                  <w:right w:w="108" w:type="dxa"/>
                </w:tcMar>
              </w:tcPr>
              <w:p w14:paraId="58BF28F5" w14:textId="7DA94A24"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2025</w:t>
                </w:r>
              </w:p>
            </w:tc>
            <w:tc>
              <w:tcPr>
                <w:tcW w:w="3246" w:type="dxa"/>
                <w:tcBorders>
                  <w:top w:val="nil"/>
                  <w:left w:val="nil"/>
                  <w:bottom w:val="nil"/>
                  <w:right w:val="nil"/>
                </w:tcBorders>
                <w:tcMar>
                  <w:left w:w="108" w:type="dxa"/>
                  <w:right w:w="108" w:type="dxa"/>
                </w:tcMar>
              </w:tcPr>
              <w:p w14:paraId="13C830C3" w14:textId="5B897FB1"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$44.193.000.000</w:t>
                </w:r>
              </w:p>
            </w:tc>
          </w:tr>
          <w:tr w:rsidR="1E2DECDA" w14:paraId="6C94F7EB" w14:textId="77777777" w:rsidTr="1E2DECDA">
            <w:trPr>
              <w:trHeight w:val="120"/>
            </w:trPr>
            <w:tc>
              <w:tcPr>
                <w:tcW w:w="2256" w:type="dxa"/>
                <w:tcBorders>
                  <w:top w:val="nil"/>
                  <w:left w:val="nil"/>
                  <w:bottom w:val="nil"/>
                  <w:right w:val="nil"/>
                </w:tcBorders>
                <w:tcMar>
                  <w:left w:w="108" w:type="dxa"/>
                  <w:right w:w="108" w:type="dxa"/>
                </w:tcMar>
              </w:tcPr>
              <w:p w14:paraId="69C771FD" w14:textId="2EF15ECA"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2026</w:t>
                </w:r>
              </w:p>
            </w:tc>
            <w:tc>
              <w:tcPr>
                <w:tcW w:w="3246" w:type="dxa"/>
                <w:tcBorders>
                  <w:top w:val="nil"/>
                  <w:left w:val="nil"/>
                  <w:bottom w:val="nil"/>
                  <w:right w:val="nil"/>
                </w:tcBorders>
                <w:tcMar>
                  <w:left w:w="108" w:type="dxa"/>
                  <w:right w:w="108" w:type="dxa"/>
                </w:tcMar>
              </w:tcPr>
              <w:p w14:paraId="62ADC3E7" w14:textId="758C6D69"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$44.364.000.000</w:t>
                </w:r>
              </w:p>
            </w:tc>
          </w:tr>
        </w:tbl>
        <w:p w14:paraId="3757DE05" w14:textId="69458291" w:rsidR="007803E3" w:rsidRPr="0020113A" w:rsidRDefault="3AFFDD67" w:rsidP="1E2DECDA">
          <w:pPr>
            <w:spacing w:before="7" w:line="257" w:lineRule="auto"/>
            <w:ind w:left="-20" w:right="-20"/>
            <w:jc w:val="both"/>
            <w:rPr>
              <w:rFonts w:ascii="Times New Roman" w:eastAsia="Times New Roman" w:hAnsi="Times New Roman"/>
              <w:sz w:val="24"/>
              <w:szCs w:val="24"/>
              <w:lang w:val="es"/>
            </w:rPr>
          </w:pPr>
          <w:r w:rsidRPr="1E2DECDA">
            <w:rPr>
              <w:rFonts w:ascii="Times New Roman" w:eastAsia="Times New Roman" w:hAnsi="Times New Roman"/>
              <w:sz w:val="24"/>
              <w:szCs w:val="24"/>
              <w:lang w:val="es"/>
            </w:rPr>
            <w:t xml:space="preserve"> </w:t>
          </w:r>
        </w:p>
        <w:p w14:paraId="1797F220" w14:textId="5BB646F6" w:rsidR="007803E3" w:rsidRPr="0020113A" w:rsidRDefault="007803E3" w:rsidP="00E60BAB">
          <w:pPr>
            <w:pStyle w:val="Prrafodelista"/>
            <w:numPr>
              <w:ilvl w:val="0"/>
              <w:numId w:val="161"/>
            </w:numPr>
            <w:spacing w:before="7" w:line="257" w:lineRule="auto"/>
            <w:ind w:left="-20" w:right="-20"/>
            <w:jc w:val="both"/>
            <w:rPr>
              <w:rFonts w:ascii="Times New Roman" w:eastAsia="Times New Roman" w:hAnsi="Times New Roman"/>
              <w:b/>
              <w:sz w:val="24"/>
              <w:szCs w:val="24"/>
              <w:lang w:val="es"/>
            </w:rPr>
          </w:pPr>
          <w:r w:rsidRPr="1E2DECDA">
            <w:rPr>
              <w:rFonts w:ascii="Times New Roman" w:eastAsia="Times New Roman" w:hAnsi="Times New Roman"/>
              <w:b/>
              <w:sz w:val="24"/>
              <w:szCs w:val="24"/>
              <w:lang w:val="es"/>
            </w:rPr>
            <w:t>Derechos a recibir activos especificados al final del acuerdo de concesión</w:t>
          </w:r>
        </w:p>
        <w:p w14:paraId="23197C4D" w14:textId="53CC0881" w:rsidR="007803E3" w:rsidRPr="0020113A" w:rsidRDefault="3AFFDD67" w:rsidP="1E2DECDA">
          <w:pPr>
            <w:spacing w:line="257" w:lineRule="auto"/>
            <w:ind w:left="-20" w:right="675"/>
            <w:jc w:val="both"/>
            <w:rPr>
              <w:rFonts w:ascii="Times New Roman" w:eastAsia="Times New Roman" w:hAnsi="Times New Roman"/>
              <w:sz w:val="24"/>
              <w:szCs w:val="24"/>
              <w:lang w:val="es"/>
            </w:rPr>
          </w:pPr>
          <w:r w:rsidRPr="1E2DECDA">
            <w:rPr>
              <w:rFonts w:ascii="Times New Roman" w:eastAsia="Times New Roman" w:hAnsi="Times New Roman"/>
              <w:b/>
              <w:bCs/>
              <w:sz w:val="24"/>
              <w:szCs w:val="24"/>
              <w:lang w:val="es"/>
            </w:rPr>
            <w:t>Descripción:</w:t>
          </w:r>
          <w:r w:rsidRPr="1E2DECDA">
            <w:rPr>
              <w:rFonts w:ascii="Times New Roman" w:eastAsia="Times New Roman" w:hAnsi="Times New Roman"/>
              <w:sz w:val="24"/>
              <w:szCs w:val="24"/>
              <w:lang w:val="es"/>
            </w:rPr>
            <w:t xml:space="preserve"> </w:t>
          </w:r>
        </w:p>
        <w:p w14:paraId="1CAB565E" w14:textId="0474516A" w:rsidR="007803E3" w:rsidRPr="0020113A" w:rsidRDefault="3AFFDD67" w:rsidP="1E2DECDA">
          <w:pPr>
            <w:spacing w:line="257" w:lineRule="auto"/>
            <w:ind w:left="-20" w:right="675"/>
            <w:jc w:val="both"/>
            <w:rPr>
              <w:rFonts w:ascii="Times New Roman" w:eastAsia="Times New Roman" w:hAnsi="Times New Roman"/>
              <w:sz w:val="24"/>
              <w:szCs w:val="24"/>
              <w:lang w:val="es"/>
            </w:rPr>
          </w:pPr>
          <w:r w:rsidRPr="1E2DECDA">
            <w:rPr>
              <w:rFonts w:ascii="Times New Roman" w:eastAsia="Times New Roman" w:hAnsi="Times New Roman"/>
              <w:sz w:val="24"/>
              <w:szCs w:val="24"/>
              <w:lang w:val="es"/>
            </w:rPr>
            <w:t xml:space="preserve"> </w:t>
          </w:r>
        </w:p>
        <w:p w14:paraId="16F15783" w14:textId="626432F0" w:rsidR="007803E3" w:rsidRPr="0020113A" w:rsidRDefault="3AFFDD67" w:rsidP="1E2DECDA">
          <w:pPr>
            <w:spacing w:line="257" w:lineRule="auto"/>
            <w:ind w:left="-20" w:right="675"/>
            <w:jc w:val="both"/>
            <w:rPr>
              <w:rFonts w:ascii="Times New Roman" w:eastAsia="Times New Roman" w:hAnsi="Times New Roman"/>
              <w:sz w:val="24"/>
              <w:szCs w:val="24"/>
              <w:lang w:val="es"/>
            </w:rPr>
          </w:pPr>
          <w:r w:rsidRPr="1E2DECDA">
            <w:rPr>
              <w:rFonts w:ascii="Times New Roman" w:eastAsia="Times New Roman" w:hAnsi="Times New Roman"/>
              <w:sz w:val="24"/>
              <w:szCs w:val="24"/>
              <w:lang w:val="es"/>
            </w:rPr>
            <w:t>CLÁUSULA VIGÉSIMA SEXTA. REVERSIÓN Y ENTREGA FINAL:</w:t>
          </w:r>
        </w:p>
        <w:p w14:paraId="1A712295" w14:textId="37768094" w:rsidR="007803E3" w:rsidRPr="0020113A" w:rsidRDefault="3AFFDD67" w:rsidP="1E2DECDA">
          <w:pPr>
            <w:spacing w:line="257" w:lineRule="auto"/>
            <w:ind w:left="-20" w:right="675"/>
            <w:jc w:val="both"/>
            <w:rPr>
              <w:rFonts w:ascii="Times New Roman" w:eastAsia="Times New Roman" w:hAnsi="Times New Roman"/>
              <w:sz w:val="24"/>
              <w:szCs w:val="24"/>
              <w:lang w:val="es"/>
            </w:rPr>
          </w:pPr>
          <w:r w:rsidRPr="1E2DECDA">
            <w:rPr>
              <w:rFonts w:ascii="Times New Roman" w:eastAsia="Times New Roman" w:hAnsi="Times New Roman"/>
              <w:sz w:val="24"/>
              <w:szCs w:val="24"/>
              <w:lang w:val="es"/>
            </w:rPr>
            <w:t xml:space="preserve">A la terminación de la Etapa de Operación, el CONCESIONARIO revertirá al INSTITUTO los bienes afectados a la concesión del Proyecto Vial, en los que se incluyen, entre otros, los siguientes: </w:t>
          </w:r>
        </w:p>
        <w:p w14:paraId="2866D19B" w14:textId="0F187ED9" w:rsidR="007803E3" w:rsidRPr="0020113A" w:rsidRDefault="3AFFDD67" w:rsidP="00E60BAB">
          <w:pPr>
            <w:pStyle w:val="Prrafodelista"/>
            <w:numPr>
              <w:ilvl w:val="0"/>
              <w:numId w:val="157"/>
            </w:numPr>
            <w:spacing w:after="0" w:line="257" w:lineRule="auto"/>
            <w:ind w:left="-20" w:right="-20"/>
            <w:jc w:val="both"/>
            <w:rPr>
              <w:rFonts w:ascii="Times New Roman" w:eastAsia="Times New Roman" w:hAnsi="Times New Roman"/>
              <w:sz w:val="24"/>
              <w:szCs w:val="24"/>
              <w:lang w:val="es"/>
            </w:rPr>
          </w:pPr>
          <w:r w:rsidRPr="1E2DECDA">
            <w:rPr>
              <w:rFonts w:ascii="Times New Roman" w:eastAsia="Times New Roman" w:hAnsi="Times New Roman"/>
              <w:sz w:val="24"/>
              <w:szCs w:val="24"/>
              <w:lang w:val="es"/>
            </w:rPr>
            <w:t>los predios para el Derecho de Vía;</w:t>
          </w:r>
        </w:p>
        <w:p w14:paraId="5F23963F" w14:textId="4BFDC419" w:rsidR="007803E3" w:rsidRPr="0020113A" w:rsidRDefault="3AFFDD67" w:rsidP="00E60BAB">
          <w:pPr>
            <w:pStyle w:val="Prrafodelista"/>
            <w:numPr>
              <w:ilvl w:val="0"/>
              <w:numId w:val="157"/>
            </w:numPr>
            <w:spacing w:after="0" w:line="257" w:lineRule="auto"/>
            <w:ind w:left="-20" w:right="-20"/>
            <w:jc w:val="both"/>
            <w:rPr>
              <w:rFonts w:ascii="Times New Roman" w:eastAsia="Times New Roman" w:hAnsi="Times New Roman"/>
              <w:sz w:val="24"/>
              <w:szCs w:val="24"/>
              <w:lang w:val="es"/>
            </w:rPr>
          </w:pPr>
          <w:r w:rsidRPr="1E2DECDA">
            <w:rPr>
              <w:rFonts w:ascii="Times New Roman" w:eastAsia="Times New Roman" w:hAnsi="Times New Roman"/>
              <w:sz w:val="24"/>
              <w:szCs w:val="24"/>
              <w:lang w:val="es"/>
            </w:rPr>
            <w:t>la obra civil, calzadas, separadores, intersecciones, estructuras, obras de drenaje, obras de arte y seriales. las casetas de peaje y sus áreas de servicio. los equipos instalados para la operación del proyecto descritos en el anexo correspondiente;</w:t>
          </w:r>
        </w:p>
        <w:p w14:paraId="61C88F78" w14:textId="5A6C0CAE" w:rsidR="007803E3" w:rsidRPr="0020113A" w:rsidRDefault="3AFFDD67" w:rsidP="00E60BAB">
          <w:pPr>
            <w:pStyle w:val="Prrafodelista"/>
            <w:numPr>
              <w:ilvl w:val="0"/>
              <w:numId w:val="157"/>
            </w:numPr>
            <w:spacing w:after="0" w:line="257" w:lineRule="auto"/>
            <w:ind w:left="-20" w:right="-20"/>
            <w:jc w:val="both"/>
            <w:rPr>
              <w:rFonts w:ascii="Times New Roman" w:eastAsia="Times New Roman" w:hAnsi="Times New Roman"/>
              <w:sz w:val="24"/>
              <w:szCs w:val="24"/>
              <w:lang w:val="es"/>
            </w:rPr>
          </w:pPr>
          <w:r w:rsidRPr="1E2DECDA">
            <w:rPr>
              <w:rFonts w:ascii="Times New Roman" w:eastAsia="Times New Roman" w:hAnsi="Times New Roman"/>
              <w:sz w:val="24"/>
              <w:szCs w:val="24"/>
              <w:lang w:val="es"/>
            </w:rPr>
            <w:t>los demás bienes establecidos en los documentos de este Contrato revertirán en favor del INSTITUTO. sin costo alguno. libres de todo gravamen y con un nivel de servicio que alcance una calificación mínima del índice de Estado del Proyecto de Cuatro (4) puntos. de acuerdo con las "Normas de Mantenimiento para Carreteras Concesionadas" que forman parte del presente Contrato para la vía y en óptimas condiciones de funcionamiento para los demás bienes y equipos. Si el nivel de servicio es mayor a cuatro (1) el CONCESIONARIO no tendrá derecho a reconocimiento adicional alguno. Así mismo. si la entrega de los bienes se efectúa con una clasificación de cuatro (4), se entenderá que el CONCESIONARIO ha cumplido con su obligación y por ende no serán aplicables las sanciones previstas en este Contrato.</w:t>
          </w:r>
        </w:p>
        <w:p w14:paraId="7000D0E1" w14:textId="1BBE9323" w:rsidR="007803E3" w:rsidRPr="0020113A" w:rsidRDefault="3AFFDD67" w:rsidP="1E2DECDA">
          <w:pPr>
            <w:spacing w:line="257" w:lineRule="auto"/>
            <w:ind w:left="-20" w:right="204"/>
            <w:jc w:val="both"/>
            <w:rPr>
              <w:rFonts w:ascii="Times New Roman" w:eastAsia="Times New Roman" w:hAnsi="Times New Roman"/>
              <w:sz w:val="24"/>
              <w:szCs w:val="24"/>
              <w:lang w:val="es"/>
            </w:rPr>
          </w:pPr>
          <w:r w:rsidRPr="1E2DECDA">
            <w:rPr>
              <w:rFonts w:ascii="Times New Roman" w:eastAsia="Times New Roman" w:hAnsi="Times New Roman"/>
              <w:sz w:val="24"/>
              <w:szCs w:val="24"/>
              <w:lang w:val="es"/>
            </w:rPr>
            <w:lastRenderedPageBreak/>
            <w:t xml:space="preserve"> </w:t>
          </w:r>
        </w:p>
        <w:p w14:paraId="433D125C" w14:textId="57C57C89" w:rsidR="007803E3" w:rsidRPr="0020113A" w:rsidRDefault="3AFFDD67" w:rsidP="1E2DECDA">
          <w:pPr>
            <w:spacing w:line="257" w:lineRule="auto"/>
            <w:ind w:left="107" w:right="204"/>
            <w:jc w:val="both"/>
            <w:rPr>
              <w:rFonts w:ascii="Times New Roman" w:eastAsia="Times New Roman" w:hAnsi="Times New Roman"/>
              <w:sz w:val="24"/>
              <w:szCs w:val="24"/>
              <w:lang w:val="es"/>
            </w:rPr>
          </w:pPr>
          <w:r w:rsidRPr="1E2DECDA">
            <w:rPr>
              <w:rFonts w:ascii="Times New Roman" w:eastAsia="Times New Roman" w:hAnsi="Times New Roman"/>
              <w:b/>
              <w:bCs/>
              <w:sz w:val="24"/>
              <w:szCs w:val="24"/>
              <w:lang w:val="es"/>
            </w:rPr>
            <w:t xml:space="preserve">Observaciones: </w:t>
          </w:r>
          <w:r w:rsidRPr="1E2DECDA">
            <w:rPr>
              <w:rFonts w:ascii="Times New Roman" w:eastAsia="Times New Roman" w:hAnsi="Times New Roman"/>
              <w:sz w:val="24"/>
              <w:szCs w:val="24"/>
              <w:lang w:val="es"/>
            </w:rPr>
            <w:t>Ninguna</w:t>
          </w:r>
        </w:p>
        <w:p w14:paraId="0CEA49AD" w14:textId="3BA1E89E" w:rsidR="007803E3" w:rsidRPr="0020113A" w:rsidRDefault="3AFFDD67" w:rsidP="1E2DECDA">
          <w:pPr>
            <w:spacing w:line="257" w:lineRule="auto"/>
            <w:ind w:left="107" w:right="204"/>
            <w:jc w:val="both"/>
            <w:rPr>
              <w:rFonts w:ascii="Times New Roman" w:eastAsia="Times New Roman" w:hAnsi="Times New Roman"/>
              <w:sz w:val="24"/>
              <w:szCs w:val="24"/>
              <w:lang w:val="es"/>
            </w:rPr>
          </w:pPr>
          <w:r w:rsidRPr="1E2DECDA">
            <w:rPr>
              <w:rFonts w:ascii="Times New Roman" w:eastAsia="Times New Roman" w:hAnsi="Times New Roman"/>
              <w:sz w:val="24"/>
              <w:szCs w:val="24"/>
              <w:lang w:val="es"/>
            </w:rPr>
            <w:t xml:space="preserve"> </w:t>
          </w:r>
        </w:p>
        <w:p w14:paraId="6FDDA8F5" w14:textId="749EF5F8" w:rsidR="007803E3" w:rsidRPr="0020113A" w:rsidRDefault="007803E3" w:rsidP="00E60BAB">
          <w:pPr>
            <w:pStyle w:val="Prrafodelista"/>
            <w:numPr>
              <w:ilvl w:val="0"/>
              <w:numId w:val="161"/>
            </w:numPr>
            <w:spacing w:after="0" w:line="257" w:lineRule="auto"/>
            <w:ind w:left="-20" w:right="-20"/>
            <w:jc w:val="both"/>
            <w:rPr>
              <w:rFonts w:ascii="Times New Roman" w:eastAsia="Times New Roman" w:hAnsi="Times New Roman"/>
              <w:b/>
              <w:sz w:val="24"/>
              <w:szCs w:val="24"/>
              <w:lang w:val="es"/>
            </w:rPr>
          </w:pPr>
          <w:r w:rsidRPr="1E2DECDA">
            <w:rPr>
              <w:rFonts w:ascii="Times New Roman" w:eastAsia="Times New Roman" w:hAnsi="Times New Roman"/>
              <w:b/>
              <w:sz w:val="24"/>
              <w:szCs w:val="24"/>
              <w:lang w:val="es"/>
            </w:rPr>
            <w:t>Cambios en el acuerdo de concesión que se realicen durante el periodo fiscal</w:t>
          </w:r>
        </w:p>
        <w:p w14:paraId="49AF62D5" w14:textId="26C6CC89" w:rsidR="007803E3" w:rsidRPr="0020113A" w:rsidRDefault="3AFFDD67" w:rsidP="1E2DECDA">
          <w:pPr>
            <w:spacing w:line="257" w:lineRule="auto"/>
            <w:ind w:left="720" w:right="-20"/>
            <w:jc w:val="both"/>
            <w:rPr>
              <w:rFonts w:ascii="Times New Roman" w:eastAsia="Times New Roman" w:hAnsi="Times New Roman"/>
              <w:b/>
              <w:bCs/>
              <w:sz w:val="24"/>
              <w:szCs w:val="24"/>
              <w:lang w:val="es"/>
            </w:rPr>
          </w:pPr>
          <w:r w:rsidRPr="1E2DECDA">
            <w:rPr>
              <w:rFonts w:ascii="Times New Roman" w:eastAsia="Times New Roman" w:hAnsi="Times New Roman"/>
              <w:b/>
              <w:bCs/>
              <w:sz w:val="24"/>
              <w:szCs w:val="24"/>
              <w:lang w:val="es"/>
            </w:rPr>
            <w:t xml:space="preserve"> </w:t>
          </w:r>
        </w:p>
        <w:p w14:paraId="655E75DA" w14:textId="738CB41D" w:rsidR="007803E3" w:rsidRPr="0020113A" w:rsidRDefault="70F04839" w:rsidP="51BB9C49">
          <w:pPr>
            <w:spacing w:line="257" w:lineRule="auto"/>
            <w:ind w:right="-20"/>
            <w:jc w:val="both"/>
            <w:rPr>
              <w:rFonts w:ascii="Times New Roman" w:eastAsia="Times New Roman" w:hAnsi="Times New Roman"/>
              <w:b/>
              <w:bCs/>
              <w:sz w:val="24"/>
              <w:szCs w:val="24"/>
              <w:lang w:val="es"/>
            </w:rPr>
          </w:pPr>
          <w:r w:rsidRPr="51BB9C49">
            <w:rPr>
              <w:rFonts w:ascii="Times New Roman" w:eastAsia="Times New Roman" w:hAnsi="Times New Roman"/>
              <w:b/>
              <w:bCs/>
              <w:sz w:val="24"/>
              <w:szCs w:val="24"/>
              <w:lang w:val="es"/>
            </w:rPr>
            <w:t>No hay a</w:t>
          </w:r>
          <w:r w:rsidR="3AFFDD67" w:rsidRPr="51BB9C49">
            <w:rPr>
              <w:rFonts w:ascii="Times New Roman" w:eastAsia="Times New Roman" w:hAnsi="Times New Roman"/>
              <w:b/>
              <w:bCs/>
              <w:sz w:val="24"/>
              <w:szCs w:val="24"/>
              <w:lang w:val="es"/>
            </w:rPr>
            <w:t>diciones</w:t>
          </w:r>
          <w:r w:rsidR="3AFFDD67" w:rsidRPr="1E2DECDA">
            <w:rPr>
              <w:rFonts w:ascii="Times New Roman" w:eastAsia="Times New Roman" w:hAnsi="Times New Roman"/>
              <w:b/>
              <w:bCs/>
              <w:sz w:val="24"/>
              <w:szCs w:val="24"/>
              <w:lang w:val="es"/>
            </w:rPr>
            <w:t xml:space="preserve"> o modificaciones en tiempo </w:t>
          </w:r>
        </w:p>
        <w:p w14:paraId="768E06F1" w14:textId="368B80B2" w:rsidR="007803E3" w:rsidRPr="0020113A" w:rsidRDefault="3AFFDD67" w:rsidP="1E2DECDA">
          <w:pPr>
            <w:spacing w:line="257" w:lineRule="auto"/>
            <w:ind w:left="720" w:right="-20"/>
            <w:jc w:val="both"/>
            <w:rPr>
              <w:rFonts w:ascii="Times New Roman" w:eastAsia="Times New Roman" w:hAnsi="Times New Roman"/>
              <w:b/>
              <w:bCs/>
              <w:sz w:val="24"/>
              <w:szCs w:val="24"/>
              <w:lang w:val="es"/>
            </w:rPr>
          </w:pPr>
          <w:r w:rsidRPr="1E2DECDA">
            <w:rPr>
              <w:rFonts w:ascii="Times New Roman" w:eastAsia="Times New Roman" w:hAnsi="Times New Roman"/>
              <w:b/>
              <w:bCs/>
              <w:sz w:val="24"/>
              <w:szCs w:val="24"/>
              <w:lang w:val="es"/>
            </w:rPr>
            <w:t>Adiciones o modificaciones en valor</w:t>
          </w:r>
        </w:p>
        <w:tbl>
          <w:tblPr>
            <w:tblStyle w:val="Tablaconcuadrcula"/>
            <w:tblW w:w="0" w:type="auto"/>
            <w:tblInd w:w="135" w:type="dxa"/>
            <w:tblLayout w:type="fixed"/>
            <w:tblLook w:val="01E0" w:firstRow="1" w:lastRow="1" w:firstColumn="1" w:lastColumn="1" w:noHBand="0" w:noVBand="0"/>
          </w:tblPr>
          <w:tblGrid>
            <w:gridCol w:w="3003"/>
            <w:gridCol w:w="2592"/>
            <w:gridCol w:w="3233"/>
          </w:tblGrid>
          <w:tr w:rsidR="1E2DECDA" w14:paraId="413FCAF7" w14:textId="77777777" w:rsidTr="0F42A11F">
            <w:trPr>
              <w:trHeight w:val="345"/>
            </w:trPr>
            <w:tc>
              <w:tcPr>
                <w:tcW w:w="30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EE60240" w14:textId="65536C02" w:rsidR="1E2DECDA" w:rsidRDefault="1E2DECDA" w:rsidP="1E2DECDA">
                <w:pPr>
                  <w:spacing w:after="0"/>
                  <w:ind w:left="839" w:right="414" w:hanging="401"/>
                  <w:jc w:val="both"/>
                  <w:rPr>
                    <w:rFonts w:ascii="Times New Roman" w:eastAsia="Times New Roman" w:hAnsi="Times New Roman"/>
                    <w:b/>
                    <w:bCs/>
                    <w:sz w:val="24"/>
                    <w:szCs w:val="24"/>
                    <w:lang w:val="es"/>
                  </w:rPr>
                </w:pPr>
                <w:r w:rsidRPr="1E2DECDA">
                  <w:rPr>
                    <w:rFonts w:ascii="Times New Roman" w:eastAsia="Times New Roman" w:hAnsi="Times New Roman"/>
                    <w:b/>
                    <w:bCs/>
                    <w:sz w:val="24"/>
                    <w:szCs w:val="24"/>
                    <w:lang w:val="es"/>
                  </w:rPr>
                  <w:t>Valor de la adición o modificación</w:t>
                </w:r>
              </w:p>
            </w:tc>
            <w:tc>
              <w:tcPr>
                <w:tcW w:w="25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DC318E6" w14:textId="23C66B05" w:rsidR="1E2DECDA" w:rsidRDefault="1E2DECDA" w:rsidP="1E2DECDA">
                <w:pPr>
                  <w:spacing w:after="0"/>
                  <w:ind w:left="486" w:right="478"/>
                  <w:jc w:val="both"/>
                  <w:rPr>
                    <w:rFonts w:ascii="Times New Roman" w:eastAsia="Times New Roman" w:hAnsi="Times New Roman"/>
                    <w:b/>
                    <w:bCs/>
                    <w:sz w:val="24"/>
                    <w:szCs w:val="24"/>
                    <w:lang w:val="es"/>
                  </w:rPr>
                </w:pPr>
                <w:r w:rsidRPr="1E2DECDA">
                  <w:rPr>
                    <w:rFonts w:ascii="Times New Roman" w:eastAsia="Times New Roman" w:hAnsi="Times New Roman"/>
                    <w:b/>
                    <w:bCs/>
                    <w:sz w:val="24"/>
                    <w:szCs w:val="24"/>
                    <w:lang w:val="es"/>
                  </w:rPr>
                  <w:t>Nuevo valor del acuerdo</w:t>
                </w:r>
              </w:p>
            </w:tc>
            <w:tc>
              <w:tcPr>
                <w:tcW w:w="32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9D7E8E3" w14:textId="72348A1F" w:rsidR="1E2DECDA" w:rsidRDefault="1E2DECDA" w:rsidP="1E2DECDA">
                <w:pPr>
                  <w:spacing w:before="138"/>
                  <w:ind w:left="868" w:right="-20"/>
                  <w:jc w:val="both"/>
                  <w:rPr>
                    <w:rFonts w:ascii="Times New Roman" w:eastAsia="Times New Roman" w:hAnsi="Times New Roman"/>
                    <w:b/>
                    <w:bCs/>
                    <w:sz w:val="24"/>
                    <w:szCs w:val="24"/>
                    <w:lang w:val="es"/>
                  </w:rPr>
                </w:pPr>
                <w:r w:rsidRPr="1E2DECDA">
                  <w:rPr>
                    <w:rFonts w:ascii="Times New Roman" w:eastAsia="Times New Roman" w:hAnsi="Times New Roman"/>
                    <w:b/>
                    <w:bCs/>
                    <w:sz w:val="24"/>
                    <w:szCs w:val="24"/>
                    <w:lang w:val="es"/>
                  </w:rPr>
                  <w:t>Observaciones</w:t>
                </w:r>
              </w:p>
            </w:tc>
          </w:tr>
          <w:tr w:rsidR="1E2DECDA" w14:paraId="075FE5E2" w14:textId="77777777" w:rsidTr="0F42A11F">
            <w:trPr>
              <w:trHeight w:val="300"/>
            </w:trPr>
            <w:tc>
              <w:tcPr>
                <w:tcW w:w="30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2A95AB2" w14:textId="7755C8B1" w:rsidR="1E2DECDA" w:rsidRDefault="1E2DECDA" w:rsidP="1E2DECDA">
                <w:pPr>
                  <w:spacing w:before="133"/>
                  <w:ind w:left="171" w:right="156" w:hanging="118"/>
                  <w:jc w:val="both"/>
                  <w:rPr>
                    <w:rFonts w:ascii="Times New Roman" w:eastAsia="Times New Roman" w:hAnsi="Times New Roman"/>
                    <w:sz w:val="24"/>
                    <w:szCs w:val="24"/>
                    <w:lang w:val="es"/>
                  </w:rPr>
                </w:pPr>
                <w:r w:rsidRPr="1E2DECDA">
                  <w:rPr>
                    <w:rFonts w:ascii="Times New Roman" w:eastAsia="Times New Roman" w:hAnsi="Times New Roman"/>
                    <w:sz w:val="24"/>
                    <w:szCs w:val="24"/>
                    <w:lang w:val="es"/>
                  </w:rPr>
                  <w:t>$172.764.835.780,36 pesos de sep-1996</w:t>
                </w:r>
              </w:p>
            </w:tc>
            <w:tc>
              <w:tcPr>
                <w:tcW w:w="25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CC5EAF0" w14:textId="34909DD1"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$350.714.835.780 pesos de sep-1996</w:t>
                </w:r>
              </w:p>
            </w:tc>
            <w:tc>
              <w:tcPr>
                <w:tcW w:w="32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81C82BD" w14:textId="4BA7CBE1" w:rsidR="1E2DECDA" w:rsidRDefault="1E2DECDA" w:rsidP="1E2DECDA">
                <w:pPr>
                  <w:spacing w:after="0"/>
                  <w:ind w:left="-20" w:right="-20"/>
                  <w:jc w:val="both"/>
                  <w:rPr>
                    <w:rFonts w:ascii="Times New Roman" w:eastAsia="Times New Roman" w:hAnsi="Times New Roman"/>
                    <w:color w:val="000000" w:themeColor="text1"/>
                    <w:sz w:val="24"/>
                    <w:szCs w:val="24"/>
                  </w:rPr>
                </w:pPr>
                <w:r w:rsidRPr="1E2DECDA">
                  <w:rPr>
                    <w:rFonts w:ascii="Times New Roman" w:eastAsia="Times New Roman" w:hAnsi="Times New Roman"/>
                    <w:color w:val="000000" w:themeColor="text1"/>
                    <w:sz w:val="24"/>
                    <w:szCs w:val="24"/>
                  </w:rPr>
                  <w:t>En 2023 se suscribió el otrosí 28</w:t>
                </w:r>
              </w:p>
            </w:tc>
          </w:tr>
        </w:tbl>
        <w:p w14:paraId="4024263E" w14:textId="77777777" w:rsidR="007803E3" w:rsidRPr="0020113A" w:rsidRDefault="3AFFDD67" w:rsidP="006D6444">
          <w:pPr>
            <w:pStyle w:val="Prrafodelista"/>
            <w:rPr>
              <w:rFonts w:ascii="Times New Roman" w:hAnsi="Times New Roman"/>
              <w:b/>
              <w:sz w:val="24"/>
              <w:szCs w:val="24"/>
            </w:rPr>
          </w:pPr>
          <w:r w:rsidRPr="1E2DECDA">
            <w:rPr>
              <w:rFonts w:ascii="Times New Roman" w:eastAsia="Times New Roman" w:hAnsi="Times New Roman"/>
              <w:b/>
              <w:bCs/>
              <w:sz w:val="24"/>
              <w:szCs w:val="24"/>
              <w:lang w:val="es-MX"/>
            </w:rPr>
            <w:t xml:space="preserve"> </w:t>
          </w:r>
        </w:p>
        <w:p w14:paraId="1FF593C2" w14:textId="0F25B943" w:rsidR="007803E3" w:rsidRPr="0020113A" w:rsidRDefault="007803E3" w:rsidP="0F42A11F">
          <w:pPr>
            <w:spacing w:line="257" w:lineRule="auto"/>
            <w:ind w:left="-20" w:right="-20"/>
            <w:jc w:val="both"/>
            <w:rPr>
              <w:rFonts w:ascii="Times New Roman" w:eastAsia="Times New Roman" w:hAnsi="Times New Roman"/>
              <w:b/>
              <w:sz w:val="24"/>
              <w:szCs w:val="24"/>
              <w:lang w:val="es-MX"/>
            </w:rPr>
          </w:pPr>
        </w:p>
        <w:p w14:paraId="5C72B91B" w14:textId="77777777" w:rsidR="007803E3" w:rsidRPr="0020113A" w:rsidRDefault="007803E3" w:rsidP="007803E3">
          <w:pPr>
            <w:rPr>
              <w:rFonts w:ascii="Times New Roman" w:hAnsi="Times New Roman"/>
              <w:b/>
              <w:sz w:val="24"/>
              <w:szCs w:val="24"/>
              <w:lang w:val="es-MX"/>
            </w:rPr>
          </w:pPr>
        </w:p>
        <w:p w14:paraId="3834188D" w14:textId="77777777"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TRANSVERSAL DEL SISGA</w:t>
          </w:r>
        </w:p>
        <w:p w14:paraId="419EA799" w14:textId="77777777" w:rsidR="007803E3" w:rsidRPr="0020113A" w:rsidRDefault="007803E3" w:rsidP="00E60BAB">
          <w:pPr>
            <w:pStyle w:val="Prrafodelista"/>
            <w:numPr>
              <w:ilvl w:val="0"/>
              <w:numId w:val="86"/>
            </w:numPr>
            <w:spacing w:line="259" w:lineRule="auto"/>
            <w:rPr>
              <w:rFonts w:ascii="Times New Roman" w:hAnsi="Times New Roman"/>
              <w:b/>
              <w:sz w:val="24"/>
              <w:szCs w:val="24"/>
              <w:lang w:val="es-MX"/>
            </w:rPr>
          </w:pPr>
          <w:r w:rsidRPr="0020113A">
            <w:rPr>
              <w:rFonts w:ascii="Times New Roman" w:hAnsi="Times New Roman"/>
              <w:b/>
              <w:sz w:val="24"/>
              <w:szCs w:val="24"/>
              <w:lang w:val="es-MX"/>
            </w:rPr>
            <w:t xml:space="preserve">Descripción del acuerdo </w:t>
          </w:r>
        </w:p>
        <w:p w14:paraId="7E907245" w14:textId="77777777" w:rsidR="007803E3" w:rsidRPr="0020113A" w:rsidRDefault="007803E3" w:rsidP="22C595FA">
          <w:pPr>
            <w:spacing w:after="0"/>
            <w:ind w:left="-20" w:right="-20"/>
            <w:rPr>
              <w:rFonts w:ascii="Times New Roman" w:hAnsi="Times New Roman"/>
              <w:sz w:val="24"/>
              <w:szCs w:val="24"/>
            </w:rPr>
          </w:pPr>
          <w:r w:rsidRPr="0020113A">
            <w:rPr>
              <w:rFonts w:ascii="Times New Roman" w:eastAsia="Times New Roman" w:hAnsi="Times New Roman"/>
              <w:b/>
              <w:sz w:val="24"/>
              <w:szCs w:val="24"/>
              <w:lang w:val="es-MX"/>
            </w:rPr>
            <w:t xml:space="preserve">Número del acuerdo de concesión: </w:t>
          </w:r>
          <w:r w:rsidRPr="0020113A">
            <w:rPr>
              <w:rFonts w:ascii="Times New Roman" w:eastAsia="Times New Roman" w:hAnsi="Times New Roman"/>
              <w:sz w:val="24"/>
              <w:szCs w:val="24"/>
              <w:lang w:val="es-MX"/>
            </w:rPr>
            <w:t>APP No009 de 2015</w:t>
          </w:r>
        </w:p>
        <w:p w14:paraId="067CAB2B" w14:textId="77777777" w:rsidR="007803E3" w:rsidRPr="0020113A" w:rsidRDefault="007803E3" w:rsidP="22C595FA">
          <w:pPr>
            <w:spacing w:after="0" w:line="257" w:lineRule="auto"/>
            <w:ind w:left="-20" w:right="-20"/>
            <w:rPr>
              <w:rFonts w:ascii="Times New Roman" w:hAnsi="Times New Roman"/>
              <w:sz w:val="24"/>
              <w:szCs w:val="24"/>
            </w:rPr>
          </w:pPr>
          <w:r w:rsidRPr="0020113A">
            <w:rPr>
              <w:rFonts w:ascii="Times New Roman" w:eastAsia="Times New Roman" w:hAnsi="Times New Roman"/>
              <w:b/>
              <w:sz w:val="24"/>
              <w:szCs w:val="24"/>
              <w:lang w:val="es-MX"/>
            </w:rPr>
            <w:t xml:space="preserve">Objeto / Descripción: </w:t>
          </w:r>
          <w:r w:rsidRPr="0020113A">
            <w:rPr>
              <w:rFonts w:ascii="Times New Roman" w:hAnsi="Times New Roman"/>
              <w:sz w:val="24"/>
              <w:szCs w:val="24"/>
              <w:lang w:val="es-MX"/>
            </w:rPr>
            <w:t>El presente contrato de Concesión bajo un esquema de asociación publico privado en los términos de la Ley 1508 de 2012, tiene por objeto el otorgamiento de una Concesión para que, de conformidad con lo previsto en este contrato, el Concesionario, por su cuenta y riesgo lleve a cabo el proyecto. La financiación, elaboración de estudios y diseños construcción, rehabilitación mejoramiento, operación mantenimiento, Gestión Pradal, Gestión Social y Ambiental y Reversión del Corredor Trasversal del Sisga, de acuerdo con el Apéndice Tecnico1 y demás Apéndices del Contrato</w:t>
          </w:r>
        </w:p>
        <w:p w14:paraId="77BF4BE3" w14:textId="77777777" w:rsidR="007803E3" w:rsidRPr="0020113A" w:rsidRDefault="007803E3" w:rsidP="00730054">
          <w:pPr>
            <w:spacing w:after="0" w:line="257" w:lineRule="auto"/>
            <w:ind w:left="-20" w:right="-20"/>
            <w:rPr>
              <w:rFonts w:ascii="Times New Roman" w:eastAsia="Times New Roman" w:hAnsi="Times New Roman"/>
              <w:b/>
              <w:sz w:val="24"/>
              <w:szCs w:val="24"/>
              <w:lang w:val="es-MX"/>
            </w:rPr>
          </w:pPr>
          <w:r w:rsidRPr="0020113A">
            <w:rPr>
              <w:rFonts w:ascii="Times New Roman" w:eastAsia="Times New Roman" w:hAnsi="Times New Roman"/>
              <w:b/>
              <w:sz w:val="24"/>
              <w:szCs w:val="24"/>
              <w:lang w:val="es-MX"/>
            </w:rPr>
            <w:t xml:space="preserve">Valor inicial: </w:t>
          </w:r>
          <w:r w:rsidRPr="0020113A">
            <w:rPr>
              <w:rFonts w:ascii="Times New Roman" w:hAnsi="Times New Roman"/>
              <w:sz w:val="24"/>
              <w:szCs w:val="24"/>
              <w:lang w:val="es-MX"/>
            </w:rPr>
            <w:t>Novecientos Sesenta y Seis Mil Ochocientos Cuarenta y Nueve Millones Noventa y Siete Mil Cuatrocientos Cuarenta y Seis ($966.849.097.446) Pesos del Mes de Referencia DIC-13</w:t>
          </w:r>
        </w:p>
        <w:p w14:paraId="00CF374F" w14:textId="77777777" w:rsidR="007803E3" w:rsidRPr="0020113A" w:rsidRDefault="007803E3" w:rsidP="00730054">
          <w:pPr>
            <w:spacing w:after="0" w:line="257" w:lineRule="auto"/>
            <w:ind w:left="-20" w:right="-20"/>
            <w:rPr>
              <w:rFonts w:ascii="Times New Roman" w:hAnsi="Times New Roman"/>
              <w:sz w:val="24"/>
              <w:szCs w:val="24"/>
            </w:rPr>
          </w:pPr>
          <w:r w:rsidRPr="0020113A">
            <w:rPr>
              <w:rFonts w:ascii="Times New Roman" w:eastAsia="Times New Roman" w:hAnsi="Times New Roman"/>
              <w:b/>
              <w:sz w:val="24"/>
              <w:szCs w:val="24"/>
              <w:lang w:val="es-MX"/>
            </w:rPr>
            <w:t xml:space="preserve">Fecha de inicio: </w:t>
          </w:r>
          <w:r w:rsidRPr="0020113A">
            <w:rPr>
              <w:rFonts w:ascii="Times New Roman" w:eastAsia="Times New Roman" w:hAnsi="Times New Roman"/>
              <w:sz w:val="24"/>
              <w:szCs w:val="24"/>
              <w:lang w:val="es-MX"/>
            </w:rPr>
            <w:t>28/08/2015</w:t>
          </w:r>
        </w:p>
        <w:p w14:paraId="28897E49" w14:textId="77777777" w:rsidR="007803E3" w:rsidRPr="0020113A" w:rsidRDefault="007803E3" w:rsidP="00730054">
          <w:pPr>
            <w:spacing w:after="0" w:line="257" w:lineRule="auto"/>
            <w:ind w:left="-20" w:right="-20"/>
            <w:rPr>
              <w:rFonts w:ascii="Times New Roman" w:eastAsia="Times New Roman" w:hAnsi="Times New Roman"/>
              <w:sz w:val="24"/>
              <w:szCs w:val="24"/>
              <w:lang w:val="es-MX"/>
            </w:rPr>
          </w:pPr>
          <w:r w:rsidRPr="0020113A">
            <w:rPr>
              <w:rFonts w:ascii="Times New Roman" w:eastAsia="Times New Roman" w:hAnsi="Times New Roman"/>
              <w:b/>
              <w:sz w:val="24"/>
              <w:szCs w:val="24"/>
              <w:lang w:val="es-MX"/>
            </w:rPr>
            <w:t xml:space="preserve">Fecha de finalización estimada: </w:t>
          </w:r>
          <w:r w:rsidRPr="0020113A">
            <w:rPr>
              <w:rFonts w:ascii="Times New Roman" w:eastAsia="Times New Roman" w:hAnsi="Times New Roman"/>
              <w:sz w:val="24"/>
              <w:szCs w:val="24"/>
              <w:lang w:val="es-MX"/>
            </w:rPr>
            <w:t>28/08/2040</w:t>
          </w:r>
        </w:p>
        <w:p w14:paraId="3DBE6CEB" w14:textId="77777777" w:rsidR="007803E3" w:rsidRPr="0020113A" w:rsidRDefault="007803E3" w:rsidP="00730054">
          <w:pPr>
            <w:tabs>
              <w:tab w:val="left" w:pos="2715"/>
            </w:tabs>
            <w:spacing w:after="0"/>
            <w:ind w:left="-20" w:right="-20"/>
            <w:rPr>
              <w:rFonts w:ascii="Times New Roman" w:hAnsi="Times New Roman"/>
              <w:sz w:val="24"/>
              <w:szCs w:val="24"/>
            </w:rPr>
          </w:pPr>
          <w:r w:rsidRPr="0020113A">
            <w:rPr>
              <w:rFonts w:ascii="Times New Roman" w:eastAsia="Times New Roman" w:hAnsi="Times New Roman"/>
              <w:b/>
              <w:sz w:val="24"/>
              <w:szCs w:val="24"/>
              <w:lang w:val="es-MX"/>
            </w:rPr>
            <w:t>Tipo ID:</w:t>
          </w:r>
          <w:r w:rsidRPr="0020113A">
            <w:rPr>
              <w:rFonts w:ascii="Times New Roman" w:eastAsia="Times New Roman" w:hAnsi="Times New Roman"/>
              <w:sz w:val="24"/>
              <w:szCs w:val="24"/>
              <w:lang w:val="es-MX"/>
            </w:rPr>
            <w:t xml:space="preserve"> NIT</w:t>
          </w:r>
        </w:p>
        <w:p w14:paraId="4D6553C4" w14:textId="77777777" w:rsidR="007803E3" w:rsidRPr="0020113A" w:rsidRDefault="007803E3" w:rsidP="00730054">
          <w:pPr>
            <w:spacing w:after="0"/>
            <w:ind w:left="-20" w:right="-20"/>
            <w:rPr>
              <w:rFonts w:ascii="Times New Roman" w:hAnsi="Times New Roman"/>
              <w:sz w:val="24"/>
              <w:szCs w:val="24"/>
            </w:rPr>
          </w:pPr>
          <w:r w:rsidRPr="0020113A">
            <w:rPr>
              <w:rFonts w:ascii="Times New Roman" w:eastAsia="Times New Roman" w:hAnsi="Times New Roman"/>
              <w:b/>
              <w:sz w:val="24"/>
              <w:szCs w:val="24"/>
              <w:lang w:val="es-MX"/>
            </w:rPr>
            <w:t xml:space="preserve">Número ID: </w:t>
          </w:r>
          <w:r w:rsidRPr="0020113A">
            <w:rPr>
              <w:rFonts w:ascii="Times New Roman" w:eastAsia="Times New Roman" w:hAnsi="Times New Roman"/>
              <w:sz w:val="24"/>
              <w:szCs w:val="24"/>
              <w:lang w:val="es-MX"/>
            </w:rPr>
            <w:t>900.161.505-6</w:t>
          </w:r>
        </w:p>
        <w:p w14:paraId="434B6703" w14:textId="77777777" w:rsidR="007803E3" w:rsidRPr="0020113A" w:rsidRDefault="007803E3" w:rsidP="1951F6B9">
          <w:pPr>
            <w:spacing w:after="0"/>
            <w:ind w:left="-20" w:right="-20"/>
            <w:rPr>
              <w:rFonts w:ascii="Times New Roman" w:hAnsi="Times New Roman"/>
              <w:sz w:val="24"/>
              <w:szCs w:val="24"/>
            </w:rPr>
          </w:pPr>
          <w:r w:rsidRPr="0020113A">
            <w:rPr>
              <w:rFonts w:ascii="Times New Roman" w:eastAsia="Times New Roman" w:hAnsi="Times New Roman"/>
              <w:b/>
              <w:sz w:val="24"/>
              <w:szCs w:val="24"/>
              <w:lang w:val="es-MX"/>
            </w:rPr>
            <w:t xml:space="preserve">Razón social del concesionario: </w:t>
          </w:r>
          <w:r w:rsidRPr="0020113A">
            <w:rPr>
              <w:rFonts w:ascii="Times New Roman" w:hAnsi="Times New Roman"/>
              <w:sz w:val="24"/>
              <w:szCs w:val="24"/>
              <w:lang w:val="es-MX"/>
            </w:rPr>
            <w:t>Concesión Trasversal del Sisga S.A.S.</w:t>
          </w:r>
        </w:p>
        <w:p w14:paraId="40B48C58" w14:textId="2FD1C564" w:rsidR="007803E3" w:rsidRPr="0020113A" w:rsidRDefault="007803E3" w:rsidP="1951F6B9">
          <w:pPr>
            <w:spacing w:after="0" w:line="257" w:lineRule="auto"/>
            <w:ind w:left="-20" w:right="-20"/>
            <w:rPr>
              <w:rFonts w:ascii="Times New Roman" w:hAnsi="Times New Roman"/>
              <w:sz w:val="24"/>
              <w:szCs w:val="24"/>
              <w:lang w:val="es-MX"/>
            </w:rPr>
          </w:pPr>
          <w:r w:rsidRPr="0020113A">
            <w:rPr>
              <w:rFonts w:ascii="Times New Roman" w:eastAsia="Times New Roman" w:hAnsi="Times New Roman"/>
              <w:b/>
              <w:sz w:val="24"/>
              <w:szCs w:val="24"/>
              <w:lang w:val="es-MX"/>
            </w:rPr>
            <w:t xml:space="preserve">Nombre del proyecto: </w:t>
          </w:r>
          <w:r w:rsidRPr="0020113A">
            <w:rPr>
              <w:rFonts w:ascii="Times New Roman" w:hAnsi="Times New Roman"/>
              <w:sz w:val="24"/>
              <w:szCs w:val="24"/>
              <w:lang w:val="es-MX"/>
            </w:rPr>
            <w:t>Transversal del Sisga</w:t>
          </w:r>
        </w:p>
        <w:p w14:paraId="021EE4C6" w14:textId="4AA9A046" w:rsidR="1951F6B9" w:rsidRDefault="1951F6B9" w:rsidP="1951F6B9">
          <w:pPr>
            <w:spacing w:after="0" w:line="257" w:lineRule="auto"/>
            <w:ind w:left="-20" w:right="-20"/>
            <w:rPr>
              <w:rFonts w:ascii="Times New Roman" w:hAnsi="Times New Roman"/>
              <w:sz w:val="24"/>
              <w:szCs w:val="24"/>
              <w:lang w:val="es-MX"/>
            </w:rPr>
          </w:pPr>
        </w:p>
        <w:p w14:paraId="6978D6AC" w14:textId="77777777" w:rsidR="007803E3" w:rsidRPr="0020113A" w:rsidRDefault="007803E3" w:rsidP="00E60BAB">
          <w:pPr>
            <w:pStyle w:val="Prrafodelista"/>
            <w:numPr>
              <w:ilvl w:val="0"/>
              <w:numId w:val="86"/>
            </w:numPr>
            <w:spacing w:line="257" w:lineRule="auto"/>
            <w:ind w:right="-20"/>
            <w:rPr>
              <w:rFonts w:ascii="Times New Roman" w:hAnsi="Times New Roman"/>
              <w:sz w:val="24"/>
              <w:szCs w:val="24"/>
              <w:lang w:val="es-MX"/>
            </w:rPr>
          </w:pPr>
          <w:r w:rsidRPr="0020113A">
            <w:rPr>
              <w:rFonts w:ascii="Times New Roman" w:eastAsia="Times New Roman" w:hAnsi="Times New Roman"/>
              <w:b/>
              <w:sz w:val="24"/>
              <w:szCs w:val="24"/>
              <w:lang w:val="es-MX"/>
            </w:rPr>
            <w:t>Términos significativos del acuerdo que puedan afectar su valor, el calendario y la certeza de los flujos</w:t>
          </w:r>
        </w:p>
        <w:p w14:paraId="5BD061FE" w14:textId="77777777" w:rsidR="007803E3" w:rsidRPr="0020113A" w:rsidRDefault="007803E3" w:rsidP="007803E3">
          <w:pPr>
            <w:spacing w:line="257" w:lineRule="auto"/>
            <w:ind w:right="-20"/>
            <w:rPr>
              <w:rFonts w:ascii="Times New Roman" w:hAnsi="Times New Roman"/>
              <w:sz w:val="24"/>
              <w:szCs w:val="24"/>
              <w:lang w:val="es-MX"/>
            </w:rPr>
          </w:pPr>
          <w:r w:rsidRPr="0020113A">
            <w:rPr>
              <w:rFonts w:ascii="Times New Roman" w:eastAsia="Times New Roman" w:hAnsi="Times New Roman"/>
              <w:b/>
              <w:sz w:val="24"/>
              <w:szCs w:val="24"/>
              <w:lang w:val="es-MX"/>
            </w:rPr>
            <w:lastRenderedPageBreak/>
            <w:t xml:space="preserve">Términos de valor: </w:t>
          </w:r>
          <w:r w:rsidRPr="0020113A">
            <w:rPr>
              <w:rFonts w:ascii="Times New Roman" w:eastAsia="Times New Roman" w:hAnsi="Times New Roman"/>
              <w:sz w:val="24"/>
              <w:szCs w:val="24"/>
              <w:lang w:val="es-MX"/>
            </w:rPr>
            <w:t xml:space="preserve">En la Parte Especial del Contrato se informa lo siguiente: </w:t>
          </w:r>
        </w:p>
        <w:p w14:paraId="644C417C" w14:textId="77777777" w:rsidR="007803E3" w:rsidRPr="0020113A" w:rsidRDefault="007803E3" w:rsidP="1951F6B9">
          <w:pPr>
            <w:spacing w:line="257" w:lineRule="auto"/>
            <w:ind w:right="-20"/>
            <w:jc w:val="both"/>
            <w:rPr>
              <w:rFonts w:ascii="Times New Roman" w:hAnsi="Times New Roman"/>
              <w:sz w:val="24"/>
              <w:szCs w:val="24"/>
              <w:lang w:val="es-MX"/>
            </w:rPr>
          </w:pPr>
          <w:r w:rsidRPr="0020113A">
            <w:rPr>
              <w:rFonts w:ascii="Times New Roman" w:hAnsi="Times New Roman"/>
              <w:sz w:val="24"/>
              <w:szCs w:val="24"/>
              <w:lang w:val="es-MX"/>
            </w:rPr>
            <w:t>El valor del contrato en precios de referencia es de $966.849.097.446, de acuerdo a la sección 3.4 de la Parte Especial. En la seccion 4.1 se presentan los porcentajes de la participacion del reconocimiento por cada Unidad Funcional. En la sección 4.2 la estructura Tarifaria. Los aportes ANI al Proyecto corresponde a la suma de $1.149.569.680.735 mes de referencia.</w:t>
          </w:r>
        </w:p>
        <w:p w14:paraId="5C7927AF" w14:textId="77777777" w:rsidR="007803E3" w:rsidRPr="0020113A" w:rsidRDefault="007803E3" w:rsidP="1951F6B9">
          <w:pPr>
            <w:spacing w:line="257" w:lineRule="auto"/>
            <w:ind w:right="-20"/>
            <w:jc w:val="both"/>
            <w:rPr>
              <w:rFonts w:ascii="Times New Roman" w:hAnsi="Times New Roman"/>
              <w:sz w:val="24"/>
              <w:szCs w:val="24"/>
              <w:lang w:val="es-MX"/>
            </w:rPr>
          </w:pPr>
          <w:r w:rsidRPr="0020113A">
            <w:rPr>
              <w:rFonts w:ascii="Times New Roman" w:eastAsia="Times New Roman" w:hAnsi="Times New Roman"/>
              <w:b/>
              <w:sz w:val="24"/>
              <w:szCs w:val="24"/>
              <w:lang w:val="es-MX"/>
            </w:rPr>
            <w:t xml:space="preserve">Términos de calendario: </w:t>
          </w:r>
          <w:r w:rsidRPr="0020113A">
            <w:rPr>
              <w:rFonts w:ascii="Times New Roman" w:hAnsi="Times New Roman"/>
              <w:sz w:val="24"/>
              <w:szCs w:val="24"/>
              <w:lang w:val="es-MX"/>
            </w:rPr>
            <w:t>Los pesos de referencia del contrato corresponden a diciembre de 2013 numeral 1.99 Tabla de Referencia en la Parte Especial.  En la sección 4.2 literal f romanito i) y ii) se indica la fecha y cálculo de actualización de tarifas, al igual que en sección 4.5 literal literal d) se informa loas fechas de los aportes ANI en la parte especial del Contrato de Concesión</w:t>
          </w:r>
        </w:p>
        <w:p w14:paraId="2EF44528" w14:textId="77777777" w:rsidR="007803E3" w:rsidRPr="0020113A" w:rsidRDefault="007803E3" w:rsidP="1951F6B9">
          <w:pPr>
            <w:spacing w:line="257" w:lineRule="auto"/>
            <w:ind w:right="-20"/>
            <w:jc w:val="both"/>
            <w:rPr>
              <w:rFonts w:ascii="Times New Roman" w:eastAsia="Times New Roman" w:hAnsi="Times New Roman"/>
              <w:sz w:val="24"/>
              <w:szCs w:val="24"/>
              <w:lang w:val="es-MX"/>
            </w:rPr>
          </w:pPr>
          <w:r w:rsidRPr="0020113A">
            <w:rPr>
              <w:rFonts w:ascii="Times New Roman" w:eastAsia="Times New Roman" w:hAnsi="Times New Roman"/>
              <w:b/>
              <w:sz w:val="24"/>
              <w:szCs w:val="24"/>
              <w:lang w:val="es-MX"/>
            </w:rPr>
            <w:t xml:space="preserve">Términos de certeza de flujos de efectivo futuros: </w:t>
          </w:r>
          <w:r w:rsidRPr="0020113A">
            <w:rPr>
              <w:rFonts w:ascii="Times New Roman" w:hAnsi="Times New Roman"/>
              <w:sz w:val="24"/>
              <w:szCs w:val="24"/>
              <w:lang w:val="es-MX"/>
            </w:rPr>
            <w:t>Las Fuentes de retribución son los Aportes ANI, el Recaudo de Peaje y los Ingresos Por Explotación Comercial. En la sección 4.2 literal f) la instalación del peaje de San Luis, y el cobro de las respectivas tarifas según el contrato.</w:t>
          </w:r>
        </w:p>
        <w:p w14:paraId="6C0DEE8A" w14:textId="77777777" w:rsidR="007803E3" w:rsidRPr="0020113A" w:rsidRDefault="007803E3" w:rsidP="007803E3">
          <w:pPr>
            <w:jc w:val="both"/>
            <w:rPr>
              <w:rFonts w:ascii="Times New Roman" w:hAnsi="Times New Roman"/>
              <w:b/>
              <w:sz w:val="24"/>
              <w:szCs w:val="24"/>
              <w:lang w:val="es-MX"/>
            </w:rPr>
          </w:pPr>
          <w:r w:rsidRPr="0020113A">
            <w:rPr>
              <w:rFonts w:ascii="Times New Roman" w:hAnsi="Times New Roman"/>
              <w:b/>
              <w:sz w:val="24"/>
              <w:szCs w:val="24"/>
              <w:lang w:val="es-MX"/>
            </w:rPr>
            <w:t>C</w:t>
          </w:r>
          <w:r w:rsidRPr="0020113A">
            <w:rPr>
              <w:rFonts w:ascii="Times New Roman" w:hAnsi="Times New Roman"/>
              <w:sz w:val="24"/>
              <w:szCs w:val="24"/>
              <w:lang w:val="es-MX"/>
            </w:rPr>
            <w:t xml:space="preserve">. </w:t>
          </w:r>
          <w:r w:rsidRPr="0020113A">
            <w:rPr>
              <w:rFonts w:ascii="Times New Roman" w:hAnsi="Times New Roman"/>
              <w:b/>
              <w:sz w:val="24"/>
              <w:szCs w:val="24"/>
              <w:lang w:val="es-MX"/>
            </w:rPr>
            <w:t>Naturaleza y alcance del derecho a utilizar activos especificados, de los aspectos pactados en torno a lo que se espera que el concesionario proporcione en relación con el acuerdo de concesión</w:t>
          </w:r>
        </w:p>
        <w:p w14:paraId="6D850A42" w14:textId="77777777" w:rsidR="007803E3" w:rsidRPr="0020113A" w:rsidRDefault="007803E3" w:rsidP="007803E3">
          <w:pPr>
            <w:spacing w:line="257" w:lineRule="auto"/>
            <w:ind w:left="-20" w:right="-20"/>
            <w:jc w:val="both"/>
            <w:rPr>
              <w:rFonts w:ascii="Times New Roman" w:hAnsi="Times New Roman"/>
              <w:sz w:val="24"/>
              <w:szCs w:val="24"/>
              <w:lang w:val="es-MX"/>
            </w:rPr>
          </w:pPr>
          <w:r w:rsidRPr="0020113A">
            <w:rPr>
              <w:rFonts w:ascii="Times New Roman" w:eastAsia="Times New Roman" w:hAnsi="Times New Roman"/>
              <w:b/>
              <w:sz w:val="24"/>
              <w:szCs w:val="24"/>
              <w:lang w:val="es-MX"/>
            </w:rPr>
            <w:t>Descripción:</w:t>
          </w:r>
          <w:r w:rsidRPr="0020113A">
            <w:rPr>
              <w:rFonts w:ascii="Times New Roman" w:hAnsi="Times New Roman"/>
              <w:sz w:val="24"/>
              <w:szCs w:val="24"/>
              <w:lang w:val="es-MX"/>
            </w:rPr>
            <w:t xml:space="preserve"> En primer lugar, los derechos que se le cedió al Concesionario fue el recaudo de peaje de las estaciones de Peaje de Macheta y San Luis de Gaceno, de acuerdo a la Sección 4.2 de la Parte Especial y la Sección 3.3 de la Parte General.</w:t>
          </w:r>
        </w:p>
        <w:p w14:paraId="23E775FF" w14:textId="77777777" w:rsidR="007803E3" w:rsidRPr="0020113A" w:rsidRDefault="007803E3" w:rsidP="007803E3">
          <w:pPr>
            <w:spacing w:line="257" w:lineRule="auto"/>
            <w:ind w:left="-20" w:right="-20"/>
            <w:jc w:val="both"/>
            <w:rPr>
              <w:rFonts w:ascii="Times New Roman" w:hAnsi="Times New Roman"/>
              <w:sz w:val="24"/>
              <w:szCs w:val="24"/>
              <w:lang w:val="es-MX"/>
            </w:rPr>
          </w:pPr>
          <w:r w:rsidRPr="0020113A">
            <w:rPr>
              <w:rFonts w:ascii="Times New Roman" w:eastAsia="Times New Roman" w:hAnsi="Times New Roman"/>
              <w:b/>
              <w:sz w:val="24"/>
              <w:szCs w:val="24"/>
              <w:lang w:val="es-MX"/>
            </w:rPr>
            <w:t xml:space="preserve">Observaciones: </w:t>
          </w:r>
          <w:r w:rsidRPr="0020113A">
            <w:rPr>
              <w:rFonts w:ascii="Times New Roman" w:hAnsi="Times New Roman"/>
              <w:sz w:val="24"/>
              <w:szCs w:val="24"/>
              <w:lang w:val="es-MX"/>
            </w:rPr>
            <w:t>El propósito fundamental del corredor en el que se inscribe el Proyecto es la consolidación del Corredor Vial existente Transversal del Sisga (Sisga - Macheta - Guateque - San Luis de Gaceno - Aguaclara) con obras de Rehabilitación, y Reconstrucción de Pavimento y atención de puntos críticos que garanticen la transitabilidad del corredor permitiendo una alternativa de conexión del centro del país con los llanos orientales beneficiando las poblaciones del área de influencia del proyecto de los Departamentos de Cundinamarca Boyacá y Casanare.</w:t>
          </w:r>
        </w:p>
        <w:p w14:paraId="01A68065" w14:textId="77777777" w:rsidR="007803E3" w:rsidRPr="0020113A" w:rsidRDefault="007803E3" w:rsidP="007803E3">
          <w:pPr>
            <w:spacing w:line="257" w:lineRule="auto"/>
            <w:ind w:left="-20" w:right="-20"/>
            <w:jc w:val="both"/>
            <w:rPr>
              <w:rFonts w:ascii="Times New Roman" w:hAnsi="Times New Roman"/>
              <w:sz w:val="24"/>
              <w:szCs w:val="24"/>
              <w:lang w:val="es-MX"/>
            </w:rPr>
          </w:pPr>
          <w:r w:rsidRPr="0020113A">
            <w:rPr>
              <w:rFonts w:ascii="Times New Roman" w:eastAsia="Times New Roman" w:hAnsi="Times New Roman"/>
              <w:b/>
              <w:sz w:val="24"/>
              <w:szCs w:val="24"/>
              <w:lang w:val="es-MX"/>
            </w:rPr>
            <w:t xml:space="preserve">Descripción: </w:t>
          </w:r>
          <w:r w:rsidRPr="0020113A">
            <w:rPr>
              <w:rFonts w:ascii="Times New Roman" w:hAnsi="Times New Roman"/>
              <w:sz w:val="24"/>
              <w:szCs w:val="24"/>
              <w:lang w:val="es-MX"/>
            </w:rPr>
            <w:t>La Sección 3.1 de la Parte General del Contrato de Concesión y la Cláusula Décima, establecen los términos de retribución al Concesionario. Así mismo, la Sección 4.3 literal (a) y (b) de la Parte Especial establece el cálculo de la retribución.</w:t>
          </w:r>
        </w:p>
        <w:p w14:paraId="6B98647A" w14:textId="77777777" w:rsidR="007803E3" w:rsidRPr="0020113A" w:rsidRDefault="007803E3" w:rsidP="00730054">
          <w:pPr>
            <w:spacing w:after="0" w:line="257" w:lineRule="auto"/>
            <w:ind w:left="-20" w:right="-20"/>
            <w:jc w:val="both"/>
            <w:rPr>
              <w:rFonts w:ascii="Times New Roman" w:hAnsi="Times New Roman"/>
              <w:sz w:val="24"/>
              <w:szCs w:val="24"/>
              <w:lang w:val="es-MX"/>
            </w:rPr>
          </w:pPr>
          <w:r w:rsidRPr="0020113A">
            <w:rPr>
              <w:rFonts w:ascii="Times New Roman" w:eastAsia="Times New Roman" w:hAnsi="Times New Roman"/>
              <w:b/>
              <w:sz w:val="24"/>
              <w:szCs w:val="24"/>
              <w:lang w:val="es-MX"/>
            </w:rPr>
            <w:t xml:space="preserve">Tasa de retribución: </w:t>
          </w:r>
          <w:r w:rsidRPr="0020113A">
            <w:rPr>
              <w:rFonts w:ascii="Times New Roman" w:eastAsia="Times New Roman" w:hAnsi="Times New Roman"/>
              <w:sz w:val="24"/>
              <w:szCs w:val="24"/>
              <w:lang w:val="es-MX"/>
            </w:rPr>
            <w:t>Unidad Funcional 1 = 29.11%</w:t>
          </w:r>
        </w:p>
        <w:p w14:paraId="50538898" w14:textId="77777777" w:rsidR="007803E3" w:rsidRPr="0020113A" w:rsidRDefault="007803E3" w:rsidP="00730054">
          <w:pPr>
            <w:spacing w:after="0" w:line="257" w:lineRule="auto"/>
            <w:ind w:left="-20" w:right="-20"/>
            <w:jc w:val="both"/>
            <w:rPr>
              <w:rFonts w:ascii="Times New Roman" w:hAnsi="Times New Roman"/>
              <w:sz w:val="24"/>
              <w:szCs w:val="24"/>
            </w:rPr>
          </w:pPr>
          <w:r w:rsidRPr="0020113A">
            <w:rPr>
              <w:rFonts w:ascii="Times New Roman" w:eastAsia="Times New Roman" w:hAnsi="Times New Roman"/>
              <w:sz w:val="24"/>
              <w:szCs w:val="24"/>
              <w:lang w:val="es-MX"/>
            </w:rPr>
            <w:t>Unidad Funcional 2 = 17.35%</w:t>
          </w:r>
        </w:p>
        <w:p w14:paraId="2FAC005E" w14:textId="77777777" w:rsidR="007803E3" w:rsidRPr="0020113A" w:rsidRDefault="007803E3" w:rsidP="00730054">
          <w:pPr>
            <w:spacing w:after="0" w:line="257" w:lineRule="auto"/>
            <w:ind w:left="-20" w:right="-20"/>
            <w:jc w:val="both"/>
            <w:rPr>
              <w:rFonts w:ascii="Times New Roman" w:hAnsi="Times New Roman"/>
              <w:sz w:val="24"/>
              <w:szCs w:val="24"/>
            </w:rPr>
          </w:pPr>
          <w:r w:rsidRPr="0020113A">
            <w:rPr>
              <w:rFonts w:ascii="Times New Roman" w:eastAsia="Times New Roman" w:hAnsi="Times New Roman"/>
              <w:sz w:val="24"/>
              <w:szCs w:val="24"/>
              <w:lang w:val="es-MX"/>
            </w:rPr>
            <w:t>Unidad Funcional 3 = 18.74%</w:t>
          </w:r>
        </w:p>
        <w:p w14:paraId="7496E51F" w14:textId="77777777" w:rsidR="007803E3" w:rsidRPr="0020113A" w:rsidRDefault="007803E3" w:rsidP="007803E3">
          <w:pPr>
            <w:spacing w:line="257" w:lineRule="auto"/>
            <w:ind w:right="-20"/>
            <w:jc w:val="both"/>
            <w:rPr>
              <w:rFonts w:ascii="Times New Roman" w:hAnsi="Times New Roman"/>
              <w:sz w:val="24"/>
              <w:szCs w:val="24"/>
            </w:rPr>
          </w:pPr>
          <w:r w:rsidRPr="0020113A">
            <w:rPr>
              <w:rFonts w:ascii="Times New Roman" w:eastAsia="Times New Roman" w:hAnsi="Times New Roman"/>
              <w:sz w:val="24"/>
              <w:szCs w:val="24"/>
              <w:lang w:val="es-MX"/>
            </w:rPr>
            <w:t>Unidad Funcional 4 = 34.80%</w:t>
          </w:r>
        </w:p>
        <w:p w14:paraId="5BE0C155" w14:textId="77777777" w:rsidR="007803E3" w:rsidRPr="0020113A" w:rsidRDefault="007803E3" w:rsidP="007803E3">
          <w:pPr>
            <w:spacing w:line="257" w:lineRule="auto"/>
            <w:ind w:right="-20"/>
            <w:jc w:val="both"/>
            <w:rPr>
              <w:rFonts w:ascii="Times New Roman" w:eastAsia="Times New Roman" w:hAnsi="Times New Roman"/>
              <w:sz w:val="24"/>
              <w:szCs w:val="24"/>
              <w:lang w:val="es-MX"/>
            </w:rPr>
          </w:pPr>
          <w:r w:rsidRPr="0020113A">
            <w:rPr>
              <w:rFonts w:ascii="Times New Roman" w:eastAsia="Times New Roman" w:hAnsi="Times New Roman"/>
              <w:sz w:val="24"/>
              <w:szCs w:val="24"/>
              <w:lang w:val="es-MX"/>
            </w:rPr>
            <w:t>d.</w:t>
          </w:r>
          <w:r w:rsidRPr="0020113A">
            <w:rPr>
              <w:rFonts w:ascii="Times New Roman" w:eastAsia="Times New Roman" w:hAnsi="Times New Roman"/>
              <w:b/>
              <w:sz w:val="24"/>
              <w:szCs w:val="24"/>
              <w:lang w:val="es-MX"/>
            </w:rPr>
            <w:t xml:space="preserve"> Derechos a recibir activos especificados al final del acuerdo de concesión</w:t>
          </w:r>
        </w:p>
        <w:p w14:paraId="5865C972" w14:textId="77777777" w:rsidR="007803E3" w:rsidRPr="0020113A" w:rsidRDefault="007803E3" w:rsidP="007803E3">
          <w:pPr>
            <w:spacing w:line="257" w:lineRule="auto"/>
            <w:ind w:right="-20"/>
            <w:jc w:val="both"/>
            <w:rPr>
              <w:rFonts w:ascii="Times New Roman" w:eastAsia="Times New Roman" w:hAnsi="Times New Roman"/>
              <w:sz w:val="24"/>
              <w:szCs w:val="24"/>
              <w:lang w:val="es-MX"/>
            </w:rPr>
          </w:pPr>
          <w:r w:rsidRPr="0020113A">
            <w:rPr>
              <w:rFonts w:ascii="Times New Roman" w:eastAsia="Times New Roman" w:hAnsi="Times New Roman"/>
              <w:b/>
              <w:sz w:val="24"/>
              <w:szCs w:val="24"/>
              <w:lang w:val="es-MX"/>
            </w:rPr>
            <w:t xml:space="preserve">Descripción: </w:t>
          </w:r>
          <w:r w:rsidRPr="0020113A">
            <w:rPr>
              <w:rFonts w:ascii="Times New Roman" w:hAnsi="Times New Roman"/>
              <w:sz w:val="24"/>
              <w:szCs w:val="24"/>
              <w:lang w:val="es-MX"/>
            </w:rPr>
            <w:t xml:space="preserve">Según el numeral 1.141 “Reversión” del CAPITULO I Definiciones de la Parte General, estipulada lo siguiente: “Corresponde al procedimiento señalado en la sección 9.7 de </w:t>
          </w:r>
          <w:r w:rsidRPr="0020113A">
            <w:rPr>
              <w:rFonts w:ascii="Times New Roman" w:hAnsi="Times New Roman"/>
              <w:sz w:val="24"/>
              <w:szCs w:val="24"/>
              <w:lang w:val="es-MX"/>
            </w:rPr>
            <w:lastRenderedPageBreak/>
            <w:t>esta Parte General, mediante el cual el Concesionario entrega los bienes asociados al proyecto a la ANI para dar por terminado el contrato.”</w:t>
          </w:r>
        </w:p>
        <w:p w14:paraId="53EE0603" w14:textId="2D910ADA" w:rsidR="007803E3" w:rsidRPr="0020113A" w:rsidRDefault="007803E3" w:rsidP="007803E3">
          <w:pPr>
            <w:spacing w:line="257" w:lineRule="auto"/>
            <w:ind w:right="-20"/>
            <w:jc w:val="both"/>
            <w:rPr>
              <w:rFonts w:ascii="Times New Roman" w:hAnsi="Times New Roman"/>
              <w:b/>
              <w:sz w:val="24"/>
              <w:szCs w:val="24"/>
              <w:lang w:val="es-MX"/>
            </w:rPr>
          </w:pPr>
          <w:r w:rsidRPr="0020113A">
            <w:rPr>
              <w:rFonts w:ascii="Times New Roman" w:hAnsi="Times New Roman"/>
              <w:b/>
              <w:sz w:val="24"/>
              <w:szCs w:val="24"/>
              <w:lang w:val="es-MX"/>
            </w:rPr>
            <w:t xml:space="preserve">e. </w:t>
          </w:r>
          <w:r w:rsidR="00B41CEF">
            <w:rPr>
              <w:rFonts w:ascii="Times New Roman" w:hAnsi="Times New Roman"/>
              <w:b/>
              <w:sz w:val="24"/>
              <w:szCs w:val="24"/>
              <w:lang w:val="es-MX"/>
            </w:rPr>
            <w:t>No hay c</w:t>
          </w:r>
          <w:r w:rsidRPr="0020113A">
            <w:rPr>
              <w:rFonts w:ascii="Times New Roman" w:hAnsi="Times New Roman"/>
              <w:b/>
              <w:sz w:val="24"/>
              <w:szCs w:val="24"/>
              <w:lang w:val="es-MX"/>
            </w:rPr>
            <w:t>ambios en el acuerdo de concesión que se realicen durante el periodo fiscal</w:t>
          </w:r>
        </w:p>
        <w:p w14:paraId="6D6974A2" w14:textId="7C364487" w:rsidR="007803E3" w:rsidRPr="0020113A" w:rsidRDefault="007803E3" w:rsidP="007803E3">
          <w:pPr>
            <w:spacing w:line="257" w:lineRule="auto"/>
            <w:ind w:right="-20"/>
            <w:jc w:val="both"/>
            <w:rPr>
              <w:rFonts w:ascii="Times New Roman" w:hAnsi="Times New Roman"/>
              <w:b/>
              <w:sz w:val="24"/>
              <w:szCs w:val="24"/>
              <w:lang w:val="es-MX"/>
            </w:rPr>
          </w:pPr>
        </w:p>
        <w:p w14:paraId="01AC5900" w14:textId="77777777" w:rsidR="007803E3" w:rsidRPr="0020113A" w:rsidRDefault="007803E3" w:rsidP="007803E3">
          <w:pPr>
            <w:spacing w:line="257" w:lineRule="auto"/>
            <w:ind w:right="-20"/>
            <w:jc w:val="both"/>
            <w:rPr>
              <w:rFonts w:ascii="Times New Roman" w:hAnsi="Times New Roman"/>
              <w:b/>
              <w:sz w:val="24"/>
              <w:szCs w:val="24"/>
              <w:lang w:val="es-MX"/>
            </w:rPr>
          </w:pPr>
        </w:p>
        <w:p w14:paraId="4BDF0913" w14:textId="77777777" w:rsidR="007803E3" w:rsidRPr="0020113A" w:rsidRDefault="007803E3" w:rsidP="007803E3">
          <w:pPr>
            <w:spacing w:line="257" w:lineRule="auto"/>
            <w:ind w:right="-20"/>
            <w:jc w:val="both"/>
            <w:rPr>
              <w:rFonts w:ascii="Times New Roman" w:hAnsi="Times New Roman"/>
              <w:b/>
              <w:sz w:val="24"/>
              <w:szCs w:val="24"/>
              <w:lang w:val="es-MX"/>
            </w:rPr>
          </w:pPr>
          <w:r w:rsidRPr="0020113A">
            <w:rPr>
              <w:rFonts w:ascii="Times New Roman" w:hAnsi="Times New Roman"/>
              <w:b/>
              <w:sz w:val="24"/>
              <w:szCs w:val="24"/>
              <w:lang w:val="es-MX"/>
            </w:rPr>
            <w:t>CUCUTA PAMPLONA</w:t>
          </w:r>
        </w:p>
        <w:p w14:paraId="466C00F6" w14:textId="77777777" w:rsidR="007803E3" w:rsidRPr="0020113A" w:rsidRDefault="007803E3" w:rsidP="007803E3">
          <w:pPr>
            <w:spacing w:line="257" w:lineRule="auto"/>
            <w:ind w:right="-20"/>
            <w:jc w:val="both"/>
            <w:rPr>
              <w:rFonts w:ascii="Times New Roman" w:hAnsi="Times New Roman"/>
              <w:b/>
              <w:sz w:val="24"/>
              <w:szCs w:val="24"/>
              <w:lang w:val="es-MX"/>
            </w:rPr>
          </w:pPr>
          <w:r w:rsidRPr="0020113A">
            <w:rPr>
              <w:rFonts w:ascii="Times New Roman" w:hAnsi="Times New Roman"/>
              <w:b/>
              <w:sz w:val="24"/>
              <w:szCs w:val="24"/>
              <w:lang w:val="es-MX"/>
            </w:rPr>
            <w:t xml:space="preserve">a. Descripción del acuerdo </w:t>
          </w:r>
        </w:p>
        <w:p w14:paraId="386DACCB" w14:textId="77777777" w:rsidR="007803E3" w:rsidRPr="0020113A" w:rsidRDefault="007803E3" w:rsidP="007803E3">
          <w:pPr>
            <w:spacing w:after="0" w:line="240" w:lineRule="auto"/>
            <w:rPr>
              <w:rFonts w:ascii="Times New Roman" w:hAnsi="Times New Roman"/>
              <w:sz w:val="24"/>
              <w:szCs w:val="24"/>
              <w:lang w:val="es-MX"/>
            </w:rPr>
          </w:pPr>
          <w:r w:rsidRPr="0020113A">
            <w:rPr>
              <w:rFonts w:ascii="Times New Roman" w:hAnsi="Times New Roman"/>
              <w:b/>
              <w:sz w:val="24"/>
              <w:szCs w:val="24"/>
              <w:lang w:val="es-MX"/>
            </w:rPr>
            <w:t xml:space="preserve">Descripción del acuerdo : </w:t>
          </w:r>
          <w:sdt>
            <w:sdtPr>
              <w:rPr>
                <w:rStyle w:val="Estilo3"/>
              </w:rPr>
              <w:id w:val="-268232687"/>
              <w:placeholder>
                <w:docPart w:val="E212A00636924AFB82E675E5A852AAFF"/>
              </w:placeholder>
            </w:sdtPr>
            <w:sdtEndPr>
              <w:rPr>
                <w:rStyle w:val="Fuentedeprrafopredeter"/>
                <w:rFonts w:ascii="Calibri" w:hAnsi="Calibri"/>
                <w:sz w:val="22"/>
                <w:lang w:val="es-MX"/>
              </w:rPr>
            </w:sdtEndPr>
            <w:sdtContent>
              <w:r w:rsidRPr="0020113A">
                <w:rPr>
                  <w:rFonts w:ascii="Times New Roman" w:hAnsi="Times New Roman"/>
                  <w:sz w:val="24"/>
                  <w:szCs w:val="24"/>
                  <w:lang w:val="es-MX"/>
                </w:rPr>
                <w:t>Nº002 del 02 de junio de 2017</w:t>
              </w:r>
            </w:sdtContent>
          </w:sdt>
        </w:p>
        <w:p w14:paraId="7D8B07AE" w14:textId="77777777" w:rsidR="007803E3" w:rsidRPr="0020113A" w:rsidRDefault="007803E3" w:rsidP="22C595FA">
          <w:pPr>
            <w:spacing w:after="0" w:line="257" w:lineRule="auto"/>
            <w:ind w:right="-20"/>
            <w:jc w:val="both"/>
            <w:rPr>
              <w:rFonts w:ascii="Times New Roman" w:hAnsi="Times New Roman"/>
              <w:sz w:val="24"/>
              <w:szCs w:val="24"/>
              <w:lang w:val="es-MX"/>
            </w:rPr>
          </w:pPr>
          <w:r w:rsidRPr="0020113A">
            <w:rPr>
              <w:rFonts w:ascii="Times New Roman" w:hAnsi="Times New Roman"/>
              <w:b/>
              <w:sz w:val="24"/>
              <w:szCs w:val="24"/>
              <w:lang w:val="es-MX"/>
            </w:rPr>
            <w:t>Objeto / Descripción:</w:t>
          </w:r>
          <w:r w:rsidRPr="0020113A">
            <w:rPr>
              <w:rFonts w:ascii="Times New Roman" w:hAnsi="Times New Roman"/>
              <w:sz w:val="24"/>
              <w:szCs w:val="24"/>
              <w:lang w:val="es-MX"/>
            </w:rPr>
            <w:t xml:space="preserve"> </w:t>
          </w:r>
          <w:r w:rsidRPr="0020113A">
            <w:rPr>
              <w:rFonts w:ascii="Times New Roman" w:hAnsi="Times New Roman"/>
              <w:sz w:val="24"/>
              <w:szCs w:val="24"/>
            </w:rPr>
            <w:t>estudios y diseños definitivos, financiación, gestión ambiental, predial y social, construcción, mejoramiento, rehabilitación, operación, mantenimiento y reversión del corredor Pamplona-Cúcuta, de acuerdo con el Apéndice Técnico 1 y demás Apéndices del Contrato.</w:t>
          </w:r>
        </w:p>
        <w:p w14:paraId="59B2AB73" w14:textId="77777777" w:rsidR="007803E3" w:rsidRPr="0020113A" w:rsidRDefault="007803E3" w:rsidP="22C595FA">
          <w:pPr>
            <w:spacing w:after="0" w:line="257" w:lineRule="auto"/>
            <w:ind w:right="-20"/>
            <w:jc w:val="both"/>
            <w:rPr>
              <w:rFonts w:ascii="Times New Roman" w:hAnsi="Times New Roman"/>
              <w:b/>
              <w:sz w:val="24"/>
              <w:szCs w:val="24"/>
              <w:lang w:val="es-MX"/>
            </w:rPr>
          </w:pPr>
          <w:r w:rsidRPr="0020113A">
            <w:rPr>
              <w:rFonts w:ascii="Times New Roman" w:hAnsi="Times New Roman"/>
              <w:b/>
              <w:sz w:val="24"/>
              <w:szCs w:val="24"/>
              <w:lang w:val="es-MX"/>
            </w:rPr>
            <w:t>Valor inicial:</w:t>
          </w:r>
          <w:r w:rsidRPr="0020113A">
            <w:rPr>
              <w:rFonts w:ascii="Times New Roman" w:hAnsi="Times New Roman"/>
              <w:sz w:val="24"/>
              <w:szCs w:val="24"/>
              <w:lang w:val="es-MX"/>
            </w:rPr>
            <w:t xml:space="preserve"> </w:t>
          </w:r>
          <w:sdt>
            <w:sdtPr>
              <w:rPr>
                <w:rStyle w:val="Estilo3"/>
              </w:rPr>
              <w:id w:val="724340139"/>
              <w:placeholder>
                <w:docPart w:val="7ACD61E2C4904DC19657F2CBA1E30990"/>
              </w:placeholder>
            </w:sdtPr>
            <w:sdtEndPr>
              <w:rPr>
                <w:rStyle w:val="Fuentedeprrafopredeter"/>
                <w:rFonts w:ascii="Calibri" w:hAnsi="Calibri"/>
                <w:sz w:val="22"/>
              </w:rPr>
            </w:sdtEndPr>
            <w:sdtContent>
              <w:r w:rsidRPr="0020113A">
                <w:rPr>
                  <w:rFonts w:ascii="Times New Roman" w:hAnsi="Times New Roman"/>
                  <w:sz w:val="24"/>
                  <w:szCs w:val="24"/>
                </w:rPr>
                <w:t>Dos billones setenta y dos mil trescientos veinte millones de pesos del mes de referencia ($2.072´320.000.000).</w:t>
              </w:r>
            </w:sdtContent>
          </w:sdt>
          <w:r w:rsidRPr="0020113A">
            <w:rPr>
              <w:rFonts w:ascii="Times New Roman" w:hAnsi="Times New Roman"/>
              <w:b/>
              <w:sz w:val="24"/>
              <w:szCs w:val="24"/>
              <w:lang w:val="es-MX"/>
            </w:rPr>
            <w:t xml:space="preserve"> </w:t>
          </w:r>
        </w:p>
        <w:p w14:paraId="366843C1" w14:textId="77777777" w:rsidR="007803E3" w:rsidRPr="0020113A" w:rsidRDefault="007803E3" w:rsidP="1C8C282C">
          <w:pPr>
            <w:spacing w:after="0" w:line="257" w:lineRule="auto"/>
            <w:ind w:right="-20"/>
            <w:jc w:val="both"/>
            <w:rPr>
              <w:rFonts w:ascii="Times New Roman" w:hAnsi="Times New Roman"/>
              <w:b/>
              <w:sz w:val="24"/>
              <w:szCs w:val="24"/>
              <w:lang w:val="es-MX"/>
            </w:rPr>
          </w:pPr>
          <w:r w:rsidRPr="0020113A">
            <w:rPr>
              <w:rFonts w:ascii="Times New Roman" w:hAnsi="Times New Roman"/>
              <w:b/>
              <w:sz w:val="24"/>
              <w:szCs w:val="24"/>
              <w:lang w:val="es-MX"/>
            </w:rPr>
            <w:t xml:space="preserve">Fecha de inicio: </w:t>
          </w:r>
          <w:r w:rsidRPr="0020113A">
            <w:rPr>
              <w:rFonts w:ascii="Times New Roman" w:hAnsi="Times New Roman"/>
              <w:sz w:val="24"/>
              <w:szCs w:val="24"/>
              <w:lang w:val="es-MX"/>
            </w:rPr>
            <w:t>31/07/2017</w:t>
          </w:r>
        </w:p>
        <w:p w14:paraId="58FC08F2" w14:textId="77777777" w:rsidR="007803E3" w:rsidRPr="0020113A" w:rsidRDefault="007803E3" w:rsidP="1C8C282C">
          <w:pPr>
            <w:spacing w:after="0" w:line="257" w:lineRule="auto"/>
            <w:ind w:right="-20"/>
            <w:jc w:val="both"/>
            <w:rPr>
              <w:rFonts w:ascii="Times New Roman" w:hAnsi="Times New Roman"/>
              <w:b/>
              <w:sz w:val="24"/>
              <w:szCs w:val="24"/>
              <w:lang w:val="es-MX"/>
            </w:rPr>
          </w:pPr>
          <w:r w:rsidRPr="0020113A">
            <w:rPr>
              <w:rFonts w:ascii="Times New Roman" w:hAnsi="Times New Roman"/>
              <w:b/>
              <w:sz w:val="24"/>
              <w:szCs w:val="24"/>
              <w:lang w:val="es-MX"/>
            </w:rPr>
            <w:t xml:space="preserve">Fecha de finalización estimada: </w:t>
          </w:r>
          <w:r w:rsidRPr="0020113A">
            <w:rPr>
              <w:rFonts w:ascii="Times New Roman" w:hAnsi="Times New Roman"/>
              <w:sz w:val="24"/>
              <w:szCs w:val="24"/>
              <w:lang w:val="es-MX"/>
            </w:rPr>
            <w:t>30/07/2042</w:t>
          </w:r>
        </w:p>
        <w:p w14:paraId="57F010D7" w14:textId="77777777" w:rsidR="007803E3" w:rsidRPr="0020113A" w:rsidRDefault="007803E3" w:rsidP="1C8C282C">
          <w:pPr>
            <w:spacing w:after="0" w:line="257" w:lineRule="auto"/>
            <w:ind w:right="-20"/>
            <w:jc w:val="both"/>
            <w:rPr>
              <w:rFonts w:ascii="Times New Roman" w:hAnsi="Times New Roman"/>
              <w:b/>
              <w:sz w:val="24"/>
              <w:szCs w:val="24"/>
              <w:lang w:val="es-MX"/>
            </w:rPr>
          </w:pPr>
          <w:r w:rsidRPr="0020113A">
            <w:rPr>
              <w:rFonts w:ascii="Times New Roman" w:hAnsi="Times New Roman"/>
              <w:b/>
              <w:sz w:val="24"/>
              <w:szCs w:val="24"/>
              <w:lang w:val="es-MX"/>
            </w:rPr>
            <w:t xml:space="preserve">Tipo ID: </w:t>
          </w:r>
          <w:r w:rsidRPr="0020113A">
            <w:rPr>
              <w:rFonts w:ascii="Times New Roman" w:hAnsi="Times New Roman"/>
              <w:sz w:val="24"/>
              <w:szCs w:val="24"/>
              <w:lang w:val="es-MX"/>
            </w:rPr>
            <w:t>NIT</w:t>
          </w:r>
        </w:p>
        <w:p w14:paraId="2FC2FBA5" w14:textId="77777777" w:rsidR="007803E3" w:rsidRPr="0020113A" w:rsidRDefault="007803E3" w:rsidP="1C8C282C">
          <w:pPr>
            <w:spacing w:after="0" w:line="257" w:lineRule="auto"/>
            <w:ind w:right="-20"/>
            <w:jc w:val="both"/>
            <w:rPr>
              <w:rFonts w:ascii="Times New Roman" w:hAnsi="Times New Roman"/>
              <w:sz w:val="24"/>
              <w:szCs w:val="24"/>
              <w:lang w:val="es-MX"/>
            </w:rPr>
          </w:pPr>
          <w:r w:rsidRPr="0020113A">
            <w:rPr>
              <w:rFonts w:ascii="Times New Roman" w:hAnsi="Times New Roman"/>
              <w:b/>
              <w:sz w:val="24"/>
              <w:szCs w:val="24"/>
              <w:lang w:val="es-MX"/>
            </w:rPr>
            <w:t>Número ID:</w:t>
          </w:r>
          <w:r w:rsidRPr="0020113A">
            <w:rPr>
              <w:rFonts w:ascii="Times New Roman" w:hAnsi="Times New Roman"/>
              <w:sz w:val="24"/>
              <w:szCs w:val="24"/>
              <w:lang w:val="es-MX"/>
            </w:rPr>
            <w:t xml:space="preserve"> 901.082.545-1</w:t>
          </w:r>
        </w:p>
        <w:p w14:paraId="663CC63A" w14:textId="77777777" w:rsidR="007803E3" w:rsidRPr="0020113A" w:rsidRDefault="007803E3" w:rsidP="1C8C282C">
          <w:pPr>
            <w:spacing w:after="0"/>
            <w:rPr>
              <w:rFonts w:ascii="Times New Roman" w:hAnsi="Times New Roman"/>
              <w:sz w:val="24"/>
              <w:szCs w:val="24"/>
            </w:rPr>
          </w:pPr>
          <w:r w:rsidRPr="0020113A">
            <w:rPr>
              <w:rFonts w:ascii="Times New Roman" w:hAnsi="Times New Roman"/>
              <w:b/>
              <w:sz w:val="24"/>
              <w:szCs w:val="24"/>
              <w:lang w:val="es-MX"/>
            </w:rPr>
            <w:t>Razón social del concesionario:</w:t>
          </w:r>
          <w:r w:rsidRPr="0020113A">
            <w:rPr>
              <w:rFonts w:ascii="Times New Roman" w:hAnsi="Times New Roman"/>
              <w:sz w:val="24"/>
              <w:szCs w:val="24"/>
              <w:lang w:val="es-MX"/>
            </w:rPr>
            <w:t xml:space="preserve"> </w:t>
          </w:r>
          <w:sdt>
            <w:sdtPr>
              <w:rPr>
                <w:rStyle w:val="Estilo3"/>
              </w:rPr>
              <w:id w:val="-1582364086"/>
              <w:placeholder>
                <w:docPart w:val="718D7E2B90C54C58BF14AA80C8A70D48"/>
              </w:placeholder>
            </w:sdtPr>
            <w:sdtEndPr>
              <w:rPr>
                <w:rStyle w:val="Fuentedeprrafopredeter"/>
                <w:rFonts w:ascii="Calibri" w:hAnsi="Calibri"/>
                <w:sz w:val="22"/>
              </w:rPr>
            </w:sdtEndPr>
            <w:sdtContent>
              <w:r w:rsidRPr="0020113A">
                <w:rPr>
                  <w:rFonts w:ascii="Times New Roman" w:hAnsi="Times New Roman"/>
                  <w:sz w:val="24"/>
                  <w:szCs w:val="24"/>
                </w:rPr>
                <w:t>UNIÓN VIAL RÍO PAMPLONITA S.A.S</w:t>
              </w:r>
            </w:sdtContent>
          </w:sdt>
        </w:p>
        <w:p w14:paraId="448D7E61" w14:textId="1A0A6732" w:rsidR="007803E3" w:rsidRPr="0020113A" w:rsidRDefault="007803E3" w:rsidP="1C8C282C">
          <w:pPr>
            <w:spacing w:after="0" w:line="257" w:lineRule="auto"/>
            <w:ind w:right="-20"/>
            <w:jc w:val="both"/>
            <w:rPr>
              <w:rFonts w:ascii="Times New Roman" w:hAnsi="Times New Roman"/>
              <w:sz w:val="24"/>
              <w:szCs w:val="24"/>
              <w:lang w:val="es-MX"/>
            </w:rPr>
          </w:pPr>
          <w:r w:rsidRPr="0020113A">
            <w:rPr>
              <w:rFonts w:ascii="Times New Roman" w:hAnsi="Times New Roman"/>
              <w:b/>
              <w:sz w:val="24"/>
              <w:szCs w:val="24"/>
              <w:lang w:val="es-MX"/>
            </w:rPr>
            <w:t>Nombre del proyecto:</w:t>
          </w:r>
          <w:r w:rsidRPr="0020113A">
            <w:rPr>
              <w:rFonts w:ascii="Times New Roman" w:hAnsi="Times New Roman"/>
              <w:sz w:val="24"/>
              <w:szCs w:val="24"/>
              <w:lang w:val="es-MX"/>
            </w:rPr>
            <w:t xml:space="preserve"> PAMPLONA CUCUTA</w:t>
          </w:r>
        </w:p>
        <w:p w14:paraId="68D5531E" w14:textId="4F6C020E" w:rsidR="1C8C282C" w:rsidRDefault="1C8C282C" w:rsidP="1C8C282C">
          <w:pPr>
            <w:spacing w:after="0" w:line="257" w:lineRule="auto"/>
            <w:ind w:right="-20"/>
            <w:jc w:val="both"/>
            <w:rPr>
              <w:rFonts w:ascii="Times New Roman" w:hAnsi="Times New Roman"/>
              <w:sz w:val="24"/>
              <w:szCs w:val="24"/>
              <w:lang w:val="es-MX"/>
            </w:rPr>
          </w:pPr>
        </w:p>
        <w:p w14:paraId="03362AE1" w14:textId="6FF4C941" w:rsidR="007803E3" w:rsidRPr="0020113A" w:rsidRDefault="007803E3" w:rsidP="007803E3">
          <w:pPr>
            <w:spacing w:line="257" w:lineRule="auto"/>
            <w:ind w:right="-20"/>
            <w:jc w:val="both"/>
            <w:rPr>
              <w:rFonts w:ascii="Times New Roman" w:hAnsi="Times New Roman"/>
              <w:b/>
              <w:sz w:val="24"/>
              <w:szCs w:val="24"/>
              <w:lang w:val="es-MX"/>
            </w:rPr>
          </w:pPr>
          <w:r w:rsidRPr="0020113A">
            <w:rPr>
              <w:rFonts w:ascii="Times New Roman" w:hAnsi="Times New Roman"/>
              <w:b/>
              <w:sz w:val="24"/>
              <w:szCs w:val="24"/>
              <w:lang w:val="es-MX"/>
            </w:rPr>
            <w:t>b.</w:t>
          </w:r>
          <w:r w:rsidR="00154A47">
            <w:rPr>
              <w:rFonts w:ascii="Times New Roman" w:hAnsi="Times New Roman"/>
              <w:b/>
              <w:sz w:val="24"/>
              <w:szCs w:val="24"/>
              <w:lang w:val="es-MX"/>
            </w:rPr>
            <w:t xml:space="preserve"> </w:t>
          </w:r>
          <w:r w:rsidRPr="0020113A">
            <w:rPr>
              <w:rFonts w:ascii="Times New Roman" w:hAnsi="Times New Roman"/>
              <w:b/>
              <w:sz w:val="24"/>
              <w:szCs w:val="24"/>
              <w:lang w:val="es-MX"/>
            </w:rPr>
            <w:t>Términos significativos del acuerdo que puedan afectar su valor, el calendario y la certeza de los flujos</w:t>
          </w:r>
        </w:p>
        <w:p w14:paraId="5017B2D5" w14:textId="77777777" w:rsidR="007803E3" w:rsidRPr="0020113A" w:rsidRDefault="007803E3" w:rsidP="007803E3">
          <w:pPr>
            <w:spacing w:line="257" w:lineRule="auto"/>
            <w:ind w:right="-20"/>
            <w:jc w:val="both"/>
            <w:rPr>
              <w:rFonts w:ascii="Times New Roman" w:hAnsi="Times New Roman"/>
              <w:sz w:val="24"/>
              <w:szCs w:val="24"/>
              <w:lang w:val="es-MX"/>
            </w:rPr>
          </w:pPr>
          <w:r w:rsidRPr="0020113A">
            <w:rPr>
              <w:rFonts w:ascii="Times New Roman" w:hAnsi="Times New Roman"/>
              <w:sz w:val="24"/>
              <w:szCs w:val="24"/>
              <w:lang w:val="es-MX"/>
            </w:rPr>
            <w:t>Términos de valor: CIRCULAR No. 20233050000024 ANI Aplicación del Decreto 50 de 2023. El «no incremento» de que trata el artículo 1º del Decreto 050 de 2023 incluye la «no actualización» de peajes según el IPC registrado para el año 2022 y demás definidos contractualmente; en este sentido deben mantenerse las tarifas que se cobraban antes de la entrada en vigencia del referido Decreto.</w:t>
          </w:r>
        </w:p>
        <w:p w14:paraId="38347EF5" w14:textId="77777777" w:rsidR="007803E3" w:rsidRPr="0020113A" w:rsidRDefault="007803E3" w:rsidP="007803E3">
          <w:pPr>
            <w:jc w:val="both"/>
            <w:rPr>
              <w:rFonts w:ascii="Times New Roman" w:hAnsi="Times New Roman"/>
              <w:sz w:val="24"/>
              <w:szCs w:val="24"/>
            </w:rPr>
          </w:pPr>
          <w:r w:rsidRPr="22C595FA">
            <w:rPr>
              <w:rStyle w:val="Estilo3"/>
            </w:rPr>
            <w:t xml:space="preserve">Recaudo de Peaje: las tarifas aplicadas en cada peaje son las definidas específicamente mediante resolución de la autoridad competente para el proyecto, las que se aplicarán a los todos los vehículos según su categoría, anualmente se actualizan esas tarifas utilizando el IPC; a dic/2023 están en operación dos peajes cuyos recaudos (acumulados a esa fecha $52.198 millones) van a sufragar parte de la retribución a que tiene derecho el concesionario. Aportes de la Nación: los aportes de la nación a lo largo del proyecto se aseguran mediante la modalidad de vigencias futuras aportadas de manera anual, cuyos montos comprometidos están expresados en pesos del mes de referencia del proyecto y se actualiza cada año de acuerdo a la fórmula contractual que involucra, además del IPC, la TRM en los casos que aplique; a dic/2023 se ha recibido en pesos corrientes $ </w:t>
          </w:r>
          <w:r w:rsidRPr="0020113A">
            <w:rPr>
              <w:rFonts w:ascii="Times New Roman" w:hAnsi="Times New Roman"/>
              <w:sz w:val="24"/>
              <w:szCs w:val="24"/>
            </w:rPr>
            <w:t xml:space="preserve">764.398 millones de las vigencias 2020 a 2023. A dic/2023 se le ha retribuido al concesionario con esa fuente, $392.315 millones. </w:t>
          </w:r>
          <w:r w:rsidRPr="22C595FA">
            <w:rPr>
              <w:rStyle w:val="Estilo3"/>
            </w:rPr>
            <w:t xml:space="preserve">Plan de </w:t>
          </w:r>
          <w:r w:rsidRPr="22C595FA">
            <w:rPr>
              <w:rStyle w:val="Estilo3"/>
            </w:rPr>
            <w:lastRenderedPageBreak/>
            <w:t>Inversión: luego de la estructuración del proyecto, como parte de los soportes para la contratación, el concesionario se compromete con un plan financiero que se convierte en el punto de referencia para el control y seguimiento, el flujo está expresado en pesos del mes de referencia para el proyecto; en pesos del mes de referenia se definió en el apéndice financiero un capex de $1´567.577 millones, opex de $635.367 millones y mantenimiento de $184.826 millones. Régimen de sanciones (capítulo VI de la Parte Especial): el contrato de concesión incluye las cláusulas que detallan las sanciones aplicables al concesionario por incumplimientos contractuales, como multas por cobro excesivo de peajes y por no cumplir con las especificaciones técnicas, por demoras en los aportes de equity y otros aportes convenidos, etc.</w:t>
          </w:r>
        </w:p>
        <w:p w14:paraId="3218A371" w14:textId="7CA920BF" w:rsidR="22C595FA" w:rsidRDefault="22C595FA" w:rsidP="22C595FA">
          <w:pPr>
            <w:spacing w:line="257" w:lineRule="auto"/>
            <w:ind w:right="-20"/>
            <w:jc w:val="both"/>
            <w:rPr>
              <w:rFonts w:ascii="Times New Roman" w:hAnsi="Times New Roman"/>
              <w:b/>
              <w:bCs/>
              <w:sz w:val="24"/>
              <w:szCs w:val="24"/>
              <w:lang w:val="es-MX"/>
            </w:rPr>
          </w:pPr>
        </w:p>
        <w:p w14:paraId="50F744DC" w14:textId="77777777" w:rsidR="007803E3" w:rsidRPr="0020113A" w:rsidRDefault="007803E3" w:rsidP="007803E3">
          <w:pPr>
            <w:spacing w:line="257" w:lineRule="auto"/>
            <w:ind w:right="-20"/>
            <w:jc w:val="both"/>
            <w:rPr>
              <w:rFonts w:ascii="Times New Roman" w:hAnsi="Times New Roman"/>
              <w:b/>
              <w:sz w:val="24"/>
              <w:szCs w:val="24"/>
              <w:lang w:val="es-MX"/>
            </w:rPr>
          </w:pPr>
          <w:r w:rsidRPr="0020113A">
            <w:rPr>
              <w:rFonts w:ascii="Times New Roman" w:hAnsi="Times New Roman"/>
              <w:b/>
              <w:sz w:val="24"/>
              <w:szCs w:val="24"/>
              <w:lang w:val="es-MX"/>
            </w:rPr>
            <w:t xml:space="preserve">Términos de calendario: </w:t>
          </w:r>
        </w:p>
        <w:p w14:paraId="39198D2E" w14:textId="00A7282B" w:rsidR="007803E3" w:rsidRPr="0020113A" w:rsidRDefault="007803E3" w:rsidP="007803E3">
          <w:pPr>
            <w:spacing w:after="0" w:line="240" w:lineRule="auto"/>
            <w:jc w:val="both"/>
            <w:rPr>
              <w:rFonts w:ascii="Times New Roman" w:hAnsi="Times New Roman"/>
              <w:b/>
              <w:sz w:val="24"/>
              <w:szCs w:val="24"/>
            </w:rPr>
          </w:pPr>
          <w:r w:rsidRPr="0020113A">
            <w:rPr>
              <w:rStyle w:val="Estilo3"/>
              <w:szCs w:val="24"/>
            </w:rPr>
            <w:t xml:space="preserve">En las cláusulas contractuales están definidos las variables que determinan el modelo para expresar el calendario del proyecto. El apéndice financiero contractual está planteado en períodos anuales para la duración del proyecto donde se definió el riegue de los recursos previstos para la aplicación del capex, opex  y mantenimiento de manera anual. La cláusula 5.2 de la Parte Especial determina los plazos </w:t>
          </w:r>
          <w:r w:rsidR="00730054" w:rsidRPr="009A46BB">
            <w:rPr>
              <w:rStyle w:val="Estilo3"/>
              <w:szCs w:val="24"/>
            </w:rPr>
            <w:t>máximos</w:t>
          </w:r>
          <w:r w:rsidRPr="0020113A">
            <w:rPr>
              <w:rStyle w:val="Estilo3"/>
              <w:szCs w:val="24"/>
            </w:rPr>
            <w:t xml:space="preserve"> para el plan de obras y antes del inicio de la fase de construcción se define entre las partes el plan de obras detallado sobre el cual se realiza el control y seguimiento. Se convino en el contrato el período de la fase de construcción desde ago/2018 a jul/2022 y a dic/2023 se ha adelantado el 97,49%. La actualización de tarifas se realiza de manera anual cada 16 de enero. Los aportes de la nación en la modalidad de vigencias futuras se realizan de manera anual y hasta dic/2023 se han realizado cabalmente los aportes de las vigencias 2020 a 2023. La retribución al concesionario por unidad funcional relacionada con los aportes de la nación se </w:t>
          </w:r>
          <w:r w:rsidR="00730054" w:rsidRPr="009A46BB">
            <w:rPr>
              <w:rStyle w:val="Estilo3"/>
              <w:szCs w:val="24"/>
            </w:rPr>
            <w:t>realiza</w:t>
          </w:r>
          <w:r w:rsidRPr="0020113A">
            <w:rPr>
              <w:rStyle w:val="Estilo3"/>
              <w:szCs w:val="24"/>
            </w:rPr>
            <w:t xml:space="preserve"> a partir de la terminación de la misma y en función del recibo efectivo de tales aportes y la retribución por unidad funcional relacionada con el recaudo de peaje se realiza de manera mensual y comenzaron a hacer efectivos, en lo relativo a aportes ANI de vigencias futuras desde feb/2021. El calendario de los aportes de equity y los compromisos de fondeo a las diferentes subcuentas del patrimonio autónomo que debe hacer el concesionario están definidos en el contrato en la parte especial y a dic/2023 se han cumplido a cabalidad los aporte de equity y los fondeos pactados.</w:t>
          </w:r>
        </w:p>
        <w:p w14:paraId="2449EEB6" w14:textId="77777777" w:rsidR="007803E3" w:rsidRPr="0020113A" w:rsidRDefault="007803E3" w:rsidP="007803E3">
          <w:pPr>
            <w:spacing w:line="257" w:lineRule="auto"/>
            <w:ind w:right="-20"/>
            <w:jc w:val="both"/>
            <w:rPr>
              <w:rFonts w:ascii="Times New Roman" w:hAnsi="Times New Roman"/>
              <w:sz w:val="24"/>
              <w:szCs w:val="24"/>
            </w:rPr>
          </w:pPr>
        </w:p>
        <w:p w14:paraId="43577D28" w14:textId="38F9B658" w:rsidR="007803E3" w:rsidRPr="0020113A" w:rsidRDefault="007803E3" w:rsidP="007803E3">
          <w:pPr>
            <w:spacing w:line="257" w:lineRule="auto"/>
            <w:ind w:right="-20"/>
            <w:jc w:val="both"/>
            <w:rPr>
              <w:rFonts w:ascii="Times New Roman" w:eastAsia="Times New Roman" w:hAnsi="Times New Roman"/>
              <w:sz w:val="24"/>
              <w:szCs w:val="24"/>
              <w:lang w:val="es-MX"/>
            </w:rPr>
          </w:pPr>
          <w:r w:rsidRPr="0020113A">
            <w:rPr>
              <w:rFonts w:ascii="Times New Roman" w:eastAsia="Times New Roman" w:hAnsi="Times New Roman"/>
              <w:sz w:val="24"/>
              <w:szCs w:val="24"/>
              <w:lang w:val="es-MX"/>
            </w:rPr>
            <w:t xml:space="preserve">Términos de certeza de flujos de efectivo futuros: Parte Especial 4.2 Estructura Tarifaria: Para efectos de lo dispuesto en la Sección 1.140 de la Parte General, las tarifas serán actualizadas el dieciséis (16) de enero de cada año. No obstante, para el año 2023 conforme a la promulgación del decreto 050 del 15 de enero de 2023 el gobierno nacional decreto el no incremento para las tarifas de peaje para la vigencia 2023. Parte General 3.1 Retribución literal a: El derecho a la retribución del concesionario con respecto a cada Unidad Funcional se iniciará a partir de la suscripción de la respectiva Acta de Terminación de Unidad Funcional. La suscripción del Acta de Terminación Parcial de Unidad Funcional cuando sea aplicable, de conformidad con este Contrato, dará lugar a la </w:t>
          </w:r>
          <w:r w:rsidR="00730054" w:rsidRPr="009A46BB">
            <w:rPr>
              <w:rFonts w:ascii="Times New Roman" w:eastAsia="Times New Roman" w:hAnsi="Times New Roman"/>
              <w:sz w:val="24"/>
              <w:szCs w:val="24"/>
              <w:lang w:val="es-MX"/>
            </w:rPr>
            <w:t>acusación</w:t>
          </w:r>
          <w:r w:rsidRPr="0020113A">
            <w:rPr>
              <w:rFonts w:ascii="Times New Roman" w:eastAsia="Times New Roman" w:hAnsi="Times New Roman"/>
              <w:sz w:val="24"/>
              <w:szCs w:val="24"/>
              <w:lang w:val="es-MX"/>
            </w:rPr>
            <w:t xml:space="preserve"> y pago de la Compensación Especial.</w:t>
          </w:r>
        </w:p>
        <w:p w14:paraId="0E69347C" w14:textId="77777777" w:rsidR="007803E3" w:rsidRPr="0020113A" w:rsidRDefault="007803E3" w:rsidP="007803E3">
          <w:pPr>
            <w:spacing w:line="257" w:lineRule="auto"/>
            <w:ind w:right="-20"/>
            <w:jc w:val="both"/>
            <w:rPr>
              <w:rFonts w:ascii="Times New Roman" w:hAnsi="Times New Roman"/>
              <w:sz w:val="24"/>
              <w:szCs w:val="24"/>
            </w:rPr>
          </w:pPr>
          <w:r w:rsidRPr="0020113A">
            <w:rPr>
              <w:rFonts w:ascii="Times New Roman" w:eastAsia="Times New Roman" w:hAnsi="Times New Roman"/>
              <w:sz w:val="24"/>
              <w:szCs w:val="24"/>
              <w:lang w:val="es-MX"/>
            </w:rPr>
            <w:t xml:space="preserve">A continuación, se indica las cláusulas asociadas a los flujos de efectivo del contrato de concesión: Parte General Numeral 1.171” VPIP”: Es el valor presente al Mes de Referencia </w:t>
          </w:r>
          <w:r w:rsidRPr="0020113A">
            <w:rPr>
              <w:rFonts w:ascii="Times New Roman" w:eastAsia="Times New Roman" w:hAnsi="Times New Roman"/>
              <w:sz w:val="24"/>
              <w:szCs w:val="24"/>
              <w:lang w:val="es-MX"/>
            </w:rPr>
            <w:lastRenderedPageBreak/>
            <w:t xml:space="preserve">del Recaudo de Peaje, cuyo monto equivale a </w:t>
          </w:r>
          <w:r w:rsidRPr="0020113A">
            <w:rPr>
              <w:rFonts w:ascii="Times New Roman" w:hAnsi="Times New Roman"/>
              <w:sz w:val="24"/>
              <w:szCs w:val="24"/>
            </w:rPr>
            <w:t xml:space="preserve">El VPIP equivale a Cuatrocientos Sesenta y Un Mil Ciento Treinta Millones de Pesos del Mes de Referencia ($461.130.000.000) </w:t>
          </w:r>
        </w:p>
        <w:p w14:paraId="750F416D" w14:textId="675068FA" w:rsidR="007803E3" w:rsidRPr="0020113A" w:rsidRDefault="007803E3" w:rsidP="007803E3">
          <w:pPr>
            <w:spacing w:line="257" w:lineRule="auto"/>
            <w:ind w:left="-20" w:right="-20"/>
            <w:jc w:val="both"/>
            <w:rPr>
              <w:rFonts w:ascii="Times New Roman" w:eastAsia="Times New Roman" w:hAnsi="Times New Roman"/>
              <w:b/>
              <w:sz w:val="24"/>
              <w:szCs w:val="24"/>
              <w:lang w:val="es-MX"/>
            </w:rPr>
          </w:pPr>
          <w:r w:rsidRPr="0020113A">
            <w:rPr>
              <w:rFonts w:ascii="Times New Roman" w:eastAsia="Times New Roman" w:hAnsi="Times New Roman"/>
              <w:b/>
              <w:sz w:val="24"/>
              <w:szCs w:val="24"/>
              <w:lang w:val="es-MX"/>
            </w:rPr>
            <w:t>C</w:t>
          </w:r>
          <w:r w:rsidR="00154A47">
            <w:rPr>
              <w:rFonts w:ascii="Times New Roman" w:eastAsia="Times New Roman" w:hAnsi="Times New Roman"/>
              <w:b/>
              <w:sz w:val="24"/>
              <w:szCs w:val="24"/>
              <w:lang w:val="es-MX"/>
            </w:rPr>
            <w:t>.</w:t>
          </w:r>
          <w:r w:rsidRPr="0020113A">
            <w:rPr>
              <w:rFonts w:ascii="Times New Roman" w:eastAsia="Times New Roman" w:hAnsi="Times New Roman"/>
              <w:b/>
              <w:sz w:val="24"/>
              <w:szCs w:val="24"/>
              <w:lang w:val="es-MX"/>
            </w:rPr>
            <w:t xml:space="preserve"> Naturaleza y alcance del derecho a utilizar activos especificados, de los aspectos pactados en torno a lo que se espera que el concesionario proporcione en relación con el acuerdo de concesión</w:t>
          </w:r>
        </w:p>
        <w:p w14:paraId="654DDE45" w14:textId="3181EC17" w:rsidR="007803E3" w:rsidRPr="0020113A" w:rsidRDefault="007803E3" w:rsidP="007803E3">
          <w:pPr>
            <w:spacing w:line="257" w:lineRule="auto"/>
            <w:ind w:left="-20" w:right="-20"/>
            <w:jc w:val="both"/>
            <w:rPr>
              <w:rFonts w:ascii="Times New Roman" w:eastAsia="Times New Roman" w:hAnsi="Times New Roman"/>
              <w:sz w:val="24"/>
              <w:szCs w:val="24"/>
              <w:lang w:val="es-MX"/>
            </w:rPr>
          </w:pPr>
          <w:r w:rsidRPr="0020113A">
            <w:rPr>
              <w:rFonts w:ascii="Times New Roman" w:eastAsia="Times New Roman" w:hAnsi="Times New Roman"/>
              <w:sz w:val="24"/>
              <w:szCs w:val="24"/>
              <w:lang w:val="es-MX"/>
            </w:rPr>
            <w:t xml:space="preserve">Descripción: </w:t>
          </w:r>
          <w:r w:rsidRPr="0020113A">
            <w:rPr>
              <w:rStyle w:val="Estilo3"/>
              <w:szCs w:val="24"/>
            </w:rPr>
            <w:t>Los derechos cedidos al concesionario incluyen el uso, operación, y mantenimiento de los activos de la concesión, esto abarca la gestión de la infraestructura, la recaudación de tarifas y la realización de las mejoras necesarias. Estos derechos están condicionados al cumplimiento de las normativas y estándares establecidos en el contrato. La concesión otorga al concesionario la autorización para llevar a cabo estas actividades durante un periodo definido, con el objetivo de recuperar la inversión realizada y obtener una rentabilidad adecuada. Es fundamental que el concesionario adhiera a los términos contractuales, incluyendo las obligaciones de servicio y calidad, para mantener la validez de estos derechos.</w:t>
          </w:r>
        </w:p>
        <w:p w14:paraId="57F2B3F0" w14:textId="5054464A" w:rsidR="007803E3" w:rsidRPr="0020113A" w:rsidRDefault="007803E3" w:rsidP="007803E3">
          <w:pPr>
            <w:spacing w:line="257" w:lineRule="auto"/>
            <w:ind w:left="-20" w:right="-20"/>
            <w:rPr>
              <w:rFonts w:ascii="Times New Roman" w:hAnsi="Times New Roman"/>
              <w:b/>
              <w:sz w:val="24"/>
              <w:szCs w:val="24"/>
              <w:lang w:val="es-MX"/>
            </w:rPr>
          </w:pPr>
          <w:r w:rsidRPr="0020113A">
            <w:rPr>
              <w:rFonts w:ascii="Times New Roman" w:hAnsi="Times New Roman"/>
              <w:b/>
              <w:sz w:val="24"/>
              <w:szCs w:val="24"/>
              <w:lang w:val="es-MX"/>
            </w:rPr>
            <w:t>Observaciones: n/a</w:t>
          </w:r>
        </w:p>
        <w:p w14:paraId="14EDD029" w14:textId="77777777" w:rsidR="007803E3" w:rsidRPr="0020113A" w:rsidRDefault="007803E3" w:rsidP="007803E3">
          <w:pPr>
            <w:jc w:val="center"/>
            <w:rPr>
              <w:rFonts w:ascii="Times New Roman" w:hAnsi="Times New Roman"/>
              <w:b/>
              <w:sz w:val="24"/>
              <w:szCs w:val="24"/>
              <w:lang w:val="es-MX"/>
            </w:rPr>
          </w:pPr>
          <w:r w:rsidRPr="0020113A">
            <w:rPr>
              <w:rFonts w:ascii="Times New Roman" w:hAnsi="Times New Roman"/>
              <w:b/>
              <w:sz w:val="24"/>
              <w:szCs w:val="24"/>
              <w:lang w:val="es-MX"/>
            </w:rPr>
            <w:t>Retribución al Concesionario</w:t>
          </w:r>
        </w:p>
        <w:p w14:paraId="025783CC" w14:textId="77777777" w:rsidR="007803E3" w:rsidRPr="0020113A" w:rsidRDefault="007803E3" w:rsidP="007803E3">
          <w:pPr>
            <w:rPr>
              <w:rFonts w:ascii="Times New Roman" w:hAnsi="Times New Roman"/>
              <w:b/>
              <w:sz w:val="24"/>
              <w:szCs w:val="24"/>
              <w:lang w:val="es-MX"/>
            </w:rPr>
          </w:pPr>
          <w:r w:rsidRPr="0020113A">
            <w:rPr>
              <w:rFonts w:ascii="Times New Roman" w:hAnsi="Times New Roman"/>
              <w:b/>
              <w:sz w:val="24"/>
              <w:szCs w:val="24"/>
              <w:lang w:val="es-MX"/>
            </w:rPr>
            <w:t xml:space="preserve">Descripción: </w:t>
          </w:r>
          <w:r w:rsidRPr="0020113A">
            <w:rPr>
              <w:rFonts w:ascii="Times New Roman" w:hAnsi="Times New Roman"/>
              <w:sz w:val="24"/>
              <w:szCs w:val="24"/>
              <w:lang w:val="es-MX"/>
            </w:rPr>
            <w:t>El esquema de retribución al concesionario, incluye los recaudos de peaje, las vigencias Futuras (aportes del estado), y la explotación comercial.</w:t>
          </w:r>
        </w:p>
        <w:p w14:paraId="7267E6D9" w14:textId="77777777" w:rsidR="007803E3" w:rsidRPr="0020113A" w:rsidRDefault="007803E3" w:rsidP="007803E3">
          <w:pPr>
            <w:jc w:val="both"/>
            <w:rPr>
              <w:rFonts w:ascii="Times New Roman" w:hAnsi="Times New Roman"/>
              <w:b/>
              <w:sz w:val="24"/>
              <w:szCs w:val="24"/>
              <w:lang w:val="es-MX"/>
            </w:rPr>
          </w:pPr>
          <w:r w:rsidRPr="0020113A">
            <w:rPr>
              <w:rFonts w:ascii="Times New Roman" w:hAnsi="Times New Roman"/>
              <w:b/>
              <w:sz w:val="24"/>
              <w:szCs w:val="24"/>
              <w:lang w:val="es-MX"/>
            </w:rPr>
            <w:t xml:space="preserve">Tasa de Retribución: </w:t>
          </w:r>
          <w:r w:rsidRPr="0020113A">
            <w:rPr>
              <w:rFonts w:ascii="Times New Roman" w:hAnsi="Times New Roman"/>
              <w:sz w:val="24"/>
              <w:szCs w:val="24"/>
              <w:lang w:val="es-MX"/>
            </w:rPr>
            <w:t>TDI (Tasa de descuento de los ingresos por recaudo de peajes del 0,6041% E.A.  aplicada al VPIP (Valor presente de los Ingresos de Peaje)</w:t>
          </w:r>
        </w:p>
        <w:p w14:paraId="1ADDC421" w14:textId="77777777" w:rsidR="007803E3" w:rsidRDefault="007803E3" w:rsidP="00154A47">
          <w:pPr>
            <w:spacing w:line="257" w:lineRule="auto"/>
            <w:ind w:right="-20"/>
            <w:jc w:val="both"/>
            <w:rPr>
              <w:rStyle w:val="Estilo3"/>
              <w:b/>
              <w:szCs w:val="24"/>
            </w:rPr>
          </w:pPr>
        </w:p>
        <w:p w14:paraId="55751E9B" w14:textId="32CDC3D0" w:rsidR="007803E3" w:rsidRPr="00154A47" w:rsidRDefault="00154A47" w:rsidP="00154A47">
          <w:pPr>
            <w:spacing w:line="257" w:lineRule="auto"/>
            <w:ind w:right="-20"/>
            <w:jc w:val="both"/>
            <w:rPr>
              <w:rStyle w:val="Estilo3"/>
              <w:b/>
              <w:szCs w:val="24"/>
            </w:rPr>
          </w:pPr>
          <w:r w:rsidRPr="00154A47">
            <w:rPr>
              <w:rStyle w:val="Estilo3"/>
              <w:b/>
              <w:bCs/>
              <w:szCs w:val="24"/>
            </w:rPr>
            <w:t xml:space="preserve">d. </w:t>
          </w:r>
          <w:r w:rsidR="007803E3" w:rsidRPr="00154A47">
            <w:rPr>
              <w:rStyle w:val="Estilo3"/>
              <w:b/>
              <w:szCs w:val="24"/>
            </w:rPr>
            <w:t>Derechos a recibir activos especificados al final del acuerdo de concesión</w:t>
          </w:r>
        </w:p>
        <w:p w14:paraId="0923FD26" w14:textId="77777777" w:rsidR="007803E3" w:rsidRPr="0020113A" w:rsidRDefault="007803E3" w:rsidP="007803E3">
          <w:pPr>
            <w:spacing w:line="257" w:lineRule="auto"/>
            <w:ind w:right="-20"/>
            <w:jc w:val="both"/>
            <w:rPr>
              <w:rStyle w:val="Estilo3"/>
              <w:szCs w:val="24"/>
            </w:rPr>
          </w:pPr>
          <w:r w:rsidRPr="0020113A">
            <w:rPr>
              <w:rStyle w:val="Estilo3"/>
              <w:szCs w:val="24"/>
            </w:rPr>
            <w:t>En el Capítulo IX de la Parrte General del del contrato de concesión se detalla la obligación del concesionario de revertir los activos en concesión a la entidad concedente una vez finalice el plazo del acuerdo. Allí se establece que, al término del contrato, todos los activos e infraestructuras desarrollados o mejorados durante la concesión deben ser transferidos a la entidad concedente en condiciones óptimas para su funcionamiento y uso continuo. Esta disposición garantiza que la entidad concedente recupere la posesión de los activos, asegurando su adecuada manutención y operatividad a lo largo del periodo de concesión y facilitando una transición eficiente al finalizar el acuerdo</w:t>
          </w:r>
        </w:p>
        <w:p w14:paraId="44B3504E" w14:textId="77777777" w:rsidR="007803E3" w:rsidRPr="0020113A" w:rsidRDefault="007803E3" w:rsidP="007803E3">
          <w:pPr>
            <w:spacing w:line="257" w:lineRule="auto"/>
            <w:ind w:right="-20"/>
            <w:jc w:val="both"/>
            <w:rPr>
              <w:rStyle w:val="Estilo3"/>
              <w:szCs w:val="24"/>
            </w:rPr>
          </w:pPr>
        </w:p>
        <w:p w14:paraId="025389E4" w14:textId="37618A2A" w:rsidR="007803E3" w:rsidRPr="00154A47" w:rsidRDefault="00154A47" w:rsidP="00E60BAB">
          <w:pPr>
            <w:pStyle w:val="Prrafodelista"/>
            <w:numPr>
              <w:ilvl w:val="0"/>
              <w:numId w:val="97"/>
            </w:numPr>
            <w:spacing w:line="259" w:lineRule="auto"/>
            <w:rPr>
              <w:rStyle w:val="Estilo3"/>
              <w:b/>
              <w:szCs w:val="24"/>
              <w:lang w:val="es-MX"/>
            </w:rPr>
          </w:pPr>
          <w:r>
            <w:rPr>
              <w:rFonts w:ascii="Times New Roman" w:hAnsi="Times New Roman"/>
              <w:b/>
              <w:sz w:val="24"/>
              <w:szCs w:val="24"/>
              <w:lang w:val="es-MX"/>
            </w:rPr>
            <w:t>No hay c</w:t>
          </w:r>
          <w:r w:rsidR="007803E3" w:rsidRPr="0020113A">
            <w:rPr>
              <w:rFonts w:ascii="Times New Roman" w:hAnsi="Times New Roman"/>
              <w:b/>
              <w:sz w:val="24"/>
              <w:szCs w:val="24"/>
              <w:lang w:val="es-MX"/>
            </w:rPr>
            <w:t>ambios en el acuerdo de concesión que se realicen durante el periodo fiscal</w:t>
          </w:r>
        </w:p>
        <w:p w14:paraId="59DDA028" w14:textId="77777777" w:rsidR="007803E3" w:rsidRPr="0020113A" w:rsidRDefault="007803E3" w:rsidP="007803E3">
          <w:pPr>
            <w:spacing w:line="257" w:lineRule="auto"/>
            <w:ind w:left="-20" w:right="-20"/>
            <w:jc w:val="both"/>
            <w:rPr>
              <w:rStyle w:val="Estilo3"/>
              <w:szCs w:val="24"/>
            </w:rPr>
          </w:pPr>
        </w:p>
        <w:p w14:paraId="2655FE72" w14:textId="77777777" w:rsidR="007803E3" w:rsidRPr="0020113A" w:rsidRDefault="007803E3" w:rsidP="007803E3">
          <w:pPr>
            <w:jc w:val="both"/>
            <w:rPr>
              <w:rFonts w:ascii="Times New Roman" w:hAnsi="Times New Roman"/>
              <w:b/>
              <w:sz w:val="24"/>
              <w:szCs w:val="24"/>
              <w:lang w:val="es-MX"/>
            </w:rPr>
          </w:pPr>
          <w:r w:rsidRPr="0020113A">
            <w:rPr>
              <w:rFonts w:ascii="Times New Roman" w:hAnsi="Times New Roman"/>
              <w:b/>
              <w:sz w:val="24"/>
              <w:szCs w:val="24"/>
              <w:lang w:val="es-MX"/>
            </w:rPr>
            <w:t>BUCARAMANGA PAMPLONA</w:t>
          </w:r>
        </w:p>
        <w:p w14:paraId="4C0F12B6"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a.</w:t>
          </w:r>
          <w:r w:rsidRPr="0020113A">
            <w:rPr>
              <w:rFonts w:ascii="Times New Roman" w:eastAsia="Times New Roman" w:hAnsi="Times New Roman"/>
              <w:b/>
              <w:sz w:val="24"/>
              <w:szCs w:val="24"/>
              <w:lang w:val="es-MX"/>
            </w:rPr>
            <w:t xml:space="preserve"> Descripción del acuerdo</w:t>
          </w:r>
        </w:p>
        <w:p w14:paraId="794DABE7" w14:textId="77777777" w:rsidR="007803E3" w:rsidRPr="0020113A" w:rsidRDefault="007803E3" w:rsidP="22C595FA">
          <w:pPr>
            <w:spacing w:after="0"/>
            <w:ind w:left="-20" w:right="-20"/>
            <w:jc w:val="both"/>
            <w:rPr>
              <w:rFonts w:ascii="Times New Roman" w:hAnsi="Times New Roman"/>
              <w:sz w:val="24"/>
              <w:szCs w:val="24"/>
            </w:rPr>
          </w:pPr>
          <w:r w:rsidRPr="0020113A">
            <w:rPr>
              <w:rFonts w:ascii="Times New Roman" w:eastAsia="Times New Roman" w:hAnsi="Times New Roman"/>
              <w:b/>
              <w:sz w:val="24"/>
              <w:szCs w:val="24"/>
              <w:lang w:val="es-MX"/>
            </w:rPr>
            <w:lastRenderedPageBreak/>
            <w:t xml:space="preserve">Número del acuerdo de concesión:  </w:t>
          </w:r>
          <w:r w:rsidRPr="0020113A">
            <w:rPr>
              <w:rFonts w:ascii="Times New Roman" w:eastAsia="Times New Roman" w:hAnsi="Times New Roman"/>
              <w:sz w:val="24"/>
              <w:szCs w:val="24"/>
              <w:lang w:val="es-MX"/>
            </w:rPr>
            <w:t>Contrato APP No 002 del 07 de junio de 2016</w:t>
          </w:r>
        </w:p>
        <w:p w14:paraId="33C8AA50" w14:textId="141ABD0C" w:rsidR="007803E3" w:rsidRPr="0020113A" w:rsidRDefault="007803E3" w:rsidP="22C595FA">
          <w:pPr>
            <w:spacing w:after="0" w:afterAutospacing="1"/>
            <w:ind w:left="-20" w:right="-20"/>
            <w:jc w:val="both"/>
            <w:rPr>
              <w:rFonts w:ascii="Times New Roman" w:hAnsi="Times New Roman"/>
              <w:sz w:val="24"/>
              <w:szCs w:val="24"/>
            </w:rPr>
          </w:pPr>
          <w:r w:rsidRPr="0020113A">
            <w:rPr>
              <w:rFonts w:ascii="Times New Roman" w:eastAsia="Times New Roman" w:hAnsi="Times New Roman"/>
              <w:b/>
              <w:bCs/>
              <w:sz w:val="24"/>
              <w:szCs w:val="24"/>
              <w:lang w:val="es-MX"/>
            </w:rPr>
            <w:t xml:space="preserve">Objeto / Descripción: </w:t>
          </w:r>
          <w:r w:rsidRPr="0020113A">
            <w:rPr>
              <w:rFonts w:ascii="Times New Roman" w:eastAsia="Times New Roman" w:hAnsi="Times New Roman"/>
              <w:sz w:val="24"/>
              <w:szCs w:val="24"/>
              <w:lang w:val="es-MX"/>
            </w:rPr>
            <w:t>Contrato de concesión bajo un esquema de asociación publico privada en los términos de la ley 1508 de 2012, tiene por objeto el otorgamiento de una Concesión para que de conformidad con lo previsto en este Contrato; el Concesionario, por su cuenta y riesgo, lleve   a   cabo   el   proyecto.   (Parte   General,CAPITULO   II   ASPECTOS GENERALES DEL CONTRATO numeral 2.1).   ALCANCE: Los estudios y diseños definitivos, financiación, gestión ambiental, predial y social, construcción, mejoramiento, rehabilitación, operación, mantenimiento y reversión del corredor Bucaramanga – Pamplona</w:t>
          </w:r>
        </w:p>
        <w:p w14:paraId="343AA065" w14:textId="77777777" w:rsidR="007803E3" w:rsidRPr="0020113A" w:rsidRDefault="007803E3" w:rsidP="22C595FA">
          <w:pPr>
            <w:spacing w:after="0" w:afterAutospacing="1" w:line="257" w:lineRule="auto"/>
            <w:ind w:left="-20" w:right="-20"/>
            <w:jc w:val="both"/>
            <w:rPr>
              <w:rFonts w:ascii="Times New Roman" w:hAnsi="Times New Roman"/>
              <w:sz w:val="24"/>
              <w:szCs w:val="24"/>
            </w:rPr>
          </w:pPr>
          <w:r w:rsidRPr="0020113A">
            <w:rPr>
              <w:rFonts w:ascii="Times New Roman" w:eastAsia="Times New Roman" w:hAnsi="Times New Roman"/>
              <w:b/>
              <w:bCs/>
              <w:sz w:val="24"/>
              <w:szCs w:val="24"/>
              <w:lang w:val="es-MX"/>
            </w:rPr>
            <w:t xml:space="preserve">Valor inicial: </w:t>
          </w:r>
          <w:r w:rsidRPr="0020113A">
            <w:rPr>
              <w:rFonts w:ascii="Times New Roman" w:eastAsia="Times New Roman" w:hAnsi="Times New Roman"/>
              <w:sz w:val="24"/>
              <w:szCs w:val="24"/>
              <w:lang w:val="es-MX"/>
            </w:rPr>
            <w:t>$1.413.763.000.000</w:t>
          </w:r>
        </w:p>
        <w:p w14:paraId="48281AA8" w14:textId="77777777" w:rsidR="007803E3" w:rsidRPr="0020113A" w:rsidRDefault="007803E3" w:rsidP="1C8C282C">
          <w:pPr>
            <w:spacing w:after="0" w:line="257" w:lineRule="auto"/>
            <w:ind w:left="-20" w:right="-20"/>
            <w:jc w:val="both"/>
            <w:rPr>
              <w:rFonts w:ascii="Times New Roman" w:hAnsi="Times New Roman"/>
              <w:sz w:val="24"/>
              <w:szCs w:val="24"/>
            </w:rPr>
          </w:pPr>
          <w:r w:rsidRPr="0020113A">
            <w:rPr>
              <w:rFonts w:ascii="Times New Roman" w:eastAsia="Times New Roman" w:hAnsi="Times New Roman"/>
              <w:b/>
              <w:bCs/>
              <w:sz w:val="24"/>
              <w:szCs w:val="24"/>
              <w:lang w:val="es-MX"/>
            </w:rPr>
            <w:t xml:space="preserve">Fecha de inicio: </w:t>
          </w:r>
          <w:r w:rsidRPr="0020113A">
            <w:rPr>
              <w:rFonts w:ascii="Times New Roman" w:eastAsia="Times New Roman" w:hAnsi="Times New Roman"/>
              <w:sz w:val="24"/>
              <w:szCs w:val="24"/>
              <w:lang w:val="es-MX"/>
            </w:rPr>
            <w:t>22/07/2016</w:t>
          </w:r>
        </w:p>
        <w:p w14:paraId="45938250" w14:textId="77777777" w:rsidR="007803E3" w:rsidRPr="0020113A" w:rsidRDefault="007803E3" w:rsidP="1C8C282C">
          <w:pPr>
            <w:spacing w:after="0" w:line="257" w:lineRule="auto"/>
            <w:ind w:left="-20" w:right="-20"/>
            <w:jc w:val="both"/>
            <w:rPr>
              <w:rFonts w:ascii="Times New Roman" w:eastAsia="Times New Roman" w:hAnsi="Times New Roman"/>
              <w:sz w:val="24"/>
              <w:szCs w:val="24"/>
              <w:lang w:val="es-MX"/>
            </w:rPr>
          </w:pPr>
          <w:r w:rsidRPr="0020113A">
            <w:rPr>
              <w:rFonts w:ascii="Times New Roman" w:eastAsia="Times New Roman" w:hAnsi="Times New Roman"/>
              <w:b/>
              <w:bCs/>
              <w:sz w:val="24"/>
              <w:szCs w:val="24"/>
              <w:lang w:val="es-MX"/>
            </w:rPr>
            <w:t xml:space="preserve">Fecha de finalización estimada: </w:t>
          </w:r>
          <w:r w:rsidRPr="0020113A">
            <w:rPr>
              <w:rFonts w:ascii="Times New Roman" w:eastAsia="Times New Roman" w:hAnsi="Times New Roman"/>
              <w:sz w:val="24"/>
              <w:szCs w:val="24"/>
              <w:lang w:val="es-MX"/>
            </w:rPr>
            <w:t>21/07/2041</w:t>
          </w:r>
        </w:p>
        <w:p w14:paraId="46FB0463" w14:textId="77777777" w:rsidR="007803E3" w:rsidRPr="0020113A" w:rsidRDefault="007803E3" w:rsidP="1C8C282C">
          <w:pPr>
            <w:tabs>
              <w:tab w:val="left" w:pos="2715"/>
            </w:tabs>
            <w:spacing w:after="0"/>
            <w:ind w:left="-20" w:right="-20"/>
            <w:jc w:val="both"/>
            <w:rPr>
              <w:rFonts w:ascii="Times New Roman" w:hAnsi="Times New Roman"/>
              <w:sz w:val="24"/>
              <w:szCs w:val="24"/>
            </w:rPr>
          </w:pPr>
          <w:r w:rsidRPr="0020113A">
            <w:rPr>
              <w:rFonts w:ascii="Times New Roman" w:eastAsia="Times New Roman" w:hAnsi="Times New Roman"/>
              <w:b/>
              <w:bCs/>
              <w:sz w:val="24"/>
              <w:szCs w:val="24"/>
              <w:lang w:val="es-MX"/>
            </w:rPr>
            <w:t xml:space="preserve">Tipo ID: </w:t>
          </w:r>
          <w:r w:rsidRPr="0020113A">
            <w:rPr>
              <w:rFonts w:ascii="Times New Roman" w:eastAsia="Times New Roman" w:hAnsi="Times New Roman"/>
              <w:sz w:val="24"/>
              <w:szCs w:val="24"/>
              <w:lang w:val="es-MX"/>
            </w:rPr>
            <w:t>NIT</w:t>
          </w:r>
        </w:p>
        <w:p w14:paraId="26E43530" w14:textId="77777777" w:rsidR="007803E3" w:rsidRPr="0020113A" w:rsidRDefault="007803E3" w:rsidP="1C8C282C">
          <w:pPr>
            <w:spacing w:after="0"/>
            <w:ind w:left="-20" w:right="-20"/>
            <w:jc w:val="both"/>
            <w:rPr>
              <w:rFonts w:ascii="Times New Roman" w:hAnsi="Times New Roman"/>
              <w:sz w:val="24"/>
              <w:szCs w:val="24"/>
            </w:rPr>
          </w:pPr>
          <w:r w:rsidRPr="0020113A">
            <w:rPr>
              <w:rFonts w:ascii="Times New Roman" w:eastAsia="Times New Roman" w:hAnsi="Times New Roman"/>
              <w:b/>
              <w:bCs/>
              <w:sz w:val="24"/>
              <w:szCs w:val="24"/>
              <w:lang w:val="es-MX"/>
            </w:rPr>
            <w:t xml:space="preserve">Número ID: </w:t>
          </w:r>
          <w:r w:rsidRPr="0020113A">
            <w:rPr>
              <w:rFonts w:ascii="Times New Roman" w:eastAsia="Times New Roman" w:hAnsi="Times New Roman"/>
              <w:sz w:val="24"/>
              <w:szCs w:val="24"/>
              <w:lang w:val="es-MX"/>
            </w:rPr>
            <w:t>900972713</w:t>
          </w:r>
        </w:p>
        <w:p w14:paraId="1BD94982" w14:textId="77777777" w:rsidR="007803E3" w:rsidRPr="0020113A" w:rsidRDefault="007803E3" w:rsidP="1C8C282C">
          <w:pPr>
            <w:spacing w:after="0"/>
            <w:ind w:left="-20" w:right="-20"/>
            <w:jc w:val="both"/>
            <w:rPr>
              <w:rFonts w:ascii="Times New Roman" w:hAnsi="Times New Roman"/>
              <w:sz w:val="24"/>
              <w:szCs w:val="24"/>
            </w:rPr>
          </w:pPr>
          <w:r w:rsidRPr="0020113A">
            <w:rPr>
              <w:rFonts w:ascii="Times New Roman" w:eastAsia="Times New Roman" w:hAnsi="Times New Roman"/>
              <w:b/>
              <w:bCs/>
              <w:sz w:val="24"/>
              <w:szCs w:val="24"/>
              <w:lang w:val="es-MX"/>
            </w:rPr>
            <w:t xml:space="preserve">Razón social del concesionario: </w:t>
          </w:r>
          <w:r w:rsidRPr="0020113A">
            <w:rPr>
              <w:rFonts w:ascii="Times New Roman" w:eastAsia="Times New Roman" w:hAnsi="Times New Roman"/>
              <w:sz w:val="24"/>
              <w:szCs w:val="24"/>
              <w:lang w:val="es-MX"/>
            </w:rPr>
            <w:t>Autovía Bucaramanga Pamplona S.A.S</w:t>
          </w:r>
        </w:p>
        <w:p w14:paraId="79E5B63F" w14:textId="5B49544F" w:rsidR="007803E3" w:rsidRPr="0020113A" w:rsidRDefault="007803E3" w:rsidP="1C8C282C">
          <w:pPr>
            <w:spacing w:after="0"/>
            <w:ind w:left="-20" w:right="-20"/>
            <w:jc w:val="both"/>
            <w:rPr>
              <w:rFonts w:ascii="Times New Roman" w:hAnsi="Times New Roman"/>
              <w:sz w:val="24"/>
              <w:szCs w:val="24"/>
            </w:rPr>
          </w:pPr>
          <w:r w:rsidRPr="0020113A">
            <w:rPr>
              <w:rFonts w:ascii="Times New Roman" w:eastAsia="Times New Roman" w:hAnsi="Times New Roman"/>
              <w:b/>
              <w:bCs/>
              <w:sz w:val="24"/>
              <w:szCs w:val="24"/>
              <w:lang w:val="es-MX"/>
            </w:rPr>
            <w:t xml:space="preserve">Nombre del proyecto: </w:t>
          </w:r>
          <w:r w:rsidRPr="0020113A">
            <w:rPr>
              <w:rFonts w:ascii="Times New Roman" w:eastAsia="Times New Roman" w:hAnsi="Times New Roman"/>
              <w:sz w:val="24"/>
              <w:szCs w:val="24"/>
              <w:lang w:val="es-MX"/>
            </w:rPr>
            <w:t xml:space="preserve">Bucaramanga </w:t>
          </w:r>
          <w:r w:rsidR="5F6B72FB" w:rsidRPr="1C8C282C">
            <w:rPr>
              <w:rFonts w:ascii="Times New Roman" w:eastAsia="Times New Roman" w:hAnsi="Times New Roman"/>
              <w:sz w:val="24"/>
              <w:szCs w:val="24"/>
              <w:lang w:val="es-MX"/>
            </w:rPr>
            <w:t>–</w:t>
          </w:r>
          <w:r w:rsidRPr="0020113A">
            <w:rPr>
              <w:rFonts w:ascii="Times New Roman" w:eastAsia="Times New Roman" w:hAnsi="Times New Roman"/>
              <w:sz w:val="24"/>
              <w:szCs w:val="24"/>
              <w:lang w:val="es-MX"/>
            </w:rPr>
            <w:t xml:space="preserve"> Pamplona</w:t>
          </w:r>
        </w:p>
        <w:p w14:paraId="1C57FC0E" w14:textId="48D3027D" w:rsidR="1C8C282C" w:rsidRDefault="1C8C282C" w:rsidP="1C8C282C">
          <w:pPr>
            <w:spacing w:after="0"/>
            <w:ind w:left="-20" w:right="-20"/>
            <w:jc w:val="both"/>
            <w:rPr>
              <w:rFonts w:ascii="Times New Roman" w:eastAsia="Times New Roman" w:hAnsi="Times New Roman"/>
              <w:sz w:val="24"/>
              <w:szCs w:val="24"/>
              <w:lang w:val="es-MX"/>
            </w:rPr>
          </w:pPr>
        </w:p>
        <w:p w14:paraId="7C8D8DA9" w14:textId="282DC654" w:rsidR="007803E3" w:rsidRPr="0020113A" w:rsidRDefault="007803E3" w:rsidP="007803E3">
          <w:pPr>
            <w:spacing w:line="257" w:lineRule="auto"/>
            <w:ind w:left="-20" w:right="-20"/>
            <w:jc w:val="both"/>
            <w:rPr>
              <w:rFonts w:ascii="Times New Roman" w:eastAsia="Times New Roman" w:hAnsi="Times New Roman"/>
              <w:b/>
              <w:bCs/>
              <w:sz w:val="24"/>
              <w:szCs w:val="24"/>
              <w:lang w:val="es-MX"/>
            </w:rPr>
          </w:pPr>
          <w:r w:rsidRPr="0020113A">
            <w:rPr>
              <w:rFonts w:ascii="Times New Roman" w:eastAsia="Times New Roman" w:hAnsi="Times New Roman"/>
              <w:b/>
              <w:bCs/>
              <w:sz w:val="24"/>
              <w:szCs w:val="24"/>
              <w:lang w:val="es-MX"/>
            </w:rPr>
            <w:t>b</w:t>
          </w:r>
          <w:r w:rsidR="00D85FB1">
            <w:rPr>
              <w:rFonts w:ascii="Times New Roman" w:eastAsia="Times New Roman" w:hAnsi="Times New Roman"/>
              <w:b/>
              <w:bCs/>
              <w:sz w:val="24"/>
              <w:szCs w:val="24"/>
              <w:lang w:val="es-MX"/>
            </w:rPr>
            <w:t>.</w:t>
          </w:r>
          <w:r w:rsidRPr="0020113A">
            <w:rPr>
              <w:rFonts w:ascii="Times New Roman" w:eastAsia="Times New Roman" w:hAnsi="Times New Roman"/>
              <w:b/>
              <w:bCs/>
              <w:sz w:val="24"/>
              <w:szCs w:val="24"/>
              <w:lang w:val="es-MX"/>
            </w:rPr>
            <w:t xml:space="preserve"> Términos significativos del acuerdo que puedan afectar su valor, el calendario y la certeza de los flujos</w:t>
          </w:r>
        </w:p>
        <w:p w14:paraId="5D80997C" w14:textId="77777777" w:rsidR="007803E3" w:rsidRPr="0020113A" w:rsidRDefault="007803E3" w:rsidP="007803E3">
          <w:pPr>
            <w:spacing w:line="257" w:lineRule="auto"/>
            <w:ind w:left="-20" w:right="-20"/>
            <w:jc w:val="both"/>
            <w:rPr>
              <w:rFonts w:ascii="Times New Roman" w:eastAsia="Times New Roman" w:hAnsi="Times New Roman"/>
              <w:sz w:val="24"/>
              <w:szCs w:val="24"/>
              <w:lang w:val="es-MX"/>
            </w:rPr>
          </w:pPr>
          <w:r w:rsidRPr="0020113A">
            <w:rPr>
              <w:rFonts w:ascii="Times New Roman" w:eastAsia="Times New Roman" w:hAnsi="Times New Roman"/>
              <w:b/>
              <w:bCs/>
              <w:sz w:val="24"/>
              <w:szCs w:val="24"/>
              <w:lang w:val="es-MX"/>
            </w:rPr>
            <w:t xml:space="preserve">Términos de valor: </w:t>
          </w:r>
          <w:r w:rsidRPr="0020113A">
            <w:rPr>
              <w:rFonts w:ascii="Times New Roman" w:eastAsia="Times New Roman" w:hAnsi="Times New Roman"/>
              <w:sz w:val="24"/>
              <w:szCs w:val="24"/>
              <w:lang w:val="es-MX"/>
            </w:rPr>
            <w:t>La Estaciones de Peajes vigentes son:El Picacho (en operación), Villa Joseia (nueva, sin construcción a la fecha) Mutiscua (nueva, sin construcción a la fecha).La fecha de incremento contractual es a partir del 16 de enero de cada año.En el Contrato de Concesión N° 002 de 2016, Parte Especial, numeral 4.2, Estructura Tarifaria literales (a) al (f), se presentan las tarifas del usuario al Proyecto en pesos del Mes de Referencia (Dic-2013). Los valores y fechas máximas de desembolso que corresponden a los valores ANI, según lo estipulado en el Contrato de Concesión, Parte Especial, Capitulo IV, numeral 4.5, literal (d). Aportes ANI, $ pesos del mes de referencia, diciembre de 2013 son en total $1.544.987.224.135</w:t>
          </w:r>
        </w:p>
        <w:p w14:paraId="298D0516" w14:textId="20C491A0" w:rsidR="007803E3" w:rsidRPr="0020113A" w:rsidRDefault="007803E3" w:rsidP="007803E3">
          <w:pPr>
            <w:spacing w:line="257" w:lineRule="auto"/>
            <w:ind w:left="-20" w:right="-20"/>
            <w:jc w:val="both"/>
            <w:rPr>
              <w:rFonts w:ascii="Times New Roman" w:eastAsia="Times New Roman" w:hAnsi="Times New Roman"/>
              <w:sz w:val="24"/>
              <w:szCs w:val="24"/>
              <w:lang w:val="es-MX"/>
            </w:rPr>
          </w:pPr>
          <w:r w:rsidRPr="0020113A">
            <w:rPr>
              <w:rFonts w:ascii="Times New Roman" w:eastAsia="Times New Roman" w:hAnsi="Times New Roman"/>
              <w:b/>
              <w:bCs/>
              <w:sz w:val="24"/>
              <w:szCs w:val="24"/>
              <w:lang w:val="es-MX"/>
            </w:rPr>
            <w:t xml:space="preserve">Términos de calendario: </w:t>
          </w:r>
          <w:r w:rsidRPr="0020113A">
            <w:rPr>
              <w:rFonts w:ascii="Times New Roman" w:eastAsia="Times New Roman" w:hAnsi="Times New Roman"/>
              <w:sz w:val="24"/>
              <w:szCs w:val="24"/>
              <w:lang w:val="es-MX"/>
            </w:rPr>
            <w:t>UNIDAD FUNCIONAL 1. C1-C2 Comienzo: 28/08/2019 Fin: 18/09/2022. Duración: 1024 Desplazamiento en el cronograma (días): 98. Fin Actualizado: 23/09/2022 Duración Actualizada (Días) : 1122</w:t>
          </w:r>
        </w:p>
        <w:p w14:paraId="2208EB12" w14:textId="7F945214" w:rsidR="007803E3" w:rsidRPr="0020113A" w:rsidRDefault="007803E3" w:rsidP="007803E3">
          <w:pPr>
            <w:spacing w:line="257" w:lineRule="auto"/>
            <w:ind w:left="-20" w:right="-20"/>
            <w:jc w:val="both"/>
            <w:rPr>
              <w:rFonts w:ascii="Times New Roman" w:hAnsi="Times New Roman"/>
              <w:sz w:val="24"/>
              <w:szCs w:val="24"/>
            </w:rPr>
          </w:pPr>
          <w:r w:rsidRPr="0020113A">
            <w:rPr>
              <w:rFonts w:ascii="Times New Roman" w:eastAsia="Times New Roman" w:hAnsi="Times New Roman"/>
              <w:sz w:val="24"/>
              <w:szCs w:val="24"/>
              <w:lang w:val="es-MX"/>
            </w:rPr>
            <w:t>UNIDAD FUNCIONAL 2. BUCARAMANGA- CUESTABOBA: Comienzo: 28/08/2019. Fin: 18/09/2021. Duración (días</w:t>
          </w:r>
          <w:r w:rsidR="001F57C8" w:rsidRPr="009A46BB">
            <w:rPr>
              <w:rFonts w:ascii="Times New Roman" w:eastAsia="Times New Roman" w:hAnsi="Times New Roman"/>
              <w:sz w:val="24"/>
              <w:szCs w:val="24"/>
              <w:lang w:val="es-MX"/>
            </w:rPr>
            <w:t>):</w:t>
          </w:r>
          <w:r w:rsidRPr="0020113A">
            <w:rPr>
              <w:rFonts w:ascii="Times New Roman" w:eastAsia="Times New Roman" w:hAnsi="Times New Roman"/>
              <w:sz w:val="24"/>
              <w:szCs w:val="24"/>
              <w:lang w:val="es-MX"/>
            </w:rPr>
            <w:t xml:space="preserve"> 660. Desplazamiento en el cronograma (días): 98. Fin Actualizado: 24/09/2021. Duración Actualizada (Días</w:t>
          </w:r>
          <w:r w:rsidR="001F57C8" w:rsidRPr="009A46BB">
            <w:rPr>
              <w:rFonts w:ascii="Times New Roman" w:eastAsia="Times New Roman" w:hAnsi="Times New Roman"/>
              <w:sz w:val="24"/>
              <w:szCs w:val="24"/>
              <w:lang w:val="es-MX"/>
            </w:rPr>
            <w:t>):</w:t>
          </w:r>
          <w:r w:rsidRPr="0020113A">
            <w:rPr>
              <w:rFonts w:ascii="Times New Roman" w:eastAsia="Times New Roman" w:hAnsi="Times New Roman"/>
              <w:sz w:val="24"/>
              <w:szCs w:val="24"/>
              <w:lang w:val="es-MX"/>
            </w:rPr>
            <w:t xml:space="preserve"> 758.</w:t>
          </w:r>
        </w:p>
        <w:p w14:paraId="4B2ECF5B" w14:textId="28B2DEC2" w:rsidR="007803E3" w:rsidRPr="0020113A" w:rsidRDefault="007803E3" w:rsidP="007803E3">
          <w:pPr>
            <w:spacing w:line="257" w:lineRule="auto"/>
            <w:ind w:left="-20" w:right="-20"/>
            <w:jc w:val="both"/>
            <w:rPr>
              <w:rFonts w:ascii="Times New Roman" w:hAnsi="Times New Roman"/>
              <w:sz w:val="24"/>
              <w:szCs w:val="24"/>
            </w:rPr>
          </w:pPr>
          <w:r w:rsidRPr="0020113A">
            <w:rPr>
              <w:rFonts w:ascii="Times New Roman" w:eastAsia="Times New Roman" w:hAnsi="Times New Roman"/>
              <w:sz w:val="24"/>
              <w:szCs w:val="24"/>
              <w:lang w:val="es-MX"/>
            </w:rPr>
            <w:t>UNIDAD FUNCIONAL 3. CUESTABOBA – MUTISCUA: Comienzo: 28/08/2019. Fin: 18/09/2021. Duración (días</w:t>
          </w:r>
          <w:r w:rsidR="001F57C8" w:rsidRPr="009A46BB">
            <w:rPr>
              <w:rFonts w:ascii="Times New Roman" w:eastAsia="Times New Roman" w:hAnsi="Times New Roman"/>
              <w:sz w:val="24"/>
              <w:szCs w:val="24"/>
              <w:lang w:val="es-MX"/>
            </w:rPr>
            <w:t>):</w:t>
          </w:r>
          <w:r w:rsidRPr="0020113A">
            <w:rPr>
              <w:rFonts w:ascii="Times New Roman" w:eastAsia="Times New Roman" w:hAnsi="Times New Roman"/>
              <w:sz w:val="24"/>
              <w:szCs w:val="24"/>
              <w:lang w:val="es-MX"/>
            </w:rPr>
            <w:t xml:space="preserve"> 660. Desplazamiento en el cronograma (días): 98. Fin Actualizado: 24/09/2021. Duración Actualizada (Días</w:t>
          </w:r>
          <w:r w:rsidR="001F57C8" w:rsidRPr="009A46BB">
            <w:rPr>
              <w:rFonts w:ascii="Times New Roman" w:eastAsia="Times New Roman" w:hAnsi="Times New Roman"/>
              <w:sz w:val="24"/>
              <w:szCs w:val="24"/>
              <w:lang w:val="es-MX"/>
            </w:rPr>
            <w:t>):</w:t>
          </w:r>
          <w:r w:rsidRPr="0020113A">
            <w:rPr>
              <w:rFonts w:ascii="Times New Roman" w:eastAsia="Times New Roman" w:hAnsi="Times New Roman"/>
              <w:sz w:val="24"/>
              <w:szCs w:val="24"/>
              <w:lang w:val="es-MX"/>
            </w:rPr>
            <w:t xml:space="preserve"> 758.</w:t>
          </w:r>
        </w:p>
        <w:p w14:paraId="5DD5AA47" w14:textId="77777777" w:rsidR="007803E3" w:rsidRPr="0020113A" w:rsidRDefault="007803E3" w:rsidP="007803E3">
          <w:pPr>
            <w:spacing w:line="257" w:lineRule="auto"/>
            <w:ind w:left="-20" w:right="-20"/>
            <w:jc w:val="both"/>
            <w:rPr>
              <w:rFonts w:ascii="Times New Roman" w:eastAsia="Times New Roman" w:hAnsi="Times New Roman"/>
              <w:sz w:val="24"/>
              <w:szCs w:val="24"/>
              <w:lang w:val="es-MX"/>
            </w:rPr>
          </w:pPr>
          <w:r w:rsidRPr="0020113A">
            <w:rPr>
              <w:rFonts w:ascii="Times New Roman" w:eastAsia="Times New Roman" w:hAnsi="Times New Roman"/>
              <w:sz w:val="24"/>
              <w:szCs w:val="24"/>
              <w:lang w:val="es-MX"/>
            </w:rPr>
            <w:t>UNIDAD FUNCIONAL 4. MUTISCUA – PAMPLONA.</w:t>
          </w:r>
        </w:p>
        <w:p w14:paraId="68F245EC" w14:textId="412A1050" w:rsidR="007803E3" w:rsidRPr="0020113A" w:rsidRDefault="007803E3" w:rsidP="007803E3">
          <w:pPr>
            <w:spacing w:line="257" w:lineRule="auto"/>
            <w:ind w:left="-20" w:right="-20"/>
            <w:jc w:val="both"/>
            <w:rPr>
              <w:rFonts w:ascii="Times New Roman" w:hAnsi="Times New Roman"/>
              <w:sz w:val="24"/>
              <w:szCs w:val="24"/>
            </w:rPr>
          </w:pPr>
          <w:r w:rsidRPr="0020113A">
            <w:rPr>
              <w:rFonts w:ascii="Times New Roman" w:eastAsia="Times New Roman" w:hAnsi="Times New Roman"/>
              <w:sz w:val="24"/>
              <w:szCs w:val="24"/>
              <w:lang w:val="es-MX"/>
            </w:rPr>
            <w:lastRenderedPageBreak/>
            <w:t>Comienzo: 28/08/2019. Fin: 18/09/2021. Duración (días</w:t>
          </w:r>
          <w:r w:rsidR="001F57C8" w:rsidRPr="009A46BB">
            <w:rPr>
              <w:rFonts w:ascii="Times New Roman" w:eastAsia="Times New Roman" w:hAnsi="Times New Roman"/>
              <w:sz w:val="24"/>
              <w:szCs w:val="24"/>
              <w:lang w:val="es-MX"/>
            </w:rPr>
            <w:t>):</w:t>
          </w:r>
          <w:r w:rsidRPr="0020113A">
            <w:rPr>
              <w:rFonts w:ascii="Times New Roman" w:eastAsia="Times New Roman" w:hAnsi="Times New Roman"/>
              <w:sz w:val="24"/>
              <w:szCs w:val="24"/>
              <w:lang w:val="es-MX"/>
            </w:rPr>
            <w:t xml:space="preserve"> 660. Desplazamiento en el cronograma (días): 98. Fin Actualizado: 24/09/2021. Duración Actualizada (Días</w:t>
          </w:r>
          <w:r w:rsidR="001F57C8" w:rsidRPr="009A46BB">
            <w:rPr>
              <w:rFonts w:ascii="Times New Roman" w:eastAsia="Times New Roman" w:hAnsi="Times New Roman"/>
              <w:sz w:val="24"/>
              <w:szCs w:val="24"/>
              <w:lang w:val="es-MX"/>
            </w:rPr>
            <w:t>):</w:t>
          </w:r>
          <w:r w:rsidRPr="0020113A">
            <w:rPr>
              <w:rFonts w:ascii="Times New Roman" w:eastAsia="Times New Roman" w:hAnsi="Times New Roman"/>
              <w:sz w:val="24"/>
              <w:szCs w:val="24"/>
              <w:lang w:val="es-MX"/>
            </w:rPr>
            <w:t xml:space="preserve"> 758</w:t>
          </w:r>
        </w:p>
        <w:p w14:paraId="317170A9" w14:textId="4A392E8B" w:rsidR="007803E3" w:rsidRPr="0020113A" w:rsidRDefault="007803E3" w:rsidP="007803E3">
          <w:pPr>
            <w:spacing w:line="257" w:lineRule="auto"/>
            <w:ind w:left="-20" w:right="-20"/>
            <w:jc w:val="both"/>
            <w:rPr>
              <w:rFonts w:ascii="Times New Roman" w:eastAsia="Times New Roman" w:hAnsi="Times New Roman"/>
              <w:sz w:val="24"/>
              <w:szCs w:val="24"/>
              <w:lang w:val="es-MX"/>
            </w:rPr>
          </w:pPr>
          <w:r w:rsidRPr="0020113A">
            <w:rPr>
              <w:rFonts w:ascii="Times New Roman" w:eastAsia="Times New Roman" w:hAnsi="Times New Roman"/>
              <w:b/>
              <w:bCs/>
              <w:sz w:val="24"/>
              <w:szCs w:val="24"/>
              <w:lang w:val="es-MX"/>
            </w:rPr>
            <w:t xml:space="preserve">Términos de certeza de flujos de efectivo futuros: </w:t>
          </w:r>
          <w:r w:rsidRPr="0020113A">
            <w:rPr>
              <w:rFonts w:ascii="Times New Roman" w:eastAsia="Times New Roman" w:hAnsi="Times New Roman"/>
              <w:sz w:val="24"/>
              <w:szCs w:val="24"/>
              <w:lang w:val="es-MX"/>
            </w:rPr>
            <w:t>El proyecto se encuentra en etapa de construcción con acta de inicio del 19 de agosto de 2019 la fecha de inicio de construcción se  dio  dos  años  después  de  lo estipulado contractualmente. A la fecha la UF Unidades Funcionales UF1, UF2, UF3, UF4, tienen plazo de entrega vencido, hecho que ha generado incumplimiento</w:t>
          </w:r>
        </w:p>
        <w:p w14:paraId="67FBDBE2" w14:textId="77777777" w:rsidR="007803E3" w:rsidRPr="0020113A" w:rsidRDefault="007803E3" w:rsidP="007803E3">
          <w:pPr>
            <w:spacing w:line="257" w:lineRule="auto"/>
            <w:ind w:left="-20" w:right="-20"/>
            <w:jc w:val="both"/>
            <w:rPr>
              <w:rFonts w:ascii="Times New Roman" w:eastAsia="Times New Roman" w:hAnsi="Times New Roman"/>
              <w:b/>
              <w:bCs/>
              <w:sz w:val="24"/>
              <w:szCs w:val="24"/>
              <w:lang w:val="es-MX"/>
            </w:rPr>
          </w:pPr>
          <w:r w:rsidRPr="0020113A">
            <w:rPr>
              <w:rFonts w:ascii="Times New Roman" w:eastAsia="Times New Roman" w:hAnsi="Times New Roman"/>
              <w:b/>
              <w:bCs/>
              <w:sz w:val="24"/>
              <w:szCs w:val="24"/>
              <w:lang w:val="es-MX"/>
            </w:rPr>
            <w:t>c. Naturaleza y alcance del derecho a utilizar activos especificados, de los aspectos pactados en torno a lo que se espera que el concesionario proporcione en relación con el acuerdo de concesión</w:t>
          </w:r>
        </w:p>
        <w:p w14:paraId="442F5ACC" w14:textId="77777777" w:rsidR="007803E3" w:rsidRPr="0020113A" w:rsidRDefault="007803E3" w:rsidP="007803E3">
          <w:pPr>
            <w:spacing w:line="257" w:lineRule="auto"/>
            <w:ind w:left="-20" w:right="-20"/>
            <w:jc w:val="both"/>
            <w:rPr>
              <w:rFonts w:ascii="Times New Roman" w:eastAsia="Times New Roman" w:hAnsi="Times New Roman"/>
              <w:sz w:val="24"/>
              <w:szCs w:val="24"/>
              <w:lang w:val="es-MX"/>
            </w:rPr>
          </w:pPr>
          <w:r w:rsidRPr="0020113A">
            <w:rPr>
              <w:rFonts w:ascii="Times New Roman" w:eastAsia="Times New Roman" w:hAnsi="Times New Roman"/>
              <w:b/>
              <w:bCs/>
              <w:sz w:val="24"/>
              <w:szCs w:val="24"/>
              <w:lang w:val="es-MX"/>
            </w:rPr>
            <w:t xml:space="preserve">Descripción: </w:t>
          </w:r>
          <w:r w:rsidRPr="0020113A">
            <w:rPr>
              <w:rFonts w:ascii="Times New Roman" w:eastAsia="Times New Roman" w:hAnsi="Times New Roman"/>
              <w:sz w:val="24"/>
              <w:szCs w:val="24"/>
              <w:lang w:val="es-MX"/>
            </w:rPr>
            <w:t>Los derechos que cedió el concedente al concesionario para explotar los activos en concesión, se encuentran en la parte General del Contrato capítulo III Aspectos Económicos del Contrato numeral 3.3 y se estableció que se ceden los peajes, derecho de recaudo e ingresos por explotación comercial</w:t>
          </w:r>
        </w:p>
        <w:p w14:paraId="67BB1AF3" w14:textId="77777777" w:rsidR="007803E3" w:rsidRPr="0020113A" w:rsidRDefault="007803E3" w:rsidP="007803E3">
          <w:pPr>
            <w:spacing w:line="257" w:lineRule="auto"/>
            <w:ind w:left="-20" w:right="-20"/>
            <w:jc w:val="both"/>
            <w:rPr>
              <w:rFonts w:ascii="Times New Roman" w:eastAsia="Times New Roman" w:hAnsi="Times New Roman"/>
              <w:sz w:val="24"/>
              <w:szCs w:val="24"/>
              <w:lang w:val="es-MX"/>
            </w:rPr>
          </w:pPr>
          <w:r w:rsidRPr="0020113A">
            <w:rPr>
              <w:rFonts w:ascii="Times New Roman" w:eastAsia="Times New Roman" w:hAnsi="Times New Roman"/>
              <w:b/>
              <w:bCs/>
              <w:sz w:val="24"/>
              <w:szCs w:val="24"/>
              <w:lang w:val="es-MX"/>
            </w:rPr>
            <w:t xml:space="preserve">Observaciones: </w:t>
          </w:r>
          <w:r w:rsidRPr="0020113A">
            <w:rPr>
              <w:rFonts w:ascii="Times New Roman" w:eastAsia="Times New Roman" w:hAnsi="Times New Roman"/>
              <w:sz w:val="24"/>
              <w:szCs w:val="24"/>
              <w:lang w:val="es-MX"/>
            </w:rPr>
            <w:t>En el Contrato de Concesión N° 002 de 2016, Parte Especial, numeral 3.5, Entrega de la Infraestructura literales (a) y (b). Sobre este tema existe un acta de entrega de la infraestructura por parte del Invias a Autovía Bucaramanga Pamplona con fecha de 21 de julio de 2016.</w:t>
          </w:r>
        </w:p>
        <w:p w14:paraId="1005CA20" w14:textId="77777777" w:rsidR="007803E3" w:rsidRPr="0020113A" w:rsidRDefault="007803E3" w:rsidP="007803E3">
          <w:pPr>
            <w:spacing w:line="257" w:lineRule="auto"/>
            <w:ind w:left="-20" w:right="-20"/>
            <w:jc w:val="both"/>
            <w:rPr>
              <w:rFonts w:ascii="Times New Roman" w:eastAsia="Times New Roman" w:hAnsi="Times New Roman"/>
              <w:sz w:val="24"/>
              <w:szCs w:val="24"/>
              <w:lang w:val="es-MX"/>
            </w:rPr>
          </w:pPr>
          <w:r w:rsidRPr="0020113A">
            <w:rPr>
              <w:rFonts w:ascii="Times New Roman" w:eastAsia="Times New Roman" w:hAnsi="Times New Roman"/>
              <w:b/>
              <w:bCs/>
              <w:sz w:val="24"/>
              <w:szCs w:val="24"/>
              <w:lang w:val="es-MX"/>
            </w:rPr>
            <w:t>Retribución al concesionario</w:t>
          </w:r>
        </w:p>
        <w:p w14:paraId="4927EC0A" w14:textId="77777777" w:rsidR="007803E3" w:rsidRPr="0020113A" w:rsidRDefault="007803E3" w:rsidP="007803E3">
          <w:pPr>
            <w:spacing w:line="257" w:lineRule="auto"/>
            <w:ind w:left="-20" w:right="-20"/>
            <w:jc w:val="both"/>
            <w:rPr>
              <w:rFonts w:ascii="Times New Roman" w:eastAsia="Times New Roman" w:hAnsi="Times New Roman"/>
              <w:sz w:val="24"/>
              <w:szCs w:val="24"/>
              <w:lang w:val="es-MX"/>
            </w:rPr>
          </w:pPr>
          <w:r w:rsidRPr="0020113A">
            <w:rPr>
              <w:rFonts w:ascii="Times New Roman" w:eastAsia="Times New Roman" w:hAnsi="Times New Roman"/>
              <w:b/>
              <w:bCs/>
              <w:sz w:val="24"/>
              <w:szCs w:val="24"/>
              <w:lang w:val="es-MX"/>
            </w:rPr>
            <w:t>Descripción:</w:t>
          </w:r>
          <w:r w:rsidRPr="0020113A">
            <w:rPr>
              <w:rFonts w:ascii="Times New Roman" w:eastAsia="Times New Roman" w:hAnsi="Times New Roman"/>
              <w:sz w:val="24"/>
              <w:szCs w:val="24"/>
              <w:lang w:val="es-MX"/>
            </w:rPr>
            <w:t xml:space="preserve"> Se establece en el Contrato en la Parte General Capítulo III Aspectos Económicos del Contrato numeral 3.1 Retribución al Concesionario literales a) al i) y en la Parte Especial capítulo IV numeral 4.1 Porcentaje de Participación de las Unidades Funcionales para efectos de la retribución y 4.3 Cálculo de la retribución</w:t>
          </w:r>
        </w:p>
        <w:p w14:paraId="1B97213D" w14:textId="507DCFE0" w:rsidR="007803E3" w:rsidRPr="0020113A" w:rsidRDefault="007803E3" w:rsidP="007803E3">
          <w:pPr>
            <w:spacing w:line="257" w:lineRule="auto"/>
            <w:ind w:left="-20" w:right="-20"/>
            <w:jc w:val="both"/>
            <w:rPr>
              <w:rFonts w:ascii="Times New Roman" w:eastAsia="Times New Roman" w:hAnsi="Times New Roman"/>
              <w:sz w:val="24"/>
              <w:szCs w:val="24"/>
              <w:lang w:val="es-MX"/>
            </w:rPr>
          </w:pPr>
          <w:r w:rsidRPr="0020113A">
            <w:rPr>
              <w:rFonts w:ascii="Times New Roman" w:eastAsia="Times New Roman" w:hAnsi="Times New Roman"/>
              <w:b/>
              <w:bCs/>
              <w:sz w:val="24"/>
              <w:szCs w:val="24"/>
              <w:lang w:val="es-MX"/>
            </w:rPr>
            <w:t xml:space="preserve">Tasa de retribución: </w:t>
          </w:r>
          <w:r w:rsidRPr="0020113A">
            <w:rPr>
              <w:rFonts w:ascii="Times New Roman" w:eastAsia="Times New Roman" w:hAnsi="Times New Roman"/>
              <w:sz w:val="24"/>
              <w:szCs w:val="24"/>
              <w:lang w:val="es-MX"/>
            </w:rPr>
            <w:t>De lo indicado en la parte especial del contrato de concesión, en el Capítulo II – (Tabla de Referencias de la Parte General), la TDI - Tasa de Descuento de Ingreso - es: 3.4(a)  La tasa de descuento real (TDI) expresada en términos efectivos mensuales, para efectos de este Proyecto, será de cero puntos cincuenta y cincuenta y siete cincuenta y tres por ciento (0,5753%)</w:t>
          </w:r>
        </w:p>
        <w:p w14:paraId="0FE2E054" w14:textId="77777777" w:rsidR="007803E3" w:rsidRPr="0020113A" w:rsidRDefault="007803E3" w:rsidP="007803E3">
          <w:pPr>
            <w:spacing w:line="257" w:lineRule="auto"/>
            <w:ind w:left="-20" w:right="-20"/>
            <w:jc w:val="both"/>
            <w:rPr>
              <w:rFonts w:ascii="Times New Roman" w:eastAsia="Times New Roman" w:hAnsi="Times New Roman"/>
              <w:sz w:val="24"/>
              <w:szCs w:val="24"/>
              <w:lang w:val="es-MX"/>
            </w:rPr>
          </w:pPr>
          <w:r w:rsidRPr="0020113A">
            <w:rPr>
              <w:rFonts w:ascii="Times New Roman" w:eastAsia="Times New Roman" w:hAnsi="Times New Roman"/>
              <w:b/>
              <w:bCs/>
              <w:sz w:val="24"/>
              <w:szCs w:val="24"/>
              <w:lang w:val="es-MX"/>
            </w:rPr>
            <w:t>d. Derechos a recibir activos especificados al final del acuerdo de concesión</w:t>
          </w:r>
        </w:p>
        <w:p w14:paraId="0DC4AEB7" w14:textId="77777777" w:rsidR="007803E3" w:rsidRPr="0020113A" w:rsidRDefault="007803E3" w:rsidP="007803E3">
          <w:pPr>
            <w:spacing w:line="257" w:lineRule="auto"/>
            <w:ind w:left="-20" w:right="-20"/>
            <w:jc w:val="both"/>
            <w:rPr>
              <w:rFonts w:ascii="Times New Roman" w:eastAsia="Times New Roman" w:hAnsi="Times New Roman"/>
              <w:sz w:val="24"/>
              <w:szCs w:val="24"/>
              <w:lang w:val="es-MX"/>
            </w:rPr>
          </w:pPr>
          <w:r w:rsidRPr="0020113A">
            <w:rPr>
              <w:rFonts w:ascii="Times New Roman" w:eastAsia="Times New Roman" w:hAnsi="Times New Roman"/>
              <w:b/>
              <w:bCs/>
              <w:sz w:val="24"/>
              <w:szCs w:val="24"/>
              <w:lang w:val="es-MX"/>
            </w:rPr>
            <w:t>Descripción:</w:t>
          </w:r>
          <w:r w:rsidRPr="0020113A">
            <w:rPr>
              <w:rFonts w:ascii="Times New Roman" w:eastAsia="Times New Roman" w:hAnsi="Times New Roman"/>
              <w:sz w:val="24"/>
              <w:szCs w:val="24"/>
              <w:lang w:val="es-MX"/>
            </w:rPr>
            <w:t xml:space="preserve"> La sección 9.7 literales a) al (h) de la Parte General del Contrato establece lo correspondiente a la reversión, que se dará cuando concluya la etapa de Operación y Mantenimiento o cuando el Contrato se termine anticipadamente.</w:t>
          </w:r>
        </w:p>
        <w:p w14:paraId="4D6F5ECC" w14:textId="77777777" w:rsidR="007803E3" w:rsidRPr="0020113A" w:rsidRDefault="007803E3" w:rsidP="007803E3">
          <w:pPr>
            <w:spacing w:line="257" w:lineRule="auto"/>
            <w:ind w:left="-20" w:right="-20"/>
            <w:jc w:val="both"/>
            <w:rPr>
              <w:rFonts w:ascii="Times New Roman" w:eastAsia="Times New Roman" w:hAnsi="Times New Roman"/>
              <w:sz w:val="24"/>
              <w:szCs w:val="24"/>
              <w:lang w:val="es-MX"/>
            </w:rPr>
          </w:pPr>
          <w:r w:rsidRPr="0020113A">
            <w:rPr>
              <w:rFonts w:ascii="Times New Roman" w:eastAsia="Times New Roman" w:hAnsi="Times New Roman"/>
              <w:b/>
              <w:bCs/>
              <w:sz w:val="24"/>
              <w:szCs w:val="24"/>
              <w:lang w:val="es-MX"/>
            </w:rPr>
            <w:t>Observaciones:</w:t>
          </w:r>
          <w:r w:rsidRPr="0020113A">
            <w:rPr>
              <w:rFonts w:ascii="Times New Roman" w:eastAsia="Times New Roman" w:hAnsi="Times New Roman"/>
              <w:sz w:val="24"/>
              <w:szCs w:val="24"/>
              <w:lang w:val="es-MX"/>
            </w:rPr>
            <w:t xml:space="preserve"> 1.51 La Entrega de la Infraestructura se entenderá realizada con la suscripción del Acta de Inicio o la expedición de la Orden de Inicio y comprenderá la entrega de las obras y Predios existentes en el estado en que se encuentren que se incorporarán en el Inventario de Activos de la Concesión correspondientes a cada una de las Unidades Funcionales. La Entrega de la Infraestructura se someterá al contenido de las resoluciones y demás actos expedidos por las Autoridades Estatales. Ni al momento de la Entrega de la Infraestructura ni en momento </w:t>
          </w:r>
          <w:r w:rsidRPr="0020113A">
            <w:rPr>
              <w:rFonts w:ascii="Times New Roman" w:eastAsia="Times New Roman" w:hAnsi="Times New Roman"/>
              <w:sz w:val="24"/>
              <w:szCs w:val="24"/>
              <w:lang w:val="es-MX"/>
            </w:rPr>
            <w:lastRenderedPageBreak/>
            <w:t>alguno de la ejecución del Contrato, el Concesionario podrá incluir reserva, condicionamiento, objeción u observación alguna relacionada con el estado de la infraestructura entregada, en tanto es obligación del Concesionario recibirla en el estado en que se encuentre. La Entrega de la Infraestructura en ningún caso implica la obligación por parte de la ANI de entregar los Predios correspondientes a las Fajas ni al Corredor del Proyecto</w:t>
          </w:r>
        </w:p>
        <w:p w14:paraId="44949A6A" w14:textId="214A999B" w:rsidR="007803E3" w:rsidRPr="0020113A" w:rsidRDefault="007803E3" w:rsidP="007803E3">
          <w:pPr>
            <w:spacing w:line="257" w:lineRule="auto"/>
            <w:ind w:left="-20" w:right="-20"/>
            <w:jc w:val="both"/>
            <w:rPr>
              <w:rFonts w:ascii="Times New Roman" w:eastAsia="Times New Roman" w:hAnsi="Times New Roman"/>
              <w:sz w:val="24"/>
              <w:szCs w:val="24"/>
              <w:lang w:val="es-MX"/>
            </w:rPr>
          </w:pPr>
          <w:r w:rsidRPr="0020113A">
            <w:rPr>
              <w:rFonts w:ascii="Times New Roman" w:eastAsia="Times New Roman" w:hAnsi="Times New Roman"/>
              <w:b/>
              <w:bCs/>
              <w:sz w:val="24"/>
              <w:szCs w:val="24"/>
              <w:lang w:val="es-MX"/>
            </w:rPr>
            <w:t>e.</w:t>
          </w:r>
          <w:r w:rsidR="00D85FB1">
            <w:rPr>
              <w:rFonts w:ascii="Times New Roman" w:eastAsia="Times New Roman" w:hAnsi="Times New Roman"/>
              <w:b/>
              <w:bCs/>
              <w:sz w:val="24"/>
              <w:szCs w:val="24"/>
              <w:lang w:val="es-MX"/>
            </w:rPr>
            <w:t xml:space="preserve"> No hay c</w:t>
          </w:r>
          <w:r w:rsidRPr="0020113A">
            <w:rPr>
              <w:rFonts w:ascii="Times New Roman" w:eastAsia="Times New Roman" w:hAnsi="Times New Roman"/>
              <w:b/>
              <w:bCs/>
              <w:sz w:val="24"/>
              <w:szCs w:val="24"/>
              <w:lang w:val="es-MX"/>
            </w:rPr>
            <w:t>ambios en el acuerdo de concesión que se realicen durante el periodo fiscal</w:t>
          </w:r>
        </w:p>
        <w:p w14:paraId="2EA423BC" w14:textId="77777777" w:rsidR="007803E3" w:rsidRPr="0020113A" w:rsidRDefault="007803E3" w:rsidP="007803E3">
          <w:pPr>
            <w:spacing w:line="257" w:lineRule="auto"/>
            <w:ind w:left="-20" w:right="-20"/>
            <w:jc w:val="both"/>
            <w:rPr>
              <w:rFonts w:ascii="Times New Roman" w:eastAsia="Times New Roman" w:hAnsi="Times New Roman"/>
              <w:b/>
              <w:sz w:val="24"/>
              <w:szCs w:val="24"/>
              <w:lang w:val="es-MX"/>
            </w:rPr>
          </w:pPr>
        </w:p>
        <w:p w14:paraId="69FBBA70" w14:textId="77777777" w:rsidR="007803E3" w:rsidRPr="0020113A" w:rsidRDefault="007803E3" w:rsidP="007803E3">
          <w:pPr>
            <w:spacing w:line="257" w:lineRule="auto"/>
            <w:jc w:val="both"/>
            <w:rPr>
              <w:rFonts w:ascii="Times New Roman" w:hAnsi="Times New Roman"/>
              <w:b/>
              <w:sz w:val="24"/>
              <w:szCs w:val="24"/>
              <w:lang w:val="es-MX"/>
            </w:rPr>
          </w:pPr>
          <w:r w:rsidRPr="0020113A">
            <w:rPr>
              <w:rFonts w:ascii="Times New Roman" w:hAnsi="Times New Roman"/>
              <w:b/>
              <w:sz w:val="24"/>
              <w:szCs w:val="24"/>
              <w:lang w:val="es-MX"/>
            </w:rPr>
            <w:t>MULALÓ-LOBOGUERRERO</w:t>
          </w:r>
        </w:p>
        <w:p w14:paraId="792C3E0A" w14:textId="77777777" w:rsidR="007803E3" w:rsidRPr="0020113A" w:rsidRDefault="007803E3" w:rsidP="00E60BAB">
          <w:pPr>
            <w:pStyle w:val="Prrafodelista"/>
            <w:numPr>
              <w:ilvl w:val="0"/>
              <w:numId w:val="92"/>
            </w:numPr>
            <w:spacing w:after="0" w:line="257" w:lineRule="auto"/>
            <w:jc w:val="both"/>
            <w:rPr>
              <w:rFonts w:ascii="Times New Roman" w:hAnsi="Times New Roman"/>
              <w:sz w:val="24"/>
              <w:szCs w:val="24"/>
              <w:lang w:val="es-MX"/>
            </w:rPr>
          </w:pPr>
          <w:r w:rsidRPr="0020113A">
            <w:rPr>
              <w:rFonts w:ascii="Times New Roman" w:eastAsia="Segoe UI" w:hAnsi="Times New Roman"/>
              <w:sz w:val="24"/>
              <w:szCs w:val="24"/>
              <w:lang w:val="es-MX"/>
            </w:rPr>
            <w:t xml:space="preserve"> </w:t>
          </w:r>
          <w:r w:rsidRPr="0020113A">
            <w:rPr>
              <w:rFonts w:ascii="Times New Roman" w:hAnsi="Times New Roman"/>
              <w:b/>
              <w:sz w:val="24"/>
              <w:szCs w:val="24"/>
              <w:lang w:val="es-MX"/>
            </w:rPr>
            <w:t xml:space="preserve">Descripción del acuerdo </w:t>
          </w:r>
          <w:r w:rsidRPr="0020113A">
            <w:rPr>
              <w:rFonts w:ascii="Times New Roman" w:hAnsi="Times New Roman"/>
              <w:sz w:val="24"/>
              <w:szCs w:val="24"/>
              <w:lang w:val="es-MX"/>
            </w:rPr>
            <w:t xml:space="preserve"> </w:t>
          </w:r>
        </w:p>
        <w:p w14:paraId="3155004B" w14:textId="77777777" w:rsidR="007803E3" w:rsidRPr="0020113A" w:rsidRDefault="007803E3" w:rsidP="22C595FA">
          <w:pPr>
            <w:spacing w:after="0" w:line="257" w:lineRule="auto"/>
            <w:jc w:val="both"/>
            <w:rPr>
              <w:rFonts w:ascii="Times New Roman" w:hAnsi="Times New Roman"/>
              <w:sz w:val="24"/>
              <w:szCs w:val="24"/>
              <w:lang w:val="es-MX"/>
            </w:rPr>
          </w:pPr>
          <w:r w:rsidRPr="0020113A">
            <w:rPr>
              <w:rFonts w:ascii="Times New Roman" w:hAnsi="Times New Roman"/>
              <w:b/>
              <w:sz w:val="24"/>
              <w:szCs w:val="24"/>
              <w:lang w:val="es-MX"/>
            </w:rPr>
            <w:t xml:space="preserve">Número del acuerdo de concesión: </w:t>
          </w:r>
          <w:r w:rsidRPr="0020113A">
            <w:rPr>
              <w:rFonts w:ascii="Times New Roman" w:hAnsi="Times New Roman"/>
              <w:sz w:val="24"/>
              <w:szCs w:val="24"/>
              <w:lang w:val="es-MX"/>
            </w:rPr>
            <w:t xml:space="preserve">APP No 001 de 2015 </w:t>
          </w:r>
        </w:p>
        <w:p w14:paraId="24F8FE10" w14:textId="77777777" w:rsidR="007803E3" w:rsidRPr="0020113A" w:rsidRDefault="007803E3" w:rsidP="22C595FA">
          <w:pPr>
            <w:spacing w:after="0" w:line="257" w:lineRule="auto"/>
            <w:jc w:val="both"/>
            <w:rPr>
              <w:rFonts w:ascii="Times New Roman" w:hAnsi="Times New Roman"/>
              <w:sz w:val="24"/>
              <w:szCs w:val="24"/>
              <w:lang w:val="es-MX"/>
            </w:rPr>
          </w:pPr>
          <w:r w:rsidRPr="0020113A">
            <w:rPr>
              <w:rFonts w:ascii="Times New Roman" w:hAnsi="Times New Roman"/>
              <w:b/>
              <w:sz w:val="24"/>
              <w:szCs w:val="24"/>
              <w:lang w:val="es-MX"/>
            </w:rPr>
            <w:t xml:space="preserve">Objeto / Descripción: </w:t>
          </w:r>
          <w:r w:rsidRPr="0020113A">
            <w:rPr>
              <w:rFonts w:ascii="Times New Roman" w:hAnsi="Times New Roman"/>
              <w:sz w:val="24"/>
              <w:szCs w:val="24"/>
              <w:lang w:val="es-MX"/>
            </w:rPr>
            <w:t xml:space="preserve">La financiación, construcción, rehabilitación, mejoramiento, operación, mantenimiento y reversión del corredor Mulaló Loboguerrero, de acuerdo con el Apéndice Técnico 1. </w:t>
          </w:r>
        </w:p>
        <w:p w14:paraId="7F3763DB" w14:textId="16B5BC63" w:rsidR="007803E3" w:rsidRPr="0020113A" w:rsidRDefault="007803E3" w:rsidP="22C595FA">
          <w:pPr>
            <w:spacing w:after="0" w:line="257" w:lineRule="auto"/>
            <w:jc w:val="both"/>
            <w:rPr>
              <w:rFonts w:ascii="Times New Roman" w:eastAsia="Times New Roman" w:hAnsi="Times New Roman"/>
              <w:sz w:val="24"/>
              <w:szCs w:val="24"/>
              <w:lang w:val="es-MX"/>
            </w:rPr>
          </w:pPr>
          <w:r w:rsidRPr="0020113A">
            <w:rPr>
              <w:rFonts w:ascii="Times New Roman" w:hAnsi="Times New Roman"/>
              <w:b/>
              <w:sz w:val="24"/>
              <w:szCs w:val="24"/>
              <w:lang w:val="es-MX"/>
            </w:rPr>
            <w:t xml:space="preserve">Valor inicial: </w:t>
          </w:r>
          <w:r w:rsidRPr="0020113A">
            <w:rPr>
              <w:rFonts w:ascii="Times New Roman" w:hAnsi="Times New Roman"/>
              <w:sz w:val="24"/>
              <w:szCs w:val="24"/>
              <w:lang w:val="es-MX"/>
            </w:rPr>
            <w:t>Un billón quinientos ochenta y siete mil novecientos veinticuatro millones noventa y siete mil ochocientos cuarenta y siete ($1.587.924.097.847) a preciso del Mes de Referencia DIC-12</w:t>
          </w:r>
          <w:r w:rsidRPr="0020113A">
            <w:rPr>
              <w:rFonts w:ascii="Times New Roman" w:eastAsia="Times New Roman" w:hAnsi="Times New Roman"/>
              <w:sz w:val="24"/>
              <w:szCs w:val="24"/>
              <w:lang w:val="es-MX"/>
            </w:rPr>
            <w:t xml:space="preserve"> </w:t>
          </w:r>
        </w:p>
        <w:p w14:paraId="0AFEC3AB" w14:textId="77777777" w:rsidR="007803E3" w:rsidRPr="0020113A" w:rsidRDefault="007803E3" w:rsidP="1C8C282C">
          <w:pPr>
            <w:spacing w:after="0" w:line="257" w:lineRule="auto"/>
            <w:jc w:val="both"/>
            <w:rPr>
              <w:rFonts w:ascii="Times New Roman" w:hAnsi="Times New Roman"/>
              <w:sz w:val="24"/>
              <w:szCs w:val="24"/>
              <w:lang w:val="es-MX"/>
            </w:rPr>
          </w:pPr>
          <w:r w:rsidRPr="0020113A">
            <w:rPr>
              <w:rFonts w:ascii="Times New Roman" w:hAnsi="Times New Roman"/>
              <w:b/>
              <w:sz w:val="24"/>
              <w:szCs w:val="24"/>
              <w:lang w:val="es-MX"/>
            </w:rPr>
            <w:t xml:space="preserve">Fecha de inicio: </w:t>
          </w:r>
          <w:r w:rsidRPr="0020113A">
            <w:rPr>
              <w:rFonts w:ascii="Times New Roman" w:hAnsi="Times New Roman"/>
              <w:sz w:val="24"/>
              <w:szCs w:val="24"/>
              <w:lang w:val="es-MX"/>
            </w:rPr>
            <w:t xml:space="preserve">17/03/2015 </w:t>
          </w:r>
        </w:p>
        <w:p w14:paraId="6AA53B61" w14:textId="77777777" w:rsidR="007803E3" w:rsidRPr="0020113A" w:rsidRDefault="007803E3" w:rsidP="1C8C282C">
          <w:pPr>
            <w:spacing w:after="0" w:line="257" w:lineRule="auto"/>
            <w:jc w:val="both"/>
            <w:rPr>
              <w:rFonts w:ascii="Times New Roman" w:hAnsi="Times New Roman"/>
              <w:sz w:val="24"/>
              <w:szCs w:val="24"/>
              <w:lang w:val="es-MX"/>
            </w:rPr>
          </w:pPr>
          <w:r w:rsidRPr="0020113A">
            <w:rPr>
              <w:rFonts w:ascii="Times New Roman" w:hAnsi="Times New Roman"/>
              <w:b/>
              <w:sz w:val="24"/>
              <w:szCs w:val="24"/>
              <w:lang w:val="es-MX"/>
            </w:rPr>
            <w:t xml:space="preserve">Fecha de finalización estimada: </w:t>
          </w:r>
          <w:r w:rsidRPr="0020113A">
            <w:rPr>
              <w:rFonts w:ascii="Times New Roman" w:hAnsi="Times New Roman"/>
              <w:sz w:val="24"/>
              <w:szCs w:val="24"/>
              <w:lang w:val="es-MX"/>
            </w:rPr>
            <w:t xml:space="preserve">17/03/2040 </w:t>
          </w:r>
        </w:p>
        <w:p w14:paraId="5FE3E449" w14:textId="77777777" w:rsidR="007803E3" w:rsidRPr="0020113A" w:rsidRDefault="007803E3" w:rsidP="1C8C282C">
          <w:pPr>
            <w:spacing w:after="0" w:line="257" w:lineRule="auto"/>
            <w:jc w:val="both"/>
            <w:rPr>
              <w:rFonts w:ascii="Times New Roman" w:hAnsi="Times New Roman"/>
              <w:sz w:val="24"/>
              <w:szCs w:val="24"/>
              <w:lang w:val="es-MX"/>
            </w:rPr>
          </w:pPr>
          <w:r w:rsidRPr="0020113A">
            <w:rPr>
              <w:rFonts w:ascii="Times New Roman" w:hAnsi="Times New Roman"/>
              <w:b/>
              <w:sz w:val="24"/>
              <w:szCs w:val="24"/>
              <w:lang w:val="es-MX"/>
            </w:rPr>
            <w:t>Tipo ID:</w:t>
          </w:r>
          <w:r w:rsidRPr="0020113A">
            <w:rPr>
              <w:rFonts w:ascii="Times New Roman" w:hAnsi="Times New Roman"/>
              <w:sz w:val="24"/>
              <w:szCs w:val="24"/>
              <w:lang w:val="es-MX"/>
            </w:rPr>
            <w:t xml:space="preserve"> NIT </w:t>
          </w:r>
        </w:p>
        <w:p w14:paraId="44B99B83" w14:textId="77777777" w:rsidR="007803E3" w:rsidRPr="0020113A" w:rsidRDefault="007803E3" w:rsidP="1C8C282C">
          <w:pPr>
            <w:spacing w:after="0" w:line="257" w:lineRule="auto"/>
            <w:jc w:val="both"/>
            <w:rPr>
              <w:rFonts w:ascii="Times New Roman" w:hAnsi="Times New Roman"/>
              <w:sz w:val="24"/>
              <w:szCs w:val="24"/>
              <w:lang w:val="es-MX"/>
            </w:rPr>
          </w:pPr>
          <w:r w:rsidRPr="0020113A">
            <w:rPr>
              <w:rFonts w:ascii="Times New Roman" w:hAnsi="Times New Roman"/>
              <w:b/>
              <w:sz w:val="24"/>
              <w:szCs w:val="24"/>
              <w:lang w:val="es-MX"/>
            </w:rPr>
            <w:t xml:space="preserve">Número ID: </w:t>
          </w:r>
          <w:r w:rsidRPr="0020113A">
            <w:rPr>
              <w:rFonts w:ascii="Times New Roman" w:hAnsi="Times New Roman"/>
              <w:sz w:val="24"/>
              <w:szCs w:val="24"/>
              <w:lang w:val="es-MX"/>
            </w:rPr>
            <w:t>900.809.931-0</w:t>
          </w:r>
        </w:p>
        <w:p w14:paraId="1F8FC603" w14:textId="77777777" w:rsidR="007803E3" w:rsidRPr="0020113A" w:rsidRDefault="007803E3" w:rsidP="1C8C282C">
          <w:pPr>
            <w:spacing w:after="0" w:line="257" w:lineRule="auto"/>
            <w:jc w:val="both"/>
            <w:rPr>
              <w:rFonts w:ascii="Times New Roman" w:hAnsi="Times New Roman"/>
              <w:sz w:val="24"/>
              <w:szCs w:val="24"/>
              <w:lang w:val="es-MX"/>
            </w:rPr>
          </w:pPr>
          <w:r w:rsidRPr="0020113A">
            <w:rPr>
              <w:rFonts w:ascii="Times New Roman" w:hAnsi="Times New Roman"/>
              <w:b/>
              <w:sz w:val="24"/>
              <w:szCs w:val="24"/>
              <w:lang w:val="es-MX"/>
            </w:rPr>
            <w:t xml:space="preserve">Razón social del concesionario: </w:t>
          </w:r>
          <w:r w:rsidRPr="0020113A">
            <w:rPr>
              <w:rFonts w:ascii="Times New Roman" w:hAnsi="Times New Roman"/>
              <w:sz w:val="24"/>
              <w:szCs w:val="24"/>
              <w:lang w:val="es-MX"/>
            </w:rPr>
            <w:t>Concesionaria Nueva Vía al Mar S.A.S</w:t>
          </w:r>
        </w:p>
        <w:p w14:paraId="69AC1743" w14:textId="77777777" w:rsidR="007803E3" w:rsidRPr="0020113A" w:rsidRDefault="007803E3" w:rsidP="1C8C282C">
          <w:pPr>
            <w:spacing w:after="0" w:line="257" w:lineRule="auto"/>
            <w:jc w:val="both"/>
            <w:rPr>
              <w:rFonts w:ascii="Times New Roman" w:hAnsi="Times New Roman"/>
              <w:sz w:val="24"/>
              <w:szCs w:val="24"/>
              <w:lang w:val="es-MX"/>
            </w:rPr>
          </w:pPr>
          <w:r w:rsidRPr="0020113A">
            <w:rPr>
              <w:rFonts w:ascii="Times New Roman" w:hAnsi="Times New Roman"/>
              <w:b/>
              <w:sz w:val="24"/>
              <w:szCs w:val="24"/>
              <w:lang w:val="es-MX"/>
            </w:rPr>
            <w:t xml:space="preserve">Nombre del proyecto: </w:t>
          </w:r>
          <w:r w:rsidRPr="0020113A">
            <w:rPr>
              <w:rFonts w:ascii="Times New Roman" w:hAnsi="Times New Roman"/>
              <w:sz w:val="24"/>
              <w:szCs w:val="24"/>
              <w:lang w:val="es-MX"/>
            </w:rPr>
            <w:t>Mulaló-Loboguerrero</w:t>
          </w:r>
        </w:p>
        <w:p w14:paraId="0A054BB2" w14:textId="77777777" w:rsidR="007803E3" w:rsidRPr="0020113A" w:rsidRDefault="007803E3" w:rsidP="007803E3">
          <w:pPr>
            <w:spacing w:line="257" w:lineRule="auto"/>
            <w:jc w:val="both"/>
            <w:rPr>
              <w:rFonts w:ascii="Times New Roman" w:eastAsia="Times New Roman" w:hAnsi="Times New Roman"/>
              <w:sz w:val="24"/>
              <w:szCs w:val="24"/>
              <w:lang w:val="es-MX"/>
            </w:rPr>
          </w:pPr>
          <w:r w:rsidRPr="0020113A">
            <w:rPr>
              <w:rFonts w:ascii="Times New Roman" w:eastAsia="Times New Roman" w:hAnsi="Times New Roman"/>
              <w:sz w:val="24"/>
              <w:szCs w:val="24"/>
              <w:lang w:val="es-MX"/>
            </w:rPr>
            <w:t xml:space="preserve"> </w:t>
          </w:r>
        </w:p>
        <w:p w14:paraId="0835A3CA" w14:textId="77777777" w:rsidR="007803E3" w:rsidRPr="0020113A" w:rsidRDefault="007803E3" w:rsidP="00E60BAB">
          <w:pPr>
            <w:pStyle w:val="Prrafodelista"/>
            <w:numPr>
              <w:ilvl w:val="0"/>
              <w:numId w:val="91"/>
            </w:numPr>
            <w:spacing w:after="0" w:line="257" w:lineRule="auto"/>
            <w:jc w:val="both"/>
            <w:rPr>
              <w:rFonts w:ascii="Times New Roman" w:hAnsi="Times New Roman"/>
              <w:sz w:val="24"/>
              <w:szCs w:val="24"/>
              <w:lang w:val="es-MX"/>
            </w:rPr>
          </w:pPr>
          <w:r w:rsidRPr="0020113A">
            <w:rPr>
              <w:rFonts w:ascii="Times New Roman" w:hAnsi="Times New Roman"/>
              <w:b/>
              <w:sz w:val="24"/>
              <w:szCs w:val="24"/>
              <w:lang w:val="es-MX"/>
            </w:rPr>
            <w:t>Términos significativos del acuerdo que puedan afectar su valor, el calendario y la certeza de los flujos</w:t>
          </w:r>
          <w:r w:rsidRPr="0020113A">
            <w:rPr>
              <w:rFonts w:ascii="Times New Roman" w:hAnsi="Times New Roman"/>
              <w:sz w:val="24"/>
              <w:szCs w:val="24"/>
              <w:lang w:val="es-MX"/>
            </w:rPr>
            <w:t xml:space="preserve"> </w:t>
          </w:r>
        </w:p>
        <w:p w14:paraId="0CD931BC" w14:textId="77777777" w:rsidR="007803E3" w:rsidRPr="0020113A" w:rsidRDefault="007803E3" w:rsidP="007803E3">
          <w:pPr>
            <w:spacing w:line="257" w:lineRule="auto"/>
            <w:jc w:val="both"/>
            <w:rPr>
              <w:rFonts w:ascii="Times New Roman" w:eastAsia="Times New Roman" w:hAnsi="Times New Roman"/>
              <w:sz w:val="24"/>
              <w:szCs w:val="24"/>
              <w:lang w:val="es-MX"/>
            </w:rPr>
          </w:pPr>
          <w:r w:rsidRPr="0020113A">
            <w:rPr>
              <w:rFonts w:ascii="Times New Roman" w:hAnsi="Times New Roman"/>
              <w:b/>
              <w:sz w:val="24"/>
              <w:szCs w:val="24"/>
              <w:lang w:val="es-MX"/>
            </w:rPr>
            <w:t xml:space="preserve">Términos de valor: </w:t>
          </w:r>
          <w:r w:rsidRPr="0020113A">
            <w:rPr>
              <w:rFonts w:ascii="Times New Roman" w:hAnsi="Times New Roman"/>
              <w:sz w:val="24"/>
              <w:szCs w:val="24"/>
              <w:lang w:val="es-MX"/>
            </w:rPr>
            <w:t>Las Estaciones nuevas serán ubicadas e instaladas por el Concesionario conforme lo establece el Capítulo III del Apéndice Técnico 1. El Recaudo de Peaje de las Estaciones de Peaje nuevas comenzará con la firma del Acta de Terminación de la Unidad Funcional</w:t>
          </w:r>
          <w:r w:rsidRPr="0020113A">
            <w:rPr>
              <w:rFonts w:ascii="Times New Roman" w:eastAsia="Times New Roman" w:hAnsi="Times New Roman"/>
              <w:sz w:val="24"/>
              <w:szCs w:val="24"/>
              <w:lang w:val="es-MX"/>
            </w:rPr>
            <w:t xml:space="preserve"> </w:t>
          </w:r>
        </w:p>
        <w:p w14:paraId="0355B95D" w14:textId="77777777" w:rsidR="007803E3" w:rsidRPr="0020113A" w:rsidRDefault="007803E3" w:rsidP="007803E3">
          <w:pPr>
            <w:spacing w:line="257" w:lineRule="auto"/>
            <w:jc w:val="both"/>
            <w:rPr>
              <w:rFonts w:ascii="Times New Roman" w:hAnsi="Times New Roman"/>
              <w:sz w:val="24"/>
              <w:szCs w:val="24"/>
              <w:lang w:val="es-MX"/>
            </w:rPr>
          </w:pPr>
          <w:r w:rsidRPr="0020113A">
            <w:rPr>
              <w:rFonts w:ascii="Times New Roman" w:hAnsi="Times New Roman"/>
              <w:b/>
              <w:sz w:val="24"/>
              <w:szCs w:val="24"/>
              <w:lang w:val="es-MX"/>
            </w:rPr>
            <w:t xml:space="preserve">Términos de calendario: </w:t>
          </w:r>
          <w:r w:rsidRPr="0020113A">
            <w:rPr>
              <w:rFonts w:ascii="Times New Roman" w:hAnsi="Times New Roman"/>
              <w:sz w:val="24"/>
              <w:szCs w:val="24"/>
              <w:lang w:val="es-MX"/>
            </w:rPr>
            <w:t xml:space="preserve">Los pesos de referencia del contrato corresponden a diciembre de 2012 </w:t>
          </w:r>
        </w:p>
        <w:p w14:paraId="0AB4E3E1" w14:textId="0D6034C6" w:rsidR="007803E3" w:rsidRPr="0020113A" w:rsidRDefault="007803E3" w:rsidP="007803E3">
          <w:pPr>
            <w:spacing w:line="257" w:lineRule="auto"/>
            <w:jc w:val="both"/>
            <w:rPr>
              <w:rFonts w:ascii="Times New Roman" w:hAnsi="Times New Roman"/>
              <w:sz w:val="24"/>
              <w:szCs w:val="24"/>
              <w:lang w:val="es-MX"/>
            </w:rPr>
          </w:pPr>
          <w:r w:rsidRPr="0020113A">
            <w:rPr>
              <w:rFonts w:ascii="Times New Roman" w:hAnsi="Times New Roman"/>
              <w:b/>
              <w:sz w:val="24"/>
              <w:szCs w:val="24"/>
              <w:lang w:val="es-MX"/>
            </w:rPr>
            <w:t xml:space="preserve">Términos de certeza de flujos de efectivo futuros: </w:t>
          </w:r>
          <w:r w:rsidRPr="0020113A">
            <w:rPr>
              <w:rFonts w:ascii="Times New Roman" w:hAnsi="Times New Roman"/>
              <w:sz w:val="24"/>
              <w:szCs w:val="24"/>
              <w:lang w:val="es-MX"/>
            </w:rPr>
            <w:t xml:space="preserve">El proyecto se encuentra en litigio juridico y no ha </w:t>
          </w:r>
          <w:r w:rsidR="001F57C8" w:rsidRPr="009A46BB">
            <w:rPr>
              <w:rFonts w:ascii="Times New Roman" w:hAnsi="Times New Roman"/>
              <w:sz w:val="24"/>
              <w:szCs w:val="24"/>
              <w:lang w:val="es-MX"/>
            </w:rPr>
            <w:t>iniciado</w:t>
          </w:r>
          <w:r w:rsidRPr="0020113A">
            <w:rPr>
              <w:rFonts w:ascii="Times New Roman" w:hAnsi="Times New Roman"/>
              <w:sz w:val="24"/>
              <w:szCs w:val="24"/>
              <w:lang w:val="es-MX"/>
            </w:rPr>
            <w:t xml:space="preserve"> la Fase de Construcción</w:t>
          </w:r>
        </w:p>
        <w:p w14:paraId="5896DFF7" w14:textId="77777777" w:rsidR="007803E3" w:rsidRPr="0020113A" w:rsidRDefault="007803E3" w:rsidP="007803E3">
          <w:pPr>
            <w:spacing w:line="257" w:lineRule="auto"/>
            <w:ind w:firstLine="708"/>
            <w:jc w:val="both"/>
            <w:rPr>
              <w:rFonts w:ascii="Times New Roman" w:hAnsi="Times New Roman"/>
              <w:b/>
              <w:sz w:val="24"/>
              <w:szCs w:val="24"/>
              <w:lang w:val="es-MX"/>
            </w:rPr>
          </w:pPr>
          <w:r w:rsidRPr="0020113A">
            <w:rPr>
              <w:rFonts w:ascii="Times New Roman" w:hAnsi="Times New Roman"/>
              <w:b/>
              <w:sz w:val="24"/>
              <w:szCs w:val="24"/>
              <w:lang w:val="es-MX"/>
            </w:rPr>
            <w:t xml:space="preserve"> </w:t>
          </w:r>
        </w:p>
        <w:p w14:paraId="2F1AED89" w14:textId="77777777" w:rsidR="007803E3" w:rsidRPr="0020113A" w:rsidRDefault="007803E3" w:rsidP="00E60BAB">
          <w:pPr>
            <w:pStyle w:val="Prrafodelista"/>
            <w:numPr>
              <w:ilvl w:val="0"/>
              <w:numId w:val="91"/>
            </w:numPr>
            <w:spacing w:after="0" w:line="257" w:lineRule="auto"/>
            <w:jc w:val="both"/>
            <w:rPr>
              <w:rFonts w:ascii="Times New Roman" w:eastAsia="Times New Roman" w:hAnsi="Times New Roman"/>
              <w:b/>
              <w:sz w:val="24"/>
              <w:szCs w:val="24"/>
              <w:lang w:val="es-MX"/>
            </w:rPr>
          </w:pPr>
          <w:r w:rsidRPr="0020113A">
            <w:rPr>
              <w:rFonts w:ascii="Times New Roman" w:hAnsi="Times New Roman"/>
              <w:b/>
              <w:sz w:val="24"/>
              <w:szCs w:val="24"/>
              <w:lang w:val="es-MX"/>
            </w:rPr>
            <w:t>Naturaleza y alcance del derecho a utilizar activos especificados, de los aspectos pactados en torno a lo que se espera que el concesionario proporcione en relación con el acuerdo de concesión</w:t>
          </w:r>
          <w:r w:rsidRPr="0020113A">
            <w:rPr>
              <w:rFonts w:ascii="Times New Roman" w:eastAsia="Times New Roman" w:hAnsi="Times New Roman"/>
              <w:b/>
              <w:sz w:val="24"/>
              <w:szCs w:val="24"/>
              <w:lang w:val="es-MX"/>
            </w:rPr>
            <w:t xml:space="preserve"> </w:t>
          </w:r>
        </w:p>
        <w:p w14:paraId="50C18B33" w14:textId="0C25238A" w:rsidR="1C8C282C" w:rsidRDefault="1C8C282C" w:rsidP="1C8C282C">
          <w:pPr>
            <w:spacing w:line="257" w:lineRule="auto"/>
            <w:jc w:val="both"/>
            <w:rPr>
              <w:rFonts w:ascii="Times New Roman" w:hAnsi="Times New Roman"/>
              <w:b/>
              <w:bCs/>
              <w:sz w:val="24"/>
              <w:szCs w:val="24"/>
              <w:lang w:val="es-MX"/>
            </w:rPr>
          </w:pPr>
        </w:p>
        <w:p w14:paraId="37175C57" w14:textId="77777777" w:rsidR="007803E3" w:rsidRPr="0020113A" w:rsidRDefault="007803E3" w:rsidP="007803E3">
          <w:pPr>
            <w:spacing w:line="257" w:lineRule="auto"/>
            <w:jc w:val="both"/>
            <w:rPr>
              <w:rFonts w:ascii="Times New Roman" w:hAnsi="Times New Roman"/>
              <w:sz w:val="24"/>
              <w:szCs w:val="24"/>
              <w:lang w:val="es-MX"/>
            </w:rPr>
          </w:pPr>
          <w:r w:rsidRPr="0020113A">
            <w:rPr>
              <w:rFonts w:ascii="Times New Roman" w:hAnsi="Times New Roman"/>
              <w:b/>
              <w:sz w:val="24"/>
              <w:szCs w:val="24"/>
              <w:lang w:val="es-MX"/>
            </w:rPr>
            <w:lastRenderedPageBreak/>
            <w:t>Descripción:</w:t>
          </w:r>
          <w:r w:rsidRPr="0020113A">
            <w:rPr>
              <w:rFonts w:ascii="Times New Roman" w:hAnsi="Times New Roman"/>
              <w:sz w:val="24"/>
              <w:szCs w:val="24"/>
              <w:lang w:val="es-MX"/>
            </w:rPr>
            <w:t xml:space="preserve"> En el alcance inicial del Proyecto no se comprenden vías existentes</w:t>
          </w:r>
        </w:p>
        <w:p w14:paraId="163E3898" w14:textId="77777777" w:rsidR="007803E3" w:rsidRPr="0020113A" w:rsidRDefault="007803E3" w:rsidP="007803E3">
          <w:pPr>
            <w:spacing w:line="257" w:lineRule="auto"/>
            <w:jc w:val="both"/>
            <w:rPr>
              <w:rFonts w:ascii="Times New Roman" w:hAnsi="Times New Roman"/>
              <w:sz w:val="24"/>
              <w:szCs w:val="24"/>
              <w:lang w:val="es-MX"/>
            </w:rPr>
          </w:pPr>
          <w:r w:rsidRPr="0020113A">
            <w:rPr>
              <w:rFonts w:ascii="Times New Roman" w:hAnsi="Times New Roman"/>
              <w:b/>
              <w:sz w:val="24"/>
              <w:szCs w:val="24"/>
              <w:lang w:val="es-MX"/>
            </w:rPr>
            <w:t xml:space="preserve">Observaciones:  </w:t>
          </w:r>
          <w:r w:rsidRPr="0020113A">
            <w:rPr>
              <w:rFonts w:ascii="Times New Roman" w:hAnsi="Times New Roman"/>
              <w:sz w:val="24"/>
              <w:szCs w:val="24"/>
              <w:lang w:val="es-MX"/>
            </w:rPr>
            <w:t xml:space="preserve"> Proyecto GreenField</w:t>
          </w:r>
        </w:p>
        <w:p w14:paraId="6C0DE187" w14:textId="77777777" w:rsidR="007803E3" w:rsidRPr="0020113A" w:rsidRDefault="007803E3" w:rsidP="007803E3">
          <w:pPr>
            <w:spacing w:line="257" w:lineRule="auto"/>
            <w:jc w:val="both"/>
            <w:rPr>
              <w:rFonts w:ascii="Times New Roman" w:eastAsia="Times New Roman" w:hAnsi="Times New Roman"/>
              <w:sz w:val="24"/>
              <w:szCs w:val="24"/>
              <w:lang w:val="es-MX"/>
            </w:rPr>
          </w:pPr>
          <w:r w:rsidRPr="0020113A">
            <w:rPr>
              <w:rFonts w:ascii="Times New Roman" w:hAnsi="Times New Roman"/>
              <w:sz w:val="24"/>
              <w:szCs w:val="24"/>
              <w:lang w:val="es-MX"/>
            </w:rPr>
            <w:t xml:space="preserve"> </w:t>
          </w:r>
          <w:r w:rsidRPr="0020113A">
            <w:rPr>
              <w:rFonts w:ascii="Times New Roman" w:eastAsiaTheme="minorEastAsia" w:hAnsi="Times New Roman"/>
              <w:b/>
              <w:sz w:val="24"/>
              <w:szCs w:val="24"/>
              <w:lang w:val="es-MX"/>
            </w:rPr>
            <w:t>Retribución al concesionario / Ob</w:t>
          </w:r>
          <w:r w:rsidRPr="0020113A">
            <w:rPr>
              <w:rFonts w:ascii="Times New Roman" w:hAnsi="Times New Roman"/>
              <w:b/>
              <w:sz w:val="24"/>
              <w:szCs w:val="24"/>
              <w:lang w:val="es-MX"/>
            </w:rPr>
            <w:t xml:space="preserve">servaciones: </w:t>
          </w:r>
          <w:r w:rsidRPr="0020113A">
            <w:rPr>
              <w:rFonts w:ascii="Times New Roman" w:hAnsi="Times New Roman"/>
              <w:sz w:val="24"/>
              <w:szCs w:val="24"/>
              <w:lang w:val="es-MX"/>
            </w:rPr>
            <w:t>La retribución es la contraprestación económica a la que tiene derecho en los términos de la sección 3.1 de la Parte General del Contrato de Concesión (PGCC). El Concesionario tendrá derecho a retribución por cada unidad funcional y adicionalmente el contrato establece compensaciones especiales, los cuales se reconocerán según lo previsto en la Sección 14.1 de la PGCC. A la fecha no se ha realizado pagos por este concepto</w:t>
          </w:r>
          <w:r w:rsidRPr="0020113A">
            <w:rPr>
              <w:rFonts w:ascii="Times New Roman" w:eastAsia="Times New Roman" w:hAnsi="Times New Roman"/>
              <w:sz w:val="24"/>
              <w:szCs w:val="24"/>
              <w:lang w:val="es-MX"/>
            </w:rPr>
            <w:t xml:space="preserve"> </w:t>
          </w:r>
        </w:p>
        <w:p w14:paraId="6B91EEBA" w14:textId="77777777" w:rsidR="007803E3" w:rsidRPr="0020113A" w:rsidRDefault="007803E3" w:rsidP="007803E3">
          <w:pPr>
            <w:spacing w:line="257" w:lineRule="auto"/>
            <w:jc w:val="both"/>
            <w:rPr>
              <w:rFonts w:ascii="Times New Roman" w:hAnsi="Times New Roman"/>
              <w:sz w:val="24"/>
              <w:szCs w:val="24"/>
              <w:lang w:val="es-MX"/>
            </w:rPr>
          </w:pPr>
          <w:r w:rsidRPr="0020113A">
            <w:rPr>
              <w:rFonts w:ascii="Times New Roman" w:hAnsi="Times New Roman"/>
              <w:sz w:val="24"/>
              <w:szCs w:val="24"/>
              <w:lang w:val="es-MX"/>
            </w:rPr>
            <w:t xml:space="preserve"> </w:t>
          </w:r>
        </w:p>
        <w:p w14:paraId="58804AFB" w14:textId="77777777" w:rsidR="007803E3" w:rsidRPr="00395BCB" w:rsidRDefault="007803E3" w:rsidP="00E60BAB">
          <w:pPr>
            <w:pStyle w:val="Prrafodelista"/>
            <w:numPr>
              <w:ilvl w:val="0"/>
              <w:numId w:val="91"/>
            </w:numPr>
            <w:spacing w:after="0" w:line="257" w:lineRule="auto"/>
            <w:jc w:val="both"/>
            <w:rPr>
              <w:rFonts w:ascii="Times New Roman" w:hAnsi="Times New Roman"/>
              <w:b/>
              <w:sz w:val="24"/>
              <w:szCs w:val="24"/>
              <w:lang w:val="es-MX"/>
            </w:rPr>
          </w:pPr>
          <w:r w:rsidRPr="0020113A">
            <w:rPr>
              <w:rFonts w:ascii="Times New Roman" w:hAnsi="Times New Roman"/>
              <w:b/>
              <w:sz w:val="24"/>
              <w:szCs w:val="24"/>
              <w:lang w:val="es-MX"/>
            </w:rPr>
            <w:t xml:space="preserve"> </w:t>
          </w:r>
          <w:r w:rsidRPr="74E64379">
            <w:rPr>
              <w:rFonts w:ascii="Times New Roman" w:hAnsi="Times New Roman"/>
              <w:b/>
              <w:sz w:val="24"/>
              <w:szCs w:val="24"/>
              <w:lang w:val="es-MX"/>
            </w:rPr>
            <w:t xml:space="preserve">Derechos a recibir activos especificados al final del acuerdo de concesión </w:t>
          </w:r>
        </w:p>
        <w:p w14:paraId="4CC9714D" w14:textId="1AD13CE8" w:rsidR="007803E3" w:rsidRPr="0020113A" w:rsidRDefault="007803E3" w:rsidP="007803E3">
          <w:pPr>
            <w:spacing w:line="257" w:lineRule="auto"/>
            <w:jc w:val="both"/>
            <w:rPr>
              <w:rFonts w:ascii="Times New Roman" w:hAnsi="Times New Roman"/>
              <w:sz w:val="24"/>
              <w:szCs w:val="24"/>
              <w:lang w:val="es-MX"/>
            </w:rPr>
          </w:pPr>
          <w:r w:rsidRPr="28E1683F">
            <w:rPr>
              <w:rFonts w:ascii="Times New Roman" w:hAnsi="Times New Roman"/>
              <w:b/>
              <w:bCs/>
              <w:sz w:val="24"/>
              <w:szCs w:val="24"/>
              <w:lang w:val="es-MX"/>
            </w:rPr>
            <w:t xml:space="preserve"> </w:t>
          </w:r>
        </w:p>
        <w:p w14:paraId="670C62F3" w14:textId="0DB8E167" w:rsidR="007803E3" w:rsidRPr="0020113A" w:rsidRDefault="3CF15B8B" w:rsidP="007803E3">
          <w:pPr>
            <w:spacing w:line="257" w:lineRule="auto"/>
            <w:jc w:val="both"/>
            <w:rPr>
              <w:rFonts w:ascii="Times New Roman" w:eastAsia="Times New Roman" w:hAnsi="Times New Roman"/>
              <w:sz w:val="24"/>
              <w:szCs w:val="24"/>
              <w:lang w:val="es-MX"/>
            </w:rPr>
          </w:pPr>
          <w:r w:rsidRPr="470BF2FB">
            <w:rPr>
              <w:rFonts w:ascii="Times New Roman" w:eastAsia="Times New Roman" w:hAnsi="Times New Roman"/>
              <w:b/>
              <w:bCs/>
              <w:sz w:val="24"/>
              <w:szCs w:val="24"/>
              <w:lang w:val="es-MX"/>
            </w:rPr>
            <w:t xml:space="preserve">Descripción: </w:t>
          </w:r>
          <w:r w:rsidRPr="470BF2FB">
            <w:rPr>
              <w:rFonts w:ascii="Times New Roman" w:eastAsia="Times New Roman" w:hAnsi="Times New Roman"/>
              <w:sz w:val="24"/>
              <w:szCs w:val="24"/>
              <w:lang w:val="es-MX"/>
            </w:rPr>
            <w:t>Teniendo en cuenta el estado del proyecto y dado que el alcance del mismo contempla la construcción de infraestructura totalmente nueva (green field), no se tiene al momento del cierre de la vigencia 2023 indicios de entrega o reversión de activos.</w:t>
          </w:r>
        </w:p>
        <w:p w14:paraId="4A756A52" w14:textId="4D930C27" w:rsidR="470BF2FB" w:rsidRDefault="470BF2FB" w:rsidP="470BF2FB">
          <w:pPr>
            <w:spacing w:line="257" w:lineRule="auto"/>
            <w:jc w:val="both"/>
            <w:rPr>
              <w:rFonts w:ascii="Times New Roman" w:eastAsia="Times New Roman" w:hAnsi="Times New Roman"/>
              <w:sz w:val="24"/>
              <w:szCs w:val="24"/>
              <w:lang w:val="es-MX"/>
            </w:rPr>
          </w:pPr>
        </w:p>
        <w:p w14:paraId="613CE528" w14:textId="7EB446D3" w:rsidR="007803E3" w:rsidRPr="0020113A" w:rsidRDefault="007803E3" w:rsidP="007803E3">
          <w:pPr>
            <w:spacing w:line="257" w:lineRule="auto"/>
            <w:jc w:val="both"/>
            <w:rPr>
              <w:rFonts w:ascii="Times New Roman" w:hAnsi="Times New Roman"/>
              <w:b/>
              <w:sz w:val="24"/>
              <w:szCs w:val="24"/>
              <w:lang w:val="es-MX"/>
            </w:rPr>
          </w:pPr>
          <w:r w:rsidRPr="0020113A">
            <w:rPr>
              <w:rFonts w:ascii="Times New Roman" w:eastAsiaTheme="minorEastAsia" w:hAnsi="Times New Roman"/>
              <w:b/>
              <w:sz w:val="24"/>
              <w:szCs w:val="24"/>
              <w:lang w:val="es-MX"/>
            </w:rPr>
            <w:t xml:space="preserve"> e. </w:t>
          </w:r>
          <w:r w:rsidR="00395BCB">
            <w:rPr>
              <w:rFonts w:ascii="Times New Roman" w:eastAsiaTheme="minorEastAsia" w:hAnsi="Times New Roman"/>
              <w:b/>
              <w:sz w:val="24"/>
              <w:szCs w:val="24"/>
              <w:lang w:val="es-MX"/>
            </w:rPr>
            <w:t>No hay c</w:t>
          </w:r>
          <w:r w:rsidRPr="0020113A">
            <w:rPr>
              <w:rFonts w:ascii="Times New Roman" w:eastAsiaTheme="minorEastAsia" w:hAnsi="Times New Roman"/>
              <w:b/>
              <w:sz w:val="24"/>
              <w:szCs w:val="24"/>
              <w:lang w:val="es-MX"/>
            </w:rPr>
            <w:t xml:space="preserve">ambios en el acuerdo de concesión que se realicen durante el periodo fiscal </w:t>
          </w:r>
        </w:p>
        <w:p w14:paraId="78302A69" w14:textId="263E6FF7" w:rsidR="007803E3" w:rsidRPr="0020113A" w:rsidRDefault="007803E3" w:rsidP="007803E3">
          <w:pPr>
            <w:spacing w:line="257" w:lineRule="auto"/>
            <w:jc w:val="both"/>
            <w:rPr>
              <w:rFonts w:ascii="Times New Roman" w:hAnsi="Times New Roman"/>
              <w:b/>
              <w:sz w:val="24"/>
              <w:szCs w:val="24"/>
              <w:lang w:val="es-MX"/>
            </w:rPr>
          </w:pPr>
        </w:p>
        <w:p w14:paraId="6AD7FA26" w14:textId="77777777" w:rsidR="007803E3" w:rsidRPr="0020113A" w:rsidRDefault="007803E3" w:rsidP="007803E3">
          <w:pPr>
            <w:spacing w:line="257" w:lineRule="auto"/>
            <w:ind w:left="-20" w:right="-20"/>
            <w:jc w:val="both"/>
            <w:rPr>
              <w:rFonts w:ascii="Times New Roman" w:eastAsia="Times New Roman" w:hAnsi="Times New Roman"/>
              <w:b/>
              <w:sz w:val="24"/>
              <w:szCs w:val="24"/>
              <w:lang w:val="es-MX"/>
            </w:rPr>
          </w:pPr>
        </w:p>
        <w:p w14:paraId="7AA47551" w14:textId="77777777" w:rsidR="007803E3" w:rsidRPr="0020113A" w:rsidRDefault="007803E3" w:rsidP="007803E3">
          <w:pPr>
            <w:ind w:left="360"/>
            <w:jc w:val="both"/>
            <w:rPr>
              <w:rFonts w:ascii="Times New Roman" w:hAnsi="Times New Roman"/>
              <w:b/>
              <w:sz w:val="24"/>
              <w:szCs w:val="24"/>
              <w:lang w:val="es-MX"/>
            </w:rPr>
          </w:pPr>
          <w:r w:rsidRPr="0020113A">
            <w:rPr>
              <w:rFonts w:ascii="Times New Roman" w:hAnsi="Times New Roman"/>
              <w:b/>
              <w:sz w:val="24"/>
              <w:szCs w:val="24"/>
              <w:lang w:val="es-MX"/>
            </w:rPr>
            <w:t>PACÍFICO 3</w:t>
          </w:r>
        </w:p>
        <w:p w14:paraId="1235ABD3" w14:textId="77777777" w:rsidR="007803E3" w:rsidRPr="0020113A" w:rsidRDefault="007803E3" w:rsidP="00E60BAB">
          <w:pPr>
            <w:pStyle w:val="Prrafodelista"/>
            <w:numPr>
              <w:ilvl w:val="0"/>
              <w:numId w:val="94"/>
            </w:numPr>
            <w:spacing w:line="259" w:lineRule="auto"/>
            <w:jc w:val="both"/>
            <w:rPr>
              <w:rFonts w:ascii="Times New Roman" w:hAnsi="Times New Roman"/>
              <w:b/>
              <w:sz w:val="24"/>
              <w:szCs w:val="24"/>
              <w:lang w:val="es-MX"/>
            </w:rPr>
          </w:pPr>
          <w:r w:rsidRPr="0020113A">
            <w:rPr>
              <w:rFonts w:ascii="Times New Roman" w:hAnsi="Times New Roman"/>
              <w:b/>
              <w:sz w:val="24"/>
              <w:szCs w:val="24"/>
              <w:lang w:val="es-MX"/>
            </w:rPr>
            <w:t>Descripción del Acuerdo</w:t>
          </w:r>
        </w:p>
        <w:p w14:paraId="300D79D2" w14:textId="0D8B9B78" w:rsidR="007803E3" w:rsidRPr="0020113A" w:rsidRDefault="007803E3" w:rsidP="007803E3">
          <w:pPr>
            <w:pStyle w:val="Default"/>
            <w:jc w:val="both"/>
            <w:rPr>
              <w:rFonts w:ascii="Times New Roman" w:hAnsi="Times New Roman" w:cs="Times New Roman"/>
              <w:color w:val="auto"/>
            </w:rPr>
          </w:pPr>
          <w:r w:rsidRPr="0020113A">
            <w:rPr>
              <w:rFonts w:ascii="Times New Roman" w:hAnsi="Times New Roman" w:cs="Times New Roman"/>
              <w:b/>
              <w:color w:val="auto"/>
              <w:lang w:val="es-MX"/>
            </w:rPr>
            <w:t xml:space="preserve">Número del Acuerdo de Concesión: </w:t>
          </w:r>
          <w:r w:rsidRPr="0020113A">
            <w:rPr>
              <w:rFonts w:ascii="Times New Roman" w:hAnsi="Times New Roman" w:cs="Times New Roman"/>
              <w:color w:val="auto"/>
              <w:lang w:val="es-MX"/>
            </w:rPr>
            <w:t xml:space="preserve"> </w:t>
          </w:r>
          <w:r w:rsidRPr="0020113A">
            <w:rPr>
              <w:rFonts w:ascii="Times New Roman" w:hAnsi="Times New Roman" w:cs="Times New Roman"/>
              <w:color w:val="auto"/>
            </w:rPr>
            <w:t xml:space="preserve">Contrato de Concesión No. 005 del 10 de Septiembre de 2014 </w:t>
          </w:r>
        </w:p>
        <w:p w14:paraId="016EB81B" w14:textId="6BF7FD88" w:rsidR="007803E3" w:rsidRPr="0020113A" w:rsidRDefault="007803E3" w:rsidP="007803E3">
          <w:pPr>
            <w:pStyle w:val="Default"/>
            <w:jc w:val="both"/>
            <w:rPr>
              <w:rFonts w:ascii="Times New Roman" w:hAnsi="Times New Roman" w:cs="Times New Roman"/>
              <w:color w:val="auto"/>
            </w:rPr>
          </w:pPr>
          <w:r w:rsidRPr="0020113A">
            <w:rPr>
              <w:rFonts w:ascii="Times New Roman" w:hAnsi="Times New Roman" w:cs="Times New Roman"/>
              <w:b/>
              <w:color w:val="auto"/>
              <w:lang w:val="es-MX"/>
            </w:rPr>
            <w:t xml:space="preserve">Objeto / Descripción: Los </w:t>
          </w:r>
          <w:r w:rsidRPr="0020113A">
            <w:rPr>
              <w:rFonts w:ascii="Times New Roman" w:hAnsi="Times New Roman" w:cs="Times New Roman"/>
              <w:color w:val="auto"/>
            </w:rPr>
            <w:t xml:space="preserve">estudios y diseños definitivos, financiación, gestión ambiental, predial y social, construcción, mejoramiento, rehabilitación, operación, mantenimiento y reversión de la Concesión Autopista Conexión Pacífico 3, del Proyecto "Autopistas para la Prosperidad", de acuerdo con el Apéndice Técnico 1 y demás Apéndices del Contrato” </w:t>
          </w:r>
        </w:p>
        <w:p w14:paraId="11538872" w14:textId="37D9FD2C" w:rsidR="007803E3" w:rsidRPr="0020113A" w:rsidRDefault="007803E3" w:rsidP="007803E3">
          <w:pPr>
            <w:pStyle w:val="Default"/>
            <w:jc w:val="both"/>
            <w:rPr>
              <w:rFonts w:ascii="Times New Roman" w:hAnsi="Times New Roman" w:cs="Times New Roman"/>
              <w:color w:val="auto"/>
            </w:rPr>
          </w:pPr>
          <w:r w:rsidRPr="0020113A">
            <w:rPr>
              <w:rFonts w:ascii="Times New Roman" w:hAnsi="Times New Roman" w:cs="Times New Roman"/>
              <w:b/>
              <w:color w:val="auto"/>
              <w:lang w:val="es-MX"/>
            </w:rPr>
            <w:t xml:space="preserve">Valor Inicial: </w:t>
          </w:r>
          <w:r w:rsidRPr="0020113A">
            <w:rPr>
              <w:rFonts w:ascii="Times New Roman" w:hAnsi="Times New Roman" w:cs="Times New Roman"/>
              <w:color w:val="auto"/>
            </w:rPr>
            <w:t xml:space="preserve"> Un billón ochocientos sesenta y nueve mil trescientos treinta millones seiscientos setenta y ocho mil cuatrocientos diecisiete pesos ($1.869.330.678.417) del Mes de Referencia. </w:t>
          </w:r>
        </w:p>
        <w:p w14:paraId="22533289" w14:textId="77777777" w:rsidR="007803E3" w:rsidRPr="0020113A" w:rsidRDefault="007803E3" w:rsidP="001F57C8">
          <w:pPr>
            <w:spacing w:after="0"/>
            <w:jc w:val="both"/>
            <w:rPr>
              <w:rFonts w:ascii="Times New Roman" w:hAnsi="Times New Roman"/>
              <w:b/>
              <w:sz w:val="24"/>
              <w:szCs w:val="24"/>
              <w:lang w:val="es-MX"/>
            </w:rPr>
          </w:pPr>
          <w:r w:rsidRPr="0020113A">
            <w:rPr>
              <w:rFonts w:ascii="Times New Roman" w:hAnsi="Times New Roman"/>
              <w:b/>
              <w:sz w:val="24"/>
              <w:szCs w:val="24"/>
              <w:lang w:val="es-MX"/>
            </w:rPr>
            <w:t xml:space="preserve">Fecha de Inicio: </w:t>
          </w:r>
          <w:r w:rsidRPr="0020113A">
            <w:rPr>
              <w:rFonts w:ascii="Times New Roman" w:hAnsi="Times New Roman"/>
              <w:sz w:val="24"/>
              <w:szCs w:val="24"/>
              <w:lang w:val="es-MX"/>
            </w:rPr>
            <w:t>30 de octubre de 2014</w:t>
          </w:r>
        </w:p>
        <w:p w14:paraId="6CC67D72" w14:textId="7BD385E2" w:rsidR="007803E3" w:rsidRPr="0020113A" w:rsidRDefault="007803E3" w:rsidP="001F57C8">
          <w:pPr>
            <w:spacing w:after="0"/>
            <w:jc w:val="both"/>
            <w:rPr>
              <w:rFonts w:ascii="Times New Roman" w:hAnsi="Times New Roman"/>
              <w:b/>
              <w:sz w:val="24"/>
              <w:szCs w:val="24"/>
              <w:lang w:val="es-MX"/>
            </w:rPr>
          </w:pPr>
          <w:r w:rsidRPr="0020113A">
            <w:rPr>
              <w:rFonts w:ascii="Times New Roman" w:hAnsi="Times New Roman"/>
              <w:b/>
              <w:sz w:val="24"/>
              <w:szCs w:val="24"/>
              <w:lang w:val="es-MX"/>
            </w:rPr>
            <w:t xml:space="preserve">Fecha de Finalización Estimada: </w:t>
          </w:r>
          <w:r w:rsidRPr="0020113A">
            <w:rPr>
              <w:rFonts w:ascii="Times New Roman" w:hAnsi="Times New Roman"/>
              <w:sz w:val="24"/>
              <w:szCs w:val="24"/>
              <w:lang w:val="es-MX"/>
            </w:rPr>
            <w:t>29 de octubre de 2039</w:t>
          </w:r>
        </w:p>
        <w:p w14:paraId="15C769CA" w14:textId="77777777" w:rsidR="007803E3" w:rsidRPr="0020113A" w:rsidRDefault="007803E3" w:rsidP="001F57C8">
          <w:pPr>
            <w:spacing w:after="0"/>
            <w:jc w:val="both"/>
            <w:rPr>
              <w:rFonts w:ascii="Times New Roman" w:hAnsi="Times New Roman"/>
              <w:sz w:val="24"/>
              <w:szCs w:val="24"/>
              <w:lang w:val="es-MX"/>
            </w:rPr>
          </w:pPr>
          <w:r w:rsidRPr="0020113A">
            <w:rPr>
              <w:rFonts w:ascii="Times New Roman" w:hAnsi="Times New Roman"/>
              <w:b/>
              <w:sz w:val="24"/>
              <w:szCs w:val="24"/>
              <w:lang w:val="es-MX"/>
            </w:rPr>
            <w:t xml:space="preserve">Tipo ID: </w:t>
          </w:r>
          <w:r w:rsidRPr="0020113A">
            <w:rPr>
              <w:rFonts w:ascii="Times New Roman" w:hAnsi="Times New Roman"/>
              <w:sz w:val="24"/>
              <w:szCs w:val="24"/>
              <w:lang w:val="es-MX"/>
            </w:rPr>
            <w:t>NIT</w:t>
          </w:r>
        </w:p>
        <w:p w14:paraId="1E32291A" w14:textId="46ECA79D" w:rsidR="007803E3" w:rsidRPr="0020113A" w:rsidRDefault="007803E3" w:rsidP="007803E3">
          <w:pPr>
            <w:pStyle w:val="Default"/>
            <w:jc w:val="both"/>
            <w:rPr>
              <w:rFonts w:ascii="Times New Roman" w:hAnsi="Times New Roman" w:cs="Times New Roman"/>
              <w:color w:val="auto"/>
            </w:rPr>
          </w:pPr>
          <w:r w:rsidRPr="0020113A">
            <w:rPr>
              <w:rFonts w:ascii="Times New Roman" w:hAnsi="Times New Roman" w:cs="Times New Roman"/>
              <w:b/>
              <w:color w:val="auto"/>
              <w:lang w:val="es-MX"/>
            </w:rPr>
            <w:t xml:space="preserve">Numero ID: </w:t>
          </w:r>
          <w:r w:rsidRPr="0020113A">
            <w:rPr>
              <w:rFonts w:ascii="Times New Roman" w:hAnsi="Times New Roman" w:cs="Times New Roman"/>
              <w:color w:val="auto"/>
            </w:rPr>
            <w:t xml:space="preserve">900763357-2 </w:t>
          </w:r>
        </w:p>
        <w:p w14:paraId="3B9F7635" w14:textId="7697F538" w:rsidR="007803E3" w:rsidRPr="0020113A" w:rsidRDefault="007803E3" w:rsidP="007803E3">
          <w:pPr>
            <w:pStyle w:val="Default"/>
            <w:jc w:val="both"/>
            <w:rPr>
              <w:rFonts w:ascii="Times New Roman" w:hAnsi="Times New Roman" w:cs="Times New Roman"/>
              <w:color w:val="auto"/>
            </w:rPr>
          </w:pPr>
          <w:r w:rsidRPr="0020113A">
            <w:rPr>
              <w:rFonts w:ascii="Times New Roman" w:hAnsi="Times New Roman" w:cs="Times New Roman"/>
              <w:b/>
              <w:color w:val="auto"/>
              <w:lang w:val="es-MX"/>
            </w:rPr>
            <w:t xml:space="preserve">Razón Social del Concesionario: </w:t>
          </w:r>
          <w:r w:rsidRPr="0020113A">
            <w:rPr>
              <w:rFonts w:ascii="Times New Roman" w:hAnsi="Times New Roman" w:cs="Times New Roman"/>
              <w:color w:val="auto"/>
            </w:rPr>
            <w:t xml:space="preserve">CONCESIÓN PACIFICO TRES S.A.S. </w:t>
          </w:r>
        </w:p>
        <w:p w14:paraId="1D0064A9" w14:textId="77777777" w:rsidR="007803E3" w:rsidRPr="009A46BB" w:rsidRDefault="007803E3" w:rsidP="001F57C8">
          <w:pPr>
            <w:spacing w:after="0"/>
            <w:jc w:val="both"/>
            <w:rPr>
              <w:rFonts w:ascii="Times New Roman" w:hAnsi="Times New Roman"/>
              <w:sz w:val="24"/>
              <w:szCs w:val="24"/>
              <w:lang w:val="es-MX"/>
            </w:rPr>
          </w:pPr>
          <w:r w:rsidRPr="0020113A">
            <w:rPr>
              <w:rFonts w:ascii="Times New Roman" w:hAnsi="Times New Roman"/>
              <w:b/>
              <w:sz w:val="24"/>
              <w:szCs w:val="24"/>
              <w:lang w:val="es-MX"/>
            </w:rPr>
            <w:t xml:space="preserve">Nombre del Proyecto: </w:t>
          </w:r>
          <w:r w:rsidRPr="0020113A">
            <w:rPr>
              <w:rFonts w:ascii="Times New Roman" w:hAnsi="Times New Roman"/>
              <w:sz w:val="24"/>
              <w:szCs w:val="24"/>
              <w:lang w:val="es-MX"/>
            </w:rPr>
            <w:t>Pacífico 3</w:t>
          </w:r>
        </w:p>
        <w:p w14:paraId="1EC7B0E0" w14:textId="77777777" w:rsidR="001F57C8" w:rsidRPr="009A46BB" w:rsidRDefault="001F57C8" w:rsidP="001F57C8">
          <w:pPr>
            <w:spacing w:after="0"/>
            <w:jc w:val="both"/>
            <w:rPr>
              <w:rFonts w:ascii="Times New Roman" w:hAnsi="Times New Roman"/>
              <w:b/>
              <w:sz w:val="24"/>
              <w:szCs w:val="24"/>
              <w:lang w:val="es-MX"/>
            </w:rPr>
          </w:pPr>
        </w:p>
        <w:p w14:paraId="33225DB8" w14:textId="77777777" w:rsidR="007803E3" w:rsidRPr="0020113A" w:rsidRDefault="007803E3" w:rsidP="00E60BAB">
          <w:pPr>
            <w:pStyle w:val="Prrafodelista"/>
            <w:numPr>
              <w:ilvl w:val="0"/>
              <w:numId w:val="94"/>
            </w:numPr>
            <w:spacing w:line="259" w:lineRule="auto"/>
            <w:jc w:val="both"/>
            <w:rPr>
              <w:rFonts w:ascii="Times New Roman" w:hAnsi="Times New Roman"/>
              <w:b/>
              <w:sz w:val="24"/>
              <w:szCs w:val="24"/>
              <w:lang w:val="es-MX"/>
            </w:rPr>
          </w:pPr>
          <w:r w:rsidRPr="0020113A">
            <w:rPr>
              <w:rFonts w:ascii="Times New Roman" w:hAnsi="Times New Roman"/>
              <w:b/>
              <w:sz w:val="24"/>
              <w:szCs w:val="24"/>
              <w:lang w:val="es-MX"/>
            </w:rPr>
            <w:t>Términos significativos del acuerdo que puedan afectar su valor, el calendario y la certeza de los flujos</w:t>
          </w:r>
        </w:p>
        <w:p w14:paraId="487229C5"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lastRenderedPageBreak/>
            <w:t xml:space="preserve">Términos de Valor: </w:t>
          </w:r>
          <w:r w:rsidRPr="0020113A">
            <w:rPr>
              <w:rFonts w:ascii="Times New Roman" w:hAnsi="Times New Roman"/>
              <w:sz w:val="24"/>
              <w:szCs w:val="24"/>
              <w:lang w:val="es-MX"/>
            </w:rPr>
            <w:t xml:space="preserve">Lo referente a las Estaciones de Peaje del Proyecto se encuentra dispuesto en la Sección 3.6 de la Parte Especial y las tarifas aplicables a los Peajes se encuentran en la Sección 4.2 (b) de la misma Parte Especial. Los valores de las obligaciones de pago de Vigencias Futuras se encuentran en la Sección 4.5 (d) de la Parte Especial y se actualizan conforme al procedimiento establecido en la Sección 4.3 (e) de la misma Parte Especial. </w:t>
          </w:r>
        </w:p>
        <w:p w14:paraId="5EB940CF" w14:textId="77777777" w:rsidR="007803E3" w:rsidRPr="0020113A" w:rsidRDefault="007803E3" w:rsidP="007803E3">
          <w:pPr>
            <w:pStyle w:val="Default"/>
            <w:jc w:val="both"/>
            <w:rPr>
              <w:rFonts w:ascii="Times New Roman" w:hAnsi="Times New Roman" w:cs="Times New Roman"/>
              <w:color w:val="auto"/>
            </w:rPr>
          </w:pPr>
          <w:r w:rsidRPr="0020113A">
            <w:rPr>
              <w:rFonts w:ascii="Times New Roman" w:hAnsi="Times New Roman" w:cs="Times New Roman"/>
              <w:color w:val="auto"/>
            </w:rPr>
            <w:t xml:space="preserve">La ANI mediante comunicado No.: 20235000180411 de fecha 26 de mayo de 2023, otorga un Plazo de cura para verificar el cumplimiento de la obligación de entrega a satisfacción y puesta a disposición de los 21.69 km faltantes de la Unidad Funcional 5 y, en consecuencia, emite concepto favorable de No Objeción de un Plazo de Cura de trescientos (360) días; es decir el plazo culminaría el 23/05/2024. Lo anterior implica un retraso en la entrega de la terminación de las obras que pudiera acarrear un retraso en la terminación estimada del contrato de concesión. </w:t>
          </w:r>
        </w:p>
        <w:p w14:paraId="03F821AA" w14:textId="77777777" w:rsidR="007803E3" w:rsidRPr="0020113A" w:rsidRDefault="007803E3" w:rsidP="007803E3">
          <w:pPr>
            <w:jc w:val="both"/>
            <w:rPr>
              <w:rFonts w:ascii="Times New Roman" w:hAnsi="Times New Roman"/>
              <w:sz w:val="24"/>
              <w:szCs w:val="24"/>
            </w:rPr>
          </w:pPr>
        </w:p>
        <w:p w14:paraId="61302FC7"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Términos de Calendario: </w:t>
          </w:r>
          <w:r w:rsidRPr="0020113A">
            <w:rPr>
              <w:rFonts w:ascii="Times New Roman" w:hAnsi="Times New Roman"/>
              <w:sz w:val="24"/>
              <w:szCs w:val="24"/>
              <w:lang w:val="es-MX"/>
            </w:rPr>
            <w:t xml:space="preserve">Las fechas de actualización de las tarifas aplicables a los Peajes se encuentran en las Secciones 4.2 (c), 4.2 (d) y 4.2 (e) de la Parte Especial. </w:t>
          </w:r>
        </w:p>
        <w:p w14:paraId="10A5C7E7"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 xml:space="preserve">Las fechas para el pago de los valores de las obligaciones de Vigencias Futuras se encuentran en la Sección 4.5 (d) de la Parte Especial. El cálculo de la Retribución del Concesionario está regulado en la Sección 4.3 de la Parte Especial. En la Sección 4.18 de la Parte General se establecen las condiciones para el Plan de Obras del Proyecto, documento mediante el cual se formalizan los plazos de inicio y terminación de las Unidades Funcionales. </w:t>
          </w:r>
        </w:p>
        <w:p w14:paraId="42F29DE4"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Términos de Certeza de Flujos de Efectivo Futuros: </w:t>
          </w:r>
          <w:r w:rsidRPr="0020113A">
            <w:rPr>
              <w:rFonts w:ascii="Times New Roman" w:hAnsi="Times New Roman"/>
              <w:sz w:val="24"/>
              <w:szCs w:val="24"/>
              <w:lang w:val="es-MX"/>
            </w:rPr>
            <w:t xml:space="preserve">El cálculo de la Diferencia de Recaudo que se hace para garantizar los flujos de caja futuros del Proyecto en los años 8, 13 y 18 de ejecución a partir del Acta de inicio se establece en la Sección 4.6 de la Parte Especial. </w:t>
          </w:r>
        </w:p>
        <w:p w14:paraId="70A01DC6" w14:textId="77777777" w:rsidR="007803E3" w:rsidRPr="0020113A" w:rsidRDefault="007803E3" w:rsidP="007803E3">
          <w:pPr>
            <w:jc w:val="both"/>
            <w:rPr>
              <w:rFonts w:ascii="Times New Roman" w:hAnsi="Times New Roman"/>
              <w:b/>
              <w:sz w:val="24"/>
              <w:szCs w:val="24"/>
              <w:lang w:val="es-MX"/>
            </w:rPr>
          </w:pPr>
          <w:r w:rsidRPr="0020113A">
            <w:rPr>
              <w:rFonts w:ascii="Times New Roman" w:hAnsi="Times New Roman"/>
              <w:b/>
              <w:sz w:val="24"/>
              <w:szCs w:val="24"/>
              <w:lang w:val="es-MX"/>
            </w:rPr>
            <w:t>Naturaleza y alcance del derecho a utilizar activos especificados, de los aspectos pactados en torno a lo que se espera que el concesionario proporcione en relación con el acuerdo de concesión</w:t>
          </w:r>
        </w:p>
        <w:p w14:paraId="49A32EFD" w14:textId="77777777" w:rsidR="007803E3" w:rsidRPr="0020113A" w:rsidRDefault="007803E3" w:rsidP="00E60BAB">
          <w:pPr>
            <w:pStyle w:val="Prrafodelista"/>
            <w:numPr>
              <w:ilvl w:val="0"/>
              <w:numId w:val="94"/>
            </w:numPr>
            <w:spacing w:line="259" w:lineRule="auto"/>
            <w:jc w:val="both"/>
            <w:rPr>
              <w:rFonts w:ascii="Times New Roman" w:hAnsi="Times New Roman"/>
              <w:b/>
              <w:sz w:val="24"/>
              <w:szCs w:val="24"/>
              <w:lang w:val="es-MX"/>
            </w:rPr>
          </w:pPr>
          <w:r w:rsidRPr="0020113A">
            <w:rPr>
              <w:rFonts w:ascii="Times New Roman" w:hAnsi="Times New Roman"/>
              <w:b/>
              <w:sz w:val="24"/>
              <w:szCs w:val="24"/>
              <w:lang w:val="es-MX"/>
            </w:rPr>
            <w:t>Naturaleza y alcance del derecho de uso de los activos</w:t>
          </w:r>
        </w:p>
        <w:p w14:paraId="144E75B5" w14:textId="77777777" w:rsidR="007803E3" w:rsidRPr="0020113A" w:rsidRDefault="007803E3" w:rsidP="007803E3">
          <w:pPr>
            <w:pStyle w:val="Default"/>
            <w:jc w:val="both"/>
            <w:rPr>
              <w:rFonts w:ascii="Times New Roman" w:hAnsi="Times New Roman" w:cs="Times New Roman"/>
              <w:color w:val="auto"/>
            </w:rPr>
          </w:pPr>
          <w:r w:rsidRPr="0020113A">
            <w:rPr>
              <w:rFonts w:ascii="Times New Roman" w:hAnsi="Times New Roman" w:cs="Times New Roman"/>
              <w:b/>
              <w:color w:val="auto"/>
              <w:lang w:val="es-MX"/>
            </w:rPr>
            <w:t xml:space="preserve">Descripción: </w:t>
          </w:r>
          <w:r w:rsidRPr="0020113A">
            <w:rPr>
              <w:rFonts w:ascii="Times New Roman" w:hAnsi="Times New Roman" w:cs="Times New Roman"/>
              <w:color w:val="auto"/>
              <w:lang w:val="es-MX"/>
            </w:rPr>
            <w:t xml:space="preserve"> </w:t>
          </w:r>
          <w:r w:rsidRPr="0020113A">
            <w:rPr>
              <w:rFonts w:ascii="Times New Roman" w:hAnsi="Times New Roman" w:cs="Times New Roman"/>
              <w:color w:val="auto"/>
            </w:rPr>
            <w:t xml:space="preserve">Para el año 2023 no se presentó variación en la naturaleza y alcance del derecho a utilizar activos especificados en el contrato de Concesión. </w:t>
          </w:r>
        </w:p>
        <w:p w14:paraId="21065368" w14:textId="77777777" w:rsidR="007803E3" w:rsidRPr="0020113A" w:rsidRDefault="007803E3" w:rsidP="007803E3">
          <w:pPr>
            <w:pStyle w:val="Default"/>
            <w:jc w:val="both"/>
            <w:rPr>
              <w:rFonts w:ascii="Times New Roman" w:hAnsi="Times New Roman" w:cs="Times New Roman"/>
              <w:color w:val="auto"/>
            </w:rPr>
          </w:pPr>
          <w:r w:rsidRPr="0020113A">
            <w:rPr>
              <w:rFonts w:ascii="Times New Roman" w:hAnsi="Times New Roman" w:cs="Times New Roman"/>
              <w:color w:val="auto"/>
            </w:rPr>
            <w:t xml:space="preserve">Los derechos cedidos al concesionario para explotar los activos en concesión. </w:t>
          </w:r>
        </w:p>
        <w:p w14:paraId="0ABA8E88" w14:textId="77777777" w:rsidR="007803E3" w:rsidRPr="0020113A" w:rsidRDefault="007803E3" w:rsidP="007803E3">
          <w:pPr>
            <w:pStyle w:val="Default"/>
            <w:jc w:val="both"/>
            <w:rPr>
              <w:rFonts w:ascii="Times New Roman" w:hAnsi="Times New Roman" w:cs="Times New Roman"/>
              <w:color w:val="auto"/>
            </w:rPr>
          </w:pPr>
        </w:p>
        <w:p w14:paraId="31FAB167" w14:textId="77777777" w:rsidR="007803E3" w:rsidRPr="0020113A" w:rsidRDefault="007803E3" w:rsidP="007803E3">
          <w:pPr>
            <w:pStyle w:val="Default"/>
            <w:jc w:val="both"/>
            <w:rPr>
              <w:rFonts w:ascii="Times New Roman" w:hAnsi="Times New Roman" w:cs="Times New Roman"/>
              <w:color w:val="auto"/>
            </w:rPr>
          </w:pPr>
          <w:r w:rsidRPr="0020113A">
            <w:rPr>
              <w:rFonts w:ascii="Times New Roman" w:hAnsi="Times New Roman" w:cs="Times New Roman"/>
              <w:color w:val="auto"/>
            </w:rPr>
            <w:t xml:space="preserve">Obtención del VPIP </w:t>
          </w:r>
        </w:p>
        <w:p w14:paraId="79748685" w14:textId="77777777" w:rsidR="007803E3" w:rsidRPr="0020113A" w:rsidRDefault="007803E3" w:rsidP="007803E3">
          <w:pPr>
            <w:pStyle w:val="Default"/>
            <w:jc w:val="both"/>
            <w:rPr>
              <w:rFonts w:ascii="Times New Roman" w:hAnsi="Times New Roman" w:cs="Times New Roman"/>
              <w:color w:val="auto"/>
            </w:rPr>
          </w:pPr>
          <w:r w:rsidRPr="0020113A">
            <w:rPr>
              <w:rFonts w:ascii="Times New Roman" w:hAnsi="Times New Roman" w:cs="Times New Roman"/>
              <w:color w:val="auto"/>
            </w:rPr>
            <w:t xml:space="preserve">El concesionario tiene el derecho a obtener el VPIP contractual. Entiéndase las siglas VPIP, según el numeral 1.162 de la Parte General del Contrato, cómo “Es el valor presente al Mes de Referencia del Recaudo de Peaje, ofrecido por la ANI al Concesionario en las reglas del Proceso de Selección. El monto de VPIP se señala en la Parte Especial.”. En la Sección 1.162 de la Parte Especial se señala: “El VPIP equivale a un billón cincuenta mil doscientos dieciocho millones novecientos noventa y dos mil trescientos trece Pesos ($1.050.218.992.313) del Mes de Referencia”, teniendo en cuenta que el Mes de Referencia es Diciembre de 2012, según Sección 1.101 de la Parte Especial. Con corte de 31 de diciembre </w:t>
          </w:r>
          <w:r w:rsidRPr="0020113A">
            <w:rPr>
              <w:rFonts w:ascii="Times New Roman" w:hAnsi="Times New Roman" w:cs="Times New Roman"/>
              <w:color w:val="auto"/>
            </w:rPr>
            <w:lastRenderedPageBreak/>
            <w:t>de 2023 el proyecto presenta el siguiente VPIP:  1.050.218.992.313 VPIP acumulado real : 279.874.232.139 % ejecutado: 26.65%</w:t>
          </w:r>
        </w:p>
        <w:p w14:paraId="06598ED0" w14:textId="77777777" w:rsidR="007803E3" w:rsidRPr="0020113A" w:rsidRDefault="007803E3" w:rsidP="007803E3">
          <w:pPr>
            <w:pStyle w:val="Default"/>
            <w:jc w:val="both"/>
            <w:rPr>
              <w:rFonts w:ascii="Times New Roman" w:hAnsi="Times New Roman" w:cs="Times New Roman"/>
              <w:color w:val="auto"/>
            </w:rPr>
          </w:pPr>
        </w:p>
        <w:p w14:paraId="34C863A8" w14:textId="77777777" w:rsidR="007803E3" w:rsidRPr="0020113A" w:rsidRDefault="007803E3" w:rsidP="007803E3">
          <w:pPr>
            <w:jc w:val="center"/>
            <w:rPr>
              <w:rFonts w:ascii="Times New Roman" w:hAnsi="Times New Roman"/>
              <w:b/>
              <w:sz w:val="24"/>
              <w:szCs w:val="24"/>
              <w:lang w:val="es-MX"/>
            </w:rPr>
          </w:pPr>
          <w:r w:rsidRPr="0020113A">
            <w:rPr>
              <w:rFonts w:ascii="Times New Roman" w:hAnsi="Times New Roman"/>
              <w:b/>
              <w:sz w:val="24"/>
              <w:szCs w:val="24"/>
              <w:lang w:val="es-MX"/>
            </w:rPr>
            <w:t>Retribución al Concesionario</w:t>
          </w:r>
        </w:p>
        <w:p w14:paraId="06A3F050" w14:textId="77777777" w:rsidR="007803E3" w:rsidRPr="0020113A" w:rsidRDefault="007803E3" w:rsidP="007803E3">
          <w:pPr>
            <w:jc w:val="both"/>
            <w:rPr>
              <w:rFonts w:ascii="Times New Roman" w:hAnsi="Times New Roman"/>
              <w:b/>
              <w:sz w:val="24"/>
              <w:szCs w:val="24"/>
              <w:lang w:val="es-MX"/>
            </w:rPr>
          </w:pPr>
          <w:r w:rsidRPr="0020113A">
            <w:rPr>
              <w:rFonts w:ascii="Times New Roman" w:hAnsi="Times New Roman"/>
              <w:b/>
              <w:sz w:val="24"/>
              <w:szCs w:val="24"/>
              <w:lang w:val="es-MX"/>
            </w:rPr>
            <w:t xml:space="preserve">Descripción: </w:t>
          </w:r>
          <w:r w:rsidRPr="0020113A">
            <w:rPr>
              <w:rFonts w:ascii="Times New Roman" w:hAnsi="Times New Roman"/>
              <w:sz w:val="24"/>
              <w:szCs w:val="24"/>
              <w:lang w:val="es-MX"/>
            </w:rPr>
            <w:t>El cálculo de la Retribución del Concesionario está regulado en la Sección 4.3 de la Parte Especial.</w:t>
          </w:r>
        </w:p>
        <w:p w14:paraId="5A46DD17"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b/>
              <w:sz w:val="24"/>
              <w:szCs w:val="24"/>
              <w:lang w:val="es-MX"/>
            </w:rPr>
            <w:t xml:space="preserve">Tasa de Retribución: </w:t>
          </w:r>
          <w:r w:rsidRPr="0020113A">
            <w:rPr>
              <w:rFonts w:ascii="Times New Roman" w:hAnsi="Times New Roman"/>
              <w:sz w:val="24"/>
              <w:szCs w:val="24"/>
              <w:lang w:val="es-MX"/>
            </w:rPr>
            <w:t xml:space="preserve">La tasa de retribución del Concesionario o tasa de descuento real (TDI) expresada en términos efectivos mensuales, para efectos de este Proyecto, será del cero punto cincuenta y seis treinta (0.5663%) de acuerdo con la definición 18.3(d) de la Parte General y el valor establecido en la Parte Especial. </w:t>
          </w:r>
        </w:p>
        <w:p w14:paraId="6B9CA5C0"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La metodología para el cálculo de la carga financiera se estableció conforme a lo planteado en el modelo financiero contratado por la Agencia con Deloitte, en este la carga financiera se obtiene a través del cálculo de una tasa resultante para mantener el equilibrio entre los recursos disponibles del proyecto y las obligaciones a pagar, la tasa que asegure ese equilibrio es la tasa de cierre del modelo.</w:t>
          </w:r>
        </w:p>
        <w:p w14:paraId="738FB441"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 xml:space="preserve">El Cálculo de la Retribución del Concesionario se encuentra establecido en la Sección 4.3 de la Parte Especial y está compuesto por el pago de las Vigencias Futuras (Aportes), el Recaudo de Peajes (Peajes) y los Ingresos por Explotación Comercial (EC), variables que están sujetas a cualquier Descuento pendiente que se deba efectuar a la Retribución.  La fórmula se muestra a continuación: </w:t>
          </w:r>
        </w:p>
        <w:p w14:paraId="6B03050A" w14:textId="77777777" w:rsidR="007803E3" w:rsidRPr="0020113A" w:rsidRDefault="007803E3" w:rsidP="007803E3">
          <w:pPr>
            <w:jc w:val="center"/>
            <w:rPr>
              <w:rFonts w:ascii="Times New Roman" w:hAnsi="Times New Roman"/>
              <w:sz w:val="24"/>
              <w:szCs w:val="24"/>
              <w:lang w:val="es-MX"/>
            </w:rPr>
          </w:pPr>
          <w:r w:rsidRPr="0020113A">
            <w:rPr>
              <w:rFonts w:ascii="Times New Roman" w:hAnsi="Times New Roman"/>
              <w:sz w:val="24"/>
              <w:szCs w:val="24"/>
              <w:lang w:val="es-MX"/>
            </w:rPr>
            <w:t>R_h^u=</w:t>
          </w:r>
          <w:r w:rsidRPr="0020113A">
            <w:rPr>
              <w:rFonts w:ascii="Times New Roman" w:eastAsia="Cambria Math" w:hAnsi="Times New Roman"/>
              <w:sz w:val="24"/>
              <w:szCs w:val="24"/>
              <w:lang w:val="es-MX"/>
            </w:rPr>
            <w:t>〖</w:t>
          </w:r>
          <w:r w:rsidRPr="0020113A">
            <w:rPr>
              <w:rFonts w:ascii="Times New Roman" w:hAnsi="Times New Roman"/>
              <w:sz w:val="24"/>
              <w:szCs w:val="24"/>
              <w:lang w:val="es-MX"/>
            </w:rPr>
            <w:t>Aportes</w:t>
          </w:r>
          <w:r w:rsidRPr="0020113A">
            <w:rPr>
              <w:rFonts w:ascii="Times New Roman" w:eastAsia="Cambria Math" w:hAnsi="Times New Roman"/>
              <w:sz w:val="24"/>
              <w:szCs w:val="24"/>
              <w:lang w:val="es-MX"/>
            </w:rPr>
            <w:t>〗</w:t>
          </w:r>
          <w:r w:rsidRPr="0020113A">
            <w:rPr>
              <w:rFonts w:ascii="Times New Roman" w:hAnsi="Times New Roman"/>
              <w:sz w:val="24"/>
              <w:szCs w:val="24"/>
              <w:lang w:val="es-MX"/>
            </w:rPr>
            <w:t>_h^u+</w:t>
          </w:r>
          <w:r w:rsidRPr="0020113A">
            <w:rPr>
              <w:rFonts w:ascii="Times New Roman" w:eastAsia="Cambria Math" w:hAnsi="Times New Roman"/>
              <w:sz w:val="24"/>
              <w:szCs w:val="24"/>
              <w:lang w:val="es-MX"/>
            </w:rPr>
            <w:t>〖</w:t>
          </w:r>
          <w:r w:rsidRPr="0020113A">
            <w:rPr>
              <w:rFonts w:ascii="Times New Roman" w:hAnsi="Times New Roman"/>
              <w:sz w:val="24"/>
              <w:szCs w:val="24"/>
              <w:lang w:val="es-MX"/>
            </w:rPr>
            <w:t>Peajes</w:t>
          </w:r>
          <w:r w:rsidRPr="0020113A">
            <w:rPr>
              <w:rFonts w:ascii="Times New Roman" w:eastAsia="Cambria Math" w:hAnsi="Times New Roman"/>
              <w:sz w:val="24"/>
              <w:szCs w:val="24"/>
              <w:lang w:val="es-MX"/>
            </w:rPr>
            <w:t>〗</w:t>
          </w:r>
          <w:r w:rsidRPr="0020113A">
            <w:rPr>
              <w:rFonts w:ascii="Times New Roman" w:hAnsi="Times New Roman"/>
              <w:sz w:val="24"/>
              <w:szCs w:val="24"/>
              <w:lang w:val="es-MX"/>
            </w:rPr>
            <w:t>_h^u+</w:t>
          </w:r>
          <w:r w:rsidRPr="0020113A">
            <w:rPr>
              <w:rFonts w:ascii="Times New Roman" w:eastAsia="Cambria Math" w:hAnsi="Times New Roman"/>
              <w:sz w:val="24"/>
              <w:szCs w:val="24"/>
              <w:lang w:val="es-MX"/>
            </w:rPr>
            <w:t>〖</w:t>
          </w:r>
          <w:r w:rsidRPr="0020113A">
            <w:rPr>
              <w:rFonts w:ascii="Times New Roman" w:hAnsi="Times New Roman"/>
              <w:sz w:val="24"/>
              <w:szCs w:val="24"/>
              <w:lang w:val="es-MX"/>
            </w:rPr>
            <w:t>EC</w:t>
          </w:r>
          <w:r w:rsidRPr="0020113A">
            <w:rPr>
              <w:rFonts w:ascii="Times New Roman" w:eastAsia="Cambria Math" w:hAnsi="Times New Roman"/>
              <w:sz w:val="24"/>
              <w:szCs w:val="24"/>
              <w:lang w:val="es-MX"/>
            </w:rPr>
            <w:t>〗</w:t>
          </w:r>
          <w:r w:rsidRPr="0020113A">
            <w:rPr>
              <w:rFonts w:ascii="Times New Roman" w:hAnsi="Times New Roman"/>
              <w:sz w:val="24"/>
              <w:szCs w:val="24"/>
              <w:lang w:val="es-MX"/>
            </w:rPr>
            <w:t>_h^u-D_h</w:t>
          </w:r>
        </w:p>
        <w:p w14:paraId="6DE55255" w14:textId="77777777" w:rsidR="007803E3" w:rsidRPr="0020113A" w:rsidRDefault="007803E3" w:rsidP="007803E3">
          <w:pPr>
            <w:jc w:val="both"/>
            <w:rPr>
              <w:rFonts w:ascii="Times New Roman" w:hAnsi="Times New Roman"/>
              <w:sz w:val="24"/>
              <w:szCs w:val="24"/>
              <w:lang w:val="es-MX"/>
            </w:rPr>
          </w:pPr>
          <w:r w:rsidRPr="0020113A">
            <w:rPr>
              <w:rFonts w:ascii="Times New Roman" w:hAnsi="Times New Roman"/>
              <w:sz w:val="24"/>
              <w:szCs w:val="24"/>
              <w:lang w:val="es-MX"/>
            </w:rPr>
            <w:t xml:space="preserve">Los índices sobre las variables se encuentran definidos en la citada sección del Contrato de Concesión. Las condiciones para el Cierre Financiero del Proyecto se encuentran en la Sección 3.8 de la Parte General. </w:t>
          </w:r>
        </w:p>
        <w:p w14:paraId="119470E8" w14:textId="77777777" w:rsidR="007803E3" w:rsidRPr="0020113A" w:rsidRDefault="007803E3" w:rsidP="00E60BAB">
          <w:pPr>
            <w:pStyle w:val="Prrafodelista"/>
            <w:numPr>
              <w:ilvl w:val="0"/>
              <w:numId w:val="94"/>
            </w:numPr>
            <w:spacing w:line="259" w:lineRule="auto"/>
            <w:rPr>
              <w:rFonts w:ascii="Times New Roman" w:hAnsi="Times New Roman"/>
              <w:b/>
              <w:sz w:val="24"/>
              <w:szCs w:val="24"/>
              <w:lang w:val="es-MX"/>
            </w:rPr>
          </w:pPr>
          <w:r w:rsidRPr="0020113A">
            <w:rPr>
              <w:rFonts w:ascii="Times New Roman" w:hAnsi="Times New Roman"/>
              <w:b/>
              <w:sz w:val="24"/>
              <w:szCs w:val="24"/>
              <w:lang w:val="es-MX"/>
            </w:rPr>
            <w:t>Derechos a recibir activos especificados al final del acuerdo de concesión</w:t>
          </w:r>
        </w:p>
        <w:p w14:paraId="06BC28A9" w14:textId="77777777" w:rsidR="007803E3" w:rsidRPr="0020113A" w:rsidRDefault="007803E3" w:rsidP="007803E3">
          <w:pPr>
            <w:pStyle w:val="Default"/>
            <w:jc w:val="both"/>
            <w:rPr>
              <w:rFonts w:ascii="Times New Roman" w:hAnsi="Times New Roman" w:cs="Times New Roman"/>
              <w:color w:val="auto"/>
            </w:rPr>
          </w:pPr>
          <w:r w:rsidRPr="0020113A">
            <w:rPr>
              <w:rFonts w:ascii="Times New Roman" w:hAnsi="Times New Roman" w:cs="Times New Roman"/>
              <w:b/>
              <w:color w:val="auto"/>
              <w:lang w:val="es-MX"/>
            </w:rPr>
            <w:t xml:space="preserve">Descripción: </w:t>
          </w:r>
          <w:r w:rsidRPr="0020113A">
            <w:rPr>
              <w:rFonts w:ascii="Times New Roman" w:hAnsi="Times New Roman" w:cs="Times New Roman"/>
              <w:color w:val="auto"/>
              <w:lang w:val="es-MX"/>
            </w:rPr>
            <w:t xml:space="preserve"> </w:t>
          </w:r>
          <w:r w:rsidRPr="0020113A">
            <w:rPr>
              <w:rFonts w:ascii="Times New Roman" w:hAnsi="Times New Roman" w:cs="Times New Roman"/>
              <w:color w:val="auto"/>
            </w:rPr>
            <w:t xml:space="preserve">Al día siguiente de la Fecha de Terminación de la Etapa de Operación y Mantenimiento, o de la declaratoria de Terminación Anticipada del Contrato, el Concesionario y el Interventor deberán iniciar la verificación final del Proyecto con el fin de proceder a la Reversión. </w:t>
          </w:r>
        </w:p>
        <w:p w14:paraId="7B708D98" w14:textId="77777777" w:rsidR="007803E3" w:rsidRPr="0020113A" w:rsidRDefault="007803E3" w:rsidP="007803E3">
          <w:pPr>
            <w:pStyle w:val="Default"/>
            <w:jc w:val="both"/>
            <w:rPr>
              <w:rFonts w:ascii="Times New Roman" w:hAnsi="Times New Roman" w:cs="Times New Roman"/>
              <w:color w:val="auto"/>
            </w:rPr>
          </w:pPr>
          <w:r w:rsidRPr="0020113A">
            <w:rPr>
              <w:rFonts w:ascii="Times New Roman" w:hAnsi="Times New Roman" w:cs="Times New Roman"/>
              <w:color w:val="auto"/>
            </w:rPr>
            <w:t xml:space="preserve">Sin perjuicio de la obligación que le asiste al Concesionario en cuanto a la ejecución de las Intervenciones, las obligaciones de Operación y las Obras de Mantenimiento a que se refiere el Contrato, se entenderá que la ANI se hará propietario de las obras que conforman el Proyecto al momento de su ejecución, incluyendo además, pero sin limitarse, las Estaciones de Peaje y de Pesaje, junto con la totalidad de los bienes muebles o inmuebles por destinación o adhesión, que se encuentren en las mismas, no obstante lo cual, el Concesionario conservará la mera tenencia para efectos del cumplimiento del Contrato y será por ende responsable de la guarda material y jurídica de tales bienes aquí mencionados que conforman el Proyecto. </w:t>
          </w:r>
        </w:p>
        <w:p w14:paraId="27F4F4E2" w14:textId="77777777" w:rsidR="007803E3" w:rsidRPr="0020113A" w:rsidRDefault="007803E3" w:rsidP="007803E3">
          <w:pPr>
            <w:pStyle w:val="Default"/>
            <w:jc w:val="both"/>
            <w:rPr>
              <w:rFonts w:ascii="Times New Roman" w:hAnsi="Times New Roman" w:cs="Times New Roman"/>
              <w:color w:val="auto"/>
            </w:rPr>
          </w:pPr>
          <w:r w:rsidRPr="0020113A">
            <w:rPr>
              <w:rFonts w:ascii="Times New Roman" w:hAnsi="Times New Roman" w:cs="Times New Roman"/>
              <w:color w:val="auto"/>
            </w:rPr>
            <w:t xml:space="preserve">Estos bienes de propiedad de la ANI, y, en general, todos los bienes inmuebles con todas sus anexidades y los equipos, software y demás activos que hacen parte del Proyecto, serán </w:t>
          </w:r>
          <w:r w:rsidRPr="0020113A">
            <w:rPr>
              <w:rFonts w:ascii="Times New Roman" w:hAnsi="Times New Roman" w:cs="Times New Roman"/>
              <w:color w:val="auto"/>
            </w:rPr>
            <w:lastRenderedPageBreak/>
            <w:t xml:space="preserve">entregados a la ANI, según corresponda, en las condiciones señaladas en el Apéndice Técnico 2 al momento de la terminación de la Etapa de Reversión. </w:t>
          </w:r>
        </w:p>
        <w:p w14:paraId="7B6354E5" w14:textId="77777777" w:rsidR="007803E3" w:rsidRPr="0020113A" w:rsidRDefault="007803E3" w:rsidP="007803E3">
          <w:pPr>
            <w:pStyle w:val="Default"/>
            <w:jc w:val="both"/>
            <w:rPr>
              <w:rFonts w:ascii="Times New Roman" w:hAnsi="Times New Roman" w:cs="Times New Roman"/>
              <w:color w:val="auto"/>
            </w:rPr>
          </w:pPr>
          <w:r w:rsidRPr="0020113A">
            <w:rPr>
              <w:rFonts w:ascii="Times New Roman" w:hAnsi="Times New Roman" w:cs="Times New Roman"/>
              <w:color w:val="auto"/>
            </w:rPr>
            <w:t xml:space="preserve">El procedimiento para la Reversión incluirá: Actualización del Inventario de Activos de la Concesión que incluirá todos los bienes inmuebles por adhesión y destinación y en general todos aquellos bienes que (1) hayan sido adquiridos por el Concesionario y se encuentren destinados a las actividades de Operación, lo cual en ningún caso incluirá maquinaria de construcción; (2) hayan sido entregados por la ANI; y (3) que hubieren sido de particulares que hayan sido requeridos por el Proyecto. En todo caso este listado incluirá –como mínimo– el listado de bienes revertibles que aparece en el Apéndice Técnico 2. Así mismo, se verificará que los Predios adquiridos se encuentran libres de toda ocupación ilegal. </w:t>
          </w:r>
        </w:p>
        <w:p w14:paraId="2CBCCA61" w14:textId="77777777" w:rsidR="007803E3" w:rsidRPr="0020113A" w:rsidRDefault="007803E3" w:rsidP="007803E3">
          <w:pPr>
            <w:pStyle w:val="Default"/>
            <w:jc w:val="both"/>
            <w:rPr>
              <w:rFonts w:ascii="Times New Roman" w:hAnsi="Times New Roman" w:cs="Times New Roman"/>
              <w:color w:val="auto"/>
            </w:rPr>
          </w:pPr>
          <w:r w:rsidRPr="0020113A">
            <w:rPr>
              <w:rFonts w:ascii="Times New Roman" w:hAnsi="Times New Roman" w:cs="Times New Roman"/>
              <w:color w:val="auto"/>
            </w:rPr>
            <w:t xml:space="preserve">Un recorrido del Corredor del Proyecto con el Interventor en la cual se dejará constancia de las condiciones técnicas del Proyecto incluyendo la medición de los Indicadores, el estado de los Predios que conforman el Corredor del Proyecto y de las Fajas. </w:t>
          </w:r>
        </w:p>
        <w:p w14:paraId="61ACC85F" w14:textId="77777777" w:rsidR="007803E3" w:rsidRPr="0020113A" w:rsidRDefault="007803E3" w:rsidP="007803E3">
          <w:pPr>
            <w:pStyle w:val="Default"/>
            <w:jc w:val="both"/>
            <w:rPr>
              <w:rFonts w:ascii="Times New Roman" w:hAnsi="Times New Roman" w:cs="Times New Roman"/>
              <w:color w:val="auto"/>
            </w:rPr>
          </w:pPr>
          <w:r w:rsidRPr="0020113A">
            <w:rPr>
              <w:rFonts w:ascii="Times New Roman" w:hAnsi="Times New Roman" w:cs="Times New Roman"/>
              <w:color w:val="auto"/>
            </w:rPr>
            <w:t xml:space="preserve">El Concesionario deberá actualizar la Memoria Técnica correspondiente a todas las Unidades Funcionales que hacen parte del Proyecto. </w:t>
          </w:r>
        </w:p>
        <w:p w14:paraId="3C8FDC3F" w14:textId="77777777" w:rsidR="007803E3" w:rsidRPr="0020113A" w:rsidRDefault="007803E3" w:rsidP="007803E3">
          <w:pPr>
            <w:pStyle w:val="Default"/>
            <w:jc w:val="both"/>
            <w:rPr>
              <w:rFonts w:ascii="Times New Roman" w:hAnsi="Times New Roman" w:cs="Times New Roman"/>
              <w:color w:val="auto"/>
            </w:rPr>
          </w:pPr>
          <w:r w:rsidRPr="0020113A">
            <w:rPr>
              <w:rFonts w:ascii="Times New Roman" w:hAnsi="Times New Roman" w:cs="Times New Roman"/>
              <w:color w:val="auto"/>
            </w:rPr>
            <w:t xml:space="preserve">En el evento en que haya activos en leasing o arriendos de cualquier naturaleza, tales contratos deberán terminarse anticipadamente por el Concesionario (y asumir el costo de tal terminación) de manera que se pueda transferir la propiedad de dichos activos a la ANI. </w:t>
          </w:r>
        </w:p>
        <w:p w14:paraId="760140C3" w14:textId="77777777" w:rsidR="007803E3" w:rsidRPr="0020113A" w:rsidRDefault="007803E3" w:rsidP="007803E3">
          <w:pPr>
            <w:pStyle w:val="Default"/>
            <w:jc w:val="both"/>
            <w:rPr>
              <w:rFonts w:ascii="Times New Roman" w:hAnsi="Times New Roman" w:cs="Times New Roman"/>
              <w:color w:val="auto"/>
            </w:rPr>
          </w:pPr>
          <w:r w:rsidRPr="0020113A">
            <w:rPr>
              <w:rFonts w:ascii="Times New Roman" w:hAnsi="Times New Roman" w:cs="Times New Roman"/>
              <w:color w:val="auto"/>
            </w:rPr>
            <w:t xml:space="preserve">En caso de ser necesario, deberán suscribirse las escrituras públicas requeridas para la transferencia de bienes inmuebles y los contratos de transferencia de aquellos muebles sujetos a registro. </w:t>
          </w:r>
        </w:p>
        <w:p w14:paraId="291E7DEA" w14:textId="77777777" w:rsidR="007803E3" w:rsidRPr="0020113A" w:rsidRDefault="007803E3" w:rsidP="007803E3">
          <w:pPr>
            <w:pStyle w:val="Default"/>
            <w:jc w:val="both"/>
            <w:rPr>
              <w:rFonts w:ascii="Times New Roman" w:hAnsi="Times New Roman" w:cs="Times New Roman"/>
              <w:color w:val="auto"/>
            </w:rPr>
          </w:pPr>
          <w:r w:rsidRPr="0020113A">
            <w:rPr>
              <w:rFonts w:ascii="Times New Roman" w:hAnsi="Times New Roman" w:cs="Times New Roman"/>
              <w:color w:val="auto"/>
            </w:rPr>
            <w:t xml:space="preserve">El Concesionario deberá adelantar todos los trámites tendientes al perfeccionamiento de las transferencias de los bienes muebles e inmuebles. </w:t>
          </w:r>
        </w:p>
        <w:p w14:paraId="11D14444" w14:textId="77777777" w:rsidR="007803E3" w:rsidRPr="0020113A" w:rsidRDefault="007803E3" w:rsidP="007803E3">
          <w:pPr>
            <w:pStyle w:val="Default"/>
            <w:jc w:val="both"/>
            <w:rPr>
              <w:rFonts w:ascii="Times New Roman" w:hAnsi="Times New Roman" w:cs="Times New Roman"/>
              <w:color w:val="auto"/>
            </w:rPr>
          </w:pPr>
          <w:r w:rsidRPr="0020113A">
            <w:rPr>
              <w:rFonts w:ascii="Times New Roman" w:hAnsi="Times New Roman" w:cs="Times New Roman"/>
              <w:color w:val="auto"/>
            </w:rPr>
            <w:t xml:space="preserve">El Concesionario deberá realizar la entrega de los activos relacionados con la Propiedad, Planta y Equipo de acuerdo con el procedimiento contable para el reconocimiento y revelación de hechos relacionados con las propiedades, planta y equipo, contemplado en el Régimen de Contabilidad Pública y en la doctrina contable pública. </w:t>
          </w:r>
        </w:p>
        <w:p w14:paraId="24349868" w14:textId="77777777" w:rsidR="007803E3" w:rsidRPr="0020113A" w:rsidRDefault="007803E3" w:rsidP="007803E3">
          <w:pPr>
            <w:pStyle w:val="Default"/>
            <w:jc w:val="both"/>
            <w:rPr>
              <w:rFonts w:ascii="Times New Roman" w:hAnsi="Times New Roman" w:cs="Times New Roman"/>
              <w:color w:val="auto"/>
            </w:rPr>
          </w:pPr>
          <w:r w:rsidRPr="0020113A">
            <w:rPr>
              <w:rFonts w:ascii="Times New Roman" w:hAnsi="Times New Roman" w:cs="Times New Roman"/>
              <w:color w:val="auto"/>
            </w:rPr>
            <w:t xml:space="preserve">El Concesionario deberá realizar la entrega de los activos intangibles de acuerdo con el procedimiento contable para el reconocimiento y revelación de los activos intangibles, contemplado en el Régimen de Contabilidad Pública y en la doctrina contable pública. El Concesionario deberá hacer la entrega de los bienes, construcciones e inmuebles que fueron entregados al Concesionario en el momento de la suscripción del Contrato de acuerdo con lo establecido en la Resolución 237 de 2010 de la Contaduría General de la Nación y demás normas que la modifiquen, complementen o sustituyan. El Concesionario deberá entregar un avalúo de los activos fijos debidamente actualizado. </w:t>
          </w:r>
        </w:p>
        <w:p w14:paraId="10C78DFF" w14:textId="77777777" w:rsidR="007803E3" w:rsidRPr="0020113A" w:rsidRDefault="007803E3" w:rsidP="007803E3">
          <w:pPr>
            <w:jc w:val="both"/>
            <w:rPr>
              <w:rFonts w:ascii="Times New Roman" w:hAnsi="Times New Roman"/>
              <w:sz w:val="24"/>
              <w:szCs w:val="24"/>
            </w:rPr>
          </w:pPr>
        </w:p>
        <w:p w14:paraId="529F3CAA" w14:textId="77777777" w:rsidR="007803E3" w:rsidRPr="0020113A" w:rsidRDefault="007803E3" w:rsidP="007803E3">
          <w:pPr>
            <w:jc w:val="both"/>
            <w:rPr>
              <w:rFonts w:ascii="Times New Roman" w:hAnsi="Times New Roman"/>
              <w:b/>
              <w:sz w:val="24"/>
              <w:szCs w:val="24"/>
              <w:lang w:val="es-MX"/>
            </w:rPr>
          </w:pPr>
          <w:r w:rsidRPr="0020113A">
            <w:rPr>
              <w:rFonts w:ascii="Times New Roman" w:hAnsi="Times New Roman"/>
              <w:b/>
              <w:sz w:val="24"/>
              <w:szCs w:val="24"/>
              <w:lang w:val="es-MX"/>
            </w:rPr>
            <w:t xml:space="preserve">Observaciones: </w:t>
          </w:r>
          <w:r w:rsidRPr="0020113A">
            <w:rPr>
              <w:rFonts w:ascii="Times New Roman" w:hAnsi="Times New Roman"/>
              <w:sz w:val="24"/>
              <w:szCs w:val="24"/>
              <w:lang w:val="es-MX"/>
            </w:rPr>
            <w:t>No se tienen observaciones</w:t>
          </w:r>
        </w:p>
        <w:p w14:paraId="41E7151B" w14:textId="5D71C612" w:rsidR="007803E3" w:rsidRPr="0020113A" w:rsidRDefault="007039EE" w:rsidP="00E60BAB">
          <w:pPr>
            <w:pStyle w:val="Prrafodelista"/>
            <w:numPr>
              <w:ilvl w:val="0"/>
              <w:numId w:val="91"/>
            </w:numPr>
            <w:spacing w:line="259" w:lineRule="auto"/>
            <w:rPr>
              <w:rFonts w:ascii="Times New Roman" w:hAnsi="Times New Roman"/>
              <w:b/>
              <w:sz w:val="24"/>
              <w:szCs w:val="24"/>
              <w:lang w:val="es-MX"/>
            </w:rPr>
          </w:pPr>
          <w:r>
            <w:rPr>
              <w:rFonts w:ascii="Times New Roman" w:hAnsi="Times New Roman"/>
              <w:b/>
              <w:sz w:val="24"/>
              <w:szCs w:val="24"/>
              <w:lang w:val="es-MX"/>
            </w:rPr>
            <w:t>No hay c</w:t>
          </w:r>
          <w:r w:rsidR="007803E3" w:rsidRPr="0020113A">
            <w:rPr>
              <w:rFonts w:ascii="Times New Roman" w:hAnsi="Times New Roman"/>
              <w:b/>
              <w:sz w:val="24"/>
              <w:szCs w:val="24"/>
              <w:lang w:val="es-MX"/>
            </w:rPr>
            <w:t>ambios en el acuerdo de concesión que se realicen durante el periodo fiscal</w:t>
          </w:r>
        </w:p>
        <w:p w14:paraId="09F9E26A" w14:textId="77777777" w:rsidR="007803E3" w:rsidRPr="0020113A" w:rsidRDefault="007803E3" w:rsidP="007803E3">
          <w:pPr>
            <w:pStyle w:val="Prrafodelista"/>
            <w:rPr>
              <w:rFonts w:ascii="Times New Roman" w:hAnsi="Times New Roman"/>
              <w:sz w:val="24"/>
              <w:szCs w:val="24"/>
              <w:lang w:val="es-MX"/>
            </w:rPr>
          </w:pPr>
        </w:p>
        <w:p w14:paraId="526FBE72" w14:textId="77777777" w:rsidR="007803E3" w:rsidRPr="0020113A" w:rsidRDefault="007803E3" w:rsidP="007803E3">
          <w:pPr>
            <w:pStyle w:val="Prrafodelista"/>
            <w:rPr>
              <w:rFonts w:ascii="Times New Roman" w:hAnsi="Times New Roman"/>
              <w:sz w:val="24"/>
              <w:szCs w:val="24"/>
              <w:lang w:val="es-MX"/>
            </w:rPr>
          </w:pPr>
        </w:p>
        <w:p w14:paraId="23E9EF43" w14:textId="77777777" w:rsidR="007803E3" w:rsidRPr="0020113A" w:rsidRDefault="007803E3" w:rsidP="007803E3">
          <w:pPr>
            <w:spacing w:line="257" w:lineRule="auto"/>
            <w:jc w:val="both"/>
            <w:rPr>
              <w:rFonts w:ascii="Times New Roman" w:hAnsi="Times New Roman"/>
              <w:b/>
              <w:sz w:val="24"/>
              <w:szCs w:val="24"/>
              <w:lang w:val="es-MX"/>
            </w:rPr>
          </w:pPr>
          <w:r w:rsidRPr="0020113A">
            <w:rPr>
              <w:rFonts w:ascii="Times New Roman" w:hAnsi="Times New Roman"/>
              <w:b/>
              <w:sz w:val="24"/>
              <w:szCs w:val="24"/>
              <w:lang w:val="es-MX"/>
            </w:rPr>
            <w:t xml:space="preserve">TERCER CARRIL </w:t>
          </w:r>
        </w:p>
        <w:p w14:paraId="608C9AA1" w14:textId="77777777" w:rsidR="007803E3" w:rsidRPr="0020113A" w:rsidRDefault="007803E3" w:rsidP="007803E3">
          <w:pPr>
            <w:spacing w:line="257" w:lineRule="auto"/>
            <w:jc w:val="both"/>
            <w:rPr>
              <w:rFonts w:ascii="Times New Roman" w:hAnsi="Times New Roman"/>
              <w:b/>
              <w:sz w:val="24"/>
              <w:szCs w:val="24"/>
              <w:lang w:val="es-MX"/>
            </w:rPr>
          </w:pPr>
        </w:p>
        <w:p w14:paraId="0D1502A9" w14:textId="77777777" w:rsidR="007803E3" w:rsidRPr="0020113A" w:rsidRDefault="007803E3" w:rsidP="00E60BAB">
          <w:pPr>
            <w:pStyle w:val="paragraph"/>
            <w:numPr>
              <w:ilvl w:val="0"/>
              <w:numId w:val="99"/>
            </w:numPr>
            <w:spacing w:before="0" w:beforeAutospacing="0" w:after="0" w:afterAutospacing="0"/>
            <w:textAlignment w:val="baseline"/>
            <w:rPr>
              <w:rStyle w:val="eop"/>
              <w:b/>
              <w:bCs/>
            </w:rPr>
          </w:pPr>
          <w:r w:rsidRPr="0020113A">
            <w:rPr>
              <w:rStyle w:val="normaltextrun"/>
              <w:b/>
              <w:bCs/>
              <w:shd w:val="clear" w:color="auto" w:fill="FFFFFF"/>
              <w:lang w:val="es-MX"/>
            </w:rPr>
            <w:lastRenderedPageBreak/>
            <w:t>Descripción del Acuerdo</w:t>
          </w:r>
          <w:r w:rsidRPr="0020113A">
            <w:rPr>
              <w:rStyle w:val="eop"/>
              <w:b/>
              <w:bCs/>
              <w:shd w:val="clear" w:color="auto" w:fill="FFFFFF"/>
            </w:rPr>
            <w:t> </w:t>
          </w:r>
          <w:r w:rsidRPr="0020113A">
            <w:rPr>
              <w:rStyle w:val="eop"/>
              <w:b/>
              <w:bCs/>
            </w:rPr>
            <w:t> </w:t>
          </w:r>
        </w:p>
        <w:p w14:paraId="7A13BDA5" w14:textId="77777777" w:rsidR="007803E3" w:rsidRPr="0020113A" w:rsidRDefault="007803E3" w:rsidP="007803E3">
          <w:pPr>
            <w:pStyle w:val="paragraph"/>
            <w:spacing w:before="0" w:beforeAutospacing="0" w:after="0" w:afterAutospacing="0"/>
            <w:textAlignment w:val="baseline"/>
            <w:rPr>
              <w:rStyle w:val="eop"/>
            </w:rPr>
          </w:pPr>
        </w:p>
        <w:p w14:paraId="625F623E" w14:textId="77777777" w:rsidR="007803E3" w:rsidRPr="0020113A" w:rsidRDefault="007803E3" w:rsidP="007803E3">
          <w:pPr>
            <w:pStyle w:val="Default"/>
            <w:rPr>
              <w:rFonts w:ascii="Times New Roman" w:hAnsi="Times New Roman" w:cs="Times New Roman"/>
              <w:color w:val="auto"/>
            </w:rPr>
          </w:pPr>
          <w:r w:rsidRPr="0020113A">
            <w:rPr>
              <w:rStyle w:val="normaltextrun"/>
              <w:rFonts w:ascii="Times New Roman" w:hAnsi="Times New Roman" w:cs="Times New Roman"/>
              <w:b/>
              <w:bCs/>
              <w:color w:val="auto"/>
              <w:bdr w:val="none" w:sz="0" w:space="0" w:color="auto" w:frame="1"/>
              <w:lang w:val="es-MX"/>
            </w:rPr>
            <w:t xml:space="preserve">Número del Acuerdo de Concesión: </w:t>
          </w:r>
          <w:r w:rsidRPr="0020113A">
            <w:rPr>
              <w:rStyle w:val="normaltextrun"/>
              <w:rFonts w:ascii="Times New Roman" w:hAnsi="Times New Roman" w:cs="Times New Roman"/>
              <w:color w:val="auto"/>
              <w:bdr w:val="none" w:sz="0" w:space="0" w:color="auto" w:frame="1"/>
              <w:lang w:val="es-MX"/>
            </w:rPr>
            <w:t xml:space="preserve">Contrato de Concesión </w:t>
          </w:r>
          <w:r w:rsidRPr="0020113A">
            <w:rPr>
              <w:rFonts w:ascii="Times New Roman" w:hAnsi="Times New Roman" w:cs="Times New Roman"/>
              <w:color w:val="auto"/>
            </w:rPr>
            <w:t xml:space="preserve">No 4 DEL 16 DE OCTUBRE DE 2016 </w:t>
          </w:r>
        </w:p>
        <w:p w14:paraId="01B0BAC9" w14:textId="77777777" w:rsidR="007803E3" w:rsidRPr="0020113A" w:rsidRDefault="007803E3" w:rsidP="007803E3">
          <w:pPr>
            <w:pStyle w:val="Default"/>
            <w:jc w:val="both"/>
            <w:rPr>
              <w:rFonts w:ascii="Times New Roman" w:hAnsi="Times New Roman" w:cs="Times New Roman"/>
              <w:color w:val="auto"/>
            </w:rPr>
          </w:pPr>
          <w:r w:rsidRPr="0020113A">
            <w:rPr>
              <w:rStyle w:val="normaltextrun"/>
              <w:rFonts w:ascii="Times New Roman" w:hAnsi="Times New Roman" w:cs="Times New Roman"/>
              <w:b/>
              <w:bCs/>
              <w:color w:val="auto"/>
              <w:shd w:val="clear" w:color="auto" w:fill="FFFFFF"/>
            </w:rPr>
            <w:t xml:space="preserve">Objeto / Descripción: </w:t>
          </w:r>
          <w:r w:rsidRPr="0020113A">
            <w:rPr>
              <w:rFonts w:ascii="Times New Roman" w:hAnsi="Times New Roman" w:cs="Times New Roman"/>
              <w:color w:val="auto"/>
            </w:rPr>
            <w:t xml:space="preserve">tiene por objeto el otorgamiento de una concesión para que, de conformidad con lo previsto en este Contrato, el Concesionario, por su cuenta y riesgo, lleve a cabo el Proyecto. El alcance físico del Proyecto se describe en la Parte Especial y en el Apéndice Técnico 1 </w:t>
          </w:r>
        </w:p>
        <w:p w14:paraId="689CFBF2" w14:textId="77777777" w:rsidR="007803E3" w:rsidRPr="0020113A" w:rsidRDefault="007803E3" w:rsidP="007803E3">
          <w:pPr>
            <w:pStyle w:val="Default"/>
            <w:rPr>
              <w:rFonts w:ascii="Times New Roman" w:hAnsi="Times New Roman" w:cs="Times New Roman"/>
              <w:color w:val="auto"/>
            </w:rPr>
          </w:pPr>
          <w:r w:rsidRPr="0020113A">
            <w:rPr>
              <w:rStyle w:val="normaltextrun"/>
              <w:rFonts w:ascii="Times New Roman" w:hAnsi="Times New Roman" w:cs="Times New Roman"/>
              <w:b/>
              <w:bCs/>
              <w:color w:val="auto"/>
              <w:bdr w:val="none" w:sz="0" w:space="0" w:color="auto" w:frame="1"/>
              <w:lang w:val="es-MX"/>
            </w:rPr>
            <w:t xml:space="preserve">Valor Inicial: </w:t>
          </w:r>
          <w:r w:rsidRPr="0020113A">
            <w:rPr>
              <w:rStyle w:val="normaltextrun"/>
              <w:rFonts w:ascii="Times New Roman" w:hAnsi="Times New Roman" w:cs="Times New Roman"/>
              <w:color w:val="auto"/>
              <w:bdr w:val="none" w:sz="0" w:space="0" w:color="auto" w:frame="1"/>
              <w:lang w:val="es-MX"/>
            </w:rPr>
            <w:t>$</w:t>
          </w:r>
          <w:r w:rsidRPr="0020113A">
            <w:rPr>
              <w:rFonts w:ascii="Times New Roman" w:hAnsi="Times New Roman" w:cs="Times New Roman"/>
              <w:color w:val="auto"/>
            </w:rPr>
            <w:t xml:space="preserve"> 4.197.839.609.774 </w:t>
          </w:r>
        </w:p>
        <w:p w14:paraId="1549897E" w14:textId="77777777" w:rsidR="007803E3" w:rsidRPr="0020113A" w:rsidRDefault="007803E3" w:rsidP="007803E3">
          <w:pPr>
            <w:pStyle w:val="Default"/>
            <w:rPr>
              <w:rFonts w:ascii="Times New Roman" w:hAnsi="Times New Roman" w:cs="Times New Roman"/>
              <w:color w:val="auto"/>
            </w:rPr>
          </w:pPr>
          <w:r w:rsidRPr="0020113A">
            <w:rPr>
              <w:rStyle w:val="normaltextrun"/>
              <w:rFonts w:ascii="Times New Roman" w:hAnsi="Times New Roman" w:cs="Times New Roman"/>
              <w:b/>
              <w:bCs/>
              <w:color w:val="auto"/>
              <w:bdr w:val="none" w:sz="0" w:space="0" w:color="auto" w:frame="1"/>
              <w:lang w:val="es-MX"/>
            </w:rPr>
            <w:t xml:space="preserve">Fecha de Inicio: </w:t>
          </w:r>
          <w:r w:rsidRPr="0020113A">
            <w:rPr>
              <w:rFonts w:ascii="Times New Roman" w:hAnsi="Times New Roman" w:cs="Times New Roman"/>
              <w:color w:val="auto"/>
            </w:rPr>
            <w:t xml:space="preserve">1/12/2016 </w:t>
          </w:r>
        </w:p>
        <w:p w14:paraId="45D89FC2" w14:textId="77777777" w:rsidR="007803E3" w:rsidRPr="0020113A" w:rsidRDefault="007803E3" w:rsidP="007803E3">
          <w:pPr>
            <w:pStyle w:val="paragraph"/>
            <w:spacing w:before="0" w:beforeAutospacing="0" w:after="0" w:afterAutospacing="0"/>
            <w:textAlignment w:val="baseline"/>
            <w:rPr>
              <w:rStyle w:val="normaltextrun"/>
              <w:b/>
              <w:bCs/>
              <w:shd w:val="clear" w:color="auto" w:fill="FFFFFF"/>
            </w:rPr>
          </w:pPr>
          <w:r w:rsidRPr="0020113A">
            <w:rPr>
              <w:rStyle w:val="normaltextrun"/>
              <w:b/>
              <w:bCs/>
              <w:shd w:val="clear" w:color="auto" w:fill="FFFFFF"/>
            </w:rPr>
            <w:t xml:space="preserve">Fecha de Finalización Estimada: </w:t>
          </w:r>
          <w:r w:rsidRPr="0020113A">
            <w:rPr>
              <w:rStyle w:val="normaltextrun"/>
              <w:shd w:val="clear" w:color="auto" w:fill="FFFFFF"/>
            </w:rPr>
            <w:t>01-12-2045</w:t>
          </w:r>
        </w:p>
        <w:p w14:paraId="179CEA8F" w14:textId="77777777" w:rsidR="007803E3" w:rsidRPr="0020113A" w:rsidRDefault="007803E3" w:rsidP="007803E3">
          <w:pPr>
            <w:pStyle w:val="paragraph"/>
            <w:spacing w:before="0" w:beforeAutospacing="0" w:after="0" w:afterAutospacing="0"/>
            <w:textAlignment w:val="baseline"/>
          </w:pPr>
          <w:r w:rsidRPr="0020113A">
            <w:rPr>
              <w:rStyle w:val="normaltextrun"/>
              <w:b/>
              <w:bCs/>
              <w:bdr w:val="none" w:sz="0" w:space="0" w:color="auto" w:frame="1"/>
              <w:lang w:val="es-MX"/>
            </w:rPr>
            <w:t xml:space="preserve">Tipo ID: </w:t>
          </w:r>
          <w:r w:rsidRPr="0020113A">
            <w:rPr>
              <w:rStyle w:val="normaltextrun"/>
              <w:bdr w:val="none" w:sz="0" w:space="0" w:color="auto" w:frame="1"/>
              <w:lang w:val="es-MX"/>
            </w:rPr>
            <w:t>NIT</w:t>
          </w:r>
        </w:p>
        <w:p w14:paraId="0089FC55" w14:textId="77777777" w:rsidR="007803E3" w:rsidRPr="0020113A" w:rsidRDefault="007803E3" w:rsidP="007803E3">
          <w:pPr>
            <w:pStyle w:val="Default"/>
            <w:rPr>
              <w:rFonts w:ascii="Times New Roman" w:hAnsi="Times New Roman" w:cs="Times New Roman"/>
              <w:color w:val="auto"/>
            </w:rPr>
          </w:pPr>
          <w:r w:rsidRPr="0020113A">
            <w:rPr>
              <w:rStyle w:val="normaltextrun"/>
              <w:rFonts w:ascii="Times New Roman" w:hAnsi="Times New Roman" w:cs="Times New Roman"/>
              <w:b/>
              <w:bCs/>
              <w:color w:val="auto"/>
              <w:bdr w:val="none" w:sz="0" w:space="0" w:color="auto" w:frame="1"/>
              <w:lang w:val="es-MX"/>
            </w:rPr>
            <w:t xml:space="preserve">Numero ID: </w:t>
          </w:r>
          <w:r w:rsidRPr="0020113A">
            <w:rPr>
              <w:rFonts w:ascii="Times New Roman" w:hAnsi="Times New Roman" w:cs="Times New Roman"/>
              <w:color w:val="auto"/>
            </w:rPr>
            <w:t xml:space="preserve">901009478 </w:t>
          </w:r>
        </w:p>
        <w:p w14:paraId="0B88A7A5" w14:textId="77777777" w:rsidR="007803E3" w:rsidRPr="0020113A" w:rsidRDefault="007803E3" w:rsidP="007803E3">
          <w:pPr>
            <w:pStyle w:val="Default"/>
            <w:rPr>
              <w:rFonts w:ascii="Times New Roman" w:hAnsi="Times New Roman" w:cs="Times New Roman"/>
              <w:color w:val="auto"/>
            </w:rPr>
          </w:pPr>
          <w:r w:rsidRPr="0020113A">
            <w:rPr>
              <w:rStyle w:val="normaltextrun"/>
              <w:rFonts w:ascii="Times New Roman" w:hAnsi="Times New Roman" w:cs="Times New Roman"/>
              <w:b/>
              <w:bCs/>
              <w:color w:val="auto"/>
              <w:bdr w:val="none" w:sz="0" w:space="0" w:color="auto" w:frame="1"/>
              <w:lang w:val="es-MX"/>
            </w:rPr>
            <w:t xml:space="preserve">Razón Social del Concesionario: </w:t>
          </w:r>
          <w:r w:rsidRPr="0020113A">
            <w:rPr>
              <w:rFonts w:ascii="Times New Roman" w:hAnsi="Times New Roman" w:cs="Times New Roman"/>
              <w:color w:val="auto"/>
            </w:rPr>
            <w:t xml:space="preserve">VIA 40 EXPRESS SAS </w:t>
          </w:r>
        </w:p>
        <w:p w14:paraId="47F470D9" w14:textId="77777777" w:rsidR="007803E3" w:rsidRPr="0020113A" w:rsidRDefault="007803E3" w:rsidP="007803E3">
          <w:pPr>
            <w:pStyle w:val="Default"/>
            <w:jc w:val="both"/>
            <w:rPr>
              <w:rFonts w:ascii="Times New Roman" w:hAnsi="Times New Roman" w:cs="Times New Roman"/>
              <w:color w:val="auto"/>
            </w:rPr>
          </w:pPr>
          <w:r w:rsidRPr="0020113A">
            <w:rPr>
              <w:rStyle w:val="normaltextrun"/>
              <w:rFonts w:ascii="Times New Roman" w:hAnsi="Times New Roman" w:cs="Times New Roman"/>
              <w:b/>
              <w:bCs/>
              <w:color w:val="auto"/>
              <w:shd w:val="clear" w:color="auto" w:fill="FFFFFF"/>
            </w:rPr>
            <w:t xml:space="preserve">Nombre del Proyecto: </w:t>
          </w:r>
          <w:r w:rsidRPr="0020113A">
            <w:rPr>
              <w:rFonts w:ascii="Times New Roman" w:hAnsi="Times New Roman" w:cs="Times New Roman"/>
              <w:color w:val="auto"/>
            </w:rPr>
            <w:t xml:space="preserve">TERCER CARRIL DOBLE CALZADA BOGOTÁ – GIRARDOT </w:t>
          </w:r>
        </w:p>
        <w:p w14:paraId="079A0C21" w14:textId="77777777" w:rsidR="007803E3" w:rsidRPr="0020113A" w:rsidRDefault="007803E3" w:rsidP="007803E3">
          <w:pPr>
            <w:pStyle w:val="Default"/>
            <w:jc w:val="both"/>
            <w:rPr>
              <w:rStyle w:val="normaltextrun"/>
              <w:rFonts w:ascii="Times New Roman" w:hAnsi="Times New Roman" w:cs="Times New Roman"/>
              <w:color w:val="auto"/>
            </w:rPr>
          </w:pPr>
        </w:p>
        <w:p w14:paraId="3BCFF28E" w14:textId="77777777" w:rsidR="007803E3" w:rsidRPr="0020113A" w:rsidRDefault="007803E3" w:rsidP="00E60BAB">
          <w:pPr>
            <w:pStyle w:val="paragraph"/>
            <w:numPr>
              <w:ilvl w:val="0"/>
              <w:numId w:val="99"/>
            </w:numPr>
            <w:spacing w:before="0" w:beforeAutospacing="0" w:after="0" w:afterAutospacing="0"/>
            <w:textAlignment w:val="baseline"/>
            <w:rPr>
              <w:rStyle w:val="normaltextrun"/>
              <w:b/>
              <w:bCs/>
              <w:shd w:val="clear" w:color="auto" w:fill="FFFFFF"/>
              <w:lang w:val="es-MX"/>
            </w:rPr>
          </w:pPr>
          <w:r w:rsidRPr="0020113A">
            <w:rPr>
              <w:rStyle w:val="normaltextrun"/>
              <w:b/>
              <w:bCs/>
              <w:shd w:val="clear" w:color="auto" w:fill="FFFFFF"/>
              <w:lang w:val="es-MX"/>
            </w:rPr>
            <w:t>Términos significativos del acuerdo que puedan afectar su valor, el calendario y la certeza de los flujos </w:t>
          </w:r>
        </w:p>
        <w:p w14:paraId="3398FDA4" w14:textId="77777777" w:rsidR="007803E3" w:rsidRPr="0020113A" w:rsidRDefault="007803E3" w:rsidP="007803E3">
          <w:pPr>
            <w:pStyle w:val="paragraph"/>
            <w:spacing w:before="0" w:beforeAutospacing="0" w:after="0" w:afterAutospacing="0"/>
            <w:ind w:left="720"/>
            <w:textAlignment w:val="baseline"/>
            <w:rPr>
              <w:rStyle w:val="normaltextrun"/>
              <w:b/>
              <w:bCs/>
              <w:shd w:val="clear" w:color="auto" w:fill="FFFFFF"/>
              <w:lang w:val="es-MX"/>
            </w:rPr>
          </w:pPr>
        </w:p>
        <w:p w14:paraId="0F473E12" w14:textId="77777777" w:rsidR="007803E3" w:rsidRPr="0020113A" w:rsidRDefault="007803E3" w:rsidP="007803E3">
          <w:pPr>
            <w:pStyle w:val="Default"/>
            <w:jc w:val="both"/>
            <w:rPr>
              <w:rFonts w:ascii="Times New Roman" w:hAnsi="Times New Roman" w:cs="Times New Roman"/>
              <w:color w:val="auto"/>
            </w:rPr>
          </w:pPr>
          <w:r w:rsidRPr="0020113A">
            <w:rPr>
              <w:rStyle w:val="normaltextrun"/>
              <w:rFonts w:ascii="Times New Roman" w:hAnsi="Times New Roman" w:cs="Times New Roman"/>
              <w:b/>
              <w:bCs/>
              <w:color w:val="auto"/>
              <w:lang w:val="es-MX"/>
            </w:rPr>
            <w:t>Términos de Valor: </w:t>
          </w:r>
          <w:r w:rsidRPr="0020113A">
            <w:rPr>
              <w:rFonts w:ascii="Times New Roman" w:hAnsi="Times New Roman" w:cs="Times New Roman"/>
              <w:color w:val="auto"/>
            </w:rPr>
            <w:t xml:space="preserve">En el numeral 3.6 de la Parte Especial, el contrato establece que la ANI entrega al Concesionario las estaciones de peaje del Sistema Vial Existente Bogotá-Girardot para gestionar el recaudo de peajes en dos estaciones: Chusacá-Chinauta. A 31 de diciembre de 2023 el valor acumulado del recaudo de peaje por las dos estaciones es de $ 1.608.741.199.208,86. </w:t>
          </w:r>
        </w:p>
        <w:p w14:paraId="3B24E293" w14:textId="77777777" w:rsidR="007803E3" w:rsidRPr="0020113A" w:rsidRDefault="007803E3" w:rsidP="007803E3">
          <w:pPr>
            <w:pStyle w:val="Default"/>
            <w:jc w:val="both"/>
            <w:rPr>
              <w:rFonts w:ascii="Times New Roman" w:hAnsi="Times New Roman" w:cs="Times New Roman"/>
              <w:color w:val="auto"/>
            </w:rPr>
          </w:pPr>
          <w:r w:rsidRPr="0020113A">
            <w:rPr>
              <w:rFonts w:ascii="Times New Roman" w:hAnsi="Times New Roman" w:cs="Times New Roman"/>
              <w:color w:val="auto"/>
            </w:rPr>
            <w:t xml:space="preserve">El mes de referencia del contrato corresponde a diciembre de 2014. Así lo establece el Contrato en su numeral 1.102 de la Tabla de Referencia - Parte Especial. </w:t>
          </w:r>
        </w:p>
        <w:p w14:paraId="1114F76C" w14:textId="77777777" w:rsidR="007803E3" w:rsidRPr="0020113A" w:rsidRDefault="007803E3" w:rsidP="007803E3">
          <w:pPr>
            <w:pStyle w:val="Default"/>
            <w:jc w:val="both"/>
            <w:rPr>
              <w:rFonts w:ascii="Times New Roman" w:hAnsi="Times New Roman" w:cs="Times New Roman"/>
              <w:color w:val="auto"/>
            </w:rPr>
          </w:pPr>
          <w:r w:rsidRPr="0020113A">
            <w:rPr>
              <w:rFonts w:ascii="Times New Roman" w:hAnsi="Times New Roman" w:cs="Times New Roman"/>
              <w:color w:val="auto"/>
            </w:rPr>
            <w:t xml:space="preserve">El derecho del Concesionario a obtener Retribución con respecto a cada Unidad Funcional, se acuerda en la Sección 3.1 de la Parte General del Contrato. El cálculo de la misma queda contenida en la Parte Especial Sección 4.3. </w:t>
          </w:r>
        </w:p>
        <w:p w14:paraId="6C64B1CA" w14:textId="77777777" w:rsidR="007803E3" w:rsidRPr="0020113A" w:rsidRDefault="007803E3" w:rsidP="007803E3">
          <w:pPr>
            <w:pStyle w:val="Default"/>
            <w:jc w:val="both"/>
            <w:rPr>
              <w:rFonts w:ascii="Times New Roman" w:hAnsi="Times New Roman" w:cs="Times New Roman"/>
              <w:color w:val="auto"/>
            </w:rPr>
          </w:pPr>
          <w:r w:rsidRPr="0020113A">
            <w:rPr>
              <w:rFonts w:ascii="Times New Roman" w:hAnsi="Times New Roman" w:cs="Times New Roman"/>
              <w:color w:val="auto"/>
            </w:rPr>
            <w:t xml:space="preserve">A 31 de diciembre de 2023 se ha retribuido al Concesionario por UF0 un valor acumulado de $438.080.395.987,16, y por la UF8 un valor acumulado de $34.772.741.370,93, para un total acumulado entre ambas Unidades Funcionales por $472.853.137.358,09. </w:t>
          </w:r>
        </w:p>
        <w:p w14:paraId="6E057E21" w14:textId="6A17F2CB" w:rsidR="007803E3" w:rsidRPr="0020113A" w:rsidRDefault="007803E3" w:rsidP="007803E3">
          <w:pPr>
            <w:pStyle w:val="Default"/>
            <w:jc w:val="both"/>
            <w:rPr>
              <w:rFonts w:ascii="Times New Roman" w:hAnsi="Times New Roman" w:cs="Times New Roman"/>
              <w:color w:val="auto"/>
            </w:rPr>
          </w:pPr>
          <w:r w:rsidRPr="0020113A">
            <w:rPr>
              <w:rFonts w:ascii="Times New Roman" w:hAnsi="Times New Roman" w:cs="Times New Roman"/>
              <w:color w:val="auto"/>
            </w:rPr>
            <w:t xml:space="preserve">El proyecto está dividido en nueve (9) unidades funciones, incluida la de operación y mantenimiento, el cual se le asigna un porcentaje de participación en el proyecto para efectos del cálculo de la Retribución. Las Fuentes para obtener la retribución son: el Recaudo de Peaje y los Ingresos Por Explotación Comercial. </w:t>
          </w:r>
        </w:p>
        <w:p w14:paraId="63C4999E" w14:textId="0BC321C5" w:rsidR="007803E3" w:rsidRPr="0020113A" w:rsidRDefault="007803E3" w:rsidP="007803E3">
          <w:pPr>
            <w:pStyle w:val="Default"/>
            <w:jc w:val="both"/>
            <w:rPr>
              <w:rFonts w:ascii="Times New Roman" w:hAnsi="Times New Roman" w:cs="Times New Roman"/>
              <w:color w:val="auto"/>
            </w:rPr>
          </w:pPr>
          <w:r w:rsidRPr="0020113A">
            <w:rPr>
              <w:rFonts w:ascii="Times New Roman" w:hAnsi="Times New Roman" w:cs="Times New Roman"/>
              <w:color w:val="auto"/>
            </w:rPr>
            <w:t xml:space="preserve">En cuanto a la Estructura tarifaria, las tarifas se actualizan cada 16 de enero de acuerdo </w:t>
          </w:r>
          <w:r w:rsidR="001F57C8" w:rsidRPr="009A46BB">
            <w:rPr>
              <w:rFonts w:ascii="Times New Roman" w:hAnsi="Times New Roman" w:cs="Times New Roman"/>
              <w:color w:val="auto"/>
            </w:rPr>
            <w:t>con</w:t>
          </w:r>
          <w:r w:rsidRPr="0020113A">
            <w:rPr>
              <w:rFonts w:ascii="Times New Roman" w:hAnsi="Times New Roman" w:cs="Times New Roman"/>
              <w:color w:val="auto"/>
            </w:rPr>
            <w:t xml:space="preserve"> la sección 4.2 de la Parte Especial. Para la vigencia de 2023 las tarifas que aplicaron se informaron mediante comunicación CSI-ANI-OBRA-05007. Cabe destacar Mediante Decreto 050 del 15 de enero de 2023, el Gobierno Nacional ordenó en el Artículo Primero No incrementar a partir de la vigencia del presente decreto las tarifas de peaje a vehículos que transiten por el territorio nacional por las estaciones de peaje a cargo del Instituto Nacional de Vías - INVIAS y de la Agencia Nacional de Infraestructura, durante la vigencia del referido decreto. y señalando en su artículo segundo que El Instituto Nacional de Vías - INVIAS y la Agencia Nacional de Infraestructura, deberán aplicar los mecanismos pactados en los correspondientes contratos para reconocimiento de los ajustes de tarifas de peaje a que haya lugar con ocasión del presente decreto. </w:t>
          </w:r>
        </w:p>
        <w:p w14:paraId="08463651" w14:textId="77777777" w:rsidR="007803E3" w:rsidRPr="0020113A" w:rsidRDefault="007803E3" w:rsidP="007803E3">
          <w:pPr>
            <w:pStyle w:val="Default"/>
            <w:jc w:val="both"/>
            <w:rPr>
              <w:rFonts w:ascii="Times New Roman" w:hAnsi="Times New Roman" w:cs="Times New Roman"/>
              <w:color w:val="auto"/>
            </w:rPr>
          </w:pPr>
          <w:r w:rsidRPr="0020113A">
            <w:rPr>
              <w:rFonts w:ascii="Times New Roman" w:hAnsi="Times New Roman" w:cs="Times New Roman"/>
              <w:color w:val="auto"/>
            </w:rPr>
            <w:lastRenderedPageBreak/>
            <w:t xml:space="preserve">Se realiza el cálculo de la diferencia tarifaria para los meses de enero a noviembre de 2023 y asciende a $ 21.693.588.925. </w:t>
          </w:r>
        </w:p>
        <w:p w14:paraId="089E74D5" w14:textId="77777777" w:rsidR="007803E3" w:rsidRPr="0020113A" w:rsidRDefault="007803E3" w:rsidP="007803E3">
          <w:pPr>
            <w:pStyle w:val="paragraph"/>
            <w:spacing w:after="0"/>
            <w:ind w:left="-30" w:right="-30"/>
            <w:jc w:val="both"/>
            <w:textAlignment w:val="baseline"/>
          </w:pPr>
          <w:r w:rsidRPr="0020113A">
            <w:t xml:space="preserve">La Sección 3.5 de la Parte General establece la obtención del VPIP. </w:t>
          </w:r>
        </w:p>
        <w:p w14:paraId="41F4B3B8" w14:textId="77777777" w:rsidR="007803E3" w:rsidRPr="0020113A" w:rsidRDefault="007803E3" w:rsidP="007803E3">
          <w:pPr>
            <w:pStyle w:val="Default"/>
            <w:jc w:val="both"/>
            <w:rPr>
              <w:rFonts w:ascii="Times New Roman" w:hAnsi="Times New Roman" w:cs="Times New Roman"/>
              <w:color w:val="auto"/>
            </w:rPr>
          </w:pPr>
          <w:r w:rsidRPr="0020113A">
            <w:rPr>
              <w:rFonts w:ascii="Times New Roman" w:hAnsi="Times New Roman" w:cs="Times New Roman"/>
              <w:color w:val="auto"/>
            </w:rPr>
            <w:t xml:space="preserve">El VPIP contractual es de $2.375.671.302.998 pesos del Mes de Referencia. En la Parte Especial del Contrato, Sección 1.175 de la Tabla de referencia, queda definido el presente valor. </w:t>
          </w:r>
        </w:p>
        <w:p w14:paraId="639F775A" w14:textId="29810941" w:rsidR="007803E3" w:rsidRPr="0020113A" w:rsidRDefault="007803E3" w:rsidP="007803E3">
          <w:pPr>
            <w:pStyle w:val="Default"/>
            <w:jc w:val="both"/>
            <w:rPr>
              <w:rFonts w:ascii="Times New Roman" w:hAnsi="Times New Roman" w:cs="Times New Roman"/>
              <w:color w:val="auto"/>
            </w:rPr>
          </w:pPr>
          <w:r w:rsidRPr="0020113A">
            <w:rPr>
              <w:rFonts w:ascii="Times New Roman" w:hAnsi="Times New Roman" w:cs="Times New Roman"/>
              <w:color w:val="auto"/>
            </w:rPr>
            <w:t xml:space="preserve">A 31-dic-23, el valor acumulado de VPIP es por $731.571.057.885 En la sección 3.7 de la Parte General del Contrato se establecen los Intereses Remuneratorio y de Mora aplicables a los pagos debidos por las partes. </w:t>
          </w:r>
        </w:p>
        <w:p w14:paraId="77B2ABE8" w14:textId="77777777" w:rsidR="007803E3" w:rsidRPr="0020113A" w:rsidRDefault="007803E3" w:rsidP="007803E3">
          <w:pPr>
            <w:pStyle w:val="Default"/>
            <w:jc w:val="both"/>
            <w:rPr>
              <w:rFonts w:ascii="Times New Roman" w:hAnsi="Times New Roman" w:cs="Times New Roman"/>
              <w:color w:val="auto"/>
            </w:rPr>
          </w:pPr>
          <w:r w:rsidRPr="0020113A">
            <w:rPr>
              <w:rFonts w:ascii="Times New Roman" w:hAnsi="Times New Roman" w:cs="Times New Roman"/>
              <w:color w:val="auto"/>
            </w:rPr>
            <w:t xml:space="preserve">La obligación en firme de financiación y los Recursos de Patrimonio, deben ser gestionados y obtenidos por el Concesionario de acuerdo con lo estipulado en la Sección 3.7 de la Parte General. </w:t>
          </w:r>
        </w:p>
        <w:p w14:paraId="1C79D8EC" w14:textId="77777777" w:rsidR="007803E3" w:rsidRPr="0020113A" w:rsidRDefault="007803E3" w:rsidP="007803E3">
          <w:pPr>
            <w:pStyle w:val="Default"/>
            <w:jc w:val="both"/>
            <w:rPr>
              <w:rFonts w:ascii="Times New Roman" w:hAnsi="Times New Roman" w:cs="Times New Roman"/>
              <w:color w:val="auto"/>
            </w:rPr>
          </w:pPr>
          <w:r w:rsidRPr="0020113A">
            <w:rPr>
              <w:rFonts w:ascii="Times New Roman" w:hAnsi="Times New Roman" w:cs="Times New Roman"/>
              <w:color w:val="auto"/>
            </w:rPr>
            <w:t xml:space="preserve">En la Parte General del Contrato 3.10 Giros de Equity, se establece que el Concesionario deberá girar a la cuenta Proyecto por lo menos los valores señalados en la Parte Especial- Sección 4.4, en los plazos previstos. </w:t>
          </w:r>
        </w:p>
        <w:p w14:paraId="173C2265" w14:textId="1C606C50" w:rsidR="007803E3" w:rsidRPr="0020113A" w:rsidRDefault="007803E3" w:rsidP="001F57C8">
          <w:pPr>
            <w:pStyle w:val="paragraph"/>
            <w:spacing w:after="0"/>
            <w:ind w:left="-30" w:right="-30"/>
            <w:jc w:val="both"/>
            <w:textAlignment w:val="baseline"/>
            <w:rPr>
              <w:rStyle w:val="normaltextrun"/>
              <w:b/>
              <w:bCs/>
              <w:lang w:val="es-MX"/>
            </w:rPr>
          </w:pPr>
          <w:r w:rsidRPr="0020113A">
            <w:t xml:space="preserve">En cuanto a la Obligación Contractual Fondeos de Subcuentas del Patrimonio Autónomo, el contrato deja establecido en la Sección 4.5 las fechas y valores para el cumplimiento de la obligación contractual en cada Subcuenta. </w:t>
          </w:r>
        </w:p>
        <w:p w14:paraId="010D1DA8" w14:textId="053F91C2" w:rsidR="63C758A7" w:rsidRDefault="63C758A7" w:rsidP="63C758A7">
          <w:pPr>
            <w:pStyle w:val="Default"/>
            <w:jc w:val="both"/>
            <w:rPr>
              <w:rStyle w:val="normaltextrun"/>
              <w:rFonts w:ascii="Times New Roman" w:hAnsi="Times New Roman" w:cs="Times New Roman"/>
              <w:b/>
              <w:bCs/>
              <w:color w:val="auto"/>
              <w:lang w:val="es-MX"/>
            </w:rPr>
          </w:pPr>
        </w:p>
        <w:p w14:paraId="79003436" w14:textId="77777777" w:rsidR="007803E3" w:rsidRPr="0020113A" w:rsidRDefault="007803E3" w:rsidP="007803E3">
          <w:pPr>
            <w:pStyle w:val="Default"/>
            <w:jc w:val="both"/>
            <w:rPr>
              <w:rFonts w:ascii="Times New Roman" w:hAnsi="Times New Roman" w:cs="Times New Roman"/>
              <w:color w:val="auto"/>
            </w:rPr>
          </w:pPr>
          <w:r w:rsidRPr="0020113A">
            <w:rPr>
              <w:rStyle w:val="normaltextrun"/>
              <w:rFonts w:ascii="Times New Roman" w:hAnsi="Times New Roman" w:cs="Times New Roman"/>
              <w:b/>
              <w:bCs/>
              <w:color w:val="auto"/>
              <w:shd w:val="clear" w:color="auto" w:fill="FFFFFF"/>
              <w:lang w:val="es-MX"/>
            </w:rPr>
            <w:t>Términos de Calendario:</w:t>
          </w:r>
          <w:r w:rsidRPr="0020113A">
            <w:rPr>
              <w:rStyle w:val="eop"/>
              <w:rFonts w:ascii="Times New Roman" w:hAnsi="Times New Roman" w:cs="Times New Roman"/>
              <w:color w:val="auto"/>
              <w:shd w:val="clear" w:color="auto" w:fill="FFFFFF"/>
            </w:rPr>
            <w:t> </w:t>
          </w:r>
          <w:r w:rsidRPr="0020113A">
            <w:rPr>
              <w:rFonts w:ascii="Times New Roman" w:hAnsi="Times New Roman" w:cs="Times New Roman"/>
              <w:color w:val="auto"/>
            </w:rPr>
            <w:t xml:space="preserve">El plazo inicial del contrato es de treinta (30) años. </w:t>
          </w:r>
        </w:p>
        <w:p w14:paraId="17DFEC50" w14:textId="77777777" w:rsidR="007803E3" w:rsidRPr="0020113A" w:rsidRDefault="007803E3" w:rsidP="007803E3">
          <w:pPr>
            <w:pStyle w:val="Default"/>
            <w:jc w:val="both"/>
            <w:rPr>
              <w:rFonts w:ascii="Times New Roman" w:hAnsi="Times New Roman" w:cs="Times New Roman"/>
              <w:color w:val="auto"/>
            </w:rPr>
          </w:pPr>
          <w:r w:rsidRPr="0020113A">
            <w:rPr>
              <w:rFonts w:ascii="Times New Roman" w:hAnsi="Times New Roman" w:cs="Times New Roman"/>
              <w:color w:val="auto"/>
            </w:rPr>
            <w:t xml:space="preserve">El plazo estimado de la etapa de construcción es de 1800 días, contados desde la fecha del Acta de Inicio.  Se firma el Otrosí No. 9 el 4 de septiembre de 2023, por el cual se redefine la intervención “Construcción de Puente Salsipuedes” para Repotenciación y Mejoramiento del puente existente, de tal forma que la intervención prevista permita actualizar la estructura a los requerimientos de la norma CCP-14, modificando las siguientes secciones, así: 3.3. División del proyecto parte Especial del Contrato columna “observación” para la UF1 se pasa de tres puentes vehiculares nuevos a dos. Apéndice Técnico 1 – tabla 2 “Unidades Funcionales del Proyecto” columna “observación” para la UF1 se reducen la cantidad de puentes vehiculares nuevos de tres a dos. Apéndice Técnico 1 modificación Tabla 6 UF1 “Obras que como mínimo debe desarrollar el Concesionario”. </w:t>
          </w:r>
        </w:p>
        <w:p w14:paraId="047973BC" w14:textId="77777777" w:rsidR="007803E3" w:rsidRPr="0020113A" w:rsidRDefault="007803E3" w:rsidP="007803E3">
          <w:pPr>
            <w:pStyle w:val="Default"/>
            <w:jc w:val="both"/>
            <w:rPr>
              <w:rStyle w:val="normaltextrun"/>
              <w:rFonts w:ascii="Times New Roman" w:hAnsi="Times New Roman" w:cs="Times New Roman"/>
              <w:color w:val="auto"/>
            </w:rPr>
          </w:pPr>
          <w:r w:rsidRPr="0020113A">
            <w:rPr>
              <w:rFonts w:ascii="Times New Roman" w:hAnsi="Times New Roman" w:cs="Times New Roman"/>
              <w:color w:val="auto"/>
            </w:rPr>
            <w:t xml:space="preserve">Como causal de Terminación Anticipada, se firma el 25 de septiembre de 2023, el Otrosí No. 10 por el cual se incluye la declaración de una inhabilidad sobreviniente en cabeza del Concesionario, y se incorpora la posibilidad de proceder con la cesión del 100% de la Retribución y/o de la Compensación Especial, así como la modificación del Anexo AF 2.1 y el Anexo AF 2.2., por la cual se pone a consideración de la ANI la Cesión de Retribución y se da respuesta por parte de ANI de dicha autorización. </w:t>
          </w:r>
          <w:r w:rsidRPr="0020113A">
            <w:rPr>
              <w:rStyle w:val="eop"/>
              <w:rFonts w:ascii="Times New Roman" w:hAnsi="Times New Roman" w:cs="Times New Roman"/>
              <w:color w:val="auto"/>
              <w:shd w:val="clear" w:color="auto" w:fill="FFFFFF"/>
            </w:rPr>
            <w:t xml:space="preserve"> </w:t>
          </w:r>
        </w:p>
        <w:p w14:paraId="4259AF64" w14:textId="77777777" w:rsidR="007803E3" w:rsidRPr="0020113A" w:rsidRDefault="007803E3" w:rsidP="007803E3">
          <w:pPr>
            <w:pStyle w:val="paragraph"/>
            <w:spacing w:before="0" w:beforeAutospacing="0" w:after="0" w:afterAutospacing="0"/>
            <w:textAlignment w:val="baseline"/>
            <w:rPr>
              <w:rStyle w:val="normaltextrun"/>
              <w:b/>
              <w:bCs/>
              <w:shd w:val="clear" w:color="auto" w:fill="FFFFFF"/>
            </w:rPr>
          </w:pPr>
        </w:p>
        <w:p w14:paraId="05AA5CBC" w14:textId="77777777" w:rsidR="007803E3" w:rsidRPr="0020113A" w:rsidRDefault="007803E3" w:rsidP="007803E3">
          <w:pPr>
            <w:pStyle w:val="Default"/>
            <w:jc w:val="both"/>
            <w:rPr>
              <w:rFonts w:ascii="Times New Roman" w:hAnsi="Times New Roman" w:cs="Times New Roman"/>
              <w:color w:val="auto"/>
            </w:rPr>
          </w:pPr>
          <w:r w:rsidRPr="0020113A">
            <w:rPr>
              <w:rStyle w:val="normaltextrun"/>
              <w:rFonts w:ascii="Times New Roman" w:hAnsi="Times New Roman" w:cs="Times New Roman"/>
              <w:b/>
              <w:bCs/>
              <w:color w:val="auto"/>
              <w:bdr w:val="none" w:sz="0" w:space="0" w:color="auto" w:frame="1"/>
              <w:lang w:val="es-MX"/>
            </w:rPr>
            <w:t xml:space="preserve">Términos de Certeza de Flujos de Efectivo Futuros: </w:t>
          </w:r>
          <w:r w:rsidRPr="0020113A">
            <w:rPr>
              <w:rFonts w:ascii="Times New Roman" w:hAnsi="Times New Roman" w:cs="Times New Roman"/>
              <w:color w:val="auto"/>
            </w:rPr>
            <w:t xml:space="preserve">Mediante Decreto 050 del 15 de enero de 2023, el Gobierno Nacional ordenó en el Artículo Primero No incrementar a partir de la vigencia del presente decreto las tarifas de peaje a vehículos que transiten por el territorio nacional por las estaciones de peaje a cargo del Instituto Nacional de Vías - INVIAS y de la Agencia Nacional de Infraestructura, durante la vigencia del referido decreto. Durante el año 2023, entre el Concesionario y la Interventoria se han realizado los cálculos correspondientes </w:t>
          </w:r>
          <w:r w:rsidRPr="0020113A">
            <w:rPr>
              <w:rFonts w:ascii="Times New Roman" w:hAnsi="Times New Roman" w:cs="Times New Roman"/>
              <w:color w:val="auto"/>
            </w:rPr>
            <w:lastRenderedPageBreak/>
            <w:t xml:space="preserve">para la obtención del Menor recaudo. Lo anterior ha sido objeto de revisiones y remisión de comentarios por parte de la ANI. Los cálculos obtenidos de enero a noviembre ascienden a $ 21.693.588.925. El Acta No. 12 correspondiente al mes de diciembre, no se incluye en este cálculo porque fue firmada enero de 2024. La fuente de pago de las actas de compensación por Menor recaudo es la cuenta Excedentes ANI. </w:t>
          </w:r>
        </w:p>
        <w:p w14:paraId="73B43DC2" w14:textId="77777777" w:rsidR="007803E3" w:rsidRPr="0020113A" w:rsidRDefault="007803E3" w:rsidP="007803E3">
          <w:pPr>
            <w:pStyle w:val="Default"/>
            <w:jc w:val="both"/>
            <w:rPr>
              <w:rFonts w:ascii="Times New Roman" w:hAnsi="Times New Roman" w:cs="Times New Roman"/>
              <w:color w:val="auto"/>
            </w:rPr>
          </w:pPr>
          <w:r w:rsidRPr="0020113A">
            <w:rPr>
              <w:rFonts w:ascii="Times New Roman" w:hAnsi="Times New Roman" w:cs="Times New Roman"/>
              <w:color w:val="auto"/>
            </w:rPr>
            <w:t xml:space="preserve">A 31 de diciembre de 2023, El Concesionario Vía 40 Express SAS, Solicitó compra de plazo de la UF1 y UF4, el cual estaba pendiete de recibo por parte de la Interventoría. </w:t>
          </w:r>
        </w:p>
        <w:p w14:paraId="64B234C9" w14:textId="77777777" w:rsidR="007803E3" w:rsidRPr="0020113A" w:rsidRDefault="007803E3" w:rsidP="007803E3">
          <w:pPr>
            <w:pStyle w:val="Default"/>
            <w:jc w:val="both"/>
            <w:rPr>
              <w:rFonts w:ascii="Times New Roman" w:hAnsi="Times New Roman" w:cs="Times New Roman"/>
              <w:color w:val="auto"/>
            </w:rPr>
          </w:pPr>
        </w:p>
        <w:p w14:paraId="239FDFDC" w14:textId="354235EF" w:rsidR="007803E3" w:rsidRPr="0020113A" w:rsidRDefault="007803E3" w:rsidP="007803E3">
          <w:pPr>
            <w:pStyle w:val="Default"/>
            <w:jc w:val="both"/>
            <w:rPr>
              <w:rFonts w:ascii="Times New Roman" w:hAnsi="Times New Roman" w:cs="Times New Roman"/>
              <w:color w:val="auto"/>
            </w:rPr>
          </w:pPr>
          <w:r w:rsidRPr="0020113A">
            <w:rPr>
              <w:rFonts w:ascii="Times New Roman" w:hAnsi="Times New Roman" w:cs="Times New Roman"/>
              <w:color w:val="auto"/>
            </w:rPr>
            <w:t xml:space="preserve">Aunado a lo anterior, a finales del 2023, el Concesionario solicitó compra de plazo y período de cura por las UF3, UF5, UF6 Y UF7. Al cierre del período se encuentran en revisión por parte de la Interventoría y la ANI.  Con respecto a la compra de plazos y el impacto en los flujos de efectivo futuros: 1. La AnI contará con la Infraestructura terminada para </w:t>
          </w:r>
          <w:r w:rsidR="001F57C8" w:rsidRPr="009A46BB">
            <w:rPr>
              <w:rFonts w:ascii="Times New Roman" w:hAnsi="Times New Roman" w:cs="Times New Roman"/>
              <w:color w:val="auto"/>
            </w:rPr>
            <w:t>iniciar</w:t>
          </w:r>
          <w:r w:rsidRPr="0020113A">
            <w:rPr>
              <w:rFonts w:ascii="Times New Roman" w:hAnsi="Times New Roman" w:cs="Times New Roman"/>
              <w:color w:val="auto"/>
            </w:rPr>
            <w:t xml:space="preserve"> la puesta en marcha de la etapa de operación y mantenimiento. </w:t>
          </w:r>
        </w:p>
        <w:p w14:paraId="238BED3D" w14:textId="77777777" w:rsidR="007803E3" w:rsidRPr="0020113A" w:rsidRDefault="007803E3" w:rsidP="007803E3">
          <w:pPr>
            <w:pStyle w:val="paragraph"/>
            <w:spacing w:before="0" w:beforeAutospacing="0" w:after="0" w:afterAutospacing="0"/>
            <w:textAlignment w:val="baseline"/>
            <w:rPr>
              <w:rStyle w:val="normaltextrun"/>
              <w:b/>
              <w:bCs/>
              <w:shd w:val="clear" w:color="auto" w:fill="FFFFFF"/>
            </w:rPr>
          </w:pPr>
        </w:p>
        <w:p w14:paraId="4A18F402" w14:textId="77777777" w:rsidR="007803E3" w:rsidRPr="0020113A" w:rsidRDefault="007803E3" w:rsidP="00E60BAB">
          <w:pPr>
            <w:pStyle w:val="paragraph"/>
            <w:numPr>
              <w:ilvl w:val="0"/>
              <w:numId w:val="99"/>
            </w:numPr>
            <w:spacing w:before="0" w:beforeAutospacing="0" w:after="0" w:afterAutospacing="0"/>
            <w:textAlignment w:val="baseline"/>
            <w:rPr>
              <w:rStyle w:val="normaltextrun"/>
              <w:b/>
              <w:bCs/>
              <w:shd w:val="clear" w:color="auto" w:fill="FFFFFF"/>
              <w:lang w:val="es-MX"/>
            </w:rPr>
          </w:pPr>
          <w:r w:rsidRPr="0020113A">
            <w:rPr>
              <w:rStyle w:val="normaltextrun"/>
              <w:b/>
              <w:bCs/>
              <w:shd w:val="clear" w:color="auto" w:fill="FFFFFF"/>
              <w:lang w:val="es-MX"/>
            </w:rPr>
            <w:t>Naturaleza y alcance del derecho a utilizar activos especificados, de los aspectos pactados en torno a lo que se espera que el concesionario proporcione en relación con el acuerdo de concesión</w:t>
          </w:r>
          <w:r w:rsidRPr="0020113A">
            <w:rPr>
              <w:rStyle w:val="normaltextrun"/>
              <w:b/>
              <w:bCs/>
              <w:lang w:val="es-MX"/>
            </w:rPr>
            <w:t> </w:t>
          </w:r>
        </w:p>
        <w:p w14:paraId="3A55C911" w14:textId="77777777" w:rsidR="007803E3" w:rsidRPr="0020113A" w:rsidRDefault="007803E3" w:rsidP="007803E3">
          <w:pPr>
            <w:pStyle w:val="paragraph"/>
            <w:spacing w:before="0" w:beforeAutospacing="0" w:after="0" w:afterAutospacing="0"/>
            <w:textAlignment w:val="baseline"/>
          </w:pPr>
        </w:p>
        <w:p w14:paraId="080F70F0" w14:textId="77777777" w:rsidR="007803E3" w:rsidRPr="0020113A" w:rsidRDefault="007803E3" w:rsidP="007803E3">
          <w:pPr>
            <w:pStyle w:val="paragraph"/>
            <w:spacing w:before="0" w:beforeAutospacing="0" w:after="0" w:afterAutospacing="0"/>
            <w:textAlignment w:val="baseline"/>
            <w:rPr>
              <w:rStyle w:val="eop"/>
              <w:shd w:val="clear" w:color="auto" w:fill="FFFFFF"/>
            </w:rPr>
          </w:pPr>
          <w:r w:rsidRPr="0020113A">
            <w:rPr>
              <w:rStyle w:val="normaltextrun"/>
              <w:b/>
              <w:bCs/>
              <w:shd w:val="clear" w:color="auto" w:fill="FFFFFF"/>
              <w:lang w:val="es-MX"/>
            </w:rPr>
            <w:t>Naturaleza y alcance del derecho de uso de los activos</w:t>
          </w:r>
          <w:r w:rsidRPr="0020113A">
            <w:rPr>
              <w:rStyle w:val="eop"/>
              <w:shd w:val="clear" w:color="auto" w:fill="FFFFFF"/>
            </w:rPr>
            <w:t> </w:t>
          </w:r>
        </w:p>
        <w:p w14:paraId="3AA1F280" w14:textId="77777777" w:rsidR="007803E3" w:rsidRDefault="007803E3" w:rsidP="007803E3">
          <w:pPr>
            <w:pStyle w:val="Default"/>
            <w:jc w:val="both"/>
            <w:rPr>
              <w:rStyle w:val="normaltextrun"/>
              <w:rFonts w:ascii="Times New Roman" w:hAnsi="Times New Roman" w:cs="Times New Roman"/>
              <w:b/>
              <w:color w:val="auto"/>
              <w:bdr w:val="none" w:sz="0" w:space="0" w:color="auto" w:frame="1"/>
              <w:lang w:val="es-MX"/>
            </w:rPr>
          </w:pPr>
        </w:p>
        <w:p w14:paraId="7FA83460" w14:textId="5F0414E1" w:rsidR="007803E3" w:rsidRPr="0020113A" w:rsidRDefault="007803E3" w:rsidP="007803E3">
          <w:pPr>
            <w:pStyle w:val="Default"/>
            <w:jc w:val="both"/>
            <w:rPr>
              <w:rFonts w:ascii="Times New Roman" w:hAnsi="Times New Roman" w:cs="Times New Roman"/>
              <w:color w:val="auto"/>
            </w:rPr>
          </w:pPr>
          <w:r w:rsidRPr="0020113A">
            <w:rPr>
              <w:rStyle w:val="normaltextrun"/>
              <w:rFonts w:ascii="Times New Roman" w:hAnsi="Times New Roman" w:cs="Times New Roman"/>
              <w:b/>
              <w:bCs/>
              <w:color w:val="auto"/>
              <w:bdr w:val="none" w:sz="0" w:space="0" w:color="auto" w:frame="1"/>
              <w:lang w:val="es-MX"/>
            </w:rPr>
            <w:t xml:space="preserve">Descripción: </w:t>
          </w:r>
          <w:r w:rsidRPr="0020113A">
            <w:rPr>
              <w:rFonts w:ascii="Times New Roman" w:hAnsi="Times New Roman" w:cs="Times New Roman"/>
              <w:color w:val="auto"/>
            </w:rPr>
            <w:t xml:space="preserve">El Contrato de Concesión en su Sección 4.3 (a) de la Parte General acuerda: “Realizar la entrega de la Infraestructura al Concesionario, incluyendo las Estaciones de Pesaje y las Estaciones de Peaje existentes en el plazo señalado en la Parte Especial”. </w:t>
          </w:r>
        </w:p>
        <w:p w14:paraId="72EE32B2" w14:textId="77777777" w:rsidR="007803E3" w:rsidRPr="0020113A" w:rsidRDefault="007803E3" w:rsidP="007803E3">
          <w:pPr>
            <w:pStyle w:val="Default"/>
            <w:jc w:val="both"/>
            <w:rPr>
              <w:rFonts w:ascii="Times New Roman" w:hAnsi="Times New Roman" w:cs="Times New Roman"/>
              <w:color w:val="auto"/>
            </w:rPr>
          </w:pPr>
          <w:r w:rsidRPr="0020113A">
            <w:rPr>
              <w:rFonts w:ascii="Times New Roman" w:hAnsi="Times New Roman" w:cs="Times New Roman"/>
              <w:color w:val="auto"/>
            </w:rPr>
            <w:t xml:space="preserve">Las estaciones de peaje señaladas son las que conforman el Sistema Vial entre Bogotá – Girardot denominadas Chusacá cuya ubicación corresponde a la Unidad Funcional 7 y Chinauta con ubicación en la Unidad Funcional 3. </w:t>
          </w:r>
        </w:p>
        <w:p w14:paraId="3E827D43" w14:textId="77777777" w:rsidR="007803E3" w:rsidRPr="0020113A" w:rsidRDefault="007803E3" w:rsidP="007803E3">
          <w:pPr>
            <w:pStyle w:val="paragraph"/>
            <w:spacing w:after="0"/>
            <w:jc w:val="both"/>
            <w:textAlignment w:val="baseline"/>
            <w:rPr>
              <w:rStyle w:val="eop"/>
              <w:shd w:val="clear" w:color="auto" w:fill="FFFFFF"/>
            </w:rPr>
          </w:pPr>
          <w:r w:rsidRPr="0020113A">
            <w:rPr>
              <w:rStyle w:val="normaltextrun"/>
              <w:b/>
              <w:bCs/>
              <w:shd w:val="clear" w:color="auto" w:fill="FFFFFF"/>
              <w:lang w:val="es-MX"/>
            </w:rPr>
            <w:t>Observaciones:</w:t>
          </w:r>
          <w:r w:rsidRPr="0020113A">
            <w:rPr>
              <w:rStyle w:val="eop"/>
              <w:shd w:val="clear" w:color="auto" w:fill="FFFFFF"/>
            </w:rPr>
            <w:t>  NA</w:t>
          </w:r>
        </w:p>
        <w:p w14:paraId="56FD2670" w14:textId="67D25519" w:rsidR="63C758A7" w:rsidRDefault="63C758A7" w:rsidP="63C758A7">
          <w:pPr>
            <w:pStyle w:val="paragraph"/>
            <w:spacing w:before="0" w:beforeAutospacing="0" w:after="0" w:afterAutospacing="0"/>
            <w:rPr>
              <w:rStyle w:val="normaltextrun"/>
              <w:b/>
              <w:bCs/>
              <w:lang w:val="es-MX"/>
            </w:rPr>
          </w:pPr>
        </w:p>
        <w:p w14:paraId="06A347C2" w14:textId="77777777" w:rsidR="007803E3" w:rsidRPr="0020113A" w:rsidRDefault="007803E3" w:rsidP="007803E3">
          <w:pPr>
            <w:pStyle w:val="paragraph"/>
            <w:spacing w:before="0" w:beforeAutospacing="0" w:after="0" w:afterAutospacing="0"/>
            <w:textAlignment w:val="baseline"/>
            <w:rPr>
              <w:rStyle w:val="eop"/>
              <w:shd w:val="clear" w:color="auto" w:fill="FFFFFF"/>
            </w:rPr>
          </w:pPr>
          <w:r w:rsidRPr="0020113A">
            <w:rPr>
              <w:rStyle w:val="normaltextrun"/>
              <w:b/>
              <w:bCs/>
              <w:shd w:val="clear" w:color="auto" w:fill="FFFFFF"/>
              <w:lang w:val="es-MX"/>
            </w:rPr>
            <w:t>Retribución al Concesionario</w:t>
          </w:r>
        </w:p>
        <w:p w14:paraId="793A2142" w14:textId="77777777" w:rsidR="007803E3" w:rsidRDefault="007803E3" w:rsidP="007803E3">
          <w:pPr>
            <w:pStyle w:val="Default"/>
            <w:jc w:val="both"/>
            <w:rPr>
              <w:rStyle w:val="normaltextrun"/>
              <w:rFonts w:ascii="Times New Roman" w:hAnsi="Times New Roman" w:cs="Times New Roman"/>
              <w:b/>
              <w:color w:val="auto"/>
              <w:bdr w:val="none" w:sz="0" w:space="0" w:color="auto" w:frame="1"/>
              <w:lang w:val="es-MX"/>
            </w:rPr>
          </w:pPr>
        </w:p>
        <w:p w14:paraId="47429C12" w14:textId="727A46EF" w:rsidR="007803E3" w:rsidRPr="00AF1F6C" w:rsidRDefault="007803E3" w:rsidP="00AF1F6C">
          <w:pPr>
            <w:pStyle w:val="Default"/>
            <w:jc w:val="both"/>
            <w:rPr>
              <w:rStyle w:val="normaltextrun"/>
              <w:rFonts w:ascii="Times New Roman" w:hAnsi="Times New Roman" w:cs="Times New Roman"/>
              <w:color w:val="auto"/>
            </w:rPr>
          </w:pPr>
          <w:r w:rsidRPr="0020113A">
            <w:rPr>
              <w:rStyle w:val="normaltextrun"/>
              <w:rFonts w:ascii="Times New Roman" w:hAnsi="Times New Roman" w:cs="Times New Roman"/>
              <w:b/>
              <w:bCs/>
              <w:color w:val="auto"/>
              <w:bdr w:val="none" w:sz="0" w:space="0" w:color="auto" w:frame="1"/>
              <w:lang w:val="es-MX"/>
            </w:rPr>
            <w:t xml:space="preserve">Descripción: </w:t>
          </w:r>
          <w:r w:rsidRPr="0020113A">
            <w:rPr>
              <w:rFonts w:ascii="Times New Roman" w:hAnsi="Times New Roman" w:cs="Times New Roman"/>
              <w:color w:val="auto"/>
            </w:rPr>
            <w:t xml:space="preserve">En la Sección 3.1.(a)Parte General queda establecido el derecho a la Retribución así: “El derecho a la Retribución del Concesionario </w:t>
          </w:r>
          <w:r w:rsidR="001F57C8" w:rsidRPr="009A46BB">
            <w:rPr>
              <w:rFonts w:ascii="Times New Roman" w:hAnsi="Times New Roman" w:cs="Times New Roman"/>
              <w:color w:val="auto"/>
            </w:rPr>
            <w:t>“,</w:t>
          </w:r>
          <w:r w:rsidRPr="0020113A">
            <w:rPr>
              <w:rFonts w:ascii="Times New Roman" w:hAnsi="Times New Roman" w:cs="Times New Roman"/>
              <w:color w:val="auto"/>
            </w:rPr>
            <w:t xml:space="preserve"> con respecto a cada Unidad Funcional se iniciará a partir de la suscripción de la respectiva Acta de Terminación de Unidad Funcional. La suscripción del Acta de Terminación Parcial de Unidad Funcional cuando sea aplicable, de conformidad con este Contrato, dará lugar a la causación y pago de la Compensación Especial”. </w:t>
          </w:r>
        </w:p>
        <w:p w14:paraId="616A3AD9" w14:textId="77777777" w:rsidR="007803E3" w:rsidRPr="0020113A" w:rsidRDefault="007803E3" w:rsidP="007803E3">
          <w:pPr>
            <w:pStyle w:val="paragraph"/>
            <w:spacing w:before="0" w:beforeAutospacing="0" w:after="0" w:afterAutospacing="0"/>
            <w:jc w:val="both"/>
            <w:rPr>
              <w:rStyle w:val="normaltextrun"/>
              <w:b/>
              <w:bCs/>
              <w:lang w:val="es-MX"/>
            </w:rPr>
          </w:pPr>
        </w:p>
        <w:p w14:paraId="43608EA4" w14:textId="77777777" w:rsidR="007803E3" w:rsidRPr="0020113A" w:rsidRDefault="007803E3" w:rsidP="007803E3">
          <w:pPr>
            <w:pStyle w:val="paragraph"/>
            <w:spacing w:before="0" w:beforeAutospacing="0" w:after="0" w:afterAutospacing="0"/>
            <w:jc w:val="both"/>
            <w:textAlignment w:val="baseline"/>
            <w:rPr>
              <w:rStyle w:val="normaltextrun"/>
              <w:b/>
              <w:bCs/>
              <w:bdr w:val="none" w:sz="0" w:space="0" w:color="auto" w:frame="1"/>
              <w:lang w:val="es-MX"/>
            </w:rPr>
          </w:pPr>
          <w:r w:rsidRPr="0020113A">
            <w:rPr>
              <w:rStyle w:val="normaltextrun"/>
              <w:b/>
              <w:bCs/>
              <w:bdr w:val="none" w:sz="0" w:space="0" w:color="auto" w:frame="1"/>
              <w:lang w:val="es-MX"/>
            </w:rPr>
            <w:t>Tasa de Retribución:</w:t>
          </w:r>
          <w:r w:rsidRPr="0020113A">
            <w:t xml:space="preserve"> </w:t>
          </w:r>
          <w:r w:rsidRPr="0020113A">
            <w:rPr>
              <w:rStyle w:val="normaltextrun"/>
              <w:bdr w:val="none" w:sz="0" w:space="0" w:color="auto" w:frame="1"/>
              <w:lang w:val="es-MX"/>
            </w:rPr>
            <w:t>La Tasa de descuento TDI expresada en términos efectivos mensuales, es de 0.6567% De acuerdo con lo establecido en la sección 3.1 de la Parte General del Contrato, las fuentes para el pago de la retribución serán los recursos consignados por recaudo de peajes y los ingresos por explotación comercial. La retribución para cada unidad funcional será calculada de acuerdo con lo definido en el Capítulo IV numeral 4.1 de la Parte Especial del Contrato</w:t>
          </w:r>
          <w:r w:rsidRPr="0020113A">
            <w:rPr>
              <w:rStyle w:val="normaltextrun"/>
              <w:b/>
              <w:bCs/>
              <w:bdr w:val="none" w:sz="0" w:space="0" w:color="auto" w:frame="1"/>
              <w:lang w:val="es-MX"/>
            </w:rPr>
            <w:t>.</w:t>
          </w:r>
        </w:p>
        <w:p w14:paraId="6A4D146C" w14:textId="77777777" w:rsidR="007803E3" w:rsidRPr="0020113A" w:rsidRDefault="007803E3" w:rsidP="007803E3">
          <w:pPr>
            <w:pStyle w:val="paragraph"/>
            <w:spacing w:before="0" w:beforeAutospacing="0" w:after="0" w:afterAutospacing="0"/>
            <w:textAlignment w:val="baseline"/>
            <w:rPr>
              <w:rStyle w:val="normaltextrun"/>
              <w:b/>
              <w:bCs/>
              <w:bdr w:val="none" w:sz="0" w:space="0" w:color="auto" w:frame="1"/>
              <w:lang w:val="es-MX"/>
            </w:rPr>
          </w:pPr>
        </w:p>
        <w:p w14:paraId="2A157430" w14:textId="77777777" w:rsidR="007803E3" w:rsidRPr="0020113A" w:rsidRDefault="007803E3" w:rsidP="00E60BAB">
          <w:pPr>
            <w:pStyle w:val="paragraph"/>
            <w:numPr>
              <w:ilvl w:val="0"/>
              <w:numId w:val="99"/>
            </w:numPr>
            <w:spacing w:before="0" w:beforeAutospacing="0" w:after="0" w:afterAutospacing="0"/>
            <w:textAlignment w:val="baseline"/>
            <w:rPr>
              <w:rStyle w:val="normaltextrun"/>
              <w:b/>
              <w:bCs/>
              <w:shd w:val="clear" w:color="auto" w:fill="FFFFFF"/>
              <w:lang w:val="es-MX"/>
            </w:rPr>
          </w:pPr>
          <w:r w:rsidRPr="0020113A">
            <w:rPr>
              <w:rStyle w:val="normaltextrun"/>
              <w:b/>
              <w:bCs/>
              <w:shd w:val="clear" w:color="auto" w:fill="FFFFFF"/>
              <w:lang w:val="es-MX"/>
            </w:rPr>
            <w:t>Derechos a recibir activos especificados al final del acuerdo de concesión</w:t>
          </w:r>
          <w:r w:rsidRPr="0020113A">
            <w:rPr>
              <w:rStyle w:val="normaltextrun"/>
              <w:b/>
              <w:bCs/>
              <w:lang w:val="es-MX"/>
            </w:rPr>
            <w:t> </w:t>
          </w:r>
        </w:p>
        <w:p w14:paraId="14172012" w14:textId="77777777" w:rsidR="007803E3" w:rsidRPr="0020113A" w:rsidRDefault="007803E3" w:rsidP="007803E3">
          <w:pPr>
            <w:pStyle w:val="paragraph"/>
            <w:spacing w:before="0" w:beforeAutospacing="0" w:after="0" w:afterAutospacing="0"/>
            <w:ind w:left="720"/>
            <w:textAlignment w:val="baseline"/>
            <w:rPr>
              <w:rStyle w:val="normaltextrun"/>
              <w:b/>
              <w:bCs/>
              <w:shd w:val="clear" w:color="auto" w:fill="FFFFFF"/>
              <w:lang w:val="es-MX"/>
            </w:rPr>
          </w:pPr>
        </w:p>
        <w:p w14:paraId="563602B8" w14:textId="77777777" w:rsidR="007803E3" w:rsidRPr="0020113A" w:rsidRDefault="007803E3" w:rsidP="007803E3">
          <w:pPr>
            <w:pStyle w:val="Default"/>
            <w:jc w:val="both"/>
            <w:rPr>
              <w:rFonts w:ascii="Times New Roman" w:hAnsi="Times New Roman" w:cs="Times New Roman"/>
              <w:color w:val="auto"/>
            </w:rPr>
          </w:pPr>
          <w:r w:rsidRPr="0020113A">
            <w:rPr>
              <w:rStyle w:val="normaltextrun"/>
              <w:rFonts w:ascii="Times New Roman" w:hAnsi="Times New Roman" w:cs="Times New Roman"/>
              <w:b/>
              <w:bCs/>
              <w:color w:val="auto"/>
              <w:bdr w:val="none" w:sz="0" w:space="0" w:color="auto" w:frame="1"/>
              <w:lang w:val="es-MX"/>
            </w:rPr>
            <w:t xml:space="preserve">Descripción: </w:t>
          </w:r>
          <w:r w:rsidRPr="0020113A">
            <w:rPr>
              <w:rFonts w:ascii="Times New Roman" w:hAnsi="Times New Roman" w:cs="Times New Roman"/>
              <w:color w:val="auto"/>
            </w:rPr>
            <w:t xml:space="preserve">En cuanto a la reversión de los bienes entregados al Concesionario y su entrega a la Ani una vez finalice el Contrato de Concesión, las condiciones están establecidas en la Sección 9.7 de la Parte General del Contrato y Apéndice Técnico 2 Sección 5- REVERSIÓN, el cual manifiesta: </w:t>
          </w:r>
        </w:p>
        <w:p w14:paraId="71131ED0" w14:textId="77777777" w:rsidR="007803E3" w:rsidRPr="0020113A" w:rsidRDefault="007803E3" w:rsidP="007803E3">
          <w:pPr>
            <w:pStyle w:val="Default"/>
            <w:jc w:val="both"/>
            <w:rPr>
              <w:rFonts w:ascii="Times New Roman" w:hAnsi="Times New Roman" w:cs="Times New Roman"/>
              <w:color w:val="auto"/>
            </w:rPr>
          </w:pPr>
          <w:r w:rsidRPr="0020113A">
            <w:rPr>
              <w:rFonts w:ascii="Times New Roman" w:hAnsi="Times New Roman" w:cs="Times New Roman"/>
              <w:color w:val="auto"/>
            </w:rPr>
            <w:t>-De acuerdo con la Sección 9.7 de la Parte General Contrato, cuando concluya la Etapa de Operación y Mantenimiento o cuando el Contrato se termine anticipadamente, todas las obras y bienes de la Concesión, incluyendo los Predios de la zona del Corredor del Proyecto y las obras civiles (calzadas, separadores, intersecciones, estructuras, obras de drenaje, obras de arte y señales), las Estaciones de Peaje y sus equipos, las Estaciones de Pesaje y sus equipos, el Centro de Control de Operación y sus equipos, las Bases de Operación (uno o los que haya), las Áreas de Servicio, todos los automotores y equipos instalados para la Operación del Proyecto, incluyendo equipos y software de computación, equipos de telecomunicaciones, red de fibra óptica, los entregados a la Policía de Carreteras, los equipos de rescate, los elementos de Traslado Asistencial Médico (TAM) y cualquier otra obra y bien que forme parte de la concesión, deberán ser entregados a la ANI sin costo alguno y libre de todo gravamen .</w:t>
          </w:r>
        </w:p>
        <w:p w14:paraId="059206D4" w14:textId="77777777" w:rsidR="007803E3" w:rsidRPr="0020113A" w:rsidRDefault="007803E3" w:rsidP="007803E3">
          <w:pPr>
            <w:pStyle w:val="paragraph"/>
            <w:spacing w:before="0" w:beforeAutospacing="0" w:after="0" w:afterAutospacing="0"/>
            <w:jc w:val="both"/>
            <w:textAlignment w:val="baseline"/>
          </w:pPr>
        </w:p>
        <w:p w14:paraId="3DB8AF99" w14:textId="77777777" w:rsidR="007803E3" w:rsidRPr="0020113A" w:rsidRDefault="007803E3" w:rsidP="007803E3">
          <w:pPr>
            <w:pStyle w:val="Default"/>
            <w:jc w:val="both"/>
            <w:rPr>
              <w:rFonts w:ascii="Times New Roman" w:hAnsi="Times New Roman" w:cs="Times New Roman"/>
              <w:color w:val="auto"/>
            </w:rPr>
          </w:pPr>
          <w:r w:rsidRPr="0020113A">
            <w:rPr>
              <w:rStyle w:val="normaltextrun"/>
              <w:rFonts w:ascii="Times New Roman" w:hAnsi="Times New Roman" w:cs="Times New Roman"/>
              <w:b/>
              <w:bCs/>
              <w:color w:val="auto"/>
              <w:shd w:val="clear" w:color="auto" w:fill="FFFFFF"/>
              <w:lang w:val="es-MX"/>
            </w:rPr>
            <w:t>Observaciones:</w:t>
          </w:r>
          <w:r w:rsidRPr="0020113A">
            <w:rPr>
              <w:rStyle w:val="eop"/>
              <w:rFonts w:ascii="Times New Roman" w:hAnsi="Times New Roman" w:cs="Times New Roman"/>
              <w:color w:val="auto"/>
              <w:shd w:val="clear" w:color="auto" w:fill="FFFFFF"/>
            </w:rPr>
            <w:t> </w:t>
          </w:r>
          <w:r w:rsidRPr="0020113A">
            <w:rPr>
              <w:rFonts w:ascii="Times New Roman" w:hAnsi="Times New Roman" w:cs="Times New Roman"/>
              <w:color w:val="auto"/>
            </w:rPr>
            <w:t xml:space="preserve">Todos los activos deben ser devueltos a la Agencia Nacional de Infraestructura en las condiciones físicas señaladas en el Apéndice Técnico 2, exentos de cargas tributarias y valor cero (0). </w:t>
          </w:r>
        </w:p>
        <w:p w14:paraId="713560B6" w14:textId="77777777" w:rsidR="007803E3" w:rsidRPr="0020113A" w:rsidRDefault="007803E3" w:rsidP="007803E3">
          <w:pPr>
            <w:pStyle w:val="paragraph"/>
            <w:spacing w:before="0" w:beforeAutospacing="0" w:after="0" w:afterAutospacing="0"/>
            <w:jc w:val="both"/>
            <w:textAlignment w:val="baseline"/>
            <w:rPr>
              <w:rStyle w:val="eop"/>
            </w:rPr>
          </w:pPr>
        </w:p>
        <w:p w14:paraId="03B68F8A" w14:textId="53D89659" w:rsidR="007803E3" w:rsidRPr="00AF1F6C" w:rsidRDefault="00AF1F6C" w:rsidP="00E60BAB">
          <w:pPr>
            <w:pStyle w:val="paragraph"/>
            <w:numPr>
              <w:ilvl w:val="0"/>
              <w:numId w:val="99"/>
            </w:numPr>
            <w:spacing w:before="0" w:beforeAutospacing="0" w:after="0" w:afterAutospacing="0"/>
            <w:textAlignment w:val="baseline"/>
            <w:rPr>
              <w:b/>
              <w:shd w:val="clear" w:color="auto" w:fill="FFFFFF"/>
              <w:lang w:val="es-MX"/>
            </w:rPr>
          </w:pPr>
          <w:r>
            <w:rPr>
              <w:rStyle w:val="normaltextrun"/>
              <w:b/>
              <w:bCs/>
              <w:shd w:val="clear" w:color="auto" w:fill="FFFFFF"/>
              <w:lang w:val="es-MX"/>
            </w:rPr>
            <w:t>No hay c</w:t>
          </w:r>
          <w:r w:rsidR="007803E3" w:rsidRPr="0020113A">
            <w:rPr>
              <w:rStyle w:val="normaltextrun"/>
              <w:b/>
              <w:bCs/>
              <w:shd w:val="clear" w:color="auto" w:fill="FFFFFF"/>
              <w:lang w:val="es-MX"/>
            </w:rPr>
            <w:t>ambios en el acuerdo de concesión que se realicen durante el periodo fiscal</w:t>
          </w:r>
          <w:r w:rsidR="007803E3" w:rsidRPr="0020113A">
            <w:rPr>
              <w:rStyle w:val="normaltextrun"/>
              <w:b/>
              <w:bCs/>
              <w:lang w:val="es-MX"/>
            </w:rPr>
            <w:t> </w:t>
          </w:r>
        </w:p>
        <w:p w14:paraId="7A9CD244" w14:textId="77777777" w:rsidR="007F0A8D" w:rsidRPr="00931DCE" w:rsidRDefault="007F0A8D" w:rsidP="007F0A8D">
          <w:pPr>
            <w:spacing w:after="0" w:line="240" w:lineRule="auto"/>
            <w:jc w:val="both"/>
            <w:rPr>
              <w:rFonts w:ascii="Times New Roman" w:hAnsi="Times New Roman"/>
              <w:sz w:val="24"/>
              <w:szCs w:val="24"/>
            </w:rPr>
          </w:pPr>
        </w:p>
        <w:p w14:paraId="5B9B3546" w14:textId="77777777" w:rsidR="001F57C8" w:rsidRPr="009A46BB" w:rsidRDefault="001F57C8" w:rsidP="007F0A8D">
          <w:pPr>
            <w:spacing w:after="0" w:line="240" w:lineRule="auto"/>
            <w:jc w:val="both"/>
            <w:rPr>
              <w:rFonts w:ascii="Times New Roman" w:hAnsi="Times New Roman"/>
              <w:sz w:val="24"/>
              <w:szCs w:val="24"/>
            </w:rPr>
          </w:pPr>
        </w:p>
        <w:p w14:paraId="7B645C1C" w14:textId="282C8D39" w:rsidR="5F8D7CA2" w:rsidRDefault="5F8D7CA2" w:rsidP="5F8D7CA2">
          <w:pPr>
            <w:spacing w:after="0" w:line="240" w:lineRule="auto"/>
            <w:jc w:val="both"/>
            <w:rPr>
              <w:rFonts w:ascii="Times New Roman" w:hAnsi="Times New Roman"/>
              <w:sz w:val="24"/>
              <w:szCs w:val="24"/>
            </w:rPr>
          </w:pPr>
        </w:p>
        <w:p w14:paraId="18C74AF7" w14:textId="076041E4" w:rsidR="5F2741A4" w:rsidRDefault="5F2741A4" w:rsidP="63C758A7">
          <w:pPr>
            <w:spacing w:line="257" w:lineRule="auto"/>
            <w:ind w:left="-20" w:right="-20"/>
            <w:jc w:val="both"/>
          </w:pPr>
          <w:r w:rsidRPr="63C758A7">
            <w:rPr>
              <w:rFonts w:ascii="Times New Roman" w:eastAsia="Times New Roman" w:hAnsi="Times New Roman"/>
              <w:b/>
              <w:bCs/>
              <w:sz w:val="24"/>
              <w:szCs w:val="24"/>
              <w:lang w:val="es-MX"/>
            </w:rPr>
            <w:t xml:space="preserve">ANTIOQUIA BOLIVAR </w:t>
          </w:r>
        </w:p>
        <w:p w14:paraId="7FC93273" w14:textId="67B38CE2" w:rsidR="5F2741A4" w:rsidRDefault="5F2741A4" w:rsidP="00E60BAB">
          <w:pPr>
            <w:pStyle w:val="Prrafodelista"/>
            <w:numPr>
              <w:ilvl w:val="0"/>
              <w:numId w:val="165"/>
            </w:numPr>
            <w:spacing w:line="257" w:lineRule="auto"/>
            <w:ind w:left="-20" w:right="-20"/>
            <w:jc w:val="both"/>
            <w:rPr>
              <w:rFonts w:ascii="Times New Roman" w:eastAsia="Times New Roman" w:hAnsi="Times New Roman"/>
              <w:b/>
              <w:bCs/>
              <w:sz w:val="24"/>
              <w:szCs w:val="24"/>
              <w:lang w:val="es"/>
            </w:rPr>
          </w:pPr>
          <w:r w:rsidRPr="63C758A7">
            <w:rPr>
              <w:rFonts w:ascii="Times New Roman" w:eastAsia="Times New Roman" w:hAnsi="Times New Roman"/>
              <w:b/>
              <w:bCs/>
              <w:sz w:val="24"/>
              <w:szCs w:val="24"/>
              <w:lang w:val="es"/>
            </w:rPr>
            <w:t>Descripción del acuerdo</w:t>
          </w:r>
        </w:p>
        <w:p w14:paraId="2817CD0D" w14:textId="36017550" w:rsidR="5F2741A4" w:rsidRDefault="5F2741A4" w:rsidP="5F8D7CA2">
          <w:pPr>
            <w:spacing w:after="0" w:line="257" w:lineRule="auto"/>
            <w:ind w:left="-20" w:right="-20"/>
            <w:jc w:val="both"/>
          </w:pPr>
          <w:r w:rsidRPr="63C758A7">
            <w:rPr>
              <w:rFonts w:ascii="Times New Roman" w:eastAsia="Times New Roman" w:hAnsi="Times New Roman"/>
              <w:b/>
              <w:bCs/>
              <w:sz w:val="24"/>
              <w:szCs w:val="24"/>
              <w:lang w:val="es-MX"/>
            </w:rPr>
            <w:t xml:space="preserve">Número del Acuerdo de Concesión: </w:t>
          </w:r>
          <w:r w:rsidRPr="63C758A7">
            <w:rPr>
              <w:rFonts w:ascii="Times New Roman" w:eastAsia="Times New Roman" w:hAnsi="Times New Roman"/>
              <w:sz w:val="24"/>
              <w:szCs w:val="24"/>
              <w:lang w:val="es"/>
            </w:rPr>
            <w:t>No 016 de 14 de octubre de 2015.</w:t>
          </w:r>
        </w:p>
        <w:p w14:paraId="131FF5A6" w14:textId="7680FFFD" w:rsidR="5F2741A4" w:rsidRDefault="5F2741A4" w:rsidP="5F8D7CA2">
          <w:pPr>
            <w:spacing w:after="0" w:line="257" w:lineRule="auto"/>
            <w:ind w:left="-20" w:right="-20"/>
            <w:jc w:val="both"/>
          </w:pPr>
          <w:r w:rsidRPr="63C758A7">
            <w:rPr>
              <w:rFonts w:ascii="Times New Roman" w:eastAsia="Times New Roman" w:hAnsi="Times New Roman"/>
              <w:b/>
              <w:bCs/>
              <w:sz w:val="24"/>
              <w:szCs w:val="24"/>
              <w:lang w:val="es"/>
            </w:rPr>
            <w:t xml:space="preserve">Objeto / Descripción: </w:t>
          </w:r>
          <w:r w:rsidRPr="63C758A7">
            <w:rPr>
              <w:rFonts w:ascii="Times New Roman" w:eastAsia="Times New Roman" w:hAnsi="Times New Roman"/>
              <w:sz w:val="24"/>
              <w:szCs w:val="24"/>
              <w:lang w:val="es"/>
            </w:rPr>
            <w:t>La Construcción, Rehabilitación, Mejoramiento, Operación y, Mantenimiento Del Sistema Vial Para La Conexión de los departamentos Antioquia – Bolívar.</w:t>
          </w:r>
        </w:p>
        <w:p w14:paraId="0D86009E" w14:textId="79AFE489" w:rsidR="5F2741A4" w:rsidRDefault="5F2741A4" w:rsidP="5F8D7CA2">
          <w:pPr>
            <w:spacing w:after="0" w:line="257" w:lineRule="auto"/>
            <w:ind w:left="-20" w:right="204"/>
            <w:jc w:val="both"/>
          </w:pPr>
          <w:r w:rsidRPr="63C758A7">
            <w:rPr>
              <w:rFonts w:ascii="Times New Roman" w:eastAsia="Times New Roman" w:hAnsi="Times New Roman"/>
              <w:b/>
              <w:bCs/>
              <w:sz w:val="24"/>
              <w:szCs w:val="24"/>
              <w:lang w:val="es"/>
            </w:rPr>
            <w:t xml:space="preserve">Valor inicial: </w:t>
          </w:r>
          <w:r w:rsidRPr="63C758A7">
            <w:rPr>
              <w:rFonts w:ascii="Times New Roman" w:eastAsia="Times New Roman" w:hAnsi="Times New Roman"/>
              <w:sz w:val="24"/>
              <w:szCs w:val="24"/>
              <w:lang w:val="es"/>
            </w:rPr>
            <w:t>DOS BILLONES SETECIENTOS CINCUENTA Y DOS MIL QUINIENTOS CINCUENTA y DOS MILLONES CIENTO NOVENTA y TRES MIL ONCE ($2.752.552.193.011) Pesos del Mes de Referencia.</w:t>
          </w:r>
        </w:p>
        <w:p w14:paraId="22AC3BF0" w14:textId="486A6DF9" w:rsidR="5F2741A4" w:rsidRDefault="5F2741A4" w:rsidP="5F8D7CA2">
          <w:pPr>
            <w:spacing w:after="0" w:line="257" w:lineRule="auto"/>
            <w:ind w:left="-20" w:right="204"/>
            <w:jc w:val="both"/>
          </w:pPr>
          <w:r w:rsidRPr="63C758A7">
            <w:rPr>
              <w:rFonts w:ascii="Times New Roman" w:eastAsia="Times New Roman" w:hAnsi="Times New Roman"/>
              <w:b/>
              <w:bCs/>
              <w:sz w:val="24"/>
              <w:szCs w:val="24"/>
              <w:lang w:val="es"/>
            </w:rPr>
            <w:t xml:space="preserve">Fecha de inicio: </w:t>
          </w:r>
          <w:r w:rsidRPr="63C758A7">
            <w:rPr>
              <w:rFonts w:ascii="Times New Roman" w:eastAsia="Times New Roman" w:hAnsi="Times New Roman"/>
              <w:sz w:val="24"/>
              <w:szCs w:val="24"/>
              <w:lang w:val="es"/>
            </w:rPr>
            <w:t>27/11/2015</w:t>
          </w:r>
        </w:p>
        <w:p w14:paraId="6F2B79D5" w14:textId="625CC37E" w:rsidR="5F2741A4" w:rsidRDefault="5F2741A4" w:rsidP="5F8D7CA2">
          <w:pPr>
            <w:spacing w:after="0" w:line="257" w:lineRule="auto"/>
            <w:ind w:left="-20" w:right="204"/>
            <w:jc w:val="both"/>
          </w:pPr>
          <w:r w:rsidRPr="63C758A7">
            <w:rPr>
              <w:rFonts w:ascii="Times New Roman" w:eastAsia="Times New Roman" w:hAnsi="Times New Roman"/>
              <w:b/>
              <w:bCs/>
              <w:sz w:val="24"/>
              <w:szCs w:val="24"/>
              <w:lang w:val="es"/>
            </w:rPr>
            <w:t xml:space="preserve">Fecha de finalización estimada: </w:t>
          </w:r>
          <w:r w:rsidRPr="63C758A7">
            <w:rPr>
              <w:rFonts w:ascii="Times New Roman" w:eastAsia="Times New Roman" w:hAnsi="Times New Roman"/>
              <w:sz w:val="24"/>
              <w:szCs w:val="24"/>
              <w:lang w:val="es"/>
            </w:rPr>
            <w:t>28/11/2049</w:t>
          </w:r>
        </w:p>
        <w:p w14:paraId="115EDE17" w14:textId="76DCAD8F" w:rsidR="5F2741A4" w:rsidRDefault="5F2741A4" w:rsidP="5F8D7CA2">
          <w:pPr>
            <w:spacing w:after="0" w:line="257" w:lineRule="auto"/>
            <w:ind w:left="-20" w:right="204"/>
            <w:jc w:val="both"/>
          </w:pPr>
          <w:r w:rsidRPr="63C758A7">
            <w:rPr>
              <w:rFonts w:ascii="Times New Roman" w:eastAsia="Times New Roman" w:hAnsi="Times New Roman"/>
              <w:b/>
              <w:bCs/>
              <w:sz w:val="24"/>
              <w:szCs w:val="24"/>
              <w:lang w:val="es"/>
            </w:rPr>
            <w:t xml:space="preserve">Tipo ID: </w:t>
          </w:r>
          <w:r w:rsidRPr="63C758A7">
            <w:rPr>
              <w:rFonts w:ascii="Times New Roman" w:eastAsia="Times New Roman" w:hAnsi="Times New Roman"/>
              <w:sz w:val="24"/>
              <w:szCs w:val="24"/>
              <w:lang w:val="es"/>
            </w:rPr>
            <w:t xml:space="preserve">NIT </w:t>
          </w:r>
        </w:p>
        <w:p w14:paraId="483790FE" w14:textId="675EF615" w:rsidR="5F2741A4" w:rsidRDefault="5F2741A4" w:rsidP="5F8D7CA2">
          <w:pPr>
            <w:spacing w:after="0" w:line="257" w:lineRule="auto"/>
            <w:ind w:left="-20" w:right="204"/>
            <w:jc w:val="both"/>
          </w:pPr>
          <w:r w:rsidRPr="63C758A7">
            <w:rPr>
              <w:rFonts w:ascii="Times New Roman" w:eastAsia="Times New Roman" w:hAnsi="Times New Roman"/>
              <w:b/>
              <w:bCs/>
              <w:sz w:val="24"/>
              <w:szCs w:val="24"/>
              <w:lang w:val="es"/>
            </w:rPr>
            <w:t xml:space="preserve">Número ID: </w:t>
          </w:r>
          <w:r w:rsidRPr="63C758A7">
            <w:rPr>
              <w:rFonts w:ascii="Times New Roman" w:eastAsia="Times New Roman" w:hAnsi="Times New Roman"/>
              <w:sz w:val="24"/>
              <w:szCs w:val="24"/>
              <w:lang w:val="es"/>
            </w:rPr>
            <w:t>900.894.996-0</w:t>
          </w:r>
        </w:p>
        <w:p w14:paraId="3CA6D115" w14:textId="48671F2B" w:rsidR="5F2741A4" w:rsidRDefault="5F2741A4" w:rsidP="5F8D7CA2">
          <w:pPr>
            <w:spacing w:after="0" w:line="257" w:lineRule="auto"/>
            <w:ind w:left="-20" w:right="204"/>
            <w:jc w:val="both"/>
          </w:pPr>
          <w:r w:rsidRPr="63C758A7">
            <w:rPr>
              <w:rFonts w:ascii="Times New Roman" w:eastAsia="Times New Roman" w:hAnsi="Times New Roman"/>
              <w:b/>
              <w:bCs/>
              <w:sz w:val="24"/>
              <w:szCs w:val="24"/>
              <w:lang w:val="es"/>
            </w:rPr>
            <w:t xml:space="preserve">Razón social del concesionario: </w:t>
          </w:r>
          <w:r w:rsidRPr="63C758A7">
            <w:rPr>
              <w:rFonts w:ascii="Times New Roman" w:eastAsia="Times New Roman" w:hAnsi="Times New Roman"/>
              <w:sz w:val="24"/>
              <w:szCs w:val="24"/>
              <w:lang w:val="es"/>
            </w:rPr>
            <w:t>CONCESION RUTA AL MAR SAS</w:t>
          </w:r>
        </w:p>
        <w:p w14:paraId="23EB2CC9" w14:textId="659120C9" w:rsidR="5F2741A4" w:rsidRDefault="5F2741A4" w:rsidP="5F8D7CA2">
          <w:pPr>
            <w:spacing w:after="0" w:line="257" w:lineRule="auto"/>
            <w:ind w:left="-20" w:right="204"/>
            <w:jc w:val="both"/>
          </w:pPr>
          <w:r w:rsidRPr="63C758A7">
            <w:rPr>
              <w:rFonts w:ascii="Times New Roman" w:eastAsia="Times New Roman" w:hAnsi="Times New Roman"/>
              <w:b/>
              <w:bCs/>
              <w:sz w:val="24"/>
              <w:szCs w:val="24"/>
              <w:lang w:val="es"/>
            </w:rPr>
            <w:t xml:space="preserve">Nombre del proyecto: </w:t>
          </w:r>
          <w:r w:rsidRPr="63C758A7">
            <w:rPr>
              <w:rFonts w:ascii="Times New Roman" w:eastAsia="Times New Roman" w:hAnsi="Times New Roman"/>
              <w:sz w:val="24"/>
              <w:szCs w:val="24"/>
              <w:lang w:val="es"/>
            </w:rPr>
            <w:t>CONCESION ANTIOQUIA BOLIVAR</w:t>
          </w:r>
        </w:p>
        <w:p w14:paraId="42C3F6EE" w14:textId="1B2BC7AC" w:rsidR="5F2741A4" w:rsidRDefault="5F2741A4" w:rsidP="63C758A7">
          <w:pPr>
            <w:spacing w:line="257" w:lineRule="auto"/>
            <w:ind w:left="107" w:right="204"/>
            <w:jc w:val="both"/>
          </w:pPr>
          <w:r w:rsidRPr="63C758A7">
            <w:rPr>
              <w:rFonts w:ascii="Times New Roman" w:eastAsia="Times New Roman" w:hAnsi="Times New Roman"/>
              <w:sz w:val="24"/>
              <w:szCs w:val="24"/>
              <w:lang w:val="es"/>
            </w:rPr>
            <w:t xml:space="preserve"> </w:t>
          </w:r>
        </w:p>
        <w:p w14:paraId="150DA725" w14:textId="361CA8A9" w:rsidR="5F2741A4" w:rsidRDefault="5F2741A4" w:rsidP="00E60BAB">
          <w:pPr>
            <w:pStyle w:val="Prrafodelista"/>
            <w:numPr>
              <w:ilvl w:val="0"/>
              <w:numId w:val="165"/>
            </w:numPr>
            <w:spacing w:after="0" w:line="257" w:lineRule="auto"/>
            <w:ind w:left="-20" w:right="-20"/>
            <w:jc w:val="both"/>
            <w:rPr>
              <w:rFonts w:ascii="Times New Roman" w:eastAsia="Times New Roman" w:hAnsi="Times New Roman"/>
              <w:b/>
              <w:bCs/>
              <w:sz w:val="24"/>
              <w:szCs w:val="24"/>
              <w:lang w:val="es"/>
            </w:rPr>
          </w:pPr>
          <w:r w:rsidRPr="63C758A7">
            <w:rPr>
              <w:rFonts w:ascii="Times New Roman" w:eastAsia="Times New Roman" w:hAnsi="Times New Roman"/>
              <w:b/>
              <w:bCs/>
              <w:sz w:val="24"/>
              <w:szCs w:val="24"/>
              <w:lang w:val="es"/>
            </w:rPr>
            <w:t>Términos significativos del acuerdo que puedan afectar su valor, el calendario y la certeza de los flujos</w:t>
          </w:r>
        </w:p>
        <w:p w14:paraId="66A9545E" w14:textId="7ED53D09" w:rsidR="5F2741A4" w:rsidRDefault="5F2741A4" w:rsidP="63C758A7">
          <w:pPr>
            <w:spacing w:line="257" w:lineRule="auto"/>
            <w:ind w:left="107" w:right="204"/>
            <w:jc w:val="both"/>
          </w:pPr>
          <w:r w:rsidRPr="63C758A7">
            <w:rPr>
              <w:rFonts w:ascii="Times New Roman" w:eastAsia="Times New Roman" w:hAnsi="Times New Roman"/>
              <w:b/>
              <w:bCs/>
              <w:sz w:val="24"/>
              <w:szCs w:val="24"/>
              <w:lang w:val="es"/>
            </w:rPr>
            <w:t xml:space="preserve"> </w:t>
          </w:r>
        </w:p>
        <w:p w14:paraId="4CBBDC63" w14:textId="5F5E30FB" w:rsidR="5F2741A4" w:rsidRDefault="5F2741A4" w:rsidP="63C758A7">
          <w:pPr>
            <w:spacing w:line="257" w:lineRule="auto"/>
            <w:ind w:left="-20" w:right="-20"/>
            <w:jc w:val="both"/>
          </w:pPr>
          <w:r w:rsidRPr="63C758A7">
            <w:rPr>
              <w:rFonts w:ascii="Times New Roman" w:eastAsia="Times New Roman" w:hAnsi="Times New Roman"/>
              <w:b/>
              <w:bCs/>
              <w:sz w:val="24"/>
              <w:szCs w:val="24"/>
              <w:lang w:val="es"/>
            </w:rPr>
            <w:lastRenderedPageBreak/>
            <w:t xml:space="preserve">Términos de valor: </w:t>
          </w:r>
          <w:r w:rsidRPr="63C758A7">
            <w:rPr>
              <w:rFonts w:ascii="Times New Roman" w:eastAsia="Times New Roman" w:hAnsi="Times New Roman"/>
              <w:sz w:val="24"/>
              <w:szCs w:val="24"/>
              <w:lang w:val="es"/>
            </w:rPr>
            <w:t>CIRCULAR No. 20233050000024 ANI Aplicación del Decreto 50 de 2023. El «no incremento» de que trata el artículo 1º del Decreto 050 de 2023 incluye la «no actualización» de peajes según el IPC registrado para el año 2022 y demás definidos contractualmente; en este sentido deben mantenerse las tarifas que se cobraban antes de la entrada en vigencia del referido Decreto.</w:t>
          </w:r>
        </w:p>
        <w:p w14:paraId="7EB44A0B" w14:textId="63B0179B" w:rsidR="5F2741A4" w:rsidRDefault="5F2741A4" w:rsidP="5F8D7CA2">
          <w:pPr>
            <w:spacing w:line="257" w:lineRule="auto"/>
            <w:ind w:left="-20" w:right="143"/>
            <w:jc w:val="both"/>
          </w:pPr>
          <w:r w:rsidRPr="63C758A7">
            <w:rPr>
              <w:rFonts w:ascii="Times New Roman" w:eastAsia="Times New Roman" w:hAnsi="Times New Roman"/>
              <w:sz w:val="24"/>
              <w:szCs w:val="24"/>
              <w:lang w:val="es"/>
            </w:rPr>
            <w:t>A continuación, se presentan las cláusulas contractuales del contrato de concesión No 016 de 2015 en términos de valor:</w:t>
          </w:r>
        </w:p>
        <w:p w14:paraId="4BD45260" w14:textId="3A8B6960" w:rsidR="5F2741A4" w:rsidRDefault="5F2741A4" w:rsidP="5F8D7CA2">
          <w:pPr>
            <w:spacing w:line="257" w:lineRule="auto"/>
            <w:ind w:left="-20" w:right="90"/>
            <w:jc w:val="both"/>
          </w:pPr>
          <w:r w:rsidRPr="63C758A7">
            <w:rPr>
              <w:rFonts w:ascii="Times New Roman" w:eastAsia="Times New Roman" w:hAnsi="Times New Roman"/>
              <w:sz w:val="24"/>
              <w:szCs w:val="24"/>
              <w:lang w:val="es"/>
            </w:rPr>
            <w:t>Parte Especial 4.2 Estructura Tarifaria: Para efectos de lo dispuesto en la Sección 1.140 de la Parte General, y de acuerdo con lo establecido por la Resolución No. 1884 de 17 de junio de 2015 y la Resolución No 982 de 16 de abril de 2015. Las tarifas serán actualizadas el dieciséis (16) de enero de cada año.</w:t>
          </w:r>
        </w:p>
        <w:p w14:paraId="418EBF96" w14:textId="7662A85E" w:rsidR="5F2741A4" w:rsidRDefault="5F2741A4" w:rsidP="5F8D7CA2">
          <w:pPr>
            <w:spacing w:line="257" w:lineRule="auto"/>
            <w:ind w:left="-20" w:right="204"/>
            <w:jc w:val="both"/>
          </w:pPr>
          <w:r w:rsidRPr="63C758A7">
            <w:rPr>
              <w:rFonts w:ascii="Times New Roman" w:eastAsia="Times New Roman" w:hAnsi="Times New Roman"/>
              <w:sz w:val="24"/>
              <w:szCs w:val="24"/>
              <w:lang w:val="es"/>
            </w:rPr>
            <w:t>Parte Especial 4.3 Cálculo de la Retribución literal b: El cálculo de la Retribución por Unidad Funcional para cada Mes será efectuado de acuerdo a la siguiente formula:</w:t>
          </w:r>
        </w:p>
        <w:p w14:paraId="57A7D330" w14:textId="0DA84415" w:rsidR="5F2741A4" w:rsidRDefault="5F2741A4" w:rsidP="5F8D7CA2">
          <w:pPr>
            <w:spacing w:line="257" w:lineRule="auto"/>
            <w:ind w:left="-20" w:right="115"/>
            <w:jc w:val="both"/>
          </w:pPr>
          <w:r w:rsidRPr="63C758A7">
            <w:rPr>
              <w:rFonts w:ascii="Times New Roman" w:eastAsia="Times New Roman" w:hAnsi="Times New Roman"/>
              <w:sz w:val="24"/>
              <w:szCs w:val="24"/>
              <w:lang w:val="es"/>
            </w:rPr>
            <w:t>Parte Especial 4.4 Giros de Equity: El Concesionario deberá girar como mínimo a la Cuenta Proyecto los valores expresados en Pesos del Mes de Referencia dentro de los plazos establecidos.</w:t>
          </w:r>
        </w:p>
        <w:p w14:paraId="1D8D448D" w14:textId="708E675C" w:rsidR="5F2741A4" w:rsidRDefault="5F2741A4" w:rsidP="5F8D7CA2">
          <w:pPr>
            <w:spacing w:line="257" w:lineRule="auto"/>
            <w:ind w:left="-20" w:right="430"/>
            <w:jc w:val="both"/>
          </w:pPr>
          <w:r w:rsidRPr="63C758A7">
            <w:rPr>
              <w:rFonts w:ascii="Times New Roman" w:eastAsia="Times New Roman" w:hAnsi="Times New Roman"/>
              <w:sz w:val="24"/>
              <w:szCs w:val="24"/>
              <w:lang w:val="es"/>
            </w:rPr>
            <w:t>Parte Especial 4.5 Fondeo de Subcuentas del Patrimonio Autónomo. Se indica los fondeos contractuales a las siguientes cuentas del Fideicomiso.</w:t>
          </w:r>
        </w:p>
        <w:p w14:paraId="5002B55C" w14:textId="5814A12D" w:rsidR="5F2741A4" w:rsidRDefault="5F2741A4" w:rsidP="03CD6150">
          <w:pPr>
            <w:spacing w:after="0" w:line="257" w:lineRule="auto"/>
            <w:ind w:left="-20" w:right="759"/>
            <w:jc w:val="both"/>
          </w:pPr>
          <w:r w:rsidRPr="63C758A7">
            <w:rPr>
              <w:rFonts w:ascii="Times New Roman" w:eastAsia="Times New Roman" w:hAnsi="Times New Roman"/>
              <w:sz w:val="24"/>
              <w:szCs w:val="24"/>
              <w:lang w:val="es"/>
            </w:rPr>
            <w:t>Subcuenta Interventoría y Supervisión</w:t>
          </w:r>
        </w:p>
        <w:p w14:paraId="49A6A248" w14:textId="7E63B940" w:rsidR="5F2741A4" w:rsidRDefault="5F2741A4" w:rsidP="03CD6150">
          <w:pPr>
            <w:spacing w:after="0" w:line="257" w:lineRule="auto"/>
            <w:ind w:left="-20" w:right="1147"/>
            <w:jc w:val="both"/>
          </w:pPr>
          <w:r w:rsidRPr="63C758A7">
            <w:rPr>
              <w:rFonts w:ascii="Times New Roman" w:eastAsia="Times New Roman" w:hAnsi="Times New Roman"/>
              <w:sz w:val="24"/>
              <w:szCs w:val="24"/>
              <w:lang w:val="es"/>
            </w:rPr>
            <w:t>Subcuenta de Soporte Contractual</w:t>
          </w:r>
        </w:p>
        <w:p w14:paraId="5A07BFC0" w14:textId="3978173B" w:rsidR="5F2741A4" w:rsidRDefault="5F2741A4" w:rsidP="03CD6150">
          <w:pPr>
            <w:spacing w:after="0" w:line="257" w:lineRule="auto"/>
            <w:ind w:left="-20" w:right="880"/>
            <w:jc w:val="both"/>
          </w:pPr>
          <w:r w:rsidRPr="63C758A7">
            <w:rPr>
              <w:rFonts w:ascii="Times New Roman" w:eastAsia="Times New Roman" w:hAnsi="Times New Roman"/>
              <w:sz w:val="24"/>
              <w:szCs w:val="24"/>
              <w:lang w:val="es"/>
            </w:rPr>
            <w:t>Subcuenta Autónoma de Soporte</w:t>
          </w:r>
        </w:p>
        <w:p w14:paraId="2984CA10" w14:textId="7ADC44EF" w:rsidR="5F2741A4" w:rsidRDefault="5F2741A4" w:rsidP="03CD6150">
          <w:pPr>
            <w:spacing w:after="0" w:line="257" w:lineRule="auto"/>
            <w:ind w:left="-20" w:right="583"/>
            <w:jc w:val="both"/>
          </w:pPr>
          <w:r w:rsidRPr="63C758A7">
            <w:rPr>
              <w:rFonts w:ascii="Times New Roman" w:eastAsia="Times New Roman" w:hAnsi="Times New Roman"/>
              <w:sz w:val="24"/>
              <w:szCs w:val="24"/>
              <w:lang w:val="es"/>
            </w:rPr>
            <w:t xml:space="preserve">Subcuenta MASC </w:t>
          </w:r>
        </w:p>
        <w:p w14:paraId="28555017" w14:textId="20293572" w:rsidR="5F2741A4" w:rsidRDefault="5F2741A4" w:rsidP="03CD6150">
          <w:pPr>
            <w:spacing w:after="0" w:line="257" w:lineRule="auto"/>
            <w:ind w:left="-20" w:right="583"/>
            <w:jc w:val="both"/>
          </w:pPr>
          <w:r w:rsidRPr="63C758A7">
            <w:rPr>
              <w:rFonts w:ascii="Times New Roman" w:eastAsia="Times New Roman" w:hAnsi="Times New Roman"/>
              <w:sz w:val="24"/>
              <w:szCs w:val="24"/>
              <w:lang w:val="es"/>
            </w:rPr>
            <w:t xml:space="preserve">Subcuenta Excedentes ANI </w:t>
          </w:r>
        </w:p>
        <w:p w14:paraId="40F9D290" w14:textId="364D0B39" w:rsidR="5F2741A4" w:rsidRDefault="5F2741A4" w:rsidP="03CD6150">
          <w:pPr>
            <w:spacing w:after="0" w:line="257" w:lineRule="auto"/>
            <w:ind w:left="-20" w:right="583"/>
            <w:jc w:val="both"/>
          </w:pPr>
          <w:r w:rsidRPr="63C758A7">
            <w:rPr>
              <w:rFonts w:ascii="Times New Roman" w:eastAsia="Times New Roman" w:hAnsi="Times New Roman"/>
              <w:sz w:val="24"/>
              <w:szCs w:val="24"/>
              <w:lang w:val="es"/>
            </w:rPr>
            <w:t xml:space="preserve">Subcuenta Ingresos por Explotación Comercial </w:t>
          </w:r>
        </w:p>
        <w:p w14:paraId="78C76F4D" w14:textId="0FC5C36D" w:rsidR="5F2741A4" w:rsidRDefault="5F2741A4" w:rsidP="03CD6150">
          <w:pPr>
            <w:spacing w:after="0" w:line="257" w:lineRule="auto"/>
            <w:ind w:left="-20" w:right="583"/>
            <w:jc w:val="both"/>
          </w:pPr>
          <w:r w:rsidRPr="63C758A7">
            <w:rPr>
              <w:rFonts w:ascii="Times New Roman" w:eastAsia="Times New Roman" w:hAnsi="Times New Roman"/>
              <w:sz w:val="24"/>
              <w:szCs w:val="24"/>
              <w:lang w:val="es"/>
            </w:rPr>
            <w:t>Subcuenta Obras Menores</w:t>
          </w:r>
        </w:p>
        <w:p w14:paraId="08512512" w14:textId="6C3315EC" w:rsidR="03CD6150" w:rsidRDefault="03CD6150" w:rsidP="03CD6150">
          <w:pPr>
            <w:spacing w:after="0" w:line="257" w:lineRule="auto"/>
            <w:ind w:left="-20" w:right="583"/>
            <w:jc w:val="both"/>
            <w:rPr>
              <w:rFonts w:ascii="Times New Roman" w:eastAsia="Times New Roman" w:hAnsi="Times New Roman"/>
              <w:sz w:val="24"/>
              <w:szCs w:val="24"/>
              <w:lang w:val="es"/>
            </w:rPr>
          </w:pPr>
        </w:p>
        <w:p w14:paraId="6E6D281F" w14:textId="09312A9C" w:rsidR="5F2741A4" w:rsidRDefault="5F2741A4" w:rsidP="03CD6150">
          <w:pPr>
            <w:spacing w:line="257" w:lineRule="auto"/>
            <w:ind w:left="-20" w:right="155"/>
            <w:jc w:val="both"/>
          </w:pPr>
          <w:r w:rsidRPr="63C758A7">
            <w:rPr>
              <w:rFonts w:ascii="Times New Roman" w:eastAsia="Times New Roman" w:hAnsi="Times New Roman"/>
              <w:sz w:val="24"/>
              <w:szCs w:val="24"/>
              <w:lang w:val="es"/>
            </w:rPr>
            <w:t>Parte General 3.7 Intereses Remuneratorios y de Mora: La tasa de mora aplicable a los pagos debidos por las Partes bajo el presente Contrato será la equivalente a DTF más diez puntos porcentuales (10%).</w:t>
          </w:r>
        </w:p>
        <w:p w14:paraId="655F81F5" w14:textId="5C4B0ACF" w:rsidR="5F2741A4" w:rsidRDefault="5F2741A4" w:rsidP="63C758A7">
          <w:pPr>
            <w:spacing w:line="257" w:lineRule="auto"/>
            <w:ind w:left="-20" w:right="124"/>
            <w:jc w:val="both"/>
          </w:pPr>
          <w:r w:rsidRPr="63C758A7">
            <w:rPr>
              <w:rFonts w:ascii="Times New Roman" w:eastAsia="Times New Roman" w:hAnsi="Times New Roman"/>
              <w:sz w:val="24"/>
              <w:szCs w:val="24"/>
              <w:lang w:val="es"/>
            </w:rPr>
            <w:t>Parte General 14.1 (b): A partir del Acta de Terminación Parcial de Unidad Funcional comenzara a pagarse la Compensación Especial equivalente a una parte de la Retribución que se hubiese causado de haberse completado totalmente la Unidad Funcional la cual corresponderá al porcentaje que represente la proporción entre la inversión realizada efectivamente y la que corresponde a la totalidad de la Unidad Funcional, multiplicado por la fracción que corresponda, de conformidad con:</w:t>
          </w:r>
        </w:p>
        <w:p w14:paraId="7E0585C7" w14:textId="24AEAF03" w:rsidR="5F2741A4" w:rsidRDefault="5F2741A4" w:rsidP="63C758A7">
          <w:pPr>
            <w:tabs>
              <w:tab w:val="left" w:pos="0"/>
              <w:tab w:val="left" w:pos="2968"/>
            </w:tabs>
            <w:spacing w:line="257" w:lineRule="auto"/>
            <w:ind w:left="-20" w:right="-20"/>
            <w:jc w:val="both"/>
          </w:pPr>
          <w:r w:rsidRPr="63C758A7">
            <w:rPr>
              <w:rFonts w:ascii="Times New Roman" w:eastAsia="Times New Roman" w:hAnsi="Times New Roman"/>
              <w:sz w:val="24"/>
              <w:szCs w:val="24"/>
              <w:lang w:val="es"/>
            </w:rPr>
            <w:t>- Del 40% al 60%</w:t>
          </w:r>
          <w:r w:rsidRPr="63C758A7">
            <w:rPr>
              <w:rFonts w:ascii="Times New Roman" w:eastAsia="Times New Roman" w:hAnsi="Times New Roman"/>
              <w:sz w:val="24"/>
              <w:szCs w:val="24"/>
            </w:rPr>
            <w:t xml:space="preserve"> </w:t>
          </w:r>
          <w:r w:rsidRPr="63C758A7">
            <w:rPr>
              <w:rFonts w:ascii="Times New Roman" w:eastAsia="Times New Roman" w:hAnsi="Times New Roman"/>
              <w:sz w:val="24"/>
              <w:szCs w:val="24"/>
              <w:lang w:val="es"/>
            </w:rPr>
            <w:t>0.75 Superior al 60% 0.80 Del 80% en adelante 0.90</w:t>
          </w:r>
        </w:p>
        <w:p w14:paraId="2C947A6F" w14:textId="078064CD" w:rsidR="5F2741A4" w:rsidRDefault="5F2741A4" w:rsidP="63C758A7">
          <w:pPr>
            <w:spacing w:line="257" w:lineRule="auto"/>
            <w:ind w:left="-20" w:right="137"/>
            <w:jc w:val="both"/>
          </w:pPr>
          <w:r w:rsidRPr="63C758A7">
            <w:rPr>
              <w:rFonts w:ascii="Times New Roman" w:eastAsia="Times New Roman" w:hAnsi="Times New Roman"/>
              <w:b/>
              <w:bCs/>
              <w:sz w:val="24"/>
              <w:szCs w:val="24"/>
              <w:lang w:val="es"/>
            </w:rPr>
            <w:t xml:space="preserve">Términos de calendario: </w:t>
          </w:r>
          <w:r w:rsidRPr="63C758A7">
            <w:rPr>
              <w:rFonts w:ascii="Times New Roman" w:eastAsia="Times New Roman" w:hAnsi="Times New Roman"/>
              <w:sz w:val="24"/>
              <w:szCs w:val="24"/>
              <w:lang w:val="es"/>
            </w:rPr>
            <w:t xml:space="preserve">En el seguimiento que la interventoría le hace mensualmente a la programación de obras, basado en el plan de obras V-13 No Objetado, a corte del 31 de diciembre de 2023, a continuación, se relaciona el estado de avance de cada una de las </w:t>
          </w:r>
          <w:r w:rsidRPr="63C758A7">
            <w:rPr>
              <w:rFonts w:ascii="Times New Roman" w:eastAsia="Times New Roman" w:hAnsi="Times New Roman"/>
              <w:sz w:val="24"/>
              <w:szCs w:val="24"/>
              <w:lang w:val="es"/>
            </w:rPr>
            <w:lastRenderedPageBreak/>
            <w:t>unidades funcionales el cual fue remitido por la interventoría mediante comunicación CI.023/AB11762/23/7.1.1 del 11 de diciembre de 2023 El avance va de acuerdo a lo siguiente</w:t>
          </w:r>
        </w:p>
        <w:p w14:paraId="3890F58F" w14:textId="4674563A" w:rsidR="5F2741A4" w:rsidRDefault="5F2741A4" w:rsidP="63C758A7">
          <w:pPr>
            <w:spacing w:line="257" w:lineRule="auto"/>
            <w:ind w:left="107" w:right="584"/>
            <w:jc w:val="both"/>
          </w:pPr>
          <w:r w:rsidRPr="63C758A7">
            <w:rPr>
              <w:rFonts w:ascii="Times New Roman" w:eastAsia="Times New Roman" w:hAnsi="Times New Roman"/>
              <w:sz w:val="24"/>
              <w:szCs w:val="24"/>
            </w:rPr>
            <w:t xml:space="preserve"> </w:t>
          </w:r>
        </w:p>
        <w:p w14:paraId="12BB0075" w14:textId="0057D18B" w:rsidR="5F2741A4" w:rsidRDefault="5F2741A4" w:rsidP="03CD6150">
          <w:pPr>
            <w:spacing w:before="7" w:after="0" w:line="257" w:lineRule="auto"/>
            <w:ind w:left="-20" w:right="-20"/>
            <w:jc w:val="both"/>
          </w:pPr>
          <w:r w:rsidRPr="63C758A7">
            <w:rPr>
              <w:rFonts w:ascii="Times New Roman" w:eastAsia="Times New Roman" w:hAnsi="Times New Roman"/>
              <w:sz w:val="24"/>
              <w:szCs w:val="24"/>
              <w:lang w:val="es"/>
            </w:rPr>
            <w:t>UF1 Caucasia – Planeta Rica: 100.00%</w:t>
          </w:r>
        </w:p>
        <w:p w14:paraId="5E98A075" w14:textId="07AC07E5" w:rsidR="5F2741A4" w:rsidRDefault="5F2741A4" w:rsidP="03CD6150">
          <w:pPr>
            <w:spacing w:before="7" w:after="0" w:line="257" w:lineRule="auto"/>
            <w:ind w:left="-20" w:right="-20"/>
            <w:jc w:val="both"/>
          </w:pPr>
          <w:r w:rsidRPr="63C758A7">
            <w:rPr>
              <w:rFonts w:ascii="Times New Roman" w:eastAsia="Times New Roman" w:hAnsi="Times New Roman"/>
              <w:sz w:val="24"/>
              <w:szCs w:val="24"/>
              <w:lang w:val="es"/>
            </w:rPr>
            <w:t>UF2 Cereté - Lorica: 87.99%</w:t>
          </w:r>
        </w:p>
        <w:p w14:paraId="4748EAB4" w14:textId="52F85B1E" w:rsidR="5F2741A4" w:rsidRDefault="5F2741A4" w:rsidP="03CD6150">
          <w:pPr>
            <w:spacing w:after="0" w:line="257" w:lineRule="auto"/>
            <w:ind w:left="-20" w:right="-20"/>
            <w:jc w:val="both"/>
          </w:pPr>
          <w:r w:rsidRPr="63C758A7">
            <w:rPr>
              <w:rFonts w:ascii="Times New Roman" w:eastAsia="Times New Roman" w:hAnsi="Times New Roman"/>
              <w:sz w:val="24"/>
              <w:szCs w:val="24"/>
              <w:lang w:val="es"/>
            </w:rPr>
            <w:t>UF3 Variante Planeta Rica - Variante Cereté: 99.68%</w:t>
          </w:r>
        </w:p>
        <w:p w14:paraId="0A0254A2" w14:textId="65045298" w:rsidR="5F2741A4" w:rsidRDefault="5F2741A4" w:rsidP="03CD6150">
          <w:pPr>
            <w:spacing w:after="0" w:line="257" w:lineRule="auto"/>
            <w:ind w:left="-20" w:right="-20"/>
            <w:jc w:val="both"/>
          </w:pPr>
          <w:r w:rsidRPr="63C758A7">
            <w:rPr>
              <w:rFonts w:ascii="Times New Roman" w:eastAsia="Times New Roman" w:hAnsi="Times New Roman"/>
              <w:sz w:val="24"/>
              <w:szCs w:val="24"/>
              <w:lang w:val="es"/>
            </w:rPr>
            <w:t>UF4 Montería - Planeta Rica - Calzada</w:t>
          </w:r>
          <w:r>
            <w:tab/>
          </w:r>
          <w:r w:rsidRPr="63C758A7">
            <w:rPr>
              <w:rFonts w:ascii="Times New Roman" w:eastAsia="Times New Roman" w:hAnsi="Times New Roman"/>
              <w:sz w:val="24"/>
              <w:szCs w:val="24"/>
              <w:lang w:val="es"/>
            </w:rPr>
            <w:t>derecha: 100.00%</w:t>
          </w:r>
        </w:p>
        <w:p w14:paraId="1A88B5B2" w14:textId="169B9FEA" w:rsidR="5F2741A4" w:rsidRDefault="5F2741A4" w:rsidP="03CD6150">
          <w:pPr>
            <w:spacing w:before="1" w:after="0" w:line="257" w:lineRule="auto"/>
            <w:ind w:left="-20" w:right="-20"/>
            <w:jc w:val="both"/>
          </w:pPr>
          <w:r w:rsidRPr="63C758A7">
            <w:rPr>
              <w:rFonts w:ascii="Times New Roman" w:eastAsia="Times New Roman" w:hAnsi="Times New Roman"/>
              <w:sz w:val="24"/>
              <w:szCs w:val="24"/>
              <w:lang w:val="es"/>
            </w:rPr>
            <w:t>UF5 Puerto Rey (Arboletes) - Montería: 100.00%</w:t>
          </w:r>
        </w:p>
        <w:p w14:paraId="3C481FA1" w14:textId="7EC3AC7A" w:rsidR="5F2741A4" w:rsidRDefault="5F2741A4" w:rsidP="03CD6150">
          <w:pPr>
            <w:spacing w:after="0" w:line="257" w:lineRule="auto"/>
            <w:ind w:left="-20" w:right="-20"/>
            <w:jc w:val="both"/>
          </w:pPr>
          <w:r w:rsidRPr="63C758A7">
            <w:rPr>
              <w:rFonts w:ascii="Times New Roman" w:eastAsia="Times New Roman" w:hAnsi="Times New Roman"/>
              <w:sz w:val="24"/>
              <w:szCs w:val="24"/>
              <w:lang w:val="es"/>
            </w:rPr>
            <w:t>UF6 Cereté - Tolú: 97.94%</w:t>
          </w:r>
        </w:p>
        <w:p w14:paraId="05E24256" w14:textId="076BB538" w:rsidR="5F2741A4" w:rsidRDefault="5F2741A4" w:rsidP="03CD6150">
          <w:pPr>
            <w:spacing w:after="0" w:line="257" w:lineRule="auto"/>
            <w:ind w:left="-20" w:right="137"/>
            <w:jc w:val="both"/>
          </w:pPr>
          <w:r w:rsidRPr="63C758A7">
            <w:rPr>
              <w:rFonts w:ascii="Times New Roman" w:eastAsia="Times New Roman" w:hAnsi="Times New Roman"/>
              <w:sz w:val="24"/>
              <w:szCs w:val="24"/>
              <w:lang w:val="es"/>
            </w:rPr>
            <w:t>UF7 Variante Lorica - Tolú – Pita Abajo – El Pueblito: 85.19%</w:t>
          </w:r>
        </w:p>
        <w:p w14:paraId="287480BF" w14:textId="01702DF6" w:rsidR="5F2741A4" w:rsidRDefault="5F2741A4" w:rsidP="03CD6150">
          <w:pPr>
            <w:spacing w:after="0" w:line="257" w:lineRule="auto"/>
            <w:ind w:left="-20" w:right="137"/>
            <w:jc w:val="both"/>
          </w:pPr>
          <w:r w:rsidRPr="63C758A7">
            <w:rPr>
              <w:rFonts w:ascii="Times New Roman" w:eastAsia="Times New Roman" w:hAnsi="Times New Roman"/>
              <w:sz w:val="24"/>
              <w:szCs w:val="24"/>
              <w:lang w:val="es"/>
            </w:rPr>
            <w:t>UF8 Tolú - Cruz del Viso: 99.81%</w:t>
          </w:r>
        </w:p>
        <w:p w14:paraId="3134B3B3" w14:textId="236FB061" w:rsidR="5F2741A4" w:rsidRDefault="5F2741A4" w:rsidP="63C758A7">
          <w:pPr>
            <w:spacing w:line="257" w:lineRule="auto"/>
            <w:ind w:left="-20" w:right="137"/>
            <w:jc w:val="both"/>
          </w:pPr>
          <w:r w:rsidRPr="63C758A7">
            <w:rPr>
              <w:rFonts w:ascii="Times New Roman" w:eastAsia="Times New Roman" w:hAnsi="Times New Roman"/>
              <w:sz w:val="24"/>
              <w:szCs w:val="24"/>
              <w:lang w:val="es"/>
            </w:rPr>
            <w:t xml:space="preserve"> </w:t>
          </w:r>
        </w:p>
        <w:p w14:paraId="1DBA3558" w14:textId="77BFA342" w:rsidR="5F2741A4" w:rsidRDefault="5F2741A4" w:rsidP="63C758A7">
          <w:pPr>
            <w:spacing w:before="6" w:line="257" w:lineRule="auto"/>
            <w:ind w:left="-20" w:right="-20"/>
            <w:jc w:val="both"/>
          </w:pPr>
          <w:r w:rsidRPr="63C758A7">
            <w:rPr>
              <w:rFonts w:ascii="Times New Roman" w:eastAsia="Times New Roman" w:hAnsi="Times New Roman"/>
              <w:sz w:val="24"/>
              <w:szCs w:val="24"/>
              <w:lang w:val="es"/>
            </w:rPr>
            <w:t>Total, Proyecto: 94.08%</w:t>
          </w:r>
        </w:p>
        <w:p w14:paraId="6F3F7225" w14:textId="0670F480" w:rsidR="5F2741A4" w:rsidRDefault="5F2741A4" w:rsidP="63C758A7">
          <w:pPr>
            <w:spacing w:before="7" w:line="257" w:lineRule="auto"/>
            <w:ind w:left="-20" w:right="-20"/>
            <w:jc w:val="both"/>
          </w:pPr>
          <w:r w:rsidRPr="63C758A7">
            <w:rPr>
              <w:rFonts w:ascii="Times New Roman" w:eastAsia="Times New Roman" w:hAnsi="Times New Roman"/>
              <w:i/>
              <w:iCs/>
              <w:sz w:val="24"/>
              <w:szCs w:val="24"/>
            </w:rPr>
            <w:t xml:space="preserve"> </w:t>
          </w:r>
          <w:r w:rsidRPr="63C758A7">
            <w:rPr>
              <w:rFonts w:ascii="Times New Roman" w:eastAsia="Times New Roman" w:hAnsi="Times New Roman"/>
              <w:sz w:val="24"/>
              <w:szCs w:val="24"/>
              <w:lang w:val="es"/>
            </w:rPr>
            <w:t>A continuación, se presenta último cronograma de obras aprobado para la ejecución de las obras en cada unidad funcional versión No 13</w:t>
          </w:r>
        </w:p>
        <w:p w14:paraId="0CA19D9E" w14:textId="27513BEA" w:rsidR="5F2741A4" w:rsidRDefault="5F2741A4" w:rsidP="03CD6150">
          <w:pPr>
            <w:spacing w:after="0" w:line="257" w:lineRule="auto"/>
            <w:ind w:left="-20" w:right="-20"/>
            <w:jc w:val="both"/>
          </w:pPr>
          <w:r w:rsidRPr="63C758A7">
            <w:rPr>
              <w:rFonts w:ascii="Times New Roman" w:eastAsia="Times New Roman" w:hAnsi="Times New Roman"/>
              <w:sz w:val="24"/>
              <w:szCs w:val="24"/>
              <w:lang w:val="es"/>
            </w:rPr>
            <w:t>UF1 Caucasia – Planeta Rica Inicio 25/01/17, Finalización 25/03/19</w:t>
          </w:r>
        </w:p>
        <w:p w14:paraId="0E08BEE3" w14:textId="632C5A11" w:rsidR="5F2741A4" w:rsidRDefault="5F2741A4" w:rsidP="03CD6150">
          <w:pPr>
            <w:spacing w:after="0" w:line="257" w:lineRule="auto"/>
            <w:ind w:left="-20" w:right="-20"/>
            <w:jc w:val="both"/>
          </w:pPr>
          <w:r w:rsidRPr="63C758A7">
            <w:rPr>
              <w:rFonts w:ascii="Times New Roman" w:eastAsia="Times New Roman" w:hAnsi="Times New Roman"/>
              <w:sz w:val="24"/>
              <w:szCs w:val="24"/>
              <w:lang w:val="es"/>
            </w:rPr>
            <w:t>UF2 Cereté - Lorica Inicio 15/11/18, Finalización 31/01/25</w:t>
          </w:r>
        </w:p>
        <w:p w14:paraId="7A20E24E" w14:textId="511DDE43" w:rsidR="5F2741A4" w:rsidRDefault="5F2741A4" w:rsidP="03CD6150">
          <w:pPr>
            <w:spacing w:after="0" w:line="257" w:lineRule="auto"/>
            <w:ind w:left="-20" w:right="-20"/>
            <w:jc w:val="both"/>
          </w:pPr>
          <w:r w:rsidRPr="63C758A7">
            <w:rPr>
              <w:rFonts w:ascii="Times New Roman" w:eastAsia="Times New Roman" w:hAnsi="Times New Roman"/>
              <w:sz w:val="24"/>
              <w:szCs w:val="24"/>
              <w:lang w:val="es"/>
            </w:rPr>
            <w:t>UF3 Variante Planeta Rica - Variante Cereté Inicio 01/04/17, Finalización 26/08/19</w:t>
          </w:r>
        </w:p>
        <w:p w14:paraId="6D347736" w14:textId="7E2252D8" w:rsidR="5F2741A4" w:rsidRDefault="5F2741A4" w:rsidP="03CD6150">
          <w:pPr>
            <w:spacing w:after="0" w:line="257" w:lineRule="auto"/>
            <w:ind w:left="-20" w:right="-20"/>
            <w:jc w:val="both"/>
          </w:pPr>
          <w:r w:rsidRPr="63C758A7">
            <w:rPr>
              <w:rFonts w:ascii="Times New Roman" w:eastAsia="Times New Roman" w:hAnsi="Times New Roman"/>
              <w:sz w:val="24"/>
              <w:szCs w:val="24"/>
              <w:lang w:val="es"/>
            </w:rPr>
            <w:t>UF4 Montería - Planeta Rica - Calzada derecha Inicio 02/04/18, Finalización 15/01/19</w:t>
          </w:r>
        </w:p>
        <w:p w14:paraId="44EC0DF2" w14:textId="23B5A61A" w:rsidR="5F2741A4" w:rsidRDefault="5F2741A4" w:rsidP="03CD6150">
          <w:pPr>
            <w:spacing w:after="0" w:line="257" w:lineRule="auto"/>
            <w:ind w:left="-20" w:right="-20"/>
            <w:jc w:val="both"/>
          </w:pPr>
          <w:r w:rsidRPr="63C758A7">
            <w:rPr>
              <w:rFonts w:ascii="Times New Roman" w:eastAsia="Times New Roman" w:hAnsi="Times New Roman"/>
              <w:sz w:val="24"/>
              <w:szCs w:val="24"/>
              <w:lang w:val="es"/>
            </w:rPr>
            <w:t>UF5 Puerto Rey (Arboletes) - Montería Inicio 02/04/18, Finalización 15/01/19</w:t>
          </w:r>
        </w:p>
        <w:p w14:paraId="764005A5" w14:textId="21FF2B29" w:rsidR="5F2741A4" w:rsidRDefault="5F2741A4" w:rsidP="03CD6150">
          <w:pPr>
            <w:spacing w:after="0" w:line="257" w:lineRule="auto"/>
            <w:ind w:left="-20" w:right="-20"/>
            <w:jc w:val="both"/>
          </w:pPr>
          <w:r w:rsidRPr="63C758A7">
            <w:rPr>
              <w:rFonts w:ascii="Times New Roman" w:eastAsia="Times New Roman" w:hAnsi="Times New Roman"/>
              <w:sz w:val="24"/>
              <w:szCs w:val="24"/>
              <w:lang w:val="es"/>
            </w:rPr>
            <w:t>UF6 Cereté - Tolú Inicio 15/11/18, Finalización 31/01/25</w:t>
          </w:r>
        </w:p>
        <w:p w14:paraId="006E8CCB" w14:textId="7A3098B7" w:rsidR="5F2741A4" w:rsidRDefault="5F2741A4" w:rsidP="03CD6150">
          <w:pPr>
            <w:spacing w:before="1" w:after="0" w:line="257" w:lineRule="auto"/>
            <w:ind w:left="-20" w:right="-20"/>
            <w:jc w:val="both"/>
          </w:pPr>
          <w:r w:rsidRPr="63C758A7">
            <w:rPr>
              <w:rFonts w:ascii="Times New Roman" w:eastAsia="Times New Roman" w:hAnsi="Times New Roman"/>
              <w:sz w:val="24"/>
              <w:szCs w:val="24"/>
              <w:lang w:val="es"/>
            </w:rPr>
            <w:t>UF7 Variante Lorica - Tolú – Pita Abajo – El Pueblito Inicio 15/12/17, Finalización 26/01/24</w:t>
          </w:r>
        </w:p>
        <w:p w14:paraId="3A392A52" w14:textId="33A0C7F1" w:rsidR="5F2741A4" w:rsidRDefault="5F2741A4" w:rsidP="03CD6150">
          <w:pPr>
            <w:spacing w:after="0" w:line="257" w:lineRule="auto"/>
            <w:ind w:left="-20" w:right="-20"/>
            <w:jc w:val="both"/>
          </w:pPr>
          <w:r w:rsidRPr="63C758A7">
            <w:rPr>
              <w:rFonts w:ascii="Times New Roman" w:eastAsia="Times New Roman" w:hAnsi="Times New Roman"/>
              <w:sz w:val="24"/>
              <w:szCs w:val="24"/>
              <w:lang w:val="es"/>
            </w:rPr>
            <w:t>UF8 Tolú - Cruz del Viso Inicio 15/11/17, Finalización 03/12/23</w:t>
          </w:r>
        </w:p>
        <w:p w14:paraId="45010BAB" w14:textId="1972A4E4" w:rsidR="5F2741A4" w:rsidRDefault="5F2741A4" w:rsidP="63C758A7">
          <w:pPr>
            <w:spacing w:line="257" w:lineRule="auto"/>
            <w:ind w:left="-20" w:right="137"/>
            <w:jc w:val="both"/>
          </w:pPr>
          <w:r w:rsidRPr="63C758A7">
            <w:rPr>
              <w:rFonts w:ascii="Times New Roman" w:eastAsia="Times New Roman" w:hAnsi="Times New Roman"/>
              <w:sz w:val="24"/>
              <w:szCs w:val="24"/>
              <w:lang w:val="es"/>
            </w:rPr>
            <w:t xml:space="preserve"> </w:t>
          </w:r>
        </w:p>
        <w:p w14:paraId="797239B5" w14:textId="195EFF4A" w:rsidR="5F2741A4" w:rsidRDefault="5F2741A4" w:rsidP="03CD6150">
          <w:pPr>
            <w:spacing w:line="257" w:lineRule="auto"/>
            <w:ind w:left="-20" w:right="137"/>
            <w:jc w:val="both"/>
          </w:pPr>
          <w:r w:rsidRPr="63C758A7">
            <w:rPr>
              <w:rFonts w:ascii="Times New Roman" w:eastAsia="Times New Roman" w:hAnsi="Times New Roman"/>
              <w:sz w:val="24"/>
              <w:szCs w:val="24"/>
              <w:lang w:val="es"/>
            </w:rPr>
            <w:t>Adicionalmente para el año 2023 se presentaron 3 eventos eximentes de responsabilidad los cuales afectaron la ejecución de obras en las unidades funcionales 2 y 6 la siguiente manera:</w:t>
          </w:r>
        </w:p>
        <w:p w14:paraId="3EE29622" w14:textId="5C1F7D76" w:rsidR="5F2741A4" w:rsidRDefault="5F2741A4" w:rsidP="03CD6150">
          <w:pPr>
            <w:spacing w:after="0" w:line="257" w:lineRule="auto"/>
            <w:ind w:left="-20" w:right="121"/>
            <w:jc w:val="both"/>
          </w:pPr>
          <w:r w:rsidRPr="63C758A7">
            <w:rPr>
              <w:rFonts w:ascii="Times New Roman" w:eastAsia="Times New Roman" w:hAnsi="Times New Roman"/>
              <w:sz w:val="24"/>
              <w:szCs w:val="24"/>
              <w:lang w:val="es"/>
            </w:rPr>
            <w:t>UF 2: Las partes acuerdan que el Concesionario deberá presentar semanalmente información sobre el desarrollo del Evento Eximente de Responsabilidad y respecto a las medidas adoptadas para mitigar y reducir sus efectos, al igual que para superarlos, de conformidad con el literal (d) (vi) de la Sección 14.2 del Contrato de Concesión</w:t>
          </w:r>
        </w:p>
        <w:p w14:paraId="623FB484" w14:textId="06DB90EF" w:rsidR="5F2741A4" w:rsidRDefault="5F2741A4" w:rsidP="03CD6150">
          <w:pPr>
            <w:tabs>
              <w:tab w:val="left" w:pos="2730"/>
            </w:tabs>
            <w:spacing w:after="0" w:line="257" w:lineRule="auto"/>
            <w:ind w:left="-20" w:right="96"/>
            <w:jc w:val="both"/>
          </w:pPr>
          <w:r w:rsidRPr="63C758A7">
            <w:rPr>
              <w:rFonts w:ascii="Times New Roman" w:eastAsia="Times New Roman" w:hAnsi="Times New Roman"/>
              <w:sz w:val="24"/>
              <w:szCs w:val="24"/>
              <w:lang w:val="es"/>
            </w:rPr>
            <w:t xml:space="preserve"> </w:t>
          </w:r>
        </w:p>
        <w:p w14:paraId="04E3A8EF" w14:textId="6825C4E4" w:rsidR="5F2741A4" w:rsidRDefault="5F2741A4" w:rsidP="03CD6150">
          <w:pPr>
            <w:tabs>
              <w:tab w:val="left" w:pos="2730"/>
            </w:tabs>
            <w:spacing w:after="0" w:line="257" w:lineRule="auto"/>
            <w:ind w:left="-20" w:right="96"/>
            <w:jc w:val="both"/>
          </w:pPr>
          <w:r w:rsidRPr="63C758A7">
            <w:rPr>
              <w:rFonts w:ascii="Times New Roman" w:eastAsia="Times New Roman" w:hAnsi="Times New Roman"/>
              <w:sz w:val="24"/>
              <w:szCs w:val="24"/>
              <w:lang w:val="es"/>
            </w:rPr>
            <w:t xml:space="preserve">UF 6.3.1: Las partes acuerdan que el período especial, es decir, el lapso en el que la Sociedad Concesionaria se ha visto impedida en cumplir las obligaciones derivadas de las Intervenciones detalladas en el Acuerdo Primero de la presente acta corresponde al periodo comprendido entre el 15 de septiembre de 2022 y el 30 de junio de 2024, de conformidad con lo señalado en la parte considerativa de la presente Acta, además el concesionario deberá presentar semanalmente información sobre el desarrollo del Evento Eximente de Responsabilidad y respecto a las medidas adoptadas para mitigar y reducir sus efectos, al igual que para superarlos, de conformidad con el literal (d) (vi) de la Sección 14.2 del Contrato de Concesión.  6.1: Las partes acuerdan que Con respecto al tiempo que le quedaría al </w:t>
          </w:r>
          <w:r w:rsidRPr="63C758A7">
            <w:rPr>
              <w:rFonts w:ascii="Times New Roman" w:eastAsia="Times New Roman" w:hAnsi="Times New Roman"/>
              <w:sz w:val="24"/>
              <w:szCs w:val="24"/>
              <w:lang w:val="es"/>
            </w:rPr>
            <w:lastRenderedPageBreak/>
            <w:t>Concesionario para la ejecución de las obras a partir de que culmine el Periodo Especial, se establece un total de 83 días, basado en la fecha inicial que imposibilitó al concesionario</w:t>
          </w:r>
          <w:r w:rsidR="786418C8" w:rsidRPr="03CD6150">
            <w:rPr>
              <w:rFonts w:ascii="Times New Roman" w:eastAsia="Times New Roman" w:hAnsi="Times New Roman"/>
              <w:sz w:val="24"/>
              <w:szCs w:val="24"/>
              <w:lang w:val="es"/>
            </w:rPr>
            <w:t xml:space="preserve"> </w:t>
          </w:r>
          <w:r w:rsidRPr="63C758A7">
            <w:rPr>
              <w:rFonts w:ascii="Times New Roman" w:eastAsia="Times New Roman" w:hAnsi="Times New Roman"/>
              <w:sz w:val="24"/>
              <w:szCs w:val="24"/>
              <w:lang w:val="es"/>
            </w:rPr>
            <w:t>dicha intervención, es decir, el 09 de febrero de 2021, hasta el 03 de mayo de 2021, fecha establecida como cumplimiento al plan de obras de la unidad funcional y el concesionario deberá presentar semanalmente información sobre el desarrollo del Evento Eximente de Responsabilidad y respecto a las medidas adoptadas para mitigar y reducir sus efectos, al igual que para superarlos, de conformidad con el literal (d) (vi) de la Sección  14.2 del Contrato de Concesión</w:t>
          </w:r>
        </w:p>
        <w:p w14:paraId="5087954C" w14:textId="675AAF9A" w:rsidR="5F2741A4" w:rsidRDefault="5F2741A4" w:rsidP="63C758A7">
          <w:pPr>
            <w:tabs>
              <w:tab w:val="left" w:pos="2730"/>
            </w:tabs>
            <w:spacing w:line="257" w:lineRule="auto"/>
            <w:ind w:left="-20" w:right="96"/>
            <w:jc w:val="both"/>
          </w:pPr>
          <w:r w:rsidRPr="63C758A7">
            <w:rPr>
              <w:rFonts w:ascii="Times New Roman" w:eastAsia="Times New Roman" w:hAnsi="Times New Roman"/>
              <w:sz w:val="24"/>
              <w:szCs w:val="24"/>
              <w:lang w:val="es"/>
            </w:rPr>
            <w:t xml:space="preserve"> </w:t>
          </w:r>
        </w:p>
        <w:p w14:paraId="73677381" w14:textId="6FF59955" w:rsidR="5F2741A4" w:rsidRDefault="5F2741A4" w:rsidP="03CD6150">
          <w:pPr>
            <w:tabs>
              <w:tab w:val="left" w:pos="2730"/>
            </w:tabs>
            <w:spacing w:line="257" w:lineRule="auto"/>
            <w:ind w:left="-20" w:right="96"/>
            <w:jc w:val="both"/>
          </w:pPr>
          <w:r w:rsidRPr="63C758A7">
            <w:rPr>
              <w:rFonts w:ascii="Times New Roman" w:eastAsia="Times New Roman" w:hAnsi="Times New Roman"/>
              <w:b/>
              <w:bCs/>
              <w:sz w:val="24"/>
              <w:szCs w:val="24"/>
              <w:lang w:val="es"/>
            </w:rPr>
            <w:t xml:space="preserve">Términos de certeza de flujos de efectivo futuros:  </w:t>
          </w:r>
          <w:r w:rsidRPr="63C758A7">
            <w:rPr>
              <w:rFonts w:ascii="Times New Roman" w:eastAsia="Times New Roman" w:hAnsi="Times New Roman"/>
              <w:sz w:val="24"/>
              <w:szCs w:val="24"/>
              <w:lang w:val="es"/>
            </w:rPr>
            <w:t>Parte Especial 4.2 Estructura Tarifaria: Para efectos de lo dispuesto en la Sección 1.140 de la Parte General, y de acuerdo con lo establecido por la Resolución No. 1884 de 17 de junio de 2015 y la Resolución No 982 de 16 de abril de 2015. Las tarifas serán actualizadas el dieciséis (16) de enero de cada año. No obstante, para el año 2023 conforme a la promulgación del decreto 050 del 15 de enero de 2023 el gobierno nacional decreto el no incremento para las tarifas de peaje para la vigencia 2023.</w:t>
          </w:r>
        </w:p>
        <w:p w14:paraId="5A6A9F39" w14:textId="00D787AF" w:rsidR="5F2741A4" w:rsidRDefault="5F2741A4" w:rsidP="03CD6150">
          <w:pPr>
            <w:spacing w:line="257" w:lineRule="auto"/>
            <w:ind w:left="-20" w:right="335"/>
            <w:jc w:val="both"/>
          </w:pPr>
          <w:r w:rsidRPr="63C758A7">
            <w:rPr>
              <w:rFonts w:ascii="Times New Roman" w:eastAsia="Times New Roman" w:hAnsi="Times New Roman"/>
              <w:sz w:val="24"/>
              <w:szCs w:val="24"/>
              <w:lang w:val="es"/>
            </w:rPr>
            <w:t>Parte General 3.1 Retribución literal a: El derecho a la retribución del concesionario con respecto a cada Unidad Funcional se iniciará a partir de la suscripción de la respectiva Acta de Terminación de Unidad Funcional. La suscripción del Acta de Terminación Parcial de Unidad Funcional cuando sea aplicable, de conformidad con este Contrato, dará lugar a la acusación y pago de la Compensación Especial.</w:t>
          </w:r>
        </w:p>
        <w:p w14:paraId="47EE80AA" w14:textId="023BC235" w:rsidR="5F2741A4" w:rsidRDefault="5F2741A4" w:rsidP="03CD6150">
          <w:pPr>
            <w:spacing w:before="1" w:line="257" w:lineRule="auto"/>
            <w:ind w:left="-20" w:right="144"/>
            <w:jc w:val="both"/>
          </w:pPr>
          <w:r w:rsidRPr="63C758A7">
            <w:rPr>
              <w:rFonts w:ascii="Times New Roman" w:eastAsia="Times New Roman" w:hAnsi="Times New Roman"/>
              <w:sz w:val="24"/>
              <w:szCs w:val="24"/>
              <w:lang w:val="es"/>
            </w:rPr>
            <w:t>Parte Especial 4.4 Giros de Equity: El Concesionario deberá girar como mínimo a la Cuenta Proyecto los valores expresados en Pesos del Mes de Referencia dentro de los plazos establecidos.</w:t>
          </w:r>
        </w:p>
        <w:p w14:paraId="6778D719" w14:textId="150C9CCA" w:rsidR="5F2741A4" w:rsidRDefault="5F2741A4" w:rsidP="03CD6150">
          <w:pPr>
            <w:spacing w:line="257" w:lineRule="auto"/>
            <w:ind w:left="-20" w:right="394"/>
            <w:jc w:val="both"/>
          </w:pPr>
          <w:r w:rsidRPr="63C758A7">
            <w:rPr>
              <w:rFonts w:ascii="Times New Roman" w:eastAsia="Times New Roman" w:hAnsi="Times New Roman"/>
              <w:sz w:val="24"/>
              <w:szCs w:val="24"/>
              <w:lang w:val="es"/>
            </w:rPr>
            <w:t>Parte Especial 4.5 Fondeo de Subcuentas del Patrimonio Autónomo. Se indica los fondeos contractuales y las fechas programadas de cumplimiento a las siguientes cuentas del Fideicomiso. Subcuenta Interventoría y Supervisión Subcuenta de Soporte Contractual</w:t>
          </w:r>
          <w:r w:rsidRPr="63C758A7">
            <w:rPr>
              <w:rFonts w:ascii="Times New Roman" w:eastAsia="Times New Roman" w:hAnsi="Times New Roman"/>
              <w:sz w:val="24"/>
              <w:szCs w:val="24"/>
            </w:rPr>
            <w:t xml:space="preserve">, </w:t>
          </w:r>
          <w:r w:rsidRPr="63C758A7">
            <w:rPr>
              <w:rFonts w:ascii="Times New Roman" w:eastAsia="Times New Roman" w:hAnsi="Times New Roman"/>
              <w:sz w:val="24"/>
              <w:szCs w:val="24"/>
              <w:lang w:val="es"/>
            </w:rPr>
            <w:t>Subcuenta Autónoma de Soporte, Subcuenta MASC, Subcuenta Excedentes ANI, Subcuenta Ingresos por Explotación Comercial y Subcuenta Obras Menores</w:t>
          </w:r>
        </w:p>
        <w:p w14:paraId="6D15917F" w14:textId="5DA35262" w:rsidR="5F2741A4" w:rsidRDefault="5F2741A4" w:rsidP="03CD6150">
          <w:pPr>
            <w:spacing w:line="257" w:lineRule="auto"/>
            <w:ind w:left="-20" w:right="97"/>
            <w:jc w:val="both"/>
          </w:pPr>
          <w:r w:rsidRPr="63C758A7">
            <w:rPr>
              <w:rFonts w:ascii="Times New Roman" w:eastAsia="Times New Roman" w:hAnsi="Times New Roman"/>
              <w:b/>
              <w:bCs/>
              <w:sz w:val="24"/>
              <w:szCs w:val="24"/>
              <w:lang w:val="es"/>
            </w:rPr>
            <w:t xml:space="preserve">Términos de certeza de flujos de efectivo futuros: </w:t>
          </w:r>
          <w:r w:rsidRPr="63C758A7">
            <w:rPr>
              <w:rFonts w:ascii="Times New Roman" w:eastAsia="Times New Roman" w:hAnsi="Times New Roman"/>
              <w:sz w:val="24"/>
              <w:szCs w:val="24"/>
              <w:lang w:val="es"/>
            </w:rPr>
            <w:t>A continuación, se indica las cláusulas asociadas a los flujos de efectivo del contrato de concesión Parte General Numeral 1.171” VPIP”: Es el valor presente al Mes de Referencia del Recaudo de Peaje, cuyo monto equivale a DOS BILLONES VEINTE MIL CUATROCIENTOS CINCUENTA y SEIS MILLONES DOSCIENTOS CINCO MIL SETECIENTOS OCHENTA Y OCHO ($2.020.456.205.788) Pesos del Mes de Referencia. Al 31 DE diciembre de 2023 cierre se ha acumulado el valor de $453.684.663.826 con una ejecución del 22.45%.</w:t>
          </w:r>
        </w:p>
        <w:p w14:paraId="051E8DB6" w14:textId="5982054B" w:rsidR="5F2741A4" w:rsidRDefault="5F2741A4" w:rsidP="03CD6150">
          <w:pPr>
            <w:spacing w:line="257" w:lineRule="auto"/>
            <w:ind w:left="-20" w:right="95"/>
            <w:jc w:val="both"/>
          </w:pPr>
          <w:r w:rsidRPr="63C758A7">
            <w:rPr>
              <w:rFonts w:ascii="Times New Roman" w:eastAsia="Times New Roman" w:hAnsi="Times New Roman"/>
              <w:sz w:val="24"/>
              <w:szCs w:val="24"/>
              <w:lang w:val="es"/>
            </w:rPr>
            <w:t>Parte General Numeral 3.5 Obtención del VPIP y Compensación por Riesgos (VPIPr) indica el cálculo del Valor Presente -al Mes de Referencia- del Recaudo de Peaje ajustado por el valor de cada uno de los riesgos materializados</w:t>
          </w:r>
          <w:r w:rsidR="4D4E74CF" w:rsidRPr="03CD6150">
            <w:rPr>
              <w:rFonts w:ascii="Times New Roman" w:eastAsia="Times New Roman" w:hAnsi="Times New Roman"/>
              <w:sz w:val="24"/>
              <w:szCs w:val="24"/>
              <w:lang w:val="es"/>
            </w:rPr>
            <w:t>.</w:t>
          </w:r>
        </w:p>
        <w:p w14:paraId="01F947AE" w14:textId="45FEB3EC" w:rsidR="5F2741A4" w:rsidRDefault="5F2741A4" w:rsidP="00E60BAB">
          <w:pPr>
            <w:pStyle w:val="Prrafodelista"/>
            <w:numPr>
              <w:ilvl w:val="0"/>
              <w:numId w:val="165"/>
            </w:numPr>
            <w:spacing w:after="0" w:line="257" w:lineRule="auto"/>
            <w:ind w:left="-20" w:right="-20"/>
            <w:jc w:val="both"/>
            <w:rPr>
              <w:rFonts w:ascii="Times New Roman" w:eastAsia="Times New Roman" w:hAnsi="Times New Roman"/>
              <w:b/>
              <w:bCs/>
              <w:sz w:val="24"/>
              <w:szCs w:val="24"/>
              <w:lang w:val="es"/>
            </w:rPr>
          </w:pPr>
          <w:r w:rsidRPr="63C758A7">
            <w:rPr>
              <w:rFonts w:ascii="Times New Roman" w:eastAsia="Times New Roman" w:hAnsi="Times New Roman"/>
              <w:b/>
              <w:bCs/>
              <w:sz w:val="24"/>
              <w:szCs w:val="24"/>
              <w:lang w:val="es"/>
            </w:rPr>
            <w:lastRenderedPageBreak/>
            <w:t>Naturaleza y alcance del derecho a utilizar activos especificados, de los aspectos pactados en torno a lo que se espera que el concesionario proporcionen relación con el acuerdo de concesión</w:t>
          </w:r>
        </w:p>
        <w:p w14:paraId="4DA8792C" w14:textId="3DED18DC" w:rsidR="5F2741A4" w:rsidRDefault="5F2741A4" w:rsidP="63C758A7">
          <w:pPr>
            <w:spacing w:line="257" w:lineRule="auto"/>
            <w:ind w:left="-20" w:right="95"/>
            <w:jc w:val="both"/>
          </w:pPr>
          <w:r w:rsidRPr="63C758A7">
            <w:rPr>
              <w:rFonts w:ascii="Times New Roman" w:eastAsia="Times New Roman" w:hAnsi="Times New Roman"/>
              <w:b/>
              <w:bCs/>
              <w:sz w:val="24"/>
              <w:szCs w:val="24"/>
              <w:lang w:val="es"/>
            </w:rPr>
            <w:t xml:space="preserve"> </w:t>
          </w:r>
        </w:p>
        <w:p w14:paraId="1166E18B" w14:textId="65EC6942" w:rsidR="5F2741A4" w:rsidRDefault="5F2741A4" w:rsidP="63C758A7">
          <w:pPr>
            <w:spacing w:line="257" w:lineRule="auto"/>
            <w:ind w:left="-20" w:right="297"/>
            <w:jc w:val="both"/>
          </w:pPr>
          <w:r w:rsidRPr="63C758A7">
            <w:rPr>
              <w:rFonts w:ascii="Times New Roman" w:eastAsia="Times New Roman" w:hAnsi="Times New Roman"/>
              <w:b/>
              <w:bCs/>
              <w:sz w:val="24"/>
              <w:szCs w:val="24"/>
              <w:lang w:val="es"/>
            </w:rPr>
            <w:t xml:space="preserve">Descripción: </w:t>
          </w:r>
          <w:r w:rsidRPr="63C758A7">
            <w:rPr>
              <w:rFonts w:ascii="Times New Roman" w:eastAsia="Times New Roman" w:hAnsi="Times New Roman"/>
              <w:sz w:val="24"/>
              <w:szCs w:val="24"/>
              <w:lang w:val="es"/>
            </w:rPr>
            <w:t>Alcance del derecho de uso de los activos:</w:t>
          </w:r>
        </w:p>
        <w:p w14:paraId="5CA9BB54" w14:textId="43DA61C1" w:rsidR="5F2741A4" w:rsidRDefault="5F2741A4" w:rsidP="63C758A7">
          <w:pPr>
            <w:spacing w:line="257" w:lineRule="auto"/>
            <w:ind w:left="-20" w:right="297"/>
            <w:jc w:val="both"/>
          </w:pPr>
          <w:r w:rsidRPr="63C758A7">
            <w:rPr>
              <w:rFonts w:ascii="Times New Roman" w:eastAsia="Times New Roman" w:hAnsi="Times New Roman"/>
              <w:sz w:val="24"/>
              <w:szCs w:val="24"/>
              <w:lang w:val="es"/>
            </w:rPr>
            <w:t xml:space="preserve"> </w:t>
          </w:r>
        </w:p>
        <w:p w14:paraId="013FF1C8" w14:textId="39B7BB84" w:rsidR="5F2741A4" w:rsidRDefault="5F2741A4" w:rsidP="63C758A7">
          <w:pPr>
            <w:spacing w:before="6" w:line="257" w:lineRule="auto"/>
            <w:ind w:left="-20" w:right="-20"/>
            <w:jc w:val="both"/>
          </w:pPr>
          <w:r w:rsidRPr="63C758A7">
            <w:rPr>
              <w:rFonts w:ascii="Times New Roman" w:eastAsia="Times New Roman" w:hAnsi="Times New Roman"/>
              <w:sz w:val="24"/>
              <w:szCs w:val="24"/>
              <w:lang w:val="es"/>
            </w:rPr>
            <w:t>Parte General 3.4 Peajes, Derecho de Recaudo e Ingresos por Explotación Comercial. Se cederá al Concesionario la operación de las Estaciones de Peaje (el "Derecho de Recaudo") en la misma fecha de Entrega de la Infraestructura, salvo por las excepciones establecidas en la Parte Especial. El producto del Recaudo del Peaje será utilizado por la ANI como fuente de recursos para efectos del desembolso de la Retribución del Concesionario, de la Compensación Especial y de la Compensación por Riesgo, en los términos y condiciones señalados en el Contrato.</w:t>
          </w:r>
        </w:p>
        <w:p w14:paraId="350ED45E" w14:textId="3B758A71" w:rsidR="5F2741A4" w:rsidRDefault="5F2741A4" w:rsidP="63C758A7">
          <w:pPr>
            <w:spacing w:before="6" w:line="257" w:lineRule="auto"/>
            <w:ind w:left="-20" w:right="-20"/>
            <w:jc w:val="center"/>
          </w:pPr>
          <w:r w:rsidRPr="63C758A7">
            <w:rPr>
              <w:rFonts w:ascii="Times New Roman" w:eastAsia="Times New Roman" w:hAnsi="Times New Roman"/>
              <w:b/>
              <w:bCs/>
              <w:sz w:val="24"/>
              <w:szCs w:val="24"/>
              <w:lang w:val="es"/>
            </w:rPr>
            <w:t>Retribución al concesionario</w:t>
          </w:r>
        </w:p>
        <w:p w14:paraId="289ECA0A" w14:textId="66CC79F6" w:rsidR="5F2741A4" w:rsidRDefault="5F2741A4" w:rsidP="63C758A7">
          <w:pPr>
            <w:spacing w:before="1" w:line="257" w:lineRule="auto"/>
            <w:ind w:left="107" w:right="144"/>
            <w:jc w:val="both"/>
          </w:pPr>
          <w:r w:rsidRPr="63C758A7">
            <w:rPr>
              <w:rFonts w:ascii="Times New Roman" w:eastAsia="Times New Roman" w:hAnsi="Times New Roman"/>
              <w:sz w:val="24"/>
              <w:szCs w:val="24"/>
              <w:lang w:val="es"/>
            </w:rPr>
            <w:t>Parte General 3.1 “Retribución” se indica el derecho a la Retribución del Concesionario con respecto a cada Unidad Funcional se iniciará a partir de la suscripción de la respectiva Acta de Terminación de Unidad Funcional. Las fuentes de la retribución aplican. (i) Recaudo de Peajes (ii) Los ingresos por Explotación Comercial.</w:t>
          </w:r>
          <w:r w:rsidRPr="63C758A7">
            <w:rPr>
              <w:rFonts w:ascii="Times New Roman" w:eastAsia="Times New Roman" w:hAnsi="Times New Roman"/>
              <w:sz w:val="24"/>
              <w:szCs w:val="24"/>
            </w:rPr>
            <w:t>}</w:t>
          </w:r>
        </w:p>
        <w:p w14:paraId="11710286" w14:textId="76894C92" w:rsidR="5F2741A4" w:rsidRDefault="5F2741A4" w:rsidP="63C758A7">
          <w:pPr>
            <w:spacing w:line="257" w:lineRule="auto"/>
            <w:ind w:left="107" w:right="97"/>
            <w:jc w:val="both"/>
          </w:pPr>
          <w:r w:rsidRPr="63C758A7">
            <w:rPr>
              <w:rFonts w:ascii="Times New Roman" w:eastAsia="Times New Roman" w:hAnsi="Times New Roman"/>
              <w:sz w:val="24"/>
              <w:szCs w:val="24"/>
              <w:lang w:val="es"/>
            </w:rPr>
            <w:t>Al corte del mes de diciembre de 2023 se tiene un acumulado en términos de VPIP de $ 453.684.663.826 Valor Presente en Términos de la referencia para una ejecución sobre el VPIP de 22.45%.</w:t>
          </w:r>
        </w:p>
        <w:p w14:paraId="78D43F2B" w14:textId="6A2CDBCB" w:rsidR="5F2741A4" w:rsidRDefault="5F2741A4" w:rsidP="63C758A7">
          <w:pPr>
            <w:spacing w:line="257" w:lineRule="auto"/>
            <w:ind w:left="107" w:right="98"/>
            <w:jc w:val="both"/>
          </w:pPr>
          <w:r w:rsidRPr="63C758A7">
            <w:rPr>
              <w:rFonts w:ascii="Times New Roman" w:eastAsia="Times New Roman" w:hAnsi="Times New Roman"/>
              <w:sz w:val="24"/>
              <w:szCs w:val="24"/>
              <w:lang w:val="es"/>
            </w:rPr>
            <w:t>A continuación, se relacionan los valores correspondientes al recaudo a corte 31 de diciembre de 2023</w:t>
          </w:r>
        </w:p>
        <w:p w14:paraId="227AB6C5" w14:textId="7B917791" w:rsidR="5F2741A4" w:rsidRDefault="5F2741A4" w:rsidP="03CD6150">
          <w:pPr>
            <w:spacing w:before="7" w:after="0" w:line="257" w:lineRule="auto"/>
            <w:ind w:left="-20" w:right="-20"/>
            <w:jc w:val="both"/>
          </w:pPr>
          <w:r w:rsidRPr="63C758A7">
            <w:rPr>
              <w:rFonts w:ascii="Times New Roman" w:eastAsia="Times New Roman" w:hAnsi="Times New Roman"/>
              <w:sz w:val="24"/>
              <w:szCs w:val="24"/>
              <w:lang w:val="es"/>
            </w:rPr>
            <w:t>- PEAJE LA APARTADA $245.895.125.932,89</w:t>
          </w:r>
        </w:p>
        <w:p w14:paraId="036D62F5" w14:textId="103245C3" w:rsidR="5F2741A4" w:rsidRDefault="5F2741A4" w:rsidP="00E60BAB">
          <w:pPr>
            <w:pStyle w:val="Prrafodelista"/>
            <w:numPr>
              <w:ilvl w:val="0"/>
              <w:numId w:val="164"/>
            </w:numPr>
            <w:spacing w:after="0" w:line="257" w:lineRule="auto"/>
            <w:ind w:left="-20" w:right="-20" w:hanging="141"/>
            <w:jc w:val="both"/>
            <w:rPr>
              <w:rFonts w:ascii="Times New Roman" w:eastAsia="Times New Roman" w:hAnsi="Times New Roman"/>
              <w:sz w:val="24"/>
              <w:szCs w:val="24"/>
              <w:lang w:val="es"/>
            </w:rPr>
          </w:pPr>
          <w:r w:rsidRPr="63C758A7">
            <w:rPr>
              <w:rFonts w:ascii="Times New Roman" w:eastAsia="Times New Roman" w:hAnsi="Times New Roman"/>
              <w:sz w:val="24"/>
              <w:szCs w:val="24"/>
              <w:lang w:val="es"/>
            </w:rPr>
            <w:t>PEAJE MATA DE CAÑA $110.914.587.946,80</w:t>
          </w:r>
        </w:p>
        <w:p w14:paraId="41629700" w14:textId="40F0662A" w:rsidR="5F2741A4" w:rsidRDefault="5F2741A4" w:rsidP="00E60BAB">
          <w:pPr>
            <w:pStyle w:val="Prrafodelista"/>
            <w:numPr>
              <w:ilvl w:val="0"/>
              <w:numId w:val="164"/>
            </w:numPr>
            <w:spacing w:after="0" w:line="257" w:lineRule="auto"/>
            <w:ind w:left="-20" w:right="-20" w:hanging="141"/>
            <w:jc w:val="both"/>
            <w:rPr>
              <w:rFonts w:ascii="Times New Roman" w:eastAsia="Times New Roman" w:hAnsi="Times New Roman"/>
              <w:sz w:val="24"/>
              <w:szCs w:val="24"/>
              <w:lang w:val="es"/>
            </w:rPr>
          </w:pPr>
          <w:r w:rsidRPr="63C758A7">
            <w:rPr>
              <w:rFonts w:ascii="Times New Roman" w:eastAsia="Times New Roman" w:hAnsi="Times New Roman"/>
              <w:sz w:val="24"/>
              <w:szCs w:val="24"/>
              <w:lang w:val="es"/>
            </w:rPr>
            <w:t>PEAJE SAN ONOFRE $140.305.555.874,45</w:t>
          </w:r>
        </w:p>
        <w:p w14:paraId="37172967" w14:textId="48BE098C" w:rsidR="5F2741A4" w:rsidRDefault="5F2741A4" w:rsidP="00E60BAB">
          <w:pPr>
            <w:pStyle w:val="Prrafodelista"/>
            <w:numPr>
              <w:ilvl w:val="0"/>
              <w:numId w:val="164"/>
            </w:numPr>
            <w:spacing w:after="0" w:line="257" w:lineRule="auto"/>
            <w:ind w:left="-20" w:right="-20" w:hanging="141"/>
            <w:jc w:val="both"/>
            <w:rPr>
              <w:rFonts w:ascii="Times New Roman" w:eastAsia="Times New Roman" w:hAnsi="Times New Roman"/>
              <w:sz w:val="24"/>
              <w:szCs w:val="24"/>
              <w:lang w:val="es"/>
            </w:rPr>
          </w:pPr>
          <w:r w:rsidRPr="63C758A7">
            <w:rPr>
              <w:rFonts w:ascii="Times New Roman" w:eastAsia="Times New Roman" w:hAnsi="Times New Roman"/>
              <w:sz w:val="24"/>
              <w:szCs w:val="24"/>
              <w:lang w:val="es"/>
            </w:rPr>
            <w:t>PEAJE LOS CEDROS $89.098.623.556,70</w:t>
          </w:r>
        </w:p>
        <w:p w14:paraId="4EF4736A" w14:textId="5F2A984D" w:rsidR="5F2741A4" w:rsidRDefault="5F2741A4" w:rsidP="00E60BAB">
          <w:pPr>
            <w:pStyle w:val="Prrafodelista"/>
            <w:numPr>
              <w:ilvl w:val="0"/>
              <w:numId w:val="164"/>
            </w:numPr>
            <w:spacing w:after="0" w:line="257" w:lineRule="auto"/>
            <w:ind w:left="-20" w:right="-20" w:hanging="141"/>
            <w:jc w:val="both"/>
            <w:rPr>
              <w:rFonts w:ascii="Times New Roman" w:eastAsia="Times New Roman" w:hAnsi="Times New Roman"/>
              <w:sz w:val="24"/>
              <w:szCs w:val="24"/>
              <w:lang w:val="es"/>
            </w:rPr>
          </w:pPr>
          <w:r w:rsidRPr="63C758A7">
            <w:rPr>
              <w:rFonts w:ascii="Times New Roman" w:eastAsia="Times New Roman" w:hAnsi="Times New Roman"/>
              <w:sz w:val="24"/>
              <w:szCs w:val="24"/>
              <w:lang w:val="es"/>
            </w:rPr>
            <w:t>PEAJE PURGATORIO $135.739.210.080,70</w:t>
          </w:r>
        </w:p>
        <w:p w14:paraId="446B24A6" w14:textId="0F165299" w:rsidR="5F2741A4" w:rsidRDefault="5F2741A4" w:rsidP="00E60BAB">
          <w:pPr>
            <w:pStyle w:val="Prrafodelista"/>
            <w:numPr>
              <w:ilvl w:val="0"/>
              <w:numId w:val="164"/>
            </w:numPr>
            <w:spacing w:before="1" w:line="257" w:lineRule="auto"/>
            <w:ind w:left="-20" w:right="-20" w:hanging="141"/>
            <w:jc w:val="both"/>
            <w:rPr>
              <w:rFonts w:ascii="Times New Roman" w:eastAsia="Times New Roman" w:hAnsi="Times New Roman"/>
              <w:sz w:val="24"/>
              <w:szCs w:val="24"/>
              <w:lang w:val="es"/>
            </w:rPr>
          </w:pPr>
          <w:r w:rsidRPr="63C758A7">
            <w:rPr>
              <w:rFonts w:ascii="Times New Roman" w:eastAsia="Times New Roman" w:hAnsi="Times New Roman"/>
              <w:sz w:val="24"/>
              <w:szCs w:val="24"/>
              <w:lang w:val="es"/>
            </w:rPr>
            <w:t>PEAJE PURGATORIO $135.739.210.080,70</w:t>
          </w:r>
        </w:p>
        <w:p w14:paraId="09BE984A" w14:textId="2FCD0E84" w:rsidR="5F2741A4" w:rsidRDefault="5F2741A4" w:rsidP="00E60BAB">
          <w:pPr>
            <w:pStyle w:val="Prrafodelista"/>
            <w:numPr>
              <w:ilvl w:val="0"/>
              <w:numId w:val="163"/>
            </w:numPr>
            <w:spacing w:after="0" w:line="257" w:lineRule="auto"/>
            <w:ind w:left="-20" w:right="-20" w:hanging="141"/>
            <w:jc w:val="both"/>
            <w:rPr>
              <w:rFonts w:ascii="Times New Roman" w:eastAsia="Times New Roman" w:hAnsi="Times New Roman"/>
              <w:sz w:val="24"/>
              <w:szCs w:val="24"/>
              <w:lang w:val="es"/>
            </w:rPr>
          </w:pPr>
          <w:r w:rsidRPr="63C758A7">
            <w:rPr>
              <w:rFonts w:ascii="Times New Roman" w:eastAsia="Times New Roman" w:hAnsi="Times New Roman"/>
              <w:sz w:val="24"/>
              <w:szCs w:val="24"/>
              <w:lang w:val="es"/>
            </w:rPr>
            <w:t>PEAJE MANGUITOS $127.624.673.357,90</w:t>
          </w:r>
        </w:p>
        <w:p w14:paraId="36F2D427" w14:textId="32A37F9D" w:rsidR="5F2741A4" w:rsidRDefault="5F2741A4" w:rsidP="00E60BAB">
          <w:pPr>
            <w:pStyle w:val="Prrafodelista"/>
            <w:numPr>
              <w:ilvl w:val="0"/>
              <w:numId w:val="163"/>
            </w:numPr>
            <w:spacing w:after="0" w:line="257" w:lineRule="auto"/>
            <w:ind w:left="-20" w:right="-20" w:hanging="141"/>
            <w:jc w:val="both"/>
            <w:rPr>
              <w:rFonts w:ascii="Times New Roman" w:eastAsia="Times New Roman" w:hAnsi="Times New Roman"/>
              <w:sz w:val="24"/>
              <w:szCs w:val="24"/>
              <w:lang w:val="es"/>
            </w:rPr>
          </w:pPr>
          <w:r w:rsidRPr="63C758A7">
            <w:rPr>
              <w:rFonts w:ascii="Times New Roman" w:eastAsia="Times New Roman" w:hAnsi="Times New Roman"/>
              <w:sz w:val="24"/>
              <w:szCs w:val="24"/>
              <w:lang w:val="es"/>
            </w:rPr>
            <w:t>PEAJE CAIMANERA $12.033.566.629,30</w:t>
          </w:r>
        </w:p>
        <w:p w14:paraId="0E052307" w14:textId="268A1756" w:rsidR="5F2741A4" w:rsidRDefault="5F2741A4" w:rsidP="63C758A7">
          <w:pPr>
            <w:spacing w:before="7" w:line="257" w:lineRule="auto"/>
            <w:ind w:left="-20" w:right="-20"/>
            <w:jc w:val="both"/>
          </w:pPr>
          <w:r w:rsidRPr="63C758A7">
            <w:rPr>
              <w:rFonts w:ascii="Times New Roman" w:eastAsia="Times New Roman" w:hAnsi="Times New Roman"/>
              <w:sz w:val="24"/>
              <w:szCs w:val="24"/>
              <w:lang w:val="es"/>
            </w:rPr>
            <w:t>Para un total recaudado en pesos corrientes al corte del 31 de diciembre de 2023 de $889.015.811.841,34</w:t>
          </w:r>
        </w:p>
        <w:p w14:paraId="30CC26F9" w14:textId="66157C73" w:rsidR="5F2741A4" w:rsidRDefault="5F2741A4" w:rsidP="63C758A7">
          <w:pPr>
            <w:spacing w:before="7" w:line="257" w:lineRule="auto"/>
            <w:ind w:left="-20" w:right="-20"/>
            <w:jc w:val="both"/>
          </w:pPr>
          <w:r w:rsidRPr="63C758A7">
            <w:rPr>
              <w:rFonts w:ascii="Times New Roman" w:eastAsia="Times New Roman" w:hAnsi="Times New Roman"/>
              <w:b/>
              <w:bCs/>
              <w:sz w:val="24"/>
              <w:szCs w:val="24"/>
              <w:lang w:val="es"/>
            </w:rPr>
            <w:t xml:space="preserve">Tasa de retribución: </w:t>
          </w:r>
          <w:r w:rsidRPr="63C758A7">
            <w:rPr>
              <w:rFonts w:ascii="Times New Roman" w:eastAsia="Times New Roman" w:hAnsi="Times New Roman"/>
              <w:sz w:val="24"/>
              <w:szCs w:val="24"/>
              <w:lang w:val="es"/>
            </w:rPr>
            <w:t>La tasa de descuento real (TDI) expresada en términos efectivos mensuales es de cero puntos cincuenta y siete sesenta y tres por ciento (0,5763%).</w:t>
          </w:r>
        </w:p>
        <w:p w14:paraId="5D524A2A" w14:textId="7E9CBC49" w:rsidR="5F2741A4" w:rsidRDefault="5F2741A4" w:rsidP="00E60BAB">
          <w:pPr>
            <w:pStyle w:val="Prrafodelista"/>
            <w:numPr>
              <w:ilvl w:val="0"/>
              <w:numId w:val="165"/>
            </w:numPr>
            <w:spacing w:before="7" w:line="257" w:lineRule="auto"/>
            <w:ind w:left="-20" w:right="-20"/>
            <w:jc w:val="both"/>
            <w:rPr>
              <w:rFonts w:ascii="Times New Roman" w:eastAsia="Times New Roman" w:hAnsi="Times New Roman"/>
              <w:b/>
              <w:bCs/>
              <w:sz w:val="24"/>
              <w:szCs w:val="24"/>
              <w:lang w:val="es"/>
            </w:rPr>
          </w:pPr>
          <w:r w:rsidRPr="63C758A7">
            <w:rPr>
              <w:rFonts w:ascii="Times New Roman" w:eastAsia="Times New Roman" w:hAnsi="Times New Roman"/>
              <w:b/>
              <w:bCs/>
              <w:sz w:val="24"/>
              <w:szCs w:val="24"/>
              <w:lang w:val="es"/>
            </w:rPr>
            <w:t>Derechos a recibir activos especificados al final del acuerdo de concesión</w:t>
          </w:r>
        </w:p>
        <w:p w14:paraId="4417B994" w14:textId="64D2CA1E" w:rsidR="5F2741A4" w:rsidRDefault="5F2741A4" w:rsidP="63C758A7">
          <w:pPr>
            <w:spacing w:line="257" w:lineRule="auto"/>
            <w:ind w:left="-20" w:right="675"/>
            <w:jc w:val="both"/>
          </w:pPr>
          <w:r w:rsidRPr="63C758A7">
            <w:rPr>
              <w:rFonts w:ascii="Times New Roman" w:eastAsia="Times New Roman" w:hAnsi="Times New Roman"/>
              <w:b/>
              <w:bCs/>
              <w:sz w:val="24"/>
              <w:szCs w:val="24"/>
              <w:lang w:val="es"/>
            </w:rPr>
            <w:t>Descripción:</w:t>
          </w:r>
          <w:r w:rsidRPr="63C758A7">
            <w:rPr>
              <w:rFonts w:ascii="Times New Roman" w:eastAsia="Times New Roman" w:hAnsi="Times New Roman"/>
              <w:sz w:val="24"/>
              <w:szCs w:val="24"/>
              <w:lang w:val="es"/>
            </w:rPr>
            <w:t xml:space="preserve"> Se encuentra regulado en la numeral 9.7 Etapa de Reversión:</w:t>
          </w:r>
        </w:p>
        <w:p w14:paraId="3B88B025" w14:textId="0E038304" w:rsidR="5F2741A4" w:rsidRDefault="5F2741A4" w:rsidP="63C758A7">
          <w:pPr>
            <w:spacing w:before="6" w:line="257" w:lineRule="auto"/>
            <w:ind w:left="-20" w:right="-20"/>
            <w:jc w:val="both"/>
          </w:pPr>
          <w:r w:rsidRPr="63C758A7">
            <w:rPr>
              <w:rFonts w:ascii="Times New Roman" w:eastAsia="Times New Roman" w:hAnsi="Times New Roman"/>
              <w:sz w:val="24"/>
              <w:szCs w:val="24"/>
              <w:lang w:val="es"/>
            </w:rPr>
            <w:lastRenderedPageBreak/>
            <w:t>a)Al Día siguiente de (i) la Fecha de Terminación de la Etapa de Operación y Mantenimiento, o (ii) cuando el Concesionario haya recibido el VPIP, o el VPIPr, según corresponda o (iii) antes de la declaratoria de Terminación Anticipada del Contrato, el Concesionario y el Interventor deberán iniciar la verificación final del Proyecto con el fin de proceder a la Reversión.(..)</w:t>
          </w:r>
        </w:p>
        <w:p w14:paraId="2178C502" w14:textId="764C4626" w:rsidR="5F2741A4" w:rsidRDefault="5F2741A4" w:rsidP="63C758A7">
          <w:pPr>
            <w:spacing w:line="257" w:lineRule="auto"/>
            <w:ind w:left="107" w:right="94"/>
            <w:jc w:val="both"/>
          </w:pPr>
          <w:r w:rsidRPr="63C758A7">
            <w:rPr>
              <w:rFonts w:ascii="Times New Roman" w:eastAsia="Times New Roman" w:hAnsi="Times New Roman"/>
              <w:sz w:val="24"/>
              <w:szCs w:val="24"/>
              <w:lang w:val="es"/>
            </w:rPr>
            <w:t>d) (...) (i) La actualización del Inventario de Activos de la Concesión que incluirá todos los bienes inmuebles por adhesión y destinación y en general todos aquellos bienes que (1) hayan sido adquiridos por el Concesionario y se encuentren destinados a las actividades de Operación, lo cual en ningún caso incluirá maquinaria de construcción; (2) hayan sido entregados por la ANI; y (3) que hubieren sido de particulares que hayan sido requeridos por el Proyecto. En todo caso este listado incluirá -como mínimo~ el listado de bienes reversibles que aparece en el Apéndice Técnico 2. Así mismo, al momento de la actualización del Inventario de Activos de la Concesión se verificará que los predios adquiridos se encuentran libres de toda ocupación ilegal</w:t>
          </w:r>
        </w:p>
        <w:p w14:paraId="690CCE2E" w14:textId="4A89F8CD" w:rsidR="5F2741A4" w:rsidRDefault="5F2741A4" w:rsidP="63C758A7">
          <w:pPr>
            <w:spacing w:line="257" w:lineRule="auto"/>
            <w:ind w:left="107" w:right="204"/>
            <w:jc w:val="both"/>
          </w:pPr>
          <w:r w:rsidRPr="63C758A7">
            <w:rPr>
              <w:rFonts w:ascii="Times New Roman" w:eastAsia="Times New Roman" w:hAnsi="Times New Roman"/>
              <w:sz w:val="24"/>
              <w:szCs w:val="24"/>
              <w:lang w:val="es"/>
            </w:rPr>
            <w:t xml:space="preserve"> </w:t>
          </w:r>
        </w:p>
        <w:p w14:paraId="691AA0C1" w14:textId="006215CF" w:rsidR="5F2741A4" w:rsidRDefault="5F2741A4" w:rsidP="63C758A7">
          <w:pPr>
            <w:spacing w:line="257" w:lineRule="auto"/>
            <w:ind w:left="107" w:right="204"/>
            <w:jc w:val="both"/>
          </w:pPr>
          <w:r w:rsidRPr="63C758A7">
            <w:rPr>
              <w:rFonts w:ascii="Times New Roman" w:eastAsia="Times New Roman" w:hAnsi="Times New Roman"/>
              <w:b/>
              <w:bCs/>
              <w:sz w:val="24"/>
              <w:szCs w:val="24"/>
              <w:lang w:val="es"/>
            </w:rPr>
            <w:t xml:space="preserve">Observaciones: </w:t>
          </w:r>
          <w:r w:rsidRPr="63C758A7">
            <w:rPr>
              <w:rFonts w:ascii="Times New Roman" w:eastAsia="Times New Roman" w:hAnsi="Times New Roman"/>
              <w:sz w:val="24"/>
              <w:szCs w:val="24"/>
              <w:lang w:val="es"/>
            </w:rPr>
            <w:t>El listado de activos reversibles se lista en el Apéndice Técnico del Contrato de Concesión</w:t>
          </w:r>
        </w:p>
        <w:p w14:paraId="1C442AFE" w14:textId="01E49AB4" w:rsidR="5F2741A4" w:rsidRDefault="5F2741A4" w:rsidP="63C758A7">
          <w:pPr>
            <w:spacing w:line="257" w:lineRule="auto"/>
            <w:ind w:left="107" w:right="204"/>
            <w:jc w:val="both"/>
          </w:pPr>
          <w:r w:rsidRPr="63C758A7">
            <w:rPr>
              <w:rFonts w:ascii="Times New Roman" w:eastAsia="Times New Roman" w:hAnsi="Times New Roman"/>
              <w:sz w:val="24"/>
              <w:szCs w:val="24"/>
              <w:lang w:val="es"/>
            </w:rPr>
            <w:t xml:space="preserve"> </w:t>
          </w:r>
        </w:p>
        <w:p w14:paraId="6232EE88" w14:textId="57F3161E" w:rsidR="5F2741A4" w:rsidRDefault="5F2741A4" w:rsidP="00E60BAB">
          <w:pPr>
            <w:pStyle w:val="Prrafodelista"/>
            <w:numPr>
              <w:ilvl w:val="0"/>
              <w:numId w:val="165"/>
            </w:numPr>
            <w:spacing w:after="0" w:line="257" w:lineRule="auto"/>
            <w:ind w:left="-20" w:right="-20"/>
            <w:jc w:val="both"/>
            <w:rPr>
              <w:rFonts w:ascii="Times New Roman" w:eastAsia="Times New Roman" w:hAnsi="Times New Roman"/>
              <w:b/>
              <w:bCs/>
              <w:sz w:val="24"/>
              <w:szCs w:val="24"/>
              <w:lang w:val="es"/>
            </w:rPr>
          </w:pPr>
          <w:r w:rsidRPr="63C758A7">
            <w:rPr>
              <w:rFonts w:ascii="Times New Roman" w:eastAsia="Times New Roman" w:hAnsi="Times New Roman"/>
              <w:b/>
              <w:bCs/>
              <w:sz w:val="24"/>
              <w:szCs w:val="24"/>
              <w:lang w:val="es"/>
            </w:rPr>
            <w:t>Cambios en el acuerdo de concesión que se realicen durante el periodo fiscal</w:t>
          </w:r>
        </w:p>
        <w:p w14:paraId="17C743E9" w14:textId="29573D8B" w:rsidR="5F2741A4" w:rsidRDefault="5F2741A4" w:rsidP="63C758A7">
          <w:pPr>
            <w:spacing w:line="257" w:lineRule="auto"/>
            <w:ind w:left="720" w:right="-20"/>
            <w:jc w:val="both"/>
          </w:pPr>
          <w:r w:rsidRPr="63C758A7">
            <w:rPr>
              <w:rFonts w:ascii="Times New Roman" w:eastAsia="Times New Roman" w:hAnsi="Times New Roman"/>
              <w:b/>
              <w:bCs/>
              <w:sz w:val="24"/>
              <w:szCs w:val="24"/>
              <w:lang w:val="es"/>
            </w:rPr>
            <w:t xml:space="preserve"> </w:t>
          </w:r>
        </w:p>
        <w:p w14:paraId="5155D6A1" w14:textId="13D9797F" w:rsidR="5F2741A4" w:rsidRDefault="5F2741A4" w:rsidP="63C758A7">
          <w:pPr>
            <w:spacing w:line="257" w:lineRule="auto"/>
            <w:ind w:left="720" w:right="-20"/>
            <w:jc w:val="center"/>
          </w:pPr>
          <w:r w:rsidRPr="63C758A7">
            <w:rPr>
              <w:rFonts w:ascii="Times New Roman" w:eastAsia="Times New Roman" w:hAnsi="Times New Roman"/>
              <w:b/>
              <w:bCs/>
              <w:sz w:val="24"/>
              <w:szCs w:val="24"/>
              <w:lang w:val="es"/>
            </w:rPr>
            <w:t>Adiciones o modificaciones en tiempo</w:t>
          </w:r>
        </w:p>
        <w:tbl>
          <w:tblPr>
            <w:tblStyle w:val="Tablaconcuadrcula"/>
            <w:tblW w:w="0" w:type="auto"/>
            <w:tblInd w:w="135" w:type="dxa"/>
            <w:tblLayout w:type="fixed"/>
            <w:tblLook w:val="01E0" w:firstRow="1" w:lastRow="1" w:firstColumn="1" w:lastColumn="1" w:noHBand="0" w:noVBand="0"/>
          </w:tblPr>
          <w:tblGrid>
            <w:gridCol w:w="3003"/>
            <w:gridCol w:w="2592"/>
            <w:gridCol w:w="3233"/>
          </w:tblGrid>
          <w:tr w:rsidR="63C758A7" w14:paraId="572CB72D" w14:textId="77777777" w:rsidTr="428D84AE">
            <w:trPr>
              <w:trHeight w:val="300"/>
            </w:trPr>
            <w:tc>
              <w:tcPr>
                <w:tcW w:w="30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418846F" w14:textId="274342A5" w:rsidR="63C758A7" w:rsidRDefault="63C758A7" w:rsidP="63C758A7">
                <w:pPr>
                  <w:spacing w:after="0"/>
                  <w:ind w:left="-20" w:right="626"/>
                  <w:jc w:val="center"/>
                  <w:rPr>
                    <w:rFonts w:ascii="Times New Roman" w:eastAsia="Times New Roman" w:hAnsi="Times New Roman"/>
                    <w:b/>
                    <w:sz w:val="14"/>
                    <w:szCs w:val="14"/>
                    <w:lang w:val="es"/>
                  </w:rPr>
                </w:pPr>
                <w:r w:rsidRPr="5F8D7CA2">
                  <w:rPr>
                    <w:rFonts w:ascii="Times New Roman" w:eastAsia="Times New Roman" w:hAnsi="Times New Roman"/>
                    <w:b/>
                    <w:sz w:val="14"/>
                    <w:szCs w:val="14"/>
                    <w:lang w:val="es"/>
                  </w:rPr>
                  <w:t>Fechas de las adiciones o modificaciones</w:t>
                </w:r>
              </w:p>
            </w:tc>
            <w:tc>
              <w:tcPr>
                <w:tcW w:w="25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C34346B" w14:textId="31769150" w:rsidR="63C758A7" w:rsidRDefault="63C758A7" w:rsidP="63C758A7">
                <w:pPr>
                  <w:spacing w:after="0"/>
                  <w:ind w:left="-20" w:right="194"/>
                  <w:jc w:val="center"/>
                  <w:rPr>
                    <w:rFonts w:ascii="Times New Roman" w:eastAsia="Times New Roman" w:hAnsi="Times New Roman"/>
                    <w:b/>
                    <w:sz w:val="14"/>
                    <w:szCs w:val="14"/>
                    <w:lang w:val="es"/>
                  </w:rPr>
                </w:pPr>
                <w:r w:rsidRPr="5F8D7CA2">
                  <w:rPr>
                    <w:rFonts w:ascii="Times New Roman" w:eastAsia="Times New Roman" w:hAnsi="Times New Roman"/>
                    <w:b/>
                    <w:sz w:val="14"/>
                    <w:szCs w:val="14"/>
                    <w:lang w:val="es"/>
                  </w:rPr>
                  <w:t>Nueva fecha de finalización estimada</w:t>
                </w:r>
              </w:p>
            </w:tc>
            <w:tc>
              <w:tcPr>
                <w:tcW w:w="32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0B98EFB" w14:textId="5815C42B" w:rsidR="63C758A7" w:rsidRDefault="63C758A7" w:rsidP="63C758A7">
                <w:pPr>
                  <w:spacing w:after="0"/>
                  <w:ind w:left="-20" w:right="-20"/>
                  <w:jc w:val="center"/>
                  <w:rPr>
                    <w:rFonts w:ascii="Times New Roman" w:eastAsia="Times New Roman" w:hAnsi="Times New Roman"/>
                    <w:b/>
                    <w:sz w:val="14"/>
                    <w:szCs w:val="14"/>
                    <w:lang w:val="es"/>
                  </w:rPr>
                </w:pPr>
                <w:r w:rsidRPr="5F8D7CA2">
                  <w:rPr>
                    <w:rFonts w:ascii="Times New Roman" w:eastAsia="Times New Roman" w:hAnsi="Times New Roman"/>
                    <w:b/>
                    <w:sz w:val="14"/>
                    <w:szCs w:val="14"/>
                    <w:lang w:val="es"/>
                  </w:rPr>
                  <w:t>Observaciones</w:t>
                </w:r>
              </w:p>
            </w:tc>
          </w:tr>
          <w:tr w:rsidR="63C758A7" w14:paraId="6A02AB5E" w14:textId="77777777" w:rsidTr="63C758A7">
            <w:trPr>
              <w:trHeight w:val="1590"/>
            </w:trPr>
            <w:tc>
              <w:tcPr>
                <w:tcW w:w="30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6E2E642" w14:textId="74FB2710" w:rsidR="63C758A7" w:rsidRDefault="63C758A7" w:rsidP="63C758A7">
                <w:pPr>
                  <w:spacing w:after="0"/>
                  <w:ind w:left="-20" w:right="-20"/>
                  <w:jc w:val="center"/>
                  <w:rPr>
                    <w:rFonts w:ascii="Times New Roman" w:eastAsia="Times New Roman" w:hAnsi="Times New Roman"/>
                    <w:sz w:val="14"/>
                    <w:szCs w:val="14"/>
                    <w:lang w:val="es"/>
                  </w:rPr>
                </w:pPr>
                <w:r w:rsidRPr="5F8D7CA2">
                  <w:rPr>
                    <w:rFonts w:ascii="Times New Roman" w:eastAsia="Times New Roman" w:hAnsi="Times New Roman"/>
                    <w:sz w:val="14"/>
                    <w:szCs w:val="14"/>
                    <w:lang w:val="es"/>
                  </w:rPr>
                  <w:t>Otrosí N. 14</w:t>
                </w:r>
              </w:p>
              <w:p w14:paraId="6976505F" w14:textId="7E989199" w:rsidR="63C758A7" w:rsidRDefault="63C758A7" w:rsidP="63C758A7">
                <w:pPr>
                  <w:spacing w:after="0"/>
                  <w:ind w:left="-20" w:right="-20"/>
                  <w:jc w:val="center"/>
                  <w:rPr>
                    <w:rFonts w:ascii="Times New Roman" w:eastAsia="Times New Roman" w:hAnsi="Times New Roman"/>
                    <w:sz w:val="14"/>
                    <w:szCs w:val="14"/>
                    <w:lang w:val="es"/>
                  </w:rPr>
                </w:pPr>
                <w:r w:rsidRPr="5F8D7CA2">
                  <w:rPr>
                    <w:rFonts w:ascii="Times New Roman" w:eastAsia="Times New Roman" w:hAnsi="Times New Roman"/>
                    <w:sz w:val="14"/>
                    <w:szCs w:val="14"/>
                    <w:lang w:val="es"/>
                  </w:rPr>
                  <w:t xml:space="preserve"> </w:t>
                </w:r>
              </w:p>
              <w:p w14:paraId="563E8806" w14:textId="6A9BDEBA" w:rsidR="63C758A7" w:rsidRDefault="63C758A7" w:rsidP="63C758A7">
                <w:pPr>
                  <w:spacing w:after="0"/>
                  <w:ind w:left="-20" w:right="-20"/>
                  <w:jc w:val="center"/>
                  <w:rPr>
                    <w:rFonts w:ascii="Times New Roman" w:eastAsia="Times New Roman" w:hAnsi="Times New Roman"/>
                    <w:sz w:val="14"/>
                    <w:szCs w:val="14"/>
                    <w:lang w:val="es"/>
                  </w:rPr>
                </w:pPr>
                <w:r w:rsidRPr="5F8D7CA2">
                  <w:rPr>
                    <w:rFonts w:ascii="Times New Roman" w:eastAsia="Times New Roman" w:hAnsi="Times New Roman"/>
                    <w:sz w:val="14"/>
                    <w:szCs w:val="14"/>
                    <w:lang w:val="es"/>
                  </w:rPr>
                  <w:t>Fecha de firma</w:t>
                </w:r>
              </w:p>
              <w:p w14:paraId="23B8069F" w14:textId="0A7EDE43" w:rsidR="63C758A7" w:rsidRDefault="63C758A7" w:rsidP="63C758A7">
                <w:pPr>
                  <w:spacing w:after="0"/>
                  <w:ind w:left="-20" w:right="-20"/>
                  <w:jc w:val="center"/>
                  <w:rPr>
                    <w:rFonts w:ascii="Times New Roman" w:eastAsia="Times New Roman" w:hAnsi="Times New Roman"/>
                    <w:sz w:val="14"/>
                    <w:szCs w:val="14"/>
                    <w:lang w:val="es"/>
                  </w:rPr>
                </w:pPr>
                <w:r w:rsidRPr="5F8D7CA2">
                  <w:rPr>
                    <w:rFonts w:ascii="Times New Roman" w:eastAsia="Times New Roman" w:hAnsi="Times New Roman"/>
                    <w:sz w:val="14"/>
                    <w:szCs w:val="14"/>
                    <w:lang w:val="es"/>
                  </w:rPr>
                  <w:t xml:space="preserve"> </w:t>
                </w:r>
              </w:p>
              <w:p w14:paraId="32E160B9" w14:textId="7EDD8330" w:rsidR="63C758A7" w:rsidRDefault="63C758A7" w:rsidP="63C758A7">
                <w:pPr>
                  <w:spacing w:before="1"/>
                  <w:ind w:left="-20" w:right="228"/>
                  <w:jc w:val="center"/>
                  <w:rPr>
                    <w:rFonts w:ascii="Times New Roman" w:eastAsia="Times New Roman" w:hAnsi="Times New Roman"/>
                    <w:sz w:val="14"/>
                    <w:szCs w:val="14"/>
                    <w:lang w:val="es"/>
                  </w:rPr>
                </w:pPr>
                <w:r w:rsidRPr="5F8D7CA2">
                  <w:rPr>
                    <w:rFonts w:ascii="Times New Roman" w:eastAsia="Times New Roman" w:hAnsi="Times New Roman"/>
                    <w:sz w:val="14"/>
                    <w:szCs w:val="14"/>
                    <w:lang w:val="es"/>
                  </w:rPr>
                  <w:t>19-06-2019</w:t>
                </w:r>
              </w:p>
              <w:p w14:paraId="3E4E4BA9" w14:textId="1051C678" w:rsidR="63C758A7" w:rsidRDefault="63C758A7" w:rsidP="63C758A7">
                <w:pPr>
                  <w:spacing w:before="1"/>
                  <w:ind w:left="-20" w:right="228"/>
                  <w:jc w:val="center"/>
                  <w:rPr>
                    <w:rFonts w:ascii="Times New Roman" w:eastAsia="Times New Roman" w:hAnsi="Times New Roman"/>
                    <w:sz w:val="14"/>
                    <w:szCs w:val="14"/>
                    <w:lang w:val="es"/>
                  </w:rPr>
                </w:pPr>
                <w:r w:rsidRPr="5F8D7CA2">
                  <w:rPr>
                    <w:rFonts w:ascii="Times New Roman" w:eastAsia="Times New Roman" w:hAnsi="Times New Roman"/>
                    <w:sz w:val="14"/>
                    <w:szCs w:val="14"/>
                    <w:lang w:val="es"/>
                  </w:rPr>
                  <w:t xml:space="preserve"> </w:t>
                </w:r>
              </w:p>
              <w:p w14:paraId="3A32D8DE" w14:textId="3B0BA999" w:rsidR="63C758A7" w:rsidRDefault="63C758A7" w:rsidP="63C758A7">
                <w:pPr>
                  <w:spacing w:after="0"/>
                  <w:ind w:left="-20" w:right="-20"/>
                  <w:jc w:val="center"/>
                  <w:rPr>
                    <w:rFonts w:ascii="Times New Roman" w:eastAsia="Times New Roman" w:hAnsi="Times New Roman"/>
                    <w:sz w:val="14"/>
                    <w:szCs w:val="14"/>
                    <w:lang w:val="es"/>
                  </w:rPr>
                </w:pPr>
                <w:r w:rsidRPr="5F8D7CA2">
                  <w:rPr>
                    <w:rFonts w:ascii="Times New Roman" w:eastAsia="Times New Roman" w:hAnsi="Times New Roman"/>
                    <w:sz w:val="14"/>
                    <w:szCs w:val="14"/>
                    <w:lang w:val="es"/>
                  </w:rPr>
                  <w:t>$14.271.912.632 ($ Mes de Referencia)</w:t>
                </w:r>
              </w:p>
            </w:tc>
            <w:tc>
              <w:tcPr>
                <w:tcW w:w="25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1EBCE27" w14:textId="1BDD93FB" w:rsidR="63C758A7" w:rsidRDefault="63C758A7" w:rsidP="63C758A7">
                <w:pPr>
                  <w:spacing w:after="0"/>
                  <w:ind w:left="-20" w:right="188"/>
                  <w:jc w:val="center"/>
                  <w:rPr>
                    <w:rFonts w:ascii="Times New Roman" w:eastAsia="Times New Roman" w:hAnsi="Times New Roman"/>
                    <w:sz w:val="14"/>
                    <w:szCs w:val="14"/>
                    <w:lang w:val="es"/>
                  </w:rPr>
                </w:pPr>
                <w:r w:rsidRPr="5F8D7CA2">
                  <w:rPr>
                    <w:rFonts w:ascii="Times New Roman" w:eastAsia="Times New Roman" w:hAnsi="Times New Roman"/>
                    <w:sz w:val="14"/>
                    <w:szCs w:val="14"/>
                    <w:lang w:val="es"/>
                  </w:rPr>
                  <w:t>6.3 23-12-2024.</w:t>
                </w:r>
              </w:p>
              <w:p w14:paraId="656BD1E5" w14:textId="1FB76873" w:rsidR="63C758A7" w:rsidRDefault="63C758A7" w:rsidP="63C758A7">
                <w:pPr>
                  <w:spacing w:after="0"/>
                  <w:ind w:left="825" w:right="188"/>
                  <w:jc w:val="center"/>
                  <w:rPr>
                    <w:rFonts w:ascii="Times New Roman" w:eastAsia="Times New Roman" w:hAnsi="Times New Roman"/>
                    <w:sz w:val="14"/>
                    <w:szCs w:val="14"/>
                    <w:lang w:val="es"/>
                  </w:rPr>
                </w:pPr>
                <w:r w:rsidRPr="5F8D7CA2">
                  <w:rPr>
                    <w:rFonts w:ascii="Times New Roman" w:eastAsia="Times New Roman" w:hAnsi="Times New Roman"/>
                    <w:sz w:val="14"/>
                    <w:szCs w:val="14"/>
                    <w:lang w:val="es"/>
                  </w:rPr>
                  <w:t xml:space="preserve"> </w:t>
                </w:r>
              </w:p>
              <w:p w14:paraId="77279282" w14:textId="673ACB7A" w:rsidR="63C758A7" w:rsidRDefault="63C758A7" w:rsidP="63C758A7">
                <w:pPr>
                  <w:spacing w:after="0"/>
                  <w:ind w:left="-20" w:right="188"/>
                  <w:jc w:val="center"/>
                  <w:rPr>
                    <w:rFonts w:ascii="Times New Roman" w:eastAsia="Times New Roman" w:hAnsi="Times New Roman"/>
                    <w:sz w:val="14"/>
                    <w:szCs w:val="14"/>
                    <w:lang w:val="es"/>
                  </w:rPr>
                </w:pPr>
                <w:r w:rsidRPr="5F8D7CA2">
                  <w:rPr>
                    <w:rFonts w:ascii="Times New Roman" w:eastAsia="Times New Roman" w:hAnsi="Times New Roman"/>
                    <w:sz w:val="14"/>
                    <w:szCs w:val="14"/>
                    <w:lang w:val="es"/>
                  </w:rPr>
                  <w:t>7.2 26-01-2024.</w:t>
                </w:r>
              </w:p>
              <w:p w14:paraId="1EC5E52C" w14:textId="703DD2DF" w:rsidR="63C758A7" w:rsidRDefault="63C758A7" w:rsidP="63C758A7">
                <w:pPr>
                  <w:spacing w:after="0"/>
                  <w:ind w:left="825" w:right="188"/>
                  <w:jc w:val="center"/>
                  <w:rPr>
                    <w:rFonts w:ascii="Times New Roman" w:eastAsia="Times New Roman" w:hAnsi="Times New Roman"/>
                    <w:sz w:val="14"/>
                    <w:szCs w:val="14"/>
                    <w:lang w:val="es"/>
                  </w:rPr>
                </w:pPr>
                <w:r w:rsidRPr="5F8D7CA2">
                  <w:rPr>
                    <w:rFonts w:ascii="Times New Roman" w:eastAsia="Times New Roman" w:hAnsi="Times New Roman"/>
                    <w:sz w:val="14"/>
                    <w:szCs w:val="14"/>
                    <w:lang w:val="es"/>
                  </w:rPr>
                  <w:t xml:space="preserve"> </w:t>
                </w:r>
              </w:p>
              <w:p w14:paraId="3426022A" w14:textId="7D7EE954" w:rsidR="63C758A7" w:rsidRDefault="63C758A7" w:rsidP="63C758A7">
                <w:pPr>
                  <w:spacing w:after="0"/>
                  <w:ind w:left="-20" w:right="188"/>
                  <w:jc w:val="center"/>
                  <w:rPr>
                    <w:rFonts w:ascii="Times New Roman" w:eastAsia="Times New Roman" w:hAnsi="Times New Roman"/>
                    <w:sz w:val="14"/>
                    <w:szCs w:val="14"/>
                    <w:lang w:val="es"/>
                  </w:rPr>
                </w:pPr>
                <w:r w:rsidRPr="5F8D7CA2">
                  <w:rPr>
                    <w:rFonts w:ascii="Times New Roman" w:eastAsia="Times New Roman" w:hAnsi="Times New Roman"/>
                    <w:sz w:val="14"/>
                    <w:szCs w:val="14"/>
                    <w:lang w:val="es"/>
                  </w:rPr>
                  <w:t>7.3 26-01-2024.</w:t>
                </w:r>
              </w:p>
              <w:p w14:paraId="75A729FA" w14:textId="2ED2250C" w:rsidR="63C758A7" w:rsidRDefault="63C758A7" w:rsidP="63C758A7">
                <w:pPr>
                  <w:spacing w:after="0"/>
                  <w:ind w:left="-20" w:right="188"/>
                  <w:jc w:val="center"/>
                  <w:rPr>
                    <w:rFonts w:ascii="Times New Roman" w:eastAsia="Times New Roman" w:hAnsi="Times New Roman"/>
                    <w:sz w:val="14"/>
                    <w:szCs w:val="14"/>
                    <w:lang w:val="es"/>
                  </w:rPr>
                </w:pPr>
                <w:r w:rsidRPr="5F8D7CA2">
                  <w:rPr>
                    <w:rFonts w:ascii="Times New Roman" w:eastAsia="Times New Roman" w:hAnsi="Times New Roman"/>
                    <w:sz w:val="14"/>
                    <w:szCs w:val="14"/>
                    <w:lang w:val="es"/>
                  </w:rPr>
                  <w:t xml:space="preserve"> </w:t>
                </w:r>
              </w:p>
              <w:p w14:paraId="5E07147D" w14:textId="6F22DC54" w:rsidR="63C758A7" w:rsidRDefault="63C758A7" w:rsidP="63C758A7">
                <w:pPr>
                  <w:spacing w:after="0"/>
                  <w:ind w:left="-20" w:right="188"/>
                  <w:jc w:val="center"/>
                  <w:rPr>
                    <w:rFonts w:ascii="Times New Roman" w:eastAsia="Times New Roman" w:hAnsi="Times New Roman"/>
                    <w:sz w:val="14"/>
                    <w:szCs w:val="14"/>
                    <w:lang w:val="es"/>
                  </w:rPr>
                </w:pPr>
                <w:r w:rsidRPr="5F8D7CA2">
                  <w:rPr>
                    <w:rFonts w:ascii="Times New Roman" w:eastAsia="Times New Roman" w:hAnsi="Times New Roman"/>
                    <w:sz w:val="14"/>
                    <w:szCs w:val="14"/>
                    <w:lang w:val="es"/>
                  </w:rPr>
                  <w:t xml:space="preserve"> </w:t>
                </w:r>
              </w:p>
              <w:p w14:paraId="57BFFEC9" w14:textId="1320CE21" w:rsidR="63C758A7" w:rsidRDefault="63C758A7" w:rsidP="63C758A7">
                <w:pPr>
                  <w:spacing w:after="0"/>
                  <w:ind w:left="-20" w:right="-20"/>
                  <w:jc w:val="center"/>
                  <w:rPr>
                    <w:rFonts w:ascii="Times New Roman" w:eastAsia="Times New Roman" w:hAnsi="Times New Roman"/>
                    <w:sz w:val="14"/>
                    <w:szCs w:val="14"/>
                    <w:lang w:val="es"/>
                  </w:rPr>
                </w:pPr>
                <w:r w:rsidRPr="5F8D7CA2">
                  <w:rPr>
                    <w:rFonts w:ascii="Times New Roman" w:eastAsia="Times New Roman" w:hAnsi="Times New Roman"/>
                    <w:sz w:val="14"/>
                    <w:szCs w:val="14"/>
                    <w:lang w:val="es"/>
                  </w:rPr>
                  <w:t>No se modifica el valor inicial del contrato por el contrario se realiza una sustitución de la inversión</w:t>
                </w:r>
              </w:p>
            </w:tc>
            <w:tc>
              <w:tcPr>
                <w:tcW w:w="32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B8E8DEB" w14:textId="2FCB711C" w:rsidR="63C758A7" w:rsidRDefault="63C758A7" w:rsidP="63C758A7">
                <w:pPr>
                  <w:spacing w:after="0"/>
                  <w:ind w:left="507" w:right="309"/>
                  <w:jc w:val="both"/>
                  <w:rPr>
                    <w:rFonts w:ascii="Times New Roman" w:eastAsia="Times New Roman" w:hAnsi="Times New Roman"/>
                    <w:sz w:val="14"/>
                    <w:szCs w:val="14"/>
                    <w:lang w:val="es"/>
                  </w:rPr>
                </w:pPr>
                <w:r w:rsidRPr="5F8D7CA2">
                  <w:rPr>
                    <w:rFonts w:ascii="Times New Roman" w:eastAsia="Times New Roman" w:hAnsi="Times New Roman"/>
                    <w:sz w:val="14"/>
                    <w:szCs w:val="14"/>
                    <w:lang w:val="es"/>
                  </w:rPr>
                  <w:t>Modifica el trazado y diseño geométrico de las unidades funcionales 6.3, 7.2 y 7.3 del proyecto, debido a eventos eximentes de responsabilidad</w:t>
                </w:r>
              </w:p>
              <w:p w14:paraId="5FE296CC" w14:textId="79067B9A" w:rsidR="63C758A7" w:rsidRDefault="63C758A7" w:rsidP="63C758A7">
                <w:pPr>
                  <w:tabs>
                    <w:tab w:val="left" w:pos="1047"/>
                  </w:tabs>
                  <w:spacing w:after="0"/>
                  <w:ind w:left="507" w:right="309"/>
                  <w:jc w:val="both"/>
                  <w:rPr>
                    <w:rFonts w:ascii="Times New Roman" w:eastAsia="Times New Roman" w:hAnsi="Times New Roman"/>
                    <w:sz w:val="14"/>
                    <w:szCs w:val="14"/>
                    <w:lang w:val="es"/>
                  </w:rPr>
                </w:pPr>
                <w:r w:rsidRPr="5F8D7CA2">
                  <w:rPr>
                    <w:rFonts w:ascii="Times New Roman" w:eastAsia="Times New Roman" w:hAnsi="Times New Roman"/>
                    <w:sz w:val="14"/>
                    <w:szCs w:val="14"/>
                    <w:lang w:val="es"/>
                  </w:rPr>
                  <w:t>Modifica el trazado y diseño geométrico de las unidades funcionales 6.3, 7.2 y 7.3 del proyecto, debido a eventos eximentes de responsabilidad. Se indica la compensación por riesgos por sobrecostos por $14.271.912.632 ($ Mes de Referencia)</w:t>
                </w:r>
              </w:p>
            </w:tc>
          </w:tr>
        </w:tbl>
        <w:p w14:paraId="712F3D5F" w14:textId="3871C526" w:rsidR="5F2741A4" w:rsidRDefault="5F2741A4" w:rsidP="63C758A7">
          <w:pPr>
            <w:spacing w:line="257" w:lineRule="auto"/>
            <w:ind w:left="-20" w:right="-20"/>
            <w:jc w:val="both"/>
          </w:pPr>
          <w:r w:rsidRPr="63C758A7">
            <w:rPr>
              <w:rFonts w:ascii="Times New Roman" w:eastAsia="Times New Roman" w:hAnsi="Times New Roman"/>
              <w:b/>
              <w:bCs/>
              <w:sz w:val="24"/>
              <w:szCs w:val="24"/>
              <w:lang w:val="es"/>
            </w:rPr>
            <w:t xml:space="preserve"> </w:t>
          </w:r>
        </w:p>
        <w:p w14:paraId="140433DB" w14:textId="00226FB3" w:rsidR="5F2741A4" w:rsidRDefault="5F2741A4" w:rsidP="63C758A7">
          <w:pPr>
            <w:spacing w:line="257" w:lineRule="auto"/>
            <w:ind w:left="720" w:right="-20"/>
            <w:jc w:val="center"/>
          </w:pPr>
          <w:r w:rsidRPr="63C758A7">
            <w:rPr>
              <w:rFonts w:ascii="Times New Roman" w:eastAsia="Times New Roman" w:hAnsi="Times New Roman"/>
              <w:b/>
              <w:bCs/>
              <w:sz w:val="24"/>
              <w:szCs w:val="24"/>
              <w:lang w:val="es"/>
            </w:rPr>
            <w:t>Adiciones o modificaciones en valor</w:t>
          </w:r>
        </w:p>
        <w:p w14:paraId="1B2F37A2" w14:textId="62DC94B8" w:rsidR="5F2741A4" w:rsidRDefault="5F2741A4" w:rsidP="63C758A7">
          <w:pPr>
            <w:spacing w:line="257" w:lineRule="auto"/>
            <w:ind w:left="-20" w:right="-20"/>
            <w:jc w:val="center"/>
          </w:pPr>
          <w:r w:rsidRPr="63C758A7">
            <w:rPr>
              <w:rFonts w:ascii="Times New Roman" w:eastAsia="Times New Roman" w:hAnsi="Times New Roman"/>
              <w:b/>
              <w:bCs/>
              <w:sz w:val="24"/>
              <w:szCs w:val="24"/>
              <w:lang w:val="es"/>
            </w:rPr>
            <w:t xml:space="preserve"> </w:t>
          </w:r>
        </w:p>
        <w:tbl>
          <w:tblPr>
            <w:tblStyle w:val="Tablaconcuadrcula"/>
            <w:tblW w:w="0" w:type="auto"/>
            <w:tblInd w:w="135" w:type="dxa"/>
            <w:tblLayout w:type="fixed"/>
            <w:tblLook w:val="01E0" w:firstRow="1" w:lastRow="1" w:firstColumn="1" w:lastColumn="1" w:noHBand="0" w:noVBand="0"/>
          </w:tblPr>
          <w:tblGrid>
            <w:gridCol w:w="3003"/>
            <w:gridCol w:w="2592"/>
            <w:gridCol w:w="3233"/>
          </w:tblGrid>
          <w:tr w:rsidR="63C758A7" w14:paraId="1932EE88" w14:textId="77777777" w:rsidTr="428D84AE">
            <w:trPr>
              <w:trHeight w:val="300"/>
            </w:trPr>
            <w:tc>
              <w:tcPr>
                <w:tcW w:w="30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25891AB" w14:textId="15582830" w:rsidR="63C758A7" w:rsidRDefault="63C758A7" w:rsidP="63C758A7">
                <w:pPr>
                  <w:spacing w:after="0"/>
                  <w:ind w:left="839" w:right="414" w:hanging="401"/>
                  <w:rPr>
                    <w:rFonts w:ascii="Times New Roman" w:eastAsia="Times New Roman" w:hAnsi="Times New Roman"/>
                    <w:b/>
                    <w:sz w:val="14"/>
                    <w:szCs w:val="14"/>
                    <w:lang w:val="es"/>
                  </w:rPr>
                </w:pPr>
                <w:r w:rsidRPr="5F8D7CA2">
                  <w:rPr>
                    <w:rFonts w:ascii="Times New Roman" w:eastAsia="Times New Roman" w:hAnsi="Times New Roman"/>
                    <w:b/>
                    <w:sz w:val="14"/>
                    <w:szCs w:val="14"/>
                    <w:lang w:val="es"/>
                  </w:rPr>
                  <w:t>Valor de la adición o modificación</w:t>
                </w:r>
              </w:p>
            </w:tc>
            <w:tc>
              <w:tcPr>
                <w:tcW w:w="25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553FF83" w14:textId="59A87114" w:rsidR="63C758A7" w:rsidRDefault="63C758A7" w:rsidP="63C758A7">
                <w:pPr>
                  <w:spacing w:after="0"/>
                  <w:ind w:left="486" w:right="478"/>
                  <w:rPr>
                    <w:rFonts w:ascii="Times New Roman" w:eastAsia="Times New Roman" w:hAnsi="Times New Roman"/>
                    <w:b/>
                    <w:sz w:val="14"/>
                    <w:szCs w:val="14"/>
                    <w:lang w:val="es"/>
                  </w:rPr>
                </w:pPr>
                <w:r w:rsidRPr="5F8D7CA2">
                  <w:rPr>
                    <w:rFonts w:ascii="Times New Roman" w:eastAsia="Times New Roman" w:hAnsi="Times New Roman"/>
                    <w:b/>
                    <w:sz w:val="14"/>
                    <w:szCs w:val="14"/>
                    <w:lang w:val="es"/>
                  </w:rPr>
                  <w:t>Nuevo valor del acuerdo</w:t>
                </w:r>
              </w:p>
            </w:tc>
            <w:tc>
              <w:tcPr>
                <w:tcW w:w="32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26AE633" w14:textId="0DE3EF3B" w:rsidR="63C758A7" w:rsidRDefault="63C758A7" w:rsidP="63C758A7">
                <w:pPr>
                  <w:spacing w:before="138"/>
                  <w:ind w:left="868" w:right="-20"/>
                  <w:rPr>
                    <w:rFonts w:ascii="Times New Roman" w:eastAsia="Times New Roman" w:hAnsi="Times New Roman"/>
                    <w:b/>
                    <w:sz w:val="14"/>
                    <w:szCs w:val="14"/>
                    <w:lang w:val="es"/>
                  </w:rPr>
                </w:pPr>
                <w:r w:rsidRPr="5F8D7CA2">
                  <w:rPr>
                    <w:rFonts w:ascii="Times New Roman" w:eastAsia="Times New Roman" w:hAnsi="Times New Roman"/>
                    <w:b/>
                    <w:sz w:val="14"/>
                    <w:szCs w:val="14"/>
                    <w:lang w:val="es"/>
                  </w:rPr>
                  <w:t>Observaciones</w:t>
                </w:r>
              </w:p>
            </w:tc>
          </w:tr>
          <w:tr w:rsidR="63C758A7" w14:paraId="77895218" w14:textId="77777777" w:rsidTr="428D84AE">
            <w:trPr>
              <w:trHeight w:val="7275"/>
            </w:trPr>
            <w:tc>
              <w:tcPr>
                <w:tcW w:w="30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DFA6650" w14:textId="76A031EF" w:rsidR="63C758A7" w:rsidRDefault="63C758A7" w:rsidP="63C758A7">
                <w:pPr>
                  <w:spacing w:after="0"/>
                  <w:ind w:left="-20" w:right="-20"/>
                  <w:jc w:val="center"/>
                  <w:rPr>
                    <w:rFonts w:ascii="Times New Roman" w:eastAsia="Times New Roman" w:hAnsi="Times New Roman"/>
                    <w:sz w:val="14"/>
                    <w:szCs w:val="14"/>
                  </w:rPr>
                </w:pPr>
                <w:r w:rsidRPr="5F8D7CA2">
                  <w:rPr>
                    <w:rFonts w:ascii="Times New Roman" w:eastAsia="Times New Roman" w:hAnsi="Times New Roman"/>
                    <w:sz w:val="14"/>
                    <w:szCs w:val="14"/>
                  </w:rPr>
                  <w:lastRenderedPageBreak/>
                  <w:t xml:space="preserve"> </w:t>
                </w:r>
              </w:p>
              <w:p w14:paraId="444E6F97" w14:textId="21DD84D4" w:rsidR="63C758A7" w:rsidRDefault="63C758A7" w:rsidP="63C758A7">
                <w:pPr>
                  <w:spacing w:after="0"/>
                  <w:ind w:left="-20" w:right="-20"/>
                  <w:jc w:val="center"/>
                  <w:rPr>
                    <w:rFonts w:ascii="Times New Roman" w:eastAsia="Times New Roman" w:hAnsi="Times New Roman"/>
                    <w:sz w:val="14"/>
                    <w:szCs w:val="14"/>
                    <w:lang w:val="es"/>
                  </w:rPr>
                </w:pPr>
                <w:r w:rsidRPr="5F8D7CA2">
                  <w:rPr>
                    <w:rFonts w:ascii="Times New Roman" w:eastAsia="Times New Roman" w:hAnsi="Times New Roman"/>
                    <w:sz w:val="14"/>
                    <w:szCs w:val="14"/>
                    <w:lang w:val="es"/>
                  </w:rPr>
                  <w:t xml:space="preserve"> </w:t>
                </w:r>
              </w:p>
              <w:p w14:paraId="18CCD33A" w14:textId="4D29C095" w:rsidR="63C758A7" w:rsidRDefault="63C758A7" w:rsidP="63C758A7">
                <w:pPr>
                  <w:spacing w:after="0"/>
                  <w:ind w:left="-20" w:right="-20"/>
                  <w:jc w:val="center"/>
                  <w:rPr>
                    <w:rFonts w:ascii="Times New Roman" w:eastAsia="Times New Roman" w:hAnsi="Times New Roman"/>
                    <w:sz w:val="14"/>
                    <w:szCs w:val="14"/>
                    <w:lang w:val="es"/>
                  </w:rPr>
                </w:pPr>
                <w:r w:rsidRPr="5F8D7CA2">
                  <w:rPr>
                    <w:rFonts w:ascii="Times New Roman" w:eastAsia="Times New Roman" w:hAnsi="Times New Roman"/>
                    <w:sz w:val="14"/>
                    <w:szCs w:val="14"/>
                    <w:lang w:val="es"/>
                  </w:rPr>
                  <w:t xml:space="preserve"> </w:t>
                </w:r>
              </w:p>
              <w:p w14:paraId="4132643F" w14:textId="2E6990BD" w:rsidR="63C758A7" w:rsidRDefault="63C758A7" w:rsidP="63C758A7">
                <w:pPr>
                  <w:spacing w:after="0"/>
                  <w:ind w:left="-20" w:right="-20"/>
                  <w:jc w:val="center"/>
                  <w:rPr>
                    <w:rFonts w:ascii="Times New Roman" w:eastAsia="Times New Roman" w:hAnsi="Times New Roman"/>
                    <w:sz w:val="14"/>
                    <w:szCs w:val="14"/>
                    <w:lang w:val="es"/>
                  </w:rPr>
                </w:pPr>
                <w:r w:rsidRPr="5F8D7CA2">
                  <w:rPr>
                    <w:rFonts w:ascii="Times New Roman" w:eastAsia="Times New Roman" w:hAnsi="Times New Roman"/>
                    <w:sz w:val="14"/>
                    <w:szCs w:val="14"/>
                    <w:lang w:val="es"/>
                  </w:rPr>
                  <w:t xml:space="preserve"> </w:t>
                </w:r>
              </w:p>
              <w:p w14:paraId="71D6B76E" w14:textId="5F3D0679" w:rsidR="63C758A7" w:rsidRDefault="63C758A7" w:rsidP="63C758A7">
                <w:pPr>
                  <w:spacing w:after="0"/>
                  <w:ind w:left="-20" w:right="-20"/>
                  <w:jc w:val="center"/>
                  <w:rPr>
                    <w:rFonts w:ascii="Times New Roman" w:eastAsia="Times New Roman" w:hAnsi="Times New Roman"/>
                    <w:sz w:val="14"/>
                    <w:szCs w:val="14"/>
                    <w:lang w:val="es"/>
                  </w:rPr>
                </w:pPr>
                <w:r w:rsidRPr="5F8D7CA2">
                  <w:rPr>
                    <w:rFonts w:ascii="Times New Roman" w:eastAsia="Times New Roman" w:hAnsi="Times New Roman"/>
                    <w:sz w:val="14"/>
                    <w:szCs w:val="14"/>
                    <w:lang w:val="es"/>
                  </w:rPr>
                  <w:t xml:space="preserve"> </w:t>
                </w:r>
              </w:p>
              <w:p w14:paraId="0964AD5D" w14:textId="73555432" w:rsidR="63C758A7" w:rsidRDefault="63C758A7" w:rsidP="63C758A7">
                <w:pPr>
                  <w:spacing w:after="0"/>
                  <w:ind w:left="-20" w:right="-20"/>
                  <w:jc w:val="center"/>
                  <w:rPr>
                    <w:rFonts w:ascii="Times New Roman" w:eastAsia="Times New Roman" w:hAnsi="Times New Roman"/>
                    <w:sz w:val="14"/>
                    <w:szCs w:val="14"/>
                    <w:lang w:val="es"/>
                  </w:rPr>
                </w:pPr>
                <w:r w:rsidRPr="5F8D7CA2">
                  <w:rPr>
                    <w:rFonts w:ascii="Times New Roman" w:eastAsia="Times New Roman" w:hAnsi="Times New Roman"/>
                    <w:sz w:val="14"/>
                    <w:szCs w:val="14"/>
                    <w:lang w:val="es"/>
                  </w:rPr>
                  <w:t xml:space="preserve"> </w:t>
                </w:r>
              </w:p>
              <w:p w14:paraId="4E886DF5" w14:textId="32058FD4" w:rsidR="63C758A7" w:rsidRDefault="63C758A7" w:rsidP="63C758A7">
                <w:pPr>
                  <w:spacing w:after="0"/>
                  <w:ind w:left="-20" w:right="-20"/>
                  <w:jc w:val="center"/>
                  <w:rPr>
                    <w:rFonts w:ascii="Times New Roman" w:eastAsia="Times New Roman" w:hAnsi="Times New Roman"/>
                    <w:sz w:val="14"/>
                    <w:szCs w:val="14"/>
                    <w:lang w:val="es"/>
                  </w:rPr>
                </w:pPr>
                <w:r w:rsidRPr="5F8D7CA2">
                  <w:rPr>
                    <w:rFonts w:ascii="Times New Roman" w:eastAsia="Times New Roman" w:hAnsi="Times New Roman"/>
                    <w:sz w:val="14"/>
                    <w:szCs w:val="14"/>
                    <w:lang w:val="es"/>
                  </w:rPr>
                  <w:t xml:space="preserve"> </w:t>
                </w:r>
              </w:p>
              <w:p w14:paraId="2579ADCC" w14:textId="3F8DBF4A" w:rsidR="63C758A7" w:rsidRDefault="63C758A7" w:rsidP="63C758A7">
                <w:pPr>
                  <w:spacing w:after="0"/>
                  <w:ind w:left="-20" w:right="-20"/>
                  <w:jc w:val="center"/>
                  <w:rPr>
                    <w:rFonts w:ascii="Times New Roman" w:eastAsia="Times New Roman" w:hAnsi="Times New Roman"/>
                    <w:sz w:val="14"/>
                    <w:szCs w:val="14"/>
                    <w:lang w:val="es"/>
                  </w:rPr>
                </w:pPr>
                <w:r w:rsidRPr="5F8D7CA2">
                  <w:rPr>
                    <w:rFonts w:ascii="Times New Roman" w:eastAsia="Times New Roman" w:hAnsi="Times New Roman"/>
                    <w:sz w:val="14"/>
                    <w:szCs w:val="14"/>
                    <w:lang w:val="es"/>
                  </w:rPr>
                  <w:t xml:space="preserve"> </w:t>
                </w:r>
              </w:p>
              <w:p w14:paraId="034B40EB" w14:textId="69DA54BE" w:rsidR="63C758A7" w:rsidRDefault="63C758A7" w:rsidP="63C758A7">
                <w:pPr>
                  <w:spacing w:after="0"/>
                  <w:ind w:left="-20" w:right="-20"/>
                  <w:jc w:val="center"/>
                  <w:rPr>
                    <w:rFonts w:ascii="Times New Roman" w:eastAsia="Times New Roman" w:hAnsi="Times New Roman"/>
                    <w:sz w:val="14"/>
                    <w:szCs w:val="14"/>
                    <w:lang w:val="es"/>
                  </w:rPr>
                </w:pPr>
                <w:r w:rsidRPr="5F8D7CA2">
                  <w:rPr>
                    <w:rFonts w:ascii="Times New Roman" w:eastAsia="Times New Roman" w:hAnsi="Times New Roman"/>
                    <w:sz w:val="14"/>
                    <w:szCs w:val="14"/>
                    <w:lang w:val="es"/>
                  </w:rPr>
                  <w:t>Otrosí N. 16</w:t>
                </w:r>
              </w:p>
              <w:p w14:paraId="3E267192" w14:textId="64413A66" w:rsidR="63C758A7" w:rsidRDefault="63C758A7" w:rsidP="63C758A7">
                <w:pPr>
                  <w:spacing w:after="0"/>
                  <w:ind w:left="-20" w:right="-20"/>
                  <w:jc w:val="center"/>
                  <w:rPr>
                    <w:rFonts w:ascii="Times New Roman" w:eastAsia="Times New Roman" w:hAnsi="Times New Roman"/>
                    <w:sz w:val="14"/>
                    <w:szCs w:val="14"/>
                    <w:lang w:val="es"/>
                  </w:rPr>
                </w:pPr>
                <w:r w:rsidRPr="5F8D7CA2">
                  <w:rPr>
                    <w:rFonts w:ascii="Times New Roman" w:eastAsia="Times New Roman" w:hAnsi="Times New Roman"/>
                    <w:sz w:val="14"/>
                    <w:szCs w:val="14"/>
                    <w:lang w:val="es"/>
                  </w:rPr>
                  <w:t xml:space="preserve"> </w:t>
                </w:r>
              </w:p>
              <w:p w14:paraId="1264463B" w14:textId="61840644" w:rsidR="63C758A7" w:rsidRDefault="63C758A7" w:rsidP="63C758A7">
                <w:pPr>
                  <w:spacing w:before="133"/>
                  <w:ind w:left="1017" w:right="156" w:hanging="118"/>
                  <w:rPr>
                    <w:rFonts w:ascii="Times New Roman" w:eastAsia="Times New Roman" w:hAnsi="Times New Roman"/>
                    <w:sz w:val="14"/>
                    <w:szCs w:val="14"/>
                    <w:lang w:val="es"/>
                  </w:rPr>
                </w:pPr>
                <w:r w:rsidRPr="5F8D7CA2">
                  <w:rPr>
                    <w:rFonts w:ascii="Times New Roman" w:eastAsia="Times New Roman" w:hAnsi="Times New Roman"/>
                    <w:sz w:val="14"/>
                    <w:szCs w:val="14"/>
                    <w:lang w:val="es"/>
                  </w:rPr>
                  <w:t xml:space="preserve">Fecha de Firma </w:t>
                </w:r>
              </w:p>
              <w:p w14:paraId="0B42C042" w14:textId="06B57997" w:rsidR="63C758A7" w:rsidRDefault="63C758A7" w:rsidP="63C758A7">
                <w:pPr>
                  <w:spacing w:after="0"/>
                  <w:ind w:left="-20" w:right="-20"/>
                  <w:rPr>
                    <w:rFonts w:ascii="Times New Roman" w:eastAsia="Times New Roman" w:hAnsi="Times New Roman"/>
                    <w:sz w:val="14"/>
                    <w:szCs w:val="14"/>
                    <w:lang w:val="es"/>
                  </w:rPr>
                </w:pPr>
                <w:r w:rsidRPr="5F8D7CA2">
                  <w:rPr>
                    <w:rFonts w:ascii="Times New Roman" w:eastAsia="Times New Roman" w:hAnsi="Times New Roman"/>
                    <w:sz w:val="14"/>
                    <w:szCs w:val="14"/>
                    <w:lang w:val="es"/>
                  </w:rPr>
                  <w:t xml:space="preserve"> </w:t>
                </w:r>
              </w:p>
              <w:p w14:paraId="49006C00" w14:textId="66B0EBBD" w:rsidR="63C758A7" w:rsidRDefault="63C758A7" w:rsidP="63C758A7">
                <w:pPr>
                  <w:spacing w:before="133"/>
                  <w:ind w:left="1017" w:right="156" w:hanging="118"/>
                  <w:rPr>
                    <w:rFonts w:ascii="Times New Roman" w:eastAsia="Times New Roman" w:hAnsi="Times New Roman"/>
                    <w:sz w:val="14"/>
                    <w:szCs w:val="14"/>
                    <w:lang w:val="es"/>
                  </w:rPr>
                </w:pPr>
                <w:r w:rsidRPr="5F8D7CA2">
                  <w:rPr>
                    <w:rFonts w:ascii="Times New Roman" w:eastAsia="Times New Roman" w:hAnsi="Times New Roman"/>
                    <w:sz w:val="14"/>
                    <w:szCs w:val="14"/>
                    <w:lang w:val="es"/>
                  </w:rPr>
                  <w:t>07-05-2021</w:t>
                </w:r>
              </w:p>
            </w:tc>
            <w:tc>
              <w:tcPr>
                <w:tcW w:w="25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FFCFB0C" w14:textId="1A6B85E5" w:rsidR="63C758A7" w:rsidRDefault="63C758A7" w:rsidP="63C758A7">
                <w:pPr>
                  <w:spacing w:before="134"/>
                  <w:ind w:left="-20" w:right="188"/>
                  <w:jc w:val="center"/>
                  <w:rPr>
                    <w:rFonts w:ascii="Times New Roman" w:eastAsia="Times New Roman" w:hAnsi="Times New Roman"/>
                    <w:sz w:val="14"/>
                    <w:szCs w:val="14"/>
                    <w:lang w:val="es"/>
                  </w:rPr>
                </w:pPr>
                <w:r w:rsidRPr="5F8D7CA2">
                  <w:rPr>
                    <w:rFonts w:ascii="Times New Roman" w:eastAsia="Times New Roman" w:hAnsi="Times New Roman"/>
                    <w:sz w:val="14"/>
                    <w:szCs w:val="14"/>
                    <w:lang w:val="es"/>
                  </w:rPr>
                  <w:t xml:space="preserve"> </w:t>
                </w:r>
              </w:p>
              <w:p w14:paraId="13915C81" w14:textId="3260D4BD" w:rsidR="63C758A7" w:rsidRDefault="63C758A7" w:rsidP="63C758A7">
                <w:pPr>
                  <w:spacing w:before="134"/>
                  <w:ind w:left="-20" w:right="188"/>
                  <w:jc w:val="center"/>
                  <w:rPr>
                    <w:rFonts w:ascii="Times New Roman" w:eastAsia="Times New Roman" w:hAnsi="Times New Roman"/>
                    <w:sz w:val="14"/>
                    <w:szCs w:val="14"/>
                    <w:lang w:val="es"/>
                  </w:rPr>
                </w:pPr>
                <w:r w:rsidRPr="5F8D7CA2">
                  <w:rPr>
                    <w:rFonts w:ascii="Times New Roman" w:eastAsia="Times New Roman" w:hAnsi="Times New Roman"/>
                    <w:sz w:val="14"/>
                    <w:szCs w:val="14"/>
                    <w:lang w:val="es"/>
                  </w:rPr>
                  <w:t xml:space="preserve"> </w:t>
                </w:r>
              </w:p>
              <w:p w14:paraId="4789DF77" w14:textId="59DB635C" w:rsidR="63C758A7" w:rsidRDefault="63C758A7" w:rsidP="63C758A7">
                <w:pPr>
                  <w:spacing w:before="134"/>
                  <w:ind w:left="-20" w:right="188"/>
                  <w:jc w:val="center"/>
                  <w:rPr>
                    <w:rFonts w:ascii="Times New Roman" w:eastAsia="Times New Roman" w:hAnsi="Times New Roman"/>
                    <w:sz w:val="14"/>
                    <w:szCs w:val="14"/>
                    <w:lang w:val="es"/>
                  </w:rPr>
                </w:pPr>
                <w:r w:rsidRPr="5F8D7CA2">
                  <w:rPr>
                    <w:rFonts w:ascii="Times New Roman" w:eastAsia="Times New Roman" w:hAnsi="Times New Roman"/>
                    <w:sz w:val="14"/>
                    <w:szCs w:val="14"/>
                    <w:lang w:val="es"/>
                  </w:rPr>
                  <w:t xml:space="preserve"> </w:t>
                </w:r>
              </w:p>
              <w:p w14:paraId="1E0685DF" w14:textId="4785074C" w:rsidR="63C758A7" w:rsidRDefault="63C758A7" w:rsidP="63C758A7">
                <w:pPr>
                  <w:spacing w:before="134"/>
                  <w:ind w:left="-20" w:right="188"/>
                  <w:jc w:val="center"/>
                  <w:rPr>
                    <w:rFonts w:ascii="Times New Roman" w:eastAsia="Times New Roman" w:hAnsi="Times New Roman"/>
                    <w:sz w:val="14"/>
                    <w:szCs w:val="14"/>
                    <w:lang w:val="es"/>
                  </w:rPr>
                </w:pPr>
                <w:r w:rsidRPr="5F8D7CA2">
                  <w:rPr>
                    <w:rFonts w:ascii="Times New Roman" w:eastAsia="Times New Roman" w:hAnsi="Times New Roman"/>
                    <w:sz w:val="14"/>
                    <w:szCs w:val="14"/>
                    <w:lang w:val="es"/>
                  </w:rPr>
                  <w:t xml:space="preserve"> </w:t>
                </w:r>
              </w:p>
              <w:p w14:paraId="6CCC81EC" w14:textId="48176570" w:rsidR="63C758A7" w:rsidRDefault="63C758A7" w:rsidP="63C758A7">
                <w:pPr>
                  <w:spacing w:before="134"/>
                  <w:ind w:left="-20" w:right="188"/>
                  <w:jc w:val="center"/>
                  <w:rPr>
                    <w:rFonts w:ascii="Times New Roman" w:eastAsia="Times New Roman" w:hAnsi="Times New Roman"/>
                    <w:sz w:val="14"/>
                    <w:szCs w:val="14"/>
                    <w:lang w:val="es"/>
                  </w:rPr>
                </w:pPr>
                <w:r w:rsidRPr="5F8D7CA2">
                  <w:rPr>
                    <w:rFonts w:ascii="Times New Roman" w:eastAsia="Times New Roman" w:hAnsi="Times New Roman"/>
                    <w:sz w:val="14"/>
                    <w:szCs w:val="14"/>
                    <w:lang w:val="es"/>
                  </w:rPr>
                  <w:t xml:space="preserve"> </w:t>
                </w:r>
              </w:p>
              <w:p w14:paraId="4FB3D023" w14:textId="45D49986" w:rsidR="63C758A7" w:rsidRDefault="63C758A7" w:rsidP="63C758A7">
                <w:pPr>
                  <w:spacing w:before="134"/>
                  <w:ind w:left="-20" w:right="188"/>
                  <w:jc w:val="center"/>
                  <w:rPr>
                    <w:rFonts w:ascii="Times New Roman" w:eastAsia="Times New Roman" w:hAnsi="Times New Roman"/>
                    <w:sz w:val="14"/>
                    <w:szCs w:val="14"/>
                    <w:lang w:val="es"/>
                  </w:rPr>
                </w:pPr>
                <w:r w:rsidRPr="5F8D7CA2">
                  <w:rPr>
                    <w:rFonts w:ascii="Times New Roman" w:eastAsia="Times New Roman" w:hAnsi="Times New Roman"/>
                    <w:sz w:val="14"/>
                    <w:szCs w:val="14"/>
                    <w:lang w:val="es"/>
                  </w:rPr>
                  <w:t>6.3.2 26-09-2022</w:t>
                </w:r>
              </w:p>
              <w:p w14:paraId="0489765C" w14:textId="67FF9099" w:rsidR="63C758A7" w:rsidRDefault="63C758A7" w:rsidP="63C758A7">
                <w:pPr>
                  <w:spacing w:before="134"/>
                  <w:ind w:left="825" w:right="188"/>
                  <w:jc w:val="center"/>
                  <w:rPr>
                    <w:rFonts w:ascii="Times New Roman" w:eastAsia="Times New Roman" w:hAnsi="Times New Roman"/>
                    <w:sz w:val="14"/>
                    <w:szCs w:val="14"/>
                    <w:lang w:val="es"/>
                  </w:rPr>
                </w:pPr>
                <w:r w:rsidRPr="5F8D7CA2">
                  <w:rPr>
                    <w:rFonts w:ascii="Times New Roman" w:eastAsia="Times New Roman" w:hAnsi="Times New Roman"/>
                    <w:sz w:val="14"/>
                    <w:szCs w:val="14"/>
                    <w:lang w:val="es"/>
                  </w:rPr>
                  <w:t xml:space="preserve"> </w:t>
                </w:r>
              </w:p>
              <w:p w14:paraId="43E982F1" w14:textId="7012EBCE" w:rsidR="63C758A7" w:rsidRDefault="63C758A7" w:rsidP="63C758A7">
                <w:pPr>
                  <w:spacing w:after="0"/>
                  <w:ind w:left="-20" w:right="328"/>
                  <w:jc w:val="center"/>
                  <w:rPr>
                    <w:rFonts w:ascii="Times New Roman" w:eastAsia="Times New Roman" w:hAnsi="Times New Roman"/>
                    <w:sz w:val="14"/>
                    <w:szCs w:val="14"/>
                    <w:lang w:val="es"/>
                  </w:rPr>
                </w:pPr>
                <w:r w:rsidRPr="5F8D7CA2">
                  <w:rPr>
                    <w:rFonts w:ascii="Times New Roman" w:eastAsia="Times New Roman" w:hAnsi="Times New Roman"/>
                    <w:sz w:val="14"/>
                    <w:szCs w:val="14"/>
                    <w:lang w:val="es"/>
                  </w:rPr>
                  <w:t xml:space="preserve">   6.3.3 15-06-2022</w:t>
                </w:r>
              </w:p>
              <w:p w14:paraId="50B03D4C" w14:textId="4F907035" w:rsidR="63C758A7" w:rsidRDefault="63C758A7" w:rsidP="63C758A7">
                <w:pPr>
                  <w:spacing w:after="0"/>
                  <w:ind w:left="-20" w:right="328"/>
                  <w:jc w:val="center"/>
                  <w:rPr>
                    <w:rFonts w:ascii="Times New Roman" w:eastAsia="Times New Roman" w:hAnsi="Times New Roman"/>
                    <w:sz w:val="14"/>
                    <w:szCs w:val="14"/>
                    <w:lang w:val="es"/>
                  </w:rPr>
                </w:pPr>
                <w:r w:rsidRPr="5F8D7CA2">
                  <w:rPr>
                    <w:rFonts w:ascii="Times New Roman" w:eastAsia="Times New Roman" w:hAnsi="Times New Roman"/>
                    <w:sz w:val="14"/>
                    <w:szCs w:val="14"/>
                    <w:lang w:val="es"/>
                  </w:rPr>
                  <w:t xml:space="preserve"> </w:t>
                </w:r>
              </w:p>
              <w:p w14:paraId="10FD91D0" w14:textId="0B72EAF5" w:rsidR="63C758A7" w:rsidRDefault="63C758A7" w:rsidP="63C758A7">
                <w:pPr>
                  <w:spacing w:after="0"/>
                  <w:ind w:left="-20" w:right="328"/>
                  <w:jc w:val="center"/>
                  <w:rPr>
                    <w:rFonts w:ascii="Times New Roman" w:eastAsia="Times New Roman" w:hAnsi="Times New Roman"/>
                    <w:sz w:val="14"/>
                    <w:szCs w:val="14"/>
                    <w:lang w:val="es"/>
                  </w:rPr>
                </w:pPr>
                <w:r w:rsidRPr="5F8D7CA2">
                  <w:rPr>
                    <w:rFonts w:ascii="Times New Roman" w:eastAsia="Times New Roman" w:hAnsi="Times New Roman"/>
                    <w:sz w:val="14"/>
                    <w:szCs w:val="14"/>
                    <w:lang w:val="es"/>
                  </w:rPr>
                  <w:t xml:space="preserve"> </w:t>
                </w:r>
              </w:p>
              <w:p w14:paraId="76C2089E" w14:textId="53B5621F" w:rsidR="63C758A7" w:rsidRDefault="63C758A7" w:rsidP="63C758A7">
                <w:pPr>
                  <w:spacing w:after="0"/>
                  <w:ind w:left="-20" w:right="328"/>
                  <w:jc w:val="center"/>
                  <w:rPr>
                    <w:rFonts w:ascii="Times New Roman" w:eastAsia="Times New Roman" w:hAnsi="Times New Roman"/>
                    <w:sz w:val="14"/>
                    <w:szCs w:val="14"/>
                    <w:lang w:val="es"/>
                  </w:rPr>
                </w:pPr>
                <w:r w:rsidRPr="5F8D7CA2">
                  <w:rPr>
                    <w:rFonts w:ascii="Times New Roman" w:eastAsia="Times New Roman" w:hAnsi="Times New Roman"/>
                    <w:sz w:val="14"/>
                    <w:szCs w:val="14"/>
                    <w:lang w:val="es"/>
                  </w:rPr>
                  <w:t xml:space="preserve"> </w:t>
                </w:r>
              </w:p>
              <w:p w14:paraId="0D1D9B45" w14:textId="212C2BCC" w:rsidR="63C758A7" w:rsidRDefault="63C758A7" w:rsidP="63C758A7">
                <w:pPr>
                  <w:spacing w:after="0"/>
                  <w:ind w:left="410" w:right="328" w:hanging="142"/>
                  <w:jc w:val="both"/>
                  <w:rPr>
                    <w:rFonts w:ascii="Times New Roman" w:eastAsia="Times New Roman" w:hAnsi="Times New Roman"/>
                    <w:sz w:val="14"/>
                    <w:szCs w:val="14"/>
                    <w:lang w:val="es"/>
                  </w:rPr>
                </w:pPr>
                <w:r w:rsidRPr="5F8D7CA2">
                  <w:rPr>
                    <w:rFonts w:ascii="Times New Roman" w:eastAsia="Times New Roman" w:hAnsi="Times New Roman"/>
                    <w:sz w:val="14"/>
                    <w:szCs w:val="14"/>
                    <w:lang w:val="es"/>
                  </w:rPr>
                  <w:t>Se realiza la sustitución de la tipología de los pasos peatonales del corredor con lo cual se hace una sustitución de la Inversión sin modificar el valor inicial del contrato</w:t>
                </w:r>
              </w:p>
            </w:tc>
            <w:tc>
              <w:tcPr>
                <w:tcW w:w="32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E60E1E5" w14:textId="3D0A8DD0" w:rsidR="63C758A7" w:rsidRDefault="63C758A7" w:rsidP="63C758A7">
                <w:pPr>
                  <w:spacing w:before="133"/>
                  <w:ind w:left="507" w:right="271"/>
                  <w:jc w:val="both"/>
                  <w:rPr>
                    <w:rFonts w:ascii="Times New Roman" w:eastAsia="Times New Roman" w:hAnsi="Times New Roman"/>
                    <w:sz w:val="14"/>
                    <w:szCs w:val="14"/>
                    <w:lang w:val="es"/>
                  </w:rPr>
                </w:pPr>
                <w:r w:rsidRPr="5F8D7CA2">
                  <w:rPr>
                    <w:rFonts w:ascii="Times New Roman" w:eastAsia="Times New Roman" w:hAnsi="Times New Roman"/>
                    <w:sz w:val="14"/>
                    <w:szCs w:val="14"/>
                    <w:lang w:val="es"/>
                  </w:rPr>
                  <w:t>Adicionar al alcance del proyecto las intervenciones de Rehabilitación y Operación y Mantenimiento del PR35+000 al PR41+440 correspondientes al subsector 3.2 de la Unidad Funcional 6 y Puesta a Punto del PR43+355 al PR49+300 correspondientes al subsector 3.3 de la Unidad Funcional 6, las cuales serán pagadas con el valor de las obras dejadas de ejecutar por los pasos peatonales desafectados, y los recursos disponibles de la Subcuenta Autónoma de Soporte.</w:t>
                </w:r>
              </w:p>
              <w:p w14:paraId="57266F3C" w14:textId="27F9F3C4" w:rsidR="63C758A7" w:rsidRDefault="63C758A7" w:rsidP="63C758A7">
                <w:pPr>
                  <w:spacing w:before="133"/>
                  <w:ind w:left="507" w:right="271"/>
                  <w:jc w:val="both"/>
                  <w:rPr>
                    <w:rFonts w:ascii="Times New Roman" w:eastAsia="Times New Roman" w:hAnsi="Times New Roman"/>
                    <w:sz w:val="14"/>
                    <w:szCs w:val="14"/>
                    <w:lang w:val="es"/>
                  </w:rPr>
                </w:pPr>
                <w:r w:rsidRPr="5F8D7CA2">
                  <w:rPr>
                    <w:rFonts w:ascii="Times New Roman" w:eastAsia="Times New Roman" w:hAnsi="Times New Roman"/>
                    <w:sz w:val="14"/>
                    <w:szCs w:val="14"/>
                    <w:lang w:val="es"/>
                  </w:rPr>
                  <w:t>Adicionar al alcance del proyecto las intervenciones de Rehabilitación y Operación y Mantenimiento del PR35+000 al PR41+440 correspondientes al subsector 3.2 de la Unidad Funcional 6 y Puesta a Punto del PR43+355 al PR49+300 correspondientes al subsector 3.3 de la Unidad Funcional 6, las cuales serán pagadas con el valor de las obras dejadas de ejecutar por los pasos peatonales desafectados, y los recursos disponibles de la Subcuenta Autónoma de Soporte. $10.413.658.145 de pesos constantes de marzo de 2021 correspondientes a la sustitución de la inversión en pasos peatonales.</w:t>
                </w:r>
              </w:p>
              <w:p w14:paraId="521D24F0" w14:textId="1C465BD6" w:rsidR="63C758A7" w:rsidRDefault="63C758A7" w:rsidP="63C758A7">
                <w:pPr>
                  <w:spacing w:before="133"/>
                  <w:ind w:left="507" w:right="271"/>
                  <w:jc w:val="both"/>
                  <w:rPr>
                    <w:rFonts w:ascii="Times New Roman" w:eastAsia="Times New Roman" w:hAnsi="Times New Roman"/>
                    <w:sz w:val="14"/>
                    <w:szCs w:val="14"/>
                    <w:lang w:val="es"/>
                  </w:rPr>
                </w:pPr>
                <w:r w:rsidRPr="5F8D7CA2">
                  <w:rPr>
                    <w:rFonts w:ascii="Times New Roman" w:eastAsia="Times New Roman" w:hAnsi="Times New Roman"/>
                    <w:sz w:val="14"/>
                    <w:szCs w:val="14"/>
                    <w:lang w:val="es"/>
                  </w:rPr>
                  <w:t>$4.026.296.855 de pesos constantes de marzo de 2021 saldo de la sustitución los cuales serán pagados al concesionario a recibo de las obras correspondientes.</w:t>
                </w:r>
              </w:p>
              <w:p w14:paraId="06FE0490" w14:textId="38443171" w:rsidR="63C758A7" w:rsidRDefault="63C758A7" w:rsidP="63C758A7">
                <w:pPr>
                  <w:spacing w:before="133"/>
                  <w:ind w:left="507" w:right="271"/>
                  <w:jc w:val="both"/>
                  <w:rPr>
                    <w:rFonts w:ascii="Times New Roman" w:eastAsia="Times New Roman" w:hAnsi="Times New Roman"/>
                    <w:sz w:val="14"/>
                    <w:szCs w:val="14"/>
                    <w:lang w:val="es"/>
                  </w:rPr>
                </w:pPr>
                <w:r w:rsidRPr="5F8D7CA2">
                  <w:rPr>
                    <w:rFonts w:ascii="Times New Roman" w:eastAsia="Times New Roman" w:hAnsi="Times New Roman"/>
                    <w:sz w:val="14"/>
                    <w:szCs w:val="14"/>
                    <w:lang w:val="es"/>
                  </w:rPr>
                  <w:t>$2.000.000.000 actividades de operación y mantenimiento del PR35+000 al k41+440 por el lapso de 10 años</w:t>
                </w:r>
              </w:p>
              <w:p w14:paraId="75D7F822" w14:textId="25574939" w:rsidR="63C758A7" w:rsidRDefault="63C758A7" w:rsidP="63C758A7">
                <w:pPr>
                  <w:spacing w:before="133"/>
                  <w:ind w:left="507" w:right="271"/>
                  <w:jc w:val="both"/>
                  <w:rPr>
                    <w:rFonts w:ascii="Times New Roman" w:eastAsia="Times New Roman" w:hAnsi="Times New Roman"/>
                    <w:sz w:val="14"/>
                    <w:szCs w:val="14"/>
                    <w:lang w:val="es"/>
                  </w:rPr>
                </w:pPr>
                <w:r w:rsidRPr="5F8D7CA2">
                  <w:rPr>
                    <w:rFonts w:ascii="Times New Roman" w:eastAsia="Times New Roman" w:hAnsi="Times New Roman"/>
                    <w:sz w:val="14"/>
                    <w:szCs w:val="14"/>
                    <w:lang w:val="es"/>
                  </w:rPr>
                  <w:t xml:space="preserve"> </w:t>
                </w:r>
              </w:p>
            </w:tc>
          </w:tr>
        </w:tbl>
        <w:p w14:paraId="59DBC8CC" w14:textId="630C3C90" w:rsidR="63C758A7" w:rsidRDefault="63C758A7" w:rsidP="63C758A7">
          <w:pPr>
            <w:spacing w:line="257" w:lineRule="auto"/>
            <w:ind w:left="-20" w:right="-20"/>
            <w:jc w:val="both"/>
            <w:rPr>
              <w:rFonts w:ascii="Times New Roman" w:eastAsia="Times New Roman" w:hAnsi="Times New Roman"/>
              <w:sz w:val="24"/>
              <w:szCs w:val="24"/>
              <w:lang w:val="es-MX"/>
            </w:rPr>
          </w:pPr>
        </w:p>
        <w:p w14:paraId="092D2DCD" w14:textId="4D89AC52" w:rsidR="63C758A7" w:rsidRDefault="63C758A7" w:rsidP="63C758A7">
          <w:pPr>
            <w:spacing w:after="0" w:line="240" w:lineRule="auto"/>
            <w:jc w:val="both"/>
            <w:rPr>
              <w:rFonts w:ascii="Times New Roman" w:hAnsi="Times New Roman"/>
              <w:sz w:val="24"/>
              <w:szCs w:val="24"/>
            </w:rPr>
          </w:pPr>
        </w:p>
        <w:p w14:paraId="4C1F1708" w14:textId="24BC356B" w:rsidR="63C758A7" w:rsidRDefault="63C758A7" w:rsidP="63C758A7">
          <w:pPr>
            <w:spacing w:after="0" w:line="240" w:lineRule="auto"/>
            <w:jc w:val="both"/>
            <w:rPr>
              <w:rFonts w:ascii="Times New Roman" w:hAnsi="Times New Roman"/>
              <w:sz w:val="24"/>
              <w:szCs w:val="24"/>
            </w:rPr>
          </w:pPr>
        </w:p>
        <w:p w14:paraId="6D3B68D8" w14:textId="6073F65F" w:rsidR="007F0A8D" w:rsidRPr="00931DCE" w:rsidRDefault="007F0A8D" w:rsidP="007F0A8D">
          <w:pPr>
            <w:pStyle w:val="Ttulo3"/>
            <w:spacing w:line="240" w:lineRule="auto"/>
            <w:rPr>
              <w:rFonts w:cs="Times New Roman"/>
              <w:color w:val="1F3864" w:themeColor="accent1" w:themeShade="80"/>
            </w:rPr>
          </w:pPr>
          <w:bookmarkStart w:id="135" w:name="_Toc159952450"/>
          <w:r w:rsidRPr="00931DCE">
            <w:rPr>
              <w:rFonts w:cs="Times New Roman"/>
              <w:color w:val="1F3864" w:themeColor="accent1" w:themeShade="80"/>
            </w:rPr>
            <w:t>32.1.</w:t>
          </w:r>
          <w:r>
            <w:rPr>
              <w:rFonts w:cs="Times New Roman"/>
              <w:color w:val="1F3864" w:themeColor="accent1" w:themeShade="80"/>
            </w:rPr>
            <w:t>2</w:t>
          </w:r>
          <w:r w:rsidRPr="00931DCE">
            <w:rPr>
              <w:rFonts w:cs="Times New Roman"/>
              <w:color w:val="1F3864" w:themeColor="accent1" w:themeShade="80"/>
            </w:rPr>
            <w:t xml:space="preserve"> Modo </w:t>
          </w:r>
          <w:r>
            <w:rPr>
              <w:rFonts w:cs="Times New Roman"/>
              <w:color w:val="1F3864" w:themeColor="accent1" w:themeShade="80"/>
            </w:rPr>
            <w:t>portuario</w:t>
          </w:r>
          <w:r w:rsidRPr="00931DCE">
            <w:rPr>
              <w:rFonts w:cs="Times New Roman"/>
              <w:color w:val="1F3864" w:themeColor="accent1" w:themeShade="80"/>
            </w:rPr>
            <w:t>:</w:t>
          </w:r>
          <w:bookmarkEnd w:id="135"/>
        </w:p>
        <w:p w14:paraId="1B322746" w14:textId="77777777" w:rsidR="007F0A8D" w:rsidRPr="00931DCE" w:rsidRDefault="007F0A8D" w:rsidP="007F0A8D">
          <w:pPr>
            <w:spacing w:after="0" w:line="240" w:lineRule="auto"/>
            <w:jc w:val="both"/>
            <w:rPr>
              <w:rFonts w:ascii="Times New Roman" w:hAnsi="Times New Roman"/>
              <w:color w:val="000000" w:themeColor="text1"/>
              <w:sz w:val="24"/>
              <w:szCs w:val="24"/>
            </w:rPr>
          </w:pPr>
        </w:p>
        <w:p w14:paraId="6E196532" w14:textId="77777777" w:rsidR="007F0A8D" w:rsidRPr="00931DCE" w:rsidRDefault="007F0A8D" w:rsidP="007F0A8D">
          <w:pPr>
            <w:pStyle w:val="Ttulo2"/>
            <w:numPr>
              <w:ilvl w:val="0"/>
              <w:numId w:val="0"/>
            </w:numPr>
            <w:rPr>
              <w:rFonts w:cs="Times New Roman"/>
            </w:rPr>
          </w:pPr>
          <w:bookmarkStart w:id="136" w:name="_Toc159952451"/>
          <w:r w:rsidRPr="00931DCE">
            <w:rPr>
              <w:rFonts w:cs="Times New Roman"/>
            </w:rPr>
            <w:t>Composición</w:t>
          </w:r>
          <w:bookmarkEnd w:id="136"/>
        </w:p>
        <w:p w14:paraId="04CB48A0" w14:textId="33A8BF56" w:rsidR="007F0A8D" w:rsidRPr="00931DCE" w:rsidRDefault="007F0A8D" w:rsidP="007F0A8D">
          <w:pPr>
            <w:spacing w:after="0" w:line="240" w:lineRule="auto"/>
            <w:jc w:val="both"/>
            <w:rPr>
              <w:rFonts w:ascii="Times New Roman" w:hAnsi="Times New Roman"/>
              <w:color w:val="000000" w:themeColor="text1"/>
              <w:sz w:val="24"/>
              <w:szCs w:val="24"/>
            </w:rPr>
          </w:pPr>
        </w:p>
        <w:p w14:paraId="7B7E4F84" w14:textId="77777777" w:rsidR="007F0A8D" w:rsidRDefault="007F0A8D" w:rsidP="00EF2A7D">
          <w:pPr>
            <w:spacing w:after="0" w:line="240" w:lineRule="auto"/>
            <w:jc w:val="both"/>
            <w:rPr>
              <w:rFonts w:ascii="Times New Roman" w:hAnsi="Times New Roman"/>
              <w:sz w:val="24"/>
              <w:szCs w:val="24"/>
            </w:rPr>
          </w:pPr>
        </w:p>
        <w:tbl>
          <w:tblPr>
            <w:tblW w:w="8300" w:type="dxa"/>
            <w:tblBorders>
              <w:top w:val="single" w:sz="8" w:space="0" w:color="808080"/>
              <w:left w:val="single" w:sz="8" w:space="0" w:color="808080"/>
              <w:bottom w:val="single" w:sz="8" w:space="0" w:color="808080"/>
              <w:right w:val="single" w:sz="8" w:space="0" w:color="808080"/>
              <w:insideH w:val="single" w:sz="6" w:space="0" w:color="808080"/>
              <w:insideV w:val="single" w:sz="6" w:space="0" w:color="808080"/>
            </w:tblBorders>
            <w:tblCellMar>
              <w:left w:w="70" w:type="dxa"/>
              <w:right w:w="70" w:type="dxa"/>
            </w:tblCellMar>
            <w:tblLook w:val="04A0" w:firstRow="1" w:lastRow="0" w:firstColumn="1" w:lastColumn="0" w:noHBand="0" w:noVBand="1"/>
          </w:tblPr>
          <w:tblGrid>
            <w:gridCol w:w="4060"/>
            <w:gridCol w:w="1460"/>
            <w:gridCol w:w="1460"/>
            <w:gridCol w:w="1320"/>
          </w:tblGrid>
          <w:tr w:rsidR="00AD6666" w:rsidRPr="00AD6666" w14:paraId="618FF4C6" w14:textId="77777777" w:rsidTr="006618E5">
            <w:trPr>
              <w:trHeight w:val="315"/>
              <w:tblHeader/>
            </w:trPr>
            <w:tc>
              <w:tcPr>
                <w:tcW w:w="4060" w:type="dxa"/>
                <w:shd w:val="clear" w:color="auto" w:fill="auto"/>
                <w:vAlign w:val="center"/>
                <w:hideMark/>
              </w:tcPr>
              <w:p w14:paraId="2C4D177B" w14:textId="77777777" w:rsidR="00AD6666" w:rsidRPr="00AD6666" w:rsidRDefault="00AD6666" w:rsidP="00AD6666">
                <w:pPr>
                  <w:spacing w:after="0" w:line="240" w:lineRule="auto"/>
                  <w:jc w:val="center"/>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Proyecto/Tipo de Activo</w:t>
                </w:r>
              </w:p>
            </w:tc>
            <w:tc>
              <w:tcPr>
                <w:tcW w:w="1460" w:type="dxa"/>
                <w:shd w:val="clear" w:color="auto" w:fill="auto"/>
                <w:noWrap/>
                <w:vAlign w:val="center"/>
                <w:hideMark/>
              </w:tcPr>
              <w:p w14:paraId="248AA061" w14:textId="77777777" w:rsidR="00AD6666" w:rsidRPr="00AD6666" w:rsidRDefault="00AD6666" w:rsidP="00AD6666">
                <w:pPr>
                  <w:spacing w:after="0" w:line="240" w:lineRule="auto"/>
                  <w:jc w:val="center"/>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2023</w:t>
                </w:r>
              </w:p>
            </w:tc>
            <w:tc>
              <w:tcPr>
                <w:tcW w:w="1460" w:type="dxa"/>
                <w:shd w:val="clear" w:color="auto" w:fill="auto"/>
                <w:noWrap/>
                <w:vAlign w:val="center"/>
                <w:hideMark/>
              </w:tcPr>
              <w:p w14:paraId="753762C8" w14:textId="77777777" w:rsidR="00AD6666" w:rsidRPr="00AD6666" w:rsidRDefault="00AD6666" w:rsidP="00AD6666">
                <w:pPr>
                  <w:spacing w:after="0" w:line="240" w:lineRule="auto"/>
                  <w:jc w:val="center"/>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2022</w:t>
                </w:r>
              </w:p>
            </w:tc>
            <w:tc>
              <w:tcPr>
                <w:tcW w:w="1320" w:type="dxa"/>
                <w:shd w:val="clear" w:color="auto" w:fill="auto"/>
                <w:noWrap/>
                <w:vAlign w:val="center"/>
                <w:hideMark/>
              </w:tcPr>
              <w:p w14:paraId="68D57FAD" w14:textId="77777777" w:rsidR="00AD6666" w:rsidRPr="00AD6666" w:rsidRDefault="00AD6666" w:rsidP="00AD6666">
                <w:pPr>
                  <w:spacing w:after="0" w:line="240" w:lineRule="auto"/>
                  <w:jc w:val="center"/>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Variación</w:t>
                </w:r>
              </w:p>
            </w:tc>
          </w:tr>
          <w:tr w:rsidR="00AD6666" w:rsidRPr="00AD6666" w14:paraId="3FF33B2C" w14:textId="77777777" w:rsidTr="00510CE9">
            <w:trPr>
              <w:trHeight w:val="435"/>
            </w:trPr>
            <w:tc>
              <w:tcPr>
                <w:tcW w:w="4060" w:type="dxa"/>
                <w:shd w:val="clear" w:color="auto" w:fill="auto"/>
                <w:vAlign w:val="center"/>
                <w:hideMark/>
              </w:tcPr>
              <w:p w14:paraId="6AAE4378" w14:textId="77777777"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AGENCIA LOGISTICA DE LAS FUERZAS MILITARES</w:t>
                </w:r>
              </w:p>
            </w:tc>
            <w:tc>
              <w:tcPr>
                <w:tcW w:w="1460" w:type="dxa"/>
                <w:shd w:val="clear" w:color="auto" w:fill="auto"/>
                <w:noWrap/>
                <w:vAlign w:val="center"/>
                <w:hideMark/>
              </w:tcPr>
              <w:p w14:paraId="3A5F2FE1"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563.644.101</w:t>
                </w:r>
              </w:p>
            </w:tc>
            <w:tc>
              <w:tcPr>
                <w:tcW w:w="1460" w:type="dxa"/>
                <w:shd w:val="clear" w:color="auto" w:fill="auto"/>
                <w:noWrap/>
                <w:vAlign w:val="center"/>
                <w:hideMark/>
              </w:tcPr>
              <w:p w14:paraId="70BCAA0B"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563.644.101</w:t>
                </w:r>
              </w:p>
            </w:tc>
            <w:tc>
              <w:tcPr>
                <w:tcW w:w="1320" w:type="dxa"/>
                <w:shd w:val="clear" w:color="auto" w:fill="auto"/>
                <w:noWrap/>
                <w:vAlign w:val="center"/>
                <w:hideMark/>
              </w:tcPr>
              <w:p w14:paraId="10D46A00"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0</w:t>
                </w:r>
              </w:p>
            </w:tc>
          </w:tr>
          <w:tr w:rsidR="00AD6666" w:rsidRPr="00AD6666" w14:paraId="6C5855BA" w14:textId="77777777" w:rsidTr="00510CE9">
            <w:trPr>
              <w:trHeight w:val="315"/>
            </w:trPr>
            <w:tc>
              <w:tcPr>
                <w:tcW w:w="4060" w:type="dxa"/>
                <w:shd w:val="clear" w:color="auto" w:fill="auto"/>
                <w:vAlign w:val="center"/>
                <w:hideMark/>
              </w:tcPr>
              <w:p w14:paraId="7131D129"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Propiedades, planta y equipo en concesión</w:t>
                </w:r>
              </w:p>
            </w:tc>
            <w:tc>
              <w:tcPr>
                <w:tcW w:w="1460" w:type="dxa"/>
                <w:shd w:val="clear" w:color="auto" w:fill="auto"/>
                <w:noWrap/>
                <w:vAlign w:val="center"/>
                <w:hideMark/>
              </w:tcPr>
              <w:p w14:paraId="1F320B5B"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176.167.621</w:t>
                </w:r>
              </w:p>
            </w:tc>
            <w:tc>
              <w:tcPr>
                <w:tcW w:w="1460" w:type="dxa"/>
                <w:shd w:val="clear" w:color="auto" w:fill="auto"/>
                <w:noWrap/>
                <w:vAlign w:val="center"/>
                <w:hideMark/>
              </w:tcPr>
              <w:p w14:paraId="5DEA6677"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176.167.621</w:t>
                </w:r>
              </w:p>
            </w:tc>
            <w:tc>
              <w:tcPr>
                <w:tcW w:w="1320" w:type="dxa"/>
                <w:shd w:val="clear" w:color="auto" w:fill="auto"/>
                <w:noWrap/>
                <w:vAlign w:val="center"/>
                <w:hideMark/>
              </w:tcPr>
              <w:p w14:paraId="0469DD38"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5E7DC1AB" w14:textId="77777777" w:rsidTr="00510CE9">
            <w:trPr>
              <w:trHeight w:val="315"/>
            </w:trPr>
            <w:tc>
              <w:tcPr>
                <w:tcW w:w="4060" w:type="dxa"/>
                <w:shd w:val="clear" w:color="auto" w:fill="auto"/>
                <w:vAlign w:val="center"/>
                <w:hideMark/>
              </w:tcPr>
              <w:p w14:paraId="13DDBD1B"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servicio</w:t>
                </w:r>
              </w:p>
            </w:tc>
            <w:tc>
              <w:tcPr>
                <w:tcW w:w="1460" w:type="dxa"/>
                <w:shd w:val="clear" w:color="auto" w:fill="auto"/>
                <w:noWrap/>
                <w:vAlign w:val="center"/>
                <w:hideMark/>
              </w:tcPr>
              <w:p w14:paraId="3CAC6417"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387.476.480</w:t>
                </w:r>
              </w:p>
            </w:tc>
            <w:tc>
              <w:tcPr>
                <w:tcW w:w="1460" w:type="dxa"/>
                <w:shd w:val="clear" w:color="auto" w:fill="auto"/>
                <w:noWrap/>
                <w:vAlign w:val="center"/>
                <w:hideMark/>
              </w:tcPr>
              <w:p w14:paraId="3C88916F"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387.476.480</w:t>
                </w:r>
              </w:p>
            </w:tc>
            <w:tc>
              <w:tcPr>
                <w:tcW w:w="1320" w:type="dxa"/>
                <w:shd w:val="clear" w:color="auto" w:fill="auto"/>
                <w:noWrap/>
                <w:vAlign w:val="center"/>
                <w:hideMark/>
              </w:tcPr>
              <w:p w14:paraId="5E402950"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5284ADA8" w14:textId="77777777" w:rsidTr="00510CE9">
            <w:trPr>
              <w:trHeight w:val="315"/>
            </w:trPr>
            <w:tc>
              <w:tcPr>
                <w:tcW w:w="4060" w:type="dxa"/>
                <w:shd w:val="clear" w:color="auto" w:fill="auto"/>
                <w:vAlign w:val="center"/>
                <w:hideMark/>
              </w:tcPr>
              <w:p w14:paraId="197BB4A2" w14:textId="77777777"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ALGRANEL S.A.</w:t>
                </w:r>
              </w:p>
            </w:tc>
            <w:tc>
              <w:tcPr>
                <w:tcW w:w="1460" w:type="dxa"/>
                <w:shd w:val="clear" w:color="auto" w:fill="auto"/>
                <w:noWrap/>
                <w:vAlign w:val="center"/>
                <w:hideMark/>
              </w:tcPr>
              <w:p w14:paraId="39CD79D4"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34.888.271.166</w:t>
                </w:r>
              </w:p>
            </w:tc>
            <w:tc>
              <w:tcPr>
                <w:tcW w:w="1460" w:type="dxa"/>
                <w:shd w:val="clear" w:color="auto" w:fill="auto"/>
                <w:noWrap/>
                <w:vAlign w:val="center"/>
                <w:hideMark/>
              </w:tcPr>
              <w:p w14:paraId="1AC77EBA"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29.630.360.608</w:t>
                </w:r>
              </w:p>
            </w:tc>
            <w:tc>
              <w:tcPr>
                <w:tcW w:w="1320" w:type="dxa"/>
                <w:shd w:val="clear" w:color="auto" w:fill="auto"/>
                <w:noWrap/>
                <w:vAlign w:val="center"/>
                <w:hideMark/>
              </w:tcPr>
              <w:p w14:paraId="72556EB3"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5.257.910.558</w:t>
                </w:r>
              </w:p>
            </w:tc>
          </w:tr>
          <w:tr w:rsidR="00AD6666" w:rsidRPr="00AD6666" w14:paraId="7ACF1E4B" w14:textId="77777777" w:rsidTr="00510CE9">
            <w:trPr>
              <w:trHeight w:val="315"/>
            </w:trPr>
            <w:tc>
              <w:tcPr>
                <w:tcW w:w="4060" w:type="dxa"/>
                <w:shd w:val="clear" w:color="auto" w:fill="auto"/>
                <w:vAlign w:val="center"/>
                <w:hideMark/>
              </w:tcPr>
              <w:p w14:paraId="4706DDC6"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Propiedades, planta y equipo en concesión</w:t>
                </w:r>
              </w:p>
            </w:tc>
            <w:tc>
              <w:tcPr>
                <w:tcW w:w="1460" w:type="dxa"/>
                <w:shd w:val="clear" w:color="auto" w:fill="auto"/>
                <w:noWrap/>
                <w:vAlign w:val="center"/>
                <w:hideMark/>
              </w:tcPr>
              <w:p w14:paraId="6D76C34D"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101.266.693</w:t>
                </w:r>
              </w:p>
            </w:tc>
            <w:tc>
              <w:tcPr>
                <w:tcW w:w="1460" w:type="dxa"/>
                <w:shd w:val="clear" w:color="auto" w:fill="auto"/>
                <w:noWrap/>
                <w:vAlign w:val="center"/>
                <w:hideMark/>
              </w:tcPr>
              <w:p w14:paraId="002F6108"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c>
              <w:tcPr>
                <w:tcW w:w="1320" w:type="dxa"/>
                <w:shd w:val="clear" w:color="auto" w:fill="auto"/>
                <w:noWrap/>
                <w:vAlign w:val="center"/>
                <w:hideMark/>
              </w:tcPr>
              <w:p w14:paraId="34AA0D5B"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101.266.693</w:t>
                </w:r>
              </w:p>
            </w:tc>
          </w:tr>
          <w:tr w:rsidR="00AD6666" w:rsidRPr="00AD6666" w14:paraId="1779B080" w14:textId="77777777" w:rsidTr="00510CE9">
            <w:trPr>
              <w:trHeight w:val="315"/>
            </w:trPr>
            <w:tc>
              <w:tcPr>
                <w:tcW w:w="4060" w:type="dxa"/>
                <w:shd w:val="clear" w:color="auto" w:fill="auto"/>
                <w:vAlign w:val="center"/>
                <w:hideMark/>
              </w:tcPr>
              <w:p w14:paraId="76CA2159"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construcción</w:t>
                </w:r>
              </w:p>
            </w:tc>
            <w:tc>
              <w:tcPr>
                <w:tcW w:w="1460" w:type="dxa"/>
                <w:shd w:val="clear" w:color="auto" w:fill="auto"/>
                <w:noWrap/>
                <w:vAlign w:val="center"/>
                <w:hideMark/>
              </w:tcPr>
              <w:p w14:paraId="436E4825"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5.836.672.711</w:t>
                </w:r>
              </w:p>
            </w:tc>
            <w:tc>
              <w:tcPr>
                <w:tcW w:w="1460" w:type="dxa"/>
                <w:shd w:val="clear" w:color="auto" w:fill="auto"/>
                <w:noWrap/>
                <w:vAlign w:val="center"/>
                <w:hideMark/>
              </w:tcPr>
              <w:p w14:paraId="78D2942C"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14.663.292.196</w:t>
                </w:r>
              </w:p>
            </w:tc>
            <w:tc>
              <w:tcPr>
                <w:tcW w:w="1320" w:type="dxa"/>
                <w:shd w:val="clear" w:color="auto" w:fill="auto"/>
                <w:noWrap/>
                <w:vAlign w:val="center"/>
                <w:hideMark/>
              </w:tcPr>
              <w:p w14:paraId="418B48EE"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-8.826.619.485</w:t>
                </w:r>
              </w:p>
            </w:tc>
          </w:tr>
          <w:tr w:rsidR="00AD6666" w:rsidRPr="00AD6666" w14:paraId="733DA70C" w14:textId="77777777" w:rsidTr="00510CE9">
            <w:trPr>
              <w:trHeight w:val="315"/>
            </w:trPr>
            <w:tc>
              <w:tcPr>
                <w:tcW w:w="4060" w:type="dxa"/>
                <w:shd w:val="clear" w:color="auto" w:fill="auto"/>
                <w:vAlign w:val="center"/>
                <w:hideMark/>
              </w:tcPr>
              <w:p w14:paraId="3274D067"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lastRenderedPageBreak/>
                  <w:t>Red marítima en servicio</w:t>
                </w:r>
              </w:p>
            </w:tc>
            <w:tc>
              <w:tcPr>
                <w:tcW w:w="1460" w:type="dxa"/>
                <w:shd w:val="clear" w:color="auto" w:fill="auto"/>
                <w:noWrap/>
                <w:vAlign w:val="center"/>
                <w:hideMark/>
              </w:tcPr>
              <w:p w14:paraId="466BD835"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28.950.331.762</w:t>
                </w:r>
              </w:p>
            </w:tc>
            <w:tc>
              <w:tcPr>
                <w:tcW w:w="1460" w:type="dxa"/>
                <w:shd w:val="clear" w:color="auto" w:fill="auto"/>
                <w:noWrap/>
                <w:vAlign w:val="center"/>
                <w:hideMark/>
              </w:tcPr>
              <w:p w14:paraId="32524C76"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14.967.068.412</w:t>
                </w:r>
              </w:p>
            </w:tc>
            <w:tc>
              <w:tcPr>
                <w:tcW w:w="1320" w:type="dxa"/>
                <w:shd w:val="clear" w:color="auto" w:fill="auto"/>
                <w:noWrap/>
                <w:vAlign w:val="center"/>
                <w:hideMark/>
              </w:tcPr>
              <w:p w14:paraId="1A4C113A"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13.983.263.350</w:t>
                </w:r>
              </w:p>
            </w:tc>
          </w:tr>
          <w:tr w:rsidR="00AD6666" w:rsidRPr="00AD6666" w14:paraId="6B57D5F7" w14:textId="77777777" w:rsidTr="00510CE9">
            <w:trPr>
              <w:trHeight w:val="315"/>
            </w:trPr>
            <w:tc>
              <w:tcPr>
                <w:tcW w:w="4060" w:type="dxa"/>
                <w:shd w:val="clear" w:color="auto" w:fill="auto"/>
                <w:vAlign w:val="center"/>
                <w:hideMark/>
              </w:tcPr>
              <w:p w14:paraId="1F3E746B" w14:textId="77777777"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AMERICAN PORT COMPANY INC</w:t>
                </w:r>
              </w:p>
            </w:tc>
            <w:tc>
              <w:tcPr>
                <w:tcW w:w="1460" w:type="dxa"/>
                <w:shd w:val="clear" w:color="auto" w:fill="auto"/>
                <w:noWrap/>
                <w:vAlign w:val="center"/>
                <w:hideMark/>
              </w:tcPr>
              <w:p w14:paraId="3A04E67E"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616.617.184.972</w:t>
                </w:r>
              </w:p>
            </w:tc>
            <w:tc>
              <w:tcPr>
                <w:tcW w:w="1460" w:type="dxa"/>
                <w:shd w:val="clear" w:color="auto" w:fill="auto"/>
                <w:noWrap/>
                <w:vAlign w:val="center"/>
                <w:hideMark/>
              </w:tcPr>
              <w:p w14:paraId="690B3D66"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616.617.184.972</w:t>
                </w:r>
              </w:p>
            </w:tc>
            <w:tc>
              <w:tcPr>
                <w:tcW w:w="1320" w:type="dxa"/>
                <w:shd w:val="clear" w:color="auto" w:fill="auto"/>
                <w:noWrap/>
                <w:vAlign w:val="center"/>
                <w:hideMark/>
              </w:tcPr>
              <w:p w14:paraId="6F3F52C9"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0</w:t>
                </w:r>
              </w:p>
            </w:tc>
          </w:tr>
          <w:tr w:rsidR="00AD6666" w:rsidRPr="00AD6666" w14:paraId="2CAD4E81" w14:textId="77777777" w:rsidTr="00510CE9">
            <w:trPr>
              <w:trHeight w:val="315"/>
            </w:trPr>
            <w:tc>
              <w:tcPr>
                <w:tcW w:w="4060" w:type="dxa"/>
                <w:shd w:val="clear" w:color="auto" w:fill="auto"/>
                <w:vAlign w:val="center"/>
                <w:hideMark/>
              </w:tcPr>
              <w:p w14:paraId="23B842C4"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Propiedades, planta y equipo en concesión</w:t>
                </w:r>
              </w:p>
            </w:tc>
            <w:tc>
              <w:tcPr>
                <w:tcW w:w="1460" w:type="dxa"/>
                <w:shd w:val="clear" w:color="auto" w:fill="auto"/>
                <w:noWrap/>
                <w:vAlign w:val="center"/>
                <w:hideMark/>
              </w:tcPr>
              <w:p w14:paraId="6EE6318B"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117.750.293.235</w:t>
                </w:r>
              </w:p>
            </w:tc>
            <w:tc>
              <w:tcPr>
                <w:tcW w:w="1460" w:type="dxa"/>
                <w:shd w:val="clear" w:color="auto" w:fill="auto"/>
                <w:noWrap/>
                <w:vAlign w:val="center"/>
                <w:hideMark/>
              </w:tcPr>
              <w:p w14:paraId="10078142"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117.750.293.235</w:t>
                </w:r>
              </w:p>
            </w:tc>
            <w:tc>
              <w:tcPr>
                <w:tcW w:w="1320" w:type="dxa"/>
                <w:shd w:val="clear" w:color="auto" w:fill="auto"/>
                <w:noWrap/>
                <w:vAlign w:val="center"/>
                <w:hideMark/>
              </w:tcPr>
              <w:p w14:paraId="0AF679DA"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0A9F9292" w14:textId="77777777" w:rsidTr="00510CE9">
            <w:trPr>
              <w:trHeight w:val="315"/>
            </w:trPr>
            <w:tc>
              <w:tcPr>
                <w:tcW w:w="4060" w:type="dxa"/>
                <w:shd w:val="clear" w:color="auto" w:fill="auto"/>
                <w:vAlign w:val="center"/>
                <w:hideMark/>
              </w:tcPr>
              <w:p w14:paraId="0FA96815"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servicio</w:t>
                </w:r>
              </w:p>
            </w:tc>
            <w:tc>
              <w:tcPr>
                <w:tcW w:w="1460" w:type="dxa"/>
                <w:shd w:val="clear" w:color="auto" w:fill="auto"/>
                <w:noWrap/>
                <w:vAlign w:val="center"/>
                <w:hideMark/>
              </w:tcPr>
              <w:p w14:paraId="710AB076"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498.866.891.737</w:t>
                </w:r>
              </w:p>
            </w:tc>
            <w:tc>
              <w:tcPr>
                <w:tcW w:w="1460" w:type="dxa"/>
                <w:shd w:val="clear" w:color="auto" w:fill="auto"/>
                <w:noWrap/>
                <w:vAlign w:val="center"/>
                <w:hideMark/>
              </w:tcPr>
              <w:p w14:paraId="42209FF8"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498.866.891.737</w:t>
                </w:r>
              </w:p>
            </w:tc>
            <w:tc>
              <w:tcPr>
                <w:tcW w:w="1320" w:type="dxa"/>
                <w:shd w:val="clear" w:color="auto" w:fill="auto"/>
                <w:noWrap/>
                <w:vAlign w:val="center"/>
                <w:hideMark/>
              </w:tcPr>
              <w:p w14:paraId="78A5C5BB"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4FC651DB" w14:textId="77777777" w:rsidTr="00510CE9">
            <w:trPr>
              <w:trHeight w:val="315"/>
            </w:trPr>
            <w:tc>
              <w:tcPr>
                <w:tcW w:w="4060" w:type="dxa"/>
                <w:shd w:val="clear" w:color="auto" w:fill="auto"/>
                <w:vAlign w:val="center"/>
                <w:hideMark/>
              </w:tcPr>
              <w:p w14:paraId="26C6936D" w14:textId="77777777"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ATUNAMAR LTDA</w:t>
                </w:r>
              </w:p>
            </w:tc>
            <w:tc>
              <w:tcPr>
                <w:tcW w:w="1460" w:type="dxa"/>
                <w:shd w:val="clear" w:color="auto" w:fill="auto"/>
                <w:noWrap/>
                <w:vAlign w:val="center"/>
                <w:hideMark/>
              </w:tcPr>
              <w:p w14:paraId="2B1292C4"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506.277.454</w:t>
                </w:r>
              </w:p>
            </w:tc>
            <w:tc>
              <w:tcPr>
                <w:tcW w:w="1460" w:type="dxa"/>
                <w:shd w:val="clear" w:color="auto" w:fill="auto"/>
                <w:noWrap/>
                <w:vAlign w:val="center"/>
                <w:hideMark/>
              </w:tcPr>
              <w:p w14:paraId="02953EB3"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273.159.816</w:t>
                </w:r>
              </w:p>
            </w:tc>
            <w:tc>
              <w:tcPr>
                <w:tcW w:w="1320" w:type="dxa"/>
                <w:shd w:val="clear" w:color="auto" w:fill="auto"/>
                <w:noWrap/>
                <w:vAlign w:val="center"/>
                <w:hideMark/>
              </w:tcPr>
              <w:p w14:paraId="3293162C"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233.117.638</w:t>
                </w:r>
              </w:p>
            </w:tc>
          </w:tr>
          <w:tr w:rsidR="00AD6666" w:rsidRPr="00AD6666" w14:paraId="59B42B0C" w14:textId="77777777" w:rsidTr="00510CE9">
            <w:trPr>
              <w:trHeight w:val="315"/>
            </w:trPr>
            <w:tc>
              <w:tcPr>
                <w:tcW w:w="4060" w:type="dxa"/>
                <w:shd w:val="clear" w:color="auto" w:fill="auto"/>
                <w:vAlign w:val="center"/>
                <w:hideMark/>
              </w:tcPr>
              <w:p w14:paraId="063F0E10"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Propiedades, planta y equipo en concesión</w:t>
                </w:r>
              </w:p>
            </w:tc>
            <w:tc>
              <w:tcPr>
                <w:tcW w:w="1460" w:type="dxa"/>
                <w:shd w:val="clear" w:color="auto" w:fill="auto"/>
                <w:noWrap/>
                <w:vAlign w:val="center"/>
                <w:hideMark/>
              </w:tcPr>
              <w:p w14:paraId="3C0B2493"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24.484.800</w:t>
                </w:r>
              </w:p>
            </w:tc>
            <w:tc>
              <w:tcPr>
                <w:tcW w:w="1460" w:type="dxa"/>
                <w:shd w:val="clear" w:color="auto" w:fill="auto"/>
                <w:noWrap/>
                <w:vAlign w:val="center"/>
                <w:hideMark/>
              </w:tcPr>
              <w:p w14:paraId="1286EE0D"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24.484.800</w:t>
                </w:r>
              </w:p>
            </w:tc>
            <w:tc>
              <w:tcPr>
                <w:tcW w:w="1320" w:type="dxa"/>
                <w:shd w:val="clear" w:color="auto" w:fill="auto"/>
                <w:noWrap/>
                <w:vAlign w:val="center"/>
                <w:hideMark/>
              </w:tcPr>
              <w:p w14:paraId="5D67299C"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5A15FEC3" w14:textId="77777777" w:rsidTr="00510CE9">
            <w:trPr>
              <w:trHeight w:val="315"/>
            </w:trPr>
            <w:tc>
              <w:tcPr>
                <w:tcW w:w="4060" w:type="dxa"/>
                <w:shd w:val="clear" w:color="auto" w:fill="auto"/>
                <w:vAlign w:val="center"/>
                <w:hideMark/>
              </w:tcPr>
              <w:p w14:paraId="6FE46258"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servicio</w:t>
                </w:r>
              </w:p>
            </w:tc>
            <w:tc>
              <w:tcPr>
                <w:tcW w:w="1460" w:type="dxa"/>
                <w:shd w:val="clear" w:color="auto" w:fill="auto"/>
                <w:noWrap/>
                <w:vAlign w:val="center"/>
                <w:hideMark/>
              </w:tcPr>
              <w:p w14:paraId="279DB4E5"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481.792.654</w:t>
                </w:r>
              </w:p>
            </w:tc>
            <w:tc>
              <w:tcPr>
                <w:tcW w:w="1460" w:type="dxa"/>
                <w:shd w:val="clear" w:color="auto" w:fill="auto"/>
                <w:noWrap/>
                <w:vAlign w:val="center"/>
                <w:hideMark/>
              </w:tcPr>
              <w:p w14:paraId="68317075"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248.675.016</w:t>
                </w:r>
              </w:p>
            </w:tc>
            <w:tc>
              <w:tcPr>
                <w:tcW w:w="1320" w:type="dxa"/>
                <w:shd w:val="clear" w:color="auto" w:fill="auto"/>
                <w:noWrap/>
                <w:vAlign w:val="center"/>
                <w:hideMark/>
              </w:tcPr>
              <w:p w14:paraId="4BB42C58"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233.117.638</w:t>
                </w:r>
              </w:p>
            </w:tc>
          </w:tr>
          <w:tr w:rsidR="00AD6666" w:rsidRPr="00AD6666" w14:paraId="5C28C86F" w14:textId="77777777" w:rsidTr="00510CE9">
            <w:trPr>
              <w:trHeight w:val="435"/>
            </w:trPr>
            <w:tc>
              <w:tcPr>
                <w:tcW w:w="4060" w:type="dxa"/>
                <w:shd w:val="clear" w:color="auto" w:fill="auto"/>
                <w:vAlign w:val="center"/>
                <w:hideMark/>
              </w:tcPr>
              <w:p w14:paraId="18DB7408" w14:textId="77777777"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CENIT TRANSPORTE Y LOGÍSTICA DE HIDROCARBUROS S.A.S.</w:t>
                </w:r>
              </w:p>
            </w:tc>
            <w:tc>
              <w:tcPr>
                <w:tcW w:w="1460" w:type="dxa"/>
                <w:shd w:val="clear" w:color="auto" w:fill="auto"/>
                <w:noWrap/>
                <w:vAlign w:val="center"/>
                <w:hideMark/>
              </w:tcPr>
              <w:p w14:paraId="35FF0DAE"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140.521.188.672</w:t>
                </w:r>
              </w:p>
            </w:tc>
            <w:tc>
              <w:tcPr>
                <w:tcW w:w="1460" w:type="dxa"/>
                <w:shd w:val="clear" w:color="auto" w:fill="auto"/>
                <w:noWrap/>
                <w:vAlign w:val="center"/>
                <w:hideMark/>
              </w:tcPr>
              <w:p w14:paraId="14BC9D96"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70.426.537.942</w:t>
                </w:r>
              </w:p>
            </w:tc>
            <w:tc>
              <w:tcPr>
                <w:tcW w:w="1320" w:type="dxa"/>
                <w:shd w:val="clear" w:color="auto" w:fill="auto"/>
                <w:noWrap/>
                <w:vAlign w:val="center"/>
                <w:hideMark/>
              </w:tcPr>
              <w:p w14:paraId="22F64103"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70.094.650.730</w:t>
                </w:r>
              </w:p>
            </w:tc>
          </w:tr>
          <w:tr w:rsidR="00AD6666" w:rsidRPr="00AD6666" w14:paraId="3E3C7B29" w14:textId="77777777" w:rsidTr="00510CE9">
            <w:trPr>
              <w:trHeight w:val="315"/>
            </w:trPr>
            <w:tc>
              <w:tcPr>
                <w:tcW w:w="4060" w:type="dxa"/>
                <w:shd w:val="clear" w:color="auto" w:fill="auto"/>
                <w:vAlign w:val="center"/>
                <w:hideMark/>
              </w:tcPr>
              <w:p w14:paraId="239E3AF2"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Propiedades, planta y equipo en concesión</w:t>
                </w:r>
              </w:p>
            </w:tc>
            <w:tc>
              <w:tcPr>
                <w:tcW w:w="1460" w:type="dxa"/>
                <w:shd w:val="clear" w:color="auto" w:fill="auto"/>
                <w:noWrap/>
                <w:vAlign w:val="center"/>
                <w:hideMark/>
              </w:tcPr>
              <w:p w14:paraId="0848099E"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32.906.306.097</w:t>
                </w:r>
              </w:p>
            </w:tc>
            <w:tc>
              <w:tcPr>
                <w:tcW w:w="1460" w:type="dxa"/>
                <w:shd w:val="clear" w:color="auto" w:fill="auto"/>
                <w:noWrap/>
                <w:vAlign w:val="center"/>
                <w:hideMark/>
              </w:tcPr>
              <w:p w14:paraId="4EA5B29D"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25.528.890.567</w:t>
                </w:r>
              </w:p>
            </w:tc>
            <w:tc>
              <w:tcPr>
                <w:tcW w:w="1320" w:type="dxa"/>
                <w:shd w:val="clear" w:color="auto" w:fill="auto"/>
                <w:noWrap/>
                <w:vAlign w:val="center"/>
                <w:hideMark/>
              </w:tcPr>
              <w:p w14:paraId="45C1FE10"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7.377.415.530</w:t>
                </w:r>
              </w:p>
            </w:tc>
          </w:tr>
          <w:tr w:rsidR="00AD6666" w:rsidRPr="00AD6666" w14:paraId="141FBDB6" w14:textId="77777777" w:rsidTr="00510CE9">
            <w:trPr>
              <w:trHeight w:val="315"/>
            </w:trPr>
            <w:tc>
              <w:tcPr>
                <w:tcW w:w="4060" w:type="dxa"/>
                <w:shd w:val="clear" w:color="auto" w:fill="auto"/>
                <w:vAlign w:val="center"/>
                <w:hideMark/>
              </w:tcPr>
              <w:p w14:paraId="314DBB72"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servicio</w:t>
                </w:r>
              </w:p>
            </w:tc>
            <w:tc>
              <w:tcPr>
                <w:tcW w:w="1460" w:type="dxa"/>
                <w:shd w:val="clear" w:color="auto" w:fill="auto"/>
                <w:noWrap/>
                <w:vAlign w:val="center"/>
                <w:hideMark/>
              </w:tcPr>
              <w:p w14:paraId="0E1CDF4E"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107.614.882.575</w:t>
                </w:r>
              </w:p>
            </w:tc>
            <w:tc>
              <w:tcPr>
                <w:tcW w:w="1460" w:type="dxa"/>
                <w:shd w:val="clear" w:color="auto" w:fill="auto"/>
                <w:noWrap/>
                <w:vAlign w:val="center"/>
                <w:hideMark/>
              </w:tcPr>
              <w:p w14:paraId="04AF737A"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44.897.647.375</w:t>
                </w:r>
              </w:p>
            </w:tc>
            <w:tc>
              <w:tcPr>
                <w:tcW w:w="1320" w:type="dxa"/>
                <w:shd w:val="clear" w:color="auto" w:fill="auto"/>
                <w:noWrap/>
                <w:vAlign w:val="center"/>
                <w:hideMark/>
              </w:tcPr>
              <w:p w14:paraId="59EDD561"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62.717.235.200</w:t>
                </w:r>
              </w:p>
            </w:tc>
          </w:tr>
          <w:tr w:rsidR="00AD6666" w:rsidRPr="00AD6666" w14:paraId="2266F47A" w14:textId="77777777" w:rsidTr="00510CE9">
            <w:trPr>
              <w:trHeight w:val="315"/>
            </w:trPr>
            <w:tc>
              <w:tcPr>
                <w:tcW w:w="4060" w:type="dxa"/>
                <w:shd w:val="clear" w:color="auto" w:fill="auto"/>
                <w:vAlign w:val="center"/>
                <w:hideMark/>
              </w:tcPr>
              <w:p w14:paraId="20BDAFEF" w14:textId="77777777"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CERREJON ZONA NORTE S A</w:t>
                </w:r>
              </w:p>
            </w:tc>
            <w:tc>
              <w:tcPr>
                <w:tcW w:w="1460" w:type="dxa"/>
                <w:shd w:val="clear" w:color="auto" w:fill="auto"/>
                <w:noWrap/>
                <w:vAlign w:val="center"/>
                <w:hideMark/>
              </w:tcPr>
              <w:p w14:paraId="28131BDF"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397.214.676.554</w:t>
                </w:r>
              </w:p>
            </w:tc>
            <w:tc>
              <w:tcPr>
                <w:tcW w:w="1460" w:type="dxa"/>
                <w:shd w:val="clear" w:color="auto" w:fill="auto"/>
                <w:noWrap/>
                <w:vAlign w:val="center"/>
                <w:hideMark/>
              </w:tcPr>
              <w:p w14:paraId="00210EC3"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397.214.676.554</w:t>
                </w:r>
              </w:p>
            </w:tc>
            <w:tc>
              <w:tcPr>
                <w:tcW w:w="1320" w:type="dxa"/>
                <w:shd w:val="clear" w:color="auto" w:fill="auto"/>
                <w:noWrap/>
                <w:vAlign w:val="center"/>
                <w:hideMark/>
              </w:tcPr>
              <w:p w14:paraId="0F3FECAA"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0</w:t>
                </w:r>
              </w:p>
            </w:tc>
          </w:tr>
          <w:tr w:rsidR="00AD6666" w:rsidRPr="00AD6666" w14:paraId="50698AB9" w14:textId="77777777" w:rsidTr="00510CE9">
            <w:trPr>
              <w:trHeight w:val="315"/>
            </w:trPr>
            <w:tc>
              <w:tcPr>
                <w:tcW w:w="4060" w:type="dxa"/>
                <w:shd w:val="clear" w:color="auto" w:fill="auto"/>
                <w:vAlign w:val="center"/>
                <w:hideMark/>
              </w:tcPr>
              <w:p w14:paraId="62BDAF6F"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Propiedades, planta y equipo en concesión</w:t>
                </w:r>
              </w:p>
            </w:tc>
            <w:tc>
              <w:tcPr>
                <w:tcW w:w="1460" w:type="dxa"/>
                <w:shd w:val="clear" w:color="auto" w:fill="auto"/>
                <w:noWrap/>
                <w:vAlign w:val="center"/>
                <w:hideMark/>
              </w:tcPr>
              <w:p w14:paraId="220033CE"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229.700.133.774</w:t>
                </w:r>
              </w:p>
            </w:tc>
            <w:tc>
              <w:tcPr>
                <w:tcW w:w="1460" w:type="dxa"/>
                <w:shd w:val="clear" w:color="auto" w:fill="auto"/>
                <w:noWrap/>
                <w:vAlign w:val="center"/>
                <w:hideMark/>
              </w:tcPr>
              <w:p w14:paraId="7CD030B0"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229.700.133.774</w:t>
                </w:r>
              </w:p>
            </w:tc>
            <w:tc>
              <w:tcPr>
                <w:tcW w:w="1320" w:type="dxa"/>
                <w:shd w:val="clear" w:color="auto" w:fill="auto"/>
                <w:noWrap/>
                <w:vAlign w:val="center"/>
                <w:hideMark/>
              </w:tcPr>
              <w:p w14:paraId="59E8BB62"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40FFB7AD" w14:textId="77777777" w:rsidTr="00510CE9">
            <w:trPr>
              <w:trHeight w:val="315"/>
            </w:trPr>
            <w:tc>
              <w:tcPr>
                <w:tcW w:w="4060" w:type="dxa"/>
                <w:shd w:val="clear" w:color="auto" w:fill="auto"/>
                <w:vAlign w:val="center"/>
                <w:hideMark/>
              </w:tcPr>
              <w:p w14:paraId="7BFBB92A"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construcción</w:t>
                </w:r>
              </w:p>
            </w:tc>
            <w:tc>
              <w:tcPr>
                <w:tcW w:w="1460" w:type="dxa"/>
                <w:shd w:val="clear" w:color="auto" w:fill="auto"/>
                <w:noWrap/>
                <w:vAlign w:val="center"/>
                <w:hideMark/>
              </w:tcPr>
              <w:p w14:paraId="02FB77EC"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3.066.609.579</w:t>
                </w:r>
              </w:p>
            </w:tc>
            <w:tc>
              <w:tcPr>
                <w:tcW w:w="1460" w:type="dxa"/>
                <w:shd w:val="clear" w:color="auto" w:fill="auto"/>
                <w:noWrap/>
                <w:vAlign w:val="center"/>
                <w:hideMark/>
              </w:tcPr>
              <w:p w14:paraId="04344F5C"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3.066.609.579</w:t>
                </w:r>
              </w:p>
            </w:tc>
            <w:tc>
              <w:tcPr>
                <w:tcW w:w="1320" w:type="dxa"/>
                <w:shd w:val="clear" w:color="auto" w:fill="auto"/>
                <w:noWrap/>
                <w:vAlign w:val="center"/>
                <w:hideMark/>
              </w:tcPr>
              <w:p w14:paraId="65D53FDC"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6E6A99C1" w14:textId="77777777" w:rsidTr="00510CE9">
            <w:trPr>
              <w:trHeight w:val="315"/>
            </w:trPr>
            <w:tc>
              <w:tcPr>
                <w:tcW w:w="4060" w:type="dxa"/>
                <w:shd w:val="clear" w:color="auto" w:fill="auto"/>
                <w:vAlign w:val="center"/>
                <w:hideMark/>
              </w:tcPr>
              <w:p w14:paraId="2D362D75"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servicio</w:t>
                </w:r>
              </w:p>
            </w:tc>
            <w:tc>
              <w:tcPr>
                <w:tcW w:w="1460" w:type="dxa"/>
                <w:shd w:val="clear" w:color="auto" w:fill="auto"/>
                <w:noWrap/>
                <w:vAlign w:val="center"/>
                <w:hideMark/>
              </w:tcPr>
              <w:p w14:paraId="127AB188"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164.447.933.201</w:t>
                </w:r>
              </w:p>
            </w:tc>
            <w:tc>
              <w:tcPr>
                <w:tcW w:w="1460" w:type="dxa"/>
                <w:shd w:val="clear" w:color="auto" w:fill="auto"/>
                <w:noWrap/>
                <w:vAlign w:val="center"/>
                <w:hideMark/>
              </w:tcPr>
              <w:p w14:paraId="07F96196"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164.447.933.201</w:t>
                </w:r>
              </w:p>
            </w:tc>
            <w:tc>
              <w:tcPr>
                <w:tcW w:w="1320" w:type="dxa"/>
                <w:shd w:val="clear" w:color="auto" w:fill="auto"/>
                <w:noWrap/>
                <w:vAlign w:val="center"/>
                <w:hideMark/>
              </w:tcPr>
              <w:p w14:paraId="05216D4B"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6D5B3F40" w14:textId="77777777" w:rsidTr="00510CE9">
            <w:trPr>
              <w:trHeight w:val="315"/>
            </w:trPr>
            <w:tc>
              <w:tcPr>
                <w:tcW w:w="4060" w:type="dxa"/>
                <w:shd w:val="clear" w:color="auto" w:fill="auto"/>
                <w:vAlign w:val="center"/>
                <w:hideMark/>
              </w:tcPr>
              <w:p w14:paraId="0A997435" w14:textId="77777777"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COCOLISO ALCATRAZ SA</w:t>
                </w:r>
              </w:p>
            </w:tc>
            <w:tc>
              <w:tcPr>
                <w:tcW w:w="1460" w:type="dxa"/>
                <w:shd w:val="clear" w:color="auto" w:fill="auto"/>
                <w:noWrap/>
                <w:vAlign w:val="center"/>
                <w:hideMark/>
              </w:tcPr>
              <w:p w14:paraId="3C0BC8BB"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0</w:t>
                </w:r>
              </w:p>
            </w:tc>
            <w:tc>
              <w:tcPr>
                <w:tcW w:w="1460" w:type="dxa"/>
                <w:shd w:val="clear" w:color="auto" w:fill="auto"/>
                <w:noWrap/>
                <w:vAlign w:val="center"/>
                <w:hideMark/>
              </w:tcPr>
              <w:p w14:paraId="2B207F9B"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673023106</w:t>
                </w:r>
              </w:p>
            </w:tc>
            <w:tc>
              <w:tcPr>
                <w:tcW w:w="1320" w:type="dxa"/>
                <w:shd w:val="clear" w:color="auto" w:fill="auto"/>
                <w:noWrap/>
                <w:vAlign w:val="center"/>
                <w:hideMark/>
              </w:tcPr>
              <w:p w14:paraId="18CC36B3"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-673.023.106</w:t>
                </w:r>
              </w:p>
            </w:tc>
          </w:tr>
          <w:tr w:rsidR="00AD6666" w:rsidRPr="00AD6666" w14:paraId="14211A3C" w14:textId="77777777" w:rsidTr="00510CE9">
            <w:trPr>
              <w:trHeight w:val="315"/>
            </w:trPr>
            <w:tc>
              <w:tcPr>
                <w:tcW w:w="4060" w:type="dxa"/>
                <w:shd w:val="clear" w:color="auto" w:fill="auto"/>
                <w:vAlign w:val="center"/>
                <w:hideMark/>
              </w:tcPr>
              <w:p w14:paraId="60966C5D"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servicio</w:t>
                </w:r>
              </w:p>
            </w:tc>
            <w:tc>
              <w:tcPr>
                <w:tcW w:w="1460" w:type="dxa"/>
                <w:shd w:val="clear" w:color="auto" w:fill="auto"/>
                <w:noWrap/>
                <w:vAlign w:val="center"/>
                <w:hideMark/>
              </w:tcPr>
              <w:p w14:paraId="05C81E34"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c>
              <w:tcPr>
                <w:tcW w:w="1460" w:type="dxa"/>
                <w:shd w:val="clear" w:color="auto" w:fill="auto"/>
                <w:noWrap/>
                <w:vAlign w:val="center"/>
                <w:hideMark/>
              </w:tcPr>
              <w:p w14:paraId="693B7260"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673.023.106</w:t>
                </w:r>
              </w:p>
            </w:tc>
            <w:tc>
              <w:tcPr>
                <w:tcW w:w="1320" w:type="dxa"/>
                <w:shd w:val="clear" w:color="auto" w:fill="auto"/>
                <w:noWrap/>
                <w:vAlign w:val="center"/>
                <w:hideMark/>
              </w:tcPr>
              <w:p w14:paraId="289FC3A3"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-673.023.106</w:t>
                </w:r>
              </w:p>
            </w:tc>
          </w:tr>
          <w:tr w:rsidR="00AD6666" w:rsidRPr="00AD6666" w14:paraId="613BBBBC" w14:textId="77777777" w:rsidTr="00510CE9">
            <w:trPr>
              <w:trHeight w:val="315"/>
            </w:trPr>
            <w:tc>
              <w:tcPr>
                <w:tcW w:w="4060" w:type="dxa"/>
                <w:shd w:val="clear" w:color="auto" w:fill="auto"/>
                <w:vAlign w:val="center"/>
                <w:hideMark/>
              </w:tcPr>
              <w:p w14:paraId="54F8375A" w14:textId="77777777"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COMPAÑIA DE PUERTOS ASOCIADOS S.A.</w:t>
                </w:r>
              </w:p>
            </w:tc>
            <w:tc>
              <w:tcPr>
                <w:tcW w:w="1460" w:type="dxa"/>
                <w:shd w:val="clear" w:color="auto" w:fill="auto"/>
                <w:noWrap/>
                <w:vAlign w:val="center"/>
                <w:hideMark/>
              </w:tcPr>
              <w:p w14:paraId="51706371"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275.189.296.163</w:t>
                </w:r>
              </w:p>
            </w:tc>
            <w:tc>
              <w:tcPr>
                <w:tcW w:w="1460" w:type="dxa"/>
                <w:shd w:val="clear" w:color="auto" w:fill="auto"/>
                <w:noWrap/>
                <w:vAlign w:val="center"/>
                <w:hideMark/>
              </w:tcPr>
              <w:p w14:paraId="5FA3C788"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242.211.220.064</w:t>
                </w:r>
              </w:p>
            </w:tc>
            <w:tc>
              <w:tcPr>
                <w:tcW w:w="1320" w:type="dxa"/>
                <w:shd w:val="clear" w:color="auto" w:fill="auto"/>
                <w:noWrap/>
                <w:vAlign w:val="center"/>
                <w:hideMark/>
              </w:tcPr>
              <w:p w14:paraId="292A924F"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32.978.076.099</w:t>
                </w:r>
              </w:p>
            </w:tc>
          </w:tr>
          <w:tr w:rsidR="00AD6666" w:rsidRPr="00AD6666" w14:paraId="18D52D45" w14:textId="77777777" w:rsidTr="00510CE9">
            <w:trPr>
              <w:trHeight w:val="315"/>
            </w:trPr>
            <w:tc>
              <w:tcPr>
                <w:tcW w:w="4060" w:type="dxa"/>
                <w:shd w:val="clear" w:color="auto" w:fill="auto"/>
                <w:vAlign w:val="center"/>
                <w:hideMark/>
              </w:tcPr>
              <w:p w14:paraId="4B9E0FBC"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Propiedades, planta y equipo en concesión</w:t>
                </w:r>
              </w:p>
            </w:tc>
            <w:tc>
              <w:tcPr>
                <w:tcW w:w="1460" w:type="dxa"/>
                <w:shd w:val="clear" w:color="auto" w:fill="auto"/>
                <w:noWrap/>
                <w:vAlign w:val="center"/>
                <w:hideMark/>
              </w:tcPr>
              <w:p w14:paraId="09CE837B"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47.568.678.751</w:t>
                </w:r>
              </w:p>
            </w:tc>
            <w:tc>
              <w:tcPr>
                <w:tcW w:w="1460" w:type="dxa"/>
                <w:shd w:val="clear" w:color="auto" w:fill="auto"/>
                <w:noWrap/>
                <w:vAlign w:val="center"/>
                <w:hideMark/>
              </w:tcPr>
              <w:p w14:paraId="5296B38A"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28.800.801.059</w:t>
                </w:r>
              </w:p>
            </w:tc>
            <w:tc>
              <w:tcPr>
                <w:tcW w:w="1320" w:type="dxa"/>
                <w:shd w:val="clear" w:color="auto" w:fill="auto"/>
                <w:noWrap/>
                <w:vAlign w:val="center"/>
                <w:hideMark/>
              </w:tcPr>
              <w:p w14:paraId="7A729543"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18.767.877.692</w:t>
                </w:r>
              </w:p>
            </w:tc>
          </w:tr>
          <w:tr w:rsidR="00AD6666" w:rsidRPr="00AD6666" w14:paraId="589B0A46" w14:textId="77777777" w:rsidTr="00510CE9">
            <w:trPr>
              <w:trHeight w:val="315"/>
            </w:trPr>
            <w:tc>
              <w:tcPr>
                <w:tcW w:w="4060" w:type="dxa"/>
                <w:shd w:val="clear" w:color="auto" w:fill="auto"/>
                <w:vAlign w:val="center"/>
                <w:hideMark/>
              </w:tcPr>
              <w:p w14:paraId="45366258"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construcción</w:t>
                </w:r>
              </w:p>
            </w:tc>
            <w:tc>
              <w:tcPr>
                <w:tcW w:w="1460" w:type="dxa"/>
                <w:shd w:val="clear" w:color="auto" w:fill="auto"/>
                <w:noWrap/>
                <w:vAlign w:val="center"/>
                <w:hideMark/>
              </w:tcPr>
              <w:p w14:paraId="52679F3D"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35.580.967.271</w:t>
                </w:r>
              </w:p>
            </w:tc>
            <w:tc>
              <w:tcPr>
                <w:tcW w:w="1460" w:type="dxa"/>
                <w:shd w:val="clear" w:color="auto" w:fill="auto"/>
                <w:noWrap/>
                <w:vAlign w:val="center"/>
                <w:hideMark/>
              </w:tcPr>
              <w:p w14:paraId="6C54B5C2"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24.231.361.550</w:t>
                </w:r>
              </w:p>
            </w:tc>
            <w:tc>
              <w:tcPr>
                <w:tcW w:w="1320" w:type="dxa"/>
                <w:shd w:val="clear" w:color="auto" w:fill="auto"/>
                <w:noWrap/>
                <w:vAlign w:val="center"/>
                <w:hideMark/>
              </w:tcPr>
              <w:p w14:paraId="08CDC213"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11.349.605.721</w:t>
                </w:r>
              </w:p>
            </w:tc>
          </w:tr>
          <w:tr w:rsidR="00AD6666" w:rsidRPr="00AD6666" w14:paraId="6943AFF0" w14:textId="77777777" w:rsidTr="00510CE9">
            <w:trPr>
              <w:trHeight w:val="315"/>
            </w:trPr>
            <w:tc>
              <w:tcPr>
                <w:tcW w:w="4060" w:type="dxa"/>
                <w:shd w:val="clear" w:color="auto" w:fill="auto"/>
                <w:vAlign w:val="center"/>
                <w:hideMark/>
              </w:tcPr>
              <w:p w14:paraId="4EE6022F"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servicio</w:t>
                </w:r>
              </w:p>
            </w:tc>
            <w:tc>
              <w:tcPr>
                <w:tcW w:w="1460" w:type="dxa"/>
                <w:shd w:val="clear" w:color="auto" w:fill="auto"/>
                <w:noWrap/>
                <w:vAlign w:val="center"/>
                <w:hideMark/>
              </w:tcPr>
              <w:p w14:paraId="68EEAE59"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192.039.650.141</w:t>
                </w:r>
              </w:p>
            </w:tc>
            <w:tc>
              <w:tcPr>
                <w:tcW w:w="1460" w:type="dxa"/>
                <w:shd w:val="clear" w:color="auto" w:fill="auto"/>
                <w:noWrap/>
                <w:vAlign w:val="center"/>
                <w:hideMark/>
              </w:tcPr>
              <w:p w14:paraId="27A36E0A"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189.179.057.455</w:t>
                </w:r>
              </w:p>
            </w:tc>
            <w:tc>
              <w:tcPr>
                <w:tcW w:w="1320" w:type="dxa"/>
                <w:shd w:val="clear" w:color="auto" w:fill="auto"/>
                <w:noWrap/>
                <w:vAlign w:val="center"/>
                <w:hideMark/>
              </w:tcPr>
              <w:p w14:paraId="43C14A14"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2.860.592.686</w:t>
                </w:r>
              </w:p>
            </w:tc>
          </w:tr>
          <w:tr w:rsidR="00AD6666" w:rsidRPr="00AD6666" w14:paraId="724FEFCF" w14:textId="77777777" w:rsidTr="00510CE9">
            <w:trPr>
              <w:trHeight w:val="315"/>
            </w:trPr>
            <w:tc>
              <w:tcPr>
                <w:tcW w:w="4060" w:type="dxa"/>
                <w:shd w:val="clear" w:color="auto" w:fill="auto"/>
                <w:vAlign w:val="center"/>
                <w:hideMark/>
              </w:tcPr>
              <w:p w14:paraId="64C17FC0" w14:textId="77777777"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COREMAR SHORE BASE SA</w:t>
                </w:r>
              </w:p>
            </w:tc>
            <w:tc>
              <w:tcPr>
                <w:tcW w:w="1460" w:type="dxa"/>
                <w:shd w:val="clear" w:color="auto" w:fill="auto"/>
                <w:noWrap/>
                <w:vAlign w:val="center"/>
                <w:hideMark/>
              </w:tcPr>
              <w:p w14:paraId="6E4EC25D"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2.332.024.819</w:t>
                </w:r>
              </w:p>
            </w:tc>
            <w:tc>
              <w:tcPr>
                <w:tcW w:w="1460" w:type="dxa"/>
                <w:shd w:val="clear" w:color="auto" w:fill="auto"/>
                <w:noWrap/>
                <w:vAlign w:val="center"/>
                <w:hideMark/>
              </w:tcPr>
              <w:p w14:paraId="5E834CEA"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1.889.492.705</w:t>
                </w:r>
              </w:p>
            </w:tc>
            <w:tc>
              <w:tcPr>
                <w:tcW w:w="1320" w:type="dxa"/>
                <w:shd w:val="clear" w:color="auto" w:fill="auto"/>
                <w:noWrap/>
                <w:vAlign w:val="center"/>
                <w:hideMark/>
              </w:tcPr>
              <w:p w14:paraId="6E2A92D5"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442.532.114</w:t>
                </w:r>
              </w:p>
            </w:tc>
          </w:tr>
          <w:tr w:rsidR="00AD6666" w:rsidRPr="00AD6666" w14:paraId="621404FB" w14:textId="77777777" w:rsidTr="00510CE9">
            <w:trPr>
              <w:trHeight w:val="315"/>
            </w:trPr>
            <w:tc>
              <w:tcPr>
                <w:tcW w:w="4060" w:type="dxa"/>
                <w:shd w:val="clear" w:color="auto" w:fill="auto"/>
                <w:vAlign w:val="center"/>
                <w:hideMark/>
              </w:tcPr>
              <w:p w14:paraId="7FAFD0E8"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construcción</w:t>
                </w:r>
              </w:p>
            </w:tc>
            <w:tc>
              <w:tcPr>
                <w:tcW w:w="1460" w:type="dxa"/>
                <w:shd w:val="clear" w:color="auto" w:fill="auto"/>
                <w:noWrap/>
                <w:vAlign w:val="center"/>
                <w:hideMark/>
              </w:tcPr>
              <w:p w14:paraId="16EE461A"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431.172.196</w:t>
                </w:r>
              </w:p>
            </w:tc>
            <w:tc>
              <w:tcPr>
                <w:tcW w:w="1460" w:type="dxa"/>
                <w:shd w:val="clear" w:color="auto" w:fill="auto"/>
                <w:noWrap/>
                <w:vAlign w:val="center"/>
                <w:hideMark/>
              </w:tcPr>
              <w:p w14:paraId="4E0403A0"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c>
              <w:tcPr>
                <w:tcW w:w="1320" w:type="dxa"/>
                <w:shd w:val="clear" w:color="auto" w:fill="auto"/>
                <w:noWrap/>
                <w:vAlign w:val="center"/>
                <w:hideMark/>
              </w:tcPr>
              <w:p w14:paraId="0B0BE31A"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431.172.196</w:t>
                </w:r>
              </w:p>
            </w:tc>
          </w:tr>
          <w:tr w:rsidR="00AD6666" w:rsidRPr="00AD6666" w14:paraId="59B5DA26" w14:textId="77777777" w:rsidTr="00510CE9">
            <w:trPr>
              <w:trHeight w:val="315"/>
            </w:trPr>
            <w:tc>
              <w:tcPr>
                <w:tcW w:w="4060" w:type="dxa"/>
                <w:shd w:val="clear" w:color="auto" w:fill="auto"/>
                <w:vAlign w:val="center"/>
                <w:hideMark/>
              </w:tcPr>
              <w:p w14:paraId="350FF54A"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servicio</w:t>
                </w:r>
              </w:p>
            </w:tc>
            <w:tc>
              <w:tcPr>
                <w:tcW w:w="1460" w:type="dxa"/>
                <w:shd w:val="clear" w:color="auto" w:fill="auto"/>
                <w:noWrap/>
                <w:vAlign w:val="center"/>
                <w:hideMark/>
              </w:tcPr>
              <w:p w14:paraId="4041E522"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1.900.852.623</w:t>
                </w:r>
              </w:p>
            </w:tc>
            <w:tc>
              <w:tcPr>
                <w:tcW w:w="1460" w:type="dxa"/>
                <w:shd w:val="clear" w:color="auto" w:fill="auto"/>
                <w:noWrap/>
                <w:vAlign w:val="center"/>
                <w:hideMark/>
              </w:tcPr>
              <w:p w14:paraId="3B002D9B"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1.889.492.705</w:t>
                </w:r>
              </w:p>
            </w:tc>
            <w:tc>
              <w:tcPr>
                <w:tcW w:w="1320" w:type="dxa"/>
                <w:shd w:val="clear" w:color="auto" w:fill="auto"/>
                <w:noWrap/>
                <w:vAlign w:val="center"/>
                <w:hideMark/>
              </w:tcPr>
              <w:p w14:paraId="10E26E80"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11.359.918</w:t>
                </w:r>
              </w:p>
            </w:tc>
          </w:tr>
          <w:tr w:rsidR="00AD6666" w:rsidRPr="00AD6666" w14:paraId="6ED213BC" w14:textId="77777777" w:rsidTr="00510CE9">
            <w:trPr>
              <w:trHeight w:val="315"/>
            </w:trPr>
            <w:tc>
              <w:tcPr>
                <w:tcW w:w="4060" w:type="dxa"/>
                <w:shd w:val="clear" w:color="auto" w:fill="auto"/>
                <w:vAlign w:val="center"/>
                <w:hideMark/>
              </w:tcPr>
              <w:p w14:paraId="307EBFBE" w14:textId="77777777"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ECOPETROL S A</w:t>
                </w:r>
              </w:p>
            </w:tc>
            <w:tc>
              <w:tcPr>
                <w:tcW w:w="1460" w:type="dxa"/>
                <w:shd w:val="clear" w:color="auto" w:fill="auto"/>
                <w:noWrap/>
                <w:vAlign w:val="center"/>
                <w:hideMark/>
              </w:tcPr>
              <w:p w14:paraId="098EB0FF"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196.698.205.931</w:t>
                </w:r>
              </w:p>
            </w:tc>
            <w:tc>
              <w:tcPr>
                <w:tcW w:w="1460" w:type="dxa"/>
                <w:shd w:val="clear" w:color="auto" w:fill="auto"/>
                <w:noWrap/>
                <w:vAlign w:val="center"/>
                <w:hideMark/>
              </w:tcPr>
              <w:p w14:paraId="4228D95D"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143.550.017.648</w:t>
                </w:r>
              </w:p>
            </w:tc>
            <w:tc>
              <w:tcPr>
                <w:tcW w:w="1320" w:type="dxa"/>
                <w:shd w:val="clear" w:color="auto" w:fill="auto"/>
                <w:noWrap/>
                <w:vAlign w:val="center"/>
                <w:hideMark/>
              </w:tcPr>
              <w:p w14:paraId="34279D80"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53.148.188.283</w:t>
                </w:r>
              </w:p>
            </w:tc>
          </w:tr>
          <w:tr w:rsidR="00AD6666" w:rsidRPr="00AD6666" w14:paraId="2E14E3F6" w14:textId="77777777" w:rsidTr="00510CE9">
            <w:trPr>
              <w:trHeight w:val="315"/>
            </w:trPr>
            <w:tc>
              <w:tcPr>
                <w:tcW w:w="4060" w:type="dxa"/>
                <w:shd w:val="clear" w:color="auto" w:fill="auto"/>
                <w:vAlign w:val="center"/>
                <w:hideMark/>
              </w:tcPr>
              <w:p w14:paraId="0C4C0424"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Propiedades, planta y equipo en concesión</w:t>
                </w:r>
              </w:p>
            </w:tc>
            <w:tc>
              <w:tcPr>
                <w:tcW w:w="1460" w:type="dxa"/>
                <w:shd w:val="clear" w:color="auto" w:fill="auto"/>
                <w:noWrap/>
                <w:vAlign w:val="center"/>
                <w:hideMark/>
              </w:tcPr>
              <w:p w14:paraId="5B47A1D5"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10.216.185.000</w:t>
                </w:r>
              </w:p>
            </w:tc>
            <w:tc>
              <w:tcPr>
                <w:tcW w:w="1460" w:type="dxa"/>
                <w:shd w:val="clear" w:color="auto" w:fill="auto"/>
                <w:noWrap/>
                <w:vAlign w:val="center"/>
                <w:hideMark/>
              </w:tcPr>
              <w:p w14:paraId="66185087"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10.216.185.000</w:t>
                </w:r>
              </w:p>
            </w:tc>
            <w:tc>
              <w:tcPr>
                <w:tcW w:w="1320" w:type="dxa"/>
                <w:shd w:val="clear" w:color="auto" w:fill="auto"/>
                <w:noWrap/>
                <w:vAlign w:val="center"/>
                <w:hideMark/>
              </w:tcPr>
              <w:p w14:paraId="4DD63750"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279BBC3F" w14:textId="77777777" w:rsidTr="00510CE9">
            <w:trPr>
              <w:trHeight w:val="315"/>
            </w:trPr>
            <w:tc>
              <w:tcPr>
                <w:tcW w:w="4060" w:type="dxa"/>
                <w:shd w:val="clear" w:color="auto" w:fill="auto"/>
                <w:vAlign w:val="center"/>
                <w:hideMark/>
              </w:tcPr>
              <w:p w14:paraId="727A1D6B"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construcción</w:t>
                </w:r>
              </w:p>
            </w:tc>
            <w:tc>
              <w:tcPr>
                <w:tcW w:w="1460" w:type="dxa"/>
                <w:shd w:val="clear" w:color="auto" w:fill="auto"/>
                <w:noWrap/>
                <w:vAlign w:val="center"/>
                <w:hideMark/>
              </w:tcPr>
              <w:p w14:paraId="51C795E5"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70.637.919.371</w:t>
                </w:r>
              </w:p>
            </w:tc>
            <w:tc>
              <w:tcPr>
                <w:tcW w:w="1460" w:type="dxa"/>
                <w:shd w:val="clear" w:color="auto" w:fill="auto"/>
                <w:noWrap/>
                <w:vAlign w:val="center"/>
                <w:hideMark/>
              </w:tcPr>
              <w:p w14:paraId="70CE4E20"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17.489.731.088</w:t>
                </w:r>
              </w:p>
            </w:tc>
            <w:tc>
              <w:tcPr>
                <w:tcW w:w="1320" w:type="dxa"/>
                <w:shd w:val="clear" w:color="auto" w:fill="auto"/>
                <w:noWrap/>
                <w:vAlign w:val="center"/>
                <w:hideMark/>
              </w:tcPr>
              <w:p w14:paraId="35981CF5"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53.148.188.283</w:t>
                </w:r>
              </w:p>
            </w:tc>
          </w:tr>
          <w:tr w:rsidR="00AD6666" w:rsidRPr="00AD6666" w14:paraId="56D651CC" w14:textId="77777777" w:rsidTr="00510CE9">
            <w:trPr>
              <w:trHeight w:val="315"/>
            </w:trPr>
            <w:tc>
              <w:tcPr>
                <w:tcW w:w="4060" w:type="dxa"/>
                <w:shd w:val="clear" w:color="auto" w:fill="auto"/>
                <w:vAlign w:val="center"/>
                <w:hideMark/>
              </w:tcPr>
              <w:p w14:paraId="1C917D2D"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servicio</w:t>
                </w:r>
              </w:p>
            </w:tc>
            <w:tc>
              <w:tcPr>
                <w:tcW w:w="1460" w:type="dxa"/>
                <w:shd w:val="clear" w:color="auto" w:fill="auto"/>
                <w:noWrap/>
                <w:vAlign w:val="center"/>
                <w:hideMark/>
              </w:tcPr>
              <w:p w14:paraId="147BFB58"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115.844.101.560</w:t>
                </w:r>
              </w:p>
            </w:tc>
            <w:tc>
              <w:tcPr>
                <w:tcW w:w="1460" w:type="dxa"/>
                <w:shd w:val="clear" w:color="auto" w:fill="auto"/>
                <w:noWrap/>
                <w:vAlign w:val="center"/>
                <w:hideMark/>
              </w:tcPr>
              <w:p w14:paraId="73662A32"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115.844.101.560</w:t>
                </w:r>
              </w:p>
            </w:tc>
            <w:tc>
              <w:tcPr>
                <w:tcW w:w="1320" w:type="dxa"/>
                <w:shd w:val="clear" w:color="auto" w:fill="auto"/>
                <w:noWrap/>
                <w:vAlign w:val="center"/>
                <w:hideMark/>
              </w:tcPr>
              <w:p w14:paraId="316DA817"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7516AC2D" w14:textId="77777777" w:rsidTr="00510CE9">
            <w:trPr>
              <w:trHeight w:val="435"/>
            </w:trPr>
            <w:tc>
              <w:tcPr>
                <w:tcW w:w="4060" w:type="dxa"/>
                <w:shd w:val="clear" w:color="auto" w:fill="auto"/>
                <w:vAlign w:val="center"/>
                <w:hideMark/>
              </w:tcPr>
              <w:p w14:paraId="770CD7F9" w14:textId="77777777"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EMPRESA COLOMBIANA PESQUERA DE TOLU SA PESTOLU SA</w:t>
                </w:r>
              </w:p>
            </w:tc>
            <w:tc>
              <w:tcPr>
                <w:tcW w:w="1460" w:type="dxa"/>
                <w:shd w:val="clear" w:color="auto" w:fill="auto"/>
                <w:noWrap/>
                <w:vAlign w:val="center"/>
                <w:hideMark/>
              </w:tcPr>
              <w:p w14:paraId="42C655A1"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71.339.819</w:t>
                </w:r>
              </w:p>
            </w:tc>
            <w:tc>
              <w:tcPr>
                <w:tcW w:w="1460" w:type="dxa"/>
                <w:shd w:val="clear" w:color="auto" w:fill="auto"/>
                <w:noWrap/>
                <w:vAlign w:val="center"/>
                <w:hideMark/>
              </w:tcPr>
              <w:p w14:paraId="4DCFEA2A"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71.339.819</w:t>
                </w:r>
              </w:p>
            </w:tc>
            <w:tc>
              <w:tcPr>
                <w:tcW w:w="1320" w:type="dxa"/>
                <w:shd w:val="clear" w:color="auto" w:fill="auto"/>
                <w:noWrap/>
                <w:vAlign w:val="center"/>
                <w:hideMark/>
              </w:tcPr>
              <w:p w14:paraId="3C571D95"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0</w:t>
                </w:r>
              </w:p>
            </w:tc>
          </w:tr>
          <w:tr w:rsidR="00AD6666" w:rsidRPr="00AD6666" w14:paraId="16D6EEC7" w14:textId="77777777" w:rsidTr="00510CE9">
            <w:trPr>
              <w:trHeight w:val="315"/>
            </w:trPr>
            <w:tc>
              <w:tcPr>
                <w:tcW w:w="4060" w:type="dxa"/>
                <w:shd w:val="clear" w:color="auto" w:fill="auto"/>
                <w:vAlign w:val="center"/>
                <w:hideMark/>
              </w:tcPr>
              <w:p w14:paraId="01D82C65"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servicio</w:t>
                </w:r>
              </w:p>
            </w:tc>
            <w:tc>
              <w:tcPr>
                <w:tcW w:w="1460" w:type="dxa"/>
                <w:shd w:val="clear" w:color="auto" w:fill="auto"/>
                <w:noWrap/>
                <w:vAlign w:val="center"/>
                <w:hideMark/>
              </w:tcPr>
              <w:p w14:paraId="5D2BBD7C"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71.339.819</w:t>
                </w:r>
              </w:p>
            </w:tc>
            <w:tc>
              <w:tcPr>
                <w:tcW w:w="1460" w:type="dxa"/>
                <w:shd w:val="clear" w:color="auto" w:fill="auto"/>
                <w:noWrap/>
                <w:vAlign w:val="center"/>
                <w:hideMark/>
              </w:tcPr>
              <w:p w14:paraId="721130FD"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71.339.819</w:t>
                </w:r>
              </w:p>
            </w:tc>
            <w:tc>
              <w:tcPr>
                <w:tcW w:w="1320" w:type="dxa"/>
                <w:shd w:val="clear" w:color="auto" w:fill="auto"/>
                <w:noWrap/>
                <w:vAlign w:val="center"/>
                <w:hideMark/>
              </w:tcPr>
              <w:p w14:paraId="18913CD1"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1B9BE8B0" w14:textId="77777777" w:rsidTr="00510CE9">
            <w:trPr>
              <w:trHeight w:val="315"/>
            </w:trPr>
            <w:tc>
              <w:tcPr>
                <w:tcW w:w="4060" w:type="dxa"/>
                <w:shd w:val="clear" w:color="auto" w:fill="auto"/>
                <w:vAlign w:val="center"/>
                <w:hideMark/>
              </w:tcPr>
              <w:p w14:paraId="4E92FB65" w14:textId="77777777"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EXXONMOBIL DE COLOMBIA SA</w:t>
                </w:r>
              </w:p>
            </w:tc>
            <w:tc>
              <w:tcPr>
                <w:tcW w:w="1460" w:type="dxa"/>
                <w:shd w:val="clear" w:color="auto" w:fill="auto"/>
                <w:noWrap/>
                <w:vAlign w:val="center"/>
                <w:hideMark/>
              </w:tcPr>
              <w:p w14:paraId="77C326E2"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0</w:t>
                </w:r>
              </w:p>
            </w:tc>
            <w:tc>
              <w:tcPr>
                <w:tcW w:w="1460" w:type="dxa"/>
                <w:shd w:val="clear" w:color="auto" w:fill="auto"/>
                <w:noWrap/>
                <w:vAlign w:val="center"/>
                <w:hideMark/>
              </w:tcPr>
              <w:p w14:paraId="14B79A19"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14168243735</w:t>
                </w:r>
              </w:p>
            </w:tc>
            <w:tc>
              <w:tcPr>
                <w:tcW w:w="1320" w:type="dxa"/>
                <w:shd w:val="clear" w:color="auto" w:fill="auto"/>
                <w:noWrap/>
                <w:vAlign w:val="center"/>
                <w:hideMark/>
              </w:tcPr>
              <w:p w14:paraId="629F7D6F"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-14.168.243.735</w:t>
                </w:r>
              </w:p>
            </w:tc>
          </w:tr>
          <w:tr w:rsidR="00AD6666" w:rsidRPr="00AD6666" w14:paraId="204C3D7E" w14:textId="77777777" w:rsidTr="00510CE9">
            <w:trPr>
              <w:trHeight w:val="315"/>
            </w:trPr>
            <w:tc>
              <w:tcPr>
                <w:tcW w:w="4060" w:type="dxa"/>
                <w:shd w:val="clear" w:color="auto" w:fill="auto"/>
                <w:vAlign w:val="center"/>
                <w:hideMark/>
              </w:tcPr>
              <w:p w14:paraId="473A67DA"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servicio</w:t>
                </w:r>
              </w:p>
            </w:tc>
            <w:tc>
              <w:tcPr>
                <w:tcW w:w="1460" w:type="dxa"/>
                <w:shd w:val="clear" w:color="auto" w:fill="auto"/>
                <w:noWrap/>
                <w:vAlign w:val="center"/>
                <w:hideMark/>
              </w:tcPr>
              <w:p w14:paraId="26AEEDB7"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c>
              <w:tcPr>
                <w:tcW w:w="1460" w:type="dxa"/>
                <w:shd w:val="clear" w:color="auto" w:fill="auto"/>
                <w:noWrap/>
                <w:vAlign w:val="center"/>
                <w:hideMark/>
              </w:tcPr>
              <w:p w14:paraId="1FE23EF4"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14.168.243.735</w:t>
                </w:r>
              </w:p>
            </w:tc>
            <w:tc>
              <w:tcPr>
                <w:tcW w:w="1320" w:type="dxa"/>
                <w:shd w:val="clear" w:color="auto" w:fill="auto"/>
                <w:noWrap/>
                <w:vAlign w:val="center"/>
                <w:hideMark/>
              </w:tcPr>
              <w:p w14:paraId="4595D654"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-14.168.243.735</w:t>
                </w:r>
              </w:p>
            </w:tc>
          </w:tr>
          <w:tr w:rsidR="00AD6666" w:rsidRPr="00AD6666" w14:paraId="73787E59" w14:textId="77777777" w:rsidTr="00510CE9">
            <w:trPr>
              <w:trHeight w:val="435"/>
            </w:trPr>
            <w:tc>
              <w:tcPr>
                <w:tcW w:w="4060" w:type="dxa"/>
                <w:shd w:val="clear" w:color="auto" w:fill="auto"/>
                <w:vAlign w:val="center"/>
                <w:hideMark/>
              </w:tcPr>
              <w:p w14:paraId="27DFD09C" w14:textId="77777777"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EXXONMOBIL DE COLOMBIA SOCIEDAD PORTUARIA S.A</w:t>
                </w:r>
              </w:p>
            </w:tc>
            <w:tc>
              <w:tcPr>
                <w:tcW w:w="1460" w:type="dxa"/>
                <w:shd w:val="clear" w:color="auto" w:fill="auto"/>
                <w:noWrap/>
                <w:vAlign w:val="center"/>
                <w:hideMark/>
              </w:tcPr>
              <w:p w14:paraId="5052AF3D"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0</w:t>
                </w:r>
              </w:p>
            </w:tc>
            <w:tc>
              <w:tcPr>
                <w:tcW w:w="1460" w:type="dxa"/>
                <w:shd w:val="clear" w:color="auto" w:fill="auto"/>
                <w:noWrap/>
                <w:vAlign w:val="center"/>
                <w:hideMark/>
              </w:tcPr>
              <w:p w14:paraId="0F198457"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667468144</w:t>
                </w:r>
              </w:p>
            </w:tc>
            <w:tc>
              <w:tcPr>
                <w:tcW w:w="1320" w:type="dxa"/>
                <w:shd w:val="clear" w:color="auto" w:fill="auto"/>
                <w:noWrap/>
                <w:vAlign w:val="center"/>
                <w:hideMark/>
              </w:tcPr>
              <w:p w14:paraId="60F6B487"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-667.468.144</w:t>
                </w:r>
              </w:p>
            </w:tc>
          </w:tr>
          <w:tr w:rsidR="00AD6666" w:rsidRPr="00AD6666" w14:paraId="5F04845D" w14:textId="77777777" w:rsidTr="00510CE9">
            <w:trPr>
              <w:trHeight w:val="315"/>
            </w:trPr>
            <w:tc>
              <w:tcPr>
                <w:tcW w:w="4060" w:type="dxa"/>
                <w:shd w:val="clear" w:color="auto" w:fill="auto"/>
                <w:vAlign w:val="center"/>
                <w:hideMark/>
              </w:tcPr>
              <w:p w14:paraId="70941E54"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Propiedades, planta y equipo en concesión</w:t>
                </w:r>
              </w:p>
            </w:tc>
            <w:tc>
              <w:tcPr>
                <w:tcW w:w="1460" w:type="dxa"/>
                <w:shd w:val="clear" w:color="auto" w:fill="auto"/>
                <w:noWrap/>
                <w:vAlign w:val="center"/>
                <w:hideMark/>
              </w:tcPr>
              <w:p w14:paraId="7D5C8269"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c>
              <w:tcPr>
                <w:tcW w:w="1460" w:type="dxa"/>
                <w:shd w:val="clear" w:color="auto" w:fill="auto"/>
                <w:noWrap/>
                <w:vAlign w:val="center"/>
                <w:hideMark/>
              </w:tcPr>
              <w:p w14:paraId="6103E6C3"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203.490.456</w:t>
                </w:r>
              </w:p>
            </w:tc>
            <w:tc>
              <w:tcPr>
                <w:tcW w:w="1320" w:type="dxa"/>
                <w:shd w:val="clear" w:color="auto" w:fill="auto"/>
                <w:noWrap/>
                <w:vAlign w:val="center"/>
                <w:hideMark/>
              </w:tcPr>
              <w:p w14:paraId="6DB8A0FA"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-203.490.456</w:t>
                </w:r>
              </w:p>
            </w:tc>
          </w:tr>
          <w:tr w:rsidR="00AD6666" w:rsidRPr="00AD6666" w14:paraId="0162C899" w14:textId="77777777" w:rsidTr="00510CE9">
            <w:trPr>
              <w:trHeight w:val="315"/>
            </w:trPr>
            <w:tc>
              <w:tcPr>
                <w:tcW w:w="4060" w:type="dxa"/>
                <w:shd w:val="clear" w:color="auto" w:fill="auto"/>
                <w:vAlign w:val="center"/>
                <w:hideMark/>
              </w:tcPr>
              <w:p w14:paraId="4B56D334"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servicio</w:t>
                </w:r>
              </w:p>
            </w:tc>
            <w:tc>
              <w:tcPr>
                <w:tcW w:w="1460" w:type="dxa"/>
                <w:shd w:val="clear" w:color="auto" w:fill="auto"/>
                <w:noWrap/>
                <w:vAlign w:val="center"/>
                <w:hideMark/>
              </w:tcPr>
              <w:p w14:paraId="5CF14F8D"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c>
              <w:tcPr>
                <w:tcW w:w="1460" w:type="dxa"/>
                <w:shd w:val="clear" w:color="auto" w:fill="auto"/>
                <w:noWrap/>
                <w:vAlign w:val="center"/>
                <w:hideMark/>
              </w:tcPr>
              <w:p w14:paraId="3085B003"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463.977.688</w:t>
                </w:r>
              </w:p>
            </w:tc>
            <w:tc>
              <w:tcPr>
                <w:tcW w:w="1320" w:type="dxa"/>
                <w:shd w:val="clear" w:color="auto" w:fill="auto"/>
                <w:noWrap/>
                <w:vAlign w:val="center"/>
                <w:hideMark/>
              </w:tcPr>
              <w:p w14:paraId="13BE2A20"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-463.977.688</w:t>
                </w:r>
              </w:p>
            </w:tc>
          </w:tr>
          <w:tr w:rsidR="00AD6666" w:rsidRPr="00AD6666" w14:paraId="354E1DDD" w14:textId="77777777" w:rsidTr="00510CE9">
            <w:trPr>
              <w:trHeight w:val="315"/>
            </w:trPr>
            <w:tc>
              <w:tcPr>
                <w:tcW w:w="4060" w:type="dxa"/>
                <w:shd w:val="clear" w:color="auto" w:fill="auto"/>
                <w:vAlign w:val="center"/>
                <w:hideMark/>
              </w:tcPr>
              <w:p w14:paraId="45B6472F" w14:textId="77777777"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GRUPO PORTUARIO S.A.</w:t>
                </w:r>
              </w:p>
            </w:tc>
            <w:tc>
              <w:tcPr>
                <w:tcW w:w="1460" w:type="dxa"/>
                <w:shd w:val="clear" w:color="auto" w:fill="auto"/>
                <w:noWrap/>
                <w:vAlign w:val="center"/>
                <w:hideMark/>
              </w:tcPr>
              <w:p w14:paraId="7CD5B95A"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18.395.778.417</w:t>
                </w:r>
              </w:p>
            </w:tc>
            <w:tc>
              <w:tcPr>
                <w:tcW w:w="1460" w:type="dxa"/>
                <w:shd w:val="clear" w:color="auto" w:fill="auto"/>
                <w:noWrap/>
                <w:vAlign w:val="center"/>
                <w:hideMark/>
              </w:tcPr>
              <w:p w14:paraId="2E34B0DA"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18.732.614.174</w:t>
                </w:r>
              </w:p>
            </w:tc>
            <w:tc>
              <w:tcPr>
                <w:tcW w:w="1320" w:type="dxa"/>
                <w:shd w:val="clear" w:color="auto" w:fill="auto"/>
                <w:noWrap/>
                <w:vAlign w:val="center"/>
                <w:hideMark/>
              </w:tcPr>
              <w:p w14:paraId="3671581D"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-336.835.757</w:t>
                </w:r>
              </w:p>
            </w:tc>
          </w:tr>
          <w:tr w:rsidR="00AD6666" w:rsidRPr="00AD6666" w14:paraId="1064EA61" w14:textId="77777777" w:rsidTr="00510CE9">
            <w:trPr>
              <w:trHeight w:val="315"/>
            </w:trPr>
            <w:tc>
              <w:tcPr>
                <w:tcW w:w="4060" w:type="dxa"/>
                <w:shd w:val="clear" w:color="auto" w:fill="auto"/>
                <w:vAlign w:val="center"/>
                <w:hideMark/>
              </w:tcPr>
              <w:p w14:paraId="10DC6C26"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Activos intangibles en concesión</w:t>
                </w:r>
              </w:p>
            </w:tc>
            <w:tc>
              <w:tcPr>
                <w:tcW w:w="1460" w:type="dxa"/>
                <w:shd w:val="clear" w:color="auto" w:fill="auto"/>
                <w:noWrap/>
                <w:vAlign w:val="center"/>
                <w:hideMark/>
              </w:tcPr>
              <w:p w14:paraId="732D9E81"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110.217.400</w:t>
                </w:r>
              </w:p>
            </w:tc>
            <w:tc>
              <w:tcPr>
                <w:tcW w:w="1460" w:type="dxa"/>
                <w:shd w:val="clear" w:color="auto" w:fill="auto"/>
                <w:noWrap/>
                <w:vAlign w:val="center"/>
                <w:hideMark/>
              </w:tcPr>
              <w:p w14:paraId="3826BD9D"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110.217.400</w:t>
                </w:r>
              </w:p>
            </w:tc>
            <w:tc>
              <w:tcPr>
                <w:tcW w:w="1320" w:type="dxa"/>
                <w:shd w:val="clear" w:color="auto" w:fill="auto"/>
                <w:noWrap/>
                <w:vAlign w:val="center"/>
                <w:hideMark/>
              </w:tcPr>
              <w:p w14:paraId="41450887"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1D845C37" w14:textId="77777777" w:rsidTr="00510CE9">
            <w:trPr>
              <w:trHeight w:val="315"/>
            </w:trPr>
            <w:tc>
              <w:tcPr>
                <w:tcW w:w="4060" w:type="dxa"/>
                <w:shd w:val="clear" w:color="auto" w:fill="auto"/>
                <w:vAlign w:val="center"/>
                <w:hideMark/>
              </w:tcPr>
              <w:p w14:paraId="0A803BB8"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Propiedades, planta y equipo en concesión</w:t>
                </w:r>
              </w:p>
            </w:tc>
            <w:tc>
              <w:tcPr>
                <w:tcW w:w="1460" w:type="dxa"/>
                <w:shd w:val="clear" w:color="auto" w:fill="auto"/>
                <w:noWrap/>
                <w:vAlign w:val="center"/>
                <w:hideMark/>
              </w:tcPr>
              <w:p w14:paraId="747FC953"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4.381.026.229</w:t>
                </w:r>
              </w:p>
            </w:tc>
            <w:tc>
              <w:tcPr>
                <w:tcW w:w="1460" w:type="dxa"/>
                <w:shd w:val="clear" w:color="auto" w:fill="auto"/>
                <w:noWrap/>
                <w:vAlign w:val="center"/>
                <w:hideMark/>
              </w:tcPr>
              <w:p w14:paraId="655B59EE"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4.381.026.229</w:t>
                </w:r>
              </w:p>
            </w:tc>
            <w:tc>
              <w:tcPr>
                <w:tcW w:w="1320" w:type="dxa"/>
                <w:shd w:val="clear" w:color="auto" w:fill="auto"/>
                <w:noWrap/>
                <w:vAlign w:val="center"/>
                <w:hideMark/>
              </w:tcPr>
              <w:p w14:paraId="7C95E523"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2B603CF4" w14:textId="77777777" w:rsidTr="00510CE9">
            <w:trPr>
              <w:trHeight w:val="315"/>
            </w:trPr>
            <w:tc>
              <w:tcPr>
                <w:tcW w:w="4060" w:type="dxa"/>
                <w:shd w:val="clear" w:color="auto" w:fill="auto"/>
                <w:vAlign w:val="center"/>
                <w:hideMark/>
              </w:tcPr>
              <w:p w14:paraId="79D25E0D"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lastRenderedPageBreak/>
                  <w:t>Red marítima en servicio</w:t>
                </w:r>
              </w:p>
            </w:tc>
            <w:tc>
              <w:tcPr>
                <w:tcW w:w="1460" w:type="dxa"/>
                <w:shd w:val="clear" w:color="auto" w:fill="auto"/>
                <w:noWrap/>
                <w:vAlign w:val="center"/>
                <w:hideMark/>
              </w:tcPr>
              <w:p w14:paraId="166F2225"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13.904.534.788</w:t>
                </w:r>
              </w:p>
            </w:tc>
            <w:tc>
              <w:tcPr>
                <w:tcW w:w="1460" w:type="dxa"/>
                <w:shd w:val="clear" w:color="auto" w:fill="auto"/>
                <w:noWrap/>
                <w:vAlign w:val="center"/>
                <w:hideMark/>
              </w:tcPr>
              <w:p w14:paraId="407D9E03"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14.241.370.545</w:t>
                </w:r>
              </w:p>
            </w:tc>
            <w:tc>
              <w:tcPr>
                <w:tcW w:w="1320" w:type="dxa"/>
                <w:shd w:val="clear" w:color="auto" w:fill="auto"/>
                <w:noWrap/>
                <w:vAlign w:val="center"/>
                <w:hideMark/>
              </w:tcPr>
              <w:p w14:paraId="2E23B840"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-336.835.757</w:t>
                </w:r>
              </w:p>
            </w:tc>
          </w:tr>
          <w:tr w:rsidR="00AD6666" w:rsidRPr="00AD6666" w14:paraId="6F182C74" w14:textId="77777777" w:rsidTr="00510CE9">
            <w:trPr>
              <w:trHeight w:val="435"/>
            </w:trPr>
            <w:tc>
              <w:tcPr>
                <w:tcW w:w="4060" w:type="dxa"/>
                <w:shd w:val="clear" w:color="auto" w:fill="auto"/>
                <w:vAlign w:val="center"/>
                <w:hideMark/>
              </w:tcPr>
              <w:p w14:paraId="260F1DFB" w14:textId="434F7E6B"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NUEVA SOCIEDAD  PORTUARIA  ZONA  ATLANTICA   S  A</w:t>
                </w:r>
              </w:p>
            </w:tc>
            <w:tc>
              <w:tcPr>
                <w:tcW w:w="1460" w:type="dxa"/>
                <w:shd w:val="clear" w:color="auto" w:fill="auto"/>
                <w:noWrap/>
                <w:vAlign w:val="center"/>
                <w:hideMark/>
              </w:tcPr>
              <w:p w14:paraId="2CFDE8A5"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1.591.023.077</w:t>
                </w:r>
              </w:p>
            </w:tc>
            <w:tc>
              <w:tcPr>
                <w:tcW w:w="1460" w:type="dxa"/>
                <w:shd w:val="clear" w:color="auto" w:fill="auto"/>
                <w:noWrap/>
                <w:vAlign w:val="center"/>
                <w:hideMark/>
              </w:tcPr>
              <w:p w14:paraId="23D2E034"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269.980.099</w:t>
                </w:r>
              </w:p>
            </w:tc>
            <w:tc>
              <w:tcPr>
                <w:tcW w:w="1320" w:type="dxa"/>
                <w:shd w:val="clear" w:color="auto" w:fill="auto"/>
                <w:noWrap/>
                <w:vAlign w:val="center"/>
                <w:hideMark/>
              </w:tcPr>
              <w:p w14:paraId="6BEFF1B2"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1.321.042.978</w:t>
                </w:r>
              </w:p>
            </w:tc>
          </w:tr>
          <w:tr w:rsidR="00AD6666" w:rsidRPr="00AD6666" w14:paraId="17F8177B" w14:textId="77777777" w:rsidTr="00510CE9">
            <w:trPr>
              <w:trHeight w:val="315"/>
            </w:trPr>
            <w:tc>
              <w:tcPr>
                <w:tcW w:w="4060" w:type="dxa"/>
                <w:shd w:val="clear" w:color="auto" w:fill="auto"/>
                <w:vAlign w:val="center"/>
                <w:hideMark/>
              </w:tcPr>
              <w:p w14:paraId="0D6E4279"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Propiedades, planta y equipo en concesión</w:t>
                </w:r>
              </w:p>
            </w:tc>
            <w:tc>
              <w:tcPr>
                <w:tcW w:w="1460" w:type="dxa"/>
                <w:shd w:val="clear" w:color="auto" w:fill="auto"/>
                <w:noWrap/>
                <w:vAlign w:val="center"/>
                <w:hideMark/>
              </w:tcPr>
              <w:p w14:paraId="59F8D7D3"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504.144.737</w:t>
                </w:r>
              </w:p>
            </w:tc>
            <w:tc>
              <w:tcPr>
                <w:tcW w:w="1460" w:type="dxa"/>
                <w:shd w:val="clear" w:color="auto" w:fill="auto"/>
                <w:noWrap/>
                <w:vAlign w:val="center"/>
                <w:hideMark/>
              </w:tcPr>
              <w:p w14:paraId="3A7C9883"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c>
              <w:tcPr>
                <w:tcW w:w="1320" w:type="dxa"/>
                <w:shd w:val="clear" w:color="auto" w:fill="auto"/>
                <w:noWrap/>
                <w:vAlign w:val="center"/>
                <w:hideMark/>
              </w:tcPr>
              <w:p w14:paraId="58F3B1C7"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504.144.737</w:t>
                </w:r>
              </w:p>
            </w:tc>
          </w:tr>
          <w:tr w:rsidR="00AD6666" w:rsidRPr="00AD6666" w14:paraId="29C66A97" w14:textId="77777777" w:rsidTr="00510CE9">
            <w:trPr>
              <w:trHeight w:val="315"/>
            </w:trPr>
            <w:tc>
              <w:tcPr>
                <w:tcW w:w="4060" w:type="dxa"/>
                <w:shd w:val="clear" w:color="auto" w:fill="auto"/>
                <w:vAlign w:val="center"/>
                <w:hideMark/>
              </w:tcPr>
              <w:p w14:paraId="23A98AA6"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servicio</w:t>
                </w:r>
              </w:p>
            </w:tc>
            <w:tc>
              <w:tcPr>
                <w:tcW w:w="1460" w:type="dxa"/>
                <w:shd w:val="clear" w:color="auto" w:fill="auto"/>
                <w:noWrap/>
                <w:vAlign w:val="center"/>
                <w:hideMark/>
              </w:tcPr>
              <w:p w14:paraId="3A38C84A"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1.086.878.340</w:t>
                </w:r>
              </w:p>
            </w:tc>
            <w:tc>
              <w:tcPr>
                <w:tcW w:w="1460" w:type="dxa"/>
                <w:shd w:val="clear" w:color="auto" w:fill="auto"/>
                <w:noWrap/>
                <w:vAlign w:val="center"/>
                <w:hideMark/>
              </w:tcPr>
              <w:p w14:paraId="2F688B63"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269.980.099</w:t>
                </w:r>
              </w:p>
            </w:tc>
            <w:tc>
              <w:tcPr>
                <w:tcW w:w="1320" w:type="dxa"/>
                <w:shd w:val="clear" w:color="auto" w:fill="auto"/>
                <w:noWrap/>
                <w:vAlign w:val="center"/>
                <w:hideMark/>
              </w:tcPr>
              <w:p w14:paraId="58B819E6"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816.898.241</w:t>
                </w:r>
              </w:p>
            </w:tc>
          </w:tr>
          <w:tr w:rsidR="00AD6666" w:rsidRPr="00AD6666" w14:paraId="513F8F45" w14:textId="77777777" w:rsidTr="00510CE9">
            <w:trPr>
              <w:trHeight w:val="315"/>
            </w:trPr>
            <w:tc>
              <w:tcPr>
                <w:tcW w:w="4060" w:type="dxa"/>
                <w:shd w:val="clear" w:color="auto" w:fill="auto"/>
                <w:vAlign w:val="center"/>
                <w:hideMark/>
              </w:tcPr>
              <w:p w14:paraId="3BF3FB1F" w14:textId="77777777"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OILTANKING COLOMBIA S.A.</w:t>
                </w:r>
              </w:p>
            </w:tc>
            <w:tc>
              <w:tcPr>
                <w:tcW w:w="1460" w:type="dxa"/>
                <w:shd w:val="clear" w:color="auto" w:fill="auto"/>
                <w:noWrap/>
                <w:vAlign w:val="center"/>
                <w:hideMark/>
              </w:tcPr>
              <w:p w14:paraId="19F5AD0E"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11.252.742.104</w:t>
                </w:r>
              </w:p>
            </w:tc>
            <w:tc>
              <w:tcPr>
                <w:tcW w:w="1460" w:type="dxa"/>
                <w:shd w:val="clear" w:color="auto" w:fill="auto"/>
                <w:noWrap/>
                <w:vAlign w:val="center"/>
                <w:hideMark/>
              </w:tcPr>
              <w:p w14:paraId="00FCAEEF"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10.444.336.570</w:t>
                </w:r>
              </w:p>
            </w:tc>
            <w:tc>
              <w:tcPr>
                <w:tcW w:w="1320" w:type="dxa"/>
                <w:shd w:val="clear" w:color="auto" w:fill="auto"/>
                <w:noWrap/>
                <w:vAlign w:val="center"/>
                <w:hideMark/>
              </w:tcPr>
              <w:p w14:paraId="78CFA6D1"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808.405.534</w:t>
                </w:r>
              </w:p>
            </w:tc>
          </w:tr>
          <w:tr w:rsidR="00AD6666" w:rsidRPr="00AD6666" w14:paraId="612A306E" w14:textId="77777777" w:rsidTr="00510CE9">
            <w:trPr>
              <w:trHeight w:val="315"/>
            </w:trPr>
            <w:tc>
              <w:tcPr>
                <w:tcW w:w="4060" w:type="dxa"/>
                <w:shd w:val="clear" w:color="auto" w:fill="auto"/>
                <w:vAlign w:val="center"/>
                <w:hideMark/>
              </w:tcPr>
              <w:p w14:paraId="0E682C4D"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Propiedades, planta y equipo en concesión</w:t>
                </w:r>
              </w:p>
            </w:tc>
            <w:tc>
              <w:tcPr>
                <w:tcW w:w="1460" w:type="dxa"/>
                <w:shd w:val="clear" w:color="auto" w:fill="auto"/>
                <w:noWrap/>
                <w:vAlign w:val="center"/>
                <w:hideMark/>
              </w:tcPr>
              <w:p w14:paraId="4D783E78"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1.806.535.373</w:t>
                </w:r>
              </w:p>
            </w:tc>
            <w:tc>
              <w:tcPr>
                <w:tcW w:w="1460" w:type="dxa"/>
                <w:shd w:val="clear" w:color="auto" w:fill="auto"/>
                <w:noWrap/>
                <w:vAlign w:val="center"/>
                <w:hideMark/>
              </w:tcPr>
              <w:p w14:paraId="190159C9"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1.508.323.577</w:t>
                </w:r>
              </w:p>
            </w:tc>
            <w:tc>
              <w:tcPr>
                <w:tcW w:w="1320" w:type="dxa"/>
                <w:shd w:val="clear" w:color="auto" w:fill="auto"/>
                <w:noWrap/>
                <w:vAlign w:val="center"/>
                <w:hideMark/>
              </w:tcPr>
              <w:p w14:paraId="63DE45D7"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298.211.796</w:t>
                </w:r>
              </w:p>
            </w:tc>
          </w:tr>
          <w:tr w:rsidR="00AD6666" w:rsidRPr="00AD6666" w14:paraId="5D6B1234" w14:textId="77777777" w:rsidTr="00510CE9">
            <w:trPr>
              <w:trHeight w:val="315"/>
            </w:trPr>
            <w:tc>
              <w:tcPr>
                <w:tcW w:w="4060" w:type="dxa"/>
                <w:shd w:val="clear" w:color="auto" w:fill="auto"/>
                <w:vAlign w:val="center"/>
                <w:hideMark/>
              </w:tcPr>
              <w:p w14:paraId="2A90D84F"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construcción</w:t>
                </w:r>
              </w:p>
            </w:tc>
            <w:tc>
              <w:tcPr>
                <w:tcW w:w="1460" w:type="dxa"/>
                <w:shd w:val="clear" w:color="auto" w:fill="auto"/>
                <w:noWrap/>
                <w:vAlign w:val="center"/>
                <w:hideMark/>
              </w:tcPr>
              <w:p w14:paraId="11C71B34"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7.554.767.893</w:t>
                </w:r>
              </w:p>
            </w:tc>
            <w:tc>
              <w:tcPr>
                <w:tcW w:w="1460" w:type="dxa"/>
                <w:shd w:val="clear" w:color="auto" w:fill="auto"/>
                <w:noWrap/>
                <w:vAlign w:val="center"/>
                <w:hideMark/>
              </w:tcPr>
              <w:p w14:paraId="1E6B5ED4"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7.070.356.395</w:t>
                </w:r>
              </w:p>
            </w:tc>
            <w:tc>
              <w:tcPr>
                <w:tcW w:w="1320" w:type="dxa"/>
                <w:shd w:val="clear" w:color="auto" w:fill="auto"/>
                <w:noWrap/>
                <w:vAlign w:val="center"/>
                <w:hideMark/>
              </w:tcPr>
              <w:p w14:paraId="1821A2B1"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484.411.498</w:t>
                </w:r>
              </w:p>
            </w:tc>
          </w:tr>
          <w:tr w:rsidR="00AD6666" w:rsidRPr="00AD6666" w14:paraId="03E1EB34" w14:textId="77777777" w:rsidTr="00510CE9">
            <w:trPr>
              <w:trHeight w:val="315"/>
            </w:trPr>
            <w:tc>
              <w:tcPr>
                <w:tcW w:w="4060" w:type="dxa"/>
                <w:shd w:val="clear" w:color="auto" w:fill="auto"/>
                <w:vAlign w:val="center"/>
                <w:hideMark/>
              </w:tcPr>
              <w:p w14:paraId="6FA62DAE"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servicio</w:t>
                </w:r>
              </w:p>
            </w:tc>
            <w:tc>
              <w:tcPr>
                <w:tcW w:w="1460" w:type="dxa"/>
                <w:shd w:val="clear" w:color="auto" w:fill="auto"/>
                <w:noWrap/>
                <w:vAlign w:val="center"/>
                <w:hideMark/>
              </w:tcPr>
              <w:p w14:paraId="55334F6A"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1.891.438.838</w:t>
                </w:r>
              </w:p>
            </w:tc>
            <w:tc>
              <w:tcPr>
                <w:tcW w:w="1460" w:type="dxa"/>
                <w:shd w:val="clear" w:color="auto" w:fill="auto"/>
                <w:noWrap/>
                <w:vAlign w:val="center"/>
                <w:hideMark/>
              </w:tcPr>
              <w:p w14:paraId="2C7A823B"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1.865.656.598</w:t>
                </w:r>
              </w:p>
            </w:tc>
            <w:tc>
              <w:tcPr>
                <w:tcW w:w="1320" w:type="dxa"/>
                <w:shd w:val="clear" w:color="auto" w:fill="auto"/>
                <w:noWrap/>
                <w:vAlign w:val="center"/>
                <w:hideMark/>
              </w:tcPr>
              <w:p w14:paraId="72E2DA69"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25.782.240</w:t>
                </w:r>
              </w:p>
            </w:tc>
          </w:tr>
          <w:tr w:rsidR="00AD6666" w:rsidRPr="00AD6666" w14:paraId="1FE6D6DA" w14:textId="77777777" w:rsidTr="00510CE9">
            <w:trPr>
              <w:trHeight w:val="315"/>
            </w:trPr>
            <w:tc>
              <w:tcPr>
                <w:tcW w:w="4060" w:type="dxa"/>
                <w:shd w:val="clear" w:color="auto" w:fill="auto"/>
                <w:vAlign w:val="center"/>
                <w:hideMark/>
              </w:tcPr>
              <w:p w14:paraId="0D08E384" w14:textId="77777777"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OLEODUCTO CENTRAL S.A.</w:t>
                </w:r>
              </w:p>
            </w:tc>
            <w:tc>
              <w:tcPr>
                <w:tcW w:w="1460" w:type="dxa"/>
                <w:shd w:val="clear" w:color="auto" w:fill="auto"/>
                <w:noWrap/>
                <w:vAlign w:val="center"/>
                <w:hideMark/>
              </w:tcPr>
              <w:p w14:paraId="290CE638"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329.230.788.170</w:t>
                </w:r>
              </w:p>
            </w:tc>
            <w:tc>
              <w:tcPr>
                <w:tcW w:w="1460" w:type="dxa"/>
                <w:shd w:val="clear" w:color="auto" w:fill="auto"/>
                <w:noWrap/>
                <w:vAlign w:val="center"/>
                <w:hideMark/>
              </w:tcPr>
              <w:p w14:paraId="6EE8ACB6"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318.837.365.601</w:t>
                </w:r>
              </w:p>
            </w:tc>
            <w:tc>
              <w:tcPr>
                <w:tcW w:w="1320" w:type="dxa"/>
                <w:shd w:val="clear" w:color="auto" w:fill="auto"/>
                <w:noWrap/>
                <w:vAlign w:val="center"/>
                <w:hideMark/>
              </w:tcPr>
              <w:p w14:paraId="6F36AF0F"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10.393.422.569</w:t>
                </w:r>
              </w:p>
            </w:tc>
          </w:tr>
          <w:tr w:rsidR="00AD6666" w:rsidRPr="00AD6666" w14:paraId="36CDEB86" w14:textId="77777777" w:rsidTr="00510CE9">
            <w:trPr>
              <w:trHeight w:val="315"/>
            </w:trPr>
            <w:tc>
              <w:tcPr>
                <w:tcW w:w="4060" w:type="dxa"/>
                <w:shd w:val="clear" w:color="auto" w:fill="auto"/>
                <w:vAlign w:val="center"/>
                <w:hideMark/>
              </w:tcPr>
              <w:p w14:paraId="75CD1B2B"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Propiedades, planta y equipo en concesión</w:t>
                </w:r>
              </w:p>
            </w:tc>
            <w:tc>
              <w:tcPr>
                <w:tcW w:w="1460" w:type="dxa"/>
                <w:shd w:val="clear" w:color="auto" w:fill="auto"/>
                <w:noWrap/>
                <w:vAlign w:val="center"/>
                <w:hideMark/>
              </w:tcPr>
              <w:p w14:paraId="589846BE"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168.879.782.477</w:t>
                </w:r>
              </w:p>
            </w:tc>
            <w:tc>
              <w:tcPr>
                <w:tcW w:w="1460" w:type="dxa"/>
                <w:shd w:val="clear" w:color="auto" w:fill="auto"/>
                <w:noWrap/>
                <w:vAlign w:val="center"/>
                <w:hideMark/>
              </w:tcPr>
              <w:p w14:paraId="64DEC641"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158.464.439.233</w:t>
                </w:r>
              </w:p>
            </w:tc>
            <w:tc>
              <w:tcPr>
                <w:tcW w:w="1320" w:type="dxa"/>
                <w:shd w:val="clear" w:color="auto" w:fill="auto"/>
                <w:noWrap/>
                <w:vAlign w:val="center"/>
                <w:hideMark/>
              </w:tcPr>
              <w:p w14:paraId="5168A6A5"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10.415.343.244</w:t>
                </w:r>
              </w:p>
            </w:tc>
          </w:tr>
          <w:tr w:rsidR="00AD6666" w:rsidRPr="00AD6666" w14:paraId="4DA2D4FF" w14:textId="77777777" w:rsidTr="00510CE9">
            <w:trPr>
              <w:trHeight w:val="315"/>
            </w:trPr>
            <w:tc>
              <w:tcPr>
                <w:tcW w:w="4060" w:type="dxa"/>
                <w:shd w:val="clear" w:color="auto" w:fill="auto"/>
                <w:vAlign w:val="center"/>
                <w:hideMark/>
              </w:tcPr>
              <w:p w14:paraId="14D13685"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construcción</w:t>
                </w:r>
              </w:p>
            </w:tc>
            <w:tc>
              <w:tcPr>
                <w:tcW w:w="1460" w:type="dxa"/>
                <w:shd w:val="clear" w:color="auto" w:fill="auto"/>
                <w:noWrap/>
                <w:vAlign w:val="center"/>
                <w:hideMark/>
              </w:tcPr>
              <w:p w14:paraId="392540B1"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20.152.460.809</w:t>
                </w:r>
              </w:p>
            </w:tc>
            <w:tc>
              <w:tcPr>
                <w:tcW w:w="1460" w:type="dxa"/>
                <w:shd w:val="clear" w:color="auto" w:fill="auto"/>
                <w:noWrap/>
                <w:vAlign w:val="center"/>
                <w:hideMark/>
              </w:tcPr>
              <w:p w14:paraId="652F9EDD"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45.304.140.378</w:t>
                </w:r>
              </w:p>
            </w:tc>
            <w:tc>
              <w:tcPr>
                <w:tcW w:w="1320" w:type="dxa"/>
                <w:shd w:val="clear" w:color="auto" w:fill="auto"/>
                <w:noWrap/>
                <w:vAlign w:val="center"/>
                <w:hideMark/>
              </w:tcPr>
              <w:p w14:paraId="6EEE78F2"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-25.151.679.569</w:t>
                </w:r>
              </w:p>
            </w:tc>
          </w:tr>
          <w:tr w:rsidR="00AD6666" w:rsidRPr="00AD6666" w14:paraId="0FC8A452" w14:textId="77777777" w:rsidTr="00510CE9">
            <w:trPr>
              <w:trHeight w:val="315"/>
            </w:trPr>
            <w:tc>
              <w:tcPr>
                <w:tcW w:w="4060" w:type="dxa"/>
                <w:shd w:val="clear" w:color="auto" w:fill="auto"/>
                <w:vAlign w:val="center"/>
                <w:hideMark/>
              </w:tcPr>
              <w:p w14:paraId="7AD228DA"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servicio</w:t>
                </w:r>
              </w:p>
            </w:tc>
            <w:tc>
              <w:tcPr>
                <w:tcW w:w="1460" w:type="dxa"/>
                <w:shd w:val="clear" w:color="auto" w:fill="auto"/>
                <w:noWrap/>
                <w:vAlign w:val="center"/>
                <w:hideMark/>
              </w:tcPr>
              <w:p w14:paraId="6B763AD0"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140.198.544.884</w:t>
                </w:r>
              </w:p>
            </w:tc>
            <w:tc>
              <w:tcPr>
                <w:tcW w:w="1460" w:type="dxa"/>
                <w:shd w:val="clear" w:color="auto" w:fill="auto"/>
                <w:noWrap/>
                <w:vAlign w:val="center"/>
                <w:hideMark/>
              </w:tcPr>
              <w:p w14:paraId="31BB3513"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115.068.785.990</w:t>
                </w:r>
              </w:p>
            </w:tc>
            <w:tc>
              <w:tcPr>
                <w:tcW w:w="1320" w:type="dxa"/>
                <w:shd w:val="clear" w:color="auto" w:fill="auto"/>
                <w:noWrap/>
                <w:vAlign w:val="center"/>
                <w:hideMark/>
              </w:tcPr>
              <w:p w14:paraId="75EFE8F3"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25.129.758.894</w:t>
                </w:r>
              </w:p>
            </w:tc>
          </w:tr>
          <w:tr w:rsidR="00AD6666" w:rsidRPr="00AD6666" w14:paraId="0197CE4D" w14:textId="77777777" w:rsidTr="00510CE9">
            <w:trPr>
              <w:trHeight w:val="315"/>
            </w:trPr>
            <w:tc>
              <w:tcPr>
                <w:tcW w:w="4060" w:type="dxa"/>
                <w:shd w:val="clear" w:color="auto" w:fill="auto"/>
                <w:vAlign w:val="center"/>
                <w:hideMark/>
              </w:tcPr>
              <w:p w14:paraId="1F54A2F3" w14:textId="77777777"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PETROLEOS Y DERIVADOS DE COLOMBIA S.A.</w:t>
                </w:r>
              </w:p>
            </w:tc>
            <w:tc>
              <w:tcPr>
                <w:tcW w:w="1460" w:type="dxa"/>
                <w:shd w:val="clear" w:color="auto" w:fill="auto"/>
                <w:noWrap/>
                <w:vAlign w:val="center"/>
                <w:hideMark/>
              </w:tcPr>
              <w:p w14:paraId="0CFC10DC"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589.549.780</w:t>
                </w:r>
              </w:p>
            </w:tc>
            <w:tc>
              <w:tcPr>
                <w:tcW w:w="1460" w:type="dxa"/>
                <w:shd w:val="clear" w:color="auto" w:fill="auto"/>
                <w:noWrap/>
                <w:vAlign w:val="center"/>
                <w:hideMark/>
              </w:tcPr>
              <w:p w14:paraId="3D1F6D76"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448.488.482</w:t>
                </w:r>
              </w:p>
            </w:tc>
            <w:tc>
              <w:tcPr>
                <w:tcW w:w="1320" w:type="dxa"/>
                <w:shd w:val="clear" w:color="auto" w:fill="auto"/>
                <w:noWrap/>
                <w:vAlign w:val="center"/>
                <w:hideMark/>
              </w:tcPr>
              <w:p w14:paraId="79B721C7"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141.061.298</w:t>
                </w:r>
              </w:p>
            </w:tc>
          </w:tr>
          <w:tr w:rsidR="00AD6666" w:rsidRPr="00AD6666" w14:paraId="02EC43B8" w14:textId="77777777" w:rsidTr="00510CE9">
            <w:trPr>
              <w:trHeight w:val="315"/>
            </w:trPr>
            <w:tc>
              <w:tcPr>
                <w:tcW w:w="4060" w:type="dxa"/>
                <w:shd w:val="clear" w:color="auto" w:fill="auto"/>
                <w:vAlign w:val="center"/>
                <w:hideMark/>
              </w:tcPr>
              <w:p w14:paraId="37D20EF4"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construcción</w:t>
                </w:r>
              </w:p>
            </w:tc>
            <w:tc>
              <w:tcPr>
                <w:tcW w:w="1460" w:type="dxa"/>
                <w:shd w:val="clear" w:color="auto" w:fill="auto"/>
                <w:noWrap/>
                <w:vAlign w:val="center"/>
                <w:hideMark/>
              </w:tcPr>
              <w:p w14:paraId="10947C37"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589.549.780</w:t>
                </w:r>
              </w:p>
            </w:tc>
            <w:tc>
              <w:tcPr>
                <w:tcW w:w="1460" w:type="dxa"/>
                <w:shd w:val="clear" w:color="auto" w:fill="auto"/>
                <w:noWrap/>
                <w:vAlign w:val="center"/>
                <w:hideMark/>
              </w:tcPr>
              <w:p w14:paraId="2B6DF331"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448.488.482</w:t>
                </w:r>
              </w:p>
            </w:tc>
            <w:tc>
              <w:tcPr>
                <w:tcW w:w="1320" w:type="dxa"/>
                <w:shd w:val="clear" w:color="auto" w:fill="auto"/>
                <w:noWrap/>
                <w:vAlign w:val="center"/>
                <w:hideMark/>
              </w:tcPr>
              <w:p w14:paraId="341774E5"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141.061.298</w:t>
                </w:r>
              </w:p>
            </w:tc>
          </w:tr>
          <w:tr w:rsidR="00AD6666" w:rsidRPr="00AD6666" w14:paraId="65BA84F8" w14:textId="77777777" w:rsidTr="00510CE9">
            <w:trPr>
              <w:trHeight w:val="315"/>
            </w:trPr>
            <w:tc>
              <w:tcPr>
                <w:tcW w:w="4060" w:type="dxa"/>
                <w:shd w:val="clear" w:color="auto" w:fill="auto"/>
                <w:vAlign w:val="center"/>
                <w:hideMark/>
              </w:tcPr>
              <w:p w14:paraId="3CEEAB1B" w14:textId="77777777"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PORTUARIA PUNTA DE VACA S.A.</w:t>
                </w:r>
              </w:p>
            </w:tc>
            <w:tc>
              <w:tcPr>
                <w:tcW w:w="1460" w:type="dxa"/>
                <w:shd w:val="clear" w:color="auto" w:fill="auto"/>
                <w:noWrap/>
                <w:vAlign w:val="center"/>
                <w:hideMark/>
              </w:tcPr>
              <w:p w14:paraId="2B270CAB"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167.004.249</w:t>
                </w:r>
              </w:p>
            </w:tc>
            <w:tc>
              <w:tcPr>
                <w:tcW w:w="1460" w:type="dxa"/>
                <w:shd w:val="clear" w:color="auto" w:fill="auto"/>
                <w:noWrap/>
                <w:vAlign w:val="center"/>
                <w:hideMark/>
              </w:tcPr>
              <w:p w14:paraId="141DCF25"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167.004.249</w:t>
                </w:r>
              </w:p>
            </w:tc>
            <w:tc>
              <w:tcPr>
                <w:tcW w:w="1320" w:type="dxa"/>
                <w:shd w:val="clear" w:color="auto" w:fill="auto"/>
                <w:noWrap/>
                <w:vAlign w:val="center"/>
                <w:hideMark/>
              </w:tcPr>
              <w:p w14:paraId="56A07BCE"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0</w:t>
                </w:r>
              </w:p>
            </w:tc>
          </w:tr>
          <w:tr w:rsidR="00AD6666" w:rsidRPr="00AD6666" w14:paraId="67DA0C74" w14:textId="77777777" w:rsidTr="00510CE9">
            <w:trPr>
              <w:trHeight w:val="315"/>
            </w:trPr>
            <w:tc>
              <w:tcPr>
                <w:tcW w:w="4060" w:type="dxa"/>
                <w:shd w:val="clear" w:color="auto" w:fill="auto"/>
                <w:vAlign w:val="center"/>
                <w:hideMark/>
              </w:tcPr>
              <w:p w14:paraId="3F8C16F4"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Propiedades, planta y equipo en concesión</w:t>
                </w:r>
              </w:p>
            </w:tc>
            <w:tc>
              <w:tcPr>
                <w:tcW w:w="1460" w:type="dxa"/>
                <w:shd w:val="clear" w:color="auto" w:fill="auto"/>
                <w:noWrap/>
                <w:vAlign w:val="center"/>
                <w:hideMark/>
              </w:tcPr>
              <w:p w14:paraId="7C5967F4"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38.482.099</w:t>
                </w:r>
              </w:p>
            </w:tc>
            <w:tc>
              <w:tcPr>
                <w:tcW w:w="1460" w:type="dxa"/>
                <w:shd w:val="clear" w:color="auto" w:fill="auto"/>
                <w:noWrap/>
                <w:vAlign w:val="center"/>
                <w:hideMark/>
              </w:tcPr>
              <w:p w14:paraId="0CF5E944"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38.482.099</w:t>
                </w:r>
              </w:p>
            </w:tc>
            <w:tc>
              <w:tcPr>
                <w:tcW w:w="1320" w:type="dxa"/>
                <w:shd w:val="clear" w:color="auto" w:fill="auto"/>
                <w:noWrap/>
                <w:vAlign w:val="center"/>
                <w:hideMark/>
              </w:tcPr>
              <w:p w14:paraId="51027F4A"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1ABD9939" w14:textId="77777777" w:rsidTr="00510CE9">
            <w:trPr>
              <w:trHeight w:val="315"/>
            </w:trPr>
            <w:tc>
              <w:tcPr>
                <w:tcW w:w="4060" w:type="dxa"/>
                <w:shd w:val="clear" w:color="auto" w:fill="auto"/>
                <w:vAlign w:val="center"/>
                <w:hideMark/>
              </w:tcPr>
              <w:p w14:paraId="331C9E6D"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servicio</w:t>
                </w:r>
              </w:p>
            </w:tc>
            <w:tc>
              <w:tcPr>
                <w:tcW w:w="1460" w:type="dxa"/>
                <w:shd w:val="clear" w:color="auto" w:fill="auto"/>
                <w:noWrap/>
                <w:vAlign w:val="center"/>
                <w:hideMark/>
              </w:tcPr>
              <w:p w14:paraId="6BF67EBB"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128.522.150</w:t>
                </w:r>
              </w:p>
            </w:tc>
            <w:tc>
              <w:tcPr>
                <w:tcW w:w="1460" w:type="dxa"/>
                <w:shd w:val="clear" w:color="auto" w:fill="auto"/>
                <w:noWrap/>
                <w:vAlign w:val="center"/>
                <w:hideMark/>
              </w:tcPr>
              <w:p w14:paraId="6A68C28B"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128.522.150</w:t>
                </w:r>
              </w:p>
            </w:tc>
            <w:tc>
              <w:tcPr>
                <w:tcW w:w="1320" w:type="dxa"/>
                <w:shd w:val="clear" w:color="auto" w:fill="auto"/>
                <w:noWrap/>
                <w:vAlign w:val="center"/>
                <w:hideMark/>
              </w:tcPr>
              <w:p w14:paraId="4FFC3D04"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0B460347" w14:textId="77777777" w:rsidTr="00510CE9">
            <w:trPr>
              <w:trHeight w:val="315"/>
            </w:trPr>
            <w:tc>
              <w:tcPr>
                <w:tcW w:w="4060" w:type="dxa"/>
                <w:shd w:val="clear" w:color="auto" w:fill="auto"/>
                <w:vAlign w:val="center"/>
                <w:hideMark/>
              </w:tcPr>
              <w:p w14:paraId="76ABE038" w14:textId="77777777"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PRIMAX COLOMBIA S A</w:t>
                </w:r>
              </w:p>
            </w:tc>
            <w:tc>
              <w:tcPr>
                <w:tcW w:w="1460" w:type="dxa"/>
                <w:shd w:val="clear" w:color="auto" w:fill="auto"/>
                <w:noWrap/>
                <w:vAlign w:val="center"/>
                <w:hideMark/>
              </w:tcPr>
              <w:p w14:paraId="3AC5AD3E"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14.168.243.735</w:t>
                </w:r>
              </w:p>
            </w:tc>
            <w:tc>
              <w:tcPr>
                <w:tcW w:w="1460" w:type="dxa"/>
                <w:shd w:val="clear" w:color="auto" w:fill="auto"/>
                <w:noWrap/>
                <w:vAlign w:val="center"/>
                <w:hideMark/>
              </w:tcPr>
              <w:p w14:paraId="4C9408C0"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0</w:t>
                </w:r>
              </w:p>
            </w:tc>
            <w:tc>
              <w:tcPr>
                <w:tcW w:w="1320" w:type="dxa"/>
                <w:shd w:val="clear" w:color="auto" w:fill="auto"/>
                <w:noWrap/>
                <w:vAlign w:val="center"/>
                <w:hideMark/>
              </w:tcPr>
              <w:p w14:paraId="662096CC"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14.168.243.735</w:t>
                </w:r>
              </w:p>
            </w:tc>
          </w:tr>
          <w:tr w:rsidR="00AD6666" w:rsidRPr="00AD6666" w14:paraId="72125558" w14:textId="77777777" w:rsidTr="00510CE9">
            <w:trPr>
              <w:trHeight w:val="315"/>
            </w:trPr>
            <w:tc>
              <w:tcPr>
                <w:tcW w:w="4060" w:type="dxa"/>
                <w:shd w:val="clear" w:color="auto" w:fill="auto"/>
                <w:vAlign w:val="center"/>
                <w:hideMark/>
              </w:tcPr>
              <w:p w14:paraId="17F8753D"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servicio</w:t>
                </w:r>
              </w:p>
            </w:tc>
            <w:tc>
              <w:tcPr>
                <w:tcW w:w="1460" w:type="dxa"/>
                <w:shd w:val="clear" w:color="auto" w:fill="auto"/>
                <w:noWrap/>
                <w:vAlign w:val="center"/>
                <w:hideMark/>
              </w:tcPr>
              <w:p w14:paraId="31B672B6"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14.168.243.735</w:t>
                </w:r>
              </w:p>
            </w:tc>
            <w:tc>
              <w:tcPr>
                <w:tcW w:w="1460" w:type="dxa"/>
                <w:shd w:val="clear" w:color="auto" w:fill="auto"/>
                <w:noWrap/>
                <w:vAlign w:val="center"/>
                <w:hideMark/>
              </w:tcPr>
              <w:p w14:paraId="3F5B89E2"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c>
              <w:tcPr>
                <w:tcW w:w="1320" w:type="dxa"/>
                <w:shd w:val="clear" w:color="auto" w:fill="auto"/>
                <w:noWrap/>
                <w:vAlign w:val="center"/>
                <w:hideMark/>
              </w:tcPr>
              <w:p w14:paraId="35C56DCE"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14.168.243.735</w:t>
                </w:r>
              </w:p>
            </w:tc>
          </w:tr>
          <w:tr w:rsidR="00AD6666" w:rsidRPr="00AD6666" w14:paraId="3BC1BCDC" w14:textId="77777777" w:rsidTr="00510CE9">
            <w:trPr>
              <w:trHeight w:val="315"/>
            </w:trPr>
            <w:tc>
              <w:tcPr>
                <w:tcW w:w="4060" w:type="dxa"/>
                <w:shd w:val="clear" w:color="auto" w:fill="auto"/>
                <w:vAlign w:val="center"/>
                <w:hideMark/>
              </w:tcPr>
              <w:p w14:paraId="4461052F" w14:textId="77777777"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PUERTO BAHIA COLOMBIA DE URABA SA</w:t>
                </w:r>
              </w:p>
            </w:tc>
            <w:tc>
              <w:tcPr>
                <w:tcW w:w="1460" w:type="dxa"/>
                <w:shd w:val="clear" w:color="auto" w:fill="auto"/>
                <w:noWrap/>
                <w:vAlign w:val="center"/>
                <w:hideMark/>
              </w:tcPr>
              <w:p w14:paraId="5910AB6C"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912.537.561.454</w:t>
                </w:r>
              </w:p>
            </w:tc>
            <w:tc>
              <w:tcPr>
                <w:tcW w:w="1460" w:type="dxa"/>
                <w:shd w:val="clear" w:color="auto" w:fill="auto"/>
                <w:noWrap/>
                <w:vAlign w:val="center"/>
                <w:hideMark/>
              </w:tcPr>
              <w:p w14:paraId="6F8D35C8"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88.026.019.993</w:t>
                </w:r>
              </w:p>
            </w:tc>
            <w:tc>
              <w:tcPr>
                <w:tcW w:w="1320" w:type="dxa"/>
                <w:shd w:val="clear" w:color="auto" w:fill="auto"/>
                <w:noWrap/>
                <w:vAlign w:val="center"/>
                <w:hideMark/>
              </w:tcPr>
              <w:p w14:paraId="17553AE9"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824.511.541.461</w:t>
                </w:r>
              </w:p>
            </w:tc>
          </w:tr>
          <w:tr w:rsidR="00AD6666" w:rsidRPr="00AD6666" w14:paraId="1502F38B" w14:textId="77777777" w:rsidTr="00510CE9">
            <w:trPr>
              <w:trHeight w:val="315"/>
            </w:trPr>
            <w:tc>
              <w:tcPr>
                <w:tcW w:w="4060" w:type="dxa"/>
                <w:shd w:val="clear" w:color="auto" w:fill="auto"/>
                <w:vAlign w:val="center"/>
                <w:hideMark/>
              </w:tcPr>
              <w:p w14:paraId="127710F4"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construcción</w:t>
                </w:r>
              </w:p>
            </w:tc>
            <w:tc>
              <w:tcPr>
                <w:tcW w:w="1460" w:type="dxa"/>
                <w:shd w:val="clear" w:color="auto" w:fill="auto"/>
                <w:noWrap/>
                <w:vAlign w:val="center"/>
                <w:hideMark/>
              </w:tcPr>
              <w:p w14:paraId="7CD2099F"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912.537.561.454</w:t>
                </w:r>
              </w:p>
            </w:tc>
            <w:tc>
              <w:tcPr>
                <w:tcW w:w="1460" w:type="dxa"/>
                <w:shd w:val="clear" w:color="auto" w:fill="auto"/>
                <w:noWrap/>
                <w:vAlign w:val="center"/>
                <w:hideMark/>
              </w:tcPr>
              <w:p w14:paraId="20C826AE"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73.006.108.293</w:t>
                </w:r>
              </w:p>
            </w:tc>
            <w:tc>
              <w:tcPr>
                <w:tcW w:w="1320" w:type="dxa"/>
                <w:shd w:val="clear" w:color="auto" w:fill="auto"/>
                <w:noWrap/>
                <w:vAlign w:val="center"/>
                <w:hideMark/>
              </w:tcPr>
              <w:p w14:paraId="398095E3"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839.531.453.161</w:t>
                </w:r>
              </w:p>
            </w:tc>
          </w:tr>
          <w:tr w:rsidR="00AD6666" w:rsidRPr="00AD6666" w14:paraId="72EF6FC6" w14:textId="77777777" w:rsidTr="00510CE9">
            <w:trPr>
              <w:trHeight w:val="315"/>
            </w:trPr>
            <w:tc>
              <w:tcPr>
                <w:tcW w:w="4060" w:type="dxa"/>
                <w:shd w:val="clear" w:color="auto" w:fill="auto"/>
                <w:vAlign w:val="center"/>
                <w:hideMark/>
              </w:tcPr>
              <w:p w14:paraId="2D45D950"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servicio</w:t>
                </w:r>
              </w:p>
            </w:tc>
            <w:tc>
              <w:tcPr>
                <w:tcW w:w="1460" w:type="dxa"/>
                <w:shd w:val="clear" w:color="auto" w:fill="auto"/>
                <w:noWrap/>
                <w:vAlign w:val="center"/>
                <w:hideMark/>
              </w:tcPr>
              <w:p w14:paraId="6BAEA648"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c>
              <w:tcPr>
                <w:tcW w:w="1460" w:type="dxa"/>
                <w:shd w:val="clear" w:color="auto" w:fill="auto"/>
                <w:noWrap/>
                <w:vAlign w:val="center"/>
                <w:hideMark/>
              </w:tcPr>
              <w:p w14:paraId="262DF84B"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15.019.911.700</w:t>
                </w:r>
              </w:p>
            </w:tc>
            <w:tc>
              <w:tcPr>
                <w:tcW w:w="1320" w:type="dxa"/>
                <w:shd w:val="clear" w:color="auto" w:fill="auto"/>
                <w:noWrap/>
                <w:vAlign w:val="center"/>
                <w:hideMark/>
              </w:tcPr>
              <w:p w14:paraId="4C9B0A85"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-15.019.911.700</w:t>
                </w:r>
              </w:p>
            </w:tc>
          </w:tr>
          <w:tr w:rsidR="00AD6666" w:rsidRPr="00AD6666" w14:paraId="1F68864D" w14:textId="77777777" w:rsidTr="00510CE9">
            <w:trPr>
              <w:trHeight w:val="315"/>
            </w:trPr>
            <w:tc>
              <w:tcPr>
                <w:tcW w:w="4060" w:type="dxa"/>
                <w:shd w:val="clear" w:color="auto" w:fill="auto"/>
                <w:vAlign w:val="center"/>
                <w:hideMark/>
              </w:tcPr>
              <w:p w14:paraId="669FE880" w14:textId="77777777"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PUERTO BRISA S.A.</w:t>
                </w:r>
              </w:p>
            </w:tc>
            <w:tc>
              <w:tcPr>
                <w:tcW w:w="1460" w:type="dxa"/>
                <w:shd w:val="clear" w:color="auto" w:fill="auto"/>
                <w:noWrap/>
                <w:vAlign w:val="center"/>
                <w:hideMark/>
              </w:tcPr>
              <w:p w14:paraId="1FA77428"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145.598.055.055</w:t>
                </w:r>
              </w:p>
            </w:tc>
            <w:tc>
              <w:tcPr>
                <w:tcW w:w="1460" w:type="dxa"/>
                <w:shd w:val="clear" w:color="auto" w:fill="auto"/>
                <w:noWrap/>
                <w:vAlign w:val="center"/>
                <w:hideMark/>
              </w:tcPr>
              <w:p w14:paraId="761FED75"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145.598.055.055</w:t>
                </w:r>
              </w:p>
            </w:tc>
            <w:tc>
              <w:tcPr>
                <w:tcW w:w="1320" w:type="dxa"/>
                <w:shd w:val="clear" w:color="auto" w:fill="auto"/>
                <w:noWrap/>
                <w:vAlign w:val="center"/>
                <w:hideMark/>
              </w:tcPr>
              <w:p w14:paraId="41E593EB"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0</w:t>
                </w:r>
              </w:p>
            </w:tc>
          </w:tr>
          <w:tr w:rsidR="00AD6666" w:rsidRPr="00AD6666" w14:paraId="3F280968" w14:textId="77777777" w:rsidTr="00510CE9">
            <w:trPr>
              <w:trHeight w:val="315"/>
            </w:trPr>
            <w:tc>
              <w:tcPr>
                <w:tcW w:w="4060" w:type="dxa"/>
                <w:shd w:val="clear" w:color="auto" w:fill="auto"/>
                <w:vAlign w:val="center"/>
                <w:hideMark/>
              </w:tcPr>
              <w:p w14:paraId="07F4E8FB"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Propiedades, planta y equipo en concesión</w:t>
                </w:r>
              </w:p>
            </w:tc>
            <w:tc>
              <w:tcPr>
                <w:tcW w:w="1460" w:type="dxa"/>
                <w:shd w:val="clear" w:color="auto" w:fill="auto"/>
                <w:noWrap/>
                <w:vAlign w:val="center"/>
                <w:hideMark/>
              </w:tcPr>
              <w:p w14:paraId="599A90B7"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8.670.607.298</w:t>
                </w:r>
              </w:p>
            </w:tc>
            <w:tc>
              <w:tcPr>
                <w:tcW w:w="1460" w:type="dxa"/>
                <w:shd w:val="clear" w:color="auto" w:fill="auto"/>
                <w:noWrap/>
                <w:vAlign w:val="center"/>
                <w:hideMark/>
              </w:tcPr>
              <w:p w14:paraId="19AEAAC7"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8.670.607.298</w:t>
                </w:r>
              </w:p>
            </w:tc>
            <w:tc>
              <w:tcPr>
                <w:tcW w:w="1320" w:type="dxa"/>
                <w:shd w:val="clear" w:color="auto" w:fill="auto"/>
                <w:noWrap/>
                <w:vAlign w:val="center"/>
                <w:hideMark/>
              </w:tcPr>
              <w:p w14:paraId="5CDA5627"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2C5D3824" w14:textId="77777777" w:rsidTr="00510CE9">
            <w:trPr>
              <w:trHeight w:val="315"/>
            </w:trPr>
            <w:tc>
              <w:tcPr>
                <w:tcW w:w="4060" w:type="dxa"/>
                <w:shd w:val="clear" w:color="auto" w:fill="auto"/>
                <w:vAlign w:val="center"/>
                <w:hideMark/>
              </w:tcPr>
              <w:p w14:paraId="7DFDC28E"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servicio</w:t>
                </w:r>
              </w:p>
            </w:tc>
            <w:tc>
              <w:tcPr>
                <w:tcW w:w="1460" w:type="dxa"/>
                <w:shd w:val="clear" w:color="auto" w:fill="auto"/>
                <w:noWrap/>
                <w:vAlign w:val="center"/>
                <w:hideMark/>
              </w:tcPr>
              <w:p w14:paraId="0B1DB162"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136.927.447.757</w:t>
                </w:r>
              </w:p>
            </w:tc>
            <w:tc>
              <w:tcPr>
                <w:tcW w:w="1460" w:type="dxa"/>
                <w:shd w:val="clear" w:color="auto" w:fill="auto"/>
                <w:noWrap/>
                <w:vAlign w:val="center"/>
                <w:hideMark/>
              </w:tcPr>
              <w:p w14:paraId="0D2AB061"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136.927.447.757</w:t>
                </w:r>
              </w:p>
            </w:tc>
            <w:tc>
              <w:tcPr>
                <w:tcW w:w="1320" w:type="dxa"/>
                <w:shd w:val="clear" w:color="auto" w:fill="auto"/>
                <w:noWrap/>
                <w:vAlign w:val="center"/>
                <w:hideMark/>
              </w:tcPr>
              <w:p w14:paraId="39BD406C"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05057EBE" w14:textId="77777777" w:rsidTr="00510CE9">
            <w:trPr>
              <w:trHeight w:val="315"/>
            </w:trPr>
            <w:tc>
              <w:tcPr>
                <w:tcW w:w="4060" w:type="dxa"/>
                <w:shd w:val="clear" w:color="auto" w:fill="auto"/>
                <w:vAlign w:val="center"/>
                <w:hideMark/>
              </w:tcPr>
              <w:p w14:paraId="0F3F8CCE" w14:textId="48323058"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PUERTO BUENAVISTA S.A</w:t>
                </w:r>
              </w:p>
            </w:tc>
            <w:tc>
              <w:tcPr>
                <w:tcW w:w="1460" w:type="dxa"/>
                <w:shd w:val="clear" w:color="auto" w:fill="auto"/>
                <w:noWrap/>
                <w:vAlign w:val="center"/>
                <w:hideMark/>
              </w:tcPr>
              <w:p w14:paraId="14097881"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9.037.120.175</w:t>
                </w:r>
              </w:p>
            </w:tc>
            <w:tc>
              <w:tcPr>
                <w:tcW w:w="1460" w:type="dxa"/>
                <w:shd w:val="clear" w:color="auto" w:fill="auto"/>
                <w:noWrap/>
                <w:vAlign w:val="center"/>
                <w:hideMark/>
              </w:tcPr>
              <w:p w14:paraId="4A60B325"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9.037.120.175</w:t>
                </w:r>
              </w:p>
            </w:tc>
            <w:tc>
              <w:tcPr>
                <w:tcW w:w="1320" w:type="dxa"/>
                <w:shd w:val="clear" w:color="auto" w:fill="auto"/>
                <w:noWrap/>
                <w:vAlign w:val="center"/>
                <w:hideMark/>
              </w:tcPr>
              <w:p w14:paraId="7AC57AD0"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0</w:t>
                </w:r>
              </w:p>
            </w:tc>
          </w:tr>
          <w:tr w:rsidR="00AD6666" w:rsidRPr="00AD6666" w14:paraId="7836B93D" w14:textId="77777777" w:rsidTr="00510CE9">
            <w:trPr>
              <w:trHeight w:val="315"/>
            </w:trPr>
            <w:tc>
              <w:tcPr>
                <w:tcW w:w="4060" w:type="dxa"/>
                <w:shd w:val="clear" w:color="auto" w:fill="auto"/>
                <w:vAlign w:val="center"/>
                <w:hideMark/>
              </w:tcPr>
              <w:p w14:paraId="3EDBF832"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Propiedades, planta y equipo en concesión</w:t>
                </w:r>
              </w:p>
            </w:tc>
            <w:tc>
              <w:tcPr>
                <w:tcW w:w="1460" w:type="dxa"/>
                <w:shd w:val="clear" w:color="auto" w:fill="auto"/>
                <w:noWrap/>
                <w:vAlign w:val="center"/>
                <w:hideMark/>
              </w:tcPr>
              <w:p w14:paraId="17CD6059"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948.991.461</w:t>
                </w:r>
              </w:p>
            </w:tc>
            <w:tc>
              <w:tcPr>
                <w:tcW w:w="1460" w:type="dxa"/>
                <w:shd w:val="clear" w:color="auto" w:fill="auto"/>
                <w:noWrap/>
                <w:vAlign w:val="center"/>
                <w:hideMark/>
              </w:tcPr>
              <w:p w14:paraId="3CF5E311"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948.991.461</w:t>
                </w:r>
              </w:p>
            </w:tc>
            <w:tc>
              <w:tcPr>
                <w:tcW w:w="1320" w:type="dxa"/>
                <w:shd w:val="clear" w:color="auto" w:fill="auto"/>
                <w:noWrap/>
                <w:vAlign w:val="center"/>
                <w:hideMark/>
              </w:tcPr>
              <w:p w14:paraId="4014C783"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6ED911B6" w14:textId="77777777" w:rsidTr="00510CE9">
            <w:trPr>
              <w:trHeight w:val="315"/>
            </w:trPr>
            <w:tc>
              <w:tcPr>
                <w:tcW w:w="4060" w:type="dxa"/>
                <w:shd w:val="clear" w:color="auto" w:fill="auto"/>
                <w:vAlign w:val="center"/>
                <w:hideMark/>
              </w:tcPr>
              <w:p w14:paraId="666D5264"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servicio</w:t>
                </w:r>
              </w:p>
            </w:tc>
            <w:tc>
              <w:tcPr>
                <w:tcW w:w="1460" w:type="dxa"/>
                <w:shd w:val="clear" w:color="auto" w:fill="auto"/>
                <w:noWrap/>
                <w:vAlign w:val="center"/>
                <w:hideMark/>
              </w:tcPr>
              <w:p w14:paraId="0AFEC2A3"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8.088.128.714</w:t>
                </w:r>
              </w:p>
            </w:tc>
            <w:tc>
              <w:tcPr>
                <w:tcW w:w="1460" w:type="dxa"/>
                <w:shd w:val="clear" w:color="auto" w:fill="auto"/>
                <w:noWrap/>
                <w:vAlign w:val="center"/>
                <w:hideMark/>
              </w:tcPr>
              <w:p w14:paraId="6A7DA7CD"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8.088.128.714</w:t>
                </w:r>
              </w:p>
            </w:tc>
            <w:tc>
              <w:tcPr>
                <w:tcW w:w="1320" w:type="dxa"/>
                <w:shd w:val="clear" w:color="auto" w:fill="auto"/>
                <w:noWrap/>
                <w:vAlign w:val="center"/>
                <w:hideMark/>
              </w:tcPr>
              <w:p w14:paraId="719B5357"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5D7E02AB" w14:textId="77777777" w:rsidTr="00510CE9">
            <w:trPr>
              <w:trHeight w:val="315"/>
            </w:trPr>
            <w:tc>
              <w:tcPr>
                <w:tcW w:w="4060" w:type="dxa"/>
                <w:shd w:val="clear" w:color="auto" w:fill="auto"/>
                <w:vAlign w:val="center"/>
                <w:hideMark/>
              </w:tcPr>
              <w:p w14:paraId="18895C8B" w14:textId="77777777"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PUERTO DE MAMONAL S.A.</w:t>
                </w:r>
              </w:p>
            </w:tc>
            <w:tc>
              <w:tcPr>
                <w:tcW w:w="1460" w:type="dxa"/>
                <w:shd w:val="clear" w:color="auto" w:fill="auto"/>
                <w:noWrap/>
                <w:vAlign w:val="center"/>
                <w:hideMark/>
              </w:tcPr>
              <w:p w14:paraId="68B009D9"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59.718.930.886</w:t>
                </w:r>
              </w:p>
            </w:tc>
            <w:tc>
              <w:tcPr>
                <w:tcW w:w="1460" w:type="dxa"/>
                <w:shd w:val="clear" w:color="auto" w:fill="auto"/>
                <w:noWrap/>
                <w:vAlign w:val="center"/>
                <w:hideMark/>
              </w:tcPr>
              <w:p w14:paraId="4476C35E"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59.718.930.886</w:t>
                </w:r>
              </w:p>
            </w:tc>
            <w:tc>
              <w:tcPr>
                <w:tcW w:w="1320" w:type="dxa"/>
                <w:shd w:val="clear" w:color="auto" w:fill="auto"/>
                <w:noWrap/>
                <w:vAlign w:val="center"/>
                <w:hideMark/>
              </w:tcPr>
              <w:p w14:paraId="1B31B874"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0</w:t>
                </w:r>
              </w:p>
            </w:tc>
          </w:tr>
          <w:tr w:rsidR="00AD6666" w:rsidRPr="00AD6666" w14:paraId="7D1468FC" w14:textId="77777777" w:rsidTr="00510CE9">
            <w:trPr>
              <w:trHeight w:val="315"/>
            </w:trPr>
            <w:tc>
              <w:tcPr>
                <w:tcW w:w="4060" w:type="dxa"/>
                <w:shd w:val="clear" w:color="auto" w:fill="auto"/>
                <w:vAlign w:val="center"/>
                <w:hideMark/>
              </w:tcPr>
              <w:p w14:paraId="463953BB"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Propiedades, planta y equipo en concesión</w:t>
                </w:r>
              </w:p>
            </w:tc>
            <w:tc>
              <w:tcPr>
                <w:tcW w:w="1460" w:type="dxa"/>
                <w:shd w:val="clear" w:color="auto" w:fill="auto"/>
                <w:noWrap/>
                <w:vAlign w:val="center"/>
                <w:hideMark/>
              </w:tcPr>
              <w:p w14:paraId="204DFF35"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4.870.122.109</w:t>
                </w:r>
              </w:p>
            </w:tc>
            <w:tc>
              <w:tcPr>
                <w:tcW w:w="1460" w:type="dxa"/>
                <w:shd w:val="clear" w:color="auto" w:fill="auto"/>
                <w:noWrap/>
                <w:vAlign w:val="center"/>
                <w:hideMark/>
              </w:tcPr>
              <w:p w14:paraId="6B4458A9"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4.870.122.109</w:t>
                </w:r>
              </w:p>
            </w:tc>
            <w:tc>
              <w:tcPr>
                <w:tcW w:w="1320" w:type="dxa"/>
                <w:shd w:val="clear" w:color="auto" w:fill="auto"/>
                <w:noWrap/>
                <w:vAlign w:val="center"/>
                <w:hideMark/>
              </w:tcPr>
              <w:p w14:paraId="380A4561"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539C0DD9" w14:textId="77777777" w:rsidTr="00510CE9">
            <w:trPr>
              <w:trHeight w:val="315"/>
            </w:trPr>
            <w:tc>
              <w:tcPr>
                <w:tcW w:w="4060" w:type="dxa"/>
                <w:shd w:val="clear" w:color="auto" w:fill="auto"/>
                <w:vAlign w:val="center"/>
                <w:hideMark/>
              </w:tcPr>
              <w:p w14:paraId="130C8815"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servicio</w:t>
                </w:r>
              </w:p>
            </w:tc>
            <w:tc>
              <w:tcPr>
                <w:tcW w:w="1460" w:type="dxa"/>
                <w:shd w:val="clear" w:color="auto" w:fill="auto"/>
                <w:noWrap/>
                <w:vAlign w:val="center"/>
                <w:hideMark/>
              </w:tcPr>
              <w:p w14:paraId="62CD3CE8"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54.848.808.777</w:t>
                </w:r>
              </w:p>
            </w:tc>
            <w:tc>
              <w:tcPr>
                <w:tcW w:w="1460" w:type="dxa"/>
                <w:shd w:val="clear" w:color="auto" w:fill="auto"/>
                <w:noWrap/>
                <w:vAlign w:val="center"/>
                <w:hideMark/>
              </w:tcPr>
              <w:p w14:paraId="76A681B8"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54.848.808.777</w:t>
                </w:r>
              </w:p>
            </w:tc>
            <w:tc>
              <w:tcPr>
                <w:tcW w:w="1320" w:type="dxa"/>
                <w:shd w:val="clear" w:color="auto" w:fill="auto"/>
                <w:noWrap/>
                <w:vAlign w:val="center"/>
                <w:hideMark/>
              </w:tcPr>
              <w:p w14:paraId="6CCB7032"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22275427" w14:textId="77777777" w:rsidTr="00510CE9">
            <w:trPr>
              <w:trHeight w:val="315"/>
            </w:trPr>
            <w:tc>
              <w:tcPr>
                <w:tcW w:w="4060" w:type="dxa"/>
                <w:shd w:val="clear" w:color="auto" w:fill="auto"/>
                <w:vAlign w:val="center"/>
                <w:hideMark/>
              </w:tcPr>
              <w:p w14:paraId="24CC1606" w14:textId="1D6E4E40"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PUERTOS DEL CARIBE SOCIEDAD PORTUARIA S A</w:t>
                </w:r>
              </w:p>
            </w:tc>
            <w:tc>
              <w:tcPr>
                <w:tcW w:w="1460" w:type="dxa"/>
                <w:shd w:val="clear" w:color="auto" w:fill="auto"/>
                <w:noWrap/>
                <w:vAlign w:val="center"/>
                <w:hideMark/>
              </w:tcPr>
              <w:p w14:paraId="4475B600"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667.468.144</w:t>
                </w:r>
              </w:p>
            </w:tc>
            <w:tc>
              <w:tcPr>
                <w:tcW w:w="1460" w:type="dxa"/>
                <w:shd w:val="clear" w:color="auto" w:fill="auto"/>
                <w:noWrap/>
                <w:vAlign w:val="center"/>
                <w:hideMark/>
              </w:tcPr>
              <w:p w14:paraId="72D40553"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0</w:t>
                </w:r>
              </w:p>
            </w:tc>
            <w:tc>
              <w:tcPr>
                <w:tcW w:w="1320" w:type="dxa"/>
                <w:shd w:val="clear" w:color="auto" w:fill="auto"/>
                <w:noWrap/>
                <w:vAlign w:val="center"/>
                <w:hideMark/>
              </w:tcPr>
              <w:p w14:paraId="4ADD2D80"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667.468.144</w:t>
                </w:r>
              </w:p>
            </w:tc>
          </w:tr>
          <w:tr w:rsidR="00AD6666" w:rsidRPr="00AD6666" w14:paraId="6120F703" w14:textId="77777777" w:rsidTr="00510CE9">
            <w:trPr>
              <w:trHeight w:val="315"/>
            </w:trPr>
            <w:tc>
              <w:tcPr>
                <w:tcW w:w="4060" w:type="dxa"/>
                <w:shd w:val="clear" w:color="auto" w:fill="auto"/>
                <w:vAlign w:val="center"/>
                <w:hideMark/>
              </w:tcPr>
              <w:p w14:paraId="59D42F0A"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Propiedades, planta y equipo en concesión</w:t>
                </w:r>
              </w:p>
            </w:tc>
            <w:tc>
              <w:tcPr>
                <w:tcW w:w="1460" w:type="dxa"/>
                <w:shd w:val="clear" w:color="auto" w:fill="auto"/>
                <w:noWrap/>
                <w:vAlign w:val="center"/>
                <w:hideMark/>
              </w:tcPr>
              <w:p w14:paraId="3C1D686D"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203.490.456</w:t>
                </w:r>
              </w:p>
            </w:tc>
            <w:tc>
              <w:tcPr>
                <w:tcW w:w="1460" w:type="dxa"/>
                <w:shd w:val="clear" w:color="auto" w:fill="auto"/>
                <w:noWrap/>
                <w:vAlign w:val="center"/>
                <w:hideMark/>
              </w:tcPr>
              <w:p w14:paraId="4F3BF69D"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c>
              <w:tcPr>
                <w:tcW w:w="1320" w:type="dxa"/>
                <w:shd w:val="clear" w:color="auto" w:fill="auto"/>
                <w:noWrap/>
                <w:vAlign w:val="center"/>
                <w:hideMark/>
              </w:tcPr>
              <w:p w14:paraId="4A70B6C8"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203.490.456</w:t>
                </w:r>
              </w:p>
            </w:tc>
          </w:tr>
          <w:tr w:rsidR="00AD6666" w:rsidRPr="00AD6666" w14:paraId="498A9B70" w14:textId="77777777" w:rsidTr="00510CE9">
            <w:trPr>
              <w:trHeight w:val="315"/>
            </w:trPr>
            <w:tc>
              <w:tcPr>
                <w:tcW w:w="4060" w:type="dxa"/>
                <w:shd w:val="clear" w:color="auto" w:fill="auto"/>
                <w:vAlign w:val="center"/>
                <w:hideMark/>
              </w:tcPr>
              <w:p w14:paraId="48B11E8F"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servicio</w:t>
                </w:r>
              </w:p>
            </w:tc>
            <w:tc>
              <w:tcPr>
                <w:tcW w:w="1460" w:type="dxa"/>
                <w:shd w:val="clear" w:color="auto" w:fill="auto"/>
                <w:noWrap/>
                <w:vAlign w:val="center"/>
                <w:hideMark/>
              </w:tcPr>
              <w:p w14:paraId="4DEE2013"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463.977.688</w:t>
                </w:r>
              </w:p>
            </w:tc>
            <w:tc>
              <w:tcPr>
                <w:tcW w:w="1460" w:type="dxa"/>
                <w:shd w:val="clear" w:color="auto" w:fill="auto"/>
                <w:noWrap/>
                <w:vAlign w:val="center"/>
                <w:hideMark/>
              </w:tcPr>
              <w:p w14:paraId="435167B9"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c>
              <w:tcPr>
                <w:tcW w:w="1320" w:type="dxa"/>
                <w:shd w:val="clear" w:color="auto" w:fill="auto"/>
                <w:noWrap/>
                <w:vAlign w:val="center"/>
                <w:hideMark/>
              </w:tcPr>
              <w:p w14:paraId="2504F07C"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463.977.688</w:t>
                </w:r>
              </w:p>
            </w:tc>
          </w:tr>
          <w:tr w:rsidR="00AD6666" w:rsidRPr="00AD6666" w14:paraId="5E49BB76" w14:textId="77777777" w:rsidTr="00510CE9">
            <w:trPr>
              <w:trHeight w:val="315"/>
            </w:trPr>
            <w:tc>
              <w:tcPr>
                <w:tcW w:w="4060" w:type="dxa"/>
                <w:shd w:val="clear" w:color="auto" w:fill="auto"/>
                <w:vAlign w:val="center"/>
                <w:hideMark/>
              </w:tcPr>
              <w:p w14:paraId="657A0215" w14:textId="77777777"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REFINERIA DE CARTAGENA S.A.S</w:t>
                </w:r>
              </w:p>
            </w:tc>
            <w:tc>
              <w:tcPr>
                <w:tcW w:w="1460" w:type="dxa"/>
                <w:shd w:val="clear" w:color="auto" w:fill="auto"/>
                <w:noWrap/>
                <w:vAlign w:val="center"/>
                <w:hideMark/>
              </w:tcPr>
              <w:p w14:paraId="14AEDD23"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15.244.521.009</w:t>
                </w:r>
              </w:p>
            </w:tc>
            <w:tc>
              <w:tcPr>
                <w:tcW w:w="1460" w:type="dxa"/>
                <w:shd w:val="clear" w:color="auto" w:fill="auto"/>
                <w:noWrap/>
                <w:vAlign w:val="center"/>
                <w:hideMark/>
              </w:tcPr>
              <w:p w14:paraId="136644B6"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15.244.521.009</w:t>
                </w:r>
              </w:p>
            </w:tc>
            <w:tc>
              <w:tcPr>
                <w:tcW w:w="1320" w:type="dxa"/>
                <w:shd w:val="clear" w:color="auto" w:fill="auto"/>
                <w:noWrap/>
                <w:vAlign w:val="center"/>
                <w:hideMark/>
              </w:tcPr>
              <w:p w14:paraId="5566A80C"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0</w:t>
                </w:r>
              </w:p>
            </w:tc>
          </w:tr>
          <w:tr w:rsidR="00AD6666" w:rsidRPr="00AD6666" w14:paraId="2BE0D09B" w14:textId="77777777" w:rsidTr="00510CE9">
            <w:trPr>
              <w:trHeight w:val="315"/>
            </w:trPr>
            <w:tc>
              <w:tcPr>
                <w:tcW w:w="4060" w:type="dxa"/>
                <w:shd w:val="clear" w:color="auto" w:fill="auto"/>
                <w:vAlign w:val="center"/>
                <w:hideMark/>
              </w:tcPr>
              <w:p w14:paraId="4DA9754F"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servicio</w:t>
                </w:r>
              </w:p>
            </w:tc>
            <w:tc>
              <w:tcPr>
                <w:tcW w:w="1460" w:type="dxa"/>
                <w:shd w:val="clear" w:color="auto" w:fill="auto"/>
                <w:noWrap/>
                <w:vAlign w:val="center"/>
                <w:hideMark/>
              </w:tcPr>
              <w:p w14:paraId="79063090"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15.244.521.009</w:t>
                </w:r>
              </w:p>
            </w:tc>
            <w:tc>
              <w:tcPr>
                <w:tcW w:w="1460" w:type="dxa"/>
                <w:shd w:val="clear" w:color="auto" w:fill="auto"/>
                <w:noWrap/>
                <w:vAlign w:val="center"/>
                <w:hideMark/>
              </w:tcPr>
              <w:p w14:paraId="7D81EE7C"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15.244.521.009</w:t>
                </w:r>
              </w:p>
            </w:tc>
            <w:tc>
              <w:tcPr>
                <w:tcW w:w="1320" w:type="dxa"/>
                <w:shd w:val="clear" w:color="auto" w:fill="auto"/>
                <w:noWrap/>
                <w:vAlign w:val="center"/>
                <w:hideMark/>
              </w:tcPr>
              <w:p w14:paraId="7CA6F3B8"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411D6B38" w14:textId="77777777" w:rsidTr="00510CE9">
            <w:trPr>
              <w:trHeight w:val="315"/>
            </w:trPr>
            <w:tc>
              <w:tcPr>
                <w:tcW w:w="4060" w:type="dxa"/>
                <w:shd w:val="clear" w:color="auto" w:fill="auto"/>
                <w:vAlign w:val="center"/>
                <w:hideMark/>
              </w:tcPr>
              <w:p w14:paraId="6AAFA066" w14:textId="77777777"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ROMERO Y BURGOS   CIA S EN C</w:t>
                </w:r>
              </w:p>
            </w:tc>
            <w:tc>
              <w:tcPr>
                <w:tcW w:w="1460" w:type="dxa"/>
                <w:shd w:val="clear" w:color="auto" w:fill="auto"/>
                <w:noWrap/>
                <w:vAlign w:val="center"/>
                <w:hideMark/>
              </w:tcPr>
              <w:p w14:paraId="6EA95DF1"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45.580.855</w:t>
                </w:r>
              </w:p>
            </w:tc>
            <w:tc>
              <w:tcPr>
                <w:tcW w:w="1460" w:type="dxa"/>
                <w:shd w:val="clear" w:color="auto" w:fill="auto"/>
                <w:noWrap/>
                <w:vAlign w:val="center"/>
                <w:hideMark/>
              </w:tcPr>
              <w:p w14:paraId="7285CE2D"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45.580.855</w:t>
                </w:r>
              </w:p>
            </w:tc>
            <w:tc>
              <w:tcPr>
                <w:tcW w:w="1320" w:type="dxa"/>
                <w:shd w:val="clear" w:color="auto" w:fill="auto"/>
                <w:noWrap/>
                <w:vAlign w:val="center"/>
                <w:hideMark/>
              </w:tcPr>
              <w:p w14:paraId="12437648"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0</w:t>
                </w:r>
              </w:p>
            </w:tc>
          </w:tr>
          <w:tr w:rsidR="00AD6666" w:rsidRPr="00AD6666" w14:paraId="72071E85" w14:textId="77777777" w:rsidTr="00510CE9">
            <w:trPr>
              <w:trHeight w:val="315"/>
            </w:trPr>
            <w:tc>
              <w:tcPr>
                <w:tcW w:w="4060" w:type="dxa"/>
                <w:shd w:val="clear" w:color="auto" w:fill="auto"/>
                <w:vAlign w:val="center"/>
                <w:hideMark/>
              </w:tcPr>
              <w:p w14:paraId="20A70CA0"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lastRenderedPageBreak/>
                  <w:t>Red marítima en servicio</w:t>
                </w:r>
              </w:p>
            </w:tc>
            <w:tc>
              <w:tcPr>
                <w:tcW w:w="1460" w:type="dxa"/>
                <w:shd w:val="clear" w:color="auto" w:fill="auto"/>
                <w:noWrap/>
                <w:vAlign w:val="center"/>
                <w:hideMark/>
              </w:tcPr>
              <w:p w14:paraId="439C2254"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45.580.855</w:t>
                </w:r>
              </w:p>
            </w:tc>
            <w:tc>
              <w:tcPr>
                <w:tcW w:w="1460" w:type="dxa"/>
                <w:shd w:val="clear" w:color="auto" w:fill="auto"/>
                <w:noWrap/>
                <w:vAlign w:val="center"/>
                <w:hideMark/>
              </w:tcPr>
              <w:p w14:paraId="57DDBFF0"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45.580.855</w:t>
                </w:r>
              </w:p>
            </w:tc>
            <w:tc>
              <w:tcPr>
                <w:tcW w:w="1320" w:type="dxa"/>
                <w:shd w:val="clear" w:color="auto" w:fill="auto"/>
                <w:noWrap/>
                <w:vAlign w:val="center"/>
                <w:hideMark/>
              </w:tcPr>
              <w:p w14:paraId="711948B4"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101F04E4" w14:textId="77777777" w:rsidTr="00510CE9">
            <w:trPr>
              <w:trHeight w:val="315"/>
            </w:trPr>
            <w:tc>
              <w:tcPr>
                <w:tcW w:w="4060" w:type="dxa"/>
                <w:shd w:val="clear" w:color="auto" w:fill="auto"/>
                <w:vAlign w:val="center"/>
                <w:hideMark/>
              </w:tcPr>
              <w:p w14:paraId="162ABB58" w14:textId="54CE4368"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SOCIEDAD PUERTO INDUSTRIAL AGUADULCE  S.A.</w:t>
                </w:r>
              </w:p>
            </w:tc>
            <w:tc>
              <w:tcPr>
                <w:tcW w:w="1460" w:type="dxa"/>
                <w:shd w:val="clear" w:color="auto" w:fill="auto"/>
                <w:noWrap/>
                <w:vAlign w:val="center"/>
                <w:hideMark/>
              </w:tcPr>
              <w:p w14:paraId="0061EF85"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913.199.198.232</w:t>
                </w:r>
              </w:p>
            </w:tc>
            <w:tc>
              <w:tcPr>
                <w:tcW w:w="1460" w:type="dxa"/>
                <w:shd w:val="clear" w:color="auto" w:fill="auto"/>
                <w:noWrap/>
                <w:vAlign w:val="center"/>
                <w:hideMark/>
              </w:tcPr>
              <w:p w14:paraId="482E7EE8"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902.922.100.799</w:t>
                </w:r>
              </w:p>
            </w:tc>
            <w:tc>
              <w:tcPr>
                <w:tcW w:w="1320" w:type="dxa"/>
                <w:shd w:val="clear" w:color="auto" w:fill="auto"/>
                <w:noWrap/>
                <w:vAlign w:val="center"/>
                <w:hideMark/>
              </w:tcPr>
              <w:p w14:paraId="3AC76FF6"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10.277.097.433</w:t>
                </w:r>
              </w:p>
            </w:tc>
          </w:tr>
          <w:tr w:rsidR="00AD6666" w:rsidRPr="00AD6666" w14:paraId="6643A595" w14:textId="77777777" w:rsidTr="00510CE9">
            <w:trPr>
              <w:trHeight w:val="315"/>
            </w:trPr>
            <w:tc>
              <w:tcPr>
                <w:tcW w:w="4060" w:type="dxa"/>
                <w:shd w:val="clear" w:color="auto" w:fill="auto"/>
                <w:vAlign w:val="center"/>
                <w:hideMark/>
              </w:tcPr>
              <w:p w14:paraId="110B4E1C"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Propiedades, planta y equipo en concesión</w:t>
                </w:r>
              </w:p>
            </w:tc>
            <w:tc>
              <w:tcPr>
                <w:tcW w:w="1460" w:type="dxa"/>
                <w:shd w:val="clear" w:color="auto" w:fill="auto"/>
                <w:noWrap/>
                <w:vAlign w:val="center"/>
                <w:hideMark/>
              </w:tcPr>
              <w:p w14:paraId="79C0533F"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158.819.262.733</w:t>
                </w:r>
              </w:p>
            </w:tc>
            <w:tc>
              <w:tcPr>
                <w:tcW w:w="1460" w:type="dxa"/>
                <w:shd w:val="clear" w:color="auto" w:fill="auto"/>
                <w:noWrap/>
                <w:vAlign w:val="center"/>
                <w:hideMark/>
              </w:tcPr>
              <w:p w14:paraId="6246983D"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158.819.262.733</w:t>
                </w:r>
              </w:p>
            </w:tc>
            <w:tc>
              <w:tcPr>
                <w:tcW w:w="1320" w:type="dxa"/>
                <w:shd w:val="clear" w:color="auto" w:fill="auto"/>
                <w:noWrap/>
                <w:vAlign w:val="center"/>
                <w:hideMark/>
              </w:tcPr>
              <w:p w14:paraId="494B3BD8"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7E5DDA4A" w14:textId="77777777" w:rsidTr="00510CE9">
            <w:trPr>
              <w:trHeight w:val="315"/>
            </w:trPr>
            <w:tc>
              <w:tcPr>
                <w:tcW w:w="4060" w:type="dxa"/>
                <w:shd w:val="clear" w:color="auto" w:fill="auto"/>
                <w:vAlign w:val="center"/>
                <w:hideMark/>
              </w:tcPr>
              <w:p w14:paraId="4C343658"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construcción</w:t>
                </w:r>
              </w:p>
            </w:tc>
            <w:tc>
              <w:tcPr>
                <w:tcW w:w="1460" w:type="dxa"/>
                <w:shd w:val="clear" w:color="auto" w:fill="auto"/>
                <w:noWrap/>
                <w:vAlign w:val="center"/>
                <w:hideMark/>
              </w:tcPr>
              <w:p w14:paraId="0A15B96B"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28.496.411.301</w:t>
                </w:r>
              </w:p>
            </w:tc>
            <w:tc>
              <w:tcPr>
                <w:tcW w:w="1460" w:type="dxa"/>
                <w:shd w:val="clear" w:color="auto" w:fill="auto"/>
                <w:noWrap/>
                <w:vAlign w:val="center"/>
                <w:hideMark/>
              </w:tcPr>
              <w:p w14:paraId="7E77037A"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18.219.313.868</w:t>
                </w:r>
              </w:p>
            </w:tc>
            <w:tc>
              <w:tcPr>
                <w:tcW w:w="1320" w:type="dxa"/>
                <w:shd w:val="clear" w:color="auto" w:fill="auto"/>
                <w:noWrap/>
                <w:vAlign w:val="center"/>
                <w:hideMark/>
              </w:tcPr>
              <w:p w14:paraId="36CD55B5"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10.277.097.433</w:t>
                </w:r>
              </w:p>
            </w:tc>
          </w:tr>
          <w:tr w:rsidR="00AD6666" w:rsidRPr="00AD6666" w14:paraId="455CF265" w14:textId="77777777" w:rsidTr="00510CE9">
            <w:trPr>
              <w:trHeight w:val="315"/>
            </w:trPr>
            <w:tc>
              <w:tcPr>
                <w:tcW w:w="4060" w:type="dxa"/>
                <w:shd w:val="clear" w:color="auto" w:fill="auto"/>
                <w:vAlign w:val="center"/>
                <w:hideMark/>
              </w:tcPr>
              <w:p w14:paraId="718C4B68"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servicio</w:t>
                </w:r>
              </w:p>
            </w:tc>
            <w:tc>
              <w:tcPr>
                <w:tcW w:w="1460" w:type="dxa"/>
                <w:shd w:val="clear" w:color="auto" w:fill="auto"/>
                <w:noWrap/>
                <w:vAlign w:val="center"/>
                <w:hideMark/>
              </w:tcPr>
              <w:p w14:paraId="2E35BECE"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725.883.524.198</w:t>
                </w:r>
              </w:p>
            </w:tc>
            <w:tc>
              <w:tcPr>
                <w:tcW w:w="1460" w:type="dxa"/>
                <w:shd w:val="clear" w:color="auto" w:fill="auto"/>
                <w:noWrap/>
                <w:vAlign w:val="center"/>
                <w:hideMark/>
              </w:tcPr>
              <w:p w14:paraId="5EE5BF93"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725.883.524.198</w:t>
                </w:r>
              </w:p>
            </w:tc>
            <w:tc>
              <w:tcPr>
                <w:tcW w:w="1320" w:type="dxa"/>
                <w:shd w:val="clear" w:color="auto" w:fill="auto"/>
                <w:noWrap/>
                <w:vAlign w:val="center"/>
                <w:hideMark/>
              </w:tcPr>
              <w:p w14:paraId="2EF342F8"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18DC4FAD" w14:textId="77777777" w:rsidTr="00510CE9">
            <w:trPr>
              <w:trHeight w:val="315"/>
            </w:trPr>
            <w:tc>
              <w:tcPr>
                <w:tcW w:w="4060" w:type="dxa"/>
                <w:shd w:val="clear" w:color="auto" w:fill="auto"/>
                <w:vAlign w:val="center"/>
                <w:hideMark/>
              </w:tcPr>
              <w:p w14:paraId="19CBDF6A" w14:textId="77777777"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SOCIEDAD PORTUARIA EL CAYAO S.A E.S.P</w:t>
                </w:r>
              </w:p>
            </w:tc>
            <w:tc>
              <w:tcPr>
                <w:tcW w:w="1460" w:type="dxa"/>
                <w:shd w:val="clear" w:color="auto" w:fill="auto"/>
                <w:noWrap/>
                <w:vAlign w:val="center"/>
                <w:hideMark/>
              </w:tcPr>
              <w:p w14:paraId="3D46AD5D"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154.949.518.944</w:t>
                </w:r>
              </w:p>
            </w:tc>
            <w:tc>
              <w:tcPr>
                <w:tcW w:w="1460" w:type="dxa"/>
                <w:shd w:val="clear" w:color="auto" w:fill="auto"/>
                <w:noWrap/>
                <w:vAlign w:val="center"/>
                <w:hideMark/>
              </w:tcPr>
              <w:p w14:paraId="5B75AA0A"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154.949.518.944</w:t>
                </w:r>
              </w:p>
            </w:tc>
            <w:tc>
              <w:tcPr>
                <w:tcW w:w="1320" w:type="dxa"/>
                <w:shd w:val="clear" w:color="auto" w:fill="auto"/>
                <w:noWrap/>
                <w:vAlign w:val="center"/>
                <w:hideMark/>
              </w:tcPr>
              <w:p w14:paraId="4C0938FE"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0</w:t>
                </w:r>
              </w:p>
            </w:tc>
          </w:tr>
          <w:tr w:rsidR="00AD6666" w:rsidRPr="00AD6666" w14:paraId="1ED5C3EC" w14:textId="77777777" w:rsidTr="00510CE9">
            <w:trPr>
              <w:trHeight w:val="315"/>
            </w:trPr>
            <w:tc>
              <w:tcPr>
                <w:tcW w:w="4060" w:type="dxa"/>
                <w:shd w:val="clear" w:color="auto" w:fill="auto"/>
                <w:vAlign w:val="center"/>
                <w:hideMark/>
              </w:tcPr>
              <w:p w14:paraId="56E96CCC"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Propiedades, planta y equipo en concesión</w:t>
                </w:r>
              </w:p>
            </w:tc>
            <w:tc>
              <w:tcPr>
                <w:tcW w:w="1460" w:type="dxa"/>
                <w:shd w:val="clear" w:color="auto" w:fill="auto"/>
                <w:noWrap/>
                <w:vAlign w:val="center"/>
                <w:hideMark/>
              </w:tcPr>
              <w:p w14:paraId="53FFBCDA"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46.484.855.683</w:t>
                </w:r>
              </w:p>
            </w:tc>
            <w:tc>
              <w:tcPr>
                <w:tcW w:w="1460" w:type="dxa"/>
                <w:shd w:val="clear" w:color="auto" w:fill="auto"/>
                <w:noWrap/>
                <w:vAlign w:val="center"/>
                <w:hideMark/>
              </w:tcPr>
              <w:p w14:paraId="14FCE2DF"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46.484.855.683</w:t>
                </w:r>
              </w:p>
            </w:tc>
            <w:tc>
              <w:tcPr>
                <w:tcW w:w="1320" w:type="dxa"/>
                <w:shd w:val="clear" w:color="auto" w:fill="auto"/>
                <w:noWrap/>
                <w:vAlign w:val="center"/>
                <w:hideMark/>
              </w:tcPr>
              <w:p w14:paraId="44983929"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5541DDD7" w14:textId="77777777" w:rsidTr="00510CE9">
            <w:trPr>
              <w:trHeight w:val="315"/>
            </w:trPr>
            <w:tc>
              <w:tcPr>
                <w:tcW w:w="4060" w:type="dxa"/>
                <w:shd w:val="clear" w:color="auto" w:fill="auto"/>
                <w:vAlign w:val="center"/>
                <w:hideMark/>
              </w:tcPr>
              <w:p w14:paraId="09C9E90A"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servicio</w:t>
                </w:r>
              </w:p>
            </w:tc>
            <w:tc>
              <w:tcPr>
                <w:tcW w:w="1460" w:type="dxa"/>
                <w:shd w:val="clear" w:color="auto" w:fill="auto"/>
                <w:noWrap/>
                <w:vAlign w:val="center"/>
                <w:hideMark/>
              </w:tcPr>
              <w:p w14:paraId="21FDCFDE"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108.464.663.261</w:t>
                </w:r>
              </w:p>
            </w:tc>
            <w:tc>
              <w:tcPr>
                <w:tcW w:w="1460" w:type="dxa"/>
                <w:shd w:val="clear" w:color="auto" w:fill="auto"/>
                <w:noWrap/>
                <w:vAlign w:val="center"/>
                <w:hideMark/>
              </w:tcPr>
              <w:p w14:paraId="211C4A12"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108.464.663.261</w:t>
                </w:r>
              </w:p>
            </w:tc>
            <w:tc>
              <w:tcPr>
                <w:tcW w:w="1320" w:type="dxa"/>
                <w:shd w:val="clear" w:color="auto" w:fill="auto"/>
                <w:noWrap/>
                <w:vAlign w:val="center"/>
                <w:hideMark/>
              </w:tcPr>
              <w:p w14:paraId="555266E2"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0AD8906D" w14:textId="77777777" w:rsidTr="00510CE9">
            <w:trPr>
              <w:trHeight w:val="315"/>
            </w:trPr>
            <w:tc>
              <w:tcPr>
                <w:tcW w:w="4060" w:type="dxa"/>
                <w:shd w:val="clear" w:color="auto" w:fill="auto"/>
                <w:vAlign w:val="center"/>
                <w:hideMark/>
              </w:tcPr>
              <w:p w14:paraId="5AE876F7" w14:textId="73A747EE"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SOCIEDAD PORTUARIA PUERTO BAHIA S. A</w:t>
                </w:r>
              </w:p>
            </w:tc>
            <w:tc>
              <w:tcPr>
                <w:tcW w:w="1460" w:type="dxa"/>
                <w:shd w:val="clear" w:color="auto" w:fill="auto"/>
                <w:noWrap/>
                <w:vAlign w:val="center"/>
                <w:hideMark/>
              </w:tcPr>
              <w:p w14:paraId="2328D738"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255.170.433.642</w:t>
                </w:r>
              </w:p>
            </w:tc>
            <w:tc>
              <w:tcPr>
                <w:tcW w:w="1460" w:type="dxa"/>
                <w:shd w:val="clear" w:color="auto" w:fill="auto"/>
                <w:noWrap/>
                <w:vAlign w:val="center"/>
                <w:hideMark/>
              </w:tcPr>
              <w:p w14:paraId="70D551FD"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254.921.245.657</w:t>
                </w:r>
              </w:p>
            </w:tc>
            <w:tc>
              <w:tcPr>
                <w:tcW w:w="1320" w:type="dxa"/>
                <w:shd w:val="clear" w:color="auto" w:fill="auto"/>
                <w:noWrap/>
                <w:vAlign w:val="center"/>
                <w:hideMark/>
              </w:tcPr>
              <w:p w14:paraId="42B73E29"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249.187.985</w:t>
                </w:r>
              </w:p>
            </w:tc>
          </w:tr>
          <w:tr w:rsidR="00AD6666" w:rsidRPr="00AD6666" w14:paraId="7B61AC87" w14:textId="77777777" w:rsidTr="00510CE9">
            <w:trPr>
              <w:trHeight w:val="315"/>
            </w:trPr>
            <w:tc>
              <w:tcPr>
                <w:tcW w:w="4060" w:type="dxa"/>
                <w:shd w:val="clear" w:color="auto" w:fill="auto"/>
                <w:vAlign w:val="center"/>
                <w:hideMark/>
              </w:tcPr>
              <w:p w14:paraId="31295DCC"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servicio</w:t>
                </w:r>
              </w:p>
            </w:tc>
            <w:tc>
              <w:tcPr>
                <w:tcW w:w="1460" w:type="dxa"/>
                <w:shd w:val="clear" w:color="auto" w:fill="auto"/>
                <w:noWrap/>
                <w:vAlign w:val="center"/>
                <w:hideMark/>
              </w:tcPr>
              <w:p w14:paraId="1B00176E"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255.170.433.642</w:t>
                </w:r>
              </w:p>
            </w:tc>
            <w:tc>
              <w:tcPr>
                <w:tcW w:w="1460" w:type="dxa"/>
                <w:shd w:val="clear" w:color="auto" w:fill="auto"/>
                <w:noWrap/>
                <w:vAlign w:val="center"/>
                <w:hideMark/>
              </w:tcPr>
              <w:p w14:paraId="6D8F92E7"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254.921.245.657</w:t>
                </w:r>
              </w:p>
            </w:tc>
            <w:tc>
              <w:tcPr>
                <w:tcW w:w="1320" w:type="dxa"/>
                <w:shd w:val="clear" w:color="auto" w:fill="auto"/>
                <w:noWrap/>
                <w:vAlign w:val="center"/>
                <w:hideMark/>
              </w:tcPr>
              <w:p w14:paraId="38038DBF"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249.187.985</w:t>
                </w:r>
              </w:p>
            </w:tc>
          </w:tr>
          <w:tr w:rsidR="00AD6666" w:rsidRPr="00AD6666" w14:paraId="299FBA1C" w14:textId="77777777" w:rsidTr="00510CE9">
            <w:trPr>
              <w:trHeight w:val="315"/>
            </w:trPr>
            <w:tc>
              <w:tcPr>
                <w:tcW w:w="4060" w:type="dxa"/>
                <w:shd w:val="clear" w:color="auto" w:fill="auto"/>
                <w:vAlign w:val="center"/>
                <w:hideMark/>
              </w:tcPr>
              <w:p w14:paraId="6D24B692" w14:textId="61EB9F36"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SOCIEDAD PORTUARIA RIO CORDOBA S A</w:t>
                </w:r>
              </w:p>
            </w:tc>
            <w:tc>
              <w:tcPr>
                <w:tcW w:w="1460" w:type="dxa"/>
                <w:shd w:val="clear" w:color="auto" w:fill="auto"/>
                <w:noWrap/>
                <w:vAlign w:val="center"/>
                <w:hideMark/>
              </w:tcPr>
              <w:p w14:paraId="347CDEE0"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0</w:t>
                </w:r>
              </w:p>
            </w:tc>
            <w:tc>
              <w:tcPr>
                <w:tcW w:w="1460" w:type="dxa"/>
                <w:shd w:val="clear" w:color="auto" w:fill="auto"/>
                <w:noWrap/>
                <w:vAlign w:val="center"/>
                <w:hideMark/>
              </w:tcPr>
              <w:p w14:paraId="357EF724"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16769359649</w:t>
                </w:r>
              </w:p>
            </w:tc>
            <w:tc>
              <w:tcPr>
                <w:tcW w:w="1320" w:type="dxa"/>
                <w:shd w:val="clear" w:color="auto" w:fill="auto"/>
                <w:noWrap/>
                <w:vAlign w:val="center"/>
                <w:hideMark/>
              </w:tcPr>
              <w:p w14:paraId="62DBE9A8"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-16.769.359.649</w:t>
                </w:r>
              </w:p>
            </w:tc>
          </w:tr>
          <w:tr w:rsidR="00AD6666" w:rsidRPr="00AD6666" w14:paraId="4323E8B8" w14:textId="77777777" w:rsidTr="00510CE9">
            <w:trPr>
              <w:trHeight w:val="315"/>
            </w:trPr>
            <w:tc>
              <w:tcPr>
                <w:tcW w:w="4060" w:type="dxa"/>
                <w:shd w:val="clear" w:color="auto" w:fill="auto"/>
                <w:vAlign w:val="center"/>
                <w:hideMark/>
              </w:tcPr>
              <w:p w14:paraId="6FB3831C"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Propiedades, planta y equipo en concesión</w:t>
                </w:r>
              </w:p>
            </w:tc>
            <w:tc>
              <w:tcPr>
                <w:tcW w:w="1460" w:type="dxa"/>
                <w:shd w:val="clear" w:color="auto" w:fill="auto"/>
                <w:noWrap/>
                <w:vAlign w:val="center"/>
                <w:hideMark/>
              </w:tcPr>
              <w:p w14:paraId="54B9B930"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c>
              <w:tcPr>
                <w:tcW w:w="1460" w:type="dxa"/>
                <w:shd w:val="clear" w:color="auto" w:fill="auto"/>
                <w:noWrap/>
                <w:vAlign w:val="center"/>
                <w:hideMark/>
              </w:tcPr>
              <w:p w14:paraId="7402558E"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16.398.123.997</w:t>
                </w:r>
              </w:p>
            </w:tc>
            <w:tc>
              <w:tcPr>
                <w:tcW w:w="1320" w:type="dxa"/>
                <w:shd w:val="clear" w:color="auto" w:fill="auto"/>
                <w:noWrap/>
                <w:vAlign w:val="center"/>
                <w:hideMark/>
              </w:tcPr>
              <w:p w14:paraId="189910BD"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-16.398.123.997</w:t>
                </w:r>
              </w:p>
            </w:tc>
          </w:tr>
          <w:tr w:rsidR="00AD6666" w:rsidRPr="00AD6666" w14:paraId="68A5B847" w14:textId="77777777" w:rsidTr="00510CE9">
            <w:trPr>
              <w:trHeight w:val="315"/>
            </w:trPr>
            <w:tc>
              <w:tcPr>
                <w:tcW w:w="4060" w:type="dxa"/>
                <w:shd w:val="clear" w:color="auto" w:fill="auto"/>
                <w:vAlign w:val="center"/>
                <w:hideMark/>
              </w:tcPr>
              <w:p w14:paraId="53A3AE50"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servicio</w:t>
                </w:r>
              </w:p>
            </w:tc>
            <w:tc>
              <w:tcPr>
                <w:tcW w:w="1460" w:type="dxa"/>
                <w:shd w:val="clear" w:color="auto" w:fill="auto"/>
                <w:noWrap/>
                <w:vAlign w:val="center"/>
                <w:hideMark/>
              </w:tcPr>
              <w:p w14:paraId="49631A3D"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c>
              <w:tcPr>
                <w:tcW w:w="1460" w:type="dxa"/>
                <w:shd w:val="clear" w:color="auto" w:fill="auto"/>
                <w:noWrap/>
                <w:vAlign w:val="center"/>
                <w:hideMark/>
              </w:tcPr>
              <w:p w14:paraId="79F27491"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371.235.652</w:t>
                </w:r>
              </w:p>
            </w:tc>
            <w:tc>
              <w:tcPr>
                <w:tcW w:w="1320" w:type="dxa"/>
                <w:shd w:val="clear" w:color="auto" w:fill="auto"/>
                <w:noWrap/>
                <w:vAlign w:val="center"/>
                <w:hideMark/>
              </w:tcPr>
              <w:p w14:paraId="656ED9C8"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-371.235.652</w:t>
                </w:r>
              </w:p>
            </w:tc>
          </w:tr>
          <w:tr w:rsidR="00AD6666" w:rsidRPr="00AD6666" w14:paraId="5685D49F" w14:textId="77777777" w:rsidTr="00510CE9">
            <w:trPr>
              <w:trHeight w:val="315"/>
            </w:trPr>
            <w:tc>
              <w:tcPr>
                <w:tcW w:w="4060" w:type="dxa"/>
                <w:shd w:val="clear" w:color="auto" w:fill="auto"/>
                <w:vAlign w:val="center"/>
                <w:hideMark/>
              </w:tcPr>
              <w:p w14:paraId="389B67D7" w14:textId="77777777"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SOCIEDAD PORTUARIA BAVARIA S.A.</w:t>
                </w:r>
              </w:p>
            </w:tc>
            <w:tc>
              <w:tcPr>
                <w:tcW w:w="1460" w:type="dxa"/>
                <w:shd w:val="clear" w:color="auto" w:fill="auto"/>
                <w:noWrap/>
                <w:vAlign w:val="center"/>
                <w:hideMark/>
              </w:tcPr>
              <w:p w14:paraId="3CEB7A19"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15.023.428.316</w:t>
                </w:r>
              </w:p>
            </w:tc>
            <w:tc>
              <w:tcPr>
                <w:tcW w:w="1460" w:type="dxa"/>
                <w:shd w:val="clear" w:color="auto" w:fill="auto"/>
                <w:noWrap/>
                <w:vAlign w:val="center"/>
                <w:hideMark/>
              </w:tcPr>
              <w:p w14:paraId="30B7E680"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14.551.318.349</w:t>
                </w:r>
              </w:p>
            </w:tc>
            <w:tc>
              <w:tcPr>
                <w:tcW w:w="1320" w:type="dxa"/>
                <w:shd w:val="clear" w:color="auto" w:fill="auto"/>
                <w:noWrap/>
                <w:vAlign w:val="center"/>
                <w:hideMark/>
              </w:tcPr>
              <w:p w14:paraId="1A12990A"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472.109.967</w:t>
                </w:r>
              </w:p>
            </w:tc>
          </w:tr>
          <w:tr w:rsidR="00AD6666" w:rsidRPr="00AD6666" w14:paraId="0FE86C75" w14:textId="77777777" w:rsidTr="00510CE9">
            <w:trPr>
              <w:trHeight w:val="315"/>
            </w:trPr>
            <w:tc>
              <w:tcPr>
                <w:tcW w:w="4060" w:type="dxa"/>
                <w:shd w:val="clear" w:color="auto" w:fill="auto"/>
                <w:vAlign w:val="center"/>
                <w:hideMark/>
              </w:tcPr>
              <w:p w14:paraId="673AB63F"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Activos intangibles en concesión</w:t>
                </w:r>
              </w:p>
            </w:tc>
            <w:tc>
              <w:tcPr>
                <w:tcW w:w="1460" w:type="dxa"/>
                <w:shd w:val="clear" w:color="auto" w:fill="auto"/>
                <w:noWrap/>
                <w:vAlign w:val="center"/>
                <w:hideMark/>
              </w:tcPr>
              <w:p w14:paraId="526E6A99"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296.118.683</w:t>
                </w:r>
              </w:p>
            </w:tc>
            <w:tc>
              <w:tcPr>
                <w:tcW w:w="1460" w:type="dxa"/>
                <w:shd w:val="clear" w:color="auto" w:fill="auto"/>
                <w:noWrap/>
                <w:vAlign w:val="center"/>
                <w:hideMark/>
              </w:tcPr>
              <w:p w14:paraId="70FC5602"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296.118.683</w:t>
                </w:r>
              </w:p>
            </w:tc>
            <w:tc>
              <w:tcPr>
                <w:tcW w:w="1320" w:type="dxa"/>
                <w:shd w:val="clear" w:color="auto" w:fill="auto"/>
                <w:noWrap/>
                <w:vAlign w:val="center"/>
                <w:hideMark/>
              </w:tcPr>
              <w:p w14:paraId="1B7C702F"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4E608829" w14:textId="77777777" w:rsidTr="00510CE9">
            <w:trPr>
              <w:trHeight w:val="315"/>
            </w:trPr>
            <w:tc>
              <w:tcPr>
                <w:tcW w:w="4060" w:type="dxa"/>
                <w:shd w:val="clear" w:color="auto" w:fill="auto"/>
                <w:vAlign w:val="center"/>
                <w:hideMark/>
              </w:tcPr>
              <w:p w14:paraId="62956C84"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Propiedades, planta y equipo en concesión</w:t>
                </w:r>
              </w:p>
            </w:tc>
            <w:tc>
              <w:tcPr>
                <w:tcW w:w="1460" w:type="dxa"/>
                <w:shd w:val="clear" w:color="auto" w:fill="auto"/>
                <w:noWrap/>
                <w:vAlign w:val="center"/>
                <w:hideMark/>
              </w:tcPr>
              <w:p w14:paraId="1970DDA5"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9.186.216.625</w:t>
                </w:r>
              </w:p>
            </w:tc>
            <w:tc>
              <w:tcPr>
                <w:tcW w:w="1460" w:type="dxa"/>
                <w:shd w:val="clear" w:color="auto" w:fill="auto"/>
                <w:noWrap/>
                <w:vAlign w:val="center"/>
                <w:hideMark/>
              </w:tcPr>
              <w:p w14:paraId="19F3C6AE"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8.780.682.722</w:t>
                </w:r>
              </w:p>
            </w:tc>
            <w:tc>
              <w:tcPr>
                <w:tcW w:w="1320" w:type="dxa"/>
                <w:shd w:val="clear" w:color="auto" w:fill="auto"/>
                <w:noWrap/>
                <w:vAlign w:val="center"/>
                <w:hideMark/>
              </w:tcPr>
              <w:p w14:paraId="3819BC7B"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405.533.903</w:t>
                </w:r>
              </w:p>
            </w:tc>
          </w:tr>
          <w:tr w:rsidR="00AD6666" w:rsidRPr="00AD6666" w14:paraId="2902BD80" w14:textId="77777777" w:rsidTr="00510CE9">
            <w:trPr>
              <w:trHeight w:val="315"/>
            </w:trPr>
            <w:tc>
              <w:tcPr>
                <w:tcW w:w="4060" w:type="dxa"/>
                <w:shd w:val="clear" w:color="auto" w:fill="auto"/>
                <w:vAlign w:val="center"/>
                <w:hideMark/>
              </w:tcPr>
              <w:p w14:paraId="68545FB0"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servicio</w:t>
                </w:r>
              </w:p>
            </w:tc>
            <w:tc>
              <w:tcPr>
                <w:tcW w:w="1460" w:type="dxa"/>
                <w:shd w:val="clear" w:color="auto" w:fill="auto"/>
                <w:noWrap/>
                <w:vAlign w:val="center"/>
                <w:hideMark/>
              </w:tcPr>
              <w:p w14:paraId="07E7D821"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5.541.093.008</w:t>
                </w:r>
              </w:p>
            </w:tc>
            <w:tc>
              <w:tcPr>
                <w:tcW w:w="1460" w:type="dxa"/>
                <w:shd w:val="clear" w:color="auto" w:fill="auto"/>
                <w:noWrap/>
                <w:vAlign w:val="center"/>
                <w:hideMark/>
              </w:tcPr>
              <w:p w14:paraId="645B20C2"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5.474.516.944</w:t>
                </w:r>
              </w:p>
            </w:tc>
            <w:tc>
              <w:tcPr>
                <w:tcW w:w="1320" w:type="dxa"/>
                <w:shd w:val="clear" w:color="auto" w:fill="auto"/>
                <w:noWrap/>
                <w:vAlign w:val="center"/>
                <w:hideMark/>
              </w:tcPr>
              <w:p w14:paraId="1704AA37"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66.576.064</w:t>
                </w:r>
              </w:p>
            </w:tc>
          </w:tr>
          <w:tr w:rsidR="00AD6666" w:rsidRPr="00AD6666" w14:paraId="64B8C986" w14:textId="77777777" w:rsidTr="00510CE9">
            <w:trPr>
              <w:trHeight w:val="315"/>
            </w:trPr>
            <w:tc>
              <w:tcPr>
                <w:tcW w:w="4060" w:type="dxa"/>
                <w:shd w:val="clear" w:color="auto" w:fill="auto"/>
                <w:vAlign w:val="center"/>
                <w:hideMark/>
              </w:tcPr>
              <w:p w14:paraId="692C8FD8" w14:textId="77777777"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SOCIEDAD PORTUARIA BITA RM S.A.</w:t>
                </w:r>
              </w:p>
            </w:tc>
            <w:tc>
              <w:tcPr>
                <w:tcW w:w="1460" w:type="dxa"/>
                <w:shd w:val="clear" w:color="auto" w:fill="auto"/>
                <w:noWrap/>
                <w:vAlign w:val="center"/>
                <w:hideMark/>
              </w:tcPr>
              <w:p w14:paraId="6D974215"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1.079.030.852</w:t>
                </w:r>
              </w:p>
            </w:tc>
            <w:tc>
              <w:tcPr>
                <w:tcW w:w="1460" w:type="dxa"/>
                <w:shd w:val="clear" w:color="auto" w:fill="auto"/>
                <w:noWrap/>
                <w:vAlign w:val="center"/>
                <w:hideMark/>
              </w:tcPr>
              <w:p w14:paraId="5ECF200E"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491.143.305</w:t>
                </w:r>
              </w:p>
            </w:tc>
            <w:tc>
              <w:tcPr>
                <w:tcW w:w="1320" w:type="dxa"/>
                <w:shd w:val="clear" w:color="auto" w:fill="auto"/>
                <w:noWrap/>
                <w:vAlign w:val="center"/>
                <w:hideMark/>
              </w:tcPr>
              <w:p w14:paraId="4B0D9FD0"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587.887.547</w:t>
                </w:r>
              </w:p>
            </w:tc>
          </w:tr>
          <w:tr w:rsidR="00AD6666" w:rsidRPr="00AD6666" w14:paraId="6A990BF4" w14:textId="77777777" w:rsidTr="00510CE9">
            <w:trPr>
              <w:trHeight w:val="315"/>
            </w:trPr>
            <w:tc>
              <w:tcPr>
                <w:tcW w:w="4060" w:type="dxa"/>
                <w:shd w:val="clear" w:color="auto" w:fill="auto"/>
                <w:vAlign w:val="center"/>
                <w:hideMark/>
              </w:tcPr>
              <w:p w14:paraId="20180727"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construcción</w:t>
                </w:r>
              </w:p>
            </w:tc>
            <w:tc>
              <w:tcPr>
                <w:tcW w:w="1460" w:type="dxa"/>
                <w:shd w:val="clear" w:color="auto" w:fill="auto"/>
                <w:noWrap/>
                <w:vAlign w:val="center"/>
                <w:hideMark/>
              </w:tcPr>
              <w:p w14:paraId="54D7251B"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1.079.030.852</w:t>
                </w:r>
              </w:p>
            </w:tc>
            <w:tc>
              <w:tcPr>
                <w:tcW w:w="1460" w:type="dxa"/>
                <w:shd w:val="clear" w:color="auto" w:fill="auto"/>
                <w:noWrap/>
                <w:vAlign w:val="center"/>
                <w:hideMark/>
              </w:tcPr>
              <w:p w14:paraId="5CB750A7"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491.143.305</w:t>
                </w:r>
              </w:p>
            </w:tc>
            <w:tc>
              <w:tcPr>
                <w:tcW w:w="1320" w:type="dxa"/>
                <w:shd w:val="clear" w:color="auto" w:fill="auto"/>
                <w:noWrap/>
                <w:vAlign w:val="center"/>
                <w:hideMark/>
              </w:tcPr>
              <w:p w14:paraId="7F9DFA52"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587.887.547</w:t>
                </w:r>
              </w:p>
            </w:tc>
          </w:tr>
          <w:tr w:rsidR="00AD6666" w:rsidRPr="00AD6666" w14:paraId="0372508C" w14:textId="77777777" w:rsidTr="00510CE9">
            <w:trPr>
              <w:trHeight w:val="315"/>
            </w:trPr>
            <w:tc>
              <w:tcPr>
                <w:tcW w:w="4060" w:type="dxa"/>
                <w:shd w:val="clear" w:color="auto" w:fill="auto"/>
                <w:vAlign w:val="center"/>
                <w:hideMark/>
              </w:tcPr>
              <w:p w14:paraId="0C6C8CB3" w14:textId="77777777"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SOCIEDAD PORTUARIA CENTRAL CARTAGENA S.A</w:t>
                </w:r>
              </w:p>
            </w:tc>
            <w:tc>
              <w:tcPr>
                <w:tcW w:w="1460" w:type="dxa"/>
                <w:shd w:val="clear" w:color="auto" w:fill="auto"/>
                <w:noWrap/>
                <w:vAlign w:val="center"/>
                <w:hideMark/>
              </w:tcPr>
              <w:p w14:paraId="3B5E6893"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5.145.333.075</w:t>
                </w:r>
              </w:p>
            </w:tc>
            <w:tc>
              <w:tcPr>
                <w:tcW w:w="1460" w:type="dxa"/>
                <w:shd w:val="clear" w:color="auto" w:fill="auto"/>
                <w:noWrap/>
                <w:vAlign w:val="center"/>
                <w:hideMark/>
              </w:tcPr>
              <w:p w14:paraId="2FDE9610"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5.145.333.075</w:t>
                </w:r>
              </w:p>
            </w:tc>
            <w:tc>
              <w:tcPr>
                <w:tcW w:w="1320" w:type="dxa"/>
                <w:shd w:val="clear" w:color="auto" w:fill="auto"/>
                <w:noWrap/>
                <w:vAlign w:val="center"/>
                <w:hideMark/>
              </w:tcPr>
              <w:p w14:paraId="092FA24E"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0</w:t>
                </w:r>
              </w:p>
            </w:tc>
          </w:tr>
          <w:tr w:rsidR="00AD6666" w:rsidRPr="00AD6666" w14:paraId="7AC1452D" w14:textId="77777777" w:rsidTr="00510CE9">
            <w:trPr>
              <w:trHeight w:val="315"/>
            </w:trPr>
            <w:tc>
              <w:tcPr>
                <w:tcW w:w="4060" w:type="dxa"/>
                <w:shd w:val="clear" w:color="auto" w:fill="auto"/>
                <w:vAlign w:val="center"/>
                <w:hideMark/>
              </w:tcPr>
              <w:p w14:paraId="5388C5E7"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servicio</w:t>
                </w:r>
              </w:p>
            </w:tc>
            <w:tc>
              <w:tcPr>
                <w:tcW w:w="1460" w:type="dxa"/>
                <w:shd w:val="clear" w:color="auto" w:fill="auto"/>
                <w:noWrap/>
                <w:vAlign w:val="center"/>
                <w:hideMark/>
              </w:tcPr>
              <w:p w14:paraId="411D0DDA"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5.145.333.075</w:t>
                </w:r>
              </w:p>
            </w:tc>
            <w:tc>
              <w:tcPr>
                <w:tcW w:w="1460" w:type="dxa"/>
                <w:shd w:val="clear" w:color="auto" w:fill="auto"/>
                <w:noWrap/>
                <w:vAlign w:val="center"/>
                <w:hideMark/>
              </w:tcPr>
              <w:p w14:paraId="12A9435B"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5.145.333.075</w:t>
                </w:r>
              </w:p>
            </w:tc>
            <w:tc>
              <w:tcPr>
                <w:tcW w:w="1320" w:type="dxa"/>
                <w:shd w:val="clear" w:color="auto" w:fill="auto"/>
                <w:noWrap/>
                <w:vAlign w:val="center"/>
                <w:hideMark/>
              </w:tcPr>
              <w:p w14:paraId="0289C7C3"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57542F02" w14:textId="77777777" w:rsidTr="00510CE9">
            <w:trPr>
              <w:trHeight w:val="315"/>
            </w:trPr>
            <w:tc>
              <w:tcPr>
                <w:tcW w:w="4060" w:type="dxa"/>
                <w:shd w:val="clear" w:color="auto" w:fill="auto"/>
                <w:vAlign w:val="center"/>
                <w:hideMark/>
              </w:tcPr>
              <w:p w14:paraId="6387B82C" w14:textId="77777777"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SOCIEDAD PORTUARIA DE LA PENINSULA</w:t>
                </w:r>
              </w:p>
            </w:tc>
            <w:tc>
              <w:tcPr>
                <w:tcW w:w="1460" w:type="dxa"/>
                <w:shd w:val="clear" w:color="auto" w:fill="auto"/>
                <w:noWrap/>
                <w:vAlign w:val="center"/>
                <w:hideMark/>
              </w:tcPr>
              <w:p w14:paraId="68B1653F"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657.108.100</w:t>
                </w:r>
              </w:p>
            </w:tc>
            <w:tc>
              <w:tcPr>
                <w:tcW w:w="1460" w:type="dxa"/>
                <w:shd w:val="clear" w:color="auto" w:fill="auto"/>
                <w:noWrap/>
                <w:vAlign w:val="center"/>
                <w:hideMark/>
              </w:tcPr>
              <w:p w14:paraId="788605FD"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657.108.100</w:t>
                </w:r>
              </w:p>
            </w:tc>
            <w:tc>
              <w:tcPr>
                <w:tcW w:w="1320" w:type="dxa"/>
                <w:shd w:val="clear" w:color="auto" w:fill="auto"/>
                <w:noWrap/>
                <w:vAlign w:val="center"/>
                <w:hideMark/>
              </w:tcPr>
              <w:p w14:paraId="48A0AE86"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0</w:t>
                </w:r>
              </w:p>
            </w:tc>
          </w:tr>
          <w:tr w:rsidR="00AD6666" w:rsidRPr="00AD6666" w14:paraId="30660709" w14:textId="77777777" w:rsidTr="00510CE9">
            <w:trPr>
              <w:trHeight w:val="315"/>
            </w:trPr>
            <w:tc>
              <w:tcPr>
                <w:tcW w:w="4060" w:type="dxa"/>
                <w:shd w:val="clear" w:color="auto" w:fill="auto"/>
                <w:vAlign w:val="center"/>
                <w:hideMark/>
              </w:tcPr>
              <w:p w14:paraId="539C41E2"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Propiedades, planta y equipo en concesión</w:t>
                </w:r>
              </w:p>
            </w:tc>
            <w:tc>
              <w:tcPr>
                <w:tcW w:w="1460" w:type="dxa"/>
                <w:shd w:val="clear" w:color="auto" w:fill="auto"/>
                <w:noWrap/>
                <w:vAlign w:val="center"/>
                <w:hideMark/>
              </w:tcPr>
              <w:p w14:paraId="2C9852FE"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27.800.000</w:t>
                </w:r>
              </w:p>
            </w:tc>
            <w:tc>
              <w:tcPr>
                <w:tcW w:w="1460" w:type="dxa"/>
                <w:shd w:val="clear" w:color="auto" w:fill="auto"/>
                <w:noWrap/>
                <w:vAlign w:val="center"/>
                <w:hideMark/>
              </w:tcPr>
              <w:p w14:paraId="6AB4B695"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27.800.000</w:t>
                </w:r>
              </w:p>
            </w:tc>
            <w:tc>
              <w:tcPr>
                <w:tcW w:w="1320" w:type="dxa"/>
                <w:shd w:val="clear" w:color="auto" w:fill="auto"/>
                <w:noWrap/>
                <w:vAlign w:val="center"/>
                <w:hideMark/>
              </w:tcPr>
              <w:p w14:paraId="31CD69F1"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3EDD3166" w14:textId="77777777" w:rsidTr="00510CE9">
            <w:trPr>
              <w:trHeight w:val="315"/>
            </w:trPr>
            <w:tc>
              <w:tcPr>
                <w:tcW w:w="4060" w:type="dxa"/>
                <w:shd w:val="clear" w:color="auto" w:fill="auto"/>
                <w:vAlign w:val="center"/>
                <w:hideMark/>
              </w:tcPr>
              <w:p w14:paraId="5528BEDB"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servicio</w:t>
                </w:r>
              </w:p>
            </w:tc>
            <w:tc>
              <w:tcPr>
                <w:tcW w:w="1460" w:type="dxa"/>
                <w:shd w:val="clear" w:color="auto" w:fill="auto"/>
                <w:noWrap/>
                <w:vAlign w:val="center"/>
                <w:hideMark/>
              </w:tcPr>
              <w:p w14:paraId="172EC88E"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629.308.100</w:t>
                </w:r>
              </w:p>
            </w:tc>
            <w:tc>
              <w:tcPr>
                <w:tcW w:w="1460" w:type="dxa"/>
                <w:shd w:val="clear" w:color="auto" w:fill="auto"/>
                <w:noWrap/>
                <w:vAlign w:val="center"/>
                <w:hideMark/>
              </w:tcPr>
              <w:p w14:paraId="78D09FC3"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629.308.100</w:t>
                </w:r>
              </w:p>
            </w:tc>
            <w:tc>
              <w:tcPr>
                <w:tcW w:w="1320" w:type="dxa"/>
                <w:shd w:val="clear" w:color="auto" w:fill="auto"/>
                <w:noWrap/>
                <w:vAlign w:val="center"/>
                <w:hideMark/>
              </w:tcPr>
              <w:p w14:paraId="768DF42C"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6E1B2248" w14:textId="77777777" w:rsidTr="00510CE9">
            <w:trPr>
              <w:trHeight w:val="435"/>
            </w:trPr>
            <w:tc>
              <w:tcPr>
                <w:tcW w:w="4060" w:type="dxa"/>
                <w:shd w:val="clear" w:color="auto" w:fill="auto"/>
                <w:vAlign w:val="center"/>
                <w:hideMark/>
              </w:tcPr>
              <w:p w14:paraId="46BCE1CF" w14:textId="77777777"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SOCIEDAD PORTUARIA DE TRANSPORTE MARITIMO SAN ANDRES Y PROVIDENCIA SA</w:t>
                </w:r>
              </w:p>
            </w:tc>
            <w:tc>
              <w:tcPr>
                <w:tcW w:w="1460" w:type="dxa"/>
                <w:shd w:val="clear" w:color="auto" w:fill="auto"/>
                <w:noWrap/>
                <w:vAlign w:val="center"/>
                <w:hideMark/>
              </w:tcPr>
              <w:p w14:paraId="572F8E2D"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1.793.738.530</w:t>
                </w:r>
              </w:p>
            </w:tc>
            <w:tc>
              <w:tcPr>
                <w:tcW w:w="1460" w:type="dxa"/>
                <w:shd w:val="clear" w:color="auto" w:fill="auto"/>
                <w:noWrap/>
                <w:vAlign w:val="center"/>
                <w:hideMark/>
              </w:tcPr>
              <w:p w14:paraId="566E353B"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1.793.738.530</w:t>
                </w:r>
              </w:p>
            </w:tc>
            <w:tc>
              <w:tcPr>
                <w:tcW w:w="1320" w:type="dxa"/>
                <w:shd w:val="clear" w:color="auto" w:fill="auto"/>
                <w:noWrap/>
                <w:vAlign w:val="center"/>
                <w:hideMark/>
              </w:tcPr>
              <w:p w14:paraId="5CFCECF4"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0</w:t>
                </w:r>
              </w:p>
            </w:tc>
          </w:tr>
          <w:tr w:rsidR="00AD6666" w:rsidRPr="00AD6666" w14:paraId="4F94E698" w14:textId="77777777" w:rsidTr="00510CE9">
            <w:trPr>
              <w:trHeight w:val="315"/>
            </w:trPr>
            <w:tc>
              <w:tcPr>
                <w:tcW w:w="4060" w:type="dxa"/>
                <w:shd w:val="clear" w:color="auto" w:fill="auto"/>
                <w:vAlign w:val="center"/>
                <w:hideMark/>
              </w:tcPr>
              <w:p w14:paraId="21FF159A"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servicio</w:t>
                </w:r>
              </w:p>
            </w:tc>
            <w:tc>
              <w:tcPr>
                <w:tcW w:w="1460" w:type="dxa"/>
                <w:shd w:val="clear" w:color="auto" w:fill="auto"/>
                <w:noWrap/>
                <w:vAlign w:val="center"/>
                <w:hideMark/>
              </w:tcPr>
              <w:p w14:paraId="51EC68B8"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1.793.738.530</w:t>
                </w:r>
              </w:p>
            </w:tc>
            <w:tc>
              <w:tcPr>
                <w:tcW w:w="1460" w:type="dxa"/>
                <w:shd w:val="clear" w:color="auto" w:fill="auto"/>
                <w:noWrap/>
                <w:vAlign w:val="center"/>
                <w:hideMark/>
              </w:tcPr>
              <w:p w14:paraId="757A4863"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1.793.738.530</w:t>
                </w:r>
              </w:p>
            </w:tc>
            <w:tc>
              <w:tcPr>
                <w:tcW w:w="1320" w:type="dxa"/>
                <w:shd w:val="clear" w:color="auto" w:fill="auto"/>
                <w:noWrap/>
                <w:vAlign w:val="center"/>
                <w:hideMark/>
              </w:tcPr>
              <w:p w14:paraId="6F37ED3B"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7DDA41F6" w14:textId="77777777" w:rsidTr="00510CE9">
            <w:trPr>
              <w:trHeight w:val="315"/>
            </w:trPr>
            <w:tc>
              <w:tcPr>
                <w:tcW w:w="4060" w:type="dxa"/>
                <w:shd w:val="clear" w:color="auto" w:fill="auto"/>
                <w:vAlign w:val="center"/>
                <w:hideMark/>
              </w:tcPr>
              <w:p w14:paraId="1E5F404B" w14:textId="77777777"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SOCIEDAD PORTUARIA DEL DIQUE S.A</w:t>
                </w:r>
              </w:p>
            </w:tc>
            <w:tc>
              <w:tcPr>
                <w:tcW w:w="1460" w:type="dxa"/>
                <w:shd w:val="clear" w:color="auto" w:fill="auto"/>
                <w:noWrap/>
                <w:vAlign w:val="center"/>
                <w:hideMark/>
              </w:tcPr>
              <w:p w14:paraId="47324660"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2.635.567.827</w:t>
                </w:r>
              </w:p>
            </w:tc>
            <w:tc>
              <w:tcPr>
                <w:tcW w:w="1460" w:type="dxa"/>
                <w:shd w:val="clear" w:color="auto" w:fill="auto"/>
                <w:noWrap/>
                <w:vAlign w:val="center"/>
                <w:hideMark/>
              </w:tcPr>
              <w:p w14:paraId="6EC2B580"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2.635.567.827</w:t>
                </w:r>
              </w:p>
            </w:tc>
            <w:tc>
              <w:tcPr>
                <w:tcW w:w="1320" w:type="dxa"/>
                <w:shd w:val="clear" w:color="auto" w:fill="auto"/>
                <w:noWrap/>
                <w:vAlign w:val="center"/>
                <w:hideMark/>
              </w:tcPr>
              <w:p w14:paraId="3EB9ED88"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0</w:t>
                </w:r>
              </w:p>
            </w:tc>
          </w:tr>
          <w:tr w:rsidR="00AD6666" w:rsidRPr="00AD6666" w14:paraId="7D4D128F" w14:textId="77777777" w:rsidTr="00510CE9">
            <w:trPr>
              <w:trHeight w:val="315"/>
            </w:trPr>
            <w:tc>
              <w:tcPr>
                <w:tcW w:w="4060" w:type="dxa"/>
                <w:shd w:val="clear" w:color="auto" w:fill="auto"/>
                <w:vAlign w:val="center"/>
                <w:hideMark/>
              </w:tcPr>
              <w:p w14:paraId="3921661D"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Propiedades, planta y equipo en concesión</w:t>
                </w:r>
              </w:p>
            </w:tc>
            <w:tc>
              <w:tcPr>
                <w:tcW w:w="1460" w:type="dxa"/>
                <w:shd w:val="clear" w:color="auto" w:fill="auto"/>
                <w:noWrap/>
                <w:vAlign w:val="center"/>
                <w:hideMark/>
              </w:tcPr>
              <w:p w14:paraId="5157482A"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377.269.719</w:t>
                </w:r>
              </w:p>
            </w:tc>
            <w:tc>
              <w:tcPr>
                <w:tcW w:w="1460" w:type="dxa"/>
                <w:shd w:val="clear" w:color="auto" w:fill="auto"/>
                <w:noWrap/>
                <w:vAlign w:val="center"/>
                <w:hideMark/>
              </w:tcPr>
              <w:p w14:paraId="1C786719"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377.269.719</w:t>
                </w:r>
              </w:p>
            </w:tc>
            <w:tc>
              <w:tcPr>
                <w:tcW w:w="1320" w:type="dxa"/>
                <w:shd w:val="clear" w:color="auto" w:fill="auto"/>
                <w:noWrap/>
                <w:vAlign w:val="center"/>
                <w:hideMark/>
              </w:tcPr>
              <w:p w14:paraId="5217FCE1"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1EA4EC0E" w14:textId="77777777" w:rsidTr="00510CE9">
            <w:trPr>
              <w:trHeight w:val="315"/>
            </w:trPr>
            <w:tc>
              <w:tcPr>
                <w:tcW w:w="4060" w:type="dxa"/>
                <w:shd w:val="clear" w:color="auto" w:fill="auto"/>
                <w:vAlign w:val="center"/>
                <w:hideMark/>
              </w:tcPr>
              <w:p w14:paraId="10CDFB74"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servicio</w:t>
                </w:r>
              </w:p>
            </w:tc>
            <w:tc>
              <w:tcPr>
                <w:tcW w:w="1460" w:type="dxa"/>
                <w:shd w:val="clear" w:color="auto" w:fill="auto"/>
                <w:noWrap/>
                <w:vAlign w:val="center"/>
                <w:hideMark/>
              </w:tcPr>
              <w:p w14:paraId="49343C39"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2.258.298.108</w:t>
                </w:r>
              </w:p>
            </w:tc>
            <w:tc>
              <w:tcPr>
                <w:tcW w:w="1460" w:type="dxa"/>
                <w:shd w:val="clear" w:color="auto" w:fill="auto"/>
                <w:noWrap/>
                <w:vAlign w:val="center"/>
                <w:hideMark/>
              </w:tcPr>
              <w:p w14:paraId="73F7418D"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2.258.298.108</w:t>
                </w:r>
              </w:p>
            </w:tc>
            <w:tc>
              <w:tcPr>
                <w:tcW w:w="1320" w:type="dxa"/>
                <w:shd w:val="clear" w:color="auto" w:fill="auto"/>
                <w:noWrap/>
                <w:vAlign w:val="center"/>
                <w:hideMark/>
              </w:tcPr>
              <w:p w14:paraId="6F9ABF2C"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351FCCDC" w14:textId="77777777" w:rsidTr="00510CE9">
            <w:trPr>
              <w:trHeight w:val="315"/>
            </w:trPr>
            <w:tc>
              <w:tcPr>
                <w:tcW w:w="4060" w:type="dxa"/>
                <w:shd w:val="clear" w:color="auto" w:fill="auto"/>
                <w:vAlign w:val="center"/>
                <w:hideMark/>
              </w:tcPr>
              <w:p w14:paraId="38008C4F" w14:textId="77777777"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SOCIEDAD PORTUARIA DEXTON S.A.</w:t>
                </w:r>
              </w:p>
            </w:tc>
            <w:tc>
              <w:tcPr>
                <w:tcW w:w="1460" w:type="dxa"/>
                <w:shd w:val="clear" w:color="auto" w:fill="auto"/>
                <w:noWrap/>
                <w:vAlign w:val="center"/>
                <w:hideMark/>
              </w:tcPr>
              <w:p w14:paraId="08138786"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3.761.835.494</w:t>
                </w:r>
              </w:p>
            </w:tc>
            <w:tc>
              <w:tcPr>
                <w:tcW w:w="1460" w:type="dxa"/>
                <w:shd w:val="clear" w:color="auto" w:fill="auto"/>
                <w:noWrap/>
                <w:vAlign w:val="center"/>
                <w:hideMark/>
              </w:tcPr>
              <w:p w14:paraId="7042C478"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3.761.835.494</w:t>
                </w:r>
              </w:p>
            </w:tc>
            <w:tc>
              <w:tcPr>
                <w:tcW w:w="1320" w:type="dxa"/>
                <w:shd w:val="clear" w:color="auto" w:fill="auto"/>
                <w:noWrap/>
                <w:vAlign w:val="center"/>
                <w:hideMark/>
              </w:tcPr>
              <w:p w14:paraId="4C78108D"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0</w:t>
                </w:r>
              </w:p>
            </w:tc>
          </w:tr>
          <w:tr w:rsidR="00AD6666" w:rsidRPr="00AD6666" w14:paraId="4360F892" w14:textId="77777777" w:rsidTr="00510CE9">
            <w:trPr>
              <w:trHeight w:val="315"/>
            </w:trPr>
            <w:tc>
              <w:tcPr>
                <w:tcW w:w="4060" w:type="dxa"/>
                <w:shd w:val="clear" w:color="auto" w:fill="auto"/>
                <w:vAlign w:val="center"/>
                <w:hideMark/>
              </w:tcPr>
              <w:p w14:paraId="2002F362"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Propiedades, planta y equipo en concesión</w:t>
                </w:r>
              </w:p>
            </w:tc>
            <w:tc>
              <w:tcPr>
                <w:tcW w:w="1460" w:type="dxa"/>
                <w:shd w:val="clear" w:color="auto" w:fill="auto"/>
                <w:noWrap/>
                <w:vAlign w:val="center"/>
                <w:hideMark/>
              </w:tcPr>
              <w:p w14:paraId="2C3FB9D0"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1.414.079.491</w:t>
                </w:r>
              </w:p>
            </w:tc>
            <w:tc>
              <w:tcPr>
                <w:tcW w:w="1460" w:type="dxa"/>
                <w:shd w:val="clear" w:color="auto" w:fill="auto"/>
                <w:noWrap/>
                <w:vAlign w:val="center"/>
                <w:hideMark/>
              </w:tcPr>
              <w:p w14:paraId="23C837C8"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1.414.079.491</w:t>
                </w:r>
              </w:p>
            </w:tc>
            <w:tc>
              <w:tcPr>
                <w:tcW w:w="1320" w:type="dxa"/>
                <w:shd w:val="clear" w:color="auto" w:fill="auto"/>
                <w:noWrap/>
                <w:vAlign w:val="center"/>
                <w:hideMark/>
              </w:tcPr>
              <w:p w14:paraId="5310B79E"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02BE1CB3" w14:textId="77777777" w:rsidTr="00510CE9">
            <w:trPr>
              <w:trHeight w:val="315"/>
            </w:trPr>
            <w:tc>
              <w:tcPr>
                <w:tcW w:w="4060" w:type="dxa"/>
                <w:shd w:val="clear" w:color="auto" w:fill="auto"/>
                <w:vAlign w:val="center"/>
                <w:hideMark/>
              </w:tcPr>
              <w:p w14:paraId="7A2CE083"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servicio</w:t>
                </w:r>
              </w:p>
            </w:tc>
            <w:tc>
              <w:tcPr>
                <w:tcW w:w="1460" w:type="dxa"/>
                <w:shd w:val="clear" w:color="auto" w:fill="auto"/>
                <w:noWrap/>
                <w:vAlign w:val="center"/>
                <w:hideMark/>
              </w:tcPr>
              <w:p w14:paraId="26ADFBE0"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2.347.756.003</w:t>
                </w:r>
              </w:p>
            </w:tc>
            <w:tc>
              <w:tcPr>
                <w:tcW w:w="1460" w:type="dxa"/>
                <w:shd w:val="clear" w:color="auto" w:fill="auto"/>
                <w:noWrap/>
                <w:vAlign w:val="center"/>
                <w:hideMark/>
              </w:tcPr>
              <w:p w14:paraId="7BA484A2"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2.347.756.003</w:t>
                </w:r>
              </w:p>
            </w:tc>
            <w:tc>
              <w:tcPr>
                <w:tcW w:w="1320" w:type="dxa"/>
                <w:shd w:val="clear" w:color="auto" w:fill="auto"/>
                <w:noWrap/>
                <w:vAlign w:val="center"/>
                <w:hideMark/>
              </w:tcPr>
              <w:p w14:paraId="718126E5"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18C39CAF" w14:textId="77777777" w:rsidTr="00510CE9">
            <w:trPr>
              <w:trHeight w:val="315"/>
            </w:trPr>
            <w:tc>
              <w:tcPr>
                <w:tcW w:w="4060" w:type="dxa"/>
                <w:shd w:val="clear" w:color="auto" w:fill="auto"/>
                <w:vAlign w:val="center"/>
                <w:hideMark/>
              </w:tcPr>
              <w:p w14:paraId="525FBC18" w14:textId="77777777"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SOCIEDAD PORTUARIA OCEANOS S.A.</w:t>
                </w:r>
              </w:p>
            </w:tc>
            <w:tc>
              <w:tcPr>
                <w:tcW w:w="1460" w:type="dxa"/>
                <w:shd w:val="clear" w:color="auto" w:fill="auto"/>
                <w:noWrap/>
                <w:vAlign w:val="center"/>
                <w:hideMark/>
              </w:tcPr>
              <w:p w14:paraId="3DBFBFFC"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229.798.157</w:t>
                </w:r>
              </w:p>
            </w:tc>
            <w:tc>
              <w:tcPr>
                <w:tcW w:w="1460" w:type="dxa"/>
                <w:shd w:val="clear" w:color="auto" w:fill="auto"/>
                <w:noWrap/>
                <w:vAlign w:val="center"/>
                <w:hideMark/>
              </w:tcPr>
              <w:p w14:paraId="0034FA2C"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229.798.157</w:t>
                </w:r>
              </w:p>
            </w:tc>
            <w:tc>
              <w:tcPr>
                <w:tcW w:w="1320" w:type="dxa"/>
                <w:shd w:val="clear" w:color="auto" w:fill="auto"/>
                <w:noWrap/>
                <w:vAlign w:val="center"/>
                <w:hideMark/>
              </w:tcPr>
              <w:p w14:paraId="0B6E1260"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0</w:t>
                </w:r>
              </w:p>
            </w:tc>
          </w:tr>
          <w:tr w:rsidR="00AD6666" w:rsidRPr="00AD6666" w14:paraId="5809B35C" w14:textId="77777777" w:rsidTr="00510CE9">
            <w:trPr>
              <w:trHeight w:val="315"/>
            </w:trPr>
            <w:tc>
              <w:tcPr>
                <w:tcW w:w="4060" w:type="dxa"/>
                <w:shd w:val="clear" w:color="auto" w:fill="auto"/>
                <w:vAlign w:val="center"/>
                <w:hideMark/>
              </w:tcPr>
              <w:p w14:paraId="235EA315"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servicio</w:t>
                </w:r>
              </w:p>
            </w:tc>
            <w:tc>
              <w:tcPr>
                <w:tcW w:w="1460" w:type="dxa"/>
                <w:shd w:val="clear" w:color="auto" w:fill="auto"/>
                <w:noWrap/>
                <w:vAlign w:val="center"/>
                <w:hideMark/>
              </w:tcPr>
              <w:p w14:paraId="00A32C18"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229.798.157</w:t>
                </w:r>
              </w:p>
            </w:tc>
            <w:tc>
              <w:tcPr>
                <w:tcW w:w="1460" w:type="dxa"/>
                <w:shd w:val="clear" w:color="auto" w:fill="auto"/>
                <w:noWrap/>
                <w:vAlign w:val="center"/>
                <w:hideMark/>
              </w:tcPr>
              <w:p w14:paraId="0EDF4D2E"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229.798.157</w:t>
                </w:r>
              </w:p>
            </w:tc>
            <w:tc>
              <w:tcPr>
                <w:tcW w:w="1320" w:type="dxa"/>
                <w:shd w:val="clear" w:color="auto" w:fill="auto"/>
                <w:noWrap/>
                <w:vAlign w:val="center"/>
                <w:hideMark/>
              </w:tcPr>
              <w:p w14:paraId="27A09F3D"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3D6C1108" w14:textId="77777777" w:rsidTr="00510CE9">
            <w:trPr>
              <w:trHeight w:val="435"/>
            </w:trPr>
            <w:tc>
              <w:tcPr>
                <w:tcW w:w="4060" w:type="dxa"/>
                <w:shd w:val="clear" w:color="auto" w:fill="auto"/>
                <w:vAlign w:val="center"/>
                <w:hideMark/>
              </w:tcPr>
              <w:p w14:paraId="0732C637" w14:textId="77777777"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SOCIEDAD PORTUARIA OLEFINAS Y DERIVADOS S.A.</w:t>
                </w:r>
              </w:p>
            </w:tc>
            <w:tc>
              <w:tcPr>
                <w:tcW w:w="1460" w:type="dxa"/>
                <w:shd w:val="clear" w:color="auto" w:fill="auto"/>
                <w:noWrap/>
                <w:vAlign w:val="center"/>
                <w:hideMark/>
              </w:tcPr>
              <w:p w14:paraId="41EACDC6"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7.567.992.322</w:t>
                </w:r>
              </w:p>
            </w:tc>
            <w:tc>
              <w:tcPr>
                <w:tcW w:w="1460" w:type="dxa"/>
                <w:shd w:val="clear" w:color="auto" w:fill="auto"/>
                <w:noWrap/>
                <w:vAlign w:val="center"/>
                <w:hideMark/>
              </w:tcPr>
              <w:p w14:paraId="67E4FBB2"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7.358.380.922</w:t>
                </w:r>
              </w:p>
            </w:tc>
            <w:tc>
              <w:tcPr>
                <w:tcW w:w="1320" w:type="dxa"/>
                <w:shd w:val="clear" w:color="auto" w:fill="auto"/>
                <w:noWrap/>
                <w:vAlign w:val="center"/>
                <w:hideMark/>
              </w:tcPr>
              <w:p w14:paraId="5698C28A"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209.611.400</w:t>
                </w:r>
              </w:p>
            </w:tc>
          </w:tr>
          <w:tr w:rsidR="00AD6666" w:rsidRPr="00AD6666" w14:paraId="50E20080" w14:textId="77777777" w:rsidTr="00510CE9">
            <w:trPr>
              <w:trHeight w:val="315"/>
            </w:trPr>
            <w:tc>
              <w:tcPr>
                <w:tcW w:w="4060" w:type="dxa"/>
                <w:shd w:val="clear" w:color="auto" w:fill="auto"/>
                <w:vAlign w:val="center"/>
                <w:hideMark/>
              </w:tcPr>
              <w:p w14:paraId="75D64522"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Propiedades, planta y equipo en concesión</w:t>
                </w:r>
              </w:p>
            </w:tc>
            <w:tc>
              <w:tcPr>
                <w:tcW w:w="1460" w:type="dxa"/>
                <w:shd w:val="clear" w:color="auto" w:fill="auto"/>
                <w:noWrap/>
                <w:vAlign w:val="center"/>
                <w:hideMark/>
              </w:tcPr>
              <w:p w14:paraId="38271267"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491.738.989</w:t>
                </w:r>
              </w:p>
            </w:tc>
            <w:tc>
              <w:tcPr>
                <w:tcW w:w="1460" w:type="dxa"/>
                <w:shd w:val="clear" w:color="auto" w:fill="auto"/>
                <w:noWrap/>
                <w:vAlign w:val="center"/>
                <w:hideMark/>
              </w:tcPr>
              <w:p w14:paraId="4DF9C65E"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282.127.589</w:t>
                </w:r>
              </w:p>
            </w:tc>
            <w:tc>
              <w:tcPr>
                <w:tcW w:w="1320" w:type="dxa"/>
                <w:shd w:val="clear" w:color="auto" w:fill="auto"/>
                <w:noWrap/>
                <w:vAlign w:val="center"/>
                <w:hideMark/>
              </w:tcPr>
              <w:p w14:paraId="023BF2E6"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209.611.400</w:t>
                </w:r>
              </w:p>
            </w:tc>
          </w:tr>
          <w:tr w:rsidR="00AD6666" w:rsidRPr="00AD6666" w14:paraId="109BDF4C" w14:textId="77777777" w:rsidTr="00510CE9">
            <w:trPr>
              <w:trHeight w:val="315"/>
            </w:trPr>
            <w:tc>
              <w:tcPr>
                <w:tcW w:w="4060" w:type="dxa"/>
                <w:shd w:val="clear" w:color="auto" w:fill="auto"/>
                <w:vAlign w:val="center"/>
                <w:hideMark/>
              </w:tcPr>
              <w:p w14:paraId="093A0905"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construcción</w:t>
                </w:r>
              </w:p>
            </w:tc>
            <w:tc>
              <w:tcPr>
                <w:tcW w:w="1460" w:type="dxa"/>
                <w:shd w:val="clear" w:color="auto" w:fill="auto"/>
                <w:noWrap/>
                <w:vAlign w:val="center"/>
                <w:hideMark/>
              </w:tcPr>
              <w:p w14:paraId="1278B91F"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3.060.125.527</w:t>
                </w:r>
              </w:p>
            </w:tc>
            <w:tc>
              <w:tcPr>
                <w:tcW w:w="1460" w:type="dxa"/>
                <w:shd w:val="clear" w:color="auto" w:fill="auto"/>
                <w:noWrap/>
                <w:vAlign w:val="center"/>
                <w:hideMark/>
              </w:tcPr>
              <w:p w14:paraId="3C62857F"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3.060.125.527</w:t>
                </w:r>
              </w:p>
            </w:tc>
            <w:tc>
              <w:tcPr>
                <w:tcW w:w="1320" w:type="dxa"/>
                <w:shd w:val="clear" w:color="auto" w:fill="auto"/>
                <w:noWrap/>
                <w:vAlign w:val="center"/>
                <w:hideMark/>
              </w:tcPr>
              <w:p w14:paraId="2AA82B8F"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1A86D35F" w14:textId="77777777" w:rsidTr="00510CE9">
            <w:trPr>
              <w:trHeight w:val="315"/>
            </w:trPr>
            <w:tc>
              <w:tcPr>
                <w:tcW w:w="4060" w:type="dxa"/>
                <w:shd w:val="clear" w:color="auto" w:fill="auto"/>
                <w:vAlign w:val="center"/>
                <w:hideMark/>
              </w:tcPr>
              <w:p w14:paraId="46D231FD"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lastRenderedPageBreak/>
                  <w:t>Red marítima en servicio</w:t>
                </w:r>
              </w:p>
            </w:tc>
            <w:tc>
              <w:tcPr>
                <w:tcW w:w="1460" w:type="dxa"/>
                <w:shd w:val="clear" w:color="auto" w:fill="auto"/>
                <w:noWrap/>
                <w:vAlign w:val="center"/>
                <w:hideMark/>
              </w:tcPr>
              <w:p w14:paraId="08D4866A"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4.016.127.806</w:t>
                </w:r>
              </w:p>
            </w:tc>
            <w:tc>
              <w:tcPr>
                <w:tcW w:w="1460" w:type="dxa"/>
                <w:shd w:val="clear" w:color="auto" w:fill="auto"/>
                <w:noWrap/>
                <w:vAlign w:val="center"/>
                <w:hideMark/>
              </w:tcPr>
              <w:p w14:paraId="5C353944"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4.016.127.806</w:t>
                </w:r>
              </w:p>
            </w:tc>
            <w:tc>
              <w:tcPr>
                <w:tcW w:w="1320" w:type="dxa"/>
                <w:shd w:val="clear" w:color="auto" w:fill="auto"/>
                <w:noWrap/>
                <w:vAlign w:val="center"/>
                <w:hideMark/>
              </w:tcPr>
              <w:p w14:paraId="00E2DEB7"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49A6CF41" w14:textId="77777777" w:rsidTr="00510CE9">
            <w:trPr>
              <w:trHeight w:val="435"/>
            </w:trPr>
            <w:tc>
              <w:tcPr>
                <w:tcW w:w="4060" w:type="dxa"/>
                <w:shd w:val="clear" w:color="auto" w:fill="auto"/>
                <w:vAlign w:val="center"/>
                <w:hideMark/>
              </w:tcPr>
              <w:p w14:paraId="4167A287" w14:textId="77777777"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SOCIEDAD PORTUARIA OPERADORA INTERNACIONAL S.A..</w:t>
                </w:r>
              </w:p>
            </w:tc>
            <w:tc>
              <w:tcPr>
                <w:tcW w:w="1460" w:type="dxa"/>
                <w:shd w:val="clear" w:color="auto" w:fill="auto"/>
                <w:noWrap/>
                <w:vAlign w:val="center"/>
                <w:hideMark/>
              </w:tcPr>
              <w:p w14:paraId="3FD2F12B"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3.490.209.764</w:t>
                </w:r>
              </w:p>
            </w:tc>
            <w:tc>
              <w:tcPr>
                <w:tcW w:w="1460" w:type="dxa"/>
                <w:shd w:val="clear" w:color="auto" w:fill="auto"/>
                <w:noWrap/>
                <w:vAlign w:val="center"/>
                <w:hideMark/>
              </w:tcPr>
              <w:p w14:paraId="1A7AD1CB"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3.490.209.764</w:t>
                </w:r>
              </w:p>
            </w:tc>
            <w:tc>
              <w:tcPr>
                <w:tcW w:w="1320" w:type="dxa"/>
                <w:shd w:val="clear" w:color="auto" w:fill="auto"/>
                <w:noWrap/>
                <w:vAlign w:val="center"/>
                <w:hideMark/>
              </w:tcPr>
              <w:p w14:paraId="74CF240C"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0</w:t>
                </w:r>
              </w:p>
            </w:tc>
          </w:tr>
          <w:tr w:rsidR="00AD6666" w:rsidRPr="00AD6666" w14:paraId="775D3AEE" w14:textId="77777777" w:rsidTr="00510CE9">
            <w:trPr>
              <w:trHeight w:val="315"/>
            </w:trPr>
            <w:tc>
              <w:tcPr>
                <w:tcW w:w="4060" w:type="dxa"/>
                <w:shd w:val="clear" w:color="auto" w:fill="auto"/>
                <w:vAlign w:val="center"/>
                <w:hideMark/>
              </w:tcPr>
              <w:p w14:paraId="1F69C3DC"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servicio</w:t>
                </w:r>
              </w:p>
            </w:tc>
            <w:tc>
              <w:tcPr>
                <w:tcW w:w="1460" w:type="dxa"/>
                <w:shd w:val="clear" w:color="auto" w:fill="auto"/>
                <w:noWrap/>
                <w:vAlign w:val="center"/>
                <w:hideMark/>
              </w:tcPr>
              <w:p w14:paraId="378BA132"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3.490.209.764</w:t>
                </w:r>
              </w:p>
            </w:tc>
            <w:tc>
              <w:tcPr>
                <w:tcW w:w="1460" w:type="dxa"/>
                <w:shd w:val="clear" w:color="auto" w:fill="auto"/>
                <w:noWrap/>
                <w:vAlign w:val="center"/>
                <w:hideMark/>
              </w:tcPr>
              <w:p w14:paraId="02B3BF94"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3.490.209.764</w:t>
                </w:r>
              </w:p>
            </w:tc>
            <w:tc>
              <w:tcPr>
                <w:tcW w:w="1320" w:type="dxa"/>
                <w:shd w:val="clear" w:color="auto" w:fill="auto"/>
                <w:noWrap/>
                <w:vAlign w:val="center"/>
                <w:hideMark/>
              </w:tcPr>
              <w:p w14:paraId="44C93E06"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55975BF7" w14:textId="77777777" w:rsidTr="00510CE9">
            <w:trPr>
              <w:trHeight w:val="315"/>
            </w:trPr>
            <w:tc>
              <w:tcPr>
                <w:tcW w:w="4060" w:type="dxa"/>
                <w:shd w:val="clear" w:color="auto" w:fill="auto"/>
                <w:vAlign w:val="center"/>
                <w:hideMark/>
              </w:tcPr>
              <w:p w14:paraId="4EAAA9A2" w14:textId="77777777"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SOCIEDAD PORTUARIA PALERMO S.A</w:t>
                </w:r>
              </w:p>
            </w:tc>
            <w:tc>
              <w:tcPr>
                <w:tcW w:w="1460" w:type="dxa"/>
                <w:shd w:val="clear" w:color="auto" w:fill="auto"/>
                <w:noWrap/>
                <w:vAlign w:val="center"/>
                <w:hideMark/>
              </w:tcPr>
              <w:p w14:paraId="043A785B"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310.036.400</w:t>
                </w:r>
              </w:p>
            </w:tc>
            <w:tc>
              <w:tcPr>
                <w:tcW w:w="1460" w:type="dxa"/>
                <w:shd w:val="clear" w:color="auto" w:fill="auto"/>
                <w:noWrap/>
                <w:vAlign w:val="center"/>
                <w:hideMark/>
              </w:tcPr>
              <w:p w14:paraId="5227FFFE"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310.036.400</w:t>
                </w:r>
              </w:p>
            </w:tc>
            <w:tc>
              <w:tcPr>
                <w:tcW w:w="1320" w:type="dxa"/>
                <w:shd w:val="clear" w:color="auto" w:fill="auto"/>
                <w:noWrap/>
                <w:vAlign w:val="center"/>
                <w:hideMark/>
              </w:tcPr>
              <w:p w14:paraId="6394914E"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709768B9" w14:textId="77777777" w:rsidTr="00510CE9">
            <w:trPr>
              <w:trHeight w:val="315"/>
            </w:trPr>
            <w:tc>
              <w:tcPr>
                <w:tcW w:w="4060" w:type="dxa"/>
                <w:shd w:val="clear" w:color="auto" w:fill="auto"/>
                <w:vAlign w:val="center"/>
                <w:hideMark/>
              </w:tcPr>
              <w:p w14:paraId="2AAFEB86"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servicio</w:t>
                </w:r>
              </w:p>
            </w:tc>
            <w:tc>
              <w:tcPr>
                <w:tcW w:w="1460" w:type="dxa"/>
                <w:shd w:val="clear" w:color="auto" w:fill="auto"/>
                <w:noWrap/>
                <w:vAlign w:val="center"/>
                <w:hideMark/>
              </w:tcPr>
              <w:p w14:paraId="39EB3086"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310.036.400</w:t>
                </w:r>
              </w:p>
            </w:tc>
            <w:tc>
              <w:tcPr>
                <w:tcW w:w="1460" w:type="dxa"/>
                <w:shd w:val="clear" w:color="auto" w:fill="auto"/>
                <w:noWrap/>
                <w:vAlign w:val="center"/>
                <w:hideMark/>
              </w:tcPr>
              <w:p w14:paraId="0EB14B0A"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310.036.400</w:t>
                </w:r>
              </w:p>
            </w:tc>
            <w:tc>
              <w:tcPr>
                <w:tcW w:w="1320" w:type="dxa"/>
                <w:shd w:val="clear" w:color="auto" w:fill="auto"/>
                <w:noWrap/>
                <w:vAlign w:val="center"/>
                <w:hideMark/>
              </w:tcPr>
              <w:p w14:paraId="4298879D"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0C82C334" w14:textId="77777777" w:rsidTr="00510CE9">
            <w:trPr>
              <w:trHeight w:val="315"/>
            </w:trPr>
            <w:tc>
              <w:tcPr>
                <w:tcW w:w="4060" w:type="dxa"/>
                <w:shd w:val="clear" w:color="auto" w:fill="auto"/>
                <w:vAlign w:val="center"/>
                <w:hideMark/>
              </w:tcPr>
              <w:p w14:paraId="7B99877A" w14:textId="77777777"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SOCIEDAD PORTUARIA PMQS.A SUC 02</w:t>
                </w:r>
              </w:p>
            </w:tc>
            <w:tc>
              <w:tcPr>
                <w:tcW w:w="1460" w:type="dxa"/>
                <w:shd w:val="clear" w:color="auto" w:fill="auto"/>
                <w:noWrap/>
                <w:vAlign w:val="center"/>
                <w:hideMark/>
              </w:tcPr>
              <w:p w14:paraId="4BEF4057"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76.336.448</w:t>
                </w:r>
              </w:p>
            </w:tc>
            <w:tc>
              <w:tcPr>
                <w:tcW w:w="1460" w:type="dxa"/>
                <w:shd w:val="clear" w:color="auto" w:fill="auto"/>
                <w:noWrap/>
                <w:vAlign w:val="center"/>
                <w:hideMark/>
              </w:tcPr>
              <w:p w14:paraId="34842E89"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76.336.448</w:t>
                </w:r>
              </w:p>
            </w:tc>
            <w:tc>
              <w:tcPr>
                <w:tcW w:w="1320" w:type="dxa"/>
                <w:shd w:val="clear" w:color="auto" w:fill="auto"/>
                <w:noWrap/>
                <w:vAlign w:val="center"/>
                <w:hideMark/>
              </w:tcPr>
              <w:p w14:paraId="4DFA0AF2"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0</w:t>
                </w:r>
              </w:p>
            </w:tc>
          </w:tr>
          <w:tr w:rsidR="00AD6666" w:rsidRPr="00AD6666" w14:paraId="4FC73C60" w14:textId="77777777" w:rsidTr="00510CE9">
            <w:trPr>
              <w:trHeight w:val="315"/>
            </w:trPr>
            <w:tc>
              <w:tcPr>
                <w:tcW w:w="4060" w:type="dxa"/>
                <w:shd w:val="clear" w:color="auto" w:fill="auto"/>
                <w:vAlign w:val="center"/>
                <w:hideMark/>
              </w:tcPr>
              <w:p w14:paraId="0F875AD7"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servicio</w:t>
                </w:r>
              </w:p>
            </w:tc>
            <w:tc>
              <w:tcPr>
                <w:tcW w:w="1460" w:type="dxa"/>
                <w:shd w:val="clear" w:color="auto" w:fill="auto"/>
                <w:noWrap/>
                <w:vAlign w:val="center"/>
                <w:hideMark/>
              </w:tcPr>
              <w:p w14:paraId="56B49F61"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76.336.448</w:t>
                </w:r>
              </w:p>
            </w:tc>
            <w:tc>
              <w:tcPr>
                <w:tcW w:w="1460" w:type="dxa"/>
                <w:shd w:val="clear" w:color="auto" w:fill="auto"/>
                <w:noWrap/>
                <w:vAlign w:val="center"/>
                <w:hideMark/>
              </w:tcPr>
              <w:p w14:paraId="6A532BB2"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76.336.448</w:t>
                </w:r>
              </w:p>
            </w:tc>
            <w:tc>
              <w:tcPr>
                <w:tcW w:w="1320" w:type="dxa"/>
                <w:shd w:val="clear" w:color="auto" w:fill="auto"/>
                <w:noWrap/>
                <w:vAlign w:val="center"/>
                <w:hideMark/>
              </w:tcPr>
              <w:p w14:paraId="13C0353E"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771A30A7" w14:textId="77777777" w:rsidTr="00510CE9">
            <w:trPr>
              <w:trHeight w:val="315"/>
            </w:trPr>
            <w:tc>
              <w:tcPr>
                <w:tcW w:w="4060" w:type="dxa"/>
                <w:shd w:val="clear" w:color="auto" w:fill="auto"/>
                <w:vAlign w:val="center"/>
                <w:hideMark/>
              </w:tcPr>
              <w:p w14:paraId="29641933" w14:textId="77777777"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SOCIEDAD PORTUARIA PUERTO HONDO S.A.</w:t>
                </w:r>
              </w:p>
            </w:tc>
            <w:tc>
              <w:tcPr>
                <w:tcW w:w="1460" w:type="dxa"/>
                <w:shd w:val="clear" w:color="auto" w:fill="auto"/>
                <w:noWrap/>
                <w:vAlign w:val="center"/>
                <w:hideMark/>
              </w:tcPr>
              <w:p w14:paraId="002789B4"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1.445.900.785</w:t>
                </w:r>
              </w:p>
            </w:tc>
            <w:tc>
              <w:tcPr>
                <w:tcW w:w="1460" w:type="dxa"/>
                <w:shd w:val="clear" w:color="auto" w:fill="auto"/>
                <w:noWrap/>
                <w:vAlign w:val="center"/>
                <w:hideMark/>
              </w:tcPr>
              <w:p w14:paraId="07DA7F82"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1.445.900.785</w:t>
                </w:r>
              </w:p>
            </w:tc>
            <w:tc>
              <w:tcPr>
                <w:tcW w:w="1320" w:type="dxa"/>
                <w:shd w:val="clear" w:color="auto" w:fill="auto"/>
                <w:noWrap/>
                <w:vAlign w:val="center"/>
                <w:hideMark/>
              </w:tcPr>
              <w:p w14:paraId="645A4BC8"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49E5ABF0" w14:textId="77777777" w:rsidTr="00510CE9">
            <w:trPr>
              <w:trHeight w:val="315"/>
            </w:trPr>
            <w:tc>
              <w:tcPr>
                <w:tcW w:w="4060" w:type="dxa"/>
                <w:shd w:val="clear" w:color="auto" w:fill="auto"/>
                <w:vAlign w:val="center"/>
                <w:hideMark/>
              </w:tcPr>
              <w:p w14:paraId="42C974FF"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servicio</w:t>
                </w:r>
              </w:p>
            </w:tc>
            <w:tc>
              <w:tcPr>
                <w:tcW w:w="1460" w:type="dxa"/>
                <w:shd w:val="clear" w:color="auto" w:fill="auto"/>
                <w:noWrap/>
                <w:vAlign w:val="center"/>
                <w:hideMark/>
              </w:tcPr>
              <w:p w14:paraId="459A3E11"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1.445.900.785</w:t>
                </w:r>
              </w:p>
            </w:tc>
            <w:tc>
              <w:tcPr>
                <w:tcW w:w="1460" w:type="dxa"/>
                <w:shd w:val="clear" w:color="auto" w:fill="auto"/>
                <w:noWrap/>
                <w:vAlign w:val="center"/>
                <w:hideMark/>
              </w:tcPr>
              <w:p w14:paraId="494BED70"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1.445.900.785</w:t>
                </w:r>
              </w:p>
            </w:tc>
            <w:tc>
              <w:tcPr>
                <w:tcW w:w="1320" w:type="dxa"/>
                <w:shd w:val="clear" w:color="auto" w:fill="auto"/>
                <w:noWrap/>
                <w:vAlign w:val="center"/>
                <w:hideMark/>
              </w:tcPr>
              <w:p w14:paraId="00E0C4AC"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7BC58A4B" w14:textId="77777777" w:rsidTr="00510CE9">
            <w:trPr>
              <w:trHeight w:val="315"/>
            </w:trPr>
            <w:tc>
              <w:tcPr>
                <w:tcW w:w="4060" w:type="dxa"/>
                <w:shd w:val="clear" w:color="auto" w:fill="auto"/>
                <w:vAlign w:val="center"/>
                <w:hideMark/>
              </w:tcPr>
              <w:p w14:paraId="0B01EB89" w14:textId="77777777"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SOCIEDAD PORTUARIA PUERTO NUEVO S.A.</w:t>
                </w:r>
              </w:p>
            </w:tc>
            <w:tc>
              <w:tcPr>
                <w:tcW w:w="1460" w:type="dxa"/>
                <w:shd w:val="clear" w:color="auto" w:fill="auto"/>
                <w:noWrap/>
                <w:vAlign w:val="center"/>
                <w:hideMark/>
              </w:tcPr>
              <w:p w14:paraId="63B5A170"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507.235.632.603</w:t>
                </w:r>
              </w:p>
            </w:tc>
            <w:tc>
              <w:tcPr>
                <w:tcW w:w="1460" w:type="dxa"/>
                <w:shd w:val="clear" w:color="auto" w:fill="auto"/>
                <w:noWrap/>
                <w:vAlign w:val="center"/>
                <w:hideMark/>
              </w:tcPr>
              <w:p w14:paraId="49FF2825"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500.161.380.103</w:t>
                </w:r>
              </w:p>
            </w:tc>
            <w:tc>
              <w:tcPr>
                <w:tcW w:w="1320" w:type="dxa"/>
                <w:shd w:val="clear" w:color="auto" w:fill="auto"/>
                <w:noWrap/>
                <w:vAlign w:val="center"/>
                <w:hideMark/>
              </w:tcPr>
              <w:p w14:paraId="5CB3E0D7"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7.074.252.500</w:t>
                </w:r>
              </w:p>
            </w:tc>
          </w:tr>
          <w:tr w:rsidR="00AD6666" w:rsidRPr="00AD6666" w14:paraId="446F6AEA" w14:textId="77777777" w:rsidTr="00510CE9">
            <w:trPr>
              <w:trHeight w:val="315"/>
            </w:trPr>
            <w:tc>
              <w:tcPr>
                <w:tcW w:w="4060" w:type="dxa"/>
                <w:shd w:val="clear" w:color="auto" w:fill="auto"/>
                <w:vAlign w:val="center"/>
                <w:hideMark/>
              </w:tcPr>
              <w:p w14:paraId="6457588E"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Propiedades, planta y equipo en concesión</w:t>
                </w:r>
              </w:p>
            </w:tc>
            <w:tc>
              <w:tcPr>
                <w:tcW w:w="1460" w:type="dxa"/>
                <w:shd w:val="clear" w:color="auto" w:fill="auto"/>
                <w:noWrap/>
                <w:vAlign w:val="center"/>
                <w:hideMark/>
              </w:tcPr>
              <w:p w14:paraId="05ED1C6D"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88.867.643.927</w:t>
                </w:r>
              </w:p>
            </w:tc>
            <w:tc>
              <w:tcPr>
                <w:tcW w:w="1460" w:type="dxa"/>
                <w:shd w:val="clear" w:color="auto" w:fill="auto"/>
                <w:noWrap/>
                <w:vAlign w:val="center"/>
                <w:hideMark/>
              </w:tcPr>
              <w:p w14:paraId="74683718"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88.867.643.927</w:t>
                </w:r>
              </w:p>
            </w:tc>
            <w:tc>
              <w:tcPr>
                <w:tcW w:w="1320" w:type="dxa"/>
                <w:shd w:val="clear" w:color="auto" w:fill="auto"/>
                <w:noWrap/>
                <w:vAlign w:val="center"/>
                <w:hideMark/>
              </w:tcPr>
              <w:p w14:paraId="5D168815"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582420F1" w14:textId="77777777" w:rsidTr="00510CE9">
            <w:trPr>
              <w:trHeight w:val="315"/>
            </w:trPr>
            <w:tc>
              <w:tcPr>
                <w:tcW w:w="4060" w:type="dxa"/>
                <w:shd w:val="clear" w:color="auto" w:fill="auto"/>
                <w:vAlign w:val="center"/>
                <w:hideMark/>
              </w:tcPr>
              <w:p w14:paraId="01657252"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servicio</w:t>
                </w:r>
              </w:p>
            </w:tc>
            <w:tc>
              <w:tcPr>
                <w:tcW w:w="1460" w:type="dxa"/>
                <w:shd w:val="clear" w:color="auto" w:fill="auto"/>
                <w:noWrap/>
                <w:vAlign w:val="center"/>
                <w:hideMark/>
              </w:tcPr>
              <w:p w14:paraId="2BDF6911"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418.367.988.676</w:t>
                </w:r>
              </w:p>
            </w:tc>
            <w:tc>
              <w:tcPr>
                <w:tcW w:w="1460" w:type="dxa"/>
                <w:shd w:val="clear" w:color="auto" w:fill="auto"/>
                <w:noWrap/>
                <w:vAlign w:val="center"/>
                <w:hideMark/>
              </w:tcPr>
              <w:p w14:paraId="34CE6A46"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411.293.736.176</w:t>
                </w:r>
              </w:p>
            </w:tc>
            <w:tc>
              <w:tcPr>
                <w:tcW w:w="1320" w:type="dxa"/>
                <w:shd w:val="clear" w:color="auto" w:fill="auto"/>
                <w:noWrap/>
                <w:vAlign w:val="center"/>
                <w:hideMark/>
              </w:tcPr>
              <w:p w14:paraId="6DCFCE24"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7.074.252.500</w:t>
                </w:r>
              </w:p>
            </w:tc>
          </w:tr>
          <w:tr w:rsidR="00AD6666" w:rsidRPr="00AD6666" w14:paraId="40475BBA" w14:textId="77777777" w:rsidTr="00510CE9">
            <w:trPr>
              <w:trHeight w:val="435"/>
            </w:trPr>
            <w:tc>
              <w:tcPr>
                <w:tcW w:w="4060" w:type="dxa"/>
                <w:shd w:val="clear" w:color="auto" w:fill="auto"/>
                <w:vAlign w:val="center"/>
                <w:hideMark/>
              </w:tcPr>
              <w:p w14:paraId="7D10A852" w14:textId="77777777"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SOCIEDAD PORTUARIA REGIONAL DE BUENAVENTURA S.A. S.P.R. BUN</w:t>
                </w:r>
              </w:p>
            </w:tc>
            <w:tc>
              <w:tcPr>
                <w:tcW w:w="1460" w:type="dxa"/>
                <w:shd w:val="clear" w:color="auto" w:fill="auto"/>
                <w:noWrap/>
                <w:vAlign w:val="center"/>
                <w:hideMark/>
              </w:tcPr>
              <w:p w14:paraId="03164BC7"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1.805.842.567.453</w:t>
                </w:r>
              </w:p>
            </w:tc>
            <w:tc>
              <w:tcPr>
                <w:tcW w:w="1460" w:type="dxa"/>
                <w:shd w:val="clear" w:color="auto" w:fill="auto"/>
                <w:noWrap/>
                <w:vAlign w:val="center"/>
                <w:hideMark/>
              </w:tcPr>
              <w:p w14:paraId="0965B9AF"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1.427.020.127.118</w:t>
                </w:r>
              </w:p>
            </w:tc>
            <w:tc>
              <w:tcPr>
                <w:tcW w:w="1320" w:type="dxa"/>
                <w:shd w:val="clear" w:color="auto" w:fill="auto"/>
                <w:noWrap/>
                <w:vAlign w:val="center"/>
                <w:hideMark/>
              </w:tcPr>
              <w:p w14:paraId="1E911E62"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378.822.440.335</w:t>
                </w:r>
              </w:p>
            </w:tc>
          </w:tr>
          <w:tr w:rsidR="00AD6666" w:rsidRPr="00AD6666" w14:paraId="5A358AAE" w14:textId="77777777" w:rsidTr="00510CE9">
            <w:trPr>
              <w:trHeight w:val="315"/>
            </w:trPr>
            <w:tc>
              <w:tcPr>
                <w:tcW w:w="4060" w:type="dxa"/>
                <w:shd w:val="clear" w:color="auto" w:fill="auto"/>
                <w:vAlign w:val="center"/>
                <w:hideMark/>
              </w:tcPr>
              <w:p w14:paraId="0C96B9C4"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Activos intangibles en concesión</w:t>
                </w:r>
              </w:p>
            </w:tc>
            <w:tc>
              <w:tcPr>
                <w:tcW w:w="1460" w:type="dxa"/>
                <w:shd w:val="clear" w:color="auto" w:fill="auto"/>
                <w:noWrap/>
                <w:vAlign w:val="center"/>
                <w:hideMark/>
              </w:tcPr>
              <w:p w14:paraId="0D613F11"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63.123.062.496</w:t>
                </w:r>
              </w:p>
            </w:tc>
            <w:tc>
              <w:tcPr>
                <w:tcW w:w="1460" w:type="dxa"/>
                <w:shd w:val="clear" w:color="auto" w:fill="auto"/>
                <w:noWrap/>
                <w:vAlign w:val="center"/>
                <w:hideMark/>
              </w:tcPr>
              <w:p w14:paraId="66BD1EC1"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63.123.062.496</w:t>
                </w:r>
              </w:p>
            </w:tc>
            <w:tc>
              <w:tcPr>
                <w:tcW w:w="1320" w:type="dxa"/>
                <w:shd w:val="clear" w:color="auto" w:fill="auto"/>
                <w:noWrap/>
                <w:vAlign w:val="center"/>
                <w:hideMark/>
              </w:tcPr>
              <w:p w14:paraId="0051B912"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71B29508" w14:textId="77777777" w:rsidTr="00510CE9">
            <w:trPr>
              <w:trHeight w:val="315"/>
            </w:trPr>
            <w:tc>
              <w:tcPr>
                <w:tcW w:w="4060" w:type="dxa"/>
                <w:shd w:val="clear" w:color="auto" w:fill="auto"/>
                <w:vAlign w:val="center"/>
                <w:hideMark/>
              </w:tcPr>
              <w:p w14:paraId="53161652"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Propiedades, planta y equipo en concesión</w:t>
                </w:r>
              </w:p>
            </w:tc>
            <w:tc>
              <w:tcPr>
                <w:tcW w:w="1460" w:type="dxa"/>
                <w:shd w:val="clear" w:color="auto" w:fill="auto"/>
                <w:noWrap/>
                <w:vAlign w:val="center"/>
                <w:hideMark/>
              </w:tcPr>
              <w:p w14:paraId="1163193D"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541.929.232.426</w:t>
                </w:r>
              </w:p>
            </w:tc>
            <w:tc>
              <w:tcPr>
                <w:tcW w:w="1460" w:type="dxa"/>
                <w:shd w:val="clear" w:color="auto" w:fill="auto"/>
                <w:noWrap/>
                <w:vAlign w:val="center"/>
                <w:hideMark/>
              </w:tcPr>
              <w:p w14:paraId="21CBFDA6"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539.313.299.595</w:t>
                </w:r>
              </w:p>
            </w:tc>
            <w:tc>
              <w:tcPr>
                <w:tcW w:w="1320" w:type="dxa"/>
                <w:shd w:val="clear" w:color="auto" w:fill="auto"/>
                <w:noWrap/>
                <w:vAlign w:val="center"/>
                <w:hideMark/>
              </w:tcPr>
              <w:p w14:paraId="29CE7D88"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2.615.932.831</w:t>
                </w:r>
              </w:p>
            </w:tc>
          </w:tr>
          <w:tr w:rsidR="00AD6666" w:rsidRPr="00AD6666" w14:paraId="7AA9F369" w14:textId="77777777" w:rsidTr="00510CE9">
            <w:trPr>
              <w:trHeight w:val="315"/>
            </w:trPr>
            <w:tc>
              <w:tcPr>
                <w:tcW w:w="4060" w:type="dxa"/>
                <w:shd w:val="clear" w:color="auto" w:fill="auto"/>
                <w:vAlign w:val="center"/>
                <w:hideMark/>
              </w:tcPr>
              <w:p w14:paraId="6B0C50CF"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servicio</w:t>
                </w:r>
              </w:p>
            </w:tc>
            <w:tc>
              <w:tcPr>
                <w:tcW w:w="1460" w:type="dxa"/>
                <w:shd w:val="clear" w:color="auto" w:fill="auto"/>
                <w:noWrap/>
                <w:vAlign w:val="center"/>
                <w:hideMark/>
              </w:tcPr>
              <w:p w14:paraId="52850D9C"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888.943.127.121</w:t>
                </w:r>
              </w:p>
            </w:tc>
            <w:tc>
              <w:tcPr>
                <w:tcW w:w="1460" w:type="dxa"/>
                <w:shd w:val="clear" w:color="auto" w:fill="auto"/>
                <w:noWrap/>
                <w:vAlign w:val="center"/>
                <w:hideMark/>
              </w:tcPr>
              <w:p w14:paraId="5567EF9D"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824.583.765.027</w:t>
                </w:r>
              </w:p>
            </w:tc>
            <w:tc>
              <w:tcPr>
                <w:tcW w:w="1320" w:type="dxa"/>
                <w:shd w:val="clear" w:color="auto" w:fill="auto"/>
                <w:noWrap/>
                <w:vAlign w:val="center"/>
                <w:hideMark/>
              </w:tcPr>
              <w:p w14:paraId="0F6040FD"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64.359.362.094</w:t>
                </w:r>
              </w:p>
            </w:tc>
          </w:tr>
          <w:tr w:rsidR="00AD6666" w:rsidRPr="00AD6666" w14:paraId="6CED7426" w14:textId="77777777" w:rsidTr="00510CE9">
            <w:trPr>
              <w:trHeight w:val="315"/>
            </w:trPr>
            <w:tc>
              <w:tcPr>
                <w:tcW w:w="4060" w:type="dxa"/>
                <w:shd w:val="clear" w:color="auto" w:fill="auto"/>
                <w:vAlign w:val="center"/>
                <w:hideMark/>
              </w:tcPr>
              <w:p w14:paraId="64EC0A9D"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Terrenos en servicio</w:t>
                </w:r>
              </w:p>
            </w:tc>
            <w:tc>
              <w:tcPr>
                <w:tcW w:w="1460" w:type="dxa"/>
                <w:shd w:val="clear" w:color="auto" w:fill="auto"/>
                <w:noWrap/>
                <w:vAlign w:val="center"/>
                <w:hideMark/>
              </w:tcPr>
              <w:p w14:paraId="4E601275"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311.847.145.410</w:t>
                </w:r>
              </w:p>
            </w:tc>
            <w:tc>
              <w:tcPr>
                <w:tcW w:w="1460" w:type="dxa"/>
                <w:shd w:val="clear" w:color="auto" w:fill="auto"/>
                <w:noWrap/>
                <w:vAlign w:val="center"/>
                <w:hideMark/>
              </w:tcPr>
              <w:p w14:paraId="56B10225"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c>
              <w:tcPr>
                <w:tcW w:w="1320" w:type="dxa"/>
                <w:shd w:val="clear" w:color="auto" w:fill="auto"/>
                <w:noWrap/>
                <w:vAlign w:val="center"/>
                <w:hideMark/>
              </w:tcPr>
              <w:p w14:paraId="5FAC3801"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311.847.145.410</w:t>
                </w:r>
              </w:p>
            </w:tc>
          </w:tr>
          <w:tr w:rsidR="00AD6666" w:rsidRPr="00AD6666" w14:paraId="17C70358" w14:textId="77777777" w:rsidTr="00510CE9">
            <w:trPr>
              <w:trHeight w:val="435"/>
            </w:trPr>
            <w:tc>
              <w:tcPr>
                <w:tcW w:w="4060" w:type="dxa"/>
                <w:shd w:val="clear" w:color="auto" w:fill="auto"/>
                <w:vAlign w:val="center"/>
                <w:hideMark/>
              </w:tcPr>
              <w:p w14:paraId="6C8DC452" w14:textId="77777777"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 xml:space="preserve">SOCIEDAD PORTUARIA REGIONAL DE CARTAGENA S.A. </w:t>
                </w:r>
              </w:p>
            </w:tc>
            <w:tc>
              <w:tcPr>
                <w:tcW w:w="1460" w:type="dxa"/>
                <w:shd w:val="clear" w:color="auto" w:fill="auto"/>
                <w:noWrap/>
                <w:vAlign w:val="center"/>
                <w:hideMark/>
              </w:tcPr>
              <w:p w14:paraId="15B17AFF"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622.167.409.186</w:t>
                </w:r>
              </w:p>
            </w:tc>
            <w:tc>
              <w:tcPr>
                <w:tcW w:w="1460" w:type="dxa"/>
                <w:shd w:val="clear" w:color="auto" w:fill="auto"/>
                <w:noWrap/>
                <w:vAlign w:val="center"/>
                <w:hideMark/>
              </w:tcPr>
              <w:p w14:paraId="54C85031"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452.894.404.246</w:t>
                </w:r>
              </w:p>
            </w:tc>
            <w:tc>
              <w:tcPr>
                <w:tcW w:w="1320" w:type="dxa"/>
                <w:shd w:val="clear" w:color="auto" w:fill="auto"/>
                <w:noWrap/>
                <w:vAlign w:val="center"/>
                <w:hideMark/>
              </w:tcPr>
              <w:p w14:paraId="23B9538D"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169.273.004.940</w:t>
                </w:r>
              </w:p>
            </w:tc>
          </w:tr>
          <w:tr w:rsidR="00AD6666" w:rsidRPr="00AD6666" w14:paraId="60D3162D" w14:textId="77777777" w:rsidTr="00510CE9">
            <w:trPr>
              <w:trHeight w:val="315"/>
            </w:trPr>
            <w:tc>
              <w:tcPr>
                <w:tcW w:w="4060" w:type="dxa"/>
                <w:shd w:val="clear" w:color="auto" w:fill="auto"/>
                <w:vAlign w:val="center"/>
                <w:hideMark/>
              </w:tcPr>
              <w:p w14:paraId="48D80682"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Propiedades, planta y equipo en concesión</w:t>
                </w:r>
              </w:p>
            </w:tc>
            <w:tc>
              <w:tcPr>
                <w:tcW w:w="1460" w:type="dxa"/>
                <w:shd w:val="clear" w:color="auto" w:fill="auto"/>
                <w:noWrap/>
                <w:vAlign w:val="center"/>
                <w:hideMark/>
              </w:tcPr>
              <w:p w14:paraId="227E8444"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256.635.155.791</w:t>
                </w:r>
              </w:p>
            </w:tc>
            <w:tc>
              <w:tcPr>
                <w:tcW w:w="1460" w:type="dxa"/>
                <w:shd w:val="clear" w:color="auto" w:fill="auto"/>
                <w:noWrap/>
                <w:vAlign w:val="center"/>
                <w:hideMark/>
              </w:tcPr>
              <w:p w14:paraId="6AA4F2C7"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243.571.186.747</w:t>
                </w:r>
              </w:p>
            </w:tc>
            <w:tc>
              <w:tcPr>
                <w:tcW w:w="1320" w:type="dxa"/>
                <w:shd w:val="clear" w:color="auto" w:fill="auto"/>
                <w:noWrap/>
                <w:vAlign w:val="center"/>
                <w:hideMark/>
              </w:tcPr>
              <w:p w14:paraId="5502A079"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13.063.969.044</w:t>
                </w:r>
              </w:p>
            </w:tc>
          </w:tr>
          <w:tr w:rsidR="00AD6666" w:rsidRPr="00AD6666" w14:paraId="03E8E6E3" w14:textId="77777777" w:rsidTr="00510CE9">
            <w:trPr>
              <w:trHeight w:val="315"/>
            </w:trPr>
            <w:tc>
              <w:tcPr>
                <w:tcW w:w="4060" w:type="dxa"/>
                <w:shd w:val="clear" w:color="auto" w:fill="auto"/>
                <w:vAlign w:val="center"/>
                <w:hideMark/>
              </w:tcPr>
              <w:p w14:paraId="1D069C7C"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construcción</w:t>
                </w:r>
              </w:p>
            </w:tc>
            <w:tc>
              <w:tcPr>
                <w:tcW w:w="1460" w:type="dxa"/>
                <w:shd w:val="clear" w:color="auto" w:fill="auto"/>
                <w:noWrap/>
                <w:vAlign w:val="center"/>
                <w:hideMark/>
              </w:tcPr>
              <w:p w14:paraId="21ADF640"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8.266.574.322</w:t>
                </w:r>
              </w:p>
            </w:tc>
            <w:tc>
              <w:tcPr>
                <w:tcW w:w="1460" w:type="dxa"/>
                <w:shd w:val="clear" w:color="auto" w:fill="auto"/>
                <w:noWrap/>
                <w:vAlign w:val="center"/>
                <w:hideMark/>
              </w:tcPr>
              <w:p w14:paraId="29CCA761"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26.966.789.032</w:t>
                </w:r>
              </w:p>
            </w:tc>
            <w:tc>
              <w:tcPr>
                <w:tcW w:w="1320" w:type="dxa"/>
                <w:shd w:val="clear" w:color="auto" w:fill="auto"/>
                <w:noWrap/>
                <w:vAlign w:val="center"/>
                <w:hideMark/>
              </w:tcPr>
              <w:p w14:paraId="2B3DFB92"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-18.700.214.710</w:t>
                </w:r>
              </w:p>
            </w:tc>
          </w:tr>
          <w:tr w:rsidR="00AD6666" w:rsidRPr="00AD6666" w14:paraId="4FB1420C" w14:textId="77777777" w:rsidTr="00510CE9">
            <w:trPr>
              <w:trHeight w:val="315"/>
            </w:trPr>
            <w:tc>
              <w:tcPr>
                <w:tcW w:w="4060" w:type="dxa"/>
                <w:shd w:val="clear" w:color="auto" w:fill="auto"/>
                <w:vAlign w:val="center"/>
                <w:hideMark/>
              </w:tcPr>
              <w:p w14:paraId="18EE3396"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servicio</w:t>
                </w:r>
              </w:p>
            </w:tc>
            <w:tc>
              <w:tcPr>
                <w:tcW w:w="1460" w:type="dxa"/>
                <w:shd w:val="clear" w:color="auto" w:fill="auto"/>
                <w:noWrap/>
                <w:vAlign w:val="center"/>
                <w:hideMark/>
              </w:tcPr>
              <w:p w14:paraId="053DBFE9"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233.365.051.541</w:t>
                </w:r>
              </w:p>
            </w:tc>
            <w:tc>
              <w:tcPr>
                <w:tcW w:w="1460" w:type="dxa"/>
                <w:shd w:val="clear" w:color="auto" w:fill="auto"/>
                <w:noWrap/>
                <w:vAlign w:val="center"/>
                <w:hideMark/>
              </w:tcPr>
              <w:p w14:paraId="2CF80CE3"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182.356.428.467</w:t>
                </w:r>
              </w:p>
            </w:tc>
            <w:tc>
              <w:tcPr>
                <w:tcW w:w="1320" w:type="dxa"/>
                <w:shd w:val="clear" w:color="auto" w:fill="auto"/>
                <w:noWrap/>
                <w:vAlign w:val="center"/>
                <w:hideMark/>
              </w:tcPr>
              <w:p w14:paraId="43131FA1"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51.008.623.074</w:t>
                </w:r>
              </w:p>
            </w:tc>
          </w:tr>
          <w:tr w:rsidR="00AD6666" w:rsidRPr="00AD6666" w14:paraId="21BDE2E1" w14:textId="77777777" w:rsidTr="00510CE9">
            <w:trPr>
              <w:trHeight w:val="315"/>
            </w:trPr>
            <w:tc>
              <w:tcPr>
                <w:tcW w:w="4060" w:type="dxa"/>
                <w:shd w:val="clear" w:color="auto" w:fill="auto"/>
                <w:vAlign w:val="center"/>
                <w:hideMark/>
              </w:tcPr>
              <w:p w14:paraId="5E3FA90A"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Terrenos en servicio</w:t>
                </w:r>
              </w:p>
            </w:tc>
            <w:tc>
              <w:tcPr>
                <w:tcW w:w="1460" w:type="dxa"/>
                <w:shd w:val="clear" w:color="auto" w:fill="auto"/>
                <w:noWrap/>
                <w:vAlign w:val="center"/>
                <w:hideMark/>
              </w:tcPr>
              <w:p w14:paraId="4B44C6F0"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123.900.627.532</w:t>
                </w:r>
              </w:p>
            </w:tc>
            <w:tc>
              <w:tcPr>
                <w:tcW w:w="1460" w:type="dxa"/>
                <w:shd w:val="clear" w:color="auto" w:fill="auto"/>
                <w:noWrap/>
                <w:vAlign w:val="center"/>
                <w:hideMark/>
              </w:tcPr>
              <w:p w14:paraId="2890CB04"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c>
              <w:tcPr>
                <w:tcW w:w="1320" w:type="dxa"/>
                <w:shd w:val="clear" w:color="auto" w:fill="auto"/>
                <w:noWrap/>
                <w:vAlign w:val="center"/>
                <w:hideMark/>
              </w:tcPr>
              <w:p w14:paraId="55C92C86"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123.900.627.532</w:t>
                </w:r>
              </w:p>
            </w:tc>
          </w:tr>
          <w:tr w:rsidR="00AD6666" w:rsidRPr="00AD6666" w14:paraId="650F15AD" w14:textId="77777777" w:rsidTr="00510CE9">
            <w:trPr>
              <w:trHeight w:val="435"/>
            </w:trPr>
            <w:tc>
              <w:tcPr>
                <w:tcW w:w="4060" w:type="dxa"/>
                <w:shd w:val="clear" w:color="auto" w:fill="auto"/>
                <w:vAlign w:val="center"/>
                <w:hideMark/>
              </w:tcPr>
              <w:p w14:paraId="0CB58F2F" w14:textId="77777777"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SOCIEDAD PORTUARIA REGIONAL DE SANTA MARTA S.A</w:t>
                </w:r>
              </w:p>
            </w:tc>
            <w:tc>
              <w:tcPr>
                <w:tcW w:w="1460" w:type="dxa"/>
                <w:shd w:val="clear" w:color="auto" w:fill="auto"/>
                <w:noWrap/>
                <w:vAlign w:val="center"/>
                <w:hideMark/>
              </w:tcPr>
              <w:p w14:paraId="2C42AF74"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454.154.695.959</w:t>
                </w:r>
              </w:p>
            </w:tc>
            <w:tc>
              <w:tcPr>
                <w:tcW w:w="1460" w:type="dxa"/>
                <w:shd w:val="clear" w:color="auto" w:fill="auto"/>
                <w:noWrap/>
                <w:vAlign w:val="center"/>
                <w:hideMark/>
              </w:tcPr>
              <w:p w14:paraId="1551C385"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302.782.806.103</w:t>
                </w:r>
              </w:p>
            </w:tc>
            <w:tc>
              <w:tcPr>
                <w:tcW w:w="1320" w:type="dxa"/>
                <w:shd w:val="clear" w:color="auto" w:fill="auto"/>
                <w:noWrap/>
                <w:vAlign w:val="center"/>
                <w:hideMark/>
              </w:tcPr>
              <w:p w14:paraId="7CC678A4"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151.371.889.856</w:t>
                </w:r>
              </w:p>
            </w:tc>
          </w:tr>
          <w:tr w:rsidR="00AD6666" w:rsidRPr="00AD6666" w14:paraId="2CA743C3" w14:textId="77777777" w:rsidTr="00510CE9">
            <w:trPr>
              <w:trHeight w:val="315"/>
            </w:trPr>
            <w:tc>
              <w:tcPr>
                <w:tcW w:w="4060" w:type="dxa"/>
                <w:shd w:val="clear" w:color="auto" w:fill="auto"/>
                <w:vAlign w:val="center"/>
                <w:hideMark/>
              </w:tcPr>
              <w:p w14:paraId="0EBF6F7C"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Activos intangibles en concesión</w:t>
                </w:r>
              </w:p>
            </w:tc>
            <w:tc>
              <w:tcPr>
                <w:tcW w:w="1460" w:type="dxa"/>
                <w:shd w:val="clear" w:color="auto" w:fill="auto"/>
                <w:noWrap/>
                <w:vAlign w:val="center"/>
                <w:hideMark/>
              </w:tcPr>
              <w:p w14:paraId="61248F28"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8.825.176.467</w:t>
                </w:r>
              </w:p>
            </w:tc>
            <w:tc>
              <w:tcPr>
                <w:tcW w:w="1460" w:type="dxa"/>
                <w:shd w:val="clear" w:color="auto" w:fill="auto"/>
                <w:noWrap/>
                <w:vAlign w:val="center"/>
                <w:hideMark/>
              </w:tcPr>
              <w:p w14:paraId="5294EAB1"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7.375.124.136</w:t>
                </w:r>
              </w:p>
            </w:tc>
            <w:tc>
              <w:tcPr>
                <w:tcW w:w="1320" w:type="dxa"/>
                <w:shd w:val="clear" w:color="auto" w:fill="auto"/>
                <w:noWrap/>
                <w:vAlign w:val="center"/>
                <w:hideMark/>
              </w:tcPr>
              <w:p w14:paraId="35FC5720"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1.450.052.331</w:t>
                </w:r>
              </w:p>
            </w:tc>
          </w:tr>
          <w:tr w:rsidR="00AD6666" w:rsidRPr="00AD6666" w14:paraId="00FF870F" w14:textId="77777777" w:rsidTr="00510CE9">
            <w:trPr>
              <w:trHeight w:val="315"/>
            </w:trPr>
            <w:tc>
              <w:tcPr>
                <w:tcW w:w="4060" w:type="dxa"/>
                <w:shd w:val="clear" w:color="auto" w:fill="auto"/>
                <w:vAlign w:val="center"/>
                <w:hideMark/>
              </w:tcPr>
              <w:p w14:paraId="27DF6137"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Propiedades, planta y equipo en concesión</w:t>
                </w:r>
              </w:p>
            </w:tc>
            <w:tc>
              <w:tcPr>
                <w:tcW w:w="1460" w:type="dxa"/>
                <w:shd w:val="clear" w:color="auto" w:fill="auto"/>
                <w:noWrap/>
                <w:vAlign w:val="center"/>
                <w:hideMark/>
              </w:tcPr>
              <w:p w14:paraId="3FA1387F"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137.698.895.019</w:t>
                </w:r>
              </w:p>
            </w:tc>
            <w:tc>
              <w:tcPr>
                <w:tcW w:w="1460" w:type="dxa"/>
                <w:shd w:val="clear" w:color="auto" w:fill="auto"/>
                <w:noWrap/>
                <w:vAlign w:val="center"/>
                <w:hideMark/>
              </w:tcPr>
              <w:p w14:paraId="27013ED9"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55.955.236.405</w:t>
                </w:r>
              </w:p>
            </w:tc>
            <w:tc>
              <w:tcPr>
                <w:tcW w:w="1320" w:type="dxa"/>
                <w:shd w:val="clear" w:color="auto" w:fill="auto"/>
                <w:noWrap/>
                <w:vAlign w:val="center"/>
                <w:hideMark/>
              </w:tcPr>
              <w:p w14:paraId="75D4D515"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81.743.658.614</w:t>
                </w:r>
              </w:p>
            </w:tc>
          </w:tr>
          <w:tr w:rsidR="00AD6666" w:rsidRPr="00AD6666" w14:paraId="793FF4EC" w14:textId="77777777" w:rsidTr="00510CE9">
            <w:trPr>
              <w:trHeight w:val="315"/>
            </w:trPr>
            <w:tc>
              <w:tcPr>
                <w:tcW w:w="4060" w:type="dxa"/>
                <w:shd w:val="clear" w:color="auto" w:fill="auto"/>
                <w:vAlign w:val="center"/>
                <w:hideMark/>
              </w:tcPr>
              <w:p w14:paraId="65ED0AD0"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servicio</w:t>
                </w:r>
              </w:p>
            </w:tc>
            <w:tc>
              <w:tcPr>
                <w:tcW w:w="1460" w:type="dxa"/>
                <w:shd w:val="clear" w:color="auto" w:fill="auto"/>
                <w:noWrap/>
                <w:vAlign w:val="center"/>
                <w:hideMark/>
              </w:tcPr>
              <w:p w14:paraId="51C4A887"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289.399.819.892</w:t>
                </w:r>
              </w:p>
            </w:tc>
            <w:tc>
              <w:tcPr>
                <w:tcW w:w="1460" w:type="dxa"/>
                <w:shd w:val="clear" w:color="auto" w:fill="auto"/>
                <w:noWrap/>
                <w:vAlign w:val="center"/>
                <w:hideMark/>
              </w:tcPr>
              <w:p w14:paraId="0082159E"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239.452.445.562</w:t>
                </w:r>
              </w:p>
            </w:tc>
            <w:tc>
              <w:tcPr>
                <w:tcW w:w="1320" w:type="dxa"/>
                <w:shd w:val="clear" w:color="auto" w:fill="auto"/>
                <w:noWrap/>
                <w:vAlign w:val="center"/>
                <w:hideMark/>
              </w:tcPr>
              <w:p w14:paraId="19840852"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49.947.374.330</w:t>
                </w:r>
              </w:p>
            </w:tc>
          </w:tr>
          <w:tr w:rsidR="00AD6666" w:rsidRPr="00AD6666" w14:paraId="7BF95FD8" w14:textId="77777777" w:rsidTr="00510CE9">
            <w:trPr>
              <w:trHeight w:val="315"/>
            </w:trPr>
            <w:tc>
              <w:tcPr>
                <w:tcW w:w="4060" w:type="dxa"/>
                <w:shd w:val="clear" w:color="auto" w:fill="auto"/>
                <w:vAlign w:val="center"/>
                <w:hideMark/>
              </w:tcPr>
              <w:p w14:paraId="25A403D9"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Terrenos en servicio</w:t>
                </w:r>
              </w:p>
            </w:tc>
            <w:tc>
              <w:tcPr>
                <w:tcW w:w="1460" w:type="dxa"/>
                <w:shd w:val="clear" w:color="auto" w:fill="auto"/>
                <w:noWrap/>
                <w:vAlign w:val="center"/>
                <w:hideMark/>
              </w:tcPr>
              <w:p w14:paraId="203472AD"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18.230.804.581</w:t>
                </w:r>
              </w:p>
            </w:tc>
            <w:tc>
              <w:tcPr>
                <w:tcW w:w="1460" w:type="dxa"/>
                <w:shd w:val="clear" w:color="auto" w:fill="auto"/>
                <w:noWrap/>
                <w:vAlign w:val="center"/>
                <w:hideMark/>
              </w:tcPr>
              <w:p w14:paraId="17201E55"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c>
              <w:tcPr>
                <w:tcW w:w="1320" w:type="dxa"/>
                <w:shd w:val="clear" w:color="auto" w:fill="auto"/>
                <w:noWrap/>
                <w:vAlign w:val="center"/>
                <w:hideMark/>
              </w:tcPr>
              <w:p w14:paraId="4638614B"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18.230.804.581</w:t>
                </w:r>
              </w:p>
            </w:tc>
          </w:tr>
          <w:tr w:rsidR="00AD6666" w:rsidRPr="00AD6666" w14:paraId="63E64DE2" w14:textId="77777777" w:rsidTr="00510CE9">
            <w:trPr>
              <w:trHeight w:val="315"/>
            </w:trPr>
            <w:tc>
              <w:tcPr>
                <w:tcW w:w="4060" w:type="dxa"/>
                <w:shd w:val="clear" w:color="auto" w:fill="auto"/>
                <w:vAlign w:val="center"/>
                <w:hideMark/>
              </w:tcPr>
              <w:p w14:paraId="28DEED5D" w14:textId="77777777"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SOCIEDAD PORTUARIA REGIONAL DE TUMACO SA</w:t>
                </w:r>
              </w:p>
            </w:tc>
            <w:tc>
              <w:tcPr>
                <w:tcW w:w="1460" w:type="dxa"/>
                <w:shd w:val="clear" w:color="auto" w:fill="auto"/>
                <w:noWrap/>
                <w:vAlign w:val="center"/>
                <w:hideMark/>
              </w:tcPr>
              <w:p w14:paraId="0B44C10F"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2.374.568.721</w:t>
                </w:r>
              </w:p>
            </w:tc>
            <w:tc>
              <w:tcPr>
                <w:tcW w:w="1460" w:type="dxa"/>
                <w:shd w:val="clear" w:color="auto" w:fill="auto"/>
                <w:noWrap/>
                <w:vAlign w:val="center"/>
                <w:hideMark/>
              </w:tcPr>
              <w:p w14:paraId="67AF1FBC"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2.374.568.721</w:t>
                </w:r>
              </w:p>
            </w:tc>
            <w:tc>
              <w:tcPr>
                <w:tcW w:w="1320" w:type="dxa"/>
                <w:shd w:val="clear" w:color="auto" w:fill="auto"/>
                <w:noWrap/>
                <w:vAlign w:val="center"/>
                <w:hideMark/>
              </w:tcPr>
              <w:p w14:paraId="44614D7B"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0</w:t>
                </w:r>
              </w:p>
            </w:tc>
          </w:tr>
          <w:tr w:rsidR="00AD6666" w:rsidRPr="00AD6666" w14:paraId="2AA225A0" w14:textId="77777777" w:rsidTr="00510CE9">
            <w:trPr>
              <w:trHeight w:val="315"/>
            </w:trPr>
            <w:tc>
              <w:tcPr>
                <w:tcW w:w="4060" w:type="dxa"/>
                <w:shd w:val="clear" w:color="auto" w:fill="auto"/>
                <w:vAlign w:val="center"/>
                <w:hideMark/>
              </w:tcPr>
              <w:p w14:paraId="1546CE04"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servicio</w:t>
                </w:r>
              </w:p>
            </w:tc>
            <w:tc>
              <w:tcPr>
                <w:tcW w:w="1460" w:type="dxa"/>
                <w:shd w:val="clear" w:color="auto" w:fill="auto"/>
                <w:noWrap/>
                <w:vAlign w:val="center"/>
                <w:hideMark/>
              </w:tcPr>
              <w:p w14:paraId="585A2D0B"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2.374.568.721</w:t>
                </w:r>
              </w:p>
            </w:tc>
            <w:tc>
              <w:tcPr>
                <w:tcW w:w="1460" w:type="dxa"/>
                <w:shd w:val="clear" w:color="auto" w:fill="auto"/>
                <w:noWrap/>
                <w:vAlign w:val="center"/>
                <w:hideMark/>
              </w:tcPr>
              <w:p w14:paraId="167EE4AD"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2.374.568.721</w:t>
                </w:r>
              </w:p>
            </w:tc>
            <w:tc>
              <w:tcPr>
                <w:tcW w:w="1320" w:type="dxa"/>
                <w:shd w:val="clear" w:color="auto" w:fill="auto"/>
                <w:noWrap/>
                <w:vAlign w:val="center"/>
                <w:hideMark/>
              </w:tcPr>
              <w:p w14:paraId="1D1786FC"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5BEEBACF" w14:textId="77777777" w:rsidTr="00510CE9">
            <w:trPr>
              <w:trHeight w:val="435"/>
            </w:trPr>
            <w:tc>
              <w:tcPr>
                <w:tcW w:w="4060" w:type="dxa"/>
                <w:shd w:val="clear" w:color="auto" w:fill="auto"/>
                <w:vAlign w:val="center"/>
                <w:hideMark/>
              </w:tcPr>
              <w:p w14:paraId="298A27D2" w14:textId="77777777"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SOCIEDAD PORTUARIA REGIONAL TUMACO PACIFIC PORT S.A</w:t>
                </w:r>
              </w:p>
            </w:tc>
            <w:tc>
              <w:tcPr>
                <w:tcW w:w="1460" w:type="dxa"/>
                <w:shd w:val="clear" w:color="auto" w:fill="auto"/>
                <w:noWrap/>
                <w:vAlign w:val="center"/>
                <w:hideMark/>
              </w:tcPr>
              <w:p w14:paraId="34265BB6"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16.194.356.207</w:t>
                </w:r>
              </w:p>
            </w:tc>
            <w:tc>
              <w:tcPr>
                <w:tcW w:w="1460" w:type="dxa"/>
                <w:shd w:val="clear" w:color="auto" w:fill="auto"/>
                <w:noWrap/>
                <w:vAlign w:val="center"/>
                <w:hideMark/>
              </w:tcPr>
              <w:p w14:paraId="3E992657"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16.194.356.207</w:t>
                </w:r>
              </w:p>
            </w:tc>
            <w:tc>
              <w:tcPr>
                <w:tcW w:w="1320" w:type="dxa"/>
                <w:shd w:val="clear" w:color="auto" w:fill="auto"/>
                <w:noWrap/>
                <w:vAlign w:val="center"/>
                <w:hideMark/>
              </w:tcPr>
              <w:p w14:paraId="1460AD8D"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0</w:t>
                </w:r>
              </w:p>
            </w:tc>
          </w:tr>
          <w:tr w:rsidR="00AD6666" w:rsidRPr="00AD6666" w14:paraId="4173F459" w14:textId="77777777" w:rsidTr="00510CE9">
            <w:trPr>
              <w:trHeight w:val="315"/>
            </w:trPr>
            <w:tc>
              <w:tcPr>
                <w:tcW w:w="4060" w:type="dxa"/>
                <w:shd w:val="clear" w:color="auto" w:fill="auto"/>
                <w:vAlign w:val="center"/>
                <w:hideMark/>
              </w:tcPr>
              <w:p w14:paraId="70818711"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Propiedades, planta y equipo en concesión</w:t>
                </w:r>
              </w:p>
            </w:tc>
            <w:tc>
              <w:tcPr>
                <w:tcW w:w="1460" w:type="dxa"/>
                <w:shd w:val="clear" w:color="auto" w:fill="auto"/>
                <w:noWrap/>
                <w:vAlign w:val="center"/>
                <w:hideMark/>
              </w:tcPr>
              <w:p w14:paraId="34277849"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4.531.437.558</w:t>
                </w:r>
              </w:p>
            </w:tc>
            <w:tc>
              <w:tcPr>
                <w:tcW w:w="1460" w:type="dxa"/>
                <w:shd w:val="clear" w:color="auto" w:fill="auto"/>
                <w:noWrap/>
                <w:vAlign w:val="center"/>
                <w:hideMark/>
              </w:tcPr>
              <w:p w14:paraId="693E4B94"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4.531.437.558</w:t>
                </w:r>
              </w:p>
            </w:tc>
            <w:tc>
              <w:tcPr>
                <w:tcW w:w="1320" w:type="dxa"/>
                <w:shd w:val="clear" w:color="auto" w:fill="auto"/>
                <w:noWrap/>
                <w:vAlign w:val="center"/>
                <w:hideMark/>
              </w:tcPr>
              <w:p w14:paraId="15E65C69"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03CB4A55" w14:textId="77777777" w:rsidTr="00510CE9">
            <w:trPr>
              <w:trHeight w:val="315"/>
            </w:trPr>
            <w:tc>
              <w:tcPr>
                <w:tcW w:w="4060" w:type="dxa"/>
                <w:shd w:val="clear" w:color="auto" w:fill="auto"/>
                <w:vAlign w:val="center"/>
                <w:hideMark/>
              </w:tcPr>
              <w:p w14:paraId="1871C9C2"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construcción</w:t>
                </w:r>
              </w:p>
            </w:tc>
            <w:tc>
              <w:tcPr>
                <w:tcW w:w="1460" w:type="dxa"/>
                <w:shd w:val="clear" w:color="auto" w:fill="auto"/>
                <w:noWrap/>
                <w:vAlign w:val="center"/>
                <w:hideMark/>
              </w:tcPr>
              <w:p w14:paraId="6055DFA2"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11.662.918.649</w:t>
                </w:r>
              </w:p>
            </w:tc>
            <w:tc>
              <w:tcPr>
                <w:tcW w:w="1460" w:type="dxa"/>
                <w:shd w:val="clear" w:color="auto" w:fill="auto"/>
                <w:noWrap/>
                <w:vAlign w:val="center"/>
                <w:hideMark/>
              </w:tcPr>
              <w:p w14:paraId="5971209E"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11.662.918.649</w:t>
                </w:r>
              </w:p>
            </w:tc>
            <w:tc>
              <w:tcPr>
                <w:tcW w:w="1320" w:type="dxa"/>
                <w:shd w:val="clear" w:color="auto" w:fill="auto"/>
                <w:noWrap/>
                <w:vAlign w:val="center"/>
                <w:hideMark/>
              </w:tcPr>
              <w:p w14:paraId="63FD3446"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46391F15" w14:textId="77777777" w:rsidTr="00510CE9">
            <w:trPr>
              <w:trHeight w:val="435"/>
            </w:trPr>
            <w:tc>
              <w:tcPr>
                <w:tcW w:w="4060" w:type="dxa"/>
                <w:shd w:val="clear" w:color="auto" w:fill="auto"/>
                <w:vAlign w:val="center"/>
                <w:hideMark/>
              </w:tcPr>
              <w:p w14:paraId="28EF5DBF" w14:textId="77777777"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SOCIEDAD PORTUARIA TERMINAL DE CONTENEDORES DE BUENAVENTURA S.A.</w:t>
                </w:r>
              </w:p>
            </w:tc>
            <w:tc>
              <w:tcPr>
                <w:tcW w:w="1460" w:type="dxa"/>
                <w:shd w:val="clear" w:color="auto" w:fill="auto"/>
                <w:noWrap/>
                <w:vAlign w:val="center"/>
                <w:hideMark/>
              </w:tcPr>
              <w:p w14:paraId="01EC2B14"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639.954.571.793</w:t>
                </w:r>
              </w:p>
            </w:tc>
            <w:tc>
              <w:tcPr>
                <w:tcW w:w="1460" w:type="dxa"/>
                <w:shd w:val="clear" w:color="auto" w:fill="auto"/>
                <w:noWrap/>
                <w:vAlign w:val="center"/>
                <w:hideMark/>
              </w:tcPr>
              <w:p w14:paraId="5C3D44B4"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639.954.571.793</w:t>
                </w:r>
              </w:p>
            </w:tc>
            <w:tc>
              <w:tcPr>
                <w:tcW w:w="1320" w:type="dxa"/>
                <w:shd w:val="clear" w:color="auto" w:fill="auto"/>
                <w:noWrap/>
                <w:vAlign w:val="center"/>
                <w:hideMark/>
              </w:tcPr>
              <w:p w14:paraId="35818E34"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0</w:t>
                </w:r>
              </w:p>
            </w:tc>
          </w:tr>
          <w:tr w:rsidR="00AD6666" w:rsidRPr="00AD6666" w14:paraId="722C37A5" w14:textId="77777777" w:rsidTr="00510CE9">
            <w:trPr>
              <w:trHeight w:val="315"/>
            </w:trPr>
            <w:tc>
              <w:tcPr>
                <w:tcW w:w="4060" w:type="dxa"/>
                <w:shd w:val="clear" w:color="auto" w:fill="auto"/>
                <w:vAlign w:val="center"/>
                <w:hideMark/>
              </w:tcPr>
              <w:p w14:paraId="186A3954"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Propiedades, planta y equipo en concesión</w:t>
                </w:r>
              </w:p>
            </w:tc>
            <w:tc>
              <w:tcPr>
                <w:tcW w:w="1460" w:type="dxa"/>
                <w:shd w:val="clear" w:color="auto" w:fill="auto"/>
                <w:noWrap/>
                <w:vAlign w:val="center"/>
                <w:hideMark/>
              </w:tcPr>
              <w:p w14:paraId="3E26170B"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121.502.794.966</w:t>
                </w:r>
              </w:p>
            </w:tc>
            <w:tc>
              <w:tcPr>
                <w:tcW w:w="1460" w:type="dxa"/>
                <w:shd w:val="clear" w:color="auto" w:fill="auto"/>
                <w:noWrap/>
                <w:vAlign w:val="center"/>
                <w:hideMark/>
              </w:tcPr>
              <w:p w14:paraId="564EDE6E"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121.502.794.966</w:t>
                </w:r>
              </w:p>
            </w:tc>
            <w:tc>
              <w:tcPr>
                <w:tcW w:w="1320" w:type="dxa"/>
                <w:shd w:val="clear" w:color="auto" w:fill="auto"/>
                <w:noWrap/>
                <w:vAlign w:val="center"/>
                <w:hideMark/>
              </w:tcPr>
              <w:p w14:paraId="2AB80F35"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07E09746" w14:textId="77777777" w:rsidTr="00510CE9">
            <w:trPr>
              <w:trHeight w:val="315"/>
            </w:trPr>
            <w:tc>
              <w:tcPr>
                <w:tcW w:w="4060" w:type="dxa"/>
                <w:shd w:val="clear" w:color="auto" w:fill="auto"/>
                <w:vAlign w:val="center"/>
                <w:hideMark/>
              </w:tcPr>
              <w:p w14:paraId="255FBB84"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servicio</w:t>
                </w:r>
              </w:p>
            </w:tc>
            <w:tc>
              <w:tcPr>
                <w:tcW w:w="1460" w:type="dxa"/>
                <w:shd w:val="clear" w:color="auto" w:fill="auto"/>
                <w:noWrap/>
                <w:vAlign w:val="center"/>
                <w:hideMark/>
              </w:tcPr>
              <w:p w14:paraId="64A9731E"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518.451.776.827</w:t>
                </w:r>
              </w:p>
            </w:tc>
            <w:tc>
              <w:tcPr>
                <w:tcW w:w="1460" w:type="dxa"/>
                <w:shd w:val="clear" w:color="auto" w:fill="auto"/>
                <w:noWrap/>
                <w:vAlign w:val="center"/>
                <w:hideMark/>
              </w:tcPr>
              <w:p w14:paraId="53B240A1"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518.451.776.827</w:t>
                </w:r>
              </w:p>
            </w:tc>
            <w:tc>
              <w:tcPr>
                <w:tcW w:w="1320" w:type="dxa"/>
                <w:shd w:val="clear" w:color="auto" w:fill="auto"/>
                <w:noWrap/>
                <w:vAlign w:val="center"/>
                <w:hideMark/>
              </w:tcPr>
              <w:p w14:paraId="78664E8E"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0AB9A428" w14:textId="77777777" w:rsidTr="00510CE9">
            <w:trPr>
              <w:trHeight w:val="315"/>
            </w:trPr>
            <w:tc>
              <w:tcPr>
                <w:tcW w:w="4060" w:type="dxa"/>
                <w:shd w:val="clear" w:color="auto" w:fill="auto"/>
                <w:vAlign w:val="center"/>
                <w:hideMark/>
              </w:tcPr>
              <w:p w14:paraId="4E180B4E" w14:textId="77777777"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lastRenderedPageBreak/>
                  <w:t>SOCIEDAD PORTUARIA TERMINAL DE IFO'S S.A.</w:t>
                </w:r>
              </w:p>
            </w:tc>
            <w:tc>
              <w:tcPr>
                <w:tcW w:w="1460" w:type="dxa"/>
                <w:shd w:val="clear" w:color="auto" w:fill="auto"/>
                <w:noWrap/>
                <w:vAlign w:val="center"/>
                <w:hideMark/>
              </w:tcPr>
              <w:p w14:paraId="0B7695FE"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2.582.929.667</w:t>
                </w:r>
              </w:p>
            </w:tc>
            <w:tc>
              <w:tcPr>
                <w:tcW w:w="1460" w:type="dxa"/>
                <w:shd w:val="clear" w:color="auto" w:fill="auto"/>
                <w:noWrap/>
                <w:vAlign w:val="center"/>
                <w:hideMark/>
              </w:tcPr>
              <w:p w14:paraId="5F64DEE7"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2.582.929.667</w:t>
                </w:r>
              </w:p>
            </w:tc>
            <w:tc>
              <w:tcPr>
                <w:tcW w:w="1320" w:type="dxa"/>
                <w:shd w:val="clear" w:color="auto" w:fill="auto"/>
                <w:noWrap/>
                <w:vAlign w:val="center"/>
                <w:hideMark/>
              </w:tcPr>
              <w:p w14:paraId="3BC83583"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0</w:t>
                </w:r>
              </w:p>
            </w:tc>
          </w:tr>
          <w:tr w:rsidR="00AD6666" w:rsidRPr="00AD6666" w14:paraId="1107813B" w14:textId="77777777" w:rsidTr="00510CE9">
            <w:trPr>
              <w:trHeight w:val="315"/>
            </w:trPr>
            <w:tc>
              <w:tcPr>
                <w:tcW w:w="4060" w:type="dxa"/>
                <w:shd w:val="clear" w:color="auto" w:fill="auto"/>
                <w:vAlign w:val="center"/>
                <w:hideMark/>
              </w:tcPr>
              <w:p w14:paraId="0EDB438A"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Activos intangibles en concesión</w:t>
                </w:r>
              </w:p>
            </w:tc>
            <w:tc>
              <w:tcPr>
                <w:tcW w:w="1460" w:type="dxa"/>
                <w:shd w:val="clear" w:color="auto" w:fill="auto"/>
                <w:noWrap/>
                <w:vAlign w:val="center"/>
                <w:hideMark/>
              </w:tcPr>
              <w:p w14:paraId="0CBAB0AB"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262.720.764</w:t>
                </w:r>
              </w:p>
            </w:tc>
            <w:tc>
              <w:tcPr>
                <w:tcW w:w="1460" w:type="dxa"/>
                <w:shd w:val="clear" w:color="auto" w:fill="auto"/>
                <w:noWrap/>
                <w:vAlign w:val="center"/>
                <w:hideMark/>
              </w:tcPr>
              <w:p w14:paraId="7118580D"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262.720.764</w:t>
                </w:r>
              </w:p>
            </w:tc>
            <w:tc>
              <w:tcPr>
                <w:tcW w:w="1320" w:type="dxa"/>
                <w:shd w:val="clear" w:color="auto" w:fill="auto"/>
                <w:noWrap/>
                <w:vAlign w:val="center"/>
                <w:hideMark/>
              </w:tcPr>
              <w:p w14:paraId="4DF6D2F3"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3F679ADF" w14:textId="77777777" w:rsidTr="00510CE9">
            <w:trPr>
              <w:trHeight w:val="315"/>
            </w:trPr>
            <w:tc>
              <w:tcPr>
                <w:tcW w:w="4060" w:type="dxa"/>
                <w:shd w:val="clear" w:color="auto" w:fill="auto"/>
                <w:vAlign w:val="center"/>
                <w:hideMark/>
              </w:tcPr>
              <w:p w14:paraId="67F57CD0"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Propiedades, planta y equipo en concesión</w:t>
                </w:r>
              </w:p>
            </w:tc>
            <w:tc>
              <w:tcPr>
                <w:tcW w:w="1460" w:type="dxa"/>
                <w:shd w:val="clear" w:color="auto" w:fill="auto"/>
                <w:noWrap/>
                <w:vAlign w:val="center"/>
                <w:hideMark/>
              </w:tcPr>
              <w:p w14:paraId="4FC2233C"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252.785.163</w:t>
                </w:r>
              </w:p>
            </w:tc>
            <w:tc>
              <w:tcPr>
                <w:tcW w:w="1460" w:type="dxa"/>
                <w:shd w:val="clear" w:color="auto" w:fill="auto"/>
                <w:noWrap/>
                <w:vAlign w:val="center"/>
                <w:hideMark/>
              </w:tcPr>
              <w:p w14:paraId="65CE8F4F"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252.785.163</w:t>
                </w:r>
              </w:p>
            </w:tc>
            <w:tc>
              <w:tcPr>
                <w:tcW w:w="1320" w:type="dxa"/>
                <w:shd w:val="clear" w:color="auto" w:fill="auto"/>
                <w:noWrap/>
                <w:vAlign w:val="center"/>
                <w:hideMark/>
              </w:tcPr>
              <w:p w14:paraId="405CB3B9"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01F35918" w14:textId="77777777" w:rsidTr="00510CE9">
            <w:trPr>
              <w:trHeight w:val="315"/>
            </w:trPr>
            <w:tc>
              <w:tcPr>
                <w:tcW w:w="4060" w:type="dxa"/>
                <w:shd w:val="clear" w:color="auto" w:fill="auto"/>
                <w:vAlign w:val="center"/>
                <w:hideMark/>
              </w:tcPr>
              <w:p w14:paraId="04AD2E9D"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construcción</w:t>
                </w:r>
              </w:p>
            </w:tc>
            <w:tc>
              <w:tcPr>
                <w:tcW w:w="1460" w:type="dxa"/>
                <w:shd w:val="clear" w:color="auto" w:fill="auto"/>
                <w:noWrap/>
                <w:vAlign w:val="center"/>
                <w:hideMark/>
              </w:tcPr>
              <w:p w14:paraId="02E1E919"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2.067.423.740</w:t>
                </w:r>
              </w:p>
            </w:tc>
            <w:tc>
              <w:tcPr>
                <w:tcW w:w="1460" w:type="dxa"/>
                <w:shd w:val="clear" w:color="auto" w:fill="auto"/>
                <w:noWrap/>
                <w:vAlign w:val="center"/>
                <w:hideMark/>
              </w:tcPr>
              <w:p w14:paraId="2FB81011"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1.336.416.447</w:t>
                </w:r>
              </w:p>
            </w:tc>
            <w:tc>
              <w:tcPr>
                <w:tcW w:w="1320" w:type="dxa"/>
                <w:shd w:val="clear" w:color="auto" w:fill="auto"/>
                <w:noWrap/>
                <w:vAlign w:val="center"/>
                <w:hideMark/>
              </w:tcPr>
              <w:p w14:paraId="434D278E"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731.007.293</w:t>
                </w:r>
              </w:p>
            </w:tc>
          </w:tr>
          <w:tr w:rsidR="00AD6666" w:rsidRPr="00AD6666" w14:paraId="6F0C334C" w14:textId="77777777" w:rsidTr="00510CE9">
            <w:trPr>
              <w:trHeight w:val="315"/>
            </w:trPr>
            <w:tc>
              <w:tcPr>
                <w:tcW w:w="4060" w:type="dxa"/>
                <w:shd w:val="clear" w:color="auto" w:fill="auto"/>
                <w:vAlign w:val="center"/>
                <w:hideMark/>
              </w:tcPr>
              <w:p w14:paraId="6FAD8D69"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servicio</w:t>
                </w:r>
              </w:p>
            </w:tc>
            <w:tc>
              <w:tcPr>
                <w:tcW w:w="1460" w:type="dxa"/>
                <w:shd w:val="clear" w:color="auto" w:fill="auto"/>
                <w:noWrap/>
                <w:vAlign w:val="center"/>
                <w:hideMark/>
              </w:tcPr>
              <w:p w14:paraId="7016EEFA"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c>
              <w:tcPr>
                <w:tcW w:w="1460" w:type="dxa"/>
                <w:shd w:val="clear" w:color="auto" w:fill="auto"/>
                <w:noWrap/>
                <w:vAlign w:val="center"/>
                <w:hideMark/>
              </w:tcPr>
              <w:p w14:paraId="3ADAEB13"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731.007.293</w:t>
                </w:r>
              </w:p>
            </w:tc>
            <w:tc>
              <w:tcPr>
                <w:tcW w:w="1320" w:type="dxa"/>
                <w:shd w:val="clear" w:color="auto" w:fill="auto"/>
                <w:noWrap/>
                <w:vAlign w:val="center"/>
                <w:hideMark/>
              </w:tcPr>
              <w:p w14:paraId="7B791449"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-731.007.293</w:t>
                </w:r>
              </w:p>
            </w:tc>
          </w:tr>
          <w:tr w:rsidR="00AD6666" w:rsidRPr="00AD6666" w14:paraId="14D3F955" w14:textId="77777777" w:rsidTr="00510CE9">
            <w:trPr>
              <w:trHeight w:val="435"/>
            </w:trPr>
            <w:tc>
              <w:tcPr>
                <w:tcW w:w="4060" w:type="dxa"/>
                <w:shd w:val="clear" w:color="auto" w:fill="auto"/>
                <w:vAlign w:val="center"/>
                <w:hideMark/>
              </w:tcPr>
              <w:p w14:paraId="4218D156" w14:textId="77777777"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SOCIEDAD PORTUARIA TERMINALES MARITIMOS DEL PACIFICO SA</w:t>
                </w:r>
              </w:p>
            </w:tc>
            <w:tc>
              <w:tcPr>
                <w:tcW w:w="1460" w:type="dxa"/>
                <w:shd w:val="clear" w:color="auto" w:fill="auto"/>
                <w:noWrap/>
                <w:vAlign w:val="center"/>
                <w:hideMark/>
              </w:tcPr>
              <w:p w14:paraId="4D23AB48"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1.203.634.324</w:t>
                </w:r>
              </w:p>
            </w:tc>
            <w:tc>
              <w:tcPr>
                <w:tcW w:w="1460" w:type="dxa"/>
                <w:shd w:val="clear" w:color="auto" w:fill="auto"/>
                <w:noWrap/>
                <w:vAlign w:val="center"/>
                <w:hideMark/>
              </w:tcPr>
              <w:p w14:paraId="6C6EB73B"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1.203.634.324</w:t>
                </w:r>
              </w:p>
            </w:tc>
            <w:tc>
              <w:tcPr>
                <w:tcW w:w="1320" w:type="dxa"/>
                <w:shd w:val="clear" w:color="auto" w:fill="auto"/>
                <w:noWrap/>
                <w:vAlign w:val="center"/>
                <w:hideMark/>
              </w:tcPr>
              <w:p w14:paraId="6E78369C"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0</w:t>
                </w:r>
              </w:p>
            </w:tc>
          </w:tr>
          <w:tr w:rsidR="00AD6666" w:rsidRPr="00AD6666" w14:paraId="0A1CEAAD" w14:textId="77777777" w:rsidTr="00510CE9">
            <w:trPr>
              <w:trHeight w:val="315"/>
            </w:trPr>
            <w:tc>
              <w:tcPr>
                <w:tcW w:w="4060" w:type="dxa"/>
                <w:shd w:val="clear" w:color="auto" w:fill="auto"/>
                <w:vAlign w:val="center"/>
                <w:hideMark/>
              </w:tcPr>
              <w:p w14:paraId="2310F2B2"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Propiedades, planta y equipo en concesión</w:t>
                </w:r>
              </w:p>
            </w:tc>
            <w:tc>
              <w:tcPr>
                <w:tcW w:w="1460" w:type="dxa"/>
                <w:shd w:val="clear" w:color="auto" w:fill="auto"/>
                <w:noWrap/>
                <w:vAlign w:val="center"/>
                <w:hideMark/>
              </w:tcPr>
              <w:p w14:paraId="5C3B4EB6"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99.352.191</w:t>
                </w:r>
              </w:p>
            </w:tc>
            <w:tc>
              <w:tcPr>
                <w:tcW w:w="1460" w:type="dxa"/>
                <w:shd w:val="clear" w:color="auto" w:fill="auto"/>
                <w:noWrap/>
                <w:vAlign w:val="center"/>
                <w:hideMark/>
              </w:tcPr>
              <w:p w14:paraId="6A4770DC"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99.352.191</w:t>
                </w:r>
              </w:p>
            </w:tc>
            <w:tc>
              <w:tcPr>
                <w:tcW w:w="1320" w:type="dxa"/>
                <w:shd w:val="clear" w:color="auto" w:fill="auto"/>
                <w:noWrap/>
                <w:vAlign w:val="center"/>
                <w:hideMark/>
              </w:tcPr>
              <w:p w14:paraId="51C19278"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668986BB" w14:textId="77777777" w:rsidTr="00510CE9">
            <w:trPr>
              <w:trHeight w:val="315"/>
            </w:trPr>
            <w:tc>
              <w:tcPr>
                <w:tcW w:w="4060" w:type="dxa"/>
                <w:shd w:val="clear" w:color="auto" w:fill="auto"/>
                <w:vAlign w:val="center"/>
                <w:hideMark/>
              </w:tcPr>
              <w:p w14:paraId="1263A39A"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servicio</w:t>
                </w:r>
              </w:p>
            </w:tc>
            <w:tc>
              <w:tcPr>
                <w:tcW w:w="1460" w:type="dxa"/>
                <w:shd w:val="clear" w:color="auto" w:fill="auto"/>
                <w:noWrap/>
                <w:vAlign w:val="center"/>
                <w:hideMark/>
              </w:tcPr>
              <w:p w14:paraId="1387F9A1"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1.104.282.133</w:t>
                </w:r>
              </w:p>
            </w:tc>
            <w:tc>
              <w:tcPr>
                <w:tcW w:w="1460" w:type="dxa"/>
                <w:shd w:val="clear" w:color="auto" w:fill="auto"/>
                <w:noWrap/>
                <w:vAlign w:val="center"/>
                <w:hideMark/>
              </w:tcPr>
              <w:p w14:paraId="62804F2E"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1.104.282.133</w:t>
                </w:r>
              </w:p>
            </w:tc>
            <w:tc>
              <w:tcPr>
                <w:tcW w:w="1320" w:type="dxa"/>
                <w:shd w:val="clear" w:color="auto" w:fill="auto"/>
                <w:noWrap/>
                <w:vAlign w:val="center"/>
                <w:hideMark/>
              </w:tcPr>
              <w:p w14:paraId="6F6A92AA"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658F7348" w14:textId="77777777" w:rsidTr="00510CE9">
            <w:trPr>
              <w:trHeight w:val="315"/>
            </w:trPr>
            <w:tc>
              <w:tcPr>
                <w:tcW w:w="4060" w:type="dxa"/>
                <w:shd w:val="clear" w:color="auto" w:fill="auto"/>
                <w:vAlign w:val="center"/>
                <w:hideMark/>
              </w:tcPr>
              <w:p w14:paraId="4502A141" w14:textId="77777777"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TERMINAL DE CONTENEDORES DE CARTAGENA S.A.</w:t>
                </w:r>
              </w:p>
            </w:tc>
            <w:tc>
              <w:tcPr>
                <w:tcW w:w="1460" w:type="dxa"/>
                <w:shd w:val="clear" w:color="auto" w:fill="auto"/>
                <w:noWrap/>
                <w:vAlign w:val="center"/>
                <w:hideMark/>
              </w:tcPr>
              <w:p w14:paraId="10F114FB"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587.787.807.132</w:t>
                </w:r>
              </w:p>
            </w:tc>
            <w:tc>
              <w:tcPr>
                <w:tcW w:w="1460" w:type="dxa"/>
                <w:shd w:val="clear" w:color="auto" w:fill="auto"/>
                <w:noWrap/>
                <w:vAlign w:val="center"/>
                <w:hideMark/>
              </w:tcPr>
              <w:p w14:paraId="0BBE96E9"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559.966.322.290</w:t>
                </w:r>
              </w:p>
            </w:tc>
            <w:tc>
              <w:tcPr>
                <w:tcW w:w="1320" w:type="dxa"/>
                <w:shd w:val="clear" w:color="auto" w:fill="auto"/>
                <w:noWrap/>
                <w:vAlign w:val="center"/>
                <w:hideMark/>
              </w:tcPr>
              <w:p w14:paraId="29B02530"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27.821.484.842</w:t>
                </w:r>
              </w:p>
            </w:tc>
          </w:tr>
          <w:tr w:rsidR="00AD6666" w:rsidRPr="00AD6666" w14:paraId="51C8C9F6" w14:textId="77777777" w:rsidTr="00510CE9">
            <w:trPr>
              <w:trHeight w:val="315"/>
            </w:trPr>
            <w:tc>
              <w:tcPr>
                <w:tcW w:w="4060" w:type="dxa"/>
                <w:shd w:val="clear" w:color="auto" w:fill="auto"/>
                <w:vAlign w:val="center"/>
                <w:hideMark/>
              </w:tcPr>
              <w:p w14:paraId="4B4690FC"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Propiedades, planta y equipo en concesión</w:t>
                </w:r>
              </w:p>
            </w:tc>
            <w:tc>
              <w:tcPr>
                <w:tcW w:w="1460" w:type="dxa"/>
                <w:shd w:val="clear" w:color="auto" w:fill="auto"/>
                <w:noWrap/>
                <w:vAlign w:val="center"/>
                <w:hideMark/>
              </w:tcPr>
              <w:p w14:paraId="6D34E8BD"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308.036.967.146</w:t>
                </w:r>
              </w:p>
            </w:tc>
            <w:tc>
              <w:tcPr>
                <w:tcW w:w="1460" w:type="dxa"/>
                <w:shd w:val="clear" w:color="auto" w:fill="auto"/>
                <w:noWrap/>
                <w:vAlign w:val="center"/>
                <w:hideMark/>
              </w:tcPr>
              <w:p w14:paraId="21D188A8"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298.604.905.840</w:t>
                </w:r>
              </w:p>
            </w:tc>
            <w:tc>
              <w:tcPr>
                <w:tcW w:w="1320" w:type="dxa"/>
                <w:shd w:val="clear" w:color="auto" w:fill="auto"/>
                <w:noWrap/>
                <w:vAlign w:val="center"/>
                <w:hideMark/>
              </w:tcPr>
              <w:p w14:paraId="7E746161"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9.432.061.306</w:t>
                </w:r>
              </w:p>
            </w:tc>
          </w:tr>
          <w:tr w:rsidR="00AD6666" w:rsidRPr="00AD6666" w14:paraId="6FCC9EF5" w14:textId="77777777" w:rsidTr="00510CE9">
            <w:trPr>
              <w:trHeight w:val="315"/>
            </w:trPr>
            <w:tc>
              <w:tcPr>
                <w:tcW w:w="4060" w:type="dxa"/>
                <w:shd w:val="clear" w:color="auto" w:fill="auto"/>
                <w:vAlign w:val="center"/>
                <w:hideMark/>
              </w:tcPr>
              <w:p w14:paraId="1EF8C8CC"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servicio</w:t>
                </w:r>
              </w:p>
            </w:tc>
            <w:tc>
              <w:tcPr>
                <w:tcW w:w="1460" w:type="dxa"/>
                <w:shd w:val="clear" w:color="auto" w:fill="auto"/>
                <w:noWrap/>
                <w:vAlign w:val="center"/>
                <w:hideMark/>
              </w:tcPr>
              <w:p w14:paraId="493BF933"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277.982.481.724</w:t>
                </w:r>
              </w:p>
            </w:tc>
            <w:tc>
              <w:tcPr>
                <w:tcW w:w="1460" w:type="dxa"/>
                <w:shd w:val="clear" w:color="auto" w:fill="auto"/>
                <w:noWrap/>
                <w:vAlign w:val="center"/>
                <w:hideMark/>
              </w:tcPr>
              <w:p w14:paraId="1CD3F11F"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261.361.416.450</w:t>
                </w:r>
              </w:p>
            </w:tc>
            <w:tc>
              <w:tcPr>
                <w:tcW w:w="1320" w:type="dxa"/>
                <w:shd w:val="clear" w:color="auto" w:fill="auto"/>
                <w:noWrap/>
                <w:vAlign w:val="center"/>
                <w:hideMark/>
              </w:tcPr>
              <w:p w14:paraId="09D5F2B4"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16.621.065.274</w:t>
                </w:r>
              </w:p>
            </w:tc>
          </w:tr>
          <w:tr w:rsidR="00AD6666" w:rsidRPr="00AD6666" w14:paraId="172F82D5" w14:textId="77777777" w:rsidTr="00510CE9">
            <w:trPr>
              <w:trHeight w:val="315"/>
            </w:trPr>
            <w:tc>
              <w:tcPr>
                <w:tcW w:w="4060" w:type="dxa"/>
                <w:shd w:val="clear" w:color="auto" w:fill="auto"/>
                <w:vAlign w:val="center"/>
                <w:hideMark/>
              </w:tcPr>
              <w:p w14:paraId="17FB065B"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construcción</w:t>
                </w:r>
              </w:p>
            </w:tc>
            <w:tc>
              <w:tcPr>
                <w:tcW w:w="1460" w:type="dxa"/>
                <w:shd w:val="clear" w:color="auto" w:fill="auto"/>
                <w:noWrap/>
                <w:vAlign w:val="center"/>
                <w:hideMark/>
              </w:tcPr>
              <w:p w14:paraId="142F9386"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1.768.358.262</w:t>
                </w:r>
              </w:p>
            </w:tc>
            <w:tc>
              <w:tcPr>
                <w:tcW w:w="1460" w:type="dxa"/>
                <w:shd w:val="clear" w:color="auto" w:fill="auto"/>
                <w:noWrap/>
                <w:vAlign w:val="center"/>
                <w:hideMark/>
              </w:tcPr>
              <w:p w14:paraId="003B3395"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c>
              <w:tcPr>
                <w:tcW w:w="1320" w:type="dxa"/>
                <w:shd w:val="clear" w:color="auto" w:fill="auto"/>
                <w:noWrap/>
                <w:vAlign w:val="center"/>
                <w:hideMark/>
              </w:tcPr>
              <w:p w14:paraId="7A367B92"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1.768.358.262</w:t>
                </w:r>
              </w:p>
            </w:tc>
          </w:tr>
          <w:tr w:rsidR="00AD6666" w:rsidRPr="00AD6666" w14:paraId="6396C4FF" w14:textId="77777777" w:rsidTr="00510CE9">
            <w:trPr>
              <w:trHeight w:val="315"/>
            </w:trPr>
            <w:tc>
              <w:tcPr>
                <w:tcW w:w="4060" w:type="dxa"/>
                <w:shd w:val="clear" w:color="auto" w:fill="auto"/>
                <w:vAlign w:val="center"/>
                <w:hideMark/>
              </w:tcPr>
              <w:p w14:paraId="14BAF1BC" w14:textId="77777777"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TRANSPETROL LTDA.</w:t>
                </w:r>
              </w:p>
            </w:tc>
            <w:tc>
              <w:tcPr>
                <w:tcW w:w="1460" w:type="dxa"/>
                <w:shd w:val="clear" w:color="auto" w:fill="auto"/>
                <w:noWrap/>
                <w:vAlign w:val="center"/>
                <w:hideMark/>
              </w:tcPr>
              <w:p w14:paraId="62D8704B"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165.866.754</w:t>
                </w:r>
              </w:p>
            </w:tc>
            <w:tc>
              <w:tcPr>
                <w:tcW w:w="1460" w:type="dxa"/>
                <w:shd w:val="clear" w:color="auto" w:fill="auto"/>
                <w:noWrap/>
                <w:vAlign w:val="center"/>
                <w:hideMark/>
              </w:tcPr>
              <w:p w14:paraId="2458D386"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165.866.754</w:t>
                </w:r>
              </w:p>
            </w:tc>
            <w:tc>
              <w:tcPr>
                <w:tcW w:w="1320" w:type="dxa"/>
                <w:shd w:val="clear" w:color="auto" w:fill="auto"/>
                <w:noWrap/>
                <w:vAlign w:val="center"/>
                <w:hideMark/>
              </w:tcPr>
              <w:p w14:paraId="7EB79331"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0</w:t>
                </w:r>
              </w:p>
            </w:tc>
          </w:tr>
          <w:tr w:rsidR="00AD6666" w:rsidRPr="00AD6666" w14:paraId="7E7344D0" w14:textId="77777777" w:rsidTr="00510CE9">
            <w:trPr>
              <w:trHeight w:val="315"/>
            </w:trPr>
            <w:tc>
              <w:tcPr>
                <w:tcW w:w="4060" w:type="dxa"/>
                <w:shd w:val="clear" w:color="auto" w:fill="auto"/>
                <w:vAlign w:val="center"/>
                <w:hideMark/>
              </w:tcPr>
              <w:p w14:paraId="2A1050C4"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Propiedades, planta y equipo en concesión</w:t>
                </w:r>
              </w:p>
            </w:tc>
            <w:tc>
              <w:tcPr>
                <w:tcW w:w="1460" w:type="dxa"/>
                <w:shd w:val="clear" w:color="auto" w:fill="auto"/>
                <w:noWrap/>
                <w:vAlign w:val="center"/>
                <w:hideMark/>
              </w:tcPr>
              <w:p w14:paraId="4EF738C8"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80.324.900</w:t>
                </w:r>
              </w:p>
            </w:tc>
            <w:tc>
              <w:tcPr>
                <w:tcW w:w="1460" w:type="dxa"/>
                <w:shd w:val="clear" w:color="auto" w:fill="auto"/>
                <w:noWrap/>
                <w:vAlign w:val="center"/>
                <w:hideMark/>
              </w:tcPr>
              <w:p w14:paraId="7D4A38BA"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80.324.900</w:t>
                </w:r>
              </w:p>
            </w:tc>
            <w:tc>
              <w:tcPr>
                <w:tcW w:w="1320" w:type="dxa"/>
                <w:shd w:val="clear" w:color="auto" w:fill="auto"/>
                <w:noWrap/>
                <w:vAlign w:val="center"/>
                <w:hideMark/>
              </w:tcPr>
              <w:p w14:paraId="236F433D"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56DDD29E" w14:textId="77777777" w:rsidTr="00510CE9">
            <w:trPr>
              <w:trHeight w:val="315"/>
            </w:trPr>
            <w:tc>
              <w:tcPr>
                <w:tcW w:w="4060" w:type="dxa"/>
                <w:shd w:val="clear" w:color="auto" w:fill="auto"/>
                <w:vAlign w:val="center"/>
                <w:hideMark/>
              </w:tcPr>
              <w:p w14:paraId="2723CE9C"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servicio</w:t>
                </w:r>
              </w:p>
            </w:tc>
            <w:tc>
              <w:tcPr>
                <w:tcW w:w="1460" w:type="dxa"/>
                <w:shd w:val="clear" w:color="auto" w:fill="auto"/>
                <w:noWrap/>
                <w:vAlign w:val="center"/>
                <w:hideMark/>
              </w:tcPr>
              <w:p w14:paraId="23B9F1A4"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85.541.854</w:t>
                </w:r>
              </w:p>
            </w:tc>
            <w:tc>
              <w:tcPr>
                <w:tcW w:w="1460" w:type="dxa"/>
                <w:shd w:val="clear" w:color="auto" w:fill="auto"/>
                <w:noWrap/>
                <w:vAlign w:val="center"/>
                <w:hideMark/>
              </w:tcPr>
              <w:p w14:paraId="2F77F88C"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85.541.854</w:t>
                </w:r>
              </w:p>
            </w:tc>
            <w:tc>
              <w:tcPr>
                <w:tcW w:w="1320" w:type="dxa"/>
                <w:shd w:val="clear" w:color="auto" w:fill="auto"/>
                <w:noWrap/>
                <w:vAlign w:val="center"/>
                <w:hideMark/>
              </w:tcPr>
              <w:p w14:paraId="2886CFC7"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4906DA1B" w14:textId="77777777" w:rsidTr="00510CE9">
            <w:trPr>
              <w:trHeight w:val="315"/>
            </w:trPr>
            <w:tc>
              <w:tcPr>
                <w:tcW w:w="4060" w:type="dxa"/>
                <w:shd w:val="clear" w:color="auto" w:fill="auto"/>
                <w:vAlign w:val="center"/>
                <w:hideMark/>
              </w:tcPr>
              <w:p w14:paraId="16E5E2A0" w14:textId="77777777"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VOPAK COLOMBIA S.A</w:t>
                </w:r>
              </w:p>
            </w:tc>
            <w:tc>
              <w:tcPr>
                <w:tcW w:w="1460" w:type="dxa"/>
                <w:shd w:val="clear" w:color="auto" w:fill="auto"/>
                <w:noWrap/>
                <w:vAlign w:val="center"/>
                <w:hideMark/>
              </w:tcPr>
              <w:p w14:paraId="0C33C4D5"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5.510.032.100</w:t>
                </w:r>
              </w:p>
            </w:tc>
            <w:tc>
              <w:tcPr>
                <w:tcW w:w="1460" w:type="dxa"/>
                <w:shd w:val="clear" w:color="auto" w:fill="auto"/>
                <w:noWrap/>
                <w:vAlign w:val="center"/>
                <w:hideMark/>
              </w:tcPr>
              <w:p w14:paraId="3912D567"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5.119.856.369</w:t>
                </w:r>
              </w:p>
            </w:tc>
            <w:tc>
              <w:tcPr>
                <w:tcW w:w="1320" w:type="dxa"/>
                <w:shd w:val="clear" w:color="auto" w:fill="auto"/>
                <w:noWrap/>
                <w:vAlign w:val="center"/>
                <w:hideMark/>
              </w:tcPr>
              <w:p w14:paraId="2291A8D6"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390.175.731</w:t>
                </w:r>
              </w:p>
            </w:tc>
          </w:tr>
          <w:tr w:rsidR="00AD6666" w:rsidRPr="00AD6666" w14:paraId="502205C1" w14:textId="77777777" w:rsidTr="00510CE9">
            <w:trPr>
              <w:trHeight w:val="315"/>
            </w:trPr>
            <w:tc>
              <w:tcPr>
                <w:tcW w:w="4060" w:type="dxa"/>
                <w:shd w:val="clear" w:color="auto" w:fill="auto"/>
                <w:vAlign w:val="center"/>
                <w:hideMark/>
              </w:tcPr>
              <w:p w14:paraId="26EA18C6"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Activos intangibles en concesión</w:t>
                </w:r>
              </w:p>
            </w:tc>
            <w:tc>
              <w:tcPr>
                <w:tcW w:w="1460" w:type="dxa"/>
                <w:shd w:val="clear" w:color="auto" w:fill="auto"/>
                <w:noWrap/>
                <w:vAlign w:val="center"/>
                <w:hideMark/>
              </w:tcPr>
              <w:p w14:paraId="7DC52B08"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35.139.740</w:t>
                </w:r>
              </w:p>
            </w:tc>
            <w:tc>
              <w:tcPr>
                <w:tcW w:w="1460" w:type="dxa"/>
                <w:shd w:val="clear" w:color="auto" w:fill="auto"/>
                <w:noWrap/>
                <w:vAlign w:val="center"/>
                <w:hideMark/>
              </w:tcPr>
              <w:p w14:paraId="1010E093"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35.139.740</w:t>
                </w:r>
              </w:p>
            </w:tc>
            <w:tc>
              <w:tcPr>
                <w:tcW w:w="1320" w:type="dxa"/>
                <w:shd w:val="clear" w:color="auto" w:fill="auto"/>
                <w:noWrap/>
                <w:vAlign w:val="center"/>
                <w:hideMark/>
              </w:tcPr>
              <w:p w14:paraId="728414E2"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0A3DFA8D" w14:textId="77777777" w:rsidTr="00510CE9">
            <w:trPr>
              <w:trHeight w:val="315"/>
            </w:trPr>
            <w:tc>
              <w:tcPr>
                <w:tcW w:w="4060" w:type="dxa"/>
                <w:shd w:val="clear" w:color="auto" w:fill="auto"/>
                <w:vAlign w:val="center"/>
                <w:hideMark/>
              </w:tcPr>
              <w:p w14:paraId="4443AD6E"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Propiedades, planta y equipo en concesión</w:t>
                </w:r>
              </w:p>
            </w:tc>
            <w:tc>
              <w:tcPr>
                <w:tcW w:w="1460" w:type="dxa"/>
                <w:shd w:val="clear" w:color="auto" w:fill="auto"/>
                <w:noWrap/>
                <w:vAlign w:val="center"/>
                <w:hideMark/>
              </w:tcPr>
              <w:p w14:paraId="73613983"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878.517.535</w:t>
                </w:r>
              </w:p>
            </w:tc>
            <w:tc>
              <w:tcPr>
                <w:tcW w:w="1460" w:type="dxa"/>
                <w:shd w:val="clear" w:color="auto" w:fill="auto"/>
                <w:noWrap/>
                <w:vAlign w:val="center"/>
                <w:hideMark/>
              </w:tcPr>
              <w:p w14:paraId="73E84DA6"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878.517.535</w:t>
                </w:r>
              </w:p>
            </w:tc>
            <w:tc>
              <w:tcPr>
                <w:tcW w:w="1320" w:type="dxa"/>
                <w:shd w:val="clear" w:color="auto" w:fill="auto"/>
                <w:noWrap/>
                <w:vAlign w:val="center"/>
                <w:hideMark/>
              </w:tcPr>
              <w:p w14:paraId="31F7CB46"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754A8B7F" w14:textId="77777777" w:rsidTr="00510CE9">
            <w:trPr>
              <w:trHeight w:val="315"/>
            </w:trPr>
            <w:tc>
              <w:tcPr>
                <w:tcW w:w="4060" w:type="dxa"/>
                <w:shd w:val="clear" w:color="auto" w:fill="auto"/>
                <w:vAlign w:val="center"/>
                <w:hideMark/>
              </w:tcPr>
              <w:p w14:paraId="06C19698"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construcción</w:t>
                </w:r>
              </w:p>
            </w:tc>
            <w:tc>
              <w:tcPr>
                <w:tcW w:w="1460" w:type="dxa"/>
                <w:shd w:val="clear" w:color="auto" w:fill="auto"/>
                <w:noWrap/>
                <w:vAlign w:val="center"/>
                <w:hideMark/>
              </w:tcPr>
              <w:p w14:paraId="4BBAEE81"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862.406.596</w:t>
                </w:r>
              </w:p>
            </w:tc>
            <w:tc>
              <w:tcPr>
                <w:tcW w:w="1460" w:type="dxa"/>
                <w:shd w:val="clear" w:color="auto" w:fill="auto"/>
                <w:noWrap/>
                <w:vAlign w:val="center"/>
                <w:hideMark/>
              </w:tcPr>
              <w:p w14:paraId="5D5CA7EC"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472.230.865</w:t>
                </w:r>
              </w:p>
            </w:tc>
            <w:tc>
              <w:tcPr>
                <w:tcW w:w="1320" w:type="dxa"/>
                <w:shd w:val="clear" w:color="auto" w:fill="auto"/>
                <w:noWrap/>
                <w:vAlign w:val="center"/>
                <w:hideMark/>
              </w:tcPr>
              <w:p w14:paraId="46A2F980"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390.175.731</w:t>
                </w:r>
              </w:p>
            </w:tc>
          </w:tr>
          <w:tr w:rsidR="00AD6666" w:rsidRPr="00AD6666" w14:paraId="664B9811" w14:textId="77777777" w:rsidTr="00510CE9">
            <w:trPr>
              <w:trHeight w:val="315"/>
            </w:trPr>
            <w:tc>
              <w:tcPr>
                <w:tcW w:w="4060" w:type="dxa"/>
                <w:shd w:val="clear" w:color="auto" w:fill="auto"/>
                <w:vAlign w:val="center"/>
                <w:hideMark/>
              </w:tcPr>
              <w:p w14:paraId="47D68BD6"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servicio</w:t>
                </w:r>
              </w:p>
            </w:tc>
            <w:tc>
              <w:tcPr>
                <w:tcW w:w="1460" w:type="dxa"/>
                <w:shd w:val="clear" w:color="auto" w:fill="auto"/>
                <w:noWrap/>
                <w:vAlign w:val="center"/>
                <w:hideMark/>
              </w:tcPr>
              <w:p w14:paraId="0CBF5E99"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3.733.968.229</w:t>
                </w:r>
              </w:p>
            </w:tc>
            <w:tc>
              <w:tcPr>
                <w:tcW w:w="1460" w:type="dxa"/>
                <w:shd w:val="clear" w:color="auto" w:fill="auto"/>
                <w:noWrap/>
                <w:vAlign w:val="center"/>
                <w:hideMark/>
              </w:tcPr>
              <w:p w14:paraId="249CBC7F"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3.733.968.229</w:t>
                </w:r>
              </w:p>
            </w:tc>
            <w:tc>
              <w:tcPr>
                <w:tcW w:w="1320" w:type="dxa"/>
                <w:shd w:val="clear" w:color="auto" w:fill="auto"/>
                <w:noWrap/>
                <w:vAlign w:val="center"/>
                <w:hideMark/>
              </w:tcPr>
              <w:p w14:paraId="2BF80E5C"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2FA4B843" w14:textId="77777777" w:rsidTr="00510CE9">
            <w:trPr>
              <w:trHeight w:val="315"/>
            </w:trPr>
            <w:tc>
              <w:tcPr>
                <w:tcW w:w="4060" w:type="dxa"/>
                <w:shd w:val="clear" w:color="auto" w:fill="auto"/>
                <w:vAlign w:val="center"/>
                <w:hideMark/>
              </w:tcPr>
              <w:p w14:paraId="7D15AA4D" w14:textId="77777777" w:rsidR="00AD6666" w:rsidRPr="00AD6666" w:rsidRDefault="00AD6666" w:rsidP="00AD6666">
                <w:pPr>
                  <w:spacing w:after="0" w:line="240" w:lineRule="auto"/>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ZONA FRANCA ARGOS S.A.S.</w:t>
                </w:r>
              </w:p>
            </w:tc>
            <w:tc>
              <w:tcPr>
                <w:tcW w:w="1460" w:type="dxa"/>
                <w:shd w:val="clear" w:color="auto" w:fill="auto"/>
                <w:noWrap/>
                <w:vAlign w:val="center"/>
                <w:hideMark/>
              </w:tcPr>
              <w:p w14:paraId="43333BEA"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152.139.128.099</w:t>
                </w:r>
              </w:p>
            </w:tc>
            <w:tc>
              <w:tcPr>
                <w:tcW w:w="1460" w:type="dxa"/>
                <w:shd w:val="clear" w:color="auto" w:fill="auto"/>
                <w:noWrap/>
                <w:vAlign w:val="center"/>
                <w:hideMark/>
              </w:tcPr>
              <w:p w14:paraId="1F8E683C"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93.716.726.147</w:t>
                </w:r>
              </w:p>
            </w:tc>
            <w:tc>
              <w:tcPr>
                <w:tcW w:w="1320" w:type="dxa"/>
                <w:shd w:val="clear" w:color="auto" w:fill="auto"/>
                <w:noWrap/>
                <w:vAlign w:val="center"/>
                <w:hideMark/>
              </w:tcPr>
              <w:p w14:paraId="354192AD" w14:textId="77777777" w:rsidR="00AD6666" w:rsidRPr="00AD6666" w:rsidRDefault="00AD6666" w:rsidP="00AD6666">
                <w:pPr>
                  <w:spacing w:after="0" w:line="240" w:lineRule="auto"/>
                  <w:jc w:val="right"/>
                  <w:rPr>
                    <w:rFonts w:ascii="Times New Roman" w:eastAsia="Times New Roman" w:hAnsi="Times New Roman"/>
                    <w:b/>
                    <w:bCs/>
                    <w:color w:val="000000"/>
                    <w:sz w:val="16"/>
                    <w:szCs w:val="16"/>
                    <w:lang w:eastAsia="es-CO"/>
                  </w:rPr>
                </w:pPr>
                <w:r w:rsidRPr="00AD6666">
                  <w:rPr>
                    <w:rFonts w:ascii="Times New Roman" w:eastAsia="Times New Roman" w:hAnsi="Times New Roman"/>
                    <w:b/>
                    <w:bCs/>
                    <w:color w:val="000000"/>
                    <w:sz w:val="16"/>
                    <w:szCs w:val="16"/>
                    <w:lang w:eastAsia="es-CO"/>
                  </w:rPr>
                  <w:t>58.422.401.952</w:t>
                </w:r>
              </w:p>
            </w:tc>
          </w:tr>
          <w:tr w:rsidR="00AD6666" w:rsidRPr="00AD6666" w14:paraId="57993471" w14:textId="77777777" w:rsidTr="00510CE9">
            <w:trPr>
              <w:trHeight w:val="315"/>
            </w:trPr>
            <w:tc>
              <w:tcPr>
                <w:tcW w:w="4060" w:type="dxa"/>
                <w:shd w:val="clear" w:color="auto" w:fill="auto"/>
                <w:vAlign w:val="center"/>
                <w:hideMark/>
              </w:tcPr>
              <w:p w14:paraId="5D3DABC5"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Activos intangibles en concesión</w:t>
                </w:r>
              </w:p>
            </w:tc>
            <w:tc>
              <w:tcPr>
                <w:tcW w:w="1460" w:type="dxa"/>
                <w:shd w:val="clear" w:color="auto" w:fill="auto"/>
                <w:noWrap/>
                <w:vAlign w:val="center"/>
                <w:hideMark/>
              </w:tcPr>
              <w:p w14:paraId="21F37EB5"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539.050.089</w:t>
                </w:r>
              </w:p>
            </w:tc>
            <w:tc>
              <w:tcPr>
                <w:tcW w:w="1460" w:type="dxa"/>
                <w:shd w:val="clear" w:color="auto" w:fill="auto"/>
                <w:noWrap/>
                <w:vAlign w:val="center"/>
                <w:hideMark/>
              </w:tcPr>
              <w:p w14:paraId="1550ACF0"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539.050.089</w:t>
                </w:r>
              </w:p>
            </w:tc>
            <w:tc>
              <w:tcPr>
                <w:tcW w:w="1320" w:type="dxa"/>
                <w:shd w:val="clear" w:color="auto" w:fill="auto"/>
                <w:noWrap/>
                <w:vAlign w:val="center"/>
                <w:hideMark/>
              </w:tcPr>
              <w:p w14:paraId="53073C18"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26709B06" w14:textId="77777777" w:rsidTr="00510CE9">
            <w:trPr>
              <w:trHeight w:val="315"/>
            </w:trPr>
            <w:tc>
              <w:tcPr>
                <w:tcW w:w="4060" w:type="dxa"/>
                <w:shd w:val="clear" w:color="auto" w:fill="auto"/>
                <w:vAlign w:val="center"/>
                <w:hideMark/>
              </w:tcPr>
              <w:p w14:paraId="2B7DB715"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Propiedades, planta y equipo en concesión</w:t>
                </w:r>
              </w:p>
            </w:tc>
            <w:tc>
              <w:tcPr>
                <w:tcW w:w="1460" w:type="dxa"/>
                <w:shd w:val="clear" w:color="auto" w:fill="auto"/>
                <w:noWrap/>
                <w:vAlign w:val="center"/>
                <w:hideMark/>
              </w:tcPr>
              <w:p w14:paraId="10E566EA"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21.802.473.340</w:t>
                </w:r>
              </w:p>
            </w:tc>
            <w:tc>
              <w:tcPr>
                <w:tcW w:w="1460" w:type="dxa"/>
                <w:shd w:val="clear" w:color="auto" w:fill="auto"/>
                <w:noWrap/>
                <w:vAlign w:val="center"/>
                <w:hideMark/>
              </w:tcPr>
              <w:p w14:paraId="4BA9E105"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21.802.473.340</w:t>
                </w:r>
              </w:p>
            </w:tc>
            <w:tc>
              <w:tcPr>
                <w:tcW w:w="1320" w:type="dxa"/>
                <w:shd w:val="clear" w:color="auto" w:fill="auto"/>
                <w:noWrap/>
                <w:vAlign w:val="center"/>
                <w:hideMark/>
              </w:tcPr>
              <w:p w14:paraId="4F2A57A1"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0</w:t>
                </w:r>
              </w:p>
            </w:tc>
          </w:tr>
          <w:tr w:rsidR="00AD6666" w:rsidRPr="00AD6666" w14:paraId="72B3C0A8" w14:textId="77777777" w:rsidTr="00510CE9">
            <w:trPr>
              <w:trHeight w:val="315"/>
            </w:trPr>
            <w:tc>
              <w:tcPr>
                <w:tcW w:w="4060" w:type="dxa"/>
                <w:shd w:val="clear" w:color="auto" w:fill="auto"/>
                <w:vAlign w:val="center"/>
                <w:hideMark/>
              </w:tcPr>
              <w:p w14:paraId="48F7FF5C"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construcción</w:t>
                </w:r>
              </w:p>
            </w:tc>
            <w:tc>
              <w:tcPr>
                <w:tcW w:w="1460" w:type="dxa"/>
                <w:shd w:val="clear" w:color="auto" w:fill="auto"/>
                <w:noWrap/>
                <w:vAlign w:val="center"/>
                <w:hideMark/>
              </w:tcPr>
              <w:p w14:paraId="6D0C3F84"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39.945.277.192</w:t>
                </w:r>
              </w:p>
            </w:tc>
            <w:tc>
              <w:tcPr>
                <w:tcW w:w="1460" w:type="dxa"/>
                <w:shd w:val="clear" w:color="auto" w:fill="auto"/>
                <w:noWrap/>
                <w:vAlign w:val="center"/>
                <w:hideMark/>
              </w:tcPr>
              <w:p w14:paraId="09ED95A8"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1.287.752.558</w:t>
                </w:r>
              </w:p>
            </w:tc>
            <w:tc>
              <w:tcPr>
                <w:tcW w:w="1320" w:type="dxa"/>
                <w:shd w:val="clear" w:color="auto" w:fill="auto"/>
                <w:noWrap/>
                <w:vAlign w:val="center"/>
                <w:hideMark/>
              </w:tcPr>
              <w:p w14:paraId="7A92F451"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38.657.524.634</w:t>
                </w:r>
              </w:p>
            </w:tc>
          </w:tr>
          <w:tr w:rsidR="00AD6666" w:rsidRPr="00AD6666" w14:paraId="56821B96" w14:textId="77777777" w:rsidTr="00510CE9">
            <w:trPr>
              <w:trHeight w:val="315"/>
            </w:trPr>
            <w:tc>
              <w:tcPr>
                <w:tcW w:w="4060" w:type="dxa"/>
                <w:shd w:val="clear" w:color="auto" w:fill="auto"/>
                <w:vAlign w:val="center"/>
                <w:hideMark/>
              </w:tcPr>
              <w:p w14:paraId="74F2E956" w14:textId="77777777" w:rsidR="00AD6666" w:rsidRPr="00AD6666" w:rsidRDefault="00AD6666" w:rsidP="00AD6666">
                <w:pPr>
                  <w:spacing w:after="0" w:line="240" w:lineRule="auto"/>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Red marítima en servicio</w:t>
                </w:r>
              </w:p>
            </w:tc>
            <w:tc>
              <w:tcPr>
                <w:tcW w:w="1460" w:type="dxa"/>
                <w:shd w:val="clear" w:color="auto" w:fill="auto"/>
                <w:noWrap/>
                <w:vAlign w:val="center"/>
                <w:hideMark/>
              </w:tcPr>
              <w:p w14:paraId="25EE6F45"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89.852.327.478</w:t>
                </w:r>
              </w:p>
            </w:tc>
            <w:tc>
              <w:tcPr>
                <w:tcW w:w="1460" w:type="dxa"/>
                <w:shd w:val="clear" w:color="auto" w:fill="auto"/>
                <w:noWrap/>
                <w:vAlign w:val="center"/>
                <w:hideMark/>
              </w:tcPr>
              <w:p w14:paraId="472F7A9D"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70.087.450.160</w:t>
                </w:r>
              </w:p>
            </w:tc>
            <w:tc>
              <w:tcPr>
                <w:tcW w:w="1320" w:type="dxa"/>
                <w:shd w:val="clear" w:color="auto" w:fill="auto"/>
                <w:noWrap/>
                <w:vAlign w:val="center"/>
                <w:hideMark/>
              </w:tcPr>
              <w:p w14:paraId="037FBCFE" w14:textId="77777777" w:rsidR="00AD6666" w:rsidRPr="00AD6666" w:rsidRDefault="00AD6666" w:rsidP="00AD6666">
                <w:pPr>
                  <w:spacing w:after="0" w:line="240" w:lineRule="auto"/>
                  <w:jc w:val="right"/>
                  <w:rPr>
                    <w:rFonts w:ascii="Times New Roman" w:eastAsia="Times New Roman" w:hAnsi="Times New Roman"/>
                    <w:color w:val="000000"/>
                    <w:sz w:val="16"/>
                    <w:szCs w:val="16"/>
                    <w:lang w:eastAsia="es-CO"/>
                  </w:rPr>
                </w:pPr>
                <w:r w:rsidRPr="00AD6666">
                  <w:rPr>
                    <w:rFonts w:ascii="Times New Roman" w:eastAsia="Times New Roman" w:hAnsi="Times New Roman"/>
                    <w:color w:val="000000"/>
                    <w:sz w:val="16"/>
                    <w:szCs w:val="16"/>
                    <w:lang w:eastAsia="es-CO"/>
                  </w:rPr>
                  <w:t>19.764.877.318</w:t>
                </w:r>
              </w:p>
            </w:tc>
          </w:tr>
        </w:tbl>
        <w:p w14:paraId="488DD2EB" w14:textId="350CB66F" w:rsidR="00274429" w:rsidRPr="00053D6D" w:rsidRDefault="00053D6D" w:rsidP="00274429">
          <w:pPr>
            <w:spacing w:line="259" w:lineRule="auto"/>
            <w:jc w:val="both"/>
            <w:rPr>
              <w:rFonts w:ascii="Times New Roman" w:hAnsi="Times New Roman"/>
              <w:bCs/>
              <w:sz w:val="14"/>
              <w:szCs w:val="14"/>
            </w:rPr>
          </w:pPr>
          <w:r w:rsidRPr="00053D6D">
            <w:rPr>
              <w:rFonts w:ascii="Times New Roman" w:hAnsi="Times New Roman"/>
              <w:bCs/>
              <w:sz w:val="14"/>
              <w:szCs w:val="14"/>
            </w:rPr>
            <w:t>Cifras en pesos</w:t>
          </w:r>
        </w:p>
        <w:p w14:paraId="79D37D00" w14:textId="77777777" w:rsidR="00274429" w:rsidRPr="009A46BB" w:rsidRDefault="00274429" w:rsidP="00274429">
          <w:pPr>
            <w:spacing w:line="259" w:lineRule="auto"/>
            <w:jc w:val="both"/>
            <w:rPr>
              <w:rFonts w:ascii="Times New Roman" w:hAnsi="Times New Roman"/>
              <w:b/>
            </w:rPr>
          </w:pPr>
        </w:p>
        <w:p w14:paraId="0EE7F571" w14:textId="03E16B06" w:rsidR="00274429" w:rsidRPr="009A46BB" w:rsidRDefault="00274429" w:rsidP="00274429">
          <w:pPr>
            <w:spacing w:line="259" w:lineRule="auto"/>
            <w:jc w:val="both"/>
            <w:rPr>
              <w:rFonts w:ascii="Times New Roman" w:hAnsi="Times New Roman"/>
              <w:b/>
            </w:rPr>
          </w:pPr>
          <w:r w:rsidRPr="009A46BB">
            <w:rPr>
              <w:rFonts w:ascii="Times New Roman" w:hAnsi="Times New Roman"/>
              <w:b/>
            </w:rPr>
            <w:t>COMPAÑÍA DE PUERTOS ASOCIADOS S.A. COMPAS S.A. – Terminal Cartagena</w:t>
          </w:r>
        </w:p>
        <w:p w14:paraId="73BF9AE8" w14:textId="77777777" w:rsidR="00274429" w:rsidRPr="009A46BB" w:rsidRDefault="00274429" w:rsidP="00274429">
          <w:pPr>
            <w:jc w:val="both"/>
            <w:rPr>
              <w:rFonts w:ascii="Times New Roman" w:hAnsi="Times New Roman"/>
              <w:b/>
            </w:rPr>
          </w:pPr>
          <w:r w:rsidRPr="009A46BB">
            <w:rPr>
              <w:rFonts w:ascii="Times New Roman" w:hAnsi="Times New Roman"/>
              <w:b/>
            </w:rPr>
            <w:t>a. Descripción del acuerdo</w:t>
          </w:r>
        </w:p>
        <w:p w14:paraId="4E1E0B85" w14:textId="67416370" w:rsidR="00274429" w:rsidRPr="009A46BB" w:rsidRDefault="00274429" w:rsidP="1897BB2E">
          <w:pPr>
            <w:spacing w:after="0"/>
            <w:jc w:val="both"/>
            <w:rPr>
              <w:rFonts w:ascii="Times New Roman" w:hAnsi="Times New Roman"/>
            </w:rPr>
          </w:pPr>
          <w:r w:rsidRPr="009A46BB">
            <w:rPr>
              <w:rFonts w:ascii="Times New Roman" w:hAnsi="Times New Roman"/>
              <w:b/>
            </w:rPr>
            <w:t>Número del acuerdo de concesión:</w:t>
          </w:r>
          <w:r w:rsidR="0015390D" w:rsidRPr="009A46BB">
            <w:rPr>
              <w:rFonts w:ascii="Times New Roman" w:hAnsi="Times New Roman"/>
              <w:b/>
            </w:rPr>
            <w:t xml:space="preserve"> </w:t>
          </w:r>
          <w:r w:rsidRPr="009A46BB">
            <w:rPr>
              <w:rFonts w:ascii="Times New Roman" w:hAnsi="Times New Roman"/>
            </w:rPr>
            <w:t>Contrato de Concesión Portuaria No. 001 de 1992.</w:t>
          </w:r>
        </w:p>
        <w:p w14:paraId="0AF9CB5F" w14:textId="096ADD7D" w:rsidR="00274429" w:rsidRPr="009A46BB" w:rsidRDefault="00274429" w:rsidP="1897BB2E">
          <w:pPr>
            <w:spacing w:after="0"/>
            <w:jc w:val="both"/>
            <w:rPr>
              <w:rFonts w:ascii="Times New Roman" w:hAnsi="Times New Roman"/>
            </w:rPr>
          </w:pPr>
          <w:r w:rsidRPr="009A46BB">
            <w:rPr>
              <w:rFonts w:ascii="Times New Roman" w:hAnsi="Times New Roman"/>
              <w:b/>
            </w:rPr>
            <w:t>Objeto / Descripción:</w:t>
          </w:r>
          <w:r w:rsidR="0015390D" w:rsidRPr="009A46BB">
            <w:rPr>
              <w:rFonts w:ascii="Times New Roman" w:hAnsi="Times New Roman"/>
              <w:b/>
            </w:rPr>
            <w:t xml:space="preserve"> </w:t>
          </w:r>
          <w:r w:rsidRPr="009A46BB">
            <w:rPr>
              <w:rFonts w:ascii="Times New Roman" w:hAnsi="Times New Roman"/>
            </w:rPr>
            <w:t>En virtud del Contrato de concesión y sus modificaciones, se permite al CONCESIONARIO ocupar y utilizar en forma temporal y exclusiva las playas, los terrenos de bajamar y zonas marinas accesorias a aquellas o éstos, para la construcción y operación de un puerto de servicio público, habilitado para el comercio exterior y para prestar servicio de carga general y contenedores en la ciudad de Cartagena, conforme lo establece la Cláusula Primera del Contrato</w:t>
          </w:r>
        </w:p>
        <w:p w14:paraId="73DC15E7" w14:textId="45C36230" w:rsidR="00274429" w:rsidRPr="009A46BB" w:rsidRDefault="00274429" w:rsidP="001F57C8">
          <w:pPr>
            <w:spacing w:after="0"/>
            <w:jc w:val="both"/>
            <w:rPr>
              <w:rFonts w:ascii="Times New Roman" w:hAnsi="Times New Roman"/>
            </w:rPr>
          </w:pPr>
          <w:r w:rsidRPr="009A46BB">
            <w:rPr>
              <w:rFonts w:ascii="Times New Roman" w:hAnsi="Times New Roman"/>
              <w:b/>
            </w:rPr>
            <w:t>Valor inicial:</w:t>
          </w:r>
          <w:r w:rsidR="0015390D" w:rsidRPr="009A46BB">
            <w:rPr>
              <w:rFonts w:ascii="Times New Roman" w:hAnsi="Times New Roman"/>
              <w:b/>
            </w:rPr>
            <w:t xml:space="preserve"> </w:t>
          </w:r>
          <w:r w:rsidRPr="009A46BB">
            <w:rPr>
              <w:rFonts w:ascii="Times New Roman" w:hAnsi="Times New Roman"/>
            </w:rPr>
            <w:t>USD 601.280 Cláusula Séptima/ Contrato No. 001 de 1992</w:t>
          </w:r>
        </w:p>
        <w:p w14:paraId="2B1F5A03" w14:textId="3F96CADA" w:rsidR="00274429" w:rsidRPr="009A46BB" w:rsidRDefault="00274429" w:rsidP="001F57C8">
          <w:pPr>
            <w:spacing w:after="0"/>
            <w:jc w:val="both"/>
            <w:rPr>
              <w:rFonts w:ascii="Times New Roman" w:hAnsi="Times New Roman"/>
            </w:rPr>
          </w:pPr>
          <w:r w:rsidRPr="009A46BB">
            <w:rPr>
              <w:rFonts w:ascii="Times New Roman" w:hAnsi="Times New Roman"/>
              <w:b/>
            </w:rPr>
            <w:t>Fecha de inicio:</w:t>
          </w:r>
          <w:r w:rsidR="0015390D" w:rsidRPr="009A46BB">
            <w:rPr>
              <w:rFonts w:ascii="Times New Roman" w:hAnsi="Times New Roman"/>
              <w:b/>
            </w:rPr>
            <w:t xml:space="preserve"> </w:t>
          </w:r>
          <w:r w:rsidRPr="009A46BB">
            <w:rPr>
              <w:rFonts w:ascii="Times New Roman" w:hAnsi="Times New Roman"/>
            </w:rPr>
            <w:t>8/07/1992</w:t>
          </w:r>
        </w:p>
        <w:p w14:paraId="0A97191A" w14:textId="3364FC45" w:rsidR="00274429" w:rsidRPr="009A46BB" w:rsidRDefault="00274429" w:rsidP="001F57C8">
          <w:pPr>
            <w:spacing w:after="0"/>
            <w:jc w:val="both"/>
            <w:rPr>
              <w:rFonts w:ascii="Times New Roman" w:hAnsi="Times New Roman"/>
            </w:rPr>
          </w:pPr>
          <w:r w:rsidRPr="009A46BB">
            <w:rPr>
              <w:rFonts w:ascii="Times New Roman" w:hAnsi="Times New Roman"/>
              <w:b/>
            </w:rPr>
            <w:t>Fecha de finalización estimada:</w:t>
          </w:r>
          <w:r w:rsidR="0015390D" w:rsidRPr="009A46BB">
            <w:rPr>
              <w:rFonts w:ascii="Times New Roman" w:hAnsi="Times New Roman"/>
              <w:b/>
            </w:rPr>
            <w:t xml:space="preserve"> </w:t>
          </w:r>
          <w:r w:rsidRPr="009A46BB">
            <w:rPr>
              <w:rFonts w:ascii="Times New Roman" w:hAnsi="Times New Roman"/>
            </w:rPr>
            <w:t>17/11/2032</w:t>
          </w:r>
        </w:p>
        <w:p w14:paraId="69D3DFF1" w14:textId="1CFC81FF" w:rsidR="00274429" w:rsidRPr="009A46BB" w:rsidRDefault="00274429" w:rsidP="001F57C8">
          <w:pPr>
            <w:spacing w:after="0"/>
            <w:jc w:val="both"/>
            <w:rPr>
              <w:rFonts w:ascii="Times New Roman" w:hAnsi="Times New Roman"/>
            </w:rPr>
          </w:pPr>
          <w:r w:rsidRPr="009A46BB">
            <w:rPr>
              <w:rFonts w:ascii="Times New Roman" w:hAnsi="Times New Roman"/>
              <w:b/>
            </w:rPr>
            <w:lastRenderedPageBreak/>
            <w:t>Tipo ID:</w:t>
          </w:r>
          <w:r w:rsidR="0015390D" w:rsidRPr="009A46BB">
            <w:rPr>
              <w:rFonts w:ascii="Times New Roman" w:hAnsi="Times New Roman"/>
              <w:b/>
            </w:rPr>
            <w:t xml:space="preserve"> </w:t>
          </w:r>
          <w:r w:rsidRPr="009A46BB">
            <w:rPr>
              <w:rFonts w:ascii="Times New Roman" w:hAnsi="Times New Roman"/>
            </w:rPr>
            <w:t>NIT</w:t>
          </w:r>
        </w:p>
        <w:p w14:paraId="27A5FC4F" w14:textId="51017E5B" w:rsidR="00274429" w:rsidRPr="009A46BB" w:rsidRDefault="00274429" w:rsidP="001F57C8">
          <w:pPr>
            <w:spacing w:after="0"/>
            <w:jc w:val="both"/>
            <w:rPr>
              <w:rFonts w:ascii="Times New Roman" w:hAnsi="Times New Roman"/>
            </w:rPr>
          </w:pPr>
          <w:r w:rsidRPr="009A46BB">
            <w:rPr>
              <w:rFonts w:ascii="Times New Roman" w:hAnsi="Times New Roman"/>
              <w:b/>
            </w:rPr>
            <w:t>Número ID:</w:t>
          </w:r>
          <w:r w:rsidR="0015390D" w:rsidRPr="009A46BB">
            <w:rPr>
              <w:rFonts w:ascii="Times New Roman" w:hAnsi="Times New Roman"/>
              <w:b/>
            </w:rPr>
            <w:t xml:space="preserve"> </w:t>
          </w:r>
          <w:r w:rsidRPr="009A46BB">
            <w:rPr>
              <w:rFonts w:ascii="Times New Roman" w:hAnsi="Times New Roman"/>
            </w:rPr>
            <w:t>800156044 - 6</w:t>
          </w:r>
        </w:p>
        <w:p w14:paraId="49CCC5E7" w14:textId="131D4E64" w:rsidR="00274429" w:rsidRPr="009A46BB" w:rsidRDefault="00274429" w:rsidP="001F57C8">
          <w:pPr>
            <w:spacing w:after="0"/>
            <w:jc w:val="both"/>
            <w:rPr>
              <w:rFonts w:ascii="Times New Roman" w:hAnsi="Times New Roman"/>
            </w:rPr>
          </w:pPr>
          <w:r w:rsidRPr="009A46BB">
            <w:rPr>
              <w:rFonts w:ascii="Times New Roman" w:hAnsi="Times New Roman"/>
              <w:b/>
            </w:rPr>
            <w:t>Razón social del concesionario:</w:t>
          </w:r>
          <w:r w:rsidR="0015390D" w:rsidRPr="009A46BB">
            <w:rPr>
              <w:rFonts w:ascii="Times New Roman" w:hAnsi="Times New Roman"/>
              <w:b/>
            </w:rPr>
            <w:t xml:space="preserve"> </w:t>
          </w:r>
          <w:r w:rsidRPr="009A46BB">
            <w:rPr>
              <w:rFonts w:ascii="Times New Roman" w:hAnsi="Times New Roman"/>
            </w:rPr>
            <w:t>COMPAÑÍA DE PUERTOS ASOCIADOS S.A. COMPAS S.A.</w:t>
          </w:r>
        </w:p>
        <w:p w14:paraId="77DA95B5" w14:textId="77777777" w:rsidR="00884CAA" w:rsidRPr="009A46BB" w:rsidRDefault="00274429" w:rsidP="001F57C8">
          <w:pPr>
            <w:spacing w:after="0"/>
            <w:jc w:val="both"/>
            <w:rPr>
              <w:rFonts w:ascii="Times New Roman" w:hAnsi="Times New Roman"/>
            </w:rPr>
          </w:pPr>
          <w:r w:rsidRPr="009A46BB">
            <w:rPr>
              <w:rFonts w:ascii="Times New Roman" w:hAnsi="Times New Roman"/>
              <w:b/>
            </w:rPr>
            <w:t>Nombre del proyecto:</w:t>
          </w:r>
          <w:r w:rsidR="0015390D" w:rsidRPr="009A46BB">
            <w:rPr>
              <w:rFonts w:ascii="Times New Roman" w:hAnsi="Times New Roman"/>
              <w:b/>
            </w:rPr>
            <w:t xml:space="preserve"> </w:t>
          </w:r>
          <w:r w:rsidRPr="009A46BB">
            <w:rPr>
              <w:rFonts w:ascii="Times New Roman" w:hAnsi="Times New Roman"/>
            </w:rPr>
            <w:t xml:space="preserve">COMPAÑÍA DE PUERTOS ASOCIADOS S.A. COMPAS S.A. – Terminal Cartagena. </w:t>
          </w:r>
        </w:p>
        <w:p w14:paraId="39FA7B6A" w14:textId="77777777" w:rsidR="00884CAA" w:rsidRDefault="00884CAA" w:rsidP="00884CAA">
          <w:pPr>
            <w:spacing w:line="259" w:lineRule="auto"/>
            <w:rPr>
              <w:rFonts w:ascii="Times New Roman" w:hAnsi="Times New Roman"/>
              <w:b/>
              <w:sz w:val="24"/>
              <w:szCs w:val="24"/>
              <w:lang w:val="es-MX"/>
            </w:rPr>
          </w:pPr>
        </w:p>
        <w:p w14:paraId="5B8B775F" w14:textId="513D5BE0" w:rsidR="00884CAA" w:rsidRPr="00884CAA" w:rsidRDefault="00884CAA" w:rsidP="00884CAA">
          <w:pPr>
            <w:spacing w:line="259" w:lineRule="auto"/>
            <w:rPr>
              <w:rFonts w:ascii="Times New Roman" w:hAnsi="Times New Roman"/>
              <w:b/>
              <w:sz w:val="24"/>
              <w:szCs w:val="24"/>
              <w:lang w:val="es-MX"/>
            </w:rPr>
          </w:pPr>
          <w:r>
            <w:rPr>
              <w:rFonts w:ascii="Times New Roman" w:hAnsi="Times New Roman"/>
              <w:b/>
              <w:sz w:val="24"/>
              <w:szCs w:val="24"/>
              <w:lang w:val="es-MX"/>
            </w:rPr>
            <w:t xml:space="preserve">b. </w:t>
          </w:r>
          <w:r w:rsidRPr="00884CAA">
            <w:rPr>
              <w:rFonts w:ascii="Times New Roman" w:hAnsi="Times New Roman"/>
              <w:b/>
              <w:sz w:val="24"/>
              <w:szCs w:val="24"/>
              <w:lang w:val="es-MX"/>
            </w:rPr>
            <w:t>Términos significativos del acuerdo que puedan afectar su valor, el calendario y la certeza de los flujos</w:t>
          </w:r>
        </w:p>
        <w:p w14:paraId="0F5E0D93" w14:textId="4D870F0B" w:rsidR="00274429" w:rsidRPr="009A46BB" w:rsidRDefault="00274429" w:rsidP="00274429">
          <w:pPr>
            <w:jc w:val="both"/>
            <w:rPr>
              <w:rFonts w:ascii="Times New Roman" w:hAnsi="Times New Roman"/>
              <w:b/>
            </w:rPr>
          </w:pPr>
          <w:r w:rsidRPr="009A46BB">
            <w:rPr>
              <w:rFonts w:ascii="Times New Roman" w:hAnsi="Times New Roman"/>
              <w:b/>
            </w:rPr>
            <w:t>Términos de valor:</w:t>
          </w:r>
        </w:p>
        <w:p w14:paraId="263B893C" w14:textId="77777777" w:rsidR="00274429" w:rsidRPr="009A46BB" w:rsidRDefault="00274429" w:rsidP="00274429">
          <w:pPr>
            <w:jc w:val="both"/>
            <w:rPr>
              <w:rFonts w:ascii="Times New Roman" w:hAnsi="Times New Roman"/>
            </w:rPr>
          </w:pPr>
          <w:r w:rsidRPr="009A46BB">
            <w:rPr>
              <w:rFonts w:ascii="Times New Roman" w:hAnsi="Times New Roman"/>
              <w:b/>
            </w:rPr>
            <w:t>1.</w:t>
          </w:r>
          <w:r w:rsidRPr="009A46BB">
            <w:rPr>
              <w:rFonts w:ascii="Times New Roman" w:hAnsi="Times New Roman"/>
            </w:rPr>
            <w:t xml:space="preserve"> Tarifas: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w:t>
          </w:r>
        </w:p>
        <w:p w14:paraId="550C8B8D" w14:textId="77777777" w:rsidR="00274429" w:rsidRPr="009A46BB" w:rsidRDefault="00274429" w:rsidP="00274429">
          <w:pPr>
            <w:jc w:val="both"/>
            <w:rPr>
              <w:rFonts w:ascii="Times New Roman" w:hAnsi="Times New Roman"/>
            </w:rPr>
          </w:pPr>
          <w:r w:rsidRPr="009A46BB">
            <w:rPr>
              <w:rFonts w:ascii="Times New Roman" w:hAnsi="Times New Roman"/>
              <w:b/>
            </w:rPr>
            <w:t>2.</w:t>
          </w:r>
          <w:r w:rsidRPr="009A46BB">
            <w:rPr>
              <w:rFonts w:ascii="Times New Roman" w:hAnsi="Times New Roman"/>
            </w:rPr>
            <w:t xml:space="preserve"> Contraprestación portuaria: De acuerdo con el último documento contractual vigente la metodología de contraprestación vigente es CONPES 2680 DE 1993 (Productividad). Se establece en la cláusula cuarta del Otrosí No. 10 del 2006 que el CONCESIONARIO deberá pagar por concepto de zona de uso público la suma anual de (USD 236.815,30), de dicho pago el 80% le corresponde a la Nación Instituto nacional de vías (INVIAS) y el 20% restante al distrito de Cartagena de acuerdo con lo establecido en el parágrafo 1 del artículo 1 de la ley 856 del 21 de diciembre de 2003, que modifica el artículo 7 de la ley 1ª de 1991. Así mismo, por concepto de infraestructura el CONCESIONARIO deberá pagar la suma anual de (USD 144.951), el cual corresponde en un 100% a la Nación - Instituto Nacional de Vías (INVIAS) de acuerdo con lo establecido en el artículo 1 de la ley 856 del 21 diciembre de 2003.</w:t>
          </w:r>
        </w:p>
        <w:p w14:paraId="5D52885F" w14:textId="77777777" w:rsidR="00274429" w:rsidRPr="009A46BB" w:rsidRDefault="00274429" w:rsidP="00274429">
          <w:pPr>
            <w:jc w:val="both"/>
            <w:rPr>
              <w:rFonts w:ascii="Times New Roman" w:hAnsi="Times New Roman"/>
            </w:rPr>
          </w:pPr>
          <w:r w:rsidRPr="009A46BB">
            <w:rPr>
              <w:rFonts w:ascii="Times New Roman" w:hAnsi="Times New Roman"/>
              <w:b/>
            </w:rPr>
            <w:t>3.</w:t>
          </w:r>
          <w:r w:rsidRPr="009A46BB">
            <w:rPr>
              <w:rFonts w:ascii="Times New Roman" w:hAnsi="Times New Roman"/>
            </w:rPr>
            <w:t xml:space="preserve"> Plan de Inversiones: está establecido en la cláusula séptima del contrato, modificado por el Otrosí No.10 de 2006 que estableció en la cláusula primera, el plan de inversión será de USD $20.547.504,12 en valor presente.</w:t>
          </w:r>
        </w:p>
        <w:p w14:paraId="424690C9" w14:textId="77777777" w:rsidR="00274429" w:rsidRPr="009A46BB" w:rsidRDefault="00274429" w:rsidP="00274429">
          <w:pPr>
            <w:jc w:val="both"/>
            <w:rPr>
              <w:rFonts w:ascii="Times New Roman" w:hAnsi="Times New Roman"/>
            </w:rPr>
          </w:pPr>
          <w:r w:rsidRPr="009A46BB">
            <w:rPr>
              <w:rFonts w:ascii="Times New Roman" w:hAnsi="Times New Roman"/>
              <w:b/>
            </w:rPr>
            <w:t>4.</w:t>
          </w:r>
          <w:r w:rsidRPr="009A46BB">
            <w:rPr>
              <w:rFonts w:ascii="Times New Roman" w:hAnsi="Times New Roman"/>
            </w:rPr>
            <w:t xml:space="preserve"> Obligaciones del CONCESIONARIO: se encuentran descritas en la cláusula octava</w:t>
          </w:r>
        </w:p>
        <w:p w14:paraId="282D348E" w14:textId="77777777" w:rsidR="00274429" w:rsidRPr="009A46BB" w:rsidRDefault="00274429" w:rsidP="00274429">
          <w:pPr>
            <w:jc w:val="both"/>
            <w:rPr>
              <w:rFonts w:ascii="Times New Roman" w:hAnsi="Times New Roman"/>
            </w:rPr>
          </w:pPr>
          <w:r w:rsidRPr="009A46BB">
            <w:rPr>
              <w:rFonts w:ascii="Times New Roman" w:hAnsi="Times New Roman"/>
              <w:b/>
            </w:rPr>
            <w:t>5.</w:t>
          </w:r>
          <w:r w:rsidRPr="009A46BB">
            <w:rPr>
              <w:rFonts w:ascii="Times New Roman" w:hAnsi="Times New Roman"/>
            </w:rPr>
            <w:t xml:space="preserve"> Multas y sanciones: están establecidas en la cláusula décima.</w:t>
          </w:r>
        </w:p>
        <w:p w14:paraId="6945F4A4" w14:textId="77777777" w:rsidR="00274429" w:rsidRPr="009A46BB" w:rsidRDefault="00274429" w:rsidP="00274429">
          <w:pPr>
            <w:jc w:val="both"/>
            <w:rPr>
              <w:rFonts w:ascii="Times New Roman" w:hAnsi="Times New Roman"/>
            </w:rPr>
          </w:pPr>
          <w:r w:rsidRPr="009A46BB">
            <w:rPr>
              <w:rFonts w:ascii="Times New Roman" w:hAnsi="Times New Roman"/>
              <w:b/>
            </w:rPr>
            <w:t>6.</w:t>
          </w:r>
          <w:r w:rsidRPr="009A46BB">
            <w:rPr>
              <w:rFonts w:ascii="Times New Roman" w:hAnsi="Times New Roman"/>
            </w:rPr>
            <w:t xml:space="preserve"> Penal pecuniario: En la cláusula décima primera se establece que en el evento que se declare caducidad o el incumplimiento del contrato, el Concesionario deberá pagar la suma del 10% del valor total de la contraprestación.</w:t>
          </w:r>
        </w:p>
        <w:p w14:paraId="3BC7153D" w14:textId="77777777" w:rsidR="00274429" w:rsidRPr="009A46BB" w:rsidRDefault="00274429" w:rsidP="00274429">
          <w:pPr>
            <w:jc w:val="both"/>
            <w:rPr>
              <w:rFonts w:ascii="Times New Roman" w:hAnsi="Times New Roman"/>
            </w:rPr>
          </w:pPr>
          <w:r w:rsidRPr="009A46BB">
            <w:rPr>
              <w:rFonts w:ascii="Times New Roman" w:hAnsi="Times New Roman"/>
              <w:b/>
            </w:rPr>
            <w:t>7.</w:t>
          </w:r>
          <w:r w:rsidRPr="009A46BB">
            <w:rPr>
              <w:rFonts w:ascii="Times New Roman" w:hAnsi="Times New Roman"/>
            </w:rPr>
            <w:t xml:space="preserve"> Riesgos: en el Contrato de Concesión No. 001 de 1992 no se estableció cláusula de riesgos.</w:t>
          </w:r>
        </w:p>
        <w:p w14:paraId="5F86A0F2" w14:textId="77777777" w:rsidR="00274429" w:rsidRPr="009A46BB" w:rsidRDefault="00274429" w:rsidP="00274429">
          <w:pPr>
            <w:jc w:val="both"/>
            <w:rPr>
              <w:rFonts w:ascii="Times New Roman" w:hAnsi="Times New Roman"/>
              <w:b/>
            </w:rPr>
          </w:pPr>
          <w:r w:rsidRPr="009A46BB">
            <w:rPr>
              <w:rFonts w:ascii="Times New Roman" w:hAnsi="Times New Roman"/>
              <w:b/>
            </w:rPr>
            <w:t>Términos de calendario:</w:t>
          </w:r>
        </w:p>
        <w:p w14:paraId="4AD9514F" w14:textId="77777777" w:rsidR="00274429" w:rsidRPr="009A46BB" w:rsidRDefault="00274429" w:rsidP="00274429">
          <w:pPr>
            <w:jc w:val="both"/>
            <w:rPr>
              <w:rFonts w:ascii="Times New Roman" w:hAnsi="Times New Roman"/>
            </w:rPr>
          </w:pPr>
          <w:r w:rsidRPr="009A46BB">
            <w:rPr>
              <w:rFonts w:ascii="Times New Roman" w:hAnsi="Times New Roman"/>
              <w:b/>
            </w:rPr>
            <w:t>1.</w:t>
          </w:r>
          <w:r w:rsidRPr="009A46BB">
            <w:rPr>
              <w:rFonts w:ascii="Times New Roman" w:hAnsi="Times New Roman"/>
            </w:rPr>
            <w:t xml:space="preserve"> Tarifas: Aprobadas según la metodología establecida por la Superintendencia General de Puertos hoy Superintendencia de Transporte.</w:t>
          </w:r>
        </w:p>
        <w:p w14:paraId="0E112509" w14:textId="77777777" w:rsidR="00274429" w:rsidRPr="009A46BB" w:rsidRDefault="00274429" w:rsidP="00274429">
          <w:pPr>
            <w:jc w:val="both"/>
            <w:rPr>
              <w:rFonts w:ascii="Times New Roman" w:hAnsi="Times New Roman"/>
            </w:rPr>
          </w:pPr>
          <w:r w:rsidRPr="009A46BB">
            <w:rPr>
              <w:rFonts w:ascii="Times New Roman" w:hAnsi="Times New Roman"/>
              <w:b/>
            </w:rPr>
            <w:t>2.</w:t>
          </w:r>
          <w:r w:rsidRPr="009A46BB">
            <w:rPr>
              <w:rFonts w:ascii="Times New Roman" w:hAnsi="Times New Roman"/>
            </w:rPr>
            <w:t xml:space="preserve"> Contraprestación portuaria: la contraprestación se debe pagar de manera anual anticipada desde el mes de noviembre de cada año</w:t>
          </w:r>
        </w:p>
        <w:p w14:paraId="42C67BDF" w14:textId="77777777" w:rsidR="00274429" w:rsidRPr="009A46BB" w:rsidRDefault="00274429" w:rsidP="00274429">
          <w:pPr>
            <w:jc w:val="both"/>
            <w:rPr>
              <w:rFonts w:ascii="Times New Roman" w:hAnsi="Times New Roman"/>
            </w:rPr>
          </w:pPr>
          <w:r w:rsidRPr="009A46BB">
            <w:rPr>
              <w:rFonts w:ascii="Times New Roman" w:hAnsi="Times New Roman"/>
              <w:b/>
            </w:rPr>
            <w:t>3.</w:t>
          </w:r>
          <w:r w:rsidRPr="009A46BB">
            <w:rPr>
              <w:rFonts w:ascii="Times New Roman" w:hAnsi="Times New Roman"/>
            </w:rPr>
            <w:t xml:space="preserve"> Plan de inversiones: Se estableció en la cláusula primera del otrosí 10 de 2006 ejecución de inversiones en el periodo de tiempo comprendido entre el año 2006 a 2030.</w:t>
          </w:r>
        </w:p>
        <w:p w14:paraId="538AFD4A" w14:textId="77777777" w:rsidR="00274429" w:rsidRPr="009A46BB" w:rsidRDefault="00274429" w:rsidP="00274429">
          <w:pPr>
            <w:jc w:val="both"/>
            <w:rPr>
              <w:rFonts w:ascii="Times New Roman" w:hAnsi="Times New Roman"/>
            </w:rPr>
          </w:pPr>
          <w:r w:rsidRPr="009A46BB">
            <w:rPr>
              <w:rFonts w:ascii="Times New Roman" w:hAnsi="Times New Roman"/>
              <w:b/>
            </w:rPr>
            <w:lastRenderedPageBreak/>
            <w:t>4.</w:t>
          </w:r>
          <w:r w:rsidRPr="009A46BB">
            <w:rPr>
              <w:rFonts w:ascii="Times New Roman" w:hAnsi="Times New Roman"/>
            </w:rPr>
            <w:t xml:space="preserve"> Multas: están establecidas en la cláusula décima.</w:t>
          </w:r>
        </w:p>
        <w:p w14:paraId="1623F393" w14:textId="77777777" w:rsidR="00274429" w:rsidRPr="009A46BB" w:rsidRDefault="00274429" w:rsidP="00274429">
          <w:pPr>
            <w:jc w:val="both"/>
            <w:rPr>
              <w:rFonts w:ascii="Times New Roman" w:hAnsi="Times New Roman"/>
              <w:b/>
            </w:rPr>
          </w:pPr>
          <w:r w:rsidRPr="009A46BB">
            <w:rPr>
              <w:rFonts w:ascii="Times New Roman" w:hAnsi="Times New Roman"/>
              <w:b/>
            </w:rPr>
            <w:t>Términos de certeza de flujos de efectivo futuros:</w:t>
          </w:r>
        </w:p>
        <w:p w14:paraId="7C441342" w14:textId="77777777" w:rsidR="00274429" w:rsidRPr="009A46BB" w:rsidRDefault="00274429" w:rsidP="00274429">
          <w:pPr>
            <w:jc w:val="both"/>
            <w:rPr>
              <w:rFonts w:ascii="Times New Roman" w:hAnsi="Times New Roman"/>
            </w:rPr>
          </w:pPr>
          <w:r w:rsidRPr="009A46BB">
            <w:rPr>
              <w:rFonts w:ascii="Times New Roman" w:hAnsi="Times New Roman"/>
            </w:rPr>
            <w:t>Se permite al CONCESIONARIO ocupar y utilizar en forma temporal y exclusiva las playas, los terrenos de bajamar y zonas marinas accesorias a aquellas o éstos, para la construcción y operación de un puerto de servicio público, habilitado para el comercio exterior y para prestar servicio de carga general y contenedores, conforme lo establece la Cláusula Primera del Contrato.</w:t>
          </w:r>
        </w:p>
        <w:p w14:paraId="5AA3C868" w14:textId="77777777" w:rsidR="00274429" w:rsidRPr="009A46BB" w:rsidRDefault="00274429" w:rsidP="00274429">
          <w:pPr>
            <w:jc w:val="both"/>
            <w:rPr>
              <w:rFonts w:ascii="Times New Roman" w:hAnsi="Times New Roman"/>
            </w:rPr>
          </w:pPr>
          <w:r w:rsidRPr="009A46BB">
            <w:rPr>
              <w:rFonts w:ascii="Times New Roman" w:hAnsi="Times New Roman"/>
            </w:rPr>
            <w:t>Cláusula Cuarta, numeral 4.2. Otrosí No. 9 de 2005. Del valor a pagar por concepto de contraprestación por Zona de Uso público el 80% le corresponde a la Nación-INVIAS y el 20 % al Distrito turístico de Cartagena de Indias y por Infraestructura el 100% a la Nación-INVIAS.</w:t>
          </w:r>
        </w:p>
        <w:p w14:paraId="7A9A7BC6" w14:textId="77777777" w:rsidR="00274429" w:rsidRPr="009A46BB" w:rsidRDefault="00274429" w:rsidP="00274429">
          <w:pPr>
            <w:jc w:val="both"/>
            <w:rPr>
              <w:rFonts w:ascii="Times New Roman" w:hAnsi="Times New Roman"/>
              <w:b/>
            </w:rPr>
          </w:pPr>
          <w:r w:rsidRPr="009A46BB">
            <w:rPr>
              <w:rFonts w:ascii="Times New Roman" w:hAnsi="Times New Roman"/>
              <w:b/>
            </w:rPr>
            <w:t>Términos de certeza de flujos de efectivo futuros:</w:t>
          </w:r>
        </w:p>
        <w:p w14:paraId="138B5FC8" w14:textId="77777777" w:rsidR="00274429" w:rsidRPr="009A46BB" w:rsidRDefault="00274429" w:rsidP="00274429">
          <w:pPr>
            <w:jc w:val="both"/>
            <w:rPr>
              <w:rFonts w:ascii="Times New Roman" w:hAnsi="Times New Roman"/>
            </w:rPr>
          </w:pPr>
          <w:r w:rsidRPr="009A46BB">
            <w:rPr>
              <w:rFonts w:ascii="Times New Roman" w:hAnsi="Times New Roman"/>
            </w:rPr>
            <w:t>Se permite al CONCESIONARIO ocupar y utilizar en forma temporal y exclusiva las playas, los terrenos de bajamar y zonas marinas accesorias a aquellas o éstos, para la construcción y operación de un puerto de servicio público, habilitado para el comercio exterior y para prestar servicio de carga general y contenedores, conforme lo establece la Cláusula Primera del Contrato.</w:t>
          </w:r>
        </w:p>
        <w:p w14:paraId="324B2FD0" w14:textId="0F5C8B8D" w:rsidR="00DD39FE" w:rsidRPr="009A46BB" w:rsidRDefault="00274429" w:rsidP="00274429">
          <w:pPr>
            <w:jc w:val="both"/>
            <w:rPr>
              <w:rFonts w:ascii="Times New Roman" w:hAnsi="Times New Roman"/>
            </w:rPr>
          </w:pPr>
          <w:r w:rsidRPr="009A46BB">
            <w:rPr>
              <w:rFonts w:ascii="Times New Roman" w:hAnsi="Times New Roman"/>
            </w:rPr>
            <w:t>Cláusula Cuarta, numeral 4.2. Otrosí No. 9 de 2005. Del valor a pagar por concepto de contraprestación por Zona de Uso público el 80% le corresponde a la Nación-INVIAS y el 20 % al Distrito turístico de Cartagena de Indias y por Infraestructura el 100% a la Nación-INVIAS. c. Naturaleza y alcance del derecho a utilizar activos especificados, de los aspectos pactados en torno a lo que se espera que el concesionario proporcione en relación con el acuerdo de concesión (Se requiere ser breves, precisos, y concisos en la redacción)</w:t>
          </w:r>
          <w:r w:rsidR="00DD39FE" w:rsidRPr="009A46BB">
            <w:rPr>
              <w:rFonts w:ascii="Times New Roman" w:hAnsi="Times New Roman"/>
            </w:rPr>
            <w:t>.</w:t>
          </w:r>
        </w:p>
        <w:p w14:paraId="359AF0A6" w14:textId="439D13F1" w:rsidR="00DD39FE" w:rsidRPr="00DD39FE" w:rsidRDefault="00DD39FE" w:rsidP="00DD39FE">
          <w:pPr>
            <w:spacing w:line="259" w:lineRule="auto"/>
            <w:jc w:val="both"/>
            <w:rPr>
              <w:rFonts w:ascii="Times New Roman" w:hAnsi="Times New Roman"/>
              <w:b/>
              <w:sz w:val="24"/>
              <w:szCs w:val="24"/>
              <w:lang w:val="es-MX"/>
            </w:rPr>
          </w:pPr>
          <w:r>
            <w:rPr>
              <w:rFonts w:ascii="Times New Roman" w:hAnsi="Times New Roman"/>
              <w:b/>
              <w:sz w:val="24"/>
              <w:szCs w:val="24"/>
              <w:lang w:val="es-MX"/>
            </w:rPr>
            <w:t xml:space="preserve">c. </w:t>
          </w:r>
          <w:r w:rsidRPr="00DD39FE">
            <w:rPr>
              <w:rFonts w:ascii="Times New Roman" w:hAnsi="Times New Roman"/>
              <w:b/>
              <w:sz w:val="24"/>
              <w:szCs w:val="24"/>
              <w:lang w:val="es-MX"/>
            </w:rPr>
            <w:t>Naturaleza y alcance del derecho a utilizar activos especificados, de los aspectos pactados en torno a lo que se espera que el concesionario proporcione en relación con el acuerdo de concesión</w:t>
          </w:r>
        </w:p>
        <w:p w14:paraId="465BFBDC" w14:textId="77777777" w:rsidR="00DD39FE" w:rsidRPr="009A46BB" w:rsidRDefault="00DD39FE" w:rsidP="00274429">
          <w:pPr>
            <w:jc w:val="both"/>
            <w:rPr>
              <w:rFonts w:ascii="Times New Roman" w:hAnsi="Times New Roman"/>
              <w:b/>
              <w:lang w:val="es-MX"/>
            </w:rPr>
          </w:pPr>
        </w:p>
        <w:p w14:paraId="6DF5B9A9" w14:textId="73CACE5F" w:rsidR="00274429" w:rsidRPr="009A46BB" w:rsidRDefault="00274429" w:rsidP="00274429">
          <w:pPr>
            <w:jc w:val="both"/>
            <w:rPr>
              <w:rFonts w:ascii="Times New Roman" w:hAnsi="Times New Roman"/>
              <w:b/>
            </w:rPr>
          </w:pPr>
          <w:r w:rsidRPr="009A46BB">
            <w:rPr>
              <w:rFonts w:ascii="Times New Roman" w:hAnsi="Times New Roman"/>
              <w:b/>
            </w:rPr>
            <w:t>Naturaleza y alcance del derecho de uso de los activos</w:t>
          </w:r>
        </w:p>
        <w:p w14:paraId="6A44DC9C" w14:textId="085797F9" w:rsidR="00274429" w:rsidRPr="009A46BB" w:rsidRDefault="00274429" w:rsidP="00274429">
          <w:pPr>
            <w:jc w:val="both"/>
            <w:rPr>
              <w:rFonts w:ascii="Times New Roman" w:hAnsi="Times New Roman"/>
            </w:rPr>
          </w:pPr>
          <w:r w:rsidRPr="009A46BB">
            <w:rPr>
              <w:rFonts w:ascii="Times New Roman" w:hAnsi="Times New Roman"/>
              <w:b/>
            </w:rPr>
            <w:t>Descripción:</w:t>
          </w:r>
          <w:r w:rsidR="001034E8" w:rsidRPr="009A46BB">
            <w:rPr>
              <w:rFonts w:ascii="Times New Roman" w:hAnsi="Times New Roman"/>
              <w:b/>
            </w:rPr>
            <w:t xml:space="preserve"> </w:t>
          </w:r>
          <w:r w:rsidRPr="009A46BB">
            <w:rPr>
              <w:rFonts w:ascii="Times New Roman" w:hAnsi="Times New Roman"/>
            </w:rPr>
            <w:t>Descripción del proyecto, especificaciones técnicas, modalidades de operación: las condiciones especiales de operación del puerto están establecidas en la cláusula tercera del Contrato de Concesión</w:t>
          </w:r>
        </w:p>
        <w:p w14:paraId="6ED036EB" w14:textId="77777777" w:rsidR="00274429" w:rsidRPr="009A46BB" w:rsidRDefault="00274429" w:rsidP="00274429">
          <w:pPr>
            <w:jc w:val="both"/>
            <w:rPr>
              <w:rFonts w:ascii="Times New Roman" w:hAnsi="Times New Roman"/>
            </w:rPr>
          </w:pPr>
          <w:r w:rsidRPr="009A46BB">
            <w:rPr>
              <w:rFonts w:ascii="Times New Roman" w:hAnsi="Times New Roman"/>
            </w:rPr>
            <w:t>Área entregada en concesión: La descripción de la ubicación, linderos y extensión de los bienes de uso público (playas y terrenos de baja mar, zonas marítimas accesorias de maniobras) entregados en concesión están establecidos en la cláusula segunda.</w:t>
          </w:r>
        </w:p>
        <w:p w14:paraId="44D7C4F0" w14:textId="77777777" w:rsidR="00274429" w:rsidRPr="009A46BB" w:rsidRDefault="00274429" w:rsidP="00274429">
          <w:pPr>
            <w:jc w:val="both"/>
            <w:rPr>
              <w:rFonts w:ascii="Times New Roman" w:hAnsi="Times New Roman"/>
            </w:rPr>
          </w:pPr>
          <w:r w:rsidRPr="009A46BB">
            <w:rPr>
              <w:rFonts w:ascii="Times New Roman" w:hAnsi="Times New Roman"/>
            </w:rPr>
            <w:t>Infraestructura y equipos entregados en concesión: En la cláusula tercera del Contrato, se describe que lo entregado en concesión fue:</w:t>
          </w:r>
        </w:p>
        <w:p w14:paraId="24AB16DD" w14:textId="77777777" w:rsidR="00274429" w:rsidRPr="009A46BB" w:rsidRDefault="00274429" w:rsidP="00274429">
          <w:pPr>
            <w:jc w:val="both"/>
            <w:rPr>
              <w:rFonts w:ascii="Times New Roman" w:hAnsi="Times New Roman"/>
            </w:rPr>
          </w:pPr>
          <w:r w:rsidRPr="009A46BB">
            <w:rPr>
              <w:rFonts w:ascii="Times New Roman" w:hAnsi="Times New Roman"/>
            </w:rPr>
            <w:t>Infraestructura: Muelles en concreto, plataformas de operación, piñas de atraque y piñas de amarre.</w:t>
          </w:r>
        </w:p>
        <w:p w14:paraId="5298D06F" w14:textId="77777777" w:rsidR="00274429" w:rsidRPr="009A46BB" w:rsidRDefault="00274429" w:rsidP="00274429">
          <w:pPr>
            <w:jc w:val="both"/>
            <w:rPr>
              <w:rFonts w:ascii="Times New Roman" w:hAnsi="Times New Roman"/>
              <w:b/>
            </w:rPr>
          </w:pPr>
          <w:r w:rsidRPr="009A46BB">
            <w:rPr>
              <w:rFonts w:ascii="Times New Roman" w:hAnsi="Times New Roman"/>
              <w:b/>
            </w:rPr>
            <w:t>Retribución al concesionario</w:t>
          </w:r>
        </w:p>
        <w:p w14:paraId="33295CFF" w14:textId="591ECF0F" w:rsidR="00274429" w:rsidRPr="009A46BB" w:rsidRDefault="00274429" w:rsidP="00274429">
          <w:pPr>
            <w:jc w:val="both"/>
            <w:rPr>
              <w:rFonts w:ascii="Times New Roman" w:hAnsi="Times New Roman"/>
            </w:rPr>
          </w:pPr>
          <w:r w:rsidRPr="009A46BB">
            <w:rPr>
              <w:rFonts w:ascii="Times New Roman" w:hAnsi="Times New Roman"/>
              <w:b/>
            </w:rPr>
            <w:t>Descripción:</w:t>
          </w:r>
          <w:r w:rsidR="001034E8" w:rsidRPr="009A46BB">
            <w:rPr>
              <w:rFonts w:ascii="Times New Roman" w:hAnsi="Times New Roman"/>
              <w:b/>
            </w:rPr>
            <w:t xml:space="preserve"> </w:t>
          </w:r>
          <w:r w:rsidRPr="009A46BB">
            <w:rPr>
              <w:rFonts w:ascii="Times New Roman" w:hAnsi="Times New Roman"/>
            </w:rPr>
            <w:t>Cláusula primera Contrato 001 de 1992: Se otorga a EL CONCESIONARIO el derecho de ocupar y utilizar en forma temporal y exclusiva las playas, los terrenos de bajamar y zonas accesorias a aquellas o estos, descritos en la cláusula segunda del contrato, a cambio de la contraprestación económica.</w:t>
          </w:r>
        </w:p>
        <w:p w14:paraId="6834F437" w14:textId="6DF3DEFB" w:rsidR="00274429" w:rsidRPr="009A46BB" w:rsidRDefault="00274429" w:rsidP="00274429">
          <w:pPr>
            <w:jc w:val="both"/>
            <w:rPr>
              <w:rFonts w:ascii="Times New Roman" w:hAnsi="Times New Roman"/>
            </w:rPr>
          </w:pPr>
          <w:r w:rsidRPr="009A46BB">
            <w:rPr>
              <w:rFonts w:ascii="Times New Roman" w:hAnsi="Times New Roman"/>
              <w:b/>
            </w:rPr>
            <w:lastRenderedPageBreak/>
            <w:t>Tasa de retribución:</w:t>
          </w:r>
          <w:r w:rsidR="001034E8" w:rsidRPr="009A46BB">
            <w:rPr>
              <w:rFonts w:ascii="Times New Roman" w:hAnsi="Times New Roman"/>
              <w:b/>
            </w:rPr>
            <w:t xml:space="preserve"> </w:t>
          </w:r>
          <w:r w:rsidRPr="009A46BB">
            <w:rPr>
              <w:rFonts w:ascii="Times New Roman" w:hAnsi="Times New Roman"/>
            </w:rPr>
            <w:t>N/A</w:t>
          </w:r>
        </w:p>
        <w:p w14:paraId="5289DAB0" w14:textId="77777777" w:rsidR="00274429" w:rsidRPr="009A46BB" w:rsidRDefault="00274429" w:rsidP="00274429">
          <w:pPr>
            <w:jc w:val="both"/>
            <w:rPr>
              <w:rFonts w:ascii="Times New Roman" w:hAnsi="Times New Roman"/>
              <w:b/>
            </w:rPr>
          </w:pPr>
          <w:r w:rsidRPr="009A46BB">
            <w:rPr>
              <w:rFonts w:ascii="Times New Roman" w:hAnsi="Times New Roman"/>
              <w:b/>
            </w:rPr>
            <w:t>d. Derechos a recibir activos especificados al final del acuerdo de concesión</w:t>
          </w:r>
        </w:p>
        <w:p w14:paraId="08A379B7" w14:textId="28935CEA" w:rsidR="00274429" w:rsidRPr="009A46BB" w:rsidRDefault="00274429" w:rsidP="00274429">
          <w:pPr>
            <w:jc w:val="both"/>
            <w:rPr>
              <w:rFonts w:ascii="Times New Roman" w:hAnsi="Times New Roman"/>
            </w:rPr>
          </w:pPr>
          <w:r w:rsidRPr="009A46BB">
            <w:rPr>
              <w:rFonts w:ascii="Times New Roman" w:hAnsi="Times New Roman"/>
              <w:b/>
            </w:rPr>
            <w:t>Descripción:</w:t>
          </w:r>
          <w:r w:rsidR="001034E8" w:rsidRPr="009A46BB">
            <w:rPr>
              <w:rFonts w:ascii="Times New Roman" w:hAnsi="Times New Roman"/>
              <w:b/>
            </w:rPr>
            <w:t xml:space="preserve"> </w:t>
          </w:r>
          <w:r w:rsidRPr="009A46BB">
            <w:rPr>
              <w:rFonts w:ascii="Times New Roman" w:hAnsi="Times New Roman"/>
            </w:rPr>
            <w:t>De acuerdo con el Artículo 8º de la Ley 1 de 1991 en el modo portuario el concesionario no tiene derechos finales sobre activos, los debe revertir a la Nación al final del contrato de concesión.</w:t>
          </w:r>
        </w:p>
        <w:p w14:paraId="02810A3F" w14:textId="646791BA" w:rsidR="00274429" w:rsidRPr="009A46BB" w:rsidRDefault="00274429" w:rsidP="00274429">
          <w:pPr>
            <w:jc w:val="both"/>
            <w:rPr>
              <w:rFonts w:ascii="Times New Roman" w:hAnsi="Times New Roman"/>
              <w:b/>
            </w:rPr>
          </w:pPr>
          <w:r w:rsidRPr="009A46BB">
            <w:rPr>
              <w:rFonts w:ascii="Times New Roman" w:hAnsi="Times New Roman"/>
              <w:b/>
            </w:rPr>
            <w:t>Observaciones:</w:t>
          </w:r>
          <w:r w:rsidR="001034E8" w:rsidRPr="009A46BB">
            <w:rPr>
              <w:rFonts w:ascii="Times New Roman" w:hAnsi="Times New Roman"/>
              <w:b/>
            </w:rPr>
            <w:t xml:space="preserve"> </w:t>
          </w:r>
          <w:r w:rsidR="001034E8" w:rsidRPr="009A46BB">
            <w:rPr>
              <w:rFonts w:ascii="Times New Roman" w:hAnsi="Times New Roman"/>
            </w:rPr>
            <w:t>NA</w:t>
          </w:r>
        </w:p>
        <w:p w14:paraId="2B72BF2C" w14:textId="77777777" w:rsidR="00274429" w:rsidRPr="009A46BB" w:rsidRDefault="00274429" w:rsidP="00274429">
          <w:pPr>
            <w:jc w:val="both"/>
            <w:rPr>
              <w:rFonts w:ascii="Times New Roman" w:hAnsi="Times New Roman"/>
            </w:rPr>
          </w:pPr>
          <w:r w:rsidRPr="009A46BB">
            <w:rPr>
              <w:rFonts w:ascii="Times New Roman" w:hAnsi="Times New Roman"/>
              <w:b/>
            </w:rPr>
            <w:t>Reversión:</w:t>
          </w:r>
          <w:r w:rsidRPr="009A46BB">
            <w:rPr>
              <w:rFonts w:ascii="Times New Roman" w:hAnsi="Times New Roman"/>
            </w:rPr>
            <w:t xml:space="preserve"> De acuerdo con lo establecido en la cláusula tercera del Otrosí No. 9 de 2005 todas las construcciones e inmuebles por destinación existentes y las autorizadas, levantadas en zona de uso público o que se encuentren habitualmente instaladas en ellas revertirán gratuitamente por parte de la Sociedad Portuaria a la Nación.</w:t>
          </w:r>
        </w:p>
        <w:p w14:paraId="6C1CBBDF" w14:textId="77777777" w:rsidR="00274429" w:rsidRPr="009A46BB" w:rsidRDefault="00274429" w:rsidP="00274429">
          <w:pPr>
            <w:jc w:val="both"/>
            <w:rPr>
              <w:rFonts w:ascii="Times New Roman" w:hAnsi="Times New Roman"/>
            </w:rPr>
          </w:pPr>
          <w:r w:rsidRPr="009A46BB">
            <w:rPr>
              <w:rFonts w:ascii="Times New Roman" w:hAnsi="Times New Roman"/>
            </w:rPr>
            <w:t>La primera diligencia de reversión se realizará en noviembre de 2032, en el inventario de esta reversión no se incluirán las obras de infraestructura portuaria propuestas en el nuevo plan de inversiones pactado como soporte financiero de la prórroga anticipada.</w:t>
          </w:r>
        </w:p>
        <w:p w14:paraId="25605665" w14:textId="77777777" w:rsidR="00274429" w:rsidRPr="009A46BB" w:rsidRDefault="00274429" w:rsidP="00274429">
          <w:pPr>
            <w:jc w:val="both"/>
            <w:rPr>
              <w:rFonts w:ascii="Times New Roman" w:hAnsi="Times New Roman"/>
            </w:rPr>
          </w:pPr>
          <w:r w:rsidRPr="009A46BB">
            <w:rPr>
              <w:rFonts w:ascii="Times New Roman" w:hAnsi="Times New Roman"/>
            </w:rPr>
            <w:t>Al extinguirse el plazo adicional de la concesión o en el evento de ser declarada una caducidad del contrato, se realizará la diligencia de reversión de acuerdo con el Articulo 8 de la Ley 1 de 1991.</w:t>
          </w:r>
        </w:p>
        <w:p w14:paraId="7BDF283F" w14:textId="77777777" w:rsidR="00274429" w:rsidRPr="009A46BB" w:rsidRDefault="00274429" w:rsidP="00274429">
          <w:pPr>
            <w:jc w:val="both"/>
            <w:rPr>
              <w:rFonts w:ascii="Times New Roman" w:hAnsi="Times New Roman"/>
            </w:rPr>
          </w:pPr>
          <w:r w:rsidRPr="009A46BB">
            <w:rPr>
              <w:rFonts w:ascii="Times New Roman" w:hAnsi="Times New Roman"/>
            </w:rPr>
            <w:t>Para tal fin, en el momento de la reversión el CONCESIONARIO elaborará un inventario de los bienes y los enviará para su revisión y aprobación.</w:t>
          </w:r>
        </w:p>
        <w:p w14:paraId="3B17E4A2" w14:textId="77777777" w:rsidR="00274429" w:rsidRPr="009A46BB" w:rsidRDefault="00274429" w:rsidP="00274429">
          <w:pPr>
            <w:jc w:val="both"/>
            <w:rPr>
              <w:rFonts w:ascii="Times New Roman" w:hAnsi="Times New Roman"/>
            </w:rPr>
          </w:pPr>
          <w:r w:rsidRPr="009A46BB">
            <w:rPr>
              <w:rFonts w:ascii="Times New Roman" w:hAnsi="Times New Roman"/>
            </w:rPr>
            <w:t>La ANI es la entidad concedente pero la titularidad de los activos al final de la concesión es del Instituto Nacional de Vías INVIAS. e. Cambios en el acuerdo de concesión que se realicen durante el periodo fiscal</w:t>
          </w:r>
        </w:p>
        <w:p w14:paraId="0155CE12" w14:textId="332DDACF" w:rsidR="00DC6F87" w:rsidRPr="00DC6F87" w:rsidRDefault="00DC6F87" w:rsidP="00DC6F87">
          <w:pPr>
            <w:spacing w:line="259" w:lineRule="auto"/>
            <w:rPr>
              <w:rFonts w:ascii="Times New Roman" w:hAnsi="Times New Roman"/>
              <w:b/>
              <w:sz w:val="24"/>
              <w:szCs w:val="24"/>
              <w:lang w:val="es-MX"/>
            </w:rPr>
          </w:pPr>
          <w:r>
            <w:rPr>
              <w:rFonts w:ascii="Times New Roman" w:hAnsi="Times New Roman"/>
              <w:b/>
              <w:sz w:val="24"/>
              <w:szCs w:val="24"/>
              <w:lang w:val="es-MX"/>
            </w:rPr>
            <w:t xml:space="preserve">e. </w:t>
          </w:r>
          <w:r w:rsidRPr="00DC6F87">
            <w:rPr>
              <w:rFonts w:ascii="Times New Roman" w:hAnsi="Times New Roman"/>
              <w:b/>
              <w:sz w:val="24"/>
              <w:szCs w:val="24"/>
              <w:lang w:val="es-MX"/>
            </w:rPr>
            <w:t>Cambios en el acuerdo de concesión que se realicen durante el periodo fiscal</w:t>
          </w:r>
        </w:p>
        <w:p w14:paraId="1EAAFC7C" w14:textId="5ED48BF8" w:rsidR="00274429" w:rsidRPr="009A46BB" w:rsidRDefault="00274429" w:rsidP="00274429">
          <w:pPr>
            <w:jc w:val="both"/>
            <w:rPr>
              <w:rFonts w:ascii="Times New Roman" w:hAnsi="Times New Roman"/>
              <w:b/>
            </w:rPr>
          </w:pPr>
          <w:r w:rsidRPr="009A46BB">
            <w:rPr>
              <w:rFonts w:ascii="Times New Roman" w:hAnsi="Times New Roman"/>
              <w:b/>
            </w:rPr>
            <w:t>Adiciones o modificaciones en tiempo</w:t>
          </w:r>
        </w:p>
        <w:p w14:paraId="20A4EE86" w14:textId="77777777" w:rsidR="00274429" w:rsidRPr="009A46BB" w:rsidRDefault="00274429" w:rsidP="00274429">
          <w:pPr>
            <w:jc w:val="both"/>
            <w:rPr>
              <w:rFonts w:ascii="Times New Roman" w:hAnsi="Times New Roman"/>
            </w:rPr>
          </w:pPr>
          <w:r w:rsidRPr="009A46BB">
            <w:rPr>
              <w:rFonts w:ascii="Times New Roman" w:hAnsi="Times New Roman"/>
            </w:rPr>
            <w:t>Fechas de las adiciones o modificaciones: 24/11/2005</w:t>
          </w:r>
        </w:p>
        <w:p w14:paraId="725F5D79" w14:textId="77777777" w:rsidR="00274429" w:rsidRPr="009A46BB" w:rsidRDefault="00274429" w:rsidP="00274429">
          <w:pPr>
            <w:jc w:val="both"/>
            <w:rPr>
              <w:rFonts w:ascii="Times New Roman" w:hAnsi="Times New Roman"/>
            </w:rPr>
          </w:pPr>
          <w:r w:rsidRPr="009A46BB">
            <w:rPr>
              <w:rFonts w:ascii="Times New Roman" w:hAnsi="Times New Roman"/>
            </w:rPr>
            <w:t>Nueva fecha de finalización estimada: 17/12/2032</w:t>
          </w:r>
        </w:p>
        <w:p w14:paraId="2A50C894" w14:textId="487BB9BD" w:rsidR="00274429" w:rsidRPr="009A46BB" w:rsidRDefault="00274429" w:rsidP="00274429">
          <w:pPr>
            <w:jc w:val="both"/>
            <w:rPr>
              <w:rFonts w:ascii="Times New Roman" w:hAnsi="Times New Roman"/>
            </w:rPr>
          </w:pPr>
          <w:r w:rsidRPr="009A46BB">
            <w:rPr>
              <w:rFonts w:ascii="Times New Roman" w:hAnsi="Times New Roman"/>
              <w:b/>
            </w:rPr>
            <w:t>Observaciones</w:t>
          </w:r>
          <w:r w:rsidR="00DC6F87" w:rsidRPr="009A46BB">
            <w:rPr>
              <w:rFonts w:ascii="Times New Roman" w:hAnsi="Times New Roman"/>
              <w:b/>
            </w:rPr>
            <w:t xml:space="preserve">: </w:t>
          </w:r>
          <w:r w:rsidRPr="009A46BB">
            <w:rPr>
              <w:rFonts w:ascii="Times New Roman" w:hAnsi="Times New Roman"/>
            </w:rPr>
            <w:t>Plazo adicional de veinte (20) años contados a partir del 18 de noviembre de 2012. - Otrosí N°9</w:t>
          </w:r>
        </w:p>
        <w:p w14:paraId="01287FE3" w14:textId="77777777" w:rsidR="001034E8" w:rsidRPr="009A46BB" w:rsidRDefault="001034E8" w:rsidP="00274429">
          <w:pPr>
            <w:jc w:val="both"/>
            <w:rPr>
              <w:rFonts w:ascii="Times New Roman" w:hAnsi="Times New Roman"/>
            </w:rPr>
          </w:pPr>
        </w:p>
        <w:p w14:paraId="3DB7CD98" w14:textId="5040A200" w:rsidR="00274429" w:rsidRPr="009A46BB" w:rsidRDefault="00CA01B9" w:rsidP="00CA01B9">
          <w:pPr>
            <w:spacing w:line="259" w:lineRule="auto"/>
            <w:jc w:val="both"/>
            <w:rPr>
              <w:rFonts w:ascii="Times New Roman" w:hAnsi="Times New Roman"/>
              <w:b/>
            </w:rPr>
          </w:pPr>
          <w:r w:rsidRPr="009A46BB">
            <w:rPr>
              <w:rFonts w:ascii="Times New Roman" w:hAnsi="Times New Roman"/>
              <w:b/>
            </w:rPr>
            <w:t>SOCIEDAD AMERICAN PORT COMPANY INC – PUERTO DRUMMOND</w:t>
          </w:r>
        </w:p>
        <w:p w14:paraId="4F571F01" w14:textId="3C7A3534" w:rsidR="00274429" w:rsidRPr="009A46BB" w:rsidRDefault="00274429" w:rsidP="00E60BAB">
          <w:pPr>
            <w:pStyle w:val="Prrafodelista"/>
            <w:numPr>
              <w:ilvl w:val="0"/>
              <w:numId w:val="166"/>
            </w:numPr>
            <w:jc w:val="both"/>
            <w:rPr>
              <w:rFonts w:ascii="Times New Roman" w:hAnsi="Times New Roman"/>
              <w:b/>
            </w:rPr>
          </w:pPr>
          <w:r w:rsidRPr="009A46BB">
            <w:rPr>
              <w:rFonts w:ascii="Times New Roman" w:hAnsi="Times New Roman"/>
              <w:b/>
            </w:rPr>
            <w:t>Descripción del acuerdo</w:t>
          </w:r>
        </w:p>
        <w:p w14:paraId="19CD6270" w14:textId="61B1A418" w:rsidR="00274429" w:rsidRPr="009A46BB" w:rsidRDefault="00274429" w:rsidP="72B566E9">
          <w:pPr>
            <w:spacing w:after="0"/>
            <w:jc w:val="both"/>
            <w:rPr>
              <w:rFonts w:ascii="Times New Roman" w:hAnsi="Times New Roman"/>
            </w:rPr>
          </w:pPr>
          <w:r w:rsidRPr="009A46BB">
            <w:rPr>
              <w:rFonts w:ascii="Times New Roman" w:hAnsi="Times New Roman"/>
              <w:b/>
            </w:rPr>
            <w:t>Número del acuerdo de concesión:</w:t>
          </w:r>
          <w:r w:rsidR="00E8107F" w:rsidRPr="009A46BB">
            <w:rPr>
              <w:rFonts w:ascii="Times New Roman" w:hAnsi="Times New Roman"/>
              <w:b/>
            </w:rPr>
            <w:t xml:space="preserve"> </w:t>
          </w:r>
          <w:r w:rsidRPr="009A46BB">
            <w:rPr>
              <w:rFonts w:ascii="Times New Roman" w:hAnsi="Times New Roman"/>
            </w:rPr>
            <w:t>Contrato de Concesión Portuaria No. 002 de 1992.</w:t>
          </w:r>
        </w:p>
        <w:p w14:paraId="58C4244C" w14:textId="77E48B3A" w:rsidR="00274429" w:rsidRPr="009A46BB" w:rsidRDefault="00274429" w:rsidP="72B566E9">
          <w:pPr>
            <w:spacing w:after="0"/>
            <w:jc w:val="both"/>
            <w:rPr>
              <w:rFonts w:ascii="Times New Roman" w:hAnsi="Times New Roman"/>
            </w:rPr>
          </w:pPr>
          <w:r w:rsidRPr="009A46BB">
            <w:rPr>
              <w:rFonts w:ascii="Times New Roman" w:hAnsi="Times New Roman"/>
              <w:b/>
            </w:rPr>
            <w:t>Objeto / Descripción:</w:t>
          </w:r>
          <w:r w:rsidR="00E8107F" w:rsidRPr="009A46BB">
            <w:rPr>
              <w:rFonts w:ascii="Times New Roman" w:hAnsi="Times New Roman"/>
              <w:b/>
            </w:rPr>
            <w:t xml:space="preserve"> </w:t>
          </w:r>
          <w:r w:rsidRPr="009A46BB">
            <w:rPr>
              <w:rFonts w:ascii="Times New Roman" w:hAnsi="Times New Roman"/>
            </w:rPr>
            <w:t>En virtud del Contrato de concesión y sus modificaciones, se permite al CONCESIONARIO ocupar y usar de forma temporal y exclusiva las playas, los terrenos de bajamar y zonas accesorias a aquellas o estos, para construcción, administración y operación de un puerto destinado al servicio privado, conforme lo establece la Cláusula Primera del Otrosí No. 4 del 2013.</w:t>
          </w:r>
        </w:p>
        <w:p w14:paraId="69A82DC6" w14:textId="2DAAE7CE" w:rsidR="00274429" w:rsidRPr="009A46BB" w:rsidRDefault="00274429" w:rsidP="72B566E9">
          <w:pPr>
            <w:spacing w:after="0"/>
            <w:jc w:val="both"/>
            <w:rPr>
              <w:rFonts w:ascii="Times New Roman" w:hAnsi="Times New Roman"/>
            </w:rPr>
          </w:pPr>
          <w:r w:rsidRPr="009A46BB">
            <w:rPr>
              <w:rFonts w:ascii="Times New Roman" w:hAnsi="Times New Roman"/>
              <w:b/>
            </w:rPr>
            <w:t>Valor inicial:</w:t>
          </w:r>
          <w:r w:rsidR="00E8107F" w:rsidRPr="009A46BB">
            <w:rPr>
              <w:rFonts w:ascii="Times New Roman" w:hAnsi="Times New Roman"/>
              <w:b/>
            </w:rPr>
            <w:t xml:space="preserve"> </w:t>
          </w:r>
          <w:r w:rsidRPr="009A46BB">
            <w:rPr>
              <w:rFonts w:ascii="Times New Roman" w:hAnsi="Times New Roman"/>
            </w:rPr>
            <w:t>USD $ 4.723.423/ Cláusula Novena / Contrato No 002 de 1992.</w:t>
          </w:r>
        </w:p>
        <w:p w14:paraId="73F0F073" w14:textId="77777777" w:rsidR="00274429" w:rsidRPr="009A46BB" w:rsidRDefault="00274429" w:rsidP="72B566E9">
          <w:pPr>
            <w:spacing w:after="0"/>
            <w:jc w:val="both"/>
            <w:rPr>
              <w:rFonts w:ascii="Times New Roman" w:hAnsi="Times New Roman"/>
            </w:rPr>
          </w:pPr>
          <w:r w:rsidRPr="009A46BB">
            <w:rPr>
              <w:rFonts w:ascii="Times New Roman" w:hAnsi="Times New Roman"/>
            </w:rPr>
            <w:t>USD $45.385.709 / Cláusula séptima / Otrosí 4 de 2013.</w:t>
          </w:r>
        </w:p>
        <w:p w14:paraId="694F84E5" w14:textId="546627BF" w:rsidR="00274429" w:rsidRPr="009A46BB" w:rsidRDefault="00274429" w:rsidP="72B566E9">
          <w:pPr>
            <w:spacing w:after="0"/>
            <w:jc w:val="both"/>
            <w:rPr>
              <w:rFonts w:ascii="Times New Roman" w:hAnsi="Times New Roman"/>
            </w:rPr>
          </w:pPr>
          <w:r w:rsidRPr="009A46BB">
            <w:rPr>
              <w:rFonts w:ascii="Times New Roman" w:hAnsi="Times New Roman"/>
              <w:b/>
            </w:rPr>
            <w:t>Fecha de inicio:</w:t>
          </w:r>
          <w:r w:rsidR="00E8107F" w:rsidRPr="009A46BB">
            <w:rPr>
              <w:rFonts w:ascii="Times New Roman" w:hAnsi="Times New Roman"/>
              <w:b/>
            </w:rPr>
            <w:t xml:space="preserve"> </w:t>
          </w:r>
          <w:r w:rsidRPr="009A46BB">
            <w:rPr>
              <w:rFonts w:ascii="Times New Roman" w:hAnsi="Times New Roman"/>
            </w:rPr>
            <w:t>16/07/1993</w:t>
          </w:r>
        </w:p>
        <w:p w14:paraId="5D91AF43" w14:textId="2BEEB5F9" w:rsidR="00274429" w:rsidRPr="009A46BB" w:rsidRDefault="00274429" w:rsidP="72B566E9">
          <w:pPr>
            <w:spacing w:after="0"/>
            <w:jc w:val="both"/>
            <w:rPr>
              <w:rFonts w:ascii="Times New Roman" w:hAnsi="Times New Roman"/>
            </w:rPr>
          </w:pPr>
          <w:r w:rsidRPr="009A46BB">
            <w:rPr>
              <w:rFonts w:ascii="Times New Roman" w:hAnsi="Times New Roman"/>
              <w:b/>
            </w:rPr>
            <w:t>Fecha de finalización estimada:</w:t>
          </w:r>
          <w:r w:rsidR="00E8107F" w:rsidRPr="009A46BB">
            <w:rPr>
              <w:rFonts w:ascii="Times New Roman" w:hAnsi="Times New Roman"/>
              <w:b/>
            </w:rPr>
            <w:t xml:space="preserve"> </w:t>
          </w:r>
          <w:r w:rsidRPr="009A46BB">
            <w:rPr>
              <w:rFonts w:ascii="Times New Roman" w:hAnsi="Times New Roman"/>
            </w:rPr>
            <w:t>15/07/2043</w:t>
          </w:r>
        </w:p>
        <w:p w14:paraId="7360FCE0" w14:textId="244CA60A" w:rsidR="00274429" w:rsidRPr="009A46BB" w:rsidRDefault="00274429" w:rsidP="72B566E9">
          <w:pPr>
            <w:spacing w:after="0"/>
            <w:jc w:val="both"/>
            <w:rPr>
              <w:rFonts w:ascii="Times New Roman" w:hAnsi="Times New Roman"/>
            </w:rPr>
          </w:pPr>
          <w:r w:rsidRPr="009A46BB">
            <w:rPr>
              <w:rFonts w:ascii="Times New Roman" w:hAnsi="Times New Roman"/>
              <w:b/>
            </w:rPr>
            <w:t>Tipo ID:</w:t>
          </w:r>
          <w:r w:rsidR="00E8107F" w:rsidRPr="009A46BB">
            <w:rPr>
              <w:rFonts w:ascii="Times New Roman" w:hAnsi="Times New Roman"/>
              <w:b/>
            </w:rPr>
            <w:t xml:space="preserve"> </w:t>
          </w:r>
          <w:r w:rsidRPr="009A46BB">
            <w:rPr>
              <w:rFonts w:ascii="Times New Roman" w:hAnsi="Times New Roman"/>
            </w:rPr>
            <w:t>NIT</w:t>
          </w:r>
        </w:p>
        <w:p w14:paraId="162DB1E6" w14:textId="18CE0404" w:rsidR="00274429" w:rsidRPr="009A46BB" w:rsidRDefault="00274429" w:rsidP="72B566E9">
          <w:pPr>
            <w:spacing w:after="0"/>
            <w:jc w:val="both"/>
            <w:rPr>
              <w:rFonts w:ascii="Times New Roman" w:hAnsi="Times New Roman"/>
            </w:rPr>
          </w:pPr>
          <w:r w:rsidRPr="009A46BB">
            <w:rPr>
              <w:rFonts w:ascii="Times New Roman" w:hAnsi="Times New Roman"/>
              <w:b/>
            </w:rPr>
            <w:lastRenderedPageBreak/>
            <w:t>Número ID:</w:t>
          </w:r>
          <w:r w:rsidR="00E8107F" w:rsidRPr="009A46BB">
            <w:rPr>
              <w:rFonts w:ascii="Times New Roman" w:hAnsi="Times New Roman"/>
              <w:b/>
            </w:rPr>
            <w:t xml:space="preserve"> </w:t>
          </w:r>
          <w:r w:rsidRPr="009A46BB">
            <w:rPr>
              <w:rFonts w:ascii="Times New Roman" w:hAnsi="Times New Roman"/>
            </w:rPr>
            <w:t>800.153.687-8</w:t>
          </w:r>
        </w:p>
        <w:p w14:paraId="3344785E" w14:textId="25B933A0" w:rsidR="00274429" w:rsidRPr="009A46BB" w:rsidRDefault="00274429" w:rsidP="72B566E9">
          <w:pPr>
            <w:spacing w:after="0"/>
            <w:jc w:val="both"/>
            <w:rPr>
              <w:rFonts w:ascii="Times New Roman" w:hAnsi="Times New Roman"/>
            </w:rPr>
          </w:pPr>
          <w:r w:rsidRPr="009A46BB">
            <w:rPr>
              <w:rFonts w:ascii="Times New Roman" w:hAnsi="Times New Roman"/>
              <w:b/>
            </w:rPr>
            <w:t>Razón social del concesionario:</w:t>
          </w:r>
          <w:r w:rsidR="00E8107F" w:rsidRPr="009A46BB">
            <w:rPr>
              <w:rFonts w:ascii="Times New Roman" w:hAnsi="Times New Roman"/>
              <w:b/>
            </w:rPr>
            <w:t xml:space="preserve"> </w:t>
          </w:r>
          <w:r w:rsidRPr="009A46BB">
            <w:rPr>
              <w:rFonts w:ascii="Times New Roman" w:hAnsi="Times New Roman"/>
            </w:rPr>
            <w:t>Sociedad American Port Company INC – Puerto Drummond</w:t>
          </w:r>
        </w:p>
        <w:p w14:paraId="48514C46" w14:textId="271B9383" w:rsidR="00274429" w:rsidRPr="009A46BB" w:rsidRDefault="00274429" w:rsidP="72B566E9">
          <w:pPr>
            <w:spacing w:after="0"/>
            <w:jc w:val="both"/>
            <w:rPr>
              <w:rFonts w:ascii="Times New Roman" w:hAnsi="Times New Roman"/>
            </w:rPr>
          </w:pPr>
          <w:r w:rsidRPr="009A46BB">
            <w:rPr>
              <w:rFonts w:ascii="Times New Roman" w:hAnsi="Times New Roman"/>
              <w:b/>
            </w:rPr>
            <w:t>Nombre del proyecto:</w:t>
          </w:r>
          <w:r w:rsidR="00E8107F" w:rsidRPr="009A46BB">
            <w:rPr>
              <w:rFonts w:ascii="Times New Roman" w:hAnsi="Times New Roman"/>
              <w:b/>
            </w:rPr>
            <w:t xml:space="preserve"> </w:t>
          </w:r>
          <w:r w:rsidRPr="009A46BB">
            <w:rPr>
              <w:rFonts w:ascii="Times New Roman" w:hAnsi="Times New Roman"/>
            </w:rPr>
            <w:t>Sociedad American Port Company INC – Puerto Drummond</w:t>
          </w:r>
        </w:p>
        <w:p w14:paraId="6832DAA6" w14:textId="2DB165BA" w:rsidR="72B566E9" w:rsidRDefault="72B566E9" w:rsidP="72B566E9">
          <w:pPr>
            <w:spacing w:after="0"/>
            <w:jc w:val="both"/>
            <w:rPr>
              <w:rFonts w:ascii="Times New Roman" w:hAnsi="Times New Roman"/>
            </w:rPr>
          </w:pPr>
        </w:p>
        <w:p w14:paraId="71E7E854" w14:textId="2B550108" w:rsidR="00274429" w:rsidRPr="009A46BB" w:rsidRDefault="00274429" w:rsidP="00E60BAB">
          <w:pPr>
            <w:pStyle w:val="Prrafodelista"/>
            <w:numPr>
              <w:ilvl w:val="0"/>
              <w:numId w:val="166"/>
            </w:numPr>
            <w:jc w:val="both"/>
            <w:rPr>
              <w:rFonts w:ascii="Times New Roman" w:hAnsi="Times New Roman"/>
              <w:b/>
            </w:rPr>
          </w:pPr>
          <w:r w:rsidRPr="009A46BB">
            <w:rPr>
              <w:rFonts w:ascii="Times New Roman" w:hAnsi="Times New Roman"/>
              <w:b/>
            </w:rPr>
            <w:t xml:space="preserve">Términos significativos del acuerdo que puedan afectar su valor, el calendario y la certeza de los flujos </w:t>
          </w:r>
        </w:p>
        <w:p w14:paraId="68C8C29E" w14:textId="77777777" w:rsidR="00274429" w:rsidRPr="009A46BB" w:rsidRDefault="00274429" w:rsidP="00274429">
          <w:pPr>
            <w:jc w:val="both"/>
            <w:rPr>
              <w:rFonts w:ascii="Times New Roman" w:hAnsi="Times New Roman"/>
            </w:rPr>
          </w:pPr>
          <w:r w:rsidRPr="009A46BB">
            <w:rPr>
              <w:rFonts w:ascii="Times New Roman" w:hAnsi="Times New Roman"/>
              <w:b/>
            </w:rPr>
            <w:t>Términos de valor:</w:t>
          </w:r>
        </w:p>
        <w:p w14:paraId="78DF1B02" w14:textId="77777777" w:rsidR="00274429" w:rsidRPr="009A46BB" w:rsidRDefault="00274429" w:rsidP="00274429">
          <w:pPr>
            <w:jc w:val="both"/>
            <w:rPr>
              <w:rFonts w:ascii="Times New Roman" w:hAnsi="Times New Roman"/>
            </w:rPr>
          </w:pPr>
          <w:r w:rsidRPr="009A46BB">
            <w:rPr>
              <w:rFonts w:ascii="Times New Roman" w:hAnsi="Times New Roman"/>
              <w:b/>
            </w:rPr>
            <w:t>1: Tarifas:</w:t>
          </w:r>
          <w:r w:rsidRPr="009A46BB">
            <w:rPr>
              <w:rFonts w:ascii="Times New Roman" w:hAnsi="Times New Roman"/>
            </w:rPr>
            <w:t xml:space="preserve">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w:t>
          </w:r>
        </w:p>
        <w:p w14:paraId="221C2659" w14:textId="77777777" w:rsidR="00274429" w:rsidRPr="009A46BB" w:rsidRDefault="00274429" w:rsidP="00274429">
          <w:pPr>
            <w:jc w:val="both"/>
            <w:rPr>
              <w:rFonts w:ascii="Times New Roman" w:hAnsi="Times New Roman"/>
            </w:rPr>
          </w:pPr>
          <w:r w:rsidRPr="009A46BB">
            <w:rPr>
              <w:rFonts w:ascii="Times New Roman" w:hAnsi="Times New Roman"/>
              <w:b/>
            </w:rPr>
            <w:t>2: Contraprestación portuaria:</w:t>
          </w:r>
          <w:r w:rsidRPr="009A46BB">
            <w:rPr>
              <w:rFonts w:ascii="Times New Roman" w:hAnsi="Times New Roman"/>
            </w:rPr>
            <w:t xml:space="preserve"> De acuerdo con el último documento contractual vigente la metodología de contraprestación vigente es CONPES 3744 de 2013 (Componentes Fijo y Variable). A febrero de 2023 el CONCESIONARIO debió pagar la suma de USD 6.679.543</w:t>
          </w:r>
        </w:p>
        <w:p w14:paraId="2CF7D94F" w14:textId="77777777" w:rsidR="00274429" w:rsidRPr="009A46BB" w:rsidRDefault="00274429" w:rsidP="00274429">
          <w:pPr>
            <w:jc w:val="both"/>
            <w:rPr>
              <w:rFonts w:ascii="Times New Roman" w:hAnsi="Times New Roman"/>
            </w:rPr>
          </w:pPr>
          <w:r w:rsidRPr="009A46BB">
            <w:rPr>
              <w:rFonts w:ascii="Times New Roman" w:hAnsi="Times New Roman"/>
            </w:rPr>
            <w:t xml:space="preserve">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municipio de Ciénaga departamento del Magdalena.</w:t>
          </w:r>
        </w:p>
        <w:p w14:paraId="3B586F49" w14:textId="77777777" w:rsidR="00274429" w:rsidRPr="009A46BB" w:rsidRDefault="00274429" w:rsidP="00274429">
          <w:pPr>
            <w:jc w:val="both"/>
            <w:rPr>
              <w:rFonts w:ascii="Times New Roman" w:hAnsi="Times New Roman"/>
            </w:rPr>
          </w:pPr>
          <w:r w:rsidRPr="009A46BB">
            <w:rPr>
              <w:rFonts w:ascii="Times New Roman" w:hAnsi="Times New Roman"/>
              <w:b/>
            </w:rPr>
            <w:t>3: Plan de Inversiones:</w:t>
          </w:r>
          <w:r w:rsidRPr="009A46BB">
            <w:rPr>
              <w:rFonts w:ascii="Times New Roman" w:hAnsi="Times New Roman"/>
            </w:rPr>
            <w:t xml:space="preserve"> Está establecido en la cláusula cuarta del Otrosí No 004 del 05 de diciembre de 2013 al Contrato de Concesión 002 de 1992 el cual será de USD 212.643.850 dólares corrientes. </w:t>
          </w:r>
        </w:p>
        <w:p w14:paraId="4AB21737" w14:textId="506AEF54" w:rsidR="00274429" w:rsidRPr="009A46BB" w:rsidRDefault="00274429" w:rsidP="00274429">
          <w:pPr>
            <w:jc w:val="both"/>
            <w:rPr>
              <w:rFonts w:ascii="Times New Roman" w:hAnsi="Times New Roman"/>
            </w:rPr>
          </w:pPr>
          <w:r w:rsidRPr="009A46BB">
            <w:rPr>
              <w:rFonts w:ascii="Times New Roman" w:hAnsi="Times New Roman"/>
              <w:b/>
            </w:rPr>
            <w:t>Obligaciones del CONCESIONARIO:</w:t>
          </w:r>
          <w:r w:rsidRPr="009A46BB">
            <w:rPr>
              <w:rFonts w:ascii="Times New Roman" w:hAnsi="Times New Roman"/>
            </w:rPr>
            <w:t xml:space="preserve"> se encuentran descritas en la cláusula décima del contrato yen la cláusula octava del Otrosí modificatorio No 004 de 2013.</w:t>
          </w:r>
        </w:p>
        <w:p w14:paraId="2D316EB3" w14:textId="77777777" w:rsidR="00274429" w:rsidRPr="009A46BB" w:rsidRDefault="00274429" w:rsidP="00274429">
          <w:pPr>
            <w:jc w:val="both"/>
            <w:rPr>
              <w:rFonts w:ascii="Times New Roman" w:hAnsi="Times New Roman"/>
            </w:rPr>
          </w:pPr>
          <w:r w:rsidRPr="009A46BB">
            <w:rPr>
              <w:rFonts w:ascii="Times New Roman" w:hAnsi="Times New Roman"/>
              <w:b/>
            </w:rPr>
            <w:t>Multas y sanciones:</w:t>
          </w:r>
          <w:r w:rsidRPr="009A46BB">
            <w:rPr>
              <w:rFonts w:ascii="Times New Roman" w:hAnsi="Times New Roman"/>
            </w:rPr>
            <w:t xml:space="preserve"> Están establecidas en la cláusula decimosegunda del Contrato 002 de 1992.</w:t>
          </w:r>
        </w:p>
        <w:p w14:paraId="5C709B13" w14:textId="77777777" w:rsidR="00274429" w:rsidRPr="009A46BB" w:rsidRDefault="00274429" w:rsidP="00274429">
          <w:pPr>
            <w:jc w:val="both"/>
            <w:rPr>
              <w:rFonts w:ascii="Times New Roman" w:hAnsi="Times New Roman"/>
            </w:rPr>
          </w:pPr>
          <w:r w:rsidRPr="009A46BB">
            <w:rPr>
              <w:rFonts w:ascii="Times New Roman" w:hAnsi="Times New Roman"/>
              <w:b/>
            </w:rPr>
            <w:t>Penal pecuniario:</w:t>
          </w:r>
          <w:r w:rsidRPr="009A46BB">
            <w:rPr>
              <w:rFonts w:ascii="Times New Roman" w:hAnsi="Times New Roman"/>
            </w:rPr>
            <w:t xml:space="preserve"> En la cláusula décima tercera se establece en el evento que la Superintendencia hoy Agencia Nacional de Infraestructura declare la caducidad o el incumplimiento del presente contrato, el Concesionario deberá pagar la suma del 10% del valor total de la Contraprestación como sanción pecuniaria. El valor de esta suma pagada por el Concesionario se considerará como pago parcial pero definitivo a los perjuicios causados a la Superintendencia hoy Agencia Nacional de Infraestructura</w:t>
          </w:r>
        </w:p>
        <w:p w14:paraId="66F9FDC5" w14:textId="77777777" w:rsidR="00274429" w:rsidRPr="009A46BB" w:rsidRDefault="00274429" w:rsidP="00274429">
          <w:pPr>
            <w:jc w:val="both"/>
            <w:rPr>
              <w:rFonts w:ascii="Times New Roman" w:hAnsi="Times New Roman"/>
              <w:b/>
            </w:rPr>
          </w:pPr>
          <w:r w:rsidRPr="009A46BB">
            <w:rPr>
              <w:rFonts w:ascii="Times New Roman" w:hAnsi="Times New Roman"/>
              <w:b/>
            </w:rPr>
            <w:t>Términos de calendario:</w:t>
          </w:r>
          <w:r w:rsidRPr="009A46BB">
            <w:rPr>
              <w:rFonts w:ascii="Times New Roman" w:hAnsi="Times New Roman"/>
              <w:b/>
            </w:rPr>
            <w:tab/>
          </w:r>
        </w:p>
        <w:p w14:paraId="1F894E8D" w14:textId="77777777" w:rsidR="00274429" w:rsidRPr="009A46BB" w:rsidRDefault="00274429" w:rsidP="00274429">
          <w:pPr>
            <w:jc w:val="both"/>
            <w:rPr>
              <w:rFonts w:ascii="Times New Roman" w:hAnsi="Times New Roman"/>
            </w:rPr>
          </w:pPr>
          <w:r w:rsidRPr="009A46BB">
            <w:rPr>
              <w:rFonts w:ascii="Times New Roman" w:hAnsi="Times New Roman"/>
              <w:b/>
            </w:rPr>
            <w:t>1: Tarifas:</w:t>
          </w:r>
          <w:r w:rsidRPr="009A46BB">
            <w:rPr>
              <w:rFonts w:ascii="Times New Roman" w:hAnsi="Times New Roman"/>
            </w:rPr>
            <w:t xml:space="preserve">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w:t>
          </w:r>
        </w:p>
        <w:p w14:paraId="719744D8" w14:textId="77777777" w:rsidR="00274429" w:rsidRPr="009A46BB" w:rsidRDefault="00274429" w:rsidP="00274429">
          <w:pPr>
            <w:jc w:val="both"/>
            <w:rPr>
              <w:rFonts w:ascii="Times New Roman" w:hAnsi="Times New Roman"/>
            </w:rPr>
          </w:pPr>
          <w:r w:rsidRPr="009A46BB">
            <w:rPr>
              <w:rFonts w:ascii="Times New Roman" w:hAnsi="Times New Roman"/>
              <w:b/>
            </w:rPr>
            <w:t>2: Contraprestación portuaria:</w:t>
          </w:r>
          <w:r w:rsidRPr="009A46BB">
            <w:rPr>
              <w:rFonts w:ascii="Times New Roman" w:hAnsi="Times New Roman"/>
            </w:rPr>
            <w:t xml:space="preserve"> Contraprestación portuaria: Anexo 2 CONPES 3744 de 2013 “(…) Antes de finalizar los meses de febrero cada concesionario deberá corregir su liquidación del año anterior según el movimiento de carga real y la indexación del valor de referencia por metro cuadrado, del avalúo de la infraestructura concesionada y de los cargos, así como realizar el pago anticipado del año en curso con base en lo proyectado en el FCL definitivo.</w:t>
          </w:r>
        </w:p>
        <w:p w14:paraId="53391990" w14:textId="77777777" w:rsidR="00274429" w:rsidRPr="009A46BB" w:rsidRDefault="00274429" w:rsidP="00274429">
          <w:pPr>
            <w:jc w:val="both"/>
            <w:rPr>
              <w:rFonts w:ascii="Times New Roman" w:hAnsi="Times New Roman"/>
            </w:rPr>
          </w:pPr>
          <w:r w:rsidRPr="009A46BB">
            <w:rPr>
              <w:rFonts w:ascii="Times New Roman" w:hAnsi="Times New Roman"/>
              <w:b/>
            </w:rPr>
            <w:t>3: Plan de inversiones:</w:t>
          </w:r>
          <w:r w:rsidRPr="009A46BB">
            <w:rPr>
              <w:rFonts w:ascii="Times New Roman" w:hAnsi="Times New Roman"/>
            </w:rPr>
            <w:t xml:space="preserve"> Se estableció en la cláusula séptimas del otrosí 4 ejecución de inversiones en el periodo de tiempo comprendido entre el año 2012 a 2014.</w:t>
          </w:r>
        </w:p>
        <w:p w14:paraId="50969655" w14:textId="316C4BBF" w:rsidR="00274429" w:rsidRPr="009A46BB" w:rsidRDefault="00274429" w:rsidP="00274429">
          <w:pPr>
            <w:jc w:val="both"/>
            <w:rPr>
              <w:rFonts w:ascii="Times New Roman" w:hAnsi="Times New Roman"/>
            </w:rPr>
          </w:pPr>
          <w:r w:rsidRPr="009A46BB">
            <w:rPr>
              <w:rFonts w:ascii="Times New Roman" w:hAnsi="Times New Roman"/>
              <w:b/>
            </w:rPr>
            <w:t>4: Multas:</w:t>
          </w:r>
          <w:r w:rsidRPr="009A46BB">
            <w:rPr>
              <w:rFonts w:ascii="Times New Roman" w:hAnsi="Times New Roman"/>
            </w:rPr>
            <w:t>Están establecidas en la cláusula décimo segunda del Contrato 002 de 1992.</w:t>
          </w:r>
        </w:p>
        <w:p w14:paraId="3C121FBC" w14:textId="77777777" w:rsidR="00274429" w:rsidRPr="009A46BB" w:rsidRDefault="00274429" w:rsidP="00274429">
          <w:pPr>
            <w:jc w:val="both"/>
            <w:rPr>
              <w:rFonts w:ascii="Times New Roman" w:hAnsi="Times New Roman"/>
            </w:rPr>
          </w:pPr>
          <w:r w:rsidRPr="009A46BB">
            <w:rPr>
              <w:rFonts w:ascii="Times New Roman" w:hAnsi="Times New Roman"/>
              <w:b/>
            </w:rPr>
            <w:lastRenderedPageBreak/>
            <w:t>Términos de certeza de flujos de efectivo futuros:</w:t>
          </w:r>
          <w:r w:rsidRPr="009A46BB">
            <w:rPr>
              <w:rFonts w:ascii="Times New Roman" w:hAnsi="Times New Roman"/>
              <w:b/>
            </w:rPr>
            <w:tab/>
          </w:r>
        </w:p>
        <w:p w14:paraId="1E583582" w14:textId="77777777" w:rsidR="00274429" w:rsidRPr="009A46BB" w:rsidRDefault="00274429" w:rsidP="00274429">
          <w:pPr>
            <w:jc w:val="both"/>
            <w:rPr>
              <w:rFonts w:ascii="Times New Roman" w:hAnsi="Times New Roman"/>
            </w:rPr>
          </w:pPr>
          <w:r w:rsidRPr="009A46BB">
            <w:rPr>
              <w:rFonts w:ascii="Times New Roman" w:hAnsi="Times New Roman"/>
            </w:rPr>
            <w:t>En virtud del Contrato de concesión y sus modificaciones, se permite al CONCESIONARIO ocupar y usar de forma temporal y exclusiva las playas, los terrenos de bajamar y zonas accesorias a aquellas o estos, para construcción, administración y operación de un puerto destinado al servicio privado, para el manejo de carbón con el sistema de cargue directo, en la jurisdicción del municipio de Ciénaga, departamento de Magdalena, en el kilómetro ocho sobre la troncal del Caribe en la Vía que comunica del Ciénaga a la Santa Marta, a cambio de la contraprestación establecida en el contrato.</w:t>
          </w:r>
        </w:p>
        <w:p w14:paraId="39097745" w14:textId="77777777" w:rsidR="00274429" w:rsidRPr="009A46BB" w:rsidRDefault="00274429" w:rsidP="00274429">
          <w:pPr>
            <w:jc w:val="both"/>
            <w:rPr>
              <w:rFonts w:ascii="Times New Roman" w:hAnsi="Times New Roman"/>
            </w:rPr>
          </w:pPr>
          <w:r w:rsidRPr="009A46BB">
            <w:rPr>
              <w:rFonts w:ascii="Times New Roman" w:hAnsi="Times New Roman"/>
            </w:rPr>
            <w:t>Teniendo en cuenta que el valor establecido de contraprestación corresponde solo al concepto de Zona de uso público, el ochenta por ciento (80%) de la misma le corresponde a la Nación-Instituto Nacional de Vías INVIAS, y el veinte por ciento (20%) restante al municipio de Ciénaga, de acuerdo con lo establecido en el parágrafo 1 de articulo de la Ley 856 de 21 de diciembre de 2003, que modifica el artículo 7 de la Ley 1 de 1991.</w:t>
          </w:r>
        </w:p>
        <w:p w14:paraId="3B317100" w14:textId="7686EDCA" w:rsidR="00274429" w:rsidRPr="009A46BB" w:rsidRDefault="00274429" w:rsidP="00E60BAB">
          <w:pPr>
            <w:pStyle w:val="Prrafodelista"/>
            <w:numPr>
              <w:ilvl w:val="0"/>
              <w:numId w:val="166"/>
            </w:numPr>
            <w:jc w:val="both"/>
            <w:rPr>
              <w:rFonts w:ascii="Times New Roman" w:hAnsi="Times New Roman"/>
            </w:rPr>
          </w:pPr>
          <w:r w:rsidRPr="009A46BB">
            <w:rPr>
              <w:rFonts w:ascii="Times New Roman" w:hAnsi="Times New Roman"/>
              <w:b/>
            </w:rPr>
            <w:t>Naturaleza y alcance del derecho a utilizar activos especificados, de los aspectos pactados en torno a lo que se espera que el concesionario proporcione en relación con el acuerdo de concesión</w:t>
          </w:r>
        </w:p>
        <w:p w14:paraId="72C8EC28" w14:textId="77777777" w:rsidR="00274429" w:rsidRPr="009A46BB" w:rsidRDefault="00274429" w:rsidP="00274429">
          <w:pPr>
            <w:jc w:val="both"/>
            <w:rPr>
              <w:rFonts w:ascii="Times New Roman" w:hAnsi="Times New Roman"/>
              <w:b/>
            </w:rPr>
          </w:pPr>
          <w:r w:rsidRPr="009A46BB">
            <w:rPr>
              <w:rFonts w:ascii="Times New Roman" w:hAnsi="Times New Roman"/>
              <w:b/>
            </w:rPr>
            <w:t>Naturaleza y alcance del derecho de uso de los activos</w:t>
          </w:r>
        </w:p>
        <w:p w14:paraId="2118AE99" w14:textId="22A2BD40" w:rsidR="00274429" w:rsidRPr="009A46BB" w:rsidRDefault="00274429" w:rsidP="00274429">
          <w:pPr>
            <w:jc w:val="both"/>
            <w:rPr>
              <w:rFonts w:ascii="Times New Roman" w:hAnsi="Times New Roman"/>
            </w:rPr>
          </w:pPr>
          <w:r w:rsidRPr="009A46BB">
            <w:rPr>
              <w:rFonts w:ascii="Times New Roman" w:hAnsi="Times New Roman"/>
              <w:b/>
            </w:rPr>
            <w:t>Descripción:</w:t>
          </w:r>
          <w:r w:rsidRPr="009A46BB">
            <w:rPr>
              <w:rFonts w:ascii="Times New Roman" w:hAnsi="Times New Roman"/>
            </w:rPr>
            <w:t xml:space="preserve"> las condiciones especiales de operación del puerto están establecidas en la Cláusula Cuarta del otrosí No. 4 del 2013.</w:t>
          </w:r>
        </w:p>
        <w:p w14:paraId="4AEEE4FE" w14:textId="77777777" w:rsidR="00274429" w:rsidRPr="009A46BB" w:rsidRDefault="00274429" w:rsidP="00274429">
          <w:pPr>
            <w:jc w:val="both"/>
            <w:rPr>
              <w:rFonts w:ascii="Times New Roman" w:hAnsi="Times New Roman"/>
            </w:rPr>
          </w:pPr>
          <w:r w:rsidRPr="009A46BB">
            <w:rPr>
              <w:rFonts w:ascii="Times New Roman" w:hAnsi="Times New Roman"/>
            </w:rPr>
            <w:t xml:space="preserve"> </w:t>
          </w:r>
          <w:r w:rsidRPr="009A46BB">
            <w:rPr>
              <w:rFonts w:ascii="Times New Roman" w:hAnsi="Times New Roman"/>
              <w:b/>
            </w:rPr>
            <w:t>Área entregada en concesión:</w:t>
          </w:r>
          <w:r w:rsidRPr="009A46BB">
            <w:rPr>
              <w:rFonts w:ascii="Times New Roman" w:hAnsi="Times New Roman"/>
            </w:rPr>
            <w:t xml:space="preserve"> La descripción de la ubicación, linderos y extensión de los bienes de uso público (playas y terrenos de baja mar, zonas marítimas accesorias de maniobras) entregados en concesión están establecidos en la cláusula segunda del Otrosí No. 4 del 2013.</w:t>
          </w:r>
        </w:p>
        <w:p w14:paraId="49D3D411" w14:textId="77777777" w:rsidR="00274429" w:rsidRPr="009A46BB" w:rsidRDefault="00274429" w:rsidP="00274429">
          <w:pPr>
            <w:jc w:val="both"/>
            <w:rPr>
              <w:rFonts w:ascii="Times New Roman" w:hAnsi="Times New Roman"/>
              <w:b/>
            </w:rPr>
          </w:pPr>
          <w:r w:rsidRPr="009A46BB">
            <w:rPr>
              <w:rFonts w:ascii="Times New Roman" w:hAnsi="Times New Roman"/>
              <w:b/>
            </w:rPr>
            <w:t>Retribución al concesionario</w:t>
          </w:r>
        </w:p>
        <w:p w14:paraId="5E7B6A50" w14:textId="77777777" w:rsidR="00274429" w:rsidRPr="009A46BB" w:rsidRDefault="00274429" w:rsidP="00274429">
          <w:pPr>
            <w:jc w:val="both"/>
            <w:rPr>
              <w:rFonts w:ascii="Times New Roman" w:hAnsi="Times New Roman"/>
            </w:rPr>
          </w:pPr>
          <w:r w:rsidRPr="009A46BB">
            <w:rPr>
              <w:rFonts w:ascii="Times New Roman" w:hAnsi="Times New Roman"/>
              <w:b/>
            </w:rPr>
            <w:t>Descripción:</w:t>
          </w:r>
          <w:r w:rsidRPr="009A46BB">
            <w:rPr>
              <w:rFonts w:ascii="Times New Roman" w:hAnsi="Times New Roman"/>
            </w:rPr>
            <w:t xml:space="preserve"> En virtud del Contrato de concesión y sus modificaciones, se permite al CONCESIONARIO ocupar y usar de forma temporal y exclusiva las playas, los terrenos de bajamar y zonas accesorias a aquellas o estos, para construcción, administración y operación de un puerto destinado al servicio privado, para el manejo de carbón con el sistema de cargue directo, en la jurisdicción del municipio de Ciénaga, departamento de Magdalena, en el kilómetro ocho sobre la troncal del Caribe en la Vía que comunica del Ciénaga a la Santa Marta, a cambio de la contraprestación establecida en el contrato.</w:t>
          </w:r>
        </w:p>
        <w:p w14:paraId="3FAA6C9C" w14:textId="77777777" w:rsidR="00274429" w:rsidRPr="009A46BB" w:rsidRDefault="00274429" w:rsidP="00274429">
          <w:pPr>
            <w:jc w:val="both"/>
            <w:rPr>
              <w:rFonts w:ascii="Times New Roman" w:hAnsi="Times New Roman"/>
            </w:rPr>
          </w:pPr>
          <w:r w:rsidRPr="009A46BB">
            <w:rPr>
              <w:rFonts w:ascii="Times New Roman" w:hAnsi="Times New Roman"/>
              <w:b/>
            </w:rPr>
            <w:t>Tasa de retribución:</w:t>
          </w:r>
          <w:r w:rsidRPr="009A46BB">
            <w:rPr>
              <w:rFonts w:ascii="Times New Roman" w:hAnsi="Times New Roman"/>
            </w:rPr>
            <w:tab/>
            <w:t>N/A</w:t>
          </w:r>
        </w:p>
        <w:p w14:paraId="08156595" w14:textId="11E95463" w:rsidR="00274429" w:rsidRPr="009A46BB" w:rsidRDefault="00274429" w:rsidP="00E60BAB">
          <w:pPr>
            <w:pStyle w:val="Prrafodelista"/>
            <w:numPr>
              <w:ilvl w:val="0"/>
              <w:numId w:val="166"/>
            </w:numPr>
            <w:jc w:val="both"/>
            <w:rPr>
              <w:rFonts w:ascii="Times New Roman" w:hAnsi="Times New Roman"/>
              <w:b/>
            </w:rPr>
          </w:pPr>
          <w:r w:rsidRPr="009A46BB">
            <w:rPr>
              <w:rFonts w:ascii="Times New Roman" w:hAnsi="Times New Roman"/>
              <w:b/>
            </w:rPr>
            <w:t>Derechos a recibir activos especificados al final del acuerdo de concesión</w:t>
          </w:r>
        </w:p>
        <w:p w14:paraId="37E6AE7D" w14:textId="77777777" w:rsidR="00274429" w:rsidRPr="009A46BB" w:rsidRDefault="00274429" w:rsidP="00274429">
          <w:pPr>
            <w:jc w:val="both"/>
            <w:rPr>
              <w:rFonts w:ascii="Times New Roman" w:hAnsi="Times New Roman"/>
            </w:rPr>
          </w:pPr>
          <w:r w:rsidRPr="009A46BB">
            <w:rPr>
              <w:rFonts w:ascii="Times New Roman" w:hAnsi="Times New Roman"/>
              <w:b/>
            </w:rPr>
            <w:t>Descripción:</w:t>
          </w:r>
          <w:r w:rsidRPr="009A46BB">
            <w:rPr>
              <w:rFonts w:ascii="Times New Roman" w:hAnsi="Times New Roman"/>
            </w:rPr>
            <w:tab/>
            <w:t>De acuerdo con el Artículo 8º de la Ley 1 de 1991 en el modo portuario el concesionario no tiene derechos finales sobre activos los debe revertir a la Nación al final del contrato de concesión.</w:t>
          </w:r>
        </w:p>
        <w:p w14:paraId="27C0D571" w14:textId="1CBCC8EA" w:rsidR="00274429" w:rsidRPr="009A46BB" w:rsidRDefault="00274429" w:rsidP="00274429">
          <w:pPr>
            <w:jc w:val="both"/>
            <w:rPr>
              <w:rFonts w:ascii="Times New Roman" w:hAnsi="Times New Roman"/>
            </w:rPr>
          </w:pPr>
          <w:r w:rsidRPr="009A46BB">
            <w:rPr>
              <w:rFonts w:ascii="Times New Roman" w:hAnsi="Times New Roman"/>
              <w:b/>
            </w:rPr>
            <w:t>Observaciones:</w:t>
          </w:r>
          <w:r w:rsidR="00E8107F" w:rsidRPr="009A46BB">
            <w:rPr>
              <w:rFonts w:ascii="Times New Roman" w:hAnsi="Times New Roman"/>
              <w:b/>
            </w:rPr>
            <w:t xml:space="preserve"> </w:t>
          </w:r>
          <w:r w:rsidR="00E8107F" w:rsidRPr="009A46BB">
            <w:rPr>
              <w:rFonts w:ascii="Times New Roman" w:hAnsi="Times New Roman"/>
            </w:rPr>
            <w:t>NA</w:t>
          </w:r>
        </w:p>
        <w:p w14:paraId="2BC91656" w14:textId="77777777" w:rsidR="00274429" w:rsidRPr="009A46BB" w:rsidRDefault="00274429" w:rsidP="00274429">
          <w:pPr>
            <w:jc w:val="both"/>
            <w:rPr>
              <w:rFonts w:ascii="Times New Roman" w:hAnsi="Times New Roman"/>
            </w:rPr>
          </w:pPr>
          <w:r w:rsidRPr="009A46BB">
            <w:rPr>
              <w:rFonts w:ascii="Times New Roman" w:hAnsi="Times New Roman"/>
              <w:b/>
            </w:rPr>
            <w:t>Reversión:</w:t>
          </w:r>
          <w:r w:rsidRPr="009A46BB">
            <w:rPr>
              <w:rFonts w:ascii="Times New Roman" w:hAnsi="Times New Roman"/>
            </w:rPr>
            <w:t xml:space="preserve"> De acuerdo con lo establecido en la cláusula octava del contrato de concesión, todas las construcciones e inmuebles por destinación, que se encuentren instalados en la zona de uso público otorgada en concesión revertirán gratuitamente por el Concesionario.</w:t>
          </w:r>
        </w:p>
        <w:p w14:paraId="5C6AA341" w14:textId="77777777" w:rsidR="00274429" w:rsidRPr="009A46BB" w:rsidRDefault="00274429" w:rsidP="00274429">
          <w:pPr>
            <w:jc w:val="both"/>
            <w:rPr>
              <w:rFonts w:ascii="Times New Roman" w:hAnsi="Times New Roman"/>
            </w:rPr>
          </w:pPr>
          <w:r w:rsidRPr="009A46BB">
            <w:rPr>
              <w:rFonts w:ascii="Times New Roman" w:hAnsi="Times New Roman"/>
            </w:rPr>
            <w:t>Para tal fin, en el momento de la reversión el CONCESIONARIO elaborará un inventario de los bienes y los enviará para su revisión y aprobación.</w:t>
          </w:r>
        </w:p>
        <w:p w14:paraId="0205CF6E" w14:textId="77777777" w:rsidR="00274429" w:rsidRPr="009A46BB" w:rsidRDefault="00274429" w:rsidP="00274429">
          <w:pPr>
            <w:jc w:val="both"/>
            <w:rPr>
              <w:rFonts w:ascii="Times New Roman" w:hAnsi="Times New Roman"/>
            </w:rPr>
          </w:pPr>
          <w:r w:rsidRPr="009A46BB">
            <w:rPr>
              <w:rFonts w:ascii="Times New Roman" w:hAnsi="Times New Roman"/>
            </w:rPr>
            <w:lastRenderedPageBreak/>
            <w:t>La ANI es la entidad concedente pero la titularidad de los activos al final de la concesión es del Instituto Nacional de Vías INVIAS.</w:t>
          </w:r>
        </w:p>
        <w:p w14:paraId="33F36822" w14:textId="1225B34B" w:rsidR="00274429" w:rsidRPr="009A46BB" w:rsidRDefault="00E8107F" w:rsidP="00E60BAB">
          <w:pPr>
            <w:pStyle w:val="Prrafodelista"/>
            <w:numPr>
              <w:ilvl w:val="0"/>
              <w:numId w:val="166"/>
            </w:numPr>
            <w:jc w:val="both"/>
            <w:rPr>
              <w:rFonts w:ascii="Times New Roman" w:hAnsi="Times New Roman"/>
              <w:b/>
            </w:rPr>
          </w:pPr>
          <w:r w:rsidRPr="009A46BB">
            <w:rPr>
              <w:rFonts w:ascii="Times New Roman" w:hAnsi="Times New Roman"/>
              <w:b/>
            </w:rPr>
            <w:t>No hay c</w:t>
          </w:r>
          <w:r w:rsidR="00274429" w:rsidRPr="009A46BB">
            <w:rPr>
              <w:rFonts w:ascii="Times New Roman" w:hAnsi="Times New Roman"/>
              <w:b/>
            </w:rPr>
            <w:t>ambios en el acuerdo de concesión que se realicen durante el periodo fiscal</w:t>
          </w:r>
        </w:p>
        <w:p w14:paraId="5F3FEF7E" w14:textId="77777777" w:rsidR="00274429" w:rsidRPr="009A46BB" w:rsidRDefault="00274429" w:rsidP="00274429">
          <w:pPr>
            <w:jc w:val="both"/>
            <w:rPr>
              <w:rFonts w:ascii="Times New Roman" w:hAnsi="Times New Roman"/>
            </w:rPr>
          </w:pPr>
        </w:p>
        <w:p w14:paraId="32D3A89D" w14:textId="51A7BB50" w:rsidR="00274429" w:rsidRPr="009A46BB" w:rsidRDefault="00BF5D30" w:rsidP="00BF5D30">
          <w:pPr>
            <w:spacing w:line="259" w:lineRule="auto"/>
            <w:jc w:val="both"/>
            <w:rPr>
              <w:rFonts w:ascii="Times New Roman" w:hAnsi="Times New Roman"/>
              <w:b/>
            </w:rPr>
          </w:pPr>
          <w:r w:rsidRPr="009A46BB">
            <w:rPr>
              <w:rFonts w:ascii="Times New Roman" w:hAnsi="Times New Roman"/>
              <w:b/>
            </w:rPr>
            <w:t xml:space="preserve">SOCIEDAD PORTUARIA REGIONAL DE SANTA MARTA S.A </w:t>
          </w:r>
        </w:p>
        <w:p w14:paraId="7CF861D4" w14:textId="4FE8B1F7" w:rsidR="00274429" w:rsidRPr="009A46BB" w:rsidRDefault="00274429" w:rsidP="00E60BAB">
          <w:pPr>
            <w:pStyle w:val="Prrafodelista"/>
            <w:numPr>
              <w:ilvl w:val="0"/>
              <w:numId w:val="167"/>
            </w:numPr>
            <w:jc w:val="both"/>
            <w:rPr>
              <w:rFonts w:ascii="Times New Roman" w:hAnsi="Times New Roman"/>
              <w:b/>
            </w:rPr>
          </w:pPr>
          <w:r w:rsidRPr="009A46BB">
            <w:rPr>
              <w:rFonts w:ascii="Times New Roman" w:hAnsi="Times New Roman"/>
              <w:b/>
            </w:rPr>
            <w:t>Descripción del acuerdo</w:t>
          </w:r>
        </w:p>
        <w:p w14:paraId="7B916306" w14:textId="375D6EA9" w:rsidR="00274429" w:rsidRPr="009A46BB" w:rsidRDefault="00274429" w:rsidP="1897BB2E">
          <w:pPr>
            <w:spacing w:after="0"/>
            <w:jc w:val="both"/>
            <w:rPr>
              <w:rFonts w:ascii="Times New Roman" w:hAnsi="Times New Roman"/>
            </w:rPr>
          </w:pPr>
          <w:r w:rsidRPr="009A46BB">
            <w:rPr>
              <w:rFonts w:ascii="Times New Roman" w:hAnsi="Times New Roman"/>
              <w:b/>
            </w:rPr>
            <w:t>Número del acuerdo de concesión:</w:t>
          </w:r>
          <w:r w:rsidR="00CF67F3" w:rsidRPr="009A46BB">
            <w:rPr>
              <w:rFonts w:ascii="Times New Roman" w:hAnsi="Times New Roman"/>
              <w:b/>
            </w:rPr>
            <w:t xml:space="preserve"> </w:t>
          </w:r>
          <w:r w:rsidRPr="009A46BB">
            <w:rPr>
              <w:rFonts w:ascii="Times New Roman" w:hAnsi="Times New Roman"/>
            </w:rPr>
            <w:t>Contrato No. 006 de 1993.</w:t>
          </w:r>
        </w:p>
        <w:p w14:paraId="3644F90A" w14:textId="5997FC5C" w:rsidR="00274429" w:rsidRPr="009A46BB" w:rsidRDefault="00274429" w:rsidP="1897BB2E">
          <w:pPr>
            <w:spacing w:after="0"/>
            <w:jc w:val="both"/>
            <w:rPr>
              <w:rFonts w:ascii="Times New Roman" w:hAnsi="Times New Roman"/>
            </w:rPr>
          </w:pPr>
          <w:r w:rsidRPr="009A46BB">
            <w:rPr>
              <w:rFonts w:ascii="Times New Roman" w:hAnsi="Times New Roman"/>
              <w:b/>
            </w:rPr>
            <w:t>Objeto / Descripción:</w:t>
          </w:r>
          <w:r w:rsidR="00CF67F3" w:rsidRPr="009A46BB">
            <w:rPr>
              <w:rFonts w:ascii="Times New Roman" w:hAnsi="Times New Roman"/>
              <w:b/>
            </w:rPr>
            <w:t xml:space="preserve"> </w:t>
          </w:r>
          <w:r w:rsidRPr="009A46BB">
            <w:rPr>
              <w:rFonts w:ascii="Times New Roman" w:hAnsi="Times New Roman"/>
            </w:rPr>
            <w:t>Otorgar a la Sociedad Portuaria Regional de Santa Marta S.A, una concesión portuaria, bajo los siguientes términos:</w:t>
          </w:r>
        </w:p>
        <w:p w14:paraId="0F12BAEB" w14:textId="77777777" w:rsidR="00274429" w:rsidRPr="009A46BB" w:rsidRDefault="00274429" w:rsidP="1897BB2E">
          <w:pPr>
            <w:spacing w:after="0"/>
            <w:jc w:val="both"/>
            <w:rPr>
              <w:rFonts w:ascii="Times New Roman" w:hAnsi="Times New Roman"/>
            </w:rPr>
          </w:pPr>
          <w:r w:rsidRPr="009A46BB">
            <w:rPr>
              <w:rFonts w:ascii="Times New Roman" w:hAnsi="Times New Roman"/>
            </w:rPr>
            <w:t>Derecho a ocupar y utilizar en forma temporal y exclusiva las playas, los terrenos de bajamar y zonas accesorias a aquellas o estos</w:t>
          </w:r>
        </w:p>
        <w:p w14:paraId="5C998B62" w14:textId="77777777" w:rsidR="00274429" w:rsidRPr="009A46BB" w:rsidRDefault="00274429" w:rsidP="1897BB2E">
          <w:pPr>
            <w:spacing w:after="0"/>
            <w:jc w:val="both"/>
            <w:rPr>
              <w:rFonts w:ascii="Times New Roman" w:hAnsi="Times New Roman"/>
            </w:rPr>
          </w:pPr>
          <w:r w:rsidRPr="009A46BB">
            <w:rPr>
              <w:rFonts w:ascii="Times New Roman" w:hAnsi="Times New Roman"/>
            </w:rPr>
            <w:t>Derecho a utilizar temporalmente los muelles, patios, vías bodegas y demás bienes relacionados en la Cláusula Tercera y Quinta del contrato de concesión portuaria</w:t>
          </w:r>
        </w:p>
        <w:p w14:paraId="0985096B" w14:textId="77777777" w:rsidR="00274429" w:rsidRPr="009A46BB" w:rsidRDefault="00274429" w:rsidP="1897BB2E">
          <w:pPr>
            <w:spacing w:after="0"/>
            <w:jc w:val="both"/>
            <w:rPr>
              <w:rFonts w:ascii="Times New Roman" w:hAnsi="Times New Roman"/>
            </w:rPr>
          </w:pPr>
          <w:r w:rsidRPr="009A46BB">
            <w:rPr>
              <w:rFonts w:ascii="Times New Roman" w:hAnsi="Times New Roman"/>
            </w:rPr>
            <w:t>A cambio del pago de una contraprestación económica, a favor de la Nación y del Municipio de Santa Marta.</w:t>
          </w:r>
        </w:p>
        <w:p w14:paraId="2165FB2D" w14:textId="31F23F3F" w:rsidR="00274429" w:rsidRPr="009A46BB" w:rsidRDefault="00274429" w:rsidP="00730054">
          <w:pPr>
            <w:spacing w:after="0"/>
            <w:jc w:val="both"/>
            <w:rPr>
              <w:rFonts w:ascii="Times New Roman" w:hAnsi="Times New Roman"/>
            </w:rPr>
          </w:pPr>
          <w:r w:rsidRPr="009A46BB">
            <w:rPr>
              <w:rFonts w:ascii="Times New Roman" w:hAnsi="Times New Roman"/>
              <w:b/>
            </w:rPr>
            <w:t>Valor inicial:</w:t>
          </w:r>
          <w:r w:rsidR="00CF67F3" w:rsidRPr="009A46BB">
            <w:rPr>
              <w:rFonts w:ascii="Times New Roman" w:hAnsi="Times New Roman"/>
              <w:b/>
            </w:rPr>
            <w:t xml:space="preserve"> </w:t>
          </w:r>
          <w:r w:rsidRPr="009A46BB">
            <w:rPr>
              <w:rFonts w:ascii="Times New Roman" w:hAnsi="Times New Roman"/>
            </w:rPr>
            <w:t>USD$ 18.194.336, como lo indica la Cláusula Décimo Primera del contrato de concesión portuaria.</w:t>
          </w:r>
        </w:p>
        <w:p w14:paraId="212099C0" w14:textId="5E3EA27B" w:rsidR="00274429" w:rsidRPr="009A46BB" w:rsidRDefault="00274429" w:rsidP="00730054">
          <w:pPr>
            <w:spacing w:after="0"/>
            <w:jc w:val="both"/>
            <w:rPr>
              <w:rFonts w:ascii="Times New Roman" w:hAnsi="Times New Roman"/>
            </w:rPr>
          </w:pPr>
          <w:r w:rsidRPr="009A46BB">
            <w:rPr>
              <w:rFonts w:ascii="Times New Roman" w:hAnsi="Times New Roman"/>
              <w:b/>
            </w:rPr>
            <w:t>Fecha de inicio:</w:t>
          </w:r>
          <w:r w:rsidR="00CF67F3" w:rsidRPr="009A46BB">
            <w:rPr>
              <w:rFonts w:ascii="Times New Roman" w:hAnsi="Times New Roman"/>
              <w:b/>
            </w:rPr>
            <w:t xml:space="preserve"> </w:t>
          </w:r>
          <w:r w:rsidRPr="009A46BB">
            <w:rPr>
              <w:rFonts w:ascii="Times New Roman" w:hAnsi="Times New Roman"/>
            </w:rPr>
            <w:t>9/11/1993</w:t>
          </w:r>
        </w:p>
        <w:p w14:paraId="5F6F6D49" w14:textId="33D81EBE" w:rsidR="00274429" w:rsidRPr="009A46BB" w:rsidRDefault="00274429" w:rsidP="00730054">
          <w:pPr>
            <w:spacing w:after="0"/>
            <w:jc w:val="both"/>
            <w:rPr>
              <w:rFonts w:ascii="Times New Roman" w:hAnsi="Times New Roman"/>
            </w:rPr>
          </w:pPr>
          <w:r w:rsidRPr="009A46BB">
            <w:rPr>
              <w:rFonts w:ascii="Times New Roman" w:hAnsi="Times New Roman"/>
              <w:b/>
            </w:rPr>
            <w:t>Fecha de finalización estimada:</w:t>
          </w:r>
          <w:r w:rsidR="00CF67F3" w:rsidRPr="009A46BB">
            <w:rPr>
              <w:rFonts w:ascii="Times New Roman" w:hAnsi="Times New Roman"/>
              <w:b/>
            </w:rPr>
            <w:t xml:space="preserve"> </w:t>
          </w:r>
          <w:r w:rsidRPr="009A46BB">
            <w:rPr>
              <w:rFonts w:ascii="Times New Roman" w:hAnsi="Times New Roman"/>
            </w:rPr>
            <w:t>8/11/2033</w:t>
          </w:r>
        </w:p>
        <w:p w14:paraId="04DAD69C" w14:textId="1998B3CA" w:rsidR="00274429" w:rsidRPr="009A46BB" w:rsidRDefault="00274429" w:rsidP="00730054">
          <w:pPr>
            <w:spacing w:after="0"/>
            <w:jc w:val="both"/>
            <w:rPr>
              <w:rFonts w:ascii="Times New Roman" w:hAnsi="Times New Roman"/>
            </w:rPr>
          </w:pPr>
          <w:r w:rsidRPr="009A46BB">
            <w:rPr>
              <w:rFonts w:ascii="Times New Roman" w:hAnsi="Times New Roman"/>
              <w:b/>
            </w:rPr>
            <w:t>Tipo ID:</w:t>
          </w:r>
          <w:r w:rsidR="00CF67F3" w:rsidRPr="009A46BB">
            <w:rPr>
              <w:rFonts w:ascii="Times New Roman" w:hAnsi="Times New Roman"/>
              <w:b/>
            </w:rPr>
            <w:t xml:space="preserve"> </w:t>
          </w:r>
          <w:r w:rsidRPr="009A46BB">
            <w:rPr>
              <w:rFonts w:ascii="Times New Roman" w:hAnsi="Times New Roman"/>
            </w:rPr>
            <w:t>NIT</w:t>
          </w:r>
        </w:p>
        <w:p w14:paraId="598329AB" w14:textId="46A13D00" w:rsidR="00274429" w:rsidRPr="009A46BB" w:rsidRDefault="00274429" w:rsidP="00730054">
          <w:pPr>
            <w:spacing w:after="0"/>
            <w:jc w:val="both"/>
            <w:rPr>
              <w:rFonts w:ascii="Times New Roman" w:hAnsi="Times New Roman"/>
            </w:rPr>
          </w:pPr>
          <w:r w:rsidRPr="009A46BB">
            <w:rPr>
              <w:rFonts w:ascii="Times New Roman" w:hAnsi="Times New Roman"/>
              <w:b/>
            </w:rPr>
            <w:t>Número ID:</w:t>
          </w:r>
          <w:r w:rsidR="00CF67F3" w:rsidRPr="009A46BB">
            <w:rPr>
              <w:rFonts w:ascii="Times New Roman" w:hAnsi="Times New Roman"/>
              <w:b/>
            </w:rPr>
            <w:t xml:space="preserve"> </w:t>
          </w:r>
          <w:r w:rsidRPr="009A46BB">
            <w:rPr>
              <w:rFonts w:ascii="Times New Roman" w:hAnsi="Times New Roman"/>
            </w:rPr>
            <w:t>800.187.234-1</w:t>
          </w:r>
        </w:p>
        <w:p w14:paraId="64B7BA23" w14:textId="42494362" w:rsidR="00274429" w:rsidRPr="009A46BB" w:rsidRDefault="00274429" w:rsidP="00730054">
          <w:pPr>
            <w:spacing w:after="0"/>
            <w:jc w:val="both"/>
            <w:rPr>
              <w:rFonts w:ascii="Times New Roman" w:hAnsi="Times New Roman"/>
            </w:rPr>
          </w:pPr>
          <w:r w:rsidRPr="009A46BB">
            <w:rPr>
              <w:rFonts w:ascii="Times New Roman" w:hAnsi="Times New Roman"/>
              <w:b/>
            </w:rPr>
            <w:t>Razón social del concesionario:</w:t>
          </w:r>
          <w:r w:rsidR="00CF67F3" w:rsidRPr="009A46BB">
            <w:rPr>
              <w:rFonts w:ascii="Times New Roman" w:hAnsi="Times New Roman"/>
              <w:b/>
            </w:rPr>
            <w:t xml:space="preserve"> </w:t>
          </w:r>
          <w:r w:rsidRPr="009A46BB">
            <w:rPr>
              <w:rFonts w:ascii="Times New Roman" w:hAnsi="Times New Roman"/>
            </w:rPr>
            <w:t xml:space="preserve">Sociedad Portuaria Regional de Santa Marta S.A </w:t>
          </w:r>
        </w:p>
        <w:p w14:paraId="228C7095" w14:textId="14676F94" w:rsidR="00274429" w:rsidRPr="009A46BB" w:rsidRDefault="00274429" w:rsidP="00730054">
          <w:pPr>
            <w:spacing w:after="0"/>
            <w:jc w:val="both"/>
            <w:rPr>
              <w:rFonts w:ascii="Times New Roman" w:hAnsi="Times New Roman"/>
            </w:rPr>
          </w:pPr>
          <w:r w:rsidRPr="009A46BB">
            <w:rPr>
              <w:rFonts w:ascii="Times New Roman" w:hAnsi="Times New Roman"/>
              <w:b/>
            </w:rPr>
            <w:t>Nombre del proyecto:</w:t>
          </w:r>
          <w:r w:rsidR="00CF67F3" w:rsidRPr="009A46BB">
            <w:rPr>
              <w:rFonts w:ascii="Times New Roman" w:hAnsi="Times New Roman"/>
              <w:b/>
            </w:rPr>
            <w:t xml:space="preserve"> </w:t>
          </w:r>
          <w:r w:rsidRPr="009A46BB">
            <w:rPr>
              <w:rFonts w:ascii="Times New Roman" w:hAnsi="Times New Roman"/>
            </w:rPr>
            <w:t xml:space="preserve">Sociedad Portuaria Regional de Santa Marta S.A </w:t>
          </w:r>
        </w:p>
        <w:p w14:paraId="3B5F32A0" w14:textId="2A09546C" w:rsidR="1897BB2E" w:rsidRDefault="1897BB2E" w:rsidP="1897BB2E">
          <w:pPr>
            <w:spacing w:after="0"/>
            <w:jc w:val="both"/>
            <w:rPr>
              <w:rFonts w:ascii="Times New Roman" w:hAnsi="Times New Roman"/>
            </w:rPr>
          </w:pPr>
        </w:p>
        <w:p w14:paraId="00C7CC4A" w14:textId="1F12C168" w:rsidR="00274429" w:rsidRPr="009A46BB" w:rsidRDefault="00274429" w:rsidP="00E60BAB">
          <w:pPr>
            <w:pStyle w:val="Prrafodelista"/>
            <w:numPr>
              <w:ilvl w:val="0"/>
              <w:numId w:val="167"/>
            </w:numPr>
            <w:jc w:val="both"/>
            <w:rPr>
              <w:rFonts w:ascii="Times New Roman" w:hAnsi="Times New Roman"/>
              <w:b/>
            </w:rPr>
          </w:pPr>
          <w:r w:rsidRPr="009A46BB">
            <w:rPr>
              <w:rFonts w:ascii="Times New Roman" w:hAnsi="Times New Roman"/>
              <w:b/>
            </w:rPr>
            <w:t xml:space="preserve">Términos significativos del acuerdo que puedan afectar su valor, el calendario y la certeza de los flujos </w:t>
          </w:r>
        </w:p>
        <w:p w14:paraId="0BF4E34A" w14:textId="77777777" w:rsidR="00274429" w:rsidRPr="009A46BB" w:rsidRDefault="00274429" w:rsidP="00274429">
          <w:pPr>
            <w:jc w:val="both"/>
            <w:rPr>
              <w:rFonts w:ascii="Times New Roman" w:hAnsi="Times New Roman"/>
            </w:rPr>
          </w:pPr>
          <w:r w:rsidRPr="009A46BB">
            <w:rPr>
              <w:rFonts w:ascii="Times New Roman" w:hAnsi="Times New Roman"/>
              <w:b/>
            </w:rPr>
            <w:t>Términos de valor:</w:t>
          </w:r>
        </w:p>
        <w:p w14:paraId="4CC04E66" w14:textId="77777777" w:rsidR="00274429" w:rsidRPr="009A46BB" w:rsidRDefault="00274429" w:rsidP="00274429">
          <w:pPr>
            <w:jc w:val="both"/>
            <w:rPr>
              <w:rFonts w:ascii="Times New Roman" w:hAnsi="Times New Roman"/>
            </w:rPr>
          </w:pPr>
          <w:r w:rsidRPr="009A46BB">
            <w:rPr>
              <w:rFonts w:ascii="Times New Roman" w:hAnsi="Times New Roman"/>
              <w:b/>
            </w:rPr>
            <w:t>Tarifas.</w:t>
          </w:r>
          <w:r w:rsidRPr="009A46BB">
            <w:rPr>
              <w:rFonts w:ascii="Times New Roman" w:hAnsi="Times New Roman"/>
            </w:rPr>
            <w:t xml:space="preserve"> Al ser el terminal marítimo de servicio público, la Ley 1 de 1991 establece que las tarifas requieren la aprobación, según la metodología establecida por la Superintendencia General de Puertos -hoy Superintendencia de Transporte-.</w:t>
          </w:r>
        </w:p>
        <w:p w14:paraId="088C6D19" w14:textId="77777777" w:rsidR="00274429" w:rsidRPr="009A46BB" w:rsidRDefault="00274429" w:rsidP="00274429">
          <w:pPr>
            <w:jc w:val="both"/>
            <w:rPr>
              <w:rFonts w:ascii="Times New Roman" w:hAnsi="Times New Roman"/>
            </w:rPr>
          </w:pPr>
          <w:r w:rsidRPr="009A46BB">
            <w:rPr>
              <w:rFonts w:ascii="Times New Roman" w:hAnsi="Times New Roman"/>
              <w:b/>
            </w:rPr>
            <w:t>Contraprestación.</w:t>
          </w:r>
          <w:r w:rsidRPr="009A46BB">
            <w:rPr>
              <w:rFonts w:ascii="Times New Roman" w:hAnsi="Times New Roman"/>
            </w:rPr>
            <w:t xml:space="preserve"> La Clausula Quinta del Otrosí No. 006 adopta la metodología establecida en la Resolución 1873 de 2008, conforme a lo previsto en el parágrafo 1 del Artículo 1 de la Ley 856 del 21 de diciembre de 2003, que modifica el Artículo 7 de la Ley 1ª de 1991 (80% le corresponde a la Nación – INVÍAS y el 20% restante, al Municipio de Santa Marta). Por concepto de infraestructura le corresponde en un 100% a la Nación – INVIAS.</w:t>
          </w:r>
        </w:p>
        <w:p w14:paraId="0E41FF33" w14:textId="77777777" w:rsidR="00274429" w:rsidRPr="009A46BB" w:rsidRDefault="00274429" w:rsidP="00274429">
          <w:pPr>
            <w:jc w:val="both"/>
            <w:rPr>
              <w:rFonts w:ascii="Times New Roman" w:hAnsi="Times New Roman"/>
            </w:rPr>
          </w:pPr>
          <w:r w:rsidRPr="009A46BB">
            <w:rPr>
              <w:rFonts w:ascii="Times New Roman" w:hAnsi="Times New Roman"/>
            </w:rPr>
            <w:t>Para el año 2023, se proyectó que la Sociedad Portuaria pagará la suma de USD 3.287.636 por concepto de ZUP y el valor de USD 2.483.031 por concepto de Infraestructura aproximadamente.</w:t>
          </w:r>
        </w:p>
        <w:p w14:paraId="14E7F3F6" w14:textId="77777777" w:rsidR="00274429" w:rsidRPr="009A46BB" w:rsidRDefault="00274429" w:rsidP="00274429">
          <w:pPr>
            <w:jc w:val="both"/>
            <w:rPr>
              <w:rFonts w:ascii="Times New Roman" w:hAnsi="Times New Roman"/>
            </w:rPr>
          </w:pPr>
          <w:r w:rsidRPr="009A46BB">
            <w:rPr>
              <w:rFonts w:ascii="Times New Roman" w:hAnsi="Times New Roman"/>
              <w:b/>
            </w:rPr>
            <w:t>Plan de Inversiones:</w:t>
          </w:r>
          <w:r w:rsidRPr="009A46BB">
            <w:rPr>
              <w:rFonts w:ascii="Times New Roman" w:hAnsi="Times New Roman"/>
            </w:rPr>
            <w:t xml:space="preserve"> Por valor de USD$ 127.355.455 constantes de 2007, según lo indica el Parágrafo Primero de la Clausula Primera del Otrosí No. 007 del contrato de concesión portuaria</w:t>
          </w:r>
        </w:p>
        <w:p w14:paraId="2186F332" w14:textId="77777777" w:rsidR="00274429" w:rsidRPr="009A46BB" w:rsidRDefault="00274429" w:rsidP="00274429">
          <w:pPr>
            <w:jc w:val="both"/>
            <w:rPr>
              <w:rFonts w:ascii="Times New Roman" w:hAnsi="Times New Roman"/>
            </w:rPr>
          </w:pPr>
          <w:r w:rsidRPr="009A46BB">
            <w:rPr>
              <w:rFonts w:ascii="Times New Roman" w:hAnsi="Times New Roman"/>
              <w:b/>
            </w:rPr>
            <w:t>Multas y Sanciones:</w:t>
          </w:r>
          <w:r w:rsidRPr="009A46BB">
            <w:rPr>
              <w:rFonts w:ascii="Times New Roman" w:hAnsi="Times New Roman"/>
            </w:rPr>
            <w:t xml:space="preserve"> La Cláusula Segunda del Otrosí No. 7, establece: “(…) se causarán sanciones y multas por los siguientes hechos: (i). Por la no ejecución al final de cada una de las etapas de la totalidad </w:t>
          </w:r>
          <w:r w:rsidRPr="009A46BB">
            <w:rPr>
              <w:rFonts w:ascii="Times New Roman" w:hAnsi="Times New Roman"/>
            </w:rPr>
            <w:lastRenderedPageBreak/>
            <w:t>de la inversión establecida para las mismas, se causará multas hasta por el cinco (5%) de las inversiones dejadas de ejecutar. (ii). Si informo a la entidad por escrito de alguna modificación y no ejecutó como mínimo el 75% del plan de Inversión anual las multas se causarán hasta por el 5% de las inversiones dejadas de ejecutar al final de cada etapa, o del porcentaje no ejecutado dentro de la anualidad comprendida en la respectiva etapa.”.</w:t>
          </w:r>
        </w:p>
        <w:p w14:paraId="512C7BF0" w14:textId="77777777" w:rsidR="00274429" w:rsidRPr="009A46BB" w:rsidRDefault="00274429" w:rsidP="00274429">
          <w:pPr>
            <w:jc w:val="both"/>
            <w:rPr>
              <w:rFonts w:ascii="Times New Roman" w:hAnsi="Times New Roman"/>
            </w:rPr>
          </w:pPr>
          <w:r w:rsidRPr="009A46BB">
            <w:rPr>
              <w:rFonts w:ascii="Times New Roman" w:hAnsi="Times New Roman"/>
            </w:rPr>
            <w:t>Penal Pecuniaria Según Clausula Decima Sexta, del Contrato de Concesión Portuaria No.006 de 1993, la cual se hará efectiva en caso de incumplimiento o se declare la caducidad del contrato, se podrá imponer una penalidad pecuniaria del 10% del valor total de la contraprestación.</w:t>
          </w:r>
        </w:p>
        <w:p w14:paraId="329B7790" w14:textId="77777777" w:rsidR="00274429" w:rsidRPr="009A46BB" w:rsidRDefault="00274429" w:rsidP="00274429">
          <w:pPr>
            <w:jc w:val="both"/>
            <w:rPr>
              <w:rFonts w:ascii="Times New Roman" w:hAnsi="Times New Roman"/>
            </w:rPr>
          </w:pPr>
          <w:r w:rsidRPr="009A46BB">
            <w:rPr>
              <w:rFonts w:ascii="Times New Roman" w:hAnsi="Times New Roman"/>
              <w:b/>
            </w:rPr>
            <w:t>Términos de calendario:</w:t>
          </w:r>
        </w:p>
        <w:p w14:paraId="11468CD5" w14:textId="77777777" w:rsidR="00274429" w:rsidRPr="009A46BB" w:rsidRDefault="00274429" w:rsidP="00274429">
          <w:pPr>
            <w:jc w:val="both"/>
            <w:rPr>
              <w:rFonts w:ascii="Times New Roman" w:hAnsi="Times New Roman"/>
            </w:rPr>
          </w:pPr>
          <w:r w:rsidRPr="009A46BB">
            <w:rPr>
              <w:rFonts w:ascii="Times New Roman" w:hAnsi="Times New Roman"/>
              <w:b/>
            </w:rPr>
            <w:t>Tarifas.</w:t>
          </w:r>
          <w:r w:rsidRPr="009A46BB">
            <w:rPr>
              <w:rFonts w:ascii="Times New Roman" w:hAnsi="Times New Roman"/>
            </w:rPr>
            <w:t xml:space="preserve"> Según publicación de la Superintendencia de Transporte (Tarifas Sociedades Portuarias de Servicio Público 2020), de conformidad con lo establecido en el Artículo 19 de la Ley 1 de 1991 y la Resolución 723 de 1993 y sus modificatorias.</w:t>
          </w:r>
        </w:p>
        <w:p w14:paraId="5A957FB9" w14:textId="77777777" w:rsidR="00274429" w:rsidRPr="009A46BB" w:rsidRDefault="00274429" w:rsidP="00274429">
          <w:pPr>
            <w:jc w:val="both"/>
            <w:rPr>
              <w:rFonts w:ascii="Times New Roman" w:hAnsi="Times New Roman"/>
            </w:rPr>
          </w:pPr>
          <w:r w:rsidRPr="009A46BB">
            <w:rPr>
              <w:rFonts w:ascii="Times New Roman" w:hAnsi="Times New Roman"/>
            </w:rPr>
            <w:t>Link Superintendencia de Transporte:</w:t>
          </w:r>
        </w:p>
        <w:p w14:paraId="3451CCD3" w14:textId="77777777" w:rsidR="00274429" w:rsidRPr="009A46BB" w:rsidRDefault="00274429" w:rsidP="00274429">
          <w:pPr>
            <w:jc w:val="both"/>
            <w:rPr>
              <w:rFonts w:ascii="Times New Roman" w:hAnsi="Times New Roman"/>
            </w:rPr>
          </w:pPr>
          <w:r w:rsidRPr="009A46BB">
            <w:rPr>
              <w:rFonts w:ascii="Times New Roman" w:hAnsi="Times New Roman"/>
            </w:rPr>
            <w:t>https://www.supertransporte.gov.co/index.php/superintendencia-delegada-de-puertos/tarifas- sociedades-portuarias-y-fluviales/</w:t>
          </w:r>
        </w:p>
        <w:p w14:paraId="412B94B7" w14:textId="77777777" w:rsidR="00274429" w:rsidRPr="009A46BB" w:rsidRDefault="00274429" w:rsidP="00274429">
          <w:pPr>
            <w:jc w:val="both"/>
            <w:rPr>
              <w:rFonts w:ascii="Times New Roman" w:hAnsi="Times New Roman"/>
            </w:rPr>
          </w:pPr>
          <w:r w:rsidRPr="009A46BB">
            <w:rPr>
              <w:rFonts w:ascii="Times New Roman" w:hAnsi="Times New Roman"/>
              <w:b/>
            </w:rPr>
            <w:t>Contraprestación.</w:t>
          </w:r>
          <w:r w:rsidRPr="009A46BB">
            <w:rPr>
              <w:rFonts w:ascii="Times New Roman" w:hAnsi="Times New Roman"/>
            </w:rPr>
            <w:t xml:space="preserve"> La Sociedad Portuaria Regional de Santa Marta S.A, ha realizado el pago de la contraprestación correspondiente al año 2023, liquidación anual, pagadero en semestres vencidos, tal como indica en el Decreto 1873 de 2008.</w:t>
          </w:r>
        </w:p>
        <w:p w14:paraId="3FF5170F" w14:textId="77777777" w:rsidR="00274429" w:rsidRPr="009A46BB" w:rsidRDefault="00274429" w:rsidP="00274429">
          <w:pPr>
            <w:jc w:val="both"/>
            <w:rPr>
              <w:rFonts w:ascii="Times New Roman" w:hAnsi="Times New Roman"/>
            </w:rPr>
          </w:pPr>
          <w:r w:rsidRPr="009A46BB">
            <w:rPr>
              <w:rFonts w:ascii="Times New Roman" w:hAnsi="Times New Roman"/>
              <w:b/>
            </w:rPr>
            <w:t>Plan de Inversiones.</w:t>
          </w:r>
          <w:r w:rsidRPr="009A46BB">
            <w:rPr>
              <w:rFonts w:ascii="Times New Roman" w:hAnsi="Times New Roman"/>
            </w:rPr>
            <w:t xml:space="preserve"> USD$ 127.355.455 constantes de 2007, distribuidos en 3 etapas, que van entre el año 2008 al año 2033, tal como lo indica la Clausula Primera del Otrosí No. 007 al contrato de concesión portuaria.</w:t>
          </w:r>
        </w:p>
        <w:p w14:paraId="3882677A" w14:textId="77777777" w:rsidR="00274429" w:rsidRPr="009A46BB" w:rsidRDefault="00274429" w:rsidP="00274429">
          <w:pPr>
            <w:jc w:val="both"/>
            <w:rPr>
              <w:rFonts w:ascii="Times New Roman" w:hAnsi="Times New Roman"/>
            </w:rPr>
          </w:pPr>
          <w:r w:rsidRPr="009A46BB">
            <w:rPr>
              <w:rFonts w:ascii="Times New Roman" w:hAnsi="Times New Roman"/>
              <w:b/>
            </w:rPr>
            <w:t>Sanciones.</w:t>
          </w:r>
          <w:r w:rsidRPr="009A46BB">
            <w:rPr>
              <w:rFonts w:ascii="Times New Roman" w:hAnsi="Times New Roman"/>
            </w:rPr>
            <w:t xml:space="preserve"> Según lo indica la Cláusula Segunda del Otrosí No. 007 de 2010.</w:t>
          </w:r>
        </w:p>
        <w:p w14:paraId="7DC882AA" w14:textId="77777777" w:rsidR="00274429" w:rsidRPr="009A46BB" w:rsidRDefault="00274429" w:rsidP="00274429">
          <w:pPr>
            <w:jc w:val="both"/>
            <w:rPr>
              <w:rFonts w:ascii="Times New Roman" w:hAnsi="Times New Roman"/>
            </w:rPr>
          </w:pPr>
          <w:r w:rsidRPr="009A46BB">
            <w:rPr>
              <w:rFonts w:ascii="Times New Roman" w:hAnsi="Times New Roman"/>
              <w:b/>
            </w:rPr>
            <w:t>Penal Pecuniaria.</w:t>
          </w:r>
          <w:r w:rsidRPr="009A46BB">
            <w:rPr>
              <w:rFonts w:ascii="Times New Roman" w:hAnsi="Times New Roman"/>
            </w:rPr>
            <w:t xml:space="preserve"> Según lo indica la Cláusula Décima Sexta, del Contrato de concesión.</w:t>
          </w:r>
        </w:p>
        <w:p w14:paraId="7897BE85" w14:textId="16549BD6" w:rsidR="00274429" w:rsidRPr="009A46BB" w:rsidRDefault="00274429" w:rsidP="00274429">
          <w:pPr>
            <w:jc w:val="both"/>
            <w:rPr>
              <w:rFonts w:ascii="Times New Roman" w:hAnsi="Times New Roman"/>
            </w:rPr>
          </w:pPr>
          <w:r w:rsidRPr="009A46BB">
            <w:rPr>
              <w:rFonts w:ascii="Times New Roman" w:hAnsi="Times New Roman"/>
              <w:b/>
            </w:rPr>
            <w:t>Términos de certeza de flujos de efectivo futuros:</w:t>
          </w:r>
          <w:r w:rsidR="00CF67F3" w:rsidRPr="009A46BB">
            <w:rPr>
              <w:rFonts w:ascii="Times New Roman" w:hAnsi="Times New Roman"/>
              <w:b/>
            </w:rPr>
            <w:t xml:space="preserve"> </w:t>
          </w:r>
          <w:r w:rsidRPr="009A46BB">
            <w:rPr>
              <w:rFonts w:ascii="Times New Roman" w:hAnsi="Times New Roman"/>
            </w:rPr>
            <w:t>Se otorga a EL CONCESIONARIO, el derecho de ocupar y utilizar en forma temporal y exclusiva las playas, los terrenos de bajamar y zonas accesorias a aquellas o estos, descritos en la cláusula segunda del contrato de concesión portuaria; a cambio de la contraprestación económica.</w:t>
          </w:r>
        </w:p>
        <w:p w14:paraId="7074E8C1" w14:textId="77777777" w:rsidR="00274429" w:rsidRPr="009A46BB" w:rsidRDefault="00274429" w:rsidP="00274429">
          <w:pPr>
            <w:jc w:val="both"/>
            <w:rPr>
              <w:rFonts w:ascii="Times New Roman" w:hAnsi="Times New Roman"/>
            </w:rPr>
          </w:pPr>
          <w:r w:rsidRPr="009A46BB">
            <w:rPr>
              <w:rFonts w:ascii="Times New Roman" w:hAnsi="Times New Roman"/>
            </w:rPr>
            <w:t>Cláusula Décimo Primera, numeral 11.2.1 y 11.2.2 Del valor a pagar por concepto de contraprestación por Zona de Uso público el 80% le corresponde a la Nación-INVIAS y el 20 % al Distrito de Santa Marta y por Infraestructura el 100% a la Nación-INVIAS</w:t>
          </w:r>
        </w:p>
        <w:p w14:paraId="50121871" w14:textId="755FEAC6" w:rsidR="00274429" w:rsidRPr="009A46BB" w:rsidRDefault="00274429" w:rsidP="00E60BAB">
          <w:pPr>
            <w:pStyle w:val="Prrafodelista"/>
            <w:numPr>
              <w:ilvl w:val="0"/>
              <w:numId w:val="167"/>
            </w:numPr>
            <w:jc w:val="both"/>
            <w:rPr>
              <w:rFonts w:ascii="Times New Roman" w:hAnsi="Times New Roman"/>
              <w:b/>
            </w:rPr>
          </w:pPr>
          <w:r w:rsidRPr="009A46BB">
            <w:rPr>
              <w:rFonts w:ascii="Times New Roman" w:hAnsi="Times New Roman"/>
              <w:b/>
            </w:rPr>
            <w:t xml:space="preserve">Naturaleza y alcance del derecho a utilizar activos especificados, de los aspectos pactados en torno a lo que se espera que el concesionario proporcione en relación con el acuerdo de concesión. </w:t>
          </w:r>
        </w:p>
        <w:p w14:paraId="61408948" w14:textId="77777777" w:rsidR="00274429" w:rsidRPr="009A46BB" w:rsidRDefault="00274429" w:rsidP="00274429">
          <w:pPr>
            <w:jc w:val="both"/>
            <w:rPr>
              <w:rFonts w:ascii="Times New Roman" w:hAnsi="Times New Roman"/>
              <w:b/>
            </w:rPr>
          </w:pPr>
          <w:r w:rsidRPr="009A46BB">
            <w:rPr>
              <w:rFonts w:ascii="Times New Roman" w:hAnsi="Times New Roman"/>
              <w:b/>
            </w:rPr>
            <w:t>Naturaleza y alcance del derecho de uso de los activos</w:t>
          </w:r>
        </w:p>
        <w:p w14:paraId="03DF6E05" w14:textId="77777777" w:rsidR="00274429" w:rsidRPr="009A46BB" w:rsidRDefault="00274429" w:rsidP="00274429">
          <w:pPr>
            <w:jc w:val="both"/>
            <w:rPr>
              <w:rFonts w:ascii="Times New Roman" w:hAnsi="Times New Roman"/>
            </w:rPr>
          </w:pPr>
          <w:r w:rsidRPr="009A46BB">
            <w:rPr>
              <w:rFonts w:ascii="Times New Roman" w:hAnsi="Times New Roman"/>
              <w:b/>
            </w:rPr>
            <w:t>Descripción:</w:t>
          </w:r>
          <w:r w:rsidRPr="009A46BB">
            <w:rPr>
              <w:rFonts w:ascii="Times New Roman" w:hAnsi="Times New Roman"/>
            </w:rPr>
            <w:tab/>
            <w:t>Alcance del derecho de uso de los activos. Zona de Uso Público que incluye el sector de playa, terrenos de bajamar y las zonas accesorias a aquellos o estos; así como la infraestructura y construcciones ubicadas en ella.</w:t>
          </w:r>
        </w:p>
        <w:p w14:paraId="2D8C67A5" w14:textId="77777777" w:rsidR="00274429" w:rsidRPr="009A46BB" w:rsidRDefault="00274429" w:rsidP="00274429">
          <w:pPr>
            <w:jc w:val="both"/>
            <w:rPr>
              <w:rFonts w:ascii="Times New Roman" w:hAnsi="Times New Roman"/>
            </w:rPr>
          </w:pPr>
          <w:r w:rsidRPr="009A46BB">
            <w:rPr>
              <w:rFonts w:ascii="Times New Roman" w:hAnsi="Times New Roman"/>
              <w:b/>
            </w:rPr>
            <w:t>Área entregada en concesión.</w:t>
          </w:r>
          <w:r w:rsidRPr="009A46BB">
            <w:rPr>
              <w:rFonts w:ascii="Times New Roman" w:hAnsi="Times New Roman"/>
            </w:rPr>
            <w:t xml:space="preserve"> Se encuentra Determinada en la Cláusula Segunda del Contrato de Concesión Portuaria No. 006 de 1993, en la cual se realizó una descripción exacta de la ubicación, </w:t>
          </w:r>
          <w:r w:rsidRPr="009A46BB">
            <w:rPr>
              <w:rFonts w:ascii="Times New Roman" w:hAnsi="Times New Roman"/>
            </w:rPr>
            <w:lastRenderedPageBreak/>
            <w:t>linderos y extensión de los bienes de uso público entregados en concesión. A su vez, la Cláusula Segunda del Otrosí No. 006 de 2008, hace referencia al Plan Maestro, utilización de las áreas, reorganización Física del Terminal e incorporación de Nuevas Áreas Portuarias a la Concesión (según la Resolución 245 del 30 de Mayo de 2008).</w:t>
          </w:r>
        </w:p>
        <w:p w14:paraId="7E70F6C2" w14:textId="77777777" w:rsidR="00274429" w:rsidRPr="009A46BB" w:rsidRDefault="00274429" w:rsidP="00274429">
          <w:pPr>
            <w:jc w:val="both"/>
            <w:rPr>
              <w:rFonts w:ascii="Times New Roman" w:hAnsi="Times New Roman"/>
            </w:rPr>
          </w:pPr>
          <w:r w:rsidRPr="009A46BB">
            <w:rPr>
              <w:rFonts w:ascii="Times New Roman" w:hAnsi="Times New Roman"/>
              <w:b/>
            </w:rPr>
            <w:t>Infraestructura y equipos entregados en concesión.</w:t>
          </w:r>
          <w:r w:rsidRPr="009A46BB">
            <w:rPr>
              <w:rFonts w:ascii="Times New Roman" w:hAnsi="Times New Roman"/>
            </w:rPr>
            <w:t xml:space="preserve"> Los Equipos e infraestructura entregados en concesión, se encuentran descritos y especificados según lo establece la Cláusula Quinta del Contrato de Concesión Portuaria No.006 de 1993, en acta suscrita por las partes (Muelles de carga, Bodegas, Cobertizos, Edificios, Patios y Red Férrea)</w:t>
          </w:r>
        </w:p>
        <w:p w14:paraId="4EB77E2A" w14:textId="4146622F" w:rsidR="00274429" w:rsidRPr="009A46BB" w:rsidRDefault="00274429" w:rsidP="00274429">
          <w:pPr>
            <w:jc w:val="both"/>
            <w:rPr>
              <w:rFonts w:ascii="Times New Roman" w:hAnsi="Times New Roman"/>
            </w:rPr>
          </w:pPr>
          <w:r w:rsidRPr="009A46BB">
            <w:rPr>
              <w:rFonts w:ascii="Times New Roman" w:hAnsi="Times New Roman"/>
              <w:b/>
            </w:rPr>
            <w:t>Observaciones:</w:t>
          </w:r>
          <w:r w:rsidR="09CDC2C3" w:rsidRPr="1897BB2E">
            <w:rPr>
              <w:rFonts w:ascii="Times New Roman" w:hAnsi="Times New Roman"/>
              <w:b/>
              <w:bCs/>
            </w:rPr>
            <w:t xml:space="preserve"> </w:t>
          </w:r>
          <w:r w:rsidRPr="009A46BB">
            <w:rPr>
              <w:rFonts w:ascii="Times New Roman" w:hAnsi="Times New Roman"/>
            </w:rPr>
            <w:t>N/A</w:t>
          </w:r>
        </w:p>
        <w:p w14:paraId="706FFDAD" w14:textId="77777777" w:rsidR="00274429" w:rsidRPr="009A46BB" w:rsidRDefault="00274429" w:rsidP="00274429">
          <w:pPr>
            <w:jc w:val="both"/>
            <w:rPr>
              <w:rFonts w:ascii="Times New Roman" w:hAnsi="Times New Roman"/>
              <w:b/>
            </w:rPr>
          </w:pPr>
          <w:r w:rsidRPr="009A46BB">
            <w:rPr>
              <w:rFonts w:ascii="Times New Roman" w:hAnsi="Times New Roman"/>
              <w:b/>
            </w:rPr>
            <w:t>Retribución al concesionario</w:t>
          </w:r>
        </w:p>
        <w:p w14:paraId="1363CFAF" w14:textId="6A10640A" w:rsidR="00274429" w:rsidRPr="009A46BB" w:rsidRDefault="00274429" w:rsidP="00274429">
          <w:pPr>
            <w:jc w:val="both"/>
            <w:rPr>
              <w:rFonts w:ascii="Times New Roman" w:hAnsi="Times New Roman"/>
            </w:rPr>
          </w:pPr>
          <w:r w:rsidRPr="009A46BB">
            <w:rPr>
              <w:rFonts w:ascii="Times New Roman" w:hAnsi="Times New Roman"/>
              <w:b/>
            </w:rPr>
            <w:t>Descripción:</w:t>
          </w:r>
          <w:r w:rsidR="61275A82" w:rsidRPr="1897BB2E">
            <w:rPr>
              <w:rFonts w:ascii="Times New Roman" w:hAnsi="Times New Roman"/>
              <w:b/>
              <w:bCs/>
            </w:rPr>
            <w:t xml:space="preserve"> </w:t>
          </w:r>
          <w:r w:rsidRPr="009A46BB">
            <w:rPr>
              <w:rFonts w:ascii="Times New Roman" w:hAnsi="Times New Roman"/>
            </w:rPr>
            <w:t>Zona de Uso Público que incluye el sector de playa, terrenos de bajamar y las zonas accesorias a aquellos o estos; así como la infraestructura y construcciones ubicadas en ella.</w:t>
          </w:r>
        </w:p>
        <w:p w14:paraId="77232D89" w14:textId="686DC38C" w:rsidR="00274429" w:rsidRPr="009A46BB" w:rsidRDefault="00274429" w:rsidP="00274429">
          <w:pPr>
            <w:jc w:val="both"/>
            <w:rPr>
              <w:rFonts w:ascii="Times New Roman" w:hAnsi="Times New Roman"/>
            </w:rPr>
          </w:pPr>
          <w:r w:rsidRPr="009A46BB">
            <w:rPr>
              <w:rFonts w:ascii="Times New Roman" w:hAnsi="Times New Roman"/>
              <w:b/>
            </w:rPr>
            <w:t>Tasa de retribución:</w:t>
          </w:r>
          <w:r w:rsidR="3497C96F" w:rsidRPr="1897BB2E">
            <w:rPr>
              <w:rFonts w:ascii="Times New Roman" w:hAnsi="Times New Roman"/>
              <w:b/>
              <w:bCs/>
            </w:rPr>
            <w:t xml:space="preserve"> </w:t>
          </w:r>
          <w:r w:rsidRPr="009A46BB">
            <w:rPr>
              <w:rFonts w:ascii="Times New Roman" w:hAnsi="Times New Roman"/>
            </w:rPr>
            <w:t>N/A</w:t>
          </w:r>
        </w:p>
        <w:p w14:paraId="1B96CD1E" w14:textId="293E057A" w:rsidR="00274429" w:rsidRPr="009A46BB" w:rsidRDefault="00274429" w:rsidP="00E60BAB">
          <w:pPr>
            <w:pStyle w:val="Prrafodelista"/>
            <w:numPr>
              <w:ilvl w:val="0"/>
              <w:numId w:val="167"/>
            </w:numPr>
            <w:jc w:val="both"/>
            <w:rPr>
              <w:rFonts w:ascii="Times New Roman" w:hAnsi="Times New Roman"/>
              <w:b/>
            </w:rPr>
          </w:pPr>
          <w:r w:rsidRPr="009A46BB">
            <w:rPr>
              <w:rFonts w:ascii="Times New Roman" w:hAnsi="Times New Roman"/>
              <w:b/>
            </w:rPr>
            <w:t>Derechos a recibir activos especificados al final del acuerdo de concesión</w:t>
          </w:r>
        </w:p>
        <w:p w14:paraId="0347C48E" w14:textId="1A6D5487" w:rsidR="00274429" w:rsidRPr="009A46BB" w:rsidRDefault="00274429" w:rsidP="00274429">
          <w:pPr>
            <w:jc w:val="both"/>
            <w:rPr>
              <w:rFonts w:ascii="Times New Roman" w:hAnsi="Times New Roman"/>
            </w:rPr>
          </w:pPr>
          <w:r w:rsidRPr="009A46BB">
            <w:rPr>
              <w:rFonts w:ascii="Times New Roman" w:hAnsi="Times New Roman"/>
              <w:b/>
            </w:rPr>
            <w:t>Descripción:</w:t>
          </w:r>
          <w:r w:rsidR="5B4D7C7F" w:rsidRPr="1897BB2E">
            <w:rPr>
              <w:rFonts w:ascii="Times New Roman" w:hAnsi="Times New Roman"/>
              <w:b/>
              <w:bCs/>
            </w:rPr>
            <w:t xml:space="preserve"> </w:t>
          </w:r>
          <w:r w:rsidRPr="009A46BB">
            <w:rPr>
              <w:rFonts w:ascii="Times New Roman" w:hAnsi="Times New Roman"/>
            </w:rPr>
            <w:t>De acuerdo con el Artículo 8º de la Ley 1 de 1991 en el modo portuario el concesionario no tiene derechos finales sobre activos los debe revertir a la Nación al final del contrato de concesión.</w:t>
          </w:r>
        </w:p>
        <w:p w14:paraId="734C2817" w14:textId="4695AD3C" w:rsidR="00274429" w:rsidRPr="009A46BB" w:rsidRDefault="00274429" w:rsidP="00274429">
          <w:pPr>
            <w:jc w:val="both"/>
            <w:rPr>
              <w:rFonts w:ascii="Times New Roman" w:hAnsi="Times New Roman"/>
            </w:rPr>
          </w:pPr>
          <w:r w:rsidRPr="009A46BB">
            <w:rPr>
              <w:rFonts w:ascii="Times New Roman" w:hAnsi="Times New Roman"/>
              <w:b/>
            </w:rPr>
            <w:t>Observaciones:</w:t>
          </w:r>
          <w:r w:rsidR="110A594A" w:rsidRPr="1897BB2E">
            <w:rPr>
              <w:rFonts w:ascii="Times New Roman" w:hAnsi="Times New Roman"/>
              <w:b/>
              <w:bCs/>
            </w:rPr>
            <w:t xml:space="preserve"> </w:t>
          </w:r>
          <w:r w:rsidRPr="009A46BB">
            <w:rPr>
              <w:rFonts w:ascii="Times New Roman" w:hAnsi="Times New Roman"/>
            </w:rPr>
            <w:t>La cláusula Novena del Contrato de Concesión Portuaria No. 006 de 1993, indica: “…Todas las construcciones e inmuebles por destinación, que se encuentren instaladas en la zona de uso público en concesión en virtud del presente contrato, revertirán gratuitamente por el CONCESIONARIO a la SUPERINTENDENCIA, en buen estado de mantenimiento y operación …”</w:t>
          </w:r>
        </w:p>
        <w:p w14:paraId="4BAAF683" w14:textId="77777777" w:rsidR="00274429" w:rsidRPr="009A46BB" w:rsidRDefault="00274429" w:rsidP="00274429">
          <w:pPr>
            <w:jc w:val="both"/>
            <w:rPr>
              <w:rFonts w:ascii="Times New Roman" w:hAnsi="Times New Roman"/>
              <w:b/>
            </w:rPr>
          </w:pPr>
          <w:r w:rsidRPr="009A46BB">
            <w:rPr>
              <w:rFonts w:ascii="Times New Roman" w:hAnsi="Times New Roman"/>
              <w:b/>
            </w:rPr>
            <w:t>e. Cambios en el acuerdo de concesión que se realicen durante el periodo fiscal</w:t>
          </w:r>
        </w:p>
        <w:p w14:paraId="78BFEF9B" w14:textId="77777777" w:rsidR="00274429" w:rsidRPr="009A46BB" w:rsidRDefault="00274429" w:rsidP="4EAD433C">
          <w:pPr>
            <w:spacing w:after="0"/>
            <w:jc w:val="both"/>
            <w:rPr>
              <w:rFonts w:ascii="Times New Roman" w:hAnsi="Times New Roman"/>
              <w:b/>
            </w:rPr>
          </w:pPr>
          <w:r w:rsidRPr="009A46BB">
            <w:rPr>
              <w:rFonts w:ascii="Times New Roman" w:hAnsi="Times New Roman"/>
              <w:b/>
            </w:rPr>
            <w:t>Adiciones o modificaciones en tiempo</w:t>
          </w:r>
        </w:p>
        <w:p w14:paraId="2878EA07" w14:textId="12E375BE" w:rsidR="00274429" w:rsidRPr="009A46BB" w:rsidRDefault="00274429" w:rsidP="4EAD433C">
          <w:pPr>
            <w:spacing w:after="0"/>
            <w:jc w:val="both"/>
            <w:rPr>
              <w:rFonts w:ascii="Times New Roman" w:hAnsi="Times New Roman"/>
            </w:rPr>
          </w:pPr>
          <w:r w:rsidRPr="009A46BB">
            <w:rPr>
              <w:rFonts w:ascii="Times New Roman" w:hAnsi="Times New Roman"/>
              <w:b/>
            </w:rPr>
            <w:t>Fechas de las adiciones o modificaciones</w:t>
          </w:r>
          <w:r w:rsidR="00DC6F87" w:rsidRPr="009A46BB">
            <w:rPr>
              <w:rFonts w:ascii="Times New Roman" w:hAnsi="Times New Roman"/>
              <w:b/>
            </w:rPr>
            <w:t xml:space="preserve">: </w:t>
          </w:r>
          <w:r w:rsidRPr="009A46BB">
            <w:rPr>
              <w:rFonts w:ascii="Times New Roman" w:hAnsi="Times New Roman"/>
            </w:rPr>
            <w:t>30-05-2008</w:t>
          </w:r>
        </w:p>
        <w:p w14:paraId="20B8CC61" w14:textId="2A4D8175" w:rsidR="00274429" w:rsidRPr="009A46BB" w:rsidRDefault="00274429" w:rsidP="4EAD433C">
          <w:pPr>
            <w:spacing w:after="0"/>
            <w:jc w:val="both"/>
            <w:rPr>
              <w:rFonts w:ascii="Times New Roman" w:hAnsi="Times New Roman"/>
            </w:rPr>
          </w:pPr>
          <w:r w:rsidRPr="009A46BB">
            <w:rPr>
              <w:rFonts w:ascii="Times New Roman" w:hAnsi="Times New Roman"/>
              <w:b/>
            </w:rPr>
            <w:t>Nueva fecha de finalización estimada</w:t>
          </w:r>
          <w:r w:rsidR="00DC6F87" w:rsidRPr="009A46BB">
            <w:rPr>
              <w:rFonts w:ascii="Times New Roman" w:hAnsi="Times New Roman"/>
              <w:b/>
            </w:rPr>
            <w:t xml:space="preserve">: </w:t>
          </w:r>
          <w:r w:rsidRPr="009A46BB">
            <w:rPr>
              <w:rFonts w:ascii="Times New Roman" w:hAnsi="Times New Roman"/>
            </w:rPr>
            <w:t>08-11-2033</w:t>
          </w:r>
        </w:p>
        <w:p w14:paraId="55EAD0A6" w14:textId="3EA9D4D0" w:rsidR="00274429" w:rsidRPr="009A46BB" w:rsidRDefault="00274429" w:rsidP="4EAD433C">
          <w:pPr>
            <w:spacing w:after="0"/>
            <w:jc w:val="both"/>
            <w:rPr>
              <w:rFonts w:ascii="Times New Roman" w:hAnsi="Times New Roman"/>
            </w:rPr>
          </w:pPr>
          <w:r w:rsidRPr="009A46BB">
            <w:rPr>
              <w:rFonts w:ascii="Times New Roman" w:hAnsi="Times New Roman"/>
              <w:b/>
            </w:rPr>
            <w:t>Observaciones</w:t>
          </w:r>
          <w:r w:rsidR="00DC6F87" w:rsidRPr="009A46BB">
            <w:rPr>
              <w:rFonts w:ascii="Times New Roman" w:hAnsi="Times New Roman"/>
              <w:b/>
            </w:rPr>
            <w:t xml:space="preserve">: </w:t>
          </w:r>
          <w:r w:rsidRPr="009A46BB">
            <w:rPr>
              <w:rFonts w:ascii="Times New Roman" w:hAnsi="Times New Roman"/>
            </w:rPr>
            <w:t>Según lo indica la Cláusula Quinta “modificación del Plazo de la concesión portuaria” del Otrosí No. 006 de 2008.</w:t>
          </w:r>
        </w:p>
        <w:p w14:paraId="0B90ED0E" w14:textId="1DCBDFE4" w:rsidR="4EAD433C" w:rsidRDefault="4EAD433C" w:rsidP="4EAD433C">
          <w:pPr>
            <w:jc w:val="both"/>
            <w:rPr>
              <w:rFonts w:ascii="Times New Roman" w:hAnsi="Times New Roman"/>
              <w:b/>
              <w:bCs/>
            </w:rPr>
          </w:pPr>
        </w:p>
        <w:p w14:paraId="2C5343DA" w14:textId="77777777" w:rsidR="00274429" w:rsidRPr="009A46BB" w:rsidRDefault="00274429" w:rsidP="4EAD433C">
          <w:pPr>
            <w:spacing w:after="0"/>
            <w:jc w:val="both"/>
            <w:rPr>
              <w:rFonts w:ascii="Times New Roman" w:hAnsi="Times New Roman"/>
              <w:b/>
            </w:rPr>
          </w:pPr>
          <w:r w:rsidRPr="009A46BB">
            <w:rPr>
              <w:rFonts w:ascii="Times New Roman" w:hAnsi="Times New Roman"/>
              <w:b/>
            </w:rPr>
            <w:t>Adiciones o modificaciones en valor</w:t>
          </w:r>
        </w:p>
        <w:p w14:paraId="092F454B" w14:textId="2612E1D8" w:rsidR="00274429" w:rsidRPr="009A46BB" w:rsidRDefault="00274429" w:rsidP="4EAD433C">
          <w:pPr>
            <w:spacing w:after="0"/>
            <w:jc w:val="both"/>
            <w:rPr>
              <w:rFonts w:ascii="Times New Roman" w:hAnsi="Times New Roman"/>
            </w:rPr>
          </w:pPr>
          <w:r w:rsidRPr="009A46BB">
            <w:rPr>
              <w:rFonts w:ascii="Times New Roman" w:hAnsi="Times New Roman"/>
              <w:b/>
            </w:rPr>
            <w:t>Valor de la adición o modificación</w:t>
          </w:r>
          <w:r w:rsidR="00DC6F87" w:rsidRPr="009A46BB">
            <w:rPr>
              <w:rFonts w:ascii="Times New Roman" w:hAnsi="Times New Roman"/>
              <w:b/>
            </w:rPr>
            <w:t xml:space="preserve">: </w:t>
          </w:r>
          <w:r w:rsidRPr="009A46BB">
            <w:rPr>
              <w:rFonts w:ascii="Times New Roman" w:hAnsi="Times New Roman"/>
            </w:rPr>
            <w:t>VPN Contraprestación USD$ 35.976.267</w:t>
          </w:r>
        </w:p>
        <w:p w14:paraId="0F07AFA5" w14:textId="76CC562A" w:rsidR="00274429" w:rsidRPr="009A46BB" w:rsidRDefault="00274429" w:rsidP="4EAD433C">
          <w:pPr>
            <w:spacing w:after="0"/>
            <w:jc w:val="both"/>
            <w:rPr>
              <w:rFonts w:ascii="Times New Roman" w:hAnsi="Times New Roman"/>
            </w:rPr>
          </w:pPr>
          <w:r w:rsidRPr="009A46BB">
            <w:rPr>
              <w:rFonts w:ascii="Times New Roman" w:hAnsi="Times New Roman"/>
              <w:b/>
            </w:rPr>
            <w:t>Nuevo valor del acuerdo</w:t>
          </w:r>
          <w:r w:rsidR="00DC6F87" w:rsidRPr="009A46BB">
            <w:rPr>
              <w:rFonts w:ascii="Times New Roman" w:hAnsi="Times New Roman"/>
              <w:b/>
            </w:rPr>
            <w:t>:</w:t>
          </w:r>
          <w:r w:rsidR="1A4549DB" w:rsidRPr="4EAD433C">
            <w:rPr>
              <w:rFonts w:ascii="Times New Roman" w:hAnsi="Times New Roman"/>
              <w:b/>
              <w:bCs/>
            </w:rPr>
            <w:t xml:space="preserve"> </w:t>
          </w:r>
          <w:r w:rsidRPr="009A46BB">
            <w:rPr>
              <w:rFonts w:ascii="Times New Roman" w:hAnsi="Times New Roman"/>
            </w:rPr>
            <w:t>VPN Contraprestación USD$ 35.976.267</w:t>
          </w:r>
        </w:p>
        <w:p w14:paraId="34EA0A75" w14:textId="656CA975" w:rsidR="00274429" w:rsidRPr="009A46BB" w:rsidRDefault="00DC6F87" w:rsidP="4EAD433C">
          <w:pPr>
            <w:spacing w:after="0"/>
            <w:jc w:val="both"/>
            <w:rPr>
              <w:rFonts w:ascii="Times New Roman" w:hAnsi="Times New Roman"/>
            </w:rPr>
          </w:pPr>
          <w:r w:rsidRPr="009A46BB">
            <w:rPr>
              <w:rFonts w:ascii="Times New Roman" w:hAnsi="Times New Roman"/>
              <w:b/>
            </w:rPr>
            <w:t>Observaciones:</w:t>
          </w:r>
          <w:r w:rsidRPr="009A46BB">
            <w:rPr>
              <w:rFonts w:ascii="Times New Roman" w:hAnsi="Times New Roman"/>
            </w:rPr>
            <w:t xml:space="preserve"> </w:t>
          </w:r>
          <w:r w:rsidR="00274429" w:rsidRPr="009A46BB">
            <w:rPr>
              <w:rFonts w:ascii="Times New Roman" w:hAnsi="Times New Roman"/>
            </w:rPr>
            <w:t>Corresponde a metodología definida en el Decreto No. 1873 de 2008, tal como lo establece la Cláusula Quinta del Otrosí No. 006. Para cálculo VPN, se toman los flujos de contraprestación, relacionados en la Tabla de la Pág. 16, con una Tasa del 12% E.A</w:t>
          </w:r>
        </w:p>
        <w:p w14:paraId="438E4D3C" w14:textId="1B3B1FF0" w:rsidR="00274429" w:rsidRPr="009A46BB" w:rsidRDefault="00274429" w:rsidP="4EAD433C">
          <w:pPr>
            <w:spacing w:after="0"/>
            <w:jc w:val="both"/>
            <w:rPr>
              <w:rFonts w:ascii="Times New Roman" w:hAnsi="Times New Roman"/>
            </w:rPr>
          </w:pPr>
          <w:r w:rsidRPr="009A46BB">
            <w:rPr>
              <w:rFonts w:ascii="Times New Roman" w:hAnsi="Times New Roman"/>
              <w:b/>
            </w:rPr>
            <w:t>Valor de la adición o modificación</w:t>
          </w:r>
          <w:r w:rsidR="00DC6F87" w:rsidRPr="009A46BB">
            <w:rPr>
              <w:rFonts w:ascii="Times New Roman" w:hAnsi="Times New Roman"/>
              <w:b/>
            </w:rPr>
            <w:t xml:space="preserve">: </w:t>
          </w:r>
          <w:r w:rsidRPr="009A46BB">
            <w:rPr>
              <w:rFonts w:ascii="Times New Roman" w:hAnsi="Times New Roman"/>
            </w:rPr>
            <w:t>Plan de Inversión: USD 127.355.455 constantes de 2007</w:t>
          </w:r>
        </w:p>
        <w:p w14:paraId="0B8DF188" w14:textId="04FC3FE6" w:rsidR="00274429" w:rsidRPr="009A46BB" w:rsidRDefault="00274429" w:rsidP="4EAD433C">
          <w:pPr>
            <w:spacing w:after="0"/>
            <w:jc w:val="both"/>
            <w:rPr>
              <w:rFonts w:ascii="Times New Roman" w:hAnsi="Times New Roman"/>
            </w:rPr>
          </w:pPr>
          <w:r w:rsidRPr="009A46BB">
            <w:rPr>
              <w:rFonts w:ascii="Times New Roman" w:hAnsi="Times New Roman"/>
              <w:b/>
            </w:rPr>
            <w:t>Nuevo valor del acuerdo</w:t>
          </w:r>
          <w:r w:rsidR="00DC6F87" w:rsidRPr="009A46BB">
            <w:rPr>
              <w:rFonts w:ascii="Times New Roman" w:hAnsi="Times New Roman"/>
              <w:b/>
            </w:rPr>
            <w:t xml:space="preserve">: </w:t>
          </w:r>
          <w:r w:rsidRPr="009A46BB">
            <w:rPr>
              <w:rFonts w:ascii="Times New Roman" w:hAnsi="Times New Roman"/>
            </w:rPr>
            <w:t>Plan de Inversión: USD 127.355.455 constantes de 2007</w:t>
          </w:r>
        </w:p>
        <w:p w14:paraId="5F779764" w14:textId="5AA36D8B" w:rsidR="00274429" w:rsidRPr="009A46BB" w:rsidRDefault="00DC6F87" w:rsidP="4EAD433C">
          <w:pPr>
            <w:spacing w:after="0"/>
            <w:jc w:val="both"/>
            <w:rPr>
              <w:rFonts w:ascii="Times New Roman" w:hAnsi="Times New Roman"/>
            </w:rPr>
          </w:pPr>
          <w:r w:rsidRPr="009A46BB">
            <w:rPr>
              <w:rFonts w:ascii="Times New Roman" w:hAnsi="Times New Roman"/>
              <w:b/>
            </w:rPr>
            <w:t>Observaciones:</w:t>
          </w:r>
          <w:r w:rsidRPr="009A46BB">
            <w:rPr>
              <w:rFonts w:ascii="Times New Roman" w:hAnsi="Times New Roman"/>
            </w:rPr>
            <w:t xml:space="preserve"> </w:t>
          </w:r>
          <w:r w:rsidR="00274429" w:rsidRPr="009A46BB">
            <w:rPr>
              <w:rFonts w:ascii="Times New Roman" w:hAnsi="Times New Roman"/>
            </w:rPr>
            <w:t>Corresponde al Plan de Inversiones descrito en el Parágrafo Primero de la Cláusula Primera, del Otrosí No. 007</w:t>
          </w:r>
        </w:p>
        <w:p w14:paraId="09F7BEE2" w14:textId="77777777" w:rsidR="00274429" w:rsidRPr="009A46BB" w:rsidRDefault="00274429" w:rsidP="00274429">
          <w:pPr>
            <w:jc w:val="both"/>
            <w:rPr>
              <w:rFonts w:ascii="Times New Roman" w:hAnsi="Times New Roman"/>
            </w:rPr>
          </w:pPr>
        </w:p>
        <w:p w14:paraId="006298A1" w14:textId="116721B4" w:rsidR="00274429" w:rsidRPr="009A46BB" w:rsidRDefault="00CF67F3" w:rsidP="00CF67F3">
          <w:pPr>
            <w:spacing w:line="259" w:lineRule="auto"/>
            <w:jc w:val="both"/>
            <w:rPr>
              <w:rFonts w:ascii="Times New Roman" w:hAnsi="Times New Roman"/>
              <w:b/>
            </w:rPr>
          </w:pPr>
          <w:r w:rsidRPr="009A46BB">
            <w:rPr>
              <w:rFonts w:ascii="Times New Roman" w:hAnsi="Times New Roman"/>
              <w:b/>
            </w:rPr>
            <w:t>SOCIEDAD PORTUARIA REGIONAL DE CARTAGENA S.A.</w:t>
          </w:r>
        </w:p>
        <w:p w14:paraId="706B9E8C" w14:textId="198C9F62" w:rsidR="00274429" w:rsidRPr="009A46BB" w:rsidRDefault="00274429" w:rsidP="00274429">
          <w:pPr>
            <w:jc w:val="both"/>
            <w:rPr>
              <w:rFonts w:ascii="Times New Roman" w:hAnsi="Times New Roman"/>
              <w:b/>
            </w:rPr>
          </w:pPr>
          <w:r w:rsidRPr="009A46BB">
            <w:rPr>
              <w:rFonts w:ascii="Times New Roman" w:hAnsi="Times New Roman"/>
              <w:b/>
            </w:rPr>
            <w:t>a.</w:t>
          </w:r>
          <w:r w:rsidR="00FF40B9" w:rsidRPr="009A46BB">
            <w:rPr>
              <w:rFonts w:ascii="Times New Roman" w:hAnsi="Times New Roman"/>
              <w:b/>
            </w:rPr>
            <w:t xml:space="preserve"> </w:t>
          </w:r>
          <w:r w:rsidRPr="009A46BB">
            <w:rPr>
              <w:rFonts w:ascii="Times New Roman" w:hAnsi="Times New Roman"/>
              <w:b/>
            </w:rPr>
            <w:t>Descripción del acuerdo</w:t>
          </w:r>
        </w:p>
        <w:p w14:paraId="17424904" w14:textId="0703D134" w:rsidR="00274429" w:rsidRPr="009A46BB" w:rsidRDefault="00274429" w:rsidP="4EAD433C">
          <w:pPr>
            <w:spacing w:after="0"/>
            <w:jc w:val="both"/>
            <w:rPr>
              <w:rFonts w:ascii="Times New Roman" w:hAnsi="Times New Roman"/>
            </w:rPr>
          </w:pPr>
          <w:r w:rsidRPr="009A46BB">
            <w:rPr>
              <w:rFonts w:ascii="Times New Roman" w:hAnsi="Times New Roman"/>
              <w:b/>
            </w:rPr>
            <w:lastRenderedPageBreak/>
            <w:t>Número del acuerdo de concesión:</w:t>
          </w:r>
          <w:r w:rsidR="000A6E21" w:rsidRPr="009A46BB">
            <w:rPr>
              <w:rFonts w:ascii="Times New Roman" w:hAnsi="Times New Roman"/>
              <w:b/>
            </w:rPr>
            <w:t xml:space="preserve"> </w:t>
          </w:r>
          <w:r w:rsidRPr="009A46BB">
            <w:rPr>
              <w:rFonts w:ascii="Times New Roman" w:hAnsi="Times New Roman"/>
            </w:rPr>
            <w:t>Contrato de Concesión Portuario No. 007 de 1993.</w:t>
          </w:r>
        </w:p>
        <w:p w14:paraId="116E7273" w14:textId="100F2252" w:rsidR="00274429" w:rsidRPr="009A46BB" w:rsidRDefault="00274429" w:rsidP="4EAD433C">
          <w:pPr>
            <w:spacing w:after="0"/>
            <w:jc w:val="both"/>
            <w:rPr>
              <w:rFonts w:ascii="Times New Roman" w:hAnsi="Times New Roman"/>
            </w:rPr>
          </w:pPr>
          <w:r w:rsidRPr="009A46BB">
            <w:rPr>
              <w:rFonts w:ascii="Times New Roman" w:hAnsi="Times New Roman"/>
              <w:b/>
            </w:rPr>
            <w:t>Objeto / Descripción:</w:t>
          </w:r>
          <w:r w:rsidR="000A6E21" w:rsidRPr="009A46BB">
            <w:rPr>
              <w:rFonts w:ascii="Times New Roman" w:hAnsi="Times New Roman"/>
              <w:b/>
            </w:rPr>
            <w:t xml:space="preserve"> </w:t>
          </w:r>
          <w:r w:rsidRPr="009A46BB">
            <w:rPr>
              <w:rFonts w:ascii="Times New Roman" w:hAnsi="Times New Roman"/>
            </w:rPr>
            <w:t>La SUPERINTENDENCIA en virtud delcontrato, otorga a la SOCIEDAD PORTUARIA REGIONAL DE CARTAGENA S.A. una concesión portuaria en los siguientes términos: a) Se otorga a EL CONCESIONARIO el derecho de ocupar y utilizar en forma temporal y exclusiva las playas, los terrenos de bajamar y zonas accesorias a aquellas o estos, descritos en la cláusula segunda delcontrato, a cambio de la contraprestación económica de que trata la cláusula decima primera de este contrato, a favor de la Nación y del distrito de CARTAGENA, donde operara el mencionado puerto. El puerto será de servicio público, habilitado para el comercio exterior y para prestar el servicio a toda clase de carga. b) Se otorga a EL CONCESIONARIO el derecho a utilizar temporalmente los muelles, patios, bodegas y demás bienes relacionados en la Cláusula Tercera, y Quinta del contrato, a cambio de la contraprestación de que trata la Cláusula Decima Primera del mismo, a favor de la Nación exclusivamente.</w:t>
          </w:r>
        </w:p>
        <w:p w14:paraId="2CB9B6A7" w14:textId="48564EBA" w:rsidR="00274429" w:rsidRPr="009A46BB" w:rsidRDefault="00274429" w:rsidP="4EAD433C">
          <w:pPr>
            <w:spacing w:after="0"/>
            <w:jc w:val="both"/>
            <w:rPr>
              <w:rFonts w:ascii="Times New Roman" w:hAnsi="Times New Roman"/>
            </w:rPr>
          </w:pPr>
          <w:r w:rsidRPr="009A46BB">
            <w:rPr>
              <w:rFonts w:ascii="Times New Roman" w:hAnsi="Times New Roman"/>
              <w:b/>
            </w:rPr>
            <w:t>Valor inicial:</w:t>
          </w:r>
          <w:r w:rsidR="000A6E21" w:rsidRPr="009A46BB">
            <w:rPr>
              <w:rFonts w:ascii="Times New Roman" w:hAnsi="Times New Roman"/>
              <w:b/>
            </w:rPr>
            <w:t xml:space="preserve"> </w:t>
          </w:r>
          <w:r w:rsidRPr="009A46BB">
            <w:rPr>
              <w:rFonts w:ascii="Times New Roman" w:hAnsi="Times New Roman"/>
            </w:rPr>
            <w:t>USD $8.946.250 Cláusula décima primera / Contrato No 007 de 1993.</w:t>
          </w:r>
        </w:p>
        <w:p w14:paraId="15F54514" w14:textId="2B067449" w:rsidR="00274429" w:rsidRPr="009A46BB" w:rsidRDefault="00274429" w:rsidP="00730054">
          <w:pPr>
            <w:spacing w:after="0"/>
            <w:jc w:val="both"/>
            <w:rPr>
              <w:rFonts w:ascii="Times New Roman" w:hAnsi="Times New Roman"/>
            </w:rPr>
          </w:pPr>
          <w:r w:rsidRPr="009A46BB">
            <w:rPr>
              <w:rFonts w:ascii="Times New Roman" w:hAnsi="Times New Roman"/>
              <w:b/>
            </w:rPr>
            <w:t>Fecha de inicio:</w:t>
          </w:r>
          <w:r w:rsidR="000A6E21" w:rsidRPr="009A46BB">
            <w:rPr>
              <w:rFonts w:ascii="Times New Roman" w:hAnsi="Times New Roman"/>
              <w:b/>
            </w:rPr>
            <w:t xml:space="preserve"> </w:t>
          </w:r>
          <w:r w:rsidRPr="009A46BB">
            <w:rPr>
              <w:rFonts w:ascii="Times New Roman" w:hAnsi="Times New Roman"/>
            </w:rPr>
            <w:t>8/07/1993</w:t>
          </w:r>
        </w:p>
        <w:p w14:paraId="14A9F536" w14:textId="2E8B232A" w:rsidR="00274429" w:rsidRPr="009A46BB" w:rsidRDefault="00274429" w:rsidP="00730054">
          <w:pPr>
            <w:spacing w:after="0"/>
            <w:jc w:val="both"/>
            <w:rPr>
              <w:rFonts w:ascii="Times New Roman" w:hAnsi="Times New Roman"/>
            </w:rPr>
          </w:pPr>
          <w:r w:rsidRPr="009A46BB">
            <w:rPr>
              <w:rFonts w:ascii="Times New Roman" w:hAnsi="Times New Roman"/>
              <w:b/>
            </w:rPr>
            <w:t>Fecha de finalización estimada:</w:t>
          </w:r>
          <w:r w:rsidR="000A6E21" w:rsidRPr="009A46BB">
            <w:rPr>
              <w:rFonts w:ascii="Times New Roman" w:hAnsi="Times New Roman"/>
              <w:b/>
            </w:rPr>
            <w:t xml:space="preserve"> </w:t>
          </w:r>
          <w:r w:rsidRPr="009A46BB">
            <w:rPr>
              <w:rFonts w:ascii="Times New Roman" w:hAnsi="Times New Roman"/>
            </w:rPr>
            <w:t>13/12/2033</w:t>
          </w:r>
        </w:p>
        <w:p w14:paraId="064C03CF" w14:textId="0D816B8A" w:rsidR="00274429" w:rsidRPr="009A46BB" w:rsidRDefault="00274429" w:rsidP="00730054">
          <w:pPr>
            <w:spacing w:after="0"/>
            <w:jc w:val="both"/>
            <w:rPr>
              <w:rFonts w:ascii="Times New Roman" w:hAnsi="Times New Roman"/>
            </w:rPr>
          </w:pPr>
          <w:r w:rsidRPr="009A46BB">
            <w:rPr>
              <w:rFonts w:ascii="Times New Roman" w:hAnsi="Times New Roman"/>
              <w:b/>
            </w:rPr>
            <w:t>Tipo ID:</w:t>
          </w:r>
          <w:r w:rsidR="000A6E21" w:rsidRPr="009A46BB">
            <w:rPr>
              <w:rFonts w:ascii="Times New Roman" w:hAnsi="Times New Roman"/>
              <w:b/>
            </w:rPr>
            <w:t xml:space="preserve"> </w:t>
          </w:r>
          <w:r w:rsidRPr="009A46BB">
            <w:rPr>
              <w:rFonts w:ascii="Times New Roman" w:hAnsi="Times New Roman"/>
            </w:rPr>
            <w:t>NIT</w:t>
          </w:r>
        </w:p>
        <w:p w14:paraId="43523C20" w14:textId="19F54586" w:rsidR="00274429" w:rsidRPr="009A46BB" w:rsidRDefault="00274429" w:rsidP="00730054">
          <w:pPr>
            <w:spacing w:after="0"/>
            <w:jc w:val="both"/>
            <w:rPr>
              <w:rFonts w:ascii="Times New Roman" w:hAnsi="Times New Roman"/>
            </w:rPr>
          </w:pPr>
          <w:r w:rsidRPr="009A46BB">
            <w:rPr>
              <w:rFonts w:ascii="Times New Roman" w:hAnsi="Times New Roman"/>
              <w:b/>
            </w:rPr>
            <w:t>Número ID:</w:t>
          </w:r>
          <w:r w:rsidR="000A6E21" w:rsidRPr="009A46BB">
            <w:rPr>
              <w:rFonts w:ascii="Times New Roman" w:hAnsi="Times New Roman"/>
              <w:b/>
            </w:rPr>
            <w:t xml:space="preserve"> </w:t>
          </w:r>
          <w:r w:rsidRPr="009A46BB">
            <w:rPr>
              <w:rFonts w:ascii="Times New Roman" w:hAnsi="Times New Roman"/>
            </w:rPr>
            <w:t>800.200.969</w:t>
          </w:r>
        </w:p>
        <w:p w14:paraId="63B7C15A" w14:textId="5CBA1888" w:rsidR="00274429" w:rsidRPr="009A46BB" w:rsidRDefault="00274429" w:rsidP="00274429">
          <w:pPr>
            <w:jc w:val="both"/>
            <w:rPr>
              <w:rFonts w:ascii="Times New Roman" w:hAnsi="Times New Roman"/>
            </w:rPr>
          </w:pPr>
          <w:r w:rsidRPr="009A46BB">
            <w:rPr>
              <w:rFonts w:ascii="Times New Roman" w:hAnsi="Times New Roman"/>
              <w:b/>
            </w:rPr>
            <w:t>Razón social del concesionario:</w:t>
          </w:r>
          <w:r w:rsidR="000A6E21" w:rsidRPr="009A46BB">
            <w:rPr>
              <w:rFonts w:ascii="Times New Roman" w:hAnsi="Times New Roman"/>
              <w:b/>
            </w:rPr>
            <w:t xml:space="preserve"> </w:t>
          </w:r>
          <w:r w:rsidRPr="009A46BB">
            <w:rPr>
              <w:rFonts w:ascii="Times New Roman" w:hAnsi="Times New Roman"/>
            </w:rPr>
            <w:t>Sociedad Portuaria Regional de Cartagena S.A.</w:t>
          </w:r>
        </w:p>
        <w:p w14:paraId="5125D5D6" w14:textId="5D34B587" w:rsidR="00274429" w:rsidRPr="009A46BB" w:rsidRDefault="00274429" w:rsidP="00274429">
          <w:pPr>
            <w:jc w:val="both"/>
            <w:rPr>
              <w:rFonts w:ascii="Times New Roman" w:hAnsi="Times New Roman"/>
            </w:rPr>
          </w:pPr>
          <w:r w:rsidRPr="009A46BB">
            <w:rPr>
              <w:rFonts w:ascii="Times New Roman" w:hAnsi="Times New Roman"/>
              <w:b/>
            </w:rPr>
            <w:t>Nombre del proyecto:</w:t>
          </w:r>
          <w:r w:rsidR="000A6E21" w:rsidRPr="009A46BB">
            <w:rPr>
              <w:rFonts w:ascii="Times New Roman" w:hAnsi="Times New Roman"/>
              <w:b/>
            </w:rPr>
            <w:t xml:space="preserve"> </w:t>
          </w:r>
          <w:r w:rsidRPr="009A46BB">
            <w:rPr>
              <w:rFonts w:ascii="Times New Roman" w:hAnsi="Times New Roman"/>
            </w:rPr>
            <w:t>Sociedad Portuaria Regional de Cartagena S.A.</w:t>
          </w:r>
        </w:p>
        <w:p w14:paraId="3389537A" w14:textId="52697C71" w:rsidR="00274429" w:rsidRPr="009A46BB" w:rsidRDefault="00274429" w:rsidP="00E60BAB">
          <w:pPr>
            <w:pStyle w:val="Prrafodelista"/>
            <w:numPr>
              <w:ilvl w:val="0"/>
              <w:numId w:val="92"/>
            </w:numPr>
            <w:jc w:val="both"/>
            <w:rPr>
              <w:rFonts w:ascii="Times New Roman" w:hAnsi="Times New Roman"/>
              <w:b/>
            </w:rPr>
          </w:pPr>
          <w:r w:rsidRPr="009A46BB">
            <w:rPr>
              <w:rFonts w:ascii="Times New Roman" w:hAnsi="Times New Roman"/>
              <w:b/>
            </w:rPr>
            <w:t>Términos significativos del acuerdo que puedan afectar su valor, el calendario y la certeza de los flujos</w:t>
          </w:r>
        </w:p>
        <w:p w14:paraId="365435E7" w14:textId="77777777" w:rsidR="00274429" w:rsidRPr="009A46BB" w:rsidRDefault="00274429" w:rsidP="00274429">
          <w:pPr>
            <w:jc w:val="both"/>
            <w:rPr>
              <w:rFonts w:ascii="Times New Roman" w:hAnsi="Times New Roman"/>
            </w:rPr>
          </w:pPr>
          <w:r w:rsidRPr="009A46BB">
            <w:rPr>
              <w:rFonts w:ascii="Times New Roman" w:hAnsi="Times New Roman"/>
              <w:b/>
            </w:rPr>
            <w:t>Términos de valor:</w:t>
          </w:r>
        </w:p>
        <w:p w14:paraId="57A4BCCD" w14:textId="77777777" w:rsidR="00274429" w:rsidRPr="009A46BB" w:rsidRDefault="00274429" w:rsidP="00274429">
          <w:pPr>
            <w:jc w:val="both"/>
            <w:rPr>
              <w:rFonts w:ascii="Times New Roman" w:hAnsi="Times New Roman"/>
            </w:rPr>
          </w:pPr>
          <w:r w:rsidRPr="009A46BB">
            <w:rPr>
              <w:rFonts w:ascii="Times New Roman" w:hAnsi="Times New Roman"/>
              <w:b/>
            </w:rPr>
            <w:t>1: Tarifas:</w:t>
          </w:r>
          <w:r w:rsidRPr="009A46BB">
            <w:rPr>
              <w:rFonts w:ascii="Times New Roman" w:hAnsi="Times New Roman"/>
            </w:rPr>
            <w:t xml:space="preserve">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w:t>
          </w:r>
        </w:p>
        <w:p w14:paraId="65EBF52A" w14:textId="77777777" w:rsidR="00274429" w:rsidRPr="009A46BB" w:rsidRDefault="00274429" w:rsidP="00274429">
          <w:pPr>
            <w:jc w:val="both"/>
            <w:rPr>
              <w:rFonts w:ascii="Times New Roman" w:hAnsi="Times New Roman"/>
            </w:rPr>
          </w:pPr>
          <w:r w:rsidRPr="009A46BB">
            <w:rPr>
              <w:rFonts w:ascii="Times New Roman" w:hAnsi="Times New Roman"/>
              <w:b/>
            </w:rPr>
            <w:t>2: Contraprestación portuaria:</w:t>
          </w:r>
          <w:r w:rsidRPr="009A46BB">
            <w:rPr>
              <w:rFonts w:ascii="Times New Roman" w:hAnsi="Times New Roman"/>
            </w:rPr>
            <w:t xml:space="preserve"> De acuerdo con el último documento contractual vigente la metodología de contraprestación vigente es Regionales (ingresos). Se establece en la cláusula octava del Contrato que el CONCESIONARIO deberá pagar por concepto de zona de uso público la suma anual de (USD 528.629), de dicho pago el 80% le corresponde a la Nación Instituto nacional de vías (INVIAS) y el 20% restante al distrito de Cartagena de acuerdo con lo establecido en el parágrafo 1 del artículo 1 de la ley 856 del 21 de diciembre de 2003, que modifica el artículo 7 de la ley 1ª de 1991. Así mismo, por concepto de infraestructura el CONCESIONARIO deberá pagar la suma anual de (USD 2.012.401), el cual corresponde en un 100% a la Nación - Instituto Nacional de Vías (INVIAS) de acuerdo con lo establecido en el artículo 1 de la ley 856 del 21 diciembre de 2003.</w:t>
          </w:r>
        </w:p>
        <w:p w14:paraId="28292D4B" w14:textId="77777777" w:rsidR="00274429" w:rsidRPr="009A46BB" w:rsidRDefault="00274429" w:rsidP="00274429">
          <w:pPr>
            <w:jc w:val="both"/>
            <w:rPr>
              <w:rFonts w:ascii="Times New Roman" w:hAnsi="Times New Roman"/>
            </w:rPr>
          </w:pPr>
          <w:r w:rsidRPr="009A46BB">
            <w:rPr>
              <w:rFonts w:ascii="Times New Roman" w:hAnsi="Times New Roman"/>
            </w:rPr>
            <w:t>Para el caso de este contrato, en el año 2013 el Concesionario pagó de manera anticipada la totalidad de la contraprestación.</w:t>
          </w:r>
        </w:p>
        <w:p w14:paraId="4EBB5257" w14:textId="77777777" w:rsidR="00274429" w:rsidRPr="009A46BB" w:rsidRDefault="00274429" w:rsidP="00274429">
          <w:pPr>
            <w:jc w:val="both"/>
            <w:rPr>
              <w:rFonts w:ascii="Times New Roman" w:hAnsi="Times New Roman"/>
            </w:rPr>
          </w:pPr>
          <w:r w:rsidRPr="009A46BB">
            <w:rPr>
              <w:rFonts w:ascii="Times New Roman" w:hAnsi="Times New Roman"/>
              <w:b/>
            </w:rPr>
            <w:t>3: Plan de Inversiones:</w:t>
          </w:r>
          <w:r w:rsidRPr="009A46BB">
            <w:rPr>
              <w:rFonts w:ascii="Times New Roman" w:hAnsi="Times New Roman"/>
            </w:rPr>
            <w:t xml:space="preserve"> está establecido en la cláusula décima del contrato, modificado por el Otrosí No.5 de 1998 que estableció en la cláusula octava, el plan de inversión será de USD $88.041.479,73 en valores corrientes, ejecutados al 100.</w:t>
          </w:r>
        </w:p>
        <w:p w14:paraId="0352A103" w14:textId="77777777" w:rsidR="00274429" w:rsidRPr="009A46BB" w:rsidRDefault="00274429" w:rsidP="00274429">
          <w:pPr>
            <w:jc w:val="both"/>
            <w:rPr>
              <w:rFonts w:ascii="Times New Roman" w:hAnsi="Times New Roman"/>
            </w:rPr>
          </w:pPr>
          <w:r w:rsidRPr="009A46BB">
            <w:rPr>
              <w:rFonts w:ascii="Times New Roman" w:hAnsi="Times New Roman"/>
              <w:b/>
            </w:rPr>
            <w:t>Obligaciones del CONCESIONARIO:</w:t>
          </w:r>
          <w:r w:rsidRPr="009A46BB">
            <w:rPr>
              <w:rFonts w:ascii="Times New Roman" w:hAnsi="Times New Roman"/>
            </w:rPr>
            <w:t xml:space="preserve"> se encuentran descritas en la cláusula décima. </w:t>
          </w:r>
        </w:p>
        <w:p w14:paraId="13F7958F" w14:textId="77777777" w:rsidR="00274429" w:rsidRPr="009A46BB" w:rsidRDefault="00274429" w:rsidP="00274429">
          <w:pPr>
            <w:jc w:val="both"/>
            <w:rPr>
              <w:rFonts w:ascii="Times New Roman" w:hAnsi="Times New Roman"/>
            </w:rPr>
          </w:pPr>
          <w:r w:rsidRPr="009A46BB">
            <w:rPr>
              <w:rFonts w:ascii="Times New Roman" w:hAnsi="Times New Roman"/>
              <w:b/>
            </w:rPr>
            <w:t>Multas y sanciones:</w:t>
          </w:r>
          <w:r w:rsidRPr="009A46BB">
            <w:rPr>
              <w:rFonts w:ascii="Times New Roman" w:hAnsi="Times New Roman"/>
            </w:rPr>
            <w:t xml:space="preserve"> están establecidas en la cláusula décima quinta.</w:t>
          </w:r>
        </w:p>
        <w:p w14:paraId="1C313B89" w14:textId="77777777" w:rsidR="00274429" w:rsidRPr="009A46BB" w:rsidRDefault="00274429" w:rsidP="00274429">
          <w:pPr>
            <w:jc w:val="both"/>
            <w:rPr>
              <w:rFonts w:ascii="Times New Roman" w:hAnsi="Times New Roman"/>
            </w:rPr>
          </w:pPr>
          <w:r w:rsidRPr="009A46BB">
            <w:rPr>
              <w:rFonts w:ascii="Times New Roman" w:hAnsi="Times New Roman"/>
              <w:b/>
            </w:rPr>
            <w:lastRenderedPageBreak/>
            <w:t>Penal pecuniaria:</w:t>
          </w:r>
          <w:r w:rsidRPr="009A46BB">
            <w:rPr>
              <w:rFonts w:ascii="Times New Roman" w:hAnsi="Times New Roman"/>
            </w:rPr>
            <w:t xml:space="preserve"> En la cláusula décima sexta se establece que en el evento en que el INCO hoy ANI declare la caducidad o el incumplimiento del presente contrato se podrá imponer una penalidad pecuniaria del 10% del valor total de la contraprestación</w:t>
          </w:r>
        </w:p>
        <w:p w14:paraId="27C5C42C" w14:textId="77777777" w:rsidR="00274429" w:rsidRPr="009A46BB" w:rsidRDefault="00274429" w:rsidP="00274429">
          <w:pPr>
            <w:jc w:val="both"/>
            <w:rPr>
              <w:rFonts w:ascii="Times New Roman" w:hAnsi="Times New Roman"/>
              <w:b/>
            </w:rPr>
          </w:pPr>
          <w:r w:rsidRPr="009A46BB">
            <w:rPr>
              <w:rFonts w:ascii="Times New Roman" w:hAnsi="Times New Roman"/>
              <w:b/>
            </w:rPr>
            <w:t>Términos de calendario:</w:t>
          </w:r>
        </w:p>
        <w:p w14:paraId="690397CF" w14:textId="77777777" w:rsidR="00274429" w:rsidRPr="009A46BB" w:rsidRDefault="00274429" w:rsidP="00274429">
          <w:pPr>
            <w:jc w:val="both"/>
            <w:rPr>
              <w:rFonts w:ascii="Times New Roman" w:hAnsi="Times New Roman"/>
            </w:rPr>
          </w:pPr>
          <w:r w:rsidRPr="009A46BB">
            <w:rPr>
              <w:rFonts w:ascii="Times New Roman" w:hAnsi="Times New Roman"/>
              <w:b/>
            </w:rPr>
            <w:t>1: Tarifas:</w:t>
          </w:r>
          <w:r w:rsidRPr="009A46BB">
            <w:rPr>
              <w:rFonts w:ascii="Times New Roman" w:hAnsi="Times New Roman"/>
            </w:rPr>
            <w:t xml:space="preserve"> Aprobadas según la metodología establecida por la Superintendencia General de Puertos hoy Superintendencia de Transporte.</w:t>
          </w:r>
        </w:p>
        <w:p w14:paraId="49E3D982" w14:textId="77777777" w:rsidR="00274429" w:rsidRPr="009A46BB" w:rsidRDefault="00274429" w:rsidP="00274429">
          <w:pPr>
            <w:jc w:val="both"/>
            <w:rPr>
              <w:rFonts w:ascii="Times New Roman" w:hAnsi="Times New Roman"/>
            </w:rPr>
          </w:pPr>
          <w:r w:rsidRPr="009A46BB">
            <w:rPr>
              <w:rFonts w:ascii="Times New Roman" w:hAnsi="Times New Roman"/>
              <w:b/>
            </w:rPr>
            <w:t>2: Contraprestación portuaria:</w:t>
          </w:r>
          <w:r w:rsidRPr="009A46BB">
            <w:rPr>
              <w:rFonts w:ascii="Times New Roman" w:hAnsi="Times New Roman"/>
            </w:rPr>
            <w:t xml:space="preserve"> la contraprestación se debe pagar de manera trimestral anticipada desde el mes de marzo de cada año</w:t>
          </w:r>
        </w:p>
        <w:p w14:paraId="451C2CFD" w14:textId="77777777" w:rsidR="00274429" w:rsidRPr="009A46BB" w:rsidRDefault="00274429" w:rsidP="00274429">
          <w:pPr>
            <w:jc w:val="both"/>
            <w:rPr>
              <w:rFonts w:ascii="Times New Roman" w:hAnsi="Times New Roman"/>
            </w:rPr>
          </w:pPr>
          <w:r w:rsidRPr="009A46BB">
            <w:rPr>
              <w:rFonts w:ascii="Times New Roman" w:hAnsi="Times New Roman"/>
              <w:b/>
            </w:rPr>
            <w:t>3: Plan de inversiones:</w:t>
          </w:r>
          <w:r w:rsidRPr="009A46BB">
            <w:rPr>
              <w:rFonts w:ascii="Times New Roman" w:hAnsi="Times New Roman"/>
            </w:rPr>
            <w:t xml:space="preserve"> Se estableció en la cláusula octava del otrosí 5 ejecución de inversiones en el periodo de tiempo comprendido entre el año 1993 a 2008.</w:t>
          </w:r>
        </w:p>
        <w:p w14:paraId="64F6BACD" w14:textId="77777777" w:rsidR="00274429" w:rsidRPr="009A46BB" w:rsidRDefault="00274429" w:rsidP="00274429">
          <w:pPr>
            <w:jc w:val="both"/>
            <w:rPr>
              <w:rFonts w:ascii="Times New Roman" w:hAnsi="Times New Roman"/>
            </w:rPr>
          </w:pPr>
          <w:r w:rsidRPr="009A46BB">
            <w:rPr>
              <w:rFonts w:ascii="Times New Roman" w:hAnsi="Times New Roman"/>
              <w:b/>
            </w:rPr>
            <w:t>4: Multas:</w:t>
          </w:r>
          <w:r w:rsidRPr="009A46BB">
            <w:rPr>
              <w:rFonts w:ascii="Times New Roman" w:hAnsi="Times New Roman"/>
            </w:rPr>
            <w:t xml:space="preserve"> Cláusula décima quinta contrato 007 de 1993.</w:t>
          </w:r>
        </w:p>
        <w:p w14:paraId="686942F5" w14:textId="77777777" w:rsidR="00274429" w:rsidRPr="009A46BB" w:rsidRDefault="00274429" w:rsidP="00274429">
          <w:pPr>
            <w:jc w:val="both"/>
            <w:rPr>
              <w:rFonts w:ascii="Times New Roman" w:hAnsi="Times New Roman"/>
            </w:rPr>
          </w:pPr>
          <w:r w:rsidRPr="009A46BB">
            <w:rPr>
              <w:rFonts w:ascii="Times New Roman" w:hAnsi="Times New Roman"/>
              <w:b/>
            </w:rPr>
            <w:t>Términos de certeza de flujos de efectivo futuros:</w:t>
          </w:r>
          <w:r w:rsidRPr="009A46BB">
            <w:rPr>
              <w:rFonts w:ascii="Times New Roman" w:hAnsi="Times New Roman"/>
              <w:b/>
            </w:rPr>
            <w:tab/>
          </w:r>
        </w:p>
        <w:p w14:paraId="293A8DD7" w14:textId="77777777" w:rsidR="00274429" w:rsidRPr="009A46BB" w:rsidRDefault="00274429" w:rsidP="00274429">
          <w:pPr>
            <w:jc w:val="both"/>
            <w:rPr>
              <w:rFonts w:ascii="Times New Roman" w:hAnsi="Times New Roman"/>
            </w:rPr>
          </w:pPr>
          <w:r w:rsidRPr="009A46BB">
            <w:rPr>
              <w:rFonts w:ascii="Times New Roman" w:hAnsi="Times New Roman"/>
            </w:rPr>
            <w:t>Se otorga a EL CONCESIONARIO el derecho de ocupar y utilizar en forma temporal y exclusiva las playas, los terrenos de bajamar y zonas accesorias a aquellas o estos, descritos en la cláusula segunda del contrato, a cambio de la contraprestación económica.</w:t>
          </w:r>
        </w:p>
        <w:p w14:paraId="46604CF8" w14:textId="77777777" w:rsidR="00274429" w:rsidRPr="009A46BB" w:rsidRDefault="00274429" w:rsidP="00274429">
          <w:pPr>
            <w:jc w:val="both"/>
            <w:rPr>
              <w:rFonts w:ascii="Times New Roman" w:hAnsi="Times New Roman"/>
            </w:rPr>
          </w:pPr>
          <w:r w:rsidRPr="009A46BB">
            <w:rPr>
              <w:rFonts w:ascii="Times New Roman" w:hAnsi="Times New Roman"/>
            </w:rPr>
            <w:t>Cláusula Novena, numeral 11.2.1 Del valor a pagar por concepto de contraprestación por Zona de Uso público el 80% le corresponde a la Nación-INVIAS y el 20 % al Distrito turístico de Cartagena de Indias y por Infraestructura el 100% a la Nación-INVIAS.</w:t>
          </w:r>
        </w:p>
        <w:p w14:paraId="77759417" w14:textId="46E0DCCC" w:rsidR="00274429" w:rsidRPr="009A46BB" w:rsidRDefault="00274429" w:rsidP="00E60BAB">
          <w:pPr>
            <w:pStyle w:val="Prrafodelista"/>
            <w:numPr>
              <w:ilvl w:val="0"/>
              <w:numId w:val="92"/>
            </w:numPr>
            <w:jc w:val="both"/>
            <w:rPr>
              <w:rFonts w:ascii="Times New Roman" w:hAnsi="Times New Roman"/>
            </w:rPr>
          </w:pPr>
          <w:r w:rsidRPr="009A46BB">
            <w:rPr>
              <w:rFonts w:ascii="Times New Roman" w:hAnsi="Times New Roman"/>
              <w:b/>
            </w:rPr>
            <w:t xml:space="preserve">Naturaleza y alcance del derecho a utilizar activos especificados, de los aspectos pactados en torno a lo que se espera que el concesionario proporcione en relación con el acuerdo de concesión </w:t>
          </w:r>
        </w:p>
        <w:p w14:paraId="74BF39ED" w14:textId="77777777" w:rsidR="00274429" w:rsidRPr="009A46BB" w:rsidRDefault="00274429" w:rsidP="00274429">
          <w:pPr>
            <w:jc w:val="both"/>
            <w:rPr>
              <w:rFonts w:ascii="Times New Roman" w:hAnsi="Times New Roman"/>
              <w:b/>
            </w:rPr>
          </w:pPr>
          <w:r w:rsidRPr="009A46BB">
            <w:rPr>
              <w:rFonts w:ascii="Times New Roman" w:hAnsi="Times New Roman"/>
              <w:b/>
            </w:rPr>
            <w:t>Naturaleza y alcance del derecho de uso de los activos</w:t>
          </w:r>
        </w:p>
        <w:p w14:paraId="671E37CD" w14:textId="77777777" w:rsidR="00274429" w:rsidRPr="009A46BB" w:rsidRDefault="00274429" w:rsidP="00274429">
          <w:pPr>
            <w:jc w:val="both"/>
            <w:rPr>
              <w:rFonts w:ascii="Times New Roman" w:hAnsi="Times New Roman"/>
            </w:rPr>
          </w:pPr>
          <w:r w:rsidRPr="009A46BB">
            <w:rPr>
              <w:rFonts w:ascii="Times New Roman" w:hAnsi="Times New Roman"/>
              <w:b/>
            </w:rPr>
            <w:t>Descripción del proyecto, especificaciones técnicas, modalidades de operación:</w:t>
          </w:r>
          <w:r w:rsidRPr="009A46BB">
            <w:rPr>
              <w:rFonts w:ascii="Times New Roman" w:hAnsi="Times New Roman"/>
            </w:rPr>
            <w:t xml:space="preserve"> las condiciones especiales de operación volúmenes y clase de carga del puerto están establecidas en la cláusula sexta del Contrato de Concesión</w:t>
          </w:r>
        </w:p>
        <w:p w14:paraId="0D4F934F" w14:textId="77777777" w:rsidR="00274429" w:rsidRPr="009A46BB" w:rsidRDefault="00274429" w:rsidP="00274429">
          <w:pPr>
            <w:jc w:val="both"/>
            <w:rPr>
              <w:rFonts w:ascii="Times New Roman" w:hAnsi="Times New Roman"/>
            </w:rPr>
          </w:pPr>
          <w:r w:rsidRPr="009A46BB">
            <w:rPr>
              <w:rFonts w:ascii="Times New Roman" w:hAnsi="Times New Roman"/>
              <w:b/>
            </w:rPr>
            <w:t xml:space="preserve">Área entregada en concesión: </w:t>
          </w:r>
          <w:r w:rsidRPr="009A46BB">
            <w:rPr>
              <w:rFonts w:ascii="Times New Roman" w:hAnsi="Times New Roman"/>
            </w:rPr>
            <w:t>La descripción de la ubicación, linderos y extensión de los bienes de uso público (playas y terrenos de baja mar, zonas marítimas accesorias de maniobras) entregados en concesión están establecidos en la cláusula tercera.</w:t>
          </w:r>
        </w:p>
        <w:p w14:paraId="40D2FD63" w14:textId="77777777" w:rsidR="00274429" w:rsidRPr="009A46BB" w:rsidRDefault="00274429" w:rsidP="00274429">
          <w:pPr>
            <w:jc w:val="both"/>
            <w:rPr>
              <w:rFonts w:ascii="Times New Roman" w:hAnsi="Times New Roman"/>
            </w:rPr>
          </w:pPr>
          <w:r w:rsidRPr="009A46BB">
            <w:rPr>
              <w:rFonts w:ascii="Times New Roman" w:hAnsi="Times New Roman"/>
              <w:b/>
            </w:rPr>
            <w:t xml:space="preserve">Infraestructura y equipos entregados en concesión: </w:t>
          </w:r>
          <w:r w:rsidRPr="009A46BB">
            <w:rPr>
              <w:rFonts w:ascii="Times New Roman" w:hAnsi="Times New Roman"/>
            </w:rPr>
            <w:t xml:space="preserve">En la cláusula quinta del Contrato, se describe que lo entregado en concesión fue: </w:t>
          </w:r>
        </w:p>
        <w:p w14:paraId="794FA7F0" w14:textId="77777777" w:rsidR="00274429" w:rsidRPr="009A46BB" w:rsidRDefault="00274429" w:rsidP="00274429">
          <w:pPr>
            <w:jc w:val="both"/>
            <w:rPr>
              <w:rFonts w:ascii="Times New Roman" w:hAnsi="Times New Roman"/>
            </w:rPr>
          </w:pPr>
          <w:r w:rsidRPr="009A46BB">
            <w:rPr>
              <w:rFonts w:ascii="Times New Roman" w:hAnsi="Times New Roman"/>
              <w:b/>
            </w:rPr>
            <w:t>Infraestructura:</w:t>
          </w:r>
          <w:r w:rsidRPr="009A46BB">
            <w:rPr>
              <w:rFonts w:ascii="Times New Roman" w:hAnsi="Times New Roman"/>
            </w:rPr>
            <w:t xml:space="preserve"> Muelles, Bodegas, Cobertizos, Edificios, Redes de Servicios, Red de Acueducto, Red de Alcantarillado, Red Eléctrica y de Alumbrado,</w:t>
          </w:r>
        </w:p>
        <w:p w14:paraId="7FEA8E61" w14:textId="60AAD879" w:rsidR="00274429" w:rsidRPr="009A46BB" w:rsidRDefault="00274429" w:rsidP="00274429">
          <w:pPr>
            <w:jc w:val="both"/>
            <w:rPr>
              <w:rFonts w:ascii="Times New Roman" w:hAnsi="Times New Roman"/>
            </w:rPr>
          </w:pPr>
          <w:r w:rsidRPr="009A46BB">
            <w:rPr>
              <w:rFonts w:ascii="Times New Roman" w:hAnsi="Times New Roman"/>
              <w:b/>
            </w:rPr>
            <w:t>Observaciones:</w:t>
          </w:r>
          <w:r w:rsidR="09F7A0C0" w:rsidRPr="4EAD433C">
            <w:rPr>
              <w:rFonts w:ascii="Times New Roman" w:hAnsi="Times New Roman"/>
              <w:b/>
              <w:bCs/>
            </w:rPr>
            <w:t xml:space="preserve"> </w:t>
          </w:r>
          <w:r w:rsidRPr="009A46BB">
            <w:rPr>
              <w:rFonts w:ascii="Times New Roman" w:hAnsi="Times New Roman"/>
            </w:rPr>
            <w:t>N/A</w:t>
          </w:r>
        </w:p>
        <w:p w14:paraId="64652A87" w14:textId="77777777" w:rsidR="00274429" w:rsidRPr="009A46BB" w:rsidRDefault="00274429" w:rsidP="00274429">
          <w:pPr>
            <w:jc w:val="both"/>
            <w:rPr>
              <w:rFonts w:ascii="Times New Roman" w:hAnsi="Times New Roman"/>
              <w:b/>
            </w:rPr>
          </w:pPr>
          <w:r w:rsidRPr="009A46BB">
            <w:rPr>
              <w:rFonts w:ascii="Times New Roman" w:hAnsi="Times New Roman"/>
              <w:b/>
            </w:rPr>
            <w:t>Retribución al concesionario</w:t>
          </w:r>
        </w:p>
        <w:p w14:paraId="181D70A9" w14:textId="5671834B" w:rsidR="00274429" w:rsidRPr="009A46BB" w:rsidRDefault="00274429" w:rsidP="00274429">
          <w:pPr>
            <w:jc w:val="both"/>
            <w:rPr>
              <w:rFonts w:ascii="Times New Roman" w:hAnsi="Times New Roman"/>
            </w:rPr>
          </w:pPr>
          <w:r w:rsidRPr="009A46BB">
            <w:rPr>
              <w:rFonts w:ascii="Times New Roman" w:hAnsi="Times New Roman"/>
              <w:b/>
            </w:rPr>
            <w:t>Descripción:</w:t>
          </w:r>
          <w:r w:rsidR="324DFFD5" w:rsidRPr="4EAD433C">
            <w:rPr>
              <w:rFonts w:ascii="Times New Roman" w:hAnsi="Times New Roman"/>
              <w:b/>
              <w:bCs/>
            </w:rPr>
            <w:t xml:space="preserve"> </w:t>
          </w:r>
          <w:r w:rsidRPr="009A46BB">
            <w:rPr>
              <w:rFonts w:ascii="Times New Roman" w:hAnsi="Times New Roman"/>
            </w:rPr>
            <w:t>Cláusula primera Contrato 007 de 1993: Se otorga a EL CONCESIONARIO el derecho de ocupar y utilizar en forma temporal y exclusiva las playas, los terrenos de bajamar y zonas accesorias a aquellas o estos, descritos en la cláusula segunda del contrato, a cambio de la contraprestación económica.</w:t>
          </w:r>
        </w:p>
        <w:p w14:paraId="3C77C149" w14:textId="03BE370C" w:rsidR="00274429" w:rsidRPr="009A46BB" w:rsidRDefault="00274429" w:rsidP="00274429">
          <w:pPr>
            <w:jc w:val="both"/>
            <w:rPr>
              <w:rFonts w:ascii="Times New Roman" w:hAnsi="Times New Roman"/>
            </w:rPr>
          </w:pPr>
          <w:r w:rsidRPr="009A46BB">
            <w:rPr>
              <w:rFonts w:ascii="Times New Roman" w:hAnsi="Times New Roman"/>
              <w:b/>
            </w:rPr>
            <w:lastRenderedPageBreak/>
            <w:t>Tasa de retribución:</w:t>
          </w:r>
          <w:r w:rsidR="664265F4" w:rsidRPr="4EAD433C">
            <w:rPr>
              <w:rFonts w:ascii="Times New Roman" w:hAnsi="Times New Roman"/>
              <w:b/>
              <w:bCs/>
            </w:rPr>
            <w:t xml:space="preserve"> </w:t>
          </w:r>
          <w:r w:rsidRPr="009A46BB">
            <w:rPr>
              <w:rFonts w:ascii="Times New Roman" w:hAnsi="Times New Roman"/>
            </w:rPr>
            <w:t>N/A</w:t>
          </w:r>
        </w:p>
        <w:p w14:paraId="593EE8B5" w14:textId="11219C55" w:rsidR="00274429" w:rsidRPr="009A46BB" w:rsidRDefault="00274429" w:rsidP="00E60BAB">
          <w:pPr>
            <w:pStyle w:val="Prrafodelista"/>
            <w:numPr>
              <w:ilvl w:val="0"/>
              <w:numId w:val="92"/>
            </w:numPr>
            <w:jc w:val="both"/>
            <w:rPr>
              <w:rFonts w:ascii="Times New Roman" w:hAnsi="Times New Roman"/>
              <w:b/>
            </w:rPr>
          </w:pPr>
          <w:r w:rsidRPr="009A46BB">
            <w:rPr>
              <w:rFonts w:ascii="Times New Roman" w:hAnsi="Times New Roman"/>
              <w:b/>
            </w:rPr>
            <w:t>Derechos a recibir activos especificados al final del acuerdo de concesión</w:t>
          </w:r>
        </w:p>
        <w:p w14:paraId="5D7243C4" w14:textId="72C92088" w:rsidR="00274429" w:rsidRPr="009A46BB" w:rsidRDefault="00274429" w:rsidP="00274429">
          <w:pPr>
            <w:jc w:val="both"/>
            <w:rPr>
              <w:rFonts w:ascii="Times New Roman" w:hAnsi="Times New Roman"/>
            </w:rPr>
          </w:pPr>
          <w:r w:rsidRPr="009A46BB">
            <w:rPr>
              <w:rFonts w:ascii="Times New Roman" w:hAnsi="Times New Roman"/>
              <w:b/>
            </w:rPr>
            <w:t>Descripción:</w:t>
          </w:r>
          <w:r w:rsidR="71D01BEF" w:rsidRPr="4EAD433C">
            <w:rPr>
              <w:rFonts w:ascii="Times New Roman" w:hAnsi="Times New Roman"/>
              <w:b/>
              <w:bCs/>
            </w:rPr>
            <w:t xml:space="preserve"> </w:t>
          </w:r>
          <w:r w:rsidRPr="009A46BB">
            <w:rPr>
              <w:rFonts w:ascii="Times New Roman" w:hAnsi="Times New Roman"/>
            </w:rPr>
            <w:t>De acuerdo con el Artículo 8º de la Ley 1 de 1991 en el modo portuario el concesionario no tiene derechos finales sobre activos los debe revertir a la Nación al final del contrato de concesión.</w:t>
          </w:r>
        </w:p>
        <w:p w14:paraId="039E9225" w14:textId="5B5027E0" w:rsidR="00274429" w:rsidRPr="009A46BB" w:rsidRDefault="00274429" w:rsidP="00274429">
          <w:pPr>
            <w:jc w:val="both"/>
            <w:rPr>
              <w:rFonts w:ascii="Times New Roman" w:hAnsi="Times New Roman"/>
            </w:rPr>
          </w:pPr>
          <w:r w:rsidRPr="009A46BB">
            <w:rPr>
              <w:rFonts w:ascii="Times New Roman" w:hAnsi="Times New Roman"/>
              <w:b/>
            </w:rPr>
            <w:t>Observaciones:</w:t>
          </w:r>
          <w:r w:rsidR="000A6E21" w:rsidRPr="009A46BB">
            <w:rPr>
              <w:rFonts w:ascii="Times New Roman" w:hAnsi="Times New Roman"/>
              <w:b/>
            </w:rPr>
            <w:t xml:space="preserve"> </w:t>
          </w:r>
          <w:r w:rsidR="000A6E21" w:rsidRPr="009A46BB">
            <w:rPr>
              <w:rFonts w:ascii="Times New Roman" w:hAnsi="Times New Roman"/>
            </w:rPr>
            <w:t>NA</w:t>
          </w:r>
        </w:p>
        <w:p w14:paraId="7559440B" w14:textId="77777777" w:rsidR="00274429" w:rsidRPr="009A46BB" w:rsidRDefault="00274429" w:rsidP="00274429">
          <w:pPr>
            <w:jc w:val="both"/>
            <w:rPr>
              <w:rFonts w:ascii="Times New Roman" w:hAnsi="Times New Roman"/>
            </w:rPr>
          </w:pPr>
          <w:r w:rsidRPr="009A46BB">
            <w:rPr>
              <w:rFonts w:ascii="Times New Roman" w:hAnsi="Times New Roman"/>
              <w:b/>
            </w:rPr>
            <w:t>Reversión:</w:t>
          </w:r>
          <w:r w:rsidRPr="009A46BB">
            <w:rPr>
              <w:rFonts w:ascii="Times New Roman" w:hAnsi="Times New Roman"/>
            </w:rPr>
            <w:t xml:space="preserve"> De acuerdo con lo establecido en la cláusula novena del contrato de concesión, todas las construcciones e inmuebles por destinación, que se encuentren instalados en la zona de uso público otorgada en concesión revertirán gratuitamente por el Concesionario.</w:t>
          </w:r>
        </w:p>
        <w:p w14:paraId="7C945972" w14:textId="77777777" w:rsidR="00274429" w:rsidRPr="009A46BB" w:rsidRDefault="00274429" w:rsidP="00274429">
          <w:pPr>
            <w:jc w:val="both"/>
            <w:rPr>
              <w:rFonts w:ascii="Times New Roman" w:hAnsi="Times New Roman"/>
            </w:rPr>
          </w:pPr>
          <w:r w:rsidRPr="009A46BB">
            <w:rPr>
              <w:rFonts w:ascii="Times New Roman" w:hAnsi="Times New Roman"/>
            </w:rPr>
            <w:t>Para tal fin, en el momento de la reversión el CONCESIONARIO elaborará un inventario de los bienes y los enviará para su revisión y aprobación.</w:t>
          </w:r>
        </w:p>
        <w:p w14:paraId="62386991" w14:textId="77777777" w:rsidR="00274429" w:rsidRPr="009A46BB" w:rsidRDefault="00274429" w:rsidP="00274429">
          <w:pPr>
            <w:jc w:val="both"/>
            <w:rPr>
              <w:rFonts w:ascii="Times New Roman" w:hAnsi="Times New Roman"/>
            </w:rPr>
          </w:pPr>
          <w:r w:rsidRPr="009A46BB">
            <w:rPr>
              <w:rFonts w:ascii="Times New Roman" w:hAnsi="Times New Roman"/>
            </w:rPr>
            <w:t>La ANI es la entidad concedente pero la titularidad de los activos al final de la concesión es del Instituto Nacional de Vías INVIAS.</w:t>
          </w:r>
        </w:p>
        <w:p w14:paraId="2936C2F5" w14:textId="61C84285" w:rsidR="00274429" w:rsidRPr="009A46BB" w:rsidRDefault="000A6E21" w:rsidP="00E60BAB">
          <w:pPr>
            <w:pStyle w:val="Prrafodelista"/>
            <w:numPr>
              <w:ilvl w:val="0"/>
              <w:numId w:val="92"/>
            </w:numPr>
            <w:jc w:val="both"/>
            <w:rPr>
              <w:rFonts w:ascii="Times New Roman" w:hAnsi="Times New Roman"/>
              <w:b/>
            </w:rPr>
          </w:pPr>
          <w:r w:rsidRPr="009A46BB">
            <w:rPr>
              <w:rFonts w:ascii="Times New Roman" w:hAnsi="Times New Roman"/>
              <w:b/>
            </w:rPr>
            <w:t>No hay c</w:t>
          </w:r>
          <w:r w:rsidR="00274429" w:rsidRPr="009A46BB">
            <w:rPr>
              <w:rFonts w:ascii="Times New Roman" w:hAnsi="Times New Roman"/>
              <w:b/>
            </w:rPr>
            <w:t>ambios en el acuerdo de concesión que se realicen durante el periodo fiscal</w:t>
          </w:r>
        </w:p>
        <w:p w14:paraId="5CE6C7BD" w14:textId="77777777" w:rsidR="00274429" w:rsidRPr="009A46BB" w:rsidRDefault="00274429" w:rsidP="00274429">
          <w:pPr>
            <w:jc w:val="both"/>
            <w:rPr>
              <w:rFonts w:ascii="Times New Roman" w:hAnsi="Times New Roman"/>
            </w:rPr>
          </w:pPr>
        </w:p>
        <w:p w14:paraId="604FDFF5" w14:textId="7019FCD0" w:rsidR="00274429" w:rsidRPr="009A46BB" w:rsidRDefault="00CD3962" w:rsidP="007F4540">
          <w:pPr>
            <w:spacing w:line="259" w:lineRule="auto"/>
            <w:jc w:val="both"/>
            <w:rPr>
              <w:rFonts w:ascii="Times New Roman" w:hAnsi="Times New Roman"/>
              <w:b/>
            </w:rPr>
          </w:pPr>
          <w:r w:rsidRPr="009A46BB">
            <w:rPr>
              <w:rFonts w:ascii="Times New Roman" w:hAnsi="Times New Roman"/>
              <w:b/>
            </w:rPr>
            <w:t>AGENCIA LOGÍSTICA DE LAS FUERZAS MILITARES</w:t>
          </w:r>
        </w:p>
        <w:p w14:paraId="734F926B" w14:textId="6F1639D3" w:rsidR="00274429" w:rsidRPr="009A46BB" w:rsidRDefault="00274429" w:rsidP="00E60BAB">
          <w:pPr>
            <w:pStyle w:val="Prrafodelista"/>
            <w:numPr>
              <w:ilvl w:val="0"/>
              <w:numId w:val="168"/>
            </w:numPr>
            <w:jc w:val="both"/>
            <w:rPr>
              <w:rFonts w:ascii="Times New Roman" w:hAnsi="Times New Roman"/>
              <w:b/>
            </w:rPr>
          </w:pPr>
          <w:r w:rsidRPr="009A46BB">
            <w:rPr>
              <w:rFonts w:ascii="Times New Roman" w:hAnsi="Times New Roman"/>
              <w:b/>
            </w:rPr>
            <w:t>Descripción del acuerdo</w:t>
          </w:r>
        </w:p>
        <w:p w14:paraId="76643D9E" w14:textId="4133E417" w:rsidR="00274429" w:rsidRPr="009A46BB" w:rsidRDefault="00274429" w:rsidP="7C752056">
          <w:pPr>
            <w:spacing w:after="0"/>
            <w:jc w:val="both"/>
            <w:rPr>
              <w:rFonts w:ascii="Times New Roman" w:hAnsi="Times New Roman"/>
            </w:rPr>
          </w:pPr>
          <w:r w:rsidRPr="009A46BB">
            <w:rPr>
              <w:rFonts w:ascii="Times New Roman" w:hAnsi="Times New Roman"/>
              <w:b/>
            </w:rPr>
            <w:t>Número del acuerdo de concesión:</w:t>
          </w:r>
          <w:r w:rsidR="007F4540" w:rsidRPr="009A46BB">
            <w:rPr>
              <w:rFonts w:ascii="Times New Roman" w:hAnsi="Times New Roman"/>
              <w:b/>
            </w:rPr>
            <w:t xml:space="preserve"> </w:t>
          </w:r>
          <w:r w:rsidRPr="009A46BB">
            <w:rPr>
              <w:rFonts w:ascii="Times New Roman" w:hAnsi="Times New Roman"/>
            </w:rPr>
            <w:t>Resolución 004 del 6 de enero de 1994</w:t>
          </w:r>
        </w:p>
        <w:p w14:paraId="601E5812" w14:textId="3EB1FB37" w:rsidR="00274429" w:rsidRPr="009A46BB" w:rsidRDefault="00274429" w:rsidP="7C752056">
          <w:pPr>
            <w:spacing w:after="0"/>
            <w:jc w:val="both"/>
            <w:rPr>
              <w:rFonts w:ascii="Times New Roman" w:hAnsi="Times New Roman"/>
            </w:rPr>
          </w:pPr>
          <w:r w:rsidRPr="009A46BB">
            <w:rPr>
              <w:rFonts w:ascii="Times New Roman" w:hAnsi="Times New Roman"/>
              <w:b/>
            </w:rPr>
            <w:t>Objeto / Descripción:</w:t>
          </w:r>
          <w:r w:rsidR="007F4540" w:rsidRPr="009A46BB">
            <w:rPr>
              <w:rFonts w:ascii="Times New Roman" w:hAnsi="Times New Roman"/>
              <w:b/>
            </w:rPr>
            <w:t xml:space="preserve"> </w:t>
          </w:r>
          <w:r w:rsidRPr="009A46BB">
            <w:rPr>
              <w:rFonts w:ascii="Times New Roman" w:hAnsi="Times New Roman"/>
            </w:rPr>
            <w:t>En virtud de lo establecido en el Considerando Primero de la Resolución No. 004 de 1994, reconocer que la Armada Nacional – Fondo Rotatorio de la Armada Nacional, tiene autorización vigente hasta el 6 de enero de 2024 para la ocupación y uso del Muelle 13, para la operación y desarrollo de actividades portuarias de servicio público.</w:t>
          </w:r>
        </w:p>
        <w:p w14:paraId="4696406D" w14:textId="1228FF7E" w:rsidR="00274429" w:rsidRPr="009A46BB" w:rsidRDefault="00274429" w:rsidP="00730054">
          <w:pPr>
            <w:spacing w:after="0"/>
            <w:jc w:val="both"/>
            <w:rPr>
              <w:rFonts w:ascii="Times New Roman" w:hAnsi="Times New Roman"/>
            </w:rPr>
          </w:pPr>
          <w:r w:rsidRPr="009A46BB">
            <w:rPr>
              <w:rFonts w:ascii="Times New Roman" w:hAnsi="Times New Roman"/>
              <w:b/>
            </w:rPr>
            <w:t>Valor inicial:</w:t>
          </w:r>
          <w:r w:rsidR="007F4540" w:rsidRPr="009A46BB">
            <w:rPr>
              <w:rFonts w:ascii="Times New Roman" w:hAnsi="Times New Roman"/>
              <w:b/>
            </w:rPr>
            <w:t xml:space="preserve"> </w:t>
          </w:r>
          <w:r w:rsidRPr="009A46BB">
            <w:rPr>
              <w:rFonts w:ascii="Times New Roman" w:hAnsi="Times New Roman"/>
            </w:rPr>
            <w:t>N/A - Corresponde a una homologación</w:t>
          </w:r>
        </w:p>
        <w:p w14:paraId="62AAB034" w14:textId="0B0D219A" w:rsidR="00274429" w:rsidRPr="009A46BB" w:rsidRDefault="00274429" w:rsidP="00730054">
          <w:pPr>
            <w:spacing w:after="0"/>
            <w:jc w:val="both"/>
            <w:rPr>
              <w:rFonts w:ascii="Times New Roman" w:hAnsi="Times New Roman"/>
            </w:rPr>
          </w:pPr>
          <w:r w:rsidRPr="009A46BB">
            <w:rPr>
              <w:rFonts w:ascii="Times New Roman" w:hAnsi="Times New Roman"/>
              <w:b/>
            </w:rPr>
            <w:t>Fecha de inicio:</w:t>
          </w:r>
          <w:r w:rsidR="007F4540" w:rsidRPr="009A46BB">
            <w:rPr>
              <w:rFonts w:ascii="Times New Roman" w:hAnsi="Times New Roman"/>
              <w:b/>
            </w:rPr>
            <w:t xml:space="preserve"> </w:t>
          </w:r>
          <w:r w:rsidRPr="009A46BB">
            <w:rPr>
              <w:rFonts w:ascii="Times New Roman" w:hAnsi="Times New Roman"/>
            </w:rPr>
            <w:t>6/01/1994</w:t>
          </w:r>
        </w:p>
        <w:p w14:paraId="4FFA0453" w14:textId="1E6780E8" w:rsidR="00274429" w:rsidRPr="009A46BB" w:rsidRDefault="00274429" w:rsidP="00730054">
          <w:pPr>
            <w:spacing w:after="0"/>
            <w:jc w:val="both"/>
            <w:rPr>
              <w:rFonts w:ascii="Times New Roman" w:hAnsi="Times New Roman"/>
            </w:rPr>
          </w:pPr>
          <w:r w:rsidRPr="009A46BB">
            <w:rPr>
              <w:rFonts w:ascii="Times New Roman" w:hAnsi="Times New Roman"/>
              <w:b/>
            </w:rPr>
            <w:t>Fecha de finalización estimada:</w:t>
          </w:r>
          <w:r w:rsidR="007F4540" w:rsidRPr="009A46BB">
            <w:rPr>
              <w:rFonts w:ascii="Times New Roman" w:hAnsi="Times New Roman"/>
              <w:b/>
            </w:rPr>
            <w:t xml:space="preserve"> </w:t>
          </w:r>
          <w:r w:rsidRPr="009A46BB">
            <w:rPr>
              <w:rFonts w:ascii="Times New Roman" w:hAnsi="Times New Roman"/>
            </w:rPr>
            <w:t>6/01/2024</w:t>
          </w:r>
        </w:p>
        <w:p w14:paraId="14399FC1" w14:textId="0B43E747" w:rsidR="00274429" w:rsidRPr="009A46BB" w:rsidRDefault="00274429" w:rsidP="00730054">
          <w:pPr>
            <w:spacing w:after="0"/>
            <w:jc w:val="both"/>
            <w:rPr>
              <w:rFonts w:ascii="Times New Roman" w:hAnsi="Times New Roman"/>
              <w:b/>
            </w:rPr>
          </w:pPr>
          <w:r w:rsidRPr="009A46BB">
            <w:rPr>
              <w:rFonts w:ascii="Times New Roman" w:hAnsi="Times New Roman"/>
              <w:b/>
            </w:rPr>
            <w:t>Tipo ID:</w:t>
          </w:r>
          <w:r w:rsidR="007F4540" w:rsidRPr="009A46BB">
            <w:rPr>
              <w:rFonts w:ascii="Times New Roman" w:hAnsi="Times New Roman"/>
              <w:b/>
            </w:rPr>
            <w:t xml:space="preserve"> </w:t>
          </w:r>
          <w:r w:rsidRPr="009A46BB">
            <w:rPr>
              <w:rFonts w:ascii="Times New Roman" w:hAnsi="Times New Roman"/>
            </w:rPr>
            <w:t>NIT</w:t>
          </w:r>
        </w:p>
        <w:p w14:paraId="341E0549" w14:textId="542FF166" w:rsidR="00274429" w:rsidRPr="009A46BB" w:rsidRDefault="00274429" w:rsidP="00730054">
          <w:pPr>
            <w:spacing w:after="0"/>
            <w:jc w:val="both"/>
            <w:rPr>
              <w:rFonts w:ascii="Times New Roman" w:hAnsi="Times New Roman"/>
            </w:rPr>
          </w:pPr>
          <w:r w:rsidRPr="009A46BB">
            <w:rPr>
              <w:rFonts w:ascii="Times New Roman" w:hAnsi="Times New Roman"/>
              <w:b/>
            </w:rPr>
            <w:t>Número ID:</w:t>
          </w:r>
          <w:r w:rsidR="007F4540" w:rsidRPr="009A46BB">
            <w:rPr>
              <w:rFonts w:ascii="Times New Roman" w:hAnsi="Times New Roman"/>
              <w:b/>
            </w:rPr>
            <w:t xml:space="preserve"> </w:t>
          </w:r>
          <w:r w:rsidRPr="009A46BB">
            <w:rPr>
              <w:rFonts w:ascii="Times New Roman" w:hAnsi="Times New Roman"/>
            </w:rPr>
            <w:t>899.99.162 - 4</w:t>
          </w:r>
        </w:p>
        <w:p w14:paraId="4AD5C2E8" w14:textId="54776011" w:rsidR="00274429" w:rsidRPr="009A46BB" w:rsidRDefault="00274429" w:rsidP="00730054">
          <w:pPr>
            <w:spacing w:after="0"/>
            <w:jc w:val="both"/>
            <w:rPr>
              <w:rFonts w:ascii="Times New Roman" w:hAnsi="Times New Roman"/>
            </w:rPr>
          </w:pPr>
          <w:r w:rsidRPr="009A46BB">
            <w:rPr>
              <w:rFonts w:ascii="Times New Roman" w:hAnsi="Times New Roman"/>
              <w:b/>
            </w:rPr>
            <w:t>Razón social del concesionario:</w:t>
          </w:r>
          <w:r w:rsidR="007F4540" w:rsidRPr="009A46BB">
            <w:rPr>
              <w:rFonts w:ascii="Times New Roman" w:hAnsi="Times New Roman"/>
              <w:b/>
            </w:rPr>
            <w:t xml:space="preserve"> </w:t>
          </w:r>
          <w:r w:rsidRPr="009A46BB">
            <w:rPr>
              <w:rFonts w:ascii="Times New Roman" w:hAnsi="Times New Roman"/>
            </w:rPr>
            <w:t>Agencia Logística de las Fuerzas Militares</w:t>
          </w:r>
        </w:p>
        <w:p w14:paraId="5E5C9DDC" w14:textId="7DC3F532" w:rsidR="00274429" w:rsidRPr="009A46BB" w:rsidRDefault="00274429" w:rsidP="00274429">
          <w:pPr>
            <w:jc w:val="both"/>
            <w:rPr>
              <w:rFonts w:ascii="Times New Roman" w:hAnsi="Times New Roman"/>
            </w:rPr>
          </w:pPr>
          <w:r w:rsidRPr="009A46BB">
            <w:rPr>
              <w:rFonts w:ascii="Times New Roman" w:hAnsi="Times New Roman"/>
              <w:b/>
            </w:rPr>
            <w:t>Nombre del proyecto:</w:t>
          </w:r>
          <w:r w:rsidR="007F4540" w:rsidRPr="009A46BB">
            <w:rPr>
              <w:rFonts w:ascii="Times New Roman" w:hAnsi="Times New Roman"/>
              <w:b/>
            </w:rPr>
            <w:t xml:space="preserve"> </w:t>
          </w:r>
          <w:r w:rsidRPr="009A46BB">
            <w:rPr>
              <w:rFonts w:ascii="Times New Roman" w:hAnsi="Times New Roman"/>
            </w:rPr>
            <w:t>Agencia Logística de las Fuerzas Militares</w:t>
          </w:r>
        </w:p>
        <w:p w14:paraId="2220F9C9" w14:textId="1473C6F3" w:rsidR="00274429" w:rsidRPr="009A46BB" w:rsidRDefault="00274429" w:rsidP="00E60BAB">
          <w:pPr>
            <w:pStyle w:val="Prrafodelista"/>
            <w:numPr>
              <w:ilvl w:val="0"/>
              <w:numId w:val="168"/>
            </w:numPr>
            <w:jc w:val="both"/>
            <w:rPr>
              <w:rFonts w:ascii="Times New Roman" w:hAnsi="Times New Roman"/>
            </w:rPr>
          </w:pPr>
          <w:r w:rsidRPr="009A46BB">
            <w:rPr>
              <w:rFonts w:ascii="Times New Roman" w:hAnsi="Times New Roman"/>
              <w:b/>
            </w:rPr>
            <w:t>Términos significativos del acuerdo que puedan afectar su valor, el calendario y la certeza de los flujos</w:t>
          </w:r>
        </w:p>
        <w:p w14:paraId="661B46F8" w14:textId="77777777" w:rsidR="00274429" w:rsidRPr="009A46BB" w:rsidRDefault="00274429" w:rsidP="00274429">
          <w:pPr>
            <w:jc w:val="both"/>
            <w:rPr>
              <w:rFonts w:ascii="Times New Roman" w:hAnsi="Times New Roman"/>
            </w:rPr>
          </w:pPr>
          <w:r w:rsidRPr="009A46BB">
            <w:rPr>
              <w:rFonts w:ascii="Times New Roman" w:hAnsi="Times New Roman"/>
              <w:b/>
            </w:rPr>
            <w:t>Términos de valor:</w:t>
          </w:r>
        </w:p>
        <w:p w14:paraId="3F7E85B7" w14:textId="77777777" w:rsidR="00274429" w:rsidRPr="009A46BB" w:rsidRDefault="00274429" w:rsidP="00274429">
          <w:pPr>
            <w:jc w:val="both"/>
            <w:rPr>
              <w:rFonts w:ascii="Times New Roman" w:hAnsi="Times New Roman"/>
            </w:rPr>
          </w:pPr>
          <w:r w:rsidRPr="009A46BB">
            <w:rPr>
              <w:rFonts w:ascii="Times New Roman" w:hAnsi="Times New Roman"/>
              <w:b/>
            </w:rPr>
            <w:t>Tarifas:</w:t>
          </w:r>
          <w:r w:rsidRPr="009A46BB">
            <w:rPr>
              <w:rFonts w:ascii="Times New Roman" w:hAnsi="Times New Roman"/>
            </w:rPr>
            <w:t xml:space="preserve"> Al ser el terminal marítimo de servicio público la Ley 1ª de 1991 establece: Las sociedades portuarias que operan puertos de servicio público las tarifas requieren ser aprobadas según la metodología establecida por la Superintendencia General de Puertos hoy Superintendencia de Transporte.</w:t>
          </w:r>
        </w:p>
        <w:p w14:paraId="73DC8D5A" w14:textId="77777777" w:rsidR="00274429" w:rsidRPr="009A46BB" w:rsidRDefault="00274429" w:rsidP="00274429">
          <w:pPr>
            <w:jc w:val="both"/>
            <w:rPr>
              <w:rFonts w:ascii="Times New Roman" w:hAnsi="Times New Roman"/>
            </w:rPr>
          </w:pPr>
          <w:r w:rsidRPr="009A46BB">
            <w:rPr>
              <w:rFonts w:ascii="Times New Roman" w:hAnsi="Times New Roman"/>
              <w:b/>
            </w:rPr>
            <w:t>Contraprestación portuaria:</w:t>
          </w:r>
          <w:r w:rsidRPr="009A46BB">
            <w:rPr>
              <w:rFonts w:ascii="Times New Roman" w:hAnsi="Times New Roman"/>
            </w:rPr>
            <w:t xml:space="preserve"> De acuerdo con el último documento contractual vigente la metodología de contraprestación vigente es CONPES 2680 DE 1993 (Productividad). Se establece en el Artículo 1° de la Resolución No. 003236 de 2000 que el CONCESIONARIO deberá pagar por concepto de zona de uso público la suma anual de USD 117.639,92, de dicho pago el 80% le corresponde a la Nación </w:t>
          </w:r>
          <w:r w:rsidRPr="009A46BB">
            <w:rPr>
              <w:rFonts w:ascii="Times New Roman" w:hAnsi="Times New Roman"/>
            </w:rPr>
            <w:lastRenderedPageBreak/>
            <w:t>Instituto Nacional de Vías (INVIAS) y el 20% restante al Municipio de Buenaventura, de acuerdo con lo establecido en el parágrafo 1 del artículo 1 de la Ley 856 del 21 de diciembre de 2003, que modifica el artículo 7 de la Ley 1ª de 1991.</w:t>
          </w:r>
        </w:p>
        <w:p w14:paraId="6F27A7A9" w14:textId="77777777" w:rsidR="00274429" w:rsidRPr="009A46BB" w:rsidRDefault="00274429" w:rsidP="00274429">
          <w:pPr>
            <w:jc w:val="both"/>
            <w:rPr>
              <w:rFonts w:ascii="Times New Roman" w:hAnsi="Times New Roman"/>
            </w:rPr>
          </w:pPr>
          <w:r w:rsidRPr="009A46BB">
            <w:rPr>
              <w:rFonts w:ascii="Times New Roman" w:hAnsi="Times New Roman"/>
              <w:b/>
            </w:rPr>
            <w:t>Términos de calendario:</w:t>
          </w:r>
        </w:p>
        <w:p w14:paraId="5F57E2DF" w14:textId="77777777" w:rsidR="00274429" w:rsidRPr="009A46BB" w:rsidRDefault="00274429" w:rsidP="00274429">
          <w:pPr>
            <w:jc w:val="both"/>
            <w:rPr>
              <w:rFonts w:ascii="Times New Roman" w:hAnsi="Times New Roman"/>
            </w:rPr>
          </w:pPr>
          <w:r w:rsidRPr="009A46BB">
            <w:rPr>
              <w:rFonts w:ascii="Times New Roman" w:hAnsi="Times New Roman"/>
              <w:b/>
            </w:rPr>
            <w:t>Tarifas:</w:t>
          </w:r>
          <w:r w:rsidRPr="009A46BB">
            <w:rPr>
              <w:rFonts w:ascii="Times New Roman" w:hAnsi="Times New Roman"/>
            </w:rPr>
            <w:t xml:space="preserve"> Aprobadas según la metodología establecida por la Superintendencia General de Puertos hoy Superintendencia de Transporte.</w:t>
          </w:r>
        </w:p>
        <w:p w14:paraId="49A7752E" w14:textId="77777777" w:rsidR="00274429" w:rsidRPr="009A46BB" w:rsidRDefault="00274429" w:rsidP="00274429">
          <w:pPr>
            <w:jc w:val="both"/>
            <w:rPr>
              <w:rFonts w:ascii="Times New Roman" w:hAnsi="Times New Roman"/>
            </w:rPr>
          </w:pPr>
          <w:r w:rsidRPr="009A46BB">
            <w:rPr>
              <w:rFonts w:ascii="Times New Roman" w:hAnsi="Times New Roman"/>
              <w:b/>
            </w:rPr>
            <w:t>Contraprestación portuaria:</w:t>
          </w:r>
          <w:r w:rsidRPr="009A46BB">
            <w:rPr>
              <w:rFonts w:ascii="Times New Roman" w:hAnsi="Times New Roman"/>
            </w:rPr>
            <w:t xml:space="preserve"> La contraprestación se debe pagar dentro de los cinco (5) primeros días hábiles después del 06 de enero de cada año.</w:t>
          </w:r>
        </w:p>
        <w:p w14:paraId="38473C54" w14:textId="77777777" w:rsidR="00274429" w:rsidRPr="009A46BB" w:rsidRDefault="00274429" w:rsidP="00274429">
          <w:pPr>
            <w:jc w:val="both"/>
            <w:rPr>
              <w:rFonts w:ascii="Times New Roman" w:hAnsi="Times New Roman"/>
            </w:rPr>
          </w:pPr>
          <w:r w:rsidRPr="009A46BB">
            <w:rPr>
              <w:rFonts w:ascii="Times New Roman" w:hAnsi="Times New Roman"/>
              <w:b/>
            </w:rPr>
            <w:t>Términos de certeza de flujos de efectivo futuros:</w:t>
          </w:r>
        </w:p>
        <w:p w14:paraId="1FE23B75" w14:textId="77777777" w:rsidR="00274429" w:rsidRPr="009A46BB" w:rsidRDefault="00274429" w:rsidP="00274429">
          <w:pPr>
            <w:jc w:val="both"/>
            <w:rPr>
              <w:rFonts w:ascii="Times New Roman" w:hAnsi="Times New Roman"/>
            </w:rPr>
          </w:pPr>
          <w:r w:rsidRPr="009A46BB">
            <w:rPr>
              <w:rFonts w:ascii="Times New Roman" w:hAnsi="Times New Roman"/>
            </w:rPr>
            <w:t>Reconocer que el Fondo Rotatorio de la Armada Nacional, tiene autorización vigente hasta el 6 de enero de 2024 para la ocupación, goce y uso de forma temporal y exclusiva de la línea de playa, terrenos y zonas accesorias a aquellas y éstas, del Muelle 13 para la operación y desarrollo de actividades portuarias de servicio público en el Municipio de Buenaventura, a cambio del pago de una contraprestación económica.</w:t>
          </w:r>
        </w:p>
        <w:p w14:paraId="450FC248" w14:textId="77777777" w:rsidR="00274429" w:rsidRPr="009A46BB" w:rsidRDefault="00274429" w:rsidP="00274429">
          <w:pPr>
            <w:jc w:val="both"/>
            <w:rPr>
              <w:rFonts w:ascii="Times New Roman" w:hAnsi="Times New Roman"/>
            </w:rPr>
          </w:pPr>
          <w:r w:rsidRPr="009A46BB">
            <w:rPr>
              <w:rFonts w:ascii="Times New Roman" w:hAnsi="Times New Roman"/>
            </w:rPr>
            <w:t>Artículo Primero de la Resolución 003236 de 2000: Del valor a pagar por concepto de contraprestación el 80% le corresponde a la Nación-INVÍAS y el 20 % al Municipio de Buenaventura.</w:t>
          </w:r>
        </w:p>
        <w:p w14:paraId="089D28A4" w14:textId="1FF9285B" w:rsidR="00274429" w:rsidRPr="009A46BB" w:rsidRDefault="00274429" w:rsidP="00E60BAB">
          <w:pPr>
            <w:pStyle w:val="Prrafodelista"/>
            <w:numPr>
              <w:ilvl w:val="0"/>
              <w:numId w:val="168"/>
            </w:numPr>
            <w:jc w:val="both"/>
            <w:rPr>
              <w:rFonts w:ascii="Times New Roman" w:hAnsi="Times New Roman"/>
            </w:rPr>
          </w:pPr>
          <w:r w:rsidRPr="009A46BB">
            <w:rPr>
              <w:rFonts w:ascii="Times New Roman" w:hAnsi="Times New Roman"/>
              <w:b/>
            </w:rPr>
            <w:t xml:space="preserve">Naturaleza y alcance del derecho a utilizar activos especificados, de los aspectos pactados en torno a lo que se espera que el concesionario proporcione en relación con el acuerdo de concesión </w:t>
          </w:r>
        </w:p>
        <w:p w14:paraId="102CBEF3" w14:textId="77777777" w:rsidR="00274429" w:rsidRPr="009A46BB" w:rsidRDefault="00274429" w:rsidP="00274429">
          <w:pPr>
            <w:jc w:val="both"/>
            <w:rPr>
              <w:rFonts w:ascii="Times New Roman" w:hAnsi="Times New Roman"/>
              <w:b/>
            </w:rPr>
          </w:pPr>
          <w:r w:rsidRPr="009A46BB">
            <w:rPr>
              <w:rFonts w:ascii="Times New Roman" w:hAnsi="Times New Roman"/>
              <w:b/>
            </w:rPr>
            <w:t>Naturaleza y alcance del derecho de uso de los activos</w:t>
          </w:r>
        </w:p>
        <w:p w14:paraId="1FA61991" w14:textId="5708C04D" w:rsidR="00274429" w:rsidRPr="009A46BB" w:rsidRDefault="00274429" w:rsidP="00274429">
          <w:pPr>
            <w:jc w:val="both"/>
            <w:rPr>
              <w:rFonts w:ascii="Times New Roman" w:hAnsi="Times New Roman"/>
            </w:rPr>
          </w:pPr>
          <w:r w:rsidRPr="009A46BB">
            <w:rPr>
              <w:rFonts w:ascii="Times New Roman" w:hAnsi="Times New Roman"/>
              <w:b/>
            </w:rPr>
            <w:t>Descripción:</w:t>
          </w:r>
          <w:r w:rsidR="6BECA840" w:rsidRPr="7C752056">
            <w:rPr>
              <w:rFonts w:ascii="Times New Roman" w:hAnsi="Times New Roman"/>
              <w:b/>
              <w:bCs/>
            </w:rPr>
            <w:t xml:space="preserve"> </w:t>
          </w:r>
          <w:r w:rsidRPr="009A46BB">
            <w:rPr>
              <w:rFonts w:ascii="Times New Roman" w:hAnsi="Times New Roman"/>
            </w:rPr>
            <w:t>Descripción del proyecto, especificaciones técnicas, modalidades de operación: las condiciones especiales de operación del puerto están establecidas en el artículo primero de la Resolución No. 004 de 1994.</w:t>
          </w:r>
        </w:p>
        <w:p w14:paraId="422F8660" w14:textId="77777777" w:rsidR="00274429" w:rsidRPr="009A46BB" w:rsidRDefault="00274429" w:rsidP="00274429">
          <w:pPr>
            <w:jc w:val="both"/>
            <w:rPr>
              <w:rFonts w:ascii="Times New Roman" w:hAnsi="Times New Roman"/>
            </w:rPr>
          </w:pPr>
          <w:r w:rsidRPr="009A46BB">
            <w:rPr>
              <w:rFonts w:ascii="Times New Roman" w:hAnsi="Times New Roman"/>
              <w:b/>
            </w:rPr>
            <w:t>Área entregada en concesión:</w:t>
          </w:r>
          <w:r w:rsidRPr="009A46BB">
            <w:rPr>
              <w:rFonts w:ascii="Times New Roman" w:hAnsi="Times New Roman"/>
            </w:rPr>
            <w:t xml:space="preserve"> La descripción de la ubicación, linderos y extensión de los bienes de uso público (playas y terrenos de baja mar, zonas marítimas accesorias de maniobras) entregados en concesión están establecidos en el Artículo Primero de la Resolución No. 1027 del 27 de septiembre de 1994.</w:t>
          </w:r>
        </w:p>
        <w:p w14:paraId="3442DB48" w14:textId="77777777" w:rsidR="00274429" w:rsidRPr="009A46BB" w:rsidRDefault="00274429" w:rsidP="00274429">
          <w:pPr>
            <w:jc w:val="both"/>
            <w:rPr>
              <w:rFonts w:ascii="Times New Roman" w:hAnsi="Times New Roman"/>
              <w:b/>
            </w:rPr>
          </w:pPr>
          <w:r w:rsidRPr="009A46BB">
            <w:rPr>
              <w:rFonts w:ascii="Times New Roman" w:hAnsi="Times New Roman"/>
              <w:b/>
            </w:rPr>
            <w:t>Retribución al concesionario</w:t>
          </w:r>
        </w:p>
        <w:p w14:paraId="03E31ACC" w14:textId="45BE60F0" w:rsidR="00274429" w:rsidRPr="009A46BB" w:rsidRDefault="00274429" w:rsidP="00274429">
          <w:pPr>
            <w:jc w:val="both"/>
            <w:rPr>
              <w:rFonts w:ascii="Times New Roman" w:hAnsi="Times New Roman"/>
            </w:rPr>
          </w:pPr>
          <w:r w:rsidRPr="009A46BB">
            <w:rPr>
              <w:rFonts w:ascii="Times New Roman" w:hAnsi="Times New Roman"/>
              <w:b/>
            </w:rPr>
            <w:t>Descripción:</w:t>
          </w:r>
          <w:r w:rsidR="3AD7B018" w:rsidRPr="7C752056">
            <w:rPr>
              <w:rFonts w:ascii="Times New Roman" w:hAnsi="Times New Roman"/>
              <w:b/>
              <w:bCs/>
            </w:rPr>
            <w:t xml:space="preserve"> </w:t>
          </w:r>
          <w:r w:rsidRPr="009A46BB">
            <w:rPr>
              <w:rFonts w:ascii="Times New Roman" w:hAnsi="Times New Roman"/>
            </w:rPr>
            <w:t>En virtud del artículo primero de la Resolución 004 de 1994, y del artículo 1° de la Resolución 3236 de 2000: Reconocer que el Fondo Rotatorio de la Armada Nacional tiene autorización vigente hasta el 6 de enero de 2024, para la ocupación, uso y goce del Muelle 13, a cambio de la contraprestación económica.</w:t>
          </w:r>
        </w:p>
        <w:p w14:paraId="3A87BC15" w14:textId="5B9D9B65" w:rsidR="00274429" w:rsidRPr="009A46BB" w:rsidRDefault="00274429" w:rsidP="00274429">
          <w:pPr>
            <w:jc w:val="both"/>
            <w:rPr>
              <w:rFonts w:ascii="Times New Roman" w:hAnsi="Times New Roman"/>
            </w:rPr>
          </w:pPr>
          <w:r w:rsidRPr="009A46BB">
            <w:rPr>
              <w:rFonts w:ascii="Times New Roman" w:hAnsi="Times New Roman"/>
              <w:b/>
            </w:rPr>
            <w:t>Tasa de retribución:</w:t>
          </w:r>
          <w:r w:rsidR="34906C5C" w:rsidRPr="7C752056">
            <w:rPr>
              <w:rFonts w:ascii="Times New Roman" w:hAnsi="Times New Roman"/>
              <w:b/>
              <w:bCs/>
            </w:rPr>
            <w:t xml:space="preserve"> </w:t>
          </w:r>
          <w:r w:rsidRPr="009A46BB">
            <w:rPr>
              <w:rFonts w:ascii="Times New Roman" w:hAnsi="Times New Roman"/>
            </w:rPr>
            <w:t>N/A</w:t>
          </w:r>
        </w:p>
        <w:p w14:paraId="04473F69" w14:textId="7E2BD4C2" w:rsidR="00274429" w:rsidRPr="009A46BB" w:rsidRDefault="00274429" w:rsidP="00274429">
          <w:pPr>
            <w:jc w:val="both"/>
            <w:rPr>
              <w:rFonts w:ascii="Times New Roman" w:hAnsi="Times New Roman"/>
              <w:b/>
            </w:rPr>
          </w:pPr>
          <w:r w:rsidRPr="009A46BB">
            <w:rPr>
              <w:rFonts w:ascii="Times New Roman" w:hAnsi="Times New Roman"/>
              <w:b/>
            </w:rPr>
            <w:t>d.</w:t>
          </w:r>
          <w:r w:rsidR="166730A2" w:rsidRPr="7C752056">
            <w:rPr>
              <w:rFonts w:ascii="Times New Roman" w:hAnsi="Times New Roman"/>
              <w:b/>
              <w:bCs/>
            </w:rPr>
            <w:t xml:space="preserve"> </w:t>
          </w:r>
          <w:r w:rsidRPr="009A46BB">
            <w:rPr>
              <w:rFonts w:ascii="Times New Roman" w:hAnsi="Times New Roman"/>
              <w:b/>
            </w:rPr>
            <w:t>Derechos a recibir activos especificados al final del acuerdo de concesión</w:t>
          </w:r>
        </w:p>
        <w:p w14:paraId="3C584116" w14:textId="63D1A8A7" w:rsidR="00274429" w:rsidRPr="009A46BB" w:rsidRDefault="00274429" w:rsidP="00274429">
          <w:pPr>
            <w:jc w:val="both"/>
            <w:rPr>
              <w:rFonts w:ascii="Times New Roman" w:hAnsi="Times New Roman"/>
            </w:rPr>
          </w:pPr>
          <w:r w:rsidRPr="009A46BB">
            <w:rPr>
              <w:rFonts w:ascii="Times New Roman" w:hAnsi="Times New Roman"/>
              <w:b/>
            </w:rPr>
            <w:t>Descripción:</w:t>
          </w:r>
          <w:r w:rsidR="766918DD" w:rsidRPr="7C752056">
            <w:rPr>
              <w:rFonts w:ascii="Times New Roman" w:hAnsi="Times New Roman"/>
              <w:b/>
              <w:bCs/>
            </w:rPr>
            <w:t xml:space="preserve"> </w:t>
          </w:r>
          <w:r w:rsidRPr="009A46BB">
            <w:rPr>
              <w:rFonts w:ascii="Times New Roman" w:hAnsi="Times New Roman"/>
            </w:rPr>
            <w:t>De acuerdo con el Artículo 8º de la Ley 1 de 1991 en el modo portuario el concesionario no tiene derechos finales sobre activos los debe revertir a la Nación al final del contrato de concesión.</w:t>
          </w:r>
        </w:p>
        <w:p w14:paraId="20C5CDB3" w14:textId="4AE2F523" w:rsidR="00274429" w:rsidRPr="009A46BB" w:rsidRDefault="00274429" w:rsidP="00274429">
          <w:pPr>
            <w:jc w:val="both"/>
            <w:rPr>
              <w:rFonts w:ascii="Times New Roman" w:hAnsi="Times New Roman"/>
            </w:rPr>
          </w:pPr>
          <w:r w:rsidRPr="009A46BB">
            <w:rPr>
              <w:rFonts w:ascii="Times New Roman" w:hAnsi="Times New Roman"/>
              <w:b/>
            </w:rPr>
            <w:t>Observaciones:</w:t>
          </w:r>
          <w:r w:rsidR="001A47B3" w:rsidRPr="009A46BB">
            <w:rPr>
              <w:rFonts w:ascii="Times New Roman" w:hAnsi="Times New Roman"/>
              <w:b/>
            </w:rPr>
            <w:t xml:space="preserve"> </w:t>
          </w:r>
          <w:r w:rsidR="001A47B3" w:rsidRPr="009A46BB">
            <w:rPr>
              <w:rFonts w:ascii="Times New Roman" w:hAnsi="Times New Roman"/>
            </w:rPr>
            <w:t>NA</w:t>
          </w:r>
        </w:p>
        <w:p w14:paraId="5F71044C" w14:textId="517A9D6E" w:rsidR="00274429" w:rsidRPr="009A46BB" w:rsidRDefault="00274429" w:rsidP="00274429">
          <w:pPr>
            <w:jc w:val="both"/>
            <w:rPr>
              <w:rFonts w:ascii="Times New Roman" w:hAnsi="Times New Roman"/>
            </w:rPr>
          </w:pPr>
          <w:r w:rsidRPr="009A46BB">
            <w:rPr>
              <w:rFonts w:ascii="Times New Roman" w:hAnsi="Times New Roman"/>
              <w:b/>
            </w:rPr>
            <w:lastRenderedPageBreak/>
            <w:t>Reversión:</w:t>
          </w:r>
          <w:r w:rsidRPr="009A46BB">
            <w:rPr>
              <w:rFonts w:ascii="Times New Roman" w:hAnsi="Times New Roman"/>
            </w:rPr>
            <w:t xml:space="preserve"> De acuerdo con lo establecido en el artículo cuarto de la Resolución No. 004 de 1994, una vez vencida la autorización otorgada (…), adelantará la diligencia de reversión, en favor de la Nación, de los bienes–inmuebles por la destinación situados en la zona de uso público, (…).</w:t>
          </w:r>
        </w:p>
        <w:p w14:paraId="0DBEC143" w14:textId="23F5E88F" w:rsidR="00274429" w:rsidRPr="009A46BB" w:rsidRDefault="00274429" w:rsidP="00274429">
          <w:pPr>
            <w:jc w:val="both"/>
            <w:rPr>
              <w:rFonts w:ascii="Times New Roman" w:hAnsi="Times New Roman"/>
              <w:b/>
            </w:rPr>
          </w:pPr>
          <w:r w:rsidRPr="009A46BB">
            <w:rPr>
              <w:rFonts w:ascii="Times New Roman" w:hAnsi="Times New Roman"/>
              <w:b/>
            </w:rPr>
            <w:t>e.</w:t>
          </w:r>
          <w:r w:rsidR="3F81996A" w:rsidRPr="7C752056">
            <w:rPr>
              <w:rFonts w:ascii="Times New Roman" w:hAnsi="Times New Roman"/>
              <w:b/>
              <w:bCs/>
            </w:rPr>
            <w:t xml:space="preserve"> </w:t>
          </w:r>
          <w:r w:rsidR="001A47B3" w:rsidRPr="009A46BB">
            <w:rPr>
              <w:rFonts w:ascii="Times New Roman" w:hAnsi="Times New Roman"/>
              <w:b/>
            </w:rPr>
            <w:t>No hay c</w:t>
          </w:r>
          <w:r w:rsidRPr="009A46BB">
            <w:rPr>
              <w:rFonts w:ascii="Times New Roman" w:hAnsi="Times New Roman"/>
              <w:b/>
            </w:rPr>
            <w:t>ambios en el acuerdo de concesión que se realicen durante el periodo fiscal</w:t>
          </w:r>
        </w:p>
        <w:p w14:paraId="71660E18" w14:textId="77777777" w:rsidR="00274429" w:rsidRPr="009A46BB" w:rsidRDefault="00274429" w:rsidP="00274429">
          <w:pPr>
            <w:jc w:val="both"/>
            <w:rPr>
              <w:rFonts w:ascii="Times New Roman" w:hAnsi="Times New Roman"/>
            </w:rPr>
          </w:pPr>
        </w:p>
        <w:p w14:paraId="7337A5A1" w14:textId="6A70C574" w:rsidR="00274429" w:rsidRPr="009A46BB" w:rsidRDefault="00574BDC" w:rsidP="00574BDC">
          <w:pPr>
            <w:spacing w:line="259" w:lineRule="auto"/>
            <w:jc w:val="both"/>
            <w:rPr>
              <w:rFonts w:ascii="Times New Roman" w:hAnsi="Times New Roman"/>
              <w:b/>
            </w:rPr>
          </w:pPr>
          <w:r w:rsidRPr="009A46BB">
            <w:rPr>
              <w:rFonts w:ascii="Times New Roman" w:hAnsi="Times New Roman"/>
              <w:b/>
            </w:rPr>
            <w:t>SOCIEDAD PORTUARIA REGIONAL DE BUENAVENTURA S.A.</w:t>
          </w:r>
        </w:p>
        <w:p w14:paraId="1CACB5AD" w14:textId="0F535C44" w:rsidR="00274429" w:rsidRPr="009A46BB" w:rsidRDefault="00274429" w:rsidP="00E60BAB">
          <w:pPr>
            <w:pStyle w:val="Prrafodelista"/>
            <w:numPr>
              <w:ilvl w:val="0"/>
              <w:numId w:val="156"/>
            </w:numPr>
            <w:jc w:val="both"/>
            <w:rPr>
              <w:rFonts w:ascii="Times New Roman" w:hAnsi="Times New Roman"/>
              <w:b/>
            </w:rPr>
          </w:pPr>
          <w:r w:rsidRPr="009A46BB">
            <w:rPr>
              <w:rFonts w:ascii="Times New Roman" w:hAnsi="Times New Roman"/>
              <w:b/>
            </w:rPr>
            <w:t>Descripción del acuerdo</w:t>
          </w:r>
        </w:p>
        <w:p w14:paraId="475579B5" w14:textId="69B888C5" w:rsidR="00274429" w:rsidRPr="009A46BB" w:rsidRDefault="00274429" w:rsidP="7C752056">
          <w:pPr>
            <w:spacing w:after="0"/>
            <w:jc w:val="both"/>
            <w:rPr>
              <w:rFonts w:ascii="Times New Roman" w:hAnsi="Times New Roman"/>
            </w:rPr>
          </w:pPr>
          <w:r w:rsidRPr="009A46BB">
            <w:rPr>
              <w:rFonts w:ascii="Times New Roman" w:hAnsi="Times New Roman"/>
              <w:b/>
            </w:rPr>
            <w:t>Número del acuerdo de concesión:</w:t>
          </w:r>
          <w:r w:rsidR="001B1D28" w:rsidRPr="009A46BB">
            <w:rPr>
              <w:rFonts w:ascii="Times New Roman" w:hAnsi="Times New Roman"/>
              <w:b/>
            </w:rPr>
            <w:t xml:space="preserve"> </w:t>
          </w:r>
          <w:r w:rsidRPr="009A46BB">
            <w:rPr>
              <w:rFonts w:ascii="Times New Roman" w:hAnsi="Times New Roman"/>
            </w:rPr>
            <w:t>Contrato N. 009 de 1994.</w:t>
          </w:r>
        </w:p>
        <w:p w14:paraId="4BF8E46A" w14:textId="67F67042" w:rsidR="00274429" w:rsidRPr="009A46BB" w:rsidRDefault="00274429" w:rsidP="7C752056">
          <w:pPr>
            <w:spacing w:after="0" w:afterAutospacing="1"/>
            <w:jc w:val="both"/>
            <w:rPr>
              <w:rFonts w:ascii="Times New Roman" w:hAnsi="Times New Roman"/>
            </w:rPr>
          </w:pPr>
          <w:r w:rsidRPr="009A46BB">
            <w:rPr>
              <w:rFonts w:ascii="Times New Roman" w:hAnsi="Times New Roman"/>
              <w:b/>
            </w:rPr>
            <w:t>Objeto / Descripción:</w:t>
          </w:r>
          <w:r w:rsidR="001B1D28" w:rsidRPr="009A46BB">
            <w:rPr>
              <w:rFonts w:ascii="Times New Roman" w:hAnsi="Times New Roman"/>
              <w:b/>
            </w:rPr>
            <w:t xml:space="preserve"> </w:t>
          </w:r>
          <w:r w:rsidRPr="009A46BB">
            <w:rPr>
              <w:rFonts w:ascii="Times New Roman" w:hAnsi="Times New Roman"/>
            </w:rPr>
            <w:t>En la cláusula primera del Contrato de Concesión No. 009 de 1994, se describe: LA SUPERINTENDENCIA en virtud del presente contrato, otorga a la SOCIEDAD PORTUARIA REGIONAL DE BUENAVENTURA S.A., una concesión portuaria en los siguientes términos: a) Se otorga a EL CONCESIONARIO el derecho para ocupar y utilizar en forma temporal y exclusiva las playas, los terrenos de bajamar y zonas accesorias a aquellas y éstos, descritos en la Cláusula del presente contrato, a cambio de la contraprestación económica de que trata la Cláusula Décima Primera de este contrato, a favor de la Nación y del Municipio de Buenaventura, donde operará el mencionado puerto. El puerto será de servicio público, habilitado para el comercio exterior y para prestar servicio a toda clase de carga.b). Se otorga a EL CONCESIONARIO el derecho a utilizar temporalmente los muelles, bodegas, cobertizos, edificios, patios, obras de urbanismo, muros de cerramiento, vías y en general los bienes relacionados en las Cláusulas Tercera y Quinta del presente contrato, a cambio de la contraprestación económica de que trata la Cláusula Décima Primera del mismo, a favor de la Nación exclusivamente.</w:t>
          </w:r>
        </w:p>
        <w:p w14:paraId="3CD804FE" w14:textId="58E7847E" w:rsidR="00274429" w:rsidRPr="009A46BB" w:rsidRDefault="00274429" w:rsidP="7C752056">
          <w:pPr>
            <w:spacing w:afterAutospacing="1"/>
            <w:jc w:val="both"/>
            <w:rPr>
              <w:rFonts w:ascii="Times New Roman" w:hAnsi="Times New Roman"/>
            </w:rPr>
          </w:pPr>
          <w:r w:rsidRPr="009A46BB">
            <w:rPr>
              <w:rFonts w:ascii="Times New Roman" w:hAnsi="Times New Roman"/>
              <w:b/>
            </w:rPr>
            <w:t>Valor inicial:</w:t>
          </w:r>
          <w:r w:rsidR="001B1D28" w:rsidRPr="009A46BB">
            <w:rPr>
              <w:rFonts w:ascii="Times New Roman" w:hAnsi="Times New Roman"/>
              <w:b/>
            </w:rPr>
            <w:t xml:space="preserve"> </w:t>
          </w:r>
          <w:r w:rsidRPr="009A46BB">
            <w:rPr>
              <w:rFonts w:ascii="Times New Roman" w:hAnsi="Times New Roman"/>
            </w:rPr>
            <w:t>El valor fiscal del contrato según la cláusula décima primera del Contrato de Concesión No. 009 de 1994 es de TREINTA Y OCHO MILLONES CIENTO CUATRO MIL QUINIENTOS NOVENTA Y NUEVE DÓLARES DE LOS ESTADOS UNIDOS DE AMÉRICA (USD 38.104.599).</w:t>
          </w:r>
        </w:p>
        <w:p w14:paraId="48FDA325" w14:textId="682680BE" w:rsidR="00274429" w:rsidRPr="009A46BB" w:rsidRDefault="00274429" w:rsidP="7C752056">
          <w:pPr>
            <w:spacing w:afterAutospacing="1"/>
            <w:jc w:val="both"/>
            <w:rPr>
              <w:rFonts w:ascii="Times New Roman" w:hAnsi="Times New Roman"/>
            </w:rPr>
          </w:pPr>
          <w:r w:rsidRPr="009A46BB">
            <w:rPr>
              <w:rFonts w:ascii="Times New Roman" w:hAnsi="Times New Roman"/>
              <w:b/>
            </w:rPr>
            <w:t>Fecha de inicio:</w:t>
          </w:r>
          <w:r w:rsidR="001B1D28" w:rsidRPr="009A46BB">
            <w:rPr>
              <w:rFonts w:ascii="Times New Roman" w:hAnsi="Times New Roman"/>
              <w:b/>
            </w:rPr>
            <w:t xml:space="preserve"> </w:t>
          </w:r>
          <w:r w:rsidRPr="009A46BB">
            <w:rPr>
              <w:rFonts w:ascii="Times New Roman" w:hAnsi="Times New Roman"/>
            </w:rPr>
            <w:t>21/02/1994</w:t>
          </w:r>
        </w:p>
        <w:p w14:paraId="5A0C5EA5" w14:textId="216EB26B" w:rsidR="00274429" w:rsidRPr="009A46BB" w:rsidRDefault="00274429" w:rsidP="7C752056">
          <w:pPr>
            <w:spacing w:afterAutospacing="1"/>
            <w:jc w:val="both"/>
            <w:rPr>
              <w:rFonts w:ascii="Times New Roman" w:hAnsi="Times New Roman"/>
            </w:rPr>
          </w:pPr>
          <w:r w:rsidRPr="009A46BB">
            <w:rPr>
              <w:rFonts w:ascii="Times New Roman" w:hAnsi="Times New Roman"/>
              <w:b/>
            </w:rPr>
            <w:t>Fecha de finalización estimada:</w:t>
          </w:r>
          <w:r w:rsidR="001B1D28" w:rsidRPr="009A46BB">
            <w:rPr>
              <w:rFonts w:ascii="Times New Roman" w:hAnsi="Times New Roman"/>
              <w:b/>
            </w:rPr>
            <w:t xml:space="preserve"> </w:t>
          </w:r>
          <w:r w:rsidRPr="009A46BB">
            <w:rPr>
              <w:rFonts w:ascii="Times New Roman" w:hAnsi="Times New Roman"/>
            </w:rPr>
            <w:t>21/02/2034</w:t>
          </w:r>
        </w:p>
        <w:p w14:paraId="04D2C768" w14:textId="17296FE5" w:rsidR="00274429" w:rsidRPr="009A46BB" w:rsidRDefault="00274429" w:rsidP="7C752056">
          <w:pPr>
            <w:spacing w:afterAutospacing="1"/>
            <w:jc w:val="both"/>
            <w:rPr>
              <w:rFonts w:ascii="Times New Roman" w:hAnsi="Times New Roman"/>
            </w:rPr>
          </w:pPr>
          <w:r w:rsidRPr="009A46BB">
            <w:rPr>
              <w:rFonts w:ascii="Times New Roman" w:hAnsi="Times New Roman"/>
              <w:b/>
            </w:rPr>
            <w:t>Tipo ID:</w:t>
          </w:r>
          <w:r w:rsidR="001B1D28" w:rsidRPr="009A46BB">
            <w:rPr>
              <w:rFonts w:ascii="Times New Roman" w:hAnsi="Times New Roman"/>
              <w:b/>
            </w:rPr>
            <w:t xml:space="preserve"> </w:t>
          </w:r>
          <w:r w:rsidRPr="009A46BB">
            <w:rPr>
              <w:rFonts w:ascii="Times New Roman" w:hAnsi="Times New Roman"/>
            </w:rPr>
            <w:t>NIT</w:t>
          </w:r>
        </w:p>
        <w:p w14:paraId="07461206" w14:textId="31AE8E04" w:rsidR="00274429" w:rsidRPr="009A46BB" w:rsidRDefault="00274429" w:rsidP="7C752056">
          <w:pPr>
            <w:spacing w:afterAutospacing="1"/>
            <w:jc w:val="both"/>
            <w:rPr>
              <w:rFonts w:ascii="Times New Roman" w:hAnsi="Times New Roman"/>
            </w:rPr>
          </w:pPr>
          <w:r w:rsidRPr="009A46BB">
            <w:rPr>
              <w:rFonts w:ascii="Times New Roman" w:hAnsi="Times New Roman"/>
              <w:b/>
            </w:rPr>
            <w:t>Número ID:</w:t>
          </w:r>
          <w:r w:rsidR="001B1D28" w:rsidRPr="009A46BB">
            <w:rPr>
              <w:rFonts w:ascii="Times New Roman" w:hAnsi="Times New Roman"/>
              <w:b/>
            </w:rPr>
            <w:t xml:space="preserve"> </w:t>
          </w:r>
          <w:r w:rsidRPr="009A46BB">
            <w:rPr>
              <w:rFonts w:ascii="Times New Roman" w:hAnsi="Times New Roman"/>
            </w:rPr>
            <w:t>800.215.775-5</w:t>
          </w:r>
        </w:p>
        <w:p w14:paraId="51182CDA" w14:textId="748302D1" w:rsidR="00274429" w:rsidRPr="009A46BB" w:rsidRDefault="00274429" w:rsidP="7C752056">
          <w:pPr>
            <w:spacing w:afterAutospacing="1"/>
            <w:jc w:val="both"/>
            <w:rPr>
              <w:rFonts w:ascii="Times New Roman" w:hAnsi="Times New Roman"/>
            </w:rPr>
          </w:pPr>
          <w:r w:rsidRPr="009A46BB">
            <w:rPr>
              <w:rFonts w:ascii="Times New Roman" w:hAnsi="Times New Roman"/>
              <w:b/>
            </w:rPr>
            <w:t>Razón social del concesionario:</w:t>
          </w:r>
          <w:r w:rsidR="001B1D28" w:rsidRPr="009A46BB">
            <w:rPr>
              <w:rFonts w:ascii="Times New Roman" w:hAnsi="Times New Roman"/>
              <w:b/>
            </w:rPr>
            <w:t xml:space="preserve"> </w:t>
          </w:r>
          <w:r w:rsidRPr="009A46BB">
            <w:rPr>
              <w:rFonts w:ascii="Times New Roman" w:hAnsi="Times New Roman"/>
            </w:rPr>
            <w:t>Sociedad Portuaria Regional de Buenaventura S.A.</w:t>
          </w:r>
        </w:p>
        <w:p w14:paraId="160B1997" w14:textId="4ACD65A3" w:rsidR="00274429" w:rsidRPr="009A46BB" w:rsidRDefault="00274429" w:rsidP="7C752056">
          <w:pPr>
            <w:spacing w:afterAutospacing="1"/>
            <w:jc w:val="both"/>
            <w:rPr>
              <w:rFonts w:ascii="Times New Roman" w:hAnsi="Times New Roman"/>
            </w:rPr>
          </w:pPr>
          <w:r w:rsidRPr="009A46BB">
            <w:rPr>
              <w:rFonts w:ascii="Times New Roman" w:hAnsi="Times New Roman"/>
              <w:b/>
            </w:rPr>
            <w:t>Nombre del proyecto:</w:t>
          </w:r>
          <w:r w:rsidR="001B1D28" w:rsidRPr="009A46BB">
            <w:rPr>
              <w:rFonts w:ascii="Times New Roman" w:hAnsi="Times New Roman"/>
              <w:b/>
            </w:rPr>
            <w:t xml:space="preserve"> </w:t>
          </w:r>
          <w:r w:rsidRPr="009A46BB">
            <w:rPr>
              <w:rFonts w:ascii="Times New Roman" w:hAnsi="Times New Roman"/>
            </w:rPr>
            <w:t>Sociedad Portuaria Regional de Buenaventura S.A.</w:t>
          </w:r>
        </w:p>
        <w:p w14:paraId="3652F979" w14:textId="2F80D1E3" w:rsidR="7C752056" w:rsidRDefault="7C752056" w:rsidP="7C752056">
          <w:pPr>
            <w:spacing w:afterAutospacing="1"/>
            <w:jc w:val="both"/>
            <w:rPr>
              <w:rFonts w:ascii="Times New Roman" w:hAnsi="Times New Roman"/>
            </w:rPr>
          </w:pPr>
        </w:p>
        <w:p w14:paraId="42E16BCE" w14:textId="0BA6270B" w:rsidR="00274429" w:rsidRPr="009A46BB" w:rsidRDefault="00274429" w:rsidP="00E60BAB">
          <w:pPr>
            <w:pStyle w:val="Prrafodelista"/>
            <w:numPr>
              <w:ilvl w:val="0"/>
              <w:numId w:val="156"/>
            </w:numPr>
            <w:jc w:val="both"/>
            <w:rPr>
              <w:rFonts w:ascii="Times New Roman" w:hAnsi="Times New Roman"/>
              <w:b/>
            </w:rPr>
          </w:pPr>
          <w:r w:rsidRPr="009A46BB">
            <w:rPr>
              <w:rFonts w:ascii="Times New Roman" w:hAnsi="Times New Roman"/>
              <w:b/>
            </w:rPr>
            <w:t>Términos significativos del acuerdo que puedan afectar su valor, el calendario y la certeza de los flujos</w:t>
          </w:r>
        </w:p>
        <w:p w14:paraId="5CF18F48" w14:textId="7F7CE871" w:rsidR="00274429" w:rsidRPr="009A46BB" w:rsidRDefault="00274429" w:rsidP="00274429">
          <w:pPr>
            <w:jc w:val="both"/>
            <w:rPr>
              <w:rFonts w:ascii="Times New Roman" w:hAnsi="Times New Roman"/>
              <w:b/>
            </w:rPr>
          </w:pPr>
          <w:r w:rsidRPr="009A46BB">
            <w:rPr>
              <w:rFonts w:ascii="Times New Roman" w:hAnsi="Times New Roman"/>
              <w:b/>
            </w:rPr>
            <w:t>Términos de valor:</w:t>
          </w:r>
        </w:p>
        <w:p w14:paraId="3A12A801" w14:textId="77777777" w:rsidR="00274429" w:rsidRPr="009A46BB" w:rsidRDefault="00274429" w:rsidP="00274429">
          <w:pPr>
            <w:jc w:val="both"/>
            <w:rPr>
              <w:rFonts w:ascii="Times New Roman" w:hAnsi="Times New Roman"/>
            </w:rPr>
          </w:pPr>
          <w:r w:rsidRPr="009A46BB">
            <w:rPr>
              <w:rFonts w:ascii="Times New Roman" w:hAnsi="Times New Roman"/>
              <w:b/>
            </w:rPr>
            <w:lastRenderedPageBreak/>
            <w:t>Tarifas:</w:t>
          </w:r>
          <w:r w:rsidRPr="009A46BB">
            <w:rPr>
              <w:rFonts w:ascii="Times New Roman" w:hAnsi="Times New Roman"/>
            </w:rPr>
            <w:t xml:space="preserve">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w:t>
          </w:r>
        </w:p>
        <w:p w14:paraId="78C408F3" w14:textId="743D7202" w:rsidR="00274429" w:rsidRPr="009A46BB" w:rsidRDefault="00274429" w:rsidP="00274429">
          <w:pPr>
            <w:jc w:val="both"/>
            <w:rPr>
              <w:rFonts w:ascii="Times New Roman" w:hAnsi="Times New Roman"/>
            </w:rPr>
          </w:pPr>
          <w:r w:rsidRPr="009A46BB">
            <w:rPr>
              <w:rFonts w:ascii="Times New Roman" w:hAnsi="Times New Roman"/>
              <w:b/>
            </w:rPr>
            <w:t>Contraprestación portuaria:</w:t>
          </w:r>
          <w:r w:rsidRPr="009A46BB">
            <w:rPr>
              <w:rFonts w:ascii="Times New Roman" w:hAnsi="Times New Roman"/>
            </w:rPr>
            <w:t xml:space="preserve"> De acuerdo con el último documento contractual la metodología de contraprestación vigente es la descrita en el Decreto 1873 de 2008 (cobro de las contraprestaciones por concepto de las concesiones portuarias, sobre los activos entregados a la Sociedad Portuaria Regional de Buenaventura).Según la cláusula Quinta del Otrosí No. 2 de 2008, para el año 2023 se proyectó que la Sociedad Portuaria pagará la suma de USD21.272.320, de los cuales pagará la suma de USD 12.021.900 por concepto de Zona de Uso Público y el valor de USD 9.250.420 por concepto de Infraestructura aproximadamente.</w:t>
          </w:r>
        </w:p>
        <w:p w14:paraId="13984346" w14:textId="77777777" w:rsidR="00274429" w:rsidRPr="009A46BB" w:rsidRDefault="00274429" w:rsidP="00274429">
          <w:pPr>
            <w:jc w:val="both"/>
            <w:rPr>
              <w:rFonts w:ascii="Times New Roman" w:hAnsi="Times New Roman"/>
            </w:rPr>
          </w:pPr>
          <w:r w:rsidRPr="009A46BB">
            <w:rPr>
              <w:rFonts w:ascii="Times New Roman" w:hAnsi="Times New Roman"/>
              <w:b/>
            </w:rPr>
            <w:t>Plan de Inversiones:</w:t>
          </w:r>
          <w:r w:rsidRPr="009A46BB">
            <w:rPr>
              <w:rFonts w:ascii="Times New Roman" w:hAnsi="Times New Roman"/>
            </w:rPr>
            <w:t xml:space="preserve"> Según la cláusula tercera del Otrosí No. 2 de 2008, que modifica el Contrato de Concesión No. 009 de 1994, el plan de inversión será de USD $449.696.302 en valores constantes del año 2007.</w:t>
          </w:r>
        </w:p>
        <w:p w14:paraId="5359849C" w14:textId="77777777" w:rsidR="00274429" w:rsidRPr="009A46BB" w:rsidRDefault="00274429" w:rsidP="00274429">
          <w:pPr>
            <w:jc w:val="both"/>
            <w:rPr>
              <w:rFonts w:ascii="Times New Roman" w:hAnsi="Times New Roman"/>
            </w:rPr>
          </w:pPr>
          <w:r w:rsidRPr="009A46BB">
            <w:rPr>
              <w:rFonts w:ascii="Times New Roman" w:hAnsi="Times New Roman"/>
              <w:b/>
            </w:rPr>
            <w:t>Obligaciones del CONCESIONARIO:</w:t>
          </w:r>
          <w:r w:rsidRPr="009A46BB">
            <w:rPr>
              <w:rFonts w:ascii="Times New Roman" w:hAnsi="Times New Roman"/>
            </w:rPr>
            <w:t xml:space="preserve"> se encuentran descritas en la cláusula décima segunda del Contrato de Concesión No. 009 de 1994. </w:t>
          </w:r>
        </w:p>
        <w:p w14:paraId="2C4126A5" w14:textId="77777777" w:rsidR="00274429" w:rsidRPr="009A46BB" w:rsidRDefault="00274429" w:rsidP="00274429">
          <w:pPr>
            <w:jc w:val="both"/>
            <w:rPr>
              <w:rFonts w:ascii="Times New Roman" w:hAnsi="Times New Roman"/>
            </w:rPr>
          </w:pPr>
          <w:r w:rsidRPr="009A46BB">
            <w:rPr>
              <w:rFonts w:ascii="Times New Roman" w:hAnsi="Times New Roman"/>
              <w:b/>
            </w:rPr>
            <w:t>Multas y sanciones:</w:t>
          </w:r>
          <w:r w:rsidRPr="009A46BB">
            <w:rPr>
              <w:rFonts w:ascii="Times New Roman" w:hAnsi="Times New Roman"/>
            </w:rPr>
            <w:t xml:space="preserve"> Se encuentran establecidas en la cláusula décima quinta del Contrato de Concesión No. 009 de 1994.</w:t>
          </w:r>
        </w:p>
        <w:p w14:paraId="5A7456D7" w14:textId="744BB55A" w:rsidR="00274429" w:rsidRPr="009A46BB" w:rsidRDefault="00274429" w:rsidP="00274429">
          <w:pPr>
            <w:jc w:val="both"/>
            <w:rPr>
              <w:rFonts w:ascii="Times New Roman" w:hAnsi="Times New Roman"/>
            </w:rPr>
          </w:pPr>
          <w:r w:rsidRPr="009A46BB">
            <w:rPr>
              <w:rFonts w:ascii="Times New Roman" w:hAnsi="Times New Roman"/>
              <w:b/>
            </w:rPr>
            <w:t>Penal pecuniario:</w:t>
          </w:r>
          <w:r w:rsidRPr="009A46BB">
            <w:rPr>
              <w:rFonts w:ascii="Times New Roman" w:hAnsi="Times New Roman"/>
            </w:rPr>
            <w:t xml:space="preserve"> En la cláusula décima sexta se establece que en el evento en que la Superintendencia hoy ANI declare la caducidad del presente contrato. EL CONCESIONARIO deberá pagar la suma del 10% del valor total de la contraprestación, como sanción pecuniaria.El valor de esta suma pagada por EL CONCESIONARIO se considera como pago parcial pero no definitivo, los perjuicios causados a LA SUPERINTENDENCIA.</w:t>
          </w:r>
        </w:p>
        <w:p w14:paraId="3C345A36" w14:textId="77777777" w:rsidR="00274429" w:rsidRPr="009A46BB" w:rsidRDefault="00274429" w:rsidP="00274429">
          <w:pPr>
            <w:jc w:val="both"/>
            <w:rPr>
              <w:rFonts w:ascii="Times New Roman" w:hAnsi="Times New Roman"/>
            </w:rPr>
          </w:pPr>
          <w:r w:rsidRPr="009A46BB">
            <w:rPr>
              <w:rFonts w:ascii="Times New Roman" w:hAnsi="Times New Roman"/>
              <w:b/>
            </w:rPr>
            <w:t>Términos de calendario:</w:t>
          </w:r>
        </w:p>
        <w:p w14:paraId="3F7596DE" w14:textId="77777777" w:rsidR="00274429" w:rsidRPr="009A46BB" w:rsidRDefault="00274429" w:rsidP="00274429">
          <w:pPr>
            <w:jc w:val="both"/>
            <w:rPr>
              <w:rFonts w:ascii="Times New Roman" w:hAnsi="Times New Roman"/>
            </w:rPr>
          </w:pPr>
          <w:r w:rsidRPr="009A46BB">
            <w:rPr>
              <w:rFonts w:ascii="Times New Roman" w:hAnsi="Times New Roman"/>
              <w:b/>
            </w:rPr>
            <w:t>Tarifas:</w:t>
          </w:r>
          <w:r w:rsidRPr="009A46BB">
            <w:rPr>
              <w:rFonts w:ascii="Times New Roman" w:hAnsi="Times New Roman"/>
            </w:rPr>
            <w:t xml:space="preserve"> Aprobadas según la metodología establecida por la Superintendencia General de Puertos hoy Superintendencia de Transporte.</w:t>
          </w:r>
        </w:p>
        <w:p w14:paraId="1D29A6E8" w14:textId="77777777" w:rsidR="00274429" w:rsidRPr="009A46BB" w:rsidRDefault="00274429" w:rsidP="00274429">
          <w:pPr>
            <w:jc w:val="both"/>
            <w:rPr>
              <w:rFonts w:ascii="Times New Roman" w:hAnsi="Times New Roman"/>
            </w:rPr>
          </w:pPr>
          <w:r w:rsidRPr="009A46BB">
            <w:rPr>
              <w:rFonts w:ascii="Times New Roman" w:hAnsi="Times New Roman"/>
              <w:b/>
            </w:rPr>
            <w:t>Contraprestación portuaria:</w:t>
          </w:r>
          <w:r w:rsidRPr="009A46BB">
            <w:rPr>
              <w:rFonts w:ascii="Times New Roman" w:hAnsi="Times New Roman"/>
            </w:rPr>
            <w:t xml:space="preserve"> la contraprestación corresponde a liquidación anual que se pagará por semestres vencidos, a partir del día siguiente de aquel en que expire el plazo del contrato original suscrito con las Sociedades Portuarias Regionales a la que se refiere el Decreto 1873 de 2008.</w:t>
          </w:r>
        </w:p>
        <w:p w14:paraId="61F4C71B" w14:textId="77777777" w:rsidR="00274429" w:rsidRPr="009A46BB" w:rsidRDefault="00274429" w:rsidP="00274429">
          <w:pPr>
            <w:jc w:val="both"/>
            <w:rPr>
              <w:rFonts w:ascii="Times New Roman" w:hAnsi="Times New Roman"/>
            </w:rPr>
          </w:pPr>
          <w:r w:rsidRPr="009A46BB">
            <w:rPr>
              <w:rFonts w:ascii="Times New Roman" w:hAnsi="Times New Roman"/>
              <w:b/>
            </w:rPr>
            <w:t>Plan de inversiones:</w:t>
          </w:r>
          <w:r w:rsidRPr="009A46BB">
            <w:rPr>
              <w:rFonts w:ascii="Times New Roman" w:hAnsi="Times New Roman"/>
            </w:rPr>
            <w:t xml:space="preserve"> Según la cláusula tercera del Otrosí No. 2 de 2008, que modifica el Contrato de Concesión No. 009 de 1994, el plan de inversión será de USD $449.696.302 en valores constantes del año 2007.</w:t>
          </w:r>
        </w:p>
        <w:p w14:paraId="068732D3" w14:textId="77777777" w:rsidR="00274429" w:rsidRPr="009A46BB" w:rsidRDefault="00274429" w:rsidP="00274429">
          <w:pPr>
            <w:jc w:val="both"/>
            <w:rPr>
              <w:rFonts w:ascii="Times New Roman" w:hAnsi="Times New Roman"/>
            </w:rPr>
          </w:pPr>
          <w:r w:rsidRPr="009A46BB">
            <w:rPr>
              <w:rFonts w:ascii="Times New Roman" w:hAnsi="Times New Roman"/>
              <w:b/>
            </w:rPr>
            <w:t>Multas:</w:t>
          </w:r>
          <w:r w:rsidRPr="009A46BB">
            <w:rPr>
              <w:rFonts w:ascii="Times New Roman" w:hAnsi="Times New Roman"/>
            </w:rPr>
            <w:t xml:space="preserve"> Se encuentran establecidas en la cláusula décima quinta del Contrato de Concesión No. 009 de 1994.</w:t>
          </w:r>
        </w:p>
        <w:p w14:paraId="0BB57E3B" w14:textId="77777777" w:rsidR="00274429" w:rsidRPr="009A46BB" w:rsidRDefault="00274429" w:rsidP="00274429">
          <w:pPr>
            <w:jc w:val="both"/>
            <w:rPr>
              <w:rFonts w:ascii="Times New Roman" w:hAnsi="Times New Roman"/>
            </w:rPr>
          </w:pPr>
          <w:r w:rsidRPr="009A46BB">
            <w:rPr>
              <w:rFonts w:ascii="Times New Roman" w:hAnsi="Times New Roman"/>
              <w:b/>
            </w:rPr>
            <w:t>Términos de certeza de flujos de efectivo futuros:</w:t>
          </w:r>
        </w:p>
        <w:p w14:paraId="4CB84C0A" w14:textId="17793D00" w:rsidR="00274429" w:rsidRPr="009A46BB" w:rsidRDefault="00274429" w:rsidP="00274429">
          <w:pPr>
            <w:jc w:val="both"/>
            <w:rPr>
              <w:rFonts w:ascii="Times New Roman" w:hAnsi="Times New Roman"/>
            </w:rPr>
          </w:pPr>
          <w:r w:rsidRPr="009A46BB">
            <w:rPr>
              <w:rFonts w:ascii="Times New Roman" w:hAnsi="Times New Roman"/>
            </w:rPr>
            <w:t xml:space="preserve">LA SUPERINTENDENCIA en virtud del presente contrato, otorga a la SOCIEDAD PORTUARIA REGIONAL DE BUENAVENTURA S.A., una concesión portuaria en los siguientes términos: a) Se otorga a EL CONCESIONARIO el derecho para ocupar y utilizar en forma temporal y exclusiva las playas, los terrenos de bajamar y zonas accesorias a aquellas y éstos, descritos en la Cláusula del presente contrato, a cambio de la contraprestación económica de que trata la Cláusula Décima Primera de este contrato, a favor de la Nación y del Municipio de Buenaventura, donde operará el mencionado </w:t>
          </w:r>
          <w:r w:rsidRPr="009A46BB">
            <w:rPr>
              <w:rFonts w:ascii="Times New Roman" w:hAnsi="Times New Roman"/>
            </w:rPr>
            <w:lastRenderedPageBreak/>
            <w:t>puerto. El puerto será de servicio público, habilitado para el comercio exterior y para prestar servicio a toda clase de carga.b). Se otorga a EL CONCESIONARIO el derecho a utilizar temporalmente los muelles, bodegas, cobertizos, edificios, patios, obras de urbanismo, muros de cerramiento, vías y en general los bienes relacionados en las Cláusulas Tercera y Quinta del presente contrato, a cambio de la contraprestación económica de que trata la Cláusula Décima Primera del mismo, a favor de la Nación exclusivamente.</w:t>
          </w:r>
        </w:p>
        <w:p w14:paraId="5549F4B9" w14:textId="77777777" w:rsidR="00274429" w:rsidRPr="009A46BB" w:rsidRDefault="00274429" w:rsidP="00274429">
          <w:pPr>
            <w:jc w:val="both"/>
            <w:rPr>
              <w:rFonts w:ascii="Times New Roman" w:hAnsi="Times New Roman"/>
            </w:rPr>
          </w:pPr>
          <w:r w:rsidRPr="009A46BB">
            <w:rPr>
              <w:rFonts w:ascii="Times New Roman" w:hAnsi="Times New Roman"/>
            </w:rPr>
            <w:t>La cláusula décimo primera del Contrato de Concesión, que fue modificada por la Clausula Quinta del Otrosí No. 2 de 2008, establece el pago de la contraprestación sobre la cual se indica que el 80% le corresponde a la Nación y el 20% al Municipio de Buenaventura, de acuerdo con lo establecido en el Decreto 2147 del 13-09-1991 y Resolución 040 de 1992; modificadas por la Ley 856 de 2003.</w:t>
          </w:r>
        </w:p>
        <w:p w14:paraId="113E35ED" w14:textId="166E292B" w:rsidR="00274429" w:rsidRPr="009A46BB" w:rsidRDefault="00274429" w:rsidP="00E60BAB">
          <w:pPr>
            <w:pStyle w:val="Prrafodelista"/>
            <w:numPr>
              <w:ilvl w:val="0"/>
              <w:numId w:val="156"/>
            </w:numPr>
            <w:jc w:val="both"/>
            <w:rPr>
              <w:rFonts w:ascii="Times New Roman" w:hAnsi="Times New Roman"/>
              <w:b/>
            </w:rPr>
          </w:pPr>
          <w:r w:rsidRPr="009A46BB">
            <w:rPr>
              <w:rFonts w:ascii="Times New Roman" w:hAnsi="Times New Roman"/>
              <w:b/>
            </w:rPr>
            <w:t xml:space="preserve">Naturaleza y alcance del derecho a utilizar activos especificados, de los aspectos pactados en torno a lo que se espera que el concesionario proporcione en relación con el acuerdo de concesión </w:t>
          </w:r>
        </w:p>
        <w:p w14:paraId="1AA77AF9" w14:textId="77777777" w:rsidR="00274429" w:rsidRPr="009A46BB" w:rsidRDefault="00274429" w:rsidP="00274429">
          <w:pPr>
            <w:jc w:val="both"/>
            <w:rPr>
              <w:rFonts w:ascii="Times New Roman" w:hAnsi="Times New Roman"/>
              <w:b/>
            </w:rPr>
          </w:pPr>
          <w:r w:rsidRPr="009A46BB">
            <w:rPr>
              <w:rFonts w:ascii="Times New Roman" w:hAnsi="Times New Roman"/>
              <w:b/>
            </w:rPr>
            <w:t>Naturaleza y alcance del derecho de uso de los activos</w:t>
          </w:r>
        </w:p>
        <w:p w14:paraId="26256CF0" w14:textId="77777777" w:rsidR="00274429" w:rsidRPr="009A46BB" w:rsidRDefault="00274429" w:rsidP="00274429">
          <w:pPr>
            <w:jc w:val="both"/>
            <w:rPr>
              <w:rFonts w:ascii="Times New Roman" w:hAnsi="Times New Roman"/>
            </w:rPr>
          </w:pPr>
          <w:r w:rsidRPr="009A46BB">
            <w:rPr>
              <w:rFonts w:ascii="Times New Roman" w:hAnsi="Times New Roman"/>
              <w:b/>
            </w:rPr>
            <w:t>Descripción:</w:t>
          </w:r>
          <w:r w:rsidRPr="009A46BB">
            <w:rPr>
              <w:rFonts w:ascii="Times New Roman" w:hAnsi="Times New Roman"/>
            </w:rPr>
            <w:tab/>
            <w:t>Descripción del proyecto, especificaciones técnicas, modalidades de operación: las condiciones especiales de operación del puerto están establecidas en la cláusula sexta del Contrato de Concesión</w:t>
          </w:r>
        </w:p>
        <w:p w14:paraId="04D0FBCC" w14:textId="77777777" w:rsidR="00274429" w:rsidRPr="009A46BB" w:rsidRDefault="00274429" w:rsidP="00274429">
          <w:pPr>
            <w:jc w:val="both"/>
            <w:rPr>
              <w:rFonts w:ascii="Times New Roman" w:hAnsi="Times New Roman"/>
            </w:rPr>
          </w:pPr>
          <w:r w:rsidRPr="009A46BB">
            <w:rPr>
              <w:rFonts w:ascii="Times New Roman" w:hAnsi="Times New Roman"/>
              <w:b/>
            </w:rPr>
            <w:t>Área entregada en concesión:</w:t>
          </w:r>
          <w:r w:rsidRPr="009A46BB">
            <w:rPr>
              <w:rFonts w:ascii="Times New Roman" w:hAnsi="Times New Roman"/>
            </w:rPr>
            <w:t xml:space="preserve"> La descripción de la ubicación, linderos y extensión de los bienes de uso público (playas y terrenos de baja mar, zonas marítimas accesorias de maniobras) entregados en concesión están establecidos en la cláusula tercera.</w:t>
          </w:r>
        </w:p>
        <w:p w14:paraId="605874F5" w14:textId="77777777" w:rsidR="00274429" w:rsidRPr="009A46BB" w:rsidRDefault="00274429" w:rsidP="00274429">
          <w:pPr>
            <w:jc w:val="both"/>
            <w:rPr>
              <w:rFonts w:ascii="Times New Roman" w:hAnsi="Times New Roman"/>
            </w:rPr>
          </w:pPr>
          <w:r w:rsidRPr="009A46BB">
            <w:rPr>
              <w:rFonts w:ascii="Times New Roman" w:hAnsi="Times New Roman"/>
              <w:b/>
            </w:rPr>
            <w:t>Infraestructura y equipos entregados en concesión:</w:t>
          </w:r>
          <w:r w:rsidRPr="009A46BB">
            <w:rPr>
              <w:rFonts w:ascii="Times New Roman" w:hAnsi="Times New Roman"/>
            </w:rPr>
            <w:t xml:space="preserve"> En la cláusula quinta del Contrato inicial, se describe que lo entregado en concesión fue: </w:t>
          </w:r>
        </w:p>
        <w:p w14:paraId="3C8BCF85" w14:textId="77777777" w:rsidR="00274429" w:rsidRPr="009A46BB" w:rsidRDefault="00274429" w:rsidP="00274429">
          <w:pPr>
            <w:jc w:val="both"/>
            <w:rPr>
              <w:rFonts w:ascii="Times New Roman" w:hAnsi="Times New Roman"/>
            </w:rPr>
          </w:pPr>
          <w:r w:rsidRPr="009A46BB">
            <w:rPr>
              <w:rFonts w:ascii="Times New Roman" w:hAnsi="Times New Roman"/>
              <w:b/>
            </w:rPr>
            <w:t>Infraestructura:</w:t>
          </w:r>
          <w:r w:rsidRPr="009A46BB">
            <w:rPr>
              <w:rFonts w:ascii="Times New Roman" w:hAnsi="Times New Roman"/>
            </w:rPr>
            <w:t xml:space="preserve"> Muelles, Bodegas, Cobertizos, Edificio, Redes de Servicios, Red de Alcantarillado, Red Eléctrica y de Alumbrado, </w:t>
          </w:r>
        </w:p>
        <w:p w14:paraId="5AA4E619" w14:textId="77777777" w:rsidR="00274429" w:rsidRPr="009A46BB" w:rsidRDefault="00274429" w:rsidP="00274429">
          <w:pPr>
            <w:jc w:val="both"/>
            <w:rPr>
              <w:rFonts w:ascii="Times New Roman" w:hAnsi="Times New Roman"/>
              <w:b/>
            </w:rPr>
          </w:pPr>
          <w:r w:rsidRPr="009A46BB">
            <w:rPr>
              <w:rFonts w:ascii="Times New Roman" w:hAnsi="Times New Roman"/>
              <w:b/>
            </w:rPr>
            <w:t>Retribución al concesionario</w:t>
          </w:r>
        </w:p>
        <w:p w14:paraId="031C438C" w14:textId="2125F3DB" w:rsidR="00274429" w:rsidRPr="009A46BB" w:rsidRDefault="00274429" w:rsidP="00274429">
          <w:pPr>
            <w:jc w:val="both"/>
            <w:rPr>
              <w:rFonts w:ascii="Times New Roman" w:hAnsi="Times New Roman"/>
            </w:rPr>
          </w:pPr>
          <w:r w:rsidRPr="009A46BB">
            <w:rPr>
              <w:rFonts w:ascii="Times New Roman" w:hAnsi="Times New Roman"/>
              <w:b/>
            </w:rPr>
            <w:t>Descripción:</w:t>
          </w:r>
          <w:r w:rsidRPr="009A46BB">
            <w:rPr>
              <w:rFonts w:ascii="Times New Roman" w:hAnsi="Times New Roman"/>
            </w:rPr>
            <w:tab/>
            <w:t>En la cláusula primera del Contrato de Concesión No. 009 de 1994, se describe: LA SUPERINTENDENCIA en virtud del presente contrato, otorga a la SOCIEDAD PORTUARIA REGIONAL DE BUENAVENTURA S.A., una concesión portuaria en los siguientes términos: a) Se otorga a EL CONCESIONARIO el derecho para ocupar y utilizar en forma temporal y exclusiva las playas, los terrenos de bajamar y zonas accesorias a aquellas y éstos, descritos en la Cláusula del presente contrato, a cambio de la contraprestación económica de que trata la Cláusula Décima Primera de este contrato, a favor de la Nación y del Municipio de Buenaventura, donde operará el mencionado puerto. El puerto será de servicio público, habilitado para el comercio exterior y para prestar servicio a toda clase de carga.b). Se otorga a EL CONCESIONARIO el derecho a utilizar temporalmente los muelles, bodegas, cobertizos, edificios, patios, obras de urbanismo, muros de cerramiento, vías y en general los bienes relacionados en las Cláusulas Tercera y Quinta del presente contrato, a cambio de la contraprestación económica de que trata la Cláusula Décima Primera del mismo, a favor de la Nación exclusivamente.</w:t>
          </w:r>
        </w:p>
        <w:p w14:paraId="6E580C00" w14:textId="77777777" w:rsidR="00274429" w:rsidRPr="009A46BB" w:rsidRDefault="00274429" w:rsidP="00274429">
          <w:pPr>
            <w:jc w:val="both"/>
            <w:rPr>
              <w:rFonts w:ascii="Times New Roman" w:hAnsi="Times New Roman"/>
            </w:rPr>
          </w:pPr>
          <w:r w:rsidRPr="009A46BB">
            <w:rPr>
              <w:rFonts w:ascii="Times New Roman" w:hAnsi="Times New Roman"/>
              <w:b/>
            </w:rPr>
            <w:t>Tasa de retribución:</w:t>
          </w:r>
          <w:r w:rsidRPr="009A46BB">
            <w:rPr>
              <w:rFonts w:ascii="Times New Roman" w:hAnsi="Times New Roman"/>
            </w:rPr>
            <w:tab/>
            <w:t>N/A</w:t>
          </w:r>
        </w:p>
        <w:p w14:paraId="42D15A68" w14:textId="4BB39A3A" w:rsidR="00274429" w:rsidRPr="009A46BB" w:rsidRDefault="00274429" w:rsidP="00E60BAB">
          <w:pPr>
            <w:pStyle w:val="Prrafodelista"/>
            <w:numPr>
              <w:ilvl w:val="0"/>
              <w:numId w:val="156"/>
            </w:numPr>
            <w:jc w:val="both"/>
            <w:rPr>
              <w:rFonts w:ascii="Times New Roman" w:hAnsi="Times New Roman"/>
              <w:b/>
            </w:rPr>
          </w:pPr>
          <w:r w:rsidRPr="009A46BB">
            <w:rPr>
              <w:rFonts w:ascii="Times New Roman" w:hAnsi="Times New Roman"/>
              <w:b/>
            </w:rPr>
            <w:t>Derechos a recibir activos especificados al final del acuerdo de concesión</w:t>
          </w:r>
        </w:p>
        <w:p w14:paraId="748622AB" w14:textId="77777777" w:rsidR="00274429" w:rsidRPr="009A46BB" w:rsidRDefault="00274429" w:rsidP="00274429">
          <w:pPr>
            <w:jc w:val="both"/>
            <w:rPr>
              <w:rFonts w:ascii="Times New Roman" w:hAnsi="Times New Roman"/>
            </w:rPr>
          </w:pPr>
          <w:r w:rsidRPr="009A46BB">
            <w:rPr>
              <w:rFonts w:ascii="Times New Roman" w:hAnsi="Times New Roman"/>
              <w:b/>
            </w:rPr>
            <w:lastRenderedPageBreak/>
            <w:t>Descripción:</w:t>
          </w:r>
          <w:r w:rsidRPr="009A46BB">
            <w:rPr>
              <w:rFonts w:ascii="Times New Roman" w:hAnsi="Times New Roman"/>
            </w:rPr>
            <w:tab/>
            <w:t>De acuerdo con el Artículo 8º de la Ley 1 de 1991 en el modo portuario el concesionario no tiene derechos finales sobre activos los debe revertir a la Nación al final del contrato de concesión.</w:t>
          </w:r>
        </w:p>
        <w:p w14:paraId="58ECE09F" w14:textId="20CC88C3" w:rsidR="00274429" w:rsidRPr="009A46BB" w:rsidRDefault="00274429" w:rsidP="00274429">
          <w:pPr>
            <w:jc w:val="both"/>
            <w:rPr>
              <w:rFonts w:ascii="Times New Roman" w:hAnsi="Times New Roman"/>
            </w:rPr>
          </w:pPr>
          <w:r w:rsidRPr="009A46BB">
            <w:rPr>
              <w:rFonts w:ascii="Times New Roman" w:hAnsi="Times New Roman"/>
              <w:b/>
            </w:rPr>
            <w:t>Observaciones:</w:t>
          </w:r>
          <w:r w:rsidR="001B1D28" w:rsidRPr="009A46BB">
            <w:rPr>
              <w:rFonts w:ascii="Times New Roman" w:hAnsi="Times New Roman"/>
              <w:b/>
            </w:rPr>
            <w:t xml:space="preserve"> </w:t>
          </w:r>
          <w:r w:rsidR="001B1D28" w:rsidRPr="009A46BB">
            <w:rPr>
              <w:rFonts w:ascii="Times New Roman" w:hAnsi="Times New Roman"/>
            </w:rPr>
            <w:t>NA</w:t>
          </w:r>
        </w:p>
        <w:p w14:paraId="12722030" w14:textId="77777777" w:rsidR="00274429" w:rsidRPr="009A46BB" w:rsidRDefault="00274429" w:rsidP="00274429">
          <w:pPr>
            <w:jc w:val="both"/>
            <w:rPr>
              <w:rFonts w:ascii="Times New Roman" w:hAnsi="Times New Roman"/>
            </w:rPr>
          </w:pPr>
          <w:r w:rsidRPr="009A46BB">
            <w:rPr>
              <w:rFonts w:ascii="Times New Roman" w:hAnsi="Times New Roman"/>
              <w:b/>
            </w:rPr>
            <w:t>Reversión:</w:t>
          </w:r>
          <w:r w:rsidRPr="009A46BB">
            <w:rPr>
              <w:rFonts w:ascii="Times New Roman" w:hAnsi="Times New Roman"/>
            </w:rPr>
            <w:t xml:space="preserve"> De acuerdo con lo establecido en la cláusula novena del contrato de concesión, todas las construcciones e inmuebles por destinación, que se encuentren instalados en la zona de uso público otorgada en concesión revertirán gratuitamente por el Concesionario.</w:t>
          </w:r>
        </w:p>
        <w:p w14:paraId="3F497E8B" w14:textId="77777777" w:rsidR="00274429" w:rsidRPr="009A46BB" w:rsidRDefault="00274429" w:rsidP="00274429">
          <w:pPr>
            <w:jc w:val="both"/>
            <w:rPr>
              <w:rFonts w:ascii="Times New Roman" w:hAnsi="Times New Roman"/>
            </w:rPr>
          </w:pPr>
          <w:r w:rsidRPr="009A46BB">
            <w:rPr>
              <w:rFonts w:ascii="Times New Roman" w:hAnsi="Times New Roman"/>
            </w:rPr>
            <w:t>Para tal fin, en el momento de la reversión el CONCESIONARIO elaborará un inventario de los bienes y los enviará para su revisión y aprobación.</w:t>
          </w:r>
        </w:p>
        <w:p w14:paraId="018881AD" w14:textId="77777777" w:rsidR="00274429" w:rsidRPr="009A46BB" w:rsidRDefault="00274429" w:rsidP="00274429">
          <w:pPr>
            <w:jc w:val="both"/>
            <w:rPr>
              <w:rFonts w:ascii="Times New Roman" w:hAnsi="Times New Roman"/>
            </w:rPr>
          </w:pPr>
          <w:r w:rsidRPr="009A46BB">
            <w:rPr>
              <w:rFonts w:ascii="Times New Roman" w:hAnsi="Times New Roman"/>
            </w:rPr>
            <w:t>La ANI es la entidad concedente pero la titularidad de los activos al final de la concesión es del Instituto Nacional de Vías INVIAS.</w:t>
          </w:r>
        </w:p>
        <w:p w14:paraId="6CE381E4" w14:textId="2645F9BC" w:rsidR="00274429" w:rsidRPr="009A46BB" w:rsidRDefault="00274429" w:rsidP="00E60BAB">
          <w:pPr>
            <w:pStyle w:val="Prrafodelista"/>
            <w:numPr>
              <w:ilvl w:val="0"/>
              <w:numId w:val="156"/>
            </w:numPr>
            <w:jc w:val="both"/>
            <w:rPr>
              <w:rFonts w:ascii="Times New Roman" w:hAnsi="Times New Roman"/>
              <w:b/>
            </w:rPr>
          </w:pPr>
          <w:r w:rsidRPr="009A46BB">
            <w:rPr>
              <w:rFonts w:ascii="Times New Roman" w:hAnsi="Times New Roman"/>
              <w:b/>
            </w:rPr>
            <w:t>Cambios en el acuerdo de concesión que se realicen durante el periodo fiscal</w:t>
          </w:r>
        </w:p>
        <w:p w14:paraId="6EFB02EF" w14:textId="77777777" w:rsidR="00274429" w:rsidRPr="009A46BB" w:rsidRDefault="00274429" w:rsidP="7C752056">
          <w:pPr>
            <w:spacing w:after="0"/>
            <w:jc w:val="both"/>
            <w:rPr>
              <w:rFonts w:ascii="Times New Roman" w:hAnsi="Times New Roman"/>
              <w:b/>
            </w:rPr>
          </w:pPr>
          <w:r w:rsidRPr="009A46BB">
            <w:rPr>
              <w:rFonts w:ascii="Times New Roman" w:hAnsi="Times New Roman"/>
              <w:b/>
            </w:rPr>
            <w:t>Adiciones o modificaciones en tiempo</w:t>
          </w:r>
        </w:p>
        <w:p w14:paraId="2ADD2E9F" w14:textId="3DB6ED7A" w:rsidR="00274429" w:rsidRPr="009A46BB" w:rsidRDefault="00274429" w:rsidP="7C752056">
          <w:pPr>
            <w:spacing w:after="0"/>
            <w:jc w:val="both"/>
            <w:rPr>
              <w:rFonts w:ascii="Times New Roman" w:hAnsi="Times New Roman"/>
            </w:rPr>
          </w:pPr>
          <w:r w:rsidRPr="009A46BB">
            <w:rPr>
              <w:rFonts w:ascii="Times New Roman" w:hAnsi="Times New Roman"/>
              <w:b/>
            </w:rPr>
            <w:t>Fechas de las adiciones o modificaciones</w:t>
          </w:r>
          <w:r w:rsidR="00DC6F87" w:rsidRPr="009A46BB">
            <w:rPr>
              <w:rFonts w:ascii="Times New Roman" w:hAnsi="Times New Roman"/>
              <w:b/>
            </w:rPr>
            <w:t xml:space="preserve">: </w:t>
          </w:r>
          <w:r w:rsidRPr="009A46BB">
            <w:rPr>
              <w:rFonts w:ascii="Times New Roman" w:hAnsi="Times New Roman"/>
            </w:rPr>
            <w:t>30-05-2008</w:t>
          </w:r>
        </w:p>
        <w:p w14:paraId="2B42D975" w14:textId="334B7C7F" w:rsidR="00274429" w:rsidRPr="009A46BB" w:rsidRDefault="00274429" w:rsidP="7C752056">
          <w:pPr>
            <w:spacing w:after="0"/>
            <w:jc w:val="both"/>
            <w:rPr>
              <w:rFonts w:ascii="Times New Roman" w:hAnsi="Times New Roman"/>
            </w:rPr>
          </w:pPr>
          <w:r w:rsidRPr="009A46BB">
            <w:rPr>
              <w:rFonts w:ascii="Times New Roman" w:hAnsi="Times New Roman"/>
              <w:b/>
            </w:rPr>
            <w:t>Nueva fecha de finalización estimada</w:t>
          </w:r>
          <w:r w:rsidR="00DC6F87" w:rsidRPr="009A46BB">
            <w:rPr>
              <w:rFonts w:ascii="Times New Roman" w:hAnsi="Times New Roman"/>
              <w:b/>
            </w:rPr>
            <w:t xml:space="preserve">: </w:t>
          </w:r>
          <w:r w:rsidRPr="009A46BB">
            <w:rPr>
              <w:rFonts w:ascii="Times New Roman" w:hAnsi="Times New Roman"/>
            </w:rPr>
            <w:t>21-02-2034</w:t>
          </w:r>
        </w:p>
        <w:p w14:paraId="300DB765" w14:textId="4B978ADA" w:rsidR="00274429" w:rsidRPr="009A46BB" w:rsidRDefault="00274429" w:rsidP="7C752056">
          <w:pPr>
            <w:spacing w:after="0"/>
            <w:jc w:val="both"/>
            <w:rPr>
              <w:rFonts w:ascii="Times New Roman" w:hAnsi="Times New Roman"/>
            </w:rPr>
          </w:pPr>
          <w:r w:rsidRPr="009A46BB">
            <w:rPr>
              <w:rFonts w:ascii="Times New Roman" w:hAnsi="Times New Roman"/>
              <w:b/>
            </w:rPr>
            <w:t>Observaciones</w:t>
          </w:r>
          <w:r w:rsidR="00DC6F87" w:rsidRPr="009A46BB">
            <w:rPr>
              <w:rFonts w:ascii="Times New Roman" w:hAnsi="Times New Roman"/>
              <w:b/>
            </w:rPr>
            <w:t xml:space="preserve">: </w:t>
          </w:r>
          <w:r w:rsidRPr="009A46BB">
            <w:rPr>
              <w:rFonts w:ascii="Times New Roman" w:hAnsi="Times New Roman"/>
            </w:rPr>
            <w:t>Cláusula sexta del Otrosí No. 2 de 2008.</w:t>
          </w:r>
        </w:p>
        <w:p w14:paraId="6B843D05" w14:textId="08B56D9F" w:rsidR="7C752056" w:rsidRDefault="7C752056" w:rsidP="7C752056">
          <w:pPr>
            <w:jc w:val="both"/>
            <w:rPr>
              <w:rFonts w:ascii="Times New Roman" w:hAnsi="Times New Roman"/>
              <w:b/>
              <w:bCs/>
            </w:rPr>
          </w:pPr>
        </w:p>
        <w:p w14:paraId="19417270" w14:textId="77777777" w:rsidR="00274429" w:rsidRPr="009A46BB" w:rsidRDefault="00274429" w:rsidP="7C752056">
          <w:pPr>
            <w:spacing w:after="0"/>
            <w:jc w:val="both"/>
            <w:rPr>
              <w:rFonts w:ascii="Times New Roman" w:hAnsi="Times New Roman"/>
              <w:b/>
            </w:rPr>
          </w:pPr>
          <w:r w:rsidRPr="009A46BB">
            <w:rPr>
              <w:rFonts w:ascii="Times New Roman" w:hAnsi="Times New Roman"/>
              <w:b/>
            </w:rPr>
            <w:t>Adiciones o modificaciones en valor</w:t>
          </w:r>
        </w:p>
        <w:p w14:paraId="0B3EAE18" w14:textId="4F413331" w:rsidR="00274429" w:rsidRPr="009A46BB" w:rsidRDefault="00274429" w:rsidP="7C752056">
          <w:pPr>
            <w:spacing w:after="0"/>
            <w:jc w:val="both"/>
            <w:rPr>
              <w:rFonts w:ascii="Times New Roman" w:hAnsi="Times New Roman"/>
            </w:rPr>
          </w:pPr>
          <w:r w:rsidRPr="009A46BB">
            <w:rPr>
              <w:rFonts w:ascii="Times New Roman" w:hAnsi="Times New Roman"/>
              <w:b/>
            </w:rPr>
            <w:t>Valor de la adición o modificación</w:t>
          </w:r>
          <w:r w:rsidR="00C57257" w:rsidRPr="009A46BB">
            <w:rPr>
              <w:rFonts w:ascii="Times New Roman" w:hAnsi="Times New Roman"/>
              <w:b/>
            </w:rPr>
            <w:t xml:space="preserve">: </w:t>
          </w:r>
          <w:r w:rsidRPr="009A46BB">
            <w:rPr>
              <w:rFonts w:ascii="Times New Roman" w:hAnsi="Times New Roman"/>
            </w:rPr>
            <w:t>USD 449.331.431</w:t>
          </w:r>
        </w:p>
        <w:p w14:paraId="4C4C222A" w14:textId="095CC21C" w:rsidR="00274429" w:rsidRPr="009A46BB" w:rsidRDefault="00274429" w:rsidP="7C752056">
          <w:pPr>
            <w:spacing w:after="0"/>
            <w:jc w:val="both"/>
            <w:rPr>
              <w:rFonts w:ascii="Times New Roman" w:hAnsi="Times New Roman"/>
            </w:rPr>
          </w:pPr>
          <w:r w:rsidRPr="009A46BB">
            <w:rPr>
              <w:rFonts w:ascii="Times New Roman" w:hAnsi="Times New Roman"/>
              <w:b/>
            </w:rPr>
            <w:t>Nuevo valor del acuerdo</w:t>
          </w:r>
          <w:r w:rsidR="00C57257" w:rsidRPr="009A46BB">
            <w:rPr>
              <w:rFonts w:ascii="Times New Roman" w:hAnsi="Times New Roman"/>
              <w:b/>
            </w:rPr>
            <w:t xml:space="preserve">: </w:t>
          </w:r>
          <w:r w:rsidRPr="009A46BB">
            <w:rPr>
              <w:rFonts w:ascii="Times New Roman" w:hAnsi="Times New Roman"/>
            </w:rPr>
            <w:t>USD 449.331.431</w:t>
          </w:r>
        </w:p>
        <w:p w14:paraId="1FC77A3B" w14:textId="33393190" w:rsidR="00274429" w:rsidRPr="009A46BB" w:rsidRDefault="00DC6F87" w:rsidP="7C752056">
          <w:pPr>
            <w:spacing w:after="0"/>
            <w:jc w:val="both"/>
            <w:rPr>
              <w:rFonts w:ascii="Times New Roman" w:hAnsi="Times New Roman"/>
            </w:rPr>
          </w:pPr>
          <w:r w:rsidRPr="009A46BB">
            <w:rPr>
              <w:rFonts w:ascii="Times New Roman" w:hAnsi="Times New Roman"/>
              <w:b/>
            </w:rPr>
            <w:t>Observaciones:</w:t>
          </w:r>
          <w:r w:rsidRPr="009A46BB">
            <w:rPr>
              <w:rFonts w:ascii="Times New Roman" w:hAnsi="Times New Roman"/>
            </w:rPr>
            <w:t xml:space="preserve"> </w:t>
          </w:r>
          <w:r w:rsidR="00274429" w:rsidRPr="009A46BB">
            <w:rPr>
              <w:rFonts w:ascii="Times New Roman" w:hAnsi="Times New Roman"/>
            </w:rPr>
            <w:t>Suma del valor de las contraprestaciones anuales, según lo establecido en la clausula Quinta del Otrosí No. 2 de 2008.</w:t>
          </w:r>
        </w:p>
        <w:p w14:paraId="6312E99C" w14:textId="738ED4BB" w:rsidR="00274429" w:rsidRPr="009A46BB" w:rsidRDefault="00274429" w:rsidP="7C752056">
          <w:pPr>
            <w:spacing w:after="0"/>
            <w:jc w:val="both"/>
            <w:rPr>
              <w:rFonts w:ascii="Times New Roman" w:hAnsi="Times New Roman"/>
            </w:rPr>
          </w:pPr>
          <w:r w:rsidRPr="009A46BB">
            <w:rPr>
              <w:rFonts w:ascii="Times New Roman" w:hAnsi="Times New Roman"/>
              <w:b/>
            </w:rPr>
            <w:t>Valor de la adición o modificación</w:t>
          </w:r>
          <w:r w:rsidR="00C57257" w:rsidRPr="009A46BB">
            <w:rPr>
              <w:rFonts w:ascii="Times New Roman" w:hAnsi="Times New Roman"/>
              <w:b/>
            </w:rPr>
            <w:t xml:space="preserve">: </w:t>
          </w:r>
          <w:r w:rsidRPr="009A46BB">
            <w:rPr>
              <w:rFonts w:ascii="Times New Roman" w:hAnsi="Times New Roman"/>
            </w:rPr>
            <w:t>USD 449.696.302</w:t>
          </w:r>
          <w:r>
            <w:tab/>
          </w:r>
        </w:p>
        <w:p w14:paraId="2469FE3C" w14:textId="7F7F5A3D" w:rsidR="00274429" w:rsidRPr="009A46BB" w:rsidRDefault="00274429" w:rsidP="7C752056">
          <w:pPr>
            <w:spacing w:after="0"/>
            <w:jc w:val="both"/>
            <w:rPr>
              <w:rFonts w:ascii="Times New Roman" w:hAnsi="Times New Roman"/>
            </w:rPr>
          </w:pPr>
          <w:r w:rsidRPr="009A46BB">
            <w:rPr>
              <w:rFonts w:ascii="Times New Roman" w:hAnsi="Times New Roman"/>
              <w:b/>
            </w:rPr>
            <w:t>Nuevo valor del acuerdo</w:t>
          </w:r>
          <w:r w:rsidR="00C57257" w:rsidRPr="009A46BB">
            <w:rPr>
              <w:rFonts w:ascii="Times New Roman" w:hAnsi="Times New Roman"/>
              <w:b/>
            </w:rPr>
            <w:t xml:space="preserve">: </w:t>
          </w:r>
          <w:r w:rsidRPr="009A46BB">
            <w:rPr>
              <w:rFonts w:ascii="Times New Roman" w:hAnsi="Times New Roman"/>
            </w:rPr>
            <w:t>USD 449.696.302</w:t>
          </w:r>
        </w:p>
        <w:p w14:paraId="114AF7BA" w14:textId="75D36D7A" w:rsidR="00274429" w:rsidRPr="009A46BB" w:rsidRDefault="00DC6F87" w:rsidP="7C752056">
          <w:pPr>
            <w:spacing w:after="0"/>
            <w:jc w:val="both"/>
            <w:rPr>
              <w:rFonts w:ascii="Times New Roman" w:hAnsi="Times New Roman"/>
            </w:rPr>
          </w:pPr>
          <w:r w:rsidRPr="009A46BB">
            <w:rPr>
              <w:rFonts w:ascii="Times New Roman" w:hAnsi="Times New Roman"/>
              <w:b/>
            </w:rPr>
            <w:t>Observaciones:</w:t>
          </w:r>
          <w:r w:rsidRPr="009A46BB">
            <w:rPr>
              <w:rFonts w:ascii="Times New Roman" w:hAnsi="Times New Roman"/>
            </w:rPr>
            <w:t xml:space="preserve"> </w:t>
          </w:r>
          <w:r w:rsidR="00274429" w:rsidRPr="009A46BB">
            <w:rPr>
              <w:rFonts w:ascii="Times New Roman" w:hAnsi="Times New Roman"/>
            </w:rPr>
            <w:t>Corresponde al valor del plan de inversión pactado en la cláusula Tercera del Otrosí No. 2 de 2008.</w:t>
          </w:r>
        </w:p>
        <w:p w14:paraId="040E4954" w14:textId="77777777" w:rsidR="00274429" w:rsidRPr="009A46BB" w:rsidRDefault="00274429" w:rsidP="00274429">
          <w:pPr>
            <w:jc w:val="both"/>
            <w:rPr>
              <w:rFonts w:ascii="Times New Roman" w:hAnsi="Times New Roman"/>
            </w:rPr>
          </w:pPr>
        </w:p>
        <w:p w14:paraId="331FDC2E" w14:textId="107A247A" w:rsidR="00274429" w:rsidRPr="009A46BB" w:rsidRDefault="00A907E6" w:rsidP="00A907E6">
          <w:pPr>
            <w:spacing w:line="259" w:lineRule="auto"/>
            <w:jc w:val="both"/>
            <w:rPr>
              <w:rFonts w:ascii="Times New Roman" w:hAnsi="Times New Roman"/>
              <w:b/>
            </w:rPr>
          </w:pPr>
          <w:r w:rsidRPr="009A46BB">
            <w:rPr>
              <w:rFonts w:ascii="Times New Roman" w:hAnsi="Times New Roman"/>
              <w:b/>
            </w:rPr>
            <w:t>SOCIEDAD PORTUARIA ALGRANEL</w:t>
          </w:r>
        </w:p>
        <w:p w14:paraId="684EA12F" w14:textId="77777777" w:rsidR="00274429" w:rsidRPr="009A46BB" w:rsidRDefault="00274429" w:rsidP="00274429">
          <w:pPr>
            <w:jc w:val="both"/>
            <w:rPr>
              <w:rFonts w:ascii="Times New Roman" w:hAnsi="Times New Roman"/>
              <w:b/>
            </w:rPr>
          </w:pPr>
          <w:r w:rsidRPr="009A46BB">
            <w:rPr>
              <w:rFonts w:ascii="Times New Roman" w:hAnsi="Times New Roman"/>
              <w:b/>
            </w:rPr>
            <w:t>a. Descripción del acuerdo</w:t>
          </w:r>
        </w:p>
        <w:p w14:paraId="7753DA3F" w14:textId="05300D89" w:rsidR="00274429" w:rsidRPr="009A46BB" w:rsidRDefault="00274429" w:rsidP="7C752056">
          <w:pPr>
            <w:spacing w:after="0"/>
            <w:jc w:val="both"/>
            <w:rPr>
              <w:rFonts w:ascii="Times New Roman" w:hAnsi="Times New Roman"/>
            </w:rPr>
          </w:pPr>
          <w:r w:rsidRPr="009A46BB">
            <w:rPr>
              <w:rFonts w:ascii="Times New Roman" w:hAnsi="Times New Roman"/>
              <w:b/>
            </w:rPr>
            <w:t>Número del acuerdo de concesión:</w:t>
          </w:r>
          <w:r w:rsidR="001E64EA" w:rsidRPr="009A46BB">
            <w:rPr>
              <w:rFonts w:ascii="Times New Roman" w:hAnsi="Times New Roman"/>
              <w:b/>
            </w:rPr>
            <w:t xml:space="preserve"> </w:t>
          </w:r>
          <w:r w:rsidRPr="009A46BB">
            <w:rPr>
              <w:rFonts w:ascii="Times New Roman" w:hAnsi="Times New Roman"/>
            </w:rPr>
            <w:t>Contrato de Concesión Portuario No. 010 de 1994.</w:t>
          </w:r>
        </w:p>
        <w:p w14:paraId="66E88F02" w14:textId="77777777" w:rsidR="00274429" w:rsidRPr="009A46BB" w:rsidRDefault="00274429" w:rsidP="7C752056">
          <w:pPr>
            <w:spacing w:after="0"/>
            <w:jc w:val="both"/>
            <w:rPr>
              <w:rFonts w:ascii="Times New Roman" w:hAnsi="Times New Roman"/>
            </w:rPr>
          </w:pPr>
          <w:r w:rsidRPr="009A46BB">
            <w:rPr>
              <w:rFonts w:ascii="Times New Roman" w:hAnsi="Times New Roman"/>
              <w:b/>
            </w:rPr>
            <w:t xml:space="preserve">Objeto / Descripción: </w:t>
          </w:r>
          <w:r w:rsidRPr="009A46BB">
            <w:rPr>
              <w:rFonts w:ascii="Times New Roman" w:hAnsi="Times New Roman"/>
            </w:rPr>
            <w:t>En virtud del Contrato de concesión y sus modificaciones, se otorga al CONCESIONARIO una concesión portuaria cuyos terrenos están localizados en la Bahía de Cartagena, Departamento del Bolívar.</w:t>
          </w:r>
        </w:p>
        <w:p w14:paraId="02C31DC4" w14:textId="77777777" w:rsidR="00274429" w:rsidRPr="009A46BB" w:rsidRDefault="00274429" w:rsidP="7C752056">
          <w:pPr>
            <w:spacing w:after="0"/>
            <w:jc w:val="both"/>
            <w:rPr>
              <w:rFonts w:ascii="Times New Roman" w:hAnsi="Times New Roman"/>
            </w:rPr>
          </w:pPr>
          <w:r w:rsidRPr="009A46BB">
            <w:rPr>
              <w:rFonts w:ascii="Times New Roman" w:hAnsi="Times New Roman"/>
            </w:rPr>
            <w:t>Los terrenos se encuentran incluidos en el Plan de Expansión Portuaria aprobado mediante Decreto 2147 de 1991. En desarrollo de la concesión portuaria se otorga al concesionario el derecho a:</w:t>
          </w:r>
        </w:p>
        <w:p w14:paraId="12599A1C" w14:textId="77777777" w:rsidR="00274429" w:rsidRPr="009A46BB" w:rsidRDefault="00274429" w:rsidP="7C752056">
          <w:pPr>
            <w:spacing w:after="0"/>
            <w:jc w:val="both"/>
            <w:rPr>
              <w:rFonts w:ascii="Times New Roman" w:hAnsi="Times New Roman"/>
            </w:rPr>
          </w:pPr>
          <w:r w:rsidRPr="009A46BB">
            <w:rPr>
              <w:rFonts w:ascii="Times New Roman" w:hAnsi="Times New Roman"/>
            </w:rPr>
            <w:t>(a) ocupar y utilizar en forma temporal y exclusiva una línea de playa y zona de bajamar, (b) efectuar un dragado de profundización; y (c) ejecutar un relleno de la zona marina y nivelación de dicho lote, para operar sus instalaciones en un puerto de servicio público, conforme lo establece la Cláusula Primera del Otrosí No. 4 del 23 de septiembre de 2011.</w:t>
          </w:r>
        </w:p>
        <w:p w14:paraId="1279D69B" w14:textId="77777777" w:rsidR="00274429" w:rsidRPr="009A46BB" w:rsidRDefault="00274429" w:rsidP="00730054">
          <w:pPr>
            <w:spacing w:after="0"/>
            <w:jc w:val="both"/>
            <w:rPr>
              <w:rFonts w:ascii="Times New Roman" w:hAnsi="Times New Roman"/>
            </w:rPr>
          </w:pPr>
          <w:r w:rsidRPr="009A46BB">
            <w:rPr>
              <w:rFonts w:ascii="Times New Roman" w:hAnsi="Times New Roman"/>
              <w:b/>
            </w:rPr>
            <w:t>Valor inicial:</w:t>
          </w:r>
          <w:r w:rsidRPr="009A46BB">
            <w:rPr>
              <w:rFonts w:ascii="Times New Roman" w:hAnsi="Times New Roman"/>
            </w:rPr>
            <w:t xml:space="preserve"> USD 458.380,43</w:t>
          </w:r>
        </w:p>
        <w:p w14:paraId="672AA5CA" w14:textId="77777777" w:rsidR="00274429" w:rsidRPr="009A46BB" w:rsidRDefault="00274429" w:rsidP="00730054">
          <w:pPr>
            <w:spacing w:after="0"/>
            <w:jc w:val="both"/>
            <w:rPr>
              <w:rFonts w:ascii="Times New Roman" w:hAnsi="Times New Roman"/>
            </w:rPr>
          </w:pPr>
          <w:r w:rsidRPr="009A46BB">
            <w:rPr>
              <w:rFonts w:ascii="Times New Roman" w:hAnsi="Times New Roman"/>
            </w:rPr>
            <w:t>Cláusula Décima / Contrato No. 010 de 1994.</w:t>
          </w:r>
        </w:p>
        <w:p w14:paraId="6A271A09" w14:textId="77777777" w:rsidR="00274429" w:rsidRPr="009A46BB" w:rsidRDefault="00274429" w:rsidP="00730054">
          <w:pPr>
            <w:spacing w:after="0"/>
            <w:jc w:val="both"/>
            <w:rPr>
              <w:rFonts w:ascii="Times New Roman" w:hAnsi="Times New Roman"/>
            </w:rPr>
          </w:pPr>
          <w:r w:rsidRPr="009A46BB">
            <w:rPr>
              <w:rFonts w:ascii="Times New Roman" w:hAnsi="Times New Roman"/>
            </w:rPr>
            <w:t>Valor actualizado: USD1.083.180,35/ Oficio</w:t>
          </w:r>
        </w:p>
        <w:p w14:paraId="791EBB6F" w14:textId="77777777" w:rsidR="00274429" w:rsidRPr="009A46BB" w:rsidRDefault="00274429" w:rsidP="00730054">
          <w:pPr>
            <w:spacing w:after="0"/>
            <w:jc w:val="both"/>
            <w:rPr>
              <w:rFonts w:ascii="Times New Roman" w:hAnsi="Times New Roman"/>
            </w:rPr>
          </w:pPr>
          <w:r w:rsidRPr="009A46BB">
            <w:rPr>
              <w:rFonts w:ascii="Times New Roman" w:hAnsi="Times New Roman"/>
            </w:rPr>
            <w:t>20147050200451 de octubre 17 de 2014.</w:t>
          </w:r>
        </w:p>
        <w:p w14:paraId="28A51F47" w14:textId="29830839" w:rsidR="00274429" w:rsidRPr="009A46BB" w:rsidRDefault="00274429" w:rsidP="00730054">
          <w:pPr>
            <w:spacing w:after="0"/>
            <w:jc w:val="both"/>
            <w:rPr>
              <w:rFonts w:ascii="Times New Roman" w:hAnsi="Times New Roman"/>
            </w:rPr>
          </w:pPr>
          <w:r w:rsidRPr="009A46BB">
            <w:rPr>
              <w:rFonts w:ascii="Times New Roman" w:hAnsi="Times New Roman"/>
              <w:b/>
            </w:rPr>
            <w:lastRenderedPageBreak/>
            <w:t>Fecha de inicio:</w:t>
          </w:r>
          <w:r w:rsidRPr="009A46BB">
            <w:rPr>
              <w:rFonts w:ascii="Times New Roman" w:hAnsi="Times New Roman"/>
            </w:rPr>
            <w:t xml:space="preserve"> 21/04/1994</w:t>
          </w:r>
        </w:p>
        <w:p w14:paraId="5F821284" w14:textId="01802CC9" w:rsidR="00274429" w:rsidRPr="009A46BB" w:rsidRDefault="00274429" w:rsidP="00730054">
          <w:pPr>
            <w:spacing w:after="0"/>
            <w:jc w:val="both"/>
            <w:rPr>
              <w:rFonts w:ascii="Times New Roman" w:hAnsi="Times New Roman"/>
            </w:rPr>
          </w:pPr>
          <w:r w:rsidRPr="009A46BB">
            <w:rPr>
              <w:rFonts w:ascii="Times New Roman" w:hAnsi="Times New Roman"/>
              <w:b/>
            </w:rPr>
            <w:t>Fecha de finalización estimada:</w:t>
          </w:r>
          <w:r w:rsidRPr="009A46BB">
            <w:rPr>
              <w:rFonts w:ascii="Times New Roman" w:hAnsi="Times New Roman"/>
            </w:rPr>
            <w:t xml:space="preserve"> 20/04/2034</w:t>
          </w:r>
        </w:p>
        <w:p w14:paraId="43AB9602" w14:textId="392842CB" w:rsidR="00274429" w:rsidRPr="009A46BB" w:rsidRDefault="00274429" w:rsidP="00730054">
          <w:pPr>
            <w:spacing w:after="0"/>
            <w:jc w:val="both"/>
            <w:rPr>
              <w:rFonts w:ascii="Times New Roman" w:hAnsi="Times New Roman"/>
            </w:rPr>
          </w:pPr>
          <w:r w:rsidRPr="009A46BB">
            <w:rPr>
              <w:rFonts w:ascii="Times New Roman" w:hAnsi="Times New Roman"/>
              <w:b/>
            </w:rPr>
            <w:t>Tipo ID:</w:t>
          </w:r>
          <w:r w:rsidR="001E64EA" w:rsidRPr="009A46BB">
            <w:rPr>
              <w:rFonts w:ascii="Times New Roman" w:hAnsi="Times New Roman"/>
              <w:b/>
            </w:rPr>
            <w:t xml:space="preserve"> </w:t>
          </w:r>
          <w:r w:rsidRPr="009A46BB">
            <w:rPr>
              <w:rFonts w:ascii="Times New Roman" w:hAnsi="Times New Roman"/>
            </w:rPr>
            <w:t>NIT</w:t>
          </w:r>
        </w:p>
        <w:p w14:paraId="1C7FBACA" w14:textId="469E9BB9" w:rsidR="00274429" w:rsidRPr="009A46BB" w:rsidRDefault="00274429" w:rsidP="00730054">
          <w:pPr>
            <w:spacing w:after="0"/>
            <w:jc w:val="both"/>
            <w:rPr>
              <w:rFonts w:ascii="Times New Roman" w:hAnsi="Times New Roman"/>
            </w:rPr>
          </w:pPr>
          <w:r w:rsidRPr="009A46BB">
            <w:rPr>
              <w:rFonts w:ascii="Times New Roman" w:hAnsi="Times New Roman"/>
              <w:b/>
            </w:rPr>
            <w:t>Número ID</w:t>
          </w:r>
          <w:r w:rsidRPr="009A46BB">
            <w:rPr>
              <w:rFonts w:ascii="Times New Roman" w:hAnsi="Times New Roman"/>
            </w:rPr>
            <w:t>:</w:t>
          </w:r>
          <w:r w:rsidR="001E64EA" w:rsidRPr="009A46BB">
            <w:rPr>
              <w:rFonts w:ascii="Times New Roman" w:hAnsi="Times New Roman"/>
            </w:rPr>
            <w:t xml:space="preserve"> </w:t>
          </w:r>
          <w:r w:rsidRPr="009A46BB">
            <w:rPr>
              <w:rFonts w:ascii="Times New Roman" w:hAnsi="Times New Roman"/>
            </w:rPr>
            <w:t>860.053.976-0</w:t>
          </w:r>
        </w:p>
        <w:p w14:paraId="4F543327" w14:textId="1A45C731" w:rsidR="00274429" w:rsidRPr="009A46BB" w:rsidRDefault="00274429" w:rsidP="00730054">
          <w:pPr>
            <w:spacing w:after="0"/>
            <w:jc w:val="both"/>
            <w:rPr>
              <w:rFonts w:ascii="Times New Roman" w:hAnsi="Times New Roman"/>
            </w:rPr>
          </w:pPr>
          <w:r w:rsidRPr="009A46BB">
            <w:rPr>
              <w:rFonts w:ascii="Times New Roman" w:hAnsi="Times New Roman"/>
              <w:b/>
            </w:rPr>
            <w:t>Razón social del concesionario:</w:t>
          </w:r>
          <w:r w:rsidRPr="009A46BB">
            <w:rPr>
              <w:rFonts w:ascii="Times New Roman" w:hAnsi="Times New Roman"/>
            </w:rPr>
            <w:t xml:space="preserve"> Sociedad Portuaria Algranel S.A.</w:t>
          </w:r>
        </w:p>
        <w:p w14:paraId="353AE817" w14:textId="78750708" w:rsidR="00274429" w:rsidRPr="009A46BB" w:rsidRDefault="00274429" w:rsidP="00274429">
          <w:pPr>
            <w:jc w:val="both"/>
            <w:rPr>
              <w:rFonts w:ascii="Times New Roman" w:hAnsi="Times New Roman"/>
            </w:rPr>
          </w:pPr>
          <w:r w:rsidRPr="009A46BB">
            <w:rPr>
              <w:rFonts w:ascii="Times New Roman" w:hAnsi="Times New Roman"/>
              <w:b/>
            </w:rPr>
            <w:t>Nombre del proyecto:</w:t>
          </w:r>
          <w:r w:rsidRPr="009A46BB">
            <w:rPr>
              <w:rFonts w:ascii="Times New Roman" w:hAnsi="Times New Roman"/>
            </w:rPr>
            <w:t xml:space="preserve"> Sociedad Portuaria Algranel S.A.</w:t>
          </w:r>
        </w:p>
        <w:p w14:paraId="2FE69B17" w14:textId="77777777" w:rsidR="00274429" w:rsidRPr="009A46BB" w:rsidRDefault="00274429" w:rsidP="00274429">
          <w:pPr>
            <w:jc w:val="both"/>
            <w:rPr>
              <w:rFonts w:ascii="Times New Roman" w:hAnsi="Times New Roman"/>
              <w:b/>
            </w:rPr>
          </w:pPr>
          <w:r w:rsidRPr="009A46BB">
            <w:rPr>
              <w:rFonts w:ascii="Times New Roman" w:hAnsi="Times New Roman"/>
              <w:b/>
            </w:rPr>
            <w:t xml:space="preserve">b. Términos significativos del acuerdo que puedan afectar su valor, el calendario y la certeza de los flujos. </w:t>
          </w:r>
        </w:p>
        <w:p w14:paraId="3CD887F0" w14:textId="77777777" w:rsidR="00274429" w:rsidRPr="009A46BB" w:rsidRDefault="00274429" w:rsidP="00274429">
          <w:pPr>
            <w:jc w:val="both"/>
            <w:rPr>
              <w:rFonts w:ascii="Times New Roman" w:hAnsi="Times New Roman"/>
              <w:b/>
            </w:rPr>
          </w:pPr>
          <w:r w:rsidRPr="009A46BB">
            <w:rPr>
              <w:rFonts w:ascii="Times New Roman" w:hAnsi="Times New Roman"/>
              <w:b/>
            </w:rPr>
            <w:t>Términos de valor:</w:t>
          </w:r>
        </w:p>
        <w:p w14:paraId="59E3E012" w14:textId="77777777" w:rsidR="00274429" w:rsidRPr="009A46BB" w:rsidRDefault="00274429" w:rsidP="00274429">
          <w:pPr>
            <w:jc w:val="both"/>
            <w:rPr>
              <w:rFonts w:ascii="Times New Roman" w:hAnsi="Times New Roman"/>
            </w:rPr>
          </w:pPr>
          <w:r w:rsidRPr="009A46BB">
            <w:rPr>
              <w:rFonts w:ascii="Times New Roman" w:hAnsi="Times New Roman"/>
              <w:b/>
            </w:rPr>
            <w:t xml:space="preserve">Tarifas: </w:t>
          </w:r>
          <w:r w:rsidRPr="009A46BB">
            <w:rPr>
              <w:rFonts w:ascii="Times New Roman" w:hAnsi="Times New Roman"/>
            </w:rPr>
            <w:t>Al ser el terminal marítimo de servicio público la Ley 1ª de 1991 establece: Las sociedades portuarias que operan puertos de servicio público las tarifas requieren ser aprobadas según la metodología establecida por la Superintendencia General de Puertos hoy Superintendencia de Transporte.</w:t>
          </w:r>
        </w:p>
        <w:p w14:paraId="1618033C" w14:textId="77777777" w:rsidR="00274429" w:rsidRPr="009A46BB" w:rsidRDefault="00274429" w:rsidP="00274429">
          <w:pPr>
            <w:jc w:val="both"/>
            <w:rPr>
              <w:rFonts w:ascii="Times New Roman" w:hAnsi="Times New Roman"/>
            </w:rPr>
          </w:pPr>
          <w:r w:rsidRPr="009A46BB">
            <w:rPr>
              <w:rFonts w:ascii="Times New Roman" w:hAnsi="Times New Roman"/>
              <w:b/>
            </w:rPr>
            <w:t>Contraprestación portuaria:</w:t>
          </w:r>
          <w:r w:rsidRPr="009A46BB">
            <w:rPr>
              <w:rFonts w:ascii="Times New Roman" w:hAnsi="Times New Roman"/>
            </w:rPr>
            <w:t xml:space="preserve"> De acuerdo con el último documento contractual vigente la metodología de contraprestación vigente es CONPES 3744 de 2013 (Componentes Fijo y Variable). A febrero de 2023 el CONCESIONARIO debió pagar la suma de USD 117.683.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Municipio de Cartagena.</w:t>
          </w:r>
        </w:p>
        <w:p w14:paraId="3240CF78" w14:textId="77777777" w:rsidR="00274429" w:rsidRPr="009A46BB" w:rsidRDefault="00274429" w:rsidP="00274429">
          <w:pPr>
            <w:jc w:val="both"/>
            <w:rPr>
              <w:rFonts w:ascii="Times New Roman" w:hAnsi="Times New Roman"/>
            </w:rPr>
          </w:pPr>
          <w:r w:rsidRPr="009A46BB">
            <w:rPr>
              <w:rFonts w:ascii="Times New Roman" w:hAnsi="Times New Roman"/>
              <w:b/>
            </w:rPr>
            <w:t>Plan de Inversiones:</w:t>
          </w:r>
          <w:r w:rsidRPr="009A46BB">
            <w:rPr>
              <w:rFonts w:ascii="Times New Roman" w:hAnsi="Times New Roman"/>
            </w:rPr>
            <w:t xml:space="preserve"> Está establecido en la cláusula sexta del contrato, modificado por el Otrosí No. 4 de 2011, modificado por el Otrosí No. 5 de 2019, que a su vez es modificado por el Otrosí No. 6 de 2020, que el plan de inversión será USD 13.371.740 en constantes de 2011.</w:t>
          </w:r>
        </w:p>
        <w:p w14:paraId="7B63EAAF" w14:textId="77777777" w:rsidR="00274429" w:rsidRPr="009A46BB" w:rsidRDefault="00274429" w:rsidP="00274429">
          <w:pPr>
            <w:jc w:val="both"/>
            <w:rPr>
              <w:rFonts w:ascii="Times New Roman" w:hAnsi="Times New Roman"/>
            </w:rPr>
          </w:pPr>
          <w:r w:rsidRPr="009A46BB">
            <w:rPr>
              <w:rFonts w:ascii="Times New Roman" w:hAnsi="Times New Roman"/>
              <w:b/>
            </w:rPr>
            <w:t>Obligaciones del CONCESIONARIO:</w:t>
          </w:r>
          <w:r w:rsidRPr="009A46BB">
            <w:rPr>
              <w:rFonts w:ascii="Times New Roman" w:hAnsi="Times New Roman"/>
            </w:rPr>
            <w:t xml:space="preserve"> Se encuentran descritas en la Cláusula Décima Primera del Contrato.</w:t>
          </w:r>
        </w:p>
        <w:p w14:paraId="432F2F57" w14:textId="77777777" w:rsidR="00274429" w:rsidRPr="009A46BB" w:rsidRDefault="00274429" w:rsidP="00274429">
          <w:pPr>
            <w:jc w:val="both"/>
            <w:rPr>
              <w:rFonts w:ascii="Times New Roman" w:hAnsi="Times New Roman"/>
            </w:rPr>
          </w:pPr>
          <w:r w:rsidRPr="009A46BB">
            <w:rPr>
              <w:rFonts w:ascii="Times New Roman" w:hAnsi="Times New Roman"/>
              <w:b/>
            </w:rPr>
            <w:t>Multas y sanciones:</w:t>
          </w:r>
          <w:r w:rsidRPr="009A46BB">
            <w:rPr>
              <w:rFonts w:ascii="Times New Roman" w:hAnsi="Times New Roman"/>
            </w:rPr>
            <w:t xml:space="preserve"> Están establecidas en el numeral Noveno del Otrosí N. 4 de 2011.</w:t>
          </w:r>
        </w:p>
        <w:p w14:paraId="0437E883" w14:textId="77777777" w:rsidR="00274429" w:rsidRPr="009A46BB" w:rsidRDefault="00274429" w:rsidP="00274429">
          <w:pPr>
            <w:jc w:val="both"/>
            <w:rPr>
              <w:rFonts w:ascii="Times New Roman" w:hAnsi="Times New Roman"/>
            </w:rPr>
          </w:pPr>
          <w:r w:rsidRPr="009A46BB">
            <w:rPr>
              <w:rFonts w:ascii="Times New Roman" w:hAnsi="Times New Roman"/>
              <w:b/>
            </w:rPr>
            <w:t>Penal pecuniario:</w:t>
          </w:r>
          <w:r w:rsidRPr="009A46BB">
            <w:rPr>
              <w:rFonts w:ascii="Times New Roman" w:hAnsi="Times New Roman"/>
            </w:rPr>
            <w:t xml:space="preserve"> En la Cláusula Décima Cuarta del Contrato se establece que en el evento en</w:t>
          </w:r>
        </w:p>
        <w:p w14:paraId="6FDF9D23" w14:textId="77777777" w:rsidR="00274429" w:rsidRPr="009A46BB" w:rsidRDefault="00274429" w:rsidP="00274429">
          <w:pPr>
            <w:jc w:val="both"/>
            <w:rPr>
              <w:rFonts w:ascii="Times New Roman" w:hAnsi="Times New Roman"/>
            </w:rPr>
          </w:pPr>
          <w:r w:rsidRPr="009A46BB">
            <w:rPr>
              <w:rFonts w:ascii="Times New Roman" w:hAnsi="Times New Roman"/>
            </w:rPr>
            <w:t>que el INCO hoy ANI declare la caducidad o el incumplimiento del presente contrato se podrá imponer una penalidad pecuniaria, equivalente al 10% del valor total de la contraprestación.</w:t>
          </w:r>
        </w:p>
        <w:p w14:paraId="709C46B7" w14:textId="77777777" w:rsidR="00274429" w:rsidRPr="009A46BB" w:rsidRDefault="00274429" w:rsidP="00274429">
          <w:pPr>
            <w:jc w:val="both"/>
            <w:rPr>
              <w:rFonts w:ascii="Times New Roman" w:hAnsi="Times New Roman"/>
            </w:rPr>
          </w:pPr>
          <w:r w:rsidRPr="009A46BB">
            <w:rPr>
              <w:rFonts w:ascii="Times New Roman" w:hAnsi="Times New Roman"/>
              <w:b/>
            </w:rPr>
            <w:t>Términos de calendario:</w:t>
          </w:r>
        </w:p>
        <w:p w14:paraId="3651D630" w14:textId="77777777" w:rsidR="00274429" w:rsidRPr="009A46BB" w:rsidRDefault="00274429" w:rsidP="00274429">
          <w:pPr>
            <w:jc w:val="both"/>
            <w:rPr>
              <w:rFonts w:ascii="Times New Roman" w:hAnsi="Times New Roman"/>
            </w:rPr>
          </w:pPr>
          <w:r w:rsidRPr="009A46BB">
            <w:rPr>
              <w:rFonts w:ascii="Times New Roman" w:hAnsi="Times New Roman"/>
              <w:b/>
            </w:rPr>
            <w:t>Tarifas:</w:t>
          </w:r>
          <w:r w:rsidRPr="009A46BB">
            <w:rPr>
              <w:rFonts w:ascii="Times New Roman" w:hAnsi="Times New Roman"/>
            </w:rPr>
            <w:t xml:space="preserve"> Aprobadas según la metodología establecida por la Superintendencia General de Puertos hoy Superintendencia de Transporte.</w:t>
          </w:r>
        </w:p>
        <w:p w14:paraId="7C92C514" w14:textId="77777777" w:rsidR="00274429" w:rsidRPr="009A46BB" w:rsidRDefault="00274429" w:rsidP="00274429">
          <w:pPr>
            <w:jc w:val="both"/>
            <w:rPr>
              <w:rFonts w:ascii="Times New Roman" w:hAnsi="Times New Roman"/>
            </w:rPr>
          </w:pPr>
          <w:r w:rsidRPr="009A46BB">
            <w:rPr>
              <w:rFonts w:ascii="Times New Roman" w:hAnsi="Times New Roman"/>
            </w:rPr>
            <w:t>Contraprestación portuaria: Anexo 2 del Conpes 3744 de los meses de febrero cada concesionario deberá corregir su liquidación del año anterior según el movimiento de carga real y la indexación del valor de referencia por metro cuadrado, del avalúo de la infraestructura concesionada y de los cargos, así como realizar el pago anticipado del año en curso con base en lo proyectado en el FCL</w:t>
          </w:r>
        </w:p>
        <w:p w14:paraId="259F81B6" w14:textId="77777777" w:rsidR="00274429" w:rsidRPr="009A46BB" w:rsidRDefault="00274429" w:rsidP="00274429">
          <w:pPr>
            <w:jc w:val="both"/>
            <w:rPr>
              <w:rFonts w:ascii="Times New Roman" w:hAnsi="Times New Roman"/>
            </w:rPr>
          </w:pPr>
          <w:r w:rsidRPr="009A46BB">
            <w:rPr>
              <w:rFonts w:ascii="Times New Roman" w:hAnsi="Times New Roman"/>
              <w:b/>
            </w:rPr>
            <w:t>Plan de Inversiones:</w:t>
          </w:r>
          <w:r w:rsidRPr="009A46BB">
            <w:rPr>
              <w:rFonts w:ascii="Times New Roman" w:hAnsi="Times New Roman"/>
            </w:rPr>
            <w:t xml:space="preserve"> En la Cláusula Primera del Otrosí No. 6 de 2020 se establece que, el Concesionario ejecutará el nuevo plan de inversiones en los años 2011 a 2031.</w:t>
          </w:r>
        </w:p>
        <w:p w14:paraId="733FD6E4" w14:textId="77777777" w:rsidR="00274429" w:rsidRPr="009A46BB" w:rsidRDefault="00274429" w:rsidP="00274429">
          <w:pPr>
            <w:jc w:val="both"/>
            <w:rPr>
              <w:rFonts w:ascii="Times New Roman" w:hAnsi="Times New Roman"/>
            </w:rPr>
          </w:pPr>
          <w:r w:rsidRPr="009A46BB">
            <w:rPr>
              <w:rFonts w:ascii="Times New Roman" w:hAnsi="Times New Roman"/>
              <w:b/>
            </w:rPr>
            <w:t>Multas y sanciones:</w:t>
          </w:r>
          <w:r w:rsidRPr="009A46BB">
            <w:rPr>
              <w:rFonts w:ascii="Times New Roman" w:hAnsi="Times New Roman"/>
            </w:rPr>
            <w:t xml:space="preserve"> Están establecidas en el numeral Noveno del Otrosí N. 4 de 2011.</w:t>
          </w:r>
        </w:p>
        <w:p w14:paraId="7323D65F" w14:textId="77777777" w:rsidR="00274429" w:rsidRPr="009A46BB" w:rsidRDefault="00274429" w:rsidP="00274429">
          <w:pPr>
            <w:jc w:val="both"/>
            <w:rPr>
              <w:rFonts w:ascii="Times New Roman" w:hAnsi="Times New Roman"/>
              <w:b/>
            </w:rPr>
          </w:pPr>
          <w:r w:rsidRPr="009A46BB">
            <w:rPr>
              <w:rFonts w:ascii="Times New Roman" w:hAnsi="Times New Roman"/>
              <w:b/>
            </w:rPr>
            <w:lastRenderedPageBreak/>
            <w:t>Términos de certeza de flujos de efectivo futuros:</w:t>
          </w:r>
        </w:p>
        <w:p w14:paraId="40E3E9EE" w14:textId="77777777" w:rsidR="00274429" w:rsidRPr="009A46BB" w:rsidRDefault="00274429" w:rsidP="00274429">
          <w:pPr>
            <w:jc w:val="both"/>
            <w:rPr>
              <w:rFonts w:ascii="Times New Roman" w:hAnsi="Times New Roman"/>
            </w:rPr>
          </w:pPr>
          <w:r w:rsidRPr="009A46BB">
            <w:rPr>
              <w:rFonts w:ascii="Times New Roman" w:hAnsi="Times New Roman"/>
            </w:rPr>
            <w:t>Se otorga al concesionario el derecho a: (a) ocupar y utilizar en forma temporal y exclusiva una línea de playa y zona de bajamar, (b) efectuar un dragado de profundización; y (c) ejecutar un relleno de la zona marina y nivelación de dicho lote, para operar sus instalaciones en un puerto de servicio público, para la movilización de minerales a granel, especialmente materias primas, a cambio de una contraprestación económica</w:t>
          </w:r>
        </w:p>
        <w:p w14:paraId="02922D33" w14:textId="77777777" w:rsidR="00274429" w:rsidRPr="009A46BB" w:rsidRDefault="00274429" w:rsidP="00274429">
          <w:pPr>
            <w:jc w:val="both"/>
            <w:rPr>
              <w:rFonts w:ascii="Times New Roman" w:hAnsi="Times New Roman"/>
            </w:rPr>
          </w:pPr>
          <w:r w:rsidRPr="009A46BB">
            <w:rPr>
              <w:rFonts w:ascii="Times New Roman" w:hAnsi="Times New Roman"/>
            </w:rPr>
            <w:t>Numeral Octavo del Otrosí No.4 de 2011: Del pago de la contraprestación corresponderá el ochenta por ciento (80%) a la Nación Instituto Nacional de VíasINVIAS y el veinte por ciento (20%) restante al Municipio correspondiente, de acuerdo con lo establecido en el parágrafo 1° del artículo 1° de la Ley 856 de 2003, que modifica el artículo 7° de la Ley 1ª de 1991.</w:t>
          </w:r>
        </w:p>
        <w:p w14:paraId="3CDCB9EC" w14:textId="77777777" w:rsidR="00274429" w:rsidRPr="009A46BB" w:rsidRDefault="00274429" w:rsidP="00274429">
          <w:pPr>
            <w:jc w:val="both"/>
            <w:rPr>
              <w:rFonts w:ascii="Times New Roman" w:hAnsi="Times New Roman"/>
            </w:rPr>
          </w:pPr>
          <w:r w:rsidRPr="009A46BB">
            <w:rPr>
              <w:rFonts w:ascii="Times New Roman" w:hAnsi="Times New Roman"/>
              <w:b/>
            </w:rPr>
            <w:t xml:space="preserve">c. Naturaleza y alcance del derecho a utilizar activos especificados, de los aspectos pactados en torno a lo que se espera que el concesionario proporcione en relación con el acuerdo de concesión </w:t>
          </w:r>
        </w:p>
        <w:p w14:paraId="7AD555A5" w14:textId="77777777" w:rsidR="00274429" w:rsidRPr="009A46BB" w:rsidRDefault="00274429" w:rsidP="00274429">
          <w:pPr>
            <w:jc w:val="both"/>
            <w:rPr>
              <w:rFonts w:ascii="Times New Roman" w:hAnsi="Times New Roman"/>
              <w:b/>
            </w:rPr>
          </w:pPr>
          <w:r w:rsidRPr="009A46BB">
            <w:rPr>
              <w:rFonts w:ascii="Times New Roman" w:hAnsi="Times New Roman"/>
              <w:b/>
            </w:rPr>
            <w:t>Naturaleza y alcance del derecho de uso de los activos</w:t>
          </w:r>
        </w:p>
        <w:p w14:paraId="654393A6" w14:textId="77777777" w:rsidR="00274429" w:rsidRPr="009A46BB" w:rsidRDefault="00274429" w:rsidP="00274429">
          <w:pPr>
            <w:jc w:val="both"/>
            <w:rPr>
              <w:rFonts w:ascii="Times New Roman" w:hAnsi="Times New Roman"/>
              <w:b/>
            </w:rPr>
          </w:pPr>
          <w:r w:rsidRPr="009A46BB">
            <w:rPr>
              <w:rFonts w:ascii="Times New Roman" w:hAnsi="Times New Roman"/>
              <w:b/>
            </w:rPr>
            <w:t>Descripción:</w:t>
          </w:r>
        </w:p>
        <w:p w14:paraId="6C84391E" w14:textId="77777777" w:rsidR="00274429" w:rsidRPr="009A46BB" w:rsidRDefault="00274429" w:rsidP="00274429">
          <w:pPr>
            <w:jc w:val="both"/>
            <w:rPr>
              <w:rFonts w:ascii="Times New Roman" w:hAnsi="Times New Roman"/>
              <w:b/>
            </w:rPr>
          </w:pPr>
          <w:r w:rsidRPr="009A46BB">
            <w:rPr>
              <w:rFonts w:ascii="Times New Roman" w:hAnsi="Times New Roman"/>
              <w:b/>
            </w:rPr>
            <w:t>Alcance del derecho de uso de los activos:</w:t>
          </w:r>
        </w:p>
        <w:p w14:paraId="279030BB" w14:textId="77777777" w:rsidR="00274429" w:rsidRPr="009A46BB" w:rsidRDefault="00274429" w:rsidP="00274429">
          <w:pPr>
            <w:jc w:val="both"/>
            <w:rPr>
              <w:rFonts w:ascii="Times New Roman" w:hAnsi="Times New Roman"/>
            </w:rPr>
          </w:pPr>
          <w:r w:rsidRPr="009A46BB">
            <w:rPr>
              <w:rFonts w:ascii="Times New Roman" w:hAnsi="Times New Roman"/>
            </w:rPr>
            <w:t>Descripción del proyecto, especificaciones técnicas, modalidades de operación: las condiciones especiales de operación del puerto están establecidas en la Cláusula Cuarta del Otrosí No. 4 del 23 de septiembre de 2011.</w:t>
          </w:r>
        </w:p>
        <w:p w14:paraId="61AA4116" w14:textId="77777777" w:rsidR="00274429" w:rsidRPr="009A46BB" w:rsidRDefault="00274429" w:rsidP="00274429">
          <w:pPr>
            <w:jc w:val="both"/>
            <w:rPr>
              <w:rFonts w:ascii="Times New Roman" w:hAnsi="Times New Roman"/>
            </w:rPr>
          </w:pPr>
          <w:r w:rsidRPr="009A46BB">
            <w:rPr>
              <w:rFonts w:ascii="Times New Roman" w:hAnsi="Times New Roman"/>
              <w:b/>
            </w:rPr>
            <w:t>Área entregada en concesión:</w:t>
          </w:r>
          <w:r w:rsidRPr="009A46BB">
            <w:rPr>
              <w:rFonts w:ascii="Times New Roman" w:hAnsi="Times New Roman"/>
            </w:rPr>
            <w:t xml:space="preserve"> La descripción de la ubicación, linderos y extensión de los bienes de uso público (playas y terrenos de baja mar, zonas marítimas accesorias de maniobras) entregados en concesión están establecidos en la cláusula segunda del Otrosí No. 4 del 23 de septiembre de 2011.</w:t>
          </w:r>
        </w:p>
        <w:p w14:paraId="5B8FC9F3" w14:textId="77777777" w:rsidR="00274429" w:rsidRPr="009A46BB" w:rsidRDefault="00274429" w:rsidP="00274429">
          <w:pPr>
            <w:jc w:val="both"/>
            <w:rPr>
              <w:rFonts w:ascii="Times New Roman" w:hAnsi="Times New Roman"/>
              <w:b/>
            </w:rPr>
          </w:pPr>
          <w:r w:rsidRPr="009A46BB">
            <w:rPr>
              <w:rFonts w:ascii="Times New Roman" w:hAnsi="Times New Roman"/>
              <w:b/>
            </w:rPr>
            <w:t>Retribución al concesionario</w:t>
          </w:r>
        </w:p>
        <w:p w14:paraId="36434AC4" w14:textId="77777777" w:rsidR="00274429" w:rsidRPr="009A46BB" w:rsidRDefault="00274429" w:rsidP="00274429">
          <w:pPr>
            <w:jc w:val="both"/>
            <w:rPr>
              <w:rFonts w:ascii="Times New Roman" w:hAnsi="Times New Roman"/>
            </w:rPr>
          </w:pPr>
          <w:r w:rsidRPr="009A46BB">
            <w:rPr>
              <w:rFonts w:ascii="Times New Roman" w:hAnsi="Times New Roman"/>
              <w:b/>
            </w:rPr>
            <w:t xml:space="preserve">Descripción: </w:t>
          </w:r>
          <w:r w:rsidRPr="009A46BB">
            <w:rPr>
              <w:rFonts w:ascii="Times New Roman" w:hAnsi="Times New Roman"/>
            </w:rPr>
            <w:t>Numeral Primero del Otrosí No. 4 de 2011: Se otorga al concesionario el derecho a: (a) ocupar y utilizar en forma temporal y exclusiva una línea de playa y zona de bajamar, (b) efectuar un dragado de profundización; y (c) ejecutar un relleno de la zona marina y nivelación de dicho lote, para operar sus instalaciones en un puerto de servicio público, para la movilización de minerales a granel, especialmente materias primas, a cambio de una contraprestación económica.</w:t>
          </w:r>
        </w:p>
        <w:p w14:paraId="4E9812B9" w14:textId="77777777" w:rsidR="00274429" w:rsidRPr="009A46BB" w:rsidRDefault="00274429" w:rsidP="00274429">
          <w:pPr>
            <w:jc w:val="both"/>
            <w:rPr>
              <w:rFonts w:ascii="Times New Roman" w:hAnsi="Times New Roman"/>
            </w:rPr>
          </w:pPr>
          <w:r w:rsidRPr="009A46BB">
            <w:rPr>
              <w:rFonts w:ascii="Times New Roman" w:hAnsi="Times New Roman"/>
              <w:b/>
            </w:rPr>
            <w:t>Tasa de retribución:</w:t>
          </w:r>
          <w:r w:rsidRPr="009A46BB">
            <w:rPr>
              <w:rFonts w:ascii="Times New Roman" w:hAnsi="Times New Roman"/>
            </w:rPr>
            <w:t xml:space="preserve"> N/A</w:t>
          </w:r>
        </w:p>
        <w:p w14:paraId="3B133506" w14:textId="77777777" w:rsidR="00274429" w:rsidRPr="009A46BB" w:rsidRDefault="00274429" w:rsidP="00274429">
          <w:pPr>
            <w:jc w:val="both"/>
            <w:rPr>
              <w:rFonts w:ascii="Times New Roman" w:hAnsi="Times New Roman"/>
              <w:b/>
            </w:rPr>
          </w:pPr>
          <w:r w:rsidRPr="009A46BB">
            <w:rPr>
              <w:rFonts w:ascii="Times New Roman" w:hAnsi="Times New Roman"/>
              <w:b/>
            </w:rPr>
            <w:t>d. Derechos a recibir activos especificados al final del acuerdo de concesión</w:t>
          </w:r>
        </w:p>
        <w:p w14:paraId="6AE5FDA5" w14:textId="77777777" w:rsidR="00274429" w:rsidRPr="009A46BB" w:rsidRDefault="00274429" w:rsidP="00274429">
          <w:pPr>
            <w:jc w:val="both"/>
            <w:rPr>
              <w:rFonts w:ascii="Times New Roman" w:hAnsi="Times New Roman"/>
              <w:b/>
            </w:rPr>
          </w:pPr>
          <w:r w:rsidRPr="009A46BB">
            <w:rPr>
              <w:rFonts w:ascii="Times New Roman" w:hAnsi="Times New Roman"/>
              <w:b/>
            </w:rPr>
            <w:t>Descripción:</w:t>
          </w:r>
        </w:p>
        <w:p w14:paraId="14409450" w14:textId="77777777" w:rsidR="00274429" w:rsidRPr="009A46BB" w:rsidRDefault="00274429" w:rsidP="00274429">
          <w:pPr>
            <w:jc w:val="both"/>
            <w:rPr>
              <w:rFonts w:ascii="Times New Roman" w:hAnsi="Times New Roman"/>
            </w:rPr>
          </w:pPr>
          <w:r w:rsidRPr="009A46BB">
            <w:rPr>
              <w:rFonts w:ascii="Times New Roman" w:hAnsi="Times New Roman"/>
            </w:rPr>
            <w:t>De acuerdo con el Artículo 8º de la Ley 1 de 1991 en el modo portuario el concesionario no tiene derechos finales sobre activos los debe revertir a la Nación al final del contrato de concesión.</w:t>
          </w:r>
        </w:p>
        <w:p w14:paraId="0C866DCC" w14:textId="77777777" w:rsidR="00274429" w:rsidRPr="009A46BB" w:rsidRDefault="00274429" w:rsidP="00274429">
          <w:pPr>
            <w:jc w:val="both"/>
            <w:rPr>
              <w:rFonts w:ascii="Times New Roman" w:hAnsi="Times New Roman"/>
            </w:rPr>
          </w:pPr>
          <w:r w:rsidRPr="009A46BB">
            <w:rPr>
              <w:rFonts w:ascii="Times New Roman" w:hAnsi="Times New Roman"/>
              <w:b/>
            </w:rPr>
            <w:t>Reversión:</w:t>
          </w:r>
          <w:r w:rsidRPr="009A46BB">
            <w:rPr>
              <w:rFonts w:ascii="Times New Roman" w:hAnsi="Times New Roman"/>
            </w:rPr>
            <w:t xml:space="preserve"> De acuerdo con lo establecido en el numeral séptimo del Otrosí N.4 de 2011, todas las construcciones e inmuebles por destinación, que se encuentren instalados en la zona de uso público otorgada en concesión revertirán gratuitamente por el Concesionario.</w:t>
          </w:r>
        </w:p>
        <w:p w14:paraId="1C2EEF72" w14:textId="77777777" w:rsidR="00274429" w:rsidRPr="009A46BB" w:rsidRDefault="00274429" w:rsidP="00274429">
          <w:pPr>
            <w:jc w:val="both"/>
            <w:rPr>
              <w:rFonts w:ascii="Times New Roman" w:hAnsi="Times New Roman"/>
            </w:rPr>
          </w:pPr>
          <w:r w:rsidRPr="009A46BB">
            <w:rPr>
              <w:rFonts w:ascii="Times New Roman" w:hAnsi="Times New Roman"/>
            </w:rPr>
            <w:t>Para tal fin, en el momento de la reversión el CONCESIONARIO elaborará un inventario de los bienes y los enviará para su revisión y aprobación.</w:t>
          </w:r>
        </w:p>
        <w:p w14:paraId="4FA4B511" w14:textId="77777777" w:rsidR="00274429" w:rsidRPr="009A46BB" w:rsidRDefault="00274429" w:rsidP="00274429">
          <w:pPr>
            <w:jc w:val="both"/>
            <w:rPr>
              <w:rFonts w:ascii="Times New Roman" w:hAnsi="Times New Roman"/>
            </w:rPr>
          </w:pPr>
          <w:r w:rsidRPr="009A46BB">
            <w:rPr>
              <w:rFonts w:ascii="Times New Roman" w:hAnsi="Times New Roman"/>
            </w:rPr>
            <w:lastRenderedPageBreak/>
            <w:t>La ANI es la entidad concedente pero la titularidad de los activos al final de la concesión es del Instituto Nacional de Vías INVIAS.</w:t>
          </w:r>
        </w:p>
        <w:p w14:paraId="7CC3200B" w14:textId="5DF8B723" w:rsidR="00274429" w:rsidRPr="009A46BB" w:rsidRDefault="00274429" w:rsidP="00274429">
          <w:pPr>
            <w:jc w:val="both"/>
            <w:rPr>
              <w:rFonts w:ascii="Times New Roman" w:hAnsi="Times New Roman"/>
              <w:b/>
            </w:rPr>
          </w:pPr>
          <w:r w:rsidRPr="009A46BB">
            <w:rPr>
              <w:rFonts w:ascii="Times New Roman" w:hAnsi="Times New Roman"/>
              <w:b/>
            </w:rPr>
            <w:t xml:space="preserve">e. </w:t>
          </w:r>
          <w:r w:rsidR="005A7060" w:rsidRPr="009A46BB">
            <w:rPr>
              <w:rFonts w:ascii="Times New Roman" w:hAnsi="Times New Roman"/>
              <w:b/>
            </w:rPr>
            <w:t>No hay c</w:t>
          </w:r>
          <w:r w:rsidRPr="009A46BB">
            <w:rPr>
              <w:rFonts w:ascii="Times New Roman" w:hAnsi="Times New Roman"/>
              <w:b/>
            </w:rPr>
            <w:t>ambios en el acuerdo de concesión que se realicen durante el periodo fiscal</w:t>
          </w:r>
        </w:p>
        <w:p w14:paraId="7F43AB41" w14:textId="77777777" w:rsidR="00274429" w:rsidRPr="009A46BB" w:rsidRDefault="00274429" w:rsidP="00274429">
          <w:pPr>
            <w:jc w:val="both"/>
            <w:rPr>
              <w:rFonts w:ascii="Times New Roman" w:hAnsi="Times New Roman"/>
            </w:rPr>
          </w:pPr>
        </w:p>
        <w:p w14:paraId="620DDBB1" w14:textId="03AAAAF6" w:rsidR="00274429" w:rsidRPr="009A46BB" w:rsidRDefault="00BD162F" w:rsidP="00BD162F">
          <w:pPr>
            <w:spacing w:line="259" w:lineRule="auto"/>
            <w:jc w:val="both"/>
            <w:rPr>
              <w:rFonts w:ascii="Times New Roman" w:hAnsi="Times New Roman"/>
              <w:b/>
            </w:rPr>
          </w:pPr>
          <w:r w:rsidRPr="009A46BB">
            <w:rPr>
              <w:rFonts w:ascii="Times New Roman" w:hAnsi="Times New Roman"/>
              <w:b/>
            </w:rPr>
            <w:t>COMPAÑÍA DE PUERTOS ASOCIADOS S.A. COMPAS TOLÚ</w:t>
          </w:r>
        </w:p>
        <w:p w14:paraId="6D8C059C" w14:textId="2C849D4B" w:rsidR="00274429" w:rsidRPr="009A46BB" w:rsidRDefault="00274429" w:rsidP="00E60BAB">
          <w:pPr>
            <w:pStyle w:val="Prrafodelista"/>
            <w:numPr>
              <w:ilvl w:val="0"/>
              <w:numId w:val="155"/>
            </w:numPr>
            <w:jc w:val="both"/>
            <w:rPr>
              <w:rFonts w:ascii="Times New Roman" w:hAnsi="Times New Roman"/>
              <w:b/>
            </w:rPr>
          </w:pPr>
          <w:r w:rsidRPr="009A46BB">
            <w:rPr>
              <w:rFonts w:ascii="Times New Roman" w:hAnsi="Times New Roman"/>
              <w:b/>
            </w:rPr>
            <w:t>Descripción del acuerdo</w:t>
          </w:r>
        </w:p>
        <w:p w14:paraId="78B10DDD" w14:textId="2F8731DB" w:rsidR="00274429" w:rsidRPr="009A46BB" w:rsidRDefault="00274429" w:rsidP="53994544">
          <w:pPr>
            <w:spacing w:after="0"/>
            <w:ind w:left="708" w:hanging="708"/>
            <w:jc w:val="both"/>
            <w:rPr>
              <w:rFonts w:ascii="Times New Roman" w:hAnsi="Times New Roman"/>
            </w:rPr>
          </w:pPr>
          <w:r w:rsidRPr="009A46BB">
            <w:rPr>
              <w:rFonts w:ascii="Times New Roman" w:hAnsi="Times New Roman"/>
              <w:b/>
            </w:rPr>
            <w:t>Número del acuerdo de concesión:</w:t>
          </w:r>
          <w:r w:rsidR="003D0C3F" w:rsidRPr="009A46BB">
            <w:rPr>
              <w:rFonts w:ascii="Times New Roman" w:hAnsi="Times New Roman"/>
              <w:b/>
            </w:rPr>
            <w:t xml:space="preserve"> </w:t>
          </w:r>
          <w:r w:rsidRPr="009A46BB">
            <w:rPr>
              <w:rFonts w:ascii="Times New Roman" w:hAnsi="Times New Roman"/>
            </w:rPr>
            <w:t>Contrato de Concesión Portuario No. 015 de 1996</w:t>
          </w:r>
        </w:p>
        <w:p w14:paraId="7888F368" w14:textId="1ADDE477" w:rsidR="00313626" w:rsidRPr="009A46BB" w:rsidRDefault="00313626" w:rsidP="53994544">
          <w:pPr>
            <w:spacing w:after="0"/>
            <w:jc w:val="both"/>
            <w:rPr>
              <w:rFonts w:ascii="Times New Roman" w:hAnsi="Times New Roman"/>
            </w:rPr>
          </w:pPr>
          <w:r w:rsidRPr="009A46BB">
            <w:rPr>
              <w:rFonts w:ascii="Times New Roman" w:hAnsi="Times New Roman"/>
              <w:b/>
            </w:rPr>
            <w:t>Objeto / Descripción:</w:t>
          </w:r>
          <w:r w:rsidRPr="009A46BB">
            <w:rPr>
              <w:rFonts w:ascii="Times New Roman" w:hAnsi="Times New Roman"/>
            </w:rPr>
            <w:t xml:space="preserve"> La Superintendencia en Virtud del presente Contrato, otorga al Concesionario una concesión portuaria cuyos terrenos están localizados al sur-oeste del Municipio de Santiago de Tolú, Departamento de Sucre, en la Costa del Golfo de Morrosquillo</w:t>
          </w:r>
        </w:p>
        <w:p w14:paraId="77EB5C6A" w14:textId="27EB645B" w:rsidR="00274429" w:rsidRPr="009A46BB" w:rsidRDefault="00274429" w:rsidP="00730054">
          <w:pPr>
            <w:spacing w:after="0"/>
            <w:ind w:left="708" w:hanging="708"/>
            <w:jc w:val="both"/>
            <w:rPr>
              <w:rFonts w:ascii="Times New Roman" w:hAnsi="Times New Roman"/>
            </w:rPr>
          </w:pPr>
          <w:r w:rsidRPr="009A46BB">
            <w:rPr>
              <w:rFonts w:ascii="Times New Roman" w:hAnsi="Times New Roman"/>
              <w:b/>
            </w:rPr>
            <w:t>Valor inicial:</w:t>
          </w:r>
          <w:r w:rsidR="001933BC" w:rsidRPr="009A46BB">
            <w:rPr>
              <w:rFonts w:ascii="Times New Roman" w:hAnsi="Times New Roman"/>
              <w:b/>
            </w:rPr>
            <w:t xml:space="preserve"> </w:t>
          </w:r>
          <w:r w:rsidRPr="009A46BB">
            <w:rPr>
              <w:rFonts w:ascii="Times New Roman" w:hAnsi="Times New Roman"/>
            </w:rPr>
            <w:t>USD 604.420 Cláusula décima/Contrato No. 015 de 1996</w:t>
          </w:r>
        </w:p>
        <w:p w14:paraId="4BA49C8D" w14:textId="4F328B31" w:rsidR="00274429" w:rsidRPr="009A46BB" w:rsidRDefault="00274429" w:rsidP="00730054">
          <w:pPr>
            <w:spacing w:after="0"/>
            <w:ind w:left="708" w:hanging="708"/>
            <w:jc w:val="both"/>
            <w:rPr>
              <w:rFonts w:ascii="Times New Roman" w:hAnsi="Times New Roman"/>
            </w:rPr>
          </w:pPr>
          <w:r w:rsidRPr="009A46BB">
            <w:rPr>
              <w:rFonts w:ascii="Times New Roman" w:hAnsi="Times New Roman"/>
              <w:b/>
            </w:rPr>
            <w:t>Fecha de inicio:</w:t>
          </w:r>
          <w:r w:rsidR="001933BC" w:rsidRPr="009A46BB">
            <w:rPr>
              <w:rFonts w:ascii="Times New Roman" w:hAnsi="Times New Roman"/>
              <w:b/>
            </w:rPr>
            <w:t xml:space="preserve"> </w:t>
          </w:r>
          <w:r w:rsidRPr="009A46BB">
            <w:rPr>
              <w:rFonts w:ascii="Times New Roman" w:hAnsi="Times New Roman"/>
            </w:rPr>
            <w:t>26/09/2016</w:t>
          </w:r>
        </w:p>
        <w:p w14:paraId="53E56206" w14:textId="2BC8B757" w:rsidR="00274429" w:rsidRPr="009A46BB" w:rsidRDefault="00274429" w:rsidP="00730054">
          <w:pPr>
            <w:spacing w:after="0"/>
            <w:ind w:left="708" w:hanging="708"/>
            <w:jc w:val="both"/>
            <w:rPr>
              <w:rFonts w:ascii="Times New Roman" w:hAnsi="Times New Roman"/>
            </w:rPr>
          </w:pPr>
          <w:r w:rsidRPr="009A46BB">
            <w:rPr>
              <w:rFonts w:ascii="Times New Roman" w:hAnsi="Times New Roman"/>
              <w:b/>
            </w:rPr>
            <w:t>Fecha de finalización estimada:</w:t>
          </w:r>
          <w:r w:rsidR="001933BC" w:rsidRPr="009A46BB">
            <w:rPr>
              <w:rFonts w:ascii="Times New Roman" w:hAnsi="Times New Roman"/>
              <w:b/>
            </w:rPr>
            <w:t xml:space="preserve"> </w:t>
          </w:r>
          <w:r w:rsidRPr="009A46BB">
            <w:rPr>
              <w:rFonts w:ascii="Times New Roman" w:hAnsi="Times New Roman"/>
            </w:rPr>
            <w:t>25/09/2036</w:t>
          </w:r>
        </w:p>
        <w:p w14:paraId="5025A1CE" w14:textId="28B052C2" w:rsidR="00274429" w:rsidRPr="009A46BB" w:rsidRDefault="00274429" w:rsidP="00730054">
          <w:pPr>
            <w:spacing w:after="0"/>
            <w:ind w:left="708" w:hanging="708"/>
            <w:jc w:val="both"/>
            <w:rPr>
              <w:rFonts w:ascii="Times New Roman" w:hAnsi="Times New Roman"/>
            </w:rPr>
          </w:pPr>
          <w:r w:rsidRPr="009A46BB">
            <w:rPr>
              <w:rFonts w:ascii="Times New Roman" w:hAnsi="Times New Roman"/>
              <w:b/>
            </w:rPr>
            <w:t>Tipo ID:</w:t>
          </w:r>
          <w:r w:rsidR="001933BC" w:rsidRPr="009A46BB">
            <w:rPr>
              <w:rFonts w:ascii="Times New Roman" w:hAnsi="Times New Roman"/>
              <w:b/>
            </w:rPr>
            <w:t xml:space="preserve"> </w:t>
          </w:r>
          <w:r w:rsidRPr="009A46BB">
            <w:rPr>
              <w:rFonts w:ascii="Times New Roman" w:hAnsi="Times New Roman"/>
            </w:rPr>
            <w:t>NIT</w:t>
          </w:r>
        </w:p>
        <w:p w14:paraId="4F27F855" w14:textId="1911A372" w:rsidR="00274429" w:rsidRPr="009A46BB" w:rsidRDefault="00274429" w:rsidP="00730054">
          <w:pPr>
            <w:spacing w:after="0"/>
            <w:ind w:left="708" w:hanging="708"/>
            <w:jc w:val="both"/>
            <w:rPr>
              <w:rFonts w:ascii="Times New Roman" w:hAnsi="Times New Roman"/>
            </w:rPr>
          </w:pPr>
          <w:r w:rsidRPr="009A46BB">
            <w:rPr>
              <w:rFonts w:ascii="Times New Roman" w:hAnsi="Times New Roman"/>
              <w:b/>
            </w:rPr>
            <w:t>Número ID:</w:t>
          </w:r>
          <w:r w:rsidR="001933BC" w:rsidRPr="009A46BB">
            <w:rPr>
              <w:rFonts w:ascii="Times New Roman" w:hAnsi="Times New Roman"/>
              <w:b/>
            </w:rPr>
            <w:t xml:space="preserve"> </w:t>
          </w:r>
          <w:r w:rsidRPr="009A46BB">
            <w:rPr>
              <w:rFonts w:ascii="Times New Roman" w:hAnsi="Times New Roman"/>
            </w:rPr>
            <w:t>800156044-6</w:t>
          </w:r>
        </w:p>
        <w:p w14:paraId="72B85D6A" w14:textId="2BBB486B" w:rsidR="00274429" w:rsidRPr="009A46BB" w:rsidRDefault="00274429" w:rsidP="00730054">
          <w:pPr>
            <w:spacing w:after="0"/>
            <w:ind w:left="708" w:hanging="708"/>
            <w:jc w:val="both"/>
            <w:rPr>
              <w:rFonts w:ascii="Times New Roman" w:hAnsi="Times New Roman"/>
            </w:rPr>
          </w:pPr>
          <w:r w:rsidRPr="009A46BB">
            <w:rPr>
              <w:rFonts w:ascii="Times New Roman" w:hAnsi="Times New Roman"/>
              <w:b/>
            </w:rPr>
            <w:t>Razón social del concesionario:</w:t>
          </w:r>
          <w:r w:rsidR="001933BC" w:rsidRPr="009A46BB">
            <w:rPr>
              <w:rFonts w:ascii="Times New Roman" w:hAnsi="Times New Roman"/>
              <w:b/>
            </w:rPr>
            <w:t xml:space="preserve"> </w:t>
          </w:r>
          <w:r w:rsidRPr="009A46BB">
            <w:rPr>
              <w:rFonts w:ascii="Times New Roman" w:hAnsi="Times New Roman"/>
            </w:rPr>
            <w:t>Compañía de Puertos Asociados S.A. COMPAS TOLÚ</w:t>
          </w:r>
        </w:p>
        <w:p w14:paraId="4F90E2F7" w14:textId="3E800F50" w:rsidR="00274429" w:rsidRPr="009A46BB" w:rsidRDefault="00274429" w:rsidP="00274429">
          <w:pPr>
            <w:ind w:left="708" w:hanging="708"/>
            <w:jc w:val="both"/>
            <w:rPr>
              <w:rFonts w:ascii="Times New Roman" w:hAnsi="Times New Roman"/>
            </w:rPr>
          </w:pPr>
          <w:r w:rsidRPr="009A46BB">
            <w:rPr>
              <w:rFonts w:ascii="Times New Roman" w:hAnsi="Times New Roman"/>
              <w:b/>
            </w:rPr>
            <w:t>Nombre del proyecto:</w:t>
          </w:r>
          <w:r w:rsidR="001933BC" w:rsidRPr="009A46BB">
            <w:rPr>
              <w:rFonts w:ascii="Times New Roman" w:hAnsi="Times New Roman"/>
              <w:b/>
            </w:rPr>
            <w:t xml:space="preserve"> </w:t>
          </w:r>
          <w:r w:rsidRPr="009A46BB">
            <w:rPr>
              <w:rFonts w:ascii="Times New Roman" w:hAnsi="Times New Roman"/>
            </w:rPr>
            <w:t>Compañía de Puertos Asociados S.A. COMPAS TOLÚ</w:t>
          </w:r>
        </w:p>
        <w:p w14:paraId="046004B0" w14:textId="3A70EBC3" w:rsidR="00274429" w:rsidRPr="009A46BB" w:rsidRDefault="00274429" w:rsidP="00E60BAB">
          <w:pPr>
            <w:pStyle w:val="Prrafodelista"/>
            <w:numPr>
              <w:ilvl w:val="0"/>
              <w:numId w:val="168"/>
            </w:numPr>
            <w:jc w:val="both"/>
            <w:rPr>
              <w:rFonts w:ascii="Times New Roman" w:hAnsi="Times New Roman"/>
            </w:rPr>
          </w:pPr>
          <w:r w:rsidRPr="009A46BB">
            <w:rPr>
              <w:rFonts w:ascii="Times New Roman" w:hAnsi="Times New Roman"/>
              <w:b/>
            </w:rPr>
            <w:t>Términos significativos del acuerdo que puedan afectar su valor, el calendario y la certeza de los flujos</w:t>
          </w:r>
        </w:p>
        <w:p w14:paraId="72A07713" w14:textId="77777777" w:rsidR="00274429" w:rsidRPr="009A46BB" w:rsidRDefault="00274429" w:rsidP="00274429">
          <w:pPr>
            <w:ind w:left="708" w:hanging="708"/>
            <w:jc w:val="both"/>
            <w:rPr>
              <w:rFonts w:ascii="Times New Roman" w:hAnsi="Times New Roman"/>
            </w:rPr>
          </w:pPr>
          <w:r w:rsidRPr="009A46BB">
            <w:rPr>
              <w:rFonts w:ascii="Times New Roman" w:hAnsi="Times New Roman"/>
              <w:b/>
            </w:rPr>
            <w:t>Términos de valor:</w:t>
          </w:r>
        </w:p>
        <w:p w14:paraId="11051B60" w14:textId="7EF26814" w:rsidR="00274429" w:rsidRPr="009A46BB" w:rsidRDefault="008E10BD" w:rsidP="008E10BD">
          <w:pPr>
            <w:jc w:val="both"/>
            <w:rPr>
              <w:rFonts w:ascii="Times New Roman" w:hAnsi="Times New Roman"/>
            </w:rPr>
          </w:pPr>
          <w:r w:rsidRPr="009A46BB">
            <w:rPr>
              <w:rFonts w:ascii="Times New Roman" w:hAnsi="Times New Roman"/>
              <w:b/>
            </w:rPr>
            <w:t xml:space="preserve">1. </w:t>
          </w:r>
          <w:r w:rsidR="00274429" w:rsidRPr="009A46BB">
            <w:rPr>
              <w:rFonts w:ascii="Times New Roman" w:hAnsi="Times New Roman"/>
              <w:b/>
            </w:rPr>
            <w:t>Tarifas:</w:t>
          </w:r>
          <w:r w:rsidR="00274429" w:rsidRPr="009A46BB">
            <w:rPr>
              <w:rFonts w:ascii="Times New Roman" w:hAnsi="Times New Roman"/>
            </w:rPr>
            <w:t xml:space="preserve">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w:t>
          </w:r>
        </w:p>
        <w:p w14:paraId="0BF7F4F0" w14:textId="759EF3F0" w:rsidR="00274429" w:rsidRPr="009A46BB" w:rsidRDefault="008E10BD" w:rsidP="008E10BD">
          <w:pPr>
            <w:jc w:val="both"/>
            <w:rPr>
              <w:rFonts w:ascii="Times New Roman" w:hAnsi="Times New Roman"/>
            </w:rPr>
          </w:pPr>
          <w:r w:rsidRPr="009A46BB">
            <w:rPr>
              <w:rFonts w:ascii="Times New Roman" w:hAnsi="Times New Roman"/>
              <w:b/>
            </w:rPr>
            <w:t xml:space="preserve">2. </w:t>
          </w:r>
          <w:r w:rsidR="00274429" w:rsidRPr="009A46BB">
            <w:rPr>
              <w:rFonts w:ascii="Times New Roman" w:hAnsi="Times New Roman"/>
              <w:b/>
            </w:rPr>
            <w:t>Contraprestación portuaria:</w:t>
          </w:r>
          <w:r w:rsidR="00274429" w:rsidRPr="009A46BB">
            <w:rPr>
              <w:rFonts w:ascii="Times New Roman" w:hAnsi="Times New Roman"/>
            </w:rPr>
            <w:t xml:space="preserve"> De acuerdo con el último documento contractual vigente la metodología de contraprestación vigente es CONPES 3744 de 2013 (Componentes Fijo y Variable). A febrero de 2023 el CONCESIONARIO debió pagar la suma de $ USD 1.287.467.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distrito de Santiago de Tolú; e INFRAESTRUCTURA en un 100% a la Nación - Instituto Nacional de Vías (INVIAS).</w:t>
          </w:r>
        </w:p>
        <w:p w14:paraId="427C6478" w14:textId="4428A9F4" w:rsidR="00274429" w:rsidRPr="009A46BB" w:rsidRDefault="008E10BD" w:rsidP="008E10BD">
          <w:pPr>
            <w:jc w:val="both"/>
            <w:rPr>
              <w:rFonts w:ascii="Times New Roman" w:hAnsi="Times New Roman"/>
            </w:rPr>
          </w:pPr>
          <w:r w:rsidRPr="009A46BB">
            <w:rPr>
              <w:rFonts w:ascii="Times New Roman" w:hAnsi="Times New Roman"/>
              <w:b/>
            </w:rPr>
            <w:t xml:space="preserve">3. </w:t>
          </w:r>
          <w:r w:rsidR="00274429" w:rsidRPr="009A46BB">
            <w:rPr>
              <w:rFonts w:ascii="Times New Roman" w:hAnsi="Times New Roman"/>
              <w:b/>
            </w:rPr>
            <w:t>Plan de Inversiones:</w:t>
          </w:r>
          <w:r w:rsidR="00274429" w:rsidRPr="009A46BB">
            <w:rPr>
              <w:rFonts w:ascii="Times New Roman" w:hAnsi="Times New Roman"/>
            </w:rPr>
            <w:t xml:space="preserve"> está establecido en la cláusula sexta del contrato, modificado por la Otrosí No.7 de 2019 que estableció en la cláusula primera, el plan de inversión será de USD $28.629.838 en constantes.</w:t>
          </w:r>
        </w:p>
        <w:p w14:paraId="39271BCC" w14:textId="0CF418AF" w:rsidR="00274429" w:rsidRPr="009A46BB" w:rsidRDefault="008E10BD" w:rsidP="008E10BD">
          <w:pPr>
            <w:jc w:val="both"/>
            <w:rPr>
              <w:rFonts w:ascii="Times New Roman" w:hAnsi="Times New Roman"/>
            </w:rPr>
          </w:pPr>
          <w:r w:rsidRPr="009A46BB">
            <w:rPr>
              <w:rFonts w:ascii="Times New Roman" w:hAnsi="Times New Roman"/>
              <w:b/>
            </w:rPr>
            <w:t xml:space="preserve">4. </w:t>
          </w:r>
          <w:r w:rsidR="00274429" w:rsidRPr="009A46BB">
            <w:rPr>
              <w:rFonts w:ascii="Times New Roman" w:hAnsi="Times New Roman"/>
              <w:b/>
            </w:rPr>
            <w:t>Obligaciones del CONCESIONARIO:</w:t>
          </w:r>
          <w:r w:rsidR="00274429" w:rsidRPr="009A46BB">
            <w:rPr>
              <w:rFonts w:ascii="Times New Roman" w:hAnsi="Times New Roman"/>
            </w:rPr>
            <w:t xml:space="preserve"> se encuentran descritas en la Cláusula Octava del Otrosí No. 5 de 2016. </w:t>
          </w:r>
        </w:p>
        <w:p w14:paraId="2C623089" w14:textId="6935F3A5" w:rsidR="00274429" w:rsidRPr="009A46BB" w:rsidRDefault="008E10BD" w:rsidP="008E10BD">
          <w:pPr>
            <w:ind w:left="708" w:hanging="708"/>
            <w:jc w:val="both"/>
            <w:rPr>
              <w:rFonts w:ascii="Times New Roman" w:hAnsi="Times New Roman"/>
            </w:rPr>
          </w:pPr>
          <w:r w:rsidRPr="009A46BB">
            <w:rPr>
              <w:rFonts w:ascii="Times New Roman" w:hAnsi="Times New Roman"/>
              <w:b/>
            </w:rPr>
            <w:t xml:space="preserve">5. </w:t>
          </w:r>
          <w:r w:rsidR="00274429" w:rsidRPr="009A46BB">
            <w:rPr>
              <w:rFonts w:ascii="Times New Roman" w:hAnsi="Times New Roman"/>
              <w:b/>
            </w:rPr>
            <w:t>Multas y sanciones:</w:t>
          </w:r>
          <w:r w:rsidR="00274429" w:rsidRPr="009A46BB">
            <w:rPr>
              <w:rFonts w:ascii="Times New Roman" w:hAnsi="Times New Roman"/>
            </w:rPr>
            <w:t xml:space="preserve"> están establecidas en la cláusula Novena del Otrosí No. 5 de 2016. </w:t>
          </w:r>
        </w:p>
        <w:p w14:paraId="4DECBFED" w14:textId="31A0F034" w:rsidR="00274429" w:rsidRPr="009A46BB" w:rsidRDefault="008E10BD" w:rsidP="008E10BD">
          <w:pPr>
            <w:jc w:val="both"/>
            <w:rPr>
              <w:rFonts w:ascii="Times New Roman" w:hAnsi="Times New Roman"/>
            </w:rPr>
          </w:pPr>
          <w:r w:rsidRPr="009A46BB">
            <w:rPr>
              <w:rFonts w:ascii="Times New Roman" w:hAnsi="Times New Roman"/>
              <w:b/>
            </w:rPr>
            <w:lastRenderedPageBreak/>
            <w:t xml:space="preserve">6. </w:t>
          </w:r>
          <w:r w:rsidR="00274429" w:rsidRPr="009A46BB">
            <w:rPr>
              <w:rFonts w:ascii="Times New Roman" w:hAnsi="Times New Roman"/>
              <w:b/>
            </w:rPr>
            <w:t>Penal pecuniaria:</w:t>
          </w:r>
          <w:r w:rsidR="00274429" w:rsidRPr="009A46BB">
            <w:rPr>
              <w:rFonts w:ascii="Times New Roman" w:hAnsi="Times New Roman"/>
            </w:rPr>
            <w:t xml:space="preserve"> En la cláusula décima del Otrosí No. 5 de 2016 se establece que en el evento en que la ANI declare la caducidad o el incumplimiento del presente contrato se podrá imponer una penalidad pecuniaria del 10% del valor total de la contraprestación. </w:t>
          </w:r>
        </w:p>
        <w:p w14:paraId="0E8BBDDE" w14:textId="5E77E9AD" w:rsidR="00274429" w:rsidRPr="009A46BB" w:rsidRDefault="008E10BD" w:rsidP="008E10BD">
          <w:pPr>
            <w:jc w:val="both"/>
            <w:rPr>
              <w:rFonts w:ascii="Times New Roman" w:hAnsi="Times New Roman"/>
            </w:rPr>
          </w:pPr>
          <w:r w:rsidRPr="009A46BB">
            <w:rPr>
              <w:rFonts w:ascii="Times New Roman" w:hAnsi="Times New Roman"/>
              <w:b/>
            </w:rPr>
            <w:t xml:space="preserve">7. </w:t>
          </w:r>
          <w:r w:rsidR="00274429" w:rsidRPr="009A46BB">
            <w:rPr>
              <w:rFonts w:ascii="Times New Roman" w:hAnsi="Times New Roman"/>
              <w:b/>
            </w:rPr>
            <w:t>Riesgos:</w:t>
          </w:r>
          <w:r w:rsidR="00274429" w:rsidRPr="009A46BB">
            <w:rPr>
              <w:rFonts w:ascii="Times New Roman" w:hAnsi="Times New Roman"/>
            </w:rPr>
            <w:t xml:space="preserve"> están descritos en la cláusula novena del Otrosí No. 2 de 2006, el CONCESIONARIO asume la totalidad de los inherentes a la ejecución de las obras en su etapa preoperativa, de construcción, de operación y de revisión y su ocurrencia no dará derecho a indemnización o reconocimiento a favor del mismo.</w:t>
          </w:r>
        </w:p>
        <w:p w14:paraId="68C943CB" w14:textId="211EEEAF" w:rsidR="00274429" w:rsidRPr="009A46BB" w:rsidRDefault="00274429" w:rsidP="00274429">
          <w:pPr>
            <w:ind w:left="708" w:hanging="708"/>
            <w:jc w:val="both"/>
            <w:rPr>
              <w:rFonts w:ascii="Times New Roman" w:hAnsi="Times New Roman"/>
              <w:b/>
            </w:rPr>
          </w:pPr>
          <w:r w:rsidRPr="009A46BB">
            <w:rPr>
              <w:rFonts w:ascii="Times New Roman" w:hAnsi="Times New Roman"/>
              <w:b/>
            </w:rPr>
            <w:t>Términos de calendario:</w:t>
          </w:r>
        </w:p>
        <w:p w14:paraId="0C3AA7FA" w14:textId="0B3D94A2" w:rsidR="00274429" w:rsidRPr="009A46BB" w:rsidRDefault="008E10BD" w:rsidP="008E10BD">
          <w:pPr>
            <w:jc w:val="both"/>
            <w:rPr>
              <w:rFonts w:ascii="Times New Roman" w:hAnsi="Times New Roman"/>
            </w:rPr>
          </w:pPr>
          <w:r w:rsidRPr="009A46BB">
            <w:rPr>
              <w:rFonts w:ascii="Times New Roman" w:hAnsi="Times New Roman"/>
              <w:b/>
            </w:rPr>
            <w:t xml:space="preserve">1. </w:t>
          </w:r>
          <w:r w:rsidR="00274429" w:rsidRPr="009A46BB">
            <w:rPr>
              <w:rFonts w:ascii="Times New Roman" w:hAnsi="Times New Roman"/>
              <w:b/>
            </w:rPr>
            <w:t>Tarifas:</w:t>
          </w:r>
          <w:r w:rsidR="00274429" w:rsidRPr="009A46BB">
            <w:rPr>
              <w:rFonts w:ascii="Times New Roman" w:hAnsi="Times New Roman"/>
            </w:rPr>
            <w:t xml:space="preserve"> Aprobadas según la metodología establecida por la Superintendencia General de Puertos hoy Superintendencia de Transporte.</w:t>
          </w:r>
        </w:p>
        <w:p w14:paraId="414AE482" w14:textId="35955EA9" w:rsidR="00274429" w:rsidRPr="009A46BB" w:rsidRDefault="008E10BD" w:rsidP="008E10BD">
          <w:pPr>
            <w:jc w:val="both"/>
            <w:rPr>
              <w:rFonts w:ascii="Times New Roman" w:hAnsi="Times New Roman"/>
            </w:rPr>
          </w:pPr>
          <w:r w:rsidRPr="009A46BB">
            <w:rPr>
              <w:rFonts w:ascii="Times New Roman" w:hAnsi="Times New Roman"/>
              <w:b/>
            </w:rPr>
            <w:t xml:space="preserve">2. </w:t>
          </w:r>
          <w:r w:rsidR="00274429" w:rsidRPr="009A46BB">
            <w:rPr>
              <w:rFonts w:ascii="Times New Roman" w:hAnsi="Times New Roman"/>
              <w:b/>
            </w:rPr>
            <w:t>Contraprestación portuaria:</w:t>
          </w:r>
          <w:r w:rsidR="00274429" w:rsidRPr="009A46BB">
            <w:rPr>
              <w:rFonts w:ascii="Times New Roman" w:hAnsi="Times New Roman"/>
            </w:rPr>
            <w:t xml:space="preserve"> la contraprestación se debe pagar de manera anual en febrero de cada año</w:t>
          </w:r>
        </w:p>
        <w:p w14:paraId="712D1C06" w14:textId="2BD03448" w:rsidR="00274429" w:rsidRPr="009A46BB" w:rsidRDefault="008E10BD" w:rsidP="008E10BD">
          <w:pPr>
            <w:jc w:val="both"/>
            <w:rPr>
              <w:rFonts w:ascii="Times New Roman" w:hAnsi="Times New Roman"/>
            </w:rPr>
          </w:pPr>
          <w:r w:rsidRPr="009A46BB">
            <w:rPr>
              <w:rFonts w:ascii="Times New Roman" w:hAnsi="Times New Roman"/>
              <w:b/>
            </w:rPr>
            <w:t xml:space="preserve">3. </w:t>
          </w:r>
          <w:r w:rsidR="00274429" w:rsidRPr="009A46BB">
            <w:rPr>
              <w:rFonts w:ascii="Times New Roman" w:hAnsi="Times New Roman"/>
              <w:b/>
            </w:rPr>
            <w:t>Plan de inversiones:</w:t>
          </w:r>
          <w:r w:rsidR="00274429" w:rsidRPr="009A46BB">
            <w:rPr>
              <w:rFonts w:ascii="Times New Roman" w:hAnsi="Times New Roman"/>
            </w:rPr>
            <w:t xml:space="preserve"> Se estableció en la cláusula sexta del otrosí No. 7 de 2019, la ejecución de inversiones en el periodo de tiempo comprendido entre septiembre 2018 y septiembre 2019.</w:t>
          </w:r>
        </w:p>
        <w:p w14:paraId="6A991959" w14:textId="23F2C4FB" w:rsidR="00274429" w:rsidRPr="009A46BB" w:rsidRDefault="008E10BD" w:rsidP="00274429">
          <w:pPr>
            <w:ind w:left="708" w:hanging="708"/>
            <w:jc w:val="both"/>
            <w:rPr>
              <w:rFonts w:ascii="Times New Roman" w:hAnsi="Times New Roman"/>
            </w:rPr>
          </w:pPr>
          <w:r w:rsidRPr="009A46BB">
            <w:rPr>
              <w:rFonts w:ascii="Times New Roman" w:hAnsi="Times New Roman"/>
              <w:b/>
            </w:rPr>
            <w:t xml:space="preserve">4. </w:t>
          </w:r>
          <w:r w:rsidR="00274429" w:rsidRPr="009A46BB">
            <w:rPr>
              <w:rFonts w:ascii="Times New Roman" w:hAnsi="Times New Roman"/>
              <w:b/>
            </w:rPr>
            <w:t>Multas:</w:t>
          </w:r>
          <w:r w:rsidR="00274429" w:rsidRPr="009A46BB">
            <w:rPr>
              <w:rFonts w:ascii="Times New Roman" w:hAnsi="Times New Roman"/>
            </w:rPr>
            <w:t xml:space="preserve"> están establecidas en la cláusula Novena del Otrosí No. 5 de 2016.</w:t>
          </w:r>
        </w:p>
        <w:p w14:paraId="0E6E5F40" w14:textId="77777777" w:rsidR="00274429" w:rsidRPr="009A46BB" w:rsidRDefault="00274429" w:rsidP="00274429">
          <w:pPr>
            <w:ind w:left="708" w:hanging="708"/>
            <w:jc w:val="both"/>
            <w:rPr>
              <w:rFonts w:ascii="Times New Roman" w:hAnsi="Times New Roman"/>
            </w:rPr>
          </w:pPr>
          <w:r w:rsidRPr="009A46BB">
            <w:rPr>
              <w:rFonts w:ascii="Times New Roman" w:hAnsi="Times New Roman"/>
              <w:b/>
            </w:rPr>
            <w:t>Términos de certeza de flujos de efectivo futuros:</w:t>
          </w:r>
        </w:p>
        <w:p w14:paraId="3B48CDA7" w14:textId="77777777" w:rsidR="00274429" w:rsidRPr="009A46BB" w:rsidRDefault="00274429" w:rsidP="00274429">
          <w:pPr>
            <w:jc w:val="both"/>
            <w:rPr>
              <w:rFonts w:ascii="Times New Roman" w:hAnsi="Times New Roman"/>
            </w:rPr>
          </w:pPr>
          <w:r w:rsidRPr="009A46BB">
            <w:rPr>
              <w:rFonts w:ascii="Times New Roman" w:hAnsi="Times New Roman"/>
            </w:rPr>
            <w:t>Se otorga a EL CONCESIONARIO el derecho de ocupar y utilizar en forma temporal y exclusiva las playas, los terrenos de bajamar y zonas accesorias a aquellas o estos, descritos en la cláusula primera del contrato, a cambio de la contraprestación económica.</w:t>
          </w:r>
        </w:p>
        <w:p w14:paraId="73064A5E" w14:textId="77777777" w:rsidR="00274429" w:rsidRPr="009A46BB" w:rsidRDefault="00274429" w:rsidP="00274429">
          <w:pPr>
            <w:jc w:val="both"/>
            <w:rPr>
              <w:rFonts w:ascii="Times New Roman" w:hAnsi="Times New Roman"/>
            </w:rPr>
          </w:pPr>
          <w:r w:rsidRPr="009A46BB">
            <w:rPr>
              <w:rFonts w:ascii="Times New Roman" w:hAnsi="Times New Roman"/>
            </w:rPr>
            <w:t>Cláusula séptima, numeral 10.1.3 Del valor a pagar por concepto de contraprestación por Zona de Uso público el 80% le corresponde a la Nación-INVIAS y el 20 % al municipio de Santiago de Tolú y por Infraestructura el 100% a la Nación-INVIAS.</w:t>
          </w:r>
        </w:p>
        <w:p w14:paraId="535FFC05" w14:textId="61474153" w:rsidR="00274429" w:rsidRPr="009A46BB" w:rsidRDefault="00274429" w:rsidP="00E60BAB">
          <w:pPr>
            <w:pStyle w:val="Prrafodelista"/>
            <w:numPr>
              <w:ilvl w:val="0"/>
              <w:numId w:val="168"/>
            </w:numPr>
            <w:jc w:val="both"/>
            <w:rPr>
              <w:rFonts w:ascii="Times New Roman" w:hAnsi="Times New Roman"/>
            </w:rPr>
          </w:pPr>
          <w:r w:rsidRPr="009A46BB">
            <w:rPr>
              <w:rFonts w:ascii="Times New Roman" w:hAnsi="Times New Roman"/>
              <w:b/>
            </w:rPr>
            <w:t xml:space="preserve">Naturaleza y alcance del derecho a utilizar activos especificados, de los aspectos pactados en torno a lo que se espera que el concesionario proporcione en relación con el acuerdo de concesión. </w:t>
          </w:r>
        </w:p>
        <w:p w14:paraId="24544008" w14:textId="77777777" w:rsidR="00274429" w:rsidRPr="009A46BB" w:rsidRDefault="00274429" w:rsidP="00274429">
          <w:pPr>
            <w:ind w:left="708" w:hanging="708"/>
            <w:jc w:val="both"/>
            <w:rPr>
              <w:rFonts w:ascii="Times New Roman" w:hAnsi="Times New Roman"/>
              <w:b/>
            </w:rPr>
          </w:pPr>
          <w:r w:rsidRPr="009A46BB">
            <w:rPr>
              <w:rFonts w:ascii="Times New Roman" w:hAnsi="Times New Roman"/>
              <w:b/>
            </w:rPr>
            <w:t>Naturaleza y alcance del derecho de uso de los activos</w:t>
          </w:r>
        </w:p>
        <w:p w14:paraId="4F29422E" w14:textId="77777777" w:rsidR="00274429" w:rsidRPr="009A46BB" w:rsidRDefault="00274429" w:rsidP="00274429">
          <w:pPr>
            <w:ind w:left="708" w:hanging="708"/>
            <w:jc w:val="both"/>
            <w:rPr>
              <w:rFonts w:ascii="Times New Roman" w:hAnsi="Times New Roman"/>
            </w:rPr>
          </w:pPr>
          <w:r w:rsidRPr="009A46BB">
            <w:rPr>
              <w:rFonts w:ascii="Times New Roman" w:hAnsi="Times New Roman"/>
              <w:b/>
            </w:rPr>
            <w:t>Descripción:</w:t>
          </w:r>
        </w:p>
        <w:p w14:paraId="7CDCBF4A" w14:textId="77777777" w:rsidR="00274429" w:rsidRPr="009A46BB" w:rsidRDefault="00274429" w:rsidP="00274429">
          <w:pPr>
            <w:ind w:left="708" w:hanging="708"/>
            <w:jc w:val="both"/>
            <w:rPr>
              <w:rFonts w:ascii="Times New Roman" w:hAnsi="Times New Roman"/>
              <w:b/>
            </w:rPr>
          </w:pPr>
          <w:r w:rsidRPr="009A46BB">
            <w:rPr>
              <w:rFonts w:ascii="Times New Roman" w:hAnsi="Times New Roman"/>
              <w:b/>
            </w:rPr>
            <w:t>Alcance del derecho de uso de los activos:</w:t>
          </w:r>
        </w:p>
        <w:p w14:paraId="3BA37F41" w14:textId="77777777" w:rsidR="00274429" w:rsidRPr="009A46BB" w:rsidRDefault="00274429" w:rsidP="00274429">
          <w:pPr>
            <w:jc w:val="both"/>
            <w:rPr>
              <w:rFonts w:ascii="Times New Roman" w:hAnsi="Times New Roman"/>
            </w:rPr>
          </w:pPr>
          <w:r w:rsidRPr="009A46BB">
            <w:rPr>
              <w:rFonts w:ascii="Times New Roman" w:hAnsi="Times New Roman"/>
              <w:b/>
            </w:rPr>
            <w:t>Descripción del proyecto, especificaciones técnicas, modalidades de operación:</w:t>
          </w:r>
          <w:r w:rsidRPr="009A46BB">
            <w:rPr>
              <w:rFonts w:ascii="Times New Roman" w:hAnsi="Times New Roman"/>
            </w:rPr>
            <w:t xml:space="preserve"> las condiciones especiales de operación del puerto están establecidas en la Cláusula Quinta, la cual fue modificada mediante la Cláusula Tercera del Otrosí No. 5.</w:t>
          </w:r>
        </w:p>
        <w:p w14:paraId="0A55C6BF" w14:textId="77777777" w:rsidR="00274429" w:rsidRPr="009A46BB" w:rsidRDefault="00274429" w:rsidP="00274429">
          <w:pPr>
            <w:jc w:val="both"/>
            <w:rPr>
              <w:rFonts w:ascii="Times New Roman" w:hAnsi="Times New Roman"/>
            </w:rPr>
          </w:pPr>
          <w:r w:rsidRPr="009A46BB">
            <w:rPr>
              <w:rFonts w:ascii="Times New Roman" w:hAnsi="Times New Roman"/>
              <w:b/>
            </w:rPr>
            <w:t>Área entregada en concesión:</w:t>
          </w:r>
          <w:r w:rsidRPr="009A46BB">
            <w:rPr>
              <w:rFonts w:ascii="Times New Roman" w:hAnsi="Times New Roman"/>
            </w:rPr>
            <w:t xml:space="preserve"> La descripción de la ubicación, linderos y extensión de los bienes de uso público (playas y terrenos de baja mar, zonas accesorias) entregados en concesión están establecidos en la Cláusula Segunda del Contrato, ajustada mediante la Cláusula Segunda del Otrosí No. 3 y modificada mediante la Cláusula Primera del Otrosí No. 5.</w:t>
          </w:r>
        </w:p>
        <w:p w14:paraId="17B6309B" w14:textId="77777777" w:rsidR="00274429" w:rsidRPr="009A46BB" w:rsidRDefault="00274429" w:rsidP="00274429">
          <w:pPr>
            <w:ind w:left="708" w:hanging="708"/>
            <w:jc w:val="both"/>
            <w:rPr>
              <w:rFonts w:ascii="Times New Roman" w:hAnsi="Times New Roman"/>
              <w:b/>
            </w:rPr>
          </w:pPr>
          <w:r w:rsidRPr="009A46BB">
            <w:rPr>
              <w:rFonts w:ascii="Times New Roman" w:hAnsi="Times New Roman"/>
              <w:b/>
            </w:rPr>
            <w:t>Retribución al concesionario</w:t>
          </w:r>
        </w:p>
        <w:p w14:paraId="43736C05" w14:textId="77777777" w:rsidR="00274429" w:rsidRPr="009A46BB" w:rsidRDefault="00274429" w:rsidP="00274429">
          <w:pPr>
            <w:jc w:val="both"/>
            <w:rPr>
              <w:rFonts w:ascii="Times New Roman" w:hAnsi="Times New Roman"/>
              <w:b/>
            </w:rPr>
          </w:pPr>
          <w:r w:rsidRPr="009A46BB">
            <w:rPr>
              <w:rFonts w:ascii="Times New Roman" w:hAnsi="Times New Roman"/>
              <w:b/>
            </w:rPr>
            <w:t>Descripción:</w:t>
          </w:r>
          <w:r w:rsidRPr="009A46BB">
            <w:rPr>
              <w:rFonts w:ascii="Times New Roman" w:hAnsi="Times New Roman"/>
              <w:b/>
            </w:rPr>
            <w:tab/>
          </w:r>
          <w:r w:rsidRPr="009A46BB">
            <w:rPr>
              <w:rFonts w:ascii="Times New Roman" w:hAnsi="Times New Roman"/>
            </w:rPr>
            <w:t xml:space="preserve">Cláusula primera Contrato 015 de 1996: Se otorga a EL CONCESIONARIO el derecho de ocupar y utilizar en forma temporal y exclusiva las playas, los terrenos de bajamar y zonas accesorias </w:t>
          </w:r>
          <w:r w:rsidRPr="009A46BB">
            <w:rPr>
              <w:rFonts w:ascii="Times New Roman" w:hAnsi="Times New Roman"/>
            </w:rPr>
            <w:lastRenderedPageBreak/>
            <w:t>a aquellas o estos, descritos en la cláusula segunda del contrato, a cambio de la contraprestación económica.</w:t>
          </w:r>
        </w:p>
        <w:p w14:paraId="3E03E11F" w14:textId="77777777" w:rsidR="00274429" w:rsidRPr="009A46BB" w:rsidRDefault="00274429" w:rsidP="00274429">
          <w:pPr>
            <w:ind w:left="708" w:hanging="708"/>
            <w:jc w:val="both"/>
            <w:rPr>
              <w:rFonts w:ascii="Times New Roman" w:hAnsi="Times New Roman"/>
            </w:rPr>
          </w:pPr>
          <w:r w:rsidRPr="009A46BB">
            <w:rPr>
              <w:rFonts w:ascii="Times New Roman" w:hAnsi="Times New Roman"/>
              <w:b/>
            </w:rPr>
            <w:t>Tasa de retribución:</w:t>
          </w:r>
          <w:r w:rsidRPr="009A46BB">
            <w:rPr>
              <w:rFonts w:ascii="Times New Roman" w:hAnsi="Times New Roman"/>
            </w:rPr>
            <w:tab/>
            <w:t>N/A</w:t>
          </w:r>
        </w:p>
        <w:p w14:paraId="35E02BEB" w14:textId="50D8555E" w:rsidR="00274429" w:rsidRPr="009A46BB" w:rsidRDefault="00274429" w:rsidP="00E60BAB">
          <w:pPr>
            <w:pStyle w:val="Prrafodelista"/>
            <w:numPr>
              <w:ilvl w:val="0"/>
              <w:numId w:val="168"/>
            </w:numPr>
            <w:jc w:val="both"/>
            <w:rPr>
              <w:rFonts w:ascii="Times New Roman" w:hAnsi="Times New Roman"/>
              <w:b/>
            </w:rPr>
          </w:pPr>
          <w:r w:rsidRPr="009A46BB">
            <w:rPr>
              <w:rFonts w:ascii="Times New Roman" w:hAnsi="Times New Roman"/>
              <w:b/>
            </w:rPr>
            <w:t>Derechos a recibir activos especificados al final del acuerdo de concesión</w:t>
          </w:r>
        </w:p>
        <w:p w14:paraId="74019F0C" w14:textId="77777777" w:rsidR="00274429" w:rsidRPr="009A46BB" w:rsidRDefault="00274429" w:rsidP="00274429">
          <w:pPr>
            <w:jc w:val="both"/>
            <w:rPr>
              <w:rFonts w:ascii="Times New Roman" w:hAnsi="Times New Roman"/>
            </w:rPr>
          </w:pPr>
          <w:r w:rsidRPr="009A46BB">
            <w:rPr>
              <w:rFonts w:ascii="Times New Roman" w:hAnsi="Times New Roman"/>
              <w:b/>
            </w:rPr>
            <w:t xml:space="preserve">Descripción: </w:t>
          </w:r>
          <w:r w:rsidRPr="009A46BB">
            <w:rPr>
              <w:rFonts w:ascii="Times New Roman" w:hAnsi="Times New Roman"/>
            </w:rPr>
            <w:t>De acuerdo con el Artículo 8º de la Ley 1 de 1991 en el modo portuario el concesionario no tiene derechos finales sobre activos los debe revertir a la Nación al final del contrato de concesión.</w:t>
          </w:r>
        </w:p>
        <w:p w14:paraId="7D3F96E7" w14:textId="74259F69" w:rsidR="00274429" w:rsidRPr="009A46BB" w:rsidRDefault="00274429" w:rsidP="00274429">
          <w:pPr>
            <w:ind w:left="708" w:hanging="708"/>
            <w:jc w:val="both"/>
            <w:rPr>
              <w:rFonts w:ascii="Times New Roman" w:hAnsi="Times New Roman"/>
            </w:rPr>
          </w:pPr>
          <w:r w:rsidRPr="009A46BB">
            <w:rPr>
              <w:rFonts w:ascii="Times New Roman" w:hAnsi="Times New Roman"/>
              <w:b/>
            </w:rPr>
            <w:t>Observaciones:</w:t>
          </w:r>
          <w:r w:rsidR="00CB1B76" w:rsidRPr="009A46BB">
            <w:rPr>
              <w:rFonts w:ascii="Times New Roman" w:hAnsi="Times New Roman"/>
              <w:b/>
            </w:rPr>
            <w:t xml:space="preserve"> </w:t>
          </w:r>
          <w:r w:rsidR="00CB1B76" w:rsidRPr="009A46BB">
            <w:rPr>
              <w:rFonts w:ascii="Times New Roman" w:hAnsi="Times New Roman"/>
            </w:rPr>
            <w:t>NA</w:t>
          </w:r>
        </w:p>
        <w:p w14:paraId="0B8D0C64" w14:textId="77777777" w:rsidR="00274429" w:rsidRPr="009A46BB" w:rsidRDefault="00274429" w:rsidP="00274429">
          <w:pPr>
            <w:jc w:val="both"/>
            <w:rPr>
              <w:rFonts w:ascii="Times New Roman" w:hAnsi="Times New Roman"/>
            </w:rPr>
          </w:pPr>
          <w:r w:rsidRPr="009A46BB">
            <w:rPr>
              <w:rFonts w:ascii="Times New Roman" w:hAnsi="Times New Roman"/>
              <w:b/>
            </w:rPr>
            <w:t xml:space="preserve">Reversión: </w:t>
          </w:r>
          <w:r w:rsidRPr="009A46BB">
            <w:rPr>
              <w:rFonts w:ascii="Times New Roman" w:hAnsi="Times New Roman"/>
            </w:rPr>
            <w:t>De acuerdo con lo establecido en la cláusula Octava del Otrosí No. 2 de 2005, todas las construcciones e inmuebles por destinación que hayan sido autorizadas, las cuales han de ser levantadas sobre la Zona de uso público, revertirán gratuitamente por el Concesionario.</w:t>
          </w:r>
        </w:p>
        <w:p w14:paraId="3D20FE2B" w14:textId="77777777" w:rsidR="00274429" w:rsidRPr="009A46BB" w:rsidRDefault="00274429" w:rsidP="00274429">
          <w:pPr>
            <w:jc w:val="both"/>
            <w:rPr>
              <w:rFonts w:ascii="Times New Roman" w:hAnsi="Times New Roman"/>
            </w:rPr>
          </w:pPr>
          <w:r w:rsidRPr="009A46BB">
            <w:rPr>
              <w:rFonts w:ascii="Times New Roman" w:hAnsi="Times New Roman"/>
            </w:rPr>
            <w:t>Dichos bienes deberán encontrarse en buen estado de operación y mantenimiento, al extinguirse el plazo inicial de la misma o al ser declarada la caducidad.</w:t>
          </w:r>
        </w:p>
        <w:p w14:paraId="35C3870C" w14:textId="77777777" w:rsidR="00274429" w:rsidRPr="009A46BB" w:rsidRDefault="00274429" w:rsidP="00274429">
          <w:pPr>
            <w:jc w:val="both"/>
            <w:rPr>
              <w:rFonts w:ascii="Times New Roman" w:hAnsi="Times New Roman"/>
            </w:rPr>
          </w:pPr>
          <w:r w:rsidRPr="009A46BB">
            <w:rPr>
              <w:rFonts w:ascii="Times New Roman" w:hAnsi="Times New Roman"/>
            </w:rPr>
            <w:t>Obras Adicionales: De acuerdo con lo establecido en la cláusula Cuarta parágrafo sexto del Otrosí No. 5 de 2016, las obras e Inversiones adicionales deberán ser previamente autorizadas por la ANI, previo campamiento de los requisitos que para estos efectos establezca la Ley y el Contrato de Concesión.</w:t>
          </w:r>
        </w:p>
        <w:p w14:paraId="29209F84" w14:textId="77777777" w:rsidR="00274429" w:rsidRPr="009A46BB" w:rsidRDefault="00274429" w:rsidP="00274429">
          <w:pPr>
            <w:jc w:val="both"/>
            <w:rPr>
              <w:rFonts w:ascii="Times New Roman" w:hAnsi="Times New Roman"/>
            </w:rPr>
          </w:pPr>
          <w:r w:rsidRPr="009A46BB">
            <w:rPr>
              <w:rFonts w:ascii="Times New Roman" w:hAnsi="Times New Roman"/>
            </w:rPr>
            <w:t>Para tal fin, en el momento de la reversión el CONCESIONARIO elaborará un inventario de los bienes y los enviará para su revisión y aprobación.</w:t>
          </w:r>
        </w:p>
        <w:p w14:paraId="639461B8" w14:textId="77777777" w:rsidR="00274429" w:rsidRPr="009A46BB" w:rsidRDefault="00274429" w:rsidP="00274429">
          <w:pPr>
            <w:jc w:val="both"/>
            <w:rPr>
              <w:rFonts w:ascii="Times New Roman" w:hAnsi="Times New Roman"/>
            </w:rPr>
          </w:pPr>
          <w:r w:rsidRPr="009A46BB">
            <w:rPr>
              <w:rFonts w:ascii="Times New Roman" w:hAnsi="Times New Roman"/>
            </w:rPr>
            <w:t>La ANI es la entidad concedente pero la titularidad de los activos al final de la concesión es del Instituto Nacional de Vías INVIAS.</w:t>
          </w:r>
        </w:p>
        <w:p w14:paraId="4E75B6B8" w14:textId="305F4B16" w:rsidR="00274429" w:rsidRPr="009A46BB" w:rsidRDefault="00274429" w:rsidP="00E60BAB">
          <w:pPr>
            <w:pStyle w:val="Prrafodelista"/>
            <w:numPr>
              <w:ilvl w:val="0"/>
              <w:numId w:val="168"/>
            </w:numPr>
            <w:jc w:val="both"/>
            <w:rPr>
              <w:rFonts w:ascii="Times New Roman" w:hAnsi="Times New Roman"/>
              <w:b/>
            </w:rPr>
          </w:pPr>
          <w:r w:rsidRPr="009A46BB">
            <w:rPr>
              <w:rFonts w:ascii="Times New Roman" w:hAnsi="Times New Roman"/>
              <w:b/>
            </w:rPr>
            <w:t>Cambios en el acuerdo de concesión que se realicen durante el periodo fiscal</w:t>
          </w:r>
        </w:p>
        <w:p w14:paraId="14EF99BF" w14:textId="77777777" w:rsidR="00274429" w:rsidRPr="009A46BB" w:rsidRDefault="00274429" w:rsidP="53994544">
          <w:pPr>
            <w:spacing w:after="0"/>
            <w:ind w:left="708" w:hanging="708"/>
            <w:jc w:val="both"/>
            <w:rPr>
              <w:rFonts w:ascii="Times New Roman" w:hAnsi="Times New Roman"/>
              <w:b/>
            </w:rPr>
          </w:pPr>
          <w:r w:rsidRPr="009A46BB">
            <w:rPr>
              <w:rFonts w:ascii="Times New Roman" w:hAnsi="Times New Roman"/>
              <w:b/>
            </w:rPr>
            <w:t>Adiciones o modificaciones en tiempo</w:t>
          </w:r>
        </w:p>
        <w:p w14:paraId="1825C74D" w14:textId="5369CE53" w:rsidR="00274429" w:rsidRPr="009A46BB" w:rsidRDefault="00274429" w:rsidP="53994544">
          <w:pPr>
            <w:spacing w:after="0"/>
            <w:ind w:left="708" w:hanging="708"/>
            <w:jc w:val="both"/>
            <w:rPr>
              <w:rFonts w:ascii="Times New Roman" w:hAnsi="Times New Roman"/>
            </w:rPr>
          </w:pPr>
          <w:r w:rsidRPr="009A46BB">
            <w:rPr>
              <w:rFonts w:ascii="Times New Roman" w:hAnsi="Times New Roman"/>
              <w:b/>
            </w:rPr>
            <w:t>Fechas de las adiciones o modificaciones</w:t>
          </w:r>
          <w:r w:rsidR="00C57257" w:rsidRPr="009A46BB">
            <w:rPr>
              <w:rFonts w:ascii="Times New Roman" w:hAnsi="Times New Roman"/>
              <w:b/>
            </w:rPr>
            <w:t xml:space="preserve">: </w:t>
          </w:r>
          <w:r w:rsidRPr="009A46BB">
            <w:rPr>
              <w:rFonts w:ascii="Times New Roman" w:hAnsi="Times New Roman"/>
            </w:rPr>
            <w:t>23/09/2016</w:t>
          </w:r>
        </w:p>
        <w:p w14:paraId="625A09BC" w14:textId="6D152722" w:rsidR="00274429" w:rsidRPr="009A46BB" w:rsidRDefault="00274429" w:rsidP="53994544">
          <w:pPr>
            <w:spacing w:after="0"/>
            <w:ind w:left="708" w:hanging="708"/>
            <w:jc w:val="both"/>
            <w:rPr>
              <w:rFonts w:ascii="Times New Roman" w:hAnsi="Times New Roman"/>
            </w:rPr>
          </w:pPr>
          <w:r w:rsidRPr="009A46BB">
            <w:rPr>
              <w:rFonts w:ascii="Times New Roman" w:hAnsi="Times New Roman"/>
              <w:b/>
            </w:rPr>
            <w:t>Nueva fecha de finalización estimada</w:t>
          </w:r>
          <w:r w:rsidR="00C57257" w:rsidRPr="009A46BB">
            <w:rPr>
              <w:rFonts w:ascii="Times New Roman" w:hAnsi="Times New Roman"/>
              <w:b/>
            </w:rPr>
            <w:t xml:space="preserve">: </w:t>
          </w:r>
          <w:r w:rsidRPr="009A46BB">
            <w:rPr>
              <w:rFonts w:ascii="Times New Roman" w:hAnsi="Times New Roman"/>
            </w:rPr>
            <w:t>25/09/2036</w:t>
          </w:r>
        </w:p>
        <w:p w14:paraId="6F63C1BF" w14:textId="77777777" w:rsidR="00C57257" w:rsidRPr="009A46BB" w:rsidRDefault="00274429" w:rsidP="53994544">
          <w:pPr>
            <w:spacing w:after="0"/>
            <w:ind w:left="708" w:hanging="708"/>
            <w:jc w:val="both"/>
            <w:rPr>
              <w:rFonts w:ascii="Times New Roman" w:hAnsi="Times New Roman"/>
              <w:b/>
            </w:rPr>
          </w:pPr>
          <w:r w:rsidRPr="009A46BB">
            <w:rPr>
              <w:rFonts w:ascii="Times New Roman" w:hAnsi="Times New Roman"/>
              <w:b/>
            </w:rPr>
            <w:t>Observaciones</w:t>
          </w:r>
          <w:r w:rsidR="00C57257" w:rsidRPr="009A46BB">
            <w:rPr>
              <w:rFonts w:ascii="Times New Roman" w:hAnsi="Times New Roman"/>
              <w:b/>
            </w:rPr>
            <w:t>:</w:t>
          </w:r>
        </w:p>
        <w:p w14:paraId="7C1BA261" w14:textId="4515983D" w:rsidR="00274429" w:rsidRPr="009A46BB" w:rsidRDefault="00274429" w:rsidP="53994544">
          <w:pPr>
            <w:spacing w:after="0"/>
            <w:ind w:left="708" w:hanging="708"/>
            <w:jc w:val="both"/>
            <w:rPr>
              <w:rFonts w:ascii="Times New Roman" w:hAnsi="Times New Roman"/>
            </w:rPr>
          </w:pPr>
          <w:r w:rsidRPr="009A46BB">
            <w:rPr>
              <w:rFonts w:ascii="Times New Roman" w:hAnsi="Times New Roman"/>
            </w:rPr>
            <w:t>Esta prórroga en tiempo quedó establecida en la Cláusula sexta del Otrosí No. 5 de 2016</w:t>
          </w:r>
        </w:p>
        <w:p w14:paraId="4B31544E" w14:textId="77777777" w:rsidR="00274429" w:rsidRPr="009A46BB" w:rsidRDefault="00274429" w:rsidP="00274429">
          <w:pPr>
            <w:ind w:left="708" w:hanging="708"/>
            <w:jc w:val="both"/>
            <w:rPr>
              <w:rFonts w:ascii="Times New Roman" w:hAnsi="Times New Roman"/>
            </w:rPr>
          </w:pPr>
        </w:p>
        <w:p w14:paraId="38C85F8E" w14:textId="2E85A072" w:rsidR="00274429" w:rsidRPr="009A46BB" w:rsidRDefault="00F34422" w:rsidP="00F34422">
          <w:pPr>
            <w:spacing w:line="259" w:lineRule="auto"/>
            <w:jc w:val="both"/>
            <w:rPr>
              <w:rFonts w:ascii="Times New Roman" w:hAnsi="Times New Roman"/>
              <w:b/>
            </w:rPr>
          </w:pPr>
          <w:r w:rsidRPr="009A46BB">
            <w:rPr>
              <w:rFonts w:ascii="Times New Roman" w:hAnsi="Times New Roman"/>
              <w:b/>
            </w:rPr>
            <w:t>OLEODUCTO CENTRAL S.A. – OCENSA</w:t>
          </w:r>
        </w:p>
        <w:p w14:paraId="7A0695BC" w14:textId="680B916F" w:rsidR="00274429" w:rsidRPr="009A46BB" w:rsidRDefault="00274429" w:rsidP="00E60BAB">
          <w:pPr>
            <w:pStyle w:val="Prrafodelista"/>
            <w:numPr>
              <w:ilvl w:val="0"/>
              <w:numId w:val="154"/>
            </w:numPr>
            <w:jc w:val="both"/>
            <w:rPr>
              <w:rFonts w:ascii="Times New Roman" w:hAnsi="Times New Roman"/>
              <w:b/>
            </w:rPr>
          </w:pPr>
          <w:r w:rsidRPr="009A46BB">
            <w:rPr>
              <w:rFonts w:ascii="Times New Roman" w:hAnsi="Times New Roman"/>
              <w:b/>
            </w:rPr>
            <w:t>Descripción del acuerdo</w:t>
          </w:r>
        </w:p>
        <w:p w14:paraId="6CDA0D09" w14:textId="24C176CE" w:rsidR="00274429" w:rsidRPr="009A46BB" w:rsidRDefault="00274429" w:rsidP="53994544">
          <w:pPr>
            <w:spacing w:after="0"/>
            <w:ind w:left="708" w:hanging="708"/>
            <w:jc w:val="both"/>
            <w:rPr>
              <w:rFonts w:ascii="Times New Roman" w:hAnsi="Times New Roman"/>
            </w:rPr>
          </w:pPr>
          <w:r w:rsidRPr="009A46BB">
            <w:rPr>
              <w:rFonts w:ascii="Times New Roman" w:hAnsi="Times New Roman"/>
              <w:b/>
            </w:rPr>
            <w:t>Número del acuerdo de concesión:</w:t>
          </w:r>
          <w:r w:rsidR="00F34422" w:rsidRPr="009A46BB">
            <w:rPr>
              <w:rFonts w:ascii="Times New Roman" w:hAnsi="Times New Roman"/>
              <w:b/>
            </w:rPr>
            <w:t xml:space="preserve"> </w:t>
          </w:r>
          <w:r w:rsidRPr="009A46BB">
            <w:rPr>
              <w:rFonts w:ascii="Times New Roman" w:hAnsi="Times New Roman"/>
            </w:rPr>
            <w:t>Contrato No. 016 de 1996</w:t>
          </w:r>
        </w:p>
        <w:p w14:paraId="3170564C" w14:textId="5C0E91C9" w:rsidR="00274429" w:rsidRPr="009A46BB" w:rsidRDefault="00F34422" w:rsidP="53994544">
          <w:pPr>
            <w:spacing w:after="0"/>
            <w:jc w:val="both"/>
            <w:rPr>
              <w:rFonts w:ascii="Times New Roman" w:hAnsi="Times New Roman"/>
            </w:rPr>
          </w:pPr>
          <w:r w:rsidRPr="009A46BB">
            <w:rPr>
              <w:rFonts w:ascii="Times New Roman" w:hAnsi="Times New Roman"/>
              <w:b/>
            </w:rPr>
            <w:t>Objeto / Descripción:</w:t>
          </w:r>
          <w:r w:rsidRPr="009A46BB">
            <w:rPr>
              <w:rFonts w:ascii="Times New Roman" w:hAnsi="Times New Roman"/>
            </w:rPr>
            <w:t xml:space="preserve"> </w:t>
          </w:r>
          <w:r w:rsidR="00274429" w:rsidRPr="009A46BB">
            <w:rPr>
              <w:rFonts w:ascii="Times New Roman" w:hAnsi="Times New Roman"/>
            </w:rPr>
            <w:t>La Superintendencia General de Puertos (hoy Agencia Nacional de Infraestructura) otorgó a Oleoducto Central S.A. (OCENSA) en calidad de concesionario, una concesión portuaria para la construcción y operación de instalaciones costa afuera de un nuevo terminal petrolero de Coveñas destinado al cargue de crudo de exportación y de servicio privado</w:t>
          </w:r>
        </w:p>
        <w:p w14:paraId="729E0B22" w14:textId="6248F1D2" w:rsidR="00274429" w:rsidRPr="009A46BB" w:rsidRDefault="00274429" w:rsidP="53994544">
          <w:pPr>
            <w:spacing w:after="0"/>
            <w:ind w:left="708" w:hanging="708"/>
            <w:jc w:val="both"/>
            <w:rPr>
              <w:rFonts w:ascii="Times New Roman" w:hAnsi="Times New Roman"/>
            </w:rPr>
          </w:pPr>
          <w:r w:rsidRPr="009A46BB">
            <w:rPr>
              <w:rFonts w:ascii="Times New Roman" w:hAnsi="Times New Roman"/>
              <w:b/>
            </w:rPr>
            <w:t>Valor inicial:</w:t>
          </w:r>
          <w:r w:rsidR="00450D53" w:rsidRPr="009A46BB">
            <w:rPr>
              <w:rFonts w:ascii="Times New Roman" w:hAnsi="Times New Roman"/>
              <w:b/>
            </w:rPr>
            <w:t xml:space="preserve"> </w:t>
          </w:r>
          <w:r w:rsidRPr="009A46BB">
            <w:rPr>
              <w:rFonts w:ascii="Times New Roman" w:hAnsi="Times New Roman"/>
            </w:rPr>
            <w:t>USD $3.081.481,62 Cláusula décima primera del Contrato No. 016 de 1996.</w:t>
          </w:r>
        </w:p>
        <w:p w14:paraId="002463A7" w14:textId="0655785F" w:rsidR="00274429" w:rsidRPr="009A46BB" w:rsidRDefault="00274429" w:rsidP="53994544">
          <w:pPr>
            <w:spacing w:after="0"/>
            <w:ind w:left="708" w:hanging="708"/>
            <w:jc w:val="both"/>
            <w:rPr>
              <w:rFonts w:ascii="Times New Roman" w:hAnsi="Times New Roman"/>
            </w:rPr>
          </w:pPr>
          <w:r w:rsidRPr="009A46BB">
            <w:rPr>
              <w:rFonts w:ascii="Times New Roman" w:hAnsi="Times New Roman"/>
              <w:b/>
            </w:rPr>
            <w:t>Fecha de inicio:</w:t>
          </w:r>
          <w:r w:rsidR="00450D53" w:rsidRPr="009A46BB">
            <w:rPr>
              <w:rFonts w:ascii="Times New Roman" w:hAnsi="Times New Roman"/>
              <w:b/>
            </w:rPr>
            <w:t xml:space="preserve"> </w:t>
          </w:r>
          <w:r w:rsidRPr="009A46BB">
            <w:rPr>
              <w:rFonts w:ascii="Times New Roman" w:hAnsi="Times New Roman"/>
            </w:rPr>
            <w:t>6/12/2016</w:t>
          </w:r>
        </w:p>
        <w:p w14:paraId="66BB593E" w14:textId="71640FA6" w:rsidR="00274429" w:rsidRPr="009A46BB" w:rsidRDefault="00274429" w:rsidP="53994544">
          <w:pPr>
            <w:spacing w:after="0"/>
            <w:ind w:left="708" w:hanging="708"/>
            <w:jc w:val="both"/>
            <w:rPr>
              <w:rFonts w:ascii="Times New Roman" w:hAnsi="Times New Roman"/>
            </w:rPr>
          </w:pPr>
          <w:r w:rsidRPr="009A46BB">
            <w:rPr>
              <w:rFonts w:ascii="Times New Roman" w:hAnsi="Times New Roman"/>
              <w:b/>
            </w:rPr>
            <w:t>Fecha de finalización estimada:</w:t>
          </w:r>
          <w:r w:rsidR="00450D53" w:rsidRPr="009A46BB">
            <w:rPr>
              <w:rFonts w:ascii="Times New Roman" w:hAnsi="Times New Roman"/>
              <w:b/>
            </w:rPr>
            <w:t xml:space="preserve"> </w:t>
          </w:r>
          <w:r w:rsidRPr="009A46BB">
            <w:rPr>
              <w:rFonts w:ascii="Times New Roman" w:hAnsi="Times New Roman"/>
            </w:rPr>
            <w:t>5/12/2036</w:t>
          </w:r>
        </w:p>
        <w:p w14:paraId="21A620D2" w14:textId="3F2967B9" w:rsidR="00274429" w:rsidRPr="009A46BB" w:rsidRDefault="00274429" w:rsidP="53994544">
          <w:pPr>
            <w:spacing w:after="0"/>
            <w:ind w:left="708" w:hanging="708"/>
            <w:jc w:val="both"/>
            <w:rPr>
              <w:rFonts w:ascii="Times New Roman" w:hAnsi="Times New Roman"/>
            </w:rPr>
          </w:pPr>
          <w:r w:rsidRPr="009A46BB">
            <w:rPr>
              <w:rFonts w:ascii="Times New Roman" w:hAnsi="Times New Roman"/>
              <w:b/>
            </w:rPr>
            <w:t>Tipo ID:</w:t>
          </w:r>
          <w:r w:rsidR="00450D53" w:rsidRPr="009A46BB">
            <w:rPr>
              <w:rFonts w:ascii="Times New Roman" w:hAnsi="Times New Roman"/>
              <w:b/>
            </w:rPr>
            <w:t xml:space="preserve"> </w:t>
          </w:r>
          <w:r w:rsidRPr="009A46BB">
            <w:rPr>
              <w:rFonts w:ascii="Times New Roman" w:hAnsi="Times New Roman"/>
            </w:rPr>
            <w:t>NIT</w:t>
          </w:r>
        </w:p>
        <w:p w14:paraId="7E5E398E" w14:textId="0B75D44F" w:rsidR="00274429" w:rsidRPr="009A46BB" w:rsidRDefault="00274429" w:rsidP="53994544">
          <w:pPr>
            <w:spacing w:after="0"/>
            <w:ind w:left="708" w:hanging="708"/>
            <w:jc w:val="both"/>
            <w:rPr>
              <w:rFonts w:ascii="Times New Roman" w:hAnsi="Times New Roman"/>
            </w:rPr>
          </w:pPr>
          <w:r w:rsidRPr="009A46BB">
            <w:rPr>
              <w:rFonts w:ascii="Times New Roman" w:hAnsi="Times New Roman"/>
              <w:b/>
            </w:rPr>
            <w:t>Número ID:</w:t>
          </w:r>
          <w:r w:rsidR="00450D53" w:rsidRPr="009A46BB">
            <w:rPr>
              <w:rFonts w:ascii="Times New Roman" w:hAnsi="Times New Roman"/>
              <w:b/>
            </w:rPr>
            <w:t xml:space="preserve"> </w:t>
          </w:r>
          <w:r w:rsidRPr="009A46BB">
            <w:rPr>
              <w:rFonts w:ascii="Times New Roman" w:hAnsi="Times New Roman"/>
            </w:rPr>
            <w:t xml:space="preserve">800251163-0 </w:t>
          </w:r>
        </w:p>
        <w:p w14:paraId="5B80AB68" w14:textId="3A46F0FD" w:rsidR="00274429" w:rsidRPr="009A46BB" w:rsidRDefault="00274429" w:rsidP="53994544">
          <w:pPr>
            <w:spacing w:after="0"/>
            <w:ind w:left="708" w:hanging="708"/>
            <w:jc w:val="both"/>
            <w:rPr>
              <w:rFonts w:ascii="Times New Roman" w:hAnsi="Times New Roman"/>
            </w:rPr>
          </w:pPr>
          <w:r w:rsidRPr="009A46BB">
            <w:rPr>
              <w:rFonts w:ascii="Times New Roman" w:hAnsi="Times New Roman"/>
              <w:b/>
            </w:rPr>
            <w:t>Razón social del concesionario:</w:t>
          </w:r>
          <w:r w:rsidR="00450D53" w:rsidRPr="009A46BB">
            <w:rPr>
              <w:rFonts w:ascii="Times New Roman" w:hAnsi="Times New Roman"/>
              <w:b/>
            </w:rPr>
            <w:t xml:space="preserve"> </w:t>
          </w:r>
          <w:r w:rsidRPr="009A46BB">
            <w:rPr>
              <w:rFonts w:ascii="Times New Roman" w:hAnsi="Times New Roman"/>
            </w:rPr>
            <w:t>Oleoducto Central S.A. – OCENSA</w:t>
          </w:r>
        </w:p>
        <w:p w14:paraId="187D3855" w14:textId="50DDB490" w:rsidR="00274429" w:rsidRPr="009A46BB" w:rsidRDefault="00274429" w:rsidP="53994544">
          <w:pPr>
            <w:spacing w:after="0"/>
            <w:ind w:left="708" w:hanging="708"/>
            <w:jc w:val="both"/>
            <w:rPr>
              <w:rFonts w:ascii="Times New Roman" w:hAnsi="Times New Roman"/>
            </w:rPr>
          </w:pPr>
          <w:r w:rsidRPr="009A46BB">
            <w:rPr>
              <w:rFonts w:ascii="Times New Roman" w:hAnsi="Times New Roman"/>
              <w:b/>
            </w:rPr>
            <w:lastRenderedPageBreak/>
            <w:t>Nombre del proyecto:</w:t>
          </w:r>
          <w:r w:rsidR="00450D53" w:rsidRPr="009A46BB">
            <w:rPr>
              <w:rFonts w:ascii="Times New Roman" w:hAnsi="Times New Roman"/>
              <w:b/>
            </w:rPr>
            <w:t xml:space="preserve"> </w:t>
          </w:r>
          <w:r w:rsidRPr="009A46BB">
            <w:rPr>
              <w:rFonts w:ascii="Times New Roman" w:hAnsi="Times New Roman"/>
            </w:rPr>
            <w:t>Oleoducto Central S.A. – OCENSA</w:t>
          </w:r>
        </w:p>
        <w:p w14:paraId="40B5340B" w14:textId="2F7F7D71" w:rsidR="53994544" w:rsidRDefault="53994544" w:rsidP="53994544">
          <w:pPr>
            <w:spacing w:after="0"/>
            <w:ind w:left="708" w:hanging="708"/>
            <w:jc w:val="both"/>
            <w:rPr>
              <w:rFonts w:ascii="Times New Roman" w:hAnsi="Times New Roman"/>
            </w:rPr>
          </w:pPr>
        </w:p>
        <w:p w14:paraId="16E6D83E" w14:textId="4E0BDAC7" w:rsidR="00274429" w:rsidRPr="009A46BB" w:rsidRDefault="00274429" w:rsidP="00E60BAB">
          <w:pPr>
            <w:pStyle w:val="Prrafodelista"/>
            <w:numPr>
              <w:ilvl w:val="0"/>
              <w:numId w:val="154"/>
            </w:numPr>
            <w:jc w:val="both"/>
            <w:rPr>
              <w:rFonts w:ascii="Times New Roman" w:hAnsi="Times New Roman"/>
              <w:b/>
            </w:rPr>
          </w:pPr>
          <w:r w:rsidRPr="009A46BB">
            <w:rPr>
              <w:rFonts w:ascii="Times New Roman" w:hAnsi="Times New Roman"/>
              <w:b/>
            </w:rPr>
            <w:t xml:space="preserve">Términos significativos del acuerdo que puedan afectar su valor, el calendario y la certeza de los flujos </w:t>
          </w:r>
        </w:p>
        <w:p w14:paraId="31028151" w14:textId="77777777" w:rsidR="00274429" w:rsidRPr="009A46BB" w:rsidRDefault="00274429" w:rsidP="00274429">
          <w:pPr>
            <w:ind w:left="708" w:hanging="708"/>
            <w:jc w:val="both"/>
            <w:rPr>
              <w:rFonts w:ascii="Times New Roman" w:hAnsi="Times New Roman"/>
            </w:rPr>
          </w:pPr>
          <w:r w:rsidRPr="009A46BB">
            <w:rPr>
              <w:rFonts w:ascii="Times New Roman" w:hAnsi="Times New Roman"/>
              <w:b/>
            </w:rPr>
            <w:t>Términos de valor:</w:t>
          </w:r>
        </w:p>
        <w:p w14:paraId="4827BC25" w14:textId="77777777" w:rsidR="00274429" w:rsidRPr="009A46BB" w:rsidRDefault="00274429" w:rsidP="00274429">
          <w:pPr>
            <w:jc w:val="both"/>
            <w:rPr>
              <w:rFonts w:ascii="Times New Roman" w:hAnsi="Times New Roman"/>
            </w:rPr>
          </w:pPr>
          <w:r w:rsidRPr="009A46BB">
            <w:rPr>
              <w:rFonts w:ascii="Times New Roman" w:hAnsi="Times New Roman"/>
              <w:b/>
            </w:rPr>
            <w:t xml:space="preserve">Tarifas: </w:t>
          </w:r>
          <w:r w:rsidRPr="009A46BB">
            <w:rPr>
              <w:rFonts w:ascii="Times New Roman" w:hAnsi="Times New Roman"/>
            </w:rPr>
            <w:t>La cláusula sexta del Contrato de Concesión Portuaria No. 016 de 1996 establece que: “El Concesionario se compromete a cumplir con el régimen de tarifas, la tasa de vigilancia vigente, y la contraprestación establecida de acuerdo a las normas legales”.</w:t>
          </w:r>
        </w:p>
        <w:p w14:paraId="3769A85D" w14:textId="4808DDA4" w:rsidR="00274429" w:rsidRPr="009A46BB" w:rsidRDefault="00274429" w:rsidP="00274429">
          <w:pPr>
            <w:jc w:val="both"/>
            <w:rPr>
              <w:rFonts w:ascii="Times New Roman" w:hAnsi="Times New Roman"/>
            </w:rPr>
          </w:pPr>
          <w:r w:rsidRPr="009A46BB">
            <w:rPr>
              <w:rFonts w:ascii="Times New Roman" w:hAnsi="Times New Roman"/>
              <w:b/>
            </w:rPr>
            <w:t xml:space="preserve">Contraprestación portuaria: </w:t>
          </w:r>
          <w:r w:rsidRPr="009A46BB">
            <w:rPr>
              <w:rFonts w:ascii="Times New Roman" w:hAnsi="Times New Roman"/>
            </w:rPr>
            <w:t xml:space="preserve">La metodología de contraprestación vigente para la concesión es el CONPES 3744 de 2013 (componentes fijo y variable).El Concesionario pagó por concepto de contraprestación portuaria para el año 2023, la suma total de COP 12.892.438.923, valor que incluye componente fijo y componente variable, y que fue liquidado y pagado conforme a lo establecido en la cláusula segunda del Otrosí No. 5 al Contrato de Concesión Portuaria. </w:t>
          </w:r>
        </w:p>
        <w:p w14:paraId="49AFAD6A" w14:textId="6B5BE9F9" w:rsidR="00274429" w:rsidRPr="009A46BB" w:rsidRDefault="00274429" w:rsidP="00274429">
          <w:pPr>
            <w:jc w:val="both"/>
            <w:rPr>
              <w:rFonts w:ascii="Times New Roman" w:hAnsi="Times New Roman"/>
            </w:rPr>
          </w:pPr>
          <w:r w:rsidRPr="009A46BB">
            <w:rPr>
              <w:rFonts w:ascii="Times New Roman" w:hAnsi="Times New Roman"/>
            </w:rPr>
            <w:t xml:space="preserve">Es preciso mencionar que, en la liquidación de la contraprestación portuaria para el año 2023 se tuvo en cuenta la disminución del componente de infraestructura, toda vez que OCENSA cumplió con lo establecido en el parágrafo de la mencionada cláusula que establece lo siguiente: </w:t>
          </w:r>
        </w:p>
        <w:p w14:paraId="739CAA06" w14:textId="77777777" w:rsidR="00274429" w:rsidRPr="009A46BB" w:rsidRDefault="00274429" w:rsidP="00274429">
          <w:pPr>
            <w:jc w:val="both"/>
            <w:rPr>
              <w:rFonts w:ascii="Times New Roman" w:hAnsi="Times New Roman"/>
            </w:rPr>
          </w:pPr>
          <w:r w:rsidRPr="009A46BB">
            <w:rPr>
              <w:rFonts w:ascii="Times New Roman" w:hAnsi="Times New Roman"/>
            </w:rPr>
            <w:t>“PARÁGRAFO: Para poder efectuar la disminución de la contraprestación por infraestructura a partir del año 6 se requerirá: (i) Reemplazar antes del inicio del año 6 el conjunto de la Monoboya-TLU-2-PLEM (ii) Presentar las respectivas certificaciones técnicas, mecánicas y económicas que soporten el reemplazo realizado (iii) Aportar mínimo dos (2) meses antes de iniciar el año 6 los documentos soporte para el trámite de reversión de la mencionada infraestructura. En caso contrario la Sociedad OCENSA deberá seguir pagando contraprestación por infraestructura respecto a la Monoboya-TLU-2-PLEM”. La disminución por este concepto fue de USD 276.913.</w:t>
          </w:r>
        </w:p>
        <w:p w14:paraId="5C33A54F" w14:textId="77777777" w:rsidR="00274429" w:rsidRPr="009A46BB" w:rsidRDefault="00274429" w:rsidP="00274429">
          <w:pPr>
            <w:jc w:val="both"/>
            <w:rPr>
              <w:rFonts w:ascii="Times New Roman" w:hAnsi="Times New Roman"/>
            </w:rPr>
          </w:pPr>
          <w:r w:rsidRPr="009A46BB">
            <w:rPr>
              <w:rFonts w:ascii="Times New Roman" w:hAnsi="Times New Roman"/>
            </w:rPr>
            <w:t>De otra parte, en relación con la controversia derivada del proceso arbitral de OCENSA contra la ANI, las partes suscribieron un acuerdo el 4 de agosto de 2022, tras la realización de un proceso de mediación adelantado ante la Agencia Nacional de Defensa Jurídica del Estado, y actualmente sometido a conocimiento de la Procuraduría General de la Nación con facultades de conciliación, en virtud del cual, tras concesiones recíprocas, se estableció un reconocimiento por concepto de actualización de la contraprestación marginal, en seguimiento de los lineamientos y previsiones del laudo arbitral que dirimió las disputas entre la ANI y OCENSA. El valor de actualización a reconocer corresponde a la suma de COP 750.174.613,35 el cual fue actualizado conforme el referido acuerdo, constituyéndose un certificado de depósito hasta tanto se surtan las aprobaciones correspondientes en el marco de la conciliación extrajudicial en derecho. La ANI y OCENSA de manera conjunta presentaron solicitud de conciliación extrajudicial el 30 de noviembre de 2022.</w:t>
          </w:r>
        </w:p>
        <w:p w14:paraId="4459AEBA" w14:textId="77777777" w:rsidR="00274429" w:rsidRPr="009A46BB" w:rsidRDefault="00274429" w:rsidP="00274429">
          <w:pPr>
            <w:jc w:val="both"/>
            <w:rPr>
              <w:rFonts w:ascii="Times New Roman" w:hAnsi="Times New Roman"/>
            </w:rPr>
          </w:pPr>
          <w:r w:rsidRPr="009A46BB">
            <w:rPr>
              <w:rFonts w:ascii="Times New Roman" w:hAnsi="Times New Roman"/>
              <w:b/>
            </w:rPr>
            <w:t xml:space="preserve">Plan de Inversiones: </w:t>
          </w:r>
          <w:r w:rsidRPr="009A46BB">
            <w:rPr>
              <w:rFonts w:ascii="Times New Roman" w:hAnsi="Times New Roman"/>
            </w:rPr>
            <w:t>El plan de inversión vigente está establecido en la cláusula primera del Otrosí No. 5 del 24 de septiembre de 2019 y modificado por Acta de fuerza mayor del 04-12-2020 corresponde a valor en USD $108.533.547 constantes de diciembre de 2015.</w:t>
          </w:r>
        </w:p>
        <w:p w14:paraId="3F90E60B" w14:textId="77777777" w:rsidR="00274429" w:rsidRPr="009A46BB" w:rsidRDefault="00274429" w:rsidP="00274429">
          <w:pPr>
            <w:jc w:val="both"/>
            <w:rPr>
              <w:rFonts w:ascii="Times New Roman" w:hAnsi="Times New Roman"/>
            </w:rPr>
          </w:pPr>
          <w:r w:rsidRPr="009A46BB">
            <w:rPr>
              <w:rFonts w:ascii="Times New Roman" w:hAnsi="Times New Roman"/>
              <w:b/>
            </w:rPr>
            <w:t>Obligaciones del Concesionario:</w:t>
          </w:r>
          <w:r w:rsidRPr="009A46BB">
            <w:rPr>
              <w:rFonts w:ascii="Times New Roman" w:hAnsi="Times New Roman"/>
            </w:rPr>
            <w:t xml:space="preserve"> se encuentran descritas en la cláusula séptima del Otrosí No. 3 del 5 de diciembre de 2016. </w:t>
          </w:r>
        </w:p>
        <w:p w14:paraId="34D610FC" w14:textId="77777777" w:rsidR="00274429" w:rsidRPr="009A46BB" w:rsidRDefault="00274429" w:rsidP="00274429">
          <w:pPr>
            <w:jc w:val="both"/>
            <w:rPr>
              <w:rFonts w:ascii="Times New Roman" w:hAnsi="Times New Roman"/>
            </w:rPr>
          </w:pPr>
          <w:r w:rsidRPr="009A46BB">
            <w:rPr>
              <w:rFonts w:ascii="Times New Roman" w:hAnsi="Times New Roman"/>
              <w:b/>
            </w:rPr>
            <w:t>Multas por mora e incumplimiento:</w:t>
          </w:r>
          <w:r w:rsidRPr="009A46BB">
            <w:rPr>
              <w:rFonts w:ascii="Times New Roman" w:hAnsi="Times New Roman"/>
            </w:rPr>
            <w:t xml:space="preserve"> están establecidas en la cláusula octava del Otrosí No. 3 del Contrato de Concesión Portuaria.</w:t>
          </w:r>
        </w:p>
        <w:p w14:paraId="135656FC" w14:textId="77777777" w:rsidR="00274429" w:rsidRPr="009A46BB" w:rsidRDefault="00274429" w:rsidP="00274429">
          <w:pPr>
            <w:jc w:val="both"/>
            <w:rPr>
              <w:rFonts w:ascii="Times New Roman" w:hAnsi="Times New Roman"/>
            </w:rPr>
          </w:pPr>
          <w:r w:rsidRPr="009A46BB">
            <w:rPr>
              <w:rFonts w:ascii="Times New Roman" w:hAnsi="Times New Roman"/>
              <w:b/>
            </w:rPr>
            <w:lastRenderedPageBreak/>
            <w:t xml:space="preserve">Cláusula penal pecuniaria: </w:t>
          </w:r>
          <w:r w:rsidRPr="009A46BB">
            <w:rPr>
              <w:rFonts w:ascii="Times New Roman" w:hAnsi="Times New Roman"/>
            </w:rPr>
            <w:t>En la cláusula novena del Otrosí No. 3 del Contrato de Concesión Portuaria, se establece que en el evento en que el INCO (hoy ANI) declare la caducidad o el incumplimiento del Contrato de Concesión Portuaria, podrá imponer una sanción pecuniaria del 10% del valor total de la contraprestación.</w:t>
          </w:r>
        </w:p>
        <w:p w14:paraId="7253C74D" w14:textId="77777777" w:rsidR="00274429" w:rsidRPr="009A46BB" w:rsidRDefault="00274429" w:rsidP="00274429">
          <w:pPr>
            <w:jc w:val="both"/>
            <w:rPr>
              <w:rFonts w:ascii="Times New Roman" w:hAnsi="Times New Roman"/>
              <w:b/>
            </w:rPr>
          </w:pPr>
          <w:r w:rsidRPr="009A46BB">
            <w:rPr>
              <w:rFonts w:ascii="Times New Roman" w:hAnsi="Times New Roman"/>
              <w:b/>
            </w:rPr>
            <w:t>Términos de calendario:</w:t>
          </w:r>
          <w:r w:rsidRPr="009A46BB">
            <w:rPr>
              <w:rFonts w:ascii="Times New Roman" w:hAnsi="Times New Roman"/>
              <w:b/>
            </w:rPr>
            <w:tab/>
          </w:r>
        </w:p>
        <w:p w14:paraId="1311D94D" w14:textId="77777777" w:rsidR="00274429" w:rsidRPr="009A46BB" w:rsidRDefault="00274429" w:rsidP="00274429">
          <w:pPr>
            <w:jc w:val="both"/>
            <w:rPr>
              <w:rFonts w:ascii="Times New Roman" w:hAnsi="Times New Roman"/>
            </w:rPr>
          </w:pPr>
          <w:r w:rsidRPr="009A46BB">
            <w:rPr>
              <w:rFonts w:ascii="Times New Roman" w:hAnsi="Times New Roman"/>
              <w:b/>
            </w:rPr>
            <w:t xml:space="preserve">Tarifas: </w:t>
          </w:r>
          <w:r w:rsidRPr="009A46BB">
            <w:rPr>
              <w:rFonts w:ascii="Times New Roman" w:hAnsi="Times New Roman"/>
            </w:rPr>
            <w:t>Las tarifas vigentes se encuentran registradas ante la Superintendencia de Transporte, de acuerdo con lo establecido en la Resolución 723 de 1993 y demás normas aplicables.</w:t>
          </w:r>
        </w:p>
        <w:p w14:paraId="2ECA0A0F" w14:textId="77777777" w:rsidR="00274429" w:rsidRPr="009A46BB" w:rsidRDefault="00274429" w:rsidP="00274429">
          <w:pPr>
            <w:jc w:val="both"/>
            <w:rPr>
              <w:rFonts w:ascii="Times New Roman" w:hAnsi="Times New Roman"/>
            </w:rPr>
          </w:pPr>
          <w:r w:rsidRPr="009A46BB">
            <w:rPr>
              <w:rFonts w:ascii="Times New Roman" w:hAnsi="Times New Roman"/>
              <w:b/>
            </w:rPr>
            <w:t xml:space="preserve">Contraprestación portuaria: </w:t>
          </w:r>
          <w:r w:rsidRPr="009A46BB">
            <w:rPr>
              <w:rFonts w:ascii="Times New Roman" w:hAnsi="Times New Roman"/>
            </w:rPr>
            <w:t>la cláusula segunda del Otrosí No. 5 del Contrato de Concesión Portuaria establece que el Concesionario deberá realizar la autoliquidación de su contraprestación portuaria antes de finalizar el mes de febrero de cada año.</w:t>
          </w:r>
        </w:p>
        <w:p w14:paraId="17F0A5F0" w14:textId="172BC88D" w:rsidR="00274429" w:rsidRPr="009A46BB" w:rsidRDefault="00274429" w:rsidP="00274429">
          <w:pPr>
            <w:jc w:val="both"/>
            <w:rPr>
              <w:rFonts w:ascii="Times New Roman" w:hAnsi="Times New Roman"/>
            </w:rPr>
          </w:pPr>
          <w:r w:rsidRPr="009A46BB">
            <w:rPr>
              <w:rFonts w:ascii="Times New Roman" w:hAnsi="Times New Roman"/>
              <w:b/>
            </w:rPr>
            <w:t xml:space="preserve">Plan de inversiones: </w:t>
          </w:r>
          <w:r w:rsidRPr="009A46BB">
            <w:rPr>
              <w:rFonts w:ascii="Times New Roman" w:hAnsi="Times New Roman"/>
            </w:rPr>
            <w:t>Se estableció en la cláusula primera del Otrosí 5 del Contrato de Concesión Portuaria, el cronograma de los proyectos de inversión y programa de trabajos y obras para el periodo de tiempo comprendido entre el año 06 de diciembre de 2016 y el 05 de diciembre de 2036, el cual fue modificado por la cláusula primera del Acta de Declaratoria de ocurrencia de un fenómeno de fuerza mayor con ocasión del Covid-19 suscrita el 4 de diciembre de 2020.</w:t>
          </w:r>
        </w:p>
        <w:p w14:paraId="061A9C6B" w14:textId="77777777" w:rsidR="00274429" w:rsidRPr="009A46BB" w:rsidRDefault="00274429" w:rsidP="00274429">
          <w:pPr>
            <w:jc w:val="both"/>
            <w:rPr>
              <w:rFonts w:ascii="Times New Roman" w:hAnsi="Times New Roman"/>
              <w:b/>
            </w:rPr>
          </w:pPr>
          <w:r w:rsidRPr="009A46BB">
            <w:rPr>
              <w:rFonts w:ascii="Times New Roman" w:hAnsi="Times New Roman"/>
              <w:b/>
            </w:rPr>
            <w:t>Términos de certeza de flujos de efectivo futuros:</w:t>
          </w:r>
        </w:p>
        <w:p w14:paraId="45EF5923" w14:textId="77777777" w:rsidR="00274429" w:rsidRPr="009A46BB" w:rsidRDefault="00274429" w:rsidP="00274429">
          <w:pPr>
            <w:jc w:val="both"/>
            <w:rPr>
              <w:rFonts w:ascii="Times New Roman" w:hAnsi="Times New Roman"/>
            </w:rPr>
          </w:pPr>
          <w:r w:rsidRPr="009A46BB">
            <w:rPr>
              <w:rFonts w:ascii="Times New Roman" w:hAnsi="Times New Roman"/>
            </w:rPr>
            <w:t>En el contrato principal se establece que se otorga al Concesionario el derecho a ocupar y utilizar en forma temporal y exclusiva las playas, los terrenos de bajamar y las zonas accesorias a aquellos o estos, en la Costa del mar Caribe, en el Golfo de Morrosquillo en jurisdicción del Municipio de San Antero, Córdoba, para la construcción y operación de las instalaciones Costa Afuera del Nuevo Terminal Petrolero de Coveñas, destinado al cargue de crudo de exportación.</w:t>
          </w:r>
        </w:p>
        <w:p w14:paraId="0A3B6A43" w14:textId="77777777" w:rsidR="00274429" w:rsidRPr="009A46BB" w:rsidRDefault="00274429" w:rsidP="00274429">
          <w:pPr>
            <w:jc w:val="both"/>
            <w:rPr>
              <w:rFonts w:ascii="Times New Roman" w:hAnsi="Times New Roman"/>
            </w:rPr>
          </w:pPr>
          <w:r w:rsidRPr="009A46BB">
            <w:rPr>
              <w:rFonts w:ascii="Times New Roman" w:hAnsi="Times New Roman"/>
            </w:rPr>
            <w:t>La cláusula segunda del Otrosí No. 5 de 2019 en su numeral 11.3, fija los valores de referencia y distribución de contraprestación se debe pagar por el goce y uso de la Zona de Uso Público el 80% a la NACIÓN – Instituto Nacional de Vías (INVIAS) y el 20% restante al Municipio de San Antero (Córdoba) y por Infraestructura le corresponde 100% a la NACIÓN- Instituto Nacional de Vías (INVIAS).</w:t>
          </w:r>
        </w:p>
        <w:p w14:paraId="246837F3" w14:textId="05B99940" w:rsidR="00274429" w:rsidRPr="009A46BB" w:rsidRDefault="00274429" w:rsidP="00274429">
          <w:pPr>
            <w:jc w:val="both"/>
            <w:rPr>
              <w:rFonts w:ascii="Times New Roman" w:hAnsi="Times New Roman"/>
            </w:rPr>
          </w:pPr>
          <w:r w:rsidRPr="009A46BB">
            <w:rPr>
              <w:rFonts w:ascii="Times New Roman" w:hAnsi="Times New Roman"/>
            </w:rPr>
            <w:t>Es de mencionar que, la metodología aplicable al Contrato de Concesión es la establecida en el CONPES 3744 de 2013, el cual incluye un componente variable.</w:t>
          </w:r>
        </w:p>
        <w:p w14:paraId="4D37342D" w14:textId="2F535FDF" w:rsidR="00274429" w:rsidRPr="009A46BB" w:rsidRDefault="00274429" w:rsidP="00E60BAB">
          <w:pPr>
            <w:pStyle w:val="Prrafodelista"/>
            <w:numPr>
              <w:ilvl w:val="0"/>
              <w:numId w:val="154"/>
            </w:numPr>
            <w:jc w:val="both"/>
            <w:rPr>
              <w:rFonts w:ascii="Times New Roman" w:hAnsi="Times New Roman"/>
              <w:b/>
            </w:rPr>
          </w:pPr>
          <w:r w:rsidRPr="009A46BB">
            <w:rPr>
              <w:rFonts w:ascii="Times New Roman" w:hAnsi="Times New Roman"/>
              <w:b/>
            </w:rPr>
            <w:t xml:space="preserve">Naturaleza y alcance del derecho a utilizar activos especificados, de los aspectos pactados en torno a lo que se espera que el concesionario proporcione en relación con el acuerdo de concesión </w:t>
          </w:r>
        </w:p>
        <w:p w14:paraId="59D98673" w14:textId="77777777" w:rsidR="00274429" w:rsidRPr="009A46BB" w:rsidRDefault="00274429" w:rsidP="00274429">
          <w:pPr>
            <w:jc w:val="both"/>
            <w:rPr>
              <w:rFonts w:ascii="Times New Roman" w:hAnsi="Times New Roman"/>
              <w:b/>
            </w:rPr>
          </w:pPr>
          <w:r w:rsidRPr="009A46BB">
            <w:rPr>
              <w:rFonts w:ascii="Times New Roman" w:hAnsi="Times New Roman"/>
              <w:b/>
            </w:rPr>
            <w:t>Naturaleza y alcance del derecho de uso de los activos</w:t>
          </w:r>
        </w:p>
        <w:p w14:paraId="0907DD65" w14:textId="77777777" w:rsidR="00274429" w:rsidRPr="009A46BB" w:rsidRDefault="00274429" w:rsidP="00274429">
          <w:pPr>
            <w:jc w:val="both"/>
            <w:rPr>
              <w:rFonts w:ascii="Times New Roman" w:hAnsi="Times New Roman"/>
              <w:b/>
            </w:rPr>
          </w:pPr>
          <w:r w:rsidRPr="009A46BB">
            <w:rPr>
              <w:rFonts w:ascii="Times New Roman" w:hAnsi="Times New Roman"/>
              <w:b/>
            </w:rPr>
            <w:t>Descripción:</w:t>
          </w:r>
          <w:r w:rsidRPr="009A46BB">
            <w:rPr>
              <w:rFonts w:ascii="Times New Roman" w:hAnsi="Times New Roman"/>
              <w:b/>
            </w:rPr>
            <w:tab/>
          </w:r>
          <w:r w:rsidRPr="009A46BB">
            <w:rPr>
              <w:rFonts w:ascii="Times New Roman" w:hAnsi="Times New Roman"/>
            </w:rPr>
            <w:t>Las condiciones especiales de operación del puerto están establecidas en la cláusula quinta del Contrato de Concesión Portuaria, aclarando que, con la suscripción el 24 de octubre de 2011 del Otrosí No. 2 al Contrato de Concesión Portuaria, el puerto pasó a ser de servicio público.</w:t>
          </w:r>
        </w:p>
        <w:p w14:paraId="0DC52996" w14:textId="77777777" w:rsidR="00274429" w:rsidRPr="009A46BB" w:rsidRDefault="00274429" w:rsidP="00274429">
          <w:pPr>
            <w:jc w:val="both"/>
            <w:rPr>
              <w:rFonts w:ascii="Times New Roman" w:hAnsi="Times New Roman"/>
            </w:rPr>
          </w:pPr>
          <w:r w:rsidRPr="009A46BB">
            <w:rPr>
              <w:rFonts w:ascii="Times New Roman" w:hAnsi="Times New Roman"/>
              <w:b/>
            </w:rPr>
            <w:t>Área entregada en concesión:</w:t>
          </w:r>
          <w:r w:rsidRPr="009A46BB">
            <w:rPr>
              <w:rFonts w:ascii="Times New Roman" w:hAnsi="Times New Roman"/>
            </w:rPr>
            <w:t xml:space="preserve"> la descripción de la ubicación, linderos y extensión de los bienes de uso público (playas y terrenos de baja mar, zonas marítimas accesorias de maniobras) entregados en concesión están establecidos en la Cláusula Segunda del Contrato que modificada por la Cláusula Primera del Otrosí No. 3.</w:t>
          </w:r>
        </w:p>
        <w:p w14:paraId="5FD91451" w14:textId="77777777" w:rsidR="00274429" w:rsidRPr="009A46BB" w:rsidRDefault="00274429" w:rsidP="00274429">
          <w:pPr>
            <w:jc w:val="both"/>
            <w:rPr>
              <w:rFonts w:ascii="Times New Roman" w:hAnsi="Times New Roman"/>
              <w:b/>
            </w:rPr>
          </w:pPr>
          <w:r w:rsidRPr="009A46BB">
            <w:rPr>
              <w:rFonts w:ascii="Times New Roman" w:hAnsi="Times New Roman"/>
              <w:b/>
            </w:rPr>
            <w:t>Retribución al concesionario</w:t>
          </w:r>
        </w:p>
        <w:p w14:paraId="25ED4371" w14:textId="77777777" w:rsidR="00274429" w:rsidRPr="009A46BB" w:rsidRDefault="00274429" w:rsidP="00274429">
          <w:pPr>
            <w:jc w:val="both"/>
            <w:rPr>
              <w:rFonts w:ascii="Times New Roman" w:hAnsi="Times New Roman"/>
            </w:rPr>
          </w:pPr>
          <w:r w:rsidRPr="009A46BB">
            <w:rPr>
              <w:rFonts w:ascii="Times New Roman" w:hAnsi="Times New Roman"/>
              <w:b/>
            </w:rPr>
            <w:lastRenderedPageBreak/>
            <w:t>Descripción:</w:t>
          </w:r>
          <w:r w:rsidRPr="009A46BB">
            <w:rPr>
              <w:rFonts w:ascii="Times New Roman" w:hAnsi="Times New Roman"/>
            </w:rPr>
            <w:tab/>
            <w:t xml:space="preserve">Parágrafo primero de la cláusula primera del Otrosí 5 del Contrato de Concesión Portuaria que aclaró la cláusula tercera del Otrosí 3, que a su vez modificó la cláusula séptima del Contrato de Concesión. </w:t>
          </w:r>
        </w:p>
        <w:p w14:paraId="1A40FBA1" w14:textId="77777777" w:rsidR="00274429" w:rsidRPr="009A46BB" w:rsidRDefault="00274429" w:rsidP="00274429">
          <w:pPr>
            <w:jc w:val="both"/>
            <w:rPr>
              <w:rFonts w:ascii="Times New Roman" w:hAnsi="Times New Roman"/>
              <w:b/>
            </w:rPr>
          </w:pPr>
          <w:r w:rsidRPr="009A46BB">
            <w:rPr>
              <w:rFonts w:ascii="Times New Roman" w:hAnsi="Times New Roman"/>
              <w:b/>
            </w:rPr>
            <w:t>Tasa de retribución:</w:t>
          </w:r>
          <w:r w:rsidRPr="009A46BB">
            <w:rPr>
              <w:rFonts w:ascii="Times New Roman" w:hAnsi="Times New Roman"/>
              <w:b/>
            </w:rPr>
            <w:tab/>
          </w:r>
          <w:r w:rsidRPr="009A46BB">
            <w:rPr>
              <w:rFonts w:ascii="Times New Roman" w:hAnsi="Times New Roman"/>
            </w:rPr>
            <w:t>N/A</w:t>
          </w:r>
        </w:p>
        <w:p w14:paraId="4A01FE18" w14:textId="21F93A59" w:rsidR="00274429" w:rsidRPr="009A46BB" w:rsidRDefault="00274429" w:rsidP="00E60BAB">
          <w:pPr>
            <w:pStyle w:val="Prrafodelista"/>
            <w:numPr>
              <w:ilvl w:val="0"/>
              <w:numId w:val="154"/>
            </w:numPr>
            <w:jc w:val="both"/>
            <w:rPr>
              <w:rFonts w:ascii="Times New Roman" w:hAnsi="Times New Roman"/>
              <w:b/>
            </w:rPr>
          </w:pPr>
          <w:r w:rsidRPr="009A46BB">
            <w:rPr>
              <w:rFonts w:ascii="Times New Roman" w:hAnsi="Times New Roman"/>
              <w:b/>
            </w:rPr>
            <w:t>Derechos a recibir activos especificados al final del acuerdo de concesión</w:t>
          </w:r>
        </w:p>
        <w:p w14:paraId="497DB7CF" w14:textId="77777777" w:rsidR="00274429" w:rsidRPr="009A46BB" w:rsidRDefault="00274429" w:rsidP="00274429">
          <w:pPr>
            <w:jc w:val="both"/>
            <w:rPr>
              <w:rFonts w:ascii="Times New Roman" w:hAnsi="Times New Roman"/>
            </w:rPr>
          </w:pPr>
          <w:r w:rsidRPr="009A46BB">
            <w:rPr>
              <w:rFonts w:ascii="Times New Roman" w:hAnsi="Times New Roman"/>
              <w:b/>
            </w:rPr>
            <w:t>Descripción:</w:t>
          </w:r>
          <w:r w:rsidRPr="009A46BB">
            <w:rPr>
              <w:rFonts w:ascii="Times New Roman" w:hAnsi="Times New Roman"/>
              <w:b/>
            </w:rPr>
            <w:tab/>
          </w:r>
          <w:r w:rsidRPr="009A46BB">
            <w:rPr>
              <w:rFonts w:ascii="Times New Roman" w:hAnsi="Times New Roman"/>
            </w:rPr>
            <w:t>De acuerdo con el Artículo 8º de la Ley 1 de 1991 en el modo portuario el concesionario no tiene derechos finales sobre la infraestructura, equipos e inmuebles por destinación que se encuentren instalados en las zonas de uso público, por lo cual, deben ser revertidos a la Nación al finalizar el plazo del contrato de concesión. Lo mismo se establece en las cláusulas tercera del otrosí No. 5, décima tercera del Otrosí 3 y décima del Contrato de Concesión Portuaria.</w:t>
          </w:r>
        </w:p>
        <w:p w14:paraId="770158E9" w14:textId="649A95CD" w:rsidR="00274429" w:rsidRPr="009A46BB" w:rsidRDefault="00274429" w:rsidP="00274429">
          <w:pPr>
            <w:jc w:val="both"/>
            <w:rPr>
              <w:rFonts w:ascii="Times New Roman" w:hAnsi="Times New Roman"/>
            </w:rPr>
          </w:pPr>
          <w:r w:rsidRPr="009A46BB">
            <w:rPr>
              <w:rFonts w:ascii="Times New Roman" w:hAnsi="Times New Roman"/>
              <w:b/>
            </w:rPr>
            <w:t>Observaciones:</w:t>
          </w:r>
          <w:r w:rsidR="00450D53" w:rsidRPr="009A46BB">
            <w:rPr>
              <w:rFonts w:ascii="Times New Roman" w:hAnsi="Times New Roman"/>
              <w:b/>
            </w:rPr>
            <w:t xml:space="preserve"> </w:t>
          </w:r>
          <w:r w:rsidR="00450D53" w:rsidRPr="009A46BB">
            <w:rPr>
              <w:rFonts w:ascii="Times New Roman" w:hAnsi="Times New Roman"/>
            </w:rPr>
            <w:t>NA</w:t>
          </w:r>
        </w:p>
        <w:p w14:paraId="09BCE540" w14:textId="77777777" w:rsidR="00274429" w:rsidRPr="009A46BB" w:rsidRDefault="00274429" w:rsidP="00274429">
          <w:pPr>
            <w:jc w:val="both"/>
            <w:rPr>
              <w:rFonts w:ascii="Times New Roman" w:hAnsi="Times New Roman"/>
            </w:rPr>
          </w:pPr>
          <w:r w:rsidRPr="009A46BB">
            <w:rPr>
              <w:rFonts w:ascii="Times New Roman" w:hAnsi="Times New Roman"/>
              <w:b/>
            </w:rPr>
            <w:t xml:space="preserve">Reversión: </w:t>
          </w:r>
          <w:r w:rsidRPr="009A46BB">
            <w:rPr>
              <w:rFonts w:ascii="Times New Roman" w:hAnsi="Times New Roman"/>
            </w:rPr>
            <w:t>De acuerdo con lo establecido en las cláusulas tercera del otrosí No. 5 y décima tercera del Otrosí 3 del Contrato de Concesión Portuaria, las obras ejecutadas dentro de la zona de uso público durante el término de la concesión y su prórroga deberán revertir a la Nación de acuerdo con lo establecido en el Inciso final del artículo 8 de la Ley 1 de 1991 y en los términos de la Cláusula Décima "REVERSIÓN" del Contrato de Concesión Portuaria.</w:t>
          </w:r>
        </w:p>
        <w:p w14:paraId="2EB36C71" w14:textId="77777777" w:rsidR="00274429" w:rsidRPr="009A46BB" w:rsidRDefault="00274429" w:rsidP="00274429">
          <w:pPr>
            <w:jc w:val="both"/>
            <w:rPr>
              <w:rFonts w:ascii="Times New Roman" w:hAnsi="Times New Roman"/>
            </w:rPr>
          </w:pPr>
          <w:r w:rsidRPr="009A46BB">
            <w:rPr>
              <w:rFonts w:ascii="Times New Roman" w:hAnsi="Times New Roman"/>
            </w:rPr>
            <w:t xml:space="preserve">Para tal fin, en el momento de la reversión el Concesionario deberá hacer entrega de un avalúo comercial actualizado y valoración técnica de las condiciones de operación de la infraestructura portuaria, equipos e inmuebles por destinación que habitualmente se encuentren instalados en las zonas de uso público que se revierten y que son propiedad de la Nación. </w:t>
          </w:r>
        </w:p>
        <w:p w14:paraId="3453FAA0" w14:textId="77777777" w:rsidR="00274429" w:rsidRPr="009A46BB" w:rsidRDefault="00274429" w:rsidP="00274429">
          <w:pPr>
            <w:jc w:val="both"/>
            <w:rPr>
              <w:rFonts w:ascii="Times New Roman" w:hAnsi="Times New Roman"/>
            </w:rPr>
          </w:pPr>
          <w:r w:rsidRPr="009A46BB">
            <w:rPr>
              <w:rFonts w:ascii="Times New Roman" w:hAnsi="Times New Roman"/>
            </w:rPr>
            <w:t>A su vez, la cláusula décima primera del Otrosí 3 del Contrato de Concesión Portuaria ordena la creación de un patrimonio autónomo para garantizar los pagos a la interventoría de reversión.</w:t>
          </w:r>
        </w:p>
        <w:p w14:paraId="14C2A238" w14:textId="5035EE06" w:rsidR="00274429" w:rsidRPr="009A46BB" w:rsidRDefault="00274429" w:rsidP="00E60BAB">
          <w:pPr>
            <w:pStyle w:val="Prrafodelista"/>
            <w:numPr>
              <w:ilvl w:val="0"/>
              <w:numId w:val="168"/>
            </w:numPr>
            <w:jc w:val="both"/>
            <w:rPr>
              <w:rFonts w:ascii="Times New Roman" w:hAnsi="Times New Roman"/>
              <w:b/>
            </w:rPr>
          </w:pPr>
          <w:r w:rsidRPr="009A46BB">
            <w:rPr>
              <w:rFonts w:ascii="Times New Roman" w:hAnsi="Times New Roman"/>
              <w:b/>
            </w:rPr>
            <w:t>Cambios en el acuerdo de concesión que se realicen durante el periodo fiscal</w:t>
          </w:r>
        </w:p>
        <w:p w14:paraId="09D60CDF" w14:textId="77777777" w:rsidR="00274429" w:rsidRPr="009A46BB" w:rsidRDefault="00274429" w:rsidP="56D0E606">
          <w:pPr>
            <w:spacing w:after="0"/>
            <w:jc w:val="both"/>
            <w:rPr>
              <w:rFonts w:ascii="Times New Roman" w:hAnsi="Times New Roman"/>
              <w:b/>
            </w:rPr>
          </w:pPr>
          <w:r w:rsidRPr="009A46BB">
            <w:rPr>
              <w:rFonts w:ascii="Times New Roman" w:hAnsi="Times New Roman"/>
              <w:b/>
            </w:rPr>
            <w:t>Adiciones o modificaciones en tiempo</w:t>
          </w:r>
        </w:p>
        <w:p w14:paraId="0950C74A" w14:textId="11BFB64F" w:rsidR="00274429" w:rsidRPr="009A46BB" w:rsidRDefault="00274429" w:rsidP="56D0E606">
          <w:pPr>
            <w:spacing w:after="0"/>
            <w:ind w:left="708" w:hanging="708"/>
            <w:jc w:val="both"/>
            <w:rPr>
              <w:rFonts w:ascii="Times New Roman" w:hAnsi="Times New Roman"/>
            </w:rPr>
          </w:pPr>
          <w:r w:rsidRPr="009A46BB">
            <w:rPr>
              <w:rFonts w:ascii="Times New Roman" w:hAnsi="Times New Roman"/>
              <w:b/>
            </w:rPr>
            <w:t>Fechas de las adiciones o modificaciones</w:t>
          </w:r>
          <w:r w:rsidR="00450D53" w:rsidRPr="009A46BB">
            <w:rPr>
              <w:rFonts w:ascii="Times New Roman" w:hAnsi="Times New Roman"/>
              <w:b/>
            </w:rPr>
            <w:t xml:space="preserve">: </w:t>
          </w:r>
          <w:r w:rsidRPr="009A46BB">
            <w:rPr>
              <w:rFonts w:ascii="Times New Roman" w:hAnsi="Times New Roman"/>
            </w:rPr>
            <w:t>05-12-2016</w:t>
          </w:r>
        </w:p>
        <w:p w14:paraId="39803993" w14:textId="439BC95A" w:rsidR="00274429" w:rsidRPr="009A46BB" w:rsidRDefault="00274429" w:rsidP="56D0E606">
          <w:pPr>
            <w:spacing w:after="0"/>
            <w:ind w:left="708" w:hanging="708"/>
            <w:jc w:val="both"/>
            <w:rPr>
              <w:rFonts w:ascii="Times New Roman" w:hAnsi="Times New Roman"/>
            </w:rPr>
          </w:pPr>
          <w:r w:rsidRPr="009A46BB">
            <w:rPr>
              <w:rFonts w:ascii="Times New Roman" w:hAnsi="Times New Roman"/>
              <w:b/>
            </w:rPr>
            <w:t>Nueva fecha de finalización estimada</w:t>
          </w:r>
          <w:r w:rsidR="00450D53" w:rsidRPr="009A46BB">
            <w:rPr>
              <w:rFonts w:ascii="Times New Roman" w:hAnsi="Times New Roman"/>
              <w:b/>
            </w:rPr>
            <w:t xml:space="preserve">: </w:t>
          </w:r>
          <w:r w:rsidRPr="009A46BB">
            <w:rPr>
              <w:rFonts w:ascii="Times New Roman" w:hAnsi="Times New Roman"/>
            </w:rPr>
            <w:t>05-12-2036</w:t>
          </w:r>
        </w:p>
        <w:p w14:paraId="072D9DAA" w14:textId="00AF87BF" w:rsidR="00274429" w:rsidRPr="009A46BB" w:rsidRDefault="00450D53" w:rsidP="56D0E606">
          <w:pPr>
            <w:spacing w:after="0"/>
            <w:jc w:val="both"/>
            <w:rPr>
              <w:rFonts w:ascii="Times New Roman" w:hAnsi="Times New Roman"/>
            </w:rPr>
          </w:pPr>
          <w:r w:rsidRPr="009A46BB">
            <w:rPr>
              <w:rFonts w:ascii="Times New Roman" w:hAnsi="Times New Roman"/>
              <w:b/>
            </w:rPr>
            <w:t>Observaciones:</w:t>
          </w:r>
          <w:r w:rsidRPr="009A46BB">
            <w:rPr>
              <w:rFonts w:ascii="Times New Roman" w:hAnsi="Times New Roman"/>
            </w:rPr>
            <w:t xml:space="preserve"> </w:t>
          </w:r>
          <w:r w:rsidR="00274429" w:rsidRPr="009A46BB">
            <w:rPr>
              <w:rFonts w:ascii="Times New Roman" w:hAnsi="Times New Roman"/>
            </w:rPr>
            <w:t>Prorroga por 20 años adicionales el Contrato según lo establecido en la cláusula quinta del Otrosí No. 3 de 2016.</w:t>
          </w:r>
        </w:p>
        <w:p w14:paraId="00DADE87" w14:textId="681DBCB2" w:rsidR="56D0E606" w:rsidRDefault="56D0E606" w:rsidP="56D0E606">
          <w:pPr>
            <w:ind w:left="708" w:hanging="708"/>
            <w:jc w:val="both"/>
            <w:rPr>
              <w:rFonts w:ascii="Times New Roman" w:hAnsi="Times New Roman"/>
              <w:b/>
              <w:bCs/>
            </w:rPr>
          </w:pPr>
        </w:p>
        <w:p w14:paraId="7C062D64" w14:textId="77777777" w:rsidR="00274429" w:rsidRPr="009A46BB" w:rsidRDefault="00274429" w:rsidP="56D0E606">
          <w:pPr>
            <w:spacing w:after="0"/>
            <w:ind w:left="708" w:hanging="708"/>
            <w:jc w:val="both"/>
            <w:rPr>
              <w:rFonts w:ascii="Times New Roman" w:hAnsi="Times New Roman"/>
              <w:b/>
            </w:rPr>
          </w:pPr>
          <w:r w:rsidRPr="009A46BB">
            <w:rPr>
              <w:rFonts w:ascii="Times New Roman" w:hAnsi="Times New Roman"/>
              <w:b/>
            </w:rPr>
            <w:t>Adiciones o modificaciones en valor</w:t>
          </w:r>
        </w:p>
        <w:p w14:paraId="1B0E9EE3" w14:textId="128F024F" w:rsidR="00274429" w:rsidRPr="009A46BB" w:rsidRDefault="00274429" w:rsidP="56D0E606">
          <w:pPr>
            <w:spacing w:after="0"/>
            <w:ind w:left="708" w:hanging="708"/>
            <w:jc w:val="both"/>
            <w:rPr>
              <w:rFonts w:ascii="Times New Roman" w:hAnsi="Times New Roman"/>
              <w:b/>
            </w:rPr>
          </w:pPr>
          <w:r w:rsidRPr="009A46BB">
            <w:rPr>
              <w:rFonts w:ascii="Times New Roman" w:hAnsi="Times New Roman"/>
              <w:b/>
            </w:rPr>
            <w:t>Valor de la adición o modificación</w:t>
          </w:r>
          <w:r w:rsidR="00450D53" w:rsidRPr="009A46BB">
            <w:rPr>
              <w:rFonts w:ascii="Times New Roman" w:hAnsi="Times New Roman"/>
              <w:b/>
            </w:rPr>
            <w:t xml:space="preserve">: </w:t>
          </w:r>
          <w:r w:rsidRPr="009A46BB">
            <w:rPr>
              <w:rFonts w:ascii="Times New Roman" w:hAnsi="Times New Roman"/>
            </w:rPr>
            <w:t>108.533.547 USD Constantes de dic de 2015.</w:t>
          </w:r>
        </w:p>
        <w:p w14:paraId="58957424" w14:textId="2A0DED8D" w:rsidR="00274429" w:rsidRPr="009A46BB" w:rsidRDefault="00274429" w:rsidP="56D0E606">
          <w:pPr>
            <w:spacing w:after="0"/>
            <w:ind w:left="708" w:hanging="708"/>
            <w:jc w:val="both"/>
            <w:rPr>
              <w:rFonts w:ascii="Times New Roman" w:hAnsi="Times New Roman"/>
            </w:rPr>
          </w:pPr>
          <w:r w:rsidRPr="009A46BB">
            <w:rPr>
              <w:rFonts w:ascii="Times New Roman" w:hAnsi="Times New Roman"/>
              <w:b/>
            </w:rPr>
            <w:t>Nuevo valor del acuerdo</w:t>
          </w:r>
          <w:r w:rsidR="00450D53" w:rsidRPr="009A46BB">
            <w:rPr>
              <w:rFonts w:ascii="Times New Roman" w:hAnsi="Times New Roman"/>
              <w:b/>
            </w:rPr>
            <w:t xml:space="preserve">: </w:t>
          </w:r>
          <w:r w:rsidRPr="009A46BB">
            <w:rPr>
              <w:rFonts w:ascii="Times New Roman" w:hAnsi="Times New Roman"/>
            </w:rPr>
            <w:t>108.533.547 USD Constantes de dic de 2015.</w:t>
          </w:r>
        </w:p>
        <w:p w14:paraId="78956397" w14:textId="735EF364" w:rsidR="00274429" w:rsidRPr="009A46BB" w:rsidRDefault="00274429" w:rsidP="56D0E606">
          <w:pPr>
            <w:spacing w:after="0"/>
            <w:ind w:left="708" w:hanging="708"/>
            <w:jc w:val="both"/>
            <w:rPr>
              <w:rFonts w:ascii="Times New Roman" w:hAnsi="Times New Roman"/>
            </w:rPr>
          </w:pPr>
          <w:r w:rsidRPr="009A46BB">
            <w:rPr>
              <w:rFonts w:ascii="Times New Roman" w:hAnsi="Times New Roman"/>
              <w:b/>
            </w:rPr>
            <w:t>Observaciones</w:t>
          </w:r>
          <w:r w:rsidR="00450D53" w:rsidRPr="009A46BB">
            <w:rPr>
              <w:rFonts w:ascii="Times New Roman" w:hAnsi="Times New Roman"/>
              <w:b/>
            </w:rPr>
            <w:t>:</w:t>
          </w:r>
        </w:p>
        <w:p w14:paraId="161A81E2" w14:textId="43CD433E" w:rsidR="00274429" w:rsidRPr="009A46BB" w:rsidRDefault="00274429" w:rsidP="56D0E606">
          <w:pPr>
            <w:spacing w:after="0"/>
            <w:ind w:left="708" w:hanging="708"/>
            <w:jc w:val="both"/>
            <w:rPr>
              <w:rFonts w:ascii="Times New Roman" w:hAnsi="Times New Roman"/>
            </w:rPr>
          </w:pPr>
          <w:r w:rsidRPr="009A46BB">
            <w:rPr>
              <w:rFonts w:ascii="Times New Roman" w:hAnsi="Times New Roman"/>
            </w:rPr>
            <w:t>Corresponde al valor del Plan de Inversión según la cláusula primera del Otrosí No. 5 de 2019.</w:t>
          </w:r>
        </w:p>
        <w:p w14:paraId="0FC273E4" w14:textId="4EEC06C0" w:rsidR="00274429" w:rsidRPr="009A46BB" w:rsidRDefault="00274429" w:rsidP="56D0E606">
          <w:pPr>
            <w:spacing w:after="0"/>
            <w:ind w:left="708" w:hanging="708"/>
            <w:jc w:val="both"/>
            <w:rPr>
              <w:rFonts w:ascii="Times New Roman" w:hAnsi="Times New Roman"/>
            </w:rPr>
          </w:pPr>
          <w:r w:rsidRPr="009A46BB">
            <w:rPr>
              <w:rFonts w:ascii="Times New Roman" w:hAnsi="Times New Roman"/>
              <w:b/>
            </w:rPr>
            <w:t>Valor de la adición o modificación</w:t>
          </w:r>
          <w:r w:rsidR="006A1CB6" w:rsidRPr="009A46BB">
            <w:rPr>
              <w:rFonts w:ascii="Times New Roman" w:hAnsi="Times New Roman"/>
              <w:b/>
            </w:rPr>
            <w:t xml:space="preserve">: </w:t>
          </w:r>
          <w:r w:rsidRPr="009A46BB">
            <w:rPr>
              <w:rFonts w:ascii="Times New Roman" w:hAnsi="Times New Roman"/>
            </w:rPr>
            <w:t>15.418.928 USD Constantes de dic de 2015.</w:t>
          </w:r>
        </w:p>
        <w:p w14:paraId="29EBC6ED" w14:textId="522E548B" w:rsidR="00274429" w:rsidRPr="009A46BB" w:rsidRDefault="00274429" w:rsidP="56D0E606">
          <w:pPr>
            <w:spacing w:after="0"/>
            <w:ind w:left="708" w:hanging="708"/>
            <w:jc w:val="both"/>
            <w:rPr>
              <w:rFonts w:ascii="Times New Roman" w:hAnsi="Times New Roman"/>
            </w:rPr>
          </w:pPr>
          <w:r w:rsidRPr="009A46BB">
            <w:rPr>
              <w:rFonts w:ascii="Times New Roman" w:hAnsi="Times New Roman"/>
              <w:b/>
            </w:rPr>
            <w:t>Nuevo valor del acuerdo</w:t>
          </w:r>
          <w:r w:rsidR="006A1CB6" w:rsidRPr="009A46BB">
            <w:rPr>
              <w:rFonts w:ascii="Times New Roman" w:hAnsi="Times New Roman"/>
              <w:b/>
            </w:rPr>
            <w:t xml:space="preserve">: </w:t>
          </w:r>
          <w:r w:rsidRPr="009A46BB">
            <w:rPr>
              <w:rFonts w:ascii="Times New Roman" w:hAnsi="Times New Roman"/>
            </w:rPr>
            <w:t>15.418.928 USD Constantes de dic de 2015.</w:t>
          </w:r>
        </w:p>
        <w:p w14:paraId="553B39F4" w14:textId="4FCBD562" w:rsidR="00274429" w:rsidRPr="009A46BB" w:rsidRDefault="00274429" w:rsidP="56D0E606">
          <w:pPr>
            <w:spacing w:after="0"/>
            <w:ind w:left="708" w:hanging="708"/>
            <w:jc w:val="both"/>
            <w:rPr>
              <w:rFonts w:ascii="Times New Roman" w:hAnsi="Times New Roman"/>
            </w:rPr>
          </w:pPr>
          <w:r w:rsidRPr="009A46BB">
            <w:rPr>
              <w:rFonts w:ascii="Times New Roman" w:hAnsi="Times New Roman"/>
              <w:b/>
            </w:rPr>
            <w:t>Observaciones</w:t>
          </w:r>
          <w:r w:rsidR="006A1CB6" w:rsidRPr="009A46BB">
            <w:rPr>
              <w:rFonts w:ascii="Times New Roman" w:hAnsi="Times New Roman"/>
              <w:b/>
            </w:rPr>
            <w:t>:</w:t>
          </w:r>
        </w:p>
        <w:p w14:paraId="5C2B26E5" w14:textId="77777777" w:rsidR="00274429" w:rsidRPr="009A46BB" w:rsidRDefault="00274429" w:rsidP="56D0E606">
          <w:pPr>
            <w:spacing w:after="0"/>
            <w:ind w:left="708" w:hanging="708"/>
            <w:jc w:val="both"/>
            <w:rPr>
              <w:rFonts w:ascii="Times New Roman" w:hAnsi="Times New Roman"/>
            </w:rPr>
          </w:pPr>
          <w:r w:rsidRPr="009A46BB">
            <w:rPr>
              <w:rFonts w:ascii="Times New Roman" w:hAnsi="Times New Roman"/>
            </w:rPr>
            <w:t>Corresponde al valor de contraprestación según la cláusula segunda del Otrosí No. 5 de 2019.</w:t>
          </w:r>
        </w:p>
        <w:p w14:paraId="7E80168C" w14:textId="77777777" w:rsidR="00274429" w:rsidRPr="009A46BB" w:rsidRDefault="00274429" w:rsidP="00274429">
          <w:pPr>
            <w:ind w:left="708" w:hanging="708"/>
            <w:jc w:val="both"/>
            <w:rPr>
              <w:rFonts w:ascii="Times New Roman" w:hAnsi="Times New Roman"/>
            </w:rPr>
          </w:pPr>
        </w:p>
        <w:p w14:paraId="5080F513" w14:textId="58BE5755" w:rsidR="00274429" w:rsidRPr="009A46BB" w:rsidRDefault="00F834F4" w:rsidP="00F834F4">
          <w:pPr>
            <w:spacing w:line="259" w:lineRule="auto"/>
            <w:jc w:val="both"/>
            <w:rPr>
              <w:rFonts w:ascii="Times New Roman" w:hAnsi="Times New Roman"/>
              <w:b/>
            </w:rPr>
          </w:pPr>
          <w:r w:rsidRPr="009A46BB">
            <w:rPr>
              <w:rFonts w:ascii="Times New Roman" w:hAnsi="Times New Roman"/>
              <w:b/>
            </w:rPr>
            <w:t>GRUPO PORTUARIO S.A. - LOTE EL VACÍO</w:t>
          </w:r>
        </w:p>
        <w:p w14:paraId="7E46C8A5" w14:textId="14C601FC" w:rsidR="00274429" w:rsidRPr="009A46BB" w:rsidRDefault="00274429" w:rsidP="00E60BAB">
          <w:pPr>
            <w:pStyle w:val="Prrafodelista"/>
            <w:numPr>
              <w:ilvl w:val="0"/>
              <w:numId w:val="153"/>
            </w:numPr>
            <w:jc w:val="both"/>
            <w:rPr>
              <w:rFonts w:ascii="Times New Roman" w:hAnsi="Times New Roman"/>
              <w:b/>
            </w:rPr>
          </w:pPr>
          <w:r w:rsidRPr="009A46BB">
            <w:rPr>
              <w:rFonts w:ascii="Times New Roman" w:hAnsi="Times New Roman"/>
              <w:b/>
            </w:rPr>
            <w:t>Descripción del acuerdo</w:t>
          </w:r>
        </w:p>
        <w:p w14:paraId="2D8A5AA0" w14:textId="6EAE5972" w:rsidR="00274429" w:rsidRPr="009A46BB" w:rsidRDefault="00274429" w:rsidP="56D0E606">
          <w:pPr>
            <w:spacing w:after="0"/>
            <w:ind w:left="708" w:hanging="708"/>
            <w:jc w:val="both"/>
            <w:rPr>
              <w:rFonts w:ascii="Times New Roman" w:hAnsi="Times New Roman"/>
            </w:rPr>
          </w:pPr>
          <w:r w:rsidRPr="009A46BB">
            <w:rPr>
              <w:rFonts w:ascii="Times New Roman" w:hAnsi="Times New Roman"/>
              <w:b/>
            </w:rPr>
            <w:lastRenderedPageBreak/>
            <w:t>Número del acuerdo de concesión:</w:t>
          </w:r>
          <w:r w:rsidR="00F834F4" w:rsidRPr="009A46BB">
            <w:rPr>
              <w:rFonts w:ascii="Times New Roman" w:hAnsi="Times New Roman"/>
              <w:b/>
            </w:rPr>
            <w:t xml:space="preserve"> </w:t>
          </w:r>
          <w:r w:rsidRPr="009A46BB">
            <w:rPr>
              <w:rFonts w:ascii="Times New Roman" w:hAnsi="Times New Roman"/>
            </w:rPr>
            <w:t>Contrato de Concesión Portuaria No. 018 de 1997</w:t>
          </w:r>
        </w:p>
        <w:p w14:paraId="78B28086" w14:textId="0B39EF4B" w:rsidR="00274429" w:rsidRPr="009A46BB" w:rsidRDefault="00F834F4" w:rsidP="56D0E606">
          <w:pPr>
            <w:spacing w:after="0"/>
            <w:jc w:val="both"/>
            <w:rPr>
              <w:rFonts w:ascii="Times New Roman" w:hAnsi="Times New Roman"/>
            </w:rPr>
          </w:pPr>
          <w:r w:rsidRPr="009A46BB">
            <w:rPr>
              <w:rFonts w:ascii="Times New Roman" w:hAnsi="Times New Roman"/>
              <w:b/>
            </w:rPr>
            <w:t>Objeto / Descripción:</w:t>
          </w:r>
          <w:r w:rsidRPr="009A46BB">
            <w:rPr>
              <w:rFonts w:ascii="Times New Roman" w:hAnsi="Times New Roman"/>
            </w:rPr>
            <w:t xml:space="preserve"> </w:t>
          </w:r>
          <w:r w:rsidR="00274429" w:rsidRPr="009A46BB">
            <w:rPr>
              <w:rFonts w:ascii="Times New Roman" w:hAnsi="Times New Roman"/>
            </w:rPr>
            <w:t>En virtud del Contrato de concesión y sus modificaciones, se permite al CONCESIONARIO la ocupación en forma temporal y exclusiva de un lote de terreno ubicado en zona de bajamar considerado como zona de Uso Público, denominado “Vacío”. Dicho terreno no tiene acceso directo o salida al océano pacifico, su principal objetivo social es la administración, explotación y usufructo del terreno objeto de la concesión portuaria, destinado a la prestación de servicios relacionados con actividades portuarias de servicio público, conforme lo establece la Cláusula Primera del Contrato.</w:t>
          </w:r>
        </w:p>
        <w:p w14:paraId="6A05888A" w14:textId="77777777" w:rsidR="00274429" w:rsidRPr="009A46BB" w:rsidRDefault="00274429" w:rsidP="00730054">
          <w:pPr>
            <w:spacing w:after="0"/>
            <w:ind w:left="708" w:hanging="708"/>
            <w:jc w:val="both"/>
            <w:rPr>
              <w:rFonts w:ascii="Times New Roman" w:hAnsi="Times New Roman"/>
            </w:rPr>
          </w:pPr>
          <w:r w:rsidRPr="009A46BB">
            <w:rPr>
              <w:rFonts w:ascii="Times New Roman" w:hAnsi="Times New Roman"/>
              <w:b/>
            </w:rPr>
            <w:t>Valor inicial:</w:t>
          </w:r>
          <w:r w:rsidRPr="009A46BB">
            <w:rPr>
              <w:rFonts w:ascii="Times New Roman" w:hAnsi="Times New Roman"/>
            </w:rPr>
            <w:t xml:space="preserve"> USD 273.623,22 - Cláusula Novena / Contrato de Concesión Portuaria No. 018 de 1997.</w:t>
          </w:r>
        </w:p>
        <w:p w14:paraId="7153FDC2" w14:textId="77777777" w:rsidR="00274429" w:rsidRPr="009A46BB" w:rsidRDefault="00274429" w:rsidP="00730054">
          <w:pPr>
            <w:spacing w:after="0"/>
            <w:ind w:left="708" w:hanging="708"/>
            <w:jc w:val="both"/>
            <w:rPr>
              <w:rFonts w:ascii="Times New Roman" w:hAnsi="Times New Roman"/>
            </w:rPr>
          </w:pPr>
          <w:r w:rsidRPr="009A46BB">
            <w:rPr>
              <w:rFonts w:ascii="Times New Roman" w:hAnsi="Times New Roman"/>
              <w:b/>
            </w:rPr>
            <w:t xml:space="preserve">Valor actualizado: </w:t>
          </w:r>
          <w:r w:rsidRPr="009A46BB">
            <w:rPr>
              <w:rFonts w:ascii="Times New Roman" w:hAnsi="Times New Roman"/>
            </w:rPr>
            <w:t>USD 1.193.007 Cláusula Quinta Otrosí No 01 de 2016.</w:t>
          </w:r>
        </w:p>
        <w:p w14:paraId="7349E868" w14:textId="1310E0CB" w:rsidR="00274429" w:rsidRPr="009A46BB" w:rsidRDefault="00274429" w:rsidP="00730054">
          <w:pPr>
            <w:spacing w:after="0"/>
            <w:ind w:left="708" w:hanging="708"/>
            <w:jc w:val="both"/>
            <w:rPr>
              <w:rFonts w:ascii="Times New Roman" w:hAnsi="Times New Roman"/>
            </w:rPr>
          </w:pPr>
          <w:r w:rsidRPr="009A46BB">
            <w:rPr>
              <w:rFonts w:ascii="Times New Roman" w:hAnsi="Times New Roman"/>
              <w:b/>
            </w:rPr>
            <w:t>Fecha de inicio:</w:t>
          </w:r>
          <w:r w:rsidR="00F834F4" w:rsidRPr="009A46BB">
            <w:rPr>
              <w:rFonts w:ascii="Times New Roman" w:hAnsi="Times New Roman"/>
              <w:b/>
            </w:rPr>
            <w:t xml:space="preserve"> </w:t>
          </w:r>
          <w:r w:rsidRPr="009A46BB">
            <w:rPr>
              <w:rFonts w:ascii="Times New Roman" w:hAnsi="Times New Roman"/>
            </w:rPr>
            <w:t>4/03/1997</w:t>
          </w:r>
        </w:p>
        <w:p w14:paraId="5F3007CF" w14:textId="3D794463" w:rsidR="00274429" w:rsidRPr="009A46BB" w:rsidRDefault="00274429" w:rsidP="00730054">
          <w:pPr>
            <w:spacing w:after="0"/>
            <w:ind w:left="708" w:hanging="708"/>
            <w:jc w:val="both"/>
            <w:rPr>
              <w:rFonts w:ascii="Times New Roman" w:hAnsi="Times New Roman"/>
            </w:rPr>
          </w:pPr>
          <w:r w:rsidRPr="009A46BB">
            <w:rPr>
              <w:rFonts w:ascii="Times New Roman" w:hAnsi="Times New Roman"/>
              <w:b/>
            </w:rPr>
            <w:t>Fecha de finalización estimada:</w:t>
          </w:r>
          <w:r w:rsidR="00F834F4" w:rsidRPr="009A46BB">
            <w:rPr>
              <w:rFonts w:ascii="Times New Roman" w:hAnsi="Times New Roman"/>
              <w:b/>
            </w:rPr>
            <w:t xml:space="preserve"> </w:t>
          </w:r>
          <w:r w:rsidRPr="009A46BB">
            <w:rPr>
              <w:rFonts w:ascii="Times New Roman" w:hAnsi="Times New Roman"/>
            </w:rPr>
            <w:t>3/03/2037</w:t>
          </w:r>
        </w:p>
        <w:p w14:paraId="6918465F" w14:textId="520C32A4" w:rsidR="00274429" w:rsidRPr="009A46BB" w:rsidRDefault="00274429" w:rsidP="00730054">
          <w:pPr>
            <w:spacing w:after="0"/>
            <w:ind w:left="708" w:hanging="708"/>
            <w:jc w:val="both"/>
            <w:rPr>
              <w:rFonts w:ascii="Times New Roman" w:hAnsi="Times New Roman"/>
            </w:rPr>
          </w:pPr>
          <w:r w:rsidRPr="009A46BB">
            <w:rPr>
              <w:rFonts w:ascii="Times New Roman" w:hAnsi="Times New Roman"/>
              <w:b/>
            </w:rPr>
            <w:t>Tipo ID:</w:t>
          </w:r>
          <w:r w:rsidR="00F834F4" w:rsidRPr="009A46BB">
            <w:rPr>
              <w:rFonts w:ascii="Times New Roman" w:hAnsi="Times New Roman"/>
              <w:b/>
            </w:rPr>
            <w:t xml:space="preserve"> </w:t>
          </w:r>
          <w:r w:rsidRPr="009A46BB">
            <w:rPr>
              <w:rFonts w:ascii="Times New Roman" w:hAnsi="Times New Roman"/>
            </w:rPr>
            <w:t>NIT</w:t>
          </w:r>
        </w:p>
        <w:p w14:paraId="245C7213" w14:textId="0506016E" w:rsidR="00274429" w:rsidRPr="009A46BB" w:rsidRDefault="00274429" w:rsidP="00730054">
          <w:pPr>
            <w:spacing w:after="0"/>
            <w:ind w:left="708" w:hanging="708"/>
            <w:jc w:val="both"/>
            <w:rPr>
              <w:rFonts w:ascii="Times New Roman" w:hAnsi="Times New Roman"/>
            </w:rPr>
          </w:pPr>
          <w:r w:rsidRPr="009A46BB">
            <w:rPr>
              <w:rFonts w:ascii="Times New Roman" w:hAnsi="Times New Roman"/>
              <w:b/>
            </w:rPr>
            <w:t>Número ID:</w:t>
          </w:r>
          <w:r w:rsidR="00F834F4" w:rsidRPr="009A46BB">
            <w:rPr>
              <w:rFonts w:ascii="Times New Roman" w:hAnsi="Times New Roman"/>
              <w:b/>
            </w:rPr>
            <w:t xml:space="preserve"> </w:t>
          </w:r>
          <w:r w:rsidRPr="009A46BB">
            <w:rPr>
              <w:rFonts w:ascii="Times New Roman" w:hAnsi="Times New Roman"/>
            </w:rPr>
            <w:t>830.020.263-7</w:t>
          </w:r>
        </w:p>
        <w:p w14:paraId="1BE39AE9" w14:textId="049A06E1" w:rsidR="00274429" w:rsidRPr="009A46BB" w:rsidRDefault="00274429" w:rsidP="00730054">
          <w:pPr>
            <w:spacing w:after="0"/>
            <w:ind w:left="708" w:hanging="708"/>
            <w:jc w:val="both"/>
            <w:rPr>
              <w:rFonts w:ascii="Times New Roman" w:hAnsi="Times New Roman"/>
            </w:rPr>
          </w:pPr>
          <w:r w:rsidRPr="009A46BB">
            <w:rPr>
              <w:rFonts w:ascii="Times New Roman" w:hAnsi="Times New Roman"/>
              <w:b/>
            </w:rPr>
            <w:t>Razón social del concesionario:</w:t>
          </w:r>
          <w:r w:rsidR="00F834F4" w:rsidRPr="009A46BB">
            <w:rPr>
              <w:rFonts w:ascii="Times New Roman" w:hAnsi="Times New Roman"/>
              <w:b/>
            </w:rPr>
            <w:t xml:space="preserve"> </w:t>
          </w:r>
          <w:r w:rsidRPr="009A46BB">
            <w:rPr>
              <w:rFonts w:ascii="Times New Roman" w:hAnsi="Times New Roman"/>
            </w:rPr>
            <w:t>Grupo Portuario S.A.</w:t>
          </w:r>
        </w:p>
        <w:p w14:paraId="61998289" w14:textId="711C5F17" w:rsidR="00274429" w:rsidRPr="009A46BB" w:rsidRDefault="00274429" w:rsidP="00730054">
          <w:pPr>
            <w:spacing w:after="0"/>
            <w:ind w:left="708" w:hanging="708"/>
            <w:jc w:val="both"/>
            <w:rPr>
              <w:rFonts w:ascii="Times New Roman" w:hAnsi="Times New Roman"/>
            </w:rPr>
          </w:pPr>
          <w:r w:rsidRPr="009A46BB">
            <w:rPr>
              <w:rFonts w:ascii="Times New Roman" w:hAnsi="Times New Roman"/>
              <w:b/>
            </w:rPr>
            <w:t>Nombre del proyecto:</w:t>
          </w:r>
          <w:r w:rsidR="00F834F4" w:rsidRPr="009A46BB">
            <w:rPr>
              <w:rFonts w:ascii="Times New Roman" w:hAnsi="Times New Roman"/>
              <w:b/>
            </w:rPr>
            <w:t xml:space="preserve"> </w:t>
          </w:r>
          <w:r w:rsidRPr="009A46BB">
            <w:rPr>
              <w:rFonts w:ascii="Times New Roman" w:hAnsi="Times New Roman"/>
            </w:rPr>
            <w:t>Grupo Portuario S.A. - Lote El Vacío</w:t>
          </w:r>
        </w:p>
        <w:p w14:paraId="5931A87F" w14:textId="77777777" w:rsidR="00274429" w:rsidRPr="009A46BB" w:rsidRDefault="00274429" w:rsidP="00274429">
          <w:pPr>
            <w:ind w:left="708" w:hanging="708"/>
            <w:jc w:val="both"/>
            <w:rPr>
              <w:rFonts w:ascii="Times New Roman" w:hAnsi="Times New Roman"/>
            </w:rPr>
          </w:pPr>
        </w:p>
        <w:p w14:paraId="6119EB19" w14:textId="0CCCD204" w:rsidR="00274429" w:rsidRPr="009A46BB" w:rsidRDefault="00274429" w:rsidP="00E60BAB">
          <w:pPr>
            <w:pStyle w:val="Prrafodelista"/>
            <w:numPr>
              <w:ilvl w:val="0"/>
              <w:numId w:val="153"/>
            </w:numPr>
            <w:jc w:val="both"/>
            <w:rPr>
              <w:rFonts w:ascii="Times New Roman" w:hAnsi="Times New Roman"/>
              <w:b/>
            </w:rPr>
          </w:pPr>
          <w:r w:rsidRPr="009A46BB">
            <w:rPr>
              <w:rFonts w:ascii="Times New Roman" w:hAnsi="Times New Roman"/>
              <w:b/>
            </w:rPr>
            <w:t>Términos significativos del acuerdo que puedan afectar su valor, el calendario y la certeza de los flujos</w:t>
          </w:r>
        </w:p>
        <w:p w14:paraId="3A5D0B8E" w14:textId="77777777" w:rsidR="00274429" w:rsidRPr="009A46BB" w:rsidRDefault="00274429" w:rsidP="00274429">
          <w:pPr>
            <w:ind w:left="708" w:hanging="708"/>
            <w:jc w:val="both"/>
            <w:rPr>
              <w:rFonts w:ascii="Times New Roman" w:hAnsi="Times New Roman"/>
            </w:rPr>
          </w:pPr>
          <w:r w:rsidRPr="009A46BB">
            <w:rPr>
              <w:rFonts w:ascii="Times New Roman" w:hAnsi="Times New Roman"/>
              <w:b/>
            </w:rPr>
            <w:t>Términos de valor:</w:t>
          </w:r>
        </w:p>
        <w:p w14:paraId="1E910886" w14:textId="77777777" w:rsidR="00274429" w:rsidRPr="009A46BB" w:rsidRDefault="00274429" w:rsidP="00274429">
          <w:pPr>
            <w:jc w:val="both"/>
            <w:rPr>
              <w:rFonts w:ascii="Times New Roman" w:hAnsi="Times New Roman"/>
            </w:rPr>
          </w:pPr>
          <w:r w:rsidRPr="009A46BB">
            <w:rPr>
              <w:rFonts w:ascii="Times New Roman" w:hAnsi="Times New Roman"/>
              <w:b/>
            </w:rPr>
            <w:t>Tarifas:</w:t>
          </w:r>
          <w:r w:rsidRPr="009A46BB">
            <w:rPr>
              <w:rFonts w:ascii="Times New Roman" w:hAnsi="Times New Roman"/>
            </w:rPr>
            <w:t xml:space="preserve"> Al ser el terminal marítimo de servicio público la Ley 1ª de 1991 establece: Las sociedades portuarias que operan puertos de servicio público las tarifas requieren ser aprobadas según la metodología establecida por la Superintendencia General de Puertos hoy Superintendencia de Transporte.</w:t>
          </w:r>
        </w:p>
        <w:p w14:paraId="3D00D086" w14:textId="77777777" w:rsidR="00274429" w:rsidRPr="009A46BB" w:rsidRDefault="00274429" w:rsidP="00274429">
          <w:pPr>
            <w:jc w:val="both"/>
            <w:rPr>
              <w:rFonts w:ascii="Times New Roman" w:hAnsi="Times New Roman"/>
            </w:rPr>
          </w:pPr>
          <w:r w:rsidRPr="009A46BB">
            <w:rPr>
              <w:rFonts w:ascii="Times New Roman" w:hAnsi="Times New Roman"/>
            </w:rPr>
            <w:t>Contraprestación portuaria: De acuerdo con el último documento contractual vigente la metodología de contraprestación vigente es CONPES 3744 de 2013 (Componentes Fijo y Variable). A febrero de 2023 el CONCESIONARIO debió pagar la suma de USD 155.781 por concepto de contraprestación.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Distrito Especial, Industrial, Portuario, Biodiverso y Ecoturístico de Buenaventura; e INFRAESTRUCTURA en un 100% a la Nación - Instituto Nacional de Vías (INVIAS).</w:t>
          </w:r>
        </w:p>
        <w:p w14:paraId="634C8855" w14:textId="77777777" w:rsidR="00274429" w:rsidRPr="009A46BB" w:rsidRDefault="00274429" w:rsidP="00274429">
          <w:pPr>
            <w:jc w:val="both"/>
            <w:rPr>
              <w:rFonts w:ascii="Times New Roman" w:hAnsi="Times New Roman"/>
            </w:rPr>
          </w:pPr>
          <w:r w:rsidRPr="009A46BB">
            <w:rPr>
              <w:rFonts w:ascii="Times New Roman" w:hAnsi="Times New Roman"/>
              <w:b/>
            </w:rPr>
            <w:t>Plan de Inversiones:</w:t>
          </w:r>
          <w:r w:rsidRPr="009A46BB">
            <w:rPr>
              <w:rFonts w:ascii="Times New Roman" w:hAnsi="Times New Roman"/>
            </w:rPr>
            <w:t xml:space="preserve"> Establecido en la Cláusula Quinta del Contrato de Concesión, modificado por la Cláusula Tercera del Otrosí No. 1 de 2016, la cual aprueba que, el nuevo plan de inversión será de USD 1.591.845 en constantes de diciembre de 2015.</w:t>
          </w:r>
        </w:p>
        <w:p w14:paraId="0A17150D" w14:textId="77777777" w:rsidR="00274429" w:rsidRPr="009A46BB" w:rsidRDefault="00274429" w:rsidP="00274429">
          <w:pPr>
            <w:jc w:val="both"/>
            <w:rPr>
              <w:rFonts w:ascii="Times New Roman" w:hAnsi="Times New Roman"/>
            </w:rPr>
          </w:pPr>
          <w:r w:rsidRPr="009A46BB">
            <w:rPr>
              <w:rFonts w:ascii="Times New Roman" w:hAnsi="Times New Roman"/>
              <w:b/>
            </w:rPr>
            <w:t xml:space="preserve">Obligaciones del CONCESIONARIO: </w:t>
          </w:r>
          <w:r w:rsidRPr="009A46BB">
            <w:rPr>
              <w:rFonts w:ascii="Times New Roman" w:hAnsi="Times New Roman"/>
            </w:rPr>
            <w:t xml:space="preserve">Se encuentran descritas en la Cláusula Décima del Contrato de Concesión y en la Cláusula Octava del Otrosí N.1 de 2016. </w:t>
          </w:r>
        </w:p>
        <w:p w14:paraId="328F43FA" w14:textId="77777777" w:rsidR="00274429" w:rsidRPr="009A46BB" w:rsidRDefault="00274429" w:rsidP="00274429">
          <w:pPr>
            <w:ind w:left="708" w:hanging="708"/>
            <w:jc w:val="both"/>
            <w:rPr>
              <w:rFonts w:ascii="Times New Roman" w:hAnsi="Times New Roman"/>
            </w:rPr>
          </w:pPr>
          <w:r w:rsidRPr="009A46BB">
            <w:rPr>
              <w:rFonts w:ascii="Times New Roman" w:hAnsi="Times New Roman"/>
              <w:b/>
            </w:rPr>
            <w:t>Multas y sanciones:</w:t>
          </w:r>
          <w:r w:rsidRPr="009A46BB">
            <w:rPr>
              <w:rFonts w:ascii="Times New Roman" w:hAnsi="Times New Roman"/>
            </w:rPr>
            <w:t xml:space="preserve"> Establecidas en la Cláusula Décima del Otrosí No.1 de 2016.</w:t>
          </w:r>
        </w:p>
        <w:p w14:paraId="3D2FA6C3" w14:textId="77777777" w:rsidR="00274429" w:rsidRPr="009A46BB" w:rsidRDefault="00274429" w:rsidP="00274429">
          <w:pPr>
            <w:jc w:val="both"/>
            <w:rPr>
              <w:rFonts w:ascii="Times New Roman" w:hAnsi="Times New Roman"/>
            </w:rPr>
          </w:pPr>
          <w:r w:rsidRPr="009A46BB">
            <w:rPr>
              <w:rFonts w:ascii="Times New Roman" w:hAnsi="Times New Roman"/>
              <w:b/>
            </w:rPr>
            <w:t>Penal pecuniario:</w:t>
          </w:r>
          <w:r w:rsidRPr="009A46BB">
            <w:rPr>
              <w:rFonts w:ascii="Times New Roman" w:hAnsi="Times New Roman"/>
            </w:rPr>
            <w:t xml:space="preserve"> En la Cláusula Décima Tercera del Contrato de Concesión, se establece que, en el evento en que la ANI declare la caducidad o el incumplimiento del contrato, EL CONCESIONARIO deberá pagar la suma del 10% del valor total de la contraprestación como sanción pecuniaria.</w:t>
          </w:r>
        </w:p>
        <w:p w14:paraId="681D519E" w14:textId="77777777" w:rsidR="00274429" w:rsidRPr="009A46BB" w:rsidRDefault="00274429" w:rsidP="00274429">
          <w:pPr>
            <w:jc w:val="both"/>
            <w:rPr>
              <w:rFonts w:ascii="Times New Roman" w:hAnsi="Times New Roman"/>
            </w:rPr>
          </w:pPr>
          <w:r w:rsidRPr="009A46BB">
            <w:rPr>
              <w:rFonts w:ascii="Times New Roman" w:hAnsi="Times New Roman"/>
              <w:b/>
            </w:rPr>
            <w:lastRenderedPageBreak/>
            <w:t>Riesgos:</w:t>
          </w:r>
          <w:r w:rsidRPr="009A46BB">
            <w:rPr>
              <w:rFonts w:ascii="Times New Roman" w:hAnsi="Times New Roman"/>
            </w:rPr>
            <w:t xml:space="preserve"> Están descritos en la cláusula décima segunda del Otrosí N.1 de 2016. El CONCESIONARIO acepta la totalidad de los riesgos inherentes a su ejecución en sus etapas serán asumidos por dicha sociedad, y que la ocurrencia de cualquier riesgo no dará derecho a indemnización o reconocimiento alguno a favor del CONCESIONARIO.</w:t>
          </w:r>
        </w:p>
        <w:p w14:paraId="47D0FEE1" w14:textId="77777777" w:rsidR="00274429" w:rsidRPr="009A46BB" w:rsidRDefault="00274429" w:rsidP="00274429">
          <w:pPr>
            <w:ind w:left="708" w:hanging="708"/>
            <w:jc w:val="both"/>
            <w:rPr>
              <w:rFonts w:ascii="Times New Roman" w:hAnsi="Times New Roman"/>
            </w:rPr>
          </w:pPr>
          <w:r w:rsidRPr="009A46BB">
            <w:rPr>
              <w:rFonts w:ascii="Times New Roman" w:hAnsi="Times New Roman"/>
              <w:b/>
            </w:rPr>
            <w:t>Términos de calendario:</w:t>
          </w:r>
        </w:p>
        <w:p w14:paraId="37CEC778" w14:textId="77777777" w:rsidR="00274429" w:rsidRPr="009A46BB" w:rsidRDefault="00274429" w:rsidP="00274429">
          <w:pPr>
            <w:jc w:val="both"/>
            <w:rPr>
              <w:rFonts w:ascii="Times New Roman" w:hAnsi="Times New Roman"/>
            </w:rPr>
          </w:pPr>
          <w:r w:rsidRPr="009A46BB">
            <w:rPr>
              <w:rFonts w:ascii="Times New Roman" w:hAnsi="Times New Roman"/>
              <w:b/>
            </w:rPr>
            <w:t>Tarifas:</w:t>
          </w:r>
          <w:r w:rsidRPr="009A46BB">
            <w:rPr>
              <w:rFonts w:ascii="Times New Roman" w:hAnsi="Times New Roman"/>
            </w:rPr>
            <w:t xml:space="preserve"> Aprobadas según la metodología establecida por la Superintendencia General de Puertos hoy Superintendencia de Transporte. </w:t>
          </w:r>
        </w:p>
        <w:p w14:paraId="12C7163F" w14:textId="77777777" w:rsidR="00274429" w:rsidRPr="009A46BB" w:rsidRDefault="00274429" w:rsidP="00274429">
          <w:pPr>
            <w:jc w:val="both"/>
            <w:rPr>
              <w:rFonts w:ascii="Times New Roman" w:hAnsi="Times New Roman"/>
            </w:rPr>
          </w:pPr>
          <w:r w:rsidRPr="009A46BB">
            <w:rPr>
              <w:rFonts w:ascii="Times New Roman" w:hAnsi="Times New Roman"/>
              <w:b/>
            </w:rPr>
            <w:t>Contraprestación portuaria:</w:t>
          </w:r>
          <w:r w:rsidRPr="009A46BB">
            <w:rPr>
              <w:rFonts w:ascii="Times New Roman" w:hAnsi="Times New Roman"/>
            </w:rPr>
            <w:t xml:space="preserve"> Anexo 2 del Conpes 3744 de 2013 “(…) Antes de finalizar los meses de febrero cada concesionario deberá corregir su liquidación del año anterior según el movimiento de carga real y la indexación del valor de referencia por metro cuadrado, del avalúo de la infraestructura concesionada y de los cargos, así como realizar el pago anticipado del año en curso con base en lo proyectado en el FCL definitivo”.</w:t>
          </w:r>
        </w:p>
        <w:p w14:paraId="7AAD2595" w14:textId="77777777" w:rsidR="00274429" w:rsidRPr="009A46BB" w:rsidRDefault="00274429" w:rsidP="00274429">
          <w:pPr>
            <w:jc w:val="both"/>
            <w:rPr>
              <w:rFonts w:ascii="Times New Roman" w:hAnsi="Times New Roman"/>
            </w:rPr>
          </w:pPr>
          <w:r w:rsidRPr="009A46BB">
            <w:rPr>
              <w:rFonts w:ascii="Times New Roman" w:hAnsi="Times New Roman"/>
              <w:b/>
            </w:rPr>
            <w:t>Plan de inversiones:</w:t>
          </w:r>
          <w:r w:rsidRPr="009A46BB">
            <w:rPr>
              <w:rFonts w:ascii="Times New Roman" w:hAnsi="Times New Roman"/>
            </w:rPr>
            <w:t xml:space="preserve"> En la Cláusula Tercera del Otrosí No. 1 del 22 de diciembre de 2016, se establece que, el Concesionario ejecutará el nuevo plan de inversiones dentro de los dos primeros años de la presente prórroga.</w:t>
          </w:r>
        </w:p>
        <w:p w14:paraId="5F87B5E5" w14:textId="77777777" w:rsidR="00274429" w:rsidRPr="009A46BB" w:rsidRDefault="00274429" w:rsidP="00274429">
          <w:pPr>
            <w:ind w:left="708" w:hanging="708"/>
            <w:jc w:val="both"/>
            <w:rPr>
              <w:rFonts w:ascii="Times New Roman" w:hAnsi="Times New Roman"/>
            </w:rPr>
          </w:pPr>
          <w:r w:rsidRPr="009A46BB">
            <w:rPr>
              <w:rFonts w:ascii="Times New Roman" w:hAnsi="Times New Roman"/>
              <w:b/>
            </w:rPr>
            <w:t>Multas:</w:t>
          </w:r>
          <w:r w:rsidRPr="009A46BB">
            <w:rPr>
              <w:rFonts w:ascii="Times New Roman" w:hAnsi="Times New Roman"/>
            </w:rPr>
            <w:t xml:space="preserve"> Cláusula Décima del Otrosí No.1 de 2016.</w:t>
          </w:r>
        </w:p>
        <w:p w14:paraId="7459FA44" w14:textId="77777777" w:rsidR="00274429" w:rsidRPr="009A46BB" w:rsidRDefault="00274429" w:rsidP="00274429">
          <w:pPr>
            <w:ind w:left="708" w:hanging="708"/>
            <w:jc w:val="both"/>
            <w:rPr>
              <w:rFonts w:ascii="Times New Roman" w:hAnsi="Times New Roman"/>
            </w:rPr>
          </w:pPr>
          <w:r w:rsidRPr="009A46BB">
            <w:rPr>
              <w:rFonts w:ascii="Times New Roman" w:hAnsi="Times New Roman"/>
              <w:b/>
            </w:rPr>
            <w:t>Términos de certeza de flujos de efectivo futuros:</w:t>
          </w:r>
        </w:p>
        <w:p w14:paraId="3AE2E802" w14:textId="77777777" w:rsidR="00274429" w:rsidRPr="009A46BB" w:rsidRDefault="00274429" w:rsidP="00274429">
          <w:pPr>
            <w:jc w:val="both"/>
            <w:rPr>
              <w:rFonts w:ascii="Times New Roman" w:hAnsi="Times New Roman"/>
            </w:rPr>
          </w:pPr>
          <w:r w:rsidRPr="009A46BB">
            <w:rPr>
              <w:rFonts w:ascii="Times New Roman" w:hAnsi="Times New Roman"/>
            </w:rPr>
            <w:t xml:space="preserve">Se otorga una CONCESION PORTUARIA al CONCESIONARIO, para la ocupación y utilización en forma temporal y exclusiva de un lote de terreno ubicado en zona de bajamar, considerada como zona de uso público, denominado "Vacío", cuyas áreas y ubicación están descritos en la cláusula segunda del contrato de concesión portuaria, a cambio de la contraprestación económica. </w:t>
          </w:r>
        </w:p>
        <w:p w14:paraId="2DEB5E62" w14:textId="77777777" w:rsidR="00274429" w:rsidRPr="009A46BB" w:rsidRDefault="00274429" w:rsidP="00274429">
          <w:pPr>
            <w:jc w:val="both"/>
            <w:rPr>
              <w:rFonts w:ascii="Times New Roman" w:hAnsi="Times New Roman"/>
            </w:rPr>
          </w:pPr>
          <w:r w:rsidRPr="009A46BB">
            <w:rPr>
              <w:rFonts w:ascii="Times New Roman" w:hAnsi="Times New Roman"/>
            </w:rPr>
            <w:t xml:space="preserve"> Cláusula Quinta del Otrosí No. 1 de 2016. Del valor a pagar por concepto de contraprestación por Zona de Uso público el 80% le corresponde a la Nación-INVIAS y el 20 % al Municipio (Distrito Especial, Industrial, Portuario, Biodiverso y Ecoturístico de Buenaventura), y por Infraestructura el 100% a la Nación-INVIAS.</w:t>
          </w:r>
        </w:p>
        <w:p w14:paraId="39909E48" w14:textId="040AFD56" w:rsidR="00274429" w:rsidRPr="009A46BB" w:rsidRDefault="00274429" w:rsidP="00E60BAB">
          <w:pPr>
            <w:pStyle w:val="Prrafodelista"/>
            <w:numPr>
              <w:ilvl w:val="0"/>
              <w:numId w:val="153"/>
            </w:numPr>
            <w:jc w:val="both"/>
            <w:rPr>
              <w:rFonts w:ascii="Times New Roman" w:hAnsi="Times New Roman"/>
              <w:b/>
            </w:rPr>
          </w:pPr>
          <w:r w:rsidRPr="009A46BB">
            <w:rPr>
              <w:rFonts w:ascii="Times New Roman" w:hAnsi="Times New Roman"/>
              <w:b/>
            </w:rPr>
            <w:t xml:space="preserve">Naturaleza y alcance del derecho a utilizar activos especificados, de los aspectos pactados en torno a lo que se espera que el concesionario proporcione en relación con el acuerdo de concesión. </w:t>
          </w:r>
        </w:p>
        <w:p w14:paraId="7C151156" w14:textId="77777777" w:rsidR="00274429" w:rsidRPr="009A46BB" w:rsidRDefault="00274429" w:rsidP="00274429">
          <w:pPr>
            <w:ind w:left="708" w:hanging="708"/>
            <w:jc w:val="both"/>
            <w:rPr>
              <w:rFonts w:ascii="Times New Roman" w:hAnsi="Times New Roman"/>
              <w:b/>
            </w:rPr>
          </w:pPr>
          <w:r w:rsidRPr="009A46BB">
            <w:rPr>
              <w:rFonts w:ascii="Times New Roman" w:hAnsi="Times New Roman"/>
              <w:b/>
            </w:rPr>
            <w:t>Naturaleza y alcance del derecho de uso de los activos</w:t>
          </w:r>
        </w:p>
        <w:p w14:paraId="4F4700A2" w14:textId="77777777" w:rsidR="00274429" w:rsidRPr="009A46BB" w:rsidRDefault="00274429" w:rsidP="00274429">
          <w:pPr>
            <w:jc w:val="both"/>
            <w:rPr>
              <w:rFonts w:ascii="Times New Roman" w:hAnsi="Times New Roman"/>
            </w:rPr>
          </w:pPr>
          <w:r w:rsidRPr="009A46BB">
            <w:rPr>
              <w:rFonts w:ascii="Times New Roman" w:hAnsi="Times New Roman"/>
              <w:b/>
            </w:rPr>
            <w:t>Descripción:</w:t>
          </w:r>
          <w:r w:rsidRPr="009A46BB">
            <w:rPr>
              <w:rFonts w:ascii="Times New Roman" w:hAnsi="Times New Roman"/>
            </w:rPr>
            <w:tab/>
            <w:t xml:space="preserve">Descripción del proyecto, especificaciones técnicas, modalidades de operación: las condiciones especiales de operación del puerto están establecidas en la cláusula Primera del Otrosí No. 1 de 2016. </w:t>
          </w:r>
        </w:p>
        <w:p w14:paraId="71F0325F" w14:textId="77777777" w:rsidR="00274429" w:rsidRPr="009A46BB" w:rsidRDefault="00274429" w:rsidP="00274429">
          <w:pPr>
            <w:jc w:val="both"/>
            <w:rPr>
              <w:rFonts w:ascii="Times New Roman" w:hAnsi="Times New Roman"/>
            </w:rPr>
          </w:pPr>
          <w:r w:rsidRPr="009A46BB">
            <w:rPr>
              <w:rFonts w:ascii="Times New Roman" w:hAnsi="Times New Roman"/>
              <w:b/>
            </w:rPr>
            <w:t>Área entregada en concesión:</w:t>
          </w:r>
          <w:r w:rsidRPr="009A46BB">
            <w:rPr>
              <w:rFonts w:ascii="Times New Roman" w:hAnsi="Times New Roman"/>
            </w:rPr>
            <w:t xml:space="preserve"> La descripción de la ubicación, linderos y extensión de los bienes de uso público entregados en concesión están establecidos en la cláusula segunda. </w:t>
          </w:r>
        </w:p>
        <w:p w14:paraId="26C95974" w14:textId="3C38DF6D" w:rsidR="00274429" w:rsidRPr="009A46BB" w:rsidRDefault="00274429" w:rsidP="00274429">
          <w:pPr>
            <w:jc w:val="both"/>
            <w:rPr>
              <w:rFonts w:ascii="Times New Roman" w:hAnsi="Times New Roman"/>
            </w:rPr>
          </w:pPr>
          <w:r w:rsidRPr="009A46BB">
            <w:rPr>
              <w:rFonts w:ascii="Times New Roman" w:hAnsi="Times New Roman"/>
              <w:b/>
            </w:rPr>
            <w:t>Infraestructura y equipos entregados en concesión:</w:t>
          </w:r>
          <w:r w:rsidRPr="009A46BB">
            <w:rPr>
              <w:rFonts w:ascii="Times New Roman" w:hAnsi="Times New Roman"/>
            </w:rPr>
            <w:t xml:space="preserve"> En la cláusula segunda del Contrato, se describe que lo entregado en concesión fue:</w:t>
          </w:r>
        </w:p>
        <w:p w14:paraId="15798332" w14:textId="77777777" w:rsidR="00274429" w:rsidRPr="009A46BB" w:rsidRDefault="00274429" w:rsidP="00274429">
          <w:pPr>
            <w:jc w:val="both"/>
            <w:rPr>
              <w:rFonts w:ascii="Times New Roman" w:hAnsi="Times New Roman"/>
            </w:rPr>
          </w:pPr>
          <w:r w:rsidRPr="009A46BB">
            <w:rPr>
              <w:rFonts w:ascii="Times New Roman" w:hAnsi="Times New Roman"/>
              <w:b/>
            </w:rPr>
            <w:t>Infraestructura:</w:t>
          </w:r>
          <w:r w:rsidRPr="009A46BB">
            <w:rPr>
              <w:rFonts w:ascii="Times New Roman" w:hAnsi="Times New Roman"/>
            </w:rPr>
            <w:t xml:space="preserve"> Patio del almacenamiento, parte de las bodegas 1 y 2 de la unidad funcional que corresponde a aproximadamente el 30% de las bodegas.</w:t>
          </w:r>
        </w:p>
        <w:p w14:paraId="71AAD6A6" w14:textId="77777777" w:rsidR="00274429" w:rsidRPr="009A46BB" w:rsidRDefault="00274429" w:rsidP="00274429">
          <w:pPr>
            <w:ind w:left="708" w:hanging="708"/>
            <w:jc w:val="both"/>
            <w:rPr>
              <w:rFonts w:ascii="Times New Roman" w:hAnsi="Times New Roman"/>
              <w:b/>
            </w:rPr>
          </w:pPr>
          <w:r w:rsidRPr="009A46BB">
            <w:rPr>
              <w:rFonts w:ascii="Times New Roman" w:hAnsi="Times New Roman"/>
              <w:b/>
            </w:rPr>
            <w:t>Retribución al concesionario</w:t>
          </w:r>
        </w:p>
        <w:p w14:paraId="41F99511" w14:textId="77777777" w:rsidR="00274429" w:rsidRPr="009A46BB" w:rsidRDefault="00274429" w:rsidP="00274429">
          <w:pPr>
            <w:jc w:val="both"/>
            <w:rPr>
              <w:rFonts w:ascii="Times New Roman" w:hAnsi="Times New Roman"/>
            </w:rPr>
          </w:pPr>
          <w:r w:rsidRPr="009A46BB">
            <w:rPr>
              <w:rFonts w:ascii="Times New Roman" w:hAnsi="Times New Roman"/>
              <w:b/>
            </w:rPr>
            <w:lastRenderedPageBreak/>
            <w:t>Descripción:</w:t>
          </w:r>
          <w:r w:rsidRPr="009A46BB">
            <w:rPr>
              <w:rFonts w:ascii="Times New Roman" w:hAnsi="Times New Roman"/>
            </w:rPr>
            <w:t xml:space="preserve"> Cláusula Primera y Cláusula Novena del Contrato de Concesión No. 018 de 1997: Se otorga a EL CONCESIONARIO una Concesión Portuaria para la ocupación, en forma temporal y exclusiva de un lote de terreno ubicado en zona de bajamar, considerada como zona de uso público, denominado "Vacío", a cambio de la contraprestación económica.</w:t>
          </w:r>
        </w:p>
        <w:p w14:paraId="1ED88345" w14:textId="77777777" w:rsidR="00274429" w:rsidRPr="009A46BB" w:rsidRDefault="00274429" w:rsidP="00274429">
          <w:pPr>
            <w:ind w:left="708" w:hanging="708"/>
            <w:jc w:val="both"/>
            <w:rPr>
              <w:rFonts w:ascii="Times New Roman" w:hAnsi="Times New Roman"/>
            </w:rPr>
          </w:pPr>
          <w:r w:rsidRPr="009A46BB">
            <w:rPr>
              <w:rFonts w:ascii="Times New Roman" w:hAnsi="Times New Roman"/>
              <w:b/>
            </w:rPr>
            <w:t>Tasa de retribución:</w:t>
          </w:r>
          <w:r w:rsidRPr="009A46BB">
            <w:rPr>
              <w:rFonts w:ascii="Times New Roman" w:hAnsi="Times New Roman"/>
            </w:rPr>
            <w:tab/>
            <w:t>N/A</w:t>
          </w:r>
        </w:p>
        <w:p w14:paraId="7330BC97" w14:textId="2BC066FD" w:rsidR="00274429" w:rsidRPr="009A46BB" w:rsidRDefault="00274429" w:rsidP="00E60BAB">
          <w:pPr>
            <w:pStyle w:val="Prrafodelista"/>
            <w:numPr>
              <w:ilvl w:val="0"/>
              <w:numId w:val="153"/>
            </w:numPr>
            <w:jc w:val="both"/>
            <w:rPr>
              <w:rFonts w:ascii="Times New Roman" w:hAnsi="Times New Roman"/>
              <w:b/>
            </w:rPr>
          </w:pPr>
          <w:r w:rsidRPr="009A46BB">
            <w:rPr>
              <w:rFonts w:ascii="Times New Roman" w:hAnsi="Times New Roman"/>
              <w:b/>
            </w:rPr>
            <w:t>Derechos a recibir activos especificados al final del acuerdo de concesión</w:t>
          </w:r>
        </w:p>
        <w:p w14:paraId="2FBFD47C" w14:textId="77777777" w:rsidR="00274429" w:rsidRPr="009A46BB" w:rsidRDefault="00274429" w:rsidP="00274429">
          <w:pPr>
            <w:jc w:val="both"/>
            <w:rPr>
              <w:rFonts w:ascii="Times New Roman" w:hAnsi="Times New Roman"/>
            </w:rPr>
          </w:pPr>
          <w:r w:rsidRPr="009A46BB">
            <w:rPr>
              <w:rFonts w:ascii="Times New Roman" w:hAnsi="Times New Roman"/>
              <w:b/>
            </w:rPr>
            <w:t>Descripción:</w:t>
          </w:r>
          <w:r w:rsidRPr="009A46BB">
            <w:rPr>
              <w:rFonts w:ascii="Times New Roman" w:hAnsi="Times New Roman"/>
              <w:b/>
            </w:rPr>
            <w:tab/>
          </w:r>
          <w:r w:rsidRPr="009A46BB">
            <w:rPr>
              <w:rFonts w:ascii="Times New Roman" w:hAnsi="Times New Roman"/>
            </w:rPr>
            <w:t>De acuerdo con el Artículo 8º de la Ley 1 de 1991 en el modo portuario el concesionario no tiene derechos finales sobre activos los debe revertir a la Nación al final del contrato de concesión.</w:t>
          </w:r>
        </w:p>
        <w:p w14:paraId="6D47549D" w14:textId="6CE034C2" w:rsidR="00274429" w:rsidRPr="009A46BB" w:rsidRDefault="00274429" w:rsidP="00274429">
          <w:pPr>
            <w:jc w:val="both"/>
            <w:rPr>
              <w:rFonts w:ascii="Times New Roman" w:hAnsi="Times New Roman"/>
            </w:rPr>
          </w:pPr>
          <w:r w:rsidRPr="009A46BB">
            <w:rPr>
              <w:rFonts w:ascii="Times New Roman" w:hAnsi="Times New Roman"/>
              <w:b/>
            </w:rPr>
            <w:t>Observaciones:</w:t>
          </w:r>
          <w:r w:rsidRPr="009A46BB">
            <w:rPr>
              <w:rFonts w:ascii="Times New Roman" w:hAnsi="Times New Roman"/>
            </w:rPr>
            <w:tab/>
            <w:t>De acuerdo con lo establecido en la cláusula octava del contrato de concesión, todas las construcciones e inmuebles por destinación que se encuentren habitualmente instaladas en las zonas de uso público objeto de esta concesión, serán cedidas gratuitamente por EL CONCESIONARIO a LA NACIÓN, en buen estado de mantenimiento y operación al término del presente contrato o al ser declarada la caducidad y teniendo en consideración el normal deterioro de las mismas a consecuencia de su operación.</w:t>
          </w:r>
        </w:p>
        <w:p w14:paraId="6485F462" w14:textId="77777777" w:rsidR="00274429" w:rsidRPr="009A46BB" w:rsidRDefault="00274429" w:rsidP="00274429">
          <w:pPr>
            <w:jc w:val="both"/>
            <w:rPr>
              <w:rFonts w:ascii="Times New Roman" w:hAnsi="Times New Roman"/>
            </w:rPr>
          </w:pPr>
          <w:r w:rsidRPr="009A46BB">
            <w:rPr>
              <w:rFonts w:ascii="Times New Roman" w:hAnsi="Times New Roman"/>
            </w:rPr>
            <w:t>Para tal fin, en el momento de la reversión el CONCESIONARIO deberá hacer entrega de un avaluó comercial actualizado y valoración técnica de las condiciones de operación de la infraestructura portuaria, equipos e inmuebles por destinación que habitualmente se encuentren instalados en las zonas de uso público que se revierten y que son propiedad de la Nación</w:t>
          </w:r>
        </w:p>
        <w:p w14:paraId="01FD3C6E" w14:textId="7D9C0CD6" w:rsidR="00274429" w:rsidRPr="009A46BB" w:rsidRDefault="00461E96" w:rsidP="00E60BAB">
          <w:pPr>
            <w:pStyle w:val="Prrafodelista"/>
            <w:numPr>
              <w:ilvl w:val="0"/>
              <w:numId w:val="153"/>
            </w:numPr>
            <w:jc w:val="both"/>
            <w:rPr>
              <w:rFonts w:ascii="Times New Roman" w:hAnsi="Times New Roman"/>
              <w:b/>
            </w:rPr>
          </w:pPr>
          <w:r w:rsidRPr="009A46BB">
            <w:rPr>
              <w:rFonts w:ascii="Times New Roman" w:hAnsi="Times New Roman"/>
              <w:b/>
            </w:rPr>
            <w:t>No hay c</w:t>
          </w:r>
          <w:r w:rsidR="00274429" w:rsidRPr="009A46BB">
            <w:rPr>
              <w:rFonts w:ascii="Times New Roman" w:hAnsi="Times New Roman"/>
              <w:b/>
            </w:rPr>
            <w:t>ambios en el acuerdo de concesión que se realicen durante el periodo fiscal</w:t>
          </w:r>
        </w:p>
        <w:p w14:paraId="137B61BC" w14:textId="77777777" w:rsidR="00274429" w:rsidRPr="009A46BB" w:rsidRDefault="00274429" w:rsidP="00274429">
          <w:pPr>
            <w:ind w:left="708" w:hanging="708"/>
            <w:jc w:val="both"/>
            <w:rPr>
              <w:rFonts w:ascii="Times New Roman" w:hAnsi="Times New Roman"/>
            </w:rPr>
          </w:pPr>
        </w:p>
        <w:p w14:paraId="7F61265C" w14:textId="7054E059" w:rsidR="00274429" w:rsidRPr="009A46BB" w:rsidRDefault="00373095" w:rsidP="00373095">
          <w:pPr>
            <w:spacing w:line="259" w:lineRule="auto"/>
            <w:jc w:val="both"/>
            <w:rPr>
              <w:rFonts w:ascii="Times New Roman" w:hAnsi="Times New Roman"/>
              <w:b/>
            </w:rPr>
          </w:pPr>
          <w:r w:rsidRPr="009A46BB">
            <w:rPr>
              <w:rFonts w:ascii="Times New Roman" w:hAnsi="Times New Roman"/>
              <w:b/>
            </w:rPr>
            <w:t>SOCIEDAD PORTUARIA PUERTO BUENAVISTA S.A</w:t>
          </w:r>
        </w:p>
        <w:p w14:paraId="0441447E" w14:textId="697637C7" w:rsidR="00274429" w:rsidRPr="009A46BB" w:rsidRDefault="00274429" w:rsidP="00E60BAB">
          <w:pPr>
            <w:pStyle w:val="Prrafodelista"/>
            <w:numPr>
              <w:ilvl w:val="0"/>
              <w:numId w:val="152"/>
            </w:numPr>
            <w:jc w:val="both"/>
            <w:rPr>
              <w:rFonts w:ascii="Times New Roman" w:hAnsi="Times New Roman"/>
              <w:b/>
            </w:rPr>
          </w:pPr>
          <w:r w:rsidRPr="009A46BB">
            <w:rPr>
              <w:rFonts w:ascii="Times New Roman" w:hAnsi="Times New Roman"/>
              <w:b/>
            </w:rPr>
            <w:t>Descripción del acuerdo</w:t>
          </w:r>
        </w:p>
        <w:p w14:paraId="69E8F95B" w14:textId="5D9CBDB5" w:rsidR="00274429" w:rsidRPr="009A46BB" w:rsidRDefault="00274429" w:rsidP="66A7D45D">
          <w:pPr>
            <w:spacing w:after="0"/>
            <w:ind w:left="708" w:hanging="708"/>
            <w:jc w:val="both"/>
            <w:rPr>
              <w:rFonts w:ascii="Times New Roman" w:hAnsi="Times New Roman"/>
            </w:rPr>
          </w:pPr>
          <w:r w:rsidRPr="009A46BB">
            <w:rPr>
              <w:rFonts w:ascii="Times New Roman" w:hAnsi="Times New Roman"/>
              <w:b/>
            </w:rPr>
            <w:t>Número del acuerdo de concesión:</w:t>
          </w:r>
          <w:r w:rsidR="00373095" w:rsidRPr="009A46BB">
            <w:rPr>
              <w:rFonts w:ascii="Times New Roman" w:hAnsi="Times New Roman"/>
              <w:b/>
            </w:rPr>
            <w:t xml:space="preserve"> </w:t>
          </w:r>
          <w:r w:rsidRPr="009A46BB">
            <w:rPr>
              <w:rFonts w:ascii="Times New Roman" w:hAnsi="Times New Roman"/>
            </w:rPr>
            <w:t>Concesión Portuaria Contrato 020/1997</w:t>
          </w:r>
        </w:p>
        <w:p w14:paraId="562F7A17" w14:textId="7BE5AF3F" w:rsidR="00274429" w:rsidRPr="009A46BB" w:rsidRDefault="00274429" w:rsidP="66A7D45D">
          <w:pPr>
            <w:spacing w:after="0"/>
            <w:ind w:hanging="708"/>
            <w:jc w:val="both"/>
            <w:rPr>
              <w:rFonts w:ascii="Times New Roman" w:hAnsi="Times New Roman"/>
            </w:rPr>
          </w:pPr>
          <w:r w:rsidRPr="009A46BB">
            <w:rPr>
              <w:rFonts w:ascii="Times New Roman" w:hAnsi="Times New Roman"/>
            </w:rPr>
            <w:tab/>
          </w:r>
          <w:r w:rsidR="70EA1C5B" w:rsidRPr="66A7D45D">
            <w:rPr>
              <w:rFonts w:ascii="Times New Roman" w:hAnsi="Times New Roman"/>
              <w:b/>
              <w:bCs/>
            </w:rPr>
            <w:t xml:space="preserve">       </w:t>
          </w:r>
          <w:r w:rsidR="00373095" w:rsidRPr="009A46BB">
            <w:rPr>
              <w:rFonts w:ascii="Times New Roman" w:hAnsi="Times New Roman"/>
              <w:b/>
            </w:rPr>
            <w:t>Objeto / Descripción:</w:t>
          </w:r>
          <w:r w:rsidR="00373095" w:rsidRPr="009A46BB">
            <w:rPr>
              <w:rFonts w:ascii="Times New Roman" w:hAnsi="Times New Roman"/>
            </w:rPr>
            <w:t xml:space="preserve"> </w:t>
          </w:r>
          <w:r w:rsidRPr="009A46BB">
            <w:rPr>
              <w:rFonts w:ascii="Times New Roman" w:hAnsi="Times New Roman"/>
            </w:rPr>
            <w:t>En virtud del Contrato de concesión y sus modificaciones, se otorga una concesión portuaria para la ocupación y utilización de las playas, los terrenos de bajamar y las zonas accesorias a aquellas que forman parte de los lotes de propiedad de ABOCOL, que están localizados en la zona industrial de Mamonal sobre la Bahía de Cartagena en el lugar denominado Ensenada de Buenavista con el propósito de ampliar las instalaciones actuales y continuar con el funcionamiento del puerto, prestando servicio al público en general para la movilización de graneles líquidos, sólidos, contenedores y carga general, utilizando en forma temporal y exclusiva un frente de playa de 211 metros lineales y una zona accesoria especificada en el contrato, conforme lo establece la Cláusula Primera del Contrato.</w:t>
          </w:r>
        </w:p>
        <w:p w14:paraId="19D75362" w14:textId="7F4864B0" w:rsidR="00274429" w:rsidRPr="009A46BB" w:rsidRDefault="00274429" w:rsidP="00730054">
          <w:pPr>
            <w:spacing w:after="0"/>
            <w:ind w:left="708" w:hanging="708"/>
            <w:jc w:val="both"/>
            <w:rPr>
              <w:rFonts w:ascii="Times New Roman" w:hAnsi="Times New Roman"/>
            </w:rPr>
          </w:pPr>
          <w:r w:rsidRPr="009A46BB">
            <w:rPr>
              <w:rFonts w:ascii="Times New Roman" w:hAnsi="Times New Roman"/>
              <w:b/>
            </w:rPr>
            <w:t>Valor inicial:</w:t>
          </w:r>
          <w:r w:rsidR="00373095" w:rsidRPr="009A46BB">
            <w:rPr>
              <w:rFonts w:ascii="Times New Roman" w:hAnsi="Times New Roman"/>
              <w:b/>
            </w:rPr>
            <w:t xml:space="preserve"> </w:t>
          </w:r>
          <w:r w:rsidRPr="009A46BB">
            <w:rPr>
              <w:rFonts w:ascii="Times New Roman" w:hAnsi="Times New Roman"/>
            </w:rPr>
            <w:t>USD $717.260,79 Cláusula décima segunda / Contrato No. 020 de 1997.</w:t>
          </w:r>
        </w:p>
        <w:p w14:paraId="33C1364D" w14:textId="73B336EB" w:rsidR="00274429" w:rsidRPr="009A46BB" w:rsidRDefault="00274429" w:rsidP="00730054">
          <w:pPr>
            <w:spacing w:after="0"/>
            <w:ind w:left="708" w:hanging="708"/>
            <w:jc w:val="both"/>
            <w:rPr>
              <w:rFonts w:ascii="Times New Roman" w:hAnsi="Times New Roman"/>
            </w:rPr>
          </w:pPr>
          <w:r w:rsidRPr="009A46BB">
            <w:rPr>
              <w:rFonts w:ascii="Times New Roman" w:hAnsi="Times New Roman"/>
              <w:b/>
            </w:rPr>
            <w:t>Fecha de inicio:</w:t>
          </w:r>
          <w:r w:rsidR="00373095" w:rsidRPr="009A46BB">
            <w:rPr>
              <w:rFonts w:ascii="Times New Roman" w:hAnsi="Times New Roman"/>
              <w:b/>
            </w:rPr>
            <w:t xml:space="preserve"> </w:t>
          </w:r>
          <w:r w:rsidRPr="009A46BB">
            <w:rPr>
              <w:rFonts w:ascii="Times New Roman" w:hAnsi="Times New Roman"/>
            </w:rPr>
            <w:t>30 de septiembre de 1997</w:t>
          </w:r>
        </w:p>
        <w:p w14:paraId="220968B9" w14:textId="02776649" w:rsidR="00274429" w:rsidRPr="009A46BB" w:rsidRDefault="00274429" w:rsidP="00730054">
          <w:pPr>
            <w:spacing w:after="0"/>
            <w:ind w:left="708" w:hanging="708"/>
            <w:jc w:val="both"/>
            <w:rPr>
              <w:rFonts w:ascii="Times New Roman" w:hAnsi="Times New Roman"/>
            </w:rPr>
          </w:pPr>
          <w:r w:rsidRPr="009A46BB">
            <w:rPr>
              <w:rFonts w:ascii="Times New Roman" w:hAnsi="Times New Roman"/>
              <w:b/>
            </w:rPr>
            <w:t>Fecha de finalización estimada:</w:t>
          </w:r>
          <w:r w:rsidR="00373095" w:rsidRPr="009A46BB">
            <w:rPr>
              <w:rFonts w:ascii="Times New Roman" w:hAnsi="Times New Roman"/>
              <w:b/>
            </w:rPr>
            <w:t xml:space="preserve"> </w:t>
          </w:r>
          <w:r w:rsidRPr="009A46BB">
            <w:rPr>
              <w:rFonts w:ascii="Times New Roman" w:hAnsi="Times New Roman"/>
            </w:rPr>
            <w:t>29 de septiembre de 2037</w:t>
          </w:r>
        </w:p>
        <w:p w14:paraId="3C25ADF4" w14:textId="2129F468" w:rsidR="00274429" w:rsidRPr="009A46BB" w:rsidRDefault="00274429" w:rsidP="00730054">
          <w:pPr>
            <w:spacing w:after="0"/>
            <w:ind w:left="708" w:hanging="708"/>
            <w:jc w:val="both"/>
            <w:rPr>
              <w:rFonts w:ascii="Times New Roman" w:hAnsi="Times New Roman"/>
            </w:rPr>
          </w:pPr>
          <w:r w:rsidRPr="009A46BB">
            <w:rPr>
              <w:rFonts w:ascii="Times New Roman" w:hAnsi="Times New Roman"/>
              <w:b/>
            </w:rPr>
            <w:t>Tipo ID:</w:t>
          </w:r>
          <w:r w:rsidR="00373095" w:rsidRPr="009A46BB">
            <w:rPr>
              <w:rFonts w:ascii="Times New Roman" w:hAnsi="Times New Roman"/>
              <w:b/>
            </w:rPr>
            <w:t xml:space="preserve"> </w:t>
          </w:r>
          <w:r w:rsidRPr="009A46BB">
            <w:rPr>
              <w:rFonts w:ascii="Times New Roman" w:hAnsi="Times New Roman"/>
            </w:rPr>
            <w:t>NIT</w:t>
          </w:r>
        </w:p>
        <w:p w14:paraId="6E9E1D0B" w14:textId="3DD4E35D" w:rsidR="00274429" w:rsidRPr="009A46BB" w:rsidRDefault="00274429" w:rsidP="00730054">
          <w:pPr>
            <w:spacing w:after="0"/>
            <w:ind w:left="708" w:hanging="708"/>
            <w:jc w:val="both"/>
            <w:rPr>
              <w:rFonts w:ascii="Times New Roman" w:hAnsi="Times New Roman"/>
            </w:rPr>
          </w:pPr>
          <w:r w:rsidRPr="009A46BB">
            <w:rPr>
              <w:rFonts w:ascii="Times New Roman" w:hAnsi="Times New Roman"/>
              <w:b/>
            </w:rPr>
            <w:t>Número ID:</w:t>
          </w:r>
          <w:r w:rsidR="00373095" w:rsidRPr="009A46BB">
            <w:rPr>
              <w:rFonts w:ascii="Times New Roman" w:hAnsi="Times New Roman"/>
              <w:b/>
            </w:rPr>
            <w:t xml:space="preserve"> </w:t>
          </w:r>
          <w:r w:rsidRPr="009A46BB">
            <w:rPr>
              <w:rFonts w:ascii="Times New Roman" w:hAnsi="Times New Roman"/>
            </w:rPr>
            <w:t>800.206.129</w:t>
          </w:r>
        </w:p>
        <w:p w14:paraId="52F4DC28" w14:textId="032FA980" w:rsidR="00274429" w:rsidRPr="009A46BB" w:rsidRDefault="00274429" w:rsidP="00730054">
          <w:pPr>
            <w:spacing w:after="0"/>
            <w:ind w:left="708" w:hanging="708"/>
            <w:jc w:val="both"/>
            <w:rPr>
              <w:rFonts w:ascii="Times New Roman" w:hAnsi="Times New Roman"/>
            </w:rPr>
          </w:pPr>
          <w:r w:rsidRPr="009A46BB">
            <w:rPr>
              <w:rFonts w:ascii="Times New Roman" w:hAnsi="Times New Roman"/>
              <w:b/>
            </w:rPr>
            <w:t>Razón social del concesionario:</w:t>
          </w:r>
          <w:r w:rsidR="00373095" w:rsidRPr="009A46BB">
            <w:rPr>
              <w:rFonts w:ascii="Times New Roman" w:hAnsi="Times New Roman"/>
              <w:b/>
            </w:rPr>
            <w:t xml:space="preserve"> </w:t>
          </w:r>
          <w:r w:rsidRPr="009A46BB">
            <w:rPr>
              <w:rFonts w:ascii="Times New Roman" w:hAnsi="Times New Roman"/>
            </w:rPr>
            <w:t>Sociedad Portuaria Puerto Buenavista S.A</w:t>
          </w:r>
        </w:p>
        <w:p w14:paraId="48D8ABE2" w14:textId="56864E05" w:rsidR="00274429" w:rsidRPr="009A46BB" w:rsidRDefault="00274429" w:rsidP="00274429">
          <w:pPr>
            <w:ind w:left="708" w:hanging="708"/>
            <w:jc w:val="both"/>
            <w:rPr>
              <w:rFonts w:ascii="Times New Roman" w:hAnsi="Times New Roman"/>
            </w:rPr>
          </w:pPr>
          <w:r w:rsidRPr="009A46BB">
            <w:rPr>
              <w:rFonts w:ascii="Times New Roman" w:hAnsi="Times New Roman"/>
              <w:b/>
            </w:rPr>
            <w:t>Nombre del proyecto:</w:t>
          </w:r>
          <w:r w:rsidR="00373095" w:rsidRPr="009A46BB">
            <w:rPr>
              <w:rFonts w:ascii="Times New Roman" w:hAnsi="Times New Roman"/>
              <w:b/>
            </w:rPr>
            <w:t xml:space="preserve"> </w:t>
          </w:r>
          <w:r w:rsidRPr="009A46BB">
            <w:rPr>
              <w:rFonts w:ascii="Times New Roman" w:hAnsi="Times New Roman"/>
            </w:rPr>
            <w:t>Sociedad Portuaria Puerto Buenavista S.A</w:t>
          </w:r>
        </w:p>
        <w:p w14:paraId="3B46D8AA" w14:textId="4CB70513" w:rsidR="00274429" w:rsidRPr="009A46BB" w:rsidRDefault="00274429" w:rsidP="00E60BAB">
          <w:pPr>
            <w:pStyle w:val="Prrafodelista"/>
            <w:numPr>
              <w:ilvl w:val="0"/>
              <w:numId w:val="155"/>
            </w:numPr>
            <w:jc w:val="both"/>
            <w:rPr>
              <w:rFonts w:ascii="Times New Roman" w:hAnsi="Times New Roman"/>
              <w:b/>
            </w:rPr>
          </w:pPr>
          <w:r w:rsidRPr="009A46BB">
            <w:rPr>
              <w:rFonts w:ascii="Times New Roman" w:hAnsi="Times New Roman"/>
              <w:b/>
            </w:rPr>
            <w:t xml:space="preserve">Términos significativos del acuerdo que puedan afectar su valor, el calendario y la certeza de los flujos </w:t>
          </w:r>
        </w:p>
        <w:p w14:paraId="27F2CA40" w14:textId="77777777" w:rsidR="00274429" w:rsidRPr="009A46BB" w:rsidRDefault="00274429" w:rsidP="00274429">
          <w:pPr>
            <w:ind w:left="708" w:hanging="708"/>
            <w:jc w:val="both"/>
            <w:rPr>
              <w:rFonts w:ascii="Times New Roman" w:hAnsi="Times New Roman"/>
              <w:b/>
            </w:rPr>
          </w:pPr>
          <w:r w:rsidRPr="009A46BB">
            <w:rPr>
              <w:rFonts w:ascii="Times New Roman" w:hAnsi="Times New Roman"/>
              <w:b/>
            </w:rPr>
            <w:lastRenderedPageBreak/>
            <w:t>Términos de valor:</w:t>
          </w:r>
          <w:r w:rsidRPr="009A46BB">
            <w:rPr>
              <w:rFonts w:ascii="Times New Roman" w:hAnsi="Times New Roman"/>
              <w:b/>
            </w:rPr>
            <w:tab/>
          </w:r>
        </w:p>
        <w:p w14:paraId="2845C095" w14:textId="796BEA56" w:rsidR="00274429" w:rsidRPr="009A46BB" w:rsidRDefault="00373095" w:rsidP="00373095">
          <w:pPr>
            <w:jc w:val="both"/>
            <w:rPr>
              <w:rFonts w:ascii="Times New Roman" w:hAnsi="Times New Roman"/>
            </w:rPr>
          </w:pPr>
          <w:r w:rsidRPr="009A46BB">
            <w:rPr>
              <w:rFonts w:ascii="Times New Roman" w:hAnsi="Times New Roman"/>
              <w:b/>
            </w:rPr>
            <w:t xml:space="preserve">1. </w:t>
          </w:r>
          <w:r w:rsidR="00274429" w:rsidRPr="009A46BB">
            <w:rPr>
              <w:rFonts w:ascii="Times New Roman" w:hAnsi="Times New Roman"/>
              <w:b/>
            </w:rPr>
            <w:t>Tarifas:</w:t>
          </w:r>
          <w:r w:rsidR="00274429" w:rsidRPr="009A46BB">
            <w:rPr>
              <w:rFonts w:ascii="Times New Roman" w:hAnsi="Times New Roman"/>
            </w:rPr>
            <w:t xml:space="preserve">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w:t>
          </w:r>
        </w:p>
        <w:p w14:paraId="16F9EAF9" w14:textId="2969A8DF" w:rsidR="00274429" w:rsidRPr="009A46BB" w:rsidRDefault="00373095" w:rsidP="00373095">
          <w:pPr>
            <w:jc w:val="both"/>
            <w:rPr>
              <w:rFonts w:ascii="Times New Roman" w:hAnsi="Times New Roman"/>
            </w:rPr>
          </w:pPr>
          <w:r w:rsidRPr="009A46BB">
            <w:rPr>
              <w:rFonts w:ascii="Times New Roman" w:hAnsi="Times New Roman"/>
              <w:b/>
            </w:rPr>
            <w:t xml:space="preserve">2. </w:t>
          </w:r>
          <w:r w:rsidR="00274429" w:rsidRPr="009A46BB">
            <w:rPr>
              <w:rFonts w:ascii="Times New Roman" w:hAnsi="Times New Roman"/>
              <w:b/>
            </w:rPr>
            <w:t>Contraprestación portuaria:</w:t>
          </w:r>
          <w:r w:rsidR="00274429" w:rsidRPr="009A46BB">
            <w:rPr>
              <w:rFonts w:ascii="Times New Roman" w:hAnsi="Times New Roman"/>
            </w:rPr>
            <w:t xml:space="preserve"> De acuerdo con el último documento contractual vigente la metodología de contraprestación vigente es CONPES 3744 de 2013 (Componentes Fijo y Variable). A febrero de 2023 el CONCESIONARIO debió pagar la suma de USD $ 416.701.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distrito de Cartagena; e INFRAESTRUCTURA en un 100% a la Nación - Instituto Nacional de Vías (INVIAS). </w:t>
          </w:r>
        </w:p>
        <w:p w14:paraId="0CB819F1" w14:textId="5A4FBF44" w:rsidR="00274429" w:rsidRPr="009A46BB" w:rsidRDefault="00373095" w:rsidP="00373095">
          <w:pPr>
            <w:jc w:val="both"/>
            <w:rPr>
              <w:rFonts w:ascii="Times New Roman" w:hAnsi="Times New Roman"/>
            </w:rPr>
          </w:pPr>
          <w:r w:rsidRPr="009A46BB">
            <w:rPr>
              <w:rFonts w:ascii="Times New Roman" w:hAnsi="Times New Roman"/>
              <w:b/>
            </w:rPr>
            <w:t xml:space="preserve">3. </w:t>
          </w:r>
          <w:r w:rsidR="00274429" w:rsidRPr="009A46BB">
            <w:rPr>
              <w:rFonts w:ascii="Times New Roman" w:hAnsi="Times New Roman"/>
              <w:b/>
            </w:rPr>
            <w:t>Plan de Inversiones:</w:t>
          </w:r>
          <w:r w:rsidR="00274429" w:rsidRPr="009A46BB">
            <w:rPr>
              <w:rFonts w:ascii="Times New Roman" w:hAnsi="Times New Roman"/>
            </w:rPr>
            <w:t xml:space="preserve"> está establecido en la cláusula Octava del contrato, modificado por el Otrosí No.3 de 2020 que estableció en la cláusula primera, el plan de inversión será de USD $2.852.580 en valores constantes de 2016. </w:t>
          </w:r>
        </w:p>
        <w:p w14:paraId="0DC7F0F8" w14:textId="3C09D1E4" w:rsidR="00274429" w:rsidRPr="009A46BB" w:rsidRDefault="00373095" w:rsidP="00373095">
          <w:pPr>
            <w:jc w:val="both"/>
            <w:rPr>
              <w:rFonts w:ascii="Times New Roman" w:hAnsi="Times New Roman"/>
            </w:rPr>
          </w:pPr>
          <w:r w:rsidRPr="009A46BB">
            <w:rPr>
              <w:rFonts w:ascii="Times New Roman" w:hAnsi="Times New Roman"/>
              <w:b/>
            </w:rPr>
            <w:t xml:space="preserve">4. </w:t>
          </w:r>
          <w:r w:rsidR="00274429" w:rsidRPr="009A46BB">
            <w:rPr>
              <w:rFonts w:ascii="Times New Roman" w:hAnsi="Times New Roman"/>
              <w:b/>
            </w:rPr>
            <w:t xml:space="preserve">Obligaciones del CONCESIONARIO: </w:t>
          </w:r>
          <w:r w:rsidR="00274429" w:rsidRPr="009A46BB">
            <w:rPr>
              <w:rFonts w:ascii="Times New Roman" w:hAnsi="Times New Roman"/>
            </w:rPr>
            <w:t>se encuentran descritas en la cláusula Novena del Otrosí No. 2 de 2017.</w:t>
          </w:r>
        </w:p>
        <w:p w14:paraId="4A741955" w14:textId="5FC5D9FD" w:rsidR="00274429" w:rsidRPr="009A46BB" w:rsidRDefault="00373095" w:rsidP="00274429">
          <w:pPr>
            <w:ind w:left="708" w:hanging="708"/>
            <w:jc w:val="both"/>
            <w:rPr>
              <w:rFonts w:ascii="Times New Roman" w:hAnsi="Times New Roman"/>
            </w:rPr>
          </w:pPr>
          <w:r w:rsidRPr="009A46BB">
            <w:rPr>
              <w:rFonts w:ascii="Times New Roman" w:hAnsi="Times New Roman"/>
              <w:b/>
            </w:rPr>
            <w:t xml:space="preserve">5. </w:t>
          </w:r>
          <w:r w:rsidR="00274429" w:rsidRPr="009A46BB">
            <w:rPr>
              <w:rFonts w:ascii="Times New Roman" w:hAnsi="Times New Roman"/>
              <w:b/>
            </w:rPr>
            <w:t>Multas y sanciones:</w:t>
          </w:r>
          <w:r w:rsidR="00274429" w:rsidRPr="009A46BB">
            <w:rPr>
              <w:rFonts w:ascii="Times New Roman" w:hAnsi="Times New Roman"/>
            </w:rPr>
            <w:t xml:space="preserve"> están establecidas en la cláusula décima quinta del Otrosí No. 2 de 2017.</w:t>
          </w:r>
        </w:p>
        <w:p w14:paraId="62FCB768" w14:textId="04305022" w:rsidR="00274429" w:rsidRPr="009A46BB" w:rsidRDefault="00373095" w:rsidP="00373095">
          <w:pPr>
            <w:jc w:val="both"/>
            <w:rPr>
              <w:rFonts w:ascii="Times New Roman" w:hAnsi="Times New Roman"/>
            </w:rPr>
          </w:pPr>
          <w:r w:rsidRPr="009A46BB">
            <w:rPr>
              <w:rFonts w:ascii="Times New Roman" w:hAnsi="Times New Roman"/>
              <w:b/>
            </w:rPr>
            <w:t xml:space="preserve">6. </w:t>
          </w:r>
          <w:r w:rsidR="00274429" w:rsidRPr="009A46BB">
            <w:rPr>
              <w:rFonts w:ascii="Times New Roman" w:hAnsi="Times New Roman"/>
              <w:b/>
            </w:rPr>
            <w:t>Penal pecuniario:</w:t>
          </w:r>
          <w:r w:rsidR="00274429" w:rsidRPr="009A46BB">
            <w:rPr>
              <w:rFonts w:ascii="Times New Roman" w:hAnsi="Times New Roman"/>
            </w:rPr>
            <w:t xml:space="preserve"> En la cláusula décima sexta del Otrosí No. 2 de 2016 se establece que en el evento en que la ANI declare la caducidad o el incumplimiento del presente contrato se podrá imponer una penalidad pecuniaria del 10% del valor total de la contraprestación. </w:t>
          </w:r>
        </w:p>
        <w:p w14:paraId="1414EF58" w14:textId="231D855A" w:rsidR="00274429" w:rsidRPr="009A46BB" w:rsidRDefault="00373095" w:rsidP="00373095">
          <w:pPr>
            <w:jc w:val="both"/>
            <w:rPr>
              <w:rFonts w:ascii="Times New Roman" w:hAnsi="Times New Roman"/>
            </w:rPr>
          </w:pPr>
          <w:r w:rsidRPr="009A46BB">
            <w:rPr>
              <w:rFonts w:ascii="Times New Roman" w:hAnsi="Times New Roman"/>
              <w:b/>
            </w:rPr>
            <w:t xml:space="preserve">7. </w:t>
          </w:r>
          <w:r w:rsidR="00274429" w:rsidRPr="009A46BB">
            <w:rPr>
              <w:rFonts w:ascii="Times New Roman" w:hAnsi="Times New Roman"/>
              <w:b/>
            </w:rPr>
            <w:t>Riesgos:</w:t>
          </w:r>
          <w:r w:rsidR="00274429" w:rsidRPr="009A46BB">
            <w:rPr>
              <w:rFonts w:ascii="Times New Roman" w:hAnsi="Times New Roman"/>
            </w:rPr>
            <w:t xml:space="preserve"> están descritos en la cláusula Trigésimo Séptima del Otrosí No. 2 de 2017, el CONCESIONARIO acepta la totalidad de los riesgos inherentes a su ejecución en sus etapas serán asumidos por dicha sociedad. La ocurrencia de cualquier riesgo no dará derecho a indemnización o reconocimiento alguno a favor del Concesionario.</w:t>
          </w:r>
        </w:p>
        <w:p w14:paraId="022EBF4A" w14:textId="77777777" w:rsidR="00274429" w:rsidRPr="009A46BB" w:rsidRDefault="00274429" w:rsidP="00274429">
          <w:pPr>
            <w:ind w:left="708" w:hanging="708"/>
            <w:jc w:val="both"/>
            <w:rPr>
              <w:rFonts w:ascii="Times New Roman" w:hAnsi="Times New Roman"/>
            </w:rPr>
          </w:pPr>
          <w:r w:rsidRPr="009A46BB">
            <w:rPr>
              <w:rFonts w:ascii="Times New Roman" w:hAnsi="Times New Roman"/>
              <w:b/>
            </w:rPr>
            <w:t>Términos de calendario:</w:t>
          </w:r>
        </w:p>
        <w:p w14:paraId="566D35D3" w14:textId="4448A7A9" w:rsidR="00274429" w:rsidRPr="009A46BB" w:rsidRDefault="00373095" w:rsidP="00373095">
          <w:pPr>
            <w:jc w:val="both"/>
            <w:rPr>
              <w:rFonts w:ascii="Times New Roman" w:hAnsi="Times New Roman"/>
            </w:rPr>
          </w:pPr>
          <w:r w:rsidRPr="009A46BB">
            <w:rPr>
              <w:rFonts w:ascii="Times New Roman" w:hAnsi="Times New Roman"/>
              <w:b/>
            </w:rPr>
            <w:t xml:space="preserve">1. </w:t>
          </w:r>
          <w:r w:rsidR="00274429" w:rsidRPr="009A46BB">
            <w:rPr>
              <w:rFonts w:ascii="Times New Roman" w:hAnsi="Times New Roman"/>
              <w:b/>
            </w:rPr>
            <w:t>Tarifas:</w:t>
          </w:r>
          <w:r w:rsidR="00274429" w:rsidRPr="009A46BB">
            <w:rPr>
              <w:rFonts w:ascii="Times New Roman" w:hAnsi="Times New Roman"/>
            </w:rPr>
            <w:t xml:space="preserve">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w:t>
          </w:r>
        </w:p>
        <w:p w14:paraId="36B6C57C" w14:textId="66BD8448" w:rsidR="00274429" w:rsidRPr="009A46BB" w:rsidRDefault="00373095" w:rsidP="00373095">
          <w:pPr>
            <w:jc w:val="both"/>
            <w:rPr>
              <w:rFonts w:ascii="Times New Roman" w:hAnsi="Times New Roman"/>
            </w:rPr>
          </w:pPr>
          <w:r w:rsidRPr="009A46BB">
            <w:rPr>
              <w:rFonts w:ascii="Times New Roman" w:hAnsi="Times New Roman"/>
              <w:b/>
            </w:rPr>
            <w:t xml:space="preserve">2. </w:t>
          </w:r>
          <w:r w:rsidR="00274429" w:rsidRPr="009A46BB">
            <w:rPr>
              <w:rFonts w:ascii="Times New Roman" w:hAnsi="Times New Roman"/>
              <w:b/>
            </w:rPr>
            <w:t>Contraprestación portuaria:</w:t>
          </w:r>
          <w:r w:rsidR="00274429" w:rsidRPr="009A46BB">
            <w:rPr>
              <w:rFonts w:ascii="Times New Roman" w:hAnsi="Times New Roman"/>
            </w:rPr>
            <w:t xml:space="preserve"> De acuerdo con el último documento contractual vigente la metodología de contraprestación vigente es CONPES 3744 de 2013 (Componentes Fijo y Variable). A febrero de 2023 el CONCESIONARIO debió pagar la suma de USD $416.701.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distrito de Cartagena; e INFRAESTRUCTURA en un 100% a la Nación - Instituto Nacional de Vías (INVIAS). </w:t>
          </w:r>
        </w:p>
        <w:p w14:paraId="1CC2EAC2" w14:textId="0304D822" w:rsidR="00274429" w:rsidRPr="009A46BB" w:rsidRDefault="00373095" w:rsidP="00373095">
          <w:pPr>
            <w:jc w:val="both"/>
            <w:rPr>
              <w:rFonts w:ascii="Times New Roman" w:hAnsi="Times New Roman"/>
            </w:rPr>
          </w:pPr>
          <w:r w:rsidRPr="009A46BB">
            <w:rPr>
              <w:rFonts w:ascii="Times New Roman" w:hAnsi="Times New Roman"/>
              <w:b/>
            </w:rPr>
            <w:lastRenderedPageBreak/>
            <w:t xml:space="preserve">3. </w:t>
          </w:r>
          <w:r w:rsidR="00274429" w:rsidRPr="009A46BB">
            <w:rPr>
              <w:rFonts w:ascii="Times New Roman" w:hAnsi="Times New Roman"/>
              <w:b/>
            </w:rPr>
            <w:t>Plan de Inversiones:</w:t>
          </w:r>
          <w:r w:rsidR="00274429" w:rsidRPr="009A46BB">
            <w:rPr>
              <w:rFonts w:ascii="Times New Roman" w:hAnsi="Times New Roman"/>
            </w:rPr>
            <w:t xml:space="preserve"> está establecido en la cláusula Octava del contrato, modificado por el Otrosí No.3 de 2020 que estableció en la cláusula primera, el plan de inversión será de USD $2.852.580 en valores constantes de 2016. </w:t>
          </w:r>
        </w:p>
        <w:p w14:paraId="7CB4DD9A" w14:textId="3254D5B0" w:rsidR="00274429" w:rsidRPr="009A46BB" w:rsidRDefault="00373095" w:rsidP="00373095">
          <w:pPr>
            <w:jc w:val="both"/>
            <w:rPr>
              <w:rFonts w:ascii="Times New Roman" w:hAnsi="Times New Roman"/>
            </w:rPr>
          </w:pPr>
          <w:r w:rsidRPr="009A46BB">
            <w:rPr>
              <w:rFonts w:ascii="Times New Roman" w:hAnsi="Times New Roman"/>
              <w:b/>
            </w:rPr>
            <w:t xml:space="preserve">4. </w:t>
          </w:r>
          <w:r w:rsidR="00274429" w:rsidRPr="009A46BB">
            <w:rPr>
              <w:rFonts w:ascii="Times New Roman" w:hAnsi="Times New Roman"/>
              <w:b/>
            </w:rPr>
            <w:t>Obligaciones del CONCESIONARIO:</w:t>
          </w:r>
          <w:r w:rsidR="00274429" w:rsidRPr="009A46BB">
            <w:rPr>
              <w:rFonts w:ascii="Times New Roman" w:hAnsi="Times New Roman"/>
            </w:rPr>
            <w:t xml:space="preserve"> se encuentran descritas en la cláusula Novena del Otrosí No. 2 de 2017.</w:t>
          </w:r>
        </w:p>
        <w:p w14:paraId="41A667F0" w14:textId="7B968BDD" w:rsidR="00274429" w:rsidRPr="009A46BB" w:rsidRDefault="00373095" w:rsidP="00274429">
          <w:pPr>
            <w:ind w:left="708" w:hanging="708"/>
            <w:jc w:val="both"/>
            <w:rPr>
              <w:rFonts w:ascii="Times New Roman" w:hAnsi="Times New Roman"/>
            </w:rPr>
          </w:pPr>
          <w:r w:rsidRPr="009A46BB">
            <w:rPr>
              <w:rFonts w:ascii="Times New Roman" w:hAnsi="Times New Roman"/>
              <w:b/>
            </w:rPr>
            <w:t xml:space="preserve">5. </w:t>
          </w:r>
          <w:r w:rsidR="00274429" w:rsidRPr="009A46BB">
            <w:rPr>
              <w:rFonts w:ascii="Times New Roman" w:hAnsi="Times New Roman"/>
              <w:b/>
            </w:rPr>
            <w:t>Multas y sanciones:</w:t>
          </w:r>
          <w:r w:rsidR="00274429" w:rsidRPr="009A46BB">
            <w:rPr>
              <w:rFonts w:ascii="Times New Roman" w:hAnsi="Times New Roman"/>
            </w:rPr>
            <w:t xml:space="preserve"> están establecidas en la cláusula décima quinta del Otrosí No. 2 de 2017.</w:t>
          </w:r>
        </w:p>
        <w:p w14:paraId="27EE39EE" w14:textId="77777777" w:rsidR="00274429" w:rsidRPr="009A46BB" w:rsidRDefault="00274429" w:rsidP="00274429">
          <w:pPr>
            <w:ind w:left="708" w:hanging="708"/>
            <w:jc w:val="both"/>
            <w:rPr>
              <w:rFonts w:ascii="Times New Roman" w:hAnsi="Times New Roman"/>
            </w:rPr>
          </w:pPr>
          <w:r w:rsidRPr="009A46BB">
            <w:rPr>
              <w:rFonts w:ascii="Times New Roman" w:hAnsi="Times New Roman"/>
              <w:b/>
            </w:rPr>
            <w:t>Términos de certeza de flujos de efectivo futuros:</w:t>
          </w:r>
        </w:p>
        <w:p w14:paraId="79312DD5" w14:textId="77777777" w:rsidR="00274429" w:rsidRPr="009A46BB" w:rsidRDefault="00274429" w:rsidP="00274429">
          <w:pPr>
            <w:jc w:val="both"/>
            <w:rPr>
              <w:rFonts w:ascii="Times New Roman" w:hAnsi="Times New Roman"/>
            </w:rPr>
          </w:pPr>
          <w:r w:rsidRPr="009A46BB">
            <w:rPr>
              <w:rFonts w:ascii="Times New Roman" w:hAnsi="Times New Roman"/>
            </w:rPr>
            <w:t>Se otorga a EL CONCESIONARIO el derecho de ocupar y utilizar en forma temporal y exclusiva las playas, los terrenos de bajamar y zonas accesorias a aquellas o estos, descritos en la cláusula segunda del contrato, a cambio de la contraprestación económica.</w:t>
          </w:r>
        </w:p>
        <w:p w14:paraId="6EB8446E" w14:textId="77777777" w:rsidR="00274429" w:rsidRPr="009A46BB" w:rsidRDefault="00274429" w:rsidP="00274429">
          <w:pPr>
            <w:jc w:val="both"/>
            <w:rPr>
              <w:rFonts w:ascii="Times New Roman" w:hAnsi="Times New Roman"/>
            </w:rPr>
          </w:pPr>
          <w:r w:rsidRPr="009A46BB">
            <w:rPr>
              <w:rFonts w:ascii="Times New Roman" w:hAnsi="Times New Roman"/>
            </w:rPr>
            <w:t>Cláusula Cuarta Otrosí No.3 de 2020, numeral iv) Del valor a pagar por concepto de contraprestación por Zona de Uso público el 80% le corresponde a la Nación-INVIAS y el 20 % al Distrito turístico de Cartagena de Indias y por Infraestructura el 100% a la Nación-INVIAS.</w:t>
          </w:r>
        </w:p>
        <w:p w14:paraId="2E261A23" w14:textId="6E30575F" w:rsidR="00274429" w:rsidRPr="009A46BB" w:rsidRDefault="00274429" w:rsidP="00E60BAB">
          <w:pPr>
            <w:pStyle w:val="Prrafodelista"/>
            <w:numPr>
              <w:ilvl w:val="0"/>
              <w:numId w:val="155"/>
            </w:numPr>
            <w:jc w:val="both"/>
            <w:rPr>
              <w:rFonts w:ascii="Times New Roman" w:hAnsi="Times New Roman"/>
            </w:rPr>
          </w:pPr>
          <w:r w:rsidRPr="009A46BB">
            <w:rPr>
              <w:rFonts w:ascii="Times New Roman" w:hAnsi="Times New Roman"/>
              <w:b/>
            </w:rPr>
            <w:t>Naturaleza y alcance del derecho a utilizar activos especificados, de los aspectos pactados en torno a lo que se espera que el concesionario proporcione en relación con el acuerdo de concesión</w:t>
          </w:r>
        </w:p>
        <w:p w14:paraId="06C57308" w14:textId="77777777" w:rsidR="00274429" w:rsidRPr="009A46BB" w:rsidRDefault="00274429" w:rsidP="00274429">
          <w:pPr>
            <w:ind w:left="708" w:hanging="708"/>
            <w:jc w:val="both"/>
            <w:rPr>
              <w:rFonts w:ascii="Times New Roman" w:hAnsi="Times New Roman"/>
              <w:b/>
            </w:rPr>
          </w:pPr>
          <w:r w:rsidRPr="009A46BB">
            <w:rPr>
              <w:rFonts w:ascii="Times New Roman" w:hAnsi="Times New Roman"/>
              <w:b/>
            </w:rPr>
            <w:t>Naturaleza y alcance del derecho de uso de los activos</w:t>
          </w:r>
        </w:p>
        <w:p w14:paraId="5FDAA3DD" w14:textId="77777777" w:rsidR="00274429" w:rsidRPr="009A46BB" w:rsidRDefault="00274429" w:rsidP="00274429">
          <w:pPr>
            <w:ind w:left="708" w:hanging="708"/>
            <w:jc w:val="both"/>
            <w:rPr>
              <w:rFonts w:ascii="Times New Roman" w:hAnsi="Times New Roman"/>
              <w:b/>
            </w:rPr>
          </w:pPr>
          <w:r w:rsidRPr="009A46BB">
            <w:rPr>
              <w:rFonts w:ascii="Times New Roman" w:hAnsi="Times New Roman"/>
              <w:b/>
            </w:rPr>
            <w:t>Descripción:</w:t>
          </w:r>
          <w:r w:rsidRPr="009A46BB">
            <w:rPr>
              <w:rFonts w:ascii="Times New Roman" w:hAnsi="Times New Roman"/>
              <w:b/>
            </w:rPr>
            <w:tab/>
          </w:r>
        </w:p>
        <w:p w14:paraId="61CD4AB2" w14:textId="77777777" w:rsidR="00274429" w:rsidRPr="009A46BB" w:rsidRDefault="00274429" w:rsidP="00274429">
          <w:pPr>
            <w:ind w:left="708" w:hanging="708"/>
            <w:jc w:val="both"/>
            <w:rPr>
              <w:rFonts w:ascii="Times New Roman" w:hAnsi="Times New Roman"/>
              <w:b/>
            </w:rPr>
          </w:pPr>
          <w:r w:rsidRPr="009A46BB">
            <w:rPr>
              <w:rFonts w:ascii="Times New Roman" w:hAnsi="Times New Roman"/>
              <w:b/>
            </w:rPr>
            <w:t>Activos reconocidos</w:t>
          </w:r>
        </w:p>
        <w:p w14:paraId="1BB780B5" w14:textId="77777777" w:rsidR="00274429" w:rsidRPr="009A46BB" w:rsidRDefault="00274429" w:rsidP="00274429">
          <w:pPr>
            <w:ind w:left="708" w:hanging="708"/>
            <w:jc w:val="both"/>
            <w:rPr>
              <w:rFonts w:ascii="Times New Roman" w:hAnsi="Times New Roman"/>
              <w:b/>
            </w:rPr>
          </w:pPr>
          <w:r w:rsidRPr="009A46BB">
            <w:rPr>
              <w:rFonts w:ascii="Times New Roman" w:hAnsi="Times New Roman"/>
              <w:b/>
            </w:rPr>
            <w:t>Alcance del derecho de uso de los activos:</w:t>
          </w:r>
        </w:p>
        <w:p w14:paraId="69D164C3" w14:textId="59808FB3" w:rsidR="00274429" w:rsidRPr="009A46BB" w:rsidRDefault="00274429" w:rsidP="00274429">
          <w:pPr>
            <w:jc w:val="both"/>
            <w:rPr>
              <w:rFonts w:ascii="Times New Roman" w:hAnsi="Times New Roman"/>
            </w:rPr>
          </w:pPr>
          <w:r w:rsidRPr="009A46BB">
            <w:rPr>
              <w:rFonts w:ascii="Times New Roman" w:hAnsi="Times New Roman"/>
              <w:b/>
            </w:rPr>
            <w:t>Descripción del proyecto, especificaciones técnicas, modalidades de operación:</w:t>
          </w:r>
          <w:r w:rsidRPr="009A46BB">
            <w:rPr>
              <w:rFonts w:ascii="Times New Roman" w:hAnsi="Times New Roman"/>
            </w:rPr>
            <w:t xml:space="preserve"> las condiciones especiales de operación del puerto están establecidas en la cláusula quinta del Contrato.</w:t>
          </w:r>
        </w:p>
        <w:p w14:paraId="211371D8" w14:textId="3415ADF4" w:rsidR="00274429" w:rsidRPr="009A46BB" w:rsidRDefault="00274429" w:rsidP="00274429">
          <w:pPr>
            <w:jc w:val="both"/>
            <w:rPr>
              <w:rFonts w:ascii="Times New Roman" w:hAnsi="Times New Roman"/>
            </w:rPr>
          </w:pPr>
          <w:r w:rsidRPr="009A46BB">
            <w:rPr>
              <w:rFonts w:ascii="Times New Roman" w:hAnsi="Times New Roman"/>
              <w:b/>
            </w:rPr>
            <w:t>Área entregada en concesión:</w:t>
          </w:r>
          <w:r w:rsidRPr="009A46BB">
            <w:rPr>
              <w:rFonts w:ascii="Times New Roman" w:hAnsi="Times New Roman"/>
            </w:rPr>
            <w:t xml:space="preserve"> La descripción de la ubicación, linderos y extensión de los bienes de uso público (playas y terrenos de baja mar, zonas marítimas accesorias de maniobras) entregados en concesión están establecidos en la cláusula segunda del Contrato.</w:t>
          </w:r>
        </w:p>
        <w:p w14:paraId="02033F9E" w14:textId="3EBF4102" w:rsidR="00274429" w:rsidRPr="009A46BB" w:rsidRDefault="00274429" w:rsidP="00274429">
          <w:pPr>
            <w:jc w:val="both"/>
            <w:rPr>
              <w:rFonts w:ascii="Times New Roman" w:hAnsi="Times New Roman"/>
            </w:rPr>
          </w:pPr>
          <w:r w:rsidRPr="009A46BB">
            <w:rPr>
              <w:rFonts w:ascii="Times New Roman" w:hAnsi="Times New Roman"/>
              <w:b/>
            </w:rPr>
            <w:t>Infraestructura y equipos entregados en concesión:</w:t>
          </w:r>
          <w:r w:rsidRPr="009A46BB">
            <w:rPr>
              <w:rFonts w:ascii="Times New Roman" w:hAnsi="Times New Roman"/>
            </w:rPr>
            <w:t xml:space="preserve"> En el Formato de Registro de las Instalaciones de Muelles Privados y Públicos se describe que lo entregado en concesión fue:</w:t>
          </w:r>
        </w:p>
        <w:p w14:paraId="51AC4333" w14:textId="4A2DBB9F" w:rsidR="00274429" w:rsidRPr="009A46BB" w:rsidRDefault="00274429" w:rsidP="00274429">
          <w:pPr>
            <w:ind w:left="708" w:hanging="708"/>
            <w:jc w:val="both"/>
            <w:rPr>
              <w:rFonts w:ascii="Times New Roman" w:hAnsi="Times New Roman"/>
            </w:rPr>
          </w:pPr>
          <w:r w:rsidRPr="009A46BB">
            <w:rPr>
              <w:rFonts w:ascii="Times New Roman" w:hAnsi="Times New Roman"/>
              <w:b/>
            </w:rPr>
            <w:t>Infraestructura:</w:t>
          </w:r>
          <w:r w:rsidRPr="009A46BB">
            <w:rPr>
              <w:rFonts w:ascii="Times New Roman" w:hAnsi="Times New Roman"/>
            </w:rPr>
            <w:t xml:space="preserve"> Plataforma Muelle, Estructura metálica tablaestaca, oficinas, bodegas.</w:t>
          </w:r>
        </w:p>
        <w:p w14:paraId="589ADB36" w14:textId="5783B10E" w:rsidR="00274429" w:rsidRPr="009A46BB" w:rsidRDefault="00274429" w:rsidP="00274429">
          <w:pPr>
            <w:jc w:val="both"/>
            <w:rPr>
              <w:rFonts w:ascii="Times New Roman" w:hAnsi="Times New Roman"/>
            </w:rPr>
          </w:pPr>
          <w:r w:rsidRPr="009A46BB">
            <w:rPr>
              <w:rFonts w:ascii="Times New Roman" w:hAnsi="Times New Roman"/>
              <w:b/>
            </w:rPr>
            <w:t xml:space="preserve">Equipos: </w:t>
          </w:r>
          <w:r w:rsidRPr="009A46BB">
            <w:rPr>
              <w:rFonts w:ascii="Times New Roman" w:hAnsi="Times New Roman"/>
            </w:rPr>
            <w:t>Equipos de control y acometida eléctrica, tolva acero al carbón de ¼, 2 bandas transportadoras de ancho 24” 3, 2 cucharas grandes CAP 5.0, 2 tolvas para cargue de volquetas.</w:t>
          </w:r>
        </w:p>
        <w:p w14:paraId="47D895BC" w14:textId="77777777" w:rsidR="00274429" w:rsidRPr="009A46BB" w:rsidRDefault="00274429" w:rsidP="00274429">
          <w:pPr>
            <w:ind w:left="708" w:hanging="708"/>
            <w:jc w:val="both"/>
            <w:rPr>
              <w:rFonts w:ascii="Times New Roman" w:hAnsi="Times New Roman"/>
              <w:b/>
            </w:rPr>
          </w:pPr>
          <w:r w:rsidRPr="009A46BB">
            <w:rPr>
              <w:rFonts w:ascii="Times New Roman" w:hAnsi="Times New Roman"/>
              <w:b/>
            </w:rPr>
            <w:t>Retribución al concesionario</w:t>
          </w:r>
        </w:p>
        <w:p w14:paraId="5AF53572" w14:textId="722C4E4F" w:rsidR="00274429" w:rsidRPr="009A46BB" w:rsidRDefault="00274429" w:rsidP="00274429">
          <w:pPr>
            <w:jc w:val="both"/>
            <w:rPr>
              <w:rFonts w:ascii="Times New Roman" w:hAnsi="Times New Roman"/>
            </w:rPr>
          </w:pPr>
          <w:r w:rsidRPr="009A46BB">
            <w:rPr>
              <w:rFonts w:ascii="Times New Roman" w:hAnsi="Times New Roman"/>
              <w:b/>
            </w:rPr>
            <w:t>Descripción:</w:t>
          </w:r>
          <w:r w:rsidRPr="009A46BB">
            <w:rPr>
              <w:rFonts w:ascii="Times New Roman" w:hAnsi="Times New Roman"/>
              <w:b/>
            </w:rPr>
            <w:tab/>
          </w:r>
          <w:r w:rsidRPr="009A46BB">
            <w:rPr>
              <w:rFonts w:ascii="Times New Roman" w:hAnsi="Times New Roman"/>
            </w:rPr>
            <w:t xml:space="preserve">En virtud del Contrato de concesión y sus modificaciones, se otorga una concesión portuaria para la ocupación y utilización de las playas, los terrenos de bajamar y las zonas accesorias a aquellas que forman parte de los lotes de propiedad de ABOCOL, que están localizados en la zona industrial de Mamonal sobre la Bahía de Cartagena en el lugar denominado Ensenada de Buenavista con el propósito de ampliar las instalaciones actuales y continuar con el funcionamiento del puerto, prestando servicio al público en general para la movilización de graneles líquidos, sólidos, contenedores y carga general, utilizando en forma temporal y exclusiva un frente de playa de 211 </w:t>
          </w:r>
          <w:r w:rsidRPr="009A46BB">
            <w:rPr>
              <w:rFonts w:ascii="Times New Roman" w:hAnsi="Times New Roman"/>
            </w:rPr>
            <w:lastRenderedPageBreak/>
            <w:t>metros lineales y una zona accesoria especificada en el contrato, conforme lo establece la Cláusula Primera del Contrato.</w:t>
          </w:r>
        </w:p>
        <w:p w14:paraId="0C1042B0" w14:textId="77777777" w:rsidR="00274429" w:rsidRPr="009A46BB" w:rsidRDefault="00274429" w:rsidP="00274429">
          <w:pPr>
            <w:ind w:left="708" w:hanging="708"/>
            <w:jc w:val="both"/>
            <w:rPr>
              <w:rFonts w:ascii="Times New Roman" w:hAnsi="Times New Roman"/>
            </w:rPr>
          </w:pPr>
          <w:r w:rsidRPr="009A46BB">
            <w:rPr>
              <w:rFonts w:ascii="Times New Roman" w:hAnsi="Times New Roman"/>
              <w:b/>
            </w:rPr>
            <w:t>Tasa de retribución:</w:t>
          </w:r>
          <w:r w:rsidRPr="009A46BB">
            <w:rPr>
              <w:rFonts w:ascii="Times New Roman" w:hAnsi="Times New Roman"/>
            </w:rPr>
            <w:tab/>
            <w:t>N/A</w:t>
          </w:r>
        </w:p>
        <w:p w14:paraId="66DB1F78" w14:textId="42F88DA9" w:rsidR="00274429" w:rsidRPr="009A46BB" w:rsidRDefault="00274429" w:rsidP="00E60BAB">
          <w:pPr>
            <w:pStyle w:val="Prrafodelista"/>
            <w:numPr>
              <w:ilvl w:val="0"/>
              <w:numId w:val="155"/>
            </w:numPr>
            <w:jc w:val="both"/>
            <w:rPr>
              <w:rFonts w:ascii="Times New Roman" w:hAnsi="Times New Roman"/>
              <w:b/>
            </w:rPr>
          </w:pPr>
          <w:r w:rsidRPr="009A46BB">
            <w:rPr>
              <w:rFonts w:ascii="Times New Roman" w:hAnsi="Times New Roman"/>
              <w:b/>
            </w:rPr>
            <w:t>Derechos a recibir activos especificados al final del acuerdo de concesión</w:t>
          </w:r>
        </w:p>
        <w:p w14:paraId="7F532E02" w14:textId="77777777" w:rsidR="00274429" w:rsidRPr="009A46BB" w:rsidRDefault="00274429" w:rsidP="00274429">
          <w:pPr>
            <w:ind w:left="708" w:hanging="708"/>
            <w:jc w:val="both"/>
            <w:rPr>
              <w:rFonts w:ascii="Times New Roman" w:hAnsi="Times New Roman"/>
              <w:b/>
            </w:rPr>
          </w:pPr>
          <w:r w:rsidRPr="009A46BB">
            <w:rPr>
              <w:rFonts w:ascii="Times New Roman" w:hAnsi="Times New Roman"/>
              <w:b/>
            </w:rPr>
            <w:t>Descripción:</w:t>
          </w:r>
        </w:p>
        <w:p w14:paraId="351906C0" w14:textId="77777777" w:rsidR="00274429" w:rsidRPr="009A46BB" w:rsidRDefault="00274429" w:rsidP="00274429">
          <w:pPr>
            <w:jc w:val="both"/>
            <w:rPr>
              <w:rFonts w:ascii="Times New Roman" w:hAnsi="Times New Roman"/>
            </w:rPr>
          </w:pPr>
          <w:r w:rsidRPr="009A46BB">
            <w:rPr>
              <w:rFonts w:ascii="Times New Roman" w:hAnsi="Times New Roman"/>
            </w:rPr>
            <w:t>De acuerdo con el Artículo 8º de la Ley 1 de 1991 en el modo portuario el concesionario no tiene derechos finales sobre activos los debe revertir a la Nación al final del contrato de concesión.</w:t>
          </w:r>
        </w:p>
        <w:p w14:paraId="1C24CFB1" w14:textId="77777777" w:rsidR="00274429" w:rsidRPr="009A46BB" w:rsidRDefault="00274429" w:rsidP="00274429">
          <w:pPr>
            <w:jc w:val="both"/>
            <w:rPr>
              <w:rFonts w:ascii="Times New Roman" w:hAnsi="Times New Roman"/>
            </w:rPr>
          </w:pPr>
          <w:r w:rsidRPr="009A46BB">
            <w:rPr>
              <w:rFonts w:ascii="Times New Roman" w:hAnsi="Times New Roman"/>
              <w:b/>
            </w:rPr>
            <w:t>Observaciones:</w:t>
          </w:r>
        </w:p>
        <w:p w14:paraId="4B4067E8" w14:textId="77777777" w:rsidR="00274429" w:rsidRPr="009A46BB" w:rsidRDefault="00274429" w:rsidP="00274429">
          <w:pPr>
            <w:jc w:val="both"/>
            <w:rPr>
              <w:rFonts w:ascii="Times New Roman" w:hAnsi="Times New Roman"/>
            </w:rPr>
          </w:pPr>
          <w:r w:rsidRPr="009A46BB">
            <w:rPr>
              <w:rFonts w:ascii="Times New Roman" w:hAnsi="Times New Roman"/>
              <w:b/>
            </w:rPr>
            <w:t>Reversión:</w:t>
          </w:r>
          <w:r w:rsidRPr="009A46BB">
            <w:rPr>
              <w:rFonts w:ascii="Times New Roman" w:hAnsi="Times New Roman"/>
            </w:rPr>
            <w:t xml:space="preserve"> De acuerdo con lo establecido en la cláusula decimoquinta del Otrosí No. 2 de 2017, la zona de uso público durante el término de la concesión deberá revertir a la Nación de acuerdo con lo establecido en el inciso final del artículo 8 de la Ley 1 de 1991 y en los términos de la Cláusula Décima Primera del Contrato de Concesión No. 020 de 1997. </w:t>
          </w:r>
        </w:p>
        <w:p w14:paraId="00DF0860" w14:textId="77777777" w:rsidR="00274429" w:rsidRPr="009A46BB" w:rsidRDefault="00274429" w:rsidP="00274429">
          <w:pPr>
            <w:jc w:val="both"/>
            <w:rPr>
              <w:rFonts w:ascii="Times New Roman" w:hAnsi="Times New Roman"/>
            </w:rPr>
          </w:pPr>
          <w:r w:rsidRPr="009A46BB">
            <w:rPr>
              <w:rFonts w:ascii="Times New Roman" w:hAnsi="Times New Roman"/>
            </w:rPr>
            <w:t>En razón a que parte de la infraestructura asociada al proyecto no se ubica exclusivamente en zona de uso público, sino que abarca también zona adyacente, como en el caso de la línea de amoniaco, la reversión de dicha infraestructura, deber ser legalmente viable, y en caso de la no continuidad en la operación del terminal portuario para la prestación del servicio público al que está destinado, podrá, adelantarse bajo la figura de compensación en dinero. Para cuyos efectos el valor a reconocer determinará con base en el avalúo que a dicha fecha deberá presentar el concesionario.</w:t>
          </w:r>
        </w:p>
        <w:p w14:paraId="0750FD3B" w14:textId="77777777" w:rsidR="00274429" w:rsidRPr="009A46BB" w:rsidRDefault="00274429" w:rsidP="00274429">
          <w:pPr>
            <w:jc w:val="both"/>
            <w:rPr>
              <w:rFonts w:ascii="Times New Roman" w:hAnsi="Times New Roman"/>
            </w:rPr>
          </w:pPr>
          <w:r w:rsidRPr="009A46BB">
            <w:rPr>
              <w:rFonts w:ascii="Times New Roman" w:hAnsi="Times New Roman"/>
            </w:rPr>
            <w:t>Para tal fin, en el momento de la reversión el CONCESIONARIO elaborará un inventario de los bienes y los enviará para su revisión y aprobación.</w:t>
          </w:r>
        </w:p>
        <w:p w14:paraId="490F764F" w14:textId="77777777" w:rsidR="00274429" w:rsidRPr="009A46BB" w:rsidRDefault="00274429" w:rsidP="00274429">
          <w:pPr>
            <w:jc w:val="both"/>
            <w:rPr>
              <w:rFonts w:ascii="Times New Roman" w:hAnsi="Times New Roman"/>
            </w:rPr>
          </w:pPr>
          <w:r w:rsidRPr="009A46BB">
            <w:rPr>
              <w:rFonts w:ascii="Times New Roman" w:hAnsi="Times New Roman"/>
            </w:rPr>
            <w:t>La ANI es la entidad concedente pero la titularidad de los activos al final de la concesión es del Instituto Nacional de Vías INVIAS.</w:t>
          </w:r>
        </w:p>
        <w:p w14:paraId="713A8AAD" w14:textId="06939C96" w:rsidR="00274429" w:rsidRPr="009A46BB" w:rsidRDefault="00274429" w:rsidP="00E60BAB">
          <w:pPr>
            <w:pStyle w:val="Prrafodelista"/>
            <w:numPr>
              <w:ilvl w:val="0"/>
              <w:numId w:val="155"/>
            </w:numPr>
            <w:jc w:val="both"/>
            <w:rPr>
              <w:rFonts w:ascii="Times New Roman" w:hAnsi="Times New Roman"/>
              <w:b/>
            </w:rPr>
          </w:pPr>
          <w:r w:rsidRPr="009A46BB">
            <w:rPr>
              <w:rFonts w:ascii="Times New Roman" w:hAnsi="Times New Roman"/>
              <w:b/>
            </w:rPr>
            <w:t>Cambios en el acuerdo de concesión que se realicen durante el periodo fiscal</w:t>
          </w:r>
        </w:p>
        <w:p w14:paraId="6DE70C6D" w14:textId="77777777" w:rsidR="00274429" w:rsidRPr="009A46BB" w:rsidRDefault="00274429" w:rsidP="66A7D45D">
          <w:pPr>
            <w:spacing w:after="0"/>
            <w:ind w:left="708" w:hanging="708"/>
            <w:jc w:val="both"/>
            <w:rPr>
              <w:rFonts w:ascii="Times New Roman" w:hAnsi="Times New Roman"/>
              <w:b/>
            </w:rPr>
          </w:pPr>
          <w:r w:rsidRPr="009A46BB">
            <w:rPr>
              <w:rFonts w:ascii="Times New Roman" w:hAnsi="Times New Roman"/>
              <w:b/>
            </w:rPr>
            <w:t>Adiciones o modificaciones en tiempo</w:t>
          </w:r>
        </w:p>
        <w:p w14:paraId="1E6E7CFC" w14:textId="2DEE6681" w:rsidR="00274429" w:rsidRPr="009A46BB" w:rsidRDefault="00274429" w:rsidP="66A7D45D">
          <w:pPr>
            <w:spacing w:after="0"/>
            <w:ind w:left="708" w:hanging="708"/>
            <w:jc w:val="both"/>
            <w:rPr>
              <w:rFonts w:ascii="Times New Roman" w:hAnsi="Times New Roman"/>
            </w:rPr>
          </w:pPr>
          <w:r w:rsidRPr="009A46BB">
            <w:rPr>
              <w:rFonts w:ascii="Times New Roman" w:hAnsi="Times New Roman"/>
              <w:b/>
            </w:rPr>
            <w:t>Fechas de las adiciones o modificaciones</w:t>
          </w:r>
          <w:r w:rsidR="00373095" w:rsidRPr="009A46BB">
            <w:rPr>
              <w:rFonts w:ascii="Times New Roman" w:hAnsi="Times New Roman"/>
              <w:b/>
            </w:rPr>
            <w:t xml:space="preserve">: </w:t>
          </w:r>
          <w:r w:rsidRPr="009A46BB">
            <w:rPr>
              <w:rFonts w:ascii="Times New Roman" w:hAnsi="Times New Roman"/>
            </w:rPr>
            <w:t>29/09/2017</w:t>
          </w:r>
        </w:p>
        <w:p w14:paraId="776ECB49" w14:textId="0F5B7607" w:rsidR="00274429" w:rsidRPr="009A46BB" w:rsidRDefault="00274429" w:rsidP="66A7D45D">
          <w:pPr>
            <w:spacing w:after="0"/>
            <w:ind w:left="708" w:hanging="708"/>
            <w:jc w:val="both"/>
            <w:rPr>
              <w:rFonts w:ascii="Times New Roman" w:hAnsi="Times New Roman"/>
            </w:rPr>
          </w:pPr>
          <w:r w:rsidRPr="009A46BB">
            <w:rPr>
              <w:rFonts w:ascii="Times New Roman" w:hAnsi="Times New Roman"/>
              <w:b/>
            </w:rPr>
            <w:t>Nueva fecha de finalización estimada</w:t>
          </w:r>
          <w:r w:rsidR="00373095" w:rsidRPr="009A46BB">
            <w:rPr>
              <w:rFonts w:ascii="Times New Roman" w:hAnsi="Times New Roman"/>
              <w:b/>
            </w:rPr>
            <w:t xml:space="preserve">: </w:t>
          </w:r>
          <w:r w:rsidRPr="009A46BB">
            <w:rPr>
              <w:rFonts w:ascii="Times New Roman" w:hAnsi="Times New Roman"/>
            </w:rPr>
            <w:t>29/09/2037</w:t>
          </w:r>
        </w:p>
        <w:p w14:paraId="70799A84" w14:textId="77777777" w:rsidR="00274429" w:rsidRPr="009A46BB" w:rsidRDefault="00274429" w:rsidP="66A7D45D">
          <w:pPr>
            <w:spacing w:after="0"/>
            <w:ind w:left="708" w:hanging="708"/>
            <w:jc w:val="both"/>
            <w:rPr>
              <w:rFonts w:ascii="Times New Roman" w:hAnsi="Times New Roman"/>
            </w:rPr>
          </w:pPr>
          <w:r w:rsidRPr="009A46BB">
            <w:rPr>
              <w:rFonts w:ascii="Times New Roman" w:hAnsi="Times New Roman"/>
              <w:b/>
            </w:rPr>
            <w:t>Observaciones</w:t>
          </w:r>
        </w:p>
        <w:p w14:paraId="0429A27B" w14:textId="77777777" w:rsidR="00274429" w:rsidRPr="009A46BB" w:rsidRDefault="00274429" w:rsidP="66A7D45D">
          <w:pPr>
            <w:spacing w:after="0"/>
            <w:jc w:val="both"/>
            <w:rPr>
              <w:rFonts w:ascii="Times New Roman" w:hAnsi="Times New Roman"/>
            </w:rPr>
          </w:pPr>
          <w:r w:rsidRPr="009A46BB">
            <w:rPr>
              <w:rFonts w:ascii="Times New Roman" w:hAnsi="Times New Roman"/>
            </w:rPr>
            <w:t>En la cláusula décima séptima del Otrosí No. 2 de 2017 se establece que dado la prórroga otorgada en el Otrosí No. 2, se entiende agotada la única posibilidad de prórroga a la que tiene derecho el concesionario de conformidad con lo señalado en la Ley y por la corte Constitucional en la Sentencia C-068 de 2009.</w:t>
          </w:r>
        </w:p>
        <w:p w14:paraId="4C4B0B25" w14:textId="77777777" w:rsidR="00274429" w:rsidRPr="009A46BB" w:rsidRDefault="00274429" w:rsidP="00274429">
          <w:pPr>
            <w:jc w:val="both"/>
            <w:rPr>
              <w:rFonts w:ascii="Times New Roman" w:hAnsi="Times New Roman"/>
            </w:rPr>
          </w:pPr>
        </w:p>
        <w:p w14:paraId="75F768B3" w14:textId="08320C5A" w:rsidR="00274429" w:rsidRPr="009A46BB" w:rsidRDefault="00373095" w:rsidP="00373095">
          <w:pPr>
            <w:spacing w:line="259" w:lineRule="auto"/>
            <w:jc w:val="both"/>
            <w:rPr>
              <w:rFonts w:ascii="Times New Roman" w:hAnsi="Times New Roman"/>
              <w:b/>
            </w:rPr>
          </w:pPr>
          <w:r w:rsidRPr="009A46BB">
            <w:rPr>
              <w:rFonts w:ascii="Times New Roman" w:hAnsi="Times New Roman"/>
              <w:b/>
            </w:rPr>
            <w:t>SOCIEDAD OILTANKING COLOMBIA S.A.</w:t>
          </w:r>
        </w:p>
        <w:p w14:paraId="3E0DD908" w14:textId="6B5215F0" w:rsidR="00274429" w:rsidRPr="009A46BB" w:rsidRDefault="00274429" w:rsidP="00274429">
          <w:pPr>
            <w:jc w:val="both"/>
            <w:rPr>
              <w:rFonts w:ascii="Times New Roman" w:hAnsi="Times New Roman"/>
              <w:b/>
            </w:rPr>
          </w:pPr>
          <w:r w:rsidRPr="009A46BB">
            <w:rPr>
              <w:rFonts w:ascii="Times New Roman" w:hAnsi="Times New Roman"/>
              <w:b/>
            </w:rPr>
            <w:t>a.</w:t>
          </w:r>
          <w:r w:rsidR="66A7D45D" w:rsidRPr="66A7D45D">
            <w:rPr>
              <w:rFonts w:ascii="Times New Roman" w:hAnsi="Times New Roman"/>
              <w:b/>
              <w:bCs/>
            </w:rPr>
            <w:t xml:space="preserve"> </w:t>
          </w:r>
          <w:r w:rsidRPr="009A46BB">
            <w:rPr>
              <w:rFonts w:ascii="Times New Roman" w:hAnsi="Times New Roman"/>
              <w:b/>
            </w:rPr>
            <w:t>Descripción del acuerdo</w:t>
          </w:r>
        </w:p>
        <w:p w14:paraId="5AFE3224" w14:textId="7BF2F4C4" w:rsidR="00274429" w:rsidRPr="009A46BB" w:rsidRDefault="00274429" w:rsidP="66A7D45D">
          <w:pPr>
            <w:spacing w:after="0"/>
            <w:jc w:val="both"/>
            <w:rPr>
              <w:rFonts w:ascii="Times New Roman" w:hAnsi="Times New Roman"/>
            </w:rPr>
          </w:pPr>
          <w:r w:rsidRPr="009A46BB">
            <w:rPr>
              <w:rFonts w:ascii="Times New Roman" w:hAnsi="Times New Roman"/>
              <w:b/>
            </w:rPr>
            <w:t>Número del acuerdo de concesión:</w:t>
          </w:r>
          <w:r w:rsidR="00665246" w:rsidRPr="009A46BB">
            <w:rPr>
              <w:rFonts w:ascii="Times New Roman" w:hAnsi="Times New Roman"/>
              <w:b/>
            </w:rPr>
            <w:t xml:space="preserve"> </w:t>
          </w:r>
          <w:r w:rsidRPr="009A46BB">
            <w:rPr>
              <w:rFonts w:ascii="Times New Roman" w:hAnsi="Times New Roman"/>
            </w:rPr>
            <w:t>Contrato No. 021 de 1997</w:t>
          </w:r>
        </w:p>
        <w:p w14:paraId="104773C3" w14:textId="0403159C" w:rsidR="00274429" w:rsidRPr="009A46BB" w:rsidRDefault="00665246" w:rsidP="66A7D45D">
          <w:pPr>
            <w:spacing w:after="0"/>
            <w:jc w:val="both"/>
            <w:rPr>
              <w:rFonts w:ascii="Times New Roman" w:hAnsi="Times New Roman"/>
              <w:sz w:val="24"/>
              <w:szCs w:val="24"/>
            </w:rPr>
          </w:pPr>
          <w:r w:rsidRPr="009A46BB">
            <w:rPr>
              <w:rFonts w:ascii="Times New Roman" w:hAnsi="Times New Roman"/>
              <w:b/>
            </w:rPr>
            <w:t>Objeto / Descripción:</w:t>
          </w:r>
          <w:r w:rsidRPr="009A46BB">
            <w:rPr>
              <w:rFonts w:ascii="Times New Roman" w:hAnsi="Times New Roman"/>
            </w:rPr>
            <w:t xml:space="preserve"> </w:t>
          </w:r>
          <w:r w:rsidR="00274429" w:rsidRPr="009A46BB">
            <w:rPr>
              <w:rFonts w:ascii="Times New Roman" w:hAnsi="Times New Roman"/>
            </w:rPr>
            <w:t xml:space="preserve">En virtud del Contrato de concesión y sus modificaciones, se permite al CONCESIONARIO una concesión portuaria cuyos terrenos están localizados en un sector de playa en la Bahía de Cartagena, Departamento del Bolívar, kilómetro catorce (14) de la zona industrial de Mamonal. En desarrollo de la concesión portuaria se otorga al CONCESIONARIO </w:t>
          </w:r>
          <w:r w:rsidR="00274429" w:rsidRPr="009A46BB">
            <w:rPr>
              <w:rFonts w:ascii="Times New Roman" w:hAnsi="Times New Roman"/>
              <w:sz w:val="24"/>
              <w:szCs w:val="24"/>
            </w:rPr>
            <w:t xml:space="preserve">CESIONARIO el </w:t>
          </w:r>
          <w:r w:rsidR="00274429" w:rsidRPr="009A46BB">
            <w:rPr>
              <w:rFonts w:ascii="Times New Roman" w:hAnsi="Times New Roman"/>
              <w:sz w:val="24"/>
              <w:szCs w:val="24"/>
            </w:rPr>
            <w:lastRenderedPageBreak/>
            <w:t xml:space="preserve">derecho a: (a) ocupar y utilizar en forma temporal y exclusiva una línea de playa y zona de bajamar, (b) operar sus instalaciones en un puerto de servicio público, para el recibo y despacho de productos químicos y a granel, conforme lo establece la Cláusula Segunda del Otrosí No. 1 del Contrato. </w:t>
          </w:r>
        </w:p>
        <w:p w14:paraId="08C34BF0" w14:textId="3535F9DA" w:rsidR="00274429" w:rsidRPr="009A46BB" w:rsidRDefault="00274429" w:rsidP="00730054">
          <w:pPr>
            <w:spacing w:after="0"/>
            <w:jc w:val="both"/>
            <w:rPr>
              <w:rFonts w:ascii="Times New Roman" w:hAnsi="Times New Roman"/>
              <w:sz w:val="24"/>
              <w:szCs w:val="24"/>
            </w:rPr>
          </w:pPr>
          <w:r w:rsidRPr="009A46BB">
            <w:rPr>
              <w:rFonts w:ascii="Times New Roman" w:hAnsi="Times New Roman"/>
              <w:b/>
              <w:sz w:val="24"/>
              <w:szCs w:val="24"/>
            </w:rPr>
            <w:t>Valor inicial:</w:t>
          </w:r>
          <w:r w:rsidR="00665246" w:rsidRPr="009A46BB">
            <w:rPr>
              <w:rFonts w:ascii="Times New Roman" w:hAnsi="Times New Roman"/>
              <w:b/>
              <w:sz w:val="24"/>
              <w:szCs w:val="24"/>
            </w:rPr>
            <w:t xml:space="preserve"> </w:t>
          </w:r>
          <w:r w:rsidRPr="009A46BB">
            <w:rPr>
              <w:rFonts w:ascii="Times New Roman" w:hAnsi="Times New Roman"/>
              <w:sz w:val="24"/>
              <w:szCs w:val="24"/>
            </w:rPr>
            <w:t>USD 705.449 Cláusula Décima Tercera / Contrato No. 021 de 1997.</w:t>
          </w:r>
        </w:p>
        <w:p w14:paraId="4744D8CE" w14:textId="77777777" w:rsidR="00274429" w:rsidRPr="009A46BB" w:rsidRDefault="00274429" w:rsidP="00730054">
          <w:pPr>
            <w:spacing w:after="0"/>
            <w:jc w:val="both"/>
            <w:rPr>
              <w:rFonts w:ascii="Times New Roman" w:hAnsi="Times New Roman"/>
              <w:sz w:val="24"/>
              <w:szCs w:val="24"/>
            </w:rPr>
          </w:pPr>
          <w:r w:rsidRPr="009A46BB">
            <w:rPr>
              <w:rFonts w:ascii="Times New Roman" w:hAnsi="Times New Roman"/>
              <w:sz w:val="24"/>
              <w:szCs w:val="24"/>
            </w:rPr>
            <w:t>Otrosí No.5 de 2021 cláusula USD 1.283.241</w:t>
          </w:r>
        </w:p>
        <w:p w14:paraId="676573F3" w14:textId="084AC2DE" w:rsidR="00274429" w:rsidRPr="009A46BB" w:rsidRDefault="00274429" w:rsidP="00730054">
          <w:pPr>
            <w:spacing w:after="0"/>
            <w:jc w:val="both"/>
            <w:rPr>
              <w:rFonts w:ascii="Times New Roman" w:hAnsi="Times New Roman"/>
              <w:sz w:val="24"/>
              <w:szCs w:val="24"/>
            </w:rPr>
          </w:pPr>
          <w:r w:rsidRPr="009A46BB">
            <w:rPr>
              <w:rFonts w:ascii="Times New Roman" w:hAnsi="Times New Roman"/>
              <w:b/>
              <w:sz w:val="24"/>
              <w:szCs w:val="24"/>
            </w:rPr>
            <w:t>Fecha de inicio:</w:t>
          </w:r>
          <w:r w:rsidR="00665246" w:rsidRPr="009A46BB">
            <w:rPr>
              <w:rFonts w:ascii="Times New Roman" w:hAnsi="Times New Roman"/>
              <w:b/>
              <w:sz w:val="24"/>
              <w:szCs w:val="24"/>
            </w:rPr>
            <w:t xml:space="preserve"> </w:t>
          </w:r>
          <w:r w:rsidRPr="009A46BB">
            <w:rPr>
              <w:rFonts w:ascii="Times New Roman" w:hAnsi="Times New Roman"/>
              <w:sz w:val="24"/>
              <w:szCs w:val="24"/>
            </w:rPr>
            <w:t>30 de diciembre de 1997.</w:t>
          </w:r>
        </w:p>
        <w:p w14:paraId="307D2E77" w14:textId="6CA72EEC" w:rsidR="00274429" w:rsidRPr="009A46BB" w:rsidRDefault="00274429" w:rsidP="00730054">
          <w:pPr>
            <w:spacing w:after="0"/>
            <w:jc w:val="both"/>
            <w:rPr>
              <w:rFonts w:ascii="Times New Roman" w:hAnsi="Times New Roman"/>
              <w:sz w:val="24"/>
              <w:szCs w:val="24"/>
            </w:rPr>
          </w:pPr>
          <w:r w:rsidRPr="009A46BB">
            <w:rPr>
              <w:rFonts w:ascii="Times New Roman" w:hAnsi="Times New Roman"/>
              <w:b/>
              <w:sz w:val="24"/>
              <w:szCs w:val="24"/>
            </w:rPr>
            <w:t>Fecha de finalización estimada:</w:t>
          </w:r>
          <w:r w:rsidR="00665246" w:rsidRPr="009A46BB">
            <w:rPr>
              <w:rFonts w:ascii="Times New Roman" w:hAnsi="Times New Roman"/>
              <w:b/>
              <w:sz w:val="24"/>
              <w:szCs w:val="24"/>
            </w:rPr>
            <w:t xml:space="preserve"> </w:t>
          </w:r>
          <w:r w:rsidRPr="009A46BB">
            <w:rPr>
              <w:rFonts w:ascii="Times New Roman" w:hAnsi="Times New Roman"/>
              <w:sz w:val="24"/>
              <w:szCs w:val="24"/>
            </w:rPr>
            <w:t>29 de diciembre de 2037</w:t>
          </w:r>
        </w:p>
        <w:p w14:paraId="4F7D1718" w14:textId="110D82B1" w:rsidR="00274429" w:rsidRPr="009A46BB" w:rsidRDefault="00274429" w:rsidP="00730054">
          <w:pPr>
            <w:spacing w:after="0"/>
            <w:jc w:val="both"/>
            <w:rPr>
              <w:rFonts w:ascii="Times New Roman" w:hAnsi="Times New Roman"/>
              <w:sz w:val="24"/>
              <w:szCs w:val="24"/>
            </w:rPr>
          </w:pPr>
          <w:r w:rsidRPr="009A46BB">
            <w:rPr>
              <w:rFonts w:ascii="Times New Roman" w:hAnsi="Times New Roman"/>
              <w:b/>
              <w:sz w:val="24"/>
              <w:szCs w:val="24"/>
            </w:rPr>
            <w:t>Tipo ID:</w:t>
          </w:r>
          <w:r w:rsidR="00665246" w:rsidRPr="009A46BB">
            <w:rPr>
              <w:rFonts w:ascii="Times New Roman" w:hAnsi="Times New Roman"/>
              <w:b/>
              <w:sz w:val="24"/>
              <w:szCs w:val="24"/>
            </w:rPr>
            <w:t xml:space="preserve"> </w:t>
          </w:r>
          <w:r w:rsidRPr="009A46BB">
            <w:rPr>
              <w:rFonts w:ascii="Times New Roman" w:hAnsi="Times New Roman"/>
              <w:sz w:val="24"/>
              <w:szCs w:val="24"/>
            </w:rPr>
            <w:t>NIT</w:t>
          </w:r>
        </w:p>
        <w:p w14:paraId="4DFD2FD4" w14:textId="64F802B5" w:rsidR="00274429" w:rsidRPr="009A46BB" w:rsidRDefault="00274429" w:rsidP="00730054">
          <w:pPr>
            <w:spacing w:after="0"/>
            <w:jc w:val="both"/>
            <w:rPr>
              <w:rFonts w:ascii="Times New Roman" w:hAnsi="Times New Roman"/>
              <w:sz w:val="24"/>
              <w:szCs w:val="24"/>
            </w:rPr>
          </w:pPr>
          <w:r w:rsidRPr="009A46BB">
            <w:rPr>
              <w:rFonts w:ascii="Times New Roman" w:hAnsi="Times New Roman"/>
              <w:b/>
              <w:sz w:val="24"/>
              <w:szCs w:val="24"/>
            </w:rPr>
            <w:t>Número ID:</w:t>
          </w:r>
          <w:r w:rsidR="00665246" w:rsidRPr="009A46BB">
            <w:rPr>
              <w:rFonts w:ascii="Times New Roman" w:hAnsi="Times New Roman"/>
              <w:b/>
              <w:sz w:val="24"/>
              <w:szCs w:val="24"/>
            </w:rPr>
            <w:t xml:space="preserve"> </w:t>
          </w:r>
          <w:r w:rsidRPr="009A46BB">
            <w:rPr>
              <w:rFonts w:ascii="Times New Roman" w:hAnsi="Times New Roman"/>
              <w:sz w:val="24"/>
              <w:szCs w:val="24"/>
            </w:rPr>
            <w:t>900.257.792-3</w:t>
          </w:r>
        </w:p>
        <w:p w14:paraId="5082452E" w14:textId="57DAB3E4" w:rsidR="00274429" w:rsidRPr="009A46BB" w:rsidRDefault="00274429" w:rsidP="00730054">
          <w:pPr>
            <w:spacing w:after="0"/>
            <w:jc w:val="both"/>
            <w:rPr>
              <w:rFonts w:ascii="Times New Roman" w:hAnsi="Times New Roman"/>
              <w:sz w:val="24"/>
              <w:szCs w:val="24"/>
            </w:rPr>
          </w:pPr>
          <w:r w:rsidRPr="009A46BB">
            <w:rPr>
              <w:rFonts w:ascii="Times New Roman" w:hAnsi="Times New Roman"/>
              <w:b/>
              <w:sz w:val="24"/>
              <w:szCs w:val="24"/>
            </w:rPr>
            <w:t>Razón social del concesionario:</w:t>
          </w:r>
          <w:r w:rsidR="00665246" w:rsidRPr="009A46BB">
            <w:rPr>
              <w:rFonts w:ascii="Times New Roman" w:hAnsi="Times New Roman"/>
              <w:b/>
              <w:sz w:val="24"/>
              <w:szCs w:val="24"/>
            </w:rPr>
            <w:t xml:space="preserve"> </w:t>
          </w:r>
          <w:r w:rsidRPr="009A46BB">
            <w:rPr>
              <w:rFonts w:ascii="Times New Roman" w:hAnsi="Times New Roman"/>
              <w:sz w:val="24"/>
              <w:szCs w:val="24"/>
            </w:rPr>
            <w:t>Sociedad Oiltanking Colombia SA.</w:t>
          </w:r>
        </w:p>
        <w:p w14:paraId="3FFA0C08" w14:textId="6C7C5B49"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Nombre del proyecto:</w:t>
          </w:r>
          <w:r w:rsidR="00665246" w:rsidRPr="009A46BB">
            <w:rPr>
              <w:rFonts w:ascii="Times New Roman" w:hAnsi="Times New Roman"/>
              <w:b/>
              <w:sz w:val="24"/>
              <w:szCs w:val="24"/>
            </w:rPr>
            <w:t xml:space="preserve"> </w:t>
          </w:r>
          <w:r w:rsidRPr="009A46BB">
            <w:rPr>
              <w:rFonts w:ascii="Times New Roman" w:hAnsi="Times New Roman"/>
              <w:sz w:val="24"/>
              <w:szCs w:val="24"/>
            </w:rPr>
            <w:t>Sociedad Oiltanking Colombia SA.</w:t>
          </w:r>
        </w:p>
        <w:p w14:paraId="76AC55B6" w14:textId="12EC21D5" w:rsidR="00274429" w:rsidRPr="009A46BB" w:rsidRDefault="00274429" w:rsidP="00E60BAB">
          <w:pPr>
            <w:pStyle w:val="Prrafodelista"/>
            <w:numPr>
              <w:ilvl w:val="0"/>
              <w:numId w:val="152"/>
            </w:numPr>
            <w:jc w:val="both"/>
            <w:rPr>
              <w:rFonts w:ascii="Times New Roman" w:hAnsi="Times New Roman"/>
              <w:b/>
            </w:rPr>
          </w:pPr>
          <w:r w:rsidRPr="009A46BB">
            <w:rPr>
              <w:rFonts w:ascii="Times New Roman" w:hAnsi="Times New Roman"/>
              <w:b/>
              <w:sz w:val="24"/>
              <w:szCs w:val="24"/>
            </w:rPr>
            <w:t xml:space="preserve">Términos significativos del acuerdo que puedan afectar su valor, el calendario y la certeza de los flujos </w:t>
          </w:r>
        </w:p>
        <w:p w14:paraId="4C6119E8"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Términos de valor:</w:t>
          </w:r>
        </w:p>
        <w:p w14:paraId="442BBD9C"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Tarifas:</w:t>
          </w:r>
          <w:r w:rsidRPr="009A46BB">
            <w:rPr>
              <w:rFonts w:ascii="Times New Roman" w:hAnsi="Times New Roman"/>
              <w:sz w:val="24"/>
              <w:szCs w:val="24"/>
            </w:rPr>
            <w:t xml:space="preserve"> Al ser el terminal marítimo de servicio público la Ley 1ª de 1991 establece: Las sociedades portuarias que operan puertos de servicio público las tarifas requieren ser aprobadas según la metodología establecida por la Superintendencia General de Puertos hoy Superintendencia de Transporte.</w:t>
          </w:r>
        </w:p>
        <w:p w14:paraId="5D15EBD4" w14:textId="28C51FF1"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Contraprestación portuaria:</w:t>
          </w:r>
          <w:r w:rsidRPr="009A46BB">
            <w:rPr>
              <w:rFonts w:ascii="Times New Roman" w:hAnsi="Times New Roman"/>
              <w:sz w:val="24"/>
              <w:szCs w:val="24"/>
            </w:rPr>
            <w:t xml:space="preserve"> De acuerdo con el último documento contractual vigente la metodología de contraprestación vigente es CONPES 3744 de 2013 (Componentes Fijo y Variable). A febrero de 2022 el CONCESIONARIO ya pagó mediante anticipo.El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Municipio de Cartagena; e INFRAESTRUCTURA en un 100% a la Nación - Instituto Nacional de Vías (INVIAS).</w:t>
          </w:r>
        </w:p>
        <w:p w14:paraId="2D04FBE8"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Plan de Inversiones:</w:t>
          </w:r>
          <w:r w:rsidRPr="009A46BB">
            <w:rPr>
              <w:rFonts w:ascii="Times New Roman" w:hAnsi="Times New Roman"/>
              <w:sz w:val="24"/>
              <w:szCs w:val="24"/>
            </w:rPr>
            <w:t xml:space="preserve"> Está establecido en la Cláusula tercera del Otrosí No 5 de 2022 por USD 6.444.289</w:t>
          </w:r>
        </w:p>
        <w:p w14:paraId="3340CF98"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Obligaciones del Concesionario:</w:t>
          </w:r>
          <w:r w:rsidRPr="009A46BB">
            <w:rPr>
              <w:rFonts w:ascii="Times New Roman" w:hAnsi="Times New Roman"/>
              <w:sz w:val="24"/>
              <w:szCs w:val="24"/>
            </w:rPr>
            <w:t xml:space="preserve"> Se encuentran descritas en la Cláusula Décima Cuarta del Contrato de Concesión y clausula sexta del Otrosí No.5 de 2022.</w:t>
          </w:r>
        </w:p>
        <w:p w14:paraId="5868CBAA"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Multas y sanciones:</w:t>
          </w:r>
          <w:r w:rsidRPr="009A46BB">
            <w:rPr>
              <w:rFonts w:ascii="Times New Roman" w:hAnsi="Times New Roman"/>
              <w:sz w:val="24"/>
              <w:szCs w:val="24"/>
            </w:rPr>
            <w:t xml:space="preserve"> Están establecidas en el numeral Décimo Tercero del Otrosí No. 2 de 2012.y clausula séptima del Otrosí No 05 de 2021.</w:t>
          </w:r>
        </w:p>
        <w:p w14:paraId="475A239B"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Penal pecuniario:</w:t>
          </w:r>
          <w:r w:rsidRPr="009A46BB">
            <w:rPr>
              <w:rFonts w:ascii="Times New Roman" w:hAnsi="Times New Roman"/>
              <w:sz w:val="24"/>
              <w:szCs w:val="24"/>
            </w:rPr>
            <w:t xml:space="preserve"> En la Cláusula Décima Octava del Contrato, se establece que en el evento en que LA SUPERINTENDENCIA hoy ANI, declare la caducidad o el incumplimiento del presente contrato, EL CONCESIONARIO deberá pagar la suma del 10% del valor total de la contraprestación, como sanción pecuniaria.</w:t>
          </w:r>
        </w:p>
        <w:p w14:paraId="6814CBE5"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Términos de calendario:</w:t>
          </w:r>
        </w:p>
        <w:p w14:paraId="00DF0130"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lastRenderedPageBreak/>
            <w:t xml:space="preserve">Tarifas: </w:t>
          </w:r>
          <w:r w:rsidRPr="009A46BB">
            <w:rPr>
              <w:rFonts w:ascii="Times New Roman" w:hAnsi="Times New Roman"/>
              <w:sz w:val="24"/>
              <w:szCs w:val="24"/>
            </w:rPr>
            <w:t>Aprobadas según la metodología establecida por la Superintendencia General de Puertos hoy Superintendencia de Transporte.</w:t>
          </w:r>
        </w:p>
        <w:p w14:paraId="063D3E9F"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Contraprestación portuaria:</w:t>
          </w:r>
          <w:r w:rsidRPr="009A46BB">
            <w:rPr>
              <w:rFonts w:ascii="Times New Roman" w:hAnsi="Times New Roman"/>
              <w:sz w:val="24"/>
              <w:szCs w:val="24"/>
            </w:rPr>
            <w:t xml:space="preserve"> Anexo 2 del Conpes 3744 de 2013 “(…) Antes de finalizar los meses de febrero cada concesionario deberá corregir su liquidación del año anterior según el movimiento de carga real y la indexación del valor de referencia por metro cuadrado, del avalúo de la infraestructura concesionada y de los cargos, así como realizar el pago anticipado del año en curso con base en lo proyectado en el FCL definitivo”</w:t>
          </w:r>
        </w:p>
        <w:p w14:paraId="7698055E"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Plan de inversiones:</w:t>
          </w:r>
          <w:r w:rsidRPr="009A46BB">
            <w:rPr>
              <w:rFonts w:ascii="Times New Roman" w:hAnsi="Times New Roman"/>
              <w:sz w:val="24"/>
              <w:szCs w:val="24"/>
            </w:rPr>
            <w:t xml:space="preserve"> En la Cláusula Primera del Otrosí No. 5 de 2022 se establece que, el Concesionario ejecutará el nuevo plan de inversiones en los años 2021 a 2024.</w:t>
          </w:r>
        </w:p>
        <w:p w14:paraId="4112E7E9"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Multas y sanciones:</w:t>
          </w:r>
          <w:r w:rsidRPr="009A46BB">
            <w:rPr>
              <w:rFonts w:ascii="Times New Roman" w:hAnsi="Times New Roman"/>
              <w:sz w:val="24"/>
              <w:szCs w:val="24"/>
            </w:rPr>
            <w:t xml:space="preserve"> Están establecidas en el numeral Décimo Tercero del Otrosí No. 2 de 2012, clausula séptima del Otrosí No 05 de 2022</w:t>
          </w:r>
        </w:p>
        <w:p w14:paraId="0D579A82"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Términos de certeza de flujos de efectivo futuros:</w:t>
          </w:r>
        </w:p>
        <w:p w14:paraId="74CF1DED"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Una línea de playa y zona de bajamar, (b) operar sus instalaciones en un puerto de servicio público, para el recibo de productos químicos y a granel, a cambio de la contraprestación económica.</w:t>
          </w:r>
        </w:p>
        <w:p w14:paraId="48BC0FD9"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En el numeral Décimo Segundo del Otrosí No. 2 de 2012, se establece que de dicho pago corresponderá el ochenta por ciento (80%) a la NACIÓN- INVIAS y el veinte por ciento (20%) al Distrito de Cartagena, y por Infraestructura el 100% a la Nación-INVIAS.</w:t>
          </w:r>
        </w:p>
        <w:p w14:paraId="71B8D052" w14:textId="4B11E7A2" w:rsidR="00274429" w:rsidRPr="009A46BB" w:rsidRDefault="00274429" w:rsidP="00E60BAB">
          <w:pPr>
            <w:pStyle w:val="Prrafodelista"/>
            <w:numPr>
              <w:ilvl w:val="0"/>
              <w:numId w:val="152"/>
            </w:numPr>
            <w:jc w:val="both"/>
            <w:rPr>
              <w:rFonts w:ascii="Times New Roman" w:hAnsi="Times New Roman"/>
            </w:rPr>
          </w:pPr>
          <w:r w:rsidRPr="009A46BB">
            <w:rPr>
              <w:rFonts w:ascii="Times New Roman" w:hAnsi="Times New Roman"/>
              <w:b/>
              <w:sz w:val="24"/>
              <w:szCs w:val="24"/>
            </w:rPr>
            <w:t xml:space="preserve">Naturaleza y alcance del derecho a utilizar activos especificados, de los aspectos pactados en torno a lo que se espera que el concesionario proporcione en relación con el acuerdo de concesión </w:t>
          </w:r>
        </w:p>
        <w:p w14:paraId="5A1CC77C"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Naturaleza y alcance del derecho de uso de los activos</w:t>
          </w:r>
        </w:p>
        <w:p w14:paraId="1D1DB6E4"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w:t>
          </w:r>
          <w:r w:rsidRPr="009A46BB">
            <w:rPr>
              <w:rFonts w:ascii="Times New Roman" w:hAnsi="Times New Roman"/>
              <w:sz w:val="24"/>
              <w:szCs w:val="24"/>
            </w:rPr>
            <w:t>:</w:t>
          </w:r>
          <w:r w:rsidRPr="009A46BB">
            <w:rPr>
              <w:rFonts w:ascii="Times New Roman" w:hAnsi="Times New Roman"/>
              <w:sz w:val="24"/>
              <w:szCs w:val="24"/>
            </w:rPr>
            <w:tab/>
            <w:t xml:space="preserve"> Descripción del proyecto, especificaciones técnicas, modalidades de operación: las condiciones especiales de operación del puerto están establecidas en la cláusula quinta del Contrato (Otrosí No.1). </w:t>
          </w:r>
        </w:p>
        <w:p w14:paraId="17FE1050"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 xml:space="preserve">Área entregada en concesión: </w:t>
          </w:r>
          <w:r w:rsidRPr="009A46BB">
            <w:rPr>
              <w:rFonts w:ascii="Times New Roman" w:hAnsi="Times New Roman"/>
              <w:sz w:val="24"/>
              <w:szCs w:val="24"/>
            </w:rPr>
            <w:t>La descripción de la ubicación, linderos y extensión de los bienes de uso público (playas y terrenos de baja mar, zonas marítimas accesorias de maniobras) entregados en concesión están establecidos en la cláusula tercera del Contrato (Otrosí No. 1)</w:t>
          </w:r>
        </w:p>
        <w:p w14:paraId="08C48B7B"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 xml:space="preserve">Infraestructura y equipos entregados en concesión: En la cláusula tercera del Contrato (otrosí No.1), se describe que lo entregado en concesión fue: </w:t>
          </w:r>
        </w:p>
        <w:p w14:paraId="7727ACEC"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Infraestructura</w:t>
          </w:r>
          <w:r w:rsidRPr="009A46BB">
            <w:rPr>
              <w:rFonts w:ascii="Times New Roman" w:hAnsi="Times New Roman"/>
              <w:sz w:val="24"/>
              <w:szCs w:val="24"/>
            </w:rPr>
            <w:t xml:space="preserve">: Sistema de pilotes, pasarela de acceso (tráfico peatonal), plataforma de operaciones, construcciones de apoyo, una caseta de operaciones ubicada en la punta del muelle, una caseta de vigilancia construida en concreto, veintinueve (29) líneas de tuberías de 135 metros de largo, un lanzador de PIG en una de las líneas de 6 pulgadas destinada para el transporte de productos químicos, una estructura metálica de 6 metros de altura y 8.5 metros de ancho, nueve (9) postes de alumbrado ubicados a lo largo de la pasarela y en la plataforma </w:t>
          </w:r>
          <w:r w:rsidRPr="009A46BB">
            <w:rPr>
              <w:rFonts w:ascii="Times New Roman" w:hAnsi="Times New Roman"/>
              <w:sz w:val="24"/>
              <w:szCs w:val="24"/>
            </w:rPr>
            <w:lastRenderedPageBreak/>
            <w:t>central con sus respectivas lámparas, un embarcadero para lanchas menores y un canal de acceso en la zona de maniobra.</w:t>
          </w:r>
        </w:p>
        <w:p w14:paraId="4821BF43"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Retribución al concesionario</w:t>
          </w:r>
        </w:p>
        <w:p w14:paraId="51B34BF9"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w:t>
          </w:r>
          <w:r w:rsidRPr="009A46BB">
            <w:rPr>
              <w:rFonts w:ascii="Times New Roman" w:hAnsi="Times New Roman"/>
              <w:sz w:val="24"/>
              <w:szCs w:val="24"/>
            </w:rPr>
            <w:t>:</w:t>
          </w:r>
          <w:r w:rsidRPr="009A46BB">
            <w:rPr>
              <w:rFonts w:ascii="Times New Roman" w:hAnsi="Times New Roman"/>
              <w:sz w:val="24"/>
              <w:szCs w:val="24"/>
            </w:rPr>
            <w:tab/>
            <w:t xml:space="preserve"> Se otorga a EL CONCESIONARIO el derecho de ocupar y utilizar en forma temporal y exclusiva las playas, los terrenos de bajamar y zonas accesorias a aquellas o estos, descritos en la cláusula segunda del contrato principal, a cambio de la contraprestación económica.</w:t>
          </w:r>
        </w:p>
        <w:p w14:paraId="6676791B"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Tasa de retribución:</w:t>
          </w:r>
          <w:r w:rsidRPr="009A46BB">
            <w:rPr>
              <w:rFonts w:ascii="Times New Roman" w:hAnsi="Times New Roman"/>
              <w:sz w:val="24"/>
              <w:szCs w:val="24"/>
            </w:rPr>
            <w:tab/>
            <w:t>N/A</w:t>
          </w:r>
        </w:p>
        <w:p w14:paraId="6A10DEFE" w14:textId="0EDD75CD" w:rsidR="00274429" w:rsidRPr="009A46BB" w:rsidRDefault="00274429" w:rsidP="00E60BAB">
          <w:pPr>
            <w:pStyle w:val="Prrafodelista"/>
            <w:numPr>
              <w:ilvl w:val="0"/>
              <w:numId w:val="152"/>
            </w:numPr>
            <w:jc w:val="both"/>
            <w:rPr>
              <w:rFonts w:ascii="Times New Roman" w:hAnsi="Times New Roman"/>
              <w:b/>
            </w:rPr>
          </w:pPr>
          <w:r w:rsidRPr="009A46BB">
            <w:rPr>
              <w:rFonts w:ascii="Times New Roman" w:hAnsi="Times New Roman"/>
              <w:b/>
              <w:sz w:val="24"/>
              <w:szCs w:val="24"/>
            </w:rPr>
            <w:t>Derechos a recibir activos especificados al final del acuerdo de concesión</w:t>
          </w:r>
        </w:p>
        <w:p w14:paraId="24479C7A"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w:t>
          </w:r>
          <w:r w:rsidRPr="009A46BB">
            <w:rPr>
              <w:rFonts w:ascii="Times New Roman" w:hAnsi="Times New Roman"/>
              <w:sz w:val="24"/>
              <w:szCs w:val="24"/>
            </w:rPr>
            <w:t>:</w:t>
          </w:r>
          <w:r w:rsidRPr="009A46BB">
            <w:rPr>
              <w:rFonts w:ascii="Times New Roman" w:hAnsi="Times New Roman"/>
              <w:sz w:val="24"/>
              <w:szCs w:val="24"/>
            </w:rPr>
            <w:tab/>
            <w:t>De acuerdo con el Artículo 8º de la Ley 1 de 1991 en el modo portuario el concesionario no tiene derechos finales sobre activos los debe revertir a la Nación al final del contrato de concesión</w:t>
          </w:r>
        </w:p>
        <w:p w14:paraId="6A4AC4DE"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Observaciones</w:t>
          </w:r>
          <w:r w:rsidRPr="009A46BB">
            <w:rPr>
              <w:rFonts w:ascii="Times New Roman" w:hAnsi="Times New Roman"/>
              <w:sz w:val="24"/>
              <w:szCs w:val="24"/>
            </w:rPr>
            <w:t>:</w:t>
          </w:r>
          <w:r w:rsidRPr="009A46BB">
            <w:rPr>
              <w:rFonts w:ascii="Times New Roman" w:hAnsi="Times New Roman"/>
              <w:sz w:val="24"/>
              <w:szCs w:val="24"/>
            </w:rPr>
            <w:tab/>
            <w:t xml:space="preserve">todas las zonas de uso público, las construcciones y los bienes que de conformidad con la ley se reputen inmuebles por destinación de las zonas de uso público objeto de la concesión, serán cedidos gratuitamente a la Nación en buen estado de operación y mantenimiento al extinguirse el plazo de la concesión o al ser declarada la caducidad o terminada anticipadamente la concesión, teniendo en consideración el normal deterioro de los mismos a consecuencia de su operación, conforme a lo dispuesto en la normatividad aplicable. El acta de reversión contendrá la liquidación, el inventario de bienes objeto de reversión y las manifestaciones de paz y salvo del CONCESIONARIO CESIONADO y la Entidad CONCEDENTE. </w:t>
          </w:r>
        </w:p>
        <w:p w14:paraId="516F5C9A"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Así mismo, en el anexo G del Otrosí No.2, se relacionan todos los documentos y requisitos de la reversión.</w:t>
          </w:r>
        </w:p>
        <w:p w14:paraId="384065A0"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Para tal fin, en el momento de la reversión el CONCESIONARIO elaborará un inventario de los bienes y los enviará para su revisión y aprobación.</w:t>
          </w:r>
        </w:p>
        <w:p w14:paraId="19877143"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La ANI es la entidad concedente pero la titularidad de los activos al final de la concesión es del Instituto Nacional de Vías INVIAS</w:t>
          </w:r>
        </w:p>
        <w:p w14:paraId="7C10CB69" w14:textId="577FE7C1" w:rsidR="00274429" w:rsidRPr="009A46BB" w:rsidRDefault="00665246" w:rsidP="00E60BAB">
          <w:pPr>
            <w:pStyle w:val="Prrafodelista"/>
            <w:numPr>
              <w:ilvl w:val="0"/>
              <w:numId w:val="152"/>
            </w:numPr>
            <w:jc w:val="both"/>
            <w:rPr>
              <w:rFonts w:ascii="Times New Roman" w:hAnsi="Times New Roman"/>
              <w:b/>
            </w:rPr>
          </w:pPr>
          <w:r w:rsidRPr="009A46BB">
            <w:rPr>
              <w:rFonts w:ascii="Times New Roman" w:hAnsi="Times New Roman"/>
              <w:b/>
              <w:sz w:val="24"/>
              <w:szCs w:val="24"/>
            </w:rPr>
            <w:t>No hay c</w:t>
          </w:r>
          <w:r w:rsidR="00274429" w:rsidRPr="009A46BB">
            <w:rPr>
              <w:rFonts w:ascii="Times New Roman" w:hAnsi="Times New Roman"/>
              <w:b/>
              <w:sz w:val="24"/>
              <w:szCs w:val="24"/>
            </w:rPr>
            <w:t>ambios en el acuerdo de concesión que se realicen durante el periodo fiscal</w:t>
          </w:r>
        </w:p>
        <w:p w14:paraId="01C6A737" w14:textId="77777777" w:rsidR="00665246" w:rsidRPr="009A46BB" w:rsidRDefault="00665246" w:rsidP="00665246">
          <w:pPr>
            <w:pStyle w:val="Prrafodelista"/>
            <w:spacing w:line="259" w:lineRule="auto"/>
            <w:ind w:left="360"/>
            <w:jc w:val="both"/>
            <w:rPr>
              <w:rFonts w:ascii="Times New Roman" w:hAnsi="Times New Roman"/>
              <w:b/>
              <w:sz w:val="24"/>
              <w:szCs w:val="24"/>
            </w:rPr>
          </w:pPr>
        </w:p>
        <w:p w14:paraId="205347F8" w14:textId="77777777" w:rsidR="00665246" w:rsidRPr="009A46BB" w:rsidRDefault="00665246" w:rsidP="00665246">
          <w:pPr>
            <w:spacing w:line="259" w:lineRule="auto"/>
            <w:jc w:val="both"/>
            <w:rPr>
              <w:rFonts w:ascii="Times New Roman" w:hAnsi="Times New Roman"/>
              <w:b/>
              <w:sz w:val="24"/>
              <w:szCs w:val="24"/>
            </w:rPr>
          </w:pPr>
        </w:p>
        <w:p w14:paraId="7DE2673E" w14:textId="5145280F" w:rsidR="00274429" w:rsidRPr="009A46BB" w:rsidRDefault="00665246" w:rsidP="00665246">
          <w:pPr>
            <w:spacing w:line="259" w:lineRule="auto"/>
            <w:jc w:val="both"/>
            <w:rPr>
              <w:rFonts w:ascii="Times New Roman" w:hAnsi="Times New Roman"/>
              <w:b/>
              <w:sz w:val="24"/>
              <w:szCs w:val="24"/>
            </w:rPr>
          </w:pPr>
          <w:r w:rsidRPr="009A46BB">
            <w:rPr>
              <w:rFonts w:ascii="Times New Roman" w:hAnsi="Times New Roman"/>
              <w:b/>
              <w:sz w:val="24"/>
              <w:szCs w:val="24"/>
            </w:rPr>
            <w:t>SOCIEDAD</w:t>
          </w:r>
          <w:r w:rsidR="00274429" w:rsidRPr="009A46BB">
            <w:rPr>
              <w:rFonts w:ascii="Times New Roman" w:hAnsi="Times New Roman"/>
              <w:b/>
              <w:sz w:val="24"/>
              <w:szCs w:val="24"/>
            </w:rPr>
            <w:t xml:space="preserve"> COMPAÑIA DE PUERTOS ASOCIADOS S.A. - COMPAS – BUENAVENTURA.</w:t>
          </w:r>
        </w:p>
        <w:p w14:paraId="17D78936" w14:textId="1475149A" w:rsidR="00274429" w:rsidRPr="009A46BB" w:rsidRDefault="00274429" w:rsidP="00E60BAB">
          <w:pPr>
            <w:pStyle w:val="Prrafodelista"/>
            <w:numPr>
              <w:ilvl w:val="0"/>
              <w:numId w:val="151"/>
            </w:numPr>
            <w:jc w:val="both"/>
            <w:rPr>
              <w:rFonts w:ascii="Times New Roman" w:hAnsi="Times New Roman"/>
              <w:b/>
            </w:rPr>
          </w:pPr>
          <w:r w:rsidRPr="009A46BB">
            <w:rPr>
              <w:rFonts w:ascii="Times New Roman" w:hAnsi="Times New Roman"/>
              <w:b/>
              <w:sz w:val="24"/>
              <w:szCs w:val="24"/>
            </w:rPr>
            <w:t>Descripción del acuerdo</w:t>
          </w:r>
        </w:p>
        <w:p w14:paraId="1B4D0A49" w14:textId="5587E819" w:rsidR="00274429" w:rsidRPr="009A46BB" w:rsidRDefault="00274429" w:rsidP="2DB8CAD9">
          <w:pPr>
            <w:spacing w:after="0"/>
            <w:jc w:val="both"/>
            <w:rPr>
              <w:rFonts w:ascii="Times New Roman" w:hAnsi="Times New Roman"/>
              <w:sz w:val="24"/>
              <w:szCs w:val="24"/>
            </w:rPr>
          </w:pPr>
          <w:r w:rsidRPr="009A46BB">
            <w:rPr>
              <w:rFonts w:ascii="Times New Roman" w:hAnsi="Times New Roman"/>
              <w:b/>
              <w:sz w:val="24"/>
              <w:szCs w:val="24"/>
            </w:rPr>
            <w:t>Número del acuerdo de concesión:</w:t>
          </w:r>
          <w:r w:rsidR="00913121" w:rsidRPr="009A46BB">
            <w:rPr>
              <w:rFonts w:ascii="Times New Roman" w:hAnsi="Times New Roman"/>
              <w:b/>
              <w:sz w:val="24"/>
              <w:szCs w:val="24"/>
            </w:rPr>
            <w:t xml:space="preserve"> </w:t>
          </w:r>
          <w:r w:rsidRPr="009A46BB">
            <w:rPr>
              <w:rFonts w:ascii="Times New Roman" w:hAnsi="Times New Roman"/>
              <w:sz w:val="24"/>
              <w:szCs w:val="24"/>
            </w:rPr>
            <w:t>Contrato de concesión portuaria No. 024 de 1999</w:t>
          </w:r>
        </w:p>
        <w:p w14:paraId="3B025780" w14:textId="40F08527" w:rsidR="00274429" w:rsidRPr="009A46BB" w:rsidRDefault="00274429" w:rsidP="2DB8CAD9">
          <w:pPr>
            <w:spacing w:after="0"/>
            <w:jc w:val="both"/>
            <w:rPr>
              <w:rFonts w:ascii="Times New Roman" w:hAnsi="Times New Roman"/>
              <w:sz w:val="24"/>
              <w:szCs w:val="24"/>
            </w:rPr>
          </w:pPr>
          <w:r w:rsidRPr="009A46BB">
            <w:rPr>
              <w:rFonts w:ascii="Times New Roman" w:hAnsi="Times New Roman"/>
              <w:b/>
              <w:sz w:val="24"/>
              <w:szCs w:val="24"/>
            </w:rPr>
            <w:lastRenderedPageBreak/>
            <w:t>Objeto / Descripción:</w:t>
          </w:r>
          <w:r w:rsidR="00913121" w:rsidRPr="009A46BB">
            <w:rPr>
              <w:rFonts w:ascii="Times New Roman" w:hAnsi="Times New Roman"/>
              <w:b/>
              <w:sz w:val="24"/>
              <w:szCs w:val="24"/>
            </w:rPr>
            <w:t xml:space="preserve"> </w:t>
          </w:r>
          <w:r w:rsidRPr="009A46BB">
            <w:rPr>
              <w:rFonts w:ascii="Times New Roman" w:hAnsi="Times New Roman"/>
              <w:sz w:val="24"/>
              <w:szCs w:val="24"/>
            </w:rPr>
            <w:t>En virtud del contrato de concesión y sus modificaciones, se permite al CONCESIONARIO la ocupación en forma temporal y exclusiva de una zona de playas, de bajamar y aguas marítimas accesorias, para la construcción, operación y el desarrollo de actividades portuarias de servicio público, conforme lo establece la Clausula Primera del contrato.</w:t>
          </w:r>
        </w:p>
        <w:p w14:paraId="2C07346C" w14:textId="251BD291" w:rsidR="00274429" w:rsidRPr="009A46BB" w:rsidRDefault="00274429" w:rsidP="00730054">
          <w:pPr>
            <w:spacing w:after="0"/>
            <w:jc w:val="both"/>
            <w:rPr>
              <w:rFonts w:ascii="Times New Roman" w:hAnsi="Times New Roman"/>
              <w:sz w:val="24"/>
              <w:szCs w:val="24"/>
            </w:rPr>
          </w:pPr>
          <w:r w:rsidRPr="009A46BB">
            <w:rPr>
              <w:rFonts w:ascii="Times New Roman" w:hAnsi="Times New Roman"/>
              <w:b/>
              <w:sz w:val="24"/>
              <w:szCs w:val="24"/>
            </w:rPr>
            <w:t>Valor inicial:</w:t>
          </w:r>
          <w:r w:rsidR="00913121" w:rsidRPr="009A46BB">
            <w:rPr>
              <w:rFonts w:ascii="Times New Roman" w:hAnsi="Times New Roman"/>
              <w:b/>
              <w:sz w:val="24"/>
              <w:szCs w:val="24"/>
            </w:rPr>
            <w:t xml:space="preserve"> </w:t>
          </w:r>
          <w:r w:rsidRPr="009A46BB">
            <w:rPr>
              <w:rFonts w:ascii="Times New Roman" w:hAnsi="Times New Roman"/>
              <w:sz w:val="24"/>
              <w:szCs w:val="24"/>
            </w:rPr>
            <w:t>USD 715.776,79 Cláusula Décima Primera/Contrato No. 024 de 1999.</w:t>
          </w:r>
        </w:p>
        <w:p w14:paraId="6F3DAEC4" w14:textId="2764232B" w:rsidR="00274429" w:rsidRPr="009A46BB" w:rsidRDefault="00274429" w:rsidP="00730054">
          <w:pPr>
            <w:spacing w:after="0"/>
            <w:jc w:val="both"/>
            <w:rPr>
              <w:rFonts w:ascii="Times New Roman" w:hAnsi="Times New Roman"/>
              <w:sz w:val="24"/>
              <w:szCs w:val="24"/>
            </w:rPr>
          </w:pPr>
          <w:r w:rsidRPr="009A46BB">
            <w:rPr>
              <w:rFonts w:ascii="Times New Roman" w:hAnsi="Times New Roman"/>
              <w:b/>
              <w:sz w:val="24"/>
              <w:szCs w:val="24"/>
            </w:rPr>
            <w:t>Fecha de inicio:</w:t>
          </w:r>
          <w:r w:rsidR="00913121" w:rsidRPr="009A46BB">
            <w:rPr>
              <w:rFonts w:ascii="Times New Roman" w:hAnsi="Times New Roman"/>
              <w:b/>
              <w:sz w:val="24"/>
              <w:szCs w:val="24"/>
            </w:rPr>
            <w:t xml:space="preserve"> </w:t>
          </w:r>
          <w:r w:rsidRPr="009A46BB">
            <w:rPr>
              <w:rFonts w:ascii="Times New Roman" w:hAnsi="Times New Roman"/>
              <w:sz w:val="24"/>
              <w:szCs w:val="24"/>
            </w:rPr>
            <w:t>22/10/1999</w:t>
          </w:r>
        </w:p>
        <w:p w14:paraId="75BB1152" w14:textId="034819D3" w:rsidR="00274429" w:rsidRPr="009A46BB" w:rsidRDefault="00274429" w:rsidP="00730054">
          <w:pPr>
            <w:spacing w:after="0"/>
            <w:jc w:val="both"/>
            <w:rPr>
              <w:rFonts w:ascii="Times New Roman" w:hAnsi="Times New Roman"/>
              <w:sz w:val="24"/>
              <w:szCs w:val="24"/>
            </w:rPr>
          </w:pPr>
          <w:r w:rsidRPr="009A46BB">
            <w:rPr>
              <w:rFonts w:ascii="Times New Roman" w:hAnsi="Times New Roman"/>
              <w:b/>
              <w:sz w:val="24"/>
              <w:szCs w:val="24"/>
            </w:rPr>
            <w:t>Fecha de finalización estimada:</w:t>
          </w:r>
          <w:r w:rsidR="00913121" w:rsidRPr="009A46BB">
            <w:rPr>
              <w:rFonts w:ascii="Times New Roman" w:hAnsi="Times New Roman"/>
              <w:b/>
              <w:sz w:val="24"/>
              <w:szCs w:val="24"/>
            </w:rPr>
            <w:t xml:space="preserve"> </w:t>
          </w:r>
          <w:r w:rsidRPr="009A46BB">
            <w:rPr>
              <w:rFonts w:ascii="Times New Roman" w:hAnsi="Times New Roman"/>
              <w:sz w:val="24"/>
              <w:szCs w:val="24"/>
            </w:rPr>
            <w:t>21/11/2041</w:t>
          </w:r>
        </w:p>
        <w:p w14:paraId="6BA082E2" w14:textId="0D599FBB" w:rsidR="00274429" w:rsidRPr="009A46BB" w:rsidRDefault="00274429" w:rsidP="00730054">
          <w:pPr>
            <w:spacing w:after="0"/>
            <w:jc w:val="both"/>
            <w:rPr>
              <w:rFonts w:ascii="Times New Roman" w:hAnsi="Times New Roman"/>
              <w:sz w:val="24"/>
              <w:szCs w:val="24"/>
            </w:rPr>
          </w:pPr>
          <w:r w:rsidRPr="009A46BB">
            <w:rPr>
              <w:rFonts w:ascii="Times New Roman" w:hAnsi="Times New Roman"/>
              <w:b/>
              <w:sz w:val="24"/>
              <w:szCs w:val="24"/>
            </w:rPr>
            <w:t>Tipo ID:</w:t>
          </w:r>
          <w:r w:rsidR="00913121" w:rsidRPr="009A46BB">
            <w:rPr>
              <w:rFonts w:ascii="Times New Roman" w:hAnsi="Times New Roman"/>
              <w:b/>
              <w:sz w:val="24"/>
              <w:szCs w:val="24"/>
            </w:rPr>
            <w:t xml:space="preserve"> </w:t>
          </w:r>
          <w:r w:rsidRPr="009A46BB">
            <w:rPr>
              <w:rFonts w:ascii="Times New Roman" w:hAnsi="Times New Roman"/>
              <w:sz w:val="24"/>
              <w:szCs w:val="24"/>
            </w:rPr>
            <w:t>NIT</w:t>
          </w:r>
        </w:p>
        <w:p w14:paraId="6AC08BF2" w14:textId="2A404792" w:rsidR="00274429" w:rsidRPr="009A46BB" w:rsidRDefault="00274429" w:rsidP="00730054">
          <w:pPr>
            <w:spacing w:after="0"/>
            <w:jc w:val="both"/>
            <w:rPr>
              <w:rFonts w:ascii="Times New Roman" w:hAnsi="Times New Roman"/>
              <w:sz w:val="24"/>
              <w:szCs w:val="24"/>
            </w:rPr>
          </w:pPr>
          <w:r w:rsidRPr="009A46BB">
            <w:rPr>
              <w:rFonts w:ascii="Times New Roman" w:hAnsi="Times New Roman"/>
              <w:b/>
              <w:sz w:val="24"/>
              <w:szCs w:val="24"/>
            </w:rPr>
            <w:t>Número ID:</w:t>
          </w:r>
          <w:r w:rsidR="00913121" w:rsidRPr="009A46BB">
            <w:rPr>
              <w:rFonts w:ascii="Times New Roman" w:hAnsi="Times New Roman"/>
              <w:b/>
              <w:sz w:val="24"/>
              <w:szCs w:val="24"/>
            </w:rPr>
            <w:t xml:space="preserve"> </w:t>
          </w:r>
          <w:r w:rsidRPr="009A46BB">
            <w:rPr>
              <w:rFonts w:ascii="Times New Roman" w:hAnsi="Times New Roman"/>
              <w:sz w:val="24"/>
              <w:szCs w:val="24"/>
            </w:rPr>
            <w:t>800156044-6</w:t>
          </w:r>
        </w:p>
        <w:p w14:paraId="772EDAD6" w14:textId="4D492995" w:rsidR="00274429" w:rsidRPr="009A46BB" w:rsidRDefault="00274429" w:rsidP="00730054">
          <w:pPr>
            <w:spacing w:after="0"/>
            <w:jc w:val="both"/>
            <w:rPr>
              <w:rFonts w:ascii="Times New Roman" w:hAnsi="Times New Roman"/>
              <w:sz w:val="24"/>
              <w:szCs w:val="24"/>
            </w:rPr>
          </w:pPr>
          <w:r w:rsidRPr="009A46BB">
            <w:rPr>
              <w:rFonts w:ascii="Times New Roman" w:hAnsi="Times New Roman"/>
              <w:b/>
              <w:sz w:val="24"/>
              <w:szCs w:val="24"/>
            </w:rPr>
            <w:t>Razón social del concesionario:</w:t>
          </w:r>
          <w:r w:rsidR="00913121" w:rsidRPr="009A46BB">
            <w:rPr>
              <w:rFonts w:ascii="Times New Roman" w:hAnsi="Times New Roman"/>
              <w:b/>
              <w:sz w:val="24"/>
              <w:szCs w:val="24"/>
            </w:rPr>
            <w:t xml:space="preserve"> </w:t>
          </w:r>
          <w:r w:rsidRPr="009A46BB">
            <w:rPr>
              <w:rFonts w:ascii="Times New Roman" w:hAnsi="Times New Roman"/>
              <w:sz w:val="24"/>
              <w:szCs w:val="24"/>
            </w:rPr>
            <w:t>Sociedad COMPAÑIA DE PUERTOS ASOCIADOS S.A. - COMPAS</w:t>
          </w:r>
        </w:p>
        <w:p w14:paraId="7BCBACEB" w14:textId="19070313"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Nombre del proyecto:</w:t>
          </w:r>
          <w:r w:rsidR="00913121" w:rsidRPr="009A46BB">
            <w:rPr>
              <w:rFonts w:ascii="Times New Roman" w:hAnsi="Times New Roman"/>
              <w:b/>
              <w:sz w:val="24"/>
              <w:szCs w:val="24"/>
            </w:rPr>
            <w:t xml:space="preserve"> </w:t>
          </w:r>
          <w:r w:rsidRPr="009A46BB">
            <w:rPr>
              <w:rFonts w:ascii="Times New Roman" w:hAnsi="Times New Roman"/>
              <w:sz w:val="24"/>
              <w:szCs w:val="24"/>
            </w:rPr>
            <w:t>Sociedad COMPAÑIA DE PUERTOS ASOCIADOS S.A. - COMPAS – BUENAVENTURA.</w:t>
          </w:r>
        </w:p>
        <w:p w14:paraId="4FB59BF8" w14:textId="12810745" w:rsidR="00274429" w:rsidRPr="009A46BB" w:rsidRDefault="00274429" w:rsidP="00E60BAB">
          <w:pPr>
            <w:pStyle w:val="Prrafodelista"/>
            <w:numPr>
              <w:ilvl w:val="0"/>
              <w:numId w:val="168"/>
            </w:numPr>
            <w:jc w:val="both"/>
            <w:rPr>
              <w:rFonts w:ascii="Times New Roman" w:hAnsi="Times New Roman"/>
              <w:b/>
            </w:rPr>
          </w:pPr>
          <w:r w:rsidRPr="009A46BB">
            <w:rPr>
              <w:rFonts w:ascii="Times New Roman" w:hAnsi="Times New Roman"/>
              <w:b/>
              <w:sz w:val="24"/>
              <w:szCs w:val="24"/>
            </w:rPr>
            <w:t>Términos significativos del acuerdo que puedan afectar su valor, el calendario y la certeza de los flujos</w:t>
          </w:r>
        </w:p>
        <w:p w14:paraId="052D68D1"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Términos de valor:</w:t>
          </w:r>
        </w:p>
        <w:p w14:paraId="3A1AC6BC" w14:textId="3651C8F2"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1</w:t>
          </w:r>
          <w:r w:rsidR="00E7306F" w:rsidRPr="009A46BB">
            <w:rPr>
              <w:rFonts w:ascii="Times New Roman" w:hAnsi="Times New Roman"/>
              <w:b/>
              <w:sz w:val="24"/>
              <w:szCs w:val="24"/>
            </w:rPr>
            <w:t xml:space="preserve">. </w:t>
          </w:r>
          <w:r w:rsidRPr="009A46BB">
            <w:rPr>
              <w:rFonts w:ascii="Times New Roman" w:hAnsi="Times New Roman"/>
              <w:b/>
              <w:sz w:val="24"/>
              <w:szCs w:val="24"/>
            </w:rPr>
            <w:t>Tarifas:</w:t>
          </w:r>
          <w:r w:rsidRPr="009A46BB">
            <w:rPr>
              <w:rFonts w:ascii="Times New Roman" w:hAnsi="Times New Roman"/>
              <w:sz w:val="24"/>
              <w:szCs w:val="24"/>
            </w:rPr>
            <w:t xml:space="preserve">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w:t>
          </w:r>
        </w:p>
        <w:p w14:paraId="3046E59A" w14:textId="427D088B"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2.</w:t>
          </w:r>
          <w:r w:rsidR="00E7306F" w:rsidRPr="009A46BB">
            <w:rPr>
              <w:rFonts w:ascii="Times New Roman" w:hAnsi="Times New Roman"/>
              <w:b/>
              <w:sz w:val="24"/>
              <w:szCs w:val="24"/>
            </w:rPr>
            <w:t xml:space="preserve"> </w:t>
          </w:r>
          <w:r w:rsidRPr="009A46BB">
            <w:rPr>
              <w:rFonts w:ascii="Times New Roman" w:hAnsi="Times New Roman"/>
              <w:b/>
              <w:sz w:val="24"/>
              <w:szCs w:val="24"/>
            </w:rPr>
            <w:t>Contraprestación portuaria:</w:t>
          </w:r>
          <w:r w:rsidRPr="009A46BB">
            <w:rPr>
              <w:rFonts w:ascii="Times New Roman" w:hAnsi="Times New Roman"/>
              <w:sz w:val="24"/>
              <w:szCs w:val="24"/>
            </w:rPr>
            <w:t xml:space="preserve"> De acuerdo con el último documento contractual vigente la metodología de contraprestación vigente es CONPES 3744 de 2013 (Componentes Fijo y Variable). A febrero de 2023 el CONCESIONARIO debió pagar la suma de USD 2.580.841.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Municipio de Buenaventura; e INFRAESTRUCTURA en un 100% a la Nación - Instituto Nacional de Vías (INVIAS).</w:t>
          </w:r>
        </w:p>
        <w:p w14:paraId="2AE30D7A" w14:textId="5D25D60C"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3.</w:t>
          </w:r>
          <w:r w:rsidR="00E7306F" w:rsidRPr="009A46BB">
            <w:rPr>
              <w:rFonts w:ascii="Times New Roman" w:hAnsi="Times New Roman"/>
              <w:b/>
              <w:sz w:val="24"/>
              <w:szCs w:val="24"/>
            </w:rPr>
            <w:t xml:space="preserve"> </w:t>
          </w:r>
          <w:r w:rsidRPr="009A46BB">
            <w:rPr>
              <w:rFonts w:ascii="Times New Roman" w:hAnsi="Times New Roman"/>
              <w:b/>
              <w:sz w:val="24"/>
              <w:szCs w:val="24"/>
            </w:rPr>
            <w:t>Plan de Inversiones:</w:t>
          </w:r>
          <w:r w:rsidRPr="009A46BB">
            <w:rPr>
              <w:rFonts w:ascii="Times New Roman" w:hAnsi="Times New Roman"/>
              <w:sz w:val="24"/>
              <w:szCs w:val="24"/>
            </w:rPr>
            <w:t xml:space="preserve"> de acuerdo con lo establecido en el Otrosí No. 6 de 2021 en la Cláusula Tercera, el plan de inversiones es por valor de USD$ 8.597.979 constantes de diciembre de 2020.</w:t>
          </w:r>
        </w:p>
        <w:p w14:paraId="6388D490" w14:textId="5A728B08"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4.</w:t>
          </w:r>
          <w:r w:rsidR="00E7306F" w:rsidRPr="009A46BB">
            <w:rPr>
              <w:rFonts w:ascii="Times New Roman" w:hAnsi="Times New Roman"/>
              <w:b/>
              <w:sz w:val="24"/>
              <w:szCs w:val="24"/>
            </w:rPr>
            <w:t xml:space="preserve"> </w:t>
          </w:r>
          <w:r w:rsidRPr="009A46BB">
            <w:rPr>
              <w:rFonts w:ascii="Times New Roman" w:hAnsi="Times New Roman"/>
              <w:b/>
              <w:sz w:val="24"/>
              <w:szCs w:val="24"/>
            </w:rPr>
            <w:t>Obligaciones del CONCESIONARIO:</w:t>
          </w:r>
          <w:r w:rsidRPr="009A46BB">
            <w:rPr>
              <w:rFonts w:ascii="Times New Roman" w:hAnsi="Times New Roman"/>
              <w:sz w:val="24"/>
              <w:szCs w:val="24"/>
            </w:rPr>
            <w:t xml:space="preserve"> se encuentran descritas en la cláusula décima segunda del Contrato de Concesión. </w:t>
          </w:r>
        </w:p>
        <w:p w14:paraId="134F90F3" w14:textId="4F2C8976"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5.</w:t>
          </w:r>
          <w:r w:rsidR="00E7306F" w:rsidRPr="009A46BB">
            <w:rPr>
              <w:rFonts w:ascii="Times New Roman" w:hAnsi="Times New Roman"/>
              <w:b/>
              <w:sz w:val="24"/>
              <w:szCs w:val="24"/>
            </w:rPr>
            <w:t xml:space="preserve"> </w:t>
          </w:r>
          <w:r w:rsidRPr="009A46BB">
            <w:rPr>
              <w:rFonts w:ascii="Times New Roman" w:hAnsi="Times New Roman"/>
              <w:b/>
              <w:sz w:val="24"/>
              <w:szCs w:val="24"/>
            </w:rPr>
            <w:t>Multas y sanciones:</w:t>
          </w:r>
          <w:r w:rsidRPr="009A46BB">
            <w:rPr>
              <w:rFonts w:ascii="Times New Roman" w:hAnsi="Times New Roman"/>
              <w:sz w:val="24"/>
              <w:szCs w:val="24"/>
            </w:rPr>
            <w:t xml:space="preserve"> están establecidas en la cláusula décima primera del Otrosí No. 6 de 2021.</w:t>
          </w:r>
        </w:p>
        <w:p w14:paraId="6E787EAF" w14:textId="70573D42"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6.</w:t>
          </w:r>
          <w:r w:rsidR="00E7306F" w:rsidRPr="009A46BB">
            <w:rPr>
              <w:rFonts w:ascii="Times New Roman" w:hAnsi="Times New Roman"/>
              <w:b/>
              <w:sz w:val="24"/>
              <w:szCs w:val="24"/>
            </w:rPr>
            <w:t xml:space="preserve"> </w:t>
          </w:r>
          <w:r w:rsidRPr="009A46BB">
            <w:rPr>
              <w:rFonts w:ascii="Times New Roman" w:hAnsi="Times New Roman"/>
              <w:b/>
              <w:sz w:val="24"/>
              <w:szCs w:val="24"/>
            </w:rPr>
            <w:t>Penal pecuniaria:</w:t>
          </w:r>
          <w:r w:rsidRPr="009A46BB">
            <w:rPr>
              <w:rFonts w:ascii="Times New Roman" w:hAnsi="Times New Roman"/>
              <w:sz w:val="24"/>
              <w:szCs w:val="24"/>
            </w:rPr>
            <w:t xml:space="preserve"> En la cláusula décima sexta se establece que en el evento en que la ANI declare la caducidad o el incumplimiento del presente contrato se podrá imponer una penalidad pecuniaria equivalente al 10% del valor total de la contraprestación.</w:t>
          </w:r>
        </w:p>
        <w:p w14:paraId="1FA0F98F"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lastRenderedPageBreak/>
            <w:t>Términos de calendario:</w:t>
          </w:r>
        </w:p>
        <w:p w14:paraId="7D92B1B2" w14:textId="755D4B21"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1.</w:t>
          </w:r>
          <w:r w:rsidR="00E7306F" w:rsidRPr="009A46BB">
            <w:rPr>
              <w:rFonts w:ascii="Times New Roman" w:hAnsi="Times New Roman"/>
              <w:b/>
              <w:sz w:val="24"/>
              <w:szCs w:val="24"/>
            </w:rPr>
            <w:t xml:space="preserve"> </w:t>
          </w:r>
          <w:r w:rsidRPr="009A46BB">
            <w:rPr>
              <w:rFonts w:ascii="Times New Roman" w:hAnsi="Times New Roman"/>
              <w:b/>
              <w:sz w:val="24"/>
              <w:szCs w:val="24"/>
            </w:rPr>
            <w:t>Tarifas:</w:t>
          </w:r>
          <w:r w:rsidRPr="009A46BB">
            <w:rPr>
              <w:rFonts w:ascii="Times New Roman" w:hAnsi="Times New Roman"/>
              <w:sz w:val="24"/>
              <w:szCs w:val="24"/>
            </w:rPr>
            <w:t xml:space="preserve"> Aprobadas según la metodología establecida por la Superintendencia General de Puertos hoy Superintendencia de Transporte.</w:t>
          </w:r>
        </w:p>
        <w:p w14:paraId="7FB7F631" w14:textId="170CCC00"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2.</w:t>
          </w:r>
          <w:r w:rsidR="00E7306F" w:rsidRPr="009A46BB">
            <w:rPr>
              <w:rFonts w:ascii="Times New Roman" w:hAnsi="Times New Roman"/>
              <w:b/>
              <w:sz w:val="24"/>
              <w:szCs w:val="24"/>
            </w:rPr>
            <w:t xml:space="preserve"> </w:t>
          </w:r>
          <w:r w:rsidRPr="009A46BB">
            <w:rPr>
              <w:rFonts w:ascii="Times New Roman" w:hAnsi="Times New Roman"/>
              <w:b/>
              <w:sz w:val="24"/>
              <w:szCs w:val="24"/>
            </w:rPr>
            <w:t>Contraprestación portuaria:</w:t>
          </w:r>
          <w:r w:rsidRPr="009A46BB">
            <w:rPr>
              <w:rFonts w:ascii="Times New Roman" w:hAnsi="Times New Roman"/>
              <w:sz w:val="24"/>
              <w:szCs w:val="24"/>
            </w:rPr>
            <w:t xml:space="preserve"> la contraprestación se debe pagar de manera anual anticipada desde el mes de febrero de cada año.</w:t>
          </w:r>
        </w:p>
        <w:p w14:paraId="4F6CB1CE" w14:textId="129CD9FC" w:rsidR="00274429" w:rsidRPr="009A46BB" w:rsidRDefault="00274429" w:rsidP="00274429">
          <w:pPr>
            <w:rPr>
              <w:rFonts w:ascii="Times New Roman" w:hAnsi="Times New Roman"/>
              <w:sz w:val="24"/>
              <w:szCs w:val="24"/>
            </w:rPr>
          </w:pPr>
          <w:r w:rsidRPr="009A46BB">
            <w:rPr>
              <w:rFonts w:ascii="Times New Roman" w:hAnsi="Times New Roman"/>
              <w:b/>
              <w:sz w:val="24"/>
              <w:szCs w:val="24"/>
            </w:rPr>
            <w:t>3.</w:t>
          </w:r>
          <w:r w:rsidR="00E7306F" w:rsidRPr="009A46BB">
            <w:rPr>
              <w:rFonts w:ascii="Times New Roman" w:hAnsi="Times New Roman"/>
              <w:b/>
              <w:sz w:val="24"/>
              <w:szCs w:val="24"/>
            </w:rPr>
            <w:t xml:space="preserve"> </w:t>
          </w:r>
          <w:r w:rsidRPr="009A46BB">
            <w:rPr>
              <w:rFonts w:ascii="Times New Roman" w:hAnsi="Times New Roman"/>
              <w:b/>
              <w:sz w:val="24"/>
              <w:szCs w:val="24"/>
            </w:rPr>
            <w:t>Plan de inversiones:</w:t>
          </w:r>
          <w:r w:rsidRPr="009A46BB">
            <w:rPr>
              <w:rFonts w:ascii="Times New Roman" w:hAnsi="Times New Roman"/>
              <w:sz w:val="24"/>
              <w:szCs w:val="24"/>
            </w:rPr>
            <w:t xml:space="preserve"> establecido en el Otrosí No. 6 de 2021 en la Cláusula Tercera</w:t>
          </w:r>
        </w:p>
        <w:p w14:paraId="17EE1D5B" w14:textId="4B8AA6CA"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7.</w:t>
          </w:r>
          <w:r w:rsidR="00E7306F" w:rsidRPr="009A46BB">
            <w:rPr>
              <w:rFonts w:ascii="Times New Roman" w:hAnsi="Times New Roman"/>
              <w:b/>
              <w:sz w:val="24"/>
              <w:szCs w:val="24"/>
            </w:rPr>
            <w:t xml:space="preserve"> </w:t>
          </w:r>
          <w:r w:rsidRPr="009A46BB">
            <w:rPr>
              <w:rFonts w:ascii="Times New Roman" w:hAnsi="Times New Roman"/>
              <w:b/>
              <w:sz w:val="24"/>
              <w:szCs w:val="24"/>
            </w:rPr>
            <w:t>Multas:</w:t>
          </w:r>
          <w:r w:rsidRPr="009A46BB">
            <w:rPr>
              <w:rFonts w:ascii="Times New Roman" w:hAnsi="Times New Roman"/>
              <w:sz w:val="24"/>
              <w:szCs w:val="24"/>
            </w:rPr>
            <w:t xml:space="preserve"> están establecidas en la cláusula décima primera del Otrosí No. 6 de 2021.</w:t>
          </w:r>
        </w:p>
        <w:p w14:paraId="24E8E6A8"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Términos de certeza de flujos de efectivo futuros:</w:t>
          </w:r>
        </w:p>
        <w:p w14:paraId="15E57029"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Se permite al CONCESIONARIO la ocupación en forma temporal y exclusiva de una zona de playas, de bajamar y aguas marítimas accesorias, para la construcción, operación y el desarrollo de actividades portuarias de servicio público, conforme lo establece la Cláusula Primera del Contrato.</w:t>
          </w:r>
        </w:p>
        <w:p w14:paraId="1E0C800E"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Cláusula Décima Primera, Parágrafo Primero, El Ochenta Por Ciento (80%) del valor de la contraprestación le corresponde a La Nación y el Veinte Por Ciento (20%) del valor de la contraprestación le corresponde al municipio de Buenaventura, conforme lo establece el Artículo 7° Numeral1° de la Ley 1" de 1991.</w:t>
          </w:r>
        </w:p>
        <w:p w14:paraId="60996489" w14:textId="1A535B2D" w:rsidR="00274429" w:rsidRPr="009A46BB" w:rsidRDefault="00274429" w:rsidP="00E60BAB">
          <w:pPr>
            <w:pStyle w:val="Prrafodelista"/>
            <w:numPr>
              <w:ilvl w:val="0"/>
              <w:numId w:val="168"/>
            </w:numPr>
            <w:jc w:val="both"/>
            <w:rPr>
              <w:rFonts w:ascii="Times New Roman" w:hAnsi="Times New Roman"/>
              <w:b/>
            </w:rPr>
          </w:pPr>
          <w:r w:rsidRPr="009A46BB">
            <w:rPr>
              <w:rFonts w:ascii="Times New Roman" w:hAnsi="Times New Roman"/>
              <w:b/>
              <w:sz w:val="24"/>
              <w:szCs w:val="24"/>
            </w:rPr>
            <w:t xml:space="preserve">Naturaleza y alcance del derecho a utilizar activos especificados, de los aspectos pactados en torno a lo que se espera que el concesionario proporcione en relación con el acuerdo de concesión. </w:t>
          </w:r>
        </w:p>
        <w:p w14:paraId="77B2D899"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Naturaleza y alcance del derecho de uso de los activos</w:t>
          </w:r>
        </w:p>
        <w:p w14:paraId="232C56F3"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Descripción:</w:t>
          </w:r>
        </w:p>
        <w:p w14:paraId="77107B5F"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Activos reconocidos</w:t>
          </w:r>
        </w:p>
        <w:p w14:paraId="4E59D636"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Alcance del derecho de uso de los activos:</w:t>
          </w:r>
        </w:p>
        <w:p w14:paraId="677BA244"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 del proyecto, especificaciones técnicas, modalidades de operación:</w:t>
          </w:r>
          <w:r w:rsidRPr="009A46BB">
            <w:rPr>
              <w:rFonts w:ascii="Times New Roman" w:hAnsi="Times New Roman"/>
              <w:sz w:val="24"/>
              <w:szCs w:val="24"/>
            </w:rPr>
            <w:t xml:space="preserve"> las condiciones especiales de operación del puerto están establecidas en la Cláusula Cuarta.</w:t>
          </w:r>
        </w:p>
        <w:p w14:paraId="0D0D03F1"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Área entregada en concesión:</w:t>
          </w:r>
          <w:r w:rsidRPr="009A46BB">
            <w:rPr>
              <w:rFonts w:ascii="Times New Roman" w:hAnsi="Times New Roman"/>
              <w:sz w:val="24"/>
              <w:szCs w:val="24"/>
            </w:rPr>
            <w:t xml:space="preserve"> La descripción de la ubicación, linderos y extensión de los bienes de uso público (playas y terrenos de baja mar, zonas marítimas accesorias de maniobras) entregados en concesión están establecidos en la Cláusula Primera del Otrosí No. 1 de 2003.</w:t>
          </w:r>
        </w:p>
        <w:p w14:paraId="475CE3FB"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Infraestructura y equipos entregados en concesión:</w:t>
          </w:r>
          <w:r w:rsidRPr="009A46BB">
            <w:rPr>
              <w:rFonts w:ascii="Times New Roman" w:hAnsi="Times New Roman"/>
              <w:sz w:val="24"/>
              <w:szCs w:val="24"/>
            </w:rPr>
            <w:t xml:space="preserve"> En el contrato de concesión portuaria no fueron entregados activos relacionados con infraestructura y equipos, el plan de inversiones desarrolla la infraestructura y la adquisición de equipos para su posterior reversión a la Nación.</w:t>
          </w:r>
        </w:p>
        <w:p w14:paraId="51A2ED33"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Retribución al concesionario</w:t>
          </w:r>
        </w:p>
        <w:p w14:paraId="72728F45"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w:t>
          </w:r>
          <w:r w:rsidRPr="009A46BB">
            <w:rPr>
              <w:rFonts w:ascii="Times New Roman" w:hAnsi="Times New Roman"/>
              <w:b/>
              <w:sz w:val="24"/>
              <w:szCs w:val="24"/>
            </w:rPr>
            <w:tab/>
          </w:r>
          <w:r w:rsidRPr="009A46BB">
            <w:rPr>
              <w:rFonts w:ascii="Times New Roman" w:hAnsi="Times New Roman"/>
              <w:sz w:val="24"/>
              <w:szCs w:val="24"/>
            </w:rPr>
            <w:t xml:space="preserve">Cláusula primera Contrato 024 de 1999: Se otorga a EL CONCESIONARIO el derecho de ocupar y utilizar en forma temporal y exclusiva las playas, los terrenos de bajamar </w:t>
          </w:r>
          <w:r w:rsidRPr="009A46BB">
            <w:rPr>
              <w:rFonts w:ascii="Times New Roman" w:hAnsi="Times New Roman"/>
              <w:sz w:val="24"/>
              <w:szCs w:val="24"/>
            </w:rPr>
            <w:lastRenderedPageBreak/>
            <w:t>y zonas accesorias a aquellas o estos, descritos en la cláusula segunda del contrato, a cambio de la contraprestación económica.</w:t>
          </w:r>
        </w:p>
        <w:p w14:paraId="2FEF50CA"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Tasa de retribución:</w:t>
          </w:r>
          <w:r w:rsidRPr="009A46BB">
            <w:rPr>
              <w:rFonts w:ascii="Times New Roman" w:hAnsi="Times New Roman"/>
              <w:sz w:val="24"/>
              <w:szCs w:val="24"/>
            </w:rPr>
            <w:tab/>
            <w:t>N/A</w:t>
          </w:r>
        </w:p>
        <w:p w14:paraId="0AFB1FA4" w14:textId="30A66AA6" w:rsidR="00274429" w:rsidRPr="009A46BB" w:rsidRDefault="00274429" w:rsidP="00E60BAB">
          <w:pPr>
            <w:pStyle w:val="Prrafodelista"/>
            <w:numPr>
              <w:ilvl w:val="0"/>
              <w:numId w:val="168"/>
            </w:numPr>
            <w:jc w:val="both"/>
            <w:rPr>
              <w:rFonts w:ascii="Times New Roman" w:hAnsi="Times New Roman"/>
              <w:b/>
            </w:rPr>
          </w:pPr>
          <w:r w:rsidRPr="009A46BB">
            <w:rPr>
              <w:rFonts w:ascii="Times New Roman" w:hAnsi="Times New Roman"/>
              <w:b/>
              <w:sz w:val="24"/>
              <w:szCs w:val="24"/>
            </w:rPr>
            <w:t>Derechos a recibir activos especificados al final del acuerdo de concesión</w:t>
          </w:r>
        </w:p>
        <w:p w14:paraId="5EF98A47"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w:t>
          </w:r>
          <w:r w:rsidRPr="009A46BB">
            <w:rPr>
              <w:rFonts w:ascii="Times New Roman" w:hAnsi="Times New Roman"/>
              <w:sz w:val="24"/>
              <w:szCs w:val="24"/>
            </w:rPr>
            <w:tab/>
            <w:t>De acuerdo con el Artículo 8º de la Ley 1 de 1991 en el modo portuario el concesionario no tiene derechos finales sobre activos los debe revertir a la Nación al final del contrato de concesión.</w:t>
          </w:r>
        </w:p>
        <w:p w14:paraId="263AAC5F"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Observaciones:</w:t>
          </w:r>
          <w:r w:rsidRPr="009A46BB">
            <w:rPr>
              <w:rFonts w:ascii="Times New Roman" w:hAnsi="Times New Roman"/>
              <w:b/>
              <w:sz w:val="24"/>
              <w:szCs w:val="24"/>
            </w:rPr>
            <w:tab/>
          </w:r>
        </w:p>
        <w:p w14:paraId="33F3858A"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Reversión:</w:t>
          </w:r>
          <w:r w:rsidRPr="009A46BB">
            <w:rPr>
              <w:rFonts w:ascii="Times New Roman" w:hAnsi="Times New Roman"/>
              <w:sz w:val="24"/>
              <w:szCs w:val="24"/>
            </w:rPr>
            <w:t xml:space="preserve"> De acuerdo con lo establecido en la cláusula décima del contrato y en la Cláusula Décima Tercera del Otrosí No. 6 de 2021, todas las construcciones e inmuebles por destinación que se encuentren habitualmente instalados en la zona de uso público, serán cedidas gratuitamente por el Concesionario a la Nación. Para tal fin, en el momento de la reversión el CONCESIONARIO elaborará un inventario de los bienes y se suscribirá un acta por las partes contratantes, la cual deberá protocolizarse en Escritura pública a costa del concesionario.</w:t>
          </w:r>
        </w:p>
        <w:p w14:paraId="2056CE7C"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La ANI es la entidad concedente pero la titularidad de los activos al final de la concesión es del Instituto Nacional de Vías INVIAS.</w:t>
          </w:r>
        </w:p>
        <w:p w14:paraId="3D3C2C3C" w14:textId="7E734A22" w:rsidR="00274429" w:rsidRPr="009A46BB" w:rsidRDefault="00E7306F" w:rsidP="00E60BAB">
          <w:pPr>
            <w:pStyle w:val="Prrafodelista"/>
            <w:numPr>
              <w:ilvl w:val="0"/>
              <w:numId w:val="168"/>
            </w:numPr>
            <w:jc w:val="both"/>
            <w:rPr>
              <w:rFonts w:ascii="Times New Roman" w:hAnsi="Times New Roman"/>
              <w:b/>
            </w:rPr>
          </w:pPr>
          <w:r w:rsidRPr="009A46BB">
            <w:rPr>
              <w:rFonts w:ascii="Times New Roman" w:hAnsi="Times New Roman"/>
              <w:b/>
              <w:sz w:val="24"/>
              <w:szCs w:val="24"/>
            </w:rPr>
            <w:t>No hay c</w:t>
          </w:r>
          <w:r w:rsidR="00274429" w:rsidRPr="009A46BB">
            <w:rPr>
              <w:rFonts w:ascii="Times New Roman" w:hAnsi="Times New Roman"/>
              <w:b/>
              <w:sz w:val="24"/>
              <w:szCs w:val="24"/>
            </w:rPr>
            <w:t>ambios en el acuerdo de concesión que se realicen durante el periodo fiscal</w:t>
          </w:r>
        </w:p>
        <w:p w14:paraId="158A241D" w14:textId="77777777" w:rsidR="00E7306F" w:rsidRPr="009A46BB" w:rsidRDefault="00E7306F" w:rsidP="00E7306F">
          <w:pPr>
            <w:pStyle w:val="Prrafodelista"/>
            <w:spacing w:line="259" w:lineRule="auto"/>
            <w:ind w:left="360"/>
            <w:jc w:val="both"/>
            <w:rPr>
              <w:rFonts w:ascii="Times New Roman" w:hAnsi="Times New Roman"/>
              <w:b/>
              <w:sz w:val="24"/>
              <w:szCs w:val="24"/>
            </w:rPr>
          </w:pPr>
        </w:p>
        <w:p w14:paraId="04E12414" w14:textId="17AE5707" w:rsidR="00274429" w:rsidRPr="009A46BB" w:rsidRDefault="009077BB" w:rsidP="00E7306F">
          <w:pPr>
            <w:spacing w:line="259" w:lineRule="auto"/>
            <w:jc w:val="both"/>
            <w:rPr>
              <w:rFonts w:ascii="Times New Roman" w:hAnsi="Times New Roman"/>
              <w:b/>
              <w:sz w:val="24"/>
              <w:szCs w:val="24"/>
            </w:rPr>
          </w:pPr>
          <w:r w:rsidRPr="009A46BB">
            <w:rPr>
              <w:rFonts w:ascii="Times New Roman" w:hAnsi="Times New Roman"/>
              <w:b/>
              <w:sz w:val="24"/>
              <w:szCs w:val="24"/>
            </w:rPr>
            <w:t>CERREJÓN ZONA NORTE S.A</w:t>
          </w:r>
        </w:p>
        <w:p w14:paraId="2F6B18A0" w14:textId="6A2BDF0F" w:rsidR="00274429" w:rsidRPr="009A46BB" w:rsidRDefault="00274429" w:rsidP="2DB8CAD9">
          <w:pPr>
            <w:pStyle w:val="Prrafodelista"/>
            <w:jc w:val="both"/>
            <w:rPr>
              <w:rFonts w:ascii="Times New Roman" w:hAnsi="Times New Roman"/>
              <w:b/>
            </w:rPr>
          </w:pPr>
          <w:r w:rsidRPr="009A46BB">
            <w:rPr>
              <w:rFonts w:ascii="Times New Roman" w:hAnsi="Times New Roman"/>
              <w:b/>
              <w:sz w:val="24"/>
              <w:szCs w:val="24"/>
            </w:rPr>
            <w:t>Descripción del acuerdo</w:t>
          </w:r>
        </w:p>
        <w:p w14:paraId="1EF23F99" w14:textId="07C0F4A5" w:rsidR="00274429" w:rsidRPr="009A46BB" w:rsidRDefault="00274429" w:rsidP="2DB8CAD9">
          <w:pPr>
            <w:spacing w:after="0"/>
            <w:jc w:val="both"/>
            <w:rPr>
              <w:rFonts w:ascii="Times New Roman" w:hAnsi="Times New Roman"/>
              <w:sz w:val="24"/>
              <w:szCs w:val="24"/>
            </w:rPr>
          </w:pPr>
          <w:r w:rsidRPr="009A46BB">
            <w:rPr>
              <w:rFonts w:ascii="Times New Roman" w:hAnsi="Times New Roman"/>
              <w:b/>
              <w:sz w:val="24"/>
              <w:szCs w:val="24"/>
            </w:rPr>
            <w:t>Número del acuerdo de concesión:</w:t>
          </w:r>
          <w:r w:rsidR="002A55BB" w:rsidRPr="009A46BB">
            <w:rPr>
              <w:rFonts w:ascii="Times New Roman" w:hAnsi="Times New Roman"/>
              <w:b/>
              <w:sz w:val="24"/>
              <w:szCs w:val="24"/>
            </w:rPr>
            <w:t xml:space="preserve"> </w:t>
          </w:r>
          <w:r w:rsidRPr="009A46BB">
            <w:rPr>
              <w:rFonts w:ascii="Times New Roman" w:hAnsi="Times New Roman"/>
              <w:sz w:val="24"/>
              <w:szCs w:val="24"/>
            </w:rPr>
            <w:t>Concesión Homologada Resolución No.164 del 09/03/1994</w:t>
          </w:r>
        </w:p>
        <w:p w14:paraId="6B994BB3" w14:textId="705375FD" w:rsidR="00274429" w:rsidRPr="009A46BB" w:rsidRDefault="00274429" w:rsidP="2DB8CAD9">
          <w:pPr>
            <w:spacing w:after="0"/>
            <w:jc w:val="both"/>
            <w:rPr>
              <w:rFonts w:ascii="Times New Roman" w:hAnsi="Times New Roman"/>
              <w:sz w:val="24"/>
              <w:szCs w:val="24"/>
            </w:rPr>
          </w:pPr>
          <w:r w:rsidRPr="009A46BB">
            <w:rPr>
              <w:rFonts w:ascii="Times New Roman" w:hAnsi="Times New Roman"/>
              <w:b/>
              <w:sz w:val="24"/>
              <w:szCs w:val="24"/>
            </w:rPr>
            <w:t>Objeto / Descripción:</w:t>
          </w:r>
          <w:r w:rsidR="002A55BB" w:rsidRPr="009A46BB">
            <w:rPr>
              <w:rFonts w:ascii="Times New Roman" w:hAnsi="Times New Roman"/>
              <w:b/>
              <w:sz w:val="24"/>
              <w:szCs w:val="24"/>
            </w:rPr>
            <w:t xml:space="preserve"> </w:t>
          </w:r>
          <w:r w:rsidRPr="009A46BB">
            <w:rPr>
              <w:rFonts w:ascii="Times New Roman" w:hAnsi="Times New Roman"/>
              <w:sz w:val="24"/>
              <w:szCs w:val="24"/>
            </w:rPr>
            <w:t>En virtud de la Resolución de homologación portuaria y sus modificaciones, se permite al CONCESIONARIO el uso y goce del área de propiedad de la Nación ubicada el puerto Bahía de Portete, Municipio de Uribia, Departamento de la Guajira, para la construcción de un complejo portuario para la explotación y exportación de carbón y todos aquellos productos necesarios para la infraestructura de los proyectos carboníferos y el desarrollo de actividades portuarias de servicio privado</w:t>
          </w:r>
        </w:p>
        <w:p w14:paraId="7A89A1FE" w14:textId="45F730E2" w:rsidR="00274429" w:rsidRPr="009A46BB" w:rsidRDefault="00274429" w:rsidP="2DB8CAD9">
          <w:pPr>
            <w:spacing w:after="0"/>
            <w:jc w:val="both"/>
            <w:rPr>
              <w:rFonts w:ascii="Times New Roman" w:hAnsi="Times New Roman"/>
              <w:sz w:val="24"/>
              <w:szCs w:val="24"/>
            </w:rPr>
          </w:pPr>
          <w:r w:rsidRPr="009A46BB">
            <w:rPr>
              <w:rFonts w:ascii="Times New Roman" w:hAnsi="Times New Roman"/>
              <w:b/>
              <w:sz w:val="24"/>
              <w:szCs w:val="24"/>
            </w:rPr>
            <w:t>Valor inicial:</w:t>
          </w:r>
          <w:r w:rsidR="002A55BB" w:rsidRPr="009A46BB">
            <w:rPr>
              <w:rFonts w:ascii="Times New Roman" w:hAnsi="Times New Roman"/>
              <w:b/>
              <w:sz w:val="24"/>
              <w:szCs w:val="24"/>
            </w:rPr>
            <w:t xml:space="preserve"> </w:t>
          </w:r>
          <w:r w:rsidRPr="009A46BB">
            <w:rPr>
              <w:rFonts w:ascii="Times New Roman" w:hAnsi="Times New Roman"/>
              <w:sz w:val="24"/>
              <w:szCs w:val="24"/>
            </w:rPr>
            <w:t>USD $ 648.348, 66/ artículo segundo/ Resolución 164 de 1994.</w:t>
          </w:r>
        </w:p>
        <w:p w14:paraId="0D188FBA" w14:textId="77777777" w:rsidR="00274429" w:rsidRPr="009A46BB" w:rsidRDefault="00274429" w:rsidP="2DB8CAD9">
          <w:pPr>
            <w:spacing w:after="0"/>
            <w:jc w:val="both"/>
            <w:rPr>
              <w:rFonts w:ascii="Times New Roman" w:hAnsi="Times New Roman"/>
              <w:sz w:val="24"/>
              <w:szCs w:val="24"/>
            </w:rPr>
          </w:pPr>
          <w:r w:rsidRPr="009A46BB">
            <w:rPr>
              <w:rFonts w:ascii="Times New Roman" w:hAnsi="Times New Roman"/>
              <w:sz w:val="24"/>
              <w:szCs w:val="24"/>
            </w:rPr>
            <w:t>USD $83.639.650 artículo cuarto / Resolución 776 de 2014.</w:t>
          </w:r>
        </w:p>
        <w:p w14:paraId="1AD7FC42" w14:textId="36BCA3F9" w:rsidR="00274429" w:rsidRPr="009A46BB" w:rsidRDefault="00274429" w:rsidP="2DB8CAD9">
          <w:pPr>
            <w:spacing w:after="0"/>
            <w:jc w:val="both"/>
            <w:rPr>
              <w:rFonts w:ascii="Times New Roman" w:hAnsi="Times New Roman"/>
              <w:sz w:val="24"/>
              <w:szCs w:val="24"/>
            </w:rPr>
          </w:pPr>
          <w:r w:rsidRPr="009A46BB">
            <w:rPr>
              <w:rFonts w:ascii="Times New Roman" w:hAnsi="Times New Roman"/>
              <w:b/>
              <w:sz w:val="24"/>
              <w:szCs w:val="24"/>
            </w:rPr>
            <w:t>Fecha de inicio:</w:t>
          </w:r>
          <w:r w:rsidR="002A55BB" w:rsidRPr="009A46BB">
            <w:rPr>
              <w:rFonts w:ascii="Times New Roman" w:hAnsi="Times New Roman"/>
              <w:b/>
              <w:sz w:val="24"/>
              <w:szCs w:val="24"/>
            </w:rPr>
            <w:t xml:space="preserve"> </w:t>
          </w:r>
          <w:r w:rsidRPr="009A46BB">
            <w:rPr>
              <w:rFonts w:ascii="Times New Roman" w:hAnsi="Times New Roman"/>
              <w:sz w:val="24"/>
              <w:szCs w:val="24"/>
            </w:rPr>
            <w:t>9/03/1994</w:t>
          </w:r>
        </w:p>
        <w:p w14:paraId="58B18993" w14:textId="0035A40B" w:rsidR="00274429" w:rsidRPr="009A46BB" w:rsidRDefault="00274429" w:rsidP="2DB8CAD9">
          <w:pPr>
            <w:spacing w:after="0"/>
            <w:jc w:val="both"/>
            <w:rPr>
              <w:rFonts w:ascii="Times New Roman" w:hAnsi="Times New Roman"/>
              <w:sz w:val="24"/>
              <w:szCs w:val="24"/>
            </w:rPr>
          </w:pPr>
          <w:r w:rsidRPr="009A46BB">
            <w:rPr>
              <w:rFonts w:ascii="Times New Roman" w:hAnsi="Times New Roman"/>
              <w:b/>
              <w:sz w:val="24"/>
              <w:szCs w:val="24"/>
            </w:rPr>
            <w:t>Fecha de finalización estimada:</w:t>
          </w:r>
          <w:r w:rsidR="002A55BB" w:rsidRPr="009A46BB">
            <w:rPr>
              <w:rFonts w:ascii="Times New Roman" w:hAnsi="Times New Roman"/>
              <w:b/>
              <w:sz w:val="24"/>
              <w:szCs w:val="24"/>
            </w:rPr>
            <w:t xml:space="preserve"> </w:t>
          </w:r>
          <w:r w:rsidRPr="009A46BB">
            <w:rPr>
              <w:rFonts w:ascii="Times New Roman" w:hAnsi="Times New Roman"/>
              <w:sz w:val="24"/>
              <w:szCs w:val="24"/>
            </w:rPr>
            <w:t>1/07/2033</w:t>
          </w:r>
        </w:p>
        <w:p w14:paraId="11D69D02" w14:textId="6CB0D156" w:rsidR="00274429" w:rsidRPr="009A46BB" w:rsidRDefault="00274429" w:rsidP="2DB8CAD9">
          <w:pPr>
            <w:spacing w:after="0"/>
            <w:jc w:val="both"/>
            <w:rPr>
              <w:rFonts w:ascii="Times New Roman" w:hAnsi="Times New Roman"/>
              <w:sz w:val="24"/>
              <w:szCs w:val="24"/>
            </w:rPr>
          </w:pPr>
          <w:r w:rsidRPr="009A46BB">
            <w:rPr>
              <w:rFonts w:ascii="Times New Roman" w:hAnsi="Times New Roman"/>
              <w:b/>
              <w:sz w:val="24"/>
              <w:szCs w:val="24"/>
            </w:rPr>
            <w:t>Tipo ID:</w:t>
          </w:r>
          <w:r w:rsidR="002A55BB" w:rsidRPr="009A46BB">
            <w:rPr>
              <w:rFonts w:ascii="Times New Roman" w:hAnsi="Times New Roman"/>
              <w:b/>
              <w:sz w:val="24"/>
              <w:szCs w:val="24"/>
            </w:rPr>
            <w:t xml:space="preserve"> </w:t>
          </w:r>
          <w:r w:rsidRPr="009A46BB">
            <w:rPr>
              <w:rFonts w:ascii="Times New Roman" w:hAnsi="Times New Roman"/>
              <w:sz w:val="24"/>
              <w:szCs w:val="24"/>
            </w:rPr>
            <w:t>NIT</w:t>
          </w:r>
        </w:p>
        <w:p w14:paraId="7365DF7E" w14:textId="1D9CAC2E" w:rsidR="00274429" w:rsidRPr="009A46BB" w:rsidRDefault="00274429" w:rsidP="2DB8CAD9">
          <w:pPr>
            <w:spacing w:after="0"/>
            <w:jc w:val="both"/>
            <w:rPr>
              <w:rFonts w:ascii="Times New Roman" w:hAnsi="Times New Roman"/>
              <w:sz w:val="24"/>
              <w:szCs w:val="24"/>
            </w:rPr>
          </w:pPr>
          <w:r w:rsidRPr="009A46BB">
            <w:rPr>
              <w:rFonts w:ascii="Times New Roman" w:hAnsi="Times New Roman"/>
              <w:b/>
              <w:sz w:val="24"/>
              <w:szCs w:val="24"/>
            </w:rPr>
            <w:t>Número ID:</w:t>
          </w:r>
          <w:r w:rsidR="002A55BB" w:rsidRPr="009A46BB">
            <w:rPr>
              <w:rFonts w:ascii="Times New Roman" w:hAnsi="Times New Roman"/>
              <w:b/>
              <w:sz w:val="24"/>
              <w:szCs w:val="24"/>
            </w:rPr>
            <w:t xml:space="preserve"> </w:t>
          </w:r>
          <w:r w:rsidRPr="009A46BB">
            <w:rPr>
              <w:rFonts w:ascii="Times New Roman" w:hAnsi="Times New Roman"/>
              <w:sz w:val="24"/>
              <w:szCs w:val="24"/>
            </w:rPr>
            <w:t>830.078.038-6</w:t>
          </w:r>
        </w:p>
        <w:p w14:paraId="5E9ECCAD" w14:textId="2E391139" w:rsidR="00274429" w:rsidRPr="009A46BB" w:rsidRDefault="00274429" w:rsidP="2DB8CAD9">
          <w:pPr>
            <w:spacing w:after="0"/>
            <w:jc w:val="both"/>
            <w:rPr>
              <w:rFonts w:ascii="Times New Roman" w:hAnsi="Times New Roman"/>
              <w:sz w:val="24"/>
              <w:szCs w:val="24"/>
            </w:rPr>
          </w:pPr>
          <w:r w:rsidRPr="009A46BB">
            <w:rPr>
              <w:rFonts w:ascii="Times New Roman" w:hAnsi="Times New Roman"/>
              <w:b/>
              <w:sz w:val="24"/>
              <w:szCs w:val="24"/>
            </w:rPr>
            <w:t>Razón social del concesionario:</w:t>
          </w:r>
          <w:r w:rsidR="002A55BB" w:rsidRPr="009A46BB">
            <w:rPr>
              <w:rFonts w:ascii="Times New Roman" w:hAnsi="Times New Roman"/>
              <w:b/>
              <w:sz w:val="24"/>
              <w:szCs w:val="24"/>
            </w:rPr>
            <w:t xml:space="preserve"> </w:t>
          </w:r>
          <w:r w:rsidRPr="009A46BB">
            <w:rPr>
              <w:rFonts w:ascii="Times New Roman" w:hAnsi="Times New Roman"/>
              <w:sz w:val="24"/>
              <w:szCs w:val="24"/>
            </w:rPr>
            <w:t>Cerrejón Zona Norte S.A</w:t>
          </w:r>
        </w:p>
        <w:p w14:paraId="75ABE2F1" w14:textId="0BB31FD1" w:rsidR="00274429" w:rsidRPr="009A46BB" w:rsidRDefault="00274429" w:rsidP="2DB8CAD9">
          <w:pPr>
            <w:spacing w:after="0"/>
            <w:jc w:val="both"/>
            <w:rPr>
              <w:rFonts w:ascii="Times New Roman" w:hAnsi="Times New Roman"/>
              <w:sz w:val="24"/>
              <w:szCs w:val="24"/>
            </w:rPr>
          </w:pPr>
          <w:r w:rsidRPr="009A46BB">
            <w:rPr>
              <w:rFonts w:ascii="Times New Roman" w:hAnsi="Times New Roman"/>
              <w:b/>
              <w:sz w:val="24"/>
              <w:szCs w:val="24"/>
            </w:rPr>
            <w:t>Nombre del proyecto:</w:t>
          </w:r>
          <w:r w:rsidR="002A55BB" w:rsidRPr="009A46BB">
            <w:rPr>
              <w:rFonts w:ascii="Times New Roman" w:hAnsi="Times New Roman"/>
              <w:b/>
              <w:sz w:val="24"/>
              <w:szCs w:val="24"/>
            </w:rPr>
            <w:t xml:space="preserve"> </w:t>
          </w:r>
          <w:r w:rsidRPr="009A46BB">
            <w:rPr>
              <w:rFonts w:ascii="Times New Roman" w:hAnsi="Times New Roman"/>
              <w:sz w:val="24"/>
              <w:szCs w:val="24"/>
            </w:rPr>
            <w:t>Cerrejón Zona Norte S.A</w:t>
          </w:r>
        </w:p>
        <w:p w14:paraId="3CDDE106" w14:textId="3081984D" w:rsidR="2DB8CAD9" w:rsidRDefault="2DB8CAD9" w:rsidP="2DB8CAD9">
          <w:pPr>
            <w:spacing w:after="0"/>
            <w:jc w:val="both"/>
            <w:rPr>
              <w:rFonts w:ascii="Times New Roman" w:hAnsi="Times New Roman"/>
              <w:sz w:val="24"/>
              <w:szCs w:val="24"/>
            </w:rPr>
          </w:pPr>
        </w:p>
        <w:p w14:paraId="5E2E2FBC" w14:textId="50EE9049" w:rsidR="00274429" w:rsidRPr="009A46BB" w:rsidRDefault="00274429" w:rsidP="00E60BAB">
          <w:pPr>
            <w:pStyle w:val="Prrafodelista"/>
            <w:numPr>
              <w:ilvl w:val="0"/>
              <w:numId w:val="151"/>
            </w:numPr>
            <w:jc w:val="both"/>
            <w:rPr>
              <w:rFonts w:ascii="Times New Roman" w:hAnsi="Times New Roman"/>
              <w:b/>
            </w:rPr>
          </w:pPr>
          <w:r w:rsidRPr="009A46BB">
            <w:rPr>
              <w:rFonts w:ascii="Times New Roman" w:hAnsi="Times New Roman"/>
              <w:b/>
              <w:sz w:val="24"/>
              <w:szCs w:val="24"/>
            </w:rPr>
            <w:lastRenderedPageBreak/>
            <w:t xml:space="preserve">Términos significativos del acuerdo que puedan afectar su valor, el calendario y la certeza de los flujos </w:t>
          </w:r>
        </w:p>
        <w:p w14:paraId="2CEA26A0"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Términos de valor:</w:t>
          </w:r>
        </w:p>
        <w:p w14:paraId="2DD88E1C"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1: Tarifas:</w:t>
          </w:r>
          <w:r w:rsidRPr="009A46BB">
            <w:rPr>
              <w:rFonts w:ascii="Times New Roman" w:hAnsi="Times New Roman"/>
              <w:sz w:val="24"/>
              <w:szCs w:val="24"/>
            </w:rPr>
            <w:t xml:space="preserve">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w:t>
          </w:r>
        </w:p>
        <w:p w14:paraId="67D094AC"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2: Contraprestación portuaria:</w:t>
          </w:r>
          <w:r w:rsidRPr="009A46BB">
            <w:rPr>
              <w:rFonts w:ascii="Times New Roman" w:hAnsi="Times New Roman"/>
              <w:sz w:val="24"/>
              <w:szCs w:val="24"/>
            </w:rPr>
            <w:t xml:space="preserve"> De acuerdo con el último documento contractual vigente la metodología de contraprestación vigente es CONPES 3744 de 2013 (Componentes Fijo y Variable A febrero de 2021 el CONCESIONARIO debió pagar la suma de USD 11.729.198,70</w:t>
          </w:r>
        </w:p>
        <w:p w14:paraId="47E475C8"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 xml:space="preserve">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municipio de Uribia departamento de la Guajira; e INFRAESTRUCTURA en un 100% a la Nación - Instituto Nacional de Vías (INVIAS). </w:t>
          </w:r>
        </w:p>
        <w:p w14:paraId="228757B2"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Términos de calendario:</w:t>
          </w:r>
        </w:p>
        <w:p w14:paraId="3D3BF991"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1: Tarifas:</w:t>
          </w:r>
          <w:r w:rsidRPr="009A46BB">
            <w:rPr>
              <w:rFonts w:ascii="Times New Roman" w:hAnsi="Times New Roman"/>
              <w:sz w:val="24"/>
              <w:szCs w:val="24"/>
            </w:rPr>
            <w:t xml:space="preserve">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w:t>
          </w:r>
        </w:p>
        <w:p w14:paraId="40E20877"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2: Contraprestación portuaria:</w:t>
          </w:r>
          <w:r w:rsidRPr="009A46BB">
            <w:rPr>
              <w:rFonts w:ascii="Times New Roman" w:hAnsi="Times New Roman"/>
              <w:sz w:val="24"/>
              <w:szCs w:val="24"/>
            </w:rPr>
            <w:t xml:space="preserve"> Anexo 2 Conpes 3744 de 2013 “(…) Antes de finalizar los meses de febrero cada concesionario deberá corregir su liquidación del año anterior según el movimiento de carga real y la indexación del valor de referencia por metro cuadrado, del avalúo de la infraestructura concesionada y de los cargos, así como realizar el pago anticipado del año en curso con base en lo proyectado en el FCL definitivo”</w:t>
          </w:r>
        </w:p>
        <w:p w14:paraId="3A6BA070"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Términos de certeza de flujos de efectivo futuros.</w:t>
          </w:r>
        </w:p>
        <w:p w14:paraId="4DF6AF0B"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En virtud de la Resolución de homologación portuaria y sus modificaciones, se permite al CONCESIONARIO para el uso y goce del área de propiedad de la Nación ubicada el puerto Bahía de Portete, Municipio de Uribia, Departamento de la Guajira, para la construcción de un complejo portuario para la explotación y exportación de carbón y todos aquellos productos necesarios para la infraestructura de los proyectos carboníferos y el desarrollo de actividades portuarias a cambio de una contraprestación económica.</w:t>
          </w:r>
        </w:p>
        <w:p w14:paraId="0BA62858"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 xml:space="preserve">El valor establecido en la contraprestación por zona de uso público corresponde el ochenta (80%) a la Nación- Instituto Nacional de Vías INVIAS, y el veinte por ciento (20%) restante municipio e Uribia, de acuerdo con lo establecido en el parágrafo 1 del artículo 1 de la Ley 856 del 21 de diciembre de 2003, que modifica el artículo 7 de la Ley 1ª de 1991. En cien por </w:t>
          </w:r>
          <w:r w:rsidRPr="009A46BB">
            <w:rPr>
              <w:rFonts w:ascii="Times New Roman" w:hAnsi="Times New Roman"/>
              <w:sz w:val="24"/>
              <w:szCs w:val="24"/>
            </w:rPr>
            <w:lastRenderedPageBreak/>
            <w:t>ciento (100%) del valor de la contraprestación por infraestructura le corresponde a la Nación- Instituto Nacional de Vías.</w:t>
          </w:r>
        </w:p>
        <w:p w14:paraId="0066684D" w14:textId="1353496A" w:rsidR="00274429" w:rsidRPr="009A46BB" w:rsidRDefault="00274429" w:rsidP="00E60BAB">
          <w:pPr>
            <w:pStyle w:val="Prrafodelista"/>
            <w:numPr>
              <w:ilvl w:val="0"/>
              <w:numId w:val="151"/>
            </w:numPr>
            <w:jc w:val="both"/>
            <w:rPr>
              <w:rFonts w:ascii="Times New Roman" w:hAnsi="Times New Roman"/>
              <w:b/>
            </w:rPr>
          </w:pPr>
          <w:r w:rsidRPr="009A46BB">
            <w:rPr>
              <w:rFonts w:ascii="Times New Roman" w:hAnsi="Times New Roman"/>
              <w:b/>
              <w:sz w:val="24"/>
              <w:szCs w:val="24"/>
            </w:rPr>
            <w:t xml:space="preserve">Naturaleza y alcance del derecho a utilizar activos especificados, de los aspectos pactados en torno a lo que se espera que el concesionario proporcione en relación con el acuerdo de concesión. </w:t>
          </w:r>
        </w:p>
        <w:p w14:paraId="73BC0B84"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Naturaleza y alcance del derecho de uso de los activos</w:t>
          </w:r>
        </w:p>
        <w:p w14:paraId="1012B3FA"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w:t>
          </w:r>
          <w:r w:rsidRPr="009A46BB">
            <w:rPr>
              <w:rFonts w:ascii="Times New Roman" w:hAnsi="Times New Roman"/>
              <w:sz w:val="24"/>
              <w:szCs w:val="24"/>
            </w:rPr>
            <w:tab/>
            <w:t xml:space="preserve">Descripción del proyecto, especificaciones técnicas, modalidades de operación: las condiciones especiales de operación del puerto están establecidas en la Resolución No.164 de 1994 </w:t>
          </w:r>
        </w:p>
        <w:p w14:paraId="388F4AC6"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Área entregada en concesión:</w:t>
          </w:r>
          <w:r w:rsidRPr="009A46BB">
            <w:rPr>
              <w:rFonts w:ascii="Times New Roman" w:hAnsi="Times New Roman"/>
              <w:sz w:val="24"/>
              <w:szCs w:val="24"/>
            </w:rPr>
            <w:t xml:space="preserve"> La descripción de la ubicación, linderos y extensión de los bienes de uso público (playas y terrenos de baja mar, zonas marítimas accesorias de maniobras) entregados en concesión están establecidos en el artículo primero de la Resolución No.164 de 1994.</w:t>
          </w:r>
        </w:p>
        <w:p w14:paraId="6C34564F"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Infraestructura y equipos entregados en concesión no fueron entregados activos relacionados con infraestructura y equipos.</w:t>
          </w:r>
        </w:p>
        <w:p w14:paraId="2EE0005F"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Retribución al concesionario</w:t>
          </w:r>
        </w:p>
        <w:p w14:paraId="627B1719"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 xml:space="preserve">Descripción: </w:t>
          </w:r>
          <w:r w:rsidRPr="009A46BB">
            <w:rPr>
              <w:rFonts w:ascii="Times New Roman" w:hAnsi="Times New Roman"/>
              <w:sz w:val="24"/>
              <w:szCs w:val="24"/>
            </w:rPr>
            <w:t>en virtud de la Resolución de homologación portuaria y sus modificaciones, se permite al CONCESIONARIO el uso y goce del área de propiedad de la Nación ubicada el puerto Bahía de Portete, Municipio de Uribia, Departamento de la Guajira, para la construcción de un complejo portuario para la explotación y exportación de carbón y todos aquellos productos necesarios para la infraestructura de los proyectos carboníferos y el desarrollo de actividades portuarias a cambio de una contraprestación económica.</w:t>
          </w:r>
        </w:p>
        <w:p w14:paraId="27320B13"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Tasa de retribución:</w:t>
          </w:r>
          <w:r w:rsidRPr="009A46BB">
            <w:rPr>
              <w:rFonts w:ascii="Times New Roman" w:hAnsi="Times New Roman"/>
              <w:sz w:val="24"/>
              <w:szCs w:val="24"/>
            </w:rPr>
            <w:tab/>
            <w:t>N/A</w:t>
          </w:r>
        </w:p>
        <w:p w14:paraId="45DFAE72" w14:textId="5F7138AB" w:rsidR="00274429" w:rsidRPr="009A46BB" w:rsidRDefault="00274429" w:rsidP="00E60BAB">
          <w:pPr>
            <w:pStyle w:val="Prrafodelista"/>
            <w:numPr>
              <w:ilvl w:val="0"/>
              <w:numId w:val="151"/>
            </w:numPr>
            <w:jc w:val="both"/>
            <w:rPr>
              <w:rFonts w:ascii="Times New Roman" w:hAnsi="Times New Roman"/>
              <w:b/>
            </w:rPr>
          </w:pPr>
          <w:r w:rsidRPr="009A46BB">
            <w:rPr>
              <w:rFonts w:ascii="Times New Roman" w:hAnsi="Times New Roman"/>
              <w:b/>
              <w:sz w:val="24"/>
              <w:szCs w:val="24"/>
            </w:rPr>
            <w:t>Derechos a recibir activos especificados al final del acuerdo de concesión</w:t>
          </w:r>
        </w:p>
        <w:p w14:paraId="31341D63"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w:t>
          </w:r>
          <w:r w:rsidRPr="009A46BB">
            <w:rPr>
              <w:rFonts w:ascii="Times New Roman" w:hAnsi="Times New Roman"/>
              <w:sz w:val="24"/>
              <w:szCs w:val="24"/>
            </w:rPr>
            <w:tab/>
            <w:t>De acuerdo con el Artículo 8º de la Ley 1 de 1991 en el modo portuario el concesionario no tiene derechos finales sobre activos los debe revertir a la Nación al final del contrato de concesión.</w:t>
          </w:r>
        </w:p>
        <w:p w14:paraId="37582DDD"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Observaciones:</w:t>
          </w:r>
          <w:r w:rsidRPr="009A46BB">
            <w:rPr>
              <w:rFonts w:ascii="Times New Roman" w:hAnsi="Times New Roman"/>
              <w:sz w:val="24"/>
              <w:szCs w:val="24"/>
            </w:rPr>
            <w:tab/>
          </w:r>
        </w:p>
        <w:p w14:paraId="4CE45B64"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 xml:space="preserve">Reversión: </w:t>
          </w:r>
          <w:r w:rsidRPr="009A46BB">
            <w:rPr>
              <w:rFonts w:ascii="Times New Roman" w:hAnsi="Times New Roman"/>
              <w:sz w:val="24"/>
              <w:szCs w:val="24"/>
            </w:rPr>
            <w:t>De acuerdo con lo establecido en el Artículo 8º de la Ley 1 de 1991 todas las construcciones e inmuebles por destinación, que se encuentren instalados en la zona de uso público otorgada en concesión revertirán gratuitamente por el Concesionario.</w:t>
          </w:r>
        </w:p>
        <w:p w14:paraId="6F92D894"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Para tal fin, en el momento de la reversión el CONCESIONARIO elaborará un inventario de los bienes y los enviará para su revisión y aprobación.</w:t>
          </w:r>
        </w:p>
        <w:p w14:paraId="6F8B8A04"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La ANI es la entidad concedente pero la titularidad de los activos al final de la concesión es del Instituto Nacional de Vías INVIAS.</w:t>
          </w:r>
        </w:p>
        <w:p w14:paraId="573ABD27" w14:textId="311F6087" w:rsidR="00274429" w:rsidRPr="009A46BB" w:rsidRDefault="00274429" w:rsidP="00E60BAB">
          <w:pPr>
            <w:pStyle w:val="Prrafodelista"/>
            <w:numPr>
              <w:ilvl w:val="0"/>
              <w:numId w:val="151"/>
            </w:numPr>
            <w:jc w:val="both"/>
            <w:rPr>
              <w:rFonts w:ascii="Times New Roman" w:hAnsi="Times New Roman"/>
              <w:b/>
            </w:rPr>
          </w:pPr>
          <w:r w:rsidRPr="009A46BB">
            <w:rPr>
              <w:rFonts w:ascii="Times New Roman" w:hAnsi="Times New Roman"/>
              <w:b/>
              <w:sz w:val="24"/>
              <w:szCs w:val="24"/>
            </w:rPr>
            <w:t>Cambios en el acuerdo de concesión que se realicen durante el periodo fiscal</w:t>
          </w:r>
        </w:p>
        <w:p w14:paraId="03776B32" w14:textId="77777777" w:rsidR="00274429" w:rsidRPr="009A46BB" w:rsidRDefault="00274429" w:rsidP="651DA475">
          <w:pPr>
            <w:spacing w:after="0"/>
            <w:jc w:val="both"/>
            <w:rPr>
              <w:rFonts w:ascii="Times New Roman" w:hAnsi="Times New Roman"/>
              <w:sz w:val="24"/>
              <w:szCs w:val="24"/>
            </w:rPr>
          </w:pPr>
          <w:r w:rsidRPr="009A46BB">
            <w:rPr>
              <w:rFonts w:ascii="Times New Roman" w:hAnsi="Times New Roman"/>
              <w:b/>
              <w:sz w:val="24"/>
              <w:szCs w:val="24"/>
            </w:rPr>
            <w:lastRenderedPageBreak/>
            <w:t xml:space="preserve">Adiciones o modificaciones en tiempo: </w:t>
          </w:r>
          <w:r w:rsidRPr="009A46BB">
            <w:rPr>
              <w:rFonts w:ascii="Times New Roman" w:hAnsi="Times New Roman"/>
              <w:sz w:val="24"/>
              <w:szCs w:val="24"/>
            </w:rPr>
            <w:t>N/A</w:t>
          </w:r>
        </w:p>
        <w:p w14:paraId="17581178" w14:textId="77777777" w:rsidR="00274429" w:rsidRPr="009A46BB" w:rsidRDefault="00274429" w:rsidP="651DA475">
          <w:pPr>
            <w:spacing w:after="0"/>
            <w:jc w:val="both"/>
            <w:rPr>
              <w:rFonts w:ascii="Times New Roman" w:hAnsi="Times New Roman"/>
              <w:b/>
              <w:sz w:val="24"/>
              <w:szCs w:val="24"/>
            </w:rPr>
          </w:pPr>
          <w:r w:rsidRPr="009A46BB">
            <w:rPr>
              <w:rFonts w:ascii="Times New Roman" w:hAnsi="Times New Roman"/>
              <w:b/>
              <w:sz w:val="24"/>
              <w:szCs w:val="24"/>
            </w:rPr>
            <w:t>Adiciones o modificaciones en valor</w:t>
          </w:r>
        </w:p>
        <w:p w14:paraId="09A53E71" w14:textId="4242F195" w:rsidR="00274429" w:rsidRPr="009A46BB" w:rsidRDefault="00274429" w:rsidP="651DA475">
          <w:pPr>
            <w:spacing w:after="0"/>
            <w:jc w:val="both"/>
            <w:rPr>
              <w:rFonts w:ascii="Times New Roman" w:hAnsi="Times New Roman"/>
              <w:sz w:val="24"/>
              <w:szCs w:val="24"/>
            </w:rPr>
          </w:pPr>
          <w:r w:rsidRPr="009A46BB">
            <w:rPr>
              <w:rFonts w:ascii="Times New Roman" w:hAnsi="Times New Roman"/>
              <w:b/>
              <w:sz w:val="24"/>
              <w:szCs w:val="24"/>
            </w:rPr>
            <w:t>Valor de la adición o modificación</w:t>
          </w:r>
          <w:r w:rsidR="002A55BB" w:rsidRPr="009A46BB">
            <w:rPr>
              <w:rFonts w:ascii="Times New Roman" w:hAnsi="Times New Roman"/>
              <w:b/>
              <w:sz w:val="24"/>
              <w:szCs w:val="24"/>
            </w:rPr>
            <w:t xml:space="preserve">: </w:t>
          </w:r>
          <w:r w:rsidRPr="009A46BB">
            <w:rPr>
              <w:rFonts w:ascii="Times New Roman" w:hAnsi="Times New Roman"/>
              <w:sz w:val="24"/>
              <w:szCs w:val="24"/>
            </w:rPr>
            <w:t>USD 51.592.512</w:t>
          </w:r>
        </w:p>
        <w:p w14:paraId="2D5521A6" w14:textId="5F3B8322" w:rsidR="00274429" w:rsidRPr="009A46BB" w:rsidRDefault="00274429" w:rsidP="651DA475">
          <w:pPr>
            <w:spacing w:after="0"/>
            <w:jc w:val="both"/>
            <w:rPr>
              <w:rFonts w:ascii="Times New Roman" w:hAnsi="Times New Roman"/>
              <w:sz w:val="24"/>
              <w:szCs w:val="24"/>
            </w:rPr>
          </w:pPr>
          <w:r w:rsidRPr="009A46BB">
            <w:rPr>
              <w:rFonts w:ascii="Times New Roman" w:hAnsi="Times New Roman"/>
              <w:b/>
              <w:sz w:val="24"/>
              <w:szCs w:val="24"/>
            </w:rPr>
            <w:t>Nuevo valor del acuerdo</w:t>
          </w:r>
          <w:r w:rsidR="002A55BB" w:rsidRPr="009A46BB">
            <w:rPr>
              <w:rFonts w:ascii="Times New Roman" w:hAnsi="Times New Roman"/>
              <w:b/>
              <w:sz w:val="24"/>
              <w:szCs w:val="24"/>
            </w:rPr>
            <w:t xml:space="preserve">: </w:t>
          </w:r>
          <w:r w:rsidRPr="009A46BB">
            <w:rPr>
              <w:rFonts w:ascii="Times New Roman" w:hAnsi="Times New Roman"/>
              <w:sz w:val="24"/>
              <w:szCs w:val="24"/>
            </w:rPr>
            <w:t>USD 51.592.512</w:t>
          </w:r>
        </w:p>
        <w:p w14:paraId="200A29F6" w14:textId="4E9C2D4C" w:rsidR="00274429" w:rsidRPr="009A46BB" w:rsidRDefault="00274429" w:rsidP="651DA475">
          <w:pPr>
            <w:spacing w:after="0"/>
            <w:jc w:val="both"/>
            <w:rPr>
              <w:rFonts w:ascii="Times New Roman" w:hAnsi="Times New Roman"/>
              <w:sz w:val="24"/>
              <w:szCs w:val="24"/>
            </w:rPr>
          </w:pPr>
          <w:r w:rsidRPr="009A46BB">
            <w:rPr>
              <w:rFonts w:ascii="Times New Roman" w:hAnsi="Times New Roman"/>
              <w:b/>
              <w:sz w:val="24"/>
              <w:szCs w:val="24"/>
            </w:rPr>
            <w:t>Observaciones</w:t>
          </w:r>
          <w:r w:rsidR="002A55BB" w:rsidRPr="009A46BB">
            <w:rPr>
              <w:rFonts w:ascii="Times New Roman" w:hAnsi="Times New Roman"/>
              <w:sz w:val="24"/>
              <w:szCs w:val="24"/>
            </w:rPr>
            <w:t xml:space="preserve">: </w:t>
          </w:r>
          <w:r w:rsidRPr="009A46BB">
            <w:rPr>
              <w:rFonts w:ascii="Times New Roman" w:hAnsi="Times New Roman"/>
              <w:sz w:val="24"/>
              <w:szCs w:val="24"/>
            </w:rPr>
            <w:t>Por la cual se da cumplimiento de las Resolución No. 12501 del 21 de diciembre de 2001 del Ministerio de Transporte, modificada mediante Resoluciones Nos. 003615 del 18 de marzo de 2002 y 008928 del 12 de junio de 2002”</w:t>
          </w:r>
        </w:p>
        <w:p w14:paraId="40F89503" w14:textId="77777777" w:rsidR="00274429" w:rsidRPr="009A46BB" w:rsidRDefault="00274429" w:rsidP="00274429">
          <w:pPr>
            <w:jc w:val="both"/>
            <w:rPr>
              <w:rFonts w:ascii="Times New Roman" w:hAnsi="Times New Roman"/>
              <w:sz w:val="24"/>
              <w:szCs w:val="24"/>
            </w:rPr>
          </w:pPr>
        </w:p>
        <w:p w14:paraId="1B797B58" w14:textId="06506D2E" w:rsidR="00274429" w:rsidRPr="009A46BB" w:rsidRDefault="00274429" w:rsidP="002A55BB">
          <w:pPr>
            <w:spacing w:line="259" w:lineRule="auto"/>
            <w:jc w:val="both"/>
            <w:rPr>
              <w:rFonts w:ascii="Times New Roman" w:hAnsi="Times New Roman"/>
              <w:b/>
              <w:sz w:val="24"/>
              <w:szCs w:val="24"/>
            </w:rPr>
          </w:pPr>
          <w:r w:rsidRPr="009A46BB">
            <w:rPr>
              <w:rFonts w:ascii="Times New Roman" w:hAnsi="Times New Roman"/>
              <w:b/>
              <w:sz w:val="24"/>
              <w:szCs w:val="24"/>
            </w:rPr>
            <w:t>NUEVA SOCIEDAD PORTUARIA ZONA ATLÁNTICA S.A</w:t>
          </w:r>
          <w:r w:rsidR="002A55BB" w:rsidRPr="009A46BB">
            <w:rPr>
              <w:rFonts w:ascii="Times New Roman" w:hAnsi="Times New Roman"/>
              <w:b/>
              <w:sz w:val="24"/>
              <w:szCs w:val="24"/>
            </w:rPr>
            <w:t>. – TERMINAL CARTAGENA.</w:t>
          </w:r>
        </w:p>
        <w:p w14:paraId="54229D2B" w14:textId="278561D1" w:rsidR="00274429" w:rsidRPr="009A46BB" w:rsidRDefault="00274429" w:rsidP="00E60BAB">
          <w:pPr>
            <w:pStyle w:val="Prrafodelista"/>
            <w:numPr>
              <w:ilvl w:val="0"/>
              <w:numId w:val="150"/>
            </w:numPr>
            <w:jc w:val="both"/>
            <w:rPr>
              <w:rFonts w:ascii="Times New Roman" w:hAnsi="Times New Roman"/>
              <w:b/>
            </w:rPr>
          </w:pPr>
          <w:r w:rsidRPr="009A46BB">
            <w:rPr>
              <w:rFonts w:ascii="Times New Roman" w:hAnsi="Times New Roman"/>
              <w:b/>
              <w:sz w:val="24"/>
              <w:szCs w:val="24"/>
            </w:rPr>
            <w:t>Descripción del acuerdo</w:t>
          </w:r>
        </w:p>
        <w:p w14:paraId="10E8670E" w14:textId="179F9372" w:rsidR="00274429" w:rsidRPr="009A46BB" w:rsidRDefault="00274429" w:rsidP="4AFEB5DB">
          <w:pPr>
            <w:spacing w:after="0"/>
            <w:jc w:val="both"/>
            <w:rPr>
              <w:rFonts w:ascii="Times New Roman" w:hAnsi="Times New Roman"/>
              <w:sz w:val="24"/>
              <w:szCs w:val="24"/>
            </w:rPr>
          </w:pPr>
          <w:r w:rsidRPr="009A46BB">
            <w:rPr>
              <w:rFonts w:ascii="Times New Roman" w:hAnsi="Times New Roman"/>
              <w:b/>
              <w:sz w:val="24"/>
              <w:szCs w:val="24"/>
            </w:rPr>
            <w:t>Número del acuerdo de concesión:</w:t>
          </w:r>
          <w:r w:rsidR="00B90D2B" w:rsidRPr="009A46BB">
            <w:rPr>
              <w:rFonts w:ascii="Times New Roman" w:hAnsi="Times New Roman"/>
              <w:b/>
              <w:sz w:val="24"/>
              <w:szCs w:val="24"/>
            </w:rPr>
            <w:t xml:space="preserve"> </w:t>
          </w:r>
          <w:r w:rsidRPr="009A46BB">
            <w:rPr>
              <w:rFonts w:ascii="Times New Roman" w:hAnsi="Times New Roman"/>
              <w:sz w:val="24"/>
              <w:szCs w:val="24"/>
            </w:rPr>
            <w:t>Contrato de Concesión Portuaria No. 025 de 2003.</w:t>
          </w:r>
        </w:p>
        <w:p w14:paraId="58288022" w14:textId="3E713BD4" w:rsidR="00274429" w:rsidRPr="009A46BB" w:rsidRDefault="00274429" w:rsidP="4AFEB5DB">
          <w:pPr>
            <w:spacing w:after="0"/>
            <w:jc w:val="both"/>
            <w:rPr>
              <w:rFonts w:ascii="Times New Roman" w:hAnsi="Times New Roman"/>
              <w:sz w:val="24"/>
              <w:szCs w:val="24"/>
            </w:rPr>
          </w:pPr>
          <w:r w:rsidRPr="009A46BB">
            <w:rPr>
              <w:rFonts w:ascii="Times New Roman" w:hAnsi="Times New Roman"/>
              <w:b/>
              <w:sz w:val="24"/>
              <w:szCs w:val="24"/>
            </w:rPr>
            <w:t>Objeto / Descripción:</w:t>
          </w:r>
          <w:r w:rsidR="00B90D2B" w:rsidRPr="009A46BB">
            <w:rPr>
              <w:rFonts w:ascii="Times New Roman" w:hAnsi="Times New Roman"/>
              <w:b/>
              <w:sz w:val="24"/>
              <w:szCs w:val="24"/>
            </w:rPr>
            <w:t xml:space="preserve"> </w:t>
          </w:r>
          <w:r w:rsidRPr="009A46BB">
            <w:rPr>
              <w:rFonts w:ascii="Times New Roman" w:hAnsi="Times New Roman"/>
              <w:sz w:val="24"/>
              <w:szCs w:val="24"/>
            </w:rPr>
            <w:t>En virtud del Contrato de concesión y sus modificaciones, a) se otorga a EL CONCESIONARIO, el derecho a ocupar y utilizar en forma temporal y exclusiva las playas, los terrenos de bajamar y zonas accesorias a aquellas o estos, descritos en la cláusula segunda del contrato, a cambio de la contraprestación económica de que trata la cláusula décima primera del contrato, a favor de la Nación y del municipio de Cartagena, donde operará el terminal. El terminal será de servicio privado, previamente habilitado para el comercio exterior por la autoridad competente, para el manejo de carga de propiedad de la Sociedad CHEVRON TEXACO, en su condición de Sociedad controlante de la Sociedad Portuaria de la Zona Atlántica S.A. b) Se otorga a EL CONCESIONARIO, el derecho a utilizar temporalmente la línea de costa y zonas marinas accesorias en donde se localiza el muelle de servicio privado y demás bienes, alinderados en la cláusula segunda y los relacionados en la cláusula quinta del contrato, a cambio de la contraprestación de que trata la cláusula décima primera del mismo, a favor de la Nación exclusivamente. Por su parte, EL CONCESIONARIO explotará el negocio portuario en el área entregada en concesión, de conformidad con la Ley, conforme lo establece la Cláusula Primera del Contrato</w:t>
          </w:r>
        </w:p>
        <w:p w14:paraId="3CDC64EA" w14:textId="4E565178" w:rsidR="00274429" w:rsidRPr="009A46BB" w:rsidRDefault="00274429" w:rsidP="4AFEB5DB">
          <w:pPr>
            <w:spacing w:after="0"/>
            <w:jc w:val="both"/>
            <w:rPr>
              <w:rFonts w:ascii="Times New Roman" w:hAnsi="Times New Roman"/>
              <w:sz w:val="24"/>
              <w:szCs w:val="24"/>
            </w:rPr>
          </w:pPr>
          <w:r w:rsidRPr="009A46BB">
            <w:rPr>
              <w:rFonts w:ascii="Times New Roman" w:hAnsi="Times New Roman"/>
              <w:b/>
              <w:sz w:val="24"/>
              <w:szCs w:val="24"/>
            </w:rPr>
            <w:t>Valor inicial:</w:t>
          </w:r>
          <w:r w:rsidR="00B90D2B" w:rsidRPr="009A46BB">
            <w:rPr>
              <w:rFonts w:ascii="Times New Roman" w:hAnsi="Times New Roman"/>
              <w:b/>
              <w:sz w:val="24"/>
              <w:szCs w:val="24"/>
            </w:rPr>
            <w:t xml:space="preserve"> </w:t>
          </w:r>
          <w:r w:rsidRPr="009A46BB">
            <w:rPr>
              <w:rFonts w:ascii="Times New Roman" w:hAnsi="Times New Roman"/>
              <w:sz w:val="24"/>
              <w:szCs w:val="24"/>
            </w:rPr>
            <w:t>CIENTO TREINTA Y CINCO MIL SETECIENTOS NOVENTA Y SEIS DOLARES CON CINCUENTA Y SIETE CENTAVOS DE DÓLAR (USD $135.796,57), a valor presente, liquidados a la Tasa Representativa del Mercado – TRM del día de pago, Cláusula Décima Primera / Contrato de concesión No. 025 de 2003.</w:t>
          </w:r>
        </w:p>
        <w:p w14:paraId="3501878E" w14:textId="62F41AAC" w:rsidR="00274429" w:rsidRPr="009A46BB" w:rsidRDefault="00274429" w:rsidP="00730054">
          <w:pPr>
            <w:spacing w:after="0"/>
            <w:jc w:val="both"/>
            <w:rPr>
              <w:rFonts w:ascii="Times New Roman" w:hAnsi="Times New Roman"/>
              <w:sz w:val="24"/>
              <w:szCs w:val="24"/>
            </w:rPr>
          </w:pPr>
          <w:r w:rsidRPr="009A46BB">
            <w:rPr>
              <w:rFonts w:ascii="Times New Roman" w:hAnsi="Times New Roman"/>
              <w:b/>
              <w:sz w:val="24"/>
              <w:szCs w:val="24"/>
            </w:rPr>
            <w:t>Fecha de inicio:</w:t>
          </w:r>
          <w:r w:rsidR="00B90D2B" w:rsidRPr="009A46BB">
            <w:rPr>
              <w:rFonts w:ascii="Times New Roman" w:hAnsi="Times New Roman"/>
              <w:b/>
              <w:sz w:val="24"/>
              <w:szCs w:val="24"/>
            </w:rPr>
            <w:t xml:space="preserve"> </w:t>
          </w:r>
          <w:r w:rsidRPr="009A46BB">
            <w:rPr>
              <w:rFonts w:ascii="Times New Roman" w:hAnsi="Times New Roman"/>
              <w:sz w:val="24"/>
              <w:szCs w:val="24"/>
            </w:rPr>
            <w:t>29/05/2003</w:t>
          </w:r>
        </w:p>
        <w:p w14:paraId="7CE5BEAF" w14:textId="32EDCFFB" w:rsidR="00274429" w:rsidRPr="009A46BB" w:rsidRDefault="00274429" w:rsidP="00730054">
          <w:pPr>
            <w:spacing w:after="0"/>
            <w:jc w:val="both"/>
            <w:rPr>
              <w:rFonts w:ascii="Times New Roman" w:hAnsi="Times New Roman"/>
              <w:sz w:val="24"/>
              <w:szCs w:val="24"/>
            </w:rPr>
          </w:pPr>
          <w:r w:rsidRPr="009A46BB">
            <w:rPr>
              <w:rFonts w:ascii="Times New Roman" w:hAnsi="Times New Roman"/>
              <w:b/>
              <w:sz w:val="24"/>
              <w:szCs w:val="24"/>
            </w:rPr>
            <w:t>Fecha de finalización estimada:</w:t>
          </w:r>
          <w:r w:rsidR="00B90D2B" w:rsidRPr="009A46BB">
            <w:rPr>
              <w:rFonts w:ascii="Times New Roman" w:hAnsi="Times New Roman"/>
              <w:b/>
              <w:sz w:val="24"/>
              <w:szCs w:val="24"/>
            </w:rPr>
            <w:t xml:space="preserve"> </w:t>
          </w:r>
          <w:r w:rsidRPr="009A46BB">
            <w:rPr>
              <w:rFonts w:ascii="Times New Roman" w:hAnsi="Times New Roman"/>
              <w:sz w:val="24"/>
              <w:szCs w:val="24"/>
            </w:rPr>
            <w:t>28/05/2043</w:t>
          </w:r>
        </w:p>
        <w:p w14:paraId="3929D6D1" w14:textId="5DEAB255" w:rsidR="00274429" w:rsidRPr="009A46BB" w:rsidRDefault="00274429" w:rsidP="00730054">
          <w:pPr>
            <w:spacing w:after="0"/>
            <w:jc w:val="both"/>
            <w:rPr>
              <w:rFonts w:ascii="Times New Roman" w:hAnsi="Times New Roman"/>
              <w:sz w:val="24"/>
              <w:szCs w:val="24"/>
            </w:rPr>
          </w:pPr>
          <w:r w:rsidRPr="009A46BB">
            <w:rPr>
              <w:rFonts w:ascii="Times New Roman" w:hAnsi="Times New Roman"/>
              <w:b/>
              <w:sz w:val="24"/>
              <w:szCs w:val="24"/>
            </w:rPr>
            <w:t>Tipo ID:</w:t>
          </w:r>
          <w:r w:rsidR="00B90D2B" w:rsidRPr="009A46BB">
            <w:rPr>
              <w:rFonts w:ascii="Times New Roman" w:hAnsi="Times New Roman"/>
              <w:b/>
              <w:sz w:val="24"/>
              <w:szCs w:val="24"/>
            </w:rPr>
            <w:t xml:space="preserve"> </w:t>
          </w:r>
          <w:r w:rsidRPr="009A46BB">
            <w:rPr>
              <w:rFonts w:ascii="Times New Roman" w:hAnsi="Times New Roman"/>
              <w:sz w:val="24"/>
              <w:szCs w:val="24"/>
            </w:rPr>
            <w:t>NIT</w:t>
          </w:r>
        </w:p>
        <w:p w14:paraId="790423A3" w14:textId="1EB88B01" w:rsidR="00274429" w:rsidRPr="009A46BB" w:rsidRDefault="00274429" w:rsidP="00730054">
          <w:pPr>
            <w:spacing w:after="0"/>
            <w:jc w:val="both"/>
            <w:rPr>
              <w:rFonts w:ascii="Times New Roman" w:hAnsi="Times New Roman"/>
              <w:sz w:val="24"/>
              <w:szCs w:val="24"/>
            </w:rPr>
          </w:pPr>
          <w:r w:rsidRPr="009A46BB">
            <w:rPr>
              <w:rFonts w:ascii="Times New Roman" w:hAnsi="Times New Roman"/>
              <w:b/>
              <w:sz w:val="24"/>
              <w:szCs w:val="24"/>
            </w:rPr>
            <w:t>Número ID:</w:t>
          </w:r>
          <w:r w:rsidR="00B90D2B" w:rsidRPr="009A46BB">
            <w:rPr>
              <w:rFonts w:ascii="Times New Roman" w:hAnsi="Times New Roman"/>
              <w:b/>
              <w:sz w:val="24"/>
              <w:szCs w:val="24"/>
            </w:rPr>
            <w:t xml:space="preserve"> </w:t>
          </w:r>
          <w:r w:rsidRPr="009A46BB">
            <w:rPr>
              <w:rFonts w:ascii="Times New Roman" w:hAnsi="Times New Roman"/>
              <w:sz w:val="24"/>
              <w:szCs w:val="24"/>
            </w:rPr>
            <w:t>900.944.661-4</w:t>
          </w:r>
        </w:p>
        <w:p w14:paraId="3411192B" w14:textId="2B03AC28" w:rsidR="00274429" w:rsidRPr="009A46BB" w:rsidRDefault="00274429" w:rsidP="00730054">
          <w:pPr>
            <w:spacing w:after="0"/>
            <w:jc w:val="both"/>
            <w:rPr>
              <w:rFonts w:ascii="Times New Roman" w:hAnsi="Times New Roman"/>
              <w:sz w:val="24"/>
              <w:szCs w:val="24"/>
            </w:rPr>
          </w:pPr>
          <w:r w:rsidRPr="009A46BB">
            <w:rPr>
              <w:rFonts w:ascii="Times New Roman" w:hAnsi="Times New Roman"/>
              <w:b/>
              <w:sz w:val="24"/>
              <w:szCs w:val="24"/>
            </w:rPr>
            <w:t>Razón social del concesionario:</w:t>
          </w:r>
          <w:r w:rsidR="00B90D2B" w:rsidRPr="009A46BB">
            <w:rPr>
              <w:rFonts w:ascii="Times New Roman" w:hAnsi="Times New Roman"/>
              <w:b/>
              <w:sz w:val="24"/>
              <w:szCs w:val="24"/>
            </w:rPr>
            <w:t xml:space="preserve"> </w:t>
          </w:r>
          <w:r w:rsidRPr="009A46BB">
            <w:rPr>
              <w:rFonts w:ascii="Times New Roman" w:hAnsi="Times New Roman"/>
              <w:sz w:val="24"/>
              <w:szCs w:val="24"/>
            </w:rPr>
            <w:t>NUEVA SOCIEDAD PORTUARIA ZONA ATLÁNTICA S.A.</w:t>
          </w:r>
        </w:p>
        <w:p w14:paraId="7671FD0B" w14:textId="1B79F568" w:rsidR="00274429" w:rsidRPr="009A46BB" w:rsidRDefault="00274429" w:rsidP="00730054">
          <w:pPr>
            <w:spacing w:after="0"/>
            <w:jc w:val="both"/>
            <w:rPr>
              <w:rFonts w:ascii="Times New Roman" w:hAnsi="Times New Roman"/>
              <w:sz w:val="24"/>
              <w:szCs w:val="24"/>
            </w:rPr>
          </w:pPr>
          <w:r w:rsidRPr="009A46BB">
            <w:rPr>
              <w:rFonts w:ascii="Times New Roman" w:hAnsi="Times New Roman"/>
              <w:b/>
              <w:sz w:val="24"/>
              <w:szCs w:val="24"/>
            </w:rPr>
            <w:t>Nombre del proyecto:</w:t>
          </w:r>
          <w:bookmarkStart w:id="137" w:name="_Hlk159331602"/>
          <w:r w:rsidR="00B90D2B" w:rsidRPr="009A46BB">
            <w:rPr>
              <w:rFonts w:ascii="Times New Roman" w:hAnsi="Times New Roman"/>
              <w:b/>
              <w:sz w:val="24"/>
              <w:szCs w:val="24"/>
            </w:rPr>
            <w:t xml:space="preserve"> </w:t>
          </w:r>
          <w:r w:rsidRPr="009A46BB">
            <w:rPr>
              <w:rFonts w:ascii="Times New Roman" w:hAnsi="Times New Roman"/>
              <w:sz w:val="24"/>
              <w:szCs w:val="24"/>
            </w:rPr>
            <w:t>NUEVA SOCIEDAD PORTUARIA ZONA ATLÁNTICA S.A. – Terminal Cartagena.</w:t>
          </w:r>
        </w:p>
        <w:bookmarkEnd w:id="137"/>
        <w:p w14:paraId="768C9E8A" w14:textId="76D792B5" w:rsidR="4AFEB5DB" w:rsidRDefault="4AFEB5DB" w:rsidP="4AFEB5DB">
          <w:pPr>
            <w:spacing w:after="0"/>
            <w:jc w:val="both"/>
            <w:rPr>
              <w:rFonts w:ascii="Times New Roman" w:hAnsi="Times New Roman"/>
              <w:sz w:val="24"/>
              <w:szCs w:val="24"/>
            </w:rPr>
          </w:pPr>
        </w:p>
        <w:p w14:paraId="0E059293" w14:textId="7CC24BAC" w:rsidR="00274429" w:rsidRPr="009A46BB" w:rsidRDefault="00274429" w:rsidP="00E60BAB">
          <w:pPr>
            <w:pStyle w:val="Prrafodelista"/>
            <w:numPr>
              <w:ilvl w:val="0"/>
              <w:numId w:val="168"/>
            </w:numPr>
            <w:jc w:val="both"/>
            <w:rPr>
              <w:rFonts w:ascii="Times New Roman" w:hAnsi="Times New Roman"/>
              <w:b/>
            </w:rPr>
          </w:pPr>
          <w:r w:rsidRPr="009A46BB">
            <w:rPr>
              <w:rFonts w:ascii="Times New Roman" w:hAnsi="Times New Roman"/>
              <w:b/>
              <w:sz w:val="24"/>
              <w:szCs w:val="24"/>
            </w:rPr>
            <w:t xml:space="preserve">Términos significativos del acuerdo que puedan afectar su valor, el calendario y la certeza de los flujos </w:t>
          </w:r>
        </w:p>
        <w:p w14:paraId="06D4C362"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lastRenderedPageBreak/>
            <w:t>Términos de valor:</w:t>
          </w:r>
        </w:p>
        <w:p w14:paraId="2B584000"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Tarifas:</w:t>
          </w:r>
          <w:r w:rsidRPr="009A46BB">
            <w:rPr>
              <w:rFonts w:ascii="Times New Roman" w:hAnsi="Times New Roman"/>
              <w:sz w:val="24"/>
              <w:szCs w:val="24"/>
            </w:rPr>
            <w:t xml:space="preserve"> Al ser el terminal marítimo de servicio privado la Ley 1 de 1991 establece: </w:t>
          </w:r>
        </w:p>
        <w:p w14:paraId="739BF8B8"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 xml:space="preserve">Las sociedades portuarias que operan puertos de servicio privado podrán fijar libremente sus tarifas, pero mantendrán informada sobre ellas a la Superintendencia </w:t>
          </w:r>
          <w:r w:rsidRPr="009A46BB">
            <w:rPr>
              <w:rFonts w:ascii="Times New Roman" w:hAnsi="Times New Roman"/>
              <w:sz w:val="24"/>
              <w:szCs w:val="24"/>
            </w:rPr>
            <w:tab/>
            <w:t>General de Puertos hoy Superintendencia de Transporte.</w:t>
          </w:r>
        </w:p>
        <w:p w14:paraId="41A197F1" w14:textId="094315FB"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Contraprestación portuaria:</w:t>
          </w:r>
          <w:r w:rsidRPr="009A46BB">
            <w:rPr>
              <w:rFonts w:ascii="Times New Roman" w:hAnsi="Times New Roman"/>
              <w:sz w:val="24"/>
              <w:szCs w:val="24"/>
            </w:rPr>
            <w:t xml:space="preserve"> La metodología de contraprestación inicial del contrato de concesión 025 de 2003, </w:t>
          </w:r>
          <w:r w:rsidRPr="009A46BB">
            <w:rPr>
              <w:rFonts w:ascii="Times New Roman" w:hAnsi="Times New Roman"/>
              <w:sz w:val="24"/>
              <w:szCs w:val="24"/>
            </w:rPr>
            <w:tab/>
            <w:t xml:space="preserve">correspondía a Productividad; a partir del 28 de mayo de 2013, se aplica la nueva metodología de contraprestación referente al Anexo 2 del documento Conpes 3744 de 2013, adoptado mediante el Decreto 1099 de 2013 y resolución del Ministerio de Transporte No. 5394 de diciembre 2 de 2013. A febrero de 2022 el CONCESIONARIO debió pagar la suma de USD 28.911,37 por concepto de contraprestación. La Cláusula Decima Primera, numeral 11.2.1 del contrato establece que por concepto de zona de uso público el 80% le corresponde a la Nación – Instituto Nacional de Vías (INVIAS) y el 20% restante al municipio de Cartagena de acuerdo </w:t>
          </w:r>
          <w:r w:rsidRPr="009A46BB">
            <w:rPr>
              <w:rFonts w:ascii="Times New Roman" w:hAnsi="Times New Roman"/>
              <w:sz w:val="24"/>
              <w:szCs w:val="24"/>
            </w:rPr>
            <w:tab/>
            <w:t xml:space="preserve">con lo establecido en el parágrafo 1 del artículo 1 de la ley 856 del 21 de diciembre de </w:t>
          </w:r>
          <w:r w:rsidRPr="009A46BB">
            <w:rPr>
              <w:rFonts w:ascii="Times New Roman" w:hAnsi="Times New Roman"/>
              <w:sz w:val="24"/>
              <w:szCs w:val="24"/>
            </w:rPr>
            <w:tab/>
            <w:t xml:space="preserve">2003, que modifica el artículo 7 de la ley 1ª de 1991. Así mismo, el numeral 11.2.2 </w:t>
          </w:r>
          <w:r w:rsidRPr="009A46BB">
            <w:rPr>
              <w:rFonts w:ascii="Times New Roman" w:hAnsi="Times New Roman"/>
              <w:sz w:val="24"/>
              <w:szCs w:val="24"/>
            </w:rPr>
            <w:tab/>
            <w:t>establece que por concepto de uso de la infraestructura el 100% del valor a pagar le corresponde a la Nación - Instituto Nacional de Vías (INVIAS) de acuerdo con lo establecido en el artículo 1 de la ley 856 del 21 diciembre de 2003.</w:t>
          </w:r>
        </w:p>
        <w:p w14:paraId="3ADC3B2D" w14:textId="4A81617F"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Plan de Inversiones:</w:t>
          </w:r>
          <w:r w:rsidR="00B90D2B" w:rsidRPr="009A46BB">
            <w:rPr>
              <w:rFonts w:ascii="Times New Roman" w:hAnsi="Times New Roman"/>
              <w:b/>
              <w:sz w:val="24"/>
              <w:szCs w:val="24"/>
            </w:rPr>
            <w:t xml:space="preserve"> </w:t>
          </w:r>
          <w:r w:rsidRPr="009A46BB">
            <w:rPr>
              <w:rFonts w:ascii="Times New Roman" w:hAnsi="Times New Roman"/>
              <w:sz w:val="24"/>
              <w:szCs w:val="24"/>
            </w:rPr>
            <w:t>Está establecido en el OFICIO No. 651 del 26 de agosto de 2003 de INVIAS, el plan de inversión será de CIENTO SIETE MIL QUINIENTOS SETENTA Y CINCO DOLARES (USD$ 107.578) en valores corrientes.</w:t>
          </w:r>
        </w:p>
        <w:p w14:paraId="2DD70F48"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Obligaciones del CONCESIONARIO:</w:t>
          </w:r>
          <w:r w:rsidRPr="009A46BB">
            <w:rPr>
              <w:rFonts w:ascii="Times New Roman" w:hAnsi="Times New Roman"/>
              <w:sz w:val="24"/>
              <w:szCs w:val="24"/>
            </w:rPr>
            <w:t xml:space="preserve"> se encuentran descritas en la cláusula Décima Segunda del contrato. </w:t>
          </w:r>
        </w:p>
        <w:p w14:paraId="2E720025"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Multas y sanciones:</w:t>
          </w:r>
          <w:r w:rsidRPr="009A46BB">
            <w:rPr>
              <w:rFonts w:ascii="Times New Roman" w:hAnsi="Times New Roman"/>
              <w:sz w:val="24"/>
              <w:szCs w:val="24"/>
            </w:rPr>
            <w:t xml:space="preserve"> están establecidas en la Cláusula Décima Quinta del contrato.</w:t>
          </w:r>
        </w:p>
        <w:p w14:paraId="667C4DC0"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Penal pecuniaria:</w:t>
          </w:r>
          <w:r w:rsidRPr="009A46BB">
            <w:rPr>
              <w:rFonts w:ascii="Times New Roman" w:hAnsi="Times New Roman"/>
              <w:sz w:val="24"/>
              <w:szCs w:val="24"/>
            </w:rPr>
            <w:t xml:space="preserve"> En la cláusula Décima Sexta se establece que en el evento en que el </w:t>
          </w:r>
          <w:r w:rsidRPr="009A46BB">
            <w:rPr>
              <w:rFonts w:ascii="Times New Roman" w:hAnsi="Times New Roman"/>
              <w:sz w:val="24"/>
              <w:szCs w:val="24"/>
            </w:rPr>
            <w:tab/>
            <w:t>Ministerio (hoy ANI), declare la caducidad o el incumplimiento del presente contrato el Concesionario deberá pagar la suma equivalente al 10% del valor total de la contraprestación, como sanción pecuniaria.</w:t>
          </w:r>
        </w:p>
        <w:p w14:paraId="49BFB570"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Términos de calendario:</w:t>
          </w:r>
          <w:r w:rsidRPr="009A46BB">
            <w:rPr>
              <w:rFonts w:ascii="Times New Roman" w:hAnsi="Times New Roman"/>
              <w:b/>
              <w:sz w:val="24"/>
              <w:szCs w:val="24"/>
            </w:rPr>
            <w:tab/>
          </w:r>
        </w:p>
        <w:p w14:paraId="5AA058BC"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Tarifas:</w:t>
          </w:r>
          <w:r w:rsidRPr="009A46BB">
            <w:rPr>
              <w:rFonts w:ascii="Times New Roman" w:hAnsi="Times New Roman"/>
              <w:sz w:val="24"/>
              <w:szCs w:val="24"/>
            </w:rPr>
            <w:t xml:space="preserve"> Aprobadas según la metodología establecida por la Superintendencia General </w:t>
          </w:r>
          <w:r w:rsidRPr="009A46BB">
            <w:rPr>
              <w:rFonts w:ascii="Times New Roman" w:hAnsi="Times New Roman"/>
              <w:sz w:val="24"/>
              <w:szCs w:val="24"/>
            </w:rPr>
            <w:tab/>
            <w:t>de Puertos hoy Superintendencia de Transporte.</w:t>
          </w:r>
        </w:p>
        <w:p w14:paraId="54791656" w14:textId="689489E6"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Contraprestación portuaria:</w:t>
          </w:r>
          <w:r w:rsidRPr="009A46BB">
            <w:rPr>
              <w:rFonts w:ascii="Times New Roman" w:hAnsi="Times New Roman"/>
              <w:sz w:val="24"/>
              <w:szCs w:val="24"/>
            </w:rPr>
            <w:t xml:space="preserve"> la contraprestación se debe pagar de manera anual anticipada en el mes de febrero de cada año.El Concesionario, teniendo en cuenta que al inicio del contrato se estableció la metodología de productividad, pago de manera anticipada la totalidad de la contraprestación con dicha metodología.A partir del 28 de mayo de 2013, anualmente se calcula con la metodología Conpes 3744 de 2013 y se </w:t>
          </w:r>
          <w:r w:rsidRPr="009A46BB">
            <w:rPr>
              <w:rFonts w:ascii="Times New Roman" w:hAnsi="Times New Roman"/>
              <w:sz w:val="24"/>
              <w:szCs w:val="24"/>
            </w:rPr>
            <w:tab/>
            <w:t>homologa con los pagos realizados con la metodología de productividad para determinar el valor final a pagar.</w:t>
          </w:r>
        </w:p>
        <w:p w14:paraId="445ACC9D"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lastRenderedPageBreak/>
            <w:t>Plan de inversiones:</w:t>
          </w:r>
          <w:r w:rsidRPr="009A46BB">
            <w:rPr>
              <w:rFonts w:ascii="Times New Roman" w:hAnsi="Times New Roman"/>
              <w:sz w:val="24"/>
              <w:szCs w:val="24"/>
            </w:rPr>
            <w:t xml:space="preserve"> Se estableció en el OFICIO No. 651 del 26 de agosto de 2003 de INVIAS, cuya ejecución corresponde a los años 2011 y 2018.</w:t>
          </w:r>
        </w:p>
        <w:p w14:paraId="6A688809"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Multas:</w:t>
          </w:r>
          <w:r w:rsidRPr="009A46BB">
            <w:rPr>
              <w:rFonts w:ascii="Times New Roman" w:hAnsi="Times New Roman"/>
              <w:sz w:val="24"/>
              <w:szCs w:val="24"/>
            </w:rPr>
            <w:t xml:space="preserve"> Cláusula Décima Quinta del contrato</w:t>
          </w:r>
        </w:p>
        <w:p w14:paraId="4737BBC7"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Términos de certeza de flujos de efectivo futuros:</w:t>
          </w:r>
        </w:p>
        <w:p w14:paraId="402B9A75"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 xml:space="preserve">Se otorga a EL CONCESIONARIO el derecho de ocupar y utilizar en forma temporal y exclusiva las playas, los terrenos de bajamar y zonas accesorias a aquellas o estos, </w:t>
          </w:r>
          <w:r w:rsidRPr="009A46BB">
            <w:rPr>
              <w:rFonts w:ascii="Times New Roman" w:hAnsi="Times New Roman"/>
              <w:sz w:val="24"/>
              <w:szCs w:val="24"/>
            </w:rPr>
            <w:tab/>
            <w:t>descritos en la Cláusula Segunda y Quinta del contrato 025 de 2003, a cambio de la contraprestación económica de que trata la Cláusula Décima Primera del mencionado contrato.</w:t>
          </w:r>
        </w:p>
        <w:p w14:paraId="63D15A2F"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 xml:space="preserve">Cláusula Decima Primera, numeral 11.2.1, del valor a pagar por concepto de contraprestación por Zona de Uso público el 80% le corresponde a la Nación-INVIAS </w:t>
          </w:r>
          <w:r w:rsidRPr="009A46BB">
            <w:rPr>
              <w:rFonts w:ascii="Times New Roman" w:hAnsi="Times New Roman"/>
              <w:sz w:val="24"/>
              <w:szCs w:val="24"/>
            </w:rPr>
            <w:tab/>
            <w:t>y el 20 % al municipio de Cartagena y numeral 11.2.2, por Infraestructura el 100% a la Nación-INVIAS.</w:t>
          </w:r>
        </w:p>
        <w:p w14:paraId="717DBB8D" w14:textId="5A12CDBD" w:rsidR="00274429" w:rsidRPr="009A46BB" w:rsidRDefault="00274429" w:rsidP="00E60BAB">
          <w:pPr>
            <w:pStyle w:val="Prrafodelista"/>
            <w:numPr>
              <w:ilvl w:val="0"/>
              <w:numId w:val="168"/>
            </w:numPr>
            <w:jc w:val="both"/>
            <w:rPr>
              <w:rFonts w:ascii="Times New Roman" w:hAnsi="Times New Roman"/>
              <w:b/>
            </w:rPr>
          </w:pPr>
          <w:r w:rsidRPr="009A46BB">
            <w:rPr>
              <w:rFonts w:ascii="Times New Roman" w:hAnsi="Times New Roman"/>
              <w:b/>
              <w:sz w:val="24"/>
              <w:szCs w:val="24"/>
            </w:rPr>
            <w:t xml:space="preserve">Naturaleza y alcance del derecho a utilizar activos especificados, de los aspectos pactados en torno a lo que se espera que el concesionario proporcione en relación con el acuerdo de concesión </w:t>
          </w:r>
        </w:p>
        <w:p w14:paraId="7F910170"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Naturaleza y alcance del derecho de uso de los activos</w:t>
          </w:r>
        </w:p>
        <w:p w14:paraId="78F11135"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w:t>
          </w:r>
          <w:r w:rsidRPr="009A46BB">
            <w:rPr>
              <w:rFonts w:ascii="Times New Roman" w:hAnsi="Times New Roman"/>
              <w:sz w:val="24"/>
              <w:szCs w:val="24"/>
            </w:rPr>
            <w:tab/>
            <w:t>Las condiciones especiales de operación del puerto están establecidas en la cláusula quinta del Contrato de Concesión</w:t>
          </w:r>
        </w:p>
        <w:p w14:paraId="532E1145"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Área entregada en concesión:</w:t>
          </w:r>
          <w:r w:rsidRPr="009A46BB">
            <w:rPr>
              <w:rFonts w:ascii="Times New Roman" w:hAnsi="Times New Roman"/>
              <w:sz w:val="24"/>
              <w:szCs w:val="24"/>
            </w:rPr>
            <w:t xml:space="preserve"> La descripción de la ubicación, linderos y extensión de los bienes de uso público (playas y terrenos de baja mar, zonas marítimas accesorias de maniobras) entregados en concesión están establecidos en la cláusula segunda.</w:t>
          </w:r>
        </w:p>
        <w:p w14:paraId="29595704"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Infraestructura y equipos entregados en concesión:</w:t>
          </w:r>
          <w:r w:rsidRPr="009A46BB">
            <w:rPr>
              <w:rFonts w:ascii="Times New Roman" w:hAnsi="Times New Roman"/>
              <w:sz w:val="24"/>
              <w:szCs w:val="24"/>
            </w:rPr>
            <w:t xml:space="preserve"> En la cláusula quinta del Contrato, se describe que lo entregado en concesión fue: </w:t>
          </w:r>
        </w:p>
        <w:p w14:paraId="636BEAD9"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Infraestructura</w:t>
          </w:r>
          <w:r w:rsidRPr="009A46BB">
            <w:rPr>
              <w:rFonts w:ascii="Times New Roman" w:hAnsi="Times New Roman"/>
              <w:sz w:val="24"/>
              <w:szCs w:val="24"/>
            </w:rPr>
            <w:t>: Muelle, cuatro piñas-dos de atraque y dos de amarre, tanques de almacenamiento, estación para despacho de carrotanque, área administrativa y bodegas, área de laboratorio, vías internas.</w:t>
          </w:r>
        </w:p>
        <w:p w14:paraId="3E1D8217"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Retribución al concesionario</w:t>
          </w:r>
        </w:p>
        <w:p w14:paraId="0D147E7B"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w:t>
          </w:r>
          <w:r w:rsidRPr="009A46BB">
            <w:rPr>
              <w:rFonts w:ascii="Times New Roman" w:hAnsi="Times New Roman"/>
              <w:b/>
              <w:sz w:val="24"/>
              <w:szCs w:val="24"/>
            </w:rPr>
            <w:tab/>
          </w:r>
          <w:r w:rsidRPr="009A46BB">
            <w:rPr>
              <w:rFonts w:ascii="Times New Roman" w:hAnsi="Times New Roman"/>
              <w:sz w:val="24"/>
              <w:szCs w:val="24"/>
            </w:rPr>
            <w:t xml:space="preserve">Artículo Primero del contrato 025 de 2003: Otorgar la concesión portuaria a la Sociedad Portuaria el derecho de ocupar y utilizar en forma temporal y exclusiva las playas, los terrenos de bajamar y zonas accesorias a aquellas o estos, </w:t>
          </w:r>
          <w:r w:rsidRPr="009A46BB">
            <w:rPr>
              <w:rFonts w:ascii="Times New Roman" w:hAnsi="Times New Roman"/>
              <w:sz w:val="24"/>
              <w:szCs w:val="24"/>
            </w:rPr>
            <w:tab/>
            <w:t>descritos en el Cláusula Segunda y Quinta del referido contrato a cambio de la contraprestación económica.</w:t>
          </w:r>
        </w:p>
        <w:p w14:paraId="6644EB28"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Tasa de retribución:</w:t>
          </w:r>
          <w:r w:rsidRPr="009A46BB">
            <w:rPr>
              <w:rFonts w:ascii="Times New Roman" w:hAnsi="Times New Roman"/>
              <w:sz w:val="24"/>
              <w:szCs w:val="24"/>
            </w:rPr>
            <w:tab/>
            <w:t>N/A</w:t>
          </w:r>
        </w:p>
        <w:p w14:paraId="7CFE3964" w14:textId="09D3DA32"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d.</w:t>
          </w:r>
          <w:r w:rsidR="458482E2" w:rsidRPr="4AFEB5DB">
            <w:rPr>
              <w:rFonts w:ascii="Times New Roman" w:hAnsi="Times New Roman"/>
              <w:b/>
              <w:bCs/>
              <w:sz w:val="24"/>
              <w:szCs w:val="24"/>
            </w:rPr>
            <w:t xml:space="preserve"> </w:t>
          </w:r>
          <w:r w:rsidRPr="009A46BB">
            <w:rPr>
              <w:rFonts w:ascii="Times New Roman" w:hAnsi="Times New Roman"/>
              <w:b/>
              <w:sz w:val="24"/>
              <w:szCs w:val="24"/>
            </w:rPr>
            <w:t>Derechos a recibir activos especificados al final del acuerdo de concesión</w:t>
          </w:r>
        </w:p>
        <w:p w14:paraId="3FECA5B1"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w:t>
          </w:r>
          <w:r w:rsidRPr="009A46BB">
            <w:rPr>
              <w:rFonts w:ascii="Times New Roman" w:hAnsi="Times New Roman"/>
              <w:sz w:val="24"/>
              <w:szCs w:val="24"/>
            </w:rPr>
            <w:tab/>
            <w:t>De acuerdo con el Artículo 8º de la Ley 1 de 1991 en el modo portuario el concesionario no tiene derechos finales sobre activos los debe revertir a la Nación al final del contrato de concesión.</w:t>
          </w:r>
        </w:p>
        <w:p w14:paraId="749D5495" w14:textId="70CB1FA4"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lastRenderedPageBreak/>
            <w:t>Observaciones:</w:t>
          </w:r>
          <w:r w:rsidR="00B90D2B" w:rsidRPr="009A46BB">
            <w:rPr>
              <w:rFonts w:ascii="Times New Roman" w:hAnsi="Times New Roman"/>
              <w:sz w:val="24"/>
              <w:szCs w:val="24"/>
            </w:rPr>
            <w:t xml:space="preserve"> NA</w:t>
          </w:r>
        </w:p>
        <w:p w14:paraId="52C2DDCD"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Reversión:</w:t>
          </w:r>
          <w:r w:rsidRPr="009A46BB">
            <w:rPr>
              <w:rFonts w:ascii="Times New Roman" w:hAnsi="Times New Roman"/>
              <w:sz w:val="24"/>
              <w:szCs w:val="24"/>
            </w:rPr>
            <w:t xml:space="preserve"> De acuerdo con lo establecido en la cláusula novena del contrato de concesión, todas las construcciones e inmuebles por destinación, que se encuentren instalados en la zona de uso público otorgada en concesión revertirán gratuitamente por el Concesionario.</w:t>
          </w:r>
        </w:p>
        <w:p w14:paraId="18C3DD1D"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Para tal fin, en el momento de la reversión el CONCESIONARIO elaborará un inventario de los bienes y los enviará para su revisión y aprobación.</w:t>
          </w:r>
        </w:p>
        <w:p w14:paraId="2D065AA2"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La ANI es la entidad concedente pero la titularidad de los activos al final de la concesión es del Instituto Nacional de Vías INVIAS.</w:t>
          </w:r>
        </w:p>
        <w:p w14:paraId="67CFBC0F" w14:textId="096BB03A"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e.</w:t>
          </w:r>
          <w:r w:rsidR="464961FD" w:rsidRPr="4AFEB5DB">
            <w:rPr>
              <w:rFonts w:ascii="Times New Roman" w:hAnsi="Times New Roman"/>
              <w:b/>
              <w:bCs/>
              <w:sz w:val="24"/>
              <w:szCs w:val="24"/>
            </w:rPr>
            <w:t xml:space="preserve"> </w:t>
          </w:r>
          <w:r w:rsidRPr="009A46BB">
            <w:rPr>
              <w:rFonts w:ascii="Times New Roman" w:hAnsi="Times New Roman"/>
              <w:b/>
              <w:sz w:val="24"/>
              <w:szCs w:val="24"/>
            </w:rPr>
            <w:t>Cambios en el acuerdo de concesión que se realicen durante el periodo fiscal</w:t>
          </w:r>
        </w:p>
        <w:p w14:paraId="276E8908" w14:textId="2C00BF5E" w:rsidR="00274429" w:rsidRPr="009A46BB" w:rsidRDefault="00274429" w:rsidP="4AFEB5DB">
          <w:pPr>
            <w:spacing w:after="0"/>
            <w:jc w:val="both"/>
            <w:rPr>
              <w:rFonts w:ascii="Times New Roman" w:hAnsi="Times New Roman"/>
              <w:b/>
              <w:sz w:val="24"/>
              <w:szCs w:val="24"/>
            </w:rPr>
          </w:pPr>
          <w:r w:rsidRPr="009A46BB">
            <w:rPr>
              <w:rFonts w:ascii="Times New Roman" w:hAnsi="Times New Roman"/>
              <w:b/>
              <w:sz w:val="24"/>
              <w:szCs w:val="24"/>
            </w:rPr>
            <w:t>Adiciones o modificaciones en tiempo</w:t>
          </w:r>
        </w:p>
        <w:p w14:paraId="49B303D2" w14:textId="67723C57" w:rsidR="00274429" w:rsidRPr="009A46BB" w:rsidRDefault="00274429" w:rsidP="4AFEB5DB">
          <w:pPr>
            <w:spacing w:after="0"/>
            <w:jc w:val="both"/>
            <w:rPr>
              <w:rFonts w:ascii="Times New Roman" w:hAnsi="Times New Roman"/>
              <w:sz w:val="24"/>
              <w:szCs w:val="24"/>
            </w:rPr>
          </w:pPr>
          <w:r w:rsidRPr="009A46BB">
            <w:rPr>
              <w:rFonts w:ascii="Times New Roman" w:hAnsi="Times New Roman"/>
              <w:b/>
              <w:sz w:val="24"/>
              <w:szCs w:val="24"/>
            </w:rPr>
            <w:t>Fechas de las adiciones o modificaciones</w:t>
          </w:r>
          <w:r w:rsidR="00B90D2B" w:rsidRPr="009A46BB">
            <w:rPr>
              <w:rFonts w:ascii="Times New Roman" w:hAnsi="Times New Roman"/>
              <w:b/>
              <w:sz w:val="24"/>
              <w:szCs w:val="24"/>
            </w:rPr>
            <w:t xml:space="preserve">: </w:t>
          </w:r>
          <w:r w:rsidRPr="009A46BB">
            <w:rPr>
              <w:rFonts w:ascii="Times New Roman" w:hAnsi="Times New Roman"/>
              <w:sz w:val="24"/>
              <w:szCs w:val="24"/>
            </w:rPr>
            <w:t>25/05/2025</w:t>
          </w:r>
        </w:p>
        <w:p w14:paraId="5427111F" w14:textId="021F660F" w:rsidR="00274429" w:rsidRPr="009A46BB" w:rsidRDefault="00274429" w:rsidP="4AFEB5DB">
          <w:pPr>
            <w:spacing w:after="0"/>
            <w:jc w:val="both"/>
            <w:rPr>
              <w:rFonts w:ascii="Times New Roman" w:hAnsi="Times New Roman"/>
              <w:sz w:val="24"/>
              <w:szCs w:val="24"/>
            </w:rPr>
          </w:pPr>
          <w:r w:rsidRPr="009A46BB">
            <w:rPr>
              <w:rFonts w:ascii="Times New Roman" w:hAnsi="Times New Roman"/>
              <w:b/>
              <w:sz w:val="24"/>
              <w:szCs w:val="24"/>
            </w:rPr>
            <w:t>Nueva fecha de finalización estimada</w:t>
          </w:r>
          <w:r w:rsidR="00B90D2B" w:rsidRPr="009A46BB">
            <w:rPr>
              <w:rFonts w:ascii="Times New Roman" w:hAnsi="Times New Roman"/>
              <w:b/>
              <w:sz w:val="24"/>
              <w:szCs w:val="24"/>
            </w:rPr>
            <w:t xml:space="preserve">: </w:t>
          </w:r>
          <w:r w:rsidRPr="009A46BB">
            <w:rPr>
              <w:rFonts w:ascii="Times New Roman" w:hAnsi="Times New Roman"/>
              <w:sz w:val="24"/>
              <w:szCs w:val="24"/>
            </w:rPr>
            <w:t>28/05/2043</w:t>
          </w:r>
        </w:p>
        <w:p w14:paraId="25031626" w14:textId="3DC17918" w:rsidR="00274429" w:rsidRPr="009A46BB" w:rsidRDefault="00274429" w:rsidP="4AFEB5DB">
          <w:pPr>
            <w:spacing w:after="0"/>
            <w:jc w:val="both"/>
            <w:rPr>
              <w:rFonts w:ascii="Times New Roman" w:hAnsi="Times New Roman"/>
              <w:sz w:val="24"/>
              <w:szCs w:val="24"/>
            </w:rPr>
          </w:pPr>
          <w:r w:rsidRPr="009A46BB">
            <w:rPr>
              <w:rFonts w:ascii="Times New Roman" w:hAnsi="Times New Roman"/>
              <w:b/>
              <w:sz w:val="24"/>
              <w:szCs w:val="24"/>
            </w:rPr>
            <w:t>Observaciones</w:t>
          </w:r>
          <w:r w:rsidR="00B90D2B" w:rsidRPr="009A46BB">
            <w:rPr>
              <w:rFonts w:ascii="Times New Roman" w:hAnsi="Times New Roman"/>
              <w:b/>
              <w:sz w:val="24"/>
              <w:szCs w:val="24"/>
            </w:rPr>
            <w:t xml:space="preserve">: </w:t>
          </w:r>
          <w:r w:rsidRPr="009A46BB">
            <w:rPr>
              <w:rFonts w:ascii="Times New Roman" w:hAnsi="Times New Roman"/>
              <w:sz w:val="24"/>
              <w:szCs w:val="24"/>
            </w:rPr>
            <w:t>Esta prórroga en tiempo quedó establecida en la Cláusula cuarta del Otrosí No. 4 de 2023</w:t>
          </w:r>
        </w:p>
        <w:p w14:paraId="61ACBBBA" w14:textId="127E6A86" w:rsidR="4AFEB5DB" w:rsidRDefault="4AFEB5DB" w:rsidP="4AFEB5DB">
          <w:pPr>
            <w:jc w:val="both"/>
            <w:rPr>
              <w:rFonts w:ascii="Times New Roman" w:hAnsi="Times New Roman"/>
              <w:b/>
              <w:bCs/>
              <w:sz w:val="24"/>
              <w:szCs w:val="24"/>
            </w:rPr>
          </w:pPr>
        </w:p>
        <w:p w14:paraId="027586F3" w14:textId="58A2C2EC" w:rsidR="00274429" w:rsidRPr="009A46BB" w:rsidRDefault="00274429" w:rsidP="4AFEB5DB">
          <w:pPr>
            <w:spacing w:after="0"/>
            <w:jc w:val="both"/>
            <w:rPr>
              <w:rFonts w:ascii="Times New Roman" w:hAnsi="Times New Roman"/>
              <w:b/>
              <w:sz w:val="24"/>
              <w:szCs w:val="24"/>
            </w:rPr>
          </w:pPr>
          <w:r w:rsidRPr="009A46BB">
            <w:rPr>
              <w:rFonts w:ascii="Times New Roman" w:hAnsi="Times New Roman"/>
              <w:b/>
              <w:sz w:val="24"/>
              <w:szCs w:val="24"/>
            </w:rPr>
            <w:t>Adiciones o modificaciones en valor</w:t>
          </w:r>
        </w:p>
        <w:p w14:paraId="73F08C5C" w14:textId="6D06C5F1" w:rsidR="00274429" w:rsidRPr="009A46BB" w:rsidRDefault="00274429" w:rsidP="4AFEB5DB">
          <w:pPr>
            <w:spacing w:after="0"/>
            <w:jc w:val="both"/>
            <w:rPr>
              <w:rFonts w:ascii="Times New Roman" w:hAnsi="Times New Roman"/>
              <w:b/>
              <w:sz w:val="24"/>
              <w:szCs w:val="24"/>
            </w:rPr>
          </w:pPr>
          <w:r w:rsidRPr="009A46BB">
            <w:rPr>
              <w:rFonts w:ascii="Times New Roman" w:hAnsi="Times New Roman"/>
              <w:b/>
              <w:sz w:val="24"/>
              <w:szCs w:val="24"/>
            </w:rPr>
            <w:t>Valor de la adición o modificación</w:t>
          </w:r>
          <w:r w:rsidR="00B90D2B" w:rsidRPr="009A46BB">
            <w:rPr>
              <w:rFonts w:ascii="Times New Roman" w:hAnsi="Times New Roman"/>
              <w:b/>
              <w:sz w:val="24"/>
              <w:szCs w:val="24"/>
            </w:rPr>
            <w:t xml:space="preserve">: </w:t>
          </w:r>
          <w:r w:rsidRPr="009A46BB">
            <w:rPr>
              <w:rFonts w:ascii="Times New Roman" w:hAnsi="Times New Roman"/>
              <w:sz w:val="24"/>
              <w:szCs w:val="24"/>
            </w:rPr>
            <w:t>USD 531.294</w:t>
          </w:r>
        </w:p>
        <w:p w14:paraId="009F407F" w14:textId="7E7E61D3" w:rsidR="00274429" w:rsidRPr="009A46BB" w:rsidRDefault="00274429" w:rsidP="4AFEB5DB">
          <w:pPr>
            <w:spacing w:after="0"/>
            <w:jc w:val="both"/>
            <w:rPr>
              <w:rFonts w:ascii="Times New Roman" w:hAnsi="Times New Roman"/>
              <w:sz w:val="24"/>
              <w:szCs w:val="24"/>
            </w:rPr>
          </w:pPr>
          <w:r w:rsidRPr="009A46BB">
            <w:rPr>
              <w:rFonts w:ascii="Times New Roman" w:hAnsi="Times New Roman"/>
              <w:b/>
              <w:sz w:val="24"/>
              <w:szCs w:val="24"/>
            </w:rPr>
            <w:t>Nuevo valor del acuerdo</w:t>
          </w:r>
          <w:r w:rsidR="00B90D2B" w:rsidRPr="009A46BB">
            <w:rPr>
              <w:rFonts w:ascii="Times New Roman" w:hAnsi="Times New Roman"/>
              <w:b/>
              <w:sz w:val="24"/>
              <w:szCs w:val="24"/>
            </w:rPr>
            <w:t xml:space="preserve">: </w:t>
          </w:r>
          <w:r w:rsidRPr="009A46BB">
            <w:rPr>
              <w:rFonts w:ascii="Times New Roman" w:hAnsi="Times New Roman"/>
              <w:sz w:val="24"/>
              <w:szCs w:val="24"/>
            </w:rPr>
            <w:t>USD 531.294</w:t>
          </w:r>
        </w:p>
        <w:p w14:paraId="7BBEFBCF" w14:textId="373BB973" w:rsidR="00274429" w:rsidRPr="009A46BB" w:rsidRDefault="00274429" w:rsidP="4AFEB5DB">
          <w:pPr>
            <w:spacing w:after="0"/>
            <w:jc w:val="both"/>
            <w:rPr>
              <w:rFonts w:ascii="Times New Roman" w:hAnsi="Times New Roman"/>
              <w:sz w:val="24"/>
              <w:szCs w:val="24"/>
            </w:rPr>
          </w:pPr>
          <w:r w:rsidRPr="009A46BB">
            <w:rPr>
              <w:rFonts w:ascii="Times New Roman" w:hAnsi="Times New Roman"/>
              <w:b/>
              <w:sz w:val="24"/>
              <w:szCs w:val="24"/>
            </w:rPr>
            <w:t>Observaciones</w:t>
          </w:r>
          <w:r w:rsidR="00B90D2B" w:rsidRPr="009A46BB">
            <w:rPr>
              <w:rFonts w:ascii="Times New Roman" w:hAnsi="Times New Roman"/>
              <w:b/>
              <w:sz w:val="24"/>
              <w:szCs w:val="24"/>
            </w:rPr>
            <w:t xml:space="preserve">: </w:t>
          </w:r>
          <w:r w:rsidRPr="009A46BB">
            <w:rPr>
              <w:rFonts w:ascii="Times New Roman" w:hAnsi="Times New Roman"/>
              <w:sz w:val="24"/>
              <w:szCs w:val="24"/>
            </w:rPr>
            <w:t xml:space="preserve">Valor expresado en dólares constantes de diciembre de 2022, cláusula Quinta, otrosí 4 de 2023 </w:t>
          </w:r>
        </w:p>
        <w:p w14:paraId="68CF1D9F" w14:textId="77777777" w:rsidR="00274429" w:rsidRPr="009A46BB" w:rsidRDefault="00274429" w:rsidP="00274429">
          <w:pPr>
            <w:jc w:val="both"/>
            <w:rPr>
              <w:rFonts w:ascii="Times New Roman" w:hAnsi="Times New Roman"/>
              <w:sz w:val="24"/>
              <w:szCs w:val="24"/>
            </w:rPr>
          </w:pPr>
        </w:p>
        <w:p w14:paraId="6CB04C7A" w14:textId="257B34D1" w:rsidR="00274429" w:rsidRPr="009A46BB" w:rsidRDefault="00F1015C" w:rsidP="00F1015C">
          <w:pPr>
            <w:spacing w:line="259" w:lineRule="auto"/>
            <w:jc w:val="both"/>
            <w:rPr>
              <w:rFonts w:ascii="Times New Roman" w:hAnsi="Times New Roman"/>
              <w:b/>
              <w:sz w:val="24"/>
              <w:szCs w:val="24"/>
            </w:rPr>
          </w:pPr>
          <w:r w:rsidRPr="009A46BB">
            <w:rPr>
              <w:rFonts w:ascii="Times New Roman" w:hAnsi="Times New Roman"/>
              <w:b/>
              <w:sz w:val="24"/>
              <w:szCs w:val="24"/>
            </w:rPr>
            <w:t>SOCIEDAD PORTUARIA DEL DIQUE S.A.</w:t>
          </w:r>
        </w:p>
        <w:p w14:paraId="4BB5E603" w14:textId="1A4A2A3F" w:rsidR="00274429" w:rsidRPr="009A46BB" w:rsidRDefault="00274429" w:rsidP="00E60BAB">
          <w:pPr>
            <w:pStyle w:val="Prrafodelista"/>
            <w:numPr>
              <w:ilvl w:val="0"/>
              <w:numId w:val="149"/>
            </w:numPr>
            <w:jc w:val="both"/>
            <w:rPr>
              <w:rFonts w:ascii="Times New Roman" w:hAnsi="Times New Roman"/>
              <w:b/>
            </w:rPr>
          </w:pPr>
          <w:r w:rsidRPr="009A46BB">
            <w:rPr>
              <w:rFonts w:ascii="Times New Roman" w:hAnsi="Times New Roman"/>
              <w:b/>
              <w:sz w:val="24"/>
              <w:szCs w:val="24"/>
            </w:rPr>
            <w:t>Descripción del acuerdo</w:t>
          </w:r>
        </w:p>
        <w:p w14:paraId="3E6B53F4" w14:textId="333A8D06" w:rsidR="00274429" w:rsidRPr="009A46BB" w:rsidRDefault="00274429" w:rsidP="4AFEB5DB">
          <w:pPr>
            <w:spacing w:after="0"/>
            <w:jc w:val="both"/>
            <w:rPr>
              <w:rFonts w:ascii="Times New Roman" w:hAnsi="Times New Roman"/>
              <w:sz w:val="24"/>
              <w:szCs w:val="24"/>
            </w:rPr>
          </w:pPr>
          <w:r w:rsidRPr="009A46BB">
            <w:rPr>
              <w:rFonts w:ascii="Times New Roman" w:hAnsi="Times New Roman"/>
              <w:b/>
              <w:sz w:val="24"/>
              <w:szCs w:val="24"/>
            </w:rPr>
            <w:t>Número del acuerdo de concesión:</w:t>
          </w:r>
          <w:r w:rsidR="00F1015C" w:rsidRPr="009A46BB">
            <w:rPr>
              <w:rFonts w:ascii="Times New Roman" w:hAnsi="Times New Roman"/>
              <w:b/>
              <w:sz w:val="24"/>
              <w:szCs w:val="24"/>
            </w:rPr>
            <w:t xml:space="preserve"> </w:t>
          </w:r>
          <w:r w:rsidRPr="009A46BB">
            <w:rPr>
              <w:rFonts w:ascii="Times New Roman" w:hAnsi="Times New Roman"/>
              <w:sz w:val="24"/>
              <w:szCs w:val="24"/>
            </w:rPr>
            <w:t>Contrato No. 060 de 2004</w:t>
          </w:r>
        </w:p>
        <w:p w14:paraId="7C54591F" w14:textId="435FA05F" w:rsidR="00274429" w:rsidRPr="009A46BB" w:rsidRDefault="00274429" w:rsidP="4AFEB5DB">
          <w:pPr>
            <w:spacing w:after="0"/>
            <w:jc w:val="both"/>
            <w:rPr>
              <w:rFonts w:ascii="Times New Roman" w:hAnsi="Times New Roman"/>
              <w:sz w:val="24"/>
              <w:szCs w:val="24"/>
            </w:rPr>
          </w:pPr>
          <w:r w:rsidRPr="009A46BB">
            <w:rPr>
              <w:rFonts w:ascii="Times New Roman" w:hAnsi="Times New Roman"/>
              <w:b/>
              <w:sz w:val="24"/>
              <w:szCs w:val="24"/>
            </w:rPr>
            <w:t>Objeto / Descripción:</w:t>
          </w:r>
          <w:r w:rsidR="00F1015C" w:rsidRPr="009A46BB">
            <w:rPr>
              <w:rFonts w:ascii="Times New Roman" w:hAnsi="Times New Roman"/>
              <w:b/>
              <w:sz w:val="24"/>
              <w:szCs w:val="24"/>
            </w:rPr>
            <w:t xml:space="preserve"> </w:t>
          </w:r>
          <w:r w:rsidRPr="009A46BB">
            <w:rPr>
              <w:rFonts w:ascii="Times New Roman" w:hAnsi="Times New Roman"/>
              <w:sz w:val="24"/>
              <w:szCs w:val="24"/>
            </w:rPr>
            <w:t xml:space="preserve">En virtud del Contrato de concesión y sus modificaciones, se permite al CONCESIONARIO ocupar y utilizar en forma temporal y exclusiva los bienes pertenecientes a la Nación determinados en la cláusula segunda del presente contrato, ubicados en el distrito de Cartagena de Indias, departamento de Bolívar, destinados al manejo de carga general, a granel y en contenedores, por el tiempo de ejecución estipulado, a cambio de la contraprestación establecida en la Cláusula sexta de este. Cláusula Primera del Contrato. </w:t>
          </w:r>
        </w:p>
        <w:p w14:paraId="5898A8B3" w14:textId="63B0B3E7" w:rsidR="00274429" w:rsidRPr="009A46BB" w:rsidRDefault="00274429" w:rsidP="4AFEB5DB">
          <w:pPr>
            <w:spacing w:after="0"/>
            <w:jc w:val="both"/>
            <w:rPr>
              <w:rFonts w:ascii="Times New Roman" w:hAnsi="Times New Roman"/>
              <w:sz w:val="24"/>
              <w:szCs w:val="24"/>
            </w:rPr>
          </w:pPr>
          <w:r w:rsidRPr="009A46BB">
            <w:rPr>
              <w:rFonts w:ascii="Times New Roman" w:hAnsi="Times New Roman"/>
              <w:b/>
              <w:sz w:val="24"/>
              <w:szCs w:val="24"/>
            </w:rPr>
            <w:t>Valor inicial:</w:t>
          </w:r>
          <w:r w:rsidR="00F1015C" w:rsidRPr="009A46BB">
            <w:rPr>
              <w:rFonts w:ascii="Times New Roman" w:hAnsi="Times New Roman"/>
              <w:b/>
              <w:sz w:val="24"/>
              <w:szCs w:val="24"/>
            </w:rPr>
            <w:t xml:space="preserve"> </w:t>
          </w:r>
          <w:r w:rsidRPr="009A46BB">
            <w:rPr>
              <w:rFonts w:ascii="Times New Roman" w:hAnsi="Times New Roman"/>
              <w:sz w:val="24"/>
              <w:szCs w:val="24"/>
            </w:rPr>
            <w:t xml:space="preserve">USD $ 394.413,10/ Cláusula sexta / Contrato No 060 de 2004. </w:t>
          </w:r>
        </w:p>
        <w:p w14:paraId="738CC247" w14:textId="465BA7B5" w:rsidR="00274429" w:rsidRPr="009A46BB" w:rsidRDefault="00274429" w:rsidP="4AFEB5DB">
          <w:pPr>
            <w:spacing w:after="0" w:afterAutospacing="1"/>
            <w:jc w:val="both"/>
            <w:rPr>
              <w:rFonts w:ascii="Times New Roman" w:hAnsi="Times New Roman"/>
              <w:sz w:val="24"/>
              <w:szCs w:val="24"/>
            </w:rPr>
          </w:pPr>
          <w:r w:rsidRPr="009A46BB">
            <w:rPr>
              <w:rFonts w:ascii="Times New Roman" w:hAnsi="Times New Roman"/>
              <w:b/>
              <w:sz w:val="24"/>
              <w:szCs w:val="24"/>
            </w:rPr>
            <w:t>Valor del Contrato actualizado:</w:t>
          </w:r>
          <w:r w:rsidRPr="009A46BB">
            <w:rPr>
              <w:rFonts w:ascii="Times New Roman" w:hAnsi="Times New Roman"/>
              <w:sz w:val="24"/>
              <w:szCs w:val="24"/>
            </w:rPr>
            <w:t xml:space="preserve"> Adicionar a la cláusula sexta del Contrato de Concesión una contraprestación por zona de uso público de USD 171.152 /Cláusula cuarta / Otrosí 01 de 2009. </w:t>
          </w:r>
        </w:p>
        <w:p w14:paraId="53B47FAE" w14:textId="652CB84E" w:rsidR="00274429" w:rsidRPr="009A46BB" w:rsidRDefault="00274429" w:rsidP="4AFEB5DB">
          <w:pPr>
            <w:spacing w:afterAutospacing="1"/>
            <w:jc w:val="both"/>
            <w:rPr>
              <w:rFonts w:ascii="Times New Roman" w:hAnsi="Times New Roman"/>
              <w:sz w:val="24"/>
              <w:szCs w:val="24"/>
            </w:rPr>
          </w:pPr>
          <w:r w:rsidRPr="009A46BB">
            <w:rPr>
              <w:rFonts w:ascii="Times New Roman" w:hAnsi="Times New Roman"/>
              <w:b/>
              <w:sz w:val="24"/>
              <w:szCs w:val="24"/>
            </w:rPr>
            <w:t>Fecha de inicio:</w:t>
          </w:r>
          <w:r w:rsidR="00F1015C" w:rsidRPr="009A46BB">
            <w:rPr>
              <w:rFonts w:ascii="Times New Roman" w:hAnsi="Times New Roman"/>
              <w:b/>
              <w:sz w:val="24"/>
              <w:szCs w:val="24"/>
            </w:rPr>
            <w:t xml:space="preserve"> </w:t>
          </w:r>
          <w:r w:rsidRPr="009A46BB">
            <w:rPr>
              <w:rFonts w:ascii="Times New Roman" w:hAnsi="Times New Roman"/>
              <w:sz w:val="24"/>
              <w:szCs w:val="24"/>
            </w:rPr>
            <w:t>5/10/2004</w:t>
          </w:r>
        </w:p>
        <w:p w14:paraId="7E792AC0" w14:textId="5303EFE1" w:rsidR="00274429" w:rsidRPr="009A46BB" w:rsidRDefault="00274429" w:rsidP="4AFEB5DB">
          <w:pPr>
            <w:spacing w:afterAutospacing="1"/>
            <w:jc w:val="both"/>
            <w:rPr>
              <w:rFonts w:ascii="Times New Roman" w:hAnsi="Times New Roman"/>
              <w:sz w:val="24"/>
              <w:szCs w:val="24"/>
            </w:rPr>
          </w:pPr>
          <w:r w:rsidRPr="009A46BB">
            <w:rPr>
              <w:rFonts w:ascii="Times New Roman" w:hAnsi="Times New Roman"/>
              <w:b/>
              <w:sz w:val="24"/>
              <w:szCs w:val="24"/>
            </w:rPr>
            <w:t>Fecha de finalización estimada:</w:t>
          </w:r>
          <w:r w:rsidR="00F1015C" w:rsidRPr="009A46BB">
            <w:rPr>
              <w:rFonts w:ascii="Times New Roman" w:hAnsi="Times New Roman"/>
              <w:b/>
              <w:sz w:val="24"/>
              <w:szCs w:val="24"/>
            </w:rPr>
            <w:t xml:space="preserve"> </w:t>
          </w:r>
          <w:r w:rsidRPr="009A46BB">
            <w:rPr>
              <w:rFonts w:ascii="Times New Roman" w:hAnsi="Times New Roman"/>
              <w:sz w:val="24"/>
              <w:szCs w:val="24"/>
            </w:rPr>
            <w:t>20/06/2024</w:t>
          </w:r>
        </w:p>
        <w:p w14:paraId="404A9538" w14:textId="6844F72B" w:rsidR="00274429" w:rsidRPr="009A46BB" w:rsidRDefault="00274429" w:rsidP="4AFEB5DB">
          <w:pPr>
            <w:spacing w:afterAutospacing="1"/>
            <w:jc w:val="both"/>
            <w:rPr>
              <w:rFonts w:ascii="Times New Roman" w:hAnsi="Times New Roman"/>
              <w:sz w:val="24"/>
              <w:szCs w:val="24"/>
            </w:rPr>
          </w:pPr>
          <w:r w:rsidRPr="009A46BB">
            <w:rPr>
              <w:rFonts w:ascii="Times New Roman" w:hAnsi="Times New Roman"/>
              <w:b/>
              <w:sz w:val="24"/>
              <w:szCs w:val="24"/>
            </w:rPr>
            <w:lastRenderedPageBreak/>
            <w:t>Tipo ID:</w:t>
          </w:r>
          <w:r w:rsidR="00F1015C" w:rsidRPr="009A46BB">
            <w:rPr>
              <w:rFonts w:ascii="Times New Roman" w:hAnsi="Times New Roman"/>
              <w:b/>
              <w:sz w:val="24"/>
              <w:szCs w:val="24"/>
            </w:rPr>
            <w:t xml:space="preserve"> </w:t>
          </w:r>
          <w:r w:rsidRPr="009A46BB">
            <w:rPr>
              <w:rFonts w:ascii="Times New Roman" w:hAnsi="Times New Roman"/>
              <w:sz w:val="24"/>
              <w:szCs w:val="24"/>
            </w:rPr>
            <w:t>NIT</w:t>
          </w:r>
        </w:p>
        <w:p w14:paraId="5007EECE" w14:textId="75C24154" w:rsidR="00274429" w:rsidRPr="009A46BB" w:rsidRDefault="00274429" w:rsidP="4AFEB5DB">
          <w:pPr>
            <w:spacing w:afterAutospacing="1"/>
            <w:jc w:val="both"/>
            <w:rPr>
              <w:rFonts w:ascii="Times New Roman" w:hAnsi="Times New Roman"/>
              <w:sz w:val="24"/>
              <w:szCs w:val="24"/>
            </w:rPr>
          </w:pPr>
          <w:r w:rsidRPr="009A46BB">
            <w:rPr>
              <w:rFonts w:ascii="Times New Roman" w:hAnsi="Times New Roman"/>
              <w:b/>
              <w:sz w:val="24"/>
              <w:szCs w:val="24"/>
            </w:rPr>
            <w:t>Número ID:</w:t>
          </w:r>
          <w:r w:rsidR="00F1015C" w:rsidRPr="009A46BB">
            <w:rPr>
              <w:rFonts w:ascii="Times New Roman" w:hAnsi="Times New Roman"/>
              <w:b/>
              <w:sz w:val="24"/>
              <w:szCs w:val="24"/>
            </w:rPr>
            <w:t xml:space="preserve"> </w:t>
          </w:r>
          <w:r w:rsidRPr="009A46BB">
            <w:rPr>
              <w:rFonts w:ascii="Times New Roman" w:hAnsi="Times New Roman"/>
              <w:sz w:val="24"/>
              <w:szCs w:val="24"/>
            </w:rPr>
            <w:t xml:space="preserve">806.012.654-2 </w:t>
          </w:r>
        </w:p>
        <w:p w14:paraId="39CCDA15" w14:textId="02A5FDDC" w:rsidR="00274429" w:rsidRPr="009A46BB" w:rsidRDefault="00274429" w:rsidP="4AFEB5DB">
          <w:pPr>
            <w:spacing w:afterAutospacing="1"/>
            <w:jc w:val="both"/>
            <w:rPr>
              <w:rFonts w:ascii="Times New Roman" w:hAnsi="Times New Roman"/>
              <w:sz w:val="24"/>
              <w:szCs w:val="24"/>
            </w:rPr>
          </w:pPr>
          <w:r w:rsidRPr="009A46BB">
            <w:rPr>
              <w:rFonts w:ascii="Times New Roman" w:hAnsi="Times New Roman"/>
              <w:b/>
              <w:sz w:val="24"/>
              <w:szCs w:val="24"/>
            </w:rPr>
            <w:t>Razón social del concesionario:</w:t>
          </w:r>
          <w:r w:rsidR="00F1015C" w:rsidRPr="009A46BB">
            <w:rPr>
              <w:rFonts w:ascii="Times New Roman" w:hAnsi="Times New Roman"/>
              <w:b/>
              <w:sz w:val="24"/>
              <w:szCs w:val="24"/>
            </w:rPr>
            <w:t xml:space="preserve"> </w:t>
          </w:r>
          <w:r w:rsidRPr="009A46BB">
            <w:rPr>
              <w:rFonts w:ascii="Times New Roman" w:hAnsi="Times New Roman"/>
              <w:sz w:val="24"/>
              <w:szCs w:val="24"/>
            </w:rPr>
            <w:t>Sociedad Portuaria del Dique S.A.</w:t>
          </w:r>
        </w:p>
        <w:p w14:paraId="124FD443" w14:textId="3508A2C9" w:rsidR="00274429" w:rsidRPr="009A46BB" w:rsidRDefault="00274429" w:rsidP="4AFEB5DB">
          <w:pPr>
            <w:spacing w:afterAutospacing="1"/>
            <w:jc w:val="both"/>
            <w:rPr>
              <w:rFonts w:ascii="Times New Roman" w:hAnsi="Times New Roman"/>
              <w:sz w:val="24"/>
              <w:szCs w:val="24"/>
            </w:rPr>
          </w:pPr>
          <w:r w:rsidRPr="009A46BB">
            <w:rPr>
              <w:rFonts w:ascii="Times New Roman" w:hAnsi="Times New Roman"/>
              <w:b/>
              <w:sz w:val="24"/>
              <w:szCs w:val="24"/>
            </w:rPr>
            <w:t>Nombre del proyecto:</w:t>
          </w:r>
          <w:r w:rsidR="00F1015C" w:rsidRPr="009A46BB">
            <w:rPr>
              <w:rFonts w:ascii="Times New Roman" w:hAnsi="Times New Roman"/>
              <w:b/>
              <w:sz w:val="24"/>
              <w:szCs w:val="24"/>
            </w:rPr>
            <w:t xml:space="preserve"> </w:t>
          </w:r>
          <w:r w:rsidRPr="009A46BB">
            <w:rPr>
              <w:rFonts w:ascii="Times New Roman" w:hAnsi="Times New Roman"/>
              <w:sz w:val="24"/>
              <w:szCs w:val="24"/>
            </w:rPr>
            <w:t>Sociedad Portuaria del Dique S.A.</w:t>
          </w:r>
        </w:p>
        <w:p w14:paraId="095FA3C6" w14:textId="4C9326B7" w:rsidR="4AFEB5DB" w:rsidRDefault="4AFEB5DB" w:rsidP="4AFEB5DB">
          <w:pPr>
            <w:spacing w:afterAutospacing="1"/>
            <w:jc w:val="both"/>
            <w:rPr>
              <w:rFonts w:ascii="Times New Roman" w:hAnsi="Times New Roman"/>
              <w:sz w:val="24"/>
              <w:szCs w:val="24"/>
            </w:rPr>
          </w:pPr>
        </w:p>
        <w:p w14:paraId="1B8ED813" w14:textId="31112776" w:rsidR="00274429" w:rsidRPr="009A46BB" w:rsidRDefault="00274429" w:rsidP="00E60BAB">
          <w:pPr>
            <w:pStyle w:val="Prrafodelista"/>
            <w:numPr>
              <w:ilvl w:val="0"/>
              <w:numId w:val="149"/>
            </w:numPr>
            <w:jc w:val="both"/>
            <w:rPr>
              <w:rFonts w:ascii="Times New Roman" w:hAnsi="Times New Roman"/>
            </w:rPr>
          </w:pPr>
          <w:r w:rsidRPr="009A46BB">
            <w:rPr>
              <w:rFonts w:ascii="Times New Roman" w:hAnsi="Times New Roman"/>
              <w:b/>
              <w:sz w:val="24"/>
              <w:szCs w:val="24"/>
            </w:rPr>
            <w:t xml:space="preserve">Términos significativos del acuerdo que puedan afectar su valor, el calendario y la certeza de los flujos. </w:t>
          </w:r>
        </w:p>
        <w:p w14:paraId="52041131"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Términos de valor:</w:t>
          </w:r>
          <w:r w:rsidRPr="009A46BB">
            <w:rPr>
              <w:rFonts w:ascii="Times New Roman" w:hAnsi="Times New Roman"/>
              <w:b/>
              <w:sz w:val="24"/>
              <w:szCs w:val="24"/>
            </w:rPr>
            <w:tab/>
          </w:r>
        </w:p>
        <w:p w14:paraId="011458CD"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Tarifas:</w:t>
          </w:r>
          <w:r w:rsidRPr="009A46BB">
            <w:rPr>
              <w:rFonts w:ascii="Times New Roman" w:hAnsi="Times New Roman"/>
              <w:sz w:val="24"/>
              <w:szCs w:val="24"/>
            </w:rPr>
            <w:t xml:space="preserve">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 </w:t>
          </w:r>
        </w:p>
        <w:p w14:paraId="049F5557"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Contraprestación portuaria:</w:t>
          </w:r>
          <w:r w:rsidRPr="009A46BB">
            <w:rPr>
              <w:rFonts w:ascii="Times New Roman" w:hAnsi="Times New Roman"/>
              <w:sz w:val="24"/>
              <w:szCs w:val="24"/>
            </w:rPr>
            <w:t xml:space="preserve"> De acuerdo con el último documento contractual vigente la metodología de contraprestación vigente es CONPES 2680 DE 1993 (Productividad). Se establece en la cláusula sexta del del Contrato 060 de 2004 y cláusula Cuarta del Otrosí N 001 de 2009 que el CONCESIONARIO deberá pagar por concepto de zona de uso público la suma anual de USD 61.659 de dicho pago el 80% le corresponde a la Nación Instituto nacional de vías (INVIAS) y el 20% restante al distrito de Cartagena de acuerdo con lo establecido en el parágrafo 1 del artículo 1 de la ley 856 del 21 de diciembre de 2003, que modifica el artículo 7 de la ley 1ª de 1991. Así mismo, por concepto de infraestructura el CONCESIONARIO deberá pagar la suma anual de (USD 7.932), el cual corresponde en un 100% a la Nación - Instituto Nacional de Vías (INVIAS) de acuerdo con lo establecido en el artículo 1 de la ley 856 del 21 diciembre de 2003. </w:t>
          </w:r>
        </w:p>
        <w:p w14:paraId="6F99AC2B"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Plan de Inversiones:</w:t>
          </w:r>
          <w:r w:rsidRPr="009A46BB">
            <w:rPr>
              <w:rFonts w:ascii="Times New Roman" w:hAnsi="Times New Roman"/>
              <w:sz w:val="24"/>
              <w:szCs w:val="24"/>
            </w:rPr>
            <w:t xml:space="preserve"> Está establecido en la cláusula décima cuarta del contrato, modificado por el Otrosí No.001 de 2009 en su cláusula octava, modificada por la cláusula primera del Otrosí No. 002 de 2010, cuyo valor presente neto equivale a USD 299.343 tal como está establecido en la Resolución 1104 de 2017. </w:t>
          </w:r>
        </w:p>
        <w:p w14:paraId="756ED07B"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Obligaciones del CONCESIONARIO:</w:t>
          </w:r>
          <w:r w:rsidRPr="009A46BB">
            <w:rPr>
              <w:rFonts w:ascii="Times New Roman" w:hAnsi="Times New Roman"/>
              <w:sz w:val="24"/>
              <w:szCs w:val="24"/>
            </w:rPr>
            <w:t xml:space="preserve"> se encuentran descritas en la cláusula décima primera y cláusula sexta del Otrosí No 001 de 2009. </w:t>
          </w:r>
        </w:p>
        <w:p w14:paraId="3740FDFD" w14:textId="2759C5E6"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Multas y sanciones:</w:t>
          </w:r>
          <w:r w:rsidRPr="009A46BB">
            <w:rPr>
              <w:rFonts w:ascii="Times New Roman" w:hAnsi="Times New Roman"/>
              <w:sz w:val="24"/>
              <w:szCs w:val="24"/>
            </w:rPr>
            <w:t xml:space="preserve"> están establecidas en la cláusula décima séptima del Contrato 006 de 2004.</w:t>
          </w:r>
        </w:p>
        <w:p w14:paraId="535C9DC3" w14:textId="3A09E0F9"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Penal pecuniario:</w:t>
          </w:r>
          <w:r w:rsidRPr="009A46BB">
            <w:rPr>
              <w:rFonts w:ascii="Times New Roman" w:hAnsi="Times New Roman"/>
              <w:sz w:val="24"/>
              <w:szCs w:val="24"/>
            </w:rPr>
            <w:t xml:space="preserve"> En la cláusula décima octava del Contrato se establece que en el evento en que el INCO declare la caducidad o el incumplimiento del presente contrato, El Concesionario deberá pagar la suma equivalente al 10% del valor total de la contraprestación, como sanción pecuniaria.</w:t>
          </w:r>
        </w:p>
        <w:p w14:paraId="231D2D4A"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lastRenderedPageBreak/>
            <w:t>Términos de calendario:</w:t>
          </w:r>
          <w:r w:rsidRPr="009A46BB">
            <w:rPr>
              <w:rFonts w:ascii="Times New Roman" w:hAnsi="Times New Roman"/>
              <w:b/>
              <w:sz w:val="24"/>
              <w:szCs w:val="24"/>
            </w:rPr>
            <w:tab/>
          </w:r>
        </w:p>
        <w:p w14:paraId="315F357E"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Tarifas:</w:t>
          </w:r>
          <w:r w:rsidRPr="009A46BB">
            <w:rPr>
              <w:rFonts w:ascii="Times New Roman" w:hAnsi="Times New Roman"/>
              <w:sz w:val="24"/>
              <w:szCs w:val="24"/>
            </w:rPr>
            <w:t xml:space="preserve"> Aprobadas según la metodología establecida por la Superintendencia General de Puertos hoy Superintendencia de Transporte. </w:t>
          </w:r>
        </w:p>
        <w:p w14:paraId="2C93F2CC" w14:textId="280870D2"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Contraprestación portuaria:</w:t>
          </w:r>
          <w:r w:rsidRPr="009A46BB">
            <w:rPr>
              <w:rFonts w:ascii="Times New Roman" w:hAnsi="Times New Roman"/>
              <w:sz w:val="24"/>
              <w:szCs w:val="24"/>
            </w:rPr>
            <w:t xml:space="preserve"> la contraprestación se debe pagar de manera anticipada dentro de los cinco (5) días siguientes a la fecha de vencimiento de la anualidad en el mes de octubre.</w:t>
          </w:r>
        </w:p>
        <w:p w14:paraId="42D655A6"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Plan de Inversiones:</w:t>
          </w:r>
          <w:r w:rsidRPr="009A46BB">
            <w:rPr>
              <w:rFonts w:ascii="Times New Roman" w:hAnsi="Times New Roman"/>
              <w:sz w:val="24"/>
              <w:szCs w:val="24"/>
            </w:rPr>
            <w:t xml:space="preserve"> Está establecido en la cláusula décima cuarta del contrato, modificado por el Otrosí No.001 de 2009 en su cláusula octava, modificada por la cláusula primera del Otrosí No. 002 de 2010, cuyo valor presente neto equivale a USD 299.343 tal como está establecido en la Resolución 1104 de 2017. </w:t>
          </w:r>
        </w:p>
        <w:p w14:paraId="33A09D78" w14:textId="66DD0340"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Multas:</w:t>
          </w:r>
          <w:r w:rsidRPr="009A46BB">
            <w:rPr>
              <w:rFonts w:ascii="Times New Roman" w:hAnsi="Times New Roman"/>
              <w:sz w:val="24"/>
              <w:szCs w:val="24"/>
            </w:rPr>
            <w:t xml:space="preserve"> Cláusula décima séptima del Contrato 006 de 2004.</w:t>
          </w:r>
        </w:p>
        <w:p w14:paraId="33C5C81B"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Términos de certeza de flujos de efectivo futuros:</w:t>
          </w:r>
        </w:p>
        <w:p w14:paraId="459A8089" w14:textId="47D29BB8"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Se permite al CONCESIONARIO para ocupar y utilizar en forma temporal y exclusiva los bienes pertenecientes a la Nación determinados en la Cláusula segunda del presente contrato, ubicados en el Distrito de Cartagena de Indias, departamento de Bolívar, destinados al manejo de carga general, a granel y en contenedores, por el tiempo de ejecución estipulado, a cambio de la contraprestación establecida en la Cláusula sexta de esta de este.</w:t>
          </w:r>
        </w:p>
        <w:p w14:paraId="5341E19C"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 xml:space="preserve">En la Cláusula sexta, el valor a pagar por concepto de contraprestación por Zona de Uso público el 80% le corresponde a la Nación-INVIAS y el 20 % al Distrito turístico de Cartagena de Indias de conformidad con lo establecido en la Ley 856 del 21 de diciembre de 2003 y por Infraestructura el 100% a la Nación-INVIAS. </w:t>
          </w:r>
        </w:p>
        <w:p w14:paraId="2178EF59" w14:textId="19F69313" w:rsidR="00274429" w:rsidRPr="009A46BB" w:rsidRDefault="00274429" w:rsidP="00E60BAB">
          <w:pPr>
            <w:pStyle w:val="Prrafodelista"/>
            <w:numPr>
              <w:ilvl w:val="0"/>
              <w:numId w:val="149"/>
            </w:numPr>
            <w:jc w:val="both"/>
            <w:rPr>
              <w:rFonts w:ascii="Times New Roman" w:hAnsi="Times New Roman"/>
              <w:b/>
            </w:rPr>
          </w:pPr>
          <w:r w:rsidRPr="009A46BB">
            <w:rPr>
              <w:rFonts w:ascii="Times New Roman" w:hAnsi="Times New Roman"/>
              <w:b/>
              <w:sz w:val="24"/>
              <w:szCs w:val="24"/>
            </w:rPr>
            <w:t xml:space="preserve">Naturaleza y alcance del derecho a utilizar activos especificados, de los aspectos pactados en torno a lo que se espera que el concesionario proporcione en relación con el acuerdo de concesión. </w:t>
          </w:r>
        </w:p>
        <w:p w14:paraId="3782DC5C"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Naturaleza y alcance del derecho de uso de los activos</w:t>
          </w:r>
        </w:p>
        <w:p w14:paraId="324C83A6"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 xml:space="preserve">Descripción: </w:t>
          </w:r>
          <w:r w:rsidRPr="009A46BB">
            <w:rPr>
              <w:rFonts w:ascii="Times New Roman" w:hAnsi="Times New Roman"/>
              <w:sz w:val="24"/>
              <w:szCs w:val="24"/>
            </w:rPr>
            <w:t xml:space="preserve">las condiciones especiales de operación del puerto están establecidas en la cláusula quinta. </w:t>
          </w:r>
        </w:p>
        <w:p w14:paraId="3C63430F"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Área entregada en concesión:</w:t>
          </w:r>
          <w:r w:rsidRPr="009A46BB">
            <w:rPr>
              <w:rFonts w:ascii="Times New Roman" w:hAnsi="Times New Roman"/>
              <w:sz w:val="24"/>
              <w:szCs w:val="24"/>
            </w:rPr>
            <w:t xml:space="preserve"> La descripción de la ubicación, linderos y extensión de los bienes de uso público (playas y terrenos de baja mar, zonas marítimas accesorias de maniobras) entregados en concesión están establecidos en la cláusula segunda. </w:t>
          </w:r>
        </w:p>
        <w:p w14:paraId="4710626D"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Infraestructura y equipos entregados en concesión:</w:t>
          </w:r>
          <w:r w:rsidRPr="009A46BB">
            <w:rPr>
              <w:rFonts w:ascii="Times New Roman" w:hAnsi="Times New Roman"/>
              <w:sz w:val="24"/>
              <w:szCs w:val="24"/>
            </w:rPr>
            <w:t xml:space="preserve"> En la cláusula segunda del Contrato, se describe que lo entregado en concesión fue: </w:t>
          </w:r>
        </w:p>
        <w:p w14:paraId="5A9CD07B"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Infraestructura:</w:t>
          </w:r>
          <w:r w:rsidRPr="009A46BB">
            <w:rPr>
              <w:rFonts w:ascii="Times New Roman" w:hAnsi="Times New Roman"/>
              <w:sz w:val="24"/>
              <w:szCs w:val="24"/>
            </w:rPr>
            <w:t xml:space="preserve"> Muelle marginal construido en tablestacas de concreto y reforzado con tablestacado en acero. / Construcción de viga y Bita de amarre.</w:t>
          </w:r>
        </w:p>
        <w:p w14:paraId="4CF6D334"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Retribución al concesionario</w:t>
          </w:r>
        </w:p>
        <w:p w14:paraId="34114789" w14:textId="75ACCA24"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w:t>
          </w:r>
          <w:r w:rsidRPr="009A46BB">
            <w:rPr>
              <w:rFonts w:ascii="Times New Roman" w:hAnsi="Times New Roman"/>
              <w:sz w:val="24"/>
              <w:szCs w:val="24"/>
            </w:rPr>
            <w:t xml:space="preserve"> Se permite al CONCESIONARIO para ocupar y utilizar en forma temporal y exclusiva los bienes pertenecientes a la Nación determinados en la Cláusula segunda del </w:t>
          </w:r>
          <w:r w:rsidRPr="009A46BB">
            <w:rPr>
              <w:rFonts w:ascii="Times New Roman" w:hAnsi="Times New Roman"/>
              <w:sz w:val="24"/>
              <w:szCs w:val="24"/>
            </w:rPr>
            <w:lastRenderedPageBreak/>
            <w:t>presente contrato, ubicados en el Distrito de Cartagena de Indias, departamento de Bolívar, destinados al manejo de carga general, a granel y en contenedores, por el tiempo de ejecución estipulado, a cambio de la contraprestación establecida en la Cláusula sexta de esta de este.</w:t>
          </w:r>
        </w:p>
        <w:p w14:paraId="15F21DDA"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Tasa de retribución:</w:t>
          </w:r>
          <w:r w:rsidRPr="009A46BB">
            <w:rPr>
              <w:rFonts w:ascii="Times New Roman" w:hAnsi="Times New Roman"/>
              <w:sz w:val="24"/>
              <w:szCs w:val="24"/>
            </w:rPr>
            <w:tab/>
            <w:t>N/A</w:t>
          </w:r>
        </w:p>
        <w:p w14:paraId="046FE7D3" w14:textId="264F1461" w:rsidR="00274429" w:rsidRPr="009A46BB" w:rsidRDefault="00274429" w:rsidP="00E60BAB">
          <w:pPr>
            <w:pStyle w:val="Prrafodelista"/>
            <w:numPr>
              <w:ilvl w:val="0"/>
              <w:numId w:val="168"/>
            </w:numPr>
            <w:jc w:val="both"/>
            <w:rPr>
              <w:rFonts w:ascii="Times New Roman" w:hAnsi="Times New Roman"/>
              <w:b/>
            </w:rPr>
          </w:pPr>
          <w:r w:rsidRPr="009A46BB">
            <w:rPr>
              <w:rFonts w:ascii="Times New Roman" w:hAnsi="Times New Roman"/>
              <w:b/>
              <w:sz w:val="24"/>
              <w:szCs w:val="24"/>
            </w:rPr>
            <w:t>Derechos a recibir activos especificados al final del acuerdo de concesión</w:t>
          </w:r>
        </w:p>
        <w:p w14:paraId="541D42E6"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w:t>
          </w:r>
          <w:r w:rsidRPr="009A46BB">
            <w:rPr>
              <w:rFonts w:ascii="Times New Roman" w:hAnsi="Times New Roman"/>
              <w:sz w:val="24"/>
              <w:szCs w:val="24"/>
            </w:rPr>
            <w:tab/>
            <w:t>De acuerdo con el Artículo 8º de la Ley 1 de 1991 en el modo portuario el concesionario no tiene derechos finales sobre activos los debe revertir a la Nación al final del contrato de concesión.</w:t>
          </w:r>
        </w:p>
        <w:p w14:paraId="019C42B5"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Observaciones:</w:t>
          </w:r>
          <w:r w:rsidRPr="009A46BB">
            <w:rPr>
              <w:rFonts w:ascii="Times New Roman" w:hAnsi="Times New Roman"/>
              <w:b/>
              <w:sz w:val="24"/>
              <w:szCs w:val="24"/>
            </w:rPr>
            <w:tab/>
          </w:r>
        </w:p>
        <w:p w14:paraId="62B7C25D"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 xml:space="preserve">Reversión: </w:t>
          </w:r>
          <w:r w:rsidRPr="009A46BB">
            <w:rPr>
              <w:rFonts w:ascii="Times New Roman" w:hAnsi="Times New Roman"/>
              <w:sz w:val="24"/>
              <w:szCs w:val="24"/>
            </w:rPr>
            <w:t xml:space="preserve">De acuerdo con lo establecido en la cláusula novena, la zona de uso público y todas las construcciones (obras e inversiones) que se encuentren habitualmente instaladas sobre aquélla, otorgadas en concesión en virtud del presente contrato, o que sean ejecutadas dentro del plazo del mismo y los inmuebles por destinación (equipos e| inversiones) afectos a la operación del muelle revertirán a la Nación, en buenas condiciones de operación tecnológica y de adecuada eficiencia al término de este contrato. Igualmente, procederá la reversión al ser declarada la caducidad o la terminación unilateral. Al efecto el Concesionario deberá en el momento de la reversión hacer entrega de un avalúo comercial actualizado y valoración técnica de las condiciones de operación de la infraestructura portuaria y equipos e inmuebles por destinación que habitualmente se encuentren instalados en las zonas de uso público que se revierten y que son de propiedad de la Nación. </w:t>
          </w:r>
        </w:p>
        <w:p w14:paraId="3EA854DC"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 xml:space="preserve">Para tal fin, en el momento de la reversión el CONCESIONARIO elaborará un inventario de los bienes y los enviará para su revisión y aprobación. </w:t>
          </w:r>
        </w:p>
        <w:p w14:paraId="5ACC5084"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 xml:space="preserve">La ANI es la entidad concedente pero la titularidad de los activos al final de la concesión es del Instituto Nacional de Vías INVIAS. </w:t>
          </w:r>
        </w:p>
        <w:p w14:paraId="6B39B490" w14:textId="4BB368A7" w:rsidR="00274429" w:rsidRPr="009A46BB" w:rsidRDefault="00274429" w:rsidP="00E60BAB">
          <w:pPr>
            <w:pStyle w:val="Prrafodelista"/>
            <w:numPr>
              <w:ilvl w:val="0"/>
              <w:numId w:val="168"/>
            </w:numPr>
            <w:jc w:val="both"/>
            <w:rPr>
              <w:rFonts w:ascii="Times New Roman" w:hAnsi="Times New Roman"/>
              <w:b/>
            </w:rPr>
          </w:pPr>
          <w:r w:rsidRPr="009A46BB">
            <w:rPr>
              <w:rFonts w:ascii="Times New Roman" w:hAnsi="Times New Roman"/>
              <w:b/>
              <w:sz w:val="24"/>
              <w:szCs w:val="24"/>
            </w:rPr>
            <w:t>Cambios en el acuerdo de concesión que se realicen durante el periodo fiscal</w:t>
          </w:r>
        </w:p>
        <w:p w14:paraId="1FD0E5A3" w14:textId="77777777" w:rsidR="00274429" w:rsidRPr="009A46BB" w:rsidRDefault="00274429" w:rsidP="0EAED656">
          <w:pPr>
            <w:spacing w:after="0"/>
            <w:jc w:val="both"/>
            <w:rPr>
              <w:rFonts w:ascii="Times New Roman" w:hAnsi="Times New Roman"/>
              <w:sz w:val="24"/>
              <w:szCs w:val="24"/>
            </w:rPr>
          </w:pPr>
          <w:r w:rsidRPr="009A46BB">
            <w:rPr>
              <w:rFonts w:ascii="Times New Roman" w:hAnsi="Times New Roman"/>
              <w:b/>
              <w:sz w:val="24"/>
              <w:szCs w:val="24"/>
            </w:rPr>
            <w:t xml:space="preserve">Adiciones o modificaciones en tiempo: </w:t>
          </w:r>
          <w:r w:rsidRPr="009A46BB">
            <w:rPr>
              <w:rFonts w:ascii="Times New Roman" w:hAnsi="Times New Roman"/>
              <w:sz w:val="24"/>
              <w:szCs w:val="24"/>
            </w:rPr>
            <w:t>N/A</w:t>
          </w:r>
        </w:p>
        <w:p w14:paraId="2C06524B" w14:textId="2ED37903" w:rsidR="00274429" w:rsidRPr="009A46BB" w:rsidRDefault="00274429" w:rsidP="0EAED656">
          <w:pPr>
            <w:spacing w:after="0"/>
            <w:jc w:val="both"/>
            <w:rPr>
              <w:rFonts w:ascii="Times New Roman" w:hAnsi="Times New Roman"/>
              <w:b/>
              <w:sz w:val="24"/>
              <w:szCs w:val="24"/>
            </w:rPr>
          </w:pPr>
          <w:r w:rsidRPr="009A46BB">
            <w:rPr>
              <w:rFonts w:ascii="Times New Roman" w:hAnsi="Times New Roman"/>
              <w:b/>
              <w:sz w:val="24"/>
              <w:szCs w:val="24"/>
            </w:rPr>
            <w:t>Adiciones o modificaciones en valor</w:t>
          </w:r>
        </w:p>
        <w:p w14:paraId="6B5CACF8" w14:textId="5CC17B18" w:rsidR="00274429" w:rsidRPr="009A46BB" w:rsidRDefault="00274429" w:rsidP="0EAED656">
          <w:pPr>
            <w:spacing w:after="0"/>
            <w:jc w:val="both"/>
            <w:rPr>
              <w:rFonts w:ascii="Times New Roman" w:hAnsi="Times New Roman"/>
              <w:sz w:val="24"/>
              <w:szCs w:val="24"/>
            </w:rPr>
          </w:pPr>
          <w:r w:rsidRPr="009A46BB">
            <w:rPr>
              <w:rFonts w:ascii="Times New Roman" w:hAnsi="Times New Roman"/>
              <w:b/>
              <w:sz w:val="24"/>
              <w:szCs w:val="24"/>
            </w:rPr>
            <w:t>Valor de la adición o modificación</w:t>
          </w:r>
          <w:r w:rsidR="00F1015C" w:rsidRPr="009A46BB">
            <w:rPr>
              <w:rFonts w:ascii="Times New Roman" w:hAnsi="Times New Roman"/>
              <w:b/>
              <w:sz w:val="24"/>
              <w:szCs w:val="24"/>
            </w:rPr>
            <w:t xml:space="preserve">: </w:t>
          </w:r>
          <w:r w:rsidRPr="009A46BB">
            <w:rPr>
              <w:rFonts w:ascii="Times New Roman" w:hAnsi="Times New Roman"/>
              <w:sz w:val="24"/>
              <w:szCs w:val="24"/>
            </w:rPr>
            <w:t>USD171.152</w:t>
          </w:r>
        </w:p>
        <w:p w14:paraId="7801F227" w14:textId="0C72BA66" w:rsidR="00274429" w:rsidRPr="009A46BB" w:rsidRDefault="00274429" w:rsidP="0EAED656">
          <w:pPr>
            <w:spacing w:after="0"/>
            <w:jc w:val="both"/>
            <w:rPr>
              <w:rFonts w:ascii="Times New Roman" w:hAnsi="Times New Roman"/>
              <w:sz w:val="24"/>
              <w:szCs w:val="24"/>
            </w:rPr>
          </w:pPr>
          <w:r w:rsidRPr="009A46BB">
            <w:rPr>
              <w:rFonts w:ascii="Times New Roman" w:hAnsi="Times New Roman"/>
              <w:b/>
              <w:sz w:val="24"/>
              <w:szCs w:val="24"/>
            </w:rPr>
            <w:t>Nuevo valor del acuerdo</w:t>
          </w:r>
          <w:r w:rsidR="00F1015C" w:rsidRPr="009A46BB">
            <w:rPr>
              <w:rFonts w:ascii="Times New Roman" w:hAnsi="Times New Roman"/>
              <w:b/>
              <w:sz w:val="24"/>
              <w:szCs w:val="24"/>
            </w:rPr>
            <w:t xml:space="preserve">: </w:t>
          </w:r>
          <w:r w:rsidRPr="009A46BB">
            <w:rPr>
              <w:rFonts w:ascii="Times New Roman" w:hAnsi="Times New Roman"/>
              <w:sz w:val="24"/>
              <w:szCs w:val="24"/>
            </w:rPr>
            <w:t>USD171.152</w:t>
          </w:r>
        </w:p>
        <w:p w14:paraId="706BD3EA" w14:textId="7162D2D9" w:rsidR="00274429" w:rsidRPr="009A46BB" w:rsidRDefault="00274429" w:rsidP="0EAED656">
          <w:pPr>
            <w:spacing w:after="0"/>
            <w:jc w:val="both"/>
            <w:rPr>
              <w:rFonts w:ascii="Times New Roman" w:hAnsi="Times New Roman"/>
              <w:sz w:val="24"/>
              <w:szCs w:val="24"/>
            </w:rPr>
          </w:pPr>
          <w:r w:rsidRPr="009A46BB">
            <w:rPr>
              <w:rFonts w:ascii="Times New Roman" w:hAnsi="Times New Roman"/>
              <w:b/>
              <w:sz w:val="24"/>
              <w:szCs w:val="24"/>
            </w:rPr>
            <w:t>Observaciones</w:t>
          </w:r>
          <w:r w:rsidR="00F1015C" w:rsidRPr="009A46BB">
            <w:rPr>
              <w:rFonts w:ascii="Times New Roman" w:hAnsi="Times New Roman"/>
              <w:b/>
              <w:sz w:val="24"/>
              <w:szCs w:val="24"/>
            </w:rPr>
            <w:t xml:space="preserve">: </w:t>
          </w:r>
          <w:r w:rsidRPr="009A46BB">
            <w:rPr>
              <w:rFonts w:ascii="Times New Roman" w:hAnsi="Times New Roman"/>
              <w:sz w:val="24"/>
              <w:szCs w:val="24"/>
            </w:rPr>
            <w:t xml:space="preserve">Adición al valor de la contraprestación cláusula cuarta Otrosí No 001 de 2009 </w:t>
          </w:r>
        </w:p>
        <w:p w14:paraId="67F15ED9" w14:textId="43C7CCD3" w:rsidR="00274429" w:rsidRPr="009A46BB" w:rsidRDefault="00274429" w:rsidP="0EAED656">
          <w:pPr>
            <w:spacing w:after="0"/>
            <w:jc w:val="both"/>
            <w:rPr>
              <w:rFonts w:ascii="Times New Roman" w:hAnsi="Times New Roman"/>
              <w:sz w:val="24"/>
              <w:szCs w:val="24"/>
            </w:rPr>
          </w:pPr>
          <w:r w:rsidRPr="009A46BB">
            <w:rPr>
              <w:rFonts w:ascii="Times New Roman" w:hAnsi="Times New Roman"/>
              <w:b/>
              <w:sz w:val="24"/>
              <w:szCs w:val="24"/>
            </w:rPr>
            <w:t>Valor de la adición o modificación</w:t>
          </w:r>
          <w:r w:rsidR="00F1015C" w:rsidRPr="009A46BB">
            <w:rPr>
              <w:rFonts w:ascii="Times New Roman" w:hAnsi="Times New Roman"/>
              <w:b/>
              <w:sz w:val="24"/>
              <w:szCs w:val="24"/>
            </w:rPr>
            <w:t xml:space="preserve">: </w:t>
          </w:r>
          <w:r w:rsidRPr="009A46BB">
            <w:rPr>
              <w:rFonts w:ascii="Times New Roman" w:hAnsi="Times New Roman"/>
              <w:sz w:val="24"/>
              <w:szCs w:val="24"/>
            </w:rPr>
            <w:t>USD 448.715</w:t>
          </w:r>
        </w:p>
        <w:p w14:paraId="2B4FE030" w14:textId="18481FB0" w:rsidR="00274429" w:rsidRPr="009A46BB" w:rsidRDefault="00274429" w:rsidP="0EAED656">
          <w:pPr>
            <w:spacing w:after="0"/>
            <w:jc w:val="both"/>
            <w:rPr>
              <w:rFonts w:ascii="Times New Roman" w:hAnsi="Times New Roman"/>
              <w:sz w:val="24"/>
              <w:szCs w:val="24"/>
            </w:rPr>
          </w:pPr>
          <w:r w:rsidRPr="009A46BB">
            <w:rPr>
              <w:rFonts w:ascii="Times New Roman" w:hAnsi="Times New Roman"/>
              <w:b/>
              <w:sz w:val="24"/>
              <w:szCs w:val="24"/>
            </w:rPr>
            <w:t>Nuevo valor del acuerdo</w:t>
          </w:r>
          <w:r w:rsidR="00F1015C" w:rsidRPr="009A46BB">
            <w:rPr>
              <w:rFonts w:ascii="Times New Roman" w:hAnsi="Times New Roman"/>
              <w:b/>
              <w:sz w:val="24"/>
              <w:szCs w:val="24"/>
            </w:rPr>
            <w:t xml:space="preserve">: </w:t>
          </w:r>
          <w:r w:rsidRPr="009A46BB">
            <w:rPr>
              <w:rFonts w:ascii="Times New Roman" w:hAnsi="Times New Roman"/>
              <w:sz w:val="24"/>
              <w:szCs w:val="24"/>
            </w:rPr>
            <w:t>USD 448.715</w:t>
          </w:r>
        </w:p>
        <w:p w14:paraId="0204B7E7" w14:textId="73B41511" w:rsidR="00274429" w:rsidRPr="009A46BB" w:rsidRDefault="00274429" w:rsidP="0EAED656">
          <w:pPr>
            <w:spacing w:after="0"/>
            <w:jc w:val="both"/>
            <w:rPr>
              <w:rFonts w:ascii="Times New Roman" w:hAnsi="Times New Roman"/>
              <w:sz w:val="24"/>
              <w:szCs w:val="24"/>
            </w:rPr>
          </w:pPr>
          <w:r w:rsidRPr="009A46BB">
            <w:rPr>
              <w:rFonts w:ascii="Times New Roman" w:hAnsi="Times New Roman"/>
              <w:b/>
              <w:sz w:val="24"/>
              <w:szCs w:val="24"/>
            </w:rPr>
            <w:t>Observaciones</w:t>
          </w:r>
          <w:r w:rsidR="00F1015C" w:rsidRPr="009A46BB">
            <w:rPr>
              <w:rFonts w:ascii="Times New Roman" w:hAnsi="Times New Roman"/>
              <w:b/>
              <w:sz w:val="24"/>
              <w:szCs w:val="24"/>
            </w:rPr>
            <w:t xml:space="preserve">: </w:t>
          </w:r>
          <w:r w:rsidRPr="009A46BB">
            <w:rPr>
              <w:rFonts w:ascii="Times New Roman" w:hAnsi="Times New Roman"/>
              <w:sz w:val="24"/>
              <w:szCs w:val="24"/>
            </w:rPr>
            <w:t xml:space="preserve">Corresponde al valor del Plan de Inversiones adicional del Otrosí No. 001 de 2009. </w:t>
          </w:r>
        </w:p>
        <w:p w14:paraId="0A0FDC95" w14:textId="77777777" w:rsidR="00274429" w:rsidRPr="009A46BB" w:rsidRDefault="00274429" w:rsidP="00274429">
          <w:pPr>
            <w:jc w:val="both"/>
            <w:rPr>
              <w:rFonts w:ascii="Times New Roman" w:hAnsi="Times New Roman"/>
              <w:sz w:val="24"/>
              <w:szCs w:val="24"/>
            </w:rPr>
          </w:pPr>
        </w:p>
        <w:p w14:paraId="1D8DF46F" w14:textId="1FB7F097" w:rsidR="00274429" w:rsidRPr="009A46BB" w:rsidRDefault="00F1015C" w:rsidP="00F1015C">
          <w:pPr>
            <w:spacing w:line="259" w:lineRule="auto"/>
            <w:jc w:val="both"/>
            <w:rPr>
              <w:rFonts w:ascii="Times New Roman" w:hAnsi="Times New Roman"/>
              <w:b/>
              <w:sz w:val="24"/>
              <w:szCs w:val="24"/>
            </w:rPr>
          </w:pPr>
          <w:r w:rsidRPr="009A46BB">
            <w:rPr>
              <w:rFonts w:ascii="Times New Roman" w:hAnsi="Times New Roman"/>
              <w:b/>
              <w:sz w:val="24"/>
              <w:szCs w:val="24"/>
            </w:rPr>
            <w:t>SOCIEDAD PORTUARIA PUERTO DE MAMONAL S.A</w:t>
          </w:r>
        </w:p>
        <w:p w14:paraId="5F3FE9B1" w14:textId="3D3519D5" w:rsidR="00274429" w:rsidRPr="009A46BB" w:rsidRDefault="00274429" w:rsidP="00E60BAB">
          <w:pPr>
            <w:pStyle w:val="Prrafodelista"/>
            <w:numPr>
              <w:ilvl w:val="0"/>
              <w:numId w:val="169"/>
            </w:numPr>
            <w:jc w:val="both"/>
            <w:rPr>
              <w:rFonts w:ascii="Times New Roman" w:hAnsi="Times New Roman"/>
              <w:b/>
            </w:rPr>
          </w:pPr>
          <w:r w:rsidRPr="009A46BB">
            <w:rPr>
              <w:rFonts w:ascii="Times New Roman" w:hAnsi="Times New Roman"/>
              <w:b/>
              <w:sz w:val="24"/>
              <w:szCs w:val="24"/>
            </w:rPr>
            <w:t>Descripción del acuerdo</w:t>
          </w:r>
        </w:p>
        <w:p w14:paraId="21E6CFD4" w14:textId="339DE48A" w:rsidR="00274429" w:rsidRPr="009A46BB" w:rsidRDefault="00274429" w:rsidP="3CE1B775">
          <w:pPr>
            <w:spacing w:after="0"/>
            <w:jc w:val="both"/>
            <w:rPr>
              <w:rFonts w:ascii="Times New Roman" w:hAnsi="Times New Roman"/>
              <w:sz w:val="24"/>
              <w:szCs w:val="24"/>
            </w:rPr>
          </w:pPr>
          <w:r w:rsidRPr="009A46BB">
            <w:rPr>
              <w:rFonts w:ascii="Times New Roman" w:hAnsi="Times New Roman"/>
              <w:b/>
              <w:sz w:val="24"/>
              <w:szCs w:val="24"/>
            </w:rPr>
            <w:lastRenderedPageBreak/>
            <w:t>Número del acuerdo de concesión:</w:t>
          </w:r>
          <w:r w:rsidR="007E6CBB" w:rsidRPr="009A46BB">
            <w:rPr>
              <w:rFonts w:ascii="Times New Roman" w:hAnsi="Times New Roman"/>
              <w:b/>
              <w:sz w:val="24"/>
              <w:szCs w:val="24"/>
            </w:rPr>
            <w:t xml:space="preserve"> </w:t>
          </w:r>
          <w:r w:rsidRPr="009A46BB">
            <w:rPr>
              <w:rFonts w:ascii="Times New Roman" w:hAnsi="Times New Roman"/>
              <w:sz w:val="24"/>
              <w:szCs w:val="24"/>
            </w:rPr>
            <w:t>Contrato de Concesión Portuario No. 088 de 2004.</w:t>
          </w:r>
        </w:p>
        <w:p w14:paraId="0ACC6AD2" w14:textId="77382066" w:rsidR="00274429" w:rsidRPr="009A46BB" w:rsidRDefault="00274429" w:rsidP="3CE1B775">
          <w:pPr>
            <w:spacing w:after="0"/>
            <w:jc w:val="both"/>
            <w:rPr>
              <w:rFonts w:ascii="Times New Roman" w:hAnsi="Times New Roman"/>
              <w:sz w:val="24"/>
              <w:szCs w:val="24"/>
            </w:rPr>
          </w:pPr>
          <w:r w:rsidRPr="009A46BB">
            <w:rPr>
              <w:rFonts w:ascii="Times New Roman" w:hAnsi="Times New Roman"/>
              <w:b/>
              <w:sz w:val="24"/>
              <w:szCs w:val="24"/>
            </w:rPr>
            <w:t>Objeto / Descripción:</w:t>
          </w:r>
          <w:r w:rsidR="007E6CBB" w:rsidRPr="009A46BB">
            <w:rPr>
              <w:rFonts w:ascii="Times New Roman" w:hAnsi="Times New Roman"/>
              <w:b/>
              <w:sz w:val="24"/>
              <w:szCs w:val="24"/>
            </w:rPr>
            <w:t xml:space="preserve"> </w:t>
          </w:r>
          <w:r w:rsidRPr="009A46BB">
            <w:rPr>
              <w:rFonts w:ascii="Times New Roman" w:hAnsi="Times New Roman"/>
              <w:sz w:val="24"/>
              <w:szCs w:val="24"/>
            </w:rPr>
            <w:t>La Agencia Nacional de Infraestructura, en virtud del presente contrato, otorga formalmente una Concesión Portuaria a la Sociedad Portuaria Puerto de Mamonal S.A., para ocupar y utilizar en forma temporal y exclusiva los bienes pertenecientes a la Nación determinados en la Clausula Segunda del presente Contrato, ubicados en el Distrito de Cartagena de Indias, departamento de Bolívar, destinados a la construcción, mantenimiento, administración y operación de un puerto de servicio público para comercio interior y exterior, destinado al manejo de carbones, coques, petcoques, graneles sólidos, minerales, clinker, abonos y alimentos entre otros, graneles líquidos, carga general, carga suelta, combustibles-hidrocarburos y contenedores, por el tiempo estimado, a cambio de la Contraprestación establecida en la Cláusula Séptima de éste, conforme lo establece la Cláusula primera del Otrosí No. 01 del 13 de noviembre de 2012.</w:t>
          </w:r>
        </w:p>
        <w:p w14:paraId="01568107" w14:textId="0CC77CC0" w:rsidR="00274429" w:rsidRPr="009A46BB" w:rsidRDefault="00274429" w:rsidP="3CE1B775">
          <w:pPr>
            <w:spacing w:after="0"/>
            <w:jc w:val="both"/>
            <w:rPr>
              <w:rFonts w:ascii="Times New Roman" w:hAnsi="Times New Roman"/>
              <w:sz w:val="24"/>
              <w:szCs w:val="24"/>
            </w:rPr>
          </w:pPr>
          <w:r w:rsidRPr="009A46BB">
            <w:rPr>
              <w:rFonts w:ascii="Times New Roman" w:hAnsi="Times New Roman"/>
              <w:b/>
              <w:sz w:val="24"/>
              <w:szCs w:val="24"/>
            </w:rPr>
            <w:t>Valor inicial:</w:t>
          </w:r>
          <w:r w:rsidR="007E6CBB" w:rsidRPr="009A46BB">
            <w:rPr>
              <w:rFonts w:ascii="Times New Roman" w:hAnsi="Times New Roman"/>
              <w:b/>
              <w:sz w:val="24"/>
              <w:szCs w:val="24"/>
            </w:rPr>
            <w:t xml:space="preserve"> </w:t>
          </w:r>
          <w:r w:rsidRPr="009A46BB">
            <w:rPr>
              <w:rFonts w:ascii="Times New Roman" w:hAnsi="Times New Roman"/>
              <w:sz w:val="24"/>
              <w:szCs w:val="24"/>
            </w:rPr>
            <w:t>USD $ 77.698,50 / Cláusula Sexta / Contrato No.088 de 2004.</w:t>
          </w:r>
        </w:p>
        <w:p w14:paraId="23F3AC23" w14:textId="3ADB7FD2" w:rsidR="00274429" w:rsidRPr="009A46BB" w:rsidRDefault="00274429" w:rsidP="3CE1B775">
          <w:pPr>
            <w:spacing w:after="0"/>
            <w:jc w:val="both"/>
            <w:rPr>
              <w:rFonts w:ascii="Times New Roman" w:hAnsi="Times New Roman"/>
              <w:sz w:val="24"/>
              <w:szCs w:val="24"/>
            </w:rPr>
          </w:pPr>
          <w:r w:rsidRPr="009A46BB">
            <w:rPr>
              <w:rFonts w:ascii="Times New Roman" w:hAnsi="Times New Roman"/>
              <w:b/>
              <w:sz w:val="24"/>
              <w:szCs w:val="24"/>
            </w:rPr>
            <w:t>Fecha de inicio:</w:t>
          </w:r>
          <w:r w:rsidR="007E6CBB" w:rsidRPr="009A46BB">
            <w:rPr>
              <w:rFonts w:ascii="Times New Roman" w:hAnsi="Times New Roman"/>
              <w:b/>
              <w:sz w:val="24"/>
              <w:szCs w:val="24"/>
            </w:rPr>
            <w:t xml:space="preserve"> </w:t>
          </w:r>
          <w:r w:rsidRPr="009A46BB">
            <w:rPr>
              <w:rFonts w:ascii="Times New Roman" w:hAnsi="Times New Roman"/>
              <w:sz w:val="24"/>
              <w:szCs w:val="24"/>
            </w:rPr>
            <w:t>22/12/2004</w:t>
          </w:r>
        </w:p>
        <w:p w14:paraId="10EF872A" w14:textId="2916C923" w:rsidR="00274429" w:rsidRPr="009A46BB" w:rsidRDefault="00274429" w:rsidP="3CE1B775">
          <w:pPr>
            <w:spacing w:after="0"/>
            <w:jc w:val="both"/>
            <w:rPr>
              <w:rFonts w:ascii="Times New Roman" w:hAnsi="Times New Roman"/>
              <w:sz w:val="24"/>
              <w:szCs w:val="24"/>
            </w:rPr>
          </w:pPr>
          <w:r w:rsidRPr="009A46BB">
            <w:rPr>
              <w:rFonts w:ascii="Times New Roman" w:hAnsi="Times New Roman"/>
              <w:b/>
              <w:sz w:val="24"/>
              <w:szCs w:val="24"/>
            </w:rPr>
            <w:t>Fecha de finalización estimada:</w:t>
          </w:r>
          <w:r w:rsidR="007E6CBB" w:rsidRPr="009A46BB">
            <w:rPr>
              <w:rFonts w:ascii="Times New Roman" w:hAnsi="Times New Roman"/>
              <w:b/>
              <w:sz w:val="24"/>
              <w:szCs w:val="24"/>
            </w:rPr>
            <w:t xml:space="preserve"> </w:t>
          </w:r>
          <w:r w:rsidRPr="009A46BB">
            <w:rPr>
              <w:rFonts w:ascii="Times New Roman" w:hAnsi="Times New Roman"/>
              <w:sz w:val="24"/>
              <w:szCs w:val="24"/>
            </w:rPr>
            <w:t>21/12/2034</w:t>
          </w:r>
        </w:p>
        <w:p w14:paraId="1D4E90AE" w14:textId="1EE15EE1" w:rsidR="00274429" w:rsidRPr="009A46BB" w:rsidRDefault="00274429" w:rsidP="3CE1B775">
          <w:pPr>
            <w:spacing w:after="0"/>
            <w:jc w:val="both"/>
            <w:rPr>
              <w:rFonts w:ascii="Times New Roman" w:hAnsi="Times New Roman"/>
              <w:sz w:val="24"/>
              <w:szCs w:val="24"/>
            </w:rPr>
          </w:pPr>
          <w:r w:rsidRPr="009A46BB">
            <w:rPr>
              <w:rFonts w:ascii="Times New Roman" w:hAnsi="Times New Roman"/>
              <w:b/>
              <w:sz w:val="24"/>
              <w:szCs w:val="24"/>
            </w:rPr>
            <w:t>Tipo ID:</w:t>
          </w:r>
          <w:r w:rsidR="007E6CBB" w:rsidRPr="009A46BB">
            <w:rPr>
              <w:rFonts w:ascii="Times New Roman" w:hAnsi="Times New Roman"/>
              <w:b/>
              <w:sz w:val="24"/>
              <w:szCs w:val="24"/>
            </w:rPr>
            <w:t xml:space="preserve"> </w:t>
          </w:r>
          <w:r w:rsidRPr="009A46BB">
            <w:rPr>
              <w:rFonts w:ascii="Times New Roman" w:hAnsi="Times New Roman"/>
              <w:sz w:val="24"/>
              <w:szCs w:val="24"/>
            </w:rPr>
            <w:t>NIT</w:t>
          </w:r>
        </w:p>
        <w:p w14:paraId="2EC816C8" w14:textId="379D4195" w:rsidR="00274429" w:rsidRPr="009A46BB" w:rsidRDefault="00274429" w:rsidP="3CE1B775">
          <w:pPr>
            <w:spacing w:after="0"/>
            <w:jc w:val="both"/>
            <w:rPr>
              <w:rFonts w:ascii="Times New Roman" w:hAnsi="Times New Roman"/>
              <w:sz w:val="24"/>
              <w:szCs w:val="24"/>
            </w:rPr>
          </w:pPr>
          <w:r w:rsidRPr="009A46BB">
            <w:rPr>
              <w:rFonts w:ascii="Times New Roman" w:hAnsi="Times New Roman"/>
              <w:b/>
              <w:sz w:val="24"/>
              <w:szCs w:val="24"/>
            </w:rPr>
            <w:t>Número ID:</w:t>
          </w:r>
          <w:r w:rsidR="007E6CBB" w:rsidRPr="009A46BB">
            <w:rPr>
              <w:rFonts w:ascii="Times New Roman" w:hAnsi="Times New Roman"/>
              <w:b/>
              <w:sz w:val="24"/>
              <w:szCs w:val="24"/>
            </w:rPr>
            <w:t xml:space="preserve"> </w:t>
          </w:r>
          <w:r w:rsidRPr="009A46BB">
            <w:rPr>
              <w:rFonts w:ascii="Times New Roman" w:hAnsi="Times New Roman"/>
              <w:sz w:val="24"/>
              <w:szCs w:val="24"/>
            </w:rPr>
            <w:t>800.096.464-8</w:t>
          </w:r>
        </w:p>
        <w:p w14:paraId="2E8853F8" w14:textId="0610B833" w:rsidR="00274429" w:rsidRPr="009A46BB" w:rsidRDefault="00274429" w:rsidP="3CE1B775">
          <w:pPr>
            <w:spacing w:after="0"/>
            <w:jc w:val="both"/>
            <w:rPr>
              <w:rFonts w:ascii="Times New Roman" w:hAnsi="Times New Roman"/>
              <w:sz w:val="24"/>
              <w:szCs w:val="24"/>
            </w:rPr>
          </w:pPr>
          <w:r w:rsidRPr="009A46BB">
            <w:rPr>
              <w:rFonts w:ascii="Times New Roman" w:hAnsi="Times New Roman"/>
              <w:b/>
              <w:sz w:val="24"/>
              <w:szCs w:val="24"/>
            </w:rPr>
            <w:t>Razón social del concesionario:</w:t>
          </w:r>
          <w:r w:rsidR="007E6CBB" w:rsidRPr="009A46BB">
            <w:rPr>
              <w:rFonts w:ascii="Times New Roman" w:hAnsi="Times New Roman"/>
              <w:b/>
              <w:sz w:val="24"/>
              <w:szCs w:val="24"/>
            </w:rPr>
            <w:t xml:space="preserve"> </w:t>
          </w:r>
          <w:r w:rsidRPr="009A46BB">
            <w:rPr>
              <w:rFonts w:ascii="Times New Roman" w:hAnsi="Times New Roman"/>
              <w:sz w:val="24"/>
              <w:szCs w:val="24"/>
            </w:rPr>
            <w:t>Sociedad Portuaria Puerto de Mamonal S.A</w:t>
          </w:r>
        </w:p>
        <w:p w14:paraId="042963FC" w14:textId="31834601" w:rsidR="00274429" w:rsidRPr="009A46BB" w:rsidRDefault="00274429" w:rsidP="3CE1B775">
          <w:pPr>
            <w:spacing w:after="0"/>
            <w:jc w:val="both"/>
            <w:rPr>
              <w:rFonts w:ascii="Times New Roman" w:hAnsi="Times New Roman"/>
              <w:sz w:val="24"/>
              <w:szCs w:val="24"/>
            </w:rPr>
          </w:pPr>
          <w:r w:rsidRPr="009A46BB">
            <w:rPr>
              <w:rFonts w:ascii="Times New Roman" w:hAnsi="Times New Roman"/>
              <w:b/>
              <w:sz w:val="24"/>
              <w:szCs w:val="24"/>
            </w:rPr>
            <w:t>Nombre del proyecto:</w:t>
          </w:r>
          <w:r w:rsidR="007E6CBB" w:rsidRPr="009A46BB">
            <w:rPr>
              <w:rFonts w:ascii="Times New Roman" w:hAnsi="Times New Roman"/>
              <w:b/>
              <w:sz w:val="24"/>
              <w:szCs w:val="24"/>
            </w:rPr>
            <w:t xml:space="preserve"> </w:t>
          </w:r>
          <w:r w:rsidRPr="009A46BB">
            <w:rPr>
              <w:rFonts w:ascii="Times New Roman" w:hAnsi="Times New Roman"/>
              <w:sz w:val="24"/>
              <w:szCs w:val="24"/>
            </w:rPr>
            <w:t>Sociedad Portuaria Puerto de Mamonal S.A</w:t>
          </w:r>
        </w:p>
        <w:p w14:paraId="0BAC6604" w14:textId="54331179" w:rsidR="3CE1B775" w:rsidRDefault="3CE1B775" w:rsidP="3CE1B775">
          <w:pPr>
            <w:spacing w:after="0"/>
            <w:jc w:val="both"/>
            <w:rPr>
              <w:rFonts w:ascii="Times New Roman" w:hAnsi="Times New Roman"/>
              <w:sz w:val="24"/>
              <w:szCs w:val="24"/>
            </w:rPr>
          </w:pPr>
        </w:p>
        <w:p w14:paraId="42ED5D17" w14:textId="1ECBFAC9" w:rsidR="00274429" w:rsidRPr="009A46BB" w:rsidRDefault="00274429" w:rsidP="00E60BAB">
          <w:pPr>
            <w:pStyle w:val="Prrafodelista"/>
            <w:numPr>
              <w:ilvl w:val="0"/>
              <w:numId w:val="150"/>
            </w:numPr>
            <w:jc w:val="both"/>
            <w:rPr>
              <w:rFonts w:ascii="Times New Roman" w:hAnsi="Times New Roman"/>
              <w:b/>
            </w:rPr>
          </w:pPr>
          <w:r w:rsidRPr="009A46BB">
            <w:rPr>
              <w:rFonts w:ascii="Times New Roman" w:hAnsi="Times New Roman"/>
              <w:b/>
              <w:sz w:val="24"/>
              <w:szCs w:val="24"/>
            </w:rPr>
            <w:t>Términos significativos del acuerdo que puedan afectar su valor, el calendario y la certeza de los flujos</w:t>
          </w:r>
        </w:p>
        <w:p w14:paraId="27190B15"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Términos de valor:</w:t>
          </w:r>
          <w:r w:rsidRPr="009A46BB">
            <w:rPr>
              <w:rFonts w:ascii="Times New Roman" w:hAnsi="Times New Roman"/>
              <w:b/>
              <w:sz w:val="24"/>
              <w:szCs w:val="24"/>
            </w:rPr>
            <w:tab/>
          </w:r>
        </w:p>
        <w:p w14:paraId="06CAE24C"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Tarifas:</w:t>
          </w:r>
          <w:r w:rsidRPr="009A46BB">
            <w:rPr>
              <w:rFonts w:ascii="Times New Roman" w:hAnsi="Times New Roman"/>
              <w:sz w:val="24"/>
              <w:szCs w:val="24"/>
            </w:rPr>
            <w:t xml:space="preserve"> Al ser el terminal marítimo de servicio público según la cláusula décima tercera, la Ley 1 de 1991 establece: Las sociedades portuarias que operan puertos de servicio público las tarifas requieren ser aprobadas según la metodología establecida por la Superintendencia General de Puertos hoy Superintendencia de Transporte.</w:t>
          </w:r>
        </w:p>
        <w:p w14:paraId="305843E5" w14:textId="00D3C14A"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Contraprestación portuaria:</w:t>
          </w:r>
          <w:r w:rsidRPr="009A46BB">
            <w:rPr>
              <w:rFonts w:ascii="Times New Roman" w:hAnsi="Times New Roman"/>
              <w:sz w:val="24"/>
              <w:szCs w:val="24"/>
            </w:rPr>
            <w:t xml:space="preserve"> De acuerdo con el último documento contractual vigente metodología de contraprestación vigente es CONPES 3744 de 2013 (Componentes Fijo y Variable). A febrero de 2023 el CONCESIONARIO debió pagar la suma de USD $583.770 por contraprestación.El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distrito de Cartagena; e INFRAESTRUCTURA en un 100% a la Nación - Instituto Nacional de Vías (INVIAS). </w:t>
          </w:r>
        </w:p>
        <w:p w14:paraId="45316A34"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Plan de Inversiones:</w:t>
          </w:r>
          <w:r w:rsidRPr="009A46BB">
            <w:rPr>
              <w:rFonts w:ascii="Times New Roman" w:hAnsi="Times New Roman"/>
              <w:sz w:val="24"/>
              <w:szCs w:val="24"/>
            </w:rPr>
            <w:t xml:space="preserve"> Está establecido en la cláusula décima cuarta del contrato, modificado por la cláusula décima primera del otrosí N.1 del 12 de noviembre de 2012, el plan de inversión será de USD $18.182.360 en valores corrientes.</w:t>
          </w:r>
        </w:p>
        <w:p w14:paraId="13C427B5"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Obligaciones del CONCESIONARIO:</w:t>
          </w:r>
          <w:r w:rsidRPr="009A46BB">
            <w:rPr>
              <w:rFonts w:ascii="Times New Roman" w:hAnsi="Times New Roman"/>
              <w:sz w:val="24"/>
              <w:szCs w:val="24"/>
            </w:rPr>
            <w:t xml:space="preserve"> se encuentran descritas en la cláusula décima primera del contrato.</w:t>
          </w:r>
        </w:p>
        <w:p w14:paraId="673403EC"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lastRenderedPageBreak/>
            <w:t>Multas y sanciones:</w:t>
          </w:r>
          <w:r w:rsidRPr="009A46BB">
            <w:rPr>
              <w:rFonts w:ascii="Times New Roman" w:hAnsi="Times New Roman"/>
              <w:sz w:val="24"/>
              <w:szCs w:val="24"/>
            </w:rPr>
            <w:t xml:space="preserve"> Están establecidas en la cláusula décima séptima del contrato.</w:t>
          </w:r>
        </w:p>
        <w:p w14:paraId="51876547"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Penal pecuniaria:</w:t>
          </w:r>
          <w:r w:rsidRPr="009A46BB">
            <w:rPr>
              <w:rFonts w:ascii="Times New Roman" w:hAnsi="Times New Roman"/>
              <w:sz w:val="24"/>
              <w:szCs w:val="24"/>
            </w:rPr>
            <w:t xml:space="preserve"> En la cláusula décima octava del contrato se establece que en el evento en que el INCO hoy ANI declare la caducidad o el incumplimiento del presente contrato se podrá imponer una penalidad pecuniaria.</w:t>
          </w:r>
        </w:p>
        <w:p w14:paraId="524527E3"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Riesgos:</w:t>
          </w:r>
          <w:r w:rsidRPr="009A46BB">
            <w:rPr>
              <w:rFonts w:ascii="Times New Roman" w:hAnsi="Times New Roman"/>
              <w:sz w:val="24"/>
              <w:szCs w:val="24"/>
            </w:rPr>
            <w:t xml:space="preserve"> Están descritos en la cláusula trigésima del contrato, por ser este un proyecto a ser desarrollado a riesgo e iniciativa del CONCESIONARIO es claro que la totalidad de los riesgos inherentes a la ejecución del mismo en su etapa preoperativa, de construcción, de operación y de reversión, serán asumidos por EL CONCESIONARIO, y su ocurrencia no dará derecho a indemnización o reconocimiento alguno a favor del mismo.</w:t>
          </w:r>
        </w:p>
        <w:p w14:paraId="42181A2A"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Términos de calendario:</w:t>
          </w:r>
        </w:p>
        <w:p w14:paraId="31B089E9"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Tarifas:</w:t>
          </w:r>
          <w:r w:rsidRPr="009A46BB">
            <w:rPr>
              <w:rFonts w:ascii="Times New Roman" w:hAnsi="Times New Roman"/>
              <w:sz w:val="24"/>
              <w:szCs w:val="24"/>
            </w:rPr>
            <w:t xml:space="preserve"> Aprobadas según la metodología establecida por la Superintendencia General de Puertos hoy Superintendencia de Transporte.</w:t>
          </w:r>
        </w:p>
        <w:p w14:paraId="5CA78284"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 xml:space="preserve">Contraprestación portuaria: </w:t>
          </w:r>
          <w:r w:rsidRPr="009A46BB">
            <w:rPr>
              <w:rFonts w:ascii="Times New Roman" w:hAnsi="Times New Roman"/>
              <w:sz w:val="24"/>
              <w:szCs w:val="24"/>
            </w:rPr>
            <w:t>Contraprestación portuaria: Anexo 2 Conpes 3744 de 2013 “(…) Antes de finalizar los meses de febrero cada concesionario deberá corregir su liquidación del año anterior según el movimiento de carga real y la indexación del valor de referencia por metro cuadrado, del avalúo de la infraestructura concesionada y de los cargos, así como realizar el pago anticipado del año en curso con base en lo proyectado en el FCL definitivo”</w:t>
          </w:r>
        </w:p>
        <w:p w14:paraId="2146D7C0"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Plan de inversiones:</w:t>
          </w:r>
          <w:r w:rsidRPr="009A46BB">
            <w:rPr>
              <w:rFonts w:ascii="Times New Roman" w:hAnsi="Times New Roman"/>
              <w:sz w:val="24"/>
              <w:szCs w:val="24"/>
            </w:rPr>
            <w:t xml:space="preserve"> Está establecido en la cláusula décima cuarta del contrato, modificado por la cláusula decima primera del otrosí N.1 de 2012, ejecución de inversiones en el periodo de tiempo comprendido entre el año 2012 a 2018.</w:t>
          </w:r>
        </w:p>
        <w:p w14:paraId="35CF9367"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Multas:</w:t>
          </w:r>
          <w:r w:rsidRPr="009A46BB">
            <w:rPr>
              <w:rFonts w:ascii="Times New Roman" w:hAnsi="Times New Roman"/>
              <w:sz w:val="24"/>
              <w:szCs w:val="24"/>
            </w:rPr>
            <w:t xml:space="preserve"> Están establecidas en la cláusula décima séptima del contrato.</w:t>
          </w:r>
        </w:p>
        <w:p w14:paraId="7756A829"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Términos de certeza de flujos de efectivo futuros:</w:t>
          </w:r>
        </w:p>
        <w:p w14:paraId="527E339D"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Se otorga una Concesión Portuaria a la Sociedad Portuaria Puerto de Mamonal S.A., para ocupar y utilizar en forma temporal y exclusiva los bienes pertenecientes a la Nación determinados en la Cláusula Segunda del presente Contrato, por el tiempo estimado, a cambio de la Contraprestación.</w:t>
          </w:r>
        </w:p>
        <w:p w14:paraId="4E8EFEA7"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Cláusula Sexta, del Otrosí No.1 de 2012. Dicho pago corresponderá el ochenta por ciento (80%) a la Nación – Instituto Nacional de Vías – INVIAS y el veinte por ciento (20%) restante al Municipio correspondiente, de acuerdo con lo establecido en el parágrafo 1º del artículo 1º de la ley 856 de 2003, que modifica el artículo 7º de la Ley 1ª de 1991.</w:t>
          </w:r>
        </w:p>
        <w:p w14:paraId="5ECC26BB" w14:textId="162EB900" w:rsidR="00274429" w:rsidRPr="009A46BB" w:rsidRDefault="00274429" w:rsidP="00E60BAB">
          <w:pPr>
            <w:pStyle w:val="Prrafodelista"/>
            <w:numPr>
              <w:ilvl w:val="0"/>
              <w:numId w:val="150"/>
            </w:numPr>
            <w:jc w:val="both"/>
            <w:rPr>
              <w:rFonts w:ascii="Times New Roman" w:hAnsi="Times New Roman"/>
            </w:rPr>
          </w:pPr>
          <w:r w:rsidRPr="009A46BB">
            <w:rPr>
              <w:rFonts w:ascii="Times New Roman" w:hAnsi="Times New Roman"/>
              <w:b/>
              <w:sz w:val="24"/>
              <w:szCs w:val="24"/>
            </w:rPr>
            <w:t xml:space="preserve">Naturaleza y alcance del derecho a utilizar activos especificados, de los aspectos pactados en torno a lo que se espera que el concesionario proporcione en relación con el acuerdo de concesión. </w:t>
          </w:r>
        </w:p>
        <w:p w14:paraId="58F6BA82"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Naturaleza y alcance del derecho de uso de los activos</w:t>
          </w:r>
        </w:p>
        <w:p w14:paraId="0C5E009F"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Descripción:</w:t>
          </w:r>
          <w:r w:rsidRPr="009A46BB">
            <w:rPr>
              <w:rFonts w:ascii="Times New Roman" w:hAnsi="Times New Roman"/>
              <w:b/>
              <w:sz w:val="24"/>
              <w:szCs w:val="24"/>
            </w:rPr>
            <w:tab/>
          </w:r>
        </w:p>
        <w:p w14:paraId="0D4A7CC0"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Activos reconocidos</w:t>
          </w:r>
        </w:p>
        <w:p w14:paraId="7DA092EF"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lastRenderedPageBreak/>
            <w:t>Alcance del derecho de uso de los activos:</w:t>
          </w:r>
        </w:p>
        <w:p w14:paraId="1431DC14" w14:textId="56AAF13F"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 del proyecto, especificaciones técnicas, modalidades de operación:</w:t>
          </w:r>
          <w:r w:rsidRPr="009A46BB">
            <w:rPr>
              <w:rFonts w:ascii="Times New Roman" w:hAnsi="Times New Roman"/>
              <w:sz w:val="24"/>
              <w:szCs w:val="24"/>
            </w:rPr>
            <w:t xml:space="preserve"> las condiciones especiales de operación del puerto están establecidas en la cláusula quinta del Otrosí No. 01 de 2012.</w:t>
          </w:r>
        </w:p>
        <w:p w14:paraId="57D4AB7A" w14:textId="76F5F505"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Área entregada en concesión:</w:t>
          </w:r>
          <w:r w:rsidRPr="009A46BB">
            <w:rPr>
              <w:rFonts w:ascii="Times New Roman" w:hAnsi="Times New Roman"/>
              <w:sz w:val="24"/>
              <w:szCs w:val="24"/>
            </w:rPr>
            <w:t xml:space="preserve"> La descripción de la ubicación, linderos y extensión de los bienes de uso público (playas y terrenos de baja mar, zonas marítimas accesorias de maniobras) entregados en concesión están establecidos en la Cláusula Segunda del Contrato, la Cláusula Segunda del Otrosí No. 01 de 2012 y la Cláusula primera del Otrosí No. 02 de 2013.</w:t>
          </w:r>
        </w:p>
        <w:p w14:paraId="14C35AB6"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Infraestructura y equipos entregados en concesión:</w:t>
          </w:r>
          <w:r w:rsidRPr="009A46BB">
            <w:rPr>
              <w:rFonts w:ascii="Times New Roman" w:hAnsi="Times New Roman"/>
              <w:sz w:val="24"/>
              <w:szCs w:val="24"/>
            </w:rPr>
            <w:t xml:space="preserve"> Se relacionan los siguientes elementos de Infraestructura de acuerdo con el oficio 20144090258012:</w:t>
          </w:r>
        </w:p>
        <w:p w14:paraId="257BC778" w14:textId="77777777" w:rsidR="00274429" w:rsidRPr="009A46BB" w:rsidRDefault="00274429" w:rsidP="007E6CBB">
          <w:pPr>
            <w:spacing w:after="0" w:line="240" w:lineRule="auto"/>
            <w:jc w:val="both"/>
            <w:rPr>
              <w:rFonts w:ascii="Times New Roman" w:hAnsi="Times New Roman"/>
              <w:sz w:val="24"/>
              <w:szCs w:val="24"/>
            </w:rPr>
          </w:pPr>
          <w:r w:rsidRPr="009A46BB">
            <w:rPr>
              <w:rFonts w:ascii="Times New Roman" w:hAnsi="Times New Roman"/>
              <w:sz w:val="24"/>
              <w:szCs w:val="24"/>
            </w:rPr>
            <w:t xml:space="preserve"> Plataforma </w:t>
          </w:r>
        </w:p>
        <w:p w14:paraId="18A007C9" w14:textId="77777777" w:rsidR="00274429" w:rsidRPr="009A46BB" w:rsidRDefault="00274429" w:rsidP="007E6CBB">
          <w:pPr>
            <w:spacing w:after="0" w:line="240" w:lineRule="auto"/>
            <w:jc w:val="both"/>
            <w:rPr>
              <w:rFonts w:ascii="Times New Roman" w:hAnsi="Times New Roman"/>
              <w:sz w:val="24"/>
              <w:szCs w:val="24"/>
            </w:rPr>
          </w:pPr>
          <w:r w:rsidRPr="009A46BB">
            <w:rPr>
              <w:rFonts w:ascii="Times New Roman" w:hAnsi="Times New Roman"/>
              <w:sz w:val="24"/>
              <w:szCs w:val="24"/>
            </w:rPr>
            <w:t xml:space="preserve">Viga corona de 1,20 m de sección </w:t>
          </w:r>
        </w:p>
        <w:p w14:paraId="4E575E8B" w14:textId="3B9529F2" w:rsidR="00274429" w:rsidRPr="009A46BB" w:rsidRDefault="00274429" w:rsidP="007E6CBB">
          <w:pPr>
            <w:spacing w:after="0" w:line="240" w:lineRule="auto"/>
            <w:jc w:val="both"/>
            <w:rPr>
              <w:rFonts w:ascii="Times New Roman" w:hAnsi="Times New Roman"/>
              <w:sz w:val="24"/>
              <w:szCs w:val="24"/>
            </w:rPr>
          </w:pPr>
          <w:r w:rsidRPr="009A46BB">
            <w:rPr>
              <w:rFonts w:ascii="Times New Roman" w:hAnsi="Times New Roman"/>
              <w:sz w:val="24"/>
              <w:szCs w:val="24"/>
            </w:rPr>
            <w:t>Refuerzo del Muelle en Tabla</w:t>
          </w:r>
          <w:r w:rsidR="007E6CBB" w:rsidRPr="009A46BB">
            <w:rPr>
              <w:rFonts w:ascii="Times New Roman" w:hAnsi="Times New Roman"/>
              <w:sz w:val="24"/>
              <w:szCs w:val="24"/>
            </w:rPr>
            <w:t xml:space="preserve"> </w:t>
          </w:r>
          <w:r w:rsidRPr="009A46BB">
            <w:rPr>
              <w:rFonts w:ascii="Times New Roman" w:hAnsi="Times New Roman"/>
              <w:sz w:val="24"/>
              <w:szCs w:val="24"/>
            </w:rPr>
            <w:t xml:space="preserve">estacado Metálico </w:t>
          </w:r>
        </w:p>
        <w:p w14:paraId="08D2E100" w14:textId="77777777" w:rsidR="00274429" w:rsidRPr="009A46BB" w:rsidRDefault="00274429" w:rsidP="007E6CBB">
          <w:pPr>
            <w:spacing w:after="0" w:line="240" w:lineRule="auto"/>
            <w:jc w:val="both"/>
            <w:rPr>
              <w:rFonts w:ascii="Times New Roman" w:hAnsi="Times New Roman"/>
              <w:sz w:val="24"/>
              <w:szCs w:val="24"/>
            </w:rPr>
          </w:pPr>
          <w:r w:rsidRPr="009A46BB">
            <w:rPr>
              <w:rFonts w:ascii="Times New Roman" w:hAnsi="Times New Roman"/>
              <w:sz w:val="24"/>
              <w:szCs w:val="24"/>
            </w:rPr>
            <w:t xml:space="preserve">Defensas </w:t>
          </w:r>
        </w:p>
        <w:p w14:paraId="1D0E830F" w14:textId="77777777" w:rsidR="00274429" w:rsidRPr="009A46BB" w:rsidRDefault="00274429" w:rsidP="007E6CBB">
          <w:pPr>
            <w:spacing w:after="0" w:line="240" w:lineRule="auto"/>
            <w:jc w:val="both"/>
            <w:rPr>
              <w:rFonts w:ascii="Times New Roman" w:hAnsi="Times New Roman"/>
              <w:sz w:val="24"/>
              <w:szCs w:val="24"/>
            </w:rPr>
          </w:pPr>
          <w:r w:rsidRPr="009A46BB">
            <w:rPr>
              <w:rFonts w:ascii="Times New Roman" w:hAnsi="Times New Roman"/>
              <w:sz w:val="24"/>
              <w:szCs w:val="24"/>
            </w:rPr>
            <w:t xml:space="preserve">Bolardos </w:t>
          </w:r>
        </w:p>
        <w:p w14:paraId="50C6A9EB" w14:textId="77777777" w:rsidR="00274429" w:rsidRPr="009A46BB" w:rsidRDefault="00274429" w:rsidP="007E6CBB">
          <w:pPr>
            <w:spacing w:after="0" w:line="240" w:lineRule="auto"/>
            <w:jc w:val="both"/>
            <w:rPr>
              <w:rFonts w:ascii="Times New Roman" w:hAnsi="Times New Roman"/>
              <w:sz w:val="24"/>
              <w:szCs w:val="24"/>
            </w:rPr>
          </w:pPr>
          <w:r w:rsidRPr="009A46BB">
            <w:rPr>
              <w:rFonts w:ascii="Times New Roman" w:hAnsi="Times New Roman"/>
              <w:sz w:val="24"/>
              <w:szCs w:val="24"/>
            </w:rPr>
            <w:t>Cornamusas</w:t>
          </w:r>
        </w:p>
        <w:p w14:paraId="34A1BB24" w14:textId="77777777" w:rsidR="007E6CBB" w:rsidRPr="009A46BB" w:rsidRDefault="007E6CBB" w:rsidP="007E6CBB">
          <w:pPr>
            <w:spacing w:after="0" w:line="240" w:lineRule="auto"/>
            <w:jc w:val="both"/>
            <w:rPr>
              <w:rFonts w:ascii="Times New Roman" w:hAnsi="Times New Roman"/>
              <w:sz w:val="24"/>
              <w:szCs w:val="24"/>
            </w:rPr>
          </w:pPr>
        </w:p>
        <w:p w14:paraId="7071838B"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Retribución al concesionario</w:t>
          </w:r>
        </w:p>
        <w:p w14:paraId="4DD07045"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w:t>
          </w:r>
          <w:r w:rsidRPr="009A46BB">
            <w:rPr>
              <w:rFonts w:ascii="Times New Roman" w:hAnsi="Times New Roman"/>
              <w:b/>
              <w:sz w:val="24"/>
              <w:szCs w:val="24"/>
            </w:rPr>
            <w:tab/>
          </w:r>
          <w:r w:rsidRPr="009A46BB">
            <w:rPr>
              <w:rFonts w:ascii="Times New Roman" w:hAnsi="Times New Roman"/>
              <w:sz w:val="24"/>
              <w:szCs w:val="24"/>
            </w:rPr>
            <w:t>Se otorga una Concesión Portuaria a la Sociedad Portuaria Puerto de Mamonal S.A., para ocupar y utilizar en forma temporal y exclusiva los bienes pertenecientes a la Nación determinados en la Cláusula Segunda del presente Contrato, por el tiempo estimado, a cambio de la Contraprestación</w:t>
          </w:r>
        </w:p>
        <w:p w14:paraId="506FDBCF"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Tasa de retribución:</w:t>
          </w:r>
          <w:r w:rsidRPr="009A46BB">
            <w:rPr>
              <w:rFonts w:ascii="Times New Roman" w:hAnsi="Times New Roman"/>
              <w:sz w:val="24"/>
              <w:szCs w:val="24"/>
            </w:rPr>
            <w:tab/>
            <w:t>N/A</w:t>
          </w:r>
        </w:p>
        <w:p w14:paraId="6E507EBF" w14:textId="6A5ACDB5" w:rsidR="00274429" w:rsidRPr="009A46BB" w:rsidRDefault="00274429" w:rsidP="00E60BAB">
          <w:pPr>
            <w:pStyle w:val="Prrafodelista"/>
            <w:numPr>
              <w:ilvl w:val="0"/>
              <w:numId w:val="150"/>
            </w:numPr>
            <w:jc w:val="both"/>
            <w:rPr>
              <w:rFonts w:ascii="Times New Roman" w:hAnsi="Times New Roman"/>
              <w:b/>
            </w:rPr>
          </w:pPr>
          <w:r w:rsidRPr="009A46BB">
            <w:rPr>
              <w:rFonts w:ascii="Times New Roman" w:hAnsi="Times New Roman"/>
              <w:b/>
              <w:sz w:val="24"/>
              <w:szCs w:val="24"/>
            </w:rPr>
            <w:t>Derechos a recibir activos especificados al final del acuerdo de concesión</w:t>
          </w:r>
        </w:p>
        <w:p w14:paraId="211B4A78"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w:t>
          </w:r>
          <w:r w:rsidRPr="009A46BB">
            <w:rPr>
              <w:rFonts w:ascii="Times New Roman" w:hAnsi="Times New Roman"/>
              <w:sz w:val="24"/>
              <w:szCs w:val="24"/>
            </w:rPr>
            <w:tab/>
            <w:t>De acuerdo con el Artículo 8º de la Ley 1 de 1991 en el modo portuario el concesionario no tiene derechos finales sobre activos los debe revertir a la Nación al final del contrato de concesión.</w:t>
          </w:r>
        </w:p>
        <w:p w14:paraId="2F04926B"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Observaciones:</w:t>
          </w:r>
        </w:p>
        <w:p w14:paraId="5D71EEE2" w14:textId="54C5C524"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Reversión:</w:t>
          </w:r>
          <w:r w:rsidRPr="009A46BB">
            <w:rPr>
              <w:rFonts w:ascii="Times New Roman" w:hAnsi="Times New Roman"/>
              <w:sz w:val="24"/>
              <w:szCs w:val="24"/>
            </w:rPr>
            <w:t xml:space="preserve"> De acuerdo con lo establecido en la cláusula novena del contrato de concesión, la zona de uso público y todas las construcciones (obras e inversiones) que se encuentren habitualmente instaladas sobre aquellas, otorgadas en concesión en virtud del presente contrato, o que sean ejecutadas dentro del plazo del mismo, y los inmuebles por destinación (equipos e inversiones)afectos a la operación del muelle revertirán y/o cederán a la Nación, en buenas condiciones de operación tecnológica, física y de adecuada eficiencia al término de este contrato. Igualmente procederá la reversión al ser declarada la caducidad o la terminación unilateral. Al efecto EL CONCESIONARIO deberá al momento de la reversión hacer entrega de un avalúo comercial actualizado y valoración técnica de las condiciones de operación de la infraestructura portuaria, equipos e inmuebles por destinación que habitualmente se </w:t>
          </w:r>
          <w:r w:rsidRPr="009A46BB">
            <w:rPr>
              <w:rFonts w:ascii="Times New Roman" w:hAnsi="Times New Roman"/>
              <w:sz w:val="24"/>
              <w:szCs w:val="24"/>
            </w:rPr>
            <w:lastRenderedPageBreak/>
            <w:t>encuentren instalados en las zonas de uso público que se revierten y que son propiedad de la Nación.</w:t>
          </w:r>
        </w:p>
        <w:p w14:paraId="76E63009"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La ANI es la entidad concedente pero la titularidad de los activos al final de la concesión es del Instituto Nacional de Vías INVIAS.</w:t>
          </w:r>
        </w:p>
        <w:p w14:paraId="77CDC499" w14:textId="530F1743" w:rsidR="00274429" w:rsidRPr="009A46BB" w:rsidRDefault="007E6CBB" w:rsidP="00E60BAB">
          <w:pPr>
            <w:pStyle w:val="Prrafodelista"/>
            <w:numPr>
              <w:ilvl w:val="0"/>
              <w:numId w:val="150"/>
            </w:numPr>
            <w:jc w:val="both"/>
            <w:rPr>
              <w:rFonts w:ascii="Times New Roman" w:hAnsi="Times New Roman"/>
              <w:b/>
            </w:rPr>
          </w:pPr>
          <w:r w:rsidRPr="009A46BB">
            <w:rPr>
              <w:rFonts w:ascii="Times New Roman" w:hAnsi="Times New Roman"/>
              <w:b/>
              <w:sz w:val="24"/>
              <w:szCs w:val="24"/>
            </w:rPr>
            <w:t>No hay c</w:t>
          </w:r>
          <w:r w:rsidR="00274429" w:rsidRPr="009A46BB">
            <w:rPr>
              <w:rFonts w:ascii="Times New Roman" w:hAnsi="Times New Roman"/>
              <w:b/>
              <w:sz w:val="24"/>
              <w:szCs w:val="24"/>
            </w:rPr>
            <w:t>ambios en el acuerdo de concesión que se realicen durante el periodo fiscal</w:t>
          </w:r>
        </w:p>
        <w:p w14:paraId="2BFC2130" w14:textId="39DB1E72" w:rsidR="00274429" w:rsidRPr="009A46BB" w:rsidRDefault="00274429" w:rsidP="00274429">
          <w:pPr>
            <w:jc w:val="both"/>
            <w:rPr>
              <w:rFonts w:ascii="Times New Roman" w:hAnsi="Times New Roman"/>
              <w:sz w:val="24"/>
              <w:szCs w:val="24"/>
            </w:rPr>
          </w:pPr>
        </w:p>
        <w:p w14:paraId="77BE3185" w14:textId="77777777" w:rsidR="007E6CBB" w:rsidRPr="009A46BB" w:rsidRDefault="007E6CBB" w:rsidP="00274429">
          <w:pPr>
            <w:jc w:val="both"/>
            <w:rPr>
              <w:rFonts w:ascii="Times New Roman" w:hAnsi="Times New Roman"/>
              <w:sz w:val="24"/>
              <w:szCs w:val="24"/>
            </w:rPr>
          </w:pPr>
        </w:p>
        <w:p w14:paraId="0291EECE" w14:textId="41E7327B" w:rsidR="00274429" w:rsidRPr="009A46BB" w:rsidRDefault="007E6CBB" w:rsidP="007E6CBB">
          <w:pPr>
            <w:spacing w:line="259" w:lineRule="auto"/>
            <w:jc w:val="both"/>
            <w:rPr>
              <w:rFonts w:ascii="Times New Roman" w:hAnsi="Times New Roman"/>
              <w:b/>
              <w:sz w:val="24"/>
              <w:szCs w:val="24"/>
            </w:rPr>
          </w:pPr>
          <w:r w:rsidRPr="009A46BB">
            <w:rPr>
              <w:rFonts w:ascii="Times New Roman" w:hAnsi="Times New Roman"/>
              <w:b/>
              <w:sz w:val="24"/>
              <w:szCs w:val="24"/>
            </w:rPr>
            <w:t>SOCIEDAD PORTUARIA PALERMO S.A.</w:t>
          </w:r>
        </w:p>
        <w:p w14:paraId="450DD4CC" w14:textId="2F8D3D24" w:rsidR="00274429" w:rsidRPr="009A46BB" w:rsidRDefault="00274429" w:rsidP="3CE1B775">
          <w:pPr>
            <w:pStyle w:val="Prrafodelista"/>
            <w:jc w:val="both"/>
            <w:rPr>
              <w:rFonts w:ascii="Times New Roman" w:hAnsi="Times New Roman"/>
              <w:b/>
            </w:rPr>
          </w:pPr>
          <w:r w:rsidRPr="009A46BB">
            <w:rPr>
              <w:rFonts w:ascii="Times New Roman" w:hAnsi="Times New Roman"/>
              <w:b/>
              <w:sz w:val="24"/>
              <w:szCs w:val="24"/>
            </w:rPr>
            <w:t>Descripción del acuerdo</w:t>
          </w:r>
        </w:p>
        <w:p w14:paraId="05161081" w14:textId="7B740BBF" w:rsidR="00274429" w:rsidRPr="009A46BB" w:rsidRDefault="00274429" w:rsidP="3CE1B775">
          <w:pPr>
            <w:spacing w:after="0"/>
            <w:jc w:val="both"/>
            <w:rPr>
              <w:rFonts w:ascii="Times New Roman" w:hAnsi="Times New Roman"/>
              <w:sz w:val="24"/>
              <w:szCs w:val="24"/>
            </w:rPr>
          </w:pPr>
          <w:r w:rsidRPr="009A46BB">
            <w:rPr>
              <w:rFonts w:ascii="Times New Roman" w:hAnsi="Times New Roman"/>
              <w:b/>
              <w:sz w:val="24"/>
              <w:szCs w:val="24"/>
            </w:rPr>
            <w:t>Número del acuerdo de concesión:</w:t>
          </w:r>
          <w:r w:rsidR="007E6CBB" w:rsidRPr="009A46BB">
            <w:rPr>
              <w:rFonts w:ascii="Times New Roman" w:hAnsi="Times New Roman"/>
              <w:b/>
              <w:sz w:val="24"/>
              <w:szCs w:val="24"/>
            </w:rPr>
            <w:t xml:space="preserve"> </w:t>
          </w:r>
          <w:r w:rsidRPr="009A46BB">
            <w:rPr>
              <w:rFonts w:ascii="Times New Roman" w:hAnsi="Times New Roman"/>
              <w:sz w:val="24"/>
              <w:szCs w:val="24"/>
            </w:rPr>
            <w:t>Contrato No. 001 de 2005</w:t>
          </w:r>
        </w:p>
        <w:p w14:paraId="70A780E9" w14:textId="684B68CD" w:rsidR="00274429" w:rsidRPr="009A46BB" w:rsidRDefault="00274429" w:rsidP="3CE1B775">
          <w:pPr>
            <w:spacing w:after="0"/>
            <w:jc w:val="both"/>
            <w:rPr>
              <w:rFonts w:ascii="Times New Roman" w:hAnsi="Times New Roman"/>
              <w:sz w:val="24"/>
              <w:szCs w:val="24"/>
            </w:rPr>
          </w:pPr>
          <w:r w:rsidRPr="009A46BB">
            <w:rPr>
              <w:rFonts w:ascii="Times New Roman" w:hAnsi="Times New Roman"/>
              <w:b/>
              <w:sz w:val="24"/>
              <w:szCs w:val="24"/>
            </w:rPr>
            <w:t>Objeto / Descripción:</w:t>
          </w:r>
          <w:r w:rsidR="007E6CBB" w:rsidRPr="009A46BB">
            <w:rPr>
              <w:rFonts w:ascii="Times New Roman" w:hAnsi="Times New Roman"/>
              <w:b/>
              <w:sz w:val="24"/>
              <w:szCs w:val="24"/>
            </w:rPr>
            <w:t xml:space="preserve"> </w:t>
          </w:r>
          <w:r w:rsidRPr="009A46BB">
            <w:rPr>
              <w:rFonts w:ascii="Times New Roman" w:hAnsi="Times New Roman"/>
              <w:sz w:val="24"/>
              <w:szCs w:val="24"/>
            </w:rPr>
            <w:t>En virtud del contrato de concesión N° 001 de 2005 El INCO otorga formalmente una concesión portuaria al CONCESIONARIO, para ocupar y utilizar en forma temporal y exclusiva los bienes pertenecientes a la Nación determinados en la cláusula segunda del presente contrato, ubicados en el Municipio de Coveñas, Departamento de Sucre, para el manejo de combustibles líquidos, por el tiempo de ejecución estipulado, a cambio de la contraprestación establecida en la cláusula octava de este contrato.</w:t>
          </w:r>
        </w:p>
        <w:p w14:paraId="33CDEA2B" w14:textId="5F8948EA" w:rsidR="00274429" w:rsidRPr="009A46BB" w:rsidRDefault="00274429" w:rsidP="3CE1B775">
          <w:pPr>
            <w:spacing w:after="0"/>
            <w:jc w:val="both"/>
            <w:rPr>
              <w:rFonts w:ascii="Times New Roman" w:hAnsi="Times New Roman"/>
              <w:sz w:val="24"/>
              <w:szCs w:val="24"/>
            </w:rPr>
          </w:pPr>
          <w:r w:rsidRPr="009A46BB">
            <w:rPr>
              <w:rFonts w:ascii="Times New Roman" w:hAnsi="Times New Roman"/>
              <w:b/>
              <w:sz w:val="24"/>
              <w:szCs w:val="24"/>
            </w:rPr>
            <w:t>Valor inicial:</w:t>
          </w:r>
          <w:r w:rsidR="007E6CBB" w:rsidRPr="009A46BB">
            <w:rPr>
              <w:rFonts w:ascii="Times New Roman" w:hAnsi="Times New Roman"/>
              <w:b/>
              <w:sz w:val="24"/>
              <w:szCs w:val="24"/>
            </w:rPr>
            <w:t xml:space="preserve"> </w:t>
          </w:r>
          <w:r w:rsidRPr="009A46BB">
            <w:rPr>
              <w:rFonts w:ascii="Times New Roman" w:hAnsi="Times New Roman"/>
              <w:sz w:val="24"/>
              <w:szCs w:val="24"/>
            </w:rPr>
            <w:t>USD $93.377,30 Cláusula octava / Contrato No 001 de 2005.</w:t>
          </w:r>
        </w:p>
        <w:p w14:paraId="156CA828" w14:textId="1DE95F68" w:rsidR="00274429" w:rsidRPr="009A46BB" w:rsidRDefault="00274429" w:rsidP="3CE1B775">
          <w:pPr>
            <w:spacing w:after="0"/>
            <w:jc w:val="both"/>
            <w:rPr>
              <w:rFonts w:ascii="Times New Roman" w:hAnsi="Times New Roman"/>
              <w:sz w:val="24"/>
              <w:szCs w:val="24"/>
            </w:rPr>
          </w:pPr>
          <w:r w:rsidRPr="009A46BB">
            <w:rPr>
              <w:rFonts w:ascii="Times New Roman" w:hAnsi="Times New Roman"/>
              <w:b/>
              <w:sz w:val="24"/>
              <w:szCs w:val="24"/>
            </w:rPr>
            <w:t>Fecha de inicio:</w:t>
          </w:r>
          <w:r w:rsidR="007E6CBB" w:rsidRPr="009A46BB">
            <w:rPr>
              <w:rFonts w:ascii="Times New Roman" w:hAnsi="Times New Roman"/>
              <w:b/>
              <w:sz w:val="24"/>
              <w:szCs w:val="24"/>
            </w:rPr>
            <w:t xml:space="preserve"> </w:t>
          </w:r>
          <w:r w:rsidRPr="009A46BB">
            <w:rPr>
              <w:rFonts w:ascii="Times New Roman" w:hAnsi="Times New Roman"/>
              <w:sz w:val="24"/>
              <w:szCs w:val="24"/>
            </w:rPr>
            <w:t>28/12/2005</w:t>
          </w:r>
        </w:p>
        <w:p w14:paraId="1A5967DE" w14:textId="79319520" w:rsidR="00274429" w:rsidRPr="009A46BB" w:rsidRDefault="00274429" w:rsidP="3CE1B775">
          <w:pPr>
            <w:spacing w:after="0"/>
            <w:jc w:val="both"/>
            <w:rPr>
              <w:rFonts w:ascii="Times New Roman" w:hAnsi="Times New Roman"/>
              <w:sz w:val="24"/>
              <w:szCs w:val="24"/>
            </w:rPr>
          </w:pPr>
          <w:r w:rsidRPr="009A46BB">
            <w:rPr>
              <w:rFonts w:ascii="Times New Roman" w:hAnsi="Times New Roman"/>
              <w:b/>
              <w:sz w:val="24"/>
              <w:szCs w:val="24"/>
            </w:rPr>
            <w:t>Fecha de finalización estimada:</w:t>
          </w:r>
          <w:r w:rsidR="007E6CBB" w:rsidRPr="009A46BB">
            <w:rPr>
              <w:rFonts w:ascii="Times New Roman" w:hAnsi="Times New Roman"/>
              <w:b/>
              <w:sz w:val="24"/>
              <w:szCs w:val="24"/>
            </w:rPr>
            <w:t xml:space="preserve"> </w:t>
          </w:r>
          <w:r w:rsidRPr="009A46BB">
            <w:rPr>
              <w:rFonts w:ascii="Times New Roman" w:hAnsi="Times New Roman"/>
              <w:sz w:val="24"/>
              <w:szCs w:val="24"/>
            </w:rPr>
            <w:t>27/12/2025</w:t>
          </w:r>
        </w:p>
        <w:p w14:paraId="573C1B05" w14:textId="6D1991AA" w:rsidR="00274429" w:rsidRPr="009A46BB" w:rsidRDefault="00274429" w:rsidP="3CE1B775">
          <w:pPr>
            <w:spacing w:after="0"/>
            <w:jc w:val="both"/>
            <w:rPr>
              <w:rFonts w:ascii="Times New Roman" w:hAnsi="Times New Roman"/>
              <w:sz w:val="24"/>
              <w:szCs w:val="24"/>
            </w:rPr>
          </w:pPr>
          <w:r w:rsidRPr="009A46BB">
            <w:rPr>
              <w:rFonts w:ascii="Times New Roman" w:hAnsi="Times New Roman"/>
              <w:b/>
              <w:sz w:val="24"/>
              <w:szCs w:val="24"/>
            </w:rPr>
            <w:t>Tipo ID:</w:t>
          </w:r>
          <w:r w:rsidR="007E6CBB" w:rsidRPr="009A46BB">
            <w:rPr>
              <w:rFonts w:ascii="Times New Roman" w:hAnsi="Times New Roman"/>
              <w:b/>
              <w:sz w:val="24"/>
              <w:szCs w:val="24"/>
            </w:rPr>
            <w:t xml:space="preserve"> </w:t>
          </w:r>
          <w:r w:rsidRPr="009A46BB">
            <w:rPr>
              <w:rFonts w:ascii="Times New Roman" w:hAnsi="Times New Roman"/>
              <w:sz w:val="24"/>
              <w:szCs w:val="24"/>
            </w:rPr>
            <w:t>NIT</w:t>
          </w:r>
        </w:p>
        <w:p w14:paraId="7A3FA06B" w14:textId="12A0FB23" w:rsidR="00274429" w:rsidRPr="009A46BB" w:rsidRDefault="00274429" w:rsidP="3CE1B775">
          <w:pPr>
            <w:spacing w:after="0"/>
            <w:jc w:val="both"/>
            <w:rPr>
              <w:rFonts w:ascii="Times New Roman" w:hAnsi="Times New Roman"/>
              <w:sz w:val="24"/>
              <w:szCs w:val="24"/>
            </w:rPr>
          </w:pPr>
          <w:r w:rsidRPr="009A46BB">
            <w:rPr>
              <w:rFonts w:ascii="Times New Roman" w:hAnsi="Times New Roman"/>
              <w:b/>
              <w:sz w:val="24"/>
              <w:szCs w:val="24"/>
            </w:rPr>
            <w:t>Número ID:</w:t>
          </w:r>
          <w:r w:rsidR="007E6CBB" w:rsidRPr="009A46BB">
            <w:rPr>
              <w:rFonts w:ascii="Times New Roman" w:hAnsi="Times New Roman"/>
              <w:b/>
              <w:sz w:val="24"/>
              <w:szCs w:val="24"/>
            </w:rPr>
            <w:t xml:space="preserve"> </w:t>
          </w:r>
          <w:r w:rsidRPr="009A46BB">
            <w:rPr>
              <w:rFonts w:ascii="Times New Roman" w:hAnsi="Times New Roman"/>
              <w:sz w:val="24"/>
              <w:szCs w:val="24"/>
            </w:rPr>
            <w:t>830.117.995-8</w:t>
          </w:r>
        </w:p>
        <w:p w14:paraId="1A2042FA" w14:textId="1D38168C" w:rsidR="00274429" w:rsidRPr="009A46BB" w:rsidRDefault="00274429" w:rsidP="3CE1B775">
          <w:pPr>
            <w:spacing w:after="0"/>
            <w:jc w:val="both"/>
            <w:rPr>
              <w:rFonts w:ascii="Times New Roman" w:hAnsi="Times New Roman"/>
              <w:sz w:val="24"/>
              <w:szCs w:val="24"/>
            </w:rPr>
          </w:pPr>
          <w:r w:rsidRPr="009A46BB">
            <w:rPr>
              <w:rFonts w:ascii="Times New Roman" w:hAnsi="Times New Roman"/>
              <w:b/>
              <w:sz w:val="24"/>
              <w:szCs w:val="24"/>
            </w:rPr>
            <w:t>Razón social del concesionario:</w:t>
          </w:r>
          <w:r w:rsidR="007E6CBB" w:rsidRPr="009A46BB">
            <w:rPr>
              <w:rFonts w:ascii="Times New Roman" w:hAnsi="Times New Roman"/>
              <w:b/>
              <w:sz w:val="24"/>
              <w:szCs w:val="24"/>
            </w:rPr>
            <w:t xml:space="preserve"> </w:t>
          </w:r>
          <w:r w:rsidRPr="009A46BB">
            <w:rPr>
              <w:rFonts w:ascii="Times New Roman" w:hAnsi="Times New Roman"/>
              <w:sz w:val="24"/>
              <w:szCs w:val="24"/>
            </w:rPr>
            <w:t>Sociedad Portuaria Palermo S.A.</w:t>
          </w:r>
        </w:p>
        <w:p w14:paraId="044FDE9C" w14:textId="0FE2B0FD"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Nombre del proyecto:</w:t>
          </w:r>
          <w:r w:rsidR="007E6CBB" w:rsidRPr="009A46BB">
            <w:rPr>
              <w:rFonts w:ascii="Times New Roman" w:hAnsi="Times New Roman"/>
              <w:b/>
              <w:sz w:val="24"/>
              <w:szCs w:val="24"/>
            </w:rPr>
            <w:t xml:space="preserve"> </w:t>
          </w:r>
          <w:r w:rsidRPr="009A46BB">
            <w:rPr>
              <w:rFonts w:ascii="Times New Roman" w:hAnsi="Times New Roman"/>
              <w:sz w:val="24"/>
              <w:szCs w:val="24"/>
            </w:rPr>
            <w:t>Sociedad Portuaria Palermo S.A.</w:t>
          </w:r>
        </w:p>
        <w:p w14:paraId="071BA878"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b.</w:t>
          </w:r>
          <w:r w:rsidRPr="009A46BB">
            <w:rPr>
              <w:rFonts w:ascii="Times New Roman" w:hAnsi="Times New Roman"/>
              <w:b/>
              <w:sz w:val="24"/>
              <w:szCs w:val="24"/>
            </w:rPr>
            <w:tab/>
            <w:t>Términos significativos del acuerdo que puedan afectar su valor, el calendario y la certeza de los flujos</w:t>
          </w:r>
        </w:p>
        <w:p w14:paraId="4B1AB3FF"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Términos de valor:</w:t>
          </w:r>
        </w:p>
        <w:p w14:paraId="5A782483"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1: Tarifas:</w:t>
          </w:r>
          <w:r w:rsidRPr="009A46BB">
            <w:rPr>
              <w:rFonts w:ascii="Times New Roman" w:hAnsi="Times New Roman"/>
              <w:sz w:val="24"/>
              <w:szCs w:val="24"/>
            </w:rPr>
            <w:t xml:space="preserve">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w:t>
          </w:r>
        </w:p>
        <w:p w14:paraId="4E1D9E7D"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2: Contraprestación portuaria:</w:t>
          </w:r>
          <w:r w:rsidRPr="009A46BB">
            <w:rPr>
              <w:rFonts w:ascii="Times New Roman" w:hAnsi="Times New Roman"/>
              <w:sz w:val="24"/>
              <w:szCs w:val="24"/>
            </w:rPr>
            <w:t xml:space="preserve"> De acuerdo con el último documento contractual vigente la metodología de contraprestación vigente es CONPES 2680 DE 1993 (Productividad). Se establece en la cláusula octava del Contrato que el CONCESIONARIO deberá pagar por concepto de zona de uso público la suma anual de (USD 7.790), de dicho pago el 80% le corresponde a la Nación Instituto nacional de vías (INVIAS) y el 20% restante al distrito de Coveñas de acuerdo con lo establecido en el parágrafo 1 del artículo 1 de la ley 856 del 21 de diciembre de 2003, que modifica el artículo 7 de la ley 1ª de 1991. Así mismo, por concepto </w:t>
          </w:r>
          <w:r w:rsidRPr="009A46BB">
            <w:rPr>
              <w:rFonts w:ascii="Times New Roman" w:hAnsi="Times New Roman"/>
              <w:sz w:val="24"/>
              <w:szCs w:val="24"/>
            </w:rPr>
            <w:lastRenderedPageBreak/>
            <w:t>de infraestructura el CONCESIONARIO deberá pagar la suma anual de (USD 3.371,92), el cual corresponde en un 100% a la Nación - Instituto Nacional de Vías (INVIAS) de acuerdo con lo establecido en el artículo 1 de la ley 856 del 21 diciembre de 2003.</w:t>
          </w:r>
        </w:p>
        <w:p w14:paraId="615606A3"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3: Plan de Inversiones:</w:t>
          </w:r>
          <w:r w:rsidRPr="009A46BB">
            <w:rPr>
              <w:rFonts w:ascii="Times New Roman" w:hAnsi="Times New Roman"/>
              <w:sz w:val="24"/>
              <w:szCs w:val="24"/>
            </w:rPr>
            <w:t xml:space="preserve"> está establecido en la cláusula séptima del contrato que el plan de inversión será de USD $150.000 en valores corrientes.</w:t>
          </w:r>
        </w:p>
        <w:p w14:paraId="3C498444"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Obligaciones del CONCESIONARIO:</w:t>
          </w:r>
          <w:r w:rsidRPr="009A46BB">
            <w:rPr>
              <w:rFonts w:ascii="Times New Roman" w:hAnsi="Times New Roman"/>
              <w:sz w:val="24"/>
              <w:szCs w:val="24"/>
            </w:rPr>
            <w:t xml:space="preserve"> se encuentran descritas en la cláusula décima quinta del contrato. </w:t>
          </w:r>
        </w:p>
        <w:p w14:paraId="6B63F181"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Multas y sanciones:</w:t>
          </w:r>
          <w:r w:rsidRPr="009A46BB">
            <w:rPr>
              <w:rFonts w:ascii="Times New Roman" w:hAnsi="Times New Roman"/>
              <w:sz w:val="24"/>
              <w:szCs w:val="24"/>
            </w:rPr>
            <w:t xml:space="preserve"> están establecidas en la cláusula décima octava del contrato.</w:t>
          </w:r>
        </w:p>
        <w:p w14:paraId="7434C2AB"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Penal pecuniario:</w:t>
          </w:r>
          <w:r w:rsidRPr="009A46BB">
            <w:rPr>
              <w:rFonts w:ascii="Times New Roman" w:hAnsi="Times New Roman"/>
              <w:sz w:val="24"/>
              <w:szCs w:val="24"/>
            </w:rPr>
            <w:t xml:space="preserve"> En la cláusula décima novena se establece que en el evento en que el INCO hoy ANI declare la caducidad o el incumplimiento del presente contrato se podrá imponer una penalidad pecuniaria del 10% del valor total de la contraprestación</w:t>
          </w:r>
        </w:p>
        <w:p w14:paraId="271D0E09"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Términos de calendario:</w:t>
          </w:r>
          <w:r w:rsidRPr="009A46BB">
            <w:rPr>
              <w:rFonts w:ascii="Times New Roman" w:hAnsi="Times New Roman"/>
              <w:b/>
              <w:sz w:val="24"/>
              <w:szCs w:val="24"/>
            </w:rPr>
            <w:tab/>
          </w:r>
        </w:p>
        <w:p w14:paraId="20B0491C"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 xml:space="preserve">1: Tarifas: </w:t>
          </w:r>
          <w:r w:rsidRPr="009A46BB">
            <w:rPr>
              <w:rFonts w:ascii="Times New Roman" w:hAnsi="Times New Roman"/>
              <w:sz w:val="24"/>
              <w:szCs w:val="24"/>
            </w:rPr>
            <w:t>Aprobadas según la metodología establecida por la Superintendencia General de Puertos hoy Superintendencia de Transporte.</w:t>
          </w:r>
        </w:p>
        <w:p w14:paraId="25F188D8"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2: Contraprestación portuaria:</w:t>
          </w:r>
          <w:r w:rsidRPr="009A46BB">
            <w:rPr>
              <w:rFonts w:ascii="Times New Roman" w:hAnsi="Times New Roman"/>
              <w:sz w:val="24"/>
              <w:szCs w:val="24"/>
            </w:rPr>
            <w:t xml:space="preserve"> la contraprestación se debe pagar de manera anual anticipada desde el mes de enero de cada año</w:t>
          </w:r>
        </w:p>
        <w:p w14:paraId="3E1B9FDC"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3: Plan de inversiones:</w:t>
          </w:r>
          <w:r w:rsidRPr="009A46BB">
            <w:rPr>
              <w:rFonts w:ascii="Times New Roman" w:hAnsi="Times New Roman"/>
              <w:sz w:val="24"/>
              <w:szCs w:val="24"/>
            </w:rPr>
            <w:t xml:space="preserve"> Se estableció en la cláusula séptima del contrato ejecución de inversiones en el periodo de tiempo comprendido entre el año 2005 a 2006.</w:t>
          </w:r>
        </w:p>
        <w:p w14:paraId="44D08926"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4: Multas:</w:t>
          </w:r>
          <w:r w:rsidRPr="009A46BB">
            <w:rPr>
              <w:rFonts w:ascii="Times New Roman" w:hAnsi="Times New Roman"/>
              <w:sz w:val="24"/>
              <w:szCs w:val="24"/>
            </w:rPr>
            <w:t xml:space="preserve"> Cláusula décima octava contrato 001 de 2005.</w:t>
          </w:r>
        </w:p>
        <w:p w14:paraId="0F2A428F"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Términos de certeza de flujos de efectivo futuros:</w:t>
          </w:r>
        </w:p>
        <w:p w14:paraId="634833ED"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 xml:space="preserve">Se otorga a EL CONCESIONARIO formalmente una concesión portuaria al Concesionario, para ocupar y utilizar en forma temporal y exclusiva los bienes pertenecientes a la Nación determinados en la cláusula segunda del contrato, ubicados en el municipio de Coveñas, Departamento de Sucre, para el manejo de combustibles líquidos, por el tiempo de ejecución estipulado, a cambio de la contraprestación establecida en la cláusula octava del contrato. </w:t>
          </w:r>
        </w:p>
        <w:p w14:paraId="63FCEBFA"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Cláusula octava, numeral 8.1 Del valor a pagar por concepto de contraprestación por Zona de Uso público el 80% le corresponde a la Nación-INVIAS y el 20 % al municipio de Coveñas (Sucre) y por Infraestructura el 100% a la Nación-INVIAS .</w:t>
          </w:r>
        </w:p>
        <w:p w14:paraId="78F5D0B3" w14:textId="30CB648B"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c.</w:t>
          </w:r>
          <w:r w:rsidR="59F7CC76" w:rsidRPr="3CE1B775">
            <w:rPr>
              <w:rFonts w:ascii="Times New Roman" w:hAnsi="Times New Roman"/>
              <w:b/>
              <w:bCs/>
              <w:sz w:val="24"/>
              <w:szCs w:val="24"/>
            </w:rPr>
            <w:t xml:space="preserve"> </w:t>
          </w:r>
          <w:r w:rsidRPr="009A46BB">
            <w:rPr>
              <w:rFonts w:ascii="Times New Roman" w:hAnsi="Times New Roman"/>
              <w:b/>
              <w:sz w:val="24"/>
              <w:szCs w:val="24"/>
            </w:rPr>
            <w:t xml:space="preserve">Naturaleza y alcance del derecho a utilizar activos especificados, de los aspectos pactados en torno a lo que se espera que el concesionario proporcione en relación con el acuerdo de concesión </w:t>
          </w:r>
        </w:p>
        <w:p w14:paraId="09545F0A"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Naturaleza y alcance del derecho de uso de los activos</w:t>
          </w:r>
        </w:p>
        <w:p w14:paraId="04CEA76D"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 xml:space="preserve">Descripción: </w:t>
          </w:r>
          <w:r w:rsidRPr="009A46BB">
            <w:rPr>
              <w:rFonts w:ascii="Times New Roman" w:hAnsi="Times New Roman"/>
              <w:sz w:val="24"/>
              <w:szCs w:val="24"/>
            </w:rPr>
            <w:t xml:space="preserve">En virtud del contrato de concesión N° 001 de 2005 El INCO otorga formalmente una concesión portuaria al CONCESIONARIO, para ocupar y utilizar en forma temporal y exclusiva los bienes pertenecientes a la Nación determinados en la cláusula segunda del presente contrato, ubicados en el Municipio de Coveñas, Departamento de Sucre, para el </w:t>
          </w:r>
          <w:r w:rsidRPr="009A46BB">
            <w:rPr>
              <w:rFonts w:ascii="Times New Roman" w:hAnsi="Times New Roman"/>
              <w:sz w:val="24"/>
              <w:szCs w:val="24"/>
            </w:rPr>
            <w:lastRenderedPageBreak/>
            <w:t>manejo de combustibles líquidos, por el tiempo de ejecución estipulado, a cambio de la contraprestación establecida en la cláusula octava de este contrato.</w:t>
          </w:r>
        </w:p>
        <w:p w14:paraId="06F9BB32"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Área entregada en concesión: La concesión se otorga sobre la zona de uso público y las construcciones portuarias allí levantadas que incluye la playa, los terrenos de bajamar, las aguas accesorias y de maniobra, que se encuentran ubicadas en el municipio de Coveñas, Departamento de Sucre y que se precisan con sus respectivas coordenadas en la cláusula segunda del contrato de concesión N°001 de 2005.</w:t>
          </w:r>
        </w:p>
        <w:p w14:paraId="358F224A"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Retribución al concesionario</w:t>
          </w:r>
        </w:p>
        <w:p w14:paraId="4F234267"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w:t>
          </w:r>
          <w:r w:rsidRPr="009A46BB">
            <w:rPr>
              <w:rFonts w:ascii="Times New Roman" w:hAnsi="Times New Roman"/>
              <w:b/>
              <w:sz w:val="24"/>
              <w:szCs w:val="24"/>
            </w:rPr>
            <w:tab/>
          </w:r>
          <w:r w:rsidRPr="009A46BB">
            <w:rPr>
              <w:rFonts w:ascii="Times New Roman" w:hAnsi="Times New Roman"/>
              <w:sz w:val="24"/>
              <w:szCs w:val="24"/>
            </w:rPr>
            <w:t>Se otorga a EL CONCESIONARIO formalmente una concesión portuaria al Concesionario, para ocupar y utilizar en forma temporal y exclusiva los bienes pertenecientes a la Nación determinados en la cláusula segunda del contrato, ubicados en el municipio de Coveñas, Departamento de Sucre, para el manejo de combustibles líquidos, por el tiempo de ejecución estipulado, a cambio de la contraprestación establecida en la cláusula octava del contrato.</w:t>
          </w:r>
        </w:p>
        <w:p w14:paraId="16B75B3D"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Tasa de retribución:</w:t>
          </w:r>
          <w:r w:rsidRPr="009A46BB">
            <w:rPr>
              <w:rFonts w:ascii="Times New Roman" w:hAnsi="Times New Roman"/>
              <w:sz w:val="24"/>
              <w:szCs w:val="24"/>
            </w:rPr>
            <w:tab/>
            <w:t>N/A</w:t>
          </w:r>
        </w:p>
        <w:p w14:paraId="1333E344" w14:textId="23C3F49C" w:rsidR="00274429" w:rsidRPr="009A46BB" w:rsidRDefault="00274429" w:rsidP="00E60BAB">
          <w:pPr>
            <w:pStyle w:val="Prrafodelista"/>
            <w:numPr>
              <w:ilvl w:val="0"/>
              <w:numId w:val="149"/>
            </w:numPr>
            <w:jc w:val="both"/>
            <w:rPr>
              <w:rFonts w:ascii="Times New Roman" w:hAnsi="Times New Roman"/>
              <w:b/>
            </w:rPr>
          </w:pPr>
          <w:r w:rsidRPr="009A46BB">
            <w:rPr>
              <w:rFonts w:ascii="Times New Roman" w:hAnsi="Times New Roman"/>
              <w:b/>
              <w:sz w:val="24"/>
              <w:szCs w:val="24"/>
            </w:rPr>
            <w:t>Derechos a recibir activos especificados al final del acuerdo de concesión</w:t>
          </w:r>
        </w:p>
        <w:p w14:paraId="48A272B5"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w:t>
          </w:r>
          <w:r w:rsidRPr="009A46BB">
            <w:rPr>
              <w:rFonts w:ascii="Times New Roman" w:hAnsi="Times New Roman"/>
              <w:sz w:val="24"/>
              <w:szCs w:val="24"/>
            </w:rPr>
            <w:tab/>
            <w:t>De acuerdo con el Artículo 8º de la Ley 1 de 1991 en el modo portuario el concesionario no tiene derechos finales sobre activos, los debe revertir a la Nación al final del contrato de concesión.</w:t>
          </w:r>
        </w:p>
        <w:p w14:paraId="1B175CC7"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Reversión:</w:t>
          </w:r>
          <w:r w:rsidRPr="009A46BB">
            <w:rPr>
              <w:rFonts w:ascii="Times New Roman" w:hAnsi="Times New Roman"/>
              <w:sz w:val="24"/>
              <w:szCs w:val="24"/>
            </w:rPr>
            <w:t xml:space="preserve"> De acuerdo con lo establecido en la cláusula novena del contrato de concesión, todas las construcciones e inmuebles por destinación, que se encuentren instalados en la zona de uso público otorgada en concesión revertirán gratuitamente por el Concesionario.</w:t>
          </w:r>
        </w:p>
        <w:p w14:paraId="6A4EFBA8"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Para tal fin, en el momento de la reversión el CONCESIONARIO elaborará un inventario de los bienes y los enviará para su revisión y aprobación.</w:t>
          </w:r>
        </w:p>
        <w:p w14:paraId="7319532A"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La ANI es la entidad concedente pero la titularidad de los activos al final de la concesión es del Instituto Nacional de Vías INVIAS.</w:t>
          </w:r>
        </w:p>
        <w:p w14:paraId="2D986B1E" w14:textId="6B30F593" w:rsidR="00274429" w:rsidRPr="009A46BB" w:rsidRDefault="007E6CBB" w:rsidP="00E60BAB">
          <w:pPr>
            <w:pStyle w:val="Prrafodelista"/>
            <w:numPr>
              <w:ilvl w:val="0"/>
              <w:numId w:val="149"/>
            </w:numPr>
            <w:jc w:val="both"/>
            <w:rPr>
              <w:rFonts w:ascii="Times New Roman" w:hAnsi="Times New Roman"/>
              <w:b/>
            </w:rPr>
          </w:pPr>
          <w:r w:rsidRPr="009A46BB">
            <w:rPr>
              <w:rFonts w:ascii="Times New Roman" w:hAnsi="Times New Roman"/>
              <w:b/>
              <w:sz w:val="24"/>
              <w:szCs w:val="24"/>
            </w:rPr>
            <w:t>No hay c</w:t>
          </w:r>
          <w:r w:rsidR="00274429" w:rsidRPr="009A46BB">
            <w:rPr>
              <w:rFonts w:ascii="Times New Roman" w:hAnsi="Times New Roman"/>
              <w:b/>
              <w:sz w:val="24"/>
              <w:szCs w:val="24"/>
            </w:rPr>
            <w:t>ambios en el acuerdo de concesión que se realicen durante el periodo fiscal</w:t>
          </w:r>
        </w:p>
        <w:p w14:paraId="4B52374A" w14:textId="43E94283" w:rsidR="00274429" w:rsidRPr="009A46BB" w:rsidRDefault="00274429" w:rsidP="00274429">
          <w:pPr>
            <w:jc w:val="both"/>
            <w:rPr>
              <w:rFonts w:ascii="Times New Roman" w:hAnsi="Times New Roman"/>
              <w:sz w:val="24"/>
              <w:szCs w:val="24"/>
            </w:rPr>
          </w:pPr>
        </w:p>
        <w:p w14:paraId="2C1FE01C" w14:textId="77777777" w:rsidR="00274429" w:rsidRPr="009A46BB" w:rsidRDefault="00274429" w:rsidP="00274429">
          <w:pPr>
            <w:jc w:val="both"/>
            <w:rPr>
              <w:rFonts w:ascii="Times New Roman" w:hAnsi="Times New Roman"/>
              <w:sz w:val="24"/>
              <w:szCs w:val="24"/>
            </w:rPr>
          </w:pPr>
        </w:p>
        <w:p w14:paraId="5DE55DEC" w14:textId="25A063D1" w:rsidR="00274429" w:rsidRPr="009A46BB" w:rsidRDefault="007E6CBB" w:rsidP="007E6CBB">
          <w:pPr>
            <w:spacing w:line="259" w:lineRule="auto"/>
            <w:jc w:val="both"/>
            <w:rPr>
              <w:rFonts w:ascii="Times New Roman" w:hAnsi="Times New Roman"/>
              <w:b/>
              <w:sz w:val="24"/>
              <w:szCs w:val="24"/>
            </w:rPr>
          </w:pPr>
          <w:r w:rsidRPr="009A46BB">
            <w:rPr>
              <w:rFonts w:ascii="Times New Roman" w:hAnsi="Times New Roman"/>
              <w:b/>
              <w:sz w:val="24"/>
              <w:szCs w:val="24"/>
            </w:rPr>
            <w:t>GRUPO PORTUARIO S.A. - LOTE 50 METROS</w:t>
          </w:r>
        </w:p>
        <w:p w14:paraId="193BCECA" w14:textId="2BB85AE6"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a.</w:t>
          </w:r>
          <w:r w:rsidR="0FFBD7FE" w:rsidRPr="298E9614">
            <w:rPr>
              <w:rFonts w:ascii="Times New Roman" w:hAnsi="Times New Roman"/>
              <w:b/>
              <w:bCs/>
              <w:sz w:val="24"/>
              <w:szCs w:val="24"/>
            </w:rPr>
            <w:t xml:space="preserve"> </w:t>
          </w:r>
          <w:r w:rsidRPr="009A46BB">
            <w:rPr>
              <w:rFonts w:ascii="Times New Roman" w:hAnsi="Times New Roman"/>
              <w:b/>
              <w:sz w:val="24"/>
              <w:szCs w:val="24"/>
            </w:rPr>
            <w:t>Descripción del acuerdo</w:t>
          </w:r>
        </w:p>
        <w:p w14:paraId="02D888C8" w14:textId="4CC97DA1" w:rsidR="00274429" w:rsidRPr="009A46BB" w:rsidRDefault="00274429" w:rsidP="298E9614">
          <w:pPr>
            <w:spacing w:after="0"/>
            <w:jc w:val="both"/>
            <w:rPr>
              <w:rFonts w:ascii="Times New Roman" w:hAnsi="Times New Roman"/>
              <w:sz w:val="24"/>
              <w:szCs w:val="24"/>
            </w:rPr>
          </w:pPr>
          <w:r w:rsidRPr="009A46BB">
            <w:rPr>
              <w:rFonts w:ascii="Times New Roman" w:hAnsi="Times New Roman"/>
              <w:b/>
              <w:sz w:val="24"/>
              <w:szCs w:val="24"/>
            </w:rPr>
            <w:t>Número del acuerdo de concesión:</w:t>
          </w:r>
          <w:r w:rsidR="007E6CBB" w:rsidRPr="009A46BB">
            <w:rPr>
              <w:rFonts w:ascii="Times New Roman" w:hAnsi="Times New Roman"/>
              <w:b/>
              <w:sz w:val="24"/>
              <w:szCs w:val="24"/>
            </w:rPr>
            <w:t xml:space="preserve"> </w:t>
          </w:r>
          <w:r w:rsidRPr="009A46BB">
            <w:rPr>
              <w:rFonts w:ascii="Times New Roman" w:hAnsi="Times New Roman"/>
              <w:sz w:val="24"/>
              <w:szCs w:val="24"/>
            </w:rPr>
            <w:t>Contrato de Concesión Portuaria No. 002 de 2005</w:t>
          </w:r>
        </w:p>
        <w:p w14:paraId="5D4EE780" w14:textId="6446B330" w:rsidR="00274429" w:rsidRPr="009A46BB" w:rsidRDefault="00274429" w:rsidP="298E9614">
          <w:pPr>
            <w:spacing w:after="0"/>
            <w:jc w:val="both"/>
            <w:rPr>
              <w:rFonts w:ascii="Times New Roman" w:hAnsi="Times New Roman"/>
              <w:sz w:val="24"/>
              <w:szCs w:val="24"/>
            </w:rPr>
          </w:pPr>
          <w:r w:rsidRPr="009A46BB">
            <w:rPr>
              <w:rFonts w:ascii="Times New Roman" w:hAnsi="Times New Roman"/>
              <w:b/>
              <w:sz w:val="24"/>
              <w:szCs w:val="24"/>
            </w:rPr>
            <w:t>Objeto / Descripción:</w:t>
          </w:r>
          <w:r w:rsidR="007E6CBB" w:rsidRPr="009A46BB">
            <w:rPr>
              <w:rFonts w:ascii="Times New Roman" w:hAnsi="Times New Roman"/>
              <w:b/>
              <w:sz w:val="24"/>
              <w:szCs w:val="24"/>
            </w:rPr>
            <w:t xml:space="preserve"> </w:t>
          </w:r>
          <w:r w:rsidRPr="009A46BB">
            <w:rPr>
              <w:rFonts w:ascii="Times New Roman" w:hAnsi="Times New Roman"/>
              <w:sz w:val="24"/>
              <w:szCs w:val="24"/>
            </w:rPr>
            <w:t xml:space="preserve">En virtud del Contrato de Concesión, se permite al CONCESIONARIO la ocupación en forma temporal y exclusiva de los bienes pertenecientes a la Nación descritos en la Cláusula Segunda del Contrato, para la construcción, operación y el desarrollo de </w:t>
          </w:r>
          <w:r w:rsidRPr="009A46BB">
            <w:rPr>
              <w:rFonts w:ascii="Times New Roman" w:hAnsi="Times New Roman"/>
              <w:sz w:val="24"/>
              <w:szCs w:val="24"/>
            </w:rPr>
            <w:lastRenderedPageBreak/>
            <w:t>actividades portuarias de servicio público, conforme lo establece la Cláusula Primera del Contrato</w:t>
          </w:r>
        </w:p>
        <w:p w14:paraId="17BAF09E" w14:textId="52004D75" w:rsidR="00274429" w:rsidRPr="009A46BB" w:rsidRDefault="00274429" w:rsidP="298E9614">
          <w:pPr>
            <w:spacing w:after="0"/>
            <w:jc w:val="both"/>
            <w:rPr>
              <w:rFonts w:ascii="Times New Roman" w:hAnsi="Times New Roman"/>
              <w:sz w:val="24"/>
              <w:szCs w:val="24"/>
            </w:rPr>
          </w:pPr>
          <w:r w:rsidRPr="009A46BB">
            <w:rPr>
              <w:rFonts w:ascii="Times New Roman" w:hAnsi="Times New Roman"/>
              <w:b/>
              <w:sz w:val="24"/>
              <w:szCs w:val="24"/>
            </w:rPr>
            <w:t>Valor inicial:</w:t>
          </w:r>
          <w:r w:rsidR="007E6CBB" w:rsidRPr="009A46BB">
            <w:rPr>
              <w:rFonts w:ascii="Times New Roman" w:hAnsi="Times New Roman"/>
              <w:b/>
              <w:sz w:val="24"/>
              <w:szCs w:val="24"/>
            </w:rPr>
            <w:t xml:space="preserve"> </w:t>
          </w:r>
          <w:r w:rsidRPr="009A46BB">
            <w:rPr>
              <w:rFonts w:ascii="Times New Roman" w:hAnsi="Times New Roman"/>
              <w:sz w:val="24"/>
              <w:szCs w:val="24"/>
            </w:rPr>
            <w:t>USD 258.739,26 Cláusula Séptima / Contrato No. 002 de 2005</w:t>
          </w:r>
        </w:p>
        <w:p w14:paraId="16DA422A" w14:textId="2FC3DF58" w:rsidR="00274429" w:rsidRPr="009A46BB" w:rsidRDefault="00274429" w:rsidP="298E9614">
          <w:pPr>
            <w:spacing w:after="0"/>
            <w:jc w:val="both"/>
            <w:rPr>
              <w:rFonts w:ascii="Times New Roman" w:hAnsi="Times New Roman"/>
              <w:sz w:val="24"/>
              <w:szCs w:val="24"/>
            </w:rPr>
          </w:pPr>
          <w:r w:rsidRPr="009A46BB">
            <w:rPr>
              <w:rFonts w:ascii="Times New Roman" w:hAnsi="Times New Roman"/>
              <w:b/>
              <w:sz w:val="24"/>
              <w:szCs w:val="24"/>
            </w:rPr>
            <w:t>Fecha de inicio:</w:t>
          </w:r>
          <w:r w:rsidR="007E6CBB" w:rsidRPr="009A46BB">
            <w:rPr>
              <w:rFonts w:ascii="Times New Roman" w:hAnsi="Times New Roman"/>
              <w:b/>
              <w:sz w:val="24"/>
              <w:szCs w:val="24"/>
            </w:rPr>
            <w:t xml:space="preserve"> </w:t>
          </w:r>
          <w:r w:rsidRPr="009A46BB">
            <w:rPr>
              <w:rFonts w:ascii="Times New Roman" w:hAnsi="Times New Roman"/>
              <w:sz w:val="24"/>
              <w:szCs w:val="24"/>
            </w:rPr>
            <w:t>28/12/2005</w:t>
          </w:r>
        </w:p>
        <w:p w14:paraId="170E7CA0" w14:textId="75A095CD" w:rsidR="00274429" w:rsidRPr="009A46BB" w:rsidRDefault="00274429" w:rsidP="298E9614">
          <w:pPr>
            <w:spacing w:after="0"/>
            <w:jc w:val="both"/>
            <w:rPr>
              <w:rFonts w:ascii="Times New Roman" w:hAnsi="Times New Roman"/>
              <w:sz w:val="24"/>
              <w:szCs w:val="24"/>
            </w:rPr>
          </w:pPr>
          <w:r w:rsidRPr="009A46BB">
            <w:rPr>
              <w:rFonts w:ascii="Times New Roman" w:hAnsi="Times New Roman"/>
              <w:b/>
              <w:sz w:val="24"/>
              <w:szCs w:val="24"/>
            </w:rPr>
            <w:t>Fecha de finalización estimada:</w:t>
          </w:r>
          <w:r w:rsidR="007E6CBB" w:rsidRPr="009A46BB">
            <w:rPr>
              <w:rFonts w:ascii="Times New Roman" w:hAnsi="Times New Roman"/>
              <w:b/>
              <w:sz w:val="24"/>
              <w:szCs w:val="24"/>
            </w:rPr>
            <w:t xml:space="preserve"> </w:t>
          </w:r>
          <w:r w:rsidRPr="009A46BB">
            <w:rPr>
              <w:rFonts w:ascii="Times New Roman" w:hAnsi="Times New Roman"/>
              <w:sz w:val="24"/>
              <w:szCs w:val="24"/>
            </w:rPr>
            <w:t>27/12/2025</w:t>
          </w:r>
        </w:p>
        <w:p w14:paraId="38AE5F04" w14:textId="413E80EE" w:rsidR="00274429" w:rsidRPr="009A46BB" w:rsidRDefault="00274429" w:rsidP="298E9614">
          <w:pPr>
            <w:spacing w:after="0"/>
            <w:jc w:val="both"/>
            <w:rPr>
              <w:rFonts w:ascii="Times New Roman" w:hAnsi="Times New Roman"/>
              <w:sz w:val="24"/>
              <w:szCs w:val="24"/>
            </w:rPr>
          </w:pPr>
          <w:r w:rsidRPr="009A46BB">
            <w:rPr>
              <w:rFonts w:ascii="Times New Roman" w:hAnsi="Times New Roman"/>
              <w:b/>
              <w:sz w:val="24"/>
              <w:szCs w:val="24"/>
            </w:rPr>
            <w:t>Tipo ID:</w:t>
          </w:r>
          <w:r w:rsidR="007E6CBB" w:rsidRPr="009A46BB">
            <w:rPr>
              <w:rFonts w:ascii="Times New Roman" w:hAnsi="Times New Roman"/>
              <w:b/>
              <w:sz w:val="24"/>
              <w:szCs w:val="24"/>
            </w:rPr>
            <w:t xml:space="preserve"> </w:t>
          </w:r>
          <w:r w:rsidRPr="009A46BB">
            <w:rPr>
              <w:rFonts w:ascii="Times New Roman" w:hAnsi="Times New Roman"/>
              <w:sz w:val="24"/>
              <w:szCs w:val="24"/>
            </w:rPr>
            <w:t>NIT</w:t>
          </w:r>
        </w:p>
        <w:p w14:paraId="0A0784B8" w14:textId="6D8FAA85" w:rsidR="00274429" w:rsidRPr="009A46BB" w:rsidRDefault="00274429" w:rsidP="298E9614">
          <w:pPr>
            <w:spacing w:after="0"/>
            <w:jc w:val="both"/>
            <w:rPr>
              <w:rFonts w:ascii="Times New Roman" w:hAnsi="Times New Roman"/>
              <w:sz w:val="24"/>
              <w:szCs w:val="24"/>
            </w:rPr>
          </w:pPr>
          <w:r w:rsidRPr="009A46BB">
            <w:rPr>
              <w:rFonts w:ascii="Times New Roman" w:hAnsi="Times New Roman"/>
              <w:b/>
              <w:sz w:val="24"/>
              <w:szCs w:val="24"/>
            </w:rPr>
            <w:t>Número ID:</w:t>
          </w:r>
          <w:r w:rsidR="007E6CBB" w:rsidRPr="009A46BB">
            <w:rPr>
              <w:rFonts w:ascii="Times New Roman" w:hAnsi="Times New Roman"/>
              <w:b/>
              <w:sz w:val="24"/>
              <w:szCs w:val="24"/>
            </w:rPr>
            <w:t xml:space="preserve"> </w:t>
          </w:r>
          <w:r w:rsidRPr="009A46BB">
            <w:rPr>
              <w:rFonts w:ascii="Times New Roman" w:hAnsi="Times New Roman"/>
              <w:sz w:val="24"/>
              <w:szCs w:val="24"/>
            </w:rPr>
            <w:t>830.020.263 - 7</w:t>
          </w:r>
        </w:p>
        <w:p w14:paraId="5A0EFDC1" w14:textId="3787D8F7" w:rsidR="00274429" w:rsidRPr="009A46BB" w:rsidRDefault="00274429" w:rsidP="298E9614">
          <w:pPr>
            <w:spacing w:after="0"/>
            <w:jc w:val="both"/>
            <w:rPr>
              <w:rFonts w:ascii="Times New Roman" w:hAnsi="Times New Roman"/>
              <w:sz w:val="24"/>
              <w:szCs w:val="24"/>
            </w:rPr>
          </w:pPr>
          <w:r w:rsidRPr="009A46BB">
            <w:rPr>
              <w:rFonts w:ascii="Times New Roman" w:hAnsi="Times New Roman"/>
              <w:b/>
              <w:sz w:val="24"/>
              <w:szCs w:val="24"/>
            </w:rPr>
            <w:t>Razón social del concesionario:</w:t>
          </w:r>
          <w:r w:rsidR="007E6CBB" w:rsidRPr="009A46BB">
            <w:rPr>
              <w:rFonts w:ascii="Times New Roman" w:hAnsi="Times New Roman"/>
              <w:b/>
              <w:sz w:val="24"/>
              <w:szCs w:val="24"/>
            </w:rPr>
            <w:t xml:space="preserve"> </w:t>
          </w:r>
          <w:r w:rsidRPr="009A46BB">
            <w:rPr>
              <w:rFonts w:ascii="Times New Roman" w:hAnsi="Times New Roman"/>
              <w:sz w:val="24"/>
              <w:szCs w:val="24"/>
            </w:rPr>
            <w:t>Grupo Portuario S.A</w:t>
          </w:r>
        </w:p>
        <w:p w14:paraId="392BF5A7" w14:textId="0466B2F5" w:rsidR="00274429" w:rsidRPr="009A46BB" w:rsidRDefault="00274429" w:rsidP="298E9614">
          <w:pPr>
            <w:spacing w:after="0"/>
            <w:jc w:val="both"/>
            <w:rPr>
              <w:rFonts w:ascii="Times New Roman" w:hAnsi="Times New Roman"/>
              <w:sz w:val="24"/>
              <w:szCs w:val="24"/>
            </w:rPr>
          </w:pPr>
          <w:r w:rsidRPr="009A46BB">
            <w:rPr>
              <w:rFonts w:ascii="Times New Roman" w:hAnsi="Times New Roman"/>
              <w:b/>
              <w:sz w:val="24"/>
              <w:szCs w:val="24"/>
            </w:rPr>
            <w:t>Nombre del proyecto:</w:t>
          </w:r>
          <w:r w:rsidR="007E6CBB" w:rsidRPr="009A46BB">
            <w:rPr>
              <w:rFonts w:ascii="Times New Roman" w:hAnsi="Times New Roman"/>
              <w:b/>
              <w:sz w:val="24"/>
              <w:szCs w:val="24"/>
            </w:rPr>
            <w:t xml:space="preserve"> </w:t>
          </w:r>
          <w:r w:rsidRPr="009A46BB">
            <w:rPr>
              <w:rFonts w:ascii="Times New Roman" w:hAnsi="Times New Roman"/>
              <w:sz w:val="24"/>
              <w:szCs w:val="24"/>
            </w:rPr>
            <w:t>Grupo Portuario S.A. - Lote 50 Metros</w:t>
          </w:r>
        </w:p>
        <w:p w14:paraId="28D974D7" w14:textId="1D1FAF64" w:rsidR="298E9614" w:rsidRDefault="298E9614" w:rsidP="298E9614">
          <w:pPr>
            <w:spacing w:after="0"/>
            <w:jc w:val="both"/>
            <w:rPr>
              <w:rFonts w:ascii="Times New Roman" w:hAnsi="Times New Roman"/>
              <w:sz w:val="24"/>
              <w:szCs w:val="24"/>
            </w:rPr>
          </w:pPr>
        </w:p>
        <w:p w14:paraId="667BE926" w14:textId="0F1316FA"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b.</w:t>
          </w:r>
          <w:r w:rsidR="5011C92C" w:rsidRPr="1F921885">
            <w:rPr>
              <w:rFonts w:ascii="Times New Roman" w:hAnsi="Times New Roman"/>
              <w:b/>
              <w:bCs/>
              <w:sz w:val="24"/>
              <w:szCs w:val="24"/>
            </w:rPr>
            <w:t xml:space="preserve"> </w:t>
          </w:r>
          <w:r w:rsidRPr="009A46BB">
            <w:rPr>
              <w:rFonts w:ascii="Times New Roman" w:hAnsi="Times New Roman"/>
              <w:b/>
              <w:sz w:val="24"/>
              <w:szCs w:val="24"/>
            </w:rPr>
            <w:t xml:space="preserve">Términos significativos del acuerdo que puedan afectar su valor, el calendario y la certeza de los flujos </w:t>
          </w:r>
        </w:p>
        <w:p w14:paraId="3AAC3CB5"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Términos de valor:</w:t>
          </w:r>
        </w:p>
        <w:p w14:paraId="7CA1C6CA"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Tarifas:</w:t>
          </w:r>
          <w:r w:rsidRPr="009A46BB">
            <w:rPr>
              <w:rFonts w:ascii="Times New Roman" w:hAnsi="Times New Roman"/>
              <w:sz w:val="24"/>
              <w:szCs w:val="24"/>
            </w:rPr>
            <w:t xml:space="preserve"> Al ser el terminal marítimo de servicio público la Ley 1ª de 1991 establece: Las sociedades portuarias que operan puertos de servicio público las tarifas requieren ser aprobadas según la metodología establecida por la Superintendencia General de Puertos hoy Superintendencia de Transporte.</w:t>
          </w:r>
        </w:p>
        <w:p w14:paraId="655427D2"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 xml:space="preserve">Contraprestación portuaria: </w:t>
          </w:r>
          <w:r w:rsidRPr="009A46BB">
            <w:rPr>
              <w:rFonts w:ascii="Times New Roman" w:hAnsi="Times New Roman"/>
              <w:sz w:val="24"/>
              <w:szCs w:val="24"/>
            </w:rPr>
            <w:t>De acuerdo con el último documento contractual vigente la metodología de contraprestación vigente es CONPES 2680 DE 1993 (Productividad). Se establece en la Cláusula Séptima del Contrato que el CONCESIONARIO deberá pagar por concepto de zona de uso público la suma anual de (USD 30.928,30), de dicho pago el 80% le corresponde a la Nación Instituto Nacional de Vías (INVIAS) y el 20% restante al Municipio de Buenaventura de acuerdo con lo establecido en el parágrafo 1 del artículo 1 de la Ley 856 del 21 de diciembre de 2003, que modifica el artículo 7 de la Ley 1ª de 1991.</w:t>
          </w:r>
        </w:p>
        <w:p w14:paraId="6888879E"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Plan de Inversiones:</w:t>
          </w:r>
          <w:r w:rsidRPr="009A46BB">
            <w:rPr>
              <w:rFonts w:ascii="Times New Roman" w:hAnsi="Times New Roman"/>
              <w:sz w:val="24"/>
              <w:szCs w:val="24"/>
            </w:rPr>
            <w:t xml:space="preserve"> Está establecido en la Cláusula Sexta del Contrato que el plan de inversión será de USD 805.652 en valores corrientes.</w:t>
          </w:r>
        </w:p>
        <w:p w14:paraId="58C79A8E"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Obligaciones del Concesionario:</w:t>
          </w:r>
          <w:r w:rsidRPr="009A46BB">
            <w:rPr>
              <w:rFonts w:ascii="Times New Roman" w:hAnsi="Times New Roman"/>
              <w:sz w:val="24"/>
              <w:szCs w:val="24"/>
            </w:rPr>
            <w:t xml:space="preserve"> Se encuentran descritas en la Cláusula Décima Cuarta del Contrato.</w:t>
          </w:r>
        </w:p>
        <w:p w14:paraId="7C811179"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Multas y sanciones:</w:t>
          </w:r>
          <w:r w:rsidRPr="009A46BB">
            <w:rPr>
              <w:rFonts w:ascii="Times New Roman" w:hAnsi="Times New Roman"/>
              <w:sz w:val="24"/>
              <w:szCs w:val="24"/>
            </w:rPr>
            <w:t xml:space="preserve"> Están establecidas en la Cláusula Décima Séptima del Contrato.</w:t>
          </w:r>
        </w:p>
        <w:p w14:paraId="7E8851A1"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Penal pecuniario:</w:t>
          </w:r>
          <w:r w:rsidRPr="009A46BB">
            <w:rPr>
              <w:rFonts w:ascii="Times New Roman" w:hAnsi="Times New Roman"/>
              <w:sz w:val="24"/>
              <w:szCs w:val="24"/>
            </w:rPr>
            <w:t xml:space="preserve"> En la Cláusula Décima Octava se establece que en el evento en que el INCO, hoy ANI, declare la caducidad o el incumplimiento del contrato, se podrá imponer una penalidad pecuniaria equivalente al 10% del valor total de la contraprestación</w:t>
          </w:r>
        </w:p>
        <w:p w14:paraId="4EB0854C"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Términos de calendario:</w:t>
          </w:r>
        </w:p>
        <w:p w14:paraId="64F69F88"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Tarifas:</w:t>
          </w:r>
          <w:r w:rsidRPr="009A46BB">
            <w:rPr>
              <w:rFonts w:ascii="Times New Roman" w:hAnsi="Times New Roman"/>
              <w:sz w:val="24"/>
              <w:szCs w:val="24"/>
            </w:rPr>
            <w:t xml:space="preserve"> Aprobadas según la metodología establecida por la Superintendencia General de Puertos hoy Superintendencia de Transporte.</w:t>
          </w:r>
        </w:p>
        <w:p w14:paraId="645305F6"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Contraprestación portuaria:</w:t>
          </w:r>
          <w:r w:rsidRPr="009A46BB">
            <w:rPr>
              <w:rFonts w:ascii="Times New Roman" w:hAnsi="Times New Roman"/>
              <w:sz w:val="24"/>
              <w:szCs w:val="24"/>
            </w:rPr>
            <w:t xml:space="preserve"> La contraprestación se debe pagar en anualidades anticipadas, dentro de los cinco (5) días siguientes a la fecha del vencimiento de la anualidad (28 de diciembre de cada año).</w:t>
          </w:r>
        </w:p>
        <w:p w14:paraId="60189B3D"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lastRenderedPageBreak/>
            <w:t>Plan de inversiones:</w:t>
          </w:r>
          <w:r w:rsidRPr="009A46BB">
            <w:rPr>
              <w:rFonts w:ascii="Times New Roman" w:hAnsi="Times New Roman"/>
              <w:sz w:val="24"/>
              <w:szCs w:val="24"/>
            </w:rPr>
            <w:t xml:space="preserve"> Se estableció en la Cláusula Sexta del Contrato de concesión la ejecución de inversiones en el periodo de tiempo comprendido entre el año 2005 a 2006.</w:t>
          </w:r>
        </w:p>
        <w:p w14:paraId="2B084A14"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Multas:</w:t>
          </w:r>
          <w:r w:rsidRPr="009A46BB">
            <w:rPr>
              <w:rFonts w:ascii="Times New Roman" w:hAnsi="Times New Roman"/>
              <w:sz w:val="24"/>
              <w:szCs w:val="24"/>
            </w:rPr>
            <w:t xml:space="preserve"> Están establecidas en la Cláusula Décima Séptima del Contrato de Concesión Portuaria No. 002 de 2005.</w:t>
          </w:r>
        </w:p>
        <w:p w14:paraId="780EAFB6"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Términos de certeza de flujos de efectivo futuros:</w:t>
          </w:r>
        </w:p>
        <w:p w14:paraId="6677E023"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Se otorga a EL CONCESIONARIO el derecho de ocupar y utilizar en forma temporal y exclusiva los bienes pertenecientes a la Nación determinados en la cláusula segunda del contrato, a cambio de la contraprestación económica.</w:t>
          </w:r>
        </w:p>
        <w:p w14:paraId="1FDE84D8"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El numeral 7.2 de la Cláusula Séptima del Contrato indica que, del valor a pagar por concepto de contraprestación por Zona de Uso público, el 80% le corresponde a la Nación-INVIAS y el 20 % al Municipio de Buenaventura.</w:t>
          </w:r>
        </w:p>
        <w:p w14:paraId="369B1C0D" w14:textId="59FA983A" w:rsidR="00274429" w:rsidRPr="009A46BB" w:rsidRDefault="00274429" w:rsidP="00E60BAB">
          <w:pPr>
            <w:pStyle w:val="Prrafodelista"/>
            <w:numPr>
              <w:ilvl w:val="0"/>
              <w:numId w:val="86"/>
            </w:numPr>
            <w:jc w:val="both"/>
            <w:rPr>
              <w:rFonts w:ascii="Times New Roman" w:hAnsi="Times New Roman"/>
              <w:b/>
            </w:rPr>
          </w:pPr>
          <w:r w:rsidRPr="009A46BB">
            <w:rPr>
              <w:rFonts w:ascii="Times New Roman" w:hAnsi="Times New Roman"/>
              <w:b/>
              <w:sz w:val="24"/>
              <w:szCs w:val="24"/>
            </w:rPr>
            <w:t xml:space="preserve">Naturaleza y alcance del derecho a utilizar activos especificados, de los aspectos pactados en torno a lo que se espera que el concesionario proporcione en relación con el acuerdo de concesión </w:t>
          </w:r>
        </w:p>
        <w:p w14:paraId="778FE06F"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Naturaleza y alcance del derecho de uso de los activos</w:t>
          </w:r>
        </w:p>
        <w:p w14:paraId="65A1E7A0" w14:textId="4228C786"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w:t>
          </w:r>
          <w:r w:rsidRPr="009A46BB">
            <w:rPr>
              <w:rFonts w:ascii="Times New Roman" w:hAnsi="Times New Roman"/>
              <w:sz w:val="24"/>
              <w:szCs w:val="24"/>
            </w:rPr>
            <w:tab/>
            <w:t>Descripción del proyecto, especificaciones técnicas, modalidades de operación: las condiciones especiales de operación del puerto están establecidas en la cláusula cuarta.</w:t>
          </w:r>
        </w:p>
        <w:p w14:paraId="0F3FD525"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 xml:space="preserve"> Área entregada en concesión:</w:t>
          </w:r>
          <w:r w:rsidRPr="009A46BB">
            <w:rPr>
              <w:rFonts w:ascii="Times New Roman" w:hAnsi="Times New Roman"/>
              <w:sz w:val="24"/>
              <w:szCs w:val="24"/>
            </w:rPr>
            <w:t xml:space="preserve"> La descripción de la ubicación, linderos y extensión de los bienes de uso público (Zona de Uso Público terrestre, accesos marítimos y acceso terrestre) entregados en concesión están establecidos en la cláusula segunda. </w:t>
          </w:r>
        </w:p>
        <w:p w14:paraId="1EE0B520" w14:textId="317B4A8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Infraestructura y equipos entregados en concesión:</w:t>
          </w:r>
          <w:r w:rsidRPr="009A46BB">
            <w:rPr>
              <w:rFonts w:ascii="Times New Roman" w:hAnsi="Times New Roman"/>
              <w:sz w:val="24"/>
              <w:szCs w:val="24"/>
            </w:rPr>
            <w:t xml:space="preserve"> En la cláusula segunda del Contrato, se describe que lo entregado en concesión fue:</w:t>
          </w:r>
        </w:p>
        <w:p w14:paraId="2D914772"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Infraestructura:</w:t>
          </w:r>
          <w:r w:rsidRPr="009A46BB">
            <w:rPr>
              <w:rFonts w:ascii="Times New Roman" w:hAnsi="Times New Roman"/>
              <w:sz w:val="24"/>
              <w:szCs w:val="24"/>
            </w:rPr>
            <w:t xml:space="preserve"> Corresponde a la proyección de un muelle de 20 metros de ancho por 10.43 metros de ancho.</w:t>
          </w:r>
        </w:p>
        <w:p w14:paraId="396EAA72"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Retribución al concesionario</w:t>
          </w:r>
        </w:p>
        <w:p w14:paraId="658D9C92"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w:t>
          </w:r>
          <w:r w:rsidRPr="009A46BB">
            <w:rPr>
              <w:rFonts w:ascii="Times New Roman" w:hAnsi="Times New Roman"/>
              <w:b/>
              <w:sz w:val="24"/>
              <w:szCs w:val="24"/>
            </w:rPr>
            <w:tab/>
          </w:r>
          <w:r w:rsidRPr="009A46BB">
            <w:rPr>
              <w:rFonts w:ascii="Times New Roman" w:hAnsi="Times New Roman"/>
              <w:sz w:val="24"/>
              <w:szCs w:val="24"/>
            </w:rPr>
            <w:t>Cláusula Primera del Contrato No. 002 de 2005: Se otorga a EL CONCESIONARIO el derecho de ocupar y utilizar en forma temporal y exclusiva los bienes pertenecientes a la Nación determinados en la cláusula segunda del contrato, a cambio de la contraprestación establecida en la Cláusula Séptima del contrato</w:t>
          </w:r>
        </w:p>
        <w:p w14:paraId="04BC7FFC"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Tasa de retribución:</w:t>
          </w:r>
          <w:r w:rsidRPr="009A46BB">
            <w:rPr>
              <w:rFonts w:ascii="Times New Roman" w:hAnsi="Times New Roman"/>
              <w:b/>
              <w:sz w:val="24"/>
              <w:szCs w:val="24"/>
            </w:rPr>
            <w:tab/>
          </w:r>
          <w:r w:rsidRPr="009A46BB">
            <w:rPr>
              <w:rFonts w:ascii="Times New Roman" w:hAnsi="Times New Roman"/>
              <w:sz w:val="24"/>
              <w:szCs w:val="24"/>
            </w:rPr>
            <w:t>N/A</w:t>
          </w:r>
        </w:p>
        <w:p w14:paraId="4E868C16" w14:textId="35BA95EE" w:rsidR="00274429" w:rsidRPr="009A46BB" w:rsidRDefault="00274429" w:rsidP="00E60BAB">
          <w:pPr>
            <w:pStyle w:val="Prrafodelista"/>
            <w:numPr>
              <w:ilvl w:val="0"/>
              <w:numId w:val="86"/>
            </w:numPr>
            <w:jc w:val="both"/>
            <w:rPr>
              <w:rFonts w:ascii="Times New Roman" w:hAnsi="Times New Roman"/>
              <w:b/>
            </w:rPr>
          </w:pPr>
          <w:r w:rsidRPr="009A46BB">
            <w:rPr>
              <w:rFonts w:ascii="Times New Roman" w:hAnsi="Times New Roman"/>
              <w:b/>
              <w:sz w:val="24"/>
              <w:szCs w:val="24"/>
            </w:rPr>
            <w:t>Derechos a recibir activos especificados al final del acuerdo de concesión</w:t>
          </w:r>
        </w:p>
        <w:p w14:paraId="1AB901E9"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w:t>
          </w:r>
          <w:r w:rsidRPr="009A46BB">
            <w:rPr>
              <w:rFonts w:ascii="Times New Roman" w:hAnsi="Times New Roman"/>
              <w:sz w:val="24"/>
              <w:szCs w:val="24"/>
            </w:rPr>
            <w:t>:</w:t>
          </w:r>
          <w:r w:rsidRPr="009A46BB">
            <w:rPr>
              <w:rFonts w:ascii="Times New Roman" w:hAnsi="Times New Roman"/>
              <w:sz w:val="24"/>
              <w:szCs w:val="24"/>
            </w:rPr>
            <w:tab/>
            <w:t>Cláusula Primera del Contrato No. 002 de 2005: Se otorga a EL CONCESIONARIO el derecho de ocupar y utilizar en forma temporal y exclusiva los bienes pertenecientes a la Nación determinados en la cláusula segunda del contrato, a cambio de la contraprestación establecida en la Cláusula Séptima del contrato.</w:t>
          </w:r>
        </w:p>
        <w:p w14:paraId="468AF9EC"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lastRenderedPageBreak/>
            <w:t>Observaciones</w:t>
          </w:r>
          <w:r w:rsidRPr="009A46BB">
            <w:rPr>
              <w:rFonts w:ascii="Times New Roman" w:hAnsi="Times New Roman"/>
              <w:sz w:val="24"/>
              <w:szCs w:val="24"/>
            </w:rPr>
            <w:t>:</w:t>
          </w:r>
        </w:p>
        <w:p w14:paraId="5CA2A800"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Reversión</w:t>
          </w:r>
          <w:r w:rsidRPr="009A46BB">
            <w:rPr>
              <w:rFonts w:ascii="Times New Roman" w:hAnsi="Times New Roman"/>
              <w:sz w:val="24"/>
              <w:szCs w:val="24"/>
            </w:rPr>
            <w:t xml:space="preserve">: De acuerdo con lo establecido en la Cláusula Décima Primera del contrato de concesión, la zona de uso público y todas las construcciones (obras e inversiones), y los inmuebles por destinación (equipos e inversiones) otorgadas en concesión se revertirán a la Nación en buenas condiciones de operación tecnológica, mantenimiento y de adecuada eficiencia al término de este contrato y de las prórrogas si la hubiere. Igualmente procederá la reversión al ser declarada la caducidad o la terminación unilateral. </w:t>
          </w:r>
        </w:p>
        <w:p w14:paraId="6713FCF6"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Para tal fin, en el momento de la reversión el CONCESIONARIO deberá hacer entrega de un avaluó comercial actualizado y valoración técnica de las condiciones de operación de la infraestructura portuaria, equipos e inmuebles por destinación que habitualmente se encuentren instalados en las zonas de uso público que se revierten y que son propiedad de la Nación.</w:t>
          </w:r>
        </w:p>
        <w:p w14:paraId="04DC57F7" w14:textId="31FAFE59" w:rsidR="00274429" w:rsidRPr="009A46BB" w:rsidRDefault="007E6CBB" w:rsidP="00E60BAB">
          <w:pPr>
            <w:pStyle w:val="Prrafodelista"/>
            <w:numPr>
              <w:ilvl w:val="0"/>
              <w:numId w:val="86"/>
            </w:numPr>
            <w:jc w:val="both"/>
            <w:rPr>
              <w:rFonts w:ascii="Times New Roman" w:hAnsi="Times New Roman"/>
              <w:b/>
            </w:rPr>
          </w:pPr>
          <w:r w:rsidRPr="009A46BB">
            <w:rPr>
              <w:rFonts w:ascii="Times New Roman" w:hAnsi="Times New Roman"/>
              <w:b/>
              <w:sz w:val="24"/>
              <w:szCs w:val="24"/>
            </w:rPr>
            <w:t>No hay c</w:t>
          </w:r>
          <w:r w:rsidR="00274429" w:rsidRPr="009A46BB">
            <w:rPr>
              <w:rFonts w:ascii="Times New Roman" w:hAnsi="Times New Roman"/>
              <w:b/>
              <w:sz w:val="24"/>
              <w:szCs w:val="24"/>
            </w:rPr>
            <w:t>ambios en el acuerdo de concesión que se realicen durante el periodo fiscal</w:t>
          </w:r>
        </w:p>
        <w:p w14:paraId="1427561B" w14:textId="26315DEC" w:rsidR="00274429" w:rsidRPr="009A46BB" w:rsidRDefault="00274429" w:rsidP="00274429">
          <w:pPr>
            <w:jc w:val="both"/>
            <w:rPr>
              <w:rFonts w:ascii="Times New Roman" w:hAnsi="Times New Roman"/>
              <w:sz w:val="24"/>
              <w:szCs w:val="24"/>
            </w:rPr>
          </w:pPr>
        </w:p>
        <w:p w14:paraId="441F0633" w14:textId="77777777" w:rsidR="00274429" w:rsidRPr="009A46BB" w:rsidRDefault="00274429" w:rsidP="00274429">
          <w:pPr>
            <w:jc w:val="both"/>
            <w:rPr>
              <w:rFonts w:ascii="Times New Roman" w:hAnsi="Times New Roman"/>
              <w:sz w:val="24"/>
              <w:szCs w:val="24"/>
            </w:rPr>
          </w:pPr>
        </w:p>
        <w:p w14:paraId="753DBBCC" w14:textId="76E2D844" w:rsidR="00274429" w:rsidRPr="009A46BB" w:rsidRDefault="007E6CBB" w:rsidP="007E6CBB">
          <w:pPr>
            <w:spacing w:line="259" w:lineRule="auto"/>
            <w:jc w:val="both"/>
            <w:rPr>
              <w:rFonts w:ascii="Times New Roman" w:hAnsi="Times New Roman"/>
              <w:b/>
              <w:sz w:val="24"/>
              <w:szCs w:val="24"/>
            </w:rPr>
          </w:pPr>
          <w:r w:rsidRPr="009A46BB">
            <w:rPr>
              <w:rFonts w:ascii="Times New Roman" w:hAnsi="Times New Roman"/>
              <w:b/>
              <w:sz w:val="24"/>
              <w:szCs w:val="24"/>
            </w:rPr>
            <w:t>SOCIEDAD VOPAK COLOMBIA S.A.</w:t>
          </w:r>
        </w:p>
        <w:p w14:paraId="184D7E28" w14:textId="54CB1DC8" w:rsidR="00274429" w:rsidRPr="009A46BB" w:rsidRDefault="00274429" w:rsidP="1A7ADF63">
          <w:pPr>
            <w:pStyle w:val="Prrafodelista"/>
            <w:jc w:val="both"/>
            <w:rPr>
              <w:rFonts w:ascii="Times New Roman" w:hAnsi="Times New Roman"/>
              <w:b/>
            </w:rPr>
          </w:pPr>
          <w:r w:rsidRPr="009A46BB">
            <w:rPr>
              <w:rFonts w:ascii="Times New Roman" w:hAnsi="Times New Roman"/>
              <w:b/>
              <w:sz w:val="24"/>
              <w:szCs w:val="24"/>
            </w:rPr>
            <w:t>Descripción del acuerdo</w:t>
          </w:r>
        </w:p>
        <w:p w14:paraId="08352775" w14:textId="4E6F8725" w:rsidR="00274429" w:rsidRPr="009A46BB" w:rsidRDefault="00274429" w:rsidP="1A7ADF63">
          <w:pPr>
            <w:spacing w:after="0"/>
            <w:jc w:val="both"/>
            <w:rPr>
              <w:rFonts w:ascii="Times New Roman" w:hAnsi="Times New Roman"/>
              <w:sz w:val="24"/>
              <w:szCs w:val="24"/>
            </w:rPr>
          </w:pPr>
          <w:r w:rsidRPr="009A46BB">
            <w:rPr>
              <w:rFonts w:ascii="Times New Roman" w:hAnsi="Times New Roman"/>
              <w:b/>
              <w:sz w:val="24"/>
              <w:szCs w:val="24"/>
            </w:rPr>
            <w:t>Número del acuerdo de concesión:</w:t>
          </w:r>
          <w:r w:rsidR="007E6CBB" w:rsidRPr="009A46BB">
            <w:rPr>
              <w:rFonts w:ascii="Times New Roman" w:hAnsi="Times New Roman"/>
              <w:b/>
              <w:sz w:val="24"/>
              <w:szCs w:val="24"/>
            </w:rPr>
            <w:t xml:space="preserve"> </w:t>
          </w:r>
          <w:r w:rsidRPr="009A46BB">
            <w:rPr>
              <w:rFonts w:ascii="Times New Roman" w:hAnsi="Times New Roman"/>
              <w:sz w:val="24"/>
              <w:szCs w:val="24"/>
            </w:rPr>
            <w:t>Contrato No. 003 de 2005.</w:t>
          </w:r>
        </w:p>
        <w:p w14:paraId="3A70BD1D" w14:textId="743EC55F" w:rsidR="00274429" w:rsidRPr="009A46BB" w:rsidRDefault="00274429" w:rsidP="1A7ADF63">
          <w:pPr>
            <w:spacing w:after="0"/>
            <w:jc w:val="both"/>
            <w:rPr>
              <w:rFonts w:ascii="Times New Roman" w:hAnsi="Times New Roman"/>
              <w:sz w:val="24"/>
              <w:szCs w:val="24"/>
            </w:rPr>
          </w:pPr>
          <w:r w:rsidRPr="009A46BB">
            <w:rPr>
              <w:rFonts w:ascii="Times New Roman" w:hAnsi="Times New Roman"/>
              <w:b/>
              <w:sz w:val="24"/>
              <w:szCs w:val="24"/>
            </w:rPr>
            <w:t>Objeto / Descripción:</w:t>
          </w:r>
          <w:r w:rsidR="007E6CBB" w:rsidRPr="009A46BB">
            <w:rPr>
              <w:rFonts w:ascii="Times New Roman" w:hAnsi="Times New Roman"/>
              <w:b/>
              <w:sz w:val="24"/>
              <w:szCs w:val="24"/>
            </w:rPr>
            <w:t xml:space="preserve"> </w:t>
          </w:r>
          <w:r w:rsidRPr="009A46BB">
            <w:rPr>
              <w:rFonts w:ascii="Times New Roman" w:hAnsi="Times New Roman"/>
              <w:sz w:val="24"/>
              <w:szCs w:val="24"/>
            </w:rPr>
            <w:t>EL INCO en virtud del presente contrato, otorga formalmente una concesión portuaria al CONCESIONARIO, para ocupar y utilizar temporalmente y exclusiva los bienes pertenecientes a la Nación determinados en la cláusula segunda del presente contrato, ubicados en el Distrito de Cartagena, Departamento de Bolívar, destinados a la prestación del servicio de cargue y descargue (bombeo) y almacenamiento de productos químicos líquidos a granel, por el tiempo de ejecución estipulado, a cambio de la contraprestación establecida en la Cláusula Octava de éste contrato.</w:t>
          </w:r>
        </w:p>
        <w:p w14:paraId="1FFEB619" w14:textId="3A0BCDD3" w:rsidR="00274429" w:rsidRPr="009A46BB" w:rsidRDefault="00274429" w:rsidP="00730054">
          <w:pPr>
            <w:spacing w:after="0"/>
            <w:jc w:val="both"/>
            <w:rPr>
              <w:rFonts w:ascii="Times New Roman" w:hAnsi="Times New Roman"/>
              <w:sz w:val="24"/>
              <w:szCs w:val="24"/>
            </w:rPr>
          </w:pPr>
          <w:r w:rsidRPr="009A46BB">
            <w:rPr>
              <w:rFonts w:ascii="Times New Roman" w:hAnsi="Times New Roman"/>
              <w:b/>
              <w:sz w:val="24"/>
              <w:szCs w:val="24"/>
            </w:rPr>
            <w:t>Valor inicial:</w:t>
          </w:r>
          <w:r w:rsidR="007E6CBB" w:rsidRPr="009A46BB">
            <w:rPr>
              <w:rFonts w:ascii="Times New Roman" w:hAnsi="Times New Roman"/>
              <w:b/>
              <w:sz w:val="24"/>
              <w:szCs w:val="24"/>
            </w:rPr>
            <w:t xml:space="preserve"> </w:t>
          </w:r>
          <w:r w:rsidRPr="009A46BB">
            <w:rPr>
              <w:rFonts w:ascii="Times New Roman" w:hAnsi="Times New Roman"/>
              <w:sz w:val="24"/>
              <w:szCs w:val="24"/>
            </w:rPr>
            <w:t>USD $1.001.738.54, Cláusula Primera/Otrosí No. 02 de 26 de septiembre de 2008.</w:t>
          </w:r>
        </w:p>
        <w:p w14:paraId="5B141990" w14:textId="30BF53FC" w:rsidR="00274429" w:rsidRPr="009A46BB" w:rsidRDefault="00274429" w:rsidP="00730054">
          <w:pPr>
            <w:spacing w:after="0"/>
            <w:jc w:val="both"/>
            <w:rPr>
              <w:rFonts w:ascii="Times New Roman" w:hAnsi="Times New Roman"/>
              <w:sz w:val="24"/>
              <w:szCs w:val="24"/>
            </w:rPr>
          </w:pPr>
          <w:r w:rsidRPr="009A46BB">
            <w:rPr>
              <w:rFonts w:ascii="Times New Roman" w:hAnsi="Times New Roman"/>
              <w:b/>
              <w:sz w:val="24"/>
              <w:szCs w:val="24"/>
            </w:rPr>
            <w:t>Fecha de inicio:</w:t>
          </w:r>
          <w:r w:rsidR="007E6CBB" w:rsidRPr="009A46BB">
            <w:rPr>
              <w:rFonts w:ascii="Times New Roman" w:hAnsi="Times New Roman"/>
              <w:b/>
              <w:sz w:val="24"/>
              <w:szCs w:val="24"/>
            </w:rPr>
            <w:t xml:space="preserve"> </w:t>
          </w:r>
          <w:r w:rsidRPr="009A46BB">
            <w:rPr>
              <w:rFonts w:ascii="Times New Roman" w:hAnsi="Times New Roman"/>
              <w:sz w:val="24"/>
              <w:szCs w:val="24"/>
            </w:rPr>
            <w:t>29/12/2005</w:t>
          </w:r>
        </w:p>
        <w:p w14:paraId="13A3BB27" w14:textId="0B9E97DD" w:rsidR="00274429" w:rsidRPr="009A46BB" w:rsidRDefault="00274429" w:rsidP="00730054">
          <w:pPr>
            <w:spacing w:after="0"/>
            <w:jc w:val="both"/>
            <w:rPr>
              <w:rFonts w:ascii="Times New Roman" w:hAnsi="Times New Roman"/>
              <w:sz w:val="24"/>
              <w:szCs w:val="24"/>
            </w:rPr>
          </w:pPr>
          <w:r w:rsidRPr="009A46BB">
            <w:rPr>
              <w:rFonts w:ascii="Times New Roman" w:hAnsi="Times New Roman"/>
              <w:b/>
              <w:sz w:val="24"/>
              <w:szCs w:val="24"/>
            </w:rPr>
            <w:t>Fecha de finalización estimada:</w:t>
          </w:r>
          <w:r w:rsidR="007E6CBB" w:rsidRPr="009A46BB">
            <w:rPr>
              <w:rFonts w:ascii="Times New Roman" w:hAnsi="Times New Roman"/>
              <w:b/>
              <w:sz w:val="24"/>
              <w:szCs w:val="24"/>
            </w:rPr>
            <w:t xml:space="preserve"> </w:t>
          </w:r>
          <w:r w:rsidRPr="009A46BB">
            <w:rPr>
              <w:rFonts w:ascii="Times New Roman" w:hAnsi="Times New Roman"/>
              <w:sz w:val="24"/>
              <w:szCs w:val="24"/>
            </w:rPr>
            <w:t>28/12/2025</w:t>
          </w:r>
        </w:p>
        <w:p w14:paraId="04A20C4A" w14:textId="49E782C3" w:rsidR="00274429" w:rsidRPr="009A46BB" w:rsidRDefault="00274429" w:rsidP="00730054">
          <w:pPr>
            <w:spacing w:after="0"/>
            <w:jc w:val="both"/>
            <w:rPr>
              <w:rFonts w:ascii="Times New Roman" w:hAnsi="Times New Roman"/>
              <w:sz w:val="24"/>
              <w:szCs w:val="24"/>
            </w:rPr>
          </w:pPr>
          <w:r w:rsidRPr="009A46BB">
            <w:rPr>
              <w:rFonts w:ascii="Times New Roman" w:hAnsi="Times New Roman"/>
              <w:b/>
              <w:sz w:val="24"/>
              <w:szCs w:val="24"/>
            </w:rPr>
            <w:t>Tipo ID:</w:t>
          </w:r>
          <w:r w:rsidR="007E6CBB" w:rsidRPr="009A46BB">
            <w:rPr>
              <w:rFonts w:ascii="Times New Roman" w:hAnsi="Times New Roman"/>
              <w:b/>
              <w:sz w:val="24"/>
              <w:szCs w:val="24"/>
            </w:rPr>
            <w:t xml:space="preserve"> </w:t>
          </w:r>
          <w:r w:rsidRPr="009A46BB">
            <w:rPr>
              <w:rFonts w:ascii="Times New Roman" w:hAnsi="Times New Roman"/>
              <w:sz w:val="24"/>
              <w:szCs w:val="24"/>
            </w:rPr>
            <w:t>NIT</w:t>
          </w:r>
        </w:p>
        <w:p w14:paraId="327C83FF" w14:textId="3D36C5C8" w:rsidR="00274429" w:rsidRPr="009A46BB" w:rsidRDefault="00274429" w:rsidP="00730054">
          <w:pPr>
            <w:spacing w:after="0"/>
            <w:jc w:val="both"/>
            <w:rPr>
              <w:rFonts w:ascii="Times New Roman" w:hAnsi="Times New Roman"/>
              <w:sz w:val="24"/>
              <w:szCs w:val="24"/>
            </w:rPr>
          </w:pPr>
          <w:r w:rsidRPr="009A46BB">
            <w:rPr>
              <w:rFonts w:ascii="Times New Roman" w:hAnsi="Times New Roman"/>
              <w:b/>
              <w:sz w:val="24"/>
              <w:szCs w:val="24"/>
            </w:rPr>
            <w:t>Número ID:</w:t>
          </w:r>
          <w:r w:rsidR="007E6CBB" w:rsidRPr="009A46BB">
            <w:rPr>
              <w:rFonts w:ascii="Times New Roman" w:hAnsi="Times New Roman"/>
              <w:b/>
              <w:sz w:val="24"/>
              <w:szCs w:val="24"/>
            </w:rPr>
            <w:t xml:space="preserve"> </w:t>
          </w:r>
          <w:r w:rsidRPr="009A46BB">
            <w:rPr>
              <w:rFonts w:ascii="Times New Roman" w:hAnsi="Times New Roman"/>
              <w:sz w:val="24"/>
              <w:szCs w:val="24"/>
            </w:rPr>
            <w:t>860.040.201-5</w:t>
          </w:r>
        </w:p>
        <w:p w14:paraId="5AAEB138" w14:textId="255E9054" w:rsidR="00274429" w:rsidRPr="009A46BB" w:rsidRDefault="00274429" w:rsidP="00730054">
          <w:pPr>
            <w:spacing w:after="0"/>
            <w:jc w:val="both"/>
            <w:rPr>
              <w:rFonts w:ascii="Times New Roman" w:hAnsi="Times New Roman"/>
              <w:sz w:val="24"/>
              <w:szCs w:val="24"/>
            </w:rPr>
          </w:pPr>
          <w:r w:rsidRPr="009A46BB">
            <w:rPr>
              <w:rFonts w:ascii="Times New Roman" w:hAnsi="Times New Roman"/>
              <w:b/>
              <w:sz w:val="24"/>
              <w:szCs w:val="24"/>
            </w:rPr>
            <w:t>Razón social del concesionario:</w:t>
          </w:r>
          <w:r w:rsidR="007E6CBB" w:rsidRPr="009A46BB">
            <w:rPr>
              <w:rFonts w:ascii="Times New Roman" w:hAnsi="Times New Roman"/>
              <w:b/>
              <w:sz w:val="24"/>
              <w:szCs w:val="24"/>
            </w:rPr>
            <w:t xml:space="preserve"> </w:t>
          </w:r>
          <w:r w:rsidRPr="009A46BB">
            <w:rPr>
              <w:rFonts w:ascii="Times New Roman" w:hAnsi="Times New Roman"/>
              <w:sz w:val="24"/>
              <w:szCs w:val="24"/>
            </w:rPr>
            <w:t>Sociedad Vopak Colombia S.A.</w:t>
          </w:r>
        </w:p>
        <w:p w14:paraId="5802ABA3" w14:textId="723CFB59" w:rsidR="00274429" w:rsidRPr="009A46BB" w:rsidRDefault="00274429" w:rsidP="00730054">
          <w:pPr>
            <w:spacing w:after="0"/>
            <w:jc w:val="both"/>
            <w:rPr>
              <w:rFonts w:ascii="Times New Roman" w:hAnsi="Times New Roman"/>
              <w:sz w:val="24"/>
              <w:szCs w:val="24"/>
            </w:rPr>
          </w:pPr>
          <w:r w:rsidRPr="009A46BB">
            <w:rPr>
              <w:rFonts w:ascii="Times New Roman" w:hAnsi="Times New Roman"/>
              <w:b/>
              <w:sz w:val="24"/>
              <w:szCs w:val="24"/>
            </w:rPr>
            <w:t>Nombre del proyecto:</w:t>
          </w:r>
          <w:r w:rsidR="007E6CBB" w:rsidRPr="009A46BB">
            <w:rPr>
              <w:rFonts w:ascii="Times New Roman" w:hAnsi="Times New Roman"/>
              <w:b/>
              <w:sz w:val="24"/>
              <w:szCs w:val="24"/>
            </w:rPr>
            <w:t xml:space="preserve"> </w:t>
          </w:r>
          <w:r w:rsidRPr="009A46BB">
            <w:rPr>
              <w:rFonts w:ascii="Times New Roman" w:hAnsi="Times New Roman"/>
              <w:sz w:val="24"/>
              <w:szCs w:val="24"/>
            </w:rPr>
            <w:t>Sociedad Vopak Colombia S.A.</w:t>
          </w:r>
        </w:p>
        <w:p w14:paraId="1B403723" w14:textId="73707628" w:rsidR="1A7ADF63" w:rsidRDefault="1A7ADF63" w:rsidP="1A7ADF63">
          <w:pPr>
            <w:spacing w:after="0"/>
            <w:jc w:val="both"/>
            <w:rPr>
              <w:rFonts w:ascii="Times New Roman" w:hAnsi="Times New Roman"/>
              <w:sz w:val="24"/>
              <w:szCs w:val="24"/>
            </w:rPr>
          </w:pPr>
        </w:p>
        <w:p w14:paraId="797F6740" w14:textId="1E2A0E9C" w:rsidR="00274429" w:rsidRPr="009A46BB" w:rsidRDefault="00274429" w:rsidP="1A7ADF63">
          <w:pPr>
            <w:pStyle w:val="Prrafodelista"/>
            <w:jc w:val="both"/>
            <w:rPr>
              <w:rFonts w:ascii="Times New Roman" w:hAnsi="Times New Roman"/>
              <w:b/>
            </w:rPr>
          </w:pPr>
          <w:r w:rsidRPr="009A46BB">
            <w:rPr>
              <w:rFonts w:ascii="Times New Roman" w:hAnsi="Times New Roman"/>
              <w:b/>
              <w:sz w:val="24"/>
              <w:szCs w:val="24"/>
            </w:rPr>
            <w:t xml:space="preserve">Términos significativos del acuerdo que puedan afectar su valor, el calendario y la certeza de los flujos </w:t>
          </w:r>
        </w:p>
        <w:p w14:paraId="27A8F6B1"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Términos de valor:</w:t>
          </w:r>
          <w:r w:rsidRPr="009A46BB">
            <w:rPr>
              <w:rFonts w:ascii="Times New Roman" w:hAnsi="Times New Roman"/>
              <w:b/>
              <w:sz w:val="24"/>
              <w:szCs w:val="24"/>
            </w:rPr>
            <w:tab/>
          </w:r>
        </w:p>
        <w:p w14:paraId="180CA245"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lastRenderedPageBreak/>
            <w:t>1: Tarifas:</w:t>
          </w:r>
          <w:r w:rsidRPr="009A46BB">
            <w:rPr>
              <w:rFonts w:ascii="Times New Roman" w:hAnsi="Times New Roman"/>
              <w:sz w:val="24"/>
              <w:szCs w:val="24"/>
            </w:rPr>
            <w:t xml:space="preserve">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w:t>
          </w:r>
        </w:p>
        <w:p w14:paraId="37B9ECDC"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2: Contraprestación portuaria:</w:t>
          </w:r>
          <w:r w:rsidRPr="009A46BB">
            <w:rPr>
              <w:rFonts w:ascii="Times New Roman" w:hAnsi="Times New Roman"/>
              <w:sz w:val="24"/>
              <w:szCs w:val="24"/>
            </w:rPr>
            <w:t xml:space="preserve"> De acuerdo con el último documento contractual vigente la metodología de contraprestación vigente es CONPES 2680 DE 1993 (Productividad). Se establece en la Cláusula Octava del contrato y modificada mediante otrosí No. 2 de fecha 26 de septiembre de 2008 que el CONCESIONARIO deberá pagar por concepto de zona de uso público la suma trimestral de (USD 26.527,80), de dicho pago el 80% le corresponde a la Nación Instituto nacional de vías (INVIAS) y el 20% restante al distrito de Cartagena de acuerdo con lo establecido en el parágrafo 1 del artículo 1 de la ley 856 del 21 de diciembre de 2003, que modifica el artículo 7 de la ley 1ª de 1991. Así mismo, por concepto de infraestructura el CONCESIONARIO deberá pagar la suma trimestral de (USD 4.691,78), el cual corresponde en un 100% a la Nación - Instituto Nacional de Vías (INVIAS) de acuerdo con lo establecido en el artículo 1 de la ley 856 del 21 diciembre de 2003.</w:t>
          </w:r>
        </w:p>
        <w:p w14:paraId="72C08BCF"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 xml:space="preserve">3: Plan de Inversiones: </w:t>
          </w:r>
          <w:r w:rsidRPr="009A46BB">
            <w:rPr>
              <w:rFonts w:ascii="Times New Roman" w:hAnsi="Times New Roman"/>
              <w:sz w:val="24"/>
              <w:szCs w:val="24"/>
            </w:rPr>
            <w:t>está establecido en el Artículo Primero de la Resolución No. 1455 de fecha 17 de enero de 2013 y Resolución No. 149 del 21 de enero de 2014 que el plan de inversión será de USD $617.511,00.</w:t>
          </w:r>
        </w:p>
        <w:p w14:paraId="5FC086DF" w14:textId="61E6F7A1"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Obras Adicionales:</w:t>
          </w:r>
          <w:r w:rsidRPr="009A46BB">
            <w:rPr>
              <w:rFonts w:ascii="Times New Roman" w:hAnsi="Times New Roman"/>
              <w:sz w:val="24"/>
              <w:szCs w:val="24"/>
            </w:rPr>
            <w:t>Mediante Otrosí No. 04 de 2021 se autorizaron obras adicionales a cuenta y riesgo del Concesionario por un valor de USD $414.331 CUATROCIENTOS CATORCE MIL TRESCIENTOS TREINTA Y UN DÓLARES CORRIENTES.</w:t>
          </w:r>
        </w:p>
        <w:p w14:paraId="780310D2"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Obligaciones del Concesionario:</w:t>
          </w:r>
          <w:r w:rsidRPr="009A46BB">
            <w:rPr>
              <w:rFonts w:ascii="Times New Roman" w:hAnsi="Times New Roman"/>
              <w:sz w:val="24"/>
              <w:szCs w:val="24"/>
            </w:rPr>
            <w:t xml:space="preserve"> se encuentran descritas en la Cláusula Décima quinta.</w:t>
          </w:r>
        </w:p>
        <w:p w14:paraId="28A93323"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 xml:space="preserve">Multas y sanciones: </w:t>
          </w:r>
          <w:r w:rsidRPr="009A46BB">
            <w:rPr>
              <w:rFonts w:ascii="Times New Roman" w:hAnsi="Times New Roman"/>
              <w:sz w:val="24"/>
              <w:szCs w:val="24"/>
            </w:rPr>
            <w:t>están establecidas en la Cláusula Décima Octava.</w:t>
          </w:r>
        </w:p>
        <w:p w14:paraId="7E1BA073"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Penal pecuniario:</w:t>
          </w:r>
          <w:r w:rsidRPr="009A46BB">
            <w:rPr>
              <w:rFonts w:ascii="Times New Roman" w:hAnsi="Times New Roman"/>
              <w:sz w:val="24"/>
              <w:szCs w:val="24"/>
            </w:rPr>
            <w:t xml:space="preserve"> En la Cláusula Décima Novena se establece que en el evento en que el INCO hoy ANI declare la caducidad o el incumplimiento del presente contrato se podrá imponer una penalidad pecuniaria.</w:t>
          </w:r>
        </w:p>
        <w:p w14:paraId="04E75AB6"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Términos de calendario:</w:t>
          </w:r>
        </w:p>
        <w:p w14:paraId="3A8FA034"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1: Tarifas:</w:t>
          </w:r>
          <w:r w:rsidRPr="009A46BB">
            <w:rPr>
              <w:rFonts w:ascii="Times New Roman" w:hAnsi="Times New Roman"/>
              <w:sz w:val="24"/>
              <w:szCs w:val="24"/>
            </w:rPr>
            <w:t xml:space="preserve"> Aprobadas según la metodología establecida por la Superintendencia General de Puertos hoy Superintendencia de Transporte.</w:t>
          </w:r>
        </w:p>
        <w:p w14:paraId="3301CB8D"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2: Contraprestación portuaria:</w:t>
          </w:r>
          <w:r w:rsidRPr="009A46BB">
            <w:rPr>
              <w:rFonts w:ascii="Times New Roman" w:hAnsi="Times New Roman"/>
              <w:sz w:val="24"/>
              <w:szCs w:val="24"/>
            </w:rPr>
            <w:t xml:space="preserve"> la contraprestación se debe pagar de manera trimestral anticipada desde el mes de enero de cada año.</w:t>
          </w:r>
        </w:p>
        <w:p w14:paraId="66EA9FD6"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3: Plan de inversiones:</w:t>
          </w:r>
          <w:r w:rsidRPr="009A46BB">
            <w:rPr>
              <w:rFonts w:ascii="Times New Roman" w:hAnsi="Times New Roman"/>
              <w:sz w:val="24"/>
              <w:szCs w:val="24"/>
            </w:rPr>
            <w:t xml:space="preserve"> está establecido en el Artículo Primero de la Resolución No. 1455 de fecha 17 de enero de 2013 y Resolución No. 149 del 21 de enero de 2014 de tiempo comprendido entre el año 2006 a 2013.</w:t>
          </w:r>
        </w:p>
        <w:p w14:paraId="5202B6BF"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4: Multas y sanciones:</w:t>
          </w:r>
          <w:r w:rsidRPr="009A46BB">
            <w:rPr>
              <w:rFonts w:ascii="Times New Roman" w:hAnsi="Times New Roman"/>
              <w:sz w:val="24"/>
              <w:szCs w:val="24"/>
            </w:rPr>
            <w:t xml:space="preserve"> están establecidas en la Cláusula Décima Octava.</w:t>
          </w:r>
        </w:p>
        <w:p w14:paraId="4D29ADB4"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Términos de certeza de flujos de efectivo futuros:</w:t>
          </w:r>
        </w:p>
        <w:p w14:paraId="52F9B6F2"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lastRenderedPageBreak/>
            <w:t>Se otorga a EL CONCESIONARIO el derecho de ocupar y utilizar en forma temporal y exclusiva los bienes pertenecientes a la Nación determinados en la Cláusula Segunda del contrato, a cambio de la contraprestación económica.</w:t>
          </w:r>
        </w:p>
        <w:p w14:paraId="50EC329C"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Cláusula Octava y modificada mediante Otrosí No. 2 de fecha 26 de septiembre de 2008, del valor a pagar por concepto de contraprestación por Zona de Uso público, el 80% le corresponde a la Nación-INVIAS y el 20 % al Distrito Turístico de Cartagena de Indias y por Infraestructura el 100% a la Nación-INVIAS.</w:t>
          </w:r>
        </w:p>
        <w:p w14:paraId="105E7C91" w14:textId="48AA9119" w:rsidR="00274429" w:rsidRPr="009A46BB" w:rsidRDefault="00274429" w:rsidP="1A7ADF63">
          <w:pPr>
            <w:pStyle w:val="Prrafodelista"/>
            <w:jc w:val="both"/>
            <w:rPr>
              <w:rFonts w:ascii="Times New Roman" w:hAnsi="Times New Roman"/>
              <w:b/>
            </w:rPr>
          </w:pPr>
          <w:r w:rsidRPr="009A46BB">
            <w:rPr>
              <w:rFonts w:ascii="Times New Roman" w:hAnsi="Times New Roman"/>
              <w:b/>
              <w:sz w:val="24"/>
              <w:szCs w:val="24"/>
            </w:rPr>
            <w:t xml:space="preserve">Naturaleza y alcance del derecho a utilizar activos especificados, de los aspectos pactados en torno a lo que se espera que el concesionario proporcione en relación con el acuerdo de concesión </w:t>
          </w:r>
        </w:p>
        <w:p w14:paraId="13DD7DC0"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Naturaleza y alcance del derecho de uso de los activos</w:t>
          </w:r>
        </w:p>
        <w:p w14:paraId="332DF5A2"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w:t>
          </w:r>
          <w:r w:rsidRPr="009A46BB">
            <w:rPr>
              <w:rFonts w:ascii="Times New Roman" w:hAnsi="Times New Roman"/>
              <w:sz w:val="24"/>
              <w:szCs w:val="24"/>
            </w:rPr>
            <w:tab/>
            <w:t>Descripción del proyecto, especificaciones técnicas, modalidades de operación: las condiciones especiales de operación del puerto están establecidas en la Cláusula Quinta del Contrato de Concesión.</w:t>
          </w:r>
        </w:p>
        <w:p w14:paraId="05351B40"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Área entregada en concesión:</w:t>
          </w:r>
          <w:r w:rsidRPr="009A46BB">
            <w:rPr>
              <w:rFonts w:ascii="Times New Roman" w:hAnsi="Times New Roman"/>
              <w:sz w:val="24"/>
              <w:szCs w:val="24"/>
            </w:rPr>
            <w:t xml:space="preserve"> la descripción de la ubicación, linderos y extensión de los bienes de uso público (playas y terrenos de bajamar, aguas accesorias y de maniobras) entregados en concesión están establecidos en la Cláusula Primera del Contrato de Concesión.</w:t>
          </w:r>
        </w:p>
        <w:p w14:paraId="61632018"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Infraestructura y equipos entregados en concesión:</w:t>
          </w:r>
          <w:r w:rsidRPr="009A46BB">
            <w:rPr>
              <w:rFonts w:ascii="Times New Roman" w:hAnsi="Times New Roman"/>
              <w:sz w:val="24"/>
              <w:szCs w:val="24"/>
            </w:rPr>
            <w:t xml:space="preserve"> En la Cláusula Quinta del Contrato, se describen las instalaciones portuarias entregadas en Concesión, así: </w:t>
          </w:r>
        </w:p>
        <w:p w14:paraId="32D31B40"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Infraestructura:</w:t>
          </w:r>
          <w:r w:rsidRPr="009A46BB">
            <w:rPr>
              <w:rFonts w:ascii="Times New Roman" w:hAnsi="Times New Roman"/>
              <w:sz w:val="24"/>
              <w:szCs w:val="24"/>
            </w:rPr>
            <w:t xml:space="preserve"> Un (1) muelle en espigón que consta de, dos (2) piñas de atraque, dos (2) piñas de amarre, plataforma de maniobras de concreto, soportadas sobre pilotes de ferro-concreto y una pasarela.</w:t>
          </w:r>
        </w:p>
        <w:p w14:paraId="67C93A9E"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Retribución al concesionario</w:t>
          </w:r>
        </w:p>
        <w:p w14:paraId="2DDAAD78"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w:t>
          </w:r>
          <w:r w:rsidRPr="009A46BB">
            <w:rPr>
              <w:rFonts w:ascii="Times New Roman" w:hAnsi="Times New Roman"/>
              <w:sz w:val="24"/>
              <w:szCs w:val="24"/>
            </w:rPr>
            <w:tab/>
            <w:t>Cláusula primera Contrato 007 de 1993: Se otorga a EL CONCESIONARIO el derecho de ocupar y utilizar en forma temporal y exclusiva las playas, los terrenos de bajamar y zonas accesorias a aquellas o estos, descritos en la cláusula segunda del contrato, a cambio de la contraprestación económica.</w:t>
          </w:r>
        </w:p>
        <w:p w14:paraId="393DA7EA"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Tasa de retribución:</w:t>
          </w:r>
          <w:r w:rsidRPr="009A46BB">
            <w:rPr>
              <w:rFonts w:ascii="Times New Roman" w:hAnsi="Times New Roman"/>
              <w:sz w:val="24"/>
              <w:szCs w:val="24"/>
            </w:rPr>
            <w:tab/>
            <w:t>N/A</w:t>
          </w:r>
        </w:p>
        <w:p w14:paraId="0D5F9540" w14:textId="257C5556"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d.</w:t>
          </w:r>
          <w:r w:rsidR="2ABECAF8" w:rsidRPr="6251D106">
            <w:rPr>
              <w:rFonts w:ascii="Times New Roman" w:hAnsi="Times New Roman"/>
              <w:b/>
              <w:bCs/>
              <w:sz w:val="24"/>
              <w:szCs w:val="24"/>
            </w:rPr>
            <w:t xml:space="preserve"> </w:t>
          </w:r>
          <w:r w:rsidRPr="009A46BB">
            <w:rPr>
              <w:rFonts w:ascii="Times New Roman" w:hAnsi="Times New Roman"/>
              <w:b/>
              <w:sz w:val="24"/>
              <w:szCs w:val="24"/>
            </w:rPr>
            <w:t>Derechos a recibir activos especificados al final del acuerdo de concesión</w:t>
          </w:r>
        </w:p>
        <w:p w14:paraId="26ED788A"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w:t>
          </w:r>
          <w:r w:rsidRPr="009A46BB">
            <w:rPr>
              <w:rFonts w:ascii="Times New Roman" w:hAnsi="Times New Roman"/>
              <w:sz w:val="24"/>
              <w:szCs w:val="24"/>
            </w:rPr>
            <w:tab/>
            <w:t>De acuerdo con el Artículo 8º de la Ley 1 de 1991 en el modo portuario el concesionario no tiene derechos finales sobre activos los debe revertir a la Nación al final del contrato de concesión.</w:t>
          </w:r>
        </w:p>
        <w:p w14:paraId="7F361A20" w14:textId="74B6CC7A"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Observaciones:</w:t>
          </w:r>
          <w:r w:rsidRPr="009A46BB">
            <w:rPr>
              <w:rFonts w:ascii="Times New Roman" w:hAnsi="Times New Roman"/>
              <w:sz w:val="24"/>
              <w:szCs w:val="24"/>
            </w:rPr>
            <w:tab/>
            <w:t>la Cláusula Décimo Quinta del Contrato de Concesión establece que, la zona de uso público y todas las construcciones (obras e inversiones) otorgadas en concesión revertirán a la Nación en buenas condiciones de operación tecnológica, mantenimiento y de adecuada eficiencia al término de este contrato y de la prórroga si la hubiere. Igualmente procederá la reversión al ser declarado la caducidad o la terminación unilateral.</w:t>
          </w:r>
        </w:p>
        <w:p w14:paraId="59952F37"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lastRenderedPageBreak/>
            <w:t>Para tal fin, en el momento de la reversión el CONCESIONARIO deberá hacer entrega de un avalúo comercial actualizado y valoración técnica de las condiciones de operación de la infraestructura portuaria, equipos e inmuebles por destinación que habitualmente se encuentren instalados en las zonas de uso público que se revierten y que son propiedad de la Nación.</w:t>
          </w:r>
        </w:p>
        <w:p w14:paraId="4B4138E8"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La ANI es la entidad concedente pero la titularidad de los activos al final de la concesión es del Instituto Nacional de Vías INVIAS.</w:t>
          </w:r>
        </w:p>
        <w:p w14:paraId="2030F3A6" w14:textId="6704A3E0"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e.</w:t>
          </w:r>
          <w:r w:rsidR="5D4034A8" w:rsidRPr="6251D106">
            <w:rPr>
              <w:rFonts w:ascii="Times New Roman" w:hAnsi="Times New Roman"/>
              <w:b/>
              <w:bCs/>
              <w:sz w:val="24"/>
              <w:szCs w:val="24"/>
            </w:rPr>
            <w:t xml:space="preserve"> </w:t>
          </w:r>
          <w:r w:rsidR="007E6CBB" w:rsidRPr="009A46BB">
            <w:rPr>
              <w:rFonts w:ascii="Times New Roman" w:hAnsi="Times New Roman"/>
              <w:b/>
              <w:sz w:val="24"/>
              <w:szCs w:val="24"/>
            </w:rPr>
            <w:t>No hay c</w:t>
          </w:r>
          <w:r w:rsidRPr="009A46BB">
            <w:rPr>
              <w:rFonts w:ascii="Times New Roman" w:hAnsi="Times New Roman"/>
              <w:b/>
              <w:sz w:val="24"/>
              <w:szCs w:val="24"/>
            </w:rPr>
            <w:t>ambios en el acuerdo de concesión que se realicen durante el periodo fiscal</w:t>
          </w:r>
        </w:p>
        <w:p w14:paraId="10FFF934" w14:textId="27175C6D" w:rsidR="00274429" w:rsidRPr="009A46BB" w:rsidRDefault="00274429" w:rsidP="00274429">
          <w:pPr>
            <w:jc w:val="both"/>
            <w:rPr>
              <w:rFonts w:ascii="Times New Roman" w:hAnsi="Times New Roman"/>
              <w:sz w:val="24"/>
              <w:szCs w:val="24"/>
            </w:rPr>
          </w:pPr>
        </w:p>
        <w:p w14:paraId="470807D2" w14:textId="77777777" w:rsidR="00274429" w:rsidRPr="009A46BB" w:rsidRDefault="00274429" w:rsidP="00274429">
          <w:pPr>
            <w:jc w:val="both"/>
            <w:rPr>
              <w:rFonts w:ascii="Times New Roman" w:hAnsi="Times New Roman"/>
              <w:sz w:val="24"/>
              <w:szCs w:val="24"/>
            </w:rPr>
          </w:pPr>
        </w:p>
        <w:p w14:paraId="1A20EB84" w14:textId="095836C9" w:rsidR="00274429" w:rsidRPr="009A46BB" w:rsidRDefault="007E6CBB" w:rsidP="007E6CBB">
          <w:pPr>
            <w:spacing w:line="259" w:lineRule="auto"/>
            <w:jc w:val="both"/>
            <w:rPr>
              <w:rFonts w:ascii="Times New Roman" w:hAnsi="Times New Roman"/>
              <w:b/>
              <w:sz w:val="24"/>
              <w:szCs w:val="24"/>
            </w:rPr>
          </w:pPr>
          <w:r w:rsidRPr="009A46BB">
            <w:rPr>
              <w:rFonts w:ascii="Times New Roman" w:hAnsi="Times New Roman"/>
              <w:b/>
              <w:sz w:val="24"/>
              <w:szCs w:val="24"/>
            </w:rPr>
            <w:t xml:space="preserve">SOCIEDAD PORTUARIA </w:t>
          </w:r>
          <w:r w:rsidR="00274429" w:rsidRPr="009A46BB">
            <w:rPr>
              <w:rFonts w:ascii="Times New Roman" w:hAnsi="Times New Roman"/>
              <w:b/>
              <w:sz w:val="24"/>
              <w:szCs w:val="24"/>
            </w:rPr>
            <w:t>TRANSMARSYP S.A.</w:t>
          </w:r>
        </w:p>
        <w:p w14:paraId="7251F3CA" w14:textId="1F51D445" w:rsidR="00274429" w:rsidRPr="009A46BB" w:rsidRDefault="00274429" w:rsidP="00E60BAB">
          <w:pPr>
            <w:pStyle w:val="Prrafodelista"/>
            <w:numPr>
              <w:ilvl w:val="0"/>
              <w:numId w:val="148"/>
            </w:numPr>
            <w:jc w:val="both"/>
            <w:rPr>
              <w:rFonts w:ascii="Times New Roman" w:hAnsi="Times New Roman"/>
              <w:b/>
            </w:rPr>
          </w:pPr>
          <w:r w:rsidRPr="009A46BB">
            <w:rPr>
              <w:rFonts w:ascii="Times New Roman" w:hAnsi="Times New Roman"/>
              <w:b/>
              <w:sz w:val="24"/>
              <w:szCs w:val="24"/>
            </w:rPr>
            <w:t>Descripción del acuerdo</w:t>
          </w:r>
        </w:p>
        <w:p w14:paraId="7365846E" w14:textId="2C7F329C" w:rsidR="00274429" w:rsidRPr="009A46BB" w:rsidRDefault="00274429" w:rsidP="6251D106">
          <w:pPr>
            <w:spacing w:after="0"/>
            <w:jc w:val="both"/>
            <w:rPr>
              <w:rFonts w:ascii="Times New Roman" w:hAnsi="Times New Roman"/>
              <w:sz w:val="24"/>
              <w:szCs w:val="24"/>
            </w:rPr>
          </w:pPr>
          <w:r w:rsidRPr="009A46BB">
            <w:rPr>
              <w:rFonts w:ascii="Times New Roman" w:hAnsi="Times New Roman"/>
              <w:b/>
              <w:sz w:val="24"/>
              <w:szCs w:val="24"/>
            </w:rPr>
            <w:t>Número del acuerdo de concesión:</w:t>
          </w:r>
          <w:r w:rsidR="007E6CBB" w:rsidRPr="009A46BB">
            <w:rPr>
              <w:rFonts w:ascii="Times New Roman" w:hAnsi="Times New Roman"/>
              <w:b/>
              <w:sz w:val="24"/>
              <w:szCs w:val="24"/>
            </w:rPr>
            <w:t xml:space="preserve"> </w:t>
          </w:r>
          <w:r w:rsidRPr="009A46BB">
            <w:rPr>
              <w:rFonts w:ascii="Times New Roman" w:hAnsi="Times New Roman"/>
              <w:sz w:val="24"/>
              <w:szCs w:val="24"/>
            </w:rPr>
            <w:t>Contrato No.001 de 2006</w:t>
          </w:r>
        </w:p>
        <w:p w14:paraId="5BFB4837" w14:textId="6088846D" w:rsidR="00274429" w:rsidRPr="009A46BB" w:rsidRDefault="00274429" w:rsidP="6251D106">
          <w:pPr>
            <w:spacing w:after="0"/>
            <w:jc w:val="both"/>
            <w:rPr>
              <w:rFonts w:ascii="Times New Roman" w:hAnsi="Times New Roman"/>
              <w:sz w:val="24"/>
              <w:szCs w:val="24"/>
            </w:rPr>
          </w:pPr>
          <w:r w:rsidRPr="009A46BB">
            <w:rPr>
              <w:rFonts w:ascii="Times New Roman" w:hAnsi="Times New Roman"/>
              <w:b/>
              <w:sz w:val="24"/>
              <w:szCs w:val="24"/>
            </w:rPr>
            <w:t>Objeto / Descripción:</w:t>
          </w:r>
          <w:r w:rsidR="007E6CBB" w:rsidRPr="009A46BB">
            <w:rPr>
              <w:rFonts w:ascii="Times New Roman" w:hAnsi="Times New Roman"/>
              <w:b/>
              <w:sz w:val="24"/>
              <w:szCs w:val="24"/>
            </w:rPr>
            <w:t xml:space="preserve"> </w:t>
          </w:r>
          <w:r w:rsidRPr="009A46BB">
            <w:rPr>
              <w:rFonts w:ascii="Times New Roman" w:hAnsi="Times New Roman"/>
              <w:sz w:val="24"/>
              <w:szCs w:val="24"/>
            </w:rPr>
            <w:t>En virtud del Contrato de concesión y sus modificaciones, se permite al CONCESIONARIO una concesión portuaria para ocupar y utilizar en forma temporal y exclusiva la zona de uso público e infraestructura que se describe a continuación y la cual está conformada por una línea de playa, terrenos de bajamar y zonas accesorias a aquellas o estos, para que opere, mantenga y/o construya la infraestructura de un muelle de uso público, para el cargue y descargue de mercancías en rutas de cabotaje, a cambio de la contraprestación establecida en la Cláusula Octava de este contrato.</w:t>
          </w:r>
        </w:p>
        <w:p w14:paraId="0B7621A4" w14:textId="7B6EB866" w:rsidR="00274429" w:rsidRPr="009A46BB" w:rsidRDefault="00274429" w:rsidP="6251D106">
          <w:pPr>
            <w:spacing w:after="0"/>
            <w:jc w:val="both"/>
            <w:rPr>
              <w:rFonts w:ascii="Times New Roman" w:hAnsi="Times New Roman"/>
              <w:sz w:val="24"/>
              <w:szCs w:val="24"/>
            </w:rPr>
          </w:pPr>
          <w:r w:rsidRPr="009A46BB">
            <w:rPr>
              <w:rFonts w:ascii="Times New Roman" w:hAnsi="Times New Roman"/>
              <w:b/>
              <w:sz w:val="24"/>
              <w:szCs w:val="24"/>
            </w:rPr>
            <w:t>Valor inicial:</w:t>
          </w:r>
          <w:r w:rsidR="007E6CBB" w:rsidRPr="009A46BB">
            <w:rPr>
              <w:rFonts w:ascii="Times New Roman" w:hAnsi="Times New Roman"/>
              <w:b/>
              <w:sz w:val="24"/>
              <w:szCs w:val="24"/>
            </w:rPr>
            <w:t xml:space="preserve"> </w:t>
          </w:r>
          <w:r w:rsidRPr="009A46BB">
            <w:rPr>
              <w:rFonts w:ascii="Times New Roman" w:hAnsi="Times New Roman"/>
              <w:sz w:val="24"/>
              <w:szCs w:val="24"/>
            </w:rPr>
            <w:t xml:space="preserve">USD $1.001.738.54, Cláusula Primera/Otrosí No. 02 de 26 de septiembre de 2008. </w:t>
          </w:r>
        </w:p>
        <w:p w14:paraId="55437EA1" w14:textId="14972302" w:rsidR="00274429" w:rsidRPr="009A46BB" w:rsidRDefault="00274429" w:rsidP="6251D106">
          <w:pPr>
            <w:spacing w:after="0"/>
            <w:jc w:val="both"/>
            <w:rPr>
              <w:rFonts w:ascii="Times New Roman" w:hAnsi="Times New Roman"/>
              <w:sz w:val="24"/>
              <w:szCs w:val="24"/>
            </w:rPr>
          </w:pPr>
          <w:r w:rsidRPr="009A46BB">
            <w:rPr>
              <w:rFonts w:ascii="Times New Roman" w:hAnsi="Times New Roman"/>
              <w:b/>
              <w:sz w:val="24"/>
              <w:szCs w:val="24"/>
            </w:rPr>
            <w:t>Fecha de inicio:</w:t>
          </w:r>
          <w:r w:rsidR="007E6CBB" w:rsidRPr="009A46BB">
            <w:rPr>
              <w:rFonts w:ascii="Times New Roman" w:hAnsi="Times New Roman"/>
              <w:b/>
              <w:sz w:val="24"/>
              <w:szCs w:val="24"/>
            </w:rPr>
            <w:t xml:space="preserve"> </w:t>
          </w:r>
          <w:r w:rsidRPr="009A46BB">
            <w:rPr>
              <w:rFonts w:ascii="Times New Roman" w:hAnsi="Times New Roman"/>
              <w:sz w:val="24"/>
              <w:szCs w:val="24"/>
            </w:rPr>
            <w:t>16/08/2006</w:t>
          </w:r>
        </w:p>
        <w:p w14:paraId="3BF8D014" w14:textId="66AEE381" w:rsidR="00274429" w:rsidRPr="009A46BB" w:rsidRDefault="00274429" w:rsidP="6251D106">
          <w:pPr>
            <w:spacing w:after="0"/>
            <w:jc w:val="both"/>
            <w:rPr>
              <w:rFonts w:ascii="Times New Roman" w:hAnsi="Times New Roman"/>
              <w:sz w:val="24"/>
              <w:szCs w:val="24"/>
            </w:rPr>
          </w:pPr>
          <w:r w:rsidRPr="009A46BB">
            <w:rPr>
              <w:rFonts w:ascii="Times New Roman" w:hAnsi="Times New Roman"/>
              <w:b/>
              <w:sz w:val="24"/>
              <w:szCs w:val="24"/>
            </w:rPr>
            <w:t>Fecha de finalización estimada:</w:t>
          </w:r>
          <w:r w:rsidR="007E6CBB" w:rsidRPr="009A46BB">
            <w:rPr>
              <w:rFonts w:ascii="Times New Roman" w:hAnsi="Times New Roman"/>
              <w:b/>
              <w:sz w:val="24"/>
              <w:szCs w:val="24"/>
            </w:rPr>
            <w:t xml:space="preserve"> </w:t>
          </w:r>
          <w:r w:rsidRPr="009A46BB">
            <w:rPr>
              <w:rFonts w:ascii="Times New Roman" w:hAnsi="Times New Roman"/>
              <w:sz w:val="24"/>
              <w:szCs w:val="24"/>
            </w:rPr>
            <w:t>15/08/2026</w:t>
          </w:r>
        </w:p>
        <w:p w14:paraId="3F5080DF" w14:textId="0C7CD010" w:rsidR="00274429" w:rsidRPr="009A46BB" w:rsidRDefault="00274429" w:rsidP="6251D106">
          <w:pPr>
            <w:spacing w:after="0"/>
            <w:jc w:val="both"/>
            <w:rPr>
              <w:rFonts w:ascii="Times New Roman" w:hAnsi="Times New Roman"/>
              <w:sz w:val="24"/>
              <w:szCs w:val="24"/>
            </w:rPr>
          </w:pPr>
          <w:r w:rsidRPr="009A46BB">
            <w:rPr>
              <w:rFonts w:ascii="Times New Roman" w:hAnsi="Times New Roman"/>
              <w:b/>
              <w:sz w:val="24"/>
              <w:szCs w:val="24"/>
            </w:rPr>
            <w:t>Tipo ID:</w:t>
          </w:r>
          <w:r w:rsidR="007E6CBB" w:rsidRPr="009A46BB">
            <w:rPr>
              <w:rFonts w:ascii="Times New Roman" w:hAnsi="Times New Roman"/>
              <w:b/>
              <w:sz w:val="24"/>
              <w:szCs w:val="24"/>
            </w:rPr>
            <w:t xml:space="preserve"> </w:t>
          </w:r>
          <w:r w:rsidRPr="009A46BB">
            <w:rPr>
              <w:rFonts w:ascii="Times New Roman" w:hAnsi="Times New Roman"/>
              <w:sz w:val="24"/>
              <w:szCs w:val="24"/>
            </w:rPr>
            <w:t>NIT</w:t>
          </w:r>
        </w:p>
        <w:p w14:paraId="7F1EC179" w14:textId="01926307" w:rsidR="00274429" w:rsidRPr="009A46BB" w:rsidRDefault="00274429" w:rsidP="6251D106">
          <w:pPr>
            <w:spacing w:after="0"/>
            <w:jc w:val="both"/>
            <w:rPr>
              <w:rFonts w:ascii="Times New Roman" w:hAnsi="Times New Roman"/>
              <w:sz w:val="24"/>
              <w:szCs w:val="24"/>
            </w:rPr>
          </w:pPr>
          <w:r w:rsidRPr="009A46BB">
            <w:rPr>
              <w:rFonts w:ascii="Times New Roman" w:hAnsi="Times New Roman"/>
              <w:b/>
              <w:sz w:val="24"/>
              <w:szCs w:val="24"/>
            </w:rPr>
            <w:t>Número ID:</w:t>
          </w:r>
          <w:r w:rsidR="007E6CBB" w:rsidRPr="009A46BB">
            <w:rPr>
              <w:rFonts w:ascii="Times New Roman" w:hAnsi="Times New Roman"/>
              <w:b/>
              <w:sz w:val="24"/>
              <w:szCs w:val="24"/>
            </w:rPr>
            <w:t xml:space="preserve"> </w:t>
          </w:r>
          <w:r w:rsidRPr="009A46BB">
            <w:rPr>
              <w:rFonts w:ascii="Times New Roman" w:hAnsi="Times New Roman"/>
              <w:sz w:val="24"/>
              <w:szCs w:val="24"/>
            </w:rPr>
            <w:t>806016841 - 1</w:t>
          </w:r>
        </w:p>
        <w:p w14:paraId="183EABFD" w14:textId="23CF613A" w:rsidR="00274429" w:rsidRPr="009A46BB" w:rsidRDefault="00274429" w:rsidP="6251D106">
          <w:pPr>
            <w:spacing w:after="0"/>
            <w:jc w:val="both"/>
            <w:rPr>
              <w:rFonts w:ascii="Times New Roman" w:hAnsi="Times New Roman"/>
              <w:sz w:val="24"/>
              <w:szCs w:val="24"/>
            </w:rPr>
          </w:pPr>
          <w:r w:rsidRPr="009A46BB">
            <w:rPr>
              <w:rFonts w:ascii="Times New Roman" w:hAnsi="Times New Roman"/>
              <w:b/>
              <w:sz w:val="24"/>
              <w:szCs w:val="24"/>
            </w:rPr>
            <w:t>Razón social del concesionario:</w:t>
          </w:r>
          <w:r w:rsidR="007E6CBB" w:rsidRPr="009A46BB">
            <w:rPr>
              <w:rFonts w:ascii="Times New Roman" w:hAnsi="Times New Roman"/>
              <w:b/>
              <w:sz w:val="24"/>
              <w:szCs w:val="24"/>
            </w:rPr>
            <w:t xml:space="preserve"> </w:t>
          </w:r>
          <w:r w:rsidRPr="009A46BB">
            <w:rPr>
              <w:rFonts w:ascii="Times New Roman" w:hAnsi="Times New Roman"/>
              <w:sz w:val="24"/>
              <w:szCs w:val="24"/>
            </w:rPr>
            <w:t>Sociedad Portuaria TRANSMARSYPS.A.</w:t>
          </w:r>
        </w:p>
        <w:p w14:paraId="665364B0" w14:textId="65D1C01D" w:rsidR="00274429" w:rsidRPr="009A46BB" w:rsidRDefault="00274429" w:rsidP="6251D106">
          <w:pPr>
            <w:spacing w:after="0"/>
            <w:jc w:val="both"/>
            <w:rPr>
              <w:rFonts w:ascii="Times New Roman" w:hAnsi="Times New Roman"/>
              <w:sz w:val="24"/>
              <w:szCs w:val="24"/>
            </w:rPr>
          </w:pPr>
          <w:r w:rsidRPr="009A46BB">
            <w:rPr>
              <w:rFonts w:ascii="Times New Roman" w:hAnsi="Times New Roman"/>
              <w:b/>
              <w:sz w:val="24"/>
              <w:szCs w:val="24"/>
            </w:rPr>
            <w:t>Nombre del proyecto:</w:t>
          </w:r>
          <w:r w:rsidR="007E6CBB" w:rsidRPr="009A46BB">
            <w:rPr>
              <w:rFonts w:ascii="Times New Roman" w:hAnsi="Times New Roman"/>
              <w:b/>
              <w:sz w:val="24"/>
              <w:szCs w:val="24"/>
            </w:rPr>
            <w:t xml:space="preserve"> </w:t>
          </w:r>
          <w:r w:rsidRPr="009A46BB">
            <w:rPr>
              <w:rFonts w:ascii="Times New Roman" w:hAnsi="Times New Roman"/>
              <w:sz w:val="24"/>
              <w:szCs w:val="24"/>
            </w:rPr>
            <w:t>Sociedad Portuaria TRANSMARSYPS.A.</w:t>
          </w:r>
        </w:p>
        <w:p w14:paraId="0F7D91C6" w14:textId="67EFE804" w:rsidR="6251D106" w:rsidRDefault="6251D106" w:rsidP="6251D106">
          <w:pPr>
            <w:spacing w:after="0"/>
            <w:jc w:val="both"/>
            <w:rPr>
              <w:rFonts w:ascii="Times New Roman" w:hAnsi="Times New Roman"/>
              <w:sz w:val="24"/>
              <w:szCs w:val="24"/>
            </w:rPr>
          </w:pPr>
        </w:p>
        <w:p w14:paraId="284AB3EB" w14:textId="6CA6A51E" w:rsidR="00274429" w:rsidRPr="009A46BB" w:rsidRDefault="00274429" w:rsidP="00E60BAB">
          <w:pPr>
            <w:pStyle w:val="Prrafodelista"/>
            <w:numPr>
              <w:ilvl w:val="0"/>
              <w:numId w:val="148"/>
            </w:numPr>
            <w:jc w:val="both"/>
            <w:rPr>
              <w:rFonts w:ascii="Times New Roman" w:hAnsi="Times New Roman"/>
              <w:b/>
            </w:rPr>
          </w:pPr>
          <w:r w:rsidRPr="009A46BB">
            <w:rPr>
              <w:rFonts w:ascii="Times New Roman" w:hAnsi="Times New Roman"/>
              <w:b/>
              <w:sz w:val="24"/>
              <w:szCs w:val="24"/>
            </w:rPr>
            <w:t xml:space="preserve">Términos significativos del acuerdo que puedan afectar su valor, el calendario y la certeza de los flujos </w:t>
          </w:r>
        </w:p>
        <w:p w14:paraId="54E4FB23"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Términos de valor:</w:t>
          </w:r>
          <w:r w:rsidRPr="009A46BB">
            <w:rPr>
              <w:rFonts w:ascii="Times New Roman" w:hAnsi="Times New Roman"/>
              <w:b/>
              <w:sz w:val="24"/>
              <w:szCs w:val="24"/>
            </w:rPr>
            <w:tab/>
          </w:r>
        </w:p>
        <w:p w14:paraId="6F835377"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 xml:space="preserve">1: Tarifas: </w:t>
          </w:r>
          <w:r w:rsidRPr="009A46BB">
            <w:rPr>
              <w:rFonts w:ascii="Times New Roman" w:hAnsi="Times New Roman"/>
              <w:sz w:val="24"/>
              <w:szCs w:val="24"/>
            </w:rPr>
            <w:t>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w:t>
          </w:r>
        </w:p>
        <w:p w14:paraId="1C25EFB3"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2: Contraprestación portuaria:</w:t>
          </w:r>
          <w:r w:rsidRPr="009A46BB">
            <w:rPr>
              <w:rFonts w:ascii="Times New Roman" w:hAnsi="Times New Roman"/>
              <w:sz w:val="24"/>
              <w:szCs w:val="24"/>
            </w:rPr>
            <w:t xml:space="preserve"> De acuerdo con el último documento contractual vigente la metodología de contraprestación vigente es CONPES 2680 DE 1993 (Productividad). Se </w:t>
          </w:r>
          <w:r w:rsidRPr="009A46BB">
            <w:rPr>
              <w:rFonts w:ascii="Times New Roman" w:hAnsi="Times New Roman"/>
              <w:sz w:val="24"/>
              <w:szCs w:val="24"/>
            </w:rPr>
            <w:lastRenderedPageBreak/>
            <w:t>establece en la Cláusula Octava del contrato y modificada mediante otrosí No. 2 de fecha 26 de septiembre de 2008 que el CONCESIONARIO deberá pagar por concepto de zona de uso público la suma trimestral de (USD 26.527,80), de dicho pago el 80% le corresponde a la Nación Instituto nacional de vías (INVIAS) y el 20% restante al distrito de Cartagena de acuerdo con lo establecido en el parágrafo 1 del artículo 1 de la ley 856 del 21 de diciembre de 2003, que modifica el artículo 7 de la ley 1ª de 1991. Así mismo, por concepto de infraestructura el CONCESIONARIO deberá pagar la suma trimestral de (USD 4.691,78), el cual corresponde en un 100% a la Nación - Instituto Nacional de Vías (INVIAS) de acuerdo con lo establecido en el artículo 1 de la ley 856 del 21 diciembre de 2003.</w:t>
          </w:r>
        </w:p>
        <w:p w14:paraId="7669560E"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3: Plan de Inversiones:</w:t>
          </w:r>
          <w:r w:rsidRPr="009A46BB">
            <w:rPr>
              <w:rFonts w:ascii="Times New Roman" w:hAnsi="Times New Roman"/>
              <w:sz w:val="24"/>
              <w:szCs w:val="24"/>
            </w:rPr>
            <w:t xml:space="preserve"> está establecido en el Artículo Primero de la Resolución No. 1455 de fecha 17 de enero de 2013 y Resolución No. 149 del 21 de enero de 2014 que el plan de inversión será de USD $617.511,00.</w:t>
          </w:r>
        </w:p>
        <w:p w14:paraId="4217417C" w14:textId="3AC414C4"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Obras Adicionales:</w:t>
          </w:r>
          <w:r w:rsidRPr="009A46BB">
            <w:rPr>
              <w:rFonts w:ascii="Times New Roman" w:hAnsi="Times New Roman"/>
              <w:sz w:val="24"/>
              <w:szCs w:val="24"/>
            </w:rPr>
            <w:t>Mediante Otrosí No. 04 de 2021 se autorizaron obras adicionales a cuenta y riesgo del Concesionario por un valor de USD $414.331 CUATROCIENTOS CATORCE MIL TRESCIENTOS TREINTA Y UN DÓLARES CORRIENTES.</w:t>
          </w:r>
        </w:p>
        <w:p w14:paraId="11380931"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 xml:space="preserve">Obligaciones del Concesionario: </w:t>
          </w:r>
          <w:r w:rsidRPr="009A46BB">
            <w:rPr>
              <w:rFonts w:ascii="Times New Roman" w:hAnsi="Times New Roman"/>
              <w:sz w:val="24"/>
              <w:szCs w:val="24"/>
            </w:rPr>
            <w:t>se encuentran descritas en la Cláusula Décima quinta.</w:t>
          </w:r>
        </w:p>
        <w:p w14:paraId="2DC559CB"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Multas y sanciones:</w:t>
          </w:r>
          <w:r w:rsidRPr="009A46BB">
            <w:rPr>
              <w:rFonts w:ascii="Times New Roman" w:hAnsi="Times New Roman"/>
              <w:sz w:val="24"/>
              <w:szCs w:val="24"/>
            </w:rPr>
            <w:t xml:space="preserve"> están establecidas en la Cláusula Décima Octava.</w:t>
          </w:r>
        </w:p>
        <w:p w14:paraId="0712950B"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Penal pecuniaria:</w:t>
          </w:r>
          <w:r w:rsidRPr="009A46BB">
            <w:rPr>
              <w:rFonts w:ascii="Times New Roman" w:hAnsi="Times New Roman"/>
              <w:sz w:val="24"/>
              <w:szCs w:val="24"/>
            </w:rPr>
            <w:t xml:space="preserve"> En la Cláusula Décima Novena se establece que en el evento en que el INCO hoy ANI declare la caducidad o el incumplimiento del presente contrato se podrá imponer una penalidad pecuniaria.</w:t>
          </w:r>
        </w:p>
        <w:p w14:paraId="6EEC87BB"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Términos de calendario:</w:t>
          </w:r>
          <w:r w:rsidRPr="009A46BB">
            <w:rPr>
              <w:rFonts w:ascii="Times New Roman" w:hAnsi="Times New Roman"/>
              <w:b/>
              <w:sz w:val="24"/>
              <w:szCs w:val="24"/>
            </w:rPr>
            <w:tab/>
          </w:r>
        </w:p>
        <w:p w14:paraId="03200EBE"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1: Tarifas:</w:t>
          </w:r>
          <w:r w:rsidRPr="009A46BB">
            <w:rPr>
              <w:rFonts w:ascii="Times New Roman" w:hAnsi="Times New Roman"/>
              <w:sz w:val="24"/>
              <w:szCs w:val="24"/>
            </w:rPr>
            <w:t xml:space="preserve"> Aprobadas según la metodología establecida por la Superintendencia General de Puertos hoy Superintendencia de Transporte.</w:t>
          </w:r>
        </w:p>
        <w:p w14:paraId="7FE24199"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2: Contraprestación portuaria:</w:t>
          </w:r>
          <w:r w:rsidRPr="009A46BB">
            <w:rPr>
              <w:rFonts w:ascii="Times New Roman" w:hAnsi="Times New Roman"/>
              <w:sz w:val="24"/>
              <w:szCs w:val="24"/>
            </w:rPr>
            <w:t xml:space="preserve"> la contraprestación se debe pagar de manera trimestral anticipada desde el mes de enero de cada año.</w:t>
          </w:r>
        </w:p>
        <w:p w14:paraId="25FB7BBA"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3: Plan de inversiones:</w:t>
          </w:r>
          <w:r w:rsidRPr="009A46BB">
            <w:rPr>
              <w:rFonts w:ascii="Times New Roman" w:hAnsi="Times New Roman"/>
              <w:sz w:val="24"/>
              <w:szCs w:val="24"/>
            </w:rPr>
            <w:t xml:space="preserve"> está establecido en el Artículo Primero de la Resolución No. 1455 de fecha 17 de enero de 2013 y Resolución No. 149 del 21 de enero de 2014 de tiempo comprendido entre el año 2006 a 2013.</w:t>
          </w:r>
        </w:p>
        <w:p w14:paraId="3BC663C4"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4: Multas y sanciones:</w:t>
          </w:r>
          <w:r w:rsidRPr="009A46BB">
            <w:rPr>
              <w:rFonts w:ascii="Times New Roman" w:hAnsi="Times New Roman"/>
              <w:sz w:val="24"/>
              <w:szCs w:val="24"/>
            </w:rPr>
            <w:t xml:space="preserve"> están establecidas en la Cláusula Décima Octava.</w:t>
          </w:r>
        </w:p>
        <w:p w14:paraId="44EE1DD6"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Términos de certeza de flujos de efectivo futuros:</w:t>
          </w:r>
          <w:r w:rsidRPr="009A46BB">
            <w:rPr>
              <w:rFonts w:ascii="Times New Roman" w:hAnsi="Times New Roman"/>
              <w:b/>
              <w:sz w:val="24"/>
              <w:szCs w:val="24"/>
            </w:rPr>
            <w:tab/>
          </w:r>
        </w:p>
        <w:p w14:paraId="7DFB6717"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Se otorga a EL CONCESIONARIO el derecho de ocupar y utilizar en forma temporal y exclusiva los bienes pertenecientes a la Nación determinados en la Cláusula Segunda del contrato, a cambio de la contraprestación económica.</w:t>
          </w:r>
        </w:p>
        <w:p w14:paraId="30AEE115"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Cláusula Octava y modificada mediante Otrosí No. 2 de fecha 26 de septiembre de 2008, del valor a pagar por concepto de contraprestación por Zona de Uso público, el 80% le corresponde a la Nación-INVIAS y el 20 % al Distrito Turístico de Cartagena de Indias y por Infraestructura el 100% a la Nación-INVIAS.</w:t>
          </w:r>
        </w:p>
        <w:p w14:paraId="3FFDA2B1" w14:textId="03EE9D9A" w:rsidR="00274429" w:rsidRPr="009A46BB" w:rsidRDefault="00274429" w:rsidP="00E60BAB">
          <w:pPr>
            <w:pStyle w:val="Prrafodelista"/>
            <w:numPr>
              <w:ilvl w:val="0"/>
              <w:numId w:val="148"/>
            </w:numPr>
            <w:jc w:val="both"/>
            <w:rPr>
              <w:rFonts w:ascii="Times New Roman" w:hAnsi="Times New Roman"/>
              <w:b/>
            </w:rPr>
          </w:pPr>
          <w:r w:rsidRPr="009A46BB">
            <w:rPr>
              <w:rFonts w:ascii="Times New Roman" w:hAnsi="Times New Roman"/>
              <w:b/>
              <w:sz w:val="24"/>
              <w:szCs w:val="24"/>
            </w:rPr>
            <w:lastRenderedPageBreak/>
            <w:t xml:space="preserve">Naturaleza y alcance del derecho a utilizar activos especificados, de los aspectos pactados en torno a lo que se espera que el concesionario proporcione en relación con el acuerdo de concesión </w:t>
          </w:r>
        </w:p>
        <w:p w14:paraId="005745C2"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Naturaleza y alcance del derecho de uso de los activos</w:t>
          </w:r>
        </w:p>
        <w:p w14:paraId="2F1BD4B5"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w:t>
          </w:r>
          <w:r w:rsidRPr="009A46BB">
            <w:rPr>
              <w:rFonts w:ascii="Times New Roman" w:hAnsi="Times New Roman"/>
              <w:sz w:val="24"/>
              <w:szCs w:val="24"/>
            </w:rPr>
            <w:tab/>
            <w:t>Descripción del proyecto, especificaciones técnicas, modalidades de operación: las condiciones especiales de operación del puerto están establecidas en la cláusula quinta del Contrato de Concesión.</w:t>
          </w:r>
        </w:p>
        <w:p w14:paraId="59BBE431"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Área entregada en concesión:</w:t>
          </w:r>
          <w:r w:rsidRPr="009A46BB">
            <w:rPr>
              <w:rFonts w:ascii="Times New Roman" w:hAnsi="Times New Roman"/>
              <w:sz w:val="24"/>
              <w:szCs w:val="24"/>
            </w:rPr>
            <w:t xml:space="preserve"> La descripción de la ubicación, linderos y extensión de los bienes de uso público (playas y terrenos de baja mar, zonas marítimas accesorias de maniobras) entregados en concesión están establecidos en la cláusula segunda.</w:t>
          </w:r>
        </w:p>
        <w:p w14:paraId="182E1C1F"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Infraestructura y equipos entregados en concesión:</w:t>
          </w:r>
          <w:r w:rsidRPr="009A46BB">
            <w:rPr>
              <w:rFonts w:ascii="Times New Roman" w:hAnsi="Times New Roman"/>
              <w:sz w:val="24"/>
              <w:szCs w:val="24"/>
            </w:rPr>
            <w:t xml:space="preserve"> En la cláusula segunda del Contrato, se describe que lo entregado en concesión fue: </w:t>
          </w:r>
        </w:p>
        <w:p w14:paraId="3BF98F74"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 xml:space="preserve">Infraestructura: </w:t>
          </w:r>
          <w:r w:rsidRPr="009A46BB">
            <w:rPr>
              <w:rFonts w:ascii="Times New Roman" w:hAnsi="Times New Roman"/>
              <w:sz w:val="24"/>
              <w:szCs w:val="24"/>
            </w:rPr>
            <w:t>Una dársena, un tablestacado en pilotes de ferro cemento, una viga corona, un sistema de anclaje de tablestacado, 4 bitas de amarre.</w:t>
          </w:r>
        </w:p>
        <w:p w14:paraId="700125D6"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Retribución al concesionario</w:t>
          </w:r>
        </w:p>
        <w:p w14:paraId="771574A1"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w:t>
          </w:r>
          <w:r w:rsidRPr="009A46BB">
            <w:rPr>
              <w:rFonts w:ascii="Times New Roman" w:hAnsi="Times New Roman"/>
              <w:b/>
              <w:sz w:val="24"/>
              <w:szCs w:val="24"/>
            </w:rPr>
            <w:tab/>
          </w:r>
          <w:r w:rsidRPr="009A46BB">
            <w:rPr>
              <w:rFonts w:ascii="Times New Roman" w:hAnsi="Times New Roman"/>
              <w:sz w:val="24"/>
              <w:szCs w:val="24"/>
            </w:rPr>
            <w:t>Cláusula primera Contrato 007 de 1993: Se otorga a EL CONCESIONARIO el derecho de ocupar y utilizar en forma temporal y exclusiva las playas, los terrenos de bajamar y zonas accesorias a aquellas o estos, descritos en la cláusula segunda del contrato, a cambio de la contraprestación económica.</w:t>
          </w:r>
        </w:p>
        <w:p w14:paraId="0D28484A"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Tasa de retribución:</w:t>
          </w:r>
          <w:r w:rsidRPr="009A46BB">
            <w:rPr>
              <w:rFonts w:ascii="Times New Roman" w:hAnsi="Times New Roman"/>
              <w:sz w:val="24"/>
              <w:szCs w:val="24"/>
            </w:rPr>
            <w:tab/>
            <w:t>N/A</w:t>
          </w:r>
        </w:p>
        <w:p w14:paraId="5D6A05D7" w14:textId="435E4DFD" w:rsidR="00274429" w:rsidRPr="009A46BB" w:rsidRDefault="00274429" w:rsidP="00E60BAB">
          <w:pPr>
            <w:pStyle w:val="Prrafodelista"/>
            <w:numPr>
              <w:ilvl w:val="0"/>
              <w:numId w:val="148"/>
            </w:numPr>
            <w:jc w:val="both"/>
            <w:rPr>
              <w:rFonts w:ascii="Times New Roman" w:hAnsi="Times New Roman"/>
              <w:b/>
            </w:rPr>
          </w:pPr>
          <w:r w:rsidRPr="009A46BB">
            <w:rPr>
              <w:rFonts w:ascii="Times New Roman" w:hAnsi="Times New Roman"/>
              <w:b/>
              <w:sz w:val="24"/>
              <w:szCs w:val="24"/>
            </w:rPr>
            <w:t>Derechos a recibir activos especificados al final del acuerdo de concesión</w:t>
          </w:r>
        </w:p>
        <w:p w14:paraId="476EE378"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w:t>
          </w:r>
          <w:r w:rsidRPr="009A46BB">
            <w:rPr>
              <w:rFonts w:ascii="Times New Roman" w:hAnsi="Times New Roman"/>
              <w:b/>
              <w:sz w:val="24"/>
              <w:szCs w:val="24"/>
            </w:rPr>
            <w:tab/>
          </w:r>
          <w:r w:rsidRPr="009A46BB">
            <w:rPr>
              <w:rFonts w:ascii="Times New Roman" w:hAnsi="Times New Roman"/>
              <w:sz w:val="24"/>
              <w:szCs w:val="24"/>
            </w:rPr>
            <w:t>De acuerdo con el Artículo 8º de la Ley 1 de 1991 en el modo portuario el concesionario no tiene derechos finales sobre activos los debe revertir a la Nación al final del contrato de concesión.</w:t>
          </w:r>
        </w:p>
        <w:p w14:paraId="04194EAF" w14:textId="53B2AB40" w:rsidR="00274429" w:rsidRPr="009A46BB" w:rsidRDefault="007E6CBB" w:rsidP="00E60BAB">
          <w:pPr>
            <w:pStyle w:val="Prrafodelista"/>
            <w:numPr>
              <w:ilvl w:val="0"/>
              <w:numId w:val="148"/>
            </w:numPr>
            <w:jc w:val="both"/>
            <w:rPr>
              <w:rFonts w:ascii="Times New Roman" w:hAnsi="Times New Roman"/>
              <w:b/>
            </w:rPr>
          </w:pPr>
          <w:r w:rsidRPr="009A46BB">
            <w:rPr>
              <w:rFonts w:ascii="Times New Roman" w:hAnsi="Times New Roman"/>
              <w:b/>
              <w:sz w:val="24"/>
              <w:szCs w:val="24"/>
            </w:rPr>
            <w:t>No hay c</w:t>
          </w:r>
          <w:r w:rsidR="00274429" w:rsidRPr="009A46BB">
            <w:rPr>
              <w:rFonts w:ascii="Times New Roman" w:hAnsi="Times New Roman"/>
              <w:b/>
              <w:sz w:val="24"/>
              <w:szCs w:val="24"/>
            </w:rPr>
            <w:t>ambios en el acuerdo de concesión que se realicen durante el periodo fiscal</w:t>
          </w:r>
        </w:p>
        <w:p w14:paraId="59EC4C1D" w14:textId="39B77651" w:rsidR="00274429" w:rsidRPr="009A46BB" w:rsidRDefault="00274429" w:rsidP="00274429">
          <w:pPr>
            <w:jc w:val="both"/>
            <w:rPr>
              <w:rFonts w:ascii="Times New Roman" w:hAnsi="Times New Roman"/>
              <w:sz w:val="24"/>
              <w:szCs w:val="24"/>
            </w:rPr>
          </w:pPr>
        </w:p>
        <w:p w14:paraId="44D0D7DA" w14:textId="23CFD525" w:rsidR="00274429" w:rsidRPr="009A46BB" w:rsidRDefault="007E6CBB" w:rsidP="007E6CBB">
          <w:pPr>
            <w:spacing w:line="259" w:lineRule="auto"/>
            <w:jc w:val="both"/>
            <w:rPr>
              <w:rFonts w:ascii="Times New Roman" w:hAnsi="Times New Roman"/>
              <w:b/>
              <w:sz w:val="24"/>
              <w:szCs w:val="24"/>
            </w:rPr>
          </w:pPr>
          <w:r w:rsidRPr="009A46BB">
            <w:rPr>
              <w:rFonts w:ascii="Times New Roman" w:hAnsi="Times New Roman"/>
              <w:b/>
              <w:sz w:val="24"/>
              <w:szCs w:val="24"/>
            </w:rPr>
            <w:t>SOCIEDAD PORTUARIA BAVARIA S.A.</w:t>
          </w:r>
        </w:p>
        <w:p w14:paraId="1AF59B64" w14:textId="528FE223" w:rsidR="00274429" w:rsidRPr="009A46BB" w:rsidRDefault="00274429" w:rsidP="00E60BAB">
          <w:pPr>
            <w:pStyle w:val="Prrafodelista"/>
            <w:numPr>
              <w:ilvl w:val="0"/>
              <w:numId w:val="147"/>
            </w:numPr>
            <w:jc w:val="both"/>
            <w:rPr>
              <w:rFonts w:ascii="Times New Roman" w:hAnsi="Times New Roman"/>
              <w:b/>
            </w:rPr>
          </w:pPr>
          <w:r w:rsidRPr="009A46BB">
            <w:rPr>
              <w:rFonts w:ascii="Times New Roman" w:hAnsi="Times New Roman"/>
              <w:b/>
              <w:sz w:val="24"/>
              <w:szCs w:val="24"/>
            </w:rPr>
            <w:t>Descripción del acuerdo</w:t>
          </w:r>
        </w:p>
        <w:p w14:paraId="367F33B8" w14:textId="43960735" w:rsidR="00274429" w:rsidRPr="009A46BB" w:rsidRDefault="00274429" w:rsidP="1C10EE48">
          <w:pPr>
            <w:spacing w:after="0"/>
            <w:jc w:val="both"/>
            <w:rPr>
              <w:rFonts w:ascii="Times New Roman" w:hAnsi="Times New Roman"/>
              <w:sz w:val="24"/>
              <w:szCs w:val="24"/>
            </w:rPr>
          </w:pPr>
          <w:r w:rsidRPr="009A46BB">
            <w:rPr>
              <w:rFonts w:ascii="Times New Roman" w:hAnsi="Times New Roman"/>
              <w:b/>
              <w:sz w:val="24"/>
              <w:szCs w:val="24"/>
            </w:rPr>
            <w:t>Número del acuerdo de concesión:</w:t>
          </w:r>
          <w:r w:rsidR="007E6CBB" w:rsidRPr="009A46BB">
            <w:rPr>
              <w:rFonts w:ascii="Times New Roman" w:hAnsi="Times New Roman"/>
              <w:b/>
              <w:sz w:val="24"/>
              <w:szCs w:val="24"/>
            </w:rPr>
            <w:t xml:space="preserve"> </w:t>
          </w:r>
          <w:r w:rsidRPr="009A46BB">
            <w:rPr>
              <w:rFonts w:ascii="Times New Roman" w:hAnsi="Times New Roman"/>
              <w:sz w:val="24"/>
              <w:szCs w:val="24"/>
            </w:rPr>
            <w:t>Contrato de Concesión Portuaria No. 001 de 2007.</w:t>
          </w:r>
        </w:p>
        <w:p w14:paraId="38EB6C2B" w14:textId="1DB2E2CF" w:rsidR="00274429" w:rsidRPr="009A46BB" w:rsidRDefault="00274429" w:rsidP="1C10EE48">
          <w:pPr>
            <w:spacing w:after="0"/>
            <w:jc w:val="both"/>
            <w:rPr>
              <w:rFonts w:ascii="Times New Roman" w:hAnsi="Times New Roman"/>
              <w:sz w:val="24"/>
              <w:szCs w:val="24"/>
            </w:rPr>
          </w:pPr>
          <w:r w:rsidRPr="009A46BB">
            <w:rPr>
              <w:rFonts w:ascii="Times New Roman" w:hAnsi="Times New Roman"/>
              <w:b/>
              <w:sz w:val="24"/>
              <w:szCs w:val="24"/>
            </w:rPr>
            <w:t>Objeto / Descripción:</w:t>
          </w:r>
          <w:r w:rsidR="007E6CBB" w:rsidRPr="009A46BB">
            <w:rPr>
              <w:rFonts w:ascii="Times New Roman" w:hAnsi="Times New Roman"/>
              <w:b/>
              <w:sz w:val="24"/>
              <w:szCs w:val="24"/>
            </w:rPr>
            <w:t xml:space="preserve"> </w:t>
          </w:r>
          <w:r w:rsidRPr="009A46BB">
            <w:rPr>
              <w:rFonts w:ascii="Times New Roman" w:hAnsi="Times New Roman"/>
              <w:sz w:val="24"/>
              <w:szCs w:val="24"/>
            </w:rPr>
            <w:t xml:space="preserve">En virtud del Contrato de concesión y sus modificaciones, se permite al CONCESIONARIO una concesión portuaria para utilizar en forma temporal y exclusiva el muelle especializado en el manejo de graneles limpios, las playas, los terrenos de bajamar y las zonas accesorias a aquellas o éstos. Las facilidades portuarias que se entregan en concesión son las desarrolladas por BAVARIA S.A. en virtud de la concesión portuaria otorgada por la DIMAR, según resolución No. 515 de mayo 27 de 1986, ubicada en la zona industrial de </w:t>
          </w:r>
          <w:r w:rsidRPr="009A46BB">
            <w:rPr>
              <w:rFonts w:ascii="Times New Roman" w:hAnsi="Times New Roman"/>
              <w:sz w:val="24"/>
              <w:szCs w:val="24"/>
            </w:rPr>
            <w:lastRenderedPageBreak/>
            <w:t>Mamonal de la ciudad de Cartagena, Departamento de Bolívar, conforme lo establece la Cláusula Primera del Contrato.</w:t>
          </w:r>
        </w:p>
        <w:p w14:paraId="617D6F8C" w14:textId="2D0C0E12" w:rsidR="00274429" w:rsidRPr="009A46BB" w:rsidRDefault="00274429" w:rsidP="1C10EE48">
          <w:pPr>
            <w:spacing w:after="0"/>
            <w:jc w:val="both"/>
            <w:rPr>
              <w:rFonts w:ascii="Times New Roman" w:hAnsi="Times New Roman"/>
              <w:sz w:val="24"/>
              <w:szCs w:val="24"/>
            </w:rPr>
          </w:pPr>
          <w:r w:rsidRPr="009A46BB">
            <w:rPr>
              <w:rFonts w:ascii="Times New Roman" w:hAnsi="Times New Roman"/>
              <w:b/>
              <w:sz w:val="24"/>
              <w:szCs w:val="24"/>
            </w:rPr>
            <w:t>Valor inicial:</w:t>
          </w:r>
          <w:r w:rsidR="007E6CBB" w:rsidRPr="009A46BB">
            <w:rPr>
              <w:rFonts w:ascii="Times New Roman" w:hAnsi="Times New Roman"/>
              <w:b/>
              <w:sz w:val="24"/>
              <w:szCs w:val="24"/>
            </w:rPr>
            <w:t xml:space="preserve"> </w:t>
          </w:r>
          <w:r w:rsidRPr="009A46BB">
            <w:rPr>
              <w:rFonts w:ascii="Times New Roman" w:hAnsi="Times New Roman"/>
              <w:sz w:val="24"/>
              <w:szCs w:val="24"/>
            </w:rPr>
            <w:t>USD 3.328.837 Clausula Séptima / Contrato No.001 de 2007.</w:t>
          </w:r>
        </w:p>
        <w:p w14:paraId="752D5A9E" w14:textId="6A6CA4E5" w:rsidR="00274429" w:rsidRPr="009A46BB" w:rsidRDefault="00274429" w:rsidP="1C10EE48">
          <w:pPr>
            <w:spacing w:after="0"/>
            <w:jc w:val="both"/>
            <w:rPr>
              <w:rFonts w:ascii="Times New Roman" w:hAnsi="Times New Roman"/>
              <w:sz w:val="24"/>
              <w:szCs w:val="24"/>
            </w:rPr>
          </w:pPr>
          <w:r w:rsidRPr="009A46BB">
            <w:rPr>
              <w:rFonts w:ascii="Times New Roman" w:hAnsi="Times New Roman"/>
              <w:b/>
              <w:sz w:val="24"/>
              <w:szCs w:val="24"/>
            </w:rPr>
            <w:t>Fecha de inicio:</w:t>
          </w:r>
          <w:r w:rsidR="007E6CBB" w:rsidRPr="009A46BB">
            <w:rPr>
              <w:rFonts w:ascii="Times New Roman" w:hAnsi="Times New Roman"/>
              <w:b/>
              <w:sz w:val="24"/>
              <w:szCs w:val="24"/>
            </w:rPr>
            <w:t xml:space="preserve"> </w:t>
          </w:r>
          <w:r w:rsidRPr="009A46BB">
            <w:rPr>
              <w:rFonts w:ascii="Times New Roman" w:hAnsi="Times New Roman"/>
              <w:sz w:val="24"/>
              <w:szCs w:val="24"/>
            </w:rPr>
            <w:t>28/02/2007</w:t>
          </w:r>
        </w:p>
        <w:p w14:paraId="0832EB27" w14:textId="39BB3796" w:rsidR="00274429" w:rsidRPr="009A46BB" w:rsidRDefault="00274429" w:rsidP="1C10EE48">
          <w:pPr>
            <w:spacing w:after="0"/>
            <w:jc w:val="both"/>
            <w:rPr>
              <w:rFonts w:ascii="Times New Roman" w:hAnsi="Times New Roman"/>
              <w:sz w:val="24"/>
              <w:szCs w:val="24"/>
            </w:rPr>
          </w:pPr>
          <w:r w:rsidRPr="009A46BB">
            <w:rPr>
              <w:rFonts w:ascii="Times New Roman" w:hAnsi="Times New Roman"/>
              <w:b/>
              <w:sz w:val="24"/>
              <w:szCs w:val="24"/>
            </w:rPr>
            <w:t>Fecha de finalización estimada:</w:t>
          </w:r>
          <w:r w:rsidR="007E6CBB" w:rsidRPr="009A46BB">
            <w:rPr>
              <w:rFonts w:ascii="Times New Roman" w:hAnsi="Times New Roman"/>
              <w:b/>
              <w:sz w:val="24"/>
              <w:szCs w:val="24"/>
            </w:rPr>
            <w:t xml:space="preserve"> </w:t>
          </w:r>
          <w:r w:rsidRPr="009A46BB">
            <w:rPr>
              <w:rFonts w:ascii="Times New Roman" w:hAnsi="Times New Roman"/>
              <w:sz w:val="24"/>
              <w:szCs w:val="24"/>
            </w:rPr>
            <w:t>27/02/2027</w:t>
          </w:r>
        </w:p>
        <w:p w14:paraId="0C17C379" w14:textId="61DE61AE" w:rsidR="00274429" w:rsidRPr="009A46BB" w:rsidRDefault="00274429" w:rsidP="1C10EE48">
          <w:pPr>
            <w:spacing w:after="0"/>
            <w:jc w:val="both"/>
            <w:rPr>
              <w:rFonts w:ascii="Times New Roman" w:hAnsi="Times New Roman"/>
              <w:sz w:val="24"/>
              <w:szCs w:val="24"/>
            </w:rPr>
          </w:pPr>
          <w:r w:rsidRPr="009A46BB">
            <w:rPr>
              <w:rFonts w:ascii="Times New Roman" w:hAnsi="Times New Roman"/>
              <w:b/>
              <w:sz w:val="24"/>
              <w:szCs w:val="24"/>
            </w:rPr>
            <w:t>Tipo ID:</w:t>
          </w:r>
          <w:r w:rsidR="007E6CBB" w:rsidRPr="009A46BB">
            <w:rPr>
              <w:rFonts w:ascii="Times New Roman" w:hAnsi="Times New Roman"/>
              <w:b/>
              <w:sz w:val="24"/>
              <w:szCs w:val="24"/>
            </w:rPr>
            <w:t xml:space="preserve"> </w:t>
          </w:r>
          <w:r w:rsidRPr="009A46BB">
            <w:rPr>
              <w:rFonts w:ascii="Times New Roman" w:hAnsi="Times New Roman"/>
              <w:sz w:val="24"/>
              <w:szCs w:val="24"/>
            </w:rPr>
            <w:t>NIT</w:t>
          </w:r>
        </w:p>
        <w:p w14:paraId="105FC68F" w14:textId="33EFA4D7" w:rsidR="00274429" w:rsidRPr="009A46BB" w:rsidRDefault="00274429" w:rsidP="1C10EE48">
          <w:pPr>
            <w:spacing w:after="0"/>
            <w:jc w:val="both"/>
            <w:rPr>
              <w:rFonts w:ascii="Times New Roman" w:hAnsi="Times New Roman"/>
              <w:sz w:val="24"/>
              <w:szCs w:val="24"/>
            </w:rPr>
          </w:pPr>
          <w:r w:rsidRPr="009A46BB">
            <w:rPr>
              <w:rFonts w:ascii="Times New Roman" w:hAnsi="Times New Roman"/>
              <w:b/>
              <w:sz w:val="24"/>
              <w:szCs w:val="24"/>
            </w:rPr>
            <w:t>Número ID:</w:t>
          </w:r>
          <w:r w:rsidR="007E6CBB" w:rsidRPr="009A46BB">
            <w:rPr>
              <w:rFonts w:ascii="Times New Roman" w:hAnsi="Times New Roman"/>
              <w:b/>
              <w:sz w:val="24"/>
              <w:szCs w:val="24"/>
            </w:rPr>
            <w:t xml:space="preserve"> </w:t>
          </w:r>
          <w:r w:rsidRPr="009A46BB">
            <w:rPr>
              <w:rFonts w:ascii="Times New Roman" w:hAnsi="Times New Roman"/>
              <w:sz w:val="24"/>
              <w:szCs w:val="24"/>
            </w:rPr>
            <w:t>900.106.818-9</w:t>
          </w:r>
        </w:p>
        <w:p w14:paraId="52A13092" w14:textId="26799310" w:rsidR="00274429" w:rsidRPr="009A46BB" w:rsidRDefault="00274429" w:rsidP="1C10EE48">
          <w:pPr>
            <w:spacing w:after="0"/>
            <w:jc w:val="both"/>
            <w:rPr>
              <w:rFonts w:ascii="Times New Roman" w:hAnsi="Times New Roman"/>
              <w:sz w:val="24"/>
              <w:szCs w:val="24"/>
            </w:rPr>
          </w:pPr>
          <w:r w:rsidRPr="009A46BB">
            <w:rPr>
              <w:rFonts w:ascii="Times New Roman" w:hAnsi="Times New Roman"/>
              <w:b/>
              <w:sz w:val="24"/>
              <w:szCs w:val="24"/>
            </w:rPr>
            <w:t>Razón social del concesionario:</w:t>
          </w:r>
          <w:r w:rsidR="007E6CBB" w:rsidRPr="009A46BB">
            <w:rPr>
              <w:rFonts w:ascii="Times New Roman" w:hAnsi="Times New Roman"/>
              <w:b/>
              <w:sz w:val="24"/>
              <w:szCs w:val="24"/>
            </w:rPr>
            <w:t xml:space="preserve"> </w:t>
          </w:r>
          <w:r w:rsidRPr="009A46BB">
            <w:rPr>
              <w:rFonts w:ascii="Times New Roman" w:hAnsi="Times New Roman"/>
              <w:sz w:val="24"/>
              <w:szCs w:val="24"/>
            </w:rPr>
            <w:t>Sociedad Portuaria Bavaria S.A.</w:t>
          </w:r>
        </w:p>
        <w:p w14:paraId="4F022FF0" w14:textId="26ED353F" w:rsidR="00274429" w:rsidRPr="009A46BB" w:rsidRDefault="00274429" w:rsidP="1C10EE48">
          <w:pPr>
            <w:spacing w:after="0"/>
            <w:jc w:val="both"/>
            <w:rPr>
              <w:rFonts w:ascii="Times New Roman" w:hAnsi="Times New Roman"/>
              <w:sz w:val="24"/>
              <w:szCs w:val="24"/>
            </w:rPr>
          </w:pPr>
          <w:r w:rsidRPr="009A46BB">
            <w:rPr>
              <w:rFonts w:ascii="Times New Roman" w:hAnsi="Times New Roman"/>
              <w:b/>
              <w:sz w:val="24"/>
              <w:szCs w:val="24"/>
            </w:rPr>
            <w:t>Nombre del proyecto:</w:t>
          </w:r>
          <w:r w:rsidR="007E6CBB" w:rsidRPr="009A46BB">
            <w:rPr>
              <w:rFonts w:ascii="Times New Roman" w:hAnsi="Times New Roman"/>
              <w:b/>
              <w:sz w:val="24"/>
              <w:szCs w:val="24"/>
            </w:rPr>
            <w:t xml:space="preserve"> </w:t>
          </w:r>
          <w:r w:rsidRPr="009A46BB">
            <w:rPr>
              <w:rFonts w:ascii="Times New Roman" w:hAnsi="Times New Roman"/>
              <w:sz w:val="24"/>
              <w:szCs w:val="24"/>
            </w:rPr>
            <w:t>Sociedad Portuaria Bavaria S.A.</w:t>
          </w:r>
        </w:p>
        <w:p w14:paraId="782918C0" w14:textId="57AE45DF" w:rsidR="1C10EE48" w:rsidRDefault="1C10EE48" w:rsidP="1C10EE48">
          <w:pPr>
            <w:spacing w:after="0"/>
            <w:jc w:val="both"/>
            <w:rPr>
              <w:rFonts w:ascii="Times New Roman" w:hAnsi="Times New Roman"/>
              <w:sz w:val="24"/>
              <w:szCs w:val="24"/>
            </w:rPr>
          </w:pPr>
        </w:p>
        <w:p w14:paraId="21F5DA5D" w14:textId="23349D1E" w:rsidR="00274429" w:rsidRPr="009A46BB" w:rsidRDefault="00274429" w:rsidP="00E60BAB">
          <w:pPr>
            <w:pStyle w:val="Prrafodelista"/>
            <w:numPr>
              <w:ilvl w:val="0"/>
              <w:numId w:val="170"/>
            </w:numPr>
            <w:jc w:val="both"/>
            <w:rPr>
              <w:rFonts w:ascii="Times New Roman" w:hAnsi="Times New Roman"/>
              <w:b/>
            </w:rPr>
          </w:pPr>
          <w:r w:rsidRPr="009A46BB">
            <w:rPr>
              <w:rFonts w:ascii="Times New Roman" w:hAnsi="Times New Roman"/>
              <w:b/>
              <w:sz w:val="24"/>
              <w:szCs w:val="24"/>
            </w:rPr>
            <w:t xml:space="preserve">Términos significativos del acuerdo que puedan afectar su valor, el calendario y la certeza de los flujos. </w:t>
          </w:r>
        </w:p>
        <w:p w14:paraId="6FC6E2E5"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Términos de valor:</w:t>
          </w:r>
        </w:p>
        <w:p w14:paraId="3BFB657A"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 xml:space="preserve">Tarifas: </w:t>
          </w:r>
          <w:r w:rsidRPr="009A46BB">
            <w:rPr>
              <w:rFonts w:ascii="Times New Roman" w:hAnsi="Times New Roman"/>
              <w:sz w:val="24"/>
              <w:szCs w:val="24"/>
            </w:rPr>
            <w:t>Al ser el terminal marítimo de servicio privado la Ley 1ª de 1991 establece: Las sociedades portuarias que operan puertos de servicio privado podrán fijar libremente sus tarifas, pero mantendrán informada sobre ellas a la Superintendencia General de Puertos hoy Superintendencia de Transporte.</w:t>
          </w:r>
        </w:p>
        <w:p w14:paraId="3670BD95"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Contraprestación portuaria:</w:t>
          </w:r>
          <w:r w:rsidRPr="009A46BB">
            <w:rPr>
              <w:rFonts w:ascii="Times New Roman" w:hAnsi="Times New Roman"/>
              <w:sz w:val="24"/>
              <w:szCs w:val="24"/>
            </w:rPr>
            <w:t xml:space="preserve"> De acuerdo con el último documento contractual vigente la metodología de contraprestación vigente es CONPES 2680 DE 1993 (Productividad). Se establece en la Cláusula Séptima del Contrato que el CONCESIONARIO deberá pagar por concepto de zona de uso público la suma anual de USD 342.000, de dicho pago el 80% le corresponde a la Nación Instituto Nacional de Vías (INVIAS) y el 20% restante al distrito de Cartagena de acuerdo con lo establecido en el parágrafo 1 del artículo 1 de la Ley 856 del 21 de diciembre de 2003, que modifica el artículo 7 de la Ley 1ª de 1991. Así mismo, por concepto de infraestructura el CONCESIONARIO deberá pagar la suma anual de USD 55.910, el cual corresponde en un 100% a la Nación - Instituto Nacional de Vías (INVIAS) de acuerdo con lo establecido en el artículo 1 de la Ley 856 del 21 diciembre de 2003.</w:t>
          </w:r>
        </w:p>
        <w:p w14:paraId="1E25C2D1"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Plan de Inversiones:</w:t>
          </w:r>
          <w:r w:rsidRPr="009A46BB">
            <w:rPr>
              <w:rFonts w:ascii="Times New Roman" w:hAnsi="Times New Roman"/>
              <w:sz w:val="24"/>
              <w:szCs w:val="24"/>
            </w:rPr>
            <w:t xml:space="preserve"> Está establecido en la Cláusula Sexta del Contrato que el VPN de las inversiones es de USD 2.998.719. Asimismo, en la Cláusula Primera del Otrosí No. 3 de 2018, se menciona que el nuevo plan de inversiones que debe ejecutar la Sociedad Portuaria es de USD 7.169.181 en valores corrientes.</w:t>
          </w:r>
        </w:p>
        <w:p w14:paraId="29AF7C8E"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Obligaciones del Concesionario:</w:t>
          </w:r>
          <w:r w:rsidRPr="009A46BB">
            <w:rPr>
              <w:rFonts w:ascii="Times New Roman" w:hAnsi="Times New Roman"/>
              <w:sz w:val="24"/>
              <w:szCs w:val="24"/>
            </w:rPr>
            <w:t xml:space="preserve"> Se encuentran descritas en la Cláusula Décima Cuarta del Contrato.</w:t>
          </w:r>
        </w:p>
        <w:p w14:paraId="4C4A2901"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Multas y sanciones:</w:t>
          </w:r>
          <w:r w:rsidRPr="009A46BB">
            <w:rPr>
              <w:rFonts w:ascii="Times New Roman" w:hAnsi="Times New Roman"/>
              <w:sz w:val="24"/>
              <w:szCs w:val="24"/>
            </w:rPr>
            <w:t xml:space="preserve"> Están establecidas en la Cláusula Décima Séptima del Contrato.</w:t>
          </w:r>
        </w:p>
        <w:p w14:paraId="5413E7E6"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Penal pecuniario:</w:t>
          </w:r>
          <w:r w:rsidRPr="009A46BB">
            <w:rPr>
              <w:rFonts w:ascii="Times New Roman" w:hAnsi="Times New Roman"/>
              <w:sz w:val="24"/>
              <w:szCs w:val="24"/>
            </w:rPr>
            <w:t xml:space="preserve"> En la Cláusula Décima Octava del contrato se establece que en el evento en que el INCO hoy ANI declare la caducidad o el incumplimiento del presente contrato se podrá imponer una penalidad pecuniaria, equivalente al 10% del valor total de la contraprestación.</w:t>
          </w:r>
        </w:p>
        <w:p w14:paraId="1AB448E9"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lastRenderedPageBreak/>
            <w:t>Riesgos:</w:t>
          </w:r>
          <w:r w:rsidRPr="009A46BB">
            <w:rPr>
              <w:rFonts w:ascii="Times New Roman" w:hAnsi="Times New Roman"/>
              <w:sz w:val="24"/>
              <w:szCs w:val="24"/>
            </w:rPr>
            <w:t xml:space="preserve"> Está establecido en la Cláusula Vigésima Novena del Contrato, la totalidad de los riesgos inherentes a la ejecución del contrato en su etapa preoperativa, de construcción, operación, y de reversión, serán asumidos por el CONCESIONARIO, y su ocurrencia no dará derecho a indemnización o reconocimiento alguno a favor de este.</w:t>
          </w:r>
        </w:p>
        <w:p w14:paraId="115DCAC5"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Términos de calendario:</w:t>
          </w:r>
          <w:r w:rsidRPr="009A46BB">
            <w:rPr>
              <w:rFonts w:ascii="Times New Roman" w:hAnsi="Times New Roman"/>
              <w:b/>
              <w:sz w:val="24"/>
              <w:szCs w:val="24"/>
            </w:rPr>
            <w:tab/>
          </w:r>
        </w:p>
        <w:p w14:paraId="56389CEA"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 xml:space="preserve">Tarifas: </w:t>
          </w:r>
          <w:r w:rsidRPr="009A46BB">
            <w:rPr>
              <w:rFonts w:ascii="Times New Roman" w:hAnsi="Times New Roman"/>
              <w:sz w:val="24"/>
              <w:szCs w:val="24"/>
            </w:rPr>
            <w:t>Aprobadas según la metodología establecida por la Superintendencia General de Puertos hoy Superintendencia de Transporte.</w:t>
          </w:r>
        </w:p>
        <w:p w14:paraId="54E8A36F"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Contraprestación portuaria:</w:t>
          </w:r>
          <w:r w:rsidRPr="009A46BB">
            <w:rPr>
              <w:rFonts w:ascii="Times New Roman" w:hAnsi="Times New Roman"/>
              <w:sz w:val="24"/>
              <w:szCs w:val="24"/>
            </w:rPr>
            <w:t xml:space="preserve"> La contraprestación se debe pagar en anualidades anticipadas, dentro de los cinco (5) días siguientes a la fecha del vencimiento de la anualidad (28 de febrero de cada año).</w:t>
          </w:r>
        </w:p>
        <w:p w14:paraId="7BD2BEC6"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 xml:space="preserve">Plan de inversiones: </w:t>
          </w:r>
          <w:r w:rsidRPr="009A46BB">
            <w:rPr>
              <w:rFonts w:ascii="Times New Roman" w:hAnsi="Times New Roman"/>
              <w:sz w:val="24"/>
              <w:szCs w:val="24"/>
            </w:rPr>
            <w:t>Se estableció en la Cláusula Primera del Otrosí No. 3 de 2018, la ejecución de inversiones en el periodo de tiempo comprendido entre el año 2007 a 2027.</w:t>
          </w:r>
        </w:p>
        <w:p w14:paraId="5EEDAFE2"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Multas y sanciones:</w:t>
          </w:r>
          <w:r w:rsidRPr="009A46BB">
            <w:rPr>
              <w:rFonts w:ascii="Times New Roman" w:hAnsi="Times New Roman"/>
              <w:sz w:val="24"/>
              <w:szCs w:val="24"/>
            </w:rPr>
            <w:t xml:space="preserve"> Están establecidas en la Cláusula Décima Séptima del Contrato. A la fecha el contrato no ha tenido ninguna multa.</w:t>
          </w:r>
        </w:p>
        <w:p w14:paraId="5F8157FA"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Términos de certeza de flujos de efectivo futuros:</w:t>
          </w:r>
          <w:r w:rsidRPr="009A46BB">
            <w:rPr>
              <w:rFonts w:ascii="Times New Roman" w:hAnsi="Times New Roman"/>
              <w:b/>
              <w:sz w:val="24"/>
              <w:szCs w:val="24"/>
            </w:rPr>
            <w:tab/>
          </w:r>
        </w:p>
        <w:p w14:paraId="0018FAB9"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Se otorga al CONCESIONARIO una concesión portuaria para utilizar en forma temporal y exclusiva el muelle especializado en el manejo de graneles limpios, las playas, los terrenos de bajamar y las zonas accesorias a aquellas o éstos, a cambio de la contraprestación.</w:t>
          </w:r>
        </w:p>
        <w:p w14:paraId="59574A12"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Cláusula Séptima del Contrato, del valor a pagar por concepto de contraprestación por Zona de Uso Público el 80% corresponde a la Nación-INVIAS y el 20 % al Distrito de Cartagena, y por Infraestructura el 100% a la Nación-INVIAS.</w:t>
          </w:r>
        </w:p>
        <w:p w14:paraId="04C17D98" w14:textId="7E6D54B2" w:rsidR="00274429" w:rsidRPr="009A46BB" w:rsidRDefault="00274429" w:rsidP="00E60BAB">
          <w:pPr>
            <w:pStyle w:val="Prrafodelista"/>
            <w:numPr>
              <w:ilvl w:val="0"/>
              <w:numId w:val="170"/>
            </w:numPr>
            <w:jc w:val="both"/>
            <w:rPr>
              <w:rFonts w:ascii="Times New Roman" w:hAnsi="Times New Roman"/>
              <w:b/>
            </w:rPr>
          </w:pPr>
          <w:r w:rsidRPr="009A46BB">
            <w:rPr>
              <w:rFonts w:ascii="Times New Roman" w:hAnsi="Times New Roman"/>
              <w:b/>
              <w:sz w:val="24"/>
              <w:szCs w:val="24"/>
            </w:rPr>
            <w:t xml:space="preserve">Naturaleza y alcance del derecho a utilizar activos especificados, de los aspectos pactados en torno a lo que se espera que el concesionario proporcione en relación con el acuerdo de concesión. </w:t>
          </w:r>
        </w:p>
        <w:p w14:paraId="0DFBE44C"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Naturaleza y alcance del derecho de uso de los activos</w:t>
          </w:r>
        </w:p>
        <w:p w14:paraId="1371F44E"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w:t>
          </w:r>
          <w:r w:rsidRPr="009A46BB">
            <w:rPr>
              <w:rFonts w:ascii="Times New Roman" w:hAnsi="Times New Roman"/>
              <w:sz w:val="24"/>
              <w:szCs w:val="24"/>
            </w:rPr>
            <w:tab/>
            <w:t>Descripción del proyecto, especificaciones técnicas, modalidades de operación: las condiciones especiales de operación del puerto están establecidas en la cláusula quinta del Contrato de Concesión</w:t>
          </w:r>
        </w:p>
        <w:p w14:paraId="15B60CC3"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Área entregada en concesión:</w:t>
          </w:r>
          <w:r w:rsidRPr="009A46BB">
            <w:rPr>
              <w:rFonts w:ascii="Times New Roman" w:hAnsi="Times New Roman"/>
              <w:sz w:val="24"/>
              <w:szCs w:val="24"/>
            </w:rPr>
            <w:t xml:space="preserve"> La descripción de la ubicación, linderos y extensión de los bienes de uso público (playas y terrenos de baja mar, zonas marítimas accesorias de maniobras) entregados en concesión están establecidos en la cláusula segunda.</w:t>
          </w:r>
        </w:p>
        <w:p w14:paraId="04143FB4"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Infraestructura y equipos entregados en concesión:</w:t>
          </w:r>
          <w:r w:rsidRPr="009A46BB">
            <w:rPr>
              <w:rFonts w:ascii="Times New Roman" w:hAnsi="Times New Roman"/>
              <w:sz w:val="24"/>
              <w:szCs w:val="24"/>
            </w:rPr>
            <w:t xml:space="preserve"> En la cláusula segunda del Contrato, se describe que lo entregado en concesión fue: </w:t>
          </w:r>
        </w:p>
        <w:p w14:paraId="17DC8BF9" w14:textId="0F5D8331"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Infraestructura:</w:t>
          </w:r>
          <w:r w:rsidRPr="009A46BB">
            <w:rPr>
              <w:rFonts w:ascii="Times New Roman" w:hAnsi="Times New Roman"/>
              <w:sz w:val="24"/>
              <w:szCs w:val="24"/>
            </w:rPr>
            <w:t>Una plataforma de atraque y operaciones, dos (2) piñas de amarre, una pasarela que va desde la plataforma del muelle hasta la zona de almacenamiento (silos) de la planta de Maltería Tropical S.A. con una longitud de 1250m lineales.</w:t>
          </w:r>
        </w:p>
        <w:p w14:paraId="02F2900D"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lastRenderedPageBreak/>
            <w:t xml:space="preserve">Equipos: </w:t>
          </w:r>
          <w:r w:rsidRPr="009A46BB">
            <w:rPr>
              <w:rFonts w:ascii="Times New Roman" w:hAnsi="Times New Roman"/>
              <w:sz w:val="24"/>
              <w:szCs w:val="24"/>
            </w:rPr>
            <w:t>Una banda transportadora de 40 pulgadas de ancho, un equipo succionador neumático marca VIGAN – Modelo NIV-300 y un elevador de canjilones.</w:t>
          </w:r>
        </w:p>
        <w:p w14:paraId="2E8CE5DE"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Retribución al concesionario</w:t>
          </w:r>
        </w:p>
        <w:p w14:paraId="6E5B3064"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w:t>
          </w:r>
          <w:r w:rsidRPr="009A46BB">
            <w:rPr>
              <w:rFonts w:ascii="Times New Roman" w:hAnsi="Times New Roman"/>
              <w:sz w:val="24"/>
              <w:szCs w:val="24"/>
            </w:rPr>
            <w:tab/>
            <w:t>Cláusula Primera del Contrato No. 001 de 2007: Se otorga al CONCESIONARIO, una concesión portuaria para utilizar en forma temporal y exclusiva el muelle especializado en el manejo de graneles limpios, las playas, los terrenos de bajamar y las zonas accesorias a aquellas o éstos, a cambio de la contraprestación establecida en la Cláusula Séptima del Contrato.</w:t>
          </w:r>
        </w:p>
        <w:p w14:paraId="3B5C6CC1"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Tasa de retribución:</w:t>
          </w:r>
          <w:r w:rsidRPr="009A46BB">
            <w:rPr>
              <w:rFonts w:ascii="Times New Roman" w:hAnsi="Times New Roman"/>
              <w:sz w:val="24"/>
              <w:szCs w:val="24"/>
            </w:rPr>
            <w:tab/>
            <w:t>N/A</w:t>
          </w:r>
        </w:p>
        <w:p w14:paraId="63C50ED7" w14:textId="60F2E4CE" w:rsidR="00274429" w:rsidRPr="009A46BB" w:rsidRDefault="00274429" w:rsidP="00E60BAB">
          <w:pPr>
            <w:pStyle w:val="Prrafodelista"/>
            <w:numPr>
              <w:ilvl w:val="0"/>
              <w:numId w:val="170"/>
            </w:numPr>
            <w:jc w:val="both"/>
            <w:rPr>
              <w:rFonts w:ascii="Times New Roman" w:hAnsi="Times New Roman"/>
              <w:b/>
            </w:rPr>
          </w:pPr>
          <w:r w:rsidRPr="009A46BB">
            <w:rPr>
              <w:rFonts w:ascii="Times New Roman" w:hAnsi="Times New Roman"/>
              <w:b/>
              <w:sz w:val="24"/>
              <w:szCs w:val="24"/>
            </w:rPr>
            <w:t>Derechos a recibir activos especificados al final del acuerdo de concesión</w:t>
          </w:r>
        </w:p>
        <w:p w14:paraId="19D72912"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w:t>
          </w:r>
          <w:r w:rsidRPr="009A46BB">
            <w:rPr>
              <w:rFonts w:ascii="Times New Roman" w:hAnsi="Times New Roman"/>
              <w:sz w:val="24"/>
              <w:szCs w:val="24"/>
            </w:rPr>
            <w:tab/>
            <w:t>De acuerdo con el Artículo 8º de la Ley 1 de 1991 en el modo portuario el concesionario no tiene derechos finales sobre activos, los debe revertir a la Nación al final del contrato de concesión.</w:t>
          </w:r>
        </w:p>
        <w:p w14:paraId="6E4F5EA5"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Observaciones:</w:t>
          </w:r>
        </w:p>
        <w:p w14:paraId="75EEC83D"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 xml:space="preserve">Reversión: </w:t>
          </w:r>
          <w:r w:rsidRPr="009A46BB">
            <w:rPr>
              <w:rFonts w:ascii="Times New Roman" w:hAnsi="Times New Roman"/>
              <w:sz w:val="24"/>
              <w:szCs w:val="24"/>
            </w:rPr>
            <w:t>De acuerdo con lo establecido en la cláusula decimoprimera del contrato de concesión, todas las construcciones e inmuebles por destinación, que se encuentren instalados en la zona de uso público otorgada en concesión revertirán gratuitamente por el Concesionario.</w:t>
          </w:r>
        </w:p>
        <w:p w14:paraId="6484C65E"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Para tal fin, en el momento de la reversión el CONCESIONARIO elaborará un inventario de los bienes y los enviará para su revisión y aprobación.</w:t>
          </w:r>
        </w:p>
        <w:p w14:paraId="54BAE7E1"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La ANI es la entidad concedente pero la titularidad de los activos al final de la concesión es del Instituto Nacional de Vías INVIAS.</w:t>
          </w:r>
        </w:p>
        <w:p w14:paraId="215E7383" w14:textId="29955927" w:rsidR="00274429" w:rsidRPr="009A46BB" w:rsidRDefault="007E6CBB" w:rsidP="00E60BAB">
          <w:pPr>
            <w:pStyle w:val="Prrafodelista"/>
            <w:numPr>
              <w:ilvl w:val="0"/>
              <w:numId w:val="170"/>
            </w:numPr>
            <w:jc w:val="both"/>
            <w:rPr>
              <w:rFonts w:ascii="Times New Roman" w:hAnsi="Times New Roman"/>
              <w:b/>
            </w:rPr>
          </w:pPr>
          <w:r w:rsidRPr="009A46BB">
            <w:rPr>
              <w:rFonts w:ascii="Times New Roman" w:hAnsi="Times New Roman"/>
              <w:b/>
              <w:sz w:val="24"/>
              <w:szCs w:val="24"/>
            </w:rPr>
            <w:t>No hay c</w:t>
          </w:r>
          <w:r w:rsidR="00274429" w:rsidRPr="009A46BB">
            <w:rPr>
              <w:rFonts w:ascii="Times New Roman" w:hAnsi="Times New Roman"/>
              <w:b/>
              <w:sz w:val="24"/>
              <w:szCs w:val="24"/>
            </w:rPr>
            <w:t>ambios en el acuerdo de concesión que se realicen durante el periodo fiscal</w:t>
          </w:r>
        </w:p>
        <w:p w14:paraId="3F823B16" w14:textId="2207C164" w:rsidR="00274429" w:rsidRPr="009A46BB" w:rsidRDefault="00274429" w:rsidP="00274429">
          <w:pPr>
            <w:jc w:val="both"/>
            <w:rPr>
              <w:rFonts w:ascii="Times New Roman" w:hAnsi="Times New Roman"/>
              <w:sz w:val="24"/>
              <w:szCs w:val="24"/>
            </w:rPr>
          </w:pPr>
        </w:p>
        <w:p w14:paraId="04570384" w14:textId="77777777" w:rsidR="007E6CBB" w:rsidRPr="009A46BB" w:rsidRDefault="007E6CBB" w:rsidP="00274429">
          <w:pPr>
            <w:jc w:val="both"/>
            <w:rPr>
              <w:rFonts w:ascii="Times New Roman" w:hAnsi="Times New Roman"/>
              <w:sz w:val="24"/>
              <w:szCs w:val="24"/>
            </w:rPr>
          </w:pPr>
        </w:p>
        <w:p w14:paraId="02219450" w14:textId="706E6110" w:rsidR="00274429" w:rsidRPr="009A46BB" w:rsidRDefault="007E6CBB" w:rsidP="007E6CBB">
          <w:pPr>
            <w:spacing w:line="259" w:lineRule="auto"/>
            <w:jc w:val="both"/>
            <w:rPr>
              <w:rFonts w:ascii="Times New Roman" w:hAnsi="Times New Roman"/>
              <w:b/>
              <w:sz w:val="24"/>
              <w:szCs w:val="24"/>
            </w:rPr>
          </w:pPr>
          <w:r w:rsidRPr="009A46BB">
            <w:rPr>
              <w:rFonts w:ascii="Times New Roman" w:hAnsi="Times New Roman"/>
              <w:b/>
              <w:sz w:val="24"/>
              <w:szCs w:val="24"/>
            </w:rPr>
            <w:t>SOCIEDAD PORTUARIA OLEFINAS Y DERIVADOS S.A.</w:t>
          </w:r>
        </w:p>
        <w:p w14:paraId="7D11C3E0" w14:textId="6538A49D" w:rsidR="00274429" w:rsidRPr="009A46BB" w:rsidRDefault="39B7A235" w:rsidP="00E60BAB">
          <w:pPr>
            <w:pStyle w:val="Prrafodelista"/>
            <w:numPr>
              <w:ilvl w:val="0"/>
              <w:numId w:val="146"/>
            </w:numPr>
            <w:jc w:val="both"/>
            <w:rPr>
              <w:rFonts w:ascii="Times New Roman" w:hAnsi="Times New Roman"/>
              <w:b/>
            </w:rPr>
          </w:pPr>
          <w:r w:rsidRPr="1C10EE48">
            <w:rPr>
              <w:rFonts w:ascii="Times New Roman" w:hAnsi="Times New Roman"/>
              <w:b/>
              <w:bCs/>
              <w:sz w:val="24"/>
              <w:szCs w:val="24"/>
            </w:rPr>
            <w:t xml:space="preserve"> </w:t>
          </w:r>
          <w:r w:rsidR="00274429" w:rsidRPr="009A46BB">
            <w:rPr>
              <w:rFonts w:ascii="Times New Roman" w:hAnsi="Times New Roman"/>
              <w:b/>
              <w:sz w:val="24"/>
              <w:szCs w:val="24"/>
            </w:rPr>
            <w:t>Descripción del acuerdo</w:t>
          </w:r>
        </w:p>
        <w:p w14:paraId="32CD184F" w14:textId="3C8BBC04" w:rsidR="00274429" w:rsidRPr="009A46BB" w:rsidRDefault="00274429" w:rsidP="5132E634">
          <w:pPr>
            <w:spacing w:after="0"/>
            <w:jc w:val="both"/>
            <w:rPr>
              <w:rFonts w:ascii="Times New Roman" w:hAnsi="Times New Roman"/>
              <w:sz w:val="24"/>
              <w:szCs w:val="24"/>
            </w:rPr>
          </w:pPr>
          <w:r w:rsidRPr="009A46BB">
            <w:rPr>
              <w:rFonts w:ascii="Times New Roman" w:hAnsi="Times New Roman"/>
              <w:b/>
              <w:sz w:val="24"/>
              <w:szCs w:val="24"/>
            </w:rPr>
            <w:t>Número del acuerdo de concesión:</w:t>
          </w:r>
          <w:r w:rsidR="00BB667D" w:rsidRPr="009A46BB">
            <w:rPr>
              <w:rFonts w:ascii="Times New Roman" w:hAnsi="Times New Roman"/>
              <w:b/>
              <w:sz w:val="24"/>
              <w:szCs w:val="24"/>
            </w:rPr>
            <w:t xml:space="preserve"> </w:t>
          </w:r>
          <w:r w:rsidRPr="009A46BB">
            <w:rPr>
              <w:rFonts w:ascii="Times New Roman" w:hAnsi="Times New Roman"/>
              <w:sz w:val="24"/>
              <w:szCs w:val="24"/>
            </w:rPr>
            <w:t>Contrato de Concesión Portuario No. 003 de 2007.</w:t>
          </w:r>
        </w:p>
        <w:p w14:paraId="4FA38E37" w14:textId="361F72DE" w:rsidR="00274429" w:rsidRPr="009A46BB" w:rsidRDefault="00274429" w:rsidP="5132E634">
          <w:pPr>
            <w:spacing w:after="0"/>
            <w:jc w:val="both"/>
            <w:rPr>
              <w:rFonts w:ascii="Times New Roman" w:hAnsi="Times New Roman"/>
              <w:sz w:val="24"/>
              <w:szCs w:val="24"/>
            </w:rPr>
          </w:pPr>
          <w:r w:rsidRPr="009A46BB">
            <w:rPr>
              <w:rFonts w:ascii="Times New Roman" w:hAnsi="Times New Roman"/>
              <w:b/>
              <w:sz w:val="24"/>
              <w:szCs w:val="24"/>
            </w:rPr>
            <w:t>Objeto / Descripción:</w:t>
          </w:r>
          <w:r w:rsidR="00BB667D" w:rsidRPr="009A46BB">
            <w:rPr>
              <w:rFonts w:ascii="Times New Roman" w:hAnsi="Times New Roman"/>
              <w:b/>
              <w:sz w:val="24"/>
              <w:szCs w:val="24"/>
            </w:rPr>
            <w:t xml:space="preserve"> </w:t>
          </w:r>
          <w:r w:rsidRPr="009A46BB">
            <w:rPr>
              <w:rFonts w:ascii="Times New Roman" w:hAnsi="Times New Roman"/>
              <w:sz w:val="24"/>
              <w:szCs w:val="24"/>
            </w:rPr>
            <w:t>En virtud del Contrato de concesión y sus modificaciones, se permite al CONCESIONARIO ocupar y utilizar en forma temporal y exclusiva las playas, los terrenos de bajamar y las zonas accesorias a aquellas o estos, para la operación de unas instalaciones portuarias construidas, ubicadas en la bahía de Cartagena y el desarrollo de actividades portuarias de servicio público, conforme lo establece la Cláusula Primera del Contrato.</w:t>
          </w:r>
        </w:p>
        <w:p w14:paraId="4BE2158A" w14:textId="7ED47E5E" w:rsidR="00274429" w:rsidRPr="009A46BB" w:rsidRDefault="00274429" w:rsidP="5132E634">
          <w:pPr>
            <w:spacing w:after="0"/>
            <w:jc w:val="both"/>
            <w:rPr>
              <w:rFonts w:ascii="Times New Roman" w:hAnsi="Times New Roman"/>
              <w:sz w:val="24"/>
              <w:szCs w:val="24"/>
            </w:rPr>
          </w:pPr>
          <w:r w:rsidRPr="009A46BB">
            <w:rPr>
              <w:rFonts w:ascii="Times New Roman" w:hAnsi="Times New Roman"/>
              <w:b/>
              <w:sz w:val="24"/>
              <w:szCs w:val="24"/>
            </w:rPr>
            <w:t>Valor inicial:</w:t>
          </w:r>
          <w:r w:rsidR="00BB667D" w:rsidRPr="009A46BB">
            <w:rPr>
              <w:rFonts w:ascii="Times New Roman" w:hAnsi="Times New Roman"/>
              <w:b/>
              <w:sz w:val="24"/>
              <w:szCs w:val="24"/>
            </w:rPr>
            <w:t xml:space="preserve"> </w:t>
          </w:r>
          <w:r w:rsidRPr="009A46BB">
            <w:rPr>
              <w:rFonts w:ascii="Times New Roman" w:hAnsi="Times New Roman"/>
              <w:sz w:val="24"/>
              <w:szCs w:val="24"/>
            </w:rPr>
            <w:t>USD $862.028 Cláusula Octava del Contrato No 003 de 2007</w:t>
          </w:r>
        </w:p>
        <w:p w14:paraId="17A1BED3" w14:textId="7E038C34" w:rsidR="00274429" w:rsidRPr="009A46BB" w:rsidRDefault="00274429" w:rsidP="5132E634">
          <w:pPr>
            <w:spacing w:after="0"/>
            <w:jc w:val="both"/>
            <w:rPr>
              <w:rFonts w:ascii="Times New Roman" w:hAnsi="Times New Roman"/>
              <w:sz w:val="24"/>
              <w:szCs w:val="24"/>
            </w:rPr>
          </w:pPr>
          <w:r w:rsidRPr="009A46BB">
            <w:rPr>
              <w:rFonts w:ascii="Times New Roman" w:hAnsi="Times New Roman"/>
              <w:b/>
              <w:sz w:val="24"/>
              <w:szCs w:val="24"/>
            </w:rPr>
            <w:t>Fecha de inicio:</w:t>
          </w:r>
          <w:r w:rsidR="00BB667D" w:rsidRPr="009A46BB">
            <w:rPr>
              <w:rFonts w:ascii="Times New Roman" w:hAnsi="Times New Roman"/>
              <w:b/>
              <w:sz w:val="24"/>
              <w:szCs w:val="24"/>
            </w:rPr>
            <w:t xml:space="preserve"> </w:t>
          </w:r>
          <w:r w:rsidRPr="009A46BB">
            <w:rPr>
              <w:rFonts w:ascii="Times New Roman" w:hAnsi="Times New Roman"/>
              <w:sz w:val="24"/>
              <w:szCs w:val="24"/>
            </w:rPr>
            <w:t>21/03/2007</w:t>
          </w:r>
        </w:p>
        <w:p w14:paraId="489E7005" w14:textId="74020D30" w:rsidR="00274429" w:rsidRPr="009A46BB" w:rsidRDefault="00274429" w:rsidP="5132E634">
          <w:pPr>
            <w:spacing w:after="0"/>
            <w:jc w:val="both"/>
            <w:rPr>
              <w:rFonts w:ascii="Times New Roman" w:hAnsi="Times New Roman"/>
              <w:sz w:val="24"/>
              <w:szCs w:val="24"/>
            </w:rPr>
          </w:pPr>
          <w:r w:rsidRPr="009A46BB">
            <w:rPr>
              <w:rFonts w:ascii="Times New Roman" w:hAnsi="Times New Roman"/>
              <w:b/>
              <w:sz w:val="24"/>
              <w:szCs w:val="24"/>
            </w:rPr>
            <w:t>Fecha de finalización estimada:</w:t>
          </w:r>
          <w:r w:rsidR="00BB667D" w:rsidRPr="009A46BB">
            <w:rPr>
              <w:rFonts w:ascii="Times New Roman" w:hAnsi="Times New Roman"/>
              <w:b/>
              <w:sz w:val="24"/>
              <w:szCs w:val="24"/>
            </w:rPr>
            <w:t xml:space="preserve"> </w:t>
          </w:r>
          <w:r w:rsidRPr="009A46BB">
            <w:rPr>
              <w:rFonts w:ascii="Times New Roman" w:hAnsi="Times New Roman"/>
              <w:sz w:val="24"/>
              <w:szCs w:val="24"/>
            </w:rPr>
            <w:t>20/03/2027</w:t>
          </w:r>
        </w:p>
        <w:p w14:paraId="02B9EE7F" w14:textId="35F53DC3" w:rsidR="00274429" w:rsidRPr="009A46BB" w:rsidRDefault="00274429" w:rsidP="5132E634">
          <w:pPr>
            <w:spacing w:after="0"/>
            <w:jc w:val="both"/>
            <w:rPr>
              <w:rFonts w:ascii="Times New Roman" w:hAnsi="Times New Roman"/>
              <w:sz w:val="24"/>
              <w:szCs w:val="24"/>
            </w:rPr>
          </w:pPr>
          <w:r w:rsidRPr="009A46BB">
            <w:rPr>
              <w:rFonts w:ascii="Times New Roman" w:hAnsi="Times New Roman"/>
              <w:b/>
              <w:sz w:val="24"/>
              <w:szCs w:val="24"/>
            </w:rPr>
            <w:lastRenderedPageBreak/>
            <w:t>Tipo ID:</w:t>
          </w:r>
          <w:r w:rsidR="00BB667D" w:rsidRPr="009A46BB">
            <w:rPr>
              <w:rFonts w:ascii="Times New Roman" w:hAnsi="Times New Roman"/>
              <w:b/>
              <w:sz w:val="24"/>
              <w:szCs w:val="24"/>
            </w:rPr>
            <w:t xml:space="preserve"> </w:t>
          </w:r>
          <w:r w:rsidRPr="009A46BB">
            <w:rPr>
              <w:rFonts w:ascii="Times New Roman" w:hAnsi="Times New Roman"/>
              <w:sz w:val="24"/>
              <w:szCs w:val="24"/>
            </w:rPr>
            <w:t>NIT</w:t>
          </w:r>
        </w:p>
        <w:p w14:paraId="284158A3" w14:textId="3340E703" w:rsidR="00274429" w:rsidRPr="009A46BB" w:rsidRDefault="00274429" w:rsidP="5132E634">
          <w:pPr>
            <w:spacing w:after="0"/>
            <w:jc w:val="both"/>
            <w:rPr>
              <w:rFonts w:ascii="Times New Roman" w:hAnsi="Times New Roman"/>
              <w:sz w:val="24"/>
              <w:szCs w:val="24"/>
            </w:rPr>
          </w:pPr>
          <w:r w:rsidRPr="009A46BB">
            <w:rPr>
              <w:rFonts w:ascii="Times New Roman" w:hAnsi="Times New Roman"/>
              <w:b/>
              <w:sz w:val="24"/>
              <w:szCs w:val="24"/>
            </w:rPr>
            <w:t>Número ID:</w:t>
          </w:r>
          <w:r w:rsidR="00BB667D" w:rsidRPr="009A46BB">
            <w:rPr>
              <w:rFonts w:ascii="Times New Roman" w:hAnsi="Times New Roman"/>
              <w:b/>
              <w:sz w:val="24"/>
              <w:szCs w:val="24"/>
            </w:rPr>
            <w:t xml:space="preserve"> </w:t>
          </w:r>
          <w:r w:rsidRPr="009A46BB">
            <w:rPr>
              <w:rFonts w:ascii="Times New Roman" w:hAnsi="Times New Roman"/>
              <w:sz w:val="24"/>
              <w:szCs w:val="24"/>
            </w:rPr>
            <w:t>806.016.414-1</w:t>
          </w:r>
        </w:p>
        <w:p w14:paraId="7DBC681C" w14:textId="4C292572" w:rsidR="00274429" w:rsidRPr="009A46BB" w:rsidRDefault="00274429" w:rsidP="5132E634">
          <w:pPr>
            <w:spacing w:after="0"/>
            <w:jc w:val="both"/>
            <w:rPr>
              <w:rFonts w:ascii="Times New Roman" w:hAnsi="Times New Roman"/>
              <w:sz w:val="24"/>
              <w:szCs w:val="24"/>
            </w:rPr>
          </w:pPr>
          <w:r w:rsidRPr="009A46BB">
            <w:rPr>
              <w:rFonts w:ascii="Times New Roman" w:hAnsi="Times New Roman"/>
              <w:b/>
              <w:sz w:val="24"/>
              <w:szCs w:val="24"/>
            </w:rPr>
            <w:t>Razón social del concesionario:</w:t>
          </w:r>
          <w:r w:rsidR="00BB667D" w:rsidRPr="009A46BB">
            <w:rPr>
              <w:rFonts w:ascii="Times New Roman" w:hAnsi="Times New Roman"/>
              <w:b/>
              <w:sz w:val="24"/>
              <w:szCs w:val="24"/>
            </w:rPr>
            <w:t xml:space="preserve"> </w:t>
          </w:r>
          <w:r w:rsidRPr="009A46BB">
            <w:rPr>
              <w:rFonts w:ascii="Times New Roman" w:hAnsi="Times New Roman"/>
              <w:sz w:val="24"/>
              <w:szCs w:val="24"/>
            </w:rPr>
            <w:t>Sociedad Portuaria Olefinas y Derivados S.A.</w:t>
          </w:r>
        </w:p>
        <w:p w14:paraId="65991C59" w14:textId="726206B0" w:rsidR="00274429" w:rsidRPr="009A46BB" w:rsidRDefault="00274429" w:rsidP="5132E634">
          <w:pPr>
            <w:spacing w:after="0"/>
            <w:jc w:val="both"/>
            <w:rPr>
              <w:rFonts w:ascii="Times New Roman" w:hAnsi="Times New Roman"/>
              <w:sz w:val="24"/>
              <w:szCs w:val="24"/>
            </w:rPr>
          </w:pPr>
          <w:r w:rsidRPr="009A46BB">
            <w:rPr>
              <w:rFonts w:ascii="Times New Roman" w:hAnsi="Times New Roman"/>
              <w:b/>
              <w:sz w:val="24"/>
              <w:szCs w:val="24"/>
            </w:rPr>
            <w:t>Nombre del proyecto:</w:t>
          </w:r>
          <w:r w:rsidR="00BB667D" w:rsidRPr="009A46BB">
            <w:rPr>
              <w:rFonts w:ascii="Times New Roman" w:hAnsi="Times New Roman"/>
              <w:b/>
              <w:sz w:val="24"/>
              <w:szCs w:val="24"/>
            </w:rPr>
            <w:t xml:space="preserve"> </w:t>
          </w:r>
          <w:r w:rsidRPr="009A46BB">
            <w:rPr>
              <w:rFonts w:ascii="Times New Roman" w:hAnsi="Times New Roman"/>
              <w:sz w:val="24"/>
              <w:szCs w:val="24"/>
            </w:rPr>
            <w:t>Sociedad Portuaria Olefinas y Derivados S.A.</w:t>
          </w:r>
        </w:p>
        <w:p w14:paraId="75353B67" w14:textId="0CD99FD6" w:rsidR="5132E634" w:rsidRDefault="5132E634" w:rsidP="5132E634">
          <w:pPr>
            <w:spacing w:after="0"/>
            <w:jc w:val="both"/>
            <w:rPr>
              <w:rFonts w:ascii="Times New Roman" w:hAnsi="Times New Roman"/>
              <w:sz w:val="24"/>
              <w:szCs w:val="24"/>
            </w:rPr>
          </w:pPr>
        </w:p>
        <w:p w14:paraId="3DE1647D" w14:textId="4841AD8D" w:rsidR="00274429" w:rsidRPr="009A46BB" w:rsidRDefault="00274429" w:rsidP="00E60BAB">
          <w:pPr>
            <w:pStyle w:val="Prrafodelista"/>
            <w:numPr>
              <w:ilvl w:val="0"/>
              <w:numId w:val="171"/>
            </w:numPr>
            <w:jc w:val="both"/>
            <w:rPr>
              <w:rFonts w:ascii="Times New Roman" w:hAnsi="Times New Roman"/>
              <w:b/>
            </w:rPr>
          </w:pPr>
          <w:r w:rsidRPr="009A46BB">
            <w:rPr>
              <w:rFonts w:ascii="Times New Roman" w:hAnsi="Times New Roman"/>
              <w:b/>
              <w:sz w:val="24"/>
              <w:szCs w:val="24"/>
            </w:rPr>
            <w:t xml:space="preserve">Términos significativos del acuerdo que puedan afectar su valor, el calendario y la certeza de los flujos </w:t>
          </w:r>
        </w:p>
        <w:p w14:paraId="0AD8E74E"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Términos de valor:</w:t>
          </w:r>
          <w:r w:rsidRPr="009A46BB">
            <w:rPr>
              <w:rFonts w:ascii="Times New Roman" w:hAnsi="Times New Roman"/>
              <w:b/>
              <w:sz w:val="24"/>
              <w:szCs w:val="24"/>
            </w:rPr>
            <w:tab/>
          </w:r>
        </w:p>
        <w:p w14:paraId="3E2E5149"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 xml:space="preserve">1.Tarifas: </w:t>
          </w:r>
          <w:r w:rsidRPr="009A46BB">
            <w:rPr>
              <w:rFonts w:ascii="Times New Roman" w:hAnsi="Times New Roman"/>
              <w:sz w:val="24"/>
              <w:szCs w:val="24"/>
            </w:rPr>
            <w:t>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w:t>
          </w:r>
        </w:p>
        <w:p w14:paraId="11F12EF8"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2.Contraprestación portuaria:</w:t>
          </w:r>
          <w:r w:rsidRPr="009A46BB">
            <w:rPr>
              <w:rFonts w:ascii="Times New Roman" w:hAnsi="Times New Roman"/>
              <w:sz w:val="24"/>
              <w:szCs w:val="24"/>
            </w:rPr>
            <w:t xml:space="preserve"> De acuerdo con el último documento contractual vigente la metodología de contraprestación vigente es CONPES 2680 DE 1993 (Productividad). Se establece en la Cláusula Octava del Contrato que el CONCESIONARIO deberá pagar por concepto de zona de uso público la suma anual de (USD 98.614,00), de dicho pago el 80% le corresponde a la Nación Instituto nacional de vías (INVIAS) y el 20% restante al distrito de Cartagena de acuerdo con lo establecido en el parágrafo 1 del artículo 1 de la ley 856 del 21 de diciembre de 2003, que modifica el artículo 7 de la ley 1ª de 1991. Así mismo, por concepto de infraestructura el CONCESIONARIO deberá pagar la suma anual de (USD 4.429,00), el cual corresponde en un 100% a la Nación - Instituto Nacional de Vías (INVIAS) de acuerdo con lo establecido en el artículo 1 de la ley 856 del 21 diciembre de 2003.</w:t>
          </w:r>
        </w:p>
        <w:p w14:paraId="6CA3A493"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3.Plan de Inversiones:</w:t>
          </w:r>
          <w:r w:rsidRPr="009A46BB">
            <w:rPr>
              <w:rFonts w:ascii="Times New Roman" w:hAnsi="Times New Roman"/>
              <w:sz w:val="24"/>
              <w:szCs w:val="24"/>
            </w:rPr>
            <w:t xml:space="preserve"> está establecido en la Cláusula Séptima del contrato, el plan de inversión será de USD $782.473,00.</w:t>
          </w:r>
        </w:p>
        <w:p w14:paraId="5CED9C5A" w14:textId="117E9611"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Obras Adicionales:</w:t>
          </w:r>
          <w:r w:rsidRPr="009A46BB">
            <w:rPr>
              <w:rFonts w:ascii="Times New Roman" w:hAnsi="Times New Roman"/>
              <w:sz w:val="24"/>
              <w:szCs w:val="24"/>
            </w:rPr>
            <w:t>Mediante Otrosí No. 02 de 2021 se autorizaron obras adicionales a cuenta y riesgo del Concesionario por un valor estimado de USD 1.226.810 dólares UN MILLÓN DOSCIENTOS VEINTISÉIS MIL OCHOCIENTOS DIEZ DÓLARES CORRIENTES.</w:t>
          </w:r>
        </w:p>
        <w:p w14:paraId="229419C4"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Obligaciones del CONCESIONARIO:</w:t>
          </w:r>
          <w:r w:rsidRPr="009A46BB">
            <w:rPr>
              <w:rFonts w:ascii="Times New Roman" w:hAnsi="Times New Roman"/>
              <w:sz w:val="24"/>
              <w:szCs w:val="24"/>
            </w:rPr>
            <w:t xml:space="preserve"> se encuentran descritas en la cláusula décima quinta. </w:t>
          </w:r>
        </w:p>
        <w:p w14:paraId="26AD2B5A"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 xml:space="preserve">Multas y sanciones: </w:t>
          </w:r>
          <w:r w:rsidRPr="009A46BB">
            <w:rPr>
              <w:rFonts w:ascii="Times New Roman" w:hAnsi="Times New Roman"/>
              <w:sz w:val="24"/>
              <w:szCs w:val="24"/>
            </w:rPr>
            <w:t xml:space="preserve">están establecidas en la Cláusula Décima Octava. </w:t>
          </w:r>
        </w:p>
        <w:p w14:paraId="5C64E98B"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Penal pecuniaria:</w:t>
          </w:r>
          <w:r w:rsidRPr="009A46BB">
            <w:rPr>
              <w:rFonts w:ascii="Times New Roman" w:hAnsi="Times New Roman"/>
              <w:sz w:val="24"/>
              <w:szCs w:val="24"/>
            </w:rPr>
            <w:t xml:space="preserve"> En la cláusula décima novena se establece que en el evento en que el INCO hoy ANI declare la caducidad o el incumplimiento del presente contrato se podrá imponer una penalidad pecuniaria.</w:t>
          </w:r>
        </w:p>
        <w:p w14:paraId="26606F23"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Términos de calendario:</w:t>
          </w:r>
          <w:r w:rsidRPr="009A46BB">
            <w:rPr>
              <w:rFonts w:ascii="Times New Roman" w:hAnsi="Times New Roman"/>
              <w:b/>
              <w:sz w:val="24"/>
              <w:szCs w:val="24"/>
            </w:rPr>
            <w:tab/>
          </w:r>
        </w:p>
        <w:p w14:paraId="5C944BEF" w14:textId="647D70D9" w:rsidR="00274429" w:rsidRPr="009A46BB" w:rsidRDefault="00BB667D" w:rsidP="00274429">
          <w:pPr>
            <w:jc w:val="both"/>
            <w:rPr>
              <w:rFonts w:ascii="Times New Roman" w:hAnsi="Times New Roman"/>
              <w:sz w:val="24"/>
              <w:szCs w:val="24"/>
            </w:rPr>
          </w:pPr>
          <w:r w:rsidRPr="009A46BB">
            <w:rPr>
              <w:rFonts w:ascii="Times New Roman" w:hAnsi="Times New Roman"/>
              <w:b/>
              <w:sz w:val="24"/>
              <w:szCs w:val="24"/>
            </w:rPr>
            <w:t xml:space="preserve">1. </w:t>
          </w:r>
          <w:r w:rsidR="00274429" w:rsidRPr="009A46BB">
            <w:rPr>
              <w:rFonts w:ascii="Times New Roman" w:hAnsi="Times New Roman"/>
              <w:b/>
              <w:sz w:val="24"/>
              <w:szCs w:val="24"/>
            </w:rPr>
            <w:t>Tarifas:</w:t>
          </w:r>
          <w:r w:rsidR="00274429" w:rsidRPr="009A46BB">
            <w:rPr>
              <w:rFonts w:ascii="Times New Roman" w:hAnsi="Times New Roman"/>
              <w:sz w:val="24"/>
              <w:szCs w:val="24"/>
            </w:rPr>
            <w:t xml:space="preserve"> Aprobadas según la metodología establecida por la Superintendencia General de Puertos hoy Superintendencia de Transporte.</w:t>
          </w:r>
        </w:p>
        <w:p w14:paraId="4031EED5"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2. Contraprestación portuaria:</w:t>
          </w:r>
          <w:r w:rsidRPr="009A46BB">
            <w:rPr>
              <w:rFonts w:ascii="Times New Roman" w:hAnsi="Times New Roman"/>
              <w:sz w:val="24"/>
              <w:szCs w:val="24"/>
            </w:rPr>
            <w:t xml:space="preserve"> la contraprestación se debe pagar de manera anual anticipada desde el mes de marzo de cada año.</w:t>
          </w:r>
        </w:p>
        <w:p w14:paraId="56A44781" w14:textId="3B5F0F1F"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lastRenderedPageBreak/>
            <w:t>3.</w:t>
          </w:r>
          <w:r w:rsidR="00BB667D" w:rsidRPr="009A46BB">
            <w:rPr>
              <w:rFonts w:ascii="Times New Roman" w:hAnsi="Times New Roman"/>
              <w:b/>
              <w:sz w:val="24"/>
              <w:szCs w:val="24"/>
            </w:rPr>
            <w:t xml:space="preserve"> </w:t>
          </w:r>
          <w:r w:rsidRPr="009A46BB">
            <w:rPr>
              <w:rFonts w:ascii="Times New Roman" w:hAnsi="Times New Roman"/>
              <w:b/>
              <w:sz w:val="24"/>
              <w:szCs w:val="24"/>
            </w:rPr>
            <w:t>Plan de inversiones:</w:t>
          </w:r>
          <w:r w:rsidRPr="009A46BB">
            <w:rPr>
              <w:rFonts w:ascii="Times New Roman" w:hAnsi="Times New Roman"/>
              <w:sz w:val="24"/>
              <w:szCs w:val="24"/>
            </w:rPr>
            <w:t xml:space="preserve"> Se estableció en la cláusula Séptima la ejecución de inversiones durante los 20 años de la concesión consistentes en adecuaciones y mejoramientos de las instalaciones portuarias existentes.</w:t>
          </w:r>
        </w:p>
        <w:p w14:paraId="77580FCE" w14:textId="48D3ED61"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4.</w:t>
          </w:r>
          <w:r w:rsidR="00BB667D" w:rsidRPr="009A46BB">
            <w:rPr>
              <w:rFonts w:ascii="Times New Roman" w:hAnsi="Times New Roman"/>
              <w:b/>
              <w:sz w:val="24"/>
              <w:szCs w:val="24"/>
            </w:rPr>
            <w:t xml:space="preserve"> </w:t>
          </w:r>
          <w:r w:rsidRPr="009A46BB">
            <w:rPr>
              <w:rFonts w:ascii="Times New Roman" w:hAnsi="Times New Roman"/>
              <w:b/>
              <w:sz w:val="24"/>
              <w:szCs w:val="24"/>
            </w:rPr>
            <w:t>Multas:</w:t>
          </w:r>
          <w:r w:rsidRPr="009A46BB">
            <w:rPr>
              <w:rFonts w:ascii="Times New Roman" w:hAnsi="Times New Roman"/>
              <w:sz w:val="24"/>
              <w:szCs w:val="24"/>
            </w:rPr>
            <w:t xml:space="preserve"> Cláusula Décima Octava contrato 003 de 2007.</w:t>
          </w:r>
        </w:p>
        <w:p w14:paraId="086339EA"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Términos de certeza de flujos de efectivo futuros:</w:t>
          </w:r>
        </w:p>
        <w:p w14:paraId="61B18505"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Se otorga a EL CONCESIONARIO el derecho de ocupar y utilizar en forma temporal y exclusiva las playas, los terrenos de bajamar y zonas accesorias a aquellas o estos, descritos en la cláusula segunda del contrato, a cambio de la contraprestación establecida en la Clausula Octava del contrato.</w:t>
          </w:r>
        </w:p>
        <w:p w14:paraId="724907CD"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Cláusula Octava indica que del valor a pagar por concepto de contraprestación por Zona de Uso público el 80% le corresponde a la Nación-INVIAS y el 20 % al Distrito turístico de Cartagena de Indias y por Infraestructura el 100% a la Nación-INVIAS.</w:t>
          </w:r>
        </w:p>
        <w:p w14:paraId="76BD2E64" w14:textId="51D0A69E" w:rsidR="00274429" w:rsidRPr="009A46BB" w:rsidRDefault="00274429" w:rsidP="00E60BAB">
          <w:pPr>
            <w:pStyle w:val="Prrafodelista"/>
            <w:numPr>
              <w:ilvl w:val="0"/>
              <w:numId w:val="171"/>
            </w:numPr>
            <w:jc w:val="both"/>
            <w:rPr>
              <w:rFonts w:ascii="Times New Roman" w:hAnsi="Times New Roman"/>
              <w:b/>
            </w:rPr>
          </w:pPr>
          <w:r w:rsidRPr="009A46BB">
            <w:rPr>
              <w:rFonts w:ascii="Times New Roman" w:hAnsi="Times New Roman"/>
              <w:b/>
              <w:sz w:val="24"/>
              <w:szCs w:val="24"/>
            </w:rPr>
            <w:t xml:space="preserve">Naturaleza y alcance del derecho a utilizar activos especificados, de los aspectos pactados en torno a lo que se espera que el concesionario proporcione en relación con el acuerdo de concesión </w:t>
          </w:r>
        </w:p>
        <w:p w14:paraId="52A9BA52"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Naturaleza y alcance del derecho de uso de los activos</w:t>
          </w:r>
        </w:p>
        <w:p w14:paraId="545DCFB4"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Descripción:</w:t>
          </w:r>
          <w:r w:rsidRPr="009A46BB">
            <w:rPr>
              <w:rFonts w:ascii="Times New Roman" w:hAnsi="Times New Roman"/>
              <w:b/>
              <w:sz w:val="24"/>
              <w:szCs w:val="24"/>
            </w:rPr>
            <w:tab/>
          </w:r>
        </w:p>
        <w:p w14:paraId="2DF60628" w14:textId="404FC48C"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 del proyecto, especificaciones técnicas, modalidades de operación:</w:t>
          </w:r>
          <w:r w:rsidRPr="009A46BB">
            <w:rPr>
              <w:rFonts w:ascii="Times New Roman" w:hAnsi="Times New Roman"/>
              <w:sz w:val="24"/>
              <w:szCs w:val="24"/>
            </w:rPr>
            <w:t xml:space="preserve"> las condiciones especiales de operación del puerto están establecidas en la cláusula quinta. </w:t>
          </w:r>
        </w:p>
        <w:p w14:paraId="5256F73C" w14:textId="4F33F571"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 xml:space="preserve">Área entregada en concesión: </w:t>
          </w:r>
          <w:r w:rsidRPr="009A46BB">
            <w:rPr>
              <w:rFonts w:ascii="Times New Roman" w:hAnsi="Times New Roman"/>
              <w:sz w:val="24"/>
              <w:szCs w:val="24"/>
            </w:rPr>
            <w:t>La descripción de la ubicación, linderos y extensión de los bienes de uso público (playas y terrenos de baja mar y zonas accesorias) entregados en concesión están establecidos en la cláusula segunda.</w:t>
          </w:r>
        </w:p>
        <w:p w14:paraId="6D57964E" w14:textId="175BCDF0"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Infraestructura y equipos entregados en concesión:</w:t>
          </w:r>
          <w:r w:rsidRPr="009A46BB">
            <w:rPr>
              <w:rFonts w:ascii="Times New Roman" w:hAnsi="Times New Roman"/>
              <w:sz w:val="24"/>
              <w:szCs w:val="24"/>
            </w:rPr>
            <w:t xml:space="preserve"> En la cláusula segunda del Contrato (otrosí), se describe que lo entregado en concesión fue: </w:t>
          </w:r>
        </w:p>
        <w:p w14:paraId="542E228C"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 xml:space="preserve">Infraestructura: </w:t>
          </w:r>
          <w:r w:rsidRPr="009A46BB">
            <w:rPr>
              <w:rFonts w:ascii="Times New Roman" w:hAnsi="Times New Roman"/>
              <w:sz w:val="24"/>
              <w:szCs w:val="24"/>
            </w:rPr>
            <w:t>Muelle tipo pantalán, plataforma de operaciones, dos brazos para el descargue de gases licuados, tres piñas de atraque, un muelle para embarcaciones menores, una caseta de vigilancia, un sistema contraincendios.</w:t>
          </w:r>
        </w:p>
        <w:p w14:paraId="08F04A93"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Retribución al concesionario</w:t>
          </w:r>
        </w:p>
        <w:p w14:paraId="0569AA98"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w:t>
          </w:r>
          <w:r w:rsidRPr="009A46BB">
            <w:rPr>
              <w:rFonts w:ascii="Times New Roman" w:hAnsi="Times New Roman"/>
              <w:b/>
              <w:sz w:val="24"/>
              <w:szCs w:val="24"/>
            </w:rPr>
            <w:tab/>
          </w:r>
          <w:r w:rsidRPr="009A46BB">
            <w:rPr>
              <w:rFonts w:ascii="Times New Roman" w:hAnsi="Times New Roman"/>
              <w:sz w:val="24"/>
              <w:szCs w:val="24"/>
            </w:rPr>
            <w:t>Cláusula primera Contrato 003 de 2007: Se otorga a EL CONCESIONARIO el derecho de ocupar y utilizar en forma temporal y exclusiva las playas, los terrenos de bajamar y zonas accesorias a aquellas o estos, descritos en la cláusula segunda del contrato, a cambio de la contraprestación establecida en la Clausula Octava del contrato.</w:t>
          </w:r>
        </w:p>
        <w:p w14:paraId="41C23DBE"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Tasa de retribución:</w:t>
          </w:r>
          <w:r w:rsidRPr="009A46BB">
            <w:rPr>
              <w:rFonts w:ascii="Times New Roman" w:hAnsi="Times New Roman"/>
              <w:sz w:val="24"/>
              <w:szCs w:val="24"/>
            </w:rPr>
            <w:tab/>
            <w:t>N/A</w:t>
          </w:r>
        </w:p>
        <w:p w14:paraId="53C78886" w14:textId="4BE1E258" w:rsidR="00274429" w:rsidRPr="009A46BB" w:rsidRDefault="00274429" w:rsidP="00E60BAB">
          <w:pPr>
            <w:pStyle w:val="Prrafodelista"/>
            <w:numPr>
              <w:ilvl w:val="0"/>
              <w:numId w:val="171"/>
            </w:numPr>
            <w:jc w:val="both"/>
            <w:rPr>
              <w:rFonts w:ascii="Times New Roman" w:hAnsi="Times New Roman"/>
              <w:b/>
            </w:rPr>
          </w:pPr>
          <w:r w:rsidRPr="009A46BB">
            <w:rPr>
              <w:rFonts w:ascii="Times New Roman" w:hAnsi="Times New Roman"/>
              <w:b/>
              <w:sz w:val="24"/>
              <w:szCs w:val="24"/>
            </w:rPr>
            <w:t>Derechos a recibir activos especificados al final del acuerdo de concesión</w:t>
          </w:r>
        </w:p>
        <w:p w14:paraId="28CD691A"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lastRenderedPageBreak/>
            <w:t>Descripción:</w:t>
          </w:r>
          <w:r w:rsidRPr="009A46BB">
            <w:rPr>
              <w:rFonts w:ascii="Times New Roman" w:hAnsi="Times New Roman"/>
              <w:sz w:val="24"/>
              <w:szCs w:val="24"/>
            </w:rPr>
            <w:tab/>
            <w:t xml:space="preserve">De acuerdo con el Artículo 8º de la Ley 1 de 1991 en el modo portuario el concesionario no tiene derechos finales sobre activos los debe revertir a la Nación al final del contrato de concesión. </w:t>
          </w:r>
        </w:p>
        <w:p w14:paraId="6B45DDEA"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Reversión:</w:t>
          </w:r>
          <w:r w:rsidRPr="009A46BB">
            <w:rPr>
              <w:rFonts w:ascii="Times New Roman" w:hAnsi="Times New Roman"/>
              <w:sz w:val="24"/>
              <w:szCs w:val="24"/>
            </w:rPr>
            <w:t xml:space="preserve"> De acuerdo con lo establecido en la cláusula Decimo Segunda del contrato de concesión, todas las construcciones e inmuebles por destinación, que se encuentren instalados en la zona de uso público otorgada en concesión revertirán gratuitamente por el Concesionario. </w:t>
          </w:r>
        </w:p>
        <w:p w14:paraId="725F412E"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 xml:space="preserve">Para tal fin, en el momento de la reversión el CONCESIONARIO elaborará un inventario de los bienes y los enviará para su revisión y aprobación. </w:t>
          </w:r>
        </w:p>
        <w:p w14:paraId="4B54868F"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La ANI es la entidad concedente pero la titularidad de los activos al final de la concesión es del Instituto Nacional de Vías INVIAS.</w:t>
          </w:r>
        </w:p>
        <w:p w14:paraId="04BAF7BE" w14:textId="7FCD0C92"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e.</w:t>
          </w:r>
          <w:r w:rsidR="7B542352" w:rsidRPr="5132E634">
            <w:rPr>
              <w:rFonts w:ascii="Times New Roman" w:hAnsi="Times New Roman"/>
              <w:b/>
              <w:bCs/>
              <w:sz w:val="24"/>
              <w:szCs w:val="24"/>
            </w:rPr>
            <w:t xml:space="preserve"> </w:t>
          </w:r>
          <w:r w:rsidR="00BB667D" w:rsidRPr="009A46BB">
            <w:rPr>
              <w:rFonts w:ascii="Times New Roman" w:hAnsi="Times New Roman"/>
              <w:b/>
              <w:sz w:val="24"/>
              <w:szCs w:val="24"/>
            </w:rPr>
            <w:t>No hay c</w:t>
          </w:r>
          <w:r w:rsidRPr="009A46BB">
            <w:rPr>
              <w:rFonts w:ascii="Times New Roman" w:hAnsi="Times New Roman"/>
              <w:b/>
              <w:sz w:val="24"/>
              <w:szCs w:val="24"/>
            </w:rPr>
            <w:t>ambios en el acuerdo de concesión que se realicen durante el periodo fiscal</w:t>
          </w:r>
        </w:p>
        <w:p w14:paraId="13BED4B2" w14:textId="4B1B8955" w:rsidR="00274429" w:rsidRPr="009A46BB" w:rsidRDefault="00274429" w:rsidP="00274429">
          <w:pPr>
            <w:jc w:val="both"/>
            <w:rPr>
              <w:rFonts w:ascii="Times New Roman" w:hAnsi="Times New Roman"/>
              <w:sz w:val="24"/>
              <w:szCs w:val="24"/>
            </w:rPr>
          </w:pPr>
        </w:p>
        <w:p w14:paraId="1AF26BA3" w14:textId="77777777" w:rsidR="00274429" w:rsidRPr="009A46BB" w:rsidRDefault="00274429" w:rsidP="00274429">
          <w:pPr>
            <w:jc w:val="both"/>
            <w:rPr>
              <w:rFonts w:ascii="Times New Roman" w:hAnsi="Times New Roman"/>
              <w:sz w:val="24"/>
              <w:szCs w:val="24"/>
            </w:rPr>
          </w:pPr>
        </w:p>
        <w:p w14:paraId="6117FDD1" w14:textId="2C0BEF28" w:rsidR="00274429" w:rsidRPr="009A46BB" w:rsidRDefault="002417ED" w:rsidP="002417ED">
          <w:pPr>
            <w:spacing w:line="259" w:lineRule="auto"/>
            <w:jc w:val="both"/>
            <w:rPr>
              <w:rFonts w:ascii="Times New Roman" w:hAnsi="Times New Roman"/>
              <w:b/>
              <w:sz w:val="24"/>
              <w:szCs w:val="24"/>
            </w:rPr>
          </w:pPr>
          <w:r w:rsidRPr="009A46BB">
            <w:rPr>
              <w:rFonts w:ascii="Times New Roman" w:hAnsi="Times New Roman"/>
              <w:b/>
              <w:sz w:val="24"/>
              <w:szCs w:val="24"/>
            </w:rPr>
            <w:t>CENIT TRANSPORTE Y LOGÍSTICA DE HIDROCARBUROS S.A.S. (TERMINAL PETROLERO DE COVEÑAS)</w:t>
          </w:r>
        </w:p>
        <w:p w14:paraId="3EA0A495" w14:textId="49889235" w:rsidR="00274429" w:rsidRPr="009A46BB" w:rsidRDefault="00274429" w:rsidP="00E60BAB">
          <w:pPr>
            <w:pStyle w:val="Prrafodelista"/>
            <w:numPr>
              <w:ilvl w:val="0"/>
              <w:numId w:val="145"/>
            </w:numPr>
            <w:jc w:val="both"/>
            <w:rPr>
              <w:rFonts w:ascii="Times New Roman" w:hAnsi="Times New Roman"/>
              <w:b/>
            </w:rPr>
          </w:pPr>
          <w:r w:rsidRPr="009A46BB">
            <w:rPr>
              <w:rFonts w:ascii="Times New Roman" w:hAnsi="Times New Roman"/>
              <w:b/>
              <w:sz w:val="24"/>
              <w:szCs w:val="24"/>
            </w:rPr>
            <w:t>Descripción del acuerdo</w:t>
          </w:r>
        </w:p>
        <w:p w14:paraId="4DB73CFA" w14:textId="4B881383" w:rsidR="00274429" w:rsidRPr="009A46BB" w:rsidRDefault="00274429" w:rsidP="5132E634">
          <w:pPr>
            <w:spacing w:after="0"/>
            <w:jc w:val="both"/>
            <w:rPr>
              <w:rFonts w:ascii="Times New Roman" w:hAnsi="Times New Roman"/>
              <w:sz w:val="24"/>
              <w:szCs w:val="24"/>
            </w:rPr>
          </w:pPr>
          <w:r w:rsidRPr="009A46BB">
            <w:rPr>
              <w:rFonts w:ascii="Times New Roman" w:hAnsi="Times New Roman"/>
              <w:b/>
              <w:sz w:val="24"/>
              <w:szCs w:val="24"/>
            </w:rPr>
            <w:t>Número del acuerdo de concesión:</w:t>
          </w:r>
          <w:r w:rsidR="002417ED" w:rsidRPr="009A46BB">
            <w:rPr>
              <w:rFonts w:ascii="Times New Roman" w:hAnsi="Times New Roman"/>
              <w:b/>
              <w:sz w:val="24"/>
              <w:szCs w:val="24"/>
            </w:rPr>
            <w:t xml:space="preserve"> </w:t>
          </w:r>
          <w:r w:rsidRPr="009A46BB">
            <w:rPr>
              <w:rFonts w:ascii="Times New Roman" w:hAnsi="Times New Roman"/>
              <w:sz w:val="24"/>
              <w:szCs w:val="24"/>
            </w:rPr>
            <w:t>Contrato No. 004 de 2007</w:t>
          </w:r>
        </w:p>
        <w:p w14:paraId="04D90CAC" w14:textId="495CD453" w:rsidR="00274429" w:rsidRPr="009A46BB" w:rsidRDefault="00274429" w:rsidP="5132E634">
          <w:pPr>
            <w:spacing w:after="0"/>
            <w:jc w:val="both"/>
            <w:rPr>
              <w:rFonts w:ascii="Times New Roman" w:hAnsi="Times New Roman"/>
              <w:sz w:val="24"/>
              <w:szCs w:val="24"/>
            </w:rPr>
          </w:pPr>
          <w:r w:rsidRPr="009A46BB">
            <w:rPr>
              <w:rFonts w:ascii="Times New Roman" w:hAnsi="Times New Roman"/>
              <w:b/>
              <w:sz w:val="24"/>
              <w:szCs w:val="24"/>
            </w:rPr>
            <w:t>Objeto / Descripción:</w:t>
          </w:r>
          <w:r w:rsidR="002417ED" w:rsidRPr="009A46BB">
            <w:rPr>
              <w:rFonts w:ascii="Times New Roman" w:hAnsi="Times New Roman"/>
              <w:b/>
              <w:sz w:val="24"/>
              <w:szCs w:val="24"/>
            </w:rPr>
            <w:t xml:space="preserve"> </w:t>
          </w:r>
          <w:r w:rsidRPr="009A46BB">
            <w:rPr>
              <w:rFonts w:ascii="Times New Roman" w:hAnsi="Times New Roman"/>
              <w:sz w:val="24"/>
              <w:szCs w:val="24"/>
            </w:rPr>
            <w:t>El I</w:t>
          </w:r>
          <w:r w:rsidR="002417ED" w:rsidRPr="009A46BB">
            <w:rPr>
              <w:rFonts w:ascii="Times New Roman" w:hAnsi="Times New Roman"/>
              <w:sz w:val="24"/>
              <w:szCs w:val="24"/>
            </w:rPr>
            <w:t>NCO</w:t>
          </w:r>
          <w:r w:rsidRPr="009A46BB">
            <w:rPr>
              <w:rFonts w:ascii="Times New Roman" w:hAnsi="Times New Roman"/>
              <w:sz w:val="24"/>
              <w:szCs w:val="24"/>
            </w:rPr>
            <w:t xml:space="preserve"> en virtud del presente Contrato, otorga formalmente una concesión portuaria al Concesionario, para la ocupación y utilización en forma temporal y exclusiva de las playas, los terrenos de bajamar y las zonas accesorias o aquellas a estas, para la operación de las instalaciones Portuarias.</w:t>
          </w:r>
        </w:p>
        <w:p w14:paraId="305679CC" w14:textId="7E874506" w:rsidR="00274429" w:rsidRPr="009A46BB" w:rsidRDefault="00274429" w:rsidP="5132E634">
          <w:pPr>
            <w:spacing w:after="0"/>
            <w:jc w:val="both"/>
            <w:rPr>
              <w:rFonts w:ascii="Times New Roman" w:hAnsi="Times New Roman"/>
              <w:sz w:val="24"/>
              <w:szCs w:val="24"/>
            </w:rPr>
          </w:pPr>
          <w:r w:rsidRPr="009A46BB">
            <w:rPr>
              <w:rFonts w:ascii="Times New Roman" w:hAnsi="Times New Roman"/>
              <w:b/>
              <w:sz w:val="24"/>
              <w:szCs w:val="24"/>
            </w:rPr>
            <w:t>Valor inicial:</w:t>
          </w:r>
          <w:r w:rsidR="002417ED" w:rsidRPr="009A46BB">
            <w:rPr>
              <w:rFonts w:ascii="Times New Roman" w:hAnsi="Times New Roman"/>
              <w:b/>
              <w:sz w:val="24"/>
              <w:szCs w:val="24"/>
            </w:rPr>
            <w:t xml:space="preserve"> </w:t>
          </w:r>
          <w:r w:rsidRPr="009A46BB">
            <w:rPr>
              <w:rFonts w:ascii="Times New Roman" w:hAnsi="Times New Roman"/>
              <w:sz w:val="24"/>
              <w:szCs w:val="24"/>
            </w:rPr>
            <w:t>USD $3.704.355,43 Cláusula octava / Contrato No 004 de 2007.</w:t>
          </w:r>
        </w:p>
        <w:p w14:paraId="7B447C47" w14:textId="4C4137C0" w:rsidR="00274429" w:rsidRPr="009A46BB" w:rsidRDefault="00274429" w:rsidP="5132E634">
          <w:pPr>
            <w:spacing w:after="0"/>
            <w:jc w:val="both"/>
            <w:rPr>
              <w:rFonts w:ascii="Times New Roman" w:hAnsi="Times New Roman"/>
              <w:sz w:val="24"/>
              <w:szCs w:val="24"/>
            </w:rPr>
          </w:pPr>
          <w:r w:rsidRPr="009A46BB">
            <w:rPr>
              <w:rFonts w:ascii="Times New Roman" w:hAnsi="Times New Roman"/>
              <w:b/>
              <w:sz w:val="24"/>
              <w:szCs w:val="24"/>
            </w:rPr>
            <w:t>Fecha de inicio:</w:t>
          </w:r>
          <w:r w:rsidR="002417ED" w:rsidRPr="009A46BB">
            <w:rPr>
              <w:rFonts w:ascii="Times New Roman" w:hAnsi="Times New Roman"/>
              <w:b/>
              <w:sz w:val="24"/>
              <w:szCs w:val="24"/>
            </w:rPr>
            <w:t xml:space="preserve"> </w:t>
          </w:r>
          <w:r w:rsidRPr="009A46BB">
            <w:rPr>
              <w:rFonts w:ascii="Times New Roman" w:hAnsi="Times New Roman"/>
              <w:sz w:val="24"/>
              <w:szCs w:val="24"/>
            </w:rPr>
            <w:t>18/05/2007</w:t>
          </w:r>
        </w:p>
        <w:p w14:paraId="0D60AA01" w14:textId="352CBEB5" w:rsidR="00274429" w:rsidRPr="009A46BB" w:rsidRDefault="00274429" w:rsidP="5132E634">
          <w:pPr>
            <w:spacing w:after="0" w:afterAutospacing="1"/>
            <w:jc w:val="both"/>
            <w:rPr>
              <w:rFonts w:ascii="Times New Roman" w:hAnsi="Times New Roman"/>
              <w:sz w:val="24"/>
              <w:szCs w:val="24"/>
            </w:rPr>
          </w:pPr>
          <w:r w:rsidRPr="009A46BB">
            <w:rPr>
              <w:rFonts w:ascii="Times New Roman" w:hAnsi="Times New Roman"/>
              <w:b/>
              <w:sz w:val="24"/>
              <w:szCs w:val="24"/>
            </w:rPr>
            <w:t>Fecha de finalización estimada:</w:t>
          </w:r>
          <w:r w:rsidR="002417ED" w:rsidRPr="009A46BB">
            <w:rPr>
              <w:rFonts w:ascii="Times New Roman" w:hAnsi="Times New Roman"/>
              <w:b/>
              <w:sz w:val="24"/>
              <w:szCs w:val="24"/>
            </w:rPr>
            <w:t xml:space="preserve"> </w:t>
          </w:r>
          <w:r w:rsidRPr="009A46BB">
            <w:rPr>
              <w:rFonts w:ascii="Times New Roman" w:hAnsi="Times New Roman"/>
              <w:sz w:val="24"/>
              <w:szCs w:val="24"/>
            </w:rPr>
            <w:t>17/05/2027</w:t>
          </w:r>
        </w:p>
        <w:p w14:paraId="0EAB73CB" w14:textId="230E09DE" w:rsidR="00274429" w:rsidRPr="009A46BB" w:rsidRDefault="00274429" w:rsidP="5132E634">
          <w:pPr>
            <w:spacing w:after="0" w:afterAutospacing="1"/>
            <w:jc w:val="both"/>
            <w:rPr>
              <w:rFonts w:ascii="Times New Roman" w:hAnsi="Times New Roman"/>
              <w:sz w:val="24"/>
              <w:szCs w:val="24"/>
            </w:rPr>
          </w:pPr>
          <w:r w:rsidRPr="009A46BB">
            <w:rPr>
              <w:rFonts w:ascii="Times New Roman" w:hAnsi="Times New Roman"/>
              <w:b/>
              <w:sz w:val="24"/>
              <w:szCs w:val="24"/>
            </w:rPr>
            <w:t>Tipo ID:</w:t>
          </w:r>
          <w:r w:rsidR="002417ED" w:rsidRPr="009A46BB">
            <w:rPr>
              <w:rFonts w:ascii="Times New Roman" w:hAnsi="Times New Roman"/>
              <w:b/>
              <w:sz w:val="24"/>
              <w:szCs w:val="24"/>
            </w:rPr>
            <w:t xml:space="preserve"> </w:t>
          </w:r>
          <w:r w:rsidRPr="009A46BB">
            <w:rPr>
              <w:rFonts w:ascii="Times New Roman" w:hAnsi="Times New Roman"/>
              <w:sz w:val="24"/>
              <w:szCs w:val="24"/>
            </w:rPr>
            <w:t>NIT</w:t>
          </w:r>
        </w:p>
        <w:p w14:paraId="4764D8CA" w14:textId="493ACDF6" w:rsidR="00274429" w:rsidRPr="009A46BB" w:rsidRDefault="00274429" w:rsidP="5132E634">
          <w:pPr>
            <w:spacing w:afterAutospacing="1"/>
            <w:jc w:val="both"/>
            <w:rPr>
              <w:rFonts w:ascii="Times New Roman" w:hAnsi="Times New Roman"/>
              <w:sz w:val="24"/>
              <w:szCs w:val="24"/>
            </w:rPr>
          </w:pPr>
          <w:r w:rsidRPr="009A46BB">
            <w:rPr>
              <w:rFonts w:ascii="Times New Roman" w:hAnsi="Times New Roman"/>
              <w:b/>
              <w:sz w:val="24"/>
              <w:szCs w:val="24"/>
            </w:rPr>
            <w:t>Número ID:</w:t>
          </w:r>
          <w:r w:rsidR="002417ED" w:rsidRPr="009A46BB">
            <w:rPr>
              <w:rFonts w:ascii="Times New Roman" w:hAnsi="Times New Roman"/>
              <w:b/>
              <w:sz w:val="24"/>
              <w:szCs w:val="24"/>
            </w:rPr>
            <w:t xml:space="preserve"> </w:t>
          </w:r>
          <w:r w:rsidRPr="009A46BB">
            <w:rPr>
              <w:rFonts w:ascii="Times New Roman" w:hAnsi="Times New Roman"/>
              <w:sz w:val="24"/>
              <w:szCs w:val="24"/>
            </w:rPr>
            <w:t>900531210-3</w:t>
          </w:r>
        </w:p>
        <w:p w14:paraId="0C2CDE4B" w14:textId="6ADB1E67" w:rsidR="00274429" w:rsidRPr="009A46BB" w:rsidRDefault="00274429" w:rsidP="5132E634">
          <w:pPr>
            <w:spacing w:afterAutospacing="1"/>
            <w:jc w:val="both"/>
            <w:rPr>
              <w:rFonts w:ascii="Times New Roman" w:hAnsi="Times New Roman"/>
              <w:sz w:val="24"/>
              <w:szCs w:val="24"/>
            </w:rPr>
          </w:pPr>
          <w:r w:rsidRPr="009A46BB">
            <w:rPr>
              <w:rFonts w:ascii="Times New Roman" w:hAnsi="Times New Roman"/>
              <w:b/>
              <w:sz w:val="24"/>
              <w:szCs w:val="24"/>
            </w:rPr>
            <w:t>Razón social del concesionario:</w:t>
          </w:r>
          <w:r w:rsidR="002417ED" w:rsidRPr="009A46BB">
            <w:rPr>
              <w:rFonts w:ascii="Times New Roman" w:hAnsi="Times New Roman"/>
              <w:b/>
              <w:sz w:val="24"/>
              <w:szCs w:val="24"/>
            </w:rPr>
            <w:t xml:space="preserve"> </w:t>
          </w:r>
          <w:r w:rsidRPr="009A46BB">
            <w:rPr>
              <w:rFonts w:ascii="Times New Roman" w:hAnsi="Times New Roman"/>
              <w:sz w:val="24"/>
              <w:szCs w:val="24"/>
            </w:rPr>
            <w:t>CENIT Transporte y Logística de Hidrocarburos S.A.S. (Terminal Petrolero de Coveñas).</w:t>
          </w:r>
        </w:p>
        <w:p w14:paraId="5275960B" w14:textId="48E6ECAD" w:rsidR="00274429" w:rsidRPr="009A46BB" w:rsidRDefault="00274429" w:rsidP="5132E634">
          <w:pPr>
            <w:spacing w:afterAutospacing="1"/>
            <w:jc w:val="both"/>
            <w:rPr>
              <w:rFonts w:ascii="Times New Roman" w:hAnsi="Times New Roman"/>
              <w:sz w:val="24"/>
              <w:szCs w:val="24"/>
            </w:rPr>
          </w:pPr>
          <w:r w:rsidRPr="009A46BB">
            <w:rPr>
              <w:rFonts w:ascii="Times New Roman" w:hAnsi="Times New Roman"/>
              <w:b/>
              <w:sz w:val="24"/>
              <w:szCs w:val="24"/>
            </w:rPr>
            <w:t>Nombre del proyecto:</w:t>
          </w:r>
          <w:r w:rsidR="002417ED" w:rsidRPr="009A46BB">
            <w:rPr>
              <w:rFonts w:ascii="Times New Roman" w:hAnsi="Times New Roman"/>
              <w:b/>
              <w:sz w:val="24"/>
              <w:szCs w:val="24"/>
            </w:rPr>
            <w:t xml:space="preserve"> </w:t>
          </w:r>
          <w:r w:rsidRPr="009A46BB">
            <w:rPr>
              <w:rFonts w:ascii="Times New Roman" w:hAnsi="Times New Roman"/>
              <w:sz w:val="24"/>
              <w:szCs w:val="24"/>
            </w:rPr>
            <w:t>CENIT Transporte y Logística de Hidrocarburos S.A.S. (Terminal Petrolero de Coveñas).</w:t>
          </w:r>
        </w:p>
        <w:p w14:paraId="3D2EBA16" w14:textId="3A267B35" w:rsidR="5132E634" w:rsidRDefault="5132E634" w:rsidP="5132E634">
          <w:pPr>
            <w:spacing w:afterAutospacing="1"/>
            <w:jc w:val="both"/>
            <w:rPr>
              <w:rFonts w:ascii="Times New Roman" w:hAnsi="Times New Roman"/>
              <w:sz w:val="24"/>
              <w:szCs w:val="24"/>
            </w:rPr>
          </w:pPr>
        </w:p>
        <w:p w14:paraId="040A0525" w14:textId="46093168" w:rsidR="00274429" w:rsidRPr="009A46BB" w:rsidRDefault="00274429" w:rsidP="00E60BAB">
          <w:pPr>
            <w:pStyle w:val="Prrafodelista"/>
            <w:numPr>
              <w:ilvl w:val="0"/>
              <w:numId w:val="145"/>
            </w:numPr>
            <w:jc w:val="both"/>
            <w:rPr>
              <w:rFonts w:ascii="Times New Roman" w:hAnsi="Times New Roman"/>
              <w:b/>
            </w:rPr>
          </w:pPr>
          <w:r w:rsidRPr="009A46BB">
            <w:rPr>
              <w:rFonts w:ascii="Times New Roman" w:hAnsi="Times New Roman"/>
              <w:b/>
              <w:sz w:val="24"/>
              <w:szCs w:val="24"/>
            </w:rPr>
            <w:t>Términos significativos del acuerdo que puedan afectar su valor, el calendario y la certeza de los flujos</w:t>
          </w:r>
        </w:p>
        <w:p w14:paraId="0F740FD8"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lastRenderedPageBreak/>
            <w:t>Términos de valor:</w:t>
          </w:r>
        </w:p>
        <w:p w14:paraId="72909C2B" w14:textId="37F83A84"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 xml:space="preserve">1. Tarifas: </w:t>
          </w:r>
          <w:r w:rsidRPr="009A46BB">
            <w:rPr>
              <w:rFonts w:ascii="Times New Roman" w:hAnsi="Times New Roman"/>
              <w:sz w:val="24"/>
              <w:szCs w:val="24"/>
            </w:rPr>
            <w:t>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w:t>
          </w:r>
        </w:p>
        <w:p w14:paraId="30C4217F"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2. Contraprestación portuaria:</w:t>
          </w:r>
          <w:r w:rsidRPr="009A46BB">
            <w:rPr>
              <w:rFonts w:ascii="Times New Roman" w:hAnsi="Times New Roman"/>
              <w:sz w:val="24"/>
              <w:szCs w:val="24"/>
            </w:rPr>
            <w:t xml:space="preserve"> De acuerdo con el último documento contractual vigente la metodología de contraprestación vigente es CONPES 2680 DE 1993 (Productividad). Se establece en la cláusula octava del Contrato que el CONCESIONARIO deberá pagar por concepto de zona de uso público la suma anual de (USD 168.598,74), de dicho pago el 80% le corresponde a la Nación Instituto nacional de vías (INVIAS) y el 20% restante al Municipio de Coveñas, de acuerdo con lo establecido en el parágrafo 1 del artículo 1 de la ley 856 del 21 de diciembre de 2003, que modifica el artículo 7 de la ley 1ª de 1991. Así mismo, por concepto de infraestructura el CONCESIONARIO deberá pagar la suma anual de (USD 274.200), el cual corresponde en un 100% a la Nación - Instituto Nacional de Vías (INVIAS) de acuerdo con lo establecido en el artículo 1 de la ley 856 del 21 diciembre de 2003. </w:t>
          </w:r>
        </w:p>
        <w:p w14:paraId="6F45D2FC"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 xml:space="preserve">3. Plan de Inversiones: </w:t>
          </w:r>
          <w:r w:rsidRPr="009A46BB">
            <w:rPr>
              <w:rFonts w:ascii="Times New Roman" w:hAnsi="Times New Roman"/>
              <w:sz w:val="24"/>
              <w:szCs w:val="24"/>
            </w:rPr>
            <w:t>Está establecido en la cláusula séptima del Contrato, el plan de inversión será de USD $3.000.000 expresado en términos corrientes, programado para los años 2009, 2014 y 2019.</w:t>
          </w:r>
        </w:p>
        <w:p w14:paraId="64BC032F" w14:textId="48E9BAFC"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4. Obligaciones del Concesionario:</w:t>
          </w:r>
          <w:r w:rsidRPr="009A46BB">
            <w:rPr>
              <w:rFonts w:ascii="Times New Roman" w:hAnsi="Times New Roman"/>
              <w:sz w:val="24"/>
              <w:szCs w:val="24"/>
            </w:rPr>
            <w:t xml:space="preserve"> Se encuentran descritas en la cláusula décima Quinta del Contrato Principal.</w:t>
          </w:r>
        </w:p>
        <w:p w14:paraId="1BD302CF" w14:textId="49B73801"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5. Multas:</w:t>
          </w:r>
          <w:r w:rsidRPr="009A46BB">
            <w:rPr>
              <w:rFonts w:ascii="Times New Roman" w:hAnsi="Times New Roman"/>
              <w:sz w:val="24"/>
              <w:szCs w:val="24"/>
            </w:rPr>
            <w:t xml:space="preserve"> Se encuentran descritas en la cláusula décima Octava del Contrato Principal.</w:t>
          </w:r>
        </w:p>
        <w:p w14:paraId="091F85C9"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Términos de calendario:</w:t>
          </w:r>
        </w:p>
        <w:p w14:paraId="195C278B" w14:textId="14EC4BC4"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1. Tarifas:</w:t>
          </w:r>
          <w:r w:rsidRPr="009A46BB">
            <w:rPr>
              <w:rFonts w:ascii="Times New Roman" w:hAnsi="Times New Roman"/>
              <w:sz w:val="24"/>
              <w:szCs w:val="24"/>
            </w:rPr>
            <w:t xml:space="preserve">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w:t>
          </w:r>
        </w:p>
        <w:p w14:paraId="7F65C9D2"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2. Contraprestación portuaria:</w:t>
          </w:r>
          <w:r w:rsidRPr="009A46BB">
            <w:rPr>
              <w:rFonts w:ascii="Times New Roman" w:hAnsi="Times New Roman"/>
              <w:sz w:val="24"/>
              <w:szCs w:val="24"/>
            </w:rPr>
            <w:t xml:space="preserve"> De acuerdo con el último documento contractual vigente la metodología de contraprestación vigente es CONPES 2680 DE 1993 (Productividad). Se establece en la cláusula octava del Contrato que el CONCESIONARIO deberá pagar por concepto de zona de uso público la suma anual de (USD 168.598,74), de dicho pago el 80% le corresponde a la Nación Instituto nacional de vías (INVIAS) y el 20% restante al Municipio de Coveñas, de acuerdo con lo establecido en el parágrafo 1 del artículo 1 de la ley 856 del 21 de diciembre de 2003, que modifica el artículo 7 de la ley 1ª de 1991. Así mismo, por concepto de infraestructura el CONCESIONARIO deberá pagar la suma anual de (USD 274.200), el cual corresponde en un 100% a la Nación - Instituto Nacional de Vías (INVIAS) de acuerdo con lo establecido en el artículo 1 de la ley 856 del 21 diciembre de 2003. </w:t>
          </w:r>
        </w:p>
        <w:p w14:paraId="7EFC84AE"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 xml:space="preserve">3. Plan de Inversiones: </w:t>
          </w:r>
          <w:r w:rsidRPr="009A46BB">
            <w:rPr>
              <w:rFonts w:ascii="Times New Roman" w:hAnsi="Times New Roman"/>
              <w:sz w:val="24"/>
              <w:szCs w:val="24"/>
            </w:rPr>
            <w:t>Está establecido en la cláusula séptima del Contrato, el plan de inversión será de USD $3.000.000 expresado en términos corrientes, programado para los años 2009, 2014 y 2019.</w:t>
          </w:r>
        </w:p>
        <w:p w14:paraId="387B101B" w14:textId="48236A08"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lastRenderedPageBreak/>
            <w:t>4. Obligaciones del Concesionario:</w:t>
          </w:r>
          <w:r w:rsidRPr="009A46BB">
            <w:rPr>
              <w:rFonts w:ascii="Times New Roman" w:hAnsi="Times New Roman"/>
              <w:sz w:val="24"/>
              <w:szCs w:val="24"/>
            </w:rPr>
            <w:t xml:space="preserve"> Se encuentran descritas en la cláusula décima Quinta del Contrato Principal.</w:t>
          </w:r>
        </w:p>
        <w:p w14:paraId="6425B040" w14:textId="11A787DB"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 xml:space="preserve">5. Multas: </w:t>
          </w:r>
          <w:r w:rsidRPr="009A46BB">
            <w:rPr>
              <w:rFonts w:ascii="Times New Roman" w:hAnsi="Times New Roman"/>
              <w:sz w:val="24"/>
              <w:szCs w:val="24"/>
            </w:rPr>
            <w:t>Se encuentran descritas en la cláusula décima Octava del Contrato Principal.</w:t>
          </w:r>
        </w:p>
        <w:p w14:paraId="14E77C4A"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Términos de certeza de flujos de efectivo futuros:</w:t>
          </w:r>
        </w:p>
        <w:p w14:paraId="0F97F216" w14:textId="5836B286"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El I</w:t>
          </w:r>
          <w:r w:rsidR="002417ED" w:rsidRPr="009A46BB">
            <w:rPr>
              <w:rFonts w:ascii="Times New Roman" w:hAnsi="Times New Roman"/>
              <w:sz w:val="24"/>
              <w:szCs w:val="24"/>
            </w:rPr>
            <w:t>NCO</w:t>
          </w:r>
          <w:r w:rsidRPr="009A46BB">
            <w:rPr>
              <w:rFonts w:ascii="Times New Roman" w:hAnsi="Times New Roman"/>
              <w:sz w:val="24"/>
              <w:szCs w:val="24"/>
            </w:rPr>
            <w:t xml:space="preserve"> en virtud del presente Contrato, otorga formalmente una concesión portuaria al Concesionario, para la ocupación y utilización en forma temporal y exclusiva de las playas, los terrenos de bajamar y las zonas accesorias o aquellas a estas, para la operación de las instalaciones Portuarias.</w:t>
          </w:r>
        </w:p>
        <w:p w14:paraId="532EE93E"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La Cláusula Octava, en el punto 8.2 y 8.3, establece que del valor a pagar por concepto de contraprestación por Zona de Uso público es el 80% y le corresponde a la Nación-INVIAS, el 20 % al Distrito Cultural e Histórico de Santa Marta, y por Infraestructura el 100% le corresponde a la Nación.</w:t>
          </w:r>
        </w:p>
        <w:p w14:paraId="49B6D2A7" w14:textId="4A220840" w:rsidR="00274429" w:rsidRPr="009A46BB" w:rsidRDefault="00274429" w:rsidP="00E60BAB">
          <w:pPr>
            <w:pStyle w:val="Prrafodelista"/>
            <w:numPr>
              <w:ilvl w:val="0"/>
              <w:numId w:val="145"/>
            </w:numPr>
            <w:jc w:val="both"/>
            <w:rPr>
              <w:rFonts w:ascii="Times New Roman" w:hAnsi="Times New Roman"/>
              <w:b/>
            </w:rPr>
          </w:pPr>
          <w:r w:rsidRPr="009A46BB">
            <w:rPr>
              <w:rFonts w:ascii="Times New Roman" w:hAnsi="Times New Roman"/>
              <w:b/>
              <w:sz w:val="24"/>
              <w:szCs w:val="24"/>
            </w:rPr>
            <w:t xml:space="preserve">Naturaleza y alcance del derecho a utilizar activos especificados, de los aspectos pactados en torno a lo que se espera que el concesionario proporcione en relación con el acuerdo de concesión. </w:t>
          </w:r>
        </w:p>
        <w:p w14:paraId="05BC366D"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Naturaleza y alcance del derecho de uso de los activos</w:t>
          </w:r>
        </w:p>
        <w:p w14:paraId="20809A56"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w:t>
          </w:r>
          <w:r w:rsidRPr="009A46BB">
            <w:rPr>
              <w:rFonts w:ascii="Times New Roman" w:hAnsi="Times New Roman"/>
              <w:sz w:val="24"/>
              <w:szCs w:val="24"/>
            </w:rPr>
            <w:tab/>
            <w:t>Descripción del proyecto, especificaciones técnicas, modalidades de operación: las condiciones especiales de operación del puerto están establecidas en la cláusula quinta.</w:t>
          </w:r>
        </w:p>
        <w:p w14:paraId="00ADAB90"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 xml:space="preserve">Área entregada en concesión: </w:t>
          </w:r>
          <w:r w:rsidRPr="009A46BB">
            <w:rPr>
              <w:rFonts w:ascii="Times New Roman" w:hAnsi="Times New Roman"/>
              <w:sz w:val="24"/>
              <w:szCs w:val="24"/>
            </w:rPr>
            <w:t>La descripción de la ubicación, linderos y extensión de los bienes de uso público (playas y terrenos de baja mar, zonas marítimas accesorias) entregados en concesión están establecidos en la cláusula segunda del Contrato de Concesión No. 004 de 2007.</w:t>
          </w:r>
        </w:p>
        <w:p w14:paraId="219B7062"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 xml:space="preserve">Infraestructura y equipos entregados en concesión: </w:t>
          </w:r>
          <w:r w:rsidRPr="009A46BB">
            <w:rPr>
              <w:rFonts w:ascii="Times New Roman" w:hAnsi="Times New Roman"/>
              <w:sz w:val="24"/>
              <w:szCs w:val="24"/>
            </w:rPr>
            <w:t>En la cláusula segunda del Contrato (otrosí), se describe que lo entregado en concesión fue:</w:t>
          </w:r>
        </w:p>
        <w:p w14:paraId="63331480"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Infraestructura:</w:t>
          </w:r>
          <w:r w:rsidRPr="009A46BB">
            <w:rPr>
              <w:rFonts w:ascii="Times New Roman" w:hAnsi="Times New Roman"/>
              <w:sz w:val="24"/>
              <w:szCs w:val="24"/>
            </w:rPr>
            <w:t xml:space="preserve"> Placa de concreto zona de parqueo y acceso al muelle, área de terreno confiada por la malla de cerramiento de acceso al muelle, caseta de vigilancia con su jardinera, muelle de servicio con área de 3,348 m2, TLU-1, TLU-S, 10.065 m de tubería c ducto submarino que conecta laTlU-1 con la estación del terminal en tierra, 16.063 m de tubería o ducto submarino que conecta laTLU-3 con la estación del terminal en tierra, 6.621 m de tubería o ducto submarino que conecta la TLU-1con la TLU-3</w:t>
          </w:r>
        </w:p>
        <w:p w14:paraId="39A660FC"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Retribución al concesionario</w:t>
          </w:r>
        </w:p>
        <w:p w14:paraId="3EE363B0"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w:t>
          </w:r>
          <w:r w:rsidRPr="009A46BB">
            <w:rPr>
              <w:rFonts w:ascii="Times New Roman" w:hAnsi="Times New Roman"/>
              <w:sz w:val="24"/>
              <w:szCs w:val="24"/>
            </w:rPr>
            <w:tab/>
            <w:t>El Inco en virtud del presente Contrato, otorga formalmente una concesión portuaria al Concesionario, para la ocupación y utilización en forma temporal y exclusiva de las playas, los terrenos de bajamar y las zonas accesorias o aquellas a estas, para la operación de las instalaciones Portuarias.</w:t>
          </w:r>
        </w:p>
        <w:p w14:paraId="34741CFF"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Tasa de retribución:</w:t>
          </w:r>
          <w:r w:rsidRPr="009A46BB">
            <w:rPr>
              <w:rFonts w:ascii="Times New Roman" w:hAnsi="Times New Roman"/>
              <w:sz w:val="24"/>
              <w:szCs w:val="24"/>
            </w:rPr>
            <w:tab/>
            <w:t>N/A</w:t>
          </w:r>
        </w:p>
        <w:p w14:paraId="6589361B" w14:textId="06AEDF8A" w:rsidR="00274429" w:rsidRPr="009A46BB" w:rsidRDefault="00274429" w:rsidP="00E60BAB">
          <w:pPr>
            <w:pStyle w:val="Prrafodelista"/>
            <w:numPr>
              <w:ilvl w:val="0"/>
              <w:numId w:val="145"/>
            </w:numPr>
            <w:jc w:val="both"/>
            <w:rPr>
              <w:rFonts w:ascii="Times New Roman" w:hAnsi="Times New Roman"/>
              <w:b/>
            </w:rPr>
          </w:pPr>
          <w:r w:rsidRPr="009A46BB">
            <w:rPr>
              <w:rFonts w:ascii="Times New Roman" w:hAnsi="Times New Roman"/>
              <w:b/>
              <w:sz w:val="24"/>
              <w:szCs w:val="24"/>
            </w:rPr>
            <w:lastRenderedPageBreak/>
            <w:t>Derechos a recibir activos especificados al final del acuerdo de concesión</w:t>
          </w:r>
        </w:p>
        <w:p w14:paraId="5BED90FC"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w:t>
          </w:r>
          <w:r w:rsidRPr="009A46BB">
            <w:rPr>
              <w:rFonts w:ascii="Times New Roman" w:hAnsi="Times New Roman"/>
              <w:sz w:val="24"/>
              <w:szCs w:val="24"/>
            </w:rPr>
            <w:tab/>
            <w:t>Descripción: De acuerdo con el Artículo 8º de la Ley 1 de 1991 en el modo portuario el concesionario no tiene derechos finales sobre activos los debe revertir a la Nación al final del contrato de concesión</w:t>
          </w:r>
        </w:p>
        <w:p w14:paraId="43DFF1F5"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Observaciones:</w:t>
          </w:r>
          <w:r w:rsidRPr="009A46BB">
            <w:rPr>
              <w:rFonts w:ascii="Times New Roman" w:hAnsi="Times New Roman"/>
              <w:b/>
              <w:sz w:val="24"/>
              <w:szCs w:val="24"/>
            </w:rPr>
            <w:tab/>
          </w:r>
        </w:p>
        <w:p w14:paraId="015218C1"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Reversión:</w:t>
          </w:r>
          <w:r w:rsidRPr="009A46BB">
            <w:rPr>
              <w:rFonts w:ascii="Times New Roman" w:hAnsi="Times New Roman"/>
              <w:sz w:val="24"/>
              <w:szCs w:val="24"/>
            </w:rPr>
            <w:t xml:space="preserve"> De acuerdo con lo establecido en el Artículo Octavo de la Resolución 1010 de 2013, las inversiones están focalizadas en zona de uso público, por lo tanto, las mismas pasarán a ser propiedad de la Nación de acuerdo con lo establecido en el inciso final del artículo 8 de la Ley 1 de 1991 y la cláusula décima segunda de Contrato de concesión Portuaria No. 004 de 2007.</w:t>
          </w:r>
        </w:p>
        <w:p w14:paraId="458C41EF"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Obras Adicionales:</w:t>
          </w:r>
          <w:r w:rsidRPr="009A46BB">
            <w:rPr>
              <w:rFonts w:ascii="Times New Roman" w:hAnsi="Times New Roman"/>
              <w:sz w:val="24"/>
              <w:szCs w:val="24"/>
            </w:rPr>
            <w:t xml:space="preserve"> De acuerdo con lo establecido en la cláusula décimo tercera del Contrato de Concesión No. 004 de 2007, en el evento que el Concesionario requiera efectuar obras e Inversiones en la zona de uso público no previstas en el contrato y su respectivo plan de Inversiones, y/o adquirir o instalar equipos destinados a la operación del muelle, deberá contar con la respectiva autorización previa y escrita por parte del INCO hoy Agencia Nacional de infraestructura, a través del Subgerente de Gestión Contractual o quien haga sus veces.</w:t>
          </w:r>
        </w:p>
        <w:p w14:paraId="30CA52E8"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Para tal fin, en el momento de la reversión el CONCESIONARIO elaborará un inventario de los bienes y los enviará para su revisión y aprobación.</w:t>
          </w:r>
        </w:p>
        <w:p w14:paraId="5CDB4E7E"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La ANI es la entidad concedente pero la titularidad de los activos al final de la concesión es del Instituto Nacional de Vías INVIAS</w:t>
          </w:r>
        </w:p>
        <w:p w14:paraId="645F2B29" w14:textId="03AC7F57" w:rsidR="00274429" w:rsidRPr="009A46BB" w:rsidRDefault="002417ED" w:rsidP="00E60BAB">
          <w:pPr>
            <w:pStyle w:val="Prrafodelista"/>
            <w:numPr>
              <w:ilvl w:val="0"/>
              <w:numId w:val="145"/>
            </w:numPr>
            <w:jc w:val="both"/>
            <w:rPr>
              <w:rFonts w:ascii="Times New Roman" w:hAnsi="Times New Roman"/>
              <w:b/>
            </w:rPr>
          </w:pPr>
          <w:r w:rsidRPr="009A46BB">
            <w:rPr>
              <w:rFonts w:ascii="Times New Roman" w:hAnsi="Times New Roman"/>
              <w:b/>
              <w:sz w:val="24"/>
              <w:szCs w:val="24"/>
            </w:rPr>
            <w:t>No hay c</w:t>
          </w:r>
          <w:r w:rsidR="00274429" w:rsidRPr="009A46BB">
            <w:rPr>
              <w:rFonts w:ascii="Times New Roman" w:hAnsi="Times New Roman"/>
              <w:b/>
              <w:sz w:val="24"/>
              <w:szCs w:val="24"/>
            </w:rPr>
            <w:t>ambios en el acuerdo de concesión que se realicen durante el periodo fiscal</w:t>
          </w:r>
        </w:p>
        <w:p w14:paraId="3207B99C" w14:textId="054DF998" w:rsidR="00274429" w:rsidRPr="009A46BB" w:rsidRDefault="00274429" w:rsidP="00274429">
          <w:pPr>
            <w:jc w:val="both"/>
            <w:rPr>
              <w:rFonts w:ascii="Times New Roman" w:hAnsi="Times New Roman"/>
              <w:sz w:val="24"/>
              <w:szCs w:val="24"/>
            </w:rPr>
          </w:pPr>
        </w:p>
        <w:p w14:paraId="6D6856DB" w14:textId="77777777" w:rsidR="00274429" w:rsidRPr="009A46BB" w:rsidRDefault="00274429" w:rsidP="00274429">
          <w:pPr>
            <w:jc w:val="both"/>
            <w:rPr>
              <w:rFonts w:ascii="Times New Roman" w:hAnsi="Times New Roman"/>
              <w:sz w:val="24"/>
              <w:szCs w:val="24"/>
            </w:rPr>
          </w:pPr>
        </w:p>
        <w:p w14:paraId="56D910CF" w14:textId="250200A9" w:rsidR="00274429" w:rsidRPr="009A46BB" w:rsidRDefault="008B5750" w:rsidP="008B5750">
          <w:pPr>
            <w:spacing w:line="259" w:lineRule="auto"/>
            <w:jc w:val="both"/>
            <w:rPr>
              <w:rFonts w:ascii="Times New Roman" w:hAnsi="Times New Roman"/>
              <w:b/>
              <w:sz w:val="24"/>
              <w:szCs w:val="24"/>
            </w:rPr>
          </w:pPr>
          <w:r w:rsidRPr="009A46BB">
            <w:rPr>
              <w:rFonts w:ascii="Times New Roman" w:hAnsi="Times New Roman"/>
              <w:b/>
              <w:sz w:val="24"/>
              <w:szCs w:val="24"/>
            </w:rPr>
            <w:t>SOCIEDAD PORTUARIA TERMINAL DE CONTENEDORES DE BUENAVENTURA S.A.</w:t>
          </w:r>
        </w:p>
        <w:p w14:paraId="603E8E51" w14:textId="3B8FB706" w:rsidR="00274429" w:rsidRPr="009A46BB" w:rsidRDefault="00274429" w:rsidP="00E60BAB">
          <w:pPr>
            <w:pStyle w:val="Prrafodelista"/>
            <w:numPr>
              <w:ilvl w:val="0"/>
              <w:numId w:val="144"/>
            </w:numPr>
            <w:jc w:val="both"/>
            <w:rPr>
              <w:rFonts w:ascii="Times New Roman" w:hAnsi="Times New Roman"/>
              <w:b/>
            </w:rPr>
          </w:pPr>
          <w:r w:rsidRPr="009A46BB">
            <w:rPr>
              <w:rFonts w:ascii="Times New Roman" w:hAnsi="Times New Roman"/>
              <w:b/>
              <w:sz w:val="24"/>
              <w:szCs w:val="24"/>
            </w:rPr>
            <w:t>Descripción del acuerdo</w:t>
          </w:r>
        </w:p>
        <w:p w14:paraId="5ED9B944" w14:textId="089325BF" w:rsidR="00274429" w:rsidRPr="009A46BB" w:rsidRDefault="00274429" w:rsidP="3E22C289">
          <w:pPr>
            <w:spacing w:after="0"/>
            <w:jc w:val="both"/>
            <w:rPr>
              <w:rFonts w:ascii="Times New Roman" w:hAnsi="Times New Roman"/>
              <w:b/>
              <w:sz w:val="24"/>
              <w:szCs w:val="24"/>
            </w:rPr>
          </w:pPr>
          <w:r w:rsidRPr="009A46BB">
            <w:rPr>
              <w:rFonts w:ascii="Times New Roman" w:hAnsi="Times New Roman"/>
              <w:b/>
              <w:sz w:val="24"/>
              <w:szCs w:val="24"/>
            </w:rPr>
            <w:t>Número del acuerdo de concesión:</w:t>
          </w:r>
          <w:r w:rsidR="008B5750" w:rsidRPr="009A46BB">
            <w:rPr>
              <w:rFonts w:ascii="Times New Roman" w:hAnsi="Times New Roman"/>
              <w:b/>
              <w:sz w:val="24"/>
              <w:szCs w:val="24"/>
            </w:rPr>
            <w:t xml:space="preserve"> </w:t>
          </w:r>
          <w:r w:rsidRPr="009A46BB">
            <w:rPr>
              <w:rFonts w:ascii="Times New Roman" w:hAnsi="Times New Roman"/>
              <w:sz w:val="24"/>
              <w:szCs w:val="24"/>
            </w:rPr>
            <w:t>Contrato de Concesión Portuaria No. 005 de 2007</w:t>
          </w:r>
        </w:p>
        <w:p w14:paraId="1BABC75C" w14:textId="3E86A85B" w:rsidR="00274429" w:rsidRPr="009A46BB" w:rsidRDefault="00274429" w:rsidP="3E22C289">
          <w:pPr>
            <w:spacing w:after="0"/>
            <w:jc w:val="both"/>
            <w:rPr>
              <w:rFonts w:ascii="Times New Roman" w:hAnsi="Times New Roman"/>
              <w:sz w:val="24"/>
              <w:szCs w:val="24"/>
            </w:rPr>
          </w:pPr>
          <w:r w:rsidRPr="009A46BB">
            <w:rPr>
              <w:rFonts w:ascii="Times New Roman" w:hAnsi="Times New Roman"/>
              <w:b/>
              <w:sz w:val="24"/>
              <w:szCs w:val="24"/>
            </w:rPr>
            <w:t>Objeto / Descripción:</w:t>
          </w:r>
          <w:r w:rsidR="008B5750" w:rsidRPr="009A46BB">
            <w:rPr>
              <w:rFonts w:ascii="Times New Roman" w:hAnsi="Times New Roman"/>
              <w:b/>
              <w:sz w:val="24"/>
              <w:szCs w:val="24"/>
            </w:rPr>
            <w:t xml:space="preserve"> </w:t>
          </w:r>
          <w:r w:rsidRPr="009A46BB">
            <w:rPr>
              <w:rFonts w:ascii="Times New Roman" w:hAnsi="Times New Roman"/>
              <w:sz w:val="24"/>
              <w:szCs w:val="24"/>
            </w:rPr>
            <w:t xml:space="preserve">Otorgar al Concesionario, una concesión portuaria para ocupar y utilizar en forma temporal y exclusiva la zona de uso público que incluye el sector de playa, terrenos de bajamar y las zonas accesorias a aquellas o éstos, que se encuentran ubicados al oriente del Terminal Marítimo de Buenaventura – Valle del Cauca, entre los esteros de El Piñal, El Aguacate y Brazo Angosto del municipio de Buenaventura – Valle del Cauca, hasta el 21 de agosto de 2044, a cambio de la contraprestación establecida en la Cláusula Cuarta del Otrosí 3 del 2014, para que construya, opere y mantenga la infraestructura de un Terminal de servicio público especializado en la prestación de servicios portuarios de manejo y </w:t>
          </w:r>
          <w:r w:rsidRPr="009A46BB">
            <w:rPr>
              <w:rFonts w:ascii="Times New Roman" w:hAnsi="Times New Roman"/>
              <w:sz w:val="24"/>
              <w:szCs w:val="24"/>
            </w:rPr>
            <w:lastRenderedPageBreak/>
            <w:t>almacenamiento de carga general y en contenedores, ubicado en jurisdicción de la ciudad de Buenaventura – Valle del Cauca.</w:t>
          </w:r>
        </w:p>
        <w:p w14:paraId="69C97427" w14:textId="4F052954" w:rsidR="00274429" w:rsidRPr="009A46BB" w:rsidRDefault="00274429" w:rsidP="3E22C289">
          <w:pPr>
            <w:spacing w:after="0"/>
            <w:jc w:val="both"/>
            <w:rPr>
              <w:rFonts w:ascii="Times New Roman" w:hAnsi="Times New Roman"/>
              <w:sz w:val="24"/>
              <w:szCs w:val="24"/>
            </w:rPr>
          </w:pPr>
          <w:r w:rsidRPr="009A46BB">
            <w:rPr>
              <w:rFonts w:ascii="Times New Roman" w:hAnsi="Times New Roman"/>
              <w:b/>
              <w:sz w:val="24"/>
              <w:szCs w:val="24"/>
            </w:rPr>
            <w:t>Valor inicial:</w:t>
          </w:r>
          <w:r w:rsidR="008B5750" w:rsidRPr="009A46BB">
            <w:rPr>
              <w:rFonts w:ascii="Times New Roman" w:hAnsi="Times New Roman"/>
              <w:b/>
              <w:sz w:val="24"/>
              <w:szCs w:val="24"/>
            </w:rPr>
            <w:t xml:space="preserve"> </w:t>
          </w:r>
          <w:r w:rsidRPr="009A46BB">
            <w:rPr>
              <w:rFonts w:ascii="Times New Roman" w:hAnsi="Times New Roman"/>
              <w:sz w:val="24"/>
              <w:szCs w:val="24"/>
            </w:rPr>
            <w:t>USD $4.331.762, a valor presente, liquidados a la TRM del día de Pago. Cláusula octava / Contrato No. 005 de 2007. Valor actualizado: USD$13.457.197 Clausula 4, Otrosí 3 de 2014</w:t>
          </w:r>
        </w:p>
        <w:p w14:paraId="0F138562" w14:textId="2D01E46D" w:rsidR="00274429" w:rsidRPr="009A46BB" w:rsidRDefault="00274429" w:rsidP="3E22C289">
          <w:pPr>
            <w:spacing w:after="0"/>
            <w:jc w:val="both"/>
            <w:rPr>
              <w:rFonts w:ascii="Times New Roman" w:hAnsi="Times New Roman"/>
              <w:sz w:val="24"/>
              <w:szCs w:val="24"/>
            </w:rPr>
          </w:pPr>
          <w:r w:rsidRPr="009A46BB">
            <w:rPr>
              <w:rFonts w:ascii="Times New Roman" w:hAnsi="Times New Roman"/>
              <w:b/>
              <w:sz w:val="24"/>
              <w:szCs w:val="24"/>
            </w:rPr>
            <w:t>Fecha de inicio:</w:t>
          </w:r>
          <w:r w:rsidR="008B5750" w:rsidRPr="009A46BB">
            <w:rPr>
              <w:rFonts w:ascii="Times New Roman" w:hAnsi="Times New Roman"/>
              <w:b/>
              <w:sz w:val="24"/>
              <w:szCs w:val="24"/>
            </w:rPr>
            <w:t xml:space="preserve"> </w:t>
          </w:r>
          <w:r w:rsidRPr="009A46BB">
            <w:rPr>
              <w:rFonts w:ascii="Times New Roman" w:hAnsi="Times New Roman"/>
              <w:sz w:val="24"/>
              <w:szCs w:val="24"/>
            </w:rPr>
            <w:t>22/06/2007</w:t>
          </w:r>
        </w:p>
        <w:p w14:paraId="7E75BDBA" w14:textId="7332CCB6" w:rsidR="00274429" w:rsidRPr="009A46BB" w:rsidRDefault="00274429" w:rsidP="3E22C289">
          <w:pPr>
            <w:spacing w:after="0"/>
            <w:jc w:val="both"/>
            <w:rPr>
              <w:rFonts w:ascii="Times New Roman" w:hAnsi="Times New Roman"/>
              <w:sz w:val="24"/>
              <w:szCs w:val="24"/>
            </w:rPr>
          </w:pPr>
          <w:r w:rsidRPr="009A46BB">
            <w:rPr>
              <w:rFonts w:ascii="Times New Roman" w:hAnsi="Times New Roman"/>
              <w:b/>
              <w:sz w:val="24"/>
              <w:szCs w:val="24"/>
            </w:rPr>
            <w:t>Fecha de finalización estimada:</w:t>
          </w:r>
          <w:r w:rsidR="008B5750" w:rsidRPr="009A46BB">
            <w:rPr>
              <w:rFonts w:ascii="Times New Roman" w:hAnsi="Times New Roman"/>
              <w:b/>
              <w:sz w:val="24"/>
              <w:szCs w:val="24"/>
            </w:rPr>
            <w:t xml:space="preserve"> </w:t>
          </w:r>
          <w:r w:rsidRPr="009A46BB">
            <w:rPr>
              <w:rFonts w:ascii="Times New Roman" w:hAnsi="Times New Roman"/>
              <w:sz w:val="24"/>
              <w:szCs w:val="24"/>
            </w:rPr>
            <w:t>21/08/2044</w:t>
          </w:r>
        </w:p>
        <w:p w14:paraId="45CCD205" w14:textId="2E78DBA8" w:rsidR="00274429" w:rsidRPr="009A46BB" w:rsidRDefault="00274429" w:rsidP="3E22C289">
          <w:pPr>
            <w:spacing w:after="0"/>
            <w:jc w:val="both"/>
            <w:rPr>
              <w:rFonts w:ascii="Times New Roman" w:hAnsi="Times New Roman"/>
              <w:sz w:val="24"/>
              <w:szCs w:val="24"/>
            </w:rPr>
          </w:pPr>
          <w:r w:rsidRPr="009A46BB">
            <w:rPr>
              <w:rFonts w:ascii="Times New Roman" w:hAnsi="Times New Roman"/>
              <w:b/>
              <w:sz w:val="24"/>
              <w:szCs w:val="24"/>
            </w:rPr>
            <w:t>Tipo ID:</w:t>
          </w:r>
          <w:r w:rsidR="008B5750" w:rsidRPr="009A46BB">
            <w:rPr>
              <w:rFonts w:ascii="Times New Roman" w:hAnsi="Times New Roman"/>
              <w:b/>
              <w:sz w:val="24"/>
              <w:szCs w:val="24"/>
            </w:rPr>
            <w:t xml:space="preserve"> </w:t>
          </w:r>
          <w:r w:rsidRPr="009A46BB">
            <w:rPr>
              <w:rFonts w:ascii="Times New Roman" w:hAnsi="Times New Roman"/>
              <w:sz w:val="24"/>
              <w:szCs w:val="24"/>
            </w:rPr>
            <w:t>NIT</w:t>
          </w:r>
        </w:p>
        <w:p w14:paraId="25BEA02E" w14:textId="583A4557" w:rsidR="00274429" w:rsidRPr="009A46BB" w:rsidRDefault="00274429" w:rsidP="3E22C289">
          <w:pPr>
            <w:spacing w:after="0"/>
            <w:jc w:val="both"/>
            <w:rPr>
              <w:rFonts w:ascii="Times New Roman" w:hAnsi="Times New Roman"/>
              <w:sz w:val="24"/>
              <w:szCs w:val="24"/>
            </w:rPr>
          </w:pPr>
          <w:r w:rsidRPr="009A46BB">
            <w:rPr>
              <w:rFonts w:ascii="Times New Roman" w:hAnsi="Times New Roman"/>
              <w:b/>
              <w:sz w:val="24"/>
              <w:szCs w:val="24"/>
            </w:rPr>
            <w:t>Número ID:</w:t>
          </w:r>
          <w:r w:rsidR="008B5750" w:rsidRPr="009A46BB">
            <w:rPr>
              <w:rFonts w:ascii="Times New Roman" w:hAnsi="Times New Roman"/>
              <w:b/>
              <w:sz w:val="24"/>
              <w:szCs w:val="24"/>
            </w:rPr>
            <w:t xml:space="preserve"> </w:t>
          </w:r>
          <w:r w:rsidRPr="009A46BB">
            <w:rPr>
              <w:rFonts w:ascii="Times New Roman" w:hAnsi="Times New Roman"/>
              <w:sz w:val="24"/>
              <w:szCs w:val="24"/>
            </w:rPr>
            <w:t>800084048-5</w:t>
          </w:r>
        </w:p>
        <w:p w14:paraId="1C848D76" w14:textId="1876B24F" w:rsidR="00274429" w:rsidRPr="009A46BB" w:rsidRDefault="00274429" w:rsidP="3E22C289">
          <w:pPr>
            <w:spacing w:after="0"/>
            <w:jc w:val="both"/>
            <w:rPr>
              <w:rFonts w:ascii="Times New Roman" w:hAnsi="Times New Roman"/>
              <w:sz w:val="24"/>
              <w:szCs w:val="24"/>
            </w:rPr>
          </w:pPr>
          <w:r w:rsidRPr="009A46BB">
            <w:rPr>
              <w:rFonts w:ascii="Times New Roman" w:hAnsi="Times New Roman"/>
              <w:b/>
              <w:sz w:val="24"/>
              <w:szCs w:val="24"/>
            </w:rPr>
            <w:t>Razón social del concesionario:</w:t>
          </w:r>
          <w:r w:rsidR="008B5750" w:rsidRPr="009A46BB">
            <w:rPr>
              <w:rFonts w:ascii="Times New Roman" w:hAnsi="Times New Roman"/>
              <w:b/>
              <w:sz w:val="24"/>
              <w:szCs w:val="24"/>
            </w:rPr>
            <w:t xml:space="preserve"> </w:t>
          </w:r>
          <w:r w:rsidRPr="009A46BB">
            <w:rPr>
              <w:rFonts w:ascii="Times New Roman" w:hAnsi="Times New Roman"/>
              <w:sz w:val="24"/>
              <w:szCs w:val="24"/>
            </w:rPr>
            <w:t>Sociedad Portuaria Terminal de Contenedores de Buenaventura S.A.</w:t>
          </w:r>
        </w:p>
        <w:p w14:paraId="6B3FEC1D" w14:textId="6C2A6CAE" w:rsidR="00274429" w:rsidRPr="009A46BB" w:rsidRDefault="00274429" w:rsidP="3E22C289">
          <w:pPr>
            <w:spacing w:after="0"/>
            <w:jc w:val="both"/>
            <w:rPr>
              <w:rFonts w:ascii="Times New Roman" w:hAnsi="Times New Roman"/>
              <w:sz w:val="24"/>
              <w:szCs w:val="24"/>
            </w:rPr>
          </w:pPr>
          <w:r w:rsidRPr="009A46BB">
            <w:rPr>
              <w:rFonts w:ascii="Times New Roman" w:hAnsi="Times New Roman"/>
              <w:b/>
              <w:sz w:val="24"/>
              <w:szCs w:val="24"/>
            </w:rPr>
            <w:t>Nombre del proyecto:</w:t>
          </w:r>
          <w:r w:rsidR="008B5750" w:rsidRPr="009A46BB">
            <w:rPr>
              <w:rFonts w:ascii="Times New Roman" w:hAnsi="Times New Roman"/>
              <w:b/>
              <w:sz w:val="24"/>
              <w:szCs w:val="24"/>
            </w:rPr>
            <w:t xml:space="preserve"> </w:t>
          </w:r>
          <w:r w:rsidRPr="009A46BB">
            <w:rPr>
              <w:rFonts w:ascii="Times New Roman" w:hAnsi="Times New Roman"/>
              <w:sz w:val="24"/>
              <w:szCs w:val="24"/>
            </w:rPr>
            <w:t>Sociedad Portuaria Terminal de Contenedores de Buenaventura S.A.</w:t>
          </w:r>
        </w:p>
        <w:p w14:paraId="52D3CC62" w14:textId="7FD6E588" w:rsidR="3E22C289" w:rsidRDefault="3E22C289" w:rsidP="3E22C289">
          <w:pPr>
            <w:spacing w:after="0"/>
            <w:jc w:val="both"/>
            <w:rPr>
              <w:rFonts w:ascii="Times New Roman" w:hAnsi="Times New Roman"/>
              <w:sz w:val="24"/>
              <w:szCs w:val="24"/>
            </w:rPr>
          </w:pPr>
        </w:p>
        <w:p w14:paraId="0E51F725" w14:textId="5967385A" w:rsidR="00274429" w:rsidRPr="009A46BB" w:rsidRDefault="00274429" w:rsidP="00E60BAB">
          <w:pPr>
            <w:pStyle w:val="Prrafodelista"/>
            <w:numPr>
              <w:ilvl w:val="0"/>
              <w:numId w:val="171"/>
            </w:numPr>
            <w:jc w:val="both"/>
            <w:rPr>
              <w:rFonts w:ascii="Times New Roman" w:hAnsi="Times New Roman"/>
              <w:b/>
            </w:rPr>
          </w:pPr>
          <w:r w:rsidRPr="009A46BB">
            <w:rPr>
              <w:rFonts w:ascii="Times New Roman" w:hAnsi="Times New Roman"/>
              <w:b/>
              <w:sz w:val="24"/>
              <w:szCs w:val="24"/>
            </w:rPr>
            <w:t>Términos significativos del acuerdo que puedan afectar su valor, el calendario y la certeza de los flujos</w:t>
          </w:r>
        </w:p>
        <w:p w14:paraId="7982FB6A"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Términos de valor:</w:t>
          </w:r>
        </w:p>
        <w:p w14:paraId="30F3FB75"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1: Tarifas:</w:t>
          </w:r>
          <w:r w:rsidRPr="009A46BB">
            <w:rPr>
              <w:rFonts w:ascii="Times New Roman" w:hAnsi="Times New Roman"/>
              <w:sz w:val="24"/>
              <w:szCs w:val="24"/>
            </w:rPr>
            <w:t xml:space="preserve">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w:t>
          </w:r>
        </w:p>
        <w:p w14:paraId="1B028B5A"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2: Contraprestación portuaria:</w:t>
          </w:r>
          <w:r w:rsidRPr="009A46BB">
            <w:rPr>
              <w:rFonts w:ascii="Times New Roman" w:hAnsi="Times New Roman"/>
              <w:sz w:val="24"/>
              <w:szCs w:val="24"/>
            </w:rPr>
            <w:t xml:space="preserve"> De acuerdo con el último documento contractual vigente la metodología de contraprestación vigente es CONPES 3744 de 2013 (Componentes Fijo y Variable. A febrero de 2022 el CONCESIONARIO debió pagar la suma de USD $2.228.882.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distrito de Buenaventura. </w:t>
          </w:r>
        </w:p>
        <w:p w14:paraId="4BA8B8FC"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3: Plan de Inversiones:</w:t>
          </w:r>
          <w:r w:rsidRPr="009A46BB">
            <w:rPr>
              <w:rFonts w:ascii="Times New Roman" w:hAnsi="Times New Roman"/>
              <w:sz w:val="24"/>
              <w:szCs w:val="24"/>
            </w:rPr>
            <w:t xml:space="preserve"> Está establecido en la cláusula séptima del contrato, modificado por el Otrosí No.3 de 2014 que estableció en la cláusula tercera, el plan de inversión será de USD 283.244.345 en valores constantes de 2006.</w:t>
          </w:r>
        </w:p>
        <w:p w14:paraId="22CD8BB7"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Obligaciones del CONCESIONARIO:</w:t>
          </w:r>
          <w:r w:rsidRPr="009A46BB">
            <w:rPr>
              <w:rFonts w:ascii="Times New Roman" w:hAnsi="Times New Roman"/>
              <w:sz w:val="24"/>
              <w:szCs w:val="24"/>
            </w:rPr>
            <w:t xml:space="preserve"> se encuentran descritas en la cláusula décima quinta del Contrato 005 de 2007.</w:t>
          </w:r>
        </w:p>
        <w:p w14:paraId="4275C219"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 xml:space="preserve">Multas y sanciones: </w:t>
          </w:r>
          <w:r w:rsidRPr="009A46BB">
            <w:rPr>
              <w:rFonts w:ascii="Times New Roman" w:hAnsi="Times New Roman"/>
              <w:sz w:val="24"/>
              <w:szCs w:val="24"/>
            </w:rPr>
            <w:t>Están establecidas en la cláusula décima octava del contrato 005 de 2007. Penal pecuniario: En la cláusula décima novena se establece que en el evento en que el INCO hoy ANI declare la caducidad o el incumplimiento del presente contrato se podrá imponer una penalidad pecuniaria.</w:t>
          </w:r>
        </w:p>
        <w:p w14:paraId="3AA41206"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Términos de calendario:</w:t>
          </w:r>
          <w:r w:rsidRPr="009A46BB">
            <w:rPr>
              <w:rFonts w:ascii="Times New Roman" w:hAnsi="Times New Roman"/>
              <w:b/>
              <w:sz w:val="24"/>
              <w:szCs w:val="24"/>
            </w:rPr>
            <w:tab/>
          </w:r>
        </w:p>
        <w:p w14:paraId="43543AF5"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1: Tarifas:</w:t>
          </w:r>
          <w:r w:rsidRPr="009A46BB">
            <w:rPr>
              <w:rFonts w:ascii="Times New Roman" w:hAnsi="Times New Roman"/>
              <w:sz w:val="24"/>
              <w:szCs w:val="24"/>
            </w:rPr>
            <w:t xml:space="preserve"> Aprobadas según la metodología establecida por la Superintendencia General de Puertos hoy Superintendencia de Transporte.</w:t>
          </w:r>
        </w:p>
        <w:p w14:paraId="1166AD7C"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lastRenderedPageBreak/>
            <w:t>2: Contraprestación portuaria:</w:t>
          </w:r>
          <w:r w:rsidRPr="009A46BB">
            <w:rPr>
              <w:rFonts w:ascii="Times New Roman" w:hAnsi="Times New Roman"/>
              <w:sz w:val="24"/>
              <w:szCs w:val="24"/>
            </w:rPr>
            <w:t xml:space="preserve"> Contraprestación portuaria: Anexo 2 Conpes 3744 de 2013 “(…) Antes de finalizar los meses de febrero cada concesionario deberá corregir su liquidación del año anterior según el movimiento de carga real y la indexación del valor de referencia por metro cuadrado, del avalúo de la infraestructura concesionada y de los cargos, así como realizar el pago anticipado del año en curso con base en lo proyectado en el FCL definitivo”</w:t>
          </w:r>
        </w:p>
        <w:p w14:paraId="2B1A37C7"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3: Plan de inversiones:</w:t>
          </w:r>
          <w:r w:rsidRPr="009A46BB">
            <w:rPr>
              <w:rFonts w:ascii="Times New Roman" w:hAnsi="Times New Roman"/>
              <w:sz w:val="24"/>
              <w:szCs w:val="24"/>
            </w:rPr>
            <w:t xml:space="preserve"> Está establecido en la cláusula séptima del contrato, modificado por la Otrosí No.3 de 2014 que estableció en la cláusula tercera en el periodo comprendido entre los años 2008 a 2015.</w:t>
          </w:r>
        </w:p>
        <w:p w14:paraId="27DA9CF2"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 xml:space="preserve">4. Multas y sanciones: </w:t>
          </w:r>
          <w:r w:rsidRPr="009A46BB">
            <w:rPr>
              <w:rFonts w:ascii="Times New Roman" w:hAnsi="Times New Roman"/>
              <w:sz w:val="24"/>
              <w:szCs w:val="24"/>
            </w:rPr>
            <w:t xml:space="preserve">Están establecidas en la cláusula décima octava del contrato 005 de 2007. </w:t>
          </w:r>
        </w:p>
        <w:p w14:paraId="08C3A69E"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Términos de certeza de flujos de efectivo futuros:</w:t>
          </w:r>
        </w:p>
        <w:p w14:paraId="54DB9F70"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En virtud del Contrato de concesión y sus modificaciones, se permite al CONCESIONARIO ocupar y utilizar en forma temporal y exclusiva la zona de uso público que incluye el sector de playa, terrenos de bajamar y zonas accesoria a aquellas o estos, que se encuentren ubicados al oriente del Terminal Marítimo de Buenaventura-Valle del Cauca, entre los esteros de El Piñal, El Aguacate y Brazo Angosto del municipio de Buenaventura- Valle del Cauca, por el termino establecido en la Cláusula Sexta del Otrosí No 03 de 2014, a cambio de la contraprestación establecida en la Cláusula cuarta del mismo.</w:t>
          </w:r>
        </w:p>
        <w:p w14:paraId="088073B1"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Cláusula cuarta numeral 8.3 establece lo indicado en el parágrafo 1ª del artículo 1ª de la Ley 856 de diciembre del 2003 que modifica el artículo 7 de la Ley 1ª de 1991 en la cual el ochenta por ciento (80%) de la misma que corresponde a la NACIÓN- Instituto Nacional de Vías y el veinte por ciento (20%) restante al Municipio de Buenaventura. En virtud del Contrato de concesión y sus modificaciones, se permite al CONCESIONARIO ocupar y utilizar en forma temporal y exclusiva la zona de uso público que incluye el sector de playa, terrenos de bajamar y zonas accesoria a aquellas o estos, que se encuentren ubicados al oriente del Terminal Marítimo de Buenaventura-Valle del Cauca, entre los esteros de El Piñal, El Aguacate y Brazo Angosto del municipio de Buenaventura- Valle del Cauca, por el termino establecido en la Cláusula Sexta del Otrosí No 03 de 2014, a cambio de la contraprestación establecida en la Cláusula cuarta del mismo.</w:t>
          </w:r>
        </w:p>
        <w:p w14:paraId="42E30546" w14:textId="0E48416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c.</w:t>
          </w:r>
          <w:r w:rsidR="71D8AAFE" w:rsidRPr="3E22C289">
            <w:rPr>
              <w:rFonts w:ascii="Times New Roman" w:hAnsi="Times New Roman"/>
              <w:b/>
              <w:bCs/>
              <w:sz w:val="24"/>
              <w:szCs w:val="24"/>
            </w:rPr>
            <w:t xml:space="preserve"> </w:t>
          </w:r>
          <w:r w:rsidRPr="009A46BB">
            <w:rPr>
              <w:rFonts w:ascii="Times New Roman" w:hAnsi="Times New Roman"/>
              <w:b/>
              <w:sz w:val="24"/>
              <w:szCs w:val="24"/>
            </w:rPr>
            <w:t xml:space="preserve">Naturaleza y alcance del derecho a utilizar activos especificados, de los aspectos pactados en torno a lo que se espera que el concesionario proporcione en relación con el acuerdo de concesión. </w:t>
          </w:r>
        </w:p>
        <w:p w14:paraId="1A4E1C35"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Naturaleza y alcance del derecho de uso de los activos</w:t>
          </w:r>
        </w:p>
        <w:p w14:paraId="419CE58F"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w:t>
          </w:r>
          <w:r w:rsidRPr="009A46BB">
            <w:rPr>
              <w:rFonts w:ascii="Times New Roman" w:hAnsi="Times New Roman"/>
              <w:sz w:val="24"/>
              <w:szCs w:val="24"/>
            </w:rPr>
            <w:tab/>
            <w:t>Descripción del proyecto, especificaciones técnicas, modalidades de operación: las condiciones especiales de operación del puerto están establecidas en la cláusula quinta del Contrato de Concesión No.005 de 2007 y cláusula segunda de su Otrosí No.3 de 2014</w:t>
          </w:r>
        </w:p>
        <w:p w14:paraId="3B1F83A7"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Área entregada en concesión:</w:t>
          </w:r>
          <w:r w:rsidRPr="009A46BB">
            <w:rPr>
              <w:rFonts w:ascii="Times New Roman" w:hAnsi="Times New Roman"/>
              <w:sz w:val="24"/>
              <w:szCs w:val="24"/>
            </w:rPr>
            <w:t xml:space="preserve"> La descripción de la ubicación, linderos y extensión de los bienes de uso público (playas y terrenos de baja mar, zonas marítimas accesorias de maniobras) </w:t>
          </w:r>
          <w:r w:rsidRPr="009A46BB">
            <w:rPr>
              <w:rFonts w:ascii="Times New Roman" w:hAnsi="Times New Roman"/>
              <w:sz w:val="24"/>
              <w:szCs w:val="24"/>
            </w:rPr>
            <w:lastRenderedPageBreak/>
            <w:t>entregados en concesión están establecidos en la cláusula segunda del Contrato de concesión No.005 de 2007, modificada por la cláusula primera del Otrosí No.2 de 2008</w:t>
          </w:r>
        </w:p>
        <w:p w14:paraId="430A7C4D"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Infraestructura y equipos entregados en concesión:</w:t>
          </w:r>
          <w:r w:rsidRPr="009A46BB">
            <w:rPr>
              <w:rFonts w:ascii="Times New Roman" w:hAnsi="Times New Roman"/>
              <w:sz w:val="24"/>
              <w:szCs w:val="24"/>
            </w:rPr>
            <w:t xml:space="preserve"> en el contrato de concesión portuaria no fueron entregados activos relacionados con infraestructura y equipos, el plan de inversiones desarrolla la infraestructura y la adquisición de equipos para su posterior reversión a la Nación.</w:t>
          </w:r>
        </w:p>
        <w:p w14:paraId="044F7FA0"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Retribución al concesionario</w:t>
          </w:r>
        </w:p>
        <w:p w14:paraId="78DFD4F2"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w:t>
          </w:r>
          <w:r w:rsidRPr="009A46BB">
            <w:rPr>
              <w:rFonts w:ascii="Times New Roman" w:hAnsi="Times New Roman"/>
              <w:b/>
              <w:sz w:val="24"/>
              <w:szCs w:val="24"/>
            </w:rPr>
            <w:tab/>
          </w:r>
          <w:r w:rsidRPr="009A46BB">
            <w:rPr>
              <w:rFonts w:ascii="Times New Roman" w:hAnsi="Times New Roman"/>
              <w:sz w:val="24"/>
              <w:szCs w:val="24"/>
            </w:rPr>
            <w:t>En virtud del Contrato de concesión y sus modificaciones, se permite al CONCESIONARIO ocupar y utilizar en forma temporal y exclusiva la zona de uso público que incluye el sector de playa, terrenos de bajamar y zonas accesoria a aquellas o estos, que se encuentren ubicados al oriente del Terminal Marítimo de Buenaventura-Valle del Cauca, entre los esteros de El Piñal, El Aguacate y Brazo Angosto del municipio de Buenaventura- Valle del Cauca, por el termino establecido en la Cláusula Sexta del Otrosí No 03 de 2014, a cambio de la contraprestación establecida en la Cláusula cuarta del mismo.</w:t>
          </w:r>
        </w:p>
        <w:p w14:paraId="3DF92E1E"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Tasa de retribución:</w:t>
          </w:r>
          <w:r w:rsidRPr="009A46BB">
            <w:rPr>
              <w:rFonts w:ascii="Times New Roman" w:hAnsi="Times New Roman"/>
              <w:sz w:val="24"/>
              <w:szCs w:val="24"/>
            </w:rPr>
            <w:tab/>
            <w:t>N/A</w:t>
          </w:r>
        </w:p>
        <w:p w14:paraId="1B6B0573" w14:textId="7E8E1D82"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d.</w:t>
          </w:r>
          <w:r w:rsidR="765B148D" w:rsidRPr="3E22C289">
            <w:rPr>
              <w:rFonts w:ascii="Times New Roman" w:hAnsi="Times New Roman"/>
              <w:b/>
              <w:bCs/>
              <w:sz w:val="24"/>
              <w:szCs w:val="24"/>
            </w:rPr>
            <w:t xml:space="preserve"> </w:t>
          </w:r>
          <w:r w:rsidRPr="009A46BB">
            <w:rPr>
              <w:rFonts w:ascii="Times New Roman" w:hAnsi="Times New Roman"/>
              <w:b/>
              <w:sz w:val="24"/>
              <w:szCs w:val="24"/>
            </w:rPr>
            <w:t>Derechos a recibir activos especificados al final del acuerdo de concesión</w:t>
          </w:r>
        </w:p>
        <w:p w14:paraId="73BCCA5E"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w:t>
          </w:r>
          <w:r w:rsidRPr="009A46BB">
            <w:rPr>
              <w:rFonts w:ascii="Times New Roman" w:hAnsi="Times New Roman"/>
              <w:sz w:val="24"/>
              <w:szCs w:val="24"/>
            </w:rPr>
            <w:tab/>
            <w:t>De acuerdo con el Artículo 8º de la Ley 1 de 1991 en el modo portuario el concesionario no tiene derechos finales sobre activos, los debe revertir a la Nación al final del contrato de concesión.</w:t>
          </w:r>
        </w:p>
        <w:p w14:paraId="2CAC5DD4" w14:textId="3BAFE6E9"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e.</w:t>
          </w:r>
          <w:r w:rsidR="323C667C" w:rsidRPr="3E22C289">
            <w:rPr>
              <w:rFonts w:ascii="Times New Roman" w:hAnsi="Times New Roman"/>
              <w:b/>
              <w:bCs/>
              <w:sz w:val="24"/>
              <w:szCs w:val="24"/>
            </w:rPr>
            <w:t xml:space="preserve"> </w:t>
          </w:r>
          <w:r w:rsidR="008B5750" w:rsidRPr="009A46BB">
            <w:rPr>
              <w:rFonts w:ascii="Times New Roman" w:hAnsi="Times New Roman"/>
              <w:b/>
              <w:sz w:val="24"/>
              <w:szCs w:val="24"/>
            </w:rPr>
            <w:t>No hay c</w:t>
          </w:r>
          <w:r w:rsidRPr="009A46BB">
            <w:rPr>
              <w:rFonts w:ascii="Times New Roman" w:hAnsi="Times New Roman"/>
              <w:b/>
              <w:sz w:val="24"/>
              <w:szCs w:val="24"/>
            </w:rPr>
            <w:t>ambios en el acuerdo de concesión que se realicen durante el periodo fiscal</w:t>
          </w:r>
        </w:p>
        <w:p w14:paraId="6B985439" w14:textId="0E6A0734" w:rsidR="00274429" w:rsidRPr="009A46BB" w:rsidRDefault="00274429" w:rsidP="00274429">
          <w:pPr>
            <w:jc w:val="both"/>
            <w:rPr>
              <w:rFonts w:ascii="Times New Roman" w:hAnsi="Times New Roman"/>
              <w:sz w:val="24"/>
              <w:szCs w:val="24"/>
            </w:rPr>
          </w:pPr>
        </w:p>
        <w:p w14:paraId="4DE3F01D" w14:textId="37B8DD5E" w:rsidR="00274429" w:rsidRPr="009A46BB" w:rsidRDefault="008B5750" w:rsidP="008B5750">
          <w:pPr>
            <w:spacing w:line="259" w:lineRule="auto"/>
            <w:jc w:val="both"/>
            <w:rPr>
              <w:rFonts w:ascii="Times New Roman" w:hAnsi="Times New Roman"/>
              <w:b/>
              <w:sz w:val="24"/>
              <w:szCs w:val="24"/>
            </w:rPr>
          </w:pPr>
          <w:r w:rsidRPr="009A46BB">
            <w:rPr>
              <w:rFonts w:ascii="Times New Roman" w:hAnsi="Times New Roman"/>
              <w:b/>
              <w:sz w:val="24"/>
              <w:szCs w:val="24"/>
            </w:rPr>
            <w:t>NUEVA SOCIEDAD PORTUARIA DE LA ZONA ATLÁNTICA S.A – SAN ANDRÉS</w:t>
          </w:r>
        </w:p>
        <w:p w14:paraId="7EB145C0" w14:textId="06D76D2E" w:rsidR="00274429" w:rsidRPr="009A46BB" w:rsidRDefault="00274429" w:rsidP="00E60BAB">
          <w:pPr>
            <w:pStyle w:val="Prrafodelista"/>
            <w:numPr>
              <w:ilvl w:val="0"/>
              <w:numId w:val="143"/>
            </w:numPr>
            <w:jc w:val="both"/>
            <w:rPr>
              <w:rFonts w:ascii="Times New Roman" w:hAnsi="Times New Roman"/>
              <w:b/>
            </w:rPr>
          </w:pPr>
          <w:r w:rsidRPr="009A46BB">
            <w:rPr>
              <w:rFonts w:ascii="Times New Roman" w:hAnsi="Times New Roman"/>
              <w:b/>
              <w:sz w:val="24"/>
              <w:szCs w:val="24"/>
            </w:rPr>
            <w:t>Descripción del acuerdo</w:t>
          </w:r>
        </w:p>
        <w:p w14:paraId="7EEA7556" w14:textId="42E31A5D" w:rsidR="00274429" w:rsidRPr="009A46BB" w:rsidRDefault="00274429" w:rsidP="3E22C289">
          <w:pPr>
            <w:spacing w:after="0"/>
            <w:jc w:val="both"/>
            <w:rPr>
              <w:rFonts w:ascii="Times New Roman" w:hAnsi="Times New Roman"/>
              <w:sz w:val="24"/>
              <w:szCs w:val="24"/>
            </w:rPr>
          </w:pPr>
          <w:r w:rsidRPr="009A46BB">
            <w:rPr>
              <w:rFonts w:ascii="Times New Roman" w:hAnsi="Times New Roman"/>
              <w:b/>
              <w:sz w:val="24"/>
              <w:szCs w:val="24"/>
            </w:rPr>
            <w:t>Número del acuerdo de concesión:</w:t>
          </w:r>
          <w:r w:rsidR="008B5750" w:rsidRPr="009A46BB">
            <w:rPr>
              <w:rFonts w:ascii="Times New Roman" w:hAnsi="Times New Roman"/>
              <w:b/>
              <w:sz w:val="24"/>
              <w:szCs w:val="24"/>
            </w:rPr>
            <w:t xml:space="preserve"> </w:t>
          </w:r>
          <w:r w:rsidRPr="009A46BB">
            <w:rPr>
              <w:rFonts w:ascii="Times New Roman" w:hAnsi="Times New Roman"/>
              <w:sz w:val="24"/>
              <w:szCs w:val="24"/>
            </w:rPr>
            <w:t>Contrato No. 009 de 2007</w:t>
          </w:r>
        </w:p>
        <w:p w14:paraId="523B975A" w14:textId="60A1E8EF" w:rsidR="00274429" w:rsidRPr="009A46BB" w:rsidRDefault="00274429" w:rsidP="3E22C289">
          <w:pPr>
            <w:spacing w:after="0" w:afterAutospacing="1"/>
            <w:jc w:val="both"/>
            <w:rPr>
              <w:rFonts w:ascii="Times New Roman" w:hAnsi="Times New Roman"/>
              <w:sz w:val="24"/>
              <w:szCs w:val="24"/>
            </w:rPr>
          </w:pPr>
          <w:r w:rsidRPr="009A46BB">
            <w:rPr>
              <w:rFonts w:ascii="Times New Roman" w:hAnsi="Times New Roman"/>
              <w:b/>
              <w:sz w:val="24"/>
              <w:szCs w:val="24"/>
            </w:rPr>
            <w:t>Objeto / Descripción:</w:t>
          </w:r>
          <w:r w:rsidR="008B5750" w:rsidRPr="009A46BB">
            <w:rPr>
              <w:rFonts w:ascii="Times New Roman" w:hAnsi="Times New Roman"/>
              <w:b/>
              <w:sz w:val="24"/>
              <w:szCs w:val="24"/>
            </w:rPr>
            <w:t xml:space="preserve"> </w:t>
          </w:r>
          <w:r w:rsidRPr="009A46BB">
            <w:rPr>
              <w:rFonts w:ascii="Times New Roman" w:hAnsi="Times New Roman"/>
              <w:sz w:val="24"/>
              <w:szCs w:val="24"/>
            </w:rPr>
            <w:t>En virtud del Contrato de concesión y sus modificaciones, se permite al CONCESIONARIO ocupar y utilizar en forma temporal y exclusiva la zona de uso público que incluye el sector de playa, terrenos de bajamar y las zonas marítimas accesorias a aquellas o éstos, para la administración y operación de la infraestructura portuaria que incluye el muelle denominado "Texas Arenal Las facilidades portuarias se encuentran ubicadas en el sector denominado El Arenal de la Isla de San Andrés, en el departamento de San Andrés, Providencia y Santa Catalina, por el término de veinte (20) años, a cambio de la contra prestación establecida en la Cláusula Octava.</w:t>
          </w:r>
        </w:p>
        <w:p w14:paraId="181C5F84" w14:textId="5954C5AD" w:rsidR="00274429" w:rsidRPr="009A46BB" w:rsidRDefault="00274429" w:rsidP="3E22C289">
          <w:pPr>
            <w:spacing w:after="0" w:afterAutospacing="1"/>
            <w:jc w:val="both"/>
            <w:rPr>
              <w:rFonts w:ascii="Times New Roman" w:hAnsi="Times New Roman"/>
              <w:b/>
              <w:sz w:val="24"/>
              <w:szCs w:val="24"/>
            </w:rPr>
          </w:pPr>
          <w:r w:rsidRPr="009A46BB">
            <w:rPr>
              <w:rFonts w:ascii="Times New Roman" w:hAnsi="Times New Roman"/>
              <w:b/>
              <w:sz w:val="24"/>
              <w:szCs w:val="24"/>
            </w:rPr>
            <w:t>Valor inicial:</w:t>
          </w:r>
          <w:r w:rsidR="008B5750" w:rsidRPr="009A46BB">
            <w:rPr>
              <w:rFonts w:ascii="Times New Roman" w:hAnsi="Times New Roman"/>
              <w:b/>
              <w:sz w:val="24"/>
              <w:szCs w:val="24"/>
            </w:rPr>
            <w:t xml:space="preserve"> </w:t>
          </w:r>
          <w:r w:rsidRPr="009A46BB">
            <w:rPr>
              <w:rFonts w:ascii="Times New Roman" w:hAnsi="Times New Roman"/>
              <w:sz w:val="24"/>
              <w:szCs w:val="24"/>
            </w:rPr>
            <w:t>USD $153.540,89 Cláusula octava / Contrato No 009 de 2007.</w:t>
          </w:r>
        </w:p>
        <w:p w14:paraId="13891788" w14:textId="77777777" w:rsidR="00274429" w:rsidRPr="009A46BB" w:rsidRDefault="00274429" w:rsidP="3E22C289">
          <w:pPr>
            <w:spacing w:after="0" w:afterAutospacing="1"/>
            <w:jc w:val="both"/>
            <w:rPr>
              <w:rFonts w:ascii="Times New Roman" w:hAnsi="Times New Roman"/>
              <w:sz w:val="24"/>
              <w:szCs w:val="24"/>
            </w:rPr>
          </w:pPr>
          <w:r w:rsidRPr="009A46BB">
            <w:rPr>
              <w:rFonts w:ascii="Times New Roman" w:hAnsi="Times New Roman"/>
              <w:b/>
              <w:sz w:val="24"/>
              <w:szCs w:val="24"/>
            </w:rPr>
            <w:t>Valor del Contrato actualizado:</w:t>
          </w:r>
          <w:r w:rsidRPr="009A46BB">
            <w:rPr>
              <w:rFonts w:ascii="Times New Roman" w:hAnsi="Times New Roman"/>
              <w:sz w:val="24"/>
              <w:szCs w:val="24"/>
            </w:rPr>
            <w:t xml:space="preserve"> USD $153.540,89 / Cláusula primera / Otrosí 1 de 2009. Valor presente.</w:t>
          </w:r>
        </w:p>
        <w:p w14:paraId="1872189E" w14:textId="0130BCA9" w:rsidR="00274429" w:rsidRPr="009A46BB" w:rsidRDefault="00274429" w:rsidP="3E22C289">
          <w:pPr>
            <w:spacing w:afterAutospacing="1"/>
            <w:jc w:val="both"/>
            <w:rPr>
              <w:rFonts w:ascii="Times New Roman" w:hAnsi="Times New Roman"/>
              <w:sz w:val="24"/>
              <w:szCs w:val="24"/>
            </w:rPr>
          </w:pPr>
          <w:r w:rsidRPr="009A46BB">
            <w:rPr>
              <w:rFonts w:ascii="Times New Roman" w:hAnsi="Times New Roman"/>
              <w:b/>
              <w:sz w:val="24"/>
              <w:szCs w:val="24"/>
            </w:rPr>
            <w:t>Fecha de inicio:</w:t>
          </w:r>
          <w:r w:rsidR="008B5750" w:rsidRPr="009A46BB">
            <w:rPr>
              <w:rFonts w:ascii="Times New Roman" w:hAnsi="Times New Roman"/>
              <w:b/>
              <w:sz w:val="24"/>
              <w:szCs w:val="24"/>
            </w:rPr>
            <w:t xml:space="preserve"> </w:t>
          </w:r>
          <w:r w:rsidRPr="009A46BB">
            <w:rPr>
              <w:rFonts w:ascii="Times New Roman" w:hAnsi="Times New Roman"/>
              <w:sz w:val="24"/>
              <w:szCs w:val="24"/>
            </w:rPr>
            <w:t>18/09/2007</w:t>
          </w:r>
        </w:p>
        <w:p w14:paraId="32C41D1E" w14:textId="0C7E726E" w:rsidR="00274429" w:rsidRPr="009A46BB" w:rsidRDefault="00274429" w:rsidP="3E22C289">
          <w:pPr>
            <w:spacing w:afterAutospacing="1"/>
            <w:jc w:val="both"/>
            <w:rPr>
              <w:rFonts w:ascii="Times New Roman" w:hAnsi="Times New Roman"/>
              <w:sz w:val="24"/>
              <w:szCs w:val="24"/>
            </w:rPr>
          </w:pPr>
          <w:r w:rsidRPr="009A46BB">
            <w:rPr>
              <w:rFonts w:ascii="Times New Roman" w:hAnsi="Times New Roman"/>
              <w:b/>
              <w:sz w:val="24"/>
              <w:szCs w:val="24"/>
            </w:rPr>
            <w:lastRenderedPageBreak/>
            <w:t>Fecha de finalización estimada:</w:t>
          </w:r>
          <w:r w:rsidR="008B5750" w:rsidRPr="009A46BB">
            <w:rPr>
              <w:rFonts w:ascii="Times New Roman" w:hAnsi="Times New Roman"/>
              <w:b/>
              <w:sz w:val="24"/>
              <w:szCs w:val="24"/>
            </w:rPr>
            <w:t xml:space="preserve"> </w:t>
          </w:r>
          <w:r w:rsidRPr="009A46BB">
            <w:rPr>
              <w:rFonts w:ascii="Times New Roman" w:hAnsi="Times New Roman"/>
              <w:sz w:val="24"/>
              <w:szCs w:val="24"/>
            </w:rPr>
            <w:t>17/09/2027</w:t>
          </w:r>
        </w:p>
        <w:p w14:paraId="4A407479" w14:textId="1E5AF6C6" w:rsidR="00274429" w:rsidRPr="009A46BB" w:rsidRDefault="00274429" w:rsidP="3E22C289">
          <w:pPr>
            <w:spacing w:afterAutospacing="1"/>
            <w:jc w:val="both"/>
            <w:rPr>
              <w:rFonts w:ascii="Times New Roman" w:hAnsi="Times New Roman"/>
              <w:sz w:val="24"/>
              <w:szCs w:val="24"/>
            </w:rPr>
          </w:pPr>
          <w:r w:rsidRPr="009A46BB">
            <w:rPr>
              <w:rFonts w:ascii="Times New Roman" w:hAnsi="Times New Roman"/>
              <w:b/>
              <w:sz w:val="24"/>
              <w:szCs w:val="24"/>
            </w:rPr>
            <w:t>Tipo ID:</w:t>
          </w:r>
          <w:r w:rsidR="008B5750" w:rsidRPr="009A46BB">
            <w:rPr>
              <w:rFonts w:ascii="Times New Roman" w:hAnsi="Times New Roman"/>
              <w:b/>
              <w:sz w:val="24"/>
              <w:szCs w:val="24"/>
            </w:rPr>
            <w:t xml:space="preserve"> </w:t>
          </w:r>
          <w:r w:rsidRPr="009A46BB">
            <w:rPr>
              <w:rFonts w:ascii="Times New Roman" w:hAnsi="Times New Roman"/>
              <w:sz w:val="24"/>
              <w:szCs w:val="24"/>
            </w:rPr>
            <w:t>NIT</w:t>
          </w:r>
        </w:p>
        <w:p w14:paraId="7C46EE47" w14:textId="55A5B93B" w:rsidR="00274429" w:rsidRPr="009A46BB" w:rsidRDefault="00274429" w:rsidP="3E22C289">
          <w:pPr>
            <w:spacing w:afterAutospacing="1"/>
            <w:jc w:val="both"/>
            <w:rPr>
              <w:rFonts w:ascii="Times New Roman" w:hAnsi="Times New Roman"/>
              <w:sz w:val="24"/>
              <w:szCs w:val="24"/>
            </w:rPr>
          </w:pPr>
          <w:r w:rsidRPr="009A46BB">
            <w:rPr>
              <w:rFonts w:ascii="Times New Roman" w:hAnsi="Times New Roman"/>
              <w:b/>
              <w:sz w:val="24"/>
              <w:szCs w:val="24"/>
            </w:rPr>
            <w:t>Número ID:</w:t>
          </w:r>
          <w:r w:rsidR="008B5750" w:rsidRPr="009A46BB">
            <w:rPr>
              <w:rFonts w:ascii="Times New Roman" w:hAnsi="Times New Roman"/>
              <w:b/>
              <w:sz w:val="24"/>
              <w:szCs w:val="24"/>
            </w:rPr>
            <w:t xml:space="preserve"> </w:t>
          </w:r>
          <w:r w:rsidRPr="009A46BB">
            <w:rPr>
              <w:rFonts w:ascii="Times New Roman" w:hAnsi="Times New Roman"/>
              <w:sz w:val="24"/>
              <w:szCs w:val="24"/>
            </w:rPr>
            <w:t>900.944.661-4</w:t>
          </w:r>
        </w:p>
        <w:p w14:paraId="79A40EE5" w14:textId="1D5205B7" w:rsidR="00274429" w:rsidRPr="009A46BB" w:rsidRDefault="00274429" w:rsidP="3E22C289">
          <w:pPr>
            <w:spacing w:afterAutospacing="1"/>
            <w:jc w:val="both"/>
            <w:rPr>
              <w:rFonts w:ascii="Times New Roman" w:hAnsi="Times New Roman"/>
              <w:sz w:val="24"/>
              <w:szCs w:val="24"/>
            </w:rPr>
          </w:pPr>
          <w:r w:rsidRPr="009A46BB">
            <w:rPr>
              <w:rFonts w:ascii="Times New Roman" w:hAnsi="Times New Roman"/>
              <w:b/>
              <w:sz w:val="24"/>
              <w:szCs w:val="24"/>
            </w:rPr>
            <w:t>Razón social del concesionario:</w:t>
          </w:r>
          <w:r w:rsidR="008B5750" w:rsidRPr="009A46BB">
            <w:rPr>
              <w:rFonts w:ascii="Times New Roman" w:hAnsi="Times New Roman"/>
              <w:b/>
              <w:sz w:val="24"/>
              <w:szCs w:val="24"/>
            </w:rPr>
            <w:t xml:space="preserve"> </w:t>
          </w:r>
          <w:r w:rsidRPr="009A46BB">
            <w:rPr>
              <w:rFonts w:ascii="Times New Roman" w:hAnsi="Times New Roman"/>
              <w:sz w:val="24"/>
              <w:szCs w:val="24"/>
            </w:rPr>
            <w:t>Nueva Sociedad Portuaria de la Zona Atlántica S.A</w:t>
          </w:r>
        </w:p>
        <w:p w14:paraId="14437655" w14:textId="3B6DB406" w:rsidR="00274429" w:rsidRPr="009A46BB" w:rsidRDefault="00274429" w:rsidP="6A0940DB">
          <w:pPr>
            <w:spacing w:afterAutospacing="1"/>
            <w:jc w:val="both"/>
            <w:rPr>
              <w:rFonts w:ascii="Times New Roman" w:hAnsi="Times New Roman"/>
              <w:sz w:val="24"/>
              <w:szCs w:val="24"/>
            </w:rPr>
          </w:pPr>
          <w:r w:rsidRPr="009A46BB">
            <w:rPr>
              <w:rFonts w:ascii="Times New Roman" w:hAnsi="Times New Roman"/>
              <w:b/>
              <w:sz w:val="24"/>
              <w:szCs w:val="24"/>
            </w:rPr>
            <w:t>Nombre del proyecto:</w:t>
          </w:r>
          <w:r w:rsidR="008B5750" w:rsidRPr="009A46BB">
            <w:rPr>
              <w:rFonts w:ascii="Times New Roman" w:hAnsi="Times New Roman"/>
              <w:b/>
              <w:sz w:val="24"/>
              <w:szCs w:val="24"/>
            </w:rPr>
            <w:t xml:space="preserve"> </w:t>
          </w:r>
          <w:r w:rsidRPr="009A46BB">
            <w:rPr>
              <w:rFonts w:ascii="Times New Roman" w:hAnsi="Times New Roman"/>
              <w:sz w:val="24"/>
              <w:szCs w:val="24"/>
            </w:rPr>
            <w:t>Nueva Sociedad Portuaria de la Zona Atlántica S.A.</w:t>
          </w:r>
        </w:p>
        <w:p w14:paraId="6659A43A" w14:textId="180EF9D1" w:rsidR="6A0940DB" w:rsidRDefault="6A0940DB" w:rsidP="6A0940DB">
          <w:pPr>
            <w:spacing w:afterAutospacing="1"/>
            <w:jc w:val="both"/>
            <w:rPr>
              <w:rFonts w:ascii="Times New Roman" w:hAnsi="Times New Roman"/>
              <w:sz w:val="24"/>
              <w:szCs w:val="24"/>
            </w:rPr>
          </w:pPr>
        </w:p>
        <w:p w14:paraId="7B1F6A26" w14:textId="59D8F6A2" w:rsidR="00274429" w:rsidRPr="009A46BB" w:rsidRDefault="00274429" w:rsidP="00E60BAB">
          <w:pPr>
            <w:pStyle w:val="Prrafodelista"/>
            <w:numPr>
              <w:ilvl w:val="0"/>
              <w:numId w:val="171"/>
            </w:numPr>
            <w:jc w:val="both"/>
            <w:rPr>
              <w:rFonts w:ascii="Times New Roman" w:hAnsi="Times New Roman"/>
              <w:b/>
            </w:rPr>
          </w:pPr>
          <w:r w:rsidRPr="009A46BB">
            <w:rPr>
              <w:rFonts w:ascii="Times New Roman" w:hAnsi="Times New Roman"/>
              <w:b/>
              <w:sz w:val="24"/>
              <w:szCs w:val="24"/>
            </w:rPr>
            <w:t xml:space="preserve">Términos significativos del acuerdo que puedan afectar su valor, el calendario y la certeza de los flujos </w:t>
          </w:r>
        </w:p>
        <w:p w14:paraId="7F383ABF"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Términos de valor:</w:t>
          </w:r>
        </w:p>
        <w:p w14:paraId="2B32B6D6"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1: Tarifas:</w:t>
          </w:r>
          <w:r w:rsidRPr="009A46BB">
            <w:rPr>
              <w:rFonts w:ascii="Times New Roman" w:hAnsi="Times New Roman"/>
              <w:sz w:val="24"/>
              <w:szCs w:val="24"/>
            </w:rPr>
            <w:t xml:space="preserve">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w:t>
          </w:r>
        </w:p>
        <w:p w14:paraId="539CF68C" w14:textId="631392F4"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2: Contraprestación portuaria:</w:t>
          </w:r>
          <w:r w:rsidRPr="009A46BB">
            <w:rPr>
              <w:rFonts w:ascii="Times New Roman" w:hAnsi="Times New Roman"/>
              <w:sz w:val="24"/>
              <w:szCs w:val="24"/>
            </w:rPr>
            <w:t xml:space="preserve"> De acuerdo con el último documento contractual vigente la metodología de contraprestación vigente es CONPES 2680 DE 1993 (Productividad).Se establece en la cláusula primera del otrosí 1 de 2009 del Contrato que el CONCESIONARIO deberá pagar por concepto de zona de uso público la suma anual de (USD 8.442,66), de dicho pago el 80% le corresponde a la Nación Instituto nacional de vías (INVIAS) y el 20% restante al municipio de San Andrés Islas (San Andrés, Providencia y Santa Catalina) de acuerdo con lo establecido en el parágrafo 1 del artículo 1 de la ley 856 del 21 de diciembre de 2003, que modifica el artículo 7 de la ley 1ª de 1991. Así mismo, por concepto de infraestructura el CONCESIONARIO deberá pagar la suma anual de (USD 9.910,79), el cual corresponde en un 100% a la Nación - Instituto Nacional de Vías (INVIAS) de acuerdo con lo establecido en el artículo 1 de la ley 856 del 21 diciembre de 2003.</w:t>
          </w:r>
        </w:p>
        <w:p w14:paraId="47AB4BA6"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Para el caso de este contrato, en el año 2011 el Concesionario pagó de manera anticipada la totalidad de la contraprestación.</w:t>
          </w:r>
        </w:p>
        <w:p w14:paraId="118203A3"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3: Plan de Inversiones:</w:t>
          </w:r>
          <w:r w:rsidRPr="009A46BB">
            <w:rPr>
              <w:rFonts w:ascii="Times New Roman" w:hAnsi="Times New Roman"/>
              <w:sz w:val="24"/>
              <w:szCs w:val="24"/>
            </w:rPr>
            <w:t xml:space="preserve"> está establecido en la cláusula séptima del contrato, que el plan de inversión será de USD $112.500 en valores corrientes.</w:t>
          </w:r>
        </w:p>
        <w:p w14:paraId="43D24002"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Obligaciones del CONCESIONARIO:</w:t>
          </w:r>
          <w:r w:rsidRPr="009A46BB">
            <w:rPr>
              <w:rFonts w:ascii="Times New Roman" w:hAnsi="Times New Roman"/>
              <w:sz w:val="24"/>
              <w:szCs w:val="24"/>
            </w:rPr>
            <w:t xml:space="preserve"> se encuentran descritas en la cláusula décima quinta del contrato. </w:t>
          </w:r>
        </w:p>
        <w:p w14:paraId="73EE649D"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Multas y sanciones:</w:t>
          </w:r>
          <w:r w:rsidRPr="009A46BB">
            <w:rPr>
              <w:rFonts w:ascii="Times New Roman" w:hAnsi="Times New Roman"/>
              <w:sz w:val="24"/>
              <w:szCs w:val="24"/>
            </w:rPr>
            <w:t xml:space="preserve"> están establecidas en la cláusula décima octava del contrato.</w:t>
          </w:r>
        </w:p>
        <w:p w14:paraId="1B96DDB6"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 xml:space="preserve">Penal pecuniaria: </w:t>
          </w:r>
          <w:r w:rsidRPr="009A46BB">
            <w:rPr>
              <w:rFonts w:ascii="Times New Roman" w:hAnsi="Times New Roman"/>
              <w:sz w:val="24"/>
              <w:szCs w:val="24"/>
            </w:rPr>
            <w:t>En la cláusula décima novena se establece que en el evento en que el INCO hoy ANI declare la caducidad o el incumplimiento del presente contrato se podrá imponer una penalidad pecuniaria del 10% del valor total de la contraprestación.</w:t>
          </w:r>
        </w:p>
        <w:p w14:paraId="05C46091"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lastRenderedPageBreak/>
            <w:t>Términos de calendario:</w:t>
          </w:r>
        </w:p>
        <w:p w14:paraId="59B95F29"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1: Tarifas:</w:t>
          </w:r>
          <w:r w:rsidRPr="009A46BB">
            <w:rPr>
              <w:rFonts w:ascii="Times New Roman" w:hAnsi="Times New Roman"/>
              <w:sz w:val="24"/>
              <w:szCs w:val="24"/>
            </w:rPr>
            <w:t xml:space="preserve"> Aprobadas según la metodología establecida por la Superintendencia General de Puertos hoy Superintendencia de Transporte.</w:t>
          </w:r>
        </w:p>
        <w:p w14:paraId="3784827C"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2: Contraprestación portuaria:</w:t>
          </w:r>
          <w:r w:rsidRPr="009A46BB">
            <w:rPr>
              <w:rFonts w:ascii="Times New Roman" w:hAnsi="Times New Roman"/>
              <w:sz w:val="24"/>
              <w:szCs w:val="24"/>
            </w:rPr>
            <w:t xml:space="preserve"> la contraprestación se debe pagar de manera anual anticipada desde el mes de septiembre de cada año</w:t>
          </w:r>
        </w:p>
        <w:p w14:paraId="718E99AC"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3: Plan de inversiones:</w:t>
          </w:r>
          <w:r w:rsidRPr="009A46BB">
            <w:rPr>
              <w:rFonts w:ascii="Times New Roman" w:hAnsi="Times New Roman"/>
              <w:sz w:val="24"/>
              <w:szCs w:val="24"/>
            </w:rPr>
            <w:t xml:space="preserve"> Se estableció en la cláusula séptima del contrato ejecución de inversiones en el periodo de tiempo comprendido entre el año 2009 a 2025.</w:t>
          </w:r>
        </w:p>
        <w:p w14:paraId="06AA5865"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4: Multas:</w:t>
          </w:r>
          <w:r w:rsidRPr="009A46BB">
            <w:rPr>
              <w:rFonts w:ascii="Times New Roman" w:hAnsi="Times New Roman"/>
              <w:sz w:val="24"/>
              <w:szCs w:val="24"/>
            </w:rPr>
            <w:t xml:space="preserve"> Cláusula décima octava del contrato 009 de 2007.</w:t>
          </w:r>
        </w:p>
        <w:p w14:paraId="500DC660"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Términos de certeza de flujos de efectivo futuros:</w:t>
          </w:r>
        </w:p>
        <w:p w14:paraId="3B8026BE"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Se otorga a EL CONCESIONARIO el derecho de ocupar y utilizar en forma temporal y exclusiva la zona de uso público que incluye el sector de playa, terrenos de bajamar y las zonas marítimas accesorias a aquellas o éstos, a cambio de la contraprestación económica.</w:t>
          </w:r>
        </w:p>
        <w:p w14:paraId="3E5B2702" w14:textId="77777777" w:rsidR="00274429" w:rsidRPr="009A46BB" w:rsidRDefault="00274429" w:rsidP="00274429">
          <w:pPr>
            <w:jc w:val="both"/>
            <w:rPr>
              <w:rFonts w:ascii="Times New Roman" w:hAnsi="Times New Roman"/>
              <w:b/>
              <w:sz w:val="24"/>
              <w:szCs w:val="24"/>
            </w:rPr>
          </w:pPr>
          <w:r w:rsidRPr="009A46BB">
            <w:rPr>
              <w:rFonts w:ascii="Times New Roman" w:hAnsi="Times New Roman"/>
              <w:sz w:val="24"/>
              <w:szCs w:val="24"/>
            </w:rPr>
            <w:t>Cláusula primera del otrosí 1 de 2009, numeral 8.1 Del valor a pagar por concepto de contraprestación por Zona de Uso público el 80% le corresponde a la Nación-INVIAS y el 20 % al municipio de San Andrés Islas (San Andrés, Providencia y Santa Catalina) y por Infraestructura el 100% a la Nación-INVIAS.</w:t>
          </w:r>
        </w:p>
        <w:p w14:paraId="49F4455A" w14:textId="1CD099BD" w:rsidR="00274429" w:rsidRPr="009A46BB" w:rsidRDefault="00274429" w:rsidP="00E60BAB">
          <w:pPr>
            <w:pStyle w:val="Prrafodelista"/>
            <w:numPr>
              <w:ilvl w:val="0"/>
              <w:numId w:val="171"/>
            </w:numPr>
            <w:jc w:val="both"/>
            <w:rPr>
              <w:rFonts w:ascii="Times New Roman" w:hAnsi="Times New Roman"/>
              <w:b/>
            </w:rPr>
          </w:pPr>
          <w:r w:rsidRPr="009A46BB">
            <w:rPr>
              <w:rFonts w:ascii="Times New Roman" w:hAnsi="Times New Roman"/>
              <w:b/>
              <w:sz w:val="24"/>
              <w:szCs w:val="24"/>
            </w:rPr>
            <w:t>Naturaleza y alcance del derecho a utilizar activos especificados, de los aspectos pactados en torno a lo que se espera que el concesionario proporcione en relación con el acuerdo de concesión.</w:t>
          </w:r>
        </w:p>
        <w:p w14:paraId="3B156E6E"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Naturaleza y alcance del derecho de uso de los activos</w:t>
          </w:r>
        </w:p>
        <w:p w14:paraId="403A388B"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w:t>
          </w:r>
          <w:r w:rsidRPr="009A46BB">
            <w:rPr>
              <w:rFonts w:ascii="Times New Roman" w:hAnsi="Times New Roman"/>
              <w:sz w:val="24"/>
              <w:szCs w:val="24"/>
            </w:rPr>
            <w:tab/>
            <w:t>las condiciones especiales de operación del puerto están establecidas en la cláusula quinta del contrato de concesión 009 de 2017.</w:t>
          </w:r>
        </w:p>
        <w:p w14:paraId="14980A62"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Área entregada en concesión</w:t>
          </w:r>
          <w:r w:rsidRPr="009A46BB">
            <w:rPr>
              <w:rFonts w:ascii="Times New Roman" w:hAnsi="Times New Roman"/>
              <w:sz w:val="24"/>
              <w:szCs w:val="24"/>
            </w:rPr>
            <w:t>: La descripción de la ubicación, linderos y extensión de los bienes de uso público (playas y terrenos de baja mar, zonas marítimas accesorias de maniobras) entregados en concesión están establecidos en la cláusula segunda contrato de concesión 009 de 2017.</w:t>
          </w:r>
        </w:p>
        <w:p w14:paraId="27D31BEF"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Infraestructura y equipos entregados en concesión</w:t>
          </w:r>
          <w:r w:rsidRPr="009A46BB">
            <w:rPr>
              <w:rFonts w:ascii="Times New Roman" w:hAnsi="Times New Roman"/>
              <w:sz w:val="24"/>
              <w:szCs w:val="24"/>
            </w:rPr>
            <w:t xml:space="preserve">: En la cláusula quinta del Contrato 009 de 2017, se describe que lo entregado en concesión fue: </w:t>
          </w:r>
        </w:p>
        <w:p w14:paraId="68E35A7E"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Infraestructura:</w:t>
          </w:r>
          <w:r w:rsidRPr="009A46BB">
            <w:rPr>
              <w:rFonts w:ascii="Times New Roman" w:hAnsi="Times New Roman"/>
              <w:sz w:val="24"/>
              <w:szCs w:val="24"/>
            </w:rPr>
            <w:t xml:space="preserve"> Muelle marginal en forma de "L", construido con una plataforma principal en concreto que mide 83.5 metros de largo por 6 metros de ancho, este muelle está equipado con 5 Bitas de amarre, un sistema de cargue y descargue y 13 defensas de caucho. El muelle se complementa en el extremo oriental con otra plataforma secundaria, igualmente en concreto de 15 metros de largo por 10 de ancho por un muelle marginal. El área del muelle está conformada por un relleno soportado por un tablestacado metálico, sujeto en su parte superior por una viga de concreto tensionada desde el interior de la planta con unos muertos de anclaje. Cuenta con protección catódica con puntos de contacto a lo largo del tablestacado y con tres ánodos de sacrificio.</w:t>
          </w:r>
        </w:p>
        <w:p w14:paraId="7513763A"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lastRenderedPageBreak/>
            <w:t>Equipos</w:t>
          </w:r>
          <w:r w:rsidRPr="009A46BB">
            <w:rPr>
              <w:rFonts w:ascii="Times New Roman" w:hAnsi="Times New Roman"/>
              <w:sz w:val="24"/>
              <w:szCs w:val="24"/>
            </w:rPr>
            <w:t>: Sistemas de bombeo y líneas de conducción</w:t>
          </w:r>
        </w:p>
        <w:p w14:paraId="06AB82D7"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Retribución al concesionario</w:t>
          </w:r>
        </w:p>
        <w:p w14:paraId="7CC717A4"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w:t>
          </w:r>
          <w:r w:rsidRPr="009A46BB">
            <w:rPr>
              <w:rFonts w:ascii="Times New Roman" w:hAnsi="Times New Roman"/>
              <w:sz w:val="24"/>
              <w:szCs w:val="24"/>
            </w:rPr>
            <w:tab/>
            <w:t>Cláusula primera Contrato 009 de 2007: Se otorga a EL CONCESIONARIO el derecho de ocupar y utilizar en forma temporal y exclusiva la zona de uso público que incluye el sector de playa, terrenos de bajamar y las zonas marítimas accesorias a aquellas o éstos, a cambio de la contraprestación económica.</w:t>
          </w:r>
        </w:p>
        <w:p w14:paraId="7CE2EEDA"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Tasa de retribución:</w:t>
          </w:r>
          <w:r w:rsidRPr="009A46BB">
            <w:rPr>
              <w:rFonts w:ascii="Times New Roman" w:hAnsi="Times New Roman"/>
              <w:sz w:val="24"/>
              <w:szCs w:val="24"/>
            </w:rPr>
            <w:tab/>
            <w:t>N/A</w:t>
          </w:r>
        </w:p>
        <w:p w14:paraId="28F22033" w14:textId="23D37543" w:rsidR="00274429" w:rsidRPr="009A46BB" w:rsidRDefault="00274429" w:rsidP="00E60BAB">
          <w:pPr>
            <w:pStyle w:val="Prrafodelista"/>
            <w:numPr>
              <w:ilvl w:val="0"/>
              <w:numId w:val="171"/>
            </w:numPr>
            <w:jc w:val="both"/>
            <w:rPr>
              <w:rFonts w:ascii="Times New Roman" w:hAnsi="Times New Roman"/>
              <w:b/>
            </w:rPr>
          </w:pPr>
          <w:r w:rsidRPr="009A46BB">
            <w:rPr>
              <w:rFonts w:ascii="Times New Roman" w:hAnsi="Times New Roman"/>
              <w:b/>
              <w:sz w:val="24"/>
              <w:szCs w:val="24"/>
            </w:rPr>
            <w:t>Derechos a recibir activos especificados al final del acuerdo de concesión</w:t>
          </w:r>
        </w:p>
        <w:p w14:paraId="6BCA19DE"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w:t>
          </w:r>
          <w:r w:rsidRPr="009A46BB">
            <w:rPr>
              <w:rFonts w:ascii="Times New Roman" w:hAnsi="Times New Roman"/>
              <w:sz w:val="24"/>
              <w:szCs w:val="24"/>
            </w:rPr>
            <w:tab/>
            <w:t>De acuerdo con el Artículo 8º de la Ley 1 de 1991 en el modo portuario el concesionario no tiene derechos finales sobre activos los debe revertir a la Nación al final del contrato de concesión.</w:t>
          </w:r>
        </w:p>
        <w:p w14:paraId="434F5594" w14:textId="00F995E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Reversión:</w:t>
          </w:r>
          <w:r w:rsidRPr="009A46BB">
            <w:rPr>
              <w:rFonts w:ascii="Times New Roman" w:hAnsi="Times New Roman"/>
              <w:sz w:val="24"/>
              <w:szCs w:val="24"/>
            </w:rPr>
            <w:t xml:space="preserve"> De acuerdo con lo establecido en la cláusula décimo segunda del contrato de concesión, la zona de uso público y todas las construcciones y equipos entregadas en concesión se revertirán a la Naciónen buenas condiciones de operación tecnológica, mantenimiento y de adecuada eficiencia al término de este contrato y de las prórrogas si la hubiere. Igualmente procederá la reversión al ser declarado la caducidad o la terminación unilateral.</w:t>
          </w:r>
        </w:p>
        <w:p w14:paraId="5592F963"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Para tal fin, en el momento de la reversión el CONCESIONARIO elaborará un inventario de los bienes y los enviará para su revisión y aprobación.</w:t>
          </w:r>
        </w:p>
        <w:p w14:paraId="02763704"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La ANI es la entidad concedente pero la titularidad de los activos al final de la concesión es del Instituto Nacional de Vías INVIAS.</w:t>
          </w:r>
        </w:p>
        <w:p w14:paraId="0C294516" w14:textId="684D6873" w:rsidR="00274429" w:rsidRPr="009A46BB" w:rsidRDefault="008B5750" w:rsidP="00E60BAB">
          <w:pPr>
            <w:pStyle w:val="Prrafodelista"/>
            <w:numPr>
              <w:ilvl w:val="0"/>
              <w:numId w:val="171"/>
            </w:numPr>
            <w:jc w:val="both"/>
            <w:rPr>
              <w:rFonts w:ascii="Times New Roman" w:hAnsi="Times New Roman"/>
              <w:b/>
            </w:rPr>
          </w:pPr>
          <w:r w:rsidRPr="009A46BB">
            <w:rPr>
              <w:rFonts w:ascii="Times New Roman" w:hAnsi="Times New Roman"/>
              <w:b/>
              <w:sz w:val="24"/>
              <w:szCs w:val="24"/>
            </w:rPr>
            <w:t>No hay c</w:t>
          </w:r>
          <w:r w:rsidR="00274429" w:rsidRPr="009A46BB">
            <w:rPr>
              <w:rFonts w:ascii="Times New Roman" w:hAnsi="Times New Roman"/>
              <w:b/>
              <w:sz w:val="24"/>
              <w:szCs w:val="24"/>
            </w:rPr>
            <w:t>ambios en el acuerdo de concesión que se realicen durante el periodo fiscal</w:t>
          </w:r>
        </w:p>
        <w:p w14:paraId="264C0C0D" w14:textId="504C4806" w:rsidR="00274429" w:rsidRPr="009A46BB" w:rsidRDefault="00274429" w:rsidP="00274429">
          <w:pPr>
            <w:jc w:val="both"/>
            <w:rPr>
              <w:rFonts w:ascii="Times New Roman" w:hAnsi="Times New Roman"/>
              <w:sz w:val="24"/>
              <w:szCs w:val="24"/>
            </w:rPr>
          </w:pPr>
        </w:p>
        <w:p w14:paraId="4E771BE4" w14:textId="77777777" w:rsidR="00274429" w:rsidRPr="009A46BB" w:rsidRDefault="00274429" w:rsidP="00274429">
          <w:pPr>
            <w:jc w:val="both"/>
            <w:rPr>
              <w:rFonts w:ascii="Times New Roman" w:hAnsi="Times New Roman"/>
              <w:sz w:val="24"/>
              <w:szCs w:val="24"/>
            </w:rPr>
          </w:pPr>
        </w:p>
        <w:p w14:paraId="4A75C7DE" w14:textId="53E09D00" w:rsidR="00274429" w:rsidRPr="009A46BB" w:rsidRDefault="008B5750" w:rsidP="008B5750">
          <w:pPr>
            <w:spacing w:line="259" w:lineRule="auto"/>
            <w:jc w:val="both"/>
            <w:rPr>
              <w:rFonts w:ascii="Times New Roman" w:hAnsi="Times New Roman"/>
              <w:b/>
              <w:sz w:val="24"/>
              <w:szCs w:val="24"/>
            </w:rPr>
          </w:pPr>
          <w:r w:rsidRPr="009A46BB">
            <w:rPr>
              <w:rFonts w:ascii="Times New Roman" w:hAnsi="Times New Roman"/>
              <w:b/>
              <w:sz w:val="24"/>
              <w:szCs w:val="24"/>
            </w:rPr>
            <w:t>SOCIEDAD PUERTO INDUSTRIAL AGUADULCE S.A.</w:t>
          </w:r>
        </w:p>
        <w:p w14:paraId="34DE676C" w14:textId="3AD2F21B" w:rsidR="00274429" w:rsidRPr="009A46BB" w:rsidRDefault="00274429" w:rsidP="00E60BAB">
          <w:pPr>
            <w:pStyle w:val="Prrafodelista"/>
            <w:numPr>
              <w:ilvl w:val="0"/>
              <w:numId w:val="142"/>
            </w:numPr>
            <w:jc w:val="both"/>
            <w:rPr>
              <w:rFonts w:ascii="Times New Roman" w:hAnsi="Times New Roman"/>
              <w:b/>
            </w:rPr>
          </w:pPr>
          <w:r w:rsidRPr="009A46BB">
            <w:rPr>
              <w:rFonts w:ascii="Times New Roman" w:hAnsi="Times New Roman"/>
              <w:b/>
              <w:sz w:val="24"/>
              <w:szCs w:val="24"/>
            </w:rPr>
            <w:t>Descripción del acuerdo</w:t>
          </w:r>
        </w:p>
        <w:p w14:paraId="4FF54196" w14:textId="3F6D28D7" w:rsidR="00274429" w:rsidRPr="009A46BB" w:rsidRDefault="00274429" w:rsidP="6A0940DB">
          <w:pPr>
            <w:spacing w:after="0"/>
            <w:jc w:val="both"/>
            <w:rPr>
              <w:rFonts w:ascii="Times New Roman" w:hAnsi="Times New Roman"/>
              <w:sz w:val="24"/>
              <w:szCs w:val="24"/>
            </w:rPr>
          </w:pPr>
          <w:r w:rsidRPr="009A46BB">
            <w:rPr>
              <w:rFonts w:ascii="Times New Roman" w:hAnsi="Times New Roman"/>
              <w:b/>
              <w:sz w:val="24"/>
              <w:szCs w:val="24"/>
            </w:rPr>
            <w:t>Número del acuerdo de concesión:</w:t>
          </w:r>
          <w:r w:rsidR="008B5750" w:rsidRPr="009A46BB">
            <w:rPr>
              <w:rFonts w:ascii="Times New Roman" w:hAnsi="Times New Roman"/>
              <w:b/>
              <w:sz w:val="24"/>
              <w:szCs w:val="24"/>
            </w:rPr>
            <w:t xml:space="preserve"> </w:t>
          </w:r>
          <w:r w:rsidRPr="009A46BB">
            <w:rPr>
              <w:rFonts w:ascii="Times New Roman" w:hAnsi="Times New Roman"/>
              <w:sz w:val="24"/>
              <w:szCs w:val="24"/>
            </w:rPr>
            <w:t>Contrato de Concesión Portuaria No. 010 de 2007.</w:t>
          </w:r>
        </w:p>
        <w:p w14:paraId="0BAF4A2B" w14:textId="01F86AAE" w:rsidR="00274429" w:rsidRPr="009A46BB" w:rsidRDefault="00274429" w:rsidP="6A0940DB">
          <w:pPr>
            <w:spacing w:after="0"/>
            <w:jc w:val="both"/>
            <w:rPr>
              <w:rFonts w:ascii="Times New Roman" w:hAnsi="Times New Roman"/>
              <w:sz w:val="24"/>
              <w:szCs w:val="24"/>
            </w:rPr>
          </w:pPr>
          <w:r w:rsidRPr="009A46BB">
            <w:rPr>
              <w:rFonts w:ascii="Times New Roman" w:hAnsi="Times New Roman"/>
              <w:b/>
              <w:sz w:val="24"/>
              <w:szCs w:val="24"/>
            </w:rPr>
            <w:t>Objeto / Descripción:</w:t>
          </w:r>
          <w:r w:rsidR="008B5750" w:rsidRPr="009A46BB">
            <w:rPr>
              <w:rFonts w:ascii="Times New Roman" w:hAnsi="Times New Roman"/>
              <w:b/>
              <w:sz w:val="24"/>
              <w:szCs w:val="24"/>
            </w:rPr>
            <w:t xml:space="preserve"> </w:t>
          </w:r>
          <w:r w:rsidRPr="009A46BB">
            <w:rPr>
              <w:rFonts w:ascii="Times New Roman" w:hAnsi="Times New Roman"/>
              <w:sz w:val="24"/>
              <w:szCs w:val="24"/>
            </w:rPr>
            <w:t>Otorgar formalmente a la SOCIEDAD PUERTO INDUSTRIAL DE AGUADULCE S.A. una concesión portuaria para ocupar y utilizar en forma temporal y exclusiva la zona de uso público que incluye el sector de playa, terrenos de bajamar y las zonas marítimas accesorias a aquellos o estos, que se encuentran ubicados en la Bahía Interior de Buenaventura, por el termino de treinta (30) años, a cambio de la contraprestación establecida en la Cláusula Octavade este contrato, para la planeación, construcción, establecimiento, administración y operación de un puerto multipropósito de servicio público orientado a la satisfacción de los requerimientos y necesidades del tráfico y el comercio nacional e internacional.</w:t>
          </w:r>
        </w:p>
        <w:p w14:paraId="1580F35A" w14:textId="7DA774C9" w:rsidR="00274429" w:rsidRPr="009A46BB" w:rsidRDefault="00274429" w:rsidP="6A0940DB">
          <w:pPr>
            <w:spacing w:after="0"/>
            <w:jc w:val="both"/>
            <w:rPr>
              <w:rFonts w:ascii="Times New Roman" w:hAnsi="Times New Roman"/>
              <w:sz w:val="24"/>
              <w:szCs w:val="24"/>
            </w:rPr>
          </w:pPr>
          <w:r w:rsidRPr="009A46BB">
            <w:rPr>
              <w:rFonts w:ascii="Times New Roman" w:hAnsi="Times New Roman"/>
              <w:b/>
              <w:sz w:val="24"/>
              <w:szCs w:val="24"/>
            </w:rPr>
            <w:lastRenderedPageBreak/>
            <w:t>Valor inicial:</w:t>
          </w:r>
          <w:r w:rsidR="008B5750" w:rsidRPr="009A46BB">
            <w:rPr>
              <w:rFonts w:ascii="Times New Roman" w:hAnsi="Times New Roman"/>
              <w:b/>
              <w:sz w:val="24"/>
              <w:szCs w:val="24"/>
            </w:rPr>
            <w:t xml:space="preserve"> </w:t>
          </w:r>
          <w:r w:rsidRPr="009A46BB">
            <w:rPr>
              <w:rFonts w:ascii="Times New Roman" w:hAnsi="Times New Roman"/>
              <w:sz w:val="24"/>
              <w:szCs w:val="24"/>
            </w:rPr>
            <w:t>USD $11.910.002 Cláusula Octava/Contrato No. 010 de 2007.</w:t>
          </w:r>
        </w:p>
        <w:p w14:paraId="39654445" w14:textId="5F8FE6DB" w:rsidR="00274429" w:rsidRPr="009A46BB" w:rsidRDefault="00274429" w:rsidP="6A0940DB">
          <w:pPr>
            <w:spacing w:after="0"/>
            <w:jc w:val="both"/>
            <w:rPr>
              <w:rFonts w:ascii="Times New Roman" w:hAnsi="Times New Roman"/>
              <w:sz w:val="24"/>
              <w:szCs w:val="24"/>
            </w:rPr>
          </w:pPr>
          <w:r w:rsidRPr="009A46BB">
            <w:rPr>
              <w:rFonts w:ascii="Times New Roman" w:hAnsi="Times New Roman"/>
              <w:b/>
              <w:sz w:val="24"/>
              <w:szCs w:val="24"/>
            </w:rPr>
            <w:t>Fecha de inicio:</w:t>
          </w:r>
          <w:r w:rsidR="008B5750" w:rsidRPr="009A46BB">
            <w:rPr>
              <w:rFonts w:ascii="Times New Roman" w:hAnsi="Times New Roman"/>
              <w:b/>
              <w:sz w:val="24"/>
              <w:szCs w:val="24"/>
            </w:rPr>
            <w:t xml:space="preserve"> </w:t>
          </w:r>
          <w:r w:rsidRPr="009A46BB">
            <w:rPr>
              <w:rFonts w:ascii="Times New Roman" w:hAnsi="Times New Roman"/>
              <w:sz w:val="24"/>
              <w:szCs w:val="24"/>
            </w:rPr>
            <w:t>28/12/2007</w:t>
          </w:r>
        </w:p>
        <w:p w14:paraId="7186E011" w14:textId="0BAC4A27" w:rsidR="00274429" w:rsidRPr="009A46BB" w:rsidRDefault="00274429" w:rsidP="6A0940DB">
          <w:pPr>
            <w:spacing w:after="0"/>
            <w:jc w:val="both"/>
            <w:rPr>
              <w:rFonts w:ascii="Times New Roman" w:hAnsi="Times New Roman"/>
              <w:sz w:val="24"/>
              <w:szCs w:val="24"/>
            </w:rPr>
          </w:pPr>
          <w:r w:rsidRPr="009A46BB">
            <w:rPr>
              <w:rFonts w:ascii="Times New Roman" w:hAnsi="Times New Roman"/>
              <w:b/>
              <w:sz w:val="24"/>
              <w:szCs w:val="24"/>
            </w:rPr>
            <w:t>Fecha de finalización estimada:</w:t>
          </w:r>
          <w:r w:rsidR="008B5750" w:rsidRPr="009A46BB">
            <w:rPr>
              <w:rFonts w:ascii="Times New Roman" w:hAnsi="Times New Roman"/>
              <w:b/>
              <w:sz w:val="24"/>
              <w:szCs w:val="24"/>
            </w:rPr>
            <w:t xml:space="preserve"> </w:t>
          </w:r>
          <w:r w:rsidRPr="009A46BB">
            <w:rPr>
              <w:rFonts w:ascii="Times New Roman" w:hAnsi="Times New Roman"/>
              <w:sz w:val="24"/>
              <w:szCs w:val="24"/>
            </w:rPr>
            <w:t>27/12/2037</w:t>
          </w:r>
        </w:p>
        <w:p w14:paraId="11204168" w14:textId="6A8348F7" w:rsidR="00274429" w:rsidRPr="009A46BB" w:rsidRDefault="00274429" w:rsidP="6A0940DB">
          <w:pPr>
            <w:spacing w:after="0"/>
            <w:jc w:val="both"/>
            <w:rPr>
              <w:rFonts w:ascii="Times New Roman" w:hAnsi="Times New Roman"/>
              <w:sz w:val="24"/>
              <w:szCs w:val="24"/>
            </w:rPr>
          </w:pPr>
          <w:r w:rsidRPr="009A46BB">
            <w:rPr>
              <w:rFonts w:ascii="Times New Roman" w:hAnsi="Times New Roman"/>
              <w:b/>
              <w:sz w:val="24"/>
              <w:szCs w:val="24"/>
            </w:rPr>
            <w:t>Tipo ID:</w:t>
          </w:r>
          <w:r w:rsidR="008B5750" w:rsidRPr="009A46BB">
            <w:rPr>
              <w:rFonts w:ascii="Times New Roman" w:hAnsi="Times New Roman"/>
              <w:b/>
              <w:sz w:val="24"/>
              <w:szCs w:val="24"/>
            </w:rPr>
            <w:t xml:space="preserve"> </w:t>
          </w:r>
          <w:r w:rsidRPr="009A46BB">
            <w:rPr>
              <w:rFonts w:ascii="Times New Roman" w:hAnsi="Times New Roman"/>
              <w:sz w:val="24"/>
              <w:szCs w:val="24"/>
            </w:rPr>
            <w:t>NIT</w:t>
          </w:r>
        </w:p>
        <w:p w14:paraId="6AD648E0" w14:textId="031F7E2A" w:rsidR="00274429" w:rsidRPr="009A46BB" w:rsidRDefault="00274429" w:rsidP="6A0940DB">
          <w:pPr>
            <w:spacing w:after="0"/>
            <w:jc w:val="both"/>
            <w:rPr>
              <w:rFonts w:ascii="Times New Roman" w:hAnsi="Times New Roman"/>
              <w:sz w:val="24"/>
              <w:szCs w:val="24"/>
            </w:rPr>
          </w:pPr>
          <w:r w:rsidRPr="009A46BB">
            <w:rPr>
              <w:rFonts w:ascii="Times New Roman" w:hAnsi="Times New Roman"/>
              <w:b/>
              <w:sz w:val="24"/>
              <w:szCs w:val="24"/>
            </w:rPr>
            <w:t>Número ID</w:t>
          </w:r>
          <w:r w:rsidRPr="009A46BB">
            <w:rPr>
              <w:rFonts w:ascii="Times New Roman" w:hAnsi="Times New Roman"/>
              <w:sz w:val="24"/>
              <w:szCs w:val="24"/>
            </w:rPr>
            <w:t>:</w:t>
          </w:r>
          <w:r w:rsidR="008B5750" w:rsidRPr="009A46BB">
            <w:rPr>
              <w:rFonts w:ascii="Times New Roman" w:hAnsi="Times New Roman"/>
              <w:sz w:val="24"/>
              <w:szCs w:val="24"/>
            </w:rPr>
            <w:t xml:space="preserve"> </w:t>
          </w:r>
          <w:r w:rsidRPr="009A46BB">
            <w:rPr>
              <w:rFonts w:ascii="Times New Roman" w:hAnsi="Times New Roman"/>
              <w:sz w:val="24"/>
              <w:szCs w:val="24"/>
            </w:rPr>
            <w:t>835.000.149-8.</w:t>
          </w:r>
        </w:p>
        <w:p w14:paraId="308D24DD" w14:textId="4705D011" w:rsidR="00274429" w:rsidRPr="009A46BB" w:rsidRDefault="00274429" w:rsidP="6A0940DB">
          <w:pPr>
            <w:spacing w:after="0"/>
            <w:jc w:val="both"/>
            <w:rPr>
              <w:rFonts w:ascii="Times New Roman" w:hAnsi="Times New Roman"/>
              <w:sz w:val="24"/>
              <w:szCs w:val="24"/>
            </w:rPr>
          </w:pPr>
          <w:r w:rsidRPr="009A46BB">
            <w:rPr>
              <w:rFonts w:ascii="Times New Roman" w:hAnsi="Times New Roman"/>
              <w:b/>
              <w:sz w:val="24"/>
              <w:szCs w:val="24"/>
            </w:rPr>
            <w:t>Razón social del concesionario:</w:t>
          </w:r>
          <w:r w:rsidR="008B5750" w:rsidRPr="009A46BB">
            <w:rPr>
              <w:rFonts w:ascii="Times New Roman" w:hAnsi="Times New Roman"/>
              <w:b/>
              <w:sz w:val="24"/>
              <w:szCs w:val="24"/>
            </w:rPr>
            <w:t xml:space="preserve"> </w:t>
          </w:r>
          <w:r w:rsidRPr="009A46BB">
            <w:rPr>
              <w:rFonts w:ascii="Times New Roman" w:hAnsi="Times New Roman"/>
              <w:sz w:val="24"/>
              <w:szCs w:val="24"/>
            </w:rPr>
            <w:t>Sociedad Puerto Industrial Aguadulce S.A.</w:t>
          </w:r>
        </w:p>
        <w:p w14:paraId="79DAB1BC" w14:textId="59E12743" w:rsidR="00274429" w:rsidRPr="009A46BB" w:rsidRDefault="00274429" w:rsidP="6A0940DB">
          <w:pPr>
            <w:spacing w:after="0"/>
            <w:jc w:val="both"/>
            <w:rPr>
              <w:rFonts w:ascii="Times New Roman" w:hAnsi="Times New Roman"/>
              <w:sz w:val="24"/>
              <w:szCs w:val="24"/>
            </w:rPr>
          </w:pPr>
          <w:r w:rsidRPr="009A46BB">
            <w:rPr>
              <w:rFonts w:ascii="Times New Roman" w:hAnsi="Times New Roman"/>
              <w:b/>
              <w:sz w:val="24"/>
              <w:szCs w:val="24"/>
            </w:rPr>
            <w:t>Nombre del proyecto:</w:t>
          </w:r>
          <w:r w:rsidR="008B5750" w:rsidRPr="009A46BB">
            <w:rPr>
              <w:rFonts w:ascii="Times New Roman" w:hAnsi="Times New Roman"/>
              <w:b/>
              <w:sz w:val="24"/>
              <w:szCs w:val="24"/>
            </w:rPr>
            <w:t xml:space="preserve"> </w:t>
          </w:r>
          <w:r w:rsidRPr="009A46BB">
            <w:rPr>
              <w:rFonts w:ascii="Times New Roman" w:hAnsi="Times New Roman"/>
              <w:sz w:val="24"/>
              <w:szCs w:val="24"/>
            </w:rPr>
            <w:t>Sociedad Puerto Industrial Aguadulce S.A.</w:t>
          </w:r>
        </w:p>
        <w:p w14:paraId="55E184AA"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b.</w:t>
          </w:r>
          <w:r w:rsidRPr="009A46BB">
            <w:rPr>
              <w:rFonts w:ascii="Times New Roman" w:hAnsi="Times New Roman"/>
              <w:b/>
              <w:sz w:val="24"/>
              <w:szCs w:val="24"/>
            </w:rPr>
            <w:tab/>
            <w:t xml:space="preserve">Términos significativos del acuerdo que puedan afectar su valor, el calendario y la certeza de los flujos </w:t>
          </w:r>
        </w:p>
        <w:p w14:paraId="47AB41E7"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Términos de valor:</w:t>
          </w:r>
        </w:p>
        <w:p w14:paraId="100C1416"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Tarifas:</w:t>
          </w:r>
          <w:r w:rsidRPr="009A46BB">
            <w:rPr>
              <w:rFonts w:ascii="Times New Roman" w:hAnsi="Times New Roman"/>
              <w:sz w:val="24"/>
              <w:szCs w:val="24"/>
            </w:rPr>
            <w:t xml:space="preserve"> Las sociedades portuarias que operan puertos de servicio público las tarifas requieren ser aprobadas según la metodología establecida por la Superintendencia General de Puertos hoy Superintendencia de Transporte. </w:t>
          </w:r>
        </w:p>
        <w:p w14:paraId="3A6B4950"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Contraprestación portuaria:</w:t>
          </w:r>
          <w:r w:rsidRPr="009A46BB">
            <w:rPr>
              <w:rFonts w:ascii="Times New Roman" w:hAnsi="Times New Roman"/>
              <w:sz w:val="24"/>
              <w:szCs w:val="24"/>
            </w:rPr>
            <w:t xml:space="preserve"> De acuerdo con el último documento contractual vigente la metodología de contraprestación vigente es CONPES 2680 DE 1993 (Productividad). Se establece en la cláusula octava del Contrato que el CONCESIONARIO deberá pagar por concepto de zona de uso público la suma anual de (USD 1.424.303), de dicho pago el 80% le corresponde a la Nación Instituto nacional de vías (INVIAS) y el 20% restante al municipio de Buenaventura de acuerdo con lo establecido en el parágrafo 1 del artículo 1 de la ley 856 del 21 de diciembre de 2003, que modifica el artículo 7 de la ley 1ª de 1991. </w:t>
          </w:r>
        </w:p>
        <w:p w14:paraId="40E85A2E"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Plan de Inversiones:</w:t>
          </w:r>
          <w:r w:rsidRPr="009A46BB">
            <w:rPr>
              <w:rFonts w:ascii="Times New Roman" w:hAnsi="Times New Roman"/>
              <w:sz w:val="24"/>
              <w:szCs w:val="24"/>
            </w:rPr>
            <w:t xml:space="preserve"> está establecido en la cláusula séptima del contrato, modificado por la Otrosí No.3 de 2014 que estableció en la cláusula segunda, el plan de inversión será de USD 322.019.889 en valores corrientes. </w:t>
          </w:r>
        </w:p>
        <w:p w14:paraId="2CD86191"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Obligaciones del CONCESIONARIO:</w:t>
          </w:r>
          <w:r w:rsidRPr="009A46BB">
            <w:rPr>
              <w:rFonts w:ascii="Times New Roman" w:hAnsi="Times New Roman"/>
              <w:sz w:val="24"/>
              <w:szCs w:val="24"/>
            </w:rPr>
            <w:t xml:space="preserve"> se encuentran descritas en la cláusula décima quinta. </w:t>
          </w:r>
        </w:p>
        <w:p w14:paraId="0423BCC3" w14:textId="32214BB0"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Multas y sanciones:</w:t>
          </w:r>
          <w:r w:rsidRPr="009A46BB">
            <w:rPr>
              <w:rFonts w:ascii="Times New Roman" w:hAnsi="Times New Roman"/>
              <w:sz w:val="24"/>
              <w:szCs w:val="24"/>
            </w:rPr>
            <w:t xml:space="preserve"> están establecidas en la cláusula décima octava.Al 31 de diciembre de 2019 no se han fijado multas. </w:t>
          </w:r>
        </w:p>
        <w:p w14:paraId="6A0D4A72"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Penal pecuniaria:</w:t>
          </w:r>
          <w:r w:rsidRPr="009A46BB">
            <w:rPr>
              <w:rFonts w:ascii="Times New Roman" w:hAnsi="Times New Roman"/>
              <w:sz w:val="24"/>
              <w:szCs w:val="24"/>
            </w:rPr>
            <w:t xml:space="preserve"> En la cláusula décima novena se establece que en el evento en que el INCO hoy ANI declare la caducidad o el incumplimiento del presente contrato se podrá imponer una penalidad pecuniaria. </w:t>
          </w:r>
        </w:p>
        <w:p w14:paraId="1AEDEDCE"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Riesgos:</w:t>
          </w:r>
          <w:r w:rsidRPr="009A46BB">
            <w:rPr>
              <w:rFonts w:ascii="Times New Roman" w:hAnsi="Times New Roman"/>
              <w:sz w:val="24"/>
              <w:szCs w:val="24"/>
            </w:rPr>
            <w:t xml:space="preserve"> están descritos en la cláusula décima segunda del Otrosí No. 1 de 2009, el CONCESIONARIO acepta la totalidad de los riesgos inherentes a la ejecución del contrato en su etapa preoperativa, de construcciones operación, y de reversión, serán asumidos por EL, y que la ocurrencia de algún riesgo no dará derecho a indemnización o reconocimiento alguno a favor del CONCESIONARIO. </w:t>
          </w:r>
        </w:p>
        <w:p w14:paraId="34C8AB03"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Términos de calendario:</w:t>
          </w:r>
        </w:p>
        <w:p w14:paraId="11556E41"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Tarifas:</w:t>
          </w:r>
          <w:r w:rsidRPr="009A46BB">
            <w:rPr>
              <w:rFonts w:ascii="Times New Roman" w:hAnsi="Times New Roman"/>
              <w:sz w:val="24"/>
              <w:szCs w:val="24"/>
            </w:rPr>
            <w:t xml:space="preserve"> Aprobadas según la metodología establecida por la Superintendencia General de Puertos hoy Superintendencia de Transporte.</w:t>
          </w:r>
        </w:p>
        <w:p w14:paraId="15737720"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lastRenderedPageBreak/>
            <w:t>Contraprestación portuaria:</w:t>
          </w:r>
          <w:r w:rsidRPr="009A46BB">
            <w:rPr>
              <w:rFonts w:ascii="Times New Roman" w:hAnsi="Times New Roman"/>
              <w:sz w:val="24"/>
              <w:szCs w:val="24"/>
            </w:rPr>
            <w:t xml:space="preserve"> la contraprestación se debe pagar de manera anual anticipada desde el mes de enero de cada año</w:t>
          </w:r>
        </w:p>
        <w:p w14:paraId="09ADD35B"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Plan de inversiones:</w:t>
          </w:r>
          <w:r w:rsidRPr="009A46BB">
            <w:rPr>
              <w:rFonts w:ascii="Times New Roman" w:hAnsi="Times New Roman"/>
              <w:sz w:val="24"/>
              <w:szCs w:val="24"/>
            </w:rPr>
            <w:t xml:space="preserve"> Se estableció en la Resolución 1118 de 2016, la ejecución de inversiones en el periodo de tiempo comprendido entre el año 2013 a 2021.</w:t>
          </w:r>
        </w:p>
        <w:p w14:paraId="6C91FD88" w14:textId="42615FF0"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Multas:</w:t>
          </w:r>
          <w:r w:rsidRPr="009A46BB">
            <w:rPr>
              <w:rFonts w:ascii="Times New Roman" w:hAnsi="Times New Roman"/>
              <w:sz w:val="24"/>
              <w:szCs w:val="24"/>
            </w:rPr>
            <w:t xml:space="preserve"> están establecidas en la cláusula décima octava.</w:t>
          </w:r>
        </w:p>
        <w:p w14:paraId="37B84271"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Términos de certeza de flujos de efectivo futuros:</w:t>
          </w:r>
        </w:p>
        <w:p w14:paraId="32D9C297"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Se otorga a EL CONCESIONARIO el derecho de ocupar y utilizar en forma temporal y exclusiva las playas, los terrenos de bajamar y zonas accesorias a aquellas o estos, descritos en la cláusula primera del contrato, a cambio de la contraprestación económica.</w:t>
          </w:r>
        </w:p>
        <w:p w14:paraId="670AF704"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Cláusula sexta, parágrafo segundo Del valor a pagar por concepto de contraprestación por Zona de Uso público el 80% le corresponde a la Nación-INVIAS y el 20 % al municipio de Buenaventura y por Infraestructura el 100% a la Nación-INVIAS.</w:t>
          </w:r>
        </w:p>
        <w:p w14:paraId="2AB33E54" w14:textId="35B2B13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c.</w:t>
          </w:r>
          <w:r w:rsidR="03363ED3" w:rsidRPr="6A0940DB">
            <w:rPr>
              <w:rFonts w:ascii="Times New Roman" w:hAnsi="Times New Roman"/>
              <w:b/>
              <w:bCs/>
              <w:sz w:val="24"/>
              <w:szCs w:val="24"/>
            </w:rPr>
            <w:t xml:space="preserve"> </w:t>
          </w:r>
          <w:r w:rsidRPr="009A46BB">
            <w:rPr>
              <w:rFonts w:ascii="Times New Roman" w:hAnsi="Times New Roman"/>
              <w:b/>
              <w:sz w:val="24"/>
              <w:szCs w:val="24"/>
            </w:rPr>
            <w:t xml:space="preserve">Naturaleza y alcance del derecho a utilizar activos especificados, de los aspectos pactados en torno a lo que se espera que el concesionario proporcione en relación con el acuerdo de concesión. </w:t>
          </w:r>
        </w:p>
        <w:p w14:paraId="396AE93E"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Naturaleza y alcance del derecho de uso de los activos</w:t>
          </w:r>
        </w:p>
        <w:p w14:paraId="5582C95D"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Descripción:</w:t>
          </w:r>
          <w:r w:rsidRPr="009A46BB">
            <w:rPr>
              <w:rFonts w:ascii="Times New Roman" w:hAnsi="Times New Roman"/>
              <w:b/>
              <w:sz w:val="24"/>
              <w:szCs w:val="24"/>
            </w:rPr>
            <w:tab/>
          </w:r>
        </w:p>
        <w:p w14:paraId="1573C676"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Activos reconocidos</w:t>
          </w:r>
        </w:p>
        <w:p w14:paraId="15914FE5"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Alcance del derecho de uso de los activos:</w:t>
          </w:r>
        </w:p>
        <w:p w14:paraId="02B2D26C"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 del proyecto, especificaciones técnicas, modalidades de operación:</w:t>
          </w:r>
          <w:r w:rsidRPr="009A46BB">
            <w:rPr>
              <w:rFonts w:ascii="Times New Roman" w:hAnsi="Times New Roman"/>
              <w:sz w:val="24"/>
              <w:szCs w:val="24"/>
            </w:rPr>
            <w:t xml:space="preserve"> Las condiciones especiales de operación del puerto están establecidas en la Cláusula Primera del Otrosí No. 3 de 2014, el cual modifica la Clausula Tercera del Otrosí No. 1 de 2009 que a su vez modifico la Clausula Quinta del Contrato de Concesión portuaria.</w:t>
          </w:r>
        </w:p>
        <w:p w14:paraId="213F1EA0"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Área entregada en concesión</w:t>
          </w:r>
          <w:r w:rsidRPr="009A46BB">
            <w:rPr>
              <w:rFonts w:ascii="Times New Roman" w:hAnsi="Times New Roman"/>
              <w:sz w:val="24"/>
              <w:szCs w:val="24"/>
            </w:rPr>
            <w:t xml:space="preserve">: La descripción de la ubicación, linderos y extensión de los bienes de uso público (playas, terrenos de baja mar, las aguas accesorias y de maniobra) entregados en concesión están establecidos en la Cláusula Segunda del Otrosí No. 1 de 2009 </w:t>
          </w:r>
        </w:p>
        <w:p w14:paraId="0D86AC1C"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Infraestructura y equipos entregados en concesión:</w:t>
          </w:r>
          <w:r w:rsidRPr="009A46BB">
            <w:rPr>
              <w:rFonts w:ascii="Times New Roman" w:hAnsi="Times New Roman"/>
              <w:sz w:val="24"/>
              <w:szCs w:val="24"/>
            </w:rPr>
            <w:t xml:space="preserve"> En el contrato de concesión portuaria no fueron entregados activos relacionados con infraestructura y equipos.</w:t>
          </w:r>
        </w:p>
        <w:p w14:paraId="02855956"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Retribución al concesionario</w:t>
          </w:r>
        </w:p>
        <w:p w14:paraId="50C0DD55"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w:t>
          </w:r>
          <w:r w:rsidRPr="009A46BB">
            <w:rPr>
              <w:rFonts w:ascii="Times New Roman" w:hAnsi="Times New Roman"/>
              <w:sz w:val="24"/>
              <w:szCs w:val="24"/>
            </w:rPr>
            <w:tab/>
            <w:t>Cláusula primera Contrato 010 de 2010: Se otorga a EL CONCESIONARIO el derecho de ocupar y utilizar en forma temporal y exclusiva las playas, los terrenos de bajamar y zonas accesorias a aquellas o estos, descritos en la cláusula segunda del contrato, a cambio de la contraprestación económica.</w:t>
          </w:r>
        </w:p>
        <w:p w14:paraId="11F7DC5A"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Tasa de retribución:</w:t>
          </w:r>
          <w:r w:rsidRPr="009A46BB">
            <w:rPr>
              <w:rFonts w:ascii="Times New Roman" w:hAnsi="Times New Roman"/>
              <w:b/>
              <w:sz w:val="24"/>
              <w:szCs w:val="24"/>
            </w:rPr>
            <w:tab/>
          </w:r>
          <w:r w:rsidRPr="009A46BB">
            <w:rPr>
              <w:rFonts w:ascii="Times New Roman" w:hAnsi="Times New Roman"/>
              <w:sz w:val="24"/>
              <w:szCs w:val="24"/>
            </w:rPr>
            <w:t>N/A</w:t>
          </w:r>
        </w:p>
        <w:p w14:paraId="6CCD2456" w14:textId="31541CF2"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lastRenderedPageBreak/>
            <w:t>d.</w:t>
          </w:r>
          <w:r w:rsidR="28D92CC0" w:rsidRPr="6A0940DB">
            <w:rPr>
              <w:rFonts w:ascii="Times New Roman" w:hAnsi="Times New Roman"/>
              <w:b/>
              <w:bCs/>
              <w:sz w:val="24"/>
              <w:szCs w:val="24"/>
            </w:rPr>
            <w:t xml:space="preserve"> </w:t>
          </w:r>
          <w:r w:rsidRPr="009A46BB">
            <w:rPr>
              <w:rFonts w:ascii="Times New Roman" w:hAnsi="Times New Roman"/>
              <w:b/>
              <w:sz w:val="24"/>
              <w:szCs w:val="24"/>
            </w:rPr>
            <w:t>Derechos a recibir activos especificados al final del acuerdo de concesión</w:t>
          </w:r>
        </w:p>
        <w:p w14:paraId="14F7E790"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w:t>
          </w:r>
          <w:r w:rsidRPr="009A46BB">
            <w:rPr>
              <w:rFonts w:ascii="Times New Roman" w:hAnsi="Times New Roman"/>
              <w:sz w:val="24"/>
              <w:szCs w:val="24"/>
            </w:rPr>
            <w:tab/>
            <w:t>De acuerdo con el Artículo 8º de la Ley 1 de 1991 en el modo portuario el concesionario no tiene derechos finales sobre activos los debe revertir a la Nación al final del contrato de concesión.</w:t>
          </w:r>
        </w:p>
        <w:p w14:paraId="057B3D95"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Observaciones:</w:t>
          </w:r>
        </w:p>
        <w:p w14:paraId="63F62E6E" w14:textId="1A5FB509"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Reversión:</w:t>
          </w:r>
          <w:r w:rsidRPr="009A46BB">
            <w:rPr>
              <w:rFonts w:ascii="Times New Roman" w:hAnsi="Times New Roman"/>
              <w:sz w:val="24"/>
              <w:szCs w:val="24"/>
            </w:rPr>
            <w:t xml:space="preserve"> De acuerdo con lo establecido en la cláusula décima segunda del contrato de concesión,la zona de uso público y todas las construcciones y equipos entregadas en concesión se revertirán a la Naciónen buenas condiciones de operación tecnológica, mantenimiento y de adecuada eficiencia al término de este contrato y de las prórrogas si la hubiere. Igualmente procederá la reversión al ser declarado la caducidad o la terminación unilateral.</w:t>
          </w:r>
        </w:p>
        <w:p w14:paraId="76601FBA"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Para tal fin, en el momento de la reversión el CONCESIONARIO deberá hacer entrega de un avalúo comercial actualizado y valoración técnica de las condiciones de operación de la infraestructura portuaria, equipos e inmuebles por destinación que habitualmente se encuentren instalados en las zonas de uso público que se revierten y que son propiedad de la Nación.</w:t>
          </w:r>
        </w:p>
        <w:p w14:paraId="60AE26BE" w14:textId="1148B963"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e.</w:t>
          </w:r>
          <w:r w:rsidR="6D46DE6E" w:rsidRPr="6A0940DB">
            <w:rPr>
              <w:rFonts w:ascii="Times New Roman" w:hAnsi="Times New Roman"/>
              <w:b/>
              <w:bCs/>
              <w:sz w:val="24"/>
              <w:szCs w:val="24"/>
            </w:rPr>
            <w:t xml:space="preserve"> </w:t>
          </w:r>
          <w:r w:rsidR="008B5750" w:rsidRPr="009A46BB">
            <w:rPr>
              <w:rFonts w:ascii="Times New Roman" w:hAnsi="Times New Roman"/>
              <w:b/>
              <w:sz w:val="24"/>
              <w:szCs w:val="24"/>
            </w:rPr>
            <w:t>No hay c</w:t>
          </w:r>
          <w:r w:rsidRPr="009A46BB">
            <w:rPr>
              <w:rFonts w:ascii="Times New Roman" w:hAnsi="Times New Roman"/>
              <w:b/>
              <w:sz w:val="24"/>
              <w:szCs w:val="24"/>
            </w:rPr>
            <w:t>ambios en el acuerdo de concesión que se realicen durante el periodo fiscal</w:t>
          </w:r>
        </w:p>
        <w:p w14:paraId="141130C0" w14:textId="586398FC" w:rsidR="00274429" w:rsidRPr="009A46BB" w:rsidRDefault="00274429" w:rsidP="00274429">
          <w:pPr>
            <w:jc w:val="both"/>
            <w:rPr>
              <w:rFonts w:ascii="Times New Roman" w:hAnsi="Times New Roman"/>
              <w:sz w:val="24"/>
              <w:szCs w:val="24"/>
            </w:rPr>
          </w:pPr>
        </w:p>
        <w:p w14:paraId="55D80165" w14:textId="77777777" w:rsidR="008B5750" w:rsidRPr="009A46BB" w:rsidRDefault="008B5750" w:rsidP="00274429">
          <w:pPr>
            <w:jc w:val="both"/>
            <w:rPr>
              <w:rFonts w:ascii="Times New Roman" w:hAnsi="Times New Roman"/>
              <w:sz w:val="24"/>
              <w:szCs w:val="24"/>
            </w:rPr>
          </w:pPr>
        </w:p>
        <w:p w14:paraId="64BD3436" w14:textId="05C41461" w:rsidR="00274429" w:rsidRPr="009A46BB" w:rsidRDefault="008B5750" w:rsidP="008B5750">
          <w:pPr>
            <w:spacing w:line="259" w:lineRule="auto"/>
            <w:jc w:val="both"/>
            <w:rPr>
              <w:rFonts w:ascii="Times New Roman" w:hAnsi="Times New Roman"/>
              <w:b/>
              <w:sz w:val="24"/>
              <w:szCs w:val="24"/>
            </w:rPr>
          </w:pPr>
          <w:r w:rsidRPr="009A46BB">
            <w:rPr>
              <w:rFonts w:ascii="Times New Roman" w:hAnsi="Times New Roman"/>
              <w:b/>
              <w:sz w:val="24"/>
              <w:szCs w:val="24"/>
            </w:rPr>
            <w:t>GRUPO PORTUARIO S.A. - LOTES A1 Y A2</w:t>
          </w:r>
        </w:p>
        <w:p w14:paraId="4988F2FA" w14:textId="0F52F878" w:rsidR="00274429" w:rsidRPr="009A46BB" w:rsidRDefault="00274429" w:rsidP="00E60BAB">
          <w:pPr>
            <w:pStyle w:val="Prrafodelista"/>
            <w:numPr>
              <w:ilvl w:val="0"/>
              <w:numId w:val="141"/>
            </w:numPr>
            <w:jc w:val="both"/>
            <w:rPr>
              <w:rFonts w:ascii="Times New Roman" w:hAnsi="Times New Roman"/>
              <w:b/>
            </w:rPr>
          </w:pPr>
          <w:r w:rsidRPr="009A46BB">
            <w:rPr>
              <w:rFonts w:ascii="Times New Roman" w:hAnsi="Times New Roman"/>
              <w:b/>
              <w:sz w:val="24"/>
              <w:szCs w:val="24"/>
            </w:rPr>
            <w:t>Descripción del acuerdo</w:t>
          </w:r>
        </w:p>
        <w:p w14:paraId="5B857FA8" w14:textId="777C38CB" w:rsidR="00274429" w:rsidRPr="009A46BB" w:rsidRDefault="00274429" w:rsidP="3D2777B2">
          <w:pPr>
            <w:spacing w:after="0"/>
            <w:jc w:val="both"/>
            <w:rPr>
              <w:rFonts w:ascii="Times New Roman" w:hAnsi="Times New Roman"/>
              <w:sz w:val="24"/>
              <w:szCs w:val="24"/>
            </w:rPr>
          </w:pPr>
          <w:r w:rsidRPr="009A46BB">
            <w:rPr>
              <w:rFonts w:ascii="Times New Roman" w:hAnsi="Times New Roman"/>
              <w:b/>
              <w:sz w:val="24"/>
              <w:szCs w:val="24"/>
            </w:rPr>
            <w:t>Número del acuerdo de concesión:</w:t>
          </w:r>
          <w:r w:rsidR="008B5750" w:rsidRPr="009A46BB">
            <w:rPr>
              <w:rFonts w:ascii="Times New Roman" w:hAnsi="Times New Roman"/>
              <w:b/>
              <w:sz w:val="24"/>
              <w:szCs w:val="24"/>
            </w:rPr>
            <w:t xml:space="preserve"> </w:t>
          </w:r>
          <w:r w:rsidRPr="009A46BB">
            <w:rPr>
              <w:rFonts w:ascii="Times New Roman" w:hAnsi="Times New Roman"/>
              <w:sz w:val="24"/>
              <w:szCs w:val="24"/>
            </w:rPr>
            <w:t>Contrato de Concesión Portuaria No. 001 de 2008.</w:t>
          </w:r>
        </w:p>
        <w:p w14:paraId="4B981D9A" w14:textId="715FE690" w:rsidR="00274429" w:rsidRPr="009A46BB" w:rsidRDefault="00274429" w:rsidP="3D2777B2">
          <w:pPr>
            <w:spacing w:after="0"/>
            <w:jc w:val="both"/>
            <w:rPr>
              <w:rFonts w:ascii="Times New Roman" w:hAnsi="Times New Roman"/>
              <w:sz w:val="24"/>
              <w:szCs w:val="24"/>
            </w:rPr>
          </w:pPr>
          <w:r w:rsidRPr="009A46BB">
            <w:rPr>
              <w:rFonts w:ascii="Times New Roman" w:hAnsi="Times New Roman"/>
              <w:b/>
              <w:sz w:val="24"/>
              <w:szCs w:val="24"/>
            </w:rPr>
            <w:t>Objeto / Descripción:</w:t>
          </w:r>
          <w:r w:rsidR="008B5750" w:rsidRPr="009A46BB">
            <w:rPr>
              <w:rFonts w:ascii="Times New Roman" w:hAnsi="Times New Roman"/>
              <w:b/>
              <w:sz w:val="24"/>
              <w:szCs w:val="24"/>
            </w:rPr>
            <w:t xml:space="preserve"> </w:t>
          </w:r>
          <w:r w:rsidRPr="009A46BB">
            <w:rPr>
              <w:rFonts w:ascii="Times New Roman" w:hAnsi="Times New Roman"/>
              <w:sz w:val="24"/>
              <w:szCs w:val="24"/>
            </w:rPr>
            <w:t>En virtud del Contrato de concesión, se permite al CONCESIONARIO la ocupación en forma temporal y exclusiva la zona de uso público y su infraestructura junto con las construcciones e inmuebles por destinación que allí se encuentra, para la construcción, operación y el desarrollo de actividades portuarias de servicio público, conforme lo establece la Cláusula Primera del contrato.</w:t>
          </w:r>
        </w:p>
        <w:p w14:paraId="1757AD88" w14:textId="3E418A4A" w:rsidR="00274429" w:rsidRPr="009A46BB" w:rsidRDefault="00274429" w:rsidP="00730054">
          <w:pPr>
            <w:spacing w:after="0"/>
            <w:jc w:val="both"/>
            <w:rPr>
              <w:rFonts w:ascii="Times New Roman" w:hAnsi="Times New Roman"/>
              <w:sz w:val="24"/>
              <w:szCs w:val="24"/>
            </w:rPr>
          </w:pPr>
          <w:r w:rsidRPr="009A46BB">
            <w:rPr>
              <w:rFonts w:ascii="Times New Roman" w:hAnsi="Times New Roman"/>
              <w:b/>
              <w:sz w:val="24"/>
              <w:szCs w:val="24"/>
            </w:rPr>
            <w:t>Valor inicial:</w:t>
          </w:r>
          <w:r w:rsidR="008B5750" w:rsidRPr="009A46BB">
            <w:rPr>
              <w:rFonts w:ascii="Times New Roman" w:hAnsi="Times New Roman"/>
              <w:b/>
              <w:sz w:val="24"/>
              <w:szCs w:val="24"/>
            </w:rPr>
            <w:t xml:space="preserve"> </w:t>
          </w:r>
          <w:r w:rsidRPr="009A46BB">
            <w:rPr>
              <w:rFonts w:ascii="Times New Roman" w:hAnsi="Times New Roman"/>
              <w:sz w:val="24"/>
              <w:szCs w:val="24"/>
            </w:rPr>
            <w:t>USD 2.090.412,73 Cláusula Octava / Contrato de Concesión Portuaria No. 001 de 2008.</w:t>
          </w:r>
        </w:p>
        <w:p w14:paraId="00DA675B" w14:textId="02653F7C" w:rsidR="00274429" w:rsidRPr="009A46BB" w:rsidRDefault="00274429" w:rsidP="00730054">
          <w:pPr>
            <w:spacing w:after="0"/>
            <w:jc w:val="both"/>
            <w:rPr>
              <w:rFonts w:ascii="Times New Roman" w:hAnsi="Times New Roman"/>
              <w:sz w:val="24"/>
              <w:szCs w:val="24"/>
            </w:rPr>
          </w:pPr>
          <w:r w:rsidRPr="009A46BB">
            <w:rPr>
              <w:rFonts w:ascii="Times New Roman" w:hAnsi="Times New Roman"/>
              <w:b/>
              <w:sz w:val="24"/>
              <w:szCs w:val="24"/>
            </w:rPr>
            <w:t>Fecha de inicio:</w:t>
          </w:r>
          <w:r w:rsidR="008B5750" w:rsidRPr="009A46BB">
            <w:rPr>
              <w:rFonts w:ascii="Times New Roman" w:hAnsi="Times New Roman"/>
              <w:b/>
              <w:sz w:val="24"/>
              <w:szCs w:val="24"/>
            </w:rPr>
            <w:t xml:space="preserve"> </w:t>
          </w:r>
          <w:r w:rsidRPr="009A46BB">
            <w:rPr>
              <w:rFonts w:ascii="Times New Roman" w:hAnsi="Times New Roman"/>
              <w:sz w:val="24"/>
              <w:szCs w:val="24"/>
            </w:rPr>
            <w:t>30/12/2008</w:t>
          </w:r>
        </w:p>
        <w:p w14:paraId="1DDFE340" w14:textId="7E8944DA" w:rsidR="00274429" w:rsidRPr="009A46BB" w:rsidRDefault="00274429" w:rsidP="00730054">
          <w:pPr>
            <w:spacing w:after="0"/>
            <w:jc w:val="both"/>
            <w:rPr>
              <w:rFonts w:ascii="Times New Roman" w:hAnsi="Times New Roman"/>
              <w:sz w:val="24"/>
              <w:szCs w:val="24"/>
            </w:rPr>
          </w:pPr>
          <w:r w:rsidRPr="009A46BB">
            <w:rPr>
              <w:rFonts w:ascii="Times New Roman" w:hAnsi="Times New Roman"/>
              <w:b/>
              <w:sz w:val="24"/>
              <w:szCs w:val="24"/>
            </w:rPr>
            <w:t>Fecha de finalización estimada:</w:t>
          </w:r>
          <w:r w:rsidR="008B5750" w:rsidRPr="009A46BB">
            <w:rPr>
              <w:rFonts w:ascii="Times New Roman" w:hAnsi="Times New Roman"/>
              <w:b/>
              <w:sz w:val="24"/>
              <w:szCs w:val="24"/>
            </w:rPr>
            <w:t xml:space="preserve"> </w:t>
          </w:r>
          <w:r w:rsidRPr="009A46BB">
            <w:rPr>
              <w:rFonts w:ascii="Times New Roman" w:hAnsi="Times New Roman"/>
              <w:sz w:val="24"/>
              <w:szCs w:val="24"/>
            </w:rPr>
            <w:t>29/12/2028</w:t>
          </w:r>
        </w:p>
        <w:p w14:paraId="5D2AD36A" w14:textId="5AFC0F1C" w:rsidR="00274429" w:rsidRPr="009A46BB" w:rsidRDefault="00274429" w:rsidP="00730054">
          <w:pPr>
            <w:spacing w:after="0"/>
            <w:jc w:val="both"/>
            <w:rPr>
              <w:rFonts w:ascii="Times New Roman" w:hAnsi="Times New Roman"/>
              <w:sz w:val="24"/>
              <w:szCs w:val="24"/>
            </w:rPr>
          </w:pPr>
          <w:r w:rsidRPr="009A46BB">
            <w:rPr>
              <w:rFonts w:ascii="Times New Roman" w:hAnsi="Times New Roman"/>
              <w:b/>
              <w:sz w:val="24"/>
              <w:szCs w:val="24"/>
            </w:rPr>
            <w:t>Tipo ID:</w:t>
          </w:r>
          <w:r w:rsidR="008B5750" w:rsidRPr="009A46BB">
            <w:rPr>
              <w:rFonts w:ascii="Times New Roman" w:hAnsi="Times New Roman"/>
              <w:b/>
              <w:sz w:val="24"/>
              <w:szCs w:val="24"/>
            </w:rPr>
            <w:t xml:space="preserve"> </w:t>
          </w:r>
          <w:r w:rsidRPr="009A46BB">
            <w:rPr>
              <w:rFonts w:ascii="Times New Roman" w:hAnsi="Times New Roman"/>
              <w:sz w:val="24"/>
              <w:szCs w:val="24"/>
            </w:rPr>
            <w:t>NIT</w:t>
          </w:r>
        </w:p>
        <w:p w14:paraId="6B7CCC1F" w14:textId="51C7AF10" w:rsidR="00274429" w:rsidRPr="009A46BB" w:rsidRDefault="00274429" w:rsidP="00730054">
          <w:pPr>
            <w:spacing w:after="0"/>
            <w:jc w:val="both"/>
            <w:rPr>
              <w:rFonts w:ascii="Times New Roman" w:hAnsi="Times New Roman"/>
              <w:sz w:val="24"/>
              <w:szCs w:val="24"/>
            </w:rPr>
          </w:pPr>
          <w:r w:rsidRPr="009A46BB">
            <w:rPr>
              <w:rFonts w:ascii="Times New Roman" w:hAnsi="Times New Roman"/>
              <w:b/>
              <w:sz w:val="24"/>
              <w:szCs w:val="24"/>
            </w:rPr>
            <w:t>Número ID:</w:t>
          </w:r>
          <w:r w:rsidR="008B5750" w:rsidRPr="009A46BB">
            <w:rPr>
              <w:rFonts w:ascii="Times New Roman" w:hAnsi="Times New Roman"/>
              <w:b/>
              <w:sz w:val="24"/>
              <w:szCs w:val="24"/>
            </w:rPr>
            <w:t xml:space="preserve"> </w:t>
          </w:r>
          <w:r w:rsidRPr="009A46BB">
            <w:rPr>
              <w:rFonts w:ascii="Times New Roman" w:hAnsi="Times New Roman"/>
              <w:sz w:val="24"/>
              <w:szCs w:val="24"/>
            </w:rPr>
            <w:t>830.020.263-7</w:t>
          </w:r>
        </w:p>
        <w:p w14:paraId="469E7204" w14:textId="198763C3" w:rsidR="00274429" w:rsidRPr="009A46BB" w:rsidRDefault="00274429" w:rsidP="3D2777B2">
          <w:pPr>
            <w:spacing w:after="0"/>
            <w:jc w:val="both"/>
            <w:rPr>
              <w:rFonts w:ascii="Times New Roman" w:hAnsi="Times New Roman"/>
              <w:sz w:val="24"/>
              <w:szCs w:val="24"/>
            </w:rPr>
          </w:pPr>
          <w:r w:rsidRPr="009A46BB">
            <w:rPr>
              <w:rFonts w:ascii="Times New Roman" w:hAnsi="Times New Roman"/>
              <w:b/>
              <w:sz w:val="24"/>
              <w:szCs w:val="24"/>
            </w:rPr>
            <w:t>Razón social del concesionario:</w:t>
          </w:r>
          <w:r w:rsidR="008B5750" w:rsidRPr="009A46BB">
            <w:rPr>
              <w:rFonts w:ascii="Times New Roman" w:hAnsi="Times New Roman"/>
              <w:b/>
              <w:sz w:val="24"/>
              <w:szCs w:val="24"/>
            </w:rPr>
            <w:t xml:space="preserve"> </w:t>
          </w:r>
          <w:r w:rsidRPr="009A46BB">
            <w:rPr>
              <w:rFonts w:ascii="Times New Roman" w:hAnsi="Times New Roman"/>
              <w:sz w:val="24"/>
              <w:szCs w:val="24"/>
            </w:rPr>
            <w:t>Grupo Portuario S.A</w:t>
          </w:r>
        </w:p>
        <w:p w14:paraId="6AFCDCA1" w14:textId="2B620FCC" w:rsidR="00274429" w:rsidRPr="009A46BB" w:rsidRDefault="00274429" w:rsidP="3D2777B2">
          <w:pPr>
            <w:spacing w:after="0"/>
            <w:jc w:val="both"/>
            <w:rPr>
              <w:rFonts w:ascii="Times New Roman" w:hAnsi="Times New Roman"/>
              <w:sz w:val="24"/>
              <w:szCs w:val="24"/>
            </w:rPr>
          </w:pPr>
          <w:r w:rsidRPr="009A46BB">
            <w:rPr>
              <w:rFonts w:ascii="Times New Roman" w:hAnsi="Times New Roman"/>
              <w:b/>
              <w:sz w:val="24"/>
              <w:szCs w:val="24"/>
            </w:rPr>
            <w:t>Nombre del proyecto:</w:t>
          </w:r>
          <w:r w:rsidR="008B5750" w:rsidRPr="009A46BB">
            <w:rPr>
              <w:rFonts w:ascii="Times New Roman" w:hAnsi="Times New Roman"/>
              <w:b/>
              <w:sz w:val="24"/>
              <w:szCs w:val="24"/>
            </w:rPr>
            <w:t xml:space="preserve"> </w:t>
          </w:r>
          <w:r w:rsidRPr="009A46BB">
            <w:rPr>
              <w:rFonts w:ascii="Times New Roman" w:hAnsi="Times New Roman"/>
              <w:sz w:val="24"/>
              <w:szCs w:val="24"/>
            </w:rPr>
            <w:t>Grupo Portuario S.A. - Lotes A1 y A2</w:t>
          </w:r>
        </w:p>
        <w:p w14:paraId="0CBCA0BF" w14:textId="5FD55C7A" w:rsidR="3D2777B2" w:rsidRDefault="3D2777B2" w:rsidP="3D2777B2">
          <w:pPr>
            <w:spacing w:after="0"/>
            <w:jc w:val="both"/>
            <w:rPr>
              <w:rFonts w:ascii="Times New Roman" w:hAnsi="Times New Roman"/>
              <w:sz w:val="24"/>
              <w:szCs w:val="24"/>
            </w:rPr>
          </w:pPr>
        </w:p>
        <w:p w14:paraId="01A8F2B2" w14:textId="0564F7D5" w:rsidR="00274429" w:rsidRPr="009A46BB" w:rsidRDefault="00274429" w:rsidP="00E60BAB">
          <w:pPr>
            <w:pStyle w:val="Prrafodelista"/>
            <w:numPr>
              <w:ilvl w:val="0"/>
              <w:numId w:val="141"/>
            </w:numPr>
            <w:jc w:val="both"/>
            <w:rPr>
              <w:rFonts w:ascii="Times New Roman" w:hAnsi="Times New Roman"/>
              <w:b/>
            </w:rPr>
          </w:pPr>
          <w:r w:rsidRPr="009A46BB">
            <w:rPr>
              <w:rFonts w:ascii="Times New Roman" w:hAnsi="Times New Roman"/>
              <w:b/>
              <w:sz w:val="24"/>
              <w:szCs w:val="24"/>
            </w:rPr>
            <w:t>Términos significativos del acuerdo que puedan afectar su valor, el calendario y la certeza de los flujos</w:t>
          </w:r>
        </w:p>
        <w:p w14:paraId="497340D9"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Términos de valor:</w:t>
          </w:r>
        </w:p>
        <w:p w14:paraId="658BA8C9"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lastRenderedPageBreak/>
            <w:t>Tarifas:</w:t>
          </w:r>
          <w:r w:rsidRPr="009A46BB">
            <w:rPr>
              <w:rFonts w:ascii="Times New Roman" w:hAnsi="Times New Roman"/>
              <w:sz w:val="24"/>
              <w:szCs w:val="24"/>
            </w:rPr>
            <w:t xml:space="preserve"> Al ser el terminal marítimo de servicio público la Ley 1ª de 1991 establece: Las sociedades portuarias que operan puertos de servicio público las tarifas requieren ser aprobadas según la metodología establecida por la Superintendencia General de Puertos hoy Superintendencia de Transporte.</w:t>
          </w:r>
        </w:p>
        <w:p w14:paraId="39D71829"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Contraprestación portuaria:</w:t>
          </w:r>
          <w:r w:rsidRPr="009A46BB">
            <w:rPr>
              <w:rFonts w:ascii="Times New Roman" w:hAnsi="Times New Roman"/>
              <w:sz w:val="24"/>
              <w:szCs w:val="24"/>
            </w:rPr>
            <w:t xml:space="preserve"> De acuerdo con el último documento contractual vigente la metodología de contraprestación vigente es CONPES 2680 DE 1993 (Productividad). Se establece en la Cláusula Octava del Contrato que el CONCESIONARIO deberá pagar por concepto de zona de uso público la suma anual de (USD 175.917,11), de dicho pago el 80% le corresponde a la Nación Instituto nacional de Vías (INVIAS) y el 20% restante al Municipio de Buenaventura, de acuerdo con lo establecido en el parágrafo 1 del artículo 1 de la Ley 856 del 21 de diciembre de 2003, que modifica el artículo 7 de la Ley 1ª de 1991. Así mismo, por concepto de infraestructura el CONCESIONARIO deberá pagar la suma anual de (USD 73.959,60), el cual corresponde en un 100% a la Nación - Instituto Nacional de Vías (INVIAS) de acuerdo con lo establecido en el artículo 1 de la Ley 856 del 21 diciembre de 2003.</w:t>
          </w:r>
        </w:p>
        <w:p w14:paraId="0BC6C160"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Plan de Inversiones:</w:t>
          </w:r>
          <w:r w:rsidRPr="009A46BB">
            <w:rPr>
              <w:rFonts w:ascii="Times New Roman" w:hAnsi="Times New Roman"/>
              <w:sz w:val="24"/>
              <w:szCs w:val="24"/>
            </w:rPr>
            <w:t xml:space="preserve"> Está establecido en la Cláusula Segunda del Otrosí No. 1 de 2021 que el plan de inversión será de USD 1.196.884 en valores corrientes.</w:t>
          </w:r>
        </w:p>
        <w:p w14:paraId="62F5499A"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Obligaciones del Concesionario:</w:t>
          </w:r>
          <w:r w:rsidRPr="009A46BB">
            <w:rPr>
              <w:rFonts w:ascii="Times New Roman" w:hAnsi="Times New Roman"/>
              <w:sz w:val="24"/>
              <w:szCs w:val="24"/>
            </w:rPr>
            <w:t xml:space="preserve"> Se encuentran descritas en la Cláusula Décima Quinta del Contrato.</w:t>
          </w:r>
        </w:p>
        <w:p w14:paraId="77158EF4"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Multas y sanciones:</w:t>
          </w:r>
          <w:r w:rsidRPr="009A46BB">
            <w:rPr>
              <w:rFonts w:ascii="Times New Roman" w:hAnsi="Times New Roman"/>
              <w:sz w:val="24"/>
              <w:szCs w:val="24"/>
            </w:rPr>
            <w:t xml:space="preserve"> Están establecidas en la Cláusula Décima Octava del Contrato de Concesión y en la Cláusula Cuarta del Otrosí No. 1.</w:t>
          </w:r>
        </w:p>
        <w:p w14:paraId="111A2A11"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Penal pecuniario:</w:t>
          </w:r>
          <w:r w:rsidRPr="009A46BB">
            <w:rPr>
              <w:rFonts w:ascii="Times New Roman" w:hAnsi="Times New Roman"/>
              <w:sz w:val="24"/>
              <w:szCs w:val="24"/>
            </w:rPr>
            <w:t xml:space="preserve"> En la Cláusula Décima Novena se establece que en el evento en que el INCO hoy ANI declare la caducidad o el incumplimiento del presente contrato se podrá imponer una penalidad pecuniaria, equivalente al 10% del valor total de la contraprestación.</w:t>
          </w:r>
        </w:p>
        <w:p w14:paraId="33CC98BB"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Términos de calendario:</w:t>
          </w:r>
        </w:p>
        <w:p w14:paraId="4B0C0D82"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Tarifas:</w:t>
          </w:r>
          <w:r w:rsidRPr="009A46BB">
            <w:rPr>
              <w:rFonts w:ascii="Times New Roman" w:hAnsi="Times New Roman"/>
              <w:sz w:val="24"/>
              <w:szCs w:val="24"/>
            </w:rPr>
            <w:t xml:space="preserve"> Aprobadas según la metodología establecida por la Superintendencia General de Puertos hoy Superintendencia de Transporte.</w:t>
          </w:r>
        </w:p>
        <w:p w14:paraId="286F0A52"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Contraprestación portuaria:</w:t>
          </w:r>
          <w:r w:rsidRPr="009A46BB">
            <w:rPr>
              <w:rFonts w:ascii="Times New Roman" w:hAnsi="Times New Roman"/>
              <w:sz w:val="24"/>
              <w:szCs w:val="24"/>
            </w:rPr>
            <w:t xml:space="preserve"> La contraprestación se debe pagar en anualidades anticipadas, dentro de los cinco (5) días siguientes a la fecha del vencimiento de la anualidad (30 de diciembre de cada año).</w:t>
          </w:r>
        </w:p>
        <w:p w14:paraId="46EBBA50"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Plan de Inversiones:</w:t>
          </w:r>
          <w:r w:rsidRPr="009A46BB">
            <w:rPr>
              <w:rFonts w:ascii="Times New Roman" w:hAnsi="Times New Roman"/>
              <w:sz w:val="24"/>
              <w:szCs w:val="24"/>
            </w:rPr>
            <w:t xml:space="preserve"> Se estableció en la Cláusula Segunda del Otrosí No. 1 de 2021, la ejecución de inversiones en el periodo de tiempo comprendido entre el año 2008 a 2022.</w:t>
          </w:r>
        </w:p>
        <w:p w14:paraId="5C5776B0"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 xml:space="preserve">Multas y sanciones: </w:t>
          </w:r>
          <w:r w:rsidRPr="009A46BB">
            <w:rPr>
              <w:rFonts w:ascii="Times New Roman" w:hAnsi="Times New Roman"/>
              <w:sz w:val="24"/>
              <w:szCs w:val="24"/>
            </w:rPr>
            <w:t>Están establecidas en la Cláusula Décima Octava del Contrato de Concesión y en la Cláusula Cuarta del Otrosí No. 1.</w:t>
          </w:r>
        </w:p>
        <w:p w14:paraId="22711FCC"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Términos de certeza de flujos de efectivo futuros:</w:t>
          </w:r>
        </w:p>
        <w:p w14:paraId="68DD9120"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 xml:space="preserve">Se otorga a EL CONCESIONARIO el derecho de ocupar en forma temporal y exclusiva una zona de uso público y su infraestructura existente (Lotes A1 y A2) descritos en la Cláusula </w:t>
          </w:r>
          <w:r w:rsidRPr="009A46BB">
            <w:rPr>
              <w:rFonts w:ascii="Times New Roman" w:hAnsi="Times New Roman"/>
              <w:sz w:val="24"/>
              <w:szCs w:val="24"/>
            </w:rPr>
            <w:lastRenderedPageBreak/>
            <w:t>Segunda del Contrato, a cambio de la contraprestación establecida en la Cláusula Octava del Contrato.</w:t>
          </w:r>
        </w:p>
        <w:p w14:paraId="1715656C"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El Parágrafo Segundo de la Cláusula Octava del Contrato indica que, del valor a pagar por concepto de contraprestación por Zona de Uso Público, el 80% le corresponde a la Nación-INVIAS y el 20 % al Municipio de Buenaventura, y por Infraestructura el 100% a la Nación-INVIAS.</w:t>
          </w:r>
        </w:p>
        <w:p w14:paraId="2AE0B02F" w14:textId="4E92D27B" w:rsidR="00274429" w:rsidRPr="009A46BB" w:rsidRDefault="00274429" w:rsidP="00E60BAB">
          <w:pPr>
            <w:pStyle w:val="Prrafodelista"/>
            <w:numPr>
              <w:ilvl w:val="0"/>
              <w:numId w:val="141"/>
            </w:numPr>
            <w:jc w:val="both"/>
            <w:rPr>
              <w:rFonts w:ascii="Times New Roman" w:hAnsi="Times New Roman"/>
              <w:b/>
            </w:rPr>
          </w:pPr>
          <w:r w:rsidRPr="009A46BB">
            <w:rPr>
              <w:rFonts w:ascii="Times New Roman" w:hAnsi="Times New Roman"/>
              <w:b/>
              <w:sz w:val="24"/>
              <w:szCs w:val="24"/>
            </w:rPr>
            <w:t xml:space="preserve">Naturaleza y alcance del derecho a utilizar activos especificados, de los aspectos pactados en torno a lo que se espera que el concesionario proporcione en relación con el acuerdo de concesión </w:t>
          </w:r>
        </w:p>
        <w:p w14:paraId="08D3CDA6"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Naturaleza y alcance del derecho de uso de los activos</w:t>
          </w:r>
        </w:p>
        <w:p w14:paraId="40851339"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w:t>
          </w:r>
          <w:r w:rsidRPr="009A46BB">
            <w:rPr>
              <w:rFonts w:ascii="Times New Roman" w:hAnsi="Times New Roman"/>
              <w:b/>
              <w:sz w:val="24"/>
              <w:szCs w:val="24"/>
            </w:rPr>
            <w:tab/>
          </w:r>
          <w:r w:rsidRPr="009A46BB">
            <w:rPr>
              <w:rFonts w:ascii="Times New Roman" w:hAnsi="Times New Roman"/>
              <w:sz w:val="24"/>
              <w:szCs w:val="24"/>
            </w:rPr>
            <w:t xml:space="preserve">Descripción del proyecto, especificaciones técnicas, modalidades de operación: las condiciones especiales de operación del puerto están establecidas en la Cláusula Quinta. </w:t>
          </w:r>
        </w:p>
        <w:p w14:paraId="4C3F5B35"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Área entregada en concesión:</w:t>
          </w:r>
          <w:r w:rsidRPr="009A46BB">
            <w:rPr>
              <w:rFonts w:ascii="Times New Roman" w:hAnsi="Times New Roman"/>
              <w:sz w:val="24"/>
              <w:szCs w:val="24"/>
            </w:rPr>
            <w:t xml:space="preserve"> La descripción de la ubicación, linderos y extensión de los bienes de uso público entregados en concesión están establecidos en la Cláusula Segunda. </w:t>
          </w:r>
        </w:p>
        <w:p w14:paraId="359AD081" w14:textId="64B0C7E6"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Infraestructura y equipos entregados en concesión:</w:t>
          </w:r>
          <w:r w:rsidRPr="009A46BB">
            <w:rPr>
              <w:rFonts w:ascii="Times New Roman" w:hAnsi="Times New Roman"/>
              <w:sz w:val="24"/>
              <w:szCs w:val="24"/>
            </w:rPr>
            <w:t xml:space="preserve"> En la Cláusula Segunda del Contrato, se describe que lo entregado en concesión fue:</w:t>
          </w:r>
        </w:p>
        <w:p w14:paraId="0F3DACF3"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Infraestructura:</w:t>
          </w:r>
          <w:r w:rsidRPr="009A46BB">
            <w:rPr>
              <w:rFonts w:ascii="Times New Roman" w:hAnsi="Times New Roman"/>
              <w:sz w:val="24"/>
              <w:szCs w:val="24"/>
            </w:rPr>
            <w:t xml:space="preserve"> Lote A1 y Lote A2 con un área aproximada de 18.011 m2 </w:t>
          </w:r>
        </w:p>
        <w:p w14:paraId="4C208FB6" w14:textId="6CF1B425"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 xml:space="preserve">En el Lote A1: </w:t>
          </w:r>
          <w:r w:rsidRPr="009A46BB">
            <w:rPr>
              <w:rFonts w:ascii="Times New Roman" w:hAnsi="Times New Roman"/>
              <w:sz w:val="24"/>
              <w:szCs w:val="24"/>
            </w:rPr>
            <w:t>se encuentran 3 bodegas y dos cobertizos.</w:t>
          </w:r>
        </w:p>
        <w:p w14:paraId="1836241E" w14:textId="0F98D75F"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En el Lote A2:</w:t>
          </w:r>
          <w:r w:rsidRPr="009A46BB">
            <w:rPr>
              <w:rFonts w:ascii="Times New Roman" w:hAnsi="Times New Roman"/>
              <w:sz w:val="24"/>
              <w:szCs w:val="24"/>
            </w:rPr>
            <w:t xml:space="preserve"> se encuentran una caseta de control de pesaje, una portería y </w:t>
          </w:r>
          <w:r w:rsidRPr="009A46BB">
            <w:rPr>
              <w:rFonts w:ascii="Times New Roman" w:hAnsi="Times New Roman"/>
              <w:sz w:val="24"/>
              <w:szCs w:val="24"/>
            </w:rPr>
            <w:tab/>
            <w:t>dos garitas de vigilancia.</w:t>
          </w:r>
        </w:p>
        <w:p w14:paraId="7014550F" w14:textId="758B0896"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 xml:space="preserve">Equipos: </w:t>
          </w:r>
          <w:r w:rsidRPr="009A46BB">
            <w:rPr>
              <w:rFonts w:ascii="Times New Roman" w:hAnsi="Times New Roman"/>
              <w:sz w:val="24"/>
              <w:szCs w:val="24"/>
            </w:rPr>
            <w:t>en el Lote A2, se entregaron dos básculas</w:t>
          </w:r>
        </w:p>
        <w:p w14:paraId="57100933"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Retribución al concesionario</w:t>
          </w:r>
        </w:p>
        <w:p w14:paraId="1D3DC0F9"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w:t>
          </w:r>
          <w:r w:rsidRPr="009A46BB">
            <w:rPr>
              <w:rFonts w:ascii="Times New Roman" w:hAnsi="Times New Roman"/>
              <w:sz w:val="24"/>
              <w:szCs w:val="24"/>
            </w:rPr>
            <w:t xml:space="preserve"> Cláusula Primera Contrato No. 001 de 2008: Se otorga a EL CONCESIONARIO el derecho de ocupar en forma temporal y exclusiva una zona de uso público y su infraestructura existente (Lotes A1 y A2) descritos en la Cláusula Segunda del contrato, a cambio de la contraprestación establecida en la Cláusula Octava del contrato.</w:t>
          </w:r>
        </w:p>
        <w:p w14:paraId="6520C2F5"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Tasa de retribución:</w:t>
          </w:r>
          <w:r w:rsidRPr="009A46BB">
            <w:rPr>
              <w:rFonts w:ascii="Times New Roman" w:hAnsi="Times New Roman"/>
              <w:sz w:val="24"/>
              <w:szCs w:val="24"/>
            </w:rPr>
            <w:tab/>
            <w:t>N/A</w:t>
          </w:r>
        </w:p>
        <w:p w14:paraId="34E41B2E" w14:textId="5EAB87DE" w:rsidR="00274429" w:rsidRPr="009A46BB" w:rsidRDefault="00274429" w:rsidP="00E60BAB">
          <w:pPr>
            <w:pStyle w:val="Prrafodelista"/>
            <w:numPr>
              <w:ilvl w:val="0"/>
              <w:numId w:val="141"/>
            </w:numPr>
            <w:jc w:val="both"/>
            <w:rPr>
              <w:rFonts w:ascii="Times New Roman" w:hAnsi="Times New Roman"/>
              <w:b/>
            </w:rPr>
          </w:pPr>
          <w:r w:rsidRPr="009A46BB">
            <w:rPr>
              <w:rFonts w:ascii="Times New Roman" w:hAnsi="Times New Roman"/>
              <w:b/>
              <w:sz w:val="24"/>
              <w:szCs w:val="24"/>
            </w:rPr>
            <w:t>Derechos a recibir activos especificados al final del acuerdo de concesión</w:t>
          </w:r>
        </w:p>
        <w:p w14:paraId="2DF375F3"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w:t>
          </w:r>
          <w:r w:rsidRPr="009A46BB">
            <w:rPr>
              <w:rFonts w:ascii="Times New Roman" w:hAnsi="Times New Roman"/>
              <w:b/>
              <w:sz w:val="24"/>
              <w:szCs w:val="24"/>
            </w:rPr>
            <w:tab/>
          </w:r>
          <w:r w:rsidRPr="009A46BB">
            <w:rPr>
              <w:rFonts w:ascii="Times New Roman" w:hAnsi="Times New Roman"/>
              <w:sz w:val="24"/>
              <w:szCs w:val="24"/>
            </w:rPr>
            <w:t>De acuerdo con el Artículo 8º de la Ley 1 de 1991 en el modo portuario el concesionario no tiene derechos finales sobre activos los debe revertir a la Nación al final del contrato de concesión.</w:t>
          </w:r>
        </w:p>
        <w:p w14:paraId="7000B4A1"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Observaciones:</w:t>
          </w:r>
          <w:r w:rsidRPr="009A46BB">
            <w:rPr>
              <w:rFonts w:ascii="Times New Roman" w:hAnsi="Times New Roman"/>
              <w:b/>
              <w:sz w:val="24"/>
              <w:szCs w:val="24"/>
            </w:rPr>
            <w:tab/>
          </w:r>
        </w:p>
        <w:p w14:paraId="661E7E05"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Reversión:</w:t>
          </w:r>
          <w:r w:rsidRPr="009A46BB">
            <w:rPr>
              <w:rFonts w:ascii="Times New Roman" w:hAnsi="Times New Roman"/>
              <w:sz w:val="24"/>
              <w:szCs w:val="24"/>
            </w:rPr>
            <w:t xml:space="preserve"> De acuerdo con lo establecido en la Cláusula Décima Segunda del contrato de concesión, la zona de uso público y todas las construcciones (obras e inversiones), y los </w:t>
          </w:r>
          <w:r w:rsidRPr="009A46BB">
            <w:rPr>
              <w:rFonts w:ascii="Times New Roman" w:hAnsi="Times New Roman"/>
              <w:sz w:val="24"/>
              <w:szCs w:val="24"/>
            </w:rPr>
            <w:lastRenderedPageBreak/>
            <w:t xml:space="preserve">inmuebles por destinación (equipos e inversiones) entregadas en concesión se revertirán a la Nación en buenas condiciones de operación tecnológica, mantenimiento y de adecuada eficiencia al término de este contrato y de las prórrogas si la hubiere. Igualmente procederá la reversión al ser declarada la caducidad o la terminación unilateral. </w:t>
          </w:r>
        </w:p>
        <w:p w14:paraId="3AD577A2"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 xml:space="preserve"> Para tal fin, en el momento de la reversión el CONCESIONARIO deberá hacer entrega de un avaluó comercial actualizado y valoración técnica de las condiciones de operación de la infraestructura portuaria, equipos e inmuebles por destinación que habitualmente se encuentren instalados en las zonas de uso público que se revierten y que son propiedad de la Nación</w:t>
          </w:r>
        </w:p>
        <w:p w14:paraId="2A5B5852" w14:textId="680DFE73" w:rsidR="00274429" w:rsidRPr="009A46BB" w:rsidRDefault="008B5750" w:rsidP="00E60BAB">
          <w:pPr>
            <w:pStyle w:val="Prrafodelista"/>
            <w:numPr>
              <w:ilvl w:val="0"/>
              <w:numId w:val="141"/>
            </w:numPr>
            <w:jc w:val="both"/>
            <w:rPr>
              <w:rFonts w:ascii="Times New Roman" w:hAnsi="Times New Roman"/>
              <w:b/>
            </w:rPr>
          </w:pPr>
          <w:r w:rsidRPr="009A46BB">
            <w:rPr>
              <w:rFonts w:ascii="Times New Roman" w:hAnsi="Times New Roman"/>
              <w:b/>
              <w:sz w:val="24"/>
              <w:szCs w:val="24"/>
            </w:rPr>
            <w:t>No hay c</w:t>
          </w:r>
          <w:r w:rsidR="00274429" w:rsidRPr="009A46BB">
            <w:rPr>
              <w:rFonts w:ascii="Times New Roman" w:hAnsi="Times New Roman"/>
              <w:b/>
              <w:sz w:val="24"/>
              <w:szCs w:val="24"/>
            </w:rPr>
            <w:t>ambios en el acuerdo de concesión que se realicen durante el periodo fiscal</w:t>
          </w:r>
        </w:p>
        <w:p w14:paraId="0D580CCC" w14:textId="6E7EB890" w:rsidR="00274429" w:rsidRPr="009A46BB" w:rsidRDefault="00274429" w:rsidP="00274429">
          <w:pPr>
            <w:jc w:val="both"/>
            <w:rPr>
              <w:rFonts w:ascii="Times New Roman" w:hAnsi="Times New Roman"/>
              <w:sz w:val="24"/>
              <w:szCs w:val="24"/>
            </w:rPr>
          </w:pPr>
        </w:p>
        <w:p w14:paraId="05EF9AC5" w14:textId="7BF5C647" w:rsidR="00274429" w:rsidRPr="009A46BB" w:rsidRDefault="008B5750" w:rsidP="008B5750">
          <w:pPr>
            <w:spacing w:line="259" w:lineRule="auto"/>
            <w:jc w:val="both"/>
            <w:rPr>
              <w:rFonts w:ascii="Times New Roman" w:hAnsi="Times New Roman"/>
              <w:b/>
              <w:sz w:val="24"/>
              <w:szCs w:val="24"/>
            </w:rPr>
          </w:pPr>
          <w:r w:rsidRPr="009A46BB">
            <w:rPr>
              <w:rFonts w:ascii="Times New Roman" w:hAnsi="Times New Roman"/>
              <w:b/>
              <w:sz w:val="24"/>
              <w:szCs w:val="24"/>
            </w:rPr>
            <w:t>SOCIEDAD PORTUARIA PUNTA DE VACA S.A</w:t>
          </w:r>
        </w:p>
        <w:p w14:paraId="33288599" w14:textId="710982FD" w:rsidR="00274429" w:rsidRPr="009A46BB" w:rsidRDefault="00274429" w:rsidP="00E60BAB">
          <w:pPr>
            <w:pStyle w:val="Prrafodelista"/>
            <w:numPr>
              <w:ilvl w:val="0"/>
              <w:numId w:val="140"/>
            </w:numPr>
            <w:jc w:val="both"/>
            <w:rPr>
              <w:rFonts w:ascii="Times New Roman" w:hAnsi="Times New Roman"/>
              <w:b/>
            </w:rPr>
          </w:pPr>
          <w:r w:rsidRPr="009A46BB">
            <w:rPr>
              <w:rFonts w:ascii="Times New Roman" w:hAnsi="Times New Roman"/>
              <w:b/>
              <w:sz w:val="24"/>
              <w:szCs w:val="24"/>
            </w:rPr>
            <w:t>Descripción del acuerdo</w:t>
          </w:r>
        </w:p>
        <w:p w14:paraId="158E0595" w14:textId="7845DBD1" w:rsidR="00274429" w:rsidRPr="009A46BB" w:rsidRDefault="00274429" w:rsidP="3D2777B2">
          <w:pPr>
            <w:spacing w:after="0"/>
            <w:jc w:val="both"/>
            <w:rPr>
              <w:rFonts w:ascii="Times New Roman" w:hAnsi="Times New Roman"/>
              <w:sz w:val="24"/>
              <w:szCs w:val="24"/>
            </w:rPr>
          </w:pPr>
          <w:r w:rsidRPr="009A46BB">
            <w:rPr>
              <w:rFonts w:ascii="Times New Roman" w:hAnsi="Times New Roman"/>
              <w:b/>
              <w:sz w:val="24"/>
              <w:szCs w:val="24"/>
            </w:rPr>
            <w:t>Número del acuerdo de concesión:</w:t>
          </w:r>
          <w:r w:rsidR="008B5750" w:rsidRPr="009A46BB">
            <w:rPr>
              <w:rFonts w:ascii="Times New Roman" w:hAnsi="Times New Roman"/>
              <w:b/>
              <w:sz w:val="24"/>
              <w:szCs w:val="24"/>
            </w:rPr>
            <w:t xml:space="preserve"> </w:t>
          </w:r>
          <w:r w:rsidRPr="009A46BB">
            <w:rPr>
              <w:rFonts w:ascii="Times New Roman" w:hAnsi="Times New Roman"/>
              <w:sz w:val="24"/>
              <w:szCs w:val="24"/>
            </w:rPr>
            <w:t>Contrato No. 002 de 2008</w:t>
          </w:r>
        </w:p>
        <w:p w14:paraId="2E1161D7" w14:textId="71D561B8" w:rsidR="00274429" w:rsidRPr="009A46BB" w:rsidRDefault="00274429" w:rsidP="3D2777B2">
          <w:pPr>
            <w:spacing w:after="0"/>
            <w:jc w:val="both"/>
            <w:rPr>
              <w:rFonts w:ascii="Times New Roman" w:hAnsi="Times New Roman"/>
              <w:sz w:val="24"/>
              <w:szCs w:val="24"/>
            </w:rPr>
          </w:pPr>
          <w:r w:rsidRPr="009A46BB">
            <w:rPr>
              <w:rFonts w:ascii="Times New Roman" w:hAnsi="Times New Roman"/>
              <w:b/>
              <w:sz w:val="24"/>
              <w:szCs w:val="24"/>
            </w:rPr>
            <w:t>Objeto / Descripción:</w:t>
          </w:r>
          <w:r w:rsidR="008B5750" w:rsidRPr="009A46BB">
            <w:rPr>
              <w:rFonts w:ascii="Times New Roman" w:hAnsi="Times New Roman"/>
              <w:b/>
              <w:sz w:val="24"/>
              <w:szCs w:val="24"/>
            </w:rPr>
            <w:t xml:space="preserve"> </w:t>
          </w:r>
          <w:r w:rsidRPr="009A46BB">
            <w:rPr>
              <w:rFonts w:ascii="Times New Roman" w:hAnsi="Times New Roman"/>
              <w:sz w:val="24"/>
              <w:szCs w:val="24"/>
            </w:rPr>
            <w:t>El INCO en virtud del presente contrato, otorga formalmente una concesión portuaria al concesionario, para el uso y goce en forma temporal y exclusiva de las playas, los terrenos de bajamar y zonas accesorias a aquellas o estos,de un sector de playa ubicado en el sitio denominado punta de las vacas frente a la bahía de turbo, departamento de Antioquia, para la operación y mantenimiento del muelle existente, destinado al recibo y despacho de combustibles por el termino de veinte (20) años a cambio de la contraprestación establecida en la cláusula octava de este contrato</w:t>
          </w:r>
        </w:p>
        <w:p w14:paraId="08364429" w14:textId="5E6402AB" w:rsidR="00274429" w:rsidRPr="009A46BB" w:rsidRDefault="00274429" w:rsidP="00730054">
          <w:pPr>
            <w:spacing w:after="0"/>
            <w:jc w:val="both"/>
            <w:rPr>
              <w:rFonts w:ascii="Times New Roman" w:hAnsi="Times New Roman"/>
              <w:sz w:val="24"/>
              <w:szCs w:val="24"/>
            </w:rPr>
          </w:pPr>
          <w:r w:rsidRPr="009A46BB">
            <w:rPr>
              <w:rFonts w:ascii="Times New Roman" w:hAnsi="Times New Roman"/>
              <w:b/>
              <w:sz w:val="24"/>
              <w:szCs w:val="24"/>
            </w:rPr>
            <w:t>Valor inicial:</w:t>
          </w:r>
          <w:r w:rsidR="008B5750" w:rsidRPr="009A46BB">
            <w:rPr>
              <w:rFonts w:ascii="Times New Roman" w:hAnsi="Times New Roman"/>
              <w:b/>
              <w:sz w:val="24"/>
              <w:szCs w:val="24"/>
            </w:rPr>
            <w:t xml:space="preserve"> </w:t>
          </w:r>
          <w:r w:rsidRPr="009A46BB">
            <w:rPr>
              <w:rFonts w:ascii="Times New Roman" w:hAnsi="Times New Roman"/>
              <w:sz w:val="24"/>
              <w:szCs w:val="24"/>
            </w:rPr>
            <w:t>USD $79.818,34 Cláusula octava / Contrato No 002 de 2008.</w:t>
          </w:r>
        </w:p>
        <w:p w14:paraId="7E1D4FCC" w14:textId="2E33C145" w:rsidR="00274429" w:rsidRPr="009A46BB" w:rsidRDefault="00274429" w:rsidP="00730054">
          <w:pPr>
            <w:spacing w:after="0"/>
            <w:jc w:val="both"/>
            <w:rPr>
              <w:rFonts w:ascii="Times New Roman" w:hAnsi="Times New Roman"/>
              <w:sz w:val="24"/>
              <w:szCs w:val="24"/>
            </w:rPr>
          </w:pPr>
          <w:r w:rsidRPr="009A46BB">
            <w:rPr>
              <w:rFonts w:ascii="Times New Roman" w:hAnsi="Times New Roman"/>
              <w:b/>
              <w:sz w:val="24"/>
              <w:szCs w:val="24"/>
            </w:rPr>
            <w:t>Fecha de inicio:</w:t>
          </w:r>
          <w:r w:rsidR="008B5750" w:rsidRPr="009A46BB">
            <w:rPr>
              <w:rFonts w:ascii="Times New Roman" w:hAnsi="Times New Roman"/>
              <w:b/>
              <w:sz w:val="24"/>
              <w:szCs w:val="24"/>
            </w:rPr>
            <w:t xml:space="preserve"> </w:t>
          </w:r>
          <w:r w:rsidRPr="009A46BB">
            <w:rPr>
              <w:rFonts w:ascii="Times New Roman" w:hAnsi="Times New Roman"/>
              <w:sz w:val="24"/>
              <w:szCs w:val="24"/>
            </w:rPr>
            <w:t>30/12/2008</w:t>
          </w:r>
        </w:p>
        <w:p w14:paraId="0B5C1AE6" w14:textId="3FD678F2" w:rsidR="00274429" w:rsidRPr="009A46BB" w:rsidRDefault="00274429" w:rsidP="00730054">
          <w:pPr>
            <w:spacing w:after="0"/>
            <w:jc w:val="both"/>
            <w:rPr>
              <w:rFonts w:ascii="Times New Roman" w:hAnsi="Times New Roman"/>
              <w:sz w:val="24"/>
              <w:szCs w:val="24"/>
            </w:rPr>
          </w:pPr>
          <w:r w:rsidRPr="009A46BB">
            <w:rPr>
              <w:rFonts w:ascii="Times New Roman" w:hAnsi="Times New Roman"/>
              <w:b/>
              <w:sz w:val="24"/>
              <w:szCs w:val="24"/>
            </w:rPr>
            <w:t>Fecha de finalización estimada:</w:t>
          </w:r>
          <w:r w:rsidR="008B5750" w:rsidRPr="009A46BB">
            <w:rPr>
              <w:rFonts w:ascii="Times New Roman" w:hAnsi="Times New Roman"/>
              <w:b/>
              <w:sz w:val="24"/>
              <w:szCs w:val="24"/>
            </w:rPr>
            <w:t xml:space="preserve"> </w:t>
          </w:r>
          <w:r w:rsidRPr="009A46BB">
            <w:rPr>
              <w:rFonts w:ascii="Times New Roman" w:hAnsi="Times New Roman"/>
              <w:sz w:val="24"/>
              <w:szCs w:val="24"/>
            </w:rPr>
            <w:t>29/12/2028</w:t>
          </w:r>
        </w:p>
        <w:p w14:paraId="4C9667C2" w14:textId="4786B0D0" w:rsidR="00274429" w:rsidRPr="009A46BB" w:rsidRDefault="00274429" w:rsidP="00730054">
          <w:pPr>
            <w:spacing w:after="0"/>
            <w:jc w:val="both"/>
            <w:rPr>
              <w:rFonts w:ascii="Times New Roman" w:hAnsi="Times New Roman"/>
              <w:sz w:val="24"/>
              <w:szCs w:val="24"/>
            </w:rPr>
          </w:pPr>
          <w:r w:rsidRPr="009A46BB">
            <w:rPr>
              <w:rFonts w:ascii="Times New Roman" w:hAnsi="Times New Roman"/>
              <w:b/>
              <w:sz w:val="24"/>
              <w:szCs w:val="24"/>
            </w:rPr>
            <w:t>Tipo ID:</w:t>
          </w:r>
          <w:r w:rsidR="008B5750" w:rsidRPr="009A46BB">
            <w:rPr>
              <w:rFonts w:ascii="Times New Roman" w:hAnsi="Times New Roman"/>
              <w:b/>
              <w:sz w:val="24"/>
              <w:szCs w:val="24"/>
            </w:rPr>
            <w:t xml:space="preserve"> </w:t>
          </w:r>
          <w:r w:rsidRPr="009A46BB">
            <w:rPr>
              <w:rFonts w:ascii="Times New Roman" w:hAnsi="Times New Roman"/>
              <w:sz w:val="24"/>
              <w:szCs w:val="24"/>
            </w:rPr>
            <w:t>NIT</w:t>
          </w:r>
        </w:p>
        <w:p w14:paraId="3860A5E2" w14:textId="4393B902" w:rsidR="00274429" w:rsidRPr="009A46BB" w:rsidRDefault="00274429" w:rsidP="00730054">
          <w:pPr>
            <w:spacing w:after="0"/>
            <w:jc w:val="both"/>
            <w:rPr>
              <w:rFonts w:ascii="Times New Roman" w:hAnsi="Times New Roman"/>
              <w:sz w:val="24"/>
              <w:szCs w:val="24"/>
            </w:rPr>
          </w:pPr>
          <w:r w:rsidRPr="009A46BB">
            <w:rPr>
              <w:rFonts w:ascii="Times New Roman" w:hAnsi="Times New Roman"/>
              <w:b/>
              <w:sz w:val="24"/>
              <w:szCs w:val="24"/>
            </w:rPr>
            <w:t>Número ID:</w:t>
          </w:r>
          <w:r w:rsidR="008B5750" w:rsidRPr="009A46BB">
            <w:rPr>
              <w:rFonts w:ascii="Times New Roman" w:hAnsi="Times New Roman"/>
              <w:b/>
              <w:sz w:val="24"/>
              <w:szCs w:val="24"/>
            </w:rPr>
            <w:t xml:space="preserve"> </w:t>
          </w:r>
          <w:r w:rsidRPr="009A46BB">
            <w:rPr>
              <w:rFonts w:ascii="Times New Roman" w:hAnsi="Times New Roman"/>
              <w:sz w:val="24"/>
              <w:szCs w:val="24"/>
            </w:rPr>
            <w:t>841000270-3</w:t>
          </w:r>
        </w:p>
        <w:p w14:paraId="2028F834" w14:textId="7DD60560" w:rsidR="00274429" w:rsidRPr="009A46BB" w:rsidRDefault="00274429" w:rsidP="00730054">
          <w:pPr>
            <w:spacing w:after="0"/>
            <w:jc w:val="both"/>
            <w:rPr>
              <w:rFonts w:ascii="Times New Roman" w:hAnsi="Times New Roman"/>
              <w:sz w:val="24"/>
              <w:szCs w:val="24"/>
            </w:rPr>
          </w:pPr>
          <w:r w:rsidRPr="009A46BB">
            <w:rPr>
              <w:rFonts w:ascii="Times New Roman" w:hAnsi="Times New Roman"/>
              <w:b/>
              <w:sz w:val="24"/>
              <w:szCs w:val="24"/>
            </w:rPr>
            <w:t>Razón social del concesionario:</w:t>
          </w:r>
          <w:r w:rsidR="008B5750" w:rsidRPr="009A46BB">
            <w:rPr>
              <w:rFonts w:ascii="Times New Roman" w:hAnsi="Times New Roman"/>
              <w:b/>
              <w:sz w:val="24"/>
              <w:szCs w:val="24"/>
            </w:rPr>
            <w:t xml:space="preserve"> </w:t>
          </w:r>
          <w:r w:rsidRPr="009A46BB">
            <w:rPr>
              <w:rFonts w:ascii="Times New Roman" w:hAnsi="Times New Roman"/>
              <w:sz w:val="24"/>
              <w:szCs w:val="24"/>
            </w:rPr>
            <w:t>Sociedad Portuaria Punta de Vaca S.A</w:t>
          </w:r>
        </w:p>
        <w:p w14:paraId="05B6CC7A" w14:textId="4C0D3B3F"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Nombre del proyecto:</w:t>
          </w:r>
          <w:r w:rsidR="008B5750" w:rsidRPr="009A46BB">
            <w:rPr>
              <w:rFonts w:ascii="Times New Roman" w:hAnsi="Times New Roman"/>
              <w:b/>
              <w:sz w:val="24"/>
              <w:szCs w:val="24"/>
            </w:rPr>
            <w:t xml:space="preserve"> </w:t>
          </w:r>
          <w:r w:rsidRPr="009A46BB">
            <w:rPr>
              <w:rFonts w:ascii="Times New Roman" w:hAnsi="Times New Roman"/>
              <w:sz w:val="24"/>
              <w:szCs w:val="24"/>
            </w:rPr>
            <w:t>Sociedad Portuaria Punta de Vaca S.A</w:t>
          </w:r>
        </w:p>
        <w:p w14:paraId="50CF153F" w14:textId="63677DF4" w:rsidR="00274429" w:rsidRPr="009A46BB" w:rsidRDefault="00274429" w:rsidP="00E60BAB">
          <w:pPr>
            <w:pStyle w:val="Prrafodelista"/>
            <w:numPr>
              <w:ilvl w:val="0"/>
              <w:numId w:val="140"/>
            </w:numPr>
            <w:jc w:val="both"/>
            <w:rPr>
              <w:rFonts w:ascii="Times New Roman" w:hAnsi="Times New Roman"/>
              <w:b/>
            </w:rPr>
          </w:pPr>
          <w:r w:rsidRPr="009A46BB">
            <w:rPr>
              <w:rFonts w:ascii="Times New Roman" w:hAnsi="Times New Roman"/>
              <w:b/>
              <w:sz w:val="24"/>
              <w:szCs w:val="24"/>
            </w:rPr>
            <w:t>Términos significativos del acuerdo que puedan afectar su valor, el calendario y la certeza de los flujos</w:t>
          </w:r>
        </w:p>
        <w:p w14:paraId="336F032E"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Términos de valor:</w:t>
          </w:r>
        </w:p>
        <w:p w14:paraId="44D9C7C3"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1: Tarifas:</w:t>
          </w:r>
          <w:r w:rsidRPr="009A46BB">
            <w:rPr>
              <w:rFonts w:ascii="Times New Roman" w:hAnsi="Times New Roman"/>
              <w:sz w:val="24"/>
              <w:szCs w:val="24"/>
            </w:rPr>
            <w:t xml:space="preserve">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w:t>
          </w:r>
        </w:p>
        <w:p w14:paraId="71D16BB0"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2: Contraprestación portuaria:</w:t>
          </w:r>
          <w:r w:rsidRPr="009A46BB">
            <w:rPr>
              <w:rFonts w:ascii="Times New Roman" w:hAnsi="Times New Roman"/>
              <w:sz w:val="24"/>
              <w:szCs w:val="24"/>
            </w:rPr>
            <w:t xml:space="preserve"> De acuerdo con el último documento contractual vigente la metodología de contraprestación vigente es CONPES 2680 DE 1993 (Productividad). Se </w:t>
          </w:r>
          <w:r w:rsidRPr="009A46BB">
            <w:rPr>
              <w:rFonts w:ascii="Times New Roman" w:hAnsi="Times New Roman"/>
              <w:sz w:val="24"/>
              <w:szCs w:val="24"/>
            </w:rPr>
            <w:lastRenderedPageBreak/>
            <w:t>establece en la cláusula octava del Contrato que el CONCESIONARIO deberá pagar por concepto de zona de uso público la suma anual de (USD 5.018,26), de dicho pago el 80% le corresponde a la Nación Instituto nacional de vías (INVIAS) y el 20% restante al municipio de Turbo (Antioquia) de acuerdo con lo establecido en el parágrafo 1 del artículo 1 de la ley 856 del 21 de diciembre de 2003, que modifica el artículo 7 de la ley 1ª de 1991. Así mismo, por concepto de infraestructura el CONCESIONARIO deberá pagar la suma anual de (USD 4.522,79), el cual corresponde en un 100% a la Nación - Instituto Nacional de Vías (INVIAS) de acuerdo con lo establecido en el artículo 1 de la ley 856 del 21 diciembre de 2003.</w:t>
          </w:r>
        </w:p>
        <w:p w14:paraId="0A1D35B4"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3: Plan de Inversiones:</w:t>
          </w:r>
          <w:r w:rsidRPr="009A46BB">
            <w:rPr>
              <w:rFonts w:ascii="Times New Roman" w:hAnsi="Times New Roman"/>
              <w:sz w:val="24"/>
              <w:szCs w:val="24"/>
            </w:rPr>
            <w:t xml:space="preserve"> está establecido en la cláusula séptima del contrato donde indica que el plan de inversión será de USD $40.000 en valores corrientes.</w:t>
          </w:r>
        </w:p>
        <w:p w14:paraId="1DA1EA1F"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Obligaciones del CONCESIONARIO:</w:t>
          </w:r>
          <w:r w:rsidRPr="009A46BB">
            <w:rPr>
              <w:rFonts w:ascii="Times New Roman" w:hAnsi="Times New Roman"/>
              <w:sz w:val="24"/>
              <w:szCs w:val="24"/>
            </w:rPr>
            <w:t xml:space="preserve"> se encuentran descritas en la cláusula décima quinta del contrato. </w:t>
          </w:r>
        </w:p>
        <w:p w14:paraId="679F75C9"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Multas y sanciones:</w:t>
          </w:r>
          <w:r w:rsidRPr="009A46BB">
            <w:rPr>
              <w:rFonts w:ascii="Times New Roman" w:hAnsi="Times New Roman"/>
              <w:sz w:val="24"/>
              <w:szCs w:val="24"/>
            </w:rPr>
            <w:t xml:space="preserve"> están establecidas en la cláusula décima octava del contrato.</w:t>
          </w:r>
        </w:p>
        <w:p w14:paraId="6B7687A5"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Penal pecuniaria:</w:t>
          </w:r>
          <w:r w:rsidRPr="009A46BB">
            <w:rPr>
              <w:rFonts w:ascii="Times New Roman" w:hAnsi="Times New Roman"/>
              <w:sz w:val="24"/>
              <w:szCs w:val="24"/>
            </w:rPr>
            <w:t xml:space="preserve"> En la cláusula décima novena se establece que en el evento en que el INCO hoy ANI declare la caducidad o el incumplimiento del presente contrato se podrá imponer una penalidad pecuniaria del 10% del valor total de la contraprestación.</w:t>
          </w:r>
        </w:p>
        <w:p w14:paraId="3D3EA6CC"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Términos de calendario:</w:t>
          </w:r>
          <w:r w:rsidRPr="009A46BB">
            <w:rPr>
              <w:rFonts w:ascii="Times New Roman" w:hAnsi="Times New Roman"/>
              <w:b/>
              <w:sz w:val="24"/>
              <w:szCs w:val="24"/>
            </w:rPr>
            <w:tab/>
          </w:r>
        </w:p>
        <w:p w14:paraId="2791C2A4"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1: Tarifas:</w:t>
          </w:r>
          <w:r w:rsidRPr="009A46BB">
            <w:rPr>
              <w:rFonts w:ascii="Times New Roman" w:hAnsi="Times New Roman"/>
              <w:sz w:val="24"/>
              <w:szCs w:val="24"/>
            </w:rPr>
            <w:t xml:space="preserve"> Aprobadas según la metodología establecida por la Superintendencia General de Puertos hoy Superintendencia de Transporte.</w:t>
          </w:r>
        </w:p>
        <w:p w14:paraId="1DE4E1F3"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 xml:space="preserve">2: Contraprestación portuaria: </w:t>
          </w:r>
          <w:r w:rsidRPr="009A46BB">
            <w:rPr>
              <w:rFonts w:ascii="Times New Roman" w:hAnsi="Times New Roman"/>
              <w:sz w:val="24"/>
              <w:szCs w:val="24"/>
            </w:rPr>
            <w:t>la contraprestación se debe pagar de manera anual anticipada desde el mes de enero de cada año</w:t>
          </w:r>
        </w:p>
        <w:p w14:paraId="70BCEEFB"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3: Plan de inversiones:</w:t>
          </w:r>
          <w:r w:rsidRPr="009A46BB">
            <w:rPr>
              <w:rFonts w:ascii="Times New Roman" w:hAnsi="Times New Roman"/>
              <w:sz w:val="24"/>
              <w:szCs w:val="24"/>
            </w:rPr>
            <w:t xml:space="preserve"> Se estableció en la cláusula séptima del contrato ejecución de inversiones en el periodo de tiempo comprendido entre el año 2010 a 2021.</w:t>
          </w:r>
        </w:p>
        <w:p w14:paraId="1B290CDF"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4: Multas:</w:t>
          </w:r>
          <w:r w:rsidRPr="009A46BB">
            <w:rPr>
              <w:rFonts w:ascii="Times New Roman" w:hAnsi="Times New Roman"/>
              <w:sz w:val="24"/>
              <w:szCs w:val="24"/>
            </w:rPr>
            <w:t xml:space="preserve"> Cláusula décima octava contrato 002 de 2008.</w:t>
          </w:r>
        </w:p>
        <w:p w14:paraId="10DF79E4"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Términos de certeza de flujos de efectivo futuros:</w:t>
          </w:r>
        </w:p>
        <w:p w14:paraId="6853E01D"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Se otorga a EL CONCESIONARIO el derecho de ocupar y utilizar en forma temporal y exclusiva las playas, los terrenos de bajamar y zonas accesorias a aquellas o estos, de un sector de playa ubicado en el sitio denominado Punta de las Vacas, frente a la Bahía de Turbo, departamento de Antioquia para la operación y el mantenimiento del muelle existente, destinado al recibo y despacho de combustibles, a cambio de la contraprestación establecida en la cláusula octava del contrato.</w:t>
          </w:r>
        </w:p>
        <w:p w14:paraId="74C9B2E4"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Cláusula Octava, del valor a pagar por concepto de contraprestación por Zona de Uso público el 80% le corresponde a la Nación-INVIAS y el 20 % al municipio de Turbo (Antioquia) y por Infraestructura el 100% a la Nación-INVIAS.</w:t>
          </w:r>
        </w:p>
        <w:p w14:paraId="78E0C66B" w14:textId="13835CD9" w:rsidR="00274429" w:rsidRPr="009A46BB" w:rsidRDefault="00274429" w:rsidP="00E60BAB">
          <w:pPr>
            <w:pStyle w:val="Prrafodelista"/>
            <w:numPr>
              <w:ilvl w:val="0"/>
              <w:numId w:val="140"/>
            </w:numPr>
            <w:jc w:val="both"/>
            <w:rPr>
              <w:rFonts w:ascii="Times New Roman" w:hAnsi="Times New Roman"/>
              <w:b/>
            </w:rPr>
          </w:pPr>
          <w:r w:rsidRPr="009A46BB">
            <w:rPr>
              <w:rFonts w:ascii="Times New Roman" w:hAnsi="Times New Roman"/>
              <w:b/>
              <w:sz w:val="24"/>
              <w:szCs w:val="24"/>
            </w:rPr>
            <w:t xml:space="preserve">Naturaleza y alcance del derecho a utilizar activos especificados, de los aspectos pactados en torno a lo que se espera que el concesionario proporcione en relación con el acuerdo de concesión. </w:t>
          </w:r>
        </w:p>
        <w:p w14:paraId="6228DECB"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lastRenderedPageBreak/>
            <w:t>Naturaleza y alcance del derecho de uso de los activos</w:t>
          </w:r>
        </w:p>
        <w:p w14:paraId="54F80F8D"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w:t>
          </w:r>
          <w:r w:rsidRPr="009A46BB">
            <w:rPr>
              <w:rFonts w:ascii="Times New Roman" w:hAnsi="Times New Roman"/>
              <w:sz w:val="24"/>
              <w:szCs w:val="24"/>
            </w:rPr>
            <w:t>:</w:t>
          </w:r>
          <w:r w:rsidRPr="009A46BB">
            <w:rPr>
              <w:rFonts w:ascii="Times New Roman" w:hAnsi="Times New Roman"/>
              <w:sz w:val="24"/>
              <w:szCs w:val="24"/>
            </w:rPr>
            <w:tab/>
            <w:t>Descripción del proyecto, especificaciones técnicas, modalidades de operación: las condiciones especiales de operación del puerto están establecidas en la cláusula quinta. las condiciones especiales de operación del puerto están establecidas en la cláusula quinta.</w:t>
          </w:r>
        </w:p>
        <w:p w14:paraId="4B796D16"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Área entregada en concesión:</w:t>
          </w:r>
          <w:r w:rsidRPr="009A46BB">
            <w:rPr>
              <w:rFonts w:ascii="Times New Roman" w:hAnsi="Times New Roman"/>
              <w:sz w:val="24"/>
              <w:szCs w:val="24"/>
            </w:rPr>
            <w:t xml:space="preserve"> La descripción de la ubicación, linderos y extensión de los bienes de uso público (construcciones portuarias, playas y terrenos de baja mar, zonas marítimas accesorias de maniobras) entregados en concesión están establecidos en la cláusula segunda</w:t>
          </w:r>
        </w:p>
        <w:p w14:paraId="0C5ACF2B"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Infraestructura y equipos entregados en concesión:</w:t>
          </w:r>
          <w:r w:rsidRPr="009A46BB">
            <w:rPr>
              <w:rFonts w:ascii="Times New Roman" w:hAnsi="Times New Roman"/>
              <w:sz w:val="24"/>
              <w:szCs w:val="24"/>
            </w:rPr>
            <w:t xml:space="preserve"> En la cláusula segunda del Contrato, se describe que lo entregado en concesión fue:</w:t>
          </w:r>
        </w:p>
        <w:p w14:paraId="12CA66DC"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Infraestructura</w:t>
          </w:r>
          <w:r w:rsidRPr="009A46BB">
            <w:rPr>
              <w:rFonts w:ascii="Times New Roman" w:hAnsi="Times New Roman"/>
              <w:sz w:val="24"/>
              <w:szCs w:val="24"/>
            </w:rPr>
            <w:t>: Muelle tipo patalán en concreto conformado por una pasarela de acceso en concreto soportada en pilotes de concreto, perpendicular a la línea de playa, con una longitud de 69,08 metros de largo por 1)50 metros de ancho, una plataforma central de operaciones en concreto de 5,6 metros de ancho por 8,8 metros de largo, dos (2) piñas en concreto para atraque o amarre de los buques, a lo largo de la pasarela y paralelas a ella, corren cuatro (4) tuberías de diámetro A" para el transporte de los combustibles, distribuidas así: 3 tuberías (1 para gasolina corriente, 1 para gasolina premium y 1 para diésel) y la otra, para el agua utilizada en el equipo contra Incendios del muelle y de la planta. Adicionalmente, existe una bodega para el almacenamiento de lubricantes, una (1) caseta construida en la plataforma central con techo de hoja de zinc y nueve (9) pilotes de madera; dicha caseta lleva nueve (9) bases de concreto; dentro de esta se encuentran: dos (2) postes de energía con su respectivas luminarias, tres (3) pilotes para prender y apagar las bombas de combustibles, tres (3) juegos de válvulas para operación, tres (3) Juegos de válvulas de paso para diésel, gasolina corriente y premium.</w:t>
          </w:r>
        </w:p>
        <w:p w14:paraId="79D8CF46"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Equipos</w:t>
          </w:r>
          <w:r w:rsidRPr="009A46BB">
            <w:rPr>
              <w:rFonts w:ascii="Times New Roman" w:hAnsi="Times New Roman"/>
              <w:sz w:val="24"/>
              <w:szCs w:val="24"/>
            </w:rPr>
            <w:t>: Una (í) registradora diésel, un (1) contador diésel, una (1) registradora gasolina, un (1) contador gasolina, una (1) registradora premium, un (1) contador premium. También cuenta con un equipo centra incendio constituido pon una (1} granada sumergida en el mar, una (1) bomba centrifuga, un (1) monitor ecualizable con boquillas, mangueras y un (1) extintor satélite de 1501b tipo ABC.</w:t>
          </w:r>
        </w:p>
        <w:p w14:paraId="0D94A9F7"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Retribución al concesionario</w:t>
          </w:r>
        </w:p>
        <w:p w14:paraId="1B493430"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w:t>
          </w:r>
          <w:r w:rsidRPr="009A46BB">
            <w:rPr>
              <w:rFonts w:ascii="Times New Roman" w:hAnsi="Times New Roman"/>
              <w:sz w:val="24"/>
              <w:szCs w:val="24"/>
            </w:rPr>
            <w:t>:</w:t>
          </w:r>
          <w:r w:rsidRPr="009A46BB">
            <w:rPr>
              <w:rFonts w:ascii="Times New Roman" w:hAnsi="Times New Roman"/>
              <w:sz w:val="24"/>
              <w:szCs w:val="24"/>
            </w:rPr>
            <w:tab/>
            <w:t>Cláusula primera Contrato 002 de 2008: Se otorga a EL CONCESIONARIO el derecho de ocupar y utilizar en forma temporal y exclusiva las playas, los terrenos de bajamar y zonas accesorias a aquellas o estos, de un sector de playa ubicado en el sitio denominado Punta de las Vacas, frente a la Bahía de Turbo, departamento de Antioquia, a cambio de la contraprestación establecida en la cláusula octava del contrato.</w:t>
          </w:r>
        </w:p>
        <w:p w14:paraId="6263C58A"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Tasa de retribución:</w:t>
          </w:r>
          <w:r w:rsidRPr="009A46BB">
            <w:rPr>
              <w:rFonts w:ascii="Times New Roman" w:hAnsi="Times New Roman"/>
              <w:sz w:val="24"/>
              <w:szCs w:val="24"/>
            </w:rPr>
            <w:tab/>
            <w:t>N/A</w:t>
          </w:r>
        </w:p>
        <w:p w14:paraId="289E3080" w14:textId="54AC6979" w:rsidR="00274429" w:rsidRPr="009A46BB" w:rsidRDefault="00274429" w:rsidP="00E60BAB">
          <w:pPr>
            <w:pStyle w:val="Prrafodelista"/>
            <w:numPr>
              <w:ilvl w:val="0"/>
              <w:numId w:val="171"/>
            </w:numPr>
            <w:jc w:val="both"/>
            <w:rPr>
              <w:rFonts w:ascii="Times New Roman" w:hAnsi="Times New Roman"/>
              <w:b/>
            </w:rPr>
          </w:pPr>
          <w:r w:rsidRPr="009A46BB">
            <w:rPr>
              <w:rFonts w:ascii="Times New Roman" w:hAnsi="Times New Roman"/>
              <w:b/>
              <w:sz w:val="24"/>
              <w:szCs w:val="24"/>
            </w:rPr>
            <w:t>Derechos a recibir activos especificados al final del acuerdo de concesión</w:t>
          </w:r>
        </w:p>
        <w:p w14:paraId="57B77185"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lastRenderedPageBreak/>
            <w:t>Descripción</w:t>
          </w:r>
          <w:r w:rsidRPr="009A46BB">
            <w:rPr>
              <w:rFonts w:ascii="Times New Roman" w:hAnsi="Times New Roman"/>
              <w:sz w:val="24"/>
              <w:szCs w:val="24"/>
            </w:rPr>
            <w:t>:</w:t>
          </w:r>
          <w:r w:rsidRPr="009A46BB">
            <w:rPr>
              <w:rFonts w:ascii="Times New Roman" w:hAnsi="Times New Roman"/>
              <w:sz w:val="24"/>
              <w:szCs w:val="24"/>
            </w:rPr>
            <w:tab/>
            <w:t>De acuerdo con el Artículo 8º de la Ley 1 de 1991 en el modo portuario el concesionario no tiene derechos finales sobre activos los debe revertir a la Nación al final del contrato de concesión</w:t>
          </w:r>
        </w:p>
        <w:p w14:paraId="338ADF0C"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Observaciones</w:t>
          </w:r>
          <w:r w:rsidRPr="009A46BB">
            <w:rPr>
              <w:rFonts w:ascii="Times New Roman" w:hAnsi="Times New Roman"/>
              <w:sz w:val="24"/>
              <w:szCs w:val="24"/>
            </w:rPr>
            <w:t>:</w:t>
          </w:r>
        </w:p>
        <w:p w14:paraId="719BA021"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Reversión</w:t>
          </w:r>
          <w:r w:rsidRPr="009A46BB">
            <w:rPr>
              <w:rFonts w:ascii="Times New Roman" w:hAnsi="Times New Roman"/>
              <w:sz w:val="24"/>
              <w:szCs w:val="24"/>
            </w:rPr>
            <w:t>: De acuerdo con lo establecido en la cláusula décimo segunda del contrato de concesión, la zona de uso público y todas las construcciones y equipos entregadas en concesión se revertirán a la Nación en buenas condiciones de operación tecnológica, mantenimiento y de adecuada eficiencia al término de este contrato y de las prórrogas sí la hubiere. Igualmente procederá la reversión al ser declarado la caducidad o la terminación unilateral.</w:t>
          </w:r>
        </w:p>
        <w:p w14:paraId="7A5B0AD8"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Para tal fin, en el momento de la reversión el CONCESIONARIO deberá hacer entrega de un avaluó comercial actualizado y valoración técnica de las condiciones de operación de la Infraestructura portuaria, equipos e Inmuebles por destinación que habitualmente se encuentren instalados en las zonas de uso público que se revierten y que son propiedad de la Nación.</w:t>
          </w:r>
        </w:p>
        <w:p w14:paraId="11BC003A"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La ANI es la entidad concedente pero la titularidad de los activos al final de la concesión es del Instituto Nacional de Vías INVIAS</w:t>
          </w:r>
        </w:p>
        <w:p w14:paraId="74615901" w14:textId="55B552A6" w:rsidR="00274429" w:rsidRPr="009A46BB" w:rsidRDefault="008B5750" w:rsidP="00E60BAB">
          <w:pPr>
            <w:pStyle w:val="Prrafodelista"/>
            <w:numPr>
              <w:ilvl w:val="0"/>
              <w:numId w:val="171"/>
            </w:numPr>
            <w:jc w:val="both"/>
            <w:rPr>
              <w:rFonts w:ascii="Times New Roman" w:hAnsi="Times New Roman"/>
              <w:b/>
            </w:rPr>
          </w:pPr>
          <w:r w:rsidRPr="009A46BB">
            <w:rPr>
              <w:rFonts w:ascii="Times New Roman" w:hAnsi="Times New Roman"/>
              <w:b/>
              <w:sz w:val="24"/>
              <w:szCs w:val="24"/>
            </w:rPr>
            <w:t>No hay c</w:t>
          </w:r>
          <w:r w:rsidR="00274429" w:rsidRPr="009A46BB">
            <w:rPr>
              <w:rFonts w:ascii="Times New Roman" w:hAnsi="Times New Roman"/>
              <w:b/>
              <w:sz w:val="24"/>
              <w:szCs w:val="24"/>
            </w:rPr>
            <w:t>ambios en el acuerdo de concesión que se realicen durante el periodo fiscal</w:t>
          </w:r>
        </w:p>
        <w:p w14:paraId="55A07472" w14:textId="365B375E" w:rsidR="00274429" w:rsidRPr="009A46BB" w:rsidRDefault="00274429" w:rsidP="00274429">
          <w:pPr>
            <w:jc w:val="both"/>
            <w:rPr>
              <w:rFonts w:ascii="Times New Roman" w:hAnsi="Times New Roman"/>
              <w:sz w:val="24"/>
              <w:szCs w:val="24"/>
            </w:rPr>
          </w:pPr>
        </w:p>
        <w:p w14:paraId="261D531C" w14:textId="0C7EA9A3" w:rsidR="00274429" w:rsidRPr="009A46BB" w:rsidRDefault="008B5750" w:rsidP="00D91D86">
          <w:pPr>
            <w:spacing w:line="259" w:lineRule="auto"/>
            <w:jc w:val="both"/>
            <w:rPr>
              <w:rFonts w:ascii="Times New Roman" w:hAnsi="Times New Roman"/>
              <w:b/>
              <w:sz w:val="24"/>
              <w:szCs w:val="24"/>
            </w:rPr>
          </w:pPr>
          <w:r w:rsidRPr="009A46BB">
            <w:rPr>
              <w:rFonts w:ascii="Times New Roman" w:hAnsi="Times New Roman"/>
              <w:b/>
              <w:sz w:val="24"/>
              <w:szCs w:val="24"/>
            </w:rPr>
            <w:t>SOCIEDAD PORTUARIA TERMINAL DE CONTENEDORES DE CARTAGENA S.A.</w:t>
          </w:r>
        </w:p>
        <w:p w14:paraId="4E0A2A2B" w14:textId="67897E64" w:rsidR="00274429" w:rsidRPr="009A46BB" w:rsidRDefault="00274429" w:rsidP="2B77AE96">
          <w:pPr>
            <w:pStyle w:val="Prrafodelista"/>
            <w:jc w:val="both"/>
            <w:rPr>
              <w:rFonts w:ascii="Times New Roman" w:hAnsi="Times New Roman"/>
              <w:b/>
            </w:rPr>
          </w:pPr>
          <w:r w:rsidRPr="009A46BB">
            <w:rPr>
              <w:rFonts w:ascii="Times New Roman" w:hAnsi="Times New Roman"/>
              <w:b/>
              <w:sz w:val="24"/>
              <w:szCs w:val="24"/>
            </w:rPr>
            <w:t>Descripción del acuerdo</w:t>
          </w:r>
        </w:p>
        <w:p w14:paraId="6D480221" w14:textId="73E908A7" w:rsidR="00274429" w:rsidRPr="009A46BB" w:rsidRDefault="00274429" w:rsidP="2B77AE96">
          <w:pPr>
            <w:spacing w:after="0"/>
            <w:jc w:val="both"/>
            <w:rPr>
              <w:rFonts w:ascii="Times New Roman" w:hAnsi="Times New Roman"/>
              <w:sz w:val="24"/>
              <w:szCs w:val="24"/>
            </w:rPr>
          </w:pPr>
          <w:r w:rsidRPr="009A46BB">
            <w:rPr>
              <w:rFonts w:ascii="Times New Roman" w:hAnsi="Times New Roman"/>
              <w:b/>
              <w:sz w:val="24"/>
              <w:szCs w:val="24"/>
            </w:rPr>
            <w:t>Número del acuerdo de concesión:</w:t>
          </w:r>
          <w:r w:rsidR="00D91D86" w:rsidRPr="009A46BB">
            <w:rPr>
              <w:rFonts w:ascii="Times New Roman" w:hAnsi="Times New Roman"/>
              <w:b/>
              <w:sz w:val="24"/>
              <w:szCs w:val="24"/>
            </w:rPr>
            <w:t xml:space="preserve"> </w:t>
          </w:r>
          <w:r w:rsidRPr="009A46BB">
            <w:rPr>
              <w:rFonts w:ascii="Times New Roman" w:hAnsi="Times New Roman"/>
              <w:sz w:val="24"/>
              <w:szCs w:val="24"/>
            </w:rPr>
            <w:t>Contrato de Concesión Portuaria No. 003 de 2008.</w:t>
          </w:r>
        </w:p>
        <w:p w14:paraId="0CEDC38E" w14:textId="556A40BA" w:rsidR="00274429" w:rsidRPr="009A46BB" w:rsidRDefault="00274429" w:rsidP="2B77AE96">
          <w:pPr>
            <w:spacing w:after="0"/>
            <w:jc w:val="both"/>
            <w:rPr>
              <w:rFonts w:ascii="Times New Roman" w:hAnsi="Times New Roman"/>
              <w:sz w:val="24"/>
              <w:szCs w:val="24"/>
            </w:rPr>
          </w:pPr>
          <w:r w:rsidRPr="009A46BB">
            <w:rPr>
              <w:rFonts w:ascii="Times New Roman" w:hAnsi="Times New Roman"/>
              <w:b/>
              <w:sz w:val="24"/>
              <w:szCs w:val="24"/>
            </w:rPr>
            <w:t>Objeto / Descripción:</w:t>
          </w:r>
          <w:r w:rsidR="00D91D86" w:rsidRPr="009A46BB">
            <w:rPr>
              <w:rFonts w:ascii="Times New Roman" w:hAnsi="Times New Roman"/>
              <w:b/>
              <w:sz w:val="24"/>
              <w:szCs w:val="24"/>
            </w:rPr>
            <w:t xml:space="preserve"> </w:t>
          </w:r>
          <w:r w:rsidRPr="009A46BB">
            <w:rPr>
              <w:rFonts w:ascii="Times New Roman" w:hAnsi="Times New Roman"/>
              <w:sz w:val="24"/>
              <w:szCs w:val="24"/>
            </w:rPr>
            <w:t>En virtud del Contrato de concesión, se permite al CONCESIONARIO la ocupación en forma temporal y exclusiva de una zona de playas, de bajamar y aguas marítimas accesorias junto con las construcciones e inmuebles por destinación que allí se encuentra, para la construcción, operación y el desarrollo de actividades portuarias de servicio público, conforme lo establece la Cláusula Primera del Contrato.</w:t>
          </w:r>
        </w:p>
        <w:p w14:paraId="2ED87B47" w14:textId="73F8C5BD" w:rsidR="00274429" w:rsidRPr="009A46BB" w:rsidRDefault="00274429" w:rsidP="2B77AE96">
          <w:pPr>
            <w:spacing w:after="0"/>
            <w:jc w:val="both"/>
            <w:rPr>
              <w:rFonts w:ascii="Times New Roman" w:hAnsi="Times New Roman"/>
              <w:sz w:val="24"/>
              <w:szCs w:val="24"/>
            </w:rPr>
          </w:pPr>
          <w:r w:rsidRPr="009A46BB">
            <w:rPr>
              <w:rFonts w:ascii="Times New Roman" w:hAnsi="Times New Roman"/>
              <w:b/>
              <w:sz w:val="24"/>
              <w:szCs w:val="24"/>
            </w:rPr>
            <w:t>Valor inicial:</w:t>
          </w:r>
          <w:r w:rsidR="00D91D86" w:rsidRPr="009A46BB">
            <w:rPr>
              <w:rFonts w:ascii="Times New Roman" w:hAnsi="Times New Roman"/>
              <w:b/>
              <w:sz w:val="24"/>
              <w:szCs w:val="24"/>
            </w:rPr>
            <w:t xml:space="preserve"> </w:t>
          </w:r>
          <w:r w:rsidRPr="009A46BB">
            <w:rPr>
              <w:rFonts w:ascii="Times New Roman" w:hAnsi="Times New Roman"/>
              <w:sz w:val="24"/>
              <w:szCs w:val="24"/>
            </w:rPr>
            <w:t>USD 15.854.066 Cláusula décima/Contrato No. 003 de 2008</w:t>
          </w:r>
        </w:p>
        <w:p w14:paraId="4E0BDFA5" w14:textId="2C27F378" w:rsidR="00274429" w:rsidRPr="009A46BB" w:rsidRDefault="00274429" w:rsidP="2B77AE96">
          <w:pPr>
            <w:spacing w:after="0"/>
            <w:jc w:val="both"/>
            <w:rPr>
              <w:rFonts w:ascii="Times New Roman" w:hAnsi="Times New Roman"/>
              <w:sz w:val="24"/>
              <w:szCs w:val="24"/>
            </w:rPr>
          </w:pPr>
          <w:r w:rsidRPr="009A46BB">
            <w:rPr>
              <w:rFonts w:ascii="Times New Roman" w:hAnsi="Times New Roman"/>
              <w:b/>
              <w:sz w:val="24"/>
              <w:szCs w:val="24"/>
            </w:rPr>
            <w:t>Fecha de inicio:</w:t>
          </w:r>
          <w:r w:rsidR="00D91D86" w:rsidRPr="009A46BB">
            <w:rPr>
              <w:rFonts w:ascii="Times New Roman" w:hAnsi="Times New Roman"/>
              <w:b/>
              <w:sz w:val="24"/>
              <w:szCs w:val="24"/>
            </w:rPr>
            <w:t xml:space="preserve"> </w:t>
          </w:r>
          <w:r w:rsidRPr="009A46BB">
            <w:rPr>
              <w:rFonts w:ascii="Times New Roman" w:hAnsi="Times New Roman"/>
              <w:sz w:val="24"/>
              <w:szCs w:val="24"/>
            </w:rPr>
            <w:t>30/12/2008</w:t>
          </w:r>
        </w:p>
        <w:p w14:paraId="388F9F79" w14:textId="2212BA2B" w:rsidR="00274429" w:rsidRPr="009A46BB" w:rsidRDefault="00274429" w:rsidP="2B77AE96">
          <w:pPr>
            <w:spacing w:after="0"/>
            <w:jc w:val="both"/>
            <w:rPr>
              <w:rFonts w:ascii="Times New Roman" w:hAnsi="Times New Roman"/>
              <w:sz w:val="24"/>
              <w:szCs w:val="24"/>
            </w:rPr>
          </w:pPr>
          <w:r w:rsidRPr="009A46BB">
            <w:rPr>
              <w:rFonts w:ascii="Times New Roman" w:hAnsi="Times New Roman"/>
              <w:b/>
              <w:sz w:val="24"/>
              <w:szCs w:val="24"/>
            </w:rPr>
            <w:t>Fecha de finalización estimada:</w:t>
          </w:r>
          <w:r w:rsidRPr="009A46BB">
            <w:rPr>
              <w:rFonts w:ascii="Times New Roman" w:hAnsi="Times New Roman"/>
              <w:sz w:val="24"/>
              <w:szCs w:val="24"/>
            </w:rPr>
            <w:t>29/12/2038</w:t>
          </w:r>
        </w:p>
        <w:p w14:paraId="20039339" w14:textId="37639306" w:rsidR="00274429" w:rsidRPr="009A46BB" w:rsidRDefault="00274429" w:rsidP="2B77AE96">
          <w:pPr>
            <w:spacing w:after="0"/>
            <w:jc w:val="both"/>
            <w:rPr>
              <w:rFonts w:ascii="Times New Roman" w:hAnsi="Times New Roman"/>
              <w:sz w:val="24"/>
              <w:szCs w:val="24"/>
            </w:rPr>
          </w:pPr>
          <w:r w:rsidRPr="009A46BB">
            <w:rPr>
              <w:rFonts w:ascii="Times New Roman" w:hAnsi="Times New Roman"/>
              <w:b/>
              <w:sz w:val="24"/>
              <w:szCs w:val="24"/>
            </w:rPr>
            <w:t>Tipo ID:</w:t>
          </w:r>
          <w:r w:rsidR="00D91D86" w:rsidRPr="009A46BB">
            <w:rPr>
              <w:rFonts w:ascii="Times New Roman" w:hAnsi="Times New Roman"/>
              <w:b/>
              <w:sz w:val="24"/>
              <w:szCs w:val="24"/>
            </w:rPr>
            <w:t xml:space="preserve"> </w:t>
          </w:r>
          <w:r w:rsidRPr="009A46BB">
            <w:rPr>
              <w:rFonts w:ascii="Times New Roman" w:hAnsi="Times New Roman"/>
              <w:sz w:val="24"/>
              <w:szCs w:val="24"/>
            </w:rPr>
            <w:t>NIT</w:t>
          </w:r>
        </w:p>
        <w:p w14:paraId="111D56A8" w14:textId="7658CF3F" w:rsidR="00274429" w:rsidRPr="009A46BB" w:rsidRDefault="00274429" w:rsidP="2B77AE96">
          <w:pPr>
            <w:spacing w:after="0"/>
            <w:jc w:val="both"/>
            <w:rPr>
              <w:rFonts w:ascii="Times New Roman" w:hAnsi="Times New Roman"/>
              <w:sz w:val="24"/>
              <w:szCs w:val="24"/>
            </w:rPr>
          </w:pPr>
          <w:r w:rsidRPr="009A46BB">
            <w:rPr>
              <w:rFonts w:ascii="Times New Roman" w:hAnsi="Times New Roman"/>
              <w:b/>
              <w:sz w:val="24"/>
              <w:szCs w:val="24"/>
            </w:rPr>
            <w:t>Número ID:</w:t>
          </w:r>
          <w:r w:rsidR="00D91D86" w:rsidRPr="009A46BB">
            <w:rPr>
              <w:rFonts w:ascii="Times New Roman" w:hAnsi="Times New Roman"/>
              <w:b/>
              <w:sz w:val="24"/>
              <w:szCs w:val="24"/>
            </w:rPr>
            <w:t xml:space="preserve"> </w:t>
          </w:r>
          <w:r w:rsidRPr="009A46BB">
            <w:rPr>
              <w:rFonts w:ascii="Times New Roman" w:hAnsi="Times New Roman"/>
              <w:sz w:val="24"/>
              <w:szCs w:val="24"/>
            </w:rPr>
            <w:t>800.116.164-0</w:t>
          </w:r>
        </w:p>
        <w:p w14:paraId="5AF6A3E5" w14:textId="074791E5" w:rsidR="00274429" w:rsidRPr="009A46BB" w:rsidRDefault="00274429" w:rsidP="2B77AE96">
          <w:pPr>
            <w:spacing w:after="0"/>
            <w:jc w:val="both"/>
            <w:rPr>
              <w:rFonts w:ascii="Times New Roman" w:hAnsi="Times New Roman"/>
              <w:sz w:val="24"/>
              <w:szCs w:val="24"/>
            </w:rPr>
          </w:pPr>
          <w:r w:rsidRPr="009A46BB">
            <w:rPr>
              <w:rFonts w:ascii="Times New Roman" w:hAnsi="Times New Roman"/>
              <w:b/>
              <w:sz w:val="24"/>
              <w:szCs w:val="24"/>
            </w:rPr>
            <w:t>Razón social del concesionario:</w:t>
          </w:r>
          <w:r w:rsidR="00D91D86" w:rsidRPr="009A46BB">
            <w:rPr>
              <w:rFonts w:ascii="Times New Roman" w:hAnsi="Times New Roman"/>
              <w:b/>
              <w:sz w:val="24"/>
              <w:szCs w:val="24"/>
            </w:rPr>
            <w:t xml:space="preserve"> </w:t>
          </w:r>
          <w:r w:rsidRPr="009A46BB">
            <w:rPr>
              <w:rFonts w:ascii="Times New Roman" w:hAnsi="Times New Roman"/>
              <w:sz w:val="24"/>
              <w:szCs w:val="24"/>
            </w:rPr>
            <w:t>SOCIEDAD PORTUARIA TERMINAL DE CONTENEDORES DE CARTAGENA S.A.</w:t>
          </w:r>
        </w:p>
        <w:p w14:paraId="1D97BBAA" w14:textId="17F29C0C" w:rsidR="00274429" w:rsidRPr="009A46BB" w:rsidRDefault="00274429" w:rsidP="2B77AE96">
          <w:pPr>
            <w:spacing w:after="0"/>
            <w:jc w:val="both"/>
            <w:rPr>
              <w:rFonts w:ascii="Times New Roman" w:hAnsi="Times New Roman"/>
              <w:sz w:val="24"/>
              <w:szCs w:val="24"/>
            </w:rPr>
          </w:pPr>
          <w:r w:rsidRPr="009A46BB">
            <w:rPr>
              <w:rFonts w:ascii="Times New Roman" w:hAnsi="Times New Roman"/>
              <w:b/>
              <w:sz w:val="24"/>
              <w:szCs w:val="24"/>
            </w:rPr>
            <w:t>Nombre del proyecto:</w:t>
          </w:r>
          <w:r w:rsidR="00D91D86" w:rsidRPr="009A46BB">
            <w:rPr>
              <w:rFonts w:ascii="Times New Roman" w:hAnsi="Times New Roman"/>
              <w:b/>
              <w:sz w:val="24"/>
              <w:szCs w:val="24"/>
            </w:rPr>
            <w:t xml:space="preserve"> </w:t>
          </w:r>
          <w:r w:rsidRPr="009A46BB">
            <w:rPr>
              <w:rFonts w:ascii="Times New Roman" w:hAnsi="Times New Roman"/>
              <w:sz w:val="24"/>
              <w:szCs w:val="24"/>
            </w:rPr>
            <w:t>SOCIEDAD PORTUARIA TERMINAL DE CONTENEDORES DE CARTAGENA S.A.</w:t>
          </w:r>
        </w:p>
        <w:p w14:paraId="1EDC559A" w14:textId="631C62F8" w:rsidR="2B77AE96" w:rsidRDefault="2B77AE96" w:rsidP="2B77AE96">
          <w:pPr>
            <w:spacing w:after="0"/>
            <w:jc w:val="both"/>
            <w:rPr>
              <w:rFonts w:ascii="Times New Roman" w:hAnsi="Times New Roman"/>
              <w:sz w:val="24"/>
              <w:szCs w:val="24"/>
            </w:rPr>
          </w:pPr>
        </w:p>
        <w:p w14:paraId="61071BA2" w14:textId="0954745A" w:rsidR="00274429" w:rsidRPr="009A46BB" w:rsidRDefault="00274429" w:rsidP="00E60BAB">
          <w:pPr>
            <w:pStyle w:val="Prrafodelista"/>
            <w:numPr>
              <w:ilvl w:val="0"/>
              <w:numId w:val="142"/>
            </w:numPr>
            <w:jc w:val="both"/>
            <w:rPr>
              <w:rFonts w:ascii="Times New Roman" w:hAnsi="Times New Roman"/>
              <w:b/>
            </w:rPr>
          </w:pPr>
          <w:r w:rsidRPr="009A46BB">
            <w:rPr>
              <w:rFonts w:ascii="Times New Roman" w:hAnsi="Times New Roman"/>
              <w:b/>
              <w:sz w:val="24"/>
              <w:szCs w:val="24"/>
            </w:rPr>
            <w:lastRenderedPageBreak/>
            <w:t>Términos significativos del acuerdo que puedan afectar su valor, el calendario y la certeza de los flujos</w:t>
          </w:r>
        </w:p>
        <w:p w14:paraId="68BBFC80"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Términos de valor:</w:t>
          </w:r>
        </w:p>
        <w:p w14:paraId="0ED2B4DC" w14:textId="6472283B"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1.</w:t>
          </w:r>
          <w:r w:rsidR="00D91D86" w:rsidRPr="009A46BB">
            <w:rPr>
              <w:rFonts w:ascii="Times New Roman" w:hAnsi="Times New Roman"/>
              <w:b/>
              <w:sz w:val="24"/>
              <w:szCs w:val="24"/>
            </w:rPr>
            <w:t xml:space="preserve"> </w:t>
          </w:r>
          <w:r w:rsidRPr="009A46BB">
            <w:rPr>
              <w:rFonts w:ascii="Times New Roman" w:hAnsi="Times New Roman"/>
              <w:b/>
              <w:sz w:val="24"/>
              <w:szCs w:val="24"/>
            </w:rPr>
            <w:t>Tarifas:</w:t>
          </w:r>
          <w:r w:rsidRPr="009A46BB">
            <w:rPr>
              <w:rFonts w:ascii="Times New Roman" w:hAnsi="Times New Roman"/>
              <w:sz w:val="24"/>
              <w:szCs w:val="24"/>
            </w:rPr>
            <w:t xml:space="preserve">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w:t>
          </w:r>
        </w:p>
        <w:p w14:paraId="44712726" w14:textId="2C222DA8"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2.</w:t>
          </w:r>
          <w:r w:rsidR="00D91D86" w:rsidRPr="009A46BB">
            <w:rPr>
              <w:rFonts w:ascii="Times New Roman" w:hAnsi="Times New Roman"/>
              <w:b/>
              <w:sz w:val="24"/>
              <w:szCs w:val="24"/>
            </w:rPr>
            <w:t xml:space="preserve"> </w:t>
          </w:r>
          <w:r w:rsidRPr="009A46BB">
            <w:rPr>
              <w:rFonts w:ascii="Times New Roman" w:hAnsi="Times New Roman"/>
              <w:b/>
              <w:sz w:val="24"/>
              <w:szCs w:val="24"/>
            </w:rPr>
            <w:t>Contraprestación portuaria:</w:t>
          </w:r>
          <w:r w:rsidRPr="009A46BB">
            <w:rPr>
              <w:rFonts w:ascii="Times New Roman" w:hAnsi="Times New Roman"/>
              <w:sz w:val="24"/>
              <w:szCs w:val="24"/>
            </w:rPr>
            <w:t xml:space="preserve"> De acuerdo con el último documento contractual vigente la metodología de contraprestación vigente es CONPES 2680 DE 1993 (Productividad). Se establece en la cláusula décima del Contrato que el CONCESIONARIO deberá pagar por concepto de zona de uso público la suma anual de (USD 2.078.961), de dicho pago el 80% le corresponde a la Nación Instituto nacional de vías (INVIAS) y el 20% restante al distrito de Cartagena de acuerdo con lo establecido en el parágrafo 1 del artículo 1 de la ley 856 del 21 de diciembre de 2003, que modifica el artículo 7 de la ley 1ª de 1991. Así mismo, por concepto de infraestructura el CONCESIONARIO deberá pagar la suma anual de (USD 217.207), el cual corresponde en un 100% a la Nación - Instituto Nacional de Vías (INVIAS) de acuerdo con lo establecido en el artículo 1 de la ley 856 del 21 diciembre de 2003.</w:t>
          </w:r>
        </w:p>
        <w:p w14:paraId="43F7C4BB" w14:textId="1094EF56"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3.</w:t>
          </w:r>
          <w:r w:rsidR="00D91D86" w:rsidRPr="009A46BB">
            <w:rPr>
              <w:rFonts w:ascii="Times New Roman" w:hAnsi="Times New Roman"/>
              <w:b/>
              <w:sz w:val="24"/>
              <w:szCs w:val="24"/>
            </w:rPr>
            <w:t xml:space="preserve"> </w:t>
          </w:r>
          <w:r w:rsidRPr="009A46BB">
            <w:rPr>
              <w:rFonts w:ascii="Times New Roman" w:hAnsi="Times New Roman"/>
              <w:b/>
              <w:sz w:val="24"/>
              <w:szCs w:val="24"/>
            </w:rPr>
            <w:t xml:space="preserve">Plan de Inversiones: </w:t>
          </w:r>
          <w:r w:rsidRPr="009A46BB">
            <w:rPr>
              <w:rFonts w:ascii="Times New Roman" w:hAnsi="Times New Roman"/>
              <w:sz w:val="24"/>
              <w:szCs w:val="24"/>
            </w:rPr>
            <w:t>está establecido en la cláusula séptima del contrato, el plan de inversión será de USD $156.608.998 en valores corrientes.</w:t>
          </w:r>
        </w:p>
        <w:p w14:paraId="1343114E" w14:textId="0A066A6D"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4.</w:t>
          </w:r>
          <w:r w:rsidR="00D91D86" w:rsidRPr="009A46BB">
            <w:rPr>
              <w:rFonts w:ascii="Times New Roman" w:hAnsi="Times New Roman"/>
              <w:b/>
              <w:sz w:val="24"/>
              <w:szCs w:val="24"/>
            </w:rPr>
            <w:t xml:space="preserve"> </w:t>
          </w:r>
          <w:r w:rsidRPr="009A46BB">
            <w:rPr>
              <w:rFonts w:ascii="Times New Roman" w:hAnsi="Times New Roman"/>
              <w:b/>
              <w:sz w:val="24"/>
              <w:szCs w:val="24"/>
            </w:rPr>
            <w:t>Obligaciones del CONCESIONARIO:</w:t>
          </w:r>
          <w:r w:rsidRPr="009A46BB">
            <w:rPr>
              <w:rFonts w:ascii="Times New Roman" w:hAnsi="Times New Roman"/>
              <w:sz w:val="24"/>
              <w:szCs w:val="24"/>
            </w:rPr>
            <w:t xml:space="preserve"> se encuentran descritas en la cláusula décima séptima. </w:t>
          </w:r>
        </w:p>
        <w:p w14:paraId="0EFB88DF" w14:textId="73BEDAC6"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5.</w:t>
          </w:r>
          <w:r w:rsidR="00D91D86" w:rsidRPr="009A46BB">
            <w:rPr>
              <w:rFonts w:ascii="Times New Roman" w:hAnsi="Times New Roman"/>
              <w:b/>
              <w:sz w:val="24"/>
              <w:szCs w:val="24"/>
            </w:rPr>
            <w:t xml:space="preserve"> </w:t>
          </w:r>
          <w:r w:rsidRPr="009A46BB">
            <w:rPr>
              <w:rFonts w:ascii="Times New Roman" w:hAnsi="Times New Roman"/>
              <w:b/>
              <w:sz w:val="24"/>
              <w:szCs w:val="24"/>
            </w:rPr>
            <w:t>Multas y sanciones:</w:t>
          </w:r>
          <w:r w:rsidRPr="009A46BB">
            <w:rPr>
              <w:rFonts w:ascii="Times New Roman" w:hAnsi="Times New Roman"/>
              <w:sz w:val="24"/>
              <w:szCs w:val="24"/>
            </w:rPr>
            <w:t xml:space="preserve"> están establecidas en la cláusula Vigésima.</w:t>
          </w:r>
        </w:p>
        <w:p w14:paraId="62BE9AF1" w14:textId="38BB2001"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6.</w:t>
          </w:r>
          <w:r w:rsidR="00D91D86" w:rsidRPr="009A46BB">
            <w:rPr>
              <w:rFonts w:ascii="Times New Roman" w:hAnsi="Times New Roman"/>
              <w:b/>
              <w:sz w:val="24"/>
              <w:szCs w:val="24"/>
            </w:rPr>
            <w:t xml:space="preserve"> </w:t>
          </w:r>
          <w:r w:rsidRPr="009A46BB">
            <w:rPr>
              <w:rFonts w:ascii="Times New Roman" w:hAnsi="Times New Roman"/>
              <w:b/>
              <w:sz w:val="24"/>
              <w:szCs w:val="24"/>
            </w:rPr>
            <w:t>Penal pecuniaria:</w:t>
          </w:r>
          <w:r w:rsidRPr="009A46BB">
            <w:rPr>
              <w:rFonts w:ascii="Times New Roman" w:hAnsi="Times New Roman"/>
              <w:sz w:val="24"/>
              <w:szCs w:val="24"/>
            </w:rPr>
            <w:t xml:space="preserve"> En la cláusula Vigésima Primera se establece que en el evento en que el INCO hoy ANI declare la caducidad o el incumplimiento del presente contrato se podrá imponer una penalidad pecuniaria.</w:t>
          </w:r>
        </w:p>
        <w:p w14:paraId="454AF7C7" w14:textId="6D73C6E8"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7</w:t>
          </w:r>
          <w:r w:rsidRPr="009A46BB">
            <w:rPr>
              <w:rFonts w:ascii="Times New Roman" w:hAnsi="Times New Roman"/>
              <w:sz w:val="24"/>
              <w:szCs w:val="24"/>
            </w:rPr>
            <w:t>.</w:t>
          </w:r>
          <w:r w:rsidR="00D91D86" w:rsidRPr="009A46BB">
            <w:rPr>
              <w:rFonts w:ascii="Times New Roman" w:hAnsi="Times New Roman"/>
              <w:sz w:val="24"/>
              <w:szCs w:val="24"/>
            </w:rPr>
            <w:t xml:space="preserve"> </w:t>
          </w:r>
          <w:r w:rsidRPr="009A46BB">
            <w:rPr>
              <w:rFonts w:ascii="Times New Roman" w:hAnsi="Times New Roman"/>
              <w:b/>
              <w:sz w:val="24"/>
              <w:szCs w:val="24"/>
            </w:rPr>
            <w:t>Riesgos:</w:t>
          </w:r>
          <w:r w:rsidRPr="009A46BB">
            <w:rPr>
              <w:rFonts w:ascii="Times New Roman" w:hAnsi="Times New Roman"/>
              <w:sz w:val="24"/>
              <w:szCs w:val="24"/>
            </w:rPr>
            <w:t xml:space="preserve"> están descritos en la cláusula trigésima segunda, el CONCESIONARIO acepta la totalidad de los riesgos inherentes a la ejecución del contrato en su etapa preoperativa, de construcciones operación, y de reversión, serán asumidos por EL, y que la ocurrencia de algún riesgo no dará derecho a indemnización o reconocimiento alguno a favor del CONCESIONARIO.</w:t>
          </w:r>
        </w:p>
        <w:p w14:paraId="68105A2B"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Términos de calendario:</w:t>
          </w:r>
          <w:r w:rsidRPr="009A46BB">
            <w:rPr>
              <w:rFonts w:ascii="Times New Roman" w:hAnsi="Times New Roman"/>
              <w:b/>
              <w:sz w:val="24"/>
              <w:szCs w:val="24"/>
            </w:rPr>
            <w:tab/>
          </w:r>
        </w:p>
        <w:p w14:paraId="56600B65" w14:textId="3344AC36"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1.</w:t>
          </w:r>
          <w:r w:rsidR="00D91D86" w:rsidRPr="009A46BB">
            <w:rPr>
              <w:rFonts w:ascii="Times New Roman" w:hAnsi="Times New Roman"/>
              <w:b/>
              <w:sz w:val="24"/>
              <w:szCs w:val="24"/>
            </w:rPr>
            <w:t xml:space="preserve"> </w:t>
          </w:r>
          <w:r w:rsidRPr="009A46BB">
            <w:rPr>
              <w:rFonts w:ascii="Times New Roman" w:hAnsi="Times New Roman"/>
              <w:b/>
              <w:sz w:val="24"/>
              <w:szCs w:val="24"/>
            </w:rPr>
            <w:t>Tarifas:</w:t>
          </w:r>
          <w:r w:rsidRPr="009A46BB">
            <w:rPr>
              <w:rFonts w:ascii="Times New Roman" w:hAnsi="Times New Roman"/>
              <w:sz w:val="24"/>
              <w:szCs w:val="24"/>
            </w:rPr>
            <w:t xml:space="preserve"> Aprobadas según la metodología establecida por la Superintendencia General de Puertos hoy Superintendencia de Transporte.</w:t>
          </w:r>
        </w:p>
        <w:p w14:paraId="3DA2117C" w14:textId="551396ED"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2.</w:t>
          </w:r>
          <w:r w:rsidR="00D91D86" w:rsidRPr="009A46BB">
            <w:rPr>
              <w:rFonts w:ascii="Times New Roman" w:hAnsi="Times New Roman"/>
              <w:b/>
              <w:sz w:val="24"/>
              <w:szCs w:val="24"/>
            </w:rPr>
            <w:t xml:space="preserve"> </w:t>
          </w:r>
          <w:r w:rsidRPr="009A46BB">
            <w:rPr>
              <w:rFonts w:ascii="Times New Roman" w:hAnsi="Times New Roman"/>
              <w:b/>
              <w:sz w:val="24"/>
              <w:szCs w:val="24"/>
            </w:rPr>
            <w:t>Contraprestación portuaria:</w:t>
          </w:r>
          <w:r w:rsidRPr="009A46BB">
            <w:rPr>
              <w:rFonts w:ascii="Times New Roman" w:hAnsi="Times New Roman"/>
              <w:sz w:val="24"/>
              <w:szCs w:val="24"/>
            </w:rPr>
            <w:t xml:space="preserve"> la contraprestación se debe pagar de manera anual anticipada desde el mes de enero de cada año</w:t>
          </w:r>
        </w:p>
        <w:p w14:paraId="0D859C30" w14:textId="564A90E0"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3.</w:t>
          </w:r>
          <w:r w:rsidR="00D91D86" w:rsidRPr="009A46BB">
            <w:rPr>
              <w:rFonts w:ascii="Times New Roman" w:hAnsi="Times New Roman"/>
              <w:b/>
              <w:sz w:val="24"/>
              <w:szCs w:val="24"/>
            </w:rPr>
            <w:t xml:space="preserve"> </w:t>
          </w:r>
          <w:r w:rsidRPr="009A46BB">
            <w:rPr>
              <w:rFonts w:ascii="Times New Roman" w:hAnsi="Times New Roman"/>
              <w:b/>
              <w:sz w:val="24"/>
              <w:szCs w:val="24"/>
            </w:rPr>
            <w:t>Plan de inversiones:</w:t>
          </w:r>
          <w:r w:rsidRPr="009A46BB">
            <w:rPr>
              <w:rFonts w:ascii="Times New Roman" w:hAnsi="Times New Roman"/>
              <w:sz w:val="24"/>
              <w:szCs w:val="24"/>
            </w:rPr>
            <w:t xml:space="preserve"> Se estableció en la cláusula séptima del Contrato No. 003 de 2008, la ejecución de inversiones en el periodo de tiempo comprendido entre el año 2008 a 2016.</w:t>
          </w:r>
        </w:p>
        <w:p w14:paraId="59C5A49E" w14:textId="1CC2F23D"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lastRenderedPageBreak/>
            <w:t>4.</w:t>
          </w:r>
          <w:r w:rsidR="00D91D86" w:rsidRPr="009A46BB">
            <w:rPr>
              <w:rFonts w:ascii="Times New Roman" w:hAnsi="Times New Roman"/>
              <w:b/>
              <w:sz w:val="24"/>
              <w:szCs w:val="24"/>
            </w:rPr>
            <w:t xml:space="preserve"> </w:t>
          </w:r>
          <w:r w:rsidRPr="009A46BB">
            <w:rPr>
              <w:rFonts w:ascii="Times New Roman" w:hAnsi="Times New Roman"/>
              <w:b/>
              <w:sz w:val="24"/>
              <w:szCs w:val="24"/>
            </w:rPr>
            <w:t>Multas:</w:t>
          </w:r>
          <w:r w:rsidRPr="009A46BB">
            <w:rPr>
              <w:rFonts w:ascii="Times New Roman" w:hAnsi="Times New Roman"/>
              <w:sz w:val="24"/>
              <w:szCs w:val="24"/>
            </w:rPr>
            <w:t xml:space="preserve"> están establecidas en la cláusula Vigésima.</w:t>
          </w:r>
        </w:p>
        <w:p w14:paraId="0E4930AC"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Términos de certeza de flujos de efectivo futuros:</w:t>
          </w:r>
        </w:p>
        <w:p w14:paraId="28DCDFD9"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Se otorga a EL CONCESIONARIO el derecho de ocupar y utilizar en forma temporal y exclusiva las playas, los terrenos de bajamar y zonas accesorias a aquellas o estos, descritos en la cláusula segunda del contrato, a cambio de la contraprestación económica.</w:t>
          </w:r>
        </w:p>
        <w:p w14:paraId="3C844580"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Cláusula Décima, Parágrafo segundo. Del valor a pagar por concepto de contraprestación por Zona de Uso público el 80% le corresponde a la Nación-INVIAS y el 20 % al Distrito turístico de Cartagena de Indias y por Infraestructura el 100% a la Nación-INVIAS.</w:t>
          </w:r>
        </w:p>
        <w:p w14:paraId="396B05C9" w14:textId="35D14FF0" w:rsidR="00274429" w:rsidRPr="009A46BB" w:rsidRDefault="00274429" w:rsidP="00E60BAB">
          <w:pPr>
            <w:pStyle w:val="Prrafodelista"/>
            <w:numPr>
              <w:ilvl w:val="0"/>
              <w:numId w:val="142"/>
            </w:numPr>
            <w:jc w:val="both"/>
            <w:rPr>
              <w:rFonts w:ascii="Times New Roman" w:hAnsi="Times New Roman"/>
              <w:b/>
            </w:rPr>
          </w:pPr>
          <w:r w:rsidRPr="009A46BB">
            <w:rPr>
              <w:rFonts w:ascii="Times New Roman" w:hAnsi="Times New Roman"/>
              <w:b/>
              <w:sz w:val="24"/>
              <w:szCs w:val="24"/>
            </w:rPr>
            <w:t xml:space="preserve">Naturaleza y alcance del derecho a utilizar activos especificados, de los aspectos pactados en torno a lo que se espera que el concesionario proporcione en relación con el acuerdo de concesión. </w:t>
          </w:r>
        </w:p>
        <w:p w14:paraId="59C9B208"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Naturaleza y alcance del derecho de uso de los activos</w:t>
          </w:r>
        </w:p>
        <w:p w14:paraId="29BFB7B9"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Descripción:</w:t>
          </w:r>
        </w:p>
        <w:p w14:paraId="3AF7ED61"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Activos reconocidos</w:t>
          </w:r>
        </w:p>
        <w:p w14:paraId="545A6C6B"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Alcance del derecho de uso de los activos:</w:t>
          </w:r>
        </w:p>
        <w:p w14:paraId="2BFE17F8" w14:textId="437CD3DF"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 del proyecto, especificaciones técnicas, modalidades de operación:</w:t>
          </w:r>
          <w:r w:rsidRPr="009A46BB">
            <w:rPr>
              <w:rFonts w:ascii="Times New Roman" w:hAnsi="Times New Roman"/>
              <w:sz w:val="24"/>
              <w:szCs w:val="24"/>
            </w:rPr>
            <w:t xml:space="preserve"> las condiciones especiales de operación del puerto están establecidas en la cláusula quinta.</w:t>
          </w:r>
        </w:p>
        <w:p w14:paraId="4DEA496E"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 xml:space="preserve">Área entregada en concesión: </w:t>
          </w:r>
          <w:r w:rsidRPr="009A46BB">
            <w:rPr>
              <w:rFonts w:ascii="Times New Roman" w:hAnsi="Times New Roman"/>
              <w:sz w:val="24"/>
              <w:szCs w:val="24"/>
            </w:rPr>
            <w:t xml:space="preserve">La descripción de la ubicación, linderos y extensión de los bienes de uso público (playas y terrenos de baja mar, zonas marítimas accesorias de maniobras) entregados en concesión están establecidos en la cláusula segunda. </w:t>
          </w:r>
        </w:p>
        <w:p w14:paraId="300FCD9D" w14:textId="26D8DA18"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Infraestructura y equipos entregados en concesión:</w:t>
          </w:r>
          <w:r w:rsidRPr="009A46BB">
            <w:rPr>
              <w:rFonts w:ascii="Times New Roman" w:hAnsi="Times New Roman"/>
              <w:sz w:val="24"/>
              <w:szCs w:val="24"/>
            </w:rPr>
            <w:t xml:space="preserve"> En la cláusula segunda del Contrato (otrosí), se describe que lo entregado en concesión fue:</w:t>
          </w:r>
        </w:p>
        <w:p w14:paraId="694FD2E7"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Infraestructura:</w:t>
          </w:r>
          <w:r w:rsidRPr="009A46BB">
            <w:rPr>
              <w:rFonts w:ascii="Times New Roman" w:hAnsi="Times New Roman"/>
              <w:sz w:val="24"/>
              <w:szCs w:val="24"/>
            </w:rPr>
            <w:t xml:space="preserve"> Muelle de carga, bodega, una garita de portería, oficinas de dirección de puerto, oficina de soporte operacional, </w:t>
          </w:r>
        </w:p>
        <w:p w14:paraId="365AE413"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 xml:space="preserve">Equipos: </w:t>
          </w:r>
          <w:r w:rsidRPr="009A46BB">
            <w:rPr>
              <w:rFonts w:ascii="Times New Roman" w:hAnsi="Times New Roman"/>
              <w:sz w:val="24"/>
              <w:szCs w:val="24"/>
            </w:rPr>
            <w:t>No se contemplan equipos entregados en concesión, actualmente se cuenta con 13 grúas pórtico</w:t>
          </w:r>
        </w:p>
        <w:p w14:paraId="57EC85EB"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Retribución al concesionario</w:t>
          </w:r>
        </w:p>
        <w:p w14:paraId="27DA5A1F"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w:t>
          </w:r>
          <w:r w:rsidRPr="009A46BB">
            <w:rPr>
              <w:rFonts w:ascii="Times New Roman" w:hAnsi="Times New Roman"/>
              <w:sz w:val="24"/>
              <w:szCs w:val="24"/>
            </w:rPr>
            <w:tab/>
            <w:t>Cláusula primera Contrato 003 de 2008: Se otorga a EL CONCESIONARIO el derecho de ocupar y utilizar en forma temporal y exclusiva las playas, los terrenos de bajamar y zonas accesorias a aquellas o estos, descritos en la cláusula segunda del contrato, a cambio de la contraprestación económica.</w:t>
          </w:r>
        </w:p>
        <w:p w14:paraId="7EC01141"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Tasa de retribución:</w:t>
          </w:r>
          <w:r w:rsidRPr="009A46BB">
            <w:rPr>
              <w:rFonts w:ascii="Times New Roman" w:hAnsi="Times New Roman"/>
              <w:sz w:val="24"/>
              <w:szCs w:val="24"/>
            </w:rPr>
            <w:tab/>
            <w:t>N/A</w:t>
          </w:r>
        </w:p>
        <w:p w14:paraId="2962DB15" w14:textId="72501B9A" w:rsidR="00274429" w:rsidRPr="009A46BB" w:rsidRDefault="00274429" w:rsidP="00E60BAB">
          <w:pPr>
            <w:pStyle w:val="Prrafodelista"/>
            <w:numPr>
              <w:ilvl w:val="0"/>
              <w:numId w:val="142"/>
            </w:numPr>
            <w:jc w:val="both"/>
            <w:rPr>
              <w:rFonts w:ascii="Times New Roman" w:hAnsi="Times New Roman"/>
              <w:b/>
            </w:rPr>
          </w:pPr>
          <w:r w:rsidRPr="009A46BB">
            <w:rPr>
              <w:rFonts w:ascii="Times New Roman" w:hAnsi="Times New Roman"/>
              <w:b/>
              <w:sz w:val="24"/>
              <w:szCs w:val="24"/>
            </w:rPr>
            <w:t>Derechos a recibir activos especificados al final del acuerdo de concesión</w:t>
          </w:r>
        </w:p>
        <w:p w14:paraId="507B80D5"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lastRenderedPageBreak/>
            <w:t>Descripción</w:t>
          </w:r>
          <w:r w:rsidRPr="009A46BB">
            <w:rPr>
              <w:rFonts w:ascii="Times New Roman" w:hAnsi="Times New Roman"/>
              <w:sz w:val="24"/>
              <w:szCs w:val="24"/>
            </w:rPr>
            <w:t>:</w:t>
          </w:r>
          <w:r w:rsidRPr="009A46BB">
            <w:rPr>
              <w:rFonts w:ascii="Times New Roman" w:hAnsi="Times New Roman"/>
              <w:sz w:val="24"/>
              <w:szCs w:val="24"/>
            </w:rPr>
            <w:tab/>
            <w:t>De acuerdo con el Artículo 8º de la Ley 1 de 1991 en el modo portuario el concesionario no tiene derechos finales sobre activos los debe revertir a la Nación al final del contrato de concesión.</w:t>
          </w:r>
        </w:p>
        <w:p w14:paraId="2D0A3ACE" w14:textId="68339A84"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Observaciones</w:t>
          </w:r>
          <w:r w:rsidRPr="009A46BB">
            <w:rPr>
              <w:rFonts w:ascii="Times New Roman" w:hAnsi="Times New Roman"/>
              <w:sz w:val="24"/>
              <w:szCs w:val="24"/>
            </w:rPr>
            <w:t>:</w:t>
          </w:r>
          <w:r w:rsidRPr="009A46BB">
            <w:rPr>
              <w:rFonts w:ascii="Times New Roman" w:hAnsi="Times New Roman"/>
              <w:sz w:val="24"/>
              <w:szCs w:val="24"/>
            </w:rPr>
            <w:tab/>
            <w:t>De acuerdo con lo establecido en la cláusula décimo segunda del contrato de concesión, la zona de uso público y todas las construcciones y equipos entregadas en concesión se revertirán a la Nación en buenas condiciones de operación tecnológica, mantenimiento y de adecuada eficiencia al término de este contrato y de las prórrogas si la hubiere. Igualmente procederá la reversión al ser declarado la caducidad o la terminación unilateral.</w:t>
          </w:r>
        </w:p>
        <w:p w14:paraId="7C7EB8FD"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Para tal fin, en el momento de la reversión el CONCESIONARIO deberá hacer entrega de un avaluó comercial actualizado y valoración técnica de las condiciones de operación de la infraestructura portuaria, equipos e inmuebles por destinación que habitualmente se encuentren instalados en las zonas de uso público que se revierten y que son propiedad de la Nación.</w:t>
          </w:r>
        </w:p>
        <w:p w14:paraId="248BBF0B" w14:textId="5F66269C" w:rsidR="00274429" w:rsidRPr="009A46BB" w:rsidRDefault="00D91D86" w:rsidP="00E60BAB">
          <w:pPr>
            <w:pStyle w:val="Prrafodelista"/>
            <w:numPr>
              <w:ilvl w:val="0"/>
              <w:numId w:val="142"/>
            </w:numPr>
            <w:jc w:val="both"/>
            <w:rPr>
              <w:rFonts w:ascii="Times New Roman" w:hAnsi="Times New Roman"/>
              <w:b/>
            </w:rPr>
          </w:pPr>
          <w:r w:rsidRPr="009A46BB">
            <w:rPr>
              <w:rFonts w:ascii="Times New Roman" w:hAnsi="Times New Roman"/>
              <w:b/>
              <w:sz w:val="24"/>
              <w:szCs w:val="24"/>
            </w:rPr>
            <w:t>No hay c</w:t>
          </w:r>
          <w:r w:rsidR="00274429" w:rsidRPr="009A46BB">
            <w:rPr>
              <w:rFonts w:ascii="Times New Roman" w:hAnsi="Times New Roman"/>
              <w:b/>
              <w:sz w:val="24"/>
              <w:szCs w:val="24"/>
            </w:rPr>
            <w:t>ambios en el acuerdo de concesión que se realicen durante el periodo fiscal</w:t>
          </w:r>
        </w:p>
        <w:p w14:paraId="202CC9A9" w14:textId="29D50B07" w:rsidR="00274429" w:rsidRPr="009A46BB" w:rsidRDefault="00274429" w:rsidP="00274429">
          <w:pPr>
            <w:jc w:val="both"/>
            <w:rPr>
              <w:rFonts w:ascii="Times New Roman" w:hAnsi="Times New Roman"/>
              <w:sz w:val="24"/>
              <w:szCs w:val="24"/>
            </w:rPr>
          </w:pPr>
        </w:p>
        <w:p w14:paraId="714128DD" w14:textId="60422712" w:rsidR="00274429" w:rsidRPr="009A46BB" w:rsidRDefault="00D91D86" w:rsidP="00D91D86">
          <w:pPr>
            <w:spacing w:line="259" w:lineRule="auto"/>
            <w:jc w:val="both"/>
            <w:rPr>
              <w:rFonts w:ascii="Times New Roman" w:hAnsi="Times New Roman"/>
              <w:b/>
              <w:sz w:val="24"/>
              <w:szCs w:val="24"/>
            </w:rPr>
          </w:pPr>
          <w:r w:rsidRPr="009A46BB">
            <w:rPr>
              <w:rFonts w:ascii="Times New Roman" w:hAnsi="Times New Roman"/>
              <w:b/>
              <w:sz w:val="24"/>
              <w:szCs w:val="24"/>
            </w:rPr>
            <w:t>SOCIEDAD PORTUARIA DE LA PENÍNSULA S.A. - PENSOPORT</w:t>
          </w:r>
        </w:p>
        <w:p w14:paraId="327D95BA" w14:textId="466280BC"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a.</w:t>
          </w:r>
          <w:r w:rsidR="5B6F2106" w:rsidRPr="2B77AE96">
            <w:rPr>
              <w:rFonts w:ascii="Times New Roman" w:hAnsi="Times New Roman"/>
              <w:b/>
              <w:bCs/>
              <w:sz w:val="24"/>
              <w:szCs w:val="24"/>
            </w:rPr>
            <w:t xml:space="preserve"> </w:t>
          </w:r>
          <w:r w:rsidRPr="009A46BB">
            <w:rPr>
              <w:rFonts w:ascii="Times New Roman" w:hAnsi="Times New Roman"/>
              <w:b/>
              <w:sz w:val="24"/>
              <w:szCs w:val="24"/>
            </w:rPr>
            <w:t>Descripción del acuerdo</w:t>
          </w:r>
        </w:p>
        <w:p w14:paraId="09049653" w14:textId="1DA46248" w:rsidR="00274429" w:rsidRPr="009A46BB" w:rsidRDefault="00274429" w:rsidP="2B77AE96">
          <w:pPr>
            <w:spacing w:after="0"/>
            <w:jc w:val="both"/>
            <w:rPr>
              <w:rFonts w:ascii="Times New Roman" w:hAnsi="Times New Roman"/>
              <w:sz w:val="24"/>
              <w:szCs w:val="24"/>
            </w:rPr>
          </w:pPr>
          <w:r w:rsidRPr="009A46BB">
            <w:rPr>
              <w:rFonts w:ascii="Times New Roman" w:hAnsi="Times New Roman"/>
              <w:b/>
              <w:sz w:val="24"/>
              <w:szCs w:val="24"/>
            </w:rPr>
            <w:t>Número del acuerdo de concesión:</w:t>
          </w:r>
          <w:r w:rsidR="00392B08" w:rsidRPr="009A46BB">
            <w:rPr>
              <w:rFonts w:ascii="Times New Roman" w:hAnsi="Times New Roman"/>
              <w:b/>
              <w:sz w:val="24"/>
              <w:szCs w:val="24"/>
            </w:rPr>
            <w:t xml:space="preserve"> </w:t>
          </w:r>
          <w:r w:rsidRPr="009A46BB">
            <w:rPr>
              <w:rFonts w:ascii="Times New Roman" w:hAnsi="Times New Roman"/>
              <w:sz w:val="24"/>
              <w:szCs w:val="24"/>
            </w:rPr>
            <w:t>Contrato de Concesión Portuario No. 001 de 2009</w:t>
          </w:r>
        </w:p>
        <w:p w14:paraId="4368CA7E" w14:textId="5E48FAE6" w:rsidR="00274429" w:rsidRPr="009A46BB" w:rsidRDefault="00274429" w:rsidP="2B77AE96">
          <w:pPr>
            <w:spacing w:after="0"/>
            <w:jc w:val="both"/>
            <w:rPr>
              <w:rFonts w:ascii="Times New Roman" w:hAnsi="Times New Roman"/>
              <w:sz w:val="24"/>
              <w:szCs w:val="24"/>
            </w:rPr>
          </w:pPr>
          <w:r w:rsidRPr="009A46BB">
            <w:rPr>
              <w:rFonts w:ascii="Times New Roman" w:hAnsi="Times New Roman"/>
              <w:b/>
              <w:sz w:val="24"/>
              <w:szCs w:val="24"/>
            </w:rPr>
            <w:t>Objeto / Descripción:</w:t>
          </w:r>
          <w:r w:rsidR="00392B08" w:rsidRPr="009A46BB">
            <w:rPr>
              <w:rFonts w:ascii="Times New Roman" w:hAnsi="Times New Roman"/>
              <w:b/>
              <w:sz w:val="24"/>
              <w:szCs w:val="24"/>
            </w:rPr>
            <w:t xml:space="preserve"> </w:t>
          </w:r>
          <w:r w:rsidRPr="009A46BB">
            <w:rPr>
              <w:rFonts w:ascii="Times New Roman" w:hAnsi="Times New Roman"/>
              <w:sz w:val="24"/>
              <w:szCs w:val="24"/>
            </w:rPr>
            <w:t>El INCO en virtud del presente Contrato, otorga formalmente una concesión portuaria al Concesionario, para la ocupación y utilización en forma temporal y exclusiva de las playas, los terrenos de bajamar y zonas accesorias a aquellas o éstos, para la operación de las instalaciones portuarias allí construidas, localizadas en el sitio conocido con el nombre de Puerto Nuevo, área sur de Bahía Pórtete, jurisdicción del Municipio de Uribia, Departamento de la Guajira, destinada a la prestación de servicios portuarios por el termino de 20 años a cambio de la Contraprestación establecida en la Clausula Novena del presente Contrato.</w:t>
          </w:r>
        </w:p>
        <w:p w14:paraId="2A09F667" w14:textId="6DDF69D1" w:rsidR="00274429" w:rsidRPr="009A46BB" w:rsidRDefault="00274429" w:rsidP="2B77AE96">
          <w:pPr>
            <w:spacing w:after="0"/>
            <w:jc w:val="both"/>
            <w:rPr>
              <w:rFonts w:ascii="Times New Roman" w:hAnsi="Times New Roman"/>
              <w:sz w:val="24"/>
              <w:szCs w:val="24"/>
            </w:rPr>
          </w:pPr>
          <w:r w:rsidRPr="009A46BB">
            <w:rPr>
              <w:rFonts w:ascii="Times New Roman" w:hAnsi="Times New Roman"/>
              <w:b/>
              <w:sz w:val="24"/>
              <w:szCs w:val="24"/>
            </w:rPr>
            <w:t>Valor inicial:</w:t>
          </w:r>
          <w:r w:rsidR="00392B08" w:rsidRPr="009A46BB">
            <w:rPr>
              <w:rFonts w:ascii="Times New Roman" w:hAnsi="Times New Roman"/>
              <w:b/>
              <w:sz w:val="24"/>
              <w:szCs w:val="24"/>
            </w:rPr>
            <w:t xml:space="preserve"> </w:t>
          </w:r>
          <w:r w:rsidRPr="009A46BB">
            <w:rPr>
              <w:rFonts w:ascii="Times New Roman" w:hAnsi="Times New Roman"/>
              <w:sz w:val="24"/>
              <w:szCs w:val="24"/>
            </w:rPr>
            <w:t>USD $467.032,72 Cláusula Novena / Contrato No. 001 de 2009.</w:t>
          </w:r>
        </w:p>
        <w:p w14:paraId="08E6573A" w14:textId="3E054947" w:rsidR="00274429" w:rsidRPr="009A46BB" w:rsidRDefault="00274429" w:rsidP="2B77AE96">
          <w:pPr>
            <w:spacing w:after="0"/>
            <w:jc w:val="both"/>
            <w:rPr>
              <w:rFonts w:ascii="Times New Roman" w:hAnsi="Times New Roman"/>
              <w:sz w:val="24"/>
              <w:szCs w:val="24"/>
            </w:rPr>
          </w:pPr>
          <w:r w:rsidRPr="009A46BB">
            <w:rPr>
              <w:rFonts w:ascii="Times New Roman" w:hAnsi="Times New Roman"/>
              <w:b/>
              <w:sz w:val="24"/>
              <w:szCs w:val="24"/>
            </w:rPr>
            <w:t>Fecha de inicio:</w:t>
          </w:r>
          <w:r w:rsidR="00392B08" w:rsidRPr="009A46BB">
            <w:rPr>
              <w:rFonts w:ascii="Times New Roman" w:hAnsi="Times New Roman"/>
              <w:b/>
              <w:sz w:val="24"/>
              <w:szCs w:val="24"/>
            </w:rPr>
            <w:t xml:space="preserve"> </w:t>
          </w:r>
          <w:r w:rsidRPr="009A46BB">
            <w:rPr>
              <w:rFonts w:ascii="Times New Roman" w:hAnsi="Times New Roman"/>
              <w:sz w:val="24"/>
              <w:szCs w:val="24"/>
            </w:rPr>
            <w:t>19 de noviembre de 2009</w:t>
          </w:r>
        </w:p>
        <w:p w14:paraId="14ABDA53" w14:textId="33C7543A" w:rsidR="00274429" w:rsidRPr="009A46BB" w:rsidRDefault="00274429" w:rsidP="2B77AE96">
          <w:pPr>
            <w:spacing w:after="0"/>
            <w:jc w:val="both"/>
            <w:rPr>
              <w:rFonts w:ascii="Times New Roman" w:hAnsi="Times New Roman"/>
              <w:sz w:val="24"/>
              <w:szCs w:val="24"/>
            </w:rPr>
          </w:pPr>
          <w:r w:rsidRPr="009A46BB">
            <w:rPr>
              <w:rFonts w:ascii="Times New Roman" w:hAnsi="Times New Roman"/>
              <w:b/>
              <w:sz w:val="24"/>
              <w:szCs w:val="24"/>
            </w:rPr>
            <w:t>Fecha de finalización estimada:</w:t>
          </w:r>
          <w:r w:rsidR="00392B08" w:rsidRPr="009A46BB">
            <w:rPr>
              <w:rFonts w:ascii="Times New Roman" w:hAnsi="Times New Roman"/>
              <w:b/>
              <w:sz w:val="24"/>
              <w:szCs w:val="24"/>
            </w:rPr>
            <w:t xml:space="preserve"> </w:t>
          </w:r>
          <w:r w:rsidRPr="009A46BB">
            <w:rPr>
              <w:rFonts w:ascii="Times New Roman" w:hAnsi="Times New Roman"/>
              <w:sz w:val="24"/>
              <w:szCs w:val="24"/>
            </w:rPr>
            <w:t>1/11/2029</w:t>
          </w:r>
        </w:p>
        <w:p w14:paraId="717AFA96" w14:textId="72EE8B35" w:rsidR="00274429" w:rsidRPr="009A46BB" w:rsidRDefault="00274429" w:rsidP="2B77AE96">
          <w:pPr>
            <w:spacing w:after="0"/>
            <w:jc w:val="both"/>
            <w:rPr>
              <w:rFonts w:ascii="Times New Roman" w:hAnsi="Times New Roman"/>
              <w:sz w:val="24"/>
              <w:szCs w:val="24"/>
            </w:rPr>
          </w:pPr>
          <w:r w:rsidRPr="009A46BB">
            <w:rPr>
              <w:rFonts w:ascii="Times New Roman" w:hAnsi="Times New Roman"/>
              <w:b/>
              <w:sz w:val="24"/>
              <w:szCs w:val="24"/>
            </w:rPr>
            <w:t>Tipo ID:</w:t>
          </w:r>
          <w:r w:rsidR="00392B08" w:rsidRPr="009A46BB">
            <w:rPr>
              <w:rFonts w:ascii="Times New Roman" w:hAnsi="Times New Roman"/>
              <w:b/>
              <w:sz w:val="24"/>
              <w:szCs w:val="24"/>
            </w:rPr>
            <w:t xml:space="preserve"> </w:t>
          </w:r>
          <w:r w:rsidRPr="009A46BB">
            <w:rPr>
              <w:rFonts w:ascii="Times New Roman" w:hAnsi="Times New Roman"/>
              <w:sz w:val="24"/>
              <w:szCs w:val="24"/>
            </w:rPr>
            <w:t>NIT</w:t>
          </w:r>
        </w:p>
        <w:p w14:paraId="22DA3659" w14:textId="0C80F464" w:rsidR="00274429" w:rsidRPr="009A46BB" w:rsidRDefault="00274429" w:rsidP="2B77AE96">
          <w:pPr>
            <w:spacing w:after="0"/>
            <w:jc w:val="both"/>
            <w:rPr>
              <w:rFonts w:ascii="Times New Roman" w:hAnsi="Times New Roman"/>
              <w:sz w:val="24"/>
              <w:szCs w:val="24"/>
            </w:rPr>
          </w:pPr>
          <w:r w:rsidRPr="009A46BB">
            <w:rPr>
              <w:rFonts w:ascii="Times New Roman" w:hAnsi="Times New Roman"/>
              <w:b/>
              <w:sz w:val="24"/>
              <w:szCs w:val="24"/>
            </w:rPr>
            <w:t>Número ID:</w:t>
          </w:r>
          <w:r w:rsidR="00392B08" w:rsidRPr="009A46BB">
            <w:rPr>
              <w:rFonts w:ascii="Times New Roman" w:hAnsi="Times New Roman"/>
              <w:b/>
              <w:sz w:val="24"/>
              <w:szCs w:val="24"/>
            </w:rPr>
            <w:t xml:space="preserve"> </w:t>
          </w:r>
          <w:r w:rsidRPr="009A46BB">
            <w:rPr>
              <w:rFonts w:ascii="Times New Roman" w:hAnsi="Times New Roman"/>
              <w:sz w:val="24"/>
              <w:szCs w:val="24"/>
            </w:rPr>
            <w:t>839.000.348-1</w:t>
          </w:r>
        </w:p>
        <w:p w14:paraId="144E892C" w14:textId="610BFA58" w:rsidR="00274429" w:rsidRPr="009A46BB" w:rsidRDefault="00274429" w:rsidP="2B77AE96">
          <w:pPr>
            <w:spacing w:after="0"/>
            <w:jc w:val="both"/>
            <w:rPr>
              <w:rFonts w:ascii="Times New Roman" w:hAnsi="Times New Roman"/>
              <w:sz w:val="24"/>
              <w:szCs w:val="24"/>
            </w:rPr>
          </w:pPr>
          <w:r w:rsidRPr="009A46BB">
            <w:rPr>
              <w:rFonts w:ascii="Times New Roman" w:hAnsi="Times New Roman"/>
              <w:b/>
              <w:sz w:val="24"/>
              <w:szCs w:val="24"/>
            </w:rPr>
            <w:t>Razón social del concesionario:</w:t>
          </w:r>
          <w:r w:rsidR="00392B08" w:rsidRPr="009A46BB">
            <w:rPr>
              <w:rFonts w:ascii="Times New Roman" w:hAnsi="Times New Roman"/>
              <w:b/>
              <w:sz w:val="24"/>
              <w:szCs w:val="24"/>
            </w:rPr>
            <w:t xml:space="preserve"> </w:t>
          </w:r>
          <w:r w:rsidRPr="009A46BB">
            <w:rPr>
              <w:rFonts w:ascii="Times New Roman" w:hAnsi="Times New Roman"/>
              <w:sz w:val="24"/>
              <w:szCs w:val="24"/>
            </w:rPr>
            <w:t>Sociedad Portuaria de la Península S.A.</w:t>
          </w:r>
        </w:p>
        <w:p w14:paraId="74C6115E" w14:textId="7E55A45A" w:rsidR="00274429" w:rsidRPr="009A46BB" w:rsidRDefault="00274429" w:rsidP="2B77AE96">
          <w:pPr>
            <w:spacing w:after="0"/>
            <w:jc w:val="both"/>
            <w:rPr>
              <w:rFonts w:ascii="Times New Roman" w:hAnsi="Times New Roman"/>
              <w:sz w:val="24"/>
              <w:szCs w:val="24"/>
            </w:rPr>
          </w:pPr>
          <w:r w:rsidRPr="009A46BB">
            <w:rPr>
              <w:rFonts w:ascii="Times New Roman" w:hAnsi="Times New Roman"/>
              <w:b/>
              <w:sz w:val="24"/>
              <w:szCs w:val="24"/>
            </w:rPr>
            <w:t>Nombre del proyecto:</w:t>
          </w:r>
          <w:r w:rsidR="00392B08" w:rsidRPr="009A46BB">
            <w:rPr>
              <w:rFonts w:ascii="Times New Roman" w:hAnsi="Times New Roman"/>
              <w:b/>
              <w:sz w:val="24"/>
              <w:szCs w:val="24"/>
            </w:rPr>
            <w:t xml:space="preserve"> </w:t>
          </w:r>
          <w:r w:rsidRPr="009A46BB">
            <w:rPr>
              <w:rFonts w:ascii="Times New Roman" w:hAnsi="Times New Roman"/>
              <w:sz w:val="24"/>
              <w:szCs w:val="24"/>
            </w:rPr>
            <w:t>Sociedad Portuaria de la Península S.A. - PENSOPORT</w:t>
          </w:r>
        </w:p>
        <w:p w14:paraId="4646768D" w14:textId="714A1411" w:rsidR="2B77AE96" w:rsidRDefault="2B77AE96" w:rsidP="2B77AE96">
          <w:pPr>
            <w:spacing w:after="0"/>
            <w:jc w:val="both"/>
            <w:rPr>
              <w:rFonts w:ascii="Times New Roman" w:hAnsi="Times New Roman"/>
              <w:sz w:val="24"/>
              <w:szCs w:val="24"/>
            </w:rPr>
          </w:pPr>
        </w:p>
        <w:p w14:paraId="6D95472B" w14:textId="78B9C184" w:rsidR="00274429" w:rsidRPr="009A46BB" w:rsidRDefault="00274429" w:rsidP="00E60BAB">
          <w:pPr>
            <w:pStyle w:val="Prrafodelista"/>
            <w:numPr>
              <w:ilvl w:val="0"/>
              <w:numId w:val="143"/>
            </w:numPr>
            <w:jc w:val="both"/>
            <w:rPr>
              <w:rFonts w:ascii="Times New Roman" w:hAnsi="Times New Roman"/>
              <w:b/>
            </w:rPr>
          </w:pPr>
          <w:r w:rsidRPr="009A46BB">
            <w:rPr>
              <w:rFonts w:ascii="Times New Roman" w:hAnsi="Times New Roman"/>
              <w:b/>
              <w:sz w:val="24"/>
              <w:szCs w:val="24"/>
            </w:rPr>
            <w:t>Términos significativos del acuerdo que puedan afectar su valor, el calendario y la certeza de los flujos.</w:t>
          </w:r>
        </w:p>
        <w:p w14:paraId="12D83EED"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Términos de valor:</w:t>
          </w:r>
        </w:p>
        <w:p w14:paraId="0CF2B8C8"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lastRenderedPageBreak/>
            <w:t xml:space="preserve">Tarifas: </w:t>
          </w:r>
          <w:r w:rsidRPr="009A46BB">
            <w:rPr>
              <w:rFonts w:ascii="Times New Roman" w:hAnsi="Times New Roman"/>
              <w:sz w:val="24"/>
              <w:szCs w:val="24"/>
            </w:rPr>
            <w:t>Al ser el terminal marítimo de servicio público la Ley 1ª de 1991 establece: Las sociedades portuarias que operan puertos de servicio público las tarifas requieren ser aprobadas según la metodología establecida por la Superintendencia General de Puertos hoy Superintendencia de Transporte.</w:t>
          </w:r>
        </w:p>
        <w:p w14:paraId="56A78A5A"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Contraprestación portuaria:</w:t>
          </w:r>
          <w:r w:rsidRPr="009A46BB">
            <w:rPr>
              <w:rFonts w:ascii="Times New Roman" w:hAnsi="Times New Roman"/>
              <w:sz w:val="24"/>
              <w:szCs w:val="24"/>
            </w:rPr>
            <w:t xml:space="preserve"> De acuerdo con el último documento contractual vigente la metodología de contraprestación vigente es CONPES 2680 DE 1993 (Productividad). Se establece en la Cláusula Novena del Contrato que el CONCESIONARIO deberá pagar por concepto de zona de uso público la suma anual de USD 54.140,88, de dicho pago el 80% le corresponde a la Nación - Instituto Nacional de Vías (INVIAS) y el 20% restante al Municipio de Uribia de acuerdo con lo establecido en el parágrafo 1 del artículo 1 de la Ley 856 del 21 de diciembre de 2003, que modifica el artículo 7 de la Ley 1ª de 1991. Así mismo, por concepto de infraestructura el CONCESIONARIO deberá pagar la suma anual de USD 1.685,70, el cual corresponde en un 100% a la Nación - Instituto Nacional de Vías (INVIAS) de acuerdo con lo establecido en el artículo 1 de la Ley 856 del 21 diciembre de 2003.</w:t>
          </w:r>
        </w:p>
        <w:p w14:paraId="74737349"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Plan de Inversiones:</w:t>
          </w:r>
          <w:r w:rsidRPr="009A46BB">
            <w:rPr>
              <w:rFonts w:ascii="Times New Roman" w:hAnsi="Times New Roman"/>
              <w:sz w:val="24"/>
              <w:szCs w:val="24"/>
            </w:rPr>
            <w:t xml:space="preserve"> Está establecido en la Cláusula Séptima del Contrato que el VPN de las inversiones es de USD 1.029.746,72. Asimismo, en la Cláusula Primera de la Resolución No.1630 de 2014, el nuevo plan de inversiones que debe ejecutar la Sociedad Portuaria es de USD 2.110.191,52 en valores corrientes. </w:t>
          </w:r>
        </w:p>
        <w:p w14:paraId="0C1ABA7F"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Obligaciones del Concesionario:</w:t>
          </w:r>
          <w:r w:rsidRPr="009A46BB">
            <w:rPr>
              <w:rFonts w:ascii="Times New Roman" w:hAnsi="Times New Roman"/>
              <w:sz w:val="24"/>
              <w:szCs w:val="24"/>
            </w:rPr>
            <w:t xml:space="preserve"> Se encuentran descritas en la Cláusula Décima Sexta del Contrato.</w:t>
          </w:r>
        </w:p>
        <w:p w14:paraId="78716117"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 xml:space="preserve">Multas y sanciones: </w:t>
          </w:r>
          <w:r w:rsidRPr="009A46BB">
            <w:rPr>
              <w:rFonts w:ascii="Times New Roman" w:hAnsi="Times New Roman"/>
              <w:sz w:val="24"/>
              <w:szCs w:val="24"/>
            </w:rPr>
            <w:t>Están establecidas en la Cláusula Décima Novena del Contrato.</w:t>
          </w:r>
        </w:p>
        <w:p w14:paraId="30A6B015"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Penal pecuniario:</w:t>
          </w:r>
          <w:r w:rsidRPr="009A46BB">
            <w:rPr>
              <w:rFonts w:ascii="Times New Roman" w:hAnsi="Times New Roman"/>
              <w:sz w:val="24"/>
              <w:szCs w:val="24"/>
            </w:rPr>
            <w:t xml:space="preserve"> La Cláusula Vigésima del Contrato establece que en el evento en que el INCO hoy ANI declare la caducidad o el incumplimiento del presente contrato se podrá imponer una penalidad pecuniaria del 10% del valor total de la contraprestación</w:t>
          </w:r>
        </w:p>
        <w:p w14:paraId="05BDF1DF"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Términos de calendario:</w:t>
          </w:r>
        </w:p>
        <w:p w14:paraId="62F49C20"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 xml:space="preserve">Tarifas: </w:t>
          </w:r>
          <w:r w:rsidRPr="009A46BB">
            <w:rPr>
              <w:rFonts w:ascii="Times New Roman" w:hAnsi="Times New Roman"/>
              <w:sz w:val="24"/>
              <w:szCs w:val="24"/>
            </w:rPr>
            <w:t>Aprobadas según la metodología establecida por la Superintendencia General de Puertos hoy Superintendencia de Transporte.</w:t>
          </w:r>
        </w:p>
        <w:p w14:paraId="5D166698"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Contraprestación portuaria:</w:t>
          </w:r>
          <w:r w:rsidRPr="009A46BB">
            <w:rPr>
              <w:rFonts w:ascii="Times New Roman" w:hAnsi="Times New Roman"/>
              <w:sz w:val="24"/>
              <w:szCs w:val="24"/>
            </w:rPr>
            <w:t xml:space="preserve"> La contraprestación se debe pagar en anualidades anticipadas, dentro de los cinco (5) días siguientes a la fecha del vencimiento de la anualidad (19 de noviembre de cada año).</w:t>
          </w:r>
        </w:p>
        <w:p w14:paraId="3F6AAF6F"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Plan de inversiones:</w:t>
          </w:r>
          <w:r w:rsidRPr="009A46BB">
            <w:rPr>
              <w:rFonts w:ascii="Times New Roman" w:hAnsi="Times New Roman"/>
              <w:sz w:val="24"/>
              <w:szCs w:val="24"/>
            </w:rPr>
            <w:t xml:space="preserve"> Se estableció en la Cláusula Primera de la Resolución No.1630 de 2014, la cual modifica la Cláusula Séptima del Contrato, la ejecución de inversiones en el periodo de tiempo comprendido entre el año 2009 a 2017.</w:t>
          </w:r>
        </w:p>
        <w:p w14:paraId="7AD90379"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Multas y sanciones:</w:t>
          </w:r>
          <w:r w:rsidRPr="009A46BB">
            <w:rPr>
              <w:rFonts w:ascii="Times New Roman" w:hAnsi="Times New Roman"/>
              <w:sz w:val="24"/>
              <w:szCs w:val="24"/>
            </w:rPr>
            <w:t xml:space="preserve"> Cláusula Décima Novena del Contrato No. 001 de 2009.</w:t>
          </w:r>
        </w:p>
        <w:p w14:paraId="7267241A"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Términos de certeza de flujos de efectivo futuros</w:t>
          </w:r>
          <w:r w:rsidRPr="009A46BB">
            <w:rPr>
              <w:rFonts w:ascii="Times New Roman" w:hAnsi="Times New Roman"/>
              <w:sz w:val="24"/>
              <w:szCs w:val="24"/>
            </w:rPr>
            <w:t>:</w:t>
          </w:r>
        </w:p>
        <w:p w14:paraId="79E0F00E"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lastRenderedPageBreak/>
            <w:t>Se otorga al CONCESIONARIO el derecho de ocupar y utilizar en forma temporal y exclusiva las playas, los terrenos de bajamar y zonas accesorias a aquellas o estos, descritos en la Cláusula Segunda del Contrato, a cambio de la contraprestación.</w:t>
          </w:r>
        </w:p>
        <w:p w14:paraId="4566379B" w14:textId="0AAF714F"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Cláusula Novena del Contrato, del valor a pagar por concepto de contraprestación por Zona de Uso Público el 80% corresponde a la Nación- INVIAS y el 20 % al Distrito de Cartagena, y por Infraestructura el 100% a la Nación-INVIAS.</w:t>
          </w:r>
        </w:p>
        <w:p w14:paraId="159E6EFA" w14:textId="191A31BC" w:rsidR="00274429" w:rsidRPr="009A46BB" w:rsidRDefault="00274429" w:rsidP="00E60BAB">
          <w:pPr>
            <w:pStyle w:val="Prrafodelista"/>
            <w:numPr>
              <w:ilvl w:val="0"/>
              <w:numId w:val="143"/>
            </w:numPr>
            <w:jc w:val="both"/>
            <w:rPr>
              <w:rFonts w:ascii="Times New Roman" w:hAnsi="Times New Roman"/>
              <w:b/>
            </w:rPr>
          </w:pPr>
          <w:r w:rsidRPr="009A46BB">
            <w:rPr>
              <w:rFonts w:ascii="Times New Roman" w:hAnsi="Times New Roman"/>
              <w:b/>
              <w:sz w:val="24"/>
              <w:szCs w:val="24"/>
            </w:rPr>
            <w:t xml:space="preserve">Naturaleza y alcance del derecho a utilizar activos especificados, de los aspectos pactados en torno a lo que se espera que el concesionario proporcione en relación con el acuerdo de concesión </w:t>
          </w:r>
        </w:p>
        <w:p w14:paraId="7A1423BD"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Naturaleza y alcance del derecho de uso de los activos</w:t>
          </w:r>
        </w:p>
        <w:p w14:paraId="71AC0F54" w14:textId="1EBBA4F4"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w:t>
          </w:r>
          <w:r w:rsidRPr="009A46BB">
            <w:rPr>
              <w:rFonts w:ascii="Times New Roman" w:hAnsi="Times New Roman"/>
              <w:sz w:val="24"/>
              <w:szCs w:val="24"/>
            </w:rPr>
            <w:tab/>
            <w:t>Descripción del proyecto, especificaciones técnicas, modalidades de operación: las condiciones especiales de operación del puerto están establecidas en la cláusula quinta del Contrato de Concesión.</w:t>
          </w:r>
        </w:p>
        <w:p w14:paraId="70D50B83" w14:textId="1FB3E6CE"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Área entregada en concesión:</w:t>
          </w:r>
          <w:r w:rsidRPr="009A46BB">
            <w:rPr>
              <w:rFonts w:ascii="Times New Roman" w:hAnsi="Times New Roman"/>
              <w:sz w:val="24"/>
              <w:szCs w:val="24"/>
            </w:rPr>
            <w:t xml:space="preserve"> La descripción de la ubicación, linderos y extensión de los bienes de uso público (playas y terrenos de baja mar, zonas marítimas accesorias de maniobras) entregados en concesión están establecidos en la cláusula tercera del Contrato de Concesión.</w:t>
          </w:r>
        </w:p>
        <w:p w14:paraId="3827A67D" w14:textId="53AA2F39"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Infraestructura y equipos entregados en concesión:</w:t>
          </w:r>
          <w:r w:rsidRPr="009A46BB">
            <w:rPr>
              <w:rFonts w:ascii="Times New Roman" w:hAnsi="Times New Roman"/>
              <w:sz w:val="24"/>
              <w:szCs w:val="24"/>
            </w:rPr>
            <w:t xml:space="preserve"> En la cláusula segunda del Contrato, se describe lo entregado en concesión de la siguiente manera:</w:t>
          </w:r>
        </w:p>
        <w:p w14:paraId="642AD3AA" w14:textId="42E27500"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Infraestructura:</w:t>
          </w:r>
          <w:r w:rsidRPr="009A46BB">
            <w:rPr>
              <w:rFonts w:ascii="Times New Roman" w:hAnsi="Times New Roman"/>
              <w:sz w:val="24"/>
              <w:szCs w:val="24"/>
            </w:rPr>
            <w:t xml:space="preserve"> La infraestructura existente entregada al Concesionario consiste en dos muelles artesanales tipo espigón construidos por un relleno protegido por tablestacado de madera (Muelle artesanal A y B) según lo establece la Clausula Segunda del Contrato de Concesión.</w:t>
          </w:r>
        </w:p>
        <w:p w14:paraId="5A06FAD2"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Retribución al concesionario</w:t>
          </w:r>
        </w:p>
        <w:p w14:paraId="58D130DD"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w:t>
          </w:r>
          <w:r w:rsidRPr="009A46BB">
            <w:rPr>
              <w:rFonts w:ascii="Times New Roman" w:hAnsi="Times New Roman"/>
              <w:b/>
              <w:sz w:val="24"/>
              <w:szCs w:val="24"/>
            </w:rPr>
            <w:tab/>
          </w:r>
          <w:r w:rsidRPr="009A46BB">
            <w:rPr>
              <w:rFonts w:ascii="Times New Roman" w:hAnsi="Times New Roman"/>
              <w:sz w:val="24"/>
              <w:szCs w:val="24"/>
            </w:rPr>
            <w:t>Cláusula Primera del Contrato No. 001 de 2009: Se otorga al CONCESIONARIO el derecho de ocupar y utilizar en forma temporal y exclusiva las playas, los terrenos de bajamar y zonas accesorias a aquellas o estos, descritos en la cláusula segunda del contrato, a cambio de la contraprestación económica.</w:t>
          </w:r>
        </w:p>
        <w:p w14:paraId="6C4C81AC"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Tasa de retribución:</w:t>
          </w:r>
          <w:r w:rsidRPr="009A46BB">
            <w:rPr>
              <w:rFonts w:ascii="Times New Roman" w:hAnsi="Times New Roman"/>
              <w:sz w:val="24"/>
              <w:szCs w:val="24"/>
            </w:rPr>
            <w:tab/>
            <w:t>N/A</w:t>
          </w:r>
        </w:p>
        <w:p w14:paraId="4E179932" w14:textId="5D2464A3" w:rsidR="00274429" w:rsidRPr="009A46BB" w:rsidRDefault="00274429" w:rsidP="00E60BAB">
          <w:pPr>
            <w:pStyle w:val="Prrafodelista"/>
            <w:numPr>
              <w:ilvl w:val="0"/>
              <w:numId w:val="143"/>
            </w:numPr>
            <w:jc w:val="both"/>
            <w:rPr>
              <w:rFonts w:ascii="Times New Roman" w:hAnsi="Times New Roman"/>
              <w:b/>
            </w:rPr>
          </w:pPr>
          <w:r w:rsidRPr="009A46BB">
            <w:rPr>
              <w:rFonts w:ascii="Times New Roman" w:hAnsi="Times New Roman"/>
              <w:b/>
              <w:sz w:val="24"/>
              <w:szCs w:val="24"/>
            </w:rPr>
            <w:t>Derechos a recibir activos especificados al final del acuerdo de concesión</w:t>
          </w:r>
        </w:p>
        <w:p w14:paraId="7A5CFAC9"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w:t>
          </w:r>
          <w:r w:rsidRPr="009A46BB">
            <w:rPr>
              <w:rFonts w:ascii="Times New Roman" w:hAnsi="Times New Roman"/>
              <w:sz w:val="24"/>
              <w:szCs w:val="24"/>
            </w:rPr>
            <w:tab/>
            <w:t>De acuerdo con el Artículo 8º de la Ley 1 de 1991 en el modo portuario el concesionario no tiene derechos finales sobre activos los debe revertir a la Nación al final del contrato de concesión.</w:t>
          </w:r>
        </w:p>
        <w:p w14:paraId="5C0DF93D"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Observaciones:</w:t>
          </w:r>
        </w:p>
        <w:p w14:paraId="1F1F7BB1"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Reversión:</w:t>
          </w:r>
          <w:r w:rsidRPr="009A46BB">
            <w:rPr>
              <w:rFonts w:ascii="Times New Roman" w:hAnsi="Times New Roman"/>
              <w:sz w:val="24"/>
              <w:szCs w:val="24"/>
            </w:rPr>
            <w:t xml:space="preserve"> De acuerdo con lo establecido en la cláusula décima tercera del contrato de concesión, la zona de uso público y todas las construcciones (obras e inversiones), y los inmuebles por destinación (equipos e inversiones) entregadas en concesión se revertirán a la </w:t>
          </w:r>
          <w:r w:rsidRPr="009A46BB">
            <w:rPr>
              <w:rFonts w:ascii="Times New Roman" w:hAnsi="Times New Roman"/>
              <w:sz w:val="24"/>
              <w:szCs w:val="24"/>
            </w:rPr>
            <w:lastRenderedPageBreak/>
            <w:t xml:space="preserve">Nación en buenas condiciones de operación tecnológica, mantenimiento y de adecuada eficiencia al término de este contrato y de las prórrogas si la hubiere. Igualmente, procederá la reversión al ser declarada la caducidad o la terminación unilateral. </w:t>
          </w:r>
        </w:p>
        <w:p w14:paraId="15D909AC" w14:textId="5EE202B6"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Para tal fin, en el momento de la reversión el CONCESIONARIO deberá hacer entrega de un avaluó comercial actualizado y valoración técnica de las condiciones de operación de la infraestructura portuaria, equipos e inmuebles por destinación que habitualmente se encuentren instalados en las zonas de uso público que se revierten y que son propiedad de la Nación.</w:t>
          </w:r>
        </w:p>
        <w:p w14:paraId="4B36D21F"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Para tal fin, en el momento de la reversión el CONCESIONARIO elaborará un inventario de los bienes y los enviará para su revisión y aprobación.</w:t>
          </w:r>
        </w:p>
        <w:p w14:paraId="1127C881"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La ANI es la entidad concedente pero la titularidad de los activos al final de la concesión es del Instituto Nacional de Vías INVIAS.</w:t>
          </w:r>
        </w:p>
        <w:p w14:paraId="3E43BD27" w14:textId="4CFDA7C2" w:rsidR="00274429" w:rsidRPr="009A46BB" w:rsidRDefault="00392B08" w:rsidP="00E60BAB">
          <w:pPr>
            <w:pStyle w:val="Prrafodelista"/>
            <w:numPr>
              <w:ilvl w:val="0"/>
              <w:numId w:val="143"/>
            </w:numPr>
            <w:jc w:val="both"/>
            <w:rPr>
              <w:rFonts w:ascii="Times New Roman" w:hAnsi="Times New Roman"/>
              <w:b/>
            </w:rPr>
          </w:pPr>
          <w:r w:rsidRPr="009A46BB">
            <w:rPr>
              <w:rFonts w:ascii="Times New Roman" w:hAnsi="Times New Roman"/>
              <w:b/>
              <w:sz w:val="24"/>
              <w:szCs w:val="24"/>
            </w:rPr>
            <w:t>No hay c</w:t>
          </w:r>
          <w:r w:rsidR="00274429" w:rsidRPr="009A46BB">
            <w:rPr>
              <w:rFonts w:ascii="Times New Roman" w:hAnsi="Times New Roman"/>
              <w:b/>
              <w:sz w:val="24"/>
              <w:szCs w:val="24"/>
            </w:rPr>
            <w:t>ambios en el acuerdo de concesión que se realicen durante el periodo fiscal</w:t>
          </w:r>
        </w:p>
        <w:p w14:paraId="47BC552A" w14:textId="5A812801" w:rsidR="00274429" w:rsidRPr="009A46BB" w:rsidRDefault="00274429" w:rsidP="00274429">
          <w:pPr>
            <w:jc w:val="both"/>
            <w:rPr>
              <w:rFonts w:ascii="Times New Roman" w:hAnsi="Times New Roman"/>
              <w:sz w:val="24"/>
              <w:szCs w:val="24"/>
            </w:rPr>
          </w:pPr>
        </w:p>
        <w:p w14:paraId="1F1BF77D" w14:textId="2388D460" w:rsidR="00274429" w:rsidRPr="009A46BB" w:rsidRDefault="00392B08" w:rsidP="00392B08">
          <w:pPr>
            <w:spacing w:line="259" w:lineRule="auto"/>
            <w:jc w:val="both"/>
            <w:rPr>
              <w:rFonts w:ascii="Times New Roman" w:hAnsi="Times New Roman"/>
              <w:b/>
              <w:sz w:val="24"/>
              <w:szCs w:val="24"/>
            </w:rPr>
          </w:pPr>
          <w:r w:rsidRPr="009A46BB">
            <w:rPr>
              <w:rFonts w:ascii="Times New Roman" w:hAnsi="Times New Roman"/>
              <w:b/>
              <w:sz w:val="24"/>
              <w:szCs w:val="24"/>
            </w:rPr>
            <w:t>SOCIEDAD ZONA FRANCA ARGOS S.A.S.</w:t>
          </w:r>
        </w:p>
        <w:p w14:paraId="7D5A22D2" w14:textId="2B6BE2F9"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a.</w:t>
          </w:r>
          <w:r w:rsidR="1A67FDCF" w:rsidRPr="2B77AE96">
            <w:rPr>
              <w:rFonts w:ascii="Times New Roman" w:hAnsi="Times New Roman"/>
              <w:b/>
              <w:bCs/>
              <w:sz w:val="24"/>
              <w:szCs w:val="24"/>
            </w:rPr>
            <w:t xml:space="preserve"> </w:t>
          </w:r>
          <w:r w:rsidRPr="009A46BB">
            <w:rPr>
              <w:rFonts w:ascii="Times New Roman" w:hAnsi="Times New Roman"/>
              <w:b/>
              <w:sz w:val="24"/>
              <w:szCs w:val="24"/>
            </w:rPr>
            <w:t>Descripción del acuerdo</w:t>
          </w:r>
        </w:p>
        <w:p w14:paraId="67C54B3A" w14:textId="4D72F749" w:rsidR="00274429" w:rsidRPr="009A46BB" w:rsidRDefault="00274429" w:rsidP="226B1B92">
          <w:pPr>
            <w:spacing w:after="0"/>
            <w:jc w:val="both"/>
            <w:rPr>
              <w:rFonts w:ascii="Times New Roman" w:hAnsi="Times New Roman"/>
              <w:sz w:val="24"/>
              <w:szCs w:val="24"/>
            </w:rPr>
          </w:pPr>
          <w:r w:rsidRPr="009A46BB">
            <w:rPr>
              <w:rFonts w:ascii="Times New Roman" w:hAnsi="Times New Roman"/>
              <w:b/>
              <w:sz w:val="24"/>
              <w:szCs w:val="24"/>
            </w:rPr>
            <w:t>Número del acuerdo de concesión:</w:t>
          </w:r>
          <w:r w:rsidR="00392B08" w:rsidRPr="009A46BB">
            <w:rPr>
              <w:rFonts w:ascii="Times New Roman" w:hAnsi="Times New Roman"/>
              <w:b/>
              <w:sz w:val="24"/>
              <w:szCs w:val="24"/>
            </w:rPr>
            <w:t xml:space="preserve"> </w:t>
          </w:r>
          <w:r w:rsidRPr="009A46BB">
            <w:rPr>
              <w:rFonts w:ascii="Times New Roman" w:hAnsi="Times New Roman"/>
              <w:sz w:val="24"/>
              <w:szCs w:val="24"/>
            </w:rPr>
            <w:t>Contrato de Concesión Portuaria No. 003 de 2010.</w:t>
          </w:r>
        </w:p>
        <w:p w14:paraId="3EF8FC75" w14:textId="7986E1A9" w:rsidR="00274429" w:rsidRPr="009A46BB" w:rsidRDefault="00274429" w:rsidP="226B1B92">
          <w:pPr>
            <w:spacing w:after="0"/>
            <w:jc w:val="both"/>
            <w:rPr>
              <w:rFonts w:ascii="Times New Roman" w:hAnsi="Times New Roman"/>
              <w:sz w:val="24"/>
              <w:szCs w:val="24"/>
            </w:rPr>
          </w:pPr>
          <w:r w:rsidRPr="009A46BB">
            <w:rPr>
              <w:rFonts w:ascii="Times New Roman" w:hAnsi="Times New Roman"/>
              <w:b/>
              <w:sz w:val="24"/>
              <w:szCs w:val="24"/>
            </w:rPr>
            <w:t>Objeto / Descripción:</w:t>
          </w:r>
          <w:r w:rsidR="00392B08" w:rsidRPr="009A46BB">
            <w:rPr>
              <w:rFonts w:ascii="Times New Roman" w:hAnsi="Times New Roman"/>
              <w:b/>
              <w:sz w:val="24"/>
              <w:szCs w:val="24"/>
            </w:rPr>
            <w:t xml:space="preserve"> </w:t>
          </w:r>
          <w:r w:rsidRPr="009A46BB">
            <w:rPr>
              <w:rFonts w:ascii="Times New Roman" w:hAnsi="Times New Roman"/>
              <w:sz w:val="24"/>
              <w:szCs w:val="24"/>
            </w:rPr>
            <w:t>En virtud del presente contrato de concesión portuaria, se permite al CONCESIONARIO, la ocupación en forma temporal y exclusiva de una zona de playas, bajamar y aguas marítimas accesorias junto con las construcciones e inmuebles por destinación que allí se encuentran, para la construcción, operación y el desarrollo de actividades portuarias de servicio privado, conforme lo establece la Cláusula Primera del Contrato.</w:t>
          </w:r>
        </w:p>
        <w:p w14:paraId="415E7EF1" w14:textId="5E7CD77E" w:rsidR="00274429" w:rsidRPr="009A46BB" w:rsidRDefault="00274429" w:rsidP="001F57C8">
          <w:pPr>
            <w:spacing w:after="0"/>
            <w:jc w:val="both"/>
            <w:rPr>
              <w:rFonts w:ascii="Times New Roman" w:hAnsi="Times New Roman"/>
              <w:sz w:val="24"/>
              <w:szCs w:val="24"/>
            </w:rPr>
          </w:pPr>
          <w:r w:rsidRPr="009A46BB">
            <w:rPr>
              <w:rFonts w:ascii="Times New Roman" w:hAnsi="Times New Roman"/>
              <w:b/>
              <w:sz w:val="24"/>
              <w:szCs w:val="24"/>
            </w:rPr>
            <w:t>Valor inicial:</w:t>
          </w:r>
          <w:r w:rsidR="00392B08" w:rsidRPr="009A46BB">
            <w:rPr>
              <w:rFonts w:ascii="Times New Roman" w:hAnsi="Times New Roman"/>
              <w:b/>
              <w:sz w:val="24"/>
              <w:szCs w:val="24"/>
            </w:rPr>
            <w:t xml:space="preserve"> </w:t>
          </w:r>
          <w:r w:rsidRPr="009A46BB">
            <w:rPr>
              <w:rFonts w:ascii="Times New Roman" w:hAnsi="Times New Roman"/>
              <w:sz w:val="24"/>
              <w:szCs w:val="24"/>
            </w:rPr>
            <w:t>USD $ 3.851.957.00, Cláusula Octava/Contrato de Concesión No. 003 de 2010.</w:t>
          </w:r>
        </w:p>
        <w:p w14:paraId="55BE59EB" w14:textId="44D54240" w:rsidR="00274429" w:rsidRPr="009A46BB" w:rsidRDefault="00274429" w:rsidP="001F57C8">
          <w:pPr>
            <w:spacing w:after="0"/>
            <w:jc w:val="both"/>
            <w:rPr>
              <w:rFonts w:ascii="Times New Roman" w:hAnsi="Times New Roman"/>
              <w:sz w:val="24"/>
              <w:szCs w:val="24"/>
            </w:rPr>
          </w:pPr>
          <w:r w:rsidRPr="009A46BB">
            <w:rPr>
              <w:rFonts w:ascii="Times New Roman" w:hAnsi="Times New Roman"/>
              <w:b/>
              <w:sz w:val="24"/>
              <w:szCs w:val="24"/>
            </w:rPr>
            <w:t>Fecha de inicio:</w:t>
          </w:r>
          <w:r w:rsidR="00392B08" w:rsidRPr="009A46BB">
            <w:rPr>
              <w:rFonts w:ascii="Times New Roman" w:hAnsi="Times New Roman"/>
              <w:b/>
              <w:sz w:val="24"/>
              <w:szCs w:val="24"/>
            </w:rPr>
            <w:t xml:space="preserve"> </w:t>
          </w:r>
          <w:r w:rsidRPr="009A46BB">
            <w:rPr>
              <w:rFonts w:ascii="Times New Roman" w:hAnsi="Times New Roman"/>
              <w:sz w:val="24"/>
              <w:szCs w:val="24"/>
            </w:rPr>
            <w:t>8/03/2010</w:t>
          </w:r>
        </w:p>
        <w:p w14:paraId="5F2E77CE" w14:textId="04AD8B62" w:rsidR="00274429" w:rsidRPr="009A46BB" w:rsidRDefault="00274429" w:rsidP="001F57C8">
          <w:pPr>
            <w:spacing w:after="0"/>
            <w:jc w:val="both"/>
            <w:rPr>
              <w:rFonts w:ascii="Times New Roman" w:hAnsi="Times New Roman"/>
              <w:sz w:val="24"/>
              <w:szCs w:val="24"/>
            </w:rPr>
          </w:pPr>
          <w:r w:rsidRPr="009A46BB">
            <w:rPr>
              <w:rFonts w:ascii="Times New Roman" w:hAnsi="Times New Roman"/>
              <w:b/>
              <w:sz w:val="24"/>
              <w:szCs w:val="24"/>
            </w:rPr>
            <w:t>Fecha de finalización estimada:</w:t>
          </w:r>
          <w:r w:rsidR="00392B08" w:rsidRPr="009A46BB">
            <w:rPr>
              <w:rFonts w:ascii="Times New Roman" w:hAnsi="Times New Roman"/>
              <w:b/>
              <w:sz w:val="24"/>
              <w:szCs w:val="24"/>
            </w:rPr>
            <w:t xml:space="preserve"> </w:t>
          </w:r>
          <w:r w:rsidRPr="009A46BB">
            <w:rPr>
              <w:rFonts w:ascii="Times New Roman" w:hAnsi="Times New Roman"/>
              <w:sz w:val="24"/>
              <w:szCs w:val="24"/>
            </w:rPr>
            <w:t>7/03/2030</w:t>
          </w:r>
        </w:p>
        <w:p w14:paraId="4C1640D9" w14:textId="013207E4" w:rsidR="00274429" w:rsidRPr="009A46BB" w:rsidRDefault="00274429" w:rsidP="001F57C8">
          <w:pPr>
            <w:spacing w:after="0"/>
            <w:jc w:val="both"/>
            <w:rPr>
              <w:rFonts w:ascii="Times New Roman" w:hAnsi="Times New Roman"/>
              <w:sz w:val="24"/>
              <w:szCs w:val="24"/>
            </w:rPr>
          </w:pPr>
          <w:r w:rsidRPr="009A46BB">
            <w:rPr>
              <w:rFonts w:ascii="Times New Roman" w:hAnsi="Times New Roman"/>
              <w:b/>
              <w:sz w:val="24"/>
              <w:szCs w:val="24"/>
            </w:rPr>
            <w:t>Tipo ID:</w:t>
          </w:r>
          <w:r w:rsidR="00392B08" w:rsidRPr="009A46BB">
            <w:rPr>
              <w:rFonts w:ascii="Times New Roman" w:hAnsi="Times New Roman"/>
              <w:b/>
              <w:sz w:val="24"/>
              <w:szCs w:val="24"/>
            </w:rPr>
            <w:t xml:space="preserve"> </w:t>
          </w:r>
          <w:r w:rsidRPr="009A46BB">
            <w:rPr>
              <w:rFonts w:ascii="Times New Roman" w:hAnsi="Times New Roman"/>
              <w:sz w:val="24"/>
              <w:szCs w:val="24"/>
            </w:rPr>
            <w:t>NIT</w:t>
          </w:r>
        </w:p>
        <w:p w14:paraId="1FF22DCF" w14:textId="6B298804" w:rsidR="00274429" w:rsidRPr="009A46BB" w:rsidRDefault="00274429" w:rsidP="001F57C8">
          <w:pPr>
            <w:spacing w:after="0"/>
            <w:jc w:val="both"/>
            <w:rPr>
              <w:rFonts w:ascii="Times New Roman" w:hAnsi="Times New Roman"/>
              <w:sz w:val="24"/>
              <w:szCs w:val="24"/>
            </w:rPr>
          </w:pPr>
          <w:r w:rsidRPr="009A46BB">
            <w:rPr>
              <w:rFonts w:ascii="Times New Roman" w:hAnsi="Times New Roman"/>
              <w:b/>
              <w:sz w:val="24"/>
              <w:szCs w:val="24"/>
            </w:rPr>
            <w:t>Número ID:</w:t>
          </w:r>
          <w:r w:rsidR="00392B08" w:rsidRPr="009A46BB">
            <w:rPr>
              <w:rFonts w:ascii="Times New Roman" w:hAnsi="Times New Roman"/>
              <w:b/>
              <w:sz w:val="24"/>
              <w:szCs w:val="24"/>
            </w:rPr>
            <w:t xml:space="preserve"> </w:t>
          </w:r>
          <w:r w:rsidRPr="009A46BB">
            <w:rPr>
              <w:rFonts w:ascii="Times New Roman" w:hAnsi="Times New Roman"/>
              <w:sz w:val="24"/>
              <w:szCs w:val="24"/>
            </w:rPr>
            <w:t>900.164.755-0</w:t>
          </w:r>
        </w:p>
        <w:p w14:paraId="6AA2CC6C" w14:textId="3C65CD53" w:rsidR="00274429" w:rsidRPr="009A46BB" w:rsidRDefault="00274429" w:rsidP="001F57C8">
          <w:pPr>
            <w:spacing w:after="0"/>
            <w:jc w:val="both"/>
            <w:rPr>
              <w:rFonts w:ascii="Times New Roman" w:hAnsi="Times New Roman"/>
              <w:sz w:val="24"/>
              <w:szCs w:val="24"/>
            </w:rPr>
          </w:pPr>
          <w:r w:rsidRPr="009A46BB">
            <w:rPr>
              <w:rFonts w:ascii="Times New Roman" w:hAnsi="Times New Roman"/>
              <w:b/>
              <w:sz w:val="24"/>
              <w:szCs w:val="24"/>
            </w:rPr>
            <w:t>Razón social del concesionario:</w:t>
          </w:r>
          <w:r w:rsidR="00392B08" w:rsidRPr="009A46BB">
            <w:rPr>
              <w:rFonts w:ascii="Times New Roman" w:hAnsi="Times New Roman"/>
              <w:b/>
              <w:sz w:val="24"/>
              <w:szCs w:val="24"/>
            </w:rPr>
            <w:t xml:space="preserve"> </w:t>
          </w:r>
          <w:r w:rsidRPr="009A46BB">
            <w:rPr>
              <w:rFonts w:ascii="Times New Roman" w:hAnsi="Times New Roman"/>
              <w:sz w:val="24"/>
              <w:szCs w:val="24"/>
            </w:rPr>
            <w:t>Sociedad Zona Franca Argos S.A.S.</w:t>
          </w:r>
        </w:p>
        <w:p w14:paraId="66A18A8F" w14:textId="24A7A44E" w:rsidR="00274429" w:rsidRPr="009A46BB" w:rsidRDefault="00274429" w:rsidP="001F57C8">
          <w:pPr>
            <w:spacing w:after="0"/>
            <w:jc w:val="both"/>
            <w:rPr>
              <w:rFonts w:ascii="Times New Roman" w:hAnsi="Times New Roman"/>
              <w:sz w:val="24"/>
              <w:szCs w:val="24"/>
            </w:rPr>
          </w:pPr>
          <w:r w:rsidRPr="009A46BB">
            <w:rPr>
              <w:rFonts w:ascii="Times New Roman" w:hAnsi="Times New Roman"/>
              <w:b/>
              <w:sz w:val="24"/>
              <w:szCs w:val="24"/>
            </w:rPr>
            <w:t>Nombre del proyecto:</w:t>
          </w:r>
          <w:r w:rsidR="00392B08" w:rsidRPr="009A46BB">
            <w:rPr>
              <w:rFonts w:ascii="Times New Roman" w:hAnsi="Times New Roman"/>
              <w:b/>
              <w:sz w:val="24"/>
              <w:szCs w:val="24"/>
            </w:rPr>
            <w:t xml:space="preserve"> </w:t>
          </w:r>
          <w:r w:rsidRPr="009A46BB">
            <w:rPr>
              <w:rFonts w:ascii="Times New Roman" w:hAnsi="Times New Roman"/>
              <w:sz w:val="24"/>
              <w:szCs w:val="24"/>
            </w:rPr>
            <w:t>Sociedad Zona Franca Argos S.A.S.</w:t>
          </w:r>
        </w:p>
        <w:p w14:paraId="74526BFB" w14:textId="24A7A44E" w:rsidR="226B1B92" w:rsidRDefault="226B1B92" w:rsidP="226B1B92">
          <w:pPr>
            <w:spacing w:after="0"/>
            <w:jc w:val="both"/>
            <w:rPr>
              <w:rFonts w:ascii="Times New Roman" w:hAnsi="Times New Roman"/>
              <w:sz w:val="24"/>
              <w:szCs w:val="24"/>
            </w:rPr>
          </w:pPr>
        </w:p>
        <w:p w14:paraId="5E4D745B" w14:textId="7158F97A" w:rsidR="00274429" w:rsidRPr="009A46BB" w:rsidRDefault="00274429" w:rsidP="00E60BAB">
          <w:pPr>
            <w:pStyle w:val="Prrafodelista"/>
            <w:numPr>
              <w:ilvl w:val="0"/>
              <w:numId w:val="144"/>
            </w:numPr>
            <w:jc w:val="both"/>
            <w:rPr>
              <w:rFonts w:ascii="Times New Roman" w:hAnsi="Times New Roman"/>
              <w:b/>
            </w:rPr>
          </w:pPr>
          <w:r w:rsidRPr="009A46BB">
            <w:rPr>
              <w:rFonts w:ascii="Times New Roman" w:hAnsi="Times New Roman"/>
              <w:b/>
              <w:sz w:val="24"/>
              <w:szCs w:val="24"/>
            </w:rPr>
            <w:t>Términos significativos del acuerdo que puedan afectar su valor, el calendario y la certeza de los flujos</w:t>
          </w:r>
        </w:p>
        <w:p w14:paraId="5C75A0D2"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Términos de valor:</w:t>
          </w:r>
        </w:p>
        <w:p w14:paraId="27A7895C"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Tarifas:</w:t>
          </w:r>
          <w:r w:rsidRPr="009A46BB">
            <w:rPr>
              <w:rFonts w:ascii="Times New Roman" w:hAnsi="Times New Roman"/>
              <w:sz w:val="24"/>
              <w:szCs w:val="24"/>
            </w:rPr>
            <w:t xml:space="preserve">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w:t>
          </w:r>
        </w:p>
        <w:p w14:paraId="614D4591"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lastRenderedPageBreak/>
            <w:t>Contraprestación:</w:t>
          </w:r>
          <w:r w:rsidRPr="009A46BB">
            <w:rPr>
              <w:rFonts w:ascii="Times New Roman" w:hAnsi="Times New Roman"/>
              <w:sz w:val="24"/>
              <w:szCs w:val="24"/>
            </w:rPr>
            <w:t xml:space="preserve"> De acuerdo con el último documento contractual vigente la metodología de contraprestación vigente es CONPES 2680 de 1993 (Productividad). </w:t>
          </w:r>
        </w:p>
        <w:p w14:paraId="6C72BFE3"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 xml:space="preserve">Se establece en la Cláusula Octava del Contrato que el CONCESIONARIO deberá pagar por concepto de Zona de Uso Público la suma anual de (USD $470.070), de dicho pago el 80% le corresponde a la Nación Instituto Nacional de Vías (INVIAS) y el 20% restante al Distrito de Cartagena de acuerdo con lo establecido en el parágrafo 1 del artículo 1 de la ley 856 del 21 de diciembre de 2003, que modifica el artículo 7 de la ley 1ª de 1991. Así mismo, por concepto de Infraestructura el CONCESIONARIO deberá pagar la suma anual de (USD $55.165), el cual corresponde en un 100% a la Nación - Instituto Nacional de Vías (INVIAS) de acuerdo con lo establecido en el artículo 1 de la ley 856 del 21 diciembre de 2003. </w:t>
          </w:r>
        </w:p>
        <w:p w14:paraId="09385D1B" w14:textId="04AF4BEF"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Plan de Inversiones:</w:t>
          </w:r>
          <w:r w:rsidRPr="009A46BB">
            <w:rPr>
              <w:rFonts w:ascii="Times New Roman" w:hAnsi="Times New Roman"/>
              <w:sz w:val="24"/>
              <w:szCs w:val="24"/>
            </w:rPr>
            <w:t xml:space="preserve">a través de Acuerdo Conciliatorio de 12 de julio de 2022, las partes acordaron la modificación de la Cláusula Séptima del Contrato de Concesión No. 003 de 2010, modificado a su vez por la Cláusula Primera del Otrosí 1 de 2015. Con dicho acuerdo el Plan de Inversión será de USD 44.603.101en valores corrientes. </w:t>
          </w:r>
        </w:p>
        <w:p w14:paraId="52588F2D"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Obligaciones del CONCESIONARIO:</w:t>
          </w:r>
          <w:r w:rsidRPr="009A46BB">
            <w:rPr>
              <w:rFonts w:ascii="Times New Roman" w:hAnsi="Times New Roman"/>
              <w:sz w:val="24"/>
              <w:szCs w:val="24"/>
            </w:rPr>
            <w:t xml:space="preserve"> Se encuentran descritas en la Cláusula Décima Quinta del Contrato de Concesión.</w:t>
          </w:r>
        </w:p>
        <w:p w14:paraId="2A799E4C"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Multas y sanciones:</w:t>
          </w:r>
          <w:r w:rsidRPr="009A46BB">
            <w:rPr>
              <w:rFonts w:ascii="Times New Roman" w:hAnsi="Times New Roman"/>
              <w:sz w:val="24"/>
              <w:szCs w:val="24"/>
            </w:rPr>
            <w:t xml:space="preserve"> Están establecidas en la Cláusula Décima Octava. A 31 de diciembre de 2019 fue fijada una multa mediante Resolución No.1380 del 31 de julio de 2018, ratificada por la Resolución No. 832 del 10 de junio de 2019 por incumplimiento al año 6 del plan de inversiones contractual, por un valor de USD $ 770.391.</w:t>
          </w:r>
        </w:p>
        <w:p w14:paraId="16BA8122"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Penal Pecuniaria:</w:t>
          </w:r>
          <w:r w:rsidRPr="009A46BB">
            <w:rPr>
              <w:rFonts w:ascii="Times New Roman" w:hAnsi="Times New Roman"/>
              <w:sz w:val="24"/>
              <w:szCs w:val="24"/>
            </w:rPr>
            <w:t xml:space="preserve"> En la Cláusula Décima Novena se establece que en el evento en que el INCO hoy ANI declare la Caducidad o el Incumplimiento del Contrato de Concesión, se podrá imponer una Penalidad Pecuniaria. </w:t>
          </w:r>
        </w:p>
        <w:p w14:paraId="0BF8BFAF"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Riesgos:</w:t>
          </w:r>
          <w:r w:rsidRPr="009A46BB">
            <w:rPr>
              <w:rFonts w:ascii="Times New Roman" w:hAnsi="Times New Roman"/>
              <w:sz w:val="24"/>
              <w:szCs w:val="24"/>
            </w:rPr>
            <w:t xml:space="preserve"> Están descritos en la Cláusula Trigésima, el CONCESIONARIO acepta que la totalidad de los riesgos inherentes a la ejecución del Contrato en su etapa preoperativa, de construcción, de operación y de reversión, serán asumidos por él, y que la ocurrencia de algún riesgo, no dará derecho a indemnización o reconocimiento alguno a favor del CONCESIONARIO.</w:t>
          </w:r>
        </w:p>
        <w:p w14:paraId="60DE573E"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Términos de calendario:</w:t>
          </w:r>
        </w:p>
        <w:p w14:paraId="4CC5C7FB"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 xml:space="preserve">Tarifas: </w:t>
          </w:r>
          <w:r w:rsidRPr="009A46BB">
            <w:rPr>
              <w:rFonts w:ascii="Times New Roman" w:hAnsi="Times New Roman"/>
              <w:sz w:val="24"/>
              <w:szCs w:val="24"/>
            </w:rPr>
            <w:t>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w:t>
          </w:r>
        </w:p>
        <w:p w14:paraId="5A95B595"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Contraprestación:</w:t>
          </w:r>
          <w:r w:rsidRPr="009A46BB">
            <w:rPr>
              <w:rFonts w:ascii="Times New Roman" w:hAnsi="Times New Roman"/>
              <w:sz w:val="24"/>
              <w:szCs w:val="24"/>
            </w:rPr>
            <w:t xml:space="preserve"> De acuerdo con el último documento contractual vigente la metodología de contraprestación vigente es CONPES 2680 de 1993 (Productividad). </w:t>
          </w:r>
        </w:p>
        <w:p w14:paraId="3C640752"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 xml:space="preserve">Se establece en la Cláusula Octava del Contrato que el CONCESIONARIO deberá pagar por concepto de Zona de Uso Público la suma anual de (USD $470.070), de dicho pago el 80% le corresponde a la Nación Instituto Nacional de Vías (INVIAS) y el 20% restante al Distrito de </w:t>
          </w:r>
          <w:r w:rsidRPr="009A46BB">
            <w:rPr>
              <w:rFonts w:ascii="Times New Roman" w:hAnsi="Times New Roman"/>
              <w:sz w:val="24"/>
              <w:szCs w:val="24"/>
            </w:rPr>
            <w:lastRenderedPageBreak/>
            <w:t xml:space="preserve">Cartagena de acuerdo con lo establecido en el parágrafo 1 del artículo 1 de la ley 856 del 21 de diciembre de 2003, que modifica el artículo 7 de la ley 1ª de 1991. Así mismo, por concepto de Infraestructura el CONCESIONARIO deberá pagar la suma anual de (USD $55.165), el cual corresponde en un 100% a la Nación - Instituto Nacional de Vías (INVIAS) de acuerdo con lo establecido en el artículo 1 de la ley 856 del 21 diciembre de 2003. </w:t>
          </w:r>
        </w:p>
        <w:p w14:paraId="6479A7BC"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 xml:space="preserve">Plan de Inversiones: </w:t>
          </w:r>
          <w:r w:rsidRPr="009A46BB">
            <w:rPr>
              <w:rFonts w:ascii="Times New Roman" w:hAnsi="Times New Roman"/>
              <w:sz w:val="24"/>
              <w:szCs w:val="24"/>
            </w:rPr>
            <w:t xml:space="preserve">a través de Acuerdo Conciliatorio de 12 de julio de 2022, las partes acordaron la modificación de la Cláusula Séptima del Contrato de Concesión No. 003 de 2010, modificado a su vez por la Cláusula Primera del Otrosí 1 de 2015. Con dicho acuerdo el Plan de Inversión será de USD 44.603.101en valores corrientes. </w:t>
          </w:r>
        </w:p>
        <w:p w14:paraId="2A24B40F"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Obligaciones del CONCESIONARIO:</w:t>
          </w:r>
          <w:r w:rsidRPr="009A46BB">
            <w:rPr>
              <w:rFonts w:ascii="Times New Roman" w:hAnsi="Times New Roman"/>
              <w:sz w:val="24"/>
              <w:szCs w:val="24"/>
            </w:rPr>
            <w:t xml:space="preserve"> Se encuentran descritas en la Cláusula Décima Quinta del Contrato de Concesión.</w:t>
          </w:r>
        </w:p>
        <w:p w14:paraId="5D1C7857"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Multas y sanciones:</w:t>
          </w:r>
          <w:r w:rsidRPr="009A46BB">
            <w:rPr>
              <w:rFonts w:ascii="Times New Roman" w:hAnsi="Times New Roman"/>
              <w:sz w:val="24"/>
              <w:szCs w:val="24"/>
            </w:rPr>
            <w:t xml:space="preserve"> Están establecidas en la Cláusula Décima Octava. A 31 de diciembre de 2019 fue fijada una multa mediante Resolución No.1380 del 31 de julio de 2018, ratificada por la Resolución No. 832 del 10 de junio de 2019 por incumplimiento al año 6 del plan de inversiones contractual, por un valor de USD $ 770.391.</w:t>
          </w:r>
        </w:p>
        <w:p w14:paraId="28419A18"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Penal Pecuniaria:</w:t>
          </w:r>
          <w:r w:rsidRPr="009A46BB">
            <w:rPr>
              <w:rFonts w:ascii="Times New Roman" w:hAnsi="Times New Roman"/>
              <w:sz w:val="24"/>
              <w:szCs w:val="24"/>
            </w:rPr>
            <w:t xml:space="preserve"> En la Cláusula Décima Novena se establece que en el evento en que el INCO hoy ANI declare la Caducidad o el Incumplimiento del Contrato de Concesión, se podrá imponer una Penalidad Pecuniaria. </w:t>
          </w:r>
        </w:p>
        <w:p w14:paraId="77C14130" w14:textId="50D18E4C"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Riesgos:</w:t>
          </w:r>
          <w:r w:rsidRPr="009A46BB">
            <w:rPr>
              <w:rFonts w:ascii="Times New Roman" w:hAnsi="Times New Roman"/>
              <w:sz w:val="24"/>
              <w:szCs w:val="24"/>
            </w:rPr>
            <w:t xml:space="preserve"> Están descritos en la Cláusula Trigésima, el CONCESIONARIO acepta que la totalidad de los riesgos inherentes a la ejecución del Contrato en su etapa preoperativa, de construcción, de operación y de reversión, serán asumidos por él, y que la ocurrencia de algún riesgo no dará derecho a indemnización o reconocimiento alguno a favor del CONCESIONARIO.</w:t>
          </w:r>
        </w:p>
        <w:p w14:paraId="4BEED0AA"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Términos de certeza de flujos de efectivo futuros:</w:t>
          </w:r>
        </w:p>
        <w:p w14:paraId="23C7D7E9" w14:textId="11E994A3"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Se permite al CONCESIONARIO la ocupación en forma temporal y exclusiva de una zona de playas, de bajamar y aguas marítimas accesorias junto con las construcciones e inmuebles por destinación que allí se encuentra, para la construcción, operación y el desarrollo de actividades portuarias de servicio privado, conforme lo establece la Cláusula Primera del Contrato.</w:t>
          </w:r>
        </w:p>
        <w:p w14:paraId="1A0CAE10" w14:textId="26CEF22F"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Cláusula Octava, Parágrafo Segundo, del valor a pagar por concepto de Contraprestación por Zona de Uso Público el 80% le corresponde a la Nación-INVIAS y el 20 % al Distrito Turístico de Cartagena de Indias y por Infraestructura el 100% a la Nación-INVIAS.</w:t>
          </w:r>
        </w:p>
        <w:p w14:paraId="737E55F4"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c.</w:t>
          </w:r>
          <w:r w:rsidRPr="009A46BB">
            <w:rPr>
              <w:rFonts w:ascii="Times New Roman" w:hAnsi="Times New Roman"/>
              <w:b/>
              <w:sz w:val="24"/>
              <w:szCs w:val="24"/>
            </w:rPr>
            <w:tab/>
            <w:t>Naturaleza y alcance del derecho a utilizar activos especificados, de los aspectos pactados en torno a lo que se espera que el concesionario proporcione en relación con el acuerdo de concesión.</w:t>
          </w:r>
        </w:p>
        <w:p w14:paraId="50B4700B"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Naturaleza y alcance del derecho de uso de los activos</w:t>
          </w:r>
        </w:p>
        <w:p w14:paraId="353B4052"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Descripción:</w:t>
          </w:r>
          <w:r w:rsidRPr="009A46BB">
            <w:rPr>
              <w:rFonts w:ascii="Times New Roman" w:hAnsi="Times New Roman"/>
              <w:b/>
              <w:sz w:val="24"/>
              <w:szCs w:val="24"/>
            </w:rPr>
            <w:tab/>
          </w:r>
        </w:p>
        <w:p w14:paraId="3D1F59F6"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Activos reconocidos</w:t>
          </w:r>
        </w:p>
        <w:p w14:paraId="76CB19D7"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lastRenderedPageBreak/>
            <w:t>Alcance del derecho de uso de los activos:</w:t>
          </w:r>
          <w:r w:rsidRPr="009A46BB">
            <w:rPr>
              <w:rFonts w:ascii="Times New Roman" w:hAnsi="Times New Roman"/>
              <w:sz w:val="24"/>
              <w:szCs w:val="24"/>
            </w:rPr>
            <w:t xml:space="preserve"> Esta infraestructura se entrega al CONCESIONARIO con quien se acuerda que asumirá su administración, custodia y mantenimiento, advirtiendo que todo el programa de obras y/o actividades que allí pretenda desarrollar debe ser previamente autorizada por el INCO hoy ANI. La entrega del área y de las construcciones de que trata la Cláusula Segunda, no confiere ni reconoce título alguno de</w:t>
          </w:r>
          <w:r w:rsidRPr="009A46BB">
            <w:rPr>
              <w:rFonts w:ascii="Times New Roman" w:hAnsi="Times New Roman"/>
              <w:sz w:val="24"/>
              <w:szCs w:val="24"/>
            </w:rPr>
            <w:tab/>
          </w:r>
          <w:r w:rsidRPr="009A46BB">
            <w:rPr>
              <w:rFonts w:ascii="Times New Roman" w:hAnsi="Times New Roman"/>
              <w:sz w:val="24"/>
              <w:szCs w:val="24"/>
            </w:rPr>
            <w:tab/>
            <w:t xml:space="preserve"> dominio sobre la propiedad del suelo ni del Subsuelo por parte de EL INCO hoy ANI, al CONCESIONARIO.</w:t>
          </w:r>
        </w:p>
        <w:p w14:paraId="68AB4763"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 del proyecto, especificaciones técnicas, modalidades de operación:</w:t>
          </w:r>
          <w:r w:rsidRPr="009A46BB">
            <w:rPr>
              <w:rFonts w:ascii="Times New Roman" w:hAnsi="Times New Roman"/>
              <w:sz w:val="24"/>
              <w:szCs w:val="24"/>
            </w:rPr>
            <w:t xml:space="preserve"> Las condiciones especiales de operación del puerto están establecidas en la Cláusula Quinta. </w:t>
          </w:r>
        </w:p>
        <w:p w14:paraId="0DDE8B97"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Área entregada en concesión:</w:t>
          </w:r>
          <w:r w:rsidRPr="009A46BB">
            <w:rPr>
              <w:rFonts w:ascii="Times New Roman" w:hAnsi="Times New Roman"/>
              <w:sz w:val="24"/>
              <w:szCs w:val="24"/>
            </w:rPr>
            <w:t xml:space="preserve"> La descripción de la ubicación, linderos y extensión de los bienes de uso público (playas y terrenos de baja mar, zonas marítimas accesorias de maniobras) entregados en concesión están establecidos en la Cláusula Segunda del Contrato.</w:t>
          </w:r>
        </w:p>
        <w:p w14:paraId="2D9DE58A"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Infraestructura y equipos entregados en concesión:</w:t>
          </w:r>
          <w:r w:rsidRPr="009A46BB">
            <w:rPr>
              <w:rFonts w:ascii="Times New Roman" w:hAnsi="Times New Roman"/>
              <w:sz w:val="24"/>
              <w:szCs w:val="24"/>
            </w:rPr>
            <w:t xml:space="preserve"> En la Cláusula Segunda del Contrato, se describe que los bienes de uso público y su infraestructura asociada entregados en Concesión fueron: </w:t>
          </w:r>
        </w:p>
        <w:p w14:paraId="1D7BB621"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w:t>
          </w:r>
          <w:r w:rsidRPr="009A46BB">
            <w:rPr>
              <w:rFonts w:ascii="Times New Roman" w:hAnsi="Times New Roman"/>
              <w:b/>
              <w:sz w:val="24"/>
              <w:szCs w:val="24"/>
            </w:rPr>
            <w:tab/>
            <w:t>Infraestructura:</w:t>
          </w:r>
          <w:r w:rsidRPr="009A46BB">
            <w:rPr>
              <w:rFonts w:ascii="Times New Roman" w:hAnsi="Times New Roman"/>
              <w:sz w:val="24"/>
              <w:szCs w:val="24"/>
            </w:rPr>
            <w:t xml:space="preserve"> Muelle de carga, una plataforma de acceso, una plataforma de maniobra, una bodega, una garita de portería, oficinas de dirección de puerto, oficina de soporte operacional, una batería de baños, un sistema de aguas escorrentías.</w:t>
          </w:r>
        </w:p>
        <w:p w14:paraId="2E06BF0B"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w:t>
          </w:r>
          <w:r w:rsidRPr="009A46BB">
            <w:rPr>
              <w:rFonts w:ascii="Times New Roman" w:hAnsi="Times New Roman"/>
              <w:sz w:val="24"/>
              <w:szCs w:val="24"/>
            </w:rPr>
            <w:tab/>
          </w:r>
          <w:r w:rsidRPr="009A46BB">
            <w:rPr>
              <w:rFonts w:ascii="Times New Roman" w:hAnsi="Times New Roman"/>
              <w:b/>
              <w:sz w:val="24"/>
              <w:szCs w:val="24"/>
            </w:rPr>
            <w:t>Equipos</w:t>
          </w:r>
          <w:r w:rsidRPr="009A46BB">
            <w:rPr>
              <w:rFonts w:ascii="Times New Roman" w:hAnsi="Times New Roman"/>
              <w:sz w:val="24"/>
              <w:szCs w:val="24"/>
            </w:rPr>
            <w:t>: a) Tolva de Exportación, b) Apilador, Marca Urbasa. c) Cargador Urbasa, d) Zaranda intersección, e) Banda 11.000 Urbasa, f) Banda (2) TC-O Carbón, g) Banda (l) Carbón, h) Tolva Banda (1) Carbón. i) Banda (2) TC I Carbón. j) Banda (3) Carbón, k) Banda (4) Carbón. l) Banda (5) Carbón. m) Banda (6) Carbón. n) Banda (7) Carbón, ñ) Banda (8) Carbón, o) Banda (9) Carbón, p) Banda TC-2 Carbón, q) Rieles del Apilador Carbón, r) Banda TC-4 Carbón, s) Tolva TC-4. Carbón, t) Grúa Munk, u) Grúa de pedestal Bucyrus, w) Zaranda.</w:t>
          </w:r>
        </w:p>
        <w:p w14:paraId="53DBE588"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Retribución al concesionario</w:t>
          </w:r>
        </w:p>
        <w:p w14:paraId="360178C2"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w:t>
          </w:r>
          <w:r w:rsidRPr="009A46BB">
            <w:rPr>
              <w:rFonts w:ascii="Times New Roman" w:hAnsi="Times New Roman"/>
              <w:sz w:val="24"/>
              <w:szCs w:val="24"/>
            </w:rPr>
            <w:tab/>
            <w:t>Se permite al CONCESIONARIO la ocupación en forma temporal y exclusiva de una zona de playas, de bajamar y aguas marítimas accesorias junto con las construcciones e inmuebles por destinación que allí se encuentra, para la construcción, operación y el desarrollo de actividades portuarias de servicio privado, conforme lo establece la Cláusula Primera del Contrato.</w:t>
          </w:r>
        </w:p>
        <w:p w14:paraId="718288F5"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Tasa de retribución:</w:t>
          </w:r>
          <w:r w:rsidRPr="009A46BB">
            <w:rPr>
              <w:rFonts w:ascii="Times New Roman" w:hAnsi="Times New Roman"/>
              <w:sz w:val="24"/>
              <w:szCs w:val="24"/>
            </w:rPr>
            <w:tab/>
            <w:t>N/A</w:t>
          </w:r>
        </w:p>
        <w:p w14:paraId="37CD2115"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d.</w:t>
          </w:r>
          <w:r w:rsidRPr="009A46BB">
            <w:rPr>
              <w:rFonts w:ascii="Times New Roman" w:hAnsi="Times New Roman"/>
              <w:b/>
              <w:sz w:val="24"/>
              <w:szCs w:val="24"/>
            </w:rPr>
            <w:tab/>
            <w:t>Derechos a recibir activos especificados al final del acuerdo de concesión</w:t>
          </w:r>
        </w:p>
        <w:p w14:paraId="537AE2B1"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Descripción:</w:t>
          </w:r>
          <w:r w:rsidRPr="009A46BB">
            <w:rPr>
              <w:rFonts w:ascii="Times New Roman" w:hAnsi="Times New Roman"/>
              <w:sz w:val="24"/>
              <w:szCs w:val="24"/>
            </w:rPr>
            <w:tab/>
            <w:t>De acuerdo con el Artículo 8º de la Ley 1 de 1991 en el modo portuario el concesionario no tiene derechos finales sobre activos, los debe revertir a la Nación al final del Contrato de Concesión.</w:t>
          </w:r>
        </w:p>
        <w:p w14:paraId="2C5785C1" w14:textId="77777777"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t>Observaciones</w:t>
          </w:r>
          <w:r w:rsidRPr="009A46BB">
            <w:rPr>
              <w:rFonts w:ascii="Times New Roman" w:hAnsi="Times New Roman"/>
              <w:sz w:val="24"/>
              <w:szCs w:val="24"/>
            </w:rPr>
            <w:t>:</w:t>
          </w:r>
          <w:r w:rsidRPr="009A46BB">
            <w:rPr>
              <w:rFonts w:ascii="Times New Roman" w:hAnsi="Times New Roman"/>
              <w:sz w:val="24"/>
              <w:szCs w:val="24"/>
            </w:rPr>
            <w:tab/>
          </w:r>
        </w:p>
        <w:p w14:paraId="34B314B5" w14:textId="2ABFD8C6" w:rsidR="00274429" w:rsidRPr="009A46BB" w:rsidRDefault="00274429" w:rsidP="00274429">
          <w:pPr>
            <w:jc w:val="both"/>
            <w:rPr>
              <w:rFonts w:ascii="Times New Roman" w:hAnsi="Times New Roman"/>
              <w:sz w:val="24"/>
              <w:szCs w:val="24"/>
            </w:rPr>
          </w:pPr>
          <w:r w:rsidRPr="009A46BB">
            <w:rPr>
              <w:rFonts w:ascii="Times New Roman" w:hAnsi="Times New Roman"/>
              <w:b/>
              <w:sz w:val="24"/>
              <w:szCs w:val="24"/>
            </w:rPr>
            <w:lastRenderedPageBreak/>
            <w:t>Reversión</w:t>
          </w:r>
          <w:r w:rsidRPr="009A46BB">
            <w:rPr>
              <w:rFonts w:ascii="Times New Roman" w:hAnsi="Times New Roman"/>
              <w:sz w:val="24"/>
              <w:szCs w:val="24"/>
            </w:rPr>
            <w:t xml:space="preserve">: De acuerdo con lo establecido en la Cláusula </w:t>
          </w:r>
          <w:r w:rsidR="001F57C8" w:rsidRPr="009A46BB">
            <w:rPr>
              <w:rFonts w:ascii="Times New Roman" w:hAnsi="Times New Roman"/>
              <w:sz w:val="24"/>
              <w:szCs w:val="24"/>
            </w:rPr>
            <w:t>DecimoSegunda</w:t>
          </w:r>
          <w:r w:rsidRPr="009A46BB">
            <w:rPr>
              <w:rFonts w:ascii="Times New Roman" w:hAnsi="Times New Roman"/>
              <w:sz w:val="24"/>
              <w:szCs w:val="24"/>
            </w:rPr>
            <w:t xml:space="preserve"> del Contrato de Concesión, la Zona de Uso Público y todas las construcciones (obras e inversiones) e inmuebles por destinación (equipos e inversiones) afectos a la operación del muelle entregadas en concesión se revertirán a la Nación en buenas condiciones de operación tecnológica, mantenimiento y de adecuada eficiencia al término del contrato y de las prórrogas si las hubiere. Igualmente procederá la Reversión al ser declarada la Caducidad o la Terminación Unilateral. </w:t>
          </w:r>
        </w:p>
        <w:p w14:paraId="552E2431"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Para tal fin, en el momento de la Reversión el CONCESIONARIO deberá hacer entrega de un avaluó comercial actualizado y valoración técnica de las condiciones de operación de la infraestructura portuaria, equipos e inmuebles por destinación que habitualmente se encuentren instalados en las Zonas de Uso Público que se revierten y que son propiedad de la Nación.</w:t>
          </w:r>
        </w:p>
        <w:p w14:paraId="662F4DBB" w14:textId="77777777" w:rsidR="00274429" w:rsidRPr="009A46BB" w:rsidRDefault="00274429" w:rsidP="00274429">
          <w:pPr>
            <w:jc w:val="both"/>
            <w:rPr>
              <w:rFonts w:ascii="Times New Roman" w:hAnsi="Times New Roman"/>
              <w:b/>
              <w:sz w:val="24"/>
              <w:szCs w:val="24"/>
            </w:rPr>
          </w:pPr>
          <w:r w:rsidRPr="009A46BB">
            <w:rPr>
              <w:rFonts w:ascii="Times New Roman" w:hAnsi="Times New Roman"/>
              <w:b/>
              <w:sz w:val="24"/>
              <w:szCs w:val="24"/>
            </w:rPr>
            <w:t>e.</w:t>
          </w:r>
          <w:r w:rsidRPr="009A46BB">
            <w:rPr>
              <w:rFonts w:ascii="Times New Roman" w:hAnsi="Times New Roman"/>
              <w:b/>
              <w:sz w:val="24"/>
              <w:szCs w:val="24"/>
            </w:rPr>
            <w:tab/>
            <w:t>Cambios en el acuerdo de concesión que se realicen durante el periodo fiscal</w:t>
          </w:r>
        </w:p>
        <w:p w14:paraId="3FC5E848" w14:textId="3FBB99A4" w:rsidR="00274429" w:rsidRPr="009A46BB" w:rsidRDefault="00274429" w:rsidP="6B9D7933">
          <w:pPr>
            <w:spacing w:after="0"/>
            <w:jc w:val="both"/>
            <w:rPr>
              <w:rFonts w:ascii="Times New Roman" w:hAnsi="Times New Roman"/>
              <w:b/>
              <w:sz w:val="24"/>
              <w:szCs w:val="24"/>
            </w:rPr>
          </w:pPr>
          <w:r w:rsidRPr="009A46BB">
            <w:rPr>
              <w:rFonts w:ascii="Times New Roman" w:hAnsi="Times New Roman"/>
              <w:b/>
              <w:sz w:val="24"/>
              <w:szCs w:val="24"/>
            </w:rPr>
            <w:t>Adiciones o modificaciones en valor</w:t>
          </w:r>
        </w:p>
        <w:p w14:paraId="3DDF8DB4" w14:textId="5E125A0E" w:rsidR="00274429" w:rsidRPr="009A46BB" w:rsidRDefault="00274429" w:rsidP="6B9D7933">
          <w:pPr>
            <w:spacing w:after="0"/>
            <w:jc w:val="both"/>
            <w:rPr>
              <w:rFonts w:ascii="Times New Roman" w:hAnsi="Times New Roman"/>
              <w:sz w:val="24"/>
              <w:szCs w:val="24"/>
            </w:rPr>
          </w:pPr>
          <w:r w:rsidRPr="009A46BB">
            <w:rPr>
              <w:rFonts w:ascii="Times New Roman" w:hAnsi="Times New Roman"/>
              <w:b/>
              <w:sz w:val="24"/>
              <w:szCs w:val="24"/>
            </w:rPr>
            <w:t>Valor de la adición o modificación</w:t>
          </w:r>
          <w:r w:rsidR="00392B08" w:rsidRPr="009A46BB">
            <w:rPr>
              <w:rFonts w:ascii="Times New Roman" w:hAnsi="Times New Roman"/>
              <w:b/>
              <w:sz w:val="24"/>
              <w:szCs w:val="24"/>
            </w:rPr>
            <w:t xml:space="preserve">: </w:t>
          </w:r>
          <w:r w:rsidRPr="009A46BB">
            <w:rPr>
              <w:rFonts w:ascii="Times New Roman" w:hAnsi="Times New Roman"/>
              <w:sz w:val="24"/>
              <w:szCs w:val="24"/>
            </w:rPr>
            <w:t>USD$14.830.906</w:t>
          </w:r>
        </w:p>
        <w:p w14:paraId="32E017BB" w14:textId="7601C6CC" w:rsidR="00274429" w:rsidRPr="009A46BB" w:rsidRDefault="00274429" w:rsidP="6B9D7933">
          <w:pPr>
            <w:spacing w:after="0"/>
            <w:jc w:val="both"/>
            <w:rPr>
              <w:rFonts w:ascii="Times New Roman" w:hAnsi="Times New Roman"/>
              <w:sz w:val="24"/>
              <w:szCs w:val="24"/>
            </w:rPr>
          </w:pPr>
          <w:r w:rsidRPr="009A46BB">
            <w:rPr>
              <w:rFonts w:ascii="Times New Roman" w:hAnsi="Times New Roman"/>
              <w:b/>
              <w:sz w:val="24"/>
              <w:szCs w:val="24"/>
            </w:rPr>
            <w:t>Nuevo valor del acuerdo</w:t>
          </w:r>
          <w:r w:rsidR="00392B08" w:rsidRPr="009A46BB">
            <w:rPr>
              <w:rFonts w:ascii="Times New Roman" w:hAnsi="Times New Roman"/>
              <w:b/>
              <w:sz w:val="24"/>
              <w:szCs w:val="24"/>
            </w:rPr>
            <w:t xml:space="preserve">: </w:t>
          </w:r>
          <w:r w:rsidRPr="009A46BB">
            <w:rPr>
              <w:rFonts w:ascii="Times New Roman" w:hAnsi="Times New Roman"/>
              <w:sz w:val="24"/>
              <w:szCs w:val="24"/>
            </w:rPr>
            <w:t>USD 44.603.101</w:t>
          </w:r>
        </w:p>
        <w:p w14:paraId="12EB738F" w14:textId="46EA0027" w:rsidR="00274429" w:rsidRPr="009A46BB" w:rsidRDefault="00274429" w:rsidP="6B9D7933">
          <w:pPr>
            <w:spacing w:after="0"/>
            <w:jc w:val="both"/>
            <w:rPr>
              <w:rFonts w:ascii="Times New Roman" w:hAnsi="Times New Roman"/>
              <w:sz w:val="24"/>
              <w:szCs w:val="24"/>
            </w:rPr>
          </w:pPr>
          <w:r w:rsidRPr="009A46BB">
            <w:rPr>
              <w:rFonts w:ascii="Times New Roman" w:hAnsi="Times New Roman"/>
              <w:b/>
              <w:sz w:val="24"/>
              <w:szCs w:val="24"/>
            </w:rPr>
            <w:t>Observaciones</w:t>
          </w:r>
          <w:r w:rsidR="00392B08" w:rsidRPr="009A46BB">
            <w:rPr>
              <w:rFonts w:ascii="Times New Roman" w:hAnsi="Times New Roman"/>
              <w:b/>
              <w:sz w:val="24"/>
              <w:szCs w:val="24"/>
            </w:rPr>
            <w:t xml:space="preserve">: </w:t>
          </w:r>
          <w:r w:rsidRPr="009A46BB">
            <w:rPr>
              <w:rFonts w:ascii="Times New Roman" w:hAnsi="Times New Roman"/>
              <w:sz w:val="24"/>
              <w:szCs w:val="24"/>
            </w:rPr>
            <w:t>Corresponde al valor del Plan de Inversiones modificado a través de Acuerdo Conciliatorio suscrito el 12/07/22.</w:t>
          </w:r>
        </w:p>
        <w:p w14:paraId="6DBCE2BA" w14:textId="77777777" w:rsidR="00392B08" w:rsidRPr="009A46BB" w:rsidRDefault="00392B08" w:rsidP="00274429">
          <w:pPr>
            <w:jc w:val="both"/>
            <w:rPr>
              <w:rFonts w:ascii="Times New Roman" w:hAnsi="Times New Roman"/>
              <w:sz w:val="24"/>
              <w:szCs w:val="24"/>
            </w:rPr>
          </w:pPr>
        </w:p>
        <w:p w14:paraId="0252F91A" w14:textId="0204DD8E" w:rsidR="00274429" w:rsidRPr="00392B08" w:rsidRDefault="00392B08" w:rsidP="00274429">
          <w:pPr>
            <w:jc w:val="both"/>
            <w:rPr>
              <w:rFonts w:ascii="Times New Roman" w:hAnsi="Times New Roman"/>
              <w:b/>
              <w:bCs/>
              <w:sz w:val="24"/>
              <w:szCs w:val="24"/>
            </w:rPr>
          </w:pPr>
          <w:r w:rsidRPr="00392B08">
            <w:rPr>
              <w:rFonts w:ascii="Times New Roman" w:hAnsi="Times New Roman"/>
              <w:b/>
              <w:bCs/>
              <w:sz w:val="24"/>
              <w:szCs w:val="24"/>
            </w:rPr>
            <w:t>SOCIEDAD PORTUARIA REGIONAL DE CARTAGENA S. A</w:t>
          </w:r>
        </w:p>
        <w:p w14:paraId="43A7DE10" w14:textId="6CC5CCAA" w:rsidR="00274429" w:rsidRPr="009A46BB" w:rsidRDefault="00274429" w:rsidP="00E60BAB">
          <w:pPr>
            <w:pStyle w:val="Prrafodelista"/>
            <w:numPr>
              <w:ilvl w:val="0"/>
              <w:numId w:val="110"/>
            </w:numPr>
            <w:spacing w:line="259" w:lineRule="auto"/>
            <w:jc w:val="both"/>
            <w:rPr>
              <w:rFonts w:ascii="Times New Roman" w:hAnsi="Times New Roman"/>
              <w:b/>
              <w:sz w:val="24"/>
              <w:szCs w:val="24"/>
            </w:rPr>
          </w:pPr>
          <w:r w:rsidRPr="007760D5">
            <w:rPr>
              <w:rFonts w:ascii="Times New Roman" w:hAnsi="Times New Roman"/>
              <w:b/>
              <w:bCs/>
              <w:sz w:val="24"/>
              <w:szCs w:val="24"/>
            </w:rPr>
            <w:t>Descripción del acuerdo</w:t>
          </w:r>
        </w:p>
        <w:p w14:paraId="14C0EB38" w14:textId="5400B583" w:rsidR="00392B08" w:rsidRPr="009A46BB" w:rsidRDefault="00392B08" w:rsidP="1BC41566">
          <w:pPr>
            <w:spacing w:after="0"/>
            <w:jc w:val="both"/>
            <w:rPr>
              <w:rFonts w:ascii="Times New Roman" w:hAnsi="Times New Roman"/>
              <w:b/>
              <w:sz w:val="24"/>
              <w:szCs w:val="24"/>
            </w:rPr>
          </w:pPr>
          <w:r w:rsidRPr="009A46BB">
            <w:rPr>
              <w:rFonts w:ascii="Times New Roman" w:hAnsi="Times New Roman"/>
              <w:b/>
              <w:sz w:val="24"/>
              <w:szCs w:val="24"/>
            </w:rPr>
            <w:t>Número del acuerdo de concesión:004 de 2010</w:t>
          </w:r>
        </w:p>
        <w:p w14:paraId="19FEE56E" w14:textId="4F74A173" w:rsidR="00274429" w:rsidRPr="009A46BB" w:rsidRDefault="00274429" w:rsidP="1BC41566">
          <w:pPr>
            <w:spacing w:after="0"/>
            <w:jc w:val="both"/>
            <w:rPr>
              <w:rFonts w:ascii="Times New Roman" w:hAnsi="Times New Roman"/>
              <w:sz w:val="24"/>
              <w:szCs w:val="24"/>
            </w:rPr>
          </w:pPr>
          <w:r w:rsidRPr="009A46BB">
            <w:rPr>
              <w:rFonts w:ascii="Times New Roman" w:hAnsi="Times New Roman"/>
              <w:b/>
              <w:sz w:val="24"/>
              <w:szCs w:val="24"/>
            </w:rPr>
            <w:t>Objeto / Descripción</w:t>
          </w:r>
          <w:r w:rsidRPr="009A46BB">
            <w:rPr>
              <w:rFonts w:ascii="Times New Roman" w:hAnsi="Times New Roman"/>
              <w:sz w:val="24"/>
              <w:szCs w:val="24"/>
            </w:rPr>
            <w:t>:El INCO en virtud del presente contrato de concesión portuaria, permite al CONCESIONARIO la ocupación en forma temporal y exclusiva de las playas los terrenos de bajamar y zonas accesorias a aquellas o estos, para la construcción, administración y operación de un puerto y la consolidación un terreno adyacente ( zona de uso público), localizado en la Bahía de Cartagena, sector occidental del terminal Marítimo de Manga, Distrito de Cartagena, Departamento de Bolívar, por el termino de veinte (20) añosa cambio de la contraprestación establecida en la cláusula octava de este contrato</w:t>
          </w:r>
        </w:p>
        <w:p w14:paraId="62B469BA" w14:textId="58920238" w:rsidR="00274429" w:rsidRPr="009A46BB" w:rsidRDefault="00274429" w:rsidP="001F57C8">
          <w:pPr>
            <w:spacing w:after="0"/>
            <w:jc w:val="both"/>
            <w:rPr>
              <w:rFonts w:ascii="Times New Roman" w:hAnsi="Times New Roman"/>
              <w:sz w:val="24"/>
              <w:szCs w:val="24"/>
            </w:rPr>
          </w:pPr>
          <w:r w:rsidRPr="00521A07">
            <w:rPr>
              <w:rFonts w:ascii="Times New Roman" w:hAnsi="Times New Roman"/>
              <w:b/>
              <w:bCs/>
              <w:sz w:val="24"/>
              <w:szCs w:val="24"/>
            </w:rPr>
            <w:t>Valor inicial:</w:t>
          </w:r>
          <w:r w:rsidR="002D0B8D">
            <w:rPr>
              <w:rFonts w:ascii="Times New Roman" w:hAnsi="Times New Roman"/>
              <w:b/>
              <w:bCs/>
              <w:sz w:val="24"/>
              <w:szCs w:val="24"/>
            </w:rPr>
            <w:t xml:space="preserve"> </w:t>
          </w:r>
          <w:r w:rsidR="002D0B8D" w:rsidRPr="002D0B8D">
            <w:rPr>
              <w:rFonts w:ascii="Times New Roman" w:hAnsi="Times New Roman"/>
              <w:sz w:val="24"/>
              <w:szCs w:val="24"/>
            </w:rPr>
            <w:t>USD 1.203.652 Cláusula Octava/Contrato No. 004 de 2010</w:t>
          </w:r>
        </w:p>
        <w:p w14:paraId="3E48EA53" w14:textId="1FF0B7DC" w:rsidR="00274429" w:rsidRPr="009A46BB" w:rsidRDefault="00274429" w:rsidP="001F57C8">
          <w:pPr>
            <w:spacing w:after="0"/>
            <w:jc w:val="both"/>
            <w:rPr>
              <w:rFonts w:ascii="Times New Roman" w:hAnsi="Times New Roman"/>
              <w:sz w:val="24"/>
              <w:szCs w:val="24"/>
            </w:rPr>
          </w:pPr>
          <w:r w:rsidRPr="00521A07">
            <w:rPr>
              <w:rFonts w:ascii="Times New Roman" w:hAnsi="Times New Roman"/>
              <w:b/>
              <w:bCs/>
              <w:sz w:val="24"/>
              <w:szCs w:val="24"/>
            </w:rPr>
            <w:t>Fecha de inicio:</w:t>
          </w:r>
          <w:r w:rsidR="002D0B8D" w:rsidRPr="009A46BB">
            <w:rPr>
              <w:rFonts w:ascii="Times New Roman" w:hAnsi="Times New Roman"/>
              <w:sz w:val="24"/>
              <w:szCs w:val="24"/>
            </w:rPr>
            <w:t xml:space="preserve"> </w:t>
          </w:r>
          <w:r w:rsidR="002D0B8D" w:rsidRPr="002D0B8D">
            <w:rPr>
              <w:rFonts w:ascii="Times New Roman" w:hAnsi="Times New Roman"/>
              <w:sz w:val="24"/>
              <w:szCs w:val="24"/>
            </w:rPr>
            <w:t>8/06/2010</w:t>
          </w:r>
        </w:p>
        <w:p w14:paraId="0E523F42" w14:textId="623C1591" w:rsidR="00274429" w:rsidRPr="00521A07" w:rsidRDefault="00274429" w:rsidP="001F57C8">
          <w:pPr>
            <w:spacing w:after="0"/>
            <w:jc w:val="both"/>
            <w:rPr>
              <w:rFonts w:ascii="Times New Roman" w:hAnsi="Times New Roman"/>
              <w:b/>
              <w:bCs/>
              <w:sz w:val="24"/>
              <w:szCs w:val="24"/>
            </w:rPr>
          </w:pPr>
          <w:r w:rsidRPr="00521A07">
            <w:rPr>
              <w:rFonts w:ascii="Times New Roman" w:hAnsi="Times New Roman"/>
              <w:b/>
              <w:bCs/>
              <w:sz w:val="24"/>
              <w:szCs w:val="24"/>
            </w:rPr>
            <w:t>Fecha de finalización estimada:</w:t>
          </w:r>
          <w:r w:rsidR="002D0B8D" w:rsidRPr="009A46BB">
            <w:rPr>
              <w:rFonts w:ascii="Times New Roman" w:hAnsi="Times New Roman"/>
              <w:sz w:val="24"/>
              <w:szCs w:val="24"/>
            </w:rPr>
            <w:t xml:space="preserve"> </w:t>
          </w:r>
          <w:r w:rsidR="002D0B8D" w:rsidRPr="002D0B8D">
            <w:rPr>
              <w:rFonts w:ascii="Times New Roman" w:hAnsi="Times New Roman"/>
              <w:sz w:val="24"/>
              <w:szCs w:val="24"/>
            </w:rPr>
            <w:t>7/06/2030</w:t>
          </w:r>
        </w:p>
        <w:p w14:paraId="045176EF" w14:textId="259154ED" w:rsidR="00274429" w:rsidRPr="009A46BB" w:rsidRDefault="00274429" w:rsidP="001F57C8">
          <w:pPr>
            <w:tabs>
              <w:tab w:val="left" w:pos="2715"/>
            </w:tabs>
            <w:spacing w:after="0"/>
            <w:jc w:val="both"/>
            <w:rPr>
              <w:rFonts w:ascii="Times New Roman" w:hAnsi="Times New Roman"/>
              <w:sz w:val="24"/>
              <w:szCs w:val="24"/>
            </w:rPr>
          </w:pPr>
          <w:r w:rsidRPr="00521A07">
            <w:rPr>
              <w:rFonts w:ascii="Times New Roman" w:hAnsi="Times New Roman"/>
              <w:b/>
              <w:bCs/>
              <w:sz w:val="24"/>
              <w:szCs w:val="24"/>
            </w:rPr>
            <w:t>Tipo ID:</w:t>
          </w:r>
          <w:r w:rsidR="002D0B8D" w:rsidRPr="009A46BB">
            <w:rPr>
              <w:rFonts w:ascii="Times New Roman" w:hAnsi="Times New Roman"/>
              <w:sz w:val="24"/>
              <w:szCs w:val="24"/>
            </w:rPr>
            <w:t xml:space="preserve"> </w:t>
          </w:r>
          <w:r w:rsidR="002D0B8D" w:rsidRPr="002D0B8D">
            <w:rPr>
              <w:rFonts w:ascii="Times New Roman" w:hAnsi="Times New Roman"/>
              <w:sz w:val="24"/>
              <w:szCs w:val="24"/>
            </w:rPr>
            <w:t>NIT</w:t>
          </w:r>
        </w:p>
        <w:p w14:paraId="444C6BE4" w14:textId="7B449197" w:rsidR="00274429" w:rsidRPr="009A46BB" w:rsidRDefault="00274429" w:rsidP="001F57C8">
          <w:pPr>
            <w:spacing w:after="0"/>
            <w:jc w:val="both"/>
            <w:rPr>
              <w:rFonts w:ascii="Times New Roman" w:hAnsi="Times New Roman"/>
            </w:rPr>
          </w:pPr>
          <w:r w:rsidRPr="00521A07">
            <w:rPr>
              <w:rFonts w:ascii="Times New Roman" w:hAnsi="Times New Roman"/>
              <w:b/>
              <w:bCs/>
              <w:sz w:val="24"/>
              <w:szCs w:val="24"/>
            </w:rPr>
            <w:t>Número ID:</w:t>
          </w:r>
          <w:r w:rsidR="002D0B8D" w:rsidRPr="009A46BB">
            <w:rPr>
              <w:rFonts w:ascii="Times New Roman" w:hAnsi="Times New Roman"/>
            </w:rPr>
            <w:t xml:space="preserve"> </w:t>
          </w:r>
          <w:r w:rsidR="002D0B8D" w:rsidRPr="002D0B8D">
            <w:rPr>
              <w:rFonts w:ascii="Times New Roman" w:hAnsi="Times New Roman"/>
              <w:sz w:val="24"/>
              <w:szCs w:val="24"/>
            </w:rPr>
            <w:t>800.200.969</w:t>
          </w:r>
        </w:p>
        <w:p w14:paraId="42D3E517" w14:textId="0E0062AD" w:rsidR="00274429" w:rsidRPr="009A46BB" w:rsidRDefault="00274429" w:rsidP="001F57C8">
          <w:pPr>
            <w:spacing w:after="0"/>
            <w:jc w:val="both"/>
            <w:rPr>
              <w:rFonts w:ascii="Times New Roman" w:hAnsi="Times New Roman"/>
              <w:szCs w:val="24"/>
            </w:rPr>
          </w:pPr>
          <w:r w:rsidRPr="00521A07">
            <w:rPr>
              <w:rFonts w:ascii="Times New Roman" w:hAnsi="Times New Roman"/>
              <w:b/>
              <w:bCs/>
              <w:sz w:val="24"/>
              <w:szCs w:val="24"/>
            </w:rPr>
            <w:t>Razón social del concesionario:</w:t>
          </w:r>
          <w:r w:rsidR="002D0B8D" w:rsidRPr="009A46BB">
            <w:rPr>
              <w:rFonts w:ascii="Times New Roman" w:hAnsi="Times New Roman"/>
            </w:rPr>
            <w:t xml:space="preserve"> </w:t>
          </w:r>
          <w:r w:rsidR="002D0B8D" w:rsidRPr="002D0B8D">
            <w:rPr>
              <w:rFonts w:ascii="Times New Roman" w:hAnsi="Times New Roman"/>
              <w:sz w:val="24"/>
              <w:szCs w:val="24"/>
            </w:rPr>
            <w:t>Sociedad Portuaria Regional de Cartagena S. A</w:t>
          </w:r>
        </w:p>
        <w:p w14:paraId="56088656" w14:textId="20A6C922" w:rsidR="00274429" w:rsidRPr="009A46BB" w:rsidRDefault="00274429" w:rsidP="001F57C8">
          <w:pPr>
            <w:spacing w:after="0"/>
            <w:jc w:val="both"/>
            <w:rPr>
              <w:rFonts w:ascii="Times New Roman" w:hAnsi="Times New Roman"/>
            </w:rPr>
          </w:pPr>
          <w:r w:rsidRPr="00521A07">
            <w:rPr>
              <w:rFonts w:ascii="Times New Roman" w:hAnsi="Times New Roman"/>
              <w:b/>
              <w:bCs/>
              <w:sz w:val="24"/>
              <w:szCs w:val="24"/>
            </w:rPr>
            <w:t>Nombre del proyecto:</w:t>
          </w:r>
          <w:r w:rsidR="002D0B8D" w:rsidRPr="009A46BB">
            <w:rPr>
              <w:rFonts w:ascii="Times New Roman" w:hAnsi="Times New Roman"/>
            </w:rPr>
            <w:t xml:space="preserve"> </w:t>
          </w:r>
          <w:r w:rsidR="002D0B8D" w:rsidRPr="002D0B8D">
            <w:rPr>
              <w:rFonts w:ascii="Times New Roman" w:hAnsi="Times New Roman"/>
              <w:sz w:val="24"/>
              <w:szCs w:val="24"/>
            </w:rPr>
            <w:t>Sociedad Portuaria Regional de Cartagena S.A - Muelle 9</w:t>
          </w:r>
        </w:p>
        <w:p w14:paraId="58356A0D" w14:textId="20A6C922" w:rsidR="1BC41566" w:rsidRDefault="1BC41566" w:rsidP="1BC41566">
          <w:pPr>
            <w:spacing w:after="0"/>
            <w:jc w:val="both"/>
            <w:rPr>
              <w:rFonts w:ascii="Times New Roman" w:hAnsi="Times New Roman"/>
              <w:sz w:val="24"/>
              <w:szCs w:val="24"/>
            </w:rPr>
          </w:pPr>
        </w:p>
        <w:p w14:paraId="2016690F" w14:textId="77777777" w:rsidR="00274429" w:rsidRPr="00F23112" w:rsidRDefault="00274429" w:rsidP="00E60BAB">
          <w:pPr>
            <w:pStyle w:val="Prrafodelista"/>
            <w:numPr>
              <w:ilvl w:val="0"/>
              <w:numId w:val="110"/>
            </w:numPr>
            <w:spacing w:line="259" w:lineRule="auto"/>
            <w:jc w:val="both"/>
            <w:rPr>
              <w:rFonts w:ascii="Times New Roman" w:hAnsi="Times New Roman"/>
              <w:b/>
              <w:bCs/>
              <w:sz w:val="24"/>
              <w:szCs w:val="24"/>
            </w:rPr>
          </w:pPr>
          <w:r w:rsidRPr="006D56DF">
            <w:rPr>
              <w:rFonts w:ascii="Times New Roman" w:hAnsi="Times New Roman"/>
              <w:b/>
              <w:bCs/>
              <w:sz w:val="24"/>
              <w:szCs w:val="24"/>
            </w:rPr>
            <w:t>Términos significativos del acuerdo que puedan afectar su valor, el calendario y la certeza de los flujos</w:t>
          </w:r>
        </w:p>
        <w:p w14:paraId="16C939CC" w14:textId="080CEFAB"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valor:</w:t>
          </w:r>
        </w:p>
        <w:p w14:paraId="40BAF651" w14:textId="127C65F9" w:rsidR="00274429" w:rsidRPr="0085771E" w:rsidRDefault="00274429" w:rsidP="00274429">
          <w:pPr>
            <w:jc w:val="both"/>
            <w:rPr>
              <w:rFonts w:ascii="Times New Roman" w:hAnsi="Times New Roman"/>
              <w:sz w:val="24"/>
              <w:szCs w:val="24"/>
            </w:rPr>
          </w:pPr>
          <w:r w:rsidRPr="0085771E">
            <w:rPr>
              <w:rFonts w:ascii="Times New Roman" w:hAnsi="Times New Roman"/>
              <w:b/>
              <w:bCs/>
              <w:sz w:val="24"/>
              <w:szCs w:val="24"/>
            </w:rPr>
            <w:lastRenderedPageBreak/>
            <w:t>1.</w:t>
          </w:r>
          <w:r w:rsidR="002D0B8D">
            <w:rPr>
              <w:rFonts w:ascii="Times New Roman" w:hAnsi="Times New Roman"/>
              <w:b/>
              <w:bCs/>
              <w:sz w:val="24"/>
              <w:szCs w:val="24"/>
            </w:rPr>
            <w:t xml:space="preserve"> </w:t>
          </w:r>
          <w:r w:rsidRPr="0085771E">
            <w:rPr>
              <w:rFonts w:ascii="Times New Roman" w:hAnsi="Times New Roman"/>
              <w:sz w:val="24"/>
              <w:szCs w:val="24"/>
            </w:rPr>
            <w:t xml:space="preserve">Tarifas: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 </w:t>
          </w:r>
        </w:p>
        <w:p w14:paraId="5F884589" w14:textId="2117E352" w:rsidR="00274429" w:rsidRPr="0085771E" w:rsidRDefault="00274429" w:rsidP="00274429">
          <w:pPr>
            <w:jc w:val="both"/>
            <w:rPr>
              <w:rFonts w:ascii="Times New Roman" w:hAnsi="Times New Roman"/>
              <w:sz w:val="24"/>
              <w:szCs w:val="24"/>
            </w:rPr>
          </w:pPr>
          <w:r w:rsidRPr="00F23112">
            <w:rPr>
              <w:rFonts w:ascii="Times New Roman" w:hAnsi="Times New Roman"/>
              <w:b/>
              <w:bCs/>
              <w:sz w:val="24"/>
              <w:szCs w:val="24"/>
            </w:rPr>
            <w:t>2.</w:t>
          </w:r>
          <w:r w:rsidR="002D0B8D">
            <w:rPr>
              <w:rFonts w:ascii="Times New Roman" w:hAnsi="Times New Roman"/>
              <w:sz w:val="24"/>
              <w:szCs w:val="24"/>
            </w:rPr>
            <w:t xml:space="preserve"> </w:t>
          </w:r>
          <w:r w:rsidRPr="0085771E">
            <w:rPr>
              <w:rFonts w:ascii="Times New Roman" w:hAnsi="Times New Roman"/>
              <w:sz w:val="24"/>
              <w:szCs w:val="24"/>
            </w:rPr>
            <w:t>Contraprestación portuaria: De acuerdo con el último documento contractual vigente la metodología de contraprestación vigente es CONPES 2680 DE 1993 (Productividad). Se establece en la cláusula octava del Contrato que el CONCESIONARIO deberá pagar por concepto de zona de uso público la suma anual de (USD 147.631), de dicho pago el 80% le corresponde a la Nación Instituto nacional de vías (INVIAS) y el 20% restante al distrito de Cartagena de acuerdo con lo establecido en el parágrafo 1 del artículo 1 de la ley 856 del 21 de diciembre de 2003, que modifica el artículo 7 de la ley 1ª de 1991.</w:t>
          </w:r>
        </w:p>
        <w:p w14:paraId="09E076E2" w14:textId="287DB36C" w:rsidR="00274429" w:rsidRPr="0085771E" w:rsidRDefault="00274429" w:rsidP="00274429">
          <w:pPr>
            <w:jc w:val="both"/>
            <w:rPr>
              <w:rFonts w:ascii="Times New Roman" w:hAnsi="Times New Roman"/>
              <w:sz w:val="24"/>
              <w:szCs w:val="24"/>
            </w:rPr>
          </w:pPr>
          <w:r w:rsidRPr="00F23112">
            <w:rPr>
              <w:rFonts w:ascii="Times New Roman" w:hAnsi="Times New Roman"/>
              <w:b/>
              <w:bCs/>
              <w:sz w:val="24"/>
              <w:szCs w:val="24"/>
            </w:rPr>
            <w:t>3.</w:t>
          </w:r>
          <w:r w:rsidR="002D0B8D">
            <w:rPr>
              <w:rFonts w:ascii="Times New Roman" w:hAnsi="Times New Roman"/>
              <w:sz w:val="24"/>
              <w:szCs w:val="24"/>
            </w:rPr>
            <w:t xml:space="preserve"> </w:t>
          </w:r>
          <w:r w:rsidRPr="0085771E">
            <w:rPr>
              <w:rFonts w:ascii="Times New Roman" w:hAnsi="Times New Roman"/>
              <w:sz w:val="24"/>
              <w:szCs w:val="24"/>
            </w:rPr>
            <w:t xml:space="preserve">Plan de Inversiones: está establecido en la cláusula séptima del contrato, donde indica que el plan de inversión será de USD 32.390.906 en valores corrientes. </w:t>
          </w:r>
        </w:p>
        <w:p w14:paraId="033D74FA" w14:textId="66DC10D1" w:rsidR="00274429" w:rsidRPr="0085771E" w:rsidRDefault="00274429" w:rsidP="00274429">
          <w:pPr>
            <w:jc w:val="both"/>
            <w:rPr>
              <w:rFonts w:ascii="Times New Roman" w:hAnsi="Times New Roman"/>
              <w:sz w:val="24"/>
              <w:szCs w:val="24"/>
            </w:rPr>
          </w:pPr>
          <w:r w:rsidRPr="00F23112">
            <w:rPr>
              <w:rFonts w:ascii="Times New Roman" w:hAnsi="Times New Roman"/>
              <w:b/>
              <w:bCs/>
              <w:sz w:val="24"/>
              <w:szCs w:val="24"/>
            </w:rPr>
            <w:t>4.</w:t>
          </w:r>
          <w:r w:rsidR="002D0B8D">
            <w:rPr>
              <w:rFonts w:ascii="Times New Roman" w:hAnsi="Times New Roman"/>
              <w:sz w:val="24"/>
              <w:szCs w:val="24"/>
            </w:rPr>
            <w:t xml:space="preserve"> </w:t>
          </w:r>
          <w:r w:rsidRPr="0085771E">
            <w:rPr>
              <w:rFonts w:ascii="Times New Roman" w:hAnsi="Times New Roman"/>
              <w:sz w:val="24"/>
              <w:szCs w:val="24"/>
            </w:rPr>
            <w:t xml:space="preserve">Obligaciones del CONCESIONARIO: se encuentran descritas en la cláusula décima quinta. </w:t>
          </w:r>
        </w:p>
        <w:p w14:paraId="67BD4920" w14:textId="35E240D6" w:rsidR="00274429" w:rsidRPr="0085771E" w:rsidRDefault="00274429" w:rsidP="00274429">
          <w:pPr>
            <w:jc w:val="both"/>
            <w:rPr>
              <w:rFonts w:ascii="Times New Roman" w:hAnsi="Times New Roman"/>
              <w:sz w:val="24"/>
              <w:szCs w:val="24"/>
            </w:rPr>
          </w:pPr>
          <w:r w:rsidRPr="00F23112">
            <w:rPr>
              <w:rFonts w:ascii="Times New Roman" w:hAnsi="Times New Roman"/>
              <w:b/>
              <w:bCs/>
              <w:sz w:val="24"/>
              <w:szCs w:val="24"/>
            </w:rPr>
            <w:t>5.</w:t>
          </w:r>
          <w:r w:rsidR="002D0B8D">
            <w:rPr>
              <w:rFonts w:ascii="Times New Roman" w:hAnsi="Times New Roman"/>
              <w:sz w:val="24"/>
              <w:szCs w:val="24"/>
            </w:rPr>
            <w:t xml:space="preserve"> </w:t>
          </w:r>
          <w:r w:rsidRPr="0085771E">
            <w:rPr>
              <w:rFonts w:ascii="Times New Roman" w:hAnsi="Times New Roman"/>
              <w:sz w:val="24"/>
              <w:szCs w:val="24"/>
            </w:rPr>
            <w:t>Multas y sanciones: están establecidas en la cláusula décima octava. Al 31 de diciembre de 2019 no se han fijado multas.</w:t>
          </w:r>
        </w:p>
        <w:p w14:paraId="63AB3435" w14:textId="48A96E08" w:rsidR="00274429" w:rsidRPr="0085771E" w:rsidRDefault="00274429" w:rsidP="00274429">
          <w:pPr>
            <w:jc w:val="both"/>
            <w:rPr>
              <w:rFonts w:ascii="Times New Roman" w:hAnsi="Times New Roman"/>
              <w:sz w:val="24"/>
              <w:szCs w:val="24"/>
            </w:rPr>
          </w:pPr>
          <w:r w:rsidRPr="00F23112">
            <w:rPr>
              <w:rFonts w:ascii="Times New Roman" w:hAnsi="Times New Roman"/>
              <w:b/>
              <w:bCs/>
              <w:sz w:val="24"/>
              <w:szCs w:val="24"/>
            </w:rPr>
            <w:t>6.</w:t>
          </w:r>
          <w:r w:rsidR="002D0B8D">
            <w:rPr>
              <w:rFonts w:ascii="Times New Roman" w:hAnsi="Times New Roman"/>
              <w:sz w:val="24"/>
              <w:szCs w:val="24"/>
            </w:rPr>
            <w:t xml:space="preserve"> </w:t>
          </w:r>
          <w:r w:rsidRPr="0085771E">
            <w:rPr>
              <w:rFonts w:ascii="Times New Roman" w:hAnsi="Times New Roman"/>
              <w:sz w:val="24"/>
              <w:szCs w:val="24"/>
            </w:rPr>
            <w:t>Penal pecuniaria: en la cláusula décima novena se establece que en el evento en que el INCO hoy ANI declare la caducidad o el incumplimiento del presente contrato, se podrá imponer una penalidad pecuniaria.</w:t>
          </w:r>
        </w:p>
        <w:p w14:paraId="39FEAF18" w14:textId="385221B1" w:rsidR="00274429" w:rsidRPr="0085771E" w:rsidRDefault="00274429" w:rsidP="00274429">
          <w:pPr>
            <w:jc w:val="both"/>
            <w:rPr>
              <w:rFonts w:ascii="Times New Roman" w:hAnsi="Times New Roman"/>
              <w:sz w:val="24"/>
              <w:szCs w:val="24"/>
            </w:rPr>
          </w:pPr>
          <w:r w:rsidRPr="00F23112">
            <w:rPr>
              <w:rFonts w:ascii="Times New Roman" w:hAnsi="Times New Roman"/>
              <w:b/>
              <w:bCs/>
              <w:sz w:val="24"/>
              <w:szCs w:val="24"/>
            </w:rPr>
            <w:t>7.</w:t>
          </w:r>
          <w:r w:rsidR="002D0B8D">
            <w:rPr>
              <w:rFonts w:ascii="Times New Roman" w:hAnsi="Times New Roman"/>
              <w:sz w:val="24"/>
              <w:szCs w:val="24"/>
            </w:rPr>
            <w:t xml:space="preserve"> </w:t>
          </w:r>
          <w:r w:rsidRPr="0085771E">
            <w:rPr>
              <w:rFonts w:ascii="Times New Roman" w:hAnsi="Times New Roman"/>
              <w:sz w:val="24"/>
              <w:szCs w:val="24"/>
            </w:rPr>
            <w:t>Riesgos: están descritos en la cláusula trigésima, el CONCESIONARIO acepta la totalidad de los riesgos inherentes a la ejecución del contrato en su etapa preoperativa, de construcciones operación, y de reversión incluyendo el riesgo inherente a la aprobación del trámite de declaratoria de existencia como zona franca permanente especial de servicios del área portuaria, serán asumidos por EL, y que la ocurrencia de algún riesgo, no dará derecho a indemnización o reconocimiento alguno a favor del CONCESIONARIO.</w:t>
          </w:r>
        </w:p>
        <w:p w14:paraId="7A8FFD63" w14:textId="77777777" w:rsidR="00274429" w:rsidRPr="004C1095" w:rsidRDefault="00274429" w:rsidP="00274429">
          <w:pPr>
            <w:jc w:val="both"/>
            <w:rPr>
              <w:rFonts w:ascii="Times New Roman" w:hAnsi="Times New Roman"/>
              <w:b/>
              <w:bCs/>
              <w:sz w:val="24"/>
              <w:szCs w:val="24"/>
            </w:rPr>
          </w:pPr>
          <w:r w:rsidRPr="004C1095">
            <w:rPr>
              <w:rFonts w:ascii="Times New Roman" w:hAnsi="Times New Roman"/>
              <w:b/>
              <w:bCs/>
              <w:sz w:val="24"/>
              <w:szCs w:val="24"/>
            </w:rPr>
            <w:t>Términos de calendario:</w:t>
          </w:r>
        </w:p>
        <w:p w14:paraId="00F8BEB9" w14:textId="493FADD9" w:rsidR="00274429" w:rsidRPr="0085771E" w:rsidRDefault="00274429" w:rsidP="00274429">
          <w:pPr>
            <w:jc w:val="both"/>
            <w:rPr>
              <w:rFonts w:ascii="Times New Roman" w:hAnsi="Times New Roman"/>
              <w:sz w:val="24"/>
              <w:szCs w:val="24"/>
            </w:rPr>
          </w:pPr>
          <w:r w:rsidRPr="00F23112">
            <w:rPr>
              <w:rFonts w:ascii="Times New Roman" w:hAnsi="Times New Roman"/>
              <w:b/>
              <w:bCs/>
              <w:sz w:val="24"/>
              <w:szCs w:val="24"/>
            </w:rPr>
            <w:t>1.</w:t>
          </w:r>
          <w:r w:rsidR="002D0B8D">
            <w:rPr>
              <w:rFonts w:ascii="Times New Roman" w:hAnsi="Times New Roman"/>
              <w:sz w:val="24"/>
              <w:szCs w:val="24"/>
            </w:rPr>
            <w:t xml:space="preserve"> </w:t>
          </w:r>
          <w:r w:rsidRPr="0085771E">
            <w:rPr>
              <w:rFonts w:ascii="Times New Roman" w:hAnsi="Times New Roman"/>
              <w:sz w:val="24"/>
              <w:szCs w:val="24"/>
            </w:rPr>
            <w:t>Tarifas: Aprobadas según la metodología establecida por la Superintendencia General de Puertos hoy Superintendencia de Transporte.</w:t>
          </w:r>
        </w:p>
        <w:p w14:paraId="61B96724" w14:textId="4D900734" w:rsidR="00274429" w:rsidRPr="0085771E" w:rsidRDefault="00274429" w:rsidP="00274429">
          <w:pPr>
            <w:jc w:val="both"/>
            <w:rPr>
              <w:rFonts w:ascii="Times New Roman" w:hAnsi="Times New Roman"/>
              <w:sz w:val="24"/>
              <w:szCs w:val="24"/>
            </w:rPr>
          </w:pPr>
          <w:r w:rsidRPr="00F23112">
            <w:rPr>
              <w:rFonts w:ascii="Times New Roman" w:hAnsi="Times New Roman"/>
              <w:b/>
              <w:bCs/>
              <w:sz w:val="24"/>
              <w:szCs w:val="24"/>
            </w:rPr>
            <w:t>2.</w:t>
          </w:r>
          <w:r w:rsidR="002D0B8D">
            <w:rPr>
              <w:rFonts w:ascii="Times New Roman" w:hAnsi="Times New Roman"/>
              <w:sz w:val="24"/>
              <w:szCs w:val="24"/>
            </w:rPr>
            <w:t xml:space="preserve"> </w:t>
          </w:r>
          <w:r w:rsidRPr="0085771E">
            <w:rPr>
              <w:rFonts w:ascii="Times New Roman" w:hAnsi="Times New Roman"/>
              <w:sz w:val="24"/>
              <w:szCs w:val="24"/>
            </w:rPr>
            <w:t>Contraprestación portuaria: la contraprestación se debe pagar de manera anual anticipada desde el mes de junio de cada año</w:t>
          </w:r>
        </w:p>
        <w:p w14:paraId="20B6C92A" w14:textId="742D2287" w:rsidR="00274429" w:rsidRPr="00F23112" w:rsidRDefault="00274429" w:rsidP="00274429">
          <w:pPr>
            <w:jc w:val="both"/>
            <w:rPr>
              <w:rFonts w:ascii="Times New Roman" w:hAnsi="Times New Roman"/>
              <w:b/>
              <w:bCs/>
              <w:sz w:val="24"/>
              <w:szCs w:val="24"/>
            </w:rPr>
          </w:pPr>
          <w:r w:rsidRPr="00F23112">
            <w:rPr>
              <w:rFonts w:ascii="Times New Roman" w:hAnsi="Times New Roman"/>
              <w:b/>
              <w:bCs/>
              <w:sz w:val="24"/>
              <w:szCs w:val="24"/>
            </w:rPr>
            <w:t>3.</w:t>
          </w:r>
          <w:r w:rsidR="002D0B8D">
            <w:rPr>
              <w:rFonts w:ascii="Times New Roman" w:hAnsi="Times New Roman"/>
              <w:sz w:val="24"/>
              <w:szCs w:val="24"/>
            </w:rPr>
            <w:t xml:space="preserve"> </w:t>
          </w:r>
          <w:r w:rsidRPr="0085771E">
            <w:rPr>
              <w:rFonts w:ascii="Times New Roman" w:hAnsi="Times New Roman"/>
              <w:sz w:val="24"/>
              <w:szCs w:val="24"/>
            </w:rPr>
            <w:t xml:space="preserve">Plan de inversiones: se estableció en la cláusula séptima del Contrato No. 004 de 2010, la ejecución de inversiones en el periodo de tiempo comprendido entre el año 2010 a </w:t>
          </w:r>
          <w:r w:rsidRPr="00F23112">
            <w:rPr>
              <w:rFonts w:ascii="Times New Roman" w:hAnsi="Times New Roman"/>
              <w:sz w:val="24"/>
              <w:szCs w:val="24"/>
            </w:rPr>
            <w:t>2011.</w:t>
          </w:r>
        </w:p>
        <w:p w14:paraId="1F502395" w14:textId="4BA84CBE" w:rsidR="00274429" w:rsidRPr="0085771E" w:rsidRDefault="00274429" w:rsidP="00274429">
          <w:pPr>
            <w:jc w:val="both"/>
            <w:rPr>
              <w:rFonts w:ascii="Times New Roman" w:hAnsi="Times New Roman"/>
              <w:sz w:val="24"/>
              <w:szCs w:val="24"/>
            </w:rPr>
          </w:pPr>
          <w:r w:rsidRPr="00F23112">
            <w:rPr>
              <w:rFonts w:ascii="Times New Roman" w:hAnsi="Times New Roman"/>
              <w:b/>
              <w:bCs/>
              <w:sz w:val="24"/>
              <w:szCs w:val="24"/>
            </w:rPr>
            <w:t>4.</w:t>
          </w:r>
          <w:r w:rsidR="002D0B8D">
            <w:rPr>
              <w:rFonts w:ascii="Times New Roman" w:hAnsi="Times New Roman"/>
              <w:sz w:val="24"/>
              <w:szCs w:val="24"/>
            </w:rPr>
            <w:t xml:space="preserve"> </w:t>
          </w:r>
          <w:r w:rsidRPr="0085771E">
            <w:rPr>
              <w:rFonts w:ascii="Times New Roman" w:hAnsi="Times New Roman"/>
              <w:sz w:val="24"/>
              <w:szCs w:val="24"/>
            </w:rPr>
            <w:t>Multas: están establecidas en la cláusula décima octava.</w:t>
          </w:r>
        </w:p>
        <w:p w14:paraId="6071BE01" w14:textId="77777777"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certeza de flujos de efectivo futuros:</w:t>
          </w:r>
        </w:p>
        <w:p w14:paraId="06931305" w14:textId="77777777" w:rsidR="00274429" w:rsidRPr="0085771E" w:rsidRDefault="00274429" w:rsidP="00274429">
          <w:pPr>
            <w:jc w:val="both"/>
            <w:rPr>
              <w:rFonts w:ascii="Times New Roman" w:hAnsi="Times New Roman"/>
              <w:sz w:val="24"/>
              <w:szCs w:val="24"/>
            </w:rPr>
          </w:pPr>
          <w:r w:rsidRPr="0085771E">
            <w:rPr>
              <w:rFonts w:ascii="Times New Roman" w:hAnsi="Times New Roman"/>
              <w:sz w:val="24"/>
              <w:szCs w:val="24"/>
            </w:rPr>
            <w:t>Se otorga a EL CONCESIONARIO el derecho de ocupar y utilizar en forma temporal y exclusiva las playas, los terrenos de bajamar y zonas accesorias a aquellas o estos, descritos en la cláusula segunda del contrato, a cambio de la contraprestación económica.</w:t>
          </w:r>
        </w:p>
        <w:p w14:paraId="534D5472" w14:textId="77777777" w:rsidR="00274429" w:rsidRPr="0085771E" w:rsidRDefault="00274429" w:rsidP="00274429">
          <w:pPr>
            <w:jc w:val="both"/>
            <w:rPr>
              <w:rFonts w:ascii="Times New Roman" w:hAnsi="Times New Roman"/>
              <w:sz w:val="24"/>
              <w:szCs w:val="24"/>
            </w:rPr>
          </w:pPr>
          <w:r w:rsidRPr="0085771E">
            <w:rPr>
              <w:rFonts w:ascii="Times New Roman" w:hAnsi="Times New Roman"/>
              <w:sz w:val="24"/>
              <w:szCs w:val="24"/>
            </w:rPr>
            <w:lastRenderedPageBreak/>
            <w:t>Cláusula Octava, parágrafo segundo. Del valor a pagar por concepto de contraprestación por Zona de Uso público el 80% le corresponde a la Nación-INVIAS y el 20 % al Distrito turístico de Cartagena de Indias y por Infraestructura el 100% a la Nación-INVIAS.</w:t>
          </w:r>
        </w:p>
        <w:p w14:paraId="58AD8B01" w14:textId="77777777" w:rsidR="00274429" w:rsidRDefault="00274429" w:rsidP="00E60BAB">
          <w:pPr>
            <w:pStyle w:val="Prrafodelista"/>
            <w:numPr>
              <w:ilvl w:val="0"/>
              <w:numId w:val="110"/>
            </w:numPr>
            <w:spacing w:line="259" w:lineRule="auto"/>
            <w:jc w:val="both"/>
            <w:rPr>
              <w:rFonts w:ascii="Times New Roman" w:hAnsi="Times New Roman"/>
              <w:b/>
              <w:bCs/>
              <w:sz w:val="24"/>
              <w:szCs w:val="24"/>
            </w:rPr>
          </w:pPr>
          <w:r w:rsidRPr="0085771E">
            <w:rPr>
              <w:rFonts w:ascii="Times New Roman" w:hAnsi="Times New Roman"/>
              <w:b/>
              <w:bCs/>
              <w:sz w:val="24"/>
              <w:szCs w:val="24"/>
            </w:rPr>
            <w:t>Naturaleza y alcance del derecho a utilizar activos especificados, de los aspectos pactados en torno a lo que se espera que el concesionario proporcione en relación con el acuerdo de concesión (Se requiere ser breves, precisos, y concisos en la redacción)</w:t>
          </w:r>
        </w:p>
        <w:p w14:paraId="14BA8D4B" w14:textId="77777777" w:rsidR="00274429" w:rsidRDefault="00274429" w:rsidP="00274429">
          <w:pPr>
            <w:jc w:val="both"/>
            <w:rPr>
              <w:rFonts w:ascii="Times New Roman" w:hAnsi="Times New Roman"/>
              <w:b/>
              <w:bCs/>
              <w:sz w:val="24"/>
              <w:szCs w:val="24"/>
            </w:rPr>
          </w:pPr>
          <w:r w:rsidRPr="00217110">
            <w:rPr>
              <w:rFonts w:ascii="Times New Roman" w:hAnsi="Times New Roman"/>
              <w:b/>
              <w:bCs/>
              <w:sz w:val="24"/>
              <w:szCs w:val="24"/>
            </w:rPr>
            <w:t>Naturaleza y alcance del derecho de uso de los activos</w:t>
          </w:r>
        </w:p>
        <w:p w14:paraId="53CB2740" w14:textId="1D70B68A" w:rsidR="00274429" w:rsidRPr="009F1096" w:rsidRDefault="00274429" w:rsidP="00274429">
          <w:pPr>
            <w:jc w:val="both"/>
            <w:rPr>
              <w:rFonts w:ascii="Times New Roman" w:hAnsi="Times New Roman"/>
              <w:sz w:val="24"/>
              <w:szCs w:val="24"/>
            </w:rPr>
          </w:pPr>
          <w:r w:rsidRPr="003E5FA9">
            <w:rPr>
              <w:rFonts w:ascii="Times New Roman" w:hAnsi="Times New Roman"/>
              <w:b/>
              <w:bCs/>
              <w:sz w:val="24"/>
              <w:szCs w:val="24"/>
            </w:rPr>
            <w:t>Descripción:</w:t>
          </w:r>
          <w:r w:rsidR="192C62B6" w:rsidRPr="46F53273">
            <w:rPr>
              <w:rFonts w:ascii="Times New Roman" w:hAnsi="Times New Roman"/>
              <w:b/>
              <w:bCs/>
              <w:sz w:val="24"/>
              <w:szCs w:val="24"/>
            </w:rPr>
            <w:t xml:space="preserve"> </w:t>
          </w:r>
          <w:r w:rsidRPr="009F1096">
            <w:rPr>
              <w:rFonts w:ascii="Times New Roman" w:hAnsi="Times New Roman"/>
              <w:sz w:val="24"/>
              <w:szCs w:val="24"/>
            </w:rPr>
            <w:t>Descripción del proyecto, especificaciones técnicas, modalidades de operación: las condiciones especiales de operación del puerto están establecidas en la cláusula quinta del Contrato de concesión portuaria No.004 de 2010.</w:t>
          </w:r>
        </w:p>
        <w:p w14:paraId="33AD9426" w14:textId="77777777" w:rsidR="00274429" w:rsidRPr="009F1096" w:rsidRDefault="00274429" w:rsidP="00274429">
          <w:pPr>
            <w:jc w:val="both"/>
            <w:rPr>
              <w:rFonts w:ascii="Times New Roman" w:hAnsi="Times New Roman"/>
              <w:sz w:val="24"/>
              <w:szCs w:val="24"/>
            </w:rPr>
          </w:pPr>
          <w:r w:rsidRPr="0085771E">
            <w:rPr>
              <w:rFonts w:ascii="Times New Roman" w:hAnsi="Times New Roman"/>
              <w:b/>
              <w:bCs/>
              <w:sz w:val="24"/>
              <w:szCs w:val="24"/>
            </w:rPr>
            <w:t xml:space="preserve">Área entregada en concesión: </w:t>
          </w:r>
          <w:r w:rsidRPr="009F1096">
            <w:rPr>
              <w:rFonts w:ascii="Times New Roman" w:hAnsi="Times New Roman"/>
              <w:sz w:val="24"/>
              <w:szCs w:val="24"/>
            </w:rPr>
            <w:t>La descripción de la ubicación, linderos y extensión de los bienes de uso público (playas y terrenos de baja mar, zonas marítimas accesorias de maniobras) entregados en concesión están establecidos en la cláusula tercera del Contrato de concesión portuaria No.004 de 2010.</w:t>
          </w:r>
        </w:p>
        <w:p w14:paraId="25193DBD" w14:textId="77777777" w:rsidR="00274429" w:rsidRPr="009F1096" w:rsidRDefault="00274429" w:rsidP="00274429">
          <w:pPr>
            <w:jc w:val="both"/>
            <w:rPr>
              <w:rFonts w:ascii="Times New Roman" w:hAnsi="Times New Roman"/>
              <w:sz w:val="24"/>
              <w:szCs w:val="24"/>
            </w:rPr>
          </w:pPr>
          <w:r w:rsidRPr="009F1096">
            <w:rPr>
              <w:rFonts w:ascii="Times New Roman" w:hAnsi="Times New Roman"/>
              <w:sz w:val="24"/>
              <w:szCs w:val="24"/>
            </w:rPr>
            <w:t>Infraestructura y equipos entregados en concesión en el contrato de concesión portuaria no fueron entregados activos relacionados con infraestructura y equipos, el plan de inversiones desarrolla la infraestructura y la adquisición de equipos para su posterior reversión a la Nación.</w:t>
          </w:r>
        </w:p>
        <w:p w14:paraId="54623D85" w14:textId="77777777" w:rsidR="00274429" w:rsidRPr="009F1096" w:rsidRDefault="00274429" w:rsidP="00274429">
          <w:pPr>
            <w:jc w:val="both"/>
            <w:rPr>
              <w:rFonts w:ascii="Times New Roman" w:hAnsi="Times New Roman"/>
              <w:sz w:val="24"/>
              <w:szCs w:val="24"/>
            </w:rPr>
          </w:pPr>
          <w:r w:rsidRPr="003E5FA9">
            <w:rPr>
              <w:rFonts w:ascii="Times New Roman" w:hAnsi="Times New Roman"/>
              <w:b/>
              <w:bCs/>
              <w:sz w:val="24"/>
              <w:szCs w:val="24"/>
            </w:rPr>
            <w:t>Observaciones:</w:t>
          </w:r>
          <w:r>
            <w:rPr>
              <w:rFonts w:ascii="Times New Roman" w:hAnsi="Times New Roman"/>
              <w:b/>
              <w:bCs/>
              <w:sz w:val="24"/>
              <w:szCs w:val="24"/>
            </w:rPr>
            <w:t xml:space="preserve"> </w:t>
          </w:r>
          <w:r w:rsidRPr="009F1096">
            <w:rPr>
              <w:rFonts w:ascii="Times New Roman" w:hAnsi="Times New Roman"/>
              <w:sz w:val="24"/>
              <w:szCs w:val="24"/>
            </w:rPr>
            <w:t>N/A</w:t>
          </w:r>
        </w:p>
        <w:p w14:paraId="57DF0A8E" w14:textId="77777777" w:rsidR="00274429" w:rsidRDefault="00274429" w:rsidP="00274429">
          <w:pPr>
            <w:jc w:val="both"/>
            <w:rPr>
              <w:rFonts w:ascii="Times New Roman" w:hAnsi="Times New Roman"/>
              <w:b/>
              <w:bCs/>
              <w:sz w:val="24"/>
              <w:szCs w:val="24"/>
            </w:rPr>
          </w:pPr>
          <w:r w:rsidRPr="00197A12">
            <w:rPr>
              <w:rFonts w:ascii="Times New Roman" w:hAnsi="Times New Roman"/>
              <w:b/>
              <w:bCs/>
              <w:sz w:val="24"/>
              <w:szCs w:val="24"/>
            </w:rPr>
            <w:t>Retribución al concesionario</w:t>
          </w:r>
        </w:p>
        <w:p w14:paraId="22A4D15D" w14:textId="77777777" w:rsidR="00274429" w:rsidRPr="009F1096" w:rsidRDefault="00274429" w:rsidP="00274429">
          <w:pPr>
            <w:jc w:val="both"/>
            <w:rPr>
              <w:rFonts w:ascii="Times New Roman" w:hAnsi="Times New Roman"/>
              <w:sz w:val="24"/>
              <w:szCs w:val="24"/>
            </w:rPr>
          </w:pPr>
          <w:r w:rsidRPr="003E5FA9">
            <w:rPr>
              <w:rFonts w:ascii="Times New Roman" w:hAnsi="Times New Roman"/>
              <w:b/>
              <w:bCs/>
              <w:sz w:val="24"/>
              <w:szCs w:val="24"/>
            </w:rPr>
            <w:t>Descripción:</w:t>
          </w:r>
          <w:r>
            <w:rPr>
              <w:rFonts w:ascii="Times New Roman" w:hAnsi="Times New Roman"/>
              <w:b/>
              <w:bCs/>
              <w:sz w:val="24"/>
              <w:szCs w:val="24"/>
            </w:rPr>
            <w:t xml:space="preserve"> </w:t>
          </w:r>
          <w:r w:rsidRPr="009F1096">
            <w:rPr>
              <w:rFonts w:ascii="Times New Roman" w:hAnsi="Times New Roman"/>
              <w:sz w:val="24"/>
              <w:szCs w:val="24"/>
            </w:rPr>
            <w:t>Cláusula primera Contrato 004 de 2010: Se otorga a EL CONCESIONARIO el derecho de ocupar y utilizar en forma temporal y exclusiva las playas, los terrenos de bajamar y zonas accesorias a aquellas o estos, descritos en la cláusula segunda del contrato, a cambio de la contraprestación económica.</w:t>
          </w:r>
        </w:p>
        <w:p w14:paraId="2800A637" w14:textId="77777777" w:rsidR="00274429" w:rsidRDefault="00274429" w:rsidP="00274429">
          <w:pPr>
            <w:jc w:val="both"/>
            <w:rPr>
              <w:rFonts w:ascii="Times New Roman" w:hAnsi="Times New Roman"/>
              <w:b/>
              <w:bCs/>
              <w:sz w:val="24"/>
              <w:szCs w:val="24"/>
            </w:rPr>
          </w:pPr>
          <w:r w:rsidRPr="003E5FA9">
            <w:rPr>
              <w:rFonts w:ascii="Times New Roman" w:hAnsi="Times New Roman"/>
              <w:b/>
              <w:bCs/>
              <w:sz w:val="24"/>
              <w:szCs w:val="24"/>
            </w:rPr>
            <w:t>Tasa de retribución:</w:t>
          </w:r>
          <w:r>
            <w:rPr>
              <w:rFonts w:ascii="Times New Roman" w:hAnsi="Times New Roman"/>
              <w:b/>
              <w:bCs/>
              <w:sz w:val="24"/>
              <w:szCs w:val="24"/>
            </w:rPr>
            <w:t xml:space="preserve"> N/A</w:t>
          </w:r>
        </w:p>
        <w:p w14:paraId="3BF5661F" w14:textId="77777777" w:rsidR="00274429" w:rsidRDefault="00274429" w:rsidP="00E60BAB">
          <w:pPr>
            <w:pStyle w:val="Prrafodelista"/>
            <w:numPr>
              <w:ilvl w:val="0"/>
              <w:numId w:val="110"/>
            </w:numPr>
            <w:spacing w:line="259" w:lineRule="auto"/>
            <w:jc w:val="both"/>
            <w:rPr>
              <w:rFonts w:ascii="Times New Roman" w:hAnsi="Times New Roman"/>
              <w:b/>
              <w:bCs/>
              <w:sz w:val="24"/>
              <w:szCs w:val="24"/>
            </w:rPr>
          </w:pPr>
          <w:r w:rsidRPr="00197A12">
            <w:rPr>
              <w:rFonts w:ascii="Times New Roman" w:hAnsi="Times New Roman"/>
              <w:b/>
              <w:bCs/>
              <w:sz w:val="24"/>
              <w:szCs w:val="24"/>
            </w:rPr>
            <w:t>Derechos a recibir activos especificados al final del acuerdo de concesión</w:t>
          </w:r>
        </w:p>
        <w:p w14:paraId="505B7A71" w14:textId="77777777" w:rsidR="00274429" w:rsidRPr="009F1096" w:rsidRDefault="00274429" w:rsidP="00274429">
          <w:pPr>
            <w:jc w:val="both"/>
            <w:rPr>
              <w:rFonts w:ascii="Times New Roman" w:hAnsi="Times New Roman"/>
              <w:sz w:val="24"/>
              <w:szCs w:val="24"/>
            </w:rPr>
          </w:pPr>
          <w:r w:rsidRPr="006D56DF">
            <w:rPr>
              <w:rFonts w:ascii="Times New Roman" w:hAnsi="Times New Roman"/>
              <w:b/>
              <w:bCs/>
              <w:sz w:val="24"/>
              <w:szCs w:val="24"/>
            </w:rPr>
            <w:t>Descripción:</w:t>
          </w:r>
          <w:r>
            <w:rPr>
              <w:rFonts w:ascii="Times New Roman" w:hAnsi="Times New Roman"/>
              <w:b/>
              <w:bCs/>
              <w:sz w:val="24"/>
              <w:szCs w:val="24"/>
            </w:rPr>
            <w:t xml:space="preserve"> </w:t>
          </w:r>
          <w:r w:rsidRPr="009F1096">
            <w:rPr>
              <w:rFonts w:ascii="Times New Roman" w:hAnsi="Times New Roman"/>
              <w:sz w:val="24"/>
              <w:szCs w:val="24"/>
            </w:rPr>
            <w:t>De acuerdo con el Artículo 8º de la Ley 1 de 1991 en el modo portuario el concesionario no tiene derechos finales sobre activos los debe revertir a la Nación al final del contrato de concesión.</w:t>
          </w:r>
        </w:p>
        <w:p w14:paraId="60753051" w14:textId="77777777" w:rsidR="00274429" w:rsidRDefault="00274429" w:rsidP="00274429">
          <w:pPr>
            <w:jc w:val="both"/>
            <w:rPr>
              <w:rFonts w:ascii="Times New Roman" w:hAnsi="Times New Roman"/>
              <w:b/>
              <w:bCs/>
              <w:sz w:val="24"/>
              <w:szCs w:val="24"/>
            </w:rPr>
          </w:pPr>
          <w:r w:rsidRPr="006D56DF">
            <w:rPr>
              <w:rFonts w:ascii="Times New Roman" w:hAnsi="Times New Roman"/>
              <w:b/>
              <w:bCs/>
              <w:sz w:val="24"/>
              <w:szCs w:val="24"/>
            </w:rPr>
            <w:t>Observaciones:</w:t>
          </w:r>
        </w:p>
        <w:p w14:paraId="0ACB8984" w14:textId="77777777" w:rsidR="00274429" w:rsidRPr="009F1096" w:rsidRDefault="00274429" w:rsidP="00274429">
          <w:pPr>
            <w:jc w:val="both"/>
            <w:rPr>
              <w:rFonts w:ascii="Times New Roman" w:hAnsi="Times New Roman"/>
              <w:sz w:val="24"/>
              <w:szCs w:val="24"/>
            </w:rPr>
          </w:pPr>
          <w:r w:rsidRPr="0085771E">
            <w:rPr>
              <w:rFonts w:ascii="Times New Roman" w:hAnsi="Times New Roman"/>
              <w:b/>
              <w:bCs/>
              <w:sz w:val="24"/>
              <w:szCs w:val="24"/>
            </w:rPr>
            <w:t xml:space="preserve">Reversión: </w:t>
          </w:r>
          <w:r w:rsidRPr="009F1096">
            <w:rPr>
              <w:rFonts w:ascii="Times New Roman" w:hAnsi="Times New Roman"/>
              <w:sz w:val="24"/>
              <w:szCs w:val="24"/>
            </w:rPr>
            <w:t>de acuerdo con lo establecido en la cláusula decimosegunda del contrato de concesión No.004 de 2010, todas las construcciones e inmuebles por destinación, que se encuentren instalados en la zona de uso público otorgada en concesión revertirán gratuitamente por el Concesionario.</w:t>
          </w:r>
        </w:p>
        <w:p w14:paraId="3D674A9F" w14:textId="77777777" w:rsidR="00274429" w:rsidRPr="009F1096" w:rsidRDefault="00274429" w:rsidP="00274429">
          <w:pPr>
            <w:jc w:val="both"/>
            <w:rPr>
              <w:rFonts w:ascii="Times New Roman" w:hAnsi="Times New Roman"/>
              <w:sz w:val="24"/>
              <w:szCs w:val="24"/>
            </w:rPr>
          </w:pPr>
          <w:r w:rsidRPr="009F1096">
            <w:rPr>
              <w:rFonts w:ascii="Times New Roman" w:hAnsi="Times New Roman"/>
              <w:sz w:val="24"/>
              <w:szCs w:val="24"/>
            </w:rPr>
            <w:t>Para tal fin, en el momento de la reversión el CONCESIONARIO elaborará un inventario de los bienes y los enviará para su revisión y aprobación.</w:t>
          </w:r>
        </w:p>
        <w:p w14:paraId="3EA67C0B" w14:textId="77777777" w:rsidR="00274429" w:rsidRPr="009F1096" w:rsidRDefault="00274429" w:rsidP="00274429">
          <w:pPr>
            <w:jc w:val="both"/>
            <w:rPr>
              <w:rFonts w:ascii="Times New Roman" w:hAnsi="Times New Roman"/>
              <w:sz w:val="24"/>
              <w:szCs w:val="24"/>
            </w:rPr>
          </w:pPr>
          <w:r w:rsidRPr="009F1096">
            <w:rPr>
              <w:rFonts w:ascii="Times New Roman" w:hAnsi="Times New Roman"/>
              <w:sz w:val="24"/>
              <w:szCs w:val="24"/>
            </w:rPr>
            <w:lastRenderedPageBreak/>
            <w:t>La ANI es la entidad concedente pero la titularidad de los activos al final de la concesión es del Instituto Nacional de Vías INVIAS.</w:t>
          </w:r>
        </w:p>
        <w:p w14:paraId="13F19A60" w14:textId="2724A15F" w:rsidR="00274429" w:rsidRDefault="002D0B8D" w:rsidP="00E60BAB">
          <w:pPr>
            <w:pStyle w:val="Prrafodelista"/>
            <w:numPr>
              <w:ilvl w:val="0"/>
              <w:numId w:val="110"/>
            </w:numPr>
            <w:spacing w:line="259" w:lineRule="auto"/>
            <w:jc w:val="both"/>
            <w:rPr>
              <w:rFonts w:ascii="Times New Roman" w:hAnsi="Times New Roman"/>
              <w:b/>
              <w:bCs/>
              <w:sz w:val="24"/>
              <w:szCs w:val="24"/>
            </w:rPr>
          </w:pPr>
          <w:r>
            <w:rPr>
              <w:rFonts w:ascii="Times New Roman" w:hAnsi="Times New Roman"/>
              <w:b/>
              <w:bCs/>
              <w:sz w:val="24"/>
              <w:szCs w:val="24"/>
            </w:rPr>
            <w:t>No hay c</w:t>
          </w:r>
          <w:r w:rsidR="00274429" w:rsidRPr="00197A12">
            <w:rPr>
              <w:rFonts w:ascii="Times New Roman" w:hAnsi="Times New Roman"/>
              <w:b/>
              <w:bCs/>
              <w:sz w:val="24"/>
              <w:szCs w:val="24"/>
            </w:rPr>
            <w:t>ambios en el acuerdo de concesión que se realicen durante el periodo</w:t>
          </w:r>
          <w:r w:rsidR="00274429">
            <w:rPr>
              <w:rFonts w:ascii="Times New Roman" w:hAnsi="Times New Roman"/>
              <w:b/>
              <w:bCs/>
              <w:sz w:val="24"/>
              <w:szCs w:val="24"/>
            </w:rPr>
            <w:t xml:space="preserve"> fiscal</w:t>
          </w:r>
        </w:p>
        <w:p w14:paraId="7B90387B" w14:textId="77777777" w:rsidR="00274429" w:rsidRDefault="00274429" w:rsidP="00274429">
          <w:pPr>
            <w:jc w:val="both"/>
            <w:rPr>
              <w:rFonts w:ascii="Times New Roman" w:hAnsi="Times New Roman"/>
              <w:b/>
              <w:bCs/>
              <w:sz w:val="24"/>
              <w:szCs w:val="24"/>
            </w:rPr>
          </w:pPr>
        </w:p>
        <w:p w14:paraId="66D3CDC7" w14:textId="5B931ADF" w:rsidR="00274429" w:rsidRPr="002D0B8D" w:rsidRDefault="002D0B8D" w:rsidP="00274429">
          <w:pPr>
            <w:jc w:val="both"/>
            <w:rPr>
              <w:rStyle w:val="Estilo3"/>
              <w:b/>
              <w:bCs/>
            </w:rPr>
          </w:pPr>
          <w:r w:rsidRPr="002D0B8D">
            <w:rPr>
              <w:rStyle w:val="Estilo3"/>
              <w:b/>
              <w:bCs/>
            </w:rPr>
            <w:t>SOCIEDAD CENIT TRANSPORTE Y LOGÍSTICA DE HIDROCARBUROS S.A.S. TERMINAL MARÍTIMO POZOS COLORADOS.</w:t>
          </w:r>
        </w:p>
        <w:p w14:paraId="5F9F39EA" w14:textId="77777777" w:rsidR="00274429" w:rsidRPr="009A46BB" w:rsidRDefault="00274429" w:rsidP="00E60BAB">
          <w:pPr>
            <w:pStyle w:val="Prrafodelista"/>
            <w:numPr>
              <w:ilvl w:val="0"/>
              <w:numId w:val="111"/>
            </w:numPr>
            <w:spacing w:line="259" w:lineRule="auto"/>
            <w:jc w:val="both"/>
            <w:rPr>
              <w:rFonts w:ascii="Times New Roman" w:hAnsi="Times New Roman"/>
              <w:b/>
            </w:rPr>
          </w:pPr>
          <w:r w:rsidRPr="007760D5">
            <w:rPr>
              <w:rFonts w:ascii="Times New Roman" w:hAnsi="Times New Roman"/>
              <w:b/>
              <w:bCs/>
              <w:sz w:val="24"/>
              <w:szCs w:val="24"/>
            </w:rPr>
            <w:t>Descripción del acuerdo</w:t>
          </w:r>
        </w:p>
        <w:p w14:paraId="4094918E" w14:textId="5AAB8E58" w:rsidR="002D0B8D" w:rsidRPr="009A46BB" w:rsidRDefault="002D0B8D" w:rsidP="46F53273">
          <w:pPr>
            <w:spacing w:after="0"/>
            <w:jc w:val="both"/>
            <w:rPr>
              <w:rFonts w:ascii="Times New Roman" w:hAnsi="Times New Roman"/>
              <w:b/>
            </w:rPr>
          </w:pPr>
          <w:r w:rsidRPr="009A46BB">
            <w:rPr>
              <w:rFonts w:ascii="Times New Roman" w:hAnsi="Times New Roman"/>
              <w:b/>
            </w:rPr>
            <w:t>Número del acuerdo de concesión:</w:t>
          </w:r>
          <w:r w:rsidRPr="009A46BB">
            <w:rPr>
              <w:rFonts w:ascii="Times New Roman" w:hAnsi="Times New Roman"/>
            </w:rPr>
            <w:t>Contrato No. 005 de 2010</w:t>
          </w:r>
        </w:p>
        <w:p w14:paraId="7A7DB293" w14:textId="0280ABF3" w:rsidR="00274429" w:rsidRPr="009A46BB" w:rsidRDefault="00274429" w:rsidP="46F53273">
          <w:pPr>
            <w:spacing w:after="0"/>
            <w:jc w:val="both"/>
            <w:rPr>
              <w:rFonts w:ascii="Times New Roman" w:hAnsi="Times New Roman"/>
            </w:rPr>
          </w:pPr>
          <w:r w:rsidRPr="009A46BB">
            <w:rPr>
              <w:rFonts w:ascii="Times New Roman" w:hAnsi="Times New Roman"/>
              <w:b/>
            </w:rPr>
            <w:t>Objeto / Descripción</w:t>
          </w:r>
          <w:r w:rsidRPr="009A46BB">
            <w:rPr>
              <w:rFonts w:ascii="Times New Roman" w:hAnsi="Times New Roman"/>
            </w:rPr>
            <w:t>:En virtud del Contrato de concesión y su modificación, se permite al CONCESIONARIO la ocupación y utilización en forma temporal y exclusiva del terminal marítimo denominado “Pozos Colorados”; concesión que incluye igualmente la ocupación y utilización en forma temporal y exclusiva de las playas, los terrenos de bajamar, zonas accesorias a aquellas o estos y la infraestructura portuaria que allí se encuentra, para la construcción, operación y el desarrollo de actividades portuarias de servicio privado, conforme lo establece la Cláusula Primera del Contrato</w:t>
          </w:r>
        </w:p>
        <w:p w14:paraId="4338B92C" w14:textId="1D5144EC" w:rsidR="00274429" w:rsidRPr="009A46BB" w:rsidRDefault="00274429" w:rsidP="001F57C8">
          <w:pPr>
            <w:spacing w:after="0"/>
            <w:jc w:val="both"/>
            <w:rPr>
              <w:rFonts w:ascii="Times New Roman" w:hAnsi="Times New Roman"/>
            </w:rPr>
          </w:pPr>
          <w:r w:rsidRPr="00521A07">
            <w:rPr>
              <w:rFonts w:ascii="Times New Roman" w:hAnsi="Times New Roman"/>
              <w:b/>
              <w:bCs/>
              <w:sz w:val="24"/>
              <w:szCs w:val="24"/>
            </w:rPr>
            <w:t>Valor inicial:</w:t>
          </w:r>
          <w:r w:rsidRPr="005C4ED6">
            <w:rPr>
              <w:rFonts w:ascii="Times New Roman" w:hAnsi="Times New Roman"/>
              <w:sz w:val="24"/>
              <w:szCs w:val="24"/>
            </w:rPr>
            <w:t>USD $4.492.159 Cláusula octava / Contrato No 005 de 2010.</w:t>
          </w:r>
        </w:p>
        <w:p w14:paraId="7224ABEA" w14:textId="77777777" w:rsidR="00274429" w:rsidRPr="009A46BB" w:rsidRDefault="00274429" w:rsidP="001F57C8">
          <w:pPr>
            <w:spacing w:after="0"/>
            <w:jc w:val="both"/>
            <w:rPr>
              <w:rFonts w:ascii="Times New Roman" w:hAnsi="Times New Roman"/>
            </w:rPr>
          </w:pPr>
          <w:r w:rsidRPr="00521A07">
            <w:rPr>
              <w:rFonts w:ascii="Times New Roman" w:hAnsi="Times New Roman"/>
              <w:b/>
              <w:bCs/>
              <w:sz w:val="24"/>
              <w:szCs w:val="24"/>
            </w:rPr>
            <w:t>Fecha de inicio:</w:t>
          </w:r>
          <w:r>
            <w:rPr>
              <w:rFonts w:ascii="Times New Roman" w:hAnsi="Times New Roman"/>
              <w:b/>
              <w:bCs/>
              <w:sz w:val="24"/>
              <w:szCs w:val="24"/>
            </w:rPr>
            <w:t xml:space="preserve"> </w:t>
          </w:r>
          <w:r w:rsidRPr="005C4ED6">
            <w:rPr>
              <w:rFonts w:ascii="Times New Roman" w:hAnsi="Times New Roman"/>
              <w:sz w:val="24"/>
              <w:szCs w:val="24"/>
            </w:rPr>
            <w:t>16/06/2010</w:t>
          </w:r>
        </w:p>
        <w:p w14:paraId="03E43589" w14:textId="77777777" w:rsidR="00274429" w:rsidRPr="009A46BB" w:rsidRDefault="00274429" w:rsidP="001F57C8">
          <w:pPr>
            <w:spacing w:after="0"/>
            <w:jc w:val="both"/>
            <w:rPr>
              <w:rFonts w:ascii="Times New Roman" w:hAnsi="Times New Roman"/>
            </w:rPr>
          </w:pPr>
          <w:r w:rsidRPr="00521A07">
            <w:rPr>
              <w:rFonts w:ascii="Times New Roman" w:hAnsi="Times New Roman"/>
              <w:b/>
              <w:bCs/>
              <w:sz w:val="24"/>
              <w:szCs w:val="24"/>
            </w:rPr>
            <w:t>Fecha de finalización estimada:</w:t>
          </w:r>
          <w:r>
            <w:rPr>
              <w:rFonts w:ascii="Times New Roman" w:hAnsi="Times New Roman"/>
              <w:b/>
              <w:bCs/>
              <w:sz w:val="24"/>
              <w:szCs w:val="24"/>
            </w:rPr>
            <w:t xml:space="preserve"> </w:t>
          </w:r>
          <w:r w:rsidRPr="005C4ED6">
            <w:rPr>
              <w:rFonts w:ascii="Times New Roman" w:hAnsi="Times New Roman"/>
              <w:sz w:val="24"/>
              <w:szCs w:val="24"/>
            </w:rPr>
            <w:t>15/06/2030</w:t>
          </w:r>
        </w:p>
        <w:p w14:paraId="64E67041" w14:textId="77777777" w:rsidR="00274429" w:rsidRPr="009A46BB" w:rsidRDefault="00274429" w:rsidP="001F57C8">
          <w:pPr>
            <w:spacing w:after="0"/>
            <w:jc w:val="both"/>
            <w:rPr>
              <w:rFonts w:ascii="Times New Roman" w:hAnsi="Times New Roman"/>
            </w:rPr>
          </w:pPr>
          <w:r w:rsidRPr="00521A07">
            <w:rPr>
              <w:rFonts w:ascii="Times New Roman" w:hAnsi="Times New Roman"/>
              <w:b/>
              <w:bCs/>
              <w:sz w:val="24"/>
              <w:szCs w:val="24"/>
            </w:rPr>
            <w:t>Tipo ID:</w:t>
          </w:r>
          <w:r>
            <w:rPr>
              <w:rFonts w:ascii="Times New Roman" w:hAnsi="Times New Roman"/>
              <w:b/>
              <w:bCs/>
              <w:sz w:val="24"/>
              <w:szCs w:val="24"/>
            </w:rPr>
            <w:t xml:space="preserve"> </w:t>
          </w:r>
          <w:r w:rsidRPr="009A46BB">
            <w:rPr>
              <w:rFonts w:ascii="Times New Roman" w:hAnsi="Times New Roman"/>
              <w:color w:val="000000"/>
              <w:sz w:val="27"/>
              <w:szCs w:val="27"/>
            </w:rPr>
            <w:t>NIT</w:t>
          </w:r>
        </w:p>
        <w:p w14:paraId="776D633F" w14:textId="77777777" w:rsidR="00274429" w:rsidRPr="009A46BB" w:rsidRDefault="00274429" w:rsidP="001F57C8">
          <w:pPr>
            <w:spacing w:after="0"/>
            <w:jc w:val="both"/>
            <w:rPr>
              <w:rFonts w:ascii="Times New Roman" w:hAnsi="Times New Roman"/>
            </w:rPr>
          </w:pPr>
          <w:r w:rsidRPr="00521A07">
            <w:rPr>
              <w:rFonts w:ascii="Times New Roman" w:hAnsi="Times New Roman"/>
              <w:b/>
              <w:bCs/>
              <w:sz w:val="24"/>
              <w:szCs w:val="24"/>
            </w:rPr>
            <w:t>Número ID:</w:t>
          </w:r>
          <w:r>
            <w:rPr>
              <w:rFonts w:ascii="Times New Roman" w:hAnsi="Times New Roman"/>
              <w:b/>
              <w:bCs/>
              <w:sz w:val="24"/>
              <w:szCs w:val="24"/>
            </w:rPr>
            <w:t xml:space="preserve"> </w:t>
          </w:r>
          <w:r w:rsidRPr="005C4ED6">
            <w:rPr>
              <w:rFonts w:ascii="Times New Roman" w:hAnsi="Times New Roman"/>
              <w:sz w:val="24"/>
              <w:szCs w:val="24"/>
            </w:rPr>
            <w:t>900.531.210-3.</w:t>
          </w:r>
        </w:p>
        <w:p w14:paraId="3A856ED5" w14:textId="51CDDBB1" w:rsidR="00274429" w:rsidRPr="009A46BB" w:rsidRDefault="00274429" w:rsidP="00274429">
          <w:pPr>
            <w:jc w:val="both"/>
            <w:rPr>
              <w:rFonts w:ascii="Times New Roman" w:hAnsi="Times New Roman"/>
            </w:rPr>
          </w:pPr>
          <w:r w:rsidRPr="00521A07">
            <w:rPr>
              <w:rFonts w:ascii="Times New Roman" w:hAnsi="Times New Roman"/>
              <w:b/>
              <w:bCs/>
              <w:sz w:val="24"/>
              <w:szCs w:val="24"/>
            </w:rPr>
            <w:t>Razón social del concesionario:</w:t>
          </w:r>
          <w:r w:rsidRPr="005C4ED6">
            <w:rPr>
              <w:rFonts w:ascii="Times New Roman" w:hAnsi="Times New Roman"/>
              <w:sz w:val="24"/>
              <w:szCs w:val="24"/>
            </w:rPr>
            <w:t>Sociedad CENIT Transporte y Logística de Hidrocarburos S.A.S. Terminal Marítimo Pozos Colorados.</w:t>
          </w:r>
        </w:p>
        <w:p w14:paraId="2BF9C077" w14:textId="6171EA7E" w:rsidR="00274429" w:rsidRPr="009A46BB" w:rsidRDefault="00274429" w:rsidP="00274429">
          <w:pPr>
            <w:jc w:val="both"/>
            <w:rPr>
              <w:rFonts w:ascii="Times New Roman" w:hAnsi="Times New Roman"/>
            </w:rPr>
          </w:pPr>
          <w:r w:rsidRPr="00521A07">
            <w:rPr>
              <w:rFonts w:ascii="Times New Roman" w:hAnsi="Times New Roman"/>
              <w:b/>
              <w:bCs/>
              <w:sz w:val="24"/>
              <w:szCs w:val="24"/>
            </w:rPr>
            <w:t>Nombre del proyecto:</w:t>
          </w:r>
          <w:r w:rsidRPr="005C4ED6">
            <w:rPr>
              <w:rFonts w:ascii="Times New Roman" w:hAnsi="Times New Roman"/>
              <w:sz w:val="24"/>
              <w:szCs w:val="24"/>
            </w:rPr>
            <w:t>Sociedad CENIT Transporte y Logística de Hidrocarburos S.A.S. Terminal Marítimo Pozos Colorados.</w:t>
          </w:r>
        </w:p>
        <w:p w14:paraId="27595BF7" w14:textId="77777777" w:rsidR="00274429" w:rsidRPr="00F23112" w:rsidRDefault="00274429" w:rsidP="00E60BAB">
          <w:pPr>
            <w:pStyle w:val="Prrafodelista"/>
            <w:numPr>
              <w:ilvl w:val="0"/>
              <w:numId w:val="111"/>
            </w:numPr>
            <w:spacing w:line="259" w:lineRule="auto"/>
            <w:jc w:val="both"/>
            <w:rPr>
              <w:rFonts w:ascii="Times New Roman" w:hAnsi="Times New Roman"/>
              <w:b/>
              <w:bCs/>
              <w:sz w:val="24"/>
              <w:szCs w:val="24"/>
            </w:rPr>
          </w:pPr>
          <w:r w:rsidRPr="006D56DF">
            <w:rPr>
              <w:rFonts w:ascii="Times New Roman" w:hAnsi="Times New Roman"/>
              <w:b/>
              <w:bCs/>
              <w:sz w:val="24"/>
              <w:szCs w:val="24"/>
            </w:rPr>
            <w:t>Términos significativos del acuerdo que puedan afectar su valor, el calendario y la certeza de los flujos</w:t>
          </w:r>
        </w:p>
        <w:p w14:paraId="2A29D831" w14:textId="6A3DD1C4"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valor:</w:t>
          </w:r>
        </w:p>
        <w:p w14:paraId="225791E4" w14:textId="77777777" w:rsidR="00274429" w:rsidRPr="005C4ED6" w:rsidRDefault="00274429" w:rsidP="00274429">
          <w:pPr>
            <w:jc w:val="both"/>
            <w:rPr>
              <w:rFonts w:ascii="Times New Roman" w:hAnsi="Times New Roman"/>
              <w:sz w:val="24"/>
              <w:szCs w:val="24"/>
            </w:rPr>
          </w:pPr>
          <w:r w:rsidRPr="00A970D9">
            <w:rPr>
              <w:rFonts w:ascii="Times New Roman" w:hAnsi="Times New Roman"/>
              <w:b/>
              <w:bCs/>
              <w:sz w:val="24"/>
              <w:szCs w:val="24"/>
            </w:rPr>
            <w:t xml:space="preserve">1. Tarifas: </w:t>
          </w:r>
          <w:r w:rsidRPr="005C4ED6">
            <w:rPr>
              <w:rFonts w:ascii="Times New Roman" w:hAnsi="Times New Roman"/>
              <w:sz w:val="24"/>
              <w:szCs w:val="24"/>
            </w:rPr>
            <w:t xml:space="preserve">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 </w:t>
          </w:r>
        </w:p>
        <w:p w14:paraId="14849340" w14:textId="77777777" w:rsidR="00274429" w:rsidRPr="005C4ED6" w:rsidRDefault="00274429" w:rsidP="00274429">
          <w:pPr>
            <w:jc w:val="both"/>
            <w:rPr>
              <w:rFonts w:ascii="Times New Roman" w:hAnsi="Times New Roman"/>
              <w:sz w:val="24"/>
              <w:szCs w:val="24"/>
            </w:rPr>
          </w:pPr>
          <w:r w:rsidRPr="00A970D9">
            <w:rPr>
              <w:rFonts w:ascii="Times New Roman" w:hAnsi="Times New Roman"/>
              <w:b/>
              <w:bCs/>
              <w:sz w:val="24"/>
              <w:szCs w:val="24"/>
            </w:rPr>
            <w:t xml:space="preserve">2. Contraprestación portuaria: </w:t>
          </w:r>
          <w:r w:rsidRPr="005C4ED6">
            <w:rPr>
              <w:rFonts w:ascii="Times New Roman" w:hAnsi="Times New Roman"/>
              <w:sz w:val="24"/>
              <w:szCs w:val="24"/>
            </w:rPr>
            <w:t>De acuerdo con el último documento contractual vigente la metodología de contraprestación vigente es CONPES 2680 DE 1993 (Productividad). Se establece en la cláusula octava del Contrato que el CONCESIONARIO deberá pagar por concepto de zona de uso público la suma anual de (USD 386.239), de dicho pago el 80% le corresponde a la Nación Instituto nacional de vías (INVIAS) y el 20% restante al Distrito Cultural e Histórico de Santa Marta, de acuerdo con lo establecido en el parágrafo 1 del artículo 1 de la ley 856 del 21 de diciembre de 2003, que modifica el artículo 7 de la ley 1ª de 1991.</w:t>
          </w:r>
        </w:p>
        <w:p w14:paraId="3D11B34D" w14:textId="77777777" w:rsidR="00274429" w:rsidRPr="005C4ED6" w:rsidRDefault="00274429" w:rsidP="00274429">
          <w:pPr>
            <w:jc w:val="both"/>
            <w:rPr>
              <w:rFonts w:ascii="Times New Roman" w:hAnsi="Times New Roman"/>
              <w:sz w:val="24"/>
              <w:szCs w:val="24"/>
            </w:rPr>
          </w:pPr>
          <w:r w:rsidRPr="005C4ED6">
            <w:rPr>
              <w:rFonts w:ascii="Times New Roman" w:hAnsi="Times New Roman"/>
              <w:sz w:val="24"/>
              <w:szCs w:val="24"/>
            </w:rPr>
            <w:lastRenderedPageBreak/>
            <w:t xml:space="preserve">Así mismo, por concepto de infraestructura el CONCESIONARIO deberá pagar la suma anual de (USD 150.730), el cual corresponde en un 100% a la Nación - Instituto Nacional de Vías (INVIAS) de acuerdo con lo establecido en el artículo 1 de la ley 856 del 21 diciembre de 2003. </w:t>
          </w:r>
        </w:p>
        <w:p w14:paraId="6B185B86" w14:textId="77777777" w:rsidR="00274429" w:rsidRPr="005C4ED6" w:rsidRDefault="00274429" w:rsidP="00274429">
          <w:pPr>
            <w:jc w:val="both"/>
            <w:rPr>
              <w:rFonts w:ascii="Times New Roman" w:hAnsi="Times New Roman"/>
              <w:sz w:val="24"/>
              <w:szCs w:val="24"/>
            </w:rPr>
          </w:pPr>
          <w:r w:rsidRPr="00A970D9">
            <w:rPr>
              <w:rFonts w:ascii="Times New Roman" w:hAnsi="Times New Roman"/>
              <w:b/>
              <w:bCs/>
              <w:sz w:val="24"/>
              <w:szCs w:val="24"/>
            </w:rPr>
            <w:t xml:space="preserve">3. Plan de Inversiones: </w:t>
          </w:r>
          <w:r w:rsidRPr="005C4ED6">
            <w:rPr>
              <w:rFonts w:ascii="Times New Roman" w:hAnsi="Times New Roman"/>
              <w:sz w:val="24"/>
              <w:szCs w:val="24"/>
            </w:rPr>
            <w:t xml:space="preserve">Está establecido en la cláusula séptima del Contrato, el plan de inversión será de USD $20.234.859 expresado en términos corrientes. </w:t>
          </w:r>
        </w:p>
        <w:p w14:paraId="207C199E" w14:textId="60A53EEB" w:rsidR="00274429" w:rsidRPr="005C4ED6" w:rsidRDefault="00274429" w:rsidP="00274429">
          <w:pPr>
            <w:jc w:val="both"/>
            <w:rPr>
              <w:rFonts w:ascii="Times New Roman" w:hAnsi="Times New Roman"/>
              <w:sz w:val="24"/>
              <w:szCs w:val="24"/>
            </w:rPr>
          </w:pPr>
          <w:r w:rsidRPr="00A970D9">
            <w:rPr>
              <w:rFonts w:ascii="Times New Roman" w:hAnsi="Times New Roman"/>
              <w:b/>
              <w:bCs/>
              <w:sz w:val="24"/>
              <w:szCs w:val="24"/>
            </w:rPr>
            <w:t xml:space="preserve">4. Obligaciones del CONCESIONARIO: </w:t>
          </w:r>
          <w:r w:rsidRPr="005C4ED6">
            <w:rPr>
              <w:rFonts w:ascii="Times New Roman" w:hAnsi="Times New Roman"/>
              <w:sz w:val="24"/>
              <w:szCs w:val="24"/>
            </w:rPr>
            <w:t>Se encuentran descritas en la cláusula décima Quinta del Contrato Principal.</w:t>
          </w:r>
        </w:p>
        <w:p w14:paraId="53EF98A4" w14:textId="3E6B9ABB" w:rsidR="00274429" w:rsidRPr="005C4ED6" w:rsidRDefault="00274429" w:rsidP="00274429">
          <w:pPr>
            <w:jc w:val="both"/>
            <w:rPr>
              <w:rFonts w:ascii="Times New Roman" w:hAnsi="Times New Roman"/>
              <w:sz w:val="24"/>
              <w:szCs w:val="24"/>
            </w:rPr>
          </w:pPr>
          <w:r w:rsidRPr="00A970D9">
            <w:rPr>
              <w:rFonts w:ascii="Times New Roman" w:hAnsi="Times New Roman"/>
              <w:b/>
              <w:bCs/>
              <w:sz w:val="24"/>
              <w:szCs w:val="24"/>
            </w:rPr>
            <w:t xml:space="preserve">5. Multas y sanciones: </w:t>
          </w:r>
          <w:r w:rsidRPr="005C4ED6">
            <w:rPr>
              <w:rFonts w:ascii="Times New Roman" w:hAnsi="Times New Roman"/>
              <w:sz w:val="24"/>
              <w:szCs w:val="24"/>
            </w:rPr>
            <w:t>Se encuentran descritas en la cláusula décima Octava del Contrato Principal.</w:t>
          </w:r>
        </w:p>
        <w:p w14:paraId="29BFA80B" w14:textId="411BDE36" w:rsidR="00274429" w:rsidRPr="005C4ED6" w:rsidRDefault="00274429" w:rsidP="00274429">
          <w:pPr>
            <w:jc w:val="both"/>
            <w:rPr>
              <w:rFonts w:ascii="Times New Roman" w:hAnsi="Times New Roman"/>
              <w:sz w:val="24"/>
              <w:szCs w:val="24"/>
            </w:rPr>
          </w:pPr>
          <w:r w:rsidRPr="00A970D9">
            <w:rPr>
              <w:rFonts w:ascii="Times New Roman" w:hAnsi="Times New Roman"/>
              <w:b/>
              <w:bCs/>
              <w:sz w:val="24"/>
              <w:szCs w:val="24"/>
            </w:rPr>
            <w:t xml:space="preserve">6. Penal pecuniario: </w:t>
          </w:r>
          <w:r w:rsidRPr="005C4ED6">
            <w:rPr>
              <w:rFonts w:ascii="Times New Roman" w:hAnsi="Times New Roman"/>
              <w:sz w:val="24"/>
              <w:szCs w:val="24"/>
            </w:rPr>
            <w:t>Se encuentran descritas en la cláusula décima Novena del Contrato Principal.</w:t>
          </w:r>
        </w:p>
        <w:p w14:paraId="389E6704" w14:textId="77777777" w:rsidR="00274429" w:rsidRDefault="00274429" w:rsidP="00274429">
          <w:pPr>
            <w:jc w:val="both"/>
            <w:rPr>
              <w:rFonts w:ascii="Times New Roman" w:hAnsi="Times New Roman"/>
              <w:b/>
              <w:bCs/>
              <w:sz w:val="24"/>
              <w:szCs w:val="24"/>
            </w:rPr>
          </w:pPr>
          <w:r w:rsidRPr="004C1095">
            <w:rPr>
              <w:rFonts w:ascii="Times New Roman" w:hAnsi="Times New Roman"/>
              <w:b/>
              <w:bCs/>
              <w:sz w:val="24"/>
              <w:szCs w:val="24"/>
            </w:rPr>
            <w:t>Términos de calendario:</w:t>
          </w:r>
        </w:p>
        <w:p w14:paraId="2FE2E70F" w14:textId="77777777" w:rsidR="00274429" w:rsidRPr="005C4ED6" w:rsidRDefault="00274429" w:rsidP="00274429">
          <w:pPr>
            <w:jc w:val="both"/>
            <w:rPr>
              <w:rFonts w:ascii="Times New Roman" w:hAnsi="Times New Roman"/>
              <w:sz w:val="24"/>
              <w:szCs w:val="24"/>
            </w:rPr>
          </w:pPr>
          <w:r w:rsidRPr="00A970D9">
            <w:rPr>
              <w:rFonts w:ascii="Times New Roman" w:hAnsi="Times New Roman"/>
              <w:b/>
              <w:bCs/>
              <w:sz w:val="24"/>
              <w:szCs w:val="24"/>
            </w:rPr>
            <w:t xml:space="preserve">1. Tarifas: </w:t>
          </w:r>
          <w:r w:rsidRPr="005C4ED6">
            <w:rPr>
              <w:rFonts w:ascii="Times New Roman" w:hAnsi="Times New Roman"/>
              <w:sz w:val="24"/>
              <w:szCs w:val="24"/>
            </w:rPr>
            <w:t xml:space="preserve">Aprobadas según la metodología establecida por la Superintendencia General de Puertos hoy Superintendencia de Transporte. </w:t>
          </w:r>
        </w:p>
        <w:p w14:paraId="2EC705CA" w14:textId="77777777" w:rsidR="00274429" w:rsidRPr="005C4ED6" w:rsidRDefault="00274429" w:rsidP="00274429">
          <w:pPr>
            <w:jc w:val="both"/>
            <w:rPr>
              <w:rFonts w:ascii="Times New Roman" w:hAnsi="Times New Roman"/>
              <w:sz w:val="24"/>
              <w:szCs w:val="24"/>
            </w:rPr>
          </w:pPr>
          <w:r w:rsidRPr="00A970D9">
            <w:rPr>
              <w:rFonts w:ascii="Times New Roman" w:hAnsi="Times New Roman"/>
              <w:b/>
              <w:bCs/>
              <w:sz w:val="24"/>
              <w:szCs w:val="24"/>
            </w:rPr>
            <w:t xml:space="preserve">2. Contraprestación portuaria: </w:t>
          </w:r>
          <w:r w:rsidRPr="005C4ED6">
            <w:rPr>
              <w:rFonts w:ascii="Times New Roman" w:hAnsi="Times New Roman"/>
              <w:sz w:val="24"/>
              <w:szCs w:val="24"/>
            </w:rPr>
            <w:t xml:space="preserve">Se deberá pagar de manera anual, atendiendo los términos descritos en la cláusula Octava del Contrato principal. </w:t>
          </w:r>
        </w:p>
        <w:p w14:paraId="2435D9F8" w14:textId="65289522" w:rsidR="00274429" w:rsidRPr="005C4ED6" w:rsidRDefault="00274429" w:rsidP="00274429">
          <w:pPr>
            <w:jc w:val="both"/>
            <w:rPr>
              <w:rFonts w:ascii="Times New Roman" w:hAnsi="Times New Roman"/>
              <w:sz w:val="24"/>
              <w:szCs w:val="24"/>
            </w:rPr>
          </w:pPr>
          <w:r w:rsidRPr="00A970D9">
            <w:rPr>
              <w:rFonts w:ascii="Times New Roman" w:hAnsi="Times New Roman"/>
              <w:b/>
              <w:bCs/>
              <w:sz w:val="24"/>
              <w:szCs w:val="24"/>
            </w:rPr>
            <w:t xml:space="preserve">3. Plan de inversiones: </w:t>
          </w:r>
          <w:r w:rsidRPr="005C4ED6">
            <w:rPr>
              <w:rFonts w:ascii="Times New Roman" w:hAnsi="Times New Roman"/>
              <w:sz w:val="24"/>
              <w:szCs w:val="24"/>
            </w:rPr>
            <w:t>Se estableció en la cláusula Séptima del Contrato principal, en el cual se establece que la ejecución se realizará entre los años 1, 9, 14 y 19.</w:t>
          </w:r>
        </w:p>
        <w:p w14:paraId="40F7D2CA" w14:textId="60EE192F" w:rsidR="00274429" w:rsidRPr="005C4ED6" w:rsidRDefault="00274429" w:rsidP="00274429">
          <w:pPr>
            <w:jc w:val="both"/>
            <w:rPr>
              <w:rFonts w:ascii="Times New Roman" w:hAnsi="Times New Roman"/>
              <w:sz w:val="24"/>
              <w:szCs w:val="24"/>
            </w:rPr>
          </w:pPr>
          <w:r w:rsidRPr="00A970D9">
            <w:rPr>
              <w:rFonts w:ascii="Times New Roman" w:hAnsi="Times New Roman"/>
              <w:b/>
              <w:bCs/>
              <w:sz w:val="24"/>
              <w:szCs w:val="24"/>
            </w:rPr>
            <w:t xml:space="preserve">4. Multas: </w:t>
          </w:r>
          <w:r w:rsidRPr="005C4ED6">
            <w:rPr>
              <w:rFonts w:ascii="Times New Roman" w:hAnsi="Times New Roman"/>
              <w:sz w:val="24"/>
              <w:szCs w:val="24"/>
            </w:rPr>
            <w:t>Se encuentran descritas en la cláusula décima Octava del Contrato Principal.</w:t>
          </w:r>
        </w:p>
        <w:p w14:paraId="7E5E6519" w14:textId="77777777"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certeza de flujos de efectivo futuros:</w:t>
          </w:r>
          <w:r>
            <w:rPr>
              <w:rFonts w:ascii="Times New Roman" w:hAnsi="Times New Roman"/>
              <w:b/>
              <w:bCs/>
              <w:sz w:val="24"/>
              <w:szCs w:val="24"/>
            </w:rPr>
            <w:t xml:space="preserve"> </w:t>
          </w:r>
        </w:p>
        <w:p w14:paraId="0659687F" w14:textId="77777777" w:rsidR="00274429" w:rsidRPr="005C4ED6" w:rsidRDefault="00274429" w:rsidP="00274429">
          <w:pPr>
            <w:jc w:val="both"/>
            <w:rPr>
              <w:rFonts w:ascii="Times New Roman" w:hAnsi="Times New Roman"/>
              <w:sz w:val="24"/>
              <w:szCs w:val="24"/>
            </w:rPr>
          </w:pPr>
          <w:r w:rsidRPr="005C4ED6">
            <w:rPr>
              <w:rFonts w:ascii="Times New Roman" w:hAnsi="Times New Roman"/>
              <w:sz w:val="24"/>
              <w:szCs w:val="24"/>
            </w:rPr>
            <w:t xml:space="preserve">En virtud del Contrato de concesión y su modificación, se permite al CONCESIONARIO la ocupación y utilización en forma temporal y exclusiva del terminal marítimo denominado “Pozos Colorados”; concesión que incluye igualmente la ocupación y utilización en forma temporal y exclusiva de las playas, los terrenos de bajamar, zonas accesorias a aquellas o estos y la infraestructura portuaria que allí se encuentra, para la construcción, operación y el desarrollo de actividades portuarias de servicio privado, conforme lo establece la Cláusula Primera del Contrato. </w:t>
          </w:r>
        </w:p>
        <w:p w14:paraId="2F0A7FB8" w14:textId="77777777" w:rsidR="00274429" w:rsidRPr="005C4ED6" w:rsidRDefault="00274429" w:rsidP="00274429">
          <w:pPr>
            <w:jc w:val="both"/>
            <w:rPr>
              <w:rFonts w:ascii="Times New Roman" w:hAnsi="Times New Roman"/>
              <w:sz w:val="24"/>
              <w:szCs w:val="24"/>
            </w:rPr>
          </w:pPr>
          <w:r w:rsidRPr="005C4ED6">
            <w:rPr>
              <w:rFonts w:ascii="Times New Roman" w:hAnsi="Times New Roman"/>
              <w:sz w:val="24"/>
              <w:szCs w:val="24"/>
            </w:rPr>
            <w:t>Cláusula Octava: En el parágrafo segundo se detalla el valor a pagar por concepto de contraprestación por Zona de Uso público el 80% le corresponde a la Nación-INVIAS y el 20 % al Distrito Cultural e Histórico de Santa Marta, y por Infraestructura el 100% a la Nación-INVIAS.</w:t>
          </w:r>
        </w:p>
        <w:p w14:paraId="40D2766F" w14:textId="77777777" w:rsidR="00274429" w:rsidRDefault="00274429" w:rsidP="00E60BAB">
          <w:pPr>
            <w:pStyle w:val="Prrafodelista"/>
            <w:numPr>
              <w:ilvl w:val="0"/>
              <w:numId w:val="111"/>
            </w:numPr>
            <w:spacing w:line="259" w:lineRule="auto"/>
            <w:jc w:val="both"/>
            <w:rPr>
              <w:rFonts w:ascii="Times New Roman" w:hAnsi="Times New Roman"/>
              <w:b/>
              <w:bCs/>
              <w:sz w:val="24"/>
              <w:szCs w:val="24"/>
            </w:rPr>
          </w:pPr>
          <w:r w:rsidRPr="0085771E">
            <w:rPr>
              <w:rFonts w:ascii="Times New Roman" w:hAnsi="Times New Roman"/>
              <w:b/>
              <w:bCs/>
              <w:sz w:val="24"/>
              <w:szCs w:val="24"/>
            </w:rPr>
            <w:t>Naturaleza y alcance del derecho a utilizar activos especificados, de los aspectos pactados en torno a lo que se espera que el concesionario proporcione en relación con el acuerdo de concesión (Se requiere ser breves, precisos, y concisos en la redacción)</w:t>
          </w:r>
        </w:p>
        <w:p w14:paraId="651649D4" w14:textId="77777777" w:rsidR="00274429" w:rsidRDefault="00274429" w:rsidP="00274429">
          <w:pPr>
            <w:jc w:val="both"/>
            <w:rPr>
              <w:rFonts w:ascii="Times New Roman" w:hAnsi="Times New Roman"/>
              <w:b/>
              <w:bCs/>
              <w:sz w:val="24"/>
              <w:szCs w:val="24"/>
            </w:rPr>
          </w:pPr>
          <w:r w:rsidRPr="00217110">
            <w:rPr>
              <w:rFonts w:ascii="Times New Roman" w:hAnsi="Times New Roman"/>
              <w:b/>
              <w:bCs/>
              <w:sz w:val="24"/>
              <w:szCs w:val="24"/>
            </w:rPr>
            <w:lastRenderedPageBreak/>
            <w:t>Naturaleza y alcance del derecho de uso de los activos</w:t>
          </w:r>
        </w:p>
        <w:p w14:paraId="231B2B20" w14:textId="29490621" w:rsidR="00274429" w:rsidRDefault="00274429" w:rsidP="00274429">
          <w:pPr>
            <w:jc w:val="both"/>
            <w:rPr>
              <w:rFonts w:ascii="Times New Roman" w:hAnsi="Times New Roman"/>
              <w:b/>
              <w:bCs/>
              <w:sz w:val="24"/>
              <w:szCs w:val="24"/>
            </w:rPr>
          </w:pPr>
          <w:r w:rsidRPr="003E5FA9">
            <w:rPr>
              <w:rFonts w:ascii="Times New Roman" w:hAnsi="Times New Roman"/>
              <w:b/>
              <w:bCs/>
              <w:sz w:val="24"/>
              <w:szCs w:val="24"/>
            </w:rPr>
            <w:t>Descripción:</w:t>
          </w:r>
        </w:p>
        <w:p w14:paraId="64522DAF"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 xml:space="preserve">Descripción del proyecto, especificaciones técnicas, modalidades de operación: Las condiciones especiales de operación del puerto están establecidas en la cláusula quinta. </w:t>
          </w:r>
        </w:p>
        <w:p w14:paraId="3FAF8238"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 xml:space="preserve">Área entregada en concesión: La descripción de la ubicación, linderos y extensión de los bienes de uso público (las playas, los terrenos de bajamar, zonas accesorias a aquellas o estos) entregados en concesión están establecidos en la cláusula segunda. </w:t>
          </w:r>
        </w:p>
        <w:p w14:paraId="4B236A8C" w14:textId="717CE299"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Infraestructura y equipos entregados en concesión: En la cláusula segunda del Contrato, se describe que lo entregado en concesión fue:</w:t>
          </w:r>
        </w:p>
        <w:p w14:paraId="28BB4C49"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Oleoducto submarino: 24” de diámetro y longitud de 2700 metros.</w:t>
          </w:r>
        </w:p>
        <w:p w14:paraId="346A54AD"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Sistema CALM: Monoboya, Sistema de Anclaje, Sistema de Cabos Flotantes, Sistema de Mangueras Submarinas, múltiple (PLEMA) al final de la tubería, ubicado debajo de la monoboya.</w:t>
          </w:r>
        </w:p>
        <w:p w14:paraId="6E3F479D" w14:textId="77777777" w:rsidR="00274429" w:rsidRPr="009A46BB" w:rsidRDefault="00274429" w:rsidP="00274429">
          <w:pPr>
            <w:jc w:val="both"/>
            <w:rPr>
              <w:rFonts w:ascii="Times New Roman" w:hAnsi="Times New Roman"/>
              <w:sz w:val="24"/>
              <w:szCs w:val="24"/>
            </w:rPr>
          </w:pPr>
          <w:r w:rsidRPr="003E5FA9">
            <w:rPr>
              <w:rFonts w:ascii="Times New Roman" w:hAnsi="Times New Roman"/>
              <w:b/>
              <w:bCs/>
              <w:sz w:val="24"/>
              <w:szCs w:val="24"/>
            </w:rPr>
            <w:t>Observaciones:</w:t>
          </w:r>
          <w:r>
            <w:rPr>
              <w:rFonts w:ascii="Times New Roman" w:hAnsi="Times New Roman"/>
              <w:b/>
              <w:bCs/>
              <w:sz w:val="24"/>
              <w:szCs w:val="24"/>
            </w:rPr>
            <w:t xml:space="preserve"> </w:t>
          </w:r>
        </w:p>
        <w:p w14:paraId="0CAB38EA" w14:textId="77777777" w:rsidR="00274429" w:rsidRDefault="00274429" w:rsidP="00274429">
          <w:pPr>
            <w:jc w:val="both"/>
            <w:rPr>
              <w:rFonts w:ascii="Times New Roman" w:hAnsi="Times New Roman"/>
              <w:b/>
              <w:bCs/>
              <w:sz w:val="24"/>
              <w:szCs w:val="24"/>
            </w:rPr>
          </w:pPr>
          <w:r w:rsidRPr="00197A12">
            <w:rPr>
              <w:rFonts w:ascii="Times New Roman" w:hAnsi="Times New Roman"/>
              <w:b/>
              <w:bCs/>
              <w:sz w:val="24"/>
              <w:szCs w:val="24"/>
            </w:rPr>
            <w:t>Retribución al concesionario</w:t>
          </w:r>
        </w:p>
        <w:p w14:paraId="1FB32B9F" w14:textId="77777777" w:rsidR="00274429" w:rsidRPr="005C4ED6" w:rsidRDefault="00274429" w:rsidP="00274429">
          <w:pPr>
            <w:jc w:val="both"/>
            <w:rPr>
              <w:rFonts w:ascii="Times New Roman" w:hAnsi="Times New Roman"/>
              <w:sz w:val="24"/>
              <w:szCs w:val="24"/>
            </w:rPr>
          </w:pPr>
          <w:r w:rsidRPr="003E5FA9">
            <w:rPr>
              <w:rFonts w:ascii="Times New Roman" w:hAnsi="Times New Roman"/>
              <w:b/>
              <w:bCs/>
              <w:sz w:val="24"/>
              <w:szCs w:val="24"/>
            </w:rPr>
            <w:t>Descripción:</w:t>
          </w:r>
          <w:r>
            <w:rPr>
              <w:rFonts w:ascii="Times New Roman" w:hAnsi="Times New Roman"/>
              <w:b/>
              <w:bCs/>
              <w:sz w:val="24"/>
              <w:szCs w:val="24"/>
            </w:rPr>
            <w:t xml:space="preserve"> </w:t>
          </w:r>
          <w:r w:rsidRPr="005C4ED6">
            <w:rPr>
              <w:rFonts w:ascii="Times New Roman" w:hAnsi="Times New Roman"/>
              <w:sz w:val="24"/>
              <w:szCs w:val="24"/>
            </w:rPr>
            <w:t>EL INCO en virtud del presente contrato de concesión portuaria, permite al CONCESIONARIO, la ocupación y utilización en temporal y exclusiva del Terminal Marítimo denominado “POZOS COLORADOS”; concesión que incluye igualmente la ocupación y utilización en forma temporal y exclusiva de las playas, los terrenos de bajamar, zonas accesorias a aquellas o éstos y la infraestructura portuaria que allí se encuentra, por el término de veinte (20) años a cambio de la contraprestación establecida en la Cláusula Octava de éste contrato.</w:t>
          </w:r>
        </w:p>
        <w:p w14:paraId="379D3899" w14:textId="77777777" w:rsidR="00274429" w:rsidRDefault="00274429" w:rsidP="00274429">
          <w:pPr>
            <w:jc w:val="both"/>
            <w:rPr>
              <w:rFonts w:ascii="Times New Roman" w:hAnsi="Times New Roman"/>
              <w:b/>
              <w:bCs/>
              <w:sz w:val="24"/>
              <w:szCs w:val="24"/>
            </w:rPr>
          </w:pPr>
          <w:r w:rsidRPr="003E5FA9">
            <w:rPr>
              <w:rFonts w:ascii="Times New Roman" w:hAnsi="Times New Roman"/>
              <w:b/>
              <w:bCs/>
              <w:sz w:val="24"/>
              <w:szCs w:val="24"/>
            </w:rPr>
            <w:t>Tasa de retribución:</w:t>
          </w:r>
          <w:r>
            <w:rPr>
              <w:rFonts w:ascii="Times New Roman" w:hAnsi="Times New Roman"/>
              <w:b/>
              <w:bCs/>
              <w:sz w:val="24"/>
              <w:szCs w:val="24"/>
            </w:rPr>
            <w:t xml:space="preserve"> N/A</w:t>
          </w:r>
        </w:p>
        <w:p w14:paraId="25910426" w14:textId="77777777" w:rsidR="00274429" w:rsidRDefault="00274429" w:rsidP="00E60BAB">
          <w:pPr>
            <w:pStyle w:val="Prrafodelista"/>
            <w:numPr>
              <w:ilvl w:val="0"/>
              <w:numId w:val="111"/>
            </w:numPr>
            <w:spacing w:line="259" w:lineRule="auto"/>
            <w:jc w:val="both"/>
            <w:rPr>
              <w:rFonts w:ascii="Times New Roman" w:hAnsi="Times New Roman"/>
              <w:b/>
              <w:bCs/>
              <w:sz w:val="24"/>
              <w:szCs w:val="24"/>
            </w:rPr>
          </w:pPr>
          <w:r w:rsidRPr="00197A12">
            <w:rPr>
              <w:rFonts w:ascii="Times New Roman" w:hAnsi="Times New Roman"/>
              <w:b/>
              <w:bCs/>
              <w:sz w:val="24"/>
              <w:szCs w:val="24"/>
            </w:rPr>
            <w:t>Derechos a recibir activos especificados al final del acuerdo de concesión</w:t>
          </w:r>
        </w:p>
        <w:p w14:paraId="4758F2FB" w14:textId="77777777" w:rsidR="00274429" w:rsidRPr="009A46BB" w:rsidRDefault="00274429" w:rsidP="00274429">
          <w:pPr>
            <w:jc w:val="both"/>
            <w:rPr>
              <w:rFonts w:ascii="Times New Roman" w:hAnsi="Times New Roman"/>
              <w:sz w:val="24"/>
              <w:szCs w:val="24"/>
            </w:rPr>
          </w:pPr>
          <w:r w:rsidRPr="006D56DF">
            <w:rPr>
              <w:rFonts w:ascii="Times New Roman" w:hAnsi="Times New Roman"/>
              <w:b/>
              <w:bCs/>
              <w:sz w:val="24"/>
              <w:szCs w:val="24"/>
            </w:rPr>
            <w:t>Descripción:</w:t>
          </w:r>
          <w:r>
            <w:rPr>
              <w:rFonts w:ascii="Times New Roman" w:hAnsi="Times New Roman"/>
              <w:b/>
              <w:bCs/>
              <w:sz w:val="24"/>
              <w:szCs w:val="24"/>
            </w:rPr>
            <w:t xml:space="preserve"> </w:t>
          </w:r>
          <w:r w:rsidRPr="005C4ED6">
            <w:rPr>
              <w:rFonts w:ascii="Times New Roman" w:hAnsi="Times New Roman"/>
              <w:sz w:val="24"/>
              <w:szCs w:val="24"/>
            </w:rPr>
            <w:t>De acuerdo con el Artículo 8º de la Ley 1 de 1991 en el modo portuario el concesionario no tiene derechos finales sobre activos los debe revertir a la Nación al final del contrato de concesión.</w:t>
          </w:r>
        </w:p>
        <w:p w14:paraId="3A6E6478" w14:textId="77777777" w:rsidR="00274429" w:rsidRDefault="00274429" w:rsidP="00274429">
          <w:pPr>
            <w:jc w:val="both"/>
            <w:rPr>
              <w:rFonts w:ascii="Times New Roman" w:hAnsi="Times New Roman"/>
              <w:b/>
              <w:bCs/>
              <w:sz w:val="24"/>
              <w:szCs w:val="24"/>
            </w:rPr>
          </w:pPr>
          <w:r w:rsidRPr="006D56DF">
            <w:rPr>
              <w:rFonts w:ascii="Times New Roman" w:hAnsi="Times New Roman"/>
              <w:b/>
              <w:bCs/>
              <w:sz w:val="24"/>
              <w:szCs w:val="24"/>
            </w:rPr>
            <w:t>Observaciones:</w:t>
          </w:r>
          <w:r>
            <w:rPr>
              <w:rFonts w:ascii="Times New Roman" w:hAnsi="Times New Roman"/>
              <w:b/>
              <w:bCs/>
              <w:sz w:val="24"/>
              <w:szCs w:val="24"/>
            </w:rPr>
            <w:t xml:space="preserve"> </w:t>
          </w:r>
        </w:p>
        <w:p w14:paraId="38112EE7" w14:textId="77777777" w:rsidR="00274429" w:rsidRPr="005C4ED6" w:rsidRDefault="00274429" w:rsidP="00274429">
          <w:pPr>
            <w:jc w:val="both"/>
            <w:rPr>
              <w:rFonts w:ascii="Times New Roman" w:hAnsi="Times New Roman"/>
              <w:sz w:val="24"/>
              <w:szCs w:val="24"/>
            </w:rPr>
          </w:pPr>
          <w:r w:rsidRPr="00A970D9">
            <w:rPr>
              <w:rFonts w:ascii="Times New Roman" w:hAnsi="Times New Roman"/>
              <w:b/>
              <w:bCs/>
              <w:sz w:val="24"/>
              <w:szCs w:val="24"/>
            </w:rPr>
            <w:t xml:space="preserve">Reversión: </w:t>
          </w:r>
          <w:r w:rsidRPr="005C4ED6">
            <w:rPr>
              <w:rFonts w:ascii="Times New Roman" w:hAnsi="Times New Roman"/>
              <w:sz w:val="24"/>
              <w:szCs w:val="24"/>
            </w:rPr>
            <w:t xml:space="preserve">De acuerdo con lo establecido en la cláusula Decimo Segunda del contrato de concesión, todas las construcciones e inmuebles por destinación, que se encuentren instalados en la zona de uso público otorgada en concesión revertirán gratuitamente por el Concesionario. </w:t>
          </w:r>
        </w:p>
        <w:p w14:paraId="06412F8F" w14:textId="77777777" w:rsidR="00274429" w:rsidRPr="005C4ED6" w:rsidRDefault="00274429" w:rsidP="00274429">
          <w:pPr>
            <w:jc w:val="both"/>
            <w:rPr>
              <w:rFonts w:ascii="Times New Roman" w:hAnsi="Times New Roman"/>
              <w:sz w:val="24"/>
              <w:szCs w:val="24"/>
            </w:rPr>
          </w:pPr>
          <w:r w:rsidRPr="005C4ED6">
            <w:rPr>
              <w:rFonts w:ascii="Times New Roman" w:hAnsi="Times New Roman"/>
              <w:sz w:val="24"/>
              <w:szCs w:val="24"/>
            </w:rPr>
            <w:t xml:space="preserve">Para tal fin, en el momento de la reversión el CONCESIONARIO elaborará un inventario de los bienes y los enviará para su revisión y aprobación. </w:t>
          </w:r>
        </w:p>
        <w:p w14:paraId="0DCA3A0C" w14:textId="77777777" w:rsidR="00274429" w:rsidRPr="005C4ED6" w:rsidRDefault="00274429" w:rsidP="00274429">
          <w:pPr>
            <w:jc w:val="both"/>
            <w:rPr>
              <w:rFonts w:ascii="Times New Roman" w:hAnsi="Times New Roman"/>
              <w:sz w:val="24"/>
              <w:szCs w:val="24"/>
            </w:rPr>
          </w:pPr>
          <w:r w:rsidRPr="005C4ED6">
            <w:rPr>
              <w:rFonts w:ascii="Times New Roman" w:hAnsi="Times New Roman"/>
              <w:sz w:val="24"/>
              <w:szCs w:val="24"/>
            </w:rPr>
            <w:t>La ANI es la entidad concedente pero la titularidad de los activos al final de la concesión es del Instituto Nacional de Vías INVIAS.</w:t>
          </w:r>
        </w:p>
        <w:p w14:paraId="2221A192" w14:textId="36DEE437" w:rsidR="00274429" w:rsidRDefault="00FD5EEB" w:rsidP="00E60BAB">
          <w:pPr>
            <w:pStyle w:val="Prrafodelista"/>
            <w:numPr>
              <w:ilvl w:val="0"/>
              <w:numId w:val="111"/>
            </w:numPr>
            <w:spacing w:line="259" w:lineRule="auto"/>
            <w:jc w:val="both"/>
            <w:rPr>
              <w:rFonts w:ascii="Times New Roman" w:hAnsi="Times New Roman"/>
              <w:b/>
              <w:bCs/>
              <w:sz w:val="24"/>
              <w:szCs w:val="24"/>
            </w:rPr>
          </w:pPr>
          <w:r>
            <w:rPr>
              <w:rFonts w:ascii="Times New Roman" w:hAnsi="Times New Roman"/>
              <w:b/>
              <w:bCs/>
              <w:sz w:val="24"/>
              <w:szCs w:val="24"/>
            </w:rPr>
            <w:lastRenderedPageBreak/>
            <w:t>No hay c</w:t>
          </w:r>
          <w:r w:rsidR="00274429" w:rsidRPr="00197A12">
            <w:rPr>
              <w:rFonts w:ascii="Times New Roman" w:hAnsi="Times New Roman"/>
              <w:b/>
              <w:bCs/>
              <w:sz w:val="24"/>
              <w:szCs w:val="24"/>
            </w:rPr>
            <w:t>ambios en el acuerdo de concesión que se realicen durante el periodo</w:t>
          </w:r>
          <w:r w:rsidR="00274429">
            <w:rPr>
              <w:rFonts w:ascii="Times New Roman" w:hAnsi="Times New Roman"/>
              <w:b/>
              <w:bCs/>
              <w:sz w:val="24"/>
              <w:szCs w:val="24"/>
            </w:rPr>
            <w:t xml:space="preserve"> fiscal</w:t>
          </w:r>
        </w:p>
        <w:p w14:paraId="7F403541" w14:textId="77777777" w:rsidR="00274429" w:rsidRPr="005C4ED6" w:rsidRDefault="00274429" w:rsidP="00274429">
          <w:pPr>
            <w:pStyle w:val="Prrafodelista"/>
            <w:jc w:val="both"/>
            <w:rPr>
              <w:rFonts w:ascii="Times New Roman" w:hAnsi="Times New Roman"/>
              <w:b/>
              <w:bCs/>
              <w:sz w:val="24"/>
              <w:szCs w:val="24"/>
            </w:rPr>
          </w:pPr>
        </w:p>
        <w:p w14:paraId="07A30A05" w14:textId="77777777" w:rsidR="00274429" w:rsidRPr="00197A12" w:rsidRDefault="00274429" w:rsidP="00274429">
          <w:pPr>
            <w:spacing w:after="0" w:line="240" w:lineRule="auto"/>
            <w:jc w:val="both"/>
            <w:rPr>
              <w:rFonts w:ascii="Times New Roman" w:hAnsi="Times New Roman"/>
              <w:b/>
              <w:bCs/>
              <w:sz w:val="24"/>
              <w:szCs w:val="24"/>
            </w:rPr>
          </w:pPr>
        </w:p>
        <w:p w14:paraId="14C40E8D" w14:textId="1C1B14CE" w:rsidR="00274429" w:rsidRPr="00FD5EEB" w:rsidRDefault="00FD5EEB" w:rsidP="00274429">
          <w:pPr>
            <w:jc w:val="both"/>
            <w:rPr>
              <w:rFonts w:ascii="Times New Roman" w:hAnsi="Times New Roman"/>
              <w:b/>
              <w:bCs/>
              <w:sz w:val="24"/>
              <w:szCs w:val="24"/>
            </w:rPr>
          </w:pPr>
          <w:r w:rsidRPr="00FD5EEB">
            <w:rPr>
              <w:rFonts w:ascii="Times New Roman" w:hAnsi="Times New Roman"/>
              <w:b/>
              <w:bCs/>
              <w:sz w:val="24"/>
              <w:szCs w:val="24"/>
            </w:rPr>
            <w:t>SOCIEDAD PORTUARIA CENTRAL CARTAGENA S.A.</w:t>
          </w:r>
        </w:p>
        <w:p w14:paraId="7CB56999" w14:textId="77777777" w:rsidR="00274429" w:rsidRPr="009A46BB" w:rsidRDefault="00274429" w:rsidP="00E60BAB">
          <w:pPr>
            <w:pStyle w:val="Prrafodelista"/>
            <w:numPr>
              <w:ilvl w:val="0"/>
              <w:numId w:val="112"/>
            </w:numPr>
            <w:spacing w:line="259" w:lineRule="auto"/>
            <w:jc w:val="both"/>
            <w:rPr>
              <w:rFonts w:ascii="Times New Roman" w:hAnsi="Times New Roman"/>
              <w:b/>
              <w:sz w:val="24"/>
              <w:szCs w:val="24"/>
            </w:rPr>
          </w:pPr>
          <w:r w:rsidRPr="007760D5">
            <w:rPr>
              <w:rFonts w:ascii="Times New Roman" w:hAnsi="Times New Roman"/>
              <w:b/>
              <w:bCs/>
              <w:sz w:val="24"/>
              <w:szCs w:val="24"/>
            </w:rPr>
            <w:t>Descripción del acuerdo</w:t>
          </w:r>
        </w:p>
        <w:p w14:paraId="78AF8732" w14:textId="5F0DF3C7" w:rsidR="00FD5EEB" w:rsidRPr="009A46BB" w:rsidRDefault="00FD5EEB" w:rsidP="70FA111A">
          <w:pPr>
            <w:spacing w:after="0"/>
            <w:jc w:val="both"/>
            <w:rPr>
              <w:rFonts w:ascii="Times New Roman" w:hAnsi="Times New Roman"/>
              <w:b/>
              <w:sz w:val="24"/>
              <w:szCs w:val="24"/>
            </w:rPr>
          </w:pPr>
          <w:r w:rsidRPr="009A46BB">
            <w:rPr>
              <w:rFonts w:ascii="Times New Roman" w:hAnsi="Times New Roman"/>
              <w:b/>
              <w:sz w:val="24"/>
              <w:szCs w:val="24"/>
            </w:rPr>
            <w:t>Número del acuerdo de concesión:</w:t>
          </w:r>
          <w:r w:rsidRPr="009A46BB">
            <w:rPr>
              <w:rFonts w:ascii="Times New Roman" w:hAnsi="Times New Roman"/>
              <w:sz w:val="24"/>
              <w:szCs w:val="24"/>
            </w:rPr>
            <w:t>Contrato No. 006 de 2010</w:t>
          </w:r>
        </w:p>
        <w:p w14:paraId="56A10BD1" w14:textId="354DFE39" w:rsidR="00274429" w:rsidRPr="009A46BB" w:rsidRDefault="00274429" w:rsidP="70FA111A">
          <w:pPr>
            <w:spacing w:after="0"/>
            <w:jc w:val="both"/>
            <w:rPr>
              <w:rFonts w:ascii="Times New Roman" w:hAnsi="Times New Roman"/>
              <w:sz w:val="24"/>
              <w:szCs w:val="24"/>
            </w:rPr>
          </w:pPr>
          <w:r w:rsidRPr="009A46BB">
            <w:rPr>
              <w:rFonts w:ascii="Times New Roman" w:hAnsi="Times New Roman"/>
              <w:b/>
              <w:sz w:val="24"/>
              <w:szCs w:val="24"/>
            </w:rPr>
            <w:t>Objeto / Descripción</w:t>
          </w:r>
          <w:r w:rsidRPr="009A46BB">
            <w:rPr>
              <w:rFonts w:ascii="Times New Roman" w:hAnsi="Times New Roman"/>
              <w:sz w:val="24"/>
              <w:szCs w:val="24"/>
            </w:rPr>
            <w:t>:El INCO en virtud del presente contrato de concesión portuaria, permite al Concesionario la ocupación y utilización en forma temporal y exclusiva de las playas, los terrenos de bajamar y zonas accesorias a aquellas o éstos descritos por sus límites y características en el artículo segundo de la Resolución 462 del 3 de septiembre de 2009 y en la Cláusula segunda de este Contrato para la Operación de las instalaciones portuarias allí constituidas, las cuales están localizadas en el sector de Mamonal Distrito de Cartagena, Departamento de Bolívar, por el termino de veinte (20) años a cambio de la contraprestación establecida en la Cláusula Octava de este contrato.</w:t>
          </w:r>
        </w:p>
        <w:p w14:paraId="7B4F26DE" w14:textId="0C1E9DE3" w:rsidR="00274429" w:rsidRPr="009A46BB" w:rsidRDefault="00274429" w:rsidP="70FA111A">
          <w:pPr>
            <w:spacing w:after="0"/>
            <w:jc w:val="both"/>
            <w:rPr>
              <w:rFonts w:ascii="Times New Roman" w:hAnsi="Times New Roman"/>
              <w:sz w:val="24"/>
              <w:szCs w:val="24"/>
            </w:rPr>
          </w:pPr>
          <w:r w:rsidRPr="00521A07">
            <w:rPr>
              <w:rFonts w:ascii="Times New Roman" w:hAnsi="Times New Roman"/>
              <w:b/>
              <w:bCs/>
              <w:sz w:val="24"/>
              <w:szCs w:val="24"/>
            </w:rPr>
            <w:t>Valor inicial:</w:t>
          </w:r>
          <w:r w:rsidRPr="003A102D">
            <w:rPr>
              <w:rFonts w:ascii="Times New Roman" w:hAnsi="Times New Roman"/>
              <w:sz w:val="24"/>
              <w:szCs w:val="24"/>
            </w:rPr>
            <w:t>USD $371.524 Cláusula octava / Contrato No 006 de 2010</w:t>
          </w:r>
        </w:p>
        <w:p w14:paraId="2692F99A" w14:textId="77777777" w:rsidR="00274429" w:rsidRPr="009A46BB" w:rsidRDefault="00274429" w:rsidP="70FA111A">
          <w:pPr>
            <w:spacing w:after="0"/>
            <w:jc w:val="both"/>
            <w:rPr>
              <w:rFonts w:ascii="Times New Roman" w:hAnsi="Times New Roman"/>
              <w:sz w:val="24"/>
              <w:szCs w:val="24"/>
            </w:rPr>
          </w:pPr>
          <w:r w:rsidRPr="00521A07">
            <w:rPr>
              <w:rFonts w:ascii="Times New Roman" w:hAnsi="Times New Roman"/>
              <w:b/>
              <w:bCs/>
              <w:sz w:val="24"/>
              <w:szCs w:val="24"/>
            </w:rPr>
            <w:t>Fecha de inicio:</w:t>
          </w:r>
          <w:r>
            <w:rPr>
              <w:rFonts w:ascii="Times New Roman" w:hAnsi="Times New Roman"/>
              <w:b/>
              <w:bCs/>
              <w:sz w:val="24"/>
              <w:szCs w:val="24"/>
            </w:rPr>
            <w:t xml:space="preserve"> </w:t>
          </w:r>
          <w:r w:rsidRPr="003A102D">
            <w:rPr>
              <w:rFonts w:ascii="Times New Roman" w:hAnsi="Times New Roman"/>
              <w:sz w:val="24"/>
              <w:szCs w:val="24"/>
            </w:rPr>
            <w:t>30/07/2010</w:t>
          </w:r>
        </w:p>
        <w:p w14:paraId="6F7E5299" w14:textId="77777777" w:rsidR="00274429" w:rsidRPr="009A46BB" w:rsidRDefault="00274429" w:rsidP="70FA111A">
          <w:pPr>
            <w:spacing w:after="0"/>
            <w:jc w:val="both"/>
            <w:rPr>
              <w:rFonts w:ascii="Times New Roman" w:hAnsi="Times New Roman"/>
              <w:sz w:val="24"/>
              <w:szCs w:val="24"/>
            </w:rPr>
          </w:pPr>
          <w:r w:rsidRPr="00521A07">
            <w:rPr>
              <w:rFonts w:ascii="Times New Roman" w:hAnsi="Times New Roman"/>
              <w:b/>
              <w:bCs/>
              <w:sz w:val="24"/>
              <w:szCs w:val="24"/>
            </w:rPr>
            <w:t>Fecha de finalización estimada:</w:t>
          </w:r>
          <w:r>
            <w:rPr>
              <w:rFonts w:ascii="Times New Roman" w:hAnsi="Times New Roman"/>
              <w:b/>
              <w:bCs/>
              <w:sz w:val="24"/>
              <w:szCs w:val="24"/>
            </w:rPr>
            <w:t xml:space="preserve"> </w:t>
          </w:r>
          <w:r w:rsidRPr="003A102D">
            <w:rPr>
              <w:rFonts w:ascii="Times New Roman" w:hAnsi="Times New Roman"/>
              <w:sz w:val="24"/>
              <w:szCs w:val="24"/>
            </w:rPr>
            <w:t>29/07/2030</w:t>
          </w:r>
        </w:p>
        <w:p w14:paraId="5C33A6A0" w14:textId="77777777" w:rsidR="00274429" w:rsidRPr="009A46BB" w:rsidRDefault="00274429" w:rsidP="70FA111A">
          <w:pPr>
            <w:spacing w:after="0"/>
            <w:jc w:val="both"/>
            <w:rPr>
              <w:rFonts w:ascii="Times New Roman" w:hAnsi="Times New Roman"/>
              <w:sz w:val="24"/>
              <w:szCs w:val="24"/>
            </w:rPr>
          </w:pPr>
          <w:r w:rsidRPr="00521A07">
            <w:rPr>
              <w:rFonts w:ascii="Times New Roman" w:hAnsi="Times New Roman"/>
              <w:b/>
              <w:bCs/>
              <w:sz w:val="24"/>
              <w:szCs w:val="24"/>
            </w:rPr>
            <w:t>Tipo ID:</w:t>
          </w:r>
          <w:r>
            <w:rPr>
              <w:rFonts w:ascii="Times New Roman" w:hAnsi="Times New Roman"/>
              <w:b/>
              <w:bCs/>
              <w:sz w:val="24"/>
              <w:szCs w:val="24"/>
            </w:rPr>
            <w:t xml:space="preserve"> </w:t>
          </w:r>
          <w:r w:rsidRPr="003A102D">
            <w:rPr>
              <w:rFonts w:ascii="Times New Roman" w:hAnsi="Times New Roman"/>
              <w:sz w:val="24"/>
              <w:szCs w:val="24"/>
            </w:rPr>
            <w:t>NIT</w:t>
          </w:r>
        </w:p>
        <w:p w14:paraId="448C2975" w14:textId="77777777" w:rsidR="00274429" w:rsidRPr="009A46BB" w:rsidRDefault="00274429" w:rsidP="70FA111A">
          <w:pPr>
            <w:spacing w:after="0"/>
            <w:jc w:val="both"/>
            <w:rPr>
              <w:rFonts w:ascii="Times New Roman" w:hAnsi="Times New Roman"/>
              <w:sz w:val="24"/>
              <w:szCs w:val="24"/>
            </w:rPr>
          </w:pPr>
          <w:r w:rsidRPr="00521A07">
            <w:rPr>
              <w:rFonts w:ascii="Times New Roman" w:hAnsi="Times New Roman"/>
              <w:b/>
              <w:bCs/>
              <w:sz w:val="24"/>
              <w:szCs w:val="24"/>
            </w:rPr>
            <w:t>Número ID:</w:t>
          </w:r>
          <w:r>
            <w:rPr>
              <w:rFonts w:ascii="Times New Roman" w:hAnsi="Times New Roman"/>
              <w:b/>
              <w:bCs/>
              <w:sz w:val="24"/>
              <w:szCs w:val="24"/>
            </w:rPr>
            <w:t xml:space="preserve"> </w:t>
          </w:r>
          <w:r w:rsidRPr="003A102D">
            <w:rPr>
              <w:rFonts w:ascii="Times New Roman" w:hAnsi="Times New Roman"/>
              <w:sz w:val="24"/>
              <w:szCs w:val="24"/>
            </w:rPr>
            <w:t>900.325.249-7</w:t>
          </w:r>
        </w:p>
        <w:p w14:paraId="501F4578" w14:textId="0D9BC464" w:rsidR="00274429" w:rsidRPr="009A46BB" w:rsidRDefault="00274429" w:rsidP="70FA111A">
          <w:pPr>
            <w:spacing w:after="0"/>
            <w:jc w:val="both"/>
            <w:rPr>
              <w:rFonts w:ascii="Times New Roman" w:hAnsi="Times New Roman"/>
              <w:sz w:val="24"/>
              <w:szCs w:val="24"/>
            </w:rPr>
          </w:pPr>
          <w:r w:rsidRPr="00521A07">
            <w:rPr>
              <w:rFonts w:ascii="Times New Roman" w:hAnsi="Times New Roman"/>
              <w:b/>
              <w:bCs/>
              <w:sz w:val="24"/>
              <w:szCs w:val="24"/>
            </w:rPr>
            <w:t>Razón social del concesionario:</w:t>
          </w:r>
          <w:r w:rsidRPr="003A102D">
            <w:rPr>
              <w:rFonts w:ascii="Times New Roman" w:hAnsi="Times New Roman"/>
              <w:sz w:val="24"/>
              <w:szCs w:val="24"/>
            </w:rPr>
            <w:t>Sociedad portuaria Central Cartagena S.A.</w:t>
          </w:r>
        </w:p>
        <w:p w14:paraId="5AB8EFDF" w14:textId="680A7EDB" w:rsidR="00274429" w:rsidRPr="009A46BB" w:rsidRDefault="00274429" w:rsidP="70FA111A">
          <w:pPr>
            <w:spacing w:after="0"/>
            <w:jc w:val="both"/>
            <w:rPr>
              <w:rFonts w:ascii="Times New Roman" w:hAnsi="Times New Roman"/>
              <w:sz w:val="24"/>
              <w:szCs w:val="24"/>
            </w:rPr>
          </w:pPr>
          <w:r w:rsidRPr="00521A07">
            <w:rPr>
              <w:rFonts w:ascii="Times New Roman" w:hAnsi="Times New Roman"/>
              <w:b/>
              <w:bCs/>
              <w:sz w:val="24"/>
              <w:szCs w:val="24"/>
            </w:rPr>
            <w:t>Nombre del proyecto:</w:t>
          </w:r>
          <w:r w:rsidRPr="003A102D">
            <w:rPr>
              <w:rFonts w:ascii="Times New Roman" w:hAnsi="Times New Roman"/>
              <w:sz w:val="24"/>
              <w:szCs w:val="24"/>
            </w:rPr>
            <w:t>Sociedad portuaria Central Cartagena S.A.</w:t>
          </w:r>
        </w:p>
        <w:p w14:paraId="481DF861" w14:textId="680A7EDB" w:rsidR="70FA111A" w:rsidRDefault="70FA111A" w:rsidP="70FA111A">
          <w:pPr>
            <w:spacing w:after="0"/>
            <w:jc w:val="both"/>
            <w:rPr>
              <w:rFonts w:ascii="Times New Roman" w:hAnsi="Times New Roman"/>
              <w:sz w:val="24"/>
              <w:szCs w:val="24"/>
            </w:rPr>
          </w:pPr>
        </w:p>
        <w:p w14:paraId="03D731B4" w14:textId="77777777" w:rsidR="00274429" w:rsidRPr="00F23112" w:rsidRDefault="00274429" w:rsidP="00E60BAB">
          <w:pPr>
            <w:pStyle w:val="Prrafodelista"/>
            <w:numPr>
              <w:ilvl w:val="0"/>
              <w:numId w:val="112"/>
            </w:numPr>
            <w:spacing w:line="259" w:lineRule="auto"/>
            <w:jc w:val="both"/>
            <w:rPr>
              <w:rFonts w:ascii="Times New Roman" w:hAnsi="Times New Roman"/>
              <w:b/>
              <w:bCs/>
              <w:sz w:val="24"/>
              <w:szCs w:val="24"/>
            </w:rPr>
          </w:pPr>
          <w:r w:rsidRPr="006D56DF">
            <w:rPr>
              <w:rFonts w:ascii="Times New Roman" w:hAnsi="Times New Roman"/>
              <w:b/>
              <w:bCs/>
              <w:sz w:val="24"/>
              <w:szCs w:val="24"/>
            </w:rPr>
            <w:t>Términos significativos del acuerdo que puedan afectar su valor, el calendario y la certeza de los flujos</w:t>
          </w:r>
        </w:p>
        <w:p w14:paraId="719A8B3F" w14:textId="7C06FE10"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valor:</w:t>
          </w:r>
        </w:p>
        <w:p w14:paraId="50DCED51" w14:textId="77777777" w:rsidR="00274429" w:rsidRPr="003A102D" w:rsidRDefault="00274429" w:rsidP="00274429">
          <w:pPr>
            <w:jc w:val="both"/>
            <w:rPr>
              <w:rFonts w:ascii="Times New Roman" w:hAnsi="Times New Roman"/>
              <w:sz w:val="24"/>
              <w:szCs w:val="24"/>
            </w:rPr>
          </w:pPr>
          <w:r w:rsidRPr="003A102D">
            <w:rPr>
              <w:rFonts w:ascii="Times New Roman" w:hAnsi="Times New Roman"/>
              <w:b/>
              <w:bCs/>
              <w:sz w:val="24"/>
              <w:szCs w:val="24"/>
            </w:rPr>
            <w:t xml:space="preserve">1: Tarifas: </w:t>
          </w:r>
          <w:r w:rsidRPr="003A102D">
            <w:rPr>
              <w:rFonts w:ascii="Times New Roman" w:hAnsi="Times New Roman"/>
              <w:sz w:val="24"/>
              <w:szCs w:val="24"/>
            </w:rPr>
            <w:t>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w:t>
          </w:r>
        </w:p>
        <w:p w14:paraId="468918F6" w14:textId="77777777" w:rsidR="00274429" w:rsidRPr="003A102D" w:rsidRDefault="00274429" w:rsidP="00274429">
          <w:pPr>
            <w:jc w:val="both"/>
            <w:rPr>
              <w:rFonts w:ascii="Times New Roman" w:hAnsi="Times New Roman"/>
              <w:sz w:val="24"/>
              <w:szCs w:val="24"/>
            </w:rPr>
          </w:pPr>
          <w:r w:rsidRPr="003A102D">
            <w:rPr>
              <w:rFonts w:ascii="Times New Roman" w:hAnsi="Times New Roman"/>
              <w:b/>
              <w:bCs/>
              <w:sz w:val="24"/>
              <w:szCs w:val="24"/>
            </w:rPr>
            <w:t xml:space="preserve">2: Contraprestación portuaria: </w:t>
          </w:r>
          <w:r w:rsidRPr="003A102D">
            <w:rPr>
              <w:rFonts w:ascii="Times New Roman" w:hAnsi="Times New Roman"/>
              <w:sz w:val="24"/>
              <w:szCs w:val="24"/>
            </w:rPr>
            <w:t>De acuerdo con el último documento contractual vigente la metodología de contraprestación vigente es CONPES 2680 DE 1993 (Productividad). Se establece en la cláusula octava del Contrato que el CONCESIONARIO deberá pagar por concepto de zona de uso público la suma anual de (USD 44.533), de dicho pago el 80% le corresponde a la Nación Instituto nacional de vías (INVIAS) y el 20% restante al distrito de Cartagena de acuerdo con lo establecido en el parágrafo 1 del artículo 1 de la ley 856 del 21 de diciembre de 2003, que modifica el artículo 7 de la ley 1ª de 1991. Así mismo, por concepto de infraestructura el CONCESIONARIO deberá pagar la suma anual de (USD 3.541), el cual corresponde en un 100% a la Nación - Instituto Nacional de Vías (INVIAS) de acuerdo con lo establecido en el artículo 1 de la ley 856 del 21 diciembre de 2003.</w:t>
          </w:r>
        </w:p>
        <w:p w14:paraId="148F7BB9" w14:textId="77777777" w:rsidR="00274429" w:rsidRPr="003A102D" w:rsidRDefault="00274429" w:rsidP="00274429">
          <w:pPr>
            <w:jc w:val="both"/>
            <w:rPr>
              <w:rFonts w:ascii="Times New Roman" w:hAnsi="Times New Roman"/>
              <w:sz w:val="24"/>
              <w:szCs w:val="24"/>
            </w:rPr>
          </w:pPr>
          <w:r w:rsidRPr="003A102D">
            <w:rPr>
              <w:rFonts w:ascii="Times New Roman" w:hAnsi="Times New Roman"/>
              <w:sz w:val="24"/>
              <w:szCs w:val="24"/>
            </w:rPr>
            <w:lastRenderedPageBreak/>
            <w:t>Para el caso de este contrato, en el año 2011 el Concesionario pagó de manera anticipada la totalidad de la contraprestación.</w:t>
          </w:r>
        </w:p>
        <w:p w14:paraId="5F8A2054" w14:textId="77777777" w:rsidR="00274429" w:rsidRPr="003A102D" w:rsidRDefault="00274429" w:rsidP="00274429">
          <w:pPr>
            <w:jc w:val="both"/>
            <w:rPr>
              <w:rFonts w:ascii="Times New Roman" w:hAnsi="Times New Roman"/>
              <w:sz w:val="24"/>
              <w:szCs w:val="24"/>
            </w:rPr>
          </w:pPr>
          <w:r w:rsidRPr="003A102D">
            <w:rPr>
              <w:rFonts w:ascii="Times New Roman" w:hAnsi="Times New Roman"/>
              <w:b/>
              <w:bCs/>
              <w:sz w:val="24"/>
              <w:szCs w:val="24"/>
            </w:rPr>
            <w:t xml:space="preserve">3: Plan de Inversiones: </w:t>
          </w:r>
          <w:r w:rsidRPr="003A102D">
            <w:rPr>
              <w:rFonts w:ascii="Times New Roman" w:hAnsi="Times New Roman"/>
              <w:sz w:val="24"/>
              <w:szCs w:val="24"/>
            </w:rPr>
            <w:t>está establecido en la cláusula séptima del contrato, modificado por la Otrosí No.1 de 2014 que estableció en la cláusula sexta, el plan de inversión será de USD 327.009 en valores corrientes y ejecutará inversiones por cuenta y riesgo por USD 1.673.646 en valores corrientes.</w:t>
          </w:r>
        </w:p>
        <w:p w14:paraId="5107123A" w14:textId="77777777" w:rsidR="00274429" w:rsidRPr="003A102D" w:rsidRDefault="00274429" w:rsidP="00274429">
          <w:pPr>
            <w:jc w:val="both"/>
            <w:rPr>
              <w:rFonts w:ascii="Times New Roman" w:hAnsi="Times New Roman"/>
              <w:sz w:val="24"/>
              <w:szCs w:val="24"/>
            </w:rPr>
          </w:pPr>
          <w:r w:rsidRPr="003A102D">
            <w:rPr>
              <w:rFonts w:ascii="Times New Roman" w:hAnsi="Times New Roman"/>
              <w:b/>
              <w:bCs/>
              <w:sz w:val="24"/>
              <w:szCs w:val="24"/>
            </w:rPr>
            <w:t xml:space="preserve">Obligaciones del CONCESIONARIO: </w:t>
          </w:r>
          <w:r w:rsidRPr="003A102D">
            <w:rPr>
              <w:rFonts w:ascii="Times New Roman" w:hAnsi="Times New Roman"/>
              <w:sz w:val="24"/>
              <w:szCs w:val="24"/>
            </w:rPr>
            <w:t xml:space="preserve">se encuentran descritas en la cláusula décima quinta del contrato. </w:t>
          </w:r>
        </w:p>
        <w:p w14:paraId="17532180" w14:textId="77777777" w:rsidR="00274429" w:rsidRPr="003A102D" w:rsidRDefault="00274429" w:rsidP="00274429">
          <w:pPr>
            <w:jc w:val="both"/>
            <w:rPr>
              <w:rFonts w:ascii="Times New Roman" w:hAnsi="Times New Roman"/>
              <w:sz w:val="24"/>
              <w:szCs w:val="24"/>
            </w:rPr>
          </w:pPr>
          <w:r w:rsidRPr="003A102D">
            <w:rPr>
              <w:rFonts w:ascii="Times New Roman" w:hAnsi="Times New Roman"/>
              <w:b/>
              <w:bCs/>
              <w:sz w:val="24"/>
              <w:szCs w:val="24"/>
            </w:rPr>
            <w:t xml:space="preserve">Multas y sanciones: </w:t>
          </w:r>
          <w:r w:rsidRPr="003A102D">
            <w:rPr>
              <w:rFonts w:ascii="Times New Roman" w:hAnsi="Times New Roman"/>
              <w:sz w:val="24"/>
              <w:szCs w:val="24"/>
            </w:rPr>
            <w:t>están establecidas en la cláusula décima octava del contrato.</w:t>
          </w:r>
        </w:p>
        <w:p w14:paraId="6B38EA96" w14:textId="77777777" w:rsidR="00274429" w:rsidRPr="003A102D" w:rsidRDefault="00274429" w:rsidP="00274429">
          <w:pPr>
            <w:jc w:val="both"/>
            <w:rPr>
              <w:rFonts w:ascii="Times New Roman" w:hAnsi="Times New Roman"/>
              <w:sz w:val="24"/>
              <w:szCs w:val="24"/>
            </w:rPr>
          </w:pPr>
          <w:r w:rsidRPr="003A102D">
            <w:rPr>
              <w:rFonts w:ascii="Times New Roman" w:hAnsi="Times New Roman"/>
              <w:b/>
              <w:bCs/>
              <w:sz w:val="24"/>
              <w:szCs w:val="24"/>
            </w:rPr>
            <w:t xml:space="preserve">Penal pecuniario: </w:t>
          </w:r>
          <w:r w:rsidRPr="003A102D">
            <w:rPr>
              <w:rFonts w:ascii="Times New Roman" w:hAnsi="Times New Roman"/>
              <w:sz w:val="24"/>
              <w:szCs w:val="24"/>
            </w:rPr>
            <w:t>En la cláusula décima novena se establece que en el evento en que el INCO hoy ANI declare la caducidad o el incumplimiento del presente contrato se podrá imponer una penalidad pecuniaria del 10% del valor total de la contraprestación</w:t>
          </w:r>
          <w:r>
            <w:rPr>
              <w:rFonts w:ascii="Times New Roman" w:hAnsi="Times New Roman"/>
              <w:sz w:val="24"/>
              <w:szCs w:val="24"/>
            </w:rPr>
            <w:t>.</w:t>
          </w:r>
        </w:p>
        <w:p w14:paraId="018C7A73" w14:textId="77777777" w:rsidR="00274429" w:rsidRPr="003A102D" w:rsidRDefault="00274429" w:rsidP="00274429">
          <w:pPr>
            <w:jc w:val="both"/>
            <w:rPr>
              <w:rFonts w:ascii="Times New Roman" w:hAnsi="Times New Roman"/>
              <w:b/>
              <w:bCs/>
              <w:sz w:val="24"/>
              <w:szCs w:val="24"/>
            </w:rPr>
          </w:pPr>
          <w:r w:rsidRPr="004C1095">
            <w:rPr>
              <w:rFonts w:ascii="Times New Roman" w:hAnsi="Times New Roman"/>
              <w:b/>
              <w:bCs/>
              <w:sz w:val="24"/>
              <w:szCs w:val="24"/>
            </w:rPr>
            <w:t>Términos de calendario:</w:t>
          </w:r>
        </w:p>
        <w:p w14:paraId="05424E4B" w14:textId="77777777" w:rsidR="00274429" w:rsidRPr="003A102D" w:rsidRDefault="00274429" w:rsidP="00274429">
          <w:pPr>
            <w:jc w:val="both"/>
            <w:rPr>
              <w:rFonts w:ascii="Times New Roman" w:hAnsi="Times New Roman"/>
              <w:b/>
              <w:bCs/>
              <w:sz w:val="24"/>
              <w:szCs w:val="24"/>
            </w:rPr>
          </w:pPr>
          <w:r w:rsidRPr="003A102D">
            <w:rPr>
              <w:rFonts w:ascii="Times New Roman" w:hAnsi="Times New Roman"/>
              <w:b/>
              <w:bCs/>
              <w:sz w:val="24"/>
              <w:szCs w:val="24"/>
            </w:rPr>
            <w:t xml:space="preserve">1: Tarifas: </w:t>
          </w:r>
          <w:r w:rsidRPr="003A102D">
            <w:rPr>
              <w:rFonts w:ascii="Times New Roman" w:hAnsi="Times New Roman"/>
              <w:sz w:val="24"/>
              <w:szCs w:val="24"/>
            </w:rPr>
            <w:t>Aprobadas según la metodología establecida por la Superintendencia General de Puertos hoy Superintendencia de Transporte</w:t>
          </w:r>
          <w:r w:rsidRPr="003A102D">
            <w:rPr>
              <w:rFonts w:ascii="Times New Roman" w:hAnsi="Times New Roman"/>
              <w:b/>
              <w:bCs/>
              <w:sz w:val="24"/>
              <w:szCs w:val="24"/>
            </w:rPr>
            <w:t>.</w:t>
          </w:r>
        </w:p>
        <w:p w14:paraId="5BC255C8" w14:textId="77777777" w:rsidR="00274429" w:rsidRPr="003A102D" w:rsidRDefault="00274429" w:rsidP="00274429">
          <w:pPr>
            <w:jc w:val="both"/>
            <w:rPr>
              <w:rFonts w:ascii="Times New Roman" w:hAnsi="Times New Roman"/>
              <w:sz w:val="24"/>
              <w:szCs w:val="24"/>
            </w:rPr>
          </w:pPr>
          <w:r w:rsidRPr="003A102D">
            <w:rPr>
              <w:rFonts w:ascii="Times New Roman" w:hAnsi="Times New Roman"/>
              <w:b/>
              <w:bCs/>
              <w:sz w:val="24"/>
              <w:szCs w:val="24"/>
            </w:rPr>
            <w:t xml:space="preserve">2: Contraprestación portuaria: </w:t>
          </w:r>
          <w:r w:rsidRPr="003A102D">
            <w:rPr>
              <w:rFonts w:ascii="Times New Roman" w:hAnsi="Times New Roman"/>
              <w:sz w:val="24"/>
              <w:szCs w:val="24"/>
            </w:rPr>
            <w:t>la contraprestación se debe pagar de manera anual anticipada desde el mes de agosto de cada año</w:t>
          </w:r>
        </w:p>
        <w:p w14:paraId="4961CA62" w14:textId="77777777" w:rsidR="00274429" w:rsidRPr="003A102D" w:rsidRDefault="00274429" w:rsidP="00274429">
          <w:pPr>
            <w:jc w:val="both"/>
            <w:rPr>
              <w:rFonts w:ascii="Times New Roman" w:hAnsi="Times New Roman"/>
              <w:sz w:val="24"/>
              <w:szCs w:val="24"/>
            </w:rPr>
          </w:pPr>
          <w:r w:rsidRPr="003A102D">
            <w:rPr>
              <w:rFonts w:ascii="Times New Roman" w:hAnsi="Times New Roman"/>
              <w:b/>
              <w:bCs/>
              <w:sz w:val="24"/>
              <w:szCs w:val="24"/>
            </w:rPr>
            <w:t xml:space="preserve">3: Plan de inversiones: </w:t>
          </w:r>
          <w:r w:rsidRPr="003A102D">
            <w:rPr>
              <w:rFonts w:ascii="Times New Roman" w:hAnsi="Times New Roman"/>
              <w:sz w:val="24"/>
              <w:szCs w:val="24"/>
            </w:rPr>
            <w:t>Se estableció en la cláusula sexta del otrosí 1 ejecución de inversiones en el periodo de tiempo comprendido entre el año 2010 a 2016.</w:t>
          </w:r>
        </w:p>
        <w:p w14:paraId="479DDB55" w14:textId="77777777" w:rsidR="00274429" w:rsidRPr="003A102D" w:rsidRDefault="00274429" w:rsidP="00274429">
          <w:pPr>
            <w:jc w:val="both"/>
            <w:rPr>
              <w:rFonts w:ascii="Times New Roman" w:hAnsi="Times New Roman"/>
              <w:sz w:val="24"/>
              <w:szCs w:val="24"/>
            </w:rPr>
          </w:pPr>
          <w:r w:rsidRPr="003A102D">
            <w:rPr>
              <w:rFonts w:ascii="Times New Roman" w:hAnsi="Times New Roman"/>
              <w:b/>
              <w:bCs/>
              <w:sz w:val="24"/>
              <w:szCs w:val="24"/>
            </w:rPr>
            <w:t xml:space="preserve">4: Multas: </w:t>
          </w:r>
          <w:r w:rsidRPr="003A102D">
            <w:rPr>
              <w:rFonts w:ascii="Times New Roman" w:hAnsi="Times New Roman"/>
              <w:sz w:val="24"/>
              <w:szCs w:val="24"/>
            </w:rPr>
            <w:t>Cláusula décima octava del contrato 006 de 2010.</w:t>
          </w:r>
        </w:p>
        <w:p w14:paraId="0DF41B88" w14:textId="77777777"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certeza de flujos de efectivo futuros:</w:t>
          </w:r>
        </w:p>
        <w:p w14:paraId="68D0E71A" w14:textId="77777777" w:rsidR="00274429" w:rsidRPr="003A102D" w:rsidRDefault="00274429" w:rsidP="00274429">
          <w:pPr>
            <w:jc w:val="both"/>
            <w:rPr>
              <w:rFonts w:ascii="Times New Roman" w:hAnsi="Times New Roman"/>
              <w:sz w:val="24"/>
              <w:szCs w:val="24"/>
            </w:rPr>
          </w:pPr>
          <w:r w:rsidRPr="003A102D">
            <w:rPr>
              <w:rFonts w:ascii="Times New Roman" w:hAnsi="Times New Roman"/>
              <w:sz w:val="24"/>
              <w:szCs w:val="24"/>
            </w:rPr>
            <w:t>Se otorga a EL CONCESIONARIO el derecho de ocupar y utilizar en forma temporal y exclusiva las playas, los terrenos de bajamar y zonas accesorias a aquellas o estos, descritos en la cláusula segunda del contrato, a cambio de la contraprestación económica.</w:t>
          </w:r>
        </w:p>
        <w:p w14:paraId="313EC137" w14:textId="77777777" w:rsidR="00274429" w:rsidRPr="003A102D" w:rsidRDefault="00274429" w:rsidP="00274429">
          <w:pPr>
            <w:jc w:val="both"/>
            <w:rPr>
              <w:rFonts w:ascii="Times New Roman" w:hAnsi="Times New Roman"/>
              <w:sz w:val="24"/>
              <w:szCs w:val="24"/>
            </w:rPr>
          </w:pPr>
          <w:r w:rsidRPr="003A102D">
            <w:rPr>
              <w:rFonts w:ascii="Times New Roman" w:hAnsi="Times New Roman"/>
              <w:sz w:val="24"/>
              <w:szCs w:val="24"/>
            </w:rPr>
            <w:t>Cláusula octava, Del valor a pagar por concepto de contraprestación por Zona de Uso público el 80% le corresponde a la Nación-INVIAS y el 20 % al Distrito turístico de Cartagena de Indias y por Infraestructura el 100% a la Nación-INVIAS.</w:t>
          </w:r>
        </w:p>
        <w:p w14:paraId="4F871C9E" w14:textId="77777777" w:rsidR="00274429" w:rsidRDefault="00274429" w:rsidP="00E60BAB">
          <w:pPr>
            <w:pStyle w:val="Prrafodelista"/>
            <w:numPr>
              <w:ilvl w:val="0"/>
              <w:numId w:val="112"/>
            </w:numPr>
            <w:spacing w:line="259" w:lineRule="auto"/>
            <w:jc w:val="both"/>
            <w:rPr>
              <w:rFonts w:ascii="Times New Roman" w:hAnsi="Times New Roman"/>
              <w:b/>
              <w:bCs/>
              <w:sz w:val="24"/>
              <w:szCs w:val="24"/>
            </w:rPr>
          </w:pPr>
          <w:r w:rsidRPr="0085771E">
            <w:rPr>
              <w:rFonts w:ascii="Times New Roman" w:hAnsi="Times New Roman"/>
              <w:b/>
              <w:bCs/>
              <w:sz w:val="24"/>
              <w:szCs w:val="24"/>
            </w:rPr>
            <w:t>Naturaleza y alcance del derecho a utilizar activos especificados, de los aspectos pactados en torno a lo que se espera que el concesionario proporcione en relación con el acuerdo de concesión (Se requiere ser breves, precisos, y concisos en la redacción)</w:t>
          </w:r>
        </w:p>
        <w:p w14:paraId="0D61B7BD" w14:textId="77777777" w:rsidR="00274429" w:rsidRDefault="00274429" w:rsidP="00274429">
          <w:pPr>
            <w:jc w:val="both"/>
            <w:rPr>
              <w:rFonts w:ascii="Times New Roman" w:hAnsi="Times New Roman"/>
              <w:b/>
              <w:bCs/>
              <w:sz w:val="24"/>
              <w:szCs w:val="24"/>
            </w:rPr>
          </w:pPr>
          <w:r w:rsidRPr="00217110">
            <w:rPr>
              <w:rFonts w:ascii="Times New Roman" w:hAnsi="Times New Roman"/>
              <w:b/>
              <w:bCs/>
              <w:sz w:val="24"/>
              <w:szCs w:val="24"/>
            </w:rPr>
            <w:t>Naturaleza y alcance del derecho de uso de los activos</w:t>
          </w:r>
        </w:p>
        <w:p w14:paraId="78D27512" w14:textId="334DB1A3" w:rsidR="00274429" w:rsidRPr="003A102D" w:rsidRDefault="00274429" w:rsidP="00274429">
          <w:pPr>
            <w:jc w:val="both"/>
            <w:rPr>
              <w:rFonts w:ascii="Times New Roman" w:hAnsi="Times New Roman"/>
              <w:sz w:val="24"/>
              <w:szCs w:val="24"/>
            </w:rPr>
          </w:pPr>
          <w:r w:rsidRPr="003E5FA9">
            <w:rPr>
              <w:rFonts w:ascii="Times New Roman" w:hAnsi="Times New Roman"/>
              <w:b/>
              <w:bCs/>
              <w:sz w:val="24"/>
              <w:szCs w:val="24"/>
            </w:rPr>
            <w:t>Descripción:</w:t>
          </w:r>
          <w:r w:rsidRPr="003A102D">
            <w:rPr>
              <w:rFonts w:ascii="Times New Roman" w:hAnsi="Times New Roman"/>
              <w:sz w:val="24"/>
              <w:szCs w:val="24"/>
            </w:rPr>
            <w:t>Descripción del proyecto, especificaciones técnicas, modalidades de operación: las condiciones especiales de operación del puerto están establecidas en la cláusula quinta del Contrato de Concesión, particularmente en los numerales 5.1, 5.2 y 5.3.</w:t>
          </w:r>
        </w:p>
        <w:p w14:paraId="3CE22235" w14:textId="77777777" w:rsidR="00274429" w:rsidRPr="003A102D" w:rsidRDefault="00274429" w:rsidP="00274429">
          <w:pPr>
            <w:jc w:val="both"/>
            <w:rPr>
              <w:rFonts w:ascii="Times New Roman" w:hAnsi="Times New Roman"/>
              <w:sz w:val="24"/>
              <w:szCs w:val="24"/>
            </w:rPr>
          </w:pPr>
          <w:r w:rsidRPr="003A102D">
            <w:rPr>
              <w:rFonts w:ascii="Times New Roman" w:hAnsi="Times New Roman"/>
              <w:sz w:val="24"/>
              <w:szCs w:val="24"/>
            </w:rPr>
            <w:lastRenderedPageBreak/>
            <w:t>Área entregada en concesión: La descripción de la ubicación, linderos y extensión de los bienes de uso público (playas y terrenos de baja mar, zonas marítimas accesorias de maniobras) entregados en concesión están establecidos en la cláusula segunda, numeral 2.2. del Contrato de Concesión.</w:t>
          </w:r>
        </w:p>
        <w:p w14:paraId="4A473008" w14:textId="77777777" w:rsidR="00274429" w:rsidRPr="003A102D" w:rsidRDefault="00274429" w:rsidP="00274429">
          <w:pPr>
            <w:jc w:val="both"/>
            <w:rPr>
              <w:rFonts w:ascii="Times New Roman" w:hAnsi="Times New Roman"/>
              <w:sz w:val="24"/>
              <w:szCs w:val="24"/>
            </w:rPr>
          </w:pPr>
          <w:r w:rsidRPr="003A102D">
            <w:rPr>
              <w:rFonts w:ascii="Times New Roman" w:hAnsi="Times New Roman"/>
              <w:sz w:val="24"/>
              <w:szCs w:val="24"/>
            </w:rPr>
            <w:t>Infraestructura y equipos entregados en concesión: En la cláusula segunda, parágrafo primero del Contrato de Concesión, se describe que la infraestructura entregada en concesión de la siguiente manera:</w:t>
          </w:r>
        </w:p>
        <w:p w14:paraId="280A8883" w14:textId="77777777" w:rsidR="00274429" w:rsidRPr="003A102D" w:rsidRDefault="00274429" w:rsidP="00274429">
          <w:pPr>
            <w:jc w:val="both"/>
            <w:rPr>
              <w:rFonts w:ascii="Times New Roman" w:hAnsi="Times New Roman"/>
              <w:sz w:val="24"/>
              <w:szCs w:val="24"/>
            </w:rPr>
          </w:pPr>
          <w:r w:rsidRPr="003A102D">
            <w:rPr>
              <w:rFonts w:ascii="Times New Roman" w:hAnsi="Times New Roman"/>
              <w:sz w:val="24"/>
              <w:szCs w:val="24"/>
            </w:rPr>
            <w:t>Infraestructura: Escalera de Acceso al área del muelle, Plataforma del muelle en concreto, ampliación del muelle en plataforma metálica, puertas de acceso, pasarela de acceso a la barcaza, Bitas en “H” en tubería de 12 pulgadas, bitas y barcaza.</w:t>
          </w:r>
        </w:p>
        <w:p w14:paraId="3723C8C1" w14:textId="77777777" w:rsidR="00274429" w:rsidRPr="003A102D" w:rsidRDefault="00274429" w:rsidP="00274429">
          <w:pPr>
            <w:jc w:val="both"/>
            <w:rPr>
              <w:rFonts w:ascii="Times New Roman" w:hAnsi="Times New Roman"/>
              <w:sz w:val="24"/>
              <w:szCs w:val="24"/>
            </w:rPr>
          </w:pPr>
          <w:r w:rsidRPr="003A102D">
            <w:rPr>
              <w:rFonts w:ascii="Times New Roman" w:hAnsi="Times New Roman"/>
              <w:b/>
              <w:bCs/>
              <w:sz w:val="24"/>
              <w:szCs w:val="24"/>
            </w:rPr>
            <w:t xml:space="preserve">Equipos: </w:t>
          </w:r>
          <w:r w:rsidRPr="003A102D">
            <w:rPr>
              <w:rFonts w:ascii="Times New Roman" w:hAnsi="Times New Roman"/>
              <w:sz w:val="24"/>
              <w:szCs w:val="24"/>
            </w:rPr>
            <w:t>No se reporta equipos entregados en concesión.</w:t>
          </w:r>
        </w:p>
        <w:p w14:paraId="72D972AC" w14:textId="77777777" w:rsidR="00274429" w:rsidRPr="009A46BB" w:rsidRDefault="00274429" w:rsidP="00274429">
          <w:pPr>
            <w:jc w:val="both"/>
            <w:rPr>
              <w:rFonts w:ascii="Times New Roman" w:hAnsi="Times New Roman"/>
              <w:sz w:val="24"/>
              <w:szCs w:val="24"/>
            </w:rPr>
          </w:pPr>
          <w:r w:rsidRPr="003E5FA9">
            <w:rPr>
              <w:rFonts w:ascii="Times New Roman" w:hAnsi="Times New Roman"/>
              <w:b/>
              <w:bCs/>
              <w:sz w:val="24"/>
              <w:szCs w:val="24"/>
            </w:rPr>
            <w:t>Observaciones:</w:t>
          </w:r>
          <w:r>
            <w:rPr>
              <w:rFonts w:ascii="Times New Roman" w:hAnsi="Times New Roman"/>
              <w:b/>
              <w:bCs/>
              <w:sz w:val="24"/>
              <w:szCs w:val="24"/>
            </w:rPr>
            <w:t xml:space="preserve"> </w:t>
          </w:r>
        </w:p>
        <w:p w14:paraId="1B11132B" w14:textId="77777777" w:rsidR="00274429" w:rsidRDefault="00274429" w:rsidP="00274429">
          <w:pPr>
            <w:jc w:val="both"/>
            <w:rPr>
              <w:rFonts w:ascii="Times New Roman" w:hAnsi="Times New Roman"/>
              <w:b/>
              <w:bCs/>
              <w:sz w:val="24"/>
              <w:szCs w:val="24"/>
            </w:rPr>
          </w:pPr>
          <w:r w:rsidRPr="00197A12">
            <w:rPr>
              <w:rFonts w:ascii="Times New Roman" w:hAnsi="Times New Roman"/>
              <w:b/>
              <w:bCs/>
              <w:sz w:val="24"/>
              <w:szCs w:val="24"/>
            </w:rPr>
            <w:t>Retribución al concesionario</w:t>
          </w:r>
        </w:p>
        <w:p w14:paraId="791914A3" w14:textId="77777777" w:rsidR="00274429" w:rsidRPr="003A102D" w:rsidRDefault="00274429" w:rsidP="00274429">
          <w:pPr>
            <w:jc w:val="both"/>
            <w:rPr>
              <w:rFonts w:ascii="Times New Roman" w:hAnsi="Times New Roman"/>
              <w:b/>
              <w:bCs/>
              <w:sz w:val="24"/>
              <w:szCs w:val="24"/>
            </w:rPr>
          </w:pPr>
          <w:r w:rsidRPr="003E5FA9">
            <w:rPr>
              <w:rFonts w:ascii="Times New Roman" w:hAnsi="Times New Roman"/>
              <w:b/>
              <w:bCs/>
              <w:sz w:val="24"/>
              <w:szCs w:val="24"/>
            </w:rPr>
            <w:t>Descripción:</w:t>
          </w:r>
          <w:r>
            <w:rPr>
              <w:rFonts w:ascii="Times New Roman" w:hAnsi="Times New Roman"/>
              <w:b/>
              <w:bCs/>
              <w:sz w:val="24"/>
              <w:szCs w:val="24"/>
            </w:rPr>
            <w:t xml:space="preserve"> </w:t>
          </w:r>
          <w:r w:rsidRPr="009A46BB">
            <w:rPr>
              <w:rFonts w:ascii="Times New Roman" w:hAnsi="Times New Roman"/>
              <w:sz w:val="24"/>
              <w:szCs w:val="24"/>
            </w:rPr>
            <w:t>Cláusula primera Contrato 006 de 2010: Se otorga a EL CONCESIONARIO el derecho de ocupar y utilizar en forma temporal y exclusiva las playas, los terrenos de bajamar y zonas accesorias a aquellas o estos, descritos en la cláusula segunda del contrato, a cambio de la contraprestación económica.</w:t>
          </w:r>
        </w:p>
        <w:p w14:paraId="52399E03" w14:textId="77777777" w:rsidR="00274429" w:rsidRDefault="00274429" w:rsidP="00274429">
          <w:pPr>
            <w:jc w:val="both"/>
            <w:rPr>
              <w:rFonts w:ascii="Times New Roman" w:hAnsi="Times New Roman"/>
              <w:b/>
              <w:bCs/>
              <w:sz w:val="24"/>
              <w:szCs w:val="24"/>
            </w:rPr>
          </w:pPr>
          <w:r w:rsidRPr="003E5FA9">
            <w:rPr>
              <w:rFonts w:ascii="Times New Roman" w:hAnsi="Times New Roman"/>
              <w:b/>
              <w:bCs/>
              <w:sz w:val="24"/>
              <w:szCs w:val="24"/>
            </w:rPr>
            <w:t>Tasa de retribución:</w:t>
          </w:r>
          <w:r>
            <w:rPr>
              <w:rFonts w:ascii="Times New Roman" w:hAnsi="Times New Roman"/>
              <w:b/>
              <w:bCs/>
              <w:sz w:val="24"/>
              <w:szCs w:val="24"/>
            </w:rPr>
            <w:t xml:space="preserve"> N/A</w:t>
          </w:r>
        </w:p>
        <w:p w14:paraId="076FA90B" w14:textId="77777777" w:rsidR="00274429" w:rsidRDefault="00274429" w:rsidP="00E60BAB">
          <w:pPr>
            <w:pStyle w:val="Prrafodelista"/>
            <w:numPr>
              <w:ilvl w:val="0"/>
              <w:numId w:val="112"/>
            </w:numPr>
            <w:spacing w:line="259" w:lineRule="auto"/>
            <w:jc w:val="both"/>
            <w:rPr>
              <w:rFonts w:ascii="Times New Roman" w:hAnsi="Times New Roman"/>
              <w:b/>
              <w:bCs/>
              <w:sz w:val="24"/>
              <w:szCs w:val="24"/>
            </w:rPr>
          </w:pPr>
          <w:r w:rsidRPr="00197A12">
            <w:rPr>
              <w:rFonts w:ascii="Times New Roman" w:hAnsi="Times New Roman"/>
              <w:b/>
              <w:bCs/>
              <w:sz w:val="24"/>
              <w:szCs w:val="24"/>
            </w:rPr>
            <w:t>Derechos a recibir activos especificados al final del acuerdo de concesión</w:t>
          </w:r>
        </w:p>
        <w:p w14:paraId="61B4B734" w14:textId="77777777" w:rsidR="00274429" w:rsidRPr="008D5B57" w:rsidRDefault="00274429" w:rsidP="00274429">
          <w:pPr>
            <w:jc w:val="both"/>
            <w:rPr>
              <w:rFonts w:ascii="Times New Roman" w:hAnsi="Times New Roman"/>
              <w:sz w:val="24"/>
              <w:szCs w:val="24"/>
            </w:rPr>
          </w:pPr>
          <w:r w:rsidRPr="006D56DF">
            <w:rPr>
              <w:rFonts w:ascii="Times New Roman" w:hAnsi="Times New Roman"/>
              <w:b/>
              <w:bCs/>
              <w:sz w:val="24"/>
              <w:szCs w:val="24"/>
            </w:rPr>
            <w:t>Descripción:</w:t>
          </w:r>
          <w:r>
            <w:rPr>
              <w:rFonts w:ascii="Times New Roman" w:hAnsi="Times New Roman"/>
              <w:b/>
              <w:bCs/>
              <w:sz w:val="24"/>
              <w:szCs w:val="24"/>
            </w:rPr>
            <w:t xml:space="preserve"> </w:t>
          </w:r>
          <w:r w:rsidRPr="008D5B57">
            <w:rPr>
              <w:rFonts w:ascii="Times New Roman" w:hAnsi="Times New Roman"/>
              <w:sz w:val="24"/>
              <w:szCs w:val="24"/>
            </w:rPr>
            <w:t>De acuerdo con el Artículo 8º de la Ley 1 de 1991 en el modo portuario el concesionario no tiene derechos finales sobre activos los debe revertir a la Nación al final del contrato de concesión.</w:t>
          </w:r>
        </w:p>
        <w:p w14:paraId="6CE5262C" w14:textId="77777777" w:rsidR="00274429" w:rsidRPr="008D5B57" w:rsidRDefault="00274429" w:rsidP="00274429">
          <w:pPr>
            <w:jc w:val="both"/>
            <w:rPr>
              <w:rFonts w:ascii="Times New Roman" w:hAnsi="Times New Roman"/>
              <w:sz w:val="24"/>
              <w:szCs w:val="24"/>
            </w:rPr>
          </w:pPr>
          <w:r w:rsidRPr="006D56DF">
            <w:rPr>
              <w:rFonts w:ascii="Times New Roman" w:hAnsi="Times New Roman"/>
              <w:b/>
              <w:bCs/>
              <w:sz w:val="24"/>
              <w:szCs w:val="24"/>
            </w:rPr>
            <w:t>Observaciones:</w:t>
          </w:r>
          <w:r>
            <w:rPr>
              <w:rFonts w:ascii="Times New Roman" w:hAnsi="Times New Roman"/>
              <w:b/>
              <w:bCs/>
              <w:sz w:val="24"/>
              <w:szCs w:val="24"/>
            </w:rPr>
            <w:t xml:space="preserve"> </w:t>
          </w:r>
          <w:r w:rsidRPr="003A102D">
            <w:rPr>
              <w:rFonts w:ascii="Times New Roman" w:hAnsi="Times New Roman"/>
              <w:b/>
              <w:bCs/>
              <w:sz w:val="24"/>
              <w:szCs w:val="24"/>
            </w:rPr>
            <w:t xml:space="preserve">Reversión: </w:t>
          </w:r>
          <w:r w:rsidRPr="008D5B57">
            <w:rPr>
              <w:rFonts w:ascii="Times New Roman" w:hAnsi="Times New Roman"/>
              <w:sz w:val="24"/>
              <w:szCs w:val="24"/>
            </w:rPr>
            <w:t>De acuerdo con lo establecido en la cláusula decimosegunda del contrato de concesión, la zona de uso público y todas las construcciones y equipos entregadas en concesión se revertirán a la Nación en buenas condiciones de operación tecnológica, mantenimiento y de adecuada eficiencia al término de este contrato y de las prórrogas si la hubiere. Igualmente procederá la reversión al ser declarado la caducidad o la terminación unilateral.</w:t>
          </w:r>
        </w:p>
        <w:p w14:paraId="2DF64F7C" w14:textId="77777777" w:rsidR="00274429" w:rsidRPr="008D5B57" w:rsidRDefault="00274429" w:rsidP="00274429">
          <w:pPr>
            <w:jc w:val="both"/>
            <w:rPr>
              <w:rFonts w:ascii="Times New Roman" w:hAnsi="Times New Roman"/>
              <w:sz w:val="24"/>
              <w:szCs w:val="24"/>
            </w:rPr>
          </w:pPr>
          <w:r w:rsidRPr="008D5B57">
            <w:rPr>
              <w:rFonts w:ascii="Times New Roman" w:hAnsi="Times New Roman"/>
              <w:sz w:val="24"/>
              <w:szCs w:val="24"/>
            </w:rPr>
            <w:t>De acuerdo con el otrosí No.1 de 2014 los mayores montos de inversión y las obras adicionales aprobados en el otrosí pasará a ser propiedad de la nación.</w:t>
          </w:r>
        </w:p>
        <w:p w14:paraId="5D54184B" w14:textId="77777777" w:rsidR="00274429" w:rsidRDefault="00274429" w:rsidP="00274429">
          <w:pPr>
            <w:jc w:val="both"/>
            <w:rPr>
              <w:rFonts w:ascii="Times New Roman" w:hAnsi="Times New Roman"/>
              <w:sz w:val="24"/>
              <w:szCs w:val="24"/>
            </w:rPr>
          </w:pPr>
          <w:r w:rsidRPr="008D5B57">
            <w:rPr>
              <w:rFonts w:ascii="Times New Roman" w:hAnsi="Times New Roman"/>
              <w:sz w:val="24"/>
              <w:szCs w:val="24"/>
            </w:rPr>
            <w:t>Para tal fin, en el momento de la reversión el CONCESIONARIO deberá hacer entrega de un avaluó comercial actualizado y valoración técnica de las condiciones de operación de la infraestructura portuaria, equipos e inmuebles por destinación que habitualmente se encuentren instalados en las zonas de uso público que se revierten y que son propiedad de la Nación.</w:t>
          </w:r>
        </w:p>
        <w:p w14:paraId="7E34E3B0" w14:textId="77777777" w:rsidR="00274429" w:rsidRPr="00657E6C" w:rsidRDefault="00274429" w:rsidP="00274429">
          <w:pPr>
            <w:jc w:val="both"/>
            <w:rPr>
              <w:rFonts w:ascii="Times New Roman" w:hAnsi="Times New Roman"/>
              <w:sz w:val="24"/>
              <w:szCs w:val="24"/>
            </w:rPr>
          </w:pPr>
          <w:r w:rsidRPr="00657E6C">
            <w:rPr>
              <w:rFonts w:ascii="Times New Roman" w:hAnsi="Times New Roman"/>
              <w:sz w:val="24"/>
              <w:szCs w:val="24"/>
            </w:rPr>
            <w:t>Para tal fin, en el momento de la reversión el CONCESIONARIO elaborará un inventario de los bienes y los enviará para su revisión y aprobación.</w:t>
          </w:r>
        </w:p>
        <w:p w14:paraId="4E0FCD19" w14:textId="77777777" w:rsidR="00274429" w:rsidRPr="00657E6C" w:rsidRDefault="00274429" w:rsidP="00274429">
          <w:pPr>
            <w:jc w:val="both"/>
            <w:rPr>
              <w:rFonts w:ascii="Times New Roman" w:hAnsi="Times New Roman"/>
              <w:sz w:val="24"/>
              <w:szCs w:val="24"/>
            </w:rPr>
          </w:pPr>
          <w:r w:rsidRPr="00657E6C">
            <w:rPr>
              <w:rFonts w:ascii="Times New Roman" w:hAnsi="Times New Roman"/>
              <w:sz w:val="24"/>
              <w:szCs w:val="24"/>
            </w:rPr>
            <w:lastRenderedPageBreak/>
            <w:t>La ANI es la entidad concedente pero la titularidad de los activos al final de la concesión es del Instituto Nacional de Vías INVIAS.</w:t>
          </w:r>
        </w:p>
        <w:p w14:paraId="4F3C2327" w14:textId="778D1A88" w:rsidR="00274429" w:rsidRDefault="00FD5EEB" w:rsidP="00E60BAB">
          <w:pPr>
            <w:pStyle w:val="Prrafodelista"/>
            <w:numPr>
              <w:ilvl w:val="0"/>
              <w:numId w:val="112"/>
            </w:numPr>
            <w:spacing w:line="259" w:lineRule="auto"/>
            <w:jc w:val="both"/>
            <w:rPr>
              <w:rFonts w:ascii="Times New Roman" w:hAnsi="Times New Roman"/>
              <w:b/>
              <w:bCs/>
              <w:sz w:val="24"/>
              <w:szCs w:val="24"/>
            </w:rPr>
          </w:pPr>
          <w:r>
            <w:rPr>
              <w:rFonts w:ascii="Times New Roman" w:hAnsi="Times New Roman"/>
              <w:b/>
              <w:bCs/>
              <w:sz w:val="24"/>
              <w:szCs w:val="24"/>
            </w:rPr>
            <w:t>No hay c</w:t>
          </w:r>
          <w:r w:rsidR="00274429" w:rsidRPr="00197A12">
            <w:rPr>
              <w:rFonts w:ascii="Times New Roman" w:hAnsi="Times New Roman"/>
              <w:b/>
              <w:bCs/>
              <w:sz w:val="24"/>
              <w:szCs w:val="24"/>
            </w:rPr>
            <w:t>ambios en el acuerdo de concesión que se realicen durante el periodo</w:t>
          </w:r>
          <w:r w:rsidR="00274429">
            <w:rPr>
              <w:rFonts w:ascii="Times New Roman" w:hAnsi="Times New Roman"/>
              <w:b/>
              <w:bCs/>
              <w:sz w:val="24"/>
              <w:szCs w:val="24"/>
            </w:rPr>
            <w:t xml:space="preserve"> fiscal</w:t>
          </w:r>
        </w:p>
        <w:p w14:paraId="511D7EA9" w14:textId="77777777" w:rsidR="00274429" w:rsidRDefault="00274429" w:rsidP="00274429">
          <w:pPr>
            <w:pStyle w:val="Prrafodelista"/>
            <w:jc w:val="both"/>
            <w:rPr>
              <w:rFonts w:ascii="Times New Roman" w:hAnsi="Times New Roman"/>
              <w:b/>
              <w:bCs/>
              <w:sz w:val="24"/>
              <w:szCs w:val="24"/>
            </w:rPr>
          </w:pPr>
        </w:p>
        <w:p w14:paraId="31052E0E" w14:textId="77777777" w:rsidR="00274429" w:rsidRPr="009A46BB" w:rsidRDefault="00274429" w:rsidP="00274429">
          <w:pPr>
            <w:jc w:val="both"/>
            <w:rPr>
              <w:rFonts w:ascii="Times New Roman" w:hAnsi="Times New Roman"/>
              <w:b/>
              <w:sz w:val="24"/>
              <w:szCs w:val="24"/>
            </w:rPr>
          </w:pPr>
        </w:p>
        <w:p w14:paraId="2EC49DC3" w14:textId="28FDB7CF" w:rsidR="00274429" w:rsidRPr="00FD5EEB" w:rsidRDefault="00FD5EEB" w:rsidP="00274429">
          <w:pPr>
            <w:jc w:val="both"/>
            <w:rPr>
              <w:rFonts w:ascii="Times New Roman" w:hAnsi="Times New Roman"/>
              <w:b/>
              <w:bCs/>
              <w:sz w:val="24"/>
              <w:szCs w:val="24"/>
            </w:rPr>
          </w:pPr>
          <w:r w:rsidRPr="00FD5EEB">
            <w:rPr>
              <w:rFonts w:ascii="Times New Roman" w:hAnsi="Times New Roman"/>
              <w:b/>
              <w:bCs/>
              <w:sz w:val="24"/>
              <w:szCs w:val="24"/>
            </w:rPr>
            <w:t>SOCIEDAD PUERTO BRISA S.A.</w:t>
          </w:r>
        </w:p>
        <w:p w14:paraId="47E5110A" w14:textId="77777777" w:rsidR="00274429" w:rsidRPr="00443158" w:rsidRDefault="00274429" w:rsidP="00E60BAB">
          <w:pPr>
            <w:pStyle w:val="Prrafodelista"/>
            <w:numPr>
              <w:ilvl w:val="0"/>
              <w:numId w:val="115"/>
            </w:numPr>
            <w:spacing w:line="259" w:lineRule="auto"/>
            <w:jc w:val="both"/>
            <w:rPr>
              <w:rFonts w:ascii="Times New Roman" w:hAnsi="Times New Roman"/>
              <w:b/>
              <w:bCs/>
              <w:sz w:val="24"/>
              <w:szCs w:val="24"/>
            </w:rPr>
          </w:pPr>
          <w:r w:rsidRPr="00443158">
            <w:rPr>
              <w:rFonts w:ascii="Times New Roman" w:hAnsi="Times New Roman"/>
              <w:b/>
              <w:bCs/>
              <w:sz w:val="24"/>
              <w:szCs w:val="24"/>
            </w:rPr>
            <w:t>Descripción del acuerdo</w:t>
          </w:r>
        </w:p>
        <w:p w14:paraId="39CB863F" w14:textId="46A47D93" w:rsidR="00274429" w:rsidRPr="009A46BB" w:rsidRDefault="00274429" w:rsidP="70FA111A">
          <w:pPr>
            <w:spacing w:after="0"/>
            <w:jc w:val="both"/>
            <w:rPr>
              <w:rFonts w:ascii="Times New Roman" w:hAnsi="Times New Roman"/>
              <w:color w:val="000000"/>
              <w:sz w:val="24"/>
              <w:szCs w:val="24"/>
            </w:rPr>
          </w:pPr>
          <w:r w:rsidRPr="009A46BB">
            <w:rPr>
              <w:rFonts w:ascii="Times New Roman" w:hAnsi="Times New Roman"/>
              <w:b/>
              <w:sz w:val="24"/>
              <w:szCs w:val="24"/>
            </w:rPr>
            <w:t>Número del acuerdo de concesión:</w:t>
          </w:r>
          <w:r w:rsidRPr="009A46BB">
            <w:rPr>
              <w:rFonts w:ascii="Times New Roman" w:hAnsi="Times New Roman"/>
              <w:sz w:val="24"/>
              <w:szCs w:val="24"/>
            </w:rPr>
            <w:t>Contrato de Concesión Portuaria No. 009 de 2010</w:t>
          </w:r>
          <w:r w:rsidRPr="70FA111A">
            <w:rPr>
              <w:rFonts w:ascii="Times New Roman" w:hAnsi="Times New Roman"/>
              <w:color w:val="000000" w:themeColor="text1"/>
              <w:sz w:val="24"/>
              <w:szCs w:val="24"/>
            </w:rPr>
            <w:t xml:space="preserve"> </w:t>
          </w:r>
        </w:p>
        <w:p w14:paraId="4FEA0204" w14:textId="50490AAB" w:rsidR="00274429" w:rsidRPr="009A46BB" w:rsidRDefault="00274429" w:rsidP="70FA111A">
          <w:pPr>
            <w:spacing w:after="0"/>
            <w:jc w:val="both"/>
            <w:rPr>
              <w:rFonts w:ascii="Times New Roman" w:hAnsi="Times New Roman"/>
              <w:sz w:val="24"/>
              <w:szCs w:val="24"/>
            </w:rPr>
          </w:pPr>
          <w:r w:rsidRPr="009A46BB">
            <w:rPr>
              <w:rFonts w:ascii="Times New Roman" w:hAnsi="Times New Roman"/>
              <w:b/>
              <w:sz w:val="24"/>
              <w:szCs w:val="24"/>
            </w:rPr>
            <w:t>Objeto / Descripción</w:t>
          </w:r>
          <w:r w:rsidRPr="009A46BB">
            <w:rPr>
              <w:rFonts w:ascii="Times New Roman" w:hAnsi="Times New Roman"/>
              <w:sz w:val="24"/>
              <w:szCs w:val="24"/>
            </w:rPr>
            <w:t>:En virtud del Contrato de concesión y sus modificaciones, se permite al CONCESIONARIO la ocupación en forma temporal y exclusiva de una zona de playas, de bajamar y aguas marítimas accesorias, para la construcción, operación y el desarrollo de actividades portuarias de servicio público, conforme lo establece la Cláusula Primera del Contrato.</w:t>
          </w:r>
        </w:p>
        <w:p w14:paraId="5F5C3934" w14:textId="1D2B130C" w:rsidR="00274429" w:rsidRPr="009A46BB" w:rsidRDefault="00274429" w:rsidP="70FA111A">
          <w:pPr>
            <w:spacing w:after="0"/>
            <w:jc w:val="both"/>
            <w:rPr>
              <w:rFonts w:ascii="Times New Roman" w:hAnsi="Times New Roman"/>
              <w:sz w:val="24"/>
              <w:szCs w:val="24"/>
            </w:rPr>
          </w:pPr>
          <w:r w:rsidRPr="00521A07">
            <w:rPr>
              <w:rFonts w:ascii="Times New Roman" w:hAnsi="Times New Roman"/>
              <w:b/>
              <w:bCs/>
              <w:sz w:val="24"/>
              <w:szCs w:val="24"/>
            </w:rPr>
            <w:t>Valor inicial:</w:t>
          </w:r>
          <w:r w:rsidRPr="00663E1E">
            <w:rPr>
              <w:rFonts w:ascii="Times New Roman" w:hAnsi="Times New Roman"/>
              <w:sz w:val="24"/>
              <w:szCs w:val="24"/>
            </w:rPr>
            <w:t>USD $3.528.487,03, a valor presente, liquidados a la TRM del día de Pago. Cláusula octava / Contrato No. 009 de 2010. Valor actualizado: USD 6.674.254,05/ Cláusula sexta/ Otrosí No 001 de 2014</w:t>
          </w:r>
        </w:p>
        <w:p w14:paraId="700B735A" w14:textId="77777777" w:rsidR="00274429" w:rsidRPr="009A46BB" w:rsidRDefault="00274429" w:rsidP="70FA111A">
          <w:pPr>
            <w:spacing w:after="0"/>
            <w:jc w:val="both"/>
            <w:rPr>
              <w:rFonts w:ascii="Times New Roman" w:hAnsi="Times New Roman"/>
              <w:sz w:val="24"/>
              <w:szCs w:val="24"/>
            </w:rPr>
          </w:pPr>
          <w:r w:rsidRPr="00521A07">
            <w:rPr>
              <w:rFonts w:ascii="Times New Roman" w:hAnsi="Times New Roman"/>
              <w:b/>
              <w:bCs/>
              <w:sz w:val="24"/>
              <w:szCs w:val="24"/>
            </w:rPr>
            <w:t>Fecha de inicio:</w:t>
          </w:r>
          <w:r>
            <w:rPr>
              <w:rFonts w:ascii="Times New Roman" w:hAnsi="Times New Roman"/>
              <w:b/>
              <w:bCs/>
              <w:sz w:val="24"/>
              <w:szCs w:val="24"/>
            </w:rPr>
            <w:t xml:space="preserve"> </w:t>
          </w:r>
          <w:r w:rsidRPr="00663E1E">
            <w:rPr>
              <w:rFonts w:ascii="Times New Roman" w:hAnsi="Times New Roman"/>
              <w:sz w:val="24"/>
              <w:szCs w:val="24"/>
            </w:rPr>
            <w:t>6/08/2010</w:t>
          </w:r>
        </w:p>
        <w:p w14:paraId="02554061" w14:textId="77777777" w:rsidR="00274429" w:rsidRPr="009A46BB" w:rsidRDefault="00274429" w:rsidP="70FA111A">
          <w:pPr>
            <w:spacing w:after="0"/>
            <w:jc w:val="both"/>
            <w:rPr>
              <w:rFonts w:ascii="Times New Roman" w:hAnsi="Times New Roman"/>
              <w:sz w:val="24"/>
              <w:szCs w:val="24"/>
            </w:rPr>
          </w:pPr>
          <w:r w:rsidRPr="00521A07">
            <w:rPr>
              <w:rFonts w:ascii="Times New Roman" w:hAnsi="Times New Roman"/>
              <w:b/>
              <w:bCs/>
              <w:sz w:val="24"/>
              <w:szCs w:val="24"/>
            </w:rPr>
            <w:t>Fecha de finalización estimada:</w:t>
          </w:r>
          <w:r>
            <w:rPr>
              <w:rFonts w:ascii="Times New Roman" w:hAnsi="Times New Roman"/>
              <w:b/>
              <w:bCs/>
              <w:sz w:val="24"/>
              <w:szCs w:val="24"/>
            </w:rPr>
            <w:t xml:space="preserve"> </w:t>
          </w:r>
          <w:r w:rsidRPr="00663E1E">
            <w:rPr>
              <w:rFonts w:ascii="Times New Roman" w:hAnsi="Times New Roman"/>
              <w:sz w:val="24"/>
              <w:szCs w:val="24"/>
            </w:rPr>
            <w:t>5/08/2040</w:t>
          </w:r>
        </w:p>
        <w:p w14:paraId="1B93864F" w14:textId="77777777" w:rsidR="00274429" w:rsidRPr="009A46BB" w:rsidRDefault="00274429" w:rsidP="70FA111A">
          <w:pPr>
            <w:spacing w:after="0"/>
            <w:jc w:val="both"/>
            <w:rPr>
              <w:rFonts w:ascii="Times New Roman" w:hAnsi="Times New Roman"/>
              <w:sz w:val="24"/>
              <w:szCs w:val="24"/>
            </w:rPr>
          </w:pPr>
          <w:r w:rsidRPr="00521A07">
            <w:rPr>
              <w:rFonts w:ascii="Times New Roman" w:hAnsi="Times New Roman"/>
              <w:b/>
              <w:bCs/>
              <w:sz w:val="24"/>
              <w:szCs w:val="24"/>
            </w:rPr>
            <w:t>Tipo ID:</w:t>
          </w:r>
          <w:r>
            <w:rPr>
              <w:rFonts w:ascii="Times New Roman" w:hAnsi="Times New Roman"/>
              <w:b/>
              <w:bCs/>
              <w:sz w:val="24"/>
              <w:szCs w:val="24"/>
            </w:rPr>
            <w:t xml:space="preserve"> </w:t>
          </w:r>
          <w:r w:rsidRPr="00FD5EEB">
            <w:rPr>
              <w:rFonts w:ascii="Times New Roman" w:hAnsi="Times New Roman"/>
              <w:sz w:val="24"/>
              <w:szCs w:val="24"/>
            </w:rPr>
            <w:t>NIT</w:t>
          </w:r>
        </w:p>
        <w:p w14:paraId="0594399B" w14:textId="77777777" w:rsidR="00274429" w:rsidRPr="009A46BB" w:rsidRDefault="00274429" w:rsidP="70FA111A">
          <w:pPr>
            <w:spacing w:after="0"/>
            <w:jc w:val="both"/>
            <w:rPr>
              <w:rFonts w:ascii="Times New Roman" w:hAnsi="Times New Roman"/>
              <w:sz w:val="24"/>
              <w:szCs w:val="24"/>
            </w:rPr>
          </w:pPr>
          <w:r w:rsidRPr="00521A07">
            <w:rPr>
              <w:rFonts w:ascii="Times New Roman" w:hAnsi="Times New Roman"/>
              <w:b/>
              <w:bCs/>
              <w:sz w:val="24"/>
              <w:szCs w:val="24"/>
            </w:rPr>
            <w:t>Número ID:</w:t>
          </w:r>
          <w:r>
            <w:rPr>
              <w:rFonts w:ascii="Times New Roman" w:hAnsi="Times New Roman"/>
              <w:b/>
              <w:bCs/>
              <w:sz w:val="24"/>
              <w:szCs w:val="24"/>
            </w:rPr>
            <w:t xml:space="preserve"> </w:t>
          </w:r>
          <w:r w:rsidRPr="00FD5EEB">
            <w:rPr>
              <w:rFonts w:ascii="Times New Roman" w:hAnsi="Times New Roman"/>
              <w:sz w:val="24"/>
              <w:szCs w:val="24"/>
            </w:rPr>
            <w:t>900.096.574-2</w:t>
          </w:r>
        </w:p>
        <w:p w14:paraId="22729C91" w14:textId="18866D6E" w:rsidR="00274429" w:rsidRPr="009A46BB" w:rsidRDefault="00274429" w:rsidP="70FA111A">
          <w:pPr>
            <w:spacing w:after="0"/>
            <w:jc w:val="both"/>
            <w:rPr>
              <w:rFonts w:ascii="Times New Roman" w:hAnsi="Times New Roman"/>
              <w:sz w:val="24"/>
              <w:szCs w:val="24"/>
            </w:rPr>
          </w:pPr>
          <w:r w:rsidRPr="00521A07">
            <w:rPr>
              <w:rFonts w:ascii="Times New Roman" w:hAnsi="Times New Roman"/>
              <w:b/>
              <w:bCs/>
              <w:sz w:val="24"/>
              <w:szCs w:val="24"/>
            </w:rPr>
            <w:t>Razón social del concesionario:</w:t>
          </w:r>
          <w:r w:rsidRPr="00663E1E">
            <w:rPr>
              <w:rFonts w:ascii="Times New Roman" w:hAnsi="Times New Roman"/>
              <w:sz w:val="24"/>
              <w:szCs w:val="24"/>
            </w:rPr>
            <w:t>SOCIEDAD PUERTO BRISA S.A.</w:t>
          </w:r>
        </w:p>
        <w:p w14:paraId="21ED356D" w14:textId="7820E608" w:rsidR="00274429" w:rsidRPr="009A46BB" w:rsidRDefault="00274429" w:rsidP="00274429">
          <w:pPr>
            <w:jc w:val="both"/>
            <w:rPr>
              <w:rFonts w:ascii="Times New Roman" w:hAnsi="Times New Roman"/>
              <w:sz w:val="24"/>
              <w:szCs w:val="24"/>
            </w:rPr>
          </w:pPr>
          <w:r w:rsidRPr="00521A07">
            <w:rPr>
              <w:rFonts w:ascii="Times New Roman" w:hAnsi="Times New Roman"/>
              <w:b/>
              <w:bCs/>
              <w:sz w:val="24"/>
              <w:szCs w:val="24"/>
            </w:rPr>
            <w:t>Nombre del proyecto:</w:t>
          </w:r>
          <w:r w:rsidRPr="00663E1E">
            <w:rPr>
              <w:rFonts w:ascii="Times New Roman" w:hAnsi="Times New Roman"/>
              <w:sz w:val="24"/>
              <w:szCs w:val="24"/>
            </w:rPr>
            <w:t>SOCIEDAD PUERTO BRISA S.A.</w:t>
          </w:r>
        </w:p>
        <w:p w14:paraId="24276CC4" w14:textId="77777777" w:rsidR="00274429" w:rsidRPr="00F23112" w:rsidRDefault="00274429" w:rsidP="00E60BAB">
          <w:pPr>
            <w:pStyle w:val="Prrafodelista"/>
            <w:numPr>
              <w:ilvl w:val="0"/>
              <w:numId w:val="115"/>
            </w:numPr>
            <w:spacing w:line="259" w:lineRule="auto"/>
            <w:jc w:val="both"/>
            <w:rPr>
              <w:rFonts w:ascii="Times New Roman" w:hAnsi="Times New Roman"/>
              <w:b/>
              <w:bCs/>
              <w:sz w:val="24"/>
              <w:szCs w:val="24"/>
            </w:rPr>
          </w:pPr>
          <w:r w:rsidRPr="006D56DF">
            <w:rPr>
              <w:rFonts w:ascii="Times New Roman" w:hAnsi="Times New Roman"/>
              <w:b/>
              <w:bCs/>
              <w:sz w:val="24"/>
              <w:szCs w:val="24"/>
            </w:rPr>
            <w:t>Términos significativos del acuerdo que puedan afectar su valor, el calendario y la certeza de los flujos</w:t>
          </w:r>
        </w:p>
        <w:p w14:paraId="178470B3" w14:textId="2125AF47"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valor:</w:t>
          </w:r>
        </w:p>
        <w:p w14:paraId="4EE4402B" w14:textId="77777777" w:rsidR="00274429" w:rsidRPr="00663E1E" w:rsidRDefault="00274429" w:rsidP="00274429">
          <w:pPr>
            <w:jc w:val="both"/>
            <w:rPr>
              <w:rFonts w:ascii="Times New Roman" w:hAnsi="Times New Roman"/>
              <w:sz w:val="24"/>
              <w:szCs w:val="24"/>
            </w:rPr>
          </w:pPr>
          <w:r w:rsidRPr="00443158">
            <w:rPr>
              <w:rFonts w:ascii="Times New Roman" w:hAnsi="Times New Roman"/>
              <w:b/>
              <w:bCs/>
              <w:sz w:val="24"/>
              <w:szCs w:val="24"/>
            </w:rPr>
            <w:t xml:space="preserve">1: Tarifas: </w:t>
          </w:r>
          <w:r w:rsidRPr="00663E1E">
            <w:rPr>
              <w:rFonts w:ascii="Times New Roman" w:hAnsi="Times New Roman"/>
              <w:sz w:val="24"/>
              <w:szCs w:val="24"/>
            </w:rPr>
            <w:t>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w:t>
          </w:r>
        </w:p>
        <w:p w14:paraId="257E93DB" w14:textId="77777777" w:rsidR="00274429" w:rsidRPr="00663E1E" w:rsidRDefault="00274429" w:rsidP="00274429">
          <w:pPr>
            <w:jc w:val="both"/>
            <w:rPr>
              <w:rFonts w:ascii="Times New Roman" w:hAnsi="Times New Roman"/>
              <w:sz w:val="24"/>
              <w:szCs w:val="24"/>
            </w:rPr>
          </w:pPr>
          <w:r w:rsidRPr="00443158">
            <w:rPr>
              <w:rFonts w:ascii="Times New Roman" w:hAnsi="Times New Roman"/>
              <w:b/>
              <w:bCs/>
              <w:sz w:val="24"/>
              <w:szCs w:val="24"/>
            </w:rPr>
            <w:t xml:space="preserve">2: Contraprestación: </w:t>
          </w:r>
          <w:r w:rsidRPr="00663E1E">
            <w:rPr>
              <w:rFonts w:ascii="Times New Roman" w:hAnsi="Times New Roman"/>
              <w:sz w:val="24"/>
              <w:szCs w:val="24"/>
            </w:rPr>
            <w:t>De acuerdo con el último documento contractual vigente la metodología de contraprestación vigente es CONPES 3744 de 2013 (Componentes Fijo y Variable). A febrero de 2022 el CONCESIONARIO debió pagar la suma de USD $515.458,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Municipio de Dibulla (Guajira).</w:t>
          </w:r>
        </w:p>
        <w:p w14:paraId="03FAF10F" w14:textId="77777777" w:rsidR="00274429" w:rsidRPr="00663E1E" w:rsidRDefault="00274429" w:rsidP="00274429">
          <w:pPr>
            <w:jc w:val="both"/>
            <w:rPr>
              <w:rFonts w:ascii="Times New Roman" w:hAnsi="Times New Roman"/>
              <w:sz w:val="24"/>
              <w:szCs w:val="24"/>
            </w:rPr>
          </w:pPr>
          <w:r w:rsidRPr="00443158">
            <w:rPr>
              <w:rFonts w:ascii="Times New Roman" w:hAnsi="Times New Roman"/>
              <w:b/>
              <w:bCs/>
              <w:sz w:val="24"/>
              <w:szCs w:val="24"/>
            </w:rPr>
            <w:lastRenderedPageBreak/>
            <w:t xml:space="preserve">3: Plan de Inversiones: </w:t>
          </w:r>
          <w:r w:rsidRPr="00663E1E">
            <w:rPr>
              <w:rFonts w:ascii="Times New Roman" w:hAnsi="Times New Roman"/>
              <w:sz w:val="24"/>
              <w:szCs w:val="24"/>
            </w:rPr>
            <w:t>Está establecido en la cláusula séptima del contrato, modificado por la Otrosí No.1 de 2014 que estableció en la cláusula quinta, el plan de inversión será de USD $ 70.917.060 en valores corrientes.</w:t>
          </w:r>
        </w:p>
        <w:p w14:paraId="4CFE7E47" w14:textId="77777777" w:rsidR="00274429" w:rsidRPr="00663E1E" w:rsidRDefault="00274429" w:rsidP="00274429">
          <w:pPr>
            <w:jc w:val="both"/>
            <w:rPr>
              <w:rFonts w:ascii="Times New Roman" w:hAnsi="Times New Roman"/>
              <w:sz w:val="24"/>
              <w:szCs w:val="24"/>
            </w:rPr>
          </w:pPr>
          <w:r w:rsidRPr="00443158">
            <w:rPr>
              <w:rFonts w:ascii="Times New Roman" w:hAnsi="Times New Roman"/>
              <w:b/>
              <w:bCs/>
              <w:sz w:val="24"/>
              <w:szCs w:val="24"/>
            </w:rPr>
            <w:t xml:space="preserve">Obligaciones del CONCESIONARIO: </w:t>
          </w:r>
          <w:r w:rsidRPr="00663E1E">
            <w:rPr>
              <w:rFonts w:ascii="Times New Roman" w:hAnsi="Times New Roman"/>
              <w:sz w:val="24"/>
              <w:szCs w:val="24"/>
            </w:rPr>
            <w:t xml:space="preserve">se encuentran descritas en la cláusula décima quinta. </w:t>
          </w:r>
        </w:p>
        <w:p w14:paraId="5A3F3B9D" w14:textId="77777777" w:rsidR="00274429" w:rsidRPr="00443158" w:rsidRDefault="00274429" w:rsidP="00274429">
          <w:pPr>
            <w:jc w:val="both"/>
            <w:rPr>
              <w:rFonts w:ascii="Times New Roman" w:hAnsi="Times New Roman"/>
              <w:b/>
              <w:bCs/>
              <w:sz w:val="24"/>
              <w:szCs w:val="24"/>
            </w:rPr>
          </w:pPr>
          <w:r w:rsidRPr="00443158">
            <w:rPr>
              <w:rFonts w:ascii="Times New Roman" w:hAnsi="Times New Roman"/>
              <w:b/>
              <w:bCs/>
              <w:sz w:val="24"/>
              <w:szCs w:val="24"/>
            </w:rPr>
            <w:t xml:space="preserve">Multas y sanciones: </w:t>
          </w:r>
          <w:r w:rsidRPr="00663E1E">
            <w:rPr>
              <w:rFonts w:ascii="Times New Roman" w:hAnsi="Times New Roman"/>
              <w:sz w:val="24"/>
              <w:szCs w:val="24"/>
            </w:rPr>
            <w:t>Están establecidas en la cláusula décima octava.</w:t>
          </w:r>
          <w:r w:rsidRPr="00443158">
            <w:rPr>
              <w:rFonts w:ascii="Times New Roman" w:hAnsi="Times New Roman"/>
              <w:b/>
              <w:bCs/>
              <w:sz w:val="24"/>
              <w:szCs w:val="24"/>
            </w:rPr>
            <w:t xml:space="preserve"> </w:t>
          </w:r>
        </w:p>
        <w:p w14:paraId="46DEDD5C" w14:textId="77777777" w:rsidR="00274429" w:rsidRPr="00663E1E" w:rsidRDefault="00274429" w:rsidP="00274429">
          <w:pPr>
            <w:jc w:val="both"/>
            <w:rPr>
              <w:rFonts w:ascii="Times New Roman" w:hAnsi="Times New Roman"/>
              <w:sz w:val="24"/>
              <w:szCs w:val="24"/>
            </w:rPr>
          </w:pPr>
          <w:r w:rsidRPr="00443158">
            <w:rPr>
              <w:rFonts w:ascii="Times New Roman" w:hAnsi="Times New Roman"/>
              <w:b/>
              <w:bCs/>
              <w:sz w:val="24"/>
              <w:szCs w:val="24"/>
            </w:rPr>
            <w:t xml:space="preserve">Penal pecuniario: </w:t>
          </w:r>
          <w:r w:rsidRPr="00663E1E">
            <w:rPr>
              <w:rFonts w:ascii="Times New Roman" w:hAnsi="Times New Roman"/>
              <w:sz w:val="24"/>
              <w:szCs w:val="24"/>
            </w:rPr>
            <w:t>En la cláusula décima novena se establece que en el evento en que el INCO hoy ANI declare la caducidad o el incumplimiento del presente contrato se podrá imponer una penalidad pecuniaria.</w:t>
          </w:r>
        </w:p>
        <w:p w14:paraId="6EDEFEC4" w14:textId="77777777" w:rsidR="00274429" w:rsidRDefault="00274429" w:rsidP="00274429">
          <w:pPr>
            <w:jc w:val="both"/>
            <w:rPr>
              <w:rFonts w:ascii="Times New Roman" w:hAnsi="Times New Roman"/>
              <w:b/>
              <w:bCs/>
              <w:sz w:val="24"/>
              <w:szCs w:val="24"/>
            </w:rPr>
          </w:pPr>
          <w:r w:rsidRPr="004C1095">
            <w:rPr>
              <w:rFonts w:ascii="Times New Roman" w:hAnsi="Times New Roman"/>
              <w:b/>
              <w:bCs/>
              <w:sz w:val="24"/>
              <w:szCs w:val="24"/>
            </w:rPr>
            <w:t>Términos de calendario:</w:t>
          </w:r>
        </w:p>
        <w:p w14:paraId="7BE09811" w14:textId="77777777" w:rsidR="00274429" w:rsidRPr="00663E1E" w:rsidRDefault="00274429" w:rsidP="00274429">
          <w:pPr>
            <w:jc w:val="both"/>
            <w:rPr>
              <w:rFonts w:ascii="Times New Roman" w:hAnsi="Times New Roman"/>
              <w:sz w:val="24"/>
              <w:szCs w:val="24"/>
            </w:rPr>
          </w:pPr>
          <w:r w:rsidRPr="00443158">
            <w:rPr>
              <w:rFonts w:ascii="Times New Roman" w:hAnsi="Times New Roman"/>
              <w:b/>
              <w:bCs/>
              <w:sz w:val="24"/>
              <w:szCs w:val="24"/>
            </w:rPr>
            <w:t xml:space="preserve">1: Tarifas: </w:t>
          </w:r>
          <w:r w:rsidRPr="00663E1E">
            <w:rPr>
              <w:rFonts w:ascii="Times New Roman" w:hAnsi="Times New Roman"/>
              <w:sz w:val="24"/>
              <w:szCs w:val="24"/>
            </w:rPr>
            <w:t>Aprobadas según la metodología establecida por la Superintendencia General de Puertos hoy Superintendencia de Transporte.</w:t>
          </w:r>
        </w:p>
        <w:p w14:paraId="7236AF8C" w14:textId="77777777" w:rsidR="00274429" w:rsidRPr="00663E1E" w:rsidRDefault="00274429" w:rsidP="00274429">
          <w:pPr>
            <w:jc w:val="both"/>
            <w:rPr>
              <w:rFonts w:ascii="Times New Roman" w:hAnsi="Times New Roman"/>
              <w:sz w:val="24"/>
              <w:szCs w:val="24"/>
            </w:rPr>
          </w:pPr>
          <w:r w:rsidRPr="00443158">
            <w:rPr>
              <w:rFonts w:ascii="Times New Roman" w:hAnsi="Times New Roman"/>
              <w:b/>
              <w:bCs/>
              <w:sz w:val="24"/>
              <w:szCs w:val="24"/>
            </w:rPr>
            <w:t xml:space="preserve">2: Contraprestación portuaria: </w:t>
          </w:r>
          <w:r w:rsidRPr="00663E1E">
            <w:rPr>
              <w:rFonts w:ascii="Times New Roman" w:hAnsi="Times New Roman"/>
              <w:sz w:val="24"/>
              <w:szCs w:val="24"/>
            </w:rPr>
            <w:t>Anexo 2 Conpes 3744 de 2013 “(…) Antes de finalizar los meses de febrero cada concesionario deberá corregir su liquidación del año anterior según el movimiento de carga real y la indexación del valor de referencia por metro cuadrado, del avalúo de la infraestructura concesionada y de los cargos, así como realizar el pago anticipado del año en curso con base en lo proyectado en el FCL definitivo”</w:t>
          </w:r>
        </w:p>
        <w:p w14:paraId="36F972F0" w14:textId="77777777" w:rsidR="00274429" w:rsidRPr="00663E1E" w:rsidRDefault="00274429" w:rsidP="00274429">
          <w:pPr>
            <w:jc w:val="both"/>
            <w:rPr>
              <w:rFonts w:ascii="Times New Roman" w:hAnsi="Times New Roman"/>
              <w:sz w:val="24"/>
              <w:szCs w:val="24"/>
            </w:rPr>
          </w:pPr>
          <w:r w:rsidRPr="00443158">
            <w:rPr>
              <w:rFonts w:ascii="Times New Roman" w:hAnsi="Times New Roman"/>
              <w:b/>
              <w:bCs/>
              <w:sz w:val="24"/>
              <w:szCs w:val="24"/>
            </w:rPr>
            <w:t xml:space="preserve">3: Plan de inversiones: </w:t>
          </w:r>
          <w:r w:rsidRPr="00663E1E">
            <w:rPr>
              <w:rFonts w:ascii="Times New Roman" w:hAnsi="Times New Roman"/>
              <w:sz w:val="24"/>
              <w:szCs w:val="24"/>
            </w:rPr>
            <w:t xml:space="preserve">Está establecido en la cláusula séptima del contrato, modificado por la Otrosí No.1 de 2014 ejecutado en los años 2010 y 2011. Lo anterior, teniendo en cuenta lo decidido por el panel de amigable componedor y lo pactado en el acta de acuerdo cumplimiento de la decisión del amigable componedor del 22 de septiembre de 2020. </w:t>
          </w:r>
        </w:p>
        <w:p w14:paraId="1ABB3C61" w14:textId="77777777" w:rsidR="00274429" w:rsidRPr="00663E1E" w:rsidRDefault="00274429" w:rsidP="00274429">
          <w:pPr>
            <w:jc w:val="both"/>
            <w:rPr>
              <w:rFonts w:ascii="Times New Roman" w:hAnsi="Times New Roman"/>
              <w:sz w:val="24"/>
              <w:szCs w:val="24"/>
            </w:rPr>
          </w:pPr>
          <w:r w:rsidRPr="00443158">
            <w:rPr>
              <w:rFonts w:ascii="Times New Roman" w:hAnsi="Times New Roman"/>
              <w:b/>
              <w:bCs/>
              <w:sz w:val="24"/>
              <w:szCs w:val="24"/>
            </w:rPr>
            <w:t xml:space="preserve">4: Multas: </w:t>
          </w:r>
          <w:r w:rsidRPr="00663E1E">
            <w:rPr>
              <w:rFonts w:ascii="Times New Roman" w:hAnsi="Times New Roman"/>
              <w:sz w:val="24"/>
              <w:szCs w:val="24"/>
            </w:rPr>
            <w:t>Están establecidas en la cláusula décima octava del Contrato de Concesión 009 de 2010.</w:t>
          </w:r>
        </w:p>
        <w:p w14:paraId="1C080AE4" w14:textId="77777777"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certeza de flujos de efectivo futuros:</w:t>
          </w:r>
        </w:p>
        <w:p w14:paraId="7B968266" w14:textId="77777777" w:rsidR="00274429" w:rsidRPr="00663E1E" w:rsidRDefault="00274429" w:rsidP="00274429">
          <w:pPr>
            <w:jc w:val="both"/>
            <w:rPr>
              <w:rFonts w:ascii="Times New Roman" w:hAnsi="Times New Roman"/>
              <w:sz w:val="24"/>
              <w:szCs w:val="24"/>
            </w:rPr>
          </w:pPr>
          <w:r w:rsidRPr="00663E1E">
            <w:rPr>
              <w:rFonts w:ascii="Times New Roman" w:hAnsi="Times New Roman"/>
              <w:sz w:val="24"/>
              <w:szCs w:val="24"/>
            </w:rPr>
            <w:t xml:space="preserve">Se permite al CONCESIONARIO la ocupación en forma temporal y exclusiva de una zona de playas, de bajamar y aguas marítimas accesorias, para la construcción, operación y el desarrollo de actividades portuarias de servicio público, conforme lo establece la Cláusula Primera del Contrato. El área entregada en Concesión se encuentra ubicada en la zona de portuaria de la Guajira, en el corregimiento de Mingueo Municipio de Dibulla departamento de la Guajira, por un término de veinte (20) años a cambio de la contraprestación establecida en la Cláusula Octava de este contrato. </w:t>
          </w:r>
        </w:p>
        <w:p w14:paraId="58157E63" w14:textId="77777777" w:rsidR="00274429" w:rsidRPr="00663E1E" w:rsidRDefault="00274429" w:rsidP="00274429">
          <w:pPr>
            <w:jc w:val="both"/>
            <w:rPr>
              <w:rFonts w:ascii="Times New Roman" w:hAnsi="Times New Roman"/>
              <w:sz w:val="24"/>
              <w:szCs w:val="24"/>
            </w:rPr>
          </w:pPr>
          <w:r w:rsidRPr="00663E1E">
            <w:rPr>
              <w:rFonts w:ascii="Times New Roman" w:hAnsi="Times New Roman"/>
              <w:sz w:val="24"/>
              <w:szCs w:val="24"/>
            </w:rPr>
            <w:t>Cláusula Sexta parágrafo 8.1 El valor a pagar por concepto de contraprestación por Zona de Uso público el 80% le corresponde a la Nación-INVIAS y el 20 % al Municipio de Dibulla Departamento de la Guajira.</w:t>
          </w:r>
        </w:p>
        <w:p w14:paraId="4B9E7534" w14:textId="77777777" w:rsidR="00274429" w:rsidRPr="00443158" w:rsidRDefault="00274429" w:rsidP="00E60BAB">
          <w:pPr>
            <w:pStyle w:val="Prrafodelista"/>
            <w:numPr>
              <w:ilvl w:val="0"/>
              <w:numId w:val="115"/>
            </w:numPr>
            <w:spacing w:line="259" w:lineRule="auto"/>
            <w:jc w:val="both"/>
            <w:rPr>
              <w:rFonts w:ascii="Times New Roman" w:hAnsi="Times New Roman"/>
              <w:b/>
              <w:bCs/>
              <w:sz w:val="24"/>
              <w:szCs w:val="24"/>
            </w:rPr>
          </w:pPr>
          <w:r w:rsidRPr="00443158">
            <w:rPr>
              <w:rFonts w:ascii="Times New Roman" w:hAnsi="Times New Roman"/>
              <w:b/>
              <w:bCs/>
              <w:sz w:val="24"/>
              <w:szCs w:val="24"/>
            </w:rPr>
            <w:t>Naturaleza y alcance del derecho a utilizar activos especificados, de los aspectos pactados en torno a lo que se espera que el concesionario proporcione en relación con el acuerdo de concesión (Se requiere ser breves, precisos, y concisos en la redacción)</w:t>
          </w:r>
        </w:p>
        <w:p w14:paraId="1903328C" w14:textId="77777777" w:rsidR="00274429" w:rsidRDefault="00274429" w:rsidP="00274429">
          <w:pPr>
            <w:jc w:val="both"/>
            <w:rPr>
              <w:rFonts w:ascii="Times New Roman" w:hAnsi="Times New Roman"/>
              <w:b/>
              <w:bCs/>
              <w:sz w:val="24"/>
              <w:szCs w:val="24"/>
            </w:rPr>
          </w:pPr>
          <w:r w:rsidRPr="00217110">
            <w:rPr>
              <w:rFonts w:ascii="Times New Roman" w:hAnsi="Times New Roman"/>
              <w:b/>
              <w:bCs/>
              <w:sz w:val="24"/>
              <w:szCs w:val="24"/>
            </w:rPr>
            <w:lastRenderedPageBreak/>
            <w:t>Naturaleza y alcance del derecho de uso de los activos</w:t>
          </w:r>
        </w:p>
        <w:p w14:paraId="2AB6D27E" w14:textId="567B45C0" w:rsidR="00274429" w:rsidRPr="00663E1E" w:rsidRDefault="00274429" w:rsidP="00274429">
          <w:pPr>
            <w:jc w:val="both"/>
            <w:rPr>
              <w:rFonts w:ascii="Times New Roman" w:hAnsi="Times New Roman"/>
              <w:sz w:val="24"/>
              <w:szCs w:val="24"/>
            </w:rPr>
          </w:pPr>
          <w:r w:rsidRPr="003E5FA9">
            <w:rPr>
              <w:rFonts w:ascii="Times New Roman" w:hAnsi="Times New Roman"/>
              <w:b/>
              <w:bCs/>
              <w:sz w:val="24"/>
              <w:szCs w:val="24"/>
            </w:rPr>
            <w:t>Descripción:</w:t>
          </w:r>
          <w:r w:rsidRPr="00663E1E">
            <w:rPr>
              <w:rFonts w:ascii="Times New Roman" w:hAnsi="Times New Roman"/>
              <w:sz w:val="24"/>
              <w:szCs w:val="24"/>
            </w:rPr>
            <w:t>Descripción del proyecto, especificaciones técnicas, modalidades de operación: las condiciones especiales de operación del puerto están establecidas en la cláusula cuarta del otrosí No. 1 de 2014.</w:t>
          </w:r>
        </w:p>
        <w:p w14:paraId="42B5F700" w14:textId="77777777" w:rsidR="00274429" w:rsidRPr="00663E1E" w:rsidRDefault="00274429" w:rsidP="00274429">
          <w:pPr>
            <w:jc w:val="both"/>
            <w:rPr>
              <w:rFonts w:ascii="Times New Roman" w:hAnsi="Times New Roman"/>
              <w:sz w:val="24"/>
              <w:szCs w:val="24"/>
            </w:rPr>
          </w:pPr>
          <w:r w:rsidRPr="00663E1E">
            <w:rPr>
              <w:rFonts w:ascii="Times New Roman" w:hAnsi="Times New Roman"/>
              <w:sz w:val="24"/>
              <w:szCs w:val="24"/>
            </w:rPr>
            <w:t xml:space="preserve"> Área entregada en concesión: La descripción de la ubicación, linderos y extensión de los bienes de uso público (playas y terrenos de baja mar, zonas marítimas accesorias de maniobras) entregados en concesión están establecidos en la cláusula segunda del contrato de concesión portuaria No. 009 de 2010. </w:t>
          </w:r>
        </w:p>
        <w:p w14:paraId="59D1A2ED" w14:textId="77777777" w:rsidR="00274429" w:rsidRPr="00663E1E" w:rsidRDefault="00274429" w:rsidP="00274429">
          <w:pPr>
            <w:jc w:val="both"/>
            <w:rPr>
              <w:rFonts w:ascii="Times New Roman" w:hAnsi="Times New Roman"/>
              <w:sz w:val="24"/>
              <w:szCs w:val="24"/>
            </w:rPr>
          </w:pPr>
          <w:r w:rsidRPr="00663E1E">
            <w:rPr>
              <w:rFonts w:ascii="Times New Roman" w:hAnsi="Times New Roman"/>
              <w:sz w:val="24"/>
              <w:szCs w:val="24"/>
            </w:rPr>
            <w:t>Infraestructura y equipos entregados en concesión: en el contrato de concesión portuaria no fueron entregados activos relacionados con infraestructura y equipos, el plan de inversiones desarrolla la infraestructura y la adquisición de equipos para su posterior reversión a la Nación.</w:t>
          </w:r>
        </w:p>
        <w:p w14:paraId="5A643576" w14:textId="77777777" w:rsidR="00274429" w:rsidRPr="009A46BB" w:rsidRDefault="00274429" w:rsidP="00274429">
          <w:pPr>
            <w:jc w:val="both"/>
            <w:rPr>
              <w:rFonts w:ascii="Times New Roman" w:hAnsi="Times New Roman"/>
              <w:sz w:val="24"/>
              <w:szCs w:val="24"/>
            </w:rPr>
          </w:pPr>
          <w:r w:rsidRPr="003E5FA9">
            <w:rPr>
              <w:rFonts w:ascii="Times New Roman" w:hAnsi="Times New Roman"/>
              <w:b/>
              <w:bCs/>
              <w:sz w:val="24"/>
              <w:szCs w:val="24"/>
            </w:rPr>
            <w:t>Observaciones:</w:t>
          </w:r>
          <w:r>
            <w:rPr>
              <w:rFonts w:ascii="Times New Roman" w:hAnsi="Times New Roman"/>
              <w:b/>
              <w:bCs/>
              <w:sz w:val="24"/>
              <w:szCs w:val="24"/>
            </w:rPr>
            <w:t xml:space="preserve"> </w:t>
          </w:r>
        </w:p>
        <w:p w14:paraId="5163E820" w14:textId="77777777" w:rsidR="00274429" w:rsidRDefault="00274429" w:rsidP="00274429">
          <w:pPr>
            <w:jc w:val="both"/>
            <w:rPr>
              <w:rFonts w:ascii="Times New Roman" w:hAnsi="Times New Roman"/>
              <w:b/>
              <w:bCs/>
              <w:sz w:val="24"/>
              <w:szCs w:val="24"/>
            </w:rPr>
          </w:pPr>
          <w:r w:rsidRPr="00197A12">
            <w:rPr>
              <w:rFonts w:ascii="Times New Roman" w:hAnsi="Times New Roman"/>
              <w:b/>
              <w:bCs/>
              <w:sz w:val="24"/>
              <w:szCs w:val="24"/>
            </w:rPr>
            <w:t>Retribución al concesionario</w:t>
          </w:r>
        </w:p>
        <w:p w14:paraId="00CD01EC" w14:textId="77777777" w:rsidR="00274429" w:rsidRPr="00663E1E" w:rsidRDefault="00274429" w:rsidP="00274429">
          <w:pPr>
            <w:jc w:val="both"/>
            <w:rPr>
              <w:rFonts w:ascii="Times New Roman" w:hAnsi="Times New Roman"/>
              <w:sz w:val="24"/>
              <w:szCs w:val="24"/>
            </w:rPr>
          </w:pPr>
          <w:r w:rsidRPr="003E5FA9">
            <w:rPr>
              <w:rFonts w:ascii="Times New Roman" w:hAnsi="Times New Roman"/>
              <w:b/>
              <w:bCs/>
              <w:sz w:val="24"/>
              <w:szCs w:val="24"/>
            </w:rPr>
            <w:t>Descripción:</w:t>
          </w:r>
          <w:r>
            <w:rPr>
              <w:rFonts w:ascii="Times New Roman" w:hAnsi="Times New Roman"/>
              <w:b/>
              <w:bCs/>
              <w:sz w:val="24"/>
              <w:szCs w:val="24"/>
            </w:rPr>
            <w:t xml:space="preserve"> </w:t>
          </w:r>
          <w:r w:rsidRPr="00663E1E">
            <w:rPr>
              <w:rFonts w:ascii="Times New Roman" w:hAnsi="Times New Roman"/>
              <w:sz w:val="24"/>
              <w:szCs w:val="24"/>
            </w:rPr>
            <w:t xml:space="preserve">En la Cláusula primera del presente contrato, se permite al CONCESIONARIO la ocupación en forma temporal y exclusiva de una zona de playas, de bajamar y aguas marítimas accesorias, para la construcción, operación y el desarrollo de actividades portuarias de servicio público. El área entregada en Concesión se encuentra ubicada en la zona de portuaria de la Guajira, en el corregimiento de Mingueo Municipio de Dibulla departamento de la Guajira, por un término de veinte (20) años a cambio de la contraprestación establecida en la Cláusula Octava de este contrato. </w:t>
          </w:r>
        </w:p>
        <w:p w14:paraId="53CF7C98" w14:textId="77777777" w:rsidR="00274429" w:rsidRDefault="00274429" w:rsidP="00274429">
          <w:pPr>
            <w:jc w:val="both"/>
            <w:rPr>
              <w:rFonts w:ascii="Times New Roman" w:hAnsi="Times New Roman"/>
              <w:b/>
              <w:bCs/>
              <w:sz w:val="24"/>
              <w:szCs w:val="24"/>
            </w:rPr>
          </w:pPr>
          <w:r w:rsidRPr="003E5FA9">
            <w:rPr>
              <w:rFonts w:ascii="Times New Roman" w:hAnsi="Times New Roman"/>
              <w:b/>
              <w:bCs/>
              <w:sz w:val="24"/>
              <w:szCs w:val="24"/>
            </w:rPr>
            <w:t>Tasa de retribución:</w:t>
          </w:r>
          <w:r>
            <w:rPr>
              <w:rFonts w:ascii="Times New Roman" w:hAnsi="Times New Roman"/>
              <w:b/>
              <w:bCs/>
              <w:sz w:val="24"/>
              <w:szCs w:val="24"/>
            </w:rPr>
            <w:t xml:space="preserve"> N/A</w:t>
          </w:r>
        </w:p>
        <w:p w14:paraId="59EBC675" w14:textId="77777777" w:rsidR="00274429" w:rsidRDefault="00274429" w:rsidP="00E60BAB">
          <w:pPr>
            <w:pStyle w:val="Prrafodelista"/>
            <w:numPr>
              <w:ilvl w:val="0"/>
              <w:numId w:val="115"/>
            </w:numPr>
            <w:spacing w:line="259" w:lineRule="auto"/>
            <w:jc w:val="both"/>
            <w:rPr>
              <w:rFonts w:ascii="Times New Roman" w:hAnsi="Times New Roman"/>
              <w:b/>
              <w:bCs/>
              <w:sz w:val="24"/>
              <w:szCs w:val="24"/>
            </w:rPr>
          </w:pPr>
          <w:r w:rsidRPr="00197A12">
            <w:rPr>
              <w:rFonts w:ascii="Times New Roman" w:hAnsi="Times New Roman"/>
              <w:b/>
              <w:bCs/>
              <w:sz w:val="24"/>
              <w:szCs w:val="24"/>
            </w:rPr>
            <w:t>Derechos a recibir activos especificados al final del acuerdo de concesión</w:t>
          </w:r>
        </w:p>
        <w:p w14:paraId="452969BE" w14:textId="77777777" w:rsidR="00274429" w:rsidRPr="009A46BB" w:rsidRDefault="00274429" w:rsidP="00274429">
          <w:pPr>
            <w:jc w:val="both"/>
            <w:rPr>
              <w:rFonts w:ascii="Times New Roman" w:hAnsi="Times New Roman"/>
              <w:sz w:val="24"/>
              <w:szCs w:val="24"/>
            </w:rPr>
          </w:pPr>
          <w:r w:rsidRPr="006D56DF">
            <w:rPr>
              <w:rFonts w:ascii="Times New Roman" w:hAnsi="Times New Roman"/>
              <w:b/>
              <w:bCs/>
              <w:sz w:val="24"/>
              <w:szCs w:val="24"/>
            </w:rPr>
            <w:t>Descripción:</w:t>
          </w:r>
          <w:r>
            <w:rPr>
              <w:rFonts w:ascii="Times New Roman" w:hAnsi="Times New Roman"/>
              <w:b/>
              <w:bCs/>
              <w:sz w:val="24"/>
              <w:szCs w:val="24"/>
            </w:rPr>
            <w:t xml:space="preserve"> </w:t>
          </w:r>
          <w:r w:rsidRPr="00663E1E">
            <w:rPr>
              <w:rFonts w:ascii="Times New Roman" w:hAnsi="Times New Roman"/>
              <w:sz w:val="24"/>
              <w:szCs w:val="24"/>
            </w:rPr>
            <w:t>De acuerdo con el Artículo 8º de la Ley 1 de 1991 en el modo portuario el concesionario no tiene derechos finales sobre activos, los debe revertir a la Nación al final del contrato de concesión.</w:t>
          </w:r>
        </w:p>
        <w:p w14:paraId="60CA85CC" w14:textId="77777777" w:rsidR="00274429" w:rsidRPr="00663E1E" w:rsidRDefault="00274429" w:rsidP="00274429">
          <w:pPr>
            <w:jc w:val="both"/>
            <w:rPr>
              <w:rFonts w:ascii="Times New Roman" w:hAnsi="Times New Roman"/>
              <w:b/>
              <w:bCs/>
              <w:sz w:val="24"/>
              <w:szCs w:val="24"/>
            </w:rPr>
          </w:pPr>
          <w:r w:rsidRPr="006D56DF">
            <w:rPr>
              <w:rFonts w:ascii="Times New Roman" w:hAnsi="Times New Roman"/>
              <w:b/>
              <w:bCs/>
              <w:sz w:val="24"/>
              <w:szCs w:val="24"/>
            </w:rPr>
            <w:t>Observaciones:</w:t>
          </w:r>
        </w:p>
        <w:p w14:paraId="547BD2E7" w14:textId="74904401" w:rsidR="00274429" w:rsidRDefault="00FD5EEB" w:rsidP="00E60BAB">
          <w:pPr>
            <w:pStyle w:val="Prrafodelista"/>
            <w:numPr>
              <w:ilvl w:val="0"/>
              <w:numId w:val="115"/>
            </w:numPr>
            <w:spacing w:line="259" w:lineRule="auto"/>
            <w:jc w:val="both"/>
            <w:rPr>
              <w:rFonts w:ascii="Times New Roman" w:hAnsi="Times New Roman"/>
              <w:b/>
              <w:bCs/>
              <w:sz w:val="24"/>
              <w:szCs w:val="24"/>
            </w:rPr>
          </w:pPr>
          <w:r>
            <w:rPr>
              <w:rFonts w:ascii="Times New Roman" w:hAnsi="Times New Roman"/>
              <w:b/>
              <w:bCs/>
              <w:sz w:val="24"/>
              <w:szCs w:val="24"/>
            </w:rPr>
            <w:t>No hay c</w:t>
          </w:r>
          <w:r w:rsidR="00274429" w:rsidRPr="00197A12">
            <w:rPr>
              <w:rFonts w:ascii="Times New Roman" w:hAnsi="Times New Roman"/>
              <w:b/>
              <w:bCs/>
              <w:sz w:val="24"/>
              <w:szCs w:val="24"/>
            </w:rPr>
            <w:t>ambios en el acuerdo de concesión que se realicen durante el periodo</w:t>
          </w:r>
          <w:r w:rsidR="00274429">
            <w:rPr>
              <w:rFonts w:ascii="Times New Roman" w:hAnsi="Times New Roman"/>
              <w:b/>
              <w:bCs/>
              <w:sz w:val="24"/>
              <w:szCs w:val="24"/>
            </w:rPr>
            <w:t xml:space="preserve"> fiscal</w:t>
          </w:r>
        </w:p>
        <w:p w14:paraId="2D56C20F" w14:textId="77777777" w:rsidR="00274429" w:rsidRPr="00663E1E" w:rsidRDefault="00274429" w:rsidP="00274429">
          <w:pPr>
            <w:pStyle w:val="Prrafodelista"/>
            <w:jc w:val="both"/>
            <w:rPr>
              <w:rFonts w:ascii="Times New Roman" w:hAnsi="Times New Roman"/>
              <w:b/>
              <w:bCs/>
              <w:sz w:val="24"/>
              <w:szCs w:val="24"/>
            </w:rPr>
          </w:pPr>
        </w:p>
        <w:p w14:paraId="431E4AF8" w14:textId="77777777" w:rsidR="00274429" w:rsidRPr="00197A12" w:rsidRDefault="00274429" w:rsidP="00274429">
          <w:pPr>
            <w:spacing w:after="0" w:line="240" w:lineRule="auto"/>
            <w:jc w:val="both"/>
            <w:rPr>
              <w:rFonts w:ascii="Times New Roman" w:hAnsi="Times New Roman"/>
              <w:b/>
              <w:bCs/>
              <w:sz w:val="24"/>
              <w:szCs w:val="24"/>
            </w:rPr>
          </w:pPr>
        </w:p>
        <w:p w14:paraId="30B8D6A8" w14:textId="77777777" w:rsidR="00274429" w:rsidRPr="009A46BB" w:rsidRDefault="00274429" w:rsidP="00274429">
          <w:pPr>
            <w:rPr>
              <w:rFonts w:ascii="Times New Roman" w:hAnsi="Times New Roman"/>
              <w:sz w:val="24"/>
              <w:szCs w:val="24"/>
            </w:rPr>
          </w:pPr>
        </w:p>
        <w:p w14:paraId="3E0FC638" w14:textId="77777777" w:rsidR="00274429" w:rsidRPr="00FD5EEB" w:rsidRDefault="00274429" w:rsidP="00274429">
          <w:pPr>
            <w:jc w:val="both"/>
            <w:rPr>
              <w:rFonts w:ascii="Times New Roman" w:hAnsi="Times New Roman"/>
              <w:b/>
              <w:bCs/>
              <w:sz w:val="24"/>
              <w:szCs w:val="24"/>
            </w:rPr>
          </w:pPr>
          <w:r w:rsidRPr="00FD5EEB">
            <w:rPr>
              <w:rFonts w:ascii="Times New Roman" w:hAnsi="Times New Roman"/>
              <w:b/>
              <w:bCs/>
              <w:sz w:val="24"/>
              <w:szCs w:val="24"/>
            </w:rPr>
            <w:t>SOCIEDAD ECOPETROL S. A</w:t>
          </w:r>
        </w:p>
        <w:p w14:paraId="7E342E5A" w14:textId="77777777" w:rsidR="00274429" w:rsidRPr="009A46BB" w:rsidRDefault="00274429" w:rsidP="00E60BAB">
          <w:pPr>
            <w:pStyle w:val="Prrafodelista"/>
            <w:numPr>
              <w:ilvl w:val="0"/>
              <w:numId w:val="113"/>
            </w:numPr>
            <w:spacing w:line="259" w:lineRule="auto"/>
            <w:jc w:val="both"/>
            <w:rPr>
              <w:rFonts w:ascii="Times New Roman" w:hAnsi="Times New Roman"/>
              <w:b/>
              <w:sz w:val="24"/>
              <w:szCs w:val="24"/>
            </w:rPr>
          </w:pPr>
          <w:r w:rsidRPr="007760D5">
            <w:rPr>
              <w:rFonts w:ascii="Times New Roman" w:hAnsi="Times New Roman"/>
              <w:b/>
              <w:bCs/>
              <w:sz w:val="24"/>
              <w:szCs w:val="24"/>
            </w:rPr>
            <w:t>Descripción del acuerdo</w:t>
          </w:r>
        </w:p>
        <w:p w14:paraId="32E334FF" w14:textId="646C6940" w:rsidR="00274429" w:rsidRPr="009A46BB" w:rsidRDefault="00274429" w:rsidP="3AB78B8A">
          <w:pPr>
            <w:spacing w:after="0"/>
            <w:jc w:val="both"/>
            <w:rPr>
              <w:rFonts w:ascii="Times New Roman" w:hAnsi="Times New Roman"/>
              <w:sz w:val="24"/>
              <w:szCs w:val="24"/>
            </w:rPr>
          </w:pPr>
          <w:r w:rsidRPr="009A46BB">
            <w:rPr>
              <w:rFonts w:ascii="Times New Roman" w:hAnsi="Times New Roman"/>
              <w:b/>
              <w:sz w:val="24"/>
              <w:szCs w:val="24"/>
            </w:rPr>
            <w:t>Número del acuerdo de concesión:</w:t>
          </w:r>
          <w:r w:rsidR="2AAEDD76" w:rsidRPr="45A1F4A2">
            <w:rPr>
              <w:rFonts w:ascii="Times New Roman" w:hAnsi="Times New Roman"/>
              <w:b/>
              <w:bCs/>
              <w:sz w:val="24"/>
              <w:szCs w:val="24"/>
            </w:rPr>
            <w:t xml:space="preserve"> </w:t>
          </w:r>
          <w:r w:rsidRPr="009A46BB">
            <w:rPr>
              <w:rFonts w:ascii="Times New Roman" w:hAnsi="Times New Roman"/>
              <w:sz w:val="24"/>
              <w:szCs w:val="24"/>
            </w:rPr>
            <w:t>Contrato de Concesión Portuaria Contrato 010 de 2010 - Otrosí No 001 de 2015. (Agencia Nacional de Infraestructura ANI – Ecopetrol)</w:t>
          </w:r>
        </w:p>
        <w:p w14:paraId="5174EFAE" w14:textId="793C92D8" w:rsidR="00274429" w:rsidRPr="009A46BB" w:rsidRDefault="00274429" w:rsidP="45A1F4A2">
          <w:pPr>
            <w:spacing w:after="0" w:afterAutospacing="1"/>
            <w:jc w:val="both"/>
            <w:rPr>
              <w:rFonts w:ascii="Times New Roman" w:hAnsi="Times New Roman"/>
              <w:sz w:val="24"/>
              <w:szCs w:val="24"/>
            </w:rPr>
          </w:pPr>
          <w:r w:rsidRPr="009A46BB">
            <w:rPr>
              <w:rFonts w:ascii="Times New Roman" w:hAnsi="Times New Roman"/>
              <w:b/>
              <w:sz w:val="24"/>
              <w:szCs w:val="24"/>
            </w:rPr>
            <w:lastRenderedPageBreak/>
            <w:t>Objeto / Descripción</w:t>
          </w:r>
          <w:r w:rsidRPr="009A46BB">
            <w:rPr>
              <w:rFonts w:ascii="Times New Roman" w:hAnsi="Times New Roman"/>
              <w:sz w:val="24"/>
              <w:szCs w:val="24"/>
            </w:rPr>
            <w:t>:</w:t>
          </w:r>
          <w:r w:rsidR="54D48A05" w:rsidRPr="45A1F4A2">
            <w:rPr>
              <w:rFonts w:ascii="Times New Roman" w:hAnsi="Times New Roman"/>
              <w:sz w:val="24"/>
              <w:szCs w:val="24"/>
            </w:rPr>
            <w:t xml:space="preserve"> </w:t>
          </w:r>
          <w:r w:rsidRPr="009A46BB">
            <w:rPr>
              <w:rFonts w:ascii="Times New Roman" w:hAnsi="Times New Roman"/>
              <w:sz w:val="24"/>
              <w:szCs w:val="24"/>
            </w:rPr>
            <w:t xml:space="preserve">En virtud del Contrato de concesión y sus modificaciones, se permite al CONCESIONARIO la materialización de la cesión parcial del Contrato de Concesión Portuaria 010 de 2010 suscrito con REFICAR S.A. a su matriz ECOPETROL S.A a fin de que ésta en su calidad </w:t>
          </w:r>
          <w:r w:rsidRPr="45A1F4A2">
            <w:rPr>
              <w:rFonts w:ascii="Times New Roman" w:hAnsi="Times New Roman"/>
              <w:sz w:val="24"/>
              <w:szCs w:val="24"/>
            </w:rPr>
            <w:t>de</w:t>
          </w:r>
          <w:r w:rsidR="185320C9" w:rsidRPr="45A1F4A2">
            <w:rPr>
              <w:rFonts w:ascii="Times New Roman" w:hAnsi="Times New Roman"/>
              <w:sz w:val="24"/>
              <w:szCs w:val="24"/>
            </w:rPr>
            <w:t xml:space="preserve"> </w:t>
          </w:r>
          <w:r w:rsidRPr="45A1F4A2">
            <w:rPr>
              <w:rFonts w:ascii="Times New Roman" w:hAnsi="Times New Roman"/>
              <w:sz w:val="24"/>
              <w:szCs w:val="24"/>
            </w:rPr>
            <w:t>CESIONARIO</w:t>
          </w:r>
          <w:r w:rsidRPr="009A46BB">
            <w:rPr>
              <w:rFonts w:ascii="Times New Roman" w:hAnsi="Times New Roman"/>
              <w:sz w:val="24"/>
              <w:szCs w:val="24"/>
            </w:rPr>
            <w:t xml:space="preserve"> CONCESIONARIO se encuentre autorizada bajo el régimen legal de concesión portuaria para la ocupación en forma temporal y exclusiva de los bienes de uso público propiedad de la Nación, localizados en el Distrito de Cartagena de Indias (Bolívar) y descritos en la CLÁUSULA 2,para la modernización y operación de los terminales de servicio privado denominados “Nestor Pineda” y “Refinería” así como las áreas cedidas por Reficar, ejecutando en los mismos el plan de inversiones descrito en la CLÁUSULA 11 del presente, a cambio de una contraprestación económica a favor de la Nación Instituto Nacional de Vías – INVIAS y el Distrito de Cartagena de Indias , en los términos descritos en la CLÁUSULA 12 del presente. </w:t>
          </w:r>
        </w:p>
        <w:p w14:paraId="0E1BC646" w14:textId="6005FA17" w:rsidR="00274429" w:rsidRPr="00CA5A6F" w:rsidRDefault="00274429" w:rsidP="3AB78B8A">
          <w:pPr>
            <w:spacing w:afterAutospacing="1"/>
            <w:rPr>
              <w:rFonts w:ascii="Times New Roman" w:hAnsi="Times New Roman"/>
              <w:sz w:val="24"/>
              <w:szCs w:val="24"/>
            </w:rPr>
          </w:pPr>
          <w:r w:rsidRPr="00521A07">
            <w:rPr>
              <w:rFonts w:ascii="Times New Roman" w:hAnsi="Times New Roman"/>
              <w:b/>
              <w:bCs/>
              <w:sz w:val="24"/>
              <w:szCs w:val="24"/>
            </w:rPr>
            <w:t>Valor inicial:</w:t>
          </w:r>
          <w:r w:rsidR="619BE782" w:rsidRPr="3AB78B8A">
            <w:rPr>
              <w:rFonts w:ascii="Times New Roman" w:hAnsi="Times New Roman"/>
              <w:b/>
              <w:bCs/>
              <w:sz w:val="24"/>
              <w:szCs w:val="24"/>
            </w:rPr>
            <w:t xml:space="preserve"> </w:t>
          </w:r>
          <w:r w:rsidRPr="00CA5A6F">
            <w:rPr>
              <w:rFonts w:ascii="Times New Roman" w:hAnsi="Times New Roman"/>
              <w:sz w:val="24"/>
              <w:szCs w:val="24"/>
            </w:rPr>
            <w:t>USD $14.531.935 Cláusula 12 Otrosí No 001 de 2015 / Contrato No 010 de 2010.</w:t>
          </w:r>
        </w:p>
        <w:p w14:paraId="5A9219A9" w14:textId="77777777" w:rsidR="00274429" w:rsidRPr="009A46BB" w:rsidRDefault="00274429" w:rsidP="3AB78B8A">
          <w:pPr>
            <w:spacing w:afterAutospacing="1"/>
            <w:jc w:val="both"/>
            <w:rPr>
              <w:rFonts w:ascii="Times New Roman" w:hAnsi="Times New Roman"/>
              <w:sz w:val="24"/>
              <w:szCs w:val="24"/>
            </w:rPr>
          </w:pPr>
          <w:r w:rsidRPr="00521A07">
            <w:rPr>
              <w:rFonts w:ascii="Times New Roman" w:hAnsi="Times New Roman"/>
              <w:b/>
              <w:bCs/>
              <w:sz w:val="24"/>
              <w:szCs w:val="24"/>
            </w:rPr>
            <w:t>Fecha de inicio:</w:t>
          </w:r>
          <w:r>
            <w:rPr>
              <w:rFonts w:ascii="Times New Roman" w:hAnsi="Times New Roman"/>
              <w:b/>
              <w:bCs/>
              <w:sz w:val="24"/>
              <w:szCs w:val="24"/>
            </w:rPr>
            <w:t xml:space="preserve"> </w:t>
          </w:r>
          <w:r w:rsidRPr="00CA5A6F">
            <w:rPr>
              <w:rFonts w:ascii="Times New Roman" w:hAnsi="Times New Roman"/>
              <w:sz w:val="24"/>
              <w:szCs w:val="24"/>
            </w:rPr>
            <w:t>24/12/2024</w:t>
          </w:r>
        </w:p>
        <w:p w14:paraId="31EF4502" w14:textId="77777777" w:rsidR="00274429" w:rsidRPr="009A46BB" w:rsidRDefault="00274429" w:rsidP="3AB78B8A">
          <w:pPr>
            <w:spacing w:afterAutospacing="1"/>
            <w:jc w:val="both"/>
            <w:rPr>
              <w:rFonts w:ascii="Times New Roman" w:hAnsi="Times New Roman"/>
              <w:sz w:val="24"/>
              <w:szCs w:val="24"/>
            </w:rPr>
          </w:pPr>
          <w:r w:rsidRPr="00521A07">
            <w:rPr>
              <w:rFonts w:ascii="Times New Roman" w:hAnsi="Times New Roman"/>
              <w:b/>
              <w:bCs/>
              <w:sz w:val="24"/>
              <w:szCs w:val="24"/>
            </w:rPr>
            <w:t>Fecha de finalización estimada:</w:t>
          </w:r>
          <w:r>
            <w:rPr>
              <w:rFonts w:ascii="Times New Roman" w:hAnsi="Times New Roman"/>
              <w:b/>
              <w:bCs/>
              <w:sz w:val="24"/>
              <w:szCs w:val="24"/>
            </w:rPr>
            <w:t xml:space="preserve"> </w:t>
          </w:r>
          <w:r w:rsidRPr="00CA5A6F">
            <w:rPr>
              <w:rFonts w:ascii="Times New Roman" w:hAnsi="Times New Roman"/>
              <w:sz w:val="24"/>
              <w:szCs w:val="24"/>
            </w:rPr>
            <w:t>23/12/2035</w:t>
          </w:r>
        </w:p>
        <w:p w14:paraId="433724AF" w14:textId="77777777" w:rsidR="00274429" w:rsidRPr="009A46BB" w:rsidRDefault="00274429" w:rsidP="3AB78B8A">
          <w:pPr>
            <w:spacing w:afterAutospacing="1"/>
            <w:jc w:val="both"/>
            <w:rPr>
              <w:rFonts w:ascii="Times New Roman" w:hAnsi="Times New Roman"/>
              <w:sz w:val="24"/>
              <w:szCs w:val="24"/>
            </w:rPr>
          </w:pPr>
          <w:r w:rsidRPr="00521A07">
            <w:rPr>
              <w:rFonts w:ascii="Times New Roman" w:hAnsi="Times New Roman"/>
              <w:b/>
              <w:bCs/>
              <w:sz w:val="24"/>
              <w:szCs w:val="24"/>
            </w:rPr>
            <w:t>Tipo ID:</w:t>
          </w:r>
          <w:r>
            <w:rPr>
              <w:rFonts w:ascii="Times New Roman" w:hAnsi="Times New Roman"/>
              <w:b/>
              <w:bCs/>
              <w:sz w:val="24"/>
              <w:szCs w:val="24"/>
            </w:rPr>
            <w:t xml:space="preserve"> </w:t>
          </w:r>
          <w:r w:rsidRPr="00FD5EEB">
            <w:rPr>
              <w:rFonts w:ascii="Times New Roman" w:hAnsi="Times New Roman"/>
              <w:sz w:val="24"/>
              <w:szCs w:val="24"/>
            </w:rPr>
            <w:t>NIT</w:t>
          </w:r>
        </w:p>
        <w:p w14:paraId="358727F0" w14:textId="77777777" w:rsidR="00274429" w:rsidRPr="009A46BB" w:rsidRDefault="00274429" w:rsidP="3AB78B8A">
          <w:pPr>
            <w:spacing w:afterAutospacing="1"/>
            <w:jc w:val="both"/>
            <w:rPr>
              <w:rFonts w:ascii="Times New Roman" w:hAnsi="Times New Roman"/>
              <w:sz w:val="24"/>
              <w:szCs w:val="24"/>
            </w:rPr>
          </w:pPr>
          <w:r w:rsidRPr="00521A07">
            <w:rPr>
              <w:rFonts w:ascii="Times New Roman" w:hAnsi="Times New Roman"/>
              <w:b/>
              <w:bCs/>
              <w:sz w:val="24"/>
              <w:szCs w:val="24"/>
            </w:rPr>
            <w:t>Número ID:</w:t>
          </w:r>
          <w:r>
            <w:rPr>
              <w:rFonts w:ascii="Times New Roman" w:hAnsi="Times New Roman"/>
              <w:b/>
              <w:bCs/>
              <w:sz w:val="24"/>
              <w:szCs w:val="24"/>
            </w:rPr>
            <w:t xml:space="preserve"> </w:t>
          </w:r>
          <w:r w:rsidRPr="00CA5A6F">
            <w:rPr>
              <w:rFonts w:ascii="Times New Roman" w:hAnsi="Times New Roman"/>
              <w:sz w:val="24"/>
              <w:szCs w:val="24"/>
            </w:rPr>
            <w:t>899.999.068-1</w:t>
          </w:r>
        </w:p>
        <w:p w14:paraId="1D13FE47" w14:textId="66C8C3B3" w:rsidR="00274429" w:rsidRPr="009A46BB" w:rsidRDefault="00274429" w:rsidP="3AB78B8A">
          <w:pPr>
            <w:spacing w:afterAutospacing="1"/>
            <w:jc w:val="both"/>
            <w:rPr>
              <w:rFonts w:ascii="Times New Roman" w:hAnsi="Times New Roman"/>
              <w:sz w:val="24"/>
              <w:szCs w:val="24"/>
            </w:rPr>
          </w:pPr>
          <w:r w:rsidRPr="00521A07">
            <w:rPr>
              <w:rFonts w:ascii="Times New Roman" w:hAnsi="Times New Roman"/>
              <w:b/>
              <w:bCs/>
              <w:sz w:val="24"/>
              <w:szCs w:val="24"/>
            </w:rPr>
            <w:t>Razón social del concesionario:</w:t>
          </w:r>
          <w:r w:rsidR="3A885B01" w:rsidRPr="3AB78B8A">
            <w:rPr>
              <w:rFonts w:ascii="Times New Roman" w:hAnsi="Times New Roman"/>
              <w:b/>
              <w:bCs/>
              <w:sz w:val="24"/>
              <w:szCs w:val="24"/>
            </w:rPr>
            <w:t xml:space="preserve"> </w:t>
          </w:r>
          <w:r w:rsidRPr="00CA5A6F">
            <w:rPr>
              <w:rFonts w:ascii="Times New Roman" w:hAnsi="Times New Roman"/>
              <w:sz w:val="24"/>
              <w:szCs w:val="24"/>
            </w:rPr>
            <w:t>SOCIEDAD ECOPETROL S. A</w:t>
          </w:r>
        </w:p>
        <w:p w14:paraId="230EA656" w14:textId="33B40574" w:rsidR="00274429" w:rsidRPr="009A46BB" w:rsidRDefault="00274429" w:rsidP="00274429">
          <w:pPr>
            <w:jc w:val="both"/>
            <w:rPr>
              <w:rFonts w:ascii="Times New Roman" w:hAnsi="Times New Roman"/>
              <w:sz w:val="24"/>
              <w:szCs w:val="24"/>
            </w:rPr>
          </w:pPr>
          <w:r w:rsidRPr="00521A07">
            <w:rPr>
              <w:rFonts w:ascii="Times New Roman" w:hAnsi="Times New Roman"/>
              <w:b/>
              <w:bCs/>
              <w:sz w:val="24"/>
              <w:szCs w:val="24"/>
            </w:rPr>
            <w:t>Nombre del proyecto:</w:t>
          </w:r>
          <w:r w:rsidR="6A4BA0DD" w:rsidRPr="3AB78B8A">
            <w:rPr>
              <w:rFonts w:ascii="Times New Roman" w:hAnsi="Times New Roman"/>
              <w:b/>
              <w:bCs/>
              <w:sz w:val="24"/>
              <w:szCs w:val="24"/>
            </w:rPr>
            <w:t xml:space="preserve"> </w:t>
          </w:r>
          <w:r w:rsidRPr="00CA5A6F">
            <w:rPr>
              <w:rFonts w:ascii="Times New Roman" w:hAnsi="Times New Roman"/>
              <w:sz w:val="24"/>
              <w:szCs w:val="24"/>
            </w:rPr>
            <w:t>SOCIEDAD ECOPETROL S. A</w:t>
          </w:r>
        </w:p>
        <w:p w14:paraId="04100218" w14:textId="77777777" w:rsidR="00274429" w:rsidRPr="00F23112" w:rsidRDefault="00274429" w:rsidP="00E60BAB">
          <w:pPr>
            <w:pStyle w:val="Prrafodelista"/>
            <w:numPr>
              <w:ilvl w:val="0"/>
              <w:numId w:val="113"/>
            </w:numPr>
            <w:spacing w:line="259" w:lineRule="auto"/>
            <w:jc w:val="both"/>
            <w:rPr>
              <w:rFonts w:ascii="Times New Roman" w:hAnsi="Times New Roman"/>
              <w:b/>
              <w:bCs/>
              <w:sz w:val="24"/>
              <w:szCs w:val="24"/>
            </w:rPr>
          </w:pPr>
          <w:r w:rsidRPr="006D56DF">
            <w:rPr>
              <w:rFonts w:ascii="Times New Roman" w:hAnsi="Times New Roman"/>
              <w:b/>
              <w:bCs/>
              <w:sz w:val="24"/>
              <w:szCs w:val="24"/>
            </w:rPr>
            <w:t>Términos significativos del acuerdo que puedan afectar su valor, el calendario y la certeza de los flujos</w:t>
          </w:r>
        </w:p>
        <w:p w14:paraId="752D05D1" w14:textId="2A31E014"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valor:</w:t>
          </w:r>
        </w:p>
        <w:p w14:paraId="5B451E7B" w14:textId="77777777" w:rsidR="00274429" w:rsidRPr="0054721F" w:rsidRDefault="00274429" w:rsidP="00274429">
          <w:pPr>
            <w:jc w:val="both"/>
            <w:rPr>
              <w:rFonts w:ascii="Times New Roman" w:hAnsi="Times New Roman"/>
              <w:sz w:val="24"/>
              <w:szCs w:val="24"/>
            </w:rPr>
          </w:pPr>
          <w:r w:rsidRPr="0054721F">
            <w:rPr>
              <w:rFonts w:ascii="Times New Roman" w:hAnsi="Times New Roman"/>
              <w:b/>
              <w:bCs/>
              <w:sz w:val="24"/>
              <w:szCs w:val="24"/>
            </w:rPr>
            <w:t xml:space="preserve">1: Tarifas: </w:t>
          </w:r>
          <w:r w:rsidRPr="0054721F">
            <w:rPr>
              <w:rFonts w:ascii="Times New Roman" w:hAnsi="Times New Roman"/>
              <w:sz w:val="24"/>
              <w:szCs w:val="24"/>
            </w:rPr>
            <w:t xml:space="preserve">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 </w:t>
          </w:r>
        </w:p>
        <w:p w14:paraId="05AF42C2" w14:textId="566E23AD" w:rsidR="00274429" w:rsidRPr="0054721F" w:rsidRDefault="00274429" w:rsidP="00274429">
          <w:pPr>
            <w:jc w:val="both"/>
            <w:rPr>
              <w:rFonts w:ascii="Times New Roman" w:hAnsi="Times New Roman"/>
              <w:sz w:val="24"/>
              <w:szCs w:val="24"/>
            </w:rPr>
          </w:pPr>
          <w:r w:rsidRPr="0054721F">
            <w:rPr>
              <w:rFonts w:ascii="Times New Roman" w:hAnsi="Times New Roman"/>
              <w:b/>
              <w:bCs/>
              <w:sz w:val="24"/>
              <w:szCs w:val="24"/>
            </w:rPr>
            <w:t xml:space="preserve">2: Contraprestación portuaria: </w:t>
          </w:r>
          <w:r w:rsidRPr="0054721F">
            <w:rPr>
              <w:rFonts w:ascii="Times New Roman" w:hAnsi="Times New Roman"/>
              <w:sz w:val="24"/>
              <w:szCs w:val="24"/>
            </w:rPr>
            <w:t>De acuerdo con el último documento contractual vigente la metodología de contraprestación vigente es CONPES 3744 de 2013 (Componentes Fijo y Variable). A febrero de 2023 el CONCESIONARIO debió pagar la suma de USD 1.650.263.El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distrito de Cartagena.</w:t>
          </w:r>
        </w:p>
        <w:p w14:paraId="2FA0B96F" w14:textId="77777777" w:rsidR="00274429" w:rsidRPr="0054721F" w:rsidRDefault="00274429" w:rsidP="00274429">
          <w:pPr>
            <w:jc w:val="both"/>
            <w:rPr>
              <w:rFonts w:ascii="Times New Roman" w:hAnsi="Times New Roman"/>
              <w:sz w:val="24"/>
              <w:szCs w:val="24"/>
            </w:rPr>
          </w:pPr>
          <w:r>
            <w:rPr>
              <w:rFonts w:ascii="Times New Roman" w:hAnsi="Times New Roman"/>
              <w:b/>
              <w:bCs/>
              <w:sz w:val="24"/>
              <w:szCs w:val="24"/>
            </w:rPr>
            <w:lastRenderedPageBreak/>
            <w:t xml:space="preserve">3. </w:t>
          </w:r>
          <w:r w:rsidRPr="0054721F">
            <w:rPr>
              <w:rFonts w:ascii="Times New Roman" w:hAnsi="Times New Roman"/>
              <w:b/>
              <w:bCs/>
              <w:sz w:val="24"/>
              <w:szCs w:val="24"/>
            </w:rPr>
            <w:t xml:space="preserve">Plan de Inversiones: </w:t>
          </w:r>
          <w:r w:rsidRPr="0054721F">
            <w:rPr>
              <w:rFonts w:ascii="Times New Roman" w:hAnsi="Times New Roman"/>
              <w:sz w:val="24"/>
              <w:szCs w:val="24"/>
            </w:rPr>
            <w:t>Está establecido en la cláusula primera del Otrosí No 002 de 2022 al Contrato 010 (A) por CINCUENTA YNUEVE MILLONES SEISCIENTOS SETENTA Y OCHO MIL OCHOCIENTOS CINCUENTA Y SEIS DÓLARES (59.678.856) Constantes de 2014.</w:t>
          </w:r>
        </w:p>
        <w:p w14:paraId="43F6B090" w14:textId="77777777" w:rsidR="00274429" w:rsidRPr="0054721F" w:rsidRDefault="00274429" w:rsidP="00274429">
          <w:pPr>
            <w:jc w:val="both"/>
            <w:rPr>
              <w:rFonts w:ascii="Times New Roman" w:hAnsi="Times New Roman"/>
              <w:sz w:val="24"/>
              <w:szCs w:val="24"/>
            </w:rPr>
          </w:pPr>
          <w:r w:rsidRPr="0054721F">
            <w:rPr>
              <w:rFonts w:ascii="Times New Roman" w:hAnsi="Times New Roman"/>
              <w:b/>
              <w:bCs/>
              <w:sz w:val="24"/>
              <w:szCs w:val="24"/>
            </w:rPr>
            <w:t xml:space="preserve">Obligaciones del CONCESIONARIO: </w:t>
          </w:r>
          <w:r w:rsidRPr="0054721F">
            <w:rPr>
              <w:rFonts w:ascii="Times New Roman" w:hAnsi="Times New Roman"/>
              <w:sz w:val="24"/>
              <w:szCs w:val="24"/>
            </w:rPr>
            <w:t>se encuentran descritas en la cláusula décima quinta.</w:t>
          </w:r>
        </w:p>
        <w:p w14:paraId="69E06AF6" w14:textId="77777777" w:rsidR="00274429" w:rsidRPr="0054721F" w:rsidRDefault="00274429" w:rsidP="00274429">
          <w:pPr>
            <w:jc w:val="both"/>
            <w:rPr>
              <w:rFonts w:ascii="Times New Roman" w:hAnsi="Times New Roman"/>
              <w:sz w:val="24"/>
              <w:szCs w:val="24"/>
            </w:rPr>
          </w:pPr>
          <w:r w:rsidRPr="0054721F">
            <w:rPr>
              <w:rFonts w:ascii="Times New Roman" w:hAnsi="Times New Roman"/>
              <w:b/>
              <w:bCs/>
              <w:sz w:val="24"/>
              <w:szCs w:val="24"/>
            </w:rPr>
            <w:t xml:space="preserve">Multas y sanciones: </w:t>
          </w:r>
          <w:r w:rsidRPr="0054721F">
            <w:rPr>
              <w:rFonts w:ascii="Times New Roman" w:hAnsi="Times New Roman"/>
              <w:sz w:val="24"/>
              <w:szCs w:val="24"/>
            </w:rPr>
            <w:t xml:space="preserve">están establecidas en la cláusula décima octava. </w:t>
          </w:r>
        </w:p>
        <w:p w14:paraId="617459B9" w14:textId="77777777" w:rsidR="00274429" w:rsidRPr="0054721F" w:rsidRDefault="00274429" w:rsidP="00274429">
          <w:pPr>
            <w:jc w:val="both"/>
            <w:rPr>
              <w:rFonts w:ascii="Times New Roman" w:hAnsi="Times New Roman"/>
              <w:sz w:val="24"/>
              <w:szCs w:val="24"/>
            </w:rPr>
          </w:pPr>
          <w:r w:rsidRPr="0054721F">
            <w:rPr>
              <w:rFonts w:ascii="Times New Roman" w:hAnsi="Times New Roman"/>
              <w:b/>
              <w:bCs/>
              <w:sz w:val="24"/>
              <w:szCs w:val="24"/>
            </w:rPr>
            <w:t xml:space="preserve">Penal pecuniario: </w:t>
          </w:r>
          <w:r w:rsidRPr="0054721F">
            <w:rPr>
              <w:rFonts w:ascii="Times New Roman" w:hAnsi="Times New Roman"/>
              <w:sz w:val="24"/>
              <w:szCs w:val="24"/>
            </w:rPr>
            <w:t>En la cláusula décima novena se establece que en el evento en que el INCO hoy ANI declare la caducidad o el incumplimiento del presente contrato se podrá imponer una penalidad pecuniaria.</w:t>
          </w:r>
        </w:p>
        <w:p w14:paraId="47A2FFCC" w14:textId="77777777" w:rsidR="00274429" w:rsidRDefault="00274429" w:rsidP="00274429">
          <w:pPr>
            <w:jc w:val="both"/>
            <w:rPr>
              <w:rFonts w:ascii="Times New Roman" w:hAnsi="Times New Roman"/>
              <w:b/>
              <w:bCs/>
              <w:sz w:val="24"/>
              <w:szCs w:val="24"/>
            </w:rPr>
          </w:pPr>
          <w:r w:rsidRPr="004C1095">
            <w:rPr>
              <w:rFonts w:ascii="Times New Roman" w:hAnsi="Times New Roman"/>
              <w:b/>
              <w:bCs/>
              <w:sz w:val="24"/>
              <w:szCs w:val="24"/>
            </w:rPr>
            <w:t>Términos de calendario:</w:t>
          </w:r>
        </w:p>
        <w:p w14:paraId="533C1D09" w14:textId="77777777" w:rsidR="00274429" w:rsidRPr="0054721F" w:rsidRDefault="00274429" w:rsidP="00274429">
          <w:pPr>
            <w:jc w:val="both"/>
            <w:rPr>
              <w:rFonts w:ascii="Times New Roman" w:hAnsi="Times New Roman"/>
              <w:sz w:val="24"/>
              <w:szCs w:val="24"/>
            </w:rPr>
          </w:pPr>
          <w:r w:rsidRPr="0054721F">
            <w:rPr>
              <w:rFonts w:ascii="Times New Roman" w:hAnsi="Times New Roman"/>
              <w:b/>
              <w:bCs/>
              <w:sz w:val="24"/>
              <w:szCs w:val="24"/>
            </w:rPr>
            <w:t xml:space="preserve">1: Tarifas: </w:t>
          </w:r>
          <w:r w:rsidRPr="0054721F">
            <w:rPr>
              <w:rFonts w:ascii="Times New Roman" w:hAnsi="Times New Roman"/>
              <w:sz w:val="24"/>
              <w:szCs w:val="24"/>
            </w:rPr>
            <w:t>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w:t>
          </w:r>
        </w:p>
        <w:p w14:paraId="4432B9A3" w14:textId="77777777" w:rsidR="00274429" w:rsidRPr="0054721F" w:rsidRDefault="00274429" w:rsidP="00274429">
          <w:pPr>
            <w:jc w:val="both"/>
            <w:rPr>
              <w:rFonts w:ascii="Times New Roman" w:hAnsi="Times New Roman"/>
              <w:sz w:val="24"/>
              <w:szCs w:val="24"/>
            </w:rPr>
          </w:pPr>
          <w:r w:rsidRPr="0054721F">
            <w:rPr>
              <w:rFonts w:ascii="Times New Roman" w:hAnsi="Times New Roman"/>
              <w:b/>
              <w:bCs/>
              <w:sz w:val="24"/>
              <w:szCs w:val="24"/>
            </w:rPr>
            <w:t xml:space="preserve">2: Contraprestación portuaria: </w:t>
          </w:r>
          <w:r w:rsidRPr="0054721F">
            <w:rPr>
              <w:rFonts w:ascii="Times New Roman" w:hAnsi="Times New Roman"/>
              <w:sz w:val="24"/>
              <w:szCs w:val="24"/>
            </w:rPr>
            <w:t>Contraprestación portuaria: Anexo 2 Conpes 3744 de 2013 “(…) Antes de finalizar los meses de febrero cada concesionario deberá corregir su liquidación del año anterior según el movimiento de carga real y la indexación del valor de referencia por metro cuadrado, del avalúo de la infraestructura concesionada y de los cargos, así como realizar el pago anticipado del año en curso con base en lo proyectado en el FCL definitivo”</w:t>
          </w:r>
        </w:p>
        <w:p w14:paraId="6908741C" w14:textId="77777777" w:rsidR="00274429" w:rsidRPr="0054721F" w:rsidRDefault="00274429" w:rsidP="00274429">
          <w:pPr>
            <w:jc w:val="both"/>
            <w:rPr>
              <w:rFonts w:ascii="Times New Roman" w:hAnsi="Times New Roman"/>
              <w:sz w:val="24"/>
              <w:szCs w:val="24"/>
            </w:rPr>
          </w:pPr>
          <w:r w:rsidRPr="0054721F">
            <w:rPr>
              <w:rFonts w:ascii="Times New Roman" w:hAnsi="Times New Roman"/>
              <w:b/>
              <w:bCs/>
              <w:sz w:val="24"/>
              <w:szCs w:val="24"/>
            </w:rPr>
            <w:t xml:space="preserve">3: Plan de inversiones: </w:t>
          </w:r>
          <w:r w:rsidRPr="0054721F">
            <w:rPr>
              <w:rFonts w:ascii="Times New Roman" w:hAnsi="Times New Roman"/>
              <w:sz w:val="24"/>
              <w:szCs w:val="24"/>
            </w:rPr>
            <w:t>Está establecido en la cláusula primera del Otrosí No 002 de 2022 al Contrato 010 (A) por CINCUENTA YNUEVE MILLONES SEISCIENTOS SETENTA Y OCHO MIL OCHOCIENTOS CINCUENTA Y SEIS DÓLARES (59.678.856) Constantes de 2014.</w:t>
          </w:r>
        </w:p>
        <w:p w14:paraId="045B4478" w14:textId="77777777" w:rsidR="00274429" w:rsidRPr="0054721F" w:rsidRDefault="00274429" w:rsidP="00274429">
          <w:pPr>
            <w:jc w:val="both"/>
            <w:rPr>
              <w:rFonts w:ascii="Times New Roman" w:hAnsi="Times New Roman"/>
              <w:sz w:val="24"/>
              <w:szCs w:val="24"/>
            </w:rPr>
          </w:pPr>
          <w:r w:rsidRPr="0054721F">
            <w:rPr>
              <w:rFonts w:ascii="Times New Roman" w:hAnsi="Times New Roman"/>
              <w:b/>
              <w:bCs/>
              <w:sz w:val="24"/>
              <w:szCs w:val="24"/>
            </w:rPr>
            <w:t xml:space="preserve">Multas y sanciones: </w:t>
          </w:r>
          <w:r w:rsidRPr="0054721F">
            <w:rPr>
              <w:rFonts w:ascii="Times New Roman" w:hAnsi="Times New Roman"/>
              <w:sz w:val="24"/>
              <w:szCs w:val="24"/>
            </w:rPr>
            <w:t xml:space="preserve">están establecidas en la cláusula décima octava. </w:t>
          </w:r>
        </w:p>
        <w:p w14:paraId="3C5E7175" w14:textId="77777777"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certeza de flujos de efectivo futuros:</w:t>
          </w:r>
        </w:p>
        <w:p w14:paraId="0E336262" w14:textId="2336BA63" w:rsidR="00274429" w:rsidRPr="0054721F" w:rsidRDefault="00274429" w:rsidP="00274429">
          <w:pPr>
            <w:jc w:val="both"/>
            <w:rPr>
              <w:rFonts w:ascii="Times New Roman" w:hAnsi="Times New Roman"/>
              <w:sz w:val="24"/>
              <w:szCs w:val="24"/>
            </w:rPr>
          </w:pPr>
          <w:r w:rsidRPr="0054721F">
            <w:rPr>
              <w:rFonts w:ascii="Times New Roman" w:hAnsi="Times New Roman"/>
              <w:sz w:val="24"/>
              <w:szCs w:val="24"/>
            </w:rPr>
            <w:t xml:space="preserve">En virtud del Contrato de concesión y sus modificaciones, se permite al CONCESIONARIO la materialización de la cesión parcial del Contrato de Concesión Portuaria 010 de 2010 suscrito con REFICAR S.A. a su matriz ECOPETROL S.A a fin de que ésta en su calidad </w:t>
          </w:r>
          <w:r w:rsidRPr="45A1F4A2">
            <w:rPr>
              <w:rFonts w:ascii="Times New Roman" w:hAnsi="Times New Roman"/>
              <w:sz w:val="24"/>
              <w:szCs w:val="24"/>
            </w:rPr>
            <w:t>de</w:t>
          </w:r>
          <w:r w:rsidR="771814F0" w:rsidRPr="45A1F4A2">
            <w:rPr>
              <w:rFonts w:ascii="Times New Roman" w:hAnsi="Times New Roman"/>
              <w:sz w:val="24"/>
              <w:szCs w:val="24"/>
            </w:rPr>
            <w:t xml:space="preserve"> </w:t>
          </w:r>
          <w:r w:rsidRPr="45A1F4A2">
            <w:rPr>
              <w:rFonts w:ascii="Times New Roman" w:hAnsi="Times New Roman"/>
              <w:sz w:val="24"/>
              <w:szCs w:val="24"/>
            </w:rPr>
            <w:t>CESIONARIO</w:t>
          </w:r>
          <w:r w:rsidRPr="0054721F">
            <w:rPr>
              <w:rFonts w:ascii="Times New Roman" w:hAnsi="Times New Roman"/>
              <w:sz w:val="24"/>
              <w:szCs w:val="24"/>
            </w:rPr>
            <w:t xml:space="preserve"> CONCESIONARIO se encuentre autorizada bajo el régimen legal de concesión portuaria para la ocupación en forma temporal y exclusiva de los bienes de uso público propiedad de la Nación, localizados en el Distrito de Cartagena de Indias (Bolívar) y descritos en la CLÁUSULA 2,para la modernización y operación de los terminales de servicio privado denominados “Nestor Pineda” y “Refinería” así como las áreas cedidas por Reficar, ejecutando en los mismos el plan de inversiones descrito en la CLÁUSULA 11 del presente, a cambio de una contraprestación económica a favor de la Nación Instituto Nacional de Vías – INVIAS y el Distrito de Cartagena de Indias , en los términos descritos en la CLÁUSULA 12 del presente. </w:t>
          </w:r>
        </w:p>
        <w:p w14:paraId="64520B03" w14:textId="77777777" w:rsidR="00274429" w:rsidRPr="0054721F" w:rsidRDefault="00274429" w:rsidP="00274429">
          <w:pPr>
            <w:jc w:val="both"/>
            <w:rPr>
              <w:rFonts w:ascii="Times New Roman" w:hAnsi="Times New Roman"/>
              <w:sz w:val="24"/>
              <w:szCs w:val="24"/>
            </w:rPr>
          </w:pPr>
          <w:r w:rsidRPr="0054721F">
            <w:rPr>
              <w:rFonts w:ascii="Times New Roman" w:hAnsi="Times New Roman"/>
              <w:sz w:val="24"/>
              <w:szCs w:val="24"/>
            </w:rPr>
            <w:lastRenderedPageBreak/>
            <w:t>En el parágrafo sexto de la Cláusula 12 El pago de la contraprestación con relación al componente fijo y variable por el goce y uso de la zona de uso público le corresponde a la NACIÓN- Instituto Nacional de Vías el 80% y el 20% restante al Distrito de Cartagena de Indias (Bolívar), de acuerdo con lo establecido parágrafo 1 del artículo 1 de la Ley 856 del 21 de diciembre de 2003, que modifica el artículo 7 de la Ley 1ª de 1991. El pago de la contraprestación con relación al componente fijo por Infraestructura le corresponde al 100% a la Nación- Instituto nacional de Vías de acuerdo con la Ley 846 del 21 de diciembre de 2003</w:t>
          </w:r>
        </w:p>
        <w:p w14:paraId="3A7D61E2" w14:textId="77777777" w:rsidR="00274429" w:rsidRDefault="00274429" w:rsidP="00E60BAB">
          <w:pPr>
            <w:pStyle w:val="Prrafodelista"/>
            <w:numPr>
              <w:ilvl w:val="0"/>
              <w:numId w:val="113"/>
            </w:numPr>
            <w:spacing w:line="259" w:lineRule="auto"/>
            <w:jc w:val="both"/>
            <w:rPr>
              <w:rFonts w:ascii="Times New Roman" w:hAnsi="Times New Roman"/>
              <w:b/>
              <w:bCs/>
              <w:sz w:val="24"/>
              <w:szCs w:val="24"/>
            </w:rPr>
          </w:pPr>
          <w:r w:rsidRPr="0085771E">
            <w:rPr>
              <w:rFonts w:ascii="Times New Roman" w:hAnsi="Times New Roman"/>
              <w:b/>
              <w:bCs/>
              <w:sz w:val="24"/>
              <w:szCs w:val="24"/>
            </w:rPr>
            <w:t>Naturaleza y alcance del derecho a utilizar activos especificados, de los aspectos pactados en torno a lo que se espera que el concesionario proporcione en relación con el acuerdo de concesión (Se requiere ser breves, precisos, y concisos en la redacción)</w:t>
          </w:r>
        </w:p>
        <w:p w14:paraId="7720F53D" w14:textId="77777777" w:rsidR="00274429" w:rsidRDefault="00274429" w:rsidP="00274429">
          <w:pPr>
            <w:jc w:val="both"/>
            <w:rPr>
              <w:rFonts w:ascii="Times New Roman" w:hAnsi="Times New Roman"/>
              <w:b/>
              <w:bCs/>
              <w:sz w:val="24"/>
              <w:szCs w:val="24"/>
            </w:rPr>
          </w:pPr>
          <w:r w:rsidRPr="00217110">
            <w:rPr>
              <w:rFonts w:ascii="Times New Roman" w:hAnsi="Times New Roman"/>
              <w:b/>
              <w:bCs/>
              <w:sz w:val="24"/>
              <w:szCs w:val="24"/>
            </w:rPr>
            <w:t>Naturaleza y alcance del derecho de uso de los activos</w:t>
          </w:r>
        </w:p>
        <w:p w14:paraId="466D12B5" w14:textId="48F0D723" w:rsidR="00274429" w:rsidRDefault="00274429" w:rsidP="00274429">
          <w:pPr>
            <w:jc w:val="both"/>
            <w:rPr>
              <w:rFonts w:ascii="Times New Roman" w:hAnsi="Times New Roman"/>
              <w:b/>
              <w:bCs/>
              <w:sz w:val="24"/>
              <w:szCs w:val="24"/>
            </w:rPr>
          </w:pPr>
          <w:r w:rsidRPr="003E5FA9">
            <w:rPr>
              <w:rFonts w:ascii="Times New Roman" w:hAnsi="Times New Roman"/>
              <w:b/>
              <w:bCs/>
              <w:sz w:val="24"/>
              <w:szCs w:val="24"/>
            </w:rPr>
            <w:t>Descripción:</w:t>
          </w:r>
        </w:p>
        <w:p w14:paraId="617372CF" w14:textId="77777777" w:rsidR="00274429" w:rsidRPr="009A46BB" w:rsidRDefault="00274429" w:rsidP="00274429">
          <w:pPr>
            <w:jc w:val="both"/>
            <w:rPr>
              <w:rFonts w:ascii="Times New Roman" w:hAnsi="Times New Roman"/>
            </w:rPr>
          </w:pPr>
          <w:r w:rsidRPr="009A46BB">
            <w:rPr>
              <w:rFonts w:ascii="Times New Roman" w:hAnsi="Times New Roman"/>
            </w:rPr>
            <w:t>Descripción del proyecto, especificaciones técnicas, modalidades de operación, volúmenes y clase de carga: las condiciones especiales de operación del puerto están establecidas en la cláusula quinta del Otrosí No 01 de 2015.</w:t>
          </w:r>
        </w:p>
        <w:p w14:paraId="25084CDD"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Área entregada en concesión: La descripción de la ubicación, linderos y extensión de los bienes de uso público (playas y terrenos de baja mar, zonas marítimas accesorias de maniobras) entregados en concesión están establecidos en la cláusula segunda del Otrosí No 001 de 2015.</w:t>
          </w:r>
        </w:p>
        <w:p w14:paraId="4A796FB5"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 xml:space="preserve">Infraestructura y equipos entregados en concesión: En la cláusula quinta del Otrosí No 001 de 2015, se describe que lo entregado en concesión fue: </w:t>
          </w:r>
        </w:p>
        <w:p w14:paraId="2FBF6027"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Infraestructura: Es un conjunto de instalaciones portuarias integrado por el Terminal Marítimo de Refinería, el Muelle Marítimo de GLP, el Muelle Fluvial de Refinería, el Muelle Fluvial Opón, Terminal Marítimo Néstor Pineda y por el Terminal Fluvial Néstor Pineda</w:t>
          </w:r>
        </w:p>
        <w:p w14:paraId="5BD87323"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Equipos: Brazos de cargue y equipos asociados a sistema de tuberías para cargue y descargue de hidrocarburos.</w:t>
          </w:r>
        </w:p>
        <w:p w14:paraId="19C5DDAF" w14:textId="77777777" w:rsidR="00274429" w:rsidRPr="009A46BB" w:rsidRDefault="00274429" w:rsidP="00274429">
          <w:pPr>
            <w:jc w:val="both"/>
            <w:rPr>
              <w:rFonts w:ascii="Times New Roman" w:hAnsi="Times New Roman"/>
            </w:rPr>
          </w:pPr>
          <w:r w:rsidRPr="003E5FA9">
            <w:rPr>
              <w:rFonts w:ascii="Times New Roman" w:hAnsi="Times New Roman"/>
              <w:b/>
              <w:bCs/>
              <w:sz w:val="24"/>
              <w:szCs w:val="24"/>
            </w:rPr>
            <w:t>Observaciones:</w:t>
          </w:r>
          <w:r>
            <w:rPr>
              <w:rFonts w:ascii="Times New Roman" w:hAnsi="Times New Roman"/>
              <w:b/>
              <w:bCs/>
              <w:sz w:val="24"/>
              <w:szCs w:val="24"/>
            </w:rPr>
            <w:t xml:space="preserve"> </w:t>
          </w:r>
        </w:p>
        <w:p w14:paraId="56D63F7D" w14:textId="77777777" w:rsidR="00274429" w:rsidRDefault="00274429" w:rsidP="00274429">
          <w:pPr>
            <w:jc w:val="both"/>
            <w:rPr>
              <w:rFonts w:ascii="Times New Roman" w:hAnsi="Times New Roman"/>
              <w:b/>
              <w:bCs/>
              <w:sz w:val="24"/>
              <w:szCs w:val="24"/>
            </w:rPr>
          </w:pPr>
          <w:r w:rsidRPr="00197A12">
            <w:rPr>
              <w:rFonts w:ascii="Times New Roman" w:hAnsi="Times New Roman"/>
              <w:b/>
              <w:bCs/>
              <w:sz w:val="24"/>
              <w:szCs w:val="24"/>
            </w:rPr>
            <w:t>Retribución al concesionario</w:t>
          </w:r>
        </w:p>
        <w:p w14:paraId="744E9219" w14:textId="38A7548B" w:rsidR="00274429" w:rsidRPr="0054721F" w:rsidRDefault="00274429" w:rsidP="00274429">
          <w:pPr>
            <w:jc w:val="both"/>
            <w:rPr>
              <w:rFonts w:ascii="Times New Roman" w:hAnsi="Times New Roman"/>
              <w:sz w:val="24"/>
              <w:szCs w:val="24"/>
            </w:rPr>
          </w:pPr>
          <w:r w:rsidRPr="003E5FA9">
            <w:rPr>
              <w:rFonts w:ascii="Times New Roman" w:hAnsi="Times New Roman"/>
              <w:b/>
              <w:bCs/>
              <w:sz w:val="24"/>
              <w:szCs w:val="24"/>
            </w:rPr>
            <w:t>Descripción:</w:t>
          </w:r>
          <w:r>
            <w:rPr>
              <w:rFonts w:ascii="Times New Roman" w:hAnsi="Times New Roman"/>
              <w:b/>
              <w:bCs/>
              <w:sz w:val="24"/>
              <w:szCs w:val="24"/>
            </w:rPr>
            <w:t xml:space="preserve"> </w:t>
          </w:r>
          <w:r w:rsidRPr="0054721F">
            <w:rPr>
              <w:rFonts w:ascii="Times New Roman" w:hAnsi="Times New Roman"/>
              <w:sz w:val="24"/>
              <w:szCs w:val="24"/>
            </w:rPr>
            <w:t xml:space="preserve">En virtud del Contrato de concesión y sus modificaciones, se permite al CONCESIONARIO la materialización de la cesión parcial del Contrato de Concesión Portuaria 010 de 2010 suscrito con REFICAR S.A. a su matriz ECOPETROL S.A a fin de que ésta en su calidad </w:t>
          </w:r>
          <w:r w:rsidRPr="45A1F4A2">
            <w:rPr>
              <w:rFonts w:ascii="Times New Roman" w:hAnsi="Times New Roman"/>
              <w:sz w:val="24"/>
              <w:szCs w:val="24"/>
            </w:rPr>
            <w:t>de</w:t>
          </w:r>
          <w:r w:rsidR="6F57E277" w:rsidRPr="45A1F4A2">
            <w:rPr>
              <w:rFonts w:ascii="Times New Roman" w:hAnsi="Times New Roman"/>
              <w:sz w:val="24"/>
              <w:szCs w:val="24"/>
            </w:rPr>
            <w:t xml:space="preserve"> </w:t>
          </w:r>
          <w:r w:rsidRPr="45A1F4A2">
            <w:rPr>
              <w:rFonts w:ascii="Times New Roman" w:hAnsi="Times New Roman"/>
              <w:sz w:val="24"/>
              <w:szCs w:val="24"/>
            </w:rPr>
            <w:t>CESIONARIO</w:t>
          </w:r>
          <w:r w:rsidRPr="0054721F">
            <w:rPr>
              <w:rFonts w:ascii="Times New Roman" w:hAnsi="Times New Roman"/>
              <w:sz w:val="24"/>
              <w:szCs w:val="24"/>
            </w:rPr>
            <w:t xml:space="preserve"> CONCESIONARIO se encuentre autorizada bajo el régimen legal de concesión portuaria para la ocupación en forma temporal y exclusiva de los bienes de uso público propiedad de la Nación, localizados en el Distrito de Cartagena de Indias (Bolívar) y descritos en la CLÁUSULA 2,para la modernización y operación de los terminales de servicio privado denominados “Nestor Pineda” y “Refinería” así como las áreas cedidas por Reficar, ejecutando en los mismos el plan de inversiones descrito en la CLÁUSULA 11 del presente, a cambio de una contraprestación económica a favor de la Nación Instituto Nacional </w:t>
          </w:r>
          <w:r w:rsidRPr="0054721F">
            <w:rPr>
              <w:rFonts w:ascii="Times New Roman" w:hAnsi="Times New Roman"/>
              <w:sz w:val="24"/>
              <w:szCs w:val="24"/>
            </w:rPr>
            <w:lastRenderedPageBreak/>
            <w:t xml:space="preserve">de Vías – INVIAS y el Distrito de Cartagena de Indias , en los términos descritos en la CLÁUSULA 12 del presente. </w:t>
          </w:r>
        </w:p>
        <w:p w14:paraId="0547B44F" w14:textId="77777777" w:rsidR="00274429" w:rsidRDefault="00274429" w:rsidP="00274429">
          <w:pPr>
            <w:jc w:val="both"/>
            <w:rPr>
              <w:rFonts w:ascii="Times New Roman" w:hAnsi="Times New Roman"/>
              <w:b/>
              <w:bCs/>
              <w:sz w:val="24"/>
              <w:szCs w:val="24"/>
            </w:rPr>
          </w:pPr>
          <w:r w:rsidRPr="003E5FA9">
            <w:rPr>
              <w:rFonts w:ascii="Times New Roman" w:hAnsi="Times New Roman"/>
              <w:b/>
              <w:bCs/>
              <w:sz w:val="24"/>
              <w:szCs w:val="24"/>
            </w:rPr>
            <w:t>Tasa de retribución:</w:t>
          </w:r>
          <w:r>
            <w:rPr>
              <w:rFonts w:ascii="Times New Roman" w:hAnsi="Times New Roman"/>
              <w:b/>
              <w:bCs/>
              <w:sz w:val="24"/>
              <w:szCs w:val="24"/>
            </w:rPr>
            <w:t xml:space="preserve"> N/A</w:t>
          </w:r>
        </w:p>
        <w:p w14:paraId="2ADCEB7B" w14:textId="77777777" w:rsidR="00274429" w:rsidRDefault="00274429" w:rsidP="00E60BAB">
          <w:pPr>
            <w:pStyle w:val="Prrafodelista"/>
            <w:numPr>
              <w:ilvl w:val="0"/>
              <w:numId w:val="113"/>
            </w:numPr>
            <w:spacing w:line="259" w:lineRule="auto"/>
            <w:jc w:val="both"/>
            <w:rPr>
              <w:rFonts w:ascii="Times New Roman" w:hAnsi="Times New Roman"/>
              <w:b/>
              <w:bCs/>
              <w:sz w:val="24"/>
              <w:szCs w:val="24"/>
            </w:rPr>
          </w:pPr>
          <w:r w:rsidRPr="00197A12">
            <w:rPr>
              <w:rFonts w:ascii="Times New Roman" w:hAnsi="Times New Roman"/>
              <w:b/>
              <w:bCs/>
              <w:sz w:val="24"/>
              <w:szCs w:val="24"/>
            </w:rPr>
            <w:t>Derechos a recibir activos especificados al final del acuerdo de concesión</w:t>
          </w:r>
        </w:p>
        <w:p w14:paraId="78428AAC" w14:textId="77777777" w:rsidR="00274429" w:rsidRPr="009A46BB" w:rsidRDefault="00274429" w:rsidP="00274429">
          <w:pPr>
            <w:jc w:val="both"/>
            <w:rPr>
              <w:rFonts w:ascii="Times New Roman" w:hAnsi="Times New Roman"/>
            </w:rPr>
          </w:pPr>
          <w:r w:rsidRPr="006D56DF">
            <w:rPr>
              <w:rFonts w:ascii="Times New Roman" w:hAnsi="Times New Roman"/>
              <w:b/>
              <w:bCs/>
              <w:sz w:val="24"/>
              <w:szCs w:val="24"/>
            </w:rPr>
            <w:t>Descripción:</w:t>
          </w:r>
          <w:r>
            <w:rPr>
              <w:rFonts w:ascii="Times New Roman" w:hAnsi="Times New Roman"/>
              <w:b/>
              <w:bCs/>
              <w:sz w:val="24"/>
              <w:szCs w:val="24"/>
            </w:rPr>
            <w:t xml:space="preserve"> </w:t>
          </w:r>
          <w:r w:rsidRPr="0054721F">
            <w:rPr>
              <w:rFonts w:ascii="Times New Roman" w:hAnsi="Times New Roman"/>
              <w:sz w:val="24"/>
              <w:szCs w:val="24"/>
            </w:rPr>
            <w:t>De acuerdo con el Artículo 8º de la Ley 1 de 1991 en el modo portuario el concesionario no tiene derechos finales sobre activos los debe revertir a la Nación al final del contrato de concesión.</w:t>
          </w:r>
        </w:p>
        <w:p w14:paraId="2BCEE325" w14:textId="3807FE0C" w:rsidR="00274429" w:rsidRPr="0054721F" w:rsidRDefault="00274429" w:rsidP="00274429">
          <w:pPr>
            <w:jc w:val="both"/>
            <w:rPr>
              <w:rFonts w:ascii="Times New Roman" w:hAnsi="Times New Roman"/>
              <w:sz w:val="24"/>
              <w:szCs w:val="24"/>
            </w:rPr>
          </w:pPr>
          <w:r w:rsidRPr="006D56DF">
            <w:rPr>
              <w:rFonts w:ascii="Times New Roman" w:hAnsi="Times New Roman"/>
              <w:b/>
              <w:bCs/>
              <w:sz w:val="24"/>
              <w:szCs w:val="24"/>
            </w:rPr>
            <w:t>Observaciones:</w:t>
          </w:r>
          <w:r w:rsidRPr="009A46BB">
            <w:rPr>
              <w:rFonts w:ascii="Times New Roman" w:hAnsi="Times New Roman"/>
            </w:rPr>
            <w:t xml:space="preserve"> </w:t>
          </w:r>
          <w:r w:rsidRPr="0054721F">
            <w:rPr>
              <w:rFonts w:ascii="Times New Roman" w:hAnsi="Times New Roman"/>
              <w:sz w:val="24"/>
              <w:szCs w:val="24"/>
            </w:rPr>
            <w:t>Reversión: De acuerdo con lo establecido en la cláusula Décimo Novena del Otrosí No 001 de 2015 La zona de uso público y todas las construcciones e inmuebles por destinación existentes, así como los que se autoricen por la Agencia Nacional de Infraestructura, levantadas o construidas en la zona de uso público que ha sido determinada o que se encuentran habitualmente instaladas en ellas y afectas a la concesión, serán revertidas gratuitamente por el CESIONARIO CONCESIONARIO a la Nación – Instituto Nacional de Vías INVIAS, o quien haga sus veces, conforme a lo dispuesto en el artículo 8° de la Ley 1ª de 1991,o la norma que lo modifique y reglamente, en buen estado de operación y mantenimiento, al extinguirse el plazo de la misma o al ser declarada la caducidad.Dichos bienes deberán entregarse en buenas condiciones de operación tecnológica, mantenimiento y de adecuada eficiencia al término de este contrato y de la prórroga si la hubiere.</w:t>
          </w:r>
        </w:p>
        <w:p w14:paraId="3AECC341" w14:textId="77777777" w:rsidR="00274429" w:rsidRPr="0054721F" w:rsidRDefault="00274429" w:rsidP="00274429">
          <w:pPr>
            <w:jc w:val="both"/>
            <w:rPr>
              <w:rFonts w:ascii="Times New Roman" w:hAnsi="Times New Roman"/>
              <w:sz w:val="24"/>
              <w:szCs w:val="24"/>
            </w:rPr>
          </w:pPr>
          <w:r w:rsidRPr="0054721F">
            <w:rPr>
              <w:rFonts w:ascii="Times New Roman" w:hAnsi="Times New Roman"/>
              <w:sz w:val="24"/>
              <w:szCs w:val="24"/>
            </w:rPr>
            <w:t>Igualmente, procederá la reversión al ser declarada la caducidad o la terminación unilateral. Para el efecto, el CESIONARIO CONCESIONARIO deberá entregar con una antelación mínima de seis (6) meses anteriores a la terminación del contrato, un avalúo comercial actualizado y valoración técnica de las condiciones de operación de la infraestructura portuaria, equipos e inmuebles por destinación que habitualmente se encuentren instalados en las zonas de uso público que se revierten y que son propiedad de la Nación.</w:t>
          </w:r>
        </w:p>
        <w:p w14:paraId="280B7306" w14:textId="5D8A5C20" w:rsidR="00274429" w:rsidRDefault="00243E3B" w:rsidP="00E60BAB">
          <w:pPr>
            <w:pStyle w:val="Prrafodelista"/>
            <w:numPr>
              <w:ilvl w:val="0"/>
              <w:numId w:val="113"/>
            </w:numPr>
            <w:spacing w:line="259" w:lineRule="auto"/>
            <w:jc w:val="both"/>
            <w:rPr>
              <w:rFonts w:ascii="Times New Roman" w:hAnsi="Times New Roman"/>
              <w:b/>
              <w:bCs/>
              <w:sz w:val="24"/>
              <w:szCs w:val="24"/>
            </w:rPr>
          </w:pPr>
          <w:r>
            <w:rPr>
              <w:rFonts w:ascii="Times New Roman" w:hAnsi="Times New Roman"/>
              <w:b/>
              <w:bCs/>
              <w:sz w:val="24"/>
              <w:szCs w:val="24"/>
            </w:rPr>
            <w:t>No hay c</w:t>
          </w:r>
          <w:r w:rsidR="00274429" w:rsidRPr="0054721F">
            <w:rPr>
              <w:rFonts w:ascii="Times New Roman" w:hAnsi="Times New Roman"/>
              <w:b/>
              <w:bCs/>
              <w:sz w:val="24"/>
              <w:szCs w:val="24"/>
            </w:rPr>
            <w:t>ambios en el acuerdo de concesión que se realicen durante el periodo fiscal</w:t>
          </w:r>
        </w:p>
        <w:p w14:paraId="37AE9F69" w14:textId="77777777" w:rsidR="00274429" w:rsidRPr="009A46BB" w:rsidRDefault="00274429" w:rsidP="00274429">
          <w:pPr>
            <w:jc w:val="both"/>
            <w:rPr>
              <w:rFonts w:ascii="Times New Roman" w:hAnsi="Times New Roman"/>
              <w:b/>
            </w:rPr>
          </w:pPr>
        </w:p>
        <w:p w14:paraId="41264CEC" w14:textId="5A8E160E" w:rsidR="00274429" w:rsidRPr="00243E3B" w:rsidRDefault="00243E3B" w:rsidP="00274429">
          <w:pPr>
            <w:jc w:val="both"/>
            <w:rPr>
              <w:rFonts w:ascii="Times New Roman" w:hAnsi="Times New Roman"/>
              <w:sz w:val="24"/>
              <w:szCs w:val="24"/>
            </w:rPr>
          </w:pPr>
          <w:r w:rsidRPr="00243E3B">
            <w:rPr>
              <w:rFonts w:ascii="Times New Roman" w:hAnsi="Times New Roman"/>
              <w:b/>
              <w:bCs/>
              <w:sz w:val="24"/>
              <w:szCs w:val="24"/>
            </w:rPr>
            <w:t>SOCIEDAD REFINERÍA DE CARTAGENA S.A- REFICAR</w:t>
          </w:r>
        </w:p>
        <w:p w14:paraId="7561C20A" w14:textId="77777777" w:rsidR="00274429" w:rsidRPr="009A46BB" w:rsidRDefault="00274429" w:rsidP="00E60BAB">
          <w:pPr>
            <w:pStyle w:val="Prrafodelista"/>
            <w:numPr>
              <w:ilvl w:val="0"/>
              <w:numId w:val="114"/>
            </w:numPr>
            <w:spacing w:line="259" w:lineRule="auto"/>
            <w:jc w:val="both"/>
            <w:rPr>
              <w:rFonts w:ascii="Times New Roman" w:hAnsi="Times New Roman"/>
              <w:b/>
            </w:rPr>
          </w:pPr>
          <w:r w:rsidRPr="007760D5">
            <w:rPr>
              <w:rFonts w:ascii="Times New Roman" w:hAnsi="Times New Roman"/>
              <w:b/>
              <w:bCs/>
              <w:sz w:val="24"/>
              <w:szCs w:val="24"/>
            </w:rPr>
            <w:t>Descripción del acuerdo</w:t>
          </w:r>
        </w:p>
        <w:p w14:paraId="425DDE56" w14:textId="71B4C1E0" w:rsidR="00274429" w:rsidRPr="009A46BB" w:rsidRDefault="00274429" w:rsidP="10D44305">
          <w:pPr>
            <w:spacing w:after="0"/>
            <w:jc w:val="both"/>
            <w:rPr>
              <w:rFonts w:ascii="Times New Roman" w:hAnsi="Times New Roman"/>
            </w:rPr>
          </w:pPr>
          <w:r w:rsidRPr="009A46BB">
            <w:rPr>
              <w:rFonts w:ascii="Times New Roman" w:hAnsi="Times New Roman"/>
              <w:b/>
            </w:rPr>
            <w:t>Número del acuerdo de concesión:</w:t>
          </w:r>
          <w:r w:rsidR="248BC544" w:rsidRPr="10D44305">
            <w:rPr>
              <w:rFonts w:ascii="Times New Roman" w:hAnsi="Times New Roman"/>
              <w:b/>
              <w:bCs/>
            </w:rPr>
            <w:t xml:space="preserve"> </w:t>
          </w:r>
          <w:r w:rsidRPr="009A46BB">
            <w:rPr>
              <w:rFonts w:ascii="Times New Roman" w:hAnsi="Times New Roman"/>
            </w:rPr>
            <w:t xml:space="preserve">Concesión Portuaria Contrato 010 de 2010 - Otrosí No 002 de 2015 la Sociedad Refinería de Cartagena S.A- REFICAR. </w:t>
          </w:r>
        </w:p>
        <w:p w14:paraId="262767E1" w14:textId="67646C2F" w:rsidR="00274429" w:rsidRPr="009A46BB" w:rsidRDefault="00274429" w:rsidP="10D44305">
          <w:pPr>
            <w:spacing w:after="0"/>
            <w:jc w:val="both"/>
            <w:rPr>
              <w:rFonts w:ascii="Times New Roman" w:hAnsi="Times New Roman"/>
            </w:rPr>
          </w:pPr>
          <w:r w:rsidRPr="009A46BB">
            <w:rPr>
              <w:rFonts w:ascii="Times New Roman" w:hAnsi="Times New Roman"/>
              <w:b/>
            </w:rPr>
            <w:t>Objeto / Descripción</w:t>
          </w:r>
          <w:r w:rsidRPr="009A46BB">
            <w:rPr>
              <w:rFonts w:ascii="Times New Roman" w:hAnsi="Times New Roman"/>
            </w:rPr>
            <w:t>:</w:t>
          </w:r>
          <w:r w:rsidR="7A1D23A3" w:rsidRPr="10D44305">
            <w:rPr>
              <w:rFonts w:ascii="Times New Roman" w:hAnsi="Times New Roman"/>
            </w:rPr>
            <w:t xml:space="preserve"> </w:t>
          </w:r>
          <w:r w:rsidRPr="009A46BB">
            <w:rPr>
              <w:rFonts w:ascii="Times New Roman" w:hAnsi="Times New Roman"/>
            </w:rPr>
            <w:t>En virtud del Contrato de concesión y sus modificaciones, se permite al CONCESIONARIO la utilización y ocupación en forma temporal y exclusiva de las playas, terrenos de bajamar, y las zonas accesorias a aquellas o éstas localizados en el sector de Mamonal de la Bahía de Cartagena por un término de veinte (20) años para el desarrollo de actividades portuarias de servicio privado, conforme lo establece la Cláusula Primera del Contrato.</w:t>
          </w:r>
        </w:p>
        <w:p w14:paraId="50C8E606" w14:textId="0C5DA722" w:rsidR="00274429" w:rsidRPr="005D4FEA" w:rsidRDefault="00274429" w:rsidP="001F57C8">
          <w:pPr>
            <w:spacing w:after="0"/>
            <w:jc w:val="both"/>
            <w:rPr>
              <w:rFonts w:ascii="Times New Roman" w:hAnsi="Times New Roman"/>
              <w:sz w:val="24"/>
              <w:szCs w:val="24"/>
            </w:rPr>
          </w:pPr>
          <w:r w:rsidRPr="00521A07">
            <w:rPr>
              <w:rFonts w:ascii="Times New Roman" w:hAnsi="Times New Roman"/>
              <w:b/>
              <w:bCs/>
              <w:sz w:val="24"/>
              <w:szCs w:val="24"/>
            </w:rPr>
            <w:t>Valor inicial:</w:t>
          </w:r>
          <w:r w:rsidR="4DDB8C17" w:rsidRPr="10D44305">
            <w:rPr>
              <w:rFonts w:ascii="Times New Roman" w:hAnsi="Times New Roman"/>
              <w:b/>
              <w:bCs/>
              <w:sz w:val="24"/>
              <w:szCs w:val="24"/>
            </w:rPr>
            <w:t xml:space="preserve"> </w:t>
          </w:r>
          <w:r w:rsidRPr="005D4FEA">
            <w:rPr>
              <w:rFonts w:ascii="Times New Roman" w:hAnsi="Times New Roman"/>
              <w:sz w:val="24"/>
              <w:szCs w:val="24"/>
            </w:rPr>
            <w:t>Valor inicial: USD $3.621.210 Cláusula Octava / Contrato No 010 de 2010.</w:t>
          </w:r>
        </w:p>
        <w:p w14:paraId="462D525D" w14:textId="77777777" w:rsidR="00274429" w:rsidRPr="005D4FEA" w:rsidRDefault="00274429" w:rsidP="001F57C8">
          <w:pPr>
            <w:spacing w:after="0"/>
            <w:jc w:val="both"/>
            <w:rPr>
              <w:rFonts w:ascii="Times New Roman" w:hAnsi="Times New Roman"/>
              <w:sz w:val="24"/>
              <w:szCs w:val="24"/>
            </w:rPr>
          </w:pPr>
          <w:r w:rsidRPr="005D4FEA">
            <w:rPr>
              <w:rFonts w:ascii="Times New Roman" w:hAnsi="Times New Roman"/>
              <w:sz w:val="24"/>
              <w:szCs w:val="24"/>
            </w:rPr>
            <w:t>Valor del Contrato actualizado: USD 2.187.500 Otrosí No. 002 de 2015</w:t>
          </w:r>
        </w:p>
        <w:p w14:paraId="53BD9FFD" w14:textId="77777777" w:rsidR="00274429" w:rsidRPr="009A46BB" w:rsidRDefault="00274429" w:rsidP="001F57C8">
          <w:pPr>
            <w:spacing w:after="0"/>
            <w:jc w:val="both"/>
            <w:rPr>
              <w:rFonts w:ascii="Times New Roman" w:hAnsi="Times New Roman"/>
            </w:rPr>
          </w:pPr>
          <w:r w:rsidRPr="00521A07">
            <w:rPr>
              <w:rFonts w:ascii="Times New Roman" w:hAnsi="Times New Roman"/>
              <w:b/>
              <w:bCs/>
              <w:sz w:val="24"/>
              <w:szCs w:val="24"/>
            </w:rPr>
            <w:t>Fecha de inicio:</w:t>
          </w:r>
          <w:r>
            <w:rPr>
              <w:rFonts w:ascii="Times New Roman" w:hAnsi="Times New Roman"/>
              <w:b/>
              <w:bCs/>
              <w:sz w:val="24"/>
              <w:szCs w:val="24"/>
            </w:rPr>
            <w:t xml:space="preserve"> </w:t>
          </w:r>
          <w:r w:rsidRPr="005D4FEA">
            <w:rPr>
              <w:rFonts w:ascii="Times New Roman" w:hAnsi="Times New Roman"/>
              <w:sz w:val="24"/>
              <w:szCs w:val="24"/>
            </w:rPr>
            <w:t>19 de noviembre de 2010</w:t>
          </w:r>
        </w:p>
        <w:p w14:paraId="2CAF7D76" w14:textId="77777777" w:rsidR="00274429" w:rsidRPr="009A46BB" w:rsidRDefault="00274429" w:rsidP="001F57C8">
          <w:pPr>
            <w:spacing w:after="0"/>
            <w:jc w:val="both"/>
            <w:rPr>
              <w:rFonts w:ascii="Times New Roman" w:hAnsi="Times New Roman"/>
            </w:rPr>
          </w:pPr>
          <w:r w:rsidRPr="00521A07">
            <w:rPr>
              <w:rFonts w:ascii="Times New Roman" w:hAnsi="Times New Roman"/>
              <w:b/>
              <w:bCs/>
              <w:sz w:val="24"/>
              <w:szCs w:val="24"/>
            </w:rPr>
            <w:lastRenderedPageBreak/>
            <w:t>Fecha de finalización estimada:</w:t>
          </w:r>
          <w:r>
            <w:rPr>
              <w:rFonts w:ascii="Times New Roman" w:hAnsi="Times New Roman"/>
              <w:b/>
              <w:bCs/>
              <w:sz w:val="24"/>
              <w:szCs w:val="24"/>
            </w:rPr>
            <w:t xml:space="preserve"> </w:t>
          </w:r>
          <w:r w:rsidRPr="005D4FEA">
            <w:rPr>
              <w:rFonts w:ascii="Times New Roman" w:hAnsi="Times New Roman"/>
              <w:sz w:val="24"/>
              <w:szCs w:val="24"/>
            </w:rPr>
            <w:t>18 de noviembre de 2030.</w:t>
          </w:r>
        </w:p>
        <w:p w14:paraId="636CD575" w14:textId="77777777" w:rsidR="00274429" w:rsidRPr="009A46BB" w:rsidRDefault="00274429" w:rsidP="001F57C8">
          <w:pPr>
            <w:spacing w:after="0"/>
            <w:jc w:val="both"/>
            <w:rPr>
              <w:rFonts w:ascii="Times New Roman" w:hAnsi="Times New Roman"/>
            </w:rPr>
          </w:pPr>
          <w:r w:rsidRPr="00521A07">
            <w:rPr>
              <w:rFonts w:ascii="Times New Roman" w:hAnsi="Times New Roman"/>
              <w:b/>
              <w:bCs/>
              <w:sz w:val="24"/>
              <w:szCs w:val="24"/>
            </w:rPr>
            <w:t>Tipo ID:</w:t>
          </w:r>
          <w:r>
            <w:rPr>
              <w:rFonts w:ascii="Times New Roman" w:hAnsi="Times New Roman"/>
              <w:b/>
              <w:bCs/>
              <w:sz w:val="24"/>
              <w:szCs w:val="24"/>
            </w:rPr>
            <w:t xml:space="preserve"> </w:t>
          </w:r>
          <w:r w:rsidRPr="00243E3B">
            <w:rPr>
              <w:rFonts w:ascii="Times New Roman" w:hAnsi="Times New Roman"/>
              <w:sz w:val="24"/>
              <w:szCs w:val="24"/>
            </w:rPr>
            <w:t>NIT</w:t>
          </w:r>
        </w:p>
        <w:p w14:paraId="6145CF2E" w14:textId="77777777" w:rsidR="00274429" w:rsidRPr="009A46BB" w:rsidRDefault="00274429" w:rsidP="001F57C8">
          <w:pPr>
            <w:spacing w:after="0"/>
            <w:jc w:val="both"/>
            <w:rPr>
              <w:rFonts w:ascii="Times New Roman" w:hAnsi="Times New Roman"/>
            </w:rPr>
          </w:pPr>
          <w:r w:rsidRPr="00521A07">
            <w:rPr>
              <w:rFonts w:ascii="Times New Roman" w:hAnsi="Times New Roman"/>
              <w:b/>
              <w:bCs/>
              <w:sz w:val="24"/>
              <w:szCs w:val="24"/>
            </w:rPr>
            <w:t>Número ID:</w:t>
          </w:r>
          <w:r>
            <w:rPr>
              <w:rFonts w:ascii="Times New Roman" w:hAnsi="Times New Roman"/>
              <w:b/>
              <w:bCs/>
              <w:sz w:val="24"/>
              <w:szCs w:val="24"/>
            </w:rPr>
            <w:t xml:space="preserve"> </w:t>
          </w:r>
          <w:r w:rsidRPr="005D4FEA">
            <w:rPr>
              <w:rFonts w:ascii="Times New Roman" w:hAnsi="Times New Roman"/>
              <w:sz w:val="24"/>
              <w:szCs w:val="24"/>
            </w:rPr>
            <w:t>900.112.515-7</w:t>
          </w:r>
        </w:p>
        <w:p w14:paraId="4E2A0435" w14:textId="19347BF0" w:rsidR="00274429" w:rsidRPr="009A46BB" w:rsidRDefault="00274429" w:rsidP="001F57C8">
          <w:pPr>
            <w:spacing w:after="0"/>
            <w:jc w:val="both"/>
            <w:rPr>
              <w:rFonts w:ascii="Times New Roman" w:hAnsi="Times New Roman"/>
            </w:rPr>
          </w:pPr>
          <w:r w:rsidRPr="00521A07">
            <w:rPr>
              <w:rFonts w:ascii="Times New Roman" w:hAnsi="Times New Roman"/>
              <w:b/>
              <w:bCs/>
              <w:sz w:val="24"/>
              <w:szCs w:val="24"/>
            </w:rPr>
            <w:t>Razón social del concesionario:</w:t>
          </w:r>
          <w:r w:rsidRPr="005D4FEA">
            <w:rPr>
              <w:rFonts w:ascii="Times New Roman" w:hAnsi="Times New Roman"/>
              <w:sz w:val="24"/>
              <w:szCs w:val="24"/>
            </w:rPr>
            <w:t>Sociedad Refinería de Cartagena S.A- REFICAR.</w:t>
          </w:r>
        </w:p>
        <w:p w14:paraId="3CF03FB1" w14:textId="0D8366DB" w:rsidR="00274429" w:rsidRPr="009A46BB" w:rsidRDefault="00274429" w:rsidP="001F57C8">
          <w:pPr>
            <w:spacing w:after="0"/>
            <w:jc w:val="both"/>
            <w:rPr>
              <w:rFonts w:ascii="Times New Roman" w:hAnsi="Times New Roman"/>
              <w:sz w:val="24"/>
              <w:szCs w:val="24"/>
            </w:rPr>
          </w:pPr>
          <w:r w:rsidRPr="00521A07">
            <w:rPr>
              <w:rFonts w:ascii="Times New Roman" w:hAnsi="Times New Roman"/>
              <w:b/>
              <w:bCs/>
              <w:sz w:val="24"/>
              <w:szCs w:val="24"/>
            </w:rPr>
            <w:t>Nombre del proyecto:</w:t>
          </w:r>
          <w:r w:rsidRPr="005D4FEA">
            <w:rPr>
              <w:rFonts w:ascii="Times New Roman" w:hAnsi="Times New Roman"/>
              <w:sz w:val="24"/>
              <w:szCs w:val="24"/>
            </w:rPr>
            <w:t>Sociedad Refinería de Cartagena S.A- REFICAR.</w:t>
          </w:r>
        </w:p>
        <w:p w14:paraId="27352CA4" w14:textId="77777777" w:rsidR="001F57C8" w:rsidRPr="009A46BB" w:rsidRDefault="001F57C8" w:rsidP="001F57C8">
          <w:pPr>
            <w:spacing w:after="0"/>
            <w:jc w:val="both"/>
            <w:rPr>
              <w:rFonts w:ascii="Times New Roman" w:hAnsi="Times New Roman"/>
            </w:rPr>
          </w:pPr>
        </w:p>
        <w:p w14:paraId="67C84C5B" w14:textId="77777777" w:rsidR="00274429" w:rsidRPr="00F23112" w:rsidRDefault="00274429" w:rsidP="00E60BAB">
          <w:pPr>
            <w:pStyle w:val="Prrafodelista"/>
            <w:numPr>
              <w:ilvl w:val="0"/>
              <w:numId w:val="114"/>
            </w:numPr>
            <w:spacing w:line="259" w:lineRule="auto"/>
            <w:jc w:val="both"/>
            <w:rPr>
              <w:rFonts w:ascii="Times New Roman" w:hAnsi="Times New Roman"/>
              <w:b/>
              <w:bCs/>
              <w:sz w:val="24"/>
              <w:szCs w:val="24"/>
            </w:rPr>
          </w:pPr>
          <w:r w:rsidRPr="006D56DF">
            <w:rPr>
              <w:rFonts w:ascii="Times New Roman" w:hAnsi="Times New Roman"/>
              <w:b/>
              <w:bCs/>
              <w:sz w:val="24"/>
              <w:szCs w:val="24"/>
            </w:rPr>
            <w:t>Términos significativos del acuerdo que puedan afectar su valor, el calendario y la certeza de los flujos</w:t>
          </w:r>
        </w:p>
        <w:p w14:paraId="0A261DD9" w14:textId="050D89AC"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valor:</w:t>
          </w:r>
        </w:p>
        <w:p w14:paraId="7353B8B0" w14:textId="77777777" w:rsidR="00274429" w:rsidRPr="000A64F5" w:rsidRDefault="00274429" w:rsidP="00274429">
          <w:pPr>
            <w:jc w:val="both"/>
            <w:rPr>
              <w:rFonts w:ascii="Times New Roman" w:hAnsi="Times New Roman"/>
              <w:sz w:val="24"/>
              <w:szCs w:val="24"/>
            </w:rPr>
          </w:pPr>
          <w:r w:rsidRPr="000A64F5">
            <w:rPr>
              <w:rFonts w:ascii="Times New Roman" w:hAnsi="Times New Roman"/>
              <w:b/>
              <w:bCs/>
              <w:sz w:val="24"/>
              <w:szCs w:val="24"/>
            </w:rPr>
            <w:t xml:space="preserve">1.Tarifas: </w:t>
          </w:r>
          <w:r w:rsidRPr="000A64F5">
            <w:rPr>
              <w:rFonts w:ascii="Times New Roman" w:hAnsi="Times New Roman"/>
              <w:sz w:val="24"/>
              <w:szCs w:val="24"/>
            </w:rPr>
            <w:t>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w:t>
          </w:r>
        </w:p>
        <w:p w14:paraId="6DE1343E" w14:textId="77777777" w:rsidR="00274429" w:rsidRPr="000A64F5" w:rsidRDefault="00274429" w:rsidP="00274429">
          <w:pPr>
            <w:jc w:val="both"/>
            <w:rPr>
              <w:rFonts w:ascii="Times New Roman" w:hAnsi="Times New Roman"/>
              <w:sz w:val="24"/>
              <w:szCs w:val="24"/>
            </w:rPr>
          </w:pPr>
          <w:r w:rsidRPr="000A64F5">
            <w:rPr>
              <w:rFonts w:ascii="Times New Roman" w:hAnsi="Times New Roman"/>
              <w:b/>
              <w:bCs/>
              <w:sz w:val="24"/>
              <w:szCs w:val="24"/>
            </w:rPr>
            <w:t xml:space="preserve">2: Contraprestación portuaria: </w:t>
          </w:r>
          <w:r w:rsidRPr="000A64F5">
            <w:rPr>
              <w:rFonts w:ascii="Times New Roman" w:hAnsi="Times New Roman"/>
              <w:sz w:val="24"/>
              <w:szCs w:val="24"/>
            </w:rPr>
            <w:t>De acuerdo con el último documento contractual vigente la metodología de contraprestación vigente es CONPES 3744 de 2013 (Componentes Fijo y Variable). A febrero de 2023 el CONCESIONARIO debió pagar la suma de USD 101.612</w:t>
          </w:r>
        </w:p>
        <w:p w14:paraId="739E158C" w14:textId="77777777" w:rsidR="00274429" w:rsidRPr="005B3973" w:rsidRDefault="00274429" w:rsidP="00274429">
          <w:pPr>
            <w:jc w:val="both"/>
            <w:rPr>
              <w:rFonts w:ascii="Times New Roman" w:hAnsi="Times New Roman"/>
              <w:sz w:val="24"/>
              <w:szCs w:val="24"/>
            </w:rPr>
          </w:pPr>
          <w:r w:rsidRPr="000A64F5">
            <w:rPr>
              <w:rFonts w:ascii="Times New Roman" w:hAnsi="Times New Roman"/>
              <w:sz w:val="24"/>
              <w:szCs w:val="24"/>
            </w:rPr>
            <w:t xml:space="preserve">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distrito de Cartagena.</w:t>
          </w:r>
        </w:p>
        <w:p w14:paraId="12AD92C6" w14:textId="77777777" w:rsidR="00274429" w:rsidRPr="000A64F5" w:rsidRDefault="00274429" w:rsidP="00274429">
          <w:pPr>
            <w:jc w:val="both"/>
            <w:rPr>
              <w:rFonts w:ascii="Times New Roman" w:hAnsi="Times New Roman"/>
              <w:b/>
              <w:bCs/>
              <w:sz w:val="24"/>
              <w:szCs w:val="24"/>
            </w:rPr>
          </w:pPr>
          <w:r w:rsidRPr="000A64F5">
            <w:rPr>
              <w:rFonts w:ascii="Times New Roman" w:hAnsi="Times New Roman"/>
              <w:b/>
              <w:bCs/>
              <w:sz w:val="24"/>
              <w:szCs w:val="24"/>
            </w:rPr>
            <w:t xml:space="preserve">3: Plan de Inversiones: </w:t>
          </w:r>
          <w:r w:rsidRPr="000A64F5">
            <w:rPr>
              <w:rFonts w:ascii="Times New Roman" w:hAnsi="Times New Roman"/>
              <w:sz w:val="24"/>
              <w:szCs w:val="24"/>
            </w:rPr>
            <w:t>Está establecido en la cláusula séptima del contrato, modificado por el Otrosí No. 02 de 2015 que estableció en la cláusula tercera, el plan de inversión ejecutado fue de USD $ 7.699.634 en valores corrientes.</w:t>
          </w:r>
        </w:p>
        <w:p w14:paraId="27E47399" w14:textId="77777777" w:rsidR="00274429" w:rsidRPr="000A64F5" w:rsidRDefault="00274429" w:rsidP="00274429">
          <w:pPr>
            <w:jc w:val="both"/>
            <w:rPr>
              <w:rFonts w:ascii="Times New Roman" w:hAnsi="Times New Roman"/>
              <w:sz w:val="24"/>
              <w:szCs w:val="24"/>
            </w:rPr>
          </w:pPr>
          <w:r w:rsidRPr="000A64F5">
            <w:rPr>
              <w:rFonts w:ascii="Times New Roman" w:hAnsi="Times New Roman"/>
              <w:b/>
              <w:bCs/>
              <w:sz w:val="24"/>
              <w:szCs w:val="24"/>
            </w:rPr>
            <w:t xml:space="preserve">Obligaciones del CONCESIONARIO: </w:t>
          </w:r>
          <w:r w:rsidRPr="000A64F5">
            <w:rPr>
              <w:rFonts w:ascii="Times New Roman" w:hAnsi="Times New Roman"/>
              <w:sz w:val="24"/>
              <w:szCs w:val="24"/>
            </w:rPr>
            <w:t xml:space="preserve">se encuentran descritas en la cláusula décima quinta. </w:t>
          </w:r>
        </w:p>
        <w:p w14:paraId="02337ADE" w14:textId="77777777" w:rsidR="00274429" w:rsidRPr="000A64F5" w:rsidRDefault="00274429" w:rsidP="00274429">
          <w:pPr>
            <w:jc w:val="both"/>
            <w:rPr>
              <w:rFonts w:ascii="Times New Roman" w:hAnsi="Times New Roman"/>
              <w:sz w:val="24"/>
              <w:szCs w:val="24"/>
            </w:rPr>
          </w:pPr>
          <w:r w:rsidRPr="000A64F5">
            <w:rPr>
              <w:rFonts w:ascii="Times New Roman" w:hAnsi="Times New Roman"/>
              <w:b/>
              <w:bCs/>
              <w:sz w:val="24"/>
              <w:szCs w:val="24"/>
            </w:rPr>
            <w:t xml:space="preserve">Multas y sanciones: </w:t>
          </w:r>
          <w:r w:rsidRPr="000A64F5">
            <w:rPr>
              <w:rFonts w:ascii="Times New Roman" w:hAnsi="Times New Roman"/>
              <w:sz w:val="24"/>
              <w:szCs w:val="24"/>
            </w:rPr>
            <w:t>están establecidas en la cláusula décima octava.</w:t>
          </w:r>
        </w:p>
        <w:p w14:paraId="0BFD58AA" w14:textId="77777777" w:rsidR="00274429" w:rsidRPr="000A64F5" w:rsidRDefault="00274429" w:rsidP="00274429">
          <w:pPr>
            <w:jc w:val="both"/>
            <w:rPr>
              <w:rFonts w:ascii="Times New Roman" w:hAnsi="Times New Roman"/>
              <w:sz w:val="24"/>
              <w:szCs w:val="24"/>
            </w:rPr>
          </w:pPr>
          <w:r w:rsidRPr="000A64F5">
            <w:rPr>
              <w:rFonts w:ascii="Times New Roman" w:hAnsi="Times New Roman"/>
              <w:b/>
              <w:bCs/>
              <w:sz w:val="24"/>
              <w:szCs w:val="24"/>
            </w:rPr>
            <w:t xml:space="preserve">Penal pecuniario: </w:t>
          </w:r>
          <w:r w:rsidRPr="000A64F5">
            <w:rPr>
              <w:rFonts w:ascii="Times New Roman" w:hAnsi="Times New Roman"/>
              <w:sz w:val="24"/>
              <w:szCs w:val="24"/>
            </w:rPr>
            <w:t>En la cláusula décima novena se establece que en el evento en que el INCO hoy ANI declare la caducidad o el incumplimiento del presente contrato se podrá imponer una penalidad pecuniaria.</w:t>
          </w:r>
        </w:p>
        <w:p w14:paraId="113F2637" w14:textId="77777777" w:rsidR="00274429" w:rsidRDefault="00274429" w:rsidP="00274429">
          <w:pPr>
            <w:jc w:val="both"/>
            <w:rPr>
              <w:rFonts w:ascii="Times New Roman" w:hAnsi="Times New Roman"/>
              <w:b/>
              <w:bCs/>
              <w:sz w:val="24"/>
              <w:szCs w:val="24"/>
            </w:rPr>
          </w:pPr>
          <w:r w:rsidRPr="004C1095">
            <w:rPr>
              <w:rFonts w:ascii="Times New Roman" w:hAnsi="Times New Roman"/>
              <w:b/>
              <w:bCs/>
              <w:sz w:val="24"/>
              <w:szCs w:val="24"/>
            </w:rPr>
            <w:t>Términos de calendario:</w:t>
          </w:r>
        </w:p>
        <w:p w14:paraId="3EA9B5C8" w14:textId="77777777" w:rsidR="00274429" w:rsidRPr="000A64F5" w:rsidRDefault="00274429" w:rsidP="00274429">
          <w:pPr>
            <w:jc w:val="both"/>
            <w:rPr>
              <w:rFonts w:ascii="Times New Roman" w:hAnsi="Times New Roman"/>
              <w:sz w:val="24"/>
              <w:szCs w:val="24"/>
            </w:rPr>
          </w:pPr>
          <w:r>
            <w:rPr>
              <w:rFonts w:ascii="Times New Roman" w:hAnsi="Times New Roman"/>
              <w:b/>
              <w:bCs/>
              <w:sz w:val="24"/>
              <w:szCs w:val="24"/>
            </w:rPr>
            <w:t xml:space="preserve">1. </w:t>
          </w:r>
          <w:r w:rsidRPr="000A64F5">
            <w:rPr>
              <w:rFonts w:ascii="Times New Roman" w:hAnsi="Times New Roman"/>
              <w:b/>
              <w:bCs/>
              <w:sz w:val="24"/>
              <w:szCs w:val="24"/>
            </w:rPr>
            <w:t xml:space="preserve">Tarifas: </w:t>
          </w:r>
          <w:r w:rsidRPr="000A64F5">
            <w:rPr>
              <w:rFonts w:ascii="Times New Roman" w:hAnsi="Times New Roman"/>
              <w:sz w:val="24"/>
              <w:szCs w:val="24"/>
            </w:rPr>
            <w:t>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w:t>
          </w:r>
        </w:p>
        <w:p w14:paraId="0FAF91E3" w14:textId="77777777" w:rsidR="00274429" w:rsidRPr="000A64F5" w:rsidRDefault="00274429" w:rsidP="00274429">
          <w:pPr>
            <w:jc w:val="both"/>
            <w:rPr>
              <w:rFonts w:ascii="Times New Roman" w:hAnsi="Times New Roman"/>
              <w:sz w:val="24"/>
              <w:szCs w:val="24"/>
            </w:rPr>
          </w:pPr>
          <w:r w:rsidRPr="000A64F5">
            <w:rPr>
              <w:rFonts w:ascii="Times New Roman" w:hAnsi="Times New Roman"/>
              <w:b/>
              <w:bCs/>
              <w:sz w:val="24"/>
              <w:szCs w:val="24"/>
            </w:rPr>
            <w:t>2</w:t>
          </w:r>
          <w:r>
            <w:rPr>
              <w:rFonts w:ascii="Times New Roman" w:hAnsi="Times New Roman"/>
              <w:b/>
              <w:bCs/>
              <w:sz w:val="24"/>
              <w:szCs w:val="24"/>
            </w:rPr>
            <w:t>.</w:t>
          </w:r>
          <w:r w:rsidRPr="000A64F5">
            <w:rPr>
              <w:rFonts w:ascii="Times New Roman" w:hAnsi="Times New Roman"/>
              <w:b/>
              <w:bCs/>
              <w:sz w:val="24"/>
              <w:szCs w:val="24"/>
            </w:rPr>
            <w:t xml:space="preserve"> Contraprestación portuaria: </w:t>
          </w:r>
          <w:r w:rsidRPr="000A64F5">
            <w:rPr>
              <w:rFonts w:ascii="Times New Roman" w:hAnsi="Times New Roman"/>
              <w:sz w:val="24"/>
              <w:szCs w:val="24"/>
            </w:rPr>
            <w:t>Contraprestación portuaria: Anexo 2 Conpes 3744 de 2013 “(…) Antes de finalizar los meses de febrero cada concesionario deberá corregir su liquidación del año anterior según el movimiento de carga real y la indexación del valor de referencia por metro cuadrado, del avalúo de la infraestructura concesionada y de los cargos, así como realizar el pago anticipado del año en curso con base en lo proyectado en el FCL definitivo”.</w:t>
          </w:r>
        </w:p>
        <w:p w14:paraId="5D7C738D" w14:textId="77777777" w:rsidR="00274429" w:rsidRPr="000A64F5" w:rsidRDefault="00274429" w:rsidP="00274429">
          <w:pPr>
            <w:jc w:val="both"/>
            <w:rPr>
              <w:rFonts w:ascii="Times New Roman" w:hAnsi="Times New Roman"/>
              <w:sz w:val="24"/>
              <w:szCs w:val="24"/>
            </w:rPr>
          </w:pPr>
          <w:r w:rsidRPr="000A64F5">
            <w:rPr>
              <w:rFonts w:ascii="Times New Roman" w:hAnsi="Times New Roman"/>
              <w:b/>
              <w:bCs/>
              <w:sz w:val="24"/>
              <w:szCs w:val="24"/>
            </w:rPr>
            <w:lastRenderedPageBreak/>
            <w:t>3</w:t>
          </w:r>
          <w:r>
            <w:rPr>
              <w:rFonts w:ascii="Times New Roman" w:hAnsi="Times New Roman"/>
              <w:b/>
              <w:bCs/>
              <w:sz w:val="24"/>
              <w:szCs w:val="24"/>
            </w:rPr>
            <w:t xml:space="preserve">. </w:t>
          </w:r>
          <w:r w:rsidRPr="000A64F5">
            <w:rPr>
              <w:rFonts w:ascii="Times New Roman" w:hAnsi="Times New Roman"/>
              <w:b/>
              <w:bCs/>
              <w:sz w:val="24"/>
              <w:szCs w:val="24"/>
            </w:rPr>
            <w:t xml:space="preserve">Plan de inversiones: </w:t>
          </w:r>
          <w:r w:rsidRPr="000A64F5">
            <w:rPr>
              <w:rFonts w:ascii="Times New Roman" w:hAnsi="Times New Roman"/>
              <w:sz w:val="24"/>
              <w:szCs w:val="24"/>
            </w:rPr>
            <w:t>Se estableció en la cláusula séptima del contrato, modificado en la Cláusula tercera del Otrosí No 002 de 2015 ejecución de inversiones en el periodo de tiempo comprendido año 2010.</w:t>
          </w:r>
        </w:p>
        <w:p w14:paraId="0A69CA02" w14:textId="77777777" w:rsidR="00274429" w:rsidRPr="000A64F5" w:rsidRDefault="00274429" w:rsidP="00274429">
          <w:pPr>
            <w:jc w:val="both"/>
            <w:rPr>
              <w:rFonts w:ascii="Times New Roman" w:hAnsi="Times New Roman"/>
              <w:sz w:val="24"/>
              <w:szCs w:val="24"/>
            </w:rPr>
          </w:pPr>
          <w:r w:rsidRPr="000A64F5">
            <w:rPr>
              <w:rFonts w:ascii="Times New Roman" w:hAnsi="Times New Roman"/>
              <w:b/>
              <w:bCs/>
              <w:sz w:val="24"/>
              <w:szCs w:val="24"/>
            </w:rPr>
            <w:t xml:space="preserve">4: Multas: </w:t>
          </w:r>
          <w:r w:rsidRPr="000A64F5">
            <w:rPr>
              <w:rFonts w:ascii="Times New Roman" w:hAnsi="Times New Roman"/>
              <w:sz w:val="24"/>
              <w:szCs w:val="24"/>
            </w:rPr>
            <w:t>Están establecidas en la cláusula décima octava del Contrato 010 de 2010</w:t>
          </w:r>
        </w:p>
        <w:p w14:paraId="177763C7" w14:textId="77777777"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certeza de flujos de efectivo futuros:</w:t>
          </w:r>
        </w:p>
        <w:p w14:paraId="5A3B93D8" w14:textId="77777777" w:rsidR="00274429" w:rsidRPr="00E65D02" w:rsidRDefault="00274429" w:rsidP="00274429">
          <w:pPr>
            <w:jc w:val="both"/>
            <w:rPr>
              <w:rFonts w:ascii="Times New Roman" w:hAnsi="Times New Roman"/>
              <w:sz w:val="24"/>
              <w:szCs w:val="24"/>
            </w:rPr>
          </w:pPr>
          <w:r w:rsidRPr="00E65D02">
            <w:rPr>
              <w:rFonts w:ascii="Times New Roman" w:hAnsi="Times New Roman"/>
              <w:sz w:val="24"/>
              <w:szCs w:val="24"/>
            </w:rPr>
            <w:t xml:space="preserve">En virtud del Contrato de concesión y sus modificaciones, se permite al CONCESIONARIO la utilización y ocupación en forma temporal y exclusiva de las playas, terrenos de bajamar, y las zonas accesorias a aquellas o éstas localizados en el sector de Mamonal de la Bahía de Cartagena por un término de veinte (20) años a cambio de la contraprestación establecida en la Cláusula Octava del presente Contrato. </w:t>
          </w:r>
        </w:p>
        <w:p w14:paraId="3AA3BB68" w14:textId="77777777" w:rsidR="00274429" w:rsidRPr="00E65D02" w:rsidRDefault="00274429" w:rsidP="00274429">
          <w:pPr>
            <w:jc w:val="both"/>
            <w:rPr>
              <w:rFonts w:ascii="Times New Roman" w:hAnsi="Times New Roman"/>
              <w:sz w:val="24"/>
              <w:szCs w:val="24"/>
            </w:rPr>
          </w:pPr>
          <w:r w:rsidRPr="00E65D02">
            <w:rPr>
              <w:rFonts w:ascii="Times New Roman" w:hAnsi="Times New Roman"/>
              <w:sz w:val="24"/>
              <w:szCs w:val="24"/>
            </w:rPr>
            <w:t>Cláusula Quinta parágrafo sexto del Otrosí No 002 de 2015 El pago de la contraprestación con relación al componente fijo y variable por el goce y uso de la zona de uso público le corresponde a la Nación- Instituto Nacional de Vías el 80% y el 20% restante al Distrito de Cartagena de Indias (Bolívar).</w:t>
          </w:r>
        </w:p>
        <w:p w14:paraId="36595AE0" w14:textId="77777777" w:rsidR="00274429" w:rsidRDefault="00274429" w:rsidP="00E60BAB">
          <w:pPr>
            <w:pStyle w:val="Prrafodelista"/>
            <w:numPr>
              <w:ilvl w:val="0"/>
              <w:numId w:val="114"/>
            </w:numPr>
            <w:spacing w:line="259" w:lineRule="auto"/>
            <w:jc w:val="both"/>
            <w:rPr>
              <w:rFonts w:ascii="Times New Roman" w:hAnsi="Times New Roman"/>
              <w:b/>
              <w:bCs/>
              <w:sz w:val="24"/>
              <w:szCs w:val="24"/>
            </w:rPr>
          </w:pPr>
          <w:r w:rsidRPr="0085771E">
            <w:rPr>
              <w:rFonts w:ascii="Times New Roman" w:hAnsi="Times New Roman"/>
              <w:b/>
              <w:bCs/>
              <w:sz w:val="24"/>
              <w:szCs w:val="24"/>
            </w:rPr>
            <w:t>Naturaleza y alcance del derecho a utilizar activos especificados, de los aspectos pactados en torno a lo que se espera que el concesionario proporcione en relación con el acuerdo de concesión (Se requiere ser breves, precisos, y concisos en la redacción)</w:t>
          </w:r>
        </w:p>
        <w:p w14:paraId="1D0011E7" w14:textId="77777777" w:rsidR="00274429" w:rsidRDefault="00274429" w:rsidP="00274429">
          <w:pPr>
            <w:jc w:val="both"/>
            <w:rPr>
              <w:rFonts w:ascii="Times New Roman" w:hAnsi="Times New Roman"/>
              <w:b/>
              <w:bCs/>
              <w:sz w:val="24"/>
              <w:szCs w:val="24"/>
            </w:rPr>
          </w:pPr>
          <w:r w:rsidRPr="00217110">
            <w:rPr>
              <w:rFonts w:ascii="Times New Roman" w:hAnsi="Times New Roman"/>
              <w:b/>
              <w:bCs/>
              <w:sz w:val="24"/>
              <w:szCs w:val="24"/>
            </w:rPr>
            <w:t>Naturaleza y alcance del derecho de uso de los activos</w:t>
          </w:r>
        </w:p>
        <w:p w14:paraId="26BB8C2F" w14:textId="7367421B" w:rsidR="00274429" w:rsidRPr="000A64F5" w:rsidRDefault="00274429" w:rsidP="00274429">
          <w:pPr>
            <w:jc w:val="both"/>
            <w:rPr>
              <w:rFonts w:ascii="Times New Roman" w:hAnsi="Times New Roman"/>
              <w:sz w:val="24"/>
              <w:szCs w:val="24"/>
            </w:rPr>
          </w:pPr>
          <w:r w:rsidRPr="003E5FA9">
            <w:rPr>
              <w:rFonts w:ascii="Times New Roman" w:hAnsi="Times New Roman"/>
              <w:b/>
              <w:bCs/>
              <w:sz w:val="24"/>
              <w:szCs w:val="24"/>
            </w:rPr>
            <w:t>Descripción:</w:t>
          </w:r>
          <w:r w:rsidRPr="000A64F5">
            <w:rPr>
              <w:rFonts w:ascii="Times New Roman" w:hAnsi="Times New Roman"/>
              <w:sz w:val="24"/>
              <w:szCs w:val="24"/>
            </w:rPr>
            <w:t xml:space="preserve">En virtud del Contrato de concesión y sus modificaciones, se permite al CONCESIONARIO la utilización y ocupación en forma temporal y exclusiva de las playas, terrenos de bajamar, y las zonas accesorias a aquellas o éstas localizados en el sector de Mamonal de la Bahía de Cartagena por un término de veinte (20) años a cambio de la contraprestación establecida en la Cláusula Octava del presente Contrato. </w:t>
          </w:r>
        </w:p>
        <w:p w14:paraId="03FDA292" w14:textId="77777777" w:rsidR="00274429" w:rsidRPr="000A64F5" w:rsidRDefault="00274429" w:rsidP="00274429">
          <w:pPr>
            <w:jc w:val="both"/>
            <w:rPr>
              <w:rFonts w:ascii="Times New Roman" w:hAnsi="Times New Roman"/>
              <w:sz w:val="24"/>
              <w:szCs w:val="24"/>
            </w:rPr>
          </w:pPr>
          <w:r w:rsidRPr="000A64F5">
            <w:rPr>
              <w:rFonts w:ascii="Times New Roman" w:hAnsi="Times New Roman"/>
              <w:sz w:val="24"/>
              <w:szCs w:val="24"/>
            </w:rPr>
            <w:t>Cláusula Quinta parágrafo sexto del Otrosí No 002 de 2015 El pago de la contraprestación con relación al componente fijo y variable por el goce y uso de la zona de uso público le corresponde a la Nación- Instituto Nacional de Vías el 80% y el 20% restante al Distrito de Cartagena de Indias (Bolívar).</w:t>
          </w:r>
        </w:p>
        <w:p w14:paraId="3452770F" w14:textId="77777777" w:rsidR="00274429" w:rsidRPr="009A46BB" w:rsidRDefault="00274429" w:rsidP="00274429">
          <w:pPr>
            <w:jc w:val="both"/>
            <w:rPr>
              <w:rFonts w:ascii="Times New Roman" w:hAnsi="Times New Roman"/>
            </w:rPr>
          </w:pPr>
          <w:r w:rsidRPr="003E5FA9">
            <w:rPr>
              <w:rFonts w:ascii="Times New Roman" w:hAnsi="Times New Roman"/>
              <w:b/>
              <w:bCs/>
              <w:sz w:val="24"/>
              <w:szCs w:val="24"/>
            </w:rPr>
            <w:t>Observaciones:</w:t>
          </w:r>
          <w:r>
            <w:rPr>
              <w:rFonts w:ascii="Times New Roman" w:hAnsi="Times New Roman"/>
              <w:b/>
              <w:bCs/>
              <w:sz w:val="24"/>
              <w:szCs w:val="24"/>
            </w:rPr>
            <w:t xml:space="preserve"> </w:t>
          </w:r>
        </w:p>
        <w:p w14:paraId="5AAE40E1" w14:textId="77777777" w:rsidR="00274429" w:rsidRDefault="00274429" w:rsidP="00274429">
          <w:pPr>
            <w:jc w:val="both"/>
            <w:rPr>
              <w:rFonts w:ascii="Times New Roman" w:hAnsi="Times New Roman"/>
              <w:b/>
              <w:bCs/>
              <w:sz w:val="24"/>
              <w:szCs w:val="24"/>
            </w:rPr>
          </w:pPr>
          <w:r w:rsidRPr="00197A12">
            <w:rPr>
              <w:rFonts w:ascii="Times New Roman" w:hAnsi="Times New Roman"/>
              <w:b/>
              <w:bCs/>
              <w:sz w:val="24"/>
              <w:szCs w:val="24"/>
            </w:rPr>
            <w:t>Retribución al concesionario</w:t>
          </w:r>
        </w:p>
        <w:p w14:paraId="69FBEE0C" w14:textId="77777777" w:rsidR="00274429" w:rsidRPr="000A64F5" w:rsidRDefault="00274429" w:rsidP="00274429">
          <w:pPr>
            <w:rPr>
              <w:rFonts w:ascii="Times New Roman" w:hAnsi="Times New Roman"/>
              <w:sz w:val="24"/>
              <w:szCs w:val="24"/>
            </w:rPr>
          </w:pPr>
          <w:r w:rsidRPr="003E5FA9">
            <w:rPr>
              <w:rFonts w:ascii="Times New Roman" w:hAnsi="Times New Roman"/>
              <w:b/>
              <w:bCs/>
              <w:sz w:val="24"/>
              <w:szCs w:val="24"/>
            </w:rPr>
            <w:t>Descripción:</w:t>
          </w:r>
          <w:r>
            <w:rPr>
              <w:rFonts w:ascii="Times New Roman" w:hAnsi="Times New Roman"/>
              <w:b/>
              <w:bCs/>
              <w:sz w:val="24"/>
              <w:szCs w:val="24"/>
            </w:rPr>
            <w:t xml:space="preserve"> </w:t>
          </w:r>
          <w:r w:rsidRPr="000A64F5">
            <w:rPr>
              <w:rFonts w:ascii="Times New Roman" w:hAnsi="Times New Roman"/>
              <w:sz w:val="24"/>
              <w:szCs w:val="24"/>
            </w:rPr>
            <w:t xml:space="preserve">Descripción: En virtud Cláusula primea del Contrato de concesión, se permite al CONCESIONARIO la utilización y ocupación en forma temporal y exclusiva de las playas, terrenos de bajamar, y las zonas accesorias a aquellas o éstas localizados en el sector de Mamonal de la Bahía de Cartagena por un término de veinte (20) años a cambio de la contraprestación establecida en la Cláusula Octava del presente Contrato. </w:t>
          </w:r>
        </w:p>
        <w:p w14:paraId="00E83B4C" w14:textId="77777777" w:rsidR="00274429" w:rsidRDefault="00274429" w:rsidP="00274429">
          <w:pPr>
            <w:jc w:val="both"/>
            <w:rPr>
              <w:rFonts w:ascii="Times New Roman" w:hAnsi="Times New Roman"/>
              <w:b/>
              <w:bCs/>
              <w:sz w:val="24"/>
              <w:szCs w:val="24"/>
            </w:rPr>
          </w:pPr>
          <w:r w:rsidRPr="003E5FA9">
            <w:rPr>
              <w:rFonts w:ascii="Times New Roman" w:hAnsi="Times New Roman"/>
              <w:b/>
              <w:bCs/>
              <w:sz w:val="24"/>
              <w:szCs w:val="24"/>
            </w:rPr>
            <w:t>Tasa de retribución:</w:t>
          </w:r>
          <w:r>
            <w:rPr>
              <w:rFonts w:ascii="Times New Roman" w:hAnsi="Times New Roman"/>
              <w:b/>
              <w:bCs/>
              <w:sz w:val="24"/>
              <w:szCs w:val="24"/>
            </w:rPr>
            <w:t xml:space="preserve"> N/A</w:t>
          </w:r>
        </w:p>
        <w:p w14:paraId="68378C87" w14:textId="77777777" w:rsidR="00274429" w:rsidRDefault="00274429" w:rsidP="00E60BAB">
          <w:pPr>
            <w:pStyle w:val="Prrafodelista"/>
            <w:numPr>
              <w:ilvl w:val="0"/>
              <w:numId w:val="114"/>
            </w:numPr>
            <w:spacing w:line="259" w:lineRule="auto"/>
            <w:jc w:val="both"/>
            <w:rPr>
              <w:rFonts w:ascii="Times New Roman" w:hAnsi="Times New Roman"/>
              <w:b/>
              <w:bCs/>
              <w:sz w:val="24"/>
              <w:szCs w:val="24"/>
            </w:rPr>
          </w:pPr>
          <w:r w:rsidRPr="00197A12">
            <w:rPr>
              <w:rFonts w:ascii="Times New Roman" w:hAnsi="Times New Roman"/>
              <w:b/>
              <w:bCs/>
              <w:sz w:val="24"/>
              <w:szCs w:val="24"/>
            </w:rPr>
            <w:t>Derechos a recibir activos especificados al final del acuerdo de concesión</w:t>
          </w:r>
        </w:p>
        <w:p w14:paraId="3617008B" w14:textId="77777777" w:rsidR="00274429" w:rsidRPr="000A64F5" w:rsidRDefault="00274429" w:rsidP="00274429">
          <w:pPr>
            <w:rPr>
              <w:rFonts w:ascii="Times New Roman" w:hAnsi="Times New Roman"/>
              <w:sz w:val="24"/>
              <w:szCs w:val="24"/>
            </w:rPr>
          </w:pPr>
          <w:r w:rsidRPr="006D56DF">
            <w:rPr>
              <w:rFonts w:ascii="Times New Roman" w:hAnsi="Times New Roman"/>
              <w:b/>
              <w:bCs/>
              <w:sz w:val="24"/>
              <w:szCs w:val="24"/>
            </w:rPr>
            <w:lastRenderedPageBreak/>
            <w:t>Descripción:</w:t>
          </w:r>
          <w:r>
            <w:rPr>
              <w:rFonts w:ascii="Times New Roman" w:hAnsi="Times New Roman"/>
              <w:b/>
              <w:bCs/>
              <w:sz w:val="24"/>
              <w:szCs w:val="24"/>
            </w:rPr>
            <w:t xml:space="preserve"> </w:t>
          </w:r>
          <w:r w:rsidRPr="000A64F5">
            <w:rPr>
              <w:rFonts w:ascii="Times New Roman" w:hAnsi="Times New Roman"/>
              <w:sz w:val="24"/>
              <w:szCs w:val="24"/>
            </w:rPr>
            <w:t>De acuerdo con el Artículo 8º de la Ley 1 de 1991 en el modo portuario el concesionario no tiene derechos finales sobre activos los debe revertir a la Nación al final del contrato de concesión.</w:t>
          </w:r>
        </w:p>
        <w:p w14:paraId="6980C7AE" w14:textId="0A77F96F" w:rsidR="00243E3B" w:rsidRPr="00243E3B" w:rsidRDefault="00274429" w:rsidP="00243E3B">
          <w:pPr>
            <w:jc w:val="both"/>
            <w:rPr>
              <w:rFonts w:ascii="Times New Roman" w:hAnsi="Times New Roman"/>
              <w:sz w:val="24"/>
              <w:szCs w:val="24"/>
            </w:rPr>
          </w:pPr>
          <w:r w:rsidRPr="006D56DF">
            <w:rPr>
              <w:rFonts w:ascii="Times New Roman" w:hAnsi="Times New Roman"/>
              <w:b/>
              <w:bCs/>
              <w:sz w:val="24"/>
              <w:szCs w:val="24"/>
            </w:rPr>
            <w:t>Observaciones:</w:t>
          </w:r>
          <w:r>
            <w:rPr>
              <w:rFonts w:ascii="Times New Roman" w:hAnsi="Times New Roman"/>
              <w:b/>
              <w:bCs/>
              <w:sz w:val="24"/>
              <w:szCs w:val="24"/>
            </w:rPr>
            <w:t xml:space="preserve"> </w:t>
          </w:r>
          <w:r w:rsidR="00243E3B" w:rsidRPr="00243E3B">
            <w:rPr>
              <w:rFonts w:ascii="Times New Roman" w:hAnsi="Times New Roman"/>
              <w:sz w:val="24"/>
              <w:szCs w:val="24"/>
            </w:rPr>
            <w:t>De acuerdo con lo establecido en la cláusula Décimosegunda del Otrosí No. 002 de 2015 al contrato de concesión 010 de 2010 La zona de uso público y todas las construcciones e inmuebles por destinación existentes, así como las que autoricen por la Agencia Nacional de Infraestructura, levantadas o construidas en la zona de uso público que se ha sido determinada o que se encuentran habitualmente instaladas en ellas y afectadas a la concesión serán revertidasgratuitamente por el Concesionario a la Nación- Instituto Nacional de Vías, o quien haga sus veces, conforme a los dispuesto en el artículo 8 ° de la Ley 1° de 1991,o la norma que lo modifique y reglamente, en buen estado de operación y mantenimiento, al extinguirse el plazo de la misma o al ser declarada la caducidad. Dichos bienes deberán entregarse en buenas condiciones de operación tecnología, mantenimiento y de adecuada eficiencia al término de este contrato y de la prórroga si la hubiere.</w:t>
          </w:r>
        </w:p>
        <w:p w14:paraId="0C7943AB" w14:textId="77777777" w:rsidR="00243E3B" w:rsidRPr="00243E3B" w:rsidRDefault="00243E3B" w:rsidP="00243E3B">
          <w:pPr>
            <w:jc w:val="both"/>
            <w:rPr>
              <w:rFonts w:ascii="Times New Roman" w:hAnsi="Times New Roman"/>
              <w:sz w:val="24"/>
              <w:szCs w:val="24"/>
            </w:rPr>
          </w:pPr>
          <w:r w:rsidRPr="00243E3B">
            <w:rPr>
              <w:rFonts w:ascii="Times New Roman" w:hAnsi="Times New Roman"/>
              <w:sz w:val="24"/>
              <w:szCs w:val="24"/>
            </w:rPr>
            <w:t>Igualmente, procederá a la reversión al ser declarada la caducidad o la terminación unilateral. Para efecto el CONCESIONARIO deberá entregar con una antelación mínima de seis (6) meses anteriores a la terminación del contrato, un avaluó comercial actualizado y valoración técnica de las condiciones de operación de la infraestructura portuaria, equipos e inmuebles por destinación que habitualmente se encuentren instalados en las zonas de uso público que se revertirán y serán propiedad de la Nación.</w:t>
          </w:r>
        </w:p>
        <w:p w14:paraId="2325A85A" w14:textId="77777777" w:rsidR="00243E3B" w:rsidRPr="00243E3B" w:rsidRDefault="00243E3B" w:rsidP="00243E3B">
          <w:pPr>
            <w:jc w:val="both"/>
            <w:rPr>
              <w:rFonts w:ascii="Times New Roman" w:hAnsi="Times New Roman"/>
              <w:sz w:val="24"/>
              <w:szCs w:val="24"/>
            </w:rPr>
          </w:pPr>
          <w:r w:rsidRPr="00243E3B">
            <w:rPr>
              <w:rFonts w:ascii="Times New Roman" w:hAnsi="Times New Roman"/>
              <w:sz w:val="24"/>
              <w:szCs w:val="24"/>
            </w:rPr>
            <w:t>Para tal fin, en el momento de la reversión el CONCESIONARIO elaborará un inventario de los bienes y los enviará para su revisión y aprobación.</w:t>
          </w:r>
        </w:p>
        <w:p w14:paraId="76B84521" w14:textId="220F1563" w:rsidR="00274429" w:rsidRPr="005B3973" w:rsidRDefault="00243E3B" w:rsidP="00243E3B">
          <w:pPr>
            <w:jc w:val="both"/>
            <w:rPr>
              <w:rFonts w:ascii="Times New Roman" w:hAnsi="Times New Roman"/>
              <w:sz w:val="24"/>
              <w:szCs w:val="24"/>
            </w:rPr>
          </w:pPr>
          <w:r w:rsidRPr="00243E3B">
            <w:rPr>
              <w:rFonts w:ascii="Times New Roman" w:hAnsi="Times New Roman"/>
              <w:sz w:val="24"/>
              <w:szCs w:val="24"/>
            </w:rPr>
            <w:t>La ANI es la entidad concedente pero la titularidad de los activos al final de la concesión es del Instituto Nacional de Vías INVIAS.</w:t>
          </w:r>
        </w:p>
        <w:p w14:paraId="16410B49" w14:textId="7DBC4E1E" w:rsidR="00274429" w:rsidRDefault="00243E3B" w:rsidP="00E60BAB">
          <w:pPr>
            <w:pStyle w:val="Prrafodelista"/>
            <w:numPr>
              <w:ilvl w:val="0"/>
              <w:numId w:val="114"/>
            </w:numPr>
            <w:spacing w:line="259" w:lineRule="auto"/>
            <w:jc w:val="both"/>
            <w:rPr>
              <w:rFonts w:ascii="Times New Roman" w:hAnsi="Times New Roman"/>
              <w:b/>
              <w:bCs/>
              <w:sz w:val="24"/>
              <w:szCs w:val="24"/>
            </w:rPr>
          </w:pPr>
          <w:r>
            <w:rPr>
              <w:rFonts w:ascii="Times New Roman" w:hAnsi="Times New Roman"/>
              <w:b/>
              <w:bCs/>
              <w:sz w:val="24"/>
              <w:szCs w:val="24"/>
            </w:rPr>
            <w:t>No hay ca</w:t>
          </w:r>
          <w:r w:rsidR="00274429" w:rsidRPr="00197A12">
            <w:rPr>
              <w:rFonts w:ascii="Times New Roman" w:hAnsi="Times New Roman"/>
              <w:b/>
              <w:bCs/>
              <w:sz w:val="24"/>
              <w:szCs w:val="24"/>
            </w:rPr>
            <w:t>mbios en el acuerdo de concesión que se realicen durante el periodo</w:t>
          </w:r>
          <w:r w:rsidR="00274429">
            <w:rPr>
              <w:rFonts w:ascii="Times New Roman" w:hAnsi="Times New Roman"/>
              <w:b/>
              <w:bCs/>
              <w:sz w:val="24"/>
              <w:szCs w:val="24"/>
            </w:rPr>
            <w:t xml:space="preserve"> fiscal</w:t>
          </w:r>
        </w:p>
        <w:p w14:paraId="2F431AD2" w14:textId="77777777" w:rsidR="00274429" w:rsidRPr="009A46BB" w:rsidRDefault="00274429" w:rsidP="00274429">
          <w:pPr>
            <w:rPr>
              <w:rFonts w:ascii="Times New Roman" w:hAnsi="Times New Roman"/>
            </w:rPr>
          </w:pPr>
        </w:p>
        <w:p w14:paraId="3C68B55E" w14:textId="6081289C" w:rsidR="00274429" w:rsidRPr="00776658" w:rsidRDefault="00776658" w:rsidP="00274429">
          <w:pPr>
            <w:rPr>
              <w:rFonts w:ascii="Times New Roman" w:hAnsi="Times New Roman"/>
              <w:b/>
              <w:sz w:val="24"/>
              <w:szCs w:val="24"/>
            </w:rPr>
          </w:pPr>
          <w:r w:rsidRPr="00776658">
            <w:rPr>
              <w:rFonts w:ascii="Times New Roman" w:hAnsi="Times New Roman"/>
              <w:b/>
              <w:bCs/>
              <w:sz w:val="24"/>
              <w:szCs w:val="24"/>
            </w:rPr>
            <w:t>SOCIEDAD PORTUARIA PUERTO NUEVO S.A</w:t>
          </w:r>
        </w:p>
        <w:p w14:paraId="1802B124" w14:textId="77777777" w:rsidR="00274429" w:rsidRPr="009A46BB" w:rsidRDefault="00274429" w:rsidP="00E60BAB">
          <w:pPr>
            <w:pStyle w:val="Prrafodelista"/>
            <w:numPr>
              <w:ilvl w:val="0"/>
              <w:numId w:val="116"/>
            </w:numPr>
            <w:spacing w:line="259" w:lineRule="auto"/>
            <w:jc w:val="both"/>
            <w:rPr>
              <w:rFonts w:ascii="Times New Roman" w:hAnsi="Times New Roman"/>
              <w:b/>
            </w:rPr>
          </w:pPr>
          <w:r w:rsidRPr="007760D5">
            <w:rPr>
              <w:rFonts w:ascii="Times New Roman" w:hAnsi="Times New Roman"/>
              <w:b/>
              <w:bCs/>
              <w:sz w:val="24"/>
              <w:szCs w:val="24"/>
            </w:rPr>
            <w:t>Descripción del acuerdo</w:t>
          </w:r>
        </w:p>
        <w:p w14:paraId="3A526B53" w14:textId="68087832" w:rsidR="00274429" w:rsidRPr="009A46BB" w:rsidRDefault="00274429" w:rsidP="10D44305">
          <w:pPr>
            <w:spacing w:after="0"/>
            <w:jc w:val="both"/>
            <w:rPr>
              <w:rFonts w:ascii="Times New Roman" w:hAnsi="Times New Roman"/>
            </w:rPr>
          </w:pPr>
          <w:r w:rsidRPr="009A46BB">
            <w:rPr>
              <w:rFonts w:ascii="Times New Roman" w:hAnsi="Times New Roman"/>
              <w:b/>
            </w:rPr>
            <w:t>Número del acuerdo de concesión:</w:t>
          </w:r>
          <w:r w:rsidR="23DA811C" w:rsidRPr="10D44305">
            <w:rPr>
              <w:rFonts w:ascii="Times New Roman" w:hAnsi="Times New Roman"/>
              <w:b/>
              <w:bCs/>
            </w:rPr>
            <w:t xml:space="preserve"> </w:t>
          </w:r>
          <w:r w:rsidRPr="009A46BB">
            <w:rPr>
              <w:rFonts w:ascii="Times New Roman" w:hAnsi="Times New Roman"/>
            </w:rPr>
            <w:t>Contrato No. 001 de 2011</w:t>
          </w:r>
        </w:p>
        <w:p w14:paraId="06EC204E" w14:textId="2D588732" w:rsidR="00274429" w:rsidRPr="009A46BB" w:rsidRDefault="00274429" w:rsidP="10D44305">
          <w:pPr>
            <w:spacing w:after="0"/>
            <w:jc w:val="both"/>
            <w:rPr>
              <w:rFonts w:ascii="Times New Roman" w:hAnsi="Times New Roman"/>
            </w:rPr>
          </w:pPr>
          <w:r w:rsidRPr="009A46BB">
            <w:rPr>
              <w:rFonts w:ascii="Times New Roman" w:hAnsi="Times New Roman"/>
              <w:b/>
            </w:rPr>
            <w:t>Objeto / Descripción</w:t>
          </w:r>
          <w:r w:rsidRPr="009A46BB">
            <w:rPr>
              <w:rFonts w:ascii="Times New Roman" w:hAnsi="Times New Roman"/>
            </w:rPr>
            <w:t>:</w:t>
          </w:r>
          <w:r w:rsidR="4E2857C8" w:rsidRPr="10D44305">
            <w:rPr>
              <w:rFonts w:ascii="Times New Roman" w:hAnsi="Times New Roman"/>
            </w:rPr>
            <w:t xml:space="preserve"> </w:t>
          </w:r>
          <w:r w:rsidRPr="009A46BB">
            <w:rPr>
              <w:rFonts w:ascii="Times New Roman" w:hAnsi="Times New Roman"/>
            </w:rPr>
            <w:t>En virtud del Contrato de concesión y sus modificaciones, se autoriza al CONCESIONARIO, a ocupar y usar en forma temporal y exclusiva las playas, los terrenos de bajamar y zonas accesorias a aquellas o éstos, para la construcción, administración y operación de un puerto destinado al servicio público para el manejo de carbón con el sistema de cargue directo, en jurisdicción del municipio de Ciénaga, departamento de Magdalena, en el sector conocido como Hacienda Papare en inmediaciones del Río Toribio, por el término de veintitrés(23) años y doscientos ochenta y cuatro días (284), a cambio de la contraprestación.</w:t>
          </w:r>
        </w:p>
        <w:p w14:paraId="2B9FF8F3" w14:textId="2ECF6630" w:rsidR="00274429" w:rsidRPr="00833446" w:rsidRDefault="00274429" w:rsidP="10D44305">
          <w:pPr>
            <w:spacing w:after="0"/>
            <w:jc w:val="both"/>
            <w:rPr>
              <w:rFonts w:ascii="Times New Roman" w:hAnsi="Times New Roman"/>
              <w:sz w:val="24"/>
              <w:szCs w:val="24"/>
            </w:rPr>
          </w:pPr>
          <w:r w:rsidRPr="00521A07">
            <w:rPr>
              <w:rFonts w:ascii="Times New Roman" w:hAnsi="Times New Roman"/>
              <w:b/>
              <w:bCs/>
              <w:sz w:val="24"/>
              <w:szCs w:val="24"/>
            </w:rPr>
            <w:t>Valor inicial:</w:t>
          </w:r>
          <w:r w:rsidR="580CEC7A" w:rsidRPr="10D44305">
            <w:rPr>
              <w:rFonts w:ascii="Times New Roman" w:hAnsi="Times New Roman"/>
              <w:b/>
              <w:bCs/>
              <w:sz w:val="24"/>
              <w:szCs w:val="24"/>
            </w:rPr>
            <w:t xml:space="preserve"> </w:t>
          </w:r>
          <w:r w:rsidRPr="00833446">
            <w:rPr>
              <w:rFonts w:ascii="Times New Roman" w:hAnsi="Times New Roman"/>
              <w:sz w:val="24"/>
              <w:szCs w:val="24"/>
            </w:rPr>
            <w:t xml:space="preserve">USD $42.476.572,91 memorando 20143080027153 del 27 de marzo de 2014 concepto financiero para el cálculo de la contraprestación del periodo a partir de la publicación del decreto 1099 de 2013 para la Sociedad Puerto Nuevo S.A, con base en la metodología </w:t>
          </w:r>
          <w:r w:rsidRPr="00833446">
            <w:rPr>
              <w:rFonts w:ascii="Times New Roman" w:hAnsi="Times New Roman"/>
              <w:sz w:val="24"/>
              <w:szCs w:val="24"/>
            </w:rPr>
            <w:lastRenderedPageBreak/>
            <w:t>establecida en el CONPES 3744 de 2013. Valor del Contrato actualizado: USD 29.479.172 / Cláusula tercera / Otrosí 2 del 13 de diciembre de 2022.</w:t>
          </w:r>
        </w:p>
        <w:p w14:paraId="331E46FD" w14:textId="77777777" w:rsidR="00274429" w:rsidRPr="009A46BB" w:rsidRDefault="00274429" w:rsidP="001F57C8">
          <w:pPr>
            <w:spacing w:after="0"/>
            <w:jc w:val="both"/>
            <w:rPr>
              <w:rFonts w:ascii="Times New Roman" w:hAnsi="Times New Roman"/>
            </w:rPr>
          </w:pPr>
          <w:r w:rsidRPr="00521A07">
            <w:rPr>
              <w:rFonts w:ascii="Times New Roman" w:hAnsi="Times New Roman"/>
              <w:b/>
              <w:bCs/>
              <w:sz w:val="24"/>
              <w:szCs w:val="24"/>
            </w:rPr>
            <w:t>Fecha de inicio:</w:t>
          </w:r>
          <w:r>
            <w:rPr>
              <w:rFonts w:ascii="Times New Roman" w:hAnsi="Times New Roman"/>
              <w:b/>
              <w:bCs/>
              <w:sz w:val="24"/>
              <w:szCs w:val="24"/>
            </w:rPr>
            <w:t xml:space="preserve"> </w:t>
          </w:r>
          <w:r w:rsidRPr="00833446">
            <w:rPr>
              <w:rFonts w:ascii="Times New Roman" w:hAnsi="Times New Roman"/>
              <w:sz w:val="24"/>
              <w:szCs w:val="24"/>
            </w:rPr>
            <w:t>31/03/2011</w:t>
          </w:r>
        </w:p>
        <w:p w14:paraId="2B96210B" w14:textId="77777777" w:rsidR="00274429" w:rsidRDefault="00274429" w:rsidP="001F57C8">
          <w:pPr>
            <w:spacing w:after="0"/>
            <w:jc w:val="both"/>
            <w:rPr>
              <w:rFonts w:ascii="Times New Roman" w:hAnsi="Times New Roman"/>
              <w:sz w:val="24"/>
              <w:szCs w:val="24"/>
            </w:rPr>
          </w:pPr>
          <w:r w:rsidRPr="00521A07">
            <w:rPr>
              <w:rFonts w:ascii="Times New Roman" w:hAnsi="Times New Roman"/>
              <w:b/>
              <w:bCs/>
              <w:sz w:val="24"/>
              <w:szCs w:val="24"/>
            </w:rPr>
            <w:t>Fecha de finalización estimada:</w:t>
          </w:r>
          <w:r>
            <w:rPr>
              <w:rFonts w:ascii="Times New Roman" w:hAnsi="Times New Roman"/>
              <w:b/>
              <w:bCs/>
              <w:sz w:val="24"/>
              <w:szCs w:val="24"/>
            </w:rPr>
            <w:t xml:space="preserve"> </w:t>
          </w:r>
          <w:r w:rsidRPr="00833446">
            <w:rPr>
              <w:rFonts w:ascii="Times New Roman" w:hAnsi="Times New Roman"/>
              <w:sz w:val="24"/>
              <w:szCs w:val="24"/>
            </w:rPr>
            <w:t xml:space="preserve">8/01/2035 </w:t>
          </w:r>
        </w:p>
        <w:p w14:paraId="397E6143" w14:textId="77777777" w:rsidR="00274429" w:rsidRPr="009A46BB" w:rsidRDefault="00274429" w:rsidP="001F57C8">
          <w:pPr>
            <w:spacing w:after="0"/>
            <w:jc w:val="both"/>
            <w:rPr>
              <w:rFonts w:ascii="Times New Roman" w:hAnsi="Times New Roman"/>
            </w:rPr>
          </w:pPr>
          <w:r w:rsidRPr="00521A07">
            <w:rPr>
              <w:rFonts w:ascii="Times New Roman" w:hAnsi="Times New Roman"/>
              <w:b/>
              <w:bCs/>
              <w:sz w:val="24"/>
              <w:szCs w:val="24"/>
            </w:rPr>
            <w:t>Tipo ID:</w:t>
          </w:r>
          <w:r>
            <w:rPr>
              <w:rFonts w:ascii="Times New Roman" w:hAnsi="Times New Roman"/>
              <w:b/>
              <w:bCs/>
              <w:sz w:val="24"/>
              <w:szCs w:val="24"/>
            </w:rPr>
            <w:t xml:space="preserve"> </w:t>
          </w:r>
          <w:r w:rsidRPr="000426D6">
            <w:rPr>
              <w:rFonts w:ascii="Times New Roman" w:hAnsi="Times New Roman"/>
              <w:sz w:val="24"/>
              <w:szCs w:val="24"/>
            </w:rPr>
            <w:t>NIT</w:t>
          </w:r>
        </w:p>
        <w:p w14:paraId="40661F02" w14:textId="77777777" w:rsidR="00274429" w:rsidRPr="00833446" w:rsidRDefault="00274429" w:rsidP="001F57C8">
          <w:pPr>
            <w:spacing w:after="0"/>
            <w:rPr>
              <w:rFonts w:ascii="Times New Roman" w:hAnsi="Times New Roman"/>
              <w:sz w:val="24"/>
              <w:szCs w:val="24"/>
            </w:rPr>
          </w:pPr>
          <w:r w:rsidRPr="00521A07">
            <w:rPr>
              <w:rFonts w:ascii="Times New Roman" w:hAnsi="Times New Roman"/>
              <w:b/>
              <w:bCs/>
              <w:sz w:val="24"/>
              <w:szCs w:val="24"/>
            </w:rPr>
            <w:t>Número ID:</w:t>
          </w:r>
          <w:r>
            <w:rPr>
              <w:rFonts w:ascii="Times New Roman" w:hAnsi="Times New Roman"/>
              <w:b/>
              <w:bCs/>
              <w:sz w:val="24"/>
              <w:szCs w:val="24"/>
            </w:rPr>
            <w:t xml:space="preserve"> </w:t>
          </w:r>
          <w:r w:rsidRPr="00833446">
            <w:rPr>
              <w:rFonts w:ascii="Times New Roman" w:hAnsi="Times New Roman"/>
              <w:sz w:val="24"/>
              <w:szCs w:val="24"/>
            </w:rPr>
            <w:t>900.273.253-2</w:t>
          </w:r>
        </w:p>
        <w:p w14:paraId="28C05723" w14:textId="6A46F8E8" w:rsidR="00274429" w:rsidRPr="00833446" w:rsidRDefault="00274429" w:rsidP="001F57C8">
          <w:pPr>
            <w:spacing w:after="0"/>
            <w:rPr>
              <w:rFonts w:ascii="Times New Roman" w:hAnsi="Times New Roman"/>
              <w:sz w:val="24"/>
              <w:szCs w:val="24"/>
            </w:rPr>
          </w:pPr>
          <w:r w:rsidRPr="00521A07">
            <w:rPr>
              <w:rFonts w:ascii="Times New Roman" w:hAnsi="Times New Roman"/>
              <w:b/>
              <w:bCs/>
              <w:sz w:val="24"/>
              <w:szCs w:val="24"/>
            </w:rPr>
            <w:t>Razón social del concesionario:</w:t>
          </w:r>
          <w:r w:rsidR="675044D7" w:rsidRPr="10D44305">
            <w:rPr>
              <w:rFonts w:ascii="Times New Roman" w:hAnsi="Times New Roman"/>
              <w:b/>
              <w:bCs/>
              <w:sz w:val="24"/>
              <w:szCs w:val="24"/>
            </w:rPr>
            <w:t xml:space="preserve"> </w:t>
          </w:r>
          <w:r w:rsidRPr="00833446">
            <w:rPr>
              <w:rFonts w:ascii="Times New Roman" w:hAnsi="Times New Roman"/>
              <w:sz w:val="24"/>
              <w:szCs w:val="24"/>
            </w:rPr>
            <w:t>Sociedad Portuaria Puerto Nuevo S.A.</w:t>
          </w:r>
        </w:p>
        <w:p w14:paraId="75DB9129" w14:textId="77379B6D" w:rsidR="00274429" w:rsidRPr="00833446" w:rsidRDefault="00274429" w:rsidP="00274429">
          <w:pPr>
            <w:rPr>
              <w:rFonts w:ascii="Times New Roman" w:hAnsi="Times New Roman"/>
              <w:sz w:val="24"/>
              <w:szCs w:val="24"/>
            </w:rPr>
          </w:pPr>
          <w:r w:rsidRPr="00521A07">
            <w:rPr>
              <w:rFonts w:ascii="Times New Roman" w:hAnsi="Times New Roman"/>
              <w:b/>
              <w:bCs/>
              <w:sz w:val="24"/>
              <w:szCs w:val="24"/>
            </w:rPr>
            <w:t>Nombre del proyecto:</w:t>
          </w:r>
          <w:r w:rsidR="71B5203D" w:rsidRPr="10D44305">
            <w:rPr>
              <w:rFonts w:ascii="Times New Roman" w:hAnsi="Times New Roman"/>
              <w:b/>
              <w:bCs/>
              <w:sz w:val="24"/>
              <w:szCs w:val="24"/>
            </w:rPr>
            <w:t xml:space="preserve"> </w:t>
          </w:r>
          <w:r w:rsidRPr="00833446">
            <w:rPr>
              <w:rFonts w:ascii="Times New Roman" w:hAnsi="Times New Roman"/>
              <w:sz w:val="24"/>
              <w:szCs w:val="24"/>
            </w:rPr>
            <w:t>Sociedad Portuaria Puerto Nuevo S.A.</w:t>
          </w:r>
        </w:p>
        <w:p w14:paraId="035CBB9F" w14:textId="77777777" w:rsidR="00274429" w:rsidRPr="002F1782" w:rsidRDefault="00274429" w:rsidP="00E60BAB">
          <w:pPr>
            <w:pStyle w:val="Prrafodelista"/>
            <w:numPr>
              <w:ilvl w:val="0"/>
              <w:numId w:val="116"/>
            </w:numPr>
            <w:spacing w:line="259" w:lineRule="auto"/>
            <w:jc w:val="both"/>
            <w:rPr>
              <w:rFonts w:ascii="Times New Roman" w:hAnsi="Times New Roman"/>
              <w:b/>
              <w:bCs/>
              <w:sz w:val="24"/>
              <w:szCs w:val="24"/>
            </w:rPr>
          </w:pPr>
          <w:r w:rsidRPr="002F1782">
            <w:rPr>
              <w:rFonts w:ascii="Times New Roman" w:hAnsi="Times New Roman"/>
              <w:b/>
              <w:bCs/>
              <w:sz w:val="24"/>
              <w:szCs w:val="24"/>
            </w:rPr>
            <w:t>Términos significativos del acuerdo que puedan afectar su valor, el calendario y la certeza de los flujos</w:t>
          </w:r>
        </w:p>
        <w:p w14:paraId="179681A1" w14:textId="6A0BAEC2"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valor:</w:t>
          </w:r>
        </w:p>
        <w:p w14:paraId="03F7C02E" w14:textId="77777777" w:rsidR="00274429" w:rsidRPr="002F1782" w:rsidRDefault="00274429" w:rsidP="00274429">
          <w:pPr>
            <w:jc w:val="both"/>
            <w:rPr>
              <w:rFonts w:ascii="Times New Roman" w:hAnsi="Times New Roman"/>
              <w:sz w:val="24"/>
              <w:szCs w:val="24"/>
            </w:rPr>
          </w:pPr>
          <w:r w:rsidRPr="009114FF">
            <w:rPr>
              <w:rFonts w:ascii="Times New Roman" w:hAnsi="Times New Roman"/>
              <w:b/>
              <w:bCs/>
              <w:sz w:val="24"/>
              <w:szCs w:val="24"/>
            </w:rPr>
            <w:t xml:space="preserve">1: Tarifas: </w:t>
          </w:r>
          <w:r w:rsidRPr="002F1782">
            <w:rPr>
              <w:rFonts w:ascii="Times New Roman" w:hAnsi="Times New Roman"/>
              <w:sz w:val="24"/>
              <w:szCs w:val="24"/>
            </w:rPr>
            <w:t>Las sociedades portuarias que operan puertos de servicio público las tarifas requieren ser aprobadas según la metodología establecida por la Superintendencia General de Puertos hoy Superintendencia de Transporte.</w:t>
          </w:r>
        </w:p>
        <w:p w14:paraId="52944B26" w14:textId="77777777" w:rsidR="00274429" w:rsidRPr="002F1782" w:rsidRDefault="00274429" w:rsidP="00274429">
          <w:pPr>
            <w:jc w:val="both"/>
            <w:rPr>
              <w:rFonts w:ascii="Times New Roman" w:hAnsi="Times New Roman"/>
              <w:sz w:val="24"/>
              <w:szCs w:val="24"/>
            </w:rPr>
          </w:pPr>
          <w:r w:rsidRPr="009114FF">
            <w:rPr>
              <w:rFonts w:ascii="Times New Roman" w:hAnsi="Times New Roman"/>
              <w:b/>
              <w:bCs/>
              <w:sz w:val="24"/>
              <w:szCs w:val="24"/>
            </w:rPr>
            <w:t xml:space="preserve">2: Contraprestación portuaria: </w:t>
          </w:r>
          <w:r w:rsidRPr="002F1782">
            <w:rPr>
              <w:rFonts w:ascii="Times New Roman" w:hAnsi="Times New Roman"/>
              <w:sz w:val="24"/>
              <w:szCs w:val="24"/>
            </w:rPr>
            <w:t xml:space="preserve">De acuerdo con el último documento contractual vigente la metodología de contraprestación vigente es CONPES 3744 de 2013 (Componentes Fijo y Variable). A febrero de 2023 el CONCESIONARIO debió pagar la suma de USD $ $1.822.828.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municipio de Ciénaga departamento del Magdalena. </w:t>
          </w:r>
        </w:p>
        <w:p w14:paraId="1E13D19D" w14:textId="77777777" w:rsidR="00274429" w:rsidRPr="002F1782" w:rsidRDefault="00274429" w:rsidP="00274429">
          <w:pPr>
            <w:jc w:val="both"/>
            <w:rPr>
              <w:rFonts w:ascii="Times New Roman" w:hAnsi="Times New Roman"/>
              <w:sz w:val="24"/>
              <w:szCs w:val="24"/>
            </w:rPr>
          </w:pPr>
          <w:r w:rsidRPr="009114FF">
            <w:rPr>
              <w:rFonts w:ascii="Times New Roman" w:hAnsi="Times New Roman"/>
              <w:b/>
              <w:bCs/>
              <w:sz w:val="24"/>
              <w:szCs w:val="24"/>
            </w:rPr>
            <w:t xml:space="preserve">3: Plan de Inversiones: </w:t>
          </w:r>
          <w:r w:rsidRPr="002F1782">
            <w:rPr>
              <w:rFonts w:ascii="Times New Roman" w:hAnsi="Times New Roman"/>
              <w:sz w:val="24"/>
              <w:szCs w:val="24"/>
            </w:rPr>
            <w:t>está establecido en la cláusula segunda del otrosí 2 de 2022 del Contrato 001 de 2011 USD $ 183.541.302 dólares constantes de 2009.</w:t>
          </w:r>
        </w:p>
        <w:p w14:paraId="795D4195" w14:textId="77777777" w:rsidR="00274429" w:rsidRPr="002F1782" w:rsidRDefault="00274429" w:rsidP="00274429">
          <w:pPr>
            <w:jc w:val="both"/>
            <w:rPr>
              <w:rFonts w:ascii="Times New Roman" w:hAnsi="Times New Roman"/>
              <w:sz w:val="24"/>
              <w:szCs w:val="24"/>
            </w:rPr>
          </w:pPr>
          <w:r w:rsidRPr="009114FF">
            <w:rPr>
              <w:rFonts w:ascii="Times New Roman" w:hAnsi="Times New Roman"/>
              <w:b/>
              <w:bCs/>
              <w:sz w:val="24"/>
              <w:szCs w:val="24"/>
            </w:rPr>
            <w:t xml:space="preserve">Obligaciones del CONCESIONARIO: </w:t>
          </w:r>
          <w:r w:rsidRPr="002F1782">
            <w:rPr>
              <w:rFonts w:ascii="Times New Roman" w:hAnsi="Times New Roman"/>
              <w:sz w:val="24"/>
              <w:szCs w:val="24"/>
            </w:rPr>
            <w:t xml:space="preserve">Se encuentran descritas en la cláusula décima sexta del Contrato 001 de 2011. </w:t>
          </w:r>
        </w:p>
        <w:p w14:paraId="09A9F143" w14:textId="77777777" w:rsidR="00274429" w:rsidRPr="002F1782" w:rsidRDefault="00274429" w:rsidP="00274429">
          <w:pPr>
            <w:jc w:val="both"/>
            <w:rPr>
              <w:rFonts w:ascii="Times New Roman" w:hAnsi="Times New Roman"/>
              <w:sz w:val="24"/>
              <w:szCs w:val="24"/>
            </w:rPr>
          </w:pPr>
          <w:r w:rsidRPr="009114FF">
            <w:rPr>
              <w:rFonts w:ascii="Times New Roman" w:hAnsi="Times New Roman"/>
              <w:b/>
              <w:bCs/>
              <w:sz w:val="24"/>
              <w:szCs w:val="24"/>
            </w:rPr>
            <w:t xml:space="preserve">Multas y sanciones: </w:t>
          </w:r>
          <w:r w:rsidRPr="002F1782">
            <w:rPr>
              <w:rFonts w:ascii="Times New Roman" w:hAnsi="Times New Roman"/>
              <w:sz w:val="24"/>
              <w:szCs w:val="24"/>
            </w:rPr>
            <w:t>están establecidas en la cláusula Vigésima del Contrato 001 de 2011.</w:t>
          </w:r>
        </w:p>
        <w:p w14:paraId="57993BD4" w14:textId="5D3C39FE" w:rsidR="00274429" w:rsidRPr="002F1782" w:rsidRDefault="00274429" w:rsidP="00274429">
          <w:pPr>
            <w:jc w:val="both"/>
            <w:rPr>
              <w:rFonts w:ascii="Times New Roman" w:hAnsi="Times New Roman"/>
              <w:sz w:val="24"/>
              <w:szCs w:val="24"/>
            </w:rPr>
          </w:pPr>
          <w:r w:rsidRPr="009114FF">
            <w:rPr>
              <w:rFonts w:ascii="Times New Roman" w:hAnsi="Times New Roman"/>
              <w:b/>
              <w:bCs/>
              <w:sz w:val="24"/>
              <w:szCs w:val="24"/>
            </w:rPr>
            <w:t xml:space="preserve">Penal pecuniario: </w:t>
          </w:r>
          <w:r w:rsidRPr="002F1782">
            <w:rPr>
              <w:rFonts w:ascii="Times New Roman" w:hAnsi="Times New Roman"/>
              <w:sz w:val="24"/>
              <w:szCs w:val="24"/>
            </w:rPr>
            <w:t>En la cláusula Vigésima primera se establece que en el evento en que el INCO hoy ANI declare el incumplimiento del presente contrato, el Concesionario deberá apagar una suma equivalente al 10% del valor total proyectado de la contraprestación, como sanción pecuniaria.</w:t>
          </w:r>
        </w:p>
        <w:p w14:paraId="2C991F77" w14:textId="77777777" w:rsidR="00274429" w:rsidRDefault="00274429" w:rsidP="00274429">
          <w:pPr>
            <w:jc w:val="both"/>
            <w:rPr>
              <w:rFonts w:ascii="Times New Roman" w:hAnsi="Times New Roman"/>
              <w:b/>
              <w:bCs/>
              <w:sz w:val="24"/>
              <w:szCs w:val="24"/>
            </w:rPr>
          </w:pPr>
          <w:r w:rsidRPr="004C1095">
            <w:rPr>
              <w:rFonts w:ascii="Times New Roman" w:hAnsi="Times New Roman"/>
              <w:b/>
              <w:bCs/>
              <w:sz w:val="24"/>
              <w:szCs w:val="24"/>
            </w:rPr>
            <w:t>Términos de calendario:</w:t>
          </w:r>
        </w:p>
        <w:p w14:paraId="0958DDD8" w14:textId="77777777" w:rsidR="00274429" w:rsidRPr="002F1782" w:rsidRDefault="00274429" w:rsidP="00274429">
          <w:pPr>
            <w:jc w:val="both"/>
            <w:rPr>
              <w:rFonts w:ascii="Times New Roman" w:hAnsi="Times New Roman"/>
              <w:sz w:val="24"/>
              <w:szCs w:val="24"/>
            </w:rPr>
          </w:pPr>
          <w:r w:rsidRPr="002F1782">
            <w:rPr>
              <w:rFonts w:ascii="Times New Roman" w:hAnsi="Times New Roman"/>
              <w:b/>
              <w:bCs/>
              <w:sz w:val="24"/>
              <w:szCs w:val="24"/>
            </w:rPr>
            <w:t>1: Tarifas</w:t>
          </w:r>
          <w:r w:rsidRPr="002F1782">
            <w:rPr>
              <w:rFonts w:ascii="Times New Roman" w:hAnsi="Times New Roman"/>
              <w:sz w:val="24"/>
              <w:szCs w:val="24"/>
            </w:rPr>
            <w:t>: Las sociedades portuarias que operan puertos de servicio público las tarifas requieren ser aprobadas según la metodología establecida por la Superintendencia General de Puertos hoy Superintendencia de Transporte.</w:t>
          </w:r>
        </w:p>
        <w:p w14:paraId="31435121" w14:textId="77777777" w:rsidR="00274429" w:rsidRPr="002F1782" w:rsidRDefault="00274429" w:rsidP="00274429">
          <w:pPr>
            <w:jc w:val="both"/>
            <w:rPr>
              <w:rFonts w:ascii="Times New Roman" w:hAnsi="Times New Roman"/>
              <w:sz w:val="24"/>
              <w:szCs w:val="24"/>
            </w:rPr>
          </w:pPr>
          <w:r w:rsidRPr="002F1782">
            <w:rPr>
              <w:rFonts w:ascii="Times New Roman" w:hAnsi="Times New Roman"/>
              <w:b/>
              <w:bCs/>
              <w:sz w:val="24"/>
              <w:szCs w:val="24"/>
            </w:rPr>
            <w:t xml:space="preserve">2: Contraprestación portuaria: </w:t>
          </w:r>
          <w:r w:rsidRPr="002F1782">
            <w:rPr>
              <w:rFonts w:ascii="Times New Roman" w:hAnsi="Times New Roman"/>
              <w:sz w:val="24"/>
              <w:szCs w:val="24"/>
            </w:rPr>
            <w:t xml:space="preserve">Anexo 2 Conpes 3744 de 2013 “(…) Antes de finalizar los meses de febrero cada concesionario deberá corregir su liquidación del año anterior según el movimiento de carga real y la indexación del valor de referencia por metro cuadrado, del </w:t>
          </w:r>
          <w:r w:rsidRPr="002F1782">
            <w:rPr>
              <w:rFonts w:ascii="Times New Roman" w:hAnsi="Times New Roman"/>
              <w:sz w:val="24"/>
              <w:szCs w:val="24"/>
            </w:rPr>
            <w:lastRenderedPageBreak/>
            <w:t>avalúo de la infraestructura concesionada y de los cargos, así como realizar el pago anticipado del año en curso con base en lo proyectado en el FCL definitivo”</w:t>
          </w:r>
        </w:p>
        <w:p w14:paraId="7E8C3886" w14:textId="77777777" w:rsidR="00274429" w:rsidRPr="002F1782" w:rsidRDefault="00274429" w:rsidP="00274429">
          <w:pPr>
            <w:jc w:val="both"/>
            <w:rPr>
              <w:rFonts w:ascii="Times New Roman" w:hAnsi="Times New Roman"/>
              <w:sz w:val="24"/>
              <w:szCs w:val="24"/>
            </w:rPr>
          </w:pPr>
          <w:r w:rsidRPr="002F1782">
            <w:rPr>
              <w:rFonts w:ascii="Times New Roman" w:hAnsi="Times New Roman"/>
              <w:b/>
              <w:bCs/>
              <w:sz w:val="24"/>
              <w:szCs w:val="24"/>
            </w:rPr>
            <w:t xml:space="preserve">3: Plan de inversiones: </w:t>
          </w:r>
          <w:r w:rsidRPr="002F1782">
            <w:rPr>
              <w:rFonts w:ascii="Times New Roman" w:hAnsi="Times New Roman"/>
              <w:sz w:val="24"/>
              <w:szCs w:val="24"/>
            </w:rPr>
            <w:t>Se estableció en la cláusula segunda del otrosí 2 de 2022 del Contrato 001 de 2011, USD $ 183.541.302 dólares constantes de 2009 ejecución de inversiones en el periodo de tiempo comprendido entre el año 2011 al 2022.</w:t>
          </w:r>
        </w:p>
        <w:p w14:paraId="64616F34" w14:textId="77777777" w:rsidR="00274429" w:rsidRPr="004D76A2" w:rsidRDefault="00274429" w:rsidP="00274429">
          <w:pPr>
            <w:jc w:val="both"/>
            <w:rPr>
              <w:rFonts w:ascii="Times New Roman" w:hAnsi="Times New Roman"/>
              <w:sz w:val="24"/>
              <w:szCs w:val="24"/>
            </w:rPr>
          </w:pPr>
          <w:r w:rsidRPr="002F1782">
            <w:rPr>
              <w:rFonts w:ascii="Times New Roman" w:hAnsi="Times New Roman"/>
              <w:b/>
              <w:bCs/>
              <w:sz w:val="24"/>
              <w:szCs w:val="24"/>
            </w:rPr>
            <w:t xml:space="preserve">4: Multas: </w:t>
          </w:r>
          <w:r w:rsidRPr="002F1782">
            <w:rPr>
              <w:rFonts w:ascii="Times New Roman" w:hAnsi="Times New Roman"/>
              <w:sz w:val="24"/>
              <w:szCs w:val="24"/>
            </w:rPr>
            <w:t>Están establecidas en la cláusula Vigésima del Contrato 001 de 2011.</w:t>
          </w:r>
        </w:p>
        <w:p w14:paraId="08F407EB" w14:textId="77777777"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certeza de flujos de efectivo futuros:</w:t>
          </w:r>
        </w:p>
        <w:p w14:paraId="14E076AD" w14:textId="77777777" w:rsidR="00274429" w:rsidRPr="002F1782" w:rsidRDefault="00274429" w:rsidP="00274429">
          <w:pPr>
            <w:jc w:val="both"/>
            <w:rPr>
              <w:rFonts w:ascii="Times New Roman" w:hAnsi="Times New Roman"/>
              <w:sz w:val="24"/>
              <w:szCs w:val="24"/>
            </w:rPr>
          </w:pPr>
          <w:r w:rsidRPr="002F1782">
            <w:rPr>
              <w:rFonts w:ascii="Times New Roman" w:hAnsi="Times New Roman"/>
              <w:sz w:val="24"/>
              <w:szCs w:val="24"/>
            </w:rPr>
            <w:t xml:space="preserve">En virtud del Contrato de concesión y sus modificaciones, se autoriza al CONCESIONARIO, a ocupar y usar en forma temporal y exclusiva las playas, los terrenos de bajamar y zonas accesorias a aquellas o éstos, para la construcción, administración y operación de un puerto destinado al servicio público para el manejo de carbón con el sistema de cargue directo, en jurisdicción del municipio de Ciénaga, departamento de Magdalena, en el sector conocido como Hacienda Papare en inmediaciones del Río Toribio, por el término de veintitrés (23) años y doscientos ochenta y cuatro días (284). </w:t>
          </w:r>
        </w:p>
        <w:p w14:paraId="57FFD60D" w14:textId="6631D679" w:rsidR="00274429" w:rsidRPr="002F1782" w:rsidRDefault="00274429" w:rsidP="00274429">
          <w:pPr>
            <w:jc w:val="both"/>
            <w:rPr>
              <w:rFonts w:ascii="Times New Roman" w:hAnsi="Times New Roman"/>
              <w:sz w:val="24"/>
              <w:szCs w:val="24"/>
            </w:rPr>
          </w:pPr>
          <w:r w:rsidRPr="002F1782">
            <w:rPr>
              <w:rFonts w:ascii="Times New Roman" w:hAnsi="Times New Roman"/>
              <w:sz w:val="24"/>
              <w:szCs w:val="24"/>
            </w:rPr>
            <w:t>En la Cláusula 3 distribución de la Contraprestación el ochenta por ciento (80%) de la Contraprestación a la Nación- Instituto Nacional de Vías INVIAS, y el veinte por ciento (20%) restante al municipio de Ciénaga.</w:t>
          </w:r>
        </w:p>
        <w:p w14:paraId="0CC38313" w14:textId="77777777" w:rsidR="00274429" w:rsidRDefault="00274429" w:rsidP="00E60BAB">
          <w:pPr>
            <w:pStyle w:val="Prrafodelista"/>
            <w:numPr>
              <w:ilvl w:val="0"/>
              <w:numId w:val="116"/>
            </w:numPr>
            <w:spacing w:line="259" w:lineRule="auto"/>
            <w:jc w:val="both"/>
            <w:rPr>
              <w:rFonts w:ascii="Times New Roman" w:hAnsi="Times New Roman"/>
              <w:b/>
              <w:bCs/>
              <w:sz w:val="24"/>
              <w:szCs w:val="24"/>
            </w:rPr>
          </w:pPr>
          <w:r w:rsidRPr="0085771E">
            <w:rPr>
              <w:rFonts w:ascii="Times New Roman" w:hAnsi="Times New Roman"/>
              <w:b/>
              <w:bCs/>
              <w:sz w:val="24"/>
              <w:szCs w:val="24"/>
            </w:rPr>
            <w:t>Naturaleza y alcance del derecho a utilizar activos especificados, de los aspectos pactados en torno a lo que se espera que el concesionario proporcione en relación con el acuerdo de concesión (Se requiere ser breves, precisos, y concisos en la redacción)</w:t>
          </w:r>
        </w:p>
        <w:p w14:paraId="43882BEC" w14:textId="77777777" w:rsidR="00274429" w:rsidRDefault="00274429" w:rsidP="00274429">
          <w:pPr>
            <w:jc w:val="both"/>
            <w:rPr>
              <w:rFonts w:ascii="Times New Roman" w:hAnsi="Times New Roman"/>
              <w:b/>
              <w:bCs/>
              <w:sz w:val="24"/>
              <w:szCs w:val="24"/>
            </w:rPr>
          </w:pPr>
          <w:r w:rsidRPr="00217110">
            <w:rPr>
              <w:rFonts w:ascii="Times New Roman" w:hAnsi="Times New Roman"/>
              <w:b/>
              <w:bCs/>
              <w:sz w:val="24"/>
              <w:szCs w:val="24"/>
            </w:rPr>
            <w:t>Naturaleza y alcance del derecho de uso de los activos</w:t>
          </w:r>
        </w:p>
        <w:p w14:paraId="5A09C32A" w14:textId="6A89A63A" w:rsidR="00274429" w:rsidRDefault="00274429" w:rsidP="00274429">
          <w:pPr>
            <w:jc w:val="both"/>
            <w:rPr>
              <w:rFonts w:ascii="Times New Roman" w:hAnsi="Times New Roman"/>
              <w:b/>
              <w:bCs/>
              <w:sz w:val="24"/>
              <w:szCs w:val="24"/>
            </w:rPr>
          </w:pPr>
          <w:r w:rsidRPr="003E5FA9">
            <w:rPr>
              <w:rFonts w:ascii="Times New Roman" w:hAnsi="Times New Roman"/>
              <w:b/>
              <w:bCs/>
              <w:sz w:val="24"/>
              <w:szCs w:val="24"/>
            </w:rPr>
            <w:t>Descripción:</w:t>
          </w:r>
        </w:p>
        <w:p w14:paraId="43911892" w14:textId="3DBB00EC" w:rsidR="00274429" w:rsidRPr="009A46BB" w:rsidRDefault="00274429" w:rsidP="00274429">
          <w:pPr>
            <w:jc w:val="both"/>
            <w:rPr>
              <w:rFonts w:ascii="Times New Roman" w:hAnsi="Times New Roman"/>
            </w:rPr>
          </w:pPr>
          <w:r w:rsidRPr="009A46BB">
            <w:rPr>
              <w:rFonts w:ascii="Times New Roman" w:hAnsi="Times New Roman"/>
            </w:rPr>
            <w:t>Descripción del proyecto, especificaciones técnicas, modalidades de operación: las condiciones especiales de operación del puerto están establecidas en la cláusula quinta, modificada por la Cláusula primera del Otrosí No. 002 de 2022.</w:t>
          </w:r>
        </w:p>
        <w:p w14:paraId="30686B9C" w14:textId="77777777" w:rsidR="00274429" w:rsidRPr="009A46BB" w:rsidRDefault="00274429" w:rsidP="00274429">
          <w:pPr>
            <w:jc w:val="both"/>
            <w:rPr>
              <w:rFonts w:ascii="Times New Roman" w:hAnsi="Times New Roman"/>
            </w:rPr>
          </w:pPr>
          <w:r w:rsidRPr="009A46BB">
            <w:rPr>
              <w:rFonts w:ascii="Times New Roman" w:hAnsi="Times New Roman"/>
            </w:rPr>
            <w:t>Área entregada en concesión: La descripción de la ubicación, linderos y extensión de los bienes de uso público (playas y terrenos de baja mar, zonas marítimas accesorias de maniobras) entregados en concesión están establecidos en la cláusula segunda del contrato de concesión y clausula primera del otrosí No. 01 de 2012.</w:t>
          </w:r>
        </w:p>
        <w:p w14:paraId="30F51FF5" w14:textId="77777777" w:rsidR="00274429" w:rsidRPr="009A46BB" w:rsidRDefault="00274429" w:rsidP="00274429">
          <w:pPr>
            <w:jc w:val="both"/>
            <w:rPr>
              <w:rFonts w:ascii="Times New Roman" w:hAnsi="Times New Roman"/>
            </w:rPr>
          </w:pPr>
          <w:r w:rsidRPr="009A46BB">
            <w:rPr>
              <w:rFonts w:ascii="Times New Roman" w:hAnsi="Times New Roman"/>
            </w:rPr>
            <w:t>Infraestructura y equipos entregados en concesión: En el contrato de concesión portuaria no fueron entregados activos relacionados con infraestructura y equipos.</w:t>
          </w:r>
        </w:p>
        <w:p w14:paraId="46D7BD24" w14:textId="77777777" w:rsidR="00274429" w:rsidRDefault="00274429" w:rsidP="00274429">
          <w:pPr>
            <w:jc w:val="both"/>
            <w:rPr>
              <w:rFonts w:ascii="Times New Roman" w:hAnsi="Times New Roman"/>
              <w:b/>
              <w:bCs/>
              <w:sz w:val="24"/>
              <w:szCs w:val="24"/>
            </w:rPr>
          </w:pPr>
          <w:r w:rsidRPr="003E5FA9">
            <w:rPr>
              <w:rFonts w:ascii="Times New Roman" w:hAnsi="Times New Roman"/>
              <w:b/>
              <w:bCs/>
              <w:sz w:val="24"/>
              <w:szCs w:val="24"/>
            </w:rPr>
            <w:t>Observaciones:</w:t>
          </w:r>
          <w:r>
            <w:rPr>
              <w:rFonts w:ascii="Times New Roman" w:hAnsi="Times New Roman"/>
              <w:b/>
              <w:bCs/>
              <w:sz w:val="24"/>
              <w:szCs w:val="24"/>
            </w:rPr>
            <w:t xml:space="preserve"> NA</w:t>
          </w:r>
        </w:p>
        <w:p w14:paraId="5D7FDE53" w14:textId="77777777" w:rsidR="00274429" w:rsidRDefault="00274429" w:rsidP="00274429">
          <w:pPr>
            <w:jc w:val="both"/>
            <w:rPr>
              <w:rFonts w:ascii="Times New Roman" w:hAnsi="Times New Roman"/>
              <w:b/>
              <w:bCs/>
              <w:sz w:val="24"/>
              <w:szCs w:val="24"/>
            </w:rPr>
          </w:pPr>
          <w:r>
            <w:rPr>
              <w:rFonts w:ascii="Times New Roman" w:hAnsi="Times New Roman"/>
              <w:b/>
              <w:bCs/>
              <w:sz w:val="24"/>
              <w:szCs w:val="24"/>
            </w:rPr>
            <w:t>Retribución al Concesionario</w:t>
          </w:r>
        </w:p>
        <w:p w14:paraId="0D81049A" w14:textId="4A1F2F42" w:rsidR="00274429" w:rsidRDefault="00274429" w:rsidP="00274429">
          <w:pPr>
            <w:jc w:val="both"/>
            <w:rPr>
              <w:rFonts w:ascii="Times New Roman" w:hAnsi="Times New Roman"/>
              <w:sz w:val="24"/>
              <w:szCs w:val="24"/>
            </w:rPr>
          </w:pPr>
          <w:r w:rsidRPr="002F1782">
            <w:rPr>
              <w:rFonts w:ascii="Times New Roman" w:hAnsi="Times New Roman"/>
              <w:b/>
              <w:bCs/>
              <w:sz w:val="24"/>
              <w:szCs w:val="24"/>
            </w:rPr>
            <w:t xml:space="preserve">Descripción: </w:t>
          </w:r>
          <w:r w:rsidRPr="002F1782">
            <w:rPr>
              <w:rFonts w:ascii="Times New Roman" w:hAnsi="Times New Roman"/>
              <w:sz w:val="24"/>
              <w:szCs w:val="24"/>
            </w:rPr>
            <w:t xml:space="preserve">Cláusula primera Contrato 001 de 2011: , a ocupar y usar en forma temporal y exclusiva las playas, los terrenos de bajamar y zonas accesorias a aquellas o éstos, para la construcción, administración y operación de un puerto destinado al servicio público para el </w:t>
          </w:r>
          <w:r w:rsidRPr="002F1782">
            <w:rPr>
              <w:rFonts w:ascii="Times New Roman" w:hAnsi="Times New Roman"/>
              <w:sz w:val="24"/>
              <w:szCs w:val="24"/>
            </w:rPr>
            <w:lastRenderedPageBreak/>
            <w:t>manejo de carbón con el sistema de cargue directo, en jurisdicción del municipio de Ciénaga, departamento de Magdalena, en el sector conocido como Hacienda Papare en inmediaciones del Río Toribio, por el término de veintitrés(23) años y doscientos ochenta y cuatro días (284), a cambio de la contraprestación.</w:t>
          </w:r>
        </w:p>
        <w:p w14:paraId="299A3162" w14:textId="77777777" w:rsidR="00274429" w:rsidRPr="00351837" w:rsidRDefault="00274429" w:rsidP="00274429">
          <w:pPr>
            <w:jc w:val="both"/>
            <w:rPr>
              <w:rFonts w:ascii="Times New Roman" w:hAnsi="Times New Roman"/>
              <w:b/>
              <w:bCs/>
              <w:sz w:val="24"/>
              <w:szCs w:val="24"/>
            </w:rPr>
          </w:pPr>
          <w:r>
            <w:rPr>
              <w:rFonts w:ascii="Times New Roman" w:hAnsi="Times New Roman"/>
              <w:b/>
              <w:bCs/>
              <w:sz w:val="24"/>
              <w:szCs w:val="24"/>
            </w:rPr>
            <w:t>Tasa de retribución: NA</w:t>
          </w:r>
        </w:p>
        <w:p w14:paraId="1B65413D" w14:textId="77777777" w:rsidR="00274429" w:rsidRDefault="00274429" w:rsidP="00E60BAB">
          <w:pPr>
            <w:pStyle w:val="Prrafodelista"/>
            <w:numPr>
              <w:ilvl w:val="0"/>
              <w:numId w:val="116"/>
            </w:numPr>
            <w:spacing w:line="259" w:lineRule="auto"/>
            <w:jc w:val="both"/>
            <w:rPr>
              <w:rFonts w:ascii="Times New Roman" w:hAnsi="Times New Roman"/>
              <w:b/>
              <w:bCs/>
              <w:sz w:val="24"/>
              <w:szCs w:val="24"/>
            </w:rPr>
          </w:pPr>
          <w:r w:rsidRPr="00197A12">
            <w:rPr>
              <w:rFonts w:ascii="Times New Roman" w:hAnsi="Times New Roman"/>
              <w:b/>
              <w:bCs/>
              <w:sz w:val="24"/>
              <w:szCs w:val="24"/>
            </w:rPr>
            <w:t>Derechos a recibir activos especificados al final del acuerdo de concesión</w:t>
          </w:r>
        </w:p>
        <w:p w14:paraId="16848353" w14:textId="77777777" w:rsidR="00274429" w:rsidRPr="009A46BB" w:rsidRDefault="00274429" w:rsidP="00274429">
          <w:pPr>
            <w:jc w:val="both"/>
            <w:rPr>
              <w:rFonts w:ascii="Times New Roman" w:hAnsi="Times New Roman"/>
            </w:rPr>
          </w:pPr>
          <w:r w:rsidRPr="006D56DF">
            <w:rPr>
              <w:rFonts w:ascii="Times New Roman" w:hAnsi="Times New Roman"/>
              <w:b/>
              <w:bCs/>
              <w:sz w:val="24"/>
              <w:szCs w:val="24"/>
            </w:rPr>
            <w:t>Descripción:</w:t>
          </w:r>
          <w:r>
            <w:rPr>
              <w:rFonts w:ascii="Times New Roman" w:hAnsi="Times New Roman"/>
              <w:b/>
              <w:bCs/>
              <w:sz w:val="24"/>
              <w:szCs w:val="24"/>
            </w:rPr>
            <w:t xml:space="preserve"> </w:t>
          </w:r>
          <w:r w:rsidRPr="0054721F">
            <w:rPr>
              <w:rFonts w:ascii="Times New Roman" w:hAnsi="Times New Roman"/>
              <w:sz w:val="24"/>
              <w:szCs w:val="24"/>
            </w:rPr>
            <w:t>De acuerdo con el Artículo 8º de la Ley 1 de 1991 en el modo portuario el concesionario no tiene derechos finales sobre activos los debe revertir a la Nación al final del contrato de concesión.</w:t>
          </w:r>
        </w:p>
        <w:p w14:paraId="70768A6C" w14:textId="2964C26E" w:rsidR="00274429" w:rsidRPr="00351837" w:rsidRDefault="00274429" w:rsidP="00274429">
          <w:pPr>
            <w:jc w:val="both"/>
            <w:rPr>
              <w:rFonts w:ascii="Times New Roman" w:hAnsi="Times New Roman"/>
              <w:sz w:val="24"/>
              <w:szCs w:val="24"/>
            </w:rPr>
          </w:pPr>
          <w:r w:rsidRPr="006D56DF">
            <w:rPr>
              <w:rFonts w:ascii="Times New Roman" w:hAnsi="Times New Roman"/>
              <w:b/>
              <w:bCs/>
              <w:sz w:val="24"/>
              <w:szCs w:val="24"/>
            </w:rPr>
            <w:t>Observaciones:</w:t>
          </w:r>
          <w:r w:rsidRPr="009A46BB">
            <w:rPr>
              <w:rFonts w:ascii="Times New Roman" w:hAnsi="Times New Roman"/>
            </w:rPr>
            <w:t xml:space="preserve"> </w:t>
          </w:r>
          <w:r w:rsidRPr="00351837">
            <w:rPr>
              <w:rFonts w:ascii="Times New Roman" w:hAnsi="Times New Roman"/>
              <w:sz w:val="24"/>
              <w:szCs w:val="24"/>
            </w:rPr>
            <w:t>Reversión: De acuerdo con lo establecido en la cláusula décimo tercera del contrato de concesión,la zona de uso público y todas las construcciones (obras e inversiones) que se encuentren habitualmente instaladas en zonas de uso público, entregadas en concesión en virtud del presente contrato, o que sean ejecutadas dentro del plazo del mimo y los inmuebles por destinación (equipos e inversiones) afectos a la operación del muelle revertirán a la nación en buenas condiciones de operación tecnológica, mantenimiento y de adecuada eficiencia al término de este contrato y de las prórrogas si la hubiere. Igualmente procederá la reversión al ser declarado la caducidad o la terminación unilateral.</w:t>
          </w:r>
        </w:p>
        <w:p w14:paraId="0EA9429B" w14:textId="77777777" w:rsidR="00274429" w:rsidRPr="00351837" w:rsidRDefault="00274429" w:rsidP="00274429">
          <w:pPr>
            <w:jc w:val="both"/>
            <w:rPr>
              <w:rFonts w:ascii="Times New Roman" w:hAnsi="Times New Roman"/>
              <w:sz w:val="24"/>
              <w:szCs w:val="24"/>
            </w:rPr>
          </w:pPr>
          <w:r w:rsidRPr="00351837">
            <w:rPr>
              <w:rFonts w:ascii="Times New Roman" w:hAnsi="Times New Roman"/>
              <w:sz w:val="24"/>
              <w:szCs w:val="24"/>
            </w:rPr>
            <w:t>Para tal fin, en el momento de la reversión el CONCESIONARIO elaborará un inventario de los bienes y los enviará para su revisión y aprobación.</w:t>
          </w:r>
        </w:p>
        <w:p w14:paraId="0E6CE10B" w14:textId="77777777" w:rsidR="00274429" w:rsidRPr="00351837" w:rsidRDefault="00274429" w:rsidP="00274429">
          <w:pPr>
            <w:jc w:val="both"/>
            <w:rPr>
              <w:rFonts w:ascii="Times New Roman" w:hAnsi="Times New Roman"/>
              <w:sz w:val="24"/>
              <w:szCs w:val="24"/>
            </w:rPr>
          </w:pPr>
          <w:r w:rsidRPr="00351837">
            <w:rPr>
              <w:rFonts w:ascii="Times New Roman" w:hAnsi="Times New Roman"/>
              <w:sz w:val="24"/>
              <w:szCs w:val="24"/>
            </w:rPr>
            <w:t>La ANI es la entidad concedente pero la titularidad de los activos al final de la concesión es del Instituto Nacional de Vías INVIAS.</w:t>
          </w:r>
        </w:p>
        <w:p w14:paraId="02022756" w14:textId="1E08BBD8" w:rsidR="00274429" w:rsidRPr="00C4601E" w:rsidRDefault="000426D6" w:rsidP="00E60BAB">
          <w:pPr>
            <w:pStyle w:val="Prrafodelista"/>
            <w:numPr>
              <w:ilvl w:val="0"/>
              <w:numId w:val="116"/>
            </w:numPr>
            <w:spacing w:line="259" w:lineRule="auto"/>
            <w:jc w:val="both"/>
            <w:rPr>
              <w:rFonts w:ascii="Times New Roman" w:hAnsi="Times New Roman"/>
              <w:b/>
              <w:bCs/>
              <w:sz w:val="24"/>
              <w:szCs w:val="24"/>
            </w:rPr>
          </w:pPr>
          <w:r>
            <w:rPr>
              <w:rFonts w:ascii="Times New Roman" w:hAnsi="Times New Roman"/>
              <w:b/>
              <w:bCs/>
              <w:sz w:val="24"/>
              <w:szCs w:val="24"/>
            </w:rPr>
            <w:t>No hay c</w:t>
          </w:r>
          <w:r w:rsidR="00274429" w:rsidRPr="00C4601E">
            <w:rPr>
              <w:rFonts w:ascii="Times New Roman" w:hAnsi="Times New Roman"/>
              <w:b/>
              <w:bCs/>
              <w:sz w:val="24"/>
              <w:szCs w:val="24"/>
            </w:rPr>
            <w:t>ambios en el acuerdo de concesión que se realicen durante el periodo fiscal</w:t>
          </w:r>
        </w:p>
        <w:p w14:paraId="1E69084F" w14:textId="77777777" w:rsidR="00274429" w:rsidRDefault="00274429" w:rsidP="00274429">
          <w:pPr>
            <w:jc w:val="both"/>
            <w:rPr>
              <w:rFonts w:ascii="Times New Roman" w:hAnsi="Times New Roman"/>
              <w:sz w:val="24"/>
              <w:szCs w:val="24"/>
            </w:rPr>
          </w:pPr>
        </w:p>
        <w:p w14:paraId="3E7072ED" w14:textId="77777777" w:rsidR="00274429" w:rsidRDefault="00274429" w:rsidP="00274429">
          <w:pPr>
            <w:rPr>
              <w:rFonts w:ascii="Times New Roman" w:hAnsi="Times New Roman"/>
              <w:b/>
              <w:sz w:val="24"/>
              <w:szCs w:val="24"/>
            </w:rPr>
          </w:pPr>
          <w:r w:rsidRPr="10D44305">
            <w:rPr>
              <w:rFonts w:ascii="Times New Roman" w:hAnsi="Times New Roman"/>
              <w:b/>
              <w:bCs/>
              <w:sz w:val="24"/>
              <w:szCs w:val="24"/>
            </w:rPr>
            <w:t xml:space="preserve">SOCIEDAD PORTUARIA PUERTO BAHÍA S.A. </w:t>
          </w:r>
        </w:p>
        <w:p w14:paraId="7AF5B8B9" w14:textId="77777777" w:rsidR="00274429" w:rsidRPr="00BE48E2" w:rsidRDefault="00274429" w:rsidP="00E60BAB">
          <w:pPr>
            <w:pStyle w:val="Prrafodelista"/>
            <w:numPr>
              <w:ilvl w:val="0"/>
              <w:numId w:val="117"/>
            </w:numPr>
            <w:spacing w:line="259" w:lineRule="auto"/>
            <w:rPr>
              <w:rFonts w:ascii="Times New Roman" w:hAnsi="Times New Roman"/>
              <w:b/>
              <w:bCs/>
              <w:sz w:val="24"/>
              <w:szCs w:val="24"/>
            </w:rPr>
          </w:pPr>
          <w:r w:rsidRPr="007760D5">
            <w:rPr>
              <w:rFonts w:ascii="Times New Roman" w:hAnsi="Times New Roman"/>
              <w:b/>
              <w:bCs/>
              <w:sz w:val="24"/>
              <w:szCs w:val="24"/>
            </w:rPr>
            <w:t>Descripción del acuerdo</w:t>
          </w:r>
        </w:p>
        <w:p w14:paraId="3FA4C095" w14:textId="6E66FBDE" w:rsidR="00274429" w:rsidRPr="009A46BB" w:rsidRDefault="00274429" w:rsidP="10D44305">
          <w:pPr>
            <w:spacing w:after="0"/>
            <w:jc w:val="both"/>
            <w:rPr>
              <w:rFonts w:ascii="Times New Roman" w:hAnsi="Times New Roman"/>
            </w:rPr>
          </w:pPr>
          <w:r w:rsidRPr="009A46BB">
            <w:rPr>
              <w:rFonts w:ascii="Times New Roman" w:hAnsi="Times New Roman"/>
              <w:b/>
            </w:rPr>
            <w:t>Número del acuerdo de concesión:</w:t>
          </w:r>
          <w:r w:rsidRPr="009A46BB">
            <w:rPr>
              <w:rFonts w:ascii="Times New Roman" w:hAnsi="Times New Roman"/>
            </w:rPr>
            <w:t xml:space="preserve">Contrato de Concesión Portuaria No. 002 del 15 de abril de 2011. </w:t>
          </w:r>
          <w:r w:rsidRPr="009A46BB">
            <w:rPr>
              <w:rFonts w:ascii="Times New Roman" w:hAnsi="Times New Roman"/>
              <w:b/>
            </w:rPr>
            <w:t>Objeto / Descripción</w:t>
          </w:r>
          <w:r w:rsidRPr="009A46BB">
            <w:rPr>
              <w:rFonts w:ascii="Times New Roman" w:hAnsi="Times New Roman"/>
            </w:rPr>
            <w:t>:EL INCO en virtud del presente contrato de concesión portuaria autoriza a EL CONCESIONARIO, la ocupación y utilización en forma temporal y exclusiva de la zona de uso público conformada por una línea de playa, terrenos de bajamar y zonas accesorias aquellas o a estos, para la construcción, administración y operación de un terminar multipropósito de servicio público ubicado en la Bahía de Cartagena en el sitio denominado “La Pulga” entre la desembocadura del Canal del dique y Bahía Honda, corregimiento de Santa Ana, del Distrito Turístico y Cultural de Cartagena de Indias, departamento de Bolívar, en los términos y condiciones establecidas en la Resolución 473 de 2010 y en el presente contrato</w:t>
          </w:r>
        </w:p>
        <w:p w14:paraId="2E7CEA00" w14:textId="574F70C0" w:rsidR="00274429" w:rsidRDefault="00274429" w:rsidP="001F57C8">
          <w:pPr>
            <w:spacing w:after="0"/>
            <w:jc w:val="both"/>
            <w:rPr>
              <w:rFonts w:ascii="Times New Roman" w:hAnsi="Times New Roman"/>
              <w:sz w:val="24"/>
              <w:szCs w:val="24"/>
            </w:rPr>
          </w:pPr>
          <w:r w:rsidRPr="00521A07">
            <w:rPr>
              <w:rFonts w:ascii="Times New Roman" w:hAnsi="Times New Roman"/>
              <w:b/>
              <w:bCs/>
              <w:sz w:val="24"/>
              <w:szCs w:val="24"/>
            </w:rPr>
            <w:t>Valor inicial:</w:t>
          </w:r>
          <w:r w:rsidRPr="00FC7585">
            <w:rPr>
              <w:rFonts w:ascii="Times New Roman" w:hAnsi="Times New Roman"/>
              <w:sz w:val="24"/>
              <w:szCs w:val="24"/>
            </w:rPr>
            <w:t xml:space="preserve">USD $ 1.051.776 Cláusula Décima Primera/Contrato de Concesión No. 002 de 2011. </w:t>
          </w:r>
        </w:p>
        <w:p w14:paraId="0929BBA0" w14:textId="77777777" w:rsidR="00274429" w:rsidRPr="009A46BB" w:rsidRDefault="00274429" w:rsidP="001F57C8">
          <w:pPr>
            <w:spacing w:after="0"/>
            <w:jc w:val="both"/>
            <w:rPr>
              <w:rFonts w:ascii="Times New Roman" w:hAnsi="Times New Roman"/>
            </w:rPr>
          </w:pPr>
          <w:r w:rsidRPr="00521A07">
            <w:rPr>
              <w:rFonts w:ascii="Times New Roman" w:hAnsi="Times New Roman"/>
              <w:b/>
              <w:bCs/>
              <w:sz w:val="24"/>
              <w:szCs w:val="24"/>
            </w:rPr>
            <w:t>Fecha de inicio:</w:t>
          </w:r>
          <w:r>
            <w:rPr>
              <w:rFonts w:ascii="Times New Roman" w:hAnsi="Times New Roman"/>
              <w:b/>
              <w:bCs/>
              <w:sz w:val="24"/>
              <w:szCs w:val="24"/>
            </w:rPr>
            <w:t xml:space="preserve"> </w:t>
          </w:r>
          <w:r>
            <w:rPr>
              <w:rFonts w:ascii="Times New Roman" w:hAnsi="Times New Roman"/>
              <w:sz w:val="24"/>
              <w:szCs w:val="24"/>
            </w:rPr>
            <w:t>15/04/2011</w:t>
          </w:r>
        </w:p>
        <w:p w14:paraId="210F9064" w14:textId="77777777" w:rsidR="00274429" w:rsidRDefault="00274429" w:rsidP="001F57C8">
          <w:pPr>
            <w:spacing w:after="0"/>
            <w:jc w:val="both"/>
            <w:rPr>
              <w:rFonts w:ascii="Times New Roman" w:hAnsi="Times New Roman"/>
              <w:sz w:val="24"/>
              <w:szCs w:val="24"/>
            </w:rPr>
          </w:pPr>
          <w:r w:rsidRPr="00521A07">
            <w:rPr>
              <w:rFonts w:ascii="Times New Roman" w:hAnsi="Times New Roman"/>
              <w:b/>
              <w:bCs/>
              <w:sz w:val="24"/>
              <w:szCs w:val="24"/>
            </w:rPr>
            <w:lastRenderedPageBreak/>
            <w:t>Fecha de finalización estimada:</w:t>
          </w:r>
          <w:r>
            <w:rPr>
              <w:rFonts w:ascii="Times New Roman" w:hAnsi="Times New Roman"/>
              <w:b/>
              <w:bCs/>
              <w:sz w:val="24"/>
              <w:szCs w:val="24"/>
            </w:rPr>
            <w:t xml:space="preserve"> </w:t>
          </w:r>
          <w:r>
            <w:rPr>
              <w:rFonts w:ascii="Times New Roman" w:hAnsi="Times New Roman"/>
              <w:sz w:val="24"/>
              <w:szCs w:val="24"/>
            </w:rPr>
            <w:t>14/04/2031</w:t>
          </w:r>
          <w:r w:rsidRPr="00833446">
            <w:rPr>
              <w:rFonts w:ascii="Times New Roman" w:hAnsi="Times New Roman"/>
              <w:sz w:val="24"/>
              <w:szCs w:val="24"/>
            </w:rPr>
            <w:t xml:space="preserve"> </w:t>
          </w:r>
        </w:p>
        <w:p w14:paraId="6D2306B2" w14:textId="77777777" w:rsidR="00274429" w:rsidRPr="009A46BB" w:rsidRDefault="00274429" w:rsidP="001F57C8">
          <w:pPr>
            <w:spacing w:after="0"/>
            <w:jc w:val="both"/>
            <w:rPr>
              <w:rFonts w:ascii="Times New Roman" w:hAnsi="Times New Roman"/>
            </w:rPr>
          </w:pPr>
          <w:r w:rsidRPr="00521A07">
            <w:rPr>
              <w:rFonts w:ascii="Times New Roman" w:hAnsi="Times New Roman"/>
              <w:b/>
              <w:bCs/>
              <w:sz w:val="24"/>
              <w:szCs w:val="24"/>
            </w:rPr>
            <w:t>Tipo ID:</w:t>
          </w:r>
          <w:r>
            <w:rPr>
              <w:rFonts w:ascii="Times New Roman" w:hAnsi="Times New Roman"/>
              <w:b/>
              <w:bCs/>
              <w:sz w:val="24"/>
              <w:szCs w:val="24"/>
            </w:rPr>
            <w:t xml:space="preserve"> NIT</w:t>
          </w:r>
        </w:p>
        <w:p w14:paraId="73C4C79B" w14:textId="77777777" w:rsidR="00274429" w:rsidRDefault="00274429" w:rsidP="001F57C8">
          <w:pPr>
            <w:spacing w:after="0"/>
            <w:rPr>
              <w:rFonts w:ascii="Times New Roman" w:hAnsi="Times New Roman"/>
              <w:sz w:val="24"/>
              <w:szCs w:val="24"/>
            </w:rPr>
          </w:pPr>
          <w:r w:rsidRPr="00521A07">
            <w:rPr>
              <w:rFonts w:ascii="Times New Roman" w:hAnsi="Times New Roman"/>
              <w:b/>
              <w:bCs/>
              <w:sz w:val="24"/>
              <w:szCs w:val="24"/>
            </w:rPr>
            <w:t>Número ID:</w:t>
          </w:r>
          <w:r>
            <w:rPr>
              <w:rFonts w:ascii="Times New Roman" w:hAnsi="Times New Roman"/>
              <w:b/>
              <w:bCs/>
              <w:sz w:val="24"/>
              <w:szCs w:val="24"/>
            </w:rPr>
            <w:t xml:space="preserve"> </w:t>
          </w:r>
          <w:r w:rsidRPr="00FC7585">
            <w:rPr>
              <w:rFonts w:ascii="Times New Roman" w:hAnsi="Times New Roman"/>
              <w:sz w:val="24"/>
              <w:szCs w:val="24"/>
            </w:rPr>
            <w:t xml:space="preserve">860.009.873-4 </w:t>
          </w:r>
        </w:p>
        <w:p w14:paraId="5F2A89B5" w14:textId="1E757EAC" w:rsidR="00274429" w:rsidRDefault="00274429" w:rsidP="001F57C8">
          <w:pPr>
            <w:spacing w:after="0"/>
            <w:rPr>
              <w:rFonts w:ascii="Times New Roman" w:hAnsi="Times New Roman"/>
              <w:sz w:val="24"/>
              <w:szCs w:val="24"/>
            </w:rPr>
          </w:pPr>
          <w:r w:rsidRPr="00521A07">
            <w:rPr>
              <w:rFonts w:ascii="Times New Roman" w:hAnsi="Times New Roman"/>
              <w:b/>
              <w:bCs/>
              <w:sz w:val="24"/>
              <w:szCs w:val="24"/>
            </w:rPr>
            <w:t>Razón social del concesionario:</w:t>
          </w:r>
          <w:r w:rsidR="5DDB5E8C" w:rsidRPr="10D44305">
            <w:rPr>
              <w:rFonts w:ascii="Times New Roman" w:hAnsi="Times New Roman"/>
              <w:b/>
              <w:bCs/>
              <w:sz w:val="24"/>
              <w:szCs w:val="24"/>
            </w:rPr>
            <w:t xml:space="preserve"> </w:t>
          </w:r>
          <w:r w:rsidRPr="00FC7585">
            <w:rPr>
              <w:rFonts w:ascii="Times New Roman" w:hAnsi="Times New Roman"/>
              <w:sz w:val="24"/>
              <w:szCs w:val="24"/>
            </w:rPr>
            <w:t xml:space="preserve">Sociedad Portuaria Puerto Bahía S.A. </w:t>
          </w:r>
        </w:p>
        <w:p w14:paraId="7DF1BD17" w14:textId="09CF05F4" w:rsidR="00274429" w:rsidRDefault="00274429" w:rsidP="00274429">
          <w:pPr>
            <w:rPr>
              <w:rFonts w:ascii="Times New Roman" w:hAnsi="Times New Roman"/>
              <w:sz w:val="24"/>
              <w:szCs w:val="24"/>
            </w:rPr>
          </w:pPr>
          <w:r w:rsidRPr="00521A07">
            <w:rPr>
              <w:rFonts w:ascii="Times New Roman" w:hAnsi="Times New Roman"/>
              <w:b/>
              <w:bCs/>
              <w:sz w:val="24"/>
              <w:szCs w:val="24"/>
            </w:rPr>
            <w:t>Nombre del proyecto:</w:t>
          </w:r>
          <w:r w:rsidR="6D900912" w:rsidRPr="10D44305">
            <w:rPr>
              <w:rFonts w:ascii="Times New Roman" w:hAnsi="Times New Roman"/>
              <w:b/>
              <w:bCs/>
              <w:sz w:val="24"/>
              <w:szCs w:val="24"/>
            </w:rPr>
            <w:t xml:space="preserve"> </w:t>
          </w:r>
          <w:r w:rsidRPr="00FC7585">
            <w:rPr>
              <w:rFonts w:ascii="Times New Roman" w:hAnsi="Times New Roman"/>
              <w:sz w:val="24"/>
              <w:szCs w:val="24"/>
            </w:rPr>
            <w:t xml:space="preserve">Sociedad Portuaria Puerto Bahía S.A. </w:t>
          </w:r>
        </w:p>
        <w:p w14:paraId="3DF0217A" w14:textId="77777777" w:rsidR="00274429" w:rsidRPr="00BE48E2" w:rsidRDefault="00274429" w:rsidP="00E60BAB">
          <w:pPr>
            <w:pStyle w:val="Prrafodelista"/>
            <w:numPr>
              <w:ilvl w:val="0"/>
              <w:numId w:val="117"/>
            </w:numPr>
            <w:spacing w:line="259" w:lineRule="auto"/>
            <w:rPr>
              <w:rFonts w:ascii="Times New Roman" w:hAnsi="Times New Roman"/>
              <w:b/>
              <w:bCs/>
              <w:sz w:val="24"/>
              <w:szCs w:val="24"/>
            </w:rPr>
          </w:pPr>
          <w:r w:rsidRPr="00BE48E2">
            <w:rPr>
              <w:rFonts w:ascii="Times New Roman" w:hAnsi="Times New Roman"/>
              <w:b/>
              <w:bCs/>
              <w:sz w:val="24"/>
              <w:szCs w:val="24"/>
            </w:rPr>
            <w:t>Términos significativos del acuerdo que puedan afectar su valor, el calendario y la certeza de los flujos</w:t>
          </w:r>
        </w:p>
        <w:p w14:paraId="4041248E" w14:textId="595A1F00"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valor:</w:t>
          </w:r>
        </w:p>
        <w:p w14:paraId="1E243042" w14:textId="77777777" w:rsidR="00274429" w:rsidRPr="00FC7585" w:rsidRDefault="00274429" w:rsidP="00274429">
          <w:pPr>
            <w:jc w:val="both"/>
            <w:rPr>
              <w:rFonts w:ascii="Times New Roman" w:hAnsi="Times New Roman"/>
              <w:sz w:val="24"/>
              <w:szCs w:val="24"/>
            </w:rPr>
          </w:pPr>
          <w:r w:rsidRPr="00FC7585">
            <w:rPr>
              <w:rFonts w:ascii="Times New Roman" w:hAnsi="Times New Roman"/>
              <w:b/>
              <w:bCs/>
              <w:sz w:val="24"/>
              <w:szCs w:val="24"/>
            </w:rPr>
            <w:t xml:space="preserve">Tarifas: </w:t>
          </w:r>
          <w:r w:rsidRPr="00FC7585">
            <w:rPr>
              <w:rFonts w:ascii="Times New Roman" w:hAnsi="Times New Roman"/>
              <w:sz w:val="24"/>
              <w:szCs w:val="24"/>
            </w:rPr>
            <w:t>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w:t>
          </w:r>
        </w:p>
        <w:p w14:paraId="6D5C1131" w14:textId="77777777" w:rsidR="00274429" w:rsidRDefault="00274429" w:rsidP="00274429">
          <w:pPr>
            <w:jc w:val="both"/>
            <w:rPr>
              <w:rFonts w:ascii="Times New Roman" w:hAnsi="Times New Roman"/>
              <w:sz w:val="24"/>
              <w:szCs w:val="24"/>
            </w:rPr>
          </w:pPr>
          <w:r w:rsidRPr="00FC7585">
            <w:rPr>
              <w:rFonts w:ascii="Times New Roman" w:hAnsi="Times New Roman"/>
              <w:b/>
              <w:bCs/>
              <w:sz w:val="24"/>
              <w:szCs w:val="24"/>
            </w:rPr>
            <w:t xml:space="preserve">Contraprestación portuaria: </w:t>
          </w:r>
          <w:r w:rsidRPr="00FC7585">
            <w:rPr>
              <w:rFonts w:ascii="Times New Roman" w:hAnsi="Times New Roman"/>
              <w:sz w:val="24"/>
              <w:szCs w:val="24"/>
            </w:rPr>
            <w:t>De acuerdo con el último documento contractual vigente la metodología de contraprestación vigente es CONPES 3744 de 2013 (Componentes Fijo y Variable). A febrero de 2022 el CONCESIONARIO debió pagar la suma de USD $907.325.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Distrito Turístico, Cultural e Histórico de Cartagena; e INFRAESTRUCTURA en un 100% a la Nación - Instituto Nacional de Vías (INVIAS).</w:t>
          </w:r>
        </w:p>
        <w:p w14:paraId="000C6E01" w14:textId="77777777" w:rsidR="00274429" w:rsidRPr="00FC7585" w:rsidRDefault="00274429" w:rsidP="00274429">
          <w:pPr>
            <w:jc w:val="both"/>
            <w:rPr>
              <w:rFonts w:ascii="Times New Roman" w:hAnsi="Times New Roman"/>
              <w:sz w:val="24"/>
              <w:szCs w:val="24"/>
            </w:rPr>
          </w:pPr>
          <w:r w:rsidRPr="00FC7585">
            <w:rPr>
              <w:rFonts w:ascii="Times New Roman" w:hAnsi="Times New Roman"/>
              <w:b/>
              <w:bCs/>
              <w:sz w:val="24"/>
              <w:szCs w:val="24"/>
            </w:rPr>
            <w:t xml:space="preserve">Plan de Inversiones: </w:t>
          </w:r>
          <w:r w:rsidRPr="00FC7585">
            <w:rPr>
              <w:rFonts w:ascii="Times New Roman" w:hAnsi="Times New Roman"/>
              <w:sz w:val="24"/>
              <w:szCs w:val="24"/>
            </w:rPr>
            <w:t>Está establecido en la Cláusula Quinta del Otrosí No.1 de 2012 la cual modifica la Cláusula Novena del Contrato, que el plan de inversión será de USD66.127.611 en valores corrientes.</w:t>
          </w:r>
        </w:p>
        <w:p w14:paraId="77E4D0BC" w14:textId="77777777" w:rsidR="00274429" w:rsidRPr="00FC7585" w:rsidRDefault="00274429" w:rsidP="00274429">
          <w:pPr>
            <w:jc w:val="both"/>
            <w:rPr>
              <w:rFonts w:ascii="Times New Roman" w:hAnsi="Times New Roman"/>
              <w:sz w:val="24"/>
              <w:szCs w:val="24"/>
            </w:rPr>
          </w:pPr>
          <w:r w:rsidRPr="00FC7585">
            <w:rPr>
              <w:rFonts w:ascii="Times New Roman" w:hAnsi="Times New Roman"/>
              <w:b/>
              <w:bCs/>
              <w:sz w:val="24"/>
              <w:szCs w:val="24"/>
            </w:rPr>
            <w:t xml:space="preserve">Obligaciones del CONCESIONARIO: </w:t>
          </w:r>
          <w:r w:rsidRPr="00FC7585">
            <w:rPr>
              <w:rFonts w:ascii="Times New Roman" w:hAnsi="Times New Roman"/>
              <w:sz w:val="24"/>
              <w:szCs w:val="24"/>
            </w:rPr>
            <w:t>Se encuentran descritas en la Cláusula Décima Sexta del Contrato de Concesión.</w:t>
          </w:r>
        </w:p>
        <w:p w14:paraId="2028BB3B" w14:textId="77777777" w:rsidR="00274429" w:rsidRPr="00FC7585" w:rsidRDefault="00274429" w:rsidP="00274429">
          <w:pPr>
            <w:jc w:val="both"/>
            <w:rPr>
              <w:rFonts w:ascii="Times New Roman" w:hAnsi="Times New Roman"/>
              <w:sz w:val="24"/>
              <w:szCs w:val="24"/>
            </w:rPr>
          </w:pPr>
          <w:r w:rsidRPr="00FC7585">
            <w:rPr>
              <w:rFonts w:ascii="Times New Roman" w:hAnsi="Times New Roman"/>
              <w:b/>
              <w:bCs/>
              <w:sz w:val="24"/>
              <w:szCs w:val="24"/>
            </w:rPr>
            <w:t xml:space="preserve">Multas y sanciones: </w:t>
          </w:r>
          <w:r w:rsidRPr="00FC7585">
            <w:rPr>
              <w:rFonts w:ascii="Times New Roman" w:hAnsi="Times New Roman"/>
              <w:sz w:val="24"/>
              <w:szCs w:val="24"/>
            </w:rPr>
            <w:t>Están establecidas en la Cláusula Vigésima Primera del Contrato.</w:t>
          </w:r>
        </w:p>
        <w:p w14:paraId="55A37C28" w14:textId="77777777" w:rsidR="00274429" w:rsidRPr="00FC7585" w:rsidRDefault="00274429" w:rsidP="00274429">
          <w:pPr>
            <w:jc w:val="both"/>
            <w:rPr>
              <w:rFonts w:ascii="Times New Roman" w:hAnsi="Times New Roman"/>
              <w:sz w:val="24"/>
              <w:szCs w:val="24"/>
            </w:rPr>
          </w:pPr>
          <w:r w:rsidRPr="00FC7585">
            <w:rPr>
              <w:rFonts w:ascii="Times New Roman" w:hAnsi="Times New Roman"/>
              <w:b/>
              <w:bCs/>
              <w:sz w:val="24"/>
              <w:szCs w:val="24"/>
            </w:rPr>
            <w:t xml:space="preserve">Penal pecuniario: </w:t>
          </w:r>
          <w:r w:rsidRPr="00FC7585">
            <w:rPr>
              <w:rFonts w:ascii="Times New Roman" w:hAnsi="Times New Roman"/>
              <w:sz w:val="24"/>
              <w:szCs w:val="24"/>
            </w:rPr>
            <w:t>En la Cláusula Vigésima Tercera del Contrato se establece que en el evento en que el INCO hoy ANI declare la caducidad o el incumplimiento del presente contrato se podrá imponer una penalidad pecuniaria, equivalente al 10% del valor total de la contraprestación.</w:t>
          </w:r>
        </w:p>
        <w:p w14:paraId="7BDEED6F" w14:textId="77777777" w:rsidR="00274429" w:rsidRPr="00FC7585" w:rsidRDefault="00274429" w:rsidP="00274429">
          <w:pPr>
            <w:jc w:val="both"/>
            <w:rPr>
              <w:rFonts w:ascii="Times New Roman" w:hAnsi="Times New Roman"/>
              <w:sz w:val="24"/>
              <w:szCs w:val="24"/>
            </w:rPr>
          </w:pPr>
          <w:r w:rsidRPr="00FC7585">
            <w:rPr>
              <w:rFonts w:ascii="Times New Roman" w:hAnsi="Times New Roman"/>
              <w:b/>
              <w:bCs/>
              <w:sz w:val="24"/>
              <w:szCs w:val="24"/>
            </w:rPr>
            <w:t xml:space="preserve">Riesgos: </w:t>
          </w:r>
          <w:r w:rsidRPr="00FC7585">
            <w:rPr>
              <w:rFonts w:ascii="Times New Roman" w:hAnsi="Times New Roman"/>
              <w:sz w:val="24"/>
              <w:szCs w:val="24"/>
            </w:rPr>
            <w:t>Están descritos en la Cláusula Trigésima Segunda del Contrato, el CONCESIONARIO acepta la totalidad de los riesgos inherentes a la ejecución del contrato en su etapa preoperativa, de construcción, de operación, de liquidación y de reversión, incluyendo el riesgo inherente a la aprobación del trámite de declaratoria de existencia como zona franca permanente especial de servicios del área portuaria serán asumidos por dicha Sociedad. La ocurrencia de cualquier riesgo no dará derecho a indemnización o reconocimiento alguno a favor del CONCESIONARIO</w:t>
          </w:r>
        </w:p>
        <w:p w14:paraId="3F9CA12E" w14:textId="66D66218" w:rsidR="00274429" w:rsidRDefault="00274429" w:rsidP="10D44305">
          <w:pPr>
            <w:jc w:val="both"/>
            <w:rPr>
              <w:rFonts w:ascii="Times New Roman" w:hAnsi="Times New Roman"/>
              <w:sz w:val="24"/>
              <w:szCs w:val="24"/>
            </w:rPr>
          </w:pPr>
          <w:r w:rsidRPr="10D44305">
            <w:rPr>
              <w:rFonts w:ascii="Times New Roman" w:hAnsi="Times New Roman"/>
              <w:b/>
              <w:bCs/>
              <w:sz w:val="24"/>
              <w:szCs w:val="24"/>
            </w:rPr>
            <w:lastRenderedPageBreak/>
            <w:t>Términos de calendario:</w:t>
          </w:r>
          <w:r w:rsidR="51A7CD5E" w:rsidRPr="10D44305">
            <w:rPr>
              <w:rFonts w:ascii="Times New Roman" w:hAnsi="Times New Roman"/>
              <w:b/>
              <w:bCs/>
              <w:sz w:val="24"/>
              <w:szCs w:val="24"/>
            </w:rPr>
            <w:t xml:space="preserve">  </w:t>
          </w:r>
          <w:r w:rsidR="51A7CD5E" w:rsidRPr="10D44305">
            <w:rPr>
              <w:rFonts w:ascii="Times New Roman" w:hAnsi="Times New Roman"/>
              <w:sz w:val="24"/>
              <w:szCs w:val="24"/>
            </w:rPr>
            <w:t xml:space="preserve">Tarifas: Aprobadas según la metodología establecida por la Superintendencia General de Puertos hoy Superintendencia de Transporte. </w:t>
          </w:r>
        </w:p>
        <w:p w14:paraId="7F05713F" w14:textId="1E77BCF7" w:rsidR="00274429" w:rsidRDefault="51A7CD5E" w:rsidP="10D44305">
          <w:pPr>
            <w:jc w:val="both"/>
            <w:rPr>
              <w:rFonts w:ascii="Times New Roman" w:hAnsi="Times New Roman"/>
              <w:sz w:val="24"/>
              <w:szCs w:val="24"/>
            </w:rPr>
          </w:pPr>
          <w:r w:rsidRPr="10D44305">
            <w:rPr>
              <w:rFonts w:ascii="Times New Roman" w:hAnsi="Times New Roman"/>
              <w:sz w:val="24"/>
              <w:szCs w:val="24"/>
            </w:rPr>
            <w:t xml:space="preserve"> Contraprestación portuaria: Anexo 2 del Conpes 3744 de 2013 “(…) Antes de finalizar los meses de febrero cada concesionario deberá corregir su liquidación del año anterior según el movimiento de carga real y la indexación del valor de referencia por metro cuadrado, del avalúo de la infraestructura concesionada y de los cargos, así como realizar el pago anticipado del año en curso con base en lo proyectado en el FCL definitivo”. </w:t>
          </w:r>
        </w:p>
        <w:p w14:paraId="5F38F017" w14:textId="26AA56B3" w:rsidR="00274429" w:rsidRDefault="51A7CD5E" w:rsidP="10D44305">
          <w:pPr>
            <w:jc w:val="both"/>
            <w:rPr>
              <w:rFonts w:ascii="Times New Roman" w:hAnsi="Times New Roman"/>
              <w:sz w:val="24"/>
              <w:szCs w:val="24"/>
            </w:rPr>
          </w:pPr>
          <w:r w:rsidRPr="10D44305">
            <w:rPr>
              <w:rFonts w:ascii="Times New Roman" w:hAnsi="Times New Roman"/>
              <w:sz w:val="24"/>
              <w:szCs w:val="24"/>
            </w:rPr>
            <w:t xml:space="preserve"> Plan de inversiones: Se estableció en la Cláusula Quinta del Otrosí No. 1 y su Anexo No. 1, la ejecución de inversiones en el periodo de tiempo comprendido entre el año 2013 a 2015. </w:t>
          </w:r>
        </w:p>
        <w:p w14:paraId="3247B289" w14:textId="302B5DF1" w:rsidR="00274429" w:rsidRDefault="51A7CD5E" w:rsidP="00274429">
          <w:pPr>
            <w:jc w:val="both"/>
            <w:rPr>
              <w:rFonts w:ascii="Times New Roman" w:hAnsi="Times New Roman"/>
              <w:sz w:val="24"/>
              <w:szCs w:val="24"/>
            </w:rPr>
          </w:pPr>
          <w:r w:rsidRPr="10D44305">
            <w:rPr>
              <w:rFonts w:ascii="Times New Roman" w:hAnsi="Times New Roman"/>
              <w:sz w:val="24"/>
              <w:szCs w:val="24"/>
            </w:rPr>
            <w:t xml:space="preserve"> Multas: Están establecidas en la Cláusula Vigésima Primera del Contrato  </w:t>
          </w:r>
        </w:p>
        <w:p w14:paraId="6AEF2F94" w14:textId="77777777"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certeza de flujos de efectivo futuros:</w:t>
          </w:r>
        </w:p>
        <w:p w14:paraId="750138CC" w14:textId="77777777" w:rsidR="00274429" w:rsidRPr="00BE48E2" w:rsidRDefault="00274429" w:rsidP="00274429">
          <w:pPr>
            <w:jc w:val="both"/>
            <w:rPr>
              <w:rFonts w:ascii="Times New Roman" w:hAnsi="Times New Roman"/>
              <w:sz w:val="24"/>
              <w:szCs w:val="24"/>
            </w:rPr>
          </w:pPr>
          <w:r w:rsidRPr="00BE48E2">
            <w:rPr>
              <w:rFonts w:ascii="Times New Roman" w:hAnsi="Times New Roman"/>
              <w:sz w:val="24"/>
              <w:szCs w:val="24"/>
            </w:rPr>
            <w:t>Se otorga a EL CONCESIONARIO el derecho de ocupar y utilizar en forma temporal y exclusiva las playas, los terrenos de bajamar y zonas accesorias a aquellas o estos, descritos en la cláusula primera del contrato, a cambio de la contraprestación económica.</w:t>
          </w:r>
        </w:p>
        <w:p w14:paraId="4AECEA03" w14:textId="77777777" w:rsidR="00274429" w:rsidRPr="002F1782" w:rsidRDefault="00274429" w:rsidP="00274429">
          <w:pPr>
            <w:jc w:val="both"/>
            <w:rPr>
              <w:rFonts w:ascii="Times New Roman" w:hAnsi="Times New Roman"/>
              <w:sz w:val="24"/>
              <w:szCs w:val="24"/>
            </w:rPr>
          </w:pPr>
          <w:r w:rsidRPr="00BE48E2">
            <w:rPr>
              <w:rFonts w:ascii="Times New Roman" w:hAnsi="Times New Roman"/>
              <w:sz w:val="24"/>
              <w:szCs w:val="24"/>
            </w:rPr>
            <w:t>Cláusula Sexta, Parágrafo Primero, del valor a pagar por concepto de contraprestación por Zona de Uso público el 80% le corresponde a la Nación-INVIAS y el 20 % al Distrito turístico de Cartagena de Indias y por Infraestructura el 100% a la Nación-INVIAS</w:t>
          </w:r>
          <w:r w:rsidRPr="00BE48E2">
            <w:rPr>
              <w:rFonts w:ascii="Times New Roman" w:hAnsi="Times New Roman"/>
              <w:sz w:val="24"/>
              <w:szCs w:val="24"/>
            </w:rPr>
            <w:cr/>
          </w:r>
        </w:p>
        <w:p w14:paraId="7DDA5153" w14:textId="77777777" w:rsidR="00274429" w:rsidRDefault="00274429" w:rsidP="00E60BAB">
          <w:pPr>
            <w:pStyle w:val="Prrafodelista"/>
            <w:numPr>
              <w:ilvl w:val="0"/>
              <w:numId w:val="117"/>
            </w:numPr>
            <w:spacing w:line="259" w:lineRule="auto"/>
            <w:jc w:val="both"/>
            <w:rPr>
              <w:rFonts w:ascii="Times New Roman" w:hAnsi="Times New Roman"/>
              <w:b/>
              <w:bCs/>
              <w:sz w:val="24"/>
              <w:szCs w:val="24"/>
            </w:rPr>
          </w:pPr>
          <w:r w:rsidRPr="0085771E">
            <w:rPr>
              <w:rFonts w:ascii="Times New Roman" w:hAnsi="Times New Roman"/>
              <w:b/>
              <w:bCs/>
              <w:sz w:val="24"/>
              <w:szCs w:val="24"/>
            </w:rPr>
            <w:t>Naturaleza y alcance del derecho a utilizar activos especificados, de los aspectos pactados en torno a lo que se espera que el concesionario proporcione en relación con el acuerdo de concesión (Se requiere ser breves, precisos, y concisos en la redacción)</w:t>
          </w:r>
        </w:p>
        <w:p w14:paraId="3B6ECDFF" w14:textId="77777777" w:rsidR="00274429" w:rsidRDefault="00274429" w:rsidP="00274429">
          <w:pPr>
            <w:jc w:val="both"/>
            <w:rPr>
              <w:rFonts w:ascii="Times New Roman" w:hAnsi="Times New Roman"/>
              <w:b/>
              <w:bCs/>
              <w:sz w:val="24"/>
              <w:szCs w:val="24"/>
            </w:rPr>
          </w:pPr>
          <w:r w:rsidRPr="00217110">
            <w:rPr>
              <w:rFonts w:ascii="Times New Roman" w:hAnsi="Times New Roman"/>
              <w:b/>
              <w:bCs/>
              <w:sz w:val="24"/>
              <w:szCs w:val="24"/>
            </w:rPr>
            <w:t>Naturaleza y alcance del derecho de uso de los activos</w:t>
          </w:r>
        </w:p>
        <w:p w14:paraId="24E17865" w14:textId="77777777" w:rsidR="00274429" w:rsidRDefault="00274429" w:rsidP="00274429">
          <w:pPr>
            <w:jc w:val="both"/>
            <w:rPr>
              <w:rFonts w:ascii="Times New Roman" w:hAnsi="Times New Roman"/>
              <w:b/>
              <w:bCs/>
              <w:sz w:val="24"/>
              <w:szCs w:val="24"/>
            </w:rPr>
          </w:pPr>
          <w:r w:rsidRPr="003E5FA9">
            <w:rPr>
              <w:rFonts w:ascii="Times New Roman" w:hAnsi="Times New Roman"/>
              <w:b/>
              <w:bCs/>
              <w:sz w:val="24"/>
              <w:szCs w:val="24"/>
            </w:rPr>
            <w:t>Descripción:</w:t>
          </w:r>
          <w:r>
            <w:rPr>
              <w:rFonts w:ascii="Times New Roman" w:hAnsi="Times New Roman"/>
              <w:b/>
              <w:bCs/>
              <w:sz w:val="24"/>
              <w:szCs w:val="24"/>
            </w:rPr>
            <w:t xml:space="preserve">  </w:t>
          </w:r>
        </w:p>
        <w:p w14:paraId="78D47C7A"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 xml:space="preserve">Descripción del proyecto, especificaciones técnicas, modalidades de operación: las condiciones especiales de operación del puerto están establecidas en la Cláusula Séptima. </w:t>
          </w:r>
        </w:p>
        <w:p w14:paraId="0AB84098"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Área entregada en concesión: La descripción de la ubicación, linderos y extensión de los bienes de uso público (playas y terrenos de baja mar, zonas marítimas accesorias de maniobras) entregados en concesión están establecidos en la Cláusula Cuarta.</w:t>
          </w:r>
        </w:p>
        <w:p w14:paraId="5992CCD3"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 xml:space="preserve">Infraestructura y equipos entregados en concesión: En la Cláusula Cuarta del Contrato, se describen que las construcciones entregadas en concesión fueron: </w:t>
          </w:r>
        </w:p>
        <w:p w14:paraId="6FC8B109"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Infraestructura: Espolón de acceso, una pasarela en concreto reforzado, una plataforma intermedia en concreto reforzado, una plataforma de cargue, una piña de amarre con su bita de amarre doble y cuatro (4) piñas de atraque circulares.</w:t>
          </w:r>
        </w:p>
        <w:p w14:paraId="013CA62D" w14:textId="77777777" w:rsidR="00274429" w:rsidRDefault="00274429" w:rsidP="00274429">
          <w:pPr>
            <w:jc w:val="both"/>
            <w:rPr>
              <w:rFonts w:ascii="Times New Roman" w:hAnsi="Times New Roman"/>
              <w:b/>
              <w:bCs/>
              <w:sz w:val="24"/>
              <w:szCs w:val="24"/>
            </w:rPr>
          </w:pPr>
          <w:r w:rsidRPr="003E5FA9">
            <w:rPr>
              <w:rFonts w:ascii="Times New Roman" w:hAnsi="Times New Roman"/>
              <w:b/>
              <w:bCs/>
              <w:sz w:val="24"/>
              <w:szCs w:val="24"/>
            </w:rPr>
            <w:t>Observaciones:</w:t>
          </w:r>
          <w:r>
            <w:rPr>
              <w:rFonts w:ascii="Times New Roman" w:hAnsi="Times New Roman"/>
              <w:b/>
              <w:bCs/>
              <w:sz w:val="24"/>
              <w:szCs w:val="24"/>
            </w:rPr>
            <w:t xml:space="preserve"> NA</w:t>
          </w:r>
        </w:p>
        <w:p w14:paraId="0EBFC239" w14:textId="77777777" w:rsidR="00274429" w:rsidRDefault="00274429" w:rsidP="00274429">
          <w:pPr>
            <w:jc w:val="both"/>
            <w:rPr>
              <w:rFonts w:ascii="Times New Roman" w:hAnsi="Times New Roman"/>
              <w:b/>
              <w:bCs/>
              <w:sz w:val="24"/>
              <w:szCs w:val="24"/>
            </w:rPr>
          </w:pPr>
          <w:r>
            <w:rPr>
              <w:rFonts w:ascii="Times New Roman" w:hAnsi="Times New Roman"/>
              <w:b/>
              <w:bCs/>
              <w:sz w:val="24"/>
              <w:szCs w:val="24"/>
            </w:rPr>
            <w:t>Retribución al Concesionario</w:t>
          </w:r>
        </w:p>
        <w:p w14:paraId="6D8ACF2F" w14:textId="77777777" w:rsidR="00274429" w:rsidRPr="00BE48E2" w:rsidRDefault="00274429" w:rsidP="00274429">
          <w:pPr>
            <w:jc w:val="both"/>
            <w:rPr>
              <w:rFonts w:ascii="Times New Roman" w:hAnsi="Times New Roman"/>
              <w:sz w:val="24"/>
              <w:szCs w:val="24"/>
            </w:rPr>
          </w:pPr>
          <w:r w:rsidRPr="002F1782">
            <w:rPr>
              <w:rFonts w:ascii="Times New Roman" w:hAnsi="Times New Roman"/>
              <w:b/>
              <w:bCs/>
              <w:sz w:val="24"/>
              <w:szCs w:val="24"/>
            </w:rPr>
            <w:lastRenderedPageBreak/>
            <w:t xml:space="preserve">Descripción: </w:t>
          </w:r>
          <w:r w:rsidRPr="00BE48E2">
            <w:rPr>
              <w:rFonts w:ascii="Times New Roman" w:hAnsi="Times New Roman"/>
              <w:sz w:val="24"/>
              <w:szCs w:val="24"/>
            </w:rPr>
            <w:t>Cláusula Primera - Contrato de Concesión Portuaria No. 002 de 2011: Se otorga a EL CONCESIONARIO el derecho de ocupar y utilizar en forma temporal y exclusiva las playas, los terrenos de bajamar y zonas accesorias a aquellas o estos, descritos en la Cláusula Segunda del Contrato, a cambio de la contraprestación económica.</w:t>
          </w:r>
        </w:p>
        <w:p w14:paraId="013B388C" w14:textId="77777777" w:rsidR="00274429" w:rsidRPr="00351837" w:rsidRDefault="00274429" w:rsidP="00274429">
          <w:pPr>
            <w:jc w:val="both"/>
            <w:rPr>
              <w:rFonts w:ascii="Times New Roman" w:hAnsi="Times New Roman"/>
              <w:b/>
              <w:bCs/>
              <w:sz w:val="24"/>
              <w:szCs w:val="24"/>
            </w:rPr>
          </w:pPr>
          <w:r>
            <w:rPr>
              <w:rFonts w:ascii="Times New Roman" w:hAnsi="Times New Roman"/>
              <w:b/>
              <w:bCs/>
              <w:sz w:val="24"/>
              <w:szCs w:val="24"/>
            </w:rPr>
            <w:t>Tasa de retribución: NA</w:t>
          </w:r>
        </w:p>
        <w:p w14:paraId="57F51578" w14:textId="77777777" w:rsidR="00274429" w:rsidRDefault="00274429" w:rsidP="00E60BAB">
          <w:pPr>
            <w:pStyle w:val="Prrafodelista"/>
            <w:numPr>
              <w:ilvl w:val="0"/>
              <w:numId w:val="117"/>
            </w:numPr>
            <w:spacing w:line="259" w:lineRule="auto"/>
            <w:jc w:val="both"/>
            <w:rPr>
              <w:rFonts w:ascii="Times New Roman" w:hAnsi="Times New Roman"/>
              <w:b/>
              <w:bCs/>
              <w:sz w:val="24"/>
              <w:szCs w:val="24"/>
            </w:rPr>
          </w:pPr>
          <w:r w:rsidRPr="00197A12">
            <w:rPr>
              <w:rFonts w:ascii="Times New Roman" w:hAnsi="Times New Roman"/>
              <w:b/>
              <w:bCs/>
              <w:sz w:val="24"/>
              <w:szCs w:val="24"/>
            </w:rPr>
            <w:t>Derechos a recibir activos especificados al final del acuerdo de concesión</w:t>
          </w:r>
        </w:p>
        <w:p w14:paraId="704588CA" w14:textId="77777777" w:rsidR="00274429" w:rsidRDefault="00274429" w:rsidP="00274429">
          <w:pPr>
            <w:jc w:val="both"/>
            <w:rPr>
              <w:rFonts w:ascii="Times New Roman" w:hAnsi="Times New Roman"/>
              <w:sz w:val="24"/>
              <w:szCs w:val="24"/>
            </w:rPr>
          </w:pPr>
          <w:r w:rsidRPr="006D56DF">
            <w:rPr>
              <w:rFonts w:ascii="Times New Roman" w:hAnsi="Times New Roman"/>
              <w:b/>
              <w:bCs/>
              <w:sz w:val="24"/>
              <w:szCs w:val="24"/>
            </w:rPr>
            <w:t>Descripción:</w:t>
          </w:r>
          <w:r>
            <w:rPr>
              <w:rFonts w:ascii="Times New Roman" w:hAnsi="Times New Roman"/>
              <w:b/>
              <w:bCs/>
              <w:sz w:val="24"/>
              <w:szCs w:val="24"/>
            </w:rPr>
            <w:t xml:space="preserve"> </w:t>
          </w:r>
          <w:r w:rsidRPr="00BE48E2">
            <w:rPr>
              <w:rFonts w:ascii="Times New Roman" w:hAnsi="Times New Roman"/>
              <w:sz w:val="24"/>
              <w:szCs w:val="24"/>
            </w:rPr>
            <w:t xml:space="preserve">De acuerdo con el Artículo 8º de la Ley 1 de 1991 en el modo portuario el concesionario no tiene derechos finales sobre activos los debe revertir a la Nación al final del contrato de concesión </w:t>
          </w:r>
        </w:p>
        <w:p w14:paraId="369D9DC7" w14:textId="77777777" w:rsidR="00274429" w:rsidRPr="00351837" w:rsidRDefault="00274429" w:rsidP="00274429">
          <w:pPr>
            <w:jc w:val="both"/>
            <w:rPr>
              <w:rFonts w:ascii="Times New Roman" w:hAnsi="Times New Roman"/>
              <w:sz w:val="24"/>
              <w:szCs w:val="24"/>
            </w:rPr>
          </w:pPr>
          <w:r w:rsidRPr="006D56DF">
            <w:rPr>
              <w:rFonts w:ascii="Times New Roman" w:hAnsi="Times New Roman"/>
              <w:b/>
              <w:bCs/>
              <w:sz w:val="24"/>
              <w:szCs w:val="24"/>
            </w:rPr>
            <w:t>Observaciones:</w:t>
          </w:r>
          <w:r w:rsidRPr="009A46BB">
            <w:rPr>
              <w:rFonts w:ascii="Times New Roman" w:hAnsi="Times New Roman"/>
              <w:sz w:val="24"/>
              <w:szCs w:val="24"/>
            </w:rPr>
            <w:t xml:space="preserve"> </w:t>
          </w:r>
        </w:p>
        <w:p w14:paraId="57BAA073" w14:textId="77777777" w:rsidR="00274429" w:rsidRPr="00BE48E2" w:rsidRDefault="00274429" w:rsidP="00274429">
          <w:pPr>
            <w:jc w:val="both"/>
            <w:rPr>
              <w:rFonts w:ascii="Times New Roman" w:hAnsi="Times New Roman"/>
              <w:sz w:val="24"/>
              <w:szCs w:val="24"/>
            </w:rPr>
          </w:pPr>
          <w:r w:rsidRPr="00BE48E2">
            <w:rPr>
              <w:rFonts w:ascii="Times New Roman" w:hAnsi="Times New Roman"/>
              <w:sz w:val="24"/>
              <w:szCs w:val="24"/>
            </w:rPr>
            <w:t xml:space="preserve">Reversión: De acuerdo con lo establecido en la Cláusula Décima Tercera del Contrato de Concesión, la zona de uso público y toda la infraestructura y los inmuebles por destinación (equipos e inversiones) ejecutadas en concesión se revertirán sin costo alguno a la Nación, en buenas condiciones de operación tecnológica, mantenimiento y de adecuada eficiencia al término de este contrato y de la prórroga si la hubiere. Igualmente procederá la reversión al ser declarada la caducidad o la terminación unilateral. </w:t>
          </w:r>
        </w:p>
        <w:p w14:paraId="2DAA4EB8" w14:textId="77777777" w:rsidR="00274429" w:rsidRPr="00BE48E2" w:rsidRDefault="00274429" w:rsidP="00274429">
          <w:pPr>
            <w:jc w:val="both"/>
            <w:rPr>
              <w:rFonts w:ascii="Times New Roman" w:hAnsi="Times New Roman"/>
              <w:sz w:val="24"/>
              <w:szCs w:val="24"/>
            </w:rPr>
          </w:pPr>
          <w:r w:rsidRPr="00BE48E2">
            <w:rPr>
              <w:rFonts w:ascii="Times New Roman" w:hAnsi="Times New Roman"/>
              <w:sz w:val="24"/>
              <w:szCs w:val="24"/>
            </w:rPr>
            <w:t>Para tal fin, en el momento de la reversión el CONCESIONARIO deberá hacer entrega de un avaluó comercial actualizado y valoración técnica de las condiciones de operación de la infraestructura portuaria, equipos e inmuebles por destinación que habitualmente se encuentren instalados en las zonas de uso público que se revierten y que son propiedad de la Nación.</w:t>
          </w:r>
        </w:p>
        <w:p w14:paraId="799AB4BE" w14:textId="77777777" w:rsidR="00274429" w:rsidRPr="00BE48E2" w:rsidRDefault="00274429" w:rsidP="00274429">
          <w:pPr>
            <w:jc w:val="both"/>
            <w:rPr>
              <w:rFonts w:ascii="Times New Roman" w:hAnsi="Times New Roman"/>
              <w:sz w:val="24"/>
              <w:szCs w:val="24"/>
            </w:rPr>
          </w:pPr>
          <w:r w:rsidRPr="00BE48E2">
            <w:rPr>
              <w:rFonts w:ascii="Times New Roman" w:hAnsi="Times New Roman"/>
              <w:sz w:val="24"/>
              <w:szCs w:val="24"/>
            </w:rPr>
            <w:t>La ANI es la entidad concedente pero la titularidad de los activos al final de la concesión es del Instituto Nacional de Vías INVIAS</w:t>
          </w:r>
        </w:p>
        <w:p w14:paraId="3F14DD4D" w14:textId="7098D86F" w:rsidR="00274429" w:rsidRDefault="356CA7A9" w:rsidP="00E60BAB">
          <w:pPr>
            <w:pStyle w:val="Prrafodelista"/>
            <w:numPr>
              <w:ilvl w:val="0"/>
              <w:numId w:val="117"/>
            </w:numPr>
            <w:spacing w:line="259" w:lineRule="auto"/>
            <w:jc w:val="both"/>
            <w:rPr>
              <w:rFonts w:ascii="Times New Roman" w:hAnsi="Times New Roman"/>
              <w:b/>
              <w:bCs/>
              <w:sz w:val="24"/>
              <w:szCs w:val="24"/>
            </w:rPr>
          </w:pPr>
          <w:r w:rsidRPr="10D44305">
            <w:rPr>
              <w:rFonts w:ascii="Times New Roman" w:hAnsi="Times New Roman"/>
              <w:b/>
              <w:bCs/>
              <w:sz w:val="24"/>
              <w:szCs w:val="24"/>
            </w:rPr>
            <w:t>No hay c</w:t>
          </w:r>
          <w:r w:rsidR="00274429" w:rsidRPr="10D44305">
            <w:rPr>
              <w:rFonts w:ascii="Times New Roman" w:hAnsi="Times New Roman"/>
              <w:b/>
              <w:bCs/>
              <w:sz w:val="24"/>
              <w:szCs w:val="24"/>
            </w:rPr>
            <w:t>ambios</w:t>
          </w:r>
          <w:r w:rsidR="00274429" w:rsidRPr="00C4601E">
            <w:rPr>
              <w:rFonts w:ascii="Times New Roman" w:hAnsi="Times New Roman"/>
              <w:b/>
              <w:bCs/>
              <w:sz w:val="24"/>
              <w:szCs w:val="24"/>
            </w:rPr>
            <w:t xml:space="preserve"> en el acuerdo de concesión que se realicen durante el periodo fiscal</w:t>
          </w:r>
        </w:p>
        <w:p w14:paraId="1E7AAB9D" w14:textId="77777777" w:rsidR="00274429" w:rsidRPr="00C4601E" w:rsidRDefault="00274429" w:rsidP="00274429">
          <w:pPr>
            <w:pStyle w:val="Prrafodelista"/>
            <w:jc w:val="both"/>
            <w:rPr>
              <w:rFonts w:ascii="Times New Roman" w:hAnsi="Times New Roman"/>
              <w:b/>
              <w:bCs/>
              <w:sz w:val="24"/>
              <w:szCs w:val="24"/>
            </w:rPr>
          </w:pPr>
        </w:p>
        <w:p w14:paraId="0EFEC739" w14:textId="77777777" w:rsidR="00274429" w:rsidRPr="009A46BB" w:rsidRDefault="00274429" w:rsidP="00274429">
          <w:pPr>
            <w:rPr>
              <w:rFonts w:ascii="Times New Roman" w:hAnsi="Times New Roman"/>
              <w:sz w:val="24"/>
              <w:szCs w:val="24"/>
            </w:rPr>
          </w:pPr>
        </w:p>
        <w:p w14:paraId="5F2DA115" w14:textId="77777777" w:rsidR="00274429" w:rsidRDefault="00274429" w:rsidP="00274429">
          <w:pPr>
            <w:rPr>
              <w:rFonts w:ascii="Times New Roman" w:hAnsi="Times New Roman"/>
              <w:b/>
              <w:sz w:val="24"/>
              <w:szCs w:val="24"/>
            </w:rPr>
          </w:pPr>
          <w:r w:rsidRPr="10D44305">
            <w:rPr>
              <w:rFonts w:ascii="Times New Roman" w:hAnsi="Times New Roman"/>
              <w:b/>
              <w:bCs/>
              <w:sz w:val="24"/>
              <w:szCs w:val="24"/>
            </w:rPr>
            <w:t>SOCIEDAD PORTUARIA DEXTON S.A</w:t>
          </w:r>
        </w:p>
        <w:p w14:paraId="7489987D" w14:textId="77777777" w:rsidR="00274429" w:rsidRPr="00BE48E2" w:rsidRDefault="00274429" w:rsidP="00E60BAB">
          <w:pPr>
            <w:pStyle w:val="Prrafodelista"/>
            <w:numPr>
              <w:ilvl w:val="0"/>
              <w:numId w:val="118"/>
            </w:numPr>
            <w:spacing w:line="259" w:lineRule="auto"/>
            <w:rPr>
              <w:rFonts w:ascii="Times New Roman" w:hAnsi="Times New Roman"/>
              <w:b/>
              <w:bCs/>
              <w:sz w:val="24"/>
              <w:szCs w:val="24"/>
            </w:rPr>
          </w:pPr>
          <w:r w:rsidRPr="007760D5">
            <w:rPr>
              <w:rFonts w:ascii="Times New Roman" w:hAnsi="Times New Roman"/>
              <w:b/>
              <w:bCs/>
              <w:sz w:val="24"/>
              <w:szCs w:val="24"/>
            </w:rPr>
            <w:t>Descripción del acuerdo</w:t>
          </w:r>
        </w:p>
        <w:p w14:paraId="5DABE8E5" w14:textId="71641C63" w:rsidR="00274429" w:rsidRPr="009A46BB" w:rsidRDefault="00274429" w:rsidP="10D44305">
          <w:pPr>
            <w:spacing w:after="0"/>
            <w:jc w:val="both"/>
            <w:rPr>
              <w:rFonts w:ascii="Times New Roman" w:hAnsi="Times New Roman"/>
              <w:sz w:val="24"/>
              <w:szCs w:val="24"/>
            </w:rPr>
          </w:pPr>
          <w:r w:rsidRPr="009A46BB">
            <w:rPr>
              <w:rFonts w:ascii="Times New Roman" w:hAnsi="Times New Roman"/>
              <w:b/>
              <w:sz w:val="24"/>
              <w:szCs w:val="24"/>
            </w:rPr>
            <w:t>Número del acuerdo de concesión:</w:t>
          </w:r>
          <w:r w:rsidRPr="009A46BB">
            <w:rPr>
              <w:rFonts w:ascii="Times New Roman" w:hAnsi="Times New Roman"/>
              <w:sz w:val="24"/>
              <w:szCs w:val="24"/>
            </w:rPr>
            <w:t xml:space="preserve">Contrato de Concesión Portuaria No.003 de 2011 </w:t>
          </w:r>
        </w:p>
        <w:p w14:paraId="27129234" w14:textId="28A1F68E" w:rsidR="00274429" w:rsidRPr="009A46BB" w:rsidRDefault="00274429" w:rsidP="10D44305">
          <w:pPr>
            <w:spacing w:after="0"/>
            <w:jc w:val="both"/>
            <w:rPr>
              <w:rFonts w:ascii="Times New Roman" w:hAnsi="Times New Roman"/>
              <w:sz w:val="24"/>
              <w:szCs w:val="24"/>
            </w:rPr>
          </w:pPr>
          <w:r w:rsidRPr="009A46BB">
            <w:rPr>
              <w:rFonts w:ascii="Times New Roman" w:hAnsi="Times New Roman"/>
              <w:b/>
              <w:sz w:val="24"/>
              <w:szCs w:val="24"/>
            </w:rPr>
            <w:t>Objeto / Descripción</w:t>
          </w:r>
          <w:r w:rsidRPr="009A46BB">
            <w:rPr>
              <w:rFonts w:ascii="Times New Roman" w:hAnsi="Times New Roman"/>
              <w:sz w:val="24"/>
              <w:szCs w:val="24"/>
            </w:rPr>
            <w:t>:Otorgar una concesión portuaria al concesionario, para la ocupación y utilización en forma temporal y exclusiva de la zona de uso público conformada por las playas, los terrenos de bajamar, zonas accesorias a aquellas o estos, terrenos adyacentes y las Construcciones portuarias allí ubicadas, conforme lo establece la Cláusula Segunda del Contrato</w:t>
          </w:r>
        </w:p>
        <w:p w14:paraId="0E7F95C8" w14:textId="687C7156" w:rsidR="00274429" w:rsidRPr="00FD695F" w:rsidRDefault="00274429" w:rsidP="005509EE">
          <w:pPr>
            <w:spacing w:after="0"/>
            <w:jc w:val="both"/>
            <w:rPr>
              <w:rFonts w:ascii="Times New Roman" w:hAnsi="Times New Roman"/>
              <w:sz w:val="24"/>
              <w:szCs w:val="24"/>
            </w:rPr>
          </w:pPr>
          <w:r w:rsidRPr="00521A07">
            <w:rPr>
              <w:rFonts w:ascii="Times New Roman" w:hAnsi="Times New Roman"/>
              <w:b/>
              <w:bCs/>
              <w:sz w:val="24"/>
              <w:szCs w:val="24"/>
            </w:rPr>
            <w:t>Valor inicial:</w:t>
          </w:r>
          <w:r w:rsidRPr="00FD695F">
            <w:rPr>
              <w:rFonts w:ascii="Times New Roman" w:hAnsi="Times New Roman"/>
              <w:sz w:val="24"/>
              <w:szCs w:val="24"/>
            </w:rPr>
            <w:t>USD $700.909 corrientes / cláusula octava segunda parte del contrato / contrato No. 3 de 2011.</w:t>
          </w:r>
        </w:p>
        <w:p w14:paraId="4FA1D8AC" w14:textId="0914E296" w:rsidR="00274429" w:rsidRPr="00FD695F" w:rsidRDefault="00274429" w:rsidP="005509EE">
          <w:pPr>
            <w:spacing w:after="0"/>
            <w:jc w:val="both"/>
            <w:rPr>
              <w:rFonts w:ascii="Times New Roman" w:hAnsi="Times New Roman"/>
              <w:sz w:val="24"/>
              <w:szCs w:val="24"/>
            </w:rPr>
          </w:pPr>
          <w:r w:rsidRPr="00FD695F">
            <w:rPr>
              <w:rFonts w:ascii="Times New Roman" w:hAnsi="Times New Roman"/>
              <w:sz w:val="24"/>
              <w:szCs w:val="24"/>
            </w:rPr>
            <w:lastRenderedPageBreak/>
            <w:t>Valor del Contrato actualizado: USD $1.509.874 constantes de 2014/ Cláusula tercera / Otrosí No. 1 de 2016.</w:t>
          </w:r>
        </w:p>
        <w:p w14:paraId="0F020F1C" w14:textId="77777777" w:rsidR="00274429" w:rsidRDefault="00274429" w:rsidP="005509EE">
          <w:pPr>
            <w:spacing w:after="0"/>
            <w:jc w:val="both"/>
            <w:rPr>
              <w:rFonts w:ascii="Times New Roman" w:hAnsi="Times New Roman"/>
              <w:sz w:val="24"/>
              <w:szCs w:val="24"/>
            </w:rPr>
          </w:pPr>
          <w:r w:rsidRPr="00FD695F">
            <w:rPr>
              <w:rFonts w:ascii="Times New Roman" w:hAnsi="Times New Roman"/>
              <w:sz w:val="24"/>
              <w:szCs w:val="24"/>
            </w:rPr>
            <w:t>Valor del Contrato actualizado: USD $1.678.023 constantes de 2014/ Cláusula tercera/ Otrosí No.3 de 2021.</w:t>
          </w:r>
        </w:p>
        <w:p w14:paraId="5D0A69BB" w14:textId="77777777" w:rsidR="00274429" w:rsidRDefault="00274429" w:rsidP="005509EE">
          <w:pPr>
            <w:spacing w:after="0"/>
            <w:jc w:val="both"/>
            <w:rPr>
              <w:rFonts w:ascii="Times New Roman" w:hAnsi="Times New Roman"/>
              <w:sz w:val="24"/>
              <w:szCs w:val="24"/>
            </w:rPr>
          </w:pPr>
          <w:r w:rsidRPr="00521A07">
            <w:rPr>
              <w:rFonts w:ascii="Times New Roman" w:hAnsi="Times New Roman"/>
              <w:b/>
              <w:bCs/>
              <w:sz w:val="24"/>
              <w:szCs w:val="24"/>
            </w:rPr>
            <w:t>Fecha de inicio:</w:t>
          </w:r>
          <w:r>
            <w:rPr>
              <w:rFonts w:ascii="Times New Roman" w:hAnsi="Times New Roman"/>
              <w:b/>
              <w:bCs/>
              <w:sz w:val="24"/>
              <w:szCs w:val="24"/>
            </w:rPr>
            <w:t xml:space="preserve"> </w:t>
          </w:r>
          <w:r w:rsidRPr="00FD695F">
            <w:rPr>
              <w:rFonts w:ascii="Times New Roman" w:hAnsi="Times New Roman"/>
              <w:sz w:val="24"/>
              <w:szCs w:val="24"/>
            </w:rPr>
            <w:t xml:space="preserve">30/09/2011 </w:t>
          </w:r>
        </w:p>
        <w:p w14:paraId="73870C7D" w14:textId="77777777" w:rsidR="00274429" w:rsidRDefault="00274429" w:rsidP="005509EE">
          <w:pPr>
            <w:spacing w:after="0"/>
            <w:jc w:val="both"/>
            <w:rPr>
              <w:rFonts w:ascii="Times New Roman" w:hAnsi="Times New Roman"/>
              <w:sz w:val="24"/>
              <w:szCs w:val="24"/>
            </w:rPr>
          </w:pPr>
          <w:r w:rsidRPr="00521A07">
            <w:rPr>
              <w:rFonts w:ascii="Times New Roman" w:hAnsi="Times New Roman"/>
              <w:b/>
              <w:bCs/>
              <w:sz w:val="24"/>
              <w:szCs w:val="24"/>
            </w:rPr>
            <w:t>Fecha de finalización estimada:</w:t>
          </w:r>
          <w:r>
            <w:rPr>
              <w:rFonts w:ascii="Times New Roman" w:hAnsi="Times New Roman"/>
              <w:b/>
              <w:bCs/>
              <w:sz w:val="24"/>
              <w:szCs w:val="24"/>
            </w:rPr>
            <w:t xml:space="preserve"> </w:t>
          </w:r>
          <w:r w:rsidRPr="00FD695F">
            <w:rPr>
              <w:rFonts w:ascii="Times New Roman" w:hAnsi="Times New Roman"/>
              <w:sz w:val="24"/>
              <w:szCs w:val="24"/>
            </w:rPr>
            <w:t xml:space="preserve">29/09/2031 </w:t>
          </w:r>
        </w:p>
        <w:p w14:paraId="1EF70449" w14:textId="77777777" w:rsidR="00274429" w:rsidRPr="009A46BB" w:rsidRDefault="00274429" w:rsidP="10D44305">
          <w:pPr>
            <w:spacing w:after="0" w:afterAutospacing="1"/>
            <w:jc w:val="both"/>
            <w:rPr>
              <w:rFonts w:ascii="Times New Roman" w:hAnsi="Times New Roman"/>
              <w:sz w:val="24"/>
              <w:szCs w:val="24"/>
            </w:rPr>
          </w:pPr>
          <w:r w:rsidRPr="00521A07">
            <w:rPr>
              <w:rFonts w:ascii="Times New Roman" w:hAnsi="Times New Roman"/>
              <w:b/>
              <w:bCs/>
              <w:sz w:val="24"/>
              <w:szCs w:val="24"/>
            </w:rPr>
            <w:t>Tipo ID:</w:t>
          </w:r>
          <w:r>
            <w:rPr>
              <w:rFonts w:ascii="Times New Roman" w:hAnsi="Times New Roman"/>
              <w:b/>
              <w:bCs/>
              <w:sz w:val="24"/>
              <w:szCs w:val="24"/>
            </w:rPr>
            <w:t xml:space="preserve"> NIT</w:t>
          </w:r>
        </w:p>
        <w:p w14:paraId="056C1527" w14:textId="77777777" w:rsidR="00274429" w:rsidRDefault="00274429" w:rsidP="10D44305">
          <w:pPr>
            <w:spacing w:afterAutospacing="1"/>
            <w:rPr>
              <w:rFonts w:ascii="Times New Roman" w:hAnsi="Times New Roman"/>
              <w:sz w:val="24"/>
              <w:szCs w:val="24"/>
            </w:rPr>
          </w:pPr>
          <w:r w:rsidRPr="00521A07">
            <w:rPr>
              <w:rFonts w:ascii="Times New Roman" w:hAnsi="Times New Roman"/>
              <w:b/>
              <w:bCs/>
              <w:sz w:val="24"/>
              <w:szCs w:val="24"/>
            </w:rPr>
            <w:t>Número ID:</w:t>
          </w:r>
          <w:r>
            <w:rPr>
              <w:rFonts w:ascii="Times New Roman" w:hAnsi="Times New Roman"/>
              <w:b/>
              <w:bCs/>
              <w:sz w:val="24"/>
              <w:szCs w:val="24"/>
            </w:rPr>
            <w:t xml:space="preserve"> </w:t>
          </w:r>
          <w:r w:rsidRPr="00FD695F">
            <w:rPr>
              <w:rFonts w:ascii="Times New Roman" w:hAnsi="Times New Roman"/>
              <w:sz w:val="24"/>
              <w:szCs w:val="24"/>
            </w:rPr>
            <w:t xml:space="preserve">900.162.335-1 </w:t>
          </w:r>
        </w:p>
        <w:p w14:paraId="1E74283A" w14:textId="01454F04" w:rsidR="00274429" w:rsidRDefault="00274429" w:rsidP="10D44305">
          <w:pPr>
            <w:spacing w:afterAutospacing="1"/>
            <w:rPr>
              <w:rFonts w:ascii="Times New Roman" w:hAnsi="Times New Roman"/>
              <w:sz w:val="24"/>
              <w:szCs w:val="24"/>
            </w:rPr>
          </w:pPr>
          <w:r w:rsidRPr="00521A07">
            <w:rPr>
              <w:rFonts w:ascii="Times New Roman" w:hAnsi="Times New Roman"/>
              <w:b/>
              <w:bCs/>
              <w:sz w:val="24"/>
              <w:szCs w:val="24"/>
            </w:rPr>
            <w:t>Razón social del concesionario:</w:t>
          </w:r>
          <w:r w:rsidRPr="00FD695F">
            <w:rPr>
              <w:rFonts w:ascii="Times New Roman" w:hAnsi="Times New Roman"/>
              <w:sz w:val="24"/>
              <w:szCs w:val="24"/>
            </w:rPr>
            <w:t>Sociedad Portuaria Dexton S.A</w:t>
          </w:r>
        </w:p>
        <w:p w14:paraId="6937EF3E" w14:textId="5AF4FA9C" w:rsidR="00274429" w:rsidRDefault="00274429" w:rsidP="10D44305">
          <w:pPr>
            <w:spacing w:afterAutospacing="1"/>
            <w:rPr>
              <w:rFonts w:ascii="Times New Roman" w:hAnsi="Times New Roman"/>
              <w:sz w:val="24"/>
              <w:szCs w:val="24"/>
            </w:rPr>
          </w:pPr>
          <w:r w:rsidRPr="00521A07">
            <w:rPr>
              <w:rFonts w:ascii="Times New Roman" w:hAnsi="Times New Roman"/>
              <w:b/>
              <w:bCs/>
              <w:sz w:val="24"/>
              <w:szCs w:val="24"/>
            </w:rPr>
            <w:t>Nombre del proyecto:</w:t>
          </w:r>
          <w:r w:rsidRPr="00FD695F">
            <w:rPr>
              <w:rFonts w:ascii="Times New Roman" w:hAnsi="Times New Roman"/>
              <w:sz w:val="24"/>
              <w:szCs w:val="24"/>
            </w:rPr>
            <w:t>Sociedad Portuaria Dexton S.A</w:t>
          </w:r>
        </w:p>
        <w:p w14:paraId="4545AC48" w14:textId="61266A0A" w:rsidR="10D44305" w:rsidRDefault="10D44305" w:rsidP="10D44305">
          <w:pPr>
            <w:spacing w:afterAutospacing="1"/>
            <w:rPr>
              <w:rFonts w:ascii="Times New Roman" w:hAnsi="Times New Roman"/>
              <w:sz w:val="24"/>
              <w:szCs w:val="24"/>
            </w:rPr>
          </w:pPr>
        </w:p>
        <w:p w14:paraId="21E203E1" w14:textId="77777777" w:rsidR="00274429" w:rsidRPr="00BE48E2" w:rsidRDefault="00274429" w:rsidP="00E60BAB">
          <w:pPr>
            <w:pStyle w:val="Prrafodelista"/>
            <w:numPr>
              <w:ilvl w:val="0"/>
              <w:numId w:val="118"/>
            </w:numPr>
            <w:spacing w:line="259" w:lineRule="auto"/>
            <w:rPr>
              <w:rFonts w:ascii="Times New Roman" w:hAnsi="Times New Roman"/>
              <w:b/>
              <w:bCs/>
              <w:sz w:val="24"/>
              <w:szCs w:val="24"/>
            </w:rPr>
          </w:pPr>
          <w:r w:rsidRPr="00BE48E2">
            <w:rPr>
              <w:rFonts w:ascii="Times New Roman" w:hAnsi="Times New Roman"/>
              <w:b/>
              <w:bCs/>
              <w:sz w:val="24"/>
              <w:szCs w:val="24"/>
            </w:rPr>
            <w:t>Términos significativos del acuerdo que puedan afectar su valor, el calendario y la certeza de los flujos</w:t>
          </w:r>
        </w:p>
        <w:p w14:paraId="76BB86DB" w14:textId="033F0852"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valor:</w:t>
          </w:r>
        </w:p>
        <w:p w14:paraId="133181A3" w14:textId="77777777" w:rsidR="00274429" w:rsidRDefault="00274429" w:rsidP="00274429">
          <w:pPr>
            <w:jc w:val="both"/>
            <w:rPr>
              <w:rFonts w:ascii="Times New Roman" w:hAnsi="Times New Roman"/>
              <w:sz w:val="24"/>
              <w:szCs w:val="24"/>
            </w:rPr>
          </w:pPr>
          <w:r w:rsidRPr="00FC7585">
            <w:rPr>
              <w:rFonts w:ascii="Times New Roman" w:hAnsi="Times New Roman"/>
              <w:b/>
              <w:bCs/>
              <w:sz w:val="24"/>
              <w:szCs w:val="24"/>
            </w:rPr>
            <w:t xml:space="preserve">Tarifas: </w:t>
          </w:r>
          <w:r w:rsidRPr="00FD695F">
            <w:rPr>
              <w:rFonts w:ascii="Times New Roman" w:hAnsi="Times New Roman"/>
              <w:sz w:val="24"/>
              <w:szCs w:val="24"/>
            </w:rPr>
            <w:t xml:space="preserve">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 </w:t>
          </w:r>
        </w:p>
        <w:p w14:paraId="6D470A47" w14:textId="359FB912" w:rsidR="00274429" w:rsidRPr="00FD695F" w:rsidRDefault="00274429" w:rsidP="00274429">
          <w:pPr>
            <w:jc w:val="both"/>
            <w:rPr>
              <w:rFonts w:ascii="Times New Roman" w:hAnsi="Times New Roman"/>
              <w:sz w:val="24"/>
              <w:szCs w:val="24"/>
            </w:rPr>
          </w:pPr>
          <w:r w:rsidRPr="00FC7585">
            <w:rPr>
              <w:rFonts w:ascii="Times New Roman" w:hAnsi="Times New Roman"/>
              <w:b/>
              <w:bCs/>
              <w:sz w:val="24"/>
              <w:szCs w:val="24"/>
            </w:rPr>
            <w:t xml:space="preserve">Contraprestación portuaria: </w:t>
          </w:r>
          <w:r w:rsidRPr="00FD695F">
            <w:rPr>
              <w:rFonts w:ascii="Times New Roman" w:hAnsi="Times New Roman"/>
              <w:sz w:val="24"/>
              <w:szCs w:val="24"/>
            </w:rPr>
            <w:t>De acuerdo con el último documento contractual vigente la metodología de contraprestación vigente es CONPES 3744 de 2013 (Componentes Fijo y Variable). A febrero de 2023 el CONCESIONARIO debió pagar al INVIAS USD 136.113.El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distrito de Cartagena; e INFRAESTRUCTURA en un 100% a la Nación - Instituto Nacional de Vías (INVIAS).</w:t>
          </w:r>
        </w:p>
        <w:p w14:paraId="59622B3F" w14:textId="4795854E" w:rsidR="00274429" w:rsidRDefault="00274429" w:rsidP="00274429">
          <w:pPr>
            <w:jc w:val="both"/>
            <w:rPr>
              <w:rFonts w:ascii="Times New Roman" w:hAnsi="Times New Roman"/>
              <w:sz w:val="24"/>
              <w:szCs w:val="24"/>
            </w:rPr>
          </w:pPr>
          <w:r w:rsidRPr="009336E2">
            <w:rPr>
              <w:rFonts w:ascii="Times New Roman" w:hAnsi="Times New Roman"/>
              <w:b/>
              <w:bCs/>
              <w:sz w:val="24"/>
              <w:szCs w:val="24"/>
            </w:rPr>
            <w:t>Plan de Inversiones</w:t>
          </w:r>
          <w:r w:rsidRPr="00FD695F">
            <w:rPr>
              <w:rFonts w:ascii="Times New Roman" w:hAnsi="Times New Roman"/>
              <w:sz w:val="24"/>
              <w:szCs w:val="24"/>
            </w:rPr>
            <w:t xml:space="preserve">: Establecido en la segunda parte del contrato en la cláusula novena, fue modificado por el otrosí N. 1 del 2016 en la cláusula cuarta,fue modificado en el otrosí N. 2 del 3 de mayo de 2019 en la cláusula primera, fue modificado por el Otrosí N. 3 del 30 de abril de 2021 en la cláusula primera, el CONCESIONARIO se obliga a ejecutar el siguiente PLAN DE INVERSIONES en la zona de uso público otorgada en concesióny conforme el cronograma establecido, dentro de los cuatro años siguientes a la firma del otrosí No.3 de 2021, por la suma de USD $3.857.354 en constantes 2014. </w:t>
          </w:r>
        </w:p>
        <w:p w14:paraId="2621E7A1" w14:textId="4E27CF69" w:rsidR="00274429" w:rsidRPr="00FD695F" w:rsidRDefault="00274429" w:rsidP="00274429">
          <w:pPr>
            <w:jc w:val="both"/>
            <w:rPr>
              <w:rFonts w:ascii="Times New Roman" w:hAnsi="Times New Roman"/>
              <w:sz w:val="24"/>
              <w:szCs w:val="24"/>
            </w:rPr>
          </w:pPr>
          <w:r w:rsidRPr="00FC7585">
            <w:rPr>
              <w:rFonts w:ascii="Times New Roman" w:hAnsi="Times New Roman"/>
              <w:b/>
              <w:bCs/>
              <w:sz w:val="24"/>
              <w:szCs w:val="24"/>
            </w:rPr>
            <w:t xml:space="preserve">Obligaciones del CONCESIONARIO: </w:t>
          </w:r>
          <w:r w:rsidRPr="00FD695F">
            <w:rPr>
              <w:rFonts w:ascii="Times New Roman" w:hAnsi="Times New Roman"/>
              <w:sz w:val="24"/>
              <w:szCs w:val="24"/>
            </w:rPr>
            <w:t>Se encuentran descritas en la cláusula quinta del contrato.</w:t>
          </w:r>
        </w:p>
        <w:p w14:paraId="7DBFD9DC" w14:textId="77777777" w:rsidR="00274429" w:rsidRPr="00FD695F" w:rsidRDefault="00274429" w:rsidP="00274429">
          <w:pPr>
            <w:jc w:val="both"/>
            <w:rPr>
              <w:rFonts w:ascii="Times New Roman" w:hAnsi="Times New Roman"/>
              <w:sz w:val="24"/>
              <w:szCs w:val="24"/>
            </w:rPr>
          </w:pPr>
          <w:r w:rsidRPr="00FD695F">
            <w:rPr>
              <w:rFonts w:ascii="Times New Roman" w:hAnsi="Times New Roman"/>
              <w:sz w:val="24"/>
              <w:szCs w:val="24"/>
            </w:rPr>
            <w:t xml:space="preserve">Multas y sanciones: están establecidas en la cláusula décima tercera contrato. </w:t>
          </w:r>
        </w:p>
        <w:p w14:paraId="4415CCF9" w14:textId="77777777" w:rsidR="00274429" w:rsidRDefault="00274429" w:rsidP="00274429">
          <w:pPr>
            <w:jc w:val="both"/>
            <w:rPr>
              <w:rFonts w:ascii="Times New Roman" w:hAnsi="Times New Roman"/>
              <w:sz w:val="24"/>
              <w:szCs w:val="24"/>
            </w:rPr>
          </w:pPr>
          <w:r w:rsidRPr="00FD695F">
            <w:rPr>
              <w:rFonts w:ascii="Times New Roman" w:hAnsi="Times New Roman"/>
              <w:sz w:val="24"/>
              <w:szCs w:val="24"/>
            </w:rPr>
            <w:lastRenderedPageBreak/>
            <w:t xml:space="preserve">Penal pecuniario: En la cláusula décima sexta del contrato se establece que las partes convienen a título de pena pecuniaria por el incumplimiento del contrato, en una tasación anticipara de perjuicios que el CONCESIONARIO pagara al CONCEDENTE. </w:t>
          </w:r>
        </w:p>
        <w:p w14:paraId="136556A2" w14:textId="77777777" w:rsidR="00274429" w:rsidRDefault="00274429" w:rsidP="00274429">
          <w:pPr>
            <w:jc w:val="both"/>
            <w:rPr>
              <w:rFonts w:ascii="Times New Roman" w:hAnsi="Times New Roman"/>
              <w:sz w:val="24"/>
              <w:szCs w:val="24"/>
            </w:rPr>
          </w:pPr>
          <w:r w:rsidRPr="00FC7585">
            <w:rPr>
              <w:rFonts w:ascii="Times New Roman" w:hAnsi="Times New Roman"/>
              <w:b/>
              <w:bCs/>
              <w:sz w:val="24"/>
              <w:szCs w:val="24"/>
            </w:rPr>
            <w:t xml:space="preserve">Riesgos: </w:t>
          </w:r>
          <w:r w:rsidRPr="00FD695F">
            <w:rPr>
              <w:rFonts w:ascii="Times New Roman" w:hAnsi="Times New Roman"/>
              <w:sz w:val="24"/>
              <w:szCs w:val="24"/>
            </w:rPr>
            <w:t>están descritos en la cláusula novena del contrato, el CONCESIONARIO acepta que la totalidad de los riesgos inherentes al desarrollo del proyecto por el propuesto, serán asumidos por el CONCESIONARIO, y se somete a las siguientes reglas: la ocurrencia de cualquiera de los eventos aleatorios generadores de riesgo no dará derecho a indemnización o reconocimiento alguno a favor del concesionario, el concesionario asume los riesgos de todas las etapas del proyecto, el concesionario asume el riesgo inherente a la aprobación del trámite de declaratoria de existencia como zona franca permanente especial de servicios del área portuaria</w:t>
          </w:r>
        </w:p>
        <w:p w14:paraId="31B94717" w14:textId="77777777" w:rsidR="00274429" w:rsidRDefault="00274429" w:rsidP="00274429">
          <w:pPr>
            <w:jc w:val="both"/>
            <w:rPr>
              <w:rFonts w:ascii="Times New Roman" w:hAnsi="Times New Roman"/>
              <w:b/>
              <w:bCs/>
              <w:sz w:val="24"/>
              <w:szCs w:val="24"/>
            </w:rPr>
          </w:pPr>
          <w:r w:rsidRPr="004C1095">
            <w:rPr>
              <w:rFonts w:ascii="Times New Roman" w:hAnsi="Times New Roman"/>
              <w:b/>
              <w:bCs/>
              <w:sz w:val="24"/>
              <w:szCs w:val="24"/>
            </w:rPr>
            <w:t>Términos de calendario:</w:t>
          </w:r>
        </w:p>
        <w:p w14:paraId="2BE906B6" w14:textId="77777777" w:rsidR="00274429" w:rsidRPr="009A46BB" w:rsidRDefault="00274429" w:rsidP="00274429">
          <w:pPr>
            <w:jc w:val="both"/>
            <w:rPr>
              <w:rStyle w:val="Estilo3"/>
              <w:szCs w:val="24"/>
            </w:rPr>
          </w:pPr>
          <w:r w:rsidRPr="009A46BB">
            <w:rPr>
              <w:rStyle w:val="Estilo3"/>
              <w:szCs w:val="24"/>
            </w:rPr>
            <w:t xml:space="preserve">Tarifas: Aprobadas según la metodología establecida por la Superintendencia General de Puertos hoy Superintendencia de Transporte. </w:t>
          </w:r>
        </w:p>
        <w:p w14:paraId="25B3474A" w14:textId="77777777" w:rsidR="00274429" w:rsidRPr="009A46BB" w:rsidRDefault="00274429" w:rsidP="00274429">
          <w:pPr>
            <w:jc w:val="both"/>
            <w:rPr>
              <w:rStyle w:val="Estilo3"/>
              <w:szCs w:val="24"/>
            </w:rPr>
          </w:pPr>
          <w:r w:rsidRPr="009A46BB">
            <w:rPr>
              <w:rStyle w:val="Estilo3"/>
              <w:szCs w:val="24"/>
            </w:rPr>
            <w:t xml:space="preserve">Contraprestación portuaria: Anexo 2 Conpes 3744 de 2013 “(…) Antes de finalizar los meses de febrero cada concesionario deberá corregir su liquidación del año anterior según el movimiento de carga real y la indexación del valor de referencia por metro cuadrado, del avalúo de la infraestructura concesionada y de los cargos, así como realizar el pago anticipado del año en curso con base en lo proyectado en el FCL definitivo” </w:t>
          </w:r>
        </w:p>
        <w:p w14:paraId="69C2AD2F" w14:textId="77777777" w:rsidR="00274429" w:rsidRPr="009A46BB" w:rsidRDefault="00274429" w:rsidP="00274429">
          <w:pPr>
            <w:jc w:val="both"/>
            <w:rPr>
              <w:rStyle w:val="Estilo3"/>
              <w:szCs w:val="24"/>
            </w:rPr>
          </w:pPr>
          <w:r w:rsidRPr="009A46BB">
            <w:rPr>
              <w:rStyle w:val="Estilo3"/>
              <w:szCs w:val="24"/>
            </w:rPr>
            <w:t xml:space="preserve">Plan de inversiones: Se estableció en la cláusula cuarta del otrosí N. 1 de 2016 y la cláusula primera del otrosí N. 2 de 2019, modificado en la cláusula primera del Otrosí N. 3 de 2021 ejecución de inversiones en el periodo de tiempo comprendido entre el año 2016 a 2025. </w:t>
          </w:r>
        </w:p>
        <w:p w14:paraId="6C7AD2F7" w14:textId="77777777" w:rsidR="00274429" w:rsidRPr="009A46BB" w:rsidRDefault="00274429" w:rsidP="00274429">
          <w:pPr>
            <w:jc w:val="both"/>
            <w:rPr>
              <w:rStyle w:val="Estilo3"/>
              <w:szCs w:val="24"/>
            </w:rPr>
          </w:pPr>
          <w:r w:rsidRPr="009A46BB">
            <w:rPr>
              <w:rStyle w:val="Estilo3"/>
              <w:szCs w:val="24"/>
            </w:rPr>
            <w:t xml:space="preserve">Multas: Cláusula décima tercera del contrato </w:t>
          </w:r>
        </w:p>
        <w:p w14:paraId="3EFC4757" w14:textId="77777777"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certeza de flujos de efectivo futuros:</w:t>
          </w:r>
        </w:p>
        <w:p w14:paraId="6F49A6F3" w14:textId="77777777" w:rsidR="00274429" w:rsidRPr="00FD695F" w:rsidRDefault="00274429" w:rsidP="00274429">
          <w:pPr>
            <w:jc w:val="both"/>
            <w:rPr>
              <w:rFonts w:ascii="Times New Roman" w:hAnsi="Times New Roman"/>
              <w:sz w:val="24"/>
              <w:szCs w:val="24"/>
            </w:rPr>
          </w:pPr>
          <w:r w:rsidRPr="00FD695F">
            <w:rPr>
              <w:rFonts w:ascii="Times New Roman" w:hAnsi="Times New Roman"/>
              <w:sz w:val="24"/>
              <w:szCs w:val="24"/>
            </w:rPr>
            <w:t xml:space="preserve">Se otorga una CONCESIÓN PORTUARIA al CONCESIONARIO, para la ocupación y utilización en forma temporal y exclusiva de la zona de uso público conformada por las playas, los terrenos de bajamar, zonas accesorias a aquellas o estos, los terrenos adyacentes y las construcciones portuarias allí ubicadas. descritos en la cláusula segunda del contrato, a cambio de la contraprestación económica. </w:t>
          </w:r>
        </w:p>
        <w:p w14:paraId="7796AA04" w14:textId="45A09231" w:rsidR="00274429" w:rsidRPr="00FD695F" w:rsidRDefault="00274429" w:rsidP="00274429">
          <w:pPr>
            <w:jc w:val="both"/>
            <w:rPr>
              <w:rFonts w:ascii="Times New Roman" w:hAnsi="Times New Roman"/>
              <w:sz w:val="24"/>
              <w:szCs w:val="24"/>
            </w:rPr>
          </w:pPr>
          <w:r w:rsidRPr="00FD695F">
            <w:rPr>
              <w:rFonts w:ascii="Times New Roman" w:hAnsi="Times New Roman"/>
              <w:sz w:val="24"/>
              <w:szCs w:val="24"/>
            </w:rPr>
            <w:t>Contraprestación Portuaria: De acuerdo con el último documento contractual vigente la metodología de Contraprestación vigente es CONPES 3744 de 2013 (componentes fijo y variable). A febrero de 2023 EL CONCESIONARIO debió pagar la suma de USD116.113, del valor a pagar por concepto de contraprestación por Zona de Uso público el 80% le corresponde a la Nación-INVIAS y el 20 % al Distrito turístico de Cartagena de Indias y por Infraestructura el 100% a la Nación-INVIAS.</w:t>
          </w:r>
        </w:p>
        <w:p w14:paraId="6A055177" w14:textId="77777777" w:rsidR="00274429" w:rsidRDefault="00274429" w:rsidP="00E60BAB">
          <w:pPr>
            <w:pStyle w:val="Prrafodelista"/>
            <w:numPr>
              <w:ilvl w:val="0"/>
              <w:numId w:val="118"/>
            </w:numPr>
            <w:spacing w:line="259" w:lineRule="auto"/>
            <w:jc w:val="both"/>
            <w:rPr>
              <w:rFonts w:ascii="Times New Roman" w:hAnsi="Times New Roman"/>
              <w:b/>
              <w:bCs/>
              <w:sz w:val="24"/>
              <w:szCs w:val="24"/>
            </w:rPr>
          </w:pPr>
          <w:r w:rsidRPr="0085771E">
            <w:rPr>
              <w:rFonts w:ascii="Times New Roman" w:hAnsi="Times New Roman"/>
              <w:b/>
              <w:bCs/>
              <w:sz w:val="24"/>
              <w:szCs w:val="24"/>
            </w:rPr>
            <w:t xml:space="preserve">Naturaleza y alcance del derecho a utilizar activos especificados, de los aspectos pactados en torno a lo que se espera que el concesionario proporcione en relación </w:t>
          </w:r>
          <w:r w:rsidRPr="0085771E">
            <w:rPr>
              <w:rFonts w:ascii="Times New Roman" w:hAnsi="Times New Roman"/>
              <w:b/>
              <w:bCs/>
              <w:sz w:val="24"/>
              <w:szCs w:val="24"/>
            </w:rPr>
            <w:lastRenderedPageBreak/>
            <w:t>con el acuerdo de concesión (Se requiere ser breves, precisos, y concisos en la redacción)</w:t>
          </w:r>
        </w:p>
        <w:p w14:paraId="69131F5D" w14:textId="77777777" w:rsidR="00274429" w:rsidRDefault="00274429" w:rsidP="00274429">
          <w:pPr>
            <w:jc w:val="both"/>
            <w:rPr>
              <w:rFonts w:ascii="Times New Roman" w:hAnsi="Times New Roman"/>
              <w:b/>
              <w:bCs/>
              <w:sz w:val="24"/>
              <w:szCs w:val="24"/>
            </w:rPr>
          </w:pPr>
          <w:r w:rsidRPr="00217110">
            <w:rPr>
              <w:rFonts w:ascii="Times New Roman" w:hAnsi="Times New Roman"/>
              <w:b/>
              <w:bCs/>
              <w:sz w:val="24"/>
              <w:szCs w:val="24"/>
            </w:rPr>
            <w:t>Naturaleza y alcance del derecho de uso de los activos</w:t>
          </w:r>
        </w:p>
        <w:p w14:paraId="1DA72A86" w14:textId="684CD352" w:rsidR="00274429" w:rsidRDefault="00274429" w:rsidP="00274429">
          <w:pPr>
            <w:jc w:val="both"/>
            <w:rPr>
              <w:rFonts w:ascii="Times New Roman" w:hAnsi="Times New Roman"/>
              <w:b/>
              <w:bCs/>
              <w:sz w:val="24"/>
              <w:szCs w:val="24"/>
            </w:rPr>
          </w:pPr>
          <w:r w:rsidRPr="003E5FA9">
            <w:rPr>
              <w:rFonts w:ascii="Times New Roman" w:hAnsi="Times New Roman"/>
              <w:b/>
              <w:bCs/>
              <w:sz w:val="24"/>
              <w:szCs w:val="24"/>
            </w:rPr>
            <w:t>Descripción:</w:t>
          </w:r>
        </w:p>
        <w:p w14:paraId="31171432" w14:textId="6653EB5F" w:rsidR="00274429" w:rsidRPr="009A46BB" w:rsidRDefault="00274429" w:rsidP="00274429">
          <w:pPr>
            <w:pStyle w:val="paragraph"/>
            <w:spacing w:before="0" w:beforeAutospacing="0" w:after="0" w:afterAutospacing="0"/>
            <w:textAlignment w:val="baseline"/>
            <w:rPr>
              <w:sz w:val="18"/>
              <w:szCs w:val="18"/>
            </w:rPr>
          </w:pPr>
          <w:r>
            <w:rPr>
              <w:rStyle w:val="contentcontrolboundarysink"/>
            </w:rPr>
            <w:t>​​</w:t>
          </w:r>
          <w:r>
            <w:rPr>
              <w:rStyle w:val="normaltextrun"/>
            </w:rPr>
            <w:t>Activos reconocidos</w:t>
          </w:r>
        </w:p>
        <w:p w14:paraId="5D6EA0DF" w14:textId="3C797BA5" w:rsidR="00274429" w:rsidRPr="009A46BB" w:rsidRDefault="00274429" w:rsidP="00274429">
          <w:pPr>
            <w:pStyle w:val="paragraph"/>
            <w:spacing w:before="0" w:beforeAutospacing="0" w:after="0" w:afterAutospacing="0"/>
            <w:textAlignment w:val="baseline"/>
            <w:rPr>
              <w:sz w:val="18"/>
              <w:szCs w:val="18"/>
            </w:rPr>
          </w:pPr>
          <w:r>
            <w:rPr>
              <w:rStyle w:val="contentcontrolboundarysink"/>
            </w:rPr>
            <w:t>​</w:t>
          </w:r>
          <w:r>
            <w:rPr>
              <w:rStyle w:val="normaltextrun"/>
            </w:rPr>
            <w:t>Alcance del derecho de uso de los activos:</w:t>
          </w:r>
        </w:p>
        <w:p w14:paraId="781E7BA0" w14:textId="77777777" w:rsidR="00274429" w:rsidRPr="009A46BB" w:rsidRDefault="00274429" w:rsidP="00274429">
          <w:pPr>
            <w:pStyle w:val="paragraph"/>
            <w:spacing w:before="0" w:beforeAutospacing="0" w:after="0" w:afterAutospacing="0"/>
            <w:textAlignment w:val="baseline"/>
            <w:rPr>
              <w:sz w:val="18"/>
              <w:szCs w:val="18"/>
            </w:rPr>
          </w:pPr>
          <w:r>
            <w:rPr>
              <w:rStyle w:val="contentcontrolboundarysink"/>
            </w:rPr>
            <w:t>​</w:t>
          </w:r>
          <w:r>
            <w:rPr>
              <w:rStyle w:val="eop"/>
            </w:rPr>
            <w:t> </w:t>
          </w:r>
        </w:p>
        <w:p w14:paraId="4479A98D" w14:textId="1B894482" w:rsidR="00274429" w:rsidRPr="009A46BB" w:rsidRDefault="00274429" w:rsidP="00274429">
          <w:pPr>
            <w:pStyle w:val="paragraph"/>
            <w:spacing w:before="0" w:beforeAutospacing="0" w:after="0" w:afterAutospacing="0"/>
            <w:textAlignment w:val="baseline"/>
            <w:rPr>
              <w:sz w:val="18"/>
              <w:szCs w:val="18"/>
            </w:rPr>
          </w:pPr>
          <w:r>
            <w:rPr>
              <w:rStyle w:val="contentcontrolboundarysink"/>
            </w:rPr>
            <w:t>​</w:t>
          </w:r>
        </w:p>
        <w:p w14:paraId="0A6A6CF4" w14:textId="7C15E15A" w:rsidR="00274429" w:rsidRPr="009A46BB" w:rsidRDefault="00274429" w:rsidP="009A46BB">
          <w:pPr>
            <w:pStyle w:val="paragraph"/>
            <w:spacing w:before="0" w:beforeAutospacing="0" w:after="0" w:afterAutospacing="0"/>
            <w:jc w:val="both"/>
            <w:textAlignment w:val="baseline"/>
          </w:pPr>
          <w:r>
            <w:rPr>
              <w:rStyle w:val="contentcontrolboundarysink"/>
            </w:rPr>
            <w:t>​</w:t>
          </w:r>
          <w:r>
            <w:rPr>
              <w:rStyle w:val="normaltextrun"/>
            </w:rPr>
            <w:t>Descripción del proyecto, especificaciones técnicas, modalidades de operación: las condiciones especiales de operación del puerto están establecidas en la cláusula quinta del contrato de concesión portuaria No.003 de 2011, modificada por la cláusula segunda del Otrosí No.01 de 2016.</w:t>
          </w:r>
        </w:p>
        <w:p w14:paraId="2FE2813E" w14:textId="6E732763" w:rsidR="00274429" w:rsidRPr="009A46BB" w:rsidRDefault="00274429" w:rsidP="009A46BB">
          <w:pPr>
            <w:pStyle w:val="paragraph"/>
            <w:spacing w:before="0" w:beforeAutospacing="0" w:after="0" w:afterAutospacing="0"/>
            <w:jc w:val="both"/>
            <w:textAlignment w:val="baseline"/>
          </w:pPr>
          <w:r>
            <w:rPr>
              <w:rStyle w:val="contentcontrolboundarysink"/>
            </w:rPr>
            <w:t>​</w:t>
          </w:r>
          <w:r>
            <w:rPr>
              <w:rStyle w:val="normaltextrun"/>
            </w:rPr>
            <w:t>Área entregada en concesión: la descripción de la ubicación, linderos y extensión de los bienes de uso público (playas y terrenos de baja mar, zonas marítimas accesorias de maniobras) entregados en concesión están establecidos en la cláusula cuarta del contrato de concesión portuaria No.003 de 2011, modificada por la cláusula primera del Otrosí No.01 de 2016.</w:t>
          </w:r>
        </w:p>
        <w:p w14:paraId="1F84EEA2" w14:textId="52BAFE2B" w:rsidR="00274429" w:rsidRPr="009A46BB" w:rsidRDefault="00274429" w:rsidP="009A46BB">
          <w:pPr>
            <w:pStyle w:val="paragraph"/>
            <w:spacing w:before="0" w:beforeAutospacing="0" w:after="0" w:afterAutospacing="0"/>
            <w:jc w:val="both"/>
            <w:textAlignment w:val="baseline"/>
          </w:pPr>
          <w:r>
            <w:rPr>
              <w:rStyle w:val="contentcontrolboundarysink"/>
            </w:rPr>
            <w:t>​</w:t>
          </w:r>
          <w:r>
            <w:rPr>
              <w:rStyle w:val="normaltextrun"/>
            </w:rPr>
            <w:t>Infraestructura y equipos entregados en concesión: En la cláusula cuarta, numeral 4.3, del Contrato de concesión portuaria No.003 de 2011, se describe que lo entregado en concesión fue:</w:t>
          </w:r>
          <w:r>
            <w:rPr>
              <w:rStyle w:val="eop"/>
            </w:rPr>
            <w:t> </w:t>
          </w:r>
        </w:p>
        <w:p w14:paraId="49C37ECA" w14:textId="6AB5A58A" w:rsidR="00274429" w:rsidRPr="009A46BB" w:rsidRDefault="00274429" w:rsidP="009A46BB">
          <w:pPr>
            <w:pStyle w:val="paragraph"/>
            <w:spacing w:before="0" w:beforeAutospacing="0" w:after="0" w:afterAutospacing="0"/>
            <w:jc w:val="both"/>
            <w:textAlignment w:val="baseline"/>
          </w:pPr>
          <w:r>
            <w:rPr>
              <w:rStyle w:val="contentcontrolboundarysink"/>
            </w:rPr>
            <w:t>​</w:t>
          </w:r>
          <w:r>
            <w:rPr>
              <w:rStyle w:val="normaltextrun"/>
            </w:rPr>
            <w:t>Pasarela de acceso, plataforma de operación, transformador, piñas de atraque y amarre, muelle de embarcaciones menores, sistema de iluminación.</w:t>
          </w:r>
        </w:p>
        <w:p w14:paraId="6BE3DF3A" w14:textId="77777777" w:rsidR="00274429" w:rsidRDefault="00274429" w:rsidP="00274429">
          <w:pPr>
            <w:jc w:val="both"/>
            <w:rPr>
              <w:rFonts w:ascii="Times New Roman" w:hAnsi="Times New Roman"/>
              <w:b/>
              <w:bCs/>
              <w:sz w:val="24"/>
              <w:szCs w:val="24"/>
            </w:rPr>
          </w:pPr>
        </w:p>
        <w:p w14:paraId="1FF797BA" w14:textId="77777777" w:rsidR="00274429" w:rsidRDefault="00274429" w:rsidP="00274429">
          <w:pPr>
            <w:jc w:val="both"/>
            <w:rPr>
              <w:rFonts w:ascii="Times New Roman" w:hAnsi="Times New Roman"/>
              <w:b/>
              <w:bCs/>
              <w:sz w:val="24"/>
              <w:szCs w:val="24"/>
            </w:rPr>
          </w:pPr>
          <w:r w:rsidRPr="003E5FA9">
            <w:rPr>
              <w:rFonts w:ascii="Times New Roman" w:hAnsi="Times New Roman"/>
              <w:b/>
              <w:bCs/>
              <w:sz w:val="24"/>
              <w:szCs w:val="24"/>
            </w:rPr>
            <w:t>Observaciones:</w:t>
          </w:r>
          <w:r>
            <w:rPr>
              <w:rFonts w:ascii="Times New Roman" w:hAnsi="Times New Roman"/>
              <w:b/>
              <w:bCs/>
              <w:sz w:val="24"/>
              <w:szCs w:val="24"/>
            </w:rPr>
            <w:t xml:space="preserve"> NA</w:t>
          </w:r>
        </w:p>
        <w:p w14:paraId="78848485" w14:textId="77777777" w:rsidR="00274429" w:rsidRDefault="00274429" w:rsidP="00274429">
          <w:pPr>
            <w:jc w:val="both"/>
            <w:rPr>
              <w:rFonts w:ascii="Times New Roman" w:hAnsi="Times New Roman"/>
              <w:b/>
              <w:bCs/>
              <w:sz w:val="24"/>
              <w:szCs w:val="24"/>
            </w:rPr>
          </w:pPr>
          <w:r>
            <w:rPr>
              <w:rFonts w:ascii="Times New Roman" w:hAnsi="Times New Roman"/>
              <w:b/>
              <w:bCs/>
              <w:sz w:val="24"/>
              <w:szCs w:val="24"/>
            </w:rPr>
            <w:t>Retribución al Concesionario</w:t>
          </w:r>
        </w:p>
        <w:p w14:paraId="0EDCED3D" w14:textId="77777777" w:rsidR="00274429" w:rsidRPr="00BE48E2" w:rsidRDefault="00274429" w:rsidP="00274429">
          <w:pPr>
            <w:jc w:val="both"/>
            <w:rPr>
              <w:rFonts w:ascii="Times New Roman" w:hAnsi="Times New Roman"/>
              <w:sz w:val="24"/>
              <w:szCs w:val="24"/>
            </w:rPr>
          </w:pPr>
          <w:r w:rsidRPr="002F1782">
            <w:rPr>
              <w:rFonts w:ascii="Times New Roman" w:hAnsi="Times New Roman"/>
              <w:b/>
              <w:bCs/>
              <w:sz w:val="24"/>
              <w:szCs w:val="24"/>
            </w:rPr>
            <w:t xml:space="preserve">Descripción: </w:t>
          </w:r>
          <w:r w:rsidRPr="009A46BB">
            <w:rPr>
              <w:rStyle w:val="contentcontrolboundarysink"/>
              <w:rFonts w:ascii="Times New Roman" w:hAnsi="Times New Roman"/>
              <w:color w:val="000000"/>
              <w:sz w:val="24"/>
              <w:szCs w:val="24"/>
              <w:shd w:val="clear" w:color="auto" w:fill="FFFFFF"/>
            </w:rPr>
            <w:t>​​</w:t>
          </w:r>
          <w:r w:rsidRPr="009A46BB">
            <w:rPr>
              <w:rStyle w:val="normaltextrun"/>
              <w:rFonts w:ascii="Times New Roman" w:hAnsi="Times New Roman"/>
              <w:color w:val="000000"/>
              <w:sz w:val="24"/>
              <w:szCs w:val="24"/>
              <w:shd w:val="clear" w:color="auto" w:fill="FFFFFF"/>
            </w:rPr>
            <w:t>Cláusula segunda del contrato: se otorga una CONCESIÓN PORTUARIA al CONCESIONARIO, para la ocupación y utilización en forma temporal y exclusiva de la zona de uso público conformada por las playas, los terrenos de bajamar, zonas accesorias a aquellas o estos, los terrenos adyacentes y las construcciones portuarias allí ubicadas. A cambio de la contraprestación económica.</w:t>
          </w:r>
          <w:r w:rsidRPr="009A46BB">
            <w:rPr>
              <w:rStyle w:val="contentcontrolboundarysink"/>
              <w:rFonts w:ascii="Times New Roman" w:hAnsi="Times New Roman"/>
              <w:color w:val="000000"/>
              <w:sz w:val="24"/>
              <w:szCs w:val="24"/>
              <w:shd w:val="clear" w:color="auto" w:fill="FFFFFF"/>
            </w:rPr>
            <w:t>​</w:t>
          </w:r>
          <w:r w:rsidRPr="009A46BB">
            <w:rPr>
              <w:rStyle w:val="eop"/>
              <w:rFonts w:ascii="Times New Roman" w:hAnsi="Times New Roman"/>
              <w:color w:val="000000"/>
              <w:sz w:val="24"/>
              <w:szCs w:val="24"/>
              <w:shd w:val="clear" w:color="auto" w:fill="FFFFFF"/>
            </w:rPr>
            <w:t> </w:t>
          </w:r>
        </w:p>
        <w:p w14:paraId="4C85E7A5" w14:textId="77777777" w:rsidR="00274429" w:rsidRPr="00351837" w:rsidRDefault="00274429" w:rsidP="00274429">
          <w:pPr>
            <w:jc w:val="both"/>
            <w:rPr>
              <w:rFonts w:ascii="Times New Roman" w:hAnsi="Times New Roman"/>
              <w:b/>
              <w:bCs/>
              <w:sz w:val="24"/>
              <w:szCs w:val="24"/>
            </w:rPr>
          </w:pPr>
          <w:r>
            <w:rPr>
              <w:rFonts w:ascii="Times New Roman" w:hAnsi="Times New Roman"/>
              <w:b/>
              <w:bCs/>
              <w:sz w:val="24"/>
              <w:szCs w:val="24"/>
            </w:rPr>
            <w:t>Tasa de retribución: NA</w:t>
          </w:r>
        </w:p>
        <w:p w14:paraId="48147E68" w14:textId="77777777" w:rsidR="00274429" w:rsidRDefault="00274429" w:rsidP="00E60BAB">
          <w:pPr>
            <w:pStyle w:val="Prrafodelista"/>
            <w:numPr>
              <w:ilvl w:val="0"/>
              <w:numId w:val="118"/>
            </w:numPr>
            <w:spacing w:line="259" w:lineRule="auto"/>
            <w:jc w:val="both"/>
            <w:rPr>
              <w:rFonts w:ascii="Times New Roman" w:hAnsi="Times New Roman"/>
              <w:b/>
              <w:bCs/>
              <w:sz w:val="24"/>
              <w:szCs w:val="24"/>
            </w:rPr>
          </w:pPr>
          <w:r w:rsidRPr="00197A12">
            <w:rPr>
              <w:rFonts w:ascii="Times New Roman" w:hAnsi="Times New Roman"/>
              <w:b/>
              <w:bCs/>
              <w:sz w:val="24"/>
              <w:szCs w:val="24"/>
            </w:rPr>
            <w:t>Derechos a recibir activos especificados al final del acuerdo de concesión</w:t>
          </w:r>
        </w:p>
        <w:p w14:paraId="554230F9" w14:textId="77777777" w:rsidR="00274429" w:rsidRDefault="00274429" w:rsidP="00274429">
          <w:pPr>
            <w:jc w:val="both"/>
            <w:rPr>
              <w:rFonts w:ascii="Times New Roman" w:hAnsi="Times New Roman"/>
              <w:sz w:val="24"/>
              <w:szCs w:val="24"/>
            </w:rPr>
          </w:pPr>
          <w:r w:rsidRPr="006D56DF">
            <w:rPr>
              <w:rFonts w:ascii="Times New Roman" w:hAnsi="Times New Roman"/>
              <w:b/>
              <w:bCs/>
              <w:sz w:val="24"/>
              <w:szCs w:val="24"/>
            </w:rPr>
            <w:t>Descripción:</w:t>
          </w:r>
          <w:r>
            <w:rPr>
              <w:rFonts w:ascii="Times New Roman" w:hAnsi="Times New Roman"/>
              <w:b/>
              <w:bCs/>
              <w:sz w:val="24"/>
              <w:szCs w:val="24"/>
            </w:rPr>
            <w:t xml:space="preserve"> </w:t>
          </w:r>
          <w:r w:rsidRPr="00051C7F">
            <w:rPr>
              <w:rFonts w:ascii="Times New Roman" w:hAnsi="Times New Roman"/>
              <w:sz w:val="24"/>
              <w:szCs w:val="24"/>
            </w:rPr>
            <w:t xml:space="preserve">De acuerdo con el Artículo 8º de la Ley 1 de 1991 en el modo portuario el concesionario no tiene derechos finales sobre activos, los debe revertir a la Nación al final del contrato de concesión. </w:t>
          </w:r>
        </w:p>
        <w:p w14:paraId="675DAE73" w14:textId="77777777" w:rsidR="00274429" w:rsidRPr="00351837" w:rsidRDefault="00274429" w:rsidP="00274429">
          <w:pPr>
            <w:jc w:val="both"/>
            <w:rPr>
              <w:rFonts w:ascii="Times New Roman" w:hAnsi="Times New Roman"/>
              <w:sz w:val="24"/>
              <w:szCs w:val="24"/>
            </w:rPr>
          </w:pPr>
          <w:r w:rsidRPr="006D56DF">
            <w:rPr>
              <w:rFonts w:ascii="Times New Roman" w:hAnsi="Times New Roman"/>
              <w:b/>
              <w:bCs/>
              <w:sz w:val="24"/>
              <w:szCs w:val="24"/>
            </w:rPr>
            <w:t>Observaciones:</w:t>
          </w:r>
          <w:r w:rsidRPr="009A46BB">
            <w:rPr>
              <w:rFonts w:ascii="Times New Roman" w:hAnsi="Times New Roman"/>
            </w:rPr>
            <w:t xml:space="preserve"> </w:t>
          </w:r>
        </w:p>
        <w:p w14:paraId="0FFA647F" w14:textId="5F6DA7FF" w:rsidR="00274429" w:rsidRPr="00051C7F" w:rsidRDefault="00274429" w:rsidP="00274429">
          <w:pPr>
            <w:jc w:val="both"/>
            <w:rPr>
              <w:rFonts w:ascii="Times New Roman" w:hAnsi="Times New Roman"/>
              <w:sz w:val="24"/>
              <w:szCs w:val="24"/>
            </w:rPr>
          </w:pPr>
          <w:r w:rsidRPr="00051C7F">
            <w:rPr>
              <w:rFonts w:ascii="Times New Roman" w:hAnsi="Times New Roman"/>
              <w:sz w:val="24"/>
              <w:szCs w:val="24"/>
            </w:rPr>
            <w:t xml:space="preserve">Reversión: De acuerdo con lo establecido en la cláusula </w:t>
          </w:r>
          <w:r w:rsidR="009A46BB" w:rsidRPr="009A46BB">
            <w:rPr>
              <w:rFonts w:ascii="Times New Roman" w:hAnsi="Times New Roman"/>
              <w:sz w:val="24"/>
              <w:szCs w:val="24"/>
            </w:rPr>
            <w:t>decimoprimera</w:t>
          </w:r>
          <w:r w:rsidRPr="00051C7F">
            <w:rPr>
              <w:rFonts w:ascii="Times New Roman" w:hAnsi="Times New Roman"/>
              <w:sz w:val="24"/>
              <w:szCs w:val="24"/>
            </w:rPr>
            <w:t xml:space="preserve"> del contrato de concesión, todas las zonas de uso público, las construcciones y los inmuebles por destinación, serán cedidos gratuitamente a la Nación en óptimo estado de operación, mantenimiento y de </w:t>
          </w:r>
          <w:r w:rsidRPr="00051C7F">
            <w:rPr>
              <w:rFonts w:ascii="Times New Roman" w:hAnsi="Times New Roman"/>
              <w:sz w:val="24"/>
              <w:szCs w:val="24"/>
            </w:rPr>
            <w:lastRenderedPageBreak/>
            <w:t xml:space="preserve">adecuada eficiencia, al extinguirse el plazo de la CONCESIÓN, al declararse la caducidad o cuando se termine anticipadamente la CONCESIÓN. </w:t>
          </w:r>
        </w:p>
        <w:p w14:paraId="13EE1323" w14:textId="77777777" w:rsidR="00274429" w:rsidRPr="00051C7F" w:rsidRDefault="00274429" w:rsidP="00274429">
          <w:pPr>
            <w:jc w:val="both"/>
            <w:rPr>
              <w:rFonts w:ascii="Times New Roman" w:hAnsi="Times New Roman"/>
              <w:sz w:val="24"/>
              <w:szCs w:val="24"/>
            </w:rPr>
          </w:pPr>
          <w:r w:rsidRPr="00051C7F">
            <w:rPr>
              <w:rFonts w:ascii="Times New Roman" w:hAnsi="Times New Roman"/>
              <w:sz w:val="24"/>
              <w:szCs w:val="24"/>
            </w:rPr>
            <w:t xml:space="preserve">En caso de renuncia del CONCESIONARIO para revertir total o parcialmente los bienes objeto de la concesión portuaria, el CONCEDENTE revertirá los bienes de manera unilateral de acuerdo con la ley aplicables. </w:t>
          </w:r>
        </w:p>
        <w:p w14:paraId="2F60E5A1" w14:textId="77777777" w:rsidR="00274429" w:rsidRPr="00051C7F" w:rsidRDefault="00274429" w:rsidP="00274429">
          <w:pPr>
            <w:jc w:val="both"/>
            <w:rPr>
              <w:rFonts w:ascii="Times New Roman" w:hAnsi="Times New Roman"/>
              <w:sz w:val="24"/>
              <w:szCs w:val="24"/>
            </w:rPr>
          </w:pPr>
          <w:r w:rsidRPr="00051C7F">
            <w:rPr>
              <w:rFonts w:ascii="Times New Roman" w:hAnsi="Times New Roman"/>
              <w:sz w:val="24"/>
              <w:szCs w:val="24"/>
            </w:rPr>
            <w:t xml:space="preserve">El Concesionario deberá en el momento de la reversión hacer entrega de un avaluó comercial actualizado y valoración técnica de las condiciones de operación de la infraestructura portuaria, equipos e inmuebles por destinación que habitualmente se encuentren instalados en zona de uso público que se revierten y que son propiedad de la Nación. </w:t>
          </w:r>
        </w:p>
        <w:p w14:paraId="33562901" w14:textId="77777777" w:rsidR="00274429" w:rsidRPr="00051C7F" w:rsidRDefault="00274429" w:rsidP="00274429">
          <w:pPr>
            <w:jc w:val="both"/>
            <w:rPr>
              <w:rFonts w:ascii="Times New Roman" w:hAnsi="Times New Roman"/>
              <w:sz w:val="24"/>
              <w:szCs w:val="24"/>
            </w:rPr>
          </w:pPr>
          <w:r w:rsidRPr="00051C7F">
            <w:rPr>
              <w:rFonts w:ascii="Times New Roman" w:hAnsi="Times New Roman"/>
              <w:sz w:val="24"/>
              <w:szCs w:val="24"/>
            </w:rPr>
            <w:t>La ANI es la entidad concedente pero la titularidad de los activos al final de la concesión es del Instituto Nacional de Vías INVIAS.</w:t>
          </w:r>
        </w:p>
        <w:p w14:paraId="0B6FEB33" w14:textId="3FF41E47" w:rsidR="00274429" w:rsidRDefault="6F9F2528" w:rsidP="00E60BAB">
          <w:pPr>
            <w:pStyle w:val="Prrafodelista"/>
            <w:numPr>
              <w:ilvl w:val="0"/>
              <w:numId w:val="118"/>
            </w:numPr>
            <w:spacing w:line="259" w:lineRule="auto"/>
            <w:jc w:val="both"/>
            <w:rPr>
              <w:rFonts w:ascii="Times New Roman" w:hAnsi="Times New Roman"/>
              <w:b/>
              <w:bCs/>
              <w:sz w:val="24"/>
              <w:szCs w:val="24"/>
            </w:rPr>
          </w:pPr>
          <w:r w:rsidRPr="10D44305">
            <w:rPr>
              <w:rFonts w:ascii="Times New Roman" w:hAnsi="Times New Roman"/>
              <w:b/>
              <w:bCs/>
              <w:sz w:val="24"/>
              <w:szCs w:val="24"/>
            </w:rPr>
            <w:t>No hay c</w:t>
          </w:r>
          <w:r w:rsidR="00274429" w:rsidRPr="10D44305">
            <w:rPr>
              <w:rFonts w:ascii="Times New Roman" w:hAnsi="Times New Roman"/>
              <w:b/>
              <w:bCs/>
              <w:sz w:val="24"/>
              <w:szCs w:val="24"/>
            </w:rPr>
            <w:t>ambios</w:t>
          </w:r>
          <w:r w:rsidR="00274429" w:rsidRPr="00C4601E">
            <w:rPr>
              <w:rFonts w:ascii="Times New Roman" w:hAnsi="Times New Roman"/>
              <w:b/>
              <w:bCs/>
              <w:sz w:val="24"/>
              <w:szCs w:val="24"/>
            </w:rPr>
            <w:t xml:space="preserve"> en el acuerdo de concesión que se realicen durante el periodo fiscal</w:t>
          </w:r>
        </w:p>
        <w:p w14:paraId="37B0C013" w14:textId="77777777" w:rsidR="00274429" w:rsidRPr="00197A12" w:rsidRDefault="00274429" w:rsidP="00274429">
          <w:pPr>
            <w:spacing w:after="0" w:line="240" w:lineRule="auto"/>
            <w:jc w:val="both"/>
            <w:rPr>
              <w:rFonts w:ascii="Times New Roman" w:hAnsi="Times New Roman"/>
              <w:b/>
              <w:bCs/>
              <w:sz w:val="24"/>
              <w:szCs w:val="24"/>
            </w:rPr>
          </w:pPr>
        </w:p>
        <w:p w14:paraId="12C57C00" w14:textId="77777777" w:rsidR="00274429" w:rsidRPr="00197A12" w:rsidRDefault="00274429" w:rsidP="00274429">
          <w:pPr>
            <w:spacing w:after="0" w:line="240" w:lineRule="auto"/>
            <w:jc w:val="both"/>
            <w:rPr>
              <w:rFonts w:ascii="Times New Roman" w:hAnsi="Times New Roman"/>
              <w:b/>
              <w:bCs/>
              <w:sz w:val="24"/>
              <w:szCs w:val="24"/>
            </w:rPr>
          </w:pPr>
        </w:p>
        <w:p w14:paraId="3D32B4C3" w14:textId="77777777" w:rsidR="00274429" w:rsidRDefault="00274429" w:rsidP="00274429">
          <w:pPr>
            <w:rPr>
              <w:rFonts w:ascii="Times New Roman" w:hAnsi="Times New Roman"/>
              <w:b/>
              <w:sz w:val="24"/>
              <w:szCs w:val="24"/>
            </w:rPr>
          </w:pPr>
          <w:r w:rsidRPr="10D44305">
            <w:rPr>
              <w:rFonts w:ascii="Times New Roman" w:hAnsi="Times New Roman"/>
              <w:b/>
              <w:bCs/>
              <w:sz w:val="24"/>
              <w:szCs w:val="24"/>
            </w:rPr>
            <w:t xml:space="preserve">SOCIEDAD PORTUARIA PUERTO HONDO S.A. </w:t>
          </w:r>
        </w:p>
        <w:p w14:paraId="5D4D6F7C" w14:textId="44AA03AA" w:rsidR="00274429" w:rsidRPr="00BE48E2" w:rsidRDefault="4456D1B3" w:rsidP="00274429">
          <w:pPr>
            <w:rPr>
              <w:rFonts w:ascii="Times New Roman" w:hAnsi="Times New Roman"/>
              <w:b/>
              <w:bCs/>
              <w:sz w:val="24"/>
              <w:szCs w:val="24"/>
            </w:rPr>
          </w:pPr>
          <w:r w:rsidRPr="10D44305">
            <w:rPr>
              <w:rFonts w:ascii="Times New Roman" w:hAnsi="Times New Roman"/>
              <w:b/>
              <w:bCs/>
              <w:sz w:val="24"/>
              <w:szCs w:val="24"/>
            </w:rPr>
            <w:t xml:space="preserve">a. </w:t>
          </w:r>
          <w:r w:rsidR="00274429" w:rsidRPr="007760D5">
            <w:rPr>
              <w:rFonts w:ascii="Times New Roman" w:hAnsi="Times New Roman"/>
              <w:b/>
              <w:bCs/>
              <w:sz w:val="24"/>
              <w:szCs w:val="24"/>
            </w:rPr>
            <w:t>Descripción del acuerdo</w:t>
          </w:r>
        </w:p>
        <w:p w14:paraId="7EBACF4B" w14:textId="18AF05C0" w:rsidR="00274429" w:rsidRPr="009A46BB" w:rsidRDefault="00274429" w:rsidP="10D44305">
          <w:pPr>
            <w:spacing w:after="0"/>
            <w:jc w:val="both"/>
            <w:rPr>
              <w:rFonts w:ascii="Times New Roman" w:hAnsi="Times New Roman"/>
              <w:sz w:val="24"/>
              <w:szCs w:val="24"/>
            </w:rPr>
          </w:pPr>
          <w:r w:rsidRPr="009A46BB">
            <w:rPr>
              <w:rFonts w:ascii="Times New Roman" w:hAnsi="Times New Roman"/>
              <w:b/>
              <w:sz w:val="24"/>
              <w:szCs w:val="24"/>
            </w:rPr>
            <w:t>Número del acuerdo de concesión:</w:t>
          </w:r>
          <w:r w:rsidR="004A4B3E">
            <w:rPr>
              <w:rFonts w:ascii="Times New Roman" w:hAnsi="Times New Roman"/>
              <w:b/>
              <w:sz w:val="24"/>
              <w:szCs w:val="24"/>
            </w:rPr>
            <w:t xml:space="preserve"> </w:t>
          </w:r>
          <w:r w:rsidRPr="009A46BB">
            <w:rPr>
              <w:rFonts w:ascii="Times New Roman" w:hAnsi="Times New Roman"/>
              <w:sz w:val="24"/>
              <w:szCs w:val="24"/>
            </w:rPr>
            <w:t xml:space="preserve">Contrato No. 004 de 2011 </w:t>
          </w:r>
        </w:p>
        <w:p w14:paraId="747E880E" w14:textId="0D7C46EF" w:rsidR="00274429" w:rsidRPr="009A46BB" w:rsidRDefault="00274429" w:rsidP="10D44305">
          <w:pPr>
            <w:spacing w:after="0"/>
            <w:jc w:val="both"/>
            <w:rPr>
              <w:rFonts w:ascii="Times New Roman" w:hAnsi="Times New Roman"/>
              <w:sz w:val="24"/>
              <w:szCs w:val="24"/>
            </w:rPr>
          </w:pPr>
          <w:r w:rsidRPr="009A46BB">
            <w:rPr>
              <w:rFonts w:ascii="Times New Roman" w:hAnsi="Times New Roman"/>
              <w:b/>
              <w:sz w:val="24"/>
              <w:szCs w:val="24"/>
            </w:rPr>
            <w:t>Objeto / Descripción</w:t>
          </w:r>
          <w:r w:rsidRPr="009A46BB">
            <w:rPr>
              <w:rFonts w:ascii="Times New Roman" w:hAnsi="Times New Roman"/>
              <w:sz w:val="24"/>
              <w:szCs w:val="24"/>
            </w:rPr>
            <w:t>:</w:t>
          </w:r>
          <w:r w:rsidR="004A4B3E">
            <w:rPr>
              <w:rFonts w:ascii="Times New Roman" w:hAnsi="Times New Roman"/>
              <w:sz w:val="24"/>
              <w:szCs w:val="24"/>
            </w:rPr>
            <w:t xml:space="preserve"> </w:t>
          </w:r>
          <w:r w:rsidRPr="009A46BB">
            <w:rPr>
              <w:rFonts w:ascii="Times New Roman" w:hAnsi="Times New Roman"/>
              <w:sz w:val="24"/>
              <w:szCs w:val="24"/>
            </w:rPr>
            <w:t>En virtud del Contrato de concesión, entregar al concesionario para ocupar y utilizar de forma temporal y exclusiva la zona de uso público ubicada en el muelle pesquero de Tumaco, Departamento de Nariño, teniendo en cuenta las áreas coordenadas y limitaciones que estableció para ese efecto el Instituto Nacional de Vías – INVIAS, en los términos y condiciones establecidas en las resoluciones 227 de 2010 y No. 83 del 22 de febrero de 2011 y en el presente contrato, conforme lo establece la Cláusula Primera del Contrato de concesión portuaria.</w:t>
          </w:r>
        </w:p>
        <w:p w14:paraId="6A34699B" w14:textId="73B9EA6E" w:rsidR="00274429" w:rsidRPr="00F971B2" w:rsidRDefault="00274429" w:rsidP="10D44305">
          <w:pPr>
            <w:spacing w:after="0" w:afterAutospacing="1"/>
            <w:jc w:val="both"/>
            <w:rPr>
              <w:rFonts w:ascii="Times New Roman" w:hAnsi="Times New Roman"/>
              <w:sz w:val="24"/>
              <w:szCs w:val="24"/>
            </w:rPr>
          </w:pPr>
          <w:r w:rsidRPr="00521A07">
            <w:rPr>
              <w:rFonts w:ascii="Times New Roman" w:hAnsi="Times New Roman"/>
              <w:b/>
              <w:bCs/>
              <w:sz w:val="24"/>
              <w:szCs w:val="24"/>
            </w:rPr>
            <w:t>Valor inicial:</w:t>
          </w:r>
          <w:r w:rsidR="004A4B3E">
            <w:rPr>
              <w:rFonts w:ascii="Times New Roman" w:hAnsi="Times New Roman"/>
              <w:b/>
              <w:bCs/>
              <w:sz w:val="24"/>
              <w:szCs w:val="24"/>
            </w:rPr>
            <w:t xml:space="preserve"> </w:t>
          </w:r>
          <w:r w:rsidRPr="00F971B2">
            <w:rPr>
              <w:rFonts w:ascii="Times New Roman" w:hAnsi="Times New Roman"/>
              <w:sz w:val="24"/>
              <w:szCs w:val="24"/>
            </w:rPr>
            <w:t xml:space="preserve">Valor del contrato actualizado:USD $ 4.352.194,04 / cláusula décima manifestaciones del concesionario en el numeral 10.11 del Contrato No. 004 de 2011 / liquidación contraprestación Conpes 3744 de 2013 / comunicado radicado ANI No.2014-705-023579-1 del 3 de diciembre de 2014. </w:t>
          </w:r>
        </w:p>
        <w:p w14:paraId="77C45132" w14:textId="77777777" w:rsidR="00274429" w:rsidRDefault="00274429" w:rsidP="009A46BB">
          <w:pPr>
            <w:spacing w:after="0"/>
            <w:jc w:val="both"/>
            <w:rPr>
              <w:rFonts w:ascii="Times New Roman" w:hAnsi="Times New Roman"/>
              <w:sz w:val="24"/>
              <w:szCs w:val="24"/>
            </w:rPr>
          </w:pPr>
          <w:r w:rsidRPr="00521A07">
            <w:rPr>
              <w:rFonts w:ascii="Times New Roman" w:hAnsi="Times New Roman"/>
              <w:b/>
              <w:bCs/>
              <w:sz w:val="24"/>
              <w:szCs w:val="24"/>
            </w:rPr>
            <w:t>Fecha de inicio:</w:t>
          </w:r>
          <w:r>
            <w:rPr>
              <w:rFonts w:ascii="Times New Roman" w:hAnsi="Times New Roman"/>
              <w:b/>
              <w:bCs/>
              <w:sz w:val="24"/>
              <w:szCs w:val="24"/>
            </w:rPr>
            <w:t xml:space="preserve"> </w:t>
          </w:r>
          <w:r>
            <w:rPr>
              <w:rFonts w:ascii="Times New Roman" w:hAnsi="Times New Roman"/>
              <w:sz w:val="24"/>
              <w:szCs w:val="24"/>
            </w:rPr>
            <w:t>06/10/2011</w:t>
          </w:r>
          <w:r w:rsidRPr="00FD695F">
            <w:rPr>
              <w:rFonts w:ascii="Times New Roman" w:hAnsi="Times New Roman"/>
              <w:sz w:val="24"/>
              <w:szCs w:val="24"/>
            </w:rPr>
            <w:t xml:space="preserve"> </w:t>
          </w:r>
        </w:p>
        <w:p w14:paraId="416BEEF7" w14:textId="77777777" w:rsidR="00274429" w:rsidRDefault="00274429" w:rsidP="009A46BB">
          <w:pPr>
            <w:spacing w:after="0"/>
            <w:jc w:val="both"/>
            <w:rPr>
              <w:rFonts w:ascii="Times New Roman" w:hAnsi="Times New Roman"/>
              <w:sz w:val="24"/>
              <w:szCs w:val="24"/>
            </w:rPr>
          </w:pPr>
          <w:r w:rsidRPr="00521A07">
            <w:rPr>
              <w:rFonts w:ascii="Times New Roman" w:hAnsi="Times New Roman"/>
              <w:b/>
              <w:bCs/>
              <w:sz w:val="24"/>
              <w:szCs w:val="24"/>
            </w:rPr>
            <w:t>Fecha de finalización estimada:</w:t>
          </w:r>
          <w:r>
            <w:rPr>
              <w:rFonts w:ascii="Times New Roman" w:hAnsi="Times New Roman"/>
              <w:b/>
              <w:bCs/>
              <w:sz w:val="24"/>
              <w:szCs w:val="24"/>
            </w:rPr>
            <w:t xml:space="preserve"> </w:t>
          </w:r>
          <w:r>
            <w:rPr>
              <w:rFonts w:ascii="Times New Roman" w:hAnsi="Times New Roman"/>
              <w:sz w:val="24"/>
              <w:szCs w:val="24"/>
            </w:rPr>
            <w:t>05/10/2031</w:t>
          </w:r>
        </w:p>
        <w:p w14:paraId="64BB40B0" w14:textId="77777777" w:rsidR="00274429" w:rsidRPr="009A46BB" w:rsidRDefault="00274429" w:rsidP="009A46BB">
          <w:pPr>
            <w:spacing w:after="0"/>
            <w:jc w:val="both"/>
            <w:rPr>
              <w:rFonts w:ascii="Times New Roman" w:hAnsi="Times New Roman"/>
              <w:sz w:val="24"/>
              <w:szCs w:val="24"/>
            </w:rPr>
          </w:pPr>
          <w:r w:rsidRPr="00521A07">
            <w:rPr>
              <w:rFonts w:ascii="Times New Roman" w:hAnsi="Times New Roman"/>
              <w:b/>
              <w:bCs/>
              <w:sz w:val="24"/>
              <w:szCs w:val="24"/>
            </w:rPr>
            <w:t>Tipo ID:</w:t>
          </w:r>
          <w:r>
            <w:rPr>
              <w:rFonts w:ascii="Times New Roman" w:hAnsi="Times New Roman"/>
              <w:b/>
              <w:bCs/>
              <w:sz w:val="24"/>
              <w:szCs w:val="24"/>
            </w:rPr>
            <w:t xml:space="preserve"> NIT</w:t>
          </w:r>
        </w:p>
        <w:p w14:paraId="7EAD7A4C" w14:textId="77777777" w:rsidR="00274429" w:rsidRDefault="00274429" w:rsidP="009A46BB">
          <w:pPr>
            <w:spacing w:after="0"/>
            <w:rPr>
              <w:rFonts w:ascii="Times New Roman" w:hAnsi="Times New Roman"/>
              <w:sz w:val="24"/>
              <w:szCs w:val="24"/>
            </w:rPr>
          </w:pPr>
          <w:r w:rsidRPr="00521A07">
            <w:rPr>
              <w:rFonts w:ascii="Times New Roman" w:hAnsi="Times New Roman"/>
              <w:b/>
              <w:bCs/>
              <w:sz w:val="24"/>
              <w:szCs w:val="24"/>
            </w:rPr>
            <w:t>Número ID:</w:t>
          </w:r>
          <w:r>
            <w:rPr>
              <w:rFonts w:ascii="Times New Roman" w:hAnsi="Times New Roman"/>
              <w:b/>
              <w:bCs/>
              <w:sz w:val="24"/>
              <w:szCs w:val="24"/>
            </w:rPr>
            <w:t xml:space="preserve"> </w:t>
          </w:r>
          <w:r w:rsidRPr="00F971B2">
            <w:rPr>
              <w:rFonts w:ascii="Times New Roman" w:hAnsi="Times New Roman"/>
              <w:sz w:val="24"/>
              <w:szCs w:val="24"/>
            </w:rPr>
            <w:t>900.243.279-5</w:t>
          </w:r>
        </w:p>
        <w:p w14:paraId="6039B80F" w14:textId="3E637339" w:rsidR="00274429" w:rsidRDefault="00274429" w:rsidP="009A46BB">
          <w:pPr>
            <w:spacing w:after="0"/>
            <w:rPr>
              <w:rFonts w:ascii="Times New Roman" w:hAnsi="Times New Roman"/>
              <w:sz w:val="24"/>
              <w:szCs w:val="24"/>
            </w:rPr>
          </w:pPr>
          <w:r w:rsidRPr="00521A07">
            <w:rPr>
              <w:rFonts w:ascii="Times New Roman" w:hAnsi="Times New Roman"/>
              <w:b/>
              <w:bCs/>
              <w:sz w:val="24"/>
              <w:szCs w:val="24"/>
            </w:rPr>
            <w:t>Razón social del concesionario:</w:t>
          </w:r>
          <w:r w:rsidR="004A4B3E">
            <w:rPr>
              <w:rFonts w:ascii="Times New Roman" w:hAnsi="Times New Roman"/>
              <w:b/>
              <w:bCs/>
              <w:sz w:val="24"/>
              <w:szCs w:val="24"/>
            </w:rPr>
            <w:t xml:space="preserve"> </w:t>
          </w:r>
          <w:r w:rsidRPr="00F971B2">
            <w:rPr>
              <w:rFonts w:ascii="Times New Roman" w:hAnsi="Times New Roman"/>
              <w:sz w:val="24"/>
              <w:szCs w:val="24"/>
            </w:rPr>
            <w:t>SOCIEDAD PORTUARIA PUERTO HONDO S.A.</w:t>
          </w:r>
        </w:p>
        <w:p w14:paraId="2156FA6F" w14:textId="4A0E2EB5" w:rsidR="00274429" w:rsidRDefault="00274429" w:rsidP="009A46BB">
          <w:pPr>
            <w:spacing w:after="0"/>
            <w:rPr>
              <w:rFonts w:ascii="Times New Roman" w:hAnsi="Times New Roman"/>
              <w:sz w:val="24"/>
              <w:szCs w:val="24"/>
            </w:rPr>
          </w:pPr>
          <w:r w:rsidRPr="00521A07">
            <w:rPr>
              <w:rFonts w:ascii="Times New Roman" w:hAnsi="Times New Roman"/>
              <w:b/>
              <w:bCs/>
              <w:sz w:val="24"/>
              <w:szCs w:val="24"/>
            </w:rPr>
            <w:t>Nombre del proyecto:</w:t>
          </w:r>
          <w:r w:rsidR="004A4B3E">
            <w:rPr>
              <w:rFonts w:ascii="Times New Roman" w:hAnsi="Times New Roman"/>
              <w:b/>
              <w:bCs/>
              <w:sz w:val="24"/>
              <w:szCs w:val="24"/>
            </w:rPr>
            <w:t xml:space="preserve"> </w:t>
          </w:r>
          <w:r w:rsidRPr="00F971B2">
            <w:rPr>
              <w:rFonts w:ascii="Times New Roman" w:hAnsi="Times New Roman"/>
              <w:sz w:val="24"/>
              <w:szCs w:val="24"/>
            </w:rPr>
            <w:t xml:space="preserve">SOCIEDAD PORTUARIA PUERTO HONDO S.A. </w:t>
          </w:r>
        </w:p>
        <w:p w14:paraId="3E7D5A30" w14:textId="0925B4FA" w:rsidR="10D44305" w:rsidRDefault="10D44305" w:rsidP="10D44305">
          <w:pPr>
            <w:spacing w:after="0"/>
            <w:rPr>
              <w:rFonts w:ascii="Times New Roman" w:hAnsi="Times New Roman"/>
              <w:sz w:val="24"/>
              <w:szCs w:val="24"/>
            </w:rPr>
          </w:pPr>
        </w:p>
        <w:p w14:paraId="20D225C7" w14:textId="76AD9BFE" w:rsidR="00274429" w:rsidRPr="00F971B2" w:rsidRDefault="4839F8A4" w:rsidP="10D44305">
          <w:pPr>
            <w:spacing w:line="259" w:lineRule="auto"/>
            <w:rPr>
              <w:rFonts w:ascii="Times New Roman" w:hAnsi="Times New Roman"/>
              <w:b/>
            </w:rPr>
          </w:pPr>
          <w:r w:rsidRPr="10D44305">
            <w:rPr>
              <w:rFonts w:ascii="Times New Roman" w:hAnsi="Times New Roman"/>
              <w:b/>
              <w:bCs/>
              <w:sz w:val="24"/>
              <w:szCs w:val="24"/>
            </w:rPr>
            <w:t xml:space="preserve">b. </w:t>
          </w:r>
          <w:r w:rsidR="00274429" w:rsidRPr="00F971B2">
            <w:rPr>
              <w:rFonts w:ascii="Times New Roman" w:hAnsi="Times New Roman"/>
              <w:b/>
              <w:bCs/>
              <w:sz w:val="24"/>
              <w:szCs w:val="24"/>
            </w:rPr>
            <w:t>Términos significativos del acuerdo que puedan afectar su valor, el calendario y la certeza de los flujos</w:t>
          </w:r>
        </w:p>
        <w:p w14:paraId="390018A3" w14:textId="58218D7A"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valor:</w:t>
          </w:r>
        </w:p>
        <w:p w14:paraId="53BDFAC8" w14:textId="77777777" w:rsidR="00274429" w:rsidRDefault="00274429" w:rsidP="00274429">
          <w:pPr>
            <w:jc w:val="both"/>
            <w:rPr>
              <w:rFonts w:ascii="Times New Roman" w:hAnsi="Times New Roman"/>
              <w:sz w:val="24"/>
              <w:szCs w:val="24"/>
            </w:rPr>
          </w:pPr>
          <w:r w:rsidRPr="00FC7585">
            <w:rPr>
              <w:rFonts w:ascii="Times New Roman" w:hAnsi="Times New Roman"/>
              <w:b/>
              <w:bCs/>
              <w:sz w:val="24"/>
              <w:szCs w:val="24"/>
            </w:rPr>
            <w:lastRenderedPageBreak/>
            <w:t xml:space="preserve">Tarifas: </w:t>
          </w:r>
          <w:r w:rsidRPr="00F971B2">
            <w:rPr>
              <w:rFonts w:ascii="Times New Roman" w:hAnsi="Times New Roman"/>
              <w:sz w:val="24"/>
              <w:szCs w:val="24"/>
            </w:rPr>
            <w:t>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w:t>
          </w:r>
        </w:p>
        <w:p w14:paraId="3A4AB521" w14:textId="77777777" w:rsidR="00274429" w:rsidRDefault="00274429" w:rsidP="00274429">
          <w:pPr>
            <w:jc w:val="both"/>
            <w:rPr>
              <w:rFonts w:ascii="Times New Roman" w:hAnsi="Times New Roman"/>
              <w:sz w:val="24"/>
              <w:szCs w:val="24"/>
            </w:rPr>
          </w:pPr>
          <w:r w:rsidRPr="00FC7585">
            <w:rPr>
              <w:rFonts w:ascii="Times New Roman" w:hAnsi="Times New Roman"/>
              <w:b/>
              <w:bCs/>
              <w:sz w:val="24"/>
              <w:szCs w:val="24"/>
            </w:rPr>
            <w:t xml:space="preserve">Contraprestación portuaria: </w:t>
          </w:r>
          <w:r w:rsidRPr="00CD6038">
            <w:rPr>
              <w:rFonts w:ascii="Times New Roman" w:hAnsi="Times New Roman"/>
              <w:sz w:val="24"/>
              <w:szCs w:val="24"/>
            </w:rPr>
            <w:t xml:space="preserve">Sobre lo anterior, se tiene que mediante Resolución No. 20237070016695 del 30-11-2023, se Decaró la caducidad del contrato de Concesión, con base en el expediente No. 20227070320700037E, por lo tanto,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municipio de Tumaco; e INFRAESTRUCTURA en un 100% a la Nación - Instituto Nacional de Vías (INVIAS). </w:t>
          </w:r>
        </w:p>
        <w:p w14:paraId="5F139119" w14:textId="77777777" w:rsidR="00274429" w:rsidRDefault="00274429" w:rsidP="00274429">
          <w:pPr>
            <w:jc w:val="both"/>
            <w:rPr>
              <w:rFonts w:ascii="Times New Roman" w:hAnsi="Times New Roman"/>
              <w:sz w:val="24"/>
              <w:szCs w:val="24"/>
            </w:rPr>
          </w:pPr>
          <w:r w:rsidRPr="00F3744A">
            <w:rPr>
              <w:rFonts w:ascii="Times New Roman" w:hAnsi="Times New Roman"/>
              <w:b/>
              <w:bCs/>
              <w:sz w:val="24"/>
              <w:szCs w:val="24"/>
            </w:rPr>
            <w:t>Plan de Inversiones</w:t>
          </w:r>
          <w:r w:rsidRPr="00FD695F">
            <w:rPr>
              <w:rFonts w:ascii="Times New Roman" w:hAnsi="Times New Roman"/>
              <w:sz w:val="24"/>
              <w:szCs w:val="24"/>
            </w:rPr>
            <w:t xml:space="preserve">: </w:t>
          </w:r>
          <w:r w:rsidRPr="00F3744A">
            <w:rPr>
              <w:rFonts w:ascii="Times New Roman" w:hAnsi="Times New Roman"/>
              <w:sz w:val="24"/>
              <w:szCs w:val="24"/>
            </w:rPr>
            <w:t>Está establecido en la cláusula novena de la segunda parte del contrato, el plan de inversión será de USD S170.000 en valores corrientes. Se aclara que se declaró la caducidad por incumplimiento en el Plan de Inversiones como se indica en la Resolución No. 20237070016695 del 30-11-2023.</w:t>
          </w:r>
        </w:p>
        <w:p w14:paraId="0CB24B52" w14:textId="1A3D6175" w:rsidR="00274429" w:rsidRPr="00F3744A" w:rsidRDefault="00274429" w:rsidP="00274429">
          <w:pPr>
            <w:jc w:val="both"/>
            <w:rPr>
              <w:rFonts w:ascii="Times New Roman" w:hAnsi="Times New Roman"/>
              <w:sz w:val="24"/>
              <w:szCs w:val="24"/>
            </w:rPr>
          </w:pPr>
          <w:r w:rsidRPr="00FC7585">
            <w:rPr>
              <w:rFonts w:ascii="Times New Roman" w:hAnsi="Times New Roman"/>
              <w:b/>
              <w:bCs/>
              <w:sz w:val="24"/>
              <w:szCs w:val="24"/>
            </w:rPr>
            <w:t xml:space="preserve">Obligaciones del CONCESIONARIO: </w:t>
          </w:r>
          <w:r w:rsidRPr="00F3744A">
            <w:rPr>
              <w:rFonts w:ascii="Times New Roman" w:hAnsi="Times New Roman"/>
              <w:sz w:val="24"/>
              <w:szCs w:val="24"/>
            </w:rPr>
            <w:t>Se encuentran descritas en la cláusula quinta de la primera parte del contrato.</w:t>
          </w:r>
        </w:p>
        <w:p w14:paraId="2F003719" w14:textId="77777777" w:rsidR="00274429" w:rsidRPr="00F3744A" w:rsidRDefault="00274429" w:rsidP="00274429">
          <w:pPr>
            <w:jc w:val="both"/>
            <w:rPr>
              <w:rFonts w:ascii="Times New Roman" w:hAnsi="Times New Roman"/>
              <w:sz w:val="24"/>
              <w:szCs w:val="24"/>
            </w:rPr>
          </w:pPr>
          <w:r w:rsidRPr="00F3744A">
            <w:rPr>
              <w:rFonts w:ascii="Times New Roman" w:hAnsi="Times New Roman"/>
              <w:sz w:val="24"/>
              <w:szCs w:val="24"/>
            </w:rPr>
            <w:t xml:space="preserve">Penal pecuniario: En la cláusula décima sexta de la primera parte del contrato se establece que en el evento en que la ANI declare la caducidad o el incumplimiento del presente contrato se podrá imponer una penalidad pecuniaria. </w:t>
          </w:r>
        </w:p>
        <w:p w14:paraId="364E774D" w14:textId="77777777" w:rsidR="00274429" w:rsidRDefault="00274429" w:rsidP="00274429">
          <w:pPr>
            <w:jc w:val="both"/>
            <w:rPr>
              <w:rFonts w:ascii="Times New Roman" w:hAnsi="Times New Roman"/>
              <w:sz w:val="24"/>
              <w:szCs w:val="24"/>
            </w:rPr>
          </w:pPr>
          <w:r w:rsidRPr="00F3744A">
            <w:rPr>
              <w:rFonts w:ascii="Times New Roman" w:hAnsi="Times New Roman"/>
              <w:sz w:val="24"/>
              <w:szCs w:val="24"/>
            </w:rPr>
            <w:t>Riesgos: están descritos en la cláusula novena de la primera parte del contrato, el CONCESIONARIO acepta la totalidad de los riesgos Inherentes al desarrollo del proyecto por el propuesto, serán asumidos por el CONCESIONARIO, la ocurrencia de cualquiera de los eventos aleatorios generadores de riesgo no dará derecho a Indemnización o reconocimiento alguno a favor del CONCESIONARIO</w:t>
          </w:r>
        </w:p>
        <w:p w14:paraId="7B4387CE" w14:textId="77777777" w:rsidR="00274429" w:rsidRDefault="00274429" w:rsidP="00274429">
          <w:pPr>
            <w:jc w:val="both"/>
            <w:rPr>
              <w:rFonts w:ascii="Times New Roman" w:hAnsi="Times New Roman"/>
              <w:b/>
              <w:bCs/>
              <w:sz w:val="24"/>
              <w:szCs w:val="24"/>
            </w:rPr>
          </w:pPr>
          <w:r w:rsidRPr="004C1095">
            <w:rPr>
              <w:rFonts w:ascii="Times New Roman" w:hAnsi="Times New Roman"/>
              <w:b/>
              <w:bCs/>
              <w:sz w:val="24"/>
              <w:szCs w:val="24"/>
            </w:rPr>
            <w:t>Términos de calendario:</w:t>
          </w:r>
        </w:p>
        <w:p w14:paraId="68BDEAEF" w14:textId="77777777" w:rsidR="00274429" w:rsidRPr="009A46BB" w:rsidRDefault="00274429" w:rsidP="00274429">
          <w:pPr>
            <w:jc w:val="both"/>
            <w:rPr>
              <w:rStyle w:val="Estilo3"/>
              <w:szCs w:val="24"/>
            </w:rPr>
          </w:pPr>
          <w:r w:rsidRPr="009A46BB">
            <w:rPr>
              <w:rStyle w:val="Estilo3"/>
              <w:szCs w:val="24"/>
            </w:rPr>
            <w:t>Tarifas: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w:t>
          </w:r>
        </w:p>
        <w:p w14:paraId="58EAD1D4" w14:textId="77777777" w:rsidR="00274429" w:rsidRPr="009A46BB" w:rsidRDefault="00274429" w:rsidP="00274429">
          <w:pPr>
            <w:jc w:val="both"/>
            <w:rPr>
              <w:rStyle w:val="Estilo3"/>
              <w:szCs w:val="24"/>
            </w:rPr>
          </w:pPr>
          <w:r w:rsidRPr="009A46BB">
            <w:rPr>
              <w:rStyle w:val="Estilo3"/>
              <w:szCs w:val="24"/>
            </w:rPr>
            <w:t>Los términos de calendario sobre la contraprestación se deberán atender según lo establecido en la Resolución No. 20237070016695 del 30-11-2023, donde se declaró la caducidad del contrato de Concesión, con base en el expediente No. 20227070320700037E.</w:t>
          </w:r>
        </w:p>
        <w:p w14:paraId="43808749" w14:textId="3C0023E2" w:rsidR="00274429" w:rsidRPr="009A46BB" w:rsidRDefault="00274429" w:rsidP="00274429">
          <w:pPr>
            <w:jc w:val="both"/>
            <w:rPr>
              <w:rStyle w:val="Estilo3"/>
              <w:szCs w:val="24"/>
            </w:rPr>
          </w:pPr>
          <w:r w:rsidRPr="009A46BB">
            <w:rPr>
              <w:rStyle w:val="Estilo3"/>
              <w:szCs w:val="24"/>
            </w:rPr>
            <w:t>Plan de inversiones: Plan de inversiones:Está establecido en la cláusula novena de la segunda parte del contrato, ejecución de inversiones en el periodo de tiempo comprendido entre el año 2011 a 2012.Se deberá atender la Resolución de caducidad según No. 20237070016695 del 30-11-2023.</w:t>
          </w:r>
        </w:p>
        <w:p w14:paraId="34D2CA1F" w14:textId="77777777"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lastRenderedPageBreak/>
            <w:t>Términos de certeza de flujos de efectivo futuros:</w:t>
          </w:r>
        </w:p>
        <w:p w14:paraId="15A0CF7F" w14:textId="77777777" w:rsidR="00274429" w:rsidRPr="00086A28" w:rsidRDefault="00274429" w:rsidP="00274429">
          <w:pPr>
            <w:jc w:val="both"/>
            <w:rPr>
              <w:rFonts w:ascii="Times New Roman" w:hAnsi="Times New Roman"/>
              <w:sz w:val="24"/>
              <w:szCs w:val="24"/>
            </w:rPr>
          </w:pPr>
          <w:r w:rsidRPr="00086A28">
            <w:rPr>
              <w:rFonts w:ascii="Times New Roman" w:hAnsi="Times New Roman"/>
              <w:sz w:val="24"/>
              <w:szCs w:val="24"/>
            </w:rPr>
            <w:t xml:space="preserve">Entregar en concesión, para ocupar y utilizar en forma temporal y exclusiva la zona de uso público ubicada en el Muelle Pesquero de Tumaco, Departamento de Nariño, a cambio de la contraprestación económica. </w:t>
          </w:r>
        </w:p>
        <w:p w14:paraId="5544F282" w14:textId="77777777" w:rsidR="00274429" w:rsidRPr="00086A28" w:rsidRDefault="00274429" w:rsidP="00274429">
          <w:pPr>
            <w:jc w:val="both"/>
            <w:rPr>
              <w:rFonts w:ascii="Times New Roman" w:hAnsi="Times New Roman"/>
              <w:sz w:val="24"/>
              <w:szCs w:val="24"/>
            </w:rPr>
          </w:pPr>
          <w:r w:rsidRPr="00086A28">
            <w:rPr>
              <w:rFonts w:ascii="Times New Roman" w:hAnsi="Times New Roman"/>
              <w:sz w:val="24"/>
              <w:szCs w:val="24"/>
            </w:rPr>
            <w:t xml:space="preserve">Mediante Resolución N. 20237070016695 del 30-11-2023, se declaró la caducidad del Contrato de Concesión, indicando que el recaudo se realizará de conformidad con la ley 856 de 2003, es decir, ZUP el 80% le corresponde a la Nación Instituto nacional de vías (INVIAS) y el 20% restante municipio; e INFRAESTRUCTURA en un 100% a la Nación - Instituto Nacional de Vías (INVIAS). </w:t>
          </w:r>
        </w:p>
        <w:p w14:paraId="511847FB" w14:textId="0A54D78C" w:rsidR="00274429" w:rsidRPr="00086A28" w:rsidRDefault="1561507E" w:rsidP="10D44305">
          <w:pPr>
            <w:spacing w:line="259" w:lineRule="auto"/>
            <w:jc w:val="both"/>
            <w:rPr>
              <w:rFonts w:ascii="Times New Roman" w:hAnsi="Times New Roman"/>
              <w:b/>
            </w:rPr>
          </w:pPr>
          <w:r w:rsidRPr="10D44305">
            <w:rPr>
              <w:rFonts w:ascii="Times New Roman" w:hAnsi="Times New Roman"/>
              <w:b/>
              <w:bCs/>
              <w:sz w:val="24"/>
              <w:szCs w:val="24"/>
            </w:rPr>
            <w:t xml:space="preserve">c. </w:t>
          </w:r>
          <w:r w:rsidR="00274429" w:rsidRPr="00086A28">
            <w:rPr>
              <w:rFonts w:ascii="Times New Roman" w:hAnsi="Times New Roman"/>
              <w:b/>
              <w:bCs/>
              <w:sz w:val="24"/>
              <w:szCs w:val="24"/>
            </w:rPr>
            <w:t>Naturaleza y alcance del derecho a utilizar activos especificados, de los aspectos pactados en torno a lo que se espera que el concesionario proporcione en relación con el acuerdo de concesión (Se requiere ser breves, precisos, y concisos en la redacción)</w:t>
          </w:r>
        </w:p>
        <w:p w14:paraId="2B8E5176" w14:textId="77777777" w:rsidR="00274429" w:rsidRDefault="00274429" w:rsidP="00274429">
          <w:pPr>
            <w:jc w:val="both"/>
            <w:rPr>
              <w:rFonts w:ascii="Times New Roman" w:hAnsi="Times New Roman"/>
              <w:b/>
              <w:bCs/>
              <w:sz w:val="24"/>
              <w:szCs w:val="24"/>
            </w:rPr>
          </w:pPr>
          <w:r w:rsidRPr="00217110">
            <w:rPr>
              <w:rFonts w:ascii="Times New Roman" w:hAnsi="Times New Roman"/>
              <w:b/>
              <w:bCs/>
              <w:sz w:val="24"/>
              <w:szCs w:val="24"/>
            </w:rPr>
            <w:t>Naturaleza y alcance del derecho de uso de los activos</w:t>
          </w:r>
        </w:p>
        <w:p w14:paraId="0DD7D737" w14:textId="6C6D5C6E" w:rsidR="00274429" w:rsidRDefault="00274429" w:rsidP="00274429">
          <w:pPr>
            <w:jc w:val="both"/>
            <w:rPr>
              <w:rFonts w:ascii="Times New Roman" w:hAnsi="Times New Roman"/>
              <w:b/>
              <w:bCs/>
              <w:sz w:val="24"/>
              <w:szCs w:val="24"/>
            </w:rPr>
          </w:pPr>
          <w:r w:rsidRPr="003E5FA9">
            <w:rPr>
              <w:rFonts w:ascii="Times New Roman" w:hAnsi="Times New Roman"/>
              <w:b/>
              <w:bCs/>
              <w:sz w:val="24"/>
              <w:szCs w:val="24"/>
            </w:rPr>
            <w:t>Descripción:</w:t>
          </w:r>
        </w:p>
        <w:p w14:paraId="2C680710"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 xml:space="preserve">Descripción del proyecto, especificaciones técnicas, modalidades de operación: La información correspondiente a la descripción del proyecto y sus especificaciones técnicas en las cuales se abordan aspectos como el volumen y clase de carga, usuarios y clase de servicio, modalidad de operación, condiciones técnicas de operación y construcción, han sido establecidas en la cláusula quinta de la segunda parte del contrato de concesión portuaria.   </w:t>
          </w:r>
        </w:p>
        <w:p w14:paraId="2DE3BF7D"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 xml:space="preserve">Área entregada en concesión: La descripción de las áreas de la concesión entre las cuales se hace referencia a la ubicación, limites exactos y características físicas de las zonas de uso público, las coordenadas del área entregada en concesión y la descripción de la infraestructura existente que se entrega en concesión, se encuentran detallados en la cláusula cuarta de la segunda parte del contrato de concesión portuaria.  </w:t>
          </w:r>
        </w:p>
        <w:p w14:paraId="1535ED9D"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 xml:space="preserve">Infraestructura y equipos entregados en concesión: De acuerdo con lo establecido en la cláusula cuarta de la segunda parte del contrato de concesión portuaria, se describe la infraestructura entregada en concesión:   </w:t>
          </w:r>
        </w:p>
        <w:p w14:paraId="50E95349"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 xml:space="preserve">Infraestructura: Muelle, Tablestacado y sumidero, Sistema de acueducto, sistema de alcantarillado, sistema de energía eléctrica, pisos en asfalto, circulación vehicular con pisos en adoquín de cemento, Portería de acceso, bodega para el procesamiento, manejo y refrigeración de los alimentos marinos, bodega laboratorio de calidad y bodegas de almacenamiento.  </w:t>
          </w:r>
        </w:p>
        <w:p w14:paraId="222CFAA7"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 xml:space="preserve">Equipos: Sistemas de refrigeración y cuartos fríos.  </w:t>
          </w:r>
        </w:p>
        <w:p w14:paraId="3298980F" w14:textId="77777777" w:rsidR="00274429" w:rsidRDefault="00274429" w:rsidP="00274429">
          <w:pPr>
            <w:jc w:val="both"/>
            <w:rPr>
              <w:rFonts w:ascii="Times New Roman" w:hAnsi="Times New Roman"/>
              <w:b/>
              <w:bCs/>
              <w:sz w:val="24"/>
              <w:szCs w:val="24"/>
            </w:rPr>
          </w:pPr>
          <w:r w:rsidRPr="003E5FA9">
            <w:rPr>
              <w:rFonts w:ascii="Times New Roman" w:hAnsi="Times New Roman"/>
              <w:b/>
              <w:bCs/>
              <w:sz w:val="24"/>
              <w:szCs w:val="24"/>
            </w:rPr>
            <w:t>Observaciones:</w:t>
          </w:r>
          <w:r>
            <w:rPr>
              <w:rFonts w:ascii="Times New Roman" w:hAnsi="Times New Roman"/>
              <w:b/>
              <w:bCs/>
              <w:sz w:val="24"/>
              <w:szCs w:val="24"/>
            </w:rPr>
            <w:t xml:space="preserve"> NA</w:t>
          </w:r>
        </w:p>
        <w:p w14:paraId="230E448D" w14:textId="77777777" w:rsidR="00274429" w:rsidRDefault="00274429" w:rsidP="00274429">
          <w:pPr>
            <w:jc w:val="both"/>
            <w:rPr>
              <w:rFonts w:ascii="Times New Roman" w:hAnsi="Times New Roman"/>
              <w:b/>
              <w:bCs/>
              <w:sz w:val="24"/>
              <w:szCs w:val="24"/>
            </w:rPr>
          </w:pPr>
          <w:r>
            <w:rPr>
              <w:rFonts w:ascii="Times New Roman" w:hAnsi="Times New Roman"/>
              <w:b/>
              <w:bCs/>
              <w:sz w:val="24"/>
              <w:szCs w:val="24"/>
            </w:rPr>
            <w:t>Retribución al Concesionario</w:t>
          </w:r>
        </w:p>
        <w:p w14:paraId="7568AB8A" w14:textId="77777777" w:rsidR="00274429" w:rsidRDefault="00274429" w:rsidP="00274429">
          <w:pPr>
            <w:jc w:val="both"/>
            <w:rPr>
              <w:rFonts w:ascii="Times New Roman" w:hAnsi="Times New Roman"/>
              <w:sz w:val="24"/>
              <w:szCs w:val="24"/>
            </w:rPr>
          </w:pPr>
          <w:r w:rsidRPr="002F1782">
            <w:rPr>
              <w:rFonts w:ascii="Times New Roman" w:hAnsi="Times New Roman"/>
              <w:b/>
              <w:bCs/>
              <w:sz w:val="24"/>
              <w:szCs w:val="24"/>
            </w:rPr>
            <w:t xml:space="preserve">Descripción: </w:t>
          </w:r>
          <w:r w:rsidRPr="00086A28">
            <w:rPr>
              <w:rFonts w:ascii="Times New Roman" w:hAnsi="Times New Roman"/>
              <w:sz w:val="24"/>
              <w:szCs w:val="24"/>
            </w:rPr>
            <w:t xml:space="preserve">Entregar al concesionario para ocupar y utilizar de forma temporal y exclusiva la zona de uso público ubicada en el muelle pesquero de Tumaco, Departamento de Nariño, </w:t>
          </w:r>
          <w:r w:rsidRPr="00086A28">
            <w:rPr>
              <w:rFonts w:ascii="Times New Roman" w:hAnsi="Times New Roman"/>
              <w:sz w:val="24"/>
              <w:szCs w:val="24"/>
            </w:rPr>
            <w:lastRenderedPageBreak/>
            <w:t>teniendo en cuenta las áreas coordenadas y limitaciones que estableció para ese efecto el Instituto Nacional de Vías – INVIAS, en los términos y condiciones establecidas en las resoluciones 227 de 2010 y No. 83 del 22 de febrero de 2011 y en el presente contrato, conforme lo establece la Cláusula Primera del Contrato de concesión portuaria.</w:t>
          </w:r>
        </w:p>
        <w:p w14:paraId="4B89B090" w14:textId="77777777" w:rsidR="00274429" w:rsidRPr="00351837" w:rsidRDefault="00274429" w:rsidP="00274429">
          <w:pPr>
            <w:jc w:val="both"/>
            <w:rPr>
              <w:rFonts w:ascii="Times New Roman" w:hAnsi="Times New Roman"/>
              <w:b/>
              <w:bCs/>
              <w:sz w:val="24"/>
              <w:szCs w:val="24"/>
            </w:rPr>
          </w:pPr>
          <w:r>
            <w:rPr>
              <w:rFonts w:ascii="Times New Roman" w:hAnsi="Times New Roman"/>
              <w:b/>
              <w:bCs/>
              <w:sz w:val="24"/>
              <w:szCs w:val="24"/>
            </w:rPr>
            <w:t>Tasa de retribución: NA</w:t>
          </w:r>
        </w:p>
        <w:p w14:paraId="7C475FA6" w14:textId="56540B25" w:rsidR="00274429" w:rsidRDefault="3C252C0A" w:rsidP="10D44305">
          <w:pPr>
            <w:spacing w:line="259" w:lineRule="auto"/>
            <w:jc w:val="both"/>
            <w:rPr>
              <w:rFonts w:ascii="Times New Roman" w:hAnsi="Times New Roman"/>
              <w:b/>
            </w:rPr>
          </w:pPr>
          <w:r w:rsidRPr="10D44305">
            <w:rPr>
              <w:rFonts w:ascii="Times New Roman" w:hAnsi="Times New Roman"/>
              <w:b/>
              <w:bCs/>
              <w:sz w:val="24"/>
              <w:szCs w:val="24"/>
            </w:rPr>
            <w:t xml:space="preserve">d. </w:t>
          </w:r>
          <w:r w:rsidR="00274429" w:rsidRPr="00197A12">
            <w:rPr>
              <w:rFonts w:ascii="Times New Roman" w:hAnsi="Times New Roman"/>
              <w:b/>
              <w:bCs/>
              <w:sz w:val="24"/>
              <w:szCs w:val="24"/>
            </w:rPr>
            <w:t>Derechos a recibir activos especificados al final del acuerdo de concesión</w:t>
          </w:r>
        </w:p>
        <w:p w14:paraId="592D4D41" w14:textId="77777777" w:rsidR="00274429" w:rsidRDefault="00274429" w:rsidP="00274429">
          <w:pPr>
            <w:jc w:val="both"/>
            <w:rPr>
              <w:rFonts w:ascii="Times New Roman" w:hAnsi="Times New Roman"/>
              <w:sz w:val="24"/>
              <w:szCs w:val="24"/>
            </w:rPr>
          </w:pPr>
          <w:r w:rsidRPr="006D56DF">
            <w:rPr>
              <w:rFonts w:ascii="Times New Roman" w:hAnsi="Times New Roman"/>
              <w:b/>
              <w:bCs/>
              <w:sz w:val="24"/>
              <w:szCs w:val="24"/>
            </w:rPr>
            <w:t>Descripción:</w:t>
          </w:r>
          <w:r>
            <w:rPr>
              <w:rFonts w:ascii="Times New Roman" w:hAnsi="Times New Roman"/>
              <w:b/>
              <w:bCs/>
              <w:sz w:val="24"/>
              <w:szCs w:val="24"/>
            </w:rPr>
            <w:t xml:space="preserve"> </w:t>
          </w:r>
          <w:r w:rsidRPr="00086A28">
            <w:rPr>
              <w:rFonts w:ascii="Times New Roman" w:hAnsi="Times New Roman"/>
              <w:sz w:val="24"/>
              <w:szCs w:val="24"/>
            </w:rPr>
            <w:t xml:space="preserve">De acuerdo con el Artículo 8º de la Ley 1 de 1991 en el modo portuario el concesionario no tiene derechos finales sobre activos los debe revertir a la Nación al final del contrato de concesión. </w:t>
          </w:r>
        </w:p>
        <w:p w14:paraId="39F98A75" w14:textId="77777777" w:rsidR="00274429" w:rsidRPr="00351837" w:rsidRDefault="00274429" w:rsidP="00274429">
          <w:pPr>
            <w:jc w:val="both"/>
            <w:rPr>
              <w:rFonts w:ascii="Times New Roman" w:hAnsi="Times New Roman"/>
              <w:sz w:val="24"/>
              <w:szCs w:val="24"/>
            </w:rPr>
          </w:pPr>
          <w:r w:rsidRPr="006D56DF">
            <w:rPr>
              <w:rFonts w:ascii="Times New Roman" w:hAnsi="Times New Roman"/>
              <w:b/>
              <w:bCs/>
              <w:sz w:val="24"/>
              <w:szCs w:val="24"/>
            </w:rPr>
            <w:t>Observaciones:</w:t>
          </w:r>
          <w:r w:rsidRPr="009A46BB">
            <w:rPr>
              <w:rFonts w:ascii="Times New Roman" w:hAnsi="Times New Roman"/>
              <w:sz w:val="24"/>
              <w:szCs w:val="24"/>
            </w:rPr>
            <w:t xml:space="preserve"> </w:t>
          </w:r>
        </w:p>
        <w:p w14:paraId="35418E29" w14:textId="77777777" w:rsidR="00274429" w:rsidRPr="004B43C7" w:rsidRDefault="00274429" w:rsidP="00274429">
          <w:pPr>
            <w:jc w:val="both"/>
            <w:rPr>
              <w:rFonts w:ascii="Times New Roman" w:hAnsi="Times New Roman"/>
              <w:sz w:val="24"/>
              <w:szCs w:val="24"/>
            </w:rPr>
          </w:pPr>
          <w:r w:rsidRPr="004B43C7">
            <w:rPr>
              <w:rFonts w:ascii="Times New Roman" w:hAnsi="Times New Roman"/>
              <w:sz w:val="24"/>
              <w:szCs w:val="24"/>
            </w:rPr>
            <w:t xml:space="preserve">De acuerdo con lo establecido en la cláusula décima primera de la primera parte del contrato de concesión, todas las zonas de uso público, las construcciones y los inmuebles por destinación, revertirán a la Nación en optimo estado de operación, mantenimiento y de adecuada eficiencia, al extinguirse el plazo de la concesión, al declararse la caducidad o cuando se termine anticipadamente la CONCESIÓN. </w:t>
          </w:r>
        </w:p>
        <w:p w14:paraId="2EF784B3" w14:textId="77777777" w:rsidR="00274429" w:rsidRPr="005957C2" w:rsidRDefault="00274429" w:rsidP="00274429">
          <w:pPr>
            <w:jc w:val="both"/>
            <w:rPr>
              <w:rFonts w:ascii="Times New Roman" w:hAnsi="Times New Roman"/>
              <w:sz w:val="24"/>
              <w:szCs w:val="24"/>
            </w:rPr>
          </w:pPr>
          <w:r w:rsidRPr="004B43C7">
            <w:rPr>
              <w:rFonts w:ascii="Times New Roman" w:hAnsi="Times New Roman"/>
              <w:sz w:val="24"/>
              <w:szCs w:val="24"/>
            </w:rPr>
            <w:t xml:space="preserve">La ANI es la entidad concedente pero la titularidad de los activos al final de la concesión es del Instituto Nacional de Vías INVIAS. </w:t>
          </w:r>
        </w:p>
        <w:p w14:paraId="68AA9DA4" w14:textId="46916177" w:rsidR="00274429" w:rsidRDefault="4209A9B7" w:rsidP="10D44305">
          <w:pPr>
            <w:spacing w:line="259" w:lineRule="auto"/>
            <w:jc w:val="both"/>
            <w:rPr>
              <w:rFonts w:ascii="Times New Roman" w:hAnsi="Times New Roman"/>
              <w:b/>
            </w:rPr>
          </w:pPr>
          <w:r w:rsidRPr="10D44305">
            <w:rPr>
              <w:rFonts w:ascii="Times New Roman" w:hAnsi="Times New Roman"/>
              <w:b/>
              <w:bCs/>
              <w:sz w:val="24"/>
              <w:szCs w:val="24"/>
            </w:rPr>
            <w:t>e. No hay c</w:t>
          </w:r>
          <w:r w:rsidR="00274429" w:rsidRPr="10D44305">
            <w:rPr>
              <w:rFonts w:ascii="Times New Roman" w:hAnsi="Times New Roman"/>
              <w:b/>
              <w:bCs/>
              <w:sz w:val="24"/>
              <w:szCs w:val="24"/>
            </w:rPr>
            <w:t>ambios</w:t>
          </w:r>
          <w:r w:rsidR="00274429" w:rsidRPr="004B43C7">
            <w:rPr>
              <w:rFonts w:ascii="Times New Roman" w:hAnsi="Times New Roman"/>
              <w:b/>
              <w:bCs/>
              <w:sz w:val="24"/>
              <w:szCs w:val="24"/>
            </w:rPr>
            <w:t xml:space="preserve"> en el acuerdo de concesión que se realicen durante el periodo fiscal </w:t>
          </w:r>
        </w:p>
        <w:p w14:paraId="0C8E9A34" w14:textId="6DAB2AB5" w:rsidR="00274429" w:rsidRPr="00197A12" w:rsidRDefault="00274429" w:rsidP="00274429">
          <w:pPr>
            <w:spacing w:after="0" w:line="240" w:lineRule="auto"/>
            <w:jc w:val="both"/>
            <w:rPr>
              <w:rFonts w:ascii="Times New Roman" w:hAnsi="Times New Roman"/>
              <w:b/>
              <w:bCs/>
              <w:sz w:val="24"/>
              <w:szCs w:val="24"/>
            </w:rPr>
          </w:pPr>
        </w:p>
        <w:p w14:paraId="55BE6EDE" w14:textId="77777777" w:rsidR="00274429" w:rsidRDefault="00274429" w:rsidP="00274429">
          <w:pPr>
            <w:rPr>
              <w:rFonts w:ascii="Times New Roman" w:hAnsi="Times New Roman"/>
              <w:b/>
              <w:bCs/>
              <w:sz w:val="24"/>
              <w:szCs w:val="24"/>
            </w:rPr>
          </w:pPr>
        </w:p>
        <w:p w14:paraId="05B01A69" w14:textId="77777777" w:rsidR="00274429" w:rsidRDefault="00274429" w:rsidP="00274429">
          <w:pPr>
            <w:rPr>
              <w:rFonts w:ascii="Times New Roman" w:hAnsi="Times New Roman"/>
              <w:b/>
              <w:sz w:val="24"/>
              <w:szCs w:val="24"/>
            </w:rPr>
          </w:pPr>
          <w:r w:rsidRPr="10D44305">
            <w:rPr>
              <w:rFonts w:ascii="Times New Roman" w:hAnsi="Times New Roman"/>
              <w:b/>
              <w:bCs/>
              <w:sz w:val="24"/>
              <w:szCs w:val="24"/>
            </w:rPr>
            <w:t xml:space="preserve">SOCIEDAD SALINAS MARÍTIMAS DE MANAURE LIMITADA – SAMA LTDA. </w:t>
          </w:r>
        </w:p>
        <w:p w14:paraId="4FF1E6DD" w14:textId="77777777" w:rsidR="00274429" w:rsidRPr="00F67BB4" w:rsidRDefault="00274429" w:rsidP="00E60BAB">
          <w:pPr>
            <w:pStyle w:val="Prrafodelista"/>
            <w:numPr>
              <w:ilvl w:val="0"/>
              <w:numId w:val="119"/>
            </w:numPr>
            <w:spacing w:line="259" w:lineRule="auto"/>
            <w:jc w:val="both"/>
            <w:rPr>
              <w:rFonts w:ascii="Times New Roman" w:hAnsi="Times New Roman"/>
              <w:b/>
              <w:bCs/>
              <w:sz w:val="24"/>
              <w:szCs w:val="24"/>
            </w:rPr>
          </w:pPr>
          <w:r w:rsidRPr="00F67BB4">
            <w:rPr>
              <w:rFonts w:ascii="Times New Roman" w:hAnsi="Times New Roman"/>
              <w:b/>
              <w:bCs/>
              <w:sz w:val="24"/>
              <w:szCs w:val="24"/>
            </w:rPr>
            <w:t>Descripción del acuerdo</w:t>
          </w:r>
        </w:p>
        <w:p w14:paraId="0E329962" w14:textId="48BBEF63" w:rsidR="00274429" w:rsidRPr="009A46BB" w:rsidRDefault="00274429" w:rsidP="10D44305">
          <w:pPr>
            <w:spacing w:after="0"/>
            <w:rPr>
              <w:rFonts w:ascii="Times New Roman" w:hAnsi="Times New Roman"/>
              <w:sz w:val="24"/>
              <w:szCs w:val="24"/>
            </w:rPr>
          </w:pPr>
          <w:r w:rsidRPr="009A46BB">
            <w:rPr>
              <w:rFonts w:ascii="Times New Roman" w:hAnsi="Times New Roman"/>
              <w:b/>
              <w:sz w:val="24"/>
              <w:szCs w:val="24"/>
            </w:rPr>
            <w:t>Número del acuerdo de concesión:</w:t>
          </w:r>
          <w:r w:rsidR="7EC345BA" w:rsidRPr="10D44305">
            <w:rPr>
              <w:rFonts w:ascii="Times New Roman" w:hAnsi="Times New Roman"/>
              <w:b/>
              <w:bCs/>
              <w:sz w:val="24"/>
              <w:szCs w:val="24"/>
            </w:rPr>
            <w:t xml:space="preserve"> </w:t>
          </w:r>
          <w:r w:rsidRPr="009A46BB">
            <w:rPr>
              <w:rFonts w:ascii="Times New Roman" w:hAnsi="Times New Roman"/>
              <w:sz w:val="24"/>
              <w:szCs w:val="24"/>
            </w:rPr>
            <w:t>Autorización temporal Resolución No. 793 de 2007.</w:t>
          </w:r>
        </w:p>
        <w:p w14:paraId="46330A0F" w14:textId="1B40EEFE" w:rsidR="00274429" w:rsidRPr="009A46BB" w:rsidRDefault="00274429" w:rsidP="10D44305">
          <w:pPr>
            <w:spacing w:after="0"/>
            <w:jc w:val="both"/>
            <w:rPr>
              <w:rFonts w:ascii="Times New Roman" w:hAnsi="Times New Roman"/>
              <w:sz w:val="24"/>
              <w:szCs w:val="24"/>
            </w:rPr>
          </w:pPr>
          <w:r w:rsidRPr="009A46BB">
            <w:rPr>
              <w:rFonts w:ascii="Times New Roman" w:hAnsi="Times New Roman"/>
              <w:b/>
              <w:sz w:val="24"/>
              <w:szCs w:val="24"/>
            </w:rPr>
            <w:t>Objeto / Descripción</w:t>
          </w:r>
          <w:r w:rsidRPr="009A46BB">
            <w:rPr>
              <w:rFonts w:ascii="Times New Roman" w:hAnsi="Times New Roman"/>
              <w:sz w:val="24"/>
              <w:szCs w:val="24"/>
            </w:rPr>
            <w:t>:</w:t>
          </w:r>
          <w:r w:rsidR="4AF75E9F" w:rsidRPr="10D44305">
            <w:rPr>
              <w:rFonts w:ascii="Times New Roman" w:hAnsi="Times New Roman"/>
              <w:sz w:val="24"/>
              <w:szCs w:val="24"/>
            </w:rPr>
            <w:t xml:space="preserve"> </w:t>
          </w:r>
          <w:r w:rsidRPr="009A46BB">
            <w:rPr>
              <w:rFonts w:ascii="Times New Roman" w:hAnsi="Times New Roman"/>
              <w:sz w:val="24"/>
              <w:szCs w:val="24"/>
            </w:rPr>
            <w:t>La ocupación en forma temporal y exclusiva de las playas, los terrenos de bajamar y zonas accesorias a aquellas o estos junto con las instalaciones portuarias existentes en el terminal salinero de la planta de producción de Manaure, para la operación y desarrollo de actividades de servicio público, conforme lo establece el Artículo primero de la resolución 793 de 2007.</w:t>
          </w:r>
        </w:p>
        <w:p w14:paraId="2F15C9E7" w14:textId="4CEA9D39" w:rsidR="00274429" w:rsidRPr="005B6FFB" w:rsidRDefault="00274429" w:rsidP="009A46BB">
          <w:pPr>
            <w:spacing w:after="0"/>
            <w:jc w:val="both"/>
            <w:rPr>
              <w:rFonts w:ascii="Times New Roman" w:hAnsi="Times New Roman"/>
              <w:sz w:val="24"/>
              <w:szCs w:val="24"/>
            </w:rPr>
          </w:pPr>
          <w:r w:rsidRPr="00521A07">
            <w:rPr>
              <w:rFonts w:ascii="Times New Roman" w:hAnsi="Times New Roman"/>
              <w:b/>
              <w:bCs/>
              <w:sz w:val="24"/>
              <w:szCs w:val="24"/>
            </w:rPr>
            <w:t>Valor inicial:</w:t>
          </w:r>
          <w:r w:rsidR="7D7BA79A" w:rsidRPr="10D44305">
            <w:rPr>
              <w:rFonts w:ascii="Times New Roman" w:hAnsi="Times New Roman"/>
              <w:b/>
              <w:bCs/>
              <w:sz w:val="24"/>
              <w:szCs w:val="24"/>
            </w:rPr>
            <w:t xml:space="preserve"> </w:t>
          </w:r>
          <w:r w:rsidRPr="005B6FFB">
            <w:rPr>
              <w:rFonts w:ascii="Times New Roman" w:hAnsi="Times New Roman"/>
              <w:sz w:val="24"/>
              <w:szCs w:val="24"/>
            </w:rPr>
            <w:t>Valor inicial: USD $48.870 Artículo Noveno/Resolución No. 793 de 2007</w:t>
          </w:r>
        </w:p>
        <w:p w14:paraId="71EF5E55" w14:textId="77777777" w:rsidR="00274429" w:rsidRPr="005B6FFB" w:rsidRDefault="00274429" w:rsidP="009A46BB">
          <w:pPr>
            <w:spacing w:after="0"/>
            <w:jc w:val="both"/>
            <w:rPr>
              <w:rFonts w:ascii="Times New Roman" w:hAnsi="Times New Roman"/>
              <w:sz w:val="24"/>
              <w:szCs w:val="24"/>
            </w:rPr>
          </w:pPr>
          <w:r w:rsidRPr="005B6FFB">
            <w:rPr>
              <w:rFonts w:ascii="Times New Roman" w:hAnsi="Times New Roman"/>
              <w:sz w:val="24"/>
              <w:szCs w:val="24"/>
            </w:rPr>
            <w:t xml:space="preserve">Valor actualizado: USD $49.385 Artículo Cuarto/Resolución No. 387 de 2010. </w:t>
          </w:r>
        </w:p>
        <w:p w14:paraId="0702E4A9" w14:textId="77777777" w:rsidR="00274429" w:rsidRPr="005B6FFB" w:rsidRDefault="00274429" w:rsidP="009A46BB">
          <w:pPr>
            <w:spacing w:after="0"/>
            <w:jc w:val="both"/>
            <w:rPr>
              <w:rFonts w:ascii="Times New Roman" w:hAnsi="Times New Roman"/>
              <w:sz w:val="24"/>
              <w:szCs w:val="24"/>
            </w:rPr>
          </w:pPr>
          <w:r w:rsidRPr="005B6FFB">
            <w:rPr>
              <w:rFonts w:ascii="Times New Roman" w:hAnsi="Times New Roman"/>
              <w:sz w:val="24"/>
              <w:szCs w:val="24"/>
            </w:rPr>
            <w:t>USD $ 51.143 Artículo Tercero/Resolución No. 348 de 2011.</w:t>
          </w:r>
        </w:p>
        <w:p w14:paraId="150ACB96" w14:textId="77777777" w:rsidR="00274429" w:rsidRDefault="00274429" w:rsidP="009A46BB">
          <w:pPr>
            <w:spacing w:after="0"/>
            <w:jc w:val="both"/>
            <w:rPr>
              <w:rFonts w:ascii="Times New Roman" w:hAnsi="Times New Roman"/>
              <w:sz w:val="24"/>
              <w:szCs w:val="24"/>
            </w:rPr>
          </w:pPr>
          <w:r w:rsidRPr="00521A07">
            <w:rPr>
              <w:rFonts w:ascii="Times New Roman" w:hAnsi="Times New Roman"/>
              <w:b/>
              <w:bCs/>
              <w:sz w:val="24"/>
              <w:szCs w:val="24"/>
            </w:rPr>
            <w:t>Fecha de inicio:</w:t>
          </w:r>
          <w:r>
            <w:rPr>
              <w:rFonts w:ascii="Times New Roman" w:hAnsi="Times New Roman"/>
              <w:b/>
              <w:bCs/>
              <w:sz w:val="24"/>
              <w:szCs w:val="24"/>
            </w:rPr>
            <w:t xml:space="preserve"> </w:t>
          </w:r>
          <w:r>
            <w:rPr>
              <w:rFonts w:ascii="Times New Roman" w:hAnsi="Times New Roman"/>
              <w:sz w:val="24"/>
              <w:szCs w:val="24"/>
            </w:rPr>
            <w:t>19/12/2007</w:t>
          </w:r>
        </w:p>
        <w:p w14:paraId="5A310911" w14:textId="77777777" w:rsidR="00274429" w:rsidRDefault="00274429" w:rsidP="009A46BB">
          <w:pPr>
            <w:spacing w:after="0"/>
            <w:jc w:val="both"/>
            <w:rPr>
              <w:rFonts w:ascii="Times New Roman" w:hAnsi="Times New Roman"/>
              <w:sz w:val="24"/>
              <w:szCs w:val="24"/>
            </w:rPr>
          </w:pPr>
          <w:r w:rsidRPr="00521A07">
            <w:rPr>
              <w:rFonts w:ascii="Times New Roman" w:hAnsi="Times New Roman"/>
              <w:b/>
              <w:bCs/>
              <w:sz w:val="24"/>
              <w:szCs w:val="24"/>
            </w:rPr>
            <w:t>Fecha de finalización estimada:</w:t>
          </w:r>
          <w:r>
            <w:rPr>
              <w:rFonts w:ascii="Times New Roman" w:hAnsi="Times New Roman"/>
              <w:b/>
              <w:bCs/>
              <w:sz w:val="24"/>
              <w:szCs w:val="24"/>
            </w:rPr>
            <w:t xml:space="preserve"> </w:t>
          </w:r>
          <w:r>
            <w:rPr>
              <w:rFonts w:ascii="Times New Roman" w:hAnsi="Times New Roman"/>
              <w:sz w:val="24"/>
              <w:szCs w:val="24"/>
            </w:rPr>
            <w:t>06/08/2012</w:t>
          </w:r>
        </w:p>
        <w:p w14:paraId="2635A745" w14:textId="77777777" w:rsidR="00274429" w:rsidRPr="009A46BB" w:rsidRDefault="00274429" w:rsidP="009A46BB">
          <w:pPr>
            <w:spacing w:after="0"/>
            <w:jc w:val="both"/>
            <w:rPr>
              <w:rFonts w:ascii="Times New Roman" w:hAnsi="Times New Roman"/>
              <w:sz w:val="24"/>
              <w:szCs w:val="24"/>
            </w:rPr>
          </w:pPr>
          <w:r w:rsidRPr="00521A07">
            <w:rPr>
              <w:rFonts w:ascii="Times New Roman" w:hAnsi="Times New Roman"/>
              <w:b/>
              <w:bCs/>
              <w:sz w:val="24"/>
              <w:szCs w:val="24"/>
            </w:rPr>
            <w:t>Tipo ID:</w:t>
          </w:r>
          <w:r w:rsidRPr="10D44305">
            <w:rPr>
              <w:rFonts w:ascii="Times New Roman" w:hAnsi="Times New Roman"/>
              <w:sz w:val="24"/>
              <w:szCs w:val="24"/>
            </w:rPr>
            <w:t xml:space="preserve"> NIT</w:t>
          </w:r>
        </w:p>
        <w:p w14:paraId="735ED097" w14:textId="77777777" w:rsidR="00274429" w:rsidRDefault="00274429" w:rsidP="009A46BB">
          <w:pPr>
            <w:spacing w:after="0"/>
            <w:rPr>
              <w:rFonts w:ascii="Times New Roman" w:hAnsi="Times New Roman"/>
              <w:sz w:val="24"/>
              <w:szCs w:val="24"/>
            </w:rPr>
          </w:pPr>
          <w:r w:rsidRPr="00521A07">
            <w:rPr>
              <w:rFonts w:ascii="Times New Roman" w:hAnsi="Times New Roman"/>
              <w:b/>
              <w:bCs/>
              <w:sz w:val="24"/>
              <w:szCs w:val="24"/>
            </w:rPr>
            <w:t>Número ID:</w:t>
          </w:r>
          <w:r>
            <w:rPr>
              <w:rFonts w:ascii="Times New Roman" w:hAnsi="Times New Roman"/>
              <w:b/>
              <w:bCs/>
              <w:sz w:val="24"/>
              <w:szCs w:val="24"/>
            </w:rPr>
            <w:t xml:space="preserve"> </w:t>
          </w:r>
          <w:r w:rsidRPr="005B6FFB">
            <w:rPr>
              <w:rFonts w:ascii="Times New Roman" w:hAnsi="Times New Roman"/>
              <w:sz w:val="24"/>
              <w:szCs w:val="24"/>
            </w:rPr>
            <w:t xml:space="preserve">900.009.767-6 </w:t>
          </w:r>
        </w:p>
        <w:p w14:paraId="1775187C" w14:textId="60526B3A" w:rsidR="00274429" w:rsidRDefault="00274429" w:rsidP="009A46BB">
          <w:pPr>
            <w:spacing w:after="0"/>
            <w:jc w:val="both"/>
            <w:rPr>
              <w:rFonts w:ascii="Times New Roman" w:hAnsi="Times New Roman"/>
              <w:sz w:val="24"/>
              <w:szCs w:val="24"/>
            </w:rPr>
          </w:pPr>
          <w:r w:rsidRPr="00521A07">
            <w:rPr>
              <w:rFonts w:ascii="Times New Roman" w:hAnsi="Times New Roman"/>
              <w:b/>
              <w:bCs/>
              <w:sz w:val="24"/>
              <w:szCs w:val="24"/>
            </w:rPr>
            <w:t>Razón social del concesionario:</w:t>
          </w:r>
          <w:r w:rsidR="18984755" w:rsidRPr="10D44305">
            <w:rPr>
              <w:rFonts w:ascii="Times New Roman" w:hAnsi="Times New Roman"/>
              <w:b/>
              <w:bCs/>
              <w:sz w:val="24"/>
              <w:szCs w:val="24"/>
            </w:rPr>
            <w:t xml:space="preserve"> </w:t>
          </w:r>
          <w:r w:rsidRPr="009F1639">
            <w:rPr>
              <w:rFonts w:ascii="Times New Roman" w:hAnsi="Times New Roman"/>
              <w:sz w:val="24"/>
              <w:szCs w:val="24"/>
            </w:rPr>
            <w:t>Sociedad Salinas Marítimas de Manaure Limitada – SAMA LTDA</w:t>
          </w:r>
          <w:r w:rsidRPr="00F971B2">
            <w:rPr>
              <w:rFonts w:ascii="Times New Roman" w:hAnsi="Times New Roman"/>
              <w:sz w:val="24"/>
              <w:szCs w:val="24"/>
            </w:rPr>
            <w:t>.</w:t>
          </w:r>
        </w:p>
        <w:p w14:paraId="0239089E" w14:textId="0AA8B09D" w:rsidR="00274429" w:rsidRDefault="00274429" w:rsidP="009A46BB">
          <w:pPr>
            <w:spacing w:after="0"/>
            <w:rPr>
              <w:rFonts w:ascii="Times New Roman" w:hAnsi="Times New Roman"/>
              <w:sz w:val="24"/>
              <w:szCs w:val="24"/>
            </w:rPr>
          </w:pPr>
          <w:r w:rsidRPr="00521A07">
            <w:rPr>
              <w:rFonts w:ascii="Times New Roman" w:hAnsi="Times New Roman"/>
              <w:b/>
              <w:bCs/>
              <w:sz w:val="24"/>
              <w:szCs w:val="24"/>
            </w:rPr>
            <w:t>Nombre del proyecto:</w:t>
          </w:r>
          <w:r w:rsidR="5C1A577C" w:rsidRPr="10D44305">
            <w:rPr>
              <w:rFonts w:ascii="Times New Roman" w:hAnsi="Times New Roman"/>
              <w:b/>
              <w:bCs/>
              <w:sz w:val="24"/>
              <w:szCs w:val="24"/>
            </w:rPr>
            <w:t xml:space="preserve"> </w:t>
          </w:r>
          <w:r w:rsidRPr="009F1639">
            <w:rPr>
              <w:rFonts w:ascii="Times New Roman" w:hAnsi="Times New Roman"/>
              <w:sz w:val="24"/>
              <w:szCs w:val="24"/>
            </w:rPr>
            <w:t xml:space="preserve">Sociedad Salinas Marítimas de Manaure Limitada – SAMA LTDA </w:t>
          </w:r>
        </w:p>
        <w:p w14:paraId="12F81412" w14:textId="1945BA16" w:rsidR="10D44305" w:rsidRDefault="10D44305" w:rsidP="10D44305">
          <w:pPr>
            <w:spacing w:after="0"/>
            <w:rPr>
              <w:rFonts w:ascii="Times New Roman" w:hAnsi="Times New Roman"/>
              <w:sz w:val="24"/>
              <w:szCs w:val="24"/>
            </w:rPr>
          </w:pPr>
        </w:p>
        <w:p w14:paraId="610C5862" w14:textId="77777777" w:rsidR="00274429" w:rsidRPr="00F971B2" w:rsidRDefault="00274429" w:rsidP="00E60BAB">
          <w:pPr>
            <w:pStyle w:val="Prrafodelista"/>
            <w:numPr>
              <w:ilvl w:val="0"/>
              <w:numId w:val="119"/>
            </w:numPr>
            <w:spacing w:line="259" w:lineRule="auto"/>
            <w:jc w:val="both"/>
            <w:rPr>
              <w:rFonts w:ascii="Times New Roman" w:hAnsi="Times New Roman"/>
              <w:b/>
              <w:bCs/>
              <w:sz w:val="24"/>
              <w:szCs w:val="24"/>
            </w:rPr>
          </w:pPr>
          <w:r w:rsidRPr="00F67BB4">
            <w:rPr>
              <w:rFonts w:ascii="Times New Roman" w:hAnsi="Times New Roman"/>
              <w:b/>
              <w:bCs/>
              <w:sz w:val="24"/>
              <w:szCs w:val="24"/>
            </w:rPr>
            <w:t xml:space="preserve"> Términos significativos del acuerdo que puedan afectar su valor, el calendario y la</w:t>
          </w:r>
          <w:r w:rsidRPr="00F971B2">
            <w:rPr>
              <w:rFonts w:ascii="Times New Roman" w:hAnsi="Times New Roman"/>
              <w:b/>
              <w:bCs/>
              <w:sz w:val="24"/>
              <w:szCs w:val="24"/>
            </w:rPr>
            <w:t xml:space="preserve"> certeza de los flujos</w:t>
          </w:r>
        </w:p>
        <w:p w14:paraId="31A79048" w14:textId="21772A81"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valor:</w:t>
          </w:r>
        </w:p>
        <w:p w14:paraId="0456DB20" w14:textId="77777777" w:rsidR="00274429" w:rsidRDefault="00274429" w:rsidP="00274429">
          <w:pPr>
            <w:jc w:val="both"/>
            <w:rPr>
              <w:rFonts w:ascii="Times New Roman" w:hAnsi="Times New Roman"/>
              <w:sz w:val="24"/>
              <w:szCs w:val="24"/>
            </w:rPr>
          </w:pPr>
          <w:r w:rsidRPr="00FC7585">
            <w:rPr>
              <w:rFonts w:ascii="Times New Roman" w:hAnsi="Times New Roman"/>
              <w:b/>
              <w:bCs/>
              <w:sz w:val="24"/>
              <w:szCs w:val="24"/>
            </w:rPr>
            <w:t xml:space="preserve">Tarifas: </w:t>
          </w:r>
          <w:r w:rsidRPr="00F67BB4">
            <w:rPr>
              <w:rFonts w:ascii="Times New Roman" w:hAnsi="Times New Roman"/>
              <w:sz w:val="24"/>
              <w:szCs w:val="24"/>
            </w:rPr>
            <w:t>Al ser el terminal marítimo de servicio público la Ley 1 de 1991 establece que: Las sociedades portuarias que operan puertos de servicio público las tarifas requieren ser aprobadas según la metodología establecida por la Superintendencia General de Puertos hoy Superintendencia de Transporte.</w:t>
          </w:r>
        </w:p>
        <w:p w14:paraId="1320FA3F" w14:textId="73A64D42" w:rsidR="00274429" w:rsidRDefault="00274429" w:rsidP="00274429">
          <w:pPr>
            <w:jc w:val="both"/>
            <w:rPr>
              <w:rFonts w:ascii="Times New Roman" w:hAnsi="Times New Roman"/>
              <w:sz w:val="24"/>
              <w:szCs w:val="24"/>
            </w:rPr>
          </w:pPr>
          <w:r w:rsidRPr="00FC7585">
            <w:rPr>
              <w:rFonts w:ascii="Times New Roman" w:hAnsi="Times New Roman"/>
              <w:b/>
              <w:bCs/>
              <w:sz w:val="24"/>
              <w:szCs w:val="24"/>
            </w:rPr>
            <w:t xml:space="preserve">Contraprestación portuaria: </w:t>
          </w:r>
          <w:r w:rsidRPr="00F67BB4">
            <w:rPr>
              <w:rFonts w:ascii="Times New Roman" w:hAnsi="Times New Roman"/>
              <w:sz w:val="24"/>
              <w:szCs w:val="24"/>
            </w:rPr>
            <w:t>De acuerdo con el último documento contractual vigente la metodología de contraprestación vigente es CONPES 2680 DE 1993 (Productividad). Se establece en el artículo tercero de la resolución 348/2011 que el CONCESIONARIO deberá pagar por concepto de zona de uso público la suma anual de (USD 46.370,00), de dicho pago el 80% le corresponde a la Nación Instituto nacional de vías (INVIAS) y el 20% restante al municipio de Manaure Departamento de la Guajira de acuerdo con lo establecido en el parágrafo 1 del artículo 1 de la ley 856 del 21 de diciembre de 2003, que modifica el artículo 7 de la ley 1ª de 1991. Así mismo, por concepto de infraestructura el CONCESIONARIO deberá pagar la suma anual de (USD 4.773.,00), el cual corresponde en un 100% a la Nación - Instituto Nacional de Vías (INVIAS) de acuerdo con lo establecido en el artículo 1 de la ley 856 del 21 diciembre de 2003.</w:t>
          </w:r>
        </w:p>
        <w:p w14:paraId="732D0F63" w14:textId="77777777" w:rsidR="00274429" w:rsidRDefault="00274429" w:rsidP="00274429">
          <w:pPr>
            <w:jc w:val="both"/>
            <w:rPr>
              <w:rFonts w:ascii="Times New Roman" w:hAnsi="Times New Roman"/>
              <w:sz w:val="24"/>
              <w:szCs w:val="24"/>
            </w:rPr>
          </w:pPr>
          <w:r w:rsidRPr="00F67BB4">
            <w:rPr>
              <w:rFonts w:ascii="Times New Roman" w:hAnsi="Times New Roman"/>
              <w:sz w:val="24"/>
              <w:szCs w:val="24"/>
            </w:rPr>
            <w:t>La Sociedad Salinas Marítimas de Manaure Ltda. – SAMA LTDA no realizó el pago y que por tanto mediante Resolución No. 468 de fecha 28 de marzo de 2016 se declaró el incumplimiento</w:t>
          </w:r>
        </w:p>
        <w:p w14:paraId="22B43444" w14:textId="77777777" w:rsidR="00274429" w:rsidRDefault="00274429" w:rsidP="00274429">
          <w:pPr>
            <w:jc w:val="both"/>
            <w:rPr>
              <w:rFonts w:ascii="Times New Roman" w:hAnsi="Times New Roman"/>
              <w:sz w:val="24"/>
              <w:szCs w:val="24"/>
            </w:rPr>
          </w:pPr>
          <w:r w:rsidRPr="00FC7585">
            <w:rPr>
              <w:rFonts w:ascii="Times New Roman" w:hAnsi="Times New Roman"/>
              <w:b/>
              <w:bCs/>
              <w:sz w:val="24"/>
              <w:szCs w:val="24"/>
            </w:rPr>
            <w:t xml:space="preserve">Obligaciones del CONCESIONARIO: </w:t>
          </w:r>
          <w:r w:rsidRPr="00F67BB4">
            <w:rPr>
              <w:rFonts w:ascii="Times New Roman" w:hAnsi="Times New Roman"/>
              <w:sz w:val="24"/>
              <w:szCs w:val="24"/>
            </w:rPr>
            <w:t>Lo establecido en el Artículo Tercero de la Resolución 387/2010, Artículo Segundo de la Resolución 348/2011 y Artículo Tercero de la Resolución 348/2011.</w:t>
          </w:r>
        </w:p>
        <w:p w14:paraId="7645CC5F" w14:textId="77777777" w:rsidR="00274429" w:rsidRDefault="00274429" w:rsidP="00274429">
          <w:pPr>
            <w:jc w:val="both"/>
            <w:rPr>
              <w:rFonts w:ascii="Times New Roman" w:hAnsi="Times New Roman"/>
              <w:sz w:val="24"/>
              <w:szCs w:val="24"/>
            </w:rPr>
          </w:pPr>
          <w:r w:rsidRPr="009A46BB">
            <w:rPr>
              <w:rStyle w:val="normaltextrun"/>
              <w:rFonts w:ascii="Times New Roman" w:hAnsi="Times New Roman"/>
              <w:color w:val="000000"/>
              <w:sz w:val="24"/>
              <w:szCs w:val="24"/>
              <w:bdr w:val="none" w:sz="0" w:space="0" w:color="auto" w:frame="1"/>
            </w:rPr>
            <w:t xml:space="preserve">Multas y sanciones: </w:t>
          </w:r>
          <w:r w:rsidRPr="00F67BB4">
            <w:rPr>
              <w:rFonts w:ascii="Times New Roman" w:hAnsi="Times New Roman"/>
              <w:sz w:val="24"/>
              <w:szCs w:val="24"/>
            </w:rPr>
            <w:t>Mediante la Resolución No. 468 de fecha 28 de marzo de 2016 se declaró multa por valor de $ 658.168.549,00 actualizada a valor de $ 783.941.018 a agosto de 2021. Que este valor fue comunicado a la SuperSociedades en virtud del acuerdo de reestructuración y del cual la Entidad solicito ante SuperSociedades ser parte de los acreedores.</w:t>
          </w:r>
        </w:p>
        <w:p w14:paraId="6EBE5723" w14:textId="77777777" w:rsidR="00274429" w:rsidRDefault="00274429" w:rsidP="00274429">
          <w:pPr>
            <w:jc w:val="both"/>
            <w:rPr>
              <w:rFonts w:ascii="Times New Roman" w:hAnsi="Times New Roman"/>
              <w:b/>
              <w:bCs/>
              <w:sz w:val="24"/>
              <w:szCs w:val="24"/>
            </w:rPr>
          </w:pPr>
          <w:r w:rsidRPr="004C1095">
            <w:rPr>
              <w:rFonts w:ascii="Times New Roman" w:hAnsi="Times New Roman"/>
              <w:b/>
              <w:bCs/>
              <w:sz w:val="24"/>
              <w:szCs w:val="24"/>
            </w:rPr>
            <w:t>Términos de calendario:</w:t>
          </w:r>
        </w:p>
        <w:p w14:paraId="1721D905" w14:textId="77777777" w:rsidR="00274429" w:rsidRPr="009A46BB" w:rsidRDefault="00274429" w:rsidP="00274429">
          <w:pPr>
            <w:jc w:val="both"/>
            <w:rPr>
              <w:rStyle w:val="Estilo3"/>
              <w:szCs w:val="24"/>
            </w:rPr>
          </w:pPr>
          <w:r w:rsidRPr="009A46BB">
            <w:rPr>
              <w:rStyle w:val="Estilo3"/>
              <w:szCs w:val="24"/>
            </w:rPr>
            <w:t>Tarifas: Aprobadas según la metodología establecida por la Superintendencia General de Puertos hoy Superintendencia de Transporte.</w:t>
          </w:r>
        </w:p>
        <w:p w14:paraId="088F5FAC" w14:textId="77777777" w:rsidR="00274429" w:rsidRPr="009A46BB" w:rsidRDefault="00274429" w:rsidP="00274429">
          <w:pPr>
            <w:jc w:val="both"/>
            <w:rPr>
              <w:rStyle w:val="Estilo3"/>
              <w:szCs w:val="24"/>
            </w:rPr>
          </w:pPr>
          <w:r w:rsidRPr="009A46BB">
            <w:rPr>
              <w:rStyle w:val="Estilo3"/>
              <w:szCs w:val="24"/>
            </w:rPr>
            <w:t>Contraprestación portuaria: la contraprestación se debe pagar de manera anticipada anual desde el mes de julio de cada año.</w:t>
          </w:r>
        </w:p>
        <w:p w14:paraId="7F560E91" w14:textId="77777777"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certeza de flujos de efectivo futuros:</w:t>
          </w:r>
          <w:r>
            <w:rPr>
              <w:rFonts w:ascii="Times New Roman" w:hAnsi="Times New Roman"/>
              <w:b/>
              <w:bCs/>
              <w:sz w:val="24"/>
              <w:szCs w:val="24"/>
            </w:rPr>
            <w:t xml:space="preserve"> NA</w:t>
          </w:r>
        </w:p>
        <w:p w14:paraId="2379BCA6" w14:textId="77777777" w:rsidR="00274429" w:rsidRPr="00A9091A" w:rsidRDefault="00274429" w:rsidP="00E60BAB">
          <w:pPr>
            <w:pStyle w:val="Prrafodelista"/>
            <w:numPr>
              <w:ilvl w:val="0"/>
              <w:numId w:val="119"/>
            </w:numPr>
            <w:spacing w:line="259" w:lineRule="auto"/>
            <w:jc w:val="both"/>
            <w:rPr>
              <w:rFonts w:ascii="Times New Roman" w:hAnsi="Times New Roman"/>
              <w:b/>
              <w:bCs/>
              <w:sz w:val="24"/>
              <w:szCs w:val="24"/>
            </w:rPr>
          </w:pPr>
          <w:r w:rsidRPr="00A9091A">
            <w:rPr>
              <w:rFonts w:ascii="Times New Roman" w:hAnsi="Times New Roman"/>
              <w:b/>
              <w:bCs/>
              <w:sz w:val="24"/>
              <w:szCs w:val="24"/>
            </w:rPr>
            <w:t xml:space="preserve">Naturaleza y alcance del derecho a utilizar activos especificados, de los aspectos pactados en torno a lo que se espera que el concesionario proporcione en relación </w:t>
          </w:r>
          <w:r w:rsidRPr="00A9091A">
            <w:rPr>
              <w:rFonts w:ascii="Times New Roman" w:hAnsi="Times New Roman"/>
              <w:b/>
              <w:bCs/>
              <w:sz w:val="24"/>
              <w:szCs w:val="24"/>
            </w:rPr>
            <w:lastRenderedPageBreak/>
            <w:t>con el acuerdo de concesión (Se requiere ser breves, precisos, y concisos en la redacción)</w:t>
          </w:r>
        </w:p>
        <w:p w14:paraId="1046FC68" w14:textId="77777777" w:rsidR="00274429" w:rsidRDefault="00274429" w:rsidP="00274429">
          <w:pPr>
            <w:jc w:val="both"/>
            <w:rPr>
              <w:rFonts w:ascii="Times New Roman" w:hAnsi="Times New Roman"/>
              <w:b/>
              <w:bCs/>
              <w:sz w:val="24"/>
              <w:szCs w:val="24"/>
            </w:rPr>
          </w:pPr>
          <w:r w:rsidRPr="00217110">
            <w:rPr>
              <w:rFonts w:ascii="Times New Roman" w:hAnsi="Times New Roman"/>
              <w:b/>
              <w:bCs/>
              <w:sz w:val="24"/>
              <w:szCs w:val="24"/>
            </w:rPr>
            <w:t>Naturaleza y alcance del derecho de uso de los activos</w:t>
          </w:r>
        </w:p>
        <w:p w14:paraId="0E4DDBEE" w14:textId="4DEED83C" w:rsidR="00274429" w:rsidRDefault="00274429" w:rsidP="00274429">
          <w:pPr>
            <w:jc w:val="both"/>
            <w:rPr>
              <w:rFonts w:ascii="Times New Roman" w:hAnsi="Times New Roman"/>
              <w:b/>
              <w:bCs/>
              <w:sz w:val="24"/>
              <w:szCs w:val="24"/>
            </w:rPr>
          </w:pPr>
          <w:r w:rsidRPr="003E5FA9">
            <w:rPr>
              <w:rFonts w:ascii="Times New Roman" w:hAnsi="Times New Roman"/>
              <w:b/>
              <w:bCs/>
              <w:sz w:val="24"/>
              <w:szCs w:val="24"/>
            </w:rPr>
            <w:t>Descripción:</w:t>
          </w:r>
        </w:p>
        <w:p w14:paraId="5BFAEB23"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 xml:space="preserve">Descripción del proyecto, especificaciones técnicas, modalidades de operación: las condiciones especiales de operación están establecidas en el Artículo Cuarto de la Resolución No. 793 de 2007. </w:t>
          </w:r>
        </w:p>
        <w:p w14:paraId="441B87F7"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Área entregada en concesión: La descripción de la ubicación, linderos y extensión de los bienes de uso público (playas y terrenos de baja mar, zonas marítimas accesorias de maniobras) entregados en concesión están establecidos en el Artículo Segundo de la Resolución No. 793 de 2007.</w:t>
          </w:r>
        </w:p>
        <w:p w14:paraId="6F3BD7EF" w14:textId="5EEA47FE"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Infraestructura y equipos entregados mediante la autorización temporal: En el Artículo Quinto de la Resolución No. 793 de 2007, se describe que lo entregado así:</w:t>
          </w:r>
        </w:p>
        <w:p w14:paraId="65D7D76B"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Infraestructura: viaducto de 510 metros de longitud, plataforma de servicio, dos (2) piñas de atraque, dos (2) piñas de amarre, escaleras metálicas/madera, banda transportadora, soporte estructura banda.</w:t>
          </w:r>
        </w:p>
        <w:p w14:paraId="24701DC8" w14:textId="77777777" w:rsidR="00274429" w:rsidRPr="009A46BB" w:rsidRDefault="00274429" w:rsidP="00274429">
          <w:pPr>
            <w:jc w:val="both"/>
            <w:rPr>
              <w:rFonts w:ascii="Times New Roman" w:hAnsi="Times New Roman"/>
              <w:sz w:val="24"/>
              <w:szCs w:val="24"/>
            </w:rPr>
          </w:pPr>
          <w:r w:rsidRPr="009A46BB">
            <w:rPr>
              <w:rFonts w:ascii="Times New Roman" w:hAnsi="Times New Roman"/>
              <w:sz w:val="24"/>
              <w:szCs w:val="24"/>
            </w:rPr>
            <w:t xml:space="preserve">Equipos: Banda Transportadora con capacidad de diseño de 400 ton/hora. </w:t>
          </w:r>
        </w:p>
        <w:p w14:paraId="7C33496F" w14:textId="77777777" w:rsidR="00274429" w:rsidRDefault="00274429" w:rsidP="00274429">
          <w:pPr>
            <w:jc w:val="both"/>
            <w:rPr>
              <w:rFonts w:ascii="Times New Roman" w:hAnsi="Times New Roman"/>
              <w:b/>
              <w:bCs/>
              <w:sz w:val="24"/>
              <w:szCs w:val="24"/>
            </w:rPr>
          </w:pPr>
          <w:r w:rsidRPr="003E5FA9">
            <w:rPr>
              <w:rFonts w:ascii="Times New Roman" w:hAnsi="Times New Roman"/>
              <w:b/>
              <w:bCs/>
              <w:sz w:val="24"/>
              <w:szCs w:val="24"/>
            </w:rPr>
            <w:t>Observaciones:</w:t>
          </w:r>
          <w:r>
            <w:rPr>
              <w:rFonts w:ascii="Times New Roman" w:hAnsi="Times New Roman"/>
              <w:b/>
              <w:bCs/>
              <w:sz w:val="24"/>
              <w:szCs w:val="24"/>
            </w:rPr>
            <w:t xml:space="preserve"> NA</w:t>
          </w:r>
        </w:p>
        <w:p w14:paraId="569527FA" w14:textId="77777777" w:rsidR="00274429" w:rsidRDefault="00274429" w:rsidP="00274429">
          <w:pPr>
            <w:jc w:val="both"/>
            <w:rPr>
              <w:rFonts w:ascii="Times New Roman" w:hAnsi="Times New Roman"/>
              <w:b/>
              <w:bCs/>
              <w:sz w:val="24"/>
              <w:szCs w:val="24"/>
            </w:rPr>
          </w:pPr>
          <w:r>
            <w:rPr>
              <w:rFonts w:ascii="Times New Roman" w:hAnsi="Times New Roman"/>
              <w:b/>
              <w:bCs/>
              <w:sz w:val="24"/>
              <w:szCs w:val="24"/>
            </w:rPr>
            <w:t>Retribución al Concesionario</w:t>
          </w:r>
        </w:p>
        <w:p w14:paraId="332B7704" w14:textId="77777777" w:rsidR="00274429" w:rsidRPr="00344762" w:rsidRDefault="00274429" w:rsidP="00274429">
          <w:pPr>
            <w:jc w:val="both"/>
            <w:rPr>
              <w:rFonts w:ascii="Times New Roman" w:hAnsi="Times New Roman"/>
              <w:sz w:val="24"/>
              <w:szCs w:val="24"/>
            </w:rPr>
          </w:pPr>
          <w:r w:rsidRPr="002F1782">
            <w:rPr>
              <w:rFonts w:ascii="Times New Roman" w:hAnsi="Times New Roman"/>
              <w:b/>
              <w:bCs/>
              <w:sz w:val="24"/>
              <w:szCs w:val="24"/>
            </w:rPr>
            <w:t xml:space="preserve">Descripción: </w:t>
          </w:r>
          <w:r w:rsidRPr="00344762">
            <w:rPr>
              <w:rFonts w:ascii="Times New Roman" w:hAnsi="Times New Roman"/>
              <w:sz w:val="24"/>
              <w:szCs w:val="24"/>
            </w:rPr>
            <w:t>Artículo Primero de la Resolución No. 793 de 2007: Se otorga a EL CONCESIONARIO la ocupación en forma temporal y exclusiva de las playas, los terrenos de bajamar y zonas accesorias a aquellas o estos estos junto con las instalaciones portuarias existentes en el terminal salinero de la planta de producción de Manaure, descritos en el Artículo Quinto de la mencionada resolución, a cambio de la contraprestación económica descrita en el Artículo Tercero de la Resolución No. 348 de 2011.</w:t>
          </w:r>
        </w:p>
        <w:p w14:paraId="25819C16" w14:textId="77777777" w:rsidR="00274429" w:rsidRPr="00351837" w:rsidRDefault="00274429" w:rsidP="00274429">
          <w:pPr>
            <w:jc w:val="both"/>
            <w:rPr>
              <w:rFonts w:ascii="Times New Roman" w:hAnsi="Times New Roman"/>
              <w:b/>
              <w:bCs/>
              <w:sz w:val="24"/>
              <w:szCs w:val="24"/>
            </w:rPr>
          </w:pPr>
          <w:r>
            <w:rPr>
              <w:rFonts w:ascii="Times New Roman" w:hAnsi="Times New Roman"/>
              <w:b/>
              <w:bCs/>
              <w:sz w:val="24"/>
              <w:szCs w:val="24"/>
            </w:rPr>
            <w:t>Tasa de retribución: NA</w:t>
          </w:r>
        </w:p>
        <w:p w14:paraId="784DC457" w14:textId="77777777" w:rsidR="00274429" w:rsidRPr="00421699" w:rsidRDefault="00274429" w:rsidP="00E60BAB">
          <w:pPr>
            <w:pStyle w:val="Prrafodelista"/>
            <w:numPr>
              <w:ilvl w:val="0"/>
              <w:numId w:val="119"/>
            </w:numPr>
            <w:spacing w:line="259" w:lineRule="auto"/>
            <w:jc w:val="both"/>
            <w:rPr>
              <w:rFonts w:ascii="Times New Roman" w:hAnsi="Times New Roman"/>
              <w:b/>
              <w:bCs/>
              <w:sz w:val="24"/>
              <w:szCs w:val="24"/>
            </w:rPr>
          </w:pPr>
          <w:r w:rsidRPr="00421699">
            <w:rPr>
              <w:rFonts w:ascii="Times New Roman" w:hAnsi="Times New Roman"/>
              <w:b/>
              <w:bCs/>
              <w:sz w:val="24"/>
              <w:szCs w:val="24"/>
            </w:rPr>
            <w:t>Derechos a recibir activos especificados al final del acuerdo de concesión</w:t>
          </w:r>
        </w:p>
        <w:p w14:paraId="5A724154" w14:textId="77777777" w:rsidR="00274429" w:rsidRDefault="00274429" w:rsidP="00274429">
          <w:pPr>
            <w:jc w:val="both"/>
            <w:rPr>
              <w:rFonts w:ascii="Times New Roman" w:hAnsi="Times New Roman"/>
              <w:sz w:val="24"/>
              <w:szCs w:val="24"/>
            </w:rPr>
          </w:pPr>
          <w:r w:rsidRPr="006D56DF">
            <w:rPr>
              <w:rFonts w:ascii="Times New Roman" w:hAnsi="Times New Roman"/>
              <w:b/>
              <w:bCs/>
              <w:sz w:val="24"/>
              <w:szCs w:val="24"/>
            </w:rPr>
            <w:t>Descripción:</w:t>
          </w:r>
          <w:r>
            <w:rPr>
              <w:rFonts w:ascii="Times New Roman" w:hAnsi="Times New Roman"/>
              <w:b/>
              <w:bCs/>
              <w:sz w:val="24"/>
              <w:szCs w:val="24"/>
            </w:rPr>
            <w:t xml:space="preserve"> </w:t>
          </w:r>
          <w:r w:rsidRPr="00086A28">
            <w:rPr>
              <w:rFonts w:ascii="Times New Roman" w:hAnsi="Times New Roman"/>
              <w:sz w:val="24"/>
              <w:szCs w:val="24"/>
            </w:rPr>
            <w:t xml:space="preserve">De acuerdo con el Artículo 8º de la Ley 1 de 1991 en el modo portuario el concesionario no tiene derechos finales sobre activos los debe revertir a la Nación al final del contrato de concesión. </w:t>
          </w:r>
        </w:p>
        <w:p w14:paraId="6C4119F1" w14:textId="77777777" w:rsidR="00274429" w:rsidRPr="00351837" w:rsidRDefault="00274429" w:rsidP="00274429">
          <w:pPr>
            <w:jc w:val="both"/>
            <w:rPr>
              <w:rFonts w:ascii="Times New Roman" w:hAnsi="Times New Roman"/>
              <w:sz w:val="24"/>
              <w:szCs w:val="24"/>
            </w:rPr>
          </w:pPr>
          <w:r w:rsidRPr="006D56DF">
            <w:rPr>
              <w:rFonts w:ascii="Times New Roman" w:hAnsi="Times New Roman"/>
              <w:b/>
              <w:bCs/>
              <w:sz w:val="24"/>
              <w:szCs w:val="24"/>
            </w:rPr>
            <w:t>Observaciones:</w:t>
          </w:r>
          <w:r w:rsidRPr="009A46BB">
            <w:rPr>
              <w:rFonts w:ascii="Times New Roman" w:hAnsi="Times New Roman"/>
              <w:sz w:val="24"/>
              <w:szCs w:val="24"/>
            </w:rPr>
            <w:t xml:space="preserve"> </w:t>
          </w:r>
        </w:p>
        <w:p w14:paraId="188D1802" w14:textId="77777777" w:rsidR="00274429" w:rsidRPr="00344762" w:rsidRDefault="00274429" w:rsidP="00274429">
          <w:pPr>
            <w:jc w:val="both"/>
            <w:rPr>
              <w:rFonts w:ascii="Times New Roman" w:hAnsi="Times New Roman"/>
              <w:sz w:val="24"/>
              <w:szCs w:val="24"/>
            </w:rPr>
          </w:pPr>
          <w:r w:rsidRPr="00344762">
            <w:rPr>
              <w:rFonts w:ascii="Times New Roman" w:hAnsi="Times New Roman"/>
              <w:sz w:val="24"/>
              <w:szCs w:val="24"/>
            </w:rPr>
            <w:t>Reversión: De acuerdo con lo establecido en el Artículo Tercero de la Resolución No. 387 de 2010, dentro de los noventa (90) días siguientes al vencimiento de la Autorización Temporal, deberá revertir a la Nación las playas, los terrenos de bajamar y zonas accesorias a aquellas y las construcciones e inmuebles por destinación que se encuentren habitualmente instalados, en los términos establecidos en el artículo 8 de la Ley 1° de 1991.</w:t>
          </w:r>
        </w:p>
        <w:p w14:paraId="77DEB61A" w14:textId="77777777" w:rsidR="00274429" w:rsidRPr="00344762" w:rsidRDefault="00274429" w:rsidP="00274429">
          <w:pPr>
            <w:jc w:val="both"/>
            <w:rPr>
              <w:rFonts w:ascii="Times New Roman" w:hAnsi="Times New Roman"/>
              <w:sz w:val="24"/>
              <w:szCs w:val="24"/>
            </w:rPr>
          </w:pPr>
          <w:r w:rsidRPr="00344762">
            <w:rPr>
              <w:rFonts w:ascii="Times New Roman" w:hAnsi="Times New Roman"/>
              <w:sz w:val="24"/>
              <w:szCs w:val="24"/>
            </w:rPr>
            <w:lastRenderedPageBreak/>
            <w:t>La ANI es la entidad concedente pero la titularidad de los activos al final de la concesión es del Instituto Nacional de Vías INVIAS.</w:t>
          </w:r>
        </w:p>
        <w:p w14:paraId="35FCF82F" w14:textId="77777777" w:rsidR="00274429" w:rsidRPr="004B43C7" w:rsidRDefault="00274429" w:rsidP="00274429">
          <w:pPr>
            <w:jc w:val="both"/>
            <w:rPr>
              <w:rFonts w:ascii="Times New Roman" w:hAnsi="Times New Roman"/>
              <w:sz w:val="24"/>
              <w:szCs w:val="24"/>
            </w:rPr>
          </w:pPr>
          <w:r w:rsidRPr="00344762">
            <w:rPr>
              <w:rFonts w:ascii="Times New Roman" w:hAnsi="Times New Roman"/>
              <w:sz w:val="24"/>
              <w:szCs w:val="24"/>
            </w:rPr>
            <w:t>A la fecha la Agencia ha adelantado los mecanismos más expeditos tendientes a la recuperación de las Zonas de Uso Público e infraestructura que a la fecha se encuentran en ocupación irregular y abandono por parte de la Sociedad Salinas Marítimas de Manaure Limitada – SAMA LTDA.</w:t>
          </w:r>
        </w:p>
        <w:p w14:paraId="44C9FCEA" w14:textId="77777777" w:rsidR="00274429" w:rsidRPr="00197A12" w:rsidRDefault="00274429" w:rsidP="00274429">
          <w:pPr>
            <w:spacing w:after="0" w:line="240" w:lineRule="auto"/>
            <w:jc w:val="both"/>
            <w:rPr>
              <w:rFonts w:ascii="Times New Roman" w:hAnsi="Times New Roman"/>
              <w:b/>
              <w:bCs/>
              <w:sz w:val="24"/>
              <w:szCs w:val="24"/>
            </w:rPr>
          </w:pPr>
        </w:p>
        <w:p w14:paraId="13F86EAF" w14:textId="069210F8" w:rsidR="00274429" w:rsidRDefault="081522D2" w:rsidP="00E60BAB">
          <w:pPr>
            <w:pStyle w:val="Prrafodelista"/>
            <w:numPr>
              <w:ilvl w:val="0"/>
              <w:numId w:val="119"/>
            </w:numPr>
            <w:spacing w:line="259" w:lineRule="auto"/>
            <w:jc w:val="both"/>
            <w:rPr>
              <w:rFonts w:ascii="Times New Roman" w:hAnsi="Times New Roman"/>
              <w:b/>
              <w:bCs/>
              <w:sz w:val="24"/>
              <w:szCs w:val="24"/>
            </w:rPr>
          </w:pPr>
          <w:r w:rsidRPr="10D44305">
            <w:rPr>
              <w:rFonts w:ascii="Times New Roman" w:hAnsi="Times New Roman"/>
              <w:b/>
              <w:bCs/>
              <w:sz w:val="24"/>
              <w:szCs w:val="24"/>
            </w:rPr>
            <w:t>No hay c</w:t>
          </w:r>
          <w:r w:rsidR="00274429" w:rsidRPr="10D44305">
            <w:rPr>
              <w:rFonts w:ascii="Times New Roman" w:hAnsi="Times New Roman"/>
              <w:b/>
              <w:bCs/>
              <w:sz w:val="24"/>
              <w:szCs w:val="24"/>
            </w:rPr>
            <w:t>ambios</w:t>
          </w:r>
          <w:r w:rsidR="00274429" w:rsidRPr="004B43C7">
            <w:rPr>
              <w:rFonts w:ascii="Times New Roman" w:hAnsi="Times New Roman"/>
              <w:b/>
              <w:bCs/>
              <w:sz w:val="24"/>
              <w:szCs w:val="24"/>
            </w:rPr>
            <w:t xml:space="preserve"> en el acuerdo de concesión que se realicen durante el periodo fiscal </w:t>
          </w:r>
        </w:p>
        <w:p w14:paraId="3CBAE29A" w14:textId="77777777" w:rsidR="00274429" w:rsidRPr="00421699" w:rsidRDefault="00274429" w:rsidP="00274429">
          <w:pPr>
            <w:pStyle w:val="Prrafodelista"/>
            <w:jc w:val="both"/>
            <w:rPr>
              <w:rFonts w:ascii="Times New Roman" w:hAnsi="Times New Roman"/>
              <w:b/>
              <w:bCs/>
              <w:sz w:val="24"/>
              <w:szCs w:val="24"/>
            </w:rPr>
          </w:pPr>
        </w:p>
        <w:p w14:paraId="5F130593" w14:textId="77777777" w:rsidR="00274429" w:rsidRPr="00197A12" w:rsidRDefault="00274429" w:rsidP="00274429">
          <w:pPr>
            <w:spacing w:after="0" w:line="240" w:lineRule="auto"/>
            <w:jc w:val="both"/>
            <w:rPr>
              <w:rFonts w:ascii="Times New Roman" w:hAnsi="Times New Roman"/>
              <w:b/>
              <w:bCs/>
              <w:sz w:val="24"/>
              <w:szCs w:val="24"/>
            </w:rPr>
          </w:pPr>
        </w:p>
        <w:p w14:paraId="77C9C259" w14:textId="77777777" w:rsidR="00274429" w:rsidRPr="00197A12" w:rsidRDefault="00274429" w:rsidP="00274429">
          <w:pPr>
            <w:spacing w:after="0" w:line="240" w:lineRule="auto"/>
            <w:jc w:val="both"/>
            <w:rPr>
              <w:rFonts w:ascii="Times New Roman" w:hAnsi="Times New Roman"/>
              <w:b/>
              <w:bCs/>
              <w:sz w:val="24"/>
              <w:szCs w:val="24"/>
            </w:rPr>
          </w:pPr>
        </w:p>
        <w:p w14:paraId="1231CA65" w14:textId="77777777" w:rsidR="00274429" w:rsidRDefault="00274429" w:rsidP="00274429">
          <w:pPr>
            <w:rPr>
              <w:rFonts w:ascii="Times New Roman" w:hAnsi="Times New Roman"/>
              <w:b/>
              <w:sz w:val="24"/>
              <w:szCs w:val="24"/>
            </w:rPr>
          </w:pPr>
          <w:r w:rsidRPr="10D44305">
            <w:rPr>
              <w:rFonts w:ascii="Times New Roman" w:hAnsi="Times New Roman"/>
              <w:b/>
              <w:bCs/>
              <w:sz w:val="24"/>
              <w:szCs w:val="24"/>
            </w:rPr>
            <w:t xml:space="preserve"> SOCIEDAD ROMERO Y BURGOS CIA. </w:t>
          </w:r>
          <w:r w:rsidRPr="10D44305">
            <w:rPr>
              <w:rFonts w:ascii="Times New Roman" w:hAnsi="Times New Roman"/>
              <w:b/>
              <w:sz w:val="24"/>
              <w:szCs w:val="24"/>
            </w:rPr>
            <w:t xml:space="preserve">S. </w:t>
          </w:r>
          <w:r w:rsidRPr="10D44305">
            <w:rPr>
              <w:rFonts w:ascii="Times New Roman" w:hAnsi="Times New Roman"/>
              <w:b/>
              <w:bCs/>
              <w:sz w:val="24"/>
              <w:szCs w:val="24"/>
            </w:rPr>
            <w:t>EN</w:t>
          </w:r>
          <w:r w:rsidRPr="10D44305">
            <w:rPr>
              <w:rFonts w:ascii="Times New Roman" w:hAnsi="Times New Roman"/>
              <w:b/>
              <w:sz w:val="24"/>
              <w:szCs w:val="24"/>
            </w:rPr>
            <w:t xml:space="preserve"> C. </w:t>
          </w:r>
        </w:p>
        <w:p w14:paraId="1B2E3420" w14:textId="77777777" w:rsidR="00274429" w:rsidRPr="00F67BB4" w:rsidRDefault="00274429" w:rsidP="00E60BAB">
          <w:pPr>
            <w:pStyle w:val="Prrafodelista"/>
            <w:numPr>
              <w:ilvl w:val="0"/>
              <w:numId w:val="120"/>
            </w:numPr>
            <w:spacing w:line="259" w:lineRule="auto"/>
            <w:jc w:val="both"/>
            <w:rPr>
              <w:rFonts w:ascii="Times New Roman" w:hAnsi="Times New Roman"/>
              <w:b/>
              <w:bCs/>
              <w:sz w:val="24"/>
              <w:szCs w:val="24"/>
            </w:rPr>
          </w:pPr>
          <w:r w:rsidRPr="00F67BB4">
            <w:rPr>
              <w:rFonts w:ascii="Times New Roman" w:hAnsi="Times New Roman"/>
              <w:b/>
              <w:bCs/>
              <w:sz w:val="24"/>
              <w:szCs w:val="24"/>
            </w:rPr>
            <w:t>Descripción del acuerdo</w:t>
          </w:r>
        </w:p>
        <w:p w14:paraId="56926247" w14:textId="1A10532C" w:rsidR="00274429" w:rsidRPr="009A46BB" w:rsidRDefault="00274429" w:rsidP="10D44305">
          <w:pPr>
            <w:spacing w:after="0"/>
            <w:rPr>
              <w:rFonts w:ascii="Times New Roman" w:hAnsi="Times New Roman"/>
              <w:sz w:val="24"/>
              <w:szCs w:val="24"/>
            </w:rPr>
          </w:pPr>
          <w:r w:rsidRPr="009A46BB">
            <w:rPr>
              <w:rFonts w:ascii="Times New Roman" w:hAnsi="Times New Roman"/>
              <w:b/>
              <w:sz w:val="24"/>
              <w:szCs w:val="24"/>
            </w:rPr>
            <w:t>Número del acuerdo de concesión:</w:t>
          </w:r>
          <w:r w:rsidR="2AB899E2" w:rsidRPr="10D44305">
            <w:rPr>
              <w:rFonts w:ascii="Times New Roman" w:hAnsi="Times New Roman"/>
              <w:b/>
              <w:bCs/>
              <w:sz w:val="24"/>
              <w:szCs w:val="24"/>
            </w:rPr>
            <w:t xml:space="preserve"> </w:t>
          </w:r>
          <w:r w:rsidRPr="009A46BB">
            <w:rPr>
              <w:rFonts w:ascii="Times New Roman" w:hAnsi="Times New Roman"/>
              <w:sz w:val="24"/>
              <w:szCs w:val="24"/>
            </w:rPr>
            <w:t xml:space="preserve">Resolución No. 519 de 1997. </w:t>
          </w:r>
        </w:p>
        <w:p w14:paraId="48D10F8A" w14:textId="039DD46C" w:rsidR="00274429" w:rsidRPr="009A46BB" w:rsidRDefault="00274429" w:rsidP="10D44305">
          <w:pPr>
            <w:spacing w:after="0"/>
            <w:jc w:val="both"/>
            <w:rPr>
              <w:rFonts w:ascii="Times New Roman" w:hAnsi="Times New Roman"/>
              <w:sz w:val="24"/>
              <w:szCs w:val="24"/>
            </w:rPr>
          </w:pPr>
          <w:r w:rsidRPr="009A46BB">
            <w:rPr>
              <w:rFonts w:ascii="Times New Roman" w:hAnsi="Times New Roman"/>
              <w:b/>
              <w:sz w:val="24"/>
              <w:szCs w:val="24"/>
            </w:rPr>
            <w:t>Objeto / Descripción</w:t>
          </w:r>
          <w:r w:rsidRPr="009A46BB">
            <w:rPr>
              <w:rFonts w:ascii="Times New Roman" w:hAnsi="Times New Roman"/>
              <w:sz w:val="24"/>
              <w:szCs w:val="24"/>
            </w:rPr>
            <w:t>:</w:t>
          </w:r>
          <w:r w:rsidR="0C89700E" w:rsidRPr="10D44305">
            <w:rPr>
              <w:rFonts w:ascii="Times New Roman" w:hAnsi="Times New Roman"/>
              <w:sz w:val="24"/>
              <w:szCs w:val="24"/>
            </w:rPr>
            <w:t xml:space="preserve"> </w:t>
          </w:r>
          <w:r w:rsidRPr="009A46BB">
            <w:rPr>
              <w:rFonts w:ascii="Times New Roman" w:hAnsi="Times New Roman"/>
              <w:sz w:val="24"/>
              <w:szCs w:val="24"/>
            </w:rPr>
            <w:t>En virtud de la Resolución de concesión y sus modificaciones, se permite al CONCESIONARIO la ocupación y utilización en forma temporal y exclusiva de las playas, los terrenos de bajamar y zonas accesorias y para la operación y el desarrollo de actividades portuarias de servicio público, conforme lo establece el artículo Primero de la Resolución.</w:t>
          </w:r>
        </w:p>
        <w:p w14:paraId="174E017E" w14:textId="15220379" w:rsidR="00274429" w:rsidRPr="000F447C" w:rsidRDefault="00274429" w:rsidP="009A46BB">
          <w:pPr>
            <w:spacing w:after="0"/>
            <w:rPr>
              <w:rFonts w:ascii="Times New Roman" w:hAnsi="Times New Roman"/>
              <w:sz w:val="24"/>
              <w:szCs w:val="24"/>
            </w:rPr>
          </w:pPr>
          <w:r w:rsidRPr="00521A07">
            <w:rPr>
              <w:rFonts w:ascii="Times New Roman" w:hAnsi="Times New Roman"/>
              <w:b/>
              <w:bCs/>
              <w:sz w:val="24"/>
              <w:szCs w:val="24"/>
            </w:rPr>
            <w:t>Valor inicial:</w:t>
          </w:r>
          <w:r w:rsidR="07D1D8A2" w:rsidRPr="10D44305">
            <w:rPr>
              <w:rFonts w:ascii="Times New Roman" w:hAnsi="Times New Roman"/>
              <w:b/>
              <w:bCs/>
              <w:sz w:val="24"/>
              <w:szCs w:val="24"/>
            </w:rPr>
            <w:t xml:space="preserve"> </w:t>
          </w:r>
          <w:r w:rsidRPr="000F447C">
            <w:rPr>
              <w:rFonts w:ascii="Times New Roman" w:hAnsi="Times New Roman"/>
              <w:sz w:val="24"/>
              <w:szCs w:val="24"/>
            </w:rPr>
            <w:t xml:space="preserve">Valor inicial: USD $1.203,31 Artículo cuarto / Resolución No. 519 de 1997. </w:t>
          </w:r>
        </w:p>
        <w:p w14:paraId="4B0D6BDD" w14:textId="2B0E06E2" w:rsidR="00274429" w:rsidRDefault="00274429" w:rsidP="009A46BB">
          <w:pPr>
            <w:spacing w:after="0"/>
            <w:rPr>
              <w:rFonts w:ascii="Times New Roman" w:hAnsi="Times New Roman"/>
              <w:sz w:val="24"/>
              <w:szCs w:val="24"/>
            </w:rPr>
          </w:pPr>
          <w:r w:rsidRPr="000F447C">
            <w:rPr>
              <w:rFonts w:ascii="Times New Roman" w:hAnsi="Times New Roman"/>
              <w:sz w:val="24"/>
              <w:szCs w:val="24"/>
            </w:rPr>
            <w:t xml:space="preserve">Valor del Contrato actualizado: USD $8.101 /Artículo tercero / Resolución No. 581 de 2011. </w:t>
          </w:r>
          <w:r w:rsidRPr="00521A07">
            <w:rPr>
              <w:rFonts w:ascii="Times New Roman" w:hAnsi="Times New Roman"/>
              <w:b/>
              <w:bCs/>
              <w:sz w:val="24"/>
              <w:szCs w:val="24"/>
            </w:rPr>
            <w:t>Fecha de inicio:</w:t>
          </w:r>
          <w:r>
            <w:rPr>
              <w:rFonts w:ascii="Times New Roman" w:hAnsi="Times New Roman"/>
              <w:b/>
              <w:bCs/>
              <w:sz w:val="24"/>
              <w:szCs w:val="24"/>
            </w:rPr>
            <w:t xml:space="preserve"> </w:t>
          </w:r>
          <w:r>
            <w:rPr>
              <w:rFonts w:ascii="Times New Roman" w:hAnsi="Times New Roman"/>
              <w:sz w:val="24"/>
              <w:szCs w:val="24"/>
            </w:rPr>
            <w:t>29/08/1997</w:t>
          </w:r>
        </w:p>
        <w:p w14:paraId="5CEFEC1A" w14:textId="77777777" w:rsidR="00274429" w:rsidRDefault="00274429" w:rsidP="009A46BB">
          <w:pPr>
            <w:spacing w:after="0"/>
            <w:jc w:val="both"/>
            <w:rPr>
              <w:rFonts w:ascii="Times New Roman" w:hAnsi="Times New Roman"/>
              <w:sz w:val="24"/>
              <w:szCs w:val="24"/>
            </w:rPr>
          </w:pPr>
          <w:r w:rsidRPr="00521A07">
            <w:rPr>
              <w:rFonts w:ascii="Times New Roman" w:hAnsi="Times New Roman"/>
              <w:b/>
              <w:bCs/>
              <w:sz w:val="24"/>
              <w:szCs w:val="24"/>
            </w:rPr>
            <w:t>Fecha de finalización estimada:</w:t>
          </w:r>
          <w:r>
            <w:rPr>
              <w:rFonts w:ascii="Times New Roman" w:hAnsi="Times New Roman"/>
              <w:b/>
              <w:bCs/>
              <w:sz w:val="24"/>
              <w:szCs w:val="24"/>
            </w:rPr>
            <w:t xml:space="preserve"> </w:t>
          </w:r>
          <w:r>
            <w:rPr>
              <w:rFonts w:ascii="Times New Roman" w:hAnsi="Times New Roman"/>
              <w:sz w:val="24"/>
              <w:szCs w:val="24"/>
            </w:rPr>
            <w:t>14/12/2013</w:t>
          </w:r>
        </w:p>
        <w:p w14:paraId="7B419415" w14:textId="77777777" w:rsidR="00274429" w:rsidRPr="009A46BB" w:rsidRDefault="00274429" w:rsidP="009A46BB">
          <w:pPr>
            <w:spacing w:after="0"/>
            <w:jc w:val="both"/>
            <w:rPr>
              <w:rFonts w:ascii="Times New Roman" w:hAnsi="Times New Roman"/>
              <w:sz w:val="24"/>
              <w:szCs w:val="24"/>
            </w:rPr>
          </w:pPr>
          <w:r w:rsidRPr="00521A07">
            <w:rPr>
              <w:rFonts w:ascii="Times New Roman" w:hAnsi="Times New Roman"/>
              <w:b/>
              <w:bCs/>
              <w:sz w:val="24"/>
              <w:szCs w:val="24"/>
            </w:rPr>
            <w:t>Tipo ID:</w:t>
          </w:r>
          <w:r>
            <w:rPr>
              <w:rFonts w:ascii="Times New Roman" w:hAnsi="Times New Roman"/>
              <w:b/>
              <w:bCs/>
              <w:sz w:val="24"/>
              <w:szCs w:val="24"/>
            </w:rPr>
            <w:t xml:space="preserve"> NIT</w:t>
          </w:r>
        </w:p>
        <w:p w14:paraId="1DDAE663" w14:textId="77777777" w:rsidR="00274429" w:rsidRDefault="00274429" w:rsidP="009A46BB">
          <w:pPr>
            <w:spacing w:after="0"/>
            <w:rPr>
              <w:rFonts w:ascii="Times New Roman" w:hAnsi="Times New Roman"/>
              <w:sz w:val="24"/>
              <w:szCs w:val="24"/>
            </w:rPr>
          </w:pPr>
          <w:r w:rsidRPr="00521A07">
            <w:rPr>
              <w:rFonts w:ascii="Times New Roman" w:hAnsi="Times New Roman"/>
              <w:b/>
              <w:bCs/>
              <w:sz w:val="24"/>
              <w:szCs w:val="24"/>
            </w:rPr>
            <w:t>Número ID:</w:t>
          </w:r>
          <w:r>
            <w:rPr>
              <w:rFonts w:ascii="Times New Roman" w:hAnsi="Times New Roman"/>
              <w:b/>
              <w:bCs/>
              <w:sz w:val="24"/>
              <w:szCs w:val="24"/>
            </w:rPr>
            <w:t xml:space="preserve"> </w:t>
          </w:r>
          <w:r w:rsidRPr="000F447C">
            <w:rPr>
              <w:rFonts w:ascii="Times New Roman" w:hAnsi="Times New Roman"/>
              <w:sz w:val="24"/>
              <w:szCs w:val="24"/>
            </w:rPr>
            <w:t xml:space="preserve">840.000.082. </w:t>
          </w:r>
        </w:p>
        <w:p w14:paraId="71C52812" w14:textId="58CD4567" w:rsidR="00274429" w:rsidRDefault="00274429" w:rsidP="009A46BB">
          <w:pPr>
            <w:spacing w:after="0"/>
            <w:rPr>
              <w:rFonts w:ascii="Times New Roman" w:hAnsi="Times New Roman"/>
              <w:sz w:val="24"/>
              <w:szCs w:val="24"/>
            </w:rPr>
          </w:pPr>
          <w:r w:rsidRPr="00521A07">
            <w:rPr>
              <w:rFonts w:ascii="Times New Roman" w:hAnsi="Times New Roman"/>
              <w:b/>
              <w:bCs/>
              <w:sz w:val="24"/>
              <w:szCs w:val="24"/>
            </w:rPr>
            <w:t>Razón social del concesionario:</w:t>
          </w:r>
          <w:r w:rsidR="67541C24" w:rsidRPr="10D44305">
            <w:rPr>
              <w:rFonts w:ascii="Times New Roman" w:hAnsi="Times New Roman"/>
              <w:b/>
              <w:bCs/>
              <w:sz w:val="24"/>
              <w:szCs w:val="24"/>
            </w:rPr>
            <w:t xml:space="preserve"> </w:t>
          </w:r>
          <w:r w:rsidRPr="007B5A9B">
            <w:rPr>
              <w:rFonts w:ascii="Times New Roman" w:hAnsi="Times New Roman"/>
              <w:sz w:val="24"/>
              <w:szCs w:val="24"/>
            </w:rPr>
            <w:t xml:space="preserve">Sociedad Romero y Burgos CIA. S. en C. </w:t>
          </w:r>
        </w:p>
        <w:p w14:paraId="339F3F03" w14:textId="5B1AB1C8" w:rsidR="00274429" w:rsidRDefault="00274429" w:rsidP="00274429">
          <w:pPr>
            <w:rPr>
              <w:rFonts w:ascii="Times New Roman" w:hAnsi="Times New Roman"/>
              <w:sz w:val="24"/>
              <w:szCs w:val="24"/>
            </w:rPr>
          </w:pPr>
          <w:r w:rsidRPr="00521A07">
            <w:rPr>
              <w:rFonts w:ascii="Times New Roman" w:hAnsi="Times New Roman"/>
              <w:b/>
              <w:bCs/>
              <w:sz w:val="24"/>
              <w:szCs w:val="24"/>
            </w:rPr>
            <w:t>Nombre del proyecto:</w:t>
          </w:r>
          <w:r w:rsidR="2D325640" w:rsidRPr="10D44305">
            <w:rPr>
              <w:rFonts w:ascii="Times New Roman" w:hAnsi="Times New Roman"/>
              <w:b/>
              <w:bCs/>
              <w:sz w:val="24"/>
              <w:szCs w:val="24"/>
            </w:rPr>
            <w:t xml:space="preserve"> </w:t>
          </w:r>
          <w:r w:rsidRPr="007B5A9B">
            <w:rPr>
              <w:rFonts w:ascii="Times New Roman" w:hAnsi="Times New Roman"/>
              <w:sz w:val="24"/>
              <w:szCs w:val="24"/>
            </w:rPr>
            <w:t>Sociedad Romero y Burgos CIA. S. en C.</w:t>
          </w:r>
        </w:p>
        <w:p w14:paraId="7F413552" w14:textId="77777777" w:rsidR="00274429" w:rsidRPr="007B5A9B" w:rsidRDefault="00274429" w:rsidP="00E60BAB">
          <w:pPr>
            <w:pStyle w:val="Prrafodelista"/>
            <w:numPr>
              <w:ilvl w:val="0"/>
              <w:numId w:val="120"/>
            </w:numPr>
            <w:spacing w:line="259" w:lineRule="auto"/>
            <w:rPr>
              <w:rFonts w:ascii="Times New Roman" w:hAnsi="Times New Roman"/>
              <w:b/>
              <w:bCs/>
              <w:sz w:val="24"/>
              <w:szCs w:val="24"/>
            </w:rPr>
          </w:pPr>
          <w:r w:rsidRPr="007B5A9B">
            <w:rPr>
              <w:rFonts w:ascii="Times New Roman" w:hAnsi="Times New Roman"/>
              <w:b/>
              <w:bCs/>
              <w:sz w:val="24"/>
              <w:szCs w:val="24"/>
            </w:rPr>
            <w:t>Términos significativos del acuerdo que puedan afectar su valor, el calendario y la certeza de los flujos</w:t>
          </w:r>
        </w:p>
        <w:p w14:paraId="03A785D3" w14:textId="0E4627B6"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valor:</w:t>
          </w:r>
        </w:p>
        <w:p w14:paraId="4CC5AD05" w14:textId="77777777" w:rsidR="00274429" w:rsidRDefault="00274429" w:rsidP="00274429">
          <w:pPr>
            <w:jc w:val="both"/>
            <w:rPr>
              <w:rFonts w:ascii="Times New Roman" w:hAnsi="Times New Roman"/>
              <w:sz w:val="24"/>
              <w:szCs w:val="24"/>
            </w:rPr>
          </w:pPr>
          <w:r w:rsidRPr="00FC7585">
            <w:rPr>
              <w:rFonts w:ascii="Times New Roman" w:hAnsi="Times New Roman"/>
              <w:b/>
              <w:bCs/>
              <w:sz w:val="24"/>
              <w:szCs w:val="24"/>
            </w:rPr>
            <w:t xml:space="preserve">Tarifas: </w:t>
          </w:r>
          <w:r w:rsidRPr="007B5A9B">
            <w:rPr>
              <w:rFonts w:ascii="Times New Roman" w:hAnsi="Times New Roman"/>
              <w:sz w:val="24"/>
              <w:szCs w:val="24"/>
            </w:rPr>
            <w:t>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w:t>
          </w:r>
        </w:p>
        <w:p w14:paraId="568B6997" w14:textId="346E1934" w:rsidR="00274429" w:rsidRDefault="00274429" w:rsidP="00274429">
          <w:pPr>
            <w:jc w:val="both"/>
            <w:rPr>
              <w:rFonts w:ascii="Times New Roman" w:hAnsi="Times New Roman"/>
              <w:sz w:val="24"/>
              <w:szCs w:val="24"/>
            </w:rPr>
          </w:pPr>
          <w:r w:rsidRPr="00FC7585">
            <w:rPr>
              <w:rFonts w:ascii="Times New Roman" w:hAnsi="Times New Roman"/>
              <w:b/>
              <w:bCs/>
              <w:sz w:val="24"/>
              <w:szCs w:val="24"/>
            </w:rPr>
            <w:t xml:space="preserve">Contraprestación portuaria: </w:t>
          </w:r>
          <w:r w:rsidRPr="007B5A9B">
            <w:rPr>
              <w:rFonts w:ascii="Times New Roman" w:hAnsi="Times New Roman"/>
              <w:sz w:val="24"/>
              <w:szCs w:val="24"/>
            </w:rPr>
            <w:t xml:space="preserve">De acuerdo con el último documento contractual vigente la metodología de contraprestación vigente es CONPES 2680 DE 1993 (Productividad).Se establece en el artículo tercero de la resolución No. 581 del 2011 que el CONCESIONARIO deberá pagar por concepto de zona de uso público la suma anual de (USD 3.721), de dicho </w:t>
          </w:r>
          <w:r w:rsidRPr="007B5A9B">
            <w:rPr>
              <w:rFonts w:ascii="Times New Roman" w:hAnsi="Times New Roman"/>
              <w:sz w:val="24"/>
              <w:szCs w:val="24"/>
            </w:rPr>
            <w:lastRenderedPageBreak/>
            <w:t>pago el 80% le corresponde a la Nación Instituto nacional de vías (INVIAS) y el 20% restante al municipio de San Andrés de Tumaco (Nariño) de acuerdo con lo establecido en el parágrafo 1 del artículo 1 de la ley 856 del 21 de diciembre de 2003, que modifica el artículo 7 de la ley 1ª de 1991. Así mismo, por concepto de infraestructura el CONCESIONARIO deberá pagar la suma anual de (USD 427), el cual corresponde en un 100% a la Nación - Instituto Nacional de Vías (INVIAS) de acuerdo con lo establecido en el artículo 1 de la ley 856 del 21 diciembre de 2003.</w:t>
          </w:r>
        </w:p>
        <w:p w14:paraId="3D5E985A" w14:textId="77777777" w:rsidR="00274429" w:rsidRPr="007B5A9B" w:rsidRDefault="00274429" w:rsidP="00274429">
          <w:pPr>
            <w:jc w:val="both"/>
            <w:rPr>
              <w:rFonts w:ascii="Times New Roman" w:hAnsi="Times New Roman"/>
              <w:sz w:val="24"/>
              <w:szCs w:val="24"/>
            </w:rPr>
          </w:pPr>
          <w:r w:rsidRPr="007B5A9B">
            <w:rPr>
              <w:rFonts w:ascii="Times New Roman" w:hAnsi="Times New Roman"/>
              <w:b/>
              <w:bCs/>
              <w:sz w:val="24"/>
              <w:szCs w:val="24"/>
            </w:rPr>
            <w:t xml:space="preserve">3: Plan de Inversiones: </w:t>
          </w:r>
          <w:r w:rsidRPr="007B5A9B">
            <w:rPr>
              <w:rFonts w:ascii="Times New Roman" w:hAnsi="Times New Roman"/>
              <w:sz w:val="24"/>
              <w:szCs w:val="24"/>
            </w:rPr>
            <w:t>Se establece en el artículo tercero de la resolución 288 de 2010, donde indica que el plan de inversión será de USD 8.741 en valores corrientes.</w:t>
          </w:r>
        </w:p>
        <w:p w14:paraId="71078E02" w14:textId="77777777" w:rsidR="00274429" w:rsidRPr="007B5A9B" w:rsidRDefault="00274429" w:rsidP="00274429">
          <w:pPr>
            <w:jc w:val="both"/>
            <w:rPr>
              <w:rFonts w:ascii="Times New Roman" w:hAnsi="Times New Roman"/>
              <w:sz w:val="24"/>
              <w:szCs w:val="24"/>
            </w:rPr>
          </w:pPr>
          <w:r w:rsidRPr="007B5A9B">
            <w:rPr>
              <w:rFonts w:ascii="Times New Roman" w:hAnsi="Times New Roman"/>
              <w:b/>
              <w:bCs/>
              <w:sz w:val="24"/>
              <w:szCs w:val="24"/>
            </w:rPr>
            <w:t xml:space="preserve">Obligaciones del CONCESIONARIO: </w:t>
          </w:r>
          <w:r w:rsidRPr="007B5A9B">
            <w:rPr>
              <w:rFonts w:ascii="Times New Roman" w:hAnsi="Times New Roman"/>
              <w:sz w:val="24"/>
              <w:szCs w:val="24"/>
            </w:rPr>
            <w:t xml:space="preserve">se encuentran descritas en el artículo quinto de la resolución No. 581 de 2011. </w:t>
          </w:r>
        </w:p>
        <w:p w14:paraId="49DFD059" w14:textId="77777777" w:rsidR="00274429" w:rsidRPr="007B5A9B" w:rsidRDefault="00274429" w:rsidP="00274429">
          <w:pPr>
            <w:jc w:val="both"/>
            <w:rPr>
              <w:rFonts w:ascii="Times New Roman" w:hAnsi="Times New Roman"/>
              <w:sz w:val="24"/>
              <w:szCs w:val="24"/>
            </w:rPr>
          </w:pPr>
          <w:r w:rsidRPr="007B5A9B">
            <w:rPr>
              <w:rFonts w:ascii="Times New Roman" w:hAnsi="Times New Roman"/>
              <w:b/>
              <w:bCs/>
              <w:sz w:val="24"/>
              <w:szCs w:val="24"/>
            </w:rPr>
            <w:t xml:space="preserve">Multas y sanciones: </w:t>
          </w:r>
          <w:r w:rsidRPr="007B5A9B">
            <w:rPr>
              <w:rFonts w:ascii="Times New Roman" w:hAnsi="Times New Roman"/>
              <w:sz w:val="24"/>
              <w:szCs w:val="24"/>
            </w:rPr>
            <w:t>están establecidas en artículo sexto de la resolución No. 581 de 2011.</w:t>
          </w:r>
        </w:p>
        <w:p w14:paraId="2A48B648" w14:textId="77777777" w:rsidR="00274429" w:rsidRPr="007B5A9B" w:rsidRDefault="00274429" w:rsidP="00274429">
          <w:pPr>
            <w:jc w:val="both"/>
            <w:rPr>
              <w:rFonts w:ascii="Times New Roman" w:hAnsi="Times New Roman"/>
              <w:b/>
              <w:bCs/>
              <w:sz w:val="24"/>
              <w:szCs w:val="24"/>
            </w:rPr>
          </w:pPr>
          <w:r w:rsidRPr="007B5A9B">
            <w:rPr>
              <w:rFonts w:ascii="Times New Roman" w:hAnsi="Times New Roman"/>
              <w:b/>
              <w:bCs/>
              <w:sz w:val="24"/>
              <w:szCs w:val="24"/>
            </w:rPr>
            <w:t>Penal pecuniario: N/A</w:t>
          </w:r>
        </w:p>
        <w:p w14:paraId="4285BABA" w14:textId="77777777" w:rsidR="00274429" w:rsidRDefault="00274429" w:rsidP="00274429">
          <w:pPr>
            <w:jc w:val="both"/>
            <w:rPr>
              <w:rFonts w:ascii="Times New Roman" w:hAnsi="Times New Roman"/>
              <w:b/>
              <w:bCs/>
              <w:sz w:val="24"/>
              <w:szCs w:val="24"/>
            </w:rPr>
          </w:pPr>
          <w:r w:rsidRPr="004C1095">
            <w:rPr>
              <w:rFonts w:ascii="Times New Roman" w:hAnsi="Times New Roman"/>
              <w:b/>
              <w:bCs/>
              <w:sz w:val="24"/>
              <w:szCs w:val="24"/>
            </w:rPr>
            <w:t>Términos de calendario:</w:t>
          </w:r>
        </w:p>
        <w:p w14:paraId="1F5951DB" w14:textId="77777777" w:rsidR="00274429" w:rsidRPr="009A46BB" w:rsidRDefault="00274429" w:rsidP="00274429">
          <w:pPr>
            <w:jc w:val="both"/>
            <w:rPr>
              <w:rStyle w:val="Estilo3"/>
              <w:szCs w:val="24"/>
            </w:rPr>
          </w:pPr>
          <w:r w:rsidRPr="009A46BB">
            <w:rPr>
              <w:rStyle w:val="Estilo3"/>
              <w:szCs w:val="24"/>
            </w:rPr>
            <w:t>1: Tarifas: Aprobadas según la metodología establecida por la Superintendencia General de Puertos hoy Superintendencia de Transporte.</w:t>
          </w:r>
        </w:p>
        <w:p w14:paraId="40A601B2" w14:textId="77777777" w:rsidR="00274429" w:rsidRPr="009A46BB" w:rsidRDefault="00274429" w:rsidP="00274429">
          <w:pPr>
            <w:jc w:val="both"/>
            <w:rPr>
              <w:rStyle w:val="Estilo3"/>
              <w:szCs w:val="24"/>
            </w:rPr>
          </w:pPr>
          <w:r w:rsidRPr="009A46BB">
            <w:rPr>
              <w:rStyle w:val="Estilo3"/>
              <w:szCs w:val="24"/>
            </w:rPr>
            <w:t>2: Contraprestación portuaria: la contraprestación se debe pagar de manera anual vencida desde el mes de diciembre de cada año.</w:t>
          </w:r>
        </w:p>
        <w:p w14:paraId="3B9BD9EA" w14:textId="77777777" w:rsidR="00274429" w:rsidRPr="009A46BB" w:rsidRDefault="00274429" w:rsidP="00274429">
          <w:pPr>
            <w:jc w:val="both"/>
            <w:rPr>
              <w:rStyle w:val="Estilo3"/>
              <w:szCs w:val="24"/>
            </w:rPr>
          </w:pPr>
          <w:r w:rsidRPr="009A46BB">
            <w:rPr>
              <w:rStyle w:val="Estilo3"/>
              <w:szCs w:val="24"/>
            </w:rPr>
            <w:t>3: Plan de inversiones: Se estableció en el artículo tercero de la resolución 288 de 2010 ejecución de inversiones en el periodo de tiempo comprendido entre el año 2010 a 2011.</w:t>
          </w:r>
        </w:p>
        <w:p w14:paraId="6503AE16" w14:textId="77777777" w:rsidR="00274429" w:rsidRPr="009A46BB" w:rsidRDefault="00274429" w:rsidP="00274429">
          <w:pPr>
            <w:jc w:val="both"/>
            <w:rPr>
              <w:rStyle w:val="Estilo3"/>
              <w:szCs w:val="24"/>
            </w:rPr>
          </w:pPr>
          <w:r w:rsidRPr="009A46BB">
            <w:rPr>
              <w:rStyle w:val="Estilo3"/>
              <w:szCs w:val="24"/>
            </w:rPr>
            <w:t>4: Multas: Artículo sexto de la resolución No. 581 de 2011.</w:t>
          </w:r>
        </w:p>
        <w:p w14:paraId="593A7827" w14:textId="77777777" w:rsidR="00274429" w:rsidRPr="00DB3982" w:rsidRDefault="00274429" w:rsidP="00274429">
          <w:pPr>
            <w:jc w:val="both"/>
            <w:rPr>
              <w:rFonts w:ascii="Times New Roman" w:hAnsi="Times New Roman"/>
              <w:sz w:val="24"/>
              <w:szCs w:val="24"/>
            </w:rPr>
          </w:pPr>
          <w:r w:rsidRPr="00BA4CAE">
            <w:rPr>
              <w:rFonts w:ascii="Times New Roman" w:hAnsi="Times New Roman"/>
              <w:b/>
              <w:bCs/>
              <w:sz w:val="24"/>
              <w:szCs w:val="24"/>
            </w:rPr>
            <w:t>Términos de certeza de flujos de efectivo futuros:</w:t>
          </w:r>
          <w:r>
            <w:rPr>
              <w:rFonts w:ascii="Times New Roman" w:hAnsi="Times New Roman"/>
              <w:b/>
              <w:bCs/>
              <w:sz w:val="24"/>
              <w:szCs w:val="24"/>
            </w:rPr>
            <w:t xml:space="preserve"> </w:t>
          </w:r>
          <w:r w:rsidRPr="00DB3982">
            <w:rPr>
              <w:rFonts w:ascii="Times New Roman" w:hAnsi="Times New Roman"/>
              <w:sz w:val="24"/>
              <w:szCs w:val="24"/>
            </w:rPr>
            <w:t>Se permite al CONCESIONARIO la ocupación y utilización en forma temporal y exclusiva de las playas, los terrenos de bajamar y zonas accesorias y para la operación y el desarrollo de actividades portuarias de servicio público, conforme lo establece el artículo Primero de la Resolución No. 519 de 1997.</w:t>
          </w:r>
        </w:p>
        <w:p w14:paraId="33205B2B" w14:textId="77777777" w:rsidR="00274429" w:rsidRPr="00DB3982" w:rsidRDefault="00274429" w:rsidP="00274429">
          <w:pPr>
            <w:jc w:val="both"/>
            <w:rPr>
              <w:rFonts w:ascii="Times New Roman" w:hAnsi="Times New Roman"/>
              <w:sz w:val="24"/>
              <w:szCs w:val="24"/>
            </w:rPr>
          </w:pPr>
          <w:r w:rsidRPr="00DB3982">
            <w:rPr>
              <w:rFonts w:ascii="Times New Roman" w:hAnsi="Times New Roman"/>
              <w:sz w:val="24"/>
              <w:szCs w:val="24"/>
            </w:rPr>
            <w:t>Artículo Tercer, resolución No. 581 del 2011 Del valor a pagar por concepto de contraprestación por Zona de Uso público el 80% le corresponde a la Nación-INVIAS y el 20 % al municipio de San Andrés de Tumaco (Nariño) y por Infraestructura el 100% a la Nación-INVIAS.</w:t>
          </w:r>
        </w:p>
        <w:p w14:paraId="7B5642C8" w14:textId="77777777" w:rsidR="00274429" w:rsidRPr="00DB3982" w:rsidRDefault="00274429" w:rsidP="00E60BAB">
          <w:pPr>
            <w:pStyle w:val="Prrafodelista"/>
            <w:numPr>
              <w:ilvl w:val="0"/>
              <w:numId w:val="120"/>
            </w:numPr>
            <w:spacing w:line="259" w:lineRule="auto"/>
            <w:jc w:val="both"/>
            <w:rPr>
              <w:rFonts w:ascii="Times New Roman" w:hAnsi="Times New Roman"/>
              <w:b/>
              <w:bCs/>
              <w:sz w:val="24"/>
              <w:szCs w:val="24"/>
            </w:rPr>
          </w:pPr>
          <w:r w:rsidRPr="00DB3982">
            <w:rPr>
              <w:rFonts w:ascii="Times New Roman" w:hAnsi="Times New Roman"/>
              <w:b/>
              <w:bCs/>
              <w:sz w:val="24"/>
              <w:szCs w:val="24"/>
            </w:rPr>
            <w:t>Naturaleza y alcance del derecho a utilizar activos especificados, de los aspectos pactados en torno a lo que se espera que el concesionario proporcione en relación con el acuerdo de concesión (Se requiere ser breves, precisos, y concisos en la redacción)</w:t>
          </w:r>
        </w:p>
        <w:p w14:paraId="374CDB68" w14:textId="77777777" w:rsidR="00274429" w:rsidRDefault="00274429" w:rsidP="00274429">
          <w:pPr>
            <w:jc w:val="both"/>
            <w:rPr>
              <w:rFonts w:ascii="Times New Roman" w:hAnsi="Times New Roman"/>
              <w:b/>
              <w:bCs/>
              <w:sz w:val="24"/>
              <w:szCs w:val="24"/>
            </w:rPr>
          </w:pPr>
          <w:r w:rsidRPr="00217110">
            <w:rPr>
              <w:rFonts w:ascii="Times New Roman" w:hAnsi="Times New Roman"/>
              <w:b/>
              <w:bCs/>
              <w:sz w:val="24"/>
              <w:szCs w:val="24"/>
            </w:rPr>
            <w:t>Naturaleza y alcance del derecho de uso de los activos</w:t>
          </w:r>
        </w:p>
        <w:p w14:paraId="1A89FC3A" w14:textId="7EC9C08B" w:rsidR="00274429" w:rsidRDefault="00274429" w:rsidP="00274429">
          <w:pPr>
            <w:jc w:val="both"/>
            <w:rPr>
              <w:rFonts w:ascii="Times New Roman" w:hAnsi="Times New Roman"/>
              <w:b/>
              <w:bCs/>
              <w:sz w:val="24"/>
              <w:szCs w:val="24"/>
            </w:rPr>
          </w:pPr>
          <w:r w:rsidRPr="003E5FA9">
            <w:rPr>
              <w:rFonts w:ascii="Times New Roman" w:hAnsi="Times New Roman"/>
              <w:b/>
              <w:bCs/>
              <w:sz w:val="24"/>
              <w:szCs w:val="24"/>
            </w:rPr>
            <w:t>Descripción:</w:t>
          </w:r>
        </w:p>
        <w:p w14:paraId="3A9DEF93" w14:textId="77777777" w:rsidR="00274429" w:rsidRPr="009A46BB" w:rsidRDefault="00274429" w:rsidP="00274429">
          <w:pPr>
            <w:jc w:val="both"/>
            <w:rPr>
              <w:rFonts w:ascii="Times New Roman" w:hAnsi="Times New Roman"/>
            </w:rPr>
          </w:pPr>
          <w:r w:rsidRPr="009A46BB">
            <w:rPr>
              <w:rFonts w:ascii="Times New Roman" w:hAnsi="Times New Roman"/>
            </w:rPr>
            <w:lastRenderedPageBreak/>
            <w:t>Descripción del proyecto, especificaciones técnicas, modalidades de operación: las condiciones especiales de operación del puerto están establecidas en el artículo Tercero.</w:t>
          </w:r>
        </w:p>
        <w:p w14:paraId="57FC9E36" w14:textId="77777777" w:rsidR="00274429" w:rsidRPr="009A46BB" w:rsidRDefault="00274429" w:rsidP="00274429">
          <w:pPr>
            <w:jc w:val="both"/>
            <w:rPr>
              <w:rFonts w:ascii="Times New Roman" w:hAnsi="Times New Roman"/>
            </w:rPr>
          </w:pPr>
          <w:r w:rsidRPr="009A46BB">
            <w:rPr>
              <w:rFonts w:ascii="Times New Roman" w:hAnsi="Times New Roman"/>
            </w:rPr>
            <w:t>Área entregada en concesión: La descripción de la ubicación, linderos y extensión de los bienes de uso público (playas y terrenos de baja mar, zonas marítimas accesorias de maniobras) entregados en concesión están establecidos en el artículo Primero de la Resolución 581 del 14 de diciembre de 2011.</w:t>
          </w:r>
        </w:p>
        <w:p w14:paraId="114E6638" w14:textId="77777777" w:rsidR="00274429" w:rsidRPr="009A46BB" w:rsidRDefault="00274429" w:rsidP="00274429">
          <w:pPr>
            <w:jc w:val="both"/>
            <w:rPr>
              <w:rFonts w:ascii="Times New Roman" w:hAnsi="Times New Roman"/>
            </w:rPr>
          </w:pPr>
          <w:r w:rsidRPr="009A46BB">
            <w:rPr>
              <w:rFonts w:ascii="Times New Roman" w:hAnsi="Times New Roman"/>
            </w:rPr>
            <w:t>Infraestructura y equipos entregados en concesión: En el artículo Primero de la Resolución 581 del 14 de diciembre de 2011, se describe que lo entregado en concesión fue:</w:t>
          </w:r>
        </w:p>
        <w:p w14:paraId="07B43BB4" w14:textId="77777777" w:rsidR="00274429" w:rsidRPr="009A46BB" w:rsidRDefault="00274429" w:rsidP="00274429">
          <w:pPr>
            <w:jc w:val="both"/>
            <w:rPr>
              <w:rFonts w:ascii="Times New Roman" w:hAnsi="Times New Roman"/>
            </w:rPr>
          </w:pPr>
          <w:r w:rsidRPr="009A46BB">
            <w:rPr>
              <w:rFonts w:ascii="Times New Roman" w:hAnsi="Times New Roman"/>
            </w:rPr>
            <w:t>Infraestructura: embarcadero en forma de “T”, Muelle – Caseta, Escaleras, tubería.</w:t>
          </w:r>
        </w:p>
        <w:p w14:paraId="28631533" w14:textId="77777777" w:rsidR="00274429" w:rsidRDefault="00274429" w:rsidP="00274429">
          <w:pPr>
            <w:jc w:val="both"/>
            <w:rPr>
              <w:rFonts w:ascii="Times New Roman" w:hAnsi="Times New Roman"/>
              <w:b/>
              <w:bCs/>
              <w:sz w:val="24"/>
              <w:szCs w:val="24"/>
            </w:rPr>
          </w:pPr>
          <w:r w:rsidRPr="003E5FA9">
            <w:rPr>
              <w:rFonts w:ascii="Times New Roman" w:hAnsi="Times New Roman"/>
              <w:b/>
              <w:bCs/>
              <w:sz w:val="24"/>
              <w:szCs w:val="24"/>
            </w:rPr>
            <w:t>Observaciones:</w:t>
          </w:r>
          <w:r>
            <w:rPr>
              <w:rFonts w:ascii="Times New Roman" w:hAnsi="Times New Roman"/>
              <w:b/>
              <w:bCs/>
              <w:sz w:val="24"/>
              <w:szCs w:val="24"/>
            </w:rPr>
            <w:t xml:space="preserve"> NA</w:t>
          </w:r>
        </w:p>
        <w:p w14:paraId="7C3110D4" w14:textId="77777777" w:rsidR="00274429" w:rsidRDefault="00274429" w:rsidP="00274429">
          <w:pPr>
            <w:jc w:val="both"/>
            <w:rPr>
              <w:rFonts w:ascii="Times New Roman" w:hAnsi="Times New Roman"/>
              <w:b/>
              <w:bCs/>
              <w:sz w:val="24"/>
              <w:szCs w:val="24"/>
            </w:rPr>
          </w:pPr>
          <w:r>
            <w:rPr>
              <w:rFonts w:ascii="Times New Roman" w:hAnsi="Times New Roman"/>
              <w:b/>
              <w:bCs/>
              <w:sz w:val="24"/>
              <w:szCs w:val="24"/>
            </w:rPr>
            <w:t>Retribución al Concesionario</w:t>
          </w:r>
        </w:p>
        <w:p w14:paraId="015F83EA" w14:textId="77777777" w:rsidR="00274429" w:rsidRDefault="00274429" w:rsidP="00274429">
          <w:pPr>
            <w:jc w:val="both"/>
            <w:rPr>
              <w:rFonts w:ascii="Times New Roman" w:hAnsi="Times New Roman"/>
              <w:sz w:val="24"/>
              <w:szCs w:val="24"/>
            </w:rPr>
          </w:pPr>
          <w:r w:rsidRPr="002F1782">
            <w:rPr>
              <w:rFonts w:ascii="Times New Roman" w:hAnsi="Times New Roman"/>
              <w:b/>
              <w:bCs/>
              <w:sz w:val="24"/>
              <w:szCs w:val="24"/>
            </w:rPr>
            <w:t xml:space="preserve">Descripción: </w:t>
          </w:r>
          <w:r w:rsidRPr="00DB3982">
            <w:rPr>
              <w:rFonts w:ascii="Times New Roman" w:hAnsi="Times New Roman"/>
              <w:sz w:val="24"/>
              <w:szCs w:val="24"/>
            </w:rPr>
            <w:t>Artículo primero Resolución No. 519 de 1997: Se otorga a EL CONCESIONARIO el derecho de ocupar y utilizar en forma temporal y exclusiva las playas, los terrenos de bajamar y zonas accesorias a aquellas o estos, conforme lo establece el artículo Primero de la resolución, a cambio de la contraprestación económica</w:t>
          </w:r>
        </w:p>
        <w:p w14:paraId="485454E4" w14:textId="77777777" w:rsidR="00274429" w:rsidRPr="00351837" w:rsidRDefault="00274429" w:rsidP="00274429">
          <w:pPr>
            <w:jc w:val="both"/>
            <w:rPr>
              <w:rFonts w:ascii="Times New Roman" w:hAnsi="Times New Roman"/>
              <w:b/>
              <w:bCs/>
              <w:sz w:val="24"/>
              <w:szCs w:val="24"/>
            </w:rPr>
          </w:pPr>
          <w:r>
            <w:rPr>
              <w:rFonts w:ascii="Times New Roman" w:hAnsi="Times New Roman"/>
              <w:b/>
              <w:bCs/>
              <w:sz w:val="24"/>
              <w:szCs w:val="24"/>
            </w:rPr>
            <w:t>Tasa de retribución: NA</w:t>
          </w:r>
        </w:p>
        <w:p w14:paraId="66498119" w14:textId="77777777" w:rsidR="00274429" w:rsidRPr="00421699" w:rsidRDefault="00274429" w:rsidP="00E60BAB">
          <w:pPr>
            <w:pStyle w:val="Prrafodelista"/>
            <w:numPr>
              <w:ilvl w:val="0"/>
              <w:numId w:val="120"/>
            </w:numPr>
            <w:spacing w:line="259" w:lineRule="auto"/>
            <w:jc w:val="both"/>
            <w:rPr>
              <w:rFonts w:ascii="Times New Roman" w:hAnsi="Times New Roman"/>
              <w:b/>
              <w:bCs/>
              <w:sz w:val="24"/>
              <w:szCs w:val="24"/>
            </w:rPr>
          </w:pPr>
          <w:r w:rsidRPr="00421699">
            <w:rPr>
              <w:rFonts w:ascii="Times New Roman" w:hAnsi="Times New Roman"/>
              <w:b/>
              <w:bCs/>
              <w:sz w:val="24"/>
              <w:szCs w:val="24"/>
            </w:rPr>
            <w:t>Derechos a recibir activos especificados al final del acuerdo de concesión</w:t>
          </w:r>
        </w:p>
        <w:p w14:paraId="2CEA9252" w14:textId="77777777" w:rsidR="00274429" w:rsidRDefault="00274429" w:rsidP="00274429">
          <w:pPr>
            <w:jc w:val="both"/>
            <w:rPr>
              <w:rFonts w:ascii="Times New Roman" w:hAnsi="Times New Roman"/>
              <w:sz w:val="24"/>
              <w:szCs w:val="24"/>
            </w:rPr>
          </w:pPr>
          <w:r w:rsidRPr="006D56DF">
            <w:rPr>
              <w:rFonts w:ascii="Times New Roman" w:hAnsi="Times New Roman"/>
              <w:b/>
              <w:bCs/>
              <w:sz w:val="24"/>
              <w:szCs w:val="24"/>
            </w:rPr>
            <w:t>Descripción:</w:t>
          </w:r>
          <w:r>
            <w:rPr>
              <w:rFonts w:ascii="Times New Roman" w:hAnsi="Times New Roman"/>
              <w:b/>
              <w:bCs/>
              <w:sz w:val="24"/>
              <w:szCs w:val="24"/>
            </w:rPr>
            <w:t xml:space="preserve"> </w:t>
          </w:r>
          <w:r w:rsidRPr="00DB3982">
            <w:rPr>
              <w:rFonts w:ascii="Times New Roman" w:hAnsi="Times New Roman"/>
              <w:sz w:val="24"/>
              <w:szCs w:val="24"/>
            </w:rPr>
            <w:t xml:space="preserve">De acuerdo con el Artículo 8º de la Ley 1 de 1991 en el modo portuario el concesionario no tiene derechos finales sobre activos los debe revertir a la Nación al final del contrato de concesión. </w:t>
          </w:r>
        </w:p>
        <w:p w14:paraId="3DFC1F64" w14:textId="77777777" w:rsidR="00274429" w:rsidRPr="00351837" w:rsidRDefault="00274429" w:rsidP="00274429">
          <w:pPr>
            <w:jc w:val="both"/>
            <w:rPr>
              <w:rFonts w:ascii="Times New Roman" w:hAnsi="Times New Roman"/>
              <w:sz w:val="24"/>
              <w:szCs w:val="24"/>
            </w:rPr>
          </w:pPr>
          <w:r w:rsidRPr="006D56DF">
            <w:rPr>
              <w:rFonts w:ascii="Times New Roman" w:hAnsi="Times New Roman"/>
              <w:b/>
              <w:bCs/>
              <w:sz w:val="24"/>
              <w:szCs w:val="24"/>
            </w:rPr>
            <w:t>Observaciones:</w:t>
          </w:r>
          <w:r w:rsidRPr="009A46BB">
            <w:rPr>
              <w:rFonts w:ascii="Times New Roman" w:hAnsi="Times New Roman"/>
            </w:rPr>
            <w:t xml:space="preserve"> </w:t>
          </w:r>
        </w:p>
        <w:p w14:paraId="0C4D23BC" w14:textId="77777777" w:rsidR="00274429" w:rsidRPr="00DB3982" w:rsidRDefault="00274429" w:rsidP="00274429">
          <w:pPr>
            <w:spacing w:after="0" w:line="240" w:lineRule="auto"/>
            <w:jc w:val="both"/>
            <w:rPr>
              <w:rFonts w:ascii="Times New Roman" w:hAnsi="Times New Roman"/>
              <w:sz w:val="24"/>
              <w:szCs w:val="24"/>
            </w:rPr>
          </w:pPr>
          <w:r w:rsidRPr="00DB3982">
            <w:rPr>
              <w:rFonts w:ascii="Times New Roman" w:hAnsi="Times New Roman"/>
              <w:sz w:val="24"/>
              <w:szCs w:val="24"/>
            </w:rPr>
            <w:t>Reversión: De acuerdo con lo establecido en el artículo séptimo de la resolución No.581 de 2011, las construcciones levantadas en la zona de uso público y los inmuebles por destinación que hagan parte de ellas revertirán a la nación en buen estado de operación.</w:t>
          </w:r>
        </w:p>
        <w:p w14:paraId="0660A610" w14:textId="77777777" w:rsidR="00274429" w:rsidRPr="00DB3982" w:rsidRDefault="00274429" w:rsidP="00274429">
          <w:pPr>
            <w:spacing w:after="0" w:line="240" w:lineRule="auto"/>
            <w:jc w:val="both"/>
            <w:rPr>
              <w:rFonts w:ascii="Times New Roman" w:hAnsi="Times New Roman"/>
              <w:sz w:val="24"/>
              <w:szCs w:val="24"/>
            </w:rPr>
          </w:pPr>
          <w:r w:rsidRPr="00DB3982">
            <w:rPr>
              <w:rFonts w:ascii="Times New Roman" w:hAnsi="Times New Roman"/>
              <w:sz w:val="24"/>
              <w:szCs w:val="24"/>
            </w:rPr>
            <w:t>Para tal fin, en el momento de la reversión el CONCESIONARIO elaborará un inventario de los bienes y los enviará para su revisión y aprobación.</w:t>
          </w:r>
        </w:p>
        <w:p w14:paraId="44CF6138" w14:textId="77777777" w:rsidR="00274429" w:rsidRPr="00DB3982" w:rsidRDefault="00274429" w:rsidP="00274429">
          <w:pPr>
            <w:spacing w:after="0" w:line="240" w:lineRule="auto"/>
            <w:jc w:val="both"/>
            <w:rPr>
              <w:rFonts w:ascii="Times New Roman" w:hAnsi="Times New Roman"/>
              <w:sz w:val="24"/>
              <w:szCs w:val="24"/>
            </w:rPr>
          </w:pPr>
          <w:r w:rsidRPr="00DB3982">
            <w:rPr>
              <w:rFonts w:ascii="Times New Roman" w:hAnsi="Times New Roman"/>
              <w:sz w:val="24"/>
              <w:szCs w:val="24"/>
            </w:rPr>
            <w:t>La ANI es la entidad concedente pero la titularidad de los activos al final de la concesión es del Instituto Nacional de Vías INVIAS.</w:t>
          </w:r>
        </w:p>
        <w:p w14:paraId="62D17E07" w14:textId="77777777" w:rsidR="00274429" w:rsidRPr="00197A12" w:rsidRDefault="00274429" w:rsidP="00274429">
          <w:pPr>
            <w:spacing w:after="0" w:line="240" w:lineRule="auto"/>
            <w:jc w:val="both"/>
            <w:rPr>
              <w:rFonts w:ascii="Times New Roman" w:hAnsi="Times New Roman"/>
              <w:b/>
              <w:bCs/>
              <w:sz w:val="24"/>
              <w:szCs w:val="24"/>
            </w:rPr>
          </w:pPr>
        </w:p>
        <w:p w14:paraId="19DCC6D6" w14:textId="5F1302BA" w:rsidR="00274429" w:rsidRDefault="0C3E34CB" w:rsidP="00E60BAB">
          <w:pPr>
            <w:pStyle w:val="Prrafodelista"/>
            <w:numPr>
              <w:ilvl w:val="0"/>
              <w:numId w:val="120"/>
            </w:numPr>
            <w:spacing w:line="259" w:lineRule="auto"/>
            <w:jc w:val="both"/>
            <w:rPr>
              <w:rFonts w:ascii="Times New Roman" w:hAnsi="Times New Roman"/>
              <w:b/>
              <w:bCs/>
              <w:sz w:val="24"/>
              <w:szCs w:val="24"/>
            </w:rPr>
          </w:pPr>
          <w:r w:rsidRPr="10D44305">
            <w:rPr>
              <w:rFonts w:ascii="Times New Roman" w:hAnsi="Times New Roman"/>
              <w:b/>
              <w:bCs/>
              <w:sz w:val="24"/>
              <w:szCs w:val="24"/>
            </w:rPr>
            <w:t>No hay c</w:t>
          </w:r>
          <w:r w:rsidR="00274429" w:rsidRPr="10D44305">
            <w:rPr>
              <w:rFonts w:ascii="Times New Roman" w:hAnsi="Times New Roman"/>
              <w:b/>
              <w:bCs/>
              <w:sz w:val="24"/>
              <w:szCs w:val="24"/>
            </w:rPr>
            <w:t>ambios</w:t>
          </w:r>
          <w:r w:rsidR="00274429" w:rsidRPr="004B43C7">
            <w:rPr>
              <w:rFonts w:ascii="Times New Roman" w:hAnsi="Times New Roman"/>
              <w:b/>
              <w:bCs/>
              <w:sz w:val="24"/>
              <w:szCs w:val="24"/>
            </w:rPr>
            <w:t xml:space="preserve"> en el acuerdo de concesión que se realicen durante el periodo fiscal </w:t>
          </w:r>
        </w:p>
        <w:p w14:paraId="45C4AF9F" w14:textId="77777777" w:rsidR="00274429" w:rsidRDefault="00274429" w:rsidP="00274429">
          <w:pPr>
            <w:pStyle w:val="Prrafodelista"/>
            <w:jc w:val="both"/>
            <w:rPr>
              <w:rFonts w:ascii="Times New Roman" w:hAnsi="Times New Roman"/>
              <w:b/>
              <w:bCs/>
              <w:sz w:val="24"/>
              <w:szCs w:val="24"/>
            </w:rPr>
          </w:pPr>
        </w:p>
        <w:p w14:paraId="44A286CD" w14:textId="77777777" w:rsidR="00274429" w:rsidRPr="00197A12" w:rsidRDefault="00274429" w:rsidP="00274429">
          <w:pPr>
            <w:spacing w:after="0" w:line="240" w:lineRule="auto"/>
            <w:jc w:val="both"/>
            <w:rPr>
              <w:rFonts w:ascii="Times New Roman" w:hAnsi="Times New Roman"/>
              <w:b/>
              <w:bCs/>
              <w:sz w:val="24"/>
              <w:szCs w:val="24"/>
            </w:rPr>
          </w:pPr>
        </w:p>
        <w:p w14:paraId="2A1A50A6" w14:textId="77777777" w:rsidR="00274429" w:rsidRPr="00197A12" w:rsidRDefault="00274429" w:rsidP="00274429">
          <w:pPr>
            <w:spacing w:after="0" w:line="240" w:lineRule="auto"/>
            <w:jc w:val="both"/>
            <w:rPr>
              <w:rFonts w:ascii="Times New Roman" w:hAnsi="Times New Roman"/>
              <w:b/>
              <w:bCs/>
              <w:sz w:val="24"/>
              <w:szCs w:val="24"/>
            </w:rPr>
          </w:pPr>
        </w:p>
        <w:p w14:paraId="4E94B28A" w14:textId="77777777" w:rsidR="00274429" w:rsidRDefault="00274429" w:rsidP="00274429">
          <w:pPr>
            <w:rPr>
              <w:rFonts w:ascii="Times New Roman" w:hAnsi="Times New Roman"/>
              <w:b/>
              <w:sz w:val="24"/>
              <w:szCs w:val="24"/>
            </w:rPr>
          </w:pPr>
          <w:r w:rsidRPr="10D44305">
            <w:rPr>
              <w:rFonts w:ascii="Times New Roman" w:hAnsi="Times New Roman"/>
              <w:b/>
              <w:bCs/>
              <w:sz w:val="24"/>
              <w:szCs w:val="24"/>
            </w:rPr>
            <w:t xml:space="preserve">SOCIEDAD TRANSPETROL LIMITADA </w:t>
          </w:r>
        </w:p>
        <w:p w14:paraId="399247DA" w14:textId="77777777" w:rsidR="00274429" w:rsidRPr="00996621" w:rsidRDefault="00274429" w:rsidP="00E60BAB">
          <w:pPr>
            <w:pStyle w:val="Prrafodelista"/>
            <w:numPr>
              <w:ilvl w:val="0"/>
              <w:numId w:val="121"/>
            </w:numPr>
            <w:spacing w:line="259" w:lineRule="auto"/>
            <w:jc w:val="both"/>
            <w:rPr>
              <w:rFonts w:ascii="Times New Roman" w:hAnsi="Times New Roman"/>
              <w:b/>
              <w:bCs/>
              <w:sz w:val="24"/>
              <w:szCs w:val="24"/>
            </w:rPr>
          </w:pPr>
          <w:r w:rsidRPr="00996621">
            <w:rPr>
              <w:rFonts w:ascii="Times New Roman" w:hAnsi="Times New Roman"/>
              <w:b/>
              <w:bCs/>
              <w:sz w:val="24"/>
              <w:szCs w:val="24"/>
            </w:rPr>
            <w:t>Descripción del acuerdo</w:t>
          </w:r>
        </w:p>
        <w:p w14:paraId="3BDB495E" w14:textId="7B0282C1" w:rsidR="00274429" w:rsidRPr="009A46BB" w:rsidRDefault="00274429" w:rsidP="10D44305">
          <w:pPr>
            <w:spacing w:after="0"/>
            <w:rPr>
              <w:rFonts w:ascii="Times New Roman" w:hAnsi="Times New Roman"/>
            </w:rPr>
          </w:pPr>
          <w:r w:rsidRPr="009A46BB">
            <w:rPr>
              <w:rFonts w:ascii="Times New Roman" w:hAnsi="Times New Roman"/>
              <w:b/>
            </w:rPr>
            <w:t>Número del acuerdo de concesión:</w:t>
          </w:r>
          <w:r w:rsidR="73DC0E8A" w:rsidRPr="10D44305">
            <w:rPr>
              <w:rFonts w:ascii="Times New Roman" w:hAnsi="Times New Roman"/>
              <w:b/>
              <w:bCs/>
            </w:rPr>
            <w:t xml:space="preserve"> </w:t>
          </w:r>
          <w:r w:rsidRPr="009A46BB">
            <w:rPr>
              <w:rFonts w:ascii="Times New Roman" w:hAnsi="Times New Roman"/>
            </w:rPr>
            <w:t xml:space="preserve">Contrato No. 001 de 2012 </w:t>
          </w:r>
        </w:p>
        <w:p w14:paraId="669A6673" w14:textId="770106B4" w:rsidR="00274429" w:rsidRPr="009A46BB" w:rsidRDefault="00274429" w:rsidP="10D44305">
          <w:pPr>
            <w:spacing w:after="0"/>
            <w:jc w:val="both"/>
            <w:rPr>
              <w:rFonts w:ascii="Times New Roman" w:hAnsi="Times New Roman"/>
            </w:rPr>
          </w:pPr>
          <w:r w:rsidRPr="009A46BB">
            <w:rPr>
              <w:rFonts w:ascii="Times New Roman" w:hAnsi="Times New Roman"/>
              <w:b/>
            </w:rPr>
            <w:t>Objeto / Descripción</w:t>
          </w:r>
          <w:r w:rsidRPr="009A46BB">
            <w:rPr>
              <w:rFonts w:ascii="Times New Roman" w:hAnsi="Times New Roman"/>
            </w:rPr>
            <w:t>:</w:t>
          </w:r>
          <w:r w:rsidR="4BF77C48" w:rsidRPr="10D44305">
            <w:rPr>
              <w:rFonts w:ascii="Times New Roman" w:hAnsi="Times New Roman"/>
            </w:rPr>
            <w:t xml:space="preserve"> </w:t>
          </w:r>
          <w:r w:rsidRPr="009A46BB">
            <w:rPr>
              <w:rFonts w:ascii="Times New Roman" w:hAnsi="Times New Roman"/>
            </w:rPr>
            <w:t xml:space="preserve">En virtud del Contrato de concesión se otorga a LA SOCIEDAD CONCESIONARIA, la ocupación y utilización en forma temporal y exclusiva el área de uso público </w:t>
          </w:r>
          <w:r w:rsidRPr="009A46BB">
            <w:rPr>
              <w:rFonts w:ascii="Times New Roman" w:hAnsi="Times New Roman"/>
            </w:rPr>
            <w:lastRenderedPageBreak/>
            <w:t>descrita en la Cláusula Segunda del contrato, a cambio de la contraprestación económica de que trata la Cláusula Octava a favor de la Nación -Instituto Nacional de Vías INVIAS- y el municipio de Cartagena de Indias, o a favor y en las condiciones que determine la ley. El objeto del presente contrato es entonces, la entrega a LA SOCIEDAD CONCESIONARIA del uso y explotación de una zona de uso público perteneciente a la Nación por el tiempo de ejecución estipulado y para que sea destinada al servicio establecido en la solicitud a cambio de la contraprestación establecida en la Cláusula Octava de este contrato.</w:t>
          </w:r>
        </w:p>
        <w:p w14:paraId="4C5938AC" w14:textId="4737DE9B" w:rsidR="00274429" w:rsidRDefault="00274429" w:rsidP="10D44305">
          <w:pPr>
            <w:spacing w:after="0"/>
            <w:rPr>
              <w:rFonts w:ascii="Times New Roman" w:hAnsi="Times New Roman"/>
              <w:sz w:val="24"/>
              <w:szCs w:val="24"/>
            </w:rPr>
          </w:pPr>
          <w:r w:rsidRPr="00521A07">
            <w:rPr>
              <w:rFonts w:ascii="Times New Roman" w:hAnsi="Times New Roman"/>
              <w:b/>
              <w:bCs/>
              <w:sz w:val="24"/>
              <w:szCs w:val="24"/>
            </w:rPr>
            <w:t>Valor inicial:</w:t>
          </w:r>
          <w:r w:rsidR="12FAC737" w:rsidRPr="10D44305">
            <w:rPr>
              <w:rFonts w:ascii="Times New Roman" w:hAnsi="Times New Roman"/>
              <w:b/>
              <w:bCs/>
              <w:sz w:val="24"/>
              <w:szCs w:val="24"/>
            </w:rPr>
            <w:t xml:space="preserve"> </w:t>
          </w:r>
          <w:r w:rsidRPr="008B5183">
            <w:rPr>
              <w:rFonts w:ascii="Times New Roman" w:hAnsi="Times New Roman"/>
              <w:sz w:val="24"/>
              <w:szCs w:val="24"/>
            </w:rPr>
            <w:t xml:space="preserve">USD $127.658 Cláusula octava / Contrato No 001 de 2012. </w:t>
          </w:r>
        </w:p>
        <w:p w14:paraId="15DFF1BC" w14:textId="77777777" w:rsidR="00274429" w:rsidRDefault="00274429" w:rsidP="00544CB7">
          <w:pPr>
            <w:spacing w:after="0"/>
            <w:rPr>
              <w:rFonts w:ascii="Times New Roman" w:hAnsi="Times New Roman"/>
              <w:sz w:val="24"/>
              <w:szCs w:val="24"/>
            </w:rPr>
          </w:pPr>
          <w:r w:rsidRPr="00521A07">
            <w:rPr>
              <w:rFonts w:ascii="Times New Roman" w:hAnsi="Times New Roman"/>
              <w:b/>
              <w:bCs/>
              <w:sz w:val="24"/>
              <w:szCs w:val="24"/>
            </w:rPr>
            <w:t>Fecha de inicio:</w:t>
          </w:r>
          <w:r>
            <w:rPr>
              <w:rFonts w:ascii="Times New Roman" w:hAnsi="Times New Roman"/>
              <w:b/>
              <w:bCs/>
              <w:sz w:val="24"/>
              <w:szCs w:val="24"/>
            </w:rPr>
            <w:t xml:space="preserve"> </w:t>
          </w:r>
          <w:r>
            <w:rPr>
              <w:rFonts w:ascii="Times New Roman" w:hAnsi="Times New Roman"/>
              <w:sz w:val="24"/>
              <w:szCs w:val="24"/>
            </w:rPr>
            <w:t>07/02/2012</w:t>
          </w:r>
        </w:p>
        <w:p w14:paraId="4B496534" w14:textId="77777777" w:rsidR="00274429" w:rsidRDefault="00274429" w:rsidP="00544CB7">
          <w:pPr>
            <w:spacing w:after="0"/>
            <w:jc w:val="both"/>
            <w:rPr>
              <w:rFonts w:ascii="Times New Roman" w:hAnsi="Times New Roman"/>
              <w:sz w:val="24"/>
              <w:szCs w:val="24"/>
            </w:rPr>
          </w:pPr>
          <w:r w:rsidRPr="00521A07">
            <w:rPr>
              <w:rFonts w:ascii="Times New Roman" w:hAnsi="Times New Roman"/>
              <w:b/>
              <w:bCs/>
              <w:sz w:val="24"/>
              <w:szCs w:val="24"/>
            </w:rPr>
            <w:t>Fecha de finalización estimada:</w:t>
          </w:r>
          <w:r>
            <w:rPr>
              <w:rFonts w:ascii="Times New Roman" w:hAnsi="Times New Roman"/>
              <w:b/>
              <w:bCs/>
              <w:sz w:val="24"/>
              <w:szCs w:val="24"/>
            </w:rPr>
            <w:t xml:space="preserve"> </w:t>
          </w:r>
          <w:r>
            <w:rPr>
              <w:rFonts w:ascii="Times New Roman" w:hAnsi="Times New Roman"/>
              <w:sz w:val="24"/>
              <w:szCs w:val="24"/>
            </w:rPr>
            <w:t>06/02/2032</w:t>
          </w:r>
        </w:p>
        <w:p w14:paraId="59BC66AA" w14:textId="77777777" w:rsidR="00274429" w:rsidRPr="009A46BB" w:rsidRDefault="00274429" w:rsidP="00544CB7">
          <w:pPr>
            <w:spacing w:after="0"/>
            <w:jc w:val="both"/>
            <w:rPr>
              <w:rFonts w:ascii="Times New Roman" w:hAnsi="Times New Roman"/>
            </w:rPr>
          </w:pPr>
          <w:r w:rsidRPr="00521A07">
            <w:rPr>
              <w:rFonts w:ascii="Times New Roman" w:hAnsi="Times New Roman"/>
              <w:b/>
              <w:bCs/>
              <w:sz w:val="24"/>
              <w:szCs w:val="24"/>
            </w:rPr>
            <w:t>Tipo ID:</w:t>
          </w:r>
          <w:r>
            <w:rPr>
              <w:rFonts w:ascii="Times New Roman" w:hAnsi="Times New Roman"/>
              <w:b/>
              <w:bCs/>
              <w:sz w:val="24"/>
              <w:szCs w:val="24"/>
            </w:rPr>
            <w:t xml:space="preserve"> NIT</w:t>
          </w:r>
        </w:p>
        <w:p w14:paraId="2BBB5B61" w14:textId="77777777" w:rsidR="00274429" w:rsidRDefault="00274429" w:rsidP="00544CB7">
          <w:pPr>
            <w:spacing w:after="0"/>
            <w:rPr>
              <w:rFonts w:ascii="Times New Roman" w:hAnsi="Times New Roman"/>
              <w:sz w:val="24"/>
              <w:szCs w:val="24"/>
            </w:rPr>
          </w:pPr>
          <w:r w:rsidRPr="00521A07">
            <w:rPr>
              <w:rFonts w:ascii="Times New Roman" w:hAnsi="Times New Roman"/>
              <w:b/>
              <w:bCs/>
              <w:sz w:val="24"/>
              <w:szCs w:val="24"/>
            </w:rPr>
            <w:t>Número ID:</w:t>
          </w:r>
          <w:r>
            <w:rPr>
              <w:rFonts w:ascii="Times New Roman" w:hAnsi="Times New Roman"/>
              <w:b/>
              <w:bCs/>
              <w:sz w:val="24"/>
              <w:szCs w:val="24"/>
            </w:rPr>
            <w:t xml:space="preserve"> </w:t>
          </w:r>
          <w:r w:rsidRPr="008B5183">
            <w:rPr>
              <w:rFonts w:ascii="Times New Roman" w:hAnsi="Times New Roman"/>
              <w:sz w:val="24"/>
              <w:szCs w:val="24"/>
            </w:rPr>
            <w:t>890.106.493-3</w:t>
          </w:r>
        </w:p>
        <w:p w14:paraId="4DAD66FD" w14:textId="4609FB44" w:rsidR="00274429" w:rsidRDefault="00274429" w:rsidP="00544CB7">
          <w:pPr>
            <w:spacing w:after="0"/>
            <w:rPr>
              <w:rFonts w:ascii="Times New Roman" w:hAnsi="Times New Roman"/>
              <w:sz w:val="24"/>
              <w:szCs w:val="24"/>
            </w:rPr>
          </w:pPr>
          <w:r w:rsidRPr="00521A07">
            <w:rPr>
              <w:rFonts w:ascii="Times New Roman" w:hAnsi="Times New Roman"/>
              <w:b/>
              <w:bCs/>
              <w:sz w:val="24"/>
              <w:szCs w:val="24"/>
            </w:rPr>
            <w:t>Razón social del concesionario:</w:t>
          </w:r>
          <w:r w:rsidR="69C30980" w:rsidRPr="10D44305">
            <w:rPr>
              <w:rFonts w:ascii="Times New Roman" w:hAnsi="Times New Roman"/>
              <w:b/>
              <w:bCs/>
              <w:sz w:val="24"/>
              <w:szCs w:val="24"/>
            </w:rPr>
            <w:t xml:space="preserve"> </w:t>
          </w:r>
          <w:r w:rsidRPr="009C4C12">
            <w:rPr>
              <w:rFonts w:ascii="Times New Roman" w:hAnsi="Times New Roman"/>
              <w:sz w:val="24"/>
              <w:szCs w:val="24"/>
            </w:rPr>
            <w:t xml:space="preserve">Sociedad Transpetrol Limitada </w:t>
          </w:r>
        </w:p>
        <w:p w14:paraId="1054CE15" w14:textId="5FC930CD" w:rsidR="00274429" w:rsidRDefault="00274429" w:rsidP="00544CB7">
          <w:pPr>
            <w:spacing w:after="0"/>
            <w:rPr>
              <w:rFonts w:ascii="Times New Roman" w:hAnsi="Times New Roman"/>
              <w:sz w:val="24"/>
              <w:szCs w:val="24"/>
            </w:rPr>
          </w:pPr>
          <w:r w:rsidRPr="00521A07">
            <w:rPr>
              <w:rFonts w:ascii="Times New Roman" w:hAnsi="Times New Roman"/>
              <w:b/>
              <w:bCs/>
              <w:sz w:val="24"/>
              <w:szCs w:val="24"/>
            </w:rPr>
            <w:t>Nombre del proyecto:</w:t>
          </w:r>
          <w:r w:rsidR="52750651" w:rsidRPr="10D44305">
            <w:rPr>
              <w:rFonts w:ascii="Times New Roman" w:hAnsi="Times New Roman"/>
              <w:b/>
              <w:bCs/>
              <w:sz w:val="24"/>
              <w:szCs w:val="24"/>
            </w:rPr>
            <w:t xml:space="preserve"> </w:t>
          </w:r>
          <w:r w:rsidRPr="009C4C12">
            <w:rPr>
              <w:rFonts w:ascii="Times New Roman" w:hAnsi="Times New Roman"/>
              <w:sz w:val="24"/>
              <w:szCs w:val="24"/>
            </w:rPr>
            <w:t>Sociedad Transpetrol Limitada</w:t>
          </w:r>
        </w:p>
        <w:p w14:paraId="5D687DAF" w14:textId="77777777" w:rsidR="00544CB7" w:rsidRDefault="00544CB7" w:rsidP="00544CB7">
          <w:pPr>
            <w:spacing w:after="0"/>
            <w:rPr>
              <w:rFonts w:ascii="Times New Roman" w:hAnsi="Times New Roman"/>
              <w:sz w:val="24"/>
              <w:szCs w:val="24"/>
            </w:rPr>
          </w:pPr>
        </w:p>
        <w:p w14:paraId="3319C4EC" w14:textId="77777777" w:rsidR="00730054" w:rsidRPr="009A46BB" w:rsidRDefault="00730054" w:rsidP="00544CB7">
          <w:pPr>
            <w:spacing w:after="0"/>
            <w:rPr>
              <w:rFonts w:ascii="Times New Roman" w:hAnsi="Times New Roman"/>
              <w:sz w:val="24"/>
              <w:szCs w:val="24"/>
            </w:rPr>
          </w:pPr>
        </w:p>
        <w:p w14:paraId="2072AAC3" w14:textId="77777777" w:rsidR="00274429" w:rsidRPr="005C2A29" w:rsidRDefault="00274429" w:rsidP="00E60BAB">
          <w:pPr>
            <w:pStyle w:val="Prrafodelista"/>
            <w:numPr>
              <w:ilvl w:val="0"/>
              <w:numId w:val="121"/>
            </w:numPr>
            <w:spacing w:line="259" w:lineRule="auto"/>
            <w:rPr>
              <w:rFonts w:ascii="Times New Roman" w:hAnsi="Times New Roman"/>
              <w:b/>
              <w:bCs/>
              <w:sz w:val="24"/>
              <w:szCs w:val="24"/>
            </w:rPr>
          </w:pPr>
          <w:r w:rsidRPr="005C2A29">
            <w:rPr>
              <w:rFonts w:ascii="Times New Roman" w:hAnsi="Times New Roman"/>
              <w:b/>
              <w:bCs/>
              <w:sz w:val="24"/>
              <w:szCs w:val="24"/>
            </w:rPr>
            <w:t>Términos significativos del acuerdo que puedan afectar su valor, el calendario y la certeza de los flujos</w:t>
          </w:r>
        </w:p>
        <w:p w14:paraId="6A0DB7FB" w14:textId="3D9920CE"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valor:</w:t>
          </w:r>
        </w:p>
        <w:p w14:paraId="2B57FA6B" w14:textId="77777777" w:rsidR="00274429" w:rsidRDefault="00274429" w:rsidP="00274429">
          <w:pPr>
            <w:jc w:val="both"/>
            <w:rPr>
              <w:rFonts w:ascii="Times New Roman" w:hAnsi="Times New Roman"/>
              <w:sz w:val="24"/>
              <w:szCs w:val="24"/>
            </w:rPr>
          </w:pPr>
          <w:r w:rsidRPr="00FC7585">
            <w:rPr>
              <w:rFonts w:ascii="Times New Roman" w:hAnsi="Times New Roman"/>
              <w:b/>
              <w:bCs/>
              <w:sz w:val="24"/>
              <w:szCs w:val="24"/>
            </w:rPr>
            <w:t xml:space="preserve">Tarifas: </w:t>
          </w:r>
          <w:r w:rsidRPr="00233A2C">
            <w:rPr>
              <w:rFonts w:ascii="Times New Roman" w:hAnsi="Times New Roman"/>
              <w:sz w:val="24"/>
              <w:szCs w:val="24"/>
            </w:rPr>
            <w:t>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w:t>
          </w:r>
          <w:r w:rsidRPr="007B5A9B">
            <w:rPr>
              <w:rFonts w:ascii="Times New Roman" w:hAnsi="Times New Roman"/>
              <w:sz w:val="24"/>
              <w:szCs w:val="24"/>
            </w:rPr>
            <w:t>.</w:t>
          </w:r>
        </w:p>
        <w:p w14:paraId="692E935D" w14:textId="77777777" w:rsidR="00274429" w:rsidRDefault="00274429" w:rsidP="00274429">
          <w:pPr>
            <w:jc w:val="both"/>
            <w:rPr>
              <w:rFonts w:ascii="Times New Roman" w:hAnsi="Times New Roman"/>
              <w:sz w:val="24"/>
              <w:szCs w:val="24"/>
            </w:rPr>
          </w:pPr>
          <w:r w:rsidRPr="00FC7585">
            <w:rPr>
              <w:rFonts w:ascii="Times New Roman" w:hAnsi="Times New Roman"/>
              <w:b/>
              <w:bCs/>
              <w:sz w:val="24"/>
              <w:szCs w:val="24"/>
            </w:rPr>
            <w:t xml:space="preserve">Contraprestación portuaria: </w:t>
          </w:r>
          <w:r w:rsidRPr="00411CA4">
            <w:rPr>
              <w:rFonts w:ascii="Times New Roman" w:hAnsi="Times New Roman"/>
              <w:sz w:val="24"/>
              <w:szCs w:val="24"/>
            </w:rPr>
            <w:t>De acuerdo con el último documento contractual vigente la metodología de contraprestación vigente es CONPES 2680 DE 1993 (Productividad). Se establece en la cláusula octava del Contrato que el CONCESIONARIO deberá pagar por concepto de zona de uso público la suma anual de (USD 10.255), de dicho pago el 80% le corresponde a la Nación Instituto nacional de vías (INVIAS) y el 20% restante al distrito de Cartagena de acuerdo con lo establecido en el parágrafo 1 del artículo 1 de la ley 856 del 21 de diciembre de 2003, que modifica el artículo 7 de la ley 1ª de 1991. Así mismo, por concepto de infraestructura el CONCESIONARIO deberá pagar la suma anual de (USD 5.005), el cual corresponde en un 100% a la Nación - Instituto Nacional de Vías (INVIAS) de acuerdo con lo establecido en el artículo 1 de la ley 856 del 21 diciembre de 2003.</w:t>
          </w:r>
        </w:p>
        <w:p w14:paraId="3AD85557" w14:textId="77777777" w:rsidR="00274429" w:rsidRPr="009A46BB" w:rsidRDefault="00274429" w:rsidP="00274429">
          <w:pPr>
            <w:rPr>
              <w:rFonts w:ascii="Times New Roman" w:hAnsi="Times New Roman"/>
            </w:rPr>
          </w:pPr>
          <w:r w:rsidRPr="009A46BB">
            <w:rPr>
              <w:rFonts w:ascii="Times New Roman" w:hAnsi="Times New Roman"/>
            </w:rPr>
            <w:t>Para el caso de este contrato, en el año 2018 el Concesionario pagó de manera anticipada la totalidad de la contraprestación.</w:t>
          </w:r>
        </w:p>
        <w:p w14:paraId="184EBC6E" w14:textId="77777777" w:rsidR="00274429" w:rsidRPr="00411CA4" w:rsidRDefault="00274429" w:rsidP="00274429">
          <w:pPr>
            <w:jc w:val="both"/>
            <w:rPr>
              <w:rFonts w:ascii="Times New Roman" w:hAnsi="Times New Roman"/>
              <w:sz w:val="24"/>
              <w:szCs w:val="24"/>
            </w:rPr>
          </w:pPr>
          <w:r w:rsidRPr="007B5A9B">
            <w:rPr>
              <w:rFonts w:ascii="Times New Roman" w:hAnsi="Times New Roman"/>
              <w:b/>
              <w:bCs/>
              <w:sz w:val="24"/>
              <w:szCs w:val="24"/>
            </w:rPr>
            <w:t xml:space="preserve">3: Plan de Inversiones: </w:t>
          </w:r>
          <w:r w:rsidRPr="00411CA4">
            <w:rPr>
              <w:rFonts w:ascii="Times New Roman" w:hAnsi="Times New Roman"/>
              <w:sz w:val="24"/>
              <w:szCs w:val="24"/>
            </w:rPr>
            <w:t>: está establecido en la cláusula séptima del contrato, el valor presente del plan de inversión será de USD $116.635.</w:t>
          </w:r>
        </w:p>
        <w:p w14:paraId="1F9F88ED" w14:textId="77777777" w:rsidR="00274429" w:rsidRPr="00411CA4" w:rsidRDefault="00274429" w:rsidP="00274429">
          <w:pPr>
            <w:jc w:val="both"/>
            <w:rPr>
              <w:rFonts w:ascii="Times New Roman" w:hAnsi="Times New Roman"/>
              <w:sz w:val="24"/>
              <w:szCs w:val="24"/>
            </w:rPr>
          </w:pPr>
          <w:r w:rsidRPr="00411CA4">
            <w:rPr>
              <w:rFonts w:ascii="Times New Roman" w:hAnsi="Times New Roman"/>
              <w:b/>
              <w:bCs/>
              <w:sz w:val="24"/>
              <w:szCs w:val="24"/>
            </w:rPr>
            <w:t>Obligaciones del CONCESIONARIO</w:t>
          </w:r>
          <w:r w:rsidRPr="00411CA4">
            <w:rPr>
              <w:rFonts w:ascii="Times New Roman" w:hAnsi="Times New Roman"/>
              <w:sz w:val="24"/>
              <w:szCs w:val="24"/>
            </w:rPr>
            <w:t xml:space="preserve">: se encuentran descritas en la cláusula décima quinta del contrato. </w:t>
          </w:r>
        </w:p>
        <w:p w14:paraId="4654B215" w14:textId="77777777" w:rsidR="00274429" w:rsidRPr="00411CA4" w:rsidRDefault="00274429" w:rsidP="00274429">
          <w:pPr>
            <w:jc w:val="both"/>
            <w:rPr>
              <w:rFonts w:ascii="Times New Roman" w:hAnsi="Times New Roman"/>
              <w:sz w:val="24"/>
              <w:szCs w:val="24"/>
            </w:rPr>
          </w:pPr>
          <w:r w:rsidRPr="00411CA4">
            <w:rPr>
              <w:rFonts w:ascii="Times New Roman" w:hAnsi="Times New Roman"/>
              <w:b/>
              <w:bCs/>
              <w:sz w:val="24"/>
              <w:szCs w:val="24"/>
            </w:rPr>
            <w:t>Multas y sanciones</w:t>
          </w:r>
          <w:r w:rsidRPr="00411CA4">
            <w:rPr>
              <w:rFonts w:ascii="Times New Roman" w:hAnsi="Times New Roman"/>
              <w:sz w:val="24"/>
              <w:szCs w:val="24"/>
            </w:rPr>
            <w:t>: están establecidas en la cláusula décima octava del contrato.</w:t>
          </w:r>
        </w:p>
        <w:p w14:paraId="3A409C22" w14:textId="77777777" w:rsidR="00274429" w:rsidRDefault="00274429" w:rsidP="00274429">
          <w:pPr>
            <w:jc w:val="both"/>
            <w:rPr>
              <w:rFonts w:ascii="Times New Roman" w:hAnsi="Times New Roman"/>
              <w:sz w:val="24"/>
              <w:szCs w:val="24"/>
            </w:rPr>
          </w:pPr>
          <w:r w:rsidRPr="00411CA4">
            <w:rPr>
              <w:rFonts w:ascii="Times New Roman" w:hAnsi="Times New Roman"/>
              <w:b/>
              <w:bCs/>
              <w:sz w:val="24"/>
              <w:szCs w:val="24"/>
            </w:rPr>
            <w:lastRenderedPageBreak/>
            <w:t>Penal pecuniario</w:t>
          </w:r>
          <w:r w:rsidRPr="00411CA4">
            <w:rPr>
              <w:rFonts w:ascii="Times New Roman" w:hAnsi="Times New Roman"/>
              <w:sz w:val="24"/>
              <w:szCs w:val="24"/>
            </w:rPr>
            <w:t>: En la cláusula vigésima se establece que en el evento en que el INCO hoy ANI declare la caducidad o el incumplimiento del presente contrato se podrá imponer una penalidad pecuniaria del 10% del valor total de la contraprestación</w:t>
          </w:r>
          <w:r>
            <w:rPr>
              <w:rFonts w:ascii="Times New Roman" w:hAnsi="Times New Roman"/>
              <w:sz w:val="24"/>
              <w:szCs w:val="24"/>
            </w:rPr>
            <w:t>.</w:t>
          </w:r>
        </w:p>
        <w:p w14:paraId="5BB28949" w14:textId="77777777" w:rsidR="00274429" w:rsidRDefault="00274429" w:rsidP="00274429">
          <w:pPr>
            <w:jc w:val="both"/>
            <w:rPr>
              <w:rFonts w:ascii="Times New Roman" w:hAnsi="Times New Roman"/>
              <w:b/>
              <w:bCs/>
              <w:sz w:val="24"/>
              <w:szCs w:val="24"/>
            </w:rPr>
          </w:pPr>
          <w:r w:rsidRPr="004C1095">
            <w:rPr>
              <w:rFonts w:ascii="Times New Roman" w:hAnsi="Times New Roman"/>
              <w:b/>
              <w:bCs/>
              <w:sz w:val="24"/>
              <w:szCs w:val="24"/>
            </w:rPr>
            <w:t>Términos de calendario:</w:t>
          </w:r>
        </w:p>
        <w:p w14:paraId="6B49938D" w14:textId="77777777" w:rsidR="00274429" w:rsidRPr="00C71E4F" w:rsidRDefault="00274429" w:rsidP="00274429">
          <w:pPr>
            <w:jc w:val="both"/>
            <w:rPr>
              <w:rStyle w:val="Estilo3"/>
            </w:rPr>
          </w:pPr>
          <w:r w:rsidRPr="00C71E4F">
            <w:rPr>
              <w:rStyle w:val="Estilo3"/>
            </w:rPr>
            <w:t>1: Tarifas: Aprobadas según la metodología establecida por la Superintendencia General de Puertos hoy Superintendencia de Transporte.</w:t>
          </w:r>
        </w:p>
        <w:p w14:paraId="00AE86DB" w14:textId="77777777" w:rsidR="00274429" w:rsidRPr="00C71E4F" w:rsidRDefault="00274429" w:rsidP="00274429">
          <w:pPr>
            <w:jc w:val="both"/>
            <w:rPr>
              <w:rStyle w:val="Estilo3"/>
            </w:rPr>
          </w:pPr>
          <w:r w:rsidRPr="00C71E4F">
            <w:rPr>
              <w:rStyle w:val="Estilo3"/>
            </w:rPr>
            <w:t>2: Contraprestación portuaria: la contraprestación se debe pagar de manera anual anticipada desde el mes de febrero de cada año</w:t>
          </w:r>
        </w:p>
        <w:p w14:paraId="42783223" w14:textId="77777777" w:rsidR="00274429" w:rsidRPr="00C71E4F" w:rsidRDefault="00274429" w:rsidP="00274429">
          <w:pPr>
            <w:jc w:val="both"/>
            <w:rPr>
              <w:rStyle w:val="Estilo3"/>
            </w:rPr>
          </w:pPr>
          <w:r w:rsidRPr="00C71E4F">
            <w:rPr>
              <w:rStyle w:val="Estilo3"/>
            </w:rPr>
            <w:t>3: Plan de inversiones: Se estableció en la cláusula séptima del contrato ejecución de inversiones en el periodo de tiempo comprendido entre el año 2012 a 2025.</w:t>
          </w:r>
        </w:p>
        <w:p w14:paraId="1828337F" w14:textId="77777777" w:rsidR="00274429" w:rsidRPr="00C71E4F" w:rsidRDefault="00274429" w:rsidP="00274429">
          <w:pPr>
            <w:jc w:val="both"/>
            <w:rPr>
              <w:rStyle w:val="Estilo3"/>
            </w:rPr>
          </w:pPr>
          <w:r w:rsidRPr="00C71E4F">
            <w:rPr>
              <w:rStyle w:val="Estilo3"/>
            </w:rPr>
            <w:t>4: Multas: Cláusula décima octava contrato 001 de 2012.</w:t>
          </w:r>
        </w:p>
        <w:p w14:paraId="594C58B7" w14:textId="77777777"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certeza de flujos de efectivo futuros:</w:t>
          </w:r>
          <w:r>
            <w:rPr>
              <w:rFonts w:ascii="Times New Roman" w:hAnsi="Times New Roman"/>
              <w:b/>
              <w:bCs/>
              <w:sz w:val="24"/>
              <w:szCs w:val="24"/>
            </w:rPr>
            <w:t xml:space="preserve"> </w:t>
          </w:r>
        </w:p>
        <w:p w14:paraId="60F44C8E" w14:textId="77777777" w:rsidR="00274429" w:rsidRPr="005C2A29" w:rsidRDefault="00274429" w:rsidP="00274429">
          <w:pPr>
            <w:jc w:val="both"/>
            <w:rPr>
              <w:rFonts w:ascii="Times New Roman" w:hAnsi="Times New Roman"/>
              <w:sz w:val="24"/>
              <w:szCs w:val="24"/>
            </w:rPr>
          </w:pPr>
          <w:r w:rsidRPr="005C2A29">
            <w:rPr>
              <w:rFonts w:ascii="Times New Roman" w:hAnsi="Times New Roman"/>
              <w:sz w:val="24"/>
              <w:szCs w:val="24"/>
            </w:rPr>
            <w:t>Se otorga a EL CONCESIONARIO el derecho de ocupar y utilizar en forma temporal y exclusiva las playas, los terrenos de bajamar y zonas accesorias a aquellas o estos, descritos en la cláusula segunda del contrato, a cambio de la contraprestación económica.</w:t>
          </w:r>
        </w:p>
        <w:p w14:paraId="1729C8E4" w14:textId="77777777" w:rsidR="00274429" w:rsidRDefault="00274429" w:rsidP="00274429">
          <w:pPr>
            <w:jc w:val="both"/>
            <w:rPr>
              <w:rFonts w:ascii="Times New Roman" w:hAnsi="Times New Roman"/>
              <w:sz w:val="24"/>
              <w:szCs w:val="24"/>
            </w:rPr>
          </w:pPr>
          <w:r w:rsidRPr="005C2A29">
            <w:rPr>
              <w:rFonts w:ascii="Times New Roman" w:hAnsi="Times New Roman"/>
              <w:sz w:val="24"/>
              <w:szCs w:val="24"/>
            </w:rPr>
            <w:t>Cláusula Octava, numeral 1 Del valor a pagar por concepto de contraprestación por Zona de Uso público el 80% le corresponde a la Nación-INVIAS y el 20 % al Distrito turístico de Cartagena de Indias y por Infraestructura el 100% a la Nación-INVIAS</w:t>
          </w:r>
        </w:p>
        <w:p w14:paraId="390C9C7C" w14:textId="77777777" w:rsidR="00274429" w:rsidRPr="005C2A29" w:rsidRDefault="00274429" w:rsidP="00E60BAB">
          <w:pPr>
            <w:pStyle w:val="Prrafodelista"/>
            <w:numPr>
              <w:ilvl w:val="0"/>
              <w:numId w:val="121"/>
            </w:numPr>
            <w:spacing w:line="259" w:lineRule="auto"/>
            <w:jc w:val="both"/>
            <w:rPr>
              <w:rFonts w:ascii="Times New Roman" w:hAnsi="Times New Roman"/>
              <w:b/>
              <w:bCs/>
              <w:sz w:val="24"/>
              <w:szCs w:val="24"/>
            </w:rPr>
          </w:pPr>
          <w:r w:rsidRPr="005C2A29">
            <w:rPr>
              <w:rFonts w:ascii="Times New Roman" w:hAnsi="Times New Roman"/>
              <w:b/>
              <w:bCs/>
              <w:sz w:val="24"/>
              <w:szCs w:val="24"/>
            </w:rPr>
            <w:t>Naturaleza y alcance del derecho a utilizar activos especificados, de los aspectos pactados en torno a lo que se espera que el concesionario proporcione en relación con el acuerdo de concesión (Se requiere ser breves, precisos, y concisos en la redacción)</w:t>
          </w:r>
        </w:p>
        <w:p w14:paraId="33DC09BA" w14:textId="77777777" w:rsidR="00274429" w:rsidRDefault="00274429" w:rsidP="00274429">
          <w:pPr>
            <w:jc w:val="both"/>
            <w:rPr>
              <w:rFonts w:ascii="Times New Roman" w:hAnsi="Times New Roman"/>
              <w:b/>
              <w:bCs/>
              <w:sz w:val="24"/>
              <w:szCs w:val="24"/>
            </w:rPr>
          </w:pPr>
          <w:r w:rsidRPr="00217110">
            <w:rPr>
              <w:rFonts w:ascii="Times New Roman" w:hAnsi="Times New Roman"/>
              <w:b/>
              <w:bCs/>
              <w:sz w:val="24"/>
              <w:szCs w:val="24"/>
            </w:rPr>
            <w:t>Naturaleza y alcance del derecho de uso de los activos</w:t>
          </w:r>
        </w:p>
        <w:p w14:paraId="1B6E05C1" w14:textId="368C438C" w:rsidR="00274429" w:rsidRDefault="00274429" w:rsidP="00274429">
          <w:pPr>
            <w:jc w:val="both"/>
            <w:rPr>
              <w:rFonts w:ascii="Times New Roman" w:hAnsi="Times New Roman"/>
              <w:b/>
              <w:bCs/>
              <w:sz w:val="24"/>
              <w:szCs w:val="24"/>
            </w:rPr>
          </w:pPr>
          <w:r w:rsidRPr="003E5FA9">
            <w:rPr>
              <w:rFonts w:ascii="Times New Roman" w:hAnsi="Times New Roman"/>
              <w:b/>
              <w:bCs/>
              <w:sz w:val="24"/>
              <w:szCs w:val="24"/>
            </w:rPr>
            <w:t>Descripción:</w:t>
          </w:r>
        </w:p>
        <w:p w14:paraId="66DF8724" w14:textId="77777777" w:rsidR="00274429" w:rsidRPr="009A46BB" w:rsidRDefault="00274429" w:rsidP="00274429">
          <w:pPr>
            <w:jc w:val="both"/>
            <w:rPr>
              <w:rFonts w:ascii="Times New Roman" w:hAnsi="Times New Roman"/>
            </w:rPr>
          </w:pPr>
          <w:r w:rsidRPr="009A46BB">
            <w:rPr>
              <w:rFonts w:ascii="Times New Roman" w:hAnsi="Times New Roman"/>
            </w:rPr>
            <w:t>Descripción del proyecto, especificaciones técnicas, modalidades de operación: las condiciones especiales de operación del puerto están establecidas en la cláusula quinta del Contrato de Concesión</w:t>
          </w:r>
        </w:p>
        <w:p w14:paraId="28505B9A" w14:textId="77777777" w:rsidR="00274429" w:rsidRPr="009A46BB" w:rsidRDefault="00274429" w:rsidP="00274429">
          <w:pPr>
            <w:jc w:val="both"/>
            <w:rPr>
              <w:rFonts w:ascii="Times New Roman" w:hAnsi="Times New Roman"/>
            </w:rPr>
          </w:pPr>
          <w:r w:rsidRPr="009A46BB">
            <w:rPr>
              <w:rFonts w:ascii="Times New Roman" w:hAnsi="Times New Roman"/>
            </w:rPr>
            <w:t>Área entregada en concesión: La descripción de la ubicación, linderos y extensión de los bienes de uso público (playas y terrenos de baja mar, zonas marítimas accesorias de maniobras) entregados en concesión están establecidos en la cláusula segunda.</w:t>
          </w:r>
        </w:p>
        <w:p w14:paraId="2DD6EF86" w14:textId="77777777" w:rsidR="00274429" w:rsidRPr="009A46BB" w:rsidRDefault="00274429" w:rsidP="00274429">
          <w:pPr>
            <w:jc w:val="both"/>
            <w:rPr>
              <w:rFonts w:ascii="Times New Roman" w:hAnsi="Times New Roman"/>
            </w:rPr>
          </w:pPr>
          <w:r w:rsidRPr="009A46BB">
            <w:rPr>
              <w:rFonts w:ascii="Times New Roman" w:hAnsi="Times New Roman"/>
            </w:rPr>
            <w:t xml:space="preserve">Infraestructura y equipos entregados en concesión: En la cláusula segunda del Contrato, se describe que lo entregado en concesión fue: </w:t>
          </w:r>
        </w:p>
        <w:p w14:paraId="29AFB395" w14:textId="77777777" w:rsidR="00274429" w:rsidRPr="009A46BB" w:rsidRDefault="00274429" w:rsidP="00274429">
          <w:pPr>
            <w:jc w:val="both"/>
            <w:rPr>
              <w:rFonts w:ascii="Times New Roman" w:hAnsi="Times New Roman"/>
            </w:rPr>
          </w:pPr>
          <w:r w:rsidRPr="009A46BB">
            <w:rPr>
              <w:rFonts w:ascii="Times New Roman" w:hAnsi="Times New Roman"/>
            </w:rPr>
            <w:t>Infraestructura: Muelle marginal tipo T de concreto para embarcaciones mayores, Muelle de servicios para embarcaciones menores construido en madera.</w:t>
          </w:r>
        </w:p>
        <w:p w14:paraId="5489350B" w14:textId="77777777" w:rsidR="00274429" w:rsidRDefault="00274429" w:rsidP="00274429">
          <w:pPr>
            <w:jc w:val="both"/>
            <w:rPr>
              <w:rFonts w:ascii="Times New Roman" w:hAnsi="Times New Roman"/>
              <w:b/>
              <w:bCs/>
              <w:sz w:val="24"/>
              <w:szCs w:val="24"/>
            </w:rPr>
          </w:pPr>
          <w:r w:rsidRPr="003E5FA9">
            <w:rPr>
              <w:rFonts w:ascii="Times New Roman" w:hAnsi="Times New Roman"/>
              <w:b/>
              <w:bCs/>
              <w:sz w:val="24"/>
              <w:szCs w:val="24"/>
            </w:rPr>
            <w:t>Observaciones:</w:t>
          </w:r>
          <w:r>
            <w:rPr>
              <w:rFonts w:ascii="Times New Roman" w:hAnsi="Times New Roman"/>
              <w:b/>
              <w:bCs/>
              <w:sz w:val="24"/>
              <w:szCs w:val="24"/>
            </w:rPr>
            <w:t xml:space="preserve"> NA</w:t>
          </w:r>
        </w:p>
        <w:p w14:paraId="2EC4BFA3" w14:textId="77777777" w:rsidR="00274429" w:rsidRDefault="00274429" w:rsidP="00274429">
          <w:pPr>
            <w:jc w:val="both"/>
            <w:rPr>
              <w:rFonts w:ascii="Times New Roman" w:hAnsi="Times New Roman"/>
              <w:b/>
              <w:bCs/>
              <w:sz w:val="24"/>
              <w:szCs w:val="24"/>
            </w:rPr>
          </w:pPr>
          <w:r>
            <w:rPr>
              <w:rFonts w:ascii="Times New Roman" w:hAnsi="Times New Roman"/>
              <w:b/>
              <w:bCs/>
              <w:sz w:val="24"/>
              <w:szCs w:val="24"/>
            </w:rPr>
            <w:t>Retribución al Concesionario</w:t>
          </w:r>
        </w:p>
        <w:p w14:paraId="4CF8A57C" w14:textId="77777777" w:rsidR="00274429" w:rsidRDefault="00274429" w:rsidP="00274429">
          <w:pPr>
            <w:jc w:val="both"/>
            <w:rPr>
              <w:rFonts w:ascii="Times New Roman" w:hAnsi="Times New Roman"/>
              <w:sz w:val="24"/>
              <w:szCs w:val="24"/>
            </w:rPr>
          </w:pPr>
          <w:r w:rsidRPr="002F1782">
            <w:rPr>
              <w:rFonts w:ascii="Times New Roman" w:hAnsi="Times New Roman"/>
              <w:b/>
              <w:bCs/>
              <w:sz w:val="24"/>
              <w:szCs w:val="24"/>
            </w:rPr>
            <w:lastRenderedPageBreak/>
            <w:t xml:space="preserve">Descripción: </w:t>
          </w:r>
          <w:r w:rsidRPr="006C0E6A">
            <w:rPr>
              <w:rFonts w:ascii="Times New Roman" w:hAnsi="Times New Roman"/>
              <w:sz w:val="24"/>
              <w:szCs w:val="24"/>
            </w:rPr>
            <w:t>Cláusula primera Contrato 001 de 2012: Se otorga a EL CONCESIONARIO el derecho de ocupar y utilizar en forma temporal y exclusiva las playas, los terrenos de bajamar y zonas accesorias a aquellas o estos, descritos en la cláusula segunda del contrato, a cambio de la contraprestación económica.</w:t>
          </w:r>
        </w:p>
        <w:p w14:paraId="79F154A5" w14:textId="77777777" w:rsidR="00274429" w:rsidRPr="00351837" w:rsidRDefault="00274429" w:rsidP="00274429">
          <w:pPr>
            <w:jc w:val="both"/>
            <w:rPr>
              <w:rFonts w:ascii="Times New Roman" w:hAnsi="Times New Roman"/>
              <w:b/>
              <w:bCs/>
              <w:sz w:val="24"/>
              <w:szCs w:val="24"/>
            </w:rPr>
          </w:pPr>
          <w:r>
            <w:rPr>
              <w:rFonts w:ascii="Times New Roman" w:hAnsi="Times New Roman"/>
              <w:b/>
              <w:bCs/>
              <w:sz w:val="24"/>
              <w:szCs w:val="24"/>
            </w:rPr>
            <w:t>Tasa de retribución: NA</w:t>
          </w:r>
        </w:p>
        <w:p w14:paraId="3A492C89" w14:textId="77777777" w:rsidR="00274429" w:rsidRPr="00421699" w:rsidRDefault="00274429" w:rsidP="00E60BAB">
          <w:pPr>
            <w:pStyle w:val="Prrafodelista"/>
            <w:numPr>
              <w:ilvl w:val="0"/>
              <w:numId w:val="121"/>
            </w:numPr>
            <w:spacing w:line="259" w:lineRule="auto"/>
            <w:jc w:val="both"/>
            <w:rPr>
              <w:rFonts w:ascii="Times New Roman" w:hAnsi="Times New Roman"/>
              <w:b/>
              <w:bCs/>
              <w:sz w:val="24"/>
              <w:szCs w:val="24"/>
            </w:rPr>
          </w:pPr>
          <w:r w:rsidRPr="00421699">
            <w:rPr>
              <w:rFonts w:ascii="Times New Roman" w:hAnsi="Times New Roman"/>
              <w:b/>
              <w:bCs/>
              <w:sz w:val="24"/>
              <w:szCs w:val="24"/>
            </w:rPr>
            <w:t>Derechos a recibir activos especificados al final del acuerdo de concesión</w:t>
          </w:r>
        </w:p>
        <w:p w14:paraId="243E6182" w14:textId="77777777" w:rsidR="00274429" w:rsidRDefault="00274429" w:rsidP="00274429">
          <w:pPr>
            <w:jc w:val="both"/>
            <w:rPr>
              <w:rFonts w:ascii="Times New Roman" w:hAnsi="Times New Roman"/>
              <w:sz w:val="24"/>
              <w:szCs w:val="24"/>
            </w:rPr>
          </w:pPr>
          <w:r w:rsidRPr="006D56DF">
            <w:rPr>
              <w:rFonts w:ascii="Times New Roman" w:hAnsi="Times New Roman"/>
              <w:b/>
              <w:bCs/>
              <w:sz w:val="24"/>
              <w:szCs w:val="24"/>
            </w:rPr>
            <w:t>Descripción:</w:t>
          </w:r>
          <w:r>
            <w:rPr>
              <w:rFonts w:ascii="Times New Roman" w:hAnsi="Times New Roman"/>
              <w:b/>
              <w:bCs/>
              <w:sz w:val="24"/>
              <w:szCs w:val="24"/>
            </w:rPr>
            <w:t xml:space="preserve"> </w:t>
          </w:r>
          <w:r w:rsidRPr="006C0E6A">
            <w:rPr>
              <w:rFonts w:ascii="Times New Roman" w:hAnsi="Times New Roman"/>
              <w:sz w:val="24"/>
              <w:szCs w:val="24"/>
            </w:rPr>
            <w:t xml:space="preserve">De acuerdo con el Artículo 8º de la Ley 1 de 1991 en el modo portuario el concesionario no tiene derechos finales sobre activos, los debe revertir a la Nación al final del contrato de concesión. </w:t>
          </w:r>
        </w:p>
        <w:p w14:paraId="082F749F" w14:textId="77777777" w:rsidR="00274429" w:rsidRPr="00351837" w:rsidRDefault="00274429" w:rsidP="00274429">
          <w:pPr>
            <w:jc w:val="both"/>
            <w:rPr>
              <w:rFonts w:ascii="Times New Roman" w:hAnsi="Times New Roman"/>
              <w:sz w:val="24"/>
              <w:szCs w:val="24"/>
            </w:rPr>
          </w:pPr>
          <w:r w:rsidRPr="006D56DF">
            <w:rPr>
              <w:rFonts w:ascii="Times New Roman" w:hAnsi="Times New Roman"/>
              <w:b/>
              <w:bCs/>
              <w:sz w:val="24"/>
              <w:szCs w:val="24"/>
            </w:rPr>
            <w:t>Observaciones:</w:t>
          </w:r>
          <w:r w:rsidRPr="009A46BB">
            <w:rPr>
              <w:rFonts w:ascii="Times New Roman" w:hAnsi="Times New Roman"/>
            </w:rPr>
            <w:t xml:space="preserve"> </w:t>
          </w:r>
        </w:p>
        <w:p w14:paraId="1F99BAAD" w14:textId="540F7A19" w:rsidR="00274429" w:rsidRPr="0029796E" w:rsidRDefault="00274429" w:rsidP="00274429">
          <w:pPr>
            <w:spacing w:after="0" w:line="240" w:lineRule="auto"/>
            <w:jc w:val="both"/>
            <w:rPr>
              <w:rFonts w:ascii="Times New Roman" w:hAnsi="Times New Roman"/>
              <w:sz w:val="24"/>
              <w:szCs w:val="24"/>
            </w:rPr>
          </w:pPr>
          <w:r w:rsidRPr="0029796E">
            <w:rPr>
              <w:rFonts w:ascii="Times New Roman" w:hAnsi="Times New Roman"/>
              <w:sz w:val="24"/>
              <w:szCs w:val="24"/>
            </w:rPr>
            <w:t xml:space="preserve">Reversión: De acuerdo con lo establecido en la cláusula </w:t>
          </w:r>
          <w:r w:rsidR="00BF4537" w:rsidRPr="0029796E">
            <w:rPr>
              <w:rFonts w:ascii="Times New Roman" w:hAnsi="Times New Roman"/>
              <w:sz w:val="24"/>
              <w:szCs w:val="24"/>
            </w:rPr>
            <w:t>decimosegunda</w:t>
          </w:r>
          <w:r w:rsidRPr="0029796E">
            <w:rPr>
              <w:rFonts w:ascii="Times New Roman" w:hAnsi="Times New Roman"/>
              <w:sz w:val="24"/>
              <w:szCs w:val="24"/>
            </w:rPr>
            <w:t xml:space="preserve"> del contrato de concesión, la zona de uso público y todas las construcciones y equipos entregadas en concesión se revertirán a la Nación en buenas condiciones de operación tecnológica, mantenimiento y de adecuada eficiencia al término de este contrato y de las prórrogas si la hubiere. Igualmente procederá la reversión al ser declarado la caducidad o la terminación unilateral. </w:t>
          </w:r>
        </w:p>
        <w:p w14:paraId="679B3A30" w14:textId="77777777" w:rsidR="00274429" w:rsidRPr="0029796E" w:rsidRDefault="00274429" w:rsidP="00274429">
          <w:pPr>
            <w:spacing w:after="0" w:line="240" w:lineRule="auto"/>
            <w:jc w:val="both"/>
            <w:rPr>
              <w:rFonts w:ascii="Times New Roman" w:hAnsi="Times New Roman"/>
              <w:sz w:val="24"/>
              <w:szCs w:val="24"/>
            </w:rPr>
          </w:pPr>
          <w:r w:rsidRPr="0029796E">
            <w:rPr>
              <w:rFonts w:ascii="Times New Roman" w:hAnsi="Times New Roman"/>
              <w:sz w:val="24"/>
              <w:szCs w:val="24"/>
            </w:rPr>
            <w:t>Para tal fin, en el momento de la reversión el CONCESIONARIO deberá hacer entrega de un avaluó comercial actualizado y valoración técnica de las condiciones de operación de la infraestructura portuaria, equipos e inmuebles por destinación que habitualmente se encuentren instalados en las zonas de uso público que se revierten y que son propiedad de la Nación.</w:t>
          </w:r>
        </w:p>
        <w:p w14:paraId="49143E3F" w14:textId="77777777" w:rsidR="00274429" w:rsidRPr="0029796E" w:rsidRDefault="00274429" w:rsidP="00274429">
          <w:pPr>
            <w:spacing w:after="0" w:line="240" w:lineRule="auto"/>
            <w:jc w:val="both"/>
            <w:rPr>
              <w:rFonts w:ascii="Times New Roman" w:hAnsi="Times New Roman"/>
              <w:sz w:val="24"/>
              <w:szCs w:val="24"/>
            </w:rPr>
          </w:pPr>
          <w:r w:rsidRPr="0029796E">
            <w:rPr>
              <w:rFonts w:ascii="Times New Roman" w:hAnsi="Times New Roman"/>
              <w:sz w:val="24"/>
              <w:szCs w:val="24"/>
            </w:rPr>
            <w:t>Obras Adicionales: De acuerdo con lo establecido en la cláusula décima tercera, las obras e inversiones adicionales deben ser siempre aprobadas a través de un acto administrativo debidamente motivado por la ANI, se deberán revertir gratuitamente a la Nación, las obras adicionales serán asumidas por el CONCESIONARIO a su cuenta y riesgo, partiendo del principio que la inversión realizada será recuperada durante el término de la concesión, por tal motivo no dará derecho a indemnización alguna a favor del CONCESIONARIO.</w:t>
          </w:r>
        </w:p>
        <w:p w14:paraId="28A4C590" w14:textId="77777777" w:rsidR="00274429" w:rsidRPr="0029796E" w:rsidRDefault="00274429" w:rsidP="00274429">
          <w:pPr>
            <w:spacing w:after="0" w:line="240" w:lineRule="auto"/>
            <w:jc w:val="both"/>
            <w:rPr>
              <w:rFonts w:ascii="Times New Roman" w:hAnsi="Times New Roman"/>
              <w:sz w:val="24"/>
              <w:szCs w:val="24"/>
            </w:rPr>
          </w:pPr>
          <w:r w:rsidRPr="0029796E">
            <w:rPr>
              <w:rFonts w:ascii="Times New Roman" w:hAnsi="Times New Roman"/>
              <w:sz w:val="24"/>
              <w:szCs w:val="24"/>
            </w:rPr>
            <w:t>La ANI es la entidad concedente pero la titularidad de los activos al final de la concesión es del Instituto Nacional de Vías INVIAS.</w:t>
          </w:r>
        </w:p>
        <w:p w14:paraId="543BF483" w14:textId="77777777" w:rsidR="00274429" w:rsidRPr="00197A12" w:rsidRDefault="00274429" w:rsidP="00274429">
          <w:pPr>
            <w:spacing w:after="0" w:line="240" w:lineRule="auto"/>
            <w:jc w:val="both"/>
            <w:rPr>
              <w:rFonts w:ascii="Times New Roman" w:hAnsi="Times New Roman"/>
              <w:b/>
              <w:bCs/>
              <w:sz w:val="24"/>
              <w:szCs w:val="24"/>
            </w:rPr>
          </w:pPr>
        </w:p>
        <w:p w14:paraId="1B201F35" w14:textId="68647AC7" w:rsidR="00274429" w:rsidRDefault="2DFA31FF" w:rsidP="00E60BAB">
          <w:pPr>
            <w:pStyle w:val="Prrafodelista"/>
            <w:numPr>
              <w:ilvl w:val="0"/>
              <w:numId w:val="121"/>
            </w:numPr>
            <w:spacing w:line="259" w:lineRule="auto"/>
            <w:jc w:val="both"/>
            <w:rPr>
              <w:rFonts w:ascii="Times New Roman" w:hAnsi="Times New Roman"/>
              <w:b/>
              <w:bCs/>
              <w:sz w:val="24"/>
              <w:szCs w:val="24"/>
            </w:rPr>
          </w:pPr>
          <w:r w:rsidRPr="10D44305">
            <w:rPr>
              <w:rFonts w:ascii="Times New Roman" w:hAnsi="Times New Roman"/>
              <w:b/>
              <w:bCs/>
              <w:sz w:val="24"/>
              <w:szCs w:val="24"/>
            </w:rPr>
            <w:t>No hay c</w:t>
          </w:r>
          <w:r w:rsidR="00274429" w:rsidRPr="10D44305">
            <w:rPr>
              <w:rFonts w:ascii="Times New Roman" w:hAnsi="Times New Roman"/>
              <w:b/>
              <w:bCs/>
              <w:sz w:val="24"/>
              <w:szCs w:val="24"/>
            </w:rPr>
            <w:t>ambios</w:t>
          </w:r>
          <w:r w:rsidR="00274429" w:rsidRPr="004B43C7">
            <w:rPr>
              <w:rFonts w:ascii="Times New Roman" w:hAnsi="Times New Roman"/>
              <w:b/>
              <w:bCs/>
              <w:sz w:val="24"/>
              <w:szCs w:val="24"/>
            </w:rPr>
            <w:t xml:space="preserve"> en el acuerdo de concesión que se realicen durante el periodo fiscal </w:t>
          </w:r>
        </w:p>
        <w:p w14:paraId="36F3D347" w14:textId="77777777" w:rsidR="00274429" w:rsidRPr="00197A12" w:rsidRDefault="00274429" w:rsidP="00274429">
          <w:pPr>
            <w:spacing w:after="0" w:line="240" w:lineRule="auto"/>
            <w:jc w:val="both"/>
            <w:rPr>
              <w:rFonts w:ascii="Times New Roman" w:hAnsi="Times New Roman"/>
              <w:b/>
              <w:bCs/>
              <w:sz w:val="24"/>
              <w:szCs w:val="24"/>
            </w:rPr>
          </w:pPr>
        </w:p>
        <w:p w14:paraId="774629AA" w14:textId="64B3D50B" w:rsidR="10D44305" w:rsidRDefault="10D44305" w:rsidP="10D44305">
          <w:pPr>
            <w:spacing w:after="0" w:line="240" w:lineRule="auto"/>
            <w:jc w:val="both"/>
            <w:rPr>
              <w:rFonts w:ascii="Times New Roman" w:hAnsi="Times New Roman"/>
              <w:b/>
              <w:bCs/>
              <w:sz w:val="24"/>
              <w:szCs w:val="24"/>
            </w:rPr>
          </w:pPr>
        </w:p>
        <w:p w14:paraId="42FD0A55" w14:textId="71028127" w:rsidR="00274429" w:rsidRDefault="00274429" w:rsidP="00274429">
          <w:pPr>
            <w:rPr>
              <w:rFonts w:ascii="Times New Roman" w:hAnsi="Times New Roman"/>
              <w:b/>
              <w:sz w:val="24"/>
              <w:szCs w:val="24"/>
            </w:rPr>
          </w:pPr>
          <w:r w:rsidRPr="10D44305">
            <w:rPr>
              <w:rFonts w:ascii="Times New Roman" w:hAnsi="Times New Roman"/>
              <w:b/>
              <w:bCs/>
              <w:sz w:val="24"/>
              <w:szCs w:val="24"/>
            </w:rPr>
            <w:t>SOCIEDAD CENIT TRANSPORTE Y LOGÍSTICA DE HIDROCARBUROS S.A.S. TERMINAL MARÍTIMO TUMACO</w:t>
          </w:r>
        </w:p>
        <w:p w14:paraId="008239EC" w14:textId="77777777" w:rsidR="00274429" w:rsidRPr="00996621" w:rsidRDefault="00274429" w:rsidP="00E60BAB">
          <w:pPr>
            <w:pStyle w:val="Prrafodelista"/>
            <w:numPr>
              <w:ilvl w:val="0"/>
              <w:numId w:val="122"/>
            </w:numPr>
            <w:spacing w:line="259" w:lineRule="auto"/>
            <w:rPr>
              <w:rFonts w:ascii="Times New Roman" w:hAnsi="Times New Roman"/>
              <w:b/>
              <w:bCs/>
              <w:sz w:val="24"/>
              <w:szCs w:val="24"/>
            </w:rPr>
          </w:pPr>
          <w:r w:rsidRPr="00996621">
            <w:rPr>
              <w:rFonts w:ascii="Times New Roman" w:hAnsi="Times New Roman"/>
              <w:b/>
              <w:bCs/>
              <w:sz w:val="24"/>
              <w:szCs w:val="24"/>
            </w:rPr>
            <w:t>Descripción del acuerdo</w:t>
          </w:r>
        </w:p>
        <w:p w14:paraId="1EF4BA73" w14:textId="4D863BE9" w:rsidR="00274429" w:rsidRPr="009A46BB" w:rsidRDefault="00274429" w:rsidP="10D44305">
          <w:pPr>
            <w:spacing w:after="0"/>
            <w:rPr>
              <w:rFonts w:ascii="Times New Roman" w:hAnsi="Times New Roman"/>
            </w:rPr>
          </w:pPr>
          <w:r w:rsidRPr="009A46BB">
            <w:rPr>
              <w:rFonts w:ascii="Times New Roman" w:hAnsi="Times New Roman"/>
              <w:b/>
            </w:rPr>
            <w:t>Número del acuerdo de concesión:</w:t>
          </w:r>
          <w:r w:rsidR="0D4CA498" w:rsidRPr="10D44305">
            <w:rPr>
              <w:rFonts w:ascii="Times New Roman" w:hAnsi="Times New Roman"/>
              <w:b/>
              <w:bCs/>
            </w:rPr>
            <w:t xml:space="preserve"> </w:t>
          </w:r>
          <w:r w:rsidRPr="009A46BB">
            <w:rPr>
              <w:rFonts w:ascii="Times New Roman" w:hAnsi="Times New Roman"/>
            </w:rPr>
            <w:t>Contrato No. 001 de 2013</w:t>
          </w:r>
        </w:p>
        <w:p w14:paraId="2DA18B99" w14:textId="69ABE66A" w:rsidR="00274429" w:rsidRPr="009A46BB" w:rsidRDefault="00274429" w:rsidP="10D44305">
          <w:pPr>
            <w:spacing w:after="0"/>
            <w:jc w:val="both"/>
            <w:rPr>
              <w:rFonts w:ascii="Times New Roman" w:hAnsi="Times New Roman"/>
            </w:rPr>
          </w:pPr>
          <w:r w:rsidRPr="009A46BB">
            <w:rPr>
              <w:rFonts w:ascii="Times New Roman" w:hAnsi="Times New Roman"/>
              <w:b/>
            </w:rPr>
            <w:t>Objeto / Descripción</w:t>
          </w:r>
          <w:r w:rsidRPr="009A46BB">
            <w:rPr>
              <w:rFonts w:ascii="Times New Roman" w:hAnsi="Times New Roman"/>
            </w:rPr>
            <w:t>:</w:t>
          </w:r>
          <w:r w:rsidR="3788CA6A" w:rsidRPr="10D44305">
            <w:rPr>
              <w:rFonts w:ascii="Times New Roman" w:hAnsi="Times New Roman"/>
            </w:rPr>
            <w:t xml:space="preserve"> </w:t>
          </w:r>
          <w:r w:rsidRPr="009A46BB">
            <w:rPr>
              <w:rFonts w:ascii="Times New Roman" w:hAnsi="Times New Roman"/>
            </w:rPr>
            <w:t xml:space="preserve">En virtud del Contrato de concesión y su modificación, se permite al CONCESIONARIO ocupar y utilizar en forma temporal y exclusiva el área de uso público de una zona de playas, de bajamar y aguas marítimas interiores y espejo de agua, para el manejo de hidrocarburos </w:t>
          </w:r>
          <w:r w:rsidRPr="009A46BB">
            <w:rPr>
              <w:rFonts w:ascii="Times New Roman" w:hAnsi="Times New Roman"/>
            </w:rPr>
            <w:lastRenderedPageBreak/>
            <w:t>y el desarrollo de actividades portuarias de servicio privado, conforme lo establece la Cláusula Primera del Contrato.</w:t>
          </w:r>
        </w:p>
        <w:p w14:paraId="297525F1" w14:textId="7005DB7D" w:rsidR="00274429" w:rsidRDefault="00274429" w:rsidP="00544CB7">
          <w:pPr>
            <w:spacing w:after="0"/>
            <w:jc w:val="both"/>
            <w:rPr>
              <w:rFonts w:ascii="Times New Roman" w:hAnsi="Times New Roman"/>
              <w:sz w:val="24"/>
              <w:szCs w:val="24"/>
            </w:rPr>
          </w:pPr>
          <w:r w:rsidRPr="00521A07">
            <w:rPr>
              <w:rFonts w:ascii="Times New Roman" w:hAnsi="Times New Roman"/>
              <w:b/>
              <w:bCs/>
              <w:sz w:val="24"/>
              <w:szCs w:val="24"/>
            </w:rPr>
            <w:t>Valor inicial:</w:t>
          </w:r>
          <w:r w:rsidR="66188CD5" w:rsidRPr="10D44305">
            <w:rPr>
              <w:rFonts w:ascii="Times New Roman" w:hAnsi="Times New Roman"/>
              <w:b/>
              <w:bCs/>
              <w:sz w:val="24"/>
              <w:szCs w:val="24"/>
            </w:rPr>
            <w:t xml:space="preserve"> </w:t>
          </w:r>
          <w:r w:rsidRPr="00B71CD5">
            <w:rPr>
              <w:rFonts w:ascii="Times New Roman" w:hAnsi="Times New Roman"/>
              <w:sz w:val="24"/>
              <w:szCs w:val="24"/>
            </w:rPr>
            <w:t>Cláusula Octava del contrato principal por valor de USD 1.640.529</w:t>
          </w:r>
        </w:p>
        <w:p w14:paraId="0E3D56F9" w14:textId="77777777" w:rsidR="00274429" w:rsidRDefault="00274429" w:rsidP="00544CB7">
          <w:pPr>
            <w:spacing w:after="0"/>
            <w:rPr>
              <w:rFonts w:ascii="Times New Roman" w:hAnsi="Times New Roman"/>
              <w:sz w:val="24"/>
              <w:szCs w:val="24"/>
            </w:rPr>
          </w:pPr>
          <w:r w:rsidRPr="00521A07">
            <w:rPr>
              <w:rFonts w:ascii="Times New Roman" w:hAnsi="Times New Roman"/>
              <w:b/>
              <w:bCs/>
              <w:sz w:val="24"/>
              <w:szCs w:val="24"/>
            </w:rPr>
            <w:t>Fecha de inicio:</w:t>
          </w:r>
          <w:r>
            <w:rPr>
              <w:rFonts w:ascii="Times New Roman" w:hAnsi="Times New Roman"/>
              <w:b/>
              <w:bCs/>
              <w:sz w:val="24"/>
              <w:szCs w:val="24"/>
            </w:rPr>
            <w:t xml:space="preserve"> </w:t>
          </w:r>
          <w:r>
            <w:rPr>
              <w:rFonts w:ascii="Times New Roman" w:hAnsi="Times New Roman"/>
              <w:sz w:val="24"/>
              <w:szCs w:val="24"/>
            </w:rPr>
            <w:t>05/02/2013</w:t>
          </w:r>
        </w:p>
        <w:p w14:paraId="623E4411" w14:textId="77777777" w:rsidR="00274429" w:rsidRDefault="00274429" w:rsidP="00544CB7">
          <w:pPr>
            <w:spacing w:after="0"/>
            <w:jc w:val="both"/>
            <w:rPr>
              <w:rFonts w:ascii="Times New Roman" w:hAnsi="Times New Roman"/>
              <w:sz w:val="24"/>
              <w:szCs w:val="24"/>
            </w:rPr>
          </w:pPr>
          <w:r w:rsidRPr="00521A07">
            <w:rPr>
              <w:rFonts w:ascii="Times New Roman" w:hAnsi="Times New Roman"/>
              <w:b/>
              <w:bCs/>
              <w:sz w:val="24"/>
              <w:szCs w:val="24"/>
            </w:rPr>
            <w:t>Fecha de finalización estimada:</w:t>
          </w:r>
          <w:r>
            <w:rPr>
              <w:rFonts w:ascii="Times New Roman" w:hAnsi="Times New Roman"/>
              <w:b/>
              <w:bCs/>
              <w:sz w:val="24"/>
              <w:szCs w:val="24"/>
            </w:rPr>
            <w:t xml:space="preserve"> </w:t>
          </w:r>
          <w:r>
            <w:rPr>
              <w:rFonts w:ascii="Times New Roman" w:hAnsi="Times New Roman"/>
              <w:sz w:val="24"/>
              <w:szCs w:val="24"/>
            </w:rPr>
            <w:t>04/02/2033</w:t>
          </w:r>
        </w:p>
        <w:p w14:paraId="09C62BD0" w14:textId="77777777" w:rsidR="00274429" w:rsidRPr="009A46BB" w:rsidRDefault="00274429" w:rsidP="00544CB7">
          <w:pPr>
            <w:spacing w:after="0"/>
            <w:jc w:val="both"/>
            <w:rPr>
              <w:rFonts w:ascii="Times New Roman" w:hAnsi="Times New Roman"/>
            </w:rPr>
          </w:pPr>
          <w:r w:rsidRPr="00521A07">
            <w:rPr>
              <w:rFonts w:ascii="Times New Roman" w:hAnsi="Times New Roman"/>
              <w:b/>
              <w:bCs/>
              <w:sz w:val="24"/>
              <w:szCs w:val="24"/>
            </w:rPr>
            <w:t>Tipo ID:</w:t>
          </w:r>
          <w:r>
            <w:rPr>
              <w:rFonts w:ascii="Times New Roman" w:hAnsi="Times New Roman"/>
              <w:b/>
              <w:bCs/>
              <w:sz w:val="24"/>
              <w:szCs w:val="24"/>
            </w:rPr>
            <w:t xml:space="preserve"> NIT</w:t>
          </w:r>
        </w:p>
        <w:p w14:paraId="128B8E73" w14:textId="77777777" w:rsidR="00274429" w:rsidRDefault="00274429" w:rsidP="00544CB7">
          <w:pPr>
            <w:spacing w:after="0"/>
            <w:rPr>
              <w:rFonts w:ascii="Times New Roman" w:hAnsi="Times New Roman"/>
              <w:sz w:val="24"/>
              <w:szCs w:val="24"/>
            </w:rPr>
          </w:pPr>
          <w:r w:rsidRPr="00521A07">
            <w:rPr>
              <w:rFonts w:ascii="Times New Roman" w:hAnsi="Times New Roman"/>
              <w:b/>
              <w:bCs/>
              <w:sz w:val="24"/>
              <w:szCs w:val="24"/>
            </w:rPr>
            <w:t>Número ID:</w:t>
          </w:r>
          <w:r>
            <w:rPr>
              <w:rFonts w:ascii="Times New Roman" w:hAnsi="Times New Roman"/>
              <w:b/>
              <w:bCs/>
              <w:sz w:val="24"/>
              <w:szCs w:val="24"/>
            </w:rPr>
            <w:t xml:space="preserve"> </w:t>
          </w:r>
          <w:r w:rsidRPr="00B71CD5">
            <w:rPr>
              <w:rFonts w:ascii="Times New Roman" w:hAnsi="Times New Roman"/>
              <w:sz w:val="24"/>
              <w:szCs w:val="24"/>
            </w:rPr>
            <w:t>900.531.210-3</w:t>
          </w:r>
        </w:p>
        <w:p w14:paraId="0EE49AFC" w14:textId="336D70D9" w:rsidR="00274429" w:rsidRDefault="00274429" w:rsidP="00274429">
          <w:pPr>
            <w:rPr>
              <w:rFonts w:ascii="Times New Roman" w:hAnsi="Times New Roman"/>
              <w:sz w:val="24"/>
              <w:szCs w:val="24"/>
            </w:rPr>
          </w:pPr>
          <w:r w:rsidRPr="00521A07">
            <w:rPr>
              <w:rFonts w:ascii="Times New Roman" w:hAnsi="Times New Roman"/>
              <w:b/>
              <w:bCs/>
              <w:sz w:val="24"/>
              <w:szCs w:val="24"/>
            </w:rPr>
            <w:t>Razón social del concesionario:</w:t>
          </w:r>
          <w:r w:rsidR="405F9055" w:rsidRPr="10D44305">
            <w:rPr>
              <w:rFonts w:ascii="Times New Roman" w:hAnsi="Times New Roman"/>
              <w:b/>
              <w:bCs/>
              <w:sz w:val="24"/>
              <w:szCs w:val="24"/>
            </w:rPr>
            <w:t xml:space="preserve"> </w:t>
          </w:r>
          <w:r w:rsidRPr="00601802">
            <w:rPr>
              <w:rFonts w:ascii="Times New Roman" w:hAnsi="Times New Roman"/>
              <w:sz w:val="24"/>
              <w:szCs w:val="24"/>
            </w:rPr>
            <w:t xml:space="preserve">Sociedad CENIT Transporte y Logística de Hidrocarburos S.A.S. Terminal Marítimo Tumaco. </w:t>
          </w:r>
        </w:p>
        <w:p w14:paraId="731A7AC7" w14:textId="7016BF40" w:rsidR="00274429" w:rsidRDefault="00274429" w:rsidP="00274429">
          <w:pPr>
            <w:rPr>
              <w:rFonts w:ascii="Times New Roman" w:hAnsi="Times New Roman"/>
              <w:sz w:val="24"/>
              <w:szCs w:val="24"/>
            </w:rPr>
          </w:pPr>
          <w:r w:rsidRPr="00521A07">
            <w:rPr>
              <w:rFonts w:ascii="Times New Roman" w:hAnsi="Times New Roman"/>
              <w:b/>
              <w:bCs/>
              <w:sz w:val="24"/>
              <w:szCs w:val="24"/>
            </w:rPr>
            <w:t>Nombre del proyecto:</w:t>
          </w:r>
          <w:r w:rsidR="2FCCAD50" w:rsidRPr="10D44305">
            <w:rPr>
              <w:rFonts w:ascii="Times New Roman" w:hAnsi="Times New Roman"/>
              <w:b/>
              <w:bCs/>
              <w:sz w:val="24"/>
              <w:szCs w:val="24"/>
            </w:rPr>
            <w:t xml:space="preserve"> </w:t>
          </w:r>
          <w:r w:rsidRPr="00601802">
            <w:rPr>
              <w:rFonts w:ascii="Times New Roman" w:hAnsi="Times New Roman"/>
              <w:sz w:val="24"/>
              <w:szCs w:val="24"/>
            </w:rPr>
            <w:t>Sociedad CENIT Transporte y Logística de Hidrocarburos S.A.S. Terminal Marítimo Tumaco.</w:t>
          </w:r>
        </w:p>
        <w:p w14:paraId="59E51E33" w14:textId="77777777" w:rsidR="00274429" w:rsidRPr="005C2A29" w:rsidRDefault="00274429" w:rsidP="00E60BAB">
          <w:pPr>
            <w:pStyle w:val="Prrafodelista"/>
            <w:numPr>
              <w:ilvl w:val="0"/>
              <w:numId w:val="122"/>
            </w:numPr>
            <w:spacing w:line="259" w:lineRule="auto"/>
            <w:rPr>
              <w:rFonts w:ascii="Times New Roman" w:hAnsi="Times New Roman"/>
              <w:b/>
              <w:bCs/>
              <w:sz w:val="24"/>
              <w:szCs w:val="24"/>
            </w:rPr>
          </w:pPr>
          <w:r w:rsidRPr="005C2A29">
            <w:rPr>
              <w:rFonts w:ascii="Times New Roman" w:hAnsi="Times New Roman"/>
              <w:b/>
              <w:bCs/>
              <w:sz w:val="24"/>
              <w:szCs w:val="24"/>
            </w:rPr>
            <w:t>Términos significativos del acuerdo que puedan afectar su valor, el calendario y la certeza de los flujos</w:t>
          </w:r>
        </w:p>
        <w:p w14:paraId="45C478BF" w14:textId="60999595"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valor:</w:t>
          </w:r>
        </w:p>
        <w:p w14:paraId="1D5918A5" w14:textId="7F0C5A47" w:rsidR="00274429" w:rsidRDefault="00274429" w:rsidP="00274429">
          <w:pPr>
            <w:jc w:val="both"/>
            <w:rPr>
              <w:rFonts w:ascii="Times New Roman" w:hAnsi="Times New Roman"/>
              <w:sz w:val="24"/>
              <w:szCs w:val="24"/>
            </w:rPr>
          </w:pPr>
          <w:r w:rsidRPr="00FC7585">
            <w:rPr>
              <w:rFonts w:ascii="Times New Roman" w:hAnsi="Times New Roman"/>
              <w:b/>
              <w:bCs/>
              <w:sz w:val="24"/>
              <w:szCs w:val="24"/>
            </w:rPr>
            <w:t xml:space="preserve">Tarifas: </w:t>
          </w:r>
          <w:r w:rsidRPr="00454613">
            <w:rPr>
              <w:rFonts w:ascii="Times New Roman" w:hAnsi="Times New Roman"/>
              <w:sz w:val="24"/>
              <w:szCs w:val="24"/>
            </w:rPr>
            <w:t>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w:t>
          </w:r>
        </w:p>
        <w:p w14:paraId="7E1342EF" w14:textId="7B5C1B28" w:rsidR="00274429" w:rsidRPr="009A46BB" w:rsidRDefault="00274429" w:rsidP="00274429">
          <w:pPr>
            <w:jc w:val="both"/>
            <w:rPr>
              <w:rFonts w:ascii="Times New Roman" w:hAnsi="Times New Roman"/>
            </w:rPr>
          </w:pPr>
          <w:r w:rsidRPr="00FC7585">
            <w:rPr>
              <w:rFonts w:ascii="Times New Roman" w:hAnsi="Times New Roman"/>
              <w:b/>
              <w:bCs/>
              <w:sz w:val="24"/>
              <w:szCs w:val="24"/>
            </w:rPr>
            <w:t xml:space="preserve">Contraprestación portuaria: </w:t>
          </w:r>
          <w:r w:rsidRPr="00454613">
            <w:rPr>
              <w:rFonts w:ascii="Times New Roman" w:hAnsi="Times New Roman"/>
              <w:sz w:val="24"/>
              <w:szCs w:val="24"/>
            </w:rPr>
            <w:t>De acuerdo con el último documento contractual la metodología de contraprestación vigente es CONPES 3744 de 2013 (Componentes Fijo y Variable).A febrero de 2023 se proyectó que el CONCESIONARIO debió pagar la suma de USD $414.098, valor que incluye componente fijo y componente variable.El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Municipio de Tumaco; e INFRAESTRUCTURA en un 100%</w:t>
          </w:r>
          <w:r>
            <w:rPr>
              <w:rFonts w:ascii="Times New Roman" w:hAnsi="Times New Roman"/>
              <w:sz w:val="24"/>
              <w:szCs w:val="24"/>
            </w:rPr>
            <w:t xml:space="preserve"> </w:t>
          </w:r>
          <w:r w:rsidRPr="009A46BB">
            <w:rPr>
              <w:rFonts w:ascii="Times New Roman" w:hAnsi="Times New Roman"/>
            </w:rPr>
            <w:t>a la Nación - Instituto Nacional de Vías (INVIAS). </w:t>
          </w:r>
        </w:p>
        <w:p w14:paraId="43FBD897" w14:textId="77777777" w:rsidR="00274429" w:rsidRPr="009A46BB" w:rsidRDefault="00274429" w:rsidP="00274429">
          <w:pPr>
            <w:jc w:val="both"/>
            <w:rPr>
              <w:rFonts w:ascii="Times New Roman" w:hAnsi="Times New Roman"/>
            </w:rPr>
          </w:pPr>
          <w:r w:rsidRPr="009A46BB">
            <w:rPr>
              <w:rFonts w:ascii="Times New Roman" w:hAnsi="Times New Roman"/>
              <w:b/>
            </w:rPr>
            <w:t>Plan de Inversiones</w:t>
          </w:r>
          <w:r w:rsidRPr="009A46BB">
            <w:rPr>
              <w:rFonts w:ascii="Times New Roman" w:hAnsi="Times New Roman"/>
            </w:rPr>
            <w:t xml:space="preserve">: está establecido en la cláusula Séptima del Contrato No. 001 de 2013, el cual establece en el parágrafo primero un valor de inversiones en Valor presente Neto de USD $2.853.739. </w:t>
          </w:r>
        </w:p>
        <w:p w14:paraId="2FB0E5CF" w14:textId="178AB4EF" w:rsidR="00274429" w:rsidRPr="009A46BB" w:rsidRDefault="00274429" w:rsidP="00274429">
          <w:pPr>
            <w:jc w:val="both"/>
            <w:rPr>
              <w:rFonts w:ascii="Times New Roman" w:hAnsi="Times New Roman"/>
            </w:rPr>
          </w:pPr>
          <w:r w:rsidRPr="009A46BB">
            <w:rPr>
              <w:rFonts w:ascii="Times New Roman" w:hAnsi="Times New Roman"/>
              <w:b/>
            </w:rPr>
            <w:t>Obligaciones del CONCESIONARIO</w:t>
          </w:r>
          <w:r w:rsidRPr="009A46BB">
            <w:rPr>
              <w:rFonts w:ascii="Times New Roman" w:hAnsi="Times New Roman"/>
            </w:rPr>
            <w:t>: se encuentran descritas en la cláusula décima Quinta del Contrato de Concesión.</w:t>
          </w:r>
        </w:p>
        <w:p w14:paraId="306CFE95" w14:textId="77777777" w:rsidR="00274429" w:rsidRPr="009A46BB" w:rsidRDefault="00274429" w:rsidP="00274429">
          <w:pPr>
            <w:jc w:val="both"/>
            <w:rPr>
              <w:rFonts w:ascii="Times New Roman" w:hAnsi="Times New Roman"/>
            </w:rPr>
          </w:pPr>
          <w:r w:rsidRPr="009A46BB">
            <w:rPr>
              <w:rFonts w:ascii="Times New Roman" w:hAnsi="Times New Roman"/>
              <w:b/>
            </w:rPr>
            <w:t>Multas y sanciones</w:t>
          </w:r>
          <w:r w:rsidRPr="009A46BB">
            <w:rPr>
              <w:rFonts w:ascii="Times New Roman" w:hAnsi="Times New Roman"/>
            </w:rPr>
            <w:t xml:space="preserve">: están establecidas en la cláusula décima octava. </w:t>
          </w:r>
        </w:p>
        <w:p w14:paraId="606F5F70" w14:textId="3F4C01C7" w:rsidR="00274429" w:rsidRPr="009A46BB" w:rsidRDefault="00274429" w:rsidP="00274429">
          <w:pPr>
            <w:jc w:val="both"/>
            <w:rPr>
              <w:rFonts w:ascii="Times New Roman" w:hAnsi="Times New Roman"/>
            </w:rPr>
          </w:pPr>
          <w:r w:rsidRPr="009A46BB">
            <w:rPr>
              <w:rFonts w:ascii="Times New Roman" w:hAnsi="Times New Roman"/>
              <w:b/>
            </w:rPr>
            <w:t>Penal pecuniario</w:t>
          </w:r>
          <w:r w:rsidRPr="009A46BB">
            <w:rPr>
              <w:rFonts w:ascii="Times New Roman" w:hAnsi="Times New Roman"/>
            </w:rPr>
            <w:t>: En la cláusula vigésima, se establece que en el evento que la Agencia Nacional de Infraestructura declare la caducidad o el incumplimiento del presente contrato, LA SOCIEDAD CONCESIONARIA deberá pagar la suma equivalente al 10% del valor total de la contraprestación, como sanción pecuniaria.</w:t>
          </w:r>
        </w:p>
        <w:p w14:paraId="2BAD2634" w14:textId="77777777" w:rsidR="00274429" w:rsidRDefault="00274429" w:rsidP="00274429">
          <w:pPr>
            <w:jc w:val="both"/>
            <w:rPr>
              <w:rFonts w:ascii="Times New Roman" w:hAnsi="Times New Roman"/>
              <w:b/>
              <w:bCs/>
              <w:sz w:val="24"/>
              <w:szCs w:val="24"/>
            </w:rPr>
          </w:pPr>
          <w:r w:rsidRPr="004C1095">
            <w:rPr>
              <w:rFonts w:ascii="Times New Roman" w:hAnsi="Times New Roman"/>
              <w:b/>
              <w:bCs/>
              <w:sz w:val="24"/>
              <w:szCs w:val="24"/>
            </w:rPr>
            <w:t>Términos de calendario:</w:t>
          </w:r>
        </w:p>
        <w:p w14:paraId="2C9F5C8D" w14:textId="77777777" w:rsidR="00274429" w:rsidRPr="00F36057" w:rsidRDefault="00274429" w:rsidP="00274429">
          <w:pPr>
            <w:jc w:val="both"/>
            <w:rPr>
              <w:rStyle w:val="Estilo3"/>
            </w:rPr>
          </w:pPr>
          <w:r w:rsidRPr="00F36057">
            <w:rPr>
              <w:rStyle w:val="Estilo3"/>
            </w:rPr>
            <w:t xml:space="preserve">Tarifas: Aprobadas según la metodología establecida por la Superintendencia General de Puertos hoy Superintendencia de Transporte. </w:t>
          </w:r>
        </w:p>
        <w:p w14:paraId="78AE67E2" w14:textId="77777777" w:rsidR="00274429" w:rsidRPr="00F36057" w:rsidRDefault="00274429" w:rsidP="00274429">
          <w:pPr>
            <w:jc w:val="both"/>
            <w:rPr>
              <w:rStyle w:val="Estilo3"/>
            </w:rPr>
          </w:pPr>
          <w:r w:rsidRPr="00F36057">
            <w:rPr>
              <w:rStyle w:val="Estilo3"/>
            </w:rPr>
            <w:lastRenderedPageBreak/>
            <w:t>Contraprestación portuaria: La contraprestación se debe pagar de manera anticipada antes del mes de febrero de cada año, según la metodología Conpes 3744 de 2013.</w:t>
          </w:r>
        </w:p>
        <w:p w14:paraId="55D44110" w14:textId="77777777" w:rsidR="00274429" w:rsidRPr="00F36057" w:rsidRDefault="00274429" w:rsidP="00274429">
          <w:pPr>
            <w:jc w:val="both"/>
            <w:rPr>
              <w:rStyle w:val="Estilo3"/>
            </w:rPr>
          </w:pPr>
          <w:r w:rsidRPr="00F36057">
            <w:rPr>
              <w:rStyle w:val="Estilo3"/>
            </w:rPr>
            <w:t xml:space="preserve">Plan de inversiones: Se estableció en la cláusula séptima del contrato principal, la ejecución de inversiones se realizará en los años 1, 2, 3 y año 15 del contrato de Concesión. </w:t>
          </w:r>
        </w:p>
        <w:p w14:paraId="4AD0D54F" w14:textId="77777777" w:rsidR="00274429" w:rsidRPr="00F36057" w:rsidRDefault="00274429" w:rsidP="00274429">
          <w:pPr>
            <w:jc w:val="both"/>
            <w:rPr>
              <w:rStyle w:val="Estilo3"/>
            </w:rPr>
          </w:pPr>
          <w:r w:rsidRPr="00F36057">
            <w:rPr>
              <w:rStyle w:val="Estilo3"/>
            </w:rPr>
            <w:t>Multas: están establecidas en la cláusula décima octava</w:t>
          </w:r>
        </w:p>
        <w:p w14:paraId="48941103" w14:textId="77777777"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certeza de flujos de efectivo futuros:</w:t>
          </w:r>
          <w:r>
            <w:rPr>
              <w:rFonts w:ascii="Times New Roman" w:hAnsi="Times New Roman"/>
              <w:b/>
              <w:bCs/>
              <w:sz w:val="24"/>
              <w:szCs w:val="24"/>
            </w:rPr>
            <w:t xml:space="preserve"> </w:t>
          </w:r>
        </w:p>
        <w:p w14:paraId="735D8DB5" w14:textId="77777777" w:rsidR="00274429" w:rsidRPr="00F36057" w:rsidRDefault="00274429" w:rsidP="00274429">
          <w:pPr>
            <w:jc w:val="both"/>
            <w:rPr>
              <w:rFonts w:ascii="Times New Roman" w:hAnsi="Times New Roman"/>
              <w:sz w:val="24"/>
              <w:szCs w:val="24"/>
            </w:rPr>
          </w:pPr>
          <w:r w:rsidRPr="00F36057">
            <w:rPr>
              <w:rFonts w:ascii="Times New Roman" w:hAnsi="Times New Roman"/>
              <w:sz w:val="24"/>
              <w:szCs w:val="24"/>
            </w:rPr>
            <w:t xml:space="preserve">El objeto del presente contrato es entonces, la entrega a LA SOCIEDAD CONCESIONARIA del uso y explotación de una zona de uso público perteneciente a la Nación por el tiempo de ejecución estipulado y para que sea destinada al servicio establecido en la solicitud a cambio de la contraprestación establecida en la Cláusula Octava de este contrato. </w:t>
          </w:r>
        </w:p>
        <w:p w14:paraId="67124EFD" w14:textId="77777777" w:rsidR="00274429" w:rsidRPr="00F36057" w:rsidRDefault="00274429" w:rsidP="00274429">
          <w:pPr>
            <w:jc w:val="both"/>
            <w:rPr>
              <w:rFonts w:ascii="Times New Roman" w:hAnsi="Times New Roman"/>
              <w:sz w:val="24"/>
              <w:szCs w:val="24"/>
            </w:rPr>
          </w:pPr>
          <w:r w:rsidRPr="00F36057">
            <w:rPr>
              <w:rFonts w:ascii="Times New Roman" w:hAnsi="Times New Roman"/>
              <w:sz w:val="24"/>
              <w:szCs w:val="24"/>
            </w:rPr>
            <w:t xml:space="preserve">En el parágrafo segundo de la Cláusula Octava, se menciona que de dicho pago el 80% le corresponde a la NACIÓN-Instituto Nacional de Vías y el 20% restante al Municipio de Tumaco (Departamento de Nariño), de acuerdo con lo establecido en el parágrafo 1 del artículo 1 de la Ley 856 del 21 de diciembre de 2003, que modifica el artículo 7 de la Ley 1 de 1991. </w:t>
          </w:r>
        </w:p>
        <w:p w14:paraId="446D3207" w14:textId="77777777" w:rsidR="00274429" w:rsidRPr="005C2A29" w:rsidRDefault="00274429" w:rsidP="00E60BAB">
          <w:pPr>
            <w:pStyle w:val="Prrafodelista"/>
            <w:numPr>
              <w:ilvl w:val="0"/>
              <w:numId w:val="122"/>
            </w:numPr>
            <w:spacing w:line="259" w:lineRule="auto"/>
            <w:jc w:val="both"/>
            <w:rPr>
              <w:rFonts w:ascii="Times New Roman" w:hAnsi="Times New Roman"/>
              <w:b/>
              <w:bCs/>
              <w:sz w:val="24"/>
              <w:szCs w:val="24"/>
            </w:rPr>
          </w:pPr>
          <w:r w:rsidRPr="005C2A29">
            <w:rPr>
              <w:rFonts w:ascii="Times New Roman" w:hAnsi="Times New Roman"/>
              <w:b/>
              <w:bCs/>
              <w:sz w:val="24"/>
              <w:szCs w:val="24"/>
            </w:rPr>
            <w:t>Naturaleza y alcance del derecho a utilizar activos especificados, de los aspectos pactados en torno a lo que se espera que el concesionario proporcione en relación con el acuerdo de concesión (Se requiere ser breves, precisos, y concisos en la redacción)</w:t>
          </w:r>
        </w:p>
        <w:p w14:paraId="2C250286" w14:textId="77777777" w:rsidR="00274429" w:rsidRDefault="00274429" w:rsidP="00274429">
          <w:pPr>
            <w:jc w:val="both"/>
            <w:rPr>
              <w:rFonts w:ascii="Times New Roman" w:hAnsi="Times New Roman"/>
              <w:b/>
              <w:bCs/>
              <w:sz w:val="24"/>
              <w:szCs w:val="24"/>
            </w:rPr>
          </w:pPr>
          <w:r w:rsidRPr="00217110">
            <w:rPr>
              <w:rFonts w:ascii="Times New Roman" w:hAnsi="Times New Roman"/>
              <w:b/>
              <w:bCs/>
              <w:sz w:val="24"/>
              <w:szCs w:val="24"/>
            </w:rPr>
            <w:t>Naturaleza y alcance del derecho de uso de los activos</w:t>
          </w:r>
        </w:p>
        <w:p w14:paraId="22DE8933" w14:textId="61ECF7AC" w:rsidR="00274429" w:rsidRDefault="00274429" w:rsidP="00274429">
          <w:pPr>
            <w:jc w:val="both"/>
            <w:rPr>
              <w:rFonts w:ascii="Times New Roman" w:hAnsi="Times New Roman"/>
              <w:b/>
              <w:bCs/>
              <w:sz w:val="24"/>
              <w:szCs w:val="24"/>
            </w:rPr>
          </w:pPr>
          <w:r w:rsidRPr="003E5FA9">
            <w:rPr>
              <w:rFonts w:ascii="Times New Roman" w:hAnsi="Times New Roman"/>
              <w:b/>
              <w:bCs/>
              <w:sz w:val="24"/>
              <w:szCs w:val="24"/>
            </w:rPr>
            <w:t>Descripción:</w:t>
          </w:r>
        </w:p>
        <w:p w14:paraId="4E423E0C" w14:textId="77777777" w:rsidR="00274429" w:rsidRPr="009A46BB" w:rsidRDefault="00274429" w:rsidP="00274429">
          <w:pPr>
            <w:jc w:val="both"/>
            <w:rPr>
              <w:rFonts w:ascii="Times New Roman" w:hAnsi="Times New Roman"/>
            </w:rPr>
          </w:pPr>
          <w:r w:rsidRPr="009A46BB">
            <w:rPr>
              <w:rFonts w:ascii="Times New Roman" w:hAnsi="Times New Roman"/>
            </w:rPr>
            <w:t xml:space="preserve">Descripción del proyecto, especificaciones técnicas, modalidades de operación: las condiciones especiales de operación del puerto están establecidas en la cláusula quinta del Contrato de Concesión. </w:t>
          </w:r>
        </w:p>
        <w:p w14:paraId="5E532800" w14:textId="77777777" w:rsidR="00274429" w:rsidRPr="009A46BB" w:rsidRDefault="00274429" w:rsidP="00274429">
          <w:pPr>
            <w:jc w:val="both"/>
            <w:rPr>
              <w:rFonts w:ascii="Times New Roman" w:hAnsi="Times New Roman"/>
            </w:rPr>
          </w:pPr>
          <w:r w:rsidRPr="009A46BB">
            <w:rPr>
              <w:rFonts w:ascii="Times New Roman" w:hAnsi="Times New Roman"/>
            </w:rPr>
            <w:t xml:space="preserve">Área entregada en concesión: La descripción de la ubicación, linderos y extensión de los bienes de uso público (terrenos de bajamar, aguas marítimas interiores y espejo de agua en el océano Pacifico frente al municipio de Tumaco) entregados en concesión están establecidos en la cláusula segunda. </w:t>
          </w:r>
        </w:p>
        <w:p w14:paraId="37327971" w14:textId="5AE66D28" w:rsidR="00274429" w:rsidRPr="009A46BB" w:rsidRDefault="00274429" w:rsidP="00274429">
          <w:pPr>
            <w:jc w:val="both"/>
            <w:rPr>
              <w:rFonts w:ascii="Times New Roman" w:hAnsi="Times New Roman"/>
            </w:rPr>
          </w:pPr>
          <w:r w:rsidRPr="009A46BB">
            <w:rPr>
              <w:rFonts w:ascii="Times New Roman" w:hAnsi="Times New Roman"/>
            </w:rPr>
            <w:t>Infraestructura y equipos entregados en concesión: En la cláusula segunda del Contrato, se describe que lo entregado en concesión fue:</w:t>
          </w:r>
        </w:p>
        <w:p w14:paraId="2669BE0B" w14:textId="77777777" w:rsidR="00274429" w:rsidRPr="009A46BB" w:rsidRDefault="00274429" w:rsidP="00274429">
          <w:pPr>
            <w:jc w:val="both"/>
            <w:rPr>
              <w:rFonts w:ascii="Times New Roman" w:hAnsi="Times New Roman"/>
            </w:rPr>
          </w:pPr>
          <w:r w:rsidRPr="009A46BB">
            <w:rPr>
              <w:rFonts w:ascii="Times New Roman" w:hAnsi="Times New Roman"/>
            </w:rPr>
            <w:t xml:space="preserve">Infraestructura: Un amarradero flotante de tipo multiboya que consta de 7 boyas de amarre de cuerpo cilíndrico, 2 líneas de mangueras submarinas de 12”, un gancho pelicano y ánodos de protección, una boya PLEM, una boya de enfilación, y ánodos de zinc para protección catódica. </w:t>
          </w:r>
        </w:p>
        <w:p w14:paraId="41AC653E" w14:textId="77777777" w:rsidR="00274429" w:rsidRPr="009A46BB" w:rsidRDefault="00274429" w:rsidP="00274429">
          <w:pPr>
            <w:jc w:val="both"/>
            <w:rPr>
              <w:rFonts w:ascii="Times New Roman" w:hAnsi="Times New Roman"/>
            </w:rPr>
          </w:pPr>
          <w:r w:rsidRPr="009A46BB">
            <w:rPr>
              <w:rFonts w:ascii="Times New Roman" w:hAnsi="Times New Roman"/>
            </w:rPr>
            <w:t xml:space="preserve">El amarradero esta unido a la planta en tierra por una línea submarina de 36” de diámetro. </w:t>
          </w:r>
        </w:p>
        <w:p w14:paraId="0DB4CCAD" w14:textId="77777777" w:rsidR="00274429" w:rsidRPr="009A46BB" w:rsidRDefault="00274429" w:rsidP="00274429">
          <w:pPr>
            <w:jc w:val="both"/>
            <w:rPr>
              <w:rFonts w:ascii="Times New Roman" w:hAnsi="Times New Roman"/>
            </w:rPr>
          </w:pPr>
          <w:r w:rsidRPr="009A46BB">
            <w:rPr>
              <w:rFonts w:ascii="Times New Roman" w:hAnsi="Times New Roman"/>
            </w:rPr>
            <w:t>Muelle la Gabarra: muelle en ferro concreto en forma de T para embarcaciones menores, localizado en la ensenada interior de Tumaco.</w:t>
          </w:r>
        </w:p>
        <w:p w14:paraId="6C1CB175" w14:textId="77777777" w:rsidR="00274429" w:rsidRDefault="00274429" w:rsidP="00274429">
          <w:pPr>
            <w:jc w:val="both"/>
            <w:rPr>
              <w:rFonts w:ascii="Times New Roman" w:hAnsi="Times New Roman"/>
              <w:b/>
              <w:bCs/>
              <w:sz w:val="24"/>
              <w:szCs w:val="24"/>
            </w:rPr>
          </w:pPr>
          <w:r w:rsidRPr="003E5FA9">
            <w:rPr>
              <w:rFonts w:ascii="Times New Roman" w:hAnsi="Times New Roman"/>
              <w:b/>
              <w:bCs/>
              <w:sz w:val="24"/>
              <w:szCs w:val="24"/>
            </w:rPr>
            <w:t>Observaciones:</w:t>
          </w:r>
          <w:r>
            <w:rPr>
              <w:rFonts w:ascii="Times New Roman" w:hAnsi="Times New Roman"/>
              <w:b/>
              <w:bCs/>
              <w:sz w:val="24"/>
              <w:szCs w:val="24"/>
            </w:rPr>
            <w:t xml:space="preserve"> NA</w:t>
          </w:r>
        </w:p>
        <w:p w14:paraId="23D0C094" w14:textId="77777777" w:rsidR="00274429" w:rsidRDefault="00274429" w:rsidP="00274429">
          <w:pPr>
            <w:jc w:val="both"/>
            <w:rPr>
              <w:rFonts w:ascii="Times New Roman" w:hAnsi="Times New Roman"/>
              <w:b/>
              <w:bCs/>
              <w:sz w:val="24"/>
              <w:szCs w:val="24"/>
            </w:rPr>
          </w:pPr>
          <w:r>
            <w:rPr>
              <w:rFonts w:ascii="Times New Roman" w:hAnsi="Times New Roman"/>
              <w:b/>
              <w:bCs/>
              <w:sz w:val="24"/>
              <w:szCs w:val="24"/>
            </w:rPr>
            <w:t>Retribución al Concesionario</w:t>
          </w:r>
        </w:p>
        <w:p w14:paraId="1A78B6F9" w14:textId="77777777" w:rsidR="00274429" w:rsidRPr="006856BE" w:rsidRDefault="00274429" w:rsidP="00274429">
          <w:pPr>
            <w:jc w:val="both"/>
            <w:rPr>
              <w:rFonts w:ascii="Times New Roman" w:hAnsi="Times New Roman"/>
              <w:sz w:val="24"/>
              <w:szCs w:val="24"/>
            </w:rPr>
          </w:pPr>
          <w:r w:rsidRPr="002F1782">
            <w:rPr>
              <w:rFonts w:ascii="Times New Roman" w:hAnsi="Times New Roman"/>
              <w:b/>
              <w:bCs/>
              <w:sz w:val="24"/>
              <w:szCs w:val="24"/>
            </w:rPr>
            <w:lastRenderedPageBreak/>
            <w:t xml:space="preserve">Descripción: </w:t>
          </w:r>
          <w:r w:rsidRPr="006856BE">
            <w:rPr>
              <w:rFonts w:ascii="Times New Roman" w:hAnsi="Times New Roman"/>
              <w:sz w:val="24"/>
              <w:szCs w:val="24"/>
            </w:rPr>
            <w:t>En la cláusula primera en el punto 1.2. del mismo se menciona que El objeto del presente contrato es entonces, la entrega a LA SOCIEDAD CONCESIONARIA del uso y explotación de una zona de uso público perteneciente a la Nación por el tiempo de ejecución estipulado y para que sea destinada al servicio establecido en la solicitud a cambio de la contraprestación establecida en la Cláusula Octava de este contrato.</w:t>
          </w:r>
        </w:p>
        <w:p w14:paraId="241033B1" w14:textId="77777777" w:rsidR="00274429" w:rsidRPr="00351837" w:rsidRDefault="00274429" w:rsidP="00274429">
          <w:pPr>
            <w:jc w:val="both"/>
            <w:rPr>
              <w:rFonts w:ascii="Times New Roman" w:hAnsi="Times New Roman"/>
              <w:b/>
              <w:bCs/>
              <w:sz w:val="24"/>
              <w:szCs w:val="24"/>
            </w:rPr>
          </w:pPr>
          <w:r>
            <w:rPr>
              <w:rFonts w:ascii="Times New Roman" w:hAnsi="Times New Roman"/>
              <w:b/>
              <w:bCs/>
              <w:sz w:val="24"/>
              <w:szCs w:val="24"/>
            </w:rPr>
            <w:t>Tasa de retribución: NA</w:t>
          </w:r>
        </w:p>
        <w:p w14:paraId="1C9BE0D9" w14:textId="77777777" w:rsidR="00274429" w:rsidRPr="00421699" w:rsidRDefault="00274429" w:rsidP="00E60BAB">
          <w:pPr>
            <w:pStyle w:val="Prrafodelista"/>
            <w:numPr>
              <w:ilvl w:val="0"/>
              <w:numId w:val="122"/>
            </w:numPr>
            <w:spacing w:line="259" w:lineRule="auto"/>
            <w:jc w:val="both"/>
            <w:rPr>
              <w:rFonts w:ascii="Times New Roman" w:hAnsi="Times New Roman"/>
              <w:b/>
              <w:bCs/>
              <w:sz w:val="24"/>
              <w:szCs w:val="24"/>
            </w:rPr>
          </w:pPr>
          <w:r w:rsidRPr="00421699">
            <w:rPr>
              <w:rFonts w:ascii="Times New Roman" w:hAnsi="Times New Roman"/>
              <w:b/>
              <w:bCs/>
              <w:sz w:val="24"/>
              <w:szCs w:val="24"/>
            </w:rPr>
            <w:t>Derechos a recibir activos especificados al final del acuerdo de concesión</w:t>
          </w:r>
        </w:p>
        <w:p w14:paraId="230DAC9E" w14:textId="77777777" w:rsidR="00274429" w:rsidRDefault="00274429" w:rsidP="00274429">
          <w:pPr>
            <w:jc w:val="both"/>
            <w:rPr>
              <w:rFonts w:ascii="Times New Roman" w:hAnsi="Times New Roman"/>
              <w:sz w:val="24"/>
              <w:szCs w:val="24"/>
            </w:rPr>
          </w:pPr>
          <w:r w:rsidRPr="006D56DF">
            <w:rPr>
              <w:rFonts w:ascii="Times New Roman" w:hAnsi="Times New Roman"/>
              <w:b/>
              <w:bCs/>
              <w:sz w:val="24"/>
              <w:szCs w:val="24"/>
            </w:rPr>
            <w:t>Descripción:</w:t>
          </w:r>
          <w:r>
            <w:rPr>
              <w:rFonts w:ascii="Times New Roman" w:hAnsi="Times New Roman"/>
              <w:b/>
              <w:bCs/>
              <w:sz w:val="24"/>
              <w:szCs w:val="24"/>
            </w:rPr>
            <w:t xml:space="preserve"> </w:t>
          </w:r>
          <w:r w:rsidRPr="006856BE">
            <w:rPr>
              <w:rFonts w:ascii="Times New Roman" w:hAnsi="Times New Roman"/>
              <w:sz w:val="24"/>
              <w:szCs w:val="24"/>
            </w:rPr>
            <w:t>De acuerdo con el Artículo 8º de la Ley 1 de 1991 en el modo portuario el concesionario no tiene derechos finales sobre activos los debe revertir a la Nación al final del contrato de concesión.</w:t>
          </w:r>
        </w:p>
        <w:p w14:paraId="5EA3DD52" w14:textId="77777777" w:rsidR="00274429" w:rsidRPr="00351837" w:rsidRDefault="00274429" w:rsidP="00274429">
          <w:pPr>
            <w:jc w:val="both"/>
            <w:rPr>
              <w:rFonts w:ascii="Times New Roman" w:hAnsi="Times New Roman"/>
              <w:sz w:val="24"/>
              <w:szCs w:val="24"/>
            </w:rPr>
          </w:pPr>
          <w:r w:rsidRPr="006D56DF">
            <w:rPr>
              <w:rFonts w:ascii="Times New Roman" w:hAnsi="Times New Roman"/>
              <w:b/>
              <w:bCs/>
              <w:sz w:val="24"/>
              <w:szCs w:val="24"/>
            </w:rPr>
            <w:t>Observaciones:</w:t>
          </w:r>
          <w:r w:rsidRPr="009A46BB">
            <w:rPr>
              <w:rFonts w:ascii="Times New Roman" w:hAnsi="Times New Roman"/>
            </w:rPr>
            <w:t xml:space="preserve"> </w:t>
          </w:r>
        </w:p>
        <w:p w14:paraId="4F6E8E45" w14:textId="77777777" w:rsidR="00274429" w:rsidRPr="006856BE" w:rsidRDefault="00274429" w:rsidP="00274429">
          <w:pPr>
            <w:spacing w:after="0" w:line="240" w:lineRule="auto"/>
            <w:jc w:val="both"/>
            <w:rPr>
              <w:rFonts w:ascii="Times New Roman" w:hAnsi="Times New Roman"/>
              <w:sz w:val="24"/>
              <w:szCs w:val="24"/>
            </w:rPr>
          </w:pPr>
          <w:r w:rsidRPr="006856BE">
            <w:rPr>
              <w:rFonts w:ascii="Times New Roman" w:hAnsi="Times New Roman"/>
              <w:sz w:val="24"/>
              <w:szCs w:val="24"/>
            </w:rPr>
            <w:t>Reversión: De acuerdo con lo establecido en la cláusula decimosegunda del contrato de concesión, todas las construcciones e inmuebles por destinación, que se encuentren instalados en la zona de uso público otorgada en concesión revertirán gratuitamente por el Concesionario.</w:t>
          </w:r>
        </w:p>
        <w:p w14:paraId="5F54D417" w14:textId="77777777" w:rsidR="00274429" w:rsidRPr="006856BE" w:rsidRDefault="00274429" w:rsidP="00274429">
          <w:pPr>
            <w:spacing w:after="0" w:line="240" w:lineRule="auto"/>
            <w:jc w:val="both"/>
            <w:rPr>
              <w:rFonts w:ascii="Times New Roman" w:hAnsi="Times New Roman"/>
              <w:sz w:val="24"/>
              <w:szCs w:val="24"/>
            </w:rPr>
          </w:pPr>
        </w:p>
        <w:p w14:paraId="54596D31" w14:textId="77777777" w:rsidR="00274429" w:rsidRPr="006856BE" w:rsidRDefault="00274429" w:rsidP="00274429">
          <w:pPr>
            <w:spacing w:after="0" w:line="240" w:lineRule="auto"/>
            <w:jc w:val="both"/>
            <w:rPr>
              <w:rFonts w:ascii="Times New Roman" w:hAnsi="Times New Roman"/>
              <w:sz w:val="24"/>
              <w:szCs w:val="24"/>
            </w:rPr>
          </w:pPr>
          <w:r w:rsidRPr="006856BE">
            <w:rPr>
              <w:rFonts w:ascii="Times New Roman" w:hAnsi="Times New Roman"/>
              <w:sz w:val="24"/>
              <w:szCs w:val="24"/>
            </w:rPr>
            <w:t xml:space="preserve">Para tal fin, en el momento de la reversión el CONCESIONARIO elaborará un inventario de los bienes y los enviará para su revisión y aprobación. </w:t>
          </w:r>
        </w:p>
        <w:p w14:paraId="05BECDCA" w14:textId="77777777" w:rsidR="00274429" w:rsidRPr="006856BE" w:rsidRDefault="00274429" w:rsidP="00274429">
          <w:pPr>
            <w:spacing w:after="0" w:line="240" w:lineRule="auto"/>
            <w:jc w:val="both"/>
            <w:rPr>
              <w:rFonts w:ascii="Times New Roman" w:hAnsi="Times New Roman"/>
              <w:sz w:val="24"/>
              <w:szCs w:val="24"/>
            </w:rPr>
          </w:pPr>
        </w:p>
        <w:p w14:paraId="03E981D3" w14:textId="77777777" w:rsidR="00274429" w:rsidRDefault="00274429" w:rsidP="00274429">
          <w:pPr>
            <w:spacing w:after="0" w:line="240" w:lineRule="auto"/>
            <w:jc w:val="both"/>
            <w:rPr>
              <w:rFonts w:ascii="Times New Roman" w:hAnsi="Times New Roman"/>
              <w:sz w:val="24"/>
              <w:szCs w:val="24"/>
            </w:rPr>
          </w:pPr>
          <w:r w:rsidRPr="006856BE">
            <w:rPr>
              <w:rFonts w:ascii="Times New Roman" w:hAnsi="Times New Roman"/>
              <w:sz w:val="24"/>
              <w:szCs w:val="24"/>
            </w:rPr>
            <w:t>La ANI es la entidad concedente pero la titularidad de los activos al final de la concesión es del Instituto Nacional de Vías INVIAS.</w:t>
          </w:r>
        </w:p>
        <w:p w14:paraId="30261B0C" w14:textId="77777777" w:rsidR="00274429" w:rsidRPr="00197A12" w:rsidRDefault="00274429" w:rsidP="00274429">
          <w:pPr>
            <w:spacing w:after="0" w:line="240" w:lineRule="auto"/>
            <w:jc w:val="both"/>
            <w:rPr>
              <w:rFonts w:ascii="Times New Roman" w:hAnsi="Times New Roman"/>
              <w:b/>
              <w:bCs/>
              <w:sz w:val="24"/>
              <w:szCs w:val="24"/>
            </w:rPr>
          </w:pPr>
        </w:p>
        <w:p w14:paraId="40E87952" w14:textId="7A5B6158" w:rsidR="00274429" w:rsidRDefault="5A5E4ED0" w:rsidP="00E60BAB">
          <w:pPr>
            <w:pStyle w:val="Prrafodelista"/>
            <w:numPr>
              <w:ilvl w:val="0"/>
              <w:numId w:val="122"/>
            </w:numPr>
            <w:spacing w:line="259" w:lineRule="auto"/>
            <w:jc w:val="both"/>
            <w:rPr>
              <w:rFonts w:ascii="Times New Roman" w:hAnsi="Times New Roman"/>
              <w:b/>
              <w:bCs/>
              <w:sz w:val="24"/>
              <w:szCs w:val="24"/>
            </w:rPr>
          </w:pPr>
          <w:r w:rsidRPr="10D44305">
            <w:rPr>
              <w:rFonts w:ascii="Times New Roman" w:hAnsi="Times New Roman"/>
              <w:b/>
              <w:bCs/>
              <w:sz w:val="24"/>
              <w:szCs w:val="24"/>
            </w:rPr>
            <w:t>No hay c</w:t>
          </w:r>
          <w:r w:rsidR="00274429" w:rsidRPr="10D44305">
            <w:rPr>
              <w:rFonts w:ascii="Times New Roman" w:hAnsi="Times New Roman"/>
              <w:b/>
              <w:bCs/>
              <w:sz w:val="24"/>
              <w:szCs w:val="24"/>
            </w:rPr>
            <w:t>ambios</w:t>
          </w:r>
          <w:r w:rsidR="00274429" w:rsidRPr="004B43C7">
            <w:rPr>
              <w:rFonts w:ascii="Times New Roman" w:hAnsi="Times New Roman"/>
              <w:b/>
              <w:bCs/>
              <w:sz w:val="24"/>
              <w:szCs w:val="24"/>
            </w:rPr>
            <w:t xml:space="preserve"> en el acuerdo de concesión que se realicen durante el periodo fiscal </w:t>
          </w:r>
        </w:p>
        <w:p w14:paraId="31831016" w14:textId="77777777" w:rsidR="00274429" w:rsidRDefault="00274429" w:rsidP="00274429">
          <w:pPr>
            <w:pStyle w:val="Prrafodelista"/>
            <w:jc w:val="both"/>
            <w:rPr>
              <w:rFonts w:ascii="Times New Roman" w:hAnsi="Times New Roman"/>
              <w:b/>
              <w:bCs/>
              <w:sz w:val="24"/>
              <w:szCs w:val="24"/>
            </w:rPr>
          </w:pPr>
        </w:p>
        <w:p w14:paraId="29A82733" w14:textId="77777777" w:rsidR="00274429" w:rsidRPr="009A46BB" w:rsidRDefault="00274429" w:rsidP="00274429">
          <w:pPr>
            <w:rPr>
              <w:rFonts w:ascii="Times New Roman" w:hAnsi="Times New Roman"/>
            </w:rPr>
          </w:pPr>
        </w:p>
        <w:p w14:paraId="32F4A193" w14:textId="77777777" w:rsidR="00274429" w:rsidRDefault="00274429" w:rsidP="00274429">
          <w:pPr>
            <w:rPr>
              <w:rFonts w:ascii="Times New Roman" w:hAnsi="Times New Roman"/>
              <w:b/>
              <w:sz w:val="24"/>
              <w:szCs w:val="24"/>
            </w:rPr>
          </w:pPr>
          <w:r w:rsidRPr="10D44305">
            <w:rPr>
              <w:rFonts w:ascii="Times New Roman" w:hAnsi="Times New Roman"/>
              <w:b/>
              <w:bCs/>
              <w:sz w:val="24"/>
              <w:szCs w:val="24"/>
            </w:rPr>
            <w:t xml:space="preserve">EMPRESA COLOMBIANA PESQUERA DE TOLÚ - PESTOLÚ S.A. </w:t>
          </w:r>
        </w:p>
        <w:p w14:paraId="6DE75A45" w14:textId="77777777" w:rsidR="00274429" w:rsidRPr="00996621" w:rsidRDefault="00274429" w:rsidP="00E60BAB">
          <w:pPr>
            <w:pStyle w:val="Prrafodelista"/>
            <w:numPr>
              <w:ilvl w:val="0"/>
              <w:numId w:val="123"/>
            </w:numPr>
            <w:spacing w:line="259" w:lineRule="auto"/>
            <w:rPr>
              <w:rFonts w:ascii="Times New Roman" w:hAnsi="Times New Roman"/>
              <w:b/>
              <w:bCs/>
              <w:sz w:val="24"/>
              <w:szCs w:val="24"/>
            </w:rPr>
          </w:pPr>
          <w:r w:rsidRPr="00996621">
            <w:rPr>
              <w:rFonts w:ascii="Times New Roman" w:hAnsi="Times New Roman"/>
              <w:b/>
              <w:bCs/>
              <w:sz w:val="24"/>
              <w:szCs w:val="24"/>
            </w:rPr>
            <w:t>Descripción del acuerdo</w:t>
          </w:r>
        </w:p>
        <w:p w14:paraId="5F7EE90C" w14:textId="2660DD50" w:rsidR="00274429" w:rsidRPr="009A46BB" w:rsidRDefault="00274429" w:rsidP="10D44305">
          <w:pPr>
            <w:spacing w:after="0"/>
            <w:rPr>
              <w:rFonts w:ascii="Times New Roman" w:hAnsi="Times New Roman"/>
            </w:rPr>
          </w:pPr>
          <w:r w:rsidRPr="009A46BB">
            <w:rPr>
              <w:rFonts w:ascii="Times New Roman" w:hAnsi="Times New Roman"/>
              <w:b/>
            </w:rPr>
            <w:t>Número del acuerdo de concesión:</w:t>
          </w:r>
          <w:r w:rsidR="46051E24" w:rsidRPr="10D44305">
            <w:rPr>
              <w:rFonts w:ascii="Times New Roman" w:hAnsi="Times New Roman"/>
              <w:b/>
              <w:bCs/>
            </w:rPr>
            <w:t xml:space="preserve"> </w:t>
          </w:r>
          <w:r w:rsidRPr="009A46BB">
            <w:rPr>
              <w:rFonts w:ascii="Times New Roman" w:hAnsi="Times New Roman"/>
            </w:rPr>
            <w:t>Contrato de Concesión Portuario No. 002 de 2013.</w:t>
          </w:r>
        </w:p>
        <w:p w14:paraId="22BF656D" w14:textId="526FAD2E" w:rsidR="00274429" w:rsidRPr="009A46BB" w:rsidRDefault="00274429" w:rsidP="10D44305">
          <w:pPr>
            <w:spacing w:after="0"/>
            <w:jc w:val="both"/>
            <w:rPr>
              <w:rFonts w:ascii="Times New Roman" w:hAnsi="Times New Roman"/>
            </w:rPr>
          </w:pPr>
          <w:r w:rsidRPr="009A46BB">
            <w:rPr>
              <w:rFonts w:ascii="Times New Roman" w:hAnsi="Times New Roman"/>
              <w:b/>
            </w:rPr>
            <w:t>Objeto / Descripción</w:t>
          </w:r>
          <w:r w:rsidRPr="009A46BB">
            <w:rPr>
              <w:rFonts w:ascii="Times New Roman" w:hAnsi="Times New Roman"/>
            </w:rPr>
            <w:t>:</w:t>
          </w:r>
          <w:r w:rsidR="62A3AA6E" w:rsidRPr="10D44305">
            <w:rPr>
              <w:rFonts w:ascii="Times New Roman" w:hAnsi="Times New Roman"/>
            </w:rPr>
            <w:t xml:space="preserve"> </w:t>
          </w:r>
          <w:r w:rsidRPr="009A46BB">
            <w:rPr>
              <w:rFonts w:ascii="Times New Roman" w:hAnsi="Times New Roman"/>
            </w:rPr>
            <w:t>A través del referido contrato se otorgó el derecho a Pestolú a ocupar y utilizar en forma temporal y exclusiva el área de uso público descrito en la Cláusula Segunda del contrato, a cambio de la contraprestación económica de que trata la Cláusula Octava a favor de la Nación Instituto Nacional de Vías - Invias y el Municipio de Tolú”. De igual forma se otorgó a la Sociedad Concesionaria el uso y explotación de una zona de uso público perteneciente a la Nación por el tiempo de ejecución estipulado para que sea destinada a continuar ocupando, utilizando y administrando, en forma temporal y exclusiva, la zona de uso público y el muelle pesquero existente, ubicado frente al Golfo de Morrosquillo, en el Municipio de Tolú, en el Departamento de Sucre, para el desarrollo de actividades pesqueras a cambio de la contraprestación establecida en la Cláusula Octava de este contrato.</w:t>
          </w:r>
        </w:p>
        <w:p w14:paraId="23A2C7F0" w14:textId="57BAC669" w:rsidR="00274429" w:rsidRDefault="00274429" w:rsidP="00544CB7">
          <w:pPr>
            <w:spacing w:after="0"/>
            <w:rPr>
              <w:rFonts w:ascii="Times New Roman" w:hAnsi="Times New Roman"/>
              <w:sz w:val="24"/>
              <w:szCs w:val="24"/>
            </w:rPr>
          </w:pPr>
          <w:r w:rsidRPr="00521A07">
            <w:rPr>
              <w:rFonts w:ascii="Times New Roman" w:hAnsi="Times New Roman"/>
              <w:b/>
              <w:bCs/>
              <w:sz w:val="24"/>
              <w:szCs w:val="24"/>
            </w:rPr>
            <w:t>Valor inicial:</w:t>
          </w:r>
          <w:r w:rsidR="18B5338F" w:rsidRPr="10D44305">
            <w:rPr>
              <w:rFonts w:ascii="Times New Roman" w:hAnsi="Times New Roman"/>
              <w:b/>
              <w:bCs/>
              <w:sz w:val="24"/>
              <w:szCs w:val="24"/>
            </w:rPr>
            <w:t xml:space="preserve"> </w:t>
          </w:r>
          <w:r w:rsidRPr="00585E94">
            <w:rPr>
              <w:rFonts w:ascii="Times New Roman" w:hAnsi="Times New Roman"/>
              <w:sz w:val="24"/>
              <w:szCs w:val="24"/>
            </w:rPr>
            <w:t xml:space="preserve">USD $ 13.684 Cláusula Octava/ Contrato No 002 de 2013. </w:t>
          </w:r>
        </w:p>
        <w:p w14:paraId="36DD04A6" w14:textId="77777777" w:rsidR="00274429" w:rsidRDefault="00274429" w:rsidP="00544CB7">
          <w:pPr>
            <w:spacing w:after="0"/>
            <w:rPr>
              <w:rFonts w:ascii="Times New Roman" w:hAnsi="Times New Roman"/>
              <w:sz w:val="24"/>
              <w:szCs w:val="24"/>
            </w:rPr>
          </w:pPr>
          <w:r w:rsidRPr="00521A07">
            <w:rPr>
              <w:rFonts w:ascii="Times New Roman" w:hAnsi="Times New Roman"/>
              <w:b/>
              <w:bCs/>
              <w:sz w:val="24"/>
              <w:szCs w:val="24"/>
            </w:rPr>
            <w:t>Fecha de inicio:</w:t>
          </w:r>
          <w:r>
            <w:rPr>
              <w:rFonts w:ascii="Times New Roman" w:hAnsi="Times New Roman"/>
              <w:b/>
              <w:bCs/>
              <w:sz w:val="24"/>
              <w:szCs w:val="24"/>
            </w:rPr>
            <w:t xml:space="preserve"> </w:t>
          </w:r>
          <w:r>
            <w:rPr>
              <w:rFonts w:ascii="Times New Roman" w:hAnsi="Times New Roman"/>
              <w:sz w:val="24"/>
              <w:szCs w:val="24"/>
            </w:rPr>
            <w:t>22/01/2020</w:t>
          </w:r>
        </w:p>
        <w:p w14:paraId="58083290" w14:textId="77777777" w:rsidR="00274429" w:rsidRDefault="00274429" w:rsidP="00544CB7">
          <w:pPr>
            <w:spacing w:after="0"/>
            <w:jc w:val="both"/>
            <w:rPr>
              <w:rFonts w:ascii="Times New Roman" w:hAnsi="Times New Roman"/>
              <w:sz w:val="24"/>
              <w:szCs w:val="24"/>
            </w:rPr>
          </w:pPr>
          <w:r w:rsidRPr="00521A07">
            <w:rPr>
              <w:rFonts w:ascii="Times New Roman" w:hAnsi="Times New Roman"/>
              <w:b/>
              <w:bCs/>
              <w:sz w:val="24"/>
              <w:szCs w:val="24"/>
            </w:rPr>
            <w:lastRenderedPageBreak/>
            <w:t>Fecha de finalización estimada:</w:t>
          </w:r>
          <w:r>
            <w:rPr>
              <w:rFonts w:ascii="Times New Roman" w:hAnsi="Times New Roman"/>
              <w:b/>
              <w:bCs/>
              <w:sz w:val="24"/>
              <w:szCs w:val="24"/>
            </w:rPr>
            <w:t xml:space="preserve"> </w:t>
          </w:r>
          <w:r>
            <w:rPr>
              <w:rFonts w:ascii="Times New Roman" w:hAnsi="Times New Roman"/>
              <w:sz w:val="24"/>
              <w:szCs w:val="24"/>
            </w:rPr>
            <w:t>07/11/2021</w:t>
          </w:r>
        </w:p>
        <w:p w14:paraId="4D88AB7C" w14:textId="77777777" w:rsidR="00274429" w:rsidRPr="009A46BB" w:rsidRDefault="00274429" w:rsidP="00544CB7">
          <w:pPr>
            <w:spacing w:after="0"/>
            <w:jc w:val="both"/>
            <w:rPr>
              <w:rFonts w:ascii="Times New Roman" w:hAnsi="Times New Roman"/>
            </w:rPr>
          </w:pPr>
          <w:r w:rsidRPr="00521A07">
            <w:rPr>
              <w:rFonts w:ascii="Times New Roman" w:hAnsi="Times New Roman"/>
              <w:b/>
              <w:bCs/>
              <w:sz w:val="24"/>
              <w:szCs w:val="24"/>
            </w:rPr>
            <w:t>Tipo ID:</w:t>
          </w:r>
          <w:r>
            <w:rPr>
              <w:rFonts w:ascii="Times New Roman" w:hAnsi="Times New Roman"/>
              <w:b/>
              <w:bCs/>
              <w:sz w:val="24"/>
              <w:szCs w:val="24"/>
            </w:rPr>
            <w:t xml:space="preserve"> NIT</w:t>
          </w:r>
        </w:p>
        <w:p w14:paraId="0F27807A" w14:textId="77777777" w:rsidR="00274429" w:rsidRDefault="00274429" w:rsidP="00544CB7">
          <w:pPr>
            <w:spacing w:after="0"/>
            <w:rPr>
              <w:rFonts w:ascii="Times New Roman" w:hAnsi="Times New Roman"/>
              <w:sz w:val="24"/>
              <w:szCs w:val="24"/>
            </w:rPr>
          </w:pPr>
          <w:r w:rsidRPr="00521A07">
            <w:rPr>
              <w:rFonts w:ascii="Times New Roman" w:hAnsi="Times New Roman"/>
              <w:b/>
              <w:bCs/>
              <w:sz w:val="24"/>
              <w:szCs w:val="24"/>
            </w:rPr>
            <w:t>Número ID:</w:t>
          </w:r>
          <w:r>
            <w:rPr>
              <w:rFonts w:ascii="Times New Roman" w:hAnsi="Times New Roman"/>
              <w:b/>
              <w:bCs/>
              <w:sz w:val="24"/>
              <w:szCs w:val="24"/>
            </w:rPr>
            <w:t xml:space="preserve"> </w:t>
          </w:r>
          <w:r w:rsidRPr="000C7157">
            <w:rPr>
              <w:rFonts w:ascii="Times New Roman" w:hAnsi="Times New Roman"/>
              <w:sz w:val="24"/>
              <w:szCs w:val="24"/>
            </w:rPr>
            <w:t xml:space="preserve">860.063.082-4. </w:t>
          </w:r>
        </w:p>
        <w:p w14:paraId="79788648" w14:textId="75DF7BE6" w:rsidR="00274429" w:rsidRDefault="00274429" w:rsidP="00544CB7">
          <w:pPr>
            <w:spacing w:after="0"/>
            <w:rPr>
              <w:rFonts w:ascii="Times New Roman" w:hAnsi="Times New Roman"/>
              <w:sz w:val="24"/>
              <w:szCs w:val="24"/>
            </w:rPr>
          </w:pPr>
          <w:r w:rsidRPr="00521A07">
            <w:rPr>
              <w:rFonts w:ascii="Times New Roman" w:hAnsi="Times New Roman"/>
              <w:b/>
              <w:bCs/>
              <w:sz w:val="24"/>
              <w:szCs w:val="24"/>
            </w:rPr>
            <w:t>Razón social del concesionario:</w:t>
          </w:r>
          <w:r w:rsidR="55365378" w:rsidRPr="10D44305">
            <w:rPr>
              <w:rFonts w:ascii="Times New Roman" w:hAnsi="Times New Roman"/>
              <w:b/>
              <w:bCs/>
              <w:sz w:val="24"/>
              <w:szCs w:val="24"/>
            </w:rPr>
            <w:t xml:space="preserve"> </w:t>
          </w:r>
          <w:r w:rsidRPr="00585E94">
            <w:rPr>
              <w:rFonts w:ascii="Times New Roman" w:hAnsi="Times New Roman"/>
              <w:sz w:val="24"/>
              <w:szCs w:val="24"/>
            </w:rPr>
            <w:t>Empresa Colombiana Pesquera de Tolú - PESTOLÚ S.A.</w:t>
          </w:r>
        </w:p>
        <w:p w14:paraId="1FC480AE" w14:textId="216607A4" w:rsidR="00274429" w:rsidRDefault="00274429" w:rsidP="00544CB7">
          <w:pPr>
            <w:spacing w:after="0"/>
            <w:rPr>
              <w:rFonts w:ascii="Times New Roman" w:hAnsi="Times New Roman"/>
              <w:sz w:val="24"/>
              <w:szCs w:val="24"/>
            </w:rPr>
          </w:pPr>
          <w:r w:rsidRPr="00521A07">
            <w:rPr>
              <w:rFonts w:ascii="Times New Roman" w:hAnsi="Times New Roman"/>
              <w:b/>
              <w:bCs/>
              <w:sz w:val="24"/>
              <w:szCs w:val="24"/>
            </w:rPr>
            <w:t>Nombre del proyecto:</w:t>
          </w:r>
          <w:r w:rsidR="61588BFB" w:rsidRPr="10D44305">
            <w:rPr>
              <w:rFonts w:ascii="Times New Roman" w:hAnsi="Times New Roman"/>
              <w:b/>
              <w:bCs/>
              <w:sz w:val="24"/>
              <w:szCs w:val="24"/>
            </w:rPr>
            <w:t xml:space="preserve"> </w:t>
          </w:r>
          <w:r w:rsidRPr="00585E94">
            <w:rPr>
              <w:rFonts w:ascii="Times New Roman" w:hAnsi="Times New Roman"/>
              <w:sz w:val="24"/>
              <w:szCs w:val="24"/>
            </w:rPr>
            <w:t>Empresa Colombiana Pesquera de Tolú - PESTOLÚ S.A.</w:t>
          </w:r>
        </w:p>
        <w:p w14:paraId="6E979909" w14:textId="77777777" w:rsidR="00544CB7" w:rsidRPr="009A46BB" w:rsidRDefault="00544CB7" w:rsidP="00544CB7">
          <w:pPr>
            <w:spacing w:after="0"/>
            <w:rPr>
              <w:rFonts w:ascii="Times New Roman" w:hAnsi="Times New Roman"/>
              <w:sz w:val="24"/>
              <w:szCs w:val="24"/>
            </w:rPr>
          </w:pPr>
        </w:p>
        <w:p w14:paraId="508944E3" w14:textId="77777777" w:rsidR="00274429" w:rsidRPr="005C2A29" w:rsidRDefault="00274429" w:rsidP="00E60BAB">
          <w:pPr>
            <w:pStyle w:val="Prrafodelista"/>
            <w:numPr>
              <w:ilvl w:val="0"/>
              <w:numId w:val="123"/>
            </w:numPr>
            <w:spacing w:line="259" w:lineRule="auto"/>
            <w:rPr>
              <w:rFonts w:ascii="Times New Roman" w:hAnsi="Times New Roman"/>
              <w:b/>
              <w:bCs/>
              <w:sz w:val="24"/>
              <w:szCs w:val="24"/>
            </w:rPr>
          </w:pPr>
          <w:r w:rsidRPr="005C2A29">
            <w:rPr>
              <w:rFonts w:ascii="Times New Roman" w:hAnsi="Times New Roman"/>
              <w:b/>
              <w:bCs/>
              <w:sz w:val="24"/>
              <w:szCs w:val="24"/>
            </w:rPr>
            <w:t>Términos significativos del acuerdo que puedan afectar su valor, el calendario y la certeza de los flujos</w:t>
          </w:r>
        </w:p>
        <w:p w14:paraId="3D24A2B7" w14:textId="39EF081D"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valor:</w:t>
          </w:r>
        </w:p>
        <w:p w14:paraId="41830FB0" w14:textId="22170BEA" w:rsidR="00274429" w:rsidRDefault="00274429" w:rsidP="00274429">
          <w:pPr>
            <w:jc w:val="both"/>
            <w:rPr>
              <w:rFonts w:ascii="Times New Roman" w:hAnsi="Times New Roman"/>
              <w:sz w:val="24"/>
              <w:szCs w:val="24"/>
            </w:rPr>
          </w:pPr>
          <w:r w:rsidRPr="00FC7585">
            <w:rPr>
              <w:rFonts w:ascii="Times New Roman" w:hAnsi="Times New Roman"/>
              <w:b/>
              <w:bCs/>
              <w:sz w:val="24"/>
              <w:szCs w:val="24"/>
            </w:rPr>
            <w:t xml:space="preserve">Tarifas: </w:t>
          </w:r>
          <w:r w:rsidRPr="009312AE">
            <w:rPr>
              <w:rFonts w:ascii="Times New Roman" w:hAnsi="Times New Roman"/>
              <w:sz w:val="24"/>
              <w:szCs w:val="24"/>
            </w:rPr>
            <w:t>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w:t>
          </w:r>
          <w:r w:rsidRPr="00454613">
            <w:rPr>
              <w:rFonts w:ascii="Times New Roman" w:hAnsi="Times New Roman"/>
              <w:sz w:val="24"/>
              <w:szCs w:val="24"/>
            </w:rPr>
            <w:t>.</w:t>
          </w:r>
        </w:p>
        <w:p w14:paraId="5BFD982B" w14:textId="77777777" w:rsidR="00274429" w:rsidRPr="009312AE" w:rsidRDefault="00274429" w:rsidP="00274429">
          <w:pPr>
            <w:rPr>
              <w:rFonts w:ascii="Times New Roman" w:hAnsi="Times New Roman"/>
              <w:sz w:val="24"/>
              <w:szCs w:val="24"/>
            </w:rPr>
          </w:pPr>
          <w:r w:rsidRPr="00FC7585">
            <w:rPr>
              <w:rFonts w:ascii="Times New Roman" w:hAnsi="Times New Roman"/>
              <w:b/>
              <w:bCs/>
              <w:sz w:val="24"/>
              <w:szCs w:val="24"/>
            </w:rPr>
            <w:t xml:space="preserve">Contraprestación portuaria: </w:t>
          </w:r>
          <w:r w:rsidRPr="009312AE">
            <w:rPr>
              <w:rFonts w:ascii="Times New Roman" w:hAnsi="Times New Roman"/>
              <w:sz w:val="24"/>
              <w:szCs w:val="24"/>
            </w:rPr>
            <w:t xml:space="preserve">El Puerto través de Resolución No. 20223030010055 de 22 de julio de 2022 se “(…) Liquida Unilateralmente el Contrato de Concesión Portuaria No. 002 de 2013, otorgado a la Empresa Colombiana Pesquera de Tolú PESTOLÚ. Por tanto, a 2023, no se cobró contraprestación. </w:t>
          </w:r>
        </w:p>
        <w:p w14:paraId="2AC3A388" w14:textId="77777777" w:rsidR="00274429" w:rsidRDefault="00274429" w:rsidP="00274429">
          <w:pPr>
            <w:rPr>
              <w:rFonts w:ascii="Times New Roman" w:hAnsi="Times New Roman"/>
              <w:sz w:val="24"/>
              <w:szCs w:val="24"/>
            </w:rPr>
          </w:pPr>
          <w:r w:rsidRPr="009312AE">
            <w:rPr>
              <w:rFonts w:ascii="Times New Roman" w:hAnsi="Times New Roman"/>
              <w:sz w:val="24"/>
              <w:szCs w:val="24"/>
            </w:rPr>
            <w:t>Plan de Inversiones: está establecido en la Cláusula Séptima del contrato, el plan de Inversión será de USD$32.157,00.</w:t>
          </w:r>
        </w:p>
        <w:p w14:paraId="2E656030" w14:textId="77777777" w:rsidR="00274429" w:rsidRPr="009A46BB" w:rsidRDefault="00274429" w:rsidP="00274429">
          <w:pPr>
            <w:jc w:val="both"/>
            <w:rPr>
              <w:rFonts w:ascii="Times New Roman" w:hAnsi="Times New Roman"/>
            </w:rPr>
          </w:pPr>
          <w:r w:rsidRPr="009A46BB">
            <w:rPr>
              <w:rFonts w:ascii="Times New Roman" w:hAnsi="Times New Roman"/>
              <w:b/>
            </w:rPr>
            <w:t xml:space="preserve">Obligaciones del Concesionario: </w:t>
          </w:r>
          <w:r w:rsidRPr="009A46BB">
            <w:rPr>
              <w:rFonts w:ascii="Times New Roman" w:hAnsi="Times New Roman"/>
            </w:rPr>
            <w:t xml:space="preserve">Se encuentran descritas en la Cláusula Décima Quinta. </w:t>
          </w:r>
        </w:p>
        <w:p w14:paraId="0227EBBB" w14:textId="77777777" w:rsidR="00274429" w:rsidRPr="009A46BB" w:rsidRDefault="00274429" w:rsidP="00274429">
          <w:pPr>
            <w:jc w:val="both"/>
            <w:rPr>
              <w:rFonts w:ascii="Times New Roman" w:hAnsi="Times New Roman"/>
            </w:rPr>
          </w:pPr>
          <w:r w:rsidRPr="009A46BB">
            <w:rPr>
              <w:rFonts w:ascii="Times New Roman" w:hAnsi="Times New Roman"/>
              <w:b/>
            </w:rPr>
            <w:t xml:space="preserve">Multas y Sanciones: </w:t>
          </w:r>
          <w:r w:rsidRPr="009A46BB">
            <w:rPr>
              <w:rFonts w:ascii="Times New Roman" w:hAnsi="Times New Roman"/>
            </w:rPr>
            <w:t xml:space="preserve">Están establecidas en la cláusula Décima Octava. </w:t>
          </w:r>
        </w:p>
        <w:p w14:paraId="508B13B0" w14:textId="77777777" w:rsidR="00274429" w:rsidRPr="009A46BB" w:rsidRDefault="00274429" w:rsidP="00274429">
          <w:pPr>
            <w:jc w:val="both"/>
            <w:rPr>
              <w:rFonts w:ascii="Times New Roman" w:hAnsi="Times New Roman"/>
            </w:rPr>
          </w:pPr>
          <w:r w:rsidRPr="009A46BB">
            <w:rPr>
              <w:rFonts w:ascii="Times New Roman" w:hAnsi="Times New Roman"/>
              <w:b/>
            </w:rPr>
            <w:t xml:space="preserve">Penal pecuniario: </w:t>
          </w:r>
          <w:r w:rsidRPr="009A46BB">
            <w:rPr>
              <w:rFonts w:ascii="Times New Roman" w:hAnsi="Times New Roman"/>
            </w:rPr>
            <w:t>En la Cláusula Décima Novena se establece que en el evento en que el INCO hoy ANI declare la caducidad o el incumplimiento del presente contrato se podrá imponer una penalidad pecuniaria</w:t>
          </w:r>
        </w:p>
        <w:p w14:paraId="027F2DF8" w14:textId="77777777" w:rsidR="00274429" w:rsidRDefault="00274429" w:rsidP="00274429">
          <w:pPr>
            <w:jc w:val="both"/>
            <w:rPr>
              <w:rFonts w:ascii="Times New Roman" w:hAnsi="Times New Roman"/>
              <w:b/>
              <w:bCs/>
              <w:sz w:val="24"/>
              <w:szCs w:val="24"/>
            </w:rPr>
          </w:pPr>
          <w:r w:rsidRPr="004C1095">
            <w:rPr>
              <w:rFonts w:ascii="Times New Roman" w:hAnsi="Times New Roman"/>
              <w:b/>
              <w:bCs/>
              <w:sz w:val="24"/>
              <w:szCs w:val="24"/>
            </w:rPr>
            <w:t>Términos de calendario:</w:t>
          </w:r>
        </w:p>
        <w:p w14:paraId="64134434" w14:textId="77777777" w:rsidR="00274429" w:rsidRPr="00266B88" w:rsidRDefault="00274429" w:rsidP="00274429">
          <w:pPr>
            <w:jc w:val="both"/>
            <w:rPr>
              <w:rStyle w:val="Estilo3"/>
            </w:rPr>
          </w:pPr>
          <w:r w:rsidRPr="00266B88">
            <w:rPr>
              <w:rStyle w:val="Estilo3"/>
            </w:rPr>
            <w:t>Tarifas: Aprobadas según la metodología establecida por la Superintendencia General de Puertos hoy Superintendencia de Transporte.</w:t>
          </w:r>
        </w:p>
        <w:p w14:paraId="522C792D" w14:textId="77777777" w:rsidR="00274429" w:rsidRPr="00266B88" w:rsidRDefault="00274429" w:rsidP="00274429">
          <w:pPr>
            <w:jc w:val="both"/>
            <w:rPr>
              <w:rStyle w:val="Estilo3"/>
            </w:rPr>
          </w:pPr>
          <w:r w:rsidRPr="00266B88">
            <w:rPr>
              <w:rStyle w:val="Estilo3"/>
            </w:rPr>
            <w:t>Contraprestación portuaria: la contraprestación se debía pagar de manera anticipada anual desde el mes de febrero de cada año.</w:t>
          </w:r>
        </w:p>
        <w:p w14:paraId="0F318E9D" w14:textId="77777777" w:rsidR="00274429" w:rsidRPr="00266B88" w:rsidRDefault="00274429" w:rsidP="00274429">
          <w:pPr>
            <w:jc w:val="both"/>
            <w:rPr>
              <w:rStyle w:val="Estilo3"/>
            </w:rPr>
          </w:pPr>
          <w:r w:rsidRPr="00266B88">
            <w:rPr>
              <w:rStyle w:val="Estilo3"/>
            </w:rPr>
            <w:t>Plan de inversiones: Se estableció en la Cláusula Séptima y la ejecución fue en el periodo de tiempo comprendido entre el año 2013 a 2014.</w:t>
          </w:r>
        </w:p>
        <w:p w14:paraId="7B38D9A6" w14:textId="77777777" w:rsidR="00274429" w:rsidRPr="00266B88" w:rsidRDefault="00274429" w:rsidP="00274429">
          <w:pPr>
            <w:jc w:val="both"/>
            <w:rPr>
              <w:rStyle w:val="Estilo3"/>
            </w:rPr>
          </w:pPr>
          <w:r w:rsidRPr="00266B88">
            <w:rPr>
              <w:rStyle w:val="Estilo3"/>
            </w:rPr>
            <w:t>Multas: están establecidas en la Cláusula Décima Octava.</w:t>
          </w:r>
        </w:p>
        <w:p w14:paraId="4F02B37C" w14:textId="77777777"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certeza de flujos de efectivo futuros:</w:t>
          </w:r>
          <w:r>
            <w:rPr>
              <w:rFonts w:ascii="Times New Roman" w:hAnsi="Times New Roman"/>
              <w:b/>
              <w:bCs/>
              <w:sz w:val="24"/>
              <w:szCs w:val="24"/>
            </w:rPr>
            <w:t xml:space="preserve"> </w:t>
          </w:r>
        </w:p>
        <w:p w14:paraId="35AC7164" w14:textId="77777777" w:rsidR="00274429" w:rsidRPr="00266B88" w:rsidRDefault="00274429" w:rsidP="00274429">
          <w:pPr>
            <w:jc w:val="both"/>
            <w:rPr>
              <w:rFonts w:ascii="Times New Roman" w:hAnsi="Times New Roman"/>
              <w:sz w:val="24"/>
              <w:szCs w:val="24"/>
            </w:rPr>
          </w:pPr>
          <w:r w:rsidRPr="00266B88">
            <w:rPr>
              <w:rFonts w:ascii="Times New Roman" w:hAnsi="Times New Roman"/>
              <w:sz w:val="24"/>
              <w:szCs w:val="24"/>
            </w:rPr>
            <w:t>Se otorga a EL CONCESIONARIO el derecho de ocupar y utilizar en forma temporal y exclusiva el área de uso público descritos en la Cláusula Segunda del contrato, a cambio de la contraprestación económica.</w:t>
          </w:r>
        </w:p>
        <w:p w14:paraId="3386DEE6" w14:textId="77777777" w:rsidR="00274429" w:rsidRPr="00266B88" w:rsidRDefault="00274429" w:rsidP="00274429">
          <w:pPr>
            <w:jc w:val="both"/>
            <w:rPr>
              <w:rFonts w:ascii="Times New Roman" w:hAnsi="Times New Roman"/>
              <w:sz w:val="24"/>
              <w:szCs w:val="24"/>
            </w:rPr>
          </w:pPr>
          <w:r w:rsidRPr="00266B88">
            <w:rPr>
              <w:rFonts w:ascii="Times New Roman" w:hAnsi="Times New Roman"/>
              <w:sz w:val="24"/>
              <w:szCs w:val="24"/>
            </w:rPr>
            <w:lastRenderedPageBreak/>
            <w:t>Cláusula Octava, Parágrafo Tercero indica que del valor a pagar por concepto de contraprestación por Zona de Uso público el 80% le corresponde a la Nación-INVIAS y el 20 % al Distrito de Santiago de Tolú (Departamento de Sucre).</w:t>
          </w:r>
        </w:p>
        <w:p w14:paraId="5821E1AA" w14:textId="77777777" w:rsidR="00274429" w:rsidRPr="005C2A29" w:rsidRDefault="00274429" w:rsidP="00E60BAB">
          <w:pPr>
            <w:pStyle w:val="Prrafodelista"/>
            <w:numPr>
              <w:ilvl w:val="0"/>
              <w:numId w:val="123"/>
            </w:numPr>
            <w:spacing w:line="259" w:lineRule="auto"/>
            <w:jc w:val="both"/>
            <w:rPr>
              <w:rFonts w:ascii="Times New Roman" w:hAnsi="Times New Roman"/>
              <w:b/>
              <w:bCs/>
              <w:sz w:val="24"/>
              <w:szCs w:val="24"/>
            </w:rPr>
          </w:pPr>
          <w:r w:rsidRPr="005C2A29">
            <w:rPr>
              <w:rFonts w:ascii="Times New Roman" w:hAnsi="Times New Roman"/>
              <w:b/>
              <w:bCs/>
              <w:sz w:val="24"/>
              <w:szCs w:val="24"/>
            </w:rPr>
            <w:t>Naturaleza y alcance del derecho a utilizar activos especificados, de los aspectos pactados en torno a lo que se espera que el concesionario proporcione en relación con el acuerdo de concesión (Se requiere ser breves, precisos, y concisos en la redacción)</w:t>
          </w:r>
        </w:p>
        <w:p w14:paraId="26DB14DF" w14:textId="77777777" w:rsidR="00274429" w:rsidRDefault="00274429" w:rsidP="00274429">
          <w:pPr>
            <w:jc w:val="both"/>
            <w:rPr>
              <w:rFonts w:ascii="Times New Roman" w:hAnsi="Times New Roman"/>
              <w:b/>
              <w:bCs/>
              <w:sz w:val="24"/>
              <w:szCs w:val="24"/>
            </w:rPr>
          </w:pPr>
          <w:r w:rsidRPr="00217110">
            <w:rPr>
              <w:rFonts w:ascii="Times New Roman" w:hAnsi="Times New Roman"/>
              <w:b/>
              <w:bCs/>
              <w:sz w:val="24"/>
              <w:szCs w:val="24"/>
            </w:rPr>
            <w:t>Naturaleza y alcance del derecho de uso de los activos</w:t>
          </w:r>
        </w:p>
        <w:p w14:paraId="3DBC67E2" w14:textId="6930DF81" w:rsidR="00274429" w:rsidRDefault="00274429" w:rsidP="00274429">
          <w:pPr>
            <w:jc w:val="both"/>
            <w:rPr>
              <w:rFonts w:ascii="Times New Roman" w:hAnsi="Times New Roman"/>
              <w:b/>
              <w:bCs/>
              <w:sz w:val="24"/>
              <w:szCs w:val="24"/>
            </w:rPr>
          </w:pPr>
          <w:r w:rsidRPr="003E5FA9">
            <w:rPr>
              <w:rFonts w:ascii="Times New Roman" w:hAnsi="Times New Roman"/>
              <w:b/>
              <w:bCs/>
              <w:sz w:val="24"/>
              <w:szCs w:val="24"/>
            </w:rPr>
            <w:t>Descripción:</w:t>
          </w:r>
        </w:p>
        <w:p w14:paraId="7FEA1DC4" w14:textId="77777777" w:rsidR="00274429" w:rsidRPr="009A46BB" w:rsidRDefault="00274429" w:rsidP="00274429">
          <w:pPr>
            <w:jc w:val="both"/>
            <w:rPr>
              <w:rFonts w:ascii="Times New Roman" w:hAnsi="Times New Roman"/>
            </w:rPr>
          </w:pPr>
          <w:r w:rsidRPr="009A46BB">
            <w:rPr>
              <w:rFonts w:ascii="Times New Roman" w:hAnsi="Times New Roman"/>
            </w:rPr>
            <w:t>Descripción del proyecto, especificaciones técnicas, modalidades de operación: las condiciones especiales de operación del puerto se encuentran establecidas en la Cláusula Quinta del Contrato.</w:t>
          </w:r>
        </w:p>
        <w:p w14:paraId="2E4A5EB8" w14:textId="62E6A323" w:rsidR="00274429" w:rsidRPr="009A46BB" w:rsidRDefault="00274429" w:rsidP="00274429">
          <w:pPr>
            <w:jc w:val="both"/>
            <w:rPr>
              <w:rFonts w:ascii="Times New Roman" w:hAnsi="Times New Roman"/>
            </w:rPr>
          </w:pPr>
          <w:r w:rsidRPr="009A46BB">
            <w:rPr>
              <w:rFonts w:ascii="Times New Roman" w:hAnsi="Times New Roman"/>
            </w:rPr>
            <w:t xml:space="preserve"> Área entregada en concesión:</w:t>
          </w:r>
          <w:r w:rsidR="3A889FD3" w:rsidRPr="10D44305">
            <w:rPr>
              <w:rFonts w:ascii="Times New Roman" w:hAnsi="Times New Roman"/>
            </w:rPr>
            <w:t xml:space="preserve"> </w:t>
          </w:r>
          <w:r w:rsidRPr="009A46BB">
            <w:rPr>
              <w:rFonts w:ascii="Times New Roman" w:hAnsi="Times New Roman"/>
            </w:rPr>
            <w:t>La descripción de la ubicación, linderos y extensión de los bienes de uso público entregados en concesión están detallados en la Cláusula Segunda del Contrato.</w:t>
          </w:r>
        </w:p>
        <w:p w14:paraId="7620742F" w14:textId="77777777" w:rsidR="00274429" w:rsidRPr="009A46BB" w:rsidRDefault="00274429" w:rsidP="00274429">
          <w:pPr>
            <w:jc w:val="both"/>
            <w:rPr>
              <w:rFonts w:ascii="Times New Roman" w:hAnsi="Times New Roman"/>
            </w:rPr>
          </w:pPr>
          <w:r w:rsidRPr="009A46BB">
            <w:rPr>
              <w:rFonts w:ascii="Times New Roman" w:hAnsi="Times New Roman"/>
            </w:rPr>
            <w:t xml:space="preserve"> Infraestructura y equipos entregados en concesión: En la Cláusula Segunda del Contrato, se describe la infraestructura entregada en concesión, así: </w:t>
          </w:r>
        </w:p>
        <w:p w14:paraId="561629E1" w14:textId="77777777" w:rsidR="00274429" w:rsidRPr="009A46BB" w:rsidRDefault="00274429" w:rsidP="00274429">
          <w:pPr>
            <w:jc w:val="both"/>
            <w:rPr>
              <w:rFonts w:ascii="Times New Roman" w:hAnsi="Times New Roman"/>
            </w:rPr>
          </w:pPr>
          <w:r w:rsidRPr="009A46BB">
            <w:rPr>
              <w:rFonts w:ascii="Times New Roman" w:hAnsi="Times New Roman"/>
            </w:rPr>
            <w:t>Infraestructura: Muelle pesquero.</w:t>
          </w:r>
        </w:p>
        <w:p w14:paraId="2B5191DA" w14:textId="77777777" w:rsidR="00274429" w:rsidRPr="007A403F" w:rsidRDefault="00274429" w:rsidP="00274429">
          <w:pPr>
            <w:jc w:val="both"/>
            <w:rPr>
              <w:rFonts w:ascii="Times New Roman" w:hAnsi="Times New Roman"/>
              <w:sz w:val="24"/>
              <w:szCs w:val="24"/>
            </w:rPr>
          </w:pPr>
          <w:r w:rsidRPr="003E5FA9">
            <w:rPr>
              <w:rFonts w:ascii="Times New Roman" w:hAnsi="Times New Roman"/>
              <w:b/>
              <w:bCs/>
              <w:sz w:val="24"/>
              <w:szCs w:val="24"/>
            </w:rPr>
            <w:t>Observaciones:</w:t>
          </w:r>
          <w:r>
            <w:rPr>
              <w:rFonts w:ascii="Times New Roman" w:hAnsi="Times New Roman"/>
              <w:b/>
              <w:bCs/>
              <w:sz w:val="24"/>
              <w:szCs w:val="24"/>
            </w:rPr>
            <w:t xml:space="preserve"> </w:t>
          </w:r>
          <w:r w:rsidRPr="007A403F">
            <w:rPr>
              <w:rFonts w:ascii="Times New Roman" w:hAnsi="Times New Roman"/>
              <w:sz w:val="24"/>
              <w:szCs w:val="24"/>
            </w:rPr>
            <w:t xml:space="preserve">Proyecto en proceso de restitución. </w:t>
          </w:r>
        </w:p>
        <w:p w14:paraId="73552E5C" w14:textId="77777777" w:rsidR="00274429" w:rsidRDefault="00274429" w:rsidP="00274429">
          <w:pPr>
            <w:jc w:val="both"/>
            <w:rPr>
              <w:rFonts w:ascii="Times New Roman" w:hAnsi="Times New Roman"/>
              <w:b/>
              <w:bCs/>
              <w:sz w:val="24"/>
              <w:szCs w:val="24"/>
            </w:rPr>
          </w:pPr>
          <w:r>
            <w:rPr>
              <w:rFonts w:ascii="Times New Roman" w:hAnsi="Times New Roman"/>
              <w:b/>
              <w:bCs/>
              <w:sz w:val="24"/>
              <w:szCs w:val="24"/>
            </w:rPr>
            <w:t>Retribución al Concesionario</w:t>
          </w:r>
        </w:p>
        <w:p w14:paraId="25E07B48" w14:textId="77777777" w:rsidR="00274429" w:rsidRDefault="00274429" w:rsidP="00274429">
          <w:pPr>
            <w:jc w:val="both"/>
            <w:rPr>
              <w:rFonts w:ascii="Times New Roman" w:hAnsi="Times New Roman"/>
              <w:sz w:val="24"/>
              <w:szCs w:val="24"/>
            </w:rPr>
          </w:pPr>
          <w:r w:rsidRPr="002F1782">
            <w:rPr>
              <w:rFonts w:ascii="Times New Roman" w:hAnsi="Times New Roman"/>
              <w:b/>
              <w:bCs/>
              <w:sz w:val="24"/>
              <w:szCs w:val="24"/>
            </w:rPr>
            <w:t xml:space="preserve">Descripción: </w:t>
          </w:r>
          <w:r w:rsidRPr="00A94599">
            <w:rPr>
              <w:rFonts w:ascii="Times New Roman" w:hAnsi="Times New Roman"/>
              <w:sz w:val="24"/>
              <w:szCs w:val="24"/>
            </w:rPr>
            <w:t>En la Clausula Primera del Contrato de concesión indica que se otorga a EL CONCESIONARIO el derecho de ocupar y utilizar en forma temporal y exclusiva el área de uso público descritos en la Cláusula Segunda del contrato, a cambio de la contraprestación económica.</w:t>
          </w:r>
        </w:p>
        <w:p w14:paraId="2FE63660" w14:textId="77777777" w:rsidR="00274429" w:rsidRPr="00351837" w:rsidRDefault="00274429" w:rsidP="00274429">
          <w:pPr>
            <w:jc w:val="both"/>
            <w:rPr>
              <w:rFonts w:ascii="Times New Roman" w:hAnsi="Times New Roman"/>
              <w:b/>
              <w:bCs/>
              <w:sz w:val="24"/>
              <w:szCs w:val="24"/>
            </w:rPr>
          </w:pPr>
          <w:r>
            <w:rPr>
              <w:rFonts w:ascii="Times New Roman" w:hAnsi="Times New Roman"/>
              <w:b/>
              <w:bCs/>
              <w:sz w:val="24"/>
              <w:szCs w:val="24"/>
            </w:rPr>
            <w:t>Tasa de retribución: NA</w:t>
          </w:r>
        </w:p>
        <w:p w14:paraId="2DC0C3B6" w14:textId="77777777" w:rsidR="00274429" w:rsidRPr="00421699" w:rsidRDefault="00274429" w:rsidP="00E60BAB">
          <w:pPr>
            <w:pStyle w:val="Prrafodelista"/>
            <w:numPr>
              <w:ilvl w:val="0"/>
              <w:numId w:val="123"/>
            </w:numPr>
            <w:spacing w:line="259" w:lineRule="auto"/>
            <w:jc w:val="both"/>
            <w:rPr>
              <w:rFonts w:ascii="Times New Roman" w:hAnsi="Times New Roman"/>
              <w:b/>
              <w:bCs/>
              <w:sz w:val="24"/>
              <w:szCs w:val="24"/>
            </w:rPr>
          </w:pPr>
          <w:r w:rsidRPr="00421699">
            <w:rPr>
              <w:rFonts w:ascii="Times New Roman" w:hAnsi="Times New Roman"/>
              <w:b/>
              <w:bCs/>
              <w:sz w:val="24"/>
              <w:szCs w:val="24"/>
            </w:rPr>
            <w:t>Derechos a recibir activos especificados al final del acuerdo de concesión</w:t>
          </w:r>
        </w:p>
        <w:p w14:paraId="5720F7DB" w14:textId="77777777" w:rsidR="00274429" w:rsidRPr="00A94599" w:rsidRDefault="00274429" w:rsidP="00274429">
          <w:pPr>
            <w:jc w:val="both"/>
            <w:rPr>
              <w:rFonts w:ascii="Times New Roman" w:hAnsi="Times New Roman"/>
              <w:sz w:val="24"/>
              <w:szCs w:val="24"/>
            </w:rPr>
          </w:pPr>
          <w:r w:rsidRPr="006D56DF">
            <w:rPr>
              <w:rFonts w:ascii="Times New Roman" w:hAnsi="Times New Roman"/>
              <w:b/>
              <w:bCs/>
              <w:sz w:val="24"/>
              <w:szCs w:val="24"/>
            </w:rPr>
            <w:t>Descripción:</w:t>
          </w:r>
          <w:r>
            <w:rPr>
              <w:rFonts w:ascii="Times New Roman" w:hAnsi="Times New Roman"/>
              <w:b/>
              <w:bCs/>
              <w:sz w:val="24"/>
              <w:szCs w:val="24"/>
            </w:rPr>
            <w:t xml:space="preserve"> </w:t>
          </w:r>
          <w:r w:rsidRPr="00A94599">
            <w:rPr>
              <w:rFonts w:ascii="Times New Roman" w:hAnsi="Times New Roman"/>
              <w:sz w:val="24"/>
              <w:szCs w:val="24"/>
            </w:rPr>
            <w:t>De acuerdo con el Artículo 8º de la Ley 1 de 1991 en el modo portuario el concesionario no tiene derechos finales sobre activos los debe revertir a la Nación al final del contrato de concesión.</w:t>
          </w:r>
        </w:p>
        <w:p w14:paraId="26D16520" w14:textId="77777777" w:rsidR="00274429" w:rsidRPr="00351837" w:rsidRDefault="00274429" w:rsidP="00274429">
          <w:pPr>
            <w:rPr>
              <w:rFonts w:ascii="Times New Roman" w:hAnsi="Times New Roman"/>
              <w:sz w:val="24"/>
              <w:szCs w:val="24"/>
            </w:rPr>
          </w:pPr>
          <w:r w:rsidRPr="006D56DF">
            <w:rPr>
              <w:rFonts w:ascii="Times New Roman" w:hAnsi="Times New Roman"/>
              <w:b/>
              <w:bCs/>
              <w:sz w:val="24"/>
              <w:szCs w:val="24"/>
            </w:rPr>
            <w:t>Observaciones:</w:t>
          </w:r>
          <w:r w:rsidRPr="009A46BB">
            <w:rPr>
              <w:rFonts w:ascii="Times New Roman" w:hAnsi="Times New Roman"/>
            </w:rPr>
            <w:t xml:space="preserve"> </w:t>
          </w:r>
        </w:p>
        <w:p w14:paraId="4A214AED" w14:textId="4DD34857" w:rsidR="00274429" w:rsidRPr="00F344F8" w:rsidRDefault="00274429" w:rsidP="00274429">
          <w:pPr>
            <w:jc w:val="both"/>
            <w:rPr>
              <w:rFonts w:ascii="Times New Roman" w:hAnsi="Times New Roman"/>
              <w:sz w:val="24"/>
              <w:szCs w:val="24"/>
            </w:rPr>
          </w:pPr>
          <w:r w:rsidRPr="00F344F8">
            <w:rPr>
              <w:rFonts w:ascii="Times New Roman" w:hAnsi="Times New Roman"/>
              <w:sz w:val="24"/>
              <w:szCs w:val="24"/>
            </w:rPr>
            <w:t>Reversión: De acuerdo con lo establecido en la Cláusula Décima Segunda del Contrato de Concesión, la zona de uso público y todas las construcciones y equipos entregadas en concesión se revertirán a la Nación en buenas condiciones de operación tecnológica, mantenimiento y de adecuada eficiencia al término de este contrato y de las prórrogas si la hubiere. Igualmente procederá la reversión al ser declarado la caducidad o la terminación unilateral.</w:t>
          </w:r>
        </w:p>
        <w:p w14:paraId="7A4438D1" w14:textId="77777777" w:rsidR="00274429" w:rsidRPr="00F344F8" w:rsidRDefault="00274429" w:rsidP="00274429">
          <w:pPr>
            <w:jc w:val="both"/>
            <w:rPr>
              <w:rFonts w:ascii="Times New Roman" w:hAnsi="Times New Roman"/>
              <w:sz w:val="24"/>
              <w:szCs w:val="24"/>
            </w:rPr>
          </w:pPr>
          <w:r w:rsidRPr="00F344F8">
            <w:rPr>
              <w:rFonts w:ascii="Times New Roman" w:hAnsi="Times New Roman"/>
              <w:sz w:val="24"/>
              <w:szCs w:val="24"/>
            </w:rPr>
            <w:t xml:space="preserve">Para tal fin, en el momento de la reversión el CONCESIONARIO deberá hacer entrega de un avaluó comercial actualizado y valoración técnica de las condiciones de operación de la </w:t>
          </w:r>
          <w:r w:rsidRPr="00F344F8">
            <w:rPr>
              <w:rFonts w:ascii="Times New Roman" w:hAnsi="Times New Roman"/>
              <w:sz w:val="24"/>
              <w:szCs w:val="24"/>
            </w:rPr>
            <w:lastRenderedPageBreak/>
            <w:t xml:space="preserve">infraestructura portuaria, equipos e inmuebles por destinación que habitualmente se encuentren instalados en las zonas de uso público que se revierten y que son propiedad de la Nación. </w:t>
          </w:r>
        </w:p>
        <w:p w14:paraId="26449826" w14:textId="77777777" w:rsidR="00274429" w:rsidRPr="00F344F8" w:rsidRDefault="00274429" w:rsidP="00274429">
          <w:pPr>
            <w:jc w:val="both"/>
            <w:rPr>
              <w:rFonts w:ascii="Times New Roman" w:hAnsi="Times New Roman"/>
              <w:sz w:val="24"/>
              <w:szCs w:val="24"/>
            </w:rPr>
          </w:pPr>
          <w:r w:rsidRPr="00F344F8">
            <w:rPr>
              <w:rFonts w:ascii="Times New Roman" w:hAnsi="Times New Roman"/>
              <w:sz w:val="24"/>
              <w:szCs w:val="24"/>
            </w:rPr>
            <w:t>La ANI es la entidad concedente pero la titularidad de los activos al final de la concesión es del Instituto Nacional de Vías INVIAS.</w:t>
          </w:r>
        </w:p>
        <w:p w14:paraId="308DA4C6" w14:textId="39DFAA91" w:rsidR="00274429" w:rsidRDefault="58A94D19" w:rsidP="00E60BAB">
          <w:pPr>
            <w:pStyle w:val="Prrafodelista"/>
            <w:numPr>
              <w:ilvl w:val="0"/>
              <w:numId w:val="123"/>
            </w:numPr>
            <w:spacing w:line="259" w:lineRule="auto"/>
            <w:jc w:val="both"/>
            <w:rPr>
              <w:rFonts w:ascii="Times New Roman" w:hAnsi="Times New Roman"/>
              <w:b/>
              <w:bCs/>
              <w:sz w:val="24"/>
              <w:szCs w:val="24"/>
            </w:rPr>
          </w:pPr>
          <w:r w:rsidRPr="10D44305">
            <w:rPr>
              <w:rFonts w:ascii="Times New Roman" w:hAnsi="Times New Roman"/>
              <w:b/>
              <w:bCs/>
              <w:sz w:val="24"/>
              <w:szCs w:val="24"/>
            </w:rPr>
            <w:t>No hay c</w:t>
          </w:r>
          <w:r w:rsidR="00274429" w:rsidRPr="10D44305">
            <w:rPr>
              <w:rFonts w:ascii="Times New Roman" w:hAnsi="Times New Roman"/>
              <w:b/>
              <w:bCs/>
              <w:sz w:val="24"/>
              <w:szCs w:val="24"/>
            </w:rPr>
            <w:t>ambios</w:t>
          </w:r>
          <w:r w:rsidR="00274429" w:rsidRPr="004B43C7">
            <w:rPr>
              <w:rFonts w:ascii="Times New Roman" w:hAnsi="Times New Roman"/>
              <w:b/>
              <w:bCs/>
              <w:sz w:val="24"/>
              <w:szCs w:val="24"/>
            </w:rPr>
            <w:t xml:space="preserve"> en el acuerdo de concesión que se realicen durante el periodo fiscal </w:t>
          </w:r>
        </w:p>
        <w:p w14:paraId="44F717E5" w14:textId="77777777" w:rsidR="00274429" w:rsidRPr="00CA2567" w:rsidRDefault="00274429" w:rsidP="00274429">
          <w:pPr>
            <w:pStyle w:val="Prrafodelista"/>
            <w:jc w:val="both"/>
            <w:rPr>
              <w:rFonts w:ascii="Times New Roman" w:hAnsi="Times New Roman"/>
              <w:b/>
              <w:bCs/>
              <w:sz w:val="24"/>
              <w:szCs w:val="24"/>
            </w:rPr>
          </w:pPr>
        </w:p>
        <w:p w14:paraId="2EF0743B" w14:textId="77777777" w:rsidR="00274429" w:rsidRPr="00197A12" w:rsidRDefault="00274429" w:rsidP="00274429">
          <w:pPr>
            <w:spacing w:after="0" w:line="240" w:lineRule="auto"/>
            <w:jc w:val="both"/>
            <w:rPr>
              <w:rFonts w:ascii="Times New Roman" w:hAnsi="Times New Roman"/>
              <w:b/>
              <w:bCs/>
              <w:sz w:val="24"/>
              <w:szCs w:val="24"/>
            </w:rPr>
          </w:pPr>
        </w:p>
        <w:p w14:paraId="59A7BAE6" w14:textId="77777777" w:rsidR="00274429" w:rsidRDefault="00274429" w:rsidP="00274429">
          <w:pPr>
            <w:rPr>
              <w:rFonts w:ascii="Times New Roman" w:hAnsi="Times New Roman"/>
              <w:b/>
              <w:sz w:val="24"/>
              <w:szCs w:val="24"/>
            </w:rPr>
          </w:pPr>
          <w:r w:rsidRPr="10D44305">
            <w:rPr>
              <w:rFonts w:ascii="Times New Roman" w:hAnsi="Times New Roman"/>
              <w:b/>
              <w:sz w:val="24"/>
              <w:szCs w:val="24"/>
            </w:rPr>
            <w:t>SOCIEDAD PORTUARIA TERMINAL DE IFO'S S.A</w:t>
          </w:r>
        </w:p>
        <w:p w14:paraId="12B9DDA1" w14:textId="77777777" w:rsidR="00274429" w:rsidRPr="00996621" w:rsidRDefault="00274429" w:rsidP="00E60BAB">
          <w:pPr>
            <w:pStyle w:val="Prrafodelista"/>
            <w:numPr>
              <w:ilvl w:val="0"/>
              <w:numId w:val="124"/>
            </w:numPr>
            <w:spacing w:line="259" w:lineRule="auto"/>
            <w:rPr>
              <w:rFonts w:ascii="Times New Roman" w:hAnsi="Times New Roman"/>
              <w:b/>
              <w:bCs/>
              <w:sz w:val="24"/>
              <w:szCs w:val="24"/>
            </w:rPr>
          </w:pPr>
          <w:r w:rsidRPr="00996621">
            <w:rPr>
              <w:rFonts w:ascii="Times New Roman" w:hAnsi="Times New Roman"/>
              <w:b/>
              <w:bCs/>
              <w:sz w:val="24"/>
              <w:szCs w:val="24"/>
            </w:rPr>
            <w:t>Descripción del acuerdo</w:t>
          </w:r>
        </w:p>
        <w:p w14:paraId="7F781551" w14:textId="391B9706" w:rsidR="00274429" w:rsidRPr="009A46BB" w:rsidRDefault="00274429" w:rsidP="10D44305">
          <w:pPr>
            <w:spacing w:after="0"/>
            <w:rPr>
              <w:rFonts w:ascii="Times New Roman" w:hAnsi="Times New Roman"/>
            </w:rPr>
          </w:pPr>
          <w:r w:rsidRPr="009A46BB">
            <w:rPr>
              <w:rFonts w:ascii="Times New Roman" w:hAnsi="Times New Roman"/>
              <w:b/>
            </w:rPr>
            <w:t>Número del acuerdo de concesión:</w:t>
          </w:r>
          <w:r w:rsidR="5EAF0B85" w:rsidRPr="10D44305">
            <w:rPr>
              <w:rFonts w:ascii="Times New Roman" w:hAnsi="Times New Roman"/>
              <w:b/>
              <w:bCs/>
            </w:rPr>
            <w:t xml:space="preserve"> </w:t>
          </w:r>
          <w:r w:rsidRPr="009A46BB">
            <w:rPr>
              <w:rFonts w:ascii="Times New Roman" w:hAnsi="Times New Roman"/>
            </w:rPr>
            <w:t xml:space="preserve">Contrato de Concesión Portuario No. 001 de 2014. </w:t>
          </w:r>
        </w:p>
        <w:p w14:paraId="3CD6CE98" w14:textId="61E3F26A" w:rsidR="00274429" w:rsidRPr="009A46BB" w:rsidRDefault="00274429" w:rsidP="10D44305">
          <w:pPr>
            <w:spacing w:after="0"/>
            <w:jc w:val="both"/>
            <w:rPr>
              <w:rFonts w:ascii="Times New Roman" w:hAnsi="Times New Roman"/>
            </w:rPr>
          </w:pPr>
          <w:r w:rsidRPr="009A46BB">
            <w:rPr>
              <w:rFonts w:ascii="Times New Roman" w:hAnsi="Times New Roman"/>
              <w:b/>
            </w:rPr>
            <w:t>Objeto / Descripción</w:t>
          </w:r>
          <w:r w:rsidRPr="009A46BB">
            <w:rPr>
              <w:rFonts w:ascii="Times New Roman" w:hAnsi="Times New Roman"/>
            </w:rPr>
            <w:t>:</w:t>
          </w:r>
          <w:r w:rsidR="27AEF7E6" w:rsidRPr="10D44305">
            <w:rPr>
              <w:rFonts w:ascii="Times New Roman" w:hAnsi="Times New Roman"/>
            </w:rPr>
            <w:t xml:space="preserve"> </w:t>
          </w:r>
          <w:r w:rsidRPr="009A46BB">
            <w:rPr>
              <w:rFonts w:ascii="Times New Roman" w:hAnsi="Times New Roman"/>
            </w:rPr>
            <w:t xml:space="preserve">En virtud del Contrato de concesión portuaria, se permite al CONCESIONARIO la ocupación en forma temporal y exclusiva de los bienes de uso público descritos en la cláusula 2 para la construcción y operación de un terminal de portuario, a cambio de una contraprestación económica a favor del CONCEDENTE, en los términos descritos en la cláusula 13 del contrato. </w:t>
          </w:r>
        </w:p>
        <w:p w14:paraId="17C074F6" w14:textId="556677D0" w:rsidR="00274429" w:rsidRDefault="00274429" w:rsidP="00544CB7">
          <w:pPr>
            <w:spacing w:after="0"/>
            <w:rPr>
              <w:rFonts w:ascii="Times New Roman" w:hAnsi="Times New Roman"/>
              <w:sz w:val="24"/>
              <w:szCs w:val="24"/>
            </w:rPr>
          </w:pPr>
          <w:r w:rsidRPr="00521A07">
            <w:rPr>
              <w:rFonts w:ascii="Times New Roman" w:hAnsi="Times New Roman"/>
              <w:b/>
              <w:bCs/>
              <w:sz w:val="24"/>
              <w:szCs w:val="24"/>
            </w:rPr>
            <w:t>Valor inicial:</w:t>
          </w:r>
          <w:r w:rsidR="049EA141" w:rsidRPr="10D44305">
            <w:rPr>
              <w:rFonts w:ascii="Times New Roman" w:hAnsi="Times New Roman"/>
              <w:b/>
              <w:bCs/>
              <w:sz w:val="24"/>
              <w:szCs w:val="24"/>
            </w:rPr>
            <w:t xml:space="preserve"> </w:t>
          </w:r>
          <w:r w:rsidRPr="007E1558">
            <w:rPr>
              <w:rFonts w:ascii="Times New Roman" w:hAnsi="Times New Roman"/>
              <w:sz w:val="24"/>
              <w:szCs w:val="24"/>
            </w:rPr>
            <w:t xml:space="preserve">USD $3.418.818 Cláusula décima Tercera / Contrato No 001 de 2014. </w:t>
          </w:r>
        </w:p>
        <w:p w14:paraId="4D53CFBE" w14:textId="77777777" w:rsidR="00274429" w:rsidRDefault="00274429" w:rsidP="00544CB7">
          <w:pPr>
            <w:spacing w:after="0"/>
            <w:rPr>
              <w:rFonts w:ascii="Times New Roman" w:hAnsi="Times New Roman"/>
              <w:sz w:val="24"/>
              <w:szCs w:val="24"/>
            </w:rPr>
          </w:pPr>
          <w:r w:rsidRPr="00521A07">
            <w:rPr>
              <w:rFonts w:ascii="Times New Roman" w:hAnsi="Times New Roman"/>
              <w:b/>
              <w:bCs/>
              <w:sz w:val="24"/>
              <w:szCs w:val="24"/>
            </w:rPr>
            <w:t>Fecha de inicio:</w:t>
          </w:r>
          <w:r>
            <w:rPr>
              <w:rFonts w:ascii="Times New Roman" w:hAnsi="Times New Roman"/>
              <w:b/>
              <w:bCs/>
              <w:sz w:val="24"/>
              <w:szCs w:val="24"/>
            </w:rPr>
            <w:t xml:space="preserve"> </w:t>
          </w:r>
          <w:r>
            <w:rPr>
              <w:rFonts w:ascii="Times New Roman" w:hAnsi="Times New Roman"/>
              <w:sz w:val="24"/>
              <w:szCs w:val="24"/>
            </w:rPr>
            <w:t>09/07/2014</w:t>
          </w:r>
        </w:p>
        <w:p w14:paraId="235585B7" w14:textId="77777777" w:rsidR="00274429" w:rsidRDefault="00274429" w:rsidP="00544CB7">
          <w:pPr>
            <w:spacing w:after="0"/>
            <w:jc w:val="both"/>
            <w:rPr>
              <w:rFonts w:ascii="Times New Roman" w:hAnsi="Times New Roman"/>
              <w:sz w:val="24"/>
              <w:szCs w:val="24"/>
            </w:rPr>
          </w:pPr>
          <w:r w:rsidRPr="00521A07">
            <w:rPr>
              <w:rFonts w:ascii="Times New Roman" w:hAnsi="Times New Roman"/>
              <w:b/>
              <w:bCs/>
              <w:sz w:val="24"/>
              <w:szCs w:val="24"/>
            </w:rPr>
            <w:t>Fecha de finalización estimada:</w:t>
          </w:r>
          <w:r>
            <w:rPr>
              <w:rFonts w:ascii="Times New Roman" w:hAnsi="Times New Roman"/>
              <w:b/>
              <w:bCs/>
              <w:sz w:val="24"/>
              <w:szCs w:val="24"/>
            </w:rPr>
            <w:t xml:space="preserve"> </w:t>
          </w:r>
          <w:r>
            <w:rPr>
              <w:rFonts w:ascii="Times New Roman" w:hAnsi="Times New Roman"/>
              <w:sz w:val="24"/>
              <w:szCs w:val="24"/>
            </w:rPr>
            <w:t>08/07/2034</w:t>
          </w:r>
        </w:p>
        <w:p w14:paraId="22F78138" w14:textId="77777777" w:rsidR="00274429" w:rsidRPr="009A46BB" w:rsidRDefault="00274429" w:rsidP="00544CB7">
          <w:pPr>
            <w:spacing w:after="0"/>
            <w:jc w:val="both"/>
            <w:rPr>
              <w:rFonts w:ascii="Times New Roman" w:hAnsi="Times New Roman"/>
            </w:rPr>
          </w:pPr>
          <w:r w:rsidRPr="00521A07">
            <w:rPr>
              <w:rFonts w:ascii="Times New Roman" w:hAnsi="Times New Roman"/>
              <w:b/>
              <w:bCs/>
              <w:sz w:val="24"/>
              <w:szCs w:val="24"/>
            </w:rPr>
            <w:t>Tipo ID:</w:t>
          </w:r>
          <w:r>
            <w:rPr>
              <w:rFonts w:ascii="Times New Roman" w:hAnsi="Times New Roman"/>
              <w:b/>
              <w:bCs/>
              <w:sz w:val="24"/>
              <w:szCs w:val="24"/>
            </w:rPr>
            <w:t xml:space="preserve"> NIT</w:t>
          </w:r>
        </w:p>
        <w:p w14:paraId="0C24FC9E" w14:textId="77777777" w:rsidR="00274429" w:rsidRDefault="00274429" w:rsidP="00544CB7">
          <w:pPr>
            <w:spacing w:after="0"/>
            <w:rPr>
              <w:rFonts w:ascii="Times New Roman" w:hAnsi="Times New Roman"/>
              <w:sz w:val="24"/>
              <w:szCs w:val="24"/>
            </w:rPr>
          </w:pPr>
          <w:r w:rsidRPr="00521A07">
            <w:rPr>
              <w:rFonts w:ascii="Times New Roman" w:hAnsi="Times New Roman"/>
              <w:b/>
              <w:bCs/>
              <w:sz w:val="24"/>
              <w:szCs w:val="24"/>
            </w:rPr>
            <w:t>Número ID:</w:t>
          </w:r>
          <w:r>
            <w:rPr>
              <w:rFonts w:ascii="Times New Roman" w:hAnsi="Times New Roman"/>
              <w:b/>
              <w:bCs/>
              <w:sz w:val="24"/>
              <w:szCs w:val="24"/>
            </w:rPr>
            <w:t xml:space="preserve"> </w:t>
          </w:r>
          <w:r w:rsidRPr="00314ABE">
            <w:rPr>
              <w:rFonts w:ascii="Times New Roman" w:hAnsi="Times New Roman"/>
              <w:sz w:val="24"/>
              <w:szCs w:val="24"/>
            </w:rPr>
            <w:t xml:space="preserve">900677144 - 2 </w:t>
          </w:r>
        </w:p>
        <w:p w14:paraId="01FBE084" w14:textId="354D66F8" w:rsidR="00274429" w:rsidRDefault="00274429" w:rsidP="00544CB7">
          <w:pPr>
            <w:spacing w:after="0"/>
            <w:rPr>
              <w:rFonts w:ascii="Times New Roman" w:hAnsi="Times New Roman"/>
              <w:sz w:val="24"/>
              <w:szCs w:val="24"/>
            </w:rPr>
          </w:pPr>
          <w:r w:rsidRPr="00521A07">
            <w:rPr>
              <w:rFonts w:ascii="Times New Roman" w:hAnsi="Times New Roman"/>
              <w:b/>
              <w:bCs/>
              <w:sz w:val="24"/>
              <w:szCs w:val="24"/>
            </w:rPr>
            <w:t>Razón social del concesionario:</w:t>
          </w:r>
          <w:r w:rsidR="632358C1" w:rsidRPr="10D44305">
            <w:rPr>
              <w:rFonts w:ascii="Times New Roman" w:hAnsi="Times New Roman"/>
              <w:b/>
              <w:bCs/>
              <w:sz w:val="24"/>
              <w:szCs w:val="24"/>
            </w:rPr>
            <w:t xml:space="preserve"> </w:t>
          </w:r>
          <w:r w:rsidRPr="00CB1262">
            <w:rPr>
              <w:rFonts w:ascii="Times New Roman" w:hAnsi="Times New Roman"/>
              <w:sz w:val="24"/>
              <w:szCs w:val="24"/>
            </w:rPr>
            <w:t>SOCIEDAD PORTUARIA TERMINAL DE IFO'S S.A</w:t>
          </w:r>
        </w:p>
        <w:p w14:paraId="36E0D463" w14:textId="31B22191" w:rsidR="00274429" w:rsidRDefault="00274429" w:rsidP="00544CB7">
          <w:pPr>
            <w:spacing w:after="0"/>
            <w:rPr>
              <w:rFonts w:ascii="Times New Roman" w:hAnsi="Times New Roman"/>
              <w:sz w:val="24"/>
              <w:szCs w:val="24"/>
            </w:rPr>
          </w:pPr>
          <w:r w:rsidRPr="00521A07">
            <w:rPr>
              <w:rFonts w:ascii="Times New Roman" w:hAnsi="Times New Roman"/>
              <w:b/>
              <w:bCs/>
              <w:sz w:val="24"/>
              <w:szCs w:val="24"/>
            </w:rPr>
            <w:t>Nombre del proyecto:</w:t>
          </w:r>
          <w:r w:rsidR="69AD79DF" w:rsidRPr="10D44305">
            <w:rPr>
              <w:rFonts w:ascii="Times New Roman" w:hAnsi="Times New Roman"/>
              <w:b/>
              <w:bCs/>
              <w:sz w:val="24"/>
              <w:szCs w:val="24"/>
            </w:rPr>
            <w:t xml:space="preserve"> </w:t>
          </w:r>
          <w:r w:rsidRPr="00CB1262">
            <w:rPr>
              <w:rFonts w:ascii="Times New Roman" w:hAnsi="Times New Roman"/>
              <w:sz w:val="24"/>
              <w:szCs w:val="24"/>
            </w:rPr>
            <w:t xml:space="preserve">SOCIEDAD PORTUARIA TERMINAL DE IFO'S S.A </w:t>
          </w:r>
        </w:p>
        <w:p w14:paraId="5911BE34" w14:textId="77777777" w:rsidR="00544CB7" w:rsidRPr="009A46BB" w:rsidRDefault="00544CB7" w:rsidP="00544CB7">
          <w:pPr>
            <w:spacing w:after="0"/>
            <w:rPr>
              <w:rFonts w:ascii="Times New Roman" w:hAnsi="Times New Roman"/>
              <w:sz w:val="24"/>
              <w:szCs w:val="24"/>
            </w:rPr>
          </w:pPr>
        </w:p>
        <w:p w14:paraId="6A40A8CA" w14:textId="77777777" w:rsidR="00274429" w:rsidRPr="00F21DBC" w:rsidRDefault="00274429" w:rsidP="00E60BAB">
          <w:pPr>
            <w:pStyle w:val="Prrafodelista"/>
            <w:numPr>
              <w:ilvl w:val="0"/>
              <w:numId w:val="124"/>
            </w:numPr>
            <w:spacing w:line="259" w:lineRule="auto"/>
            <w:rPr>
              <w:rFonts w:ascii="Times New Roman" w:hAnsi="Times New Roman"/>
              <w:b/>
              <w:bCs/>
              <w:sz w:val="24"/>
              <w:szCs w:val="24"/>
            </w:rPr>
          </w:pPr>
          <w:r w:rsidRPr="00F21DBC">
            <w:rPr>
              <w:rFonts w:ascii="Times New Roman" w:hAnsi="Times New Roman"/>
              <w:b/>
              <w:bCs/>
              <w:sz w:val="24"/>
              <w:szCs w:val="24"/>
            </w:rPr>
            <w:t>Términos significativos del acuerdo que puedan afectar su valor, el calendario y la certeza de los flujos</w:t>
          </w:r>
        </w:p>
        <w:p w14:paraId="4D984185" w14:textId="4C7A0DCC"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valor:</w:t>
          </w:r>
        </w:p>
        <w:p w14:paraId="651679FC" w14:textId="77777777" w:rsidR="00274429" w:rsidRDefault="00274429" w:rsidP="00274429">
          <w:pPr>
            <w:jc w:val="both"/>
            <w:rPr>
              <w:rFonts w:ascii="Times New Roman" w:hAnsi="Times New Roman"/>
              <w:sz w:val="24"/>
              <w:szCs w:val="24"/>
            </w:rPr>
          </w:pPr>
          <w:r w:rsidRPr="00FC7585">
            <w:rPr>
              <w:rFonts w:ascii="Times New Roman" w:hAnsi="Times New Roman"/>
              <w:b/>
              <w:bCs/>
              <w:sz w:val="24"/>
              <w:szCs w:val="24"/>
            </w:rPr>
            <w:t xml:space="preserve">Tarifas: </w:t>
          </w:r>
          <w:r w:rsidRPr="00860DFA">
            <w:rPr>
              <w:rFonts w:ascii="Times New Roman" w:hAnsi="Times New Roman"/>
              <w:sz w:val="24"/>
              <w:szCs w:val="24"/>
            </w:rPr>
            <w:t xml:space="preserve">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 </w:t>
          </w:r>
        </w:p>
        <w:p w14:paraId="2A529D41" w14:textId="77777777" w:rsidR="00274429" w:rsidRDefault="00274429" w:rsidP="00274429">
          <w:pPr>
            <w:jc w:val="both"/>
            <w:rPr>
              <w:rFonts w:ascii="Times New Roman" w:hAnsi="Times New Roman"/>
              <w:sz w:val="24"/>
              <w:szCs w:val="24"/>
            </w:rPr>
          </w:pPr>
          <w:r w:rsidRPr="00FC7585">
            <w:rPr>
              <w:rFonts w:ascii="Times New Roman" w:hAnsi="Times New Roman"/>
              <w:b/>
              <w:bCs/>
              <w:sz w:val="24"/>
              <w:szCs w:val="24"/>
            </w:rPr>
            <w:t xml:space="preserve">Contraprestación portuaria: </w:t>
          </w:r>
          <w:r w:rsidRPr="00A93D24">
            <w:rPr>
              <w:rFonts w:ascii="Times New Roman" w:hAnsi="Times New Roman"/>
              <w:sz w:val="24"/>
              <w:szCs w:val="24"/>
            </w:rPr>
            <w:t xml:space="preserve">De acuerdo con el último documento contractual vigente la metodología de contraprestación vigente es CONPES 3744 de 2013 (Componentes Fijo y Variable). A febrero de 2023 el CONCESIONARIO debió pagar la suma de USD $371.964 valor que incluye componente fijo y componente variable. El recaudo se realizará de conformidad con la ley 856 de 2003, es decir, ZUP el 80% le corresponde a la Nación Instituto nacional de vías (INVIAS) y el 20% restante al distrito de Cartagena. </w:t>
          </w:r>
        </w:p>
        <w:p w14:paraId="3E677EE3" w14:textId="77777777" w:rsidR="00274429" w:rsidRDefault="00274429" w:rsidP="00274429">
          <w:pPr>
            <w:jc w:val="both"/>
            <w:rPr>
              <w:rStyle w:val="Estilo3"/>
            </w:rPr>
          </w:pPr>
          <w:r w:rsidRPr="00A93D24">
            <w:rPr>
              <w:rStyle w:val="Estilo3"/>
              <w:b/>
              <w:bCs/>
            </w:rPr>
            <w:t>Plan de Inversiones:</w:t>
          </w:r>
          <w:r w:rsidRPr="00840555">
            <w:rPr>
              <w:rStyle w:val="Estilo3"/>
            </w:rPr>
            <w:t xml:space="preserve"> está establecido en la Cláusula Doce del contrato, el plan de inversión será de USD $13.214.484.</w:t>
          </w:r>
          <w:r>
            <w:rPr>
              <w:rStyle w:val="Estilo3"/>
            </w:rPr>
            <w:t xml:space="preserve"> </w:t>
          </w:r>
        </w:p>
        <w:p w14:paraId="237B8DC1" w14:textId="77777777" w:rsidR="00274429" w:rsidRPr="009A46BB" w:rsidRDefault="00274429" w:rsidP="00274429">
          <w:pPr>
            <w:jc w:val="both"/>
            <w:rPr>
              <w:rFonts w:ascii="Times New Roman" w:hAnsi="Times New Roman"/>
            </w:rPr>
          </w:pPr>
          <w:r w:rsidRPr="009A46BB">
            <w:rPr>
              <w:rFonts w:ascii="Times New Roman" w:hAnsi="Times New Roman"/>
            </w:rPr>
            <w:lastRenderedPageBreak/>
            <w:t>El equipo de supervisión al contrato de concesión realizó la solicitud formal de inicio de procedimiento administrativo sancionatorio por el Presunto Incumplimiento – Plan de Inversiones Cláusulas 12 y 19 (hh) de la Sociedad Portuaria Terminal de IFO´S - Contrato de Concesión Portuaria No. 001 de 2014, mediante comunicación de radicado ANI No. 20203030103023 del 20 de agosto de 2020, a la fecha el GIT Administrativo Sancionatorio se encuentra en proyección del fallo correspondiente.</w:t>
          </w:r>
        </w:p>
        <w:p w14:paraId="55F9DCEF" w14:textId="01702208" w:rsidR="00274429" w:rsidRPr="009A46BB" w:rsidRDefault="00274429" w:rsidP="00274429">
          <w:pPr>
            <w:jc w:val="both"/>
            <w:rPr>
              <w:rFonts w:ascii="Times New Roman" w:hAnsi="Times New Roman"/>
              <w:b/>
            </w:rPr>
          </w:pPr>
          <w:r w:rsidRPr="009A46BB">
            <w:rPr>
              <w:rFonts w:ascii="Times New Roman" w:hAnsi="Times New Roman"/>
              <w:b/>
            </w:rPr>
            <w:t xml:space="preserve">Obligaciones del CONCESIONARIO: </w:t>
          </w:r>
          <w:r w:rsidRPr="009A46BB">
            <w:rPr>
              <w:rFonts w:ascii="Times New Roman" w:hAnsi="Times New Roman"/>
            </w:rPr>
            <w:t>se encuentran descritas en la cláusula décima novena.</w:t>
          </w:r>
        </w:p>
        <w:p w14:paraId="6D9DA306" w14:textId="45D634FE" w:rsidR="00274429" w:rsidRPr="009A46BB" w:rsidRDefault="00274429" w:rsidP="00274429">
          <w:pPr>
            <w:jc w:val="both"/>
            <w:rPr>
              <w:rFonts w:ascii="Times New Roman" w:hAnsi="Times New Roman"/>
            </w:rPr>
          </w:pPr>
          <w:r w:rsidRPr="009A46BB">
            <w:rPr>
              <w:rFonts w:ascii="Times New Roman" w:hAnsi="Times New Roman"/>
              <w:b/>
            </w:rPr>
            <w:t xml:space="preserve">Multas: </w:t>
          </w:r>
          <w:r w:rsidRPr="009A46BB">
            <w:rPr>
              <w:rFonts w:ascii="Times New Roman" w:hAnsi="Times New Roman"/>
            </w:rPr>
            <w:t>Están establecidas en la vigésima segunda.</w:t>
          </w:r>
        </w:p>
        <w:p w14:paraId="53841417" w14:textId="77777777" w:rsidR="00274429" w:rsidRPr="009A46BB" w:rsidRDefault="00274429" w:rsidP="00274429">
          <w:pPr>
            <w:jc w:val="both"/>
            <w:rPr>
              <w:rFonts w:ascii="Times New Roman" w:hAnsi="Times New Roman"/>
            </w:rPr>
          </w:pPr>
          <w:r w:rsidRPr="009A46BB">
            <w:rPr>
              <w:rFonts w:ascii="Times New Roman" w:hAnsi="Times New Roman"/>
              <w:b/>
            </w:rPr>
            <w:t xml:space="preserve">Penal pecuniario: </w:t>
          </w:r>
          <w:r w:rsidRPr="009A46BB">
            <w:rPr>
              <w:rFonts w:ascii="Times New Roman" w:hAnsi="Times New Roman"/>
            </w:rPr>
            <w:t>En la Cláusula Vigésima Tercera se establece que en el evento en que el INCO hoy ANI declare la caducidad o el incumplimiento del presente contrato se podrá imponer una penalidad pecuniaria</w:t>
          </w:r>
        </w:p>
        <w:p w14:paraId="0D039A63" w14:textId="77777777" w:rsidR="00274429" w:rsidRDefault="00274429" w:rsidP="00274429">
          <w:pPr>
            <w:jc w:val="both"/>
            <w:rPr>
              <w:rFonts w:ascii="Times New Roman" w:hAnsi="Times New Roman"/>
              <w:b/>
              <w:bCs/>
              <w:sz w:val="24"/>
              <w:szCs w:val="24"/>
            </w:rPr>
          </w:pPr>
          <w:r w:rsidRPr="004C1095">
            <w:rPr>
              <w:rFonts w:ascii="Times New Roman" w:hAnsi="Times New Roman"/>
              <w:b/>
              <w:bCs/>
              <w:sz w:val="24"/>
              <w:szCs w:val="24"/>
            </w:rPr>
            <w:t>Términos de calendario:</w:t>
          </w:r>
        </w:p>
        <w:p w14:paraId="5E468E3F" w14:textId="77777777" w:rsidR="00274429" w:rsidRPr="00753165" w:rsidRDefault="00274429" w:rsidP="00274429">
          <w:pPr>
            <w:jc w:val="both"/>
            <w:rPr>
              <w:rStyle w:val="Estilo3"/>
            </w:rPr>
          </w:pPr>
          <w:r w:rsidRPr="00753165">
            <w:rPr>
              <w:rStyle w:val="Estilo3"/>
            </w:rPr>
            <w:t xml:space="preserve">1: Tarifas: Aprobadas según la metodología establecida por la Superintendencia General de Puertos hoy Superintendencia de Transporte. </w:t>
          </w:r>
        </w:p>
        <w:p w14:paraId="53CBEF43" w14:textId="77777777" w:rsidR="00274429" w:rsidRPr="00753165" w:rsidRDefault="00274429" w:rsidP="00274429">
          <w:pPr>
            <w:jc w:val="both"/>
            <w:rPr>
              <w:rStyle w:val="Estilo3"/>
            </w:rPr>
          </w:pPr>
          <w:r w:rsidRPr="00753165">
            <w:rPr>
              <w:rStyle w:val="Estilo3"/>
            </w:rPr>
            <w:t xml:space="preserve">2: Contraprestación portuaria: La contraprestación se debe pagar de manera anual anticipada desde el mes de julio de 2014, además es de indicar que por tratarse de un contrato cuya metodología de contraprestación corresponde a lo establecido en el CONPES 3744 de 2013 se debe pagar el último día del mes de febrero de cada año. </w:t>
          </w:r>
        </w:p>
        <w:p w14:paraId="51A6B827" w14:textId="77777777" w:rsidR="00274429" w:rsidRPr="00753165" w:rsidRDefault="00274429" w:rsidP="00274429">
          <w:pPr>
            <w:jc w:val="both"/>
            <w:rPr>
              <w:rStyle w:val="Estilo3"/>
            </w:rPr>
          </w:pPr>
          <w:r w:rsidRPr="00753165">
            <w:rPr>
              <w:rStyle w:val="Estilo3"/>
            </w:rPr>
            <w:t xml:space="preserve">3: Plan de inversiones: Se estableció en la Cláusula Decima segunda del contrato de concesión. </w:t>
          </w:r>
        </w:p>
        <w:p w14:paraId="03F38FB5" w14:textId="77777777" w:rsidR="00274429" w:rsidRPr="00753165" w:rsidRDefault="00274429" w:rsidP="00274429">
          <w:pPr>
            <w:jc w:val="both"/>
            <w:rPr>
              <w:rStyle w:val="Estilo3"/>
            </w:rPr>
          </w:pPr>
          <w:r w:rsidRPr="00753165">
            <w:rPr>
              <w:rStyle w:val="Estilo3"/>
            </w:rPr>
            <w:t>4: Multas: Cláusula Vigésima Segunda del contrato de concesión No. 001-2014.</w:t>
          </w:r>
        </w:p>
        <w:p w14:paraId="31DCB692" w14:textId="77777777"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certeza de flujos de efectivo futuros:</w:t>
          </w:r>
          <w:r>
            <w:rPr>
              <w:rFonts w:ascii="Times New Roman" w:hAnsi="Times New Roman"/>
              <w:b/>
              <w:bCs/>
              <w:sz w:val="24"/>
              <w:szCs w:val="24"/>
            </w:rPr>
            <w:t xml:space="preserve"> </w:t>
          </w:r>
        </w:p>
        <w:p w14:paraId="7B54D222" w14:textId="77777777" w:rsidR="00274429" w:rsidRPr="00753165" w:rsidRDefault="00274429" w:rsidP="00274429">
          <w:pPr>
            <w:jc w:val="both"/>
            <w:rPr>
              <w:rFonts w:ascii="Times New Roman" w:hAnsi="Times New Roman"/>
              <w:sz w:val="24"/>
              <w:szCs w:val="24"/>
            </w:rPr>
          </w:pPr>
          <w:r w:rsidRPr="00753165">
            <w:rPr>
              <w:rFonts w:ascii="Times New Roman" w:hAnsi="Times New Roman"/>
              <w:sz w:val="24"/>
              <w:szCs w:val="24"/>
            </w:rPr>
            <w:t xml:space="preserve">Se otorga a EL CONCESIONARIO el derecho de ocupar y utilizar en forma temporal y exclusiva los bienes de uso público descritos en Cláusula Segunda del contrato, para la construcción y operación de un terminal portuario a cambio de la contraprestación económica a favor del CONCEDENTE, en los términos descritos en la Cláusula 13 del contrato. </w:t>
          </w:r>
        </w:p>
        <w:p w14:paraId="000E4D0E" w14:textId="77777777" w:rsidR="00274429" w:rsidRPr="00753165" w:rsidRDefault="00274429" w:rsidP="00274429">
          <w:pPr>
            <w:jc w:val="both"/>
            <w:rPr>
              <w:rFonts w:ascii="Times New Roman" w:hAnsi="Times New Roman"/>
              <w:sz w:val="24"/>
              <w:szCs w:val="24"/>
            </w:rPr>
          </w:pPr>
          <w:r w:rsidRPr="00753165">
            <w:rPr>
              <w:rFonts w:ascii="Times New Roman" w:hAnsi="Times New Roman"/>
              <w:sz w:val="24"/>
              <w:szCs w:val="24"/>
            </w:rPr>
            <w:t xml:space="preserve">Cláusula Decima Tercera, Parágrafo Sexto que indica que del valor a pagar por concepto de contraprestación por Zona de Uso público el 80% le corresponde a la Nación-INVIAS y el 20 % al Distrito turístico de Cartagena de Indias. </w:t>
          </w:r>
        </w:p>
        <w:p w14:paraId="3FAEB860" w14:textId="77777777" w:rsidR="00274429" w:rsidRPr="005C2A29" w:rsidRDefault="00274429" w:rsidP="00E60BAB">
          <w:pPr>
            <w:pStyle w:val="Prrafodelista"/>
            <w:numPr>
              <w:ilvl w:val="0"/>
              <w:numId w:val="124"/>
            </w:numPr>
            <w:spacing w:line="259" w:lineRule="auto"/>
            <w:jc w:val="both"/>
            <w:rPr>
              <w:rFonts w:ascii="Times New Roman" w:hAnsi="Times New Roman"/>
              <w:b/>
              <w:bCs/>
              <w:sz w:val="24"/>
              <w:szCs w:val="24"/>
            </w:rPr>
          </w:pPr>
          <w:r w:rsidRPr="005C2A29">
            <w:rPr>
              <w:rFonts w:ascii="Times New Roman" w:hAnsi="Times New Roman"/>
              <w:b/>
              <w:bCs/>
              <w:sz w:val="24"/>
              <w:szCs w:val="24"/>
            </w:rPr>
            <w:t>Naturaleza y alcance del derecho a utilizar activos especificados, de los aspectos pactados en torno a lo que se espera que el concesionario proporcione en relación con el acuerdo de concesión (Se requiere ser breves, precisos, y concisos en la redacción)</w:t>
          </w:r>
        </w:p>
        <w:p w14:paraId="2CE40DC0" w14:textId="77777777" w:rsidR="00274429" w:rsidRDefault="00274429" w:rsidP="00274429">
          <w:pPr>
            <w:jc w:val="both"/>
            <w:rPr>
              <w:rFonts w:ascii="Times New Roman" w:hAnsi="Times New Roman"/>
              <w:b/>
              <w:bCs/>
              <w:sz w:val="24"/>
              <w:szCs w:val="24"/>
            </w:rPr>
          </w:pPr>
          <w:r w:rsidRPr="00217110">
            <w:rPr>
              <w:rFonts w:ascii="Times New Roman" w:hAnsi="Times New Roman"/>
              <w:b/>
              <w:bCs/>
              <w:sz w:val="24"/>
              <w:szCs w:val="24"/>
            </w:rPr>
            <w:t>Naturaleza y alcance del derecho de uso de los activos</w:t>
          </w:r>
        </w:p>
        <w:p w14:paraId="43F03BD1" w14:textId="45BBD4EF" w:rsidR="00274429" w:rsidRDefault="00274429" w:rsidP="00274429">
          <w:pPr>
            <w:jc w:val="both"/>
            <w:rPr>
              <w:rFonts w:ascii="Times New Roman" w:hAnsi="Times New Roman"/>
              <w:b/>
              <w:bCs/>
              <w:sz w:val="24"/>
              <w:szCs w:val="24"/>
            </w:rPr>
          </w:pPr>
          <w:r w:rsidRPr="003E5FA9">
            <w:rPr>
              <w:rFonts w:ascii="Times New Roman" w:hAnsi="Times New Roman"/>
              <w:b/>
              <w:bCs/>
              <w:sz w:val="24"/>
              <w:szCs w:val="24"/>
            </w:rPr>
            <w:t>Descripción:</w:t>
          </w:r>
        </w:p>
        <w:p w14:paraId="72339C30" w14:textId="77777777" w:rsidR="00274429" w:rsidRPr="009A46BB" w:rsidRDefault="00274429" w:rsidP="00274429">
          <w:pPr>
            <w:jc w:val="both"/>
            <w:rPr>
              <w:rFonts w:ascii="Times New Roman" w:hAnsi="Times New Roman"/>
            </w:rPr>
          </w:pPr>
          <w:r w:rsidRPr="009A46BB">
            <w:rPr>
              <w:rFonts w:ascii="Times New Roman" w:hAnsi="Times New Roman"/>
            </w:rPr>
            <w:t xml:space="preserve">Descripción del proyecto, especificaciones técnicas, modalidades de operación: las condiciones especiales de operación del puerto están establecidas en la cláusula quinta del Contrato de Concesión. </w:t>
          </w:r>
        </w:p>
        <w:p w14:paraId="40FBC06B" w14:textId="77777777" w:rsidR="00274429" w:rsidRPr="009A46BB" w:rsidRDefault="00274429" w:rsidP="00274429">
          <w:pPr>
            <w:jc w:val="both"/>
            <w:rPr>
              <w:rFonts w:ascii="Times New Roman" w:hAnsi="Times New Roman"/>
            </w:rPr>
          </w:pPr>
          <w:r w:rsidRPr="009A46BB">
            <w:rPr>
              <w:rFonts w:ascii="Times New Roman" w:hAnsi="Times New Roman"/>
            </w:rPr>
            <w:lastRenderedPageBreak/>
            <w:t xml:space="preserve">Área entregada en concesión: La descripción de la ubicación, linderos y extensión de los bienes de uso público (playas y terrenos de baja mar, zonas marítimas accesorias de maniobras) entregados en concesión están establecidos en la cláusula segunda. </w:t>
          </w:r>
        </w:p>
        <w:p w14:paraId="1511A0C4" w14:textId="77777777" w:rsidR="00274429" w:rsidRPr="007A403F" w:rsidRDefault="00274429" w:rsidP="00274429">
          <w:pPr>
            <w:jc w:val="both"/>
            <w:rPr>
              <w:rFonts w:ascii="Times New Roman" w:hAnsi="Times New Roman"/>
              <w:sz w:val="24"/>
              <w:szCs w:val="24"/>
            </w:rPr>
          </w:pPr>
          <w:r w:rsidRPr="003E5FA9">
            <w:rPr>
              <w:rFonts w:ascii="Times New Roman" w:hAnsi="Times New Roman"/>
              <w:b/>
              <w:bCs/>
              <w:sz w:val="24"/>
              <w:szCs w:val="24"/>
            </w:rPr>
            <w:t>Observaciones:</w:t>
          </w:r>
          <w:r>
            <w:rPr>
              <w:rFonts w:ascii="Times New Roman" w:hAnsi="Times New Roman"/>
              <w:b/>
              <w:bCs/>
              <w:sz w:val="24"/>
              <w:szCs w:val="24"/>
            </w:rPr>
            <w:t xml:space="preserve"> </w:t>
          </w:r>
          <w:r>
            <w:rPr>
              <w:rFonts w:ascii="Times New Roman" w:hAnsi="Times New Roman"/>
              <w:sz w:val="24"/>
              <w:szCs w:val="24"/>
            </w:rPr>
            <w:t>NA</w:t>
          </w:r>
          <w:r w:rsidRPr="007A403F">
            <w:rPr>
              <w:rFonts w:ascii="Times New Roman" w:hAnsi="Times New Roman"/>
              <w:sz w:val="24"/>
              <w:szCs w:val="24"/>
            </w:rPr>
            <w:t xml:space="preserve">. </w:t>
          </w:r>
        </w:p>
        <w:p w14:paraId="60513526" w14:textId="77777777" w:rsidR="00274429" w:rsidRDefault="00274429" w:rsidP="00274429">
          <w:pPr>
            <w:jc w:val="both"/>
            <w:rPr>
              <w:rFonts w:ascii="Times New Roman" w:hAnsi="Times New Roman"/>
              <w:b/>
              <w:bCs/>
              <w:sz w:val="24"/>
              <w:szCs w:val="24"/>
            </w:rPr>
          </w:pPr>
          <w:r>
            <w:rPr>
              <w:rFonts w:ascii="Times New Roman" w:hAnsi="Times New Roman"/>
              <w:b/>
              <w:bCs/>
              <w:sz w:val="24"/>
              <w:szCs w:val="24"/>
            </w:rPr>
            <w:t>Retribución al Concesionario</w:t>
          </w:r>
        </w:p>
        <w:p w14:paraId="2670EA9E" w14:textId="77777777" w:rsidR="00274429" w:rsidRPr="00753165" w:rsidRDefault="00274429" w:rsidP="00274429">
          <w:pPr>
            <w:jc w:val="both"/>
            <w:rPr>
              <w:rFonts w:ascii="Times New Roman" w:hAnsi="Times New Roman"/>
              <w:sz w:val="24"/>
              <w:szCs w:val="24"/>
            </w:rPr>
          </w:pPr>
          <w:r w:rsidRPr="002F1782">
            <w:rPr>
              <w:rFonts w:ascii="Times New Roman" w:hAnsi="Times New Roman"/>
              <w:b/>
              <w:bCs/>
              <w:sz w:val="24"/>
              <w:szCs w:val="24"/>
            </w:rPr>
            <w:t xml:space="preserve">Descripción: </w:t>
          </w:r>
          <w:r w:rsidRPr="00753165">
            <w:rPr>
              <w:rFonts w:ascii="Times New Roman" w:hAnsi="Times New Roman"/>
              <w:sz w:val="24"/>
              <w:szCs w:val="24"/>
            </w:rPr>
            <w:t xml:space="preserve">Cláusula Primera Contrato 001 de 2014: Se otorga a EL CONCESIONARIO el derecho de ocupar y utilizar en forma temporal y exclusiva los bienes de uso público descritos en Cláusula Segunda del contrato, para la construcción y operación de un terminal portuario a cambio de la contraprestación económica a favor del CONCEDENTE, en los términos descritos en la Cláusula 13 del contrato. </w:t>
          </w:r>
        </w:p>
        <w:p w14:paraId="54E573E2" w14:textId="77777777" w:rsidR="00274429" w:rsidRPr="00351837" w:rsidRDefault="00274429" w:rsidP="00274429">
          <w:pPr>
            <w:jc w:val="both"/>
            <w:rPr>
              <w:rFonts w:ascii="Times New Roman" w:hAnsi="Times New Roman"/>
              <w:b/>
              <w:bCs/>
              <w:sz w:val="24"/>
              <w:szCs w:val="24"/>
            </w:rPr>
          </w:pPr>
          <w:r>
            <w:rPr>
              <w:rFonts w:ascii="Times New Roman" w:hAnsi="Times New Roman"/>
              <w:b/>
              <w:bCs/>
              <w:sz w:val="24"/>
              <w:szCs w:val="24"/>
            </w:rPr>
            <w:t>Tasa de retribución: NA</w:t>
          </w:r>
        </w:p>
        <w:p w14:paraId="019B7FB2" w14:textId="77777777" w:rsidR="00274429" w:rsidRPr="00421699" w:rsidRDefault="00274429" w:rsidP="00E60BAB">
          <w:pPr>
            <w:pStyle w:val="Prrafodelista"/>
            <w:numPr>
              <w:ilvl w:val="0"/>
              <w:numId w:val="124"/>
            </w:numPr>
            <w:spacing w:line="259" w:lineRule="auto"/>
            <w:jc w:val="both"/>
            <w:rPr>
              <w:rFonts w:ascii="Times New Roman" w:hAnsi="Times New Roman"/>
              <w:b/>
              <w:bCs/>
              <w:sz w:val="24"/>
              <w:szCs w:val="24"/>
            </w:rPr>
          </w:pPr>
          <w:r w:rsidRPr="00421699">
            <w:rPr>
              <w:rFonts w:ascii="Times New Roman" w:hAnsi="Times New Roman"/>
              <w:b/>
              <w:bCs/>
              <w:sz w:val="24"/>
              <w:szCs w:val="24"/>
            </w:rPr>
            <w:t>Derechos a recibir activos especificados al final del acuerdo de concesión</w:t>
          </w:r>
        </w:p>
        <w:p w14:paraId="457E73EE" w14:textId="77777777" w:rsidR="00274429" w:rsidRPr="00753165" w:rsidRDefault="00274429" w:rsidP="00274429">
          <w:pPr>
            <w:jc w:val="both"/>
            <w:rPr>
              <w:rFonts w:ascii="Times New Roman" w:hAnsi="Times New Roman"/>
              <w:sz w:val="24"/>
              <w:szCs w:val="24"/>
            </w:rPr>
          </w:pPr>
          <w:r w:rsidRPr="006D56DF">
            <w:rPr>
              <w:rFonts w:ascii="Times New Roman" w:hAnsi="Times New Roman"/>
              <w:b/>
              <w:bCs/>
              <w:sz w:val="24"/>
              <w:szCs w:val="24"/>
            </w:rPr>
            <w:t>Descripción:</w:t>
          </w:r>
          <w:r>
            <w:rPr>
              <w:rFonts w:ascii="Times New Roman" w:hAnsi="Times New Roman"/>
              <w:b/>
              <w:bCs/>
              <w:sz w:val="24"/>
              <w:szCs w:val="24"/>
            </w:rPr>
            <w:t xml:space="preserve"> </w:t>
          </w:r>
          <w:r w:rsidRPr="00753165">
            <w:rPr>
              <w:rFonts w:ascii="Times New Roman" w:hAnsi="Times New Roman"/>
              <w:sz w:val="24"/>
              <w:szCs w:val="24"/>
            </w:rPr>
            <w:t>De acuerdo con el Artículo 8º de la Ley 1 de 1991 en el modo portuario el concesionario no tiene derechos finales sobre activos los debe revertir a la Nación al final del contrato de concesión.</w:t>
          </w:r>
        </w:p>
        <w:p w14:paraId="1F324802" w14:textId="77777777" w:rsidR="00274429" w:rsidRPr="00351837" w:rsidRDefault="00274429" w:rsidP="00274429">
          <w:pPr>
            <w:jc w:val="both"/>
            <w:rPr>
              <w:rFonts w:ascii="Times New Roman" w:hAnsi="Times New Roman"/>
              <w:sz w:val="24"/>
              <w:szCs w:val="24"/>
            </w:rPr>
          </w:pPr>
          <w:r w:rsidRPr="006D56DF">
            <w:rPr>
              <w:rFonts w:ascii="Times New Roman" w:hAnsi="Times New Roman"/>
              <w:b/>
              <w:bCs/>
              <w:sz w:val="24"/>
              <w:szCs w:val="24"/>
            </w:rPr>
            <w:t>Observaciones:</w:t>
          </w:r>
          <w:r w:rsidRPr="009A46BB">
            <w:rPr>
              <w:rFonts w:ascii="Times New Roman" w:hAnsi="Times New Roman"/>
            </w:rPr>
            <w:t xml:space="preserve"> </w:t>
          </w:r>
        </w:p>
        <w:p w14:paraId="67012BCC" w14:textId="77777777" w:rsidR="00274429" w:rsidRPr="00C11150" w:rsidRDefault="00274429" w:rsidP="00274429">
          <w:pPr>
            <w:jc w:val="both"/>
            <w:rPr>
              <w:rFonts w:ascii="Times New Roman" w:hAnsi="Times New Roman"/>
              <w:sz w:val="24"/>
              <w:szCs w:val="24"/>
            </w:rPr>
          </w:pPr>
          <w:r w:rsidRPr="00C11150">
            <w:rPr>
              <w:rFonts w:ascii="Times New Roman" w:hAnsi="Times New Roman"/>
              <w:sz w:val="24"/>
              <w:szCs w:val="24"/>
            </w:rPr>
            <w:t xml:space="preserve">Reversión: De acuerdo con lo establecido en la cláusula trigésima cuarta del contrato de concesión, todas las construcciones e inmuebles por destinación, que se encuentren instalados en la zona de uso público otorgada en concesión revertirán gratuitamente por el Concesionario. </w:t>
          </w:r>
        </w:p>
        <w:p w14:paraId="32FA1E5B" w14:textId="77777777" w:rsidR="00274429" w:rsidRPr="00C11150" w:rsidRDefault="00274429" w:rsidP="00274429">
          <w:pPr>
            <w:jc w:val="both"/>
            <w:rPr>
              <w:rFonts w:ascii="Times New Roman" w:hAnsi="Times New Roman"/>
              <w:sz w:val="24"/>
              <w:szCs w:val="24"/>
            </w:rPr>
          </w:pPr>
          <w:r w:rsidRPr="00C11150">
            <w:rPr>
              <w:rFonts w:ascii="Times New Roman" w:hAnsi="Times New Roman"/>
              <w:sz w:val="24"/>
              <w:szCs w:val="24"/>
            </w:rPr>
            <w:t xml:space="preserve">Para tal fin, en el momento de la reversión el CONCESIONARIO elaborará un inventario de los bienes y los enviará para su revisión y aprobación. </w:t>
          </w:r>
        </w:p>
        <w:p w14:paraId="406B5C74" w14:textId="77777777" w:rsidR="00274429" w:rsidRPr="00C11150" w:rsidRDefault="00274429" w:rsidP="00274429">
          <w:pPr>
            <w:jc w:val="both"/>
            <w:rPr>
              <w:rFonts w:ascii="Times New Roman" w:hAnsi="Times New Roman"/>
              <w:sz w:val="24"/>
              <w:szCs w:val="24"/>
            </w:rPr>
          </w:pPr>
          <w:r w:rsidRPr="00C11150">
            <w:rPr>
              <w:rFonts w:ascii="Times New Roman" w:hAnsi="Times New Roman"/>
              <w:sz w:val="24"/>
              <w:szCs w:val="24"/>
            </w:rPr>
            <w:t xml:space="preserve">La ANI es la entidad concedente pero la titularidad de los activos al final de la concesión es del Instituto Nacional de Vías INVIAS. </w:t>
          </w:r>
        </w:p>
        <w:p w14:paraId="71C6AE59" w14:textId="2EEC2DE8" w:rsidR="00274429" w:rsidRDefault="2903C64E" w:rsidP="00E60BAB">
          <w:pPr>
            <w:pStyle w:val="Prrafodelista"/>
            <w:numPr>
              <w:ilvl w:val="0"/>
              <w:numId w:val="124"/>
            </w:numPr>
            <w:spacing w:line="259" w:lineRule="auto"/>
            <w:jc w:val="both"/>
            <w:rPr>
              <w:rFonts w:ascii="Times New Roman" w:hAnsi="Times New Roman"/>
              <w:b/>
              <w:bCs/>
              <w:sz w:val="24"/>
              <w:szCs w:val="24"/>
            </w:rPr>
          </w:pPr>
          <w:r w:rsidRPr="10D44305">
            <w:rPr>
              <w:rFonts w:ascii="Times New Roman" w:hAnsi="Times New Roman"/>
              <w:b/>
              <w:bCs/>
              <w:sz w:val="24"/>
              <w:szCs w:val="24"/>
            </w:rPr>
            <w:t>No hay c</w:t>
          </w:r>
          <w:r w:rsidR="00274429" w:rsidRPr="10D44305">
            <w:rPr>
              <w:rFonts w:ascii="Times New Roman" w:hAnsi="Times New Roman"/>
              <w:b/>
              <w:bCs/>
              <w:sz w:val="24"/>
              <w:szCs w:val="24"/>
            </w:rPr>
            <w:t>ambios</w:t>
          </w:r>
          <w:r w:rsidR="00274429" w:rsidRPr="004B43C7">
            <w:rPr>
              <w:rFonts w:ascii="Times New Roman" w:hAnsi="Times New Roman"/>
              <w:b/>
              <w:bCs/>
              <w:sz w:val="24"/>
              <w:szCs w:val="24"/>
            </w:rPr>
            <w:t xml:space="preserve"> en el acuerdo de concesión que se realicen durante el periodo fiscal </w:t>
          </w:r>
        </w:p>
        <w:p w14:paraId="6E1B6EDC" w14:textId="77777777" w:rsidR="00274429" w:rsidRPr="00CA2567" w:rsidRDefault="00274429" w:rsidP="00274429">
          <w:pPr>
            <w:pStyle w:val="Prrafodelista"/>
            <w:jc w:val="both"/>
            <w:rPr>
              <w:rFonts w:ascii="Times New Roman" w:hAnsi="Times New Roman"/>
              <w:b/>
              <w:bCs/>
              <w:sz w:val="24"/>
              <w:szCs w:val="24"/>
            </w:rPr>
          </w:pPr>
        </w:p>
        <w:p w14:paraId="27122754" w14:textId="77777777" w:rsidR="00274429" w:rsidRPr="00197A12" w:rsidRDefault="00274429" w:rsidP="00274429">
          <w:pPr>
            <w:spacing w:after="0" w:line="240" w:lineRule="auto"/>
            <w:jc w:val="both"/>
            <w:rPr>
              <w:rFonts w:ascii="Times New Roman" w:hAnsi="Times New Roman"/>
              <w:b/>
              <w:bCs/>
              <w:sz w:val="24"/>
              <w:szCs w:val="24"/>
            </w:rPr>
          </w:pPr>
        </w:p>
        <w:p w14:paraId="7E7B8CE4" w14:textId="77777777" w:rsidR="00274429" w:rsidRPr="00197A12" w:rsidRDefault="00274429" w:rsidP="00274429">
          <w:pPr>
            <w:spacing w:after="0" w:line="240" w:lineRule="auto"/>
            <w:jc w:val="both"/>
            <w:rPr>
              <w:rFonts w:ascii="Times New Roman" w:hAnsi="Times New Roman"/>
              <w:b/>
              <w:bCs/>
              <w:sz w:val="24"/>
              <w:szCs w:val="24"/>
            </w:rPr>
          </w:pPr>
        </w:p>
        <w:p w14:paraId="64D8FCB0" w14:textId="77777777" w:rsidR="00274429" w:rsidRDefault="00274429" w:rsidP="00274429">
          <w:pPr>
            <w:rPr>
              <w:rFonts w:ascii="Times New Roman" w:hAnsi="Times New Roman"/>
              <w:b/>
              <w:sz w:val="24"/>
              <w:szCs w:val="24"/>
            </w:rPr>
          </w:pPr>
          <w:r w:rsidRPr="10D44305">
            <w:rPr>
              <w:rFonts w:ascii="Times New Roman" w:hAnsi="Times New Roman"/>
              <w:b/>
              <w:bCs/>
              <w:sz w:val="24"/>
              <w:szCs w:val="24"/>
            </w:rPr>
            <w:t>SOCIEDAD ATUNAMAR LIMITADA</w:t>
          </w:r>
        </w:p>
        <w:p w14:paraId="7362E17F" w14:textId="77777777" w:rsidR="00274429" w:rsidRPr="00996621" w:rsidRDefault="00274429" w:rsidP="00E60BAB">
          <w:pPr>
            <w:pStyle w:val="Prrafodelista"/>
            <w:numPr>
              <w:ilvl w:val="0"/>
              <w:numId w:val="125"/>
            </w:numPr>
            <w:spacing w:line="259" w:lineRule="auto"/>
            <w:rPr>
              <w:rFonts w:ascii="Times New Roman" w:hAnsi="Times New Roman"/>
              <w:b/>
              <w:bCs/>
              <w:sz w:val="24"/>
              <w:szCs w:val="24"/>
            </w:rPr>
          </w:pPr>
          <w:r w:rsidRPr="00996621">
            <w:rPr>
              <w:rFonts w:ascii="Times New Roman" w:hAnsi="Times New Roman"/>
              <w:b/>
              <w:bCs/>
              <w:sz w:val="24"/>
              <w:szCs w:val="24"/>
            </w:rPr>
            <w:t>Descripción del acuerdo</w:t>
          </w:r>
        </w:p>
        <w:p w14:paraId="3371C51E" w14:textId="4A849F64" w:rsidR="00274429" w:rsidRPr="009A46BB" w:rsidRDefault="00274429" w:rsidP="10D44305">
          <w:pPr>
            <w:spacing w:after="0"/>
            <w:rPr>
              <w:rFonts w:ascii="Times New Roman" w:hAnsi="Times New Roman"/>
            </w:rPr>
          </w:pPr>
          <w:r w:rsidRPr="009A46BB">
            <w:rPr>
              <w:rFonts w:ascii="Times New Roman" w:hAnsi="Times New Roman"/>
              <w:b/>
            </w:rPr>
            <w:t>Número del acuerdo de concesión:</w:t>
          </w:r>
          <w:r w:rsidR="1D9F5F37" w:rsidRPr="10D44305">
            <w:rPr>
              <w:rFonts w:ascii="Times New Roman" w:hAnsi="Times New Roman"/>
              <w:b/>
              <w:bCs/>
            </w:rPr>
            <w:t xml:space="preserve"> </w:t>
          </w:r>
          <w:r w:rsidRPr="009A46BB">
            <w:rPr>
              <w:rFonts w:ascii="Times New Roman" w:hAnsi="Times New Roman"/>
            </w:rPr>
            <w:t xml:space="preserve">Contrato de concesión portuaria No.002 de 2014 </w:t>
          </w:r>
        </w:p>
        <w:p w14:paraId="2EA3CCAB" w14:textId="4199EB56" w:rsidR="00274429" w:rsidRPr="009A46BB" w:rsidRDefault="00274429" w:rsidP="10D44305">
          <w:pPr>
            <w:spacing w:after="0"/>
            <w:jc w:val="both"/>
            <w:rPr>
              <w:rFonts w:ascii="Times New Roman" w:hAnsi="Times New Roman"/>
            </w:rPr>
          </w:pPr>
          <w:r w:rsidRPr="009A46BB">
            <w:rPr>
              <w:rFonts w:ascii="Times New Roman" w:hAnsi="Times New Roman"/>
              <w:b/>
            </w:rPr>
            <w:t>Objeto / Descripción</w:t>
          </w:r>
          <w:r w:rsidRPr="009A46BB">
            <w:rPr>
              <w:rFonts w:ascii="Times New Roman" w:hAnsi="Times New Roman"/>
            </w:rPr>
            <w:t>:</w:t>
          </w:r>
          <w:r w:rsidR="76A0A4E3" w:rsidRPr="10D44305">
            <w:rPr>
              <w:rFonts w:ascii="Times New Roman" w:hAnsi="Times New Roman"/>
            </w:rPr>
            <w:t xml:space="preserve"> </w:t>
          </w:r>
          <w:r w:rsidRPr="009A46BB">
            <w:rPr>
              <w:rFonts w:ascii="Times New Roman" w:hAnsi="Times New Roman"/>
            </w:rPr>
            <w:t>Otorgar al Concesionario por parte del Concedente, una concesión para que ocupe en forma temporal y exclusiva los bienes de uso público descritos en la Cláusula 2 del contrato de concesión, para la construcción y operación de un terminal portuario, a cambio de una contraprestación económica a favor del Concedente, en los términos descritos en la cláusula 13 del contrato de concesión</w:t>
          </w:r>
        </w:p>
        <w:p w14:paraId="5CEF7B82" w14:textId="2B48D1C0" w:rsidR="00274429" w:rsidRDefault="00274429" w:rsidP="10D44305">
          <w:pPr>
            <w:spacing w:after="0"/>
            <w:rPr>
              <w:rFonts w:ascii="Times New Roman" w:hAnsi="Times New Roman"/>
              <w:sz w:val="24"/>
              <w:szCs w:val="24"/>
            </w:rPr>
          </w:pPr>
          <w:r w:rsidRPr="00521A07">
            <w:rPr>
              <w:rFonts w:ascii="Times New Roman" w:hAnsi="Times New Roman"/>
              <w:b/>
              <w:bCs/>
              <w:sz w:val="24"/>
              <w:szCs w:val="24"/>
            </w:rPr>
            <w:lastRenderedPageBreak/>
            <w:t>Valor inicial:</w:t>
          </w:r>
          <w:r w:rsidR="2637AE6C" w:rsidRPr="10D44305">
            <w:rPr>
              <w:rFonts w:ascii="Times New Roman" w:hAnsi="Times New Roman"/>
              <w:b/>
              <w:bCs/>
              <w:sz w:val="24"/>
              <w:szCs w:val="24"/>
            </w:rPr>
            <w:t xml:space="preserve"> </w:t>
          </w:r>
          <w:r w:rsidRPr="00BE674F">
            <w:rPr>
              <w:rFonts w:ascii="Times New Roman" w:hAnsi="Times New Roman"/>
              <w:sz w:val="24"/>
              <w:szCs w:val="24"/>
            </w:rPr>
            <w:t>DOSCIENTOS NOVENTA Y SEIS MIL CIENTO OCHO DOLARES (USD $296.108) Constantes de diciembre de 2013, Cláusula 13 / Contrato de concesión No. 002 de 2014.</w:t>
          </w:r>
          <w:r w:rsidRPr="007E1558">
            <w:rPr>
              <w:rFonts w:ascii="Times New Roman" w:hAnsi="Times New Roman"/>
              <w:sz w:val="24"/>
              <w:szCs w:val="24"/>
            </w:rPr>
            <w:t xml:space="preserve"> </w:t>
          </w:r>
        </w:p>
        <w:p w14:paraId="6A621DB0" w14:textId="77777777" w:rsidR="00274429" w:rsidRDefault="00274429" w:rsidP="00544CB7">
          <w:pPr>
            <w:spacing w:after="0"/>
            <w:rPr>
              <w:rFonts w:ascii="Times New Roman" w:hAnsi="Times New Roman"/>
              <w:sz w:val="24"/>
              <w:szCs w:val="24"/>
            </w:rPr>
          </w:pPr>
          <w:r w:rsidRPr="00521A07">
            <w:rPr>
              <w:rFonts w:ascii="Times New Roman" w:hAnsi="Times New Roman"/>
              <w:b/>
              <w:bCs/>
              <w:sz w:val="24"/>
              <w:szCs w:val="24"/>
            </w:rPr>
            <w:t>Fecha de inicio:</w:t>
          </w:r>
          <w:r>
            <w:rPr>
              <w:rFonts w:ascii="Times New Roman" w:hAnsi="Times New Roman"/>
              <w:b/>
              <w:bCs/>
              <w:sz w:val="24"/>
              <w:szCs w:val="24"/>
            </w:rPr>
            <w:t xml:space="preserve"> </w:t>
          </w:r>
          <w:r>
            <w:rPr>
              <w:rFonts w:ascii="Times New Roman" w:hAnsi="Times New Roman"/>
              <w:sz w:val="24"/>
              <w:szCs w:val="24"/>
            </w:rPr>
            <w:t>23/02/2015</w:t>
          </w:r>
        </w:p>
        <w:p w14:paraId="5119E59E" w14:textId="77777777" w:rsidR="00274429" w:rsidRDefault="00274429" w:rsidP="00544CB7">
          <w:pPr>
            <w:spacing w:after="0"/>
            <w:jc w:val="both"/>
            <w:rPr>
              <w:rFonts w:ascii="Times New Roman" w:hAnsi="Times New Roman"/>
              <w:sz w:val="24"/>
              <w:szCs w:val="24"/>
            </w:rPr>
          </w:pPr>
          <w:r w:rsidRPr="00521A07">
            <w:rPr>
              <w:rFonts w:ascii="Times New Roman" w:hAnsi="Times New Roman"/>
              <w:b/>
              <w:bCs/>
              <w:sz w:val="24"/>
              <w:szCs w:val="24"/>
            </w:rPr>
            <w:t>Fecha de finalización estimada:</w:t>
          </w:r>
          <w:r>
            <w:rPr>
              <w:rFonts w:ascii="Times New Roman" w:hAnsi="Times New Roman"/>
              <w:b/>
              <w:bCs/>
              <w:sz w:val="24"/>
              <w:szCs w:val="24"/>
            </w:rPr>
            <w:t xml:space="preserve"> </w:t>
          </w:r>
          <w:r>
            <w:rPr>
              <w:rFonts w:ascii="Times New Roman" w:hAnsi="Times New Roman"/>
              <w:sz w:val="24"/>
              <w:szCs w:val="24"/>
            </w:rPr>
            <w:t>22/02/2035</w:t>
          </w:r>
        </w:p>
        <w:p w14:paraId="698AC1D3" w14:textId="77777777" w:rsidR="00274429" w:rsidRPr="009A46BB" w:rsidRDefault="00274429" w:rsidP="00544CB7">
          <w:pPr>
            <w:spacing w:after="0"/>
            <w:jc w:val="both"/>
            <w:rPr>
              <w:rFonts w:ascii="Times New Roman" w:hAnsi="Times New Roman"/>
            </w:rPr>
          </w:pPr>
          <w:r w:rsidRPr="00521A07">
            <w:rPr>
              <w:rFonts w:ascii="Times New Roman" w:hAnsi="Times New Roman"/>
              <w:b/>
              <w:bCs/>
              <w:sz w:val="24"/>
              <w:szCs w:val="24"/>
            </w:rPr>
            <w:t>Tipo ID:</w:t>
          </w:r>
          <w:r>
            <w:rPr>
              <w:rFonts w:ascii="Times New Roman" w:hAnsi="Times New Roman"/>
              <w:b/>
              <w:bCs/>
              <w:sz w:val="24"/>
              <w:szCs w:val="24"/>
            </w:rPr>
            <w:t xml:space="preserve"> NIT</w:t>
          </w:r>
        </w:p>
        <w:p w14:paraId="0B3ABD48" w14:textId="77777777" w:rsidR="00274429" w:rsidRDefault="00274429" w:rsidP="00544CB7">
          <w:pPr>
            <w:spacing w:after="0"/>
            <w:rPr>
              <w:rFonts w:ascii="Times New Roman" w:hAnsi="Times New Roman"/>
              <w:sz w:val="24"/>
              <w:szCs w:val="24"/>
            </w:rPr>
          </w:pPr>
          <w:r w:rsidRPr="00521A07">
            <w:rPr>
              <w:rFonts w:ascii="Times New Roman" w:hAnsi="Times New Roman"/>
              <w:b/>
              <w:bCs/>
              <w:sz w:val="24"/>
              <w:szCs w:val="24"/>
            </w:rPr>
            <w:t>Número ID:</w:t>
          </w:r>
          <w:r>
            <w:rPr>
              <w:rFonts w:ascii="Times New Roman" w:hAnsi="Times New Roman"/>
              <w:b/>
              <w:bCs/>
              <w:sz w:val="24"/>
              <w:szCs w:val="24"/>
            </w:rPr>
            <w:t xml:space="preserve"> </w:t>
          </w:r>
          <w:r w:rsidRPr="00BE674F">
            <w:rPr>
              <w:rFonts w:ascii="Times New Roman" w:hAnsi="Times New Roman"/>
              <w:sz w:val="24"/>
              <w:szCs w:val="24"/>
            </w:rPr>
            <w:t>806.008.240-1</w:t>
          </w:r>
        </w:p>
        <w:p w14:paraId="677C2FC5" w14:textId="2730A56B" w:rsidR="00274429" w:rsidRDefault="00274429" w:rsidP="00544CB7">
          <w:pPr>
            <w:spacing w:after="0"/>
            <w:rPr>
              <w:rFonts w:ascii="Times New Roman" w:hAnsi="Times New Roman"/>
              <w:sz w:val="24"/>
              <w:szCs w:val="24"/>
            </w:rPr>
          </w:pPr>
          <w:r w:rsidRPr="00521A07">
            <w:rPr>
              <w:rFonts w:ascii="Times New Roman" w:hAnsi="Times New Roman"/>
              <w:b/>
              <w:bCs/>
              <w:sz w:val="24"/>
              <w:szCs w:val="24"/>
            </w:rPr>
            <w:t>Razón social del concesionario:</w:t>
          </w:r>
          <w:r w:rsidR="3B18E633" w:rsidRPr="10D44305">
            <w:rPr>
              <w:rFonts w:ascii="Times New Roman" w:hAnsi="Times New Roman"/>
              <w:b/>
              <w:bCs/>
              <w:sz w:val="24"/>
              <w:szCs w:val="24"/>
            </w:rPr>
            <w:t xml:space="preserve"> </w:t>
          </w:r>
          <w:r w:rsidRPr="00A52E64">
            <w:rPr>
              <w:rFonts w:ascii="Times New Roman" w:hAnsi="Times New Roman"/>
              <w:sz w:val="24"/>
              <w:szCs w:val="24"/>
            </w:rPr>
            <w:t xml:space="preserve">Sociedad Atunamar Limitada </w:t>
          </w:r>
        </w:p>
        <w:p w14:paraId="224196BF" w14:textId="2430BE01" w:rsidR="00274429" w:rsidRDefault="00274429" w:rsidP="00544CB7">
          <w:pPr>
            <w:spacing w:after="0"/>
            <w:rPr>
              <w:rFonts w:ascii="Times New Roman" w:hAnsi="Times New Roman"/>
              <w:sz w:val="24"/>
              <w:szCs w:val="24"/>
            </w:rPr>
          </w:pPr>
          <w:r w:rsidRPr="00521A07">
            <w:rPr>
              <w:rFonts w:ascii="Times New Roman" w:hAnsi="Times New Roman"/>
              <w:b/>
              <w:bCs/>
              <w:sz w:val="24"/>
              <w:szCs w:val="24"/>
            </w:rPr>
            <w:t>Nombre del proyecto:</w:t>
          </w:r>
          <w:r w:rsidR="79D7B238" w:rsidRPr="10D44305">
            <w:rPr>
              <w:rFonts w:ascii="Times New Roman" w:hAnsi="Times New Roman"/>
              <w:b/>
              <w:bCs/>
              <w:sz w:val="24"/>
              <w:szCs w:val="24"/>
            </w:rPr>
            <w:t xml:space="preserve"> </w:t>
          </w:r>
          <w:r w:rsidRPr="00A52E64">
            <w:rPr>
              <w:rFonts w:ascii="Times New Roman" w:hAnsi="Times New Roman"/>
              <w:sz w:val="24"/>
              <w:szCs w:val="24"/>
            </w:rPr>
            <w:t xml:space="preserve">Sociedad Atunamar Limitada </w:t>
          </w:r>
        </w:p>
        <w:p w14:paraId="3477D8E9" w14:textId="77777777" w:rsidR="00544CB7" w:rsidRPr="009A46BB" w:rsidRDefault="00544CB7" w:rsidP="00544CB7">
          <w:pPr>
            <w:spacing w:after="0"/>
            <w:rPr>
              <w:rFonts w:ascii="Times New Roman" w:hAnsi="Times New Roman"/>
              <w:sz w:val="24"/>
              <w:szCs w:val="24"/>
            </w:rPr>
          </w:pPr>
        </w:p>
        <w:p w14:paraId="4940F2BB" w14:textId="77777777" w:rsidR="00274429" w:rsidRPr="003A32AC" w:rsidRDefault="00274429" w:rsidP="00E60BAB">
          <w:pPr>
            <w:pStyle w:val="Prrafodelista"/>
            <w:numPr>
              <w:ilvl w:val="0"/>
              <w:numId w:val="125"/>
            </w:numPr>
            <w:spacing w:line="259" w:lineRule="auto"/>
            <w:rPr>
              <w:rFonts w:ascii="Times New Roman" w:hAnsi="Times New Roman"/>
              <w:b/>
              <w:bCs/>
              <w:sz w:val="24"/>
              <w:szCs w:val="24"/>
            </w:rPr>
          </w:pPr>
          <w:r w:rsidRPr="003A32AC">
            <w:rPr>
              <w:rFonts w:ascii="Times New Roman" w:hAnsi="Times New Roman"/>
              <w:b/>
              <w:bCs/>
              <w:sz w:val="24"/>
              <w:szCs w:val="24"/>
            </w:rPr>
            <w:t>Términos significativos del acuerdo que puedan afectar su valor, el calendario y la certeza de los flujos</w:t>
          </w:r>
        </w:p>
        <w:p w14:paraId="5BACC580" w14:textId="493103F8"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valor:</w:t>
          </w:r>
        </w:p>
        <w:p w14:paraId="0E21A9FA" w14:textId="77777777" w:rsidR="00274429" w:rsidRDefault="00274429" w:rsidP="00274429">
          <w:pPr>
            <w:jc w:val="both"/>
            <w:rPr>
              <w:rFonts w:ascii="Times New Roman" w:hAnsi="Times New Roman"/>
              <w:sz w:val="24"/>
              <w:szCs w:val="24"/>
            </w:rPr>
          </w:pPr>
          <w:r w:rsidRPr="00FC7585">
            <w:rPr>
              <w:rFonts w:ascii="Times New Roman" w:hAnsi="Times New Roman"/>
              <w:b/>
              <w:bCs/>
              <w:sz w:val="24"/>
              <w:szCs w:val="24"/>
            </w:rPr>
            <w:t xml:space="preserve">Tarifas: </w:t>
          </w:r>
          <w:r w:rsidRPr="000C2666">
            <w:rPr>
              <w:rFonts w:ascii="Times New Roman" w:hAnsi="Times New Roman"/>
              <w:sz w:val="24"/>
              <w:szCs w:val="24"/>
            </w:rPr>
            <w:t>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w:t>
          </w:r>
          <w:r w:rsidRPr="00860DFA">
            <w:rPr>
              <w:rFonts w:ascii="Times New Roman" w:hAnsi="Times New Roman"/>
              <w:sz w:val="24"/>
              <w:szCs w:val="24"/>
            </w:rPr>
            <w:t xml:space="preserve">. </w:t>
          </w:r>
        </w:p>
        <w:p w14:paraId="3C829391" w14:textId="1B748D3C" w:rsidR="00274429" w:rsidRPr="00257BAC" w:rsidRDefault="00274429" w:rsidP="00274429">
          <w:pPr>
            <w:jc w:val="both"/>
            <w:rPr>
              <w:rFonts w:ascii="Times New Roman" w:hAnsi="Times New Roman"/>
              <w:sz w:val="24"/>
              <w:szCs w:val="24"/>
            </w:rPr>
          </w:pPr>
          <w:r w:rsidRPr="009A46BB">
            <w:rPr>
              <w:rFonts w:ascii="Times New Roman" w:hAnsi="Times New Roman"/>
              <w:b/>
            </w:rPr>
            <w:t>Contraprestación portuaria</w:t>
          </w:r>
          <w:r w:rsidRPr="009A46BB">
            <w:rPr>
              <w:rFonts w:ascii="Times New Roman" w:hAnsi="Times New Roman"/>
            </w:rPr>
            <w:t xml:space="preserve">: </w:t>
          </w:r>
          <w:r w:rsidRPr="00257BAC">
            <w:rPr>
              <w:rFonts w:ascii="Times New Roman" w:hAnsi="Times New Roman"/>
              <w:sz w:val="24"/>
              <w:szCs w:val="24"/>
            </w:rPr>
            <w:t>De acuerdo con el contrato de concesión No. 002 de 2014, la metodología de Contraprestación corresponde al Conpes 3744 de 2013. A febrero de 2022 el CONCESIONARIO debió pagar la suma de USD 23.600,24 por</w:t>
          </w:r>
          <w:r>
            <w:tab/>
          </w:r>
          <w:r w:rsidRPr="00257BAC">
            <w:rPr>
              <w:rFonts w:ascii="Times New Roman" w:hAnsi="Times New Roman"/>
              <w:sz w:val="24"/>
              <w:szCs w:val="24"/>
            </w:rPr>
            <w:t>concepto de contraprestación.</w:t>
          </w:r>
          <w:r w:rsidR="2AA52A7E" w:rsidRPr="10D44305">
            <w:rPr>
              <w:rFonts w:ascii="Times New Roman" w:hAnsi="Times New Roman"/>
              <w:sz w:val="24"/>
              <w:szCs w:val="24"/>
            </w:rPr>
            <w:t xml:space="preserve"> </w:t>
          </w:r>
          <w:r w:rsidRPr="00257BAC">
            <w:rPr>
              <w:rFonts w:ascii="Times New Roman" w:hAnsi="Times New Roman"/>
              <w:sz w:val="24"/>
              <w:szCs w:val="24"/>
            </w:rPr>
            <w:t>El Parágrafo Tercero, numeral 13.1 de la Cláusula 13 del contrato establece que de dicho pago el 80% le corresponde a la Nación- INVIAS y el 20% restante al municipio de Cartagena, de acuerdo con lo establecido en el parágrafo 1 del artículo 1 de la Ley 856 del 21 de diciembre de 2003, que modifica el artículo 7 de la ley 1ª de 1991.</w:t>
          </w:r>
        </w:p>
        <w:p w14:paraId="786400E8" w14:textId="549EAA5E" w:rsidR="00274429" w:rsidRDefault="00274429" w:rsidP="00274429">
          <w:pPr>
            <w:jc w:val="both"/>
            <w:rPr>
              <w:rStyle w:val="Estilo3"/>
            </w:rPr>
          </w:pPr>
          <w:r w:rsidRPr="00A93D24">
            <w:rPr>
              <w:rStyle w:val="Estilo3"/>
              <w:b/>
              <w:bCs/>
            </w:rPr>
            <w:t>Plan de Inversiones:</w:t>
          </w:r>
          <w:r w:rsidRPr="00840555">
            <w:rPr>
              <w:rStyle w:val="Estilo3"/>
            </w:rPr>
            <w:t xml:space="preserve"> </w:t>
          </w:r>
          <w:r w:rsidRPr="00EE2B79">
            <w:rPr>
              <w:rStyle w:val="Estilo3"/>
            </w:rPr>
            <w:t>Está establecido en la Cláusula 12 del contrato, el plan de inversión será de DOSCIENTOS CINCUENTA Y NUEVE MIL CUATROCIENTOS NOVENTA Y CUATRO DOLARES (USD$ 259.494) constantes de diciembre de 2013.</w:t>
          </w:r>
        </w:p>
        <w:p w14:paraId="2F83BF51" w14:textId="77777777" w:rsidR="00274429" w:rsidRPr="009A46BB" w:rsidRDefault="00274429" w:rsidP="00274429">
          <w:pPr>
            <w:jc w:val="both"/>
            <w:rPr>
              <w:rFonts w:ascii="Times New Roman" w:hAnsi="Times New Roman"/>
            </w:rPr>
          </w:pPr>
          <w:r w:rsidRPr="009A46BB">
            <w:rPr>
              <w:rFonts w:ascii="Times New Roman" w:hAnsi="Times New Roman"/>
            </w:rPr>
            <w:t xml:space="preserve">Obligaciones del CONCESIONARIO: se encuentran descritas en la Cláusula 19 del contrato. </w:t>
          </w:r>
        </w:p>
        <w:p w14:paraId="6C4F43CA" w14:textId="77777777" w:rsidR="00274429" w:rsidRPr="009A46BB" w:rsidRDefault="00274429" w:rsidP="00274429">
          <w:pPr>
            <w:jc w:val="both"/>
            <w:rPr>
              <w:rFonts w:ascii="Times New Roman" w:hAnsi="Times New Roman"/>
            </w:rPr>
          </w:pPr>
          <w:r w:rsidRPr="009A46BB">
            <w:rPr>
              <w:rFonts w:ascii="Times New Roman" w:hAnsi="Times New Roman"/>
            </w:rPr>
            <w:t>Multas y sanciones: están establecidas en la Cláusula 22 del contrato.</w:t>
          </w:r>
        </w:p>
        <w:p w14:paraId="37E89385" w14:textId="3E66CB74" w:rsidR="00274429" w:rsidRPr="009A46BB" w:rsidRDefault="00274429" w:rsidP="00274429">
          <w:pPr>
            <w:jc w:val="both"/>
            <w:rPr>
              <w:rFonts w:ascii="Times New Roman" w:hAnsi="Times New Roman"/>
            </w:rPr>
          </w:pPr>
          <w:r w:rsidRPr="009A46BB">
            <w:rPr>
              <w:rFonts w:ascii="Times New Roman" w:hAnsi="Times New Roman"/>
            </w:rPr>
            <w:t>Penal Pecuniaria: En la Cláusula 23 se establece que en el evento en que el concedente declare la caducidad o el incumplimiento del contrato, el Concesionario deberá pagar la suma equivalente al 10% del valor total de la contraprestación, como sanción pecuniaria</w:t>
          </w:r>
        </w:p>
        <w:p w14:paraId="707027F6" w14:textId="77777777" w:rsidR="00274429" w:rsidRDefault="00274429" w:rsidP="00274429">
          <w:pPr>
            <w:jc w:val="both"/>
            <w:rPr>
              <w:rFonts w:ascii="Times New Roman" w:hAnsi="Times New Roman"/>
              <w:b/>
              <w:bCs/>
              <w:sz w:val="24"/>
              <w:szCs w:val="24"/>
            </w:rPr>
          </w:pPr>
          <w:r w:rsidRPr="004C1095">
            <w:rPr>
              <w:rFonts w:ascii="Times New Roman" w:hAnsi="Times New Roman"/>
              <w:b/>
              <w:bCs/>
              <w:sz w:val="24"/>
              <w:szCs w:val="24"/>
            </w:rPr>
            <w:t>Términos de calendario:</w:t>
          </w:r>
        </w:p>
        <w:p w14:paraId="19B9EF9F" w14:textId="77777777" w:rsidR="00274429" w:rsidRPr="00380419" w:rsidRDefault="00274429" w:rsidP="00274429">
          <w:pPr>
            <w:jc w:val="both"/>
            <w:rPr>
              <w:rStyle w:val="Estilo3"/>
            </w:rPr>
          </w:pPr>
          <w:r w:rsidRPr="00380419">
            <w:rPr>
              <w:rStyle w:val="Estilo3"/>
            </w:rPr>
            <w:t>Tarifas: Aprobadas según la metodología establecida por la Superintendencia General de Puertos, hoy Superintendencia de Transporte.</w:t>
          </w:r>
        </w:p>
        <w:p w14:paraId="0D2A65EE" w14:textId="4C189927" w:rsidR="00274429" w:rsidRPr="00380419" w:rsidRDefault="00274429" w:rsidP="00274429">
          <w:pPr>
            <w:jc w:val="both"/>
            <w:rPr>
              <w:rStyle w:val="Estilo3"/>
            </w:rPr>
          </w:pPr>
          <w:r w:rsidRPr="00380419">
            <w:rPr>
              <w:rStyle w:val="Estilo3"/>
            </w:rPr>
            <w:t>Contraprestación portuaria: la contraprestación se debe pagar de manera anual anticipada en el mes de febrero de cada año.</w:t>
          </w:r>
        </w:p>
        <w:p w14:paraId="2E9513A9" w14:textId="77777777" w:rsidR="00274429" w:rsidRPr="00380419" w:rsidRDefault="00274429" w:rsidP="00274429">
          <w:pPr>
            <w:jc w:val="both"/>
            <w:rPr>
              <w:rStyle w:val="Estilo3"/>
            </w:rPr>
          </w:pPr>
          <w:r w:rsidRPr="00380419">
            <w:rPr>
              <w:rStyle w:val="Estilo3"/>
            </w:rPr>
            <w:lastRenderedPageBreak/>
            <w:t>Plan de inversiones: Se estableció en la Cláusula 12 del contrato, cuya ejecución de inversiones deberá realizarse en el periodo correspondiente al primer año.</w:t>
          </w:r>
        </w:p>
        <w:p w14:paraId="281FF6B7" w14:textId="77777777" w:rsidR="00274429" w:rsidRPr="00380419" w:rsidRDefault="00274429" w:rsidP="00274429">
          <w:pPr>
            <w:jc w:val="both"/>
            <w:rPr>
              <w:rStyle w:val="Estilo3"/>
            </w:rPr>
          </w:pPr>
          <w:r w:rsidRPr="00380419">
            <w:rPr>
              <w:rStyle w:val="Estilo3"/>
            </w:rPr>
            <w:t>Multas: Cláusula 22 del contrato</w:t>
          </w:r>
        </w:p>
        <w:p w14:paraId="6D48866C" w14:textId="77777777"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certeza de flujos de efectivo futuros:</w:t>
          </w:r>
          <w:r>
            <w:rPr>
              <w:rFonts w:ascii="Times New Roman" w:hAnsi="Times New Roman"/>
              <w:b/>
              <w:bCs/>
              <w:sz w:val="24"/>
              <w:szCs w:val="24"/>
            </w:rPr>
            <w:t xml:space="preserve"> </w:t>
          </w:r>
        </w:p>
        <w:p w14:paraId="1259C311" w14:textId="77E4A0EC" w:rsidR="00274429" w:rsidRPr="009A46BB" w:rsidRDefault="00274429" w:rsidP="00274429">
          <w:pPr>
            <w:jc w:val="both"/>
            <w:rPr>
              <w:rFonts w:ascii="Times New Roman" w:hAnsi="Times New Roman"/>
            </w:rPr>
          </w:pPr>
          <w:r w:rsidRPr="009A46BB">
            <w:rPr>
              <w:rFonts w:ascii="Times New Roman" w:hAnsi="Times New Roman"/>
            </w:rPr>
            <w:t>Se otorga a EL CONCESIONARIO el derecho de ocupar en forma temporal y exclusiva de los bienes de uso público descritos en la Cláusula 2 para la construcción y operación de un terminal portuario, a cambio de la contraprestación económica, en los términos de la Cláusula 13 del contrato 002 de 2014.</w:t>
          </w:r>
        </w:p>
        <w:p w14:paraId="189D10F6" w14:textId="77777777" w:rsidR="00274429" w:rsidRPr="00380419" w:rsidRDefault="00274429" w:rsidP="00274429">
          <w:pPr>
            <w:jc w:val="both"/>
            <w:rPr>
              <w:rFonts w:ascii="Times New Roman" w:hAnsi="Times New Roman"/>
              <w:sz w:val="24"/>
              <w:szCs w:val="24"/>
            </w:rPr>
          </w:pPr>
          <w:r w:rsidRPr="00380419">
            <w:rPr>
              <w:rFonts w:ascii="Times New Roman" w:hAnsi="Times New Roman"/>
              <w:sz w:val="24"/>
              <w:szCs w:val="24"/>
            </w:rPr>
            <w:t>Cláusula 13, numeral 13.1, Parágrafo tercero, del valor a pagar por concepto de contraprestación por Zona de Uso público el 80% le corresponde a la Nación-INVIAS y el 20 % al municipio de Cartagena.</w:t>
          </w:r>
        </w:p>
        <w:p w14:paraId="5CA0602B" w14:textId="77777777" w:rsidR="00274429" w:rsidRPr="005C2A29" w:rsidRDefault="00274429" w:rsidP="00E60BAB">
          <w:pPr>
            <w:pStyle w:val="Prrafodelista"/>
            <w:numPr>
              <w:ilvl w:val="0"/>
              <w:numId w:val="125"/>
            </w:numPr>
            <w:spacing w:line="259" w:lineRule="auto"/>
            <w:jc w:val="both"/>
            <w:rPr>
              <w:rFonts w:ascii="Times New Roman" w:hAnsi="Times New Roman"/>
              <w:b/>
              <w:bCs/>
              <w:sz w:val="24"/>
              <w:szCs w:val="24"/>
            </w:rPr>
          </w:pPr>
          <w:r w:rsidRPr="005C2A29">
            <w:rPr>
              <w:rFonts w:ascii="Times New Roman" w:hAnsi="Times New Roman"/>
              <w:b/>
              <w:bCs/>
              <w:sz w:val="24"/>
              <w:szCs w:val="24"/>
            </w:rPr>
            <w:t>Naturaleza y alcance del derecho a utilizar activos especificados, de los aspectos pactados en torno a lo que se espera que el concesionario proporcione en relación con el acuerdo de concesión (Se requiere ser breves, precisos, y concisos en la redacción)</w:t>
          </w:r>
        </w:p>
        <w:p w14:paraId="0F96314F" w14:textId="77777777" w:rsidR="00274429" w:rsidRDefault="00274429" w:rsidP="00274429">
          <w:pPr>
            <w:jc w:val="both"/>
            <w:rPr>
              <w:rFonts w:ascii="Times New Roman" w:hAnsi="Times New Roman"/>
              <w:b/>
              <w:bCs/>
              <w:sz w:val="24"/>
              <w:szCs w:val="24"/>
            </w:rPr>
          </w:pPr>
          <w:r w:rsidRPr="00217110">
            <w:rPr>
              <w:rFonts w:ascii="Times New Roman" w:hAnsi="Times New Roman"/>
              <w:b/>
              <w:bCs/>
              <w:sz w:val="24"/>
              <w:szCs w:val="24"/>
            </w:rPr>
            <w:t>Naturaleza y alcance del derecho de uso de los activos</w:t>
          </w:r>
        </w:p>
        <w:p w14:paraId="0FEE5574" w14:textId="66B8419C" w:rsidR="00274429" w:rsidRDefault="00274429" w:rsidP="00274429">
          <w:pPr>
            <w:jc w:val="both"/>
            <w:rPr>
              <w:rFonts w:ascii="Times New Roman" w:hAnsi="Times New Roman"/>
              <w:b/>
              <w:bCs/>
              <w:sz w:val="24"/>
              <w:szCs w:val="24"/>
            </w:rPr>
          </w:pPr>
          <w:r w:rsidRPr="003E5FA9">
            <w:rPr>
              <w:rFonts w:ascii="Times New Roman" w:hAnsi="Times New Roman"/>
              <w:b/>
              <w:bCs/>
              <w:sz w:val="24"/>
              <w:szCs w:val="24"/>
            </w:rPr>
            <w:t>Descripción:</w:t>
          </w:r>
        </w:p>
        <w:p w14:paraId="45510DFE" w14:textId="77777777" w:rsidR="00274429" w:rsidRPr="009A46BB" w:rsidRDefault="00274429" w:rsidP="00274429">
          <w:pPr>
            <w:jc w:val="both"/>
            <w:rPr>
              <w:rFonts w:ascii="Times New Roman" w:hAnsi="Times New Roman"/>
            </w:rPr>
          </w:pPr>
          <w:r w:rsidRPr="009A46BB">
            <w:rPr>
              <w:rFonts w:ascii="Times New Roman" w:hAnsi="Times New Roman"/>
            </w:rPr>
            <w:t>Descripción del proyecto, especificaciones técnicas, modalidades de operación: las condiciones especiales de operación del puerto están establecidas en la cláusula quinta del Contrato de Concesión</w:t>
          </w:r>
        </w:p>
        <w:p w14:paraId="5192B4B8" w14:textId="77777777" w:rsidR="00274429" w:rsidRPr="009A46BB" w:rsidRDefault="00274429" w:rsidP="00274429">
          <w:pPr>
            <w:jc w:val="both"/>
            <w:rPr>
              <w:rFonts w:ascii="Times New Roman" w:hAnsi="Times New Roman"/>
            </w:rPr>
          </w:pPr>
          <w:r w:rsidRPr="009A46BB">
            <w:rPr>
              <w:rFonts w:ascii="Times New Roman" w:hAnsi="Times New Roman"/>
            </w:rPr>
            <w:t>Área entregada en concesión: La descripción de la ubicación, linderos y extensión de los bienes de uso público (playas y terrenos de baja mar, zonas marítimas accesorias de maniobras) entregados en concesión están establecidos en la cláusula segunda.</w:t>
          </w:r>
        </w:p>
        <w:p w14:paraId="042BE2D2" w14:textId="77777777" w:rsidR="00274429" w:rsidRPr="009A46BB" w:rsidRDefault="00274429" w:rsidP="00274429">
          <w:pPr>
            <w:jc w:val="both"/>
            <w:rPr>
              <w:rFonts w:ascii="Times New Roman" w:hAnsi="Times New Roman"/>
            </w:rPr>
          </w:pPr>
          <w:r w:rsidRPr="009A46BB">
            <w:rPr>
              <w:rFonts w:ascii="Times New Roman" w:hAnsi="Times New Roman"/>
            </w:rPr>
            <w:t xml:space="preserve">Infraestructura y equipos entregados en concesión: En la cláusula segunda del Contrato, se describe que lo entregado en concesión fue: </w:t>
          </w:r>
        </w:p>
        <w:p w14:paraId="22A93BF4" w14:textId="77777777" w:rsidR="00274429" w:rsidRPr="009A46BB" w:rsidRDefault="00274429" w:rsidP="00274429">
          <w:pPr>
            <w:jc w:val="both"/>
            <w:rPr>
              <w:rFonts w:ascii="Times New Roman" w:hAnsi="Times New Roman"/>
            </w:rPr>
          </w:pPr>
          <w:r w:rsidRPr="009A46BB">
            <w:rPr>
              <w:rFonts w:ascii="Times New Roman" w:hAnsi="Times New Roman"/>
            </w:rPr>
            <w:t>Muelle en concreto de 120m x 12m</w:t>
          </w:r>
        </w:p>
        <w:p w14:paraId="516DB2D1" w14:textId="77777777" w:rsidR="00274429" w:rsidRPr="007A403F" w:rsidRDefault="00274429" w:rsidP="00274429">
          <w:pPr>
            <w:jc w:val="both"/>
            <w:rPr>
              <w:rFonts w:ascii="Times New Roman" w:hAnsi="Times New Roman"/>
              <w:sz w:val="24"/>
              <w:szCs w:val="24"/>
            </w:rPr>
          </w:pPr>
          <w:r w:rsidRPr="003E5FA9">
            <w:rPr>
              <w:rFonts w:ascii="Times New Roman" w:hAnsi="Times New Roman"/>
              <w:b/>
              <w:bCs/>
              <w:sz w:val="24"/>
              <w:szCs w:val="24"/>
            </w:rPr>
            <w:t>Observaciones:</w:t>
          </w:r>
          <w:r>
            <w:rPr>
              <w:rFonts w:ascii="Times New Roman" w:hAnsi="Times New Roman"/>
              <w:b/>
              <w:bCs/>
              <w:sz w:val="24"/>
              <w:szCs w:val="24"/>
            </w:rPr>
            <w:t xml:space="preserve"> </w:t>
          </w:r>
          <w:r>
            <w:rPr>
              <w:rFonts w:ascii="Times New Roman" w:hAnsi="Times New Roman"/>
              <w:sz w:val="24"/>
              <w:szCs w:val="24"/>
            </w:rPr>
            <w:t>NA</w:t>
          </w:r>
          <w:r w:rsidRPr="007A403F">
            <w:rPr>
              <w:rFonts w:ascii="Times New Roman" w:hAnsi="Times New Roman"/>
              <w:sz w:val="24"/>
              <w:szCs w:val="24"/>
            </w:rPr>
            <w:t xml:space="preserve">. </w:t>
          </w:r>
        </w:p>
        <w:p w14:paraId="7871D816" w14:textId="77777777" w:rsidR="00274429" w:rsidRDefault="00274429" w:rsidP="00274429">
          <w:pPr>
            <w:jc w:val="both"/>
            <w:rPr>
              <w:rFonts w:ascii="Times New Roman" w:hAnsi="Times New Roman"/>
              <w:b/>
              <w:bCs/>
              <w:sz w:val="24"/>
              <w:szCs w:val="24"/>
            </w:rPr>
          </w:pPr>
          <w:r>
            <w:rPr>
              <w:rFonts w:ascii="Times New Roman" w:hAnsi="Times New Roman"/>
              <w:b/>
              <w:bCs/>
              <w:sz w:val="24"/>
              <w:szCs w:val="24"/>
            </w:rPr>
            <w:t>Retribución al Concesionario</w:t>
          </w:r>
        </w:p>
        <w:p w14:paraId="427BADDE" w14:textId="77777777" w:rsidR="00274429" w:rsidRPr="009A46BB" w:rsidRDefault="00274429" w:rsidP="00274429">
          <w:pPr>
            <w:jc w:val="both"/>
            <w:rPr>
              <w:rFonts w:ascii="Times New Roman" w:hAnsi="Times New Roman"/>
            </w:rPr>
          </w:pPr>
          <w:r w:rsidRPr="009A46BB">
            <w:rPr>
              <w:rFonts w:ascii="Times New Roman" w:hAnsi="Times New Roman"/>
              <w:b/>
            </w:rPr>
            <w:t xml:space="preserve">Descripción: </w:t>
          </w:r>
          <w:r w:rsidRPr="009A46BB">
            <w:rPr>
              <w:rFonts w:ascii="Times New Roman" w:hAnsi="Times New Roman"/>
            </w:rPr>
            <w:t xml:space="preserve">Cláusula 1 del contrato 002 de 2014: Otorgar al Concesionario concesión </w:t>
          </w:r>
          <w:r w:rsidRPr="009A46BB">
            <w:rPr>
              <w:rFonts w:ascii="Times New Roman" w:hAnsi="Times New Roman"/>
            </w:rPr>
            <w:tab/>
            <w:t xml:space="preserve">donde se autoriza la ocupación en forma temporal y exclusiva los bienes de uso público </w:t>
          </w:r>
          <w:r w:rsidRPr="009A46BB">
            <w:rPr>
              <w:rFonts w:ascii="Times New Roman" w:hAnsi="Times New Roman"/>
            </w:rPr>
            <w:tab/>
            <w:t xml:space="preserve">descritos en la Cláusula 2 para la construcción y operación de un terminal portuario, a </w:t>
          </w:r>
          <w:r w:rsidRPr="009A46BB">
            <w:rPr>
              <w:rFonts w:ascii="Times New Roman" w:hAnsi="Times New Roman"/>
            </w:rPr>
            <w:tab/>
            <w:t>cambio de una contraprestación económica, en los términos descritos en la Cláusula 13 del contrato.</w:t>
          </w:r>
        </w:p>
        <w:p w14:paraId="1DC9EA74" w14:textId="77777777" w:rsidR="00274429" w:rsidRPr="00351837" w:rsidRDefault="00274429" w:rsidP="00274429">
          <w:pPr>
            <w:jc w:val="both"/>
            <w:rPr>
              <w:rFonts w:ascii="Times New Roman" w:hAnsi="Times New Roman"/>
              <w:b/>
              <w:bCs/>
              <w:sz w:val="24"/>
              <w:szCs w:val="24"/>
            </w:rPr>
          </w:pPr>
          <w:r>
            <w:rPr>
              <w:rFonts w:ascii="Times New Roman" w:hAnsi="Times New Roman"/>
              <w:b/>
              <w:bCs/>
              <w:sz w:val="24"/>
              <w:szCs w:val="24"/>
            </w:rPr>
            <w:t>Tasa de retribución: NA</w:t>
          </w:r>
        </w:p>
        <w:p w14:paraId="66341E95" w14:textId="77777777" w:rsidR="00274429" w:rsidRPr="00421699" w:rsidRDefault="00274429" w:rsidP="00E60BAB">
          <w:pPr>
            <w:pStyle w:val="Prrafodelista"/>
            <w:numPr>
              <w:ilvl w:val="0"/>
              <w:numId w:val="125"/>
            </w:numPr>
            <w:spacing w:line="259" w:lineRule="auto"/>
            <w:jc w:val="both"/>
            <w:rPr>
              <w:rFonts w:ascii="Times New Roman" w:hAnsi="Times New Roman"/>
              <w:b/>
              <w:bCs/>
              <w:sz w:val="24"/>
              <w:szCs w:val="24"/>
            </w:rPr>
          </w:pPr>
          <w:r w:rsidRPr="00421699">
            <w:rPr>
              <w:rFonts w:ascii="Times New Roman" w:hAnsi="Times New Roman"/>
              <w:b/>
              <w:bCs/>
              <w:sz w:val="24"/>
              <w:szCs w:val="24"/>
            </w:rPr>
            <w:t>Derechos a recibir activos especificados al final del acuerdo de concesión</w:t>
          </w:r>
        </w:p>
        <w:p w14:paraId="78862E0A" w14:textId="77777777" w:rsidR="00274429" w:rsidRPr="002264DD" w:rsidRDefault="00274429" w:rsidP="00274429">
          <w:pPr>
            <w:jc w:val="both"/>
            <w:rPr>
              <w:rFonts w:ascii="Times New Roman" w:hAnsi="Times New Roman"/>
              <w:sz w:val="24"/>
              <w:szCs w:val="24"/>
            </w:rPr>
          </w:pPr>
          <w:r w:rsidRPr="006D56DF">
            <w:rPr>
              <w:rFonts w:ascii="Times New Roman" w:hAnsi="Times New Roman"/>
              <w:b/>
              <w:bCs/>
              <w:sz w:val="24"/>
              <w:szCs w:val="24"/>
            </w:rPr>
            <w:t>Descripción:</w:t>
          </w:r>
          <w:r>
            <w:rPr>
              <w:rFonts w:ascii="Times New Roman" w:hAnsi="Times New Roman"/>
              <w:b/>
              <w:bCs/>
              <w:sz w:val="24"/>
              <w:szCs w:val="24"/>
            </w:rPr>
            <w:t xml:space="preserve"> </w:t>
          </w:r>
          <w:r w:rsidRPr="002264DD">
            <w:rPr>
              <w:rFonts w:ascii="Times New Roman" w:hAnsi="Times New Roman"/>
              <w:sz w:val="24"/>
              <w:szCs w:val="24"/>
            </w:rPr>
            <w:t>De acuerdo con el Artículo 8º de la Ley 1 de 1991 en el modo portuario el concesionario no tiene derechos finales sobre activos, los debe revertir a la Nación al final del contrato de concesión.</w:t>
          </w:r>
        </w:p>
        <w:p w14:paraId="4EA135C2" w14:textId="77777777" w:rsidR="00274429" w:rsidRPr="00351837" w:rsidRDefault="00274429" w:rsidP="00274429">
          <w:pPr>
            <w:jc w:val="both"/>
            <w:rPr>
              <w:rFonts w:ascii="Times New Roman" w:hAnsi="Times New Roman"/>
              <w:sz w:val="24"/>
              <w:szCs w:val="24"/>
            </w:rPr>
          </w:pPr>
          <w:r w:rsidRPr="006D56DF">
            <w:rPr>
              <w:rFonts w:ascii="Times New Roman" w:hAnsi="Times New Roman"/>
              <w:b/>
              <w:bCs/>
              <w:sz w:val="24"/>
              <w:szCs w:val="24"/>
            </w:rPr>
            <w:lastRenderedPageBreak/>
            <w:t>Observaciones:</w:t>
          </w:r>
          <w:r w:rsidRPr="009A46BB">
            <w:rPr>
              <w:rFonts w:ascii="Times New Roman" w:hAnsi="Times New Roman"/>
            </w:rPr>
            <w:t xml:space="preserve"> </w:t>
          </w:r>
        </w:p>
        <w:p w14:paraId="199844B2" w14:textId="77777777" w:rsidR="00274429" w:rsidRPr="002264DD" w:rsidRDefault="00274429" w:rsidP="00274429">
          <w:pPr>
            <w:jc w:val="both"/>
            <w:rPr>
              <w:rFonts w:ascii="Times New Roman" w:hAnsi="Times New Roman"/>
              <w:sz w:val="24"/>
              <w:szCs w:val="24"/>
            </w:rPr>
          </w:pPr>
          <w:r w:rsidRPr="002264DD">
            <w:rPr>
              <w:rFonts w:ascii="Times New Roman" w:hAnsi="Times New Roman"/>
              <w:sz w:val="24"/>
              <w:szCs w:val="24"/>
            </w:rPr>
            <w:t>Reversión: De acuerdo con lo establecido en la cláusula 32 del contrato de concesión, todas las construcciones y equipos entregadas en concesión, serán cedidas gratuitamente por el Concesionario a la Nación, en buen estado de operación y mantenimiento, al extinguirse el plazo de la concesión portuaria o al ser declarada la caducidad.</w:t>
          </w:r>
        </w:p>
        <w:p w14:paraId="019025C1" w14:textId="786AA510" w:rsidR="00274429" w:rsidRDefault="6D151038" w:rsidP="00E60BAB">
          <w:pPr>
            <w:pStyle w:val="Prrafodelista"/>
            <w:numPr>
              <w:ilvl w:val="0"/>
              <w:numId w:val="125"/>
            </w:numPr>
            <w:spacing w:line="259" w:lineRule="auto"/>
            <w:jc w:val="both"/>
            <w:rPr>
              <w:rFonts w:ascii="Times New Roman" w:hAnsi="Times New Roman"/>
              <w:b/>
              <w:bCs/>
              <w:sz w:val="24"/>
              <w:szCs w:val="24"/>
            </w:rPr>
          </w:pPr>
          <w:r w:rsidRPr="10D44305">
            <w:rPr>
              <w:rFonts w:ascii="Times New Roman" w:hAnsi="Times New Roman"/>
              <w:b/>
              <w:bCs/>
              <w:sz w:val="24"/>
              <w:szCs w:val="24"/>
            </w:rPr>
            <w:t>No hay c</w:t>
          </w:r>
          <w:r w:rsidR="00274429" w:rsidRPr="10D44305">
            <w:rPr>
              <w:rFonts w:ascii="Times New Roman" w:hAnsi="Times New Roman"/>
              <w:b/>
              <w:bCs/>
              <w:sz w:val="24"/>
              <w:szCs w:val="24"/>
            </w:rPr>
            <w:t>ambios</w:t>
          </w:r>
          <w:r w:rsidR="00274429" w:rsidRPr="004B43C7">
            <w:rPr>
              <w:rFonts w:ascii="Times New Roman" w:hAnsi="Times New Roman"/>
              <w:b/>
              <w:bCs/>
              <w:sz w:val="24"/>
              <w:szCs w:val="24"/>
            </w:rPr>
            <w:t xml:space="preserve"> en el acuerdo de concesión que se realicen durante el periodo fiscal </w:t>
          </w:r>
        </w:p>
        <w:p w14:paraId="1204FC5D" w14:textId="77777777" w:rsidR="00274429" w:rsidRPr="00CA2567" w:rsidRDefault="00274429" w:rsidP="00274429">
          <w:pPr>
            <w:pStyle w:val="Prrafodelista"/>
            <w:jc w:val="both"/>
            <w:rPr>
              <w:rFonts w:ascii="Times New Roman" w:hAnsi="Times New Roman"/>
              <w:b/>
              <w:bCs/>
              <w:sz w:val="24"/>
              <w:szCs w:val="24"/>
            </w:rPr>
          </w:pPr>
        </w:p>
        <w:p w14:paraId="5E361A3C" w14:textId="77777777" w:rsidR="00274429" w:rsidRPr="00197A12" w:rsidRDefault="00274429" w:rsidP="00274429">
          <w:pPr>
            <w:spacing w:after="0" w:line="240" w:lineRule="auto"/>
            <w:jc w:val="both"/>
            <w:rPr>
              <w:rFonts w:ascii="Times New Roman" w:hAnsi="Times New Roman"/>
              <w:b/>
              <w:bCs/>
              <w:sz w:val="24"/>
              <w:szCs w:val="24"/>
            </w:rPr>
          </w:pPr>
        </w:p>
        <w:p w14:paraId="5C995F4A" w14:textId="77777777" w:rsidR="00274429" w:rsidRPr="00323288" w:rsidRDefault="00274429" w:rsidP="00274429">
          <w:pPr>
            <w:rPr>
              <w:rFonts w:ascii="Times New Roman" w:hAnsi="Times New Roman"/>
              <w:b/>
              <w:sz w:val="24"/>
              <w:szCs w:val="24"/>
            </w:rPr>
          </w:pPr>
          <w:r w:rsidRPr="10D44305">
            <w:rPr>
              <w:rFonts w:ascii="Times New Roman" w:hAnsi="Times New Roman"/>
              <w:b/>
              <w:bCs/>
              <w:sz w:val="24"/>
              <w:szCs w:val="24"/>
            </w:rPr>
            <w:t>SOCIEDAD PORTUARIA OPERADORA INTERNACIONAL S.A.</w:t>
          </w:r>
        </w:p>
        <w:p w14:paraId="02E97E84" w14:textId="77777777" w:rsidR="00274429" w:rsidRPr="00996621" w:rsidRDefault="00274429" w:rsidP="00E60BAB">
          <w:pPr>
            <w:pStyle w:val="Prrafodelista"/>
            <w:numPr>
              <w:ilvl w:val="0"/>
              <w:numId w:val="126"/>
            </w:numPr>
            <w:spacing w:line="259" w:lineRule="auto"/>
            <w:jc w:val="both"/>
            <w:rPr>
              <w:rFonts w:ascii="Times New Roman" w:hAnsi="Times New Roman"/>
              <w:b/>
              <w:bCs/>
              <w:sz w:val="24"/>
              <w:szCs w:val="24"/>
            </w:rPr>
          </w:pPr>
          <w:r w:rsidRPr="00996621">
            <w:rPr>
              <w:rFonts w:ascii="Times New Roman" w:hAnsi="Times New Roman"/>
              <w:b/>
              <w:bCs/>
              <w:sz w:val="24"/>
              <w:szCs w:val="24"/>
            </w:rPr>
            <w:t>Descripción del acuerdo</w:t>
          </w:r>
        </w:p>
        <w:p w14:paraId="52A73F41" w14:textId="3C2DBD04" w:rsidR="00274429" w:rsidRPr="009A46BB" w:rsidRDefault="00274429" w:rsidP="10D44305">
          <w:pPr>
            <w:spacing w:after="0"/>
            <w:rPr>
              <w:rFonts w:ascii="Times New Roman" w:hAnsi="Times New Roman"/>
            </w:rPr>
          </w:pPr>
          <w:r w:rsidRPr="009A46BB">
            <w:rPr>
              <w:rFonts w:ascii="Times New Roman" w:hAnsi="Times New Roman"/>
              <w:b/>
            </w:rPr>
            <w:t>Número del acuerdo de concesión:</w:t>
          </w:r>
          <w:r w:rsidR="613ADE3C" w:rsidRPr="10D44305">
            <w:rPr>
              <w:rFonts w:ascii="Times New Roman" w:hAnsi="Times New Roman"/>
              <w:b/>
              <w:bCs/>
            </w:rPr>
            <w:t xml:space="preserve"> </w:t>
          </w:r>
          <w:r w:rsidRPr="009A46BB">
            <w:rPr>
              <w:rFonts w:ascii="Times New Roman" w:hAnsi="Times New Roman"/>
            </w:rPr>
            <w:t xml:space="preserve">Contrato No. 003 de 2014 </w:t>
          </w:r>
        </w:p>
        <w:p w14:paraId="75328E62" w14:textId="2F08ED88" w:rsidR="00274429" w:rsidRPr="009A46BB" w:rsidRDefault="00274429" w:rsidP="10D44305">
          <w:pPr>
            <w:spacing w:after="0"/>
            <w:jc w:val="both"/>
            <w:rPr>
              <w:rFonts w:ascii="Times New Roman" w:hAnsi="Times New Roman"/>
            </w:rPr>
          </w:pPr>
          <w:r w:rsidRPr="009A46BB">
            <w:rPr>
              <w:rFonts w:ascii="Times New Roman" w:hAnsi="Times New Roman"/>
              <w:b/>
            </w:rPr>
            <w:t>Objeto / Descripción</w:t>
          </w:r>
          <w:r w:rsidRPr="009A46BB">
            <w:rPr>
              <w:rFonts w:ascii="Times New Roman" w:hAnsi="Times New Roman"/>
            </w:rPr>
            <w:t>:</w:t>
          </w:r>
          <w:r w:rsidR="2FB1BD91" w:rsidRPr="10D44305">
            <w:rPr>
              <w:rFonts w:ascii="Times New Roman" w:hAnsi="Times New Roman"/>
            </w:rPr>
            <w:t xml:space="preserve"> </w:t>
          </w:r>
          <w:r w:rsidRPr="009A46BB">
            <w:rPr>
              <w:rFonts w:ascii="Times New Roman" w:hAnsi="Times New Roman"/>
            </w:rPr>
            <w:t>En virtud del Contrato de concesión y sus modificaciones, se permite al CONCESIONARIO la ocupación en forma temporal y exclusiva de una área de playa, zona marítima accesoria, zona de maniobra y atraque, junto con las construcciones e inmuebles por destinación que allí se encuentra, para el atraque, permanencia y zarpe de naves mayores turísticas y en algunos casos naves de guerra, naves de gobierno, naves privadas mayores y el desarrollo de actividades portuarias de servicio público, conforme lo establece la Cláusula Primera del Contrato.</w:t>
          </w:r>
        </w:p>
        <w:p w14:paraId="2F8D3A6B" w14:textId="7C88460F" w:rsidR="00274429" w:rsidRDefault="00274429" w:rsidP="10D44305">
          <w:pPr>
            <w:spacing w:after="0"/>
            <w:rPr>
              <w:rFonts w:ascii="Times New Roman" w:hAnsi="Times New Roman"/>
              <w:sz w:val="24"/>
              <w:szCs w:val="24"/>
            </w:rPr>
          </w:pPr>
          <w:r w:rsidRPr="00521A07">
            <w:rPr>
              <w:rFonts w:ascii="Times New Roman" w:hAnsi="Times New Roman"/>
              <w:b/>
              <w:bCs/>
              <w:sz w:val="24"/>
              <w:szCs w:val="24"/>
            </w:rPr>
            <w:t>Valor inicial:</w:t>
          </w:r>
          <w:r w:rsidR="34B35C60" w:rsidRPr="10D44305">
            <w:rPr>
              <w:rFonts w:ascii="Times New Roman" w:hAnsi="Times New Roman"/>
              <w:b/>
              <w:bCs/>
              <w:sz w:val="24"/>
              <w:szCs w:val="24"/>
            </w:rPr>
            <w:t xml:space="preserve"> </w:t>
          </w:r>
          <w:r w:rsidRPr="00A92651">
            <w:rPr>
              <w:rFonts w:ascii="Times New Roman" w:hAnsi="Times New Roman"/>
              <w:sz w:val="24"/>
              <w:szCs w:val="24"/>
            </w:rPr>
            <w:t>Se estableció en la cláusula 13 del Contrato de Concesión por valor de USD 1.089.857.</w:t>
          </w:r>
        </w:p>
        <w:p w14:paraId="5806D53D" w14:textId="77777777" w:rsidR="00274429" w:rsidRDefault="00274429" w:rsidP="10D44305">
          <w:pPr>
            <w:spacing w:after="0"/>
            <w:rPr>
              <w:rFonts w:ascii="Times New Roman" w:hAnsi="Times New Roman"/>
              <w:sz w:val="24"/>
              <w:szCs w:val="24"/>
            </w:rPr>
          </w:pPr>
          <w:r w:rsidRPr="00521A07">
            <w:rPr>
              <w:rFonts w:ascii="Times New Roman" w:hAnsi="Times New Roman"/>
              <w:b/>
              <w:bCs/>
              <w:sz w:val="24"/>
              <w:szCs w:val="24"/>
            </w:rPr>
            <w:t>Fecha de inicio:</w:t>
          </w:r>
          <w:r>
            <w:rPr>
              <w:rFonts w:ascii="Times New Roman" w:hAnsi="Times New Roman"/>
              <w:b/>
              <w:bCs/>
              <w:sz w:val="24"/>
              <w:szCs w:val="24"/>
            </w:rPr>
            <w:t xml:space="preserve"> </w:t>
          </w:r>
          <w:r>
            <w:rPr>
              <w:rFonts w:ascii="Times New Roman" w:hAnsi="Times New Roman"/>
              <w:sz w:val="24"/>
              <w:szCs w:val="24"/>
            </w:rPr>
            <w:t>24/02/2015</w:t>
          </w:r>
        </w:p>
        <w:p w14:paraId="192F721C" w14:textId="77777777" w:rsidR="00274429" w:rsidRDefault="00274429" w:rsidP="10D44305">
          <w:pPr>
            <w:spacing w:after="0"/>
            <w:jc w:val="both"/>
            <w:rPr>
              <w:rFonts w:ascii="Times New Roman" w:hAnsi="Times New Roman"/>
              <w:sz w:val="24"/>
              <w:szCs w:val="24"/>
            </w:rPr>
          </w:pPr>
          <w:r w:rsidRPr="00521A07">
            <w:rPr>
              <w:rFonts w:ascii="Times New Roman" w:hAnsi="Times New Roman"/>
              <w:b/>
              <w:bCs/>
              <w:sz w:val="24"/>
              <w:szCs w:val="24"/>
            </w:rPr>
            <w:t>Fecha de finalización estimada:</w:t>
          </w:r>
          <w:r>
            <w:rPr>
              <w:rFonts w:ascii="Times New Roman" w:hAnsi="Times New Roman"/>
              <w:b/>
              <w:bCs/>
              <w:sz w:val="24"/>
              <w:szCs w:val="24"/>
            </w:rPr>
            <w:t xml:space="preserve"> </w:t>
          </w:r>
          <w:r>
            <w:rPr>
              <w:rFonts w:ascii="Times New Roman" w:hAnsi="Times New Roman"/>
              <w:sz w:val="24"/>
              <w:szCs w:val="24"/>
            </w:rPr>
            <w:t>22/02/2035</w:t>
          </w:r>
        </w:p>
        <w:p w14:paraId="4C3953B1" w14:textId="77777777" w:rsidR="00274429" w:rsidRPr="009A46BB" w:rsidRDefault="00274429" w:rsidP="10D44305">
          <w:pPr>
            <w:spacing w:after="0"/>
            <w:jc w:val="both"/>
            <w:rPr>
              <w:rFonts w:ascii="Times New Roman" w:hAnsi="Times New Roman"/>
            </w:rPr>
          </w:pPr>
          <w:r w:rsidRPr="00521A07">
            <w:rPr>
              <w:rFonts w:ascii="Times New Roman" w:hAnsi="Times New Roman"/>
              <w:b/>
              <w:bCs/>
              <w:sz w:val="24"/>
              <w:szCs w:val="24"/>
            </w:rPr>
            <w:t>Tipo ID:</w:t>
          </w:r>
          <w:r>
            <w:rPr>
              <w:rFonts w:ascii="Times New Roman" w:hAnsi="Times New Roman"/>
              <w:b/>
              <w:bCs/>
              <w:sz w:val="24"/>
              <w:szCs w:val="24"/>
            </w:rPr>
            <w:t xml:space="preserve"> NIT</w:t>
          </w:r>
        </w:p>
        <w:p w14:paraId="4E4C9DFE" w14:textId="77777777" w:rsidR="00274429" w:rsidRDefault="00274429" w:rsidP="10D44305">
          <w:pPr>
            <w:spacing w:after="0"/>
            <w:rPr>
              <w:rFonts w:ascii="Times New Roman" w:hAnsi="Times New Roman"/>
              <w:sz w:val="24"/>
              <w:szCs w:val="24"/>
            </w:rPr>
          </w:pPr>
          <w:r w:rsidRPr="00521A07">
            <w:rPr>
              <w:rFonts w:ascii="Times New Roman" w:hAnsi="Times New Roman"/>
              <w:b/>
              <w:bCs/>
              <w:sz w:val="24"/>
              <w:szCs w:val="24"/>
            </w:rPr>
            <w:t>Número ID:</w:t>
          </w:r>
          <w:r>
            <w:rPr>
              <w:rFonts w:ascii="Times New Roman" w:hAnsi="Times New Roman"/>
              <w:b/>
              <w:bCs/>
              <w:sz w:val="24"/>
              <w:szCs w:val="24"/>
            </w:rPr>
            <w:t xml:space="preserve"> </w:t>
          </w:r>
          <w:r w:rsidRPr="006023EB">
            <w:rPr>
              <w:rFonts w:ascii="Times New Roman" w:hAnsi="Times New Roman"/>
              <w:sz w:val="24"/>
              <w:szCs w:val="24"/>
            </w:rPr>
            <w:t xml:space="preserve">890.401.435.0 </w:t>
          </w:r>
        </w:p>
        <w:p w14:paraId="6C55FA4E" w14:textId="2A4386FC" w:rsidR="00274429" w:rsidRPr="00982DFC" w:rsidRDefault="00274429" w:rsidP="10D44305">
          <w:pPr>
            <w:spacing w:after="0"/>
            <w:rPr>
              <w:rFonts w:ascii="Times New Roman" w:hAnsi="Times New Roman"/>
              <w:sz w:val="24"/>
              <w:szCs w:val="24"/>
            </w:rPr>
          </w:pPr>
          <w:r w:rsidRPr="00521A07">
            <w:rPr>
              <w:rFonts w:ascii="Times New Roman" w:hAnsi="Times New Roman"/>
              <w:b/>
              <w:bCs/>
              <w:sz w:val="24"/>
              <w:szCs w:val="24"/>
            </w:rPr>
            <w:t>Razón social del concesionario:</w:t>
          </w:r>
          <w:r w:rsidR="3BF3E6C7" w:rsidRPr="10D44305">
            <w:rPr>
              <w:rFonts w:ascii="Times New Roman" w:hAnsi="Times New Roman"/>
              <w:b/>
              <w:bCs/>
              <w:sz w:val="24"/>
              <w:szCs w:val="24"/>
            </w:rPr>
            <w:t xml:space="preserve"> </w:t>
          </w:r>
          <w:r w:rsidRPr="00982DFC">
            <w:rPr>
              <w:rFonts w:ascii="Times New Roman" w:hAnsi="Times New Roman"/>
              <w:sz w:val="24"/>
              <w:szCs w:val="24"/>
            </w:rPr>
            <w:t>Sociedad Portuaria Operadora Internacional S.A.</w:t>
          </w:r>
        </w:p>
        <w:p w14:paraId="397064CB" w14:textId="437B9978" w:rsidR="00274429" w:rsidRPr="00982DFC" w:rsidRDefault="00274429" w:rsidP="10D44305">
          <w:pPr>
            <w:spacing w:after="0"/>
            <w:rPr>
              <w:rFonts w:ascii="Times New Roman" w:hAnsi="Times New Roman"/>
              <w:sz w:val="24"/>
              <w:szCs w:val="24"/>
            </w:rPr>
          </w:pPr>
          <w:r w:rsidRPr="00521A07">
            <w:rPr>
              <w:rFonts w:ascii="Times New Roman" w:hAnsi="Times New Roman"/>
              <w:b/>
              <w:bCs/>
              <w:sz w:val="24"/>
              <w:szCs w:val="24"/>
            </w:rPr>
            <w:t>Nombre del proyecto:</w:t>
          </w:r>
          <w:r w:rsidR="7993D593" w:rsidRPr="10D44305">
            <w:rPr>
              <w:rFonts w:ascii="Times New Roman" w:hAnsi="Times New Roman"/>
              <w:b/>
              <w:bCs/>
              <w:sz w:val="24"/>
              <w:szCs w:val="24"/>
            </w:rPr>
            <w:t xml:space="preserve"> </w:t>
          </w:r>
          <w:r w:rsidRPr="00982DFC">
            <w:rPr>
              <w:rFonts w:ascii="Times New Roman" w:hAnsi="Times New Roman"/>
              <w:sz w:val="24"/>
              <w:szCs w:val="24"/>
            </w:rPr>
            <w:t>Sociedad Portuaria Operadora Internacional S.A.</w:t>
          </w:r>
        </w:p>
        <w:p w14:paraId="736BBAE1" w14:textId="1C39C2F1" w:rsidR="10D44305" w:rsidRDefault="10D44305" w:rsidP="10D44305">
          <w:pPr>
            <w:spacing w:after="0"/>
            <w:rPr>
              <w:rFonts w:ascii="Times New Roman" w:hAnsi="Times New Roman"/>
              <w:sz w:val="24"/>
              <w:szCs w:val="24"/>
            </w:rPr>
          </w:pPr>
        </w:p>
        <w:p w14:paraId="27D78D4C" w14:textId="77777777" w:rsidR="00274429" w:rsidRPr="003A32AC" w:rsidRDefault="00274429" w:rsidP="00E60BAB">
          <w:pPr>
            <w:pStyle w:val="Prrafodelista"/>
            <w:numPr>
              <w:ilvl w:val="0"/>
              <w:numId w:val="126"/>
            </w:numPr>
            <w:spacing w:after="0" w:line="259" w:lineRule="auto"/>
            <w:jc w:val="both"/>
            <w:rPr>
              <w:rFonts w:ascii="Times New Roman" w:hAnsi="Times New Roman"/>
              <w:b/>
              <w:bCs/>
              <w:sz w:val="24"/>
              <w:szCs w:val="24"/>
            </w:rPr>
          </w:pPr>
          <w:r w:rsidRPr="003A32AC">
            <w:rPr>
              <w:rFonts w:ascii="Times New Roman" w:hAnsi="Times New Roman"/>
              <w:b/>
              <w:bCs/>
              <w:sz w:val="24"/>
              <w:szCs w:val="24"/>
            </w:rPr>
            <w:t>Términos significativos del acuerdo que puedan afectar su valor, el calendario y la certeza de los flujos</w:t>
          </w:r>
        </w:p>
        <w:p w14:paraId="13547660" w14:textId="4BB797C9"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valor:</w:t>
          </w:r>
        </w:p>
        <w:p w14:paraId="2A4E0B95" w14:textId="77777777" w:rsidR="00274429" w:rsidRDefault="00274429" w:rsidP="00274429">
          <w:pPr>
            <w:jc w:val="both"/>
            <w:rPr>
              <w:rFonts w:ascii="Times New Roman" w:hAnsi="Times New Roman"/>
              <w:sz w:val="24"/>
              <w:szCs w:val="24"/>
            </w:rPr>
          </w:pPr>
          <w:r w:rsidRPr="00FC7585">
            <w:rPr>
              <w:rFonts w:ascii="Times New Roman" w:hAnsi="Times New Roman"/>
              <w:b/>
              <w:bCs/>
              <w:sz w:val="24"/>
              <w:szCs w:val="24"/>
            </w:rPr>
            <w:t xml:space="preserve">Tarifas: </w:t>
          </w:r>
          <w:r w:rsidRPr="00494887">
            <w:rPr>
              <w:rFonts w:ascii="Times New Roman" w:hAnsi="Times New Roman"/>
              <w:sz w:val="24"/>
              <w:szCs w:val="24"/>
            </w:rPr>
            <w:t xml:space="preserve">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 </w:t>
          </w:r>
        </w:p>
        <w:p w14:paraId="0F1F0A48" w14:textId="77777777" w:rsidR="00274429" w:rsidRDefault="00274429" w:rsidP="00274429">
          <w:pPr>
            <w:jc w:val="both"/>
            <w:rPr>
              <w:rFonts w:ascii="Times New Roman" w:hAnsi="Times New Roman"/>
              <w:sz w:val="24"/>
              <w:szCs w:val="24"/>
            </w:rPr>
          </w:pPr>
          <w:r w:rsidRPr="009A46BB">
            <w:rPr>
              <w:rFonts w:ascii="Times New Roman" w:hAnsi="Times New Roman"/>
              <w:b/>
            </w:rPr>
            <w:t>Contraprestación portuaria</w:t>
          </w:r>
          <w:r w:rsidRPr="009A46BB">
            <w:rPr>
              <w:rFonts w:ascii="Times New Roman" w:hAnsi="Times New Roman"/>
            </w:rPr>
            <w:t xml:space="preserve">: </w:t>
          </w:r>
          <w:r w:rsidRPr="00A512F6">
            <w:rPr>
              <w:rFonts w:ascii="Times New Roman" w:hAnsi="Times New Roman"/>
              <w:sz w:val="24"/>
              <w:szCs w:val="24"/>
            </w:rPr>
            <w:t xml:space="preserve">De acuerdo con el último documento contractual la metodología de contraprestación vigente es CONPES 3744 de 2013 (Componentes Fijo y Variable).  A febrero de 2023 el CONCESIONARIO debió pagar la suma de USD $60.150, valor que incluye componente fijo y componente variable.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w:t>
          </w:r>
          <w:r w:rsidRPr="00A512F6">
            <w:rPr>
              <w:rFonts w:ascii="Times New Roman" w:hAnsi="Times New Roman"/>
              <w:sz w:val="24"/>
              <w:szCs w:val="24"/>
            </w:rPr>
            <w:lastRenderedPageBreak/>
            <w:t>(INVIAS) y el 20% restante al distrito de Cartagena; e INFRAESTRUCTURA en un 100% a la Nación - Instituto Nacional de Vías (INVIAS).</w:t>
          </w:r>
        </w:p>
        <w:p w14:paraId="34DA13A5" w14:textId="77777777" w:rsidR="00274429" w:rsidRDefault="00274429" w:rsidP="00274429">
          <w:pPr>
            <w:jc w:val="both"/>
            <w:rPr>
              <w:rStyle w:val="Estilo3"/>
            </w:rPr>
          </w:pPr>
          <w:r w:rsidRPr="00A93D24">
            <w:rPr>
              <w:rStyle w:val="Estilo3"/>
              <w:b/>
              <w:bCs/>
            </w:rPr>
            <w:t>Plan de Inversiones:</w:t>
          </w:r>
          <w:r w:rsidRPr="00840555">
            <w:rPr>
              <w:rStyle w:val="Estilo3"/>
            </w:rPr>
            <w:t xml:space="preserve"> </w:t>
          </w:r>
          <w:r w:rsidRPr="00B311FD">
            <w:rPr>
              <w:rStyle w:val="Estilo3"/>
            </w:rPr>
            <w:t>está establecido en la cláusula 2 del Otrosí No. 2 de 2021, el plan de inversión será de USD $353.294 en valores constantes de 2013</w:t>
          </w:r>
          <w:r>
            <w:rPr>
              <w:rStyle w:val="Estilo3"/>
            </w:rPr>
            <w:t>.</w:t>
          </w:r>
        </w:p>
        <w:p w14:paraId="2D307038" w14:textId="5D46C851" w:rsidR="00274429" w:rsidRPr="009A46BB" w:rsidRDefault="00274429" w:rsidP="00274429">
          <w:pPr>
            <w:jc w:val="both"/>
            <w:rPr>
              <w:rFonts w:ascii="Times New Roman" w:hAnsi="Times New Roman"/>
            </w:rPr>
          </w:pPr>
          <w:r w:rsidRPr="009A46BB">
            <w:rPr>
              <w:rFonts w:ascii="Times New Roman" w:hAnsi="Times New Roman"/>
            </w:rPr>
            <w:t>Obligaciones del CONCESIONARIO: Se encuentran descritas en la cláusula 19.</w:t>
          </w:r>
        </w:p>
        <w:p w14:paraId="364DCE90" w14:textId="77777777" w:rsidR="00274429" w:rsidRPr="009A46BB" w:rsidRDefault="00274429" w:rsidP="00274429">
          <w:pPr>
            <w:jc w:val="both"/>
            <w:rPr>
              <w:rFonts w:ascii="Times New Roman" w:hAnsi="Times New Roman"/>
            </w:rPr>
          </w:pPr>
          <w:r w:rsidRPr="009A46BB">
            <w:rPr>
              <w:rFonts w:ascii="Times New Roman" w:hAnsi="Times New Roman"/>
            </w:rPr>
            <w:t xml:space="preserve">Multas y sanciones: Están establecidas en la cláusula 22. A diciembre de 2023 no se han establecido multas y sanciones para este concesionario a la fecha. </w:t>
          </w:r>
        </w:p>
        <w:p w14:paraId="61FA4952" w14:textId="7F7FC482" w:rsidR="00274429" w:rsidRPr="009A46BB" w:rsidRDefault="00274429" w:rsidP="00274429">
          <w:pPr>
            <w:jc w:val="both"/>
            <w:rPr>
              <w:rFonts w:ascii="Times New Roman" w:hAnsi="Times New Roman"/>
            </w:rPr>
          </w:pPr>
          <w:r w:rsidRPr="009A46BB">
            <w:rPr>
              <w:rFonts w:ascii="Times New Roman" w:hAnsi="Times New Roman"/>
            </w:rPr>
            <w:t xml:space="preserve">Penal pecuniario: En la cláusula 23 del contrato de Concesión se establece que en el evento que el CONCEDENTE declare la caducidad o el incumplimiento del presente contrato, el CONCESIONARIO, deberá pagar al CONCEDENTE, la suma equivalente al 10% del valor total de la contraprestación, como sanción pecuniaria.El valor pagado por el CONCESIONARIO se considera como un pago parcial pero no definitivo de los perjuicios causados a esta entidad, sin perjuicio de las acciones judiciales que adelante el CONCEDENTE. </w:t>
          </w:r>
        </w:p>
        <w:p w14:paraId="59DBB4EA" w14:textId="77777777" w:rsidR="00274429" w:rsidRDefault="00274429" w:rsidP="00274429">
          <w:pPr>
            <w:jc w:val="both"/>
            <w:rPr>
              <w:rFonts w:ascii="Times New Roman" w:hAnsi="Times New Roman"/>
              <w:b/>
              <w:bCs/>
              <w:sz w:val="24"/>
              <w:szCs w:val="24"/>
            </w:rPr>
          </w:pPr>
          <w:r w:rsidRPr="004C1095">
            <w:rPr>
              <w:rFonts w:ascii="Times New Roman" w:hAnsi="Times New Roman"/>
              <w:b/>
              <w:bCs/>
              <w:sz w:val="24"/>
              <w:szCs w:val="24"/>
            </w:rPr>
            <w:t>Términos de calendario:</w:t>
          </w:r>
        </w:p>
        <w:p w14:paraId="5CB864F3" w14:textId="77777777" w:rsidR="00274429" w:rsidRPr="00287BB4" w:rsidRDefault="00274429" w:rsidP="00274429">
          <w:pPr>
            <w:jc w:val="both"/>
            <w:rPr>
              <w:rStyle w:val="Estilo3"/>
            </w:rPr>
          </w:pPr>
          <w:r w:rsidRPr="00287BB4">
            <w:rPr>
              <w:rStyle w:val="Estilo3"/>
            </w:rPr>
            <w:t xml:space="preserve">1. Tarifas: Aprobadas según la metodología establecida por la Superintendencia General de Puertos hoy Superintendencia de Transporte. </w:t>
          </w:r>
        </w:p>
        <w:p w14:paraId="2905A65B" w14:textId="77777777" w:rsidR="00274429" w:rsidRPr="00287BB4" w:rsidRDefault="00274429" w:rsidP="00274429">
          <w:pPr>
            <w:jc w:val="both"/>
            <w:rPr>
              <w:rStyle w:val="Estilo3"/>
            </w:rPr>
          </w:pPr>
          <w:r w:rsidRPr="00287BB4">
            <w:rPr>
              <w:rStyle w:val="Estilo3"/>
            </w:rPr>
            <w:t xml:space="preserve">2: Contraprestación portuaria: la contraprestación se debe pagar de manera anticipada antes del mes de febrero de cada año. </w:t>
          </w:r>
        </w:p>
        <w:p w14:paraId="58CBAFFF" w14:textId="77777777" w:rsidR="00274429" w:rsidRPr="00287BB4" w:rsidRDefault="00274429" w:rsidP="00274429">
          <w:pPr>
            <w:jc w:val="both"/>
            <w:rPr>
              <w:rStyle w:val="Estilo3"/>
            </w:rPr>
          </w:pPr>
          <w:r w:rsidRPr="00287BB4">
            <w:rPr>
              <w:rStyle w:val="Estilo3"/>
            </w:rPr>
            <w:t xml:space="preserve">3: Plan de inversiones: Se estableció en la cláusula 2 del Otrosí No. 2 de mayo de 2021, periodo de tiempo comprendido entre el año 2015 a 2022. </w:t>
          </w:r>
        </w:p>
        <w:p w14:paraId="192BB9A8" w14:textId="77777777" w:rsidR="00274429" w:rsidRPr="00287BB4" w:rsidRDefault="00274429" w:rsidP="00274429">
          <w:pPr>
            <w:jc w:val="both"/>
            <w:rPr>
              <w:rStyle w:val="Estilo3"/>
            </w:rPr>
          </w:pPr>
          <w:r w:rsidRPr="00287BB4">
            <w:rPr>
              <w:rStyle w:val="Estilo3"/>
            </w:rPr>
            <w:t xml:space="preserve">4: Multas: Cláusula 22 del contrato 003 de 2014. </w:t>
          </w:r>
        </w:p>
        <w:p w14:paraId="3D7E2AB6" w14:textId="77777777"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certeza de flujos de efectivo futuros:</w:t>
          </w:r>
          <w:r>
            <w:rPr>
              <w:rFonts w:ascii="Times New Roman" w:hAnsi="Times New Roman"/>
              <w:b/>
              <w:bCs/>
              <w:sz w:val="24"/>
              <w:szCs w:val="24"/>
            </w:rPr>
            <w:t xml:space="preserve"> </w:t>
          </w:r>
        </w:p>
        <w:p w14:paraId="2C39694D" w14:textId="77777777" w:rsidR="00274429" w:rsidRPr="009A46BB" w:rsidRDefault="00274429" w:rsidP="00274429">
          <w:pPr>
            <w:jc w:val="both"/>
            <w:rPr>
              <w:rFonts w:ascii="Times New Roman" w:hAnsi="Times New Roman"/>
            </w:rPr>
          </w:pPr>
          <w:r w:rsidRPr="009A46BB">
            <w:rPr>
              <w:rFonts w:ascii="Times New Roman" w:hAnsi="Times New Roman"/>
            </w:rPr>
            <w:t>En la Cláusula 1 del Contrato de Concesión, el objeto del presente contrato es el otorgamiento al CONCESIONARIO por parte del CONCEDENTE, de una concesión para que ocupe en forma temporal y exclusiva los bienes de uso público descritos en la Cláusula 2 para la construcción y operación de un terminal portuario, a cambio de una contraprestación económica a favor del CONCEDENTE, en los términos descritos en la Cláusula 13 de este contrato.</w:t>
          </w:r>
        </w:p>
        <w:p w14:paraId="31897901" w14:textId="77777777" w:rsidR="00274429" w:rsidRPr="009A46BB" w:rsidRDefault="00274429" w:rsidP="00274429">
          <w:pPr>
            <w:jc w:val="both"/>
            <w:rPr>
              <w:rFonts w:ascii="Times New Roman" w:hAnsi="Times New Roman"/>
            </w:rPr>
          </w:pPr>
          <w:r w:rsidRPr="009A46BB">
            <w:rPr>
              <w:rFonts w:ascii="Times New Roman" w:hAnsi="Times New Roman"/>
            </w:rPr>
            <w:t>En la Cláusula 13, en su parágrafo tercero, se establece que del pago por contraprestación le corresponde a la NACIÓN-Instituto Nacional de Vías el 80% y el 20% restante al Municipio de Cartagena (Bolívar), de acuerdo con lo establecido en el parágrafo 1 del artículo 1 de la Ley 856 del 21 de diciembre de 2003, que modifica el artículo 7 de la Ley 1 de 1991.</w:t>
          </w:r>
        </w:p>
        <w:p w14:paraId="01F3E087" w14:textId="77777777" w:rsidR="00274429" w:rsidRPr="005C2A29" w:rsidRDefault="00274429" w:rsidP="00E60BAB">
          <w:pPr>
            <w:pStyle w:val="Prrafodelista"/>
            <w:numPr>
              <w:ilvl w:val="0"/>
              <w:numId w:val="126"/>
            </w:numPr>
            <w:spacing w:line="259" w:lineRule="auto"/>
            <w:jc w:val="both"/>
            <w:rPr>
              <w:rFonts w:ascii="Times New Roman" w:hAnsi="Times New Roman"/>
              <w:b/>
              <w:bCs/>
              <w:sz w:val="24"/>
              <w:szCs w:val="24"/>
            </w:rPr>
          </w:pPr>
          <w:r w:rsidRPr="005C2A29">
            <w:rPr>
              <w:rFonts w:ascii="Times New Roman" w:hAnsi="Times New Roman"/>
              <w:b/>
              <w:bCs/>
              <w:sz w:val="24"/>
              <w:szCs w:val="24"/>
            </w:rPr>
            <w:t>Naturaleza y alcance del derecho a utilizar activos especificados, de los aspectos pactados en torno a lo que se espera que el concesionario proporcione en relación con el acuerdo de concesión (Se requiere ser breves, precisos, y concisos en la redacción)</w:t>
          </w:r>
        </w:p>
        <w:p w14:paraId="03F94143" w14:textId="77777777" w:rsidR="00274429" w:rsidRDefault="00274429" w:rsidP="00274429">
          <w:pPr>
            <w:jc w:val="both"/>
            <w:rPr>
              <w:rFonts w:ascii="Times New Roman" w:hAnsi="Times New Roman"/>
              <w:b/>
              <w:bCs/>
              <w:sz w:val="24"/>
              <w:szCs w:val="24"/>
            </w:rPr>
          </w:pPr>
          <w:r w:rsidRPr="00217110">
            <w:rPr>
              <w:rFonts w:ascii="Times New Roman" w:hAnsi="Times New Roman"/>
              <w:b/>
              <w:bCs/>
              <w:sz w:val="24"/>
              <w:szCs w:val="24"/>
            </w:rPr>
            <w:t>Naturaleza y alcance del derecho de uso de los activos</w:t>
          </w:r>
        </w:p>
        <w:p w14:paraId="0C494CE2" w14:textId="77CDD21F" w:rsidR="00274429" w:rsidRDefault="00274429" w:rsidP="00274429">
          <w:pPr>
            <w:jc w:val="both"/>
            <w:rPr>
              <w:rFonts w:ascii="Times New Roman" w:hAnsi="Times New Roman"/>
              <w:b/>
              <w:bCs/>
              <w:sz w:val="24"/>
              <w:szCs w:val="24"/>
            </w:rPr>
          </w:pPr>
          <w:r w:rsidRPr="003E5FA9">
            <w:rPr>
              <w:rFonts w:ascii="Times New Roman" w:hAnsi="Times New Roman"/>
              <w:b/>
              <w:bCs/>
              <w:sz w:val="24"/>
              <w:szCs w:val="24"/>
            </w:rPr>
            <w:t>Descripción:</w:t>
          </w:r>
        </w:p>
        <w:p w14:paraId="731744A5" w14:textId="77777777" w:rsidR="00274429" w:rsidRPr="009A46BB" w:rsidRDefault="00274429" w:rsidP="00274429">
          <w:pPr>
            <w:jc w:val="both"/>
            <w:rPr>
              <w:rFonts w:ascii="Times New Roman" w:hAnsi="Times New Roman"/>
            </w:rPr>
          </w:pPr>
          <w:r w:rsidRPr="009A46BB">
            <w:rPr>
              <w:rFonts w:ascii="Times New Roman" w:hAnsi="Times New Roman"/>
            </w:rPr>
            <w:lastRenderedPageBreak/>
            <w:t>Descripción del proyecto, especificaciones técnicas, modalidades de operación: las condiciones especiales de operación del puerto están establecidas en la cláusula 5 del contrato principal.</w:t>
          </w:r>
        </w:p>
        <w:p w14:paraId="5EB1549F" w14:textId="77777777" w:rsidR="00274429" w:rsidRPr="009A46BB" w:rsidRDefault="00274429" w:rsidP="00274429">
          <w:pPr>
            <w:jc w:val="both"/>
            <w:rPr>
              <w:rFonts w:ascii="Times New Roman" w:hAnsi="Times New Roman"/>
            </w:rPr>
          </w:pPr>
          <w:r w:rsidRPr="009A46BB">
            <w:rPr>
              <w:rFonts w:ascii="Times New Roman" w:hAnsi="Times New Roman"/>
            </w:rPr>
            <w:t>Área entregada en concesión: La descripción de la ubicación, linderos y extensión de los bienes de uso público (playas y terrenos de baja mar, zonas marítimas accesorias de maniobras) entregados en concesión están establecidos en la cláusula 2 del contrato principal.</w:t>
          </w:r>
        </w:p>
        <w:p w14:paraId="54083340" w14:textId="77777777" w:rsidR="00274429" w:rsidRPr="009A46BB" w:rsidRDefault="00274429" w:rsidP="00274429">
          <w:pPr>
            <w:jc w:val="both"/>
            <w:rPr>
              <w:rFonts w:ascii="Times New Roman" w:hAnsi="Times New Roman"/>
            </w:rPr>
          </w:pPr>
          <w:r w:rsidRPr="009A46BB">
            <w:rPr>
              <w:rFonts w:ascii="Times New Roman" w:hAnsi="Times New Roman"/>
            </w:rPr>
            <w:t>Infraestructura y equipos entregados en concesión: En la cláusula segunda del Contrato principal, se describe que lo entregado en concesión fue:</w:t>
          </w:r>
        </w:p>
        <w:p w14:paraId="59A2EFC5" w14:textId="77777777" w:rsidR="00274429" w:rsidRPr="009A46BB" w:rsidRDefault="00274429" w:rsidP="00274429">
          <w:pPr>
            <w:jc w:val="both"/>
            <w:rPr>
              <w:rFonts w:ascii="Times New Roman" w:hAnsi="Times New Roman"/>
            </w:rPr>
          </w:pPr>
          <w:r w:rsidRPr="009A46BB">
            <w:rPr>
              <w:rFonts w:ascii="Times New Roman" w:hAnsi="Times New Roman"/>
            </w:rPr>
            <w:t>Infraestructura: Muelle de cruceros, muelle de madera, piña y boya de amarre.</w:t>
          </w:r>
        </w:p>
        <w:p w14:paraId="5AD54A62" w14:textId="77777777" w:rsidR="00274429" w:rsidRPr="007A403F" w:rsidRDefault="00274429" w:rsidP="00274429">
          <w:pPr>
            <w:jc w:val="both"/>
            <w:rPr>
              <w:rFonts w:ascii="Times New Roman" w:hAnsi="Times New Roman"/>
              <w:sz w:val="24"/>
              <w:szCs w:val="24"/>
            </w:rPr>
          </w:pPr>
          <w:r w:rsidRPr="003E5FA9">
            <w:rPr>
              <w:rFonts w:ascii="Times New Roman" w:hAnsi="Times New Roman"/>
              <w:b/>
              <w:bCs/>
              <w:sz w:val="24"/>
              <w:szCs w:val="24"/>
            </w:rPr>
            <w:t>Observaciones:</w:t>
          </w:r>
          <w:r>
            <w:rPr>
              <w:rFonts w:ascii="Times New Roman" w:hAnsi="Times New Roman"/>
              <w:b/>
              <w:bCs/>
              <w:sz w:val="24"/>
              <w:szCs w:val="24"/>
            </w:rPr>
            <w:t xml:space="preserve"> </w:t>
          </w:r>
          <w:r>
            <w:rPr>
              <w:rFonts w:ascii="Times New Roman" w:hAnsi="Times New Roman"/>
              <w:sz w:val="24"/>
              <w:szCs w:val="24"/>
            </w:rPr>
            <w:t>NA</w:t>
          </w:r>
          <w:r w:rsidRPr="007A403F">
            <w:rPr>
              <w:rFonts w:ascii="Times New Roman" w:hAnsi="Times New Roman"/>
              <w:sz w:val="24"/>
              <w:szCs w:val="24"/>
            </w:rPr>
            <w:t xml:space="preserve">. </w:t>
          </w:r>
        </w:p>
        <w:p w14:paraId="43936812" w14:textId="77777777" w:rsidR="00274429" w:rsidRDefault="00274429" w:rsidP="00274429">
          <w:pPr>
            <w:jc w:val="both"/>
            <w:rPr>
              <w:rFonts w:ascii="Times New Roman" w:hAnsi="Times New Roman"/>
              <w:b/>
              <w:bCs/>
              <w:sz w:val="24"/>
              <w:szCs w:val="24"/>
            </w:rPr>
          </w:pPr>
          <w:r>
            <w:rPr>
              <w:rFonts w:ascii="Times New Roman" w:hAnsi="Times New Roman"/>
              <w:b/>
              <w:bCs/>
              <w:sz w:val="24"/>
              <w:szCs w:val="24"/>
            </w:rPr>
            <w:t>Retribución al Concesionario</w:t>
          </w:r>
        </w:p>
        <w:p w14:paraId="090C458C" w14:textId="77777777" w:rsidR="00274429" w:rsidRPr="009A46BB" w:rsidRDefault="00274429" w:rsidP="00274429">
          <w:pPr>
            <w:jc w:val="both"/>
            <w:rPr>
              <w:rFonts w:ascii="Times New Roman" w:hAnsi="Times New Roman"/>
            </w:rPr>
          </w:pPr>
          <w:r w:rsidRPr="009A46BB">
            <w:rPr>
              <w:rFonts w:ascii="Times New Roman" w:hAnsi="Times New Roman"/>
              <w:b/>
            </w:rPr>
            <w:t xml:space="preserve">Descripción: </w:t>
          </w:r>
          <w:r w:rsidRPr="009A46BB">
            <w:rPr>
              <w:rFonts w:ascii="Times New Roman" w:hAnsi="Times New Roman"/>
            </w:rPr>
            <w:t>En la Cláusula 1 del Contrato principal de Concesión, el objeto del presente contrato es el otorgamiento al CONCESIONARIO por parte del CONCEDENTE, de una concesión para que ocupe en forma temporal y exclusiva los bienes de uso público descritos en la Cláusula 2 para la construcción y operación de un terminal portuario, a cambio de una contraprestación económica a favor del CONCEDENTE, en los términos descritos en la Cláusula 13 de este contrato.</w:t>
          </w:r>
        </w:p>
        <w:p w14:paraId="36D4B884" w14:textId="77777777" w:rsidR="00274429" w:rsidRPr="00351837" w:rsidRDefault="00274429" w:rsidP="00274429">
          <w:pPr>
            <w:jc w:val="both"/>
            <w:rPr>
              <w:rFonts w:ascii="Times New Roman" w:hAnsi="Times New Roman"/>
              <w:b/>
              <w:bCs/>
              <w:sz w:val="24"/>
              <w:szCs w:val="24"/>
            </w:rPr>
          </w:pPr>
          <w:r>
            <w:rPr>
              <w:rFonts w:ascii="Times New Roman" w:hAnsi="Times New Roman"/>
              <w:b/>
              <w:bCs/>
              <w:sz w:val="24"/>
              <w:szCs w:val="24"/>
            </w:rPr>
            <w:t>Tasa de retribución: NA</w:t>
          </w:r>
        </w:p>
        <w:p w14:paraId="19B783AF" w14:textId="77777777" w:rsidR="00274429" w:rsidRPr="00421699" w:rsidRDefault="00274429" w:rsidP="00E60BAB">
          <w:pPr>
            <w:pStyle w:val="Prrafodelista"/>
            <w:numPr>
              <w:ilvl w:val="0"/>
              <w:numId w:val="126"/>
            </w:numPr>
            <w:spacing w:line="259" w:lineRule="auto"/>
            <w:jc w:val="both"/>
            <w:rPr>
              <w:rFonts w:ascii="Times New Roman" w:hAnsi="Times New Roman"/>
              <w:b/>
              <w:bCs/>
              <w:sz w:val="24"/>
              <w:szCs w:val="24"/>
            </w:rPr>
          </w:pPr>
          <w:r w:rsidRPr="00421699">
            <w:rPr>
              <w:rFonts w:ascii="Times New Roman" w:hAnsi="Times New Roman"/>
              <w:b/>
              <w:bCs/>
              <w:sz w:val="24"/>
              <w:szCs w:val="24"/>
            </w:rPr>
            <w:t>Derechos a recibir activos especificados al final del acuerdo de concesión</w:t>
          </w:r>
        </w:p>
        <w:p w14:paraId="3043A159" w14:textId="77777777" w:rsidR="00274429" w:rsidRPr="00195D7C" w:rsidRDefault="00274429" w:rsidP="00274429">
          <w:pPr>
            <w:jc w:val="both"/>
            <w:rPr>
              <w:rFonts w:ascii="Times New Roman" w:hAnsi="Times New Roman"/>
              <w:sz w:val="24"/>
              <w:szCs w:val="24"/>
            </w:rPr>
          </w:pPr>
          <w:r w:rsidRPr="006D56DF">
            <w:rPr>
              <w:rFonts w:ascii="Times New Roman" w:hAnsi="Times New Roman"/>
              <w:b/>
              <w:bCs/>
              <w:sz w:val="24"/>
              <w:szCs w:val="24"/>
            </w:rPr>
            <w:t>Descripción:</w:t>
          </w:r>
          <w:r>
            <w:rPr>
              <w:rFonts w:ascii="Times New Roman" w:hAnsi="Times New Roman"/>
              <w:b/>
              <w:bCs/>
              <w:sz w:val="24"/>
              <w:szCs w:val="24"/>
            </w:rPr>
            <w:t xml:space="preserve"> </w:t>
          </w:r>
          <w:r w:rsidRPr="00195D7C">
            <w:rPr>
              <w:rFonts w:ascii="Times New Roman" w:hAnsi="Times New Roman"/>
              <w:sz w:val="24"/>
              <w:szCs w:val="24"/>
            </w:rPr>
            <w:t>De acuerdo con el Artículo 8º de la Ley 1 de 1991 en el modo portuario el concesionario no tiene derechos finales sobre activos los debe revertir a la Nación al final del contrato de concesión.</w:t>
          </w:r>
        </w:p>
        <w:p w14:paraId="2D91A5D4" w14:textId="77777777" w:rsidR="00274429" w:rsidRPr="00351837" w:rsidRDefault="00274429" w:rsidP="00274429">
          <w:pPr>
            <w:jc w:val="both"/>
            <w:rPr>
              <w:rFonts w:ascii="Times New Roman" w:hAnsi="Times New Roman"/>
              <w:sz w:val="24"/>
              <w:szCs w:val="24"/>
            </w:rPr>
          </w:pPr>
          <w:r w:rsidRPr="006D56DF">
            <w:rPr>
              <w:rFonts w:ascii="Times New Roman" w:hAnsi="Times New Roman"/>
              <w:b/>
              <w:bCs/>
              <w:sz w:val="24"/>
              <w:szCs w:val="24"/>
            </w:rPr>
            <w:t>Observaciones:</w:t>
          </w:r>
          <w:r w:rsidRPr="009A46BB">
            <w:rPr>
              <w:rFonts w:ascii="Times New Roman" w:hAnsi="Times New Roman"/>
            </w:rPr>
            <w:t xml:space="preserve"> </w:t>
          </w:r>
        </w:p>
        <w:p w14:paraId="47938F54" w14:textId="77777777" w:rsidR="00274429" w:rsidRPr="00D42094" w:rsidRDefault="00274429" w:rsidP="00274429">
          <w:pPr>
            <w:jc w:val="both"/>
            <w:rPr>
              <w:rFonts w:ascii="Times New Roman" w:hAnsi="Times New Roman"/>
              <w:sz w:val="24"/>
              <w:szCs w:val="24"/>
            </w:rPr>
          </w:pPr>
          <w:r w:rsidRPr="00D42094">
            <w:rPr>
              <w:rFonts w:ascii="Times New Roman" w:hAnsi="Times New Roman"/>
              <w:sz w:val="24"/>
              <w:szCs w:val="24"/>
            </w:rPr>
            <w:t>Reversión: De acuerdo con lo establecido en la cláusula 32 del contrato de concesión, todas las construcciones e inmuebles por destinación, que se encuentren instalados en la zona de uso público otorgada en concesión revertirán gratuitamente por el Concesionario.</w:t>
          </w:r>
        </w:p>
        <w:p w14:paraId="02EE7724" w14:textId="77777777" w:rsidR="00274429" w:rsidRPr="00D42094" w:rsidRDefault="00274429" w:rsidP="00274429">
          <w:pPr>
            <w:jc w:val="both"/>
            <w:rPr>
              <w:rFonts w:ascii="Times New Roman" w:hAnsi="Times New Roman"/>
              <w:sz w:val="24"/>
              <w:szCs w:val="24"/>
            </w:rPr>
          </w:pPr>
          <w:r w:rsidRPr="00D42094">
            <w:rPr>
              <w:rFonts w:ascii="Times New Roman" w:hAnsi="Times New Roman"/>
              <w:sz w:val="24"/>
              <w:szCs w:val="24"/>
            </w:rPr>
            <w:t>Para tal fin, en el momento de la reversión el CONCESIONARIO elaborará un inventario de los bienes y los enviará para su revisión y aprobación.</w:t>
          </w:r>
        </w:p>
        <w:p w14:paraId="115D4997" w14:textId="77777777" w:rsidR="00274429" w:rsidRDefault="00274429" w:rsidP="00274429">
          <w:pPr>
            <w:jc w:val="both"/>
            <w:rPr>
              <w:rFonts w:ascii="Times New Roman" w:hAnsi="Times New Roman"/>
              <w:sz w:val="24"/>
              <w:szCs w:val="24"/>
            </w:rPr>
          </w:pPr>
          <w:r w:rsidRPr="00D42094">
            <w:rPr>
              <w:rFonts w:ascii="Times New Roman" w:hAnsi="Times New Roman"/>
              <w:sz w:val="24"/>
              <w:szCs w:val="24"/>
            </w:rPr>
            <w:t>La ANI es la entidad concedente pero la titularidad de los activos al final de la concesión es del Instituto Nacional de Vías INVIAS</w:t>
          </w:r>
        </w:p>
        <w:p w14:paraId="42DCF176" w14:textId="77777777" w:rsidR="00274429" w:rsidRDefault="00274429" w:rsidP="00E60BAB">
          <w:pPr>
            <w:pStyle w:val="Prrafodelista"/>
            <w:numPr>
              <w:ilvl w:val="0"/>
              <w:numId w:val="126"/>
            </w:numPr>
            <w:spacing w:line="259" w:lineRule="auto"/>
            <w:jc w:val="both"/>
            <w:rPr>
              <w:rFonts w:ascii="Times New Roman" w:hAnsi="Times New Roman"/>
              <w:b/>
              <w:bCs/>
              <w:sz w:val="24"/>
              <w:szCs w:val="24"/>
            </w:rPr>
          </w:pPr>
          <w:r w:rsidRPr="00D42094">
            <w:rPr>
              <w:rFonts w:ascii="Times New Roman" w:hAnsi="Times New Roman"/>
              <w:b/>
              <w:bCs/>
              <w:sz w:val="24"/>
              <w:szCs w:val="24"/>
            </w:rPr>
            <w:t xml:space="preserve">Cambios en el acuerdo de concesión que se realicen durante el periodo fiscal </w:t>
          </w:r>
        </w:p>
        <w:p w14:paraId="312810E9" w14:textId="77777777" w:rsidR="00274429" w:rsidRDefault="00274429" w:rsidP="10D44305">
          <w:pPr>
            <w:pStyle w:val="Prrafodelista"/>
            <w:ind w:left="0"/>
            <w:jc w:val="both"/>
            <w:rPr>
              <w:rFonts w:ascii="Times New Roman" w:hAnsi="Times New Roman"/>
              <w:b/>
              <w:bCs/>
              <w:sz w:val="24"/>
              <w:szCs w:val="24"/>
            </w:rPr>
          </w:pPr>
        </w:p>
        <w:p w14:paraId="01172267" w14:textId="4ABEB3D9" w:rsidR="7623A31F" w:rsidRDefault="7623A31F" w:rsidP="10D44305">
          <w:pPr>
            <w:spacing w:after="0" w:line="257" w:lineRule="auto"/>
            <w:ind w:left="-20" w:right="-20"/>
            <w:jc w:val="center"/>
          </w:pPr>
          <w:r w:rsidRPr="10D44305">
            <w:rPr>
              <w:rFonts w:ascii="Times New Roman" w:eastAsia="Times New Roman" w:hAnsi="Times New Roman"/>
              <w:b/>
              <w:bCs/>
              <w:sz w:val="24"/>
              <w:szCs w:val="24"/>
              <w:lang w:val="es-MX"/>
            </w:rPr>
            <w:t>Adiciones o Modificaciones en Valor</w:t>
          </w:r>
        </w:p>
        <w:p w14:paraId="006B44CC" w14:textId="3BD81A44" w:rsidR="7623A31F" w:rsidRDefault="7623A31F" w:rsidP="10D44305">
          <w:pPr>
            <w:spacing w:after="0" w:line="257" w:lineRule="auto"/>
            <w:ind w:left="-20" w:right="-20"/>
          </w:pPr>
          <w:r w:rsidRPr="10D44305">
            <w:rPr>
              <w:rFonts w:ascii="Times New Roman" w:eastAsia="Times New Roman" w:hAnsi="Times New Roman"/>
              <w:b/>
              <w:bCs/>
              <w:sz w:val="24"/>
              <w:szCs w:val="24"/>
            </w:rPr>
            <w:t>Valor de la adición o modificación:</w:t>
          </w:r>
          <w:r w:rsidR="2E775B65" w:rsidRPr="10D44305">
            <w:rPr>
              <w:rFonts w:ascii="Times New Roman" w:eastAsia="Times New Roman" w:hAnsi="Times New Roman"/>
              <w:b/>
              <w:bCs/>
              <w:sz w:val="24"/>
              <w:szCs w:val="24"/>
            </w:rPr>
            <w:t xml:space="preserve"> </w:t>
          </w:r>
          <w:r w:rsidR="2E775B65" w:rsidRPr="10D44305">
            <w:rPr>
              <w:rFonts w:ascii="Times New Roman" w:eastAsia="Times New Roman" w:hAnsi="Times New Roman"/>
              <w:sz w:val="24"/>
              <w:szCs w:val="24"/>
            </w:rPr>
            <w:t>USD 353.294</w:t>
          </w:r>
        </w:p>
        <w:p w14:paraId="5A9118B8" w14:textId="044AE0F4" w:rsidR="7623A31F" w:rsidRDefault="7623A31F" w:rsidP="10D44305">
          <w:pPr>
            <w:spacing w:after="0" w:line="257" w:lineRule="auto"/>
            <w:ind w:left="-20" w:right="-20"/>
          </w:pPr>
          <w:r w:rsidRPr="10D44305">
            <w:rPr>
              <w:rFonts w:ascii="Times New Roman" w:eastAsia="Times New Roman" w:hAnsi="Times New Roman"/>
              <w:b/>
              <w:bCs/>
              <w:sz w:val="24"/>
              <w:szCs w:val="24"/>
            </w:rPr>
            <w:t>Nuevo valor del acuerdo:</w:t>
          </w:r>
          <w:r w:rsidR="50027A20" w:rsidRPr="10D44305">
            <w:rPr>
              <w:rFonts w:ascii="Times New Roman" w:eastAsia="Times New Roman" w:hAnsi="Times New Roman"/>
              <w:b/>
              <w:bCs/>
              <w:sz w:val="24"/>
              <w:szCs w:val="24"/>
            </w:rPr>
            <w:t xml:space="preserve"> </w:t>
          </w:r>
          <w:r w:rsidR="50027A20" w:rsidRPr="10D44305">
            <w:rPr>
              <w:rFonts w:ascii="Times New Roman" w:eastAsia="Times New Roman" w:hAnsi="Times New Roman"/>
              <w:sz w:val="24"/>
              <w:szCs w:val="24"/>
            </w:rPr>
            <w:t>USD 353.294</w:t>
          </w:r>
        </w:p>
        <w:p w14:paraId="54D126EB" w14:textId="1EB5E79A" w:rsidR="7623A31F" w:rsidRDefault="7623A31F" w:rsidP="10D44305">
          <w:pPr>
            <w:spacing w:after="0" w:line="257" w:lineRule="auto"/>
            <w:ind w:left="-20" w:right="-20"/>
          </w:pPr>
          <w:r w:rsidRPr="10D44305">
            <w:rPr>
              <w:rFonts w:ascii="Times New Roman" w:eastAsia="Times New Roman" w:hAnsi="Times New Roman"/>
              <w:b/>
              <w:bCs/>
              <w:sz w:val="24"/>
              <w:szCs w:val="24"/>
            </w:rPr>
            <w:t>Observaciones:</w:t>
          </w:r>
          <w:r w:rsidR="7C6F74DD" w:rsidRPr="10D44305">
            <w:rPr>
              <w:rFonts w:ascii="Times New Roman" w:eastAsia="Times New Roman" w:hAnsi="Times New Roman"/>
              <w:b/>
              <w:bCs/>
              <w:sz w:val="24"/>
              <w:szCs w:val="24"/>
            </w:rPr>
            <w:t xml:space="preserve"> </w:t>
          </w:r>
          <w:r w:rsidR="7C6F74DD" w:rsidRPr="10D44305">
            <w:rPr>
              <w:rFonts w:ascii="Times New Roman" w:eastAsia="Times New Roman" w:hAnsi="Times New Roman"/>
              <w:sz w:val="24"/>
              <w:szCs w:val="24"/>
            </w:rPr>
            <w:t>Otrosí No. 2 de 2021. Plan de inversiones</w:t>
          </w:r>
        </w:p>
        <w:p w14:paraId="01CB29BE" w14:textId="248281E6" w:rsidR="10D44305" w:rsidRDefault="10D44305" w:rsidP="10D44305">
          <w:pPr>
            <w:pStyle w:val="Prrafodelista"/>
            <w:ind w:left="0"/>
            <w:jc w:val="both"/>
            <w:rPr>
              <w:rFonts w:ascii="Times New Roman" w:hAnsi="Times New Roman"/>
              <w:b/>
              <w:bCs/>
              <w:sz w:val="24"/>
              <w:szCs w:val="24"/>
            </w:rPr>
          </w:pPr>
        </w:p>
        <w:p w14:paraId="2B735FB8" w14:textId="77777777" w:rsidR="00274429" w:rsidRPr="00197A12" w:rsidRDefault="00274429" w:rsidP="00274429">
          <w:pPr>
            <w:spacing w:after="0" w:line="240" w:lineRule="auto"/>
            <w:jc w:val="both"/>
            <w:rPr>
              <w:rFonts w:ascii="Times New Roman" w:hAnsi="Times New Roman"/>
              <w:b/>
              <w:bCs/>
              <w:sz w:val="24"/>
              <w:szCs w:val="24"/>
            </w:rPr>
          </w:pPr>
        </w:p>
        <w:p w14:paraId="042BEFE9" w14:textId="77777777" w:rsidR="00274429" w:rsidRPr="00197A12" w:rsidRDefault="00274429" w:rsidP="00274429">
          <w:pPr>
            <w:spacing w:after="0" w:line="240" w:lineRule="auto"/>
            <w:jc w:val="both"/>
            <w:rPr>
              <w:rFonts w:ascii="Times New Roman" w:hAnsi="Times New Roman"/>
              <w:b/>
              <w:bCs/>
              <w:sz w:val="24"/>
              <w:szCs w:val="24"/>
            </w:rPr>
          </w:pPr>
        </w:p>
        <w:p w14:paraId="249F7DDC" w14:textId="77777777" w:rsidR="00274429" w:rsidRPr="0038475C" w:rsidRDefault="00274429" w:rsidP="00274429">
          <w:pPr>
            <w:rPr>
              <w:rFonts w:ascii="Times New Roman" w:hAnsi="Times New Roman"/>
              <w:b/>
              <w:sz w:val="24"/>
              <w:szCs w:val="24"/>
            </w:rPr>
          </w:pPr>
          <w:r w:rsidRPr="10D44305">
            <w:rPr>
              <w:rFonts w:ascii="Times New Roman" w:hAnsi="Times New Roman"/>
              <w:b/>
              <w:bCs/>
              <w:sz w:val="24"/>
              <w:szCs w:val="24"/>
            </w:rPr>
            <w:t>SOCIEDAD PORTUARIA EL CAYAO S.A</w:t>
          </w:r>
        </w:p>
        <w:p w14:paraId="15AC2DF3" w14:textId="77777777" w:rsidR="00274429" w:rsidRPr="00996621" w:rsidRDefault="00274429" w:rsidP="00E60BAB">
          <w:pPr>
            <w:pStyle w:val="Prrafodelista"/>
            <w:numPr>
              <w:ilvl w:val="0"/>
              <w:numId w:val="127"/>
            </w:numPr>
            <w:spacing w:line="259" w:lineRule="auto"/>
            <w:jc w:val="both"/>
            <w:rPr>
              <w:rFonts w:ascii="Times New Roman" w:hAnsi="Times New Roman"/>
              <w:b/>
              <w:bCs/>
              <w:sz w:val="24"/>
              <w:szCs w:val="24"/>
            </w:rPr>
          </w:pPr>
          <w:r w:rsidRPr="00996621">
            <w:rPr>
              <w:rFonts w:ascii="Times New Roman" w:hAnsi="Times New Roman"/>
              <w:b/>
              <w:bCs/>
              <w:sz w:val="24"/>
              <w:szCs w:val="24"/>
            </w:rPr>
            <w:t>Descripción del acuerdo</w:t>
          </w:r>
        </w:p>
        <w:p w14:paraId="096B92A1" w14:textId="7A168CCE" w:rsidR="00274429" w:rsidRPr="009A46BB" w:rsidRDefault="00274429" w:rsidP="10D44305">
          <w:pPr>
            <w:spacing w:after="0"/>
            <w:rPr>
              <w:rFonts w:ascii="Times New Roman" w:hAnsi="Times New Roman"/>
            </w:rPr>
          </w:pPr>
          <w:r w:rsidRPr="009A46BB">
            <w:rPr>
              <w:rFonts w:ascii="Times New Roman" w:hAnsi="Times New Roman"/>
              <w:b/>
            </w:rPr>
            <w:t>Número del acuerdo de concesión:</w:t>
          </w:r>
          <w:r w:rsidR="35BB831D" w:rsidRPr="10D44305">
            <w:rPr>
              <w:rFonts w:ascii="Times New Roman" w:hAnsi="Times New Roman"/>
              <w:b/>
              <w:bCs/>
            </w:rPr>
            <w:t xml:space="preserve"> </w:t>
          </w:r>
          <w:r w:rsidRPr="009A46BB">
            <w:rPr>
              <w:rFonts w:ascii="Times New Roman" w:hAnsi="Times New Roman"/>
            </w:rPr>
            <w:t xml:space="preserve">Contrato No. 001 de 2015 </w:t>
          </w:r>
        </w:p>
        <w:p w14:paraId="7EE4EBAC" w14:textId="433FAC1C" w:rsidR="00274429" w:rsidRPr="009A46BB" w:rsidRDefault="00274429" w:rsidP="10D44305">
          <w:pPr>
            <w:spacing w:after="0"/>
            <w:jc w:val="both"/>
            <w:rPr>
              <w:rFonts w:ascii="Times New Roman" w:hAnsi="Times New Roman"/>
            </w:rPr>
          </w:pPr>
          <w:r w:rsidRPr="009A46BB">
            <w:rPr>
              <w:rFonts w:ascii="Times New Roman" w:hAnsi="Times New Roman"/>
              <w:b/>
            </w:rPr>
            <w:t>Objeto / Descripción</w:t>
          </w:r>
          <w:r w:rsidRPr="009A46BB">
            <w:rPr>
              <w:rFonts w:ascii="Times New Roman" w:hAnsi="Times New Roman"/>
            </w:rPr>
            <w:t>:</w:t>
          </w:r>
          <w:r w:rsidR="69EE32CB" w:rsidRPr="10D44305">
            <w:rPr>
              <w:rFonts w:ascii="Times New Roman" w:hAnsi="Times New Roman"/>
            </w:rPr>
            <w:t xml:space="preserve"> </w:t>
          </w:r>
          <w:r w:rsidRPr="009A46BB">
            <w:rPr>
              <w:rFonts w:ascii="Times New Roman" w:hAnsi="Times New Roman"/>
            </w:rPr>
            <w:t>Otorgamiento al Concesionario por parte del Concedente, de una Concesión para que ocupe en forma temporal y exclusiva los bienes de uso público descritos en la Clausula 2 Bienes Concesionados para la construcción, operación y mantenimiento de un terminal portuario para realizar la actividad portuaria de regasificación y para la importación, exportación y cabotaje de gas natural licuado (GNL), a cambio de una contraprestación económica a favor del Concedente, en los términos descritos en la Clausula 14 Valor del Contrato y de la Contraprestación de éste contrato, conforme lo establece la Cláusula Primera del Contrato.</w:t>
          </w:r>
        </w:p>
        <w:p w14:paraId="2F3226BD" w14:textId="5C9E360D" w:rsidR="00274429" w:rsidRPr="004D0EB1" w:rsidRDefault="00274429" w:rsidP="10D44305">
          <w:pPr>
            <w:spacing w:after="0"/>
            <w:rPr>
              <w:rFonts w:ascii="Times New Roman" w:hAnsi="Times New Roman"/>
              <w:sz w:val="24"/>
              <w:szCs w:val="24"/>
            </w:rPr>
          </w:pPr>
          <w:r w:rsidRPr="00521A07">
            <w:rPr>
              <w:rFonts w:ascii="Times New Roman" w:hAnsi="Times New Roman"/>
              <w:b/>
              <w:bCs/>
              <w:sz w:val="24"/>
              <w:szCs w:val="24"/>
            </w:rPr>
            <w:t>Valor inicial:</w:t>
          </w:r>
          <w:r w:rsidR="79694BA1" w:rsidRPr="10D44305">
            <w:rPr>
              <w:rFonts w:ascii="Times New Roman" w:hAnsi="Times New Roman"/>
              <w:b/>
              <w:bCs/>
              <w:sz w:val="24"/>
              <w:szCs w:val="24"/>
            </w:rPr>
            <w:t xml:space="preserve"> </w:t>
          </w:r>
          <w:r w:rsidRPr="004D0EB1">
            <w:rPr>
              <w:rFonts w:ascii="Times New Roman" w:hAnsi="Times New Roman"/>
              <w:sz w:val="24"/>
              <w:szCs w:val="24"/>
            </w:rPr>
            <w:t>USD $ 3.867.393,00 /Cláusula decimocuarta / Contrato No. 001 de 2015</w:t>
          </w:r>
        </w:p>
        <w:p w14:paraId="3204E0E0" w14:textId="77777777" w:rsidR="00274429" w:rsidRDefault="00274429" w:rsidP="00544CB7">
          <w:pPr>
            <w:spacing w:after="0"/>
            <w:rPr>
              <w:rFonts w:ascii="Times New Roman" w:hAnsi="Times New Roman"/>
              <w:sz w:val="24"/>
              <w:szCs w:val="24"/>
            </w:rPr>
          </w:pPr>
          <w:r w:rsidRPr="00521A07">
            <w:rPr>
              <w:rFonts w:ascii="Times New Roman" w:hAnsi="Times New Roman"/>
              <w:b/>
              <w:bCs/>
              <w:sz w:val="24"/>
              <w:szCs w:val="24"/>
            </w:rPr>
            <w:t>Fecha de inicio:</w:t>
          </w:r>
          <w:r>
            <w:rPr>
              <w:rFonts w:ascii="Times New Roman" w:hAnsi="Times New Roman"/>
              <w:b/>
              <w:bCs/>
              <w:sz w:val="24"/>
              <w:szCs w:val="24"/>
            </w:rPr>
            <w:t xml:space="preserve"> </w:t>
          </w:r>
          <w:r>
            <w:rPr>
              <w:rFonts w:ascii="Times New Roman" w:hAnsi="Times New Roman"/>
              <w:sz w:val="24"/>
              <w:szCs w:val="24"/>
            </w:rPr>
            <w:t>30/09/2015</w:t>
          </w:r>
        </w:p>
        <w:p w14:paraId="0033BE68" w14:textId="77777777" w:rsidR="00274429" w:rsidRDefault="00274429" w:rsidP="00544CB7">
          <w:pPr>
            <w:spacing w:after="0"/>
            <w:jc w:val="both"/>
            <w:rPr>
              <w:rFonts w:ascii="Times New Roman" w:hAnsi="Times New Roman"/>
              <w:sz w:val="24"/>
              <w:szCs w:val="24"/>
            </w:rPr>
          </w:pPr>
          <w:r w:rsidRPr="00521A07">
            <w:rPr>
              <w:rFonts w:ascii="Times New Roman" w:hAnsi="Times New Roman"/>
              <w:b/>
              <w:bCs/>
              <w:sz w:val="24"/>
              <w:szCs w:val="24"/>
            </w:rPr>
            <w:t>Fecha de finalización estimada:</w:t>
          </w:r>
          <w:r>
            <w:rPr>
              <w:rFonts w:ascii="Times New Roman" w:hAnsi="Times New Roman"/>
              <w:b/>
              <w:bCs/>
              <w:sz w:val="24"/>
              <w:szCs w:val="24"/>
            </w:rPr>
            <w:t xml:space="preserve"> </w:t>
          </w:r>
          <w:r>
            <w:rPr>
              <w:rFonts w:ascii="Times New Roman" w:hAnsi="Times New Roman"/>
              <w:sz w:val="24"/>
              <w:szCs w:val="24"/>
            </w:rPr>
            <w:t>29/09/2035</w:t>
          </w:r>
        </w:p>
        <w:p w14:paraId="5C1C44C4" w14:textId="77777777" w:rsidR="00274429" w:rsidRPr="009A46BB" w:rsidRDefault="00274429" w:rsidP="00544CB7">
          <w:pPr>
            <w:spacing w:after="0"/>
            <w:jc w:val="both"/>
            <w:rPr>
              <w:rFonts w:ascii="Times New Roman" w:hAnsi="Times New Roman"/>
            </w:rPr>
          </w:pPr>
          <w:r w:rsidRPr="00521A07">
            <w:rPr>
              <w:rFonts w:ascii="Times New Roman" w:hAnsi="Times New Roman"/>
              <w:b/>
              <w:bCs/>
              <w:sz w:val="24"/>
              <w:szCs w:val="24"/>
            </w:rPr>
            <w:t>Tipo ID:</w:t>
          </w:r>
          <w:r>
            <w:rPr>
              <w:rFonts w:ascii="Times New Roman" w:hAnsi="Times New Roman"/>
              <w:b/>
              <w:bCs/>
              <w:sz w:val="24"/>
              <w:szCs w:val="24"/>
            </w:rPr>
            <w:t xml:space="preserve"> NIT</w:t>
          </w:r>
        </w:p>
        <w:p w14:paraId="4386FAC1" w14:textId="77777777" w:rsidR="00274429" w:rsidRPr="00D46974" w:rsidRDefault="00274429" w:rsidP="00544CB7">
          <w:pPr>
            <w:spacing w:after="0"/>
            <w:rPr>
              <w:rFonts w:ascii="Times New Roman" w:hAnsi="Times New Roman"/>
              <w:sz w:val="24"/>
              <w:szCs w:val="24"/>
            </w:rPr>
          </w:pPr>
          <w:r w:rsidRPr="00521A07">
            <w:rPr>
              <w:rFonts w:ascii="Times New Roman" w:hAnsi="Times New Roman"/>
              <w:b/>
              <w:bCs/>
              <w:sz w:val="24"/>
              <w:szCs w:val="24"/>
            </w:rPr>
            <w:t>Número ID:</w:t>
          </w:r>
          <w:r>
            <w:rPr>
              <w:rFonts w:ascii="Times New Roman" w:hAnsi="Times New Roman"/>
              <w:b/>
              <w:bCs/>
              <w:sz w:val="24"/>
              <w:szCs w:val="24"/>
            </w:rPr>
            <w:t xml:space="preserve"> </w:t>
          </w:r>
          <w:r w:rsidRPr="00D46974">
            <w:rPr>
              <w:rFonts w:ascii="Times New Roman" w:hAnsi="Times New Roman"/>
              <w:sz w:val="24"/>
              <w:szCs w:val="24"/>
            </w:rPr>
            <w:t>800.033.858-6</w:t>
          </w:r>
        </w:p>
        <w:p w14:paraId="2C4EA764" w14:textId="12333324" w:rsidR="00274429" w:rsidRPr="007B405E" w:rsidRDefault="00274429" w:rsidP="00544CB7">
          <w:pPr>
            <w:spacing w:after="0"/>
            <w:rPr>
              <w:rFonts w:ascii="Times New Roman" w:hAnsi="Times New Roman"/>
              <w:sz w:val="24"/>
              <w:szCs w:val="24"/>
            </w:rPr>
          </w:pPr>
          <w:r w:rsidRPr="00521A07">
            <w:rPr>
              <w:rFonts w:ascii="Times New Roman" w:hAnsi="Times New Roman"/>
              <w:b/>
              <w:bCs/>
              <w:sz w:val="24"/>
              <w:szCs w:val="24"/>
            </w:rPr>
            <w:t>Razón social del concesionario:</w:t>
          </w:r>
          <w:r w:rsidR="44AC7A46" w:rsidRPr="10D44305">
            <w:rPr>
              <w:rFonts w:ascii="Times New Roman" w:hAnsi="Times New Roman"/>
              <w:b/>
              <w:bCs/>
              <w:sz w:val="24"/>
              <w:szCs w:val="24"/>
            </w:rPr>
            <w:t xml:space="preserve"> </w:t>
          </w:r>
          <w:r w:rsidRPr="007B405E">
            <w:rPr>
              <w:rFonts w:ascii="Times New Roman" w:hAnsi="Times New Roman"/>
              <w:sz w:val="24"/>
              <w:szCs w:val="24"/>
            </w:rPr>
            <w:t>Sociedad Portuaria el Cayao S.A</w:t>
          </w:r>
        </w:p>
        <w:p w14:paraId="607862AB" w14:textId="08B53120" w:rsidR="00274429" w:rsidRPr="00982DFC" w:rsidRDefault="00274429" w:rsidP="00544CB7">
          <w:pPr>
            <w:spacing w:after="0"/>
            <w:rPr>
              <w:rFonts w:ascii="Times New Roman" w:hAnsi="Times New Roman"/>
              <w:sz w:val="24"/>
              <w:szCs w:val="24"/>
            </w:rPr>
          </w:pPr>
          <w:r w:rsidRPr="00521A07">
            <w:rPr>
              <w:rFonts w:ascii="Times New Roman" w:hAnsi="Times New Roman"/>
              <w:b/>
              <w:bCs/>
              <w:sz w:val="24"/>
              <w:szCs w:val="24"/>
            </w:rPr>
            <w:t>Nombre del proyecto:</w:t>
          </w:r>
          <w:r w:rsidR="73C6E6DE" w:rsidRPr="10D44305">
            <w:rPr>
              <w:rFonts w:ascii="Times New Roman" w:hAnsi="Times New Roman"/>
              <w:b/>
              <w:bCs/>
              <w:sz w:val="24"/>
              <w:szCs w:val="24"/>
            </w:rPr>
            <w:t xml:space="preserve"> </w:t>
          </w:r>
          <w:r w:rsidRPr="007B405E">
            <w:rPr>
              <w:rFonts w:ascii="Times New Roman" w:hAnsi="Times New Roman"/>
              <w:sz w:val="24"/>
              <w:szCs w:val="24"/>
            </w:rPr>
            <w:t>Sociedad Portuaria el Cayao S.A</w:t>
          </w:r>
        </w:p>
        <w:p w14:paraId="06EFA908" w14:textId="77777777" w:rsidR="00544CB7" w:rsidRPr="009A46BB" w:rsidRDefault="00544CB7" w:rsidP="00544CB7">
          <w:pPr>
            <w:spacing w:after="0"/>
            <w:rPr>
              <w:rFonts w:ascii="Times New Roman" w:hAnsi="Times New Roman"/>
              <w:sz w:val="24"/>
              <w:szCs w:val="24"/>
            </w:rPr>
          </w:pPr>
        </w:p>
        <w:p w14:paraId="056E34EF" w14:textId="77777777" w:rsidR="00274429" w:rsidRPr="003A32AC" w:rsidRDefault="00274429" w:rsidP="00E60BAB">
          <w:pPr>
            <w:pStyle w:val="Prrafodelista"/>
            <w:numPr>
              <w:ilvl w:val="0"/>
              <w:numId w:val="127"/>
            </w:numPr>
            <w:spacing w:line="259" w:lineRule="auto"/>
            <w:jc w:val="both"/>
            <w:rPr>
              <w:rFonts w:ascii="Times New Roman" w:hAnsi="Times New Roman"/>
              <w:b/>
              <w:bCs/>
              <w:sz w:val="24"/>
              <w:szCs w:val="24"/>
            </w:rPr>
          </w:pPr>
          <w:r w:rsidRPr="003A32AC">
            <w:rPr>
              <w:rFonts w:ascii="Times New Roman" w:hAnsi="Times New Roman"/>
              <w:b/>
              <w:bCs/>
              <w:sz w:val="24"/>
              <w:szCs w:val="24"/>
            </w:rPr>
            <w:t>Términos significativos del acuerdo que puedan afectar su valor, el calendario y la certeza de los flujos</w:t>
          </w:r>
        </w:p>
        <w:p w14:paraId="6FF15D22" w14:textId="04A9B023"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valor:</w:t>
          </w:r>
        </w:p>
        <w:p w14:paraId="198ED6EB" w14:textId="77777777" w:rsidR="00274429" w:rsidRDefault="00274429" w:rsidP="00274429">
          <w:pPr>
            <w:jc w:val="both"/>
            <w:rPr>
              <w:rFonts w:ascii="Times New Roman" w:hAnsi="Times New Roman"/>
              <w:sz w:val="24"/>
              <w:szCs w:val="24"/>
            </w:rPr>
          </w:pPr>
          <w:r w:rsidRPr="00FC7585">
            <w:rPr>
              <w:rFonts w:ascii="Times New Roman" w:hAnsi="Times New Roman"/>
              <w:b/>
              <w:bCs/>
              <w:sz w:val="24"/>
              <w:szCs w:val="24"/>
            </w:rPr>
            <w:t xml:space="preserve">Tarifas: </w:t>
          </w:r>
          <w:r w:rsidRPr="00201D09">
            <w:rPr>
              <w:rFonts w:ascii="Times New Roman" w:hAnsi="Times New Roman"/>
              <w:sz w:val="24"/>
              <w:szCs w:val="24"/>
            </w:rPr>
            <w:t>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w:t>
          </w:r>
        </w:p>
        <w:p w14:paraId="17D7A8B3" w14:textId="7BFEBCB9" w:rsidR="00274429" w:rsidRDefault="00274429" w:rsidP="00274429">
          <w:pPr>
            <w:jc w:val="both"/>
            <w:rPr>
              <w:rFonts w:ascii="Times New Roman" w:hAnsi="Times New Roman"/>
              <w:sz w:val="24"/>
              <w:szCs w:val="24"/>
            </w:rPr>
          </w:pPr>
          <w:r w:rsidRPr="009A46BB">
            <w:rPr>
              <w:rFonts w:ascii="Times New Roman" w:hAnsi="Times New Roman"/>
              <w:b/>
            </w:rPr>
            <w:t>Contraprestación portuaria</w:t>
          </w:r>
          <w:r w:rsidRPr="009A46BB">
            <w:rPr>
              <w:rFonts w:ascii="Times New Roman" w:hAnsi="Times New Roman"/>
            </w:rPr>
            <w:t xml:space="preserve">: </w:t>
          </w:r>
          <w:r w:rsidRPr="00D616A3">
            <w:rPr>
              <w:rFonts w:ascii="Times New Roman" w:hAnsi="Times New Roman"/>
              <w:sz w:val="24"/>
              <w:szCs w:val="24"/>
            </w:rPr>
            <w:t>De acuerdo con el último documento contractual vigente la metodología de contraprestación vigente es CONPES 3744 de 2013 (Componentes Fijo y Variable). A febrero de 2023 el CONCESIONARIO debió pagar la suma de USD $454.132 por contraprestación.</w:t>
          </w:r>
          <w:r w:rsidR="616F1550" w:rsidRPr="10D44305">
            <w:rPr>
              <w:rFonts w:ascii="Times New Roman" w:hAnsi="Times New Roman"/>
              <w:sz w:val="24"/>
              <w:szCs w:val="24"/>
            </w:rPr>
            <w:t xml:space="preserve"> </w:t>
          </w:r>
          <w:r w:rsidRPr="00D616A3">
            <w:rPr>
              <w:rFonts w:ascii="Times New Roman" w:hAnsi="Times New Roman"/>
              <w:sz w:val="24"/>
              <w:szCs w:val="24"/>
            </w:rPr>
            <w:t>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distrito de Cartagena</w:t>
          </w:r>
        </w:p>
        <w:p w14:paraId="476F9EC3" w14:textId="77777777" w:rsidR="00274429" w:rsidRDefault="00274429" w:rsidP="00274429">
          <w:pPr>
            <w:jc w:val="both"/>
            <w:rPr>
              <w:rStyle w:val="Estilo3"/>
            </w:rPr>
          </w:pPr>
          <w:r w:rsidRPr="00A93D24">
            <w:rPr>
              <w:rStyle w:val="Estilo3"/>
              <w:b/>
              <w:bCs/>
            </w:rPr>
            <w:t>Plan de Inversiones:</w:t>
          </w:r>
          <w:r w:rsidRPr="00840555">
            <w:rPr>
              <w:rStyle w:val="Estilo3"/>
            </w:rPr>
            <w:t xml:space="preserve"> </w:t>
          </w:r>
          <w:r w:rsidRPr="00013A8F">
            <w:rPr>
              <w:rStyle w:val="Estilo3"/>
            </w:rPr>
            <w:t>Está establecido en la cláusula decimotercera del contrato, el plan de inversión será de USD $38.170.000.</w:t>
          </w:r>
        </w:p>
        <w:p w14:paraId="202A8079" w14:textId="77777777" w:rsidR="00274429" w:rsidRPr="009A46BB" w:rsidRDefault="00274429" w:rsidP="00274429">
          <w:pPr>
            <w:jc w:val="both"/>
            <w:rPr>
              <w:rFonts w:ascii="Times New Roman" w:hAnsi="Times New Roman"/>
            </w:rPr>
          </w:pPr>
          <w:r w:rsidRPr="009A46BB">
            <w:rPr>
              <w:rFonts w:ascii="Times New Roman" w:hAnsi="Times New Roman"/>
            </w:rPr>
            <w:t xml:space="preserve">Obligaciones del CONCESIONARIO: Se encuentran descritas en la cláusula vigésima primera. </w:t>
          </w:r>
        </w:p>
        <w:p w14:paraId="198F6F70" w14:textId="77777777" w:rsidR="00274429" w:rsidRPr="009A46BB" w:rsidRDefault="00274429" w:rsidP="00274429">
          <w:pPr>
            <w:jc w:val="both"/>
            <w:rPr>
              <w:rFonts w:ascii="Times New Roman" w:hAnsi="Times New Roman"/>
            </w:rPr>
          </w:pPr>
          <w:r w:rsidRPr="009A46BB">
            <w:rPr>
              <w:rFonts w:ascii="Times New Roman" w:hAnsi="Times New Roman"/>
            </w:rPr>
            <w:t>Multas y sanciones: Están establecidas en la cláusula vigésima cuarta.</w:t>
          </w:r>
        </w:p>
        <w:p w14:paraId="2EB2C81F" w14:textId="77777777" w:rsidR="00274429" w:rsidRPr="009A46BB" w:rsidRDefault="00274429" w:rsidP="00274429">
          <w:pPr>
            <w:jc w:val="both"/>
            <w:rPr>
              <w:rFonts w:ascii="Times New Roman" w:hAnsi="Times New Roman"/>
            </w:rPr>
          </w:pPr>
          <w:r w:rsidRPr="009A46BB">
            <w:rPr>
              <w:rFonts w:ascii="Times New Roman" w:hAnsi="Times New Roman"/>
            </w:rPr>
            <w:lastRenderedPageBreak/>
            <w:t>Penal pecuniario: En la cláusula vigésima quinta se establece que en el evento en que CONCEDENTE declare la caducidad o el incumplimiento del presente contrato se podrá imponer una penalidad pecuniaria.</w:t>
          </w:r>
        </w:p>
        <w:p w14:paraId="1BB41C17" w14:textId="77777777" w:rsidR="00274429" w:rsidRPr="009A46BB" w:rsidRDefault="00274429" w:rsidP="00274429">
          <w:pPr>
            <w:jc w:val="both"/>
            <w:rPr>
              <w:rFonts w:ascii="Times New Roman" w:hAnsi="Times New Roman"/>
            </w:rPr>
          </w:pPr>
          <w:r w:rsidRPr="009A46BB">
            <w:rPr>
              <w:rFonts w:ascii="Times New Roman" w:hAnsi="Times New Roman"/>
            </w:rPr>
            <w:t>Riesgos: Están descritos en la cláusula décimo-octava, el asume los efectos derivados de los riesgos enlistados en el contrato, además de aquellos que se desprendan de otras clausulas o estipulaciones del contrato y de sus anexos o que se deriven de la naturaleza de este contrato. No procederá reclamaciones del CONCESIONARIO basadas en el acaecimiento de algunos de los riesgos que fueron asumidos.</w:t>
          </w:r>
        </w:p>
        <w:p w14:paraId="67A65520" w14:textId="77777777" w:rsidR="00274429" w:rsidRDefault="00274429" w:rsidP="00274429">
          <w:pPr>
            <w:jc w:val="both"/>
            <w:rPr>
              <w:rFonts w:ascii="Times New Roman" w:hAnsi="Times New Roman"/>
              <w:b/>
              <w:bCs/>
              <w:sz w:val="24"/>
              <w:szCs w:val="24"/>
            </w:rPr>
          </w:pPr>
          <w:r w:rsidRPr="004C1095">
            <w:rPr>
              <w:rFonts w:ascii="Times New Roman" w:hAnsi="Times New Roman"/>
              <w:b/>
              <w:bCs/>
              <w:sz w:val="24"/>
              <w:szCs w:val="24"/>
            </w:rPr>
            <w:t>Términos de calendario:</w:t>
          </w:r>
        </w:p>
        <w:p w14:paraId="731CA45C" w14:textId="77777777" w:rsidR="00274429" w:rsidRPr="00613199" w:rsidRDefault="00274429" w:rsidP="00274429">
          <w:pPr>
            <w:jc w:val="both"/>
            <w:rPr>
              <w:rStyle w:val="Estilo3"/>
            </w:rPr>
          </w:pPr>
          <w:r w:rsidRPr="00613199">
            <w:rPr>
              <w:rStyle w:val="Estilo3"/>
            </w:rPr>
            <w:t>Tarifas: Las sociedades portuarias que operan puertos de servicio público las tarifas requieren ser aprobadas según la metodología establecida por la Superintendencia General de Puertos hoy Superintendencia de Transporte</w:t>
          </w:r>
        </w:p>
        <w:p w14:paraId="2CDA414E" w14:textId="77777777" w:rsidR="00274429" w:rsidRPr="00613199" w:rsidRDefault="00274429" w:rsidP="00274429">
          <w:pPr>
            <w:jc w:val="both"/>
            <w:rPr>
              <w:rStyle w:val="Estilo3"/>
            </w:rPr>
          </w:pPr>
          <w:r w:rsidRPr="00613199">
            <w:rPr>
              <w:rStyle w:val="Estilo3"/>
            </w:rPr>
            <w:t>Contraprestación portuaria:</w:t>
          </w:r>
          <w:r>
            <w:rPr>
              <w:rStyle w:val="Estilo3"/>
            </w:rPr>
            <w:t xml:space="preserve"> </w:t>
          </w:r>
          <w:r w:rsidRPr="00613199">
            <w:rPr>
              <w:rStyle w:val="Estilo3"/>
            </w:rPr>
            <w:t>Contraprestación portuaria: Anexo 2 Conpes 3744 de 2013 “(…) Antes de finalizar los meses de febrero cada concesionario deberá corregir su liquidación del año anterior según el movimiento de carga real y la indexación del valor de referencia por metro cuadrado, del avalúo de la infraestructura concesionada y de los cargos, así como realizar el pago anticipado del año en curso con base en lo proyectado en el FCL definitivo”</w:t>
          </w:r>
        </w:p>
        <w:p w14:paraId="4C0805C2" w14:textId="77777777" w:rsidR="00274429" w:rsidRPr="00613199" w:rsidRDefault="00274429" w:rsidP="00274429">
          <w:pPr>
            <w:jc w:val="both"/>
            <w:rPr>
              <w:rStyle w:val="Estilo3"/>
            </w:rPr>
          </w:pPr>
          <w:r w:rsidRPr="00613199">
            <w:rPr>
              <w:rStyle w:val="Estilo3"/>
            </w:rPr>
            <w:t>Plan de inversiones: Se establecido en la cláusula decimotercera del contrato No. 001 de 2015 ejecución de inversiones en el periodo de tiempo comprendido entre los años 2015 a 2018.</w:t>
          </w:r>
        </w:p>
        <w:p w14:paraId="6AD1B4B2" w14:textId="77777777" w:rsidR="00274429" w:rsidRPr="00613199" w:rsidRDefault="00274429" w:rsidP="00274429">
          <w:pPr>
            <w:jc w:val="both"/>
            <w:rPr>
              <w:rStyle w:val="Estilo3"/>
            </w:rPr>
          </w:pPr>
          <w:r w:rsidRPr="00613199">
            <w:rPr>
              <w:rStyle w:val="Estilo3"/>
            </w:rPr>
            <w:t>Multas: Están establecidas en la cláusula vigésima cuarta del contrato.</w:t>
          </w:r>
        </w:p>
        <w:p w14:paraId="0A0E0CF9" w14:textId="77777777"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certeza de flujos de efectivo futuros:</w:t>
          </w:r>
          <w:r>
            <w:rPr>
              <w:rFonts w:ascii="Times New Roman" w:hAnsi="Times New Roman"/>
              <w:b/>
              <w:bCs/>
              <w:sz w:val="24"/>
              <w:szCs w:val="24"/>
            </w:rPr>
            <w:t xml:space="preserve"> </w:t>
          </w:r>
        </w:p>
        <w:p w14:paraId="58146D1E" w14:textId="77777777" w:rsidR="00274429" w:rsidRPr="009A46BB" w:rsidRDefault="00274429" w:rsidP="00274429">
          <w:pPr>
            <w:jc w:val="both"/>
            <w:rPr>
              <w:rFonts w:ascii="Times New Roman" w:hAnsi="Times New Roman"/>
            </w:rPr>
          </w:pPr>
          <w:r w:rsidRPr="009A46BB">
            <w:rPr>
              <w:rFonts w:ascii="Times New Roman" w:hAnsi="Times New Roman"/>
            </w:rPr>
            <w:t>Se otorga a EL CONCESIONARIO una concesión para que ocupe en forma temporal y exclusiva los bienes de uso público descritos en la CLÁUSULA 2 BIENES CONCESIONADOS, a cambio de una contraprestación económica.</w:t>
          </w:r>
        </w:p>
        <w:p w14:paraId="22AB0EBD" w14:textId="77777777" w:rsidR="00274429" w:rsidRPr="009A46BB" w:rsidRDefault="00274429" w:rsidP="00274429">
          <w:pPr>
            <w:jc w:val="both"/>
            <w:rPr>
              <w:rFonts w:ascii="Times New Roman" w:hAnsi="Times New Roman"/>
            </w:rPr>
          </w:pPr>
          <w:r w:rsidRPr="009A46BB">
            <w:rPr>
              <w:rFonts w:ascii="Times New Roman" w:hAnsi="Times New Roman"/>
            </w:rPr>
            <w:t>Cláusula decimocuarta parágrafo sexto del contrato, De dicho pago el 80% la corresponde a la Nación -Instituto Nacional de Vías y el 20% restante al Municipio de Cartagena de Indias- Departamento de Bolívar-, de acuerdo con lo establecido en el parágrafo 1º de la Ley 856 del 21 de diciembre de 2003, que modifica el artículo 7º de la Ley 1ª de 1991.</w:t>
          </w:r>
        </w:p>
        <w:p w14:paraId="17611F49" w14:textId="77777777" w:rsidR="00274429" w:rsidRPr="005C2A29" w:rsidRDefault="00274429" w:rsidP="00E60BAB">
          <w:pPr>
            <w:pStyle w:val="Prrafodelista"/>
            <w:numPr>
              <w:ilvl w:val="0"/>
              <w:numId w:val="127"/>
            </w:numPr>
            <w:spacing w:line="259" w:lineRule="auto"/>
            <w:jc w:val="both"/>
            <w:rPr>
              <w:rFonts w:ascii="Times New Roman" w:hAnsi="Times New Roman"/>
              <w:b/>
              <w:bCs/>
              <w:sz w:val="24"/>
              <w:szCs w:val="24"/>
            </w:rPr>
          </w:pPr>
          <w:r w:rsidRPr="005C2A29">
            <w:rPr>
              <w:rFonts w:ascii="Times New Roman" w:hAnsi="Times New Roman"/>
              <w:b/>
              <w:bCs/>
              <w:sz w:val="24"/>
              <w:szCs w:val="24"/>
            </w:rPr>
            <w:t>Naturaleza y alcance del derecho a utilizar activos especificados, de los aspectos pactados en torno a lo que se espera que el concesionario proporcione en relación con el acuerdo de concesión (Se requiere ser breves, precisos, y concisos en la redacción)</w:t>
          </w:r>
        </w:p>
        <w:p w14:paraId="03F9F6F6" w14:textId="77777777" w:rsidR="00274429" w:rsidRDefault="00274429" w:rsidP="00274429">
          <w:pPr>
            <w:jc w:val="both"/>
            <w:rPr>
              <w:rFonts w:ascii="Times New Roman" w:hAnsi="Times New Roman"/>
              <w:b/>
              <w:bCs/>
              <w:sz w:val="24"/>
              <w:szCs w:val="24"/>
            </w:rPr>
          </w:pPr>
          <w:r w:rsidRPr="00217110">
            <w:rPr>
              <w:rFonts w:ascii="Times New Roman" w:hAnsi="Times New Roman"/>
              <w:b/>
              <w:bCs/>
              <w:sz w:val="24"/>
              <w:szCs w:val="24"/>
            </w:rPr>
            <w:t>Naturaleza y alcance del derecho de uso de los activos</w:t>
          </w:r>
        </w:p>
        <w:p w14:paraId="2783DAC4" w14:textId="5AE6E104" w:rsidR="00274429" w:rsidRDefault="00274429" w:rsidP="00274429">
          <w:pPr>
            <w:jc w:val="both"/>
            <w:rPr>
              <w:rFonts w:ascii="Times New Roman" w:hAnsi="Times New Roman"/>
              <w:b/>
              <w:bCs/>
              <w:sz w:val="24"/>
              <w:szCs w:val="24"/>
            </w:rPr>
          </w:pPr>
          <w:r w:rsidRPr="003E5FA9">
            <w:rPr>
              <w:rFonts w:ascii="Times New Roman" w:hAnsi="Times New Roman"/>
              <w:b/>
              <w:bCs/>
              <w:sz w:val="24"/>
              <w:szCs w:val="24"/>
            </w:rPr>
            <w:t>Descripción:</w:t>
          </w:r>
        </w:p>
        <w:p w14:paraId="086C48CE" w14:textId="66532E58" w:rsidR="00274429" w:rsidRPr="009A46BB" w:rsidRDefault="00274429" w:rsidP="00274429">
          <w:pPr>
            <w:jc w:val="both"/>
            <w:rPr>
              <w:rFonts w:ascii="Times New Roman" w:hAnsi="Times New Roman"/>
            </w:rPr>
          </w:pPr>
          <w:r w:rsidRPr="009A46BB">
            <w:rPr>
              <w:rFonts w:ascii="Times New Roman" w:hAnsi="Times New Roman"/>
            </w:rPr>
            <w:t>Descripción del proyecto, especificaciones técnicas, modalidades de operación: las condiciones especiales de operación del puerto están establecidas en la cláusula sexta del Contrato de Concesión.</w:t>
          </w:r>
        </w:p>
        <w:p w14:paraId="3D31B1C5" w14:textId="2025C248" w:rsidR="00274429" w:rsidRPr="009A46BB" w:rsidRDefault="00274429" w:rsidP="00274429">
          <w:pPr>
            <w:jc w:val="both"/>
            <w:rPr>
              <w:rFonts w:ascii="Times New Roman" w:hAnsi="Times New Roman"/>
            </w:rPr>
          </w:pPr>
          <w:r w:rsidRPr="009A46BB">
            <w:rPr>
              <w:rFonts w:ascii="Times New Roman" w:hAnsi="Times New Roman"/>
            </w:rPr>
            <w:t xml:space="preserve"> Área entregada en concesión: La descripción de la ubicación, linderos y extensión de los bienes de uso público (playas y terrenos de baja mar, zonas marítimas accesorias de maniobras) entregados en concesión están establecidos en la cláusula cuarta del Contrato de Concesión.</w:t>
          </w:r>
        </w:p>
        <w:p w14:paraId="367DAF7A" w14:textId="77777777" w:rsidR="00274429" w:rsidRPr="007A403F" w:rsidRDefault="00274429" w:rsidP="00274429">
          <w:pPr>
            <w:jc w:val="both"/>
            <w:rPr>
              <w:rFonts w:ascii="Times New Roman" w:hAnsi="Times New Roman"/>
              <w:sz w:val="24"/>
              <w:szCs w:val="24"/>
            </w:rPr>
          </w:pPr>
          <w:r w:rsidRPr="003E5FA9">
            <w:rPr>
              <w:rFonts w:ascii="Times New Roman" w:hAnsi="Times New Roman"/>
              <w:b/>
              <w:bCs/>
              <w:sz w:val="24"/>
              <w:szCs w:val="24"/>
            </w:rPr>
            <w:lastRenderedPageBreak/>
            <w:t>Observaciones:</w:t>
          </w:r>
          <w:r>
            <w:rPr>
              <w:rFonts w:ascii="Times New Roman" w:hAnsi="Times New Roman"/>
              <w:b/>
              <w:bCs/>
              <w:sz w:val="24"/>
              <w:szCs w:val="24"/>
            </w:rPr>
            <w:t xml:space="preserve"> </w:t>
          </w:r>
          <w:r>
            <w:rPr>
              <w:rFonts w:ascii="Times New Roman" w:hAnsi="Times New Roman"/>
              <w:sz w:val="24"/>
              <w:szCs w:val="24"/>
            </w:rPr>
            <w:t>NA</w:t>
          </w:r>
          <w:r w:rsidRPr="007A403F">
            <w:rPr>
              <w:rFonts w:ascii="Times New Roman" w:hAnsi="Times New Roman"/>
              <w:sz w:val="24"/>
              <w:szCs w:val="24"/>
            </w:rPr>
            <w:t xml:space="preserve">. </w:t>
          </w:r>
        </w:p>
        <w:p w14:paraId="0EC1BE27" w14:textId="77777777" w:rsidR="00274429" w:rsidRDefault="00274429" w:rsidP="00274429">
          <w:pPr>
            <w:jc w:val="both"/>
            <w:rPr>
              <w:rFonts w:ascii="Times New Roman" w:hAnsi="Times New Roman"/>
              <w:b/>
              <w:bCs/>
              <w:sz w:val="24"/>
              <w:szCs w:val="24"/>
            </w:rPr>
          </w:pPr>
          <w:r>
            <w:rPr>
              <w:rFonts w:ascii="Times New Roman" w:hAnsi="Times New Roman"/>
              <w:b/>
              <w:bCs/>
              <w:sz w:val="24"/>
              <w:szCs w:val="24"/>
            </w:rPr>
            <w:t>Retribución al Concesionario</w:t>
          </w:r>
        </w:p>
        <w:p w14:paraId="39A8A80C" w14:textId="77777777" w:rsidR="00274429" w:rsidRPr="009A46BB" w:rsidRDefault="00274429" w:rsidP="00274429">
          <w:pPr>
            <w:jc w:val="both"/>
            <w:rPr>
              <w:rFonts w:ascii="Times New Roman" w:hAnsi="Times New Roman"/>
            </w:rPr>
          </w:pPr>
          <w:r w:rsidRPr="009A46BB">
            <w:rPr>
              <w:rFonts w:ascii="Times New Roman" w:hAnsi="Times New Roman"/>
              <w:b/>
            </w:rPr>
            <w:t xml:space="preserve">Descripción: </w:t>
          </w:r>
          <w:r w:rsidRPr="009A46BB">
            <w:rPr>
              <w:rFonts w:ascii="Times New Roman" w:hAnsi="Times New Roman"/>
            </w:rPr>
            <w:t>Se otorga a EL CONCESIONARIO una concesión para que ocupe en forma temporal y exclusiva los bienes de uso público descritos en la CLÁUSULA 2 BIENES CONCESIONADOS, a cambio de una contraprestación económica.</w:t>
          </w:r>
        </w:p>
        <w:p w14:paraId="1643B1F3" w14:textId="77777777" w:rsidR="00274429" w:rsidRPr="00351837" w:rsidRDefault="00274429" w:rsidP="00274429">
          <w:pPr>
            <w:jc w:val="both"/>
            <w:rPr>
              <w:rFonts w:ascii="Times New Roman" w:hAnsi="Times New Roman"/>
              <w:b/>
              <w:bCs/>
              <w:sz w:val="24"/>
              <w:szCs w:val="24"/>
            </w:rPr>
          </w:pPr>
          <w:r>
            <w:rPr>
              <w:rFonts w:ascii="Times New Roman" w:hAnsi="Times New Roman"/>
              <w:b/>
              <w:bCs/>
              <w:sz w:val="24"/>
              <w:szCs w:val="24"/>
            </w:rPr>
            <w:t>Tasa de retribución: NA</w:t>
          </w:r>
        </w:p>
        <w:p w14:paraId="3E0E65BC" w14:textId="77777777" w:rsidR="00274429" w:rsidRPr="00421699" w:rsidRDefault="00274429" w:rsidP="00E60BAB">
          <w:pPr>
            <w:pStyle w:val="Prrafodelista"/>
            <w:numPr>
              <w:ilvl w:val="0"/>
              <w:numId w:val="127"/>
            </w:numPr>
            <w:spacing w:line="259" w:lineRule="auto"/>
            <w:jc w:val="both"/>
            <w:rPr>
              <w:rFonts w:ascii="Times New Roman" w:hAnsi="Times New Roman"/>
              <w:b/>
              <w:bCs/>
              <w:sz w:val="24"/>
              <w:szCs w:val="24"/>
            </w:rPr>
          </w:pPr>
          <w:r w:rsidRPr="00421699">
            <w:rPr>
              <w:rFonts w:ascii="Times New Roman" w:hAnsi="Times New Roman"/>
              <w:b/>
              <w:bCs/>
              <w:sz w:val="24"/>
              <w:szCs w:val="24"/>
            </w:rPr>
            <w:t>Derechos a recibir activos especificados al final del acuerdo de concesión</w:t>
          </w:r>
        </w:p>
        <w:p w14:paraId="4961A873" w14:textId="77777777" w:rsidR="00274429" w:rsidRPr="00195D7C" w:rsidRDefault="00274429" w:rsidP="00274429">
          <w:pPr>
            <w:jc w:val="both"/>
            <w:rPr>
              <w:rFonts w:ascii="Times New Roman" w:hAnsi="Times New Roman"/>
              <w:sz w:val="24"/>
              <w:szCs w:val="24"/>
            </w:rPr>
          </w:pPr>
          <w:r w:rsidRPr="006D56DF">
            <w:rPr>
              <w:rFonts w:ascii="Times New Roman" w:hAnsi="Times New Roman"/>
              <w:b/>
              <w:bCs/>
              <w:sz w:val="24"/>
              <w:szCs w:val="24"/>
            </w:rPr>
            <w:t>Descripción:</w:t>
          </w:r>
          <w:r>
            <w:rPr>
              <w:rFonts w:ascii="Times New Roman" w:hAnsi="Times New Roman"/>
              <w:b/>
              <w:bCs/>
              <w:sz w:val="24"/>
              <w:szCs w:val="24"/>
            </w:rPr>
            <w:t xml:space="preserve"> </w:t>
          </w:r>
          <w:r w:rsidRPr="00FD4B4A">
            <w:rPr>
              <w:rFonts w:ascii="Times New Roman" w:hAnsi="Times New Roman"/>
              <w:sz w:val="24"/>
              <w:szCs w:val="24"/>
            </w:rPr>
            <w:t>De acuerdo con el Artículo 8º de la Ley 1 de 1991 en el modo portuario el concesionario no tiene derechos finales sobre activos, los debe revertir a la Nación al final del contrato de concesión.</w:t>
          </w:r>
        </w:p>
        <w:p w14:paraId="428824BC" w14:textId="77777777" w:rsidR="00274429" w:rsidRPr="00351837" w:rsidRDefault="00274429" w:rsidP="00274429">
          <w:pPr>
            <w:rPr>
              <w:rFonts w:ascii="Times New Roman" w:hAnsi="Times New Roman"/>
              <w:sz w:val="24"/>
              <w:szCs w:val="24"/>
            </w:rPr>
          </w:pPr>
          <w:r w:rsidRPr="006D56DF">
            <w:rPr>
              <w:rFonts w:ascii="Times New Roman" w:hAnsi="Times New Roman"/>
              <w:b/>
              <w:bCs/>
              <w:sz w:val="24"/>
              <w:szCs w:val="24"/>
            </w:rPr>
            <w:t>Observaciones:</w:t>
          </w:r>
          <w:r w:rsidRPr="009A46BB">
            <w:rPr>
              <w:rFonts w:ascii="Times New Roman" w:hAnsi="Times New Roman"/>
            </w:rPr>
            <w:t xml:space="preserve"> </w:t>
          </w:r>
        </w:p>
        <w:p w14:paraId="7BF61BC8" w14:textId="639B159A" w:rsidR="00274429" w:rsidRPr="00201229" w:rsidRDefault="00274429" w:rsidP="00274429">
          <w:pPr>
            <w:jc w:val="both"/>
            <w:rPr>
              <w:rFonts w:ascii="Times New Roman" w:hAnsi="Times New Roman"/>
              <w:sz w:val="24"/>
              <w:szCs w:val="24"/>
            </w:rPr>
          </w:pPr>
          <w:r w:rsidRPr="00201229">
            <w:rPr>
              <w:rFonts w:ascii="Times New Roman" w:hAnsi="Times New Roman"/>
              <w:sz w:val="24"/>
              <w:szCs w:val="24"/>
            </w:rPr>
            <w:t xml:space="preserve">Reversión: De acuerdo con lo establecido en la cláusula trigésimo quinta del contrato de concesión, la zona de uso público y todas las construcciones e inmuebles por destinación existentes, así como los que se autoricen por la ANI, levantadas y construidas en la zona de uso público que ha sido determinada o que se encuentre habitualmente instalada en ellas y afectadas a la concesión, serán revertidas gratuitamente por el CONCESIONARIO a la Nación- Instituto Nacional de Vías INVIAS conforme a lo dispuesto en el artículo 8 de la ley 1° de 1991,en buen estado de operación y mantenimiento al extinguirse el plazo de la misma o al ser declarada la caducidad. Dichos bienes deberán entregarse en buenas condiciones de operación tecnológica, mantenimiento y adecuada eficiencia al término de este contrato. </w:t>
          </w:r>
        </w:p>
        <w:p w14:paraId="2B94BF8B" w14:textId="77777777" w:rsidR="00274429" w:rsidRPr="00201229" w:rsidRDefault="00274429" w:rsidP="00274429">
          <w:pPr>
            <w:jc w:val="both"/>
            <w:rPr>
              <w:rFonts w:ascii="Times New Roman" w:hAnsi="Times New Roman"/>
              <w:sz w:val="24"/>
              <w:szCs w:val="24"/>
            </w:rPr>
          </w:pPr>
          <w:r w:rsidRPr="00201229">
            <w:rPr>
              <w:rFonts w:ascii="Times New Roman" w:hAnsi="Times New Roman"/>
              <w:sz w:val="24"/>
              <w:szCs w:val="24"/>
            </w:rPr>
            <w:t>Para tal fin, en el momento de la reversión el CONCESIONARIO deberá hacer entrega de un avaluó comercial actualizado y valoración técnica de las condiciones de operación de la infraestructura portuaria, equipos e inmuebles por destinación que habitualmente se encuentren instalados en las zonas de uso público que se revierten y que son propiedad de la Nación.</w:t>
          </w:r>
        </w:p>
        <w:p w14:paraId="048502F4" w14:textId="77777777" w:rsidR="00274429" w:rsidRPr="00201229" w:rsidRDefault="00274429" w:rsidP="00274429">
          <w:pPr>
            <w:jc w:val="both"/>
            <w:rPr>
              <w:rFonts w:ascii="Times New Roman" w:hAnsi="Times New Roman"/>
              <w:sz w:val="24"/>
              <w:szCs w:val="24"/>
            </w:rPr>
          </w:pPr>
          <w:r w:rsidRPr="00201229">
            <w:rPr>
              <w:rFonts w:ascii="Times New Roman" w:hAnsi="Times New Roman"/>
              <w:sz w:val="24"/>
              <w:szCs w:val="24"/>
            </w:rPr>
            <w:t>La ANI es la entidad concedente pero la titularidad de los activos al final de la concesión es del Instituto Nacional de Vías INVIAS.</w:t>
          </w:r>
        </w:p>
        <w:p w14:paraId="08763C65" w14:textId="3A5D68FA" w:rsidR="00274429" w:rsidRDefault="10457A34">
          <w:pPr>
            <w:pStyle w:val="Prrafodelista"/>
            <w:numPr>
              <w:ilvl w:val="0"/>
              <w:numId w:val="127"/>
            </w:numPr>
            <w:spacing w:line="259" w:lineRule="auto"/>
            <w:jc w:val="both"/>
            <w:rPr>
              <w:rFonts w:ascii="Times New Roman" w:hAnsi="Times New Roman"/>
              <w:b/>
              <w:bCs/>
              <w:sz w:val="24"/>
              <w:szCs w:val="24"/>
            </w:rPr>
          </w:pPr>
          <w:r w:rsidRPr="10D44305">
            <w:rPr>
              <w:rFonts w:ascii="Times New Roman" w:hAnsi="Times New Roman"/>
              <w:b/>
              <w:bCs/>
              <w:sz w:val="24"/>
              <w:szCs w:val="24"/>
            </w:rPr>
            <w:t>No hay c</w:t>
          </w:r>
          <w:r w:rsidR="00274429" w:rsidRPr="10D44305">
            <w:rPr>
              <w:rFonts w:ascii="Times New Roman" w:hAnsi="Times New Roman"/>
              <w:b/>
              <w:bCs/>
              <w:sz w:val="24"/>
              <w:szCs w:val="24"/>
            </w:rPr>
            <w:t>ambios</w:t>
          </w:r>
          <w:r w:rsidR="00274429" w:rsidRPr="00D42094">
            <w:rPr>
              <w:rFonts w:ascii="Times New Roman" w:hAnsi="Times New Roman"/>
              <w:b/>
              <w:bCs/>
              <w:sz w:val="24"/>
              <w:szCs w:val="24"/>
            </w:rPr>
            <w:t xml:space="preserve"> en el acuerdo de concesión que se realicen durante el periodo fiscal </w:t>
          </w:r>
        </w:p>
        <w:p w14:paraId="3C9B9D67" w14:textId="77777777" w:rsidR="00274429" w:rsidRPr="00197A12" w:rsidRDefault="00274429" w:rsidP="00D12C91">
          <w:pPr>
            <w:pStyle w:val="Prrafodelista"/>
            <w:jc w:val="both"/>
            <w:rPr>
              <w:rFonts w:ascii="Times New Roman" w:hAnsi="Times New Roman"/>
              <w:b/>
              <w:bCs/>
              <w:sz w:val="24"/>
              <w:szCs w:val="24"/>
            </w:rPr>
          </w:pPr>
        </w:p>
        <w:p w14:paraId="38F24286" w14:textId="77777777" w:rsidR="00274429" w:rsidRPr="00197A12" w:rsidRDefault="00274429" w:rsidP="00274429">
          <w:pPr>
            <w:spacing w:after="0" w:line="240" w:lineRule="auto"/>
            <w:jc w:val="both"/>
            <w:rPr>
              <w:rFonts w:ascii="Times New Roman" w:hAnsi="Times New Roman"/>
              <w:b/>
              <w:bCs/>
              <w:sz w:val="24"/>
              <w:szCs w:val="24"/>
            </w:rPr>
          </w:pPr>
        </w:p>
        <w:p w14:paraId="40EEDACF" w14:textId="77777777" w:rsidR="00274429" w:rsidRPr="00D5263E" w:rsidRDefault="00274429" w:rsidP="00274429">
          <w:pPr>
            <w:rPr>
              <w:rFonts w:ascii="Times New Roman" w:hAnsi="Times New Roman"/>
              <w:b/>
              <w:sz w:val="24"/>
              <w:szCs w:val="24"/>
            </w:rPr>
          </w:pPr>
          <w:r w:rsidRPr="10D44305">
            <w:rPr>
              <w:rFonts w:ascii="Times New Roman" w:hAnsi="Times New Roman"/>
              <w:b/>
              <w:bCs/>
              <w:sz w:val="24"/>
              <w:szCs w:val="24"/>
            </w:rPr>
            <w:t>SOCIEDAD COREMAR SHORE BASE S.A.</w:t>
          </w:r>
        </w:p>
        <w:p w14:paraId="264CFFA8" w14:textId="77777777" w:rsidR="00274429" w:rsidRPr="00926315" w:rsidRDefault="00274429" w:rsidP="00E60BAB">
          <w:pPr>
            <w:pStyle w:val="Prrafodelista"/>
            <w:numPr>
              <w:ilvl w:val="0"/>
              <w:numId w:val="128"/>
            </w:numPr>
            <w:spacing w:line="259" w:lineRule="auto"/>
            <w:jc w:val="both"/>
            <w:rPr>
              <w:rFonts w:ascii="Times New Roman" w:hAnsi="Times New Roman"/>
              <w:b/>
              <w:bCs/>
              <w:sz w:val="24"/>
              <w:szCs w:val="24"/>
            </w:rPr>
          </w:pPr>
          <w:r w:rsidRPr="00926315">
            <w:rPr>
              <w:rFonts w:ascii="Times New Roman" w:hAnsi="Times New Roman"/>
              <w:b/>
              <w:bCs/>
              <w:sz w:val="24"/>
              <w:szCs w:val="24"/>
            </w:rPr>
            <w:t>Descripción del acuerdo</w:t>
          </w:r>
        </w:p>
        <w:p w14:paraId="72F89C4E" w14:textId="1B63AA40" w:rsidR="00274429" w:rsidRPr="009A46BB" w:rsidRDefault="00274429" w:rsidP="10D44305">
          <w:pPr>
            <w:spacing w:after="0"/>
            <w:rPr>
              <w:rFonts w:ascii="Times New Roman" w:hAnsi="Times New Roman"/>
            </w:rPr>
          </w:pPr>
          <w:r w:rsidRPr="009A46BB">
            <w:rPr>
              <w:rFonts w:ascii="Times New Roman" w:hAnsi="Times New Roman"/>
              <w:b/>
            </w:rPr>
            <w:t>Número del acuerdo de concesión:</w:t>
          </w:r>
          <w:r w:rsidR="59953F29" w:rsidRPr="10D44305">
            <w:rPr>
              <w:rFonts w:ascii="Times New Roman" w:hAnsi="Times New Roman"/>
              <w:b/>
              <w:bCs/>
            </w:rPr>
            <w:t xml:space="preserve"> </w:t>
          </w:r>
          <w:r w:rsidRPr="009A46BB">
            <w:rPr>
              <w:rFonts w:ascii="Times New Roman" w:hAnsi="Times New Roman"/>
            </w:rPr>
            <w:t>Contrato No. 002 de 2015</w:t>
          </w:r>
        </w:p>
        <w:p w14:paraId="46915917" w14:textId="4B9FA80D" w:rsidR="00274429" w:rsidRPr="009A46BB" w:rsidRDefault="00274429" w:rsidP="10D44305">
          <w:pPr>
            <w:spacing w:after="0"/>
            <w:jc w:val="both"/>
            <w:rPr>
              <w:rFonts w:ascii="Times New Roman" w:hAnsi="Times New Roman"/>
            </w:rPr>
          </w:pPr>
          <w:r w:rsidRPr="009A46BB">
            <w:rPr>
              <w:rFonts w:ascii="Times New Roman" w:hAnsi="Times New Roman"/>
              <w:b/>
            </w:rPr>
            <w:t>Objeto / Descripción</w:t>
          </w:r>
          <w:r w:rsidRPr="009A46BB">
            <w:rPr>
              <w:rFonts w:ascii="Times New Roman" w:hAnsi="Times New Roman"/>
            </w:rPr>
            <w:t>:</w:t>
          </w:r>
          <w:r w:rsidR="5C109072" w:rsidRPr="10D44305">
            <w:rPr>
              <w:rFonts w:ascii="Times New Roman" w:hAnsi="Times New Roman"/>
            </w:rPr>
            <w:t xml:space="preserve"> </w:t>
          </w:r>
          <w:r w:rsidRPr="009A46BB">
            <w:rPr>
              <w:rFonts w:ascii="Times New Roman" w:hAnsi="Times New Roman"/>
            </w:rPr>
            <w:t xml:space="preserve">En virtud del Contrato de concesión, se permite al CONCESIONARIO la ocupación en forma temporal y exclusiva de una zona de playas, de bajamar y aguas marítimas </w:t>
          </w:r>
          <w:r w:rsidRPr="009A46BB">
            <w:rPr>
              <w:rFonts w:ascii="Times New Roman" w:hAnsi="Times New Roman"/>
            </w:rPr>
            <w:lastRenderedPageBreak/>
            <w:t>accesorias, para la construcción, operación y el desarrollo de actividades portuarias de servicio público, conforme lo establece la Cláusula Primera del Contrato.</w:t>
          </w:r>
        </w:p>
        <w:p w14:paraId="5113B1D4" w14:textId="00BFDC5F" w:rsidR="00274429" w:rsidRPr="00352569" w:rsidRDefault="00274429" w:rsidP="10D44305">
          <w:pPr>
            <w:spacing w:after="0"/>
            <w:rPr>
              <w:rFonts w:ascii="Times New Roman" w:hAnsi="Times New Roman"/>
              <w:sz w:val="24"/>
              <w:szCs w:val="24"/>
            </w:rPr>
          </w:pPr>
          <w:r w:rsidRPr="00521A07">
            <w:rPr>
              <w:rFonts w:ascii="Times New Roman" w:hAnsi="Times New Roman"/>
              <w:b/>
              <w:bCs/>
              <w:sz w:val="24"/>
              <w:szCs w:val="24"/>
            </w:rPr>
            <w:t>Valor inicial:</w:t>
          </w:r>
          <w:r w:rsidR="3517DA5C" w:rsidRPr="10D44305">
            <w:rPr>
              <w:rFonts w:ascii="Times New Roman" w:hAnsi="Times New Roman"/>
              <w:b/>
              <w:bCs/>
              <w:sz w:val="24"/>
              <w:szCs w:val="24"/>
            </w:rPr>
            <w:t xml:space="preserve"> </w:t>
          </w:r>
          <w:r w:rsidRPr="00352569">
            <w:rPr>
              <w:rFonts w:ascii="Times New Roman" w:hAnsi="Times New Roman"/>
              <w:sz w:val="24"/>
              <w:szCs w:val="24"/>
            </w:rPr>
            <w:t>Valor inicial: USD $1.842.998 Cláusula décima tercera/ Contrato No 002 de 2015.</w:t>
          </w:r>
        </w:p>
        <w:p w14:paraId="7B99F01F" w14:textId="77777777" w:rsidR="00274429" w:rsidRPr="004D0EB1" w:rsidRDefault="00274429" w:rsidP="10D44305">
          <w:pPr>
            <w:spacing w:after="0"/>
            <w:rPr>
              <w:rFonts w:ascii="Times New Roman" w:hAnsi="Times New Roman"/>
              <w:sz w:val="24"/>
              <w:szCs w:val="24"/>
            </w:rPr>
          </w:pPr>
          <w:r w:rsidRPr="00352569">
            <w:rPr>
              <w:rFonts w:ascii="Times New Roman" w:hAnsi="Times New Roman"/>
              <w:sz w:val="24"/>
              <w:szCs w:val="24"/>
            </w:rPr>
            <w:t>Valor del Contrato actualizado: USD $1.368.189 / Cláusula tercera / Otrosí No. 1 de 2021.</w:t>
          </w:r>
        </w:p>
        <w:p w14:paraId="5B9DDADC" w14:textId="77777777" w:rsidR="00274429" w:rsidRDefault="00274429" w:rsidP="00544CB7">
          <w:pPr>
            <w:spacing w:after="0"/>
            <w:rPr>
              <w:rFonts w:ascii="Times New Roman" w:hAnsi="Times New Roman"/>
              <w:sz w:val="24"/>
              <w:szCs w:val="24"/>
            </w:rPr>
          </w:pPr>
          <w:r w:rsidRPr="00521A07">
            <w:rPr>
              <w:rFonts w:ascii="Times New Roman" w:hAnsi="Times New Roman"/>
              <w:b/>
              <w:bCs/>
              <w:sz w:val="24"/>
              <w:szCs w:val="24"/>
            </w:rPr>
            <w:t>Fecha de inicio:</w:t>
          </w:r>
          <w:r>
            <w:rPr>
              <w:rFonts w:ascii="Times New Roman" w:hAnsi="Times New Roman"/>
              <w:b/>
              <w:bCs/>
              <w:sz w:val="24"/>
              <w:szCs w:val="24"/>
            </w:rPr>
            <w:t xml:space="preserve"> </w:t>
          </w:r>
          <w:r>
            <w:rPr>
              <w:rFonts w:ascii="Times New Roman" w:hAnsi="Times New Roman"/>
              <w:sz w:val="24"/>
              <w:szCs w:val="24"/>
            </w:rPr>
            <w:t>01/07/2016</w:t>
          </w:r>
        </w:p>
        <w:p w14:paraId="51E1FEAA" w14:textId="77777777" w:rsidR="00274429" w:rsidRDefault="00274429" w:rsidP="00544CB7">
          <w:pPr>
            <w:spacing w:after="0"/>
            <w:jc w:val="both"/>
            <w:rPr>
              <w:rFonts w:ascii="Times New Roman" w:hAnsi="Times New Roman"/>
              <w:sz w:val="24"/>
              <w:szCs w:val="24"/>
            </w:rPr>
          </w:pPr>
          <w:r w:rsidRPr="00521A07">
            <w:rPr>
              <w:rFonts w:ascii="Times New Roman" w:hAnsi="Times New Roman"/>
              <w:b/>
              <w:bCs/>
              <w:sz w:val="24"/>
              <w:szCs w:val="24"/>
            </w:rPr>
            <w:t>Fecha de finalización estimada:</w:t>
          </w:r>
          <w:r>
            <w:rPr>
              <w:rFonts w:ascii="Times New Roman" w:hAnsi="Times New Roman"/>
              <w:b/>
              <w:bCs/>
              <w:sz w:val="24"/>
              <w:szCs w:val="24"/>
            </w:rPr>
            <w:t xml:space="preserve"> </w:t>
          </w:r>
          <w:r>
            <w:rPr>
              <w:rFonts w:ascii="Times New Roman" w:hAnsi="Times New Roman"/>
              <w:sz w:val="24"/>
              <w:szCs w:val="24"/>
            </w:rPr>
            <w:t>30/06/2036</w:t>
          </w:r>
        </w:p>
        <w:p w14:paraId="65F3AA4E" w14:textId="77777777" w:rsidR="00274429" w:rsidRPr="009A46BB" w:rsidRDefault="00274429" w:rsidP="00544CB7">
          <w:pPr>
            <w:spacing w:after="0"/>
            <w:jc w:val="both"/>
            <w:rPr>
              <w:rFonts w:ascii="Times New Roman" w:hAnsi="Times New Roman"/>
            </w:rPr>
          </w:pPr>
          <w:r w:rsidRPr="00521A07">
            <w:rPr>
              <w:rFonts w:ascii="Times New Roman" w:hAnsi="Times New Roman"/>
              <w:b/>
              <w:bCs/>
              <w:sz w:val="24"/>
              <w:szCs w:val="24"/>
            </w:rPr>
            <w:t>Tipo ID:</w:t>
          </w:r>
          <w:r>
            <w:rPr>
              <w:rFonts w:ascii="Times New Roman" w:hAnsi="Times New Roman"/>
              <w:b/>
              <w:bCs/>
              <w:sz w:val="24"/>
              <w:szCs w:val="24"/>
            </w:rPr>
            <w:t xml:space="preserve"> NIT</w:t>
          </w:r>
        </w:p>
        <w:p w14:paraId="4FD9576A" w14:textId="77777777" w:rsidR="00274429" w:rsidRPr="001046CA" w:rsidRDefault="00274429" w:rsidP="00544CB7">
          <w:pPr>
            <w:spacing w:after="0"/>
            <w:rPr>
              <w:rFonts w:ascii="Times New Roman" w:hAnsi="Times New Roman"/>
              <w:sz w:val="24"/>
              <w:szCs w:val="24"/>
            </w:rPr>
          </w:pPr>
          <w:r w:rsidRPr="00521A07">
            <w:rPr>
              <w:rFonts w:ascii="Times New Roman" w:hAnsi="Times New Roman"/>
              <w:b/>
              <w:bCs/>
              <w:sz w:val="24"/>
              <w:szCs w:val="24"/>
            </w:rPr>
            <w:t>Número ID:</w:t>
          </w:r>
          <w:r>
            <w:rPr>
              <w:rFonts w:ascii="Times New Roman" w:hAnsi="Times New Roman"/>
              <w:b/>
              <w:bCs/>
              <w:sz w:val="24"/>
              <w:szCs w:val="24"/>
            </w:rPr>
            <w:t xml:space="preserve"> </w:t>
          </w:r>
          <w:r w:rsidRPr="001046CA">
            <w:rPr>
              <w:rFonts w:ascii="Times New Roman" w:hAnsi="Times New Roman"/>
              <w:sz w:val="24"/>
              <w:szCs w:val="24"/>
            </w:rPr>
            <w:t>900815014-6</w:t>
          </w:r>
        </w:p>
        <w:p w14:paraId="5FFB589E" w14:textId="59A96AAE" w:rsidR="00274429" w:rsidRPr="007B405E" w:rsidRDefault="00274429" w:rsidP="00544CB7">
          <w:pPr>
            <w:spacing w:after="0"/>
            <w:rPr>
              <w:rFonts w:ascii="Times New Roman" w:hAnsi="Times New Roman"/>
              <w:sz w:val="24"/>
              <w:szCs w:val="24"/>
            </w:rPr>
          </w:pPr>
          <w:r w:rsidRPr="00521A07">
            <w:rPr>
              <w:rFonts w:ascii="Times New Roman" w:hAnsi="Times New Roman"/>
              <w:b/>
              <w:bCs/>
              <w:sz w:val="24"/>
              <w:szCs w:val="24"/>
            </w:rPr>
            <w:t>Razón social del concesionario:</w:t>
          </w:r>
          <w:r w:rsidR="55EC0EC0" w:rsidRPr="10D44305">
            <w:rPr>
              <w:rFonts w:ascii="Times New Roman" w:hAnsi="Times New Roman"/>
              <w:b/>
              <w:bCs/>
              <w:sz w:val="24"/>
              <w:szCs w:val="24"/>
            </w:rPr>
            <w:t xml:space="preserve"> </w:t>
          </w:r>
          <w:r w:rsidRPr="004E3583">
            <w:rPr>
              <w:rFonts w:ascii="Times New Roman" w:hAnsi="Times New Roman"/>
              <w:sz w:val="24"/>
              <w:szCs w:val="24"/>
            </w:rPr>
            <w:t>Sociedad Coremar Shore Base S.A.</w:t>
          </w:r>
        </w:p>
        <w:p w14:paraId="4883A0CE" w14:textId="575B408A" w:rsidR="00274429" w:rsidRPr="004E3583" w:rsidRDefault="00274429" w:rsidP="00274429">
          <w:pPr>
            <w:rPr>
              <w:rFonts w:ascii="Times New Roman" w:hAnsi="Times New Roman"/>
              <w:sz w:val="24"/>
              <w:szCs w:val="24"/>
            </w:rPr>
          </w:pPr>
          <w:r w:rsidRPr="00521A07">
            <w:rPr>
              <w:rFonts w:ascii="Times New Roman" w:hAnsi="Times New Roman"/>
              <w:b/>
              <w:bCs/>
              <w:sz w:val="24"/>
              <w:szCs w:val="24"/>
            </w:rPr>
            <w:t>Nombre del proyecto:</w:t>
          </w:r>
          <w:r w:rsidR="192F0A99" w:rsidRPr="10D44305">
            <w:rPr>
              <w:rFonts w:ascii="Times New Roman" w:hAnsi="Times New Roman"/>
              <w:b/>
              <w:bCs/>
              <w:sz w:val="24"/>
              <w:szCs w:val="24"/>
            </w:rPr>
            <w:t xml:space="preserve"> </w:t>
          </w:r>
          <w:r w:rsidRPr="004E3583">
            <w:rPr>
              <w:rFonts w:ascii="Times New Roman" w:hAnsi="Times New Roman"/>
              <w:sz w:val="24"/>
              <w:szCs w:val="24"/>
            </w:rPr>
            <w:t>Sociedad Coremar Shore Base S.A.</w:t>
          </w:r>
        </w:p>
        <w:p w14:paraId="7CBCDEE4" w14:textId="77777777" w:rsidR="00274429" w:rsidRPr="003A32AC" w:rsidRDefault="00274429" w:rsidP="00E60BAB">
          <w:pPr>
            <w:pStyle w:val="Prrafodelista"/>
            <w:numPr>
              <w:ilvl w:val="0"/>
              <w:numId w:val="128"/>
            </w:numPr>
            <w:spacing w:line="259" w:lineRule="auto"/>
            <w:jc w:val="both"/>
            <w:rPr>
              <w:rFonts w:ascii="Times New Roman" w:hAnsi="Times New Roman"/>
              <w:b/>
              <w:bCs/>
              <w:sz w:val="24"/>
              <w:szCs w:val="24"/>
            </w:rPr>
          </w:pPr>
          <w:r w:rsidRPr="003A32AC">
            <w:rPr>
              <w:rFonts w:ascii="Times New Roman" w:hAnsi="Times New Roman"/>
              <w:b/>
              <w:bCs/>
              <w:sz w:val="24"/>
              <w:szCs w:val="24"/>
            </w:rPr>
            <w:t>Términos significativos del acuerdo que puedan afectar su valor, el calendario y la certeza de los flujos</w:t>
          </w:r>
        </w:p>
        <w:p w14:paraId="74BFCBC8" w14:textId="5EBF14D9"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valor:</w:t>
          </w:r>
        </w:p>
        <w:p w14:paraId="7CF9BAB4" w14:textId="77777777" w:rsidR="00274429" w:rsidRDefault="00274429" w:rsidP="00274429">
          <w:pPr>
            <w:jc w:val="both"/>
            <w:rPr>
              <w:rFonts w:ascii="Times New Roman" w:hAnsi="Times New Roman"/>
              <w:sz w:val="24"/>
              <w:szCs w:val="24"/>
            </w:rPr>
          </w:pPr>
          <w:r w:rsidRPr="00FC7585">
            <w:rPr>
              <w:rFonts w:ascii="Times New Roman" w:hAnsi="Times New Roman"/>
              <w:b/>
              <w:bCs/>
              <w:sz w:val="24"/>
              <w:szCs w:val="24"/>
            </w:rPr>
            <w:t xml:space="preserve">Tarifas: </w:t>
          </w:r>
          <w:r w:rsidRPr="00B145D0">
            <w:rPr>
              <w:rFonts w:ascii="Times New Roman" w:hAnsi="Times New Roman"/>
              <w:sz w:val="24"/>
              <w:szCs w:val="24"/>
            </w:rPr>
            <w:t>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w:t>
          </w:r>
          <w:r w:rsidRPr="00201D09">
            <w:rPr>
              <w:rFonts w:ascii="Times New Roman" w:hAnsi="Times New Roman"/>
              <w:sz w:val="24"/>
              <w:szCs w:val="24"/>
            </w:rPr>
            <w:t>.</w:t>
          </w:r>
        </w:p>
        <w:p w14:paraId="137C7FC2" w14:textId="77777777" w:rsidR="00274429" w:rsidRDefault="00274429" w:rsidP="00274429">
          <w:pPr>
            <w:jc w:val="both"/>
            <w:rPr>
              <w:rFonts w:ascii="Times New Roman" w:hAnsi="Times New Roman"/>
              <w:sz w:val="24"/>
              <w:szCs w:val="24"/>
            </w:rPr>
          </w:pPr>
          <w:r w:rsidRPr="009A46BB">
            <w:rPr>
              <w:rFonts w:ascii="Times New Roman" w:hAnsi="Times New Roman"/>
              <w:b/>
            </w:rPr>
            <w:t>Contraprestación portuaria</w:t>
          </w:r>
          <w:r w:rsidRPr="009A46BB">
            <w:rPr>
              <w:rFonts w:ascii="Times New Roman" w:hAnsi="Times New Roman"/>
            </w:rPr>
            <w:t xml:space="preserve">: </w:t>
          </w:r>
          <w:r w:rsidRPr="006E3A71">
            <w:rPr>
              <w:rFonts w:ascii="Times New Roman" w:hAnsi="Times New Roman"/>
              <w:sz w:val="24"/>
              <w:szCs w:val="24"/>
            </w:rPr>
            <w:t>De acuerdo con el último documento contractual vigente la metodología de contraprestación vigente es CONPES 3744 de 2013 (Componentes Fijo y Variable). A febrero de 2023 el CONCESIONARIO tenía saldo a favor.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distrito de Cartagena; e INFRAESTRUCTURA en un 100% a la Nación - Instituto Nacional de Vías (INVIAS).</w:t>
          </w:r>
        </w:p>
        <w:p w14:paraId="2A3DEC67" w14:textId="77777777" w:rsidR="00274429" w:rsidRDefault="00274429" w:rsidP="00274429">
          <w:pPr>
            <w:jc w:val="both"/>
            <w:rPr>
              <w:rStyle w:val="Estilo3"/>
            </w:rPr>
          </w:pPr>
          <w:r w:rsidRPr="00A93D24">
            <w:rPr>
              <w:rStyle w:val="Estilo3"/>
              <w:b/>
              <w:bCs/>
            </w:rPr>
            <w:t>Plan de Inversiones:</w:t>
          </w:r>
          <w:r w:rsidRPr="00840555">
            <w:rPr>
              <w:rStyle w:val="Estilo3"/>
            </w:rPr>
            <w:t xml:space="preserve"> </w:t>
          </w:r>
          <w:r w:rsidRPr="00936CC2">
            <w:rPr>
              <w:rStyle w:val="Estilo3"/>
            </w:rPr>
            <w:t>está establecido en la cláusula décima segunda del contrato, modificado por el otrosí No. 1 de 2021 en la cláusula segunda donde establece el plan de inversiones será USD $7.473.335 constantes de diciembre de 2014 y ejecutará inversiones por cuenta y riesgo por USD $579.463 constantes de diciembre de 2014.</w:t>
          </w:r>
        </w:p>
        <w:p w14:paraId="24A2E45E" w14:textId="77777777" w:rsidR="00274429" w:rsidRPr="009A46BB" w:rsidRDefault="00274429" w:rsidP="00274429">
          <w:pPr>
            <w:jc w:val="both"/>
            <w:rPr>
              <w:rFonts w:ascii="Times New Roman" w:hAnsi="Times New Roman"/>
            </w:rPr>
          </w:pPr>
          <w:r w:rsidRPr="009A46BB">
            <w:rPr>
              <w:rFonts w:ascii="Times New Roman" w:hAnsi="Times New Roman"/>
            </w:rPr>
            <w:t xml:space="preserve">Obligaciones del CONCESIONARIO: se encuentran descritas en la cláusula vigésima del contrato. </w:t>
          </w:r>
        </w:p>
        <w:p w14:paraId="181F9F6D" w14:textId="77777777" w:rsidR="00274429" w:rsidRPr="009A46BB" w:rsidRDefault="00274429" w:rsidP="00274429">
          <w:pPr>
            <w:jc w:val="both"/>
            <w:rPr>
              <w:rFonts w:ascii="Times New Roman" w:hAnsi="Times New Roman"/>
            </w:rPr>
          </w:pPr>
          <w:r w:rsidRPr="009A46BB">
            <w:rPr>
              <w:rFonts w:ascii="Times New Roman" w:hAnsi="Times New Roman"/>
            </w:rPr>
            <w:t>Multas y sanciones: están establecidas en la cláusula vigésima tercera del contrato.</w:t>
          </w:r>
        </w:p>
        <w:p w14:paraId="1033D1B2" w14:textId="77777777" w:rsidR="00274429" w:rsidRPr="009A46BB" w:rsidRDefault="00274429" w:rsidP="00274429">
          <w:pPr>
            <w:jc w:val="both"/>
            <w:rPr>
              <w:rFonts w:ascii="Times New Roman" w:hAnsi="Times New Roman"/>
            </w:rPr>
          </w:pPr>
          <w:r w:rsidRPr="009A46BB">
            <w:rPr>
              <w:rFonts w:ascii="Times New Roman" w:hAnsi="Times New Roman"/>
            </w:rPr>
            <w:t>Penal pecuniario: En la cláusula vigésima cuarta del contrato se establece que en el evento en que la ANI declare la caducidad o el incumplimiento del presente contrato se podrá imponer una penalidad pecuniaria del 10% del valor total de la contraprestación.</w:t>
          </w:r>
        </w:p>
        <w:p w14:paraId="2F005CE0" w14:textId="77777777" w:rsidR="00274429" w:rsidRDefault="00274429" w:rsidP="00274429">
          <w:pPr>
            <w:jc w:val="both"/>
            <w:rPr>
              <w:rFonts w:ascii="Times New Roman" w:hAnsi="Times New Roman"/>
              <w:b/>
              <w:bCs/>
              <w:sz w:val="24"/>
              <w:szCs w:val="24"/>
            </w:rPr>
          </w:pPr>
          <w:r w:rsidRPr="004C1095">
            <w:rPr>
              <w:rFonts w:ascii="Times New Roman" w:hAnsi="Times New Roman"/>
              <w:b/>
              <w:bCs/>
              <w:sz w:val="24"/>
              <w:szCs w:val="24"/>
            </w:rPr>
            <w:t>Términos de calendario:</w:t>
          </w:r>
        </w:p>
        <w:p w14:paraId="3BF7D498" w14:textId="77777777" w:rsidR="00274429" w:rsidRPr="00EB4C4F" w:rsidRDefault="00274429" w:rsidP="00274429">
          <w:pPr>
            <w:jc w:val="both"/>
            <w:rPr>
              <w:rStyle w:val="Estilo3"/>
            </w:rPr>
          </w:pPr>
          <w:r w:rsidRPr="00EB4C4F">
            <w:rPr>
              <w:rStyle w:val="Estilo3"/>
            </w:rPr>
            <w:t>1: Tarifas: Aprobadas según la metodología establecida por la Superintendencia General de Puertos hoy Superintendencia de Transporte.</w:t>
          </w:r>
        </w:p>
        <w:p w14:paraId="2DA38F2E" w14:textId="77777777" w:rsidR="00274429" w:rsidRPr="00EB4C4F" w:rsidRDefault="00274429" w:rsidP="00274429">
          <w:pPr>
            <w:jc w:val="both"/>
            <w:rPr>
              <w:rStyle w:val="Estilo3"/>
            </w:rPr>
          </w:pPr>
          <w:r w:rsidRPr="00EB4C4F">
            <w:rPr>
              <w:rStyle w:val="Estilo3"/>
            </w:rPr>
            <w:lastRenderedPageBreak/>
            <w:t>2: Contraprestación portuaria: De acuerdo con el último documento contractual vigente la metodología de contraprestación vigente es CONPES 3744 de 2013 (Componentes Fijo y Variable). A febrero de 2023 el CONCESIONARIO tenía saldo a favor.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distrito de Cartagena; e INFRAESTRUCTURA en un 100% a la Nación - Instituto Nacional de Vías (INVIAS).</w:t>
          </w:r>
        </w:p>
        <w:p w14:paraId="76B8A7E2" w14:textId="77777777" w:rsidR="00274429" w:rsidRPr="00EB4C4F" w:rsidRDefault="00274429" w:rsidP="00274429">
          <w:pPr>
            <w:jc w:val="both"/>
            <w:rPr>
              <w:rStyle w:val="Estilo3"/>
            </w:rPr>
          </w:pPr>
          <w:r w:rsidRPr="00EB4C4F">
            <w:rPr>
              <w:rStyle w:val="Estilo3"/>
            </w:rPr>
            <w:t>3: Plan de inversiones: Se estableció en la cláusula decima segunda del contrato modificado por el otrosí No. 1 de 2021 en la cláusula segunda la ejecución de inversiones en el periodo de tiempo comprendido entre el año 2016 a 2026.</w:t>
          </w:r>
        </w:p>
        <w:p w14:paraId="250D7094" w14:textId="77777777" w:rsidR="00274429" w:rsidRPr="00EB4C4F" w:rsidRDefault="00274429" w:rsidP="00274429">
          <w:pPr>
            <w:jc w:val="both"/>
            <w:rPr>
              <w:rStyle w:val="Estilo3"/>
            </w:rPr>
          </w:pPr>
          <w:r w:rsidRPr="00EB4C4F">
            <w:rPr>
              <w:rStyle w:val="Estilo3"/>
            </w:rPr>
            <w:t>4: Multas: Cláusula vigésima tercera del contrato 002 de 2015.</w:t>
          </w:r>
        </w:p>
        <w:p w14:paraId="0FA4B1C3" w14:textId="77777777"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certeza de flujos de efectivo futuros:</w:t>
          </w:r>
          <w:r>
            <w:rPr>
              <w:rFonts w:ascii="Times New Roman" w:hAnsi="Times New Roman"/>
              <w:b/>
              <w:bCs/>
              <w:sz w:val="24"/>
              <w:szCs w:val="24"/>
            </w:rPr>
            <w:t xml:space="preserve"> </w:t>
          </w:r>
        </w:p>
        <w:p w14:paraId="3C445112" w14:textId="77777777" w:rsidR="00274429" w:rsidRPr="009A46BB" w:rsidRDefault="00274429" w:rsidP="00274429">
          <w:pPr>
            <w:jc w:val="both"/>
            <w:rPr>
              <w:rFonts w:ascii="Times New Roman" w:hAnsi="Times New Roman"/>
            </w:rPr>
          </w:pPr>
          <w:r w:rsidRPr="009A46BB">
            <w:rPr>
              <w:rFonts w:ascii="Times New Roman" w:hAnsi="Times New Roman"/>
            </w:rPr>
            <w:t>Se otorga a EL CONCESIONARIO la autorización de ocupar en forma temporal y exclusiva de los bienes de uso público descrito en la cláusula segunda del contrato, a cambio de la contraprestación económica.</w:t>
          </w:r>
        </w:p>
        <w:p w14:paraId="23E6E11A" w14:textId="77777777" w:rsidR="00274429" w:rsidRPr="009A46BB" w:rsidRDefault="00274429" w:rsidP="00274429">
          <w:pPr>
            <w:jc w:val="both"/>
            <w:rPr>
              <w:rFonts w:ascii="Times New Roman" w:hAnsi="Times New Roman"/>
            </w:rPr>
          </w:pPr>
          <w:r w:rsidRPr="009A46BB">
            <w:rPr>
              <w:rFonts w:ascii="Times New Roman" w:hAnsi="Times New Roman"/>
            </w:rPr>
            <w:t>Cláusula Décima Tercera, numeral 13.1 Del valor a pagar por concepto de contraprestación por Zona de Uso público el 80% le corresponde a la Nación-INVIAS y el 20 % al Distrito turístico de Cartagena de Indias y por Infraestructura el 100% a la Nación-INVIAS.</w:t>
          </w:r>
        </w:p>
        <w:p w14:paraId="6B5679CF" w14:textId="77777777" w:rsidR="00274429" w:rsidRPr="00E151A9" w:rsidRDefault="00274429" w:rsidP="00E60BAB">
          <w:pPr>
            <w:pStyle w:val="Prrafodelista"/>
            <w:numPr>
              <w:ilvl w:val="0"/>
              <w:numId w:val="128"/>
            </w:numPr>
            <w:spacing w:line="259" w:lineRule="auto"/>
            <w:jc w:val="both"/>
            <w:rPr>
              <w:rFonts w:ascii="Times New Roman" w:hAnsi="Times New Roman"/>
              <w:b/>
              <w:bCs/>
              <w:sz w:val="24"/>
              <w:szCs w:val="24"/>
            </w:rPr>
          </w:pPr>
          <w:r w:rsidRPr="00E151A9">
            <w:rPr>
              <w:rFonts w:ascii="Times New Roman" w:hAnsi="Times New Roman"/>
              <w:b/>
              <w:bCs/>
              <w:sz w:val="24"/>
              <w:szCs w:val="24"/>
            </w:rPr>
            <w:t>Naturaleza y alcance del derecho a utilizar activos especificados, de los aspectos pactados en torno a lo que se espera que el concesionario proporcione en relación con el acuerdo de concesión (Se requiere ser breves, precisos, y concisos en la redacción)</w:t>
          </w:r>
        </w:p>
        <w:p w14:paraId="6F8BF275" w14:textId="77777777" w:rsidR="00274429" w:rsidRDefault="00274429" w:rsidP="00274429">
          <w:pPr>
            <w:jc w:val="both"/>
            <w:rPr>
              <w:rFonts w:ascii="Times New Roman" w:hAnsi="Times New Roman"/>
              <w:b/>
              <w:bCs/>
              <w:sz w:val="24"/>
              <w:szCs w:val="24"/>
            </w:rPr>
          </w:pPr>
          <w:r w:rsidRPr="00217110">
            <w:rPr>
              <w:rFonts w:ascii="Times New Roman" w:hAnsi="Times New Roman"/>
              <w:b/>
              <w:bCs/>
              <w:sz w:val="24"/>
              <w:szCs w:val="24"/>
            </w:rPr>
            <w:t>Naturaleza y alcance del derecho de uso de los activos</w:t>
          </w:r>
        </w:p>
        <w:p w14:paraId="66E160DF" w14:textId="638FAD02" w:rsidR="00274429" w:rsidRDefault="00274429" w:rsidP="00274429">
          <w:pPr>
            <w:jc w:val="both"/>
            <w:rPr>
              <w:rFonts w:ascii="Times New Roman" w:hAnsi="Times New Roman"/>
              <w:b/>
              <w:bCs/>
              <w:sz w:val="24"/>
              <w:szCs w:val="24"/>
            </w:rPr>
          </w:pPr>
          <w:r w:rsidRPr="003E5FA9">
            <w:rPr>
              <w:rFonts w:ascii="Times New Roman" w:hAnsi="Times New Roman"/>
              <w:b/>
              <w:bCs/>
              <w:sz w:val="24"/>
              <w:szCs w:val="24"/>
            </w:rPr>
            <w:t>Descripción:</w:t>
          </w:r>
        </w:p>
        <w:p w14:paraId="6F4E3A47" w14:textId="19ED2050" w:rsidR="00274429" w:rsidRPr="009A46BB" w:rsidRDefault="00274429" w:rsidP="00274429">
          <w:pPr>
            <w:jc w:val="both"/>
            <w:rPr>
              <w:rFonts w:ascii="Times New Roman" w:hAnsi="Times New Roman"/>
            </w:rPr>
          </w:pPr>
          <w:r w:rsidRPr="009A46BB">
            <w:rPr>
              <w:rFonts w:ascii="Times New Roman" w:hAnsi="Times New Roman"/>
            </w:rPr>
            <w:t>Descripción del proyecto, especificaciones técnicas, modalidades de operación: las condiciones especiales de operación del puerto están establecidas en la cláusula primera del Otrosí No. 1 de 2022.</w:t>
          </w:r>
        </w:p>
        <w:p w14:paraId="271EABE2" w14:textId="77777777" w:rsidR="00274429" w:rsidRPr="009A46BB" w:rsidRDefault="00274429" w:rsidP="00274429">
          <w:pPr>
            <w:jc w:val="both"/>
            <w:rPr>
              <w:rFonts w:ascii="Times New Roman" w:hAnsi="Times New Roman"/>
            </w:rPr>
          </w:pPr>
          <w:r w:rsidRPr="009A46BB">
            <w:rPr>
              <w:rFonts w:ascii="Times New Roman" w:hAnsi="Times New Roman"/>
            </w:rPr>
            <w:t xml:space="preserve">Área entregada en concesión: La descripción de la ubicación, linderos y extensión de los bienes de uso público (playas y terrenos de baja mar, zonas marítimas accesorias de maniobras) entregados en concesión están establecidos en la cláusula segunda. </w:t>
          </w:r>
        </w:p>
        <w:p w14:paraId="5EB4BAC4" w14:textId="77777777" w:rsidR="00274429" w:rsidRPr="007A403F" w:rsidRDefault="00274429" w:rsidP="00274429">
          <w:pPr>
            <w:jc w:val="both"/>
            <w:rPr>
              <w:rFonts w:ascii="Times New Roman" w:hAnsi="Times New Roman"/>
              <w:sz w:val="24"/>
              <w:szCs w:val="24"/>
            </w:rPr>
          </w:pPr>
          <w:r w:rsidRPr="003E5FA9">
            <w:rPr>
              <w:rFonts w:ascii="Times New Roman" w:hAnsi="Times New Roman"/>
              <w:b/>
              <w:bCs/>
              <w:sz w:val="24"/>
              <w:szCs w:val="24"/>
            </w:rPr>
            <w:t>Observaciones:</w:t>
          </w:r>
          <w:r>
            <w:rPr>
              <w:rFonts w:ascii="Times New Roman" w:hAnsi="Times New Roman"/>
              <w:b/>
              <w:bCs/>
              <w:sz w:val="24"/>
              <w:szCs w:val="24"/>
            </w:rPr>
            <w:t xml:space="preserve"> </w:t>
          </w:r>
          <w:r>
            <w:rPr>
              <w:rFonts w:ascii="Times New Roman" w:hAnsi="Times New Roman"/>
              <w:sz w:val="24"/>
              <w:szCs w:val="24"/>
            </w:rPr>
            <w:t>NA</w:t>
          </w:r>
          <w:r w:rsidRPr="007A403F">
            <w:rPr>
              <w:rFonts w:ascii="Times New Roman" w:hAnsi="Times New Roman"/>
              <w:sz w:val="24"/>
              <w:szCs w:val="24"/>
            </w:rPr>
            <w:t xml:space="preserve">. </w:t>
          </w:r>
        </w:p>
        <w:p w14:paraId="566DDDD9" w14:textId="77777777" w:rsidR="00274429" w:rsidRDefault="00274429" w:rsidP="00274429">
          <w:pPr>
            <w:jc w:val="both"/>
            <w:rPr>
              <w:rFonts w:ascii="Times New Roman" w:hAnsi="Times New Roman"/>
              <w:b/>
              <w:bCs/>
              <w:sz w:val="24"/>
              <w:szCs w:val="24"/>
            </w:rPr>
          </w:pPr>
          <w:r>
            <w:rPr>
              <w:rFonts w:ascii="Times New Roman" w:hAnsi="Times New Roman"/>
              <w:b/>
              <w:bCs/>
              <w:sz w:val="24"/>
              <w:szCs w:val="24"/>
            </w:rPr>
            <w:t>Retribución al Concesionario</w:t>
          </w:r>
        </w:p>
        <w:p w14:paraId="4FE4B635" w14:textId="77777777" w:rsidR="00274429" w:rsidRPr="009A46BB" w:rsidRDefault="00274429" w:rsidP="00274429">
          <w:pPr>
            <w:jc w:val="both"/>
            <w:rPr>
              <w:rFonts w:ascii="Times New Roman" w:hAnsi="Times New Roman"/>
            </w:rPr>
          </w:pPr>
          <w:r w:rsidRPr="009A46BB">
            <w:rPr>
              <w:rFonts w:ascii="Times New Roman" w:hAnsi="Times New Roman"/>
              <w:b/>
            </w:rPr>
            <w:t xml:space="preserve">Descripción: </w:t>
          </w:r>
          <w:r w:rsidRPr="009A46BB">
            <w:rPr>
              <w:rFonts w:ascii="Times New Roman" w:hAnsi="Times New Roman"/>
            </w:rPr>
            <w:t>Cláusula primera Contrato 002 de 2015: Se otorga a EL CONCESIONARIO la autorización de ocupar en forma temporal y exclusiva de los bienes de uso público descrito en la cláusula segunda del contrato, a cambio de la contraprestación económica.</w:t>
          </w:r>
        </w:p>
        <w:p w14:paraId="142EEA12" w14:textId="77777777" w:rsidR="00274429" w:rsidRPr="00351837" w:rsidRDefault="00274429" w:rsidP="00274429">
          <w:pPr>
            <w:jc w:val="both"/>
            <w:rPr>
              <w:rFonts w:ascii="Times New Roman" w:hAnsi="Times New Roman"/>
              <w:b/>
              <w:bCs/>
              <w:sz w:val="24"/>
              <w:szCs w:val="24"/>
            </w:rPr>
          </w:pPr>
          <w:r>
            <w:rPr>
              <w:rFonts w:ascii="Times New Roman" w:hAnsi="Times New Roman"/>
              <w:b/>
              <w:bCs/>
              <w:sz w:val="24"/>
              <w:szCs w:val="24"/>
            </w:rPr>
            <w:t>Tasa de retribución: NA</w:t>
          </w:r>
        </w:p>
        <w:p w14:paraId="66D66DB5" w14:textId="77777777" w:rsidR="00274429" w:rsidRPr="00421699" w:rsidRDefault="00274429" w:rsidP="00E60BAB">
          <w:pPr>
            <w:pStyle w:val="Prrafodelista"/>
            <w:numPr>
              <w:ilvl w:val="0"/>
              <w:numId w:val="128"/>
            </w:numPr>
            <w:spacing w:line="259" w:lineRule="auto"/>
            <w:jc w:val="both"/>
            <w:rPr>
              <w:rFonts w:ascii="Times New Roman" w:hAnsi="Times New Roman"/>
              <w:b/>
              <w:bCs/>
              <w:sz w:val="24"/>
              <w:szCs w:val="24"/>
            </w:rPr>
          </w:pPr>
          <w:r w:rsidRPr="00421699">
            <w:rPr>
              <w:rFonts w:ascii="Times New Roman" w:hAnsi="Times New Roman"/>
              <w:b/>
              <w:bCs/>
              <w:sz w:val="24"/>
              <w:szCs w:val="24"/>
            </w:rPr>
            <w:t>Derechos a recibir activos especificados al final del acuerdo de concesión</w:t>
          </w:r>
        </w:p>
        <w:p w14:paraId="4B3BA94C" w14:textId="77777777" w:rsidR="00274429" w:rsidRPr="00195D7C" w:rsidRDefault="00274429" w:rsidP="00274429">
          <w:pPr>
            <w:jc w:val="both"/>
            <w:rPr>
              <w:rFonts w:ascii="Times New Roman" w:hAnsi="Times New Roman"/>
              <w:sz w:val="24"/>
              <w:szCs w:val="24"/>
            </w:rPr>
          </w:pPr>
          <w:r w:rsidRPr="006D56DF">
            <w:rPr>
              <w:rFonts w:ascii="Times New Roman" w:hAnsi="Times New Roman"/>
              <w:b/>
              <w:bCs/>
              <w:sz w:val="24"/>
              <w:szCs w:val="24"/>
            </w:rPr>
            <w:lastRenderedPageBreak/>
            <w:t>Descripción:</w:t>
          </w:r>
          <w:r>
            <w:rPr>
              <w:rFonts w:ascii="Times New Roman" w:hAnsi="Times New Roman"/>
              <w:b/>
              <w:bCs/>
              <w:sz w:val="24"/>
              <w:szCs w:val="24"/>
            </w:rPr>
            <w:t xml:space="preserve"> </w:t>
          </w:r>
          <w:r w:rsidRPr="00691475">
            <w:rPr>
              <w:rFonts w:ascii="Times New Roman" w:hAnsi="Times New Roman"/>
              <w:sz w:val="24"/>
              <w:szCs w:val="24"/>
            </w:rPr>
            <w:t>De acuerdo con el Artículo 8º de la Ley 1 de 1991 en el modo portuario el concesionario no tiene derechos finales sobre activos los debe revertir a la Nación al final del contrato de concesión.</w:t>
          </w:r>
        </w:p>
        <w:p w14:paraId="4ADA9BB4" w14:textId="77777777" w:rsidR="00274429" w:rsidRPr="00351837" w:rsidRDefault="00274429" w:rsidP="00274429">
          <w:pPr>
            <w:rPr>
              <w:rFonts w:ascii="Times New Roman" w:hAnsi="Times New Roman"/>
              <w:sz w:val="24"/>
              <w:szCs w:val="24"/>
            </w:rPr>
          </w:pPr>
          <w:r w:rsidRPr="006D56DF">
            <w:rPr>
              <w:rFonts w:ascii="Times New Roman" w:hAnsi="Times New Roman"/>
              <w:b/>
              <w:bCs/>
              <w:sz w:val="24"/>
              <w:szCs w:val="24"/>
            </w:rPr>
            <w:t>Observaciones:</w:t>
          </w:r>
          <w:r w:rsidRPr="009A46BB">
            <w:rPr>
              <w:rFonts w:ascii="Times New Roman" w:hAnsi="Times New Roman"/>
            </w:rPr>
            <w:t xml:space="preserve"> </w:t>
          </w:r>
        </w:p>
        <w:p w14:paraId="3F943317" w14:textId="113F6A0B" w:rsidR="00274429" w:rsidRPr="00DF351D" w:rsidRDefault="00274429" w:rsidP="00274429">
          <w:pPr>
            <w:jc w:val="both"/>
            <w:rPr>
              <w:rFonts w:ascii="Times New Roman" w:hAnsi="Times New Roman"/>
              <w:sz w:val="24"/>
              <w:szCs w:val="24"/>
            </w:rPr>
          </w:pPr>
          <w:r w:rsidRPr="00DF351D">
            <w:rPr>
              <w:rFonts w:ascii="Times New Roman" w:hAnsi="Times New Roman"/>
              <w:sz w:val="24"/>
              <w:szCs w:val="24"/>
            </w:rPr>
            <w:t>Reversión: De acuerdo con lo establecido en la cláusula trigésima cuarta del contrato de concesión,la zona de uso público y todas las construcciones e inmuebles por destinación existentes, así como los que se autoricen por la ANI, levantadas o construidas en la zona de uso público que ha sido determinada o que se encuentren habitualmente instaladas se revertirán a la Naciónen buenas condiciones de operación tecnológica, mantenimiento y de adecuada eficiencia al término de este contrato y de las prórrogas si la hubiere. Igualmente procederá la reversión al ser declarado la caducidad o la terminación unilateral.</w:t>
          </w:r>
        </w:p>
        <w:p w14:paraId="3378C602" w14:textId="77777777" w:rsidR="00274429" w:rsidRPr="00DF351D" w:rsidRDefault="00274429" w:rsidP="00274429">
          <w:pPr>
            <w:jc w:val="both"/>
            <w:rPr>
              <w:rFonts w:ascii="Times New Roman" w:hAnsi="Times New Roman"/>
              <w:sz w:val="24"/>
              <w:szCs w:val="24"/>
            </w:rPr>
          </w:pPr>
          <w:r w:rsidRPr="00DF351D">
            <w:rPr>
              <w:rFonts w:ascii="Times New Roman" w:hAnsi="Times New Roman"/>
              <w:sz w:val="24"/>
              <w:szCs w:val="24"/>
            </w:rPr>
            <w:t>Para tal fin, en el momento de la reversión el CONCESIONARIO deberá hacer entrega de un avaluó comercial actualizado y valoración técnica de las condiciones de operación de la infraestructura portuaria, equipos e inmuebles por destinación que habitualmente se encuentren instalados en las zonas de uso público que se revierten y que son propiedad de la Nación.</w:t>
          </w:r>
        </w:p>
        <w:p w14:paraId="3B510D99" w14:textId="77777777" w:rsidR="00274429" w:rsidRPr="00DF351D" w:rsidRDefault="00274429" w:rsidP="00274429">
          <w:pPr>
            <w:jc w:val="both"/>
            <w:rPr>
              <w:rFonts w:ascii="Times New Roman" w:hAnsi="Times New Roman"/>
              <w:sz w:val="24"/>
              <w:szCs w:val="24"/>
            </w:rPr>
          </w:pPr>
          <w:r w:rsidRPr="00DF351D">
            <w:rPr>
              <w:rFonts w:ascii="Times New Roman" w:hAnsi="Times New Roman"/>
              <w:sz w:val="24"/>
              <w:szCs w:val="24"/>
            </w:rPr>
            <w:t>La ANI es la entidad concedente pero la titularidad de los activos al final de la concesión es del Instituto Nacional de Vías INVIAS.</w:t>
          </w:r>
        </w:p>
        <w:p w14:paraId="6DCC443E" w14:textId="77777777" w:rsidR="00274429" w:rsidRDefault="6ADE8CC0" w:rsidP="00E60BAB">
          <w:pPr>
            <w:pStyle w:val="Prrafodelista"/>
            <w:numPr>
              <w:ilvl w:val="0"/>
              <w:numId w:val="128"/>
            </w:numPr>
            <w:spacing w:line="259" w:lineRule="auto"/>
            <w:jc w:val="both"/>
            <w:rPr>
              <w:rFonts w:ascii="Times New Roman" w:hAnsi="Times New Roman"/>
              <w:b/>
              <w:bCs/>
              <w:sz w:val="24"/>
              <w:szCs w:val="24"/>
            </w:rPr>
          </w:pPr>
          <w:r w:rsidRPr="10D44305">
            <w:rPr>
              <w:rFonts w:ascii="Times New Roman" w:hAnsi="Times New Roman"/>
              <w:b/>
              <w:bCs/>
              <w:sz w:val="24"/>
              <w:szCs w:val="24"/>
            </w:rPr>
            <w:t>No hay c</w:t>
          </w:r>
          <w:r w:rsidR="00274429" w:rsidRPr="10D44305">
            <w:rPr>
              <w:rFonts w:ascii="Times New Roman" w:hAnsi="Times New Roman"/>
              <w:b/>
              <w:bCs/>
              <w:sz w:val="24"/>
              <w:szCs w:val="24"/>
            </w:rPr>
            <w:t>ambios</w:t>
          </w:r>
          <w:r w:rsidR="00274429" w:rsidRPr="00D42094">
            <w:rPr>
              <w:rFonts w:ascii="Times New Roman" w:hAnsi="Times New Roman"/>
              <w:b/>
              <w:bCs/>
              <w:sz w:val="24"/>
              <w:szCs w:val="24"/>
            </w:rPr>
            <w:t xml:space="preserve"> en el acuerdo de concesión que se realicen durante el periodo fiscal</w:t>
          </w:r>
        </w:p>
        <w:p w14:paraId="624747E3" w14:textId="5062E89F" w:rsidR="00274429" w:rsidRDefault="00274429" w:rsidP="000C447D">
          <w:pPr>
            <w:pStyle w:val="Prrafodelista"/>
            <w:jc w:val="both"/>
            <w:rPr>
              <w:rFonts w:ascii="Times New Roman" w:hAnsi="Times New Roman"/>
              <w:b/>
              <w:bCs/>
              <w:sz w:val="24"/>
              <w:szCs w:val="24"/>
            </w:rPr>
          </w:pPr>
          <w:r w:rsidRPr="00D42094">
            <w:rPr>
              <w:rFonts w:ascii="Times New Roman" w:hAnsi="Times New Roman"/>
              <w:b/>
              <w:bCs/>
              <w:sz w:val="24"/>
              <w:szCs w:val="24"/>
            </w:rPr>
            <w:t xml:space="preserve"> </w:t>
          </w:r>
        </w:p>
        <w:p w14:paraId="1205BB98" w14:textId="77777777" w:rsidR="00274429" w:rsidRPr="00197A12" w:rsidRDefault="00274429" w:rsidP="00274429">
          <w:pPr>
            <w:spacing w:after="0" w:line="240" w:lineRule="auto"/>
            <w:jc w:val="both"/>
            <w:rPr>
              <w:rFonts w:ascii="Times New Roman" w:hAnsi="Times New Roman"/>
              <w:b/>
              <w:bCs/>
              <w:sz w:val="24"/>
              <w:szCs w:val="24"/>
            </w:rPr>
          </w:pPr>
        </w:p>
        <w:p w14:paraId="00FA6700" w14:textId="77777777" w:rsidR="00274429" w:rsidRPr="00197A12" w:rsidRDefault="00274429" w:rsidP="00274429">
          <w:pPr>
            <w:spacing w:after="0" w:line="240" w:lineRule="auto"/>
            <w:jc w:val="both"/>
            <w:rPr>
              <w:rFonts w:ascii="Times New Roman" w:hAnsi="Times New Roman"/>
              <w:b/>
              <w:bCs/>
              <w:sz w:val="24"/>
              <w:szCs w:val="24"/>
            </w:rPr>
          </w:pPr>
        </w:p>
        <w:p w14:paraId="214E27FE" w14:textId="77777777" w:rsidR="00274429" w:rsidRDefault="00274429" w:rsidP="00274429">
          <w:pPr>
            <w:rPr>
              <w:rFonts w:ascii="Times New Roman" w:hAnsi="Times New Roman"/>
              <w:b/>
              <w:sz w:val="24"/>
              <w:szCs w:val="24"/>
            </w:rPr>
          </w:pPr>
          <w:r w:rsidRPr="10D44305">
            <w:rPr>
              <w:rFonts w:ascii="Times New Roman" w:hAnsi="Times New Roman"/>
              <w:b/>
              <w:sz w:val="24"/>
              <w:szCs w:val="24"/>
            </w:rPr>
            <w:t xml:space="preserve">SOCIEDAD PORTUARIA LAS AMÉRICAS S.A. </w:t>
          </w:r>
        </w:p>
        <w:p w14:paraId="4E610F92" w14:textId="77777777" w:rsidR="00274429" w:rsidRPr="00926315" w:rsidRDefault="00274429" w:rsidP="00E60BAB">
          <w:pPr>
            <w:pStyle w:val="Prrafodelista"/>
            <w:numPr>
              <w:ilvl w:val="0"/>
              <w:numId w:val="129"/>
            </w:numPr>
            <w:spacing w:line="259" w:lineRule="auto"/>
            <w:jc w:val="both"/>
            <w:rPr>
              <w:rFonts w:ascii="Times New Roman" w:hAnsi="Times New Roman"/>
              <w:b/>
              <w:bCs/>
              <w:sz w:val="24"/>
              <w:szCs w:val="24"/>
            </w:rPr>
          </w:pPr>
          <w:r w:rsidRPr="00926315">
            <w:rPr>
              <w:rFonts w:ascii="Times New Roman" w:hAnsi="Times New Roman"/>
              <w:b/>
              <w:bCs/>
              <w:sz w:val="24"/>
              <w:szCs w:val="24"/>
            </w:rPr>
            <w:t>Descripción del acuerdo</w:t>
          </w:r>
        </w:p>
        <w:p w14:paraId="7C9F2046" w14:textId="67BA2AF1" w:rsidR="00274429" w:rsidRPr="009A46BB" w:rsidRDefault="00274429" w:rsidP="10D44305">
          <w:pPr>
            <w:spacing w:after="0"/>
            <w:rPr>
              <w:rFonts w:ascii="Times New Roman" w:hAnsi="Times New Roman"/>
            </w:rPr>
          </w:pPr>
          <w:r w:rsidRPr="009A46BB">
            <w:rPr>
              <w:rFonts w:ascii="Times New Roman" w:hAnsi="Times New Roman"/>
              <w:b/>
            </w:rPr>
            <w:t>Número del acuerdo de concesión:</w:t>
          </w:r>
          <w:r w:rsidR="1257C019" w:rsidRPr="10D44305">
            <w:rPr>
              <w:rFonts w:ascii="Times New Roman" w:hAnsi="Times New Roman"/>
              <w:b/>
              <w:bCs/>
            </w:rPr>
            <w:t xml:space="preserve"> </w:t>
          </w:r>
          <w:r w:rsidRPr="009A46BB">
            <w:rPr>
              <w:rFonts w:ascii="Times New Roman" w:hAnsi="Times New Roman"/>
            </w:rPr>
            <w:t>Contrato de Concesión Portuaria No. 003 de 2015.</w:t>
          </w:r>
        </w:p>
        <w:p w14:paraId="7FA629D7" w14:textId="02C83DBC" w:rsidR="00274429" w:rsidRPr="009A46BB" w:rsidRDefault="00274429" w:rsidP="10D44305">
          <w:pPr>
            <w:spacing w:after="0" w:afterAutospacing="1"/>
            <w:jc w:val="both"/>
            <w:rPr>
              <w:rFonts w:ascii="Times New Roman" w:hAnsi="Times New Roman"/>
            </w:rPr>
          </w:pPr>
          <w:r w:rsidRPr="009A46BB">
            <w:rPr>
              <w:rFonts w:ascii="Times New Roman" w:hAnsi="Times New Roman"/>
              <w:b/>
            </w:rPr>
            <w:t>Objeto / Descripción</w:t>
          </w:r>
          <w:r w:rsidRPr="009A46BB">
            <w:rPr>
              <w:rFonts w:ascii="Times New Roman" w:hAnsi="Times New Roman"/>
            </w:rPr>
            <w:t xml:space="preserve">: En virtud del Contrato de concesión y sus modificaciones, se permite al </w:t>
          </w:r>
          <w:r w:rsidRPr="10D44305">
            <w:rPr>
              <w:rFonts w:ascii="Times New Roman" w:hAnsi="Times New Roman"/>
            </w:rPr>
            <w:t>CONCESIONARIO</w:t>
          </w:r>
          <w:r w:rsidR="367C97A7" w:rsidRPr="10D44305">
            <w:rPr>
              <w:rFonts w:ascii="Times New Roman" w:hAnsi="Times New Roman"/>
            </w:rPr>
            <w:t xml:space="preserve"> </w:t>
          </w:r>
          <w:r w:rsidRPr="10D44305">
            <w:rPr>
              <w:rFonts w:ascii="Times New Roman" w:hAnsi="Times New Roman"/>
            </w:rPr>
            <w:t>la</w:t>
          </w:r>
          <w:r w:rsidRPr="009A46BB">
            <w:rPr>
              <w:rFonts w:ascii="Times New Roman" w:hAnsi="Times New Roman"/>
            </w:rPr>
            <w:t xml:space="preserve"> ocupación en forma temporal y exclusiva de los bienes de uso público descritos en la CLÁUSULA 2 BIENES CONCESIONADOS para la construcción y operación de un terminal portuario de uso público para el cargue y descargue de gráneles líquidos, en el que se propone la construcción de un muelle en "T" de 187 metros de longitud para atender buques de tipo Handy de 30.000 DWT y que conectará mediante un viaducto, en la modalidad de servicio público, a cambio de una contraprestación económica a favor del CONCEDENTE, en los términos descritos en la CLÁUSULA 13, conforme lo establece la Cláusula Primera del Contrato. La clase de servicio es Público.</w:t>
          </w:r>
        </w:p>
        <w:p w14:paraId="24A02C98" w14:textId="5AD52B7F" w:rsidR="00274429" w:rsidRPr="0079567A" w:rsidRDefault="00274429" w:rsidP="10D44305">
          <w:pPr>
            <w:spacing w:afterAutospacing="1"/>
            <w:jc w:val="both"/>
            <w:rPr>
              <w:rFonts w:ascii="Times New Roman" w:hAnsi="Times New Roman"/>
              <w:sz w:val="24"/>
              <w:szCs w:val="24"/>
            </w:rPr>
          </w:pPr>
          <w:r w:rsidRPr="00521A07">
            <w:rPr>
              <w:rFonts w:ascii="Times New Roman" w:hAnsi="Times New Roman"/>
              <w:b/>
              <w:bCs/>
              <w:sz w:val="24"/>
              <w:szCs w:val="24"/>
            </w:rPr>
            <w:t>Valor inicial:</w:t>
          </w:r>
          <w:r w:rsidR="446F2E22" w:rsidRPr="10D44305">
            <w:rPr>
              <w:rFonts w:ascii="Times New Roman" w:hAnsi="Times New Roman"/>
              <w:b/>
              <w:bCs/>
              <w:sz w:val="24"/>
              <w:szCs w:val="24"/>
            </w:rPr>
            <w:t xml:space="preserve"> </w:t>
          </w:r>
          <w:r w:rsidRPr="0079567A">
            <w:rPr>
              <w:rFonts w:ascii="Times New Roman" w:hAnsi="Times New Roman"/>
              <w:sz w:val="24"/>
              <w:szCs w:val="24"/>
            </w:rPr>
            <w:t xml:space="preserve">USD $950.575,00 / Cláusula decimotercera / Contrato No. 003 de 2015. </w:t>
          </w:r>
        </w:p>
        <w:p w14:paraId="2FDB9711" w14:textId="77777777" w:rsidR="00274429" w:rsidRPr="0079567A" w:rsidRDefault="00274429" w:rsidP="10D44305">
          <w:pPr>
            <w:spacing w:afterAutospacing="1"/>
            <w:jc w:val="both"/>
            <w:rPr>
              <w:rFonts w:ascii="Times New Roman" w:hAnsi="Times New Roman"/>
              <w:sz w:val="24"/>
              <w:szCs w:val="24"/>
            </w:rPr>
          </w:pPr>
          <w:r w:rsidRPr="0079567A">
            <w:rPr>
              <w:rFonts w:ascii="Times New Roman" w:hAnsi="Times New Roman"/>
              <w:sz w:val="24"/>
              <w:szCs w:val="24"/>
            </w:rPr>
            <w:t xml:space="preserve">Valor del Contrato actualizado: USD $797.712 / Cláusula sexta / Otrosí No. 2 de 2020. </w:t>
          </w:r>
        </w:p>
        <w:p w14:paraId="163F2478" w14:textId="77777777" w:rsidR="00274429" w:rsidRDefault="00274429" w:rsidP="10D44305">
          <w:pPr>
            <w:spacing w:afterAutospacing="1"/>
            <w:rPr>
              <w:rFonts w:ascii="Times New Roman" w:hAnsi="Times New Roman"/>
              <w:sz w:val="24"/>
              <w:szCs w:val="24"/>
            </w:rPr>
          </w:pPr>
          <w:r w:rsidRPr="00521A07">
            <w:rPr>
              <w:rFonts w:ascii="Times New Roman" w:hAnsi="Times New Roman"/>
              <w:b/>
              <w:bCs/>
              <w:sz w:val="24"/>
              <w:szCs w:val="24"/>
            </w:rPr>
            <w:lastRenderedPageBreak/>
            <w:t>Fecha de inicio:</w:t>
          </w:r>
          <w:r>
            <w:rPr>
              <w:rFonts w:ascii="Times New Roman" w:hAnsi="Times New Roman"/>
              <w:b/>
              <w:bCs/>
              <w:sz w:val="24"/>
              <w:szCs w:val="24"/>
            </w:rPr>
            <w:t xml:space="preserve"> </w:t>
          </w:r>
          <w:r>
            <w:rPr>
              <w:rFonts w:ascii="Times New Roman" w:hAnsi="Times New Roman"/>
              <w:sz w:val="24"/>
              <w:szCs w:val="24"/>
            </w:rPr>
            <w:t>15/04/2016</w:t>
          </w:r>
        </w:p>
        <w:p w14:paraId="0F66D967" w14:textId="77777777" w:rsidR="00274429" w:rsidRDefault="00274429" w:rsidP="10D44305">
          <w:pPr>
            <w:spacing w:after="0"/>
            <w:jc w:val="both"/>
            <w:rPr>
              <w:rFonts w:ascii="Times New Roman" w:hAnsi="Times New Roman"/>
              <w:sz w:val="24"/>
              <w:szCs w:val="24"/>
            </w:rPr>
          </w:pPr>
          <w:r w:rsidRPr="00521A07">
            <w:rPr>
              <w:rFonts w:ascii="Times New Roman" w:hAnsi="Times New Roman"/>
              <w:b/>
              <w:bCs/>
              <w:sz w:val="24"/>
              <w:szCs w:val="24"/>
            </w:rPr>
            <w:t>Fecha de finalización estimada:</w:t>
          </w:r>
          <w:r>
            <w:rPr>
              <w:rFonts w:ascii="Times New Roman" w:hAnsi="Times New Roman"/>
              <w:b/>
              <w:bCs/>
              <w:sz w:val="24"/>
              <w:szCs w:val="24"/>
            </w:rPr>
            <w:t xml:space="preserve"> </w:t>
          </w:r>
          <w:r>
            <w:rPr>
              <w:rFonts w:ascii="Times New Roman" w:hAnsi="Times New Roman"/>
              <w:sz w:val="24"/>
              <w:szCs w:val="24"/>
            </w:rPr>
            <w:t>14/04/2046</w:t>
          </w:r>
        </w:p>
        <w:p w14:paraId="77AEF4AB" w14:textId="77777777" w:rsidR="00274429" w:rsidRPr="009A46BB" w:rsidRDefault="00274429" w:rsidP="10D44305">
          <w:pPr>
            <w:spacing w:after="0"/>
            <w:jc w:val="both"/>
            <w:rPr>
              <w:rFonts w:ascii="Times New Roman" w:hAnsi="Times New Roman"/>
            </w:rPr>
          </w:pPr>
          <w:r w:rsidRPr="00521A07">
            <w:rPr>
              <w:rFonts w:ascii="Times New Roman" w:hAnsi="Times New Roman"/>
              <w:b/>
              <w:bCs/>
              <w:sz w:val="24"/>
              <w:szCs w:val="24"/>
            </w:rPr>
            <w:t>Tipo ID:</w:t>
          </w:r>
          <w:r>
            <w:rPr>
              <w:rFonts w:ascii="Times New Roman" w:hAnsi="Times New Roman"/>
              <w:b/>
              <w:bCs/>
              <w:sz w:val="24"/>
              <w:szCs w:val="24"/>
            </w:rPr>
            <w:t xml:space="preserve"> NIT</w:t>
          </w:r>
        </w:p>
        <w:p w14:paraId="0DED436D" w14:textId="77777777" w:rsidR="00274429" w:rsidRDefault="00274429" w:rsidP="10D44305">
          <w:pPr>
            <w:spacing w:after="0"/>
            <w:rPr>
              <w:rFonts w:ascii="Times New Roman" w:hAnsi="Times New Roman"/>
              <w:sz w:val="24"/>
              <w:szCs w:val="24"/>
            </w:rPr>
          </w:pPr>
          <w:r w:rsidRPr="00521A07">
            <w:rPr>
              <w:rFonts w:ascii="Times New Roman" w:hAnsi="Times New Roman"/>
              <w:b/>
              <w:bCs/>
              <w:sz w:val="24"/>
              <w:szCs w:val="24"/>
            </w:rPr>
            <w:t>Número ID:</w:t>
          </w:r>
          <w:r>
            <w:rPr>
              <w:rFonts w:ascii="Times New Roman" w:hAnsi="Times New Roman"/>
              <w:b/>
              <w:bCs/>
              <w:sz w:val="24"/>
              <w:szCs w:val="24"/>
            </w:rPr>
            <w:t xml:space="preserve"> </w:t>
          </w:r>
          <w:r w:rsidRPr="00B671F9">
            <w:rPr>
              <w:rFonts w:ascii="Times New Roman" w:hAnsi="Times New Roman"/>
              <w:sz w:val="24"/>
              <w:szCs w:val="24"/>
            </w:rPr>
            <w:t xml:space="preserve">900.364.519-7 </w:t>
          </w:r>
        </w:p>
        <w:p w14:paraId="62407773" w14:textId="5ABE3D10" w:rsidR="00274429" w:rsidRDefault="00274429" w:rsidP="10D44305">
          <w:pPr>
            <w:spacing w:after="0"/>
            <w:rPr>
              <w:rFonts w:ascii="Times New Roman" w:hAnsi="Times New Roman"/>
              <w:sz w:val="24"/>
              <w:szCs w:val="24"/>
            </w:rPr>
          </w:pPr>
          <w:r w:rsidRPr="00521A07">
            <w:rPr>
              <w:rFonts w:ascii="Times New Roman" w:hAnsi="Times New Roman"/>
              <w:b/>
              <w:bCs/>
              <w:sz w:val="24"/>
              <w:szCs w:val="24"/>
            </w:rPr>
            <w:t>Razón social del concesionario:</w:t>
          </w:r>
          <w:r w:rsidR="17CEA21B" w:rsidRPr="10D44305">
            <w:rPr>
              <w:rFonts w:ascii="Times New Roman" w:hAnsi="Times New Roman"/>
              <w:b/>
              <w:bCs/>
              <w:sz w:val="24"/>
              <w:szCs w:val="24"/>
            </w:rPr>
            <w:t xml:space="preserve"> </w:t>
          </w:r>
          <w:r w:rsidRPr="008C64DA">
            <w:rPr>
              <w:rFonts w:ascii="Times New Roman" w:hAnsi="Times New Roman"/>
              <w:sz w:val="24"/>
              <w:szCs w:val="24"/>
            </w:rPr>
            <w:t xml:space="preserve">SOCIEDAD PORTUARIA LAS AMÉRICAS S.A. </w:t>
          </w:r>
        </w:p>
        <w:p w14:paraId="5E336239" w14:textId="1C926651" w:rsidR="00274429" w:rsidRPr="004E3583" w:rsidRDefault="00274429" w:rsidP="10D44305">
          <w:pPr>
            <w:spacing w:after="0"/>
            <w:rPr>
              <w:rFonts w:ascii="Times New Roman" w:hAnsi="Times New Roman"/>
              <w:sz w:val="24"/>
              <w:szCs w:val="24"/>
            </w:rPr>
          </w:pPr>
          <w:r w:rsidRPr="00521A07">
            <w:rPr>
              <w:rFonts w:ascii="Times New Roman" w:hAnsi="Times New Roman"/>
              <w:b/>
              <w:bCs/>
              <w:sz w:val="24"/>
              <w:szCs w:val="24"/>
            </w:rPr>
            <w:t>Nombre del proyecto:</w:t>
          </w:r>
          <w:r w:rsidR="1E8B5147" w:rsidRPr="10D44305">
            <w:rPr>
              <w:rFonts w:ascii="Times New Roman" w:hAnsi="Times New Roman"/>
              <w:b/>
              <w:bCs/>
              <w:sz w:val="24"/>
              <w:szCs w:val="24"/>
            </w:rPr>
            <w:t xml:space="preserve"> </w:t>
          </w:r>
          <w:r w:rsidRPr="008C64DA">
            <w:rPr>
              <w:rFonts w:ascii="Times New Roman" w:hAnsi="Times New Roman"/>
              <w:sz w:val="24"/>
              <w:szCs w:val="24"/>
            </w:rPr>
            <w:t>SOCIEDAD PORTUARIA LAS AMÉRICAS S.A.</w:t>
          </w:r>
        </w:p>
        <w:p w14:paraId="6C068436" w14:textId="00094636" w:rsidR="10D44305" w:rsidRDefault="10D44305" w:rsidP="10D44305">
          <w:pPr>
            <w:spacing w:after="0"/>
            <w:rPr>
              <w:rFonts w:ascii="Times New Roman" w:hAnsi="Times New Roman"/>
              <w:sz w:val="24"/>
              <w:szCs w:val="24"/>
            </w:rPr>
          </w:pPr>
        </w:p>
        <w:p w14:paraId="744C10AD" w14:textId="77777777" w:rsidR="00274429" w:rsidRPr="003A32AC" w:rsidRDefault="00274429" w:rsidP="00E60BAB">
          <w:pPr>
            <w:pStyle w:val="Prrafodelista"/>
            <w:numPr>
              <w:ilvl w:val="0"/>
              <w:numId w:val="129"/>
            </w:numPr>
            <w:spacing w:line="259" w:lineRule="auto"/>
            <w:jc w:val="both"/>
            <w:rPr>
              <w:rFonts w:ascii="Times New Roman" w:hAnsi="Times New Roman"/>
              <w:b/>
              <w:bCs/>
              <w:sz w:val="24"/>
              <w:szCs w:val="24"/>
            </w:rPr>
          </w:pPr>
          <w:r w:rsidRPr="003A32AC">
            <w:rPr>
              <w:rFonts w:ascii="Times New Roman" w:hAnsi="Times New Roman"/>
              <w:b/>
              <w:bCs/>
              <w:sz w:val="24"/>
              <w:szCs w:val="24"/>
            </w:rPr>
            <w:t>Términos significativos del acuerdo que puedan afectar su valor, el calendario y la certeza de los flujos</w:t>
          </w:r>
        </w:p>
        <w:p w14:paraId="2528B33C" w14:textId="35C4423B"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valor:</w:t>
          </w:r>
        </w:p>
        <w:p w14:paraId="2570DE57" w14:textId="77777777" w:rsidR="00274429" w:rsidRDefault="00274429" w:rsidP="00274429">
          <w:pPr>
            <w:jc w:val="both"/>
            <w:rPr>
              <w:rFonts w:ascii="Times New Roman" w:hAnsi="Times New Roman"/>
              <w:sz w:val="24"/>
              <w:szCs w:val="24"/>
            </w:rPr>
          </w:pPr>
          <w:r w:rsidRPr="00FC7585">
            <w:rPr>
              <w:rFonts w:ascii="Times New Roman" w:hAnsi="Times New Roman"/>
              <w:b/>
              <w:bCs/>
              <w:sz w:val="24"/>
              <w:szCs w:val="24"/>
            </w:rPr>
            <w:t xml:space="preserve">Tarifas: </w:t>
          </w:r>
          <w:r w:rsidRPr="007845AC">
            <w:rPr>
              <w:rFonts w:ascii="Times New Roman" w:hAnsi="Times New Roman"/>
              <w:sz w:val="24"/>
              <w:szCs w:val="24"/>
            </w:rPr>
            <w:t xml:space="preserve">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 </w:t>
          </w:r>
        </w:p>
        <w:p w14:paraId="760E6567" w14:textId="77777777" w:rsidR="00274429" w:rsidRDefault="00274429" w:rsidP="00274429">
          <w:pPr>
            <w:jc w:val="both"/>
            <w:rPr>
              <w:rFonts w:ascii="Times New Roman" w:hAnsi="Times New Roman"/>
              <w:sz w:val="24"/>
              <w:szCs w:val="24"/>
            </w:rPr>
          </w:pPr>
          <w:r w:rsidRPr="009A46BB">
            <w:rPr>
              <w:rFonts w:ascii="Times New Roman" w:hAnsi="Times New Roman"/>
              <w:b/>
            </w:rPr>
            <w:t>Contraprestación portuaria</w:t>
          </w:r>
          <w:r w:rsidRPr="009A46BB">
            <w:rPr>
              <w:rFonts w:ascii="Times New Roman" w:hAnsi="Times New Roman"/>
            </w:rPr>
            <w:t xml:space="preserve">: </w:t>
          </w:r>
          <w:r w:rsidRPr="007F257A">
            <w:rPr>
              <w:rFonts w:ascii="Times New Roman" w:hAnsi="Times New Roman"/>
              <w:sz w:val="24"/>
              <w:szCs w:val="24"/>
            </w:rPr>
            <w:t>De acuerdo con el último documento contractual vigente la metodología de contraprestación vigente es CONPES 3744 de 2013 (Componentes Fijo y Variable). A febrero de 2023 el CONCESIONARIO debió pagar la suma de USD 37.471 por contraprestación</w:t>
          </w:r>
          <w:r>
            <w:rPr>
              <w:rFonts w:ascii="Times New Roman" w:hAnsi="Times New Roman"/>
              <w:sz w:val="24"/>
              <w:szCs w:val="24"/>
            </w:rPr>
            <w:t xml:space="preserve"> </w:t>
          </w:r>
          <w:r w:rsidRPr="00BB6BFB">
            <w:rPr>
              <w:rFonts w:ascii="Times New Roman" w:hAnsi="Times New Roman"/>
              <w:sz w:val="24"/>
              <w:szCs w:val="24"/>
            </w:rPr>
            <w:t>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municipio Taganga, Magdalena.</w:t>
          </w:r>
        </w:p>
        <w:p w14:paraId="21550A4B" w14:textId="77777777" w:rsidR="00274429" w:rsidRDefault="00274429" w:rsidP="00274429">
          <w:pPr>
            <w:jc w:val="both"/>
            <w:rPr>
              <w:rStyle w:val="Estilo3"/>
            </w:rPr>
          </w:pPr>
          <w:r w:rsidRPr="00A93D24">
            <w:rPr>
              <w:rStyle w:val="Estilo3"/>
              <w:b/>
              <w:bCs/>
            </w:rPr>
            <w:t>Plan de Inversiones:</w:t>
          </w:r>
          <w:r w:rsidRPr="00840555">
            <w:rPr>
              <w:rStyle w:val="Estilo3"/>
            </w:rPr>
            <w:t xml:space="preserve"> </w:t>
          </w:r>
          <w:r w:rsidRPr="00152352">
            <w:rPr>
              <w:rStyle w:val="Estilo3"/>
            </w:rPr>
            <w:t xml:space="preserve">Está establecido en la cláusula decimosegunda del contrato, modificado por el Otrosí No.2 de 2020 en la cláusula quinta establece el plan de inversiones será de $13.326.731 en dólares constantes de diciembre de 2015. </w:t>
          </w:r>
        </w:p>
        <w:p w14:paraId="5678AC0C" w14:textId="77777777" w:rsidR="00274429" w:rsidRPr="009A46BB" w:rsidRDefault="00274429" w:rsidP="00274429">
          <w:pPr>
            <w:jc w:val="both"/>
            <w:rPr>
              <w:rFonts w:ascii="Times New Roman" w:hAnsi="Times New Roman"/>
            </w:rPr>
          </w:pPr>
          <w:r w:rsidRPr="009A46BB">
            <w:rPr>
              <w:rFonts w:ascii="Times New Roman" w:hAnsi="Times New Roman"/>
            </w:rPr>
            <w:t xml:space="preserve">Obligaciones del CONCESIONARIO: Se encuentran descritas en la cláusula vigésima del contrato No. 003 de 2015 y en la cláusula séptima del Otrosí No.2 de 2020. </w:t>
          </w:r>
        </w:p>
        <w:p w14:paraId="6E6D292A" w14:textId="77777777" w:rsidR="00274429" w:rsidRPr="009A46BB" w:rsidRDefault="00274429" w:rsidP="00274429">
          <w:pPr>
            <w:jc w:val="both"/>
            <w:rPr>
              <w:rFonts w:ascii="Times New Roman" w:hAnsi="Times New Roman"/>
            </w:rPr>
          </w:pPr>
          <w:r w:rsidRPr="009A46BB">
            <w:rPr>
              <w:rFonts w:ascii="Times New Roman" w:hAnsi="Times New Roman"/>
            </w:rPr>
            <w:t xml:space="preserve">Multas y sanciones: Están establecidas en la cláusula vigesimotercera del contrato. </w:t>
          </w:r>
        </w:p>
        <w:p w14:paraId="6CD1242B" w14:textId="77777777" w:rsidR="00274429" w:rsidRPr="009A46BB" w:rsidRDefault="00274429" w:rsidP="00274429">
          <w:pPr>
            <w:jc w:val="both"/>
            <w:rPr>
              <w:rFonts w:ascii="Times New Roman" w:hAnsi="Times New Roman"/>
            </w:rPr>
          </w:pPr>
          <w:r w:rsidRPr="009A46BB">
            <w:rPr>
              <w:rFonts w:ascii="Times New Roman" w:hAnsi="Times New Roman"/>
            </w:rPr>
            <w:t>Penal pecuniario: En la cláusula vigésima cuarta del contrato se establece que en el evento en que CONCEDENTE declare la caducidad o el incumplimiento del presente contrato se podrá imponer una penalidad pecuniaria</w:t>
          </w:r>
        </w:p>
        <w:p w14:paraId="2E6585D3" w14:textId="452DAFFE" w:rsidR="00274429" w:rsidRPr="009A46BB" w:rsidRDefault="00274429" w:rsidP="00274429">
          <w:pPr>
            <w:jc w:val="both"/>
            <w:rPr>
              <w:rFonts w:ascii="Times New Roman" w:hAnsi="Times New Roman"/>
            </w:rPr>
          </w:pPr>
          <w:r w:rsidRPr="009A46BB">
            <w:rPr>
              <w:rFonts w:ascii="Times New Roman" w:hAnsi="Times New Roman"/>
            </w:rPr>
            <w:t>Riesgos: Están descritos en la cláusula decimoséptima del contrato, el CONCESIONARIO asume los efectos derivados de los riesgos que se listan en el contrato, los que se desprenden de las cláusulas o estipulaciones del contrato, sus anexos o que se deriven de la naturaleza del contrato, el CONCESIONARIO asume el riesgo del estado en que se encuentren las zonas de uso público concesionadas y los bienes muebles e inmuebles que lo conforman.</w:t>
          </w:r>
        </w:p>
        <w:p w14:paraId="07CBC167" w14:textId="77777777" w:rsidR="00274429" w:rsidRPr="009A46BB" w:rsidRDefault="00274429" w:rsidP="00274429">
          <w:pPr>
            <w:jc w:val="both"/>
            <w:rPr>
              <w:rFonts w:ascii="Times New Roman" w:hAnsi="Times New Roman"/>
            </w:rPr>
          </w:pPr>
          <w:r w:rsidRPr="009A46BB">
            <w:rPr>
              <w:rFonts w:ascii="Times New Roman" w:hAnsi="Times New Roman"/>
            </w:rPr>
            <w:t xml:space="preserve">Cláusula décima primera del Otrosí No. 2 de 2020 - Riesgos. La modificación de las condiciones de la concesión contenidas en el presente Otrosí no implica ningún cambio en la identificación y asignación de los riesgos del contrato de concesión ni genera modificación alguna del esquema de riesgos </w:t>
          </w:r>
          <w:r w:rsidRPr="009A46BB">
            <w:rPr>
              <w:rFonts w:ascii="Times New Roman" w:hAnsi="Times New Roman"/>
            </w:rPr>
            <w:lastRenderedPageBreak/>
            <w:t>asignados en su totalidad al concesionario SOCIEDAD PORTUARIA LAS AMÉRICAS S.A, conforme lo estable la Cláusula 17 del Contrato de Concesión Portuaria No. 003 de 2015</w:t>
          </w:r>
        </w:p>
        <w:p w14:paraId="2EC7466A" w14:textId="77777777" w:rsidR="00274429" w:rsidRDefault="00274429" w:rsidP="00274429">
          <w:pPr>
            <w:jc w:val="both"/>
            <w:rPr>
              <w:rFonts w:ascii="Times New Roman" w:hAnsi="Times New Roman"/>
              <w:b/>
              <w:bCs/>
              <w:sz w:val="24"/>
              <w:szCs w:val="24"/>
            </w:rPr>
          </w:pPr>
          <w:r w:rsidRPr="004C1095">
            <w:rPr>
              <w:rFonts w:ascii="Times New Roman" w:hAnsi="Times New Roman"/>
              <w:b/>
              <w:bCs/>
              <w:sz w:val="24"/>
              <w:szCs w:val="24"/>
            </w:rPr>
            <w:t>Términos de calendario:</w:t>
          </w:r>
        </w:p>
        <w:p w14:paraId="2DE51A9D" w14:textId="77777777" w:rsidR="00274429" w:rsidRPr="00F16CEF" w:rsidRDefault="00274429" w:rsidP="00274429">
          <w:pPr>
            <w:jc w:val="both"/>
            <w:rPr>
              <w:rStyle w:val="Estilo3"/>
            </w:rPr>
          </w:pPr>
          <w:r w:rsidRPr="00F16CEF">
            <w:rPr>
              <w:rStyle w:val="Estilo3"/>
            </w:rPr>
            <w:t xml:space="preserve">Tarifas: Aprobadas según la metodología establecida por la Superintendencia General de Puertos hoy Superintendencia de Transporte. </w:t>
          </w:r>
        </w:p>
        <w:p w14:paraId="493AC529" w14:textId="77777777" w:rsidR="00274429" w:rsidRPr="00F16CEF" w:rsidRDefault="00274429" w:rsidP="00274429">
          <w:pPr>
            <w:jc w:val="both"/>
            <w:rPr>
              <w:rStyle w:val="Estilo3"/>
            </w:rPr>
          </w:pPr>
          <w:r w:rsidRPr="00F16CEF">
            <w:rPr>
              <w:rStyle w:val="Estilo3"/>
            </w:rPr>
            <w:t xml:space="preserve">Contraprestación portuaria: Anexo 2 Conpes 3744 de 2013 “(…) Antes de finalizar los meses de febrero cada concesionario deberá corregir su liquidación del año anterior según el movimiento de carga real y la indexación del valor de referencia por metro cuadrado, del avalúo de la infraestructura concesionada y de los cargos, así como realizar el pago anticipado del año en curso con base en lo proyectado en el FCL definitivo” </w:t>
          </w:r>
        </w:p>
        <w:p w14:paraId="6EAAA4B6" w14:textId="77777777" w:rsidR="00274429" w:rsidRPr="00F16CEF" w:rsidRDefault="00274429" w:rsidP="00274429">
          <w:pPr>
            <w:jc w:val="both"/>
            <w:rPr>
              <w:rStyle w:val="Estilo3"/>
            </w:rPr>
          </w:pPr>
          <w:r w:rsidRPr="00F16CEF">
            <w:rPr>
              <w:rStyle w:val="Estilo3"/>
            </w:rPr>
            <w:t xml:space="preserve">Plan de inversiones: Se estableció en la cláusula quinta del Otrosí No. 2 de 2020 ejecución de inversiones en el periodo de tiempo comprendido entre el año 2020 a 2022. </w:t>
          </w:r>
        </w:p>
        <w:p w14:paraId="237DCCC2" w14:textId="77777777" w:rsidR="00274429" w:rsidRPr="00F16CEF" w:rsidRDefault="00274429" w:rsidP="00274429">
          <w:pPr>
            <w:jc w:val="both"/>
            <w:rPr>
              <w:rStyle w:val="Estilo3"/>
            </w:rPr>
          </w:pPr>
          <w:r w:rsidRPr="00F16CEF">
            <w:rPr>
              <w:rStyle w:val="Estilo3"/>
            </w:rPr>
            <w:t>Multas: Están establecidas en la cláusula vigesimotercera del contrato No. 003 de 2015.</w:t>
          </w:r>
        </w:p>
        <w:p w14:paraId="2C250505" w14:textId="77777777"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certeza de flujos de efectivo futuros:</w:t>
          </w:r>
          <w:r>
            <w:rPr>
              <w:rFonts w:ascii="Times New Roman" w:hAnsi="Times New Roman"/>
              <w:b/>
              <w:bCs/>
              <w:sz w:val="24"/>
              <w:szCs w:val="24"/>
            </w:rPr>
            <w:t xml:space="preserve"> </w:t>
          </w:r>
        </w:p>
        <w:p w14:paraId="233E62CA" w14:textId="77777777" w:rsidR="00274429" w:rsidRPr="009A46BB" w:rsidRDefault="00274429" w:rsidP="00274429">
          <w:pPr>
            <w:jc w:val="both"/>
            <w:rPr>
              <w:rFonts w:ascii="Times New Roman" w:hAnsi="Times New Roman"/>
            </w:rPr>
          </w:pPr>
          <w:r w:rsidRPr="009A46BB">
            <w:rPr>
              <w:rFonts w:ascii="Times New Roman" w:hAnsi="Times New Roman"/>
            </w:rPr>
            <w:t xml:space="preserve">Se permite al CONCESIONARIO la ocupación en forma temporal y exclusiva de los bienes de uso público descritos en la CLÁUSULA 2 BIENES CONCESIONADOS del contrato No. 003 de 2015 para la construcción y operación de un terminal portuario de uso público para el cargue y descargue de gráneles líquidos, a cambio de la contraprestación económica. </w:t>
          </w:r>
        </w:p>
        <w:p w14:paraId="2B60AE49" w14:textId="77777777" w:rsidR="00274429" w:rsidRPr="009A46BB" w:rsidRDefault="00274429" w:rsidP="00274429">
          <w:pPr>
            <w:jc w:val="both"/>
            <w:rPr>
              <w:rFonts w:ascii="Times New Roman" w:hAnsi="Times New Roman"/>
            </w:rPr>
          </w:pPr>
          <w:r w:rsidRPr="009A46BB">
            <w:rPr>
              <w:rFonts w:ascii="Times New Roman" w:hAnsi="Times New Roman"/>
            </w:rPr>
            <w:t>El Anexo 1 del Otrosí No.2 de 2020, el valor a pagar por concepto de contraprestación por Zona de Uso público el 80% le corresponde a la Nación-INVIAS y el 20 % al municipio.</w:t>
          </w:r>
        </w:p>
        <w:p w14:paraId="370AE443" w14:textId="77777777" w:rsidR="00274429" w:rsidRPr="00E151A9" w:rsidRDefault="00274429" w:rsidP="00E60BAB">
          <w:pPr>
            <w:pStyle w:val="Prrafodelista"/>
            <w:numPr>
              <w:ilvl w:val="0"/>
              <w:numId w:val="129"/>
            </w:numPr>
            <w:spacing w:line="259" w:lineRule="auto"/>
            <w:jc w:val="both"/>
            <w:rPr>
              <w:rFonts w:ascii="Times New Roman" w:hAnsi="Times New Roman"/>
              <w:b/>
              <w:bCs/>
              <w:sz w:val="24"/>
              <w:szCs w:val="24"/>
            </w:rPr>
          </w:pPr>
          <w:r w:rsidRPr="00E151A9">
            <w:rPr>
              <w:rFonts w:ascii="Times New Roman" w:hAnsi="Times New Roman"/>
              <w:b/>
              <w:bCs/>
              <w:sz w:val="24"/>
              <w:szCs w:val="24"/>
            </w:rPr>
            <w:t>Naturaleza y alcance del derecho a utilizar activos especificados, de los aspectos pactados en torno a lo que se espera que el concesionario proporcione en relación con el acuerdo de concesión (Se requiere ser breves, precisos, y concisos en la redacción)</w:t>
          </w:r>
        </w:p>
        <w:p w14:paraId="37E3AB97" w14:textId="77777777" w:rsidR="00274429" w:rsidRDefault="00274429" w:rsidP="00274429">
          <w:pPr>
            <w:jc w:val="both"/>
            <w:rPr>
              <w:rFonts w:ascii="Times New Roman" w:hAnsi="Times New Roman"/>
              <w:b/>
              <w:bCs/>
              <w:sz w:val="24"/>
              <w:szCs w:val="24"/>
            </w:rPr>
          </w:pPr>
          <w:r w:rsidRPr="00217110">
            <w:rPr>
              <w:rFonts w:ascii="Times New Roman" w:hAnsi="Times New Roman"/>
              <w:b/>
              <w:bCs/>
              <w:sz w:val="24"/>
              <w:szCs w:val="24"/>
            </w:rPr>
            <w:t>Naturaleza y alcance del derecho de uso de los activos</w:t>
          </w:r>
        </w:p>
        <w:p w14:paraId="343AA41C" w14:textId="04C585F5" w:rsidR="00274429" w:rsidRDefault="00274429" w:rsidP="00274429">
          <w:pPr>
            <w:jc w:val="both"/>
            <w:rPr>
              <w:rFonts w:ascii="Times New Roman" w:hAnsi="Times New Roman"/>
              <w:b/>
              <w:bCs/>
              <w:sz w:val="24"/>
              <w:szCs w:val="24"/>
            </w:rPr>
          </w:pPr>
          <w:r w:rsidRPr="003E5FA9">
            <w:rPr>
              <w:rFonts w:ascii="Times New Roman" w:hAnsi="Times New Roman"/>
              <w:b/>
              <w:bCs/>
              <w:sz w:val="24"/>
              <w:szCs w:val="24"/>
            </w:rPr>
            <w:t>Descripción:</w:t>
          </w:r>
        </w:p>
        <w:p w14:paraId="48B6A15C" w14:textId="77777777" w:rsidR="00274429" w:rsidRPr="009A46BB" w:rsidRDefault="00274429" w:rsidP="00274429">
          <w:pPr>
            <w:jc w:val="both"/>
            <w:rPr>
              <w:rFonts w:ascii="Times New Roman" w:hAnsi="Times New Roman"/>
            </w:rPr>
          </w:pPr>
          <w:r w:rsidRPr="009A46BB">
            <w:rPr>
              <w:rFonts w:ascii="Times New Roman" w:hAnsi="Times New Roman"/>
            </w:rPr>
            <w:t xml:space="preserve">Activos reconocidos </w:t>
          </w:r>
        </w:p>
        <w:p w14:paraId="21592270" w14:textId="77777777" w:rsidR="00274429" w:rsidRPr="009A46BB" w:rsidRDefault="00274429" w:rsidP="00274429">
          <w:pPr>
            <w:jc w:val="both"/>
            <w:rPr>
              <w:rFonts w:ascii="Times New Roman" w:hAnsi="Times New Roman"/>
            </w:rPr>
          </w:pPr>
          <w:r w:rsidRPr="009A46BB">
            <w:rPr>
              <w:rFonts w:ascii="Times New Roman" w:hAnsi="Times New Roman"/>
            </w:rPr>
            <w:t xml:space="preserve">Alcance del derecho de uso de los activos: </w:t>
          </w:r>
        </w:p>
        <w:p w14:paraId="738AD842" w14:textId="28B0C3F3" w:rsidR="00274429" w:rsidRPr="009A46BB" w:rsidRDefault="00274429" w:rsidP="00274429">
          <w:pPr>
            <w:jc w:val="both"/>
            <w:rPr>
              <w:rFonts w:ascii="Times New Roman" w:hAnsi="Times New Roman"/>
            </w:rPr>
          </w:pPr>
          <w:r w:rsidRPr="009A46BB">
            <w:rPr>
              <w:rFonts w:ascii="Times New Roman" w:hAnsi="Times New Roman"/>
            </w:rPr>
            <w:t xml:space="preserve">Descripción del proyecto, especificaciones técnicas, modalidades de operación: las condiciones especiales de operación del puerto están establecidas en la cláusula segunda del otrosí No. 2 de 2020. </w:t>
          </w:r>
        </w:p>
        <w:p w14:paraId="3097574F" w14:textId="77777777" w:rsidR="00274429" w:rsidRPr="009A46BB" w:rsidRDefault="00274429" w:rsidP="00274429">
          <w:pPr>
            <w:jc w:val="both"/>
            <w:rPr>
              <w:rFonts w:ascii="Times New Roman" w:hAnsi="Times New Roman"/>
            </w:rPr>
          </w:pPr>
          <w:r w:rsidRPr="009A46BB">
            <w:rPr>
              <w:rFonts w:ascii="Times New Roman" w:hAnsi="Times New Roman"/>
            </w:rPr>
            <w:t>Área entregada en concesión: La descripción de la ubicación, linderos y extensión de los bienes de uso público (playas y terrenos de baja mar, zonas marítimas accesorias de maniobras) entregados en concesión están establecidos en la cláusula Primera del Otrosí No. 2 de 2020.</w:t>
          </w:r>
        </w:p>
        <w:p w14:paraId="38FD4AF1" w14:textId="77777777" w:rsidR="00274429" w:rsidRPr="007A403F" w:rsidRDefault="00274429" w:rsidP="00274429">
          <w:pPr>
            <w:jc w:val="both"/>
            <w:rPr>
              <w:rFonts w:ascii="Times New Roman" w:hAnsi="Times New Roman"/>
              <w:sz w:val="24"/>
              <w:szCs w:val="24"/>
            </w:rPr>
          </w:pPr>
          <w:r w:rsidRPr="003E5FA9">
            <w:rPr>
              <w:rFonts w:ascii="Times New Roman" w:hAnsi="Times New Roman"/>
              <w:b/>
              <w:bCs/>
              <w:sz w:val="24"/>
              <w:szCs w:val="24"/>
            </w:rPr>
            <w:t>Observaciones:</w:t>
          </w:r>
          <w:r>
            <w:rPr>
              <w:rFonts w:ascii="Times New Roman" w:hAnsi="Times New Roman"/>
              <w:b/>
              <w:bCs/>
              <w:sz w:val="24"/>
              <w:szCs w:val="24"/>
            </w:rPr>
            <w:t xml:space="preserve"> </w:t>
          </w:r>
          <w:r>
            <w:rPr>
              <w:rFonts w:ascii="Times New Roman" w:hAnsi="Times New Roman"/>
              <w:sz w:val="24"/>
              <w:szCs w:val="24"/>
            </w:rPr>
            <w:t>NA</w:t>
          </w:r>
          <w:r w:rsidRPr="007A403F">
            <w:rPr>
              <w:rFonts w:ascii="Times New Roman" w:hAnsi="Times New Roman"/>
              <w:sz w:val="24"/>
              <w:szCs w:val="24"/>
            </w:rPr>
            <w:t xml:space="preserve">. </w:t>
          </w:r>
        </w:p>
        <w:p w14:paraId="6830BFD6" w14:textId="77777777" w:rsidR="00274429" w:rsidRDefault="00274429" w:rsidP="00274429">
          <w:pPr>
            <w:jc w:val="both"/>
            <w:rPr>
              <w:rFonts w:ascii="Times New Roman" w:hAnsi="Times New Roman"/>
              <w:b/>
              <w:bCs/>
              <w:sz w:val="24"/>
              <w:szCs w:val="24"/>
            </w:rPr>
          </w:pPr>
          <w:r>
            <w:rPr>
              <w:rFonts w:ascii="Times New Roman" w:hAnsi="Times New Roman"/>
              <w:b/>
              <w:bCs/>
              <w:sz w:val="24"/>
              <w:szCs w:val="24"/>
            </w:rPr>
            <w:t>Retribución al Concesionario</w:t>
          </w:r>
        </w:p>
        <w:p w14:paraId="313C6F1A" w14:textId="77777777" w:rsidR="00274429" w:rsidRPr="009A46BB" w:rsidRDefault="00274429" w:rsidP="00274429">
          <w:pPr>
            <w:jc w:val="both"/>
            <w:rPr>
              <w:rFonts w:ascii="Times New Roman" w:hAnsi="Times New Roman"/>
            </w:rPr>
          </w:pPr>
          <w:r w:rsidRPr="009A46BB">
            <w:rPr>
              <w:rFonts w:ascii="Times New Roman" w:hAnsi="Times New Roman"/>
              <w:b/>
            </w:rPr>
            <w:lastRenderedPageBreak/>
            <w:t xml:space="preserve">Descripción: </w:t>
          </w:r>
          <w:r w:rsidRPr="009A46BB">
            <w:rPr>
              <w:rFonts w:ascii="Times New Roman" w:hAnsi="Times New Roman"/>
            </w:rPr>
            <w:t xml:space="preserve">En la Cláusula primera del Contrato No. 003 de 2015 se permite al CONCESIONARIO la ocupación en forma temporal y exclusiva de los bienes de uso público descritos en la CLÁUSULA 2 BIENES CONCESIONADOS para la construcción y operación de un terminal portuario de uso público para el cargue y descargue de gráneles líquidos, a cambio de la contraprestación económica </w:t>
          </w:r>
        </w:p>
        <w:p w14:paraId="767F03AC" w14:textId="77777777" w:rsidR="00274429" w:rsidRPr="00351837" w:rsidRDefault="00274429" w:rsidP="00274429">
          <w:pPr>
            <w:rPr>
              <w:rFonts w:ascii="Times New Roman" w:hAnsi="Times New Roman"/>
              <w:b/>
              <w:bCs/>
              <w:sz w:val="24"/>
              <w:szCs w:val="24"/>
            </w:rPr>
          </w:pPr>
          <w:r>
            <w:rPr>
              <w:rFonts w:ascii="Times New Roman" w:hAnsi="Times New Roman"/>
              <w:b/>
              <w:bCs/>
              <w:sz w:val="24"/>
              <w:szCs w:val="24"/>
            </w:rPr>
            <w:t>Tasa de retribución: NA</w:t>
          </w:r>
        </w:p>
        <w:p w14:paraId="01BCC56A" w14:textId="77777777" w:rsidR="00274429" w:rsidRPr="00421699" w:rsidRDefault="00274429" w:rsidP="00E60BAB">
          <w:pPr>
            <w:pStyle w:val="Prrafodelista"/>
            <w:numPr>
              <w:ilvl w:val="0"/>
              <w:numId w:val="129"/>
            </w:numPr>
            <w:spacing w:line="259" w:lineRule="auto"/>
            <w:jc w:val="both"/>
            <w:rPr>
              <w:rFonts w:ascii="Times New Roman" w:hAnsi="Times New Roman"/>
              <w:b/>
              <w:bCs/>
              <w:sz w:val="24"/>
              <w:szCs w:val="24"/>
            </w:rPr>
          </w:pPr>
          <w:r w:rsidRPr="00421699">
            <w:rPr>
              <w:rFonts w:ascii="Times New Roman" w:hAnsi="Times New Roman"/>
              <w:b/>
              <w:bCs/>
              <w:sz w:val="24"/>
              <w:szCs w:val="24"/>
            </w:rPr>
            <w:t>Derechos a recibir activos especificados al final del acuerdo de concesión</w:t>
          </w:r>
        </w:p>
        <w:p w14:paraId="41EE2496" w14:textId="77777777" w:rsidR="00274429" w:rsidRPr="002E5541" w:rsidRDefault="00274429" w:rsidP="00274429">
          <w:pPr>
            <w:rPr>
              <w:rFonts w:ascii="Times New Roman" w:hAnsi="Times New Roman"/>
              <w:sz w:val="24"/>
              <w:szCs w:val="24"/>
            </w:rPr>
          </w:pPr>
          <w:r w:rsidRPr="006D56DF">
            <w:rPr>
              <w:rFonts w:ascii="Times New Roman" w:hAnsi="Times New Roman"/>
              <w:b/>
              <w:bCs/>
              <w:sz w:val="24"/>
              <w:szCs w:val="24"/>
            </w:rPr>
            <w:t>Descripción:</w:t>
          </w:r>
          <w:r>
            <w:rPr>
              <w:rFonts w:ascii="Times New Roman" w:hAnsi="Times New Roman"/>
              <w:b/>
              <w:bCs/>
              <w:sz w:val="24"/>
              <w:szCs w:val="24"/>
            </w:rPr>
            <w:t xml:space="preserve"> </w:t>
          </w:r>
          <w:r w:rsidRPr="002E5541">
            <w:rPr>
              <w:rFonts w:ascii="Times New Roman" w:hAnsi="Times New Roman"/>
              <w:sz w:val="24"/>
              <w:szCs w:val="24"/>
            </w:rPr>
            <w:t>De acuerdo con el Artículo 8º de la Ley 1ª de 1991 en el modo portuario el concesionario no tiene derechos finales sobre activos los debe revertir a la Nación al final del contrato de concesión.</w:t>
          </w:r>
        </w:p>
        <w:p w14:paraId="67FE675B" w14:textId="77777777" w:rsidR="00274429" w:rsidRPr="00351837" w:rsidRDefault="00274429" w:rsidP="00274429">
          <w:pPr>
            <w:rPr>
              <w:rFonts w:ascii="Times New Roman" w:hAnsi="Times New Roman"/>
              <w:sz w:val="24"/>
              <w:szCs w:val="24"/>
            </w:rPr>
          </w:pPr>
          <w:r w:rsidRPr="006D56DF">
            <w:rPr>
              <w:rFonts w:ascii="Times New Roman" w:hAnsi="Times New Roman"/>
              <w:b/>
              <w:bCs/>
              <w:sz w:val="24"/>
              <w:szCs w:val="24"/>
            </w:rPr>
            <w:t>Observaciones:</w:t>
          </w:r>
          <w:r w:rsidRPr="009A46BB">
            <w:rPr>
              <w:rFonts w:ascii="Times New Roman" w:hAnsi="Times New Roman"/>
            </w:rPr>
            <w:t xml:space="preserve"> </w:t>
          </w:r>
        </w:p>
        <w:p w14:paraId="25D00F3D" w14:textId="005998ED" w:rsidR="00274429" w:rsidRPr="00624387" w:rsidRDefault="00274429" w:rsidP="00274429">
          <w:pPr>
            <w:jc w:val="both"/>
            <w:rPr>
              <w:rFonts w:ascii="Times New Roman" w:hAnsi="Times New Roman"/>
              <w:sz w:val="24"/>
              <w:szCs w:val="24"/>
            </w:rPr>
          </w:pPr>
          <w:r w:rsidRPr="00624387">
            <w:rPr>
              <w:rFonts w:ascii="Times New Roman" w:hAnsi="Times New Roman"/>
              <w:sz w:val="24"/>
              <w:szCs w:val="24"/>
            </w:rPr>
            <w:t>Reversión: De acuerdo con lo establecido en la cláusula trigésima cuarta del contrato de concesión,</w:t>
          </w:r>
          <w:r w:rsidR="154D868B" w:rsidRPr="10D44305">
            <w:rPr>
              <w:rFonts w:ascii="Times New Roman" w:hAnsi="Times New Roman"/>
              <w:sz w:val="24"/>
              <w:szCs w:val="24"/>
            </w:rPr>
            <w:t xml:space="preserve"> </w:t>
          </w:r>
          <w:r w:rsidRPr="00624387">
            <w:rPr>
              <w:rFonts w:ascii="Times New Roman" w:hAnsi="Times New Roman"/>
              <w:sz w:val="24"/>
              <w:szCs w:val="24"/>
            </w:rPr>
            <w:t xml:space="preserve">la zona de uso público y todas las </w:t>
          </w:r>
          <w:r w:rsidRPr="10D44305">
            <w:rPr>
              <w:rFonts w:ascii="Times New Roman" w:hAnsi="Times New Roman"/>
              <w:sz w:val="24"/>
              <w:szCs w:val="24"/>
            </w:rPr>
            <w:t>construcci</w:t>
          </w:r>
          <w:r w:rsidR="12C688C3" w:rsidRPr="10D44305">
            <w:rPr>
              <w:rFonts w:ascii="Times New Roman" w:hAnsi="Times New Roman"/>
              <w:sz w:val="24"/>
              <w:szCs w:val="24"/>
            </w:rPr>
            <w:t>ó</w:t>
          </w:r>
          <w:r w:rsidRPr="10D44305">
            <w:rPr>
              <w:rFonts w:ascii="Times New Roman" w:hAnsi="Times New Roman"/>
              <w:sz w:val="24"/>
              <w:szCs w:val="24"/>
            </w:rPr>
            <w:t>n</w:t>
          </w:r>
          <w:r w:rsidR="123CC704" w:rsidRPr="10D44305">
            <w:rPr>
              <w:rFonts w:ascii="Times New Roman" w:hAnsi="Times New Roman"/>
              <w:sz w:val="24"/>
              <w:szCs w:val="24"/>
            </w:rPr>
            <w:t xml:space="preserve"> </w:t>
          </w:r>
          <w:r w:rsidRPr="10D44305">
            <w:rPr>
              <w:rFonts w:ascii="Times New Roman" w:hAnsi="Times New Roman"/>
              <w:sz w:val="24"/>
              <w:szCs w:val="24"/>
            </w:rPr>
            <w:t>ese</w:t>
          </w:r>
          <w:r w:rsidRPr="00624387">
            <w:rPr>
              <w:rFonts w:ascii="Times New Roman" w:hAnsi="Times New Roman"/>
              <w:sz w:val="24"/>
              <w:szCs w:val="24"/>
            </w:rPr>
            <w:t xml:space="preserve"> inmuebles por destinación existentes, así como los que autorice la ANI , levantadas y construidas en la zona de uso público que ha sido determinada o que se encuentre habitualmente instalada en ellas y afectas a la concesión, serán revertidas gratuitamente por el CONCESIONARIO a la Nación- Instituto Nacional de Vías INVIAS conforme a lo dispuesto en el artículo 8 de la Ley 1ª de 1991,en buen estado de operación y </w:t>
          </w:r>
          <w:r w:rsidRPr="10D44305">
            <w:rPr>
              <w:rFonts w:ascii="Times New Roman" w:hAnsi="Times New Roman"/>
              <w:sz w:val="24"/>
              <w:szCs w:val="24"/>
            </w:rPr>
            <w:t>mantenimiento</w:t>
          </w:r>
          <w:r w:rsidR="5EF06B49" w:rsidRPr="10D44305">
            <w:rPr>
              <w:rFonts w:ascii="Times New Roman" w:hAnsi="Times New Roman"/>
              <w:sz w:val="24"/>
              <w:szCs w:val="24"/>
            </w:rPr>
            <w:t xml:space="preserve"> </w:t>
          </w:r>
          <w:r w:rsidRPr="10D44305">
            <w:rPr>
              <w:rFonts w:ascii="Times New Roman" w:hAnsi="Times New Roman"/>
              <w:sz w:val="24"/>
              <w:szCs w:val="24"/>
            </w:rPr>
            <w:t>al</w:t>
          </w:r>
          <w:r w:rsidRPr="00624387">
            <w:rPr>
              <w:rFonts w:ascii="Times New Roman" w:hAnsi="Times New Roman"/>
              <w:sz w:val="24"/>
              <w:szCs w:val="24"/>
            </w:rPr>
            <w:t xml:space="preserve"> extinguirse el plazo de la misma o al ser declarada la caducidad. Dichos bienes deberán entregarse en buenas condiciones de operación tecnológica, mantenimiento y adecuada eficiencia al término de este contrato.</w:t>
          </w:r>
        </w:p>
        <w:p w14:paraId="39E55055" w14:textId="77777777" w:rsidR="00274429" w:rsidRPr="00624387" w:rsidRDefault="00274429" w:rsidP="00274429">
          <w:pPr>
            <w:jc w:val="both"/>
            <w:rPr>
              <w:rFonts w:ascii="Times New Roman" w:hAnsi="Times New Roman"/>
              <w:sz w:val="24"/>
              <w:szCs w:val="24"/>
            </w:rPr>
          </w:pPr>
          <w:r w:rsidRPr="00624387">
            <w:rPr>
              <w:rFonts w:ascii="Times New Roman" w:hAnsi="Times New Roman"/>
              <w:sz w:val="24"/>
              <w:szCs w:val="24"/>
            </w:rPr>
            <w:t xml:space="preserve">Para tal fin, en el momento de la reversión el CONCESIONARIO deberá hacer entrega de un avaluó comercial actualizado y valoración técnica de las condiciones de operación de la infraestructura portuaria, equipos e inmuebles por destinación que habitualmente se encuentren instalados en las zonas de uso público que se revierten y que son propiedad de la Nación. </w:t>
          </w:r>
        </w:p>
        <w:p w14:paraId="2D47970F" w14:textId="77777777" w:rsidR="00274429" w:rsidRPr="00624387" w:rsidRDefault="00274429" w:rsidP="00274429">
          <w:pPr>
            <w:jc w:val="both"/>
            <w:rPr>
              <w:rFonts w:ascii="Times New Roman" w:hAnsi="Times New Roman"/>
              <w:sz w:val="24"/>
              <w:szCs w:val="24"/>
            </w:rPr>
          </w:pPr>
          <w:r w:rsidRPr="00624387">
            <w:rPr>
              <w:rFonts w:ascii="Times New Roman" w:hAnsi="Times New Roman"/>
              <w:sz w:val="24"/>
              <w:szCs w:val="24"/>
            </w:rPr>
            <w:t>La ANI es la entidad concedente pero la titularidad de los activos al final de la concesión es del Instituto Nacional de Vías INVIAS.</w:t>
          </w:r>
        </w:p>
        <w:p w14:paraId="2E7AED8C" w14:textId="10D158D1" w:rsidR="00274429" w:rsidRDefault="03077F1D" w:rsidP="00E60BAB">
          <w:pPr>
            <w:pStyle w:val="Prrafodelista"/>
            <w:numPr>
              <w:ilvl w:val="0"/>
              <w:numId w:val="129"/>
            </w:numPr>
            <w:spacing w:line="259" w:lineRule="auto"/>
            <w:jc w:val="both"/>
            <w:rPr>
              <w:rFonts w:ascii="Times New Roman" w:hAnsi="Times New Roman"/>
              <w:b/>
              <w:bCs/>
              <w:sz w:val="24"/>
              <w:szCs w:val="24"/>
            </w:rPr>
          </w:pPr>
          <w:r w:rsidRPr="10D44305">
            <w:rPr>
              <w:rFonts w:ascii="Times New Roman" w:hAnsi="Times New Roman"/>
              <w:b/>
              <w:bCs/>
              <w:sz w:val="24"/>
              <w:szCs w:val="24"/>
            </w:rPr>
            <w:t>No hay c</w:t>
          </w:r>
          <w:r w:rsidR="00274429" w:rsidRPr="10D44305">
            <w:rPr>
              <w:rFonts w:ascii="Times New Roman" w:hAnsi="Times New Roman"/>
              <w:b/>
              <w:bCs/>
              <w:sz w:val="24"/>
              <w:szCs w:val="24"/>
            </w:rPr>
            <w:t>ambios</w:t>
          </w:r>
          <w:r w:rsidR="00274429" w:rsidRPr="00D42094">
            <w:rPr>
              <w:rFonts w:ascii="Times New Roman" w:hAnsi="Times New Roman"/>
              <w:b/>
              <w:bCs/>
              <w:sz w:val="24"/>
              <w:szCs w:val="24"/>
            </w:rPr>
            <w:t xml:space="preserve"> en el acuerdo de concesión que se realicen durante el periodo fiscal </w:t>
          </w:r>
        </w:p>
        <w:p w14:paraId="1265377C" w14:textId="77777777" w:rsidR="00274429" w:rsidRPr="00197A12" w:rsidRDefault="00274429" w:rsidP="006D2BD8">
          <w:pPr>
            <w:pStyle w:val="Prrafodelista"/>
            <w:jc w:val="both"/>
            <w:rPr>
              <w:rFonts w:ascii="Times New Roman" w:hAnsi="Times New Roman"/>
              <w:b/>
              <w:bCs/>
              <w:sz w:val="24"/>
              <w:szCs w:val="24"/>
            </w:rPr>
          </w:pPr>
        </w:p>
        <w:p w14:paraId="500E49E4" w14:textId="77777777" w:rsidR="00274429" w:rsidRPr="00197A12" w:rsidRDefault="00274429" w:rsidP="00274429">
          <w:pPr>
            <w:spacing w:after="0" w:line="240" w:lineRule="auto"/>
            <w:jc w:val="both"/>
            <w:rPr>
              <w:rFonts w:ascii="Times New Roman" w:hAnsi="Times New Roman"/>
              <w:b/>
              <w:bCs/>
              <w:sz w:val="24"/>
              <w:szCs w:val="24"/>
            </w:rPr>
          </w:pPr>
        </w:p>
        <w:p w14:paraId="4F35925C" w14:textId="77777777" w:rsidR="00274429" w:rsidRDefault="00274429" w:rsidP="00274429">
          <w:pPr>
            <w:rPr>
              <w:rFonts w:ascii="Times New Roman" w:hAnsi="Times New Roman"/>
              <w:b/>
              <w:sz w:val="24"/>
              <w:szCs w:val="24"/>
            </w:rPr>
          </w:pPr>
          <w:r w:rsidRPr="10D44305">
            <w:rPr>
              <w:rFonts w:ascii="Times New Roman" w:hAnsi="Times New Roman"/>
              <w:b/>
              <w:sz w:val="24"/>
              <w:szCs w:val="24"/>
            </w:rPr>
            <w:t xml:space="preserve">PETRÓLEOS Y DERIVADOS DE COLOMBIA S.A. </w:t>
          </w:r>
        </w:p>
        <w:p w14:paraId="553CA7CA" w14:textId="77777777" w:rsidR="00274429" w:rsidRPr="00926315" w:rsidRDefault="00274429" w:rsidP="00E60BAB">
          <w:pPr>
            <w:pStyle w:val="Prrafodelista"/>
            <w:numPr>
              <w:ilvl w:val="0"/>
              <w:numId w:val="130"/>
            </w:numPr>
            <w:spacing w:line="259" w:lineRule="auto"/>
            <w:jc w:val="both"/>
            <w:rPr>
              <w:rFonts w:ascii="Times New Roman" w:hAnsi="Times New Roman"/>
              <w:b/>
              <w:bCs/>
              <w:sz w:val="24"/>
              <w:szCs w:val="24"/>
            </w:rPr>
          </w:pPr>
          <w:r w:rsidRPr="00926315">
            <w:rPr>
              <w:rFonts w:ascii="Times New Roman" w:hAnsi="Times New Roman"/>
              <w:b/>
              <w:bCs/>
              <w:sz w:val="24"/>
              <w:szCs w:val="24"/>
            </w:rPr>
            <w:t>Descripción del acuerdo</w:t>
          </w:r>
        </w:p>
        <w:p w14:paraId="12FDDE75" w14:textId="09968DE2" w:rsidR="00274429" w:rsidRPr="009A46BB" w:rsidRDefault="00274429" w:rsidP="10D44305">
          <w:pPr>
            <w:spacing w:after="0"/>
            <w:jc w:val="both"/>
            <w:rPr>
              <w:rFonts w:ascii="Times New Roman" w:hAnsi="Times New Roman"/>
            </w:rPr>
          </w:pPr>
          <w:r w:rsidRPr="009A46BB">
            <w:rPr>
              <w:rFonts w:ascii="Times New Roman" w:hAnsi="Times New Roman"/>
              <w:b/>
            </w:rPr>
            <w:t>Número del acuerdo de concesión:</w:t>
          </w:r>
          <w:r w:rsidR="1B665300" w:rsidRPr="10D44305">
            <w:rPr>
              <w:rFonts w:ascii="Times New Roman" w:hAnsi="Times New Roman"/>
              <w:b/>
              <w:bCs/>
            </w:rPr>
            <w:t xml:space="preserve"> </w:t>
          </w:r>
          <w:r w:rsidRPr="009A46BB">
            <w:rPr>
              <w:rFonts w:ascii="Times New Roman" w:hAnsi="Times New Roman"/>
            </w:rPr>
            <w:t xml:space="preserve">Contrato de Concesión portuaria No. 004 de 2015. </w:t>
          </w:r>
        </w:p>
        <w:p w14:paraId="304BDB76" w14:textId="4CB5D7F5" w:rsidR="00274429" w:rsidRPr="009A46BB" w:rsidRDefault="00274429" w:rsidP="10D44305">
          <w:pPr>
            <w:spacing w:after="0"/>
            <w:jc w:val="both"/>
            <w:rPr>
              <w:rFonts w:ascii="Times New Roman" w:hAnsi="Times New Roman"/>
            </w:rPr>
          </w:pPr>
          <w:r w:rsidRPr="009A46BB">
            <w:rPr>
              <w:rFonts w:ascii="Times New Roman" w:hAnsi="Times New Roman"/>
              <w:b/>
            </w:rPr>
            <w:t>Objeto / Descripción</w:t>
          </w:r>
          <w:r w:rsidRPr="009A46BB">
            <w:rPr>
              <w:rFonts w:ascii="Times New Roman" w:hAnsi="Times New Roman"/>
            </w:rPr>
            <w:t xml:space="preserve">: En virtud del Contrato de concesión, se permite al CONCESIONARIO “la ocupación en forma temporal y exclusiva de los bienes de uso público una zonas de playas, de bajamar y aguas marítimas accesorias descritos en la cláusula segunda BIENES CONCESIONADOS para ocupar y utilizar en forma temporal y exclusiva los bienes de uso público propiedad de la Nación, localizados en el municipio de Tumaco para la construcción y operación de un muelle de servicio privado a cambio de una contraprestación económica a favor del CONCEDENTE, en los términos </w:t>
          </w:r>
          <w:r w:rsidRPr="009A46BB">
            <w:rPr>
              <w:rFonts w:ascii="Times New Roman" w:hAnsi="Times New Roman"/>
            </w:rPr>
            <w:lastRenderedPageBreak/>
            <w:t>descritos en la cláusula trece VALOR DEL CONTRATO Y DE LA CONTRAPRESTACIÓN de este contrato”, conforme lo establece la Cláusula Primera del Contrato de concesión portuaria.</w:t>
          </w:r>
        </w:p>
        <w:p w14:paraId="692F171B" w14:textId="0C0C42F1" w:rsidR="00274429" w:rsidRPr="00023268" w:rsidRDefault="00274429" w:rsidP="10D44305">
          <w:pPr>
            <w:spacing w:after="0"/>
            <w:rPr>
              <w:rFonts w:ascii="Times New Roman" w:hAnsi="Times New Roman"/>
              <w:sz w:val="24"/>
              <w:szCs w:val="24"/>
            </w:rPr>
          </w:pPr>
          <w:r w:rsidRPr="00521A07">
            <w:rPr>
              <w:rFonts w:ascii="Times New Roman" w:hAnsi="Times New Roman"/>
              <w:b/>
              <w:bCs/>
              <w:sz w:val="24"/>
              <w:szCs w:val="24"/>
            </w:rPr>
            <w:t>Valor inicial:</w:t>
          </w:r>
          <w:r w:rsidR="15BB90FA" w:rsidRPr="10D44305">
            <w:rPr>
              <w:rFonts w:ascii="Times New Roman" w:hAnsi="Times New Roman"/>
              <w:b/>
              <w:bCs/>
              <w:sz w:val="24"/>
              <w:szCs w:val="24"/>
            </w:rPr>
            <w:t xml:space="preserve"> </w:t>
          </w:r>
          <w:r w:rsidRPr="00023268">
            <w:rPr>
              <w:rFonts w:ascii="Times New Roman" w:hAnsi="Times New Roman"/>
              <w:sz w:val="24"/>
              <w:szCs w:val="24"/>
            </w:rPr>
            <w:t>USD $ 655.930,00 / Clausula décimo tercera / Contrato No. 004 de 2015</w:t>
          </w:r>
        </w:p>
        <w:p w14:paraId="4E964D76" w14:textId="77777777" w:rsidR="00274429" w:rsidRDefault="00274429" w:rsidP="10D44305">
          <w:pPr>
            <w:spacing w:after="0"/>
            <w:rPr>
              <w:rFonts w:ascii="Times New Roman" w:hAnsi="Times New Roman"/>
              <w:sz w:val="24"/>
              <w:szCs w:val="24"/>
            </w:rPr>
          </w:pPr>
          <w:r w:rsidRPr="00521A07">
            <w:rPr>
              <w:rFonts w:ascii="Times New Roman" w:hAnsi="Times New Roman"/>
              <w:b/>
              <w:bCs/>
              <w:sz w:val="24"/>
              <w:szCs w:val="24"/>
            </w:rPr>
            <w:t>Fecha de inicio:</w:t>
          </w:r>
          <w:r>
            <w:rPr>
              <w:rFonts w:ascii="Times New Roman" w:hAnsi="Times New Roman"/>
              <w:b/>
              <w:bCs/>
              <w:sz w:val="24"/>
              <w:szCs w:val="24"/>
            </w:rPr>
            <w:t xml:space="preserve"> </w:t>
          </w:r>
          <w:r>
            <w:rPr>
              <w:rFonts w:ascii="Times New Roman" w:hAnsi="Times New Roman"/>
              <w:sz w:val="24"/>
              <w:szCs w:val="24"/>
            </w:rPr>
            <w:t>22/03/2017</w:t>
          </w:r>
        </w:p>
        <w:p w14:paraId="77267BDC" w14:textId="77777777" w:rsidR="00274429" w:rsidRDefault="00274429" w:rsidP="10D44305">
          <w:pPr>
            <w:spacing w:after="0"/>
            <w:jc w:val="both"/>
            <w:rPr>
              <w:rFonts w:ascii="Times New Roman" w:hAnsi="Times New Roman"/>
              <w:sz w:val="24"/>
              <w:szCs w:val="24"/>
            </w:rPr>
          </w:pPr>
          <w:r w:rsidRPr="00521A07">
            <w:rPr>
              <w:rFonts w:ascii="Times New Roman" w:hAnsi="Times New Roman"/>
              <w:b/>
              <w:bCs/>
              <w:sz w:val="24"/>
              <w:szCs w:val="24"/>
            </w:rPr>
            <w:t>Fecha de finalización estimada:</w:t>
          </w:r>
          <w:r>
            <w:rPr>
              <w:rFonts w:ascii="Times New Roman" w:hAnsi="Times New Roman"/>
              <w:b/>
              <w:bCs/>
              <w:sz w:val="24"/>
              <w:szCs w:val="24"/>
            </w:rPr>
            <w:t xml:space="preserve"> </w:t>
          </w:r>
          <w:r>
            <w:rPr>
              <w:rFonts w:ascii="Times New Roman" w:hAnsi="Times New Roman"/>
              <w:sz w:val="24"/>
              <w:szCs w:val="24"/>
            </w:rPr>
            <w:t>21/03/2035</w:t>
          </w:r>
        </w:p>
        <w:p w14:paraId="1A6A9884" w14:textId="77777777" w:rsidR="00274429" w:rsidRPr="009A46BB" w:rsidRDefault="00274429" w:rsidP="10D44305">
          <w:pPr>
            <w:spacing w:after="0"/>
            <w:jc w:val="both"/>
            <w:rPr>
              <w:rFonts w:ascii="Times New Roman" w:hAnsi="Times New Roman"/>
            </w:rPr>
          </w:pPr>
          <w:r w:rsidRPr="00521A07">
            <w:rPr>
              <w:rFonts w:ascii="Times New Roman" w:hAnsi="Times New Roman"/>
              <w:b/>
              <w:bCs/>
              <w:sz w:val="24"/>
              <w:szCs w:val="24"/>
            </w:rPr>
            <w:t>Tipo ID:</w:t>
          </w:r>
          <w:r>
            <w:rPr>
              <w:rFonts w:ascii="Times New Roman" w:hAnsi="Times New Roman"/>
              <w:b/>
              <w:bCs/>
              <w:sz w:val="24"/>
              <w:szCs w:val="24"/>
            </w:rPr>
            <w:t xml:space="preserve"> NIT</w:t>
          </w:r>
        </w:p>
        <w:p w14:paraId="0669C185" w14:textId="77777777" w:rsidR="00274429" w:rsidRPr="001067EF" w:rsidRDefault="00274429" w:rsidP="10D44305">
          <w:pPr>
            <w:spacing w:after="0"/>
            <w:rPr>
              <w:rFonts w:ascii="Times New Roman" w:hAnsi="Times New Roman"/>
              <w:sz w:val="24"/>
              <w:szCs w:val="24"/>
            </w:rPr>
          </w:pPr>
          <w:r w:rsidRPr="00521A07">
            <w:rPr>
              <w:rFonts w:ascii="Times New Roman" w:hAnsi="Times New Roman"/>
              <w:b/>
              <w:bCs/>
              <w:sz w:val="24"/>
              <w:szCs w:val="24"/>
            </w:rPr>
            <w:t>Número ID:</w:t>
          </w:r>
          <w:r>
            <w:rPr>
              <w:rFonts w:ascii="Times New Roman" w:hAnsi="Times New Roman"/>
              <w:b/>
              <w:bCs/>
              <w:sz w:val="24"/>
              <w:szCs w:val="24"/>
            </w:rPr>
            <w:t xml:space="preserve"> </w:t>
          </w:r>
          <w:r w:rsidRPr="001067EF">
            <w:rPr>
              <w:rFonts w:ascii="Times New Roman" w:hAnsi="Times New Roman"/>
              <w:sz w:val="24"/>
              <w:szCs w:val="24"/>
            </w:rPr>
            <w:t>900.135.202-6</w:t>
          </w:r>
        </w:p>
        <w:p w14:paraId="2231BC52" w14:textId="16C02989" w:rsidR="00274429" w:rsidRDefault="00274429" w:rsidP="10D44305">
          <w:pPr>
            <w:spacing w:after="0"/>
            <w:rPr>
              <w:rFonts w:ascii="Times New Roman" w:hAnsi="Times New Roman"/>
              <w:sz w:val="24"/>
              <w:szCs w:val="24"/>
            </w:rPr>
          </w:pPr>
          <w:r w:rsidRPr="00521A07">
            <w:rPr>
              <w:rFonts w:ascii="Times New Roman" w:hAnsi="Times New Roman"/>
              <w:b/>
              <w:bCs/>
              <w:sz w:val="24"/>
              <w:szCs w:val="24"/>
            </w:rPr>
            <w:t>Razón social del concesionario:</w:t>
          </w:r>
          <w:r w:rsidR="04305764" w:rsidRPr="10D44305">
            <w:rPr>
              <w:rFonts w:ascii="Times New Roman" w:hAnsi="Times New Roman"/>
              <w:b/>
              <w:bCs/>
              <w:sz w:val="24"/>
              <w:szCs w:val="24"/>
            </w:rPr>
            <w:t xml:space="preserve"> </w:t>
          </w:r>
          <w:r w:rsidRPr="006E09E3">
            <w:rPr>
              <w:rFonts w:ascii="Times New Roman" w:hAnsi="Times New Roman"/>
              <w:sz w:val="24"/>
              <w:szCs w:val="24"/>
            </w:rPr>
            <w:t>PETRÓLEOS Y DERIVADOS DE COLOMBIA S.A.</w:t>
          </w:r>
        </w:p>
        <w:p w14:paraId="691267AF" w14:textId="0A5C8FF5" w:rsidR="00274429" w:rsidRPr="004E3583" w:rsidRDefault="00274429" w:rsidP="00274429">
          <w:pPr>
            <w:rPr>
              <w:rFonts w:ascii="Times New Roman" w:hAnsi="Times New Roman"/>
              <w:sz w:val="24"/>
              <w:szCs w:val="24"/>
            </w:rPr>
          </w:pPr>
          <w:r w:rsidRPr="00521A07">
            <w:rPr>
              <w:rFonts w:ascii="Times New Roman" w:hAnsi="Times New Roman"/>
              <w:b/>
              <w:bCs/>
              <w:sz w:val="24"/>
              <w:szCs w:val="24"/>
            </w:rPr>
            <w:t>Nombre del proyecto:</w:t>
          </w:r>
          <w:r w:rsidR="3E0F0C36" w:rsidRPr="10D44305">
            <w:rPr>
              <w:rFonts w:ascii="Times New Roman" w:hAnsi="Times New Roman"/>
              <w:b/>
              <w:bCs/>
              <w:sz w:val="24"/>
              <w:szCs w:val="24"/>
            </w:rPr>
            <w:t xml:space="preserve"> </w:t>
          </w:r>
          <w:r w:rsidRPr="006E09E3">
            <w:rPr>
              <w:rFonts w:ascii="Times New Roman" w:hAnsi="Times New Roman"/>
              <w:sz w:val="24"/>
              <w:szCs w:val="24"/>
            </w:rPr>
            <w:t>PETRÓLEOS Y DERIVADOS DE COLOMBIA S.A.</w:t>
          </w:r>
        </w:p>
        <w:p w14:paraId="022092DF" w14:textId="77777777" w:rsidR="00274429" w:rsidRPr="003A32AC" w:rsidRDefault="00274429" w:rsidP="00E60BAB">
          <w:pPr>
            <w:pStyle w:val="Prrafodelista"/>
            <w:numPr>
              <w:ilvl w:val="0"/>
              <w:numId w:val="130"/>
            </w:numPr>
            <w:spacing w:line="259" w:lineRule="auto"/>
            <w:jc w:val="both"/>
            <w:rPr>
              <w:rFonts w:ascii="Times New Roman" w:hAnsi="Times New Roman"/>
              <w:b/>
              <w:bCs/>
              <w:sz w:val="24"/>
              <w:szCs w:val="24"/>
            </w:rPr>
          </w:pPr>
          <w:r w:rsidRPr="003A32AC">
            <w:rPr>
              <w:rFonts w:ascii="Times New Roman" w:hAnsi="Times New Roman"/>
              <w:b/>
              <w:bCs/>
              <w:sz w:val="24"/>
              <w:szCs w:val="24"/>
            </w:rPr>
            <w:t>Términos significativos del acuerdo que puedan afectar su valor, el calendario y la certeza de los flujos</w:t>
          </w:r>
        </w:p>
        <w:p w14:paraId="36AF36E0" w14:textId="5F1F40A9"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valor:</w:t>
          </w:r>
        </w:p>
        <w:p w14:paraId="7AD8FC40" w14:textId="77777777" w:rsidR="00274429" w:rsidRDefault="00274429" w:rsidP="00274429">
          <w:pPr>
            <w:jc w:val="both"/>
            <w:rPr>
              <w:rFonts w:ascii="Times New Roman" w:hAnsi="Times New Roman"/>
              <w:sz w:val="24"/>
              <w:szCs w:val="24"/>
            </w:rPr>
          </w:pPr>
          <w:r w:rsidRPr="00FC7585">
            <w:rPr>
              <w:rFonts w:ascii="Times New Roman" w:hAnsi="Times New Roman"/>
              <w:b/>
              <w:bCs/>
              <w:sz w:val="24"/>
              <w:szCs w:val="24"/>
            </w:rPr>
            <w:t xml:space="preserve">Tarifas: </w:t>
          </w:r>
          <w:r w:rsidRPr="008F3284">
            <w:rPr>
              <w:rFonts w:ascii="Times New Roman" w:hAnsi="Times New Roman"/>
              <w:sz w:val="24"/>
              <w:szCs w:val="24"/>
            </w:rPr>
            <w:t>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w:t>
          </w:r>
        </w:p>
        <w:p w14:paraId="71522207" w14:textId="77777777" w:rsidR="00274429" w:rsidRPr="00F96C82" w:rsidRDefault="00274429" w:rsidP="00274429">
          <w:pPr>
            <w:jc w:val="both"/>
            <w:rPr>
              <w:rFonts w:ascii="Times New Roman" w:hAnsi="Times New Roman"/>
              <w:sz w:val="24"/>
              <w:szCs w:val="24"/>
            </w:rPr>
          </w:pPr>
          <w:r w:rsidRPr="009A46BB">
            <w:rPr>
              <w:rFonts w:ascii="Times New Roman" w:hAnsi="Times New Roman"/>
              <w:b/>
            </w:rPr>
            <w:t>Contraprestación portuaria</w:t>
          </w:r>
          <w:r w:rsidRPr="009A46BB">
            <w:rPr>
              <w:rFonts w:ascii="Times New Roman" w:hAnsi="Times New Roman"/>
            </w:rPr>
            <w:t xml:space="preserve">: </w:t>
          </w:r>
          <w:r w:rsidRPr="001D44DD">
            <w:rPr>
              <w:rFonts w:ascii="Times New Roman" w:hAnsi="Times New Roman"/>
              <w:sz w:val="24"/>
              <w:szCs w:val="24"/>
            </w:rPr>
            <w:t xml:space="preserve">De acuerdo con el último documento contractual vigente la metodología de contraprestación vigente es CONPES 3744 de 2013 (Componentes Fijo y Variable). A febrero de 2022 el CONCESIONARIO debió pagar la suma de USD $45.726,39 por contraprestación.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w:t>
          </w:r>
          <w:r w:rsidRPr="00F96C82">
            <w:rPr>
              <w:rFonts w:ascii="Times New Roman" w:hAnsi="Times New Roman"/>
              <w:sz w:val="24"/>
              <w:szCs w:val="24"/>
            </w:rPr>
            <w:t xml:space="preserve">(INVIAS) y el 20% restante al municipio de Tumaco, Nariño. </w:t>
          </w:r>
        </w:p>
        <w:p w14:paraId="76F04D44" w14:textId="77777777" w:rsidR="00274429" w:rsidRDefault="00274429" w:rsidP="00274429">
          <w:pPr>
            <w:jc w:val="both"/>
            <w:rPr>
              <w:rFonts w:ascii="Times New Roman" w:hAnsi="Times New Roman"/>
              <w:sz w:val="24"/>
              <w:szCs w:val="24"/>
            </w:rPr>
          </w:pPr>
          <w:r w:rsidRPr="00F96C82">
            <w:rPr>
              <w:rFonts w:ascii="Times New Roman" w:hAnsi="Times New Roman"/>
              <w:sz w:val="24"/>
              <w:szCs w:val="24"/>
            </w:rPr>
            <w:t>Plan de Inversiones: Está establecido en la cláusula decimosegunda del contrato, el plan de Inversión será de USD $5.833.102 en valores constantes.</w:t>
          </w:r>
        </w:p>
        <w:p w14:paraId="7BD12B1A" w14:textId="77777777" w:rsidR="00274429" w:rsidRPr="00F83FC2" w:rsidRDefault="00274429" w:rsidP="00274429">
          <w:pPr>
            <w:jc w:val="both"/>
            <w:rPr>
              <w:rStyle w:val="Estilo3"/>
            </w:rPr>
          </w:pPr>
          <w:r w:rsidRPr="00F83FC2">
            <w:rPr>
              <w:rStyle w:val="Estilo3"/>
              <w:b/>
              <w:bCs/>
            </w:rPr>
            <w:t xml:space="preserve">Obligaciones del CONCESIONARIO: </w:t>
          </w:r>
          <w:r w:rsidRPr="00F83FC2">
            <w:rPr>
              <w:rStyle w:val="Estilo3"/>
            </w:rPr>
            <w:t xml:space="preserve">se encuentran descritas en la cláusula vigésima del contrato. </w:t>
          </w:r>
        </w:p>
        <w:p w14:paraId="226F78F6" w14:textId="77777777" w:rsidR="00274429" w:rsidRPr="00F83FC2" w:rsidRDefault="00274429" w:rsidP="00274429">
          <w:pPr>
            <w:jc w:val="both"/>
            <w:rPr>
              <w:rStyle w:val="Estilo3"/>
            </w:rPr>
          </w:pPr>
          <w:r w:rsidRPr="00F83FC2">
            <w:rPr>
              <w:rStyle w:val="Estilo3"/>
              <w:b/>
              <w:bCs/>
            </w:rPr>
            <w:t xml:space="preserve">Multas y sanciones: </w:t>
          </w:r>
          <w:r w:rsidRPr="00F83FC2">
            <w:rPr>
              <w:rStyle w:val="Estilo3"/>
            </w:rPr>
            <w:t>Están establecidas en la cláusula vigésima tercera del contrato.</w:t>
          </w:r>
        </w:p>
        <w:p w14:paraId="29803A3A" w14:textId="77777777" w:rsidR="00274429" w:rsidRPr="00F83FC2" w:rsidRDefault="00274429" w:rsidP="00274429">
          <w:pPr>
            <w:jc w:val="both"/>
            <w:rPr>
              <w:rStyle w:val="Estilo3"/>
            </w:rPr>
          </w:pPr>
          <w:r w:rsidRPr="00F83FC2">
            <w:rPr>
              <w:rStyle w:val="Estilo3"/>
              <w:b/>
              <w:bCs/>
            </w:rPr>
            <w:t xml:space="preserve">Penal pecuniario: </w:t>
          </w:r>
          <w:r w:rsidRPr="00F83FC2">
            <w:rPr>
              <w:rStyle w:val="Estilo3"/>
            </w:rPr>
            <w:t>En la cláusula vigésima cuarta se establece que en el evento en que el CONCEDENTE declare la caducidad o el Incumplimiento del presente contrato se podrá Imponer una penalidad pecuniaria.</w:t>
          </w:r>
        </w:p>
        <w:p w14:paraId="37469A23" w14:textId="77777777" w:rsidR="00274429" w:rsidRDefault="00274429" w:rsidP="00274429">
          <w:pPr>
            <w:jc w:val="both"/>
            <w:rPr>
              <w:rStyle w:val="Estilo3"/>
              <w:b/>
              <w:bCs/>
            </w:rPr>
          </w:pPr>
          <w:r w:rsidRPr="009A46BB">
            <w:rPr>
              <w:rFonts w:ascii="Times New Roman" w:hAnsi="Times New Roman"/>
            </w:rPr>
            <w:t>Riesgos: Están descritos en la cláusula decimoséptima, el CONCESIONARIO asume los efectos derivados de los riesgos enlistados en el contrato, además de aquellos que se desprendan de otras clausulas o estipulaciones del contrato y de sus anexos o que se deriven de la naturaleza de este contrato. No procederá reclamaciones del CONCESIONARIO basadas en el acaecimiento de algunos de los riesgos que fueron asumidos.</w:t>
          </w:r>
        </w:p>
        <w:p w14:paraId="2A940D1A" w14:textId="77777777" w:rsidR="00274429" w:rsidRDefault="00274429" w:rsidP="00274429">
          <w:pPr>
            <w:jc w:val="both"/>
            <w:rPr>
              <w:rFonts w:ascii="Times New Roman" w:hAnsi="Times New Roman"/>
              <w:b/>
              <w:bCs/>
              <w:sz w:val="24"/>
              <w:szCs w:val="24"/>
            </w:rPr>
          </w:pPr>
          <w:r w:rsidRPr="004C1095">
            <w:rPr>
              <w:rFonts w:ascii="Times New Roman" w:hAnsi="Times New Roman"/>
              <w:b/>
              <w:bCs/>
              <w:sz w:val="24"/>
              <w:szCs w:val="24"/>
            </w:rPr>
            <w:t>Términos de calendario:</w:t>
          </w:r>
        </w:p>
        <w:p w14:paraId="0CC776DD" w14:textId="77777777" w:rsidR="00274429" w:rsidRPr="00455C9A" w:rsidRDefault="00274429" w:rsidP="00274429">
          <w:pPr>
            <w:jc w:val="both"/>
            <w:rPr>
              <w:rStyle w:val="Estilo3"/>
            </w:rPr>
          </w:pPr>
          <w:r w:rsidRPr="00455C9A">
            <w:rPr>
              <w:rStyle w:val="Estilo3"/>
            </w:rPr>
            <w:lastRenderedPageBreak/>
            <w:t>Tarifas: Las sociedades portuarias que operan puertos de servicio privado podrán fijar libremente sus tarifas, pero mantendrán informada sobre ellas a la Superintendencia General de Puertos hoy Superintendencia de Transporte.</w:t>
          </w:r>
        </w:p>
        <w:p w14:paraId="5B27BCA6" w14:textId="77777777" w:rsidR="00274429" w:rsidRPr="00455C9A" w:rsidRDefault="00274429" w:rsidP="00274429">
          <w:pPr>
            <w:jc w:val="both"/>
            <w:rPr>
              <w:rStyle w:val="Estilo3"/>
            </w:rPr>
          </w:pPr>
          <w:r w:rsidRPr="00455C9A">
            <w:rPr>
              <w:rStyle w:val="Estilo3"/>
            </w:rPr>
            <w:t>Contraprestación portuaria: Contraprestación portuaria: Anexo 2 Conpes 3744 de 2013 “(…) Antes de finalizar los meses de febrero cada concesionario deberá corregir su liquidación del año anterior según el movimiento de carga real y la indexación del valor de referencia por metro cuadrado, del avalúo de la infraestructura concesionada y de los cargos, así como realizar el pago anticipado del año en curso con base en lo proyectado en el FCL definitivo”</w:t>
          </w:r>
        </w:p>
        <w:p w14:paraId="1E7D0745" w14:textId="77777777" w:rsidR="00274429" w:rsidRPr="00455C9A" w:rsidRDefault="00274429" w:rsidP="00274429">
          <w:pPr>
            <w:jc w:val="both"/>
            <w:rPr>
              <w:rStyle w:val="Estilo3"/>
            </w:rPr>
          </w:pPr>
          <w:r w:rsidRPr="00455C9A">
            <w:rPr>
              <w:rStyle w:val="Estilo3"/>
            </w:rPr>
            <w:t>Plan de inversiones: Está establecido en la cláusula decimosegunda del contrato, el plan de Inversión será de USD $5.833.102 en valores constantes y la ejecución de inversiones en el periodo de tiempo comprendido entre el año 2017 al 2018.</w:t>
          </w:r>
        </w:p>
        <w:p w14:paraId="3D8CA92D" w14:textId="77777777" w:rsidR="00274429" w:rsidRPr="00455C9A" w:rsidRDefault="00274429" w:rsidP="00274429">
          <w:pPr>
            <w:jc w:val="both"/>
            <w:rPr>
              <w:rStyle w:val="Estilo3"/>
            </w:rPr>
          </w:pPr>
          <w:r w:rsidRPr="00455C9A">
            <w:rPr>
              <w:rStyle w:val="Estilo3"/>
            </w:rPr>
            <w:t>Multas: Están establecidas en la cláusula vigésima tercera del contrato.</w:t>
          </w:r>
        </w:p>
        <w:p w14:paraId="5842E549" w14:textId="77777777"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certeza de flujos de efectivo futuros:</w:t>
          </w:r>
          <w:r>
            <w:rPr>
              <w:rFonts w:ascii="Times New Roman" w:hAnsi="Times New Roman"/>
              <w:b/>
              <w:bCs/>
              <w:sz w:val="24"/>
              <w:szCs w:val="24"/>
            </w:rPr>
            <w:t xml:space="preserve"> </w:t>
          </w:r>
        </w:p>
        <w:p w14:paraId="1962F55E" w14:textId="77777777" w:rsidR="00274429" w:rsidRPr="009A46BB" w:rsidRDefault="00274429" w:rsidP="00274429">
          <w:pPr>
            <w:jc w:val="both"/>
            <w:rPr>
              <w:rFonts w:ascii="Times New Roman" w:hAnsi="Times New Roman"/>
            </w:rPr>
          </w:pPr>
          <w:r w:rsidRPr="009A46BB">
            <w:rPr>
              <w:rFonts w:ascii="Times New Roman" w:hAnsi="Times New Roman"/>
            </w:rPr>
            <w:t>Se otorga a EL CONCESIONARIO la autorización de la ocupación en forma temporal y exclusiva de los bienes de uso público en zonas de playas, bajamar y aguas marítimas accesorias descritos en la CLÁUSULA 2 BIENES CONCESIONADOS, a cambio de una contraprestación económica.</w:t>
          </w:r>
        </w:p>
        <w:p w14:paraId="046BD472" w14:textId="77777777" w:rsidR="00274429" w:rsidRPr="009A46BB" w:rsidRDefault="00274429" w:rsidP="00274429">
          <w:pPr>
            <w:jc w:val="both"/>
            <w:rPr>
              <w:rFonts w:ascii="Times New Roman" w:hAnsi="Times New Roman"/>
            </w:rPr>
          </w:pPr>
          <w:r w:rsidRPr="009A46BB">
            <w:rPr>
              <w:rFonts w:ascii="Times New Roman" w:hAnsi="Times New Roman"/>
            </w:rPr>
            <w:t>Cláusula decimotercera, parágrafo sexto, el pago de la contraprestación con relación al componente fijo y variable le corresponde a la Nación- Instituto Nacional de Vías el 80% y el 20% restante al Municipio de Tumaco, Departamento de Nariño, de acuerdo con lo establecido en el parágrafo 1º del artículo 1º de la Ley 856 del 21 de diciembre de 2003, que modifico el artículo 7º de la Ley 1ª de 1991.</w:t>
          </w:r>
        </w:p>
        <w:p w14:paraId="37C1BCDB" w14:textId="77777777" w:rsidR="00274429" w:rsidRPr="00E151A9" w:rsidRDefault="00274429" w:rsidP="00E60BAB">
          <w:pPr>
            <w:pStyle w:val="Prrafodelista"/>
            <w:numPr>
              <w:ilvl w:val="0"/>
              <w:numId w:val="130"/>
            </w:numPr>
            <w:spacing w:line="259" w:lineRule="auto"/>
            <w:jc w:val="both"/>
            <w:rPr>
              <w:rFonts w:ascii="Times New Roman" w:hAnsi="Times New Roman"/>
              <w:b/>
              <w:bCs/>
              <w:sz w:val="24"/>
              <w:szCs w:val="24"/>
            </w:rPr>
          </w:pPr>
          <w:r w:rsidRPr="00E151A9">
            <w:rPr>
              <w:rFonts w:ascii="Times New Roman" w:hAnsi="Times New Roman"/>
              <w:b/>
              <w:bCs/>
              <w:sz w:val="24"/>
              <w:szCs w:val="24"/>
            </w:rPr>
            <w:t>Naturaleza y alcance del derecho a utilizar activos especificados, de los aspectos pactados en torno a lo que se espera que el concesionario proporcione en relación con el acuerdo de concesión (Se requiere ser breves, precisos, y concisos en la redacción)</w:t>
          </w:r>
        </w:p>
        <w:p w14:paraId="1E76F42E" w14:textId="77777777" w:rsidR="00274429" w:rsidRDefault="00274429" w:rsidP="00274429">
          <w:pPr>
            <w:jc w:val="both"/>
            <w:rPr>
              <w:rFonts w:ascii="Times New Roman" w:hAnsi="Times New Roman"/>
              <w:b/>
              <w:bCs/>
              <w:sz w:val="24"/>
              <w:szCs w:val="24"/>
            </w:rPr>
          </w:pPr>
          <w:r w:rsidRPr="00217110">
            <w:rPr>
              <w:rFonts w:ascii="Times New Roman" w:hAnsi="Times New Roman"/>
              <w:b/>
              <w:bCs/>
              <w:sz w:val="24"/>
              <w:szCs w:val="24"/>
            </w:rPr>
            <w:t>Naturaleza y alcance del derecho de uso de los activos</w:t>
          </w:r>
        </w:p>
        <w:p w14:paraId="54823B49" w14:textId="4D0079F9" w:rsidR="00274429" w:rsidRDefault="00274429" w:rsidP="00274429">
          <w:pPr>
            <w:jc w:val="both"/>
            <w:rPr>
              <w:rFonts w:ascii="Times New Roman" w:hAnsi="Times New Roman"/>
              <w:b/>
              <w:bCs/>
              <w:sz w:val="24"/>
              <w:szCs w:val="24"/>
            </w:rPr>
          </w:pPr>
          <w:r w:rsidRPr="003E5FA9">
            <w:rPr>
              <w:rFonts w:ascii="Times New Roman" w:hAnsi="Times New Roman"/>
              <w:b/>
              <w:bCs/>
              <w:sz w:val="24"/>
              <w:szCs w:val="24"/>
            </w:rPr>
            <w:t>Descripción:</w:t>
          </w:r>
        </w:p>
        <w:p w14:paraId="232950AA" w14:textId="2654127C" w:rsidR="00274429" w:rsidRPr="009A46BB" w:rsidRDefault="00274429" w:rsidP="00274429">
          <w:pPr>
            <w:jc w:val="both"/>
            <w:rPr>
              <w:rFonts w:ascii="Times New Roman" w:hAnsi="Times New Roman"/>
            </w:rPr>
          </w:pPr>
          <w:r w:rsidRPr="009A46BB">
            <w:rPr>
              <w:rFonts w:ascii="Times New Roman" w:hAnsi="Times New Roman"/>
            </w:rPr>
            <w:t>Descripción del proyecto, especificaciones técnicas, modalidades de operación: la información correspondiente a la descripción del proyecto, especificaciones técnicas, volumen y clase de carga, así como la modalidad de operación se encuentran contempladas en la en la cláusula quinta del contrato de concesión portuaria.</w:t>
          </w:r>
        </w:p>
        <w:p w14:paraId="030847E1" w14:textId="77777777" w:rsidR="00274429" w:rsidRPr="009A46BB" w:rsidRDefault="00274429" w:rsidP="00274429">
          <w:pPr>
            <w:jc w:val="both"/>
            <w:rPr>
              <w:rFonts w:ascii="Times New Roman" w:hAnsi="Times New Roman"/>
            </w:rPr>
          </w:pPr>
          <w:r w:rsidRPr="009A46BB">
            <w:rPr>
              <w:rFonts w:ascii="Times New Roman" w:hAnsi="Times New Roman"/>
            </w:rPr>
            <w:t>Área entregada en concesión: La descripción de la ubicación y extensión de los bienes de uso público entregados en concesión están establecidos en la cláusula segunda del contrato de concesión portuaria.</w:t>
          </w:r>
        </w:p>
        <w:p w14:paraId="6FBA261A" w14:textId="77777777" w:rsidR="00274429" w:rsidRPr="007A403F" w:rsidRDefault="00274429" w:rsidP="00274429">
          <w:pPr>
            <w:jc w:val="both"/>
            <w:rPr>
              <w:rFonts w:ascii="Times New Roman" w:hAnsi="Times New Roman"/>
              <w:sz w:val="24"/>
              <w:szCs w:val="24"/>
            </w:rPr>
          </w:pPr>
          <w:r w:rsidRPr="003E5FA9">
            <w:rPr>
              <w:rFonts w:ascii="Times New Roman" w:hAnsi="Times New Roman"/>
              <w:b/>
              <w:bCs/>
              <w:sz w:val="24"/>
              <w:szCs w:val="24"/>
            </w:rPr>
            <w:t>Observaciones:</w:t>
          </w:r>
          <w:r>
            <w:rPr>
              <w:rFonts w:ascii="Times New Roman" w:hAnsi="Times New Roman"/>
              <w:b/>
              <w:bCs/>
              <w:sz w:val="24"/>
              <w:szCs w:val="24"/>
            </w:rPr>
            <w:t xml:space="preserve"> </w:t>
          </w:r>
          <w:r>
            <w:rPr>
              <w:rFonts w:ascii="Times New Roman" w:hAnsi="Times New Roman"/>
              <w:sz w:val="24"/>
              <w:szCs w:val="24"/>
            </w:rPr>
            <w:t>NA</w:t>
          </w:r>
          <w:r w:rsidRPr="007A403F">
            <w:rPr>
              <w:rFonts w:ascii="Times New Roman" w:hAnsi="Times New Roman"/>
              <w:sz w:val="24"/>
              <w:szCs w:val="24"/>
            </w:rPr>
            <w:t xml:space="preserve">. </w:t>
          </w:r>
        </w:p>
        <w:p w14:paraId="5354A975" w14:textId="77777777" w:rsidR="00274429" w:rsidRDefault="00274429" w:rsidP="00274429">
          <w:pPr>
            <w:jc w:val="both"/>
            <w:rPr>
              <w:rFonts w:ascii="Times New Roman" w:hAnsi="Times New Roman"/>
              <w:b/>
              <w:bCs/>
              <w:sz w:val="24"/>
              <w:szCs w:val="24"/>
            </w:rPr>
          </w:pPr>
          <w:r>
            <w:rPr>
              <w:rFonts w:ascii="Times New Roman" w:hAnsi="Times New Roman"/>
              <w:b/>
              <w:bCs/>
              <w:sz w:val="24"/>
              <w:szCs w:val="24"/>
            </w:rPr>
            <w:t>Retribución al Concesionario</w:t>
          </w:r>
        </w:p>
        <w:p w14:paraId="71F5E191" w14:textId="77777777" w:rsidR="00274429" w:rsidRPr="009A46BB" w:rsidRDefault="00274429" w:rsidP="00274429">
          <w:pPr>
            <w:jc w:val="both"/>
            <w:rPr>
              <w:rFonts w:ascii="Times New Roman" w:hAnsi="Times New Roman"/>
            </w:rPr>
          </w:pPr>
          <w:r w:rsidRPr="009A46BB">
            <w:rPr>
              <w:rFonts w:ascii="Times New Roman" w:hAnsi="Times New Roman"/>
              <w:b/>
            </w:rPr>
            <w:t xml:space="preserve">Descripción: </w:t>
          </w:r>
          <w:r w:rsidRPr="009A46BB">
            <w:rPr>
              <w:rFonts w:ascii="Times New Roman" w:hAnsi="Times New Roman"/>
            </w:rPr>
            <w:t xml:space="preserve">Cláusula primera Contrato No 004 de 2015: Se otorga a EL CONCESIONARIO la autorización de la ocupación en forma temporal y exclusiva de los bienes de uso público en zonas de </w:t>
          </w:r>
          <w:r w:rsidRPr="009A46BB">
            <w:rPr>
              <w:rFonts w:ascii="Times New Roman" w:hAnsi="Times New Roman"/>
            </w:rPr>
            <w:lastRenderedPageBreak/>
            <w:t>playas, bajamar y aguas marítimas accesorias descritos en la CLÁUSULA 2 BIENES CONCESIONADOS, a cambio de una contraprestación económica.</w:t>
          </w:r>
        </w:p>
        <w:p w14:paraId="00DB5F61" w14:textId="77777777" w:rsidR="00274429" w:rsidRPr="00351837" w:rsidRDefault="00274429" w:rsidP="00274429">
          <w:pPr>
            <w:rPr>
              <w:rFonts w:ascii="Times New Roman" w:hAnsi="Times New Roman"/>
              <w:b/>
              <w:bCs/>
              <w:sz w:val="24"/>
              <w:szCs w:val="24"/>
            </w:rPr>
          </w:pPr>
          <w:r>
            <w:rPr>
              <w:rFonts w:ascii="Times New Roman" w:hAnsi="Times New Roman"/>
              <w:b/>
              <w:bCs/>
              <w:sz w:val="24"/>
              <w:szCs w:val="24"/>
            </w:rPr>
            <w:t>Tasa de retribución: NA</w:t>
          </w:r>
        </w:p>
        <w:p w14:paraId="7AE6CEB2" w14:textId="77777777" w:rsidR="00274429" w:rsidRPr="00421699" w:rsidRDefault="00274429" w:rsidP="00E60BAB">
          <w:pPr>
            <w:pStyle w:val="Prrafodelista"/>
            <w:numPr>
              <w:ilvl w:val="0"/>
              <w:numId w:val="130"/>
            </w:numPr>
            <w:spacing w:line="259" w:lineRule="auto"/>
            <w:jc w:val="both"/>
            <w:rPr>
              <w:rFonts w:ascii="Times New Roman" w:hAnsi="Times New Roman"/>
              <w:b/>
              <w:bCs/>
              <w:sz w:val="24"/>
              <w:szCs w:val="24"/>
            </w:rPr>
          </w:pPr>
          <w:r w:rsidRPr="00421699">
            <w:rPr>
              <w:rFonts w:ascii="Times New Roman" w:hAnsi="Times New Roman"/>
              <w:b/>
              <w:bCs/>
              <w:sz w:val="24"/>
              <w:szCs w:val="24"/>
            </w:rPr>
            <w:t>Derechos a recibir activos especificados al final del acuerdo de concesión</w:t>
          </w:r>
        </w:p>
        <w:p w14:paraId="0394874B" w14:textId="77777777" w:rsidR="00274429" w:rsidRPr="006D3801" w:rsidRDefault="00274429" w:rsidP="00274429">
          <w:pPr>
            <w:rPr>
              <w:rFonts w:ascii="Times New Roman" w:hAnsi="Times New Roman"/>
              <w:sz w:val="24"/>
              <w:szCs w:val="24"/>
            </w:rPr>
          </w:pPr>
          <w:r w:rsidRPr="006D56DF">
            <w:rPr>
              <w:rFonts w:ascii="Times New Roman" w:hAnsi="Times New Roman"/>
              <w:b/>
              <w:bCs/>
              <w:sz w:val="24"/>
              <w:szCs w:val="24"/>
            </w:rPr>
            <w:t>Descripción:</w:t>
          </w:r>
          <w:r>
            <w:rPr>
              <w:rFonts w:ascii="Times New Roman" w:hAnsi="Times New Roman"/>
              <w:b/>
              <w:bCs/>
              <w:sz w:val="24"/>
              <w:szCs w:val="24"/>
            </w:rPr>
            <w:t xml:space="preserve"> </w:t>
          </w:r>
          <w:r w:rsidRPr="006D3801">
            <w:rPr>
              <w:rFonts w:ascii="Times New Roman" w:hAnsi="Times New Roman"/>
              <w:sz w:val="24"/>
              <w:szCs w:val="24"/>
            </w:rPr>
            <w:t>De acuerdo con el Artículo 8º de la Ley 1 de 1991 en el modo portuario el concesionario no tiene derechos finales sobre activos los debe revertir a la Nación al final del contrato de concesión.</w:t>
          </w:r>
        </w:p>
        <w:p w14:paraId="7416F43A" w14:textId="77777777" w:rsidR="00274429" w:rsidRPr="00351837" w:rsidRDefault="00274429" w:rsidP="00274429">
          <w:pPr>
            <w:rPr>
              <w:rFonts w:ascii="Times New Roman" w:hAnsi="Times New Roman"/>
              <w:sz w:val="24"/>
              <w:szCs w:val="24"/>
            </w:rPr>
          </w:pPr>
          <w:r w:rsidRPr="006D56DF">
            <w:rPr>
              <w:rFonts w:ascii="Times New Roman" w:hAnsi="Times New Roman"/>
              <w:b/>
              <w:bCs/>
              <w:sz w:val="24"/>
              <w:szCs w:val="24"/>
            </w:rPr>
            <w:t>Observaciones:</w:t>
          </w:r>
          <w:r w:rsidRPr="009A46BB">
            <w:rPr>
              <w:rFonts w:ascii="Times New Roman" w:hAnsi="Times New Roman"/>
            </w:rPr>
            <w:t xml:space="preserve"> </w:t>
          </w:r>
        </w:p>
        <w:p w14:paraId="2FA446D0" w14:textId="0255EE66" w:rsidR="00274429" w:rsidRPr="006D271F" w:rsidRDefault="00274429" w:rsidP="00274429">
          <w:pPr>
            <w:jc w:val="both"/>
            <w:rPr>
              <w:rFonts w:ascii="Times New Roman" w:hAnsi="Times New Roman"/>
              <w:sz w:val="24"/>
              <w:szCs w:val="24"/>
            </w:rPr>
          </w:pPr>
          <w:r w:rsidRPr="006D271F">
            <w:rPr>
              <w:rFonts w:ascii="Times New Roman" w:hAnsi="Times New Roman"/>
              <w:sz w:val="24"/>
              <w:szCs w:val="24"/>
            </w:rPr>
            <w:t>De acuerdo con lo establecido en la cláusula trigésimo cuarta del contrato de concesión, la zona de uso público y todas las construcciones e inmuebles por destinación existentes, así como los que se autoricen por la ANI, levantadas y construidas en la zona de uso público que ha sido determinada o que se encuentre habitualmente instalada en ellas y afectadas a la concesión, serán revertidas gratuitamente por el CONCESIONARIO a la Nación- Instituto Nacional de Vías INVIAS conforme a lo dispuesto en el artículo 8 de la ley de 1991, en buen estado de operación y mantenimiento al extinguirse el plazo de la misma o al ser declarada la caducidad. Dichos bienes deberán entregarse en buenas condiciones de operación tecnológica, mantenimiento y adecuada eficiencia al término de este contrato.</w:t>
          </w:r>
        </w:p>
        <w:p w14:paraId="4C3D6936" w14:textId="77777777" w:rsidR="00274429" w:rsidRPr="006D271F" w:rsidRDefault="00274429" w:rsidP="00274429">
          <w:pPr>
            <w:jc w:val="both"/>
            <w:rPr>
              <w:rFonts w:ascii="Times New Roman" w:hAnsi="Times New Roman"/>
              <w:sz w:val="24"/>
              <w:szCs w:val="24"/>
            </w:rPr>
          </w:pPr>
          <w:r w:rsidRPr="006D271F">
            <w:rPr>
              <w:rFonts w:ascii="Times New Roman" w:hAnsi="Times New Roman"/>
              <w:sz w:val="24"/>
              <w:szCs w:val="24"/>
            </w:rPr>
            <w:t>Para efecto el CONCESIONARIO deberá entregar un avaluó comercial actualizado y valoración técnica de las condiciones de operación de la Infraestructura portuaria, equipos e inmuebles por destinación que habitualmente se encuentren Instalados en las zonas de uso público que se revierten y que son propiedad de la Nación.</w:t>
          </w:r>
        </w:p>
        <w:p w14:paraId="6AFA19AD" w14:textId="77777777" w:rsidR="00274429" w:rsidRPr="006D271F" w:rsidRDefault="00274429" w:rsidP="00274429">
          <w:pPr>
            <w:jc w:val="both"/>
            <w:rPr>
              <w:rFonts w:ascii="Times New Roman" w:hAnsi="Times New Roman"/>
              <w:sz w:val="24"/>
              <w:szCs w:val="24"/>
            </w:rPr>
          </w:pPr>
          <w:r w:rsidRPr="006D271F">
            <w:rPr>
              <w:rFonts w:ascii="Times New Roman" w:hAnsi="Times New Roman"/>
              <w:sz w:val="24"/>
              <w:szCs w:val="24"/>
            </w:rPr>
            <w:t>La ANI es la entidad concedente pero la titularidad de los activos al final de la concesión es del Instituto Nacional de Vías INVIAS.</w:t>
          </w:r>
        </w:p>
        <w:p w14:paraId="39A197E4" w14:textId="0BB7067B" w:rsidR="00274429" w:rsidRPr="00197A12" w:rsidRDefault="6E6FCAF2" w:rsidP="006D2BD8">
          <w:pPr>
            <w:spacing w:after="0" w:line="240" w:lineRule="auto"/>
            <w:jc w:val="both"/>
            <w:rPr>
              <w:rFonts w:ascii="Times New Roman" w:hAnsi="Times New Roman"/>
              <w:b/>
              <w:bCs/>
              <w:sz w:val="24"/>
              <w:szCs w:val="24"/>
            </w:rPr>
          </w:pPr>
          <w:r w:rsidRPr="10D44305">
            <w:rPr>
              <w:rFonts w:ascii="Times New Roman" w:hAnsi="Times New Roman"/>
              <w:b/>
              <w:bCs/>
              <w:sz w:val="24"/>
              <w:szCs w:val="24"/>
            </w:rPr>
            <w:t>No hay c</w:t>
          </w:r>
          <w:r w:rsidR="00274429" w:rsidRPr="10D44305">
            <w:rPr>
              <w:rFonts w:ascii="Times New Roman" w:hAnsi="Times New Roman"/>
              <w:b/>
              <w:bCs/>
              <w:sz w:val="24"/>
              <w:szCs w:val="24"/>
            </w:rPr>
            <w:t>ambios</w:t>
          </w:r>
          <w:r w:rsidR="00274429" w:rsidRPr="00D42094">
            <w:rPr>
              <w:rFonts w:ascii="Times New Roman" w:hAnsi="Times New Roman"/>
              <w:b/>
              <w:bCs/>
              <w:sz w:val="24"/>
              <w:szCs w:val="24"/>
            </w:rPr>
            <w:t xml:space="preserve"> en el acuerdo de concesión que se realicen durante el periodo fiscal </w:t>
          </w:r>
        </w:p>
        <w:p w14:paraId="074CDB7A" w14:textId="77777777" w:rsidR="00274429" w:rsidRPr="00197A12" w:rsidRDefault="00274429" w:rsidP="00274429">
          <w:pPr>
            <w:spacing w:after="0" w:line="240" w:lineRule="auto"/>
            <w:jc w:val="both"/>
            <w:rPr>
              <w:rFonts w:ascii="Times New Roman" w:hAnsi="Times New Roman"/>
              <w:b/>
              <w:bCs/>
              <w:sz w:val="24"/>
              <w:szCs w:val="24"/>
            </w:rPr>
          </w:pPr>
        </w:p>
        <w:p w14:paraId="2A8C7C09" w14:textId="77777777" w:rsidR="00274429" w:rsidRDefault="00274429" w:rsidP="00274429">
          <w:pPr>
            <w:rPr>
              <w:rFonts w:ascii="Times New Roman" w:hAnsi="Times New Roman"/>
              <w:b/>
              <w:sz w:val="24"/>
              <w:szCs w:val="24"/>
            </w:rPr>
          </w:pPr>
          <w:r w:rsidRPr="10D44305">
            <w:rPr>
              <w:rFonts w:ascii="Times New Roman" w:hAnsi="Times New Roman"/>
              <w:b/>
              <w:bCs/>
              <w:sz w:val="24"/>
              <w:szCs w:val="24"/>
            </w:rPr>
            <w:t>SOCIEDAD PORTUARIA BULLPESA S.A</w:t>
          </w:r>
        </w:p>
        <w:p w14:paraId="6A7F3F42" w14:textId="77777777" w:rsidR="00274429" w:rsidRPr="00926315" w:rsidRDefault="00274429" w:rsidP="00E60BAB">
          <w:pPr>
            <w:pStyle w:val="Prrafodelista"/>
            <w:numPr>
              <w:ilvl w:val="0"/>
              <w:numId w:val="131"/>
            </w:numPr>
            <w:spacing w:line="259" w:lineRule="auto"/>
            <w:jc w:val="both"/>
            <w:rPr>
              <w:rFonts w:ascii="Times New Roman" w:hAnsi="Times New Roman"/>
              <w:b/>
              <w:bCs/>
              <w:sz w:val="24"/>
              <w:szCs w:val="24"/>
            </w:rPr>
          </w:pPr>
          <w:r w:rsidRPr="00926315">
            <w:rPr>
              <w:rFonts w:ascii="Times New Roman" w:hAnsi="Times New Roman"/>
              <w:b/>
              <w:bCs/>
              <w:sz w:val="24"/>
              <w:szCs w:val="24"/>
            </w:rPr>
            <w:t>Descripción del acuerdo</w:t>
          </w:r>
        </w:p>
        <w:p w14:paraId="2EAAA696" w14:textId="496AFC25" w:rsidR="00274429" w:rsidRPr="009A46BB" w:rsidRDefault="00274429" w:rsidP="10D44305">
          <w:pPr>
            <w:spacing w:after="0"/>
            <w:jc w:val="both"/>
            <w:rPr>
              <w:rFonts w:ascii="Times New Roman" w:hAnsi="Times New Roman"/>
            </w:rPr>
          </w:pPr>
          <w:r w:rsidRPr="009A46BB">
            <w:rPr>
              <w:rFonts w:ascii="Times New Roman" w:hAnsi="Times New Roman"/>
              <w:b/>
            </w:rPr>
            <w:t>Número del acuerdo de concesión:</w:t>
          </w:r>
          <w:r w:rsidR="02A8DA3B" w:rsidRPr="10D44305">
            <w:rPr>
              <w:rFonts w:ascii="Times New Roman" w:hAnsi="Times New Roman"/>
              <w:b/>
              <w:bCs/>
            </w:rPr>
            <w:t xml:space="preserve"> </w:t>
          </w:r>
          <w:r w:rsidRPr="009A46BB">
            <w:rPr>
              <w:rFonts w:ascii="Times New Roman" w:hAnsi="Times New Roman"/>
            </w:rPr>
            <w:t>Contrato de Concesión Portuario No. 001 de 2016.</w:t>
          </w:r>
        </w:p>
        <w:p w14:paraId="63C599A3" w14:textId="443CD41E" w:rsidR="00274429" w:rsidRPr="009A46BB" w:rsidRDefault="00274429" w:rsidP="10D44305">
          <w:pPr>
            <w:spacing w:after="0"/>
            <w:jc w:val="both"/>
            <w:rPr>
              <w:rFonts w:ascii="Times New Roman" w:hAnsi="Times New Roman"/>
            </w:rPr>
          </w:pPr>
          <w:r w:rsidRPr="009A46BB">
            <w:rPr>
              <w:rFonts w:ascii="Times New Roman" w:hAnsi="Times New Roman"/>
              <w:b/>
            </w:rPr>
            <w:t>Objeto / Descripción</w:t>
          </w:r>
          <w:r w:rsidRPr="009A46BB">
            <w:rPr>
              <w:rFonts w:ascii="Times New Roman" w:hAnsi="Times New Roman"/>
            </w:rPr>
            <w:t xml:space="preserve">: Otorgamiento al Concesionario por parte del Concedente, de una concesión </w:t>
          </w:r>
          <w:r w:rsidRPr="10D44305">
            <w:rPr>
              <w:rFonts w:ascii="Times New Roman" w:hAnsi="Times New Roman"/>
            </w:rPr>
            <w:t>para</w:t>
          </w:r>
          <w:r w:rsidR="110D482A" w:rsidRPr="10D44305">
            <w:rPr>
              <w:rFonts w:ascii="Times New Roman" w:hAnsi="Times New Roman"/>
            </w:rPr>
            <w:t xml:space="preserve"> </w:t>
          </w:r>
          <w:r w:rsidRPr="10D44305">
            <w:rPr>
              <w:rFonts w:ascii="Times New Roman" w:hAnsi="Times New Roman"/>
            </w:rPr>
            <w:t>autorizar</w:t>
          </w:r>
          <w:r w:rsidRPr="009A46BB">
            <w:rPr>
              <w:rFonts w:ascii="Times New Roman" w:hAnsi="Times New Roman"/>
            </w:rPr>
            <w:t xml:space="preserve"> la ocupación en forma temporal y exclusiva de los bienes de uso público descritos en la cláusula 2 Bienes Concesionados, para la construcción, operación, mantenimiento y administración de un terminal marítimo de uso público a cambio de una contraprestación económica a favor del Concedente, en los términos descritos en la cláusula 13 Valor del Contrato y de la Contraprestación, del contrato de concesión.</w:t>
          </w:r>
        </w:p>
        <w:p w14:paraId="2EA3F78E" w14:textId="4772EF1F" w:rsidR="00274429" w:rsidRPr="00023268" w:rsidRDefault="00274429" w:rsidP="10D44305">
          <w:pPr>
            <w:spacing w:after="0"/>
            <w:jc w:val="both"/>
            <w:rPr>
              <w:rFonts w:ascii="Times New Roman" w:hAnsi="Times New Roman"/>
              <w:sz w:val="24"/>
              <w:szCs w:val="24"/>
            </w:rPr>
          </w:pPr>
          <w:r w:rsidRPr="00521A07">
            <w:rPr>
              <w:rFonts w:ascii="Times New Roman" w:hAnsi="Times New Roman"/>
              <w:b/>
              <w:bCs/>
              <w:sz w:val="24"/>
              <w:szCs w:val="24"/>
            </w:rPr>
            <w:t>Valor inicial:</w:t>
          </w:r>
          <w:r w:rsidR="758D0BF6" w:rsidRPr="10D44305">
            <w:rPr>
              <w:rFonts w:ascii="Times New Roman" w:hAnsi="Times New Roman"/>
              <w:b/>
              <w:bCs/>
              <w:sz w:val="24"/>
              <w:szCs w:val="24"/>
            </w:rPr>
            <w:t xml:space="preserve"> </w:t>
          </w:r>
          <w:r w:rsidRPr="00C23197">
            <w:rPr>
              <w:rFonts w:ascii="Times New Roman" w:hAnsi="Times New Roman"/>
              <w:sz w:val="24"/>
              <w:szCs w:val="24"/>
            </w:rPr>
            <w:t>OCHOCIENTOS NOVENTA Y CUATRO MIL CUATROCIENTOS DIECIOCHO DOLARES (USD $894.418) Constantes de diciembre de 2015, Cláusula 13 / Contrato de concesión No. 001 de 2016.</w:t>
          </w:r>
        </w:p>
        <w:p w14:paraId="635CC74B" w14:textId="77777777" w:rsidR="00274429" w:rsidRDefault="00274429" w:rsidP="10D44305">
          <w:pPr>
            <w:spacing w:after="0"/>
            <w:rPr>
              <w:rFonts w:ascii="Times New Roman" w:hAnsi="Times New Roman"/>
              <w:sz w:val="24"/>
              <w:szCs w:val="24"/>
            </w:rPr>
          </w:pPr>
          <w:r w:rsidRPr="00521A07">
            <w:rPr>
              <w:rFonts w:ascii="Times New Roman" w:hAnsi="Times New Roman"/>
              <w:b/>
              <w:bCs/>
              <w:sz w:val="24"/>
              <w:szCs w:val="24"/>
            </w:rPr>
            <w:t>Fecha de inicio:</w:t>
          </w:r>
          <w:r>
            <w:rPr>
              <w:rFonts w:ascii="Times New Roman" w:hAnsi="Times New Roman"/>
              <w:b/>
              <w:bCs/>
              <w:sz w:val="24"/>
              <w:szCs w:val="24"/>
            </w:rPr>
            <w:t xml:space="preserve"> </w:t>
          </w:r>
          <w:r>
            <w:rPr>
              <w:rFonts w:ascii="Times New Roman" w:hAnsi="Times New Roman"/>
              <w:sz w:val="24"/>
              <w:szCs w:val="24"/>
            </w:rPr>
            <w:t>13/06/2017</w:t>
          </w:r>
        </w:p>
        <w:p w14:paraId="795677BC" w14:textId="77777777" w:rsidR="00274429" w:rsidRDefault="00274429" w:rsidP="10D44305">
          <w:pPr>
            <w:spacing w:after="0"/>
            <w:jc w:val="both"/>
            <w:rPr>
              <w:rFonts w:ascii="Times New Roman" w:hAnsi="Times New Roman"/>
              <w:sz w:val="24"/>
              <w:szCs w:val="24"/>
            </w:rPr>
          </w:pPr>
          <w:r w:rsidRPr="00521A07">
            <w:rPr>
              <w:rFonts w:ascii="Times New Roman" w:hAnsi="Times New Roman"/>
              <w:b/>
              <w:bCs/>
              <w:sz w:val="24"/>
              <w:szCs w:val="24"/>
            </w:rPr>
            <w:t>Fecha de finalización estimada:</w:t>
          </w:r>
          <w:r>
            <w:rPr>
              <w:rFonts w:ascii="Times New Roman" w:hAnsi="Times New Roman"/>
              <w:b/>
              <w:bCs/>
              <w:sz w:val="24"/>
              <w:szCs w:val="24"/>
            </w:rPr>
            <w:t xml:space="preserve"> </w:t>
          </w:r>
          <w:r>
            <w:rPr>
              <w:rFonts w:ascii="Times New Roman" w:hAnsi="Times New Roman"/>
              <w:sz w:val="24"/>
              <w:szCs w:val="24"/>
            </w:rPr>
            <w:t>12/06/2035</w:t>
          </w:r>
        </w:p>
        <w:p w14:paraId="053C724B" w14:textId="77777777" w:rsidR="00274429" w:rsidRPr="009A46BB" w:rsidRDefault="00274429" w:rsidP="10D44305">
          <w:pPr>
            <w:spacing w:after="0"/>
            <w:jc w:val="both"/>
            <w:rPr>
              <w:rFonts w:ascii="Times New Roman" w:hAnsi="Times New Roman"/>
            </w:rPr>
          </w:pPr>
          <w:r w:rsidRPr="00521A07">
            <w:rPr>
              <w:rFonts w:ascii="Times New Roman" w:hAnsi="Times New Roman"/>
              <w:b/>
              <w:bCs/>
              <w:sz w:val="24"/>
              <w:szCs w:val="24"/>
            </w:rPr>
            <w:lastRenderedPageBreak/>
            <w:t>Tipo ID:</w:t>
          </w:r>
          <w:r>
            <w:rPr>
              <w:rFonts w:ascii="Times New Roman" w:hAnsi="Times New Roman"/>
              <w:b/>
              <w:bCs/>
              <w:sz w:val="24"/>
              <w:szCs w:val="24"/>
            </w:rPr>
            <w:t xml:space="preserve"> NIT</w:t>
          </w:r>
        </w:p>
        <w:p w14:paraId="7AF9589F" w14:textId="77777777" w:rsidR="00274429" w:rsidRDefault="00274429" w:rsidP="10D44305">
          <w:pPr>
            <w:spacing w:after="0"/>
            <w:rPr>
              <w:rFonts w:ascii="Times New Roman" w:hAnsi="Times New Roman"/>
              <w:sz w:val="24"/>
              <w:szCs w:val="24"/>
            </w:rPr>
          </w:pPr>
          <w:r w:rsidRPr="00521A07">
            <w:rPr>
              <w:rFonts w:ascii="Times New Roman" w:hAnsi="Times New Roman"/>
              <w:b/>
              <w:bCs/>
              <w:sz w:val="24"/>
              <w:szCs w:val="24"/>
            </w:rPr>
            <w:t>Número ID:</w:t>
          </w:r>
          <w:r>
            <w:rPr>
              <w:rFonts w:ascii="Times New Roman" w:hAnsi="Times New Roman"/>
              <w:b/>
              <w:bCs/>
              <w:sz w:val="24"/>
              <w:szCs w:val="24"/>
            </w:rPr>
            <w:t xml:space="preserve"> </w:t>
          </w:r>
          <w:r w:rsidRPr="008D4DF2">
            <w:rPr>
              <w:rFonts w:ascii="Times New Roman" w:hAnsi="Times New Roman"/>
              <w:sz w:val="24"/>
              <w:szCs w:val="24"/>
            </w:rPr>
            <w:t xml:space="preserve">900.732.683-6 </w:t>
          </w:r>
        </w:p>
        <w:p w14:paraId="4AC9C080" w14:textId="239C04E6" w:rsidR="00274429" w:rsidRPr="009A46BB" w:rsidRDefault="00274429" w:rsidP="10D44305">
          <w:pPr>
            <w:spacing w:after="0"/>
            <w:rPr>
              <w:rFonts w:ascii="Times New Roman" w:hAnsi="Times New Roman"/>
            </w:rPr>
          </w:pPr>
          <w:r w:rsidRPr="00521A07">
            <w:rPr>
              <w:rFonts w:ascii="Times New Roman" w:hAnsi="Times New Roman"/>
              <w:b/>
              <w:bCs/>
              <w:sz w:val="24"/>
              <w:szCs w:val="24"/>
            </w:rPr>
            <w:t>Razón social del concesionario:</w:t>
          </w:r>
          <w:r w:rsidR="6AC69A89" w:rsidRPr="10D44305">
            <w:rPr>
              <w:rFonts w:ascii="Times New Roman" w:hAnsi="Times New Roman"/>
              <w:b/>
              <w:bCs/>
              <w:sz w:val="24"/>
              <w:szCs w:val="24"/>
            </w:rPr>
            <w:t xml:space="preserve"> </w:t>
          </w:r>
          <w:r w:rsidRPr="009A46BB">
            <w:rPr>
              <w:rFonts w:ascii="Times New Roman" w:hAnsi="Times New Roman"/>
            </w:rPr>
            <w:t>Sociedad Portuaria Bullpesa S.A</w:t>
          </w:r>
        </w:p>
        <w:p w14:paraId="38EAC857" w14:textId="1875FE9A" w:rsidR="00274429" w:rsidRPr="009A46BB" w:rsidRDefault="00274429" w:rsidP="10D44305">
          <w:pPr>
            <w:spacing w:after="0"/>
            <w:rPr>
              <w:rFonts w:ascii="Times New Roman" w:hAnsi="Times New Roman"/>
            </w:rPr>
          </w:pPr>
          <w:r w:rsidRPr="00521A07">
            <w:rPr>
              <w:rFonts w:ascii="Times New Roman" w:hAnsi="Times New Roman"/>
              <w:b/>
              <w:bCs/>
              <w:sz w:val="24"/>
              <w:szCs w:val="24"/>
            </w:rPr>
            <w:t>Nombre del proyecto:</w:t>
          </w:r>
          <w:r w:rsidR="3FC7545B" w:rsidRPr="10D44305">
            <w:rPr>
              <w:rFonts w:ascii="Times New Roman" w:hAnsi="Times New Roman"/>
              <w:b/>
              <w:bCs/>
              <w:sz w:val="24"/>
              <w:szCs w:val="24"/>
            </w:rPr>
            <w:t xml:space="preserve"> </w:t>
          </w:r>
          <w:r w:rsidRPr="009A46BB">
            <w:rPr>
              <w:rFonts w:ascii="Times New Roman" w:hAnsi="Times New Roman"/>
            </w:rPr>
            <w:t>Sociedad Portuaria Bullpesa S.A</w:t>
          </w:r>
        </w:p>
        <w:p w14:paraId="112E76E1" w14:textId="0978042D" w:rsidR="10D44305" w:rsidRDefault="10D44305" w:rsidP="10D44305">
          <w:pPr>
            <w:spacing w:after="0"/>
            <w:rPr>
              <w:rFonts w:ascii="Times New Roman" w:hAnsi="Times New Roman"/>
            </w:rPr>
          </w:pPr>
        </w:p>
        <w:p w14:paraId="22148348" w14:textId="77777777" w:rsidR="00274429" w:rsidRPr="003A32AC" w:rsidRDefault="00274429" w:rsidP="00E60BAB">
          <w:pPr>
            <w:pStyle w:val="Prrafodelista"/>
            <w:numPr>
              <w:ilvl w:val="0"/>
              <w:numId w:val="131"/>
            </w:numPr>
            <w:spacing w:line="259" w:lineRule="auto"/>
            <w:jc w:val="both"/>
            <w:rPr>
              <w:rFonts w:ascii="Times New Roman" w:hAnsi="Times New Roman"/>
              <w:b/>
              <w:bCs/>
              <w:sz w:val="24"/>
              <w:szCs w:val="24"/>
            </w:rPr>
          </w:pPr>
          <w:r w:rsidRPr="003A32AC">
            <w:rPr>
              <w:rFonts w:ascii="Times New Roman" w:hAnsi="Times New Roman"/>
              <w:b/>
              <w:bCs/>
              <w:sz w:val="24"/>
              <w:szCs w:val="24"/>
            </w:rPr>
            <w:t>Términos significativos del acuerdo que puedan afectar su valor, el calendario y la certeza de los flujos</w:t>
          </w:r>
        </w:p>
        <w:p w14:paraId="07FD1430" w14:textId="05D148EF"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valor:</w:t>
          </w:r>
        </w:p>
        <w:p w14:paraId="12FC1D4D" w14:textId="77777777" w:rsidR="00274429" w:rsidRDefault="00274429" w:rsidP="00274429">
          <w:pPr>
            <w:jc w:val="both"/>
            <w:rPr>
              <w:rFonts w:ascii="Times New Roman" w:hAnsi="Times New Roman"/>
              <w:sz w:val="24"/>
              <w:szCs w:val="24"/>
            </w:rPr>
          </w:pPr>
          <w:r w:rsidRPr="00FC7585">
            <w:rPr>
              <w:rFonts w:ascii="Times New Roman" w:hAnsi="Times New Roman"/>
              <w:b/>
              <w:bCs/>
              <w:sz w:val="24"/>
              <w:szCs w:val="24"/>
            </w:rPr>
            <w:t xml:space="preserve">Tarifas: </w:t>
          </w:r>
          <w:r w:rsidRPr="00BC58BD">
            <w:rPr>
              <w:rFonts w:ascii="Times New Roman" w:hAnsi="Times New Roman"/>
              <w:sz w:val="24"/>
              <w:szCs w:val="24"/>
            </w:rPr>
            <w:t>Al ser el terminal marítimo de servicio público, las tarifas requieren ser aprobadas según metodología establecida por la Superintendencia General de Puertos hoy Superintendencia de Transporte.</w:t>
          </w:r>
        </w:p>
        <w:p w14:paraId="6CFCDEB9" w14:textId="21F99B6F" w:rsidR="00274429" w:rsidRDefault="00274429" w:rsidP="00274429">
          <w:pPr>
            <w:jc w:val="both"/>
            <w:rPr>
              <w:rFonts w:ascii="Times New Roman" w:hAnsi="Times New Roman"/>
              <w:sz w:val="24"/>
              <w:szCs w:val="24"/>
            </w:rPr>
          </w:pPr>
          <w:r w:rsidRPr="009A46BB">
            <w:rPr>
              <w:rFonts w:ascii="Times New Roman" w:hAnsi="Times New Roman"/>
              <w:b/>
            </w:rPr>
            <w:t>Contraprestación portuaria</w:t>
          </w:r>
          <w:r w:rsidRPr="009A46BB">
            <w:rPr>
              <w:rFonts w:ascii="Times New Roman" w:hAnsi="Times New Roman"/>
            </w:rPr>
            <w:t xml:space="preserve">: </w:t>
          </w:r>
          <w:r w:rsidRPr="00651F8E">
            <w:rPr>
              <w:rFonts w:ascii="Times New Roman" w:hAnsi="Times New Roman"/>
              <w:sz w:val="24"/>
              <w:szCs w:val="24"/>
            </w:rPr>
            <w:t xml:space="preserve">De acuerdo con el contrato de concesión No. 001 de </w:t>
          </w:r>
          <w:r>
            <w:tab/>
          </w:r>
          <w:r w:rsidRPr="00651F8E">
            <w:rPr>
              <w:rFonts w:ascii="Times New Roman" w:hAnsi="Times New Roman"/>
              <w:sz w:val="24"/>
              <w:szCs w:val="24"/>
            </w:rPr>
            <w:t>2016, la metodología de contraprestación corresponde al Conpes 3744 de 2013.Es de aclarar que en el segundo semestre de 2022, la entidad caducó el contrato, por varios incumplimientos, incluyendo el no pago de contraprestación.</w:t>
          </w:r>
          <w:r w:rsidR="46D3FA8E" w:rsidRPr="10D44305">
            <w:rPr>
              <w:rFonts w:ascii="Times New Roman" w:hAnsi="Times New Roman"/>
              <w:sz w:val="24"/>
              <w:szCs w:val="24"/>
            </w:rPr>
            <w:t xml:space="preserve"> </w:t>
          </w:r>
          <w:r w:rsidRPr="00651F8E">
            <w:rPr>
              <w:rFonts w:ascii="Times New Roman" w:hAnsi="Times New Roman"/>
              <w:sz w:val="24"/>
              <w:szCs w:val="24"/>
            </w:rPr>
            <w:t>De acuerdo con el Parágrafo Sexto, numeral 13.1 de la Cláusula 13 del contrato se establece que del valor a pagar por concepto de zona de uso público. el pago de la contraprestación con relación al componente fijo y variable el 80% le corresponde a la Nación- INVIAS y el 20% restante el municipio de Cartagena, de acuerdo con lo establecido en el parágrafo 1 del artículo 1 de la Ley 856 del 21 de diciembre de 2003, que modifica el artículo 7 de la ley 1ª de 1991.</w:t>
          </w:r>
        </w:p>
        <w:p w14:paraId="3BF9518C" w14:textId="77777777" w:rsidR="00274429" w:rsidRDefault="00274429" w:rsidP="00274429">
          <w:pPr>
            <w:jc w:val="both"/>
            <w:rPr>
              <w:rFonts w:ascii="Times New Roman" w:hAnsi="Times New Roman"/>
              <w:sz w:val="24"/>
              <w:szCs w:val="24"/>
            </w:rPr>
          </w:pPr>
          <w:r w:rsidRPr="00F96C82">
            <w:rPr>
              <w:rFonts w:ascii="Times New Roman" w:hAnsi="Times New Roman"/>
              <w:sz w:val="24"/>
              <w:szCs w:val="24"/>
            </w:rPr>
            <w:t xml:space="preserve">Plan de Inversiones: </w:t>
          </w:r>
          <w:r w:rsidRPr="000A45E9">
            <w:rPr>
              <w:rFonts w:ascii="Times New Roman" w:hAnsi="Times New Roman"/>
              <w:sz w:val="24"/>
              <w:szCs w:val="24"/>
            </w:rPr>
            <w:t>Está establecido en la Cláusula 12 del contrato, el plan de inversión será de DOCE MILLONES DOSCIENTOS OCHENTA Y CINCO MIL CIENTO TREINTA Y TRES DOLARES (USD$ 12.285.133) constantes de diciembre de 2015.</w:t>
          </w:r>
        </w:p>
        <w:p w14:paraId="66BA48E4" w14:textId="77777777" w:rsidR="00274429" w:rsidRDefault="00274429" w:rsidP="00274429">
          <w:pPr>
            <w:jc w:val="both"/>
            <w:rPr>
              <w:rStyle w:val="Estilo3"/>
            </w:rPr>
          </w:pPr>
          <w:r w:rsidRPr="00F83FC2">
            <w:rPr>
              <w:rStyle w:val="Estilo3"/>
              <w:b/>
              <w:bCs/>
            </w:rPr>
            <w:t xml:space="preserve">Obligaciones del CONCESIONARIO: </w:t>
          </w:r>
          <w:r w:rsidRPr="00E25EF1">
            <w:rPr>
              <w:rStyle w:val="Estilo3"/>
            </w:rPr>
            <w:t xml:space="preserve">se encuentran descritas en la Cláusula 20 del contrato. </w:t>
          </w:r>
        </w:p>
        <w:p w14:paraId="138B3549" w14:textId="77777777" w:rsidR="00274429" w:rsidRPr="00F83FC2" w:rsidRDefault="00274429" w:rsidP="00274429">
          <w:pPr>
            <w:jc w:val="both"/>
            <w:rPr>
              <w:rStyle w:val="Estilo3"/>
            </w:rPr>
          </w:pPr>
          <w:r w:rsidRPr="00F83FC2">
            <w:rPr>
              <w:rStyle w:val="Estilo3"/>
              <w:b/>
              <w:bCs/>
            </w:rPr>
            <w:t xml:space="preserve">Multas y sanciones: </w:t>
          </w:r>
          <w:r w:rsidRPr="00D26859">
            <w:rPr>
              <w:rStyle w:val="Estilo3"/>
            </w:rPr>
            <w:t>están establecidas en la Cláusula 23 del contrato.</w:t>
          </w:r>
        </w:p>
        <w:p w14:paraId="5E87FEEB" w14:textId="77777777" w:rsidR="00274429" w:rsidRDefault="00274429" w:rsidP="00274429">
          <w:pPr>
            <w:jc w:val="both"/>
            <w:rPr>
              <w:rStyle w:val="Estilo3"/>
            </w:rPr>
          </w:pPr>
          <w:r w:rsidRPr="00F83FC2">
            <w:rPr>
              <w:rStyle w:val="Estilo3"/>
              <w:b/>
              <w:bCs/>
            </w:rPr>
            <w:t xml:space="preserve">Penal pecuniario: </w:t>
          </w:r>
          <w:r w:rsidRPr="00DA42B6">
            <w:rPr>
              <w:rStyle w:val="Estilo3"/>
            </w:rPr>
            <w:t>En la Cláusula 24 se establece que en el evento en que el concedente declare la caducidad o el incumplimiento del contrato, el Concesionario deberá pagar la suma equivalente al 10% del valor total de la contraprestación, o proporcionalmente</w:t>
          </w:r>
          <w:r>
            <w:rPr>
              <w:rStyle w:val="Estilo3"/>
            </w:rPr>
            <w:t xml:space="preserve"> </w:t>
          </w:r>
          <w:r w:rsidRPr="00DA42B6">
            <w:rPr>
              <w:rStyle w:val="Estilo3"/>
            </w:rPr>
            <w:t>por incumplimiento parcial, como sanción pecuniaria</w:t>
          </w:r>
          <w:r>
            <w:rPr>
              <w:rStyle w:val="Estilo3"/>
            </w:rPr>
            <w:t>.</w:t>
          </w:r>
        </w:p>
        <w:p w14:paraId="224B6F90" w14:textId="77777777" w:rsidR="00274429" w:rsidRDefault="00274429" w:rsidP="00274429">
          <w:pPr>
            <w:jc w:val="both"/>
            <w:rPr>
              <w:rFonts w:ascii="Times New Roman" w:hAnsi="Times New Roman"/>
              <w:b/>
              <w:bCs/>
              <w:sz w:val="24"/>
              <w:szCs w:val="24"/>
            </w:rPr>
          </w:pPr>
          <w:r w:rsidRPr="004C1095">
            <w:rPr>
              <w:rFonts w:ascii="Times New Roman" w:hAnsi="Times New Roman"/>
              <w:b/>
              <w:bCs/>
              <w:sz w:val="24"/>
              <w:szCs w:val="24"/>
            </w:rPr>
            <w:t>Términos de calendario:</w:t>
          </w:r>
        </w:p>
        <w:p w14:paraId="4303BA42" w14:textId="77777777" w:rsidR="00274429" w:rsidRPr="0069279F" w:rsidRDefault="00274429" w:rsidP="00274429">
          <w:pPr>
            <w:jc w:val="both"/>
            <w:rPr>
              <w:rStyle w:val="Estilo3"/>
            </w:rPr>
          </w:pPr>
          <w:r w:rsidRPr="0069279F">
            <w:rPr>
              <w:rStyle w:val="Estilo3"/>
            </w:rPr>
            <w:t>Tarifas: Aprobadas según la metodología establecida por la Superintendencia General de Puertos, hoy Superintendencia de Transporte.</w:t>
          </w:r>
        </w:p>
        <w:p w14:paraId="010D52BE" w14:textId="07BA4BC8" w:rsidR="00274429" w:rsidRPr="0069279F" w:rsidRDefault="00274429" w:rsidP="00274429">
          <w:pPr>
            <w:jc w:val="both"/>
            <w:rPr>
              <w:rStyle w:val="Estilo3"/>
            </w:rPr>
          </w:pPr>
          <w:r w:rsidRPr="0069279F">
            <w:rPr>
              <w:rStyle w:val="Estilo3"/>
            </w:rPr>
            <w:t>Contraprestación portuaria: la contraprestación se debe pagar de manera anual anticipada en el mes de febrero de cada año.</w:t>
          </w:r>
        </w:p>
        <w:p w14:paraId="772BF18D" w14:textId="77777777" w:rsidR="00274429" w:rsidRPr="0069279F" w:rsidRDefault="00274429" w:rsidP="00274429">
          <w:pPr>
            <w:jc w:val="both"/>
            <w:rPr>
              <w:rStyle w:val="Estilo3"/>
            </w:rPr>
          </w:pPr>
          <w:r w:rsidRPr="0069279F">
            <w:rPr>
              <w:rStyle w:val="Estilo3"/>
            </w:rPr>
            <w:t xml:space="preserve"> Plan de inversiones: Se estableció en la Cláusula 12 del contrato, cuya ejecución de inversiones deberá corresponder al periodo referido en el Parágrafo Primero de la mencionada cláusula.</w:t>
          </w:r>
        </w:p>
        <w:p w14:paraId="6BDEA6B5" w14:textId="77777777" w:rsidR="00274429" w:rsidRPr="0069279F" w:rsidRDefault="00274429" w:rsidP="00274429">
          <w:pPr>
            <w:jc w:val="both"/>
            <w:rPr>
              <w:rStyle w:val="Estilo3"/>
            </w:rPr>
          </w:pPr>
          <w:r w:rsidRPr="0069279F">
            <w:rPr>
              <w:rStyle w:val="Estilo3"/>
            </w:rPr>
            <w:lastRenderedPageBreak/>
            <w:t>Multas: Cláusula 23 del contrato</w:t>
          </w:r>
        </w:p>
        <w:p w14:paraId="57AE5621" w14:textId="77777777"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certeza de flujos de efectivo futuros:</w:t>
          </w:r>
          <w:r>
            <w:rPr>
              <w:rFonts w:ascii="Times New Roman" w:hAnsi="Times New Roman"/>
              <w:b/>
              <w:bCs/>
              <w:sz w:val="24"/>
              <w:szCs w:val="24"/>
            </w:rPr>
            <w:t xml:space="preserve"> </w:t>
          </w:r>
        </w:p>
        <w:p w14:paraId="562B0AE0" w14:textId="63490643" w:rsidR="00274429" w:rsidRPr="009A46BB" w:rsidRDefault="00274429" w:rsidP="00274429">
          <w:pPr>
            <w:jc w:val="both"/>
            <w:rPr>
              <w:rFonts w:ascii="Times New Roman" w:hAnsi="Times New Roman"/>
            </w:rPr>
          </w:pPr>
          <w:r w:rsidRPr="009A46BB">
            <w:rPr>
              <w:rFonts w:ascii="Times New Roman" w:hAnsi="Times New Roman"/>
            </w:rPr>
            <w:t xml:space="preserve">Se otorga a EL CONCESIONARIO el derecho de ocupar en forma temporal y exclusiva de los bienes de uso público descritos en la Cláusula 2 Bienes Concesionados para la construcción, operación, mantenimiento y administración de un terminal </w:t>
          </w:r>
          <w:r>
            <w:tab/>
          </w:r>
          <w:r w:rsidRPr="009A46BB">
            <w:rPr>
              <w:rFonts w:ascii="Times New Roman" w:hAnsi="Times New Roman"/>
            </w:rPr>
            <w:t>marítimo de uso público a cambio de la contraprestación económica, en los términos de la Cláusula 13 del contrato 001 de 2016.</w:t>
          </w:r>
        </w:p>
        <w:p w14:paraId="4C4D19E0" w14:textId="77777777" w:rsidR="00274429" w:rsidRPr="009A46BB" w:rsidRDefault="00274429" w:rsidP="00274429">
          <w:pPr>
            <w:jc w:val="both"/>
            <w:rPr>
              <w:rFonts w:ascii="Times New Roman" w:hAnsi="Times New Roman"/>
            </w:rPr>
          </w:pPr>
          <w:r w:rsidRPr="009A46BB">
            <w:rPr>
              <w:rFonts w:ascii="Times New Roman" w:hAnsi="Times New Roman"/>
            </w:rPr>
            <w:t>Cláusula 13, numeral 13.1, Parágrafo Sexto, del valor a pagar por concepto de contraprestación con relación al componente fijo y variable el 80% le corresponde a la Nación-INVIAS y el 20 % al municipio de Cartagena.</w:t>
          </w:r>
        </w:p>
        <w:p w14:paraId="44E692CC" w14:textId="77777777" w:rsidR="00274429" w:rsidRPr="00E151A9" w:rsidRDefault="00274429" w:rsidP="00E60BAB">
          <w:pPr>
            <w:pStyle w:val="Prrafodelista"/>
            <w:numPr>
              <w:ilvl w:val="0"/>
              <w:numId w:val="131"/>
            </w:numPr>
            <w:spacing w:line="259" w:lineRule="auto"/>
            <w:jc w:val="both"/>
            <w:rPr>
              <w:rFonts w:ascii="Times New Roman" w:hAnsi="Times New Roman"/>
              <w:b/>
              <w:bCs/>
              <w:sz w:val="24"/>
              <w:szCs w:val="24"/>
            </w:rPr>
          </w:pPr>
          <w:r w:rsidRPr="00E151A9">
            <w:rPr>
              <w:rFonts w:ascii="Times New Roman" w:hAnsi="Times New Roman"/>
              <w:b/>
              <w:bCs/>
              <w:sz w:val="24"/>
              <w:szCs w:val="24"/>
            </w:rPr>
            <w:t>Naturaleza y alcance del derecho a utilizar activos especificados, de los aspectos pactados en torno a lo que se espera que el concesionario proporcione en relación con el acuerdo de concesión (Se requiere ser breves, precisos, y concisos en la redacción)</w:t>
          </w:r>
        </w:p>
        <w:p w14:paraId="5C9A6F94" w14:textId="77777777" w:rsidR="00274429" w:rsidRDefault="00274429" w:rsidP="00274429">
          <w:pPr>
            <w:jc w:val="both"/>
            <w:rPr>
              <w:rFonts w:ascii="Times New Roman" w:hAnsi="Times New Roman"/>
              <w:b/>
              <w:bCs/>
              <w:sz w:val="24"/>
              <w:szCs w:val="24"/>
            </w:rPr>
          </w:pPr>
          <w:r w:rsidRPr="00217110">
            <w:rPr>
              <w:rFonts w:ascii="Times New Roman" w:hAnsi="Times New Roman"/>
              <w:b/>
              <w:bCs/>
              <w:sz w:val="24"/>
              <w:szCs w:val="24"/>
            </w:rPr>
            <w:t>Naturaleza y alcance del derecho de uso de los activos</w:t>
          </w:r>
        </w:p>
        <w:p w14:paraId="2BB767F2" w14:textId="3E97F990" w:rsidR="00274429" w:rsidRPr="009A46BB" w:rsidRDefault="00274429" w:rsidP="00274429">
          <w:pPr>
            <w:jc w:val="both"/>
            <w:rPr>
              <w:rFonts w:ascii="Times New Roman" w:hAnsi="Times New Roman"/>
            </w:rPr>
          </w:pPr>
          <w:r w:rsidRPr="003E5FA9">
            <w:rPr>
              <w:rFonts w:ascii="Times New Roman" w:hAnsi="Times New Roman"/>
              <w:b/>
              <w:bCs/>
              <w:sz w:val="24"/>
              <w:szCs w:val="24"/>
            </w:rPr>
            <w:t>Descripción:</w:t>
          </w:r>
          <w:r w:rsidR="47DFD949" w:rsidRPr="10D44305">
            <w:rPr>
              <w:rFonts w:ascii="Times New Roman" w:hAnsi="Times New Roman"/>
              <w:b/>
              <w:bCs/>
              <w:sz w:val="24"/>
              <w:szCs w:val="24"/>
            </w:rPr>
            <w:t xml:space="preserve"> </w:t>
          </w:r>
          <w:r w:rsidRPr="009A46BB">
            <w:rPr>
              <w:rFonts w:ascii="Times New Roman" w:hAnsi="Times New Roman"/>
            </w:rPr>
            <w:t>Descripción del proyecto, especificaciones técnicas, modalidades de operación: las condiciones especiales de operación del puerto están establecidas en la cláusula quinta del Contrato de Concesión</w:t>
          </w:r>
        </w:p>
        <w:p w14:paraId="361B66F6" w14:textId="77777777" w:rsidR="00274429" w:rsidRPr="009A46BB" w:rsidRDefault="00274429" w:rsidP="00274429">
          <w:pPr>
            <w:jc w:val="both"/>
            <w:rPr>
              <w:rFonts w:ascii="Times New Roman" w:hAnsi="Times New Roman"/>
            </w:rPr>
          </w:pPr>
          <w:r w:rsidRPr="009A46BB">
            <w:rPr>
              <w:rFonts w:ascii="Times New Roman" w:hAnsi="Times New Roman"/>
            </w:rPr>
            <w:t>Área entregada en concesión: La descripción de la ubicación, linderos y extensión de los bienes de uso público (playas y terrenos de baja mar, zonas marítimas accesorias de maniobras) entregados en concesión están establecidos en la cláusula segunda.</w:t>
          </w:r>
        </w:p>
        <w:p w14:paraId="5449C01C" w14:textId="77777777" w:rsidR="00274429" w:rsidRPr="009A46BB" w:rsidRDefault="00274429" w:rsidP="00274429">
          <w:pPr>
            <w:jc w:val="both"/>
            <w:rPr>
              <w:rFonts w:ascii="Times New Roman" w:hAnsi="Times New Roman"/>
            </w:rPr>
          </w:pPr>
          <w:r w:rsidRPr="009A46BB">
            <w:rPr>
              <w:rFonts w:ascii="Times New Roman" w:hAnsi="Times New Roman"/>
            </w:rPr>
            <w:t>Infraestructura y equipos entregados en concesión: en el contrato de concesión portuaria no fueron entregados activos relacionados con infraestructura y equipos, el plan de inversiones desarrolla la infraestructura y la adquisición de equipos para su posterior reversión a la Nación.</w:t>
          </w:r>
        </w:p>
        <w:p w14:paraId="2C5BDCB9" w14:textId="77777777" w:rsidR="00274429" w:rsidRPr="00ED266C" w:rsidRDefault="00274429" w:rsidP="00274429">
          <w:pPr>
            <w:jc w:val="both"/>
            <w:rPr>
              <w:rFonts w:ascii="Times New Roman" w:hAnsi="Times New Roman"/>
              <w:sz w:val="24"/>
              <w:szCs w:val="24"/>
            </w:rPr>
          </w:pPr>
          <w:r w:rsidRPr="003E5FA9">
            <w:rPr>
              <w:rFonts w:ascii="Times New Roman" w:hAnsi="Times New Roman"/>
              <w:b/>
              <w:bCs/>
              <w:sz w:val="24"/>
              <w:szCs w:val="24"/>
            </w:rPr>
            <w:t>Observaciones:</w:t>
          </w:r>
          <w:r>
            <w:rPr>
              <w:rFonts w:ascii="Times New Roman" w:hAnsi="Times New Roman"/>
              <w:b/>
              <w:bCs/>
              <w:sz w:val="24"/>
              <w:szCs w:val="24"/>
            </w:rPr>
            <w:t xml:space="preserve"> </w:t>
          </w:r>
          <w:r w:rsidRPr="00ED266C">
            <w:rPr>
              <w:rFonts w:ascii="Times New Roman" w:hAnsi="Times New Roman"/>
              <w:sz w:val="24"/>
              <w:szCs w:val="24"/>
            </w:rPr>
            <w:t>Mediante la Resolución 20227070018095 del 08 de noviembre de 2022 se ratifica la Resolución 20227070004345 del 13 de marzo de 2022 “Por medio de la cual se adopta una decisión de fondo dentro del Procedimiento Administrativo Sancionatorio Contractual iniciado en contra del Concesionario SOCIEDAD PORTUARIA BULLPESA S.A. por los incumplimientos de las obligaciones previstas en el Contrato de Concesión Portuaria No. 001 de 2016, que dan lugar a declarar la caducidad de este”</w:t>
          </w:r>
        </w:p>
        <w:p w14:paraId="5B2F63EC" w14:textId="77777777" w:rsidR="00274429" w:rsidRDefault="00274429" w:rsidP="00274429">
          <w:pPr>
            <w:jc w:val="both"/>
            <w:rPr>
              <w:rFonts w:ascii="Times New Roman" w:hAnsi="Times New Roman"/>
              <w:b/>
              <w:bCs/>
              <w:sz w:val="24"/>
              <w:szCs w:val="24"/>
            </w:rPr>
          </w:pPr>
          <w:r>
            <w:rPr>
              <w:rFonts w:ascii="Times New Roman" w:hAnsi="Times New Roman"/>
              <w:b/>
              <w:bCs/>
              <w:sz w:val="24"/>
              <w:szCs w:val="24"/>
            </w:rPr>
            <w:t>Retribución al Concesionario</w:t>
          </w:r>
        </w:p>
        <w:p w14:paraId="44192FD9" w14:textId="58BE6898" w:rsidR="00274429" w:rsidRPr="009A46BB" w:rsidRDefault="00274429" w:rsidP="00274429">
          <w:pPr>
            <w:jc w:val="both"/>
            <w:rPr>
              <w:rFonts w:ascii="Times New Roman" w:hAnsi="Times New Roman"/>
            </w:rPr>
          </w:pPr>
          <w:r w:rsidRPr="009A46BB">
            <w:rPr>
              <w:rFonts w:ascii="Times New Roman" w:hAnsi="Times New Roman"/>
              <w:b/>
            </w:rPr>
            <w:t xml:space="preserve">Descripción: </w:t>
          </w:r>
          <w:r w:rsidRPr="009A46BB">
            <w:rPr>
              <w:rFonts w:ascii="Times New Roman" w:hAnsi="Times New Roman"/>
            </w:rPr>
            <w:t xml:space="preserve">Cláusula 1 del contrato 001 de 2016: Otorgar al Concesionario concesión </w:t>
          </w:r>
          <w:r>
            <w:tab/>
          </w:r>
          <w:r w:rsidRPr="009A46BB">
            <w:rPr>
              <w:rFonts w:ascii="Times New Roman" w:hAnsi="Times New Roman"/>
            </w:rPr>
            <w:t>donde se autoriza la ocupación en forma temporal y exclusiva de los bienes de uso público descritos en la Cláusula 2 Bienes Concesionados para la construcción, operación, mantenimiento y administración de un terminal marítimo de uso público a cambio de una contraprestación económica, en los términos descritos en la Cláusula 13 del contrato.</w:t>
          </w:r>
        </w:p>
        <w:p w14:paraId="154D6CE1" w14:textId="77777777" w:rsidR="00274429" w:rsidRPr="00351837" w:rsidRDefault="00274429" w:rsidP="00274429">
          <w:pPr>
            <w:jc w:val="both"/>
            <w:rPr>
              <w:rFonts w:ascii="Times New Roman" w:hAnsi="Times New Roman"/>
              <w:b/>
              <w:bCs/>
              <w:sz w:val="24"/>
              <w:szCs w:val="24"/>
            </w:rPr>
          </w:pPr>
          <w:r>
            <w:rPr>
              <w:rFonts w:ascii="Times New Roman" w:hAnsi="Times New Roman"/>
              <w:b/>
              <w:bCs/>
              <w:sz w:val="24"/>
              <w:szCs w:val="24"/>
            </w:rPr>
            <w:t>Tasa de retribución: NA</w:t>
          </w:r>
        </w:p>
        <w:p w14:paraId="5656AD6F" w14:textId="77777777" w:rsidR="00274429" w:rsidRPr="00421699" w:rsidRDefault="00274429" w:rsidP="00E60BAB">
          <w:pPr>
            <w:pStyle w:val="Prrafodelista"/>
            <w:numPr>
              <w:ilvl w:val="0"/>
              <w:numId w:val="131"/>
            </w:numPr>
            <w:spacing w:line="259" w:lineRule="auto"/>
            <w:jc w:val="both"/>
            <w:rPr>
              <w:rFonts w:ascii="Times New Roman" w:hAnsi="Times New Roman"/>
              <w:b/>
              <w:bCs/>
              <w:sz w:val="24"/>
              <w:szCs w:val="24"/>
            </w:rPr>
          </w:pPr>
          <w:r w:rsidRPr="00421699">
            <w:rPr>
              <w:rFonts w:ascii="Times New Roman" w:hAnsi="Times New Roman"/>
              <w:b/>
              <w:bCs/>
              <w:sz w:val="24"/>
              <w:szCs w:val="24"/>
            </w:rPr>
            <w:t>Derechos a recibir activos especificados al final del acuerdo de concesión</w:t>
          </w:r>
        </w:p>
        <w:p w14:paraId="56484FEB" w14:textId="77777777" w:rsidR="00274429" w:rsidRPr="006D3801" w:rsidRDefault="00274429" w:rsidP="00274429">
          <w:pPr>
            <w:jc w:val="both"/>
            <w:rPr>
              <w:rFonts w:ascii="Times New Roman" w:hAnsi="Times New Roman"/>
              <w:sz w:val="24"/>
              <w:szCs w:val="24"/>
            </w:rPr>
          </w:pPr>
          <w:r w:rsidRPr="006D56DF">
            <w:rPr>
              <w:rFonts w:ascii="Times New Roman" w:hAnsi="Times New Roman"/>
              <w:b/>
              <w:bCs/>
              <w:sz w:val="24"/>
              <w:szCs w:val="24"/>
            </w:rPr>
            <w:lastRenderedPageBreak/>
            <w:t>Descripción:</w:t>
          </w:r>
          <w:r>
            <w:rPr>
              <w:rFonts w:ascii="Times New Roman" w:hAnsi="Times New Roman"/>
              <w:b/>
              <w:bCs/>
              <w:sz w:val="24"/>
              <w:szCs w:val="24"/>
            </w:rPr>
            <w:t xml:space="preserve"> </w:t>
          </w:r>
          <w:r w:rsidRPr="003749A6">
            <w:rPr>
              <w:rFonts w:ascii="Times New Roman" w:hAnsi="Times New Roman"/>
              <w:sz w:val="24"/>
              <w:szCs w:val="24"/>
            </w:rPr>
            <w:t>De acuerdo con el Artículo 8º de la Ley 1 de 1991 en el modo portuario el concesionario no tiene derechos finales sobre activos los debe revertir a la Nación al final del contrato de concesión.</w:t>
          </w:r>
        </w:p>
        <w:p w14:paraId="2F2EC6FC" w14:textId="77777777" w:rsidR="00274429" w:rsidRPr="00351837" w:rsidRDefault="00274429" w:rsidP="00274429">
          <w:pPr>
            <w:jc w:val="both"/>
            <w:rPr>
              <w:rFonts w:ascii="Times New Roman" w:hAnsi="Times New Roman"/>
              <w:sz w:val="24"/>
              <w:szCs w:val="24"/>
            </w:rPr>
          </w:pPr>
          <w:r w:rsidRPr="006D56DF">
            <w:rPr>
              <w:rFonts w:ascii="Times New Roman" w:hAnsi="Times New Roman"/>
              <w:b/>
              <w:bCs/>
              <w:sz w:val="24"/>
              <w:szCs w:val="24"/>
            </w:rPr>
            <w:t>Observaciones:</w:t>
          </w:r>
          <w:r w:rsidRPr="009A46BB">
            <w:rPr>
              <w:rFonts w:ascii="Times New Roman" w:hAnsi="Times New Roman"/>
            </w:rPr>
            <w:t xml:space="preserve"> </w:t>
          </w:r>
        </w:p>
        <w:p w14:paraId="30947881" w14:textId="77777777" w:rsidR="00274429" w:rsidRPr="008F3768" w:rsidRDefault="00274429" w:rsidP="00274429">
          <w:pPr>
            <w:jc w:val="both"/>
            <w:rPr>
              <w:rFonts w:ascii="Times New Roman" w:hAnsi="Times New Roman"/>
              <w:sz w:val="24"/>
              <w:szCs w:val="24"/>
            </w:rPr>
          </w:pPr>
          <w:r w:rsidRPr="008F3768">
            <w:rPr>
              <w:rFonts w:ascii="Times New Roman" w:hAnsi="Times New Roman"/>
              <w:sz w:val="24"/>
              <w:szCs w:val="24"/>
            </w:rPr>
            <w:t>Reversión: De acuerdo con lo establecido en la cláusula 34 del contrato de concesión, todas las construcciones e inmuebles por destinación existentes, así como los que se autoricen por la Agencia Nacional de Infraestructura, levantadas o construidas en la zona de uso público que ha sido determinada o que se encuentran habitualmente instaladas en ellas y afectas a la concesión, serán revertidas gratuitamente por el Concesionario, en buen estado de operación y mantenimiento, al extinguirse el plazo de la misma o al ser declarada la caducidad. Dichos bienes deberán entregarse en buenas condiciones de operación tecnológica, mantenimiento y de adecuada eficiencia al término del contrato y de la prórroga si la hubiere.</w:t>
          </w:r>
        </w:p>
        <w:p w14:paraId="4ADFC73A" w14:textId="77777777" w:rsidR="00274429" w:rsidRPr="008F3768" w:rsidRDefault="00274429" w:rsidP="00274429">
          <w:pPr>
            <w:jc w:val="both"/>
            <w:rPr>
              <w:rFonts w:ascii="Times New Roman" w:hAnsi="Times New Roman"/>
              <w:sz w:val="24"/>
              <w:szCs w:val="24"/>
            </w:rPr>
          </w:pPr>
          <w:r w:rsidRPr="008F3768">
            <w:rPr>
              <w:rFonts w:ascii="Times New Roman" w:hAnsi="Times New Roman"/>
              <w:sz w:val="24"/>
              <w:szCs w:val="24"/>
            </w:rPr>
            <w:t>Igualmente, procederá la reversión al ser declarada la caducidad o la terminación unilateral. Para el efecto, el Concesionario deberá entregar con una antelación mínima de seis (6) meses anteriores a la terminación del contrato, un avalúo comercial actualizado y valoración técnica de las condiciones de operación de la infraestructura portuaria, equipos e inmuebles por destinación que habitualmente se encuentren instalados en las zonas de uso público que se revierten y que son propiedad de la Nación.</w:t>
          </w:r>
        </w:p>
        <w:p w14:paraId="05EAD829" w14:textId="77777777" w:rsidR="00274429" w:rsidRPr="008F3768" w:rsidRDefault="00274429" w:rsidP="00274429">
          <w:pPr>
            <w:jc w:val="both"/>
            <w:rPr>
              <w:rFonts w:ascii="Times New Roman" w:hAnsi="Times New Roman"/>
              <w:sz w:val="24"/>
              <w:szCs w:val="24"/>
            </w:rPr>
          </w:pPr>
          <w:r w:rsidRPr="008F3768">
            <w:rPr>
              <w:rFonts w:ascii="Times New Roman" w:hAnsi="Times New Roman"/>
              <w:sz w:val="24"/>
              <w:szCs w:val="24"/>
            </w:rPr>
            <w:t>La ANI es la entidad concedente pero la titularidad de los activos al final de la concesión es del Instituto Nacional de Vías INVIAS.</w:t>
          </w:r>
        </w:p>
        <w:p w14:paraId="6D3AEE88" w14:textId="55ADCF12" w:rsidR="00274429" w:rsidRDefault="1A920078">
          <w:pPr>
            <w:pStyle w:val="Prrafodelista"/>
            <w:numPr>
              <w:ilvl w:val="0"/>
              <w:numId w:val="131"/>
            </w:numPr>
            <w:spacing w:line="259" w:lineRule="auto"/>
            <w:jc w:val="both"/>
            <w:rPr>
              <w:rFonts w:ascii="Times New Roman" w:hAnsi="Times New Roman"/>
              <w:b/>
              <w:bCs/>
              <w:sz w:val="24"/>
              <w:szCs w:val="24"/>
            </w:rPr>
          </w:pPr>
          <w:r w:rsidRPr="10D44305">
            <w:rPr>
              <w:rFonts w:ascii="Times New Roman" w:hAnsi="Times New Roman"/>
              <w:b/>
              <w:bCs/>
              <w:sz w:val="24"/>
              <w:szCs w:val="24"/>
            </w:rPr>
            <w:t>No hay c</w:t>
          </w:r>
          <w:r w:rsidR="00274429" w:rsidRPr="10D44305">
            <w:rPr>
              <w:rFonts w:ascii="Times New Roman" w:hAnsi="Times New Roman"/>
              <w:b/>
              <w:bCs/>
              <w:sz w:val="24"/>
              <w:szCs w:val="24"/>
            </w:rPr>
            <w:t>ambios</w:t>
          </w:r>
          <w:r w:rsidR="00274429" w:rsidRPr="00D42094">
            <w:rPr>
              <w:rFonts w:ascii="Times New Roman" w:hAnsi="Times New Roman"/>
              <w:b/>
              <w:bCs/>
              <w:sz w:val="24"/>
              <w:szCs w:val="24"/>
            </w:rPr>
            <w:t xml:space="preserve"> en el acuerdo de concesión que se realicen durante el periodo fiscal </w:t>
          </w:r>
        </w:p>
        <w:p w14:paraId="21DA2FE0" w14:textId="77777777" w:rsidR="00274429" w:rsidRDefault="00274429" w:rsidP="00274429">
          <w:pPr>
            <w:jc w:val="both"/>
            <w:rPr>
              <w:rFonts w:ascii="Times New Roman" w:hAnsi="Times New Roman"/>
              <w:b/>
              <w:bCs/>
              <w:sz w:val="24"/>
              <w:szCs w:val="24"/>
            </w:rPr>
          </w:pPr>
        </w:p>
        <w:p w14:paraId="4A6B6556" w14:textId="7F1F485D" w:rsidR="00274429" w:rsidRDefault="00274429" w:rsidP="00274429">
          <w:pPr>
            <w:rPr>
              <w:rFonts w:ascii="Times New Roman" w:hAnsi="Times New Roman"/>
              <w:b/>
              <w:sz w:val="24"/>
              <w:szCs w:val="24"/>
            </w:rPr>
          </w:pPr>
          <w:r w:rsidRPr="10D44305">
            <w:rPr>
              <w:rFonts w:ascii="Times New Roman" w:hAnsi="Times New Roman"/>
              <w:b/>
              <w:sz w:val="24"/>
              <w:szCs w:val="24"/>
            </w:rPr>
            <w:t>UNIBÁN SERVICIOS S.A. (C.I. UNIÓN DE BANANEROS DE URABÁ S.A. – UNIBAN</w:t>
          </w:r>
          <w:r w:rsidRPr="10D44305">
            <w:rPr>
              <w:rFonts w:ascii="Times New Roman" w:hAnsi="Times New Roman"/>
              <w:b/>
              <w:bCs/>
              <w:sz w:val="24"/>
              <w:szCs w:val="24"/>
            </w:rPr>
            <w:t>)</w:t>
          </w:r>
        </w:p>
        <w:p w14:paraId="151B8097" w14:textId="77777777" w:rsidR="00274429" w:rsidRPr="00926315" w:rsidRDefault="00274429" w:rsidP="00E60BAB">
          <w:pPr>
            <w:pStyle w:val="Prrafodelista"/>
            <w:numPr>
              <w:ilvl w:val="0"/>
              <w:numId w:val="132"/>
            </w:numPr>
            <w:spacing w:line="259" w:lineRule="auto"/>
            <w:jc w:val="both"/>
            <w:rPr>
              <w:rFonts w:ascii="Times New Roman" w:hAnsi="Times New Roman"/>
              <w:b/>
              <w:bCs/>
              <w:sz w:val="24"/>
              <w:szCs w:val="24"/>
            </w:rPr>
          </w:pPr>
          <w:r w:rsidRPr="00926315">
            <w:rPr>
              <w:rFonts w:ascii="Times New Roman" w:hAnsi="Times New Roman"/>
              <w:b/>
              <w:bCs/>
              <w:sz w:val="24"/>
              <w:szCs w:val="24"/>
            </w:rPr>
            <w:t>Descripción del acuerdo</w:t>
          </w:r>
        </w:p>
        <w:p w14:paraId="5B20ED5B" w14:textId="60C97C7F" w:rsidR="00274429" w:rsidRPr="009A46BB" w:rsidRDefault="00274429" w:rsidP="10D44305">
          <w:pPr>
            <w:spacing w:after="0"/>
            <w:jc w:val="both"/>
            <w:rPr>
              <w:rFonts w:ascii="Times New Roman" w:hAnsi="Times New Roman"/>
            </w:rPr>
          </w:pPr>
          <w:r w:rsidRPr="009A46BB">
            <w:rPr>
              <w:rFonts w:ascii="Times New Roman" w:hAnsi="Times New Roman"/>
              <w:b/>
            </w:rPr>
            <w:t>Número del acuerdo de concesión:</w:t>
          </w:r>
          <w:r w:rsidR="75C95C22" w:rsidRPr="10D44305">
            <w:rPr>
              <w:rFonts w:ascii="Times New Roman" w:hAnsi="Times New Roman"/>
              <w:b/>
              <w:bCs/>
            </w:rPr>
            <w:t xml:space="preserve"> </w:t>
          </w:r>
          <w:r w:rsidRPr="009A46BB">
            <w:rPr>
              <w:rFonts w:ascii="Times New Roman" w:hAnsi="Times New Roman"/>
            </w:rPr>
            <w:t xml:space="preserve">Resolución de homologación No. 1955 de 2016 (Resolución de Cesión No. 20213030004535 del 26 de marzo de 2021). </w:t>
          </w:r>
        </w:p>
        <w:p w14:paraId="193EA75C" w14:textId="77777777" w:rsidR="00274429" w:rsidRPr="009A46BB" w:rsidRDefault="00274429" w:rsidP="10D44305">
          <w:pPr>
            <w:spacing w:after="0"/>
            <w:jc w:val="both"/>
            <w:rPr>
              <w:rFonts w:ascii="Times New Roman" w:hAnsi="Times New Roman"/>
            </w:rPr>
          </w:pPr>
          <w:r w:rsidRPr="009A46BB">
            <w:rPr>
              <w:rFonts w:ascii="Times New Roman" w:hAnsi="Times New Roman"/>
              <w:b/>
            </w:rPr>
            <w:t>Objeto / Descripción</w:t>
          </w:r>
          <w:r w:rsidRPr="009A46BB">
            <w:rPr>
              <w:rFonts w:ascii="Times New Roman" w:hAnsi="Times New Roman"/>
            </w:rPr>
            <w:t>: Homologar el permiso de operación para el cargue de banano, plátano de exportación, cargue y descargue de bienes y materias primas propios necesarios para la producción, beneficio y empaque de la fruta, así como el aprovechamiento de la capacidad de carga al norte y del flete de compensación con carga al sur, para terceras personas, a la sociedad Cl. UNION DE BANANEROS DE URABA S A - Cl. UNIBAN S A, de los muelles fluviales, otorgado por el Ministerio de Transporte, por medio de Resolución No. 002060 del 6 de agosto de 2004, ubicados en los Corregimientos de Zungo y Nueva Colonia de los municipios de Carepa y Turbo de la Zona de Urabá.</w:t>
          </w:r>
        </w:p>
        <w:p w14:paraId="13A72C19" w14:textId="74BD6C00" w:rsidR="00274429" w:rsidRPr="00B27B31" w:rsidRDefault="00274429" w:rsidP="10D44305">
          <w:pPr>
            <w:spacing w:after="0"/>
            <w:rPr>
              <w:rFonts w:ascii="Times New Roman" w:hAnsi="Times New Roman"/>
              <w:sz w:val="24"/>
              <w:szCs w:val="24"/>
            </w:rPr>
          </w:pPr>
          <w:r w:rsidRPr="00521A07">
            <w:rPr>
              <w:rFonts w:ascii="Times New Roman" w:hAnsi="Times New Roman"/>
              <w:b/>
              <w:bCs/>
              <w:sz w:val="24"/>
              <w:szCs w:val="24"/>
            </w:rPr>
            <w:t>Valor inicial:</w:t>
          </w:r>
          <w:r w:rsidR="7A91C0EE" w:rsidRPr="10D44305">
            <w:rPr>
              <w:rFonts w:ascii="Times New Roman" w:hAnsi="Times New Roman"/>
              <w:b/>
              <w:bCs/>
              <w:sz w:val="24"/>
              <w:szCs w:val="24"/>
            </w:rPr>
            <w:t xml:space="preserve"> </w:t>
          </w:r>
          <w:r w:rsidRPr="00B27B31">
            <w:rPr>
              <w:rFonts w:ascii="Times New Roman" w:hAnsi="Times New Roman"/>
              <w:sz w:val="24"/>
              <w:szCs w:val="24"/>
            </w:rPr>
            <w:t>USD $13.046.525 Artículo Sexto/ Resolución 1955 de 2016.</w:t>
          </w:r>
        </w:p>
        <w:p w14:paraId="0F536CFD" w14:textId="77777777" w:rsidR="00274429" w:rsidRDefault="00274429" w:rsidP="10D44305">
          <w:pPr>
            <w:spacing w:after="0"/>
            <w:rPr>
              <w:rFonts w:ascii="Times New Roman" w:hAnsi="Times New Roman"/>
              <w:sz w:val="24"/>
              <w:szCs w:val="24"/>
            </w:rPr>
          </w:pPr>
          <w:r w:rsidRPr="00521A07">
            <w:rPr>
              <w:rFonts w:ascii="Times New Roman" w:hAnsi="Times New Roman"/>
              <w:b/>
              <w:bCs/>
              <w:sz w:val="24"/>
              <w:szCs w:val="24"/>
            </w:rPr>
            <w:t>Fecha de inicio:</w:t>
          </w:r>
          <w:r>
            <w:rPr>
              <w:rFonts w:ascii="Times New Roman" w:hAnsi="Times New Roman"/>
              <w:b/>
              <w:bCs/>
              <w:sz w:val="24"/>
              <w:szCs w:val="24"/>
            </w:rPr>
            <w:t xml:space="preserve"> </w:t>
          </w:r>
          <w:r>
            <w:rPr>
              <w:rFonts w:ascii="Times New Roman" w:hAnsi="Times New Roman"/>
              <w:sz w:val="24"/>
              <w:szCs w:val="24"/>
            </w:rPr>
            <w:t>12/01/2017</w:t>
          </w:r>
        </w:p>
        <w:p w14:paraId="0E88D857" w14:textId="77777777" w:rsidR="00274429" w:rsidRDefault="00274429" w:rsidP="10D44305">
          <w:pPr>
            <w:spacing w:after="0"/>
            <w:jc w:val="both"/>
            <w:rPr>
              <w:rFonts w:ascii="Times New Roman" w:hAnsi="Times New Roman"/>
              <w:sz w:val="24"/>
              <w:szCs w:val="24"/>
            </w:rPr>
          </w:pPr>
          <w:r w:rsidRPr="00521A07">
            <w:rPr>
              <w:rFonts w:ascii="Times New Roman" w:hAnsi="Times New Roman"/>
              <w:b/>
              <w:bCs/>
              <w:sz w:val="24"/>
              <w:szCs w:val="24"/>
            </w:rPr>
            <w:t>Fecha de finalización estimada:</w:t>
          </w:r>
          <w:r>
            <w:rPr>
              <w:rFonts w:ascii="Times New Roman" w:hAnsi="Times New Roman"/>
              <w:b/>
              <w:bCs/>
              <w:sz w:val="24"/>
              <w:szCs w:val="24"/>
            </w:rPr>
            <w:t xml:space="preserve"> </w:t>
          </w:r>
          <w:r>
            <w:rPr>
              <w:rFonts w:ascii="Times New Roman" w:hAnsi="Times New Roman"/>
              <w:sz w:val="24"/>
              <w:szCs w:val="24"/>
            </w:rPr>
            <w:t>11/01/2037</w:t>
          </w:r>
        </w:p>
        <w:p w14:paraId="32E03E73" w14:textId="77777777" w:rsidR="00274429" w:rsidRPr="009A46BB" w:rsidRDefault="00274429" w:rsidP="10D44305">
          <w:pPr>
            <w:spacing w:after="0"/>
            <w:jc w:val="both"/>
            <w:rPr>
              <w:rFonts w:ascii="Times New Roman" w:hAnsi="Times New Roman"/>
            </w:rPr>
          </w:pPr>
          <w:r w:rsidRPr="00521A07">
            <w:rPr>
              <w:rFonts w:ascii="Times New Roman" w:hAnsi="Times New Roman"/>
              <w:b/>
              <w:bCs/>
              <w:sz w:val="24"/>
              <w:szCs w:val="24"/>
            </w:rPr>
            <w:t>Tipo ID:</w:t>
          </w:r>
          <w:r>
            <w:rPr>
              <w:rFonts w:ascii="Times New Roman" w:hAnsi="Times New Roman"/>
              <w:b/>
              <w:bCs/>
              <w:sz w:val="24"/>
              <w:szCs w:val="24"/>
            </w:rPr>
            <w:t xml:space="preserve"> NIT</w:t>
          </w:r>
        </w:p>
        <w:p w14:paraId="5FC88822" w14:textId="77777777" w:rsidR="00274429" w:rsidRDefault="00274429" w:rsidP="10D44305">
          <w:pPr>
            <w:spacing w:after="0"/>
            <w:rPr>
              <w:rFonts w:ascii="Times New Roman" w:hAnsi="Times New Roman"/>
              <w:sz w:val="24"/>
              <w:szCs w:val="24"/>
            </w:rPr>
          </w:pPr>
          <w:r w:rsidRPr="00521A07">
            <w:rPr>
              <w:rFonts w:ascii="Times New Roman" w:hAnsi="Times New Roman"/>
              <w:b/>
              <w:bCs/>
              <w:sz w:val="24"/>
              <w:szCs w:val="24"/>
            </w:rPr>
            <w:lastRenderedPageBreak/>
            <w:t>Número ID:</w:t>
          </w:r>
          <w:r>
            <w:rPr>
              <w:rFonts w:ascii="Times New Roman" w:hAnsi="Times New Roman"/>
              <w:b/>
              <w:bCs/>
              <w:sz w:val="24"/>
              <w:szCs w:val="24"/>
            </w:rPr>
            <w:t xml:space="preserve"> </w:t>
          </w:r>
          <w:r w:rsidRPr="00E6379F">
            <w:rPr>
              <w:rFonts w:ascii="Times New Roman" w:hAnsi="Times New Roman"/>
              <w:sz w:val="24"/>
              <w:szCs w:val="24"/>
            </w:rPr>
            <w:t xml:space="preserve">901343976-3 </w:t>
          </w:r>
        </w:p>
        <w:p w14:paraId="2B1B6FB2" w14:textId="2A4E9887" w:rsidR="00274429" w:rsidRPr="009A46BB" w:rsidRDefault="00274429" w:rsidP="10D44305">
          <w:pPr>
            <w:spacing w:after="0"/>
            <w:rPr>
              <w:rFonts w:ascii="Times New Roman" w:hAnsi="Times New Roman"/>
            </w:rPr>
          </w:pPr>
          <w:r w:rsidRPr="00521A07">
            <w:rPr>
              <w:rFonts w:ascii="Times New Roman" w:hAnsi="Times New Roman"/>
              <w:b/>
              <w:bCs/>
              <w:sz w:val="24"/>
              <w:szCs w:val="24"/>
            </w:rPr>
            <w:t>Razón social del concesionario:</w:t>
          </w:r>
          <w:r w:rsidR="712AE712" w:rsidRPr="10D44305">
            <w:rPr>
              <w:rFonts w:ascii="Times New Roman" w:hAnsi="Times New Roman"/>
              <w:b/>
              <w:bCs/>
              <w:sz w:val="24"/>
              <w:szCs w:val="24"/>
            </w:rPr>
            <w:t xml:space="preserve"> </w:t>
          </w:r>
          <w:r w:rsidRPr="009A46BB">
            <w:rPr>
              <w:rFonts w:ascii="Times New Roman" w:hAnsi="Times New Roman"/>
            </w:rPr>
            <w:t xml:space="preserve">UNIBÁN SERVICIOS S.A. (C.I. UNIÓN DE BANANEROS DE URABÁ S.A. – UNIBAN). </w:t>
          </w:r>
        </w:p>
        <w:p w14:paraId="5698D65B" w14:textId="416CE0C6" w:rsidR="00274429" w:rsidRPr="009A46BB" w:rsidRDefault="00274429" w:rsidP="10D44305">
          <w:pPr>
            <w:spacing w:after="0"/>
            <w:rPr>
              <w:rFonts w:ascii="Times New Roman" w:hAnsi="Times New Roman"/>
            </w:rPr>
          </w:pPr>
          <w:r w:rsidRPr="00521A07">
            <w:rPr>
              <w:rFonts w:ascii="Times New Roman" w:hAnsi="Times New Roman"/>
              <w:b/>
              <w:bCs/>
              <w:sz w:val="24"/>
              <w:szCs w:val="24"/>
            </w:rPr>
            <w:t>Nombre del proyecto:</w:t>
          </w:r>
          <w:r w:rsidR="3FC4412E" w:rsidRPr="10D44305">
            <w:rPr>
              <w:rFonts w:ascii="Times New Roman" w:hAnsi="Times New Roman"/>
              <w:b/>
              <w:bCs/>
              <w:sz w:val="24"/>
              <w:szCs w:val="24"/>
            </w:rPr>
            <w:t xml:space="preserve"> </w:t>
          </w:r>
          <w:r w:rsidRPr="009A46BB">
            <w:rPr>
              <w:rFonts w:ascii="Times New Roman" w:hAnsi="Times New Roman"/>
            </w:rPr>
            <w:t xml:space="preserve">UNIBÁN SERVICIOS S.A. (C.I. UNIÓN DE BANANEROS DE URABÁ S.A. – UNIBAN). </w:t>
          </w:r>
        </w:p>
        <w:p w14:paraId="0E005515" w14:textId="3CA82253" w:rsidR="10D44305" w:rsidRDefault="10D44305" w:rsidP="10D44305">
          <w:pPr>
            <w:spacing w:after="0"/>
            <w:rPr>
              <w:rFonts w:ascii="Times New Roman" w:hAnsi="Times New Roman"/>
            </w:rPr>
          </w:pPr>
        </w:p>
        <w:p w14:paraId="406440F8" w14:textId="77777777" w:rsidR="00274429" w:rsidRPr="003A32AC" w:rsidRDefault="00274429" w:rsidP="00E60BAB">
          <w:pPr>
            <w:pStyle w:val="Prrafodelista"/>
            <w:numPr>
              <w:ilvl w:val="0"/>
              <w:numId w:val="132"/>
            </w:numPr>
            <w:spacing w:line="259" w:lineRule="auto"/>
            <w:jc w:val="both"/>
            <w:rPr>
              <w:rFonts w:ascii="Times New Roman" w:hAnsi="Times New Roman"/>
              <w:b/>
              <w:bCs/>
              <w:sz w:val="24"/>
              <w:szCs w:val="24"/>
            </w:rPr>
          </w:pPr>
          <w:r w:rsidRPr="003A32AC">
            <w:rPr>
              <w:rFonts w:ascii="Times New Roman" w:hAnsi="Times New Roman"/>
              <w:b/>
              <w:bCs/>
              <w:sz w:val="24"/>
              <w:szCs w:val="24"/>
            </w:rPr>
            <w:t>Términos significativos del acuerdo que puedan afectar su valor, el calendario y la certeza de los flujos</w:t>
          </w:r>
        </w:p>
        <w:p w14:paraId="611D30C0" w14:textId="4997FDB1"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valor:</w:t>
          </w:r>
        </w:p>
        <w:p w14:paraId="37E41A9B" w14:textId="77777777" w:rsidR="00274429" w:rsidRDefault="00274429" w:rsidP="00274429">
          <w:pPr>
            <w:jc w:val="both"/>
            <w:rPr>
              <w:rFonts w:ascii="Times New Roman" w:hAnsi="Times New Roman"/>
              <w:sz w:val="24"/>
              <w:szCs w:val="24"/>
            </w:rPr>
          </w:pPr>
          <w:r w:rsidRPr="00FC7585">
            <w:rPr>
              <w:rFonts w:ascii="Times New Roman" w:hAnsi="Times New Roman"/>
              <w:b/>
              <w:bCs/>
              <w:sz w:val="24"/>
              <w:szCs w:val="24"/>
            </w:rPr>
            <w:t xml:space="preserve">Tarifas: </w:t>
          </w:r>
          <w:r w:rsidRPr="002A3421">
            <w:rPr>
              <w:rFonts w:ascii="Times New Roman" w:hAnsi="Times New Roman"/>
              <w:sz w:val="24"/>
              <w:szCs w:val="24"/>
            </w:rPr>
            <w:t>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w:t>
          </w:r>
        </w:p>
        <w:p w14:paraId="44DD7284" w14:textId="5443C375" w:rsidR="00274429" w:rsidRDefault="00274429" w:rsidP="00274429">
          <w:pPr>
            <w:jc w:val="both"/>
            <w:rPr>
              <w:rFonts w:ascii="Times New Roman" w:hAnsi="Times New Roman"/>
              <w:sz w:val="24"/>
              <w:szCs w:val="24"/>
            </w:rPr>
          </w:pPr>
          <w:r w:rsidRPr="009A46BB">
            <w:rPr>
              <w:rFonts w:ascii="Times New Roman" w:hAnsi="Times New Roman"/>
              <w:b/>
            </w:rPr>
            <w:t>Contraprestación portuaria</w:t>
          </w:r>
          <w:r w:rsidRPr="009A46BB">
            <w:rPr>
              <w:rFonts w:ascii="Times New Roman" w:hAnsi="Times New Roman"/>
            </w:rPr>
            <w:t xml:space="preserve">: </w:t>
          </w:r>
          <w:r w:rsidRPr="00F029D1">
            <w:rPr>
              <w:rFonts w:ascii="Times New Roman" w:hAnsi="Times New Roman"/>
              <w:sz w:val="24"/>
              <w:szCs w:val="24"/>
            </w:rPr>
            <w:t>De acuerdo con el último documento contractual la metodología de contraprestación vigente es CONPES 3744 de 2013 y según el artículo sexto de la Resolución No. 1955 de 2016 (Componentes Fijo y Variable).A febrero de 2022 se proyectó que el CONCESIONARIO debió pagar la suma de USD $ USD 1.796.225, valor que incluye componente fijo y componente variable.</w:t>
          </w:r>
          <w:r w:rsidR="6C203587" w:rsidRPr="10D44305">
            <w:rPr>
              <w:rFonts w:ascii="Times New Roman" w:hAnsi="Times New Roman"/>
              <w:sz w:val="24"/>
              <w:szCs w:val="24"/>
            </w:rPr>
            <w:t xml:space="preserve"> </w:t>
          </w:r>
          <w:r w:rsidRPr="00F029D1">
            <w:rPr>
              <w:rFonts w:ascii="Times New Roman" w:hAnsi="Times New Roman"/>
              <w:sz w:val="24"/>
              <w:szCs w:val="24"/>
            </w:rPr>
            <w:t>El valor correspondiente a la contraprestación por zona de uso público resultará de la diferencia entre el valor de la liquidación total y el valor de la infraestructura. Y el recaudo se realizará de conformidad con la ley 856 de 2003, es decir, ZUP</w:t>
          </w:r>
          <w:r>
            <w:rPr>
              <w:rFonts w:ascii="Times New Roman" w:hAnsi="Times New Roman"/>
              <w:sz w:val="24"/>
              <w:szCs w:val="24"/>
            </w:rPr>
            <w:t xml:space="preserve"> </w:t>
          </w:r>
          <w:r w:rsidRPr="00F029D1">
            <w:rPr>
              <w:rFonts w:ascii="Times New Roman" w:hAnsi="Times New Roman"/>
              <w:sz w:val="24"/>
              <w:szCs w:val="24"/>
            </w:rPr>
            <w:t>el 80% le corresponde a la Nación Instituto nacional de vías (INVIAS) y el 20% restante a los Municipios de Carepa y Turbo (Antioquia); e INFRAESTRUCTURA en un 100% a la Nación - Instituto Nacional de Vías (INVIAS)</w:t>
          </w:r>
          <w:r w:rsidRPr="00651F8E">
            <w:rPr>
              <w:rFonts w:ascii="Times New Roman" w:hAnsi="Times New Roman"/>
              <w:sz w:val="24"/>
              <w:szCs w:val="24"/>
            </w:rPr>
            <w:t>.</w:t>
          </w:r>
        </w:p>
        <w:p w14:paraId="7E7F135B" w14:textId="77777777" w:rsidR="00274429" w:rsidRDefault="00274429" w:rsidP="00274429">
          <w:pPr>
            <w:jc w:val="both"/>
            <w:rPr>
              <w:rFonts w:ascii="Times New Roman" w:hAnsi="Times New Roman"/>
              <w:sz w:val="24"/>
              <w:szCs w:val="24"/>
            </w:rPr>
          </w:pPr>
          <w:r w:rsidRPr="00F96C82">
            <w:rPr>
              <w:rFonts w:ascii="Times New Roman" w:hAnsi="Times New Roman"/>
              <w:sz w:val="24"/>
              <w:szCs w:val="24"/>
            </w:rPr>
            <w:t xml:space="preserve">Plan de Inversiones: </w:t>
          </w:r>
          <w:r w:rsidRPr="00265AD6">
            <w:rPr>
              <w:rFonts w:ascii="Times New Roman" w:hAnsi="Times New Roman"/>
              <w:sz w:val="24"/>
              <w:szCs w:val="24"/>
            </w:rPr>
            <w:t>Teniendo en cuenta la Resolución No. 1955 de 2016, no se cuenta con un plan de inversión.</w:t>
          </w:r>
        </w:p>
        <w:p w14:paraId="6C168F5B" w14:textId="77777777" w:rsidR="00274429" w:rsidRDefault="00274429" w:rsidP="00274429">
          <w:pPr>
            <w:jc w:val="both"/>
            <w:rPr>
              <w:rStyle w:val="Estilo3"/>
            </w:rPr>
          </w:pPr>
          <w:r w:rsidRPr="00F83FC2">
            <w:rPr>
              <w:rStyle w:val="Estilo3"/>
              <w:b/>
              <w:bCs/>
            </w:rPr>
            <w:t xml:space="preserve">Obligaciones del CONCESIONARIO: </w:t>
          </w:r>
          <w:r w:rsidRPr="007B6678">
            <w:rPr>
              <w:rStyle w:val="Estilo3"/>
            </w:rPr>
            <w:t xml:space="preserve">se encuentran descritas en la cláusula décima. </w:t>
          </w:r>
        </w:p>
        <w:p w14:paraId="3886754B" w14:textId="77777777" w:rsidR="00274429" w:rsidRDefault="00274429" w:rsidP="00274429">
          <w:pPr>
            <w:jc w:val="both"/>
            <w:rPr>
              <w:rFonts w:ascii="Times New Roman" w:hAnsi="Times New Roman"/>
              <w:b/>
              <w:bCs/>
              <w:sz w:val="24"/>
              <w:szCs w:val="24"/>
            </w:rPr>
          </w:pPr>
          <w:r w:rsidRPr="004C1095">
            <w:rPr>
              <w:rFonts w:ascii="Times New Roman" w:hAnsi="Times New Roman"/>
              <w:b/>
              <w:bCs/>
              <w:sz w:val="24"/>
              <w:szCs w:val="24"/>
            </w:rPr>
            <w:t>Términos de calendario:</w:t>
          </w:r>
        </w:p>
        <w:p w14:paraId="194E92FE" w14:textId="77777777" w:rsidR="00274429" w:rsidRPr="00B16157" w:rsidRDefault="00274429" w:rsidP="00274429">
          <w:pPr>
            <w:jc w:val="both"/>
            <w:rPr>
              <w:rStyle w:val="Estilo3"/>
            </w:rPr>
          </w:pPr>
          <w:r w:rsidRPr="00B16157">
            <w:rPr>
              <w:rStyle w:val="Estilo3"/>
            </w:rPr>
            <w:t xml:space="preserve">Tarifas: Aprobadas según la metodología establecida por la Superintendencia General de Puertos hoy Superintendencia de Transporte. </w:t>
          </w:r>
        </w:p>
        <w:p w14:paraId="7669DE75" w14:textId="77777777" w:rsidR="00274429" w:rsidRPr="00B16157" w:rsidRDefault="00274429" w:rsidP="00274429">
          <w:pPr>
            <w:jc w:val="both"/>
            <w:rPr>
              <w:rStyle w:val="Estilo3"/>
            </w:rPr>
          </w:pPr>
          <w:r w:rsidRPr="00B16157">
            <w:rPr>
              <w:rStyle w:val="Estilo3"/>
            </w:rPr>
            <w:t xml:space="preserve">Contraprestación portuaria: La contraprestación se debe pagar de manera anticipada antes del mes de febrero de cada año. </w:t>
          </w:r>
        </w:p>
        <w:p w14:paraId="56881395" w14:textId="77777777" w:rsidR="00274429" w:rsidRDefault="00274429" w:rsidP="00274429">
          <w:pPr>
            <w:jc w:val="both"/>
            <w:rPr>
              <w:rStyle w:val="Estilo3"/>
            </w:rPr>
          </w:pPr>
          <w:r w:rsidRPr="00B16157">
            <w:rPr>
              <w:rStyle w:val="Estilo3"/>
            </w:rPr>
            <w:t>Plan de inversiones: Teniendo en cuenta la Resolución No. 1955 de 2016, no se cuenta con un plan de inversión.</w:t>
          </w:r>
        </w:p>
        <w:p w14:paraId="3D641651" w14:textId="77777777"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certeza de flujos de efectivo futuros:</w:t>
          </w:r>
          <w:r>
            <w:rPr>
              <w:rFonts w:ascii="Times New Roman" w:hAnsi="Times New Roman"/>
              <w:b/>
              <w:bCs/>
              <w:sz w:val="24"/>
              <w:szCs w:val="24"/>
            </w:rPr>
            <w:t xml:space="preserve"> </w:t>
          </w:r>
        </w:p>
        <w:p w14:paraId="43B8FD70" w14:textId="77777777" w:rsidR="00274429" w:rsidRPr="009A46BB" w:rsidRDefault="00274429" w:rsidP="00274429">
          <w:pPr>
            <w:jc w:val="both"/>
            <w:rPr>
              <w:rFonts w:ascii="Times New Roman" w:hAnsi="Times New Roman"/>
            </w:rPr>
          </w:pPr>
          <w:r w:rsidRPr="009A46BB">
            <w:rPr>
              <w:rFonts w:ascii="Times New Roman" w:hAnsi="Times New Roman"/>
            </w:rPr>
            <w:t xml:space="preserve">Homologar el permiso de operación para el cargue de banano, plátano de exportación, cargue y descargue de bienes y materias primas propios necesarios para la producción, beneficio y empaque de la fruta, así como el aprovechamiento de la capacidad de carga al norte y del flete de compensación con carga al sur, para terceras personas, a la sociedad Cl. UNION DE BANANEROS DE URABA S </w:t>
          </w:r>
          <w:r w:rsidRPr="009A46BB">
            <w:rPr>
              <w:rFonts w:ascii="Times New Roman" w:hAnsi="Times New Roman"/>
            </w:rPr>
            <w:lastRenderedPageBreak/>
            <w:t>A - Cl. UNIBAN S A, de los muelles fluviales, otorgado por el Ministerio de Transporte, por medio de Resolución No. 002060 del 6 de agosto de 2004, ubicados en los Corregimientos de Zungo y Nueva Colonia de los municipios de Carepa y Turbo de la Zona de Urabá.</w:t>
          </w:r>
        </w:p>
        <w:p w14:paraId="2ADF8DA0" w14:textId="77777777" w:rsidR="00274429" w:rsidRPr="009A46BB" w:rsidRDefault="00274429" w:rsidP="00274429">
          <w:pPr>
            <w:jc w:val="both"/>
            <w:rPr>
              <w:rFonts w:ascii="Times New Roman" w:hAnsi="Times New Roman"/>
            </w:rPr>
          </w:pPr>
          <w:r w:rsidRPr="009A46BB">
            <w:rPr>
              <w:rFonts w:ascii="Times New Roman" w:hAnsi="Times New Roman"/>
            </w:rPr>
            <w:t xml:space="preserve">En el parágrafo del artículo sexto de la Resolución No. 1955 de 2016, se menciona que de dicho pago el 80% le corresponde a la NACIÓN-Instituto Nacional de Vías y el 20% restante a los Municipios de Carepa y Turbo (Antioquia), de acuerdo con lo establecido en el parágrafo 1 del artículo 1 de la Ley 856 del 21 de diciembre de 2003, que modifica el artículo 7 de la Ley 1 de 1991. </w:t>
          </w:r>
        </w:p>
        <w:p w14:paraId="5D490818" w14:textId="77777777" w:rsidR="00274429" w:rsidRPr="00E151A9" w:rsidRDefault="00274429" w:rsidP="00E60BAB">
          <w:pPr>
            <w:pStyle w:val="Prrafodelista"/>
            <w:numPr>
              <w:ilvl w:val="0"/>
              <w:numId w:val="132"/>
            </w:numPr>
            <w:spacing w:line="259" w:lineRule="auto"/>
            <w:jc w:val="both"/>
            <w:rPr>
              <w:rFonts w:ascii="Times New Roman" w:hAnsi="Times New Roman"/>
              <w:b/>
              <w:bCs/>
              <w:sz w:val="24"/>
              <w:szCs w:val="24"/>
            </w:rPr>
          </w:pPr>
          <w:r w:rsidRPr="00E151A9">
            <w:rPr>
              <w:rFonts w:ascii="Times New Roman" w:hAnsi="Times New Roman"/>
              <w:b/>
              <w:bCs/>
              <w:sz w:val="24"/>
              <w:szCs w:val="24"/>
            </w:rPr>
            <w:t>Naturaleza y alcance del derecho a utilizar activos especificados, de los aspectos pactados en torno a lo que se espera que el concesionario proporcione en relación con el acuerdo de concesión (Se requiere ser breves, precisos, y concisos en la redacción)</w:t>
          </w:r>
        </w:p>
        <w:p w14:paraId="55C859CF" w14:textId="77777777" w:rsidR="00274429" w:rsidRDefault="00274429" w:rsidP="00274429">
          <w:pPr>
            <w:jc w:val="both"/>
            <w:rPr>
              <w:rFonts w:ascii="Times New Roman" w:hAnsi="Times New Roman"/>
              <w:b/>
              <w:bCs/>
              <w:sz w:val="24"/>
              <w:szCs w:val="24"/>
            </w:rPr>
          </w:pPr>
          <w:r w:rsidRPr="00217110">
            <w:rPr>
              <w:rFonts w:ascii="Times New Roman" w:hAnsi="Times New Roman"/>
              <w:b/>
              <w:bCs/>
              <w:sz w:val="24"/>
              <w:szCs w:val="24"/>
            </w:rPr>
            <w:t>Naturaleza y alcance del derecho de uso de los activos</w:t>
          </w:r>
        </w:p>
        <w:p w14:paraId="022A32EB" w14:textId="5DF76CED" w:rsidR="00274429" w:rsidRPr="009A46BB" w:rsidRDefault="00274429" w:rsidP="00274429">
          <w:pPr>
            <w:jc w:val="both"/>
            <w:rPr>
              <w:rFonts w:ascii="Times New Roman" w:hAnsi="Times New Roman"/>
            </w:rPr>
          </w:pPr>
          <w:r w:rsidRPr="003E5FA9">
            <w:rPr>
              <w:rFonts w:ascii="Times New Roman" w:hAnsi="Times New Roman"/>
              <w:b/>
              <w:bCs/>
              <w:sz w:val="24"/>
              <w:szCs w:val="24"/>
            </w:rPr>
            <w:t>Descripción:</w:t>
          </w:r>
          <w:r w:rsidR="7A0E10FA" w:rsidRPr="10D44305">
            <w:rPr>
              <w:rFonts w:ascii="Times New Roman" w:hAnsi="Times New Roman"/>
              <w:b/>
              <w:bCs/>
              <w:sz w:val="24"/>
              <w:szCs w:val="24"/>
            </w:rPr>
            <w:t xml:space="preserve"> </w:t>
          </w:r>
          <w:r w:rsidRPr="009A46BB">
            <w:rPr>
              <w:rFonts w:ascii="Times New Roman" w:hAnsi="Times New Roman"/>
            </w:rPr>
            <w:t>Área entregada en concesión: La descripción de la ubicación, linderos y extensión de los bienes de uso público (playas y terrenos de baja mar, zonas marítimas accesorias de maniobras) entregados en concesión están establecidos en el artículo primero.</w:t>
          </w:r>
        </w:p>
        <w:p w14:paraId="27F0173F" w14:textId="77777777" w:rsidR="00274429" w:rsidRPr="009A46BB" w:rsidRDefault="00274429" w:rsidP="00274429">
          <w:pPr>
            <w:jc w:val="both"/>
            <w:rPr>
              <w:rFonts w:ascii="Times New Roman" w:hAnsi="Times New Roman"/>
            </w:rPr>
          </w:pPr>
          <w:r w:rsidRPr="009A46BB">
            <w:rPr>
              <w:rFonts w:ascii="Times New Roman" w:hAnsi="Times New Roman"/>
            </w:rPr>
            <w:t>El área solicitada en concesión corresponde al área acuática, la cual se encuentra ubicada en íes muelles fluviales de Zungo y Nueva Colonia en los Municipios de Carepa y Turbo, sector de Urabá. El área correspondiente a las zonas de uso público señalada como área acuática ocupada por la Infraestructura de los embarcaderos, zonas aledañas a los terrenos del proyecto que son propiedad privada de C.I. UNIBAN S.A. por el término de 20 años a cambio de la contraprestación establecida en el Artículo Sexto - Contraprestación de la Resolución de Homologación No. 1955 del 21 de diciembre del 2016</w:t>
          </w:r>
        </w:p>
        <w:p w14:paraId="40B8965E" w14:textId="77777777" w:rsidR="00274429" w:rsidRPr="00ED266C" w:rsidRDefault="00274429" w:rsidP="00274429">
          <w:pPr>
            <w:jc w:val="both"/>
            <w:rPr>
              <w:rFonts w:ascii="Times New Roman" w:hAnsi="Times New Roman"/>
              <w:sz w:val="24"/>
              <w:szCs w:val="24"/>
            </w:rPr>
          </w:pPr>
          <w:r w:rsidRPr="003E5FA9">
            <w:rPr>
              <w:rFonts w:ascii="Times New Roman" w:hAnsi="Times New Roman"/>
              <w:b/>
              <w:bCs/>
              <w:sz w:val="24"/>
              <w:szCs w:val="24"/>
            </w:rPr>
            <w:t>Observaciones:</w:t>
          </w:r>
          <w:r>
            <w:rPr>
              <w:rFonts w:ascii="Times New Roman" w:hAnsi="Times New Roman"/>
              <w:b/>
              <w:bCs/>
              <w:sz w:val="24"/>
              <w:szCs w:val="24"/>
            </w:rPr>
            <w:t xml:space="preserve"> </w:t>
          </w:r>
          <w:r>
            <w:rPr>
              <w:rFonts w:ascii="Times New Roman" w:hAnsi="Times New Roman"/>
              <w:sz w:val="24"/>
              <w:szCs w:val="24"/>
            </w:rPr>
            <w:t>NA</w:t>
          </w:r>
        </w:p>
        <w:p w14:paraId="046D73C3" w14:textId="77777777" w:rsidR="00274429" w:rsidRDefault="00274429" w:rsidP="00274429">
          <w:pPr>
            <w:jc w:val="both"/>
            <w:rPr>
              <w:rFonts w:ascii="Times New Roman" w:hAnsi="Times New Roman"/>
              <w:b/>
              <w:bCs/>
              <w:sz w:val="24"/>
              <w:szCs w:val="24"/>
            </w:rPr>
          </w:pPr>
          <w:r>
            <w:rPr>
              <w:rFonts w:ascii="Times New Roman" w:hAnsi="Times New Roman"/>
              <w:b/>
              <w:bCs/>
              <w:sz w:val="24"/>
              <w:szCs w:val="24"/>
            </w:rPr>
            <w:t>Retribución al Concesionario</w:t>
          </w:r>
        </w:p>
        <w:p w14:paraId="75FEAA9F" w14:textId="77777777" w:rsidR="00274429" w:rsidRPr="009A46BB" w:rsidRDefault="00274429" w:rsidP="00274429">
          <w:pPr>
            <w:jc w:val="both"/>
            <w:rPr>
              <w:rFonts w:ascii="Times New Roman" w:hAnsi="Times New Roman"/>
            </w:rPr>
          </w:pPr>
          <w:r w:rsidRPr="009A46BB">
            <w:rPr>
              <w:rFonts w:ascii="Times New Roman" w:hAnsi="Times New Roman"/>
              <w:b/>
            </w:rPr>
            <w:t xml:space="preserve">Descripción: </w:t>
          </w:r>
          <w:r w:rsidRPr="009A46BB">
            <w:rPr>
              <w:rFonts w:ascii="Times New Roman" w:hAnsi="Times New Roman"/>
            </w:rPr>
            <w:t>Teniendo en cuenta el artículo primero, sobre el objeto que en particular describe homologar el permiso de operación para el cargue de banano, plátano de exportación, cargue y descargue de bienes y materias primas propios necesarios para la producción, beneficio y empaque de la fruta, así como el aprovechamiento de la capacidad de carga al norte y del flete de compensación con carga al sur, para terceras personas, a la sociedad Cl. UNION DE BANANEROS DE URABA S A - Cl. UNIBAN S A, de los muelles fluviales, otorgado por el Ministerio de Transporte, por medio de Resolución No. 002060 del 6 de agosto de 2004, ubicados en los Corregimientos de Zungo y Nueva Colonia de los municipios de Carepa y Turbo de la Zona de Urabá.</w:t>
          </w:r>
        </w:p>
        <w:p w14:paraId="45E48B19" w14:textId="77777777" w:rsidR="00274429" w:rsidRPr="00351837" w:rsidRDefault="00274429" w:rsidP="00274429">
          <w:pPr>
            <w:jc w:val="both"/>
            <w:rPr>
              <w:rFonts w:ascii="Times New Roman" w:hAnsi="Times New Roman"/>
              <w:b/>
              <w:bCs/>
              <w:sz w:val="24"/>
              <w:szCs w:val="24"/>
            </w:rPr>
          </w:pPr>
          <w:r>
            <w:rPr>
              <w:rFonts w:ascii="Times New Roman" w:hAnsi="Times New Roman"/>
              <w:b/>
              <w:bCs/>
              <w:sz w:val="24"/>
              <w:szCs w:val="24"/>
            </w:rPr>
            <w:t>Tasa de retribución: NA</w:t>
          </w:r>
        </w:p>
        <w:p w14:paraId="6BB9294D" w14:textId="77777777" w:rsidR="00274429" w:rsidRPr="00421699" w:rsidRDefault="00274429" w:rsidP="00E60BAB">
          <w:pPr>
            <w:pStyle w:val="Prrafodelista"/>
            <w:numPr>
              <w:ilvl w:val="0"/>
              <w:numId w:val="132"/>
            </w:numPr>
            <w:spacing w:line="259" w:lineRule="auto"/>
            <w:jc w:val="both"/>
            <w:rPr>
              <w:rFonts w:ascii="Times New Roman" w:hAnsi="Times New Roman"/>
              <w:b/>
              <w:bCs/>
              <w:sz w:val="24"/>
              <w:szCs w:val="24"/>
            </w:rPr>
          </w:pPr>
          <w:r w:rsidRPr="00421699">
            <w:rPr>
              <w:rFonts w:ascii="Times New Roman" w:hAnsi="Times New Roman"/>
              <w:b/>
              <w:bCs/>
              <w:sz w:val="24"/>
              <w:szCs w:val="24"/>
            </w:rPr>
            <w:t>Derechos a recibir activos especificados al final del acuerdo de concesión</w:t>
          </w:r>
        </w:p>
        <w:p w14:paraId="39726C67" w14:textId="77777777" w:rsidR="00274429" w:rsidRPr="00EC3525" w:rsidRDefault="00274429" w:rsidP="00274429">
          <w:pPr>
            <w:jc w:val="both"/>
            <w:rPr>
              <w:rFonts w:ascii="Times New Roman" w:hAnsi="Times New Roman"/>
              <w:sz w:val="24"/>
              <w:szCs w:val="24"/>
            </w:rPr>
          </w:pPr>
          <w:r w:rsidRPr="006D56DF">
            <w:rPr>
              <w:rFonts w:ascii="Times New Roman" w:hAnsi="Times New Roman"/>
              <w:b/>
              <w:bCs/>
              <w:sz w:val="24"/>
              <w:szCs w:val="24"/>
            </w:rPr>
            <w:t>Descripción:</w:t>
          </w:r>
          <w:r>
            <w:rPr>
              <w:rFonts w:ascii="Times New Roman" w:hAnsi="Times New Roman"/>
              <w:b/>
              <w:bCs/>
              <w:sz w:val="24"/>
              <w:szCs w:val="24"/>
            </w:rPr>
            <w:t xml:space="preserve"> </w:t>
          </w:r>
          <w:r w:rsidRPr="00EC3525">
            <w:rPr>
              <w:rFonts w:ascii="Times New Roman" w:hAnsi="Times New Roman"/>
              <w:sz w:val="24"/>
              <w:szCs w:val="24"/>
            </w:rPr>
            <w:t>De acuerdo con el Artículo 8º de la Ley 1 de 1991 en el modo portuario el concesionario no tiene derechos finales sobre activos los debe revertir a la Nación al final del contrato de concesión. Para el caso de UNIBÁN S.A. no hay activos para revertir a la nación</w:t>
          </w:r>
        </w:p>
        <w:p w14:paraId="75B587F4" w14:textId="77777777" w:rsidR="00274429" w:rsidRPr="00351837" w:rsidRDefault="00274429" w:rsidP="00274429">
          <w:pPr>
            <w:rPr>
              <w:rFonts w:ascii="Times New Roman" w:hAnsi="Times New Roman"/>
              <w:sz w:val="24"/>
              <w:szCs w:val="24"/>
            </w:rPr>
          </w:pPr>
          <w:r w:rsidRPr="006D56DF">
            <w:rPr>
              <w:rFonts w:ascii="Times New Roman" w:hAnsi="Times New Roman"/>
              <w:b/>
              <w:bCs/>
              <w:sz w:val="24"/>
              <w:szCs w:val="24"/>
            </w:rPr>
            <w:t>Observaciones:</w:t>
          </w:r>
          <w:r w:rsidRPr="009A46BB">
            <w:rPr>
              <w:rFonts w:ascii="Times New Roman" w:hAnsi="Times New Roman"/>
            </w:rPr>
            <w:t xml:space="preserve"> </w:t>
          </w:r>
        </w:p>
        <w:p w14:paraId="502D81FE" w14:textId="419DED19" w:rsidR="00274429" w:rsidRDefault="7C958EE3" w:rsidP="00E60BAB">
          <w:pPr>
            <w:pStyle w:val="Prrafodelista"/>
            <w:numPr>
              <w:ilvl w:val="0"/>
              <w:numId w:val="132"/>
            </w:numPr>
            <w:spacing w:line="259" w:lineRule="auto"/>
            <w:jc w:val="both"/>
            <w:rPr>
              <w:rFonts w:ascii="Times New Roman" w:hAnsi="Times New Roman"/>
              <w:b/>
              <w:bCs/>
              <w:sz w:val="24"/>
              <w:szCs w:val="24"/>
            </w:rPr>
          </w:pPr>
          <w:r w:rsidRPr="10D44305">
            <w:rPr>
              <w:rFonts w:ascii="Times New Roman" w:hAnsi="Times New Roman"/>
              <w:b/>
              <w:bCs/>
              <w:sz w:val="24"/>
              <w:szCs w:val="24"/>
            </w:rPr>
            <w:t>No hay c</w:t>
          </w:r>
          <w:r w:rsidR="00274429" w:rsidRPr="10D44305">
            <w:rPr>
              <w:rFonts w:ascii="Times New Roman" w:hAnsi="Times New Roman"/>
              <w:b/>
              <w:bCs/>
              <w:sz w:val="24"/>
              <w:szCs w:val="24"/>
            </w:rPr>
            <w:t>ambios</w:t>
          </w:r>
          <w:r w:rsidR="00274429" w:rsidRPr="00D42094">
            <w:rPr>
              <w:rFonts w:ascii="Times New Roman" w:hAnsi="Times New Roman"/>
              <w:b/>
              <w:bCs/>
              <w:sz w:val="24"/>
              <w:szCs w:val="24"/>
            </w:rPr>
            <w:t xml:space="preserve"> en el acuerdo de concesión que se realicen durante el periodo fiscal </w:t>
          </w:r>
        </w:p>
        <w:p w14:paraId="68831EF0" w14:textId="77777777" w:rsidR="00274429" w:rsidRPr="00197A12" w:rsidRDefault="00274429" w:rsidP="00274429">
          <w:pPr>
            <w:spacing w:after="0" w:line="240" w:lineRule="auto"/>
            <w:jc w:val="both"/>
            <w:rPr>
              <w:rFonts w:ascii="Times New Roman" w:hAnsi="Times New Roman"/>
              <w:b/>
              <w:bCs/>
              <w:sz w:val="24"/>
              <w:szCs w:val="24"/>
            </w:rPr>
          </w:pPr>
        </w:p>
        <w:p w14:paraId="0946C5CB" w14:textId="77777777" w:rsidR="00274429" w:rsidRPr="00197A12" w:rsidRDefault="00274429" w:rsidP="00274429">
          <w:pPr>
            <w:spacing w:after="0" w:line="240" w:lineRule="auto"/>
            <w:jc w:val="both"/>
            <w:rPr>
              <w:rFonts w:ascii="Times New Roman" w:hAnsi="Times New Roman"/>
              <w:b/>
              <w:bCs/>
              <w:sz w:val="24"/>
              <w:szCs w:val="24"/>
            </w:rPr>
          </w:pPr>
        </w:p>
        <w:p w14:paraId="7B1E9FBC" w14:textId="77777777" w:rsidR="00274429" w:rsidRDefault="00274429" w:rsidP="00274429">
          <w:pPr>
            <w:rPr>
              <w:rFonts w:ascii="Times New Roman" w:hAnsi="Times New Roman"/>
              <w:b/>
              <w:sz w:val="24"/>
              <w:szCs w:val="24"/>
            </w:rPr>
          </w:pPr>
          <w:r w:rsidRPr="10D44305">
            <w:rPr>
              <w:rFonts w:ascii="Times New Roman" w:hAnsi="Times New Roman"/>
              <w:b/>
              <w:bCs/>
              <w:sz w:val="24"/>
              <w:szCs w:val="24"/>
            </w:rPr>
            <w:t xml:space="preserve">PUERTOS DEL CARIBE SOCIEDAD PORTUARIA S.A. </w:t>
          </w:r>
        </w:p>
        <w:p w14:paraId="60E2E8D4" w14:textId="77777777" w:rsidR="00274429" w:rsidRPr="00547EAA" w:rsidRDefault="00274429" w:rsidP="00E60BAB">
          <w:pPr>
            <w:pStyle w:val="Prrafodelista"/>
            <w:numPr>
              <w:ilvl w:val="0"/>
              <w:numId w:val="133"/>
            </w:numPr>
            <w:spacing w:line="259" w:lineRule="auto"/>
            <w:jc w:val="both"/>
            <w:rPr>
              <w:rFonts w:ascii="Times New Roman" w:hAnsi="Times New Roman"/>
              <w:b/>
              <w:bCs/>
              <w:sz w:val="24"/>
              <w:szCs w:val="24"/>
            </w:rPr>
          </w:pPr>
          <w:r w:rsidRPr="00547EAA">
            <w:rPr>
              <w:rFonts w:ascii="Times New Roman" w:hAnsi="Times New Roman"/>
              <w:b/>
              <w:bCs/>
              <w:sz w:val="24"/>
              <w:szCs w:val="24"/>
            </w:rPr>
            <w:t>Descripción del acuerdo</w:t>
          </w:r>
        </w:p>
        <w:p w14:paraId="7C0AFED4" w14:textId="513C8A24" w:rsidR="00274429" w:rsidRPr="009A46BB" w:rsidRDefault="00274429" w:rsidP="10D44305">
          <w:pPr>
            <w:spacing w:after="0"/>
            <w:rPr>
              <w:rFonts w:ascii="Times New Roman" w:hAnsi="Times New Roman"/>
            </w:rPr>
          </w:pPr>
          <w:r w:rsidRPr="009A46BB">
            <w:rPr>
              <w:rFonts w:ascii="Times New Roman" w:hAnsi="Times New Roman"/>
              <w:b/>
            </w:rPr>
            <w:t>Número del acuerdo de concesión:</w:t>
          </w:r>
          <w:r w:rsidR="0D5A1D89" w:rsidRPr="10D44305">
            <w:rPr>
              <w:rFonts w:ascii="Times New Roman" w:hAnsi="Times New Roman"/>
              <w:b/>
              <w:bCs/>
            </w:rPr>
            <w:t xml:space="preserve"> </w:t>
          </w:r>
          <w:r w:rsidRPr="009A46BB">
            <w:rPr>
              <w:rFonts w:ascii="Times New Roman" w:hAnsi="Times New Roman"/>
            </w:rPr>
            <w:t xml:space="preserve">Contrato de Concesión No. 01 de 2017. </w:t>
          </w:r>
        </w:p>
        <w:p w14:paraId="4CDF07D9" w14:textId="77777777" w:rsidR="00274429" w:rsidRPr="009A46BB" w:rsidRDefault="00274429" w:rsidP="10D44305">
          <w:pPr>
            <w:spacing w:after="0"/>
            <w:jc w:val="both"/>
            <w:rPr>
              <w:rFonts w:ascii="Times New Roman" w:hAnsi="Times New Roman"/>
            </w:rPr>
          </w:pPr>
          <w:r w:rsidRPr="009A46BB">
            <w:rPr>
              <w:rFonts w:ascii="Times New Roman" w:hAnsi="Times New Roman"/>
              <w:b/>
            </w:rPr>
            <w:t>Objeto / Descripción</w:t>
          </w:r>
          <w:r w:rsidRPr="009A46BB">
            <w:rPr>
              <w:rFonts w:ascii="Times New Roman" w:hAnsi="Times New Roman"/>
            </w:rPr>
            <w:t>: Otorgamiento al CONCESIONARIO por parte del CONDECENTE, una concesión para autorizar la ocupación en forma temporal y exclusiva de los bienes de uso públicos descritos en la CLÁUSULA 2. BIENES CONCESIONADOS para la importación de hidrocarburos con el fin de abastecer la planta de lubricantes de ExxonMobil de Colombia S.A. de servicio privado a cambio de una contraprestación económica a favor del CONCEDENTE, en los términos descritos en la CLÁUSULA 13 – VALOR DEL CONTRATO Y DE LA CONTRAPRESTACIÓN de este Contrato.</w:t>
          </w:r>
        </w:p>
        <w:p w14:paraId="233CDAFD" w14:textId="7409299B" w:rsidR="00274429" w:rsidRPr="005D6205" w:rsidRDefault="00274429" w:rsidP="10D44305">
          <w:pPr>
            <w:spacing w:after="0"/>
            <w:rPr>
              <w:rFonts w:ascii="Times New Roman" w:hAnsi="Times New Roman"/>
              <w:sz w:val="24"/>
              <w:szCs w:val="24"/>
            </w:rPr>
          </w:pPr>
          <w:r w:rsidRPr="00521A07">
            <w:rPr>
              <w:rFonts w:ascii="Times New Roman" w:hAnsi="Times New Roman"/>
              <w:b/>
              <w:bCs/>
              <w:sz w:val="24"/>
              <w:szCs w:val="24"/>
            </w:rPr>
            <w:t>Valor inicial:</w:t>
          </w:r>
          <w:r w:rsidR="171E86D3" w:rsidRPr="10D44305">
            <w:rPr>
              <w:rFonts w:ascii="Times New Roman" w:hAnsi="Times New Roman"/>
              <w:b/>
              <w:bCs/>
              <w:sz w:val="24"/>
              <w:szCs w:val="24"/>
            </w:rPr>
            <w:t xml:space="preserve"> </w:t>
          </w:r>
          <w:r w:rsidRPr="005D6205">
            <w:rPr>
              <w:rFonts w:ascii="Times New Roman" w:hAnsi="Times New Roman"/>
              <w:sz w:val="24"/>
              <w:szCs w:val="24"/>
            </w:rPr>
            <w:t>USD $1.448.806.00 Cláusula Décima Tercera / Contrato de Concesión No 01 de 2017.</w:t>
          </w:r>
        </w:p>
        <w:p w14:paraId="70A9D680" w14:textId="77777777" w:rsidR="00274429" w:rsidRDefault="00274429" w:rsidP="10D44305">
          <w:pPr>
            <w:spacing w:after="0"/>
            <w:rPr>
              <w:rFonts w:ascii="Times New Roman" w:hAnsi="Times New Roman"/>
              <w:sz w:val="24"/>
              <w:szCs w:val="24"/>
            </w:rPr>
          </w:pPr>
          <w:r w:rsidRPr="00521A07">
            <w:rPr>
              <w:rFonts w:ascii="Times New Roman" w:hAnsi="Times New Roman"/>
              <w:b/>
              <w:bCs/>
              <w:sz w:val="24"/>
              <w:szCs w:val="24"/>
            </w:rPr>
            <w:t>Fecha de inicio:</w:t>
          </w:r>
          <w:r>
            <w:rPr>
              <w:rFonts w:ascii="Times New Roman" w:hAnsi="Times New Roman"/>
              <w:b/>
              <w:bCs/>
              <w:sz w:val="24"/>
              <w:szCs w:val="24"/>
            </w:rPr>
            <w:t xml:space="preserve"> </w:t>
          </w:r>
          <w:r>
            <w:rPr>
              <w:rFonts w:ascii="Times New Roman" w:hAnsi="Times New Roman"/>
              <w:sz w:val="24"/>
              <w:szCs w:val="24"/>
            </w:rPr>
            <w:t>11/08/2017</w:t>
          </w:r>
        </w:p>
        <w:p w14:paraId="3E96EE5A" w14:textId="77777777" w:rsidR="00274429" w:rsidRDefault="00274429" w:rsidP="10D44305">
          <w:pPr>
            <w:spacing w:after="0"/>
            <w:jc w:val="both"/>
            <w:rPr>
              <w:rFonts w:ascii="Times New Roman" w:hAnsi="Times New Roman"/>
              <w:sz w:val="24"/>
              <w:szCs w:val="24"/>
            </w:rPr>
          </w:pPr>
          <w:r w:rsidRPr="00521A07">
            <w:rPr>
              <w:rFonts w:ascii="Times New Roman" w:hAnsi="Times New Roman"/>
              <w:b/>
              <w:bCs/>
              <w:sz w:val="24"/>
              <w:szCs w:val="24"/>
            </w:rPr>
            <w:t>Fecha de finalización estimada:</w:t>
          </w:r>
          <w:r>
            <w:rPr>
              <w:rFonts w:ascii="Times New Roman" w:hAnsi="Times New Roman"/>
              <w:b/>
              <w:bCs/>
              <w:sz w:val="24"/>
              <w:szCs w:val="24"/>
            </w:rPr>
            <w:t xml:space="preserve"> </w:t>
          </w:r>
          <w:r>
            <w:rPr>
              <w:rFonts w:ascii="Times New Roman" w:hAnsi="Times New Roman"/>
              <w:sz w:val="24"/>
              <w:szCs w:val="24"/>
            </w:rPr>
            <w:t>10/08/2037</w:t>
          </w:r>
        </w:p>
        <w:p w14:paraId="3F42C44B" w14:textId="77777777" w:rsidR="00274429" w:rsidRPr="009A46BB" w:rsidRDefault="00274429" w:rsidP="10D44305">
          <w:pPr>
            <w:spacing w:after="0"/>
            <w:jc w:val="both"/>
            <w:rPr>
              <w:rFonts w:ascii="Times New Roman" w:hAnsi="Times New Roman"/>
            </w:rPr>
          </w:pPr>
          <w:r w:rsidRPr="00521A07">
            <w:rPr>
              <w:rFonts w:ascii="Times New Roman" w:hAnsi="Times New Roman"/>
              <w:b/>
              <w:bCs/>
              <w:sz w:val="24"/>
              <w:szCs w:val="24"/>
            </w:rPr>
            <w:t>Tipo ID:</w:t>
          </w:r>
          <w:r>
            <w:rPr>
              <w:rFonts w:ascii="Times New Roman" w:hAnsi="Times New Roman"/>
              <w:b/>
              <w:bCs/>
              <w:sz w:val="24"/>
              <w:szCs w:val="24"/>
            </w:rPr>
            <w:t xml:space="preserve"> NIT</w:t>
          </w:r>
        </w:p>
        <w:p w14:paraId="7F7143AA" w14:textId="77777777" w:rsidR="00274429" w:rsidRDefault="00274429" w:rsidP="10D44305">
          <w:pPr>
            <w:spacing w:after="0"/>
            <w:rPr>
              <w:rFonts w:ascii="Times New Roman" w:hAnsi="Times New Roman"/>
              <w:sz w:val="24"/>
              <w:szCs w:val="24"/>
            </w:rPr>
          </w:pPr>
          <w:r w:rsidRPr="00521A07">
            <w:rPr>
              <w:rFonts w:ascii="Times New Roman" w:hAnsi="Times New Roman"/>
              <w:b/>
              <w:bCs/>
              <w:sz w:val="24"/>
              <w:szCs w:val="24"/>
            </w:rPr>
            <w:t>Número ID:</w:t>
          </w:r>
          <w:r>
            <w:rPr>
              <w:rFonts w:ascii="Times New Roman" w:hAnsi="Times New Roman"/>
              <w:b/>
              <w:bCs/>
              <w:sz w:val="24"/>
              <w:szCs w:val="24"/>
            </w:rPr>
            <w:t xml:space="preserve"> </w:t>
          </w:r>
          <w:r w:rsidRPr="0080549F">
            <w:rPr>
              <w:rFonts w:ascii="Times New Roman" w:hAnsi="Times New Roman"/>
              <w:sz w:val="24"/>
              <w:szCs w:val="24"/>
            </w:rPr>
            <w:t>901.045.599-1</w:t>
          </w:r>
        </w:p>
        <w:p w14:paraId="373DC978" w14:textId="617CDB9C" w:rsidR="00274429" w:rsidRPr="009A46BB" w:rsidRDefault="00274429" w:rsidP="10D44305">
          <w:pPr>
            <w:spacing w:after="0"/>
            <w:rPr>
              <w:rFonts w:ascii="Times New Roman" w:hAnsi="Times New Roman"/>
            </w:rPr>
          </w:pPr>
          <w:r w:rsidRPr="00521A07">
            <w:rPr>
              <w:rFonts w:ascii="Times New Roman" w:hAnsi="Times New Roman"/>
              <w:b/>
              <w:bCs/>
              <w:sz w:val="24"/>
              <w:szCs w:val="24"/>
            </w:rPr>
            <w:t>Razón social del concesionario:</w:t>
          </w:r>
          <w:r w:rsidR="5DE86C79" w:rsidRPr="10D44305">
            <w:rPr>
              <w:rFonts w:ascii="Times New Roman" w:hAnsi="Times New Roman"/>
              <w:b/>
              <w:bCs/>
              <w:sz w:val="24"/>
              <w:szCs w:val="24"/>
            </w:rPr>
            <w:t xml:space="preserve"> </w:t>
          </w:r>
          <w:r w:rsidRPr="009A46BB">
            <w:rPr>
              <w:rFonts w:ascii="Times New Roman" w:hAnsi="Times New Roman"/>
            </w:rPr>
            <w:t xml:space="preserve">Puertos del Caribe Sociedad Portuaria S.A. </w:t>
          </w:r>
        </w:p>
        <w:p w14:paraId="5866CC0C" w14:textId="5A0053EB" w:rsidR="00274429" w:rsidRPr="009A46BB" w:rsidRDefault="00274429" w:rsidP="10D44305">
          <w:pPr>
            <w:spacing w:after="0"/>
            <w:rPr>
              <w:rFonts w:ascii="Times New Roman" w:hAnsi="Times New Roman"/>
            </w:rPr>
          </w:pPr>
          <w:r w:rsidRPr="00521A07">
            <w:rPr>
              <w:rFonts w:ascii="Times New Roman" w:hAnsi="Times New Roman"/>
              <w:b/>
              <w:bCs/>
              <w:sz w:val="24"/>
              <w:szCs w:val="24"/>
            </w:rPr>
            <w:t>Nombre del proyecto:</w:t>
          </w:r>
          <w:r w:rsidR="76BE6A55" w:rsidRPr="10D44305">
            <w:rPr>
              <w:rFonts w:ascii="Times New Roman" w:hAnsi="Times New Roman"/>
              <w:b/>
              <w:bCs/>
              <w:sz w:val="24"/>
              <w:szCs w:val="24"/>
            </w:rPr>
            <w:t xml:space="preserve"> </w:t>
          </w:r>
          <w:r w:rsidRPr="009A46BB">
            <w:rPr>
              <w:rFonts w:ascii="Times New Roman" w:hAnsi="Times New Roman"/>
            </w:rPr>
            <w:t xml:space="preserve">Puertos del Caribe Sociedad Portuaria S.A. </w:t>
          </w:r>
        </w:p>
        <w:p w14:paraId="37639043" w14:textId="7ECBCF17" w:rsidR="10D44305" w:rsidRDefault="10D44305" w:rsidP="10D44305">
          <w:pPr>
            <w:spacing w:after="0"/>
            <w:rPr>
              <w:rFonts w:ascii="Times New Roman" w:hAnsi="Times New Roman"/>
            </w:rPr>
          </w:pPr>
        </w:p>
        <w:p w14:paraId="7AAEBED3" w14:textId="77777777" w:rsidR="00274429" w:rsidRPr="003A32AC" w:rsidRDefault="00274429" w:rsidP="00E60BAB">
          <w:pPr>
            <w:pStyle w:val="Prrafodelista"/>
            <w:numPr>
              <w:ilvl w:val="0"/>
              <w:numId w:val="133"/>
            </w:numPr>
            <w:spacing w:line="259" w:lineRule="auto"/>
            <w:jc w:val="both"/>
            <w:rPr>
              <w:rFonts w:ascii="Times New Roman" w:hAnsi="Times New Roman"/>
              <w:b/>
              <w:bCs/>
              <w:sz w:val="24"/>
              <w:szCs w:val="24"/>
            </w:rPr>
          </w:pPr>
          <w:r w:rsidRPr="003A32AC">
            <w:rPr>
              <w:rFonts w:ascii="Times New Roman" w:hAnsi="Times New Roman"/>
              <w:b/>
              <w:bCs/>
              <w:sz w:val="24"/>
              <w:szCs w:val="24"/>
            </w:rPr>
            <w:t>Términos significativos del acuerdo que puedan afectar su valor, el calendario y la certeza de los flujos</w:t>
          </w:r>
        </w:p>
        <w:p w14:paraId="1CDB9605" w14:textId="43A56AE8"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valor:</w:t>
          </w:r>
        </w:p>
        <w:p w14:paraId="2F1710EA" w14:textId="77777777" w:rsidR="00274429" w:rsidRDefault="00274429" w:rsidP="00274429">
          <w:pPr>
            <w:jc w:val="both"/>
            <w:rPr>
              <w:rFonts w:ascii="Times New Roman" w:hAnsi="Times New Roman"/>
              <w:sz w:val="24"/>
              <w:szCs w:val="24"/>
            </w:rPr>
          </w:pPr>
          <w:r w:rsidRPr="00FC7585">
            <w:rPr>
              <w:rFonts w:ascii="Times New Roman" w:hAnsi="Times New Roman"/>
              <w:b/>
              <w:bCs/>
              <w:sz w:val="24"/>
              <w:szCs w:val="24"/>
            </w:rPr>
            <w:t xml:space="preserve">Tarifas: </w:t>
          </w:r>
          <w:r w:rsidRPr="003F75A6">
            <w:rPr>
              <w:rFonts w:ascii="Times New Roman" w:hAnsi="Times New Roman"/>
              <w:sz w:val="24"/>
              <w:szCs w:val="24"/>
            </w:rPr>
            <w:t xml:space="preserve">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 </w:t>
          </w:r>
        </w:p>
        <w:p w14:paraId="22F0A558" w14:textId="3C032A16" w:rsidR="00274429" w:rsidRDefault="00274429" w:rsidP="00274429">
          <w:pPr>
            <w:jc w:val="both"/>
            <w:rPr>
              <w:rFonts w:ascii="Times New Roman" w:hAnsi="Times New Roman"/>
              <w:sz w:val="24"/>
              <w:szCs w:val="24"/>
            </w:rPr>
          </w:pPr>
          <w:r w:rsidRPr="009A46BB">
            <w:rPr>
              <w:rFonts w:ascii="Times New Roman" w:hAnsi="Times New Roman"/>
              <w:b/>
            </w:rPr>
            <w:t>Contraprestación portuaria</w:t>
          </w:r>
          <w:r w:rsidRPr="009A46BB">
            <w:rPr>
              <w:rFonts w:ascii="Times New Roman" w:hAnsi="Times New Roman"/>
            </w:rPr>
            <w:t xml:space="preserve">: </w:t>
          </w:r>
          <w:r w:rsidRPr="00424168">
            <w:rPr>
              <w:rFonts w:ascii="Times New Roman" w:hAnsi="Times New Roman"/>
              <w:sz w:val="24"/>
              <w:szCs w:val="24"/>
            </w:rPr>
            <w:t xml:space="preserve">De acuerdo con el último documento contractual vigente la metodología de contraprestación vigente es CONPES 3744 de 2013 (Componentes Fijo y Variable). A febrero de 2021 el CONCESIONARIO debió pagar la suma de USD 165.849 por concepto de contraprestación.El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distrito de Cartagena; e INFRAESTRUCTURA en un 100% </w:t>
          </w:r>
          <w:r w:rsidRPr="00937394">
            <w:rPr>
              <w:rFonts w:ascii="Times New Roman" w:hAnsi="Times New Roman"/>
              <w:sz w:val="24"/>
              <w:szCs w:val="24"/>
            </w:rPr>
            <w:t>a la Nación - Instituto Nacional de Vías (INVIAS).</w:t>
          </w:r>
        </w:p>
        <w:p w14:paraId="0503EDA0" w14:textId="77777777" w:rsidR="00274429" w:rsidRDefault="00274429" w:rsidP="00274429">
          <w:pPr>
            <w:jc w:val="both"/>
            <w:rPr>
              <w:rFonts w:ascii="Times New Roman" w:hAnsi="Times New Roman"/>
              <w:sz w:val="24"/>
              <w:szCs w:val="24"/>
            </w:rPr>
          </w:pPr>
          <w:r w:rsidRPr="00F96C82">
            <w:rPr>
              <w:rFonts w:ascii="Times New Roman" w:hAnsi="Times New Roman"/>
              <w:sz w:val="24"/>
              <w:szCs w:val="24"/>
            </w:rPr>
            <w:t xml:space="preserve">Plan de Inversiones: </w:t>
          </w:r>
          <w:r w:rsidRPr="004B5859">
            <w:rPr>
              <w:rFonts w:ascii="Times New Roman" w:hAnsi="Times New Roman"/>
              <w:sz w:val="24"/>
              <w:szCs w:val="24"/>
            </w:rPr>
            <w:t>Esta establecido en el Clausula primera del Otrosí No.2 de 2021 al contrato de concesión No.001 de 2017, el plan de inversión será de USD $437.163,20 constantes a diciembre 2016.</w:t>
          </w:r>
        </w:p>
        <w:p w14:paraId="02BFBFA3" w14:textId="77777777" w:rsidR="00274429" w:rsidRDefault="00274429" w:rsidP="00274429">
          <w:pPr>
            <w:jc w:val="both"/>
            <w:rPr>
              <w:rStyle w:val="Estilo3"/>
            </w:rPr>
          </w:pPr>
          <w:r w:rsidRPr="00F83FC2">
            <w:rPr>
              <w:rStyle w:val="Estilo3"/>
              <w:b/>
              <w:bCs/>
            </w:rPr>
            <w:t xml:space="preserve">Obligaciones del CONCESIONARIO: </w:t>
          </w:r>
          <w:r w:rsidRPr="00323BE6">
            <w:rPr>
              <w:rStyle w:val="Estilo3"/>
            </w:rPr>
            <w:t>se encuentran descritas en la Cláusula Vigésima del contrato.</w:t>
          </w:r>
        </w:p>
        <w:p w14:paraId="11277FA6" w14:textId="77777777" w:rsidR="00274429" w:rsidRPr="009A46BB" w:rsidRDefault="00274429" w:rsidP="00274429">
          <w:pPr>
            <w:jc w:val="both"/>
            <w:rPr>
              <w:rFonts w:ascii="Times New Roman" w:hAnsi="Times New Roman"/>
            </w:rPr>
          </w:pPr>
          <w:r w:rsidRPr="009A46BB">
            <w:rPr>
              <w:rFonts w:ascii="Times New Roman" w:hAnsi="Times New Roman"/>
            </w:rPr>
            <w:lastRenderedPageBreak/>
            <w:t>Multas y sanciones: están establecidas en la Cláusula Vigésima Tercera del contrato.</w:t>
          </w:r>
        </w:p>
        <w:p w14:paraId="3358B5F6" w14:textId="77777777" w:rsidR="00274429" w:rsidRPr="009A46BB" w:rsidRDefault="00274429" w:rsidP="00274429">
          <w:pPr>
            <w:jc w:val="both"/>
            <w:rPr>
              <w:rFonts w:ascii="Times New Roman" w:hAnsi="Times New Roman"/>
            </w:rPr>
          </w:pPr>
          <w:r w:rsidRPr="009A46BB">
            <w:rPr>
              <w:rFonts w:ascii="Times New Roman" w:hAnsi="Times New Roman"/>
            </w:rPr>
            <w:t>Penal pecuniario: En la Cláusula Vigésima Cuarta del contrato, se establece que en el evento en que la ANI declare la caducidad o el incumplimiento del presente contrato se podrá imponer una penalidad pecuniaria.</w:t>
          </w:r>
        </w:p>
        <w:p w14:paraId="6D4960C0" w14:textId="77777777" w:rsidR="00274429" w:rsidRPr="009A46BB" w:rsidRDefault="00274429" w:rsidP="00274429">
          <w:pPr>
            <w:jc w:val="both"/>
            <w:rPr>
              <w:rFonts w:ascii="Times New Roman" w:hAnsi="Times New Roman"/>
            </w:rPr>
          </w:pPr>
          <w:r w:rsidRPr="009A46BB">
            <w:rPr>
              <w:rFonts w:ascii="Times New Roman" w:hAnsi="Times New Roman"/>
            </w:rPr>
            <w:t>Riesgos: están descritos en la cláusula vigesimoséptima del contrato, el CONCESIONARIO asume los efectos derivados de los riesgos que se enlistan en el contrato y los que se desprenden de las cláusulas o estipulaciones del contrato y sus anexos o que se deriven de la naturaleza de este contrato, el CONCESIONARIO asume el riesgo del estado en que se encuentran las zonas de uso público concesionadas y los bienes muebles e inmuebles que lo conforman.</w:t>
          </w:r>
        </w:p>
        <w:p w14:paraId="3311A368" w14:textId="77777777" w:rsidR="00274429" w:rsidRPr="009A46BB" w:rsidRDefault="00274429" w:rsidP="00274429">
          <w:pPr>
            <w:jc w:val="both"/>
            <w:rPr>
              <w:rStyle w:val="Estilo3"/>
            </w:rPr>
          </w:pPr>
          <w:r w:rsidRPr="009A46BB">
            <w:rPr>
              <w:rFonts w:ascii="Times New Roman" w:hAnsi="Times New Roman"/>
            </w:rPr>
            <w:t>No procederá reclamaciones del CONCESIONARIO basadas en el acaecimiento de algunos de los riesgos que fueran asumidos por el CONCESIONARIO y consecuentemente el CONCEDENTE no hará reconocimiento alguno, ni se entenderá que ofrece garantía alguna al CONCESIONARIO, que permita eliminar o mitigar los efectos causados por la ocurrencia de algunos de estos riesgos previstos, salvo que dicho reconocimiento o garantía se encuentre expresamente pactada en el contrato</w:t>
          </w:r>
        </w:p>
        <w:p w14:paraId="46B697C9" w14:textId="77777777" w:rsidR="00274429" w:rsidRDefault="00274429" w:rsidP="00274429">
          <w:pPr>
            <w:jc w:val="both"/>
            <w:rPr>
              <w:rFonts w:ascii="Times New Roman" w:hAnsi="Times New Roman"/>
              <w:b/>
              <w:bCs/>
              <w:sz w:val="24"/>
              <w:szCs w:val="24"/>
            </w:rPr>
          </w:pPr>
          <w:r w:rsidRPr="004C1095">
            <w:rPr>
              <w:rFonts w:ascii="Times New Roman" w:hAnsi="Times New Roman"/>
              <w:b/>
              <w:bCs/>
              <w:sz w:val="24"/>
              <w:szCs w:val="24"/>
            </w:rPr>
            <w:t>Términos de calendario:</w:t>
          </w:r>
        </w:p>
        <w:p w14:paraId="65E9CD0A" w14:textId="77777777" w:rsidR="00274429" w:rsidRPr="009A46BB" w:rsidRDefault="00274429" w:rsidP="00274429">
          <w:pPr>
            <w:jc w:val="both"/>
            <w:rPr>
              <w:rFonts w:ascii="Times New Roman" w:hAnsi="Times New Roman"/>
              <w:highlight w:val="yellow"/>
            </w:rPr>
          </w:pPr>
          <w:r w:rsidRPr="009A46BB">
            <w:rPr>
              <w:rFonts w:ascii="Times New Roman" w:hAnsi="Times New Roman"/>
            </w:rPr>
            <w:t>Tarifas: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w:t>
          </w:r>
        </w:p>
        <w:p w14:paraId="556BDC5D" w14:textId="77777777" w:rsidR="00274429" w:rsidRPr="009A46BB" w:rsidRDefault="00274429" w:rsidP="00274429">
          <w:pPr>
            <w:jc w:val="both"/>
            <w:rPr>
              <w:rFonts w:ascii="Times New Roman" w:hAnsi="Times New Roman"/>
            </w:rPr>
          </w:pPr>
          <w:r w:rsidRPr="009A46BB">
            <w:rPr>
              <w:rFonts w:ascii="Times New Roman" w:hAnsi="Times New Roman"/>
            </w:rPr>
            <w:t>Contraprestación portuaria: Anexo 2 Conpes 3744 de 2013 “(…) Antes de finalizar los meses de febrero cada concesionario deberá corregir su liquidación del año anterior según el movimiento de carga real y la indexación del valor de referencia por metro cuadrado, del avalúo de la infraestructura concesionada y de los cargos, así como realizar el pago anticipado del año en curso con base en lo proyectado en el FCL definitivo”</w:t>
          </w:r>
        </w:p>
        <w:p w14:paraId="25F1AC8F" w14:textId="77777777" w:rsidR="00274429" w:rsidRPr="009A46BB" w:rsidRDefault="00274429" w:rsidP="00274429">
          <w:pPr>
            <w:jc w:val="both"/>
            <w:rPr>
              <w:rFonts w:ascii="Times New Roman" w:hAnsi="Times New Roman"/>
            </w:rPr>
          </w:pPr>
          <w:r w:rsidRPr="009A46BB">
            <w:rPr>
              <w:rFonts w:ascii="Times New Roman" w:hAnsi="Times New Roman"/>
            </w:rPr>
            <w:t>Plan de inversiones: Se estableció en la Cláusula Décima Segunda del contrato ejecución de inversiones en el periodo de tiempo comprendido entre el año 2017 a 2037, modificado por la Cláusula primera del Otrosí No.2 de 2021 al contrato de concesión No.001 de 2017, el plan de inversión será de USD $437.163,20 constantes a diciembre 2016.</w:t>
          </w:r>
        </w:p>
        <w:p w14:paraId="4375BC72" w14:textId="77777777" w:rsidR="00274429" w:rsidRPr="009A46BB" w:rsidRDefault="00274429" w:rsidP="00274429">
          <w:pPr>
            <w:jc w:val="both"/>
            <w:rPr>
              <w:rFonts w:ascii="Times New Roman" w:hAnsi="Times New Roman"/>
            </w:rPr>
          </w:pPr>
          <w:r w:rsidRPr="009A46BB">
            <w:rPr>
              <w:rFonts w:ascii="Times New Roman" w:hAnsi="Times New Roman"/>
            </w:rPr>
            <w:t>Multas: establecidas en la Cláusula Vigésima Tercera del contrato.</w:t>
          </w:r>
        </w:p>
        <w:p w14:paraId="16CB3ABB" w14:textId="77777777"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certeza de flujos de efectivo futuros:</w:t>
          </w:r>
          <w:r>
            <w:rPr>
              <w:rFonts w:ascii="Times New Roman" w:hAnsi="Times New Roman"/>
              <w:b/>
              <w:bCs/>
              <w:sz w:val="24"/>
              <w:szCs w:val="24"/>
            </w:rPr>
            <w:t xml:space="preserve"> </w:t>
          </w:r>
        </w:p>
        <w:sdt>
          <w:sdtPr>
            <w:rPr>
              <w:rStyle w:val="Estilo3"/>
            </w:rPr>
            <w:id w:val="-1767141325"/>
            <w:placeholder>
              <w:docPart w:val="8F2522D52B4E4CB3B7AC84CD9DA953DF"/>
            </w:placeholder>
          </w:sdtPr>
          <w:sdtEndPr>
            <w:rPr>
              <w:rStyle w:val="Fuentedeprrafopredeter"/>
              <w:rFonts w:ascii="Calibri" w:hAnsi="Calibri"/>
              <w:sz w:val="22"/>
            </w:rPr>
          </w:sdtEndPr>
          <w:sdtContent>
            <w:p w14:paraId="0D98DF32" w14:textId="77777777" w:rsidR="00274429" w:rsidRPr="009A46BB" w:rsidRDefault="00274429" w:rsidP="00274429">
              <w:pPr>
                <w:jc w:val="both"/>
                <w:rPr>
                  <w:rFonts w:ascii="Times New Roman" w:hAnsi="Times New Roman"/>
                </w:rPr>
              </w:pPr>
              <w:r w:rsidRPr="009A46BB">
                <w:rPr>
                  <w:rFonts w:ascii="Times New Roman" w:hAnsi="Times New Roman"/>
                </w:rPr>
                <w:t>Otorgamiento al CONCESIONARIO por parte del CONDECENTE, una concesión para autorizar la ocupación en forma temporal y exclusiva de los bienes de uso públicos descritos en la Cláusula 2. Bienes concesionados.</w:t>
              </w:r>
            </w:p>
            <w:p w14:paraId="3CB72AAD" w14:textId="77777777" w:rsidR="00274429" w:rsidRPr="009A46BB" w:rsidRDefault="00274429" w:rsidP="00274429">
              <w:pPr>
                <w:jc w:val="both"/>
                <w:rPr>
                  <w:rFonts w:ascii="Times New Roman" w:hAnsi="Times New Roman"/>
                </w:rPr>
              </w:pPr>
              <w:r w:rsidRPr="009A46BB">
                <w:rPr>
                  <w:rFonts w:ascii="Times New Roman" w:hAnsi="Times New Roman"/>
                </w:rPr>
                <w:t>Cláusula Décima Tercera numeral 1 en el parágrafo primero del Contrato, del valor a pagar por concepto de contraprestación por Zona de Uso público el 80% le corresponde a la Nación-INVIAS y el 20 % al municipio y por Infraestructura el 100% a la Nación-INVIAS.</w:t>
              </w:r>
            </w:p>
          </w:sdtContent>
        </w:sdt>
        <w:p w14:paraId="59ECFA73" w14:textId="77777777" w:rsidR="00274429" w:rsidRPr="009F79C9" w:rsidRDefault="00274429" w:rsidP="00E60BAB">
          <w:pPr>
            <w:pStyle w:val="Prrafodelista"/>
            <w:numPr>
              <w:ilvl w:val="0"/>
              <w:numId w:val="133"/>
            </w:numPr>
            <w:spacing w:line="259" w:lineRule="auto"/>
            <w:jc w:val="both"/>
            <w:rPr>
              <w:rFonts w:ascii="Times New Roman" w:hAnsi="Times New Roman"/>
              <w:b/>
              <w:bCs/>
              <w:sz w:val="24"/>
              <w:szCs w:val="24"/>
            </w:rPr>
          </w:pPr>
          <w:r w:rsidRPr="009F79C9">
            <w:rPr>
              <w:rFonts w:ascii="Times New Roman" w:hAnsi="Times New Roman"/>
              <w:b/>
              <w:bCs/>
              <w:sz w:val="24"/>
              <w:szCs w:val="24"/>
            </w:rPr>
            <w:t>Naturaleza y alcance del derecho a utilizar activos especificados, de los aspectos pactados en torno a lo que se espera que el concesionario proporcione en relación con el acuerdo de concesión (Se requiere ser breves, precisos, y concisos en la redacción)</w:t>
          </w:r>
        </w:p>
        <w:p w14:paraId="7350F22E" w14:textId="77777777" w:rsidR="00274429" w:rsidRDefault="00274429" w:rsidP="00274429">
          <w:pPr>
            <w:jc w:val="both"/>
            <w:rPr>
              <w:rFonts w:ascii="Times New Roman" w:hAnsi="Times New Roman"/>
              <w:b/>
              <w:bCs/>
              <w:sz w:val="24"/>
              <w:szCs w:val="24"/>
            </w:rPr>
          </w:pPr>
          <w:r w:rsidRPr="00217110">
            <w:rPr>
              <w:rFonts w:ascii="Times New Roman" w:hAnsi="Times New Roman"/>
              <w:b/>
              <w:bCs/>
              <w:sz w:val="24"/>
              <w:szCs w:val="24"/>
            </w:rPr>
            <w:lastRenderedPageBreak/>
            <w:t>Naturaleza y alcance del derecho de uso de los activos</w:t>
          </w:r>
        </w:p>
        <w:p w14:paraId="0367B7D7" w14:textId="7C362F2C" w:rsidR="00274429" w:rsidRPr="009A46BB" w:rsidRDefault="00274429" w:rsidP="00274429">
          <w:pPr>
            <w:jc w:val="both"/>
            <w:rPr>
              <w:rFonts w:ascii="Times New Roman" w:hAnsi="Times New Roman"/>
            </w:rPr>
          </w:pPr>
          <w:r w:rsidRPr="003E5FA9">
            <w:rPr>
              <w:rFonts w:ascii="Times New Roman" w:hAnsi="Times New Roman"/>
              <w:b/>
              <w:bCs/>
              <w:sz w:val="24"/>
              <w:szCs w:val="24"/>
            </w:rPr>
            <w:t>Descripción:</w:t>
          </w:r>
          <w:r w:rsidR="61568CB0" w:rsidRPr="10D44305">
            <w:rPr>
              <w:rFonts w:ascii="Times New Roman" w:hAnsi="Times New Roman"/>
              <w:b/>
              <w:bCs/>
              <w:sz w:val="24"/>
              <w:szCs w:val="24"/>
            </w:rPr>
            <w:t xml:space="preserve"> </w:t>
          </w:r>
          <w:r w:rsidRPr="009A46BB">
            <w:rPr>
              <w:rFonts w:ascii="Times New Roman" w:hAnsi="Times New Roman"/>
            </w:rPr>
            <w:t>Descripción del proyecto, especificaciones técnicas, modalidades de operación: las condiciones especiales de operación del puerto están establecidas en la Cláusula Quinta del Contrato de Concesión.</w:t>
          </w:r>
        </w:p>
        <w:p w14:paraId="3D046096" w14:textId="77777777" w:rsidR="00274429" w:rsidRPr="009A46BB" w:rsidRDefault="00274429" w:rsidP="00274429">
          <w:pPr>
            <w:jc w:val="both"/>
            <w:rPr>
              <w:rFonts w:ascii="Times New Roman" w:hAnsi="Times New Roman"/>
            </w:rPr>
          </w:pPr>
          <w:r w:rsidRPr="009A46BB">
            <w:rPr>
              <w:rFonts w:ascii="Times New Roman" w:hAnsi="Times New Roman"/>
            </w:rPr>
            <w:t xml:space="preserve">Área entregada en concesión: En la Cláusula Segunda del Contrato de Concesión se describe la ubicación, linderos y extensión de los bienes de uso público marítimos y terrestres entregados en concesión. </w:t>
          </w:r>
        </w:p>
        <w:p w14:paraId="6BFA3E25" w14:textId="77777777" w:rsidR="00274429" w:rsidRPr="009A46BB" w:rsidRDefault="00274429" w:rsidP="00274429">
          <w:pPr>
            <w:jc w:val="both"/>
            <w:rPr>
              <w:rFonts w:ascii="Times New Roman" w:hAnsi="Times New Roman"/>
            </w:rPr>
          </w:pPr>
          <w:r w:rsidRPr="009A46BB">
            <w:rPr>
              <w:rFonts w:ascii="Times New Roman" w:hAnsi="Times New Roman"/>
            </w:rPr>
            <w:t xml:space="preserve">Infraestructura y equipos entregados en concesión: En la Cláusula Segunda del Contrato, se describen las instalaciones portuarias entregadas en Concesión, así: </w:t>
          </w:r>
        </w:p>
        <w:p w14:paraId="7A2F019B" w14:textId="77777777" w:rsidR="00274429" w:rsidRPr="009A46BB" w:rsidRDefault="00274429" w:rsidP="00274429">
          <w:pPr>
            <w:jc w:val="both"/>
            <w:rPr>
              <w:rFonts w:ascii="Times New Roman" w:hAnsi="Times New Roman"/>
            </w:rPr>
          </w:pPr>
          <w:r w:rsidRPr="009A46BB">
            <w:rPr>
              <w:rFonts w:ascii="Times New Roman" w:hAnsi="Times New Roman"/>
            </w:rPr>
            <w:t>Infraestructura: Un (1) muelle costa afuera, plataforma de despacho de cargue y descargue, dos (2) piñas de amarre, dos (2) piñas de atraque y plataforma de despacho para personal.</w:t>
          </w:r>
        </w:p>
        <w:p w14:paraId="785D945C" w14:textId="77777777" w:rsidR="00274429" w:rsidRPr="00ED266C" w:rsidRDefault="00274429" w:rsidP="00274429">
          <w:pPr>
            <w:jc w:val="both"/>
            <w:rPr>
              <w:rFonts w:ascii="Times New Roman" w:hAnsi="Times New Roman"/>
              <w:sz w:val="24"/>
              <w:szCs w:val="24"/>
            </w:rPr>
          </w:pPr>
          <w:r w:rsidRPr="003E5FA9">
            <w:rPr>
              <w:rFonts w:ascii="Times New Roman" w:hAnsi="Times New Roman"/>
              <w:b/>
              <w:bCs/>
              <w:sz w:val="24"/>
              <w:szCs w:val="24"/>
            </w:rPr>
            <w:t>Observaciones:</w:t>
          </w:r>
          <w:r>
            <w:rPr>
              <w:rFonts w:ascii="Times New Roman" w:hAnsi="Times New Roman"/>
              <w:b/>
              <w:bCs/>
              <w:sz w:val="24"/>
              <w:szCs w:val="24"/>
            </w:rPr>
            <w:t xml:space="preserve"> </w:t>
          </w:r>
          <w:r>
            <w:rPr>
              <w:rFonts w:ascii="Times New Roman" w:hAnsi="Times New Roman"/>
              <w:sz w:val="24"/>
              <w:szCs w:val="24"/>
            </w:rPr>
            <w:t>NA</w:t>
          </w:r>
        </w:p>
        <w:p w14:paraId="391193C5" w14:textId="77777777" w:rsidR="00274429" w:rsidRDefault="00274429" w:rsidP="00274429">
          <w:pPr>
            <w:jc w:val="both"/>
            <w:rPr>
              <w:rFonts w:ascii="Times New Roman" w:hAnsi="Times New Roman"/>
              <w:b/>
              <w:bCs/>
              <w:sz w:val="24"/>
              <w:szCs w:val="24"/>
            </w:rPr>
          </w:pPr>
          <w:r>
            <w:rPr>
              <w:rFonts w:ascii="Times New Roman" w:hAnsi="Times New Roman"/>
              <w:b/>
              <w:bCs/>
              <w:sz w:val="24"/>
              <w:szCs w:val="24"/>
            </w:rPr>
            <w:t>Retribución al Concesionario</w:t>
          </w:r>
        </w:p>
        <w:p w14:paraId="725EBA44" w14:textId="77777777" w:rsidR="00274429" w:rsidRPr="006E7CD0" w:rsidRDefault="00274429" w:rsidP="00274429">
          <w:pPr>
            <w:jc w:val="both"/>
            <w:rPr>
              <w:rStyle w:val="Estilo3"/>
            </w:rPr>
          </w:pPr>
          <w:r w:rsidRPr="009A46BB">
            <w:rPr>
              <w:rFonts w:ascii="Times New Roman" w:hAnsi="Times New Roman"/>
              <w:b/>
            </w:rPr>
            <w:t xml:space="preserve">Descripción: </w:t>
          </w:r>
          <w:sdt>
            <w:sdtPr>
              <w:rPr>
                <w:rStyle w:val="Estilo3"/>
              </w:rPr>
              <w:id w:val="562914111"/>
              <w:placeholder>
                <w:docPart w:val="46F1FFDCF05D4F2B83B08209DF25E2AA"/>
              </w:placeholder>
            </w:sdtPr>
            <w:sdtContent>
              <w:r w:rsidRPr="009A46BB">
                <w:rPr>
                  <w:rFonts w:ascii="Times New Roman" w:hAnsi="Times New Roman"/>
                </w:rPr>
                <w:t>Cláusula Primera - Contrato de Concesión No. 01 de 2017: Autoriza la ocupación en forma temporal y exclusiva de los bienes de uso público descritos en la CLAUSULA 2 BIENES CONCESIONADOS, a cambio de una contraprestación económica.</w:t>
              </w:r>
            </w:sdtContent>
          </w:sdt>
        </w:p>
        <w:p w14:paraId="371CAA68" w14:textId="77777777" w:rsidR="00274429" w:rsidRPr="00351837" w:rsidRDefault="00274429" w:rsidP="00274429">
          <w:pPr>
            <w:jc w:val="both"/>
            <w:rPr>
              <w:rFonts w:ascii="Times New Roman" w:hAnsi="Times New Roman"/>
              <w:b/>
              <w:bCs/>
              <w:sz w:val="24"/>
              <w:szCs w:val="24"/>
            </w:rPr>
          </w:pPr>
          <w:r>
            <w:rPr>
              <w:rFonts w:ascii="Times New Roman" w:hAnsi="Times New Roman"/>
              <w:b/>
              <w:bCs/>
              <w:sz w:val="24"/>
              <w:szCs w:val="24"/>
            </w:rPr>
            <w:t>Tasa de retribución: NA</w:t>
          </w:r>
        </w:p>
        <w:p w14:paraId="61C21A3E" w14:textId="77777777" w:rsidR="00274429" w:rsidRPr="00421699" w:rsidRDefault="00274429" w:rsidP="00E60BAB">
          <w:pPr>
            <w:pStyle w:val="Prrafodelista"/>
            <w:numPr>
              <w:ilvl w:val="0"/>
              <w:numId w:val="133"/>
            </w:numPr>
            <w:spacing w:line="259" w:lineRule="auto"/>
            <w:jc w:val="both"/>
            <w:rPr>
              <w:rFonts w:ascii="Times New Roman" w:hAnsi="Times New Roman"/>
              <w:b/>
              <w:bCs/>
              <w:sz w:val="24"/>
              <w:szCs w:val="24"/>
            </w:rPr>
          </w:pPr>
          <w:r w:rsidRPr="00421699">
            <w:rPr>
              <w:rFonts w:ascii="Times New Roman" w:hAnsi="Times New Roman"/>
              <w:b/>
              <w:bCs/>
              <w:sz w:val="24"/>
              <w:szCs w:val="24"/>
            </w:rPr>
            <w:t>Derechos a recibir activos especificados al final del acuerdo de concesión</w:t>
          </w:r>
        </w:p>
        <w:p w14:paraId="6E759AC8" w14:textId="77777777" w:rsidR="00274429" w:rsidRPr="005F1C02" w:rsidRDefault="00274429" w:rsidP="00274429">
          <w:pPr>
            <w:jc w:val="both"/>
            <w:rPr>
              <w:rFonts w:ascii="Times New Roman" w:hAnsi="Times New Roman"/>
              <w:sz w:val="24"/>
              <w:szCs w:val="24"/>
            </w:rPr>
          </w:pPr>
          <w:r w:rsidRPr="006D56DF">
            <w:rPr>
              <w:rFonts w:ascii="Times New Roman" w:hAnsi="Times New Roman"/>
              <w:b/>
              <w:bCs/>
              <w:sz w:val="24"/>
              <w:szCs w:val="24"/>
            </w:rPr>
            <w:t>Descripción:</w:t>
          </w:r>
          <w:r>
            <w:rPr>
              <w:rFonts w:ascii="Times New Roman" w:hAnsi="Times New Roman"/>
              <w:b/>
              <w:bCs/>
              <w:sz w:val="24"/>
              <w:szCs w:val="24"/>
            </w:rPr>
            <w:t xml:space="preserve"> </w:t>
          </w:r>
          <w:r w:rsidRPr="005F1C02">
            <w:rPr>
              <w:rFonts w:ascii="Times New Roman" w:hAnsi="Times New Roman"/>
              <w:sz w:val="24"/>
              <w:szCs w:val="24"/>
            </w:rPr>
            <w:t>De acuerdo con el Artículo 8º de la Ley 1 de 1991 en el modo portuario el concesionario no tiene derechos finales sobre activos los debe revertir a la Nación al final del contrato de concesión</w:t>
          </w:r>
          <w:r>
            <w:rPr>
              <w:rFonts w:ascii="Times New Roman" w:hAnsi="Times New Roman"/>
              <w:sz w:val="24"/>
              <w:szCs w:val="24"/>
            </w:rPr>
            <w:t>.</w:t>
          </w:r>
        </w:p>
        <w:p w14:paraId="30BFD7D4" w14:textId="44A09C10" w:rsidR="00274429" w:rsidRPr="009A46BB" w:rsidRDefault="00274429" w:rsidP="00274429">
          <w:pPr>
            <w:jc w:val="both"/>
            <w:rPr>
              <w:rFonts w:ascii="Times New Roman" w:hAnsi="Times New Roman"/>
            </w:rPr>
          </w:pPr>
          <w:r w:rsidRPr="006D56DF">
            <w:rPr>
              <w:rFonts w:ascii="Times New Roman" w:hAnsi="Times New Roman"/>
              <w:b/>
              <w:bCs/>
              <w:sz w:val="24"/>
              <w:szCs w:val="24"/>
            </w:rPr>
            <w:t>Observaciones:</w:t>
          </w:r>
          <w:r w:rsidRPr="009A46BB">
            <w:rPr>
              <w:rFonts w:ascii="Times New Roman" w:hAnsi="Times New Roman"/>
            </w:rPr>
            <w:t xml:space="preserve"> Reversión: la Cláusula Trigésima Cuarta del Contrato de Concesión establece que, la zona de uso público y todas las construcciones e inmuebles por destinación existentes, así como los que se autoricen por la ANI, levantados o construidos en la zona de uso público que ha sido determinada o se encuentren habitualmente instalados en ellas y afectadas a la concesión, serán revertidas gratuitamente por el CONCESIONARIO a la Nación – Instituto Nacional del Vías </w:t>
          </w:r>
          <w:r w:rsidRPr="10D44305">
            <w:rPr>
              <w:rFonts w:ascii="Times New Roman" w:hAnsi="Times New Roman"/>
            </w:rPr>
            <w:t>INVIAS</w:t>
          </w:r>
          <w:r w:rsidR="56C9A25F" w:rsidRPr="10D44305">
            <w:rPr>
              <w:rFonts w:ascii="Times New Roman" w:hAnsi="Times New Roman"/>
            </w:rPr>
            <w:t xml:space="preserve"> </w:t>
          </w:r>
          <w:r w:rsidRPr="10D44305">
            <w:rPr>
              <w:rFonts w:ascii="Times New Roman" w:hAnsi="Times New Roman"/>
            </w:rPr>
            <w:t>conforme</w:t>
          </w:r>
          <w:r w:rsidRPr="009A46BB">
            <w:rPr>
              <w:rFonts w:ascii="Times New Roman" w:hAnsi="Times New Roman"/>
            </w:rPr>
            <w:t xml:space="preserve"> a los dispuesto en el artículo 8 de la ley 1° de 1991, en buen estado de operación y mantenimiento al extinguirse el plazo de la misma o al ser declarada la caducidad. Dichos bienes deberán entregarse en buenas condiciones de operación tecnológica, mantenimiento y de adecuada eficiencia al término de este contrato y de la prórroga si la hubiere.</w:t>
          </w:r>
        </w:p>
        <w:p w14:paraId="4AC7AC84" w14:textId="77777777" w:rsidR="00274429" w:rsidRPr="009A46BB" w:rsidRDefault="00274429" w:rsidP="00274429">
          <w:pPr>
            <w:jc w:val="both"/>
            <w:rPr>
              <w:rFonts w:ascii="Times New Roman" w:hAnsi="Times New Roman"/>
            </w:rPr>
          </w:pPr>
          <w:r w:rsidRPr="009A46BB">
            <w:rPr>
              <w:rFonts w:ascii="Times New Roman" w:hAnsi="Times New Roman"/>
            </w:rPr>
            <w:t>Para el respecto el concesionario deberá entregar con antelación a la terminación del contrato, un avalúo comercial actualizado y valoración técnica de las condiciones de operación de la infraestructura portuaria, equipos e inmuebles por destinación que habitualmente se encuentren instalados en las zonas de uso público que se revierten y que son propiedad de la Nación.</w:t>
          </w:r>
        </w:p>
        <w:p w14:paraId="69322F40" w14:textId="77777777" w:rsidR="00274429" w:rsidRPr="009A46BB" w:rsidRDefault="00274429" w:rsidP="00274429">
          <w:pPr>
            <w:jc w:val="both"/>
            <w:rPr>
              <w:rFonts w:ascii="Times New Roman" w:hAnsi="Times New Roman"/>
            </w:rPr>
          </w:pPr>
          <w:r w:rsidRPr="009A46BB">
            <w:rPr>
              <w:rFonts w:ascii="Times New Roman" w:hAnsi="Times New Roman"/>
            </w:rPr>
            <w:t>La ANI es la entidad concedente pero la titularidad de los activos al final de la concesión es del Instituto Nacional de Vías INVIAS.</w:t>
          </w:r>
        </w:p>
        <w:p w14:paraId="454B8849" w14:textId="77777777" w:rsidR="00274429" w:rsidRPr="00573C3A" w:rsidRDefault="00274429" w:rsidP="00E60BAB">
          <w:pPr>
            <w:pStyle w:val="Prrafodelista"/>
            <w:numPr>
              <w:ilvl w:val="0"/>
              <w:numId w:val="133"/>
            </w:numPr>
            <w:spacing w:line="259" w:lineRule="auto"/>
            <w:jc w:val="both"/>
            <w:rPr>
              <w:rFonts w:ascii="Times New Roman" w:hAnsi="Times New Roman"/>
              <w:b/>
              <w:bCs/>
              <w:sz w:val="24"/>
              <w:szCs w:val="24"/>
            </w:rPr>
          </w:pPr>
          <w:r w:rsidRPr="00D42094">
            <w:rPr>
              <w:rFonts w:ascii="Times New Roman" w:hAnsi="Times New Roman"/>
              <w:b/>
              <w:bCs/>
              <w:sz w:val="24"/>
              <w:szCs w:val="24"/>
            </w:rPr>
            <w:t xml:space="preserve">Cambios en el acuerdo de concesión que se realicen durante el periodo fiscal </w:t>
          </w:r>
        </w:p>
        <w:p w14:paraId="7DB830C8" w14:textId="77777777" w:rsidR="00274429" w:rsidRDefault="00274429" w:rsidP="10D44305">
          <w:pPr>
            <w:pStyle w:val="Prrafodelista"/>
            <w:ind w:left="0"/>
            <w:jc w:val="both"/>
            <w:rPr>
              <w:rFonts w:ascii="Times New Roman" w:hAnsi="Times New Roman"/>
              <w:b/>
              <w:bCs/>
              <w:sz w:val="24"/>
              <w:szCs w:val="24"/>
            </w:rPr>
          </w:pPr>
        </w:p>
        <w:p w14:paraId="1F9C2456" w14:textId="60EB8821" w:rsidR="5E2A61A2" w:rsidRDefault="5E2A61A2" w:rsidP="10D44305">
          <w:pPr>
            <w:spacing w:line="257" w:lineRule="auto"/>
            <w:ind w:left="-20" w:right="-20"/>
            <w:jc w:val="center"/>
          </w:pPr>
          <w:r w:rsidRPr="10D44305">
            <w:rPr>
              <w:rFonts w:ascii="Times New Roman" w:eastAsia="Times New Roman" w:hAnsi="Times New Roman"/>
              <w:b/>
              <w:bCs/>
              <w:sz w:val="24"/>
              <w:szCs w:val="24"/>
              <w:lang w:val="es-MX"/>
            </w:rPr>
            <w:lastRenderedPageBreak/>
            <w:t>Adiciones o Modificaciones en Valor</w:t>
          </w:r>
        </w:p>
        <w:p w14:paraId="0C5ADCB4" w14:textId="080FDC8E" w:rsidR="5E2A61A2" w:rsidRDefault="5E2A61A2" w:rsidP="10D44305">
          <w:pPr>
            <w:spacing w:line="257" w:lineRule="auto"/>
            <w:ind w:left="-20" w:right="-20"/>
          </w:pPr>
          <w:r w:rsidRPr="10D44305">
            <w:rPr>
              <w:rFonts w:ascii="Times New Roman" w:eastAsia="Times New Roman" w:hAnsi="Times New Roman"/>
              <w:b/>
              <w:bCs/>
              <w:sz w:val="24"/>
              <w:szCs w:val="24"/>
            </w:rPr>
            <w:t>Valor de la adición o modificación:</w:t>
          </w:r>
          <w:r w:rsidR="45ADD5CE" w:rsidRPr="10D44305">
            <w:rPr>
              <w:rFonts w:ascii="Times New Roman" w:eastAsia="Times New Roman" w:hAnsi="Times New Roman"/>
              <w:b/>
              <w:bCs/>
              <w:sz w:val="24"/>
              <w:szCs w:val="24"/>
            </w:rPr>
            <w:t xml:space="preserve"> </w:t>
          </w:r>
          <w:r w:rsidR="45ADD5CE" w:rsidRPr="10D44305">
            <w:rPr>
              <w:rFonts w:ascii="Times New Roman" w:eastAsia="Times New Roman" w:hAnsi="Times New Roman"/>
              <w:sz w:val="24"/>
              <w:szCs w:val="24"/>
            </w:rPr>
            <w:t>USD 437.163,20</w:t>
          </w:r>
        </w:p>
        <w:p w14:paraId="3C31EE8D" w14:textId="7F0D5F6C" w:rsidR="5E2A61A2" w:rsidRDefault="5E2A61A2" w:rsidP="10D44305">
          <w:pPr>
            <w:spacing w:line="257" w:lineRule="auto"/>
            <w:ind w:left="-20" w:right="-20"/>
            <w:rPr>
              <w:rFonts w:ascii="Times New Roman" w:eastAsia="Times New Roman" w:hAnsi="Times New Roman"/>
              <w:b/>
              <w:bCs/>
              <w:sz w:val="24"/>
              <w:szCs w:val="24"/>
            </w:rPr>
          </w:pPr>
          <w:r w:rsidRPr="10D44305">
            <w:rPr>
              <w:rFonts w:ascii="Times New Roman" w:eastAsia="Times New Roman" w:hAnsi="Times New Roman"/>
              <w:b/>
              <w:bCs/>
              <w:sz w:val="24"/>
              <w:szCs w:val="24"/>
            </w:rPr>
            <w:t xml:space="preserve">Nuevo valor del acuerdo: </w:t>
          </w:r>
          <w:r w:rsidRPr="10D44305">
            <w:rPr>
              <w:rFonts w:ascii="Times New Roman" w:eastAsia="Times New Roman" w:hAnsi="Times New Roman"/>
              <w:sz w:val="24"/>
              <w:szCs w:val="24"/>
            </w:rPr>
            <w:t>USD 437.163,20</w:t>
          </w:r>
        </w:p>
        <w:p w14:paraId="65FC5F60" w14:textId="58E31881" w:rsidR="5E2A61A2" w:rsidRDefault="5E2A61A2" w:rsidP="10D44305">
          <w:pPr>
            <w:spacing w:line="257" w:lineRule="auto"/>
            <w:ind w:left="-20" w:right="-20"/>
            <w:rPr>
              <w:rFonts w:ascii="Times New Roman" w:eastAsia="Times New Roman" w:hAnsi="Times New Roman"/>
              <w:b/>
              <w:bCs/>
              <w:sz w:val="24"/>
              <w:szCs w:val="24"/>
            </w:rPr>
          </w:pPr>
          <w:r w:rsidRPr="10D44305">
            <w:rPr>
              <w:rFonts w:ascii="Times New Roman" w:eastAsia="Times New Roman" w:hAnsi="Times New Roman"/>
              <w:b/>
              <w:bCs/>
              <w:sz w:val="24"/>
              <w:szCs w:val="24"/>
            </w:rPr>
            <w:t xml:space="preserve">Observaciones: </w:t>
          </w:r>
          <w:r w:rsidRPr="10D44305">
            <w:rPr>
              <w:rFonts w:ascii="Times New Roman" w:eastAsia="Times New Roman" w:hAnsi="Times New Roman"/>
              <w:sz w:val="24"/>
              <w:szCs w:val="24"/>
            </w:rPr>
            <w:t>Otrosí No. 2 del 1 de julio de 2021 se realizó modificación al Plan de Inversiones.</w:t>
          </w:r>
        </w:p>
        <w:p w14:paraId="498DBD9E" w14:textId="77777777" w:rsidR="00274429" w:rsidRPr="00197A12" w:rsidRDefault="00274429" w:rsidP="006D2BD8">
          <w:pPr>
            <w:pStyle w:val="Prrafodelista"/>
            <w:ind w:left="0"/>
            <w:jc w:val="both"/>
            <w:rPr>
              <w:rFonts w:ascii="Times New Roman" w:hAnsi="Times New Roman"/>
              <w:b/>
              <w:bCs/>
              <w:sz w:val="24"/>
              <w:szCs w:val="24"/>
            </w:rPr>
          </w:pPr>
        </w:p>
        <w:p w14:paraId="5DB04118" w14:textId="77777777" w:rsidR="00274429" w:rsidRDefault="00274429" w:rsidP="00274429">
          <w:pPr>
            <w:rPr>
              <w:rFonts w:ascii="Times New Roman" w:hAnsi="Times New Roman"/>
              <w:b/>
              <w:sz w:val="24"/>
              <w:szCs w:val="24"/>
            </w:rPr>
          </w:pPr>
          <w:r w:rsidRPr="10D44305">
            <w:rPr>
              <w:rFonts w:ascii="Times New Roman" w:hAnsi="Times New Roman"/>
              <w:b/>
              <w:bCs/>
              <w:sz w:val="24"/>
              <w:szCs w:val="24"/>
            </w:rPr>
            <w:t xml:space="preserve"> SOCIEDAD PORTUARIA REGIONAL TUMACO PACIFIC PORT S.A.</w:t>
          </w:r>
        </w:p>
        <w:p w14:paraId="4DBE28BC" w14:textId="77777777" w:rsidR="00274429" w:rsidRPr="00547EAA" w:rsidRDefault="00274429" w:rsidP="00E60BAB">
          <w:pPr>
            <w:pStyle w:val="Prrafodelista"/>
            <w:numPr>
              <w:ilvl w:val="0"/>
              <w:numId w:val="134"/>
            </w:numPr>
            <w:spacing w:line="259" w:lineRule="auto"/>
            <w:jc w:val="both"/>
            <w:rPr>
              <w:rFonts w:ascii="Times New Roman" w:hAnsi="Times New Roman"/>
              <w:b/>
              <w:bCs/>
              <w:sz w:val="24"/>
              <w:szCs w:val="24"/>
            </w:rPr>
          </w:pPr>
          <w:r w:rsidRPr="00547EAA">
            <w:rPr>
              <w:rFonts w:ascii="Times New Roman" w:hAnsi="Times New Roman"/>
              <w:b/>
              <w:bCs/>
              <w:sz w:val="24"/>
              <w:szCs w:val="24"/>
            </w:rPr>
            <w:t>Descripción del acuerdo</w:t>
          </w:r>
        </w:p>
        <w:p w14:paraId="132D872C" w14:textId="4B749101" w:rsidR="00274429" w:rsidRPr="009A46BB" w:rsidRDefault="00274429" w:rsidP="10D44305">
          <w:pPr>
            <w:spacing w:after="0"/>
            <w:rPr>
              <w:rFonts w:ascii="Times New Roman" w:hAnsi="Times New Roman"/>
            </w:rPr>
          </w:pPr>
          <w:r w:rsidRPr="009A46BB">
            <w:rPr>
              <w:rFonts w:ascii="Times New Roman" w:hAnsi="Times New Roman"/>
              <w:b/>
            </w:rPr>
            <w:t>Número del acuerdo de concesión:</w:t>
          </w:r>
          <w:r w:rsidR="42736E0F" w:rsidRPr="10D44305">
            <w:rPr>
              <w:rFonts w:ascii="Times New Roman" w:hAnsi="Times New Roman"/>
              <w:b/>
              <w:bCs/>
            </w:rPr>
            <w:t xml:space="preserve"> </w:t>
          </w:r>
          <w:r w:rsidRPr="009A46BB">
            <w:rPr>
              <w:rFonts w:ascii="Times New Roman" w:hAnsi="Times New Roman"/>
            </w:rPr>
            <w:t xml:space="preserve">Contrato de Concesión Portuaria No. 002 de 2017. </w:t>
          </w:r>
        </w:p>
        <w:p w14:paraId="54A7526A" w14:textId="77777777" w:rsidR="00274429" w:rsidRPr="009A46BB" w:rsidRDefault="00274429" w:rsidP="10D44305">
          <w:pPr>
            <w:spacing w:after="0"/>
            <w:jc w:val="both"/>
            <w:rPr>
              <w:rFonts w:ascii="Times New Roman" w:hAnsi="Times New Roman"/>
            </w:rPr>
          </w:pPr>
          <w:r w:rsidRPr="009A46BB">
            <w:rPr>
              <w:rFonts w:ascii="Times New Roman" w:hAnsi="Times New Roman"/>
              <w:b/>
            </w:rPr>
            <w:t>Objeto / Descripción</w:t>
          </w:r>
          <w:r w:rsidRPr="009A46BB">
            <w:rPr>
              <w:rFonts w:ascii="Times New Roman" w:hAnsi="Times New Roman"/>
            </w:rPr>
            <w:t>: Otorgamiento al CONCESIONARIO por parte del CONCEDENTE, de una concesión para autorizar la ocupación en forma temporal y exclusiva de los bienes de uso público descritos en la CLAUSULA 2 BIENES CONCESIONADOS ubicados en aguas interiores de la bahía de Tumaco en el municipio de San Andrés de Tumaco, departamento de Nariño, con el propósito de operar, mantener y administrar el terminal marítimo a cambio de una contraprestación económica a favor del CONCEDENTE en los términos descritos en la CLAUSULA 13 – VALOR DEL CONTRATO Y DE LA CONTRAPRESTACION de este contrato.</w:t>
          </w:r>
        </w:p>
        <w:p w14:paraId="32118586" w14:textId="741475D2" w:rsidR="00274429" w:rsidRPr="005D6205" w:rsidRDefault="00274429" w:rsidP="10D44305">
          <w:pPr>
            <w:spacing w:after="0"/>
            <w:jc w:val="both"/>
            <w:rPr>
              <w:rFonts w:ascii="Times New Roman" w:hAnsi="Times New Roman"/>
              <w:sz w:val="24"/>
              <w:szCs w:val="24"/>
            </w:rPr>
          </w:pPr>
          <w:r w:rsidRPr="00521A07">
            <w:rPr>
              <w:rFonts w:ascii="Times New Roman" w:hAnsi="Times New Roman"/>
              <w:b/>
              <w:bCs/>
              <w:sz w:val="24"/>
              <w:szCs w:val="24"/>
            </w:rPr>
            <w:t>Valor inicial:</w:t>
          </w:r>
          <w:r w:rsidR="2EA90834" w:rsidRPr="10D44305">
            <w:rPr>
              <w:rFonts w:ascii="Times New Roman" w:hAnsi="Times New Roman"/>
              <w:b/>
              <w:bCs/>
              <w:sz w:val="24"/>
              <w:szCs w:val="24"/>
            </w:rPr>
            <w:t xml:space="preserve"> </w:t>
          </w:r>
          <w:r w:rsidRPr="007B59C5">
            <w:rPr>
              <w:rFonts w:ascii="Times New Roman" w:hAnsi="Times New Roman"/>
              <w:sz w:val="24"/>
              <w:szCs w:val="24"/>
            </w:rPr>
            <w:t>CUATRO MILLONES QUINIENTOS SESENTA Y NUEVE MIL DOSCIENTOS NOVENTA Y CUATRO DOLARES (USD $4.569.294) Constantes de diciembre de 2016, Cláusula 13 / Contrato de concesión No. 002 de 2017</w:t>
          </w:r>
          <w:r w:rsidRPr="005D6205">
            <w:rPr>
              <w:rFonts w:ascii="Times New Roman" w:hAnsi="Times New Roman"/>
              <w:sz w:val="24"/>
              <w:szCs w:val="24"/>
            </w:rPr>
            <w:t>.</w:t>
          </w:r>
        </w:p>
        <w:p w14:paraId="653C376D" w14:textId="77777777" w:rsidR="00274429" w:rsidRDefault="00274429" w:rsidP="10D44305">
          <w:pPr>
            <w:spacing w:after="0"/>
            <w:rPr>
              <w:rFonts w:ascii="Times New Roman" w:hAnsi="Times New Roman"/>
              <w:sz w:val="24"/>
              <w:szCs w:val="24"/>
            </w:rPr>
          </w:pPr>
          <w:r w:rsidRPr="00521A07">
            <w:rPr>
              <w:rFonts w:ascii="Times New Roman" w:hAnsi="Times New Roman"/>
              <w:b/>
              <w:bCs/>
              <w:sz w:val="24"/>
              <w:szCs w:val="24"/>
            </w:rPr>
            <w:t>Fecha de inicio:</w:t>
          </w:r>
          <w:r>
            <w:rPr>
              <w:rFonts w:ascii="Times New Roman" w:hAnsi="Times New Roman"/>
              <w:b/>
              <w:bCs/>
              <w:sz w:val="24"/>
              <w:szCs w:val="24"/>
            </w:rPr>
            <w:t xml:space="preserve"> </w:t>
          </w:r>
          <w:r>
            <w:rPr>
              <w:rFonts w:ascii="Times New Roman" w:hAnsi="Times New Roman"/>
              <w:sz w:val="24"/>
              <w:szCs w:val="24"/>
            </w:rPr>
            <w:t>04/08/2017</w:t>
          </w:r>
        </w:p>
        <w:p w14:paraId="522730F4" w14:textId="77777777" w:rsidR="00274429" w:rsidRDefault="00274429" w:rsidP="10D44305">
          <w:pPr>
            <w:spacing w:after="0"/>
            <w:jc w:val="both"/>
            <w:rPr>
              <w:rFonts w:ascii="Times New Roman" w:hAnsi="Times New Roman"/>
              <w:sz w:val="24"/>
              <w:szCs w:val="24"/>
            </w:rPr>
          </w:pPr>
          <w:r w:rsidRPr="00521A07">
            <w:rPr>
              <w:rFonts w:ascii="Times New Roman" w:hAnsi="Times New Roman"/>
              <w:b/>
              <w:bCs/>
              <w:sz w:val="24"/>
              <w:szCs w:val="24"/>
            </w:rPr>
            <w:t>Fecha de finalización estimada:</w:t>
          </w:r>
          <w:r>
            <w:rPr>
              <w:rFonts w:ascii="Times New Roman" w:hAnsi="Times New Roman"/>
              <w:b/>
              <w:bCs/>
              <w:sz w:val="24"/>
              <w:szCs w:val="24"/>
            </w:rPr>
            <w:t xml:space="preserve"> </w:t>
          </w:r>
          <w:r>
            <w:rPr>
              <w:rFonts w:ascii="Times New Roman" w:hAnsi="Times New Roman"/>
              <w:sz w:val="24"/>
              <w:szCs w:val="24"/>
            </w:rPr>
            <w:t>03/08/2047</w:t>
          </w:r>
        </w:p>
        <w:p w14:paraId="448DF11C" w14:textId="77777777" w:rsidR="00274429" w:rsidRPr="009A46BB" w:rsidRDefault="00274429" w:rsidP="10D44305">
          <w:pPr>
            <w:spacing w:after="0"/>
            <w:jc w:val="both"/>
            <w:rPr>
              <w:rFonts w:ascii="Times New Roman" w:hAnsi="Times New Roman"/>
            </w:rPr>
          </w:pPr>
          <w:r w:rsidRPr="00521A07">
            <w:rPr>
              <w:rFonts w:ascii="Times New Roman" w:hAnsi="Times New Roman"/>
              <w:b/>
              <w:bCs/>
              <w:sz w:val="24"/>
              <w:szCs w:val="24"/>
            </w:rPr>
            <w:t>Tipo ID:</w:t>
          </w:r>
          <w:r>
            <w:rPr>
              <w:rFonts w:ascii="Times New Roman" w:hAnsi="Times New Roman"/>
              <w:b/>
              <w:bCs/>
              <w:sz w:val="24"/>
              <w:szCs w:val="24"/>
            </w:rPr>
            <w:t xml:space="preserve"> NIT</w:t>
          </w:r>
        </w:p>
        <w:p w14:paraId="14678B4D" w14:textId="77777777" w:rsidR="00274429" w:rsidRDefault="00274429" w:rsidP="10D44305">
          <w:pPr>
            <w:spacing w:after="0"/>
            <w:rPr>
              <w:rFonts w:ascii="Times New Roman" w:hAnsi="Times New Roman"/>
              <w:sz w:val="24"/>
              <w:szCs w:val="24"/>
            </w:rPr>
          </w:pPr>
          <w:r w:rsidRPr="00521A07">
            <w:rPr>
              <w:rFonts w:ascii="Times New Roman" w:hAnsi="Times New Roman"/>
              <w:b/>
              <w:bCs/>
              <w:sz w:val="24"/>
              <w:szCs w:val="24"/>
            </w:rPr>
            <w:t>Número ID:</w:t>
          </w:r>
          <w:r>
            <w:rPr>
              <w:rFonts w:ascii="Times New Roman" w:hAnsi="Times New Roman"/>
              <w:b/>
              <w:bCs/>
              <w:sz w:val="24"/>
              <w:szCs w:val="24"/>
            </w:rPr>
            <w:t xml:space="preserve"> </w:t>
          </w:r>
          <w:r w:rsidRPr="000868D6">
            <w:rPr>
              <w:rFonts w:ascii="Times New Roman" w:hAnsi="Times New Roman"/>
              <w:sz w:val="24"/>
              <w:szCs w:val="24"/>
            </w:rPr>
            <w:t xml:space="preserve">901.057.588-2 </w:t>
          </w:r>
        </w:p>
        <w:p w14:paraId="6357D16D" w14:textId="64987B45" w:rsidR="00274429" w:rsidRPr="009A46BB" w:rsidRDefault="00274429" w:rsidP="10D44305">
          <w:pPr>
            <w:spacing w:after="0"/>
            <w:rPr>
              <w:rFonts w:ascii="Times New Roman" w:hAnsi="Times New Roman"/>
            </w:rPr>
          </w:pPr>
          <w:r w:rsidRPr="00521A07">
            <w:rPr>
              <w:rFonts w:ascii="Times New Roman" w:hAnsi="Times New Roman"/>
              <w:b/>
              <w:bCs/>
              <w:sz w:val="24"/>
              <w:szCs w:val="24"/>
            </w:rPr>
            <w:t>Razón social del concesionario:</w:t>
          </w:r>
          <w:r w:rsidR="230672A4" w:rsidRPr="10D44305">
            <w:rPr>
              <w:rFonts w:ascii="Times New Roman" w:hAnsi="Times New Roman"/>
              <w:b/>
              <w:bCs/>
              <w:sz w:val="24"/>
              <w:szCs w:val="24"/>
            </w:rPr>
            <w:t xml:space="preserve"> </w:t>
          </w:r>
          <w:r w:rsidRPr="009A46BB">
            <w:rPr>
              <w:rFonts w:ascii="Times New Roman" w:hAnsi="Times New Roman"/>
            </w:rPr>
            <w:t xml:space="preserve">Sociedad Portuaria Regional Tumaco Pacific Port S.A. </w:t>
          </w:r>
        </w:p>
        <w:p w14:paraId="3B0A353D" w14:textId="29475AFD" w:rsidR="00274429" w:rsidRPr="009A46BB" w:rsidRDefault="00274429" w:rsidP="10D44305">
          <w:pPr>
            <w:spacing w:after="0"/>
            <w:rPr>
              <w:rFonts w:ascii="Times New Roman" w:hAnsi="Times New Roman"/>
            </w:rPr>
          </w:pPr>
          <w:r w:rsidRPr="00521A07">
            <w:rPr>
              <w:rFonts w:ascii="Times New Roman" w:hAnsi="Times New Roman"/>
              <w:b/>
              <w:bCs/>
              <w:sz w:val="24"/>
              <w:szCs w:val="24"/>
            </w:rPr>
            <w:t>Nombre del proyecto:</w:t>
          </w:r>
          <w:r w:rsidR="7F49EB26" w:rsidRPr="10D44305">
            <w:rPr>
              <w:rFonts w:ascii="Times New Roman" w:hAnsi="Times New Roman"/>
              <w:b/>
              <w:bCs/>
              <w:sz w:val="24"/>
              <w:szCs w:val="24"/>
            </w:rPr>
            <w:t xml:space="preserve"> </w:t>
          </w:r>
          <w:r w:rsidRPr="009A46BB">
            <w:rPr>
              <w:rFonts w:ascii="Times New Roman" w:hAnsi="Times New Roman"/>
            </w:rPr>
            <w:t xml:space="preserve">Sociedad Portuaria Regional Tumaco Pacific Port S.A. </w:t>
          </w:r>
        </w:p>
        <w:p w14:paraId="52E639DC" w14:textId="598800C5" w:rsidR="10D44305" w:rsidRDefault="10D44305" w:rsidP="10D44305">
          <w:pPr>
            <w:spacing w:after="0"/>
            <w:rPr>
              <w:rFonts w:ascii="Times New Roman" w:hAnsi="Times New Roman"/>
            </w:rPr>
          </w:pPr>
        </w:p>
        <w:p w14:paraId="11A93B8E" w14:textId="77777777" w:rsidR="00274429" w:rsidRPr="003A32AC" w:rsidRDefault="00274429" w:rsidP="00E60BAB">
          <w:pPr>
            <w:pStyle w:val="Prrafodelista"/>
            <w:numPr>
              <w:ilvl w:val="0"/>
              <w:numId w:val="134"/>
            </w:numPr>
            <w:spacing w:line="259" w:lineRule="auto"/>
            <w:jc w:val="both"/>
            <w:rPr>
              <w:rFonts w:ascii="Times New Roman" w:hAnsi="Times New Roman"/>
              <w:b/>
              <w:bCs/>
              <w:sz w:val="24"/>
              <w:szCs w:val="24"/>
            </w:rPr>
          </w:pPr>
          <w:r w:rsidRPr="003A32AC">
            <w:rPr>
              <w:rFonts w:ascii="Times New Roman" w:hAnsi="Times New Roman"/>
              <w:b/>
              <w:bCs/>
              <w:sz w:val="24"/>
              <w:szCs w:val="24"/>
            </w:rPr>
            <w:t>Términos significativos del acuerdo que puedan afectar su valor, el calendario y la certeza de los flujos</w:t>
          </w:r>
        </w:p>
        <w:p w14:paraId="245E7A9F" w14:textId="42C037B9"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valor:</w:t>
          </w:r>
        </w:p>
        <w:p w14:paraId="5792FCE7" w14:textId="77777777" w:rsidR="00274429" w:rsidRDefault="00274429" w:rsidP="00274429">
          <w:pPr>
            <w:jc w:val="both"/>
            <w:rPr>
              <w:rFonts w:ascii="Times New Roman" w:hAnsi="Times New Roman"/>
              <w:sz w:val="24"/>
              <w:szCs w:val="24"/>
            </w:rPr>
          </w:pPr>
          <w:r w:rsidRPr="00FC7585">
            <w:rPr>
              <w:rFonts w:ascii="Times New Roman" w:hAnsi="Times New Roman"/>
              <w:b/>
              <w:bCs/>
              <w:sz w:val="24"/>
              <w:szCs w:val="24"/>
            </w:rPr>
            <w:t xml:space="preserve">Tarifas: </w:t>
          </w:r>
          <w:r w:rsidRPr="00747CD1">
            <w:rPr>
              <w:rFonts w:ascii="Times New Roman" w:hAnsi="Times New Roman"/>
              <w:sz w:val="24"/>
              <w:szCs w:val="24"/>
            </w:rPr>
            <w:t>Al ser el terminal marítimo de servicio público, las tarifas requieren ser aprobadas según metodología establecida por la Superintendencia General de Puertos hoy Superintendencia de Transporte.</w:t>
          </w:r>
        </w:p>
        <w:p w14:paraId="3CFD0D46" w14:textId="389F8EC0" w:rsidR="00274429" w:rsidRPr="00E11EB3" w:rsidRDefault="00274429" w:rsidP="00274429">
          <w:pPr>
            <w:jc w:val="both"/>
            <w:rPr>
              <w:rFonts w:ascii="Times New Roman" w:hAnsi="Times New Roman"/>
              <w:sz w:val="24"/>
              <w:szCs w:val="24"/>
            </w:rPr>
          </w:pPr>
          <w:r w:rsidRPr="009A46BB">
            <w:rPr>
              <w:rFonts w:ascii="Times New Roman" w:hAnsi="Times New Roman"/>
              <w:b/>
            </w:rPr>
            <w:t>Contraprestación portuaria</w:t>
          </w:r>
          <w:r w:rsidRPr="009A46BB">
            <w:rPr>
              <w:rFonts w:ascii="Times New Roman" w:hAnsi="Times New Roman"/>
            </w:rPr>
            <w:t xml:space="preserve">: </w:t>
          </w:r>
          <w:r w:rsidRPr="00DA2272">
            <w:rPr>
              <w:rFonts w:ascii="Times New Roman" w:hAnsi="Times New Roman"/>
              <w:sz w:val="24"/>
              <w:szCs w:val="24"/>
            </w:rPr>
            <w:t xml:space="preserve">De acuerdo con el contrato de concesión No. 002 de </w:t>
          </w:r>
          <w:r w:rsidRPr="00DA2272">
            <w:rPr>
              <w:rFonts w:ascii="Times New Roman" w:hAnsi="Times New Roman"/>
              <w:sz w:val="24"/>
              <w:szCs w:val="24"/>
            </w:rPr>
            <w:tab/>
            <w:t xml:space="preserve">2017, la metodología de contraprestación corresponde al Conpes 3744 de 2013. A febrero de 2021, el CONCESIONARIO debió pagar la suma de USD 916.213,29 por </w:t>
          </w:r>
          <w:r w:rsidRPr="00DA2272">
            <w:rPr>
              <w:rFonts w:ascii="Times New Roman" w:hAnsi="Times New Roman"/>
              <w:sz w:val="24"/>
              <w:szCs w:val="24"/>
            </w:rPr>
            <w:tab/>
            <w:t>deuda</w:t>
          </w:r>
          <w:r>
            <w:rPr>
              <w:rFonts w:ascii="Times New Roman" w:hAnsi="Times New Roman"/>
              <w:sz w:val="24"/>
              <w:szCs w:val="24"/>
            </w:rPr>
            <w:t xml:space="preserve"> </w:t>
          </w:r>
          <w:r w:rsidRPr="00DA2272">
            <w:rPr>
              <w:rFonts w:ascii="Times New Roman" w:hAnsi="Times New Roman"/>
              <w:sz w:val="24"/>
              <w:szCs w:val="24"/>
            </w:rPr>
            <w:t>por contraprestación.</w:t>
          </w:r>
          <w:r w:rsidR="006763A2">
            <w:rPr>
              <w:rFonts w:ascii="Times New Roman" w:hAnsi="Times New Roman"/>
              <w:sz w:val="24"/>
              <w:szCs w:val="24"/>
            </w:rPr>
            <w:t xml:space="preserve"> </w:t>
          </w:r>
          <w:r w:rsidRPr="00DA2272">
            <w:rPr>
              <w:rFonts w:ascii="Times New Roman" w:hAnsi="Times New Roman"/>
              <w:sz w:val="24"/>
              <w:szCs w:val="24"/>
            </w:rPr>
            <w:t xml:space="preserve">El numeral 13.1 de la Cláusula 13 del contrato establece que por el pago de contraprestación por el uso y goce temporal y exclusivo de las zonas </w:t>
          </w:r>
          <w:r w:rsidRPr="00DA2272">
            <w:rPr>
              <w:rFonts w:ascii="Times New Roman" w:hAnsi="Times New Roman"/>
              <w:sz w:val="24"/>
              <w:szCs w:val="24"/>
            </w:rPr>
            <w:tab/>
            <w:t xml:space="preserve">de uso público la Nación- INVIAS recibirá el 80% y el municipio de Tumaco el restante 20% de acuerdo con lo establecido en el parágrafo 1 del artículo 1 de la Ley </w:t>
          </w:r>
          <w:r w:rsidRPr="00DA2272">
            <w:rPr>
              <w:rFonts w:ascii="Times New Roman" w:hAnsi="Times New Roman"/>
              <w:sz w:val="24"/>
              <w:szCs w:val="24"/>
            </w:rPr>
            <w:tab/>
            <w:t xml:space="preserve">856 del 21 de </w:t>
          </w:r>
          <w:r w:rsidRPr="00DA2272">
            <w:rPr>
              <w:rFonts w:ascii="Times New Roman" w:hAnsi="Times New Roman"/>
              <w:sz w:val="24"/>
              <w:szCs w:val="24"/>
            </w:rPr>
            <w:lastRenderedPageBreak/>
            <w:t>diciembre de 2003, que modifica el artículo 7 de la ley 1ª de 1991</w:t>
          </w:r>
          <w:r w:rsidRPr="00E11EB3">
            <w:rPr>
              <w:rFonts w:ascii="Times New Roman" w:hAnsi="Times New Roman"/>
              <w:sz w:val="24"/>
              <w:szCs w:val="24"/>
            </w:rPr>
            <w:t>. Las contraprestaciones por el uso de la infraestructura le corresponden el 100% a la Nación - INVIAS.</w:t>
          </w:r>
        </w:p>
        <w:p w14:paraId="52F30AB9" w14:textId="77777777" w:rsidR="00274429" w:rsidRDefault="00274429" w:rsidP="00274429">
          <w:pPr>
            <w:jc w:val="both"/>
            <w:rPr>
              <w:rFonts w:ascii="Times New Roman" w:hAnsi="Times New Roman"/>
              <w:sz w:val="24"/>
              <w:szCs w:val="24"/>
            </w:rPr>
          </w:pPr>
          <w:r w:rsidRPr="00E11EB3">
            <w:rPr>
              <w:rFonts w:ascii="Times New Roman" w:hAnsi="Times New Roman"/>
              <w:sz w:val="24"/>
              <w:szCs w:val="24"/>
            </w:rPr>
            <w:t>Plan de Inversiones: Está establecido en la Cláusula 12 del contrato y modificado por el otrosí 1 al contrato de concesión el plan de inversión será de CINCO MILLONES CIENTO VEINTINUEVE MIL SEISCIENTOS CUARENTA Y DOS DOLARES DE LOS ESTADOS UNIDOS CON DIECISEIS CENTAVOS DE DÓLAR (USD 5.129.642,16), constante de diciembre de 2016</w:t>
          </w:r>
        </w:p>
        <w:p w14:paraId="50EF424F" w14:textId="77777777" w:rsidR="00274429" w:rsidRPr="009A46BB" w:rsidRDefault="00274429" w:rsidP="00274429">
          <w:pPr>
            <w:rPr>
              <w:rFonts w:ascii="Times New Roman" w:hAnsi="Times New Roman"/>
            </w:rPr>
          </w:pPr>
          <w:r w:rsidRPr="009A46BB">
            <w:rPr>
              <w:rFonts w:ascii="Times New Roman" w:hAnsi="Times New Roman"/>
            </w:rPr>
            <w:t xml:space="preserve">Obligaciones del CONCESIONARIO: se encuentran descritas en la Cláusula 20 del contrato. </w:t>
          </w:r>
        </w:p>
        <w:p w14:paraId="05CFA825" w14:textId="77777777" w:rsidR="00274429" w:rsidRPr="009A46BB" w:rsidRDefault="00274429" w:rsidP="00274429">
          <w:pPr>
            <w:rPr>
              <w:rFonts w:ascii="Times New Roman" w:hAnsi="Times New Roman"/>
            </w:rPr>
          </w:pPr>
          <w:r w:rsidRPr="009A46BB">
            <w:rPr>
              <w:rFonts w:ascii="Times New Roman" w:hAnsi="Times New Roman"/>
            </w:rPr>
            <w:t>Multas y sanciones: están establecidas en la Cláusula 23 del contrato.</w:t>
          </w:r>
        </w:p>
        <w:p w14:paraId="0A7245F2" w14:textId="77777777" w:rsidR="00274429" w:rsidRPr="009A46BB" w:rsidRDefault="00274429" w:rsidP="00274429">
          <w:pPr>
            <w:jc w:val="both"/>
            <w:rPr>
              <w:rFonts w:ascii="Times New Roman" w:hAnsi="Times New Roman"/>
            </w:rPr>
          </w:pPr>
          <w:r w:rsidRPr="009A46BB">
            <w:rPr>
              <w:rFonts w:ascii="Times New Roman" w:hAnsi="Times New Roman"/>
            </w:rPr>
            <w:t xml:space="preserve">Penal Pecuniaria: En la Cláusula 24 se establece que en el evento en que el concedente </w:t>
          </w:r>
          <w:r w:rsidRPr="009A46BB">
            <w:rPr>
              <w:rFonts w:ascii="Times New Roman" w:hAnsi="Times New Roman"/>
            </w:rPr>
            <w:tab/>
            <w:t xml:space="preserve">declare la caducidad o el incumplimiento del contrato, el Concesionario deberá pagar </w:t>
          </w:r>
          <w:r w:rsidRPr="009A46BB">
            <w:rPr>
              <w:rFonts w:ascii="Times New Roman" w:hAnsi="Times New Roman"/>
            </w:rPr>
            <w:tab/>
            <w:t xml:space="preserve">la suma equivalente al 10% del valor total de la contraprestación, o proporcionalmente </w:t>
          </w:r>
          <w:r w:rsidRPr="009A46BB">
            <w:rPr>
              <w:rFonts w:ascii="Times New Roman" w:hAnsi="Times New Roman"/>
            </w:rPr>
            <w:tab/>
            <w:t>por incumplimiento parcial, como sanción pecuniaria</w:t>
          </w:r>
        </w:p>
        <w:p w14:paraId="5CF218B9" w14:textId="77777777" w:rsidR="00274429" w:rsidRDefault="00274429" w:rsidP="00274429">
          <w:pPr>
            <w:jc w:val="both"/>
            <w:rPr>
              <w:rFonts w:ascii="Times New Roman" w:hAnsi="Times New Roman"/>
              <w:b/>
              <w:bCs/>
              <w:sz w:val="24"/>
              <w:szCs w:val="24"/>
            </w:rPr>
          </w:pPr>
          <w:r w:rsidRPr="004C1095">
            <w:rPr>
              <w:rFonts w:ascii="Times New Roman" w:hAnsi="Times New Roman"/>
              <w:b/>
              <w:bCs/>
              <w:sz w:val="24"/>
              <w:szCs w:val="24"/>
            </w:rPr>
            <w:t>Términos de calendario:</w:t>
          </w:r>
        </w:p>
        <w:sdt>
          <w:sdtPr>
            <w:rPr>
              <w:rStyle w:val="Estilo3"/>
            </w:rPr>
            <w:id w:val="-313029528"/>
            <w:placeholder>
              <w:docPart w:val="43C458772F2540F3AB70C1C7842E1F00"/>
            </w:placeholder>
          </w:sdtPr>
          <w:sdtEndPr>
            <w:rPr>
              <w:rStyle w:val="Fuentedeprrafopredeter"/>
              <w:rFonts w:ascii="Calibri" w:hAnsi="Calibri"/>
              <w:b/>
              <w:bCs/>
              <w:sz w:val="22"/>
              <w:szCs w:val="24"/>
            </w:rPr>
          </w:sdtEndPr>
          <w:sdtContent>
            <w:p w14:paraId="4EAB59CE" w14:textId="77777777" w:rsidR="00274429" w:rsidRPr="009A46BB" w:rsidRDefault="00274429" w:rsidP="00274429">
              <w:pPr>
                <w:jc w:val="both"/>
                <w:rPr>
                  <w:rFonts w:ascii="Times New Roman" w:hAnsi="Times New Roman"/>
                </w:rPr>
              </w:pPr>
              <w:r w:rsidRPr="009A46BB">
                <w:rPr>
                  <w:rFonts w:ascii="Times New Roman" w:hAnsi="Times New Roman"/>
                </w:rPr>
                <w:t>Tarifas: Aprobadas según la metodología establecida por la Superintendencia General de Puertos, hoy Superintendencia de Transporte.</w:t>
              </w:r>
            </w:p>
            <w:p w14:paraId="1EA1238E" w14:textId="577DA70A" w:rsidR="00274429" w:rsidRPr="009A46BB" w:rsidRDefault="00274429" w:rsidP="00274429">
              <w:pPr>
                <w:jc w:val="both"/>
                <w:rPr>
                  <w:rFonts w:ascii="Times New Roman" w:hAnsi="Times New Roman"/>
                </w:rPr>
              </w:pPr>
              <w:r w:rsidRPr="009A46BB">
                <w:rPr>
                  <w:rFonts w:ascii="Times New Roman" w:hAnsi="Times New Roman"/>
                </w:rPr>
                <w:t>Contraprestación portuaria: la contraprestación se debe pagar de manera anual anticipada en el mes de febrero de cada año.</w:t>
              </w:r>
            </w:p>
            <w:p w14:paraId="26DDD1C2" w14:textId="77777777" w:rsidR="00274429" w:rsidRPr="009A46BB" w:rsidRDefault="00274429" w:rsidP="00274429">
              <w:pPr>
                <w:jc w:val="both"/>
                <w:rPr>
                  <w:rFonts w:ascii="Times New Roman" w:hAnsi="Times New Roman"/>
                </w:rPr>
              </w:pPr>
              <w:r w:rsidRPr="009A46BB">
                <w:rPr>
                  <w:rFonts w:ascii="Times New Roman" w:hAnsi="Times New Roman"/>
                </w:rPr>
                <w:t xml:space="preserve"> Plan de inversiones: Se estableció en la Cláusula 12 del contrato, cuya ejecución de inversiones deberá corresponder a los periodos año1, año 2 y año 4.</w:t>
              </w:r>
            </w:p>
            <w:p w14:paraId="26C4CAC8" w14:textId="77777777" w:rsidR="00274429" w:rsidRPr="009A46BB" w:rsidRDefault="00274429" w:rsidP="00274429">
              <w:pPr>
                <w:jc w:val="both"/>
                <w:rPr>
                  <w:rFonts w:ascii="Times New Roman" w:hAnsi="Times New Roman"/>
                </w:rPr>
              </w:pPr>
              <w:r w:rsidRPr="009A46BB">
                <w:rPr>
                  <w:rFonts w:ascii="Times New Roman" w:hAnsi="Times New Roman"/>
                </w:rPr>
                <w:t>Multas: Cláusula 23 del contrato</w:t>
              </w:r>
            </w:p>
          </w:sdtContent>
        </w:sdt>
        <w:p w14:paraId="66A4232F" w14:textId="77777777"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certeza de flujos de efectivo futuros:</w:t>
          </w:r>
          <w:r>
            <w:rPr>
              <w:rFonts w:ascii="Times New Roman" w:hAnsi="Times New Roman"/>
              <w:b/>
              <w:bCs/>
              <w:sz w:val="24"/>
              <w:szCs w:val="24"/>
            </w:rPr>
            <w:t xml:space="preserve"> </w:t>
          </w:r>
        </w:p>
        <w:sdt>
          <w:sdtPr>
            <w:rPr>
              <w:rStyle w:val="Estilo3"/>
            </w:rPr>
            <w:id w:val="-357827342"/>
            <w:placeholder>
              <w:docPart w:val="D46AF89169F84D8790DCF63B03AE5FF6"/>
            </w:placeholder>
          </w:sdtPr>
          <w:sdtEndPr>
            <w:rPr>
              <w:rStyle w:val="Fuentedeprrafopredeter"/>
              <w:rFonts w:ascii="Calibri" w:hAnsi="Calibri"/>
              <w:sz w:val="22"/>
            </w:rPr>
          </w:sdtEndPr>
          <w:sdtContent>
            <w:p w14:paraId="41E6BBAF" w14:textId="77777777" w:rsidR="00274429" w:rsidRPr="009A46BB" w:rsidRDefault="00274429" w:rsidP="00274429">
              <w:pPr>
                <w:jc w:val="both"/>
                <w:rPr>
                  <w:rFonts w:ascii="Times New Roman" w:hAnsi="Times New Roman"/>
                </w:rPr>
              </w:pPr>
              <w:r w:rsidRPr="009A46BB">
                <w:rPr>
                  <w:rFonts w:ascii="Times New Roman" w:hAnsi="Times New Roman"/>
                </w:rPr>
                <w:t xml:space="preserve">Se otorga a EL CONCESIONARIO el derecho de ocupar en forma temporal y </w:t>
              </w:r>
              <w:r w:rsidRPr="009A46BB">
                <w:rPr>
                  <w:rFonts w:ascii="Times New Roman" w:hAnsi="Times New Roman"/>
                </w:rPr>
                <w:tab/>
                <w:t xml:space="preserve">exclusiva de los bienes de uso público descritos en la Cláusula 2 Bienes Concesionados </w:t>
              </w:r>
              <w:r w:rsidRPr="009A46BB">
                <w:rPr>
                  <w:rFonts w:ascii="Times New Roman" w:hAnsi="Times New Roman"/>
                </w:rPr>
                <w:tab/>
                <w:t>ubicados en aguas interiores de la bahía de Tumaco, a cambio de la contraprestación económica de que trata la Cláusula 13 del contrato 002 de 2017.</w:t>
              </w:r>
            </w:p>
            <w:p w14:paraId="4BBAFAD8" w14:textId="77777777" w:rsidR="00274429" w:rsidRPr="009A46BB" w:rsidRDefault="00274429" w:rsidP="00274429">
              <w:pPr>
                <w:jc w:val="both"/>
                <w:rPr>
                  <w:rFonts w:ascii="Times New Roman" w:hAnsi="Times New Roman"/>
                </w:rPr>
              </w:pPr>
              <w:r w:rsidRPr="009A46BB">
                <w:rPr>
                  <w:rFonts w:ascii="Times New Roman" w:hAnsi="Times New Roman"/>
                </w:rPr>
                <w:t xml:space="preserve">Cláusula 13, numeral 13.1, del valor a pagar por concepto de contraprestación por </w:t>
              </w:r>
              <w:r w:rsidRPr="009A46BB">
                <w:rPr>
                  <w:rFonts w:ascii="Times New Roman" w:hAnsi="Times New Roman"/>
                </w:rPr>
                <w:tab/>
                <w:t>Zona de Uso público y componente variable el 80% le corresponde a la Nación-</w:t>
              </w:r>
              <w:r w:rsidRPr="009A46BB">
                <w:rPr>
                  <w:rFonts w:ascii="Times New Roman" w:hAnsi="Times New Roman"/>
                </w:rPr>
                <w:tab/>
                <w:t>INVIAS y el 20 % al municipio de Cartagena y por Infraestructura el 100% a la Nación-INVIAS.</w:t>
              </w:r>
            </w:p>
          </w:sdtContent>
        </w:sdt>
        <w:p w14:paraId="5F361B3D" w14:textId="77777777" w:rsidR="00274429" w:rsidRPr="00B71A05" w:rsidRDefault="00274429" w:rsidP="00E60BAB">
          <w:pPr>
            <w:pStyle w:val="Prrafodelista"/>
            <w:numPr>
              <w:ilvl w:val="0"/>
              <w:numId w:val="134"/>
            </w:numPr>
            <w:spacing w:line="259" w:lineRule="auto"/>
            <w:jc w:val="both"/>
            <w:rPr>
              <w:rFonts w:ascii="Times New Roman" w:hAnsi="Times New Roman"/>
              <w:b/>
              <w:bCs/>
              <w:sz w:val="24"/>
              <w:szCs w:val="24"/>
            </w:rPr>
          </w:pPr>
          <w:r w:rsidRPr="00B71A05">
            <w:rPr>
              <w:rFonts w:ascii="Times New Roman" w:hAnsi="Times New Roman"/>
              <w:b/>
              <w:bCs/>
              <w:sz w:val="24"/>
              <w:szCs w:val="24"/>
            </w:rPr>
            <w:t>Naturaleza y alcance del derecho a utilizar activos especificados, de los aspectos pactados en torno a lo que se espera que el concesionario proporcione en relación con el acuerdo de concesión (Se requiere ser breves, precisos, y concisos en la redacción)</w:t>
          </w:r>
        </w:p>
        <w:p w14:paraId="39BFED25" w14:textId="77777777" w:rsidR="00274429" w:rsidRDefault="00274429" w:rsidP="00274429">
          <w:pPr>
            <w:jc w:val="both"/>
            <w:rPr>
              <w:rFonts w:ascii="Times New Roman" w:hAnsi="Times New Roman"/>
              <w:b/>
              <w:bCs/>
              <w:sz w:val="24"/>
              <w:szCs w:val="24"/>
            </w:rPr>
          </w:pPr>
          <w:r w:rsidRPr="00217110">
            <w:rPr>
              <w:rFonts w:ascii="Times New Roman" w:hAnsi="Times New Roman"/>
              <w:b/>
              <w:bCs/>
              <w:sz w:val="24"/>
              <w:szCs w:val="24"/>
            </w:rPr>
            <w:t>Naturaleza y alcance del derecho de uso de los activos</w:t>
          </w:r>
        </w:p>
        <w:p w14:paraId="05E074A1" w14:textId="626C5724" w:rsidR="00274429" w:rsidRPr="00ED266C" w:rsidRDefault="6817954A" w:rsidP="10D44305">
          <w:pPr>
            <w:jc w:val="both"/>
            <w:rPr>
              <w:rFonts w:ascii="Times New Roman" w:hAnsi="Times New Roman"/>
              <w:sz w:val="24"/>
              <w:szCs w:val="24"/>
            </w:rPr>
          </w:pPr>
          <w:r w:rsidRPr="10D44305">
            <w:rPr>
              <w:rFonts w:ascii="Times New Roman" w:hAnsi="Times New Roman"/>
              <w:sz w:val="24"/>
              <w:szCs w:val="24"/>
            </w:rPr>
            <w:t xml:space="preserve">Descripción del proyecto, especificaciones técnicas, modalidades de operación: las condiciones especiales de operación del puerto están establecidas en la cláusula quinta del Contrato de Concesión </w:t>
          </w:r>
        </w:p>
        <w:p w14:paraId="30087798" w14:textId="3CF0D804" w:rsidR="00274429" w:rsidRPr="00ED266C" w:rsidRDefault="6817954A" w:rsidP="10D44305">
          <w:pPr>
            <w:jc w:val="both"/>
            <w:rPr>
              <w:rFonts w:ascii="Times New Roman" w:hAnsi="Times New Roman"/>
              <w:sz w:val="24"/>
              <w:szCs w:val="24"/>
            </w:rPr>
          </w:pPr>
          <w:r w:rsidRPr="10D44305">
            <w:rPr>
              <w:rFonts w:ascii="Times New Roman" w:hAnsi="Times New Roman"/>
              <w:sz w:val="24"/>
              <w:szCs w:val="24"/>
            </w:rPr>
            <w:lastRenderedPageBreak/>
            <w:t xml:space="preserve"> Área entregada en concesión: La descripción de la ubicación, linderos y extensión de los bienes de uso público (playas y terrenos de baja mar, zonas marítimas accesorias de maniobras) entregados en concesión están establecidos en la cláusula segunda </w:t>
          </w:r>
        </w:p>
        <w:p w14:paraId="3D4BE098" w14:textId="01421BC4" w:rsidR="00274429" w:rsidRPr="00ED266C" w:rsidRDefault="6817954A" w:rsidP="10D44305">
          <w:pPr>
            <w:jc w:val="both"/>
            <w:rPr>
              <w:rFonts w:ascii="Times New Roman" w:hAnsi="Times New Roman"/>
              <w:sz w:val="24"/>
              <w:szCs w:val="24"/>
            </w:rPr>
          </w:pPr>
          <w:r w:rsidRPr="10D44305">
            <w:rPr>
              <w:rFonts w:ascii="Times New Roman" w:hAnsi="Times New Roman"/>
              <w:sz w:val="24"/>
              <w:szCs w:val="24"/>
            </w:rPr>
            <w:t xml:space="preserve"> Infraestructura y equipos entregados en concesión: En la cláusula quinta del Contrato, se describe que lo entregado en concesión fue:  </w:t>
          </w:r>
        </w:p>
        <w:p w14:paraId="63D50AEF" w14:textId="57DB840B" w:rsidR="00274429" w:rsidRPr="00ED266C" w:rsidRDefault="6817954A" w:rsidP="10D44305">
          <w:pPr>
            <w:jc w:val="both"/>
            <w:rPr>
              <w:rFonts w:ascii="Times New Roman" w:hAnsi="Times New Roman"/>
              <w:sz w:val="24"/>
              <w:szCs w:val="24"/>
            </w:rPr>
          </w:pPr>
          <w:r w:rsidRPr="10D44305">
            <w:rPr>
              <w:rFonts w:ascii="Times New Roman" w:hAnsi="Times New Roman"/>
              <w:sz w:val="24"/>
              <w:szCs w:val="24"/>
            </w:rPr>
            <w:t xml:space="preserve"> Planta de suministro de combustibles </w:t>
          </w:r>
        </w:p>
        <w:p w14:paraId="428BFB08" w14:textId="5815F703" w:rsidR="00274429" w:rsidRPr="00ED266C" w:rsidRDefault="6817954A" w:rsidP="10D44305">
          <w:pPr>
            <w:jc w:val="both"/>
            <w:rPr>
              <w:rFonts w:ascii="Times New Roman" w:hAnsi="Times New Roman"/>
              <w:sz w:val="24"/>
              <w:szCs w:val="24"/>
            </w:rPr>
          </w:pPr>
          <w:r w:rsidRPr="10D44305">
            <w:rPr>
              <w:rFonts w:ascii="Times New Roman" w:hAnsi="Times New Roman"/>
              <w:sz w:val="24"/>
              <w:szCs w:val="24"/>
            </w:rPr>
            <w:t xml:space="preserve"> Tanques de almacenamiento de combustibles </w:t>
          </w:r>
        </w:p>
        <w:p w14:paraId="424ED5FC" w14:textId="395B6DBD" w:rsidR="00274429" w:rsidRPr="00ED266C" w:rsidRDefault="6817954A" w:rsidP="10D44305">
          <w:pPr>
            <w:jc w:val="both"/>
            <w:rPr>
              <w:rFonts w:ascii="Times New Roman" w:hAnsi="Times New Roman"/>
              <w:sz w:val="24"/>
              <w:szCs w:val="24"/>
            </w:rPr>
          </w:pPr>
          <w:r w:rsidRPr="10D44305">
            <w:rPr>
              <w:rFonts w:ascii="Times New Roman" w:hAnsi="Times New Roman"/>
              <w:sz w:val="24"/>
              <w:szCs w:val="24"/>
            </w:rPr>
            <w:t xml:space="preserve"> Tanques de almacenamiento de aceites. </w:t>
          </w:r>
        </w:p>
        <w:p w14:paraId="69F6BD80" w14:textId="198D4DCF" w:rsidR="00274429" w:rsidRPr="00ED266C" w:rsidRDefault="6817954A" w:rsidP="10D44305">
          <w:pPr>
            <w:jc w:val="both"/>
            <w:rPr>
              <w:rFonts w:ascii="Times New Roman" w:hAnsi="Times New Roman"/>
              <w:sz w:val="24"/>
              <w:szCs w:val="24"/>
            </w:rPr>
          </w:pPr>
          <w:r w:rsidRPr="10D44305">
            <w:rPr>
              <w:rFonts w:ascii="Times New Roman" w:hAnsi="Times New Roman"/>
              <w:sz w:val="24"/>
              <w:szCs w:val="24"/>
            </w:rPr>
            <w:t xml:space="preserve"> Bodegas para almacenamiento de carga general  </w:t>
          </w:r>
        </w:p>
        <w:p w14:paraId="2D4FC8B2" w14:textId="1722B28C" w:rsidR="00274429" w:rsidRPr="00ED266C" w:rsidRDefault="00274429" w:rsidP="00274429">
          <w:pPr>
            <w:jc w:val="both"/>
            <w:rPr>
              <w:rFonts w:ascii="Times New Roman" w:hAnsi="Times New Roman"/>
              <w:sz w:val="24"/>
              <w:szCs w:val="24"/>
            </w:rPr>
          </w:pPr>
          <w:r w:rsidRPr="003E5FA9">
            <w:rPr>
              <w:rFonts w:ascii="Times New Roman" w:hAnsi="Times New Roman"/>
              <w:b/>
              <w:bCs/>
              <w:sz w:val="24"/>
              <w:szCs w:val="24"/>
            </w:rPr>
            <w:t>Observaciones:</w:t>
          </w:r>
          <w:r>
            <w:rPr>
              <w:rFonts w:ascii="Times New Roman" w:hAnsi="Times New Roman"/>
              <w:b/>
              <w:bCs/>
              <w:sz w:val="24"/>
              <w:szCs w:val="24"/>
            </w:rPr>
            <w:t xml:space="preserve"> </w:t>
          </w:r>
          <w:r>
            <w:rPr>
              <w:rFonts w:ascii="Times New Roman" w:hAnsi="Times New Roman"/>
              <w:sz w:val="24"/>
              <w:szCs w:val="24"/>
            </w:rPr>
            <w:t>NA</w:t>
          </w:r>
        </w:p>
        <w:p w14:paraId="68D315A0" w14:textId="77777777" w:rsidR="00274429" w:rsidRDefault="00274429" w:rsidP="00274429">
          <w:pPr>
            <w:jc w:val="both"/>
            <w:rPr>
              <w:rFonts w:ascii="Times New Roman" w:hAnsi="Times New Roman"/>
              <w:b/>
              <w:bCs/>
              <w:sz w:val="24"/>
              <w:szCs w:val="24"/>
            </w:rPr>
          </w:pPr>
          <w:r>
            <w:rPr>
              <w:rFonts w:ascii="Times New Roman" w:hAnsi="Times New Roman"/>
              <w:b/>
              <w:bCs/>
              <w:sz w:val="24"/>
              <w:szCs w:val="24"/>
            </w:rPr>
            <w:t>Retribución al Concesionario</w:t>
          </w:r>
        </w:p>
        <w:p w14:paraId="04F1877A" w14:textId="4AB63C93" w:rsidR="00274429" w:rsidRPr="006E7CD0" w:rsidRDefault="00274429" w:rsidP="00274429">
          <w:pPr>
            <w:jc w:val="both"/>
            <w:rPr>
              <w:rFonts w:ascii="Times New Roman" w:hAnsi="Times New Roman"/>
            </w:rPr>
          </w:pPr>
          <w:r w:rsidRPr="009A46BB">
            <w:rPr>
              <w:rFonts w:ascii="Times New Roman" w:hAnsi="Times New Roman"/>
              <w:b/>
            </w:rPr>
            <w:t xml:space="preserve">Descripción: </w:t>
          </w:r>
          <w:r w:rsidRPr="009A46BB">
            <w:rPr>
              <w:rFonts w:ascii="Times New Roman" w:hAnsi="Times New Roman"/>
            </w:rPr>
            <w:t xml:space="preserve">Cláusula 1 del contrato 002 de 2017: Otorgar al Concesionario concesión </w:t>
          </w:r>
          <w:r>
            <w:tab/>
          </w:r>
          <w:r w:rsidRPr="009A46BB">
            <w:rPr>
              <w:rFonts w:ascii="Times New Roman" w:hAnsi="Times New Roman"/>
            </w:rPr>
            <w:t xml:space="preserve">donde se autoriza la ocupación en forma temporal y exclusiva los bienes de uso público </w:t>
          </w:r>
          <w:r>
            <w:tab/>
          </w:r>
          <w:r w:rsidRPr="009A46BB">
            <w:rPr>
              <w:rFonts w:ascii="Times New Roman" w:hAnsi="Times New Roman"/>
            </w:rPr>
            <w:t xml:space="preserve">descritos en la Cláusula 2 Bienes Concesionados ubicados en aguas interiores de la </w:t>
          </w:r>
          <w:r>
            <w:tab/>
          </w:r>
          <w:r w:rsidRPr="009A46BB">
            <w:rPr>
              <w:rFonts w:ascii="Times New Roman" w:hAnsi="Times New Roman"/>
            </w:rPr>
            <w:t>Bahía de Tumaco a cambio de la contraprestación económica en los términos descritos en la Cláusula 13 del contrato</w:t>
          </w:r>
          <w:r w:rsidR="3BF8B340" w:rsidRPr="10D44305">
            <w:rPr>
              <w:rFonts w:ascii="Times New Roman" w:hAnsi="Times New Roman"/>
            </w:rPr>
            <w:t>.</w:t>
          </w:r>
        </w:p>
        <w:p w14:paraId="40E6F976" w14:textId="77777777" w:rsidR="00274429" w:rsidRPr="00351837" w:rsidRDefault="00274429" w:rsidP="00274429">
          <w:pPr>
            <w:rPr>
              <w:rFonts w:ascii="Times New Roman" w:hAnsi="Times New Roman"/>
              <w:b/>
              <w:bCs/>
              <w:sz w:val="24"/>
              <w:szCs w:val="24"/>
            </w:rPr>
          </w:pPr>
          <w:r>
            <w:rPr>
              <w:rFonts w:ascii="Times New Roman" w:hAnsi="Times New Roman"/>
              <w:b/>
              <w:bCs/>
              <w:sz w:val="24"/>
              <w:szCs w:val="24"/>
            </w:rPr>
            <w:t>Tasa de retribución: NA</w:t>
          </w:r>
        </w:p>
        <w:p w14:paraId="77FCE8CC" w14:textId="77777777" w:rsidR="00274429" w:rsidRPr="00421699" w:rsidRDefault="00274429" w:rsidP="00E60BAB">
          <w:pPr>
            <w:pStyle w:val="Prrafodelista"/>
            <w:numPr>
              <w:ilvl w:val="0"/>
              <w:numId w:val="134"/>
            </w:numPr>
            <w:spacing w:line="259" w:lineRule="auto"/>
            <w:jc w:val="both"/>
            <w:rPr>
              <w:rFonts w:ascii="Times New Roman" w:hAnsi="Times New Roman"/>
              <w:b/>
              <w:bCs/>
              <w:sz w:val="24"/>
              <w:szCs w:val="24"/>
            </w:rPr>
          </w:pPr>
          <w:r w:rsidRPr="00421699">
            <w:rPr>
              <w:rFonts w:ascii="Times New Roman" w:hAnsi="Times New Roman"/>
              <w:b/>
              <w:bCs/>
              <w:sz w:val="24"/>
              <w:szCs w:val="24"/>
            </w:rPr>
            <w:t>Derechos a recibir activos especificados al final del acuerdo de concesión</w:t>
          </w:r>
        </w:p>
        <w:p w14:paraId="3C7BDE82" w14:textId="77777777" w:rsidR="00274429" w:rsidRPr="009A46BB" w:rsidRDefault="00274429" w:rsidP="00274429">
          <w:pPr>
            <w:jc w:val="both"/>
            <w:rPr>
              <w:rFonts w:ascii="Times New Roman" w:hAnsi="Times New Roman"/>
            </w:rPr>
          </w:pPr>
          <w:r w:rsidRPr="009A46BB">
            <w:rPr>
              <w:rFonts w:ascii="Times New Roman" w:hAnsi="Times New Roman"/>
              <w:b/>
            </w:rPr>
            <w:t xml:space="preserve">Descripción: </w:t>
          </w:r>
          <w:r w:rsidRPr="009A46BB">
            <w:rPr>
              <w:rFonts w:ascii="Times New Roman" w:hAnsi="Times New Roman"/>
            </w:rPr>
            <w:t>De acuerdo con el Artículo 8º de la Ley 1 de 1991 en el modo portuario el concesionario no tiene derechos finales sobre activos los debe revertir a la Nación al final del contrato de concesión.</w:t>
          </w:r>
        </w:p>
        <w:p w14:paraId="7713F990" w14:textId="77777777" w:rsidR="00274429" w:rsidRPr="009A46BB" w:rsidRDefault="00274429" w:rsidP="00274429">
          <w:pPr>
            <w:jc w:val="both"/>
            <w:rPr>
              <w:rFonts w:ascii="Times New Roman" w:hAnsi="Times New Roman"/>
            </w:rPr>
          </w:pPr>
          <w:r w:rsidRPr="006D56DF">
            <w:rPr>
              <w:rFonts w:ascii="Times New Roman" w:hAnsi="Times New Roman"/>
              <w:b/>
              <w:bCs/>
              <w:sz w:val="24"/>
              <w:szCs w:val="24"/>
            </w:rPr>
            <w:t>Observaciones:</w:t>
          </w:r>
          <w:r w:rsidRPr="009A46BB">
            <w:rPr>
              <w:rFonts w:ascii="Times New Roman" w:hAnsi="Times New Roman"/>
            </w:rPr>
            <w:t xml:space="preserve"> Reversión: De acuerdo con lo establecido en la cláusula trigésima cuarta del contrato de concesión, todas las construcciones e inmuebles por destinación, que se encuentren instalados en la zona de uso público otorgada en concesión revertirán gratuitamente por el Concesionario.</w:t>
          </w:r>
        </w:p>
        <w:p w14:paraId="545A0F6F" w14:textId="77777777" w:rsidR="00274429" w:rsidRPr="009A46BB" w:rsidRDefault="00274429" w:rsidP="00274429">
          <w:pPr>
            <w:jc w:val="both"/>
            <w:rPr>
              <w:rFonts w:ascii="Times New Roman" w:hAnsi="Times New Roman"/>
            </w:rPr>
          </w:pPr>
          <w:r w:rsidRPr="009A46BB">
            <w:rPr>
              <w:rFonts w:ascii="Times New Roman" w:hAnsi="Times New Roman"/>
            </w:rPr>
            <w:t>Para tal fin, en el momento de la reversión el CONCESIONARIO elaborará un inventario de los bienes y los enviará para su revisión y aprobación.</w:t>
          </w:r>
        </w:p>
        <w:p w14:paraId="1E0EF48F" w14:textId="77777777" w:rsidR="00274429" w:rsidRPr="009A46BB" w:rsidRDefault="00274429" w:rsidP="00274429">
          <w:pPr>
            <w:jc w:val="both"/>
            <w:rPr>
              <w:rFonts w:ascii="Times New Roman" w:hAnsi="Times New Roman"/>
            </w:rPr>
          </w:pPr>
          <w:r w:rsidRPr="009A46BB">
            <w:rPr>
              <w:rFonts w:ascii="Times New Roman" w:hAnsi="Times New Roman"/>
            </w:rPr>
            <w:t>La ANI es la entidad concedente pero la titularidad de los activos al final de la concesión es del Instituto Nacional de Vías INVIAS</w:t>
          </w:r>
        </w:p>
        <w:p w14:paraId="3EC8E69E" w14:textId="218DCFFB" w:rsidR="00274429" w:rsidRPr="00826F4F" w:rsidRDefault="2E7DA3F8" w:rsidP="00E60BAB">
          <w:pPr>
            <w:pStyle w:val="Prrafodelista"/>
            <w:numPr>
              <w:ilvl w:val="0"/>
              <w:numId w:val="134"/>
            </w:numPr>
            <w:spacing w:line="259" w:lineRule="auto"/>
            <w:rPr>
              <w:rFonts w:ascii="Times New Roman" w:hAnsi="Times New Roman"/>
              <w:b/>
              <w:bCs/>
              <w:sz w:val="24"/>
              <w:szCs w:val="24"/>
            </w:rPr>
          </w:pPr>
          <w:r w:rsidRPr="10D44305">
            <w:rPr>
              <w:rFonts w:ascii="Times New Roman" w:hAnsi="Times New Roman"/>
              <w:b/>
              <w:bCs/>
              <w:sz w:val="24"/>
              <w:szCs w:val="24"/>
            </w:rPr>
            <w:t>No hay c</w:t>
          </w:r>
          <w:r w:rsidR="00274429" w:rsidRPr="10D44305">
            <w:rPr>
              <w:rFonts w:ascii="Times New Roman" w:hAnsi="Times New Roman"/>
              <w:b/>
              <w:bCs/>
              <w:sz w:val="24"/>
              <w:szCs w:val="24"/>
            </w:rPr>
            <w:t>ambios</w:t>
          </w:r>
          <w:r w:rsidR="00274429" w:rsidRPr="00464F7C">
            <w:rPr>
              <w:rFonts w:ascii="Times New Roman" w:hAnsi="Times New Roman"/>
              <w:b/>
              <w:bCs/>
              <w:sz w:val="24"/>
              <w:szCs w:val="24"/>
            </w:rPr>
            <w:t xml:space="preserve"> en el acuerdo de concesión que se realicen durante el periodo fiscal </w:t>
          </w:r>
        </w:p>
        <w:p w14:paraId="7042425C" w14:textId="77777777" w:rsidR="00274429" w:rsidRPr="00197A12" w:rsidRDefault="00274429" w:rsidP="006D2BD8">
          <w:pPr>
            <w:pStyle w:val="Prrafodelista"/>
            <w:ind w:left="1080"/>
            <w:rPr>
              <w:rFonts w:ascii="Times New Roman" w:hAnsi="Times New Roman"/>
              <w:b/>
              <w:bCs/>
              <w:sz w:val="24"/>
              <w:szCs w:val="24"/>
            </w:rPr>
          </w:pPr>
        </w:p>
        <w:p w14:paraId="38F8C1FA" w14:textId="77777777" w:rsidR="00274429" w:rsidRPr="00197A12" w:rsidRDefault="00274429" w:rsidP="00274429">
          <w:pPr>
            <w:spacing w:after="0" w:line="240" w:lineRule="auto"/>
            <w:jc w:val="both"/>
            <w:rPr>
              <w:rFonts w:ascii="Times New Roman" w:hAnsi="Times New Roman"/>
              <w:b/>
              <w:bCs/>
              <w:sz w:val="24"/>
              <w:szCs w:val="24"/>
            </w:rPr>
          </w:pPr>
        </w:p>
        <w:p w14:paraId="3A3665B8" w14:textId="2FFC92F8" w:rsidR="00274429" w:rsidRDefault="00274429" w:rsidP="00274429">
          <w:pPr>
            <w:rPr>
              <w:rFonts w:ascii="Times New Roman" w:hAnsi="Times New Roman"/>
              <w:b/>
              <w:sz w:val="24"/>
              <w:szCs w:val="24"/>
            </w:rPr>
          </w:pPr>
          <w:r w:rsidRPr="10D44305">
            <w:rPr>
              <w:rFonts w:ascii="Times New Roman" w:hAnsi="Times New Roman"/>
              <w:b/>
              <w:sz w:val="24"/>
              <w:szCs w:val="24"/>
            </w:rPr>
            <w:t>UNIBÁN SERVICIOS S.A. (PROMOTORA BANANERA S.A. – PROBAN</w:t>
          </w:r>
          <w:r w:rsidRPr="10D44305">
            <w:rPr>
              <w:rFonts w:ascii="Times New Roman" w:hAnsi="Times New Roman"/>
              <w:b/>
              <w:bCs/>
              <w:sz w:val="24"/>
              <w:szCs w:val="24"/>
            </w:rPr>
            <w:t>)</w:t>
          </w:r>
        </w:p>
        <w:p w14:paraId="53E90BC6" w14:textId="77777777" w:rsidR="00274429" w:rsidRPr="00547EAA" w:rsidRDefault="00274429" w:rsidP="00E60BAB">
          <w:pPr>
            <w:pStyle w:val="Prrafodelista"/>
            <w:numPr>
              <w:ilvl w:val="0"/>
              <w:numId w:val="135"/>
            </w:numPr>
            <w:spacing w:line="259" w:lineRule="auto"/>
            <w:jc w:val="both"/>
            <w:rPr>
              <w:rFonts w:ascii="Times New Roman" w:hAnsi="Times New Roman"/>
              <w:b/>
              <w:bCs/>
              <w:sz w:val="24"/>
              <w:szCs w:val="24"/>
            </w:rPr>
          </w:pPr>
          <w:r w:rsidRPr="00547EAA">
            <w:rPr>
              <w:rFonts w:ascii="Times New Roman" w:hAnsi="Times New Roman"/>
              <w:b/>
              <w:bCs/>
              <w:sz w:val="24"/>
              <w:szCs w:val="24"/>
            </w:rPr>
            <w:t>Descripción del acuerdo</w:t>
          </w:r>
        </w:p>
        <w:p w14:paraId="2E759328" w14:textId="7A178EDB" w:rsidR="00274429" w:rsidRPr="009A46BB" w:rsidRDefault="00274429" w:rsidP="10D44305">
          <w:pPr>
            <w:spacing w:after="0"/>
            <w:rPr>
              <w:rFonts w:ascii="Times New Roman" w:hAnsi="Times New Roman"/>
            </w:rPr>
          </w:pPr>
          <w:r w:rsidRPr="009A46BB">
            <w:rPr>
              <w:rFonts w:ascii="Times New Roman" w:hAnsi="Times New Roman"/>
              <w:b/>
            </w:rPr>
            <w:t>Número del acuerdo de concesión:</w:t>
          </w:r>
          <w:r w:rsidR="2AD4738F" w:rsidRPr="10D44305">
            <w:rPr>
              <w:rFonts w:ascii="Times New Roman" w:hAnsi="Times New Roman"/>
              <w:b/>
              <w:bCs/>
            </w:rPr>
            <w:t xml:space="preserve"> </w:t>
          </w:r>
          <w:r w:rsidRPr="009A46BB">
            <w:rPr>
              <w:rFonts w:ascii="Times New Roman" w:hAnsi="Times New Roman"/>
            </w:rPr>
            <w:t>Resolución de Homologación No. 1032 de 2017 (Resolución de Cesión No. 20213030004545 del 26 de marzo de 2021).</w:t>
          </w:r>
        </w:p>
        <w:p w14:paraId="6F9B3268" w14:textId="77777777" w:rsidR="00274429" w:rsidRPr="009A46BB" w:rsidRDefault="00274429" w:rsidP="10D44305">
          <w:pPr>
            <w:spacing w:after="0"/>
            <w:rPr>
              <w:rFonts w:ascii="Times New Roman" w:hAnsi="Times New Roman"/>
            </w:rPr>
          </w:pPr>
          <w:r w:rsidRPr="009A46BB">
            <w:rPr>
              <w:rFonts w:ascii="Times New Roman" w:hAnsi="Times New Roman"/>
              <w:b/>
            </w:rPr>
            <w:lastRenderedPageBreak/>
            <w:t>Objeto / Descripción</w:t>
          </w:r>
          <w:r w:rsidRPr="009A46BB">
            <w:rPr>
              <w:rFonts w:ascii="Times New Roman" w:hAnsi="Times New Roman"/>
            </w:rPr>
            <w:t>: Homologar el permiso de operación portuaria fluvial de los muelles de Zungo y Nueva Colonia, ubicados en los municipios de Carepa y Turbo, sector de Urabá, respectivamente, puertos de servicio público destinados a la comercialización de bananos a la sociedad PROMOTORA DE BANANO S.A. - PROBAN S.A, otorgado por el Ministerio de Transporte, por medio de la Resolución No. 0002426 del 31 de julio de 1998, prestando servicio de transporte a terceros de cargas diferentes al banano y conforme a lo establecido en el artículo 4 del decreto 2079 del 9 de junio de 2010, las actividades se desarrollan en inmuebles de dominio privado.</w:t>
          </w:r>
        </w:p>
        <w:p w14:paraId="2FE9A78F" w14:textId="6FBEAECB" w:rsidR="00274429" w:rsidRPr="008E76BF" w:rsidRDefault="00274429" w:rsidP="009A46BB">
          <w:pPr>
            <w:spacing w:after="0"/>
            <w:rPr>
              <w:rFonts w:ascii="Times New Roman" w:hAnsi="Times New Roman"/>
              <w:sz w:val="24"/>
              <w:szCs w:val="24"/>
            </w:rPr>
          </w:pPr>
          <w:r w:rsidRPr="00521A07">
            <w:rPr>
              <w:rFonts w:ascii="Times New Roman" w:hAnsi="Times New Roman"/>
              <w:b/>
              <w:bCs/>
              <w:sz w:val="24"/>
              <w:szCs w:val="24"/>
            </w:rPr>
            <w:t>Valor inicial:</w:t>
          </w:r>
          <w:r w:rsidR="506AE27E" w:rsidRPr="10D44305">
            <w:rPr>
              <w:rFonts w:ascii="Times New Roman" w:hAnsi="Times New Roman"/>
              <w:b/>
              <w:bCs/>
              <w:sz w:val="24"/>
              <w:szCs w:val="24"/>
            </w:rPr>
            <w:t xml:space="preserve"> </w:t>
          </w:r>
          <w:r w:rsidRPr="008E76BF">
            <w:rPr>
              <w:rFonts w:ascii="Times New Roman" w:hAnsi="Times New Roman"/>
              <w:sz w:val="24"/>
              <w:szCs w:val="24"/>
            </w:rPr>
            <w:t>USD $1.445.863 Artículo Quinto / Resolución No. 1032 de 2017.</w:t>
          </w:r>
        </w:p>
        <w:p w14:paraId="31CDE274" w14:textId="77777777" w:rsidR="00274429" w:rsidRDefault="00274429" w:rsidP="009A46BB">
          <w:pPr>
            <w:spacing w:after="0"/>
            <w:rPr>
              <w:rFonts w:ascii="Times New Roman" w:hAnsi="Times New Roman"/>
              <w:sz w:val="24"/>
              <w:szCs w:val="24"/>
            </w:rPr>
          </w:pPr>
          <w:r w:rsidRPr="00521A07">
            <w:rPr>
              <w:rFonts w:ascii="Times New Roman" w:hAnsi="Times New Roman"/>
              <w:b/>
              <w:bCs/>
              <w:sz w:val="24"/>
              <w:szCs w:val="24"/>
            </w:rPr>
            <w:t>Fecha de inicio:</w:t>
          </w:r>
          <w:r>
            <w:rPr>
              <w:rFonts w:ascii="Times New Roman" w:hAnsi="Times New Roman"/>
              <w:b/>
              <w:bCs/>
              <w:sz w:val="24"/>
              <w:szCs w:val="24"/>
            </w:rPr>
            <w:t xml:space="preserve"> </w:t>
          </w:r>
          <w:r>
            <w:rPr>
              <w:rFonts w:ascii="Times New Roman" w:hAnsi="Times New Roman"/>
              <w:sz w:val="24"/>
              <w:szCs w:val="24"/>
            </w:rPr>
            <w:t>31/07/2017</w:t>
          </w:r>
        </w:p>
        <w:p w14:paraId="42755D3F" w14:textId="77777777" w:rsidR="00274429" w:rsidRDefault="00274429" w:rsidP="009A46BB">
          <w:pPr>
            <w:spacing w:after="0"/>
            <w:jc w:val="both"/>
            <w:rPr>
              <w:rFonts w:ascii="Times New Roman" w:hAnsi="Times New Roman"/>
              <w:sz w:val="24"/>
              <w:szCs w:val="24"/>
            </w:rPr>
          </w:pPr>
          <w:r w:rsidRPr="00521A07">
            <w:rPr>
              <w:rFonts w:ascii="Times New Roman" w:hAnsi="Times New Roman"/>
              <w:b/>
              <w:bCs/>
              <w:sz w:val="24"/>
              <w:szCs w:val="24"/>
            </w:rPr>
            <w:t>Fecha de finalización estimada:</w:t>
          </w:r>
          <w:r>
            <w:rPr>
              <w:rFonts w:ascii="Times New Roman" w:hAnsi="Times New Roman"/>
              <w:b/>
              <w:bCs/>
              <w:sz w:val="24"/>
              <w:szCs w:val="24"/>
            </w:rPr>
            <w:t xml:space="preserve"> </w:t>
          </w:r>
          <w:r>
            <w:rPr>
              <w:rFonts w:ascii="Times New Roman" w:hAnsi="Times New Roman"/>
              <w:sz w:val="24"/>
              <w:szCs w:val="24"/>
            </w:rPr>
            <w:t>30/07/2037</w:t>
          </w:r>
        </w:p>
        <w:p w14:paraId="2B872350" w14:textId="77777777" w:rsidR="00274429" w:rsidRPr="009A46BB" w:rsidRDefault="00274429" w:rsidP="009A46BB">
          <w:pPr>
            <w:spacing w:after="0"/>
            <w:jc w:val="both"/>
            <w:rPr>
              <w:rFonts w:ascii="Times New Roman" w:hAnsi="Times New Roman"/>
            </w:rPr>
          </w:pPr>
          <w:r w:rsidRPr="00521A07">
            <w:rPr>
              <w:rFonts w:ascii="Times New Roman" w:hAnsi="Times New Roman"/>
              <w:b/>
              <w:bCs/>
              <w:sz w:val="24"/>
              <w:szCs w:val="24"/>
            </w:rPr>
            <w:t>Tipo ID:</w:t>
          </w:r>
          <w:r>
            <w:rPr>
              <w:rFonts w:ascii="Times New Roman" w:hAnsi="Times New Roman"/>
              <w:b/>
              <w:bCs/>
              <w:sz w:val="24"/>
              <w:szCs w:val="24"/>
            </w:rPr>
            <w:t xml:space="preserve"> NIT</w:t>
          </w:r>
        </w:p>
        <w:p w14:paraId="7A627D57" w14:textId="77777777" w:rsidR="00274429" w:rsidRDefault="00274429" w:rsidP="009A46BB">
          <w:pPr>
            <w:spacing w:after="0"/>
            <w:rPr>
              <w:rFonts w:ascii="Times New Roman" w:hAnsi="Times New Roman"/>
              <w:sz w:val="24"/>
              <w:szCs w:val="24"/>
            </w:rPr>
          </w:pPr>
          <w:r w:rsidRPr="00521A07">
            <w:rPr>
              <w:rFonts w:ascii="Times New Roman" w:hAnsi="Times New Roman"/>
              <w:b/>
              <w:bCs/>
              <w:sz w:val="24"/>
              <w:szCs w:val="24"/>
            </w:rPr>
            <w:t>Número ID:</w:t>
          </w:r>
          <w:r>
            <w:rPr>
              <w:rFonts w:ascii="Times New Roman" w:hAnsi="Times New Roman"/>
              <w:b/>
              <w:bCs/>
              <w:sz w:val="24"/>
              <w:szCs w:val="24"/>
            </w:rPr>
            <w:t xml:space="preserve"> </w:t>
          </w:r>
          <w:r w:rsidRPr="00F60BBE">
            <w:rPr>
              <w:rFonts w:ascii="Times New Roman" w:hAnsi="Times New Roman"/>
              <w:sz w:val="24"/>
              <w:szCs w:val="24"/>
            </w:rPr>
            <w:t xml:space="preserve">901343976-3. </w:t>
          </w:r>
        </w:p>
        <w:p w14:paraId="2F6F652C" w14:textId="1F29DC20" w:rsidR="00274429" w:rsidRPr="009A46BB" w:rsidRDefault="00274429" w:rsidP="009A46BB">
          <w:pPr>
            <w:spacing w:after="0"/>
            <w:rPr>
              <w:rFonts w:ascii="Times New Roman" w:hAnsi="Times New Roman"/>
            </w:rPr>
          </w:pPr>
          <w:r w:rsidRPr="00521A07">
            <w:rPr>
              <w:rFonts w:ascii="Times New Roman" w:hAnsi="Times New Roman"/>
              <w:b/>
              <w:bCs/>
              <w:sz w:val="24"/>
              <w:szCs w:val="24"/>
            </w:rPr>
            <w:t>Razón social del concesionario:</w:t>
          </w:r>
          <w:r w:rsidR="3E9595FF" w:rsidRPr="10D44305">
            <w:rPr>
              <w:rFonts w:ascii="Times New Roman" w:hAnsi="Times New Roman"/>
              <w:b/>
              <w:bCs/>
              <w:sz w:val="24"/>
              <w:szCs w:val="24"/>
            </w:rPr>
            <w:t xml:space="preserve"> </w:t>
          </w:r>
          <w:r w:rsidRPr="009A46BB">
            <w:rPr>
              <w:rFonts w:ascii="Times New Roman" w:hAnsi="Times New Roman"/>
            </w:rPr>
            <w:t xml:space="preserve">UNIBÁN SERVICIOS S.A. (PROMOTORA BANANERA S.A. – PROBAN). </w:t>
          </w:r>
        </w:p>
        <w:p w14:paraId="5F89187B" w14:textId="530F2EC7" w:rsidR="00274429" w:rsidRPr="009A46BB" w:rsidRDefault="00274429" w:rsidP="009A46BB">
          <w:pPr>
            <w:spacing w:after="0"/>
            <w:rPr>
              <w:rFonts w:ascii="Times New Roman" w:hAnsi="Times New Roman"/>
            </w:rPr>
          </w:pPr>
          <w:r w:rsidRPr="00521A07">
            <w:rPr>
              <w:rFonts w:ascii="Times New Roman" w:hAnsi="Times New Roman"/>
              <w:b/>
              <w:bCs/>
              <w:sz w:val="24"/>
              <w:szCs w:val="24"/>
            </w:rPr>
            <w:t>Nombre del proyecto:</w:t>
          </w:r>
          <w:r w:rsidR="5C87288D" w:rsidRPr="10D44305">
            <w:rPr>
              <w:rFonts w:ascii="Times New Roman" w:hAnsi="Times New Roman"/>
              <w:b/>
              <w:bCs/>
              <w:sz w:val="24"/>
              <w:szCs w:val="24"/>
            </w:rPr>
            <w:t xml:space="preserve"> </w:t>
          </w:r>
          <w:r w:rsidRPr="009A46BB">
            <w:rPr>
              <w:rFonts w:ascii="Times New Roman" w:hAnsi="Times New Roman"/>
            </w:rPr>
            <w:t xml:space="preserve">UNIBÁN SERVICIOS S.A. (PROMOTORA BANANERA S.A. – PROBAN). </w:t>
          </w:r>
        </w:p>
        <w:p w14:paraId="297D1C2C" w14:textId="77777777" w:rsidR="00274429" w:rsidRPr="00B0482C" w:rsidRDefault="00274429" w:rsidP="00E60BAB">
          <w:pPr>
            <w:pStyle w:val="Prrafodelista"/>
            <w:numPr>
              <w:ilvl w:val="0"/>
              <w:numId w:val="135"/>
            </w:numPr>
            <w:spacing w:line="259" w:lineRule="auto"/>
            <w:rPr>
              <w:rFonts w:ascii="Times New Roman" w:hAnsi="Times New Roman"/>
              <w:b/>
              <w:bCs/>
              <w:sz w:val="24"/>
              <w:szCs w:val="24"/>
            </w:rPr>
          </w:pPr>
          <w:r w:rsidRPr="00B0482C">
            <w:rPr>
              <w:rFonts w:ascii="Times New Roman" w:hAnsi="Times New Roman"/>
              <w:b/>
              <w:bCs/>
              <w:sz w:val="24"/>
              <w:szCs w:val="24"/>
            </w:rPr>
            <w:t>Términos significativos del acuerdo que puedan afectar su valor, el calendario y la certeza de los flujos</w:t>
          </w:r>
        </w:p>
        <w:p w14:paraId="3FAE96A1" w14:textId="11233A6F"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valor:</w:t>
          </w:r>
        </w:p>
        <w:p w14:paraId="27D585BE" w14:textId="77777777" w:rsidR="00274429" w:rsidRDefault="00274429" w:rsidP="00274429">
          <w:pPr>
            <w:jc w:val="both"/>
            <w:rPr>
              <w:rFonts w:ascii="Times New Roman" w:hAnsi="Times New Roman"/>
              <w:sz w:val="24"/>
              <w:szCs w:val="24"/>
            </w:rPr>
          </w:pPr>
          <w:r w:rsidRPr="00FC7585">
            <w:rPr>
              <w:rFonts w:ascii="Times New Roman" w:hAnsi="Times New Roman"/>
              <w:b/>
              <w:bCs/>
              <w:sz w:val="24"/>
              <w:szCs w:val="24"/>
            </w:rPr>
            <w:t xml:space="preserve">Tarifas: </w:t>
          </w:r>
          <w:r w:rsidRPr="00963E66">
            <w:rPr>
              <w:rFonts w:ascii="Times New Roman" w:hAnsi="Times New Roman"/>
              <w:sz w:val="24"/>
              <w:szCs w:val="24"/>
            </w:rPr>
            <w:t>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w:t>
          </w:r>
          <w:r w:rsidRPr="00747CD1">
            <w:rPr>
              <w:rFonts w:ascii="Times New Roman" w:hAnsi="Times New Roman"/>
              <w:sz w:val="24"/>
              <w:szCs w:val="24"/>
            </w:rPr>
            <w:t>.</w:t>
          </w:r>
        </w:p>
        <w:p w14:paraId="4578890A" w14:textId="0E16BC30" w:rsidR="00274429" w:rsidRDefault="00274429" w:rsidP="00274429">
          <w:pPr>
            <w:jc w:val="both"/>
            <w:rPr>
              <w:rFonts w:ascii="Times New Roman" w:hAnsi="Times New Roman"/>
              <w:sz w:val="24"/>
              <w:szCs w:val="24"/>
            </w:rPr>
          </w:pPr>
          <w:r w:rsidRPr="009A46BB">
            <w:rPr>
              <w:rFonts w:ascii="Times New Roman" w:hAnsi="Times New Roman"/>
              <w:b/>
            </w:rPr>
            <w:t>Contraprestación portuaria</w:t>
          </w:r>
          <w:r w:rsidRPr="009A46BB">
            <w:rPr>
              <w:rFonts w:ascii="Times New Roman" w:hAnsi="Times New Roman"/>
            </w:rPr>
            <w:t xml:space="preserve">: </w:t>
          </w:r>
          <w:r w:rsidRPr="00F42946">
            <w:rPr>
              <w:rFonts w:ascii="Times New Roman" w:hAnsi="Times New Roman"/>
              <w:sz w:val="24"/>
              <w:szCs w:val="24"/>
            </w:rPr>
            <w:t xml:space="preserve">De acuerdo con el último documento contractual la metodología de contraprestación vigente es CONPES 3744 de 2013 y según el artículo quinto de la Resolución No. 1032 de 2017 (Componentes Fijo y Variable).A febrero de 2022 se proyectó que el CONCESIONARIO debió pagar la suma de USD $ USD $160.114, valor que incluye componente fijo y componente variable.El valor correspondiente a la contraprestación por zona de uso público resultará de la diferencia entre el valor de la liquidación total y el valor de la infraestructura. Y el recaudo se realizará de conformidad con la ley 856 de 2003, es decir, ZUP </w:t>
          </w:r>
          <w:r w:rsidRPr="00C02CBD">
            <w:rPr>
              <w:rFonts w:ascii="Times New Roman" w:hAnsi="Times New Roman"/>
              <w:sz w:val="24"/>
              <w:szCs w:val="24"/>
            </w:rPr>
            <w:t>el 80% le corresponde a la Nación Instituto nacional de vías (INVIAS) y el 20% restante a los Municipios de Carepa y Turbo (Antioquia); e INFRAESTRUCTURA en un 100% a la Nación - Instituto Nacional de Vías (INVIAS).</w:t>
          </w:r>
        </w:p>
        <w:p w14:paraId="3C2E1542" w14:textId="77777777" w:rsidR="00274429" w:rsidRDefault="00274429" w:rsidP="00274429">
          <w:pPr>
            <w:jc w:val="both"/>
            <w:rPr>
              <w:rFonts w:ascii="Times New Roman" w:hAnsi="Times New Roman"/>
              <w:sz w:val="24"/>
              <w:szCs w:val="24"/>
            </w:rPr>
          </w:pPr>
          <w:r w:rsidRPr="00E11EB3">
            <w:rPr>
              <w:rFonts w:ascii="Times New Roman" w:hAnsi="Times New Roman"/>
              <w:sz w:val="24"/>
              <w:szCs w:val="24"/>
            </w:rPr>
            <w:t xml:space="preserve">Plan de Inversiones: </w:t>
          </w:r>
          <w:r w:rsidRPr="008E3156">
            <w:rPr>
              <w:rFonts w:ascii="Times New Roman" w:hAnsi="Times New Roman"/>
              <w:sz w:val="24"/>
              <w:szCs w:val="24"/>
            </w:rPr>
            <w:t>Teniendo en cuenta la Resolución No. 1032 de 2017, no se cuenta con un plan de inversión.</w:t>
          </w:r>
        </w:p>
        <w:p w14:paraId="4EF24989" w14:textId="77777777" w:rsidR="00274429" w:rsidRPr="009A46BB" w:rsidRDefault="00274429" w:rsidP="00274429">
          <w:pPr>
            <w:rPr>
              <w:rFonts w:ascii="Times New Roman" w:hAnsi="Times New Roman"/>
            </w:rPr>
          </w:pPr>
          <w:r w:rsidRPr="009A46BB">
            <w:rPr>
              <w:rFonts w:ascii="Times New Roman" w:hAnsi="Times New Roman"/>
            </w:rPr>
            <w:t>Obligaciones del CONCESIONARIO: se encuentran descritas en el artículo noveno.</w:t>
          </w:r>
        </w:p>
        <w:p w14:paraId="3FFBEE54" w14:textId="77777777" w:rsidR="00274429" w:rsidRDefault="00274429" w:rsidP="00274429">
          <w:pPr>
            <w:jc w:val="both"/>
            <w:rPr>
              <w:rFonts w:ascii="Times New Roman" w:hAnsi="Times New Roman"/>
              <w:b/>
              <w:bCs/>
              <w:sz w:val="24"/>
              <w:szCs w:val="24"/>
            </w:rPr>
          </w:pPr>
          <w:r w:rsidRPr="004C1095">
            <w:rPr>
              <w:rFonts w:ascii="Times New Roman" w:hAnsi="Times New Roman"/>
              <w:b/>
              <w:bCs/>
              <w:sz w:val="24"/>
              <w:szCs w:val="24"/>
            </w:rPr>
            <w:t>Términos de calendario:</w:t>
          </w:r>
        </w:p>
        <w:sdt>
          <w:sdtPr>
            <w:rPr>
              <w:rStyle w:val="Estilo3"/>
            </w:rPr>
            <w:id w:val="1257334071"/>
            <w:placeholder>
              <w:docPart w:val="9100A5F334E24BACAD679D3BD031F7E5"/>
            </w:placeholder>
          </w:sdtPr>
          <w:sdtEndPr>
            <w:rPr>
              <w:rStyle w:val="Fuentedeprrafopredeter"/>
              <w:rFonts w:ascii="Calibri" w:hAnsi="Calibri"/>
              <w:b/>
              <w:bCs/>
              <w:sz w:val="22"/>
              <w:szCs w:val="24"/>
            </w:rPr>
          </w:sdtEndPr>
          <w:sdtContent>
            <w:p w14:paraId="3EF2D306" w14:textId="77777777" w:rsidR="00274429" w:rsidRPr="009A46BB" w:rsidRDefault="00274429" w:rsidP="00274429">
              <w:pPr>
                <w:rPr>
                  <w:rFonts w:ascii="Times New Roman" w:hAnsi="Times New Roman"/>
                </w:rPr>
              </w:pPr>
              <w:r w:rsidRPr="009A46BB">
                <w:rPr>
                  <w:rFonts w:ascii="Times New Roman" w:hAnsi="Times New Roman"/>
                </w:rPr>
                <w:t>Tarifas: Aprobadas según la metodología establecida por la Superintendencia General de Puertos hoy Superintendencia de Transporte. </w:t>
              </w:r>
            </w:p>
            <w:p w14:paraId="0496641A" w14:textId="77777777" w:rsidR="00274429" w:rsidRPr="009A46BB" w:rsidRDefault="00274429" w:rsidP="00274429">
              <w:pPr>
                <w:rPr>
                  <w:rFonts w:ascii="Times New Roman" w:hAnsi="Times New Roman"/>
                </w:rPr>
              </w:pPr>
              <w:r w:rsidRPr="009A46BB">
                <w:rPr>
                  <w:rFonts w:ascii="Times New Roman" w:hAnsi="Times New Roman"/>
                </w:rPr>
                <w:t>Contraprestación portuaria: La contraprestación se debe pagar de manera anticipada antes del mes de febrero de cada año. </w:t>
              </w:r>
            </w:p>
            <w:p w14:paraId="188AE189" w14:textId="77777777" w:rsidR="00274429" w:rsidRPr="009A46BB" w:rsidRDefault="00274429" w:rsidP="00274429">
              <w:pPr>
                <w:jc w:val="both"/>
                <w:rPr>
                  <w:rFonts w:ascii="Times New Roman" w:hAnsi="Times New Roman"/>
                  <w:b/>
                  <w:szCs w:val="24"/>
                </w:rPr>
              </w:pPr>
              <w:r w:rsidRPr="009A46BB">
                <w:rPr>
                  <w:rFonts w:ascii="Times New Roman" w:hAnsi="Times New Roman"/>
                </w:rPr>
                <w:lastRenderedPageBreak/>
                <w:t>Plan de inversiones: Teniendo en cuenta la Resolución No. 1032 de 2017, no se cuenta con un plan de inversión</w:t>
              </w:r>
            </w:p>
          </w:sdtContent>
        </w:sdt>
        <w:p w14:paraId="22FAFF11" w14:textId="77777777"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certeza de flujos de efectivo futuros:</w:t>
          </w:r>
          <w:r>
            <w:rPr>
              <w:rFonts w:ascii="Times New Roman" w:hAnsi="Times New Roman"/>
              <w:b/>
              <w:bCs/>
              <w:sz w:val="24"/>
              <w:szCs w:val="24"/>
            </w:rPr>
            <w:t xml:space="preserve"> </w:t>
          </w:r>
        </w:p>
        <w:sdt>
          <w:sdtPr>
            <w:rPr>
              <w:rStyle w:val="Estilo3"/>
            </w:rPr>
            <w:id w:val="2144772693"/>
            <w:placeholder>
              <w:docPart w:val="E409DBDE6FD7403BB04AE0F6E1127D47"/>
            </w:placeholder>
          </w:sdtPr>
          <w:sdtEndPr>
            <w:rPr>
              <w:rStyle w:val="Fuentedeprrafopredeter"/>
              <w:rFonts w:ascii="Calibri" w:hAnsi="Calibri"/>
              <w:b/>
              <w:bCs/>
              <w:sz w:val="22"/>
              <w:szCs w:val="24"/>
            </w:rPr>
          </w:sdtEndPr>
          <w:sdtContent>
            <w:p w14:paraId="1217EECB" w14:textId="77777777" w:rsidR="00274429" w:rsidRPr="009A46BB" w:rsidRDefault="00274429" w:rsidP="00274429">
              <w:pPr>
                <w:jc w:val="both"/>
                <w:rPr>
                  <w:rFonts w:ascii="Times New Roman" w:hAnsi="Times New Roman"/>
                </w:rPr>
              </w:pPr>
              <w:r w:rsidRPr="009A46BB">
                <w:rPr>
                  <w:rFonts w:ascii="Times New Roman" w:hAnsi="Times New Roman"/>
                </w:rPr>
                <w:t>Homologar el permiso de operación portuaria fluvial de los muelles de Zungo y Nueva Colonia, ubicados en los municipios de Carepa y Turbo, sector de Urabá, respectivamente, puertos de servicio público destinados a la comercialización de bananos a la sociedad PROMOTORA DE BANANO S.A. - PROBAN S.A, otorgado por el Ministerio de Transporte, por medio de la Resolución No. 0002426 del 31 de julio de 1998, prestando servicio de transporte a terceros de cargas diferentes al banano y conforme a lo establecido en el artículo 4 del decreto 2079 del 9 de junio de 2010, las actividades se desarrollan en inmuebles de dominio privado.</w:t>
              </w:r>
            </w:p>
            <w:p w14:paraId="3B309D64" w14:textId="77777777" w:rsidR="00274429" w:rsidRPr="009A46BB" w:rsidRDefault="00274429" w:rsidP="00274429">
              <w:pPr>
                <w:jc w:val="both"/>
                <w:rPr>
                  <w:rFonts w:ascii="Times New Roman" w:hAnsi="Times New Roman"/>
                </w:rPr>
              </w:pPr>
              <w:r w:rsidRPr="009A46BB">
                <w:rPr>
                  <w:rFonts w:ascii="Times New Roman" w:hAnsi="Times New Roman"/>
                </w:rPr>
                <w:t> En el parágrafo del artículo quinto, se menciona que de dicho pago el 80% le corresponde a la NACIÓN-Instituto Nacional de Vías y el 20% restante a los Municipios o distritos (Carepa y Turbo en Antioquia), de acuerdo con lo establecido en el parágrafo 1 del artículo 1 de la Ley 856 del 21 de diciembre de 2003, que modifica el artículo 7 de la Ley 1 de 1991. </w:t>
              </w:r>
            </w:p>
          </w:sdtContent>
        </w:sdt>
        <w:p w14:paraId="5312CF48" w14:textId="77777777" w:rsidR="00274429" w:rsidRPr="009A46BB" w:rsidRDefault="00274429" w:rsidP="00274429">
          <w:pPr>
            <w:pStyle w:val="Prrafodelista"/>
            <w:ind w:left="1080"/>
            <w:jc w:val="both"/>
            <w:rPr>
              <w:rFonts w:ascii="Times New Roman" w:hAnsi="Times New Roman"/>
              <w:b/>
              <w:szCs w:val="24"/>
            </w:rPr>
          </w:pPr>
        </w:p>
        <w:p w14:paraId="13A6E1B7" w14:textId="77777777" w:rsidR="00274429" w:rsidRPr="003C54C8" w:rsidRDefault="00274429" w:rsidP="00E60BAB">
          <w:pPr>
            <w:pStyle w:val="Prrafodelista"/>
            <w:numPr>
              <w:ilvl w:val="0"/>
              <w:numId w:val="135"/>
            </w:numPr>
            <w:spacing w:line="259" w:lineRule="auto"/>
            <w:jc w:val="both"/>
            <w:rPr>
              <w:rFonts w:ascii="Times New Roman" w:hAnsi="Times New Roman"/>
              <w:b/>
              <w:bCs/>
              <w:sz w:val="24"/>
              <w:szCs w:val="24"/>
            </w:rPr>
          </w:pPr>
          <w:r w:rsidRPr="003C54C8">
            <w:rPr>
              <w:rFonts w:ascii="Times New Roman" w:hAnsi="Times New Roman"/>
              <w:b/>
              <w:bCs/>
              <w:sz w:val="24"/>
              <w:szCs w:val="24"/>
            </w:rPr>
            <w:t>Naturaleza y alcance del derecho a utilizar activos especificados, de los aspectos pactados en torno a lo que se espera que el concesionario proporcione en relación con el acuerdo de concesión (Se requiere ser breves, precisos, y concisos en la redacción)</w:t>
          </w:r>
        </w:p>
        <w:p w14:paraId="042DD3D2" w14:textId="77777777" w:rsidR="00274429" w:rsidRDefault="00274429" w:rsidP="00274429">
          <w:pPr>
            <w:jc w:val="both"/>
            <w:rPr>
              <w:rFonts w:ascii="Times New Roman" w:hAnsi="Times New Roman"/>
              <w:b/>
              <w:bCs/>
              <w:sz w:val="24"/>
              <w:szCs w:val="24"/>
            </w:rPr>
          </w:pPr>
          <w:r w:rsidRPr="00217110">
            <w:rPr>
              <w:rFonts w:ascii="Times New Roman" w:hAnsi="Times New Roman"/>
              <w:b/>
              <w:bCs/>
              <w:sz w:val="24"/>
              <w:szCs w:val="24"/>
            </w:rPr>
            <w:t>Naturaleza y alcance del derecho de uso de los activos</w:t>
          </w:r>
        </w:p>
        <w:sdt>
          <w:sdtPr>
            <w:rPr>
              <w:rStyle w:val="Estilo3"/>
            </w:rPr>
            <w:id w:val="1406640760"/>
            <w:placeholder>
              <w:docPart w:val="7F930EA1A4F84D1B88EC8B9E71828B21"/>
            </w:placeholder>
          </w:sdtPr>
          <w:sdtContent>
            <w:p w14:paraId="6D23C473" w14:textId="77777777" w:rsidR="00274429" w:rsidRPr="009A46BB" w:rsidRDefault="00274429" w:rsidP="00274429">
              <w:pPr>
                <w:jc w:val="both"/>
                <w:rPr>
                  <w:rFonts w:ascii="Times New Roman" w:hAnsi="Times New Roman"/>
                </w:rPr>
              </w:pPr>
              <w:r w:rsidRPr="009A46BB">
                <w:rPr>
                  <w:rFonts w:ascii="Times New Roman" w:hAnsi="Times New Roman"/>
                </w:rPr>
                <w:t>Área entregada en concesión: La descripción de la ubicación, linderos y extensión de los bienes de uso público (playas y terrenos de baja mar, zonas marítimas accesorias de maniobras) entregados en concesión están establecidos en el artículo primero.</w:t>
              </w:r>
            </w:p>
            <w:p w14:paraId="10347394" w14:textId="77777777" w:rsidR="00274429" w:rsidRDefault="00274429" w:rsidP="00274429">
              <w:pPr>
                <w:jc w:val="both"/>
                <w:rPr>
                  <w:rStyle w:val="Estilo3"/>
                </w:rPr>
              </w:pPr>
              <w:r w:rsidRPr="009A46BB">
                <w:rPr>
                  <w:rFonts w:ascii="Times New Roman" w:hAnsi="Times New Roman"/>
                </w:rPr>
                <w:t>El área solicitada en concesión corresponde al área acuática, la cual se encuentra ubicada en el área de influencia de los canales de Zungo y Nueva Colonia en los Municipios de Garepa y Turbo, sector de Urabá. El área correspondiente a las zonas de uso público señalada como área acuática ocupada por la Infraestructura de los embarcaderos, zonas aledañas a los terrenos del proyecto que son propiedad privada de PROBAN S.A. por el término de 20 años a cambio de la contraprestación establecida en el Artículo Quinto - Contraprestación de la Resolución de Homologación No. 1032 del 31 de julio del 2017</w:t>
              </w:r>
            </w:p>
          </w:sdtContent>
        </w:sdt>
        <w:p w14:paraId="4742BBB9" w14:textId="77777777" w:rsidR="00274429" w:rsidRPr="00ED266C" w:rsidRDefault="00274429" w:rsidP="00274429">
          <w:pPr>
            <w:jc w:val="both"/>
            <w:rPr>
              <w:rFonts w:ascii="Times New Roman" w:hAnsi="Times New Roman"/>
              <w:sz w:val="24"/>
              <w:szCs w:val="24"/>
            </w:rPr>
          </w:pPr>
          <w:r w:rsidRPr="003E5FA9">
            <w:rPr>
              <w:rFonts w:ascii="Times New Roman" w:hAnsi="Times New Roman"/>
              <w:b/>
              <w:bCs/>
              <w:sz w:val="24"/>
              <w:szCs w:val="24"/>
            </w:rPr>
            <w:t>Observaciones:</w:t>
          </w:r>
          <w:r>
            <w:rPr>
              <w:rFonts w:ascii="Times New Roman" w:hAnsi="Times New Roman"/>
              <w:b/>
              <w:bCs/>
              <w:sz w:val="24"/>
              <w:szCs w:val="24"/>
            </w:rPr>
            <w:t xml:space="preserve"> </w:t>
          </w:r>
          <w:r>
            <w:rPr>
              <w:rFonts w:ascii="Times New Roman" w:hAnsi="Times New Roman"/>
              <w:sz w:val="24"/>
              <w:szCs w:val="24"/>
            </w:rPr>
            <w:t>NA</w:t>
          </w:r>
        </w:p>
        <w:p w14:paraId="66288292" w14:textId="77777777" w:rsidR="00274429" w:rsidRDefault="00274429" w:rsidP="00274429">
          <w:pPr>
            <w:jc w:val="both"/>
            <w:rPr>
              <w:rFonts w:ascii="Times New Roman" w:hAnsi="Times New Roman"/>
              <w:b/>
              <w:bCs/>
              <w:sz w:val="24"/>
              <w:szCs w:val="24"/>
            </w:rPr>
          </w:pPr>
          <w:r>
            <w:rPr>
              <w:rFonts w:ascii="Times New Roman" w:hAnsi="Times New Roman"/>
              <w:b/>
              <w:bCs/>
              <w:sz w:val="24"/>
              <w:szCs w:val="24"/>
            </w:rPr>
            <w:t>Retribución al Concesionario</w:t>
          </w:r>
        </w:p>
        <w:p w14:paraId="3B25F720" w14:textId="5A93B034" w:rsidR="00274429" w:rsidRPr="006E7CD0" w:rsidRDefault="00274429" w:rsidP="00274429">
          <w:pPr>
            <w:jc w:val="both"/>
            <w:rPr>
              <w:rStyle w:val="Estilo3"/>
            </w:rPr>
          </w:pPr>
          <w:r w:rsidRPr="009A46BB">
            <w:rPr>
              <w:rFonts w:ascii="Times New Roman" w:hAnsi="Times New Roman"/>
              <w:b/>
            </w:rPr>
            <w:t xml:space="preserve">Descripción: </w:t>
          </w:r>
          <w:r w:rsidRPr="009A46BB">
            <w:rPr>
              <w:rFonts w:ascii="Times New Roman" w:hAnsi="Times New Roman"/>
            </w:rPr>
            <w:t>Descripción:</w:t>
          </w:r>
          <w:r w:rsidR="5CC19570" w:rsidRPr="10D44305">
            <w:rPr>
              <w:rFonts w:ascii="Times New Roman" w:hAnsi="Times New Roman"/>
            </w:rPr>
            <w:t xml:space="preserve"> </w:t>
          </w:r>
          <w:r w:rsidRPr="009A46BB">
            <w:rPr>
              <w:rFonts w:ascii="Times New Roman" w:hAnsi="Times New Roman"/>
            </w:rPr>
            <w:t>Homologar el permiso de operación portuaria fluvial de los muelles de Zungo y Nueva Colonia, ubicados en los municipios de Carepa y Turbo, sector de Urabá, respectivamente, puertos de servicio público destinados a la comercialización de bananos a la sociedad PROMOTORA DE BANANO S.A. - PROBAN S.A, otorgado por el Ministerio de Transporte, por medio de la Resolución No. 0002426 del 31 de julio de 1998, prestando servicio de transporte a terceros de cargas diferentes al banano y conforme a lo establecido en el artículo 4 del decreto 2079 del 9 de junio de 2010, las actividades se desarrollan en inmuebles de dominio privado</w:t>
          </w:r>
          <w:r w:rsidR="5CC19570" w:rsidRPr="10D44305">
            <w:rPr>
              <w:rFonts w:ascii="Times New Roman" w:hAnsi="Times New Roman"/>
            </w:rPr>
            <w:t xml:space="preserve"> .  </w:t>
          </w:r>
        </w:p>
        <w:p w14:paraId="3A866988" w14:textId="77777777" w:rsidR="00274429" w:rsidRPr="00351837" w:rsidRDefault="00274429" w:rsidP="00274429">
          <w:pPr>
            <w:rPr>
              <w:rFonts w:ascii="Times New Roman" w:hAnsi="Times New Roman"/>
              <w:b/>
              <w:bCs/>
              <w:sz w:val="24"/>
              <w:szCs w:val="24"/>
            </w:rPr>
          </w:pPr>
          <w:r>
            <w:rPr>
              <w:rFonts w:ascii="Times New Roman" w:hAnsi="Times New Roman"/>
              <w:b/>
              <w:bCs/>
              <w:sz w:val="24"/>
              <w:szCs w:val="24"/>
            </w:rPr>
            <w:t xml:space="preserve">Tasa de retribución: </w:t>
          </w:r>
          <w:r w:rsidRPr="10D44305">
            <w:rPr>
              <w:rFonts w:ascii="Times New Roman" w:hAnsi="Times New Roman"/>
              <w:sz w:val="24"/>
              <w:szCs w:val="24"/>
            </w:rPr>
            <w:t>NA</w:t>
          </w:r>
        </w:p>
        <w:p w14:paraId="518B5741" w14:textId="77777777" w:rsidR="00274429" w:rsidRPr="00421699" w:rsidRDefault="00274429" w:rsidP="00E60BAB">
          <w:pPr>
            <w:pStyle w:val="Prrafodelista"/>
            <w:numPr>
              <w:ilvl w:val="0"/>
              <w:numId w:val="135"/>
            </w:numPr>
            <w:spacing w:line="259" w:lineRule="auto"/>
            <w:jc w:val="both"/>
            <w:rPr>
              <w:rFonts w:ascii="Times New Roman" w:hAnsi="Times New Roman"/>
              <w:b/>
              <w:bCs/>
              <w:sz w:val="24"/>
              <w:szCs w:val="24"/>
            </w:rPr>
          </w:pPr>
          <w:r w:rsidRPr="00421699">
            <w:rPr>
              <w:rFonts w:ascii="Times New Roman" w:hAnsi="Times New Roman"/>
              <w:b/>
              <w:bCs/>
              <w:sz w:val="24"/>
              <w:szCs w:val="24"/>
            </w:rPr>
            <w:lastRenderedPageBreak/>
            <w:t>Derechos a recibir activos especificados al final del acuerdo de concesión</w:t>
          </w:r>
        </w:p>
        <w:p w14:paraId="699F3213" w14:textId="77777777" w:rsidR="00274429" w:rsidRDefault="00274429" w:rsidP="00274429">
          <w:pPr>
            <w:jc w:val="both"/>
            <w:rPr>
              <w:rStyle w:val="Estilo3"/>
            </w:rPr>
          </w:pPr>
          <w:r w:rsidRPr="009A46BB">
            <w:rPr>
              <w:rFonts w:ascii="Times New Roman" w:hAnsi="Times New Roman"/>
              <w:b/>
            </w:rPr>
            <w:t xml:space="preserve">Descripción: </w:t>
          </w:r>
          <w:sdt>
            <w:sdtPr>
              <w:rPr>
                <w:rStyle w:val="Estilo3"/>
              </w:rPr>
              <w:id w:val="1616552943"/>
              <w:placeholder>
                <w:docPart w:val="F6E3A63943D54C4B9EBC63B5710796BF"/>
              </w:placeholder>
            </w:sdtPr>
            <w:sdtContent>
              <w:r w:rsidRPr="009A46BB">
                <w:rPr>
                  <w:rFonts w:ascii="Times New Roman" w:hAnsi="Times New Roman"/>
                </w:rPr>
                <w:t>De acuerdo con el Artículo 8º de la Ley 1 de 1991 en el modo portuario el concesionario no tiene derechos finales sobre activos los debe revertir a la Nación al final del contrato de concesión. Para el caso de PROBAN S.A. no hay activos para revertir a la nación</w:t>
              </w:r>
            </w:sdtContent>
          </w:sdt>
        </w:p>
        <w:p w14:paraId="1B50FE76" w14:textId="77777777" w:rsidR="00274429" w:rsidRPr="009A46BB" w:rsidRDefault="00274429" w:rsidP="00274429">
          <w:pPr>
            <w:rPr>
              <w:rFonts w:ascii="Times New Roman" w:hAnsi="Times New Roman"/>
            </w:rPr>
          </w:pPr>
          <w:r w:rsidRPr="006D56DF">
            <w:rPr>
              <w:rFonts w:ascii="Times New Roman" w:hAnsi="Times New Roman"/>
              <w:b/>
              <w:bCs/>
              <w:sz w:val="24"/>
              <w:szCs w:val="24"/>
            </w:rPr>
            <w:t>Observaciones:</w:t>
          </w:r>
          <w:r w:rsidRPr="009A46BB">
            <w:rPr>
              <w:rFonts w:ascii="Times New Roman" w:hAnsi="Times New Roman"/>
            </w:rPr>
            <w:t xml:space="preserve"> NA</w:t>
          </w:r>
        </w:p>
        <w:p w14:paraId="0D3EBC81" w14:textId="1DF2E4BF" w:rsidR="00274429" w:rsidRPr="00200C93" w:rsidRDefault="18BE7E1F" w:rsidP="00E60BAB">
          <w:pPr>
            <w:pStyle w:val="Prrafodelista"/>
            <w:numPr>
              <w:ilvl w:val="0"/>
              <w:numId w:val="135"/>
            </w:numPr>
            <w:spacing w:line="259" w:lineRule="auto"/>
            <w:rPr>
              <w:rFonts w:ascii="Times New Roman" w:hAnsi="Times New Roman"/>
              <w:b/>
              <w:bCs/>
              <w:sz w:val="24"/>
              <w:szCs w:val="24"/>
            </w:rPr>
          </w:pPr>
          <w:r w:rsidRPr="10D44305">
            <w:rPr>
              <w:rFonts w:ascii="Times New Roman" w:hAnsi="Times New Roman"/>
              <w:b/>
              <w:bCs/>
              <w:sz w:val="24"/>
              <w:szCs w:val="24"/>
            </w:rPr>
            <w:t>No hay c</w:t>
          </w:r>
          <w:r w:rsidR="00274429" w:rsidRPr="10D44305">
            <w:rPr>
              <w:rFonts w:ascii="Times New Roman" w:hAnsi="Times New Roman"/>
              <w:b/>
              <w:bCs/>
              <w:sz w:val="24"/>
              <w:szCs w:val="24"/>
            </w:rPr>
            <w:t>ambios</w:t>
          </w:r>
          <w:r w:rsidR="00274429" w:rsidRPr="00464F7C">
            <w:rPr>
              <w:rFonts w:ascii="Times New Roman" w:hAnsi="Times New Roman"/>
              <w:b/>
              <w:bCs/>
              <w:sz w:val="24"/>
              <w:szCs w:val="24"/>
            </w:rPr>
            <w:t xml:space="preserve"> en el acuerdo de concesión que se realicen durante el periodo fiscal </w:t>
          </w:r>
        </w:p>
        <w:p w14:paraId="3AD246DA" w14:textId="77777777" w:rsidR="00274429" w:rsidRPr="00200C93" w:rsidRDefault="00274429" w:rsidP="00274429">
          <w:pPr>
            <w:pStyle w:val="Prrafodelista"/>
            <w:ind w:left="1080"/>
            <w:rPr>
              <w:rFonts w:ascii="Times New Roman" w:hAnsi="Times New Roman"/>
              <w:b/>
              <w:bCs/>
              <w:sz w:val="24"/>
              <w:szCs w:val="24"/>
            </w:rPr>
          </w:pPr>
        </w:p>
        <w:p w14:paraId="3CD9F0CA" w14:textId="77777777" w:rsidR="00274429" w:rsidRPr="00197A12" w:rsidRDefault="00274429" w:rsidP="00274429">
          <w:pPr>
            <w:spacing w:after="0" w:line="240" w:lineRule="auto"/>
            <w:jc w:val="both"/>
            <w:rPr>
              <w:rFonts w:ascii="Times New Roman" w:hAnsi="Times New Roman"/>
              <w:b/>
              <w:bCs/>
              <w:sz w:val="24"/>
              <w:szCs w:val="24"/>
            </w:rPr>
          </w:pPr>
        </w:p>
        <w:p w14:paraId="0FF749FB" w14:textId="77777777" w:rsidR="00274429" w:rsidRDefault="00274429" w:rsidP="00274429">
          <w:pPr>
            <w:rPr>
              <w:rFonts w:ascii="Times New Roman" w:hAnsi="Times New Roman"/>
              <w:b/>
              <w:sz w:val="24"/>
              <w:szCs w:val="24"/>
            </w:rPr>
          </w:pPr>
          <w:r w:rsidRPr="10D44305">
            <w:rPr>
              <w:rFonts w:ascii="Times New Roman" w:hAnsi="Times New Roman"/>
              <w:b/>
              <w:bCs/>
              <w:sz w:val="24"/>
              <w:szCs w:val="24"/>
            </w:rPr>
            <w:t>SOCIEDAD PORTUARIA PEDRO MARQUÍNEZ CUERO S.A.</w:t>
          </w:r>
        </w:p>
        <w:p w14:paraId="1210C9A8" w14:textId="41974BCE" w:rsidR="00274429" w:rsidRPr="00331F61" w:rsidRDefault="0DD746EF" w:rsidP="10D44305">
          <w:pPr>
            <w:spacing w:after="0" w:line="259" w:lineRule="auto"/>
            <w:rPr>
              <w:rFonts w:ascii="Times New Roman" w:hAnsi="Times New Roman"/>
              <w:b/>
              <w:bCs/>
              <w:sz w:val="24"/>
              <w:szCs w:val="24"/>
            </w:rPr>
          </w:pPr>
          <w:r w:rsidRPr="10D44305">
            <w:rPr>
              <w:rFonts w:ascii="Times New Roman" w:hAnsi="Times New Roman"/>
              <w:b/>
              <w:bCs/>
              <w:sz w:val="24"/>
              <w:szCs w:val="24"/>
            </w:rPr>
            <w:t xml:space="preserve">a. </w:t>
          </w:r>
          <w:r w:rsidR="00274429" w:rsidRPr="00747C2B">
            <w:rPr>
              <w:rFonts w:ascii="Times New Roman" w:hAnsi="Times New Roman"/>
              <w:b/>
              <w:bCs/>
              <w:sz w:val="24"/>
              <w:szCs w:val="24"/>
            </w:rPr>
            <w:t>Descripción del acuerdo</w:t>
          </w:r>
        </w:p>
        <w:p w14:paraId="05C4E149" w14:textId="354E34DA" w:rsidR="00274429" w:rsidRDefault="00274429" w:rsidP="10D44305">
          <w:pPr>
            <w:spacing w:after="0" w:line="259" w:lineRule="auto"/>
            <w:rPr>
              <w:rFonts w:ascii="Times New Roman" w:hAnsi="Times New Roman"/>
              <w:b/>
              <w:bCs/>
              <w:sz w:val="24"/>
              <w:szCs w:val="24"/>
            </w:rPr>
          </w:pPr>
          <w:r w:rsidRPr="00191CDC">
            <w:rPr>
              <w:rFonts w:ascii="Times New Roman" w:hAnsi="Times New Roman"/>
              <w:b/>
              <w:bCs/>
              <w:sz w:val="24"/>
              <w:szCs w:val="24"/>
            </w:rPr>
            <w:t>Número del acuerdo de concesión:</w:t>
          </w:r>
          <w:r>
            <w:rPr>
              <w:rFonts w:ascii="Times New Roman" w:hAnsi="Times New Roman"/>
              <w:b/>
              <w:bCs/>
              <w:sz w:val="24"/>
              <w:szCs w:val="24"/>
            </w:rPr>
            <w:t xml:space="preserve"> </w:t>
          </w:r>
          <w:r w:rsidRPr="001A1DB6">
            <w:rPr>
              <w:rFonts w:ascii="Times New Roman" w:hAnsi="Times New Roman"/>
              <w:sz w:val="24"/>
              <w:szCs w:val="24"/>
            </w:rPr>
            <w:t>Resolución de otorgamiento No. 1493 de 2018</w:t>
          </w:r>
          <w:r>
            <w:rPr>
              <w:rFonts w:ascii="Times New Roman" w:hAnsi="Times New Roman"/>
              <w:sz w:val="24"/>
              <w:szCs w:val="24"/>
            </w:rPr>
            <w:t>.</w:t>
          </w:r>
        </w:p>
        <w:p w14:paraId="35C10767" w14:textId="77777777" w:rsidR="00274429" w:rsidRDefault="00274429" w:rsidP="10D44305">
          <w:pPr>
            <w:spacing w:after="0" w:line="240" w:lineRule="auto"/>
            <w:jc w:val="both"/>
            <w:rPr>
              <w:rFonts w:ascii="Times New Roman" w:hAnsi="Times New Roman"/>
              <w:b/>
              <w:bCs/>
              <w:sz w:val="24"/>
              <w:szCs w:val="24"/>
            </w:rPr>
          </w:pPr>
          <w:r w:rsidRPr="00191CDC">
            <w:rPr>
              <w:rFonts w:ascii="Times New Roman" w:hAnsi="Times New Roman"/>
              <w:b/>
              <w:bCs/>
              <w:sz w:val="24"/>
              <w:szCs w:val="24"/>
            </w:rPr>
            <w:t xml:space="preserve">Objeto / Descripción: </w:t>
          </w:r>
          <w:r w:rsidRPr="006D1337">
            <w:rPr>
              <w:rFonts w:ascii="Times New Roman" w:hAnsi="Times New Roman"/>
              <w:sz w:val="24"/>
              <w:szCs w:val="24"/>
            </w:rPr>
            <w:t>En virtud de la resolución de otorgamiento No. 1493 de 2018, se permite al CONCESIONARIO la rehabilitación y mantenimiento de la infraestructura portuaria existente para la operación, admiración y mantenimiento de la infraestructura portuaria existente para la operación, administración y mantenimiento de un embarcadero marítimo en el Distrito de Buenaventura, para el manejo de carga general representada en madera, cemento y pesca al servicio de la comunidad de Buenaventura, para operar en el muelle ubicado en el estadero de San Antonio del municipio de Buenaventura, Valle del Cauca. Artículo primero de la Resolución.</w:t>
          </w:r>
        </w:p>
        <w:p w14:paraId="184B69E0" w14:textId="77777777" w:rsidR="00274429" w:rsidRDefault="00274429" w:rsidP="10D44305">
          <w:pPr>
            <w:spacing w:after="0" w:afterAutospacing="1" w:line="240" w:lineRule="auto"/>
            <w:jc w:val="both"/>
            <w:rPr>
              <w:rFonts w:ascii="Times New Roman" w:eastAsia="Times New Roman" w:hAnsi="Times New Roman"/>
            </w:rPr>
          </w:pPr>
          <w:r w:rsidRPr="10D44305">
            <w:rPr>
              <w:rFonts w:ascii="Times New Roman" w:hAnsi="Times New Roman"/>
              <w:b/>
              <w:sz w:val="24"/>
              <w:szCs w:val="24"/>
            </w:rPr>
            <w:t>Valor inicial:</w:t>
          </w:r>
          <w:r w:rsidRPr="3545E34D">
            <w:rPr>
              <w:rFonts w:ascii="Times New Roman" w:hAnsi="Times New Roman"/>
              <w:sz w:val="24"/>
              <w:szCs w:val="24"/>
            </w:rPr>
            <w:t xml:space="preserve"> </w:t>
          </w:r>
          <w:r w:rsidRPr="3545E34D">
            <w:rPr>
              <w:rFonts w:ascii="Times New Roman" w:eastAsia="Times New Roman" w:hAnsi="Times New Roman"/>
              <w:sz w:val="24"/>
              <w:szCs w:val="24"/>
            </w:rPr>
            <w:t>CUARENTA Y UN MIL QUINIENTOS CINCUENTA Y DOS DOLARES (USD $41.552) constantes de diciembre de 2017, Artículo Sexto / Resolución de Otorgamiento 1493 de 2018.</w:t>
          </w:r>
        </w:p>
        <w:p w14:paraId="6F2229A0" w14:textId="77777777" w:rsidR="00274429" w:rsidRDefault="00274429" w:rsidP="10D44305">
          <w:pPr>
            <w:spacing w:after="0" w:afterAutospacing="1" w:line="240" w:lineRule="auto"/>
            <w:jc w:val="both"/>
            <w:rPr>
              <w:rFonts w:ascii="Times New Roman" w:hAnsi="Times New Roman"/>
              <w:b/>
              <w:bCs/>
              <w:sz w:val="24"/>
              <w:szCs w:val="24"/>
            </w:rPr>
          </w:pPr>
          <w:r w:rsidRPr="00191CDC">
            <w:rPr>
              <w:rFonts w:ascii="Times New Roman" w:hAnsi="Times New Roman"/>
              <w:b/>
              <w:bCs/>
              <w:sz w:val="24"/>
              <w:szCs w:val="24"/>
            </w:rPr>
            <w:t>Fecha de inicio:</w:t>
          </w:r>
          <w:r>
            <w:rPr>
              <w:rFonts w:ascii="Times New Roman" w:hAnsi="Times New Roman"/>
              <w:b/>
              <w:bCs/>
              <w:sz w:val="24"/>
              <w:szCs w:val="24"/>
            </w:rPr>
            <w:t xml:space="preserve"> </w:t>
          </w:r>
          <w:r w:rsidRPr="00FD74C5">
            <w:rPr>
              <w:rFonts w:ascii="Times New Roman" w:hAnsi="Times New Roman"/>
              <w:sz w:val="24"/>
              <w:szCs w:val="24"/>
            </w:rPr>
            <w:t>24</w:t>
          </w:r>
          <w:r>
            <w:rPr>
              <w:rFonts w:ascii="Times New Roman" w:hAnsi="Times New Roman"/>
              <w:sz w:val="24"/>
              <w:szCs w:val="24"/>
            </w:rPr>
            <w:t>/04/2019</w:t>
          </w:r>
        </w:p>
        <w:p w14:paraId="0279D0C5" w14:textId="77777777" w:rsidR="00274429" w:rsidRDefault="00274429" w:rsidP="10D44305">
          <w:pPr>
            <w:spacing w:after="0" w:line="240" w:lineRule="auto"/>
            <w:jc w:val="both"/>
            <w:rPr>
              <w:rFonts w:ascii="Times New Roman" w:hAnsi="Times New Roman"/>
              <w:b/>
              <w:bCs/>
              <w:sz w:val="24"/>
              <w:szCs w:val="24"/>
            </w:rPr>
          </w:pPr>
          <w:r w:rsidRPr="00191CDC">
            <w:rPr>
              <w:rFonts w:ascii="Times New Roman" w:hAnsi="Times New Roman"/>
              <w:b/>
              <w:bCs/>
              <w:sz w:val="24"/>
              <w:szCs w:val="24"/>
            </w:rPr>
            <w:t>Fecha de finalización estimada:</w:t>
          </w:r>
          <w:r>
            <w:rPr>
              <w:rFonts w:ascii="Times New Roman" w:hAnsi="Times New Roman"/>
              <w:b/>
              <w:bCs/>
              <w:sz w:val="24"/>
              <w:szCs w:val="24"/>
            </w:rPr>
            <w:t xml:space="preserve"> </w:t>
          </w:r>
          <w:r w:rsidRPr="002E4C03">
            <w:rPr>
              <w:rFonts w:ascii="Times New Roman" w:hAnsi="Times New Roman"/>
              <w:sz w:val="24"/>
              <w:szCs w:val="24"/>
            </w:rPr>
            <w:t>23/0</w:t>
          </w:r>
          <w:r>
            <w:rPr>
              <w:rFonts w:ascii="Times New Roman" w:hAnsi="Times New Roman"/>
              <w:sz w:val="24"/>
              <w:szCs w:val="24"/>
            </w:rPr>
            <w:t>4</w:t>
          </w:r>
          <w:r w:rsidRPr="002E4C03">
            <w:rPr>
              <w:rFonts w:ascii="Times New Roman" w:hAnsi="Times New Roman"/>
              <w:sz w:val="24"/>
              <w:szCs w:val="24"/>
            </w:rPr>
            <w:t>/2021</w:t>
          </w:r>
        </w:p>
        <w:p w14:paraId="4FE9C755" w14:textId="77777777" w:rsidR="00274429" w:rsidRDefault="00274429" w:rsidP="10D44305">
          <w:pPr>
            <w:spacing w:after="0" w:line="240" w:lineRule="auto"/>
            <w:jc w:val="both"/>
            <w:rPr>
              <w:rFonts w:ascii="Times New Roman" w:hAnsi="Times New Roman"/>
              <w:b/>
              <w:bCs/>
              <w:sz w:val="24"/>
              <w:szCs w:val="24"/>
            </w:rPr>
          </w:pPr>
          <w:r w:rsidRPr="00191CDC">
            <w:rPr>
              <w:rFonts w:ascii="Times New Roman" w:hAnsi="Times New Roman"/>
              <w:b/>
              <w:bCs/>
              <w:sz w:val="24"/>
              <w:szCs w:val="24"/>
            </w:rPr>
            <w:t>Tipo ID:</w:t>
          </w:r>
          <w:r>
            <w:rPr>
              <w:rFonts w:ascii="Times New Roman" w:hAnsi="Times New Roman"/>
              <w:b/>
              <w:bCs/>
              <w:sz w:val="24"/>
              <w:szCs w:val="24"/>
            </w:rPr>
            <w:t xml:space="preserve"> </w:t>
          </w:r>
          <w:r w:rsidRPr="002E4C03">
            <w:rPr>
              <w:rFonts w:ascii="Times New Roman" w:hAnsi="Times New Roman"/>
              <w:sz w:val="24"/>
              <w:szCs w:val="24"/>
            </w:rPr>
            <w:t>NIT</w:t>
          </w:r>
        </w:p>
        <w:p w14:paraId="0E66EA92" w14:textId="77777777" w:rsidR="00274429" w:rsidRDefault="00274429" w:rsidP="10D44305">
          <w:pPr>
            <w:spacing w:after="0" w:line="240" w:lineRule="auto"/>
            <w:jc w:val="both"/>
            <w:rPr>
              <w:rFonts w:ascii="Times New Roman" w:hAnsi="Times New Roman"/>
              <w:b/>
              <w:bCs/>
              <w:sz w:val="24"/>
              <w:szCs w:val="24"/>
            </w:rPr>
          </w:pPr>
          <w:r w:rsidRPr="00191CDC">
            <w:rPr>
              <w:rFonts w:ascii="Times New Roman" w:hAnsi="Times New Roman"/>
              <w:b/>
              <w:bCs/>
              <w:sz w:val="24"/>
              <w:szCs w:val="24"/>
            </w:rPr>
            <w:t>Número ID:</w:t>
          </w:r>
          <w:r>
            <w:rPr>
              <w:rFonts w:ascii="Times New Roman" w:hAnsi="Times New Roman"/>
              <w:b/>
              <w:bCs/>
              <w:sz w:val="24"/>
              <w:szCs w:val="24"/>
            </w:rPr>
            <w:t xml:space="preserve"> </w:t>
          </w:r>
          <w:r w:rsidRPr="00803EC0">
            <w:rPr>
              <w:rFonts w:ascii="Times New Roman" w:hAnsi="Times New Roman"/>
              <w:sz w:val="24"/>
              <w:szCs w:val="24"/>
            </w:rPr>
            <w:t>800176971 - 4</w:t>
          </w:r>
        </w:p>
        <w:p w14:paraId="7B2375FF" w14:textId="77777777" w:rsidR="00274429" w:rsidRDefault="00274429" w:rsidP="10D44305">
          <w:pPr>
            <w:spacing w:after="0" w:line="240" w:lineRule="auto"/>
            <w:jc w:val="both"/>
            <w:rPr>
              <w:rFonts w:ascii="Times New Roman" w:hAnsi="Times New Roman"/>
              <w:b/>
              <w:bCs/>
              <w:sz w:val="24"/>
              <w:szCs w:val="24"/>
            </w:rPr>
          </w:pPr>
          <w:r w:rsidRPr="3545E34D">
            <w:rPr>
              <w:rFonts w:ascii="Times New Roman" w:hAnsi="Times New Roman"/>
              <w:b/>
              <w:bCs/>
              <w:sz w:val="24"/>
              <w:szCs w:val="24"/>
            </w:rPr>
            <w:t xml:space="preserve">Razón social del concesionario: </w:t>
          </w:r>
          <w:bookmarkStart w:id="138" w:name="_Hlk159346371"/>
          <w:r w:rsidRPr="3545E34D">
            <w:rPr>
              <w:rFonts w:ascii="Times New Roman" w:hAnsi="Times New Roman"/>
              <w:sz w:val="24"/>
              <w:szCs w:val="24"/>
            </w:rPr>
            <w:t>Sociedad Portuaria Pedro Marquínez Cuero S.A.</w:t>
          </w:r>
          <w:bookmarkEnd w:id="138"/>
        </w:p>
        <w:p w14:paraId="3E59C0F9" w14:textId="77777777" w:rsidR="00274429" w:rsidRPr="00191CDC" w:rsidRDefault="00274429" w:rsidP="10D44305">
          <w:pPr>
            <w:spacing w:after="0" w:line="240" w:lineRule="auto"/>
            <w:jc w:val="both"/>
            <w:rPr>
              <w:rFonts w:ascii="Times New Roman" w:hAnsi="Times New Roman"/>
              <w:b/>
              <w:bCs/>
              <w:sz w:val="24"/>
              <w:szCs w:val="24"/>
            </w:rPr>
          </w:pPr>
          <w:r w:rsidRPr="3545E34D">
            <w:rPr>
              <w:rFonts w:ascii="Times New Roman" w:hAnsi="Times New Roman"/>
              <w:b/>
              <w:bCs/>
              <w:sz w:val="24"/>
              <w:szCs w:val="24"/>
            </w:rPr>
            <w:t xml:space="preserve">Nombre del proyecto: </w:t>
          </w:r>
          <w:r w:rsidRPr="3545E34D">
            <w:rPr>
              <w:rFonts w:ascii="Times New Roman" w:hAnsi="Times New Roman"/>
              <w:sz w:val="24"/>
              <w:szCs w:val="24"/>
            </w:rPr>
            <w:t>Sociedad Portuaria Pedro Marquínez Cuero S.A.</w:t>
          </w:r>
        </w:p>
        <w:p w14:paraId="144CE847" w14:textId="77777777" w:rsidR="00274429" w:rsidRDefault="00274429" w:rsidP="00274429">
          <w:pPr>
            <w:spacing w:after="0" w:line="240" w:lineRule="auto"/>
            <w:ind w:left="720"/>
            <w:jc w:val="both"/>
            <w:rPr>
              <w:rFonts w:ascii="Times New Roman" w:hAnsi="Times New Roman"/>
              <w:sz w:val="24"/>
              <w:szCs w:val="24"/>
            </w:rPr>
          </w:pPr>
        </w:p>
        <w:p w14:paraId="65779AC5" w14:textId="77777777" w:rsidR="00274429" w:rsidRPr="00197A12" w:rsidRDefault="00274429" w:rsidP="00274429">
          <w:pPr>
            <w:spacing w:after="0" w:line="240" w:lineRule="auto"/>
            <w:ind w:left="720"/>
            <w:jc w:val="both"/>
            <w:rPr>
              <w:rFonts w:ascii="Times New Roman" w:hAnsi="Times New Roman"/>
              <w:sz w:val="24"/>
              <w:szCs w:val="24"/>
            </w:rPr>
          </w:pPr>
        </w:p>
        <w:p w14:paraId="38797380" w14:textId="3FCCD622" w:rsidR="00274429" w:rsidRPr="00197A12" w:rsidRDefault="1AFDD2E9" w:rsidP="10D44305">
          <w:pPr>
            <w:spacing w:after="0" w:line="240" w:lineRule="auto"/>
            <w:jc w:val="both"/>
            <w:rPr>
              <w:rFonts w:ascii="Times New Roman" w:hAnsi="Times New Roman"/>
              <w:b/>
            </w:rPr>
          </w:pPr>
          <w:r w:rsidRPr="10D44305">
            <w:rPr>
              <w:rFonts w:ascii="Times New Roman" w:hAnsi="Times New Roman"/>
              <w:b/>
              <w:bCs/>
              <w:sz w:val="24"/>
              <w:szCs w:val="24"/>
            </w:rPr>
            <w:t xml:space="preserve">b. </w:t>
          </w:r>
          <w:r w:rsidR="00274429" w:rsidRPr="00197A12">
            <w:rPr>
              <w:rFonts w:ascii="Times New Roman" w:hAnsi="Times New Roman"/>
              <w:b/>
              <w:bCs/>
              <w:sz w:val="24"/>
              <w:szCs w:val="24"/>
            </w:rPr>
            <w:t>Términos significativos del acuerdo que puedan afectar su valor, el calendario y la certeza de los flujos</w:t>
          </w:r>
        </w:p>
        <w:p w14:paraId="2650B99D" w14:textId="77777777" w:rsidR="00274429" w:rsidRPr="00197A12" w:rsidRDefault="00274429" w:rsidP="00274429">
          <w:pPr>
            <w:pStyle w:val="Prrafodelista"/>
            <w:spacing w:after="0" w:line="240" w:lineRule="auto"/>
            <w:jc w:val="both"/>
            <w:rPr>
              <w:rFonts w:ascii="Times New Roman" w:hAnsi="Times New Roman"/>
              <w:sz w:val="24"/>
              <w:szCs w:val="24"/>
            </w:rPr>
          </w:pPr>
        </w:p>
        <w:p w14:paraId="38990A23" w14:textId="163C95EE" w:rsidR="00274429" w:rsidRDefault="00274429" w:rsidP="10D44305">
          <w:pPr>
            <w:pStyle w:val="Prrafodelista"/>
            <w:spacing w:after="0" w:line="240" w:lineRule="auto"/>
            <w:ind w:left="0"/>
            <w:jc w:val="both"/>
            <w:rPr>
              <w:rFonts w:ascii="Times New Roman" w:eastAsia="Times New Roman" w:hAnsi="Times New Roman"/>
              <w:sz w:val="24"/>
              <w:szCs w:val="24"/>
            </w:rPr>
          </w:pPr>
          <w:r w:rsidRPr="3545E34D">
            <w:rPr>
              <w:rFonts w:ascii="Times New Roman" w:hAnsi="Times New Roman"/>
              <w:b/>
              <w:bCs/>
              <w:sz w:val="24"/>
              <w:szCs w:val="24"/>
            </w:rPr>
            <w:t xml:space="preserve">Términos de valor: </w:t>
          </w:r>
        </w:p>
        <w:p w14:paraId="53C488FF" w14:textId="02EBDA40" w:rsidR="00274429" w:rsidRDefault="00274429" w:rsidP="10D44305">
          <w:pPr>
            <w:pStyle w:val="Prrafodelista"/>
            <w:spacing w:after="0" w:line="240" w:lineRule="auto"/>
            <w:ind w:left="0"/>
            <w:jc w:val="both"/>
            <w:rPr>
              <w:rFonts w:ascii="Times New Roman" w:eastAsia="Times New Roman" w:hAnsi="Times New Roman"/>
              <w:b/>
              <w:sz w:val="24"/>
              <w:szCs w:val="24"/>
            </w:rPr>
          </w:pPr>
        </w:p>
        <w:p w14:paraId="73FF657F" w14:textId="5870EE8A" w:rsidR="00274429" w:rsidRDefault="00274429" w:rsidP="10D44305">
          <w:pPr>
            <w:pStyle w:val="Prrafodelista"/>
            <w:spacing w:after="0" w:line="240" w:lineRule="auto"/>
            <w:ind w:left="0"/>
            <w:jc w:val="both"/>
            <w:rPr>
              <w:rFonts w:ascii="Times New Roman" w:eastAsia="Times New Roman" w:hAnsi="Times New Roman"/>
              <w:sz w:val="24"/>
              <w:szCs w:val="24"/>
            </w:rPr>
          </w:pPr>
          <w:r w:rsidRPr="3545E34D">
            <w:rPr>
              <w:rFonts w:ascii="Times New Roman" w:eastAsia="Times New Roman" w:hAnsi="Times New Roman"/>
              <w:b/>
              <w:bCs/>
              <w:sz w:val="24"/>
              <w:szCs w:val="24"/>
            </w:rPr>
            <w:t>Tarifas:</w:t>
          </w:r>
          <w:r w:rsidRPr="3545E34D">
            <w:rPr>
              <w:rFonts w:ascii="Times New Roman" w:eastAsia="Times New Roman" w:hAnsi="Times New Roman"/>
              <w:sz w:val="24"/>
              <w:szCs w:val="24"/>
            </w:rPr>
            <w:t xml:space="preserve"> Al ser el terminal marítimo de servicio privado la Ley 1 de 1991 establece: </w:t>
          </w:r>
          <w:r>
            <w:tab/>
          </w:r>
        </w:p>
        <w:p w14:paraId="60EA8FD8" w14:textId="522795B1" w:rsidR="10D44305" w:rsidRDefault="10D44305" w:rsidP="10D44305">
          <w:pPr>
            <w:spacing w:after="0" w:line="240" w:lineRule="auto"/>
            <w:jc w:val="both"/>
            <w:rPr>
              <w:rFonts w:ascii="Times New Roman" w:eastAsia="Times New Roman" w:hAnsi="Times New Roman"/>
              <w:sz w:val="24"/>
              <w:szCs w:val="24"/>
            </w:rPr>
          </w:pPr>
        </w:p>
        <w:p w14:paraId="27E5B3B9" w14:textId="2DC755EF" w:rsidR="00274429" w:rsidRDefault="00274429" w:rsidP="10D44305">
          <w:pPr>
            <w:spacing w:after="0" w:line="240" w:lineRule="auto"/>
            <w:jc w:val="both"/>
            <w:rPr>
              <w:rFonts w:ascii="Times New Roman" w:eastAsia="Times New Roman" w:hAnsi="Times New Roman"/>
              <w:b/>
              <w:bCs/>
              <w:sz w:val="24"/>
              <w:szCs w:val="24"/>
            </w:rPr>
          </w:pPr>
          <w:r w:rsidRPr="3545E34D">
            <w:rPr>
              <w:rFonts w:ascii="Times New Roman" w:eastAsia="Times New Roman" w:hAnsi="Times New Roman"/>
              <w:sz w:val="24"/>
              <w:szCs w:val="24"/>
            </w:rPr>
            <w:t>Las sociedades portuarias que operan puertos de servicio privado podrán fijar libremente sus tarifas, pero mantendrán informada sobre ellas a la Superintendencia General de Puertos hoy Superintendencia de Transporte.</w:t>
          </w:r>
        </w:p>
        <w:p w14:paraId="322C79FA" w14:textId="77777777" w:rsidR="00274429" w:rsidRPr="000D061C" w:rsidRDefault="00274429" w:rsidP="00274429">
          <w:pPr>
            <w:spacing w:after="0" w:line="240" w:lineRule="auto"/>
            <w:jc w:val="both"/>
            <w:rPr>
              <w:rFonts w:ascii="Times New Roman" w:eastAsia="Times New Roman" w:hAnsi="Times New Roman"/>
              <w:b/>
              <w:bCs/>
              <w:sz w:val="24"/>
              <w:szCs w:val="24"/>
            </w:rPr>
          </w:pPr>
        </w:p>
        <w:p w14:paraId="6F504761" w14:textId="77777777" w:rsidR="00274429" w:rsidRDefault="00274429" w:rsidP="10D44305">
          <w:pPr>
            <w:spacing w:line="257" w:lineRule="auto"/>
            <w:jc w:val="both"/>
            <w:rPr>
              <w:rFonts w:ascii="Times New Roman" w:eastAsia="Times New Roman" w:hAnsi="Times New Roman"/>
              <w:b/>
              <w:bCs/>
              <w:sz w:val="24"/>
              <w:szCs w:val="24"/>
            </w:rPr>
          </w:pPr>
          <w:r w:rsidRPr="1ECA4E8E">
            <w:rPr>
              <w:rFonts w:ascii="Times New Roman" w:eastAsia="Times New Roman" w:hAnsi="Times New Roman"/>
              <w:b/>
              <w:bCs/>
              <w:sz w:val="24"/>
              <w:szCs w:val="24"/>
            </w:rPr>
            <w:t xml:space="preserve">Contraprestación portuaria: </w:t>
          </w:r>
          <w:r w:rsidRPr="1ECA4E8E">
            <w:rPr>
              <w:rFonts w:ascii="Times New Roman" w:eastAsia="Times New Roman" w:hAnsi="Times New Roman"/>
              <w:sz w:val="24"/>
              <w:szCs w:val="24"/>
            </w:rPr>
            <w:t>De acuerdo con el último documento contractual vigente, la metodología de contraprestación del embarcadero es CONPES 3744 DE 2013 (Componente Fijo). A febrero de 2020 el Concesionario debió pagar la suma de USD 17.554,48 por concepto de contraprestación; el contrato se termina de manera anticipada, y a la fecha se adelanta proceso jurídico para el cobro del saldo pendiente por pagar de la contraprestación de 2020. La Cláusula Sexta, numeral 6.1.1 de la resolución de otorgamiento 1493 de 2018 establece que el CONCESIONARIO del valor a pagar por concepto de zona de uso público, el 80% le corresponde a la Nación Instituto nacional de vías (INVIAS) y el 20% restante al municipio de Buenaventura de acuerdo con lo establecido en el parágrafo 1 del artículo 1 de la ley 856 del 21 de diciembre de 2003, que modifica el artículo 7 de la ley 1ª de 1991. Así mismo, el numeral 6.1.2 de la misma cláusula sexta establece que por el pago por concepto de infraestructura le corresponde el 100% a la Nación - Instituto Nacional de</w:t>
          </w:r>
          <w:r>
            <w:rPr>
              <w:rFonts w:ascii="Times New Roman" w:eastAsia="Times New Roman" w:hAnsi="Times New Roman"/>
              <w:sz w:val="24"/>
              <w:szCs w:val="24"/>
            </w:rPr>
            <w:t xml:space="preserve"> </w:t>
          </w:r>
          <w:r w:rsidRPr="1ECA4E8E">
            <w:rPr>
              <w:rFonts w:ascii="Times New Roman" w:eastAsia="Times New Roman" w:hAnsi="Times New Roman"/>
              <w:sz w:val="24"/>
              <w:szCs w:val="24"/>
            </w:rPr>
            <w:t>Vías (INVIAS) de acuerdo con lo establecido en el artículo 1 de la ley 856 del 21 diciembre de 2003.</w:t>
          </w:r>
        </w:p>
        <w:p w14:paraId="75CF5317" w14:textId="5C60B28C" w:rsidR="00274429" w:rsidRDefault="00274429" w:rsidP="10D44305">
          <w:pPr>
            <w:spacing w:line="257" w:lineRule="auto"/>
            <w:jc w:val="both"/>
            <w:rPr>
              <w:rFonts w:ascii="Times New Roman" w:eastAsia="Times New Roman" w:hAnsi="Times New Roman"/>
              <w:b/>
              <w:bCs/>
              <w:sz w:val="24"/>
              <w:szCs w:val="24"/>
            </w:rPr>
          </w:pPr>
          <w:r w:rsidRPr="3545E34D">
            <w:rPr>
              <w:rFonts w:ascii="Times New Roman" w:eastAsia="Times New Roman" w:hAnsi="Times New Roman"/>
              <w:b/>
              <w:bCs/>
              <w:sz w:val="24"/>
              <w:szCs w:val="24"/>
            </w:rPr>
            <w:t xml:space="preserve">Plan de Inversiones: </w:t>
          </w:r>
          <w:r w:rsidRPr="3545E34D">
            <w:rPr>
              <w:rFonts w:ascii="Times New Roman" w:eastAsia="Times New Roman" w:hAnsi="Times New Roman"/>
              <w:sz w:val="24"/>
              <w:szCs w:val="24"/>
            </w:rPr>
            <w:t xml:space="preserve">Está establecido en el Artículo Cuarto de la resolución de </w:t>
          </w:r>
          <w:r>
            <w:tab/>
          </w:r>
          <w:r w:rsidRPr="3545E34D">
            <w:rPr>
              <w:rFonts w:ascii="Times New Roman" w:eastAsia="Times New Roman" w:hAnsi="Times New Roman"/>
              <w:sz w:val="24"/>
              <w:szCs w:val="24"/>
            </w:rPr>
            <w:t>otorgamiento 1493 de 2018, el plan de inversión será de SESENTA Y SEIS MILLONES TRESCIENTOS SETENTA Y NUEVE MIL QUINIENTOS VEINTE PESOS ($66.379.520,oo), constantes de diciembre de 2017.</w:t>
          </w:r>
        </w:p>
        <w:p w14:paraId="2DB38720" w14:textId="1CC1F819" w:rsidR="00274429" w:rsidRPr="009A46BB" w:rsidRDefault="00274429" w:rsidP="00274429">
          <w:pPr>
            <w:spacing w:line="257" w:lineRule="auto"/>
            <w:jc w:val="both"/>
            <w:rPr>
              <w:rFonts w:ascii="Times New Roman" w:hAnsi="Times New Roman"/>
            </w:rPr>
          </w:pPr>
          <w:r w:rsidRPr="3545E34D">
            <w:rPr>
              <w:rFonts w:ascii="Times New Roman" w:eastAsia="Times New Roman" w:hAnsi="Times New Roman"/>
              <w:sz w:val="24"/>
              <w:szCs w:val="24"/>
            </w:rPr>
            <w:t xml:space="preserve"> </w:t>
          </w:r>
          <w:r w:rsidRPr="3545E34D">
            <w:rPr>
              <w:rFonts w:ascii="Times New Roman" w:eastAsia="Times New Roman" w:hAnsi="Times New Roman"/>
              <w:b/>
              <w:bCs/>
              <w:sz w:val="24"/>
              <w:szCs w:val="24"/>
            </w:rPr>
            <w:t>Obligaciones del CONCESIONARIO:</w:t>
          </w:r>
          <w:r w:rsidRPr="3545E34D">
            <w:rPr>
              <w:rFonts w:ascii="Times New Roman" w:eastAsia="Times New Roman" w:hAnsi="Times New Roman"/>
              <w:sz w:val="24"/>
              <w:szCs w:val="24"/>
            </w:rPr>
            <w:t xml:space="preserve"> se encuentran descritas en el Artículo Octavo </w:t>
          </w:r>
          <w:r>
            <w:tab/>
          </w:r>
          <w:r w:rsidRPr="3545E34D">
            <w:rPr>
              <w:rFonts w:ascii="Times New Roman" w:eastAsia="Times New Roman" w:hAnsi="Times New Roman"/>
              <w:sz w:val="24"/>
              <w:szCs w:val="24"/>
            </w:rPr>
            <w:t xml:space="preserve">de la resolución de otorgamiento 1493 de 2018. </w:t>
          </w:r>
        </w:p>
        <w:p w14:paraId="5B53B482" w14:textId="77777777" w:rsidR="00274429" w:rsidRPr="009A46BB" w:rsidRDefault="00274429" w:rsidP="10D44305">
          <w:pPr>
            <w:spacing w:line="257" w:lineRule="auto"/>
            <w:jc w:val="both"/>
            <w:rPr>
              <w:rFonts w:ascii="Times New Roman" w:hAnsi="Times New Roman"/>
            </w:rPr>
          </w:pPr>
          <w:r w:rsidRPr="3545E34D">
            <w:rPr>
              <w:rFonts w:ascii="Times New Roman" w:eastAsia="Times New Roman" w:hAnsi="Times New Roman"/>
              <w:b/>
              <w:bCs/>
              <w:sz w:val="24"/>
              <w:szCs w:val="24"/>
            </w:rPr>
            <w:t>Multas y sanciones:</w:t>
          </w:r>
          <w:r w:rsidRPr="3545E34D">
            <w:rPr>
              <w:rFonts w:ascii="Times New Roman" w:eastAsia="Times New Roman" w:hAnsi="Times New Roman"/>
              <w:sz w:val="24"/>
              <w:szCs w:val="24"/>
            </w:rPr>
            <w:t xml:space="preserve"> están establecidas en el Artículo Décimo de la resolución de </w:t>
          </w:r>
          <w:r>
            <w:tab/>
          </w:r>
          <w:r w:rsidRPr="3545E34D">
            <w:rPr>
              <w:rFonts w:ascii="Times New Roman" w:eastAsia="Times New Roman" w:hAnsi="Times New Roman"/>
              <w:sz w:val="24"/>
              <w:szCs w:val="24"/>
            </w:rPr>
            <w:t>otorgamiento 1493 de 2018.</w:t>
          </w:r>
        </w:p>
        <w:p w14:paraId="3540CFEB" w14:textId="77777777" w:rsidR="00274429" w:rsidRPr="009A46BB" w:rsidRDefault="00274429" w:rsidP="10D44305">
          <w:pPr>
            <w:spacing w:line="257" w:lineRule="auto"/>
            <w:jc w:val="both"/>
            <w:rPr>
              <w:rFonts w:ascii="Times New Roman" w:hAnsi="Times New Roman"/>
            </w:rPr>
          </w:pPr>
          <w:r w:rsidRPr="3545E34D">
            <w:rPr>
              <w:rFonts w:ascii="Times New Roman" w:eastAsia="Times New Roman" w:hAnsi="Times New Roman"/>
              <w:b/>
              <w:bCs/>
              <w:sz w:val="24"/>
              <w:szCs w:val="24"/>
            </w:rPr>
            <w:t>Penal Pecuniaria:</w:t>
          </w:r>
          <w:r w:rsidRPr="3545E34D">
            <w:rPr>
              <w:rFonts w:ascii="Times New Roman" w:eastAsia="Times New Roman" w:hAnsi="Times New Roman"/>
              <w:sz w:val="24"/>
              <w:szCs w:val="24"/>
            </w:rPr>
            <w:t xml:space="preserve"> La resolución de otorgamiento 1493 de 2018 no establece cláusula </w:t>
          </w:r>
          <w:r>
            <w:tab/>
          </w:r>
          <w:r w:rsidRPr="3545E34D">
            <w:rPr>
              <w:rFonts w:ascii="Times New Roman" w:eastAsia="Times New Roman" w:hAnsi="Times New Roman"/>
              <w:sz w:val="24"/>
              <w:szCs w:val="24"/>
            </w:rPr>
            <w:t>penal.</w:t>
          </w:r>
        </w:p>
        <w:p w14:paraId="12754B68" w14:textId="77777777" w:rsidR="00274429" w:rsidRPr="00197A12" w:rsidRDefault="00274429" w:rsidP="10D44305">
          <w:pPr>
            <w:pStyle w:val="Prrafodelista"/>
            <w:spacing w:after="0" w:line="240" w:lineRule="auto"/>
            <w:ind w:left="0"/>
            <w:jc w:val="both"/>
            <w:rPr>
              <w:rFonts w:ascii="Times New Roman" w:hAnsi="Times New Roman"/>
              <w:b/>
              <w:bCs/>
              <w:sz w:val="24"/>
              <w:szCs w:val="24"/>
            </w:rPr>
          </w:pPr>
          <w:r w:rsidRPr="3545E34D">
            <w:rPr>
              <w:rFonts w:ascii="Times New Roman" w:hAnsi="Times New Roman"/>
              <w:b/>
              <w:bCs/>
              <w:sz w:val="24"/>
              <w:szCs w:val="24"/>
            </w:rPr>
            <w:t>Términos de Calendario:</w:t>
          </w:r>
        </w:p>
        <w:p w14:paraId="38DA90E0" w14:textId="77777777" w:rsidR="00274429" w:rsidRDefault="00274429" w:rsidP="00274429">
          <w:pPr>
            <w:pStyle w:val="Prrafodelista"/>
            <w:spacing w:after="0" w:line="240" w:lineRule="auto"/>
            <w:jc w:val="both"/>
            <w:rPr>
              <w:rFonts w:ascii="Times New Roman" w:hAnsi="Times New Roman"/>
            </w:rPr>
          </w:pPr>
        </w:p>
        <w:p w14:paraId="33F4AEC7" w14:textId="77777777" w:rsidR="00274429" w:rsidRPr="009A46BB" w:rsidRDefault="00274429" w:rsidP="10D44305">
          <w:pPr>
            <w:spacing w:line="257" w:lineRule="auto"/>
            <w:jc w:val="both"/>
            <w:rPr>
              <w:rFonts w:ascii="Times New Roman" w:hAnsi="Times New Roman"/>
            </w:rPr>
          </w:pPr>
          <w:r w:rsidRPr="3545E34D">
            <w:rPr>
              <w:rFonts w:ascii="Times New Roman" w:eastAsia="Times New Roman" w:hAnsi="Times New Roman"/>
              <w:b/>
              <w:bCs/>
              <w:sz w:val="24"/>
              <w:szCs w:val="24"/>
            </w:rPr>
            <w:t>Tarifas:</w:t>
          </w:r>
          <w:r w:rsidRPr="3545E34D">
            <w:rPr>
              <w:rFonts w:ascii="Times New Roman" w:eastAsia="Times New Roman" w:hAnsi="Times New Roman"/>
              <w:sz w:val="24"/>
              <w:szCs w:val="24"/>
            </w:rPr>
            <w:t xml:space="preserve"> Aprobadas según la metodología establecida por la Superintendencia General </w:t>
          </w:r>
          <w:r>
            <w:tab/>
          </w:r>
          <w:r w:rsidRPr="3545E34D">
            <w:rPr>
              <w:rFonts w:ascii="Times New Roman" w:eastAsia="Times New Roman" w:hAnsi="Times New Roman"/>
              <w:sz w:val="24"/>
              <w:szCs w:val="24"/>
            </w:rPr>
            <w:t>de Puertos hoy Superintendencia de Transporte.</w:t>
          </w:r>
        </w:p>
        <w:p w14:paraId="4CE1D41F" w14:textId="310DC7ED" w:rsidR="00274429" w:rsidRPr="009A46BB" w:rsidRDefault="00274429" w:rsidP="00274429">
          <w:pPr>
            <w:spacing w:line="257" w:lineRule="auto"/>
            <w:jc w:val="both"/>
            <w:rPr>
              <w:rFonts w:ascii="Times New Roman" w:hAnsi="Times New Roman"/>
            </w:rPr>
          </w:pPr>
          <w:r w:rsidRPr="3545E34D">
            <w:rPr>
              <w:rFonts w:ascii="Times New Roman" w:eastAsia="Times New Roman" w:hAnsi="Times New Roman"/>
              <w:sz w:val="24"/>
              <w:szCs w:val="24"/>
            </w:rPr>
            <w:t xml:space="preserve"> </w:t>
          </w:r>
          <w:r w:rsidRPr="3545E34D">
            <w:rPr>
              <w:rFonts w:ascii="Times New Roman" w:eastAsia="Times New Roman" w:hAnsi="Times New Roman"/>
              <w:b/>
              <w:bCs/>
              <w:sz w:val="24"/>
              <w:szCs w:val="24"/>
            </w:rPr>
            <w:t>Contraprestación portuaria:</w:t>
          </w:r>
          <w:r w:rsidRPr="3545E34D">
            <w:rPr>
              <w:rFonts w:ascii="Times New Roman" w:eastAsia="Times New Roman" w:hAnsi="Times New Roman"/>
              <w:sz w:val="24"/>
              <w:szCs w:val="24"/>
            </w:rPr>
            <w:t xml:space="preserve"> la contraprestación se debe pagar de manera anual </w:t>
          </w:r>
          <w:r>
            <w:tab/>
          </w:r>
          <w:r w:rsidRPr="3545E34D">
            <w:rPr>
              <w:rFonts w:ascii="Times New Roman" w:eastAsia="Times New Roman" w:hAnsi="Times New Roman"/>
              <w:sz w:val="24"/>
              <w:szCs w:val="24"/>
            </w:rPr>
            <w:t>anticipada desde el mes de febrero de cada año</w:t>
          </w:r>
        </w:p>
        <w:p w14:paraId="0E937C36" w14:textId="0BDDF536" w:rsidR="00274429" w:rsidRPr="009A46BB" w:rsidRDefault="00274429" w:rsidP="10D44305">
          <w:pPr>
            <w:spacing w:line="257" w:lineRule="auto"/>
            <w:jc w:val="both"/>
            <w:rPr>
              <w:rFonts w:ascii="Times New Roman" w:hAnsi="Times New Roman"/>
            </w:rPr>
          </w:pPr>
          <w:r w:rsidRPr="3545E34D">
            <w:rPr>
              <w:rFonts w:ascii="Times New Roman" w:eastAsia="Times New Roman" w:hAnsi="Times New Roman"/>
              <w:b/>
              <w:bCs/>
              <w:sz w:val="24"/>
              <w:szCs w:val="24"/>
            </w:rPr>
            <w:t>Plan de inversiones:</w:t>
          </w:r>
          <w:r w:rsidRPr="3545E34D">
            <w:rPr>
              <w:rFonts w:ascii="Times New Roman" w:eastAsia="Times New Roman" w:hAnsi="Times New Roman"/>
              <w:sz w:val="24"/>
              <w:szCs w:val="24"/>
            </w:rPr>
            <w:t xml:space="preserve"> Se estableció en el Artículo Cuarto de la resolución de otorgamiento 1493 de 2018, cuya ejecución de inversiones deberá realizarse en</w:t>
          </w:r>
          <w:r>
            <w:rPr>
              <w:rFonts w:ascii="Times New Roman" w:eastAsia="Times New Roman" w:hAnsi="Times New Roman"/>
              <w:sz w:val="24"/>
              <w:szCs w:val="24"/>
            </w:rPr>
            <w:t xml:space="preserve"> </w:t>
          </w:r>
          <w:r w:rsidRPr="3545E34D">
            <w:rPr>
              <w:rFonts w:ascii="Times New Roman" w:eastAsia="Times New Roman" w:hAnsi="Times New Roman"/>
              <w:sz w:val="24"/>
              <w:szCs w:val="24"/>
            </w:rPr>
            <w:t>un plazo</w:t>
          </w:r>
          <w:r>
            <w:rPr>
              <w:rFonts w:ascii="Times New Roman" w:eastAsia="Times New Roman" w:hAnsi="Times New Roman"/>
              <w:sz w:val="24"/>
              <w:szCs w:val="24"/>
            </w:rPr>
            <w:t xml:space="preserve"> </w:t>
          </w:r>
          <w:r w:rsidRPr="3545E34D">
            <w:rPr>
              <w:rFonts w:ascii="Times New Roman" w:eastAsia="Times New Roman" w:hAnsi="Times New Roman"/>
              <w:sz w:val="24"/>
              <w:szCs w:val="24"/>
            </w:rPr>
            <w:t>de nueve (9) semanas.</w:t>
          </w:r>
        </w:p>
        <w:p w14:paraId="4B10DA04" w14:textId="4AB4E3A7" w:rsidR="00274429" w:rsidRPr="009A46BB" w:rsidRDefault="00274429" w:rsidP="00274429">
          <w:pPr>
            <w:spacing w:line="257" w:lineRule="auto"/>
            <w:jc w:val="both"/>
            <w:rPr>
              <w:rFonts w:ascii="Times New Roman" w:hAnsi="Times New Roman"/>
            </w:rPr>
          </w:pPr>
          <w:r w:rsidRPr="3545E34D">
            <w:rPr>
              <w:rFonts w:ascii="Times New Roman" w:eastAsia="Times New Roman" w:hAnsi="Times New Roman"/>
              <w:sz w:val="24"/>
              <w:szCs w:val="24"/>
            </w:rPr>
            <w:t xml:space="preserve"> </w:t>
          </w:r>
          <w:r w:rsidRPr="3545E34D">
            <w:rPr>
              <w:rFonts w:ascii="Times New Roman" w:eastAsia="Times New Roman" w:hAnsi="Times New Roman"/>
              <w:b/>
              <w:bCs/>
              <w:sz w:val="24"/>
              <w:szCs w:val="24"/>
            </w:rPr>
            <w:t>Multas:</w:t>
          </w:r>
          <w:r w:rsidRPr="3545E34D">
            <w:rPr>
              <w:rFonts w:ascii="Times New Roman" w:eastAsia="Times New Roman" w:hAnsi="Times New Roman"/>
              <w:sz w:val="24"/>
              <w:szCs w:val="24"/>
            </w:rPr>
            <w:t xml:space="preserve"> Artículo Décimo de la resolución de otorgamiento 1493 de 2018.</w:t>
          </w:r>
        </w:p>
        <w:p w14:paraId="6088A058" w14:textId="77777777" w:rsidR="00274429" w:rsidRDefault="00274429" w:rsidP="00274429">
          <w:pPr>
            <w:pStyle w:val="Prrafodelista"/>
            <w:spacing w:after="0" w:line="240" w:lineRule="auto"/>
            <w:jc w:val="both"/>
            <w:rPr>
              <w:rFonts w:ascii="Times New Roman" w:hAnsi="Times New Roman"/>
            </w:rPr>
          </w:pPr>
        </w:p>
        <w:p w14:paraId="747C4873" w14:textId="77777777" w:rsidR="00274429" w:rsidRPr="00197A12" w:rsidRDefault="00274429" w:rsidP="10D44305">
          <w:pPr>
            <w:pStyle w:val="Prrafodelista"/>
            <w:spacing w:after="0" w:line="240" w:lineRule="auto"/>
            <w:ind w:left="0"/>
            <w:jc w:val="both"/>
            <w:rPr>
              <w:rFonts w:ascii="Times New Roman" w:hAnsi="Times New Roman"/>
              <w:b/>
              <w:bCs/>
              <w:sz w:val="24"/>
              <w:szCs w:val="24"/>
            </w:rPr>
          </w:pPr>
          <w:r w:rsidRPr="3545E34D">
            <w:rPr>
              <w:rFonts w:ascii="Times New Roman" w:hAnsi="Times New Roman"/>
              <w:b/>
              <w:bCs/>
              <w:sz w:val="24"/>
              <w:szCs w:val="24"/>
            </w:rPr>
            <w:t>Términos de certeza de flujos de efectivo futuros:</w:t>
          </w:r>
        </w:p>
        <w:p w14:paraId="5EF466FA" w14:textId="77777777" w:rsidR="00274429" w:rsidRPr="00197A12" w:rsidRDefault="00274429" w:rsidP="00274429">
          <w:pPr>
            <w:spacing w:after="0" w:line="240" w:lineRule="auto"/>
            <w:jc w:val="both"/>
            <w:rPr>
              <w:rFonts w:ascii="Times New Roman" w:hAnsi="Times New Roman"/>
              <w:sz w:val="24"/>
              <w:szCs w:val="24"/>
            </w:rPr>
          </w:pPr>
        </w:p>
        <w:p w14:paraId="611F60C1" w14:textId="77777777" w:rsidR="00274429" w:rsidRPr="009A46BB" w:rsidRDefault="00274429" w:rsidP="10D44305">
          <w:pPr>
            <w:spacing w:line="257" w:lineRule="auto"/>
            <w:jc w:val="both"/>
            <w:rPr>
              <w:rFonts w:ascii="Times New Roman" w:hAnsi="Times New Roman"/>
            </w:rPr>
          </w:pPr>
          <w:r w:rsidRPr="3545E34D">
            <w:rPr>
              <w:rFonts w:ascii="Times New Roman" w:eastAsia="Times New Roman" w:hAnsi="Times New Roman"/>
              <w:sz w:val="24"/>
              <w:szCs w:val="24"/>
            </w:rPr>
            <w:t xml:space="preserve">Otorgar a la Sociedad Portuaria Pedro Marquínez Cuero para la rehabilitación y </w:t>
          </w:r>
          <w:r>
            <w:tab/>
          </w:r>
          <w:r w:rsidRPr="3545E34D">
            <w:rPr>
              <w:rFonts w:ascii="Times New Roman" w:eastAsia="Times New Roman" w:hAnsi="Times New Roman"/>
              <w:sz w:val="24"/>
              <w:szCs w:val="24"/>
            </w:rPr>
            <w:t xml:space="preserve">mantenimiento de la infraestructura portuaria existente para la operación, </w:t>
          </w:r>
          <w:r>
            <w:lastRenderedPageBreak/>
            <w:tab/>
          </w:r>
          <w:r w:rsidRPr="3545E34D">
            <w:rPr>
              <w:rFonts w:ascii="Times New Roman" w:eastAsia="Times New Roman" w:hAnsi="Times New Roman"/>
              <w:sz w:val="24"/>
              <w:szCs w:val="24"/>
            </w:rPr>
            <w:t xml:space="preserve">mantenimiento y administración de un embarcadero marítimo en el municipio de </w:t>
          </w:r>
          <w:r>
            <w:tab/>
          </w:r>
          <w:r w:rsidRPr="3545E34D">
            <w:rPr>
              <w:rFonts w:ascii="Times New Roman" w:eastAsia="Times New Roman" w:hAnsi="Times New Roman"/>
              <w:sz w:val="24"/>
              <w:szCs w:val="24"/>
            </w:rPr>
            <w:t>Buenaventura a cambio del pago de una contraprestación económica.</w:t>
          </w:r>
        </w:p>
        <w:p w14:paraId="0BCFC773" w14:textId="07A1ABB1" w:rsidR="00274429" w:rsidRDefault="00274429" w:rsidP="00274429">
          <w:pPr>
            <w:spacing w:line="257" w:lineRule="auto"/>
            <w:jc w:val="both"/>
            <w:rPr>
              <w:rFonts w:ascii="Times New Roman" w:eastAsia="Times New Roman" w:hAnsi="Times New Roman"/>
              <w:sz w:val="24"/>
              <w:szCs w:val="24"/>
            </w:rPr>
          </w:pPr>
          <w:r w:rsidRPr="3545E34D">
            <w:rPr>
              <w:rFonts w:ascii="Times New Roman" w:eastAsia="Times New Roman" w:hAnsi="Times New Roman"/>
              <w:sz w:val="24"/>
              <w:szCs w:val="24"/>
            </w:rPr>
            <w:t>Artículo Sexto, numeral 6.1.1, Parágrafo Primero, del valor a pagar por concepto de contraprestación por Zona de Uso público el 80% le corresponde a la Nación-INVIAS y el 20 % al municipio de Buenaventura y numeral 6.1.2, Parágrafo Primero, por concepto de Infraestructura el 100% a la Nación-INVIAS.</w:t>
          </w:r>
        </w:p>
        <w:p w14:paraId="3D233981" w14:textId="77777777" w:rsidR="00274429" w:rsidRDefault="00274429" w:rsidP="00274429">
          <w:pPr>
            <w:spacing w:after="0" w:line="240" w:lineRule="auto"/>
            <w:jc w:val="both"/>
            <w:rPr>
              <w:rFonts w:ascii="Times New Roman" w:hAnsi="Times New Roman"/>
            </w:rPr>
          </w:pPr>
        </w:p>
        <w:p w14:paraId="0B61E295" w14:textId="665F1883" w:rsidR="00274429" w:rsidRPr="00197A12" w:rsidRDefault="2CCB543F" w:rsidP="10D44305">
          <w:pPr>
            <w:spacing w:after="0" w:line="240" w:lineRule="auto"/>
            <w:jc w:val="both"/>
            <w:rPr>
              <w:rFonts w:ascii="Times New Roman" w:hAnsi="Times New Roman"/>
              <w:b/>
            </w:rPr>
          </w:pPr>
          <w:r w:rsidRPr="10D44305">
            <w:rPr>
              <w:rFonts w:ascii="Times New Roman" w:hAnsi="Times New Roman"/>
              <w:b/>
              <w:bCs/>
              <w:sz w:val="24"/>
              <w:szCs w:val="24"/>
            </w:rPr>
            <w:t xml:space="preserve">c. </w:t>
          </w:r>
          <w:r w:rsidR="00274429" w:rsidRPr="00197A12">
            <w:rPr>
              <w:rFonts w:ascii="Times New Roman" w:hAnsi="Times New Roman"/>
              <w:b/>
              <w:bCs/>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453E2401" w14:textId="77777777" w:rsidR="00274429" w:rsidRPr="00197A12" w:rsidRDefault="00274429" w:rsidP="00274429">
          <w:pPr>
            <w:spacing w:after="0" w:line="240" w:lineRule="auto"/>
            <w:jc w:val="both"/>
            <w:rPr>
              <w:rFonts w:ascii="Times New Roman" w:hAnsi="Times New Roman"/>
              <w:b/>
              <w:bCs/>
              <w:i/>
              <w:iCs/>
              <w:sz w:val="24"/>
              <w:szCs w:val="24"/>
            </w:rPr>
          </w:pPr>
        </w:p>
        <w:p w14:paraId="7BF804D7" w14:textId="77777777" w:rsidR="00274429" w:rsidRPr="00197A12" w:rsidRDefault="00274429" w:rsidP="10D44305">
          <w:pPr>
            <w:pStyle w:val="Prrafodelista"/>
            <w:spacing w:after="0" w:line="240" w:lineRule="auto"/>
            <w:ind w:left="0"/>
            <w:jc w:val="both"/>
            <w:rPr>
              <w:rFonts w:ascii="Times New Roman" w:hAnsi="Times New Roman"/>
              <w:b/>
              <w:bCs/>
              <w:sz w:val="24"/>
              <w:szCs w:val="24"/>
            </w:rPr>
          </w:pPr>
          <w:r w:rsidRPr="00197A12">
            <w:rPr>
              <w:rFonts w:ascii="Times New Roman" w:hAnsi="Times New Roman"/>
              <w:b/>
              <w:bCs/>
              <w:sz w:val="24"/>
              <w:szCs w:val="24"/>
            </w:rPr>
            <w:t>Activos reconocidos</w:t>
          </w:r>
        </w:p>
        <w:p w14:paraId="74DE9B12" w14:textId="77777777" w:rsidR="00274429" w:rsidRPr="00197A12" w:rsidRDefault="00274429" w:rsidP="00274429">
          <w:pPr>
            <w:spacing w:after="0" w:line="240" w:lineRule="auto"/>
            <w:jc w:val="both"/>
            <w:rPr>
              <w:rFonts w:ascii="Times New Roman" w:hAnsi="Times New Roman"/>
              <w:sz w:val="24"/>
              <w:szCs w:val="24"/>
            </w:rPr>
          </w:pPr>
        </w:p>
        <w:p w14:paraId="1AF00232" w14:textId="77777777" w:rsidR="00274429" w:rsidRPr="00A81A41" w:rsidRDefault="00274429" w:rsidP="10D44305">
          <w:pPr>
            <w:pStyle w:val="Prrafodelista"/>
            <w:spacing w:after="0" w:line="240" w:lineRule="auto"/>
            <w:ind w:left="0"/>
            <w:jc w:val="both"/>
            <w:rPr>
              <w:rFonts w:ascii="Times New Roman" w:hAnsi="Times New Roman"/>
              <w:b/>
              <w:bCs/>
              <w:sz w:val="24"/>
              <w:szCs w:val="24"/>
            </w:rPr>
          </w:pPr>
          <w:r w:rsidRPr="00A81A41">
            <w:rPr>
              <w:rFonts w:ascii="Times New Roman" w:hAnsi="Times New Roman"/>
              <w:b/>
              <w:bCs/>
              <w:sz w:val="24"/>
              <w:szCs w:val="24"/>
            </w:rPr>
            <w:t>Alcance del derecho de uso de los activos:</w:t>
          </w:r>
        </w:p>
        <w:p w14:paraId="0490E700" w14:textId="77777777" w:rsidR="00274429" w:rsidRDefault="00274429" w:rsidP="00274429">
          <w:pPr>
            <w:pStyle w:val="Prrafodelista"/>
            <w:spacing w:after="0" w:line="240" w:lineRule="auto"/>
            <w:jc w:val="both"/>
            <w:rPr>
              <w:rFonts w:ascii="Times New Roman" w:hAnsi="Times New Roman"/>
              <w:sz w:val="24"/>
              <w:szCs w:val="24"/>
            </w:rPr>
          </w:pPr>
        </w:p>
        <w:p w14:paraId="45FA8C45" w14:textId="77777777" w:rsidR="00274429" w:rsidRPr="000D1219" w:rsidRDefault="00274429" w:rsidP="10D44305">
          <w:pPr>
            <w:jc w:val="both"/>
            <w:rPr>
              <w:rFonts w:ascii="Times New Roman" w:hAnsi="Times New Roman"/>
              <w:sz w:val="24"/>
              <w:szCs w:val="24"/>
            </w:rPr>
          </w:pPr>
          <w:r w:rsidRPr="000D1219">
            <w:rPr>
              <w:rFonts w:ascii="Times New Roman" w:hAnsi="Times New Roman"/>
              <w:sz w:val="24"/>
              <w:szCs w:val="24"/>
            </w:rPr>
            <w:t>Descripción del proyecto, especificaciones técnicas, modalidades de operación: las condiciones especiales de operación del puerto están establecidas en Artículo Segundo resolución de otorgamiento.</w:t>
          </w:r>
        </w:p>
        <w:p w14:paraId="37E3FF6B" w14:textId="77777777" w:rsidR="00274429" w:rsidRPr="000D1219" w:rsidRDefault="00274429" w:rsidP="10D44305">
          <w:pPr>
            <w:jc w:val="both"/>
            <w:rPr>
              <w:rFonts w:ascii="Times New Roman" w:hAnsi="Times New Roman"/>
              <w:sz w:val="24"/>
              <w:szCs w:val="24"/>
            </w:rPr>
          </w:pPr>
          <w:r w:rsidRPr="000D1219">
            <w:rPr>
              <w:rFonts w:ascii="Times New Roman" w:hAnsi="Times New Roman"/>
              <w:sz w:val="24"/>
              <w:szCs w:val="24"/>
            </w:rPr>
            <w:t>Área entregada en concesión: La descripción de la ubicación, linderos y extensión de los bienes de uso público (playas y terrenos de baja mar, zonas marítimas accesorias de maniobras) entregados en concesión están establecidos Artículo Segundo de la resolución de otorgamiento.</w:t>
          </w:r>
        </w:p>
        <w:p w14:paraId="40CA893B" w14:textId="77777777" w:rsidR="00274429" w:rsidRPr="000D1219" w:rsidRDefault="00274429" w:rsidP="10D44305">
          <w:pPr>
            <w:jc w:val="both"/>
            <w:rPr>
              <w:rFonts w:ascii="Times New Roman" w:hAnsi="Times New Roman"/>
              <w:sz w:val="24"/>
              <w:szCs w:val="24"/>
            </w:rPr>
          </w:pPr>
          <w:r w:rsidRPr="000D1219">
            <w:rPr>
              <w:rFonts w:ascii="Times New Roman" w:hAnsi="Times New Roman"/>
              <w:sz w:val="24"/>
              <w:szCs w:val="24"/>
            </w:rPr>
            <w:t xml:space="preserve">Infraestructura y equipos entregados en concesión: En el artículo segundo de la Resolución de otorgamiento, se describe que lo entregado en concesión fue: </w:t>
          </w:r>
        </w:p>
        <w:p w14:paraId="34FF82B6" w14:textId="77777777" w:rsidR="00274429" w:rsidRPr="000D1219" w:rsidRDefault="00274429" w:rsidP="10D44305">
          <w:pPr>
            <w:jc w:val="both"/>
            <w:rPr>
              <w:rFonts w:ascii="Times New Roman" w:hAnsi="Times New Roman"/>
              <w:sz w:val="24"/>
              <w:szCs w:val="24"/>
            </w:rPr>
          </w:pPr>
          <w:r w:rsidRPr="000D1219">
            <w:rPr>
              <w:rFonts w:ascii="Times New Roman" w:hAnsi="Times New Roman"/>
              <w:sz w:val="24"/>
              <w:szCs w:val="24"/>
            </w:rPr>
            <w:t xml:space="preserve">Infraestructura: Muelle N° 1 y 2-marginales sobre pilotes, dos bodegas, plataforma de acceso, edificio, losa zona húmeda y plataforma para tanques de combustibles. </w:t>
          </w:r>
        </w:p>
        <w:p w14:paraId="494657A2" w14:textId="77777777" w:rsidR="00274429" w:rsidRPr="00197A12" w:rsidRDefault="00274429" w:rsidP="00274429">
          <w:pPr>
            <w:pStyle w:val="Prrafodelista"/>
            <w:spacing w:after="0" w:line="240" w:lineRule="auto"/>
            <w:jc w:val="both"/>
            <w:rPr>
              <w:rFonts w:ascii="Times New Roman" w:hAnsi="Times New Roman"/>
              <w:sz w:val="24"/>
              <w:szCs w:val="24"/>
            </w:rPr>
          </w:pPr>
        </w:p>
        <w:p w14:paraId="2A9CC1B0" w14:textId="77777777" w:rsidR="00274429" w:rsidRPr="00197A12" w:rsidRDefault="00274429" w:rsidP="10D44305">
          <w:pPr>
            <w:pStyle w:val="Prrafodelista"/>
            <w:spacing w:after="0" w:line="240" w:lineRule="auto"/>
            <w:ind w:left="0"/>
            <w:jc w:val="both"/>
            <w:rPr>
              <w:rFonts w:ascii="Times New Roman" w:hAnsi="Times New Roman"/>
              <w:b/>
              <w:bCs/>
              <w:sz w:val="24"/>
              <w:szCs w:val="24"/>
            </w:rPr>
          </w:pPr>
          <w:r w:rsidRPr="00BC7560">
            <w:rPr>
              <w:rFonts w:ascii="Times New Roman" w:hAnsi="Times New Roman"/>
              <w:b/>
              <w:bCs/>
              <w:sz w:val="24"/>
              <w:szCs w:val="24"/>
            </w:rPr>
            <w:t>Retribución al concesionario</w:t>
          </w:r>
        </w:p>
        <w:p w14:paraId="5ABF3CA0" w14:textId="77777777" w:rsidR="00274429" w:rsidRPr="00197A12" w:rsidRDefault="00274429" w:rsidP="00274429">
          <w:pPr>
            <w:pStyle w:val="Prrafodelista"/>
            <w:spacing w:after="0" w:line="240" w:lineRule="auto"/>
            <w:jc w:val="both"/>
            <w:rPr>
              <w:rFonts w:ascii="Times New Roman" w:hAnsi="Times New Roman"/>
              <w:sz w:val="24"/>
              <w:szCs w:val="24"/>
            </w:rPr>
          </w:pPr>
        </w:p>
        <w:p w14:paraId="7585AF19" w14:textId="77777777" w:rsidR="00274429" w:rsidRPr="00197A12" w:rsidRDefault="00274429" w:rsidP="009A46BB">
          <w:pPr>
            <w:pStyle w:val="Prrafodelista"/>
            <w:spacing w:after="0" w:line="240" w:lineRule="auto"/>
            <w:ind w:left="0"/>
            <w:jc w:val="both"/>
            <w:rPr>
              <w:rFonts w:ascii="Times New Roman" w:eastAsia="Times New Roman" w:hAnsi="Times New Roman"/>
            </w:rPr>
          </w:pPr>
          <w:r w:rsidRPr="2F2775D8">
            <w:rPr>
              <w:rFonts w:ascii="Times New Roman" w:hAnsi="Times New Roman"/>
              <w:sz w:val="24"/>
              <w:szCs w:val="24"/>
            </w:rPr>
            <w:t xml:space="preserve">Descripción: </w:t>
          </w:r>
          <w:r w:rsidRPr="2F2775D8">
            <w:rPr>
              <w:rFonts w:ascii="Times New Roman" w:eastAsia="Times New Roman" w:hAnsi="Times New Roman"/>
              <w:sz w:val="24"/>
              <w:szCs w:val="24"/>
            </w:rPr>
            <w:t>Artículo Primero resolución de otorgamiento 1493 de 2018: Otorgar la concesión portuaria para embarcadero al CONCESIONARIO para la rehabilitación y mantenimiento de la infraestructura portuaria existente para la operación, administración y mantenimiento de un embarcadero marítimo en el municipio de Buenaventura.</w:t>
          </w:r>
        </w:p>
        <w:p w14:paraId="249B3E48" w14:textId="77777777" w:rsidR="00274429" w:rsidRPr="00197A12" w:rsidRDefault="00274429" w:rsidP="00274429">
          <w:pPr>
            <w:pStyle w:val="Prrafodelista"/>
            <w:spacing w:after="0" w:line="240" w:lineRule="auto"/>
            <w:jc w:val="both"/>
            <w:rPr>
              <w:rFonts w:ascii="Times New Roman" w:hAnsi="Times New Roman"/>
              <w:sz w:val="24"/>
              <w:szCs w:val="24"/>
            </w:rPr>
          </w:pPr>
        </w:p>
        <w:p w14:paraId="72B10EB8" w14:textId="77777777" w:rsidR="00274429" w:rsidRPr="00197A12" w:rsidRDefault="00274429" w:rsidP="009A46BB">
          <w:pPr>
            <w:pStyle w:val="Prrafodelista"/>
            <w:spacing w:after="0" w:line="240" w:lineRule="auto"/>
            <w:ind w:left="0"/>
            <w:jc w:val="both"/>
            <w:rPr>
              <w:rFonts w:ascii="Times New Roman" w:hAnsi="Times New Roman"/>
              <w:sz w:val="24"/>
              <w:szCs w:val="24"/>
            </w:rPr>
          </w:pPr>
          <w:r w:rsidRPr="2F2775D8">
            <w:rPr>
              <w:rFonts w:ascii="Times New Roman" w:hAnsi="Times New Roman"/>
              <w:sz w:val="24"/>
              <w:szCs w:val="24"/>
            </w:rPr>
            <w:t>Tasa de retribución: N/A</w:t>
          </w:r>
        </w:p>
        <w:p w14:paraId="0D8E9C63" w14:textId="77777777" w:rsidR="00274429" w:rsidRPr="00794DC5" w:rsidRDefault="00274429" w:rsidP="00274429">
          <w:pPr>
            <w:spacing w:after="0" w:line="240" w:lineRule="auto"/>
            <w:jc w:val="both"/>
            <w:rPr>
              <w:rFonts w:ascii="Times New Roman" w:hAnsi="Times New Roman"/>
              <w:sz w:val="24"/>
              <w:szCs w:val="24"/>
            </w:rPr>
          </w:pPr>
        </w:p>
        <w:p w14:paraId="3312390A" w14:textId="172D4022" w:rsidR="00274429" w:rsidRPr="00197A12" w:rsidRDefault="1017AB26" w:rsidP="10D44305">
          <w:pPr>
            <w:tabs>
              <w:tab w:val="left" w:pos="360"/>
            </w:tabs>
            <w:spacing w:after="0" w:line="240" w:lineRule="auto"/>
            <w:jc w:val="both"/>
            <w:rPr>
              <w:rFonts w:ascii="Times New Roman" w:hAnsi="Times New Roman"/>
              <w:b/>
            </w:rPr>
          </w:pPr>
          <w:r w:rsidRPr="10D44305">
            <w:rPr>
              <w:rFonts w:ascii="Times New Roman" w:hAnsi="Times New Roman"/>
              <w:b/>
              <w:bCs/>
              <w:sz w:val="24"/>
              <w:szCs w:val="24"/>
            </w:rPr>
            <w:t xml:space="preserve">d. </w:t>
          </w:r>
          <w:r w:rsidR="00274429" w:rsidRPr="00197A12">
            <w:rPr>
              <w:rFonts w:ascii="Times New Roman" w:hAnsi="Times New Roman"/>
              <w:b/>
              <w:bCs/>
              <w:sz w:val="24"/>
              <w:szCs w:val="24"/>
            </w:rPr>
            <w:t>Derechos a recibir activos especificados al final del acuerdo de concesión</w:t>
          </w:r>
        </w:p>
        <w:p w14:paraId="5D22FB83" w14:textId="77777777" w:rsidR="00274429" w:rsidRPr="00197A12" w:rsidRDefault="00274429" w:rsidP="009A46BB">
          <w:pPr>
            <w:pStyle w:val="Prrafodelista"/>
            <w:tabs>
              <w:tab w:val="left" w:pos="360"/>
            </w:tabs>
            <w:spacing w:after="0" w:line="240" w:lineRule="auto"/>
            <w:ind w:left="142"/>
            <w:jc w:val="both"/>
            <w:rPr>
              <w:rFonts w:ascii="Times New Roman" w:hAnsi="Times New Roman"/>
              <w:sz w:val="24"/>
              <w:szCs w:val="24"/>
            </w:rPr>
          </w:pPr>
        </w:p>
        <w:p w14:paraId="2217CA5A" w14:textId="77777777" w:rsidR="00274429" w:rsidRPr="00E54D82" w:rsidRDefault="00274429" w:rsidP="009A46BB">
          <w:pPr>
            <w:pStyle w:val="Prrafodelista"/>
            <w:tabs>
              <w:tab w:val="left" w:pos="360"/>
            </w:tabs>
            <w:spacing w:after="0" w:line="240" w:lineRule="auto"/>
            <w:ind w:left="142"/>
            <w:jc w:val="both"/>
            <w:rPr>
              <w:rFonts w:ascii="Times New Roman" w:hAnsi="Times New Roman"/>
              <w:sz w:val="24"/>
              <w:szCs w:val="24"/>
            </w:rPr>
          </w:pPr>
          <w:r w:rsidRPr="00E54D82">
            <w:rPr>
              <w:rFonts w:ascii="Times New Roman" w:hAnsi="Times New Roman"/>
              <w:b/>
              <w:bCs/>
              <w:sz w:val="24"/>
              <w:szCs w:val="24"/>
            </w:rPr>
            <w:t xml:space="preserve">Descripción: </w:t>
          </w:r>
          <w:r w:rsidRPr="00E54D82">
            <w:rPr>
              <w:rFonts w:ascii="Times New Roman" w:hAnsi="Times New Roman"/>
              <w:sz w:val="24"/>
              <w:szCs w:val="24"/>
            </w:rPr>
            <w:t>De acuerdo con el Artículo 8º de la Ley 1 de 1991 en el modo portuario el concesionario no tiene derechos finales sobre activos los debe revertir a la Nación al final del contrato de concesión.</w:t>
          </w:r>
        </w:p>
        <w:p w14:paraId="05BA988B" w14:textId="77777777" w:rsidR="00274429" w:rsidRPr="00C24A9F" w:rsidRDefault="00274429" w:rsidP="009A46BB">
          <w:pPr>
            <w:pStyle w:val="Prrafodelista"/>
            <w:tabs>
              <w:tab w:val="left" w:pos="360"/>
            </w:tabs>
            <w:spacing w:after="0" w:line="240" w:lineRule="auto"/>
            <w:ind w:left="142"/>
            <w:jc w:val="both"/>
            <w:rPr>
              <w:rFonts w:ascii="Times New Roman" w:hAnsi="Times New Roman"/>
              <w:sz w:val="24"/>
              <w:szCs w:val="24"/>
              <w:highlight w:val="green"/>
            </w:rPr>
          </w:pPr>
        </w:p>
        <w:p w14:paraId="627AC8A9" w14:textId="77777777" w:rsidR="00274429" w:rsidRDefault="00274429" w:rsidP="009A46BB">
          <w:pPr>
            <w:pStyle w:val="Prrafodelista"/>
            <w:tabs>
              <w:tab w:val="left" w:pos="360"/>
            </w:tabs>
            <w:spacing w:after="0" w:line="240" w:lineRule="auto"/>
            <w:ind w:left="142"/>
            <w:jc w:val="both"/>
            <w:rPr>
              <w:rFonts w:ascii="Times New Roman" w:hAnsi="Times New Roman"/>
              <w:b/>
              <w:bCs/>
              <w:sz w:val="24"/>
              <w:szCs w:val="24"/>
            </w:rPr>
          </w:pPr>
          <w:r w:rsidRPr="00780519">
            <w:rPr>
              <w:rFonts w:ascii="Times New Roman" w:hAnsi="Times New Roman"/>
              <w:b/>
              <w:bCs/>
              <w:sz w:val="24"/>
              <w:szCs w:val="24"/>
            </w:rPr>
            <w:lastRenderedPageBreak/>
            <w:t>Observaciones:</w:t>
          </w:r>
        </w:p>
        <w:p w14:paraId="1B70F621" w14:textId="77777777" w:rsidR="00274429" w:rsidRDefault="00274429" w:rsidP="009A46BB">
          <w:pPr>
            <w:pStyle w:val="Prrafodelista"/>
            <w:tabs>
              <w:tab w:val="left" w:pos="360"/>
            </w:tabs>
            <w:spacing w:after="0" w:line="240" w:lineRule="auto"/>
            <w:ind w:left="142"/>
            <w:jc w:val="both"/>
            <w:rPr>
              <w:rFonts w:ascii="Times New Roman" w:hAnsi="Times New Roman"/>
              <w:b/>
              <w:bCs/>
              <w:sz w:val="24"/>
              <w:szCs w:val="24"/>
            </w:rPr>
          </w:pPr>
        </w:p>
        <w:p w14:paraId="579F17B2" w14:textId="77777777" w:rsidR="00274429" w:rsidRPr="00037778" w:rsidRDefault="00274429" w:rsidP="009A46BB">
          <w:pPr>
            <w:tabs>
              <w:tab w:val="left" w:pos="360"/>
            </w:tabs>
            <w:ind w:left="142"/>
            <w:jc w:val="both"/>
            <w:rPr>
              <w:rFonts w:ascii="Times New Roman" w:hAnsi="Times New Roman"/>
              <w:sz w:val="24"/>
              <w:szCs w:val="24"/>
            </w:rPr>
          </w:pPr>
          <w:r w:rsidRPr="00667F4F">
            <w:rPr>
              <w:rFonts w:ascii="Times New Roman" w:hAnsi="Times New Roman"/>
              <w:sz w:val="24"/>
              <w:szCs w:val="24"/>
            </w:rPr>
            <w:t xml:space="preserve">Reversión: </w:t>
          </w:r>
          <w:r w:rsidRPr="00037778">
            <w:rPr>
              <w:rFonts w:ascii="Times New Roman" w:hAnsi="Times New Roman"/>
              <w:sz w:val="24"/>
              <w:szCs w:val="24"/>
            </w:rPr>
            <w:t xml:space="preserve">De acuerdo con lo establecido en el artículo décimo primero de la resolución de otorgamiento, la zona de uso público y todas las construcciones y equipos entregadas en concesión se revertirán a la Nación en buenas condiciones de operación tecnológica, mantenimiento y de adecuada eficiencia al término de este contrato y de las prórrogas si la hubiere. Igualmente procederá la reversión al ser declarado la caducidad o la terminación unilateral. </w:t>
          </w:r>
        </w:p>
        <w:p w14:paraId="0D5CDAFD" w14:textId="77777777" w:rsidR="00274429" w:rsidRPr="00E54D82" w:rsidRDefault="00274429" w:rsidP="009A46BB">
          <w:pPr>
            <w:jc w:val="both"/>
            <w:rPr>
              <w:rFonts w:ascii="Times New Roman" w:eastAsia="Times New Roman" w:hAnsi="Times New Roman"/>
              <w:sz w:val="24"/>
              <w:szCs w:val="24"/>
            </w:rPr>
          </w:pPr>
          <w:r w:rsidRPr="00037778">
            <w:rPr>
              <w:rFonts w:ascii="Times New Roman" w:hAnsi="Times New Roman"/>
              <w:sz w:val="24"/>
              <w:szCs w:val="24"/>
            </w:rPr>
            <w:t xml:space="preserve">Para tal fin, en el </w:t>
          </w:r>
          <w:r w:rsidRPr="10D44305">
            <w:rPr>
              <w:rFonts w:ascii="Times New Roman" w:eastAsia="Times New Roman" w:hAnsi="Times New Roman"/>
              <w:sz w:val="24"/>
              <w:szCs w:val="24"/>
            </w:rPr>
            <w:t>momento de la reversión el CONCESIONARIO deberá hacer entrega de un avaluó comercial actualizado y valoración técnica de las condiciones de operación de la infraestructura portuaria, equipos e inmuebles por destinación que habitualmente se encuentren instalados en las zonas de uso público que se revierten y que son propiedad de la Nación.</w:t>
          </w:r>
        </w:p>
        <w:p w14:paraId="3E49CEC9" w14:textId="77777777" w:rsidR="00274429" w:rsidRDefault="00274429" w:rsidP="009A46BB">
          <w:pPr>
            <w:pStyle w:val="Prrafodelista"/>
            <w:spacing w:after="0" w:line="240" w:lineRule="auto"/>
            <w:ind w:left="0"/>
            <w:jc w:val="both"/>
            <w:rPr>
              <w:rFonts w:ascii="Times New Roman" w:eastAsia="Times New Roman" w:hAnsi="Times New Roman"/>
              <w:sz w:val="24"/>
              <w:szCs w:val="24"/>
            </w:rPr>
          </w:pPr>
          <w:r w:rsidRPr="10D44305">
            <w:rPr>
              <w:rFonts w:ascii="Times New Roman" w:eastAsia="Times New Roman" w:hAnsi="Times New Roman"/>
              <w:sz w:val="24"/>
              <w:szCs w:val="24"/>
            </w:rPr>
            <w:t>La ANI es la entidad concedente pero la titularidad de los activos al final de la concesión es del Instituto Nacional de Vías INVIAS.</w:t>
          </w:r>
        </w:p>
        <w:p w14:paraId="308EDBAC" w14:textId="77777777" w:rsidR="00274429" w:rsidRPr="009A46BB" w:rsidRDefault="00274429" w:rsidP="00274429">
          <w:pPr>
            <w:rPr>
              <w:rStyle w:val="Estilo3"/>
              <w:rFonts w:eastAsia="Times New Roman"/>
              <w:szCs w:val="24"/>
            </w:rPr>
          </w:pPr>
        </w:p>
        <w:p w14:paraId="738E297A" w14:textId="5F5C62D1" w:rsidR="00274429" w:rsidRDefault="21D33432" w:rsidP="10D44305">
          <w:pPr>
            <w:spacing w:line="259" w:lineRule="auto"/>
            <w:rPr>
              <w:rFonts w:ascii="Times New Roman" w:eastAsia="Times New Roman" w:hAnsi="Times New Roman"/>
              <w:b/>
              <w:sz w:val="24"/>
              <w:szCs w:val="24"/>
            </w:rPr>
          </w:pPr>
          <w:r w:rsidRPr="10D44305">
            <w:rPr>
              <w:rFonts w:ascii="Times New Roman" w:eastAsia="Times New Roman" w:hAnsi="Times New Roman"/>
              <w:b/>
              <w:bCs/>
              <w:sz w:val="24"/>
              <w:szCs w:val="24"/>
            </w:rPr>
            <w:t>e. No hay c</w:t>
          </w:r>
          <w:r w:rsidR="00274429" w:rsidRPr="10D44305">
            <w:rPr>
              <w:rFonts w:ascii="Times New Roman" w:eastAsia="Times New Roman" w:hAnsi="Times New Roman"/>
              <w:b/>
              <w:bCs/>
              <w:sz w:val="24"/>
              <w:szCs w:val="24"/>
            </w:rPr>
            <w:t>ambios</w:t>
          </w:r>
          <w:r w:rsidR="00274429" w:rsidRPr="10D44305">
            <w:rPr>
              <w:rFonts w:ascii="Times New Roman" w:eastAsia="Times New Roman" w:hAnsi="Times New Roman"/>
              <w:b/>
              <w:sz w:val="24"/>
              <w:szCs w:val="24"/>
            </w:rPr>
            <w:t xml:space="preserve"> en el acuerdo de concesión que se realicen durante el periodo fiscal </w:t>
          </w:r>
        </w:p>
        <w:p w14:paraId="21994245" w14:textId="77777777" w:rsidR="00274429" w:rsidRPr="00197A12" w:rsidRDefault="00274429" w:rsidP="006D2BD8">
          <w:pPr>
            <w:pStyle w:val="Prrafodelista"/>
            <w:rPr>
              <w:rFonts w:ascii="Times New Roman" w:eastAsia="Times New Roman" w:hAnsi="Times New Roman"/>
              <w:b/>
              <w:sz w:val="24"/>
              <w:szCs w:val="24"/>
            </w:rPr>
          </w:pPr>
        </w:p>
        <w:p w14:paraId="0F901016" w14:textId="77777777" w:rsidR="00274429" w:rsidRDefault="00274429" w:rsidP="00274429">
          <w:pPr>
            <w:rPr>
              <w:rFonts w:ascii="Times New Roman" w:eastAsia="Times New Roman" w:hAnsi="Times New Roman"/>
              <w:b/>
              <w:sz w:val="24"/>
              <w:szCs w:val="24"/>
            </w:rPr>
          </w:pPr>
          <w:r w:rsidRPr="10D44305">
            <w:rPr>
              <w:rFonts w:ascii="Times New Roman" w:eastAsia="Times New Roman" w:hAnsi="Times New Roman"/>
              <w:b/>
              <w:bCs/>
              <w:sz w:val="24"/>
              <w:szCs w:val="24"/>
            </w:rPr>
            <w:t>SOCIEDAD PORTUARIA OCÉANOS S.A.</w:t>
          </w:r>
        </w:p>
        <w:p w14:paraId="24C5C641" w14:textId="77777777" w:rsidR="00274429" w:rsidRPr="00547EAA" w:rsidRDefault="00274429" w:rsidP="00E60BAB">
          <w:pPr>
            <w:pStyle w:val="Prrafodelista"/>
            <w:numPr>
              <w:ilvl w:val="0"/>
              <w:numId w:val="136"/>
            </w:numPr>
            <w:spacing w:line="259" w:lineRule="auto"/>
            <w:jc w:val="both"/>
            <w:rPr>
              <w:rFonts w:ascii="Times New Roman" w:eastAsia="Times New Roman" w:hAnsi="Times New Roman"/>
              <w:b/>
              <w:sz w:val="24"/>
              <w:szCs w:val="24"/>
            </w:rPr>
          </w:pPr>
          <w:r w:rsidRPr="10D44305">
            <w:rPr>
              <w:rFonts w:ascii="Times New Roman" w:eastAsia="Times New Roman" w:hAnsi="Times New Roman"/>
              <w:b/>
              <w:sz w:val="24"/>
              <w:szCs w:val="24"/>
            </w:rPr>
            <w:t>Descripción del acuerdo</w:t>
          </w:r>
        </w:p>
        <w:p w14:paraId="5253702C" w14:textId="41711E9D" w:rsidR="00274429" w:rsidRPr="009A46BB" w:rsidRDefault="00274429" w:rsidP="10D44305">
          <w:pPr>
            <w:spacing w:after="0"/>
            <w:rPr>
              <w:rFonts w:ascii="Times New Roman" w:eastAsia="Times New Roman" w:hAnsi="Times New Roman"/>
              <w:sz w:val="24"/>
              <w:szCs w:val="24"/>
            </w:rPr>
          </w:pPr>
          <w:r w:rsidRPr="10D44305">
            <w:rPr>
              <w:rFonts w:ascii="Times New Roman" w:eastAsia="Times New Roman" w:hAnsi="Times New Roman"/>
              <w:b/>
              <w:sz w:val="24"/>
              <w:szCs w:val="24"/>
            </w:rPr>
            <w:t>Número del acuerdo de concesión:</w:t>
          </w:r>
          <w:r w:rsidR="07FC130B" w:rsidRPr="10D44305">
            <w:rPr>
              <w:rFonts w:ascii="Times New Roman" w:eastAsia="Times New Roman" w:hAnsi="Times New Roman"/>
              <w:b/>
              <w:bCs/>
              <w:sz w:val="24"/>
              <w:szCs w:val="24"/>
            </w:rPr>
            <w:t xml:space="preserve"> </w:t>
          </w:r>
          <w:r w:rsidRPr="10D44305">
            <w:rPr>
              <w:rFonts w:ascii="Times New Roman" w:eastAsia="Times New Roman" w:hAnsi="Times New Roman"/>
              <w:sz w:val="24"/>
              <w:szCs w:val="24"/>
            </w:rPr>
            <w:t>Contrato de Concesión para Embarcadero Resolución No. 476 de 2018.</w:t>
          </w:r>
        </w:p>
        <w:p w14:paraId="6603298A" w14:textId="0B8F28B4" w:rsidR="00274429" w:rsidRPr="009A46BB" w:rsidRDefault="00274429" w:rsidP="10D44305">
          <w:pPr>
            <w:spacing w:after="0"/>
            <w:jc w:val="both"/>
            <w:rPr>
              <w:rFonts w:ascii="Times New Roman" w:eastAsia="Times New Roman" w:hAnsi="Times New Roman"/>
              <w:sz w:val="24"/>
              <w:szCs w:val="24"/>
            </w:rPr>
          </w:pPr>
          <w:r w:rsidRPr="10D44305">
            <w:rPr>
              <w:rFonts w:ascii="Times New Roman" w:eastAsia="Times New Roman" w:hAnsi="Times New Roman"/>
              <w:b/>
              <w:bCs/>
              <w:sz w:val="24"/>
              <w:szCs w:val="24"/>
            </w:rPr>
            <w:t>Objeto / Descripción</w:t>
          </w:r>
          <w:r w:rsidRPr="10D44305">
            <w:rPr>
              <w:rFonts w:ascii="Times New Roman" w:eastAsia="Times New Roman" w:hAnsi="Times New Roman"/>
              <w:sz w:val="24"/>
              <w:szCs w:val="24"/>
            </w:rPr>
            <w:t xml:space="preserve">: </w:t>
          </w:r>
          <w:r w:rsidR="0F814497" w:rsidRPr="10D44305">
            <w:rPr>
              <w:rFonts w:ascii="Times New Roman" w:eastAsia="Times New Roman" w:hAnsi="Times New Roman"/>
              <w:sz w:val="24"/>
              <w:szCs w:val="24"/>
            </w:rPr>
            <w:t>En virtud de la Resolución, se permite al CONCESIONARIO operar el muelle ubicado en la ciudad de Cartagena de Indias, Departamento de Bolívar, Albornoz vía Mamonal 1-504, en el cual se destinará al descargue y tránsito de camarón de cultivo que proviene de manera directa de las granjas de su propiedad u ocasionalmente de terceros proveedores y el desarrollo de actividades portuarias de servicio privado, conforme lo establece el Artículo Primero de la Resolución.</w:t>
          </w:r>
        </w:p>
        <w:p w14:paraId="78047D47" w14:textId="3DC082D7" w:rsidR="00274429" w:rsidRPr="000A0D21" w:rsidRDefault="00274429" w:rsidP="009A46BB">
          <w:pPr>
            <w:spacing w:after="0"/>
            <w:rPr>
              <w:rFonts w:ascii="Times New Roman" w:hAnsi="Times New Roman"/>
              <w:sz w:val="24"/>
              <w:szCs w:val="24"/>
            </w:rPr>
          </w:pPr>
          <w:r w:rsidRPr="00521A07">
            <w:rPr>
              <w:rFonts w:ascii="Times New Roman" w:hAnsi="Times New Roman"/>
              <w:b/>
              <w:bCs/>
              <w:sz w:val="24"/>
              <w:szCs w:val="24"/>
            </w:rPr>
            <w:t>Valor inicial:</w:t>
          </w:r>
          <w:r w:rsidR="15229F05" w:rsidRPr="10D44305">
            <w:rPr>
              <w:rFonts w:ascii="Times New Roman" w:hAnsi="Times New Roman"/>
              <w:b/>
              <w:bCs/>
              <w:sz w:val="24"/>
              <w:szCs w:val="24"/>
            </w:rPr>
            <w:t xml:space="preserve"> </w:t>
          </w:r>
          <w:r w:rsidRPr="000A0D21">
            <w:rPr>
              <w:rFonts w:ascii="Times New Roman" w:hAnsi="Times New Roman"/>
              <w:sz w:val="24"/>
              <w:szCs w:val="24"/>
            </w:rPr>
            <w:t>USD $62.469 Articulo Quinta / Resolución 476/2018</w:t>
          </w:r>
        </w:p>
        <w:p w14:paraId="5F47019B" w14:textId="77777777" w:rsidR="00274429" w:rsidRPr="000A0D21" w:rsidRDefault="00274429" w:rsidP="10D44305">
          <w:pPr>
            <w:spacing w:after="0"/>
            <w:jc w:val="both"/>
            <w:rPr>
              <w:rFonts w:ascii="Times New Roman" w:hAnsi="Times New Roman"/>
              <w:sz w:val="24"/>
              <w:szCs w:val="24"/>
            </w:rPr>
          </w:pPr>
          <w:r w:rsidRPr="10D44305">
            <w:rPr>
              <w:rFonts w:ascii="Times New Roman" w:hAnsi="Times New Roman"/>
              <w:b/>
              <w:sz w:val="24"/>
              <w:szCs w:val="24"/>
            </w:rPr>
            <w:t xml:space="preserve">Valor del Contrato actualizado: </w:t>
          </w:r>
          <w:r w:rsidRPr="000A0D21">
            <w:rPr>
              <w:rFonts w:ascii="Times New Roman" w:hAnsi="Times New Roman"/>
              <w:sz w:val="24"/>
              <w:szCs w:val="24"/>
            </w:rPr>
            <w:t>USD $49.272,17 / Artículo Cuarto / Resolución No, 20203030017095 /2020.</w:t>
          </w:r>
        </w:p>
        <w:p w14:paraId="4215780B" w14:textId="77777777" w:rsidR="00274429" w:rsidRPr="000A0D21" w:rsidRDefault="00274429" w:rsidP="10D44305">
          <w:pPr>
            <w:spacing w:after="0"/>
            <w:jc w:val="both"/>
            <w:rPr>
              <w:rFonts w:ascii="Times New Roman" w:hAnsi="Times New Roman"/>
              <w:sz w:val="24"/>
              <w:szCs w:val="24"/>
            </w:rPr>
          </w:pPr>
          <w:r w:rsidRPr="10D44305">
            <w:rPr>
              <w:rFonts w:ascii="Times New Roman" w:hAnsi="Times New Roman"/>
              <w:b/>
              <w:sz w:val="24"/>
              <w:szCs w:val="24"/>
            </w:rPr>
            <w:t>Valor del Contrato actualizado:</w:t>
          </w:r>
          <w:r w:rsidRPr="000A0D21">
            <w:rPr>
              <w:rFonts w:ascii="Times New Roman" w:hAnsi="Times New Roman"/>
              <w:sz w:val="24"/>
              <w:szCs w:val="24"/>
            </w:rPr>
            <w:t xml:space="preserve"> USD $ 56.458 / Artículo tercero / Resolución No, 20223030018775 /2022.</w:t>
          </w:r>
        </w:p>
        <w:p w14:paraId="4CAB0494" w14:textId="77777777" w:rsidR="00274429" w:rsidRDefault="00274429" w:rsidP="009A46BB">
          <w:pPr>
            <w:spacing w:after="0"/>
            <w:rPr>
              <w:rFonts w:ascii="Times New Roman" w:hAnsi="Times New Roman"/>
              <w:sz w:val="24"/>
              <w:szCs w:val="24"/>
            </w:rPr>
          </w:pPr>
          <w:r w:rsidRPr="00521A07">
            <w:rPr>
              <w:rFonts w:ascii="Times New Roman" w:hAnsi="Times New Roman"/>
              <w:b/>
              <w:bCs/>
              <w:sz w:val="24"/>
              <w:szCs w:val="24"/>
            </w:rPr>
            <w:t>Fecha de inicio:</w:t>
          </w:r>
          <w:r>
            <w:rPr>
              <w:rFonts w:ascii="Times New Roman" w:hAnsi="Times New Roman"/>
              <w:b/>
              <w:bCs/>
              <w:sz w:val="24"/>
              <w:szCs w:val="24"/>
            </w:rPr>
            <w:t xml:space="preserve"> </w:t>
          </w:r>
          <w:r>
            <w:rPr>
              <w:rFonts w:ascii="Times New Roman" w:hAnsi="Times New Roman"/>
              <w:sz w:val="24"/>
              <w:szCs w:val="24"/>
            </w:rPr>
            <w:t>23/11/2022</w:t>
          </w:r>
        </w:p>
        <w:p w14:paraId="57DB7FA6" w14:textId="77777777" w:rsidR="00274429" w:rsidRDefault="00274429" w:rsidP="009A46BB">
          <w:pPr>
            <w:spacing w:after="0"/>
            <w:jc w:val="both"/>
            <w:rPr>
              <w:rFonts w:ascii="Times New Roman" w:hAnsi="Times New Roman"/>
              <w:sz w:val="24"/>
              <w:szCs w:val="24"/>
            </w:rPr>
          </w:pPr>
          <w:r w:rsidRPr="00521A07">
            <w:rPr>
              <w:rFonts w:ascii="Times New Roman" w:hAnsi="Times New Roman"/>
              <w:b/>
              <w:bCs/>
              <w:sz w:val="24"/>
              <w:szCs w:val="24"/>
            </w:rPr>
            <w:t>Fecha de finalización estimada:</w:t>
          </w:r>
          <w:r>
            <w:rPr>
              <w:rFonts w:ascii="Times New Roman" w:hAnsi="Times New Roman"/>
              <w:b/>
              <w:bCs/>
              <w:sz w:val="24"/>
              <w:szCs w:val="24"/>
            </w:rPr>
            <w:t xml:space="preserve"> </w:t>
          </w:r>
          <w:r>
            <w:rPr>
              <w:rFonts w:ascii="Times New Roman" w:hAnsi="Times New Roman"/>
              <w:sz w:val="24"/>
              <w:szCs w:val="24"/>
            </w:rPr>
            <w:t>22/11/2024</w:t>
          </w:r>
        </w:p>
        <w:p w14:paraId="1ABCF400" w14:textId="77777777" w:rsidR="00274429" w:rsidRPr="009A46BB" w:rsidRDefault="00274429" w:rsidP="009A46BB">
          <w:pPr>
            <w:spacing w:after="0"/>
            <w:jc w:val="both"/>
            <w:rPr>
              <w:rFonts w:ascii="Times New Roman" w:hAnsi="Times New Roman"/>
            </w:rPr>
          </w:pPr>
          <w:r w:rsidRPr="00521A07">
            <w:rPr>
              <w:rFonts w:ascii="Times New Roman" w:hAnsi="Times New Roman"/>
              <w:b/>
              <w:bCs/>
              <w:sz w:val="24"/>
              <w:szCs w:val="24"/>
            </w:rPr>
            <w:t>Tipo ID:</w:t>
          </w:r>
          <w:r>
            <w:rPr>
              <w:rFonts w:ascii="Times New Roman" w:hAnsi="Times New Roman"/>
              <w:b/>
              <w:bCs/>
              <w:sz w:val="24"/>
              <w:szCs w:val="24"/>
            </w:rPr>
            <w:t xml:space="preserve"> </w:t>
          </w:r>
          <w:r w:rsidRPr="10D44305">
            <w:rPr>
              <w:rFonts w:ascii="Times New Roman" w:hAnsi="Times New Roman"/>
              <w:sz w:val="24"/>
              <w:szCs w:val="24"/>
            </w:rPr>
            <w:t>NIT</w:t>
          </w:r>
        </w:p>
        <w:p w14:paraId="5DE95EAB" w14:textId="77777777" w:rsidR="00274429" w:rsidRDefault="00274429" w:rsidP="009A46BB">
          <w:pPr>
            <w:spacing w:after="0"/>
            <w:rPr>
              <w:rFonts w:ascii="Times New Roman" w:hAnsi="Times New Roman"/>
              <w:sz w:val="24"/>
              <w:szCs w:val="24"/>
            </w:rPr>
          </w:pPr>
          <w:r w:rsidRPr="00521A07">
            <w:rPr>
              <w:rFonts w:ascii="Times New Roman" w:hAnsi="Times New Roman"/>
              <w:b/>
              <w:bCs/>
              <w:sz w:val="24"/>
              <w:szCs w:val="24"/>
            </w:rPr>
            <w:t>Número ID:</w:t>
          </w:r>
          <w:r>
            <w:rPr>
              <w:rFonts w:ascii="Times New Roman" w:hAnsi="Times New Roman"/>
              <w:b/>
              <w:bCs/>
              <w:sz w:val="24"/>
              <w:szCs w:val="24"/>
            </w:rPr>
            <w:t xml:space="preserve"> </w:t>
          </w:r>
          <w:r w:rsidRPr="00F826BF">
            <w:rPr>
              <w:rFonts w:ascii="Times New Roman" w:hAnsi="Times New Roman"/>
              <w:sz w:val="24"/>
              <w:szCs w:val="24"/>
            </w:rPr>
            <w:t>900.947.660-0</w:t>
          </w:r>
        </w:p>
        <w:p w14:paraId="5CE1A893" w14:textId="694A6D87" w:rsidR="00274429" w:rsidRPr="009A46BB" w:rsidRDefault="00274429" w:rsidP="009A46BB">
          <w:pPr>
            <w:spacing w:after="0"/>
            <w:rPr>
              <w:rFonts w:ascii="Times New Roman" w:hAnsi="Times New Roman"/>
            </w:rPr>
          </w:pPr>
          <w:r w:rsidRPr="00521A07">
            <w:rPr>
              <w:rFonts w:ascii="Times New Roman" w:hAnsi="Times New Roman"/>
              <w:b/>
              <w:bCs/>
              <w:sz w:val="24"/>
              <w:szCs w:val="24"/>
            </w:rPr>
            <w:t>Razón social del concesionario:</w:t>
          </w:r>
          <w:r w:rsidR="76AE4576" w:rsidRPr="10D44305">
            <w:rPr>
              <w:rFonts w:ascii="Times New Roman" w:hAnsi="Times New Roman"/>
              <w:b/>
              <w:bCs/>
              <w:sz w:val="24"/>
              <w:szCs w:val="24"/>
            </w:rPr>
            <w:t xml:space="preserve"> </w:t>
          </w:r>
          <w:r w:rsidRPr="009A46BB">
            <w:rPr>
              <w:rFonts w:ascii="Times New Roman" w:hAnsi="Times New Roman"/>
            </w:rPr>
            <w:t xml:space="preserve">Sociedad Portuaria Océanos S.A. </w:t>
          </w:r>
        </w:p>
        <w:p w14:paraId="580D032A" w14:textId="026C8CCF" w:rsidR="00274429" w:rsidRPr="009A46BB" w:rsidRDefault="00274429" w:rsidP="00274429">
          <w:pPr>
            <w:rPr>
              <w:rFonts w:ascii="Times New Roman" w:hAnsi="Times New Roman"/>
            </w:rPr>
          </w:pPr>
          <w:r w:rsidRPr="00521A07">
            <w:rPr>
              <w:rFonts w:ascii="Times New Roman" w:hAnsi="Times New Roman"/>
              <w:b/>
              <w:bCs/>
              <w:sz w:val="24"/>
              <w:szCs w:val="24"/>
            </w:rPr>
            <w:t>Nombre del proyecto:</w:t>
          </w:r>
          <w:r w:rsidR="2867C10B" w:rsidRPr="10D44305">
            <w:rPr>
              <w:rFonts w:ascii="Times New Roman" w:hAnsi="Times New Roman"/>
              <w:b/>
              <w:bCs/>
              <w:sz w:val="24"/>
              <w:szCs w:val="24"/>
            </w:rPr>
            <w:t xml:space="preserve"> </w:t>
          </w:r>
          <w:r w:rsidRPr="009A46BB">
            <w:rPr>
              <w:rFonts w:ascii="Times New Roman" w:hAnsi="Times New Roman"/>
            </w:rPr>
            <w:t>Sociedad Portuaria Océanos S.A.</w:t>
          </w:r>
        </w:p>
        <w:p w14:paraId="063F5474" w14:textId="77777777" w:rsidR="00274429" w:rsidRPr="00B0482C" w:rsidRDefault="00274429" w:rsidP="00E60BAB">
          <w:pPr>
            <w:pStyle w:val="Prrafodelista"/>
            <w:numPr>
              <w:ilvl w:val="0"/>
              <w:numId w:val="136"/>
            </w:numPr>
            <w:spacing w:line="259" w:lineRule="auto"/>
            <w:rPr>
              <w:rFonts w:ascii="Times New Roman" w:hAnsi="Times New Roman"/>
              <w:b/>
              <w:bCs/>
              <w:sz w:val="24"/>
              <w:szCs w:val="24"/>
            </w:rPr>
          </w:pPr>
          <w:r w:rsidRPr="00B0482C">
            <w:rPr>
              <w:rFonts w:ascii="Times New Roman" w:hAnsi="Times New Roman"/>
              <w:b/>
              <w:bCs/>
              <w:sz w:val="24"/>
              <w:szCs w:val="24"/>
            </w:rPr>
            <w:lastRenderedPageBreak/>
            <w:t>Términos significativos del acuerdo que puedan afectar su valor, el calendario y la certeza de los flujos</w:t>
          </w:r>
        </w:p>
        <w:p w14:paraId="469792B9" w14:textId="16508F1B"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valor:</w:t>
          </w:r>
        </w:p>
        <w:p w14:paraId="3FE49FF8" w14:textId="77777777" w:rsidR="00274429" w:rsidRDefault="00274429" w:rsidP="00274429">
          <w:pPr>
            <w:jc w:val="both"/>
            <w:rPr>
              <w:rFonts w:ascii="Times New Roman" w:hAnsi="Times New Roman"/>
              <w:sz w:val="24"/>
              <w:szCs w:val="24"/>
            </w:rPr>
          </w:pPr>
          <w:r w:rsidRPr="00FC7585">
            <w:rPr>
              <w:rFonts w:ascii="Times New Roman" w:hAnsi="Times New Roman"/>
              <w:b/>
              <w:bCs/>
              <w:sz w:val="24"/>
              <w:szCs w:val="24"/>
            </w:rPr>
            <w:t xml:space="preserve">Tarifas: </w:t>
          </w:r>
          <w:r w:rsidRPr="008D76BD">
            <w:rPr>
              <w:rFonts w:ascii="Times New Roman" w:hAnsi="Times New Roman"/>
              <w:sz w:val="24"/>
              <w:szCs w:val="24"/>
            </w:rPr>
            <w:t xml:space="preserve">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 </w:t>
          </w:r>
        </w:p>
        <w:p w14:paraId="40D9C1FD" w14:textId="77777777" w:rsidR="00274429" w:rsidRPr="00DC2626" w:rsidRDefault="00274429" w:rsidP="00274429">
          <w:pPr>
            <w:jc w:val="both"/>
            <w:rPr>
              <w:rFonts w:ascii="Times New Roman" w:hAnsi="Times New Roman"/>
              <w:sz w:val="24"/>
              <w:szCs w:val="24"/>
            </w:rPr>
          </w:pPr>
          <w:r w:rsidRPr="009A46BB">
            <w:rPr>
              <w:rFonts w:ascii="Times New Roman" w:hAnsi="Times New Roman"/>
              <w:b/>
            </w:rPr>
            <w:t>Contraprestación portuaria</w:t>
          </w:r>
          <w:r w:rsidRPr="009A46BB">
            <w:rPr>
              <w:rFonts w:ascii="Times New Roman" w:hAnsi="Times New Roman"/>
            </w:rPr>
            <w:t xml:space="preserve">: </w:t>
          </w:r>
          <w:r w:rsidRPr="00DC2626">
            <w:rPr>
              <w:rFonts w:ascii="Times New Roman" w:hAnsi="Times New Roman"/>
              <w:sz w:val="24"/>
              <w:szCs w:val="24"/>
            </w:rPr>
            <w:t>De acuerdo con el último documento contractual vigente la metodología de contraprestación vigente es CONPES 3744 de 2013 (Componentes Fijo y Variable). A febrero de 2022 el CONCESIONARIO debió pagar la suma de USD $ USD 31.283,19</w:t>
          </w:r>
        </w:p>
        <w:p w14:paraId="7CF3D907" w14:textId="77777777" w:rsidR="00274429" w:rsidRDefault="00274429" w:rsidP="00274429">
          <w:pPr>
            <w:jc w:val="both"/>
            <w:rPr>
              <w:rFonts w:ascii="Times New Roman" w:hAnsi="Times New Roman"/>
              <w:sz w:val="24"/>
              <w:szCs w:val="24"/>
            </w:rPr>
          </w:pPr>
          <w:r w:rsidRPr="00DC2626">
            <w:rPr>
              <w:rFonts w:ascii="Times New Roman" w:hAnsi="Times New Roman"/>
              <w:sz w:val="24"/>
              <w:szCs w:val="24"/>
            </w:rPr>
            <w:t xml:space="preserve"> por componente fijo.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distrito de Cartagena; e INFRAESTRUCTURA en un 100% a la Nación - Instituto Nacional de Vías (INVIAS).</w:t>
          </w:r>
        </w:p>
        <w:p w14:paraId="31D9E4BE" w14:textId="77777777" w:rsidR="00274429" w:rsidRPr="00DB722E" w:rsidRDefault="00274429" w:rsidP="00274429">
          <w:pPr>
            <w:jc w:val="both"/>
            <w:rPr>
              <w:rFonts w:ascii="Times New Roman" w:hAnsi="Times New Roman"/>
              <w:sz w:val="24"/>
              <w:szCs w:val="24"/>
            </w:rPr>
          </w:pPr>
          <w:r w:rsidRPr="00DB722E">
            <w:rPr>
              <w:rFonts w:ascii="Times New Roman" w:hAnsi="Times New Roman"/>
              <w:sz w:val="24"/>
              <w:szCs w:val="24"/>
            </w:rPr>
            <w:t>Obligaciones del CONCESIONARIO: se encuentran descritas en el Artículo Séptimo de la Resolución 476/2018.</w:t>
          </w:r>
        </w:p>
        <w:p w14:paraId="0F2928F7" w14:textId="77777777" w:rsidR="00274429" w:rsidRPr="00DB722E" w:rsidRDefault="00274429" w:rsidP="00274429">
          <w:pPr>
            <w:jc w:val="both"/>
            <w:rPr>
              <w:rFonts w:ascii="Times New Roman" w:hAnsi="Times New Roman"/>
              <w:sz w:val="24"/>
              <w:szCs w:val="24"/>
            </w:rPr>
          </w:pPr>
          <w:r w:rsidRPr="00DB722E">
            <w:rPr>
              <w:rFonts w:ascii="Times New Roman" w:hAnsi="Times New Roman"/>
              <w:sz w:val="24"/>
              <w:szCs w:val="24"/>
            </w:rPr>
            <w:t xml:space="preserve">Multas y sanciones: están establecidas en Artículo Noveno de la Resolución 476/2018. </w:t>
          </w:r>
        </w:p>
        <w:p w14:paraId="39153A56" w14:textId="77777777" w:rsidR="00274429" w:rsidRDefault="00274429" w:rsidP="00274429">
          <w:pPr>
            <w:jc w:val="both"/>
            <w:rPr>
              <w:rFonts w:ascii="Times New Roman" w:hAnsi="Times New Roman"/>
              <w:b/>
              <w:bCs/>
              <w:sz w:val="24"/>
              <w:szCs w:val="24"/>
            </w:rPr>
          </w:pPr>
          <w:r w:rsidRPr="004C1095">
            <w:rPr>
              <w:rFonts w:ascii="Times New Roman" w:hAnsi="Times New Roman"/>
              <w:b/>
              <w:bCs/>
              <w:sz w:val="24"/>
              <w:szCs w:val="24"/>
            </w:rPr>
            <w:t>Términos de calendario:</w:t>
          </w:r>
        </w:p>
        <w:sdt>
          <w:sdtPr>
            <w:rPr>
              <w:rStyle w:val="Estilo3"/>
            </w:rPr>
            <w:id w:val="-1863042227"/>
            <w:placeholder>
              <w:docPart w:val="E063727FD5904B7B98CDCE30C7209EE7"/>
            </w:placeholder>
          </w:sdtPr>
          <w:sdtEndPr>
            <w:rPr>
              <w:rStyle w:val="Fuentedeprrafopredeter"/>
              <w:rFonts w:ascii="Calibri" w:hAnsi="Calibri"/>
              <w:b/>
              <w:bCs/>
              <w:sz w:val="22"/>
              <w:szCs w:val="24"/>
            </w:rPr>
          </w:sdtEndPr>
          <w:sdtContent>
            <w:p w14:paraId="7E6BCE54" w14:textId="77777777" w:rsidR="00274429" w:rsidRPr="009A46BB" w:rsidRDefault="00274429" w:rsidP="00274429">
              <w:pPr>
                <w:jc w:val="both"/>
                <w:rPr>
                  <w:rFonts w:ascii="Times New Roman" w:hAnsi="Times New Roman"/>
                </w:rPr>
              </w:pPr>
              <w:r w:rsidRPr="009A46BB">
                <w:rPr>
                  <w:rFonts w:ascii="Times New Roman" w:hAnsi="Times New Roman"/>
                </w:rPr>
                <w:t>Tarifas: Aprobadas según la metodología establecida por la Superintendencia General de Puertos hoy Superintendencia de Transporte.</w:t>
              </w:r>
            </w:p>
            <w:p w14:paraId="08D76B99" w14:textId="77777777" w:rsidR="00274429" w:rsidRPr="009A46BB" w:rsidRDefault="00274429" w:rsidP="00274429">
              <w:pPr>
                <w:jc w:val="both"/>
                <w:rPr>
                  <w:rFonts w:ascii="Times New Roman" w:hAnsi="Times New Roman"/>
                </w:rPr>
              </w:pPr>
              <w:r w:rsidRPr="009A46BB">
                <w:rPr>
                  <w:rFonts w:ascii="Times New Roman" w:hAnsi="Times New Roman"/>
                </w:rPr>
                <w:t>Contraprestación portuaria: La contraprestación se debe pagar de manera anual anticipada, además es de indicar que por tratarse de un contrato cuya metodología de contraprestación corresponde a lo establecido en el CONPES 3744 de 2013 se debe pagar el último día del mes de febrero de cada año.</w:t>
              </w:r>
            </w:p>
            <w:p w14:paraId="4B478275" w14:textId="77777777" w:rsidR="00274429" w:rsidRPr="009A46BB" w:rsidRDefault="00274429" w:rsidP="00274429">
              <w:pPr>
                <w:jc w:val="both"/>
                <w:rPr>
                  <w:rFonts w:ascii="Times New Roman" w:hAnsi="Times New Roman"/>
                </w:rPr>
              </w:pPr>
              <w:r w:rsidRPr="009A46BB">
                <w:rPr>
                  <w:rFonts w:ascii="Times New Roman" w:hAnsi="Times New Roman"/>
                </w:rPr>
                <w:t>Multas: Artículo Noveno de la Resolución 476/2018</w:t>
              </w:r>
            </w:p>
          </w:sdtContent>
        </w:sdt>
        <w:p w14:paraId="5EE39E9C" w14:textId="0D262450" w:rsidR="00274429" w:rsidRDefault="00274429" w:rsidP="10D44305">
          <w:pPr>
            <w:jc w:val="both"/>
            <w:rPr>
              <w:rFonts w:ascii="Times New Roman" w:hAnsi="Times New Roman"/>
              <w:sz w:val="24"/>
              <w:szCs w:val="24"/>
            </w:rPr>
          </w:pPr>
          <w:r w:rsidRPr="10D44305">
            <w:rPr>
              <w:rFonts w:ascii="Times New Roman" w:hAnsi="Times New Roman"/>
              <w:b/>
              <w:bCs/>
              <w:sz w:val="24"/>
              <w:szCs w:val="24"/>
            </w:rPr>
            <w:t>Términos de certeza de flujos de efectivo futuros:</w:t>
          </w:r>
        </w:p>
        <w:p w14:paraId="04ED7F4C" w14:textId="742244E9" w:rsidR="796BAB71" w:rsidRDefault="796BAB71" w:rsidP="10D44305">
          <w:pPr>
            <w:jc w:val="both"/>
            <w:rPr>
              <w:rFonts w:ascii="Times New Roman" w:hAnsi="Times New Roman"/>
              <w:sz w:val="24"/>
              <w:szCs w:val="24"/>
            </w:rPr>
          </w:pPr>
          <w:r w:rsidRPr="10D44305">
            <w:rPr>
              <w:rFonts w:ascii="Times New Roman" w:hAnsi="Times New Roman"/>
              <w:sz w:val="24"/>
              <w:szCs w:val="24"/>
            </w:rPr>
            <w:t xml:space="preserve">Tarifas: Aprobadas según la metodología establecida por la Superintendencia General de Puertos hoy Superintendencia de Transporte. </w:t>
          </w:r>
        </w:p>
        <w:p w14:paraId="3345EAFD" w14:textId="3A7F5E62" w:rsidR="796BAB71" w:rsidRDefault="796BAB71" w:rsidP="10D44305">
          <w:pPr>
            <w:jc w:val="both"/>
            <w:rPr>
              <w:rFonts w:ascii="Times New Roman" w:hAnsi="Times New Roman"/>
              <w:sz w:val="24"/>
              <w:szCs w:val="24"/>
            </w:rPr>
          </w:pPr>
          <w:r w:rsidRPr="10D44305">
            <w:rPr>
              <w:rFonts w:ascii="Times New Roman" w:hAnsi="Times New Roman"/>
              <w:sz w:val="24"/>
              <w:szCs w:val="24"/>
            </w:rPr>
            <w:t xml:space="preserve">Contraprestación portuaria: La contraprestación se debe pagar de manera anual anticipada, además es de indicar que por tratarse de un contrato cuya metodología de contraprestación corresponde a lo establecido en el CONPES 3744 de 2013 se debe pagar el último día del mes de febrero de cada año. </w:t>
          </w:r>
        </w:p>
        <w:p w14:paraId="092DDA0B" w14:textId="07535C22" w:rsidR="796BAB71" w:rsidRDefault="796BAB71" w:rsidP="10D44305">
          <w:pPr>
            <w:jc w:val="both"/>
          </w:pPr>
          <w:r w:rsidRPr="10D44305">
            <w:rPr>
              <w:rFonts w:ascii="Times New Roman" w:hAnsi="Times New Roman"/>
              <w:sz w:val="24"/>
              <w:szCs w:val="24"/>
            </w:rPr>
            <w:t xml:space="preserve"> Multas: Artículo Noveno de la Resolución 476/2018 </w:t>
          </w:r>
          <w:r w:rsidRPr="10D44305">
            <w:rPr>
              <w:rFonts w:ascii="Times New Roman" w:hAnsi="Times New Roman"/>
              <w:b/>
              <w:bCs/>
              <w:sz w:val="24"/>
              <w:szCs w:val="24"/>
            </w:rPr>
            <w:t xml:space="preserve">  </w:t>
          </w:r>
        </w:p>
        <w:p w14:paraId="7692E3E5" w14:textId="77777777" w:rsidR="00274429" w:rsidRPr="003C54C8" w:rsidRDefault="00274429" w:rsidP="00E60BAB">
          <w:pPr>
            <w:pStyle w:val="Prrafodelista"/>
            <w:numPr>
              <w:ilvl w:val="0"/>
              <w:numId w:val="136"/>
            </w:numPr>
            <w:spacing w:line="259" w:lineRule="auto"/>
            <w:jc w:val="both"/>
            <w:rPr>
              <w:rFonts w:ascii="Times New Roman" w:hAnsi="Times New Roman"/>
              <w:b/>
              <w:bCs/>
              <w:sz w:val="24"/>
              <w:szCs w:val="24"/>
            </w:rPr>
          </w:pPr>
          <w:r w:rsidRPr="003C54C8">
            <w:rPr>
              <w:rFonts w:ascii="Times New Roman" w:hAnsi="Times New Roman"/>
              <w:b/>
              <w:bCs/>
              <w:sz w:val="24"/>
              <w:szCs w:val="24"/>
            </w:rPr>
            <w:lastRenderedPageBreak/>
            <w:t>Naturaleza y alcance del derecho a utilizar activos especificados, de los aspectos pactados en torno a lo que se espera que el concesionario proporcione en relación con el acuerdo de concesión (Se requiere ser breves, precisos, y concisos en la redacción)</w:t>
          </w:r>
        </w:p>
        <w:p w14:paraId="7C3DBEA6" w14:textId="77777777" w:rsidR="00274429" w:rsidRDefault="00274429" w:rsidP="00274429">
          <w:pPr>
            <w:jc w:val="both"/>
            <w:rPr>
              <w:rFonts w:ascii="Times New Roman" w:hAnsi="Times New Roman"/>
              <w:b/>
              <w:bCs/>
              <w:sz w:val="24"/>
              <w:szCs w:val="24"/>
            </w:rPr>
          </w:pPr>
          <w:r w:rsidRPr="00217110">
            <w:rPr>
              <w:rFonts w:ascii="Times New Roman" w:hAnsi="Times New Roman"/>
              <w:b/>
              <w:bCs/>
              <w:sz w:val="24"/>
              <w:szCs w:val="24"/>
            </w:rPr>
            <w:t>Naturaleza y alcance del derecho de uso de los activos</w:t>
          </w:r>
        </w:p>
        <w:p w14:paraId="4032DD95" w14:textId="6923D19C" w:rsidR="412D5CA4" w:rsidRDefault="412D5CA4" w:rsidP="10D44305">
          <w:pPr>
            <w:jc w:val="both"/>
            <w:rPr>
              <w:rFonts w:ascii="Times New Roman" w:hAnsi="Times New Roman"/>
              <w:sz w:val="24"/>
              <w:szCs w:val="24"/>
            </w:rPr>
          </w:pPr>
          <w:r w:rsidRPr="10D44305">
            <w:rPr>
              <w:rFonts w:ascii="Times New Roman" w:hAnsi="Times New Roman"/>
              <w:sz w:val="24"/>
              <w:szCs w:val="24"/>
            </w:rPr>
            <w:t xml:space="preserve">Descripción del proyecto, especificaciones técnicas, modalidades de operación: las condiciones especiales de operación del puerto están establecidas en el Artículo Segundo. </w:t>
          </w:r>
        </w:p>
        <w:p w14:paraId="3A38E75C" w14:textId="3014B66D" w:rsidR="412D5CA4" w:rsidRDefault="412D5CA4" w:rsidP="10D44305">
          <w:pPr>
            <w:jc w:val="both"/>
            <w:rPr>
              <w:rFonts w:ascii="Times New Roman" w:hAnsi="Times New Roman"/>
              <w:sz w:val="24"/>
              <w:szCs w:val="24"/>
            </w:rPr>
          </w:pPr>
          <w:r w:rsidRPr="10D44305">
            <w:rPr>
              <w:rFonts w:ascii="Times New Roman" w:hAnsi="Times New Roman"/>
              <w:sz w:val="24"/>
              <w:szCs w:val="24"/>
            </w:rPr>
            <w:t xml:space="preserve">Área entregada en concesión: La descripción de la ubicación, linderos y extensión de los bienes de uso público (playas y terrenos de baja mar, zonas marítimas accesorias de maniobras) entregados en concesión están establecidos en Artículo Segundo.  </w:t>
          </w:r>
        </w:p>
        <w:p w14:paraId="69061652" w14:textId="18CA7297" w:rsidR="412D5CA4" w:rsidRDefault="412D5CA4" w:rsidP="10D44305">
          <w:pPr>
            <w:jc w:val="both"/>
          </w:pPr>
          <w:r w:rsidRPr="10D44305">
            <w:rPr>
              <w:rFonts w:ascii="Times New Roman" w:hAnsi="Times New Roman"/>
              <w:sz w:val="24"/>
              <w:szCs w:val="24"/>
            </w:rPr>
            <w:t xml:space="preserve"> Infraestructura y equipos entregados en concesión: En Artículo Segundo de la resolución, se describe que lo entregado en concesión fue un muelle marginal. </w:t>
          </w:r>
          <w:r w:rsidRPr="10D44305">
            <w:rPr>
              <w:rFonts w:ascii="Times New Roman" w:hAnsi="Times New Roman"/>
              <w:b/>
              <w:bCs/>
              <w:sz w:val="24"/>
              <w:szCs w:val="24"/>
            </w:rPr>
            <w:t xml:space="preserve"> </w:t>
          </w:r>
        </w:p>
        <w:p w14:paraId="356AE848" w14:textId="77777777" w:rsidR="00274429" w:rsidRPr="00ED266C" w:rsidRDefault="00274429" w:rsidP="00274429">
          <w:pPr>
            <w:jc w:val="both"/>
            <w:rPr>
              <w:rFonts w:ascii="Times New Roman" w:hAnsi="Times New Roman"/>
              <w:sz w:val="24"/>
              <w:szCs w:val="24"/>
            </w:rPr>
          </w:pPr>
          <w:r w:rsidRPr="003E5FA9">
            <w:rPr>
              <w:rFonts w:ascii="Times New Roman" w:hAnsi="Times New Roman"/>
              <w:b/>
              <w:bCs/>
              <w:sz w:val="24"/>
              <w:szCs w:val="24"/>
            </w:rPr>
            <w:t>Observaciones:</w:t>
          </w:r>
          <w:r>
            <w:rPr>
              <w:rFonts w:ascii="Times New Roman" w:hAnsi="Times New Roman"/>
              <w:b/>
              <w:bCs/>
              <w:sz w:val="24"/>
              <w:szCs w:val="24"/>
            </w:rPr>
            <w:t xml:space="preserve"> </w:t>
          </w:r>
          <w:r>
            <w:rPr>
              <w:rFonts w:ascii="Times New Roman" w:hAnsi="Times New Roman"/>
              <w:sz w:val="24"/>
              <w:szCs w:val="24"/>
            </w:rPr>
            <w:t>NA</w:t>
          </w:r>
        </w:p>
        <w:p w14:paraId="615DD43E" w14:textId="77777777" w:rsidR="00274429" w:rsidRDefault="00274429" w:rsidP="00274429">
          <w:pPr>
            <w:jc w:val="both"/>
            <w:rPr>
              <w:rFonts w:ascii="Times New Roman" w:hAnsi="Times New Roman"/>
              <w:b/>
              <w:bCs/>
              <w:sz w:val="24"/>
              <w:szCs w:val="24"/>
            </w:rPr>
          </w:pPr>
          <w:r>
            <w:rPr>
              <w:rFonts w:ascii="Times New Roman" w:hAnsi="Times New Roman"/>
              <w:b/>
              <w:bCs/>
              <w:sz w:val="24"/>
              <w:szCs w:val="24"/>
            </w:rPr>
            <w:t>Retribución al Concesionario</w:t>
          </w:r>
        </w:p>
        <w:p w14:paraId="67A4304E" w14:textId="37199E6E" w:rsidR="00274429" w:rsidRDefault="00274429" w:rsidP="00274429">
          <w:pPr>
            <w:jc w:val="both"/>
            <w:rPr>
              <w:rStyle w:val="Estilo3"/>
            </w:rPr>
          </w:pPr>
          <w:r w:rsidRPr="10D44305">
            <w:rPr>
              <w:rFonts w:ascii="Times New Roman" w:hAnsi="Times New Roman"/>
              <w:b/>
              <w:bCs/>
            </w:rPr>
            <w:t xml:space="preserve">Descripción: </w:t>
          </w:r>
          <w:r w:rsidR="75680C69" w:rsidRPr="10D44305">
            <w:rPr>
              <w:rFonts w:ascii="Times New Roman" w:hAnsi="Times New Roman"/>
            </w:rPr>
            <w:t>NA</w:t>
          </w:r>
        </w:p>
        <w:p w14:paraId="20DDFBC0" w14:textId="1B3DCE0E" w:rsidR="00274429" w:rsidRPr="009A46BB" w:rsidRDefault="00274429" w:rsidP="00274429">
          <w:pPr>
            <w:jc w:val="both"/>
            <w:rPr>
              <w:rFonts w:ascii="Times New Roman" w:hAnsi="Times New Roman"/>
            </w:rPr>
          </w:pPr>
          <w:r w:rsidRPr="009A46BB">
            <w:rPr>
              <w:rFonts w:ascii="Times New Roman" w:hAnsi="Times New Roman"/>
            </w:rPr>
            <w:t>Descripción:</w:t>
          </w:r>
          <w:r w:rsidR="0D9C95E8" w:rsidRPr="10D44305">
            <w:rPr>
              <w:rFonts w:ascii="Times New Roman" w:hAnsi="Times New Roman"/>
            </w:rPr>
            <w:t xml:space="preserve"> </w:t>
          </w:r>
          <w:r w:rsidRPr="009A46BB">
            <w:rPr>
              <w:rFonts w:ascii="Times New Roman" w:hAnsi="Times New Roman"/>
            </w:rPr>
            <w:t>En el Artículo Primero de la Resolución 476 de 2018 indica que se permite al CONCESIONARIO operar el muelle ubicado en la ciudad de Cartagena de Indias, Departamento de Bolívar, Albornoz vía Mamonal 1-504, en el cual se destinará al descargue y tránsito de camarón de cultivo que proviene de manera directa de las granjas de su propiedad u ocasionalmente de terceros proveedores y el desarrollo de actividades portuarias de servicio privado, a cambio a de la contraprestación económica</w:t>
          </w:r>
        </w:p>
        <w:p w14:paraId="7F0FBF4D" w14:textId="77777777" w:rsidR="00274429" w:rsidRPr="00351837" w:rsidRDefault="00274429" w:rsidP="00274429">
          <w:pPr>
            <w:jc w:val="both"/>
            <w:rPr>
              <w:rFonts w:ascii="Times New Roman" w:hAnsi="Times New Roman"/>
              <w:b/>
              <w:bCs/>
              <w:sz w:val="24"/>
              <w:szCs w:val="24"/>
            </w:rPr>
          </w:pPr>
          <w:r>
            <w:rPr>
              <w:rFonts w:ascii="Times New Roman" w:hAnsi="Times New Roman"/>
              <w:b/>
              <w:bCs/>
              <w:sz w:val="24"/>
              <w:szCs w:val="24"/>
            </w:rPr>
            <w:t>Tasa de retribución: NA</w:t>
          </w:r>
        </w:p>
        <w:p w14:paraId="1A2AE2EA" w14:textId="77777777" w:rsidR="00274429" w:rsidRPr="00421699" w:rsidRDefault="00274429" w:rsidP="00E60BAB">
          <w:pPr>
            <w:pStyle w:val="Prrafodelista"/>
            <w:numPr>
              <w:ilvl w:val="0"/>
              <w:numId w:val="136"/>
            </w:numPr>
            <w:spacing w:line="259" w:lineRule="auto"/>
            <w:jc w:val="both"/>
            <w:rPr>
              <w:rFonts w:ascii="Times New Roman" w:hAnsi="Times New Roman"/>
              <w:b/>
              <w:bCs/>
              <w:sz w:val="24"/>
              <w:szCs w:val="24"/>
            </w:rPr>
          </w:pPr>
          <w:r w:rsidRPr="00421699">
            <w:rPr>
              <w:rFonts w:ascii="Times New Roman" w:hAnsi="Times New Roman"/>
              <w:b/>
              <w:bCs/>
              <w:sz w:val="24"/>
              <w:szCs w:val="24"/>
            </w:rPr>
            <w:t>Derechos a recibir activos especificados al final del acuerdo de concesión</w:t>
          </w:r>
        </w:p>
        <w:p w14:paraId="7A4FDAE2" w14:textId="5C8C6178" w:rsidR="00274429" w:rsidRDefault="00274429" w:rsidP="00274429">
          <w:pPr>
            <w:jc w:val="both"/>
            <w:rPr>
              <w:rFonts w:ascii="Times New Roman" w:hAnsi="Times New Roman"/>
            </w:rPr>
          </w:pPr>
          <w:r w:rsidRPr="009A46BB">
            <w:rPr>
              <w:rFonts w:ascii="Times New Roman" w:hAnsi="Times New Roman"/>
              <w:b/>
            </w:rPr>
            <w:t xml:space="preserve">Descripción: </w:t>
          </w:r>
          <w:r w:rsidRPr="009A46BB">
            <w:rPr>
              <w:rFonts w:ascii="Times New Roman" w:hAnsi="Times New Roman"/>
            </w:rPr>
            <w:t>De acuerdo con el Artículo 8º de la Ley 1 de 1991 en el modo portuario el concesionario no tiene derechos finales sobre activos los debe revertir a la Nación al final del contrato de concesión.</w:t>
          </w:r>
        </w:p>
        <w:p w14:paraId="71119EDD" w14:textId="07BC3073" w:rsidR="00274429" w:rsidRPr="009A46BB" w:rsidRDefault="00274429" w:rsidP="10D44305">
          <w:pPr>
            <w:jc w:val="both"/>
            <w:rPr>
              <w:rFonts w:ascii="Times New Roman" w:hAnsi="Times New Roman"/>
            </w:rPr>
          </w:pPr>
          <w:r w:rsidRPr="10D44305">
            <w:rPr>
              <w:rFonts w:ascii="Times New Roman" w:hAnsi="Times New Roman"/>
              <w:b/>
              <w:bCs/>
              <w:sz w:val="24"/>
              <w:szCs w:val="24"/>
            </w:rPr>
            <w:t>Observaciones:</w:t>
          </w:r>
          <w:r w:rsidRPr="10D44305">
            <w:rPr>
              <w:rFonts w:ascii="Times New Roman" w:hAnsi="Times New Roman"/>
            </w:rPr>
            <w:t xml:space="preserve"> </w:t>
          </w:r>
          <w:r w:rsidR="381090A3" w:rsidRPr="10D44305">
            <w:rPr>
              <w:rFonts w:ascii="Times New Roman" w:hAnsi="Times New Roman"/>
            </w:rPr>
            <w:t xml:space="preserve">  Reversión: De acuerdo con lo establecido en el artículo decimo de la resolución para embarcadero, todas las construcciones e inmuebles por destinación, que se encuentren instalados en la zona de uso público otorgada en concesión revertirán gratuitamente por el Concesionario. </w:t>
          </w:r>
        </w:p>
        <w:p w14:paraId="768478B3" w14:textId="64208DCC" w:rsidR="00274429" w:rsidRPr="009A46BB" w:rsidRDefault="381090A3" w:rsidP="10D44305">
          <w:pPr>
            <w:jc w:val="both"/>
          </w:pPr>
          <w:r w:rsidRPr="10D44305">
            <w:rPr>
              <w:rFonts w:ascii="Times New Roman" w:hAnsi="Times New Roman"/>
            </w:rPr>
            <w:t xml:space="preserve"> Para tal fin, en el momento de la reversión el CONCESIONARIO elaborará un inventario de los bienes y los enviará para su revisión y aprobación. </w:t>
          </w:r>
        </w:p>
        <w:p w14:paraId="648D12ED" w14:textId="385A83EF" w:rsidR="00274429" w:rsidRPr="009A46BB" w:rsidRDefault="381090A3" w:rsidP="00274429">
          <w:pPr>
            <w:jc w:val="both"/>
          </w:pPr>
          <w:r w:rsidRPr="10D44305">
            <w:rPr>
              <w:rFonts w:ascii="Times New Roman" w:hAnsi="Times New Roman"/>
            </w:rPr>
            <w:t xml:space="preserve"> La ANI es la entidad concedente pero la titularidad de los activos al final de la concesión es del Instituto Nacional de Vías INVIAS.</w:t>
          </w:r>
        </w:p>
        <w:p w14:paraId="686412B2" w14:textId="32F8CF78" w:rsidR="00274429" w:rsidRPr="00883444" w:rsidRDefault="0335EA82" w:rsidP="00E60BAB">
          <w:pPr>
            <w:pStyle w:val="Prrafodelista"/>
            <w:numPr>
              <w:ilvl w:val="0"/>
              <w:numId w:val="136"/>
            </w:numPr>
            <w:spacing w:line="259" w:lineRule="auto"/>
            <w:rPr>
              <w:rFonts w:ascii="Times New Roman" w:hAnsi="Times New Roman"/>
              <w:b/>
              <w:bCs/>
              <w:sz w:val="24"/>
              <w:szCs w:val="24"/>
            </w:rPr>
          </w:pPr>
          <w:r w:rsidRPr="10D44305">
            <w:rPr>
              <w:rFonts w:ascii="Times New Roman" w:hAnsi="Times New Roman"/>
              <w:b/>
              <w:bCs/>
              <w:sz w:val="24"/>
              <w:szCs w:val="24"/>
            </w:rPr>
            <w:t>No hay c</w:t>
          </w:r>
          <w:r w:rsidR="00274429" w:rsidRPr="10D44305">
            <w:rPr>
              <w:rFonts w:ascii="Times New Roman" w:hAnsi="Times New Roman"/>
              <w:b/>
              <w:bCs/>
              <w:sz w:val="24"/>
              <w:szCs w:val="24"/>
            </w:rPr>
            <w:t>ambios</w:t>
          </w:r>
          <w:r w:rsidR="00274429" w:rsidRPr="00883444">
            <w:rPr>
              <w:rFonts w:ascii="Times New Roman" w:hAnsi="Times New Roman"/>
              <w:b/>
              <w:bCs/>
              <w:sz w:val="24"/>
              <w:szCs w:val="24"/>
            </w:rPr>
            <w:t xml:space="preserve"> en el acuerdo de concesión que se realicen durante el periodo fiscal </w:t>
          </w:r>
        </w:p>
        <w:p w14:paraId="04D3BED4" w14:textId="77777777" w:rsidR="00274429" w:rsidRPr="00197A12" w:rsidRDefault="00274429" w:rsidP="00274429">
          <w:pPr>
            <w:spacing w:after="0" w:line="240" w:lineRule="auto"/>
            <w:jc w:val="both"/>
            <w:rPr>
              <w:rFonts w:ascii="Times New Roman" w:hAnsi="Times New Roman"/>
              <w:b/>
              <w:bCs/>
              <w:sz w:val="24"/>
              <w:szCs w:val="24"/>
            </w:rPr>
          </w:pPr>
        </w:p>
        <w:p w14:paraId="4A4C6EC2" w14:textId="77777777" w:rsidR="00274429" w:rsidRPr="00197A12" w:rsidRDefault="00274429" w:rsidP="00274429">
          <w:pPr>
            <w:spacing w:after="0" w:line="240" w:lineRule="auto"/>
            <w:jc w:val="both"/>
            <w:rPr>
              <w:rFonts w:ascii="Times New Roman" w:hAnsi="Times New Roman"/>
              <w:b/>
              <w:bCs/>
              <w:sz w:val="24"/>
              <w:szCs w:val="24"/>
            </w:rPr>
          </w:pPr>
        </w:p>
        <w:p w14:paraId="7141D49A" w14:textId="77777777" w:rsidR="00274429" w:rsidRDefault="00274429" w:rsidP="00274429">
          <w:pPr>
            <w:rPr>
              <w:rFonts w:ascii="Times New Roman" w:hAnsi="Times New Roman"/>
              <w:b/>
              <w:sz w:val="24"/>
              <w:szCs w:val="24"/>
            </w:rPr>
          </w:pPr>
          <w:r w:rsidRPr="10D44305">
            <w:rPr>
              <w:rFonts w:ascii="Times New Roman" w:hAnsi="Times New Roman"/>
              <w:b/>
              <w:bCs/>
              <w:sz w:val="24"/>
              <w:szCs w:val="24"/>
            </w:rPr>
            <w:lastRenderedPageBreak/>
            <w:t>SOCIEDAD PORTUARIA</w:t>
          </w:r>
          <w:r w:rsidRPr="10D44305">
            <w:rPr>
              <w:rFonts w:ascii="Times New Roman" w:hAnsi="Times New Roman"/>
              <w:b/>
              <w:sz w:val="24"/>
              <w:szCs w:val="24"/>
            </w:rPr>
            <w:t xml:space="preserve"> PUERTO BAHÍA COLOMBIA DE URABÁ S.A.</w:t>
          </w:r>
        </w:p>
        <w:p w14:paraId="058606C5" w14:textId="77777777" w:rsidR="00274429" w:rsidRPr="00547EAA" w:rsidRDefault="00274429" w:rsidP="00E60BAB">
          <w:pPr>
            <w:pStyle w:val="Prrafodelista"/>
            <w:numPr>
              <w:ilvl w:val="0"/>
              <w:numId w:val="137"/>
            </w:numPr>
            <w:spacing w:line="259" w:lineRule="auto"/>
            <w:jc w:val="both"/>
            <w:rPr>
              <w:rFonts w:ascii="Times New Roman" w:hAnsi="Times New Roman"/>
              <w:b/>
              <w:bCs/>
              <w:sz w:val="24"/>
              <w:szCs w:val="24"/>
            </w:rPr>
          </w:pPr>
          <w:r w:rsidRPr="00547EAA">
            <w:rPr>
              <w:rFonts w:ascii="Times New Roman" w:hAnsi="Times New Roman"/>
              <w:b/>
              <w:bCs/>
              <w:sz w:val="24"/>
              <w:szCs w:val="24"/>
            </w:rPr>
            <w:t>Descripción del acuerdo</w:t>
          </w:r>
        </w:p>
        <w:p w14:paraId="01BE598F" w14:textId="27057EBA" w:rsidR="00274429" w:rsidRPr="009A46BB" w:rsidRDefault="00274429" w:rsidP="10D44305">
          <w:pPr>
            <w:spacing w:after="0"/>
            <w:rPr>
              <w:rFonts w:ascii="Times New Roman" w:hAnsi="Times New Roman"/>
            </w:rPr>
          </w:pPr>
          <w:r w:rsidRPr="009A46BB">
            <w:rPr>
              <w:rFonts w:ascii="Times New Roman" w:hAnsi="Times New Roman"/>
              <w:b/>
            </w:rPr>
            <w:t>Número del acuerdo de concesión:</w:t>
          </w:r>
          <w:r w:rsidR="76B575D4" w:rsidRPr="10D44305">
            <w:rPr>
              <w:rFonts w:ascii="Times New Roman" w:hAnsi="Times New Roman"/>
              <w:b/>
              <w:bCs/>
            </w:rPr>
            <w:t xml:space="preserve"> </w:t>
          </w:r>
          <w:r w:rsidRPr="009A46BB">
            <w:rPr>
              <w:rFonts w:ascii="Times New Roman" w:hAnsi="Times New Roman"/>
            </w:rPr>
            <w:t xml:space="preserve">Contrato No. 001 de 2019 </w:t>
          </w:r>
        </w:p>
        <w:p w14:paraId="55191F31" w14:textId="367D0E91" w:rsidR="00274429" w:rsidRDefault="00274429" w:rsidP="10D44305">
          <w:pPr>
            <w:spacing w:after="0"/>
            <w:jc w:val="both"/>
            <w:rPr>
              <w:rStyle w:val="Estilo3"/>
            </w:rPr>
          </w:pPr>
          <w:r w:rsidRPr="009A46BB">
            <w:rPr>
              <w:rFonts w:ascii="Times New Roman" w:hAnsi="Times New Roman"/>
              <w:b/>
            </w:rPr>
            <w:t>Objeto / Descripción</w:t>
          </w:r>
          <w:r w:rsidRPr="009A46BB">
            <w:rPr>
              <w:rFonts w:ascii="Times New Roman" w:hAnsi="Times New Roman"/>
            </w:rPr>
            <w:t xml:space="preserve">: </w:t>
          </w:r>
          <w:r w:rsidRPr="00EF026B">
            <w:rPr>
              <w:rStyle w:val="Estilo3"/>
            </w:rPr>
            <w:t xml:space="preserve">Otorgamiento al CONCESIONARIO por parte del CONCEDERTE, de una concesión para autorizar la ocupación en forma temporal y exclusiva de los bienes de uso público descritos en la CLÁUSULA 2 BIENES CONCESIONADOS para la construcción, operación, mantenimiento y administración de un terminal marítimo de uso público a cambio de una contraprestación económica a favor del CONCEDERTE, en los términos descritos en la CLÁUSULA 13 -VALOR DEL CONTRATO Y DE LA CONTRAPRESTACIÓN de este Contrato. </w:t>
          </w:r>
        </w:p>
        <w:p w14:paraId="3FCE8952" w14:textId="53FF0B6A" w:rsidR="00274429" w:rsidRDefault="00274429" w:rsidP="10D44305">
          <w:pPr>
            <w:spacing w:after="0"/>
            <w:jc w:val="both"/>
            <w:rPr>
              <w:rFonts w:ascii="Times New Roman" w:hAnsi="Times New Roman"/>
              <w:sz w:val="24"/>
              <w:szCs w:val="24"/>
            </w:rPr>
          </w:pPr>
          <w:r w:rsidRPr="00521A07">
            <w:rPr>
              <w:rFonts w:ascii="Times New Roman" w:hAnsi="Times New Roman"/>
              <w:b/>
              <w:bCs/>
              <w:sz w:val="24"/>
              <w:szCs w:val="24"/>
            </w:rPr>
            <w:t>Valor inicial:</w:t>
          </w:r>
          <w:r w:rsidR="07853238" w:rsidRPr="10D44305">
            <w:rPr>
              <w:rFonts w:ascii="Times New Roman" w:hAnsi="Times New Roman"/>
              <w:b/>
              <w:bCs/>
              <w:sz w:val="24"/>
              <w:szCs w:val="24"/>
            </w:rPr>
            <w:t xml:space="preserve"> </w:t>
          </w:r>
          <w:r w:rsidRPr="009D29FB">
            <w:rPr>
              <w:rFonts w:ascii="Times New Roman" w:hAnsi="Times New Roman"/>
              <w:sz w:val="24"/>
              <w:szCs w:val="24"/>
            </w:rPr>
            <w:t xml:space="preserve">QUINCE MILLONES CIENTO OCHO MIL SETECIENTOS CINCUENTA YSIETE DOLARES DE LOS ESTADOS UNIDOS DE AMÉRICA (US 15.108.757,00), expresados en los precios constantes de diciembre de 2017. </w:t>
          </w:r>
        </w:p>
        <w:p w14:paraId="7176E58E" w14:textId="77777777" w:rsidR="00274429" w:rsidRDefault="00274429" w:rsidP="009A46BB">
          <w:pPr>
            <w:spacing w:after="0"/>
            <w:rPr>
              <w:rFonts w:ascii="Times New Roman" w:hAnsi="Times New Roman"/>
              <w:sz w:val="24"/>
              <w:szCs w:val="24"/>
            </w:rPr>
          </w:pPr>
          <w:r w:rsidRPr="00521A07">
            <w:rPr>
              <w:rFonts w:ascii="Times New Roman" w:hAnsi="Times New Roman"/>
              <w:b/>
              <w:bCs/>
              <w:sz w:val="24"/>
              <w:szCs w:val="24"/>
            </w:rPr>
            <w:t>Fecha de inicio:</w:t>
          </w:r>
          <w:r>
            <w:rPr>
              <w:rFonts w:ascii="Times New Roman" w:hAnsi="Times New Roman"/>
              <w:b/>
              <w:bCs/>
              <w:sz w:val="24"/>
              <w:szCs w:val="24"/>
            </w:rPr>
            <w:t xml:space="preserve"> </w:t>
          </w:r>
          <w:r>
            <w:rPr>
              <w:rFonts w:ascii="Times New Roman" w:hAnsi="Times New Roman"/>
              <w:sz w:val="24"/>
              <w:szCs w:val="24"/>
            </w:rPr>
            <w:t>17/03/2022</w:t>
          </w:r>
        </w:p>
        <w:p w14:paraId="79515F76" w14:textId="77777777" w:rsidR="00274429" w:rsidRDefault="00274429" w:rsidP="009A46BB">
          <w:pPr>
            <w:spacing w:after="0"/>
            <w:jc w:val="both"/>
            <w:rPr>
              <w:rFonts w:ascii="Times New Roman" w:hAnsi="Times New Roman"/>
              <w:sz w:val="24"/>
              <w:szCs w:val="24"/>
            </w:rPr>
          </w:pPr>
          <w:r w:rsidRPr="00521A07">
            <w:rPr>
              <w:rFonts w:ascii="Times New Roman" w:hAnsi="Times New Roman"/>
              <w:b/>
              <w:bCs/>
              <w:sz w:val="24"/>
              <w:szCs w:val="24"/>
            </w:rPr>
            <w:t>Fecha de finalización estimada:</w:t>
          </w:r>
          <w:r>
            <w:rPr>
              <w:rFonts w:ascii="Times New Roman" w:hAnsi="Times New Roman"/>
              <w:b/>
              <w:bCs/>
              <w:sz w:val="24"/>
              <w:szCs w:val="24"/>
            </w:rPr>
            <w:t xml:space="preserve"> </w:t>
          </w:r>
          <w:r>
            <w:rPr>
              <w:rFonts w:ascii="Times New Roman" w:hAnsi="Times New Roman"/>
              <w:sz w:val="24"/>
              <w:szCs w:val="24"/>
            </w:rPr>
            <w:t>16/03/2052</w:t>
          </w:r>
        </w:p>
        <w:p w14:paraId="41C81AD8" w14:textId="77777777" w:rsidR="00274429" w:rsidRPr="009A46BB" w:rsidRDefault="00274429" w:rsidP="009A46BB">
          <w:pPr>
            <w:spacing w:after="0"/>
            <w:jc w:val="both"/>
            <w:rPr>
              <w:rFonts w:ascii="Times New Roman" w:hAnsi="Times New Roman"/>
            </w:rPr>
          </w:pPr>
          <w:r w:rsidRPr="00521A07">
            <w:rPr>
              <w:rFonts w:ascii="Times New Roman" w:hAnsi="Times New Roman"/>
              <w:b/>
              <w:bCs/>
              <w:sz w:val="24"/>
              <w:szCs w:val="24"/>
            </w:rPr>
            <w:t>Tipo ID:</w:t>
          </w:r>
          <w:r>
            <w:rPr>
              <w:rFonts w:ascii="Times New Roman" w:hAnsi="Times New Roman"/>
              <w:b/>
              <w:bCs/>
              <w:sz w:val="24"/>
              <w:szCs w:val="24"/>
            </w:rPr>
            <w:t xml:space="preserve"> NIT</w:t>
          </w:r>
        </w:p>
        <w:p w14:paraId="34BA9661" w14:textId="77777777" w:rsidR="00274429" w:rsidRDefault="00274429" w:rsidP="009A46BB">
          <w:pPr>
            <w:spacing w:after="0"/>
            <w:rPr>
              <w:rFonts w:ascii="Times New Roman" w:hAnsi="Times New Roman"/>
              <w:sz w:val="24"/>
              <w:szCs w:val="24"/>
            </w:rPr>
          </w:pPr>
          <w:r w:rsidRPr="00521A07">
            <w:rPr>
              <w:rFonts w:ascii="Times New Roman" w:hAnsi="Times New Roman"/>
              <w:b/>
              <w:bCs/>
              <w:sz w:val="24"/>
              <w:szCs w:val="24"/>
            </w:rPr>
            <w:t>Número ID:</w:t>
          </w:r>
          <w:r>
            <w:rPr>
              <w:rFonts w:ascii="Times New Roman" w:hAnsi="Times New Roman"/>
              <w:b/>
              <w:bCs/>
              <w:sz w:val="24"/>
              <w:szCs w:val="24"/>
            </w:rPr>
            <w:t xml:space="preserve"> </w:t>
          </w:r>
          <w:r w:rsidRPr="00F45990">
            <w:rPr>
              <w:rFonts w:ascii="Times New Roman" w:hAnsi="Times New Roman"/>
              <w:sz w:val="24"/>
              <w:szCs w:val="24"/>
            </w:rPr>
            <w:t xml:space="preserve">900.188.593-8 </w:t>
          </w:r>
        </w:p>
        <w:p w14:paraId="7527CCC5" w14:textId="734CC48A" w:rsidR="00274429" w:rsidRPr="009A46BB" w:rsidRDefault="00274429" w:rsidP="009A46BB">
          <w:pPr>
            <w:spacing w:after="0"/>
            <w:rPr>
              <w:rFonts w:ascii="Times New Roman" w:hAnsi="Times New Roman"/>
            </w:rPr>
          </w:pPr>
          <w:r w:rsidRPr="00521A07">
            <w:rPr>
              <w:rFonts w:ascii="Times New Roman" w:hAnsi="Times New Roman"/>
              <w:b/>
              <w:bCs/>
              <w:sz w:val="24"/>
              <w:szCs w:val="24"/>
            </w:rPr>
            <w:t>Razón social del concesionario:</w:t>
          </w:r>
          <w:r w:rsidR="4C1A888D" w:rsidRPr="10D44305">
            <w:rPr>
              <w:rFonts w:ascii="Times New Roman" w:hAnsi="Times New Roman"/>
              <w:b/>
              <w:bCs/>
              <w:sz w:val="24"/>
              <w:szCs w:val="24"/>
            </w:rPr>
            <w:t xml:space="preserve"> </w:t>
          </w:r>
          <w:r w:rsidRPr="009A46BB">
            <w:rPr>
              <w:rFonts w:ascii="Times New Roman" w:hAnsi="Times New Roman"/>
            </w:rPr>
            <w:t>Sociedad Portuaria PUERTO BAHÍA COLOMBIA DE URABÁ S.A.</w:t>
          </w:r>
        </w:p>
        <w:p w14:paraId="12E790FD" w14:textId="3420B9CA" w:rsidR="00274429" w:rsidRDefault="00274429" w:rsidP="009A46BB">
          <w:pPr>
            <w:spacing w:after="0"/>
            <w:rPr>
              <w:rFonts w:ascii="Times New Roman" w:hAnsi="Times New Roman"/>
            </w:rPr>
          </w:pPr>
          <w:r w:rsidRPr="00521A07">
            <w:rPr>
              <w:rFonts w:ascii="Times New Roman" w:hAnsi="Times New Roman"/>
              <w:b/>
              <w:bCs/>
              <w:sz w:val="24"/>
              <w:szCs w:val="24"/>
            </w:rPr>
            <w:t>Nombre del proyecto:</w:t>
          </w:r>
          <w:r w:rsidR="2D73ABB0" w:rsidRPr="10D44305">
            <w:rPr>
              <w:rFonts w:ascii="Times New Roman" w:hAnsi="Times New Roman"/>
              <w:b/>
              <w:bCs/>
              <w:sz w:val="24"/>
              <w:szCs w:val="24"/>
            </w:rPr>
            <w:t xml:space="preserve"> </w:t>
          </w:r>
          <w:r w:rsidRPr="009A46BB">
            <w:rPr>
              <w:rFonts w:ascii="Times New Roman" w:hAnsi="Times New Roman"/>
            </w:rPr>
            <w:t xml:space="preserve">Sociedad Portuaria PUERTO BAHÍA COLOMBIA DE URABÁ S.A. </w:t>
          </w:r>
        </w:p>
        <w:p w14:paraId="031388BC" w14:textId="77777777" w:rsidR="009A46BB" w:rsidRPr="009A46BB" w:rsidRDefault="009A46BB" w:rsidP="009A46BB">
          <w:pPr>
            <w:spacing w:after="0"/>
            <w:rPr>
              <w:rFonts w:ascii="Times New Roman" w:hAnsi="Times New Roman"/>
            </w:rPr>
          </w:pPr>
        </w:p>
        <w:p w14:paraId="58B1F148" w14:textId="77777777" w:rsidR="00274429" w:rsidRPr="00A6393D" w:rsidRDefault="00274429" w:rsidP="00E60BAB">
          <w:pPr>
            <w:pStyle w:val="Prrafodelista"/>
            <w:numPr>
              <w:ilvl w:val="0"/>
              <w:numId w:val="137"/>
            </w:numPr>
            <w:spacing w:line="259" w:lineRule="auto"/>
            <w:rPr>
              <w:rFonts w:ascii="Times New Roman" w:hAnsi="Times New Roman"/>
              <w:b/>
              <w:bCs/>
              <w:sz w:val="24"/>
              <w:szCs w:val="24"/>
            </w:rPr>
          </w:pPr>
          <w:r w:rsidRPr="00A6393D">
            <w:rPr>
              <w:rFonts w:ascii="Times New Roman" w:hAnsi="Times New Roman"/>
              <w:b/>
              <w:bCs/>
              <w:sz w:val="24"/>
              <w:szCs w:val="24"/>
            </w:rPr>
            <w:t>Términos significativos del acuerdo que puedan afectar su valor, el calendario y la certeza de los flujos</w:t>
          </w:r>
        </w:p>
        <w:p w14:paraId="4AD63559" w14:textId="4B05D300" w:rsidR="00274429" w:rsidRDefault="00274429" w:rsidP="10D44305">
          <w:pPr>
            <w:jc w:val="both"/>
            <w:rPr>
              <w:rFonts w:ascii="Times New Roman" w:hAnsi="Times New Roman"/>
              <w:sz w:val="24"/>
              <w:szCs w:val="24"/>
            </w:rPr>
          </w:pPr>
          <w:r w:rsidRPr="00BA4CAE">
            <w:rPr>
              <w:rFonts w:ascii="Times New Roman" w:hAnsi="Times New Roman"/>
              <w:b/>
              <w:bCs/>
              <w:sz w:val="24"/>
              <w:szCs w:val="24"/>
            </w:rPr>
            <w:t>Términos de valor:</w:t>
          </w:r>
          <w:r w:rsidR="249EF8AE" w:rsidRPr="10D44305">
            <w:rPr>
              <w:rFonts w:ascii="Times New Roman" w:hAnsi="Times New Roman"/>
              <w:b/>
              <w:bCs/>
              <w:sz w:val="24"/>
              <w:szCs w:val="24"/>
            </w:rPr>
            <w:t xml:space="preserve"> </w:t>
          </w:r>
        </w:p>
        <w:p w14:paraId="313770FE" w14:textId="01E4F6DF" w:rsidR="00274429" w:rsidRDefault="249EF8AE" w:rsidP="10D44305">
          <w:pPr>
            <w:jc w:val="both"/>
            <w:rPr>
              <w:rFonts w:ascii="Times New Roman" w:hAnsi="Times New Roman"/>
              <w:sz w:val="24"/>
              <w:szCs w:val="24"/>
            </w:rPr>
          </w:pPr>
          <w:r w:rsidRPr="10D44305">
            <w:rPr>
              <w:rFonts w:ascii="Times New Roman" w:hAnsi="Times New Roman"/>
              <w:sz w:val="24"/>
              <w:szCs w:val="24"/>
            </w:rPr>
            <w:t xml:space="preserve">Tarifas: Al ser el terminal marítimo de servicio público la Ley 1 de 1991 establece: Las sociedades portuarias que operan puertos de servicio informarán a la Superintendencia General de Puertos hoy Superintendencia de Transporte. </w:t>
          </w:r>
        </w:p>
        <w:p w14:paraId="704B965F" w14:textId="0149928B" w:rsidR="00274429" w:rsidRDefault="249EF8AE" w:rsidP="10D44305">
          <w:pPr>
            <w:jc w:val="both"/>
            <w:rPr>
              <w:rFonts w:ascii="Times New Roman" w:hAnsi="Times New Roman"/>
              <w:sz w:val="24"/>
              <w:szCs w:val="24"/>
            </w:rPr>
          </w:pPr>
          <w:r w:rsidRPr="10D44305">
            <w:rPr>
              <w:rFonts w:ascii="Times New Roman" w:hAnsi="Times New Roman"/>
              <w:sz w:val="24"/>
              <w:szCs w:val="24"/>
            </w:rPr>
            <w:t xml:space="preserve"> CLAUSULA 12 PLAN DE INVERSIONES  </w:t>
          </w:r>
        </w:p>
        <w:p w14:paraId="7045A595" w14:textId="1D66354D" w:rsidR="00274429" w:rsidRDefault="249EF8AE" w:rsidP="10D44305">
          <w:pPr>
            <w:jc w:val="both"/>
            <w:rPr>
              <w:rFonts w:ascii="Times New Roman" w:hAnsi="Times New Roman"/>
              <w:sz w:val="24"/>
              <w:szCs w:val="24"/>
            </w:rPr>
          </w:pPr>
          <w:r w:rsidRPr="10D44305">
            <w:rPr>
              <w:rFonts w:ascii="Times New Roman" w:hAnsi="Times New Roman"/>
              <w:sz w:val="24"/>
              <w:szCs w:val="24"/>
            </w:rPr>
            <w:t xml:space="preserve"> El CONCESIONARIO, ejecutará durante los primeros (3) años de concesión, inversiones por valor de US 300.276.000,00, constantes de diciembre de 2017, de los cuales la suma de US 247.996.000,00, constantes de diciembre de 2017, corresponde a las obras civiles y la suma de US 52.280.000,00, constantes de Diciembre de 2017, corresponden a los equipos del proyecto.  </w:t>
          </w:r>
        </w:p>
        <w:p w14:paraId="6774B178" w14:textId="76F32589" w:rsidR="00274429" w:rsidRDefault="249EF8AE" w:rsidP="10D44305">
          <w:pPr>
            <w:jc w:val="both"/>
            <w:rPr>
              <w:rFonts w:ascii="Times New Roman" w:hAnsi="Times New Roman"/>
              <w:sz w:val="24"/>
              <w:szCs w:val="24"/>
            </w:rPr>
          </w:pPr>
          <w:r w:rsidRPr="10D44305">
            <w:rPr>
              <w:rFonts w:ascii="Times New Roman" w:hAnsi="Times New Roman"/>
              <w:sz w:val="24"/>
              <w:szCs w:val="24"/>
            </w:rPr>
            <w:t xml:space="preserve"> De acuerdo con el último documento contractual la metodología de contraprestación vigente es CONPES 3744 de 2013 (Componentes Fijo y Variable).A febrero de 2022 se proyectó que el CONCESIONARIO debió pagar la suma de USD $59.478, valor que incluye componente fijo y componente variable.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w:t>
          </w:r>
          <w:r w:rsidRPr="10D44305">
            <w:rPr>
              <w:rFonts w:ascii="Times New Roman" w:hAnsi="Times New Roman"/>
              <w:sz w:val="24"/>
              <w:szCs w:val="24"/>
            </w:rPr>
            <w:lastRenderedPageBreak/>
            <w:t xml:space="preserve">Municipio de Turbo; e INFRAESTRUCTURA en un 100% a la Nación - Instituto Nacional de Vías (INVIAS). </w:t>
          </w:r>
        </w:p>
        <w:p w14:paraId="7D2257EF" w14:textId="75CACC6F" w:rsidR="00274429" w:rsidRDefault="249EF8AE" w:rsidP="10D44305">
          <w:pPr>
            <w:jc w:val="both"/>
            <w:rPr>
              <w:rFonts w:ascii="Times New Roman" w:hAnsi="Times New Roman"/>
              <w:sz w:val="24"/>
              <w:szCs w:val="24"/>
            </w:rPr>
          </w:pPr>
          <w:r w:rsidRPr="10D44305">
            <w:rPr>
              <w:rFonts w:ascii="Times New Roman" w:hAnsi="Times New Roman"/>
              <w:sz w:val="24"/>
              <w:szCs w:val="24"/>
            </w:rPr>
            <w:t xml:space="preserve"> CLAÚSULA18 RÉGIMEN DE TARIFAS  </w:t>
          </w:r>
        </w:p>
        <w:p w14:paraId="0B490021" w14:textId="20F3C3C6" w:rsidR="00274429" w:rsidRDefault="249EF8AE" w:rsidP="10D44305">
          <w:pPr>
            <w:jc w:val="both"/>
            <w:rPr>
              <w:rFonts w:ascii="Times New Roman" w:hAnsi="Times New Roman"/>
              <w:sz w:val="24"/>
              <w:szCs w:val="24"/>
            </w:rPr>
          </w:pPr>
          <w:r w:rsidRPr="10D44305">
            <w:rPr>
              <w:rFonts w:ascii="Times New Roman" w:hAnsi="Times New Roman"/>
              <w:sz w:val="24"/>
              <w:szCs w:val="24"/>
            </w:rPr>
            <w:t xml:space="preserve"> El CONCESIONARIO, se compromete a cumplir con el Régimen de Tarifas, a pagar la tasa de vigilancia vigente y la contraprestación establecida de acuerdo con las normas legales vigentes sobre la materia.  </w:t>
          </w:r>
        </w:p>
        <w:p w14:paraId="5F287621" w14:textId="675BE615" w:rsidR="00274429" w:rsidRDefault="249EF8AE" w:rsidP="10D44305">
          <w:pPr>
            <w:jc w:val="both"/>
            <w:rPr>
              <w:rFonts w:ascii="Times New Roman" w:hAnsi="Times New Roman"/>
              <w:sz w:val="24"/>
              <w:szCs w:val="24"/>
            </w:rPr>
          </w:pPr>
          <w:r w:rsidRPr="10D44305">
            <w:rPr>
              <w:rFonts w:ascii="Times New Roman" w:hAnsi="Times New Roman"/>
              <w:sz w:val="24"/>
              <w:szCs w:val="24"/>
            </w:rPr>
            <w:t xml:space="preserve"> En la cláusula 20, se establecieron las OBLIGACIONES DEL CONCESIONARIO  </w:t>
          </w:r>
        </w:p>
        <w:p w14:paraId="3D8239EA" w14:textId="7A5772ED" w:rsidR="00274429" w:rsidRDefault="249EF8AE" w:rsidP="00274429">
          <w:pPr>
            <w:jc w:val="both"/>
            <w:rPr>
              <w:rFonts w:ascii="Times New Roman" w:hAnsi="Times New Roman"/>
              <w:sz w:val="24"/>
              <w:szCs w:val="24"/>
            </w:rPr>
          </w:pPr>
          <w:r w:rsidRPr="10D44305">
            <w:rPr>
              <w:rFonts w:ascii="Times New Roman" w:hAnsi="Times New Roman"/>
              <w:sz w:val="24"/>
              <w:szCs w:val="24"/>
            </w:rPr>
            <w:t xml:space="preserve"> En la cláusula 23, se establecieron las MULTAS, así como en la CLÁUSULA 24, se estableció la CLÁUSULA PENAL PECUNIARIA.</w:t>
          </w:r>
        </w:p>
        <w:p w14:paraId="44D1D028" w14:textId="698EAAC5" w:rsidR="00274429" w:rsidRPr="009A46BB" w:rsidRDefault="00274429" w:rsidP="00274429">
          <w:pPr>
            <w:jc w:val="both"/>
            <w:rPr>
              <w:rStyle w:val="Estilo3"/>
            </w:rPr>
          </w:pPr>
        </w:p>
        <w:p w14:paraId="402B71F6" w14:textId="77777777" w:rsidR="00274429" w:rsidRDefault="00274429" w:rsidP="00274429">
          <w:pPr>
            <w:jc w:val="both"/>
            <w:rPr>
              <w:rFonts w:ascii="Times New Roman" w:hAnsi="Times New Roman"/>
              <w:b/>
              <w:bCs/>
              <w:sz w:val="24"/>
              <w:szCs w:val="24"/>
            </w:rPr>
          </w:pPr>
          <w:r w:rsidRPr="004C1095">
            <w:rPr>
              <w:rFonts w:ascii="Times New Roman" w:hAnsi="Times New Roman"/>
              <w:b/>
              <w:bCs/>
              <w:sz w:val="24"/>
              <w:szCs w:val="24"/>
            </w:rPr>
            <w:t>Términos de calendario:</w:t>
          </w:r>
        </w:p>
        <w:p w14:paraId="4766C41C" w14:textId="7CC29801" w:rsidR="00274429" w:rsidRPr="00463866" w:rsidRDefault="0C913584" w:rsidP="10D44305">
          <w:pPr>
            <w:jc w:val="both"/>
            <w:rPr>
              <w:rFonts w:ascii="Times New Roman" w:hAnsi="Times New Roman"/>
              <w:sz w:val="24"/>
              <w:szCs w:val="24"/>
            </w:rPr>
          </w:pPr>
          <w:r w:rsidRPr="10D44305">
            <w:rPr>
              <w:rFonts w:ascii="Times New Roman" w:hAnsi="Times New Roman"/>
              <w:sz w:val="24"/>
              <w:szCs w:val="24"/>
            </w:rPr>
            <w:t xml:space="preserve">Al ser el terminal marítimo de servicio privado la Ley 1 de 1991 establece: Las sociedades portuarias que operan puertos de servicio público deberán informar las tarifas a la Superintendencia General de Puertos hoy Superintendencia de Transporte. </w:t>
          </w:r>
        </w:p>
        <w:p w14:paraId="284CE48E" w14:textId="1C65484F" w:rsidR="00274429" w:rsidRPr="00463866" w:rsidRDefault="0C913584" w:rsidP="10D44305">
          <w:pPr>
            <w:jc w:val="both"/>
            <w:rPr>
              <w:rFonts w:ascii="Times New Roman" w:hAnsi="Times New Roman"/>
              <w:sz w:val="24"/>
              <w:szCs w:val="24"/>
            </w:rPr>
          </w:pPr>
          <w:r w:rsidRPr="10D44305">
            <w:rPr>
              <w:rFonts w:ascii="Times New Roman" w:hAnsi="Times New Roman"/>
              <w:sz w:val="24"/>
              <w:szCs w:val="24"/>
            </w:rPr>
            <w:t xml:space="preserve"> De acuerdo con el último documento contractual la metodología de contraprestación vigente es CONPES 3744 de 2013 (Componentes Fijo y Variable).A febrero de 2023 se proyectó que el CONCESIONARIO debió pagar la suma de USD $59.478, valor que incluye componente fijo y componente variable.El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Municipio de Turbo; e INFRAESTRUCTURA en un 100% a la Nación - Instituto Nacional de Vías (INVIAS).  </w:t>
          </w:r>
        </w:p>
        <w:p w14:paraId="46AE2A2F" w14:textId="11AEF3BD" w:rsidR="00274429" w:rsidRPr="00463866" w:rsidRDefault="0C913584" w:rsidP="10D44305">
          <w:pPr>
            <w:jc w:val="both"/>
            <w:rPr>
              <w:rFonts w:ascii="Times New Roman" w:hAnsi="Times New Roman"/>
              <w:sz w:val="24"/>
              <w:szCs w:val="24"/>
            </w:rPr>
          </w:pPr>
          <w:r w:rsidRPr="10D44305">
            <w:rPr>
              <w:rFonts w:ascii="Times New Roman" w:hAnsi="Times New Roman"/>
              <w:sz w:val="24"/>
              <w:szCs w:val="24"/>
            </w:rPr>
            <w:t xml:space="preserve"> CLÁUSULA 20 OBLIGACIONES DEL CONCESIONARIO  </w:t>
          </w:r>
        </w:p>
        <w:p w14:paraId="4D5C4CF1" w14:textId="3C403978" w:rsidR="00274429" w:rsidRPr="00463866" w:rsidRDefault="0C913584" w:rsidP="10D44305">
          <w:pPr>
            <w:jc w:val="both"/>
            <w:rPr>
              <w:rFonts w:ascii="Times New Roman" w:hAnsi="Times New Roman"/>
              <w:sz w:val="24"/>
              <w:szCs w:val="24"/>
            </w:rPr>
          </w:pPr>
          <w:r w:rsidRPr="10D44305">
            <w:rPr>
              <w:rFonts w:ascii="Times New Roman" w:hAnsi="Times New Roman"/>
              <w:sz w:val="24"/>
              <w:szCs w:val="24"/>
            </w:rPr>
            <w:t xml:space="preserve"> 27. Presentar el inventario y avalúo de los bienes objeto de la reversión dentro de los términos establecidos en la ley y en este contrato  </w:t>
          </w:r>
        </w:p>
        <w:p w14:paraId="1C7A9D03" w14:textId="6960EB36" w:rsidR="00274429" w:rsidRPr="00463866" w:rsidRDefault="0C913584" w:rsidP="10D44305">
          <w:pPr>
            <w:jc w:val="both"/>
            <w:rPr>
              <w:rFonts w:ascii="Times New Roman" w:hAnsi="Times New Roman"/>
              <w:sz w:val="24"/>
              <w:szCs w:val="24"/>
            </w:rPr>
          </w:pPr>
          <w:r w:rsidRPr="10D44305">
            <w:rPr>
              <w:rFonts w:ascii="Times New Roman" w:hAnsi="Times New Roman"/>
              <w:sz w:val="24"/>
              <w:szCs w:val="24"/>
            </w:rPr>
            <w:t xml:space="preserve"> 45. Revertir a la Nación al término del plazo de la concesión, la zona de uso público otorgada en concesión, las construcciones levantadas en ella y los inmuebles por destinación que hagan parte de ellas, garantizando que las instalaciones se reviertan en buen estado de operación  </w:t>
          </w:r>
        </w:p>
        <w:p w14:paraId="02290606" w14:textId="0D64BB6E" w:rsidR="00274429" w:rsidRPr="00463866" w:rsidRDefault="0C913584" w:rsidP="10D44305">
          <w:pPr>
            <w:jc w:val="both"/>
            <w:rPr>
              <w:rFonts w:ascii="Times New Roman" w:hAnsi="Times New Roman"/>
              <w:sz w:val="24"/>
              <w:szCs w:val="24"/>
            </w:rPr>
          </w:pPr>
          <w:r w:rsidRPr="10D44305">
            <w:rPr>
              <w:rFonts w:ascii="Times New Roman" w:hAnsi="Times New Roman"/>
              <w:sz w:val="24"/>
              <w:szCs w:val="24"/>
            </w:rPr>
            <w:t xml:space="preserve"> 57. Reportar ante la Vicepresidencia de Gestión Contractual los pagos que realice por concepto de contraprestación al municipio correspondiente y al Instituto Nacional de Vías -INVÍAS.  </w:t>
          </w:r>
        </w:p>
        <w:p w14:paraId="62863856" w14:textId="6AD973EA" w:rsidR="00274429" w:rsidRPr="00463866" w:rsidRDefault="0C913584" w:rsidP="10D44305">
          <w:pPr>
            <w:jc w:val="both"/>
            <w:rPr>
              <w:rFonts w:ascii="Times New Roman" w:hAnsi="Times New Roman"/>
              <w:sz w:val="24"/>
              <w:szCs w:val="24"/>
            </w:rPr>
          </w:pPr>
          <w:r w:rsidRPr="10D44305">
            <w:rPr>
              <w:rFonts w:ascii="Times New Roman" w:hAnsi="Times New Roman"/>
              <w:sz w:val="24"/>
              <w:szCs w:val="24"/>
            </w:rPr>
            <w:t xml:space="preserve">   </w:t>
          </w:r>
        </w:p>
        <w:p w14:paraId="05525E62" w14:textId="6A2A0C75" w:rsidR="00274429" w:rsidRPr="00463866" w:rsidRDefault="0C913584" w:rsidP="10D44305">
          <w:pPr>
            <w:jc w:val="both"/>
            <w:rPr>
              <w:rFonts w:ascii="Times New Roman" w:hAnsi="Times New Roman"/>
              <w:sz w:val="24"/>
              <w:szCs w:val="24"/>
            </w:rPr>
          </w:pPr>
          <w:r w:rsidRPr="10D44305">
            <w:rPr>
              <w:rFonts w:ascii="Times New Roman" w:hAnsi="Times New Roman"/>
              <w:sz w:val="24"/>
              <w:szCs w:val="24"/>
            </w:rPr>
            <w:t xml:space="preserve"> CLÁUSULA 30 TERMINACIÓN DEL CONTRATO  </w:t>
          </w:r>
        </w:p>
        <w:p w14:paraId="486672E5" w14:textId="2F6925CC" w:rsidR="00274429" w:rsidRPr="00463866" w:rsidRDefault="0C913584" w:rsidP="10D44305">
          <w:pPr>
            <w:jc w:val="both"/>
            <w:rPr>
              <w:rFonts w:ascii="Times New Roman" w:hAnsi="Times New Roman"/>
              <w:sz w:val="24"/>
              <w:szCs w:val="24"/>
            </w:rPr>
          </w:pPr>
          <w:r w:rsidRPr="10D44305">
            <w:rPr>
              <w:rFonts w:ascii="Times New Roman" w:hAnsi="Times New Roman"/>
              <w:sz w:val="24"/>
              <w:szCs w:val="24"/>
            </w:rPr>
            <w:t xml:space="preserve"> Durante la ejecución del contrato, el mismo se dará por terminado por la ocurrencia de cualquiera de los siguientes eventos:  </w:t>
          </w:r>
        </w:p>
        <w:p w14:paraId="445C3F7D" w14:textId="38189B95" w:rsidR="00274429" w:rsidRPr="00463866" w:rsidRDefault="0C913584" w:rsidP="10D44305">
          <w:pPr>
            <w:jc w:val="both"/>
            <w:rPr>
              <w:rFonts w:ascii="Times New Roman" w:hAnsi="Times New Roman"/>
              <w:sz w:val="24"/>
              <w:szCs w:val="24"/>
            </w:rPr>
          </w:pPr>
          <w:r w:rsidRPr="10D44305">
            <w:rPr>
              <w:rFonts w:ascii="Times New Roman" w:hAnsi="Times New Roman"/>
              <w:sz w:val="24"/>
              <w:szCs w:val="24"/>
            </w:rPr>
            <w:lastRenderedPageBreak/>
            <w:t xml:space="preserve"> a. Por el vencimiento del plazo contractual.  </w:t>
          </w:r>
        </w:p>
        <w:p w14:paraId="0022EA16" w14:textId="5B5DE23A" w:rsidR="00274429" w:rsidRPr="00463866" w:rsidRDefault="0C913584" w:rsidP="10D44305">
          <w:pPr>
            <w:jc w:val="both"/>
            <w:rPr>
              <w:rFonts w:ascii="Times New Roman" w:hAnsi="Times New Roman"/>
              <w:sz w:val="24"/>
              <w:szCs w:val="24"/>
            </w:rPr>
          </w:pPr>
          <w:r w:rsidRPr="10D44305">
            <w:rPr>
              <w:rFonts w:ascii="Times New Roman" w:hAnsi="Times New Roman"/>
              <w:sz w:val="24"/>
              <w:szCs w:val="24"/>
            </w:rPr>
            <w:t xml:space="preserve"> b. Por la declaratoria de caducidad.  </w:t>
          </w:r>
        </w:p>
        <w:p w14:paraId="330632B0" w14:textId="798EFE30" w:rsidR="00274429" w:rsidRPr="00463866" w:rsidRDefault="0C913584" w:rsidP="10D44305">
          <w:pPr>
            <w:jc w:val="both"/>
            <w:rPr>
              <w:rFonts w:ascii="Times New Roman" w:hAnsi="Times New Roman"/>
              <w:sz w:val="24"/>
              <w:szCs w:val="24"/>
            </w:rPr>
          </w:pPr>
          <w:r w:rsidRPr="10D44305">
            <w:rPr>
              <w:rFonts w:ascii="Times New Roman" w:hAnsi="Times New Roman"/>
              <w:sz w:val="24"/>
              <w:szCs w:val="24"/>
            </w:rPr>
            <w:t xml:space="preserve"> c. Por mutuo acuerdo de las partes, en todos los casos en que tal determinación no implique renuncia a derechos causados o adquiridos en favor del CONCEDENTE, o quien haga sus veces y el CONCESIONARIO se encuentre a paz y salvo por todo concepto en relación con las obligaciones adquiridas mediante el presente contrato, con el CONCEDENTE, el INVIAS, la Superintendencia de Puertos y Transporte, DIMAR y el municipio de Turbo.  </w:t>
          </w:r>
        </w:p>
        <w:p w14:paraId="5555F2AF" w14:textId="434C69E4" w:rsidR="00274429" w:rsidRPr="00463866" w:rsidRDefault="0C913584" w:rsidP="10D44305">
          <w:pPr>
            <w:jc w:val="both"/>
            <w:rPr>
              <w:rFonts w:ascii="Times New Roman" w:hAnsi="Times New Roman"/>
              <w:sz w:val="24"/>
              <w:szCs w:val="24"/>
            </w:rPr>
          </w:pPr>
          <w:r w:rsidRPr="10D44305">
            <w:rPr>
              <w:rFonts w:ascii="Times New Roman" w:hAnsi="Times New Roman"/>
              <w:sz w:val="24"/>
              <w:szCs w:val="24"/>
            </w:rPr>
            <w:t xml:space="preserve"> d. Cuando los actos en que se fundamenta el contrato se hayan declarado nulos.  </w:t>
          </w:r>
        </w:p>
        <w:p w14:paraId="69487E3C" w14:textId="4F203A9A" w:rsidR="00274429" w:rsidRPr="00463866" w:rsidRDefault="0C913584" w:rsidP="10D44305">
          <w:pPr>
            <w:jc w:val="both"/>
            <w:rPr>
              <w:rFonts w:ascii="Times New Roman" w:hAnsi="Times New Roman"/>
              <w:sz w:val="24"/>
              <w:szCs w:val="24"/>
            </w:rPr>
          </w:pPr>
          <w:r w:rsidRPr="10D44305">
            <w:rPr>
              <w:rFonts w:ascii="Times New Roman" w:hAnsi="Times New Roman"/>
              <w:sz w:val="24"/>
              <w:szCs w:val="24"/>
            </w:rPr>
            <w:t xml:space="preserve"> e. Por la cancelación o disolución de la personería jurídica del CONCESIONARIO  </w:t>
          </w:r>
        </w:p>
        <w:p w14:paraId="63DB01D9" w14:textId="3A9263FD" w:rsidR="00274429" w:rsidRPr="00463866" w:rsidRDefault="0C913584" w:rsidP="10D44305">
          <w:pPr>
            <w:jc w:val="both"/>
            <w:rPr>
              <w:rFonts w:ascii="Times New Roman" w:hAnsi="Times New Roman"/>
              <w:sz w:val="24"/>
              <w:szCs w:val="24"/>
            </w:rPr>
          </w:pPr>
          <w:r w:rsidRPr="10D44305">
            <w:rPr>
              <w:rFonts w:ascii="Times New Roman" w:hAnsi="Times New Roman"/>
              <w:sz w:val="24"/>
              <w:szCs w:val="24"/>
            </w:rPr>
            <w:t xml:space="preserve"> f. Cuando el CONCESIONARIO cediere el contrato sin el cumplimiento de los requisitos establecidos en el presente contrato.  </w:t>
          </w:r>
        </w:p>
        <w:p w14:paraId="13510B93" w14:textId="232FB291" w:rsidR="00274429" w:rsidRPr="00463866" w:rsidRDefault="0C913584" w:rsidP="10D44305">
          <w:pPr>
            <w:jc w:val="both"/>
            <w:rPr>
              <w:rFonts w:ascii="Times New Roman" w:hAnsi="Times New Roman"/>
              <w:sz w:val="24"/>
              <w:szCs w:val="24"/>
            </w:rPr>
          </w:pPr>
          <w:r w:rsidRPr="10D44305">
            <w:rPr>
              <w:rFonts w:ascii="Times New Roman" w:hAnsi="Times New Roman"/>
              <w:sz w:val="24"/>
              <w:szCs w:val="24"/>
            </w:rPr>
            <w:t xml:space="preserve"> g. Por la disolución o liquidación voluntaria o forzosa del CONCESIONARIO.  </w:t>
          </w:r>
        </w:p>
        <w:p w14:paraId="1ADC5E27" w14:textId="1E5079F1" w:rsidR="00274429" w:rsidRPr="00463866" w:rsidRDefault="0C913584" w:rsidP="10D44305">
          <w:pPr>
            <w:jc w:val="both"/>
            <w:rPr>
              <w:rFonts w:ascii="Times New Roman" w:hAnsi="Times New Roman"/>
              <w:sz w:val="24"/>
              <w:szCs w:val="24"/>
            </w:rPr>
          </w:pPr>
          <w:r w:rsidRPr="10D44305">
            <w:rPr>
              <w:rFonts w:ascii="Times New Roman" w:hAnsi="Times New Roman"/>
              <w:sz w:val="24"/>
              <w:szCs w:val="24"/>
            </w:rPr>
            <w:t xml:space="preserve"> h. Por incapacidad financiera del CONCESIONARIO que se presume cuando se retrase en el pago de salarios, prestaciones sociales al personal sujeto a la legislación colombiana que emplee en las Obras, y el conflicto llegue a conocimiento de la inspección o juzgado laboral correspondiente, o sea embargado judicialmente, y dicha situación amenace la adecuada ejecución del Contrato.  </w:t>
          </w:r>
        </w:p>
        <w:p w14:paraId="2FE95668" w14:textId="7CEA5EA0" w:rsidR="00274429" w:rsidRPr="00463866" w:rsidRDefault="0C913584" w:rsidP="10D44305">
          <w:pPr>
            <w:jc w:val="both"/>
            <w:rPr>
              <w:rFonts w:ascii="Times New Roman" w:hAnsi="Times New Roman"/>
              <w:sz w:val="24"/>
              <w:szCs w:val="24"/>
            </w:rPr>
          </w:pPr>
          <w:r w:rsidRPr="10D44305">
            <w:rPr>
              <w:rFonts w:ascii="Times New Roman" w:hAnsi="Times New Roman"/>
              <w:sz w:val="24"/>
              <w:szCs w:val="24"/>
            </w:rPr>
            <w:t xml:space="preserve"> i. Por el ofrecimiento de parte del CONCESIONARIO, directa o Indirectamente, de un soborno, regalo, gratificación, comisión u otra cosa de valor, como prima o recompensa a cualquier persona por la realización de conductas ilegales o contrarias a la ética.  </w:t>
          </w:r>
        </w:p>
        <w:p w14:paraId="499B7EE3" w14:textId="68DA3829" w:rsidR="00274429" w:rsidRPr="00463866" w:rsidRDefault="0C913584" w:rsidP="10D44305">
          <w:pPr>
            <w:jc w:val="both"/>
            <w:rPr>
              <w:rFonts w:ascii="Times New Roman" w:hAnsi="Times New Roman"/>
              <w:sz w:val="24"/>
              <w:szCs w:val="24"/>
            </w:rPr>
          </w:pPr>
          <w:r w:rsidRPr="10D44305">
            <w:rPr>
              <w:rFonts w:ascii="Times New Roman" w:hAnsi="Times New Roman"/>
              <w:sz w:val="24"/>
              <w:szCs w:val="24"/>
            </w:rPr>
            <w:t xml:space="preserve"> j. Por la imposición de multas contractuales al CONCESIONARIO que supere el 20% del Valor del Contrato.  </w:t>
          </w:r>
        </w:p>
        <w:p w14:paraId="73B6C7CD" w14:textId="539A40FB" w:rsidR="00274429" w:rsidRPr="00463866" w:rsidRDefault="0C913584" w:rsidP="10D44305">
          <w:pPr>
            <w:jc w:val="both"/>
            <w:rPr>
              <w:rFonts w:ascii="Times New Roman" w:hAnsi="Times New Roman"/>
              <w:sz w:val="24"/>
              <w:szCs w:val="24"/>
            </w:rPr>
          </w:pPr>
          <w:r w:rsidRPr="10D44305">
            <w:rPr>
              <w:rFonts w:ascii="Times New Roman" w:hAnsi="Times New Roman"/>
              <w:sz w:val="24"/>
              <w:szCs w:val="24"/>
            </w:rPr>
            <w:t xml:space="preserve"> k. Por no disponer a cualquier título de los terrenos adyacentes indispensables para llevar a cabo la adecuada operación del terminal, siempre y cuando esta situación afecte la capacidad del CONCESIONARIO de prestar el servicio público portuario en condiciones de oportunidad, eficiencia y seguridad.  </w:t>
          </w:r>
        </w:p>
        <w:p w14:paraId="1568679C" w14:textId="73C43CE1" w:rsidR="00274429" w:rsidRPr="00463866" w:rsidRDefault="0C913584" w:rsidP="10D44305">
          <w:pPr>
            <w:jc w:val="both"/>
            <w:rPr>
              <w:rFonts w:ascii="Times New Roman" w:hAnsi="Times New Roman"/>
              <w:sz w:val="24"/>
              <w:szCs w:val="24"/>
            </w:rPr>
          </w:pPr>
          <w:r w:rsidRPr="10D44305">
            <w:rPr>
              <w:rFonts w:ascii="Times New Roman" w:hAnsi="Times New Roman"/>
              <w:sz w:val="24"/>
              <w:szCs w:val="24"/>
            </w:rPr>
            <w:t xml:space="preserve"> I. Las demás definidas en la ley.  </w:t>
          </w:r>
        </w:p>
        <w:p w14:paraId="4D51219C" w14:textId="4E9AF944" w:rsidR="00274429" w:rsidRPr="00463866" w:rsidRDefault="0C913584" w:rsidP="10D44305">
          <w:pPr>
            <w:jc w:val="both"/>
            <w:rPr>
              <w:rFonts w:ascii="Times New Roman" w:hAnsi="Times New Roman"/>
              <w:sz w:val="24"/>
              <w:szCs w:val="24"/>
            </w:rPr>
          </w:pPr>
          <w:r w:rsidRPr="10D44305">
            <w:rPr>
              <w:rFonts w:ascii="Times New Roman" w:hAnsi="Times New Roman"/>
              <w:sz w:val="24"/>
              <w:szCs w:val="24"/>
            </w:rPr>
            <w:t xml:space="preserve"> CLÁUSULA 34 REVERSIÓN</w:t>
          </w:r>
        </w:p>
        <w:p w14:paraId="5E0A59F4" w14:textId="3346750A" w:rsidR="00274429" w:rsidRPr="00463866" w:rsidRDefault="0C913584" w:rsidP="10D44305">
          <w:pPr>
            <w:jc w:val="both"/>
            <w:rPr>
              <w:rStyle w:val="Estilo3"/>
              <w:b/>
              <w:bCs/>
            </w:rPr>
          </w:pPr>
          <w:r w:rsidRPr="10D44305">
            <w:rPr>
              <w:rFonts w:ascii="Times New Roman" w:hAnsi="Times New Roman"/>
              <w:sz w:val="24"/>
              <w:szCs w:val="24"/>
            </w:rPr>
            <w:t>La zona de uso público y todas las construcciones e Inmuebles por destinación existentes, así como los que se autoricen por la Agencia Nacional de Infraestructura, levantadas o construidas en la zona de uso público que ha sido determinada o que se encuentran habitualmente Instaladas en ellas y afectas a la concesión, serán revertidas gratuitamente por el CONCESIONARIO a la Nación - Instituto Nacional de Vías INVIAS, o quien haga sus veces, conforme a lo dispuesto en el artículo 8 de la Ley 1 de 1991, o la norma que lo modifique y reglamente, en buen estado de operación y mantenimiento, al extinguirse el plazo de la misma o al ser declarada la caducidad.</w:t>
          </w:r>
        </w:p>
        <w:p w14:paraId="6A626FC7" w14:textId="0EC60FA0" w:rsidR="00274429" w:rsidRPr="00463866" w:rsidRDefault="00274429" w:rsidP="00274429">
          <w:pPr>
            <w:jc w:val="both"/>
            <w:rPr>
              <w:rStyle w:val="Estilo3"/>
              <w:b/>
            </w:rPr>
          </w:pPr>
          <w:r w:rsidRPr="00BA4CAE">
            <w:rPr>
              <w:rFonts w:ascii="Times New Roman" w:hAnsi="Times New Roman"/>
              <w:b/>
              <w:bCs/>
              <w:sz w:val="24"/>
              <w:szCs w:val="24"/>
            </w:rPr>
            <w:lastRenderedPageBreak/>
            <w:t>Términos de certeza de flujos de efectivo futuros:</w:t>
          </w:r>
          <w:r>
            <w:rPr>
              <w:rFonts w:ascii="Times New Roman" w:hAnsi="Times New Roman"/>
              <w:b/>
              <w:bCs/>
              <w:sz w:val="24"/>
              <w:szCs w:val="24"/>
            </w:rPr>
            <w:t xml:space="preserve"> </w:t>
          </w:r>
        </w:p>
        <w:p w14:paraId="1D5A361D" w14:textId="4B071A06" w:rsidR="4708B82A" w:rsidRDefault="4708B82A" w:rsidP="10D44305">
          <w:pPr>
            <w:jc w:val="both"/>
            <w:rPr>
              <w:rFonts w:ascii="Times New Roman" w:hAnsi="Times New Roman"/>
              <w:sz w:val="24"/>
              <w:szCs w:val="24"/>
            </w:rPr>
          </w:pPr>
          <w:r w:rsidRPr="10D44305">
            <w:rPr>
              <w:rFonts w:ascii="Times New Roman" w:hAnsi="Times New Roman"/>
              <w:sz w:val="24"/>
              <w:szCs w:val="24"/>
            </w:rPr>
            <w:t xml:space="preserve">El objeto del presente contrato es entonces, la entrega a LA SOCIEDAD CONCESIONARIA del uso y explotación de una zona de uso público perteneciente a la Nación por el tiempo de ejecución estipulado y para que sea destinada al servicio establecido en la solicitud a cambio de la contraprestación establecida en la 13 de este contrato.  </w:t>
          </w:r>
        </w:p>
        <w:p w14:paraId="45DF0F18" w14:textId="23C99C64" w:rsidR="4708B82A" w:rsidRDefault="4708B82A" w:rsidP="10D44305">
          <w:pPr>
            <w:jc w:val="both"/>
            <w:rPr>
              <w:rFonts w:ascii="Times New Roman" w:hAnsi="Times New Roman"/>
              <w:sz w:val="24"/>
              <w:szCs w:val="24"/>
            </w:rPr>
          </w:pPr>
          <w:r w:rsidRPr="10D44305">
            <w:rPr>
              <w:rFonts w:ascii="Times New Roman" w:hAnsi="Times New Roman"/>
              <w:sz w:val="24"/>
              <w:szCs w:val="24"/>
            </w:rPr>
            <w:t xml:space="preserve"> En la cláusula 13, se menciona que de dicho pago el 80% le corresponde a la NACIÓN-Instituto Nacional de Vías y el 20% restante al Municipio de Turbo (Departamento de Antioquia), de acuerdo con lo establecido en el parágrafo 1 del artículo 1 de la Ley 856 del 21 de diciembre de 2003, que modifica el artículo 7 de la Ley 1 de 1991.   </w:t>
          </w:r>
        </w:p>
        <w:p w14:paraId="43EF6CE3" w14:textId="77777777" w:rsidR="00274429" w:rsidRPr="00705BA7" w:rsidRDefault="00274429" w:rsidP="00E60BAB">
          <w:pPr>
            <w:pStyle w:val="Prrafodelista"/>
            <w:numPr>
              <w:ilvl w:val="0"/>
              <w:numId w:val="137"/>
            </w:numPr>
            <w:spacing w:line="259" w:lineRule="auto"/>
            <w:jc w:val="both"/>
            <w:rPr>
              <w:rFonts w:ascii="Times New Roman" w:hAnsi="Times New Roman"/>
              <w:b/>
              <w:bCs/>
              <w:sz w:val="24"/>
              <w:szCs w:val="24"/>
            </w:rPr>
          </w:pPr>
          <w:r w:rsidRPr="00705BA7">
            <w:rPr>
              <w:rFonts w:ascii="Times New Roman" w:hAnsi="Times New Roman"/>
              <w:b/>
              <w:bCs/>
              <w:sz w:val="24"/>
              <w:szCs w:val="24"/>
            </w:rPr>
            <w:t>Naturaleza y alcance del derecho a utilizar activos especificados, de los aspectos pactados en torno a lo que se espera que el concesionario proporcione en relación con el acuerdo de concesión (Se requiere ser breves, precisos, y concisos en la redacción)</w:t>
          </w:r>
        </w:p>
        <w:p w14:paraId="53312BC3" w14:textId="77777777" w:rsidR="00274429" w:rsidRDefault="00274429" w:rsidP="00274429">
          <w:pPr>
            <w:jc w:val="both"/>
            <w:rPr>
              <w:rFonts w:ascii="Times New Roman" w:hAnsi="Times New Roman"/>
              <w:b/>
              <w:bCs/>
              <w:sz w:val="24"/>
              <w:szCs w:val="24"/>
            </w:rPr>
          </w:pPr>
          <w:r w:rsidRPr="00217110">
            <w:rPr>
              <w:rFonts w:ascii="Times New Roman" w:hAnsi="Times New Roman"/>
              <w:b/>
              <w:bCs/>
              <w:sz w:val="24"/>
              <w:szCs w:val="24"/>
            </w:rPr>
            <w:t>Naturaleza y alcance del derecho de uso de los activos</w:t>
          </w:r>
        </w:p>
        <w:p w14:paraId="5D20953D" w14:textId="1CEC38C4" w:rsidR="00274429" w:rsidRDefault="6EA10E17" w:rsidP="10D44305">
          <w:pPr>
            <w:jc w:val="both"/>
            <w:rPr>
              <w:rFonts w:ascii="Times New Roman" w:hAnsi="Times New Roman"/>
              <w:lang w:eastAsia="es-CO"/>
            </w:rPr>
          </w:pPr>
          <w:r w:rsidRPr="10D44305">
            <w:rPr>
              <w:rFonts w:ascii="Times New Roman" w:hAnsi="Times New Roman"/>
              <w:lang w:eastAsia="es-CO"/>
            </w:rPr>
            <w:t xml:space="preserve"> El área objeto de la concesión portuaria que se otorga, necesaria para el desarrollo del proyecto tiene las siguientes particularidades:  </w:t>
          </w:r>
        </w:p>
        <w:p w14:paraId="1125C3B8" w14:textId="6AF98D6D" w:rsidR="00274429" w:rsidRDefault="6EA10E17" w:rsidP="10D44305">
          <w:pPr>
            <w:jc w:val="both"/>
          </w:pPr>
          <w:r w:rsidRPr="10D44305">
            <w:rPr>
              <w:rFonts w:ascii="Times New Roman" w:hAnsi="Times New Roman"/>
              <w:lang w:eastAsia="es-CO"/>
            </w:rPr>
            <w:t xml:space="preserve"> 2.1 UBICACIÓN, LINDEROS Y EXTENSIÓN DE LAS ZONAS DE USO PÚBLICO OBJETO DE LA CONCESIÓN  </w:t>
          </w:r>
        </w:p>
        <w:p w14:paraId="6C9102D2" w14:textId="5CF936BB" w:rsidR="00274429" w:rsidRDefault="6EA10E17" w:rsidP="10D44305">
          <w:pPr>
            <w:jc w:val="both"/>
          </w:pPr>
          <w:r w:rsidRPr="10D44305">
            <w:rPr>
              <w:rFonts w:ascii="Times New Roman" w:hAnsi="Times New Roman"/>
              <w:lang w:eastAsia="es-CO"/>
            </w:rPr>
            <w:t xml:space="preserve"> PORTUARIA.  </w:t>
          </w:r>
        </w:p>
        <w:p w14:paraId="2E679660" w14:textId="7C3B835C" w:rsidR="00274429" w:rsidRDefault="6EA10E17" w:rsidP="10D44305">
          <w:pPr>
            <w:jc w:val="both"/>
          </w:pPr>
          <w:r w:rsidRPr="10D44305">
            <w:rPr>
              <w:rFonts w:ascii="Times New Roman" w:hAnsi="Times New Roman"/>
              <w:lang w:eastAsia="es-CO"/>
            </w:rPr>
            <w:t xml:space="preserve"> La zona de uso público que se entrega en concesión se encuentra ubicada en el Golfo de Urabá, en el Mar Caribe de la Costa Atlántica Colombiana, en el sector Suroriental cercano al corregimiento de Nueva Colonia y sobre el Rio León, jurisdicción del Municipio de Turbo, Departamento de Antioquia, corresponde a una zona de uso público marítima, una zona de uso público terrestre y una zona de uso público sobre el espejo de agua del Rio León, de acuerdo con la siguiente descripción:  </w:t>
          </w:r>
        </w:p>
        <w:p w14:paraId="27C2F897" w14:textId="68D04999" w:rsidR="00274429" w:rsidRDefault="6EA10E17" w:rsidP="10D44305">
          <w:pPr>
            <w:jc w:val="both"/>
          </w:pPr>
          <w:r w:rsidRPr="10D44305">
            <w:rPr>
              <w:rFonts w:ascii="Times New Roman" w:hAnsi="Times New Roman"/>
              <w:lang w:eastAsia="es-CO"/>
            </w:rPr>
            <w:t xml:space="preserve"> 2.1.1 ZONA DE USO PÚBLICO MARÍTIMA (…)  </w:t>
          </w:r>
        </w:p>
        <w:p w14:paraId="0B7B4B97" w14:textId="68D38878" w:rsidR="00274429" w:rsidRDefault="6EA10E17" w:rsidP="10D44305">
          <w:pPr>
            <w:jc w:val="both"/>
          </w:pPr>
          <w:r w:rsidRPr="10D44305">
            <w:rPr>
              <w:rFonts w:ascii="Times New Roman" w:hAnsi="Times New Roman"/>
              <w:lang w:eastAsia="es-CO"/>
            </w:rPr>
            <w:t xml:space="preserve"> 2.1.2 ZONA DE USO PUBLICO TERRESTRE (…)  </w:t>
          </w:r>
        </w:p>
        <w:p w14:paraId="1B510093" w14:textId="11E939F0" w:rsidR="00274429" w:rsidRDefault="6EA10E17" w:rsidP="10D44305">
          <w:pPr>
            <w:jc w:val="both"/>
          </w:pPr>
          <w:r w:rsidRPr="10D44305">
            <w:rPr>
              <w:rFonts w:ascii="Times New Roman" w:hAnsi="Times New Roman"/>
              <w:lang w:eastAsia="es-CO"/>
            </w:rPr>
            <w:t xml:space="preserve"> 2.1.3 ZONA DE USO PÚBLICO SOBRE ELESPEJO DE AGUA DEL RIO LEÓN (…)  </w:t>
          </w:r>
        </w:p>
        <w:p w14:paraId="452C4C4C" w14:textId="7CE88484" w:rsidR="00274429" w:rsidRDefault="6EA10E17" w:rsidP="10D44305">
          <w:pPr>
            <w:jc w:val="both"/>
          </w:pPr>
          <w:r w:rsidRPr="10D44305">
            <w:rPr>
              <w:rFonts w:ascii="Times New Roman" w:hAnsi="Times New Roman"/>
              <w:lang w:eastAsia="es-CO"/>
            </w:rPr>
            <w:t xml:space="preserve"> 2.2 LOCALIZACION Y DESCRIPCIÓN DE LA INFRAESTRUCTURA A CONSTRUIR  </w:t>
          </w:r>
        </w:p>
        <w:p w14:paraId="0269CA8A" w14:textId="1D9C10B4" w:rsidR="00274429" w:rsidRDefault="6EA10E17" w:rsidP="10D44305">
          <w:pPr>
            <w:jc w:val="both"/>
          </w:pPr>
          <w:r w:rsidRPr="10D44305">
            <w:rPr>
              <w:rFonts w:ascii="Times New Roman" w:hAnsi="Times New Roman"/>
              <w:lang w:eastAsia="es-CO"/>
            </w:rPr>
            <w:t xml:space="preserve"> 2.2.1 Muelle (…) </w:t>
          </w:r>
        </w:p>
        <w:p w14:paraId="1696470B" w14:textId="3C64E2E6" w:rsidR="00274429" w:rsidRDefault="6EA10E17" w:rsidP="10D44305">
          <w:pPr>
            <w:jc w:val="both"/>
          </w:pPr>
          <w:r w:rsidRPr="10D44305">
            <w:rPr>
              <w:rFonts w:ascii="Times New Roman" w:hAnsi="Times New Roman"/>
              <w:lang w:eastAsia="es-CO"/>
            </w:rPr>
            <w:t xml:space="preserve"> 2.2.2 Plataforma de empalme (…)  </w:t>
          </w:r>
        </w:p>
        <w:p w14:paraId="3AC1AE9B" w14:textId="41D720D0" w:rsidR="00274429" w:rsidRDefault="6EA10E17" w:rsidP="10D44305">
          <w:pPr>
            <w:jc w:val="both"/>
          </w:pPr>
          <w:r w:rsidRPr="10D44305">
            <w:rPr>
              <w:rFonts w:ascii="Times New Roman" w:hAnsi="Times New Roman"/>
              <w:lang w:eastAsia="es-CO"/>
            </w:rPr>
            <w:t xml:space="preserve"> 2.2.3 Viaducto (…)  </w:t>
          </w:r>
        </w:p>
        <w:p w14:paraId="7DF8CA56" w14:textId="46ED6E91" w:rsidR="00274429" w:rsidRDefault="6EA10E17" w:rsidP="10D44305">
          <w:pPr>
            <w:jc w:val="both"/>
          </w:pPr>
          <w:r w:rsidRPr="10D44305">
            <w:rPr>
              <w:rFonts w:ascii="Times New Roman" w:hAnsi="Times New Roman"/>
              <w:lang w:eastAsia="es-CO"/>
            </w:rPr>
            <w:t xml:space="preserve"> 2.2.4 Tramo del viaducto que se encuentra sobre el espejo de agua de la zona de uso público marítima que se entrega en concesión (…) </w:t>
          </w:r>
        </w:p>
        <w:p w14:paraId="19E55076" w14:textId="4FAD0A3F" w:rsidR="00274429" w:rsidRDefault="6EA10E17" w:rsidP="10D44305">
          <w:pPr>
            <w:jc w:val="both"/>
          </w:pPr>
          <w:r w:rsidRPr="10D44305">
            <w:rPr>
              <w:rFonts w:ascii="Times New Roman" w:hAnsi="Times New Roman"/>
              <w:lang w:eastAsia="es-CO"/>
            </w:rPr>
            <w:t xml:space="preserve"> 2.2.5 Tramo del viaducto que se encuentra sobre la zona de uso público terrestre que se entrega en concesión (…) </w:t>
          </w:r>
        </w:p>
        <w:p w14:paraId="15AE456D" w14:textId="5C495AD0" w:rsidR="00274429" w:rsidRDefault="6EA10E17" w:rsidP="10D44305">
          <w:pPr>
            <w:jc w:val="both"/>
          </w:pPr>
          <w:r w:rsidRPr="10D44305">
            <w:rPr>
              <w:rFonts w:ascii="Times New Roman" w:hAnsi="Times New Roman"/>
              <w:lang w:eastAsia="es-CO"/>
            </w:rPr>
            <w:lastRenderedPageBreak/>
            <w:t xml:space="preserve"> 2.2.6 Tramo del viaducto que se encuentra sobre el predio privado adyacente a ia zona de uso público terrestre denominado "La mejor esquina de Urabá" (…)  </w:t>
          </w:r>
        </w:p>
        <w:p w14:paraId="27D598C6" w14:textId="175462AC" w:rsidR="00274429" w:rsidRDefault="6EA10E17" w:rsidP="10D44305">
          <w:pPr>
            <w:jc w:val="both"/>
          </w:pPr>
          <w:r w:rsidRPr="10D44305">
            <w:rPr>
              <w:rFonts w:ascii="Times New Roman" w:hAnsi="Times New Roman"/>
              <w:lang w:eastAsia="es-CO"/>
            </w:rPr>
            <w:t xml:space="preserve"> 2.2.7 Tramo del viaducto que se encuentra ubicado sobre la zona de uso público sobre el espejo de agua del Rio León (…) </w:t>
          </w:r>
        </w:p>
        <w:p w14:paraId="789B0249" w14:textId="0A698D59" w:rsidR="00274429" w:rsidRDefault="6EA10E17" w:rsidP="10D44305">
          <w:pPr>
            <w:jc w:val="both"/>
          </w:pPr>
          <w:r w:rsidRPr="10D44305">
            <w:rPr>
              <w:rFonts w:ascii="Times New Roman" w:hAnsi="Times New Roman"/>
              <w:lang w:eastAsia="es-CO"/>
            </w:rPr>
            <w:t xml:space="preserve"> 2.2.8 Tramo del viaducto ubicado dentro del predio adyacente donde se ubica el terminal (…)  </w:t>
          </w:r>
        </w:p>
        <w:p w14:paraId="671A1D99" w14:textId="3412D4C6" w:rsidR="00274429" w:rsidRDefault="6EA10E17" w:rsidP="10D44305">
          <w:pPr>
            <w:jc w:val="both"/>
          </w:pPr>
          <w:r w:rsidRPr="10D44305">
            <w:rPr>
              <w:rFonts w:ascii="Times New Roman" w:hAnsi="Times New Roman"/>
              <w:lang w:eastAsia="es-CO"/>
            </w:rPr>
            <w:t xml:space="preserve"> CLÁUSULA 5 DESCRIPCIÓN DEL PROYECTO, ESPECIFICACIONES TÉCNICAS, MODALIDADES DE OPERACIÓN, VOLÚMENES Y CLASE DE CARGA  </w:t>
          </w:r>
        </w:p>
        <w:p w14:paraId="562DA085" w14:textId="1B71F6F3" w:rsidR="00274429" w:rsidRDefault="6EA10E17" w:rsidP="10D44305">
          <w:pPr>
            <w:jc w:val="both"/>
          </w:pPr>
          <w:r w:rsidRPr="10D44305">
            <w:rPr>
              <w:rFonts w:ascii="Times New Roman" w:hAnsi="Times New Roman"/>
              <w:lang w:eastAsia="es-CO"/>
            </w:rPr>
            <w:t xml:space="preserve"> 5.1 Descripción del Proyecto. Especificaciones Técnicas: Son las indicadas en la Resolución No. 2137 del 26 de noviembre de 2018, las cuales estarán sujetas a complementación y ajuste de acuerdo con los diseños definitivos que realice el CONCESIONARIO que se deberán aportar oficialmente al CONCEDENTE una vez elaborados, a fin de que hagan parte del expediente contractual. Los diseños definitivos deberán entregarse a la entidad CONCEDENTE un mes antes de iniciarse la ejecución del plan de inversiones.  </w:t>
          </w:r>
        </w:p>
        <w:p w14:paraId="7A988913" w14:textId="23769AB3" w:rsidR="00274429" w:rsidRDefault="6EA10E17" w:rsidP="10D44305">
          <w:pPr>
            <w:jc w:val="both"/>
          </w:pPr>
          <w:r w:rsidRPr="10D44305">
            <w:rPr>
              <w:rFonts w:ascii="Times New Roman" w:hAnsi="Times New Roman"/>
              <w:lang w:eastAsia="es-CO"/>
            </w:rPr>
            <w:t xml:space="preserve"> 5.2 Volumen y Clase de Carga: La capacidad de carga movilizada máxima aprobada por la Resolución No. 0078 del 28 de enero de 2016, a través de la cual la ANLA, modificó la Licencia Ambiental a la sociedad PUERTO BAHÍA COLOMBIA DE URABÁ S.A., será de 6.696.991 toneladas/año aproximadamente de carga de comercio exterior colombiano.  </w:t>
          </w:r>
        </w:p>
        <w:p w14:paraId="5C39A2CC" w14:textId="0A881B34" w:rsidR="00274429" w:rsidRDefault="6EA10E17" w:rsidP="10D44305">
          <w:pPr>
            <w:jc w:val="both"/>
          </w:pPr>
          <w:r w:rsidRPr="10D44305">
            <w:rPr>
              <w:rFonts w:ascii="Times New Roman" w:hAnsi="Times New Roman"/>
              <w:lang w:eastAsia="es-CO"/>
            </w:rPr>
            <w:t xml:space="preserve"> 5.3 Modalidad de Operación: La modalidad de operación consistirá en la transferencia de cargas barco – muelle - terminal en tierra y terminal en tierra - muelle - barco, cargue y descargue utilizando las grúas pórtico o móviles en el muelle de acuerdo con el tipo de carga, así como los equipos portuarios especializados que sean necesarios para el adecuado funcionamiento de la actividad portuaria y el viaducto para el tránsito de camiones portuarios. Para ello se realizarán las operaciones portuarias que esto exige, comprendiendo entre otras las de almacenamiento, consolidación y desconsolidación de gráneles y carga general, operaciones terrestres y en general todas las correlacionadas al servicio de un terminal marítimo multipropósito.  </w:t>
          </w:r>
        </w:p>
        <w:p w14:paraId="731C140D" w14:textId="0EC34623" w:rsidR="00274429" w:rsidRDefault="6EA10E17" w:rsidP="10D44305">
          <w:pPr>
            <w:jc w:val="both"/>
          </w:pPr>
          <w:r w:rsidRPr="10D44305">
            <w:rPr>
              <w:rFonts w:ascii="Times New Roman" w:hAnsi="Times New Roman"/>
              <w:lang w:eastAsia="es-CO"/>
            </w:rPr>
            <w:t xml:space="preserve"> Los productos que ingresen al país por el puerto del CONCESIONARIO provendrán principalmente de Estados Unidos y Europa. La carga tendrá un movimiento desde el barco hasta el muelle mediante una grúa idónea para el efecto, en el muelle, la carga será cargada en camiones, que la transportarán por el viaducto, hasta el patio ubicado en los terrenos adyacentes de propiedad privada; una vez en los patios, la carga será recogida por el operador logístico del caso, de acuerdo con la preferencia del dueño de la carga y será conducida por la vía de acceso al puerto hasta su destino final.  </w:t>
          </w:r>
        </w:p>
        <w:p w14:paraId="6FCD5B5A" w14:textId="7199BA1A" w:rsidR="00274429" w:rsidRDefault="6EA10E17" w:rsidP="10D44305">
          <w:pPr>
            <w:jc w:val="both"/>
          </w:pPr>
          <w:r w:rsidRPr="10D44305">
            <w:rPr>
              <w:rFonts w:ascii="Times New Roman" w:hAnsi="Times New Roman"/>
              <w:lang w:eastAsia="es-CO"/>
            </w:rPr>
            <w:t xml:space="preserve"> El puerto será de comercio internacional, pensado para atenderla carga de importación y exportación que se genera actualmente en la región de Urabá.  </w:t>
          </w:r>
        </w:p>
        <w:p w14:paraId="05B62855" w14:textId="116973EE" w:rsidR="00274429" w:rsidRDefault="6EA10E17" w:rsidP="00274429">
          <w:pPr>
            <w:jc w:val="both"/>
          </w:pPr>
          <w:r w:rsidRPr="10D44305">
            <w:rPr>
              <w:rFonts w:ascii="Times New Roman" w:hAnsi="Times New Roman"/>
              <w:lang w:eastAsia="es-CO"/>
            </w:rPr>
            <w:t xml:space="preserve"> </w:t>
          </w:r>
          <w:r w:rsidR="00274429" w:rsidRPr="009A46BB">
            <w:rPr>
              <w:rFonts w:ascii="Times New Roman" w:hAnsi="Times New Roman"/>
              <w:lang w:eastAsia="es-CO"/>
            </w:rPr>
            <w:t>5.4 Buque de Diseño: La eslora promedio de acuerdo con los tipos de buques que operaran en el puerto es de 200 metros.</w:t>
          </w:r>
        </w:p>
        <w:p w14:paraId="38360192" w14:textId="77777777" w:rsidR="00274429" w:rsidRPr="00ED266C" w:rsidRDefault="00274429" w:rsidP="00274429">
          <w:pPr>
            <w:jc w:val="both"/>
            <w:rPr>
              <w:rFonts w:ascii="Times New Roman" w:hAnsi="Times New Roman"/>
              <w:sz w:val="24"/>
              <w:szCs w:val="24"/>
            </w:rPr>
          </w:pPr>
          <w:r w:rsidRPr="003E5FA9">
            <w:rPr>
              <w:rFonts w:ascii="Times New Roman" w:hAnsi="Times New Roman"/>
              <w:b/>
              <w:bCs/>
              <w:sz w:val="24"/>
              <w:szCs w:val="24"/>
            </w:rPr>
            <w:t>Observaciones:</w:t>
          </w:r>
          <w:r>
            <w:rPr>
              <w:rFonts w:ascii="Times New Roman" w:hAnsi="Times New Roman"/>
              <w:b/>
              <w:bCs/>
              <w:sz w:val="24"/>
              <w:szCs w:val="24"/>
            </w:rPr>
            <w:t xml:space="preserve"> </w:t>
          </w:r>
          <w:r>
            <w:rPr>
              <w:rFonts w:ascii="Times New Roman" w:hAnsi="Times New Roman"/>
              <w:sz w:val="24"/>
              <w:szCs w:val="24"/>
            </w:rPr>
            <w:t>NA</w:t>
          </w:r>
        </w:p>
        <w:p w14:paraId="0AE71CD4" w14:textId="77777777" w:rsidR="00274429" w:rsidRDefault="00274429" w:rsidP="00274429">
          <w:pPr>
            <w:jc w:val="both"/>
            <w:rPr>
              <w:rFonts w:ascii="Times New Roman" w:hAnsi="Times New Roman"/>
              <w:b/>
              <w:bCs/>
              <w:sz w:val="24"/>
              <w:szCs w:val="24"/>
            </w:rPr>
          </w:pPr>
          <w:r>
            <w:rPr>
              <w:rFonts w:ascii="Times New Roman" w:hAnsi="Times New Roman"/>
              <w:b/>
              <w:bCs/>
              <w:sz w:val="24"/>
              <w:szCs w:val="24"/>
            </w:rPr>
            <w:t>Retribución al Concesionario</w:t>
          </w:r>
        </w:p>
        <w:p w14:paraId="6D5A8EA9" w14:textId="3116BCE1" w:rsidR="00274429" w:rsidRDefault="00274429" w:rsidP="10D44305">
          <w:pPr>
            <w:jc w:val="both"/>
            <w:rPr>
              <w:rFonts w:ascii="Times New Roman" w:hAnsi="Times New Roman"/>
            </w:rPr>
          </w:pPr>
          <w:r w:rsidRPr="10D44305">
            <w:rPr>
              <w:rFonts w:ascii="Times New Roman" w:hAnsi="Times New Roman"/>
              <w:b/>
              <w:bCs/>
            </w:rPr>
            <w:t xml:space="preserve">Descripción: </w:t>
          </w:r>
          <w:r w:rsidR="7A618777" w:rsidRPr="10D44305">
            <w:rPr>
              <w:rFonts w:ascii="Times New Roman" w:hAnsi="Times New Roman"/>
              <w:b/>
              <w:bCs/>
            </w:rPr>
            <w:t xml:space="preserve">  </w:t>
          </w:r>
          <w:r w:rsidR="7A618777" w:rsidRPr="10D44305">
            <w:rPr>
              <w:rFonts w:ascii="Times New Roman" w:hAnsi="Times New Roman"/>
            </w:rPr>
            <w:t xml:space="preserve">2.1 UBICACIÓN, LINDEROS YEXTENSIÓN DE LAS ZONAS DE USO PÚBLICO OBJETO DE LA CONCESIÓN PORTUARIA.  </w:t>
          </w:r>
        </w:p>
        <w:p w14:paraId="5F499BDF" w14:textId="47CC2152" w:rsidR="00274429" w:rsidRDefault="7A618777" w:rsidP="10D44305">
          <w:pPr>
            <w:jc w:val="both"/>
            <w:rPr>
              <w:rFonts w:ascii="Times New Roman" w:hAnsi="Times New Roman"/>
            </w:rPr>
          </w:pPr>
          <w:r w:rsidRPr="10D44305">
            <w:rPr>
              <w:rFonts w:ascii="Times New Roman" w:hAnsi="Times New Roman"/>
            </w:rPr>
            <w:lastRenderedPageBreak/>
            <w:t xml:space="preserve"> La zona de uso público que se entrega en concesión se encuentra ubicada en el Golfo de Urabá, en el Mar Caribe de la Costa Atlántica Colombiana, en el sector Suroriental cercano al corregimiento de Nueva Colonia y sobre el Rio León, jurisdicción del Municipio de Turbo, Departamento de Antioquia, corresponde a una zona de uso público marítima, una zona de uso público terrestre y una zona de uso público sobre el espejo de agua del Rio León.</w:t>
          </w:r>
        </w:p>
        <w:p w14:paraId="3BB1DABE" w14:textId="77777777" w:rsidR="00274429" w:rsidRPr="00351837" w:rsidRDefault="00274429" w:rsidP="00274429">
          <w:pPr>
            <w:rPr>
              <w:rFonts w:ascii="Times New Roman" w:hAnsi="Times New Roman"/>
              <w:b/>
              <w:bCs/>
              <w:sz w:val="24"/>
              <w:szCs w:val="24"/>
            </w:rPr>
          </w:pPr>
          <w:r>
            <w:rPr>
              <w:rFonts w:ascii="Times New Roman" w:hAnsi="Times New Roman"/>
              <w:b/>
              <w:bCs/>
              <w:sz w:val="24"/>
              <w:szCs w:val="24"/>
            </w:rPr>
            <w:t>Tasa de retribución: NA</w:t>
          </w:r>
        </w:p>
        <w:p w14:paraId="31218C22" w14:textId="77777777" w:rsidR="00274429" w:rsidRPr="00421699" w:rsidRDefault="00274429" w:rsidP="00E60BAB">
          <w:pPr>
            <w:pStyle w:val="Prrafodelista"/>
            <w:numPr>
              <w:ilvl w:val="0"/>
              <w:numId w:val="137"/>
            </w:numPr>
            <w:spacing w:line="259" w:lineRule="auto"/>
            <w:jc w:val="both"/>
            <w:rPr>
              <w:rFonts w:ascii="Times New Roman" w:hAnsi="Times New Roman"/>
              <w:b/>
              <w:bCs/>
              <w:sz w:val="24"/>
              <w:szCs w:val="24"/>
            </w:rPr>
          </w:pPr>
          <w:r w:rsidRPr="00421699">
            <w:rPr>
              <w:rFonts w:ascii="Times New Roman" w:hAnsi="Times New Roman"/>
              <w:b/>
              <w:bCs/>
              <w:sz w:val="24"/>
              <w:szCs w:val="24"/>
            </w:rPr>
            <w:t>Derechos a recibir activos especificados al final del acuerdo de concesión</w:t>
          </w:r>
        </w:p>
        <w:p w14:paraId="6F09B769" w14:textId="665CD9DA" w:rsidR="00274429" w:rsidRDefault="00274429" w:rsidP="00274429">
          <w:pPr>
            <w:rPr>
              <w:rStyle w:val="Estilo3"/>
            </w:rPr>
          </w:pPr>
          <w:r w:rsidRPr="10D44305">
            <w:rPr>
              <w:rFonts w:ascii="Times New Roman" w:hAnsi="Times New Roman"/>
              <w:b/>
              <w:bCs/>
            </w:rPr>
            <w:t xml:space="preserve">Descripción: </w:t>
          </w:r>
          <w:r w:rsidR="520B79C3" w:rsidRPr="10D44305">
            <w:rPr>
              <w:rFonts w:ascii="Times New Roman" w:hAnsi="Times New Roman"/>
              <w:b/>
              <w:bCs/>
            </w:rPr>
            <w:t xml:space="preserve">  </w:t>
          </w:r>
          <w:r w:rsidR="520B79C3" w:rsidRPr="10D44305">
            <w:rPr>
              <w:rFonts w:ascii="Times New Roman" w:hAnsi="Times New Roman"/>
            </w:rPr>
            <w:t>De acuerdo con el Artículo 8º de la Ley 1 de 1991 en el modo portuario el concesionario no tiene derechos finales sobre activos los debe revertir a la Nación al final del contrato de concesión.</w:t>
          </w:r>
        </w:p>
        <w:p w14:paraId="4A0EDB13" w14:textId="5C7A2F94" w:rsidR="00274429" w:rsidRPr="009A46BB" w:rsidRDefault="00274429" w:rsidP="10D44305">
          <w:pPr>
            <w:rPr>
              <w:rFonts w:ascii="Times New Roman" w:hAnsi="Times New Roman"/>
            </w:rPr>
          </w:pPr>
          <w:r w:rsidRPr="10D44305">
            <w:rPr>
              <w:rFonts w:ascii="Times New Roman" w:hAnsi="Times New Roman"/>
              <w:b/>
              <w:bCs/>
              <w:sz w:val="24"/>
              <w:szCs w:val="24"/>
            </w:rPr>
            <w:t>Observaciones:</w:t>
          </w:r>
          <w:r w:rsidRPr="10D44305">
            <w:rPr>
              <w:rFonts w:ascii="Times New Roman" w:hAnsi="Times New Roman"/>
            </w:rPr>
            <w:t xml:space="preserve"> </w:t>
          </w:r>
          <w:r w:rsidR="1B052AE9" w:rsidRPr="10D44305">
            <w:rPr>
              <w:rFonts w:ascii="Times New Roman" w:hAnsi="Times New Roman"/>
            </w:rPr>
            <w:t xml:space="preserve">  CLÁUSULA 34 REVERSIÓN  </w:t>
          </w:r>
        </w:p>
        <w:p w14:paraId="087A327F" w14:textId="22608769" w:rsidR="00274429" w:rsidRPr="009A46BB" w:rsidRDefault="1B052AE9" w:rsidP="10D44305">
          <w:pPr>
            <w:jc w:val="both"/>
          </w:pPr>
          <w:r w:rsidRPr="10D44305">
            <w:rPr>
              <w:rFonts w:ascii="Times New Roman" w:hAnsi="Times New Roman"/>
            </w:rPr>
            <w:t xml:space="preserve"> Dichos bienes deberán entregarse en buenas condiciones de operación tecnológica, mantenimiento y de adecuada eficiencia al término de este contrato y de la prórroga si la hubiere. Igualmente, procederá la reversión al ser declarada la caducidad o la terminación unilateral. Para el efecto, el CONCESIONARIO deberá entregar con una antelación mínima de seis (6) meses anteriores a la terminación del contrato, un avalúo comercial actualizado y valoración técnica de las condiciones de operación de la infraestructura portuaria, equipos e inmuebles por destinación que habitualmente se encuentren instalados en las zonas de uso público que se revierten y que son propiedad de la Nación. Dicho avalúo debe realizarlo una firma debidamente registrada ante la Lonja de Propiedad Raíz o el Instituto Geográfico Agustín Codazzi - IGAC, en el evento que dentro de los bienes exista una nave, artefacto naval o plataforma flotante, el avalúo de éstos lo hará la DIMAR o una Sociedad Clasificadora reconocida por ésta. Igualmente, cederán y revertirán gratuitamente a favor de la Nación, las Instalaciones e inmuebles por destinación, elementos y bienes directamente afectos a la concesión y situados en la zona de uso público. El CONCESIONARIO elaborará el Inventario y avalúo de los bienes objeto de la reversión y los remitirá junto con los respectivos paz y salvos, soportes y certificaciones expedidas por su representante legal, contador público y revisor fiscal, respecto a gravámenes, impuestos, servicios públicos, así como también cualquier tipo de procesos judiciales o extrajudiciales que pesen sobre ellos y los enviará al CONCEDENTE, o a quien haga sus veces, a más tardar antes de comenzar el último semestre de la concesión para su revisión y aprobación, el cual deberá ser presentado, so pena de que se le apliquen las sanciones por Incumplimiento que se pactan en el presente contrato.  </w:t>
          </w:r>
        </w:p>
        <w:p w14:paraId="0CCB650D" w14:textId="73D9BF04" w:rsidR="00274429" w:rsidRPr="009A46BB" w:rsidRDefault="1B052AE9" w:rsidP="10D44305">
          <w:pPr>
            <w:jc w:val="both"/>
          </w:pPr>
          <w:r w:rsidRPr="10D44305">
            <w:rPr>
              <w:rFonts w:ascii="Times New Roman" w:hAnsi="Times New Roman"/>
            </w:rPr>
            <w:t xml:space="preserve"> PARÁGRAFO 1.- La reversión de que trata la presente Cláusula, se formalizará mediante la suscripción de un acta entre las partes, que el CONCESIONARIO, protocolizará en Escritura Pública a favor del Instituto Nacional de Vías - INVIAS ante Notaría asumiendo sus costos.  </w:t>
          </w:r>
        </w:p>
        <w:p w14:paraId="19B2DFBD" w14:textId="03FFAF2D" w:rsidR="00274429" w:rsidRPr="009A46BB" w:rsidRDefault="1B052AE9" w:rsidP="10D44305">
          <w:pPr>
            <w:jc w:val="both"/>
          </w:pPr>
          <w:r w:rsidRPr="10D44305">
            <w:rPr>
              <w:rFonts w:ascii="Times New Roman" w:hAnsi="Times New Roman"/>
            </w:rPr>
            <w:t xml:space="preserve"> PARÁGRAFO 2.- La reversión de que trata la presente cláusula, en todo caso se realizará dando estricto cumplimiento a la normatividad que para el efecto se encuentre vigente, en donde el CONCESIONARIO deberá estar al día en el pago de la contraprestación. </w:t>
          </w:r>
        </w:p>
        <w:p w14:paraId="4A54CD82" w14:textId="61A04366" w:rsidR="00274429" w:rsidRDefault="1B052AE9" w:rsidP="00E60BAB">
          <w:pPr>
            <w:pStyle w:val="Prrafodelista"/>
            <w:numPr>
              <w:ilvl w:val="0"/>
              <w:numId w:val="137"/>
            </w:numPr>
            <w:spacing w:line="259" w:lineRule="auto"/>
            <w:rPr>
              <w:rFonts w:ascii="Times New Roman" w:hAnsi="Times New Roman"/>
              <w:b/>
              <w:bCs/>
              <w:sz w:val="24"/>
              <w:szCs w:val="24"/>
            </w:rPr>
          </w:pPr>
          <w:r w:rsidRPr="10D44305">
            <w:rPr>
              <w:rFonts w:ascii="Times New Roman" w:hAnsi="Times New Roman"/>
              <w:b/>
              <w:bCs/>
              <w:sz w:val="24"/>
              <w:szCs w:val="24"/>
            </w:rPr>
            <w:t>No hay c</w:t>
          </w:r>
          <w:r w:rsidR="00274429" w:rsidRPr="10D44305">
            <w:rPr>
              <w:rFonts w:ascii="Times New Roman" w:hAnsi="Times New Roman"/>
              <w:b/>
              <w:bCs/>
              <w:sz w:val="24"/>
              <w:szCs w:val="24"/>
            </w:rPr>
            <w:t>ambios</w:t>
          </w:r>
          <w:r w:rsidR="00274429" w:rsidRPr="002626B1">
            <w:rPr>
              <w:rFonts w:ascii="Times New Roman" w:hAnsi="Times New Roman"/>
              <w:b/>
              <w:bCs/>
              <w:sz w:val="24"/>
              <w:szCs w:val="24"/>
            </w:rPr>
            <w:t xml:space="preserve"> en el acuerdo de concesión que se realicen durante el periodo fiscal </w:t>
          </w:r>
        </w:p>
        <w:p w14:paraId="0AA897F2" w14:textId="77777777" w:rsidR="00274429" w:rsidRPr="00197A12" w:rsidRDefault="00274429" w:rsidP="0084751A">
          <w:pPr>
            <w:rPr>
              <w:rFonts w:ascii="Times New Roman" w:hAnsi="Times New Roman"/>
              <w:b/>
              <w:bCs/>
              <w:sz w:val="24"/>
              <w:szCs w:val="24"/>
            </w:rPr>
          </w:pPr>
        </w:p>
        <w:p w14:paraId="420C999C" w14:textId="1ED4B807" w:rsidR="00274429" w:rsidRDefault="00274429" w:rsidP="10D44305">
          <w:pPr>
            <w:spacing w:after="0" w:line="240" w:lineRule="auto"/>
            <w:jc w:val="both"/>
            <w:rPr>
              <w:rFonts w:ascii="Times New Roman" w:hAnsi="Times New Roman"/>
              <w:b/>
              <w:sz w:val="24"/>
              <w:szCs w:val="24"/>
            </w:rPr>
          </w:pPr>
          <w:r w:rsidRPr="10D44305">
            <w:rPr>
              <w:rFonts w:ascii="Times New Roman" w:hAnsi="Times New Roman"/>
              <w:b/>
              <w:bCs/>
              <w:sz w:val="24"/>
              <w:szCs w:val="24"/>
            </w:rPr>
            <w:lastRenderedPageBreak/>
            <w:t>SOCIEDAD PORTUARIA ENERGÉTICA MULTIPROPÓSITO Y CONTENEDORES PUERTO SOLO BUENAVENTURA S.A. “PUERTO SOLO S.A.”</w:t>
          </w:r>
        </w:p>
        <w:p w14:paraId="1D44BD9B" w14:textId="2E6D84FC" w:rsidR="10D44305" w:rsidRDefault="10D44305" w:rsidP="10D44305">
          <w:pPr>
            <w:spacing w:after="0" w:line="240" w:lineRule="auto"/>
            <w:jc w:val="both"/>
            <w:rPr>
              <w:rFonts w:ascii="Times New Roman" w:hAnsi="Times New Roman"/>
              <w:b/>
              <w:bCs/>
              <w:sz w:val="24"/>
              <w:szCs w:val="24"/>
              <w:u w:val="single"/>
            </w:rPr>
          </w:pPr>
        </w:p>
        <w:p w14:paraId="786DC5B1" w14:textId="77777777" w:rsidR="00274429" w:rsidRPr="00547EAA" w:rsidRDefault="00274429" w:rsidP="00E60BAB">
          <w:pPr>
            <w:pStyle w:val="Prrafodelista"/>
            <w:numPr>
              <w:ilvl w:val="0"/>
              <w:numId w:val="138"/>
            </w:numPr>
            <w:spacing w:line="259" w:lineRule="auto"/>
            <w:jc w:val="both"/>
            <w:rPr>
              <w:rFonts w:ascii="Times New Roman" w:hAnsi="Times New Roman"/>
              <w:b/>
              <w:bCs/>
              <w:sz w:val="24"/>
              <w:szCs w:val="24"/>
            </w:rPr>
          </w:pPr>
          <w:r w:rsidRPr="00547EAA">
            <w:rPr>
              <w:rFonts w:ascii="Times New Roman" w:hAnsi="Times New Roman"/>
              <w:b/>
              <w:bCs/>
              <w:sz w:val="24"/>
              <w:szCs w:val="24"/>
            </w:rPr>
            <w:t>Descripción del acuerdo</w:t>
          </w:r>
        </w:p>
        <w:p w14:paraId="264622AB" w14:textId="1BC17F5A" w:rsidR="00274429" w:rsidRPr="009A46BB" w:rsidRDefault="00274429" w:rsidP="10D44305">
          <w:pPr>
            <w:spacing w:after="0"/>
            <w:rPr>
              <w:rFonts w:ascii="Times New Roman" w:hAnsi="Times New Roman"/>
            </w:rPr>
          </w:pPr>
          <w:r w:rsidRPr="009A46BB">
            <w:rPr>
              <w:rFonts w:ascii="Times New Roman" w:hAnsi="Times New Roman"/>
              <w:b/>
            </w:rPr>
            <w:t>Número del acuerdo de concesión:</w:t>
          </w:r>
          <w:r w:rsidR="0F406265" w:rsidRPr="10D44305">
            <w:rPr>
              <w:rFonts w:ascii="Times New Roman" w:hAnsi="Times New Roman"/>
              <w:b/>
              <w:bCs/>
            </w:rPr>
            <w:t xml:space="preserve"> </w:t>
          </w:r>
          <w:r w:rsidRPr="009A46BB">
            <w:rPr>
              <w:rFonts w:ascii="Times New Roman" w:hAnsi="Times New Roman"/>
            </w:rPr>
            <w:t xml:space="preserve">Contrato de concesión portuaria No.002 de 2021 </w:t>
          </w:r>
        </w:p>
        <w:p w14:paraId="6BACCE43" w14:textId="08F18B37" w:rsidR="00274429" w:rsidRPr="009A46BB" w:rsidRDefault="00274429" w:rsidP="10D44305">
          <w:pPr>
            <w:spacing w:after="0"/>
            <w:jc w:val="both"/>
            <w:rPr>
              <w:rFonts w:ascii="Times New Roman" w:hAnsi="Times New Roman"/>
            </w:rPr>
          </w:pPr>
          <w:r w:rsidRPr="10D44305">
            <w:rPr>
              <w:rFonts w:ascii="Times New Roman" w:hAnsi="Times New Roman"/>
              <w:b/>
              <w:bCs/>
            </w:rPr>
            <w:t>Objeto / Descripción</w:t>
          </w:r>
          <w:r w:rsidRPr="10D44305">
            <w:rPr>
              <w:rFonts w:ascii="Times New Roman" w:hAnsi="Times New Roman"/>
            </w:rPr>
            <w:t>:</w:t>
          </w:r>
          <w:r w:rsidR="762D46B4" w:rsidRPr="10D44305">
            <w:rPr>
              <w:rFonts w:ascii="Times New Roman" w:hAnsi="Times New Roman"/>
            </w:rPr>
            <w:t xml:space="preserve"> Otorgamiento de una concesión portuaria, para que de conformidad con lo previsto en la Ley 1ª de 1991, el Concesionario ocupe, de manera temporal y exclusiva, los bienes de uso público descritos en la Sección 6.1, así como la Infraestructura Existente descrita en la Sección 6.2, para la construcción, operación, mantenimiento, y administración de un Terminal Portuario de uso público;1.1.1(a) a cambio de una contraprestación económica a favor del Concedente, en los términos descritos en la Sección 4.1 de este Contrato.</w:t>
          </w:r>
        </w:p>
        <w:p w14:paraId="2EA6277C" w14:textId="6C002A1D" w:rsidR="00274429" w:rsidRDefault="00274429" w:rsidP="10D44305">
          <w:pPr>
            <w:spacing w:after="0"/>
            <w:jc w:val="both"/>
            <w:rPr>
              <w:rFonts w:ascii="Times New Roman" w:hAnsi="Times New Roman"/>
              <w:b/>
              <w:bCs/>
              <w:sz w:val="24"/>
              <w:szCs w:val="24"/>
            </w:rPr>
          </w:pPr>
          <w:r w:rsidRPr="00521A07">
            <w:rPr>
              <w:rFonts w:ascii="Times New Roman" w:hAnsi="Times New Roman"/>
              <w:b/>
              <w:bCs/>
              <w:sz w:val="24"/>
              <w:szCs w:val="24"/>
            </w:rPr>
            <w:t>Valor inicial:</w:t>
          </w:r>
          <w:r w:rsidR="095DFE23" w:rsidRPr="10D44305">
            <w:rPr>
              <w:rFonts w:ascii="Times New Roman" w:hAnsi="Times New Roman"/>
              <w:b/>
              <w:bCs/>
              <w:sz w:val="24"/>
              <w:szCs w:val="24"/>
            </w:rPr>
            <w:t xml:space="preserve"> </w:t>
          </w:r>
          <w:r w:rsidRPr="10D44305">
            <w:rPr>
              <w:rFonts w:ascii="Times New Roman" w:hAnsi="Times New Roman"/>
              <w:sz w:val="24"/>
              <w:szCs w:val="24"/>
            </w:rPr>
            <w:t>CIENTO SESENTA MIL QUINIENTOS SESENTA DOLARES (USD $160.560) Constantes de diciembre de 2019, Capítulo IV, numeral 4.1/ Contrato de concesión No. 002 de 2021</w:t>
          </w:r>
          <w:r w:rsidR="095DFE23" w:rsidRPr="10D44305">
            <w:rPr>
              <w:rFonts w:ascii="Times New Roman" w:hAnsi="Times New Roman"/>
              <w:sz w:val="24"/>
              <w:szCs w:val="24"/>
            </w:rPr>
            <w:t>.</w:t>
          </w:r>
        </w:p>
        <w:p w14:paraId="37457FBD" w14:textId="77777777" w:rsidR="00274429" w:rsidRDefault="00274429" w:rsidP="10D44305">
          <w:pPr>
            <w:spacing w:after="0"/>
            <w:rPr>
              <w:rFonts w:ascii="Times New Roman" w:hAnsi="Times New Roman"/>
              <w:sz w:val="24"/>
              <w:szCs w:val="24"/>
            </w:rPr>
          </w:pPr>
          <w:r w:rsidRPr="00521A07">
            <w:rPr>
              <w:rFonts w:ascii="Times New Roman" w:hAnsi="Times New Roman"/>
              <w:b/>
              <w:bCs/>
              <w:sz w:val="24"/>
              <w:szCs w:val="24"/>
            </w:rPr>
            <w:t>Fecha de inicio:</w:t>
          </w:r>
          <w:r>
            <w:rPr>
              <w:rFonts w:ascii="Times New Roman" w:hAnsi="Times New Roman"/>
              <w:b/>
              <w:bCs/>
              <w:sz w:val="24"/>
              <w:szCs w:val="24"/>
            </w:rPr>
            <w:t xml:space="preserve"> </w:t>
          </w:r>
          <w:r>
            <w:rPr>
              <w:rFonts w:ascii="Times New Roman" w:hAnsi="Times New Roman"/>
              <w:sz w:val="24"/>
              <w:szCs w:val="24"/>
            </w:rPr>
            <w:t>25/06/2021</w:t>
          </w:r>
        </w:p>
        <w:p w14:paraId="00423847" w14:textId="77777777" w:rsidR="00274429" w:rsidRDefault="00274429" w:rsidP="10D44305">
          <w:pPr>
            <w:spacing w:after="0"/>
            <w:jc w:val="both"/>
            <w:rPr>
              <w:rFonts w:ascii="Times New Roman" w:hAnsi="Times New Roman"/>
              <w:sz w:val="24"/>
              <w:szCs w:val="24"/>
            </w:rPr>
          </w:pPr>
          <w:r w:rsidRPr="00521A07">
            <w:rPr>
              <w:rFonts w:ascii="Times New Roman" w:hAnsi="Times New Roman"/>
              <w:b/>
              <w:bCs/>
              <w:sz w:val="24"/>
              <w:szCs w:val="24"/>
            </w:rPr>
            <w:t>Fecha de finalización estimada:</w:t>
          </w:r>
          <w:r>
            <w:rPr>
              <w:rFonts w:ascii="Times New Roman" w:hAnsi="Times New Roman"/>
              <w:b/>
              <w:bCs/>
              <w:sz w:val="24"/>
              <w:szCs w:val="24"/>
            </w:rPr>
            <w:t xml:space="preserve"> </w:t>
          </w:r>
          <w:r>
            <w:rPr>
              <w:rFonts w:ascii="Times New Roman" w:hAnsi="Times New Roman"/>
              <w:sz w:val="24"/>
              <w:szCs w:val="24"/>
            </w:rPr>
            <w:t>24/06/2041</w:t>
          </w:r>
        </w:p>
        <w:p w14:paraId="07759B44" w14:textId="77777777" w:rsidR="00274429" w:rsidRPr="009A46BB" w:rsidRDefault="00274429" w:rsidP="10D44305">
          <w:pPr>
            <w:spacing w:after="0"/>
            <w:jc w:val="both"/>
            <w:rPr>
              <w:rFonts w:ascii="Times New Roman" w:hAnsi="Times New Roman"/>
            </w:rPr>
          </w:pPr>
          <w:r w:rsidRPr="00521A07">
            <w:rPr>
              <w:rFonts w:ascii="Times New Roman" w:hAnsi="Times New Roman"/>
              <w:b/>
              <w:bCs/>
              <w:sz w:val="24"/>
              <w:szCs w:val="24"/>
            </w:rPr>
            <w:t>Tipo ID:</w:t>
          </w:r>
          <w:r>
            <w:rPr>
              <w:rFonts w:ascii="Times New Roman" w:hAnsi="Times New Roman"/>
              <w:b/>
              <w:bCs/>
              <w:sz w:val="24"/>
              <w:szCs w:val="24"/>
            </w:rPr>
            <w:t xml:space="preserve"> NIT</w:t>
          </w:r>
        </w:p>
        <w:p w14:paraId="45D23E45" w14:textId="77777777" w:rsidR="00274429" w:rsidRPr="009A46BB" w:rsidRDefault="00274429" w:rsidP="00274429">
          <w:pPr>
            <w:spacing w:after="0" w:line="240" w:lineRule="auto"/>
            <w:rPr>
              <w:rFonts w:ascii="Times New Roman" w:hAnsi="Times New Roman"/>
            </w:rPr>
          </w:pPr>
          <w:r w:rsidRPr="00521A07">
            <w:rPr>
              <w:rFonts w:ascii="Times New Roman" w:hAnsi="Times New Roman"/>
              <w:b/>
              <w:bCs/>
              <w:sz w:val="24"/>
              <w:szCs w:val="24"/>
            </w:rPr>
            <w:t>Número ID:</w:t>
          </w:r>
          <w:r>
            <w:rPr>
              <w:rFonts w:ascii="Times New Roman" w:hAnsi="Times New Roman"/>
              <w:b/>
              <w:bCs/>
              <w:sz w:val="24"/>
              <w:szCs w:val="24"/>
            </w:rPr>
            <w:t xml:space="preserve"> </w:t>
          </w:r>
          <w:sdt>
            <w:sdtPr>
              <w:rPr>
                <w:rStyle w:val="Estilo3"/>
              </w:rPr>
              <w:id w:val="-2054684499"/>
              <w:placeholder>
                <w:docPart w:val="23F25BC43117444386C43B66DC8167A6"/>
              </w:placeholder>
            </w:sdtPr>
            <w:sdtEndPr>
              <w:rPr>
                <w:rStyle w:val="Fuentedeprrafopredeter"/>
                <w:rFonts w:ascii="Calibri" w:hAnsi="Calibri"/>
                <w:sz w:val="22"/>
              </w:rPr>
            </w:sdtEndPr>
            <w:sdtContent>
              <w:r w:rsidRPr="009A46BB">
                <w:rPr>
                  <w:rFonts w:ascii="Times New Roman" w:hAnsi="Times New Roman"/>
                </w:rPr>
                <w:t>901.077.888-2</w:t>
              </w:r>
            </w:sdtContent>
          </w:sdt>
        </w:p>
        <w:p w14:paraId="2FD674F8" w14:textId="5F8601E7" w:rsidR="00274429" w:rsidRPr="009A46BB" w:rsidRDefault="00274429" w:rsidP="10D44305">
          <w:pPr>
            <w:spacing w:after="0"/>
            <w:rPr>
              <w:rFonts w:ascii="Times New Roman" w:hAnsi="Times New Roman"/>
            </w:rPr>
          </w:pPr>
          <w:r w:rsidRPr="00521A07">
            <w:rPr>
              <w:rFonts w:ascii="Times New Roman" w:hAnsi="Times New Roman"/>
              <w:b/>
              <w:bCs/>
              <w:sz w:val="24"/>
              <w:szCs w:val="24"/>
            </w:rPr>
            <w:t>Razón social del concesionario:</w:t>
          </w:r>
          <w:r w:rsidR="5A9D0AE6" w:rsidRPr="10D44305">
            <w:rPr>
              <w:rFonts w:ascii="Times New Roman" w:hAnsi="Times New Roman"/>
              <w:b/>
              <w:bCs/>
              <w:sz w:val="24"/>
              <w:szCs w:val="24"/>
            </w:rPr>
            <w:t xml:space="preserve"> </w:t>
          </w:r>
          <w:r w:rsidRPr="009A46BB">
            <w:rPr>
              <w:rFonts w:ascii="Times New Roman" w:hAnsi="Times New Roman"/>
            </w:rPr>
            <w:t xml:space="preserve">Sociedad Portuaria Bita RM S.A </w:t>
          </w:r>
        </w:p>
        <w:p w14:paraId="51521354" w14:textId="1F6219C9" w:rsidR="00274429" w:rsidRPr="009A46BB" w:rsidRDefault="00274429" w:rsidP="10D44305">
          <w:pPr>
            <w:spacing w:after="0"/>
            <w:rPr>
              <w:rFonts w:ascii="Times New Roman" w:hAnsi="Times New Roman"/>
            </w:rPr>
          </w:pPr>
          <w:r w:rsidRPr="00521A07">
            <w:rPr>
              <w:rFonts w:ascii="Times New Roman" w:hAnsi="Times New Roman"/>
              <w:b/>
              <w:bCs/>
              <w:sz w:val="24"/>
              <w:szCs w:val="24"/>
            </w:rPr>
            <w:t>Nombre del proyecto:</w:t>
          </w:r>
          <w:r w:rsidR="1D5387D0" w:rsidRPr="10D44305">
            <w:rPr>
              <w:rFonts w:ascii="Times New Roman" w:hAnsi="Times New Roman"/>
              <w:b/>
              <w:bCs/>
              <w:sz w:val="24"/>
              <w:szCs w:val="24"/>
            </w:rPr>
            <w:t xml:space="preserve"> </w:t>
          </w:r>
          <w:r w:rsidRPr="009A46BB">
            <w:rPr>
              <w:rFonts w:ascii="Times New Roman" w:hAnsi="Times New Roman"/>
            </w:rPr>
            <w:t xml:space="preserve">Sociedad Portuaria Bita RM S.A </w:t>
          </w:r>
        </w:p>
        <w:p w14:paraId="54BA72D3" w14:textId="13ADCD1A" w:rsidR="10D44305" w:rsidRDefault="10D44305" w:rsidP="10D44305">
          <w:pPr>
            <w:spacing w:after="0"/>
            <w:rPr>
              <w:rFonts w:ascii="Times New Roman" w:hAnsi="Times New Roman"/>
            </w:rPr>
          </w:pPr>
        </w:p>
        <w:p w14:paraId="54BC510F" w14:textId="77777777" w:rsidR="00274429" w:rsidRPr="007F6606" w:rsidRDefault="00274429" w:rsidP="00E60BAB">
          <w:pPr>
            <w:pStyle w:val="Prrafodelista"/>
            <w:numPr>
              <w:ilvl w:val="0"/>
              <w:numId w:val="138"/>
            </w:numPr>
            <w:spacing w:line="259" w:lineRule="auto"/>
            <w:rPr>
              <w:rFonts w:ascii="Times New Roman" w:hAnsi="Times New Roman"/>
              <w:b/>
              <w:bCs/>
              <w:sz w:val="24"/>
              <w:szCs w:val="24"/>
            </w:rPr>
          </w:pPr>
          <w:r w:rsidRPr="007F6606">
            <w:rPr>
              <w:rFonts w:ascii="Times New Roman" w:hAnsi="Times New Roman"/>
              <w:b/>
              <w:bCs/>
              <w:sz w:val="24"/>
              <w:szCs w:val="24"/>
            </w:rPr>
            <w:t>Términos significativos del acuerdo que puedan afectar su valor, el calendario y la certeza de los flujos</w:t>
          </w:r>
        </w:p>
        <w:p w14:paraId="577E9A98" w14:textId="3908B288" w:rsidR="00274429" w:rsidRDefault="00274429" w:rsidP="00274429">
          <w:pPr>
            <w:jc w:val="both"/>
            <w:rPr>
              <w:rFonts w:ascii="Times New Roman" w:hAnsi="Times New Roman"/>
              <w:b/>
              <w:bCs/>
              <w:sz w:val="24"/>
              <w:szCs w:val="24"/>
            </w:rPr>
          </w:pPr>
          <w:r w:rsidRPr="00BA4CAE">
            <w:rPr>
              <w:rFonts w:ascii="Times New Roman" w:hAnsi="Times New Roman"/>
              <w:b/>
              <w:bCs/>
              <w:sz w:val="24"/>
              <w:szCs w:val="24"/>
            </w:rPr>
            <w:t>Términos de valor:</w:t>
          </w:r>
        </w:p>
        <w:p w14:paraId="0AF152AA" w14:textId="36CF2910" w:rsidR="00274429" w:rsidRPr="009A46BB" w:rsidRDefault="51A6A3D9" w:rsidP="10D44305">
          <w:pPr>
            <w:jc w:val="both"/>
            <w:rPr>
              <w:rFonts w:ascii="Times New Roman" w:hAnsi="Times New Roman"/>
            </w:rPr>
          </w:pPr>
          <w:r w:rsidRPr="10D44305">
            <w:rPr>
              <w:rFonts w:ascii="Times New Roman" w:hAnsi="Times New Roman"/>
            </w:rPr>
            <w:t xml:space="preserve">Tarifas: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 </w:t>
          </w:r>
        </w:p>
        <w:p w14:paraId="37EFD97E" w14:textId="311829F7" w:rsidR="00274429" w:rsidRPr="009A46BB" w:rsidRDefault="51A6A3D9" w:rsidP="10D44305">
          <w:pPr>
            <w:jc w:val="both"/>
          </w:pPr>
          <w:r w:rsidRPr="10D44305">
            <w:rPr>
              <w:rFonts w:ascii="Times New Roman" w:hAnsi="Times New Roman"/>
            </w:rPr>
            <w:t xml:space="preserve"> Contraprestación portuaria: De acuerdo con el contrato de concesión No. 002 de </w:t>
          </w:r>
          <w:r w:rsidR="00274429">
            <w:tab/>
          </w:r>
          <w:r w:rsidRPr="10D44305">
            <w:rPr>
              <w:rFonts w:ascii="Times New Roman" w:hAnsi="Times New Roman"/>
            </w:rPr>
            <w:t xml:space="preserve">2021, la metodología de contraprestación corresponde al Conpes 3744 de 2013. A febrero de 2022, el CONCESIONARIO debió pagar la suma de USD 19.912,55 por </w:t>
          </w:r>
          <w:r w:rsidR="00274429">
            <w:tab/>
          </w:r>
          <w:r w:rsidRPr="10D44305">
            <w:rPr>
              <w:rFonts w:ascii="Times New Roman" w:hAnsi="Times New Roman"/>
            </w:rPr>
            <w:t xml:space="preserve">concepto de contraprestación. El literal (a), Capítulo IV, Sección 4.3 del contrato establece que el pago de la contraprestación con relación al componente fijo le corresponde a la Nación (INVIAS) el 80% y el 20% restante al municipio de Cartagena, de acuerdo con lo establecido en el parágrafo 1 del artículo 1 de la Ley 856 del 21 de diciembre de 2003, que modifica el artículo 7 de la ley 1ª de 1991.El literal (b), Sección 4.4, establece que el total de la contraprestación por infraestructura le corresponde a la Nación - Instituto Nacional de Vías - INVIAS. </w:t>
          </w:r>
        </w:p>
        <w:p w14:paraId="4D38F9E0" w14:textId="253FFD16" w:rsidR="00274429" w:rsidRPr="009A46BB" w:rsidRDefault="51A6A3D9" w:rsidP="10D44305">
          <w:pPr>
            <w:jc w:val="both"/>
          </w:pPr>
          <w:r w:rsidRPr="10D44305">
            <w:rPr>
              <w:rFonts w:ascii="Times New Roman" w:hAnsi="Times New Roman"/>
            </w:rPr>
            <w:t xml:space="preserve"> Plan de Inversiones: Está establecido en el Capítulo IV, Sección 4.5 del contrato, el plan de inversiones que deberá ejecutar, durante los primeros dos (2) años de </w:t>
          </w:r>
          <w:r w:rsidR="00274429">
            <w:tab/>
          </w:r>
          <w:r w:rsidRPr="10D44305">
            <w:rPr>
              <w:rFonts w:ascii="Times New Roman" w:hAnsi="Times New Roman"/>
            </w:rPr>
            <w:t xml:space="preserve">concesión, será de DOSCIENTOS VEINTIUN MIL TRESCIENTOS NOVENTA Y SEIS DOLARES (USD$ 221.396) constantes de diciembre de 2019. </w:t>
          </w:r>
        </w:p>
        <w:p w14:paraId="470AB01C" w14:textId="28D5E382" w:rsidR="00274429" w:rsidRPr="009A46BB" w:rsidRDefault="51A6A3D9" w:rsidP="10D44305">
          <w:pPr>
            <w:jc w:val="both"/>
          </w:pPr>
          <w:r w:rsidRPr="10D44305">
            <w:rPr>
              <w:rFonts w:ascii="Times New Roman" w:hAnsi="Times New Roman"/>
            </w:rPr>
            <w:t xml:space="preserve"> Obligaciones del CONCESIONARIO: se encuentran descritas en el Capítulo V, numeral 5.1 del contrato.  </w:t>
          </w:r>
        </w:p>
        <w:p w14:paraId="6A46D7DB" w14:textId="0D3E6C66" w:rsidR="00274429" w:rsidRPr="009A46BB" w:rsidRDefault="51A6A3D9" w:rsidP="10D44305">
          <w:pPr>
            <w:jc w:val="both"/>
          </w:pPr>
          <w:r w:rsidRPr="10D44305">
            <w:rPr>
              <w:rFonts w:ascii="Times New Roman" w:hAnsi="Times New Roman"/>
            </w:rPr>
            <w:lastRenderedPageBreak/>
            <w:t xml:space="preserve"> Multas y sanciones: están establecidas en el Capítulo IX, Sección 9.1 del contrato. </w:t>
          </w:r>
        </w:p>
        <w:p w14:paraId="0BB3AF55" w14:textId="19982705" w:rsidR="00274429" w:rsidRPr="009A46BB" w:rsidRDefault="51A6A3D9" w:rsidP="00274429">
          <w:pPr>
            <w:jc w:val="both"/>
          </w:pPr>
          <w:r w:rsidRPr="10D44305">
            <w:rPr>
              <w:rFonts w:ascii="Times New Roman" w:hAnsi="Times New Roman"/>
            </w:rPr>
            <w:t xml:space="preserve"> </w:t>
          </w:r>
          <w:r w:rsidR="00274429" w:rsidRPr="009A46BB">
            <w:rPr>
              <w:rFonts w:ascii="Times New Roman" w:hAnsi="Times New Roman"/>
            </w:rPr>
            <w:t xml:space="preserve">Penal: En la Cláusula IX, numeral 9.8, se establece que en el evento que el Concedente declare la terminación anticipada del contrato por la caducidad del contrato, o el incumplimiento que lleve a la terminación anticipada del presente contrato, el Concesionario, deberá pagar al Concedente, la suma equivalente al 10% del valor total de la sumatoria (i) del valor presente de la contraprestación referida en la Sección 4.1 del Contrato, y (ii) del valor presente del Plan de Inversiones actualizado con el CPI for all ítems (Consumer Price Index) de Estados Unidos (Fuente: </w:t>
          </w:r>
          <w:r w:rsidRPr="10D44305">
            <w:rPr>
              <w:rFonts w:ascii="Times New Roman" w:hAnsi="Times New Roman"/>
            </w:rPr>
            <w:t>https://www.bls.gov</w:t>
          </w:r>
          <w:r w:rsidR="00274429" w:rsidRPr="009A46BB">
            <w:rPr>
              <w:rFonts w:ascii="Times New Roman" w:hAnsi="Times New Roman"/>
            </w:rPr>
            <w:t xml:space="preserve"> – BUREAU OF LABOR STATISTICS) en el mes inmediatamente anterior a la imposición, o proporcionalmente por incumplimiento parcial, a título indemnizatorio</w:t>
          </w:r>
        </w:p>
        <w:p w14:paraId="30492CAA" w14:textId="6E7CD85F" w:rsidR="00274429" w:rsidRPr="00D75308" w:rsidRDefault="00274429" w:rsidP="10D44305">
          <w:pPr>
            <w:jc w:val="both"/>
            <w:rPr>
              <w:rFonts w:ascii="Times New Roman" w:hAnsi="Times New Roman"/>
              <w:sz w:val="24"/>
              <w:szCs w:val="24"/>
            </w:rPr>
          </w:pPr>
          <w:r w:rsidRPr="004C1095">
            <w:rPr>
              <w:rFonts w:ascii="Times New Roman" w:hAnsi="Times New Roman"/>
              <w:b/>
              <w:bCs/>
              <w:sz w:val="24"/>
              <w:szCs w:val="24"/>
            </w:rPr>
            <w:t>Términos de calendario:</w:t>
          </w:r>
        </w:p>
        <w:p w14:paraId="06136DC9" w14:textId="71411663" w:rsidR="00274429" w:rsidRPr="00D75308" w:rsidRDefault="71BF03A2" w:rsidP="10D44305">
          <w:pPr>
            <w:jc w:val="both"/>
            <w:rPr>
              <w:rFonts w:ascii="Times New Roman" w:hAnsi="Times New Roman"/>
              <w:sz w:val="24"/>
              <w:szCs w:val="24"/>
            </w:rPr>
          </w:pPr>
          <w:r w:rsidRPr="10D44305">
            <w:rPr>
              <w:rFonts w:ascii="Times New Roman" w:hAnsi="Times New Roman"/>
              <w:sz w:val="24"/>
              <w:szCs w:val="24"/>
            </w:rPr>
            <w:t xml:space="preserve">Tarifas: Aprobadas según la metodología establecida por la Superintendencia General de Puertos, hoy Superintendencia de Transporte. </w:t>
          </w:r>
        </w:p>
        <w:p w14:paraId="259D4EAA" w14:textId="5D2710CF" w:rsidR="00274429" w:rsidRPr="00D75308" w:rsidRDefault="71BF03A2" w:rsidP="10D44305">
          <w:pPr>
            <w:jc w:val="both"/>
            <w:rPr>
              <w:rFonts w:ascii="Times New Roman" w:hAnsi="Times New Roman"/>
              <w:sz w:val="24"/>
              <w:szCs w:val="24"/>
            </w:rPr>
          </w:pPr>
          <w:r w:rsidRPr="10D44305">
            <w:rPr>
              <w:rFonts w:ascii="Times New Roman" w:hAnsi="Times New Roman"/>
              <w:sz w:val="24"/>
              <w:szCs w:val="24"/>
            </w:rPr>
            <w:t xml:space="preserve"> Contraprestación portuaria: la contraprestación se debe pagar de manera anual anticipada en el mes de febrero de cada año. </w:t>
          </w:r>
        </w:p>
        <w:p w14:paraId="6C4106FA" w14:textId="023BEA1F" w:rsidR="00274429" w:rsidRPr="00D75308" w:rsidRDefault="71BF03A2" w:rsidP="10D44305">
          <w:pPr>
            <w:jc w:val="both"/>
            <w:rPr>
              <w:rFonts w:ascii="Times New Roman" w:hAnsi="Times New Roman"/>
              <w:sz w:val="24"/>
              <w:szCs w:val="24"/>
            </w:rPr>
          </w:pPr>
          <w:r w:rsidRPr="10D44305">
            <w:rPr>
              <w:rFonts w:ascii="Times New Roman" w:hAnsi="Times New Roman"/>
              <w:sz w:val="24"/>
              <w:szCs w:val="24"/>
            </w:rPr>
            <w:t xml:space="preserve"> Plan de inversiones: Se estableció en el Capítulo IV, Sección 4.5 del contrato, que la ejecución del plan de inversiones debe realizarse durante los primeros dos (2) años de concesión. </w:t>
          </w:r>
        </w:p>
        <w:p w14:paraId="075A15A4" w14:textId="6FAA0534" w:rsidR="00274429" w:rsidRPr="00D75308" w:rsidRDefault="71BF03A2" w:rsidP="00274429">
          <w:pPr>
            <w:jc w:val="both"/>
            <w:rPr>
              <w:rFonts w:ascii="Times New Roman" w:hAnsi="Times New Roman"/>
              <w:sz w:val="24"/>
              <w:szCs w:val="24"/>
            </w:rPr>
          </w:pPr>
          <w:r w:rsidRPr="10D44305">
            <w:rPr>
              <w:rFonts w:ascii="Times New Roman" w:hAnsi="Times New Roman"/>
              <w:sz w:val="24"/>
              <w:szCs w:val="24"/>
            </w:rPr>
            <w:t xml:space="preserve"> Multas: Capítulo IX, Sección 9.1 del contrato</w:t>
          </w:r>
        </w:p>
        <w:p w14:paraId="22951E0E" w14:textId="08303254" w:rsidR="00274429" w:rsidRPr="00463866" w:rsidRDefault="00274429" w:rsidP="10D44305">
          <w:pPr>
            <w:jc w:val="both"/>
            <w:rPr>
              <w:rFonts w:ascii="Times New Roman" w:hAnsi="Times New Roman"/>
              <w:sz w:val="24"/>
              <w:szCs w:val="24"/>
            </w:rPr>
          </w:pPr>
          <w:r w:rsidRPr="10D44305">
            <w:rPr>
              <w:rFonts w:ascii="Times New Roman" w:hAnsi="Times New Roman"/>
              <w:b/>
              <w:bCs/>
              <w:sz w:val="24"/>
              <w:szCs w:val="24"/>
            </w:rPr>
            <w:t xml:space="preserve">Términos de certeza de flujos de efectivo futuros: </w:t>
          </w:r>
          <w:r w:rsidR="69A36B87" w:rsidRPr="10D44305">
            <w:rPr>
              <w:rFonts w:ascii="Times New Roman" w:hAnsi="Times New Roman"/>
              <w:sz w:val="24"/>
              <w:szCs w:val="24"/>
            </w:rPr>
            <w:t xml:space="preserve">Se otorga a EL CONCESIONARIO una concesión portuaria, para que de conformidad con lo previsto en la Ley 1ª. De 1991, el Concesionario ocupe, de manera temporal y exclusiva, los bienes de uso público descritos en la Sección 6.1, así como la infraestructura existente descrita en la Sección 6.2, para la construcción para la construcción, operación, mantenimiento, y administración de un terminal portuario de uso público, a cambio de una contraprestación económica a favor del Concedente, en los términos descritos en la Sección 4.1 de este contrato. </w:t>
          </w:r>
        </w:p>
        <w:p w14:paraId="2A79A980" w14:textId="1ECA4DA7" w:rsidR="00274429" w:rsidRPr="00463866" w:rsidRDefault="69A36B87" w:rsidP="00274429">
          <w:pPr>
            <w:jc w:val="both"/>
            <w:rPr>
              <w:rFonts w:ascii="Times New Roman" w:hAnsi="Times New Roman"/>
              <w:sz w:val="24"/>
              <w:szCs w:val="24"/>
            </w:rPr>
          </w:pPr>
          <w:r w:rsidRPr="10D44305">
            <w:rPr>
              <w:rFonts w:ascii="Times New Roman" w:hAnsi="Times New Roman"/>
              <w:sz w:val="24"/>
              <w:szCs w:val="24"/>
            </w:rPr>
            <w:t xml:space="preserve"> Capítulo 4, Sección 4.3, literal (a), del valor a pagar por concepto de contraprestación del componente fijo, el 80% le corresponde a la Nación-INVIAS y el 20 % al municipio de Cartagena.</w:t>
          </w:r>
        </w:p>
        <w:p w14:paraId="6BF5FF86" w14:textId="77777777" w:rsidR="00274429" w:rsidRPr="00F648B9" w:rsidRDefault="00274429" w:rsidP="00E60BAB">
          <w:pPr>
            <w:pStyle w:val="Prrafodelista"/>
            <w:numPr>
              <w:ilvl w:val="0"/>
              <w:numId w:val="138"/>
            </w:numPr>
            <w:spacing w:line="259" w:lineRule="auto"/>
            <w:jc w:val="both"/>
            <w:rPr>
              <w:rFonts w:ascii="Times New Roman" w:hAnsi="Times New Roman"/>
              <w:b/>
              <w:bCs/>
              <w:sz w:val="24"/>
              <w:szCs w:val="24"/>
            </w:rPr>
          </w:pPr>
          <w:r w:rsidRPr="00F648B9">
            <w:rPr>
              <w:rFonts w:ascii="Times New Roman" w:hAnsi="Times New Roman"/>
              <w:b/>
              <w:bCs/>
              <w:sz w:val="24"/>
              <w:szCs w:val="24"/>
            </w:rPr>
            <w:t>Naturaleza y alcance del derecho a utilizar activos especificados, de los aspectos pactados en torno a lo que se espera que el concesionario proporcione en relación con el acuerdo de concesión (Se requiere ser breves, precisos, y concisos en la redacción)</w:t>
          </w:r>
        </w:p>
        <w:p w14:paraId="5758BB7A" w14:textId="77777777" w:rsidR="00274429" w:rsidRPr="008E2DD0" w:rsidRDefault="00274429" w:rsidP="00274429">
          <w:pPr>
            <w:jc w:val="both"/>
            <w:rPr>
              <w:rStyle w:val="Estilo3"/>
              <w:b/>
              <w:bCs/>
              <w:szCs w:val="24"/>
            </w:rPr>
          </w:pPr>
          <w:r w:rsidRPr="00217110">
            <w:rPr>
              <w:rFonts w:ascii="Times New Roman" w:hAnsi="Times New Roman"/>
              <w:b/>
              <w:bCs/>
              <w:sz w:val="24"/>
              <w:szCs w:val="24"/>
            </w:rPr>
            <w:t>Naturaleza y alcance del derecho de uso de los activos</w:t>
          </w:r>
        </w:p>
        <w:p w14:paraId="53A29136" w14:textId="2F18AFAE" w:rsidR="07169130" w:rsidRDefault="07169130" w:rsidP="10D44305">
          <w:pPr>
            <w:jc w:val="both"/>
            <w:rPr>
              <w:rFonts w:ascii="Times New Roman" w:hAnsi="Times New Roman"/>
              <w:sz w:val="24"/>
              <w:szCs w:val="24"/>
            </w:rPr>
          </w:pPr>
          <w:r w:rsidRPr="10D44305">
            <w:rPr>
              <w:rFonts w:ascii="Times New Roman" w:hAnsi="Times New Roman"/>
              <w:sz w:val="24"/>
              <w:szCs w:val="24"/>
            </w:rPr>
            <w:t xml:space="preserve"> Descripción del proyecto, especificaciones técnicas, modalidades de operación: las condiciones especiales de operación del puerto están establecidas en el Capítulo VI del Contrato de concesión </w:t>
          </w:r>
        </w:p>
        <w:p w14:paraId="2441D929" w14:textId="37F288E2" w:rsidR="07169130" w:rsidRDefault="07169130" w:rsidP="10D44305">
          <w:pPr>
            <w:jc w:val="both"/>
            <w:rPr>
              <w:rFonts w:ascii="Times New Roman" w:hAnsi="Times New Roman"/>
              <w:sz w:val="24"/>
              <w:szCs w:val="24"/>
            </w:rPr>
          </w:pPr>
          <w:r w:rsidRPr="10D44305">
            <w:rPr>
              <w:rFonts w:ascii="Times New Roman" w:hAnsi="Times New Roman"/>
              <w:sz w:val="24"/>
              <w:szCs w:val="24"/>
            </w:rPr>
            <w:t xml:space="preserve"> Área entregada en concesión: La descripción de la ubicación, linderos y extensión de los bienes de uso público (playas y terrenos de baja mar, zonas marítimas accesorias de maniobras) entregados en concesión están establecidos en el numeral 6.1 del Contrato de concesión </w:t>
          </w:r>
        </w:p>
        <w:p w14:paraId="5E05697D" w14:textId="73CA083A" w:rsidR="07169130" w:rsidRDefault="07169130" w:rsidP="10D44305">
          <w:pPr>
            <w:jc w:val="both"/>
            <w:rPr>
              <w:rFonts w:ascii="Times New Roman" w:hAnsi="Times New Roman"/>
              <w:sz w:val="24"/>
              <w:szCs w:val="24"/>
            </w:rPr>
          </w:pPr>
          <w:r w:rsidRPr="10D44305">
            <w:rPr>
              <w:rFonts w:ascii="Times New Roman" w:hAnsi="Times New Roman"/>
              <w:sz w:val="24"/>
              <w:szCs w:val="24"/>
            </w:rPr>
            <w:lastRenderedPageBreak/>
            <w:t xml:space="preserve"> Infraestructura entregada en concesión: En el numeral 6.2 del Contrato de concesión, se describe que lo entregado en concesión fue:  </w:t>
          </w:r>
        </w:p>
        <w:p w14:paraId="05938164" w14:textId="40455632" w:rsidR="07169130" w:rsidRDefault="07169130" w:rsidP="10D44305">
          <w:pPr>
            <w:jc w:val="both"/>
            <w:rPr>
              <w:rFonts w:ascii="Times New Roman" w:hAnsi="Times New Roman"/>
              <w:sz w:val="24"/>
              <w:szCs w:val="24"/>
            </w:rPr>
          </w:pPr>
          <w:r w:rsidRPr="10D44305">
            <w:rPr>
              <w:rFonts w:ascii="Times New Roman" w:hAnsi="Times New Roman"/>
              <w:sz w:val="24"/>
              <w:szCs w:val="24"/>
            </w:rPr>
            <w:t xml:space="preserve"> Infraestructura: Muelle de 41,4 metros de longitud y 2,5 metros de ancho; Edificio en 2 plantas de Oficinas.  </w:t>
          </w:r>
        </w:p>
        <w:p w14:paraId="5C640468" w14:textId="77777777" w:rsidR="00274429" w:rsidRPr="00ED266C" w:rsidRDefault="00274429" w:rsidP="00274429">
          <w:pPr>
            <w:rPr>
              <w:rFonts w:ascii="Times New Roman" w:hAnsi="Times New Roman"/>
              <w:sz w:val="24"/>
              <w:szCs w:val="24"/>
            </w:rPr>
          </w:pPr>
          <w:r w:rsidRPr="003E5FA9">
            <w:rPr>
              <w:rFonts w:ascii="Times New Roman" w:hAnsi="Times New Roman"/>
              <w:b/>
              <w:bCs/>
              <w:sz w:val="24"/>
              <w:szCs w:val="24"/>
            </w:rPr>
            <w:t>Observaciones:</w:t>
          </w:r>
          <w:r>
            <w:rPr>
              <w:rFonts w:ascii="Times New Roman" w:hAnsi="Times New Roman"/>
              <w:b/>
              <w:bCs/>
              <w:sz w:val="24"/>
              <w:szCs w:val="24"/>
            </w:rPr>
            <w:t xml:space="preserve"> </w:t>
          </w:r>
          <w:r>
            <w:rPr>
              <w:rFonts w:ascii="Times New Roman" w:hAnsi="Times New Roman"/>
              <w:sz w:val="24"/>
              <w:szCs w:val="24"/>
            </w:rPr>
            <w:t>NA</w:t>
          </w:r>
        </w:p>
        <w:p w14:paraId="0409E413" w14:textId="77777777" w:rsidR="00274429" w:rsidRDefault="00274429" w:rsidP="00274429">
          <w:pPr>
            <w:jc w:val="both"/>
            <w:rPr>
              <w:rFonts w:ascii="Times New Roman" w:hAnsi="Times New Roman"/>
              <w:b/>
              <w:bCs/>
              <w:sz w:val="24"/>
              <w:szCs w:val="24"/>
            </w:rPr>
          </w:pPr>
          <w:r>
            <w:rPr>
              <w:rFonts w:ascii="Times New Roman" w:hAnsi="Times New Roman"/>
              <w:b/>
              <w:bCs/>
              <w:sz w:val="24"/>
              <w:szCs w:val="24"/>
            </w:rPr>
            <w:t>Retribución al Concesionario</w:t>
          </w:r>
        </w:p>
        <w:p w14:paraId="0A7F6720" w14:textId="0AE132DC" w:rsidR="00274429" w:rsidRDefault="00274429" w:rsidP="10D44305">
          <w:pPr>
            <w:jc w:val="both"/>
            <w:rPr>
              <w:rFonts w:ascii="Times New Roman" w:eastAsia="Times New Roman" w:hAnsi="Times New Roman"/>
              <w:sz w:val="24"/>
              <w:szCs w:val="24"/>
            </w:rPr>
          </w:pPr>
          <w:r w:rsidRPr="10D44305">
            <w:rPr>
              <w:rFonts w:ascii="Times New Roman" w:hAnsi="Times New Roman"/>
              <w:b/>
              <w:bCs/>
            </w:rPr>
            <w:t>D</w:t>
          </w:r>
          <w:r w:rsidRPr="10D44305">
            <w:rPr>
              <w:rFonts w:ascii="Times New Roman" w:eastAsia="Times New Roman" w:hAnsi="Times New Roman"/>
              <w:b/>
              <w:bCs/>
              <w:sz w:val="24"/>
              <w:szCs w:val="24"/>
            </w:rPr>
            <w:t>escripción:</w:t>
          </w:r>
          <w:r w:rsidR="2229F74E" w:rsidRPr="10D44305">
            <w:rPr>
              <w:rFonts w:ascii="Times New Roman" w:eastAsia="Times New Roman" w:hAnsi="Times New Roman"/>
              <w:b/>
              <w:bCs/>
              <w:sz w:val="24"/>
              <w:szCs w:val="24"/>
            </w:rPr>
            <w:t xml:space="preserve"> </w:t>
          </w:r>
          <w:r w:rsidR="2229F74E" w:rsidRPr="10D44305">
            <w:rPr>
              <w:rFonts w:ascii="Times New Roman" w:eastAsia="Times New Roman" w:hAnsi="Times New Roman"/>
              <w:sz w:val="24"/>
              <w:szCs w:val="24"/>
            </w:rPr>
            <w:t xml:space="preserve">Capítulo III, Sección 3.2 del contrato 002 de 2021: Otorgamiento de una concesión portuaria para que de conformidad con lo previsto en la Ley 1ª. De 1991, el Concesionario ocupe, de manera temporal y exclusiva, los bienes de uso público </w:t>
          </w:r>
          <w:r>
            <w:tab/>
          </w:r>
          <w:r w:rsidR="2229F74E" w:rsidRPr="10D44305">
            <w:rPr>
              <w:rFonts w:ascii="Times New Roman" w:eastAsia="Times New Roman" w:hAnsi="Times New Roman"/>
              <w:sz w:val="24"/>
              <w:szCs w:val="24"/>
            </w:rPr>
            <w:t xml:space="preserve">descritos en la Sección 6.1, así como la infraestructura existente descrita en la Sección </w:t>
          </w:r>
          <w:r>
            <w:tab/>
          </w:r>
          <w:r w:rsidR="2229F74E" w:rsidRPr="10D44305">
            <w:rPr>
              <w:rFonts w:ascii="Times New Roman" w:eastAsia="Times New Roman" w:hAnsi="Times New Roman"/>
              <w:sz w:val="24"/>
              <w:szCs w:val="24"/>
            </w:rPr>
            <w:t>6.2, para la construcción para la construcción, operación, mantenimiento, y administración de un terminal portuario de uso público, a cambio de una contraprestación económica a favor del Concedente, en los términos descritos en la Sección 4.1 de este contrato.</w:t>
          </w:r>
        </w:p>
        <w:p w14:paraId="301F1032" w14:textId="77777777" w:rsidR="00274429" w:rsidRPr="00421699" w:rsidRDefault="00274429" w:rsidP="00E60BAB">
          <w:pPr>
            <w:pStyle w:val="Prrafodelista"/>
            <w:numPr>
              <w:ilvl w:val="0"/>
              <w:numId w:val="138"/>
            </w:numPr>
            <w:spacing w:line="259" w:lineRule="auto"/>
            <w:jc w:val="both"/>
            <w:rPr>
              <w:rFonts w:ascii="Times New Roman" w:eastAsia="Times New Roman" w:hAnsi="Times New Roman"/>
              <w:b/>
              <w:sz w:val="24"/>
              <w:szCs w:val="24"/>
            </w:rPr>
          </w:pPr>
          <w:r w:rsidRPr="10D44305">
            <w:rPr>
              <w:rFonts w:ascii="Times New Roman" w:eastAsia="Times New Roman" w:hAnsi="Times New Roman"/>
              <w:b/>
              <w:sz w:val="24"/>
              <w:szCs w:val="24"/>
            </w:rPr>
            <w:t>Derechos a recibir activos especificados al final del acuerdo de concesión</w:t>
          </w:r>
        </w:p>
        <w:p w14:paraId="32BD17BF" w14:textId="46469A6E" w:rsidR="00274429" w:rsidRDefault="00274429" w:rsidP="00274429">
          <w:pPr>
            <w:jc w:val="both"/>
            <w:rPr>
              <w:rFonts w:ascii="Times New Roman" w:eastAsia="Times New Roman" w:hAnsi="Times New Roman"/>
              <w:sz w:val="24"/>
              <w:szCs w:val="24"/>
            </w:rPr>
          </w:pPr>
          <w:r w:rsidRPr="10D44305">
            <w:rPr>
              <w:rFonts w:ascii="Times New Roman" w:eastAsia="Times New Roman" w:hAnsi="Times New Roman"/>
              <w:b/>
              <w:bCs/>
              <w:sz w:val="24"/>
              <w:szCs w:val="24"/>
            </w:rPr>
            <w:t xml:space="preserve">Descripción: </w:t>
          </w:r>
          <w:r w:rsidR="7B51C8AB" w:rsidRPr="10D44305">
            <w:rPr>
              <w:rFonts w:ascii="Times New Roman" w:eastAsia="Times New Roman" w:hAnsi="Times New Roman"/>
              <w:sz w:val="24"/>
              <w:szCs w:val="24"/>
            </w:rPr>
            <w:t>De acuerdo con el Artículo 8º de la Ley 1 de 1991 en el modo portuario el concesionario no tiene derechos finales sobre activos los debe revertir a la Nación al final del contrato de concesión.</w:t>
          </w:r>
        </w:p>
        <w:p w14:paraId="36F0F063" w14:textId="77777777" w:rsidR="00274429" w:rsidRPr="009A46BB" w:rsidRDefault="00274429" w:rsidP="00274429">
          <w:pPr>
            <w:jc w:val="both"/>
            <w:rPr>
              <w:rFonts w:ascii="Times New Roman" w:eastAsia="Times New Roman" w:hAnsi="Times New Roman"/>
              <w:sz w:val="24"/>
              <w:szCs w:val="24"/>
            </w:rPr>
          </w:pPr>
          <w:r w:rsidRPr="10D44305">
            <w:rPr>
              <w:rFonts w:ascii="Times New Roman" w:eastAsia="Times New Roman" w:hAnsi="Times New Roman"/>
              <w:b/>
              <w:sz w:val="24"/>
              <w:szCs w:val="24"/>
            </w:rPr>
            <w:t>Observaciones:</w:t>
          </w:r>
          <w:r w:rsidRPr="10D44305">
            <w:rPr>
              <w:rFonts w:ascii="Times New Roman" w:eastAsia="Times New Roman" w:hAnsi="Times New Roman"/>
              <w:sz w:val="24"/>
              <w:szCs w:val="24"/>
            </w:rPr>
            <w:t xml:space="preserve"> </w:t>
          </w:r>
        </w:p>
        <w:p w14:paraId="5442CF9E" w14:textId="77777777" w:rsidR="00274429" w:rsidRPr="009A46BB" w:rsidRDefault="00274429" w:rsidP="00274429">
          <w:pPr>
            <w:jc w:val="both"/>
            <w:rPr>
              <w:rFonts w:ascii="Times New Roman" w:eastAsia="Times New Roman" w:hAnsi="Times New Roman"/>
              <w:sz w:val="24"/>
              <w:szCs w:val="24"/>
            </w:rPr>
          </w:pPr>
          <w:r w:rsidRPr="10D44305">
            <w:rPr>
              <w:rFonts w:ascii="Times New Roman" w:eastAsia="Times New Roman" w:hAnsi="Times New Roman"/>
              <w:sz w:val="24"/>
              <w:szCs w:val="24"/>
            </w:rPr>
            <w:t>Reversión: De acuerdo con lo establecido en el numeral 10.4 del contrato de concesión, todas las construcciones e inmuebles por destinación, que se encuentren instalados en la zona de uso público otorgada en concesión revertirán gratuitamente por el Concesionario.</w:t>
          </w:r>
        </w:p>
        <w:p w14:paraId="2223CF72" w14:textId="77777777" w:rsidR="00274429" w:rsidRPr="009A46BB" w:rsidRDefault="00274429" w:rsidP="00274429">
          <w:pPr>
            <w:jc w:val="both"/>
            <w:rPr>
              <w:rFonts w:ascii="Times New Roman" w:eastAsia="Times New Roman" w:hAnsi="Times New Roman"/>
              <w:sz w:val="24"/>
              <w:szCs w:val="24"/>
            </w:rPr>
          </w:pPr>
          <w:r w:rsidRPr="10D44305">
            <w:rPr>
              <w:rFonts w:ascii="Times New Roman" w:eastAsia="Times New Roman" w:hAnsi="Times New Roman"/>
              <w:sz w:val="24"/>
              <w:szCs w:val="24"/>
            </w:rPr>
            <w:t>Para tal fin, en el momento de la reversión el CONCESIONARIO elaborará un inventario de los bienes y los enviará para su revisión y aprobación.</w:t>
          </w:r>
        </w:p>
        <w:p w14:paraId="52DA033B" w14:textId="77777777" w:rsidR="00274429" w:rsidRPr="009F03D2" w:rsidRDefault="00274429" w:rsidP="00274429">
          <w:pPr>
            <w:jc w:val="both"/>
            <w:rPr>
              <w:rFonts w:ascii="Times New Roman" w:eastAsia="Times New Roman" w:hAnsi="Times New Roman"/>
              <w:b/>
              <w:sz w:val="24"/>
              <w:szCs w:val="24"/>
            </w:rPr>
          </w:pPr>
          <w:r w:rsidRPr="10D44305">
            <w:rPr>
              <w:rFonts w:ascii="Times New Roman" w:eastAsia="Times New Roman" w:hAnsi="Times New Roman"/>
              <w:sz w:val="24"/>
              <w:szCs w:val="24"/>
            </w:rPr>
            <w:t>La ANI es la entidad concedente pero la titularidad de los activos al final de la concesión es del Instituto Nacional de Vías INVIAS.</w:t>
          </w:r>
        </w:p>
        <w:p w14:paraId="2F9D8E4A" w14:textId="36FD075C" w:rsidR="007F0A8D" w:rsidRDefault="4CF681D9" w:rsidP="00E60BAB">
          <w:pPr>
            <w:pStyle w:val="Prrafodelista"/>
            <w:numPr>
              <w:ilvl w:val="0"/>
              <w:numId w:val="138"/>
            </w:numPr>
            <w:spacing w:after="0" w:line="259" w:lineRule="auto"/>
            <w:rPr>
              <w:rFonts w:ascii="Times New Roman" w:eastAsia="Times New Roman" w:hAnsi="Times New Roman"/>
              <w:b/>
              <w:sz w:val="24"/>
              <w:szCs w:val="24"/>
            </w:rPr>
          </w:pPr>
          <w:r w:rsidRPr="10D44305">
            <w:rPr>
              <w:rFonts w:ascii="Times New Roman" w:eastAsia="Times New Roman" w:hAnsi="Times New Roman"/>
              <w:b/>
              <w:bCs/>
              <w:sz w:val="24"/>
              <w:szCs w:val="24"/>
            </w:rPr>
            <w:t>No hay c</w:t>
          </w:r>
          <w:r w:rsidR="00274429" w:rsidRPr="10D44305">
            <w:rPr>
              <w:rFonts w:ascii="Times New Roman" w:eastAsia="Times New Roman" w:hAnsi="Times New Roman"/>
              <w:b/>
              <w:bCs/>
              <w:sz w:val="24"/>
              <w:szCs w:val="24"/>
            </w:rPr>
            <w:t>ambios</w:t>
          </w:r>
          <w:r w:rsidR="00274429" w:rsidRPr="10D44305">
            <w:rPr>
              <w:rFonts w:ascii="Times New Roman" w:eastAsia="Times New Roman" w:hAnsi="Times New Roman"/>
              <w:b/>
              <w:sz w:val="24"/>
              <w:szCs w:val="24"/>
            </w:rPr>
            <w:t xml:space="preserve"> en el acuerdo de concesión que se realicen durante el periodo fiscal </w:t>
          </w:r>
        </w:p>
        <w:p w14:paraId="0F7144D5" w14:textId="77777777" w:rsidR="007F0A8D" w:rsidRDefault="007F0A8D" w:rsidP="00EF2A7D">
          <w:pPr>
            <w:spacing w:after="0" w:line="240" w:lineRule="auto"/>
            <w:jc w:val="both"/>
            <w:rPr>
              <w:rFonts w:ascii="Times New Roman" w:eastAsia="Times New Roman" w:hAnsi="Times New Roman"/>
              <w:sz w:val="24"/>
              <w:szCs w:val="24"/>
            </w:rPr>
          </w:pPr>
        </w:p>
        <w:p w14:paraId="4E4BF6D3" w14:textId="77777777" w:rsidR="007F0A8D" w:rsidRPr="00931DCE" w:rsidRDefault="007F0A8D" w:rsidP="007F0A8D">
          <w:pPr>
            <w:spacing w:after="0" w:line="240" w:lineRule="auto"/>
            <w:jc w:val="both"/>
            <w:rPr>
              <w:rFonts w:ascii="Times New Roman" w:eastAsia="Times New Roman" w:hAnsi="Times New Roman"/>
              <w:sz w:val="24"/>
              <w:szCs w:val="24"/>
            </w:rPr>
          </w:pPr>
        </w:p>
        <w:p w14:paraId="5348D2BE" w14:textId="5BBF7EFD" w:rsidR="007F0A8D" w:rsidRPr="00931DCE" w:rsidRDefault="007F0A8D" w:rsidP="007F0A8D">
          <w:pPr>
            <w:pStyle w:val="Ttulo3"/>
            <w:spacing w:line="240" w:lineRule="auto"/>
            <w:rPr>
              <w:rFonts w:eastAsia="Times New Roman" w:cs="Times New Roman"/>
              <w:color w:val="1F3864" w:themeColor="accent1" w:themeShade="80"/>
            </w:rPr>
          </w:pPr>
          <w:bookmarkStart w:id="139" w:name="_Toc159952452"/>
          <w:r w:rsidRPr="10D44305">
            <w:rPr>
              <w:rFonts w:eastAsia="Times New Roman" w:cs="Times New Roman"/>
              <w:color w:val="1F3864" w:themeColor="accent1" w:themeShade="80"/>
            </w:rPr>
            <w:t>32.1.3 Modo Férreo:</w:t>
          </w:r>
          <w:bookmarkEnd w:id="139"/>
        </w:p>
        <w:p w14:paraId="2BC9B7EA" w14:textId="77777777" w:rsidR="007F0A8D" w:rsidRPr="00931DCE" w:rsidRDefault="007F0A8D" w:rsidP="007F0A8D">
          <w:pPr>
            <w:spacing w:after="0" w:line="240" w:lineRule="auto"/>
            <w:jc w:val="both"/>
            <w:rPr>
              <w:rFonts w:ascii="Times New Roman" w:eastAsia="Times New Roman" w:hAnsi="Times New Roman"/>
              <w:color w:val="000000" w:themeColor="text1"/>
              <w:sz w:val="24"/>
              <w:szCs w:val="24"/>
            </w:rPr>
          </w:pPr>
        </w:p>
        <w:p w14:paraId="74A14D44" w14:textId="77777777" w:rsidR="007F0A8D" w:rsidRPr="00931DCE" w:rsidRDefault="007F0A8D" w:rsidP="007F0A8D">
          <w:pPr>
            <w:pStyle w:val="Ttulo2"/>
            <w:numPr>
              <w:ilvl w:val="0"/>
              <w:numId w:val="0"/>
            </w:numPr>
            <w:rPr>
              <w:rFonts w:eastAsia="Times New Roman" w:cs="Times New Roman"/>
              <w:szCs w:val="24"/>
            </w:rPr>
          </w:pPr>
          <w:bookmarkStart w:id="140" w:name="_Toc159952453"/>
          <w:r w:rsidRPr="10D44305">
            <w:rPr>
              <w:rFonts w:eastAsia="Times New Roman" w:cs="Times New Roman"/>
              <w:szCs w:val="24"/>
            </w:rPr>
            <w:t>Composición</w:t>
          </w:r>
          <w:bookmarkEnd w:id="140"/>
        </w:p>
        <w:p w14:paraId="6B1E31EC" w14:textId="77777777" w:rsidR="007F0A8D" w:rsidRPr="00931DCE" w:rsidRDefault="007F0A8D" w:rsidP="007F0A8D">
          <w:pPr>
            <w:spacing w:after="0" w:line="240" w:lineRule="auto"/>
            <w:jc w:val="both"/>
            <w:rPr>
              <w:rFonts w:ascii="Times New Roman" w:eastAsia="Times New Roman" w:hAnsi="Times New Roman"/>
              <w:color w:val="000000" w:themeColor="text1"/>
              <w:sz w:val="24"/>
              <w:szCs w:val="24"/>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CellMar>
              <w:left w:w="70" w:type="dxa"/>
              <w:right w:w="70" w:type="dxa"/>
            </w:tblCellMar>
            <w:tblLook w:val="04A0" w:firstRow="1" w:lastRow="0" w:firstColumn="1" w:lastColumn="0" w:noHBand="0" w:noVBand="1"/>
          </w:tblPr>
          <w:tblGrid>
            <w:gridCol w:w="4194"/>
            <w:gridCol w:w="1779"/>
            <w:gridCol w:w="1794"/>
            <w:gridCol w:w="1202"/>
          </w:tblGrid>
          <w:tr w:rsidR="00895333" w:rsidRPr="00895333" w14:paraId="39EF583B" w14:textId="77777777" w:rsidTr="0084751A">
            <w:trPr>
              <w:trHeight w:val="162"/>
            </w:trPr>
            <w:tc>
              <w:tcPr>
                <w:tcW w:w="2338" w:type="pct"/>
                <w:shd w:val="clear" w:color="auto" w:fill="auto"/>
                <w:noWrap/>
                <w:vAlign w:val="bottom"/>
                <w:hideMark/>
              </w:tcPr>
              <w:p w14:paraId="57E163EB" w14:textId="77777777" w:rsidR="00895333" w:rsidRPr="00895333" w:rsidRDefault="00895333" w:rsidP="00895333">
                <w:pPr>
                  <w:spacing w:after="0" w:line="240" w:lineRule="auto"/>
                  <w:jc w:val="center"/>
                  <w:rPr>
                    <w:rFonts w:ascii="Times New Roman" w:eastAsia="Times New Roman" w:hAnsi="Times New Roman"/>
                    <w:b/>
                    <w:bCs/>
                    <w:sz w:val="14"/>
                    <w:szCs w:val="14"/>
                    <w:lang w:eastAsia="es-CO"/>
                  </w:rPr>
                </w:pPr>
                <w:r w:rsidRPr="00895333">
                  <w:rPr>
                    <w:rFonts w:ascii="Times New Roman" w:eastAsia="Times New Roman" w:hAnsi="Times New Roman"/>
                    <w:b/>
                    <w:bCs/>
                    <w:sz w:val="14"/>
                    <w:szCs w:val="14"/>
                    <w:lang w:eastAsia="es-CO"/>
                  </w:rPr>
                  <w:t>Proyecto/Tipo de Activo</w:t>
                </w:r>
              </w:p>
            </w:tc>
            <w:tc>
              <w:tcPr>
                <w:tcW w:w="992" w:type="pct"/>
                <w:shd w:val="clear" w:color="auto" w:fill="auto"/>
                <w:noWrap/>
                <w:vAlign w:val="bottom"/>
                <w:hideMark/>
              </w:tcPr>
              <w:p w14:paraId="7CC31B50" w14:textId="77777777" w:rsidR="00895333" w:rsidRPr="00895333" w:rsidRDefault="00895333" w:rsidP="00895333">
                <w:pPr>
                  <w:spacing w:after="0" w:line="240" w:lineRule="auto"/>
                  <w:jc w:val="center"/>
                  <w:rPr>
                    <w:rFonts w:ascii="Times New Roman" w:eastAsia="Times New Roman" w:hAnsi="Times New Roman"/>
                    <w:b/>
                    <w:bCs/>
                    <w:sz w:val="14"/>
                    <w:szCs w:val="14"/>
                    <w:lang w:eastAsia="es-CO"/>
                  </w:rPr>
                </w:pPr>
                <w:r w:rsidRPr="00895333">
                  <w:rPr>
                    <w:rFonts w:ascii="Times New Roman" w:eastAsia="Times New Roman" w:hAnsi="Times New Roman"/>
                    <w:b/>
                    <w:bCs/>
                    <w:sz w:val="14"/>
                    <w:szCs w:val="14"/>
                    <w:lang w:eastAsia="es-CO"/>
                  </w:rPr>
                  <w:t>2023</w:t>
                </w:r>
              </w:p>
            </w:tc>
            <w:tc>
              <w:tcPr>
                <w:tcW w:w="1000" w:type="pct"/>
                <w:shd w:val="clear" w:color="auto" w:fill="auto"/>
                <w:noWrap/>
                <w:vAlign w:val="bottom"/>
                <w:hideMark/>
              </w:tcPr>
              <w:p w14:paraId="63FBD04F" w14:textId="77777777" w:rsidR="00895333" w:rsidRPr="00895333" w:rsidRDefault="00895333" w:rsidP="00895333">
                <w:pPr>
                  <w:spacing w:after="0" w:line="240" w:lineRule="auto"/>
                  <w:jc w:val="center"/>
                  <w:rPr>
                    <w:rFonts w:ascii="Times New Roman" w:eastAsia="Times New Roman" w:hAnsi="Times New Roman"/>
                    <w:b/>
                    <w:bCs/>
                    <w:sz w:val="14"/>
                    <w:szCs w:val="14"/>
                    <w:lang w:eastAsia="es-CO"/>
                  </w:rPr>
                </w:pPr>
                <w:r w:rsidRPr="00895333">
                  <w:rPr>
                    <w:rFonts w:ascii="Times New Roman" w:eastAsia="Times New Roman" w:hAnsi="Times New Roman"/>
                    <w:b/>
                    <w:bCs/>
                    <w:sz w:val="14"/>
                    <w:szCs w:val="14"/>
                    <w:lang w:eastAsia="es-CO"/>
                  </w:rPr>
                  <w:t>2022</w:t>
                </w:r>
              </w:p>
            </w:tc>
            <w:tc>
              <w:tcPr>
                <w:tcW w:w="670" w:type="pct"/>
                <w:shd w:val="clear" w:color="auto" w:fill="auto"/>
                <w:noWrap/>
                <w:vAlign w:val="bottom"/>
                <w:hideMark/>
              </w:tcPr>
              <w:p w14:paraId="4E735777" w14:textId="77777777" w:rsidR="00895333" w:rsidRPr="00895333" w:rsidRDefault="00895333" w:rsidP="00895333">
                <w:pPr>
                  <w:spacing w:after="0" w:line="240" w:lineRule="auto"/>
                  <w:jc w:val="center"/>
                  <w:rPr>
                    <w:rFonts w:ascii="Times New Roman" w:eastAsia="Times New Roman" w:hAnsi="Times New Roman"/>
                    <w:b/>
                    <w:bCs/>
                    <w:sz w:val="14"/>
                    <w:szCs w:val="14"/>
                    <w:lang w:eastAsia="es-CO"/>
                  </w:rPr>
                </w:pPr>
                <w:r w:rsidRPr="00895333">
                  <w:rPr>
                    <w:rFonts w:ascii="Times New Roman" w:eastAsia="Times New Roman" w:hAnsi="Times New Roman"/>
                    <w:b/>
                    <w:bCs/>
                    <w:sz w:val="14"/>
                    <w:szCs w:val="14"/>
                    <w:lang w:eastAsia="es-CO"/>
                  </w:rPr>
                  <w:t>Variación</w:t>
                </w:r>
              </w:p>
            </w:tc>
          </w:tr>
          <w:tr w:rsidR="00895333" w:rsidRPr="00895333" w14:paraId="180424FD" w14:textId="77777777" w:rsidTr="0084751A">
            <w:trPr>
              <w:trHeight w:val="162"/>
            </w:trPr>
            <w:tc>
              <w:tcPr>
                <w:tcW w:w="2338" w:type="pct"/>
                <w:shd w:val="clear" w:color="auto" w:fill="auto"/>
                <w:noWrap/>
                <w:vAlign w:val="bottom"/>
                <w:hideMark/>
              </w:tcPr>
              <w:p w14:paraId="2E18ADC5" w14:textId="77777777" w:rsidR="00895333" w:rsidRPr="00895333" w:rsidRDefault="00895333" w:rsidP="00895333">
                <w:pPr>
                  <w:spacing w:after="0" w:line="240" w:lineRule="auto"/>
                  <w:rPr>
                    <w:rFonts w:ascii="Times New Roman" w:eastAsia="Times New Roman" w:hAnsi="Times New Roman"/>
                    <w:b/>
                    <w:bCs/>
                    <w:sz w:val="14"/>
                    <w:szCs w:val="14"/>
                    <w:lang w:eastAsia="es-CO"/>
                  </w:rPr>
                </w:pPr>
                <w:r w:rsidRPr="00895333">
                  <w:rPr>
                    <w:rFonts w:ascii="Times New Roman" w:eastAsia="Times New Roman" w:hAnsi="Times New Roman"/>
                    <w:b/>
                    <w:bCs/>
                    <w:sz w:val="14"/>
                    <w:szCs w:val="14"/>
                    <w:lang w:eastAsia="es-CO"/>
                  </w:rPr>
                  <w:t>FERROCARRIL DEL PACIFICO SAS</w:t>
                </w:r>
              </w:p>
            </w:tc>
            <w:tc>
              <w:tcPr>
                <w:tcW w:w="992" w:type="pct"/>
                <w:shd w:val="clear" w:color="auto" w:fill="auto"/>
                <w:noWrap/>
                <w:vAlign w:val="bottom"/>
                <w:hideMark/>
              </w:tcPr>
              <w:p w14:paraId="03CF2C59" w14:textId="77777777" w:rsidR="00895333" w:rsidRPr="00895333" w:rsidRDefault="00895333" w:rsidP="00895333">
                <w:pPr>
                  <w:spacing w:after="0" w:line="240" w:lineRule="auto"/>
                  <w:jc w:val="right"/>
                  <w:rPr>
                    <w:rFonts w:ascii="Times New Roman" w:eastAsia="Times New Roman" w:hAnsi="Times New Roman"/>
                    <w:b/>
                    <w:bCs/>
                    <w:sz w:val="14"/>
                    <w:szCs w:val="14"/>
                    <w:lang w:eastAsia="es-CO"/>
                  </w:rPr>
                </w:pPr>
                <w:r w:rsidRPr="00895333">
                  <w:rPr>
                    <w:rFonts w:ascii="Times New Roman" w:eastAsia="Times New Roman" w:hAnsi="Times New Roman"/>
                    <w:b/>
                    <w:bCs/>
                    <w:sz w:val="14"/>
                    <w:szCs w:val="14"/>
                    <w:lang w:eastAsia="es-CO"/>
                  </w:rPr>
                  <w:t xml:space="preserve">   944.066.584.454 </w:t>
                </w:r>
              </w:p>
            </w:tc>
            <w:tc>
              <w:tcPr>
                <w:tcW w:w="1000" w:type="pct"/>
                <w:shd w:val="clear" w:color="auto" w:fill="auto"/>
                <w:noWrap/>
                <w:vAlign w:val="bottom"/>
                <w:hideMark/>
              </w:tcPr>
              <w:p w14:paraId="3DE4F446" w14:textId="77777777" w:rsidR="00895333" w:rsidRPr="00895333" w:rsidRDefault="00895333" w:rsidP="00895333">
                <w:pPr>
                  <w:spacing w:after="0" w:line="240" w:lineRule="auto"/>
                  <w:jc w:val="right"/>
                  <w:rPr>
                    <w:rFonts w:ascii="Times New Roman" w:eastAsia="Times New Roman" w:hAnsi="Times New Roman"/>
                    <w:b/>
                    <w:bCs/>
                    <w:sz w:val="14"/>
                    <w:szCs w:val="14"/>
                    <w:lang w:eastAsia="es-CO"/>
                  </w:rPr>
                </w:pPr>
                <w:r w:rsidRPr="00895333">
                  <w:rPr>
                    <w:rFonts w:ascii="Times New Roman" w:eastAsia="Times New Roman" w:hAnsi="Times New Roman"/>
                    <w:b/>
                    <w:bCs/>
                    <w:sz w:val="14"/>
                    <w:szCs w:val="14"/>
                    <w:lang w:eastAsia="es-CO"/>
                  </w:rPr>
                  <w:t xml:space="preserve">     944.017.615.747 </w:t>
                </w:r>
              </w:p>
            </w:tc>
            <w:tc>
              <w:tcPr>
                <w:tcW w:w="670" w:type="pct"/>
                <w:shd w:val="clear" w:color="auto" w:fill="auto"/>
                <w:noWrap/>
                <w:vAlign w:val="bottom"/>
                <w:hideMark/>
              </w:tcPr>
              <w:p w14:paraId="137C0623" w14:textId="77777777" w:rsidR="00895333" w:rsidRPr="00895333" w:rsidRDefault="00895333" w:rsidP="00895333">
                <w:pPr>
                  <w:spacing w:after="0" w:line="240" w:lineRule="auto"/>
                  <w:jc w:val="right"/>
                  <w:rPr>
                    <w:rFonts w:ascii="Times New Roman" w:eastAsia="Times New Roman" w:hAnsi="Times New Roman"/>
                    <w:sz w:val="14"/>
                    <w:szCs w:val="14"/>
                    <w:lang w:eastAsia="es-CO"/>
                  </w:rPr>
                </w:pPr>
                <w:r w:rsidRPr="00895333">
                  <w:rPr>
                    <w:rFonts w:ascii="Times New Roman" w:eastAsia="Times New Roman" w:hAnsi="Times New Roman"/>
                    <w:sz w:val="14"/>
                    <w:szCs w:val="14"/>
                    <w:lang w:eastAsia="es-CO"/>
                  </w:rPr>
                  <w:t xml:space="preserve">         48.968.707 </w:t>
                </w:r>
              </w:p>
            </w:tc>
          </w:tr>
          <w:tr w:rsidR="00895333" w:rsidRPr="00895333" w14:paraId="7AF6E244" w14:textId="77777777" w:rsidTr="0084751A">
            <w:trPr>
              <w:trHeight w:val="162"/>
            </w:trPr>
            <w:tc>
              <w:tcPr>
                <w:tcW w:w="2338" w:type="pct"/>
                <w:shd w:val="clear" w:color="auto" w:fill="auto"/>
                <w:noWrap/>
                <w:vAlign w:val="bottom"/>
                <w:hideMark/>
              </w:tcPr>
              <w:p w14:paraId="720BC131" w14:textId="77777777" w:rsidR="00895333" w:rsidRPr="00895333" w:rsidRDefault="00895333" w:rsidP="00895333">
                <w:pPr>
                  <w:spacing w:after="0" w:line="240" w:lineRule="auto"/>
                  <w:ind w:firstLineChars="100" w:firstLine="140"/>
                  <w:rPr>
                    <w:rFonts w:ascii="Times New Roman" w:eastAsia="Times New Roman" w:hAnsi="Times New Roman"/>
                    <w:sz w:val="14"/>
                    <w:szCs w:val="14"/>
                    <w:lang w:eastAsia="es-CO"/>
                  </w:rPr>
                </w:pPr>
                <w:r w:rsidRPr="00895333">
                  <w:rPr>
                    <w:rFonts w:ascii="Times New Roman" w:eastAsia="Times New Roman" w:hAnsi="Times New Roman"/>
                    <w:sz w:val="14"/>
                    <w:szCs w:val="14"/>
                    <w:lang w:eastAsia="es-CO"/>
                  </w:rPr>
                  <w:t>Propiedades, planta y equipo en concesión</w:t>
                </w:r>
              </w:p>
            </w:tc>
            <w:tc>
              <w:tcPr>
                <w:tcW w:w="992" w:type="pct"/>
                <w:shd w:val="clear" w:color="auto" w:fill="auto"/>
                <w:noWrap/>
                <w:vAlign w:val="bottom"/>
                <w:hideMark/>
              </w:tcPr>
              <w:p w14:paraId="47FF7959" w14:textId="77777777" w:rsidR="00895333" w:rsidRPr="00895333" w:rsidRDefault="00895333" w:rsidP="00895333">
                <w:pPr>
                  <w:spacing w:after="0" w:line="240" w:lineRule="auto"/>
                  <w:jc w:val="right"/>
                  <w:rPr>
                    <w:rFonts w:ascii="Times New Roman" w:eastAsia="Times New Roman" w:hAnsi="Times New Roman"/>
                    <w:sz w:val="14"/>
                    <w:szCs w:val="14"/>
                    <w:lang w:eastAsia="es-CO"/>
                  </w:rPr>
                </w:pPr>
                <w:r w:rsidRPr="00895333">
                  <w:rPr>
                    <w:rFonts w:ascii="Times New Roman" w:eastAsia="Times New Roman" w:hAnsi="Times New Roman"/>
                    <w:sz w:val="14"/>
                    <w:szCs w:val="14"/>
                    <w:lang w:eastAsia="es-CO"/>
                  </w:rPr>
                  <w:t xml:space="preserve">                  18.839.421.928 </w:t>
                </w:r>
              </w:p>
            </w:tc>
            <w:tc>
              <w:tcPr>
                <w:tcW w:w="1000" w:type="pct"/>
                <w:shd w:val="clear" w:color="auto" w:fill="auto"/>
                <w:noWrap/>
                <w:vAlign w:val="bottom"/>
                <w:hideMark/>
              </w:tcPr>
              <w:p w14:paraId="2EDF319C" w14:textId="77777777" w:rsidR="00895333" w:rsidRPr="00895333" w:rsidRDefault="00895333" w:rsidP="00895333">
                <w:pPr>
                  <w:spacing w:after="0" w:line="240" w:lineRule="auto"/>
                  <w:jc w:val="right"/>
                  <w:rPr>
                    <w:rFonts w:ascii="Times New Roman" w:eastAsia="Times New Roman" w:hAnsi="Times New Roman"/>
                    <w:sz w:val="14"/>
                    <w:szCs w:val="14"/>
                    <w:lang w:eastAsia="es-CO"/>
                  </w:rPr>
                </w:pPr>
                <w:r w:rsidRPr="00895333">
                  <w:rPr>
                    <w:rFonts w:ascii="Times New Roman" w:eastAsia="Times New Roman" w:hAnsi="Times New Roman"/>
                    <w:sz w:val="14"/>
                    <w:szCs w:val="14"/>
                    <w:lang w:eastAsia="es-CO"/>
                  </w:rPr>
                  <w:t xml:space="preserve">                  18.839.421.928 </w:t>
                </w:r>
              </w:p>
            </w:tc>
            <w:tc>
              <w:tcPr>
                <w:tcW w:w="670" w:type="pct"/>
                <w:shd w:val="clear" w:color="auto" w:fill="auto"/>
                <w:noWrap/>
                <w:vAlign w:val="bottom"/>
                <w:hideMark/>
              </w:tcPr>
              <w:p w14:paraId="437F0530" w14:textId="77777777" w:rsidR="00895333" w:rsidRPr="00895333" w:rsidRDefault="00895333" w:rsidP="00895333">
                <w:pPr>
                  <w:spacing w:after="0" w:line="240" w:lineRule="auto"/>
                  <w:jc w:val="right"/>
                  <w:rPr>
                    <w:rFonts w:ascii="Times New Roman" w:eastAsia="Times New Roman" w:hAnsi="Times New Roman"/>
                    <w:sz w:val="14"/>
                    <w:szCs w:val="14"/>
                    <w:lang w:eastAsia="es-CO"/>
                  </w:rPr>
                </w:pPr>
                <w:r w:rsidRPr="00895333">
                  <w:rPr>
                    <w:rFonts w:ascii="Times New Roman" w:eastAsia="Times New Roman" w:hAnsi="Times New Roman"/>
                    <w:sz w:val="14"/>
                    <w:szCs w:val="14"/>
                    <w:lang w:eastAsia="es-CO"/>
                  </w:rPr>
                  <w:t xml:space="preserve">                            -   </w:t>
                </w:r>
              </w:p>
            </w:tc>
          </w:tr>
          <w:tr w:rsidR="00895333" w:rsidRPr="00895333" w14:paraId="51BFF98C" w14:textId="77777777" w:rsidTr="0084751A">
            <w:trPr>
              <w:trHeight w:val="162"/>
            </w:trPr>
            <w:tc>
              <w:tcPr>
                <w:tcW w:w="2338" w:type="pct"/>
                <w:shd w:val="clear" w:color="auto" w:fill="auto"/>
                <w:noWrap/>
                <w:vAlign w:val="bottom"/>
                <w:hideMark/>
              </w:tcPr>
              <w:p w14:paraId="6C53571E" w14:textId="77777777" w:rsidR="00895333" w:rsidRPr="00895333" w:rsidRDefault="00895333" w:rsidP="00895333">
                <w:pPr>
                  <w:spacing w:after="0" w:line="240" w:lineRule="auto"/>
                  <w:ind w:firstLineChars="100" w:firstLine="140"/>
                  <w:rPr>
                    <w:rFonts w:ascii="Times New Roman" w:eastAsia="Times New Roman" w:hAnsi="Times New Roman"/>
                    <w:sz w:val="14"/>
                    <w:szCs w:val="14"/>
                    <w:lang w:eastAsia="es-CO"/>
                  </w:rPr>
                </w:pPr>
                <w:r w:rsidRPr="00895333">
                  <w:rPr>
                    <w:rFonts w:ascii="Times New Roman" w:eastAsia="Times New Roman" w:hAnsi="Times New Roman"/>
                    <w:sz w:val="14"/>
                    <w:szCs w:val="14"/>
                    <w:lang w:eastAsia="es-CO"/>
                  </w:rPr>
                  <w:t>Red férrea en servicio</w:t>
                </w:r>
              </w:p>
            </w:tc>
            <w:tc>
              <w:tcPr>
                <w:tcW w:w="992" w:type="pct"/>
                <w:shd w:val="clear" w:color="auto" w:fill="auto"/>
                <w:noWrap/>
                <w:vAlign w:val="bottom"/>
                <w:hideMark/>
              </w:tcPr>
              <w:p w14:paraId="54420306" w14:textId="77777777" w:rsidR="00895333" w:rsidRPr="00895333" w:rsidRDefault="00895333" w:rsidP="00895333">
                <w:pPr>
                  <w:spacing w:after="0" w:line="240" w:lineRule="auto"/>
                  <w:jc w:val="right"/>
                  <w:rPr>
                    <w:rFonts w:ascii="Times New Roman" w:eastAsia="Times New Roman" w:hAnsi="Times New Roman"/>
                    <w:sz w:val="14"/>
                    <w:szCs w:val="14"/>
                    <w:lang w:eastAsia="es-CO"/>
                  </w:rPr>
                </w:pPr>
                <w:r w:rsidRPr="00895333">
                  <w:rPr>
                    <w:rFonts w:ascii="Times New Roman" w:eastAsia="Times New Roman" w:hAnsi="Times New Roman"/>
                    <w:sz w:val="14"/>
                    <w:szCs w:val="14"/>
                    <w:lang w:eastAsia="es-CO"/>
                  </w:rPr>
                  <w:t xml:space="preserve">                 921.909.261.818 </w:t>
                </w:r>
              </w:p>
            </w:tc>
            <w:tc>
              <w:tcPr>
                <w:tcW w:w="1000" w:type="pct"/>
                <w:shd w:val="clear" w:color="auto" w:fill="auto"/>
                <w:noWrap/>
                <w:vAlign w:val="bottom"/>
                <w:hideMark/>
              </w:tcPr>
              <w:p w14:paraId="037AD107" w14:textId="77777777" w:rsidR="00895333" w:rsidRPr="00895333" w:rsidRDefault="00895333" w:rsidP="00895333">
                <w:pPr>
                  <w:spacing w:after="0" w:line="240" w:lineRule="auto"/>
                  <w:jc w:val="right"/>
                  <w:rPr>
                    <w:rFonts w:ascii="Times New Roman" w:eastAsia="Times New Roman" w:hAnsi="Times New Roman"/>
                    <w:sz w:val="14"/>
                    <w:szCs w:val="14"/>
                    <w:lang w:eastAsia="es-CO"/>
                  </w:rPr>
                </w:pPr>
                <w:r w:rsidRPr="00895333">
                  <w:rPr>
                    <w:rFonts w:ascii="Times New Roman" w:eastAsia="Times New Roman" w:hAnsi="Times New Roman"/>
                    <w:sz w:val="14"/>
                    <w:szCs w:val="14"/>
                    <w:lang w:eastAsia="es-CO"/>
                  </w:rPr>
                  <w:t xml:space="preserve">                 925.178.193.819 </w:t>
                </w:r>
              </w:p>
            </w:tc>
            <w:tc>
              <w:tcPr>
                <w:tcW w:w="670" w:type="pct"/>
                <w:shd w:val="clear" w:color="auto" w:fill="auto"/>
                <w:noWrap/>
                <w:vAlign w:val="bottom"/>
                <w:hideMark/>
              </w:tcPr>
              <w:p w14:paraId="19B1B6D6" w14:textId="77777777" w:rsidR="00895333" w:rsidRPr="00895333" w:rsidRDefault="00895333" w:rsidP="00895333">
                <w:pPr>
                  <w:spacing w:after="0" w:line="240" w:lineRule="auto"/>
                  <w:jc w:val="right"/>
                  <w:rPr>
                    <w:rFonts w:ascii="Times New Roman" w:eastAsia="Times New Roman" w:hAnsi="Times New Roman"/>
                    <w:sz w:val="14"/>
                    <w:szCs w:val="14"/>
                    <w:lang w:eastAsia="es-CO"/>
                  </w:rPr>
                </w:pPr>
                <w:r w:rsidRPr="00895333">
                  <w:rPr>
                    <w:rFonts w:ascii="Times New Roman" w:eastAsia="Times New Roman" w:hAnsi="Times New Roman"/>
                    <w:sz w:val="14"/>
                    <w:szCs w:val="14"/>
                    <w:lang w:eastAsia="es-CO"/>
                  </w:rPr>
                  <w:t xml:space="preserve">-   3.268.932.001 </w:t>
                </w:r>
              </w:p>
            </w:tc>
          </w:tr>
          <w:tr w:rsidR="00895333" w:rsidRPr="00895333" w14:paraId="65F851F7" w14:textId="77777777" w:rsidTr="0084751A">
            <w:trPr>
              <w:trHeight w:val="162"/>
            </w:trPr>
            <w:tc>
              <w:tcPr>
                <w:tcW w:w="2338" w:type="pct"/>
                <w:shd w:val="clear" w:color="auto" w:fill="auto"/>
                <w:noWrap/>
                <w:vAlign w:val="bottom"/>
                <w:hideMark/>
              </w:tcPr>
              <w:p w14:paraId="4CD5467A" w14:textId="77777777" w:rsidR="00895333" w:rsidRPr="00895333" w:rsidRDefault="00895333" w:rsidP="00895333">
                <w:pPr>
                  <w:spacing w:after="0" w:line="240" w:lineRule="auto"/>
                  <w:ind w:firstLineChars="100" w:firstLine="140"/>
                  <w:rPr>
                    <w:rFonts w:ascii="Times New Roman" w:eastAsia="Times New Roman" w:hAnsi="Times New Roman"/>
                    <w:sz w:val="14"/>
                    <w:szCs w:val="14"/>
                    <w:lang w:eastAsia="es-CO"/>
                  </w:rPr>
                </w:pPr>
                <w:r w:rsidRPr="00895333">
                  <w:rPr>
                    <w:rFonts w:ascii="Times New Roman" w:eastAsia="Times New Roman" w:hAnsi="Times New Roman"/>
                    <w:sz w:val="14"/>
                    <w:szCs w:val="14"/>
                    <w:lang w:eastAsia="es-CO"/>
                  </w:rPr>
                  <w:t>Terrenos en servicio</w:t>
                </w:r>
              </w:p>
            </w:tc>
            <w:tc>
              <w:tcPr>
                <w:tcW w:w="992" w:type="pct"/>
                <w:shd w:val="clear" w:color="auto" w:fill="auto"/>
                <w:noWrap/>
                <w:vAlign w:val="bottom"/>
                <w:hideMark/>
              </w:tcPr>
              <w:p w14:paraId="2CFD8F43" w14:textId="77777777" w:rsidR="00895333" w:rsidRPr="00895333" w:rsidRDefault="00895333" w:rsidP="00895333">
                <w:pPr>
                  <w:spacing w:after="0" w:line="240" w:lineRule="auto"/>
                  <w:jc w:val="right"/>
                  <w:rPr>
                    <w:rFonts w:ascii="Times New Roman" w:eastAsia="Times New Roman" w:hAnsi="Times New Roman"/>
                    <w:sz w:val="14"/>
                    <w:szCs w:val="14"/>
                    <w:lang w:eastAsia="es-CO"/>
                  </w:rPr>
                </w:pPr>
                <w:r w:rsidRPr="00895333">
                  <w:rPr>
                    <w:rFonts w:ascii="Times New Roman" w:eastAsia="Times New Roman" w:hAnsi="Times New Roman"/>
                    <w:sz w:val="14"/>
                    <w:szCs w:val="14"/>
                    <w:lang w:eastAsia="es-CO"/>
                  </w:rPr>
                  <w:t xml:space="preserve">                    3.317.900.708 </w:t>
                </w:r>
              </w:p>
            </w:tc>
            <w:tc>
              <w:tcPr>
                <w:tcW w:w="1000" w:type="pct"/>
                <w:shd w:val="clear" w:color="auto" w:fill="auto"/>
                <w:noWrap/>
                <w:vAlign w:val="bottom"/>
                <w:hideMark/>
              </w:tcPr>
              <w:p w14:paraId="166DC81F" w14:textId="77777777" w:rsidR="00895333" w:rsidRPr="00895333" w:rsidRDefault="00895333" w:rsidP="00895333">
                <w:pPr>
                  <w:spacing w:after="0" w:line="240" w:lineRule="auto"/>
                  <w:jc w:val="right"/>
                  <w:rPr>
                    <w:rFonts w:ascii="Times New Roman" w:eastAsia="Times New Roman" w:hAnsi="Times New Roman"/>
                    <w:sz w:val="14"/>
                    <w:szCs w:val="14"/>
                    <w:lang w:eastAsia="es-CO"/>
                  </w:rPr>
                </w:pPr>
                <w:r w:rsidRPr="00895333">
                  <w:rPr>
                    <w:rFonts w:ascii="Times New Roman" w:eastAsia="Times New Roman" w:hAnsi="Times New Roman"/>
                    <w:sz w:val="14"/>
                    <w:szCs w:val="14"/>
                    <w:lang w:eastAsia="es-CO"/>
                  </w:rPr>
                  <w:t xml:space="preserve">                                           -   </w:t>
                </w:r>
              </w:p>
            </w:tc>
            <w:tc>
              <w:tcPr>
                <w:tcW w:w="670" w:type="pct"/>
                <w:shd w:val="clear" w:color="auto" w:fill="auto"/>
                <w:noWrap/>
                <w:vAlign w:val="bottom"/>
                <w:hideMark/>
              </w:tcPr>
              <w:p w14:paraId="0CA30B61" w14:textId="77777777" w:rsidR="00895333" w:rsidRPr="00895333" w:rsidRDefault="00895333" w:rsidP="00895333">
                <w:pPr>
                  <w:spacing w:after="0" w:line="240" w:lineRule="auto"/>
                  <w:jc w:val="right"/>
                  <w:rPr>
                    <w:rFonts w:ascii="Times New Roman" w:eastAsia="Times New Roman" w:hAnsi="Times New Roman"/>
                    <w:sz w:val="14"/>
                    <w:szCs w:val="14"/>
                    <w:lang w:eastAsia="es-CO"/>
                  </w:rPr>
                </w:pPr>
                <w:r w:rsidRPr="00895333">
                  <w:rPr>
                    <w:rFonts w:ascii="Times New Roman" w:eastAsia="Times New Roman" w:hAnsi="Times New Roman"/>
                    <w:sz w:val="14"/>
                    <w:szCs w:val="14"/>
                    <w:lang w:eastAsia="es-CO"/>
                  </w:rPr>
                  <w:t xml:space="preserve">    3.317.900.708 </w:t>
                </w:r>
              </w:p>
            </w:tc>
          </w:tr>
          <w:tr w:rsidR="00895333" w:rsidRPr="00895333" w14:paraId="1F7DB8EF" w14:textId="77777777" w:rsidTr="0084751A">
            <w:trPr>
              <w:trHeight w:val="162"/>
            </w:trPr>
            <w:tc>
              <w:tcPr>
                <w:tcW w:w="2338" w:type="pct"/>
                <w:shd w:val="clear" w:color="auto" w:fill="auto"/>
                <w:noWrap/>
                <w:vAlign w:val="bottom"/>
                <w:hideMark/>
              </w:tcPr>
              <w:p w14:paraId="026D66BF" w14:textId="3FE44BBA" w:rsidR="00895333" w:rsidRPr="00895333" w:rsidRDefault="00895333" w:rsidP="00895333">
                <w:pPr>
                  <w:spacing w:after="0" w:line="240" w:lineRule="auto"/>
                  <w:rPr>
                    <w:rFonts w:ascii="Times New Roman" w:eastAsia="Times New Roman" w:hAnsi="Times New Roman"/>
                    <w:b/>
                    <w:bCs/>
                    <w:sz w:val="14"/>
                    <w:szCs w:val="14"/>
                    <w:lang w:eastAsia="es-CO"/>
                  </w:rPr>
                </w:pPr>
                <w:r w:rsidRPr="00895333">
                  <w:rPr>
                    <w:rFonts w:ascii="Times New Roman" w:eastAsia="Times New Roman" w:hAnsi="Times New Roman"/>
                    <w:b/>
                    <w:bCs/>
                    <w:sz w:val="14"/>
                    <w:szCs w:val="14"/>
                    <w:lang w:eastAsia="es-CO"/>
                  </w:rPr>
                  <w:t>FERROCARRILES DEL NORTE DE COLOMBIA S. A</w:t>
                </w:r>
              </w:p>
            </w:tc>
            <w:tc>
              <w:tcPr>
                <w:tcW w:w="992" w:type="pct"/>
                <w:shd w:val="clear" w:color="auto" w:fill="auto"/>
                <w:noWrap/>
                <w:vAlign w:val="bottom"/>
                <w:hideMark/>
              </w:tcPr>
              <w:p w14:paraId="3A0B6416" w14:textId="77777777" w:rsidR="00895333" w:rsidRPr="00895333" w:rsidRDefault="00895333" w:rsidP="00895333">
                <w:pPr>
                  <w:spacing w:after="0" w:line="240" w:lineRule="auto"/>
                  <w:jc w:val="right"/>
                  <w:rPr>
                    <w:rFonts w:ascii="Times New Roman" w:eastAsia="Times New Roman" w:hAnsi="Times New Roman"/>
                    <w:b/>
                    <w:bCs/>
                    <w:sz w:val="14"/>
                    <w:szCs w:val="14"/>
                    <w:lang w:eastAsia="es-CO"/>
                  </w:rPr>
                </w:pPr>
                <w:r w:rsidRPr="00895333">
                  <w:rPr>
                    <w:rFonts w:ascii="Times New Roman" w:eastAsia="Times New Roman" w:hAnsi="Times New Roman"/>
                    <w:b/>
                    <w:bCs/>
                    <w:sz w:val="14"/>
                    <w:szCs w:val="14"/>
                    <w:lang w:eastAsia="es-CO"/>
                  </w:rPr>
                  <w:t xml:space="preserve">  1.293.398.121.783 </w:t>
                </w:r>
              </w:p>
            </w:tc>
            <w:tc>
              <w:tcPr>
                <w:tcW w:w="1000" w:type="pct"/>
                <w:shd w:val="clear" w:color="auto" w:fill="auto"/>
                <w:noWrap/>
                <w:vAlign w:val="bottom"/>
                <w:hideMark/>
              </w:tcPr>
              <w:p w14:paraId="620B6A66" w14:textId="77777777" w:rsidR="00895333" w:rsidRPr="00895333" w:rsidRDefault="00895333" w:rsidP="00895333">
                <w:pPr>
                  <w:spacing w:after="0" w:line="240" w:lineRule="auto"/>
                  <w:jc w:val="right"/>
                  <w:rPr>
                    <w:rFonts w:ascii="Times New Roman" w:eastAsia="Times New Roman" w:hAnsi="Times New Roman"/>
                    <w:b/>
                    <w:bCs/>
                    <w:sz w:val="14"/>
                    <w:szCs w:val="14"/>
                    <w:lang w:eastAsia="es-CO"/>
                  </w:rPr>
                </w:pPr>
                <w:r w:rsidRPr="00895333">
                  <w:rPr>
                    <w:rFonts w:ascii="Times New Roman" w:eastAsia="Times New Roman" w:hAnsi="Times New Roman"/>
                    <w:b/>
                    <w:bCs/>
                    <w:sz w:val="14"/>
                    <w:szCs w:val="14"/>
                    <w:lang w:eastAsia="es-CO"/>
                  </w:rPr>
                  <w:t xml:space="preserve"> 1.260.472.568.893 </w:t>
                </w:r>
              </w:p>
            </w:tc>
            <w:tc>
              <w:tcPr>
                <w:tcW w:w="670" w:type="pct"/>
                <w:shd w:val="clear" w:color="auto" w:fill="auto"/>
                <w:noWrap/>
                <w:vAlign w:val="bottom"/>
                <w:hideMark/>
              </w:tcPr>
              <w:p w14:paraId="6AFDA3B1" w14:textId="77777777" w:rsidR="00895333" w:rsidRPr="00895333" w:rsidRDefault="00895333" w:rsidP="00895333">
                <w:pPr>
                  <w:spacing w:after="0" w:line="240" w:lineRule="auto"/>
                  <w:jc w:val="right"/>
                  <w:rPr>
                    <w:rFonts w:ascii="Times New Roman" w:eastAsia="Times New Roman" w:hAnsi="Times New Roman"/>
                    <w:sz w:val="14"/>
                    <w:szCs w:val="14"/>
                    <w:lang w:eastAsia="es-CO"/>
                  </w:rPr>
                </w:pPr>
                <w:r w:rsidRPr="00895333">
                  <w:rPr>
                    <w:rFonts w:ascii="Times New Roman" w:eastAsia="Times New Roman" w:hAnsi="Times New Roman"/>
                    <w:sz w:val="14"/>
                    <w:szCs w:val="14"/>
                    <w:lang w:eastAsia="es-CO"/>
                  </w:rPr>
                  <w:t xml:space="preserve"> 32.925.552.890 </w:t>
                </w:r>
              </w:p>
            </w:tc>
          </w:tr>
          <w:tr w:rsidR="00895333" w:rsidRPr="00895333" w14:paraId="3780DEE1" w14:textId="77777777" w:rsidTr="0084751A">
            <w:trPr>
              <w:trHeight w:val="162"/>
            </w:trPr>
            <w:tc>
              <w:tcPr>
                <w:tcW w:w="2338" w:type="pct"/>
                <w:shd w:val="clear" w:color="auto" w:fill="auto"/>
                <w:noWrap/>
                <w:vAlign w:val="bottom"/>
                <w:hideMark/>
              </w:tcPr>
              <w:p w14:paraId="352C7793" w14:textId="77777777" w:rsidR="00895333" w:rsidRPr="00895333" w:rsidRDefault="00895333" w:rsidP="00895333">
                <w:pPr>
                  <w:spacing w:after="0" w:line="240" w:lineRule="auto"/>
                  <w:ind w:firstLineChars="100" w:firstLine="140"/>
                  <w:rPr>
                    <w:rFonts w:ascii="Times New Roman" w:eastAsia="Times New Roman" w:hAnsi="Times New Roman"/>
                    <w:sz w:val="14"/>
                    <w:szCs w:val="14"/>
                    <w:lang w:eastAsia="es-CO"/>
                  </w:rPr>
                </w:pPr>
                <w:r w:rsidRPr="00895333">
                  <w:rPr>
                    <w:rFonts w:ascii="Times New Roman" w:eastAsia="Times New Roman" w:hAnsi="Times New Roman"/>
                    <w:sz w:val="14"/>
                    <w:szCs w:val="14"/>
                    <w:lang w:eastAsia="es-CO"/>
                  </w:rPr>
                  <w:t>Activos intangibles en concesión</w:t>
                </w:r>
              </w:p>
            </w:tc>
            <w:tc>
              <w:tcPr>
                <w:tcW w:w="992" w:type="pct"/>
                <w:shd w:val="clear" w:color="auto" w:fill="auto"/>
                <w:noWrap/>
                <w:vAlign w:val="bottom"/>
                <w:hideMark/>
              </w:tcPr>
              <w:p w14:paraId="05F41893" w14:textId="77777777" w:rsidR="00895333" w:rsidRPr="00895333" w:rsidRDefault="00895333" w:rsidP="00895333">
                <w:pPr>
                  <w:spacing w:after="0" w:line="240" w:lineRule="auto"/>
                  <w:jc w:val="right"/>
                  <w:rPr>
                    <w:rFonts w:ascii="Times New Roman" w:eastAsia="Times New Roman" w:hAnsi="Times New Roman"/>
                    <w:sz w:val="14"/>
                    <w:szCs w:val="14"/>
                    <w:lang w:eastAsia="es-CO"/>
                  </w:rPr>
                </w:pPr>
                <w:r w:rsidRPr="00895333">
                  <w:rPr>
                    <w:rFonts w:ascii="Times New Roman" w:eastAsia="Times New Roman" w:hAnsi="Times New Roman"/>
                    <w:sz w:val="14"/>
                    <w:szCs w:val="14"/>
                    <w:lang w:eastAsia="es-CO"/>
                  </w:rPr>
                  <w:t xml:space="preserve">                151.249.440.000 </w:t>
                </w:r>
              </w:p>
            </w:tc>
            <w:tc>
              <w:tcPr>
                <w:tcW w:w="1000" w:type="pct"/>
                <w:shd w:val="clear" w:color="auto" w:fill="auto"/>
                <w:noWrap/>
                <w:vAlign w:val="bottom"/>
                <w:hideMark/>
              </w:tcPr>
              <w:p w14:paraId="005F6E89" w14:textId="77777777" w:rsidR="00895333" w:rsidRPr="00895333" w:rsidRDefault="00895333" w:rsidP="00895333">
                <w:pPr>
                  <w:spacing w:after="0" w:line="240" w:lineRule="auto"/>
                  <w:jc w:val="right"/>
                  <w:rPr>
                    <w:rFonts w:ascii="Times New Roman" w:eastAsia="Times New Roman" w:hAnsi="Times New Roman"/>
                    <w:sz w:val="14"/>
                    <w:szCs w:val="14"/>
                    <w:lang w:eastAsia="es-CO"/>
                  </w:rPr>
                </w:pPr>
                <w:r w:rsidRPr="00895333">
                  <w:rPr>
                    <w:rFonts w:ascii="Times New Roman" w:eastAsia="Times New Roman" w:hAnsi="Times New Roman"/>
                    <w:sz w:val="14"/>
                    <w:szCs w:val="14"/>
                    <w:lang w:eastAsia="es-CO"/>
                  </w:rPr>
                  <w:t xml:space="preserve">               140.475.579.000 </w:t>
                </w:r>
              </w:p>
            </w:tc>
            <w:tc>
              <w:tcPr>
                <w:tcW w:w="670" w:type="pct"/>
                <w:shd w:val="clear" w:color="auto" w:fill="auto"/>
                <w:noWrap/>
                <w:vAlign w:val="bottom"/>
                <w:hideMark/>
              </w:tcPr>
              <w:p w14:paraId="68203AE9" w14:textId="77777777" w:rsidR="00895333" w:rsidRPr="00895333" w:rsidRDefault="00895333" w:rsidP="00895333">
                <w:pPr>
                  <w:spacing w:after="0" w:line="240" w:lineRule="auto"/>
                  <w:jc w:val="right"/>
                  <w:rPr>
                    <w:rFonts w:ascii="Times New Roman" w:eastAsia="Times New Roman" w:hAnsi="Times New Roman"/>
                    <w:sz w:val="14"/>
                    <w:szCs w:val="14"/>
                    <w:lang w:eastAsia="es-CO"/>
                  </w:rPr>
                </w:pPr>
                <w:r w:rsidRPr="00895333">
                  <w:rPr>
                    <w:rFonts w:ascii="Times New Roman" w:eastAsia="Times New Roman" w:hAnsi="Times New Roman"/>
                    <w:sz w:val="14"/>
                    <w:szCs w:val="14"/>
                    <w:lang w:eastAsia="es-CO"/>
                  </w:rPr>
                  <w:t xml:space="preserve">   10.773.861.000 </w:t>
                </w:r>
              </w:p>
            </w:tc>
          </w:tr>
          <w:tr w:rsidR="00895333" w:rsidRPr="00895333" w14:paraId="46CC622C" w14:textId="77777777" w:rsidTr="0084751A">
            <w:trPr>
              <w:trHeight w:val="162"/>
            </w:trPr>
            <w:tc>
              <w:tcPr>
                <w:tcW w:w="2338" w:type="pct"/>
                <w:shd w:val="clear" w:color="auto" w:fill="auto"/>
                <w:noWrap/>
                <w:vAlign w:val="bottom"/>
                <w:hideMark/>
              </w:tcPr>
              <w:p w14:paraId="65F3249E" w14:textId="77777777" w:rsidR="00895333" w:rsidRPr="00895333" w:rsidRDefault="00895333" w:rsidP="00895333">
                <w:pPr>
                  <w:spacing w:after="0" w:line="240" w:lineRule="auto"/>
                  <w:ind w:firstLineChars="100" w:firstLine="140"/>
                  <w:rPr>
                    <w:rFonts w:ascii="Times New Roman" w:eastAsia="Times New Roman" w:hAnsi="Times New Roman"/>
                    <w:sz w:val="14"/>
                    <w:szCs w:val="14"/>
                    <w:lang w:eastAsia="es-CO"/>
                  </w:rPr>
                </w:pPr>
                <w:r w:rsidRPr="00895333">
                  <w:rPr>
                    <w:rFonts w:ascii="Times New Roman" w:eastAsia="Times New Roman" w:hAnsi="Times New Roman"/>
                    <w:sz w:val="14"/>
                    <w:szCs w:val="14"/>
                    <w:lang w:eastAsia="es-CO"/>
                  </w:rPr>
                  <w:t>Propiedades, planta y equipo en concesión</w:t>
                </w:r>
              </w:p>
            </w:tc>
            <w:tc>
              <w:tcPr>
                <w:tcW w:w="992" w:type="pct"/>
                <w:shd w:val="clear" w:color="auto" w:fill="auto"/>
                <w:noWrap/>
                <w:vAlign w:val="bottom"/>
                <w:hideMark/>
              </w:tcPr>
              <w:p w14:paraId="3BD0BB28" w14:textId="77777777" w:rsidR="00895333" w:rsidRPr="00895333" w:rsidRDefault="00895333" w:rsidP="00895333">
                <w:pPr>
                  <w:spacing w:after="0" w:line="240" w:lineRule="auto"/>
                  <w:jc w:val="right"/>
                  <w:rPr>
                    <w:rFonts w:ascii="Times New Roman" w:eastAsia="Times New Roman" w:hAnsi="Times New Roman"/>
                    <w:sz w:val="14"/>
                    <w:szCs w:val="14"/>
                    <w:lang w:eastAsia="es-CO"/>
                  </w:rPr>
                </w:pPr>
                <w:r w:rsidRPr="00895333">
                  <w:rPr>
                    <w:rFonts w:ascii="Times New Roman" w:eastAsia="Times New Roman" w:hAnsi="Times New Roman"/>
                    <w:sz w:val="14"/>
                    <w:szCs w:val="14"/>
                    <w:lang w:eastAsia="es-CO"/>
                  </w:rPr>
                  <w:t xml:space="preserve">                35.524.505.082 </w:t>
                </w:r>
              </w:p>
            </w:tc>
            <w:tc>
              <w:tcPr>
                <w:tcW w:w="1000" w:type="pct"/>
                <w:shd w:val="clear" w:color="auto" w:fill="auto"/>
                <w:noWrap/>
                <w:vAlign w:val="bottom"/>
                <w:hideMark/>
              </w:tcPr>
              <w:p w14:paraId="51A8CDBD" w14:textId="77777777" w:rsidR="00895333" w:rsidRPr="00895333" w:rsidRDefault="00895333" w:rsidP="00895333">
                <w:pPr>
                  <w:spacing w:after="0" w:line="240" w:lineRule="auto"/>
                  <w:jc w:val="right"/>
                  <w:rPr>
                    <w:rFonts w:ascii="Times New Roman" w:eastAsia="Times New Roman" w:hAnsi="Times New Roman"/>
                    <w:sz w:val="14"/>
                    <w:szCs w:val="14"/>
                    <w:lang w:eastAsia="es-CO"/>
                  </w:rPr>
                </w:pPr>
                <w:r w:rsidRPr="00895333">
                  <w:rPr>
                    <w:rFonts w:ascii="Times New Roman" w:eastAsia="Times New Roman" w:hAnsi="Times New Roman"/>
                    <w:sz w:val="14"/>
                    <w:szCs w:val="14"/>
                    <w:lang w:eastAsia="es-CO"/>
                  </w:rPr>
                  <w:t xml:space="preserve">                33.088.782.723 </w:t>
                </w:r>
              </w:p>
            </w:tc>
            <w:tc>
              <w:tcPr>
                <w:tcW w:w="670" w:type="pct"/>
                <w:shd w:val="clear" w:color="auto" w:fill="auto"/>
                <w:noWrap/>
                <w:vAlign w:val="bottom"/>
                <w:hideMark/>
              </w:tcPr>
              <w:p w14:paraId="53E9AE31" w14:textId="77777777" w:rsidR="00895333" w:rsidRPr="00895333" w:rsidRDefault="00895333" w:rsidP="00895333">
                <w:pPr>
                  <w:spacing w:after="0" w:line="240" w:lineRule="auto"/>
                  <w:jc w:val="right"/>
                  <w:rPr>
                    <w:rFonts w:ascii="Times New Roman" w:eastAsia="Times New Roman" w:hAnsi="Times New Roman"/>
                    <w:sz w:val="14"/>
                    <w:szCs w:val="14"/>
                    <w:lang w:eastAsia="es-CO"/>
                  </w:rPr>
                </w:pPr>
                <w:r w:rsidRPr="00895333">
                  <w:rPr>
                    <w:rFonts w:ascii="Times New Roman" w:eastAsia="Times New Roman" w:hAnsi="Times New Roman"/>
                    <w:sz w:val="14"/>
                    <w:szCs w:val="14"/>
                    <w:lang w:eastAsia="es-CO"/>
                  </w:rPr>
                  <w:t xml:space="preserve">   2.435.722.359 </w:t>
                </w:r>
              </w:p>
            </w:tc>
          </w:tr>
          <w:tr w:rsidR="00895333" w:rsidRPr="00895333" w14:paraId="750343A9" w14:textId="77777777" w:rsidTr="0084751A">
            <w:trPr>
              <w:trHeight w:val="162"/>
            </w:trPr>
            <w:tc>
              <w:tcPr>
                <w:tcW w:w="2338" w:type="pct"/>
                <w:shd w:val="clear" w:color="auto" w:fill="auto"/>
                <w:noWrap/>
                <w:vAlign w:val="bottom"/>
                <w:hideMark/>
              </w:tcPr>
              <w:p w14:paraId="29DEF9B1" w14:textId="77777777" w:rsidR="00895333" w:rsidRPr="00895333" w:rsidRDefault="00895333" w:rsidP="00895333">
                <w:pPr>
                  <w:spacing w:after="0" w:line="240" w:lineRule="auto"/>
                  <w:ind w:firstLineChars="100" w:firstLine="140"/>
                  <w:rPr>
                    <w:rFonts w:ascii="Times New Roman" w:eastAsia="Times New Roman" w:hAnsi="Times New Roman"/>
                    <w:sz w:val="14"/>
                    <w:szCs w:val="14"/>
                    <w:lang w:eastAsia="es-CO"/>
                  </w:rPr>
                </w:pPr>
                <w:r w:rsidRPr="00895333">
                  <w:rPr>
                    <w:rFonts w:ascii="Times New Roman" w:eastAsia="Times New Roman" w:hAnsi="Times New Roman"/>
                    <w:sz w:val="14"/>
                    <w:szCs w:val="14"/>
                    <w:lang w:eastAsia="es-CO"/>
                  </w:rPr>
                  <w:t>Red férrea en servicio</w:t>
                </w:r>
              </w:p>
            </w:tc>
            <w:tc>
              <w:tcPr>
                <w:tcW w:w="992" w:type="pct"/>
                <w:shd w:val="clear" w:color="auto" w:fill="auto"/>
                <w:noWrap/>
                <w:vAlign w:val="bottom"/>
                <w:hideMark/>
              </w:tcPr>
              <w:p w14:paraId="6A1DCE9E" w14:textId="77777777" w:rsidR="00895333" w:rsidRPr="00895333" w:rsidRDefault="00895333" w:rsidP="00895333">
                <w:pPr>
                  <w:spacing w:after="0" w:line="240" w:lineRule="auto"/>
                  <w:jc w:val="right"/>
                  <w:rPr>
                    <w:rFonts w:ascii="Times New Roman" w:eastAsia="Times New Roman" w:hAnsi="Times New Roman"/>
                    <w:sz w:val="14"/>
                    <w:szCs w:val="14"/>
                    <w:lang w:eastAsia="es-CO"/>
                  </w:rPr>
                </w:pPr>
                <w:r w:rsidRPr="00895333">
                  <w:rPr>
                    <w:rFonts w:ascii="Times New Roman" w:eastAsia="Times New Roman" w:hAnsi="Times New Roman"/>
                    <w:sz w:val="14"/>
                    <w:szCs w:val="14"/>
                    <w:lang w:eastAsia="es-CO"/>
                  </w:rPr>
                  <w:t xml:space="preserve">              1.106.624.176.701 </w:t>
                </w:r>
              </w:p>
            </w:tc>
            <w:tc>
              <w:tcPr>
                <w:tcW w:w="1000" w:type="pct"/>
                <w:shd w:val="clear" w:color="auto" w:fill="auto"/>
                <w:noWrap/>
                <w:vAlign w:val="bottom"/>
                <w:hideMark/>
              </w:tcPr>
              <w:p w14:paraId="148C8301" w14:textId="77777777" w:rsidR="00895333" w:rsidRPr="00895333" w:rsidRDefault="00895333" w:rsidP="00895333">
                <w:pPr>
                  <w:spacing w:after="0" w:line="240" w:lineRule="auto"/>
                  <w:jc w:val="right"/>
                  <w:rPr>
                    <w:rFonts w:ascii="Times New Roman" w:eastAsia="Times New Roman" w:hAnsi="Times New Roman"/>
                    <w:sz w:val="14"/>
                    <w:szCs w:val="14"/>
                    <w:lang w:eastAsia="es-CO"/>
                  </w:rPr>
                </w:pPr>
                <w:r w:rsidRPr="00895333">
                  <w:rPr>
                    <w:rFonts w:ascii="Times New Roman" w:eastAsia="Times New Roman" w:hAnsi="Times New Roman"/>
                    <w:sz w:val="14"/>
                    <w:szCs w:val="14"/>
                    <w:lang w:eastAsia="es-CO"/>
                  </w:rPr>
                  <w:t xml:space="preserve">            1.086.908.207.170 </w:t>
                </w:r>
              </w:p>
            </w:tc>
            <w:tc>
              <w:tcPr>
                <w:tcW w:w="670" w:type="pct"/>
                <w:shd w:val="clear" w:color="auto" w:fill="auto"/>
                <w:noWrap/>
                <w:vAlign w:val="bottom"/>
                <w:hideMark/>
              </w:tcPr>
              <w:p w14:paraId="6D8A7DA6" w14:textId="77777777" w:rsidR="00895333" w:rsidRPr="00895333" w:rsidRDefault="00895333" w:rsidP="00895333">
                <w:pPr>
                  <w:spacing w:after="0" w:line="240" w:lineRule="auto"/>
                  <w:jc w:val="right"/>
                  <w:rPr>
                    <w:rFonts w:ascii="Times New Roman" w:eastAsia="Times New Roman" w:hAnsi="Times New Roman"/>
                    <w:sz w:val="14"/>
                    <w:szCs w:val="14"/>
                    <w:lang w:eastAsia="es-CO"/>
                  </w:rPr>
                </w:pPr>
                <w:r w:rsidRPr="00895333">
                  <w:rPr>
                    <w:rFonts w:ascii="Times New Roman" w:eastAsia="Times New Roman" w:hAnsi="Times New Roman"/>
                    <w:sz w:val="14"/>
                    <w:szCs w:val="14"/>
                    <w:lang w:eastAsia="es-CO"/>
                  </w:rPr>
                  <w:t xml:space="preserve">    19.715.969.531 </w:t>
                </w:r>
              </w:p>
            </w:tc>
          </w:tr>
        </w:tbl>
        <w:p w14:paraId="61BD04C5" w14:textId="4DBC439D" w:rsidR="007F0A8D" w:rsidRPr="00053D6D" w:rsidRDefault="00053D6D" w:rsidP="00EF2A7D">
          <w:pPr>
            <w:spacing w:after="0" w:line="240" w:lineRule="auto"/>
            <w:jc w:val="both"/>
            <w:rPr>
              <w:rFonts w:ascii="Times New Roman" w:eastAsia="Times New Roman" w:hAnsi="Times New Roman"/>
              <w:sz w:val="14"/>
              <w:szCs w:val="14"/>
            </w:rPr>
          </w:pPr>
          <w:r>
            <w:rPr>
              <w:rFonts w:ascii="Times New Roman" w:eastAsia="Times New Roman" w:hAnsi="Times New Roman"/>
              <w:sz w:val="14"/>
              <w:szCs w:val="14"/>
            </w:rPr>
            <w:lastRenderedPageBreak/>
            <w:t>Cifras en pesos</w:t>
          </w:r>
        </w:p>
        <w:p w14:paraId="7A77D4A3" w14:textId="77777777" w:rsidR="007F0A8D" w:rsidRDefault="007F0A8D" w:rsidP="00EF2A7D">
          <w:pPr>
            <w:spacing w:after="0" w:line="240" w:lineRule="auto"/>
            <w:jc w:val="both"/>
            <w:rPr>
              <w:rFonts w:ascii="Times New Roman" w:eastAsia="Times New Roman" w:hAnsi="Times New Roman"/>
              <w:sz w:val="24"/>
              <w:szCs w:val="24"/>
            </w:rPr>
          </w:pPr>
        </w:p>
        <w:p w14:paraId="7AB32FD2" w14:textId="2FC83F06" w:rsidR="007F0A8D" w:rsidRDefault="26D31430" w:rsidP="10D44305">
          <w:pPr>
            <w:spacing w:line="257" w:lineRule="auto"/>
            <w:ind w:left="-20" w:right="-20"/>
            <w:jc w:val="both"/>
            <w:rPr>
              <w:rFonts w:ascii="Times New Roman" w:eastAsia="Times New Roman" w:hAnsi="Times New Roman"/>
              <w:b/>
              <w:bCs/>
              <w:sz w:val="24"/>
              <w:szCs w:val="24"/>
              <w:lang w:val="es"/>
            </w:rPr>
          </w:pPr>
          <w:r w:rsidRPr="10D44305">
            <w:rPr>
              <w:rFonts w:ascii="Times New Roman" w:eastAsia="Times New Roman" w:hAnsi="Times New Roman"/>
              <w:b/>
              <w:bCs/>
              <w:sz w:val="24"/>
              <w:szCs w:val="24"/>
              <w:lang w:val="es"/>
            </w:rPr>
            <w:t>RED FÉRREA DEL PACÍFICO</w:t>
          </w:r>
        </w:p>
        <w:p w14:paraId="0E425A4F" w14:textId="352C799E" w:rsidR="007F0A8D" w:rsidRDefault="26D31430" w:rsidP="10D44305">
          <w:pPr>
            <w:spacing w:line="257" w:lineRule="auto"/>
            <w:ind w:left="-20" w:right="-20"/>
            <w:jc w:val="both"/>
            <w:rPr>
              <w:rFonts w:ascii="Times New Roman" w:eastAsia="Times New Roman" w:hAnsi="Times New Roman"/>
              <w:b/>
              <w:bCs/>
              <w:sz w:val="24"/>
              <w:szCs w:val="24"/>
            </w:rPr>
          </w:pPr>
          <w:r w:rsidRPr="10D44305">
            <w:rPr>
              <w:rFonts w:ascii="Times New Roman" w:eastAsia="Times New Roman" w:hAnsi="Times New Roman"/>
              <w:b/>
              <w:bCs/>
              <w:sz w:val="24"/>
              <w:szCs w:val="24"/>
            </w:rPr>
            <w:t>a. Descripción del acuerdo</w:t>
          </w:r>
        </w:p>
        <w:p w14:paraId="3CBADF98" w14:textId="36FA16A2" w:rsidR="007F0A8D" w:rsidRDefault="26D31430" w:rsidP="10D44305">
          <w:pPr>
            <w:spacing w:after="0" w:line="257" w:lineRule="auto"/>
            <w:ind w:left="-20" w:right="-20"/>
            <w:jc w:val="both"/>
            <w:rPr>
              <w:rFonts w:ascii="Times New Roman" w:eastAsia="Times New Roman" w:hAnsi="Times New Roman"/>
              <w:sz w:val="24"/>
              <w:szCs w:val="24"/>
            </w:rPr>
          </w:pPr>
          <w:r w:rsidRPr="10D44305">
            <w:rPr>
              <w:rFonts w:ascii="Times New Roman" w:eastAsia="Times New Roman" w:hAnsi="Times New Roman"/>
              <w:b/>
              <w:bCs/>
              <w:sz w:val="24"/>
              <w:szCs w:val="24"/>
            </w:rPr>
            <w:t>Número del acuerdo de concesión:</w:t>
          </w:r>
          <w:r w:rsidRPr="10D44305">
            <w:rPr>
              <w:rFonts w:ascii="Times New Roman" w:eastAsia="Times New Roman" w:hAnsi="Times New Roman"/>
              <w:sz w:val="24"/>
              <w:szCs w:val="24"/>
            </w:rPr>
            <w:t xml:space="preserve"> 09-CONP-98</w:t>
          </w:r>
        </w:p>
        <w:p w14:paraId="43E672F0" w14:textId="0215703F" w:rsidR="007F0A8D" w:rsidRDefault="26D31430" w:rsidP="10D44305">
          <w:pPr>
            <w:spacing w:after="0" w:line="257" w:lineRule="auto"/>
            <w:ind w:left="-20" w:right="-20"/>
            <w:jc w:val="both"/>
            <w:rPr>
              <w:rFonts w:ascii="Times New Roman" w:eastAsia="Times New Roman" w:hAnsi="Times New Roman"/>
              <w:b/>
              <w:bCs/>
              <w:sz w:val="24"/>
              <w:szCs w:val="24"/>
            </w:rPr>
          </w:pPr>
          <w:r w:rsidRPr="10D44305">
            <w:rPr>
              <w:rFonts w:ascii="Times New Roman" w:eastAsia="Times New Roman" w:hAnsi="Times New Roman"/>
              <w:b/>
              <w:bCs/>
              <w:sz w:val="24"/>
              <w:szCs w:val="24"/>
            </w:rPr>
            <w:t>Objeto / Descripción:</w:t>
          </w:r>
          <w:r w:rsidRPr="10D44305">
            <w:rPr>
              <w:rFonts w:ascii="Times New Roman" w:eastAsia="Times New Roman" w:hAnsi="Times New Roman"/>
              <w:sz w:val="24"/>
              <w:szCs w:val="24"/>
            </w:rPr>
            <w:t xml:space="preserve"> “Otorgar en CONCESIÓN la infraestructura de transporte férreo que forma parte de la red Pacífica. según determinación que de la misma se hace en el numeral 3.2 del Pliego de Condiciones. para su rehabilitación, conservación. operación y explotación por parte del CONCESIONARIO, infraestructura que se detalla en el ANEXO 7 del pliego de condiciones de la Licitación Pública No. 001-98. y que incluye las siguientes líneas: Buenaventura (PK 0) - Cali (PK); Cali (PK) - La Felisa (PK 459); Zarzal (PK 304)- La Tebaida (PK 343).</w:t>
          </w:r>
          <w:r w:rsidRPr="10D44305">
            <w:rPr>
              <w:rFonts w:ascii="Times New Roman" w:eastAsia="Times New Roman" w:hAnsi="Times New Roman"/>
              <w:b/>
              <w:bCs/>
              <w:sz w:val="24"/>
              <w:szCs w:val="24"/>
            </w:rPr>
            <w:t xml:space="preserve"> </w:t>
          </w:r>
        </w:p>
        <w:p w14:paraId="536D7FF0" w14:textId="1C310E48" w:rsidR="007F0A8D" w:rsidRDefault="26D31430" w:rsidP="10D44305">
          <w:pPr>
            <w:spacing w:after="0" w:line="257" w:lineRule="auto"/>
            <w:ind w:left="-20" w:right="-20"/>
            <w:jc w:val="both"/>
            <w:rPr>
              <w:rFonts w:ascii="Times New Roman" w:eastAsia="Times New Roman" w:hAnsi="Times New Roman"/>
              <w:sz w:val="24"/>
              <w:szCs w:val="24"/>
            </w:rPr>
          </w:pPr>
          <w:r w:rsidRPr="10D44305">
            <w:rPr>
              <w:rFonts w:ascii="Times New Roman" w:eastAsia="Times New Roman" w:hAnsi="Times New Roman"/>
              <w:b/>
              <w:bCs/>
              <w:sz w:val="24"/>
              <w:szCs w:val="24"/>
            </w:rPr>
            <w:t>Valor inicial:</w:t>
          </w:r>
          <w:r w:rsidRPr="10D44305">
            <w:rPr>
              <w:rFonts w:ascii="Times New Roman" w:eastAsia="Times New Roman" w:hAnsi="Times New Roman"/>
              <w:sz w:val="24"/>
              <w:szCs w:val="24"/>
            </w:rPr>
            <w:t xml:space="preserve"> Indeterminado según la Cláusula No. 141 del contrato de concesión</w:t>
          </w:r>
        </w:p>
        <w:p w14:paraId="4CB6AA7E" w14:textId="1DC2BB95" w:rsidR="007F0A8D" w:rsidRDefault="26D31430" w:rsidP="10D44305">
          <w:pPr>
            <w:tabs>
              <w:tab w:val="left" w:pos="2020"/>
            </w:tabs>
            <w:spacing w:after="0" w:line="257" w:lineRule="auto"/>
            <w:ind w:left="-20" w:right="-20"/>
            <w:jc w:val="both"/>
            <w:rPr>
              <w:rFonts w:ascii="Times New Roman" w:eastAsia="Times New Roman" w:hAnsi="Times New Roman"/>
              <w:sz w:val="24"/>
              <w:szCs w:val="24"/>
            </w:rPr>
          </w:pPr>
          <w:r w:rsidRPr="10D44305">
            <w:rPr>
              <w:rFonts w:ascii="Times New Roman" w:eastAsia="Times New Roman" w:hAnsi="Times New Roman"/>
              <w:b/>
              <w:bCs/>
              <w:sz w:val="24"/>
              <w:szCs w:val="24"/>
            </w:rPr>
            <w:t xml:space="preserve">Fecha de inicio: </w:t>
          </w:r>
          <w:r w:rsidRPr="10D44305">
            <w:rPr>
              <w:rFonts w:ascii="Times New Roman" w:eastAsia="Times New Roman" w:hAnsi="Times New Roman"/>
              <w:sz w:val="24"/>
              <w:szCs w:val="24"/>
            </w:rPr>
            <w:t>Indeterminado según la Cláusula No. 141 del contrato de concesión</w:t>
          </w:r>
        </w:p>
        <w:p w14:paraId="1BCCAFB0" w14:textId="45C52F3A" w:rsidR="007F0A8D" w:rsidRDefault="26D31430" w:rsidP="10D44305">
          <w:pPr>
            <w:spacing w:after="0" w:line="257" w:lineRule="auto"/>
            <w:ind w:left="-20" w:right="-20"/>
            <w:jc w:val="both"/>
            <w:rPr>
              <w:rFonts w:ascii="Times New Roman" w:eastAsia="Times New Roman" w:hAnsi="Times New Roman"/>
              <w:sz w:val="24"/>
              <w:szCs w:val="24"/>
            </w:rPr>
          </w:pPr>
          <w:r w:rsidRPr="10D44305">
            <w:rPr>
              <w:rFonts w:ascii="Times New Roman" w:eastAsia="Times New Roman" w:hAnsi="Times New Roman"/>
              <w:b/>
              <w:bCs/>
              <w:sz w:val="24"/>
              <w:szCs w:val="24"/>
            </w:rPr>
            <w:t>Fecha de inicio:</w:t>
          </w:r>
          <w:r w:rsidRPr="10D44305">
            <w:rPr>
              <w:rFonts w:ascii="Times New Roman" w:eastAsia="Times New Roman" w:hAnsi="Times New Roman"/>
              <w:sz w:val="24"/>
              <w:szCs w:val="24"/>
            </w:rPr>
            <w:t>14 de marzo de 2000</w:t>
          </w:r>
        </w:p>
        <w:p w14:paraId="1991F176" w14:textId="2A04759D" w:rsidR="007F0A8D" w:rsidRDefault="26D31430" w:rsidP="10D44305">
          <w:pPr>
            <w:spacing w:after="0" w:line="257" w:lineRule="auto"/>
            <w:ind w:left="-20" w:right="-20"/>
            <w:jc w:val="both"/>
            <w:rPr>
              <w:rFonts w:ascii="Times New Roman" w:eastAsia="Times New Roman" w:hAnsi="Times New Roman"/>
              <w:sz w:val="24"/>
              <w:szCs w:val="24"/>
            </w:rPr>
          </w:pPr>
          <w:r w:rsidRPr="10D44305">
            <w:rPr>
              <w:rFonts w:ascii="Times New Roman" w:eastAsia="Times New Roman" w:hAnsi="Times New Roman"/>
              <w:b/>
              <w:bCs/>
              <w:sz w:val="24"/>
              <w:szCs w:val="24"/>
            </w:rPr>
            <w:t>Fecha de finalización estimada:</w:t>
          </w:r>
          <w:r w:rsidRPr="10D44305">
            <w:rPr>
              <w:rFonts w:ascii="Times New Roman" w:eastAsia="Times New Roman" w:hAnsi="Times New Roman"/>
              <w:sz w:val="24"/>
              <w:szCs w:val="24"/>
            </w:rPr>
            <w:t xml:space="preserve"> Finalizó el 15 de mayo de 2020 por Caducidad del Contrato</w:t>
          </w:r>
        </w:p>
        <w:p w14:paraId="78C95E71" w14:textId="2060DE17" w:rsidR="007F0A8D" w:rsidRDefault="26D31430" w:rsidP="10D44305">
          <w:pPr>
            <w:spacing w:after="0" w:line="257" w:lineRule="auto"/>
            <w:ind w:left="-20" w:right="-20"/>
            <w:jc w:val="both"/>
            <w:rPr>
              <w:rFonts w:ascii="Times New Roman" w:eastAsia="Times New Roman" w:hAnsi="Times New Roman"/>
              <w:sz w:val="24"/>
              <w:szCs w:val="24"/>
            </w:rPr>
          </w:pPr>
          <w:r w:rsidRPr="10D44305">
            <w:rPr>
              <w:rFonts w:ascii="Times New Roman" w:eastAsia="Times New Roman" w:hAnsi="Times New Roman"/>
              <w:b/>
              <w:bCs/>
              <w:sz w:val="24"/>
              <w:szCs w:val="24"/>
            </w:rPr>
            <w:t xml:space="preserve">Tipo ID: </w:t>
          </w:r>
          <w:r w:rsidRPr="10D44305">
            <w:rPr>
              <w:rFonts w:ascii="Times New Roman" w:eastAsia="Times New Roman" w:hAnsi="Times New Roman"/>
              <w:sz w:val="24"/>
              <w:szCs w:val="24"/>
            </w:rPr>
            <w:t>NIT</w:t>
          </w:r>
        </w:p>
        <w:p w14:paraId="446E822C" w14:textId="6670DB47" w:rsidR="007F0A8D" w:rsidRDefault="26D31430" w:rsidP="10D44305">
          <w:pPr>
            <w:spacing w:after="0" w:line="257" w:lineRule="auto"/>
            <w:ind w:left="-20" w:right="-20"/>
            <w:jc w:val="both"/>
            <w:rPr>
              <w:rFonts w:ascii="Times New Roman" w:eastAsia="Times New Roman" w:hAnsi="Times New Roman"/>
              <w:sz w:val="24"/>
              <w:szCs w:val="24"/>
            </w:rPr>
          </w:pPr>
          <w:r w:rsidRPr="10D44305">
            <w:rPr>
              <w:rFonts w:ascii="Times New Roman" w:eastAsia="Times New Roman" w:hAnsi="Times New Roman"/>
              <w:b/>
              <w:bCs/>
              <w:sz w:val="24"/>
              <w:szCs w:val="24"/>
            </w:rPr>
            <w:t>Número ID:</w:t>
          </w:r>
          <w:r w:rsidRPr="10D44305">
            <w:rPr>
              <w:rFonts w:ascii="Times New Roman" w:eastAsia="Times New Roman" w:hAnsi="Times New Roman"/>
              <w:sz w:val="24"/>
              <w:szCs w:val="24"/>
            </w:rPr>
            <w:t xml:space="preserve"> 900.225.133</w:t>
          </w:r>
        </w:p>
        <w:p w14:paraId="5F0F7151" w14:textId="25FFF117" w:rsidR="007F0A8D" w:rsidRDefault="26D31430" w:rsidP="10D44305">
          <w:pPr>
            <w:spacing w:after="0" w:line="257" w:lineRule="auto"/>
            <w:ind w:left="-20" w:right="-20"/>
            <w:jc w:val="both"/>
            <w:rPr>
              <w:rFonts w:ascii="Times New Roman" w:eastAsia="Times New Roman" w:hAnsi="Times New Roman"/>
              <w:sz w:val="24"/>
              <w:szCs w:val="24"/>
            </w:rPr>
          </w:pPr>
          <w:r w:rsidRPr="10D44305">
            <w:rPr>
              <w:rFonts w:ascii="Times New Roman" w:eastAsia="Times New Roman" w:hAnsi="Times New Roman"/>
              <w:b/>
              <w:bCs/>
              <w:sz w:val="24"/>
              <w:szCs w:val="24"/>
            </w:rPr>
            <w:t>Razón social del concesionario:</w:t>
          </w:r>
          <w:r w:rsidR="3EE807B8" w:rsidRPr="10D44305">
            <w:rPr>
              <w:rFonts w:ascii="Times New Roman" w:eastAsia="Times New Roman" w:hAnsi="Times New Roman"/>
              <w:b/>
              <w:bCs/>
              <w:sz w:val="24"/>
              <w:szCs w:val="24"/>
            </w:rPr>
            <w:t xml:space="preserve"> </w:t>
          </w:r>
          <w:r w:rsidRPr="10D44305">
            <w:rPr>
              <w:rFonts w:ascii="Times New Roman" w:eastAsia="Times New Roman" w:hAnsi="Times New Roman"/>
              <w:sz w:val="24"/>
              <w:szCs w:val="24"/>
            </w:rPr>
            <w:t>FERROCARRIL DEL PACIFICO S.A.S. EN LIQUIDACION JUDICIAL</w:t>
          </w:r>
        </w:p>
        <w:p w14:paraId="1DF10030" w14:textId="5125A4C2" w:rsidR="007F0A8D" w:rsidRDefault="26D31430" w:rsidP="10D44305">
          <w:pPr>
            <w:spacing w:after="0" w:line="257" w:lineRule="auto"/>
            <w:ind w:left="-20" w:right="-20"/>
            <w:jc w:val="both"/>
            <w:rPr>
              <w:rFonts w:ascii="Times New Roman" w:eastAsia="Times New Roman" w:hAnsi="Times New Roman"/>
              <w:sz w:val="24"/>
              <w:szCs w:val="24"/>
            </w:rPr>
          </w:pPr>
          <w:r w:rsidRPr="10D44305">
            <w:rPr>
              <w:rFonts w:ascii="Times New Roman" w:eastAsia="Times New Roman" w:hAnsi="Times New Roman"/>
              <w:b/>
              <w:bCs/>
              <w:sz w:val="24"/>
              <w:szCs w:val="24"/>
            </w:rPr>
            <w:t>Nombre del proyecto:</w:t>
          </w:r>
          <w:r w:rsidRPr="10D44305">
            <w:rPr>
              <w:rFonts w:ascii="Times New Roman" w:eastAsia="Times New Roman" w:hAnsi="Times New Roman"/>
              <w:sz w:val="24"/>
              <w:szCs w:val="24"/>
            </w:rPr>
            <w:t xml:space="preserve"> Red Férrea del Pacífico</w:t>
          </w:r>
        </w:p>
        <w:p w14:paraId="7291B233" w14:textId="287DE521" w:rsidR="007F0A8D" w:rsidRDefault="007F0A8D" w:rsidP="10D44305">
          <w:pPr>
            <w:spacing w:after="0" w:line="257" w:lineRule="auto"/>
            <w:ind w:left="-20" w:right="-20"/>
            <w:jc w:val="both"/>
            <w:rPr>
              <w:rFonts w:ascii="Times New Roman" w:eastAsia="Times New Roman" w:hAnsi="Times New Roman"/>
              <w:sz w:val="24"/>
              <w:szCs w:val="24"/>
            </w:rPr>
          </w:pPr>
        </w:p>
        <w:p w14:paraId="713E6440" w14:textId="67C5EFCA" w:rsidR="007F0A8D" w:rsidRDefault="26D31430" w:rsidP="10D44305">
          <w:pPr>
            <w:spacing w:line="257" w:lineRule="auto"/>
            <w:ind w:left="-20" w:right="-20"/>
            <w:jc w:val="both"/>
            <w:rPr>
              <w:rFonts w:ascii="Times New Roman" w:eastAsia="Times New Roman" w:hAnsi="Times New Roman"/>
              <w:b/>
              <w:bCs/>
              <w:sz w:val="24"/>
              <w:szCs w:val="24"/>
            </w:rPr>
          </w:pPr>
          <w:r w:rsidRPr="10D44305">
            <w:rPr>
              <w:rFonts w:ascii="Times New Roman" w:eastAsia="Times New Roman" w:hAnsi="Times New Roman"/>
              <w:b/>
              <w:bCs/>
              <w:sz w:val="24"/>
              <w:szCs w:val="24"/>
            </w:rPr>
            <w:t>b. Términos significativos del acuerdo que puedan afectar su valor, el calendario y la certeza de los flujos</w:t>
          </w:r>
        </w:p>
        <w:p w14:paraId="65ABDAC5" w14:textId="2B3633C0" w:rsidR="007F0A8D" w:rsidRDefault="26D31430" w:rsidP="10D44305">
          <w:pPr>
            <w:spacing w:line="257"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Términos de valor: Lo contemplado en el contrato en la Cláusula 10 Responsabilidad y Riesgo y Cláusula 141 Valor del Contrato.</w:t>
          </w:r>
        </w:p>
        <w:p w14:paraId="67A103E6" w14:textId="15A5E465" w:rsidR="007F0A8D" w:rsidRDefault="26D31430" w:rsidP="10D44305">
          <w:pPr>
            <w:spacing w:line="257"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La Resolución   20233070002345 del 28 de febrero de 2023 que confirma la Resolución No. 20223070021395 del 23 de diciembre de 2022  "por medio de la cual la Agencia Nacional de Infraestructura liquida unilateralmente el Contrato de Concesión 09-CONP-98, del 18 de diciembre de 1998 - Proyecto Red Férrea del Pacífico.”   Con una tasación de las obligaciones no ejecutadas por el concesionario indicado en el artículo primero por $942.718.084.040 pesos de octubre de 2022.</w:t>
          </w:r>
        </w:p>
        <w:p w14:paraId="752046FB" w14:textId="000D67EF" w:rsidR="007F0A8D" w:rsidRDefault="26D31430" w:rsidP="10D44305">
          <w:pPr>
            <w:spacing w:line="257" w:lineRule="auto"/>
            <w:ind w:left="-20" w:right="-20"/>
            <w:jc w:val="both"/>
            <w:rPr>
              <w:rFonts w:ascii="Times New Roman" w:eastAsia="Times New Roman" w:hAnsi="Times New Roman"/>
              <w:sz w:val="24"/>
              <w:szCs w:val="24"/>
            </w:rPr>
          </w:pPr>
          <w:r w:rsidRPr="10D44305">
            <w:rPr>
              <w:rFonts w:ascii="Times New Roman" w:eastAsia="Times New Roman" w:hAnsi="Times New Roman"/>
              <w:b/>
              <w:bCs/>
              <w:sz w:val="24"/>
              <w:szCs w:val="24"/>
            </w:rPr>
            <w:t>Términos de calendario:</w:t>
          </w:r>
          <w:r w:rsidRPr="10D44305">
            <w:rPr>
              <w:rFonts w:ascii="Times New Roman" w:eastAsia="Times New Roman" w:hAnsi="Times New Roman"/>
              <w:sz w:val="24"/>
              <w:szCs w:val="24"/>
            </w:rPr>
            <w:t xml:space="preserve"> Cláusula 3 Plazo de la Concesión y lo indicado en la Resolución de caducidad</w:t>
          </w:r>
        </w:p>
        <w:p w14:paraId="232EF214" w14:textId="6FA4EA83" w:rsidR="007F0A8D" w:rsidRDefault="26D31430" w:rsidP="10D44305">
          <w:pPr>
            <w:spacing w:line="257" w:lineRule="auto"/>
            <w:ind w:left="-20" w:right="-20"/>
            <w:jc w:val="both"/>
            <w:rPr>
              <w:rFonts w:ascii="Times New Roman" w:eastAsia="Times New Roman" w:hAnsi="Times New Roman"/>
              <w:sz w:val="24"/>
              <w:szCs w:val="24"/>
            </w:rPr>
          </w:pPr>
          <w:r w:rsidRPr="10D44305">
            <w:rPr>
              <w:rFonts w:ascii="Times New Roman" w:eastAsia="Times New Roman" w:hAnsi="Times New Roman"/>
              <w:b/>
              <w:bCs/>
              <w:sz w:val="24"/>
              <w:szCs w:val="24"/>
            </w:rPr>
            <w:t>Términos de certeza de flujos de efectivo futuros:</w:t>
          </w:r>
          <w:r w:rsidRPr="10D44305">
            <w:rPr>
              <w:rFonts w:ascii="Times New Roman" w:eastAsia="Times New Roman" w:hAnsi="Times New Roman"/>
              <w:sz w:val="24"/>
              <w:szCs w:val="24"/>
            </w:rPr>
            <w:t xml:space="preserve"> No aplica</w:t>
          </w:r>
        </w:p>
        <w:p w14:paraId="5E741CC1" w14:textId="6181C076" w:rsidR="007F0A8D" w:rsidRDefault="26D31430" w:rsidP="10D44305">
          <w:pPr>
            <w:spacing w:line="257" w:lineRule="auto"/>
            <w:ind w:left="-20" w:right="-20"/>
            <w:jc w:val="both"/>
            <w:rPr>
              <w:rFonts w:ascii="Times New Roman" w:eastAsia="Times New Roman" w:hAnsi="Times New Roman"/>
              <w:b/>
              <w:bCs/>
              <w:sz w:val="24"/>
              <w:szCs w:val="24"/>
            </w:rPr>
          </w:pPr>
          <w:r w:rsidRPr="10D44305">
            <w:rPr>
              <w:rFonts w:ascii="Times New Roman" w:eastAsia="Times New Roman" w:hAnsi="Times New Roman"/>
              <w:sz w:val="24"/>
              <w:szCs w:val="24"/>
            </w:rPr>
            <w:t xml:space="preserve">c. </w:t>
          </w:r>
          <w:r w:rsidRPr="10D44305">
            <w:rPr>
              <w:rFonts w:ascii="Times New Roman" w:eastAsia="Times New Roman" w:hAnsi="Times New Roman"/>
              <w:b/>
              <w:bCs/>
              <w:sz w:val="24"/>
              <w:szCs w:val="24"/>
            </w:rPr>
            <w:t>Naturaleza y alcance del derecho a utilizar activos especificados, de los aspectos pactados en torno a lo que se espera que el concesionario proporcione en relación con el acuerdo de concesión</w:t>
          </w:r>
        </w:p>
        <w:p w14:paraId="0A61BC5E" w14:textId="3D36AEA9" w:rsidR="007F0A8D" w:rsidRDefault="26D31430" w:rsidP="10D44305">
          <w:pPr>
            <w:spacing w:line="257" w:lineRule="auto"/>
            <w:ind w:left="-20" w:right="-20"/>
            <w:jc w:val="both"/>
            <w:rPr>
              <w:rFonts w:ascii="Times New Roman" w:eastAsia="Times New Roman" w:hAnsi="Times New Roman"/>
              <w:b/>
              <w:bCs/>
              <w:sz w:val="24"/>
              <w:szCs w:val="24"/>
            </w:rPr>
          </w:pPr>
          <w:r w:rsidRPr="10D44305">
            <w:rPr>
              <w:rFonts w:ascii="Times New Roman" w:eastAsia="Times New Roman" w:hAnsi="Times New Roman"/>
              <w:b/>
              <w:bCs/>
              <w:sz w:val="24"/>
              <w:szCs w:val="24"/>
            </w:rPr>
            <w:t>Naturaleza y alcance del derecho de uso de los activos</w:t>
          </w:r>
        </w:p>
        <w:p w14:paraId="73CFF3F7" w14:textId="3A71B51A" w:rsidR="007F0A8D" w:rsidRDefault="26D31430" w:rsidP="10D44305">
          <w:pPr>
            <w:spacing w:line="257" w:lineRule="auto"/>
            <w:ind w:left="-20" w:right="-20"/>
            <w:jc w:val="both"/>
            <w:rPr>
              <w:rFonts w:ascii="Times New Roman" w:eastAsia="Times New Roman" w:hAnsi="Times New Roman"/>
              <w:b/>
              <w:bCs/>
              <w:sz w:val="24"/>
              <w:szCs w:val="24"/>
            </w:rPr>
          </w:pPr>
          <w:r w:rsidRPr="10D44305">
            <w:rPr>
              <w:rFonts w:ascii="Times New Roman" w:eastAsia="Times New Roman" w:hAnsi="Times New Roman"/>
              <w:b/>
              <w:bCs/>
              <w:sz w:val="24"/>
              <w:szCs w:val="24"/>
            </w:rPr>
            <w:lastRenderedPageBreak/>
            <w:t xml:space="preserve">Descripción: </w:t>
          </w:r>
        </w:p>
        <w:p w14:paraId="6898EFE1" w14:textId="08E35F5C" w:rsidR="007F0A8D" w:rsidRDefault="26D31430" w:rsidP="10D44305">
          <w:pPr>
            <w:spacing w:line="257"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Las enunciadas en el contrato en la Cláusula 12. Derechos del Concesionario Derivados de la Concesión y en la Cláusula 13. Obligaciones del Concesionario Derivadas de la Concesión.</w:t>
          </w:r>
        </w:p>
        <w:p w14:paraId="6E205EC8" w14:textId="06839FC7" w:rsidR="007F0A8D" w:rsidRDefault="26D31430" w:rsidP="10D44305">
          <w:pPr>
            <w:spacing w:line="257" w:lineRule="auto"/>
            <w:ind w:left="-20" w:right="-20"/>
            <w:jc w:val="both"/>
            <w:rPr>
              <w:rFonts w:ascii="Times New Roman" w:eastAsia="Times New Roman" w:hAnsi="Times New Roman"/>
              <w:sz w:val="24"/>
              <w:szCs w:val="24"/>
            </w:rPr>
          </w:pPr>
          <w:r w:rsidRPr="10D44305">
            <w:rPr>
              <w:rFonts w:ascii="Times New Roman" w:eastAsia="Times New Roman" w:hAnsi="Times New Roman"/>
              <w:b/>
              <w:bCs/>
              <w:sz w:val="24"/>
              <w:szCs w:val="24"/>
            </w:rPr>
            <w:t xml:space="preserve">Observaciones: </w:t>
          </w:r>
          <w:r w:rsidRPr="10D44305">
            <w:rPr>
              <w:rFonts w:ascii="Times New Roman" w:eastAsia="Times New Roman" w:hAnsi="Times New Roman"/>
              <w:sz w:val="24"/>
              <w:szCs w:val="24"/>
            </w:rPr>
            <w:t>N/A</w:t>
          </w:r>
        </w:p>
        <w:p w14:paraId="7A5D7B0B" w14:textId="5ECC146D" w:rsidR="007F0A8D" w:rsidRDefault="26D31430" w:rsidP="10D44305">
          <w:pPr>
            <w:spacing w:line="257" w:lineRule="auto"/>
            <w:ind w:left="-20" w:right="-20"/>
            <w:jc w:val="both"/>
            <w:rPr>
              <w:rFonts w:ascii="Times New Roman" w:eastAsia="Times New Roman" w:hAnsi="Times New Roman"/>
              <w:b/>
              <w:bCs/>
              <w:sz w:val="24"/>
              <w:szCs w:val="24"/>
            </w:rPr>
          </w:pPr>
          <w:r w:rsidRPr="10D44305">
            <w:rPr>
              <w:rFonts w:ascii="Times New Roman" w:eastAsia="Times New Roman" w:hAnsi="Times New Roman"/>
              <w:b/>
              <w:bCs/>
              <w:sz w:val="24"/>
              <w:szCs w:val="24"/>
            </w:rPr>
            <w:t>Retribución al concesionario</w:t>
          </w:r>
        </w:p>
        <w:p w14:paraId="519CE2AF" w14:textId="68F8ED00" w:rsidR="007F0A8D" w:rsidRDefault="26D31430" w:rsidP="10D44305">
          <w:pPr>
            <w:spacing w:line="257" w:lineRule="auto"/>
            <w:ind w:left="-20" w:right="-20"/>
            <w:jc w:val="both"/>
            <w:rPr>
              <w:rFonts w:ascii="Times New Roman" w:eastAsia="Times New Roman" w:hAnsi="Times New Roman"/>
              <w:sz w:val="24"/>
              <w:szCs w:val="24"/>
            </w:rPr>
          </w:pPr>
          <w:r w:rsidRPr="10D44305">
            <w:rPr>
              <w:rFonts w:ascii="Times New Roman" w:eastAsia="Times New Roman" w:hAnsi="Times New Roman"/>
              <w:b/>
              <w:bCs/>
              <w:sz w:val="24"/>
              <w:szCs w:val="24"/>
            </w:rPr>
            <w:t xml:space="preserve">Descripción: </w:t>
          </w:r>
          <w:r w:rsidRPr="10D44305">
            <w:rPr>
              <w:rFonts w:ascii="Times New Roman" w:eastAsia="Times New Roman" w:hAnsi="Times New Roman"/>
              <w:sz w:val="24"/>
              <w:szCs w:val="24"/>
            </w:rPr>
            <w:t>Cláusula 40. Remuneración del Servicio de Transporte.</w:t>
          </w:r>
        </w:p>
        <w:p w14:paraId="20370CD7" w14:textId="2B341CDD" w:rsidR="007F0A8D" w:rsidRDefault="26D31430" w:rsidP="10D44305">
          <w:pPr>
            <w:spacing w:line="257" w:lineRule="auto"/>
            <w:ind w:left="-20" w:right="-20"/>
            <w:jc w:val="both"/>
            <w:rPr>
              <w:rFonts w:ascii="Times New Roman" w:eastAsia="Times New Roman" w:hAnsi="Times New Roman"/>
              <w:sz w:val="24"/>
              <w:szCs w:val="24"/>
            </w:rPr>
          </w:pPr>
          <w:r w:rsidRPr="10D44305">
            <w:rPr>
              <w:rFonts w:ascii="Times New Roman" w:eastAsia="Times New Roman" w:hAnsi="Times New Roman"/>
              <w:b/>
              <w:bCs/>
              <w:sz w:val="24"/>
              <w:szCs w:val="24"/>
            </w:rPr>
            <w:t>Tasa de retribución:</w:t>
          </w:r>
          <w:r w:rsidRPr="10D44305">
            <w:rPr>
              <w:rFonts w:ascii="Times New Roman" w:eastAsia="Times New Roman" w:hAnsi="Times New Roman"/>
              <w:sz w:val="24"/>
              <w:szCs w:val="24"/>
            </w:rPr>
            <w:t xml:space="preserve"> No Aplica</w:t>
          </w:r>
        </w:p>
        <w:p w14:paraId="5E18FBFF" w14:textId="77C90053" w:rsidR="007F0A8D" w:rsidRDefault="26D31430" w:rsidP="10D44305">
          <w:pPr>
            <w:spacing w:line="257" w:lineRule="auto"/>
            <w:ind w:left="-20" w:right="-20"/>
            <w:jc w:val="both"/>
            <w:rPr>
              <w:rFonts w:ascii="Times New Roman" w:eastAsia="Times New Roman" w:hAnsi="Times New Roman"/>
              <w:b/>
              <w:bCs/>
              <w:sz w:val="24"/>
              <w:szCs w:val="24"/>
            </w:rPr>
          </w:pPr>
          <w:r w:rsidRPr="10D44305">
            <w:rPr>
              <w:rFonts w:ascii="Times New Roman" w:eastAsia="Times New Roman" w:hAnsi="Times New Roman"/>
              <w:b/>
              <w:bCs/>
              <w:sz w:val="24"/>
              <w:szCs w:val="24"/>
            </w:rPr>
            <w:t>d. Derechos a recibir activos especificados al final del acuerdo de concesión</w:t>
          </w:r>
        </w:p>
        <w:p w14:paraId="410F1E1A" w14:textId="5CC454C4" w:rsidR="007F0A8D" w:rsidRDefault="26D31430" w:rsidP="10D44305">
          <w:pPr>
            <w:spacing w:line="257" w:lineRule="auto"/>
            <w:ind w:left="-20" w:right="-20"/>
            <w:jc w:val="both"/>
            <w:rPr>
              <w:rFonts w:ascii="Times New Roman" w:eastAsia="Times New Roman" w:hAnsi="Times New Roman"/>
              <w:sz w:val="24"/>
              <w:szCs w:val="24"/>
            </w:rPr>
          </w:pPr>
          <w:r w:rsidRPr="10D44305">
            <w:rPr>
              <w:rFonts w:ascii="Times New Roman" w:eastAsia="Times New Roman" w:hAnsi="Times New Roman"/>
              <w:b/>
              <w:bCs/>
              <w:sz w:val="24"/>
              <w:szCs w:val="24"/>
            </w:rPr>
            <w:t>Descripción:</w:t>
          </w:r>
          <w:r w:rsidRPr="10D44305">
            <w:rPr>
              <w:rFonts w:ascii="Times New Roman" w:eastAsia="Times New Roman" w:hAnsi="Times New Roman"/>
              <w:sz w:val="24"/>
              <w:szCs w:val="24"/>
            </w:rPr>
            <w:t xml:space="preserve"> Los dispuesto en la Cláusula 118. Infraestructura </w:t>
          </w:r>
          <w:r w:rsidR="004A4B3E" w:rsidRPr="10D44305">
            <w:rPr>
              <w:rFonts w:ascii="Times New Roman" w:eastAsia="Times New Roman" w:hAnsi="Times New Roman"/>
              <w:sz w:val="24"/>
              <w:szCs w:val="24"/>
            </w:rPr>
            <w:t>Reversible</w:t>
          </w:r>
          <w:r w:rsidRPr="10D44305">
            <w:rPr>
              <w:rFonts w:ascii="Times New Roman" w:eastAsia="Times New Roman" w:hAnsi="Times New Roman"/>
              <w:sz w:val="24"/>
              <w:szCs w:val="24"/>
            </w:rPr>
            <w:t>.</w:t>
          </w:r>
        </w:p>
        <w:p w14:paraId="0D1B6BB7" w14:textId="57C58922" w:rsidR="007F0A8D" w:rsidRDefault="26D31430" w:rsidP="10D44305">
          <w:pPr>
            <w:spacing w:line="257"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Nota: Mediante el Otrosí No. 15 del 2008, el corredor férreo Cartago - La Felisa quedó a cargo de la Sociedad Tren de Occidente SA, por lo que dicho tramo junto con sus bienes no quedó a cargo de Ferrocarril del Pacífico.</w:t>
          </w:r>
        </w:p>
        <w:p w14:paraId="703A98B1" w14:textId="5C65A648" w:rsidR="007F0A8D" w:rsidRDefault="26D31430" w:rsidP="10D44305">
          <w:pPr>
            <w:spacing w:line="257" w:lineRule="auto"/>
            <w:ind w:left="-20" w:right="-20"/>
            <w:jc w:val="both"/>
            <w:rPr>
              <w:rFonts w:ascii="Times New Roman" w:eastAsia="Times New Roman" w:hAnsi="Times New Roman"/>
              <w:sz w:val="24"/>
              <w:szCs w:val="24"/>
            </w:rPr>
          </w:pPr>
          <w:r w:rsidRPr="10D44305">
            <w:rPr>
              <w:rFonts w:ascii="Times New Roman" w:eastAsia="Times New Roman" w:hAnsi="Times New Roman"/>
              <w:b/>
              <w:bCs/>
              <w:sz w:val="24"/>
              <w:szCs w:val="24"/>
            </w:rPr>
            <w:t>Observaciones:</w:t>
          </w:r>
          <w:r w:rsidRPr="10D44305">
            <w:rPr>
              <w:rFonts w:ascii="Times New Roman" w:eastAsia="Times New Roman" w:hAnsi="Times New Roman"/>
              <w:sz w:val="24"/>
              <w:szCs w:val="24"/>
            </w:rPr>
            <w:t xml:space="preserve"> Serán los entregados al inicio del contrato de concesión junto con las actas de entrega, y los previstos en la cláusula 118 del contrato. El Otrosi No.15 de 2008 indica que los tramos a cargo son Buenaventura-Cali, Cali-Cartago y Zarzal-La Tebaida.</w:t>
          </w:r>
        </w:p>
        <w:p w14:paraId="424CB791" w14:textId="153ED274" w:rsidR="007F0A8D" w:rsidRDefault="26D31430" w:rsidP="10D44305">
          <w:pPr>
            <w:spacing w:line="257"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El contrato se liquidó mediante la Resolución No. 20233070002345 del 28 de febrero de 2023</w:t>
          </w:r>
        </w:p>
        <w:p w14:paraId="70913E6B" w14:textId="716A5CAB" w:rsidR="007F0A8D" w:rsidRDefault="26D31430" w:rsidP="10D44305">
          <w:pPr>
            <w:spacing w:line="257" w:lineRule="auto"/>
            <w:ind w:left="-20" w:right="-20"/>
            <w:jc w:val="both"/>
            <w:rPr>
              <w:rFonts w:ascii="Times New Roman" w:eastAsia="Times New Roman" w:hAnsi="Times New Roman"/>
              <w:b/>
              <w:bCs/>
              <w:sz w:val="24"/>
              <w:szCs w:val="24"/>
            </w:rPr>
          </w:pPr>
          <w:r w:rsidRPr="10D44305">
            <w:rPr>
              <w:rFonts w:ascii="Times New Roman" w:eastAsia="Times New Roman" w:hAnsi="Times New Roman"/>
              <w:b/>
              <w:bCs/>
              <w:sz w:val="24"/>
              <w:szCs w:val="24"/>
            </w:rPr>
            <w:t>e.</w:t>
          </w:r>
          <w:r w:rsidR="007F0A8D">
            <w:tab/>
          </w:r>
          <w:r w:rsidR="6F0F178A" w:rsidRPr="10D44305">
            <w:rPr>
              <w:rFonts w:ascii="Times New Roman" w:eastAsia="Times New Roman" w:hAnsi="Times New Roman"/>
              <w:b/>
              <w:bCs/>
              <w:sz w:val="24"/>
              <w:szCs w:val="24"/>
            </w:rPr>
            <w:t>No hay c</w:t>
          </w:r>
          <w:r w:rsidRPr="10D44305">
            <w:rPr>
              <w:rFonts w:ascii="Times New Roman" w:eastAsia="Times New Roman" w:hAnsi="Times New Roman"/>
              <w:b/>
              <w:bCs/>
              <w:sz w:val="24"/>
              <w:szCs w:val="24"/>
            </w:rPr>
            <w:t>ambios en el acuerdo de concesión que se realicen durante el periodo fiscal</w:t>
          </w:r>
        </w:p>
        <w:p w14:paraId="51B2D8DC" w14:textId="5C8EF502" w:rsidR="007F0A8D" w:rsidRDefault="26D31430" w:rsidP="10D44305">
          <w:pPr>
            <w:spacing w:line="257" w:lineRule="auto"/>
            <w:ind w:left="-20" w:right="-20"/>
            <w:jc w:val="both"/>
            <w:rPr>
              <w:rFonts w:ascii="Times New Roman" w:eastAsia="Times New Roman" w:hAnsi="Times New Roman"/>
              <w:b/>
              <w:bCs/>
              <w:sz w:val="24"/>
              <w:szCs w:val="24"/>
            </w:rPr>
          </w:pPr>
          <w:r w:rsidRPr="10D44305">
            <w:rPr>
              <w:rFonts w:ascii="Times New Roman" w:eastAsia="Times New Roman" w:hAnsi="Times New Roman"/>
              <w:b/>
              <w:bCs/>
              <w:sz w:val="24"/>
              <w:szCs w:val="24"/>
            </w:rPr>
            <w:t xml:space="preserve"> </w:t>
          </w:r>
        </w:p>
        <w:p w14:paraId="33B02D9B" w14:textId="6180E81D" w:rsidR="007F0A8D" w:rsidRDefault="26D31430" w:rsidP="10D44305">
          <w:pPr>
            <w:spacing w:line="257" w:lineRule="auto"/>
            <w:ind w:left="-20" w:right="-20"/>
            <w:jc w:val="both"/>
            <w:rPr>
              <w:rFonts w:ascii="Times New Roman" w:eastAsia="Times New Roman" w:hAnsi="Times New Roman"/>
              <w:b/>
              <w:bCs/>
              <w:sz w:val="24"/>
              <w:szCs w:val="24"/>
              <w:lang w:val="es"/>
            </w:rPr>
          </w:pPr>
          <w:r w:rsidRPr="10D44305">
            <w:rPr>
              <w:rFonts w:ascii="Times New Roman" w:eastAsia="Times New Roman" w:hAnsi="Times New Roman"/>
              <w:b/>
              <w:bCs/>
              <w:sz w:val="24"/>
              <w:szCs w:val="24"/>
              <w:lang w:val="es"/>
            </w:rPr>
            <w:t>RED FÉRREA DEL PACÍFICO</w:t>
          </w:r>
        </w:p>
        <w:p w14:paraId="09077498" w14:textId="1743491D" w:rsidR="007F0A8D" w:rsidRDefault="26D31430" w:rsidP="10D44305">
          <w:pPr>
            <w:spacing w:after="0" w:line="240" w:lineRule="auto"/>
            <w:ind w:left="-20" w:right="-20"/>
            <w:jc w:val="both"/>
            <w:rPr>
              <w:rFonts w:ascii="Times New Roman" w:eastAsia="Times New Roman" w:hAnsi="Times New Roman"/>
              <w:b/>
              <w:bCs/>
              <w:sz w:val="24"/>
              <w:szCs w:val="24"/>
            </w:rPr>
          </w:pPr>
          <w:r w:rsidRPr="10D44305">
            <w:rPr>
              <w:rFonts w:ascii="Times New Roman" w:eastAsia="Times New Roman" w:hAnsi="Times New Roman"/>
              <w:b/>
              <w:bCs/>
              <w:sz w:val="24"/>
              <w:szCs w:val="24"/>
            </w:rPr>
            <w:t>a. Descripción del acuerdo</w:t>
          </w:r>
        </w:p>
        <w:p w14:paraId="4022AC3A" w14:textId="6879DE9E"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b/>
              <w:bCs/>
              <w:sz w:val="24"/>
              <w:szCs w:val="24"/>
            </w:rPr>
            <w:t xml:space="preserve"> Número del acuerdo de concesión:</w:t>
          </w:r>
          <w:r w:rsidRPr="10D44305">
            <w:rPr>
              <w:rFonts w:ascii="Times New Roman" w:eastAsia="Times New Roman" w:hAnsi="Times New Roman"/>
              <w:sz w:val="24"/>
              <w:szCs w:val="24"/>
            </w:rPr>
            <w:t xml:space="preserve"> 09-CONP-98 - Acuerdo Conciliatorio del 23 de marzo de 2018.</w:t>
          </w:r>
        </w:p>
        <w:p w14:paraId="16AF87CD" w14:textId="27E27784" w:rsidR="007F0A8D" w:rsidRDefault="26D31430" w:rsidP="10D44305">
          <w:pPr>
            <w:spacing w:after="0" w:line="257" w:lineRule="auto"/>
            <w:ind w:left="-20" w:right="-20"/>
            <w:jc w:val="both"/>
            <w:rPr>
              <w:rFonts w:ascii="Times New Roman" w:eastAsia="Times New Roman" w:hAnsi="Times New Roman"/>
              <w:sz w:val="24"/>
              <w:szCs w:val="24"/>
            </w:rPr>
          </w:pPr>
          <w:r w:rsidRPr="10D44305">
            <w:rPr>
              <w:rFonts w:ascii="Times New Roman" w:eastAsia="Times New Roman" w:hAnsi="Times New Roman"/>
              <w:b/>
              <w:bCs/>
              <w:sz w:val="24"/>
              <w:szCs w:val="24"/>
            </w:rPr>
            <w:t>Objeto / Descripción:</w:t>
          </w:r>
          <w:r w:rsidRPr="10D44305">
            <w:rPr>
              <w:rFonts w:ascii="Times New Roman" w:eastAsia="Times New Roman" w:hAnsi="Times New Roman"/>
              <w:sz w:val="24"/>
              <w:szCs w:val="24"/>
            </w:rPr>
            <w:t xml:space="preserve"> Acuerdo Conciliatorio celebrado entre la Agencia Nacional de Infraestructura y la Sociedad Tren de Occidente S.A., para la construcción del tramo Km337+326 Zaragoza - Cartago, hasta el Km369+396 Corregimiento de Caimalito - Pereira</w:t>
          </w:r>
        </w:p>
        <w:p w14:paraId="7D0BE602" w14:textId="3A3B2CF7" w:rsidR="007F0A8D" w:rsidRDefault="26D31430" w:rsidP="10D44305">
          <w:pPr>
            <w:spacing w:after="0" w:line="257" w:lineRule="auto"/>
            <w:ind w:left="-20" w:right="-20"/>
            <w:jc w:val="both"/>
            <w:rPr>
              <w:rFonts w:ascii="Times New Roman" w:eastAsia="Times New Roman" w:hAnsi="Times New Roman"/>
              <w:sz w:val="24"/>
              <w:szCs w:val="24"/>
            </w:rPr>
          </w:pPr>
          <w:r w:rsidRPr="10D44305">
            <w:rPr>
              <w:rFonts w:ascii="Times New Roman" w:eastAsia="Times New Roman" w:hAnsi="Times New Roman"/>
              <w:b/>
              <w:bCs/>
              <w:sz w:val="24"/>
              <w:szCs w:val="24"/>
            </w:rPr>
            <w:t>Valor inicial</w:t>
          </w:r>
          <w:r w:rsidRPr="10D44305">
            <w:rPr>
              <w:rFonts w:ascii="Times New Roman" w:eastAsia="Times New Roman" w:hAnsi="Times New Roman"/>
              <w:sz w:val="24"/>
              <w:szCs w:val="24"/>
            </w:rPr>
            <w:t>: $93.986.665.783</w:t>
          </w:r>
        </w:p>
        <w:p w14:paraId="62F9EF02" w14:textId="66C63DDE" w:rsidR="007F0A8D" w:rsidRDefault="26D31430" w:rsidP="10D44305">
          <w:pPr>
            <w:spacing w:after="0" w:line="257" w:lineRule="auto"/>
            <w:ind w:left="-20" w:right="-20"/>
            <w:jc w:val="both"/>
            <w:rPr>
              <w:rFonts w:ascii="Times New Roman" w:eastAsia="Times New Roman" w:hAnsi="Times New Roman"/>
              <w:sz w:val="24"/>
              <w:szCs w:val="24"/>
            </w:rPr>
          </w:pPr>
          <w:r w:rsidRPr="10D44305">
            <w:rPr>
              <w:rFonts w:ascii="Times New Roman" w:eastAsia="Times New Roman" w:hAnsi="Times New Roman"/>
              <w:b/>
              <w:bCs/>
              <w:sz w:val="24"/>
              <w:szCs w:val="24"/>
            </w:rPr>
            <w:t>Fecha de inicio:</w:t>
          </w:r>
          <w:r w:rsidRPr="10D44305">
            <w:rPr>
              <w:rFonts w:ascii="Times New Roman" w:eastAsia="Times New Roman" w:hAnsi="Times New Roman"/>
              <w:sz w:val="24"/>
              <w:szCs w:val="24"/>
            </w:rPr>
            <w:t xml:space="preserve"> 27 de agosto de 2018</w:t>
          </w:r>
        </w:p>
        <w:p w14:paraId="62B322FE" w14:textId="370AC990"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b/>
              <w:bCs/>
              <w:sz w:val="24"/>
              <w:szCs w:val="24"/>
            </w:rPr>
            <w:t>Fecha de finalización estimada:</w:t>
          </w:r>
          <w:r w:rsidRPr="10D44305">
            <w:rPr>
              <w:rFonts w:ascii="Times New Roman" w:eastAsia="Times New Roman" w:hAnsi="Times New Roman"/>
              <w:sz w:val="24"/>
              <w:szCs w:val="24"/>
            </w:rPr>
            <w:t xml:space="preserve"> 06 de mayo de 2022</w:t>
          </w:r>
        </w:p>
        <w:p w14:paraId="2981CF66" w14:textId="2478ABFD" w:rsidR="007F0A8D" w:rsidRDefault="26D31430" w:rsidP="10D44305">
          <w:pPr>
            <w:spacing w:after="0" w:line="257" w:lineRule="auto"/>
            <w:ind w:left="-20" w:right="-20"/>
            <w:jc w:val="both"/>
            <w:rPr>
              <w:rFonts w:ascii="Times New Roman" w:eastAsia="Times New Roman" w:hAnsi="Times New Roman"/>
              <w:sz w:val="24"/>
              <w:szCs w:val="24"/>
            </w:rPr>
          </w:pPr>
          <w:r w:rsidRPr="10D44305">
            <w:rPr>
              <w:rFonts w:ascii="Times New Roman" w:eastAsia="Times New Roman" w:hAnsi="Times New Roman"/>
              <w:b/>
              <w:bCs/>
              <w:sz w:val="24"/>
              <w:szCs w:val="24"/>
            </w:rPr>
            <w:t>Tipo ID:</w:t>
          </w:r>
          <w:r w:rsidRPr="10D44305">
            <w:rPr>
              <w:rFonts w:ascii="Times New Roman" w:eastAsia="Times New Roman" w:hAnsi="Times New Roman"/>
              <w:sz w:val="24"/>
              <w:szCs w:val="24"/>
            </w:rPr>
            <w:t xml:space="preserve"> NIT</w:t>
          </w:r>
        </w:p>
        <w:p w14:paraId="6754D26E" w14:textId="13B8A1C6" w:rsidR="007F0A8D" w:rsidRDefault="26D31430" w:rsidP="10D44305">
          <w:pPr>
            <w:spacing w:after="0" w:line="257" w:lineRule="auto"/>
            <w:ind w:left="-20" w:right="-20"/>
            <w:jc w:val="both"/>
            <w:rPr>
              <w:rFonts w:ascii="Times New Roman" w:eastAsia="Times New Roman" w:hAnsi="Times New Roman"/>
              <w:sz w:val="24"/>
              <w:szCs w:val="24"/>
            </w:rPr>
          </w:pPr>
          <w:r w:rsidRPr="10D44305">
            <w:rPr>
              <w:rFonts w:ascii="Times New Roman" w:eastAsia="Times New Roman" w:hAnsi="Times New Roman"/>
              <w:b/>
              <w:bCs/>
              <w:sz w:val="24"/>
              <w:szCs w:val="24"/>
            </w:rPr>
            <w:t>Número ID:</w:t>
          </w:r>
          <w:r w:rsidRPr="10D44305">
            <w:rPr>
              <w:rFonts w:ascii="Times New Roman" w:eastAsia="Times New Roman" w:hAnsi="Times New Roman"/>
              <w:sz w:val="24"/>
              <w:szCs w:val="24"/>
            </w:rPr>
            <w:t xml:space="preserve"> 830.052.596</w:t>
          </w:r>
        </w:p>
        <w:p w14:paraId="5E561714" w14:textId="2AC8CD10" w:rsidR="007F0A8D" w:rsidRDefault="26D31430" w:rsidP="10D44305">
          <w:pPr>
            <w:spacing w:after="0" w:line="257" w:lineRule="auto"/>
            <w:ind w:left="-20" w:right="-20"/>
            <w:jc w:val="both"/>
            <w:rPr>
              <w:rFonts w:ascii="Times New Roman" w:eastAsia="Times New Roman" w:hAnsi="Times New Roman"/>
              <w:sz w:val="24"/>
              <w:szCs w:val="24"/>
            </w:rPr>
          </w:pPr>
          <w:r w:rsidRPr="10D44305">
            <w:rPr>
              <w:rFonts w:ascii="Times New Roman" w:eastAsia="Times New Roman" w:hAnsi="Times New Roman"/>
              <w:b/>
              <w:bCs/>
              <w:sz w:val="24"/>
              <w:szCs w:val="24"/>
            </w:rPr>
            <w:t>Razón social del concesionario:</w:t>
          </w:r>
          <w:r w:rsidRPr="10D44305">
            <w:rPr>
              <w:rFonts w:ascii="Times New Roman" w:eastAsia="Times New Roman" w:hAnsi="Times New Roman"/>
              <w:sz w:val="24"/>
              <w:szCs w:val="24"/>
            </w:rPr>
            <w:t xml:space="preserve"> TREN DE OCCIDENTE S.A. En liquidación Judicial</w:t>
          </w:r>
        </w:p>
        <w:p w14:paraId="58BCFB15" w14:textId="6740670D" w:rsidR="007F0A8D" w:rsidRDefault="26D31430" w:rsidP="10D44305">
          <w:pPr>
            <w:spacing w:after="0" w:line="257" w:lineRule="auto"/>
            <w:ind w:left="-20" w:right="-20"/>
            <w:jc w:val="both"/>
            <w:rPr>
              <w:rFonts w:ascii="Times New Roman" w:eastAsia="Times New Roman" w:hAnsi="Times New Roman"/>
              <w:sz w:val="24"/>
              <w:szCs w:val="24"/>
            </w:rPr>
          </w:pPr>
          <w:r w:rsidRPr="10D44305">
            <w:rPr>
              <w:rFonts w:ascii="Times New Roman" w:eastAsia="Times New Roman" w:hAnsi="Times New Roman"/>
              <w:b/>
              <w:bCs/>
              <w:sz w:val="24"/>
              <w:szCs w:val="24"/>
            </w:rPr>
            <w:t>Nombre del proyecto:</w:t>
          </w:r>
          <w:r w:rsidRPr="10D44305">
            <w:rPr>
              <w:rFonts w:ascii="Times New Roman" w:eastAsia="Times New Roman" w:hAnsi="Times New Roman"/>
              <w:sz w:val="24"/>
              <w:szCs w:val="24"/>
            </w:rPr>
            <w:t xml:space="preserve"> Red Férrea del Pacífico</w:t>
          </w:r>
        </w:p>
        <w:p w14:paraId="1D7E5402" w14:textId="552785FC" w:rsidR="007F0A8D" w:rsidRDefault="007F0A8D" w:rsidP="10D44305">
          <w:pPr>
            <w:spacing w:after="0" w:line="257" w:lineRule="auto"/>
            <w:ind w:left="-20" w:right="-20"/>
            <w:jc w:val="both"/>
            <w:rPr>
              <w:rFonts w:ascii="Times New Roman" w:eastAsia="Times New Roman" w:hAnsi="Times New Roman"/>
              <w:sz w:val="24"/>
              <w:szCs w:val="24"/>
            </w:rPr>
          </w:pPr>
        </w:p>
        <w:p w14:paraId="050D078F" w14:textId="7E85780D" w:rsidR="007F0A8D" w:rsidRDefault="26D31430" w:rsidP="10D44305">
          <w:pPr>
            <w:spacing w:line="257" w:lineRule="auto"/>
            <w:ind w:left="-20" w:right="-20"/>
            <w:jc w:val="both"/>
            <w:rPr>
              <w:rFonts w:ascii="Times New Roman" w:eastAsia="Times New Roman" w:hAnsi="Times New Roman"/>
              <w:b/>
              <w:bCs/>
              <w:sz w:val="24"/>
              <w:szCs w:val="24"/>
            </w:rPr>
          </w:pPr>
          <w:r w:rsidRPr="10D44305">
            <w:rPr>
              <w:rFonts w:ascii="Times New Roman" w:eastAsia="Times New Roman" w:hAnsi="Times New Roman"/>
              <w:b/>
              <w:bCs/>
              <w:sz w:val="24"/>
              <w:szCs w:val="24"/>
            </w:rPr>
            <w:t>b. Términos significativos del acuerdo que puedan afectar su valor, el calendario y la certeza de los flujos</w:t>
          </w:r>
        </w:p>
        <w:p w14:paraId="55E3E50E" w14:textId="131410F2"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b/>
              <w:bCs/>
              <w:sz w:val="24"/>
              <w:szCs w:val="24"/>
            </w:rPr>
            <w:lastRenderedPageBreak/>
            <w:t>Términos de valor:</w:t>
          </w:r>
          <w:r w:rsidRPr="10D44305">
            <w:rPr>
              <w:rFonts w:ascii="Times New Roman" w:eastAsia="Times New Roman" w:hAnsi="Times New Roman"/>
              <w:sz w:val="24"/>
              <w:szCs w:val="24"/>
            </w:rPr>
            <w:t xml:space="preserve"> Lo contemplado en el Acuerdo Conciliatorio Agencia Nacional de Infraestructura -ANI y Tren de Occidente -TDO en el acuerdo séptimo.</w:t>
          </w:r>
        </w:p>
        <w:p w14:paraId="49E20968" w14:textId="2AA65FFC"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Se presentaron ante la Superintendencia de Sociedades las acreencias de las obligaciones no ejecutadas en el Acuerdo Conciliatorio entre la Agencia Nacional de Infraestructura y la Sociedad Tren de Occidente SA, según radicado ANI No. 20244090019491 de fecha 17 de enero de 2024.</w:t>
          </w:r>
        </w:p>
        <w:p w14:paraId="113940F3" w14:textId="6D699BC5"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b/>
              <w:bCs/>
              <w:sz w:val="24"/>
              <w:szCs w:val="24"/>
            </w:rPr>
            <w:t>Términos de calendario:</w:t>
          </w:r>
          <w:r w:rsidRPr="10D44305">
            <w:rPr>
              <w:rFonts w:ascii="Times New Roman" w:eastAsia="Times New Roman" w:hAnsi="Times New Roman"/>
              <w:sz w:val="24"/>
              <w:szCs w:val="24"/>
            </w:rPr>
            <w:t xml:space="preserve"> Lo dispuesto en el Acuerdo Conciliatorio en el acuerdo segundo: dos (2) años a partir del acta de inicio y, se prorrogó mediante el Otrosí No. 1 en el acuerdo primero, por dos (2) años.</w:t>
          </w:r>
        </w:p>
        <w:p w14:paraId="71D2D1DC" w14:textId="7AB87A3F" w:rsidR="007F0A8D" w:rsidRDefault="26D31430" w:rsidP="10D44305">
          <w:pPr>
            <w:spacing w:line="257" w:lineRule="auto"/>
            <w:ind w:left="-20" w:right="-20"/>
            <w:jc w:val="both"/>
            <w:rPr>
              <w:rFonts w:ascii="Times New Roman" w:eastAsia="Times New Roman" w:hAnsi="Times New Roman"/>
              <w:sz w:val="24"/>
              <w:szCs w:val="24"/>
            </w:rPr>
          </w:pPr>
          <w:r w:rsidRPr="10D44305">
            <w:rPr>
              <w:rFonts w:ascii="Times New Roman" w:eastAsia="Times New Roman" w:hAnsi="Times New Roman"/>
              <w:b/>
              <w:bCs/>
              <w:sz w:val="24"/>
              <w:szCs w:val="24"/>
            </w:rPr>
            <w:t xml:space="preserve">Términos de certeza de flujos de efectivo futuros: </w:t>
          </w:r>
          <w:r w:rsidRPr="10D44305">
            <w:rPr>
              <w:rFonts w:ascii="Times New Roman" w:eastAsia="Times New Roman" w:hAnsi="Times New Roman"/>
              <w:sz w:val="24"/>
              <w:szCs w:val="24"/>
            </w:rPr>
            <w:t>No aplica</w:t>
          </w:r>
        </w:p>
        <w:p w14:paraId="430CAD7B" w14:textId="396A27F8" w:rsidR="007F0A8D" w:rsidRDefault="26D31430" w:rsidP="10D44305">
          <w:pPr>
            <w:spacing w:after="0" w:line="240" w:lineRule="auto"/>
            <w:ind w:left="-20" w:right="-20"/>
            <w:jc w:val="both"/>
            <w:rPr>
              <w:rFonts w:ascii="Times New Roman" w:eastAsia="Times New Roman" w:hAnsi="Times New Roman"/>
              <w:b/>
              <w:bCs/>
              <w:sz w:val="24"/>
              <w:szCs w:val="24"/>
            </w:rPr>
          </w:pPr>
          <w:r w:rsidRPr="10D44305">
            <w:rPr>
              <w:rFonts w:ascii="Times New Roman" w:eastAsia="Times New Roman" w:hAnsi="Times New Roman"/>
              <w:b/>
              <w:bCs/>
              <w:sz w:val="24"/>
              <w:szCs w:val="24"/>
            </w:rPr>
            <w:t>c. Naturaleza y alcance del derecho a utilizar activos especificados, de los aspectos pactados en torno a lo que se espera que el concesionario proporcione en relación con el acuerdo de concesión</w:t>
          </w:r>
        </w:p>
        <w:p w14:paraId="58B14140" w14:textId="0B3BF12D" w:rsidR="007F0A8D" w:rsidRDefault="26D31430" w:rsidP="10D44305">
          <w:pPr>
            <w:spacing w:after="0" w:line="240" w:lineRule="auto"/>
            <w:ind w:left="-20" w:right="-20"/>
            <w:jc w:val="both"/>
            <w:rPr>
              <w:rFonts w:ascii="Times New Roman" w:eastAsia="Times New Roman" w:hAnsi="Times New Roman"/>
              <w:b/>
              <w:bCs/>
              <w:sz w:val="24"/>
              <w:szCs w:val="24"/>
            </w:rPr>
          </w:pPr>
          <w:r w:rsidRPr="10D44305">
            <w:rPr>
              <w:rFonts w:ascii="Times New Roman" w:eastAsia="Times New Roman" w:hAnsi="Times New Roman"/>
              <w:b/>
              <w:bCs/>
              <w:sz w:val="24"/>
              <w:szCs w:val="24"/>
            </w:rPr>
            <w:t>Naturaleza y alcance del derecho de uso de los activos</w:t>
          </w:r>
        </w:p>
        <w:p w14:paraId="53CDDC3B" w14:textId="4AAE385B"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Descripción: Las enunciadas en la Cláusula 12. Derechos del Concesionario Derivados de la Concesión y Cláusula 13. Obligaciones del Concesionario Derivadas de la Concesión y en el Otrosi No. 15 de 2008 cesión parcial del contrato de concesión.  Y las enunciadas en la parte considerativa del Acuerdo Conciliatorio.</w:t>
          </w:r>
        </w:p>
        <w:p w14:paraId="2DD82E62" w14:textId="7840F394"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b/>
              <w:bCs/>
              <w:sz w:val="24"/>
              <w:szCs w:val="24"/>
            </w:rPr>
            <w:t>Observaciones:</w:t>
          </w:r>
          <w:r w:rsidRPr="10D44305">
            <w:rPr>
              <w:rFonts w:ascii="Times New Roman" w:eastAsia="Times New Roman" w:hAnsi="Times New Roman"/>
              <w:sz w:val="24"/>
              <w:szCs w:val="24"/>
            </w:rPr>
            <w:t xml:space="preserve"> No hay Observaciones</w:t>
          </w:r>
        </w:p>
        <w:p w14:paraId="1ECFE7A7" w14:textId="068F1E46"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 </w:t>
          </w:r>
        </w:p>
        <w:p w14:paraId="1616C465" w14:textId="67C56A12" w:rsidR="007F0A8D" w:rsidRDefault="26D31430" w:rsidP="10D44305">
          <w:pPr>
            <w:spacing w:after="0" w:line="240" w:lineRule="auto"/>
            <w:ind w:left="-20" w:right="-20"/>
            <w:jc w:val="both"/>
            <w:rPr>
              <w:rFonts w:ascii="Times New Roman" w:eastAsia="Times New Roman" w:hAnsi="Times New Roman"/>
              <w:b/>
              <w:bCs/>
              <w:sz w:val="24"/>
              <w:szCs w:val="24"/>
            </w:rPr>
          </w:pPr>
          <w:r w:rsidRPr="10D44305">
            <w:rPr>
              <w:rFonts w:ascii="Times New Roman" w:eastAsia="Times New Roman" w:hAnsi="Times New Roman"/>
              <w:b/>
              <w:bCs/>
              <w:sz w:val="24"/>
              <w:szCs w:val="24"/>
            </w:rPr>
            <w:t>Retribución al concesionario</w:t>
          </w:r>
        </w:p>
        <w:p w14:paraId="05485CD4" w14:textId="450BB4C3"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b/>
              <w:bCs/>
              <w:sz w:val="24"/>
              <w:szCs w:val="24"/>
            </w:rPr>
            <w:t>Descripción:</w:t>
          </w:r>
          <w:r w:rsidRPr="10D44305">
            <w:rPr>
              <w:rFonts w:ascii="Times New Roman" w:eastAsia="Times New Roman" w:hAnsi="Times New Roman"/>
              <w:sz w:val="24"/>
              <w:szCs w:val="24"/>
            </w:rPr>
            <w:t xml:space="preserve"> No Aplica</w:t>
          </w:r>
        </w:p>
        <w:p w14:paraId="442309A1" w14:textId="5ACAE31E"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 </w:t>
          </w:r>
        </w:p>
        <w:p w14:paraId="73145A67" w14:textId="2A41C789"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b/>
              <w:bCs/>
              <w:sz w:val="24"/>
              <w:szCs w:val="24"/>
            </w:rPr>
            <w:t>Tasa de retribución:</w:t>
          </w:r>
          <w:r w:rsidRPr="10D44305">
            <w:rPr>
              <w:rFonts w:ascii="Times New Roman" w:eastAsia="Times New Roman" w:hAnsi="Times New Roman"/>
              <w:sz w:val="24"/>
              <w:szCs w:val="24"/>
            </w:rPr>
            <w:t xml:space="preserve"> No Aplica</w:t>
          </w:r>
        </w:p>
        <w:p w14:paraId="394E64F0" w14:textId="2FCA98FC"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 </w:t>
          </w:r>
        </w:p>
        <w:p w14:paraId="4FC2F337" w14:textId="6F680AD3" w:rsidR="007F0A8D" w:rsidRDefault="26D31430" w:rsidP="10D44305">
          <w:pPr>
            <w:spacing w:after="0" w:line="240" w:lineRule="auto"/>
            <w:ind w:left="-20" w:right="-20"/>
            <w:jc w:val="both"/>
            <w:rPr>
              <w:rFonts w:ascii="Times New Roman" w:eastAsia="Times New Roman" w:hAnsi="Times New Roman"/>
              <w:b/>
              <w:bCs/>
              <w:sz w:val="24"/>
              <w:szCs w:val="24"/>
            </w:rPr>
          </w:pPr>
          <w:r w:rsidRPr="10D44305">
            <w:rPr>
              <w:rFonts w:ascii="Times New Roman" w:eastAsia="Times New Roman" w:hAnsi="Times New Roman"/>
              <w:b/>
              <w:bCs/>
              <w:sz w:val="24"/>
              <w:szCs w:val="24"/>
            </w:rPr>
            <w:t>d. Derechos a recibir activos especificados al final del acuerdo de concesión</w:t>
          </w:r>
        </w:p>
        <w:p w14:paraId="522D7DB8" w14:textId="7E6CE84A"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b/>
              <w:bCs/>
              <w:sz w:val="24"/>
              <w:szCs w:val="24"/>
            </w:rPr>
            <w:t>Descripción:</w:t>
          </w:r>
          <w:r w:rsidRPr="10D44305">
            <w:rPr>
              <w:rFonts w:ascii="Times New Roman" w:eastAsia="Times New Roman" w:hAnsi="Times New Roman"/>
              <w:sz w:val="24"/>
              <w:szCs w:val="24"/>
            </w:rPr>
            <w:t xml:space="preserve"> Los dispuesto en la Cláusula 118. Infraestructura Revertible y en el Otrosi No. 15 de 2008 del contrato de concesión. Además en el Capítulo 3 Consideraciones del Acuerdo Conciliatorio.</w:t>
          </w:r>
        </w:p>
        <w:p w14:paraId="58495B77" w14:textId="0C857371"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Observaciones: Serán los entregados al inicio del contrato de concesión junto con las actas de entrega, y las interpretadas en la cláusula 118, conforme al Otrosi No.15 de 2008 a cargo de TDO.</w:t>
          </w:r>
        </w:p>
        <w:p w14:paraId="3D972355" w14:textId="13763ABA"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Se presentaron ante la Superintendencia de Sociedades las acreencias de las obligaciones no ejecutadas en el Acuerdo Conciliatorio entre la Agencia Nacional de Infraestructura y la Sociedad Tren de Occidente SA, según radicado ANI No. 20244090019491 de fecha 17 de enero de 2024.</w:t>
          </w:r>
        </w:p>
        <w:p w14:paraId="233AB0F3" w14:textId="44656A1F"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 </w:t>
          </w:r>
        </w:p>
        <w:p w14:paraId="6FE819F1" w14:textId="218AA1B2" w:rsidR="007F0A8D" w:rsidRDefault="26D31430" w:rsidP="10D44305">
          <w:pPr>
            <w:spacing w:after="0" w:line="240" w:lineRule="auto"/>
            <w:ind w:left="-20" w:right="-20"/>
            <w:jc w:val="both"/>
            <w:rPr>
              <w:rFonts w:ascii="Times New Roman" w:eastAsia="Times New Roman" w:hAnsi="Times New Roman"/>
              <w:b/>
              <w:bCs/>
              <w:sz w:val="24"/>
              <w:szCs w:val="24"/>
            </w:rPr>
          </w:pPr>
          <w:r w:rsidRPr="10D44305">
            <w:rPr>
              <w:rFonts w:ascii="Times New Roman" w:eastAsia="Times New Roman" w:hAnsi="Times New Roman"/>
              <w:b/>
              <w:bCs/>
              <w:sz w:val="24"/>
              <w:szCs w:val="24"/>
            </w:rPr>
            <w:t xml:space="preserve">e. </w:t>
          </w:r>
          <w:r w:rsidR="444D6A36" w:rsidRPr="10D44305">
            <w:rPr>
              <w:rFonts w:ascii="Times New Roman" w:eastAsia="Times New Roman" w:hAnsi="Times New Roman"/>
              <w:b/>
              <w:bCs/>
              <w:sz w:val="24"/>
              <w:szCs w:val="24"/>
            </w:rPr>
            <w:t>No hay c</w:t>
          </w:r>
          <w:r w:rsidRPr="10D44305">
            <w:rPr>
              <w:rFonts w:ascii="Times New Roman" w:eastAsia="Times New Roman" w:hAnsi="Times New Roman"/>
              <w:b/>
              <w:bCs/>
              <w:sz w:val="24"/>
              <w:szCs w:val="24"/>
            </w:rPr>
            <w:t>ambios en el acuerdo de concesión que se realicen durante el periodo fiscal</w:t>
          </w:r>
        </w:p>
        <w:p w14:paraId="192C2091" w14:textId="605FA8FA"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 </w:t>
          </w:r>
        </w:p>
        <w:p w14:paraId="5F6D65BA" w14:textId="7846919D" w:rsidR="007F0A8D" w:rsidRDefault="26D31430" w:rsidP="10D44305">
          <w:pPr>
            <w:spacing w:line="257" w:lineRule="auto"/>
            <w:ind w:left="-20" w:right="-20"/>
            <w:jc w:val="both"/>
            <w:rPr>
              <w:rFonts w:ascii="Times New Roman" w:eastAsia="Times New Roman" w:hAnsi="Times New Roman"/>
              <w:b/>
              <w:bCs/>
              <w:sz w:val="24"/>
              <w:szCs w:val="24"/>
              <w:lang w:val="es"/>
            </w:rPr>
          </w:pPr>
          <w:r w:rsidRPr="10D44305">
            <w:rPr>
              <w:rFonts w:ascii="Times New Roman" w:eastAsia="Times New Roman" w:hAnsi="Times New Roman"/>
              <w:b/>
              <w:bCs/>
              <w:sz w:val="24"/>
              <w:szCs w:val="24"/>
              <w:lang w:val="es"/>
            </w:rPr>
            <w:t>RED FÉRREA DEL ATLÁNTICO</w:t>
          </w:r>
        </w:p>
        <w:p w14:paraId="113CA514" w14:textId="05AD6D95" w:rsidR="007F0A8D" w:rsidRDefault="26D31430" w:rsidP="10D44305">
          <w:pPr>
            <w:spacing w:after="0" w:line="240" w:lineRule="auto"/>
            <w:ind w:left="-20" w:right="-20"/>
            <w:jc w:val="both"/>
            <w:rPr>
              <w:rFonts w:ascii="Times New Roman" w:eastAsia="Times New Roman" w:hAnsi="Times New Roman"/>
              <w:b/>
              <w:bCs/>
              <w:sz w:val="24"/>
              <w:szCs w:val="24"/>
            </w:rPr>
          </w:pPr>
          <w:r w:rsidRPr="10D44305">
            <w:rPr>
              <w:rFonts w:ascii="Times New Roman" w:eastAsia="Times New Roman" w:hAnsi="Times New Roman"/>
              <w:b/>
              <w:bCs/>
              <w:sz w:val="24"/>
              <w:szCs w:val="24"/>
            </w:rPr>
            <w:t>a. Descripción del acuerdo</w:t>
          </w:r>
        </w:p>
        <w:p w14:paraId="1A8F157B" w14:textId="2D66E846" w:rsidR="007F0A8D" w:rsidRDefault="26D31430" w:rsidP="10D44305">
          <w:pPr>
            <w:spacing w:after="0" w:line="257" w:lineRule="auto"/>
            <w:ind w:left="-20" w:right="-20"/>
            <w:jc w:val="both"/>
            <w:rPr>
              <w:rFonts w:ascii="Times New Roman" w:eastAsia="Times New Roman" w:hAnsi="Times New Roman"/>
              <w:sz w:val="24"/>
              <w:szCs w:val="24"/>
            </w:rPr>
          </w:pPr>
          <w:r w:rsidRPr="10D44305">
            <w:rPr>
              <w:rFonts w:ascii="Times New Roman" w:eastAsia="Times New Roman" w:hAnsi="Times New Roman"/>
              <w:b/>
              <w:bCs/>
              <w:sz w:val="24"/>
              <w:szCs w:val="24"/>
            </w:rPr>
            <w:t>Número del acuerdo de concesión:</w:t>
          </w:r>
          <w:r w:rsidRPr="10D44305">
            <w:rPr>
              <w:rFonts w:ascii="Times New Roman" w:eastAsia="Times New Roman" w:hAnsi="Times New Roman"/>
              <w:sz w:val="24"/>
              <w:szCs w:val="24"/>
            </w:rPr>
            <w:t xml:space="preserve"> O ATLA 00-99</w:t>
          </w:r>
        </w:p>
        <w:p w14:paraId="1EADA33F" w14:textId="79684169" w:rsidR="007F0A8D" w:rsidRDefault="26D31430" w:rsidP="10D44305">
          <w:pPr>
            <w:spacing w:after="0" w:line="257" w:lineRule="auto"/>
            <w:ind w:left="-20" w:right="-20"/>
            <w:jc w:val="both"/>
            <w:rPr>
              <w:rFonts w:ascii="Times New Roman" w:eastAsia="Times New Roman" w:hAnsi="Times New Roman"/>
              <w:sz w:val="24"/>
              <w:szCs w:val="24"/>
            </w:rPr>
          </w:pPr>
          <w:r w:rsidRPr="10D44305">
            <w:rPr>
              <w:rFonts w:ascii="Times New Roman" w:eastAsia="Times New Roman" w:hAnsi="Times New Roman"/>
              <w:b/>
              <w:bCs/>
              <w:sz w:val="24"/>
              <w:szCs w:val="24"/>
            </w:rPr>
            <w:t>Objeto / Descripción:</w:t>
          </w:r>
          <w:r w:rsidRPr="10D44305">
            <w:rPr>
              <w:rFonts w:ascii="Times New Roman" w:eastAsia="Times New Roman" w:hAnsi="Times New Roman"/>
              <w:sz w:val="24"/>
              <w:szCs w:val="24"/>
            </w:rPr>
            <w:t xml:space="preserve"> Otorgar en Concesión para su Construcción, Rehabilitación-Reconstrucción, Conservación, Operación y Explotación, La infraestructura de Transporte Férreo de la Red del Atlántico, para la prestación de Transporte Ferroviario de carga, </w:t>
          </w:r>
          <w:r w:rsidRPr="10D44305">
            <w:rPr>
              <w:rFonts w:ascii="Times New Roman" w:eastAsia="Times New Roman" w:hAnsi="Times New Roman"/>
              <w:sz w:val="24"/>
              <w:szCs w:val="24"/>
            </w:rPr>
            <w:lastRenderedPageBreak/>
            <w:t>Infraestructura que está conformada por los siguientes tramos: Chiriguaná (PK724)-Ciénaga (PK934), Ciénaga(PK934)-Santa Marta(PK969), Bogotá(KM5)-Belencito(PK262), La Caro(PK34)-Lenguazaque(PK110), Bogotá(KM5)-Dorada(PK200), Dorada(PK200)-Barrancabermeja(PK444), Barrancabermeja(PK444)-Chiriguaná(PK724)  Y Puerto Berrio(PK333)-Medellín(Bello)(PK509), Incluyendo los bienes inmuebles, los bienes muebles y el material rodante Consignados en los anexos del Pliego de condiciones que dio origen al presente contrato. La presente concesión de infraestructura conlleva también la concesión de las obras de conservación respecto de los tramos mencionados, en los términos previstos en el artículo 30 de la Ley 105 de 1993.</w:t>
          </w:r>
        </w:p>
        <w:p w14:paraId="04AACED4" w14:textId="68977EB0" w:rsidR="007F0A8D" w:rsidRDefault="26D31430" w:rsidP="10D44305">
          <w:pPr>
            <w:spacing w:after="0" w:line="257" w:lineRule="auto"/>
            <w:ind w:left="-20" w:right="-20"/>
            <w:jc w:val="both"/>
            <w:rPr>
              <w:rFonts w:ascii="Times New Roman" w:eastAsia="Times New Roman" w:hAnsi="Times New Roman"/>
              <w:sz w:val="24"/>
              <w:szCs w:val="24"/>
            </w:rPr>
          </w:pPr>
          <w:r w:rsidRPr="10D44305">
            <w:rPr>
              <w:rFonts w:ascii="Times New Roman" w:eastAsia="Times New Roman" w:hAnsi="Times New Roman"/>
              <w:b/>
              <w:bCs/>
              <w:sz w:val="24"/>
              <w:szCs w:val="24"/>
            </w:rPr>
            <w:t>Valor inicial</w:t>
          </w:r>
          <w:r w:rsidRPr="10D44305">
            <w:rPr>
              <w:rFonts w:ascii="Times New Roman" w:eastAsia="Times New Roman" w:hAnsi="Times New Roman"/>
              <w:sz w:val="24"/>
              <w:szCs w:val="24"/>
            </w:rPr>
            <w:t>: Indeterminado (Clausula 149)</w:t>
          </w:r>
        </w:p>
        <w:p w14:paraId="2CA3C9DC" w14:textId="580B0E05" w:rsidR="007F0A8D" w:rsidRDefault="26D31430" w:rsidP="10D44305">
          <w:pPr>
            <w:spacing w:after="0" w:line="257" w:lineRule="auto"/>
            <w:ind w:left="-20" w:right="-20"/>
            <w:jc w:val="both"/>
            <w:rPr>
              <w:rFonts w:ascii="Times New Roman" w:eastAsia="Times New Roman" w:hAnsi="Times New Roman"/>
              <w:sz w:val="24"/>
              <w:szCs w:val="24"/>
            </w:rPr>
          </w:pPr>
          <w:r w:rsidRPr="10D44305">
            <w:rPr>
              <w:rFonts w:ascii="Times New Roman" w:eastAsia="Times New Roman" w:hAnsi="Times New Roman"/>
              <w:b/>
              <w:bCs/>
              <w:sz w:val="24"/>
              <w:szCs w:val="24"/>
            </w:rPr>
            <w:t>Fecha de inicio:</w:t>
          </w:r>
          <w:r w:rsidRPr="10D44305">
            <w:rPr>
              <w:rFonts w:ascii="Times New Roman" w:eastAsia="Times New Roman" w:hAnsi="Times New Roman"/>
              <w:sz w:val="24"/>
              <w:szCs w:val="24"/>
            </w:rPr>
            <w:t xml:space="preserve"> 03 de marzo de 2000</w:t>
          </w:r>
        </w:p>
        <w:p w14:paraId="0B6868B7" w14:textId="3BC7C5CF" w:rsidR="007F0A8D" w:rsidRDefault="26D31430" w:rsidP="10D44305">
          <w:pPr>
            <w:spacing w:after="0" w:line="257" w:lineRule="auto"/>
            <w:ind w:left="-20" w:right="-20"/>
            <w:jc w:val="both"/>
            <w:rPr>
              <w:rFonts w:ascii="Times New Roman" w:eastAsia="Times New Roman" w:hAnsi="Times New Roman"/>
              <w:sz w:val="24"/>
              <w:szCs w:val="24"/>
            </w:rPr>
          </w:pPr>
          <w:r w:rsidRPr="10D44305">
            <w:rPr>
              <w:rFonts w:ascii="Times New Roman" w:eastAsia="Times New Roman" w:hAnsi="Times New Roman"/>
              <w:b/>
              <w:bCs/>
              <w:sz w:val="24"/>
              <w:szCs w:val="24"/>
            </w:rPr>
            <w:t>Fecha de finalización estimada:</w:t>
          </w:r>
          <w:r w:rsidRPr="10D44305">
            <w:rPr>
              <w:rFonts w:ascii="Times New Roman" w:eastAsia="Times New Roman" w:hAnsi="Times New Roman"/>
              <w:sz w:val="24"/>
              <w:szCs w:val="24"/>
            </w:rPr>
            <w:t xml:space="preserve"> 03 de marzo de 2030</w:t>
          </w:r>
        </w:p>
        <w:p w14:paraId="300D6876" w14:textId="074BC4CC" w:rsidR="007F0A8D" w:rsidRDefault="26D31430" w:rsidP="10D44305">
          <w:pPr>
            <w:spacing w:after="0" w:line="257" w:lineRule="auto"/>
            <w:ind w:left="-20" w:right="-20"/>
            <w:jc w:val="both"/>
            <w:rPr>
              <w:rFonts w:ascii="Times New Roman" w:eastAsia="Times New Roman" w:hAnsi="Times New Roman"/>
              <w:sz w:val="24"/>
              <w:szCs w:val="24"/>
            </w:rPr>
          </w:pPr>
          <w:r w:rsidRPr="10D44305">
            <w:rPr>
              <w:rFonts w:ascii="Times New Roman" w:eastAsia="Times New Roman" w:hAnsi="Times New Roman"/>
              <w:b/>
              <w:bCs/>
              <w:sz w:val="24"/>
              <w:szCs w:val="24"/>
            </w:rPr>
            <w:t>Tipo ID:</w:t>
          </w:r>
          <w:r w:rsidRPr="10D44305">
            <w:rPr>
              <w:rFonts w:ascii="Times New Roman" w:eastAsia="Times New Roman" w:hAnsi="Times New Roman"/>
              <w:sz w:val="24"/>
              <w:szCs w:val="24"/>
            </w:rPr>
            <w:t xml:space="preserve"> NIT</w:t>
          </w:r>
        </w:p>
        <w:p w14:paraId="5F4DE12C" w14:textId="3CA91A3B" w:rsidR="007F0A8D" w:rsidRDefault="26D31430" w:rsidP="10D44305">
          <w:pPr>
            <w:spacing w:after="0" w:afterAutospacing="1" w:line="257" w:lineRule="auto"/>
            <w:ind w:left="-20" w:right="-20"/>
            <w:jc w:val="both"/>
            <w:rPr>
              <w:rFonts w:ascii="Times New Roman" w:eastAsia="Times New Roman" w:hAnsi="Times New Roman"/>
              <w:sz w:val="24"/>
              <w:szCs w:val="24"/>
            </w:rPr>
          </w:pPr>
          <w:r w:rsidRPr="10D44305">
            <w:rPr>
              <w:rFonts w:ascii="Times New Roman" w:eastAsia="Times New Roman" w:hAnsi="Times New Roman"/>
              <w:b/>
              <w:bCs/>
              <w:sz w:val="24"/>
              <w:szCs w:val="24"/>
            </w:rPr>
            <w:t xml:space="preserve">Número ID: </w:t>
          </w:r>
          <w:r w:rsidRPr="10D44305">
            <w:rPr>
              <w:rFonts w:ascii="Times New Roman" w:eastAsia="Times New Roman" w:hAnsi="Times New Roman"/>
              <w:sz w:val="24"/>
              <w:szCs w:val="24"/>
            </w:rPr>
            <w:t>830061724-6</w:t>
          </w:r>
        </w:p>
        <w:p w14:paraId="3D90420C" w14:textId="132748B9" w:rsidR="007F0A8D" w:rsidRDefault="26D31430" w:rsidP="10D44305">
          <w:pPr>
            <w:spacing w:afterAutospacing="1" w:line="257" w:lineRule="auto"/>
            <w:ind w:left="-20" w:right="-20"/>
            <w:jc w:val="both"/>
            <w:rPr>
              <w:rFonts w:ascii="Times New Roman" w:eastAsia="Times New Roman" w:hAnsi="Times New Roman"/>
              <w:sz w:val="24"/>
              <w:szCs w:val="24"/>
            </w:rPr>
          </w:pPr>
          <w:r w:rsidRPr="10D44305">
            <w:rPr>
              <w:rFonts w:ascii="Times New Roman" w:eastAsia="Times New Roman" w:hAnsi="Times New Roman"/>
              <w:b/>
              <w:bCs/>
              <w:sz w:val="24"/>
              <w:szCs w:val="24"/>
            </w:rPr>
            <w:t>Razón social del concesionario:</w:t>
          </w:r>
          <w:r w:rsidRPr="10D44305">
            <w:rPr>
              <w:rFonts w:ascii="Times New Roman" w:eastAsia="Times New Roman" w:hAnsi="Times New Roman"/>
              <w:sz w:val="24"/>
              <w:szCs w:val="24"/>
            </w:rPr>
            <w:t xml:space="preserve"> Ferrocarriles del Norte de Colombia S.A. –FENOCO S.A</w:t>
          </w:r>
        </w:p>
        <w:p w14:paraId="5744BD44" w14:textId="7E3686A0" w:rsidR="007F0A8D" w:rsidRDefault="26D31430" w:rsidP="10D44305">
          <w:pPr>
            <w:spacing w:afterAutospacing="1" w:line="257" w:lineRule="auto"/>
            <w:ind w:left="-20" w:right="-20"/>
            <w:jc w:val="both"/>
            <w:rPr>
              <w:rFonts w:ascii="Times New Roman" w:eastAsia="Times New Roman" w:hAnsi="Times New Roman"/>
              <w:sz w:val="24"/>
              <w:szCs w:val="24"/>
            </w:rPr>
          </w:pPr>
          <w:r w:rsidRPr="10D44305">
            <w:rPr>
              <w:rFonts w:ascii="Times New Roman" w:eastAsia="Times New Roman" w:hAnsi="Times New Roman"/>
              <w:b/>
              <w:bCs/>
              <w:sz w:val="24"/>
              <w:szCs w:val="24"/>
            </w:rPr>
            <w:t>Nombre del proyecto:</w:t>
          </w:r>
          <w:r w:rsidRPr="10D44305">
            <w:rPr>
              <w:rFonts w:ascii="Times New Roman" w:eastAsia="Times New Roman" w:hAnsi="Times New Roman"/>
              <w:sz w:val="24"/>
              <w:szCs w:val="24"/>
            </w:rPr>
            <w:t xml:space="preserve"> Contrato de Concesión No. O-ATLA-00-99 del 09 de septiembre de 1999 Proyecto Red Férrea del Atlántico</w:t>
          </w:r>
        </w:p>
        <w:p w14:paraId="0CB4CA07" w14:textId="036FB5C3" w:rsidR="007F0A8D" w:rsidRDefault="26D31430" w:rsidP="10D44305">
          <w:pPr>
            <w:spacing w:line="257" w:lineRule="auto"/>
            <w:ind w:left="-20" w:right="-20"/>
            <w:jc w:val="both"/>
            <w:rPr>
              <w:rFonts w:ascii="Times New Roman" w:eastAsia="Times New Roman" w:hAnsi="Times New Roman"/>
              <w:b/>
              <w:bCs/>
              <w:sz w:val="24"/>
              <w:szCs w:val="24"/>
            </w:rPr>
          </w:pPr>
          <w:r w:rsidRPr="10D44305">
            <w:rPr>
              <w:rFonts w:ascii="Times New Roman" w:eastAsia="Times New Roman" w:hAnsi="Times New Roman"/>
              <w:b/>
              <w:bCs/>
              <w:sz w:val="24"/>
              <w:szCs w:val="24"/>
            </w:rPr>
            <w:t>b. Términos significativos del acuerdo que puedan afectar su valor, el calendario y la certeza de los flujos</w:t>
          </w:r>
        </w:p>
        <w:p w14:paraId="19A1C032" w14:textId="48327459" w:rsidR="007F0A8D" w:rsidRDefault="26D31430" w:rsidP="10D44305">
          <w:pPr>
            <w:spacing w:line="257" w:lineRule="auto"/>
            <w:ind w:left="-20" w:right="-20"/>
            <w:jc w:val="both"/>
            <w:rPr>
              <w:rFonts w:ascii="Times New Roman" w:eastAsia="Times New Roman" w:hAnsi="Times New Roman"/>
              <w:b/>
              <w:bCs/>
              <w:sz w:val="24"/>
              <w:szCs w:val="24"/>
            </w:rPr>
          </w:pPr>
          <w:r w:rsidRPr="10D44305">
            <w:rPr>
              <w:rFonts w:ascii="Times New Roman" w:eastAsia="Times New Roman" w:hAnsi="Times New Roman"/>
              <w:b/>
              <w:bCs/>
              <w:sz w:val="24"/>
              <w:szCs w:val="24"/>
            </w:rPr>
            <w:t>Términos de valor:</w:t>
          </w:r>
        </w:p>
        <w:p w14:paraId="3F537AA2" w14:textId="07B47DB7" w:rsidR="007F0A8D" w:rsidRDefault="26D31430" w:rsidP="10D44305">
          <w:pPr>
            <w:spacing w:line="257" w:lineRule="auto"/>
            <w:ind w:left="-20" w:right="-20"/>
            <w:jc w:val="both"/>
            <w:rPr>
              <w:rFonts w:ascii="Times New Roman" w:eastAsia="Times New Roman" w:hAnsi="Times New Roman"/>
              <w:sz w:val="24"/>
              <w:szCs w:val="24"/>
              <w:lang w:val="es"/>
            </w:rPr>
          </w:pPr>
          <w:r w:rsidRPr="10D44305">
            <w:rPr>
              <w:rFonts w:ascii="Times New Roman" w:eastAsia="Times New Roman" w:hAnsi="Times New Roman"/>
              <w:sz w:val="24"/>
              <w:szCs w:val="24"/>
              <w:lang w:val="es"/>
            </w:rPr>
            <w:t>La Cláusula 27 del Contrato contempló inicialmente la financiación del proyecto de la siguiente manera:</w:t>
          </w:r>
        </w:p>
        <w:p w14:paraId="0D09833C" w14:textId="50A1BA69" w:rsidR="007F0A8D" w:rsidRDefault="26D31430" w:rsidP="10D44305">
          <w:pPr>
            <w:spacing w:line="257" w:lineRule="auto"/>
            <w:ind w:left="-20" w:right="-20"/>
            <w:jc w:val="both"/>
            <w:rPr>
              <w:rFonts w:ascii="Times New Roman" w:eastAsia="Times New Roman" w:hAnsi="Times New Roman"/>
              <w:sz w:val="24"/>
              <w:szCs w:val="24"/>
              <w:lang w:val="es"/>
            </w:rPr>
          </w:pPr>
          <w:r w:rsidRPr="10D44305">
            <w:rPr>
              <w:rFonts w:ascii="Times New Roman" w:eastAsia="Times New Roman" w:hAnsi="Times New Roman"/>
              <w:sz w:val="24"/>
              <w:szCs w:val="24"/>
              <w:lang w:val="es"/>
            </w:rPr>
            <w:t>Aportes del Contratante por las sumas a continuación:</w:t>
          </w:r>
        </w:p>
        <w:p w14:paraId="16A03192" w14:textId="62065915" w:rsidR="007F0A8D" w:rsidRDefault="26D31430" w:rsidP="10D44305">
          <w:pPr>
            <w:spacing w:line="257" w:lineRule="auto"/>
            <w:ind w:left="-20" w:right="-20"/>
            <w:jc w:val="both"/>
            <w:rPr>
              <w:rFonts w:ascii="Times New Roman" w:eastAsia="Times New Roman" w:hAnsi="Times New Roman"/>
              <w:sz w:val="24"/>
              <w:szCs w:val="24"/>
              <w:lang w:val="es"/>
            </w:rPr>
          </w:pPr>
          <w:r w:rsidRPr="10D44305">
            <w:rPr>
              <w:rFonts w:ascii="Times New Roman" w:eastAsia="Times New Roman" w:hAnsi="Times New Roman"/>
              <w:sz w:val="24"/>
              <w:szCs w:val="24"/>
              <w:lang w:val="es"/>
            </w:rPr>
            <w:t>Aportes del contratante por 80 millones de dólares americanos entre marzo de 2000 y abril de 2003.</w:t>
          </w:r>
        </w:p>
        <w:p w14:paraId="0D1E3955" w14:textId="534E3553" w:rsidR="007F0A8D" w:rsidRDefault="26D31430" w:rsidP="10D44305">
          <w:pPr>
            <w:spacing w:line="257" w:lineRule="auto"/>
            <w:ind w:left="-20" w:right="-20"/>
            <w:jc w:val="both"/>
            <w:rPr>
              <w:rFonts w:ascii="Times New Roman" w:eastAsia="Times New Roman" w:hAnsi="Times New Roman"/>
              <w:sz w:val="24"/>
              <w:szCs w:val="24"/>
              <w:lang w:val="es"/>
            </w:rPr>
          </w:pPr>
          <w:r w:rsidRPr="10D44305">
            <w:rPr>
              <w:rFonts w:ascii="Times New Roman" w:eastAsia="Times New Roman" w:hAnsi="Times New Roman"/>
              <w:sz w:val="24"/>
              <w:szCs w:val="24"/>
              <w:lang w:val="es"/>
            </w:rPr>
            <w:t>Aportes del Concesionario por la suma de cuarenta y dos millones de dólares (USD 42.000.000) el día 30 de abril del año 2003, con las mismas condiciones que los pagos indicados anteriormente.</w:t>
          </w:r>
        </w:p>
        <w:p w14:paraId="6514867F" w14:textId="6999BBC8" w:rsidR="007F0A8D" w:rsidRDefault="26D31430" w:rsidP="10D44305">
          <w:pPr>
            <w:spacing w:line="257" w:lineRule="auto"/>
            <w:ind w:left="-20" w:right="-20"/>
            <w:jc w:val="both"/>
            <w:rPr>
              <w:rFonts w:ascii="Times New Roman" w:eastAsia="Times New Roman" w:hAnsi="Times New Roman"/>
              <w:sz w:val="24"/>
              <w:szCs w:val="24"/>
              <w:lang w:val="es"/>
            </w:rPr>
          </w:pPr>
          <w:r w:rsidRPr="10D44305">
            <w:rPr>
              <w:rFonts w:ascii="Times New Roman" w:eastAsia="Times New Roman" w:hAnsi="Times New Roman"/>
              <w:sz w:val="24"/>
              <w:szCs w:val="24"/>
              <w:lang w:val="es"/>
            </w:rPr>
            <w:t xml:space="preserve">Así mismo, la Cláusula 27 estableció la obligación del Contratante (FERROVIAS/INCO en su momento) de transferir al Concesionario los ingresos derivados del contrato celebrado por FERROVIAS y Drummond Ltd., cuya destinación era la conservación de la infraestructura y superestructura de vía e instalaciones ferroviarias del proyecto y la rehabilitación de la red férrea. </w:t>
          </w:r>
        </w:p>
        <w:p w14:paraId="489E8B9C" w14:textId="06D3DEB1" w:rsidR="007F0A8D" w:rsidRDefault="26D31430" w:rsidP="10D44305">
          <w:pPr>
            <w:spacing w:line="257" w:lineRule="auto"/>
            <w:ind w:left="-20" w:right="-20"/>
            <w:jc w:val="both"/>
            <w:rPr>
              <w:rFonts w:ascii="Times New Roman" w:eastAsia="Times New Roman" w:hAnsi="Times New Roman"/>
              <w:sz w:val="24"/>
              <w:szCs w:val="24"/>
              <w:lang w:val="es"/>
            </w:rPr>
          </w:pPr>
          <w:r w:rsidRPr="10D44305">
            <w:rPr>
              <w:rFonts w:ascii="Times New Roman" w:eastAsia="Times New Roman" w:hAnsi="Times New Roman"/>
              <w:sz w:val="24"/>
              <w:szCs w:val="24"/>
              <w:lang w:val="es"/>
            </w:rPr>
            <w:t xml:space="preserve">Respecto a los ingresos por transporte de carbón, el numeral 27.3 contempló el pago del 10% de los ingresos por peajes o uso de vía a favor de la entidad contratante, hasta el vencimiento de cualquier contrato suscrito por el Concesionario. </w:t>
          </w:r>
        </w:p>
        <w:p w14:paraId="119E2EC5" w14:textId="7459CC56" w:rsidR="007F0A8D" w:rsidRDefault="26D31430" w:rsidP="10D44305">
          <w:pPr>
            <w:spacing w:line="257" w:lineRule="auto"/>
            <w:ind w:left="-20" w:right="-20"/>
            <w:jc w:val="both"/>
            <w:rPr>
              <w:rFonts w:ascii="Times New Roman" w:eastAsia="Times New Roman" w:hAnsi="Times New Roman"/>
              <w:sz w:val="24"/>
              <w:szCs w:val="24"/>
              <w:lang w:val="es"/>
            </w:rPr>
          </w:pPr>
          <w:r w:rsidRPr="10D44305">
            <w:rPr>
              <w:rFonts w:ascii="Times New Roman" w:eastAsia="Times New Roman" w:hAnsi="Times New Roman"/>
              <w:sz w:val="24"/>
              <w:szCs w:val="24"/>
              <w:lang w:val="es"/>
            </w:rPr>
            <w:lastRenderedPageBreak/>
            <w:t>MODIFICACIONES OTROSÍ 12 DEL 28 DE MARZO DE 2006</w:t>
          </w:r>
        </w:p>
        <w:p w14:paraId="41E0F754" w14:textId="0CB62074" w:rsidR="007F0A8D" w:rsidRDefault="26D31430" w:rsidP="10D44305">
          <w:pPr>
            <w:spacing w:line="257" w:lineRule="auto"/>
            <w:ind w:left="-20" w:right="-20"/>
            <w:jc w:val="both"/>
            <w:rPr>
              <w:rFonts w:ascii="Times New Roman" w:eastAsia="Times New Roman" w:hAnsi="Times New Roman"/>
              <w:sz w:val="24"/>
              <w:szCs w:val="24"/>
              <w:lang w:val="es"/>
            </w:rPr>
          </w:pPr>
          <w:r w:rsidRPr="10D44305">
            <w:rPr>
              <w:rFonts w:ascii="Times New Roman" w:eastAsia="Times New Roman" w:hAnsi="Times New Roman"/>
              <w:sz w:val="24"/>
              <w:szCs w:val="24"/>
              <w:lang w:val="es"/>
            </w:rPr>
            <w:t>Mediante Otrosí No. 12 se realiza modificación del alcance físico del objeto del Contrato de Concesión, contenido en su Cláusula 1, que incluye la construcción de las obras necesarias y suficientes para la ampliación de la capacidad de la vía existente y la construcción de la segunda vía paralela a la actualmente existente.</w:t>
          </w:r>
        </w:p>
        <w:p w14:paraId="5F6A9E85" w14:textId="444A4214" w:rsidR="007F0A8D" w:rsidRDefault="26D31430" w:rsidP="10D44305">
          <w:pPr>
            <w:spacing w:line="257" w:lineRule="auto"/>
            <w:ind w:left="-20" w:right="-20"/>
            <w:jc w:val="both"/>
            <w:rPr>
              <w:rFonts w:ascii="Times New Roman" w:eastAsia="Times New Roman" w:hAnsi="Times New Roman"/>
              <w:sz w:val="24"/>
              <w:szCs w:val="24"/>
              <w:lang w:val="es"/>
            </w:rPr>
          </w:pPr>
          <w:r w:rsidRPr="10D44305">
            <w:rPr>
              <w:rFonts w:ascii="Times New Roman" w:eastAsia="Times New Roman" w:hAnsi="Times New Roman"/>
              <w:sz w:val="24"/>
              <w:szCs w:val="24"/>
              <w:lang w:val="es"/>
            </w:rPr>
            <w:t>De igual forma, en lo que concierne al área financiera, se modificó la Cláusula 3 del Contrato de Concesión, respecto a la remuneración de la Concesión, de la cual se exponen los siguientes términos:</w:t>
          </w:r>
        </w:p>
        <w:p w14:paraId="727896A3" w14:textId="044BCB29" w:rsidR="007F0A8D" w:rsidRDefault="26D31430" w:rsidP="10D44305">
          <w:pPr>
            <w:spacing w:line="257" w:lineRule="auto"/>
            <w:ind w:left="-20" w:right="-20"/>
            <w:jc w:val="both"/>
            <w:rPr>
              <w:rFonts w:ascii="Times New Roman" w:eastAsia="Times New Roman" w:hAnsi="Times New Roman"/>
              <w:sz w:val="24"/>
              <w:szCs w:val="24"/>
              <w:lang w:val="es"/>
            </w:rPr>
          </w:pPr>
          <w:r w:rsidRPr="10D44305">
            <w:rPr>
              <w:rFonts w:ascii="Times New Roman" w:eastAsia="Times New Roman" w:hAnsi="Times New Roman"/>
              <w:sz w:val="24"/>
              <w:szCs w:val="24"/>
              <w:lang w:val="es"/>
            </w:rPr>
            <w:t xml:space="preserve">“CLÁUSULA 3. REMUNERACIÓN DE LA CONCESIÓN </w:t>
          </w:r>
        </w:p>
        <w:p w14:paraId="1A17652F" w14:textId="7B15D50B" w:rsidR="007F0A8D" w:rsidRDefault="26D31430" w:rsidP="10D44305">
          <w:pPr>
            <w:spacing w:line="257" w:lineRule="auto"/>
            <w:ind w:left="-20" w:right="-20"/>
            <w:jc w:val="both"/>
            <w:rPr>
              <w:rFonts w:ascii="Times New Roman" w:eastAsia="Times New Roman" w:hAnsi="Times New Roman"/>
              <w:sz w:val="24"/>
              <w:szCs w:val="24"/>
              <w:lang w:val="es"/>
            </w:rPr>
          </w:pPr>
          <w:r w:rsidRPr="10D44305">
            <w:rPr>
              <w:rFonts w:ascii="Times New Roman" w:eastAsia="Times New Roman" w:hAnsi="Times New Roman"/>
              <w:sz w:val="24"/>
              <w:szCs w:val="24"/>
              <w:lang w:val="es"/>
            </w:rPr>
            <w:t xml:space="preserve"> La remuneración del CONCESIONARIO por la concesión será: </w:t>
          </w:r>
        </w:p>
        <w:p w14:paraId="557233D2" w14:textId="396EE286" w:rsidR="007F0A8D" w:rsidRDefault="26D31430" w:rsidP="10D44305">
          <w:pPr>
            <w:spacing w:line="257" w:lineRule="auto"/>
            <w:ind w:left="-20" w:right="-20"/>
            <w:jc w:val="both"/>
            <w:rPr>
              <w:rFonts w:ascii="Times New Roman" w:eastAsia="Times New Roman" w:hAnsi="Times New Roman"/>
              <w:sz w:val="24"/>
              <w:szCs w:val="24"/>
              <w:lang w:val="es"/>
            </w:rPr>
          </w:pPr>
          <w:r w:rsidRPr="10D44305">
            <w:rPr>
              <w:rFonts w:ascii="Times New Roman" w:eastAsia="Times New Roman" w:hAnsi="Times New Roman"/>
              <w:sz w:val="24"/>
              <w:szCs w:val="24"/>
              <w:lang w:val="es"/>
            </w:rPr>
            <w:t>3.1. Los recursos derivados de la cesión del recaudo de la tarifa, en los términos establecidos por el Ministerio de Transporte en su resolución de fijación de tarifas y otros aspectos para el tramo Chiriguaná (PK 724) – Ciénaga (PK 934), y Ciénaga (PK 934) – Santa Marta (PK 969).</w:t>
          </w:r>
        </w:p>
        <w:p w14:paraId="51634022" w14:textId="0A7639DC" w:rsidR="007F0A8D" w:rsidRDefault="26D31430" w:rsidP="10D44305">
          <w:pPr>
            <w:spacing w:line="257" w:lineRule="auto"/>
            <w:ind w:left="-20" w:right="-20"/>
            <w:jc w:val="both"/>
            <w:rPr>
              <w:rFonts w:ascii="Times New Roman" w:eastAsia="Times New Roman" w:hAnsi="Times New Roman"/>
              <w:sz w:val="24"/>
              <w:szCs w:val="24"/>
              <w:lang w:val="es"/>
            </w:rPr>
          </w:pPr>
          <w:r w:rsidRPr="10D44305">
            <w:rPr>
              <w:rFonts w:ascii="Times New Roman" w:eastAsia="Times New Roman" w:hAnsi="Times New Roman"/>
              <w:sz w:val="24"/>
              <w:szCs w:val="24"/>
              <w:lang w:val="es"/>
            </w:rPr>
            <w:t xml:space="preserve">3.2. Los recursos derivados del recaudo de los derechos de ingreso durante el año 2006. </w:t>
          </w:r>
        </w:p>
        <w:p w14:paraId="5C33A4CC" w14:textId="2A4780E0" w:rsidR="007F0A8D" w:rsidRDefault="26D31430" w:rsidP="10D44305">
          <w:pPr>
            <w:spacing w:line="257" w:lineRule="auto"/>
            <w:ind w:left="-20" w:right="-20"/>
            <w:jc w:val="both"/>
            <w:rPr>
              <w:rFonts w:ascii="Times New Roman" w:eastAsia="Times New Roman" w:hAnsi="Times New Roman"/>
              <w:sz w:val="24"/>
              <w:szCs w:val="24"/>
              <w:lang w:val="es"/>
            </w:rPr>
          </w:pPr>
          <w:r w:rsidRPr="10D44305">
            <w:rPr>
              <w:rFonts w:ascii="Times New Roman" w:eastAsia="Times New Roman" w:hAnsi="Times New Roman"/>
              <w:sz w:val="24"/>
              <w:szCs w:val="24"/>
              <w:lang w:val="es"/>
            </w:rPr>
            <w:t xml:space="preserve">3.3. La totalidad de los recursos que EL CONCESIONARIO obtenga como producto de la explotación comercial de la infraestructura recibida en concesión, incluyendo las sumas que en virtud del presente contrato, cancelen terceros diferentes a EL CONCESIONARIO por el servicio de trasporte de carga prestado por EL CONCESIONARIO en la infraestructura concesionada. </w:t>
          </w:r>
        </w:p>
        <w:p w14:paraId="220F4662" w14:textId="1EF34CFA" w:rsidR="007F0A8D" w:rsidRDefault="26D31430" w:rsidP="10D44305">
          <w:pPr>
            <w:spacing w:line="257" w:lineRule="auto"/>
            <w:ind w:left="-20" w:right="-20"/>
            <w:jc w:val="both"/>
            <w:rPr>
              <w:rFonts w:ascii="Times New Roman" w:eastAsia="Times New Roman" w:hAnsi="Times New Roman"/>
              <w:sz w:val="24"/>
              <w:szCs w:val="24"/>
              <w:lang w:val="es"/>
            </w:rPr>
          </w:pPr>
          <w:r w:rsidRPr="10D44305">
            <w:rPr>
              <w:rFonts w:ascii="Times New Roman" w:eastAsia="Times New Roman" w:hAnsi="Times New Roman"/>
              <w:sz w:val="24"/>
              <w:szCs w:val="24"/>
              <w:lang w:val="es"/>
            </w:rPr>
            <w:t>3.4 Los ingresos derivados de la explotación del Contrato Operacional de Drummond Ltd.</w:t>
          </w:r>
        </w:p>
        <w:p w14:paraId="5929C22A" w14:textId="05A43AED" w:rsidR="007F0A8D" w:rsidRDefault="26D31430" w:rsidP="10D44305">
          <w:pPr>
            <w:spacing w:line="257" w:lineRule="auto"/>
            <w:ind w:left="-20" w:right="-20"/>
            <w:jc w:val="both"/>
            <w:rPr>
              <w:rFonts w:ascii="Times New Roman" w:eastAsia="Times New Roman" w:hAnsi="Times New Roman"/>
              <w:sz w:val="24"/>
              <w:szCs w:val="24"/>
              <w:lang w:val="es"/>
            </w:rPr>
          </w:pPr>
          <w:r w:rsidRPr="10D44305">
            <w:rPr>
              <w:rFonts w:ascii="Times New Roman" w:eastAsia="Times New Roman" w:hAnsi="Times New Roman"/>
              <w:sz w:val="24"/>
              <w:szCs w:val="24"/>
              <w:lang w:val="es"/>
            </w:rPr>
            <w:t>Los ingresos percibidos como remuneración serán considerados para todos los efectos como ingresos propios del Concesionario afectos en primer lugar al cumplimiento de las obligaciones del contrato de concesión.</w:t>
          </w:r>
        </w:p>
        <w:p w14:paraId="443D01E5" w14:textId="41805546" w:rsidR="007F0A8D" w:rsidRDefault="26D31430" w:rsidP="10D44305">
          <w:pPr>
            <w:spacing w:line="257" w:lineRule="auto"/>
            <w:ind w:left="-20" w:right="-20"/>
            <w:jc w:val="both"/>
            <w:rPr>
              <w:rFonts w:ascii="Times New Roman" w:eastAsia="Times New Roman" w:hAnsi="Times New Roman"/>
              <w:sz w:val="24"/>
              <w:szCs w:val="24"/>
              <w:lang w:val="es"/>
            </w:rPr>
          </w:pPr>
          <w:r w:rsidRPr="10D44305">
            <w:rPr>
              <w:rFonts w:ascii="Times New Roman" w:eastAsia="Times New Roman" w:hAnsi="Times New Roman"/>
              <w:sz w:val="24"/>
              <w:szCs w:val="24"/>
              <w:lang w:val="es"/>
            </w:rPr>
            <w:t>De los recursos antes citados, CONCESIONARIO girará al INCO, quincenalmente y con fundamento en la certificación que al respecto emitida el revisor fiscal de la entidad fiduciaria onde se establezca el fideicomiso de administración y pagos:</w:t>
          </w:r>
        </w:p>
        <w:p w14:paraId="4E9E65F8" w14:textId="7726E525" w:rsidR="007F0A8D" w:rsidRDefault="26D31430" w:rsidP="10D44305">
          <w:pPr>
            <w:spacing w:line="257" w:lineRule="auto"/>
            <w:ind w:left="-20" w:right="-20"/>
            <w:jc w:val="both"/>
            <w:rPr>
              <w:rFonts w:ascii="Times New Roman" w:eastAsia="Times New Roman" w:hAnsi="Times New Roman"/>
              <w:sz w:val="24"/>
              <w:szCs w:val="24"/>
              <w:lang w:val="es"/>
            </w:rPr>
          </w:pPr>
          <w:r w:rsidRPr="10D44305">
            <w:rPr>
              <w:rFonts w:ascii="Times New Roman" w:eastAsia="Times New Roman" w:hAnsi="Times New Roman"/>
              <w:sz w:val="24"/>
              <w:szCs w:val="24"/>
              <w:lang w:val="es"/>
            </w:rPr>
            <w:t>La suma de USD$0,22 (veintidós centavos de dólar por cada tonelada de carga transportada</w:t>
          </w:r>
          <w:r w:rsidR="006763A2">
            <w:rPr>
              <w:rFonts w:ascii="Times New Roman" w:eastAsia="Times New Roman" w:hAnsi="Times New Roman"/>
              <w:sz w:val="24"/>
              <w:szCs w:val="24"/>
              <w:lang w:val="es"/>
            </w:rPr>
            <w:t>)</w:t>
          </w:r>
          <w:r w:rsidRPr="10D44305">
            <w:rPr>
              <w:rFonts w:ascii="Times New Roman" w:eastAsia="Times New Roman" w:hAnsi="Times New Roman"/>
              <w:sz w:val="24"/>
              <w:szCs w:val="24"/>
              <w:lang w:val="es"/>
            </w:rPr>
            <w:t xml:space="preserve"> durante el Periodo de Transición.</w:t>
          </w:r>
        </w:p>
        <w:p w14:paraId="764B1562" w14:textId="02CAF2D1" w:rsidR="007F0A8D" w:rsidRDefault="26D31430" w:rsidP="10D44305">
          <w:pPr>
            <w:spacing w:line="257" w:lineRule="auto"/>
            <w:ind w:left="-20" w:right="-20"/>
            <w:jc w:val="both"/>
            <w:rPr>
              <w:rFonts w:ascii="Times New Roman" w:eastAsia="Times New Roman" w:hAnsi="Times New Roman"/>
              <w:sz w:val="24"/>
              <w:szCs w:val="24"/>
              <w:lang w:val="es"/>
            </w:rPr>
          </w:pPr>
          <w:r w:rsidRPr="10D44305">
            <w:rPr>
              <w:rFonts w:ascii="Times New Roman" w:eastAsia="Times New Roman" w:hAnsi="Times New Roman"/>
              <w:sz w:val="24"/>
              <w:szCs w:val="24"/>
              <w:lang w:val="es"/>
            </w:rPr>
            <w:t>La suma de USD$1,07 (un dólar y siete centavos de dólar) por cada tonelada de carga transportada una vez finalizado el Periodo de Transición.</w:t>
          </w:r>
        </w:p>
        <w:p w14:paraId="1499F3EE" w14:textId="042A510A" w:rsidR="007F0A8D" w:rsidRDefault="26D31430" w:rsidP="10D44305">
          <w:pPr>
            <w:spacing w:line="257" w:lineRule="auto"/>
            <w:ind w:left="-20" w:right="-20"/>
            <w:jc w:val="both"/>
            <w:rPr>
              <w:rFonts w:ascii="Times New Roman" w:eastAsia="Times New Roman" w:hAnsi="Times New Roman"/>
              <w:sz w:val="24"/>
              <w:szCs w:val="24"/>
              <w:lang w:val="es"/>
            </w:rPr>
          </w:pPr>
          <w:r w:rsidRPr="10D44305">
            <w:rPr>
              <w:rFonts w:ascii="Times New Roman" w:eastAsia="Times New Roman" w:hAnsi="Times New Roman"/>
              <w:sz w:val="24"/>
              <w:szCs w:val="24"/>
              <w:lang w:val="es"/>
            </w:rPr>
            <w:t>Parágrafo 1.- Del recaudo de los derechos de ingreso que se cobren después del año 2006, el Concesionario girará el cincuenta por ciento (50%) al INCO.</w:t>
          </w:r>
        </w:p>
        <w:p w14:paraId="2C32136D" w14:textId="7BD9F0AF" w:rsidR="007F0A8D" w:rsidRDefault="26D31430" w:rsidP="10D44305">
          <w:pPr>
            <w:spacing w:line="257" w:lineRule="auto"/>
            <w:ind w:left="-20" w:right="-20"/>
            <w:jc w:val="both"/>
            <w:rPr>
              <w:rFonts w:ascii="Times New Roman" w:eastAsia="Times New Roman" w:hAnsi="Times New Roman"/>
              <w:sz w:val="24"/>
              <w:szCs w:val="24"/>
              <w:lang w:val="es"/>
            </w:rPr>
          </w:pPr>
          <w:r w:rsidRPr="10D44305">
            <w:rPr>
              <w:rFonts w:ascii="Times New Roman" w:eastAsia="Times New Roman" w:hAnsi="Times New Roman"/>
              <w:sz w:val="24"/>
              <w:szCs w:val="24"/>
              <w:lang w:val="es"/>
            </w:rPr>
            <w:t xml:space="preserve">Parágrafo 2.-  El Concesionario facturará las tarifas a los operadores a los cuales les preste el servicio, detallando el valor de los ingresos exentos de retención que para el caso son los que corresponden al INCO en virtud de lo establecido en el artículo 22 del Estatuto Tributario, con </w:t>
          </w:r>
          <w:r w:rsidRPr="10D44305">
            <w:rPr>
              <w:rFonts w:ascii="Times New Roman" w:eastAsia="Times New Roman" w:hAnsi="Times New Roman"/>
              <w:sz w:val="24"/>
              <w:szCs w:val="24"/>
              <w:lang w:val="es"/>
            </w:rPr>
            <w:lastRenderedPageBreak/>
            <w:t>el fin de que el responsable de efectuar la retención se abstenga de practicarla dado que por la naturaleza del INCO no es sujeto de dicho impuesto.” (Cursiva fuera de texto)</w:t>
          </w:r>
        </w:p>
        <w:p w14:paraId="316A0385" w14:textId="5AB5A3F8" w:rsidR="007F0A8D" w:rsidRDefault="26D31430" w:rsidP="10D44305">
          <w:pPr>
            <w:spacing w:line="257" w:lineRule="auto"/>
            <w:ind w:left="-20" w:right="-20"/>
            <w:jc w:val="both"/>
            <w:rPr>
              <w:rFonts w:ascii="Times New Roman" w:eastAsia="Times New Roman" w:hAnsi="Times New Roman"/>
              <w:sz w:val="24"/>
              <w:szCs w:val="24"/>
              <w:lang w:val="es"/>
            </w:rPr>
          </w:pPr>
          <w:r w:rsidRPr="10D44305">
            <w:rPr>
              <w:rFonts w:ascii="Times New Roman" w:eastAsia="Times New Roman" w:hAnsi="Times New Roman"/>
              <w:sz w:val="24"/>
              <w:szCs w:val="24"/>
              <w:lang w:val="es"/>
            </w:rPr>
            <w:t xml:space="preserve">Según lo expuesto en el numeral 3.1 anterior, la Resolución 1070 de 2006 establece las tarifas contractuales máximas a cobrar por el uso de la vía férrea. Así mismo, el artículo sexto de dicha resolución contempla que las tarifas deberán ajustarse anualmente con base en el cien por ciento (100%) de la variación del Índice de Precios al Productor de los Estados Unidos de América, correspondientes a bienes de capital reportado por la Dirección del Departamento del Trabajo de los Estados Unidos de América. Según esto, para la vigencia 2021 se aplicó una tarifa actualizada de uso de vía de dos dólares con sesenta y tres centavos de dólar (US $2,66) por tonelada métrica transportada y una tarifa actualizada de un dólar con treinta y un centavos de dólar (US $1,33) por tonelada, por concepto de explotación comercial. De igual forma, para la vigencia 2022 se aplican una tarifa actualizada de uso de vía de dos dólares con sesenta y seis centavos de dólar (US $2,84) por tonelada métrica transportada y una tarifa actualizada de un dólar con treinta y tres centavos de dólar (US $1,42) por tonelada, por concepto de explotación comercial.  Para la vigencia 2023 se aplica una tarifa actualizada de uso de vía de tres </w:t>
          </w:r>
          <w:r w:rsidR="00F2599D" w:rsidRPr="10D44305">
            <w:rPr>
              <w:rFonts w:ascii="Times New Roman" w:eastAsia="Times New Roman" w:hAnsi="Times New Roman"/>
              <w:sz w:val="24"/>
              <w:szCs w:val="24"/>
              <w:lang w:val="es"/>
            </w:rPr>
            <w:t>dólares</w:t>
          </w:r>
          <w:r w:rsidRPr="10D44305">
            <w:rPr>
              <w:rFonts w:ascii="Times New Roman" w:eastAsia="Times New Roman" w:hAnsi="Times New Roman"/>
              <w:sz w:val="24"/>
              <w:szCs w:val="24"/>
              <w:lang w:val="es"/>
            </w:rPr>
            <w:t xml:space="preserve"> con siete centavos de dólar (US $3.07) por tonelada métrica transportada y una tarifa actualizada de un dólar con cincuenta y cuatro centavos de dólar (US $1,54) por tonelada, por concepto de explotación comercial.</w:t>
          </w:r>
        </w:p>
        <w:p w14:paraId="7366D646" w14:textId="3468346A" w:rsidR="007F0A8D" w:rsidRDefault="26D31430" w:rsidP="10D44305">
          <w:pPr>
            <w:spacing w:line="257" w:lineRule="auto"/>
            <w:ind w:left="-20" w:right="-20"/>
            <w:jc w:val="both"/>
            <w:rPr>
              <w:rFonts w:ascii="Times New Roman" w:eastAsia="Times New Roman" w:hAnsi="Times New Roman"/>
              <w:sz w:val="24"/>
              <w:szCs w:val="24"/>
              <w:lang w:val="es"/>
            </w:rPr>
          </w:pPr>
          <w:r w:rsidRPr="10D44305">
            <w:rPr>
              <w:rFonts w:ascii="Times New Roman" w:eastAsia="Times New Roman" w:hAnsi="Times New Roman"/>
              <w:sz w:val="24"/>
              <w:szCs w:val="24"/>
              <w:lang w:val="es"/>
            </w:rPr>
            <w:t>Ahora bien, es importante mencionar que el Otrosí No. 12 también modificó la Cláusula 27 del Contrato de Concesión, correspondiente a las fuentes de financiación del proyecto, de la siguiente manera:</w:t>
          </w:r>
        </w:p>
        <w:p w14:paraId="644DCAED" w14:textId="3317DC13" w:rsidR="007F0A8D" w:rsidRDefault="26D31430" w:rsidP="10D44305">
          <w:pPr>
            <w:spacing w:line="257" w:lineRule="auto"/>
            <w:ind w:left="-20" w:right="-20"/>
            <w:jc w:val="both"/>
            <w:rPr>
              <w:rFonts w:ascii="Times New Roman" w:eastAsia="Times New Roman" w:hAnsi="Times New Roman"/>
              <w:sz w:val="24"/>
              <w:szCs w:val="24"/>
              <w:lang w:val="es"/>
            </w:rPr>
          </w:pPr>
          <w:r w:rsidRPr="10D44305">
            <w:rPr>
              <w:rFonts w:ascii="Times New Roman" w:eastAsia="Times New Roman" w:hAnsi="Times New Roman"/>
              <w:sz w:val="24"/>
              <w:szCs w:val="24"/>
              <w:lang w:val="es"/>
            </w:rPr>
            <w:t>Las fuentes de financiación del Concesionario, para el cumplimiento de sus obligaciones contractuales son:</w:t>
          </w:r>
        </w:p>
        <w:p w14:paraId="2978ADA6" w14:textId="461E2C55" w:rsidR="007F0A8D" w:rsidRDefault="26D31430" w:rsidP="000C447D">
          <w:pPr>
            <w:spacing w:line="257" w:lineRule="auto"/>
            <w:ind w:left="-20" w:right="-20"/>
            <w:jc w:val="both"/>
            <w:rPr>
              <w:rFonts w:ascii="Times New Roman" w:eastAsia="Times New Roman" w:hAnsi="Times New Roman"/>
              <w:sz w:val="24"/>
              <w:szCs w:val="24"/>
              <w:lang w:val="es"/>
            </w:rPr>
          </w:pPr>
          <w:r w:rsidRPr="10D44305">
            <w:rPr>
              <w:rFonts w:ascii="Times New Roman" w:eastAsia="Times New Roman" w:hAnsi="Times New Roman"/>
              <w:sz w:val="24"/>
              <w:szCs w:val="24"/>
              <w:lang w:val="es"/>
            </w:rPr>
            <w:t>• Recursos derivados del Contrato Operacional Drummond Ltda.</w:t>
          </w:r>
        </w:p>
        <w:p w14:paraId="72DCEA08" w14:textId="7591FB69" w:rsidR="007F0A8D" w:rsidRDefault="26D31430" w:rsidP="000C447D">
          <w:pPr>
            <w:spacing w:line="257" w:lineRule="auto"/>
            <w:ind w:left="-20" w:right="-20"/>
            <w:jc w:val="both"/>
            <w:rPr>
              <w:rFonts w:ascii="Times New Roman" w:eastAsia="Times New Roman" w:hAnsi="Times New Roman"/>
              <w:sz w:val="24"/>
              <w:szCs w:val="24"/>
              <w:lang w:val="es"/>
            </w:rPr>
          </w:pPr>
          <w:r w:rsidRPr="10D44305">
            <w:rPr>
              <w:rFonts w:ascii="Times New Roman" w:eastAsia="Times New Roman" w:hAnsi="Times New Roman"/>
              <w:sz w:val="24"/>
              <w:szCs w:val="24"/>
              <w:lang w:val="es"/>
            </w:rPr>
            <w:t>• Recursos obtenidos por concepto de recaudo de tarifas.</w:t>
          </w:r>
        </w:p>
        <w:p w14:paraId="0E22CCF4" w14:textId="2391DDFD" w:rsidR="007F0A8D" w:rsidRDefault="26D31430" w:rsidP="000C447D">
          <w:pPr>
            <w:spacing w:line="257" w:lineRule="auto"/>
            <w:ind w:left="-20" w:right="-20"/>
            <w:jc w:val="both"/>
            <w:rPr>
              <w:rFonts w:ascii="Times New Roman" w:eastAsia="Times New Roman" w:hAnsi="Times New Roman"/>
              <w:sz w:val="24"/>
              <w:szCs w:val="24"/>
              <w:lang w:val="es"/>
            </w:rPr>
          </w:pPr>
          <w:r w:rsidRPr="10D44305">
            <w:rPr>
              <w:rFonts w:ascii="Times New Roman" w:eastAsia="Times New Roman" w:hAnsi="Times New Roman"/>
              <w:sz w:val="24"/>
              <w:szCs w:val="24"/>
              <w:lang w:val="es"/>
            </w:rPr>
            <w:t>• Recursos obtenidos por concepto de los derechos de ingreso.</w:t>
          </w:r>
        </w:p>
        <w:p w14:paraId="3F0684F0" w14:textId="5D72CA02" w:rsidR="007F0A8D" w:rsidRDefault="26D31430" w:rsidP="000C447D">
          <w:pPr>
            <w:spacing w:line="257" w:lineRule="auto"/>
            <w:ind w:left="-20" w:right="-20"/>
            <w:jc w:val="both"/>
            <w:rPr>
              <w:rFonts w:ascii="Times New Roman" w:eastAsia="Times New Roman" w:hAnsi="Times New Roman"/>
              <w:sz w:val="24"/>
              <w:szCs w:val="24"/>
              <w:lang w:val="es"/>
            </w:rPr>
          </w:pPr>
          <w:r w:rsidRPr="10D44305">
            <w:rPr>
              <w:rFonts w:ascii="Times New Roman" w:eastAsia="Times New Roman" w:hAnsi="Times New Roman"/>
              <w:sz w:val="24"/>
              <w:szCs w:val="24"/>
              <w:lang w:val="es"/>
            </w:rPr>
            <w:t>• Recursos obtenidos por concepto de la realización de actividades comerciales sobre la infraestructura férrea.</w:t>
          </w:r>
        </w:p>
        <w:p w14:paraId="01BFA4D9" w14:textId="2CF2D2C4" w:rsidR="007F0A8D" w:rsidRDefault="26D31430" w:rsidP="000C447D">
          <w:pPr>
            <w:spacing w:line="257" w:lineRule="auto"/>
            <w:ind w:left="-20" w:right="-20"/>
            <w:jc w:val="both"/>
            <w:rPr>
              <w:rFonts w:ascii="Times New Roman" w:eastAsia="Times New Roman" w:hAnsi="Times New Roman"/>
              <w:sz w:val="24"/>
              <w:szCs w:val="24"/>
              <w:lang w:val="es"/>
            </w:rPr>
          </w:pPr>
          <w:r w:rsidRPr="10D44305">
            <w:rPr>
              <w:rFonts w:ascii="Times New Roman" w:eastAsia="Times New Roman" w:hAnsi="Times New Roman"/>
              <w:sz w:val="24"/>
              <w:szCs w:val="24"/>
              <w:lang w:val="es"/>
            </w:rPr>
            <w:t>• Recursos propios del Concesionario.</w:t>
          </w:r>
        </w:p>
        <w:p w14:paraId="15C00681" w14:textId="128C72DF" w:rsidR="007F0A8D" w:rsidRDefault="26D31430" w:rsidP="10D44305">
          <w:pPr>
            <w:spacing w:line="257" w:lineRule="auto"/>
            <w:ind w:left="-20" w:right="-20"/>
            <w:jc w:val="both"/>
            <w:rPr>
              <w:rFonts w:ascii="Times New Roman" w:eastAsia="Times New Roman" w:hAnsi="Times New Roman"/>
              <w:sz w:val="24"/>
              <w:szCs w:val="24"/>
              <w:lang w:val="es"/>
            </w:rPr>
          </w:pPr>
          <w:r w:rsidRPr="10D44305">
            <w:rPr>
              <w:rFonts w:ascii="Times New Roman" w:eastAsia="Times New Roman" w:hAnsi="Times New Roman"/>
              <w:sz w:val="24"/>
              <w:szCs w:val="24"/>
              <w:lang w:val="es"/>
            </w:rPr>
            <w:t>• Recursos de financiamiento que obtenga el Concesionario.</w:t>
          </w:r>
        </w:p>
        <w:p w14:paraId="5F860AC6" w14:textId="44A807C9" w:rsidR="007F0A8D" w:rsidRDefault="26D31430" w:rsidP="10D44305">
          <w:pPr>
            <w:spacing w:line="257" w:lineRule="auto"/>
            <w:ind w:left="-20" w:right="-20"/>
            <w:jc w:val="both"/>
            <w:rPr>
              <w:rFonts w:ascii="Times New Roman" w:eastAsia="Times New Roman" w:hAnsi="Times New Roman"/>
              <w:sz w:val="24"/>
              <w:szCs w:val="24"/>
              <w:lang w:val="es"/>
            </w:rPr>
          </w:pPr>
          <w:r w:rsidRPr="10D44305">
            <w:rPr>
              <w:rFonts w:ascii="Times New Roman" w:eastAsia="Times New Roman" w:hAnsi="Times New Roman"/>
              <w:sz w:val="24"/>
              <w:szCs w:val="24"/>
              <w:lang w:val="es"/>
            </w:rPr>
            <w:t>El Parágrafo de la Cláusula 27 indica que el Concesionario asume, por su cuenta y riesgo, la totalidad del valor de las obras de construcción y las actividades necesarias para el cumplimiento de sus obligaciones contractuales, por lo tanto, el INCO (ANI) no reconocerá suma alguna por dichas obligaciones.</w:t>
          </w:r>
        </w:p>
        <w:p w14:paraId="38EF54D8" w14:textId="2FCE86B7" w:rsidR="007F0A8D" w:rsidRDefault="26D31430" w:rsidP="10D44305">
          <w:pPr>
            <w:spacing w:line="257" w:lineRule="auto"/>
            <w:ind w:left="-20" w:right="-20"/>
            <w:jc w:val="both"/>
            <w:rPr>
              <w:rFonts w:ascii="Times New Roman" w:eastAsia="Times New Roman" w:hAnsi="Times New Roman"/>
              <w:b/>
              <w:bCs/>
              <w:sz w:val="24"/>
              <w:szCs w:val="24"/>
            </w:rPr>
          </w:pPr>
          <w:r w:rsidRPr="10D44305">
            <w:rPr>
              <w:rFonts w:ascii="Times New Roman" w:eastAsia="Times New Roman" w:hAnsi="Times New Roman"/>
              <w:b/>
              <w:bCs/>
              <w:sz w:val="24"/>
              <w:szCs w:val="24"/>
            </w:rPr>
            <w:t>Términos de calendario:</w:t>
          </w:r>
        </w:p>
        <w:p w14:paraId="60F1D15F" w14:textId="70782081" w:rsidR="007F0A8D" w:rsidRDefault="26D31430" w:rsidP="10D44305">
          <w:pPr>
            <w:spacing w:line="257"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Clausula 23, Plan de Obras de Construcción, Clausula 24, iniciación de la construcción. </w:t>
          </w:r>
        </w:p>
        <w:p w14:paraId="53F84520" w14:textId="6220C929" w:rsidR="007F0A8D" w:rsidRDefault="26D31430" w:rsidP="10D44305">
          <w:pPr>
            <w:spacing w:line="257"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lastRenderedPageBreak/>
            <w:t>Las actividades correspondientes al cumplimiento de estas cláusulas del contrato se desarrollaron, desde 2007 hasta 2016. En ese periodo se construyeron las obras correspondientes a la segunda línea actual en longitud de 165.5 Km y se instaló el sistema de control y comunicaciones ITCS. Está pendiente la construcción de 25.4 Km de línea segunda, que se deben realizar acorde a lo dispuesto en la cláusula primera del Otrosi No. 19.</w:t>
          </w:r>
        </w:p>
        <w:p w14:paraId="09F3A0CC" w14:textId="66D1E1EE" w:rsidR="007F0A8D" w:rsidRDefault="26D31430" w:rsidP="10D44305">
          <w:pPr>
            <w:spacing w:line="257"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De acuerdo con la Clausula 25, CRONOGRAMA DE ACTIVIDADES, el concesionario debe presentar para cada periodo quinquenal un cronograma de mantenimiento y su respectivo programa de aseguramiento de la calidad para periodos de cinco (5) años, hasta la reversión de la concesión. Dichos cronogramas, planes de obras y programas de aseguramiento de la calidad formarán parte del contrato de concesión, y su cumplimiento estricto obligará al concesionario.</w:t>
          </w:r>
        </w:p>
        <w:p w14:paraId="655E9498" w14:textId="6450CC90" w:rsidR="007F0A8D" w:rsidRDefault="26D31430" w:rsidP="10D44305">
          <w:pPr>
            <w:spacing w:line="257"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En adelanto de esta parte del contrato y durante la vigencia 2023, el concesionario realiza las actividades correspondientes al Plan Quinquenal con vigencia desde 2022 a 2027</w:t>
          </w:r>
        </w:p>
        <w:p w14:paraId="2BD0DF7F" w14:textId="30CD80E9" w:rsidR="007F0A8D" w:rsidRDefault="26D31430" w:rsidP="10D44305">
          <w:pPr>
            <w:spacing w:line="257" w:lineRule="auto"/>
            <w:ind w:left="-20" w:right="-20"/>
            <w:jc w:val="both"/>
            <w:rPr>
              <w:rFonts w:ascii="Times New Roman" w:eastAsia="Times New Roman" w:hAnsi="Times New Roman"/>
              <w:sz w:val="24"/>
              <w:szCs w:val="24"/>
            </w:rPr>
          </w:pPr>
          <w:r w:rsidRPr="10D44305">
            <w:rPr>
              <w:rFonts w:ascii="Times New Roman" w:eastAsia="Times New Roman" w:hAnsi="Times New Roman"/>
              <w:b/>
              <w:bCs/>
              <w:sz w:val="24"/>
              <w:szCs w:val="24"/>
            </w:rPr>
            <w:t>Términos de certeza de flujos de efectivo futuros:</w:t>
          </w:r>
          <w:r w:rsidRPr="10D44305">
            <w:rPr>
              <w:rFonts w:ascii="Times New Roman" w:eastAsia="Times New Roman" w:hAnsi="Times New Roman"/>
              <w:sz w:val="24"/>
              <w:szCs w:val="24"/>
            </w:rPr>
            <w:t xml:space="preserve"> N.A.</w:t>
          </w:r>
        </w:p>
        <w:p w14:paraId="7B18AEE9" w14:textId="4059A3EC" w:rsidR="007F0A8D" w:rsidRDefault="26D31430" w:rsidP="10D44305">
          <w:pPr>
            <w:spacing w:line="257" w:lineRule="auto"/>
            <w:ind w:left="-20" w:right="-20"/>
            <w:jc w:val="both"/>
            <w:rPr>
              <w:rFonts w:ascii="Times New Roman" w:eastAsia="Times New Roman" w:hAnsi="Times New Roman"/>
              <w:b/>
              <w:bCs/>
              <w:sz w:val="24"/>
              <w:szCs w:val="24"/>
            </w:rPr>
          </w:pPr>
          <w:r w:rsidRPr="10D44305">
            <w:rPr>
              <w:rFonts w:ascii="Times New Roman" w:eastAsia="Times New Roman" w:hAnsi="Times New Roman"/>
              <w:b/>
              <w:bCs/>
              <w:sz w:val="24"/>
              <w:szCs w:val="24"/>
            </w:rPr>
            <w:t>c. Naturaleza y alcance del derecho a utilizar activos especificados, de los aspectos pactados en torno a lo que se espera que el concesionario proporcione en relación con el acuerdo de concesión</w:t>
          </w:r>
        </w:p>
        <w:p w14:paraId="2A9643E0" w14:textId="1DE77EF1" w:rsidR="007F0A8D" w:rsidRDefault="26D31430" w:rsidP="10D44305">
          <w:pPr>
            <w:spacing w:after="0" w:line="240" w:lineRule="auto"/>
            <w:ind w:left="-20" w:right="-20"/>
            <w:jc w:val="both"/>
            <w:rPr>
              <w:rFonts w:ascii="Times New Roman" w:eastAsia="Times New Roman" w:hAnsi="Times New Roman"/>
              <w:b/>
              <w:bCs/>
              <w:sz w:val="24"/>
              <w:szCs w:val="24"/>
            </w:rPr>
          </w:pPr>
          <w:r w:rsidRPr="10D44305">
            <w:rPr>
              <w:rFonts w:ascii="Times New Roman" w:eastAsia="Times New Roman" w:hAnsi="Times New Roman"/>
              <w:b/>
              <w:bCs/>
              <w:sz w:val="24"/>
              <w:szCs w:val="24"/>
            </w:rPr>
            <w:t>Naturaleza y alcance del derecho de uso de los activos</w:t>
          </w:r>
        </w:p>
        <w:p w14:paraId="02066010" w14:textId="472E6A87" w:rsidR="007F0A8D" w:rsidRDefault="26D31430" w:rsidP="10D44305">
          <w:pPr>
            <w:spacing w:after="0" w:line="240" w:lineRule="auto"/>
            <w:ind w:left="-20" w:right="-20"/>
            <w:jc w:val="both"/>
            <w:rPr>
              <w:rFonts w:ascii="Times New Roman" w:eastAsia="Times New Roman" w:hAnsi="Times New Roman"/>
              <w:b/>
              <w:bCs/>
              <w:sz w:val="24"/>
              <w:szCs w:val="24"/>
            </w:rPr>
          </w:pPr>
          <w:r w:rsidRPr="10D44305">
            <w:rPr>
              <w:rFonts w:ascii="Times New Roman" w:eastAsia="Times New Roman" w:hAnsi="Times New Roman"/>
              <w:b/>
              <w:bCs/>
              <w:sz w:val="24"/>
              <w:szCs w:val="24"/>
            </w:rPr>
            <w:t xml:space="preserve"> </w:t>
          </w:r>
        </w:p>
        <w:p w14:paraId="084DCAE7" w14:textId="614E99A9"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b/>
              <w:bCs/>
              <w:sz w:val="24"/>
              <w:szCs w:val="24"/>
            </w:rPr>
            <w:t>Descripción:</w:t>
          </w:r>
          <w:r w:rsidRPr="10D44305">
            <w:rPr>
              <w:rFonts w:ascii="Times New Roman" w:eastAsia="Times New Roman" w:hAnsi="Times New Roman"/>
              <w:sz w:val="24"/>
              <w:szCs w:val="24"/>
            </w:rPr>
            <w:t xml:space="preserve"> </w:t>
          </w:r>
        </w:p>
        <w:p w14:paraId="2F8B2210" w14:textId="284D4594"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A continuación se citan las cláusulas 9, 10, 11 y 12 del Contrato de Concesión, que se relacionan con los derechos que cedió la Entidad Contratante al Concesionario para explotar los activos en concesión; las actividades o los servicios que éste desarrollará durante el plazo del acuerdo de concesión; y los activos que entregó al concesionario para el desarrollo del acuerdo de concesión (junto con las mejoras o rehabilitaciones que éste les haya realizado) y de los activos que el concesionario adquiera, construya o desarrolle durante el plazo del acuerdo. </w:t>
          </w:r>
        </w:p>
        <w:p w14:paraId="13929429" w14:textId="754F004F"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 “CAPÍTULO III - REGIMEN DE BIENES DEL CONTRATO</w:t>
          </w:r>
        </w:p>
        <w:p w14:paraId="75505126" w14:textId="1407954F"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 CLÁUSULA 9. ENTREGA</w:t>
          </w:r>
        </w:p>
        <w:p w14:paraId="60186FD2" w14:textId="668740C0"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 En la misma fecha de suscripción del acta de iniciación del presente contrato se suscribirá el acta de entrega _de los bienes afectados a la· concesión, que formará parte del presente contrato, de acuerdo con la cual:</w:t>
          </w:r>
        </w:p>
        <w:p w14:paraId="2ED43F48" w14:textId="3AF33EBF"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 9.1. AL CONCESIONARIO se le transfiere la tenencia de la totalidad de los bienes que se entregan en concesión de infraestructura; a los que hace referencia la cláusula 1 del presente contrato, para su explotación, rehabilitación - reconstrucción y conservación. La entrega de la infraestructura que se concede en concesión se efectuará mediante inventario descriptivo de los bienes correspondientes.</w:t>
          </w:r>
        </w:p>
        <w:p w14:paraId="605A177B" w14:textId="3FB8A79F"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 9.2. A EL CONCESIONARIO se le concede, a partir de la fecha de suscripción del acta de entrega, el libre acceso a la infraestructura sobre la cual se confiere la concesión de obras de conservación a la que se hace referencia la cláusula 1 del presente contrato, para que sobre la misma desarrolle las labores de conservación que le corresponde en los términos previstos en este contrato.</w:t>
          </w:r>
        </w:p>
        <w:p w14:paraId="1635ACF8" w14:textId="76C276E5"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 9.3. La entrega de bienes se surtirá en los términos y condiciones previstos en el Anexo 6 del pliego de condiciones que rigió la licitación pública que ha dado lugar al presente contrato.</w:t>
          </w:r>
        </w:p>
        <w:p w14:paraId="25BEDC8D" w14:textId="65F0319C"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lastRenderedPageBreak/>
            <w:t>EL CONCESIONARIO al suscribir el presente contrato, así como el acta de entrega respectiva, recibe los bienes en la calidad en la que se entregan, y reconoce haber tenido acceso pleno a los bienes correspondientes para su inspección, y por lo tanto los recibe con pleno conocimiento de causa sobre el estado en el que se encuentran.</w:t>
          </w:r>
        </w:p>
        <w:p w14:paraId="3DE58134" w14:textId="6B4DFA5A"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CLAUSULA 10. OBJECIONES Y EXCLUSION DE BIENES </w:t>
          </w:r>
        </w:p>
        <w:p w14:paraId="6C4B210D" w14:textId="5050CCB0"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En la fecha de suscripción del acta de entrega, EL CONCESIONARIO podrá objetar por escrito el contenido del inventario descriptivo de bienes, con el fin de que se excluyan de este aquellos bienes a los que no pueda tener acceso por encontrarse invadidos u ocupados por terceros ilegalmente. Si se presentaran controversias alrededor de la entrega de los bienes, se acudirá a los mecanismos previstos en el presente contrato para la solución de conflictos.</w:t>
          </w:r>
        </w:p>
        <w:p w14:paraId="28279788" w14:textId="770DE9CC"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CLAUSULA 11. RESPONSABILIDAD Y RIESGO</w:t>
          </w:r>
        </w:p>
        <w:p w14:paraId="4DE5A55E" w14:textId="0924B193"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A partir de la fecha de suscripción del presente contrato y de la respectiva acta de entrega, EL CONCESIONARIO asume las siguientes responsabilidades y riesgos relacionados con los bienes involucrados en la concesión:</w:t>
          </w:r>
        </w:p>
        <w:p w14:paraId="15A14261" w14:textId="4796B3B8"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11.1. EL CONCESIONARIO asume y será totalmente responsable por todos y cualesquiera daños, perjuicios o pérdidas de los bienes que integran la infraestructura que se entrega en concesión, sin perjuicio de su facultad de exigir a terceros diferentes de FERROVIAS la reparación o indemnización de perjuicios cuando a ello haya lugar.</w:t>
          </w:r>
        </w:p>
        <w:p w14:paraId="6BF89CD4" w14:textId="7BDC22B2"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11.2. EL CONCESIONARIO asume y será totalmente responsable por el deterioro que sufra la infraestructura cuyas obras de conservación se confieren en concesión, sin perjuicio de su facultad de exigir a terceros diferentes de FERROVIAS la reparación o indemnización de perjuicios cuando a ello haya lugar.</w:t>
          </w:r>
        </w:p>
        <w:p w14:paraId="2093BE81" w14:textId="720D7C19"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11.3. EL CONCESIONARIO asume y será totalmente responsable por todos y cualesquiera daños, perjuicios, ocupaciones de hecho o pérdidas de los bienes que se entregan en concesión, o de aquellos que incorpore con sus propios recursos a la infraestructura entregada en concesión, sin perjuicio de su facultad de exigir a terceros diferentes de FERROVIAS la reparación o indemnización de perjuicios cuando a ello haya lugar.</w:t>
          </w:r>
        </w:p>
        <w:p w14:paraId="278BE1C9" w14:textId="187A28AF"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 </w:t>
          </w:r>
        </w:p>
        <w:p w14:paraId="06C126B8" w14:textId="16F9DFCB"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CLAUSULA 12. INVENTARIOS </w:t>
          </w:r>
        </w:p>
        <w:p w14:paraId="0A1ECEF0" w14:textId="3189241A"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A partir del acta de iniciación, EL CONCESIONARIO deberá llevar un sistema de inventarios utilizando los procedimientos y metodologías aceptados por las normas y la práctica de la contabilidad pública, con actualizaciones trimestrales máximo, en el cual se clasifiquen y valoren la totalidad de los bienes que incorporan la infraestructura recibida en concesión, el que incorporará un anexo en el que se clasifiquen la totalidad de los bienes entre revertibles y no revertibles, de acuerdo con lo previsto en la CLAUSULA 128 del presente contrato.” (Cursiva fuera de texto)</w:t>
          </w:r>
        </w:p>
        <w:p w14:paraId="43B8C1CE" w14:textId="310A96FD"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Conforme lo expuesto, El 03 de marzo de 2000 las partes suscribieron el Acta de Entrega de la Concesión de Infraestructura y Obras de Conservación de la Red Atlántico, correspondiente a la infraestructura existente en los siguientes tramos:</w:t>
          </w:r>
        </w:p>
        <w:p w14:paraId="1092C7FB" w14:textId="697AEC1F"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Infraestructura Red Férrea del Atlántico</w:t>
          </w:r>
        </w:p>
        <w:p w14:paraId="19BC1983" w14:textId="7D2C17D5"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Bogotá (Km.5) – Belencito (PK 262)</w:t>
          </w:r>
        </w:p>
        <w:p w14:paraId="2F03124D" w14:textId="6C1175C3"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La Caro (PK 34) - Lenguazaque (PK 110)</w:t>
          </w:r>
        </w:p>
        <w:p w14:paraId="69AA5712" w14:textId="5BCACB4F"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Bogotá (Km.5) – Dorada (PK 200)</w:t>
          </w:r>
        </w:p>
        <w:p w14:paraId="33729B5A" w14:textId="794CC583"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Dorada (PK 200) – Barrancabermeja (PK 444)</w:t>
          </w:r>
        </w:p>
        <w:p w14:paraId="769FDAD1" w14:textId="2ADAFFEA"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Barrancabermeja (PK 444) – Chiriguaná (PK 724)</w:t>
          </w:r>
        </w:p>
        <w:p w14:paraId="434B40D7" w14:textId="7E9B04D4"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Chiriguaná (PK 724) – Ciénaga (PK 934)</w:t>
          </w:r>
        </w:p>
        <w:p w14:paraId="521B3AE8" w14:textId="64C3526A"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Ciénaga (PK 934) Santa Marta (PK969)</w:t>
          </w:r>
        </w:p>
        <w:p w14:paraId="049075D7" w14:textId="3B53046B"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lastRenderedPageBreak/>
            <w:t>Puerto Berrío (PK 333) – Medellín (Bello) (PK509)</w:t>
          </w:r>
        </w:p>
        <w:p w14:paraId="6F984194" w14:textId="3B4D8B0B"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 </w:t>
          </w:r>
        </w:p>
        <w:p w14:paraId="52BB64FB" w14:textId="324825B1"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Los tramos definidos en el objeto antes mencionado, así como el alcance del Contrato de Concesión fueron modificados a través del otrosí No. 12, desafectando del contrato el material rodante, estaciones y tramos férreos al sur de Chiriguaná, quedando a cargo del contrato los siguientes tramos:</w:t>
          </w:r>
        </w:p>
        <w:p w14:paraId="11341405" w14:textId="568C438E"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Chiriguaná (722+683)-Ciénaga (934) </w:t>
          </w:r>
        </w:p>
        <w:p w14:paraId="3CBB0BBF" w14:textId="21013C5E"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Ciénaga (934) - Santa Marta       (968+990)</w:t>
          </w:r>
        </w:p>
        <w:p w14:paraId="2164A091" w14:textId="544EB195"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Long. Total 246.3 Km.</w:t>
          </w:r>
        </w:p>
        <w:p w14:paraId="414B01F0" w14:textId="4FCCBAE9"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 </w:t>
          </w:r>
        </w:p>
        <w:p w14:paraId="7448D9E7" w14:textId="0D40360A"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Asimismo, el Otrosí No.12 establece la obligación de construir una segunda línea férrea, paralela a la existente, entre la Estación La Loma y Puerto Drummond, por un total de 191 Km.</w:t>
          </w:r>
        </w:p>
        <w:p w14:paraId="6BCB4C3C" w14:textId="6F2A0F6D"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b/>
              <w:bCs/>
              <w:sz w:val="24"/>
              <w:szCs w:val="24"/>
            </w:rPr>
            <w:t xml:space="preserve">Observaciones: </w:t>
          </w:r>
          <w:r w:rsidRPr="10D44305">
            <w:rPr>
              <w:rFonts w:ascii="Times New Roman" w:eastAsia="Times New Roman" w:hAnsi="Times New Roman"/>
              <w:sz w:val="24"/>
              <w:szCs w:val="24"/>
            </w:rPr>
            <w:t>No hay observaciones</w:t>
          </w:r>
        </w:p>
        <w:p w14:paraId="298F3B51" w14:textId="4C7DA701" w:rsidR="007F0A8D" w:rsidRDefault="26D31430" w:rsidP="10D44305">
          <w:pPr>
            <w:spacing w:after="0" w:line="240" w:lineRule="auto"/>
            <w:ind w:left="-20" w:right="-20"/>
            <w:jc w:val="both"/>
            <w:rPr>
              <w:rFonts w:ascii="Times New Roman" w:eastAsia="Times New Roman" w:hAnsi="Times New Roman"/>
              <w:b/>
              <w:bCs/>
              <w:sz w:val="24"/>
              <w:szCs w:val="24"/>
            </w:rPr>
          </w:pPr>
          <w:r w:rsidRPr="10D44305">
            <w:rPr>
              <w:rFonts w:ascii="Times New Roman" w:eastAsia="Times New Roman" w:hAnsi="Times New Roman"/>
              <w:b/>
              <w:bCs/>
              <w:sz w:val="24"/>
              <w:szCs w:val="24"/>
            </w:rPr>
            <w:t xml:space="preserve"> </w:t>
          </w:r>
        </w:p>
        <w:p w14:paraId="03B03B42" w14:textId="0CC2871B" w:rsidR="007F0A8D" w:rsidRDefault="26D31430" w:rsidP="10D44305">
          <w:pPr>
            <w:spacing w:after="0" w:line="240" w:lineRule="auto"/>
            <w:ind w:left="-20" w:right="-20"/>
            <w:jc w:val="both"/>
            <w:rPr>
              <w:rFonts w:ascii="Times New Roman" w:eastAsia="Times New Roman" w:hAnsi="Times New Roman"/>
              <w:b/>
              <w:bCs/>
              <w:sz w:val="24"/>
              <w:szCs w:val="24"/>
            </w:rPr>
          </w:pPr>
          <w:r w:rsidRPr="10D44305">
            <w:rPr>
              <w:rFonts w:ascii="Times New Roman" w:eastAsia="Times New Roman" w:hAnsi="Times New Roman"/>
              <w:b/>
              <w:bCs/>
              <w:sz w:val="24"/>
              <w:szCs w:val="24"/>
            </w:rPr>
            <w:t>Retribución al concesionario</w:t>
          </w:r>
        </w:p>
        <w:p w14:paraId="69660343" w14:textId="49239544" w:rsidR="007F0A8D" w:rsidRDefault="26D31430" w:rsidP="10D44305">
          <w:pPr>
            <w:spacing w:after="0" w:line="240" w:lineRule="auto"/>
            <w:ind w:left="-20" w:right="-20"/>
            <w:jc w:val="both"/>
            <w:rPr>
              <w:rFonts w:ascii="Times New Roman" w:eastAsia="Times New Roman" w:hAnsi="Times New Roman"/>
              <w:b/>
              <w:bCs/>
              <w:sz w:val="24"/>
              <w:szCs w:val="24"/>
            </w:rPr>
          </w:pPr>
          <w:r w:rsidRPr="10D44305">
            <w:rPr>
              <w:rFonts w:ascii="Times New Roman" w:eastAsia="Times New Roman" w:hAnsi="Times New Roman"/>
              <w:b/>
              <w:bCs/>
              <w:sz w:val="24"/>
              <w:szCs w:val="24"/>
            </w:rPr>
            <w:t>Descripción:</w:t>
          </w:r>
        </w:p>
        <w:p w14:paraId="62D09B53" w14:textId="2B11DDFA"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CLAUSULA 2. CONTRAPRESTACION POR EL CONTRATO DE CONCESION Como contraprestación por la concesión de infraestructura aludida en la cláusula 1 del presente contrato, EL CONCESIONARIO deberá efectuar a su costo y riesgo, la construcción, rehabilitación - reconstrucción, conservación y operación de la infraestructura concedida, en cuanto sea necesario para garantizar tanto la operación eficiente de tal infraestructura como la adecuada prestación del servicio público de transporte férreo mediante la misma, para lo cual efectuará por su cuenta y riesgo las obras y actividades que se requieran, lo que incluye la obligación de efectuar la reposición y la rehabilitación - reconstrucción futura que sea necesaria para asegurar la capacidad de la vía férrea para atender el tráfico que deberá soportar durante el lapso de la concesión.</w:t>
          </w:r>
        </w:p>
        <w:p w14:paraId="2C60B6DA" w14:textId="014DE0BD"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CLAUSULA 3. REMUNERACION DE LA CONCESION</w:t>
          </w:r>
        </w:p>
        <w:p w14:paraId="4A89CB68" w14:textId="362AC7B7"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La remuneración del CONCESIONARIO por la concesión será: 3.1. Los recursos derivados de la cesión del recaudo de la tarifa, en los términos establecidos por el Ministerio de Transporte en su resolución de fijación de tarifas y otros aspectos para el tramo Chiriguaná (PK 724) - Ciénaga (PK 934 ), y Ciénaga (PK 934) - Santa Marta (PK 969). 3.2. Los recursos derivados del recaudo de los derechos de ingreso durante el año 2006. 3.3. La totalidad de los recursos que EL CONCESIONARIO obtenga como producto de la explotación comercial de la infraestructura recibida en concesión, incluyendo las sumas que en virtud del presente contrato, cancelen terceros diferentes a EL CONCESIONARIO por el servicio de transporte de carga prestado por EL CONCESIONARIO en la infraestructura concesionada. 3.4. Los ingresos derivados de la explotación del Contrato Operacional de Drummond Ud. Los ingresos percibidos como remuneración serán considerados para todos los efectos como ingresos propios del CONCESIONARIO afectos en primer lugar al cumplimiento de las obligaciones del contrato de concesión .. De los recursos antes citados, CONCESIONARIO girará al INCO, quincenalmente y con fundamento en la certificación que al respecto emita el revisor fiscal de la entidad fiduciaria donde se establezca el fideicomiso de administración y pagos:</w:t>
          </w:r>
        </w:p>
        <w:p w14:paraId="4EDD4A70" w14:textId="0E56B112"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La suma de US$0,22 (veintidós centavos de dólar de los Estados Unidos de América) por cada tonelada de carga transportada durante el Período de Transición. 2) La suma de US $1, 07 (un dólar y siete centavos de dólar de los Estados Unidos de América) por cada tonelada de carga transportada una vez finalizado el Período de Transición. </w:t>
          </w:r>
        </w:p>
        <w:p w14:paraId="0829BFDD" w14:textId="53A4282F"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lastRenderedPageBreak/>
            <w:t>Parágrafo 1.- Del recaudo de los derechos de ingreso que se cobren después del año 2006, EL CONCESIONARIO girará el cincuenta por ciento (50%) al INCO.</w:t>
          </w:r>
        </w:p>
        <w:p w14:paraId="336AA579" w14:textId="16252D18"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 Parágrafo 2.- El concesionario facturará las tarifas a los operadores a los cuales les preste el servicio, detallando el valor de los ingresos exentos de retención que para el caso son los que corresponden al INCO en virtud de lo establecido en el artículo 22 del Estatuto Tributario, con el fin de que el responsable de efectuar la retención se abstenga de practicarla dado que por la naturaleza del INCO no es sujeto de dicho impuesto.</w:t>
          </w:r>
        </w:p>
        <w:p w14:paraId="5E67BF27" w14:textId="7FE7592C"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b/>
              <w:bCs/>
              <w:sz w:val="24"/>
              <w:szCs w:val="24"/>
            </w:rPr>
            <w:t>Tasa de retribución:</w:t>
          </w:r>
          <w:r w:rsidRPr="10D44305">
            <w:rPr>
              <w:rFonts w:ascii="Times New Roman" w:eastAsia="Times New Roman" w:hAnsi="Times New Roman"/>
              <w:sz w:val="24"/>
              <w:szCs w:val="24"/>
            </w:rPr>
            <w:t xml:space="preserve"> N.A.</w:t>
          </w:r>
        </w:p>
        <w:p w14:paraId="5BA3C6B0" w14:textId="0B4AE8A1"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 </w:t>
          </w:r>
        </w:p>
        <w:p w14:paraId="46361FEF" w14:textId="6A77EB90" w:rsidR="007F0A8D" w:rsidRDefault="26D31430" w:rsidP="10D44305">
          <w:pPr>
            <w:spacing w:after="0" w:line="240" w:lineRule="auto"/>
            <w:ind w:left="-20" w:right="-20"/>
            <w:jc w:val="both"/>
            <w:rPr>
              <w:rFonts w:ascii="Times New Roman" w:eastAsia="Times New Roman" w:hAnsi="Times New Roman"/>
              <w:b/>
              <w:bCs/>
              <w:sz w:val="24"/>
              <w:szCs w:val="24"/>
            </w:rPr>
          </w:pPr>
          <w:r w:rsidRPr="10D44305">
            <w:rPr>
              <w:rFonts w:ascii="Times New Roman" w:eastAsia="Times New Roman" w:hAnsi="Times New Roman"/>
              <w:b/>
              <w:bCs/>
              <w:sz w:val="24"/>
              <w:szCs w:val="24"/>
            </w:rPr>
            <w:t>d. Derechos a recibir activos especificados al final del acuerdo de concesión</w:t>
          </w:r>
        </w:p>
        <w:p w14:paraId="720EF0B5" w14:textId="383A67C7" w:rsidR="007F0A8D" w:rsidRDefault="26D31430" w:rsidP="10D44305">
          <w:pPr>
            <w:spacing w:after="0" w:line="240" w:lineRule="auto"/>
            <w:ind w:left="-20" w:right="-20"/>
            <w:jc w:val="both"/>
            <w:rPr>
              <w:rFonts w:ascii="Times New Roman" w:eastAsia="Times New Roman" w:hAnsi="Times New Roman"/>
              <w:b/>
              <w:bCs/>
              <w:sz w:val="24"/>
              <w:szCs w:val="24"/>
            </w:rPr>
          </w:pPr>
          <w:r w:rsidRPr="10D44305">
            <w:rPr>
              <w:rFonts w:ascii="Times New Roman" w:eastAsia="Times New Roman" w:hAnsi="Times New Roman"/>
              <w:b/>
              <w:bCs/>
              <w:sz w:val="24"/>
              <w:szCs w:val="24"/>
            </w:rPr>
            <w:t xml:space="preserve">Descripción: </w:t>
          </w:r>
        </w:p>
        <w:p w14:paraId="77846704" w14:textId="6444DC55"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Dentro de la obligación contractual que tiene el concesionario de devolver los activos en concesión una vez finalice el plazo del acuerdo de concesión, así como la naturaleza de tales activos y las condiciones en que deben ser devueltos, se hace mención de las siguientes clausulas:</w:t>
          </w:r>
        </w:p>
        <w:p w14:paraId="05B04F83" w14:textId="53F7710D"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“CAPITULO XXIV REVERSION DE LA INFRAESTRUCTURA CONCESIONADA</w:t>
          </w:r>
        </w:p>
        <w:p w14:paraId="4594072F" w14:textId="2F08706C"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CLAUSULA 127. OBLIGACION DE REVERSION</w:t>
          </w:r>
        </w:p>
        <w:p w14:paraId="0BE4B206" w14:textId="13CC9E46"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Al finalizar el término de la concesión, EL CONCESIONARIO revertirá a FERROVIAS la infraestructura concesionada y los demás bienes que se determinen como revertibles, sin lugar o derecho alguno a indemnización o compensación por este concepto.</w:t>
          </w:r>
        </w:p>
        <w:p w14:paraId="03E65C03" w14:textId="7ECEB4AA"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Se deberá tal reversión, igualmente, en el caso en que se produzca la terminación anticipada del contrato de concesión, por cualquiera de las causales previstas para tal efecto en el presente contrato.</w:t>
          </w:r>
        </w:p>
        <w:p w14:paraId="1295A382" w14:textId="7986FE5C"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CLAUSULA 128. INFRAESTRUCTURA REVERTIBLE </w:t>
          </w:r>
        </w:p>
        <w:p w14:paraId="350281E3" w14:textId="3AE78794"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La infraestructura revertible está constituida por los siguientes bienes: </w:t>
          </w:r>
        </w:p>
        <w:p w14:paraId="0985835E" w14:textId="3CF17BBD"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128.1. Los bienes que conforman la infraestructura que fue entregada en concesión, conforme a lo previsto la CLAUSULA 1 del presente contrato, y aquellos que los hayan reemplazado o sustituido;</w:t>
          </w:r>
        </w:p>
        <w:p w14:paraId="706C1544" w14:textId="10784D4D"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128.2. Todos los equipos necesarios para el desarrollo de las actividades que adelantó EL CONCESIONARIO para la conservación de la infraestructura;</w:t>
          </w:r>
        </w:p>
        <w:p w14:paraId="52BAD763" w14:textId="3FE31749"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128.3. Los sistemas de comunicación y demás instalaciones de seguridad; </w:t>
          </w:r>
        </w:p>
        <w:p w14:paraId="665361AF" w14:textId="439AE0C2"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128.4. Los equipos necesarios para el manejo de carga; y </w:t>
          </w:r>
        </w:p>
        <w:p w14:paraId="2D8E3D67" w14:textId="77A37D74"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128.5. Las adiciones y mejoras que EL CONCESIONARIO haya incorporado a la infraestructura entregada en concesión. Los bienes y particularmente el material rodante que EL CONCESIONARIO haya incorporado para .la prestación del servicio de transporte ferroviario, que no impliquen el reemplazo de bienes concesionados, son de propiedad de EL CONCESIONARIO y no deberán ser revertidos a FERROVIAS al término de la concesión.</w:t>
          </w:r>
        </w:p>
        <w:p w14:paraId="0FC38716" w14:textId="6B1576D6"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 </w:t>
          </w:r>
        </w:p>
        <w:p w14:paraId="0D5807D5" w14:textId="0AA938BE"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CLAUSULA 129. PROCEDIMIENTO PARA LA REVERSIÓN</w:t>
          </w:r>
        </w:p>
        <w:p w14:paraId="67054177" w14:textId="556CC04B"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El CONCESIONARIO, a la terminación del contrato, deberá hacer entrega de la infraestructura revertible a FERROVIAS o a quien esta disponga, en adecuadas condiciones de funcionamiento para la prestación del servicio de transporte férreo.</w:t>
          </w:r>
        </w:p>
        <w:p w14:paraId="0DE932B8" w14:textId="308C99B0"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Se entenderá que la infraestructura entregada en concesión se encuentra en adecuadas condiciones para la prestación del servicio de transporte férreo, siempre que cumpla con las especificaciones mínimas que tales bienes debieron mantener durante la concesión, de acuerdo con lo previsto en el presente contrato y en sus anexos.” (Cursiva fuera de texto).</w:t>
          </w:r>
        </w:p>
        <w:p w14:paraId="31822C51" w14:textId="1866900E"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 </w:t>
          </w:r>
        </w:p>
        <w:p w14:paraId="2E44AF9C" w14:textId="0B98068D"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lastRenderedPageBreak/>
            <w:t>“CLAUSULA 59. SUSTITUCION DE INFRAESTRUCTURA</w:t>
          </w:r>
        </w:p>
        <w:p w14:paraId="053593AC" w14:textId="271C61F1"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 </w:t>
          </w:r>
        </w:p>
        <w:p w14:paraId="65277045" w14:textId="1BCDFC86"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Cuando FERROVIAS lo considere necesario para permitir la adecuada prestación  del servicio  de transporte de pasajeros, podrá sustituir los tramos de la infraestructura concesionada por otros que se integrarán a la concesión de infraestructura, consistentes en infraestructura alterna que permita una operación ferroviaria de iguales o mejores características que la existente  y  que facilite el adecuado desarrollo de la prestación del servicio ferroviario de  transporte  de carga por el cual debe responder EL CONCESIONARIO.</w:t>
          </w:r>
        </w:p>
        <w:p w14:paraId="44DBF5B1" w14:textId="1D7D53A2"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Dicha infraestructura sustitutiva se integrará a la CONCESION, y tendrá que ser entregada por FERROVIAS al CONCESIONARIO, como condición para que éste ceda los tramos que se sustituirán. En este caso, no habrá lugar a indemnización </w:t>
          </w:r>
        </w:p>
        <w:p w14:paraId="4EB9D34E" w14:textId="595010B1"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alguna a cargo de FERROVIAS.” (Cursiva fuera de texto)</w:t>
          </w:r>
        </w:p>
        <w:p w14:paraId="4AAD4F17" w14:textId="484FBC0D"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Respecto a los activos del proyecto, correspondientes a bienes inmuebles y bienes muebles (propiedad, planta y equipo), esta Interventoría realizó las valoraciones correspondientes, conforme a la metodología expuesta en el formato “gcsp-f-289_bienes_uso_publico_ppe_ferreo_RFA 2022”, a partir de las inspecciones realizadas en el corredor, en ejercicio de sus funciones de supervisión, así como de la información disponible remitida por el Concesionario y de informes de la anterior interventoría,  a continuación se resumen las cifras obtenidas en la estimación por esta Interventoría para reportar en los registros contables para la vigencia 2023:. </w:t>
          </w:r>
        </w:p>
        <w:p w14:paraId="5AF00681" w14:textId="414BC2F9"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 </w:t>
          </w:r>
        </w:p>
        <w:p w14:paraId="36A81716" w14:textId="4303F8F7"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CONCEPTO</w:t>
          </w:r>
          <w:r w:rsidR="007F0A8D">
            <w:tab/>
          </w:r>
          <w:r w:rsidRPr="10D44305">
            <w:rPr>
              <w:rFonts w:ascii="Times New Roman" w:eastAsia="Times New Roman" w:hAnsi="Times New Roman"/>
              <w:sz w:val="24"/>
              <w:szCs w:val="24"/>
            </w:rPr>
            <w:t>VALOR ESTIMADO VIGENCIA</w:t>
          </w:r>
        </w:p>
        <w:p w14:paraId="21457C41" w14:textId="52F6FA26"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 </w:t>
          </w:r>
        </w:p>
        <w:p w14:paraId="198AB3A4" w14:textId="13F7EF8A" w:rsidR="007F0A8D" w:rsidRDefault="26D31430" w:rsidP="10D44305">
          <w:pPr>
            <w:spacing w:after="0" w:line="240" w:lineRule="auto"/>
            <w:ind w:left="-20" w:right="-20"/>
            <w:jc w:val="both"/>
            <w:rPr>
              <w:rFonts w:ascii="Times New Roman" w:eastAsia="Times New Roman" w:hAnsi="Times New Roman"/>
              <w:b/>
              <w:bCs/>
              <w:sz w:val="24"/>
              <w:szCs w:val="24"/>
            </w:rPr>
          </w:pPr>
          <w:r w:rsidRPr="10D44305">
            <w:rPr>
              <w:rFonts w:ascii="Times New Roman" w:eastAsia="Times New Roman" w:hAnsi="Times New Roman"/>
              <w:b/>
              <w:bCs/>
              <w:sz w:val="24"/>
              <w:szCs w:val="24"/>
            </w:rPr>
            <w:t>Vía Férrea</w:t>
          </w:r>
          <w:r w:rsidR="007F0A8D">
            <w:tab/>
          </w:r>
          <w:r w:rsidRPr="10D44305">
            <w:rPr>
              <w:rFonts w:ascii="Times New Roman" w:eastAsia="Times New Roman" w:hAnsi="Times New Roman"/>
              <w:sz w:val="24"/>
              <w:szCs w:val="24"/>
            </w:rPr>
            <w:t xml:space="preserve">    </w:t>
          </w:r>
          <w:r w:rsidRPr="10D44305">
            <w:rPr>
              <w:rFonts w:ascii="Times New Roman" w:eastAsia="Times New Roman" w:hAnsi="Times New Roman"/>
              <w:b/>
              <w:bCs/>
              <w:sz w:val="24"/>
              <w:szCs w:val="24"/>
            </w:rPr>
            <w:t>$ 1.094.277.190.505</w:t>
          </w:r>
        </w:p>
        <w:p w14:paraId="611A700C" w14:textId="214DEB19"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Superestructura          $513.262.001.077</w:t>
          </w:r>
        </w:p>
        <w:p w14:paraId="3C7500F8" w14:textId="035E2E25"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Infraestructura</w:t>
          </w:r>
          <w:r w:rsidR="007F0A8D">
            <w:tab/>
          </w:r>
          <w:r w:rsidRPr="10D44305">
            <w:rPr>
              <w:rFonts w:ascii="Times New Roman" w:eastAsia="Times New Roman" w:hAnsi="Times New Roman"/>
              <w:sz w:val="24"/>
              <w:szCs w:val="24"/>
            </w:rPr>
            <w:t xml:space="preserve">           $581.015.189.428</w:t>
          </w:r>
        </w:p>
        <w:p w14:paraId="2A978BE3" w14:textId="41A3794D" w:rsidR="007F0A8D" w:rsidRDefault="26D31430" w:rsidP="10D44305">
          <w:pPr>
            <w:spacing w:after="0" w:line="240" w:lineRule="auto"/>
            <w:ind w:left="-20" w:right="-20"/>
            <w:jc w:val="both"/>
            <w:rPr>
              <w:rFonts w:ascii="Times New Roman" w:eastAsia="Times New Roman" w:hAnsi="Times New Roman"/>
              <w:b/>
              <w:bCs/>
              <w:sz w:val="24"/>
              <w:szCs w:val="24"/>
            </w:rPr>
          </w:pPr>
          <w:r w:rsidRPr="10D44305">
            <w:rPr>
              <w:rFonts w:ascii="Times New Roman" w:eastAsia="Times New Roman" w:hAnsi="Times New Roman"/>
              <w:b/>
              <w:bCs/>
              <w:sz w:val="24"/>
              <w:szCs w:val="24"/>
            </w:rPr>
            <w:t xml:space="preserve">Propiedad Planta </w:t>
          </w:r>
        </w:p>
        <w:p w14:paraId="1D6F86CB" w14:textId="1B41EBD4" w:rsidR="007F0A8D" w:rsidRDefault="26D31430" w:rsidP="10D44305">
          <w:pPr>
            <w:spacing w:after="0" w:line="240" w:lineRule="auto"/>
            <w:ind w:left="-20" w:right="-20"/>
            <w:jc w:val="both"/>
            <w:rPr>
              <w:rFonts w:ascii="Times New Roman" w:eastAsia="Times New Roman" w:hAnsi="Times New Roman"/>
              <w:b/>
              <w:bCs/>
              <w:sz w:val="24"/>
              <w:szCs w:val="24"/>
            </w:rPr>
          </w:pPr>
          <w:r w:rsidRPr="10D44305">
            <w:rPr>
              <w:rFonts w:ascii="Times New Roman" w:eastAsia="Times New Roman" w:hAnsi="Times New Roman"/>
              <w:b/>
              <w:bCs/>
              <w:sz w:val="24"/>
              <w:szCs w:val="24"/>
            </w:rPr>
            <w:t>y Equipo</w:t>
          </w:r>
          <w:r w:rsidR="007F0A8D">
            <w:tab/>
          </w:r>
          <w:r w:rsidRPr="10D44305">
            <w:rPr>
              <w:rFonts w:ascii="Times New Roman" w:eastAsia="Times New Roman" w:hAnsi="Times New Roman"/>
              <w:b/>
              <w:bCs/>
              <w:sz w:val="24"/>
              <w:szCs w:val="24"/>
            </w:rPr>
            <w:t xml:space="preserve">           $ 35.524.505.082</w:t>
          </w:r>
        </w:p>
        <w:p w14:paraId="6939AA8F" w14:textId="180E19AE"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Bienes Inmuebles        $ 8.983.748.080</w:t>
          </w:r>
        </w:p>
        <w:p w14:paraId="02F9B67C" w14:textId="095AFEB8"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Material Rodante        $12.652.790.169</w:t>
          </w:r>
        </w:p>
        <w:p w14:paraId="70305AE0" w14:textId="5F34FDE2"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Equipo Operativo        $ 13.887.966.833</w:t>
          </w:r>
        </w:p>
        <w:p w14:paraId="2232AB4B" w14:textId="1AA0C830" w:rsidR="007F0A8D" w:rsidRDefault="26D31430" w:rsidP="10D44305">
          <w:pPr>
            <w:spacing w:after="0" w:line="240" w:lineRule="auto"/>
            <w:ind w:left="-20" w:right="-20"/>
            <w:jc w:val="both"/>
            <w:rPr>
              <w:rFonts w:ascii="Times New Roman" w:eastAsia="Times New Roman" w:hAnsi="Times New Roman"/>
              <w:b/>
              <w:bCs/>
              <w:sz w:val="24"/>
              <w:szCs w:val="24"/>
            </w:rPr>
          </w:pPr>
          <w:r w:rsidRPr="10D44305">
            <w:rPr>
              <w:rFonts w:ascii="Times New Roman" w:eastAsia="Times New Roman" w:hAnsi="Times New Roman"/>
              <w:b/>
              <w:bCs/>
              <w:sz w:val="24"/>
              <w:szCs w:val="24"/>
            </w:rPr>
            <w:t>Intangibles</w:t>
          </w:r>
          <w:r w:rsidR="007F0A8D">
            <w:tab/>
          </w:r>
          <w:r w:rsidRPr="10D44305">
            <w:rPr>
              <w:rFonts w:ascii="Times New Roman" w:eastAsia="Times New Roman" w:hAnsi="Times New Roman"/>
              <w:b/>
              <w:bCs/>
              <w:sz w:val="24"/>
              <w:szCs w:val="24"/>
            </w:rPr>
            <w:t xml:space="preserve">         $ 151.249.440.000</w:t>
          </w:r>
        </w:p>
        <w:p w14:paraId="50D51C03" w14:textId="2578A08E"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 </w:t>
          </w:r>
        </w:p>
        <w:p w14:paraId="4D760B56" w14:textId="2F98DA14"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DEPRECIACIÓN ACUMULADA A DICIEMBRE DE 2023</w:t>
          </w:r>
        </w:p>
        <w:p w14:paraId="0C95E0E6" w14:textId="43527084"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 </w:t>
          </w:r>
        </w:p>
        <w:p w14:paraId="259B78CE" w14:textId="4D606324"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CONCEPTO</w:t>
          </w:r>
          <w:r w:rsidR="007F0A8D">
            <w:tab/>
          </w:r>
          <w:r w:rsidRPr="10D44305">
            <w:rPr>
              <w:rFonts w:ascii="Times New Roman" w:eastAsia="Times New Roman" w:hAnsi="Times New Roman"/>
              <w:sz w:val="24"/>
              <w:szCs w:val="24"/>
            </w:rPr>
            <w:t>DEPRECIACION ACUM. 2023</w:t>
          </w:r>
        </w:p>
        <w:p w14:paraId="0D72FCFA" w14:textId="309E6A81"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 </w:t>
          </w:r>
        </w:p>
        <w:p w14:paraId="08AF12B9" w14:textId="152A5860" w:rsidR="007F0A8D" w:rsidRDefault="26D31430" w:rsidP="10D44305">
          <w:pPr>
            <w:spacing w:after="0" w:line="240" w:lineRule="auto"/>
            <w:ind w:left="-20" w:right="-20"/>
            <w:jc w:val="both"/>
            <w:rPr>
              <w:rFonts w:ascii="Times New Roman" w:eastAsia="Times New Roman" w:hAnsi="Times New Roman"/>
              <w:b/>
              <w:bCs/>
              <w:sz w:val="24"/>
              <w:szCs w:val="24"/>
            </w:rPr>
          </w:pPr>
          <w:r w:rsidRPr="10D44305">
            <w:rPr>
              <w:rFonts w:ascii="Times New Roman" w:eastAsia="Times New Roman" w:hAnsi="Times New Roman"/>
              <w:b/>
              <w:bCs/>
              <w:sz w:val="24"/>
              <w:szCs w:val="24"/>
            </w:rPr>
            <w:t>Vía Férrea</w:t>
          </w:r>
          <w:r w:rsidR="007F0A8D">
            <w:tab/>
          </w:r>
          <w:r w:rsidRPr="10D44305">
            <w:rPr>
              <w:rFonts w:ascii="Times New Roman" w:eastAsia="Times New Roman" w:hAnsi="Times New Roman"/>
              <w:b/>
              <w:bCs/>
              <w:sz w:val="24"/>
              <w:szCs w:val="24"/>
            </w:rPr>
            <w:t xml:space="preserve">            $86.913.979.075</w:t>
          </w:r>
        </w:p>
        <w:p w14:paraId="7E70E6DB" w14:textId="02E04415"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Superestructura           $40.766.309.678</w:t>
          </w:r>
        </w:p>
        <w:p w14:paraId="08BF2D06" w14:textId="3108E6D1"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Infraestructura</w:t>
          </w:r>
          <w:r w:rsidR="007F0A8D">
            <w:tab/>
          </w:r>
          <w:r w:rsidRPr="10D44305">
            <w:rPr>
              <w:rFonts w:ascii="Times New Roman" w:eastAsia="Times New Roman" w:hAnsi="Times New Roman"/>
              <w:sz w:val="24"/>
              <w:szCs w:val="24"/>
            </w:rPr>
            <w:t xml:space="preserve">            $46.147.669.397</w:t>
          </w:r>
        </w:p>
        <w:p w14:paraId="1A465168" w14:textId="7184C23C" w:rsidR="007F0A8D" w:rsidRDefault="26D31430" w:rsidP="10D44305">
          <w:pPr>
            <w:spacing w:after="0" w:line="240" w:lineRule="auto"/>
            <w:ind w:left="-20" w:right="-20"/>
            <w:jc w:val="both"/>
            <w:rPr>
              <w:rFonts w:ascii="Times New Roman" w:eastAsia="Times New Roman" w:hAnsi="Times New Roman"/>
              <w:b/>
              <w:bCs/>
              <w:sz w:val="24"/>
              <w:szCs w:val="24"/>
            </w:rPr>
          </w:pPr>
          <w:r w:rsidRPr="10D44305">
            <w:rPr>
              <w:rFonts w:ascii="Times New Roman" w:eastAsia="Times New Roman" w:hAnsi="Times New Roman"/>
              <w:b/>
              <w:bCs/>
              <w:sz w:val="24"/>
              <w:szCs w:val="24"/>
            </w:rPr>
            <w:t>Propiedad Planta</w:t>
          </w:r>
        </w:p>
        <w:p w14:paraId="49C8CBBE" w14:textId="3787173F" w:rsidR="007F0A8D" w:rsidRDefault="26D31430" w:rsidP="10D44305">
          <w:pPr>
            <w:spacing w:after="0" w:line="240" w:lineRule="auto"/>
            <w:ind w:left="-20" w:right="-20"/>
            <w:jc w:val="both"/>
            <w:rPr>
              <w:rFonts w:ascii="Times New Roman" w:eastAsia="Times New Roman" w:hAnsi="Times New Roman"/>
              <w:b/>
              <w:bCs/>
              <w:sz w:val="24"/>
              <w:szCs w:val="24"/>
            </w:rPr>
          </w:pPr>
          <w:r w:rsidRPr="10D44305">
            <w:rPr>
              <w:rFonts w:ascii="Times New Roman" w:eastAsia="Times New Roman" w:hAnsi="Times New Roman"/>
              <w:b/>
              <w:bCs/>
              <w:sz w:val="24"/>
              <w:szCs w:val="24"/>
            </w:rPr>
            <w:t xml:space="preserve"> y Equipo</w:t>
          </w:r>
          <w:r w:rsidR="007F0A8D">
            <w:tab/>
          </w:r>
          <w:r w:rsidRPr="10D44305">
            <w:rPr>
              <w:rFonts w:ascii="Times New Roman" w:eastAsia="Times New Roman" w:hAnsi="Times New Roman"/>
              <w:b/>
              <w:bCs/>
              <w:sz w:val="24"/>
              <w:szCs w:val="24"/>
            </w:rPr>
            <w:t xml:space="preserve">             $ 2.821.566.709</w:t>
          </w:r>
        </w:p>
        <w:p w14:paraId="173B5D1A" w14:textId="3090AA48"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Bienes Inmuebles          $713.542.510</w:t>
          </w:r>
        </w:p>
        <w:p w14:paraId="39EBF86A" w14:textId="2EF4106B"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Material Rodante</w:t>
          </w:r>
          <w:r w:rsidR="007F0A8D">
            <w:tab/>
          </w:r>
          <w:r w:rsidRPr="10D44305">
            <w:rPr>
              <w:rFonts w:ascii="Times New Roman" w:eastAsia="Times New Roman" w:hAnsi="Times New Roman"/>
              <w:sz w:val="24"/>
              <w:szCs w:val="24"/>
            </w:rPr>
            <w:t>$1.004.959.575</w:t>
          </w:r>
        </w:p>
        <w:p w14:paraId="6BF9B020" w14:textId="357A4914"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Equipo Operativo</w:t>
          </w:r>
          <w:r w:rsidR="007F0A8D">
            <w:tab/>
          </w:r>
          <w:r w:rsidRPr="10D44305">
            <w:rPr>
              <w:rFonts w:ascii="Times New Roman" w:eastAsia="Times New Roman" w:hAnsi="Times New Roman"/>
              <w:sz w:val="24"/>
              <w:szCs w:val="24"/>
            </w:rPr>
            <w:t>$ 1.103.064.625</w:t>
          </w:r>
        </w:p>
        <w:p w14:paraId="4C9A9DF3" w14:textId="6D7CDE07" w:rsidR="007F0A8D" w:rsidRDefault="26D31430" w:rsidP="10D44305">
          <w:pPr>
            <w:spacing w:after="0" w:line="240" w:lineRule="auto"/>
            <w:ind w:left="-20" w:right="-20"/>
            <w:jc w:val="both"/>
            <w:rPr>
              <w:rFonts w:ascii="Times New Roman" w:eastAsia="Times New Roman" w:hAnsi="Times New Roman"/>
              <w:b/>
              <w:bCs/>
              <w:sz w:val="24"/>
              <w:szCs w:val="24"/>
            </w:rPr>
          </w:pPr>
          <w:r w:rsidRPr="10D44305">
            <w:rPr>
              <w:rFonts w:ascii="Times New Roman" w:eastAsia="Times New Roman" w:hAnsi="Times New Roman"/>
              <w:b/>
              <w:bCs/>
              <w:sz w:val="24"/>
              <w:szCs w:val="24"/>
            </w:rPr>
            <w:t xml:space="preserve">Intangibles          </w:t>
          </w:r>
          <w:r w:rsidR="007F0A8D">
            <w:tab/>
          </w:r>
          <w:r w:rsidRPr="10D44305">
            <w:rPr>
              <w:rFonts w:ascii="Times New Roman" w:eastAsia="Times New Roman" w:hAnsi="Times New Roman"/>
              <w:b/>
              <w:bCs/>
              <w:sz w:val="24"/>
              <w:szCs w:val="24"/>
            </w:rPr>
            <w:t>$ 65.066.058.000</w:t>
          </w:r>
        </w:p>
        <w:p w14:paraId="0FD24180" w14:textId="63029AAC"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 </w:t>
          </w:r>
        </w:p>
        <w:p w14:paraId="4C96FAA0" w14:textId="66FE2B38" w:rsidR="007F0A8D" w:rsidRDefault="26D31430" w:rsidP="10D44305">
          <w:pPr>
            <w:spacing w:after="0" w:line="240" w:lineRule="auto"/>
            <w:ind w:left="-20" w:right="-20"/>
            <w:jc w:val="both"/>
            <w:rPr>
              <w:rFonts w:ascii="Times New Roman" w:eastAsia="Times New Roman" w:hAnsi="Times New Roman"/>
              <w:b/>
              <w:bCs/>
              <w:sz w:val="24"/>
              <w:szCs w:val="24"/>
            </w:rPr>
          </w:pPr>
          <w:r w:rsidRPr="10D44305">
            <w:rPr>
              <w:rFonts w:ascii="Times New Roman" w:eastAsia="Times New Roman" w:hAnsi="Times New Roman"/>
              <w:b/>
              <w:bCs/>
              <w:sz w:val="24"/>
              <w:szCs w:val="24"/>
            </w:rPr>
            <w:lastRenderedPageBreak/>
            <w:t>Observaciones:</w:t>
          </w:r>
        </w:p>
        <w:p w14:paraId="35B74460" w14:textId="379B0C37"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b/>
              <w:bCs/>
              <w:sz w:val="24"/>
              <w:szCs w:val="24"/>
            </w:rPr>
            <w:t xml:space="preserve"> </w:t>
          </w:r>
          <w:r w:rsidRPr="10D44305">
            <w:rPr>
              <w:rFonts w:ascii="Times New Roman" w:eastAsia="Times New Roman" w:hAnsi="Times New Roman"/>
              <w:sz w:val="24"/>
              <w:szCs w:val="24"/>
            </w:rPr>
            <w:t>LAS ALTERNATIVAS DE RENOVACIÓN Y CESE DEL ACUERDO</w:t>
          </w:r>
        </w:p>
        <w:p w14:paraId="582A8383" w14:textId="0B043CAB"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 Los términos contractuales con relación a los plazos de ejecución, extensión o terminación de manera anticipada del acuerdo de concesión son:</w:t>
          </w:r>
        </w:p>
        <w:p w14:paraId="0C3D4577" w14:textId="038AD6D8"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 “CAPITULO II – PLAZO DE LA CONCESIÓN</w:t>
          </w:r>
        </w:p>
        <w:p w14:paraId="412494E6" w14:textId="7B2A22B7"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 CLAUSULA 5. PLAZO DE LA CONCESIÓN</w:t>
          </w:r>
        </w:p>
        <w:p w14:paraId="5D5C686A" w14:textId="17B476D6"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 El plazo ó término del presente contrato de concesión será de TREINTA (30) AÑOS, el cual se empezará a contar a partir de la fecha de suscripción del acta de iniciación de la concesión. </w:t>
          </w:r>
        </w:p>
        <w:p w14:paraId="325AA7FD" w14:textId="228CB868"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Para todos los efectos legales. y en especial para la interpretación de las estipulaciones contractuales en las cuales se haga referencia a un determinado número de años de la concesión, se entenderá por "año de concesión" el periodo anual de doce meses corridos y subsiguientes, contados a partir de la fecha de suscripción del acta de iniciación de la concesión.</w:t>
          </w:r>
        </w:p>
        <w:p w14:paraId="43212983" w14:textId="79670AEE"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 </w:t>
          </w:r>
        </w:p>
        <w:p w14:paraId="7B7223F5" w14:textId="7D7F3D6D"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CLAUSULA 6. ACTA DE INICIACIÓN DE LA CONCESIÓN</w:t>
          </w:r>
        </w:p>
        <w:p w14:paraId="63A7098D" w14:textId="759537C7"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El acta de iniciación de la concesión es el acto bilateral que da comienzo al transcurso del plazo del contrato, sin perjuicio de la plena vigencia jurídica que el contrato adquiere con sola la firma de las partes. </w:t>
          </w:r>
        </w:p>
        <w:p w14:paraId="38D8FD3A" w14:textId="1D91A76C"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El acta de iniciación de la concesión deberá ser suscrita por los contratantes dentro de los tres (3) meses subsiguientes a la firma del presente contrato.</w:t>
          </w:r>
        </w:p>
        <w:p w14:paraId="3A42B972" w14:textId="544AD28E"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Como condición necesaria para la suscripción del acta de iniciación de la concesión, el CONCESIONARIO deberá aportar a FERROVIAS, dentro de los primeros diez (10) días hábiles siguientes, salvo lo previsto en el numeral 6.4. que deberá aportarse en los términos indicados en la cláusula 84, contados a partir de la firma del presente contrato, los siguientes documentos: </w:t>
          </w:r>
        </w:p>
        <w:p w14:paraId="2F82744B" w14:textId="56A56F2A"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6.1 El original de los contratos de asistencia técnica debidamente suscritos por el concesionario y el asistente técnico respectivo. Los contratos de asistencia técnica deberán estar amparados por una garantía de cumplimiento expedida en los términos y condiciones previstos en la cláusula 3.19. de los pliegos de condiciones y en el numeral V del adendo No. 5. </w:t>
          </w:r>
        </w:p>
        <w:p w14:paraId="7000260E" w14:textId="5EFDE3D2"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 </w:t>
          </w:r>
        </w:p>
        <w:p w14:paraId="283187BE" w14:textId="1A2122E1"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6.2 El original del contrato de fiducia para la administración de los aportes de FERROVIAS, debidamente suscrito entre el fideicomitente y la fiduciaria.</w:t>
          </w:r>
        </w:p>
        <w:p w14:paraId="43FA401B" w14:textId="4E58C5F8"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 6.3 La constancia de cancelación de los derechos de publicación en el Diario Único de Contratación Pública, según lo establecido en el artículo 59 de la ley 190 de 1995.</w:t>
          </w:r>
        </w:p>
        <w:p w14:paraId="41B7679A" w14:textId="796C3244"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 6.4 La garantía única y de estabilidad de obra debidamente constituidas.</w:t>
          </w:r>
        </w:p>
        <w:p w14:paraId="628E35B8" w14:textId="3E4251E5"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 6.5 El nombramiento del conciliador del contrato por parte de la Cámara de Comercio de Bogotá. </w:t>
          </w:r>
        </w:p>
        <w:p w14:paraId="247CC050" w14:textId="2AD5EE0B"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 Una vez allegados los documentos referidos, FERROVIAS evaluará que los mismos cumplan con los requisitos previstos en el pliego de condiciones, y en un término máximo de diez (10) días hábiles le comunicará a EL CONCESIONARIO por escrito su conformidad con los documentos mencionados, y le señalará la fecha, hora y sitio en los que se llevará a cabo la suscripción del acta de iniciación del contrato de concesión. </w:t>
          </w:r>
        </w:p>
        <w:p w14:paraId="071DC02D" w14:textId="6E96F19F"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En dicha acta se dejará constancia del cumplimiento de la totalidad de los requisitos previstos para la suscripción del contrato de concesión, declarará en consecuencia el inicio del contrato en mención, y hará entrega a cada una de las partes de un ejemplar original del acta debidamente suscrita por ambas partes.”</w:t>
          </w:r>
        </w:p>
        <w:p w14:paraId="4F1DA7C2" w14:textId="607E03E7"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 </w:t>
          </w:r>
        </w:p>
        <w:p w14:paraId="3F027FB3" w14:textId="7DDF73D0"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CLÁUSULA 7. EXTENSIÓN DEL PLAZO DE LA CONCESIÓN </w:t>
          </w:r>
        </w:p>
        <w:p w14:paraId="7ABEC4AA" w14:textId="4825D226"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lastRenderedPageBreak/>
            <w:t xml:space="preserve">El plazo del contrato de concesión podrá extenderse en la medida en que se presenten situaciones que alteren de manera relevante las condiciones de ejecución del contrato, de forma que sea necesaria tal extensión para la preservación de la ecuación contractual, en los términos previstos en el artículo 27 de la Ley 80 de 1993. </w:t>
          </w:r>
        </w:p>
        <w:p w14:paraId="00DC08F5" w14:textId="353C23E9"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Sin embargo, no constituirán causales de extensión del plazo del contrato las alteraciones, retrasos o sobrecostos del plan de obras de rehabilitación - reconstrucción, salvo que dichas circunstancias sean directa y exclusivamente imputables a la mora de FERROVIAS en la realización del depósito fiduciario de los recursos que le corresponde aportar según lo previsto en el numeral 3.11.2 del pliego de condiciones, o en el incumplimiento por parte de FERROVIAS de cualquiera de sus obligaciones cuando con ello se afecte substancialmente el equilibrio económico del contrato. Tampoco serán causales de extensión del plazo, aquellas que constituyan contingencias propias del negocio ferroviario.</w:t>
          </w:r>
        </w:p>
        <w:p w14:paraId="5A056646" w14:textId="19B68158"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 </w:t>
          </w:r>
        </w:p>
        <w:p w14:paraId="0984DF30" w14:textId="3067E42D"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CLÁUSULA 8. PROCEDIMIENTO PARA LA EXTENSIÓN DEL PLAZO</w:t>
          </w:r>
        </w:p>
        <w:p w14:paraId="28A17C7B" w14:textId="592B279E"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Cuando sucedan eventos que en criterio de EL CONCESIONARIO y </w:t>
          </w:r>
          <w:r w:rsidR="00F2599D" w:rsidRPr="10D44305">
            <w:rPr>
              <w:rFonts w:ascii="Times New Roman" w:eastAsia="Times New Roman" w:hAnsi="Times New Roman"/>
              <w:sz w:val="24"/>
              <w:szCs w:val="24"/>
            </w:rPr>
            <w:t>de acuerdo con</w:t>
          </w:r>
          <w:r w:rsidRPr="10D44305">
            <w:rPr>
              <w:rFonts w:ascii="Times New Roman" w:eastAsia="Times New Roman" w:hAnsi="Times New Roman"/>
              <w:sz w:val="24"/>
              <w:szCs w:val="24"/>
            </w:rPr>
            <w:t xml:space="preserve"> lo establecido en el pliego de condiciones, puedan ajustarse a los presupuestos previstos para la extensión del plazo del contrato, se seguirá el siguiente procedimiento:</w:t>
          </w:r>
        </w:p>
        <w:p w14:paraId="591946B2" w14:textId="735EC2DD"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 </w:t>
          </w:r>
        </w:p>
        <w:p w14:paraId="7CA497DD" w14:textId="18DB5917"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8.1. EL CONCESIONARIO solicitará por escrito a FERROVIAS la extensión del plazo, exponiendo las situaciones que en su criterio constituyen causal para la extensión, demostrando la alteración del equilibrio contractual, y señalando el plazo de extensión que en su criterio restablecería el equilibrio contractual, consignando la justificación técnica que lo demuestre. </w:t>
          </w:r>
        </w:p>
        <w:p w14:paraId="0E73CD0C" w14:textId="235A9DCD"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8.2. FERROVIAS tendrá un término de dos (2) meses para evaluar la solicitud de EL CONCESIONARIO, dentro del cual, si la encuentra viable, comunicará por escrito su aceptación, señalando la fecha, hora y lugar en el que se suscribirá la adición al contrato.</w:t>
          </w:r>
        </w:p>
        <w:p w14:paraId="3D372554" w14:textId="1D95C4BD"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8.3. Si FERROVIAS no encuentra aceptable la solicitud de EL CONCESIONARIO, deberá manifestarlo así mediante escrito· en el que comunique su posición, debidamente motivado. En este caso, EL CONCESIONARIO podrá acudir a los mecanismos para la solución de conflictos previstos en el presente contrato con el propósito de llegar a una definición.</w:t>
          </w:r>
        </w:p>
        <w:p w14:paraId="69134695" w14:textId="206E2FCB"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8.4. Si FERROVIAS no da respuesta a la solicitud de EL CONCESIONARIO dentro del término dispuesto para el efecto· en· la presente cláusula, se entenderá que acepta la solicitud de EL CONCESIONARIO en los términos en que éste ha hecho su solicitud, y por lo tanto se encontrará obligado a _suscribir la correspondiente adición al contrato dentro de los cinco (5) días siguientes al vencimiento del plazo aquí previsto para absolver la solicitud de EL CONCESIONARIO.” (Cursiva fuera de texto)</w:t>
          </w:r>
        </w:p>
        <w:p w14:paraId="652B9D87" w14:textId="29115E5E"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 “CAPÍTULO XX - CESIÓN DE LA CONCESIÓN, SUBCONTRATOS Y CESIÓN DE CONTRATOS QUE AFECTAN LA CONCESIÓN</w:t>
          </w:r>
        </w:p>
        <w:p w14:paraId="33346ED5" w14:textId="0DE644C4"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CLAUSULA 108. CESIÓN DE LA CONCESIÓN</w:t>
          </w:r>
        </w:p>
        <w:p w14:paraId="31D2A79E" w14:textId="6FE8508E"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 Toda cesión total o parcial del contrato por parte de EL CONCESIONARIO requerirá aprobación previa de FERROVIAS.</w:t>
          </w:r>
        </w:p>
        <w:p w14:paraId="3D85727D" w14:textId="10982E58"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 FERROVIAS se encontrará obligado a impartir tal autorización, sin más condiciones, cuando el cesionario acredite la experiencia y capacidad financiera que se requirió a los PROPONENTES en los términos de referencia de la licitación que dio origen al presente contrato y que el cesionario acepte de manera expresa ante FERROVIAS las responsabilidades que  se derivan de su calidad de integrante de la sociedad concesionaria, en los términos y con el alcance previstos en el presente pliego de condiciones, y suscriba el documento de cesión correspondiente donde expresamente se consagre  que su responsabilidad es solidaria, siempre </w:t>
          </w:r>
          <w:r w:rsidRPr="10D44305">
            <w:rPr>
              <w:rFonts w:ascii="Times New Roman" w:eastAsia="Times New Roman" w:hAnsi="Times New Roman"/>
              <w:sz w:val="24"/>
              <w:szCs w:val="24"/>
            </w:rPr>
            <w:lastRenderedPageBreak/>
            <w:t>y cuando se encuentre a partir de la constitución de la sociedad, durante el período de la rehabilitación y un año más y que el cedente manifieste expresamente en el documento de cesión su responsabilidad solidaria en dicho término.</w:t>
          </w:r>
        </w:p>
        <w:p w14:paraId="37073A93" w14:textId="77196BAD"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 </w:t>
          </w:r>
        </w:p>
        <w:p w14:paraId="01AFDFC3" w14:textId="3A1FB3AA"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CAPITULO XXII - TERMINACIÓN DEL CONTRATO</w:t>
          </w:r>
        </w:p>
        <w:p w14:paraId="28C5553B" w14:textId="6E1EDC2A"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CLAUSULA 115. CAUSALES DE TERMINACIÓN</w:t>
          </w:r>
        </w:p>
        <w:p w14:paraId="6996B82B" w14:textId="24184005"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 </w:t>
          </w:r>
        </w:p>
        <w:p w14:paraId="5F11F4FD" w14:textId="1E96ACD5"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El contrato de concesión terminará de manera ordinaria por el vencimiento del plazo previsto en la CLAUSULA 5 del presente contrato, y de manera extraordinaria en cualquiera de los siguientes eventos:</w:t>
          </w:r>
        </w:p>
        <w:p w14:paraId="2BEA7CB6" w14:textId="3A5D7272"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 115.1.</w:t>
          </w:r>
          <w:r w:rsidR="007F0A8D">
            <w:tab/>
          </w:r>
          <w:r w:rsidRPr="10D44305">
            <w:rPr>
              <w:rFonts w:ascii="Times New Roman" w:eastAsia="Times New Roman" w:hAnsi="Times New Roman"/>
              <w:sz w:val="24"/>
              <w:szCs w:val="24"/>
            </w:rPr>
            <w:t>A solicitud de cualquiera de las partes, por causa del incumplimiento grave que impida la ejecución del contrato por culpa imputable a la contraparte;</w:t>
          </w:r>
        </w:p>
        <w:p w14:paraId="4CE57874" w14:textId="134154C6"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 115.2.</w:t>
          </w:r>
          <w:r w:rsidR="007F0A8D">
            <w:tab/>
          </w:r>
          <w:r w:rsidRPr="10D44305">
            <w:rPr>
              <w:rFonts w:ascii="Times New Roman" w:eastAsia="Times New Roman" w:hAnsi="Times New Roman"/>
              <w:sz w:val="24"/>
              <w:szCs w:val="24"/>
            </w:rPr>
            <w:t>Por el acaecimiento de circunstancias de fuerza mayor, caso fortuito o hechos de un tercero que hagan imposible la ejecución del contrato para cualquiera de las partes.</w:t>
          </w:r>
        </w:p>
        <w:p w14:paraId="1951B328" w14:textId="12B5494A"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 115.3.</w:t>
          </w:r>
          <w:r w:rsidR="007F0A8D">
            <w:tab/>
          </w:r>
          <w:r w:rsidRPr="10D44305">
            <w:rPr>
              <w:rFonts w:ascii="Times New Roman" w:eastAsia="Times New Roman" w:hAnsi="Times New Roman"/>
              <w:sz w:val="24"/>
              <w:szCs w:val="24"/>
            </w:rPr>
            <w:t>Por mutuo acuerdo entre las partes.</w:t>
          </w:r>
        </w:p>
        <w:p w14:paraId="07B9349D" w14:textId="41F8B2ED"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 115.4.</w:t>
          </w:r>
          <w:r w:rsidR="007F0A8D">
            <w:tab/>
          </w:r>
          <w:r w:rsidRPr="10D44305">
            <w:rPr>
              <w:rFonts w:ascii="Times New Roman" w:eastAsia="Times New Roman" w:hAnsi="Times New Roman"/>
              <w:sz w:val="24"/>
              <w:szCs w:val="24"/>
            </w:rPr>
            <w:t>Por presentarse la caducidad del contrato en los términos del artículo 18 de la ley 80 de 1993.</w:t>
          </w:r>
        </w:p>
        <w:p w14:paraId="2FEE93A8" w14:textId="5D6AE500"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 115.5 Por declararse la terminación unilateral del contrato en los términos del artículo 17 de la ley 80 de 1993.</w:t>
          </w:r>
        </w:p>
        <w:p w14:paraId="62EF8B25" w14:textId="7AF50AE1"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 Y siguientes: CLAUSULA 116. </w:t>
          </w:r>
          <w:r w:rsidR="000D0B4B" w:rsidRPr="10D44305">
            <w:rPr>
              <w:rFonts w:ascii="Times New Roman" w:eastAsia="Times New Roman" w:hAnsi="Times New Roman"/>
              <w:sz w:val="24"/>
              <w:szCs w:val="24"/>
            </w:rPr>
            <w:t>terminación</w:t>
          </w:r>
          <w:r w:rsidRPr="10D44305">
            <w:rPr>
              <w:rFonts w:ascii="Times New Roman" w:eastAsia="Times New Roman" w:hAnsi="Times New Roman"/>
              <w:sz w:val="24"/>
              <w:szCs w:val="24"/>
            </w:rPr>
            <w:t xml:space="preserve"> anticipada del contrato por causa imputable </w:t>
          </w:r>
          <w:r w:rsidR="001026A5" w:rsidRPr="10D44305">
            <w:rPr>
              <w:rFonts w:ascii="Times New Roman" w:eastAsia="Times New Roman" w:hAnsi="Times New Roman"/>
              <w:sz w:val="24"/>
              <w:szCs w:val="24"/>
            </w:rPr>
            <w:t>a ferrovías</w:t>
          </w:r>
          <w:r w:rsidRPr="10D44305">
            <w:rPr>
              <w:rFonts w:ascii="Times New Roman" w:eastAsia="Times New Roman" w:hAnsi="Times New Roman"/>
              <w:sz w:val="24"/>
              <w:szCs w:val="24"/>
            </w:rPr>
            <w:t xml:space="preserve">, clausula 117. </w:t>
          </w:r>
          <w:r w:rsidR="000D0B4B" w:rsidRPr="10D44305">
            <w:rPr>
              <w:rFonts w:ascii="Times New Roman" w:eastAsia="Times New Roman" w:hAnsi="Times New Roman"/>
              <w:sz w:val="24"/>
              <w:szCs w:val="24"/>
            </w:rPr>
            <w:t>terminación</w:t>
          </w:r>
          <w:r w:rsidRPr="10D44305">
            <w:rPr>
              <w:rFonts w:ascii="Times New Roman" w:eastAsia="Times New Roman" w:hAnsi="Times New Roman"/>
              <w:sz w:val="24"/>
              <w:szCs w:val="24"/>
            </w:rPr>
            <w:t xml:space="preserve"> anticipada del contrato por causa imputable al concesionario, clausula 118. restablecimiento del incumplimiento, clausula 119. </w:t>
          </w:r>
          <w:r w:rsidR="001026A5" w:rsidRPr="10D44305">
            <w:rPr>
              <w:rFonts w:ascii="Times New Roman" w:eastAsia="Times New Roman" w:hAnsi="Times New Roman"/>
              <w:sz w:val="24"/>
              <w:szCs w:val="24"/>
            </w:rPr>
            <w:t>terminación</w:t>
          </w:r>
          <w:r w:rsidRPr="10D44305">
            <w:rPr>
              <w:rFonts w:ascii="Times New Roman" w:eastAsia="Times New Roman" w:hAnsi="Times New Roman"/>
              <w:sz w:val="24"/>
              <w:szCs w:val="24"/>
            </w:rPr>
            <w:t xml:space="preserve"> anticipada del contrato por fuerza mayor o caso fortuito, clausula 120. </w:t>
          </w:r>
          <w:r w:rsidR="001026A5" w:rsidRPr="10D44305">
            <w:rPr>
              <w:rFonts w:ascii="Times New Roman" w:eastAsia="Times New Roman" w:hAnsi="Times New Roman"/>
              <w:sz w:val="24"/>
              <w:szCs w:val="24"/>
            </w:rPr>
            <w:t>terminación</w:t>
          </w:r>
          <w:r w:rsidRPr="10D44305">
            <w:rPr>
              <w:rFonts w:ascii="Times New Roman" w:eastAsia="Times New Roman" w:hAnsi="Times New Roman"/>
              <w:sz w:val="24"/>
              <w:szCs w:val="24"/>
            </w:rPr>
            <w:t xml:space="preserve"> anticipada del contrato por mutuo acuerdo entre las partes, clausula 121.  procedimiento para la terminación anticipada del contrato de concesión y clausula 122. continuidad del servicio.</w:t>
          </w:r>
        </w:p>
        <w:p w14:paraId="4825E9CE" w14:textId="59061527"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 </w:t>
          </w:r>
        </w:p>
        <w:p w14:paraId="749F95BB" w14:textId="27A3A1D9" w:rsidR="007F0A8D" w:rsidRDefault="26D31430" w:rsidP="10D44305">
          <w:pPr>
            <w:spacing w:after="0" w:line="240" w:lineRule="auto"/>
            <w:ind w:left="-20" w:right="-20"/>
            <w:jc w:val="both"/>
            <w:rPr>
              <w:rFonts w:ascii="Times New Roman" w:eastAsia="Times New Roman" w:hAnsi="Times New Roman"/>
              <w:b/>
              <w:bCs/>
              <w:sz w:val="24"/>
              <w:szCs w:val="24"/>
            </w:rPr>
          </w:pPr>
          <w:r w:rsidRPr="10D44305">
            <w:rPr>
              <w:rFonts w:ascii="Times New Roman" w:eastAsia="Times New Roman" w:hAnsi="Times New Roman"/>
              <w:b/>
              <w:bCs/>
              <w:sz w:val="24"/>
              <w:szCs w:val="24"/>
            </w:rPr>
            <w:t>e. No hay cambios en el acuerdo de concesión que se realicen durante el periodo fiscal</w:t>
          </w:r>
        </w:p>
        <w:p w14:paraId="7CA059C0" w14:textId="3A89BA7F" w:rsidR="007F0A8D" w:rsidRDefault="26D31430" w:rsidP="10D44305">
          <w:pPr>
            <w:spacing w:after="0" w:line="240" w:lineRule="auto"/>
            <w:ind w:left="-20" w:right="-20"/>
            <w:jc w:val="both"/>
            <w:rPr>
              <w:rFonts w:ascii="Times New Roman" w:eastAsia="Times New Roman" w:hAnsi="Times New Roman"/>
              <w:sz w:val="24"/>
              <w:szCs w:val="24"/>
            </w:rPr>
          </w:pPr>
          <w:r w:rsidRPr="10D44305">
            <w:rPr>
              <w:rFonts w:ascii="Times New Roman" w:eastAsia="Times New Roman" w:hAnsi="Times New Roman"/>
              <w:sz w:val="24"/>
              <w:szCs w:val="24"/>
            </w:rPr>
            <w:t xml:space="preserve"> </w:t>
          </w:r>
        </w:p>
        <w:p w14:paraId="18FFBE26" w14:textId="77777777" w:rsidR="007F0A8D" w:rsidRPr="00931DCE" w:rsidRDefault="007F0A8D" w:rsidP="007F0A8D">
          <w:pPr>
            <w:spacing w:after="0" w:line="240" w:lineRule="auto"/>
            <w:jc w:val="both"/>
            <w:rPr>
              <w:rFonts w:ascii="Times New Roman" w:hAnsi="Times New Roman"/>
              <w:sz w:val="24"/>
              <w:szCs w:val="24"/>
            </w:rPr>
          </w:pPr>
        </w:p>
        <w:p w14:paraId="66B5E69D" w14:textId="6CE9D1FE" w:rsidR="007F0A8D" w:rsidRPr="00A200CC" w:rsidRDefault="007F0A8D" w:rsidP="00A200CC">
          <w:pPr>
            <w:pStyle w:val="Ttulo3"/>
            <w:spacing w:line="240" w:lineRule="auto"/>
            <w:rPr>
              <w:rFonts w:cs="Times New Roman"/>
              <w:color w:val="1F3864" w:themeColor="accent1" w:themeShade="80"/>
            </w:rPr>
          </w:pPr>
          <w:bookmarkStart w:id="141" w:name="_Toc159952454"/>
          <w:r w:rsidRPr="00931DCE">
            <w:rPr>
              <w:rFonts w:cs="Times New Roman"/>
              <w:color w:val="1F3864" w:themeColor="accent1" w:themeShade="80"/>
            </w:rPr>
            <w:t>32.1.</w:t>
          </w:r>
          <w:r>
            <w:rPr>
              <w:rFonts w:cs="Times New Roman"/>
              <w:color w:val="1F3864" w:themeColor="accent1" w:themeShade="80"/>
            </w:rPr>
            <w:t>4</w:t>
          </w:r>
          <w:r w:rsidRPr="00931DCE">
            <w:rPr>
              <w:rFonts w:cs="Times New Roman"/>
              <w:color w:val="1F3864" w:themeColor="accent1" w:themeShade="80"/>
            </w:rPr>
            <w:t xml:space="preserve"> Modo </w:t>
          </w:r>
          <w:r>
            <w:rPr>
              <w:rFonts w:cs="Times New Roman"/>
              <w:color w:val="1F3864" w:themeColor="accent1" w:themeShade="80"/>
            </w:rPr>
            <w:t>Fluvial</w:t>
          </w:r>
          <w:r w:rsidRPr="00931DCE">
            <w:rPr>
              <w:rFonts w:cs="Times New Roman"/>
              <w:color w:val="1F3864" w:themeColor="accent1" w:themeShade="80"/>
            </w:rPr>
            <w:t>:</w:t>
          </w:r>
          <w:bookmarkEnd w:id="141"/>
        </w:p>
        <w:p w14:paraId="4F92D040" w14:textId="77777777" w:rsidR="007F0A8D" w:rsidRDefault="007F0A8D" w:rsidP="00EF2A7D">
          <w:pPr>
            <w:spacing w:after="0" w:line="240" w:lineRule="auto"/>
            <w:jc w:val="both"/>
            <w:rPr>
              <w:rFonts w:ascii="Times New Roman" w:hAnsi="Times New Roman"/>
              <w:sz w:val="24"/>
              <w:szCs w:val="24"/>
            </w:rPr>
          </w:pPr>
        </w:p>
        <w:p w14:paraId="72F1BC6E" w14:textId="5A914953" w:rsidR="5AA43B44" w:rsidRDefault="5AA43B44" w:rsidP="10D44305">
          <w:pPr>
            <w:spacing w:line="257" w:lineRule="auto"/>
            <w:ind w:left="-20" w:right="-20"/>
            <w:jc w:val="both"/>
          </w:pPr>
          <w:r w:rsidRPr="10D44305">
            <w:rPr>
              <w:rFonts w:ascii="Times New Roman" w:eastAsia="Times New Roman" w:hAnsi="Times New Roman"/>
              <w:b/>
              <w:bCs/>
              <w:sz w:val="24"/>
              <w:szCs w:val="24"/>
              <w:lang w:val="es-MX"/>
            </w:rPr>
            <w:t>CANAL DEL DIQUE</w:t>
          </w:r>
        </w:p>
        <w:p w14:paraId="1150E62B" w14:textId="1D6245AB" w:rsidR="5AA43B44" w:rsidRDefault="5AA43B44" w:rsidP="00E60BAB">
          <w:pPr>
            <w:pStyle w:val="Prrafodelista"/>
            <w:numPr>
              <w:ilvl w:val="0"/>
              <w:numId w:val="139"/>
            </w:numPr>
            <w:spacing w:line="257" w:lineRule="auto"/>
            <w:ind w:left="-20" w:right="-20"/>
            <w:jc w:val="both"/>
            <w:rPr>
              <w:rFonts w:ascii="Times New Roman" w:eastAsia="Times New Roman" w:hAnsi="Times New Roman"/>
              <w:b/>
              <w:bCs/>
              <w:sz w:val="24"/>
              <w:szCs w:val="24"/>
              <w:lang w:val="es-MX"/>
            </w:rPr>
          </w:pPr>
          <w:r w:rsidRPr="10D44305">
            <w:rPr>
              <w:rFonts w:ascii="Times New Roman" w:eastAsia="Times New Roman" w:hAnsi="Times New Roman"/>
              <w:b/>
              <w:bCs/>
              <w:sz w:val="24"/>
              <w:szCs w:val="24"/>
              <w:lang w:val="es-MX"/>
            </w:rPr>
            <w:t>Descripción del Acuerdo</w:t>
          </w:r>
        </w:p>
        <w:p w14:paraId="3B4941EA" w14:textId="4371314D" w:rsidR="5AA43B44" w:rsidRDefault="5AA43B44" w:rsidP="10D44305">
          <w:pPr>
            <w:spacing w:after="0" w:line="257" w:lineRule="auto"/>
            <w:ind w:left="-20" w:right="-20"/>
            <w:jc w:val="both"/>
          </w:pPr>
          <w:r w:rsidRPr="10D44305">
            <w:rPr>
              <w:rFonts w:ascii="Times New Roman" w:eastAsia="Times New Roman" w:hAnsi="Times New Roman"/>
              <w:b/>
              <w:bCs/>
              <w:sz w:val="24"/>
              <w:szCs w:val="24"/>
              <w:lang w:val="es-MX"/>
            </w:rPr>
            <w:t xml:space="preserve">Número del Acuerdo de Concesión: </w:t>
          </w:r>
          <w:r w:rsidRPr="10D44305">
            <w:rPr>
              <w:rFonts w:ascii="Times New Roman" w:eastAsia="Times New Roman" w:hAnsi="Times New Roman"/>
              <w:sz w:val="24"/>
              <w:szCs w:val="24"/>
              <w:lang w:val="es-MX"/>
            </w:rPr>
            <w:t>APP No</w:t>
          </w:r>
          <w:r w:rsidR="00A83923" w:rsidRPr="10D44305">
            <w:rPr>
              <w:rFonts w:ascii="Times New Roman" w:eastAsia="Times New Roman" w:hAnsi="Times New Roman"/>
              <w:sz w:val="24"/>
              <w:szCs w:val="24"/>
              <w:lang w:val="es-MX"/>
            </w:rPr>
            <w:t>005 de</w:t>
          </w:r>
          <w:r w:rsidRPr="10D44305">
            <w:rPr>
              <w:rFonts w:ascii="Times New Roman" w:eastAsia="Times New Roman" w:hAnsi="Times New Roman"/>
              <w:sz w:val="24"/>
              <w:szCs w:val="24"/>
              <w:lang w:val="es-MX"/>
            </w:rPr>
            <w:t xml:space="preserve"> 2022</w:t>
          </w:r>
        </w:p>
        <w:p w14:paraId="43133FA7" w14:textId="63ADD181" w:rsidR="5AA43B44" w:rsidRDefault="5AA43B44" w:rsidP="10D44305">
          <w:pPr>
            <w:spacing w:after="0" w:line="257" w:lineRule="auto"/>
            <w:ind w:left="-20" w:right="-20"/>
            <w:jc w:val="both"/>
            <w:rPr>
              <w:rFonts w:ascii="Times New Roman" w:eastAsia="Times New Roman" w:hAnsi="Times New Roman"/>
              <w:sz w:val="24"/>
              <w:szCs w:val="24"/>
              <w:lang w:val="es-MX"/>
            </w:rPr>
          </w:pPr>
          <w:r w:rsidRPr="10D44305">
            <w:rPr>
              <w:rFonts w:ascii="Times New Roman" w:eastAsia="Times New Roman" w:hAnsi="Times New Roman"/>
              <w:b/>
              <w:bCs/>
              <w:sz w:val="24"/>
              <w:szCs w:val="24"/>
              <w:lang w:val="es-MX"/>
            </w:rPr>
            <w:t>Objeto / Descripción:</w:t>
          </w:r>
          <w:r w:rsidR="55309FAC" w:rsidRPr="10D44305">
            <w:rPr>
              <w:rFonts w:ascii="Times New Roman" w:eastAsia="Times New Roman" w:hAnsi="Times New Roman"/>
              <w:sz w:val="24"/>
              <w:szCs w:val="24"/>
              <w:lang w:val="es-MX"/>
            </w:rPr>
            <w:t xml:space="preserve"> El presente contrato de Concesión bajo un esquema de asociación publico privado en los términos de la Ley 1508 de 2012, tiene por objeto el otorgamiento de una Concesión para que, de conformidad con lo previsto en este contrato, el Concesionario, por su cuenta y riesgo lleve a cabo el proyecto. La </w:t>
          </w:r>
          <w:r w:rsidR="00A83923" w:rsidRPr="10D44305">
            <w:rPr>
              <w:rFonts w:ascii="Times New Roman" w:eastAsia="Times New Roman" w:hAnsi="Times New Roman"/>
              <w:sz w:val="24"/>
              <w:szCs w:val="24"/>
              <w:lang w:val="es-MX"/>
            </w:rPr>
            <w:t>realización</w:t>
          </w:r>
          <w:r w:rsidR="55309FAC" w:rsidRPr="10D44305">
            <w:rPr>
              <w:rFonts w:ascii="Times New Roman" w:eastAsia="Times New Roman" w:hAnsi="Times New Roman"/>
              <w:sz w:val="24"/>
              <w:szCs w:val="24"/>
              <w:lang w:val="es-MX"/>
            </w:rPr>
            <w:t xml:space="preserve"> de estudios y diseños las </w:t>
          </w:r>
          <w:r w:rsidR="00A83923" w:rsidRPr="10D44305">
            <w:rPr>
              <w:rFonts w:ascii="Times New Roman" w:eastAsia="Times New Roman" w:hAnsi="Times New Roman"/>
              <w:sz w:val="24"/>
              <w:szCs w:val="24"/>
              <w:lang w:val="es-MX"/>
            </w:rPr>
            <w:t>intervenciones</w:t>
          </w:r>
          <w:r w:rsidR="55309FAC" w:rsidRPr="10D44305">
            <w:rPr>
              <w:rFonts w:ascii="Times New Roman" w:eastAsia="Times New Roman" w:hAnsi="Times New Roman"/>
              <w:sz w:val="24"/>
              <w:szCs w:val="24"/>
              <w:lang w:val="es-MX"/>
            </w:rPr>
            <w:t xml:space="preserve"> de </w:t>
          </w:r>
          <w:r w:rsidR="00A83923" w:rsidRPr="10D44305">
            <w:rPr>
              <w:rFonts w:ascii="Times New Roman" w:eastAsia="Times New Roman" w:hAnsi="Times New Roman"/>
              <w:sz w:val="24"/>
              <w:szCs w:val="24"/>
              <w:lang w:val="es-MX"/>
            </w:rPr>
            <w:t>conformidad</w:t>
          </w:r>
          <w:r w:rsidR="55309FAC" w:rsidRPr="10D44305">
            <w:rPr>
              <w:rFonts w:ascii="Times New Roman" w:eastAsia="Times New Roman" w:hAnsi="Times New Roman"/>
              <w:sz w:val="24"/>
              <w:szCs w:val="24"/>
              <w:lang w:val="es-MX"/>
            </w:rPr>
            <w:t xml:space="preserve"> con el </w:t>
          </w:r>
          <w:r w:rsidR="00A83923" w:rsidRPr="10D44305">
            <w:rPr>
              <w:rFonts w:ascii="Times New Roman" w:eastAsia="Times New Roman" w:hAnsi="Times New Roman"/>
              <w:sz w:val="24"/>
              <w:szCs w:val="24"/>
              <w:lang w:val="es-MX"/>
            </w:rPr>
            <w:t>Apéndice</w:t>
          </w:r>
          <w:r w:rsidR="55309FAC" w:rsidRPr="10D44305">
            <w:rPr>
              <w:rFonts w:ascii="Times New Roman" w:eastAsia="Times New Roman" w:hAnsi="Times New Roman"/>
              <w:sz w:val="24"/>
              <w:szCs w:val="24"/>
              <w:lang w:val="es-MX"/>
            </w:rPr>
            <w:t xml:space="preserve"> </w:t>
          </w:r>
          <w:r w:rsidR="00A83923" w:rsidRPr="10D44305">
            <w:rPr>
              <w:rFonts w:ascii="Times New Roman" w:eastAsia="Times New Roman" w:hAnsi="Times New Roman"/>
              <w:sz w:val="24"/>
              <w:szCs w:val="24"/>
              <w:lang w:val="es-MX"/>
            </w:rPr>
            <w:t>técnico</w:t>
          </w:r>
          <w:r w:rsidR="55309FAC" w:rsidRPr="10D44305">
            <w:rPr>
              <w:rFonts w:ascii="Times New Roman" w:eastAsia="Times New Roman" w:hAnsi="Times New Roman"/>
              <w:sz w:val="24"/>
              <w:szCs w:val="24"/>
              <w:lang w:val="es-MX"/>
            </w:rPr>
            <w:t xml:space="preserve"> No 1, la financiación de las </w:t>
          </w:r>
          <w:r w:rsidR="00A83923" w:rsidRPr="10D44305">
            <w:rPr>
              <w:rFonts w:ascii="Times New Roman" w:eastAsia="Times New Roman" w:hAnsi="Times New Roman"/>
              <w:sz w:val="24"/>
              <w:szCs w:val="24"/>
              <w:lang w:val="es-MX"/>
            </w:rPr>
            <w:t>intervenciones,</w:t>
          </w:r>
          <w:r w:rsidR="55309FAC" w:rsidRPr="10D44305">
            <w:rPr>
              <w:rFonts w:ascii="Times New Roman" w:eastAsia="Times New Roman" w:hAnsi="Times New Roman"/>
              <w:sz w:val="24"/>
              <w:szCs w:val="24"/>
              <w:lang w:val="es-MX"/>
            </w:rPr>
            <w:t xml:space="preserve"> operación de mantenimiento, el mantenimiento </w:t>
          </w:r>
          <w:r w:rsidR="00A83923" w:rsidRPr="10D44305">
            <w:rPr>
              <w:rFonts w:ascii="Times New Roman" w:eastAsia="Times New Roman" w:hAnsi="Times New Roman"/>
              <w:sz w:val="24"/>
              <w:szCs w:val="24"/>
              <w:lang w:val="es-MX"/>
            </w:rPr>
            <w:t>de acuerdo con</w:t>
          </w:r>
          <w:r w:rsidR="55309FAC" w:rsidRPr="10D44305">
            <w:rPr>
              <w:rFonts w:ascii="Times New Roman" w:eastAsia="Times New Roman" w:hAnsi="Times New Roman"/>
              <w:sz w:val="24"/>
              <w:szCs w:val="24"/>
              <w:lang w:val="es-MX"/>
            </w:rPr>
            <w:t xml:space="preserve"> lo dispuesto en los </w:t>
          </w:r>
          <w:r w:rsidR="00A83923" w:rsidRPr="10D44305">
            <w:rPr>
              <w:rFonts w:ascii="Times New Roman" w:eastAsia="Times New Roman" w:hAnsi="Times New Roman"/>
              <w:sz w:val="24"/>
              <w:szCs w:val="24"/>
              <w:lang w:val="es-MX"/>
            </w:rPr>
            <w:t>apéndices</w:t>
          </w:r>
          <w:r w:rsidR="55309FAC" w:rsidRPr="10D44305">
            <w:rPr>
              <w:rFonts w:ascii="Times New Roman" w:eastAsia="Times New Roman" w:hAnsi="Times New Roman"/>
              <w:sz w:val="24"/>
              <w:szCs w:val="24"/>
              <w:lang w:val="es-MX"/>
            </w:rPr>
            <w:t xml:space="preserve"> </w:t>
          </w:r>
          <w:r w:rsidR="00A83923" w:rsidRPr="10D44305">
            <w:rPr>
              <w:rFonts w:ascii="Times New Roman" w:eastAsia="Times New Roman" w:hAnsi="Times New Roman"/>
              <w:sz w:val="24"/>
              <w:szCs w:val="24"/>
              <w:lang w:val="es-MX"/>
            </w:rPr>
            <w:t>técnicos</w:t>
          </w:r>
          <w:r w:rsidR="55309FAC" w:rsidRPr="10D44305">
            <w:rPr>
              <w:rFonts w:ascii="Times New Roman" w:eastAsia="Times New Roman" w:hAnsi="Times New Roman"/>
              <w:sz w:val="24"/>
              <w:szCs w:val="24"/>
              <w:lang w:val="es-MX"/>
            </w:rPr>
            <w:t xml:space="preserve"> 2 y </w:t>
          </w:r>
          <w:r w:rsidR="00A83923" w:rsidRPr="10D44305">
            <w:rPr>
              <w:rFonts w:ascii="Times New Roman" w:eastAsia="Times New Roman" w:hAnsi="Times New Roman"/>
              <w:sz w:val="24"/>
              <w:szCs w:val="24"/>
              <w:lang w:val="es-MX"/>
            </w:rPr>
            <w:t>4,</w:t>
          </w:r>
          <w:r w:rsidR="55309FAC" w:rsidRPr="10D44305">
            <w:rPr>
              <w:rFonts w:ascii="Times New Roman" w:eastAsia="Times New Roman" w:hAnsi="Times New Roman"/>
              <w:sz w:val="24"/>
              <w:szCs w:val="24"/>
              <w:lang w:val="es-MX"/>
            </w:rPr>
            <w:t xml:space="preserve"> Gestión Pradal, Gestión Social y Ambiental y Reversión </w:t>
          </w:r>
          <w:r w:rsidR="00A83923" w:rsidRPr="10D44305">
            <w:rPr>
              <w:rFonts w:ascii="Times New Roman" w:eastAsia="Times New Roman" w:hAnsi="Times New Roman"/>
              <w:sz w:val="24"/>
              <w:szCs w:val="24"/>
              <w:lang w:val="es-MX"/>
            </w:rPr>
            <w:t>demás</w:t>
          </w:r>
          <w:r w:rsidR="55309FAC" w:rsidRPr="10D44305">
            <w:rPr>
              <w:rFonts w:ascii="Times New Roman" w:eastAsia="Times New Roman" w:hAnsi="Times New Roman"/>
              <w:sz w:val="24"/>
              <w:szCs w:val="24"/>
              <w:lang w:val="es-MX"/>
            </w:rPr>
            <w:t xml:space="preserve"> obligaciones contempladas en el contrato de </w:t>
          </w:r>
          <w:r w:rsidR="00A83923" w:rsidRPr="10D44305">
            <w:rPr>
              <w:rFonts w:ascii="Times New Roman" w:eastAsia="Times New Roman" w:hAnsi="Times New Roman"/>
              <w:sz w:val="24"/>
              <w:szCs w:val="24"/>
              <w:lang w:val="es-MX"/>
            </w:rPr>
            <w:t>Concesión</w:t>
          </w:r>
          <w:r w:rsidR="55309FAC" w:rsidRPr="10D44305">
            <w:rPr>
              <w:rFonts w:ascii="Times New Roman" w:eastAsia="Times New Roman" w:hAnsi="Times New Roman"/>
              <w:sz w:val="24"/>
              <w:szCs w:val="24"/>
              <w:lang w:val="es-MX"/>
            </w:rPr>
            <w:t xml:space="preserve"> Canal del Dique.</w:t>
          </w:r>
        </w:p>
        <w:p w14:paraId="70D0EE5A" w14:textId="77777777" w:rsidR="00A83923" w:rsidRDefault="00A83923" w:rsidP="10D44305">
          <w:pPr>
            <w:spacing w:after="0" w:line="257" w:lineRule="auto"/>
            <w:ind w:left="-20" w:right="-20"/>
            <w:jc w:val="both"/>
          </w:pPr>
        </w:p>
        <w:p w14:paraId="1DC81983" w14:textId="456C0932" w:rsidR="5AA43B44" w:rsidRDefault="5AA43B44" w:rsidP="10D44305">
          <w:pPr>
            <w:spacing w:after="0" w:line="257" w:lineRule="auto"/>
            <w:ind w:left="-20" w:right="-20"/>
            <w:jc w:val="both"/>
            <w:rPr>
              <w:rFonts w:ascii="Times New Roman" w:eastAsia="Times New Roman" w:hAnsi="Times New Roman"/>
              <w:sz w:val="24"/>
              <w:szCs w:val="24"/>
              <w:lang w:val="es-MX"/>
            </w:rPr>
          </w:pPr>
          <w:r w:rsidRPr="10D44305">
            <w:rPr>
              <w:rFonts w:ascii="Times New Roman" w:eastAsia="Times New Roman" w:hAnsi="Times New Roman"/>
              <w:b/>
              <w:bCs/>
              <w:sz w:val="24"/>
              <w:szCs w:val="24"/>
              <w:lang w:val="es-MX"/>
            </w:rPr>
            <w:t>Valor Inicial:</w:t>
          </w:r>
          <w:r w:rsidR="471D39D7" w:rsidRPr="10D44305">
            <w:rPr>
              <w:rFonts w:ascii="Times New Roman" w:eastAsia="Times New Roman" w:hAnsi="Times New Roman"/>
              <w:b/>
              <w:bCs/>
              <w:sz w:val="24"/>
              <w:szCs w:val="24"/>
              <w:lang w:val="es-MX"/>
            </w:rPr>
            <w:t xml:space="preserve"> </w:t>
          </w:r>
          <w:r w:rsidR="471D39D7" w:rsidRPr="10D44305">
            <w:rPr>
              <w:rFonts w:ascii="Times New Roman" w:eastAsia="Times New Roman" w:hAnsi="Times New Roman"/>
              <w:sz w:val="24"/>
              <w:szCs w:val="24"/>
              <w:lang w:val="es-MX"/>
            </w:rPr>
            <w:t xml:space="preserve">Tres Billones Doscientos Cincuenta y Seis Mil </w:t>
          </w:r>
          <w:r w:rsidR="00A83923" w:rsidRPr="10D44305">
            <w:rPr>
              <w:rFonts w:ascii="Times New Roman" w:eastAsia="Times New Roman" w:hAnsi="Times New Roman"/>
              <w:sz w:val="24"/>
              <w:szCs w:val="24"/>
              <w:lang w:val="es-MX"/>
            </w:rPr>
            <w:t>Seiscientos</w:t>
          </w:r>
          <w:r w:rsidR="471D39D7" w:rsidRPr="10D44305">
            <w:rPr>
              <w:rFonts w:ascii="Times New Roman" w:eastAsia="Times New Roman" w:hAnsi="Times New Roman"/>
              <w:sz w:val="24"/>
              <w:szCs w:val="24"/>
              <w:lang w:val="es-MX"/>
            </w:rPr>
            <w:t xml:space="preserve"> Diecinueve Millones Quince Mil Ochocientos Sesenta y Un ($3.256.619.015.871) pesos mes de referencia.</w:t>
          </w:r>
        </w:p>
        <w:p w14:paraId="074F9799" w14:textId="344EF2F4" w:rsidR="5AA43B44" w:rsidRDefault="5AA43B44" w:rsidP="10D44305">
          <w:pPr>
            <w:spacing w:after="0" w:line="257" w:lineRule="auto"/>
            <w:ind w:left="-20" w:right="-20"/>
            <w:jc w:val="both"/>
          </w:pPr>
          <w:r w:rsidRPr="10D44305">
            <w:rPr>
              <w:rFonts w:ascii="Times New Roman" w:eastAsia="Times New Roman" w:hAnsi="Times New Roman"/>
              <w:b/>
              <w:bCs/>
              <w:sz w:val="24"/>
              <w:szCs w:val="24"/>
              <w:lang w:val="es-MX"/>
            </w:rPr>
            <w:lastRenderedPageBreak/>
            <w:t>Fecha de Inicio:</w:t>
          </w:r>
          <w:r w:rsidR="284F8117" w:rsidRPr="10D44305">
            <w:rPr>
              <w:rFonts w:ascii="Times New Roman" w:eastAsia="Times New Roman" w:hAnsi="Times New Roman"/>
              <w:sz w:val="24"/>
              <w:szCs w:val="24"/>
              <w:lang w:val="es-MX"/>
            </w:rPr>
            <w:t xml:space="preserve"> 1/06/2023</w:t>
          </w:r>
        </w:p>
        <w:p w14:paraId="3CF6629A" w14:textId="3CCCD5B2" w:rsidR="5AA43B44" w:rsidRDefault="5AA43B44" w:rsidP="10D44305">
          <w:pPr>
            <w:spacing w:after="0" w:line="257" w:lineRule="auto"/>
            <w:ind w:left="-20" w:right="-20"/>
            <w:jc w:val="both"/>
          </w:pPr>
          <w:r w:rsidRPr="10D44305">
            <w:rPr>
              <w:rFonts w:ascii="Times New Roman" w:eastAsia="Times New Roman" w:hAnsi="Times New Roman"/>
              <w:b/>
              <w:bCs/>
              <w:sz w:val="24"/>
              <w:szCs w:val="24"/>
              <w:lang w:val="es-MX"/>
            </w:rPr>
            <w:t>Fecha de Finalización Estimada:</w:t>
          </w:r>
          <w:r w:rsidR="522F1399" w:rsidRPr="10D44305">
            <w:rPr>
              <w:rFonts w:ascii="Times New Roman" w:eastAsia="Times New Roman" w:hAnsi="Times New Roman"/>
              <w:b/>
              <w:bCs/>
              <w:sz w:val="24"/>
              <w:szCs w:val="24"/>
              <w:lang w:val="es-MX"/>
            </w:rPr>
            <w:t xml:space="preserve"> </w:t>
          </w:r>
          <w:r w:rsidR="522F1399" w:rsidRPr="10D44305">
            <w:rPr>
              <w:rFonts w:ascii="Times New Roman" w:eastAsia="Times New Roman" w:hAnsi="Times New Roman"/>
              <w:sz w:val="24"/>
              <w:szCs w:val="24"/>
              <w:lang w:val="es-MX"/>
            </w:rPr>
            <w:t>31/05/2038</w:t>
          </w:r>
        </w:p>
        <w:p w14:paraId="185FA472" w14:textId="5E065A6E" w:rsidR="5AA43B44" w:rsidRDefault="5AA43B44" w:rsidP="10D44305">
          <w:pPr>
            <w:spacing w:after="0" w:line="257" w:lineRule="auto"/>
            <w:ind w:left="-20" w:right="-20"/>
            <w:jc w:val="both"/>
          </w:pPr>
          <w:r w:rsidRPr="10D44305">
            <w:rPr>
              <w:rFonts w:ascii="Times New Roman" w:eastAsia="Times New Roman" w:hAnsi="Times New Roman"/>
              <w:b/>
              <w:bCs/>
              <w:sz w:val="24"/>
              <w:szCs w:val="24"/>
              <w:lang w:val="es-MX"/>
            </w:rPr>
            <w:t>Tipo ID:</w:t>
          </w:r>
          <w:r w:rsidR="0051C05D" w:rsidRPr="10D44305">
            <w:rPr>
              <w:rFonts w:ascii="Times New Roman" w:eastAsia="Times New Roman" w:hAnsi="Times New Roman"/>
              <w:b/>
              <w:bCs/>
              <w:sz w:val="24"/>
              <w:szCs w:val="24"/>
              <w:lang w:val="es-MX"/>
            </w:rPr>
            <w:t xml:space="preserve"> </w:t>
          </w:r>
          <w:r w:rsidR="0051C05D" w:rsidRPr="10D44305">
            <w:rPr>
              <w:rFonts w:ascii="Times New Roman" w:eastAsia="Times New Roman" w:hAnsi="Times New Roman"/>
              <w:sz w:val="24"/>
              <w:szCs w:val="24"/>
              <w:lang w:val="es-MX"/>
            </w:rPr>
            <w:t>NIT</w:t>
          </w:r>
        </w:p>
        <w:p w14:paraId="23314FA8" w14:textId="7257B3F2" w:rsidR="5AA43B44" w:rsidRDefault="5AA43B44" w:rsidP="10D44305">
          <w:pPr>
            <w:spacing w:after="0" w:line="257" w:lineRule="auto"/>
            <w:ind w:left="-20" w:right="-20"/>
            <w:jc w:val="both"/>
            <w:rPr>
              <w:rFonts w:ascii="Times New Roman" w:eastAsia="Times New Roman" w:hAnsi="Times New Roman"/>
              <w:sz w:val="24"/>
              <w:szCs w:val="24"/>
              <w:lang w:val="es-MX"/>
            </w:rPr>
          </w:pPr>
          <w:r w:rsidRPr="10D44305">
            <w:rPr>
              <w:rFonts w:ascii="Times New Roman" w:eastAsia="Times New Roman" w:hAnsi="Times New Roman"/>
              <w:b/>
              <w:bCs/>
              <w:sz w:val="24"/>
              <w:szCs w:val="24"/>
              <w:lang w:val="es-MX"/>
            </w:rPr>
            <w:t>Numero ID:</w:t>
          </w:r>
          <w:r w:rsidR="226D1CD5" w:rsidRPr="10D44305">
            <w:rPr>
              <w:rFonts w:ascii="Times New Roman" w:eastAsia="Times New Roman" w:hAnsi="Times New Roman"/>
              <w:b/>
              <w:bCs/>
              <w:sz w:val="24"/>
              <w:szCs w:val="24"/>
              <w:lang w:val="es-MX"/>
            </w:rPr>
            <w:t xml:space="preserve"> </w:t>
          </w:r>
          <w:r w:rsidR="226D1CD5" w:rsidRPr="10D44305">
            <w:rPr>
              <w:rFonts w:ascii="Times New Roman" w:eastAsia="Times New Roman" w:hAnsi="Times New Roman"/>
              <w:sz w:val="24"/>
              <w:szCs w:val="24"/>
              <w:lang w:val="es-MX"/>
            </w:rPr>
            <w:t>901.616.426</w:t>
          </w:r>
        </w:p>
        <w:p w14:paraId="1288D08C" w14:textId="0AA26B62" w:rsidR="5AA43B44" w:rsidRDefault="5AA43B44" w:rsidP="10D44305">
          <w:pPr>
            <w:spacing w:after="0" w:line="257" w:lineRule="auto"/>
            <w:ind w:left="-20" w:right="-20"/>
            <w:jc w:val="both"/>
            <w:rPr>
              <w:rFonts w:ascii="Times New Roman" w:eastAsia="Times New Roman" w:hAnsi="Times New Roman"/>
              <w:sz w:val="24"/>
              <w:szCs w:val="24"/>
              <w:lang w:val="es-MX"/>
            </w:rPr>
          </w:pPr>
          <w:r w:rsidRPr="10D44305">
            <w:rPr>
              <w:rFonts w:ascii="Times New Roman" w:eastAsia="Times New Roman" w:hAnsi="Times New Roman"/>
              <w:b/>
              <w:bCs/>
              <w:sz w:val="24"/>
              <w:szCs w:val="24"/>
              <w:lang w:val="es-MX"/>
            </w:rPr>
            <w:t>Razón Social del Concesionario:</w:t>
          </w:r>
          <w:r w:rsidR="279558DF" w:rsidRPr="10D44305">
            <w:rPr>
              <w:rFonts w:ascii="Times New Roman" w:eastAsia="Times New Roman" w:hAnsi="Times New Roman"/>
              <w:b/>
              <w:bCs/>
              <w:sz w:val="24"/>
              <w:szCs w:val="24"/>
              <w:lang w:val="es-MX"/>
            </w:rPr>
            <w:t xml:space="preserve"> </w:t>
          </w:r>
          <w:r w:rsidR="279558DF" w:rsidRPr="10D44305">
            <w:rPr>
              <w:rFonts w:ascii="Times New Roman" w:eastAsia="Times New Roman" w:hAnsi="Times New Roman"/>
              <w:sz w:val="24"/>
              <w:szCs w:val="24"/>
              <w:lang w:val="es-MX"/>
            </w:rPr>
            <w:t>Ecosistemas del Dique S.AS.</w:t>
          </w:r>
        </w:p>
        <w:p w14:paraId="78106DB5" w14:textId="7C603B95" w:rsidR="5AA43B44" w:rsidRDefault="5AA43B44" w:rsidP="10D44305">
          <w:pPr>
            <w:spacing w:after="0" w:line="257" w:lineRule="auto"/>
            <w:ind w:left="-20" w:right="-20"/>
            <w:jc w:val="both"/>
          </w:pPr>
          <w:r w:rsidRPr="10D44305">
            <w:rPr>
              <w:rFonts w:ascii="Times New Roman" w:eastAsia="Times New Roman" w:hAnsi="Times New Roman"/>
              <w:b/>
              <w:bCs/>
              <w:sz w:val="24"/>
              <w:szCs w:val="24"/>
              <w:lang w:val="es-MX"/>
            </w:rPr>
            <w:t>Nombre del Proyecto:</w:t>
          </w:r>
          <w:r w:rsidR="46316F69" w:rsidRPr="10D44305">
            <w:rPr>
              <w:rFonts w:ascii="Times New Roman" w:eastAsia="Times New Roman" w:hAnsi="Times New Roman"/>
              <w:b/>
              <w:bCs/>
              <w:sz w:val="24"/>
              <w:szCs w:val="24"/>
              <w:lang w:val="es-MX"/>
            </w:rPr>
            <w:t xml:space="preserve"> </w:t>
          </w:r>
          <w:r w:rsidR="46316F69" w:rsidRPr="10D44305">
            <w:rPr>
              <w:rFonts w:ascii="Times New Roman" w:eastAsia="Times New Roman" w:hAnsi="Times New Roman"/>
              <w:sz w:val="24"/>
              <w:szCs w:val="24"/>
              <w:lang w:val="es-MX"/>
            </w:rPr>
            <w:t>Canal del Dique</w:t>
          </w:r>
        </w:p>
        <w:p w14:paraId="1EAE53F8" w14:textId="2F5B9DE5" w:rsidR="10D44305" w:rsidRDefault="10D44305" w:rsidP="10D44305">
          <w:pPr>
            <w:spacing w:after="0" w:line="257" w:lineRule="auto"/>
            <w:ind w:left="-20" w:right="-20"/>
            <w:jc w:val="both"/>
            <w:rPr>
              <w:rFonts w:ascii="Times New Roman" w:eastAsia="Times New Roman" w:hAnsi="Times New Roman"/>
              <w:b/>
              <w:bCs/>
              <w:sz w:val="24"/>
              <w:szCs w:val="24"/>
              <w:lang w:val="es-MX"/>
            </w:rPr>
          </w:pPr>
        </w:p>
        <w:p w14:paraId="54692206" w14:textId="2D35D873" w:rsidR="5AA43B44" w:rsidRDefault="5AA43B44" w:rsidP="00E60BAB">
          <w:pPr>
            <w:pStyle w:val="Prrafodelista"/>
            <w:numPr>
              <w:ilvl w:val="0"/>
              <w:numId w:val="139"/>
            </w:numPr>
            <w:spacing w:line="257" w:lineRule="auto"/>
            <w:ind w:left="-20" w:right="-20"/>
            <w:jc w:val="both"/>
            <w:rPr>
              <w:rFonts w:ascii="Times New Roman" w:eastAsia="Times New Roman" w:hAnsi="Times New Roman"/>
              <w:b/>
              <w:bCs/>
              <w:sz w:val="24"/>
              <w:szCs w:val="24"/>
              <w:lang w:val="es-MX"/>
            </w:rPr>
          </w:pPr>
          <w:r w:rsidRPr="10D44305">
            <w:rPr>
              <w:rFonts w:ascii="Times New Roman" w:eastAsia="Times New Roman" w:hAnsi="Times New Roman"/>
              <w:b/>
              <w:bCs/>
              <w:sz w:val="24"/>
              <w:szCs w:val="24"/>
              <w:lang w:val="es-MX"/>
            </w:rPr>
            <w:t>Términos significativos del acuerdo que puedan afectar su valor, el calendario y la certeza de los flujos</w:t>
          </w:r>
        </w:p>
        <w:p w14:paraId="015222B3" w14:textId="20D561AB" w:rsidR="5AA43B44" w:rsidRDefault="5AA43B44" w:rsidP="10D44305">
          <w:pPr>
            <w:spacing w:line="257" w:lineRule="auto"/>
            <w:ind w:left="-20" w:right="-20"/>
            <w:jc w:val="both"/>
            <w:rPr>
              <w:rFonts w:ascii="Times New Roman" w:eastAsia="Times New Roman" w:hAnsi="Times New Roman"/>
              <w:sz w:val="24"/>
              <w:szCs w:val="24"/>
              <w:lang w:val="es-MX"/>
            </w:rPr>
          </w:pPr>
          <w:r w:rsidRPr="10D44305">
            <w:rPr>
              <w:rFonts w:ascii="Times New Roman" w:eastAsia="Times New Roman" w:hAnsi="Times New Roman"/>
              <w:b/>
              <w:bCs/>
              <w:sz w:val="24"/>
              <w:szCs w:val="24"/>
              <w:lang w:val="es-MX"/>
            </w:rPr>
            <w:t>Términos de Valor:</w:t>
          </w:r>
          <w:r w:rsidR="1CF9813D" w:rsidRPr="10D44305">
            <w:rPr>
              <w:rFonts w:ascii="Times New Roman" w:eastAsia="Times New Roman" w:hAnsi="Times New Roman"/>
              <w:b/>
              <w:bCs/>
              <w:sz w:val="24"/>
              <w:szCs w:val="24"/>
              <w:lang w:val="es-MX"/>
            </w:rPr>
            <w:t xml:space="preserve"> </w:t>
          </w:r>
          <w:r w:rsidR="1CF9813D" w:rsidRPr="10D44305">
            <w:rPr>
              <w:rFonts w:ascii="Times New Roman" w:eastAsia="Times New Roman" w:hAnsi="Times New Roman"/>
              <w:sz w:val="24"/>
              <w:szCs w:val="24"/>
              <w:lang w:val="es-MX"/>
            </w:rPr>
            <w:t xml:space="preserve">En la </w:t>
          </w:r>
          <w:r w:rsidR="006D4A93" w:rsidRPr="10D44305">
            <w:rPr>
              <w:rFonts w:ascii="Times New Roman" w:eastAsia="Times New Roman" w:hAnsi="Times New Roman"/>
              <w:sz w:val="24"/>
              <w:szCs w:val="24"/>
              <w:lang w:val="es-MX"/>
            </w:rPr>
            <w:t>sección</w:t>
          </w:r>
          <w:r w:rsidR="1CF9813D" w:rsidRPr="10D44305">
            <w:rPr>
              <w:rFonts w:ascii="Times New Roman" w:eastAsia="Times New Roman" w:hAnsi="Times New Roman"/>
              <w:sz w:val="24"/>
              <w:szCs w:val="24"/>
              <w:lang w:val="es-MX"/>
            </w:rPr>
            <w:t xml:space="preserve"> 2.2 establece que el valor del contrato en Tres Billones Doscientos Cincuenta y Seis Mil </w:t>
          </w:r>
          <w:r w:rsidR="006D4A93" w:rsidRPr="10D44305">
            <w:rPr>
              <w:rFonts w:ascii="Times New Roman" w:eastAsia="Times New Roman" w:hAnsi="Times New Roman"/>
              <w:sz w:val="24"/>
              <w:szCs w:val="24"/>
              <w:lang w:val="es-MX"/>
            </w:rPr>
            <w:t>seiscientos</w:t>
          </w:r>
          <w:r w:rsidR="1CF9813D" w:rsidRPr="10D44305">
            <w:rPr>
              <w:rFonts w:ascii="Times New Roman" w:eastAsia="Times New Roman" w:hAnsi="Times New Roman"/>
              <w:sz w:val="24"/>
              <w:szCs w:val="24"/>
              <w:lang w:val="es-MX"/>
            </w:rPr>
            <w:t xml:space="preserve"> Diecinueve Millones Quince Mil Ochocientos Sesenta y Un ($3.256.619.015.871) pesos mes de referencia. </w:t>
          </w:r>
        </w:p>
        <w:p w14:paraId="6AEAD96C" w14:textId="3E147160" w:rsidR="1CF9813D" w:rsidRDefault="1CF9813D" w:rsidP="10D44305">
          <w:pPr>
            <w:spacing w:line="257" w:lineRule="auto"/>
            <w:ind w:left="-20" w:right="-20"/>
            <w:jc w:val="both"/>
            <w:rPr>
              <w:rFonts w:ascii="Times New Roman" w:eastAsia="Times New Roman" w:hAnsi="Times New Roman"/>
              <w:sz w:val="24"/>
              <w:szCs w:val="24"/>
              <w:lang w:val="es-MX"/>
            </w:rPr>
          </w:pPr>
          <w:r w:rsidRPr="10D44305">
            <w:rPr>
              <w:rFonts w:ascii="Times New Roman" w:eastAsia="Times New Roman" w:hAnsi="Times New Roman"/>
              <w:sz w:val="24"/>
              <w:szCs w:val="24"/>
              <w:lang w:val="es-MX"/>
            </w:rPr>
            <w:t xml:space="preserve">En </w:t>
          </w:r>
          <w:r w:rsidR="006D4A93" w:rsidRPr="10D44305">
            <w:rPr>
              <w:rFonts w:ascii="Times New Roman" w:eastAsia="Times New Roman" w:hAnsi="Times New Roman"/>
              <w:sz w:val="24"/>
              <w:szCs w:val="24"/>
              <w:lang w:val="es-MX"/>
            </w:rPr>
            <w:t>la sección</w:t>
          </w:r>
          <w:r w:rsidRPr="10D44305">
            <w:rPr>
              <w:rFonts w:ascii="Times New Roman" w:eastAsia="Times New Roman" w:hAnsi="Times New Roman"/>
              <w:sz w:val="24"/>
              <w:szCs w:val="24"/>
              <w:lang w:val="es-MX"/>
            </w:rPr>
            <w:t xml:space="preserve"> 3.2. literal (b) romanito (ii) tabla 1. Valor de los aportes ANI por valor de $5.672.888.412.035 mes de referencia, que en </w:t>
          </w:r>
          <w:r w:rsidR="006D4A93" w:rsidRPr="10D44305">
            <w:rPr>
              <w:rFonts w:ascii="Times New Roman" w:eastAsia="Times New Roman" w:hAnsi="Times New Roman"/>
              <w:sz w:val="24"/>
              <w:szCs w:val="24"/>
              <w:lang w:val="es-MX"/>
            </w:rPr>
            <w:t>esta misma sección</w:t>
          </w:r>
          <w:r w:rsidRPr="10D44305">
            <w:rPr>
              <w:rFonts w:ascii="Times New Roman" w:eastAsia="Times New Roman" w:hAnsi="Times New Roman"/>
              <w:sz w:val="24"/>
              <w:szCs w:val="24"/>
              <w:lang w:val="es-MX"/>
            </w:rPr>
            <w:t xml:space="preserve"> en el literal (c) se presenta los </w:t>
          </w:r>
          <w:r w:rsidR="006D4A93" w:rsidRPr="10D44305">
            <w:rPr>
              <w:rFonts w:ascii="Times New Roman" w:eastAsia="Times New Roman" w:hAnsi="Times New Roman"/>
              <w:sz w:val="24"/>
              <w:szCs w:val="24"/>
              <w:lang w:val="es-MX"/>
            </w:rPr>
            <w:t>porcentajes</w:t>
          </w:r>
          <w:r w:rsidRPr="10D44305">
            <w:rPr>
              <w:rFonts w:ascii="Times New Roman" w:eastAsia="Times New Roman" w:hAnsi="Times New Roman"/>
              <w:sz w:val="24"/>
              <w:szCs w:val="24"/>
              <w:lang w:val="es-MX"/>
            </w:rPr>
            <w:t xml:space="preserve"> de </w:t>
          </w:r>
          <w:r w:rsidR="006D4A93" w:rsidRPr="10D44305">
            <w:rPr>
              <w:rFonts w:ascii="Times New Roman" w:eastAsia="Times New Roman" w:hAnsi="Times New Roman"/>
              <w:sz w:val="24"/>
              <w:szCs w:val="24"/>
              <w:lang w:val="es-MX"/>
            </w:rPr>
            <w:t>distribución</w:t>
          </w:r>
          <w:r w:rsidRPr="10D44305">
            <w:rPr>
              <w:rFonts w:ascii="Times New Roman" w:eastAsia="Times New Roman" w:hAnsi="Times New Roman"/>
              <w:sz w:val="24"/>
              <w:szCs w:val="24"/>
              <w:lang w:val="es-MX"/>
            </w:rPr>
            <w:t xml:space="preserve"> de los aportes ANI, tabla No2.</w:t>
          </w:r>
        </w:p>
        <w:p w14:paraId="5605783C" w14:textId="32AF6A68" w:rsidR="5AA43B44" w:rsidRDefault="5AA43B44" w:rsidP="10D44305">
          <w:pPr>
            <w:spacing w:line="257" w:lineRule="auto"/>
            <w:ind w:left="-20" w:right="-20"/>
            <w:jc w:val="both"/>
          </w:pPr>
          <w:r w:rsidRPr="10D44305">
            <w:rPr>
              <w:rFonts w:ascii="Times New Roman" w:eastAsia="Times New Roman" w:hAnsi="Times New Roman"/>
              <w:b/>
              <w:bCs/>
              <w:sz w:val="24"/>
              <w:szCs w:val="24"/>
              <w:lang w:val="es-MX"/>
            </w:rPr>
            <w:t>Términos de Calendario:</w:t>
          </w:r>
          <w:r w:rsidR="4986859A" w:rsidRPr="10D44305">
            <w:rPr>
              <w:rFonts w:ascii="Times New Roman" w:eastAsia="Times New Roman" w:hAnsi="Times New Roman"/>
              <w:b/>
              <w:bCs/>
              <w:sz w:val="24"/>
              <w:szCs w:val="24"/>
              <w:lang w:val="es-MX"/>
            </w:rPr>
            <w:t xml:space="preserve"> </w:t>
          </w:r>
          <w:r w:rsidR="4986859A" w:rsidRPr="10D44305">
            <w:rPr>
              <w:rFonts w:ascii="Times New Roman" w:eastAsia="Times New Roman" w:hAnsi="Times New Roman"/>
              <w:sz w:val="24"/>
              <w:szCs w:val="24"/>
              <w:lang w:val="es-MX"/>
            </w:rPr>
            <w:t xml:space="preserve">Los pesos de referencia del contrato corresponden a diciembre del 2020, numeral 1.114 tabla definiciones. En la </w:t>
          </w:r>
          <w:r w:rsidR="006D4A93" w:rsidRPr="10D44305">
            <w:rPr>
              <w:rFonts w:ascii="Times New Roman" w:eastAsia="Times New Roman" w:hAnsi="Times New Roman"/>
              <w:sz w:val="24"/>
              <w:szCs w:val="24"/>
              <w:lang w:val="es-MX"/>
            </w:rPr>
            <w:t>sección</w:t>
          </w:r>
          <w:r w:rsidR="4986859A" w:rsidRPr="10D44305">
            <w:rPr>
              <w:rFonts w:ascii="Times New Roman" w:eastAsia="Times New Roman" w:hAnsi="Times New Roman"/>
              <w:sz w:val="24"/>
              <w:szCs w:val="24"/>
              <w:lang w:val="es-MX"/>
            </w:rPr>
            <w:t xml:space="preserve"> 3.2. literal (b) romanito (ii) tabla 1 se informa las fechas de aportes ANI del Contrato de </w:t>
          </w:r>
          <w:r w:rsidR="006D4A93" w:rsidRPr="10D44305">
            <w:rPr>
              <w:rFonts w:ascii="Times New Roman" w:eastAsia="Times New Roman" w:hAnsi="Times New Roman"/>
              <w:sz w:val="24"/>
              <w:szCs w:val="24"/>
              <w:lang w:val="es-MX"/>
            </w:rPr>
            <w:t>Concesión</w:t>
          </w:r>
          <w:r w:rsidR="4986859A" w:rsidRPr="10D44305">
            <w:rPr>
              <w:rFonts w:ascii="Times New Roman" w:eastAsia="Times New Roman" w:hAnsi="Times New Roman"/>
              <w:sz w:val="24"/>
              <w:szCs w:val="24"/>
              <w:lang w:val="es-MX"/>
            </w:rPr>
            <w:t>.</w:t>
          </w:r>
        </w:p>
        <w:p w14:paraId="053A7322" w14:textId="3B1170E8" w:rsidR="5AA43B44" w:rsidRDefault="5AA43B44" w:rsidP="10D44305">
          <w:pPr>
            <w:spacing w:line="257" w:lineRule="auto"/>
            <w:ind w:left="-20" w:right="-20"/>
            <w:jc w:val="both"/>
          </w:pPr>
          <w:r w:rsidRPr="10D44305">
            <w:rPr>
              <w:rFonts w:ascii="Times New Roman" w:eastAsia="Times New Roman" w:hAnsi="Times New Roman"/>
              <w:b/>
              <w:bCs/>
              <w:sz w:val="24"/>
              <w:szCs w:val="24"/>
              <w:lang w:val="es-MX"/>
            </w:rPr>
            <w:t>Términos de Certeza de Flujos de Efectivo Futuros:</w:t>
          </w:r>
          <w:r w:rsidR="3833730C" w:rsidRPr="10D44305">
            <w:rPr>
              <w:rFonts w:ascii="Times New Roman" w:eastAsia="Times New Roman" w:hAnsi="Times New Roman"/>
              <w:b/>
              <w:bCs/>
              <w:sz w:val="24"/>
              <w:szCs w:val="24"/>
              <w:lang w:val="es-MX"/>
            </w:rPr>
            <w:t xml:space="preserve"> </w:t>
          </w:r>
          <w:r w:rsidR="3833730C" w:rsidRPr="10D44305">
            <w:rPr>
              <w:rFonts w:ascii="Times New Roman" w:eastAsia="Times New Roman" w:hAnsi="Times New Roman"/>
              <w:sz w:val="24"/>
              <w:szCs w:val="24"/>
              <w:lang w:val="es-MX"/>
            </w:rPr>
            <w:t xml:space="preserve">Las Fuentes de </w:t>
          </w:r>
          <w:r w:rsidR="006D4A93">
            <w:rPr>
              <w:rFonts w:ascii="Times New Roman" w:eastAsia="Times New Roman" w:hAnsi="Times New Roman"/>
              <w:sz w:val="24"/>
              <w:szCs w:val="24"/>
              <w:lang w:val="es-MX"/>
            </w:rPr>
            <w:t xml:space="preserve">Retribución </w:t>
          </w:r>
          <w:r w:rsidR="3833730C" w:rsidRPr="10D44305">
            <w:rPr>
              <w:rFonts w:ascii="Times New Roman" w:eastAsia="Times New Roman" w:hAnsi="Times New Roman"/>
              <w:sz w:val="24"/>
              <w:szCs w:val="24"/>
              <w:lang w:val="es-MX"/>
            </w:rPr>
            <w:t xml:space="preserve">establecidas en la </w:t>
          </w:r>
          <w:r w:rsidR="006D4A93" w:rsidRPr="10D44305">
            <w:rPr>
              <w:rFonts w:ascii="Times New Roman" w:eastAsia="Times New Roman" w:hAnsi="Times New Roman"/>
              <w:sz w:val="24"/>
              <w:szCs w:val="24"/>
              <w:lang w:val="es-MX"/>
            </w:rPr>
            <w:t>sección</w:t>
          </w:r>
          <w:r w:rsidR="3833730C" w:rsidRPr="10D44305">
            <w:rPr>
              <w:rFonts w:ascii="Times New Roman" w:eastAsia="Times New Roman" w:hAnsi="Times New Roman"/>
              <w:sz w:val="24"/>
              <w:szCs w:val="24"/>
              <w:lang w:val="es-MX"/>
            </w:rPr>
            <w:t xml:space="preserve"> 3.2 literal (a) son los aportes ANI, recursos de Recaudo Tarifario, los ingresos por </w:t>
          </w:r>
          <w:r w:rsidR="006D4A93" w:rsidRPr="10D44305">
            <w:rPr>
              <w:rFonts w:ascii="Times New Roman" w:eastAsia="Times New Roman" w:hAnsi="Times New Roman"/>
              <w:sz w:val="24"/>
              <w:szCs w:val="24"/>
              <w:lang w:val="es-MX"/>
            </w:rPr>
            <w:t>Explotación</w:t>
          </w:r>
          <w:r w:rsidR="3833730C" w:rsidRPr="10D44305">
            <w:rPr>
              <w:rFonts w:ascii="Times New Roman" w:eastAsia="Times New Roman" w:hAnsi="Times New Roman"/>
              <w:sz w:val="24"/>
              <w:szCs w:val="24"/>
              <w:lang w:val="es-MX"/>
            </w:rPr>
            <w:t xml:space="preserve"> comercial.</w:t>
          </w:r>
        </w:p>
        <w:p w14:paraId="3E98A833" w14:textId="0BCFBE69" w:rsidR="5AA43B44" w:rsidRDefault="5AA43B44" w:rsidP="00E60BAB">
          <w:pPr>
            <w:pStyle w:val="Prrafodelista"/>
            <w:numPr>
              <w:ilvl w:val="0"/>
              <w:numId w:val="139"/>
            </w:numPr>
            <w:spacing w:line="257" w:lineRule="auto"/>
            <w:ind w:left="-20" w:right="-20"/>
            <w:jc w:val="both"/>
            <w:rPr>
              <w:rFonts w:ascii="Times New Roman" w:eastAsia="Times New Roman" w:hAnsi="Times New Roman"/>
              <w:b/>
              <w:bCs/>
              <w:sz w:val="24"/>
              <w:szCs w:val="24"/>
              <w:lang w:val="es-MX"/>
            </w:rPr>
          </w:pPr>
          <w:r w:rsidRPr="10D44305">
            <w:rPr>
              <w:rFonts w:ascii="Times New Roman" w:eastAsia="Times New Roman" w:hAnsi="Times New Roman"/>
              <w:b/>
              <w:bCs/>
              <w:sz w:val="24"/>
              <w:szCs w:val="24"/>
              <w:lang w:val="es-MX"/>
            </w:rPr>
            <w:t>Naturaleza y alcance del derecho a utilizar activos especificados, de los aspectos pactados en torno a lo que se espera que el concesionario proporcione en relación con el acuerdo de concesión</w:t>
          </w:r>
        </w:p>
        <w:p w14:paraId="28486822" w14:textId="1B35D7F3" w:rsidR="5AA43B44" w:rsidRDefault="5AA43B44" w:rsidP="10D44305">
          <w:pPr>
            <w:spacing w:line="257" w:lineRule="auto"/>
            <w:ind w:left="-20" w:right="-20"/>
            <w:jc w:val="center"/>
          </w:pPr>
          <w:r w:rsidRPr="10D44305">
            <w:rPr>
              <w:rFonts w:ascii="Times New Roman" w:eastAsia="Times New Roman" w:hAnsi="Times New Roman"/>
              <w:b/>
              <w:bCs/>
              <w:sz w:val="24"/>
              <w:szCs w:val="24"/>
              <w:lang w:val="es-MX"/>
            </w:rPr>
            <w:t>Naturaleza y alcance del derecho de uso de los activos</w:t>
          </w:r>
        </w:p>
        <w:p w14:paraId="17412495" w14:textId="6B8CF47E" w:rsidR="5AA43B44" w:rsidRDefault="5AA43B44" w:rsidP="10D44305">
          <w:pPr>
            <w:spacing w:line="257" w:lineRule="auto"/>
            <w:ind w:left="-20" w:right="-20"/>
            <w:jc w:val="both"/>
          </w:pPr>
          <w:r w:rsidRPr="10D44305">
            <w:rPr>
              <w:rFonts w:ascii="Times New Roman" w:eastAsia="Times New Roman" w:hAnsi="Times New Roman"/>
              <w:b/>
              <w:bCs/>
              <w:sz w:val="24"/>
              <w:szCs w:val="24"/>
              <w:lang w:val="es-MX"/>
            </w:rPr>
            <w:t>Descripción:</w:t>
          </w:r>
          <w:r w:rsidR="6A2094ED" w:rsidRPr="10D44305">
            <w:rPr>
              <w:rFonts w:ascii="Times New Roman" w:eastAsia="Times New Roman" w:hAnsi="Times New Roman"/>
              <w:b/>
              <w:bCs/>
              <w:sz w:val="24"/>
              <w:szCs w:val="24"/>
              <w:lang w:val="es-MX"/>
            </w:rPr>
            <w:t xml:space="preserve"> </w:t>
          </w:r>
          <w:r w:rsidR="6A2094ED" w:rsidRPr="10D44305">
            <w:rPr>
              <w:rFonts w:ascii="Times New Roman" w:eastAsia="Times New Roman" w:hAnsi="Times New Roman"/>
              <w:sz w:val="24"/>
              <w:szCs w:val="24"/>
              <w:lang w:val="es-MX"/>
            </w:rPr>
            <w:t xml:space="preserve">En la </w:t>
          </w:r>
          <w:r w:rsidR="000D0B4B" w:rsidRPr="10D44305">
            <w:rPr>
              <w:rFonts w:ascii="Times New Roman" w:eastAsia="Times New Roman" w:hAnsi="Times New Roman"/>
              <w:sz w:val="24"/>
              <w:szCs w:val="24"/>
              <w:lang w:val="es-MX"/>
            </w:rPr>
            <w:t>sección</w:t>
          </w:r>
          <w:r w:rsidR="6A2094ED" w:rsidRPr="10D44305">
            <w:rPr>
              <w:rFonts w:ascii="Times New Roman" w:eastAsia="Times New Roman" w:hAnsi="Times New Roman"/>
              <w:sz w:val="24"/>
              <w:szCs w:val="24"/>
              <w:lang w:val="es-MX"/>
            </w:rPr>
            <w:t xml:space="preserve"> 2.3 literal (b) romanito (xi)" La entrega de la Infraestructura programada para ser recibida por el </w:t>
          </w:r>
          <w:r w:rsidR="000D0B4B" w:rsidRPr="10D44305">
            <w:rPr>
              <w:rFonts w:ascii="Times New Roman" w:eastAsia="Times New Roman" w:hAnsi="Times New Roman"/>
              <w:sz w:val="24"/>
              <w:szCs w:val="24"/>
              <w:lang w:val="es-MX"/>
            </w:rPr>
            <w:t>Concesionario</w:t>
          </w:r>
          <w:r w:rsidR="6A2094ED" w:rsidRPr="10D44305">
            <w:rPr>
              <w:rFonts w:ascii="Times New Roman" w:eastAsia="Times New Roman" w:hAnsi="Times New Roman"/>
              <w:sz w:val="24"/>
              <w:szCs w:val="24"/>
              <w:lang w:val="es-MX"/>
            </w:rPr>
            <w:t xml:space="preserve"> al inicio del Contrato, en las condiciones establecidas en la </w:t>
          </w:r>
          <w:r w:rsidR="000D0B4B" w:rsidRPr="10D44305">
            <w:rPr>
              <w:rFonts w:ascii="Times New Roman" w:eastAsia="Times New Roman" w:hAnsi="Times New Roman"/>
              <w:sz w:val="24"/>
              <w:szCs w:val="24"/>
              <w:lang w:val="es-MX"/>
            </w:rPr>
            <w:t>sección</w:t>
          </w:r>
          <w:r w:rsidR="6A2094ED" w:rsidRPr="10D44305">
            <w:rPr>
              <w:rFonts w:ascii="Times New Roman" w:eastAsia="Times New Roman" w:hAnsi="Times New Roman"/>
              <w:sz w:val="24"/>
              <w:szCs w:val="24"/>
              <w:lang w:val="es-MX"/>
            </w:rPr>
            <w:t xml:space="preserve"> 1.63. El Concesionario </w:t>
          </w:r>
          <w:r w:rsidR="000D0B4B" w:rsidRPr="10D44305">
            <w:rPr>
              <w:rFonts w:ascii="Times New Roman" w:eastAsia="Times New Roman" w:hAnsi="Times New Roman"/>
              <w:sz w:val="24"/>
              <w:szCs w:val="24"/>
              <w:lang w:val="es-MX"/>
            </w:rPr>
            <w:t>asumirá</w:t>
          </w:r>
          <w:r w:rsidR="6A2094ED" w:rsidRPr="10D44305">
            <w:rPr>
              <w:rFonts w:ascii="Times New Roman" w:eastAsia="Times New Roman" w:hAnsi="Times New Roman"/>
              <w:sz w:val="24"/>
              <w:szCs w:val="24"/>
              <w:lang w:val="es-MX"/>
            </w:rPr>
            <w:t xml:space="preserve">, desde el recibo de la infraestructura, todas las obligaciones de resultado que se </w:t>
          </w:r>
          <w:r w:rsidR="000D0B4B" w:rsidRPr="10D44305">
            <w:rPr>
              <w:rFonts w:ascii="Times New Roman" w:eastAsia="Times New Roman" w:hAnsi="Times New Roman"/>
              <w:sz w:val="24"/>
              <w:szCs w:val="24"/>
              <w:lang w:val="es-MX"/>
            </w:rPr>
            <w:t>proveen</w:t>
          </w:r>
          <w:r w:rsidR="6A2094ED" w:rsidRPr="10D44305">
            <w:rPr>
              <w:rFonts w:ascii="Times New Roman" w:eastAsia="Times New Roman" w:hAnsi="Times New Roman"/>
              <w:sz w:val="24"/>
              <w:szCs w:val="24"/>
              <w:lang w:val="es-MX"/>
            </w:rPr>
            <w:t xml:space="preserve"> en el presente Contrato y sus </w:t>
          </w:r>
          <w:r w:rsidR="000D0B4B" w:rsidRPr="10D44305">
            <w:rPr>
              <w:rFonts w:ascii="Times New Roman" w:eastAsia="Times New Roman" w:hAnsi="Times New Roman"/>
              <w:sz w:val="24"/>
              <w:szCs w:val="24"/>
              <w:lang w:val="es-MX"/>
            </w:rPr>
            <w:t>apéndices</w:t>
          </w:r>
          <w:r w:rsidR="6A2094ED" w:rsidRPr="10D44305">
            <w:rPr>
              <w:rFonts w:ascii="Times New Roman" w:eastAsia="Times New Roman" w:hAnsi="Times New Roman"/>
              <w:sz w:val="24"/>
              <w:szCs w:val="24"/>
              <w:lang w:val="es-MX"/>
            </w:rPr>
            <w:t>."</w:t>
          </w:r>
        </w:p>
        <w:p w14:paraId="04B94B17" w14:textId="0A84BA85" w:rsidR="5AA43B44" w:rsidRDefault="5AA43B44" w:rsidP="10D44305">
          <w:pPr>
            <w:spacing w:line="257" w:lineRule="auto"/>
            <w:ind w:left="-20" w:right="-20"/>
            <w:jc w:val="both"/>
          </w:pPr>
          <w:r w:rsidRPr="10D44305">
            <w:rPr>
              <w:rFonts w:ascii="Times New Roman" w:eastAsia="Times New Roman" w:hAnsi="Times New Roman"/>
              <w:b/>
              <w:bCs/>
              <w:sz w:val="24"/>
              <w:szCs w:val="24"/>
              <w:lang w:val="es-MX"/>
            </w:rPr>
            <w:t>Observaciones:</w:t>
          </w:r>
          <w:r w:rsidR="0BDA1421" w:rsidRPr="10D44305">
            <w:rPr>
              <w:rFonts w:ascii="Times New Roman" w:eastAsia="Times New Roman" w:hAnsi="Times New Roman"/>
              <w:sz w:val="24"/>
              <w:szCs w:val="24"/>
              <w:lang w:val="es-MX"/>
            </w:rPr>
            <w:t xml:space="preserve"> NA</w:t>
          </w:r>
        </w:p>
        <w:p w14:paraId="0B88B513" w14:textId="1BC25BF2" w:rsidR="5AA43B44" w:rsidRDefault="5AA43B44" w:rsidP="10D44305">
          <w:pPr>
            <w:spacing w:line="257" w:lineRule="auto"/>
            <w:ind w:left="-20" w:right="-20"/>
            <w:jc w:val="center"/>
          </w:pPr>
          <w:r w:rsidRPr="10D44305">
            <w:rPr>
              <w:rFonts w:ascii="Times New Roman" w:eastAsia="Times New Roman" w:hAnsi="Times New Roman"/>
              <w:b/>
              <w:bCs/>
              <w:sz w:val="24"/>
              <w:szCs w:val="24"/>
              <w:lang w:val="es-MX"/>
            </w:rPr>
            <w:t>Retribución al Concesionario</w:t>
          </w:r>
        </w:p>
        <w:p w14:paraId="279D92B8" w14:textId="68FD7871" w:rsidR="5AA43B44" w:rsidRDefault="5AA43B44" w:rsidP="10D44305">
          <w:pPr>
            <w:spacing w:line="257" w:lineRule="auto"/>
            <w:ind w:left="-20" w:right="-20"/>
            <w:jc w:val="both"/>
            <w:rPr>
              <w:rFonts w:ascii="Times New Roman" w:eastAsia="Times New Roman" w:hAnsi="Times New Roman"/>
              <w:sz w:val="24"/>
              <w:szCs w:val="24"/>
              <w:lang w:val="es-MX"/>
            </w:rPr>
          </w:pPr>
          <w:r w:rsidRPr="10D44305">
            <w:rPr>
              <w:rFonts w:ascii="Times New Roman" w:eastAsia="Times New Roman" w:hAnsi="Times New Roman"/>
              <w:b/>
              <w:bCs/>
              <w:sz w:val="24"/>
              <w:szCs w:val="24"/>
              <w:lang w:val="es-MX"/>
            </w:rPr>
            <w:t>Descripción:</w:t>
          </w:r>
          <w:r w:rsidR="4F6A3D64" w:rsidRPr="10D44305">
            <w:rPr>
              <w:rFonts w:ascii="Times New Roman" w:eastAsia="Times New Roman" w:hAnsi="Times New Roman"/>
              <w:b/>
              <w:bCs/>
              <w:sz w:val="24"/>
              <w:szCs w:val="24"/>
              <w:lang w:val="es-MX"/>
            </w:rPr>
            <w:t xml:space="preserve"> </w:t>
          </w:r>
          <w:r w:rsidR="4F6A3D64" w:rsidRPr="10D44305">
            <w:rPr>
              <w:rFonts w:ascii="Times New Roman" w:eastAsia="Times New Roman" w:hAnsi="Times New Roman"/>
              <w:sz w:val="24"/>
              <w:szCs w:val="24"/>
              <w:lang w:val="es-MX"/>
            </w:rPr>
            <w:t xml:space="preserve">En la </w:t>
          </w:r>
          <w:r w:rsidR="000D0B4B" w:rsidRPr="10D44305">
            <w:rPr>
              <w:rFonts w:ascii="Times New Roman" w:eastAsia="Times New Roman" w:hAnsi="Times New Roman"/>
              <w:sz w:val="24"/>
              <w:szCs w:val="24"/>
              <w:lang w:val="es-MX"/>
            </w:rPr>
            <w:t>sección</w:t>
          </w:r>
          <w:r w:rsidR="4F6A3D64" w:rsidRPr="10D44305">
            <w:rPr>
              <w:rFonts w:ascii="Times New Roman" w:eastAsia="Times New Roman" w:hAnsi="Times New Roman"/>
              <w:sz w:val="24"/>
              <w:szCs w:val="24"/>
              <w:lang w:val="es-MX"/>
            </w:rPr>
            <w:t xml:space="preserve"> 3.2 de la Parte General y en la </w:t>
          </w:r>
          <w:r w:rsidR="000D0B4B" w:rsidRPr="10D44305">
            <w:rPr>
              <w:rFonts w:ascii="Times New Roman" w:eastAsia="Times New Roman" w:hAnsi="Times New Roman"/>
              <w:sz w:val="24"/>
              <w:szCs w:val="24"/>
              <w:lang w:val="es-MX"/>
            </w:rPr>
            <w:t>sección</w:t>
          </w:r>
          <w:r w:rsidR="4F6A3D64" w:rsidRPr="10D44305">
            <w:rPr>
              <w:rFonts w:ascii="Times New Roman" w:eastAsia="Times New Roman" w:hAnsi="Times New Roman"/>
              <w:sz w:val="24"/>
              <w:szCs w:val="24"/>
              <w:lang w:val="es-MX"/>
            </w:rPr>
            <w:t xml:space="preserve"> 3.5 se establece los mecanismos de </w:t>
          </w:r>
          <w:r w:rsidR="000D0B4B" w:rsidRPr="10D44305">
            <w:rPr>
              <w:rFonts w:ascii="Times New Roman" w:eastAsia="Times New Roman" w:hAnsi="Times New Roman"/>
              <w:sz w:val="24"/>
              <w:szCs w:val="24"/>
              <w:lang w:val="es-MX"/>
            </w:rPr>
            <w:t>retribución</w:t>
          </w:r>
          <w:r w:rsidR="4F6A3D64" w:rsidRPr="10D44305">
            <w:rPr>
              <w:rFonts w:ascii="Times New Roman" w:eastAsia="Times New Roman" w:hAnsi="Times New Roman"/>
              <w:sz w:val="24"/>
              <w:szCs w:val="24"/>
              <w:lang w:val="es-MX"/>
            </w:rPr>
            <w:t xml:space="preserve"> al Concesionario.</w:t>
          </w:r>
        </w:p>
        <w:p w14:paraId="454D536B" w14:textId="202B4116" w:rsidR="5AA43B44" w:rsidRDefault="5AA43B44" w:rsidP="10D44305">
          <w:pPr>
            <w:spacing w:line="257" w:lineRule="auto"/>
            <w:ind w:left="-20" w:right="-20"/>
            <w:jc w:val="both"/>
            <w:rPr>
              <w:rFonts w:ascii="Times New Roman" w:eastAsia="Times New Roman" w:hAnsi="Times New Roman"/>
              <w:sz w:val="24"/>
              <w:szCs w:val="24"/>
              <w:lang w:val="es-MX"/>
            </w:rPr>
          </w:pPr>
          <w:r w:rsidRPr="10D44305">
            <w:rPr>
              <w:rFonts w:ascii="Times New Roman" w:eastAsia="Times New Roman" w:hAnsi="Times New Roman"/>
              <w:b/>
              <w:bCs/>
              <w:sz w:val="24"/>
              <w:szCs w:val="24"/>
              <w:lang w:val="es-MX"/>
            </w:rPr>
            <w:t>Tasa de Retribución:</w:t>
          </w:r>
          <w:r w:rsidR="032152E4" w:rsidRPr="10D44305">
            <w:rPr>
              <w:rFonts w:ascii="Times New Roman" w:eastAsia="Times New Roman" w:hAnsi="Times New Roman"/>
              <w:b/>
              <w:bCs/>
              <w:sz w:val="24"/>
              <w:szCs w:val="24"/>
              <w:lang w:val="es-MX"/>
            </w:rPr>
            <w:t xml:space="preserve"> </w:t>
          </w:r>
          <w:r w:rsidR="000D0B4B" w:rsidRPr="10D44305">
            <w:rPr>
              <w:rFonts w:ascii="Times New Roman" w:eastAsia="Times New Roman" w:hAnsi="Times New Roman"/>
              <w:sz w:val="24"/>
              <w:szCs w:val="24"/>
              <w:lang w:val="es-MX"/>
            </w:rPr>
            <w:t>De acuerdo con</w:t>
          </w:r>
          <w:r w:rsidR="032152E4" w:rsidRPr="10D44305">
            <w:rPr>
              <w:rFonts w:ascii="Times New Roman" w:eastAsia="Times New Roman" w:hAnsi="Times New Roman"/>
              <w:sz w:val="24"/>
              <w:szCs w:val="24"/>
              <w:lang w:val="es-MX"/>
            </w:rPr>
            <w:t xml:space="preserve"> lo establecido con el concesionario y el auditor independiente los porcentajes preliminares establecidos para la </w:t>
          </w:r>
          <w:r w:rsidR="000D0B4B" w:rsidRPr="10D44305">
            <w:rPr>
              <w:rFonts w:ascii="Times New Roman" w:eastAsia="Times New Roman" w:hAnsi="Times New Roman"/>
              <w:sz w:val="24"/>
              <w:szCs w:val="24"/>
              <w:lang w:val="es-MX"/>
            </w:rPr>
            <w:t>retribución</w:t>
          </w:r>
          <w:r w:rsidR="032152E4" w:rsidRPr="10D44305">
            <w:rPr>
              <w:rFonts w:ascii="Times New Roman" w:eastAsia="Times New Roman" w:hAnsi="Times New Roman"/>
              <w:sz w:val="24"/>
              <w:szCs w:val="24"/>
              <w:lang w:val="es-MX"/>
            </w:rPr>
            <w:t xml:space="preserve"> </w:t>
          </w:r>
          <w:r w:rsidR="000D0B4B" w:rsidRPr="10D44305">
            <w:rPr>
              <w:rFonts w:ascii="Times New Roman" w:eastAsia="Times New Roman" w:hAnsi="Times New Roman"/>
              <w:sz w:val="24"/>
              <w:szCs w:val="24"/>
              <w:lang w:val="es-MX"/>
            </w:rPr>
            <w:t>serían</w:t>
          </w:r>
          <w:r w:rsidR="032152E4" w:rsidRPr="10D44305">
            <w:rPr>
              <w:rFonts w:ascii="Times New Roman" w:eastAsia="Times New Roman" w:hAnsi="Times New Roman"/>
              <w:sz w:val="24"/>
              <w:szCs w:val="24"/>
              <w:lang w:val="es-MX"/>
            </w:rPr>
            <w:t xml:space="preserve"> los siguientes:</w:t>
          </w:r>
        </w:p>
        <w:p w14:paraId="659BE0F8" w14:textId="77777777" w:rsidR="006F5D86" w:rsidRDefault="006F5D86" w:rsidP="10D44305">
          <w:pPr>
            <w:spacing w:after="0" w:line="257" w:lineRule="auto"/>
            <w:ind w:left="-20" w:right="-20"/>
            <w:jc w:val="both"/>
            <w:rPr>
              <w:rFonts w:ascii="Times New Roman" w:eastAsia="Times New Roman" w:hAnsi="Times New Roman"/>
              <w:sz w:val="24"/>
              <w:szCs w:val="24"/>
              <w:lang w:val="es-MX"/>
            </w:rPr>
            <w:sectPr w:rsidR="006F5D86" w:rsidSect="00376BDD">
              <w:footerReference w:type="default" r:id="rId20"/>
              <w:type w:val="continuous"/>
              <w:pgSz w:w="12240" w:h="15840"/>
              <w:pgMar w:top="1418" w:right="1418" w:bottom="1418" w:left="1843" w:header="680" w:footer="709" w:gutter="0"/>
              <w:pgNumType w:start="243"/>
              <w:cols w:space="708"/>
              <w:titlePg/>
              <w:docGrid w:linePitch="360"/>
            </w:sectPr>
          </w:pPr>
        </w:p>
        <w:p w14:paraId="65D989D1" w14:textId="7A5098DE" w:rsidR="032152E4" w:rsidRDefault="032152E4" w:rsidP="10D44305">
          <w:pPr>
            <w:spacing w:after="0" w:line="257" w:lineRule="auto"/>
            <w:ind w:left="-20" w:right="-20"/>
            <w:jc w:val="both"/>
            <w:rPr>
              <w:rFonts w:ascii="Times New Roman" w:eastAsia="Times New Roman" w:hAnsi="Times New Roman"/>
              <w:sz w:val="24"/>
              <w:szCs w:val="24"/>
              <w:lang w:val="es-MX"/>
            </w:rPr>
          </w:pPr>
          <w:r w:rsidRPr="10D44305">
            <w:rPr>
              <w:rFonts w:ascii="Times New Roman" w:eastAsia="Times New Roman" w:hAnsi="Times New Roman"/>
              <w:sz w:val="24"/>
              <w:szCs w:val="24"/>
              <w:lang w:val="es-MX"/>
            </w:rPr>
            <w:t>Unidad Funcional 0= 9.26%</w:t>
          </w:r>
        </w:p>
        <w:p w14:paraId="3AD80620" w14:textId="1ADE38D9" w:rsidR="032152E4" w:rsidRDefault="032152E4" w:rsidP="10D44305">
          <w:pPr>
            <w:spacing w:after="0" w:line="257" w:lineRule="auto"/>
            <w:ind w:left="-20" w:right="-20"/>
            <w:jc w:val="both"/>
            <w:rPr>
              <w:rFonts w:ascii="Times New Roman" w:eastAsia="Times New Roman" w:hAnsi="Times New Roman"/>
              <w:sz w:val="24"/>
              <w:szCs w:val="24"/>
              <w:lang w:val="es-MX"/>
            </w:rPr>
          </w:pPr>
          <w:r w:rsidRPr="10D44305">
            <w:rPr>
              <w:rFonts w:ascii="Times New Roman" w:eastAsia="Times New Roman" w:hAnsi="Times New Roman"/>
              <w:sz w:val="24"/>
              <w:szCs w:val="24"/>
              <w:lang w:val="es-MX"/>
            </w:rPr>
            <w:t>Unidad Funcional 1 = 3.94%</w:t>
          </w:r>
        </w:p>
        <w:p w14:paraId="69AA632F" w14:textId="4CF732F8" w:rsidR="032152E4" w:rsidRDefault="032152E4" w:rsidP="10D44305">
          <w:pPr>
            <w:spacing w:after="0" w:line="257" w:lineRule="auto"/>
            <w:ind w:left="-20" w:right="-20"/>
            <w:jc w:val="both"/>
            <w:rPr>
              <w:rFonts w:ascii="Times New Roman" w:eastAsia="Times New Roman" w:hAnsi="Times New Roman"/>
              <w:sz w:val="24"/>
              <w:szCs w:val="24"/>
              <w:lang w:val="es-MX"/>
            </w:rPr>
          </w:pPr>
          <w:r w:rsidRPr="10D44305">
            <w:rPr>
              <w:rFonts w:ascii="Times New Roman" w:eastAsia="Times New Roman" w:hAnsi="Times New Roman"/>
              <w:sz w:val="24"/>
              <w:szCs w:val="24"/>
              <w:lang w:val="es-MX"/>
            </w:rPr>
            <w:lastRenderedPageBreak/>
            <w:t>Unidad Funcional 2 = 7.21%</w:t>
          </w:r>
        </w:p>
        <w:p w14:paraId="4B5ED258" w14:textId="3F27DC13" w:rsidR="032152E4" w:rsidRDefault="032152E4" w:rsidP="10D44305">
          <w:pPr>
            <w:spacing w:after="0" w:line="257" w:lineRule="auto"/>
            <w:ind w:left="-20" w:right="-20"/>
            <w:jc w:val="both"/>
            <w:rPr>
              <w:rFonts w:ascii="Times New Roman" w:eastAsia="Times New Roman" w:hAnsi="Times New Roman"/>
              <w:sz w:val="24"/>
              <w:szCs w:val="24"/>
              <w:lang w:val="es-MX"/>
            </w:rPr>
          </w:pPr>
          <w:r w:rsidRPr="10D44305">
            <w:rPr>
              <w:rFonts w:ascii="Times New Roman" w:eastAsia="Times New Roman" w:hAnsi="Times New Roman"/>
              <w:sz w:val="24"/>
              <w:szCs w:val="24"/>
              <w:lang w:val="es-MX"/>
            </w:rPr>
            <w:t>Unidad Funcional 3 = 22.84%</w:t>
          </w:r>
        </w:p>
        <w:p w14:paraId="3B15188A" w14:textId="7278C6F8" w:rsidR="032152E4" w:rsidRDefault="032152E4" w:rsidP="10D44305">
          <w:pPr>
            <w:spacing w:after="0" w:line="257" w:lineRule="auto"/>
            <w:ind w:left="-20" w:right="-20"/>
            <w:jc w:val="both"/>
            <w:rPr>
              <w:rFonts w:ascii="Times New Roman" w:eastAsia="Times New Roman" w:hAnsi="Times New Roman"/>
              <w:sz w:val="24"/>
              <w:szCs w:val="24"/>
              <w:lang w:val="es-MX"/>
            </w:rPr>
          </w:pPr>
          <w:r w:rsidRPr="10D44305">
            <w:rPr>
              <w:rFonts w:ascii="Times New Roman" w:eastAsia="Times New Roman" w:hAnsi="Times New Roman"/>
              <w:sz w:val="24"/>
              <w:szCs w:val="24"/>
              <w:lang w:val="es-MX"/>
            </w:rPr>
            <w:t>Unidad Funcional 4 = 3.05%</w:t>
          </w:r>
        </w:p>
        <w:p w14:paraId="6FE9E035" w14:textId="2C2558D4" w:rsidR="032152E4" w:rsidRDefault="032152E4" w:rsidP="10D44305">
          <w:pPr>
            <w:spacing w:after="0" w:line="257" w:lineRule="auto"/>
            <w:ind w:left="-20" w:right="-20"/>
            <w:jc w:val="both"/>
            <w:rPr>
              <w:rFonts w:ascii="Times New Roman" w:eastAsia="Times New Roman" w:hAnsi="Times New Roman"/>
              <w:sz w:val="24"/>
              <w:szCs w:val="24"/>
              <w:lang w:val="es-MX"/>
            </w:rPr>
          </w:pPr>
          <w:r w:rsidRPr="10D44305">
            <w:rPr>
              <w:rFonts w:ascii="Times New Roman" w:eastAsia="Times New Roman" w:hAnsi="Times New Roman"/>
              <w:sz w:val="24"/>
              <w:szCs w:val="24"/>
              <w:lang w:val="es-MX"/>
            </w:rPr>
            <w:t>Unidad Funcional 5 = 8.47%</w:t>
          </w:r>
        </w:p>
        <w:p w14:paraId="60F0EC11" w14:textId="4A926F8D" w:rsidR="032152E4" w:rsidRDefault="032152E4" w:rsidP="10D44305">
          <w:pPr>
            <w:spacing w:after="0" w:line="257" w:lineRule="auto"/>
            <w:ind w:left="-20" w:right="-20"/>
            <w:jc w:val="both"/>
            <w:rPr>
              <w:rFonts w:ascii="Times New Roman" w:eastAsia="Times New Roman" w:hAnsi="Times New Roman"/>
              <w:sz w:val="24"/>
              <w:szCs w:val="24"/>
              <w:lang w:val="es-MX"/>
            </w:rPr>
          </w:pPr>
          <w:r w:rsidRPr="10D44305">
            <w:rPr>
              <w:rFonts w:ascii="Times New Roman" w:eastAsia="Times New Roman" w:hAnsi="Times New Roman"/>
              <w:sz w:val="24"/>
              <w:szCs w:val="24"/>
              <w:lang w:val="es-MX"/>
            </w:rPr>
            <w:t xml:space="preserve">Unidad Funcional 6 </w:t>
          </w:r>
          <w:r w:rsidR="00157C56" w:rsidRPr="10D44305">
            <w:rPr>
              <w:rFonts w:ascii="Times New Roman" w:eastAsia="Times New Roman" w:hAnsi="Times New Roman"/>
              <w:sz w:val="24"/>
              <w:szCs w:val="24"/>
              <w:lang w:val="es-MX"/>
            </w:rPr>
            <w:t>= 0.80</w:t>
          </w:r>
          <w:r w:rsidRPr="10D44305">
            <w:rPr>
              <w:rFonts w:ascii="Times New Roman" w:eastAsia="Times New Roman" w:hAnsi="Times New Roman"/>
              <w:sz w:val="24"/>
              <w:szCs w:val="24"/>
              <w:lang w:val="es-MX"/>
            </w:rPr>
            <w:t>%</w:t>
          </w:r>
        </w:p>
        <w:p w14:paraId="42E63CD1" w14:textId="31D7A18B" w:rsidR="032152E4" w:rsidRDefault="032152E4" w:rsidP="10D44305">
          <w:pPr>
            <w:spacing w:after="0" w:line="257" w:lineRule="auto"/>
            <w:ind w:left="-20" w:right="-20"/>
            <w:jc w:val="both"/>
            <w:rPr>
              <w:rFonts w:ascii="Times New Roman" w:eastAsia="Times New Roman" w:hAnsi="Times New Roman"/>
              <w:sz w:val="24"/>
              <w:szCs w:val="24"/>
              <w:lang w:val="es-MX"/>
            </w:rPr>
          </w:pPr>
          <w:r w:rsidRPr="10D44305">
            <w:rPr>
              <w:rFonts w:ascii="Times New Roman" w:eastAsia="Times New Roman" w:hAnsi="Times New Roman"/>
              <w:sz w:val="24"/>
              <w:szCs w:val="24"/>
              <w:lang w:val="es-MX"/>
            </w:rPr>
            <w:t>Unidad Funcional 7 = 4.13%</w:t>
          </w:r>
        </w:p>
        <w:p w14:paraId="4D33DB7F" w14:textId="7E67C46C" w:rsidR="032152E4" w:rsidRDefault="032152E4" w:rsidP="10D44305">
          <w:pPr>
            <w:spacing w:after="0" w:line="257" w:lineRule="auto"/>
            <w:ind w:left="-20" w:right="-20"/>
            <w:jc w:val="both"/>
            <w:rPr>
              <w:rFonts w:ascii="Times New Roman" w:eastAsia="Times New Roman" w:hAnsi="Times New Roman"/>
              <w:sz w:val="24"/>
              <w:szCs w:val="24"/>
              <w:lang w:val="es-MX"/>
            </w:rPr>
          </w:pPr>
          <w:r w:rsidRPr="10D44305">
            <w:rPr>
              <w:rFonts w:ascii="Times New Roman" w:eastAsia="Times New Roman" w:hAnsi="Times New Roman"/>
              <w:sz w:val="24"/>
              <w:szCs w:val="24"/>
              <w:lang w:val="es-MX"/>
            </w:rPr>
            <w:t>Unidad Funcional 8 = 19.89%</w:t>
          </w:r>
        </w:p>
        <w:p w14:paraId="2C65DE89" w14:textId="565A7874" w:rsidR="032152E4" w:rsidRDefault="032152E4" w:rsidP="10D44305">
          <w:pPr>
            <w:spacing w:after="0" w:line="257" w:lineRule="auto"/>
            <w:ind w:left="-20" w:right="-20"/>
            <w:jc w:val="both"/>
            <w:rPr>
              <w:rFonts w:ascii="Times New Roman" w:eastAsia="Times New Roman" w:hAnsi="Times New Roman"/>
              <w:sz w:val="24"/>
              <w:szCs w:val="24"/>
              <w:lang w:val="es-MX"/>
            </w:rPr>
          </w:pPr>
          <w:r w:rsidRPr="10D44305">
            <w:rPr>
              <w:rFonts w:ascii="Times New Roman" w:eastAsia="Times New Roman" w:hAnsi="Times New Roman"/>
              <w:sz w:val="24"/>
              <w:szCs w:val="24"/>
              <w:lang w:val="es-MX"/>
            </w:rPr>
            <w:t>Unidad Funcional 9 = 3.59%</w:t>
          </w:r>
        </w:p>
        <w:p w14:paraId="49F0D92C" w14:textId="6C7DDDF5" w:rsidR="032152E4" w:rsidRDefault="032152E4" w:rsidP="10D44305">
          <w:pPr>
            <w:spacing w:after="0" w:line="257" w:lineRule="auto"/>
            <w:ind w:left="-20" w:right="-20"/>
            <w:jc w:val="both"/>
            <w:rPr>
              <w:rFonts w:ascii="Times New Roman" w:eastAsia="Times New Roman" w:hAnsi="Times New Roman"/>
              <w:sz w:val="24"/>
              <w:szCs w:val="24"/>
              <w:lang w:val="es-MX"/>
            </w:rPr>
          </w:pPr>
          <w:r w:rsidRPr="10D44305">
            <w:rPr>
              <w:rFonts w:ascii="Times New Roman" w:eastAsia="Times New Roman" w:hAnsi="Times New Roman"/>
              <w:sz w:val="24"/>
              <w:szCs w:val="24"/>
              <w:lang w:val="es-MX"/>
            </w:rPr>
            <w:t>Unidad Funcional 10 = 2.20%</w:t>
          </w:r>
        </w:p>
        <w:p w14:paraId="2122FD7F" w14:textId="1DCEF7F5" w:rsidR="032152E4" w:rsidRDefault="032152E4" w:rsidP="10D44305">
          <w:pPr>
            <w:spacing w:after="0" w:line="257" w:lineRule="auto"/>
            <w:ind w:left="-20" w:right="-20"/>
            <w:jc w:val="both"/>
            <w:rPr>
              <w:rFonts w:ascii="Times New Roman" w:eastAsia="Times New Roman" w:hAnsi="Times New Roman"/>
              <w:sz w:val="24"/>
              <w:szCs w:val="24"/>
              <w:lang w:val="es-MX"/>
            </w:rPr>
          </w:pPr>
          <w:r w:rsidRPr="10D44305">
            <w:rPr>
              <w:rFonts w:ascii="Times New Roman" w:eastAsia="Times New Roman" w:hAnsi="Times New Roman"/>
              <w:sz w:val="24"/>
              <w:szCs w:val="24"/>
              <w:lang w:val="es-MX"/>
            </w:rPr>
            <w:t>Unidad Funcional 11 = 3.43%</w:t>
          </w:r>
        </w:p>
        <w:p w14:paraId="0A48EF2C" w14:textId="574A178E" w:rsidR="032152E4" w:rsidRDefault="032152E4" w:rsidP="10D44305">
          <w:pPr>
            <w:spacing w:after="0" w:line="257" w:lineRule="auto"/>
            <w:ind w:left="-20" w:right="-20"/>
            <w:jc w:val="both"/>
            <w:rPr>
              <w:rFonts w:ascii="Times New Roman" w:eastAsia="Times New Roman" w:hAnsi="Times New Roman"/>
              <w:sz w:val="24"/>
              <w:szCs w:val="24"/>
              <w:lang w:val="es-MX"/>
            </w:rPr>
          </w:pPr>
          <w:r w:rsidRPr="10D44305">
            <w:rPr>
              <w:rFonts w:ascii="Times New Roman" w:eastAsia="Times New Roman" w:hAnsi="Times New Roman"/>
              <w:sz w:val="24"/>
              <w:szCs w:val="24"/>
              <w:lang w:val="es-MX"/>
            </w:rPr>
            <w:t>Unidad Funcional 12 = 3.92%</w:t>
          </w:r>
        </w:p>
        <w:p w14:paraId="00D22581" w14:textId="415A329D" w:rsidR="032152E4" w:rsidRDefault="032152E4" w:rsidP="10D44305">
          <w:pPr>
            <w:spacing w:after="0" w:line="257" w:lineRule="auto"/>
            <w:ind w:left="-20" w:right="-20"/>
            <w:jc w:val="both"/>
            <w:rPr>
              <w:rFonts w:ascii="Times New Roman" w:eastAsia="Times New Roman" w:hAnsi="Times New Roman"/>
              <w:sz w:val="24"/>
              <w:szCs w:val="24"/>
              <w:lang w:val="es-MX"/>
            </w:rPr>
          </w:pPr>
          <w:r w:rsidRPr="10D44305">
            <w:rPr>
              <w:rFonts w:ascii="Times New Roman" w:eastAsia="Times New Roman" w:hAnsi="Times New Roman"/>
              <w:sz w:val="24"/>
              <w:szCs w:val="24"/>
              <w:lang w:val="es-MX"/>
            </w:rPr>
            <w:t>Unidad Funcional 13 = 2.20%</w:t>
          </w:r>
        </w:p>
        <w:p w14:paraId="6503BBF0" w14:textId="47BCBBBB" w:rsidR="032152E4" w:rsidRDefault="032152E4" w:rsidP="10D44305">
          <w:pPr>
            <w:spacing w:after="0" w:line="257" w:lineRule="auto"/>
            <w:ind w:left="-20" w:right="-20"/>
            <w:jc w:val="both"/>
            <w:rPr>
              <w:rFonts w:ascii="Times New Roman" w:eastAsia="Times New Roman" w:hAnsi="Times New Roman"/>
              <w:sz w:val="24"/>
              <w:szCs w:val="24"/>
              <w:lang w:val="es-MX"/>
            </w:rPr>
          </w:pPr>
          <w:r w:rsidRPr="10D44305">
            <w:rPr>
              <w:rFonts w:ascii="Times New Roman" w:eastAsia="Times New Roman" w:hAnsi="Times New Roman"/>
              <w:sz w:val="24"/>
              <w:szCs w:val="24"/>
              <w:lang w:val="es-MX"/>
            </w:rPr>
            <w:t>Unidad Funcional 14= 5.07%</w:t>
          </w:r>
        </w:p>
        <w:p w14:paraId="28126B94" w14:textId="77777777" w:rsidR="006F5D86" w:rsidRDefault="006F5D86" w:rsidP="10D44305">
          <w:pPr>
            <w:spacing w:after="0" w:line="257" w:lineRule="auto"/>
            <w:ind w:left="-20" w:right="-20"/>
            <w:jc w:val="both"/>
            <w:rPr>
              <w:rFonts w:ascii="Times New Roman" w:eastAsia="Times New Roman" w:hAnsi="Times New Roman"/>
              <w:sz w:val="24"/>
              <w:szCs w:val="24"/>
              <w:lang w:val="es-MX"/>
            </w:rPr>
            <w:sectPr w:rsidR="006F5D86" w:rsidSect="00376BDD">
              <w:type w:val="continuous"/>
              <w:pgSz w:w="12240" w:h="15840"/>
              <w:pgMar w:top="1418" w:right="1418" w:bottom="1418" w:left="1843" w:header="680" w:footer="709" w:gutter="0"/>
              <w:pgNumType w:start="507"/>
              <w:cols w:num="2" w:space="708"/>
              <w:titlePg/>
              <w:docGrid w:linePitch="360"/>
            </w:sectPr>
          </w:pPr>
        </w:p>
        <w:p w14:paraId="3BA2B133" w14:textId="04C95761" w:rsidR="10D44305" w:rsidRDefault="10D44305" w:rsidP="10D44305">
          <w:pPr>
            <w:spacing w:after="0" w:line="257" w:lineRule="auto"/>
            <w:ind w:left="-20" w:right="-20"/>
            <w:jc w:val="both"/>
            <w:rPr>
              <w:rFonts w:ascii="Times New Roman" w:eastAsia="Times New Roman" w:hAnsi="Times New Roman"/>
              <w:sz w:val="24"/>
              <w:szCs w:val="24"/>
              <w:lang w:val="es-MX"/>
            </w:rPr>
          </w:pPr>
        </w:p>
        <w:p w14:paraId="2EE4C36C" w14:textId="41F90BE2" w:rsidR="5AA43B44" w:rsidRDefault="5AA43B44" w:rsidP="00E60BAB">
          <w:pPr>
            <w:pStyle w:val="Prrafodelista"/>
            <w:numPr>
              <w:ilvl w:val="0"/>
              <w:numId w:val="139"/>
            </w:numPr>
            <w:spacing w:line="257" w:lineRule="auto"/>
            <w:ind w:left="-20" w:right="-20"/>
            <w:jc w:val="both"/>
            <w:rPr>
              <w:rFonts w:ascii="Times New Roman" w:eastAsia="Times New Roman" w:hAnsi="Times New Roman"/>
              <w:b/>
              <w:bCs/>
              <w:sz w:val="24"/>
              <w:szCs w:val="24"/>
              <w:lang w:val="es-MX"/>
            </w:rPr>
          </w:pPr>
          <w:r w:rsidRPr="10D44305">
            <w:rPr>
              <w:rFonts w:ascii="Times New Roman" w:eastAsia="Times New Roman" w:hAnsi="Times New Roman"/>
              <w:b/>
              <w:bCs/>
              <w:sz w:val="24"/>
              <w:szCs w:val="24"/>
              <w:lang w:val="es-MX"/>
            </w:rPr>
            <w:t>Derechos a recibir activos especificados al final del acuerdo de concesión</w:t>
          </w:r>
        </w:p>
        <w:p w14:paraId="74E481EB" w14:textId="6AA773FC" w:rsidR="5AA43B44" w:rsidRDefault="5AA43B44" w:rsidP="10D44305">
          <w:pPr>
            <w:spacing w:line="257" w:lineRule="auto"/>
            <w:ind w:left="-20" w:right="-20"/>
            <w:jc w:val="both"/>
          </w:pPr>
          <w:r w:rsidRPr="10D44305">
            <w:rPr>
              <w:rFonts w:ascii="Times New Roman" w:eastAsia="Times New Roman" w:hAnsi="Times New Roman"/>
              <w:b/>
              <w:bCs/>
              <w:sz w:val="24"/>
              <w:szCs w:val="24"/>
              <w:lang w:val="es-MX"/>
            </w:rPr>
            <w:t>Descripción:</w:t>
          </w:r>
          <w:r w:rsidR="2B6D76A2" w:rsidRPr="10D44305">
            <w:rPr>
              <w:rFonts w:ascii="Times New Roman" w:eastAsia="Times New Roman" w:hAnsi="Times New Roman"/>
              <w:sz w:val="24"/>
              <w:szCs w:val="24"/>
              <w:lang w:val="es-MX"/>
            </w:rPr>
            <w:t xml:space="preserve"> En el numeral 1.163 </w:t>
          </w:r>
          <w:r w:rsidR="000D0B4B" w:rsidRPr="10D44305">
            <w:rPr>
              <w:rFonts w:ascii="Times New Roman" w:eastAsia="Times New Roman" w:hAnsi="Times New Roman"/>
              <w:sz w:val="24"/>
              <w:szCs w:val="24"/>
              <w:lang w:val="es-MX"/>
            </w:rPr>
            <w:t>Reversión</w:t>
          </w:r>
          <w:r w:rsidR="2B6D76A2" w:rsidRPr="10D44305">
            <w:rPr>
              <w:rFonts w:ascii="Times New Roman" w:eastAsia="Times New Roman" w:hAnsi="Times New Roman"/>
              <w:sz w:val="24"/>
              <w:szCs w:val="24"/>
              <w:lang w:val="es-MX"/>
            </w:rPr>
            <w:t xml:space="preserve"> correspondiente al </w:t>
          </w:r>
          <w:r w:rsidR="000D0B4B" w:rsidRPr="10D44305">
            <w:rPr>
              <w:rFonts w:ascii="Times New Roman" w:eastAsia="Times New Roman" w:hAnsi="Times New Roman"/>
              <w:sz w:val="24"/>
              <w:szCs w:val="24"/>
              <w:lang w:val="es-MX"/>
            </w:rPr>
            <w:t>Capítulo</w:t>
          </w:r>
          <w:r w:rsidR="2B6D76A2" w:rsidRPr="10D44305">
            <w:rPr>
              <w:rFonts w:ascii="Times New Roman" w:eastAsia="Times New Roman" w:hAnsi="Times New Roman"/>
              <w:sz w:val="24"/>
              <w:szCs w:val="24"/>
              <w:lang w:val="es-MX"/>
            </w:rPr>
            <w:t xml:space="preserve"> I establece " Corresponde al procedimiento señalado en la </w:t>
          </w:r>
          <w:r w:rsidR="000D0B4B" w:rsidRPr="10D44305">
            <w:rPr>
              <w:rFonts w:ascii="Times New Roman" w:eastAsia="Times New Roman" w:hAnsi="Times New Roman"/>
              <w:sz w:val="24"/>
              <w:szCs w:val="24"/>
              <w:lang w:val="es-MX"/>
            </w:rPr>
            <w:t>sección</w:t>
          </w:r>
          <w:r w:rsidR="2B6D76A2" w:rsidRPr="10D44305">
            <w:rPr>
              <w:rFonts w:ascii="Times New Roman" w:eastAsia="Times New Roman" w:hAnsi="Times New Roman"/>
              <w:sz w:val="24"/>
              <w:szCs w:val="24"/>
              <w:lang w:val="es-MX"/>
            </w:rPr>
            <w:t xml:space="preserve"> 9.9, mediante el cual el Concesionario entrega los bienes asociados al proyecto a la ANI para dar terminado el Contrato."</w:t>
          </w:r>
        </w:p>
        <w:p w14:paraId="048CCE68" w14:textId="4D91B32F" w:rsidR="5AA43B44" w:rsidRDefault="5AA43B44" w:rsidP="10D44305">
          <w:pPr>
            <w:spacing w:line="257" w:lineRule="auto"/>
            <w:ind w:left="-20" w:right="-20"/>
            <w:jc w:val="both"/>
          </w:pPr>
          <w:r w:rsidRPr="10D44305">
            <w:rPr>
              <w:rFonts w:ascii="Times New Roman" w:eastAsia="Times New Roman" w:hAnsi="Times New Roman"/>
              <w:b/>
              <w:bCs/>
              <w:sz w:val="24"/>
              <w:szCs w:val="24"/>
              <w:lang w:val="es-MX"/>
            </w:rPr>
            <w:t>Observaciones:</w:t>
          </w:r>
          <w:r w:rsidR="4522F266" w:rsidRPr="10D44305">
            <w:rPr>
              <w:rFonts w:ascii="Times New Roman" w:eastAsia="Times New Roman" w:hAnsi="Times New Roman"/>
              <w:sz w:val="24"/>
              <w:szCs w:val="24"/>
              <w:lang w:val="es-MX"/>
            </w:rPr>
            <w:t xml:space="preserve"> Relaciona da en el Formato GCSP-F-301 PPYE.</w:t>
          </w:r>
        </w:p>
        <w:p w14:paraId="1A0DD3B6" w14:textId="2E3574BB" w:rsidR="4522F266" w:rsidRDefault="4522F266" w:rsidP="00E60BAB">
          <w:pPr>
            <w:pStyle w:val="Prrafodelista"/>
            <w:numPr>
              <w:ilvl w:val="0"/>
              <w:numId w:val="139"/>
            </w:numPr>
            <w:spacing w:line="257" w:lineRule="auto"/>
            <w:ind w:left="-20" w:right="-20"/>
            <w:jc w:val="both"/>
            <w:rPr>
              <w:rFonts w:ascii="Times New Roman" w:eastAsia="Times New Roman" w:hAnsi="Times New Roman"/>
              <w:b/>
              <w:bCs/>
              <w:sz w:val="24"/>
              <w:szCs w:val="24"/>
              <w:lang w:val="es-MX"/>
            </w:rPr>
          </w:pPr>
          <w:r w:rsidRPr="10D44305">
            <w:rPr>
              <w:rFonts w:ascii="Times New Roman" w:eastAsia="Times New Roman" w:hAnsi="Times New Roman"/>
              <w:b/>
              <w:bCs/>
              <w:sz w:val="24"/>
              <w:szCs w:val="24"/>
              <w:lang w:val="es-MX"/>
            </w:rPr>
            <w:t>No hay c</w:t>
          </w:r>
          <w:r w:rsidR="5AA43B44" w:rsidRPr="10D44305">
            <w:rPr>
              <w:rFonts w:ascii="Times New Roman" w:eastAsia="Times New Roman" w:hAnsi="Times New Roman"/>
              <w:b/>
              <w:bCs/>
              <w:sz w:val="24"/>
              <w:szCs w:val="24"/>
              <w:lang w:val="es-MX"/>
            </w:rPr>
            <w:t>ambios en el acuerdo de concesión que se realicen durante el periodo fiscal</w:t>
          </w:r>
        </w:p>
        <w:p w14:paraId="7D544DEB" w14:textId="77777777" w:rsidR="007F0A8D" w:rsidRPr="00931DCE" w:rsidRDefault="007F0A8D" w:rsidP="00EF2A7D">
          <w:pPr>
            <w:spacing w:after="0" w:line="240" w:lineRule="auto"/>
            <w:jc w:val="both"/>
            <w:rPr>
              <w:rFonts w:ascii="Times New Roman" w:hAnsi="Times New Roman"/>
              <w:sz w:val="24"/>
              <w:szCs w:val="24"/>
            </w:rPr>
          </w:pPr>
        </w:p>
        <w:p w14:paraId="2B93CB37" w14:textId="6CD08267" w:rsidR="00E33DD6" w:rsidRPr="00931DCE" w:rsidRDefault="00191995" w:rsidP="005D3D62">
          <w:pPr>
            <w:pStyle w:val="Ttulo1"/>
            <w:rPr>
              <w:rFonts w:cs="Times New Roman"/>
            </w:rPr>
          </w:pPr>
          <w:bookmarkStart w:id="142" w:name="_Toc159952455"/>
          <w:bookmarkEnd w:id="126"/>
          <w:r w:rsidRPr="00931DCE">
            <w:rPr>
              <w:rFonts w:cs="Times New Roman"/>
            </w:rPr>
            <w:t xml:space="preserve">NOTA 34. </w:t>
          </w:r>
          <w:r w:rsidR="005D3D62" w:rsidRPr="00931DCE">
            <w:rPr>
              <w:rFonts w:cs="Times New Roman"/>
            </w:rPr>
            <w:t>EFECTOS DE LAS VARIACIONES EN LAS TASAS DE CAMBIO DE LA MONEDA EXTRANJERA</w:t>
          </w:r>
          <w:bookmarkEnd w:id="142"/>
        </w:p>
        <w:p w14:paraId="06561BF8" w14:textId="77777777" w:rsidR="005D3D62" w:rsidRPr="00931DCE" w:rsidRDefault="005D3D62" w:rsidP="005D3D62">
          <w:pPr>
            <w:rPr>
              <w:rFonts w:ascii="Times New Roman" w:hAnsi="Times New Roman"/>
            </w:rPr>
          </w:pPr>
        </w:p>
        <w:p w14:paraId="7B7D4DF4" w14:textId="77777777" w:rsidR="00B4426B" w:rsidRPr="00931DCE" w:rsidRDefault="00B4426B" w:rsidP="00B4426B">
          <w:pPr>
            <w:pStyle w:val="Ttulo2"/>
            <w:numPr>
              <w:ilvl w:val="0"/>
              <w:numId w:val="0"/>
            </w:numPr>
            <w:rPr>
              <w:rFonts w:cs="Times New Roman"/>
            </w:rPr>
          </w:pPr>
          <w:bookmarkStart w:id="143" w:name="_Toc159952456"/>
          <w:r w:rsidRPr="00931DCE">
            <w:rPr>
              <w:rFonts w:cs="Times New Roman"/>
            </w:rPr>
            <w:t>Composición</w:t>
          </w:r>
          <w:bookmarkEnd w:id="143"/>
        </w:p>
        <w:p w14:paraId="1A827E60" w14:textId="77777777" w:rsidR="00F11D84" w:rsidRPr="00931DCE" w:rsidRDefault="00F11D84" w:rsidP="00F11D84">
          <w:pPr>
            <w:rPr>
              <w:rFonts w:ascii="Times New Roman" w:hAnsi="Times New Roman"/>
            </w:rPr>
          </w:pPr>
        </w:p>
        <w:tbl>
          <w:tblPr>
            <w:tblW w:w="5000" w:type="pct"/>
            <w:tblCellMar>
              <w:left w:w="70" w:type="dxa"/>
              <w:right w:w="70" w:type="dxa"/>
            </w:tblCellMar>
            <w:tblLook w:val="04A0" w:firstRow="1" w:lastRow="0" w:firstColumn="1" w:lastColumn="0" w:noHBand="0" w:noVBand="1"/>
          </w:tblPr>
          <w:tblGrid>
            <w:gridCol w:w="1032"/>
            <w:gridCol w:w="659"/>
            <w:gridCol w:w="3067"/>
            <w:gridCol w:w="1433"/>
            <w:gridCol w:w="1347"/>
            <w:gridCol w:w="1431"/>
          </w:tblGrid>
          <w:tr w:rsidR="00B4426B" w:rsidRPr="00BD0C2E" w14:paraId="2FCC8B8C" w14:textId="77777777" w:rsidTr="00BD0C2E">
            <w:trPr>
              <w:trHeight w:val="191"/>
            </w:trPr>
            <w:tc>
              <w:tcPr>
                <w:tcW w:w="2652" w:type="pct"/>
                <w:gridSpan w:val="3"/>
                <w:tcBorders>
                  <w:top w:val="single" w:sz="4" w:space="0" w:color="A6A6A6"/>
                  <w:left w:val="single" w:sz="4" w:space="0" w:color="A6A6A6"/>
                  <w:bottom w:val="single" w:sz="6" w:space="0" w:color="A6A6A6"/>
                  <w:right w:val="single" w:sz="6" w:space="0" w:color="A6A6A6"/>
                </w:tcBorders>
                <w:shd w:val="clear" w:color="auto" w:fill="auto"/>
                <w:vAlign w:val="center"/>
                <w:hideMark/>
              </w:tcPr>
              <w:p w14:paraId="6DE75EDD" w14:textId="77777777" w:rsidR="00B4426B" w:rsidRPr="00BD0C2E" w:rsidRDefault="00B4426B" w:rsidP="00FC76D7">
                <w:pPr>
                  <w:spacing w:after="0" w:line="240" w:lineRule="auto"/>
                  <w:jc w:val="center"/>
                  <w:rPr>
                    <w:rFonts w:ascii="Times New Roman" w:eastAsia="Times New Roman" w:hAnsi="Times New Roman"/>
                    <w:b/>
                    <w:sz w:val="14"/>
                    <w:szCs w:val="14"/>
                    <w:lang w:eastAsia="es-CO"/>
                  </w:rPr>
                </w:pPr>
                <w:r w:rsidRPr="00BD0C2E">
                  <w:rPr>
                    <w:rFonts w:ascii="Times New Roman" w:eastAsia="Times New Roman" w:hAnsi="Times New Roman"/>
                    <w:b/>
                    <w:sz w:val="14"/>
                    <w:szCs w:val="14"/>
                    <w:lang w:eastAsia="es-CO"/>
                  </w:rPr>
                  <w:t>DESCRIPCIÓN</w:t>
                </w:r>
              </w:p>
            </w:tc>
            <w:tc>
              <w:tcPr>
                <w:tcW w:w="1550" w:type="pct"/>
                <w:gridSpan w:val="2"/>
                <w:tcBorders>
                  <w:top w:val="single" w:sz="4" w:space="0" w:color="A6A6A6"/>
                  <w:left w:val="single" w:sz="6" w:space="0" w:color="A6A6A6"/>
                  <w:bottom w:val="single" w:sz="6" w:space="0" w:color="A6A6A6"/>
                  <w:right w:val="single" w:sz="6" w:space="0" w:color="A6A6A6"/>
                </w:tcBorders>
                <w:shd w:val="clear" w:color="auto" w:fill="auto"/>
                <w:vAlign w:val="center"/>
                <w:hideMark/>
              </w:tcPr>
              <w:p w14:paraId="602F2D55" w14:textId="77777777" w:rsidR="00B4426B" w:rsidRPr="00BD0C2E" w:rsidRDefault="00B4426B" w:rsidP="00FC76D7">
                <w:pPr>
                  <w:spacing w:after="0" w:line="240" w:lineRule="auto"/>
                  <w:jc w:val="center"/>
                  <w:rPr>
                    <w:rFonts w:ascii="Times New Roman" w:eastAsia="Times New Roman" w:hAnsi="Times New Roman"/>
                    <w:b/>
                    <w:sz w:val="14"/>
                    <w:szCs w:val="14"/>
                    <w:lang w:eastAsia="es-CO"/>
                  </w:rPr>
                </w:pPr>
                <w:r w:rsidRPr="00BD0C2E">
                  <w:rPr>
                    <w:rFonts w:ascii="Times New Roman" w:eastAsia="Times New Roman" w:hAnsi="Times New Roman"/>
                    <w:b/>
                    <w:sz w:val="14"/>
                    <w:szCs w:val="14"/>
                    <w:lang w:eastAsia="es-CO"/>
                  </w:rPr>
                  <w:t>SALDOS A CORTES DE VIGENCIA</w:t>
                </w:r>
              </w:p>
            </w:tc>
            <w:tc>
              <w:tcPr>
                <w:tcW w:w="799" w:type="pct"/>
                <w:tcBorders>
                  <w:top w:val="single" w:sz="4" w:space="0" w:color="A6A6A6"/>
                  <w:left w:val="single" w:sz="6" w:space="0" w:color="A6A6A6"/>
                  <w:bottom w:val="single" w:sz="6" w:space="0" w:color="A6A6A6"/>
                  <w:right w:val="single" w:sz="4" w:space="0" w:color="A6A6A6"/>
                </w:tcBorders>
                <w:shd w:val="clear" w:color="auto" w:fill="auto"/>
                <w:vAlign w:val="center"/>
                <w:hideMark/>
              </w:tcPr>
              <w:p w14:paraId="0CEB0932" w14:textId="77777777" w:rsidR="00B4426B" w:rsidRPr="00BD0C2E" w:rsidRDefault="00B4426B" w:rsidP="00FC76D7">
                <w:pPr>
                  <w:spacing w:after="0" w:line="240" w:lineRule="auto"/>
                  <w:jc w:val="center"/>
                  <w:rPr>
                    <w:rFonts w:ascii="Times New Roman" w:eastAsia="Times New Roman" w:hAnsi="Times New Roman"/>
                    <w:b/>
                    <w:sz w:val="14"/>
                    <w:szCs w:val="14"/>
                    <w:lang w:eastAsia="es-CO"/>
                  </w:rPr>
                </w:pPr>
                <w:r w:rsidRPr="00BD0C2E">
                  <w:rPr>
                    <w:rFonts w:ascii="Times New Roman" w:eastAsia="Times New Roman" w:hAnsi="Times New Roman"/>
                    <w:b/>
                    <w:sz w:val="14"/>
                    <w:szCs w:val="14"/>
                    <w:lang w:eastAsia="es-CO"/>
                  </w:rPr>
                  <w:t>VARIACIÓN</w:t>
                </w:r>
              </w:p>
            </w:tc>
          </w:tr>
          <w:tr w:rsidR="00B4426B" w:rsidRPr="00BD0C2E" w14:paraId="4267FA68" w14:textId="77777777" w:rsidTr="00BD0C2E">
            <w:trPr>
              <w:trHeight w:val="274"/>
            </w:trPr>
            <w:tc>
              <w:tcPr>
                <w:tcW w:w="575" w:type="pct"/>
                <w:tcBorders>
                  <w:top w:val="single" w:sz="6" w:space="0" w:color="A6A6A6"/>
                  <w:left w:val="single" w:sz="4" w:space="0" w:color="A6A6A6"/>
                  <w:bottom w:val="single" w:sz="6" w:space="0" w:color="A6A6A6"/>
                  <w:right w:val="single" w:sz="6" w:space="0" w:color="A6A6A6"/>
                </w:tcBorders>
                <w:shd w:val="clear" w:color="auto" w:fill="auto"/>
                <w:vAlign w:val="center"/>
                <w:hideMark/>
              </w:tcPr>
              <w:p w14:paraId="55123F2B" w14:textId="77777777" w:rsidR="00B4426B" w:rsidRPr="00BD0C2E" w:rsidRDefault="00B4426B" w:rsidP="00FC76D7">
                <w:pPr>
                  <w:spacing w:after="0" w:line="240" w:lineRule="auto"/>
                  <w:jc w:val="center"/>
                  <w:rPr>
                    <w:rFonts w:ascii="Times New Roman" w:eastAsia="Times New Roman" w:hAnsi="Times New Roman"/>
                    <w:b/>
                    <w:sz w:val="14"/>
                    <w:szCs w:val="14"/>
                    <w:lang w:eastAsia="es-CO"/>
                  </w:rPr>
                </w:pPr>
                <w:r w:rsidRPr="00BD0C2E">
                  <w:rPr>
                    <w:rFonts w:ascii="Times New Roman" w:eastAsia="Times New Roman" w:hAnsi="Times New Roman"/>
                    <w:b/>
                    <w:sz w:val="14"/>
                    <w:szCs w:val="14"/>
                    <w:lang w:eastAsia="es-CO"/>
                  </w:rPr>
                  <w:t>CÓDIGO CONTABLE</w:t>
                </w:r>
              </w:p>
            </w:tc>
            <w:tc>
              <w:tcPr>
                <w:tcW w:w="367" w:type="pct"/>
                <w:tcBorders>
                  <w:top w:val="single" w:sz="6" w:space="0" w:color="A6A6A6"/>
                  <w:left w:val="single" w:sz="6" w:space="0" w:color="A6A6A6"/>
                  <w:bottom w:val="single" w:sz="6" w:space="0" w:color="A6A6A6"/>
                  <w:right w:val="single" w:sz="6" w:space="0" w:color="A6A6A6"/>
                </w:tcBorders>
                <w:shd w:val="clear" w:color="auto" w:fill="auto"/>
                <w:vAlign w:val="center"/>
                <w:hideMark/>
              </w:tcPr>
              <w:p w14:paraId="380E2F23" w14:textId="77777777" w:rsidR="00B4426B" w:rsidRPr="00BD0C2E" w:rsidRDefault="00B4426B" w:rsidP="00FC76D7">
                <w:pPr>
                  <w:spacing w:after="0" w:line="240" w:lineRule="auto"/>
                  <w:jc w:val="center"/>
                  <w:rPr>
                    <w:rFonts w:ascii="Times New Roman" w:eastAsia="Times New Roman" w:hAnsi="Times New Roman"/>
                    <w:b/>
                    <w:sz w:val="14"/>
                    <w:szCs w:val="14"/>
                    <w:lang w:eastAsia="es-CO"/>
                  </w:rPr>
                </w:pPr>
                <w:r w:rsidRPr="00BD0C2E">
                  <w:rPr>
                    <w:rFonts w:ascii="Times New Roman" w:eastAsia="Times New Roman" w:hAnsi="Times New Roman"/>
                    <w:b/>
                    <w:sz w:val="14"/>
                    <w:szCs w:val="14"/>
                    <w:lang w:eastAsia="es-CO"/>
                  </w:rPr>
                  <w:t>NAT</w:t>
                </w:r>
              </w:p>
            </w:tc>
            <w:tc>
              <w:tcPr>
                <w:tcW w:w="1709" w:type="pct"/>
                <w:tcBorders>
                  <w:top w:val="single" w:sz="6" w:space="0" w:color="A6A6A6"/>
                  <w:left w:val="single" w:sz="6" w:space="0" w:color="A6A6A6"/>
                  <w:bottom w:val="single" w:sz="6" w:space="0" w:color="A6A6A6"/>
                  <w:right w:val="single" w:sz="6" w:space="0" w:color="A6A6A6"/>
                </w:tcBorders>
                <w:shd w:val="clear" w:color="auto" w:fill="auto"/>
                <w:vAlign w:val="center"/>
                <w:hideMark/>
              </w:tcPr>
              <w:p w14:paraId="13331561" w14:textId="77777777" w:rsidR="00B4426B" w:rsidRPr="00BD0C2E" w:rsidRDefault="00B4426B" w:rsidP="00FC76D7">
                <w:pPr>
                  <w:spacing w:after="0" w:line="240" w:lineRule="auto"/>
                  <w:jc w:val="center"/>
                  <w:rPr>
                    <w:rFonts w:ascii="Times New Roman" w:eastAsia="Times New Roman" w:hAnsi="Times New Roman"/>
                    <w:b/>
                    <w:sz w:val="14"/>
                    <w:szCs w:val="14"/>
                    <w:lang w:eastAsia="es-CO"/>
                  </w:rPr>
                </w:pPr>
                <w:r w:rsidRPr="00BD0C2E">
                  <w:rPr>
                    <w:rFonts w:ascii="Times New Roman" w:eastAsia="Times New Roman" w:hAnsi="Times New Roman"/>
                    <w:b/>
                    <w:sz w:val="14"/>
                    <w:szCs w:val="14"/>
                    <w:lang w:eastAsia="es-CO"/>
                  </w:rPr>
                  <w:t>CONCEPTO</w:t>
                </w:r>
              </w:p>
            </w:tc>
            <w:tc>
              <w:tcPr>
                <w:tcW w:w="799" w:type="pct"/>
                <w:tcBorders>
                  <w:top w:val="single" w:sz="6" w:space="0" w:color="A6A6A6"/>
                  <w:left w:val="single" w:sz="6" w:space="0" w:color="A6A6A6"/>
                  <w:bottom w:val="single" w:sz="6" w:space="0" w:color="A6A6A6"/>
                  <w:right w:val="single" w:sz="6" w:space="0" w:color="A6A6A6"/>
                </w:tcBorders>
                <w:shd w:val="clear" w:color="auto" w:fill="auto"/>
                <w:vAlign w:val="center"/>
                <w:hideMark/>
              </w:tcPr>
              <w:p w14:paraId="29C7DE8A" w14:textId="77777777" w:rsidR="00B4426B" w:rsidRPr="00BD0C2E" w:rsidRDefault="00B4426B" w:rsidP="00FC76D7">
                <w:pPr>
                  <w:spacing w:after="0" w:line="240" w:lineRule="auto"/>
                  <w:jc w:val="center"/>
                  <w:rPr>
                    <w:rFonts w:ascii="Times New Roman" w:eastAsia="Times New Roman" w:hAnsi="Times New Roman"/>
                    <w:b/>
                    <w:sz w:val="14"/>
                    <w:szCs w:val="14"/>
                    <w:lang w:eastAsia="es-CO"/>
                  </w:rPr>
                </w:pPr>
                <w:r w:rsidRPr="00BD0C2E">
                  <w:rPr>
                    <w:rFonts w:ascii="Times New Roman" w:eastAsia="Times New Roman" w:hAnsi="Times New Roman"/>
                    <w:b/>
                    <w:sz w:val="14"/>
                    <w:szCs w:val="14"/>
                    <w:lang w:eastAsia="es-CO"/>
                  </w:rPr>
                  <w:t xml:space="preserve">2023 </w:t>
                </w:r>
              </w:p>
            </w:tc>
            <w:tc>
              <w:tcPr>
                <w:tcW w:w="751" w:type="pct"/>
                <w:tcBorders>
                  <w:top w:val="single" w:sz="6" w:space="0" w:color="A6A6A6"/>
                  <w:left w:val="single" w:sz="6" w:space="0" w:color="A6A6A6"/>
                  <w:bottom w:val="single" w:sz="6" w:space="0" w:color="A6A6A6"/>
                  <w:right w:val="single" w:sz="6" w:space="0" w:color="A6A6A6"/>
                </w:tcBorders>
                <w:shd w:val="clear" w:color="auto" w:fill="auto"/>
                <w:vAlign w:val="center"/>
                <w:hideMark/>
              </w:tcPr>
              <w:p w14:paraId="73B125BA" w14:textId="1761CD6A" w:rsidR="00B4426B" w:rsidRPr="00BD0C2E" w:rsidRDefault="00B4426B" w:rsidP="00FC76D7">
                <w:pPr>
                  <w:spacing w:after="0" w:line="240" w:lineRule="auto"/>
                  <w:jc w:val="center"/>
                  <w:rPr>
                    <w:rFonts w:ascii="Times New Roman" w:eastAsia="Times New Roman" w:hAnsi="Times New Roman"/>
                    <w:b/>
                    <w:sz w:val="14"/>
                    <w:szCs w:val="14"/>
                    <w:lang w:eastAsia="es-CO"/>
                  </w:rPr>
                </w:pPr>
                <w:r w:rsidRPr="00BD0C2E">
                  <w:rPr>
                    <w:rFonts w:ascii="Times New Roman" w:eastAsia="Times New Roman" w:hAnsi="Times New Roman"/>
                    <w:b/>
                    <w:sz w:val="14"/>
                    <w:szCs w:val="14"/>
                    <w:lang w:eastAsia="es-CO"/>
                  </w:rPr>
                  <w:t>202</w:t>
                </w:r>
                <w:r w:rsidR="004F65D8" w:rsidRPr="00BD0C2E">
                  <w:rPr>
                    <w:rFonts w:ascii="Times New Roman" w:eastAsia="Times New Roman" w:hAnsi="Times New Roman"/>
                    <w:b/>
                    <w:sz w:val="14"/>
                    <w:szCs w:val="14"/>
                    <w:lang w:eastAsia="es-CO"/>
                  </w:rPr>
                  <w:t>2</w:t>
                </w:r>
                <w:r w:rsidRPr="00BD0C2E">
                  <w:rPr>
                    <w:rFonts w:ascii="Times New Roman" w:eastAsia="Times New Roman" w:hAnsi="Times New Roman"/>
                    <w:b/>
                    <w:sz w:val="14"/>
                    <w:szCs w:val="14"/>
                    <w:lang w:eastAsia="es-CO"/>
                  </w:rPr>
                  <w:t xml:space="preserve"> </w:t>
                </w:r>
              </w:p>
            </w:tc>
            <w:tc>
              <w:tcPr>
                <w:tcW w:w="799" w:type="pct"/>
                <w:tcBorders>
                  <w:top w:val="single" w:sz="6" w:space="0" w:color="A6A6A6"/>
                  <w:left w:val="single" w:sz="6" w:space="0" w:color="A6A6A6"/>
                  <w:bottom w:val="single" w:sz="6" w:space="0" w:color="A6A6A6"/>
                  <w:right w:val="single" w:sz="4" w:space="0" w:color="A6A6A6"/>
                </w:tcBorders>
                <w:shd w:val="clear" w:color="auto" w:fill="auto"/>
                <w:vAlign w:val="center"/>
                <w:hideMark/>
              </w:tcPr>
              <w:p w14:paraId="6E01495A" w14:textId="77777777" w:rsidR="00B4426B" w:rsidRPr="00BD0C2E" w:rsidRDefault="00B4426B" w:rsidP="00FC76D7">
                <w:pPr>
                  <w:spacing w:after="0" w:line="240" w:lineRule="auto"/>
                  <w:jc w:val="center"/>
                  <w:rPr>
                    <w:rFonts w:ascii="Times New Roman" w:eastAsia="Times New Roman" w:hAnsi="Times New Roman"/>
                    <w:b/>
                    <w:sz w:val="14"/>
                    <w:szCs w:val="14"/>
                    <w:lang w:eastAsia="es-CO"/>
                  </w:rPr>
                </w:pPr>
                <w:r w:rsidRPr="00BD0C2E">
                  <w:rPr>
                    <w:rFonts w:ascii="Times New Roman" w:eastAsia="Times New Roman" w:hAnsi="Times New Roman"/>
                    <w:b/>
                    <w:sz w:val="14"/>
                    <w:szCs w:val="14"/>
                    <w:lang w:eastAsia="es-CO"/>
                  </w:rPr>
                  <w:t>VALOR VARIACIÓN</w:t>
                </w:r>
              </w:p>
            </w:tc>
          </w:tr>
          <w:tr w:rsidR="00B4426B" w:rsidRPr="00BD0C2E" w14:paraId="5703831E" w14:textId="77777777" w:rsidTr="00BD0C2E">
            <w:trPr>
              <w:trHeight w:val="506"/>
            </w:trPr>
            <w:tc>
              <w:tcPr>
                <w:tcW w:w="575" w:type="pct"/>
                <w:tcBorders>
                  <w:top w:val="single" w:sz="6" w:space="0" w:color="A6A6A6"/>
                  <w:left w:val="single" w:sz="4" w:space="0" w:color="A6A6A6"/>
                  <w:bottom w:val="single" w:sz="6" w:space="0" w:color="A6A6A6"/>
                  <w:right w:val="single" w:sz="6" w:space="0" w:color="A6A6A6"/>
                </w:tcBorders>
                <w:shd w:val="clear" w:color="auto" w:fill="auto"/>
                <w:noWrap/>
                <w:vAlign w:val="center"/>
                <w:hideMark/>
              </w:tcPr>
              <w:p w14:paraId="29FE333C" w14:textId="77777777" w:rsidR="00B4426B" w:rsidRPr="00BD0C2E" w:rsidRDefault="00B4426B" w:rsidP="00FC76D7">
                <w:pPr>
                  <w:spacing w:after="0" w:line="240" w:lineRule="auto"/>
                  <w:rPr>
                    <w:rFonts w:ascii="Times New Roman" w:eastAsia="Times New Roman" w:hAnsi="Times New Roman"/>
                    <w:b/>
                    <w:sz w:val="14"/>
                    <w:szCs w:val="14"/>
                    <w:lang w:eastAsia="es-CO"/>
                  </w:rPr>
                </w:pPr>
                <w:r w:rsidRPr="00BD0C2E">
                  <w:rPr>
                    <w:rFonts w:ascii="Times New Roman" w:eastAsia="Times New Roman" w:hAnsi="Times New Roman"/>
                    <w:b/>
                    <w:sz w:val="14"/>
                    <w:szCs w:val="14"/>
                    <w:lang w:eastAsia="es-CO"/>
                  </w:rPr>
                  <w:t> </w:t>
                </w:r>
              </w:p>
            </w:tc>
            <w:tc>
              <w:tcPr>
                <w:tcW w:w="367"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18005B44" w14:textId="77777777" w:rsidR="00B4426B" w:rsidRPr="00BD0C2E" w:rsidRDefault="00B4426B" w:rsidP="00FC76D7">
                <w:pPr>
                  <w:spacing w:after="0" w:line="240" w:lineRule="auto"/>
                  <w:jc w:val="center"/>
                  <w:rPr>
                    <w:rFonts w:ascii="Times New Roman" w:eastAsia="Times New Roman" w:hAnsi="Times New Roman"/>
                    <w:b/>
                    <w:sz w:val="14"/>
                    <w:szCs w:val="14"/>
                    <w:lang w:eastAsia="es-CO"/>
                  </w:rPr>
                </w:pPr>
                <w:r w:rsidRPr="00BD0C2E">
                  <w:rPr>
                    <w:rFonts w:ascii="Times New Roman" w:eastAsia="Times New Roman" w:hAnsi="Times New Roman"/>
                    <w:b/>
                    <w:sz w:val="14"/>
                    <w:szCs w:val="14"/>
                    <w:lang w:eastAsia="es-CO"/>
                  </w:rPr>
                  <w:t> </w:t>
                </w:r>
              </w:p>
            </w:tc>
            <w:tc>
              <w:tcPr>
                <w:tcW w:w="1709" w:type="pct"/>
                <w:tcBorders>
                  <w:top w:val="single" w:sz="6" w:space="0" w:color="A6A6A6"/>
                  <w:left w:val="single" w:sz="6" w:space="0" w:color="A6A6A6"/>
                  <w:bottom w:val="single" w:sz="6" w:space="0" w:color="A6A6A6"/>
                  <w:right w:val="single" w:sz="6" w:space="0" w:color="A6A6A6"/>
                </w:tcBorders>
                <w:shd w:val="clear" w:color="auto" w:fill="auto"/>
                <w:vAlign w:val="center"/>
                <w:hideMark/>
              </w:tcPr>
              <w:p w14:paraId="60BA0AB4" w14:textId="77777777" w:rsidR="00B4426B" w:rsidRPr="00BD0C2E" w:rsidRDefault="00B4426B" w:rsidP="00FC76D7">
                <w:pPr>
                  <w:spacing w:after="0" w:line="240" w:lineRule="auto"/>
                  <w:jc w:val="center"/>
                  <w:rPr>
                    <w:rFonts w:ascii="Times New Roman" w:eastAsia="Times New Roman" w:hAnsi="Times New Roman"/>
                    <w:b/>
                    <w:sz w:val="14"/>
                    <w:szCs w:val="14"/>
                    <w:lang w:eastAsia="es-CO"/>
                  </w:rPr>
                </w:pPr>
                <w:r w:rsidRPr="00BD0C2E">
                  <w:rPr>
                    <w:rFonts w:ascii="Times New Roman" w:eastAsia="Times New Roman" w:hAnsi="Times New Roman"/>
                    <w:b/>
                    <w:sz w:val="14"/>
                    <w:szCs w:val="14"/>
                    <w:lang w:eastAsia="es-CO"/>
                  </w:rPr>
                  <w:t>VALOR NETO DEL AJUSTE POR DIFERENCIA EN CAMBIO</w:t>
                </w:r>
              </w:p>
            </w:tc>
            <w:tc>
              <w:tcPr>
                <w:tcW w:w="799"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5C3994C6" w14:textId="77777777" w:rsidR="00B4426B" w:rsidRPr="00BD0C2E" w:rsidRDefault="00B4426B" w:rsidP="00FC76D7">
                <w:pPr>
                  <w:spacing w:after="0" w:line="240" w:lineRule="auto"/>
                  <w:jc w:val="right"/>
                  <w:rPr>
                    <w:rFonts w:ascii="Times New Roman" w:eastAsia="Times New Roman" w:hAnsi="Times New Roman"/>
                    <w:b/>
                    <w:sz w:val="14"/>
                    <w:szCs w:val="14"/>
                    <w:lang w:eastAsia="es-CO"/>
                  </w:rPr>
                </w:pPr>
                <w:r w:rsidRPr="00BD0C2E">
                  <w:rPr>
                    <w:rFonts w:ascii="Times New Roman" w:eastAsia="Times New Roman" w:hAnsi="Times New Roman"/>
                    <w:b/>
                    <w:sz w:val="14"/>
                    <w:szCs w:val="14"/>
                    <w:lang w:eastAsia="es-CO"/>
                  </w:rPr>
                  <w:t>-10,872,770,458.03</w:t>
                </w:r>
              </w:p>
            </w:tc>
            <w:tc>
              <w:tcPr>
                <w:tcW w:w="751"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280D53A9" w14:textId="77777777" w:rsidR="00B4426B" w:rsidRPr="00BD0C2E" w:rsidRDefault="00B4426B" w:rsidP="00FC76D7">
                <w:pPr>
                  <w:spacing w:after="0" w:line="240" w:lineRule="auto"/>
                  <w:jc w:val="right"/>
                  <w:rPr>
                    <w:rFonts w:ascii="Times New Roman" w:eastAsia="Times New Roman" w:hAnsi="Times New Roman"/>
                    <w:b/>
                    <w:sz w:val="14"/>
                    <w:szCs w:val="14"/>
                    <w:lang w:eastAsia="es-CO"/>
                  </w:rPr>
                </w:pPr>
                <w:r w:rsidRPr="00BD0C2E">
                  <w:rPr>
                    <w:rFonts w:ascii="Times New Roman" w:eastAsia="Times New Roman" w:hAnsi="Times New Roman"/>
                    <w:b/>
                    <w:sz w:val="14"/>
                    <w:szCs w:val="14"/>
                    <w:lang w:eastAsia="es-CO"/>
                  </w:rPr>
                  <w:t>-1,959,018,708.32</w:t>
                </w:r>
              </w:p>
            </w:tc>
            <w:tc>
              <w:tcPr>
                <w:tcW w:w="799" w:type="pct"/>
                <w:tcBorders>
                  <w:top w:val="single" w:sz="6" w:space="0" w:color="A6A6A6"/>
                  <w:left w:val="single" w:sz="6" w:space="0" w:color="A6A6A6"/>
                  <w:bottom w:val="single" w:sz="6" w:space="0" w:color="A6A6A6"/>
                  <w:right w:val="single" w:sz="4" w:space="0" w:color="A6A6A6"/>
                </w:tcBorders>
                <w:shd w:val="clear" w:color="auto" w:fill="auto"/>
                <w:noWrap/>
                <w:vAlign w:val="center"/>
                <w:hideMark/>
              </w:tcPr>
              <w:p w14:paraId="224F4B2B" w14:textId="77777777" w:rsidR="00B4426B" w:rsidRPr="00BD0C2E" w:rsidRDefault="00B4426B" w:rsidP="00FC76D7">
                <w:pPr>
                  <w:spacing w:after="0" w:line="240" w:lineRule="auto"/>
                  <w:jc w:val="right"/>
                  <w:rPr>
                    <w:rFonts w:ascii="Times New Roman" w:eastAsia="Times New Roman" w:hAnsi="Times New Roman"/>
                    <w:b/>
                    <w:sz w:val="14"/>
                    <w:szCs w:val="14"/>
                    <w:lang w:eastAsia="es-CO"/>
                  </w:rPr>
                </w:pPr>
                <w:r w:rsidRPr="00BD0C2E">
                  <w:rPr>
                    <w:rFonts w:ascii="Times New Roman" w:eastAsia="Times New Roman" w:hAnsi="Times New Roman"/>
                    <w:b/>
                    <w:sz w:val="14"/>
                    <w:szCs w:val="14"/>
                    <w:lang w:eastAsia="es-CO"/>
                  </w:rPr>
                  <w:t>-8,913,751,749.71</w:t>
                </w:r>
              </w:p>
            </w:tc>
          </w:tr>
          <w:tr w:rsidR="00B4426B" w:rsidRPr="00BD0C2E" w14:paraId="79F4C09E" w14:textId="77777777" w:rsidTr="009A46BB">
            <w:trPr>
              <w:trHeight w:val="600"/>
            </w:trPr>
            <w:tc>
              <w:tcPr>
                <w:tcW w:w="575" w:type="pct"/>
                <w:tcBorders>
                  <w:top w:val="single" w:sz="6" w:space="0" w:color="A6A6A6"/>
                  <w:left w:val="single" w:sz="4" w:space="0" w:color="A6A6A6"/>
                  <w:bottom w:val="single" w:sz="6" w:space="0" w:color="A6A6A6"/>
                  <w:right w:val="single" w:sz="6" w:space="0" w:color="A6A6A6"/>
                </w:tcBorders>
                <w:shd w:val="clear" w:color="auto" w:fill="auto"/>
                <w:noWrap/>
                <w:vAlign w:val="center"/>
                <w:hideMark/>
              </w:tcPr>
              <w:p w14:paraId="3CC9EF37" w14:textId="77777777" w:rsidR="00B4426B" w:rsidRPr="00BD0C2E" w:rsidRDefault="00B4426B" w:rsidP="00FC76D7">
                <w:pPr>
                  <w:spacing w:after="0" w:line="240" w:lineRule="auto"/>
                  <w:rPr>
                    <w:rFonts w:ascii="Times New Roman" w:eastAsia="Times New Roman" w:hAnsi="Times New Roman"/>
                    <w:sz w:val="14"/>
                    <w:szCs w:val="14"/>
                    <w:lang w:eastAsia="es-CO"/>
                  </w:rPr>
                </w:pPr>
                <w:r w:rsidRPr="00BD0C2E">
                  <w:rPr>
                    <w:rFonts w:ascii="Times New Roman" w:eastAsia="Times New Roman" w:hAnsi="Times New Roman"/>
                    <w:sz w:val="14"/>
                    <w:szCs w:val="14"/>
                    <w:lang w:eastAsia="es-CO"/>
                  </w:rPr>
                  <w:t>4.8.06 (+)</w:t>
                </w:r>
              </w:p>
            </w:tc>
            <w:tc>
              <w:tcPr>
                <w:tcW w:w="367"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29EAD83D" w14:textId="77777777" w:rsidR="00B4426B" w:rsidRPr="00BD0C2E" w:rsidRDefault="00B4426B" w:rsidP="00FC76D7">
                <w:pPr>
                  <w:spacing w:after="0" w:line="240" w:lineRule="auto"/>
                  <w:jc w:val="center"/>
                  <w:rPr>
                    <w:rFonts w:ascii="Times New Roman" w:eastAsia="Times New Roman" w:hAnsi="Times New Roman"/>
                    <w:sz w:val="14"/>
                    <w:szCs w:val="14"/>
                    <w:lang w:eastAsia="es-CO"/>
                  </w:rPr>
                </w:pPr>
                <w:r w:rsidRPr="00BD0C2E">
                  <w:rPr>
                    <w:rFonts w:ascii="Times New Roman" w:eastAsia="Times New Roman" w:hAnsi="Times New Roman"/>
                    <w:sz w:val="14"/>
                    <w:szCs w:val="14"/>
                    <w:lang w:eastAsia="es-CO"/>
                  </w:rPr>
                  <w:t>Cr</w:t>
                </w:r>
              </w:p>
            </w:tc>
            <w:tc>
              <w:tcPr>
                <w:tcW w:w="1709" w:type="pct"/>
                <w:tcBorders>
                  <w:top w:val="single" w:sz="6" w:space="0" w:color="A6A6A6"/>
                  <w:left w:val="single" w:sz="6" w:space="0" w:color="A6A6A6"/>
                  <w:bottom w:val="single" w:sz="6" w:space="0" w:color="A6A6A6"/>
                  <w:right w:val="single" w:sz="6" w:space="0" w:color="A6A6A6"/>
                </w:tcBorders>
                <w:shd w:val="clear" w:color="auto" w:fill="auto"/>
                <w:vAlign w:val="center"/>
                <w:hideMark/>
              </w:tcPr>
              <w:p w14:paraId="31766C09" w14:textId="77777777" w:rsidR="00B4426B" w:rsidRPr="00BD0C2E" w:rsidRDefault="00B4426B" w:rsidP="00FC76D7">
                <w:pPr>
                  <w:spacing w:after="0" w:line="240" w:lineRule="auto"/>
                  <w:rPr>
                    <w:rFonts w:ascii="Times New Roman" w:eastAsia="Times New Roman" w:hAnsi="Times New Roman"/>
                    <w:sz w:val="14"/>
                    <w:szCs w:val="14"/>
                    <w:lang w:eastAsia="es-CO"/>
                  </w:rPr>
                </w:pPr>
                <w:r w:rsidRPr="00BD0C2E">
                  <w:rPr>
                    <w:rFonts w:ascii="Times New Roman" w:eastAsia="Times New Roman" w:hAnsi="Times New Roman"/>
                    <w:sz w:val="14"/>
                    <w:szCs w:val="14"/>
                    <w:lang w:eastAsia="es-CO"/>
                  </w:rPr>
                  <w:t>Incrementos (ingresos) por ajuste por diferencia en cambio</w:t>
                </w:r>
              </w:p>
            </w:tc>
            <w:tc>
              <w:tcPr>
                <w:tcW w:w="799"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271B60E0" w14:textId="77777777" w:rsidR="00B4426B" w:rsidRPr="00BD0C2E" w:rsidRDefault="00B4426B" w:rsidP="00FC76D7">
                <w:pPr>
                  <w:spacing w:after="0" w:line="240" w:lineRule="auto"/>
                  <w:jc w:val="right"/>
                  <w:rPr>
                    <w:rFonts w:ascii="Times New Roman" w:eastAsia="Times New Roman" w:hAnsi="Times New Roman"/>
                    <w:sz w:val="14"/>
                    <w:szCs w:val="14"/>
                    <w:lang w:eastAsia="es-CO"/>
                  </w:rPr>
                </w:pPr>
                <w:r w:rsidRPr="00BD0C2E">
                  <w:rPr>
                    <w:rFonts w:ascii="Times New Roman" w:eastAsia="Times New Roman" w:hAnsi="Times New Roman"/>
                    <w:sz w:val="14"/>
                    <w:szCs w:val="14"/>
                    <w:lang w:eastAsia="es-CO"/>
                  </w:rPr>
                  <w:t>15,602.00</w:t>
                </w:r>
              </w:p>
            </w:tc>
            <w:tc>
              <w:tcPr>
                <w:tcW w:w="751" w:type="pct"/>
                <w:tcBorders>
                  <w:top w:val="single" w:sz="6" w:space="0" w:color="A6A6A6"/>
                  <w:left w:val="single" w:sz="6" w:space="0" w:color="A6A6A6"/>
                  <w:bottom w:val="single" w:sz="6" w:space="0" w:color="A6A6A6"/>
                  <w:right w:val="single" w:sz="6" w:space="0" w:color="A6A6A6"/>
                </w:tcBorders>
                <w:shd w:val="clear" w:color="auto" w:fill="auto"/>
                <w:noWrap/>
                <w:vAlign w:val="center"/>
                <w:hideMark/>
              </w:tcPr>
              <w:p w14:paraId="60602F6A" w14:textId="77777777" w:rsidR="00B4426B" w:rsidRPr="00BD0C2E" w:rsidRDefault="00B4426B" w:rsidP="00FC76D7">
                <w:pPr>
                  <w:spacing w:after="0" w:line="240" w:lineRule="auto"/>
                  <w:jc w:val="right"/>
                  <w:rPr>
                    <w:rFonts w:ascii="Times New Roman" w:eastAsia="Times New Roman" w:hAnsi="Times New Roman"/>
                    <w:sz w:val="14"/>
                    <w:szCs w:val="14"/>
                    <w:lang w:eastAsia="es-CO"/>
                  </w:rPr>
                </w:pPr>
                <w:r w:rsidRPr="00BD0C2E">
                  <w:rPr>
                    <w:rFonts w:ascii="Times New Roman" w:eastAsia="Times New Roman" w:hAnsi="Times New Roman"/>
                    <w:sz w:val="14"/>
                    <w:szCs w:val="14"/>
                    <w:lang w:eastAsia="es-CO"/>
                  </w:rPr>
                  <w:t>596,466,213.99</w:t>
                </w:r>
              </w:p>
            </w:tc>
            <w:tc>
              <w:tcPr>
                <w:tcW w:w="799" w:type="pct"/>
                <w:tcBorders>
                  <w:top w:val="single" w:sz="6" w:space="0" w:color="A6A6A6"/>
                  <w:left w:val="single" w:sz="6" w:space="0" w:color="A6A6A6"/>
                  <w:bottom w:val="single" w:sz="6" w:space="0" w:color="A6A6A6"/>
                  <w:right w:val="single" w:sz="4" w:space="0" w:color="A6A6A6"/>
                </w:tcBorders>
                <w:shd w:val="clear" w:color="auto" w:fill="auto"/>
                <w:noWrap/>
                <w:vAlign w:val="center"/>
                <w:hideMark/>
              </w:tcPr>
              <w:p w14:paraId="6507DEA1" w14:textId="77777777" w:rsidR="00B4426B" w:rsidRPr="00BD0C2E" w:rsidRDefault="00B4426B" w:rsidP="00FC76D7">
                <w:pPr>
                  <w:spacing w:after="0" w:line="240" w:lineRule="auto"/>
                  <w:jc w:val="right"/>
                  <w:rPr>
                    <w:rFonts w:ascii="Times New Roman" w:eastAsia="Times New Roman" w:hAnsi="Times New Roman"/>
                    <w:sz w:val="14"/>
                    <w:szCs w:val="14"/>
                    <w:lang w:eastAsia="es-CO"/>
                  </w:rPr>
                </w:pPr>
                <w:r w:rsidRPr="00BD0C2E">
                  <w:rPr>
                    <w:rFonts w:ascii="Times New Roman" w:eastAsia="Times New Roman" w:hAnsi="Times New Roman"/>
                    <w:sz w:val="14"/>
                    <w:szCs w:val="14"/>
                    <w:lang w:eastAsia="es-CO"/>
                  </w:rPr>
                  <w:t>-596,450,611.99</w:t>
                </w:r>
              </w:p>
            </w:tc>
          </w:tr>
          <w:tr w:rsidR="00B4426B" w:rsidRPr="00BD0C2E" w14:paraId="0C8C0EF4" w14:textId="77777777" w:rsidTr="009A46BB">
            <w:trPr>
              <w:trHeight w:val="600"/>
            </w:trPr>
            <w:tc>
              <w:tcPr>
                <w:tcW w:w="575" w:type="pct"/>
                <w:tcBorders>
                  <w:top w:val="single" w:sz="6" w:space="0" w:color="A6A6A6"/>
                  <w:left w:val="single" w:sz="4" w:space="0" w:color="A6A6A6"/>
                  <w:bottom w:val="single" w:sz="4" w:space="0" w:color="A6A6A6"/>
                  <w:right w:val="single" w:sz="6" w:space="0" w:color="A6A6A6"/>
                </w:tcBorders>
                <w:shd w:val="clear" w:color="auto" w:fill="auto"/>
                <w:noWrap/>
                <w:vAlign w:val="center"/>
                <w:hideMark/>
              </w:tcPr>
              <w:p w14:paraId="3D8E7073" w14:textId="77777777" w:rsidR="00B4426B" w:rsidRPr="00BD0C2E" w:rsidRDefault="00B4426B" w:rsidP="00FC76D7">
                <w:pPr>
                  <w:spacing w:after="0" w:line="240" w:lineRule="auto"/>
                  <w:rPr>
                    <w:rFonts w:ascii="Times New Roman" w:eastAsia="Times New Roman" w:hAnsi="Times New Roman"/>
                    <w:sz w:val="14"/>
                    <w:szCs w:val="14"/>
                    <w:lang w:eastAsia="es-CO"/>
                  </w:rPr>
                </w:pPr>
                <w:r w:rsidRPr="00BD0C2E">
                  <w:rPr>
                    <w:rFonts w:ascii="Times New Roman" w:eastAsia="Times New Roman" w:hAnsi="Times New Roman"/>
                    <w:sz w:val="14"/>
                    <w:szCs w:val="14"/>
                    <w:lang w:eastAsia="es-CO"/>
                  </w:rPr>
                  <w:t>5.8.03 (-)</w:t>
                </w:r>
              </w:p>
            </w:tc>
            <w:tc>
              <w:tcPr>
                <w:tcW w:w="367" w:type="pct"/>
                <w:tcBorders>
                  <w:top w:val="single" w:sz="6" w:space="0" w:color="A6A6A6"/>
                  <w:left w:val="single" w:sz="6" w:space="0" w:color="A6A6A6"/>
                  <w:bottom w:val="single" w:sz="4" w:space="0" w:color="A6A6A6"/>
                  <w:right w:val="single" w:sz="6" w:space="0" w:color="A6A6A6"/>
                </w:tcBorders>
                <w:shd w:val="clear" w:color="auto" w:fill="auto"/>
                <w:noWrap/>
                <w:vAlign w:val="center"/>
                <w:hideMark/>
              </w:tcPr>
              <w:p w14:paraId="1C7CB9C8" w14:textId="77777777" w:rsidR="00B4426B" w:rsidRPr="00BD0C2E" w:rsidRDefault="00B4426B" w:rsidP="00FC76D7">
                <w:pPr>
                  <w:spacing w:after="0" w:line="240" w:lineRule="auto"/>
                  <w:jc w:val="center"/>
                  <w:rPr>
                    <w:rFonts w:ascii="Times New Roman" w:eastAsia="Times New Roman" w:hAnsi="Times New Roman"/>
                    <w:sz w:val="14"/>
                    <w:szCs w:val="14"/>
                    <w:lang w:eastAsia="es-CO"/>
                  </w:rPr>
                </w:pPr>
                <w:r w:rsidRPr="00BD0C2E">
                  <w:rPr>
                    <w:rFonts w:ascii="Times New Roman" w:eastAsia="Times New Roman" w:hAnsi="Times New Roman"/>
                    <w:sz w:val="14"/>
                    <w:szCs w:val="14"/>
                    <w:lang w:eastAsia="es-CO"/>
                  </w:rPr>
                  <w:t>Db</w:t>
                </w:r>
              </w:p>
            </w:tc>
            <w:tc>
              <w:tcPr>
                <w:tcW w:w="1709" w:type="pct"/>
                <w:tcBorders>
                  <w:top w:val="single" w:sz="6" w:space="0" w:color="A6A6A6"/>
                  <w:left w:val="single" w:sz="6" w:space="0" w:color="A6A6A6"/>
                  <w:bottom w:val="single" w:sz="4" w:space="0" w:color="A6A6A6"/>
                  <w:right w:val="single" w:sz="6" w:space="0" w:color="A6A6A6"/>
                </w:tcBorders>
                <w:shd w:val="clear" w:color="auto" w:fill="auto"/>
                <w:vAlign w:val="center"/>
                <w:hideMark/>
              </w:tcPr>
              <w:p w14:paraId="77EFE480" w14:textId="77777777" w:rsidR="00B4426B" w:rsidRPr="00BD0C2E" w:rsidRDefault="00B4426B" w:rsidP="00FC76D7">
                <w:pPr>
                  <w:spacing w:after="0" w:line="240" w:lineRule="auto"/>
                  <w:rPr>
                    <w:rFonts w:ascii="Times New Roman" w:eastAsia="Times New Roman" w:hAnsi="Times New Roman"/>
                    <w:sz w:val="14"/>
                    <w:szCs w:val="14"/>
                    <w:lang w:eastAsia="es-CO"/>
                  </w:rPr>
                </w:pPr>
                <w:r w:rsidRPr="00BD0C2E">
                  <w:rPr>
                    <w:rFonts w:ascii="Times New Roman" w:eastAsia="Times New Roman" w:hAnsi="Times New Roman"/>
                    <w:sz w:val="14"/>
                    <w:szCs w:val="14"/>
                    <w:lang w:eastAsia="es-CO"/>
                  </w:rPr>
                  <w:t>Reducciones (gastos) por ajuste por diferencia en cambio</w:t>
                </w:r>
              </w:p>
            </w:tc>
            <w:tc>
              <w:tcPr>
                <w:tcW w:w="799" w:type="pct"/>
                <w:tcBorders>
                  <w:top w:val="single" w:sz="6" w:space="0" w:color="A6A6A6"/>
                  <w:left w:val="single" w:sz="6" w:space="0" w:color="A6A6A6"/>
                  <w:bottom w:val="single" w:sz="4" w:space="0" w:color="A6A6A6"/>
                  <w:right w:val="single" w:sz="6" w:space="0" w:color="A6A6A6"/>
                </w:tcBorders>
                <w:shd w:val="clear" w:color="auto" w:fill="auto"/>
                <w:noWrap/>
                <w:vAlign w:val="center"/>
                <w:hideMark/>
              </w:tcPr>
              <w:p w14:paraId="491E0134" w14:textId="77777777" w:rsidR="00B4426B" w:rsidRPr="00BD0C2E" w:rsidRDefault="00B4426B" w:rsidP="00FC76D7">
                <w:pPr>
                  <w:spacing w:after="0" w:line="240" w:lineRule="auto"/>
                  <w:jc w:val="right"/>
                  <w:rPr>
                    <w:rFonts w:ascii="Times New Roman" w:eastAsia="Times New Roman" w:hAnsi="Times New Roman"/>
                    <w:sz w:val="14"/>
                    <w:szCs w:val="14"/>
                    <w:lang w:eastAsia="es-CO"/>
                  </w:rPr>
                </w:pPr>
                <w:r w:rsidRPr="00BD0C2E">
                  <w:rPr>
                    <w:rFonts w:ascii="Times New Roman" w:eastAsia="Times New Roman" w:hAnsi="Times New Roman"/>
                    <w:sz w:val="14"/>
                    <w:szCs w:val="14"/>
                    <w:lang w:eastAsia="es-CO"/>
                  </w:rPr>
                  <w:t>10,872,786,060.03</w:t>
                </w:r>
              </w:p>
            </w:tc>
            <w:tc>
              <w:tcPr>
                <w:tcW w:w="751" w:type="pct"/>
                <w:tcBorders>
                  <w:top w:val="single" w:sz="6" w:space="0" w:color="A6A6A6"/>
                  <w:left w:val="single" w:sz="6" w:space="0" w:color="A6A6A6"/>
                  <w:bottom w:val="single" w:sz="4" w:space="0" w:color="A6A6A6"/>
                  <w:right w:val="single" w:sz="6" w:space="0" w:color="A6A6A6"/>
                </w:tcBorders>
                <w:shd w:val="clear" w:color="auto" w:fill="auto"/>
                <w:noWrap/>
                <w:vAlign w:val="center"/>
                <w:hideMark/>
              </w:tcPr>
              <w:p w14:paraId="1F2107BA" w14:textId="77777777" w:rsidR="00B4426B" w:rsidRPr="00BD0C2E" w:rsidRDefault="00B4426B" w:rsidP="00FC76D7">
                <w:pPr>
                  <w:spacing w:after="0" w:line="240" w:lineRule="auto"/>
                  <w:jc w:val="right"/>
                  <w:rPr>
                    <w:rFonts w:ascii="Times New Roman" w:eastAsia="Times New Roman" w:hAnsi="Times New Roman"/>
                    <w:sz w:val="14"/>
                    <w:szCs w:val="14"/>
                    <w:lang w:eastAsia="es-CO"/>
                  </w:rPr>
                </w:pPr>
                <w:r w:rsidRPr="00BD0C2E">
                  <w:rPr>
                    <w:rFonts w:ascii="Times New Roman" w:eastAsia="Times New Roman" w:hAnsi="Times New Roman"/>
                    <w:sz w:val="14"/>
                    <w:szCs w:val="14"/>
                    <w:lang w:eastAsia="es-CO"/>
                  </w:rPr>
                  <w:t>2,555,484,922.31</w:t>
                </w:r>
              </w:p>
            </w:tc>
            <w:tc>
              <w:tcPr>
                <w:tcW w:w="799" w:type="pct"/>
                <w:tcBorders>
                  <w:top w:val="single" w:sz="6" w:space="0" w:color="A6A6A6"/>
                  <w:left w:val="single" w:sz="6" w:space="0" w:color="A6A6A6"/>
                  <w:bottom w:val="single" w:sz="4" w:space="0" w:color="A6A6A6"/>
                  <w:right w:val="single" w:sz="4" w:space="0" w:color="A6A6A6"/>
                </w:tcBorders>
                <w:shd w:val="clear" w:color="auto" w:fill="auto"/>
                <w:noWrap/>
                <w:vAlign w:val="center"/>
                <w:hideMark/>
              </w:tcPr>
              <w:p w14:paraId="51322A42" w14:textId="77777777" w:rsidR="00B4426B" w:rsidRPr="00BD0C2E" w:rsidRDefault="00B4426B" w:rsidP="00FC76D7">
                <w:pPr>
                  <w:spacing w:after="0" w:line="240" w:lineRule="auto"/>
                  <w:jc w:val="right"/>
                  <w:rPr>
                    <w:rFonts w:ascii="Times New Roman" w:eastAsia="Times New Roman" w:hAnsi="Times New Roman"/>
                    <w:sz w:val="14"/>
                    <w:szCs w:val="14"/>
                    <w:lang w:eastAsia="es-CO"/>
                  </w:rPr>
                </w:pPr>
                <w:r w:rsidRPr="00BD0C2E">
                  <w:rPr>
                    <w:rFonts w:ascii="Times New Roman" w:eastAsia="Times New Roman" w:hAnsi="Times New Roman"/>
                    <w:sz w:val="14"/>
                    <w:szCs w:val="14"/>
                    <w:lang w:eastAsia="es-CO"/>
                  </w:rPr>
                  <w:t>8,317,301,137.72</w:t>
                </w:r>
              </w:p>
            </w:tc>
          </w:tr>
        </w:tbl>
        <w:p w14:paraId="70AF0261" w14:textId="77777777" w:rsidR="00F12A1C" w:rsidRDefault="0016183A" w:rsidP="00F12A1C">
          <w:pPr>
            <w:pStyle w:val="Ttulo2"/>
            <w:numPr>
              <w:ilvl w:val="0"/>
              <w:numId w:val="0"/>
            </w:numPr>
            <w:ind w:left="480"/>
            <w:rPr>
              <w:rFonts w:cs="Times New Roman"/>
            </w:rPr>
          </w:pPr>
          <w:r w:rsidRPr="00931DCE">
            <w:rPr>
              <w:rFonts w:cs="Times New Roman"/>
            </w:rPr>
            <w:t xml:space="preserve"> </w:t>
          </w:r>
        </w:p>
        <w:p w14:paraId="6131644B" w14:textId="6D4E520F" w:rsidR="004B01E9" w:rsidRPr="00931DCE" w:rsidRDefault="004D392A" w:rsidP="00E60BAB">
          <w:pPr>
            <w:pStyle w:val="Ttulo2"/>
            <w:numPr>
              <w:ilvl w:val="1"/>
              <w:numId w:val="37"/>
            </w:numPr>
            <w:rPr>
              <w:rFonts w:cs="Times New Roman"/>
            </w:rPr>
          </w:pPr>
          <w:bookmarkStart w:id="144" w:name="_Toc159952457"/>
          <w:r w:rsidRPr="00931DCE">
            <w:rPr>
              <w:rFonts w:cs="Times New Roman"/>
              <w:lang w:eastAsia="es-CO"/>
            </w:rPr>
            <w:t>Conciliación de ajustes por diferencia en cambio</w:t>
          </w:r>
          <w:bookmarkEnd w:id="144"/>
        </w:p>
        <w:p w14:paraId="782C93DC" w14:textId="77777777" w:rsidR="004B01E9" w:rsidRPr="00931DCE" w:rsidRDefault="004B01E9" w:rsidP="000F4BA5">
          <w:pPr>
            <w:spacing w:after="0" w:line="240" w:lineRule="auto"/>
            <w:jc w:val="center"/>
            <w:rPr>
              <w:rFonts w:ascii="Times New Roman" w:eastAsia="Times New Roman" w:hAnsi="Times New Roman"/>
              <w:b/>
              <w:bCs/>
              <w:sz w:val="16"/>
              <w:szCs w:val="16"/>
              <w:lang w:eastAsia="es-CO"/>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CellMar>
              <w:left w:w="70" w:type="dxa"/>
              <w:right w:w="70" w:type="dxa"/>
            </w:tblCellMar>
            <w:tblLook w:val="04A0" w:firstRow="1" w:lastRow="0" w:firstColumn="1" w:lastColumn="0" w:noHBand="0" w:noVBand="1"/>
          </w:tblPr>
          <w:tblGrid>
            <w:gridCol w:w="1272"/>
            <w:gridCol w:w="1232"/>
            <w:gridCol w:w="1324"/>
            <w:gridCol w:w="1195"/>
            <w:gridCol w:w="1408"/>
            <w:gridCol w:w="1324"/>
            <w:gridCol w:w="1214"/>
          </w:tblGrid>
          <w:tr w:rsidR="000F4BA5" w:rsidRPr="00F12A1C" w14:paraId="2C3ECF13" w14:textId="77777777" w:rsidTr="009A46BB">
            <w:trPr>
              <w:trHeight w:val="600"/>
            </w:trPr>
            <w:tc>
              <w:tcPr>
                <w:tcW w:w="709" w:type="pct"/>
                <w:vMerge w:val="restart"/>
                <w:shd w:val="clear" w:color="auto" w:fill="auto"/>
                <w:vAlign w:val="center"/>
                <w:hideMark/>
              </w:tcPr>
              <w:p w14:paraId="64292D7D" w14:textId="77777777" w:rsidR="000F4BA5" w:rsidRPr="00F12A1C" w:rsidRDefault="000F4BA5" w:rsidP="000F4BA5">
                <w:pPr>
                  <w:spacing w:after="0" w:line="240" w:lineRule="auto"/>
                  <w:jc w:val="center"/>
                  <w:rPr>
                    <w:rFonts w:ascii="Times New Roman" w:eastAsia="Times New Roman" w:hAnsi="Times New Roman"/>
                    <w:b/>
                    <w:sz w:val="14"/>
                    <w:szCs w:val="14"/>
                    <w:lang w:eastAsia="es-CO"/>
                  </w:rPr>
                </w:pPr>
                <w:r w:rsidRPr="00F12A1C">
                  <w:rPr>
                    <w:rFonts w:ascii="Times New Roman" w:eastAsia="Times New Roman" w:hAnsi="Times New Roman"/>
                    <w:b/>
                    <w:sz w:val="14"/>
                    <w:szCs w:val="14"/>
                    <w:lang w:eastAsia="es-CO"/>
                  </w:rPr>
                  <w:t>CONCEPTO</w:t>
                </w:r>
              </w:p>
            </w:tc>
            <w:tc>
              <w:tcPr>
                <w:tcW w:w="2091" w:type="pct"/>
                <w:gridSpan w:val="3"/>
                <w:shd w:val="clear" w:color="auto" w:fill="auto"/>
                <w:vAlign w:val="center"/>
                <w:hideMark/>
              </w:tcPr>
              <w:p w14:paraId="1AC30854" w14:textId="77777777" w:rsidR="000F4BA5" w:rsidRPr="00F12A1C" w:rsidRDefault="000F4BA5" w:rsidP="000F4BA5">
                <w:pPr>
                  <w:spacing w:after="0" w:line="240" w:lineRule="auto"/>
                  <w:jc w:val="center"/>
                  <w:rPr>
                    <w:rFonts w:ascii="Times New Roman" w:eastAsia="Times New Roman" w:hAnsi="Times New Roman"/>
                    <w:b/>
                    <w:sz w:val="14"/>
                    <w:szCs w:val="14"/>
                    <w:lang w:eastAsia="es-CO"/>
                  </w:rPr>
                </w:pPr>
                <w:r w:rsidRPr="00F12A1C">
                  <w:rPr>
                    <w:rFonts w:ascii="Times New Roman" w:eastAsia="Times New Roman" w:hAnsi="Times New Roman"/>
                    <w:b/>
                    <w:sz w:val="14"/>
                    <w:szCs w:val="14"/>
                    <w:lang w:eastAsia="es-CO"/>
                  </w:rPr>
                  <w:t>EFECTOS EN EL RESULTADO</w:t>
                </w:r>
                <w:r w:rsidRPr="00F12A1C">
                  <w:rPr>
                    <w:rFonts w:ascii="Times New Roman" w:eastAsia="Times New Roman" w:hAnsi="Times New Roman"/>
                    <w:b/>
                    <w:sz w:val="14"/>
                    <w:szCs w:val="14"/>
                    <w:lang w:eastAsia="es-CO"/>
                  </w:rPr>
                  <w:br/>
                  <w:t>VIGENCIA ACTUAL</w:t>
                </w:r>
              </w:p>
            </w:tc>
            <w:tc>
              <w:tcPr>
                <w:tcW w:w="2201" w:type="pct"/>
                <w:gridSpan w:val="3"/>
                <w:shd w:val="clear" w:color="auto" w:fill="auto"/>
                <w:vAlign w:val="center"/>
                <w:hideMark/>
              </w:tcPr>
              <w:p w14:paraId="472331EB" w14:textId="77777777" w:rsidR="000F4BA5" w:rsidRPr="00F12A1C" w:rsidRDefault="000F4BA5" w:rsidP="000F4BA5">
                <w:pPr>
                  <w:spacing w:after="0" w:line="240" w:lineRule="auto"/>
                  <w:jc w:val="center"/>
                  <w:rPr>
                    <w:rFonts w:ascii="Times New Roman" w:eastAsia="Times New Roman" w:hAnsi="Times New Roman"/>
                    <w:b/>
                    <w:sz w:val="14"/>
                    <w:szCs w:val="14"/>
                    <w:lang w:eastAsia="es-CO"/>
                  </w:rPr>
                </w:pPr>
                <w:r w:rsidRPr="00F12A1C">
                  <w:rPr>
                    <w:rFonts w:ascii="Times New Roman" w:eastAsia="Times New Roman" w:hAnsi="Times New Roman"/>
                    <w:b/>
                    <w:sz w:val="14"/>
                    <w:szCs w:val="14"/>
                    <w:lang w:eastAsia="es-CO"/>
                  </w:rPr>
                  <w:t>EFECTOS EN EL PATRIMONIO POR AJUSTES</w:t>
                </w:r>
                <w:r w:rsidRPr="00F12A1C">
                  <w:rPr>
                    <w:rFonts w:ascii="Times New Roman" w:eastAsia="Times New Roman" w:hAnsi="Times New Roman"/>
                    <w:b/>
                    <w:sz w:val="14"/>
                    <w:szCs w:val="14"/>
                    <w:lang w:eastAsia="es-CO"/>
                  </w:rPr>
                  <w:br/>
                  <w:t>DE VIGENCIAS ANTERIORES</w:t>
                </w:r>
              </w:p>
            </w:tc>
          </w:tr>
          <w:tr w:rsidR="000F4BA5" w:rsidRPr="00F12A1C" w14:paraId="54AB78AE" w14:textId="77777777" w:rsidTr="009A46BB">
            <w:trPr>
              <w:trHeight w:val="570"/>
            </w:trPr>
            <w:tc>
              <w:tcPr>
                <w:tcW w:w="709" w:type="pct"/>
                <w:vMerge/>
                <w:vAlign w:val="center"/>
                <w:hideMark/>
              </w:tcPr>
              <w:p w14:paraId="009AE96B" w14:textId="77777777" w:rsidR="000F4BA5" w:rsidRPr="00F12A1C" w:rsidRDefault="000F4BA5" w:rsidP="000F4BA5">
                <w:pPr>
                  <w:spacing w:after="0" w:line="240" w:lineRule="auto"/>
                  <w:jc w:val="center"/>
                  <w:rPr>
                    <w:rFonts w:ascii="Times New Roman" w:eastAsia="Times New Roman" w:hAnsi="Times New Roman"/>
                    <w:b/>
                    <w:sz w:val="14"/>
                    <w:szCs w:val="14"/>
                    <w:lang w:eastAsia="es-CO"/>
                  </w:rPr>
                </w:pPr>
              </w:p>
            </w:tc>
            <w:tc>
              <w:tcPr>
                <w:tcW w:w="687" w:type="pct"/>
                <w:shd w:val="clear" w:color="auto" w:fill="auto"/>
                <w:vAlign w:val="center"/>
                <w:hideMark/>
              </w:tcPr>
              <w:p w14:paraId="51F9555C" w14:textId="77777777" w:rsidR="000F4BA5" w:rsidRPr="00F12A1C" w:rsidRDefault="000F4BA5" w:rsidP="000F4BA5">
                <w:pPr>
                  <w:spacing w:after="0" w:line="240" w:lineRule="auto"/>
                  <w:jc w:val="center"/>
                  <w:rPr>
                    <w:rFonts w:ascii="Times New Roman" w:eastAsia="Times New Roman" w:hAnsi="Times New Roman"/>
                    <w:b/>
                    <w:sz w:val="14"/>
                    <w:szCs w:val="14"/>
                    <w:lang w:eastAsia="es-CO"/>
                  </w:rPr>
                </w:pPr>
                <w:r w:rsidRPr="00F12A1C">
                  <w:rPr>
                    <w:rFonts w:ascii="Times New Roman" w:eastAsia="Times New Roman" w:hAnsi="Times New Roman"/>
                    <w:b/>
                    <w:sz w:val="14"/>
                    <w:szCs w:val="14"/>
                    <w:lang w:eastAsia="es-CO"/>
                  </w:rPr>
                  <w:t>(+) INCREMENTOS</w:t>
                </w:r>
              </w:p>
            </w:tc>
            <w:tc>
              <w:tcPr>
                <w:tcW w:w="738" w:type="pct"/>
                <w:shd w:val="clear" w:color="auto" w:fill="auto"/>
                <w:vAlign w:val="center"/>
                <w:hideMark/>
              </w:tcPr>
              <w:p w14:paraId="654C79B2" w14:textId="77777777" w:rsidR="000F4BA5" w:rsidRPr="00F12A1C" w:rsidRDefault="000F4BA5" w:rsidP="000F4BA5">
                <w:pPr>
                  <w:spacing w:after="0" w:line="240" w:lineRule="auto"/>
                  <w:jc w:val="center"/>
                  <w:rPr>
                    <w:rFonts w:ascii="Times New Roman" w:eastAsia="Times New Roman" w:hAnsi="Times New Roman"/>
                    <w:b/>
                    <w:sz w:val="14"/>
                    <w:szCs w:val="14"/>
                    <w:lang w:eastAsia="es-CO"/>
                  </w:rPr>
                </w:pPr>
                <w:r w:rsidRPr="00F12A1C">
                  <w:rPr>
                    <w:rFonts w:ascii="Times New Roman" w:eastAsia="Times New Roman" w:hAnsi="Times New Roman"/>
                    <w:b/>
                    <w:sz w:val="14"/>
                    <w:szCs w:val="14"/>
                    <w:lang w:eastAsia="es-CO"/>
                  </w:rPr>
                  <w:t>(-) REDUCCIONES</w:t>
                </w:r>
              </w:p>
            </w:tc>
            <w:tc>
              <w:tcPr>
                <w:tcW w:w="666" w:type="pct"/>
                <w:shd w:val="clear" w:color="auto" w:fill="auto"/>
                <w:vAlign w:val="center"/>
                <w:hideMark/>
              </w:tcPr>
              <w:p w14:paraId="41E58DB6" w14:textId="77777777" w:rsidR="000F4BA5" w:rsidRPr="00F12A1C" w:rsidRDefault="000F4BA5" w:rsidP="000F4BA5">
                <w:pPr>
                  <w:spacing w:after="0" w:line="240" w:lineRule="auto"/>
                  <w:jc w:val="center"/>
                  <w:rPr>
                    <w:rFonts w:ascii="Times New Roman" w:eastAsia="Times New Roman" w:hAnsi="Times New Roman"/>
                    <w:b/>
                    <w:sz w:val="14"/>
                    <w:szCs w:val="14"/>
                    <w:lang w:eastAsia="es-CO"/>
                  </w:rPr>
                </w:pPr>
                <w:r w:rsidRPr="00F12A1C">
                  <w:rPr>
                    <w:rFonts w:ascii="Times New Roman" w:eastAsia="Times New Roman" w:hAnsi="Times New Roman"/>
                    <w:b/>
                    <w:sz w:val="14"/>
                    <w:szCs w:val="14"/>
                    <w:lang w:eastAsia="es-CO"/>
                  </w:rPr>
                  <w:t>(=) NETO EN RESULTADO</w:t>
                </w:r>
              </w:p>
            </w:tc>
            <w:tc>
              <w:tcPr>
                <w:tcW w:w="785" w:type="pct"/>
                <w:shd w:val="clear" w:color="auto" w:fill="auto"/>
                <w:vAlign w:val="center"/>
                <w:hideMark/>
              </w:tcPr>
              <w:p w14:paraId="1E7A561C" w14:textId="77777777" w:rsidR="000F4BA5" w:rsidRPr="00F12A1C" w:rsidRDefault="000F4BA5" w:rsidP="000F4BA5">
                <w:pPr>
                  <w:spacing w:after="0" w:line="240" w:lineRule="auto"/>
                  <w:jc w:val="center"/>
                  <w:rPr>
                    <w:rFonts w:ascii="Times New Roman" w:eastAsia="Times New Roman" w:hAnsi="Times New Roman"/>
                    <w:b/>
                    <w:sz w:val="14"/>
                    <w:szCs w:val="14"/>
                    <w:lang w:eastAsia="es-CO"/>
                  </w:rPr>
                </w:pPr>
                <w:r w:rsidRPr="00F12A1C">
                  <w:rPr>
                    <w:rFonts w:ascii="Times New Roman" w:eastAsia="Times New Roman" w:hAnsi="Times New Roman"/>
                    <w:b/>
                    <w:sz w:val="14"/>
                    <w:szCs w:val="14"/>
                    <w:lang w:eastAsia="es-CO"/>
                  </w:rPr>
                  <w:t>(+) INCREMENTOS</w:t>
                </w:r>
              </w:p>
            </w:tc>
            <w:tc>
              <w:tcPr>
                <w:tcW w:w="738" w:type="pct"/>
                <w:shd w:val="clear" w:color="auto" w:fill="auto"/>
                <w:vAlign w:val="center"/>
                <w:hideMark/>
              </w:tcPr>
              <w:p w14:paraId="56464597" w14:textId="77777777" w:rsidR="000F4BA5" w:rsidRPr="00F12A1C" w:rsidRDefault="000F4BA5" w:rsidP="000F4BA5">
                <w:pPr>
                  <w:spacing w:after="0" w:line="240" w:lineRule="auto"/>
                  <w:jc w:val="center"/>
                  <w:rPr>
                    <w:rFonts w:ascii="Times New Roman" w:eastAsia="Times New Roman" w:hAnsi="Times New Roman"/>
                    <w:b/>
                    <w:sz w:val="14"/>
                    <w:szCs w:val="14"/>
                    <w:lang w:eastAsia="es-CO"/>
                  </w:rPr>
                </w:pPr>
                <w:r w:rsidRPr="00F12A1C">
                  <w:rPr>
                    <w:rFonts w:ascii="Times New Roman" w:eastAsia="Times New Roman" w:hAnsi="Times New Roman"/>
                    <w:b/>
                    <w:sz w:val="14"/>
                    <w:szCs w:val="14"/>
                    <w:lang w:eastAsia="es-CO"/>
                  </w:rPr>
                  <w:t>(-) REDUCCIONES</w:t>
                </w:r>
              </w:p>
            </w:tc>
            <w:tc>
              <w:tcPr>
                <w:tcW w:w="678" w:type="pct"/>
                <w:shd w:val="clear" w:color="auto" w:fill="auto"/>
                <w:vAlign w:val="center"/>
                <w:hideMark/>
              </w:tcPr>
              <w:p w14:paraId="60E88E64" w14:textId="77777777" w:rsidR="000F4BA5" w:rsidRPr="00F12A1C" w:rsidRDefault="000F4BA5" w:rsidP="000F4BA5">
                <w:pPr>
                  <w:spacing w:after="0" w:line="240" w:lineRule="auto"/>
                  <w:jc w:val="center"/>
                  <w:rPr>
                    <w:rFonts w:ascii="Times New Roman" w:eastAsia="Times New Roman" w:hAnsi="Times New Roman"/>
                    <w:b/>
                    <w:sz w:val="14"/>
                    <w:szCs w:val="14"/>
                    <w:lang w:eastAsia="es-CO"/>
                  </w:rPr>
                </w:pPr>
                <w:r w:rsidRPr="00F12A1C">
                  <w:rPr>
                    <w:rFonts w:ascii="Times New Roman" w:eastAsia="Times New Roman" w:hAnsi="Times New Roman"/>
                    <w:b/>
                    <w:sz w:val="14"/>
                    <w:szCs w:val="14"/>
                    <w:lang w:eastAsia="es-CO"/>
                  </w:rPr>
                  <w:t>(=) NETO EN PATRIMONIO</w:t>
                </w:r>
              </w:p>
            </w:tc>
          </w:tr>
          <w:tr w:rsidR="000F4BA5" w:rsidRPr="00F12A1C" w14:paraId="05AAFBC9" w14:textId="77777777" w:rsidTr="009A46BB">
            <w:trPr>
              <w:trHeight w:val="570"/>
            </w:trPr>
            <w:tc>
              <w:tcPr>
                <w:tcW w:w="709" w:type="pct"/>
                <w:shd w:val="clear" w:color="auto" w:fill="auto"/>
                <w:vAlign w:val="center"/>
                <w:hideMark/>
              </w:tcPr>
              <w:p w14:paraId="514189B2" w14:textId="77777777" w:rsidR="000F4BA5" w:rsidRPr="00F12A1C" w:rsidRDefault="000F4BA5" w:rsidP="000F4BA5">
                <w:pPr>
                  <w:spacing w:after="0" w:line="240" w:lineRule="auto"/>
                  <w:jc w:val="center"/>
                  <w:rPr>
                    <w:rFonts w:ascii="Times New Roman" w:eastAsia="Times New Roman" w:hAnsi="Times New Roman"/>
                    <w:b/>
                    <w:sz w:val="14"/>
                    <w:szCs w:val="14"/>
                    <w:lang w:eastAsia="es-CO"/>
                  </w:rPr>
                </w:pPr>
                <w:r w:rsidRPr="00F12A1C">
                  <w:rPr>
                    <w:rFonts w:ascii="Times New Roman" w:eastAsia="Times New Roman" w:hAnsi="Times New Roman"/>
                    <w:b/>
                    <w:sz w:val="14"/>
                    <w:szCs w:val="14"/>
                    <w:lang w:eastAsia="es-CO"/>
                  </w:rPr>
                  <w:t>INGRESOS POR AJUSTE POR DIFERENCIA EN CAMBIO</w:t>
                </w:r>
              </w:p>
            </w:tc>
            <w:tc>
              <w:tcPr>
                <w:tcW w:w="687" w:type="pct"/>
                <w:shd w:val="clear" w:color="auto" w:fill="auto"/>
                <w:noWrap/>
                <w:vAlign w:val="center"/>
                <w:hideMark/>
              </w:tcPr>
              <w:p w14:paraId="5A4C4D60" w14:textId="78DCD957" w:rsidR="000F4BA5" w:rsidRPr="00F12A1C" w:rsidRDefault="000F4BA5" w:rsidP="000F4BA5">
                <w:pPr>
                  <w:spacing w:after="0" w:line="240" w:lineRule="auto"/>
                  <w:jc w:val="center"/>
                  <w:rPr>
                    <w:rFonts w:ascii="Times New Roman" w:eastAsia="Times New Roman" w:hAnsi="Times New Roman"/>
                    <w:b/>
                    <w:sz w:val="14"/>
                    <w:szCs w:val="14"/>
                    <w:lang w:eastAsia="es-CO"/>
                  </w:rPr>
                </w:pPr>
                <w:r w:rsidRPr="00F12A1C">
                  <w:rPr>
                    <w:rFonts w:ascii="Times New Roman" w:eastAsia="Times New Roman" w:hAnsi="Times New Roman"/>
                    <w:b/>
                    <w:sz w:val="14"/>
                    <w:szCs w:val="14"/>
                    <w:lang w:eastAsia="es-CO"/>
                  </w:rPr>
                  <w:t>15,602</w:t>
                </w:r>
              </w:p>
            </w:tc>
            <w:tc>
              <w:tcPr>
                <w:tcW w:w="738" w:type="pct"/>
                <w:shd w:val="clear" w:color="auto" w:fill="auto"/>
                <w:noWrap/>
                <w:vAlign w:val="center"/>
                <w:hideMark/>
              </w:tcPr>
              <w:p w14:paraId="3C41424D" w14:textId="3E11A662" w:rsidR="000F4BA5" w:rsidRPr="00F12A1C" w:rsidRDefault="000F4BA5" w:rsidP="000F4BA5">
                <w:pPr>
                  <w:spacing w:after="0" w:line="240" w:lineRule="auto"/>
                  <w:jc w:val="center"/>
                  <w:rPr>
                    <w:rFonts w:ascii="Times New Roman" w:eastAsia="Times New Roman" w:hAnsi="Times New Roman"/>
                    <w:b/>
                    <w:sz w:val="14"/>
                    <w:szCs w:val="14"/>
                    <w:lang w:eastAsia="es-CO"/>
                  </w:rPr>
                </w:pPr>
                <w:r w:rsidRPr="00F12A1C">
                  <w:rPr>
                    <w:rFonts w:ascii="Times New Roman" w:eastAsia="Times New Roman" w:hAnsi="Times New Roman"/>
                    <w:b/>
                    <w:sz w:val="14"/>
                    <w:szCs w:val="14"/>
                    <w:lang w:eastAsia="es-CO"/>
                  </w:rPr>
                  <w:t>10,872,786,060</w:t>
                </w:r>
              </w:p>
            </w:tc>
            <w:tc>
              <w:tcPr>
                <w:tcW w:w="666" w:type="pct"/>
                <w:shd w:val="clear" w:color="auto" w:fill="auto"/>
                <w:noWrap/>
                <w:vAlign w:val="center"/>
                <w:hideMark/>
              </w:tcPr>
              <w:p w14:paraId="2E99696D" w14:textId="14A1F8C5" w:rsidR="000F4BA5" w:rsidRPr="00F12A1C" w:rsidRDefault="000F4BA5" w:rsidP="000F4BA5">
                <w:pPr>
                  <w:spacing w:after="0" w:line="240" w:lineRule="auto"/>
                  <w:jc w:val="center"/>
                  <w:rPr>
                    <w:rFonts w:ascii="Times New Roman" w:eastAsia="Times New Roman" w:hAnsi="Times New Roman"/>
                    <w:b/>
                    <w:sz w:val="14"/>
                    <w:szCs w:val="14"/>
                    <w:lang w:eastAsia="es-CO"/>
                  </w:rPr>
                </w:pPr>
                <w:r w:rsidRPr="00F12A1C">
                  <w:rPr>
                    <w:rFonts w:ascii="Times New Roman" w:eastAsia="Times New Roman" w:hAnsi="Times New Roman"/>
                    <w:b/>
                    <w:sz w:val="14"/>
                    <w:szCs w:val="14"/>
                    <w:lang w:eastAsia="es-CO"/>
                  </w:rPr>
                  <w:t>-10,872,770,458</w:t>
                </w:r>
              </w:p>
            </w:tc>
            <w:tc>
              <w:tcPr>
                <w:tcW w:w="785" w:type="pct"/>
                <w:shd w:val="clear" w:color="auto" w:fill="auto"/>
                <w:noWrap/>
                <w:vAlign w:val="center"/>
                <w:hideMark/>
              </w:tcPr>
              <w:p w14:paraId="4E6E5230" w14:textId="77777777" w:rsidR="000F4BA5" w:rsidRPr="00F12A1C" w:rsidRDefault="000F4BA5" w:rsidP="000F4BA5">
                <w:pPr>
                  <w:spacing w:after="0" w:line="240" w:lineRule="auto"/>
                  <w:jc w:val="center"/>
                  <w:rPr>
                    <w:rFonts w:ascii="Times New Roman" w:eastAsia="Times New Roman" w:hAnsi="Times New Roman"/>
                    <w:b/>
                    <w:sz w:val="14"/>
                    <w:szCs w:val="14"/>
                    <w:lang w:eastAsia="es-CO"/>
                  </w:rPr>
                </w:pPr>
                <w:r w:rsidRPr="00F12A1C">
                  <w:rPr>
                    <w:rFonts w:ascii="Times New Roman" w:eastAsia="Times New Roman" w:hAnsi="Times New Roman"/>
                    <w:b/>
                    <w:sz w:val="14"/>
                    <w:szCs w:val="14"/>
                    <w:lang w:eastAsia="es-CO"/>
                  </w:rPr>
                  <w:t>0.00</w:t>
                </w:r>
              </w:p>
            </w:tc>
            <w:tc>
              <w:tcPr>
                <w:tcW w:w="738" w:type="pct"/>
                <w:shd w:val="clear" w:color="auto" w:fill="auto"/>
                <w:noWrap/>
                <w:vAlign w:val="center"/>
                <w:hideMark/>
              </w:tcPr>
              <w:p w14:paraId="7953E23C" w14:textId="77777777" w:rsidR="000F4BA5" w:rsidRPr="00F12A1C" w:rsidRDefault="000F4BA5" w:rsidP="000F4BA5">
                <w:pPr>
                  <w:spacing w:after="0" w:line="240" w:lineRule="auto"/>
                  <w:jc w:val="center"/>
                  <w:rPr>
                    <w:rFonts w:ascii="Times New Roman" w:eastAsia="Times New Roman" w:hAnsi="Times New Roman"/>
                    <w:b/>
                    <w:sz w:val="14"/>
                    <w:szCs w:val="14"/>
                    <w:lang w:eastAsia="es-CO"/>
                  </w:rPr>
                </w:pPr>
                <w:r w:rsidRPr="00F12A1C">
                  <w:rPr>
                    <w:rFonts w:ascii="Times New Roman" w:eastAsia="Times New Roman" w:hAnsi="Times New Roman"/>
                    <w:b/>
                    <w:sz w:val="14"/>
                    <w:szCs w:val="14"/>
                    <w:lang w:eastAsia="es-CO"/>
                  </w:rPr>
                  <w:t>0.00</w:t>
                </w:r>
              </w:p>
            </w:tc>
            <w:tc>
              <w:tcPr>
                <w:tcW w:w="678" w:type="pct"/>
                <w:shd w:val="clear" w:color="auto" w:fill="auto"/>
                <w:noWrap/>
                <w:vAlign w:val="center"/>
                <w:hideMark/>
              </w:tcPr>
              <w:p w14:paraId="221B2018" w14:textId="77777777" w:rsidR="000F4BA5" w:rsidRPr="00F12A1C" w:rsidRDefault="000F4BA5" w:rsidP="000F4BA5">
                <w:pPr>
                  <w:spacing w:after="0" w:line="240" w:lineRule="auto"/>
                  <w:jc w:val="center"/>
                  <w:rPr>
                    <w:rFonts w:ascii="Times New Roman" w:eastAsia="Times New Roman" w:hAnsi="Times New Roman"/>
                    <w:b/>
                    <w:sz w:val="14"/>
                    <w:szCs w:val="14"/>
                    <w:lang w:eastAsia="es-CO"/>
                  </w:rPr>
                </w:pPr>
                <w:r w:rsidRPr="00F12A1C">
                  <w:rPr>
                    <w:rFonts w:ascii="Times New Roman" w:eastAsia="Times New Roman" w:hAnsi="Times New Roman"/>
                    <w:b/>
                    <w:sz w:val="14"/>
                    <w:szCs w:val="14"/>
                    <w:lang w:eastAsia="es-CO"/>
                  </w:rPr>
                  <w:t>0.00</w:t>
                </w:r>
              </w:p>
            </w:tc>
          </w:tr>
          <w:tr w:rsidR="000F4BA5" w:rsidRPr="00F12A1C" w14:paraId="2CB035D2" w14:textId="77777777" w:rsidTr="009A46BB">
            <w:trPr>
              <w:trHeight w:val="300"/>
            </w:trPr>
            <w:tc>
              <w:tcPr>
                <w:tcW w:w="709" w:type="pct"/>
                <w:shd w:val="clear" w:color="auto" w:fill="auto"/>
                <w:vAlign w:val="center"/>
                <w:hideMark/>
              </w:tcPr>
              <w:p w14:paraId="0B89F0F1" w14:textId="77777777" w:rsidR="000F4BA5" w:rsidRPr="00F12A1C" w:rsidRDefault="000F4BA5" w:rsidP="000F4BA5">
                <w:pPr>
                  <w:spacing w:after="0" w:line="240" w:lineRule="auto"/>
                  <w:jc w:val="center"/>
                  <w:rPr>
                    <w:rFonts w:ascii="Times New Roman" w:eastAsia="Times New Roman" w:hAnsi="Times New Roman"/>
                    <w:b/>
                    <w:sz w:val="14"/>
                    <w:szCs w:val="14"/>
                    <w:lang w:eastAsia="es-CO"/>
                  </w:rPr>
                </w:pPr>
                <w:r w:rsidRPr="00F12A1C">
                  <w:rPr>
                    <w:rFonts w:ascii="Times New Roman" w:eastAsia="Times New Roman" w:hAnsi="Times New Roman"/>
                    <w:b/>
                    <w:sz w:val="14"/>
                    <w:szCs w:val="14"/>
                    <w:lang w:eastAsia="es-CO"/>
                  </w:rPr>
                  <w:t>Cuentas por cobrar</w:t>
                </w:r>
              </w:p>
            </w:tc>
            <w:tc>
              <w:tcPr>
                <w:tcW w:w="687" w:type="pct"/>
                <w:shd w:val="clear" w:color="auto" w:fill="auto"/>
                <w:noWrap/>
                <w:vAlign w:val="center"/>
                <w:hideMark/>
              </w:tcPr>
              <w:p w14:paraId="45ECF364" w14:textId="277365DC" w:rsidR="000F4BA5" w:rsidRPr="00F12A1C" w:rsidRDefault="000F4BA5" w:rsidP="000F4BA5">
                <w:pPr>
                  <w:spacing w:after="0" w:line="240" w:lineRule="auto"/>
                  <w:jc w:val="center"/>
                  <w:rPr>
                    <w:rFonts w:ascii="Times New Roman" w:eastAsia="Times New Roman" w:hAnsi="Times New Roman"/>
                    <w:b/>
                    <w:sz w:val="14"/>
                    <w:szCs w:val="14"/>
                    <w:lang w:eastAsia="es-CO"/>
                  </w:rPr>
                </w:pPr>
                <w:r w:rsidRPr="00F12A1C">
                  <w:rPr>
                    <w:rFonts w:ascii="Times New Roman" w:eastAsia="Times New Roman" w:hAnsi="Times New Roman"/>
                    <w:b/>
                    <w:sz w:val="14"/>
                    <w:szCs w:val="14"/>
                    <w:lang w:eastAsia="es-CO"/>
                  </w:rPr>
                  <w:t>15,602</w:t>
                </w:r>
              </w:p>
            </w:tc>
            <w:tc>
              <w:tcPr>
                <w:tcW w:w="738" w:type="pct"/>
                <w:shd w:val="clear" w:color="auto" w:fill="auto"/>
                <w:noWrap/>
                <w:vAlign w:val="center"/>
                <w:hideMark/>
              </w:tcPr>
              <w:p w14:paraId="2E4212C1" w14:textId="6FDAE077" w:rsidR="000F4BA5" w:rsidRPr="00F12A1C" w:rsidRDefault="000F4BA5" w:rsidP="000F4BA5">
                <w:pPr>
                  <w:spacing w:after="0" w:line="240" w:lineRule="auto"/>
                  <w:jc w:val="center"/>
                  <w:rPr>
                    <w:rFonts w:ascii="Times New Roman" w:eastAsia="Times New Roman" w:hAnsi="Times New Roman"/>
                    <w:b/>
                    <w:sz w:val="14"/>
                    <w:szCs w:val="14"/>
                    <w:lang w:eastAsia="es-CO"/>
                  </w:rPr>
                </w:pPr>
                <w:r w:rsidRPr="00F12A1C">
                  <w:rPr>
                    <w:rFonts w:ascii="Times New Roman" w:eastAsia="Times New Roman" w:hAnsi="Times New Roman"/>
                    <w:b/>
                    <w:sz w:val="14"/>
                    <w:szCs w:val="14"/>
                    <w:lang w:eastAsia="es-CO"/>
                  </w:rPr>
                  <w:t>10,872,786,060</w:t>
                </w:r>
              </w:p>
            </w:tc>
            <w:tc>
              <w:tcPr>
                <w:tcW w:w="666" w:type="pct"/>
                <w:shd w:val="clear" w:color="auto" w:fill="auto"/>
                <w:noWrap/>
                <w:vAlign w:val="center"/>
                <w:hideMark/>
              </w:tcPr>
              <w:p w14:paraId="37D63E45" w14:textId="49EA56D3" w:rsidR="000F4BA5" w:rsidRPr="00F12A1C" w:rsidRDefault="000F4BA5" w:rsidP="000F4BA5">
                <w:pPr>
                  <w:spacing w:after="0" w:line="240" w:lineRule="auto"/>
                  <w:jc w:val="center"/>
                  <w:rPr>
                    <w:rFonts w:ascii="Times New Roman" w:eastAsia="Times New Roman" w:hAnsi="Times New Roman"/>
                    <w:b/>
                    <w:sz w:val="14"/>
                    <w:szCs w:val="14"/>
                    <w:lang w:eastAsia="es-CO"/>
                  </w:rPr>
                </w:pPr>
                <w:r w:rsidRPr="00F12A1C">
                  <w:rPr>
                    <w:rFonts w:ascii="Times New Roman" w:eastAsia="Times New Roman" w:hAnsi="Times New Roman"/>
                    <w:b/>
                    <w:sz w:val="14"/>
                    <w:szCs w:val="14"/>
                    <w:lang w:eastAsia="es-CO"/>
                  </w:rPr>
                  <w:t>-10,872,770,458</w:t>
                </w:r>
              </w:p>
            </w:tc>
            <w:tc>
              <w:tcPr>
                <w:tcW w:w="785" w:type="pct"/>
                <w:shd w:val="clear" w:color="auto" w:fill="auto"/>
                <w:noWrap/>
                <w:vAlign w:val="center"/>
                <w:hideMark/>
              </w:tcPr>
              <w:p w14:paraId="311FB3D6" w14:textId="77777777" w:rsidR="000F4BA5" w:rsidRPr="00F12A1C" w:rsidRDefault="000F4BA5" w:rsidP="000F4BA5">
                <w:pPr>
                  <w:spacing w:after="0" w:line="240" w:lineRule="auto"/>
                  <w:jc w:val="center"/>
                  <w:rPr>
                    <w:rFonts w:ascii="Times New Roman" w:eastAsia="Times New Roman" w:hAnsi="Times New Roman"/>
                    <w:b/>
                    <w:sz w:val="14"/>
                    <w:szCs w:val="14"/>
                    <w:lang w:eastAsia="es-CO"/>
                  </w:rPr>
                </w:pPr>
                <w:r w:rsidRPr="00F12A1C">
                  <w:rPr>
                    <w:rFonts w:ascii="Times New Roman" w:eastAsia="Times New Roman" w:hAnsi="Times New Roman"/>
                    <w:b/>
                    <w:sz w:val="14"/>
                    <w:szCs w:val="14"/>
                    <w:lang w:eastAsia="es-CO"/>
                  </w:rPr>
                  <w:t>0.00</w:t>
                </w:r>
              </w:p>
            </w:tc>
            <w:tc>
              <w:tcPr>
                <w:tcW w:w="738" w:type="pct"/>
                <w:shd w:val="clear" w:color="auto" w:fill="auto"/>
                <w:noWrap/>
                <w:vAlign w:val="center"/>
                <w:hideMark/>
              </w:tcPr>
              <w:p w14:paraId="2842D942" w14:textId="77777777" w:rsidR="000F4BA5" w:rsidRPr="00F12A1C" w:rsidRDefault="000F4BA5" w:rsidP="000F4BA5">
                <w:pPr>
                  <w:spacing w:after="0" w:line="240" w:lineRule="auto"/>
                  <w:jc w:val="center"/>
                  <w:rPr>
                    <w:rFonts w:ascii="Times New Roman" w:eastAsia="Times New Roman" w:hAnsi="Times New Roman"/>
                    <w:b/>
                    <w:sz w:val="14"/>
                    <w:szCs w:val="14"/>
                    <w:lang w:eastAsia="es-CO"/>
                  </w:rPr>
                </w:pPr>
                <w:r w:rsidRPr="00F12A1C">
                  <w:rPr>
                    <w:rFonts w:ascii="Times New Roman" w:eastAsia="Times New Roman" w:hAnsi="Times New Roman"/>
                    <w:b/>
                    <w:sz w:val="14"/>
                    <w:szCs w:val="14"/>
                    <w:lang w:eastAsia="es-CO"/>
                  </w:rPr>
                  <w:t>0.00</w:t>
                </w:r>
              </w:p>
            </w:tc>
            <w:tc>
              <w:tcPr>
                <w:tcW w:w="678" w:type="pct"/>
                <w:shd w:val="clear" w:color="auto" w:fill="auto"/>
                <w:noWrap/>
                <w:vAlign w:val="center"/>
                <w:hideMark/>
              </w:tcPr>
              <w:p w14:paraId="27957B84" w14:textId="77777777" w:rsidR="000F4BA5" w:rsidRPr="00F12A1C" w:rsidRDefault="000F4BA5" w:rsidP="000F4BA5">
                <w:pPr>
                  <w:spacing w:after="0" w:line="240" w:lineRule="auto"/>
                  <w:jc w:val="center"/>
                  <w:rPr>
                    <w:rFonts w:ascii="Times New Roman" w:eastAsia="Times New Roman" w:hAnsi="Times New Roman"/>
                    <w:b/>
                    <w:sz w:val="14"/>
                    <w:szCs w:val="14"/>
                    <w:lang w:eastAsia="es-CO"/>
                  </w:rPr>
                </w:pPr>
                <w:r w:rsidRPr="00F12A1C">
                  <w:rPr>
                    <w:rFonts w:ascii="Times New Roman" w:eastAsia="Times New Roman" w:hAnsi="Times New Roman"/>
                    <w:b/>
                    <w:sz w:val="14"/>
                    <w:szCs w:val="14"/>
                    <w:lang w:eastAsia="es-CO"/>
                  </w:rPr>
                  <w:t>0.00</w:t>
                </w:r>
              </w:p>
            </w:tc>
          </w:tr>
        </w:tbl>
        <w:p w14:paraId="467C383C" w14:textId="77777777" w:rsidR="00A46D6D" w:rsidRPr="00931DCE" w:rsidRDefault="00A46D6D" w:rsidP="0016183A">
          <w:pPr>
            <w:spacing w:after="0" w:line="240" w:lineRule="auto"/>
            <w:jc w:val="both"/>
            <w:rPr>
              <w:rFonts w:ascii="Times New Roman" w:hAnsi="Times New Roman"/>
              <w:sz w:val="24"/>
              <w:szCs w:val="24"/>
            </w:rPr>
          </w:pPr>
        </w:p>
        <w:p w14:paraId="07C45DAB" w14:textId="25101681" w:rsidR="00F844AE" w:rsidRPr="00931DCE" w:rsidRDefault="00F844AE" w:rsidP="0016183A">
          <w:pPr>
            <w:spacing w:after="0" w:line="240" w:lineRule="auto"/>
            <w:jc w:val="both"/>
            <w:rPr>
              <w:rFonts w:ascii="Times New Roman" w:hAnsi="Times New Roman"/>
              <w:sz w:val="24"/>
              <w:szCs w:val="24"/>
            </w:rPr>
          </w:pPr>
          <w:r w:rsidRPr="00931DCE">
            <w:rPr>
              <w:rFonts w:ascii="Times New Roman" w:hAnsi="Times New Roman"/>
              <w:sz w:val="24"/>
              <w:szCs w:val="24"/>
            </w:rPr>
            <w:t xml:space="preserve">Las partidas relacionadas, corresponden a multas contractuales impuestas </w:t>
          </w:r>
          <w:r w:rsidR="00CB2B7D" w:rsidRPr="00931DCE">
            <w:rPr>
              <w:rFonts w:ascii="Times New Roman" w:hAnsi="Times New Roman"/>
              <w:sz w:val="24"/>
              <w:szCs w:val="24"/>
            </w:rPr>
            <w:t xml:space="preserve">a los concesionarios del modo de transporte portuario </w:t>
          </w:r>
          <w:r w:rsidRPr="00931DCE">
            <w:rPr>
              <w:rFonts w:ascii="Times New Roman" w:hAnsi="Times New Roman"/>
              <w:sz w:val="24"/>
              <w:szCs w:val="24"/>
            </w:rPr>
            <w:t xml:space="preserve">en dólares estadounidenses (USD). </w:t>
          </w:r>
          <w:r w:rsidR="005826F0" w:rsidRPr="00931DCE">
            <w:rPr>
              <w:rFonts w:ascii="Times New Roman" w:hAnsi="Times New Roman"/>
              <w:sz w:val="24"/>
              <w:szCs w:val="24"/>
            </w:rPr>
            <w:t>L</w:t>
          </w:r>
          <w:r w:rsidRPr="00931DCE">
            <w:rPr>
              <w:rFonts w:ascii="Times New Roman" w:hAnsi="Times New Roman"/>
              <w:sz w:val="24"/>
              <w:szCs w:val="24"/>
            </w:rPr>
            <w:t xml:space="preserve">as variaciones </w:t>
          </w:r>
          <w:r w:rsidRPr="00931DCE">
            <w:rPr>
              <w:rFonts w:ascii="Times New Roman" w:hAnsi="Times New Roman"/>
              <w:sz w:val="24"/>
              <w:szCs w:val="24"/>
            </w:rPr>
            <w:lastRenderedPageBreak/>
            <w:t xml:space="preserve">originadas por diferencias en cambio </w:t>
          </w:r>
          <w:r w:rsidR="005826F0" w:rsidRPr="00931DCE">
            <w:rPr>
              <w:rFonts w:ascii="Times New Roman" w:hAnsi="Times New Roman"/>
              <w:sz w:val="24"/>
              <w:szCs w:val="24"/>
            </w:rPr>
            <w:t xml:space="preserve">se estimaron </w:t>
          </w:r>
          <w:r w:rsidRPr="00931DCE">
            <w:rPr>
              <w:rFonts w:ascii="Times New Roman" w:hAnsi="Times New Roman"/>
              <w:sz w:val="24"/>
              <w:szCs w:val="24"/>
            </w:rPr>
            <w:t>utilizando la Tasa Representativa del Mercado (TRM) en la fecha del cierre del periodo contable.</w:t>
          </w:r>
        </w:p>
        <w:p w14:paraId="3A7A8583" w14:textId="77777777" w:rsidR="00E6607C" w:rsidRPr="00931DCE" w:rsidRDefault="00E6607C" w:rsidP="0016183A">
          <w:pPr>
            <w:spacing w:after="0" w:line="240" w:lineRule="auto"/>
            <w:jc w:val="both"/>
            <w:rPr>
              <w:rFonts w:ascii="Times New Roman" w:hAnsi="Times New Roman"/>
              <w:sz w:val="24"/>
              <w:szCs w:val="24"/>
            </w:rPr>
          </w:pPr>
        </w:p>
        <w:p w14:paraId="071A2E50" w14:textId="2931E7CF" w:rsidR="00376CB5" w:rsidRPr="00931DCE" w:rsidRDefault="00C1577B" w:rsidP="009A39D2">
          <w:pPr>
            <w:spacing w:after="0" w:line="240" w:lineRule="auto"/>
            <w:jc w:val="both"/>
            <w:rPr>
              <w:rFonts w:ascii="Times New Roman" w:hAnsi="Times New Roman"/>
              <w:sz w:val="24"/>
              <w:szCs w:val="24"/>
            </w:rPr>
          </w:pPr>
          <w:r w:rsidRPr="00931DCE">
            <w:rPr>
              <w:rFonts w:ascii="Times New Roman" w:hAnsi="Times New Roman"/>
              <w:sz w:val="24"/>
              <w:szCs w:val="24"/>
            </w:rPr>
            <w:t xml:space="preserve">Se relacionan </w:t>
          </w:r>
          <w:r w:rsidR="005651A8" w:rsidRPr="00931DCE">
            <w:rPr>
              <w:rFonts w:ascii="Times New Roman" w:hAnsi="Times New Roman"/>
              <w:sz w:val="24"/>
              <w:szCs w:val="24"/>
            </w:rPr>
            <w:t>las diferencias en cambio</w:t>
          </w:r>
          <w:r w:rsidR="00CE1BEB" w:rsidRPr="00931DCE">
            <w:rPr>
              <w:rFonts w:ascii="Times New Roman" w:hAnsi="Times New Roman"/>
              <w:sz w:val="24"/>
              <w:szCs w:val="24"/>
            </w:rPr>
            <w:t xml:space="preserve"> más representativas,</w:t>
          </w:r>
          <w:r w:rsidR="005651A8" w:rsidRPr="00931DCE">
            <w:rPr>
              <w:rFonts w:ascii="Times New Roman" w:hAnsi="Times New Roman"/>
              <w:sz w:val="24"/>
              <w:szCs w:val="24"/>
            </w:rPr>
            <w:t xml:space="preserve"> reconocidas en el resultado del periodo</w:t>
          </w:r>
          <w:r w:rsidR="00CE1BEB" w:rsidRPr="00931DCE">
            <w:rPr>
              <w:rFonts w:ascii="Times New Roman" w:hAnsi="Times New Roman"/>
              <w:sz w:val="24"/>
              <w:szCs w:val="24"/>
            </w:rPr>
            <w:t>, a nivel de terceros:</w:t>
          </w:r>
        </w:p>
        <w:p w14:paraId="4CD8A7C2" w14:textId="77777777" w:rsidR="00CE1BEB" w:rsidRPr="00931DCE" w:rsidRDefault="00CE1BEB" w:rsidP="009A39D2">
          <w:pPr>
            <w:spacing w:after="0" w:line="240" w:lineRule="auto"/>
            <w:jc w:val="both"/>
            <w:rPr>
              <w:rFonts w:ascii="Times New Roman" w:hAnsi="Times New Roman"/>
              <w:sz w:val="24"/>
              <w:szCs w:val="24"/>
            </w:rPr>
          </w:pP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CellMar>
              <w:left w:w="70" w:type="dxa"/>
              <w:right w:w="70" w:type="dxa"/>
            </w:tblCellMar>
            <w:tblLook w:val="04A0" w:firstRow="1" w:lastRow="0" w:firstColumn="1" w:lastColumn="0" w:noHBand="0" w:noVBand="1"/>
          </w:tblPr>
          <w:tblGrid>
            <w:gridCol w:w="1413"/>
            <w:gridCol w:w="5103"/>
            <w:gridCol w:w="2453"/>
          </w:tblGrid>
          <w:tr w:rsidR="0083445B" w:rsidRPr="00534D5B" w14:paraId="38FB3B1D" w14:textId="77777777" w:rsidTr="00053D6D">
            <w:trPr>
              <w:trHeight w:val="469"/>
              <w:tblHeader/>
            </w:trPr>
            <w:tc>
              <w:tcPr>
                <w:tcW w:w="6516" w:type="dxa"/>
                <w:gridSpan w:val="2"/>
                <w:shd w:val="clear" w:color="auto" w:fill="auto"/>
                <w:vAlign w:val="center"/>
                <w:hideMark/>
              </w:tcPr>
              <w:p w14:paraId="3487A1DA" w14:textId="77777777" w:rsidR="00534D5B" w:rsidRPr="009A46BB" w:rsidRDefault="00534D5B" w:rsidP="00534D5B">
                <w:pPr>
                  <w:spacing w:after="0" w:line="240" w:lineRule="auto"/>
                  <w:jc w:val="center"/>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TERCERO</w:t>
                </w:r>
              </w:p>
            </w:tc>
            <w:tc>
              <w:tcPr>
                <w:tcW w:w="2453" w:type="dxa"/>
                <w:shd w:val="clear" w:color="auto" w:fill="auto"/>
                <w:vAlign w:val="center"/>
                <w:hideMark/>
              </w:tcPr>
              <w:p w14:paraId="5258EFFA" w14:textId="77777777" w:rsidR="00534D5B" w:rsidRPr="009A46BB" w:rsidRDefault="00534D5B" w:rsidP="005C1785">
                <w:pPr>
                  <w:spacing w:after="0" w:line="240" w:lineRule="auto"/>
                  <w:jc w:val="center"/>
                  <w:rPr>
                    <w:rFonts w:ascii="Times New Roman" w:eastAsia="Times New Roman" w:hAnsi="Times New Roman"/>
                    <w:b/>
                    <w:color w:val="000000"/>
                    <w:sz w:val="18"/>
                    <w:szCs w:val="18"/>
                    <w:lang w:eastAsia="es-CO"/>
                  </w:rPr>
                </w:pPr>
                <w:r w:rsidRPr="009A46BB">
                  <w:rPr>
                    <w:rFonts w:ascii="Times New Roman" w:eastAsia="Times New Roman" w:hAnsi="Times New Roman"/>
                    <w:b/>
                    <w:color w:val="000000"/>
                    <w:sz w:val="18"/>
                    <w:szCs w:val="18"/>
                    <w:lang w:eastAsia="es-CO"/>
                  </w:rPr>
                  <w:t>VALOR DEL AJUSTE POR DIFERENCIA EN CAMBIO</w:t>
                </w:r>
              </w:p>
            </w:tc>
          </w:tr>
          <w:tr w:rsidR="0083445B" w:rsidRPr="00534D5B" w14:paraId="6CFCBD2A" w14:textId="77777777" w:rsidTr="009A46BB">
            <w:trPr>
              <w:trHeight w:val="300"/>
            </w:trPr>
            <w:tc>
              <w:tcPr>
                <w:tcW w:w="1413" w:type="dxa"/>
                <w:shd w:val="clear" w:color="auto" w:fill="auto"/>
                <w:vAlign w:val="center"/>
                <w:hideMark/>
              </w:tcPr>
              <w:p w14:paraId="19179397" w14:textId="35D70A5A" w:rsidR="00534D5B" w:rsidRPr="009A46BB" w:rsidRDefault="00534D5B" w:rsidP="00534D5B">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900.732.683 </w:t>
                </w:r>
              </w:p>
            </w:tc>
            <w:tc>
              <w:tcPr>
                <w:tcW w:w="5103" w:type="dxa"/>
                <w:shd w:val="clear" w:color="auto" w:fill="auto"/>
                <w:vAlign w:val="center"/>
                <w:hideMark/>
              </w:tcPr>
              <w:p w14:paraId="3885C958" w14:textId="423D158E" w:rsidR="00534D5B" w:rsidRPr="009A46BB" w:rsidRDefault="005C1785" w:rsidP="00534D5B">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Sociedad Portuaria Bullpesa S. A</w:t>
                </w:r>
              </w:p>
            </w:tc>
            <w:tc>
              <w:tcPr>
                <w:tcW w:w="2453" w:type="dxa"/>
                <w:shd w:val="clear" w:color="auto" w:fill="auto"/>
                <w:vAlign w:val="center"/>
                <w:hideMark/>
              </w:tcPr>
              <w:p w14:paraId="7F8A055D" w14:textId="77777777" w:rsidR="00534D5B" w:rsidRPr="009A46BB" w:rsidRDefault="00534D5B" w:rsidP="005C1785">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10.060.166.631</w:t>
                </w:r>
              </w:p>
            </w:tc>
          </w:tr>
          <w:tr w:rsidR="0083445B" w:rsidRPr="00534D5B" w14:paraId="3EAF2A79" w14:textId="77777777" w:rsidTr="009A46BB">
            <w:trPr>
              <w:trHeight w:val="300"/>
            </w:trPr>
            <w:tc>
              <w:tcPr>
                <w:tcW w:w="1413" w:type="dxa"/>
                <w:shd w:val="clear" w:color="auto" w:fill="auto"/>
                <w:vAlign w:val="center"/>
                <w:hideMark/>
              </w:tcPr>
              <w:p w14:paraId="36F1E22E" w14:textId="4B430B06" w:rsidR="00534D5B" w:rsidRPr="009A46BB" w:rsidRDefault="00534D5B" w:rsidP="00534D5B">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900.677.144 </w:t>
                </w:r>
              </w:p>
            </w:tc>
            <w:tc>
              <w:tcPr>
                <w:tcW w:w="5103" w:type="dxa"/>
                <w:shd w:val="clear" w:color="auto" w:fill="auto"/>
                <w:vAlign w:val="center"/>
                <w:hideMark/>
              </w:tcPr>
              <w:p w14:paraId="787EC42B" w14:textId="09428BB6" w:rsidR="00534D5B" w:rsidRPr="009A46BB" w:rsidRDefault="005C1785" w:rsidP="00534D5B">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Sociedad Portuaria Terminal de Ifo's S.A.</w:t>
                </w:r>
              </w:p>
            </w:tc>
            <w:tc>
              <w:tcPr>
                <w:tcW w:w="2453" w:type="dxa"/>
                <w:shd w:val="clear" w:color="auto" w:fill="auto"/>
                <w:vAlign w:val="center"/>
                <w:hideMark/>
              </w:tcPr>
              <w:p w14:paraId="32388E13" w14:textId="77777777" w:rsidR="00534D5B" w:rsidRPr="009A46BB" w:rsidRDefault="00534D5B" w:rsidP="005C1785">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649.682.717</w:t>
                </w:r>
              </w:p>
            </w:tc>
          </w:tr>
          <w:tr w:rsidR="0083445B" w:rsidRPr="00534D5B" w14:paraId="249F42BE" w14:textId="77777777" w:rsidTr="009A46BB">
            <w:trPr>
              <w:trHeight w:val="300"/>
            </w:trPr>
            <w:tc>
              <w:tcPr>
                <w:tcW w:w="1413" w:type="dxa"/>
                <w:shd w:val="clear" w:color="auto" w:fill="auto"/>
                <w:vAlign w:val="center"/>
                <w:hideMark/>
              </w:tcPr>
              <w:p w14:paraId="60FD26F1" w14:textId="650F7FBA" w:rsidR="00534D5B" w:rsidRPr="009A46BB" w:rsidRDefault="00534D5B" w:rsidP="00534D5B">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900.364.519 </w:t>
                </w:r>
              </w:p>
            </w:tc>
            <w:tc>
              <w:tcPr>
                <w:tcW w:w="5103" w:type="dxa"/>
                <w:shd w:val="clear" w:color="auto" w:fill="auto"/>
                <w:vAlign w:val="center"/>
                <w:hideMark/>
              </w:tcPr>
              <w:p w14:paraId="6ACBD439" w14:textId="2552977B" w:rsidR="00534D5B" w:rsidRPr="009A46BB" w:rsidRDefault="005C1785" w:rsidP="00534D5B">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Sociedad Portuaria las Américas S. A</w:t>
                </w:r>
              </w:p>
            </w:tc>
            <w:tc>
              <w:tcPr>
                <w:tcW w:w="2453" w:type="dxa"/>
                <w:shd w:val="clear" w:color="auto" w:fill="auto"/>
                <w:vAlign w:val="center"/>
                <w:hideMark/>
              </w:tcPr>
              <w:p w14:paraId="28998565" w14:textId="77777777" w:rsidR="00534D5B" w:rsidRPr="009A46BB" w:rsidRDefault="00534D5B" w:rsidP="005C1785">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123.149.645</w:t>
                </w:r>
              </w:p>
            </w:tc>
          </w:tr>
          <w:tr w:rsidR="0083445B" w:rsidRPr="00534D5B" w14:paraId="191B2D99" w14:textId="77777777" w:rsidTr="009A46BB">
            <w:trPr>
              <w:trHeight w:val="300"/>
            </w:trPr>
            <w:tc>
              <w:tcPr>
                <w:tcW w:w="1413" w:type="dxa"/>
                <w:shd w:val="clear" w:color="auto" w:fill="auto"/>
                <w:vAlign w:val="center"/>
                <w:hideMark/>
              </w:tcPr>
              <w:p w14:paraId="0CD03EB4" w14:textId="00459DE6" w:rsidR="00534D5B" w:rsidRPr="009A46BB" w:rsidRDefault="00534D5B" w:rsidP="00534D5B">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900.732.683 </w:t>
                </w:r>
              </w:p>
            </w:tc>
            <w:tc>
              <w:tcPr>
                <w:tcW w:w="5103" w:type="dxa"/>
                <w:shd w:val="clear" w:color="auto" w:fill="auto"/>
                <w:vAlign w:val="center"/>
                <w:hideMark/>
              </w:tcPr>
              <w:p w14:paraId="2C024467" w14:textId="7D833EA6" w:rsidR="00534D5B" w:rsidRPr="009A46BB" w:rsidRDefault="005C1785" w:rsidP="00534D5B">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Sociedad Portuaria Bullpesa S. A</w:t>
                </w:r>
              </w:p>
            </w:tc>
            <w:tc>
              <w:tcPr>
                <w:tcW w:w="2453" w:type="dxa"/>
                <w:shd w:val="clear" w:color="auto" w:fill="auto"/>
                <w:vAlign w:val="center"/>
                <w:hideMark/>
              </w:tcPr>
              <w:p w14:paraId="6E06E20E" w14:textId="77777777" w:rsidR="00534D5B" w:rsidRPr="009A46BB" w:rsidRDefault="00534D5B" w:rsidP="005C1785">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8.016.229</w:t>
                </w:r>
              </w:p>
            </w:tc>
          </w:tr>
          <w:tr w:rsidR="0083445B" w:rsidRPr="00534D5B" w14:paraId="1AF85446" w14:textId="77777777" w:rsidTr="009A46BB">
            <w:trPr>
              <w:trHeight w:val="300"/>
            </w:trPr>
            <w:tc>
              <w:tcPr>
                <w:tcW w:w="1413" w:type="dxa"/>
                <w:shd w:val="clear" w:color="auto" w:fill="auto"/>
                <w:vAlign w:val="center"/>
                <w:hideMark/>
              </w:tcPr>
              <w:p w14:paraId="42B0F975" w14:textId="4447944A" w:rsidR="00534D5B" w:rsidRPr="009A46BB" w:rsidRDefault="00534D5B" w:rsidP="00534D5B">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839.000.348 </w:t>
                </w:r>
              </w:p>
            </w:tc>
            <w:tc>
              <w:tcPr>
                <w:tcW w:w="5103" w:type="dxa"/>
                <w:shd w:val="clear" w:color="auto" w:fill="auto"/>
                <w:vAlign w:val="center"/>
                <w:hideMark/>
              </w:tcPr>
              <w:p w14:paraId="1A5EE429" w14:textId="17776E21" w:rsidR="00534D5B" w:rsidRPr="009A46BB" w:rsidRDefault="005C1785" w:rsidP="00534D5B">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Sociedad Portuaria de la Península</w:t>
                </w:r>
              </w:p>
            </w:tc>
            <w:tc>
              <w:tcPr>
                <w:tcW w:w="2453" w:type="dxa"/>
                <w:shd w:val="clear" w:color="auto" w:fill="auto"/>
                <w:vAlign w:val="center"/>
                <w:hideMark/>
              </w:tcPr>
              <w:p w14:paraId="4563A687" w14:textId="77777777" w:rsidR="00534D5B" w:rsidRPr="009A46BB" w:rsidRDefault="00534D5B" w:rsidP="005C1785">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6.993.742</w:t>
                </w:r>
              </w:p>
            </w:tc>
          </w:tr>
          <w:tr w:rsidR="0083445B" w:rsidRPr="00534D5B" w14:paraId="05A1EA41" w14:textId="77777777" w:rsidTr="009A46BB">
            <w:trPr>
              <w:trHeight w:val="300"/>
            </w:trPr>
            <w:tc>
              <w:tcPr>
                <w:tcW w:w="1413" w:type="dxa"/>
                <w:shd w:val="clear" w:color="auto" w:fill="auto"/>
                <w:vAlign w:val="center"/>
                <w:hideMark/>
              </w:tcPr>
              <w:p w14:paraId="43C5C2FE" w14:textId="38D67937" w:rsidR="00534D5B" w:rsidRPr="009A46BB" w:rsidRDefault="00534D5B" w:rsidP="00534D5B">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900.243.279 </w:t>
                </w:r>
              </w:p>
            </w:tc>
            <w:tc>
              <w:tcPr>
                <w:tcW w:w="5103" w:type="dxa"/>
                <w:shd w:val="clear" w:color="auto" w:fill="auto"/>
                <w:vAlign w:val="center"/>
                <w:hideMark/>
              </w:tcPr>
              <w:p w14:paraId="14D661A5" w14:textId="16442765" w:rsidR="00534D5B" w:rsidRPr="009A46BB" w:rsidRDefault="005C1785" w:rsidP="00534D5B">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Sociedad Portuaria Puerto Hondo S.A.</w:t>
                </w:r>
              </w:p>
            </w:tc>
            <w:tc>
              <w:tcPr>
                <w:tcW w:w="2453" w:type="dxa"/>
                <w:shd w:val="clear" w:color="auto" w:fill="auto"/>
                <w:vAlign w:val="center"/>
                <w:hideMark/>
              </w:tcPr>
              <w:p w14:paraId="7F6CA279" w14:textId="77777777" w:rsidR="00534D5B" w:rsidRPr="009A46BB" w:rsidRDefault="00534D5B" w:rsidP="005C1785">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6.837.929</w:t>
                </w:r>
              </w:p>
            </w:tc>
          </w:tr>
          <w:tr w:rsidR="0083445B" w:rsidRPr="00534D5B" w14:paraId="277E99FB" w14:textId="77777777" w:rsidTr="009A46BB">
            <w:trPr>
              <w:trHeight w:val="300"/>
            </w:trPr>
            <w:tc>
              <w:tcPr>
                <w:tcW w:w="1413" w:type="dxa"/>
                <w:shd w:val="clear" w:color="auto" w:fill="auto"/>
                <w:vAlign w:val="center"/>
                <w:hideMark/>
              </w:tcPr>
              <w:p w14:paraId="2FA4817A" w14:textId="3498552D" w:rsidR="00534D5B" w:rsidRPr="009A46BB" w:rsidRDefault="00534D5B" w:rsidP="00534D5B">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900.243.279 </w:t>
                </w:r>
              </w:p>
            </w:tc>
            <w:tc>
              <w:tcPr>
                <w:tcW w:w="5103" w:type="dxa"/>
                <w:shd w:val="clear" w:color="auto" w:fill="auto"/>
                <w:vAlign w:val="center"/>
                <w:hideMark/>
              </w:tcPr>
              <w:p w14:paraId="5507F232" w14:textId="7F9A0E3E" w:rsidR="00534D5B" w:rsidRPr="009A46BB" w:rsidRDefault="005C1785" w:rsidP="00534D5B">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Sociedad Portuaria Puerto Hondo S.A.</w:t>
                </w:r>
              </w:p>
            </w:tc>
            <w:tc>
              <w:tcPr>
                <w:tcW w:w="2453" w:type="dxa"/>
                <w:shd w:val="clear" w:color="auto" w:fill="auto"/>
                <w:vAlign w:val="center"/>
                <w:hideMark/>
              </w:tcPr>
              <w:p w14:paraId="2CE34FF1" w14:textId="77777777" w:rsidR="00534D5B" w:rsidRPr="009A46BB" w:rsidRDefault="00534D5B" w:rsidP="005C1785">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6.837.929</w:t>
                </w:r>
              </w:p>
            </w:tc>
          </w:tr>
          <w:tr w:rsidR="0083445B" w:rsidRPr="00534D5B" w14:paraId="08336888" w14:textId="77777777" w:rsidTr="009A46BB">
            <w:trPr>
              <w:trHeight w:val="300"/>
            </w:trPr>
            <w:tc>
              <w:tcPr>
                <w:tcW w:w="1413" w:type="dxa"/>
                <w:shd w:val="clear" w:color="auto" w:fill="auto"/>
                <w:vAlign w:val="center"/>
                <w:hideMark/>
              </w:tcPr>
              <w:p w14:paraId="3EE60C53" w14:textId="3C0C319C" w:rsidR="00534D5B" w:rsidRPr="009A46BB" w:rsidRDefault="00534D5B" w:rsidP="00534D5B">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839.000.348 </w:t>
                </w:r>
              </w:p>
            </w:tc>
            <w:tc>
              <w:tcPr>
                <w:tcW w:w="5103" w:type="dxa"/>
                <w:shd w:val="clear" w:color="auto" w:fill="auto"/>
                <w:vAlign w:val="center"/>
                <w:hideMark/>
              </w:tcPr>
              <w:p w14:paraId="1A739356" w14:textId="393D7EB2" w:rsidR="00534D5B" w:rsidRPr="009A46BB" w:rsidRDefault="005C1785" w:rsidP="00534D5B">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Sociedad Portuaria de la Península</w:t>
                </w:r>
              </w:p>
            </w:tc>
            <w:tc>
              <w:tcPr>
                <w:tcW w:w="2453" w:type="dxa"/>
                <w:shd w:val="clear" w:color="auto" w:fill="auto"/>
                <w:vAlign w:val="center"/>
                <w:hideMark/>
              </w:tcPr>
              <w:p w14:paraId="5EE81325" w14:textId="77777777" w:rsidR="00534D5B" w:rsidRPr="009A46BB" w:rsidRDefault="00534D5B" w:rsidP="005C1785">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3.731.077</w:t>
                </w:r>
              </w:p>
            </w:tc>
          </w:tr>
          <w:tr w:rsidR="0083445B" w:rsidRPr="00534D5B" w14:paraId="25C3B798" w14:textId="77777777" w:rsidTr="009A46BB">
            <w:trPr>
              <w:trHeight w:val="300"/>
            </w:trPr>
            <w:tc>
              <w:tcPr>
                <w:tcW w:w="1413" w:type="dxa"/>
                <w:shd w:val="clear" w:color="auto" w:fill="auto"/>
                <w:noWrap/>
                <w:vAlign w:val="center"/>
                <w:hideMark/>
              </w:tcPr>
              <w:p w14:paraId="373DE713" w14:textId="1C42EB4D" w:rsidR="00534D5B" w:rsidRPr="009A46BB" w:rsidRDefault="00534D5B" w:rsidP="00534D5B">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900.677.144 </w:t>
                </w:r>
              </w:p>
            </w:tc>
            <w:tc>
              <w:tcPr>
                <w:tcW w:w="5103" w:type="dxa"/>
                <w:shd w:val="clear" w:color="auto" w:fill="auto"/>
                <w:noWrap/>
                <w:vAlign w:val="center"/>
                <w:hideMark/>
              </w:tcPr>
              <w:p w14:paraId="5CD68A2F" w14:textId="2591C29C" w:rsidR="00534D5B" w:rsidRPr="009A46BB" w:rsidRDefault="005C1785" w:rsidP="00534D5B">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Sociedad Portuaria Terminal De Ifo's S.A.</w:t>
                </w:r>
              </w:p>
            </w:tc>
            <w:tc>
              <w:tcPr>
                <w:tcW w:w="2453" w:type="dxa"/>
                <w:shd w:val="clear" w:color="auto" w:fill="auto"/>
                <w:noWrap/>
                <w:vAlign w:val="center"/>
                <w:hideMark/>
              </w:tcPr>
              <w:p w14:paraId="2D801573" w14:textId="77777777" w:rsidR="00534D5B" w:rsidRPr="009A46BB" w:rsidRDefault="00534D5B" w:rsidP="005C1785">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3.564.257</w:t>
                </w:r>
              </w:p>
            </w:tc>
          </w:tr>
          <w:tr w:rsidR="0083445B" w:rsidRPr="00534D5B" w14:paraId="7C80E77C" w14:textId="77777777" w:rsidTr="009A46BB">
            <w:trPr>
              <w:trHeight w:val="300"/>
            </w:trPr>
            <w:tc>
              <w:tcPr>
                <w:tcW w:w="1413" w:type="dxa"/>
                <w:shd w:val="clear" w:color="auto" w:fill="auto"/>
                <w:noWrap/>
                <w:vAlign w:val="center"/>
                <w:hideMark/>
              </w:tcPr>
              <w:p w14:paraId="6066FB63" w14:textId="12E96041" w:rsidR="00534D5B" w:rsidRPr="009A46BB" w:rsidRDefault="00534D5B" w:rsidP="00534D5B">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819.005.181 </w:t>
                </w:r>
              </w:p>
            </w:tc>
            <w:tc>
              <w:tcPr>
                <w:tcW w:w="5103" w:type="dxa"/>
                <w:shd w:val="clear" w:color="auto" w:fill="auto"/>
                <w:noWrap/>
                <w:vAlign w:val="center"/>
                <w:hideMark/>
              </w:tcPr>
              <w:p w14:paraId="69C6F581" w14:textId="315CEF23" w:rsidR="00534D5B" w:rsidRPr="009A46BB" w:rsidRDefault="005C1785" w:rsidP="00534D5B">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Sociedad Portuaria Rio Córdoba S A</w:t>
                </w:r>
              </w:p>
            </w:tc>
            <w:tc>
              <w:tcPr>
                <w:tcW w:w="2453" w:type="dxa"/>
                <w:shd w:val="clear" w:color="auto" w:fill="auto"/>
                <w:noWrap/>
                <w:vAlign w:val="center"/>
                <w:hideMark/>
              </w:tcPr>
              <w:p w14:paraId="10C54F53" w14:textId="77777777" w:rsidR="00534D5B" w:rsidRPr="009A46BB" w:rsidRDefault="00534D5B" w:rsidP="005C1785">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1.765.800</w:t>
                </w:r>
              </w:p>
            </w:tc>
          </w:tr>
          <w:tr w:rsidR="0083445B" w:rsidRPr="00534D5B" w14:paraId="1A24E2ED" w14:textId="77777777" w:rsidTr="009A46BB">
            <w:trPr>
              <w:trHeight w:val="300"/>
            </w:trPr>
            <w:tc>
              <w:tcPr>
                <w:tcW w:w="1413" w:type="dxa"/>
                <w:shd w:val="clear" w:color="auto" w:fill="auto"/>
                <w:noWrap/>
                <w:vAlign w:val="center"/>
                <w:hideMark/>
              </w:tcPr>
              <w:p w14:paraId="783D730F" w14:textId="1FA7900E" w:rsidR="00534D5B" w:rsidRPr="009A46BB" w:rsidRDefault="00534D5B" w:rsidP="00534D5B">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900.739.289 </w:t>
                </w:r>
              </w:p>
            </w:tc>
            <w:tc>
              <w:tcPr>
                <w:tcW w:w="5103" w:type="dxa"/>
                <w:shd w:val="clear" w:color="auto" w:fill="auto"/>
                <w:noWrap/>
                <w:vAlign w:val="center"/>
                <w:hideMark/>
              </w:tcPr>
              <w:p w14:paraId="6873FFC2" w14:textId="72355E0E" w:rsidR="00534D5B" w:rsidRPr="009A46BB" w:rsidRDefault="005C1785" w:rsidP="00534D5B">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Sociedad Portuaria Energética Multipropósito y Contenedores Puerto Solo Buenaventura S. A</w:t>
                </w:r>
              </w:p>
            </w:tc>
            <w:tc>
              <w:tcPr>
                <w:tcW w:w="2453" w:type="dxa"/>
                <w:shd w:val="clear" w:color="auto" w:fill="auto"/>
                <w:noWrap/>
                <w:vAlign w:val="center"/>
                <w:hideMark/>
              </w:tcPr>
              <w:p w14:paraId="45279250" w14:textId="77777777" w:rsidR="00534D5B" w:rsidRPr="009A46BB" w:rsidRDefault="00534D5B" w:rsidP="005C1785">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1.233.877</w:t>
                </w:r>
              </w:p>
            </w:tc>
          </w:tr>
          <w:tr w:rsidR="0083445B" w:rsidRPr="00534D5B" w14:paraId="3A439340" w14:textId="77777777" w:rsidTr="009A46BB">
            <w:trPr>
              <w:trHeight w:val="300"/>
            </w:trPr>
            <w:tc>
              <w:tcPr>
                <w:tcW w:w="1413" w:type="dxa"/>
                <w:shd w:val="clear" w:color="auto" w:fill="auto"/>
                <w:noWrap/>
                <w:vAlign w:val="center"/>
                <w:hideMark/>
              </w:tcPr>
              <w:p w14:paraId="14226C1A" w14:textId="07AC8E9A" w:rsidR="00534D5B" w:rsidRPr="009A46BB" w:rsidRDefault="00534D5B" w:rsidP="00534D5B">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 xml:space="preserve">901.057.588 </w:t>
                </w:r>
              </w:p>
            </w:tc>
            <w:tc>
              <w:tcPr>
                <w:tcW w:w="5103" w:type="dxa"/>
                <w:shd w:val="clear" w:color="auto" w:fill="auto"/>
                <w:noWrap/>
                <w:vAlign w:val="center"/>
                <w:hideMark/>
              </w:tcPr>
              <w:p w14:paraId="0799D84C" w14:textId="6930B103" w:rsidR="00534D5B" w:rsidRPr="009A46BB" w:rsidRDefault="005C1785" w:rsidP="00534D5B">
                <w:pPr>
                  <w:spacing w:after="0" w:line="240" w:lineRule="auto"/>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Sociedad Portuaria Regional Tumaco Pacific Port S. A</w:t>
                </w:r>
              </w:p>
            </w:tc>
            <w:tc>
              <w:tcPr>
                <w:tcW w:w="2453" w:type="dxa"/>
                <w:shd w:val="clear" w:color="auto" w:fill="auto"/>
                <w:noWrap/>
                <w:vAlign w:val="center"/>
                <w:hideMark/>
              </w:tcPr>
              <w:p w14:paraId="340B8D96" w14:textId="77777777" w:rsidR="00534D5B" w:rsidRPr="009A46BB" w:rsidRDefault="00534D5B" w:rsidP="005C1785">
                <w:pPr>
                  <w:spacing w:after="0" w:line="240" w:lineRule="auto"/>
                  <w:jc w:val="right"/>
                  <w:rPr>
                    <w:rFonts w:ascii="Times New Roman" w:eastAsia="Times New Roman" w:hAnsi="Times New Roman"/>
                    <w:color w:val="000000"/>
                    <w:sz w:val="18"/>
                    <w:szCs w:val="18"/>
                    <w:lang w:eastAsia="es-CO"/>
                  </w:rPr>
                </w:pPr>
                <w:r w:rsidRPr="009A46BB">
                  <w:rPr>
                    <w:rFonts w:ascii="Times New Roman" w:eastAsia="Times New Roman" w:hAnsi="Times New Roman"/>
                    <w:color w:val="000000"/>
                    <w:sz w:val="18"/>
                    <w:szCs w:val="18"/>
                    <w:lang w:eastAsia="es-CO"/>
                  </w:rPr>
                  <w:t>806.229</w:t>
                </w:r>
              </w:p>
            </w:tc>
          </w:tr>
        </w:tbl>
        <w:p w14:paraId="494D4C87" w14:textId="77777777" w:rsidR="00BD0C2E" w:rsidRPr="00931DCE" w:rsidRDefault="00BD0C2E" w:rsidP="009A39D2">
          <w:pPr>
            <w:spacing w:after="0" w:line="240" w:lineRule="auto"/>
            <w:jc w:val="both"/>
            <w:rPr>
              <w:rFonts w:ascii="Times New Roman" w:hAnsi="Times New Roman"/>
              <w:sz w:val="24"/>
              <w:szCs w:val="24"/>
            </w:rPr>
          </w:pPr>
        </w:p>
        <w:p w14:paraId="57A2ED23" w14:textId="6083B8C2" w:rsidR="00F844AE" w:rsidRPr="00931DCE" w:rsidRDefault="00F844AE" w:rsidP="009A39D2">
          <w:pPr>
            <w:spacing w:after="0" w:line="240" w:lineRule="auto"/>
            <w:jc w:val="both"/>
            <w:rPr>
              <w:rFonts w:ascii="Times New Roman" w:hAnsi="Times New Roman"/>
              <w:sz w:val="24"/>
              <w:szCs w:val="24"/>
            </w:rPr>
          </w:pPr>
          <w:r w:rsidRPr="00931DCE">
            <w:rPr>
              <w:rFonts w:ascii="Times New Roman" w:hAnsi="Times New Roman"/>
              <w:sz w:val="24"/>
              <w:szCs w:val="24"/>
            </w:rPr>
            <w:t xml:space="preserve">La Tasa Representativa del Mercado (TRM) utilizada para la medición </w:t>
          </w:r>
          <w:r w:rsidR="009A39D2" w:rsidRPr="00931DCE">
            <w:rPr>
              <w:rFonts w:ascii="Times New Roman" w:hAnsi="Times New Roman"/>
              <w:sz w:val="24"/>
              <w:szCs w:val="24"/>
            </w:rPr>
            <w:t>posterior y</w:t>
          </w:r>
          <w:r w:rsidRPr="00931DCE">
            <w:rPr>
              <w:rFonts w:ascii="Times New Roman" w:hAnsi="Times New Roman"/>
              <w:sz w:val="24"/>
              <w:szCs w:val="24"/>
            </w:rPr>
            <w:t xml:space="preserve"> </w:t>
          </w:r>
          <w:r w:rsidR="009A39D2" w:rsidRPr="00931DCE">
            <w:rPr>
              <w:rFonts w:ascii="Times New Roman" w:hAnsi="Times New Roman"/>
              <w:sz w:val="24"/>
              <w:szCs w:val="24"/>
            </w:rPr>
            <w:t>reexpresión</w:t>
          </w:r>
          <w:r w:rsidRPr="00931DCE">
            <w:rPr>
              <w:rFonts w:ascii="Times New Roman" w:hAnsi="Times New Roman"/>
              <w:sz w:val="24"/>
              <w:szCs w:val="24"/>
            </w:rPr>
            <w:t xml:space="preserve"> </w:t>
          </w:r>
          <w:r w:rsidR="003514D9" w:rsidRPr="00931DCE">
            <w:rPr>
              <w:rFonts w:ascii="Times New Roman" w:hAnsi="Times New Roman"/>
              <w:sz w:val="24"/>
              <w:szCs w:val="24"/>
            </w:rPr>
            <w:t>al cierre del período</w:t>
          </w:r>
          <w:r w:rsidRPr="00931DCE">
            <w:rPr>
              <w:rFonts w:ascii="Times New Roman" w:hAnsi="Times New Roman"/>
              <w:sz w:val="24"/>
              <w:szCs w:val="24"/>
            </w:rPr>
            <w:t>, fue de $</w:t>
          </w:r>
          <w:r w:rsidR="003514D9" w:rsidRPr="00931DCE">
            <w:rPr>
              <w:rFonts w:ascii="Times New Roman" w:hAnsi="Times New Roman"/>
              <w:sz w:val="24"/>
              <w:szCs w:val="24"/>
            </w:rPr>
            <w:t xml:space="preserve">3.822.05 </w:t>
          </w:r>
          <w:r w:rsidRPr="00931DCE">
            <w:rPr>
              <w:rFonts w:ascii="Times New Roman" w:hAnsi="Times New Roman"/>
              <w:sz w:val="24"/>
              <w:szCs w:val="24"/>
            </w:rPr>
            <w:t>colombianos.</w:t>
          </w:r>
        </w:p>
        <w:p w14:paraId="6145319C" w14:textId="77777777" w:rsidR="000B15D3" w:rsidRPr="00931DCE" w:rsidRDefault="000B15D3" w:rsidP="009A39D2">
          <w:pPr>
            <w:spacing w:after="0" w:line="240" w:lineRule="auto"/>
            <w:jc w:val="both"/>
            <w:rPr>
              <w:rFonts w:ascii="Times New Roman" w:hAnsi="Times New Roman"/>
              <w:sz w:val="24"/>
              <w:szCs w:val="24"/>
            </w:rPr>
          </w:pPr>
        </w:p>
        <w:p w14:paraId="646FE751" w14:textId="77777777" w:rsidR="000B15D3" w:rsidRPr="00931DCE" w:rsidRDefault="000B15D3" w:rsidP="000B15D3">
          <w:pPr>
            <w:spacing w:after="0" w:line="240" w:lineRule="auto"/>
            <w:jc w:val="both"/>
            <w:rPr>
              <w:rFonts w:ascii="Times New Roman" w:hAnsi="Times New Roman"/>
              <w:sz w:val="24"/>
              <w:szCs w:val="24"/>
            </w:rPr>
          </w:pPr>
          <w:r w:rsidRPr="00931DCE">
            <w:rPr>
              <w:rFonts w:ascii="Times New Roman" w:hAnsi="Times New Roman"/>
              <w:sz w:val="24"/>
              <w:szCs w:val="24"/>
            </w:rPr>
            <w:t xml:space="preserve">Para el cierre del período contable, no se reconocieron diferencias en cambio en el patrimonio. </w:t>
          </w:r>
        </w:p>
        <w:p w14:paraId="5F233332" w14:textId="77777777" w:rsidR="000B15D3" w:rsidRPr="00931DCE" w:rsidRDefault="000B15D3" w:rsidP="009A39D2">
          <w:pPr>
            <w:spacing w:after="0" w:line="240" w:lineRule="auto"/>
            <w:jc w:val="both"/>
            <w:rPr>
              <w:rFonts w:ascii="Times New Roman" w:hAnsi="Times New Roman"/>
              <w:sz w:val="24"/>
              <w:szCs w:val="24"/>
            </w:rPr>
          </w:pPr>
        </w:p>
        <w:p w14:paraId="70331F47" w14:textId="77777777" w:rsidR="00D411F7" w:rsidRPr="00931DCE" w:rsidRDefault="00D411F7" w:rsidP="004A000E">
          <w:pPr>
            <w:pStyle w:val="Textoindependiente"/>
            <w:jc w:val="both"/>
          </w:pPr>
        </w:p>
        <w:p w14:paraId="1E9648C7" w14:textId="3CEFA333" w:rsidR="004329B6" w:rsidRPr="00931DCE" w:rsidRDefault="004329B6" w:rsidP="004A000E">
          <w:pPr>
            <w:spacing w:after="0" w:line="240" w:lineRule="auto"/>
            <w:ind w:left="142" w:right="190"/>
            <w:jc w:val="both"/>
            <w:rPr>
              <w:rFonts w:ascii="Times New Roman" w:hAnsi="Times New Roman"/>
              <w:i/>
              <w:iCs/>
            </w:rPr>
          </w:pPr>
        </w:p>
        <w:p w14:paraId="5A1D3995" w14:textId="77777777" w:rsidR="005801E8" w:rsidRPr="00931DCE" w:rsidRDefault="005801E8" w:rsidP="004A000E">
          <w:pPr>
            <w:spacing w:after="0" w:line="240" w:lineRule="auto"/>
            <w:ind w:left="142" w:right="190"/>
            <w:jc w:val="both"/>
            <w:rPr>
              <w:rFonts w:ascii="Times New Roman" w:hAnsi="Times New Roman"/>
              <w:b/>
              <w:bCs/>
            </w:rPr>
          </w:pPr>
        </w:p>
        <w:p w14:paraId="0D8B14CA" w14:textId="68DE786C" w:rsidR="005801E8" w:rsidRPr="00931DCE" w:rsidRDefault="005801E8" w:rsidP="004A000E">
          <w:pPr>
            <w:spacing w:after="0" w:line="240" w:lineRule="auto"/>
            <w:ind w:right="190"/>
            <w:jc w:val="both"/>
            <w:rPr>
              <w:rFonts w:ascii="Times New Roman" w:hAnsi="Times New Roman"/>
              <w:b/>
              <w:bCs/>
              <w:sz w:val="24"/>
              <w:szCs w:val="24"/>
            </w:rPr>
          </w:pPr>
        </w:p>
        <w:p w14:paraId="5A0B5024" w14:textId="77777777" w:rsidR="00C4238F" w:rsidRPr="00931DCE" w:rsidRDefault="00C4238F" w:rsidP="004A000E">
          <w:pPr>
            <w:spacing w:after="0" w:line="240" w:lineRule="auto"/>
            <w:ind w:right="190"/>
            <w:jc w:val="both"/>
            <w:rPr>
              <w:rFonts w:ascii="Times New Roman" w:hAnsi="Times New Roman"/>
              <w:b/>
              <w:bCs/>
              <w:sz w:val="24"/>
              <w:szCs w:val="24"/>
            </w:rPr>
          </w:pPr>
        </w:p>
        <w:p w14:paraId="79BF07F0" w14:textId="39221101" w:rsidR="009840A3" w:rsidRPr="00931DCE" w:rsidRDefault="009840A3" w:rsidP="004A000E">
          <w:pPr>
            <w:spacing w:after="0" w:line="240" w:lineRule="auto"/>
            <w:ind w:right="190"/>
            <w:jc w:val="both"/>
            <w:rPr>
              <w:rFonts w:ascii="Times New Roman" w:hAnsi="Times New Roman"/>
              <w:b/>
              <w:bCs/>
              <w:sz w:val="24"/>
              <w:szCs w:val="24"/>
            </w:rPr>
          </w:pPr>
        </w:p>
        <w:p w14:paraId="6AF3343E" w14:textId="77777777" w:rsidR="009840A3" w:rsidRPr="00931DCE" w:rsidRDefault="009840A3" w:rsidP="00976650">
          <w:pPr>
            <w:spacing w:after="0" w:line="240" w:lineRule="auto"/>
            <w:ind w:right="190"/>
            <w:jc w:val="center"/>
            <w:rPr>
              <w:rFonts w:ascii="Times New Roman" w:hAnsi="Times New Roman"/>
              <w:b/>
              <w:bCs/>
              <w:sz w:val="24"/>
              <w:szCs w:val="24"/>
            </w:rPr>
          </w:pPr>
        </w:p>
        <w:p w14:paraId="35EFC4CF" w14:textId="77777777" w:rsidR="00477BEE" w:rsidRDefault="00477BEE" w:rsidP="00976650">
          <w:pPr>
            <w:spacing w:after="0" w:line="240" w:lineRule="auto"/>
            <w:ind w:right="190"/>
            <w:jc w:val="center"/>
            <w:rPr>
              <w:rFonts w:ascii="Times New Roman" w:hAnsi="Times New Roman"/>
              <w:b/>
              <w:bCs/>
              <w:lang w:val="pt-BR"/>
            </w:rPr>
          </w:pPr>
          <w:r w:rsidRPr="00477BEE">
            <w:rPr>
              <w:rFonts w:ascii="Times New Roman" w:hAnsi="Times New Roman"/>
              <w:b/>
              <w:bCs/>
              <w:lang w:val="pt-BR"/>
            </w:rPr>
            <w:t>FRANCISCO OSPINA RAMÍREZ</w:t>
          </w:r>
        </w:p>
        <w:p w14:paraId="7222D386" w14:textId="3F4172E3" w:rsidR="00477BEE" w:rsidRPr="00477BEE" w:rsidRDefault="00477BEE" w:rsidP="00976650">
          <w:pPr>
            <w:spacing w:after="0" w:line="240" w:lineRule="auto"/>
            <w:ind w:right="190"/>
            <w:jc w:val="center"/>
            <w:rPr>
              <w:rFonts w:ascii="Times New Roman" w:hAnsi="Times New Roman"/>
            </w:rPr>
          </w:pPr>
          <w:r w:rsidRPr="00477BEE">
            <w:rPr>
              <w:rFonts w:ascii="Times New Roman" w:hAnsi="Times New Roman"/>
            </w:rPr>
            <w:t xml:space="preserve">Representante </w:t>
          </w:r>
          <w:r w:rsidR="00A2183A">
            <w:rPr>
              <w:rFonts w:ascii="Times New Roman" w:hAnsi="Times New Roman"/>
            </w:rPr>
            <w:t>L</w:t>
          </w:r>
          <w:r w:rsidRPr="00477BEE">
            <w:rPr>
              <w:rFonts w:ascii="Times New Roman" w:hAnsi="Times New Roman"/>
            </w:rPr>
            <w:t>egal</w:t>
          </w:r>
        </w:p>
        <w:p w14:paraId="12EBDA60" w14:textId="4934843D" w:rsidR="00F458A4" w:rsidRPr="00931DCE" w:rsidRDefault="00366FD5" w:rsidP="00976650">
          <w:pPr>
            <w:spacing w:after="0" w:line="240" w:lineRule="auto"/>
            <w:ind w:right="190"/>
            <w:jc w:val="center"/>
            <w:rPr>
              <w:rFonts w:ascii="Times New Roman" w:hAnsi="Times New Roman"/>
              <w:b/>
              <w:bCs/>
              <w:sz w:val="24"/>
              <w:szCs w:val="24"/>
            </w:rPr>
          </w:pPr>
          <w:r w:rsidRPr="00534D5B">
            <w:rPr>
              <w:rFonts w:ascii="Times New Roman" w:hAnsi="Times New Roman"/>
              <w:sz w:val="24"/>
              <w:szCs w:val="24"/>
            </w:rPr>
            <w:t xml:space="preserve">C.C. No. </w:t>
          </w:r>
          <w:r w:rsidR="00477BEE">
            <w:rPr>
              <w:rFonts w:ascii="Times New Roman" w:hAnsi="Times New Roman"/>
              <w:sz w:val="24"/>
              <w:szCs w:val="24"/>
            </w:rPr>
            <w:t>80.764.396</w:t>
          </w:r>
        </w:p>
        <w:p w14:paraId="1E38099F" w14:textId="7F0E5C40" w:rsidR="00F458A4" w:rsidRPr="00931DCE" w:rsidRDefault="00F458A4" w:rsidP="00976650">
          <w:pPr>
            <w:spacing w:after="0" w:line="240" w:lineRule="auto"/>
            <w:ind w:right="190"/>
            <w:jc w:val="center"/>
            <w:rPr>
              <w:rFonts w:ascii="Times New Roman" w:hAnsi="Times New Roman"/>
              <w:b/>
              <w:bCs/>
              <w:sz w:val="24"/>
              <w:szCs w:val="24"/>
            </w:rPr>
          </w:pPr>
        </w:p>
        <w:p w14:paraId="64F60805" w14:textId="23EB4F33" w:rsidR="00C4238F" w:rsidRPr="00931DCE" w:rsidRDefault="00C4238F" w:rsidP="00976650">
          <w:pPr>
            <w:spacing w:after="0" w:line="240" w:lineRule="auto"/>
            <w:ind w:right="190"/>
            <w:jc w:val="center"/>
            <w:rPr>
              <w:rFonts w:ascii="Times New Roman" w:hAnsi="Times New Roman"/>
              <w:b/>
              <w:bCs/>
              <w:sz w:val="24"/>
              <w:szCs w:val="24"/>
            </w:rPr>
          </w:pPr>
        </w:p>
        <w:p w14:paraId="154A0B4E" w14:textId="77777777" w:rsidR="00E6132B" w:rsidRPr="00931DCE" w:rsidRDefault="00E6132B" w:rsidP="00976650">
          <w:pPr>
            <w:spacing w:after="0" w:line="240" w:lineRule="auto"/>
            <w:ind w:right="190"/>
            <w:jc w:val="center"/>
            <w:rPr>
              <w:rFonts w:ascii="Times New Roman" w:hAnsi="Times New Roman"/>
              <w:b/>
              <w:bCs/>
              <w:sz w:val="24"/>
              <w:szCs w:val="24"/>
            </w:rPr>
          </w:pPr>
        </w:p>
        <w:p w14:paraId="24A255C7" w14:textId="506C5854" w:rsidR="00937E0E" w:rsidRPr="00931DCE" w:rsidRDefault="00937E0E" w:rsidP="00976650">
          <w:pPr>
            <w:spacing w:after="0" w:line="240" w:lineRule="auto"/>
            <w:ind w:right="190"/>
            <w:jc w:val="center"/>
            <w:rPr>
              <w:rFonts w:ascii="Times New Roman" w:hAnsi="Times New Roman"/>
              <w:b/>
              <w:bCs/>
              <w:sz w:val="24"/>
              <w:szCs w:val="24"/>
            </w:rPr>
          </w:pPr>
        </w:p>
        <w:p w14:paraId="03D8FE8C" w14:textId="7E57D7A4" w:rsidR="00937E0E" w:rsidRPr="00931DCE" w:rsidRDefault="00A73952" w:rsidP="00976650">
          <w:pPr>
            <w:pStyle w:val="Encabezado"/>
            <w:tabs>
              <w:tab w:val="left" w:pos="708"/>
            </w:tabs>
            <w:jc w:val="center"/>
            <w:rPr>
              <w:rFonts w:ascii="Times New Roman" w:hAnsi="Times New Roman"/>
              <w:b/>
              <w:bCs/>
              <w:lang w:val="pt-BR"/>
            </w:rPr>
          </w:pPr>
          <w:r w:rsidRPr="00931DCE">
            <w:rPr>
              <w:rFonts w:ascii="Times New Roman" w:hAnsi="Times New Roman"/>
              <w:b/>
              <w:bCs/>
              <w:lang w:val="pt-BR"/>
            </w:rPr>
            <w:t>CARMEN ESTELA HERRERA GUERRA</w:t>
          </w:r>
        </w:p>
        <w:p w14:paraId="36A9E0DB" w14:textId="0AF8BA2C" w:rsidR="00937E0E" w:rsidRPr="00931DCE" w:rsidRDefault="00937E0E" w:rsidP="00A01949">
          <w:pPr>
            <w:pStyle w:val="Encabezado"/>
            <w:tabs>
              <w:tab w:val="left" w:pos="708"/>
            </w:tabs>
            <w:ind w:left="708" w:hanging="708"/>
            <w:jc w:val="center"/>
            <w:rPr>
              <w:rFonts w:ascii="Times New Roman" w:hAnsi="Times New Roman"/>
            </w:rPr>
          </w:pPr>
          <w:r w:rsidRPr="00931DCE">
            <w:rPr>
              <w:rFonts w:ascii="Times New Roman" w:hAnsi="Times New Roman"/>
            </w:rPr>
            <w:t>Experto G3 – 06 con Funciones de Contador</w:t>
          </w:r>
          <w:r w:rsidR="00A73952" w:rsidRPr="00931DCE">
            <w:rPr>
              <w:rFonts w:ascii="Times New Roman" w:hAnsi="Times New Roman"/>
            </w:rPr>
            <w:t>a</w:t>
          </w:r>
        </w:p>
        <w:p w14:paraId="615C94BF" w14:textId="046655BD" w:rsidR="00366FD5" w:rsidRPr="00931DCE" w:rsidRDefault="00366FD5" w:rsidP="00976650">
          <w:pPr>
            <w:pStyle w:val="Encabezado"/>
            <w:tabs>
              <w:tab w:val="left" w:pos="708"/>
            </w:tabs>
            <w:jc w:val="center"/>
            <w:rPr>
              <w:rFonts w:ascii="Times New Roman" w:hAnsi="Times New Roman"/>
            </w:rPr>
          </w:pPr>
          <w:r w:rsidRPr="00931DCE">
            <w:rPr>
              <w:rFonts w:ascii="Times New Roman" w:hAnsi="Times New Roman"/>
            </w:rPr>
            <w:t xml:space="preserve">C.C. No. </w:t>
          </w:r>
          <w:r w:rsidR="00A73952" w:rsidRPr="00931DCE">
            <w:rPr>
              <w:rFonts w:ascii="Times New Roman" w:hAnsi="Times New Roman"/>
            </w:rPr>
            <w:t>64.696.912</w:t>
          </w:r>
        </w:p>
        <w:p w14:paraId="2E23FA8A" w14:textId="7D3E3086" w:rsidR="00937E0E" w:rsidRPr="00931DCE" w:rsidRDefault="00937E0E" w:rsidP="00976650">
          <w:pPr>
            <w:pStyle w:val="Encabezado"/>
            <w:tabs>
              <w:tab w:val="left" w:pos="708"/>
            </w:tabs>
            <w:jc w:val="center"/>
            <w:rPr>
              <w:rFonts w:ascii="Times New Roman" w:hAnsi="Times New Roman"/>
            </w:rPr>
          </w:pPr>
          <w:r w:rsidRPr="00931DCE">
            <w:rPr>
              <w:rFonts w:ascii="Times New Roman" w:hAnsi="Times New Roman"/>
            </w:rPr>
            <w:t xml:space="preserve">T.P. No </w:t>
          </w:r>
          <w:r w:rsidR="00A73952" w:rsidRPr="00931DCE">
            <w:rPr>
              <w:rFonts w:ascii="Times New Roman" w:hAnsi="Times New Roman"/>
            </w:rPr>
            <w:t>104408</w:t>
          </w:r>
          <w:r w:rsidRPr="00931DCE">
            <w:rPr>
              <w:rFonts w:ascii="Times New Roman" w:hAnsi="Times New Roman"/>
            </w:rPr>
            <w:t>-T</w:t>
          </w:r>
        </w:p>
        <w:p w14:paraId="562504F6" w14:textId="653C4236" w:rsidR="00937E0E" w:rsidRPr="00931DCE" w:rsidRDefault="00000000" w:rsidP="004A000E">
          <w:pPr>
            <w:spacing w:after="0" w:line="240" w:lineRule="auto"/>
            <w:ind w:right="190"/>
            <w:jc w:val="both"/>
            <w:rPr>
              <w:rFonts w:ascii="Times New Roman" w:hAnsi="Times New Roman"/>
              <w:b/>
              <w:bCs/>
              <w:sz w:val="24"/>
              <w:szCs w:val="24"/>
            </w:rPr>
          </w:pPr>
        </w:p>
      </w:sdtContent>
    </w:sdt>
    <w:sectPr w:rsidR="00937E0E" w:rsidRPr="00931DCE" w:rsidSect="00376BDD">
      <w:type w:val="continuous"/>
      <w:pgSz w:w="12240" w:h="15840"/>
      <w:pgMar w:top="1418" w:right="1418" w:bottom="1418" w:left="1843" w:header="680" w:footer="709" w:gutter="0"/>
      <w:pgNumType w:start="50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BD233" w14:textId="77777777" w:rsidR="00376BDD" w:rsidRDefault="00376BDD" w:rsidP="008F1462">
      <w:pPr>
        <w:spacing w:after="0" w:line="240" w:lineRule="auto"/>
      </w:pPr>
      <w:r>
        <w:separator/>
      </w:r>
    </w:p>
  </w:endnote>
  <w:endnote w:type="continuationSeparator" w:id="0">
    <w:p w14:paraId="6FC19B50" w14:textId="77777777" w:rsidR="00376BDD" w:rsidRDefault="00376BDD" w:rsidP="008F1462">
      <w:pPr>
        <w:spacing w:after="0" w:line="240" w:lineRule="auto"/>
      </w:pPr>
      <w:r>
        <w:continuationSeparator/>
      </w:r>
    </w:p>
  </w:endnote>
  <w:endnote w:type="continuationNotice" w:id="1">
    <w:p w14:paraId="7892C7D5" w14:textId="77777777" w:rsidR="00376BDD" w:rsidRDefault="00376B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quot;Arial Narrow&quot;,sans-serif">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Negrit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ArialNarrow-Bold">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Brooklynesque-Bold">
    <w:altName w:val="Courier New"/>
    <w:charset w:val="00"/>
    <w:family w:val="auto"/>
    <w:pitch w:val="variable"/>
  </w:font>
  <w:font w:name="Times">
    <w:panose1 w:val="02020603050405020304"/>
    <w:charset w:val="00"/>
    <w:family w:val="auto"/>
    <w:pitch w:val="variable"/>
    <w:sig w:usb0="E00002FF" w:usb1="5000205A" w:usb2="00000000" w:usb3="00000000" w:csb0="0000019F" w:csb1="00000000"/>
  </w:font>
  <w:font w:name="Futura Light">
    <w:altName w:val="Times New Roman"/>
    <w:charset w:val="00"/>
    <w:family w:val="auto"/>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OpenSymbol">
    <w:altName w:val="Microsoft JhengHei"/>
    <w:panose1 w:val="00000000000000000000"/>
    <w:charset w:val="88"/>
    <w:family w:val="auto"/>
    <w:notTrueType/>
    <w:pitch w:val="default"/>
    <w:sig w:usb0="00000003" w:usb1="08080000" w:usb2="00000010" w:usb3="00000000" w:csb0="00100001"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170AA" w14:textId="01030A5D" w:rsidR="00256645" w:rsidRPr="00092474" w:rsidRDefault="00AA3023">
    <w:pPr>
      <w:pStyle w:val="Piedepgina"/>
      <w:rPr>
        <w:i/>
        <w:iCs/>
        <w:color w:val="4472C4" w:themeColor="accent1"/>
      </w:rPr>
    </w:pPr>
    <w:r w:rsidRPr="00092474">
      <w:rPr>
        <w:i/>
        <w:iCs/>
        <w:color w:val="4472C4" w:themeColor="accent1"/>
      </w:rPr>
      <w:t xml:space="preserve">Notas a los estados financieros </w:t>
    </w:r>
  </w:p>
  <w:p w14:paraId="2DF9EDA4" w14:textId="77777777" w:rsidR="00256645" w:rsidRDefault="0025664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DF301" w14:textId="77777777" w:rsidR="005248F8" w:rsidRDefault="005248F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0D66A" w14:textId="77777777" w:rsidR="00376BDD" w:rsidRDefault="00376BDD" w:rsidP="008F1462">
      <w:pPr>
        <w:spacing w:after="0" w:line="240" w:lineRule="auto"/>
      </w:pPr>
      <w:r>
        <w:separator/>
      </w:r>
    </w:p>
  </w:footnote>
  <w:footnote w:type="continuationSeparator" w:id="0">
    <w:p w14:paraId="57BFE4CB" w14:textId="77777777" w:rsidR="00376BDD" w:rsidRDefault="00376BDD" w:rsidP="008F1462">
      <w:pPr>
        <w:spacing w:after="0" w:line="240" w:lineRule="auto"/>
      </w:pPr>
      <w:r>
        <w:continuationSeparator/>
      </w:r>
    </w:p>
  </w:footnote>
  <w:footnote w:type="continuationNotice" w:id="1">
    <w:p w14:paraId="153F4856" w14:textId="77777777" w:rsidR="00376BDD" w:rsidRDefault="00376BDD">
      <w:pPr>
        <w:spacing w:after="0" w:line="240" w:lineRule="auto"/>
      </w:pPr>
    </w:p>
  </w:footnote>
  <w:footnote w:id="2">
    <w:p w14:paraId="0D5ACB10" w14:textId="77777777" w:rsidR="0019582D" w:rsidRPr="00E93B63" w:rsidRDefault="0019582D" w:rsidP="0019582D">
      <w:pPr>
        <w:pStyle w:val="Textonotapie"/>
        <w:rPr>
          <w:rFonts w:ascii="Times New Roman" w:hAnsi="Times New Roman" w:cs="Times New Roman"/>
          <w:sz w:val="16"/>
          <w:szCs w:val="16"/>
        </w:rPr>
      </w:pPr>
      <w:r>
        <w:rPr>
          <w:rStyle w:val="Refdenotaalpie"/>
        </w:rPr>
        <w:footnoteRef/>
      </w:r>
      <w:r>
        <w:t xml:space="preserve"> </w:t>
      </w:r>
      <w:r w:rsidRPr="00324CCF">
        <w:rPr>
          <w:rFonts w:ascii="Times New Roman" w:hAnsi="Times New Roman" w:cs="Times New Roman"/>
          <w:sz w:val="16"/>
          <w:szCs w:val="16"/>
        </w:rPr>
        <w:t>Cuya periodicidad fue modificada para la circular</w:t>
      </w:r>
      <w:r>
        <w:t xml:space="preserve"> </w:t>
      </w:r>
      <w:r w:rsidRPr="00E93B63">
        <w:rPr>
          <w:rFonts w:ascii="Times New Roman" w:hAnsi="Times New Roman" w:cs="Times New Roman"/>
          <w:sz w:val="16"/>
          <w:szCs w:val="16"/>
        </w:rPr>
        <w:t>ANI No. 2204010000274 del 02-07-2020</w:t>
      </w:r>
      <w:r>
        <w:rPr>
          <w:rFonts w:ascii="Times New Roman" w:hAnsi="Times New Roman" w:cs="Times New Roman"/>
          <w:sz w:val="16"/>
          <w:szCs w:val="16"/>
        </w:rPr>
        <w:t xml:space="preserve"> “Aspectos a considerar en el reporte de información litigiosa”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ECB5C" w14:textId="77777777" w:rsidR="00256645" w:rsidRDefault="00256645">
    <w:pPr>
      <w:pStyle w:val="Encabezado"/>
      <w:jc w:val="right"/>
      <w:rPr>
        <w:color w:val="8496B0" w:themeColor="text2" w:themeTint="99"/>
        <w:sz w:val="24"/>
        <w:szCs w:val="24"/>
      </w:rPr>
    </w:pPr>
    <w:r>
      <w:rPr>
        <w:color w:val="8496B0" w:themeColor="text2" w:themeTint="99"/>
        <w:sz w:val="24"/>
        <w:szCs w:val="24"/>
        <w:lang w:val="es-ES"/>
      </w:rPr>
      <w:t xml:space="preserve">Página </w:t>
    </w:r>
    <w:r>
      <w:rPr>
        <w:color w:val="8496B0" w:themeColor="text2" w:themeTint="99"/>
        <w:sz w:val="24"/>
        <w:szCs w:val="24"/>
      </w:rPr>
      <w:fldChar w:fldCharType="begin"/>
    </w:r>
    <w:r>
      <w:rPr>
        <w:color w:val="8496B0" w:themeColor="text2" w:themeTint="99"/>
        <w:sz w:val="24"/>
        <w:szCs w:val="24"/>
      </w:rPr>
      <w:instrText>PAGE   \* MERGEFORMAT</w:instrText>
    </w:r>
    <w:r>
      <w:rPr>
        <w:color w:val="8496B0" w:themeColor="text2" w:themeTint="99"/>
        <w:sz w:val="24"/>
        <w:szCs w:val="24"/>
      </w:rPr>
      <w:fldChar w:fldCharType="separate"/>
    </w:r>
    <w:r>
      <w:rPr>
        <w:color w:val="8496B0" w:themeColor="text2" w:themeTint="99"/>
        <w:sz w:val="24"/>
        <w:szCs w:val="24"/>
        <w:lang w:val="es-ES"/>
      </w:rPr>
      <w:t>2</w:t>
    </w:r>
    <w:r>
      <w:rPr>
        <w:color w:val="8496B0" w:themeColor="text2" w:themeTint="99"/>
        <w:sz w:val="24"/>
        <w:szCs w:val="24"/>
      </w:rPr>
      <w:fldChar w:fldCharType="end"/>
    </w:r>
  </w:p>
  <w:p w14:paraId="031C6C4E" w14:textId="3DF51F9F" w:rsidR="004E0F6D" w:rsidRPr="00256645" w:rsidRDefault="004E0F6D">
    <w:pPr>
      <w:pStyle w:val="Textoindependiente"/>
      <w:spacing w:line="14" w:lineRule="auto"/>
      <w:rPr>
        <w:rFonts w:ascii="Arial Narrow" w:hAnsi="Arial Narrow"/>
        <w:sz w:val="10"/>
        <w:szCs w:val="10"/>
        <w:lang w:val="es-MX"/>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0451399"/>
      <w:docPartObj>
        <w:docPartGallery w:val="Page Numbers (Top of Page)"/>
        <w:docPartUnique/>
      </w:docPartObj>
    </w:sdtPr>
    <w:sdtEndPr>
      <w:rPr>
        <w:color w:val="8496B0" w:themeColor="text2" w:themeTint="99"/>
        <w:sz w:val="24"/>
        <w:szCs w:val="24"/>
        <w:lang w:val="es-ES"/>
      </w:rPr>
    </w:sdtEndPr>
    <w:sdtContent>
      <w:p w14:paraId="3D8E9C8C" w14:textId="499B5C03" w:rsidR="00256645" w:rsidRPr="009E7CEF" w:rsidRDefault="00256645">
        <w:pPr>
          <w:pStyle w:val="Encabezado"/>
          <w:jc w:val="right"/>
          <w:rPr>
            <w:color w:val="8496B0" w:themeColor="text2" w:themeTint="99"/>
            <w:sz w:val="24"/>
            <w:szCs w:val="24"/>
            <w:lang w:val="es-ES"/>
          </w:rPr>
        </w:pPr>
        <w:r w:rsidRPr="009E7CEF">
          <w:rPr>
            <w:color w:val="8496B0" w:themeColor="text2" w:themeTint="99"/>
            <w:sz w:val="24"/>
            <w:szCs w:val="24"/>
            <w:lang w:val="es-ES"/>
          </w:rPr>
          <w:fldChar w:fldCharType="begin"/>
        </w:r>
        <w:r w:rsidRPr="009E7CEF">
          <w:rPr>
            <w:color w:val="8496B0" w:themeColor="text2" w:themeTint="99"/>
            <w:sz w:val="24"/>
            <w:szCs w:val="24"/>
            <w:lang w:val="es-ES"/>
          </w:rPr>
          <w:instrText>PAGE   \* MERGEFORMAT</w:instrText>
        </w:r>
        <w:r w:rsidRPr="009E7CEF">
          <w:rPr>
            <w:color w:val="8496B0" w:themeColor="text2" w:themeTint="99"/>
            <w:sz w:val="24"/>
            <w:szCs w:val="24"/>
            <w:lang w:val="es-ES"/>
          </w:rPr>
          <w:fldChar w:fldCharType="separate"/>
        </w:r>
        <w:r w:rsidRPr="009E7CEF">
          <w:rPr>
            <w:color w:val="8496B0" w:themeColor="text2" w:themeTint="99"/>
            <w:sz w:val="24"/>
            <w:szCs w:val="24"/>
            <w:lang w:val="es-ES"/>
          </w:rPr>
          <w:t>2</w:t>
        </w:r>
        <w:r w:rsidRPr="009E7CEF">
          <w:rPr>
            <w:color w:val="8496B0" w:themeColor="text2" w:themeTint="99"/>
            <w:sz w:val="24"/>
            <w:szCs w:val="24"/>
            <w:lang w:val="es-ES"/>
          </w:rPr>
          <w:fldChar w:fldCharType="end"/>
        </w:r>
      </w:p>
    </w:sdtContent>
  </w:sdt>
  <w:p w14:paraId="764B4636" w14:textId="77777777" w:rsidR="00256645" w:rsidRPr="009E7CEF" w:rsidRDefault="00256645" w:rsidP="009E7CEF">
    <w:pPr>
      <w:pStyle w:val="Encabezado"/>
      <w:jc w:val="right"/>
      <w:rPr>
        <w:color w:val="8496B0" w:themeColor="text2" w:themeTint="99"/>
        <w:sz w:val="24"/>
        <w:szCs w:val="24"/>
        <w:lang w:val="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883B6" w14:textId="77777777" w:rsidR="00256645" w:rsidRDefault="00256645">
    <w:pPr>
      <w:pStyle w:val="Encabezado"/>
      <w:jc w:val="right"/>
      <w:rPr>
        <w:color w:val="8496B0" w:themeColor="text2" w:themeTint="99"/>
        <w:sz w:val="24"/>
        <w:szCs w:val="24"/>
      </w:rPr>
    </w:pPr>
    <w:r>
      <w:rPr>
        <w:color w:val="8496B0" w:themeColor="text2" w:themeTint="99"/>
        <w:sz w:val="24"/>
        <w:szCs w:val="24"/>
        <w:lang w:val="es-ES"/>
      </w:rPr>
      <w:t xml:space="preserve">Página </w:t>
    </w:r>
    <w:r>
      <w:rPr>
        <w:color w:val="8496B0" w:themeColor="text2" w:themeTint="99"/>
        <w:sz w:val="24"/>
        <w:szCs w:val="24"/>
      </w:rPr>
      <w:fldChar w:fldCharType="begin"/>
    </w:r>
    <w:r>
      <w:rPr>
        <w:color w:val="8496B0" w:themeColor="text2" w:themeTint="99"/>
        <w:sz w:val="24"/>
        <w:szCs w:val="24"/>
      </w:rPr>
      <w:instrText>PAGE   \* MERGEFORMAT</w:instrText>
    </w:r>
    <w:r>
      <w:rPr>
        <w:color w:val="8496B0" w:themeColor="text2" w:themeTint="99"/>
        <w:sz w:val="24"/>
        <w:szCs w:val="24"/>
      </w:rPr>
      <w:fldChar w:fldCharType="separate"/>
    </w:r>
    <w:r>
      <w:rPr>
        <w:color w:val="8496B0" w:themeColor="text2" w:themeTint="99"/>
        <w:sz w:val="24"/>
        <w:szCs w:val="24"/>
        <w:lang w:val="es-ES"/>
      </w:rPr>
      <w:t>2</w:t>
    </w:r>
    <w:r>
      <w:rPr>
        <w:color w:val="8496B0" w:themeColor="text2" w:themeTint="99"/>
        <w:sz w:val="24"/>
        <w:szCs w:val="24"/>
      </w:rPr>
      <w:fldChar w:fldCharType="end"/>
    </w:r>
  </w:p>
  <w:p w14:paraId="2351D9BA" w14:textId="77777777" w:rsidR="00256645" w:rsidRPr="00256645" w:rsidRDefault="00256645" w:rsidP="009E7CEF">
    <w:pPr>
      <w:pStyle w:val="Textoindependiente"/>
      <w:spacing w:line="14" w:lineRule="auto"/>
      <w:jc w:val="right"/>
      <w:rPr>
        <w:rFonts w:ascii="Arial Narrow" w:hAnsi="Arial Narrow"/>
        <w:sz w:val="10"/>
        <w:szCs w:val="10"/>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2A60C6A"/>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76F1D4A"/>
    <w:multiLevelType w:val="singleLevel"/>
    <w:tmpl w:val="FFFFFFFF"/>
    <w:lvl w:ilvl="0">
      <w:numFmt w:val="decimal"/>
      <w:lvlText w:val="*"/>
      <w:lvlJc w:val="left"/>
    </w:lvl>
  </w:abstractNum>
  <w:abstractNum w:abstractNumId="2" w15:restartNumberingAfterBreak="0">
    <w:nsid w:val="B7D829D7"/>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D1B6DBB"/>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223A8D"/>
    <w:multiLevelType w:val="hybridMultilevel"/>
    <w:tmpl w:val="E27E85B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09E6275"/>
    <w:multiLevelType w:val="multilevel"/>
    <w:tmpl w:val="FA7642A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2797FA5"/>
    <w:multiLevelType w:val="hybridMultilevel"/>
    <w:tmpl w:val="39586B2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38A05CA"/>
    <w:multiLevelType w:val="hybridMultilevel"/>
    <w:tmpl w:val="7AD6D1B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03DD590E"/>
    <w:multiLevelType w:val="hybridMultilevel"/>
    <w:tmpl w:val="C272306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6A8276E"/>
    <w:multiLevelType w:val="hybridMultilevel"/>
    <w:tmpl w:val="6CFED1E6"/>
    <w:lvl w:ilvl="0" w:tplc="E15C088C">
      <w:start w:val="1"/>
      <w:numFmt w:val="bullet"/>
      <w:lvlText w:val="Ø"/>
      <w:lvlJc w:val="left"/>
      <w:pPr>
        <w:ind w:left="720" w:hanging="360"/>
      </w:pPr>
      <w:rPr>
        <w:rFonts w:ascii="Wingdings" w:hAnsi="Wingdings" w:hint="default"/>
      </w:rPr>
    </w:lvl>
    <w:lvl w:ilvl="1" w:tplc="4A72512C">
      <w:start w:val="1"/>
      <w:numFmt w:val="bullet"/>
      <w:lvlText w:val="o"/>
      <w:lvlJc w:val="left"/>
      <w:pPr>
        <w:ind w:left="1440" w:hanging="360"/>
      </w:pPr>
      <w:rPr>
        <w:rFonts w:ascii="Courier New" w:hAnsi="Courier New" w:hint="default"/>
      </w:rPr>
    </w:lvl>
    <w:lvl w:ilvl="2" w:tplc="7CC87976">
      <w:start w:val="1"/>
      <w:numFmt w:val="bullet"/>
      <w:lvlText w:val=""/>
      <w:lvlJc w:val="left"/>
      <w:pPr>
        <w:ind w:left="2160" w:hanging="360"/>
      </w:pPr>
      <w:rPr>
        <w:rFonts w:ascii="Wingdings" w:hAnsi="Wingdings" w:hint="default"/>
      </w:rPr>
    </w:lvl>
    <w:lvl w:ilvl="3" w:tplc="04C0A48E">
      <w:start w:val="1"/>
      <w:numFmt w:val="bullet"/>
      <w:lvlText w:val=""/>
      <w:lvlJc w:val="left"/>
      <w:pPr>
        <w:ind w:left="2880" w:hanging="360"/>
      </w:pPr>
      <w:rPr>
        <w:rFonts w:ascii="Symbol" w:hAnsi="Symbol" w:hint="default"/>
      </w:rPr>
    </w:lvl>
    <w:lvl w:ilvl="4" w:tplc="54F4A3BE">
      <w:start w:val="1"/>
      <w:numFmt w:val="bullet"/>
      <w:lvlText w:val="o"/>
      <w:lvlJc w:val="left"/>
      <w:pPr>
        <w:ind w:left="3600" w:hanging="360"/>
      </w:pPr>
      <w:rPr>
        <w:rFonts w:ascii="Courier New" w:hAnsi="Courier New" w:hint="default"/>
      </w:rPr>
    </w:lvl>
    <w:lvl w:ilvl="5" w:tplc="633C8B8A">
      <w:start w:val="1"/>
      <w:numFmt w:val="bullet"/>
      <w:lvlText w:val=""/>
      <w:lvlJc w:val="left"/>
      <w:pPr>
        <w:ind w:left="4320" w:hanging="360"/>
      </w:pPr>
      <w:rPr>
        <w:rFonts w:ascii="Wingdings" w:hAnsi="Wingdings" w:hint="default"/>
      </w:rPr>
    </w:lvl>
    <w:lvl w:ilvl="6" w:tplc="AE045B5C">
      <w:start w:val="1"/>
      <w:numFmt w:val="bullet"/>
      <w:lvlText w:val=""/>
      <w:lvlJc w:val="left"/>
      <w:pPr>
        <w:ind w:left="5040" w:hanging="360"/>
      </w:pPr>
      <w:rPr>
        <w:rFonts w:ascii="Symbol" w:hAnsi="Symbol" w:hint="default"/>
      </w:rPr>
    </w:lvl>
    <w:lvl w:ilvl="7" w:tplc="4E3A8F80">
      <w:start w:val="1"/>
      <w:numFmt w:val="bullet"/>
      <w:lvlText w:val="o"/>
      <w:lvlJc w:val="left"/>
      <w:pPr>
        <w:ind w:left="5760" w:hanging="360"/>
      </w:pPr>
      <w:rPr>
        <w:rFonts w:ascii="Courier New" w:hAnsi="Courier New" w:hint="default"/>
      </w:rPr>
    </w:lvl>
    <w:lvl w:ilvl="8" w:tplc="AD8441CE">
      <w:start w:val="1"/>
      <w:numFmt w:val="bullet"/>
      <w:lvlText w:val=""/>
      <w:lvlJc w:val="left"/>
      <w:pPr>
        <w:ind w:left="6480" w:hanging="360"/>
      </w:pPr>
      <w:rPr>
        <w:rFonts w:ascii="Wingdings" w:hAnsi="Wingdings" w:hint="default"/>
      </w:rPr>
    </w:lvl>
  </w:abstractNum>
  <w:abstractNum w:abstractNumId="10" w15:restartNumberingAfterBreak="0">
    <w:nsid w:val="06ED1B68"/>
    <w:multiLevelType w:val="hybridMultilevel"/>
    <w:tmpl w:val="AC06D65E"/>
    <w:lvl w:ilvl="0" w:tplc="725E0F4E">
      <w:start w:val="1"/>
      <w:numFmt w:val="bullet"/>
      <w:lvlText w:val="·"/>
      <w:lvlJc w:val="left"/>
      <w:pPr>
        <w:ind w:left="720" w:hanging="360"/>
      </w:pPr>
      <w:rPr>
        <w:rFonts w:ascii="Symbol" w:hAnsi="Symbol" w:hint="default"/>
      </w:rPr>
    </w:lvl>
    <w:lvl w:ilvl="1" w:tplc="948641A6">
      <w:start w:val="1"/>
      <w:numFmt w:val="bullet"/>
      <w:lvlText w:val="o"/>
      <w:lvlJc w:val="left"/>
      <w:pPr>
        <w:ind w:left="1440" w:hanging="360"/>
      </w:pPr>
      <w:rPr>
        <w:rFonts w:ascii="Courier New" w:hAnsi="Courier New" w:hint="default"/>
      </w:rPr>
    </w:lvl>
    <w:lvl w:ilvl="2" w:tplc="D164A45A">
      <w:start w:val="1"/>
      <w:numFmt w:val="bullet"/>
      <w:lvlText w:val=""/>
      <w:lvlJc w:val="left"/>
      <w:pPr>
        <w:ind w:left="2160" w:hanging="360"/>
      </w:pPr>
      <w:rPr>
        <w:rFonts w:ascii="Wingdings" w:hAnsi="Wingdings" w:hint="default"/>
      </w:rPr>
    </w:lvl>
    <w:lvl w:ilvl="3" w:tplc="C3A897B4">
      <w:start w:val="1"/>
      <w:numFmt w:val="bullet"/>
      <w:lvlText w:val=""/>
      <w:lvlJc w:val="left"/>
      <w:pPr>
        <w:ind w:left="2880" w:hanging="360"/>
      </w:pPr>
      <w:rPr>
        <w:rFonts w:ascii="Symbol" w:hAnsi="Symbol" w:hint="default"/>
      </w:rPr>
    </w:lvl>
    <w:lvl w:ilvl="4" w:tplc="4602062A">
      <w:start w:val="1"/>
      <w:numFmt w:val="bullet"/>
      <w:lvlText w:val="o"/>
      <w:lvlJc w:val="left"/>
      <w:pPr>
        <w:ind w:left="3600" w:hanging="360"/>
      </w:pPr>
      <w:rPr>
        <w:rFonts w:ascii="Courier New" w:hAnsi="Courier New" w:hint="default"/>
      </w:rPr>
    </w:lvl>
    <w:lvl w:ilvl="5" w:tplc="CC2AFEE8">
      <w:start w:val="1"/>
      <w:numFmt w:val="bullet"/>
      <w:lvlText w:val=""/>
      <w:lvlJc w:val="left"/>
      <w:pPr>
        <w:ind w:left="4320" w:hanging="360"/>
      </w:pPr>
      <w:rPr>
        <w:rFonts w:ascii="Wingdings" w:hAnsi="Wingdings" w:hint="default"/>
      </w:rPr>
    </w:lvl>
    <w:lvl w:ilvl="6" w:tplc="A40284D6">
      <w:start w:val="1"/>
      <w:numFmt w:val="bullet"/>
      <w:lvlText w:val=""/>
      <w:lvlJc w:val="left"/>
      <w:pPr>
        <w:ind w:left="5040" w:hanging="360"/>
      </w:pPr>
      <w:rPr>
        <w:rFonts w:ascii="Symbol" w:hAnsi="Symbol" w:hint="default"/>
      </w:rPr>
    </w:lvl>
    <w:lvl w:ilvl="7" w:tplc="9B70AB8E">
      <w:start w:val="1"/>
      <w:numFmt w:val="bullet"/>
      <w:lvlText w:val="o"/>
      <w:lvlJc w:val="left"/>
      <w:pPr>
        <w:ind w:left="5760" w:hanging="360"/>
      </w:pPr>
      <w:rPr>
        <w:rFonts w:ascii="Courier New" w:hAnsi="Courier New" w:hint="default"/>
      </w:rPr>
    </w:lvl>
    <w:lvl w:ilvl="8" w:tplc="043EFF2C">
      <w:start w:val="1"/>
      <w:numFmt w:val="bullet"/>
      <w:lvlText w:val=""/>
      <w:lvlJc w:val="left"/>
      <w:pPr>
        <w:ind w:left="6480" w:hanging="360"/>
      </w:pPr>
      <w:rPr>
        <w:rFonts w:ascii="Wingdings" w:hAnsi="Wingdings" w:hint="default"/>
      </w:rPr>
    </w:lvl>
  </w:abstractNum>
  <w:abstractNum w:abstractNumId="11" w15:restartNumberingAfterBreak="0">
    <w:nsid w:val="07E62406"/>
    <w:multiLevelType w:val="hybridMultilevel"/>
    <w:tmpl w:val="4E581B9A"/>
    <w:lvl w:ilvl="0" w:tplc="539CEBD0">
      <w:start w:val="1"/>
      <w:numFmt w:val="decimal"/>
      <w:pStyle w:val="Subttulo"/>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09018E27"/>
    <w:multiLevelType w:val="hybridMultilevel"/>
    <w:tmpl w:val="66CE7806"/>
    <w:lvl w:ilvl="0" w:tplc="09DEE5EA">
      <w:start w:val="1"/>
      <w:numFmt w:val="bullet"/>
      <w:lvlText w:val="Ø"/>
      <w:lvlJc w:val="left"/>
      <w:pPr>
        <w:ind w:left="720" w:hanging="360"/>
      </w:pPr>
      <w:rPr>
        <w:rFonts w:ascii="Wingdings" w:hAnsi="Wingdings" w:hint="default"/>
      </w:rPr>
    </w:lvl>
    <w:lvl w:ilvl="1" w:tplc="D6202A08">
      <w:start w:val="1"/>
      <w:numFmt w:val="bullet"/>
      <w:lvlText w:val="o"/>
      <w:lvlJc w:val="left"/>
      <w:pPr>
        <w:ind w:left="1440" w:hanging="360"/>
      </w:pPr>
      <w:rPr>
        <w:rFonts w:ascii="Courier New" w:hAnsi="Courier New" w:hint="default"/>
      </w:rPr>
    </w:lvl>
    <w:lvl w:ilvl="2" w:tplc="FEF0C832">
      <w:start w:val="1"/>
      <w:numFmt w:val="bullet"/>
      <w:lvlText w:val=""/>
      <w:lvlJc w:val="left"/>
      <w:pPr>
        <w:ind w:left="2160" w:hanging="360"/>
      </w:pPr>
      <w:rPr>
        <w:rFonts w:ascii="Wingdings" w:hAnsi="Wingdings" w:hint="default"/>
      </w:rPr>
    </w:lvl>
    <w:lvl w:ilvl="3" w:tplc="9C54D326">
      <w:start w:val="1"/>
      <w:numFmt w:val="bullet"/>
      <w:lvlText w:val=""/>
      <w:lvlJc w:val="left"/>
      <w:pPr>
        <w:ind w:left="2880" w:hanging="360"/>
      </w:pPr>
      <w:rPr>
        <w:rFonts w:ascii="Symbol" w:hAnsi="Symbol" w:hint="default"/>
      </w:rPr>
    </w:lvl>
    <w:lvl w:ilvl="4" w:tplc="FB6C2AEC">
      <w:start w:val="1"/>
      <w:numFmt w:val="bullet"/>
      <w:lvlText w:val="o"/>
      <w:lvlJc w:val="left"/>
      <w:pPr>
        <w:ind w:left="3600" w:hanging="360"/>
      </w:pPr>
      <w:rPr>
        <w:rFonts w:ascii="Courier New" w:hAnsi="Courier New" w:hint="default"/>
      </w:rPr>
    </w:lvl>
    <w:lvl w:ilvl="5" w:tplc="1AE8AF74">
      <w:start w:val="1"/>
      <w:numFmt w:val="bullet"/>
      <w:lvlText w:val=""/>
      <w:lvlJc w:val="left"/>
      <w:pPr>
        <w:ind w:left="4320" w:hanging="360"/>
      </w:pPr>
      <w:rPr>
        <w:rFonts w:ascii="Wingdings" w:hAnsi="Wingdings" w:hint="default"/>
      </w:rPr>
    </w:lvl>
    <w:lvl w:ilvl="6" w:tplc="7E0C24EC">
      <w:start w:val="1"/>
      <w:numFmt w:val="bullet"/>
      <w:lvlText w:val=""/>
      <w:lvlJc w:val="left"/>
      <w:pPr>
        <w:ind w:left="5040" w:hanging="360"/>
      </w:pPr>
      <w:rPr>
        <w:rFonts w:ascii="Symbol" w:hAnsi="Symbol" w:hint="default"/>
      </w:rPr>
    </w:lvl>
    <w:lvl w:ilvl="7" w:tplc="F15C0D5A">
      <w:start w:val="1"/>
      <w:numFmt w:val="bullet"/>
      <w:lvlText w:val="o"/>
      <w:lvlJc w:val="left"/>
      <w:pPr>
        <w:ind w:left="5760" w:hanging="360"/>
      </w:pPr>
      <w:rPr>
        <w:rFonts w:ascii="Courier New" w:hAnsi="Courier New" w:hint="default"/>
      </w:rPr>
    </w:lvl>
    <w:lvl w:ilvl="8" w:tplc="88662EAC">
      <w:start w:val="1"/>
      <w:numFmt w:val="bullet"/>
      <w:lvlText w:val=""/>
      <w:lvlJc w:val="left"/>
      <w:pPr>
        <w:ind w:left="6480" w:hanging="360"/>
      </w:pPr>
      <w:rPr>
        <w:rFonts w:ascii="Wingdings" w:hAnsi="Wingdings" w:hint="default"/>
      </w:rPr>
    </w:lvl>
  </w:abstractNum>
  <w:abstractNum w:abstractNumId="13" w15:restartNumberingAfterBreak="0">
    <w:nsid w:val="095C3B29"/>
    <w:multiLevelType w:val="hybridMultilevel"/>
    <w:tmpl w:val="A9383808"/>
    <w:lvl w:ilvl="0" w:tplc="FFFFFFFF">
      <w:start w:val="1"/>
      <w:numFmt w:val="lowerLetter"/>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9AA7FBC"/>
    <w:multiLevelType w:val="hybridMultilevel"/>
    <w:tmpl w:val="6CBE2E8E"/>
    <w:lvl w:ilvl="0" w:tplc="240A000F">
      <w:start w:val="1"/>
      <w:numFmt w:val="decimal"/>
      <w:lvlText w:val="%1."/>
      <w:lvlJc w:val="left"/>
      <w:pPr>
        <w:ind w:left="644" w:hanging="360"/>
      </w:p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5" w15:restartNumberingAfterBreak="0">
    <w:nsid w:val="0A2D1237"/>
    <w:multiLevelType w:val="hybridMultilevel"/>
    <w:tmpl w:val="AD9CB450"/>
    <w:lvl w:ilvl="0" w:tplc="B34C1394">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0A341475"/>
    <w:multiLevelType w:val="hybridMultilevel"/>
    <w:tmpl w:val="A454BAD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0AB34079"/>
    <w:multiLevelType w:val="hybridMultilevel"/>
    <w:tmpl w:val="FFFFFFFF"/>
    <w:lvl w:ilvl="0" w:tplc="A9861F60">
      <w:start w:val="1"/>
      <w:numFmt w:val="bullet"/>
      <w:lvlText w:val="-"/>
      <w:lvlJc w:val="left"/>
      <w:pPr>
        <w:ind w:left="720" w:hanging="360"/>
      </w:pPr>
      <w:rPr>
        <w:rFonts w:ascii="Symbol" w:hAnsi="Symbol" w:hint="default"/>
      </w:rPr>
    </w:lvl>
    <w:lvl w:ilvl="1" w:tplc="2F6EEAE8">
      <w:start w:val="1"/>
      <w:numFmt w:val="bullet"/>
      <w:lvlText w:val="o"/>
      <w:lvlJc w:val="left"/>
      <w:pPr>
        <w:ind w:left="1440" w:hanging="360"/>
      </w:pPr>
      <w:rPr>
        <w:rFonts w:ascii="Courier New" w:hAnsi="Courier New" w:hint="default"/>
      </w:rPr>
    </w:lvl>
    <w:lvl w:ilvl="2" w:tplc="7D3A7F96">
      <w:start w:val="1"/>
      <w:numFmt w:val="bullet"/>
      <w:lvlText w:val=""/>
      <w:lvlJc w:val="left"/>
      <w:pPr>
        <w:ind w:left="2160" w:hanging="360"/>
      </w:pPr>
      <w:rPr>
        <w:rFonts w:ascii="Wingdings" w:hAnsi="Wingdings" w:hint="default"/>
      </w:rPr>
    </w:lvl>
    <w:lvl w:ilvl="3" w:tplc="2E40BD7C">
      <w:start w:val="1"/>
      <w:numFmt w:val="bullet"/>
      <w:lvlText w:val=""/>
      <w:lvlJc w:val="left"/>
      <w:pPr>
        <w:ind w:left="2880" w:hanging="360"/>
      </w:pPr>
      <w:rPr>
        <w:rFonts w:ascii="Symbol" w:hAnsi="Symbol" w:hint="default"/>
      </w:rPr>
    </w:lvl>
    <w:lvl w:ilvl="4" w:tplc="F8E4EBA8">
      <w:start w:val="1"/>
      <w:numFmt w:val="bullet"/>
      <w:lvlText w:val="o"/>
      <w:lvlJc w:val="left"/>
      <w:pPr>
        <w:ind w:left="3600" w:hanging="360"/>
      </w:pPr>
      <w:rPr>
        <w:rFonts w:ascii="Courier New" w:hAnsi="Courier New" w:hint="default"/>
      </w:rPr>
    </w:lvl>
    <w:lvl w:ilvl="5" w:tplc="239A4856">
      <w:start w:val="1"/>
      <w:numFmt w:val="bullet"/>
      <w:lvlText w:val=""/>
      <w:lvlJc w:val="left"/>
      <w:pPr>
        <w:ind w:left="4320" w:hanging="360"/>
      </w:pPr>
      <w:rPr>
        <w:rFonts w:ascii="Wingdings" w:hAnsi="Wingdings" w:hint="default"/>
      </w:rPr>
    </w:lvl>
    <w:lvl w:ilvl="6" w:tplc="7A4088DC">
      <w:start w:val="1"/>
      <w:numFmt w:val="bullet"/>
      <w:lvlText w:val=""/>
      <w:lvlJc w:val="left"/>
      <w:pPr>
        <w:ind w:left="5040" w:hanging="360"/>
      </w:pPr>
      <w:rPr>
        <w:rFonts w:ascii="Symbol" w:hAnsi="Symbol" w:hint="default"/>
      </w:rPr>
    </w:lvl>
    <w:lvl w:ilvl="7" w:tplc="065EC868">
      <w:start w:val="1"/>
      <w:numFmt w:val="bullet"/>
      <w:lvlText w:val="o"/>
      <w:lvlJc w:val="left"/>
      <w:pPr>
        <w:ind w:left="5760" w:hanging="360"/>
      </w:pPr>
      <w:rPr>
        <w:rFonts w:ascii="Courier New" w:hAnsi="Courier New" w:hint="default"/>
      </w:rPr>
    </w:lvl>
    <w:lvl w:ilvl="8" w:tplc="CD6890F8">
      <w:start w:val="1"/>
      <w:numFmt w:val="bullet"/>
      <w:lvlText w:val=""/>
      <w:lvlJc w:val="left"/>
      <w:pPr>
        <w:ind w:left="6480" w:hanging="360"/>
      </w:pPr>
      <w:rPr>
        <w:rFonts w:ascii="Wingdings" w:hAnsi="Wingdings" w:hint="default"/>
      </w:rPr>
    </w:lvl>
  </w:abstractNum>
  <w:abstractNum w:abstractNumId="18" w15:restartNumberingAfterBreak="0">
    <w:nsid w:val="0B07FCC8"/>
    <w:multiLevelType w:val="hybridMultilevel"/>
    <w:tmpl w:val="FFFFFFFF"/>
    <w:lvl w:ilvl="0" w:tplc="CFB4B790">
      <w:start w:val="1"/>
      <w:numFmt w:val="lowerLetter"/>
      <w:lvlText w:val="%1."/>
      <w:lvlJc w:val="left"/>
      <w:pPr>
        <w:ind w:left="720" w:hanging="360"/>
      </w:pPr>
    </w:lvl>
    <w:lvl w:ilvl="1" w:tplc="A8847AB2">
      <w:start w:val="1"/>
      <w:numFmt w:val="lowerLetter"/>
      <w:lvlText w:val="%2."/>
      <w:lvlJc w:val="left"/>
      <w:pPr>
        <w:ind w:left="1440" w:hanging="360"/>
      </w:pPr>
    </w:lvl>
    <w:lvl w:ilvl="2" w:tplc="76FE8542">
      <w:start w:val="1"/>
      <w:numFmt w:val="lowerRoman"/>
      <w:lvlText w:val="%3."/>
      <w:lvlJc w:val="right"/>
      <w:pPr>
        <w:ind w:left="2160" w:hanging="180"/>
      </w:pPr>
    </w:lvl>
    <w:lvl w:ilvl="3" w:tplc="BB54F45A">
      <w:start w:val="1"/>
      <w:numFmt w:val="decimal"/>
      <w:lvlText w:val="%4."/>
      <w:lvlJc w:val="left"/>
      <w:pPr>
        <w:ind w:left="2880" w:hanging="360"/>
      </w:pPr>
    </w:lvl>
    <w:lvl w:ilvl="4" w:tplc="CCC08D54">
      <w:start w:val="1"/>
      <w:numFmt w:val="lowerLetter"/>
      <w:lvlText w:val="%5."/>
      <w:lvlJc w:val="left"/>
      <w:pPr>
        <w:ind w:left="3600" w:hanging="360"/>
      </w:pPr>
    </w:lvl>
    <w:lvl w:ilvl="5" w:tplc="66E02C6C">
      <w:start w:val="1"/>
      <w:numFmt w:val="lowerRoman"/>
      <w:lvlText w:val="%6."/>
      <w:lvlJc w:val="right"/>
      <w:pPr>
        <w:ind w:left="4320" w:hanging="180"/>
      </w:pPr>
    </w:lvl>
    <w:lvl w:ilvl="6" w:tplc="A3CAED3E">
      <w:start w:val="1"/>
      <w:numFmt w:val="decimal"/>
      <w:lvlText w:val="%7."/>
      <w:lvlJc w:val="left"/>
      <w:pPr>
        <w:ind w:left="5040" w:hanging="360"/>
      </w:pPr>
    </w:lvl>
    <w:lvl w:ilvl="7" w:tplc="278A1F52">
      <w:start w:val="1"/>
      <w:numFmt w:val="lowerLetter"/>
      <w:lvlText w:val="%8."/>
      <w:lvlJc w:val="left"/>
      <w:pPr>
        <w:ind w:left="5760" w:hanging="360"/>
      </w:pPr>
    </w:lvl>
    <w:lvl w:ilvl="8" w:tplc="D00E2B50">
      <w:start w:val="1"/>
      <w:numFmt w:val="lowerRoman"/>
      <w:lvlText w:val="%9."/>
      <w:lvlJc w:val="right"/>
      <w:pPr>
        <w:ind w:left="6480" w:hanging="180"/>
      </w:pPr>
    </w:lvl>
  </w:abstractNum>
  <w:abstractNum w:abstractNumId="19" w15:restartNumberingAfterBreak="0">
    <w:nsid w:val="0BCA6640"/>
    <w:multiLevelType w:val="hybridMultilevel"/>
    <w:tmpl w:val="730C2968"/>
    <w:lvl w:ilvl="0" w:tplc="77D48FE2">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0CA53B15"/>
    <w:multiLevelType w:val="hybridMultilevel"/>
    <w:tmpl w:val="E816367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0CA9DDE2"/>
    <w:multiLevelType w:val="hybridMultilevel"/>
    <w:tmpl w:val="FFFFFFFF"/>
    <w:lvl w:ilvl="0" w:tplc="6382EBC2">
      <w:start w:val="1"/>
      <w:numFmt w:val="lowerLetter"/>
      <w:lvlText w:val="%1."/>
      <w:lvlJc w:val="left"/>
      <w:pPr>
        <w:ind w:left="720" w:hanging="360"/>
      </w:pPr>
    </w:lvl>
    <w:lvl w:ilvl="1" w:tplc="14F0BF68">
      <w:start w:val="1"/>
      <w:numFmt w:val="lowerLetter"/>
      <w:lvlText w:val="%2."/>
      <w:lvlJc w:val="left"/>
      <w:pPr>
        <w:ind w:left="1440" w:hanging="360"/>
      </w:pPr>
    </w:lvl>
    <w:lvl w:ilvl="2" w:tplc="983CE02C">
      <w:start w:val="1"/>
      <w:numFmt w:val="lowerRoman"/>
      <w:lvlText w:val="%3."/>
      <w:lvlJc w:val="right"/>
      <w:pPr>
        <w:ind w:left="2160" w:hanging="180"/>
      </w:pPr>
    </w:lvl>
    <w:lvl w:ilvl="3" w:tplc="80943206">
      <w:start w:val="1"/>
      <w:numFmt w:val="decimal"/>
      <w:lvlText w:val="%4."/>
      <w:lvlJc w:val="left"/>
      <w:pPr>
        <w:ind w:left="2880" w:hanging="360"/>
      </w:pPr>
    </w:lvl>
    <w:lvl w:ilvl="4" w:tplc="8EC81B0A">
      <w:start w:val="1"/>
      <w:numFmt w:val="lowerLetter"/>
      <w:lvlText w:val="%5."/>
      <w:lvlJc w:val="left"/>
      <w:pPr>
        <w:ind w:left="3600" w:hanging="360"/>
      </w:pPr>
    </w:lvl>
    <w:lvl w:ilvl="5" w:tplc="D6122484">
      <w:start w:val="1"/>
      <w:numFmt w:val="lowerRoman"/>
      <w:lvlText w:val="%6."/>
      <w:lvlJc w:val="right"/>
      <w:pPr>
        <w:ind w:left="4320" w:hanging="180"/>
      </w:pPr>
    </w:lvl>
    <w:lvl w:ilvl="6" w:tplc="50E247BE">
      <w:start w:val="1"/>
      <w:numFmt w:val="decimal"/>
      <w:lvlText w:val="%7."/>
      <w:lvlJc w:val="left"/>
      <w:pPr>
        <w:ind w:left="5040" w:hanging="360"/>
      </w:pPr>
    </w:lvl>
    <w:lvl w:ilvl="7" w:tplc="95AA229C">
      <w:start w:val="1"/>
      <w:numFmt w:val="lowerLetter"/>
      <w:lvlText w:val="%8."/>
      <w:lvlJc w:val="left"/>
      <w:pPr>
        <w:ind w:left="5760" w:hanging="360"/>
      </w:pPr>
    </w:lvl>
    <w:lvl w:ilvl="8" w:tplc="0EB8053E">
      <w:start w:val="1"/>
      <w:numFmt w:val="lowerRoman"/>
      <w:lvlText w:val="%9."/>
      <w:lvlJc w:val="right"/>
      <w:pPr>
        <w:ind w:left="6480" w:hanging="180"/>
      </w:pPr>
    </w:lvl>
  </w:abstractNum>
  <w:abstractNum w:abstractNumId="22" w15:restartNumberingAfterBreak="0">
    <w:nsid w:val="0CC287FE"/>
    <w:multiLevelType w:val="hybridMultilevel"/>
    <w:tmpl w:val="E062C1A6"/>
    <w:lvl w:ilvl="0" w:tplc="85023C4C">
      <w:start w:val="1"/>
      <w:numFmt w:val="lowerLetter"/>
      <w:lvlText w:val="%1."/>
      <w:lvlJc w:val="left"/>
      <w:pPr>
        <w:ind w:left="360" w:hanging="360"/>
      </w:pPr>
      <w:rPr>
        <w:b/>
        <w:bCs/>
      </w:rPr>
    </w:lvl>
    <w:lvl w:ilvl="1" w:tplc="DAE870A4">
      <w:start w:val="1"/>
      <w:numFmt w:val="lowerLetter"/>
      <w:lvlText w:val="%2."/>
      <w:lvlJc w:val="left"/>
      <w:pPr>
        <w:ind w:left="1080" w:hanging="360"/>
      </w:pPr>
    </w:lvl>
    <w:lvl w:ilvl="2" w:tplc="B1D8477E">
      <w:start w:val="1"/>
      <w:numFmt w:val="lowerRoman"/>
      <w:lvlText w:val="%3."/>
      <w:lvlJc w:val="right"/>
      <w:pPr>
        <w:ind w:left="1800" w:hanging="180"/>
      </w:pPr>
    </w:lvl>
    <w:lvl w:ilvl="3" w:tplc="13F4C4AA">
      <w:start w:val="1"/>
      <w:numFmt w:val="decimal"/>
      <w:lvlText w:val="%4."/>
      <w:lvlJc w:val="left"/>
      <w:pPr>
        <w:ind w:left="2520" w:hanging="360"/>
      </w:pPr>
    </w:lvl>
    <w:lvl w:ilvl="4" w:tplc="6206E2BA">
      <w:start w:val="1"/>
      <w:numFmt w:val="lowerLetter"/>
      <w:lvlText w:val="%5."/>
      <w:lvlJc w:val="left"/>
      <w:pPr>
        <w:ind w:left="3240" w:hanging="360"/>
      </w:pPr>
    </w:lvl>
    <w:lvl w:ilvl="5" w:tplc="A3DCD33E">
      <w:start w:val="1"/>
      <w:numFmt w:val="lowerRoman"/>
      <w:lvlText w:val="%6."/>
      <w:lvlJc w:val="right"/>
      <w:pPr>
        <w:ind w:left="3960" w:hanging="180"/>
      </w:pPr>
    </w:lvl>
    <w:lvl w:ilvl="6" w:tplc="6B3C5F9C">
      <w:start w:val="1"/>
      <w:numFmt w:val="decimal"/>
      <w:lvlText w:val="%7."/>
      <w:lvlJc w:val="left"/>
      <w:pPr>
        <w:ind w:left="4680" w:hanging="360"/>
      </w:pPr>
    </w:lvl>
    <w:lvl w:ilvl="7" w:tplc="66625A9C">
      <w:start w:val="1"/>
      <w:numFmt w:val="lowerLetter"/>
      <w:lvlText w:val="%8."/>
      <w:lvlJc w:val="left"/>
      <w:pPr>
        <w:ind w:left="5400" w:hanging="360"/>
      </w:pPr>
    </w:lvl>
    <w:lvl w:ilvl="8" w:tplc="872064F0">
      <w:start w:val="1"/>
      <w:numFmt w:val="lowerRoman"/>
      <w:lvlText w:val="%9."/>
      <w:lvlJc w:val="right"/>
      <w:pPr>
        <w:ind w:left="6120" w:hanging="180"/>
      </w:pPr>
    </w:lvl>
  </w:abstractNum>
  <w:abstractNum w:abstractNumId="23" w15:restartNumberingAfterBreak="0">
    <w:nsid w:val="0E05107D"/>
    <w:multiLevelType w:val="hybridMultilevel"/>
    <w:tmpl w:val="FFFFFFFF"/>
    <w:lvl w:ilvl="0" w:tplc="804E925A">
      <w:start w:val="1"/>
      <w:numFmt w:val="lowerLetter"/>
      <w:lvlText w:val="%1)"/>
      <w:lvlJc w:val="left"/>
      <w:pPr>
        <w:ind w:left="720" w:hanging="360"/>
      </w:pPr>
    </w:lvl>
    <w:lvl w:ilvl="1" w:tplc="ED12716E">
      <w:start w:val="1"/>
      <w:numFmt w:val="lowerLetter"/>
      <w:lvlText w:val="%2."/>
      <w:lvlJc w:val="left"/>
      <w:pPr>
        <w:ind w:left="786" w:hanging="360"/>
      </w:pPr>
    </w:lvl>
    <w:lvl w:ilvl="2" w:tplc="E91805A0">
      <w:start w:val="1"/>
      <w:numFmt w:val="lowerRoman"/>
      <w:lvlText w:val="%3."/>
      <w:lvlJc w:val="right"/>
      <w:pPr>
        <w:ind w:left="2160" w:hanging="180"/>
      </w:pPr>
    </w:lvl>
    <w:lvl w:ilvl="3" w:tplc="25E877DC">
      <w:start w:val="1"/>
      <w:numFmt w:val="decimal"/>
      <w:lvlText w:val="%4."/>
      <w:lvlJc w:val="left"/>
      <w:pPr>
        <w:ind w:left="2880" w:hanging="360"/>
      </w:pPr>
    </w:lvl>
    <w:lvl w:ilvl="4" w:tplc="CB88B258">
      <w:start w:val="1"/>
      <w:numFmt w:val="lowerLetter"/>
      <w:lvlText w:val="%5."/>
      <w:lvlJc w:val="left"/>
      <w:pPr>
        <w:ind w:left="3600" w:hanging="360"/>
      </w:pPr>
    </w:lvl>
    <w:lvl w:ilvl="5" w:tplc="77661740">
      <w:start w:val="1"/>
      <w:numFmt w:val="lowerRoman"/>
      <w:lvlText w:val="%6."/>
      <w:lvlJc w:val="right"/>
      <w:pPr>
        <w:ind w:left="4320" w:hanging="180"/>
      </w:pPr>
    </w:lvl>
    <w:lvl w:ilvl="6" w:tplc="324AD16E">
      <w:start w:val="1"/>
      <w:numFmt w:val="decimal"/>
      <w:lvlText w:val="%7."/>
      <w:lvlJc w:val="left"/>
      <w:pPr>
        <w:ind w:left="5040" w:hanging="360"/>
      </w:pPr>
    </w:lvl>
    <w:lvl w:ilvl="7" w:tplc="11264A80">
      <w:start w:val="1"/>
      <w:numFmt w:val="lowerLetter"/>
      <w:lvlText w:val="%8."/>
      <w:lvlJc w:val="left"/>
      <w:pPr>
        <w:ind w:left="5760" w:hanging="360"/>
      </w:pPr>
    </w:lvl>
    <w:lvl w:ilvl="8" w:tplc="85B4D60E">
      <w:start w:val="1"/>
      <w:numFmt w:val="lowerRoman"/>
      <w:lvlText w:val="%9."/>
      <w:lvlJc w:val="right"/>
      <w:pPr>
        <w:ind w:left="6480" w:hanging="180"/>
      </w:pPr>
    </w:lvl>
  </w:abstractNum>
  <w:abstractNum w:abstractNumId="24" w15:restartNumberingAfterBreak="0">
    <w:nsid w:val="0F3A44E6"/>
    <w:multiLevelType w:val="hybridMultilevel"/>
    <w:tmpl w:val="A938380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F542BFF"/>
    <w:multiLevelType w:val="hybridMultilevel"/>
    <w:tmpl w:val="E816367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0F9F1913"/>
    <w:multiLevelType w:val="hybridMultilevel"/>
    <w:tmpl w:val="FFFFFFFF"/>
    <w:lvl w:ilvl="0" w:tplc="95F699E8">
      <w:start w:val="1"/>
      <w:numFmt w:val="lowerLetter"/>
      <w:lvlText w:val="%1."/>
      <w:lvlJc w:val="left"/>
      <w:pPr>
        <w:ind w:left="720" w:hanging="360"/>
      </w:pPr>
    </w:lvl>
    <w:lvl w:ilvl="1" w:tplc="FE98C2E2">
      <w:start w:val="1"/>
      <w:numFmt w:val="lowerLetter"/>
      <w:lvlText w:val="%2."/>
      <w:lvlJc w:val="left"/>
      <w:pPr>
        <w:ind w:left="1440" w:hanging="360"/>
      </w:pPr>
    </w:lvl>
    <w:lvl w:ilvl="2" w:tplc="EA4024FC">
      <w:start w:val="1"/>
      <w:numFmt w:val="lowerRoman"/>
      <w:lvlText w:val="%3."/>
      <w:lvlJc w:val="right"/>
      <w:pPr>
        <w:ind w:left="2160" w:hanging="180"/>
      </w:pPr>
    </w:lvl>
    <w:lvl w:ilvl="3" w:tplc="34C0F10A">
      <w:start w:val="1"/>
      <w:numFmt w:val="decimal"/>
      <w:lvlText w:val="%4."/>
      <w:lvlJc w:val="left"/>
      <w:pPr>
        <w:ind w:left="2880" w:hanging="360"/>
      </w:pPr>
    </w:lvl>
    <w:lvl w:ilvl="4" w:tplc="BEFA1310">
      <w:start w:val="1"/>
      <w:numFmt w:val="lowerLetter"/>
      <w:lvlText w:val="%5."/>
      <w:lvlJc w:val="left"/>
      <w:pPr>
        <w:ind w:left="3600" w:hanging="360"/>
      </w:pPr>
    </w:lvl>
    <w:lvl w:ilvl="5" w:tplc="B85E9C12">
      <w:start w:val="1"/>
      <w:numFmt w:val="lowerRoman"/>
      <w:lvlText w:val="%6."/>
      <w:lvlJc w:val="right"/>
      <w:pPr>
        <w:ind w:left="4320" w:hanging="180"/>
      </w:pPr>
    </w:lvl>
    <w:lvl w:ilvl="6" w:tplc="0A34BFFE">
      <w:start w:val="1"/>
      <w:numFmt w:val="decimal"/>
      <w:lvlText w:val="%7."/>
      <w:lvlJc w:val="left"/>
      <w:pPr>
        <w:ind w:left="5040" w:hanging="360"/>
      </w:pPr>
    </w:lvl>
    <w:lvl w:ilvl="7" w:tplc="E75AF02E">
      <w:start w:val="1"/>
      <w:numFmt w:val="lowerLetter"/>
      <w:lvlText w:val="%8."/>
      <w:lvlJc w:val="left"/>
      <w:pPr>
        <w:ind w:left="5760" w:hanging="360"/>
      </w:pPr>
    </w:lvl>
    <w:lvl w:ilvl="8" w:tplc="D5F2438C">
      <w:start w:val="1"/>
      <w:numFmt w:val="lowerRoman"/>
      <w:lvlText w:val="%9."/>
      <w:lvlJc w:val="right"/>
      <w:pPr>
        <w:ind w:left="6480" w:hanging="180"/>
      </w:pPr>
    </w:lvl>
  </w:abstractNum>
  <w:abstractNum w:abstractNumId="27" w15:restartNumberingAfterBreak="0">
    <w:nsid w:val="0FEC848A"/>
    <w:multiLevelType w:val="hybridMultilevel"/>
    <w:tmpl w:val="FFFFFFFF"/>
    <w:lvl w:ilvl="0" w:tplc="FAE6E734">
      <w:start w:val="1"/>
      <w:numFmt w:val="lowerRoman"/>
      <w:lvlText w:val="%1."/>
      <w:lvlJc w:val="right"/>
      <w:pPr>
        <w:ind w:left="720" w:hanging="360"/>
      </w:pPr>
    </w:lvl>
    <w:lvl w:ilvl="1" w:tplc="60AAD4A2">
      <w:start w:val="1"/>
      <w:numFmt w:val="lowerLetter"/>
      <w:lvlText w:val="%2."/>
      <w:lvlJc w:val="left"/>
      <w:pPr>
        <w:ind w:left="1440" w:hanging="360"/>
      </w:pPr>
    </w:lvl>
    <w:lvl w:ilvl="2" w:tplc="0B30A52A">
      <w:start w:val="1"/>
      <w:numFmt w:val="lowerRoman"/>
      <w:lvlText w:val="%3."/>
      <w:lvlJc w:val="right"/>
      <w:pPr>
        <w:ind w:left="2160" w:hanging="180"/>
      </w:pPr>
    </w:lvl>
    <w:lvl w:ilvl="3" w:tplc="D7743A46">
      <w:start w:val="1"/>
      <w:numFmt w:val="decimal"/>
      <w:lvlText w:val="%4."/>
      <w:lvlJc w:val="left"/>
      <w:pPr>
        <w:ind w:left="2880" w:hanging="360"/>
      </w:pPr>
    </w:lvl>
    <w:lvl w:ilvl="4" w:tplc="04801950">
      <w:start w:val="1"/>
      <w:numFmt w:val="lowerLetter"/>
      <w:lvlText w:val="%5."/>
      <w:lvlJc w:val="left"/>
      <w:pPr>
        <w:ind w:left="3600" w:hanging="360"/>
      </w:pPr>
    </w:lvl>
    <w:lvl w:ilvl="5" w:tplc="8C0A0802">
      <w:start w:val="1"/>
      <w:numFmt w:val="lowerRoman"/>
      <w:lvlText w:val="%6."/>
      <w:lvlJc w:val="right"/>
      <w:pPr>
        <w:ind w:left="4320" w:hanging="180"/>
      </w:pPr>
    </w:lvl>
    <w:lvl w:ilvl="6" w:tplc="987400E0">
      <w:start w:val="1"/>
      <w:numFmt w:val="decimal"/>
      <w:lvlText w:val="%7."/>
      <w:lvlJc w:val="left"/>
      <w:pPr>
        <w:ind w:left="5040" w:hanging="360"/>
      </w:pPr>
    </w:lvl>
    <w:lvl w:ilvl="7" w:tplc="CDB2DA80">
      <w:start w:val="1"/>
      <w:numFmt w:val="lowerLetter"/>
      <w:lvlText w:val="%8."/>
      <w:lvlJc w:val="left"/>
      <w:pPr>
        <w:ind w:left="5760" w:hanging="360"/>
      </w:pPr>
    </w:lvl>
    <w:lvl w:ilvl="8" w:tplc="E2E61BAE">
      <w:start w:val="1"/>
      <w:numFmt w:val="lowerRoman"/>
      <w:lvlText w:val="%9."/>
      <w:lvlJc w:val="right"/>
      <w:pPr>
        <w:ind w:left="6480" w:hanging="180"/>
      </w:pPr>
    </w:lvl>
  </w:abstractNum>
  <w:abstractNum w:abstractNumId="28" w15:restartNumberingAfterBreak="0">
    <w:nsid w:val="10A1242C"/>
    <w:multiLevelType w:val="hybridMultilevel"/>
    <w:tmpl w:val="C2723062"/>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13543418"/>
    <w:multiLevelType w:val="hybridMultilevel"/>
    <w:tmpl w:val="FFFFFFFF"/>
    <w:lvl w:ilvl="0" w:tplc="55C61696">
      <w:start w:val="1"/>
      <w:numFmt w:val="bullet"/>
      <w:lvlText w:val=""/>
      <w:lvlJc w:val="left"/>
      <w:pPr>
        <w:ind w:left="720" w:hanging="360"/>
      </w:pPr>
      <w:rPr>
        <w:rFonts w:ascii="Symbol" w:hAnsi="Symbol" w:hint="default"/>
      </w:rPr>
    </w:lvl>
    <w:lvl w:ilvl="1" w:tplc="EC5C349C">
      <w:start w:val="1"/>
      <w:numFmt w:val="bullet"/>
      <w:lvlText w:val="o"/>
      <w:lvlJc w:val="left"/>
      <w:pPr>
        <w:ind w:left="1440" w:hanging="360"/>
      </w:pPr>
      <w:rPr>
        <w:rFonts w:ascii="Courier New" w:hAnsi="Courier New" w:hint="default"/>
      </w:rPr>
    </w:lvl>
    <w:lvl w:ilvl="2" w:tplc="D4869CE0">
      <w:start w:val="1"/>
      <w:numFmt w:val="bullet"/>
      <w:lvlText w:val=""/>
      <w:lvlJc w:val="left"/>
      <w:pPr>
        <w:ind w:left="2160" w:hanging="360"/>
      </w:pPr>
      <w:rPr>
        <w:rFonts w:ascii="Wingdings" w:hAnsi="Wingdings" w:hint="default"/>
      </w:rPr>
    </w:lvl>
    <w:lvl w:ilvl="3" w:tplc="C98822F8">
      <w:start w:val="1"/>
      <w:numFmt w:val="bullet"/>
      <w:lvlText w:val=""/>
      <w:lvlJc w:val="left"/>
      <w:pPr>
        <w:ind w:left="2880" w:hanging="360"/>
      </w:pPr>
      <w:rPr>
        <w:rFonts w:ascii="Symbol" w:hAnsi="Symbol" w:hint="default"/>
      </w:rPr>
    </w:lvl>
    <w:lvl w:ilvl="4" w:tplc="06E274A0">
      <w:start w:val="1"/>
      <w:numFmt w:val="bullet"/>
      <w:lvlText w:val="o"/>
      <w:lvlJc w:val="left"/>
      <w:pPr>
        <w:ind w:left="3600" w:hanging="360"/>
      </w:pPr>
      <w:rPr>
        <w:rFonts w:ascii="Courier New" w:hAnsi="Courier New" w:hint="default"/>
      </w:rPr>
    </w:lvl>
    <w:lvl w:ilvl="5" w:tplc="A944056C">
      <w:start w:val="1"/>
      <w:numFmt w:val="bullet"/>
      <w:lvlText w:val=""/>
      <w:lvlJc w:val="left"/>
      <w:pPr>
        <w:ind w:left="4320" w:hanging="360"/>
      </w:pPr>
      <w:rPr>
        <w:rFonts w:ascii="Wingdings" w:hAnsi="Wingdings" w:hint="default"/>
      </w:rPr>
    </w:lvl>
    <w:lvl w:ilvl="6" w:tplc="64F45242">
      <w:start w:val="1"/>
      <w:numFmt w:val="bullet"/>
      <w:lvlText w:val=""/>
      <w:lvlJc w:val="left"/>
      <w:pPr>
        <w:ind w:left="5040" w:hanging="360"/>
      </w:pPr>
      <w:rPr>
        <w:rFonts w:ascii="Symbol" w:hAnsi="Symbol" w:hint="default"/>
      </w:rPr>
    </w:lvl>
    <w:lvl w:ilvl="7" w:tplc="254892E0">
      <w:start w:val="1"/>
      <w:numFmt w:val="bullet"/>
      <w:lvlText w:val="o"/>
      <w:lvlJc w:val="left"/>
      <w:pPr>
        <w:ind w:left="5760" w:hanging="360"/>
      </w:pPr>
      <w:rPr>
        <w:rFonts w:ascii="Courier New" w:hAnsi="Courier New" w:hint="default"/>
      </w:rPr>
    </w:lvl>
    <w:lvl w:ilvl="8" w:tplc="FD8EE64A">
      <w:start w:val="1"/>
      <w:numFmt w:val="bullet"/>
      <w:lvlText w:val=""/>
      <w:lvlJc w:val="left"/>
      <w:pPr>
        <w:ind w:left="6480" w:hanging="360"/>
      </w:pPr>
      <w:rPr>
        <w:rFonts w:ascii="Wingdings" w:hAnsi="Wingdings" w:hint="default"/>
      </w:rPr>
    </w:lvl>
  </w:abstractNum>
  <w:abstractNum w:abstractNumId="30" w15:restartNumberingAfterBreak="0">
    <w:nsid w:val="13951E5E"/>
    <w:multiLevelType w:val="hybridMultilevel"/>
    <w:tmpl w:val="FFFFFFFF"/>
    <w:lvl w:ilvl="0" w:tplc="F30CA50E">
      <w:start w:val="1"/>
      <w:numFmt w:val="lowerLetter"/>
      <w:lvlText w:val="%1."/>
      <w:lvlJc w:val="left"/>
      <w:pPr>
        <w:ind w:left="720" w:hanging="360"/>
      </w:pPr>
    </w:lvl>
    <w:lvl w:ilvl="1" w:tplc="AED48BAA">
      <w:start w:val="1"/>
      <w:numFmt w:val="lowerLetter"/>
      <w:lvlText w:val="%2."/>
      <w:lvlJc w:val="left"/>
      <w:pPr>
        <w:ind w:left="1440" w:hanging="360"/>
      </w:pPr>
    </w:lvl>
    <w:lvl w:ilvl="2" w:tplc="A4409F98">
      <w:start w:val="1"/>
      <w:numFmt w:val="lowerRoman"/>
      <w:lvlText w:val="%3."/>
      <w:lvlJc w:val="right"/>
      <w:pPr>
        <w:ind w:left="2160" w:hanging="180"/>
      </w:pPr>
    </w:lvl>
    <w:lvl w:ilvl="3" w:tplc="F2B81A76">
      <w:start w:val="1"/>
      <w:numFmt w:val="decimal"/>
      <w:lvlText w:val="%4."/>
      <w:lvlJc w:val="left"/>
      <w:pPr>
        <w:ind w:left="2880" w:hanging="360"/>
      </w:pPr>
    </w:lvl>
    <w:lvl w:ilvl="4" w:tplc="9B1E653A">
      <w:start w:val="1"/>
      <w:numFmt w:val="lowerLetter"/>
      <w:lvlText w:val="%5."/>
      <w:lvlJc w:val="left"/>
      <w:pPr>
        <w:ind w:left="3600" w:hanging="360"/>
      </w:pPr>
    </w:lvl>
    <w:lvl w:ilvl="5" w:tplc="EA22E0DA">
      <w:start w:val="1"/>
      <w:numFmt w:val="lowerRoman"/>
      <w:lvlText w:val="%6."/>
      <w:lvlJc w:val="right"/>
      <w:pPr>
        <w:ind w:left="4320" w:hanging="180"/>
      </w:pPr>
    </w:lvl>
    <w:lvl w:ilvl="6" w:tplc="9D2C1844">
      <w:start w:val="1"/>
      <w:numFmt w:val="decimal"/>
      <w:lvlText w:val="%7."/>
      <w:lvlJc w:val="left"/>
      <w:pPr>
        <w:ind w:left="5040" w:hanging="360"/>
      </w:pPr>
    </w:lvl>
    <w:lvl w:ilvl="7" w:tplc="40B6D8B0">
      <w:start w:val="1"/>
      <w:numFmt w:val="lowerLetter"/>
      <w:lvlText w:val="%8."/>
      <w:lvlJc w:val="left"/>
      <w:pPr>
        <w:ind w:left="5760" w:hanging="360"/>
      </w:pPr>
    </w:lvl>
    <w:lvl w:ilvl="8" w:tplc="700E55F2">
      <w:start w:val="1"/>
      <w:numFmt w:val="lowerRoman"/>
      <w:lvlText w:val="%9."/>
      <w:lvlJc w:val="right"/>
      <w:pPr>
        <w:ind w:left="6480" w:hanging="180"/>
      </w:pPr>
    </w:lvl>
  </w:abstractNum>
  <w:abstractNum w:abstractNumId="31" w15:restartNumberingAfterBreak="0">
    <w:nsid w:val="13EE3656"/>
    <w:multiLevelType w:val="hybridMultilevel"/>
    <w:tmpl w:val="90D2321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13F13700"/>
    <w:multiLevelType w:val="singleLevel"/>
    <w:tmpl w:val="6840BDD8"/>
    <w:lvl w:ilvl="0">
      <w:start w:val="1"/>
      <w:numFmt w:val="bullet"/>
      <w:pStyle w:val="Lista"/>
      <w:lvlText w:val=""/>
      <w:lvlJc w:val="left"/>
      <w:pPr>
        <w:tabs>
          <w:tab w:val="num" w:pos="717"/>
        </w:tabs>
        <w:ind w:left="360" w:hanging="3"/>
      </w:pPr>
      <w:rPr>
        <w:rFonts w:ascii="Wingdings" w:hAnsi="Wingdings" w:hint="default"/>
      </w:rPr>
    </w:lvl>
  </w:abstractNum>
  <w:abstractNum w:abstractNumId="33" w15:restartNumberingAfterBreak="0">
    <w:nsid w:val="14C80111"/>
    <w:multiLevelType w:val="hybridMultilevel"/>
    <w:tmpl w:val="8E0CFE00"/>
    <w:lvl w:ilvl="0" w:tplc="E5127AAC">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15F775C8"/>
    <w:multiLevelType w:val="hybridMultilevel"/>
    <w:tmpl w:val="FF8A0D76"/>
    <w:lvl w:ilvl="0" w:tplc="EC44A180">
      <w:start w:val="1"/>
      <w:numFmt w:val="bullet"/>
      <w:lvlText w:val="o"/>
      <w:lvlJc w:val="left"/>
      <w:pPr>
        <w:ind w:left="720" w:hanging="360"/>
      </w:pPr>
      <w:rPr>
        <w:rFonts w:ascii="&quot;Courier New&quot;" w:hAnsi="&quot;Courier New&quot;" w:hint="default"/>
      </w:rPr>
    </w:lvl>
    <w:lvl w:ilvl="1" w:tplc="21DE90CE">
      <w:start w:val="1"/>
      <w:numFmt w:val="bullet"/>
      <w:lvlText w:val="o"/>
      <w:lvlJc w:val="left"/>
      <w:pPr>
        <w:ind w:left="1440" w:hanging="360"/>
      </w:pPr>
      <w:rPr>
        <w:rFonts w:ascii="Courier New" w:hAnsi="Courier New" w:hint="default"/>
      </w:rPr>
    </w:lvl>
    <w:lvl w:ilvl="2" w:tplc="D8E8B482">
      <w:start w:val="1"/>
      <w:numFmt w:val="bullet"/>
      <w:lvlText w:val=""/>
      <w:lvlJc w:val="left"/>
      <w:pPr>
        <w:ind w:left="2160" w:hanging="360"/>
      </w:pPr>
      <w:rPr>
        <w:rFonts w:ascii="Wingdings" w:hAnsi="Wingdings" w:hint="default"/>
      </w:rPr>
    </w:lvl>
    <w:lvl w:ilvl="3" w:tplc="97CE27D0">
      <w:start w:val="1"/>
      <w:numFmt w:val="bullet"/>
      <w:lvlText w:val=""/>
      <w:lvlJc w:val="left"/>
      <w:pPr>
        <w:ind w:left="2880" w:hanging="360"/>
      </w:pPr>
      <w:rPr>
        <w:rFonts w:ascii="Symbol" w:hAnsi="Symbol" w:hint="default"/>
      </w:rPr>
    </w:lvl>
    <w:lvl w:ilvl="4" w:tplc="B3A420A8">
      <w:start w:val="1"/>
      <w:numFmt w:val="bullet"/>
      <w:lvlText w:val="o"/>
      <w:lvlJc w:val="left"/>
      <w:pPr>
        <w:ind w:left="3600" w:hanging="360"/>
      </w:pPr>
      <w:rPr>
        <w:rFonts w:ascii="Courier New" w:hAnsi="Courier New" w:hint="default"/>
      </w:rPr>
    </w:lvl>
    <w:lvl w:ilvl="5" w:tplc="2F182D60">
      <w:start w:val="1"/>
      <w:numFmt w:val="bullet"/>
      <w:lvlText w:val=""/>
      <w:lvlJc w:val="left"/>
      <w:pPr>
        <w:ind w:left="4320" w:hanging="360"/>
      </w:pPr>
      <w:rPr>
        <w:rFonts w:ascii="Wingdings" w:hAnsi="Wingdings" w:hint="default"/>
      </w:rPr>
    </w:lvl>
    <w:lvl w:ilvl="6" w:tplc="0434866A">
      <w:start w:val="1"/>
      <w:numFmt w:val="bullet"/>
      <w:lvlText w:val=""/>
      <w:lvlJc w:val="left"/>
      <w:pPr>
        <w:ind w:left="5040" w:hanging="360"/>
      </w:pPr>
      <w:rPr>
        <w:rFonts w:ascii="Symbol" w:hAnsi="Symbol" w:hint="default"/>
      </w:rPr>
    </w:lvl>
    <w:lvl w:ilvl="7" w:tplc="FE22F5D0">
      <w:start w:val="1"/>
      <w:numFmt w:val="bullet"/>
      <w:lvlText w:val="o"/>
      <w:lvlJc w:val="left"/>
      <w:pPr>
        <w:ind w:left="5760" w:hanging="360"/>
      </w:pPr>
      <w:rPr>
        <w:rFonts w:ascii="Courier New" w:hAnsi="Courier New" w:hint="default"/>
      </w:rPr>
    </w:lvl>
    <w:lvl w:ilvl="8" w:tplc="F1A4B9E0">
      <w:start w:val="1"/>
      <w:numFmt w:val="bullet"/>
      <w:lvlText w:val=""/>
      <w:lvlJc w:val="left"/>
      <w:pPr>
        <w:ind w:left="6480" w:hanging="360"/>
      </w:pPr>
      <w:rPr>
        <w:rFonts w:ascii="Wingdings" w:hAnsi="Wingdings" w:hint="default"/>
      </w:rPr>
    </w:lvl>
  </w:abstractNum>
  <w:abstractNum w:abstractNumId="35" w15:restartNumberingAfterBreak="0">
    <w:nsid w:val="186DDC3D"/>
    <w:multiLevelType w:val="hybridMultilevel"/>
    <w:tmpl w:val="FFFFFFFF"/>
    <w:lvl w:ilvl="0" w:tplc="AAB2E94A">
      <w:start w:val="1"/>
      <w:numFmt w:val="decimal"/>
      <w:lvlText w:val="%1."/>
      <w:lvlJc w:val="left"/>
      <w:pPr>
        <w:ind w:left="720" w:hanging="360"/>
      </w:pPr>
    </w:lvl>
    <w:lvl w:ilvl="1" w:tplc="690C55D6">
      <w:start w:val="1"/>
      <w:numFmt w:val="lowerLetter"/>
      <w:lvlText w:val="%2."/>
      <w:lvlJc w:val="left"/>
      <w:pPr>
        <w:ind w:left="1440" w:hanging="360"/>
      </w:pPr>
    </w:lvl>
    <w:lvl w:ilvl="2" w:tplc="6DFCBCC8">
      <w:start w:val="1"/>
      <w:numFmt w:val="lowerRoman"/>
      <w:lvlText w:val="%3."/>
      <w:lvlJc w:val="right"/>
      <w:pPr>
        <w:ind w:left="2160" w:hanging="180"/>
      </w:pPr>
    </w:lvl>
    <w:lvl w:ilvl="3" w:tplc="D93A04AA">
      <w:start w:val="1"/>
      <w:numFmt w:val="decimal"/>
      <w:lvlText w:val="%4."/>
      <w:lvlJc w:val="left"/>
      <w:pPr>
        <w:ind w:left="2880" w:hanging="360"/>
      </w:pPr>
    </w:lvl>
    <w:lvl w:ilvl="4" w:tplc="538ECD50">
      <w:start w:val="1"/>
      <w:numFmt w:val="lowerLetter"/>
      <w:lvlText w:val="%5."/>
      <w:lvlJc w:val="left"/>
      <w:pPr>
        <w:ind w:left="3600" w:hanging="360"/>
      </w:pPr>
    </w:lvl>
    <w:lvl w:ilvl="5" w:tplc="1F0C7102">
      <w:start w:val="1"/>
      <w:numFmt w:val="lowerRoman"/>
      <w:lvlText w:val="%6."/>
      <w:lvlJc w:val="right"/>
      <w:pPr>
        <w:ind w:left="4320" w:hanging="180"/>
      </w:pPr>
    </w:lvl>
    <w:lvl w:ilvl="6" w:tplc="EF7E4BC2">
      <w:start w:val="1"/>
      <w:numFmt w:val="decimal"/>
      <w:lvlText w:val="%7."/>
      <w:lvlJc w:val="left"/>
      <w:pPr>
        <w:ind w:left="5040" w:hanging="360"/>
      </w:pPr>
    </w:lvl>
    <w:lvl w:ilvl="7" w:tplc="C0C86278">
      <w:start w:val="1"/>
      <w:numFmt w:val="lowerLetter"/>
      <w:lvlText w:val="%8."/>
      <w:lvlJc w:val="left"/>
      <w:pPr>
        <w:ind w:left="5760" w:hanging="360"/>
      </w:pPr>
    </w:lvl>
    <w:lvl w:ilvl="8" w:tplc="1A1C0130">
      <w:start w:val="1"/>
      <w:numFmt w:val="lowerRoman"/>
      <w:lvlText w:val="%9."/>
      <w:lvlJc w:val="right"/>
      <w:pPr>
        <w:ind w:left="6480" w:hanging="180"/>
      </w:pPr>
    </w:lvl>
  </w:abstractNum>
  <w:abstractNum w:abstractNumId="36" w15:restartNumberingAfterBreak="0">
    <w:nsid w:val="18DAC0AA"/>
    <w:multiLevelType w:val="hybridMultilevel"/>
    <w:tmpl w:val="FFFFFFFF"/>
    <w:lvl w:ilvl="0" w:tplc="6FCAF3E2">
      <w:start w:val="1"/>
      <w:numFmt w:val="lowerLetter"/>
      <w:lvlText w:val="%1."/>
      <w:lvlJc w:val="left"/>
      <w:pPr>
        <w:ind w:left="720" w:hanging="360"/>
      </w:pPr>
    </w:lvl>
    <w:lvl w:ilvl="1" w:tplc="B7E440AC">
      <w:start w:val="1"/>
      <w:numFmt w:val="lowerLetter"/>
      <w:lvlText w:val="%2."/>
      <w:lvlJc w:val="left"/>
      <w:pPr>
        <w:ind w:left="1440" w:hanging="360"/>
      </w:pPr>
    </w:lvl>
    <w:lvl w:ilvl="2" w:tplc="5A62E31A">
      <w:start w:val="1"/>
      <w:numFmt w:val="lowerRoman"/>
      <w:lvlText w:val="%3."/>
      <w:lvlJc w:val="right"/>
      <w:pPr>
        <w:ind w:left="2160" w:hanging="180"/>
      </w:pPr>
    </w:lvl>
    <w:lvl w:ilvl="3" w:tplc="F9C46722">
      <w:start w:val="1"/>
      <w:numFmt w:val="decimal"/>
      <w:lvlText w:val="%4."/>
      <w:lvlJc w:val="left"/>
      <w:pPr>
        <w:ind w:left="2880" w:hanging="360"/>
      </w:pPr>
    </w:lvl>
    <w:lvl w:ilvl="4" w:tplc="F6D2A276">
      <w:start w:val="1"/>
      <w:numFmt w:val="lowerLetter"/>
      <w:lvlText w:val="%5."/>
      <w:lvlJc w:val="left"/>
      <w:pPr>
        <w:ind w:left="3600" w:hanging="360"/>
      </w:pPr>
    </w:lvl>
    <w:lvl w:ilvl="5" w:tplc="0F0A3F3A">
      <w:start w:val="1"/>
      <w:numFmt w:val="lowerRoman"/>
      <w:lvlText w:val="%6."/>
      <w:lvlJc w:val="right"/>
      <w:pPr>
        <w:ind w:left="4320" w:hanging="180"/>
      </w:pPr>
    </w:lvl>
    <w:lvl w:ilvl="6" w:tplc="E7623F30">
      <w:start w:val="1"/>
      <w:numFmt w:val="decimal"/>
      <w:lvlText w:val="%7."/>
      <w:lvlJc w:val="left"/>
      <w:pPr>
        <w:ind w:left="5040" w:hanging="360"/>
      </w:pPr>
    </w:lvl>
    <w:lvl w:ilvl="7" w:tplc="67C217AC">
      <w:start w:val="1"/>
      <w:numFmt w:val="lowerLetter"/>
      <w:lvlText w:val="%8."/>
      <w:lvlJc w:val="left"/>
      <w:pPr>
        <w:ind w:left="5760" w:hanging="360"/>
      </w:pPr>
    </w:lvl>
    <w:lvl w:ilvl="8" w:tplc="889426AC">
      <w:start w:val="1"/>
      <w:numFmt w:val="lowerRoman"/>
      <w:lvlText w:val="%9."/>
      <w:lvlJc w:val="right"/>
      <w:pPr>
        <w:ind w:left="6480" w:hanging="180"/>
      </w:pPr>
    </w:lvl>
  </w:abstractNum>
  <w:abstractNum w:abstractNumId="37" w15:restartNumberingAfterBreak="0">
    <w:nsid w:val="1AE508CD"/>
    <w:multiLevelType w:val="hybridMultilevel"/>
    <w:tmpl w:val="88D275D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1B6387A3"/>
    <w:multiLevelType w:val="hybridMultilevel"/>
    <w:tmpl w:val="FFFFFFFF"/>
    <w:lvl w:ilvl="0" w:tplc="9D72B196">
      <w:start w:val="1"/>
      <w:numFmt w:val="lowerLetter"/>
      <w:lvlText w:val="%1."/>
      <w:lvlJc w:val="left"/>
      <w:pPr>
        <w:ind w:left="720" w:hanging="360"/>
      </w:pPr>
    </w:lvl>
    <w:lvl w:ilvl="1" w:tplc="4F0E452A">
      <w:start w:val="1"/>
      <w:numFmt w:val="lowerLetter"/>
      <w:lvlText w:val="%2."/>
      <w:lvlJc w:val="left"/>
      <w:pPr>
        <w:ind w:left="1440" w:hanging="360"/>
      </w:pPr>
    </w:lvl>
    <w:lvl w:ilvl="2" w:tplc="EACE79EC">
      <w:start w:val="1"/>
      <w:numFmt w:val="lowerRoman"/>
      <w:lvlText w:val="%3."/>
      <w:lvlJc w:val="right"/>
      <w:pPr>
        <w:ind w:left="2160" w:hanging="180"/>
      </w:pPr>
    </w:lvl>
    <w:lvl w:ilvl="3" w:tplc="E08629B6">
      <w:start w:val="1"/>
      <w:numFmt w:val="decimal"/>
      <w:lvlText w:val="%4."/>
      <w:lvlJc w:val="left"/>
      <w:pPr>
        <w:ind w:left="2880" w:hanging="360"/>
      </w:pPr>
    </w:lvl>
    <w:lvl w:ilvl="4" w:tplc="95D819F6">
      <w:start w:val="1"/>
      <w:numFmt w:val="lowerLetter"/>
      <w:lvlText w:val="%5."/>
      <w:lvlJc w:val="left"/>
      <w:pPr>
        <w:ind w:left="3600" w:hanging="360"/>
      </w:pPr>
    </w:lvl>
    <w:lvl w:ilvl="5" w:tplc="79042EE2">
      <w:start w:val="1"/>
      <w:numFmt w:val="lowerRoman"/>
      <w:lvlText w:val="%6."/>
      <w:lvlJc w:val="right"/>
      <w:pPr>
        <w:ind w:left="4320" w:hanging="180"/>
      </w:pPr>
    </w:lvl>
    <w:lvl w:ilvl="6" w:tplc="13CA8B9E">
      <w:start w:val="1"/>
      <w:numFmt w:val="decimal"/>
      <w:lvlText w:val="%7."/>
      <w:lvlJc w:val="left"/>
      <w:pPr>
        <w:ind w:left="5040" w:hanging="360"/>
      </w:pPr>
    </w:lvl>
    <w:lvl w:ilvl="7" w:tplc="B218F22C">
      <w:start w:val="1"/>
      <w:numFmt w:val="lowerLetter"/>
      <w:lvlText w:val="%8."/>
      <w:lvlJc w:val="left"/>
      <w:pPr>
        <w:ind w:left="5760" w:hanging="360"/>
      </w:pPr>
    </w:lvl>
    <w:lvl w:ilvl="8" w:tplc="39F01692">
      <w:start w:val="1"/>
      <w:numFmt w:val="lowerRoman"/>
      <w:lvlText w:val="%9."/>
      <w:lvlJc w:val="right"/>
      <w:pPr>
        <w:ind w:left="6480" w:hanging="180"/>
      </w:pPr>
    </w:lvl>
  </w:abstractNum>
  <w:abstractNum w:abstractNumId="39" w15:restartNumberingAfterBreak="0">
    <w:nsid w:val="1B8F4AB7"/>
    <w:multiLevelType w:val="hybridMultilevel"/>
    <w:tmpl w:val="08AADF6C"/>
    <w:lvl w:ilvl="0" w:tplc="C8A85DE6">
      <w:start w:val="1"/>
      <w:numFmt w:val="bullet"/>
      <w:lvlText w:val="Ø"/>
      <w:lvlJc w:val="left"/>
      <w:pPr>
        <w:ind w:left="720" w:hanging="360"/>
      </w:pPr>
      <w:rPr>
        <w:rFonts w:ascii="Wingdings" w:hAnsi="Wingdings" w:hint="default"/>
      </w:rPr>
    </w:lvl>
    <w:lvl w:ilvl="1" w:tplc="DCA8CBB4">
      <w:start w:val="1"/>
      <w:numFmt w:val="bullet"/>
      <w:lvlText w:val="o"/>
      <w:lvlJc w:val="left"/>
      <w:pPr>
        <w:ind w:left="1440" w:hanging="360"/>
      </w:pPr>
      <w:rPr>
        <w:rFonts w:ascii="Courier New" w:hAnsi="Courier New" w:hint="default"/>
      </w:rPr>
    </w:lvl>
    <w:lvl w:ilvl="2" w:tplc="55587194">
      <w:start w:val="1"/>
      <w:numFmt w:val="bullet"/>
      <w:lvlText w:val=""/>
      <w:lvlJc w:val="left"/>
      <w:pPr>
        <w:ind w:left="2160" w:hanging="360"/>
      </w:pPr>
      <w:rPr>
        <w:rFonts w:ascii="Wingdings" w:hAnsi="Wingdings" w:hint="default"/>
      </w:rPr>
    </w:lvl>
    <w:lvl w:ilvl="3" w:tplc="A4E67594">
      <w:start w:val="1"/>
      <w:numFmt w:val="bullet"/>
      <w:lvlText w:val=""/>
      <w:lvlJc w:val="left"/>
      <w:pPr>
        <w:ind w:left="2880" w:hanging="360"/>
      </w:pPr>
      <w:rPr>
        <w:rFonts w:ascii="Symbol" w:hAnsi="Symbol" w:hint="default"/>
      </w:rPr>
    </w:lvl>
    <w:lvl w:ilvl="4" w:tplc="237804AC">
      <w:start w:val="1"/>
      <w:numFmt w:val="bullet"/>
      <w:lvlText w:val="o"/>
      <w:lvlJc w:val="left"/>
      <w:pPr>
        <w:ind w:left="3600" w:hanging="360"/>
      </w:pPr>
      <w:rPr>
        <w:rFonts w:ascii="Courier New" w:hAnsi="Courier New" w:hint="default"/>
      </w:rPr>
    </w:lvl>
    <w:lvl w:ilvl="5" w:tplc="B07C1BE6">
      <w:start w:val="1"/>
      <w:numFmt w:val="bullet"/>
      <w:lvlText w:val=""/>
      <w:lvlJc w:val="left"/>
      <w:pPr>
        <w:ind w:left="4320" w:hanging="360"/>
      </w:pPr>
      <w:rPr>
        <w:rFonts w:ascii="Wingdings" w:hAnsi="Wingdings" w:hint="default"/>
      </w:rPr>
    </w:lvl>
    <w:lvl w:ilvl="6" w:tplc="A49A13FC">
      <w:start w:val="1"/>
      <w:numFmt w:val="bullet"/>
      <w:lvlText w:val=""/>
      <w:lvlJc w:val="left"/>
      <w:pPr>
        <w:ind w:left="5040" w:hanging="360"/>
      </w:pPr>
      <w:rPr>
        <w:rFonts w:ascii="Symbol" w:hAnsi="Symbol" w:hint="default"/>
      </w:rPr>
    </w:lvl>
    <w:lvl w:ilvl="7" w:tplc="1AFC9438">
      <w:start w:val="1"/>
      <w:numFmt w:val="bullet"/>
      <w:lvlText w:val="o"/>
      <w:lvlJc w:val="left"/>
      <w:pPr>
        <w:ind w:left="5760" w:hanging="360"/>
      </w:pPr>
      <w:rPr>
        <w:rFonts w:ascii="Courier New" w:hAnsi="Courier New" w:hint="default"/>
      </w:rPr>
    </w:lvl>
    <w:lvl w:ilvl="8" w:tplc="9D34721E">
      <w:start w:val="1"/>
      <w:numFmt w:val="bullet"/>
      <w:lvlText w:val=""/>
      <w:lvlJc w:val="left"/>
      <w:pPr>
        <w:ind w:left="6480" w:hanging="360"/>
      </w:pPr>
      <w:rPr>
        <w:rFonts w:ascii="Wingdings" w:hAnsi="Wingdings" w:hint="default"/>
      </w:rPr>
    </w:lvl>
  </w:abstractNum>
  <w:abstractNum w:abstractNumId="40" w15:restartNumberingAfterBreak="0">
    <w:nsid w:val="1BF1B73C"/>
    <w:multiLevelType w:val="hybridMultilevel"/>
    <w:tmpl w:val="FFFFFFFF"/>
    <w:lvl w:ilvl="0" w:tplc="716EF4CA">
      <w:start w:val="1"/>
      <w:numFmt w:val="lowerLetter"/>
      <w:lvlText w:val="%1."/>
      <w:lvlJc w:val="left"/>
      <w:pPr>
        <w:ind w:left="720" w:hanging="360"/>
      </w:pPr>
    </w:lvl>
    <w:lvl w:ilvl="1" w:tplc="6F0C7DFC">
      <w:start w:val="1"/>
      <w:numFmt w:val="lowerLetter"/>
      <w:lvlText w:val="%2."/>
      <w:lvlJc w:val="left"/>
      <w:pPr>
        <w:ind w:left="1440" w:hanging="360"/>
      </w:pPr>
    </w:lvl>
    <w:lvl w:ilvl="2" w:tplc="95AEA218">
      <w:start w:val="1"/>
      <w:numFmt w:val="lowerRoman"/>
      <w:lvlText w:val="%3."/>
      <w:lvlJc w:val="right"/>
      <w:pPr>
        <w:ind w:left="2160" w:hanging="180"/>
      </w:pPr>
    </w:lvl>
    <w:lvl w:ilvl="3" w:tplc="E4C62204">
      <w:start w:val="1"/>
      <w:numFmt w:val="decimal"/>
      <w:lvlText w:val="%4."/>
      <w:lvlJc w:val="left"/>
      <w:pPr>
        <w:ind w:left="2880" w:hanging="360"/>
      </w:pPr>
    </w:lvl>
    <w:lvl w:ilvl="4" w:tplc="3E500132">
      <w:start w:val="1"/>
      <w:numFmt w:val="lowerLetter"/>
      <w:lvlText w:val="%5."/>
      <w:lvlJc w:val="left"/>
      <w:pPr>
        <w:ind w:left="3600" w:hanging="360"/>
      </w:pPr>
    </w:lvl>
    <w:lvl w:ilvl="5" w:tplc="13062B48">
      <w:start w:val="1"/>
      <w:numFmt w:val="lowerRoman"/>
      <w:lvlText w:val="%6."/>
      <w:lvlJc w:val="right"/>
      <w:pPr>
        <w:ind w:left="4320" w:hanging="180"/>
      </w:pPr>
    </w:lvl>
    <w:lvl w:ilvl="6" w:tplc="F4B8BAC0">
      <w:start w:val="1"/>
      <w:numFmt w:val="decimal"/>
      <w:lvlText w:val="%7."/>
      <w:lvlJc w:val="left"/>
      <w:pPr>
        <w:ind w:left="5040" w:hanging="360"/>
      </w:pPr>
    </w:lvl>
    <w:lvl w:ilvl="7" w:tplc="DB8282C6">
      <w:start w:val="1"/>
      <w:numFmt w:val="lowerLetter"/>
      <w:lvlText w:val="%8."/>
      <w:lvlJc w:val="left"/>
      <w:pPr>
        <w:ind w:left="5760" w:hanging="360"/>
      </w:pPr>
    </w:lvl>
    <w:lvl w:ilvl="8" w:tplc="79FAF14E">
      <w:start w:val="1"/>
      <w:numFmt w:val="lowerRoman"/>
      <w:lvlText w:val="%9."/>
      <w:lvlJc w:val="right"/>
      <w:pPr>
        <w:ind w:left="6480" w:hanging="180"/>
      </w:pPr>
    </w:lvl>
  </w:abstractNum>
  <w:abstractNum w:abstractNumId="41" w15:restartNumberingAfterBreak="0">
    <w:nsid w:val="1BF4210A"/>
    <w:multiLevelType w:val="hybridMultilevel"/>
    <w:tmpl w:val="639851A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1C354F26"/>
    <w:multiLevelType w:val="hybridMultilevel"/>
    <w:tmpl w:val="1C5C5A0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1CE5341D"/>
    <w:multiLevelType w:val="hybridMultilevel"/>
    <w:tmpl w:val="1544501A"/>
    <w:lvl w:ilvl="0" w:tplc="7206E51C">
      <w:start w:val="1"/>
      <w:numFmt w:val="lowerLetter"/>
      <w:lvlText w:val="%1."/>
      <w:lvlJc w:val="left"/>
      <w:pPr>
        <w:ind w:left="720" w:hanging="360"/>
      </w:pPr>
      <w:rPr>
        <w:rFonts w:ascii="Times New Roman" w:hAnsi="Times New Roman"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1CFB0E1F"/>
    <w:multiLevelType w:val="hybridMultilevel"/>
    <w:tmpl w:val="6370159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88B4CCF8">
      <w:start w:val="6"/>
      <w:numFmt w:val="bullet"/>
      <w:lvlText w:val="-"/>
      <w:lvlJc w:val="left"/>
      <w:pPr>
        <w:ind w:left="2160" w:hanging="360"/>
      </w:pPr>
      <w:rPr>
        <w:rFonts w:ascii="Calibri" w:eastAsia="Times New Roman" w:hAnsi="Calibri" w:cs="Calibri"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1DC4FEB3"/>
    <w:multiLevelType w:val="hybridMultilevel"/>
    <w:tmpl w:val="FFFFFFFF"/>
    <w:lvl w:ilvl="0" w:tplc="54084030">
      <w:start w:val="1"/>
      <w:numFmt w:val="lowerLetter"/>
      <w:lvlText w:val="%1."/>
      <w:lvlJc w:val="left"/>
      <w:pPr>
        <w:ind w:left="720" w:hanging="360"/>
      </w:pPr>
    </w:lvl>
    <w:lvl w:ilvl="1" w:tplc="F2F4368C">
      <w:start w:val="1"/>
      <w:numFmt w:val="lowerLetter"/>
      <w:lvlText w:val="%2."/>
      <w:lvlJc w:val="left"/>
      <w:pPr>
        <w:ind w:left="1440" w:hanging="360"/>
      </w:pPr>
    </w:lvl>
    <w:lvl w:ilvl="2" w:tplc="04489DD2">
      <w:start w:val="1"/>
      <w:numFmt w:val="lowerRoman"/>
      <w:lvlText w:val="%3."/>
      <w:lvlJc w:val="right"/>
      <w:pPr>
        <w:ind w:left="2160" w:hanging="180"/>
      </w:pPr>
    </w:lvl>
    <w:lvl w:ilvl="3" w:tplc="2B364022">
      <w:start w:val="1"/>
      <w:numFmt w:val="decimal"/>
      <w:lvlText w:val="%4."/>
      <w:lvlJc w:val="left"/>
      <w:pPr>
        <w:ind w:left="2880" w:hanging="360"/>
      </w:pPr>
    </w:lvl>
    <w:lvl w:ilvl="4" w:tplc="B0A41144">
      <w:start w:val="1"/>
      <w:numFmt w:val="lowerLetter"/>
      <w:lvlText w:val="%5."/>
      <w:lvlJc w:val="left"/>
      <w:pPr>
        <w:ind w:left="3600" w:hanging="360"/>
      </w:pPr>
    </w:lvl>
    <w:lvl w:ilvl="5" w:tplc="E5463C7E">
      <w:start w:val="1"/>
      <w:numFmt w:val="lowerRoman"/>
      <w:lvlText w:val="%6."/>
      <w:lvlJc w:val="right"/>
      <w:pPr>
        <w:ind w:left="4320" w:hanging="180"/>
      </w:pPr>
    </w:lvl>
    <w:lvl w:ilvl="6" w:tplc="36B8B50E">
      <w:start w:val="1"/>
      <w:numFmt w:val="decimal"/>
      <w:lvlText w:val="%7."/>
      <w:lvlJc w:val="left"/>
      <w:pPr>
        <w:ind w:left="5040" w:hanging="360"/>
      </w:pPr>
    </w:lvl>
    <w:lvl w:ilvl="7" w:tplc="6884EC62">
      <w:start w:val="1"/>
      <w:numFmt w:val="lowerLetter"/>
      <w:lvlText w:val="%8."/>
      <w:lvlJc w:val="left"/>
      <w:pPr>
        <w:ind w:left="5760" w:hanging="360"/>
      </w:pPr>
    </w:lvl>
    <w:lvl w:ilvl="8" w:tplc="F9BC25FE">
      <w:start w:val="1"/>
      <w:numFmt w:val="lowerRoman"/>
      <w:lvlText w:val="%9."/>
      <w:lvlJc w:val="right"/>
      <w:pPr>
        <w:ind w:left="6480" w:hanging="180"/>
      </w:pPr>
    </w:lvl>
  </w:abstractNum>
  <w:abstractNum w:abstractNumId="46" w15:restartNumberingAfterBreak="0">
    <w:nsid w:val="1E0150C4"/>
    <w:multiLevelType w:val="hybridMultilevel"/>
    <w:tmpl w:val="53AEC14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1F4BA3CC"/>
    <w:multiLevelType w:val="hybridMultilevel"/>
    <w:tmpl w:val="FFFFFFFF"/>
    <w:lvl w:ilvl="0" w:tplc="0DBA1DE2">
      <w:start w:val="1"/>
      <w:numFmt w:val="lowerLetter"/>
      <w:lvlText w:val="%1."/>
      <w:lvlJc w:val="left"/>
      <w:pPr>
        <w:ind w:left="720" w:hanging="360"/>
      </w:pPr>
    </w:lvl>
    <w:lvl w:ilvl="1" w:tplc="DB4EC9C4">
      <w:start w:val="1"/>
      <w:numFmt w:val="lowerLetter"/>
      <w:lvlText w:val="%2."/>
      <w:lvlJc w:val="left"/>
      <w:pPr>
        <w:ind w:left="1440" w:hanging="360"/>
      </w:pPr>
    </w:lvl>
    <w:lvl w:ilvl="2" w:tplc="F2D469B2">
      <w:start w:val="1"/>
      <w:numFmt w:val="lowerRoman"/>
      <w:lvlText w:val="%3."/>
      <w:lvlJc w:val="right"/>
      <w:pPr>
        <w:ind w:left="2160" w:hanging="180"/>
      </w:pPr>
    </w:lvl>
    <w:lvl w:ilvl="3" w:tplc="71704314">
      <w:start w:val="1"/>
      <w:numFmt w:val="decimal"/>
      <w:lvlText w:val="%4."/>
      <w:lvlJc w:val="left"/>
      <w:pPr>
        <w:ind w:left="2880" w:hanging="360"/>
      </w:pPr>
    </w:lvl>
    <w:lvl w:ilvl="4" w:tplc="DD68651E">
      <w:start w:val="1"/>
      <w:numFmt w:val="lowerLetter"/>
      <w:lvlText w:val="%5."/>
      <w:lvlJc w:val="left"/>
      <w:pPr>
        <w:ind w:left="3600" w:hanging="360"/>
      </w:pPr>
    </w:lvl>
    <w:lvl w:ilvl="5" w:tplc="CA605B7A">
      <w:start w:val="1"/>
      <w:numFmt w:val="lowerRoman"/>
      <w:lvlText w:val="%6."/>
      <w:lvlJc w:val="right"/>
      <w:pPr>
        <w:ind w:left="4320" w:hanging="180"/>
      </w:pPr>
    </w:lvl>
    <w:lvl w:ilvl="6" w:tplc="CEF2B16A">
      <w:start w:val="1"/>
      <w:numFmt w:val="decimal"/>
      <w:lvlText w:val="%7."/>
      <w:lvlJc w:val="left"/>
      <w:pPr>
        <w:ind w:left="5040" w:hanging="360"/>
      </w:pPr>
    </w:lvl>
    <w:lvl w:ilvl="7" w:tplc="C56E842A">
      <w:start w:val="1"/>
      <w:numFmt w:val="lowerLetter"/>
      <w:lvlText w:val="%8."/>
      <w:lvlJc w:val="left"/>
      <w:pPr>
        <w:ind w:left="5760" w:hanging="360"/>
      </w:pPr>
    </w:lvl>
    <w:lvl w:ilvl="8" w:tplc="DA4A051C">
      <w:start w:val="1"/>
      <w:numFmt w:val="lowerRoman"/>
      <w:lvlText w:val="%9."/>
      <w:lvlJc w:val="right"/>
      <w:pPr>
        <w:ind w:left="6480" w:hanging="180"/>
      </w:pPr>
    </w:lvl>
  </w:abstractNum>
  <w:abstractNum w:abstractNumId="48" w15:restartNumberingAfterBreak="0">
    <w:nsid w:val="2087D6D5"/>
    <w:multiLevelType w:val="hybridMultilevel"/>
    <w:tmpl w:val="072C97CC"/>
    <w:lvl w:ilvl="0" w:tplc="0DA0FEAC">
      <w:start w:val="1"/>
      <w:numFmt w:val="bullet"/>
      <w:lvlText w:val=""/>
      <w:lvlJc w:val="left"/>
      <w:pPr>
        <w:ind w:left="720" w:hanging="360"/>
      </w:pPr>
      <w:rPr>
        <w:rFonts w:ascii="Symbol" w:hAnsi="Symbol" w:hint="default"/>
      </w:rPr>
    </w:lvl>
    <w:lvl w:ilvl="1" w:tplc="96D4D7E6">
      <w:start w:val="1"/>
      <w:numFmt w:val="bullet"/>
      <w:lvlText w:val="o"/>
      <w:lvlJc w:val="left"/>
      <w:pPr>
        <w:ind w:left="1440" w:hanging="360"/>
      </w:pPr>
      <w:rPr>
        <w:rFonts w:ascii="&quot;Courier New&quot;" w:hAnsi="&quot;Courier New&quot;" w:hint="default"/>
      </w:rPr>
    </w:lvl>
    <w:lvl w:ilvl="2" w:tplc="415CF29E">
      <w:start w:val="1"/>
      <w:numFmt w:val="bullet"/>
      <w:lvlText w:val=""/>
      <w:lvlJc w:val="left"/>
      <w:pPr>
        <w:ind w:left="2160" w:hanging="360"/>
      </w:pPr>
      <w:rPr>
        <w:rFonts w:ascii="Wingdings" w:hAnsi="Wingdings" w:hint="default"/>
      </w:rPr>
    </w:lvl>
    <w:lvl w:ilvl="3" w:tplc="4DECC6CA">
      <w:start w:val="1"/>
      <w:numFmt w:val="bullet"/>
      <w:lvlText w:val=""/>
      <w:lvlJc w:val="left"/>
      <w:pPr>
        <w:ind w:left="2880" w:hanging="360"/>
      </w:pPr>
      <w:rPr>
        <w:rFonts w:ascii="Symbol" w:hAnsi="Symbol" w:hint="default"/>
      </w:rPr>
    </w:lvl>
    <w:lvl w:ilvl="4" w:tplc="DE5E692C">
      <w:start w:val="1"/>
      <w:numFmt w:val="bullet"/>
      <w:lvlText w:val="o"/>
      <w:lvlJc w:val="left"/>
      <w:pPr>
        <w:ind w:left="3600" w:hanging="360"/>
      </w:pPr>
      <w:rPr>
        <w:rFonts w:ascii="Courier New" w:hAnsi="Courier New" w:hint="default"/>
      </w:rPr>
    </w:lvl>
    <w:lvl w:ilvl="5" w:tplc="3BB61B72">
      <w:start w:val="1"/>
      <w:numFmt w:val="bullet"/>
      <w:lvlText w:val=""/>
      <w:lvlJc w:val="left"/>
      <w:pPr>
        <w:ind w:left="4320" w:hanging="360"/>
      </w:pPr>
      <w:rPr>
        <w:rFonts w:ascii="Wingdings" w:hAnsi="Wingdings" w:hint="default"/>
      </w:rPr>
    </w:lvl>
    <w:lvl w:ilvl="6" w:tplc="618253B8">
      <w:start w:val="1"/>
      <w:numFmt w:val="bullet"/>
      <w:lvlText w:val=""/>
      <w:lvlJc w:val="left"/>
      <w:pPr>
        <w:ind w:left="5040" w:hanging="360"/>
      </w:pPr>
      <w:rPr>
        <w:rFonts w:ascii="Symbol" w:hAnsi="Symbol" w:hint="default"/>
      </w:rPr>
    </w:lvl>
    <w:lvl w:ilvl="7" w:tplc="4CF609DA">
      <w:start w:val="1"/>
      <w:numFmt w:val="bullet"/>
      <w:lvlText w:val="o"/>
      <w:lvlJc w:val="left"/>
      <w:pPr>
        <w:ind w:left="5760" w:hanging="360"/>
      </w:pPr>
      <w:rPr>
        <w:rFonts w:ascii="Courier New" w:hAnsi="Courier New" w:hint="default"/>
      </w:rPr>
    </w:lvl>
    <w:lvl w:ilvl="8" w:tplc="5694E3FC">
      <w:start w:val="1"/>
      <w:numFmt w:val="bullet"/>
      <w:lvlText w:val=""/>
      <w:lvlJc w:val="left"/>
      <w:pPr>
        <w:ind w:left="6480" w:hanging="360"/>
      </w:pPr>
      <w:rPr>
        <w:rFonts w:ascii="Wingdings" w:hAnsi="Wingdings" w:hint="default"/>
      </w:rPr>
    </w:lvl>
  </w:abstractNum>
  <w:abstractNum w:abstractNumId="49" w15:restartNumberingAfterBreak="0">
    <w:nsid w:val="20E812A6"/>
    <w:multiLevelType w:val="hybridMultilevel"/>
    <w:tmpl w:val="6D26E61E"/>
    <w:lvl w:ilvl="0" w:tplc="240A000D">
      <w:start w:val="1"/>
      <w:numFmt w:val="decimal"/>
      <w:pStyle w:val="Titulo4"/>
      <w:lvlText w:val="%1.1.1.1"/>
      <w:lvlJc w:val="left"/>
      <w:pPr>
        <w:ind w:left="1428" w:hanging="360"/>
      </w:pPr>
      <w:rPr>
        <w:rFonts w:hint="default"/>
      </w:rPr>
    </w:lvl>
    <w:lvl w:ilvl="1" w:tplc="240A0003" w:tentative="1">
      <w:start w:val="1"/>
      <w:numFmt w:val="lowerLetter"/>
      <w:lvlText w:val="%2."/>
      <w:lvlJc w:val="left"/>
      <w:pPr>
        <w:ind w:left="2148" w:hanging="360"/>
      </w:pPr>
    </w:lvl>
    <w:lvl w:ilvl="2" w:tplc="240A0005" w:tentative="1">
      <w:start w:val="1"/>
      <w:numFmt w:val="lowerRoman"/>
      <w:lvlText w:val="%3."/>
      <w:lvlJc w:val="right"/>
      <w:pPr>
        <w:ind w:left="2868" w:hanging="180"/>
      </w:pPr>
    </w:lvl>
    <w:lvl w:ilvl="3" w:tplc="240A0001" w:tentative="1">
      <w:start w:val="1"/>
      <w:numFmt w:val="decimal"/>
      <w:lvlText w:val="%4."/>
      <w:lvlJc w:val="left"/>
      <w:pPr>
        <w:ind w:left="3588" w:hanging="360"/>
      </w:pPr>
    </w:lvl>
    <w:lvl w:ilvl="4" w:tplc="240A0003" w:tentative="1">
      <w:start w:val="1"/>
      <w:numFmt w:val="lowerLetter"/>
      <w:lvlText w:val="%5."/>
      <w:lvlJc w:val="left"/>
      <w:pPr>
        <w:ind w:left="4308" w:hanging="360"/>
      </w:pPr>
    </w:lvl>
    <w:lvl w:ilvl="5" w:tplc="240A0005" w:tentative="1">
      <w:start w:val="1"/>
      <w:numFmt w:val="lowerRoman"/>
      <w:lvlText w:val="%6."/>
      <w:lvlJc w:val="right"/>
      <w:pPr>
        <w:ind w:left="5028" w:hanging="180"/>
      </w:pPr>
    </w:lvl>
    <w:lvl w:ilvl="6" w:tplc="240A0001" w:tentative="1">
      <w:start w:val="1"/>
      <w:numFmt w:val="decimal"/>
      <w:lvlText w:val="%7."/>
      <w:lvlJc w:val="left"/>
      <w:pPr>
        <w:ind w:left="5748" w:hanging="360"/>
      </w:pPr>
    </w:lvl>
    <w:lvl w:ilvl="7" w:tplc="240A0003" w:tentative="1">
      <w:start w:val="1"/>
      <w:numFmt w:val="lowerLetter"/>
      <w:lvlText w:val="%8."/>
      <w:lvlJc w:val="left"/>
      <w:pPr>
        <w:ind w:left="6468" w:hanging="360"/>
      </w:pPr>
    </w:lvl>
    <w:lvl w:ilvl="8" w:tplc="240A0005" w:tentative="1">
      <w:start w:val="1"/>
      <w:numFmt w:val="lowerRoman"/>
      <w:lvlText w:val="%9."/>
      <w:lvlJc w:val="right"/>
      <w:pPr>
        <w:ind w:left="7188" w:hanging="180"/>
      </w:pPr>
    </w:lvl>
  </w:abstractNum>
  <w:abstractNum w:abstractNumId="50" w15:restartNumberingAfterBreak="0">
    <w:nsid w:val="21100FD7"/>
    <w:multiLevelType w:val="hybridMultilevel"/>
    <w:tmpl w:val="A41A263E"/>
    <w:lvl w:ilvl="0" w:tplc="FB5201DC">
      <w:start w:val="1"/>
      <w:numFmt w:val="bullet"/>
      <w:lvlText w:val="-"/>
      <w:lvlJc w:val="left"/>
      <w:pPr>
        <w:ind w:left="720" w:hanging="360"/>
      </w:pPr>
      <w:rPr>
        <w:rFonts w:ascii="Times New Roman" w:eastAsia="Calibri" w:hAnsi="Times New Roman" w:cs="Times New Roman"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21D403DE"/>
    <w:multiLevelType w:val="multilevel"/>
    <w:tmpl w:val="36246C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22B06211"/>
    <w:multiLevelType w:val="hybridMultilevel"/>
    <w:tmpl w:val="277C04D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236D57F0"/>
    <w:multiLevelType w:val="multilevel"/>
    <w:tmpl w:val="AC3C2478"/>
    <w:lvl w:ilvl="0">
      <w:start w:val="23"/>
      <w:numFmt w:val="decimal"/>
      <w:lvlText w:val="%1."/>
      <w:lvlJc w:val="left"/>
      <w:pPr>
        <w:ind w:left="480" w:hanging="480"/>
      </w:pPr>
      <w:rPr>
        <w:rFonts w:hint="default"/>
      </w:rPr>
    </w:lvl>
    <w:lvl w:ilvl="1">
      <w:start w:val="1"/>
      <w:numFmt w:val="decimal"/>
      <w:lvlText w:val="%1.%2."/>
      <w:lvlJc w:val="left"/>
      <w:pPr>
        <w:ind w:left="2324"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4" w15:restartNumberingAfterBreak="0">
    <w:nsid w:val="2454EDB7"/>
    <w:multiLevelType w:val="hybridMultilevel"/>
    <w:tmpl w:val="FFFFFFFF"/>
    <w:lvl w:ilvl="0" w:tplc="9452A1A4">
      <w:start w:val="1"/>
      <w:numFmt w:val="bullet"/>
      <w:lvlText w:val="·"/>
      <w:lvlJc w:val="left"/>
      <w:pPr>
        <w:ind w:left="720" w:hanging="360"/>
      </w:pPr>
      <w:rPr>
        <w:rFonts w:ascii="Symbol" w:hAnsi="Symbol" w:hint="default"/>
      </w:rPr>
    </w:lvl>
    <w:lvl w:ilvl="1" w:tplc="7F647D30">
      <w:start w:val="1"/>
      <w:numFmt w:val="bullet"/>
      <w:lvlText w:val="o"/>
      <w:lvlJc w:val="left"/>
      <w:pPr>
        <w:ind w:left="1440" w:hanging="360"/>
      </w:pPr>
      <w:rPr>
        <w:rFonts w:ascii="Courier New" w:hAnsi="Courier New" w:hint="default"/>
      </w:rPr>
    </w:lvl>
    <w:lvl w:ilvl="2" w:tplc="1AD6CB34">
      <w:start w:val="1"/>
      <w:numFmt w:val="bullet"/>
      <w:lvlText w:val=""/>
      <w:lvlJc w:val="left"/>
      <w:pPr>
        <w:ind w:left="2160" w:hanging="360"/>
      </w:pPr>
      <w:rPr>
        <w:rFonts w:ascii="Wingdings" w:hAnsi="Wingdings" w:hint="default"/>
      </w:rPr>
    </w:lvl>
    <w:lvl w:ilvl="3" w:tplc="0D3C06E0">
      <w:start w:val="1"/>
      <w:numFmt w:val="bullet"/>
      <w:lvlText w:val=""/>
      <w:lvlJc w:val="left"/>
      <w:pPr>
        <w:ind w:left="2880" w:hanging="360"/>
      </w:pPr>
      <w:rPr>
        <w:rFonts w:ascii="Symbol" w:hAnsi="Symbol" w:hint="default"/>
      </w:rPr>
    </w:lvl>
    <w:lvl w:ilvl="4" w:tplc="37AAD628">
      <w:start w:val="1"/>
      <w:numFmt w:val="bullet"/>
      <w:lvlText w:val="o"/>
      <w:lvlJc w:val="left"/>
      <w:pPr>
        <w:ind w:left="3600" w:hanging="360"/>
      </w:pPr>
      <w:rPr>
        <w:rFonts w:ascii="Courier New" w:hAnsi="Courier New" w:hint="default"/>
      </w:rPr>
    </w:lvl>
    <w:lvl w:ilvl="5" w:tplc="6634428A">
      <w:start w:val="1"/>
      <w:numFmt w:val="bullet"/>
      <w:lvlText w:val=""/>
      <w:lvlJc w:val="left"/>
      <w:pPr>
        <w:ind w:left="4320" w:hanging="360"/>
      </w:pPr>
      <w:rPr>
        <w:rFonts w:ascii="Wingdings" w:hAnsi="Wingdings" w:hint="default"/>
      </w:rPr>
    </w:lvl>
    <w:lvl w:ilvl="6" w:tplc="2F286842">
      <w:start w:val="1"/>
      <w:numFmt w:val="bullet"/>
      <w:lvlText w:val=""/>
      <w:lvlJc w:val="left"/>
      <w:pPr>
        <w:ind w:left="5040" w:hanging="360"/>
      </w:pPr>
      <w:rPr>
        <w:rFonts w:ascii="Symbol" w:hAnsi="Symbol" w:hint="default"/>
      </w:rPr>
    </w:lvl>
    <w:lvl w:ilvl="7" w:tplc="4D0C4458">
      <w:start w:val="1"/>
      <w:numFmt w:val="bullet"/>
      <w:lvlText w:val="o"/>
      <w:lvlJc w:val="left"/>
      <w:pPr>
        <w:ind w:left="5760" w:hanging="360"/>
      </w:pPr>
      <w:rPr>
        <w:rFonts w:ascii="Courier New" w:hAnsi="Courier New" w:hint="default"/>
      </w:rPr>
    </w:lvl>
    <w:lvl w:ilvl="8" w:tplc="552CE68C">
      <w:start w:val="1"/>
      <w:numFmt w:val="bullet"/>
      <w:lvlText w:val=""/>
      <w:lvlJc w:val="left"/>
      <w:pPr>
        <w:ind w:left="6480" w:hanging="360"/>
      </w:pPr>
      <w:rPr>
        <w:rFonts w:ascii="Wingdings" w:hAnsi="Wingdings" w:hint="default"/>
      </w:rPr>
    </w:lvl>
  </w:abstractNum>
  <w:abstractNum w:abstractNumId="55" w15:restartNumberingAfterBreak="0">
    <w:nsid w:val="246742C5"/>
    <w:multiLevelType w:val="multilevel"/>
    <w:tmpl w:val="9FBC589C"/>
    <w:lvl w:ilvl="0">
      <w:start w:val="10"/>
      <w:numFmt w:val="decimal"/>
      <w:lvlText w:val="%1."/>
      <w:lvlJc w:val="left"/>
      <w:pPr>
        <w:ind w:left="480" w:hanging="480"/>
      </w:pPr>
      <w:rPr>
        <w:rFonts w:hint="default"/>
      </w:rPr>
    </w:lvl>
    <w:lvl w:ilvl="1">
      <w:start w:val="1"/>
      <w:numFmt w:val="decimal"/>
      <w:lvlText w:val="%1.%2."/>
      <w:lvlJc w:val="left"/>
      <w:pPr>
        <w:ind w:left="5442"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6" w15:restartNumberingAfterBreak="0">
    <w:nsid w:val="24BF6AD8"/>
    <w:multiLevelType w:val="hybridMultilevel"/>
    <w:tmpl w:val="1544501A"/>
    <w:lvl w:ilvl="0" w:tplc="FFFFFFFF">
      <w:start w:val="1"/>
      <w:numFmt w:val="lowerLetter"/>
      <w:lvlText w:val="%1."/>
      <w:lvlJc w:val="left"/>
      <w:pPr>
        <w:ind w:left="720" w:hanging="360"/>
      </w:pPr>
      <w:rPr>
        <w:rFonts w:ascii="Times New Roman" w:hAnsi="Times New Roman"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24F04046"/>
    <w:multiLevelType w:val="hybridMultilevel"/>
    <w:tmpl w:val="90D2321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252F24F4"/>
    <w:multiLevelType w:val="hybridMultilevel"/>
    <w:tmpl w:val="6FEADB7C"/>
    <w:lvl w:ilvl="0" w:tplc="C178C01C">
      <w:start w:val="25"/>
      <w:numFmt w:val="bullet"/>
      <w:lvlText w:val="-"/>
      <w:lvlJc w:val="left"/>
      <w:pPr>
        <w:ind w:left="720" w:hanging="360"/>
      </w:pPr>
      <w:rPr>
        <w:rFonts w:ascii="Times New Roman" w:eastAsia="Calibr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255735D8"/>
    <w:multiLevelType w:val="hybridMultilevel"/>
    <w:tmpl w:val="A938380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0" w15:restartNumberingAfterBreak="0">
    <w:nsid w:val="263734AF"/>
    <w:multiLevelType w:val="hybridMultilevel"/>
    <w:tmpl w:val="1544501A"/>
    <w:lvl w:ilvl="0" w:tplc="FFFFFFFF">
      <w:start w:val="1"/>
      <w:numFmt w:val="lowerLetter"/>
      <w:lvlText w:val="%1."/>
      <w:lvlJc w:val="left"/>
      <w:pPr>
        <w:ind w:left="720" w:hanging="360"/>
      </w:pPr>
      <w:rPr>
        <w:rFonts w:ascii="Times New Roman" w:hAnsi="Times New Roman"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2676E5ED"/>
    <w:multiLevelType w:val="hybridMultilevel"/>
    <w:tmpl w:val="174866DC"/>
    <w:lvl w:ilvl="0" w:tplc="934EC40E">
      <w:start w:val="1"/>
      <w:numFmt w:val="bullet"/>
      <w:lvlText w:val="Ø"/>
      <w:lvlJc w:val="left"/>
      <w:pPr>
        <w:ind w:left="720" w:hanging="360"/>
      </w:pPr>
      <w:rPr>
        <w:rFonts w:ascii="Wingdings" w:hAnsi="Wingdings" w:hint="default"/>
      </w:rPr>
    </w:lvl>
    <w:lvl w:ilvl="1" w:tplc="096CD502">
      <w:start w:val="1"/>
      <w:numFmt w:val="bullet"/>
      <w:lvlText w:val="o"/>
      <w:lvlJc w:val="left"/>
      <w:pPr>
        <w:ind w:left="1440" w:hanging="360"/>
      </w:pPr>
      <w:rPr>
        <w:rFonts w:ascii="Courier New" w:hAnsi="Courier New" w:hint="default"/>
      </w:rPr>
    </w:lvl>
    <w:lvl w:ilvl="2" w:tplc="2EBA1B92">
      <w:start w:val="1"/>
      <w:numFmt w:val="bullet"/>
      <w:lvlText w:val=""/>
      <w:lvlJc w:val="left"/>
      <w:pPr>
        <w:ind w:left="2160" w:hanging="360"/>
      </w:pPr>
      <w:rPr>
        <w:rFonts w:ascii="Wingdings" w:hAnsi="Wingdings" w:hint="default"/>
      </w:rPr>
    </w:lvl>
    <w:lvl w:ilvl="3" w:tplc="254E8C34">
      <w:start w:val="1"/>
      <w:numFmt w:val="bullet"/>
      <w:lvlText w:val=""/>
      <w:lvlJc w:val="left"/>
      <w:pPr>
        <w:ind w:left="2880" w:hanging="360"/>
      </w:pPr>
      <w:rPr>
        <w:rFonts w:ascii="Symbol" w:hAnsi="Symbol" w:hint="default"/>
      </w:rPr>
    </w:lvl>
    <w:lvl w:ilvl="4" w:tplc="0D3AAC18">
      <w:start w:val="1"/>
      <w:numFmt w:val="bullet"/>
      <w:lvlText w:val="o"/>
      <w:lvlJc w:val="left"/>
      <w:pPr>
        <w:ind w:left="3600" w:hanging="360"/>
      </w:pPr>
      <w:rPr>
        <w:rFonts w:ascii="Courier New" w:hAnsi="Courier New" w:hint="default"/>
      </w:rPr>
    </w:lvl>
    <w:lvl w:ilvl="5" w:tplc="7E90F670">
      <w:start w:val="1"/>
      <w:numFmt w:val="bullet"/>
      <w:lvlText w:val=""/>
      <w:lvlJc w:val="left"/>
      <w:pPr>
        <w:ind w:left="4320" w:hanging="360"/>
      </w:pPr>
      <w:rPr>
        <w:rFonts w:ascii="Wingdings" w:hAnsi="Wingdings" w:hint="default"/>
      </w:rPr>
    </w:lvl>
    <w:lvl w:ilvl="6" w:tplc="CA2A26D6">
      <w:start w:val="1"/>
      <w:numFmt w:val="bullet"/>
      <w:lvlText w:val=""/>
      <w:lvlJc w:val="left"/>
      <w:pPr>
        <w:ind w:left="5040" w:hanging="360"/>
      </w:pPr>
      <w:rPr>
        <w:rFonts w:ascii="Symbol" w:hAnsi="Symbol" w:hint="default"/>
      </w:rPr>
    </w:lvl>
    <w:lvl w:ilvl="7" w:tplc="2BCA5000">
      <w:start w:val="1"/>
      <w:numFmt w:val="bullet"/>
      <w:lvlText w:val="o"/>
      <w:lvlJc w:val="left"/>
      <w:pPr>
        <w:ind w:left="5760" w:hanging="360"/>
      </w:pPr>
      <w:rPr>
        <w:rFonts w:ascii="Courier New" w:hAnsi="Courier New" w:hint="default"/>
      </w:rPr>
    </w:lvl>
    <w:lvl w:ilvl="8" w:tplc="7CCE7296">
      <w:start w:val="1"/>
      <w:numFmt w:val="bullet"/>
      <w:lvlText w:val=""/>
      <w:lvlJc w:val="left"/>
      <w:pPr>
        <w:ind w:left="6480" w:hanging="360"/>
      </w:pPr>
      <w:rPr>
        <w:rFonts w:ascii="Wingdings" w:hAnsi="Wingdings" w:hint="default"/>
      </w:rPr>
    </w:lvl>
  </w:abstractNum>
  <w:abstractNum w:abstractNumId="62" w15:restartNumberingAfterBreak="0">
    <w:nsid w:val="28782BFE"/>
    <w:multiLevelType w:val="hybridMultilevel"/>
    <w:tmpl w:val="E812A4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28FA48CB"/>
    <w:multiLevelType w:val="multilevel"/>
    <w:tmpl w:val="BAE0CB4A"/>
    <w:lvl w:ilvl="0">
      <w:start w:val="29"/>
      <w:numFmt w:val="decimal"/>
      <w:lvlText w:val="%1."/>
      <w:lvlJc w:val="left"/>
      <w:pPr>
        <w:ind w:left="480" w:hanging="480"/>
      </w:pPr>
      <w:rPr>
        <w:rFonts w:hint="default"/>
      </w:rPr>
    </w:lvl>
    <w:lvl w:ilvl="1">
      <w:start w:val="1"/>
      <w:numFmt w:val="decimal"/>
      <w:lvlText w:val="%1.%2."/>
      <w:lvlJc w:val="left"/>
      <w:pPr>
        <w:ind w:left="6009"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2AF5B86A"/>
    <w:multiLevelType w:val="hybridMultilevel"/>
    <w:tmpl w:val="7FC4EC10"/>
    <w:lvl w:ilvl="0" w:tplc="BD54D48C">
      <w:start w:val="1"/>
      <w:numFmt w:val="bullet"/>
      <w:lvlText w:val="Ø"/>
      <w:lvlJc w:val="left"/>
      <w:pPr>
        <w:ind w:left="720" w:hanging="360"/>
      </w:pPr>
      <w:rPr>
        <w:rFonts w:ascii="Wingdings" w:hAnsi="Wingdings" w:hint="default"/>
      </w:rPr>
    </w:lvl>
    <w:lvl w:ilvl="1" w:tplc="87FEBEC2">
      <w:start w:val="1"/>
      <w:numFmt w:val="bullet"/>
      <w:lvlText w:val="o"/>
      <w:lvlJc w:val="left"/>
      <w:pPr>
        <w:ind w:left="1440" w:hanging="360"/>
      </w:pPr>
      <w:rPr>
        <w:rFonts w:ascii="Courier New" w:hAnsi="Courier New" w:hint="default"/>
      </w:rPr>
    </w:lvl>
    <w:lvl w:ilvl="2" w:tplc="A6B86154">
      <w:start w:val="1"/>
      <w:numFmt w:val="bullet"/>
      <w:lvlText w:val=""/>
      <w:lvlJc w:val="left"/>
      <w:pPr>
        <w:ind w:left="2160" w:hanging="360"/>
      </w:pPr>
      <w:rPr>
        <w:rFonts w:ascii="Wingdings" w:hAnsi="Wingdings" w:hint="default"/>
      </w:rPr>
    </w:lvl>
    <w:lvl w:ilvl="3" w:tplc="4D8A0DD6">
      <w:start w:val="1"/>
      <w:numFmt w:val="bullet"/>
      <w:lvlText w:val=""/>
      <w:lvlJc w:val="left"/>
      <w:pPr>
        <w:ind w:left="2880" w:hanging="360"/>
      </w:pPr>
      <w:rPr>
        <w:rFonts w:ascii="Symbol" w:hAnsi="Symbol" w:hint="default"/>
      </w:rPr>
    </w:lvl>
    <w:lvl w:ilvl="4" w:tplc="07D848E2">
      <w:start w:val="1"/>
      <w:numFmt w:val="bullet"/>
      <w:lvlText w:val="o"/>
      <w:lvlJc w:val="left"/>
      <w:pPr>
        <w:ind w:left="3600" w:hanging="360"/>
      </w:pPr>
      <w:rPr>
        <w:rFonts w:ascii="Courier New" w:hAnsi="Courier New" w:hint="default"/>
      </w:rPr>
    </w:lvl>
    <w:lvl w:ilvl="5" w:tplc="547EFC02">
      <w:start w:val="1"/>
      <w:numFmt w:val="bullet"/>
      <w:lvlText w:val=""/>
      <w:lvlJc w:val="left"/>
      <w:pPr>
        <w:ind w:left="4320" w:hanging="360"/>
      </w:pPr>
      <w:rPr>
        <w:rFonts w:ascii="Wingdings" w:hAnsi="Wingdings" w:hint="default"/>
      </w:rPr>
    </w:lvl>
    <w:lvl w:ilvl="6" w:tplc="6B540494">
      <w:start w:val="1"/>
      <w:numFmt w:val="bullet"/>
      <w:lvlText w:val=""/>
      <w:lvlJc w:val="left"/>
      <w:pPr>
        <w:ind w:left="5040" w:hanging="360"/>
      </w:pPr>
      <w:rPr>
        <w:rFonts w:ascii="Symbol" w:hAnsi="Symbol" w:hint="default"/>
      </w:rPr>
    </w:lvl>
    <w:lvl w:ilvl="7" w:tplc="FA96EFC4">
      <w:start w:val="1"/>
      <w:numFmt w:val="bullet"/>
      <w:lvlText w:val="o"/>
      <w:lvlJc w:val="left"/>
      <w:pPr>
        <w:ind w:left="5760" w:hanging="360"/>
      </w:pPr>
      <w:rPr>
        <w:rFonts w:ascii="Courier New" w:hAnsi="Courier New" w:hint="default"/>
      </w:rPr>
    </w:lvl>
    <w:lvl w:ilvl="8" w:tplc="B1DA8D64">
      <w:start w:val="1"/>
      <w:numFmt w:val="bullet"/>
      <w:lvlText w:val=""/>
      <w:lvlJc w:val="left"/>
      <w:pPr>
        <w:ind w:left="6480" w:hanging="360"/>
      </w:pPr>
      <w:rPr>
        <w:rFonts w:ascii="Wingdings" w:hAnsi="Wingdings" w:hint="default"/>
      </w:rPr>
    </w:lvl>
  </w:abstractNum>
  <w:abstractNum w:abstractNumId="65" w15:restartNumberingAfterBreak="0">
    <w:nsid w:val="2B51034E"/>
    <w:multiLevelType w:val="hybridMultilevel"/>
    <w:tmpl w:val="929A93F4"/>
    <w:lvl w:ilvl="0" w:tplc="B34C1394">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2B5D53CD"/>
    <w:multiLevelType w:val="hybridMultilevel"/>
    <w:tmpl w:val="70FCE356"/>
    <w:lvl w:ilvl="0" w:tplc="240A0001">
      <w:start w:val="1"/>
      <w:numFmt w:val="bullet"/>
      <w:lvlText w:val=""/>
      <w:lvlJc w:val="left"/>
      <w:pPr>
        <w:ind w:left="784" w:hanging="360"/>
      </w:pPr>
      <w:rPr>
        <w:rFonts w:ascii="Symbol" w:hAnsi="Symbol" w:hint="default"/>
      </w:rPr>
    </w:lvl>
    <w:lvl w:ilvl="1" w:tplc="240A0003" w:tentative="1">
      <w:start w:val="1"/>
      <w:numFmt w:val="bullet"/>
      <w:lvlText w:val="o"/>
      <w:lvlJc w:val="left"/>
      <w:pPr>
        <w:ind w:left="1504" w:hanging="360"/>
      </w:pPr>
      <w:rPr>
        <w:rFonts w:ascii="Courier New" w:hAnsi="Courier New" w:cs="Courier New" w:hint="default"/>
      </w:rPr>
    </w:lvl>
    <w:lvl w:ilvl="2" w:tplc="240A0005" w:tentative="1">
      <w:start w:val="1"/>
      <w:numFmt w:val="bullet"/>
      <w:lvlText w:val=""/>
      <w:lvlJc w:val="left"/>
      <w:pPr>
        <w:ind w:left="2224" w:hanging="360"/>
      </w:pPr>
      <w:rPr>
        <w:rFonts w:ascii="Wingdings" w:hAnsi="Wingdings" w:hint="default"/>
      </w:rPr>
    </w:lvl>
    <w:lvl w:ilvl="3" w:tplc="240A0001" w:tentative="1">
      <w:start w:val="1"/>
      <w:numFmt w:val="bullet"/>
      <w:lvlText w:val=""/>
      <w:lvlJc w:val="left"/>
      <w:pPr>
        <w:ind w:left="2944" w:hanging="360"/>
      </w:pPr>
      <w:rPr>
        <w:rFonts w:ascii="Symbol" w:hAnsi="Symbol" w:hint="default"/>
      </w:rPr>
    </w:lvl>
    <w:lvl w:ilvl="4" w:tplc="240A0003" w:tentative="1">
      <w:start w:val="1"/>
      <w:numFmt w:val="bullet"/>
      <w:lvlText w:val="o"/>
      <w:lvlJc w:val="left"/>
      <w:pPr>
        <w:ind w:left="3664" w:hanging="360"/>
      </w:pPr>
      <w:rPr>
        <w:rFonts w:ascii="Courier New" w:hAnsi="Courier New" w:cs="Courier New" w:hint="default"/>
      </w:rPr>
    </w:lvl>
    <w:lvl w:ilvl="5" w:tplc="240A0005" w:tentative="1">
      <w:start w:val="1"/>
      <w:numFmt w:val="bullet"/>
      <w:lvlText w:val=""/>
      <w:lvlJc w:val="left"/>
      <w:pPr>
        <w:ind w:left="4384" w:hanging="360"/>
      </w:pPr>
      <w:rPr>
        <w:rFonts w:ascii="Wingdings" w:hAnsi="Wingdings" w:hint="default"/>
      </w:rPr>
    </w:lvl>
    <w:lvl w:ilvl="6" w:tplc="240A0001" w:tentative="1">
      <w:start w:val="1"/>
      <w:numFmt w:val="bullet"/>
      <w:lvlText w:val=""/>
      <w:lvlJc w:val="left"/>
      <w:pPr>
        <w:ind w:left="5104" w:hanging="360"/>
      </w:pPr>
      <w:rPr>
        <w:rFonts w:ascii="Symbol" w:hAnsi="Symbol" w:hint="default"/>
      </w:rPr>
    </w:lvl>
    <w:lvl w:ilvl="7" w:tplc="240A0003" w:tentative="1">
      <w:start w:val="1"/>
      <w:numFmt w:val="bullet"/>
      <w:lvlText w:val="o"/>
      <w:lvlJc w:val="left"/>
      <w:pPr>
        <w:ind w:left="5824" w:hanging="360"/>
      </w:pPr>
      <w:rPr>
        <w:rFonts w:ascii="Courier New" w:hAnsi="Courier New" w:cs="Courier New" w:hint="default"/>
      </w:rPr>
    </w:lvl>
    <w:lvl w:ilvl="8" w:tplc="240A0005" w:tentative="1">
      <w:start w:val="1"/>
      <w:numFmt w:val="bullet"/>
      <w:lvlText w:val=""/>
      <w:lvlJc w:val="left"/>
      <w:pPr>
        <w:ind w:left="6544" w:hanging="360"/>
      </w:pPr>
      <w:rPr>
        <w:rFonts w:ascii="Wingdings" w:hAnsi="Wingdings" w:hint="default"/>
      </w:rPr>
    </w:lvl>
  </w:abstractNum>
  <w:abstractNum w:abstractNumId="67" w15:restartNumberingAfterBreak="0">
    <w:nsid w:val="2C35EB96"/>
    <w:multiLevelType w:val="hybridMultilevel"/>
    <w:tmpl w:val="FFFFFFFF"/>
    <w:lvl w:ilvl="0" w:tplc="DB1ECD12">
      <w:start w:val="1"/>
      <w:numFmt w:val="lowerLetter"/>
      <w:lvlText w:val="%1."/>
      <w:lvlJc w:val="left"/>
      <w:pPr>
        <w:ind w:left="720" w:hanging="360"/>
      </w:pPr>
    </w:lvl>
    <w:lvl w:ilvl="1" w:tplc="B838B1F0">
      <w:start w:val="1"/>
      <w:numFmt w:val="lowerLetter"/>
      <w:lvlText w:val="%2."/>
      <w:lvlJc w:val="left"/>
      <w:pPr>
        <w:ind w:left="1440" w:hanging="360"/>
      </w:pPr>
    </w:lvl>
    <w:lvl w:ilvl="2" w:tplc="C380BC3E">
      <w:start w:val="1"/>
      <w:numFmt w:val="lowerRoman"/>
      <w:lvlText w:val="%3."/>
      <w:lvlJc w:val="right"/>
      <w:pPr>
        <w:ind w:left="2160" w:hanging="180"/>
      </w:pPr>
    </w:lvl>
    <w:lvl w:ilvl="3" w:tplc="39525F60">
      <w:start w:val="1"/>
      <w:numFmt w:val="decimal"/>
      <w:lvlText w:val="%4."/>
      <w:lvlJc w:val="left"/>
      <w:pPr>
        <w:ind w:left="2880" w:hanging="360"/>
      </w:pPr>
    </w:lvl>
    <w:lvl w:ilvl="4" w:tplc="4CA2605A">
      <w:start w:val="1"/>
      <w:numFmt w:val="lowerLetter"/>
      <w:lvlText w:val="%5."/>
      <w:lvlJc w:val="left"/>
      <w:pPr>
        <w:ind w:left="3600" w:hanging="360"/>
      </w:pPr>
    </w:lvl>
    <w:lvl w:ilvl="5" w:tplc="E01C1EC4">
      <w:start w:val="1"/>
      <w:numFmt w:val="lowerRoman"/>
      <w:lvlText w:val="%6."/>
      <w:lvlJc w:val="right"/>
      <w:pPr>
        <w:ind w:left="4320" w:hanging="180"/>
      </w:pPr>
    </w:lvl>
    <w:lvl w:ilvl="6" w:tplc="9F2A9F6A">
      <w:start w:val="1"/>
      <w:numFmt w:val="decimal"/>
      <w:lvlText w:val="%7."/>
      <w:lvlJc w:val="left"/>
      <w:pPr>
        <w:ind w:left="5040" w:hanging="360"/>
      </w:pPr>
    </w:lvl>
    <w:lvl w:ilvl="7" w:tplc="3B32523A">
      <w:start w:val="1"/>
      <w:numFmt w:val="lowerLetter"/>
      <w:lvlText w:val="%8."/>
      <w:lvlJc w:val="left"/>
      <w:pPr>
        <w:ind w:left="5760" w:hanging="360"/>
      </w:pPr>
    </w:lvl>
    <w:lvl w:ilvl="8" w:tplc="EAFC8052">
      <w:start w:val="1"/>
      <w:numFmt w:val="lowerRoman"/>
      <w:lvlText w:val="%9."/>
      <w:lvlJc w:val="right"/>
      <w:pPr>
        <w:ind w:left="6480" w:hanging="180"/>
      </w:pPr>
    </w:lvl>
  </w:abstractNum>
  <w:abstractNum w:abstractNumId="68" w15:restartNumberingAfterBreak="0">
    <w:nsid w:val="2D51144D"/>
    <w:multiLevelType w:val="hybridMultilevel"/>
    <w:tmpl w:val="9B4649D2"/>
    <w:lvl w:ilvl="0" w:tplc="6A805338">
      <w:start w:val="1"/>
      <w:numFmt w:val="bullet"/>
      <w:lvlText w:val="Ø"/>
      <w:lvlJc w:val="left"/>
      <w:pPr>
        <w:ind w:left="720" w:hanging="360"/>
      </w:pPr>
      <w:rPr>
        <w:rFonts w:ascii="Wingdings" w:hAnsi="Wingdings" w:hint="default"/>
      </w:rPr>
    </w:lvl>
    <w:lvl w:ilvl="1" w:tplc="DE18BE1E">
      <w:start w:val="1"/>
      <w:numFmt w:val="bullet"/>
      <w:lvlText w:val="o"/>
      <w:lvlJc w:val="left"/>
      <w:pPr>
        <w:ind w:left="1440" w:hanging="360"/>
      </w:pPr>
      <w:rPr>
        <w:rFonts w:ascii="Courier New" w:hAnsi="Courier New" w:hint="default"/>
      </w:rPr>
    </w:lvl>
    <w:lvl w:ilvl="2" w:tplc="FD4A8920">
      <w:start w:val="1"/>
      <w:numFmt w:val="bullet"/>
      <w:lvlText w:val=""/>
      <w:lvlJc w:val="left"/>
      <w:pPr>
        <w:ind w:left="2160" w:hanging="360"/>
      </w:pPr>
      <w:rPr>
        <w:rFonts w:ascii="Wingdings" w:hAnsi="Wingdings" w:hint="default"/>
      </w:rPr>
    </w:lvl>
    <w:lvl w:ilvl="3" w:tplc="33D6F486">
      <w:start w:val="1"/>
      <w:numFmt w:val="bullet"/>
      <w:lvlText w:val=""/>
      <w:lvlJc w:val="left"/>
      <w:pPr>
        <w:ind w:left="2880" w:hanging="360"/>
      </w:pPr>
      <w:rPr>
        <w:rFonts w:ascii="Symbol" w:hAnsi="Symbol" w:hint="default"/>
      </w:rPr>
    </w:lvl>
    <w:lvl w:ilvl="4" w:tplc="3C9ED6BC">
      <w:start w:val="1"/>
      <w:numFmt w:val="bullet"/>
      <w:lvlText w:val="o"/>
      <w:lvlJc w:val="left"/>
      <w:pPr>
        <w:ind w:left="3600" w:hanging="360"/>
      </w:pPr>
      <w:rPr>
        <w:rFonts w:ascii="Courier New" w:hAnsi="Courier New" w:hint="default"/>
      </w:rPr>
    </w:lvl>
    <w:lvl w:ilvl="5" w:tplc="649C2E46">
      <w:start w:val="1"/>
      <w:numFmt w:val="bullet"/>
      <w:lvlText w:val=""/>
      <w:lvlJc w:val="left"/>
      <w:pPr>
        <w:ind w:left="4320" w:hanging="360"/>
      </w:pPr>
      <w:rPr>
        <w:rFonts w:ascii="Wingdings" w:hAnsi="Wingdings" w:hint="default"/>
      </w:rPr>
    </w:lvl>
    <w:lvl w:ilvl="6" w:tplc="A73AE880">
      <w:start w:val="1"/>
      <w:numFmt w:val="bullet"/>
      <w:lvlText w:val=""/>
      <w:lvlJc w:val="left"/>
      <w:pPr>
        <w:ind w:left="5040" w:hanging="360"/>
      </w:pPr>
      <w:rPr>
        <w:rFonts w:ascii="Symbol" w:hAnsi="Symbol" w:hint="default"/>
      </w:rPr>
    </w:lvl>
    <w:lvl w:ilvl="7" w:tplc="282C9620">
      <w:start w:val="1"/>
      <w:numFmt w:val="bullet"/>
      <w:lvlText w:val="o"/>
      <w:lvlJc w:val="left"/>
      <w:pPr>
        <w:ind w:left="5760" w:hanging="360"/>
      </w:pPr>
      <w:rPr>
        <w:rFonts w:ascii="Courier New" w:hAnsi="Courier New" w:hint="default"/>
      </w:rPr>
    </w:lvl>
    <w:lvl w:ilvl="8" w:tplc="CADA8B58">
      <w:start w:val="1"/>
      <w:numFmt w:val="bullet"/>
      <w:lvlText w:val=""/>
      <w:lvlJc w:val="left"/>
      <w:pPr>
        <w:ind w:left="6480" w:hanging="360"/>
      </w:pPr>
      <w:rPr>
        <w:rFonts w:ascii="Wingdings" w:hAnsi="Wingdings" w:hint="default"/>
      </w:rPr>
    </w:lvl>
  </w:abstractNum>
  <w:abstractNum w:abstractNumId="69" w15:restartNumberingAfterBreak="0">
    <w:nsid w:val="2DC33D56"/>
    <w:multiLevelType w:val="hybridMultilevel"/>
    <w:tmpl w:val="4598374A"/>
    <w:lvl w:ilvl="0" w:tplc="B34C1394">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0" w15:restartNumberingAfterBreak="0">
    <w:nsid w:val="2E2203C8"/>
    <w:multiLevelType w:val="hybridMultilevel"/>
    <w:tmpl w:val="816A23C4"/>
    <w:lvl w:ilvl="0" w:tplc="0D32B7C4">
      <w:start w:val="1"/>
      <w:numFmt w:val="decimal"/>
      <w:pStyle w:val="Ttulo2"/>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1" w15:restartNumberingAfterBreak="0">
    <w:nsid w:val="309400C9"/>
    <w:multiLevelType w:val="hybridMultilevel"/>
    <w:tmpl w:val="FFFFFFFF"/>
    <w:lvl w:ilvl="0" w:tplc="0E52E056">
      <w:start w:val="1"/>
      <w:numFmt w:val="lowerLetter"/>
      <w:lvlText w:val="%1."/>
      <w:lvlJc w:val="left"/>
      <w:pPr>
        <w:ind w:left="720" w:hanging="360"/>
      </w:pPr>
    </w:lvl>
    <w:lvl w:ilvl="1" w:tplc="BF5A8B0E">
      <w:start w:val="1"/>
      <w:numFmt w:val="lowerLetter"/>
      <w:lvlText w:val="%2."/>
      <w:lvlJc w:val="left"/>
      <w:pPr>
        <w:ind w:left="1440" w:hanging="360"/>
      </w:pPr>
    </w:lvl>
    <w:lvl w:ilvl="2" w:tplc="3DEE3A50">
      <w:start w:val="1"/>
      <w:numFmt w:val="lowerRoman"/>
      <w:lvlText w:val="%3."/>
      <w:lvlJc w:val="right"/>
      <w:pPr>
        <w:ind w:left="2160" w:hanging="180"/>
      </w:pPr>
    </w:lvl>
    <w:lvl w:ilvl="3" w:tplc="56D2264C">
      <w:start w:val="1"/>
      <w:numFmt w:val="decimal"/>
      <w:lvlText w:val="%4."/>
      <w:lvlJc w:val="left"/>
      <w:pPr>
        <w:ind w:left="2880" w:hanging="360"/>
      </w:pPr>
    </w:lvl>
    <w:lvl w:ilvl="4" w:tplc="AF7E17DE">
      <w:start w:val="1"/>
      <w:numFmt w:val="lowerLetter"/>
      <w:lvlText w:val="%5."/>
      <w:lvlJc w:val="left"/>
      <w:pPr>
        <w:ind w:left="3600" w:hanging="360"/>
      </w:pPr>
    </w:lvl>
    <w:lvl w:ilvl="5" w:tplc="1644B56A">
      <w:start w:val="1"/>
      <w:numFmt w:val="lowerRoman"/>
      <w:lvlText w:val="%6."/>
      <w:lvlJc w:val="right"/>
      <w:pPr>
        <w:ind w:left="4320" w:hanging="180"/>
      </w:pPr>
    </w:lvl>
    <w:lvl w:ilvl="6" w:tplc="4568F920">
      <w:start w:val="1"/>
      <w:numFmt w:val="decimal"/>
      <w:lvlText w:val="%7."/>
      <w:lvlJc w:val="left"/>
      <w:pPr>
        <w:ind w:left="5040" w:hanging="360"/>
      </w:pPr>
    </w:lvl>
    <w:lvl w:ilvl="7" w:tplc="DBEA51E2">
      <w:start w:val="1"/>
      <w:numFmt w:val="lowerLetter"/>
      <w:lvlText w:val="%8."/>
      <w:lvlJc w:val="left"/>
      <w:pPr>
        <w:ind w:left="5760" w:hanging="360"/>
      </w:pPr>
    </w:lvl>
    <w:lvl w:ilvl="8" w:tplc="D6841BF6">
      <w:start w:val="1"/>
      <w:numFmt w:val="lowerRoman"/>
      <w:lvlText w:val="%9."/>
      <w:lvlJc w:val="right"/>
      <w:pPr>
        <w:ind w:left="6480" w:hanging="180"/>
      </w:pPr>
    </w:lvl>
  </w:abstractNum>
  <w:abstractNum w:abstractNumId="72" w15:restartNumberingAfterBreak="0">
    <w:nsid w:val="311CD6E2"/>
    <w:multiLevelType w:val="hybridMultilevel"/>
    <w:tmpl w:val="EB9C77AA"/>
    <w:lvl w:ilvl="0" w:tplc="2F6CABEE">
      <w:start w:val="1"/>
      <w:numFmt w:val="bullet"/>
      <w:lvlText w:val="·"/>
      <w:lvlJc w:val="left"/>
      <w:pPr>
        <w:ind w:left="720" w:hanging="360"/>
      </w:pPr>
      <w:rPr>
        <w:rFonts w:ascii="Symbol" w:hAnsi="Symbol" w:hint="default"/>
      </w:rPr>
    </w:lvl>
    <w:lvl w:ilvl="1" w:tplc="7BA0504C">
      <w:start w:val="1"/>
      <w:numFmt w:val="bullet"/>
      <w:lvlText w:val="o"/>
      <w:lvlJc w:val="left"/>
      <w:pPr>
        <w:ind w:left="1440" w:hanging="360"/>
      </w:pPr>
      <w:rPr>
        <w:rFonts w:ascii="Courier New" w:hAnsi="Courier New" w:hint="default"/>
      </w:rPr>
    </w:lvl>
    <w:lvl w:ilvl="2" w:tplc="D11CB6CC">
      <w:start w:val="1"/>
      <w:numFmt w:val="bullet"/>
      <w:lvlText w:val=""/>
      <w:lvlJc w:val="left"/>
      <w:pPr>
        <w:ind w:left="2160" w:hanging="360"/>
      </w:pPr>
      <w:rPr>
        <w:rFonts w:ascii="Wingdings" w:hAnsi="Wingdings" w:hint="default"/>
      </w:rPr>
    </w:lvl>
    <w:lvl w:ilvl="3" w:tplc="442810E8">
      <w:start w:val="1"/>
      <w:numFmt w:val="bullet"/>
      <w:lvlText w:val=""/>
      <w:lvlJc w:val="left"/>
      <w:pPr>
        <w:ind w:left="2880" w:hanging="360"/>
      </w:pPr>
      <w:rPr>
        <w:rFonts w:ascii="Symbol" w:hAnsi="Symbol" w:hint="default"/>
      </w:rPr>
    </w:lvl>
    <w:lvl w:ilvl="4" w:tplc="E63C503C">
      <w:start w:val="1"/>
      <w:numFmt w:val="bullet"/>
      <w:lvlText w:val="o"/>
      <w:lvlJc w:val="left"/>
      <w:pPr>
        <w:ind w:left="3600" w:hanging="360"/>
      </w:pPr>
      <w:rPr>
        <w:rFonts w:ascii="Courier New" w:hAnsi="Courier New" w:hint="default"/>
      </w:rPr>
    </w:lvl>
    <w:lvl w:ilvl="5" w:tplc="7C7C01DE">
      <w:start w:val="1"/>
      <w:numFmt w:val="bullet"/>
      <w:lvlText w:val=""/>
      <w:lvlJc w:val="left"/>
      <w:pPr>
        <w:ind w:left="4320" w:hanging="360"/>
      </w:pPr>
      <w:rPr>
        <w:rFonts w:ascii="Wingdings" w:hAnsi="Wingdings" w:hint="default"/>
      </w:rPr>
    </w:lvl>
    <w:lvl w:ilvl="6" w:tplc="EC4A5842">
      <w:start w:val="1"/>
      <w:numFmt w:val="bullet"/>
      <w:lvlText w:val=""/>
      <w:lvlJc w:val="left"/>
      <w:pPr>
        <w:ind w:left="5040" w:hanging="360"/>
      </w:pPr>
      <w:rPr>
        <w:rFonts w:ascii="Symbol" w:hAnsi="Symbol" w:hint="default"/>
      </w:rPr>
    </w:lvl>
    <w:lvl w:ilvl="7" w:tplc="5A06070C">
      <w:start w:val="1"/>
      <w:numFmt w:val="bullet"/>
      <w:lvlText w:val="o"/>
      <w:lvlJc w:val="left"/>
      <w:pPr>
        <w:ind w:left="5760" w:hanging="360"/>
      </w:pPr>
      <w:rPr>
        <w:rFonts w:ascii="Courier New" w:hAnsi="Courier New" w:hint="default"/>
      </w:rPr>
    </w:lvl>
    <w:lvl w:ilvl="8" w:tplc="D21E4114">
      <w:start w:val="1"/>
      <w:numFmt w:val="bullet"/>
      <w:lvlText w:val=""/>
      <w:lvlJc w:val="left"/>
      <w:pPr>
        <w:ind w:left="6480" w:hanging="360"/>
      </w:pPr>
      <w:rPr>
        <w:rFonts w:ascii="Wingdings" w:hAnsi="Wingdings" w:hint="default"/>
      </w:rPr>
    </w:lvl>
  </w:abstractNum>
  <w:abstractNum w:abstractNumId="73" w15:restartNumberingAfterBreak="0">
    <w:nsid w:val="3197220C"/>
    <w:multiLevelType w:val="hybridMultilevel"/>
    <w:tmpl w:val="D414B2E4"/>
    <w:lvl w:ilvl="0" w:tplc="51B64278">
      <w:start w:val="1"/>
      <w:numFmt w:val="bullet"/>
      <w:lvlText w:val="Ø"/>
      <w:lvlJc w:val="left"/>
      <w:pPr>
        <w:ind w:left="720" w:hanging="360"/>
      </w:pPr>
      <w:rPr>
        <w:rFonts w:ascii="Wingdings" w:hAnsi="Wingdings" w:hint="default"/>
      </w:rPr>
    </w:lvl>
    <w:lvl w:ilvl="1" w:tplc="625AB556">
      <w:start w:val="1"/>
      <w:numFmt w:val="bullet"/>
      <w:lvlText w:val="o"/>
      <w:lvlJc w:val="left"/>
      <w:pPr>
        <w:ind w:left="1440" w:hanging="360"/>
      </w:pPr>
      <w:rPr>
        <w:rFonts w:ascii="Courier New" w:hAnsi="Courier New" w:hint="default"/>
      </w:rPr>
    </w:lvl>
    <w:lvl w:ilvl="2" w:tplc="5302EB6C">
      <w:start w:val="1"/>
      <w:numFmt w:val="bullet"/>
      <w:lvlText w:val=""/>
      <w:lvlJc w:val="left"/>
      <w:pPr>
        <w:ind w:left="2160" w:hanging="360"/>
      </w:pPr>
      <w:rPr>
        <w:rFonts w:ascii="Wingdings" w:hAnsi="Wingdings" w:hint="default"/>
      </w:rPr>
    </w:lvl>
    <w:lvl w:ilvl="3" w:tplc="255A34F6">
      <w:start w:val="1"/>
      <w:numFmt w:val="bullet"/>
      <w:lvlText w:val=""/>
      <w:lvlJc w:val="left"/>
      <w:pPr>
        <w:ind w:left="2880" w:hanging="360"/>
      </w:pPr>
      <w:rPr>
        <w:rFonts w:ascii="Symbol" w:hAnsi="Symbol" w:hint="default"/>
      </w:rPr>
    </w:lvl>
    <w:lvl w:ilvl="4" w:tplc="2C8C4C30">
      <w:start w:val="1"/>
      <w:numFmt w:val="bullet"/>
      <w:lvlText w:val="o"/>
      <w:lvlJc w:val="left"/>
      <w:pPr>
        <w:ind w:left="3600" w:hanging="360"/>
      </w:pPr>
      <w:rPr>
        <w:rFonts w:ascii="Courier New" w:hAnsi="Courier New" w:hint="default"/>
      </w:rPr>
    </w:lvl>
    <w:lvl w:ilvl="5" w:tplc="59B4B426">
      <w:start w:val="1"/>
      <w:numFmt w:val="bullet"/>
      <w:lvlText w:val=""/>
      <w:lvlJc w:val="left"/>
      <w:pPr>
        <w:ind w:left="4320" w:hanging="360"/>
      </w:pPr>
      <w:rPr>
        <w:rFonts w:ascii="Wingdings" w:hAnsi="Wingdings" w:hint="default"/>
      </w:rPr>
    </w:lvl>
    <w:lvl w:ilvl="6" w:tplc="91FAA3F4">
      <w:start w:val="1"/>
      <w:numFmt w:val="bullet"/>
      <w:lvlText w:val=""/>
      <w:lvlJc w:val="left"/>
      <w:pPr>
        <w:ind w:left="5040" w:hanging="360"/>
      </w:pPr>
      <w:rPr>
        <w:rFonts w:ascii="Symbol" w:hAnsi="Symbol" w:hint="default"/>
      </w:rPr>
    </w:lvl>
    <w:lvl w:ilvl="7" w:tplc="7A0ECA34">
      <w:start w:val="1"/>
      <w:numFmt w:val="bullet"/>
      <w:lvlText w:val="o"/>
      <w:lvlJc w:val="left"/>
      <w:pPr>
        <w:ind w:left="5760" w:hanging="360"/>
      </w:pPr>
      <w:rPr>
        <w:rFonts w:ascii="Courier New" w:hAnsi="Courier New" w:hint="default"/>
      </w:rPr>
    </w:lvl>
    <w:lvl w:ilvl="8" w:tplc="D82E05FA">
      <w:start w:val="1"/>
      <w:numFmt w:val="bullet"/>
      <w:lvlText w:val=""/>
      <w:lvlJc w:val="left"/>
      <w:pPr>
        <w:ind w:left="6480" w:hanging="360"/>
      </w:pPr>
      <w:rPr>
        <w:rFonts w:ascii="Wingdings" w:hAnsi="Wingdings" w:hint="default"/>
      </w:rPr>
    </w:lvl>
  </w:abstractNum>
  <w:abstractNum w:abstractNumId="74" w15:restartNumberingAfterBreak="0">
    <w:nsid w:val="31C2187D"/>
    <w:multiLevelType w:val="hybridMultilevel"/>
    <w:tmpl w:val="1C5C5A0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335912DB"/>
    <w:multiLevelType w:val="hybridMultilevel"/>
    <w:tmpl w:val="FC7A9FF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15:restartNumberingAfterBreak="0">
    <w:nsid w:val="33B44F73"/>
    <w:multiLevelType w:val="hybridMultilevel"/>
    <w:tmpl w:val="6588749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7" w15:restartNumberingAfterBreak="0">
    <w:nsid w:val="36065036"/>
    <w:multiLevelType w:val="hybridMultilevel"/>
    <w:tmpl w:val="768EB0E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8" w15:restartNumberingAfterBreak="0">
    <w:nsid w:val="360C2D18"/>
    <w:multiLevelType w:val="hybridMultilevel"/>
    <w:tmpl w:val="6460336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15:restartNumberingAfterBreak="0">
    <w:nsid w:val="3644139A"/>
    <w:multiLevelType w:val="multilevel"/>
    <w:tmpl w:val="4044F8CC"/>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0" w15:restartNumberingAfterBreak="0">
    <w:nsid w:val="37F4415D"/>
    <w:multiLevelType w:val="hybridMultilevel"/>
    <w:tmpl w:val="1544501A"/>
    <w:lvl w:ilvl="0" w:tplc="FFFFFFFF">
      <w:start w:val="1"/>
      <w:numFmt w:val="lowerLetter"/>
      <w:lvlText w:val="%1."/>
      <w:lvlJc w:val="left"/>
      <w:pPr>
        <w:ind w:left="720" w:hanging="360"/>
      </w:pPr>
      <w:rPr>
        <w:rFonts w:ascii="Times New Roman" w:hAnsi="Times New Roman"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38F0F975"/>
    <w:multiLevelType w:val="hybridMultilevel"/>
    <w:tmpl w:val="FFFFFFFF"/>
    <w:lvl w:ilvl="0" w:tplc="59B609EA">
      <w:start w:val="1"/>
      <w:numFmt w:val="bullet"/>
      <w:lvlText w:val=""/>
      <w:lvlJc w:val="left"/>
      <w:pPr>
        <w:ind w:left="720" w:hanging="360"/>
      </w:pPr>
      <w:rPr>
        <w:rFonts w:ascii="Symbol" w:hAnsi="Symbol" w:hint="default"/>
      </w:rPr>
    </w:lvl>
    <w:lvl w:ilvl="1" w:tplc="92C41574">
      <w:start w:val="1"/>
      <w:numFmt w:val="bullet"/>
      <w:lvlText w:val="o"/>
      <w:lvlJc w:val="left"/>
      <w:pPr>
        <w:ind w:left="1440" w:hanging="360"/>
      </w:pPr>
      <w:rPr>
        <w:rFonts w:ascii="Courier New" w:hAnsi="Courier New" w:hint="default"/>
      </w:rPr>
    </w:lvl>
    <w:lvl w:ilvl="2" w:tplc="454A838C">
      <w:start w:val="1"/>
      <w:numFmt w:val="bullet"/>
      <w:lvlText w:val=""/>
      <w:lvlJc w:val="left"/>
      <w:pPr>
        <w:ind w:left="2160" w:hanging="360"/>
      </w:pPr>
      <w:rPr>
        <w:rFonts w:ascii="Wingdings" w:hAnsi="Wingdings" w:hint="default"/>
      </w:rPr>
    </w:lvl>
    <w:lvl w:ilvl="3" w:tplc="04081A76">
      <w:start w:val="1"/>
      <w:numFmt w:val="bullet"/>
      <w:lvlText w:val=""/>
      <w:lvlJc w:val="left"/>
      <w:pPr>
        <w:ind w:left="2880" w:hanging="360"/>
      </w:pPr>
      <w:rPr>
        <w:rFonts w:ascii="Symbol" w:hAnsi="Symbol" w:hint="default"/>
      </w:rPr>
    </w:lvl>
    <w:lvl w:ilvl="4" w:tplc="6E2ADA14">
      <w:start w:val="1"/>
      <w:numFmt w:val="bullet"/>
      <w:lvlText w:val="o"/>
      <w:lvlJc w:val="left"/>
      <w:pPr>
        <w:ind w:left="3600" w:hanging="360"/>
      </w:pPr>
      <w:rPr>
        <w:rFonts w:ascii="Courier New" w:hAnsi="Courier New" w:hint="default"/>
      </w:rPr>
    </w:lvl>
    <w:lvl w:ilvl="5" w:tplc="B43852A8">
      <w:start w:val="1"/>
      <w:numFmt w:val="bullet"/>
      <w:lvlText w:val=""/>
      <w:lvlJc w:val="left"/>
      <w:pPr>
        <w:ind w:left="4320" w:hanging="360"/>
      </w:pPr>
      <w:rPr>
        <w:rFonts w:ascii="Wingdings" w:hAnsi="Wingdings" w:hint="default"/>
      </w:rPr>
    </w:lvl>
    <w:lvl w:ilvl="6" w:tplc="51C43E8A">
      <w:start w:val="1"/>
      <w:numFmt w:val="bullet"/>
      <w:lvlText w:val=""/>
      <w:lvlJc w:val="left"/>
      <w:pPr>
        <w:ind w:left="5040" w:hanging="360"/>
      </w:pPr>
      <w:rPr>
        <w:rFonts w:ascii="Symbol" w:hAnsi="Symbol" w:hint="default"/>
      </w:rPr>
    </w:lvl>
    <w:lvl w:ilvl="7" w:tplc="C5945F0C">
      <w:start w:val="1"/>
      <w:numFmt w:val="bullet"/>
      <w:lvlText w:val="o"/>
      <w:lvlJc w:val="left"/>
      <w:pPr>
        <w:ind w:left="5760" w:hanging="360"/>
      </w:pPr>
      <w:rPr>
        <w:rFonts w:ascii="Courier New" w:hAnsi="Courier New" w:hint="default"/>
      </w:rPr>
    </w:lvl>
    <w:lvl w:ilvl="8" w:tplc="BFEA0D80">
      <w:start w:val="1"/>
      <w:numFmt w:val="bullet"/>
      <w:lvlText w:val=""/>
      <w:lvlJc w:val="left"/>
      <w:pPr>
        <w:ind w:left="6480" w:hanging="360"/>
      </w:pPr>
      <w:rPr>
        <w:rFonts w:ascii="Wingdings" w:hAnsi="Wingdings" w:hint="default"/>
      </w:rPr>
    </w:lvl>
  </w:abstractNum>
  <w:abstractNum w:abstractNumId="82" w15:restartNumberingAfterBreak="0">
    <w:nsid w:val="392B5BB4"/>
    <w:multiLevelType w:val="hybridMultilevel"/>
    <w:tmpl w:val="C272306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393D2051"/>
    <w:multiLevelType w:val="multilevel"/>
    <w:tmpl w:val="FAB46232"/>
    <w:lvl w:ilvl="0">
      <w:start w:val="7"/>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4" w15:restartNumberingAfterBreak="0">
    <w:nsid w:val="3BCA65C1"/>
    <w:multiLevelType w:val="hybridMultilevel"/>
    <w:tmpl w:val="E816367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3C542120"/>
    <w:multiLevelType w:val="hybridMultilevel"/>
    <w:tmpl w:val="9C38A334"/>
    <w:lvl w:ilvl="0" w:tplc="8FE85E70">
      <w:numFmt w:val="bullet"/>
      <w:lvlText w:val="-"/>
      <w:lvlJc w:val="left"/>
      <w:pPr>
        <w:ind w:left="360" w:hanging="360"/>
      </w:pPr>
      <w:rPr>
        <w:rFonts w:ascii="Times New Roman" w:eastAsia="Calibri" w:hAnsi="Times New Roman" w:cs="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6" w15:restartNumberingAfterBreak="0">
    <w:nsid w:val="3DA35426"/>
    <w:multiLevelType w:val="hybridMultilevel"/>
    <w:tmpl w:val="F6664262"/>
    <w:lvl w:ilvl="0" w:tplc="B34C1394">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7" w15:restartNumberingAfterBreak="0">
    <w:nsid w:val="3E03417F"/>
    <w:multiLevelType w:val="hybridMultilevel"/>
    <w:tmpl w:val="FFFFFFFF"/>
    <w:lvl w:ilvl="0" w:tplc="EB9EBAD6">
      <w:start w:val="1"/>
      <w:numFmt w:val="lowerLetter"/>
      <w:lvlText w:val="%1."/>
      <w:lvlJc w:val="left"/>
      <w:pPr>
        <w:ind w:left="720" w:hanging="360"/>
      </w:pPr>
    </w:lvl>
    <w:lvl w:ilvl="1" w:tplc="304406FC">
      <w:start w:val="1"/>
      <w:numFmt w:val="lowerLetter"/>
      <w:lvlText w:val="%2."/>
      <w:lvlJc w:val="left"/>
      <w:pPr>
        <w:ind w:left="1440" w:hanging="360"/>
      </w:pPr>
    </w:lvl>
    <w:lvl w:ilvl="2" w:tplc="53487748">
      <w:start w:val="1"/>
      <w:numFmt w:val="lowerRoman"/>
      <w:lvlText w:val="%3."/>
      <w:lvlJc w:val="right"/>
      <w:pPr>
        <w:ind w:left="2160" w:hanging="180"/>
      </w:pPr>
    </w:lvl>
    <w:lvl w:ilvl="3" w:tplc="7EAC1712">
      <w:start w:val="1"/>
      <w:numFmt w:val="decimal"/>
      <w:lvlText w:val="%4."/>
      <w:lvlJc w:val="left"/>
      <w:pPr>
        <w:ind w:left="2880" w:hanging="360"/>
      </w:pPr>
    </w:lvl>
    <w:lvl w:ilvl="4" w:tplc="719260D6">
      <w:start w:val="1"/>
      <w:numFmt w:val="lowerLetter"/>
      <w:lvlText w:val="%5."/>
      <w:lvlJc w:val="left"/>
      <w:pPr>
        <w:ind w:left="3600" w:hanging="360"/>
      </w:pPr>
    </w:lvl>
    <w:lvl w:ilvl="5" w:tplc="9104BEDC">
      <w:start w:val="1"/>
      <w:numFmt w:val="lowerRoman"/>
      <w:lvlText w:val="%6."/>
      <w:lvlJc w:val="right"/>
      <w:pPr>
        <w:ind w:left="4320" w:hanging="180"/>
      </w:pPr>
    </w:lvl>
    <w:lvl w:ilvl="6" w:tplc="6F4423E4">
      <w:start w:val="1"/>
      <w:numFmt w:val="decimal"/>
      <w:lvlText w:val="%7."/>
      <w:lvlJc w:val="left"/>
      <w:pPr>
        <w:ind w:left="5040" w:hanging="360"/>
      </w:pPr>
    </w:lvl>
    <w:lvl w:ilvl="7" w:tplc="51C420B6">
      <w:start w:val="1"/>
      <w:numFmt w:val="lowerLetter"/>
      <w:lvlText w:val="%8."/>
      <w:lvlJc w:val="left"/>
      <w:pPr>
        <w:ind w:left="5760" w:hanging="360"/>
      </w:pPr>
    </w:lvl>
    <w:lvl w:ilvl="8" w:tplc="6026F8B0">
      <w:start w:val="1"/>
      <w:numFmt w:val="lowerRoman"/>
      <w:lvlText w:val="%9."/>
      <w:lvlJc w:val="right"/>
      <w:pPr>
        <w:ind w:left="6480" w:hanging="180"/>
      </w:pPr>
    </w:lvl>
  </w:abstractNum>
  <w:abstractNum w:abstractNumId="88" w15:restartNumberingAfterBreak="0">
    <w:nsid w:val="3E670766"/>
    <w:multiLevelType w:val="hybridMultilevel"/>
    <w:tmpl w:val="49D2867E"/>
    <w:lvl w:ilvl="0" w:tplc="22F228F0">
      <w:start w:val="1"/>
      <w:numFmt w:val="bullet"/>
      <w:lvlText w:val="o"/>
      <w:lvlJc w:val="left"/>
      <w:pPr>
        <w:ind w:left="720" w:hanging="360"/>
      </w:pPr>
      <w:rPr>
        <w:rFonts w:ascii="&quot;Courier New&quot;" w:hAnsi="&quot;Courier New&quot;" w:hint="default"/>
      </w:rPr>
    </w:lvl>
    <w:lvl w:ilvl="1" w:tplc="DF1CF96A">
      <w:start w:val="1"/>
      <w:numFmt w:val="bullet"/>
      <w:lvlText w:val="o"/>
      <w:lvlJc w:val="left"/>
      <w:pPr>
        <w:ind w:left="1440" w:hanging="360"/>
      </w:pPr>
      <w:rPr>
        <w:rFonts w:ascii="Courier New" w:hAnsi="Courier New" w:hint="default"/>
      </w:rPr>
    </w:lvl>
    <w:lvl w:ilvl="2" w:tplc="038C7DC2">
      <w:start w:val="1"/>
      <w:numFmt w:val="bullet"/>
      <w:lvlText w:val=""/>
      <w:lvlJc w:val="left"/>
      <w:pPr>
        <w:ind w:left="2160" w:hanging="360"/>
      </w:pPr>
      <w:rPr>
        <w:rFonts w:ascii="Wingdings" w:hAnsi="Wingdings" w:hint="default"/>
      </w:rPr>
    </w:lvl>
    <w:lvl w:ilvl="3" w:tplc="ED3A7866">
      <w:start w:val="1"/>
      <w:numFmt w:val="bullet"/>
      <w:lvlText w:val=""/>
      <w:lvlJc w:val="left"/>
      <w:pPr>
        <w:ind w:left="2880" w:hanging="360"/>
      </w:pPr>
      <w:rPr>
        <w:rFonts w:ascii="Symbol" w:hAnsi="Symbol" w:hint="default"/>
      </w:rPr>
    </w:lvl>
    <w:lvl w:ilvl="4" w:tplc="6F4AF938">
      <w:start w:val="1"/>
      <w:numFmt w:val="bullet"/>
      <w:lvlText w:val="o"/>
      <w:lvlJc w:val="left"/>
      <w:pPr>
        <w:ind w:left="3600" w:hanging="360"/>
      </w:pPr>
      <w:rPr>
        <w:rFonts w:ascii="Courier New" w:hAnsi="Courier New" w:hint="default"/>
      </w:rPr>
    </w:lvl>
    <w:lvl w:ilvl="5" w:tplc="8E329C32">
      <w:start w:val="1"/>
      <w:numFmt w:val="bullet"/>
      <w:lvlText w:val=""/>
      <w:lvlJc w:val="left"/>
      <w:pPr>
        <w:ind w:left="4320" w:hanging="360"/>
      </w:pPr>
      <w:rPr>
        <w:rFonts w:ascii="Wingdings" w:hAnsi="Wingdings" w:hint="default"/>
      </w:rPr>
    </w:lvl>
    <w:lvl w:ilvl="6" w:tplc="AAD63D6E">
      <w:start w:val="1"/>
      <w:numFmt w:val="bullet"/>
      <w:lvlText w:val=""/>
      <w:lvlJc w:val="left"/>
      <w:pPr>
        <w:ind w:left="5040" w:hanging="360"/>
      </w:pPr>
      <w:rPr>
        <w:rFonts w:ascii="Symbol" w:hAnsi="Symbol" w:hint="default"/>
      </w:rPr>
    </w:lvl>
    <w:lvl w:ilvl="7" w:tplc="10EC9604">
      <w:start w:val="1"/>
      <w:numFmt w:val="bullet"/>
      <w:lvlText w:val="o"/>
      <w:lvlJc w:val="left"/>
      <w:pPr>
        <w:ind w:left="5760" w:hanging="360"/>
      </w:pPr>
      <w:rPr>
        <w:rFonts w:ascii="Courier New" w:hAnsi="Courier New" w:hint="default"/>
      </w:rPr>
    </w:lvl>
    <w:lvl w:ilvl="8" w:tplc="A1BAFE2C">
      <w:start w:val="1"/>
      <w:numFmt w:val="bullet"/>
      <w:lvlText w:val=""/>
      <w:lvlJc w:val="left"/>
      <w:pPr>
        <w:ind w:left="6480" w:hanging="360"/>
      </w:pPr>
      <w:rPr>
        <w:rFonts w:ascii="Wingdings" w:hAnsi="Wingdings" w:hint="default"/>
      </w:rPr>
    </w:lvl>
  </w:abstractNum>
  <w:abstractNum w:abstractNumId="89" w15:restartNumberingAfterBreak="0">
    <w:nsid w:val="3EF3C593"/>
    <w:multiLevelType w:val="hybridMultilevel"/>
    <w:tmpl w:val="FFFFFFFF"/>
    <w:lvl w:ilvl="0" w:tplc="3A147180">
      <w:start w:val="1"/>
      <w:numFmt w:val="bullet"/>
      <w:lvlText w:val="ü"/>
      <w:lvlJc w:val="left"/>
      <w:pPr>
        <w:ind w:left="720" w:hanging="360"/>
      </w:pPr>
      <w:rPr>
        <w:rFonts w:ascii="Wingdings" w:hAnsi="Wingdings" w:hint="default"/>
      </w:rPr>
    </w:lvl>
    <w:lvl w:ilvl="1" w:tplc="DF847B9A">
      <w:start w:val="1"/>
      <w:numFmt w:val="bullet"/>
      <w:lvlText w:val="o"/>
      <w:lvlJc w:val="left"/>
      <w:pPr>
        <w:ind w:left="1440" w:hanging="360"/>
      </w:pPr>
      <w:rPr>
        <w:rFonts w:ascii="Courier New" w:hAnsi="Courier New" w:hint="default"/>
      </w:rPr>
    </w:lvl>
    <w:lvl w:ilvl="2" w:tplc="55540010">
      <w:start w:val="1"/>
      <w:numFmt w:val="bullet"/>
      <w:lvlText w:val=""/>
      <w:lvlJc w:val="left"/>
      <w:pPr>
        <w:ind w:left="2160" w:hanging="360"/>
      </w:pPr>
      <w:rPr>
        <w:rFonts w:ascii="Wingdings" w:hAnsi="Wingdings" w:hint="default"/>
      </w:rPr>
    </w:lvl>
    <w:lvl w:ilvl="3" w:tplc="B30A1FA0">
      <w:start w:val="1"/>
      <w:numFmt w:val="bullet"/>
      <w:lvlText w:val=""/>
      <w:lvlJc w:val="left"/>
      <w:pPr>
        <w:ind w:left="2880" w:hanging="360"/>
      </w:pPr>
      <w:rPr>
        <w:rFonts w:ascii="Symbol" w:hAnsi="Symbol" w:hint="default"/>
      </w:rPr>
    </w:lvl>
    <w:lvl w:ilvl="4" w:tplc="81F641DC">
      <w:start w:val="1"/>
      <w:numFmt w:val="bullet"/>
      <w:lvlText w:val="o"/>
      <w:lvlJc w:val="left"/>
      <w:pPr>
        <w:ind w:left="3600" w:hanging="360"/>
      </w:pPr>
      <w:rPr>
        <w:rFonts w:ascii="Courier New" w:hAnsi="Courier New" w:hint="default"/>
      </w:rPr>
    </w:lvl>
    <w:lvl w:ilvl="5" w:tplc="E266E926">
      <w:start w:val="1"/>
      <w:numFmt w:val="bullet"/>
      <w:lvlText w:val=""/>
      <w:lvlJc w:val="left"/>
      <w:pPr>
        <w:ind w:left="4320" w:hanging="360"/>
      </w:pPr>
      <w:rPr>
        <w:rFonts w:ascii="Wingdings" w:hAnsi="Wingdings" w:hint="default"/>
      </w:rPr>
    </w:lvl>
    <w:lvl w:ilvl="6" w:tplc="E4006ED6">
      <w:start w:val="1"/>
      <w:numFmt w:val="bullet"/>
      <w:lvlText w:val=""/>
      <w:lvlJc w:val="left"/>
      <w:pPr>
        <w:ind w:left="5040" w:hanging="360"/>
      </w:pPr>
      <w:rPr>
        <w:rFonts w:ascii="Symbol" w:hAnsi="Symbol" w:hint="default"/>
      </w:rPr>
    </w:lvl>
    <w:lvl w:ilvl="7" w:tplc="86D081D0">
      <w:start w:val="1"/>
      <w:numFmt w:val="bullet"/>
      <w:lvlText w:val="o"/>
      <w:lvlJc w:val="left"/>
      <w:pPr>
        <w:ind w:left="5760" w:hanging="360"/>
      </w:pPr>
      <w:rPr>
        <w:rFonts w:ascii="Courier New" w:hAnsi="Courier New" w:hint="default"/>
      </w:rPr>
    </w:lvl>
    <w:lvl w:ilvl="8" w:tplc="9E747654">
      <w:start w:val="1"/>
      <w:numFmt w:val="bullet"/>
      <w:lvlText w:val=""/>
      <w:lvlJc w:val="left"/>
      <w:pPr>
        <w:ind w:left="6480" w:hanging="360"/>
      </w:pPr>
      <w:rPr>
        <w:rFonts w:ascii="Wingdings" w:hAnsi="Wingdings" w:hint="default"/>
      </w:rPr>
    </w:lvl>
  </w:abstractNum>
  <w:abstractNum w:abstractNumId="90" w15:restartNumberingAfterBreak="0">
    <w:nsid w:val="3F264DC0"/>
    <w:multiLevelType w:val="hybridMultilevel"/>
    <w:tmpl w:val="0CE4EC74"/>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1" w15:restartNumberingAfterBreak="0">
    <w:nsid w:val="400949ED"/>
    <w:multiLevelType w:val="hybridMultilevel"/>
    <w:tmpl w:val="C50AA832"/>
    <w:lvl w:ilvl="0" w:tplc="B34C1394">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2" w15:restartNumberingAfterBreak="0">
    <w:nsid w:val="405E0E97"/>
    <w:multiLevelType w:val="hybridMultilevel"/>
    <w:tmpl w:val="A39AEC7C"/>
    <w:lvl w:ilvl="0" w:tplc="19BCB4FA">
      <w:start w:val="1"/>
      <w:numFmt w:val="bullet"/>
      <w:lvlText w:val="Ø"/>
      <w:lvlJc w:val="left"/>
      <w:pPr>
        <w:ind w:left="720" w:hanging="360"/>
      </w:pPr>
      <w:rPr>
        <w:rFonts w:ascii="Wingdings" w:hAnsi="Wingdings" w:hint="default"/>
      </w:rPr>
    </w:lvl>
    <w:lvl w:ilvl="1" w:tplc="5442DBAC">
      <w:start w:val="1"/>
      <w:numFmt w:val="bullet"/>
      <w:lvlText w:val="o"/>
      <w:lvlJc w:val="left"/>
      <w:pPr>
        <w:ind w:left="1440" w:hanging="360"/>
      </w:pPr>
      <w:rPr>
        <w:rFonts w:ascii="Courier New" w:hAnsi="Courier New" w:hint="default"/>
      </w:rPr>
    </w:lvl>
    <w:lvl w:ilvl="2" w:tplc="FE8CC5F2">
      <w:start w:val="1"/>
      <w:numFmt w:val="bullet"/>
      <w:lvlText w:val=""/>
      <w:lvlJc w:val="left"/>
      <w:pPr>
        <w:ind w:left="2160" w:hanging="360"/>
      </w:pPr>
      <w:rPr>
        <w:rFonts w:ascii="Wingdings" w:hAnsi="Wingdings" w:hint="default"/>
      </w:rPr>
    </w:lvl>
    <w:lvl w:ilvl="3" w:tplc="664C0760">
      <w:start w:val="1"/>
      <w:numFmt w:val="bullet"/>
      <w:lvlText w:val=""/>
      <w:lvlJc w:val="left"/>
      <w:pPr>
        <w:ind w:left="2880" w:hanging="360"/>
      </w:pPr>
      <w:rPr>
        <w:rFonts w:ascii="Symbol" w:hAnsi="Symbol" w:hint="default"/>
      </w:rPr>
    </w:lvl>
    <w:lvl w:ilvl="4" w:tplc="6B701C84">
      <w:start w:val="1"/>
      <w:numFmt w:val="bullet"/>
      <w:lvlText w:val="o"/>
      <w:lvlJc w:val="left"/>
      <w:pPr>
        <w:ind w:left="3600" w:hanging="360"/>
      </w:pPr>
      <w:rPr>
        <w:rFonts w:ascii="Courier New" w:hAnsi="Courier New" w:hint="default"/>
      </w:rPr>
    </w:lvl>
    <w:lvl w:ilvl="5" w:tplc="3EF80CA0">
      <w:start w:val="1"/>
      <w:numFmt w:val="bullet"/>
      <w:lvlText w:val=""/>
      <w:lvlJc w:val="left"/>
      <w:pPr>
        <w:ind w:left="4320" w:hanging="360"/>
      </w:pPr>
      <w:rPr>
        <w:rFonts w:ascii="Wingdings" w:hAnsi="Wingdings" w:hint="default"/>
      </w:rPr>
    </w:lvl>
    <w:lvl w:ilvl="6" w:tplc="C6704D40">
      <w:start w:val="1"/>
      <w:numFmt w:val="bullet"/>
      <w:lvlText w:val=""/>
      <w:lvlJc w:val="left"/>
      <w:pPr>
        <w:ind w:left="5040" w:hanging="360"/>
      </w:pPr>
      <w:rPr>
        <w:rFonts w:ascii="Symbol" w:hAnsi="Symbol" w:hint="default"/>
      </w:rPr>
    </w:lvl>
    <w:lvl w:ilvl="7" w:tplc="DD800236">
      <w:start w:val="1"/>
      <w:numFmt w:val="bullet"/>
      <w:lvlText w:val="o"/>
      <w:lvlJc w:val="left"/>
      <w:pPr>
        <w:ind w:left="5760" w:hanging="360"/>
      </w:pPr>
      <w:rPr>
        <w:rFonts w:ascii="Courier New" w:hAnsi="Courier New" w:hint="default"/>
      </w:rPr>
    </w:lvl>
    <w:lvl w:ilvl="8" w:tplc="34A049D8">
      <w:start w:val="1"/>
      <w:numFmt w:val="bullet"/>
      <w:lvlText w:val=""/>
      <w:lvlJc w:val="left"/>
      <w:pPr>
        <w:ind w:left="6480" w:hanging="360"/>
      </w:pPr>
      <w:rPr>
        <w:rFonts w:ascii="Wingdings" w:hAnsi="Wingdings" w:hint="default"/>
      </w:rPr>
    </w:lvl>
  </w:abstractNum>
  <w:abstractNum w:abstractNumId="93" w15:restartNumberingAfterBreak="0">
    <w:nsid w:val="40CC018C"/>
    <w:multiLevelType w:val="hybridMultilevel"/>
    <w:tmpl w:val="0CE4EC74"/>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4" w15:restartNumberingAfterBreak="0">
    <w:nsid w:val="411E657F"/>
    <w:multiLevelType w:val="hybridMultilevel"/>
    <w:tmpl w:val="39586B2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5" w15:restartNumberingAfterBreak="0">
    <w:nsid w:val="41506639"/>
    <w:multiLevelType w:val="multilevel"/>
    <w:tmpl w:val="EDFA4C2A"/>
    <w:lvl w:ilvl="0">
      <w:start w:val="21"/>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6" w15:restartNumberingAfterBreak="0">
    <w:nsid w:val="419ADEA8"/>
    <w:multiLevelType w:val="hybridMultilevel"/>
    <w:tmpl w:val="4A4A5224"/>
    <w:lvl w:ilvl="0" w:tplc="A6AEF054">
      <w:start w:val="1"/>
      <w:numFmt w:val="bullet"/>
      <w:lvlText w:val="Ø"/>
      <w:lvlJc w:val="left"/>
      <w:pPr>
        <w:ind w:left="720" w:hanging="360"/>
      </w:pPr>
      <w:rPr>
        <w:rFonts w:ascii="Wingdings" w:hAnsi="Wingdings" w:hint="default"/>
      </w:rPr>
    </w:lvl>
    <w:lvl w:ilvl="1" w:tplc="6EF8938C">
      <w:start w:val="1"/>
      <w:numFmt w:val="bullet"/>
      <w:lvlText w:val="o"/>
      <w:lvlJc w:val="left"/>
      <w:pPr>
        <w:ind w:left="1440" w:hanging="360"/>
      </w:pPr>
      <w:rPr>
        <w:rFonts w:ascii="Courier New" w:hAnsi="Courier New" w:hint="default"/>
      </w:rPr>
    </w:lvl>
    <w:lvl w:ilvl="2" w:tplc="F51AA4D0">
      <w:start w:val="1"/>
      <w:numFmt w:val="bullet"/>
      <w:lvlText w:val=""/>
      <w:lvlJc w:val="left"/>
      <w:pPr>
        <w:ind w:left="2160" w:hanging="360"/>
      </w:pPr>
      <w:rPr>
        <w:rFonts w:ascii="Wingdings" w:hAnsi="Wingdings" w:hint="default"/>
      </w:rPr>
    </w:lvl>
    <w:lvl w:ilvl="3" w:tplc="5DB67BDA">
      <w:start w:val="1"/>
      <w:numFmt w:val="bullet"/>
      <w:lvlText w:val=""/>
      <w:lvlJc w:val="left"/>
      <w:pPr>
        <w:ind w:left="2880" w:hanging="360"/>
      </w:pPr>
      <w:rPr>
        <w:rFonts w:ascii="Symbol" w:hAnsi="Symbol" w:hint="default"/>
      </w:rPr>
    </w:lvl>
    <w:lvl w:ilvl="4" w:tplc="F62E03B8">
      <w:start w:val="1"/>
      <w:numFmt w:val="bullet"/>
      <w:lvlText w:val="o"/>
      <w:lvlJc w:val="left"/>
      <w:pPr>
        <w:ind w:left="3600" w:hanging="360"/>
      </w:pPr>
      <w:rPr>
        <w:rFonts w:ascii="Courier New" w:hAnsi="Courier New" w:hint="default"/>
      </w:rPr>
    </w:lvl>
    <w:lvl w:ilvl="5" w:tplc="F5AA01A6">
      <w:start w:val="1"/>
      <w:numFmt w:val="bullet"/>
      <w:lvlText w:val=""/>
      <w:lvlJc w:val="left"/>
      <w:pPr>
        <w:ind w:left="4320" w:hanging="360"/>
      </w:pPr>
      <w:rPr>
        <w:rFonts w:ascii="Wingdings" w:hAnsi="Wingdings" w:hint="default"/>
      </w:rPr>
    </w:lvl>
    <w:lvl w:ilvl="6" w:tplc="9BF20DF2">
      <w:start w:val="1"/>
      <w:numFmt w:val="bullet"/>
      <w:lvlText w:val=""/>
      <w:lvlJc w:val="left"/>
      <w:pPr>
        <w:ind w:left="5040" w:hanging="360"/>
      </w:pPr>
      <w:rPr>
        <w:rFonts w:ascii="Symbol" w:hAnsi="Symbol" w:hint="default"/>
      </w:rPr>
    </w:lvl>
    <w:lvl w:ilvl="7" w:tplc="3C6A26EE">
      <w:start w:val="1"/>
      <w:numFmt w:val="bullet"/>
      <w:lvlText w:val="o"/>
      <w:lvlJc w:val="left"/>
      <w:pPr>
        <w:ind w:left="5760" w:hanging="360"/>
      </w:pPr>
      <w:rPr>
        <w:rFonts w:ascii="Courier New" w:hAnsi="Courier New" w:hint="default"/>
      </w:rPr>
    </w:lvl>
    <w:lvl w:ilvl="8" w:tplc="DE64504E">
      <w:start w:val="1"/>
      <w:numFmt w:val="bullet"/>
      <w:lvlText w:val=""/>
      <w:lvlJc w:val="left"/>
      <w:pPr>
        <w:ind w:left="6480" w:hanging="360"/>
      </w:pPr>
      <w:rPr>
        <w:rFonts w:ascii="Wingdings" w:hAnsi="Wingdings" w:hint="default"/>
      </w:rPr>
    </w:lvl>
  </w:abstractNum>
  <w:abstractNum w:abstractNumId="97" w15:restartNumberingAfterBreak="0">
    <w:nsid w:val="43D167F9"/>
    <w:multiLevelType w:val="hybridMultilevel"/>
    <w:tmpl w:val="C272306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8" w15:restartNumberingAfterBreak="0">
    <w:nsid w:val="44A24840"/>
    <w:multiLevelType w:val="hybridMultilevel"/>
    <w:tmpl w:val="35ECEE4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44B2D9BB"/>
    <w:multiLevelType w:val="hybridMultilevel"/>
    <w:tmpl w:val="FFFFFFFF"/>
    <w:lvl w:ilvl="0" w:tplc="07EADC4A">
      <w:start w:val="1"/>
      <w:numFmt w:val="lowerLetter"/>
      <w:lvlText w:val="%1."/>
      <w:lvlJc w:val="left"/>
      <w:pPr>
        <w:ind w:left="720" w:hanging="360"/>
      </w:pPr>
    </w:lvl>
    <w:lvl w:ilvl="1" w:tplc="B8F87C3A">
      <w:start w:val="1"/>
      <w:numFmt w:val="lowerLetter"/>
      <w:lvlText w:val="%2."/>
      <w:lvlJc w:val="left"/>
      <w:pPr>
        <w:ind w:left="1440" w:hanging="360"/>
      </w:pPr>
    </w:lvl>
    <w:lvl w:ilvl="2" w:tplc="45D43540">
      <w:start w:val="1"/>
      <w:numFmt w:val="lowerRoman"/>
      <w:lvlText w:val="%3."/>
      <w:lvlJc w:val="right"/>
      <w:pPr>
        <w:ind w:left="2160" w:hanging="180"/>
      </w:pPr>
    </w:lvl>
    <w:lvl w:ilvl="3" w:tplc="5D865DEC">
      <w:start w:val="1"/>
      <w:numFmt w:val="decimal"/>
      <w:lvlText w:val="%4."/>
      <w:lvlJc w:val="left"/>
      <w:pPr>
        <w:ind w:left="2880" w:hanging="360"/>
      </w:pPr>
    </w:lvl>
    <w:lvl w:ilvl="4" w:tplc="9CC6C5F2">
      <w:start w:val="1"/>
      <w:numFmt w:val="lowerLetter"/>
      <w:lvlText w:val="%5."/>
      <w:lvlJc w:val="left"/>
      <w:pPr>
        <w:ind w:left="3600" w:hanging="360"/>
      </w:pPr>
    </w:lvl>
    <w:lvl w:ilvl="5" w:tplc="8C3AFD4A">
      <w:start w:val="1"/>
      <w:numFmt w:val="lowerRoman"/>
      <w:lvlText w:val="%6."/>
      <w:lvlJc w:val="right"/>
      <w:pPr>
        <w:ind w:left="4320" w:hanging="180"/>
      </w:pPr>
    </w:lvl>
    <w:lvl w:ilvl="6" w:tplc="B7EE95E6">
      <w:start w:val="1"/>
      <w:numFmt w:val="decimal"/>
      <w:lvlText w:val="%7."/>
      <w:lvlJc w:val="left"/>
      <w:pPr>
        <w:ind w:left="5040" w:hanging="360"/>
      </w:pPr>
    </w:lvl>
    <w:lvl w:ilvl="7" w:tplc="2A5C9186">
      <w:start w:val="1"/>
      <w:numFmt w:val="lowerLetter"/>
      <w:lvlText w:val="%8."/>
      <w:lvlJc w:val="left"/>
      <w:pPr>
        <w:ind w:left="5760" w:hanging="360"/>
      </w:pPr>
    </w:lvl>
    <w:lvl w:ilvl="8" w:tplc="543CE53C">
      <w:start w:val="1"/>
      <w:numFmt w:val="lowerRoman"/>
      <w:lvlText w:val="%9."/>
      <w:lvlJc w:val="right"/>
      <w:pPr>
        <w:ind w:left="6480" w:hanging="180"/>
      </w:pPr>
    </w:lvl>
  </w:abstractNum>
  <w:abstractNum w:abstractNumId="100" w15:restartNumberingAfterBreak="0">
    <w:nsid w:val="451A4525"/>
    <w:multiLevelType w:val="hybridMultilevel"/>
    <w:tmpl w:val="686C6CC8"/>
    <w:lvl w:ilvl="0" w:tplc="8E48FAA0">
      <w:numFmt w:val="bullet"/>
      <w:lvlText w:val="-"/>
      <w:lvlJc w:val="left"/>
      <w:pPr>
        <w:ind w:left="720"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1" w15:restartNumberingAfterBreak="0">
    <w:nsid w:val="45910EF1"/>
    <w:multiLevelType w:val="multilevel"/>
    <w:tmpl w:val="B8C61004"/>
    <w:lvl w:ilvl="0">
      <w:start w:val="3"/>
      <w:numFmt w:val="decimal"/>
      <w:lvlText w:val="%1."/>
      <w:lvlJc w:val="left"/>
      <w:pPr>
        <w:ind w:left="360" w:hanging="360"/>
      </w:pPr>
      <w:rPr>
        <w:rFonts w:hint="default"/>
      </w:rPr>
    </w:lvl>
    <w:lvl w:ilvl="1">
      <w:start w:val="1"/>
      <w:numFmt w:val="decimal"/>
      <w:lvlText w:val="%1.%2."/>
      <w:lvlJc w:val="left"/>
      <w:pPr>
        <w:ind w:left="390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46056FC6"/>
    <w:multiLevelType w:val="multilevel"/>
    <w:tmpl w:val="B538B4F2"/>
    <w:lvl w:ilvl="0">
      <w:start w:val="2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3" w15:restartNumberingAfterBreak="0">
    <w:nsid w:val="46920E2E"/>
    <w:multiLevelType w:val="hybridMultilevel"/>
    <w:tmpl w:val="BEF434EE"/>
    <w:lvl w:ilvl="0" w:tplc="02C22450">
      <w:start w:val="1"/>
      <w:numFmt w:val="bullet"/>
      <w:pStyle w:val="tablavieta"/>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4" w15:restartNumberingAfterBreak="0">
    <w:nsid w:val="469B6D5A"/>
    <w:multiLevelType w:val="multilevel"/>
    <w:tmpl w:val="CBA2B0FA"/>
    <w:lvl w:ilvl="0">
      <w:start w:val="29"/>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05" w15:restartNumberingAfterBreak="0">
    <w:nsid w:val="46D17B2D"/>
    <w:multiLevelType w:val="hybridMultilevel"/>
    <w:tmpl w:val="DC9CFA8A"/>
    <w:lvl w:ilvl="0" w:tplc="B34C1394">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6" w15:restartNumberingAfterBreak="0">
    <w:nsid w:val="46DF0A2E"/>
    <w:multiLevelType w:val="hybridMultilevel"/>
    <w:tmpl w:val="39586B2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476003B2"/>
    <w:multiLevelType w:val="hybridMultilevel"/>
    <w:tmpl w:val="0CE4EC74"/>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8" w15:restartNumberingAfterBreak="0">
    <w:nsid w:val="48392334"/>
    <w:multiLevelType w:val="hybridMultilevel"/>
    <w:tmpl w:val="FFFFFFFF"/>
    <w:lvl w:ilvl="0" w:tplc="5D54C9EE">
      <w:start w:val="1"/>
      <w:numFmt w:val="lowerLetter"/>
      <w:lvlText w:val="%1."/>
      <w:lvlJc w:val="left"/>
      <w:pPr>
        <w:ind w:left="720" w:hanging="360"/>
      </w:pPr>
    </w:lvl>
    <w:lvl w:ilvl="1" w:tplc="5BB8167C">
      <w:start w:val="1"/>
      <w:numFmt w:val="lowerLetter"/>
      <w:lvlText w:val="%2."/>
      <w:lvlJc w:val="left"/>
      <w:pPr>
        <w:ind w:left="1440" w:hanging="360"/>
      </w:pPr>
    </w:lvl>
    <w:lvl w:ilvl="2" w:tplc="EFB8EAC6">
      <w:start w:val="1"/>
      <w:numFmt w:val="lowerRoman"/>
      <w:lvlText w:val="%3."/>
      <w:lvlJc w:val="right"/>
      <w:pPr>
        <w:ind w:left="2160" w:hanging="180"/>
      </w:pPr>
    </w:lvl>
    <w:lvl w:ilvl="3" w:tplc="5ED22F2E">
      <w:start w:val="1"/>
      <w:numFmt w:val="decimal"/>
      <w:lvlText w:val="%4."/>
      <w:lvlJc w:val="left"/>
      <w:pPr>
        <w:ind w:left="2880" w:hanging="360"/>
      </w:pPr>
    </w:lvl>
    <w:lvl w:ilvl="4" w:tplc="5C06C43E">
      <w:start w:val="1"/>
      <w:numFmt w:val="lowerLetter"/>
      <w:lvlText w:val="%5."/>
      <w:lvlJc w:val="left"/>
      <w:pPr>
        <w:ind w:left="3600" w:hanging="360"/>
      </w:pPr>
    </w:lvl>
    <w:lvl w:ilvl="5" w:tplc="316A0F28">
      <w:start w:val="1"/>
      <w:numFmt w:val="lowerRoman"/>
      <w:lvlText w:val="%6."/>
      <w:lvlJc w:val="right"/>
      <w:pPr>
        <w:ind w:left="4320" w:hanging="180"/>
      </w:pPr>
    </w:lvl>
    <w:lvl w:ilvl="6" w:tplc="DFA2CD6E">
      <w:start w:val="1"/>
      <w:numFmt w:val="decimal"/>
      <w:lvlText w:val="%7."/>
      <w:lvlJc w:val="left"/>
      <w:pPr>
        <w:ind w:left="5040" w:hanging="360"/>
      </w:pPr>
    </w:lvl>
    <w:lvl w:ilvl="7" w:tplc="7C6A8B36">
      <w:start w:val="1"/>
      <w:numFmt w:val="lowerLetter"/>
      <w:lvlText w:val="%8."/>
      <w:lvlJc w:val="left"/>
      <w:pPr>
        <w:ind w:left="5760" w:hanging="360"/>
      </w:pPr>
    </w:lvl>
    <w:lvl w:ilvl="8" w:tplc="2DCE8584">
      <w:start w:val="1"/>
      <w:numFmt w:val="lowerRoman"/>
      <w:lvlText w:val="%9."/>
      <w:lvlJc w:val="right"/>
      <w:pPr>
        <w:ind w:left="6480" w:hanging="180"/>
      </w:pPr>
    </w:lvl>
  </w:abstractNum>
  <w:abstractNum w:abstractNumId="109" w15:restartNumberingAfterBreak="0">
    <w:nsid w:val="48A0620A"/>
    <w:multiLevelType w:val="hybridMultilevel"/>
    <w:tmpl w:val="676AE8C2"/>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0" w15:restartNumberingAfterBreak="0">
    <w:nsid w:val="48D92AD9"/>
    <w:multiLevelType w:val="hybridMultilevel"/>
    <w:tmpl w:val="BB509FD0"/>
    <w:lvl w:ilvl="0" w:tplc="9DAEC226">
      <w:start w:val="1"/>
      <w:numFmt w:val="bullet"/>
      <w:lvlText w:val="Ø"/>
      <w:lvlJc w:val="left"/>
      <w:pPr>
        <w:ind w:left="720" w:hanging="360"/>
      </w:pPr>
      <w:rPr>
        <w:rFonts w:ascii="Wingdings" w:hAnsi="Wingdings" w:hint="default"/>
      </w:rPr>
    </w:lvl>
    <w:lvl w:ilvl="1" w:tplc="9FA047BA">
      <w:start w:val="1"/>
      <w:numFmt w:val="bullet"/>
      <w:lvlText w:val="o"/>
      <w:lvlJc w:val="left"/>
      <w:pPr>
        <w:ind w:left="1440" w:hanging="360"/>
      </w:pPr>
      <w:rPr>
        <w:rFonts w:ascii="Courier New" w:hAnsi="Courier New" w:hint="default"/>
      </w:rPr>
    </w:lvl>
    <w:lvl w:ilvl="2" w:tplc="05086E24">
      <w:start w:val="1"/>
      <w:numFmt w:val="bullet"/>
      <w:lvlText w:val=""/>
      <w:lvlJc w:val="left"/>
      <w:pPr>
        <w:ind w:left="2160" w:hanging="360"/>
      </w:pPr>
      <w:rPr>
        <w:rFonts w:ascii="Wingdings" w:hAnsi="Wingdings" w:hint="default"/>
      </w:rPr>
    </w:lvl>
    <w:lvl w:ilvl="3" w:tplc="BA0E379C">
      <w:start w:val="1"/>
      <w:numFmt w:val="bullet"/>
      <w:lvlText w:val=""/>
      <w:lvlJc w:val="left"/>
      <w:pPr>
        <w:ind w:left="2880" w:hanging="360"/>
      </w:pPr>
      <w:rPr>
        <w:rFonts w:ascii="Symbol" w:hAnsi="Symbol" w:hint="default"/>
      </w:rPr>
    </w:lvl>
    <w:lvl w:ilvl="4" w:tplc="DCA66974">
      <w:start w:val="1"/>
      <w:numFmt w:val="bullet"/>
      <w:lvlText w:val="o"/>
      <w:lvlJc w:val="left"/>
      <w:pPr>
        <w:ind w:left="3600" w:hanging="360"/>
      </w:pPr>
      <w:rPr>
        <w:rFonts w:ascii="Courier New" w:hAnsi="Courier New" w:hint="default"/>
      </w:rPr>
    </w:lvl>
    <w:lvl w:ilvl="5" w:tplc="FEE077A0">
      <w:start w:val="1"/>
      <w:numFmt w:val="bullet"/>
      <w:lvlText w:val=""/>
      <w:lvlJc w:val="left"/>
      <w:pPr>
        <w:ind w:left="4320" w:hanging="360"/>
      </w:pPr>
      <w:rPr>
        <w:rFonts w:ascii="Wingdings" w:hAnsi="Wingdings" w:hint="default"/>
      </w:rPr>
    </w:lvl>
    <w:lvl w:ilvl="6" w:tplc="C28C0528">
      <w:start w:val="1"/>
      <w:numFmt w:val="bullet"/>
      <w:lvlText w:val=""/>
      <w:lvlJc w:val="left"/>
      <w:pPr>
        <w:ind w:left="5040" w:hanging="360"/>
      </w:pPr>
      <w:rPr>
        <w:rFonts w:ascii="Symbol" w:hAnsi="Symbol" w:hint="default"/>
      </w:rPr>
    </w:lvl>
    <w:lvl w:ilvl="7" w:tplc="3648ED14">
      <w:start w:val="1"/>
      <w:numFmt w:val="bullet"/>
      <w:lvlText w:val="o"/>
      <w:lvlJc w:val="left"/>
      <w:pPr>
        <w:ind w:left="5760" w:hanging="360"/>
      </w:pPr>
      <w:rPr>
        <w:rFonts w:ascii="Courier New" w:hAnsi="Courier New" w:hint="default"/>
      </w:rPr>
    </w:lvl>
    <w:lvl w:ilvl="8" w:tplc="B3647212">
      <w:start w:val="1"/>
      <w:numFmt w:val="bullet"/>
      <w:lvlText w:val=""/>
      <w:lvlJc w:val="left"/>
      <w:pPr>
        <w:ind w:left="6480" w:hanging="360"/>
      </w:pPr>
      <w:rPr>
        <w:rFonts w:ascii="Wingdings" w:hAnsi="Wingdings" w:hint="default"/>
      </w:rPr>
    </w:lvl>
  </w:abstractNum>
  <w:abstractNum w:abstractNumId="111" w15:restartNumberingAfterBreak="0">
    <w:nsid w:val="49228C00"/>
    <w:multiLevelType w:val="hybridMultilevel"/>
    <w:tmpl w:val="FFFFFFFF"/>
    <w:lvl w:ilvl="0" w:tplc="26F019EE">
      <w:start w:val="1"/>
      <w:numFmt w:val="lowerLetter"/>
      <w:lvlText w:val="%1."/>
      <w:lvlJc w:val="left"/>
      <w:pPr>
        <w:ind w:left="720" w:hanging="360"/>
      </w:pPr>
    </w:lvl>
    <w:lvl w:ilvl="1" w:tplc="110C60A0">
      <w:start w:val="1"/>
      <w:numFmt w:val="lowerLetter"/>
      <w:lvlText w:val="%2."/>
      <w:lvlJc w:val="left"/>
      <w:pPr>
        <w:ind w:left="1440" w:hanging="360"/>
      </w:pPr>
    </w:lvl>
    <w:lvl w:ilvl="2" w:tplc="631A50AE">
      <w:start w:val="1"/>
      <w:numFmt w:val="lowerRoman"/>
      <w:lvlText w:val="%3."/>
      <w:lvlJc w:val="right"/>
      <w:pPr>
        <w:ind w:left="2160" w:hanging="180"/>
      </w:pPr>
    </w:lvl>
    <w:lvl w:ilvl="3" w:tplc="B7CEE7E0">
      <w:start w:val="1"/>
      <w:numFmt w:val="decimal"/>
      <w:lvlText w:val="%4."/>
      <w:lvlJc w:val="left"/>
      <w:pPr>
        <w:ind w:left="2880" w:hanging="360"/>
      </w:pPr>
    </w:lvl>
    <w:lvl w:ilvl="4" w:tplc="401CEB46">
      <w:start w:val="1"/>
      <w:numFmt w:val="lowerLetter"/>
      <w:lvlText w:val="%5."/>
      <w:lvlJc w:val="left"/>
      <w:pPr>
        <w:ind w:left="3600" w:hanging="360"/>
      </w:pPr>
    </w:lvl>
    <w:lvl w:ilvl="5" w:tplc="7ED07788">
      <w:start w:val="1"/>
      <w:numFmt w:val="lowerRoman"/>
      <w:lvlText w:val="%6."/>
      <w:lvlJc w:val="right"/>
      <w:pPr>
        <w:ind w:left="4320" w:hanging="180"/>
      </w:pPr>
    </w:lvl>
    <w:lvl w:ilvl="6" w:tplc="2A7AD630">
      <w:start w:val="1"/>
      <w:numFmt w:val="decimal"/>
      <w:lvlText w:val="%7."/>
      <w:lvlJc w:val="left"/>
      <w:pPr>
        <w:ind w:left="5040" w:hanging="360"/>
      </w:pPr>
    </w:lvl>
    <w:lvl w:ilvl="7" w:tplc="9BBE7764">
      <w:start w:val="1"/>
      <w:numFmt w:val="lowerLetter"/>
      <w:lvlText w:val="%8."/>
      <w:lvlJc w:val="left"/>
      <w:pPr>
        <w:ind w:left="5760" w:hanging="360"/>
      </w:pPr>
    </w:lvl>
    <w:lvl w:ilvl="8" w:tplc="DCB811C6">
      <w:start w:val="1"/>
      <w:numFmt w:val="lowerRoman"/>
      <w:lvlText w:val="%9."/>
      <w:lvlJc w:val="right"/>
      <w:pPr>
        <w:ind w:left="6480" w:hanging="180"/>
      </w:pPr>
    </w:lvl>
  </w:abstractNum>
  <w:abstractNum w:abstractNumId="112" w15:restartNumberingAfterBreak="0">
    <w:nsid w:val="4AD928C5"/>
    <w:multiLevelType w:val="hybridMultilevel"/>
    <w:tmpl w:val="39586B2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4B0964D8"/>
    <w:multiLevelType w:val="hybridMultilevel"/>
    <w:tmpl w:val="35ECEE4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4" w15:restartNumberingAfterBreak="0">
    <w:nsid w:val="4B3447D8"/>
    <w:multiLevelType w:val="multilevel"/>
    <w:tmpl w:val="DCF09C42"/>
    <w:lvl w:ilvl="0">
      <w:start w:val="26"/>
      <w:numFmt w:val="decimal"/>
      <w:lvlText w:val="%1."/>
      <w:lvlJc w:val="left"/>
      <w:pPr>
        <w:ind w:left="480" w:hanging="480"/>
      </w:pPr>
      <w:rPr>
        <w:rFonts w:hint="default"/>
      </w:rPr>
    </w:lvl>
    <w:lvl w:ilvl="1">
      <w:start w:val="1"/>
      <w:numFmt w:val="decimal"/>
      <w:lvlText w:val="%1.%2."/>
      <w:lvlJc w:val="left"/>
      <w:pPr>
        <w:ind w:left="1260" w:hanging="48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15" w15:restartNumberingAfterBreak="0">
    <w:nsid w:val="4B9B4CE9"/>
    <w:multiLevelType w:val="hybridMultilevel"/>
    <w:tmpl w:val="FFFFFFFF"/>
    <w:lvl w:ilvl="0" w:tplc="6DB42EFC">
      <w:start w:val="1"/>
      <w:numFmt w:val="lowerLetter"/>
      <w:lvlText w:val="%1."/>
      <w:lvlJc w:val="left"/>
      <w:pPr>
        <w:ind w:left="720" w:hanging="360"/>
      </w:pPr>
    </w:lvl>
    <w:lvl w:ilvl="1" w:tplc="D4CC3B08">
      <w:start w:val="1"/>
      <w:numFmt w:val="lowerLetter"/>
      <w:lvlText w:val="%2."/>
      <w:lvlJc w:val="left"/>
      <w:pPr>
        <w:ind w:left="1440" w:hanging="360"/>
      </w:pPr>
    </w:lvl>
    <w:lvl w:ilvl="2" w:tplc="08E24A70">
      <w:start w:val="1"/>
      <w:numFmt w:val="lowerRoman"/>
      <w:lvlText w:val="%3."/>
      <w:lvlJc w:val="right"/>
      <w:pPr>
        <w:ind w:left="2160" w:hanging="180"/>
      </w:pPr>
    </w:lvl>
    <w:lvl w:ilvl="3" w:tplc="FF90D166">
      <w:start w:val="1"/>
      <w:numFmt w:val="decimal"/>
      <w:lvlText w:val="%4."/>
      <w:lvlJc w:val="left"/>
      <w:pPr>
        <w:ind w:left="2880" w:hanging="360"/>
      </w:pPr>
    </w:lvl>
    <w:lvl w:ilvl="4" w:tplc="F5B4A218">
      <w:start w:val="1"/>
      <w:numFmt w:val="lowerLetter"/>
      <w:lvlText w:val="%5."/>
      <w:lvlJc w:val="left"/>
      <w:pPr>
        <w:ind w:left="3600" w:hanging="360"/>
      </w:pPr>
    </w:lvl>
    <w:lvl w:ilvl="5" w:tplc="F072FC4A">
      <w:start w:val="1"/>
      <w:numFmt w:val="lowerRoman"/>
      <w:lvlText w:val="%6."/>
      <w:lvlJc w:val="right"/>
      <w:pPr>
        <w:ind w:left="4320" w:hanging="180"/>
      </w:pPr>
    </w:lvl>
    <w:lvl w:ilvl="6" w:tplc="3C04E2E2">
      <w:start w:val="1"/>
      <w:numFmt w:val="decimal"/>
      <w:lvlText w:val="%7."/>
      <w:lvlJc w:val="left"/>
      <w:pPr>
        <w:ind w:left="5040" w:hanging="360"/>
      </w:pPr>
    </w:lvl>
    <w:lvl w:ilvl="7" w:tplc="914E0A0E">
      <w:start w:val="1"/>
      <w:numFmt w:val="lowerLetter"/>
      <w:lvlText w:val="%8."/>
      <w:lvlJc w:val="left"/>
      <w:pPr>
        <w:ind w:left="5760" w:hanging="360"/>
      </w:pPr>
    </w:lvl>
    <w:lvl w:ilvl="8" w:tplc="300EDEC4">
      <w:start w:val="1"/>
      <w:numFmt w:val="lowerRoman"/>
      <w:lvlText w:val="%9."/>
      <w:lvlJc w:val="right"/>
      <w:pPr>
        <w:ind w:left="6480" w:hanging="180"/>
      </w:pPr>
    </w:lvl>
  </w:abstractNum>
  <w:abstractNum w:abstractNumId="116" w15:restartNumberingAfterBreak="0">
    <w:nsid w:val="4CEB297F"/>
    <w:multiLevelType w:val="hybridMultilevel"/>
    <w:tmpl w:val="BB32EDCC"/>
    <w:lvl w:ilvl="0" w:tplc="29C2461A">
      <w:numFmt w:val="bullet"/>
      <w:lvlText w:val="-"/>
      <w:lvlJc w:val="left"/>
      <w:pPr>
        <w:ind w:left="360" w:hanging="360"/>
      </w:pPr>
      <w:rPr>
        <w:rFonts w:ascii="Times New Roman" w:eastAsiaTheme="minorHAnsi" w:hAnsi="Times New Roman" w:cs="Times New Roman" w:hint="default"/>
        <w:sz w:val="24"/>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7" w15:restartNumberingAfterBreak="0">
    <w:nsid w:val="4D241DB1"/>
    <w:multiLevelType w:val="hybridMultilevel"/>
    <w:tmpl w:val="6B7863A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4D6C6C40"/>
    <w:multiLevelType w:val="hybridMultilevel"/>
    <w:tmpl w:val="39586B2A"/>
    <w:styleLink w:val="EstiloNegrita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9" w15:restartNumberingAfterBreak="0">
    <w:nsid w:val="4DAB5877"/>
    <w:multiLevelType w:val="hybridMultilevel"/>
    <w:tmpl w:val="6B7863A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0" w15:restartNumberingAfterBreak="0">
    <w:nsid w:val="4DAE5BA2"/>
    <w:multiLevelType w:val="hybridMultilevel"/>
    <w:tmpl w:val="1544501A"/>
    <w:lvl w:ilvl="0" w:tplc="FFFFFFFF">
      <w:start w:val="1"/>
      <w:numFmt w:val="lowerLetter"/>
      <w:lvlText w:val="%1."/>
      <w:lvlJc w:val="left"/>
      <w:pPr>
        <w:ind w:left="720" w:hanging="360"/>
      </w:pPr>
      <w:rPr>
        <w:rFonts w:ascii="Times New Roman" w:hAnsi="Times New Roman"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4DDE0539"/>
    <w:multiLevelType w:val="hybridMultilevel"/>
    <w:tmpl w:val="E816367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4DFB58B5"/>
    <w:multiLevelType w:val="hybridMultilevel"/>
    <w:tmpl w:val="6B7863A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4E051BF5"/>
    <w:multiLevelType w:val="hybridMultilevel"/>
    <w:tmpl w:val="FFFFFFFF"/>
    <w:lvl w:ilvl="0" w:tplc="A1CA4B9C">
      <w:start w:val="1"/>
      <w:numFmt w:val="bullet"/>
      <w:lvlText w:val="-"/>
      <w:lvlJc w:val="left"/>
      <w:pPr>
        <w:ind w:left="720" w:hanging="360"/>
      </w:pPr>
      <w:rPr>
        <w:rFonts w:ascii="&quot;Arial Narrow&quot;,sans-serif" w:hAnsi="&quot;Arial Narrow&quot;,sans-serif" w:hint="default"/>
      </w:rPr>
    </w:lvl>
    <w:lvl w:ilvl="1" w:tplc="2FD2F11A">
      <w:start w:val="1"/>
      <w:numFmt w:val="bullet"/>
      <w:lvlText w:val="o"/>
      <w:lvlJc w:val="left"/>
      <w:pPr>
        <w:ind w:left="1440" w:hanging="360"/>
      </w:pPr>
      <w:rPr>
        <w:rFonts w:ascii="Courier New" w:hAnsi="Courier New" w:hint="default"/>
      </w:rPr>
    </w:lvl>
    <w:lvl w:ilvl="2" w:tplc="1920543E">
      <w:start w:val="1"/>
      <w:numFmt w:val="bullet"/>
      <w:lvlText w:val=""/>
      <w:lvlJc w:val="left"/>
      <w:pPr>
        <w:ind w:left="2160" w:hanging="360"/>
      </w:pPr>
      <w:rPr>
        <w:rFonts w:ascii="Wingdings" w:hAnsi="Wingdings" w:hint="default"/>
      </w:rPr>
    </w:lvl>
    <w:lvl w:ilvl="3" w:tplc="5BD4636A">
      <w:start w:val="1"/>
      <w:numFmt w:val="bullet"/>
      <w:lvlText w:val=""/>
      <w:lvlJc w:val="left"/>
      <w:pPr>
        <w:ind w:left="2880" w:hanging="360"/>
      </w:pPr>
      <w:rPr>
        <w:rFonts w:ascii="Symbol" w:hAnsi="Symbol" w:hint="default"/>
      </w:rPr>
    </w:lvl>
    <w:lvl w:ilvl="4" w:tplc="42F413B2">
      <w:start w:val="1"/>
      <w:numFmt w:val="bullet"/>
      <w:lvlText w:val="o"/>
      <w:lvlJc w:val="left"/>
      <w:pPr>
        <w:ind w:left="3600" w:hanging="360"/>
      </w:pPr>
      <w:rPr>
        <w:rFonts w:ascii="Courier New" w:hAnsi="Courier New" w:hint="default"/>
      </w:rPr>
    </w:lvl>
    <w:lvl w:ilvl="5" w:tplc="0D5036F6">
      <w:start w:val="1"/>
      <w:numFmt w:val="bullet"/>
      <w:lvlText w:val=""/>
      <w:lvlJc w:val="left"/>
      <w:pPr>
        <w:ind w:left="4320" w:hanging="360"/>
      </w:pPr>
      <w:rPr>
        <w:rFonts w:ascii="Wingdings" w:hAnsi="Wingdings" w:hint="default"/>
      </w:rPr>
    </w:lvl>
    <w:lvl w:ilvl="6" w:tplc="05D62EC4">
      <w:start w:val="1"/>
      <w:numFmt w:val="bullet"/>
      <w:lvlText w:val=""/>
      <w:lvlJc w:val="left"/>
      <w:pPr>
        <w:ind w:left="5040" w:hanging="360"/>
      </w:pPr>
      <w:rPr>
        <w:rFonts w:ascii="Symbol" w:hAnsi="Symbol" w:hint="default"/>
      </w:rPr>
    </w:lvl>
    <w:lvl w:ilvl="7" w:tplc="95D0BF90">
      <w:start w:val="1"/>
      <w:numFmt w:val="bullet"/>
      <w:lvlText w:val="o"/>
      <w:lvlJc w:val="left"/>
      <w:pPr>
        <w:ind w:left="5760" w:hanging="360"/>
      </w:pPr>
      <w:rPr>
        <w:rFonts w:ascii="Courier New" w:hAnsi="Courier New" w:hint="default"/>
      </w:rPr>
    </w:lvl>
    <w:lvl w:ilvl="8" w:tplc="84E6E5A4">
      <w:start w:val="1"/>
      <w:numFmt w:val="bullet"/>
      <w:lvlText w:val=""/>
      <w:lvlJc w:val="left"/>
      <w:pPr>
        <w:ind w:left="6480" w:hanging="360"/>
      </w:pPr>
      <w:rPr>
        <w:rFonts w:ascii="Wingdings" w:hAnsi="Wingdings" w:hint="default"/>
      </w:rPr>
    </w:lvl>
  </w:abstractNum>
  <w:abstractNum w:abstractNumId="124" w15:restartNumberingAfterBreak="0">
    <w:nsid w:val="4EC10B5B"/>
    <w:multiLevelType w:val="hybridMultilevel"/>
    <w:tmpl w:val="B1C2F312"/>
    <w:lvl w:ilvl="0" w:tplc="52EEC84E">
      <w:start w:val="1"/>
      <w:numFmt w:val="bullet"/>
      <w:lvlText w:val="-"/>
      <w:lvlJc w:val="left"/>
      <w:pPr>
        <w:ind w:left="720" w:hanging="360"/>
      </w:pPr>
      <w:rPr>
        <w:rFonts w:ascii="Arial Narrow" w:eastAsia="Times New Roman"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5" w15:restartNumberingAfterBreak="0">
    <w:nsid w:val="4EDDD506"/>
    <w:multiLevelType w:val="hybridMultilevel"/>
    <w:tmpl w:val="FFFFFFFF"/>
    <w:lvl w:ilvl="0" w:tplc="2A02EC20">
      <w:start w:val="1"/>
      <w:numFmt w:val="decimal"/>
      <w:lvlText w:val="%1."/>
      <w:lvlJc w:val="left"/>
      <w:pPr>
        <w:ind w:left="720" w:hanging="360"/>
      </w:pPr>
    </w:lvl>
    <w:lvl w:ilvl="1" w:tplc="4790B29E">
      <w:start w:val="1"/>
      <w:numFmt w:val="lowerLetter"/>
      <w:lvlText w:val="%2."/>
      <w:lvlJc w:val="left"/>
      <w:pPr>
        <w:ind w:left="1440" w:hanging="360"/>
      </w:pPr>
    </w:lvl>
    <w:lvl w:ilvl="2" w:tplc="D7F8E7E6">
      <w:start w:val="1"/>
      <w:numFmt w:val="lowerRoman"/>
      <w:lvlText w:val="%3."/>
      <w:lvlJc w:val="right"/>
      <w:pPr>
        <w:ind w:left="2160" w:hanging="180"/>
      </w:pPr>
    </w:lvl>
    <w:lvl w:ilvl="3" w:tplc="26F8743A">
      <w:start w:val="1"/>
      <w:numFmt w:val="decimal"/>
      <w:lvlText w:val="%4."/>
      <w:lvlJc w:val="left"/>
      <w:pPr>
        <w:ind w:left="2880" w:hanging="360"/>
      </w:pPr>
    </w:lvl>
    <w:lvl w:ilvl="4" w:tplc="491625A0">
      <w:start w:val="1"/>
      <w:numFmt w:val="lowerLetter"/>
      <w:lvlText w:val="%5."/>
      <w:lvlJc w:val="left"/>
      <w:pPr>
        <w:ind w:left="3600" w:hanging="360"/>
      </w:pPr>
    </w:lvl>
    <w:lvl w:ilvl="5" w:tplc="F0DCC804">
      <w:start w:val="1"/>
      <w:numFmt w:val="lowerRoman"/>
      <w:lvlText w:val="%6."/>
      <w:lvlJc w:val="right"/>
      <w:pPr>
        <w:ind w:left="4320" w:hanging="180"/>
      </w:pPr>
    </w:lvl>
    <w:lvl w:ilvl="6" w:tplc="ED2A2B46">
      <w:start w:val="1"/>
      <w:numFmt w:val="decimal"/>
      <w:lvlText w:val="%7."/>
      <w:lvlJc w:val="left"/>
      <w:pPr>
        <w:ind w:left="5040" w:hanging="360"/>
      </w:pPr>
    </w:lvl>
    <w:lvl w:ilvl="7" w:tplc="635C5FD4">
      <w:start w:val="1"/>
      <w:numFmt w:val="lowerLetter"/>
      <w:lvlText w:val="%8."/>
      <w:lvlJc w:val="left"/>
      <w:pPr>
        <w:ind w:left="5760" w:hanging="360"/>
      </w:pPr>
    </w:lvl>
    <w:lvl w:ilvl="8" w:tplc="C6FEA05A">
      <w:start w:val="1"/>
      <w:numFmt w:val="lowerRoman"/>
      <w:lvlText w:val="%9."/>
      <w:lvlJc w:val="right"/>
      <w:pPr>
        <w:ind w:left="6480" w:hanging="180"/>
      </w:pPr>
    </w:lvl>
  </w:abstractNum>
  <w:abstractNum w:abstractNumId="126" w15:restartNumberingAfterBreak="0">
    <w:nsid w:val="4F809F8A"/>
    <w:multiLevelType w:val="hybridMultilevel"/>
    <w:tmpl w:val="FFFFFFFF"/>
    <w:lvl w:ilvl="0" w:tplc="4D0AFD12">
      <w:start w:val="1"/>
      <w:numFmt w:val="lowerLetter"/>
      <w:lvlText w:val="%1)"/>
      <w:lvlJc w:val="left"/>
      <w:pPr>
        <w:ind w:left="720" w:hanging="360"/>
      </w:pPr>
    </w:lvl>
    <w:lvl w:ilvl="1" w:tplc="5A4EED78">
      <w:start w:val="1"/>
      <w:numFmt w:val="lowerLetter"/>
      <w:lvlText w:val="%2."/>
      <w:lvlJc w:val="left"/>
      <w:pPr>
        <w:ind w:left="1440" w:hanging="360"/>
      </w:pPr>
    </w:lvl>
    <w:lvl w:ilvl="2" w:tplc="A02C2452">
      <w:start w:val="1"/>
      <w:numFmt w:val="lowerRoman"/>
      <w:lvlText w:val="%3."/>
      <w:lvlJc w:val="right"/>
      <w:pPr>
        <w:ind w:left="2160" w:hanging="180"/>
      </w:pPr>
    </w:lvl>
    <w:lvl w:ilvl="3" w:tplc="C5FCE10E">
      <w:start w:val="1"/>
      <w:numFmt w:val="decimal"/>
      <w:lvlText w:val="%4."/>
      <w:lvlJc w:val="left"/>
      <w:pPr>
        <w:ind w:left="2880" w:hanging="360"/>
      </w:pPr>
    </w:lvl>
    <w:lvl w:ilvl="4" w:tplc="8F86A930">
      <w:start w:val="1"/>
      <w:numFmt w:val="lowerLetter"/>
      <w:lvlText w:val="%5."/>
      <w:lvlJc w:val="left"/>
      <w:pPr>
        <w:ind w:left="3600" w:hanging="360"/>
      </w:pPr>
    </w:lvl>
    <w:lvl w:ilvl="5" w:tplc="3536A3C8">
      <w:start w:val="1"/>
      <w:numFmt w:val="lowerRoman"/>
      <w:lvlText w:val="%6."/>
      <w:lvlJc w:val="right"/>
      <w:pPr>
        <w:ind w:left="4320" w:hanging="180"/>
      </w:pPr>
    </w:lvl>
    <w:lvl w:ilvl="6" w:tplc="A92A5E46">
      <w:start w:val="1"/>
      <w:numFmt w:val="decimal"/>
      <w:lvlText w:val="%7."/>
      <w:lvlJc w:val="left"/>
      <w:pPr>
        <w:ind w:left="5040" w:hanging="360"/>
      </w:pPr>
    </w:lvl>
    <w:lvl w:ilvl="7" w:tplc="F86CD2EE">
      <w:start w:val="1"/>
      <w:numFmt w:val="lowerLetter"/>
      <w:lvlText w:val="%8."/>
      <w:lvlJc w:val="left"/>
      <w:pPr>
        <w:ind w:left="5760" w:hanging="360"/>
      </w:pPr>
    </w:lvl>
    <w:lvl w:ilvl="8" w:tplc="88AEEA2C">
      <w:start w:val="1"/>
      <w:numFmt w:val="lowerRoman"/>
      <w:lvlText w:val="%9."/>
      <w:lvlJc w:val="right"/>
      <w:pPr>
        <w:ind w:left="6480" w:hanging="180"/>
      </w:pPr>
    </w:lvl>
  </w:abstractNum>
  <w:abstractNum w:abstractNumId="127" w15:restartNumberingAfterBreak="0">
    <w:nsid w:val="4FD4367D"/>
    <w:multiLevelType w:val="hybridMultilevel"/>
    <w:tmpl w:val="58FAE1B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8" w15:restartNumberingAfterBreak="0">
    <w:nsid w:val="503600DD"/>
    <w:multiLevelType w:val="hybridMultilevel"/>
    <w:tmpl w:val="39586B2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515F951E"/>
    <w:multiLevelType w:val="hybridMultilevel"/>
    <w:tmpl w:val="FFFFFFFF"/>
    <w:lvl w:ilvl="0" w:tplc="E2B002CE">
      <w:start w:val="1"/>
      <w:numFmt w:val="bullet"/>
      <w:lvlText w:val="-"/>
      <w:lvlJc w:val="left"/>
      <w:pPr>
        <w:ind w:left="720" w:hanging="360"/>
      </w:pPr>
      <w:rPr>
        <w:rFonts w:ascii="Symbol" w:hAnsi="Symbol" w:hint="default"/>
      </w:rPr>
    </w:lvl>
    <w:lvl w:ilvl="1" w:tplc="D2827EBE">
      <w:start w:val="1"/>
      <w:numFmt w:val="bullet"/>
      <w:lvlText w:val="o"/>
      <w:lvlJc w:val="left"/>
      <w:pPr>
        <w:ind w:left="1440" w:hanging="360"/>
      </w:pPr>
      <w:rPr>
        <w:rFonts w:ascii="Courier New" w:hAnsi="Courier New" w:hint="default"/>
      </w:rPr>
    </w:lvl>
    <w:lvl w:ilvl="2" w:tplc="DEBC76D6">
      <w:start w:val="1"/>
      <w:numFmt w:val="bullet"/>
      <w:lvlText w:val=""/>
      <w:lvlJc w:val="left"/>
      <w:pPr>
        <w:ind w:left="2160" w:hanging="360"/>
      </w:pPr>
      <w:rPr>
        <w:rFonts w:ascii="Wingdings" w:hAnsi="Wingdings" w:hint="default"/>
      </w:rPr>
    </w:lvl>
    <w:lvl w:ilvl="3" w:tplc="85A46A56">
      <w:start w:val="1"/>
      <w:numFmt w:val="bullet"/>
      <w:lvlText w:val=""/>
      <w:lvlJc w:val="left"/>
      <w:pPr>
        <w:ind w:left="2880" w:hanging="360"/>
      </w:pPr>
      <w:rPr>
        <w:rFonts w:ascii="Symbol" w:hAnsi="Symbol" w:hint="default"/>
      </w:rPr>
    </w:lvl>
    <w:lvl w:ilvl="4" w:tplc="BB483D98">
      <w:start w:val="1"/>
      <w:numFmt w:val="bullet"/>
      <w:lvlText w:val="o"/>
      <w:lvlJc w:val="left"/>
      <w:pPr>
        <w:ind w:left="3600" w:hanging="360"/>
      </w:pPr>
      <w:rPr>
        <w:rFonts w:ascii="Courier New" w:hAnsi="Courier New" w:hint="default"/>
      </w:rPr>
    </w:lvl>
    <w:lvl w:ilvl="5" w:tplc="4B485A36">
      <w:start w:val="1"/>
      <w:numFmt w:val="bullet"/>
      <w:lvlText w:val=""/>
      <w:lvlJc w:val="left"/>
      <w:pPr>
        <w:ind w:left="4320" w:hanging="360"/>
      </w:pPr>
      <w:rPr>
        <w:rFonts w:ascii="Wingdings" w:hAnsi="Wingdings" w:hint="default"/>
      </w:rPr>
    </w:lvl>
    <w:lvl w:ilvl="6" w:tplc="2BA6F3FA">
      <w:start w:val="1"/>
      <w:numFmt w:val="bullet"/>
      <w:lvlText w:val=""/>
      <w:lvlJc w:val="left"/>
      <w:pPr>
        <w:ind w:left="5040" w:hanging="360"/>
      </w:pPr>
      <w:rPr>
        <w:rFonts w:ascii="Symbol" w:hAnsi="Symbol" w:hint="default"/>
      </w:rPr>
    </w:lvl>
    <w:lvl w:ilvl="7" w:tplc="8840A11A">
      <w:start w:val="1"/>
      <w:numFmt w:val="bullet"/>
      <w:lvlText w:val="o"/>
      <w:lvlJc w:val="left"/>
      <w:pPr>
        <w:ind w:left="5760" w:hanging="360"/>
      </w:pPr>
      <w:rPr>
        <w:rFonts w:ascii="Courier New" w:hAnsi="Courier New" w:hint="default"/>
      </w:rPr>
    </w:lvl>
    <w:lvl w:ilvl="8" w:tplc="F3FE1D78">
      <w:start w:val="1"/>
      <w:numFmt w:val="bullet"/>
      <w:lvlText w:val=""/>
      <w:lvlJc w:val="left"/>
      <w:pPr>
        <w:ind w:left="6480" w:hanging="360"/>
      </w:pPr>
      <w:rPr>
        <w:rFonts w:ascii="Wingdings" w:hAnsi="Wingdings" w:hint="default"/>
      </w:rPr>
    </w:lvl>
  </w:abstractNum>
  <w:abstractNum w:abstractNumId="130" w15:restartNumberingAfterBreak="0">
    <w:nsid w:val="52024EA5"/>
    <w:multiLevelType w:val="hybridMultilevel"/>
    <w:tmpl w:val="1544501A"/>
    <w:lvl w:ilvl="0" w:tplc="FFFFFFFF">
      <w:start w:val="1"/>
      <w:numFmt w:val="lowerLetter"/>
      <w:lvlText w:val="%1."/>
      <w:lvlJc w:val="left"/>
      <w:pPr>
        <w:ind w:left="720" w:hanging="360"/>
      </w:pPr>
      <w:rPr>
        <w:rFonts w:ascii="Times New Roman" w:hAnsi="Times New Roman"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528B579A"/>
    <w:multiLevelType w:val="hybridMultilevel"/>
    <w:tmpl w:val="13947F6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2" w15:restartNumberingAfterBreak="0">
    <w:nsid w:val="5303643C"/>
    <w:multiLevelType w:val="hybridMultilevel"/>
    <w:tmpl w:val="2D546C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3" w15:restartNumberingAfterBreak="0">
    <w:nsid w:val="531509AC"/>
    <w:multiLevelType w:val="hybridMultilevel"/>
    <w:tmpl w:val="7F94D2D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4" w15:restartNumberingAfterBreak="0">
    <w:nsid w:val="532E3461"/>
    <w:multiLevelType w:val="hybridMultilevel"/>
    <w:tmpl w:val="0420A396"/>
    <w:lvl w:ilvl="0" w:tplc="48F424D6">
      <w:start w:val="1"/>
      <w:numFmt w:val="lowerLetter"/>
      <w:lvlText w:val="%1."/>
      <w:lvlJc w:val="left"/>
      <w:pPr>
        <w:ind w:left="720" w:hanging="360"/>
      </w:pPr>
    </w:lvl>
    <w:lvl w:ilvl="1" w:tplc="B2B2E27C">
      <w:start w:val="1"/>
      <w:numFmt w:val="lowerLetter"/>
      <w:lvlText w:val="%2."/>
      <w:lvlJc w:val="left"/>
      <w:pPr>
        <w:ind w:left="1440" w:hanging="360"/>
      </w:pPr>
    </w:lvl>
    <w:lvl w:ilvl="2" w:tplc="653AED66">
      <w:start w:val="1"/>
      <w:numFmt w:val="lowerRoman"/>
      <w:lvlText w:val="%3."/>
      <w:lvlJc w:val="right"/>
      <w:pPr>
        <w:ind w:left="2160" w:hanging="180"/>
      </w:pPr>
    </w:lvl>
    <w:lvl w:ilvl="3" w:tplc="000660D0">
      <w:start w:val="1"/>
      <w:numFmt w:val="decimal"/>
      <w:lvlText w:val="%4."/>
      <w:lvlJc w:val="left"/>
      <w:pPr>
        <w:ind w:left="2880" w:hanging="360"/>
      </w:pPr>
    </w:lvl>
    <w:lvl w:ilvl="4" w:tplc="953485EC">
      <w:start w:val="1"/>
      <w:numFmt w:val="lowerLetter"/>
      <w:lvlText w:val="%5."/>
      <w:lvlJc w:val="left"/>
      <w:pPr>
        <w:ind w:left="3600" w:hanging="360"/>
      </w:pPr>
    </w:lvl>
    <w:lvl w:ilvl="5" w:tplc="2FB4884A">
      <w:start w:val="1"/>
      <w:numFmt w:val="lowerRoman"/>
      <w:lvlText w:val="%6."/>
      <w:lvlJc w:val="right"/>
      <w:pPr>
        <w:ind w:left="4320" w:hanging="180"/>
      </w:pPr>
    </w:lvl>
    <w:lvl w:ilvl="6" w:tplc="24926950">
      <w:start w:val="1"/>
      <w:numFmt w:val="decimal"/>
      <w:lvlText w:val="%7."/>
      <w:lvlJc w:val="left"/>
      <w:pPr>
        <w:ind w:left="5040" w:hanging="360"/>
      </w:pPr>
    </w:lvl>
    <w:lvl w:ilvl="7" w:tplc="B412C56E">
      <w:start w:val="1"/>
      <w:numFmt w:val="lowerLetter"/>
      <w:lvlText w:val="%8."/>
      <w:lvlJc w:val="left"/>
      <w:pPr>
        <w:ind w:left="5760" w:hanging="360"/>
      </w:pPr>
    </w:lvl>
    <w:lvl w:ilvl="8" w:tplc="AF5CD0E4">
      <w:start w:val="1"/>
      <w:numFmt w:val="lowerRoman"/>
      <w:lvlText w:val="%9."/>
      <w:lvlJc w:val="right"/>
      <w:pPr>
        <w:ind w:left="6480" w:hanging="180"/>
      </w:pPr>
    </w:lvl>
  </w:abstractNum>
  <w:abstractNum w:abstractNumId="135" w15:restartNumberingAfterBreak="0">
    <w:nsid w:val="54F690E8"/>
    <w:multiLevelType w:val="hybridMultilevel"/>
    <w:tmpl w:val="8228B906"/>
    <w:lvl w:ilvl="0" w:tplc="A57E4590">
      <w:start w:val="1"/>
      <w:numFmt w:val="decimal"/>
      <w:lvlText w:val="%1."/>
      <w:lvlJc w:val="left"/>
      <w:pPr>
        <w:ind w:left="720" w:hanging="360"/>
      </w:pPr>
    </w:lvl>
    <w:lvl w:ilvl="1" w:tplc="F7BA2C4A">
      <w:start w:val="1"/>
      <w:numFmt w:val="decimal"/>
      <w:lvlText w:val="%2.1"/>
      <w:lvlJc w:val="left"/>
      <w:pPr>
        <w:ind w:left="1440" w:hanging="360"/>
      </w:pPr>
    </w:lvl>
    <w:lvl w:ilvl="2" w:tplc="8F8C5FB2">
      <w:start w:val="1"/>
      <w:numFmt w:val="lowerRoman"/>
      <w:lvlText w:val="%3."/>
      <w:lvlJc w:val="right"/>
      <w:pPr>
        <w:ind w:left="2160" w:hanging="180"/>
      </w:pPr>
    </w:lvl>
    <w:lvl w:ilvl="3" w:tplc="B8900EF8">
      <w:start w:val="1"/>
      <w:numFmt w:val="decimal"/>
      <w:lvlText w:val="%4."/>
      <w:lvlJc w:val="left"/>
      <w:pPr>
        <w:ind w:left="2880" w:hanging="360"/>
      </w:pPr>
    </w:lvl>
    <w:lvl w:ilvl="4" w:tplc="B54A503C">
      <w:start w:val="1"/>
      <w:numFmt w:val="lowerLetter"/>
      <w:lvlText w:val="%5."/>
      <w:lvlJc w:val="left"/>
      <w:pPr>
        <w:ind w:left="3600" w:hanging="360"/>
      </w:pPr>
    </w:lvl>
    <w:lvl w:ilvl="5" w:tplc="690E979A">
      <w:start w:val="1"/>
      <w:numFmt w:val="lowerRoman"/>
      <w:lvlText w:val="%6."/>
      <w:lvlJc w:val="right"/>
      <w:pPr>
        <w:ind w:left="4320" w:hanging="180"/>
      </w:pPr>
    </w:lvl>
    <w:lvl w:ilvl="6" w:tplc="8396B4DC">
      <w:start w:val="1"/>
      <w:numFmt w:val="decimal"/>
      <w:lvlText w:val="%7."/>
      <w:lvlJc w:val="left"/>
      <w:pPr>
        <w:ind w:left="5040" w:hanging="360"/>
      </w:pPr>
    </w:lvl>
    <w:lvl w:ilvl="7" w:tplc="D5F46FCA">
      <w:start w:val="1"/>
      <w:numFmt w:val="lowerLetter"/>
      <w:lvlText w:val="%8."/>
      <w:lvlJc w:val="left"/>
      <w:pPr>
        <w:ind w:left="5760" w:hanging="360"/>
      </w:pPr>
    </w:lvl>
    <w:lvl w:ilvl="8" w:tplc="2B86248C">
      <w:start w:val="1"/>
      <w:numFmt w:val="lowerRoman"/>
      <w:lvlText w:val="%9."/>
      <w:lvlJc w:val="right"/>
      <w:pPr>
        <w:ind w:left="6480" w:hanging="180"/>
      </w:pPr>
    </w:lvl>
  </w:abstractNum>
  <w:abstractNum w:abstractNumId="136" w15:restartNumberingAfterBreak="0">
    <w:nsid w:val="55240FB5"/>
    <w:multiLevelType w:val="multilevel"/>
    <w:tmpl w:val="A7701DEC"/>
    <w:lvl w:ilvl="0">
      <w:start w:val="3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7" w15:restartNumberingAfterBreak="0">
    <w:nsid w:val="559A2A91"/>
    <w:multiLevelType w:val="hybridMultilevel"/>
    <w:tmpl w:val="FFFFFFFF"/>
    <w:lvl w:ilvl="0" w:tplc="7430B894">
      <w:start w:val="1"/>
      <w:numFmt w:val="bullet"/>
      <w:lvlText w:val="·"/>
      <w:lvlJc w:val="left"/>
      <w:pPr>
        <w:ind w:left="720" w:hanging="360"/>
      </w:pPr>
      <w:rPr>
        <w:rFonts w:ascii="Symbol" w:hAnsi="Symbol" w:hint="default"/>
      </w:rPr>
    </w:lvl>
    <w:lvl w:ilvl="1" w:tplc="837226C4">
      <w:start w:val="1"/>
      <w:numFmt w:val="bullet"/>
      <w:lvlText w:val="o"/>
      <w:lvlJc w:val="left"/>
      <w:pPr>
        <w:ind w:left="1440" w:hanging="360"/>
      </w:pPr>
      <w:rPr>
        <w:rFonts w:ascii="Courier New" w:hAnsi="Courier New" w:hint="default"/>
      </w:rPr>
    </w:lvl>
    <w:lvl w:ilvl="2" w:tplc="80B87B46">
      <w:start w:val="1"/>
      <w:numFmt w:val="bullet"/>
      <w:lvlText w:val=""/>
      <w:lvlJc w:val="left"/>
      <w:pPr>
        <w:ind w:left="2160" w:hanging="360"/>
      </w:pPr>
      <w:rPr>
        <w:rFonts w:ascii="Wingdings" w:hAnsi="Wingdings" w:hint="default"/>
      </w:rPr>
    </w:lvl>
    <w:lvl w:ilvl="3" w:tplc="9AC87F8C">
      <w:start w:val="1"/>
      <w:numFmt w:val="bullet"/>
      <w:lvlText w:val=""/>
      <w:lvlJc w:val="left"/>
      <w:pPr>
        <w:ind w:left="2880" w:hanging="360"/>
      </w:pPr>
      <w:rPr>
        <w:rFonts w:ascii="Symbol" w:hAnsi="Symbol" w:hint="default"/>
      </w:rPr>
    </w:lvl>
    <w:lvl w:ilvl="4" w:tplc="88D4D03A">
      <w:start w:val="1"/>
      <w:numFmt w:val="bullet"/>
      <w:lvlText w:val="o"/>
      <w:lvlJc w:val="left"/>
      <w:pPr>
        <w:ind w:left="3600" w:hanging="360"/>
      </w:pPr>
      <w:rPr>
        <w:rFonts w:ascii="Courier New" w:hAnsi="Courier New" w:hint="default"/>
      </w:rPr>
    </w:lvl>
    <w:lvl w:ilvl="5" w:tplc="E82C6830">
      <w:start w:val="1"/>
      <w:numFmt w:val="bullet"/>
      <w:lvlText w:val=""/>
      <w:lvlJc w:val="left"/>
      <w:pPr>
        <w:ind w:left="4320" w:hanging="360"/>
      </w:pPr>
      <w:rPr>
        <w:rFonts w:ascii="Wingdings" w:hAnsi="Wingdings" w:hint="default"/>
      </w:rPr>
    </w:lvl>
    <w:lvl w:ilvl="6" w:tplc="7056FCCA">
      <w:start w:val="1"/>
      <w:numFmt w:val="bullet"/>
      <w:lvlText w:val=""/>
      <w:lvlJc w:val="left"/>
      <w:pPr>
        <w:ind w:left="5040" w:hanging="360"/>
      </w:pPr>
      <w:rPr>
        <w:rFonts w:ascii="Symbol" w:hAnsi="Symbol" w:hint="default"/>
      </w:rPr>
    </w:lvl>
    <w:lvl w:ilvl="7" w:tplc="7E6A48BA">
      <w:start w:val="1"/>
      <w:numFmt w:val="bullet"/>
      <w:lvlText w:val="o"/>
      <w:lvlJc w:val="left"/>
      <w:pPr>
        <w:ind w:left="5760" w:hanging="360"/>
      </w:pPr>
      <w:rPr>
        <w:rFonts w:ascii="Courier New" w:hAnsi="Courier New" w:hint="default"/>
      </w:rPr>
    </w:lvl>
    <w:lvl w:ilvl="8" w:tplc="6F7A21D2">
      <w:start w:val="1"/>
      <w:numFmt w:val="bullet"/>
      <w:lvlText w:val=""/>
      <w:lvlJc w:val="left"/>
      <w:pPr>
        <w:ind w:left="6480" w:hanging="360"/>
      </w:pPr>
      <w:rPr>
        <w:rFonts w:ascii="Wingdings" w:hAnsi="Wingdings" w:hint="default"/>
      </w:rPr>
    </w:lvl>
  </w:abstractNum>
  <w:abstractNum w:abstractNumId="138" w15:restartNumberingAfterBreak="0">
    <w:nsid w:val="5639DDD1"/>
    <w:multiLevelType w:val="hybridMultilevel"/>
    <w:tmpl w:val="FFFFFFFF"/>
    <w:lvl w:ilvl="0" w:tplc="9132C9EC">
      <w:start w:val="1"/>
      <w:numFmt w:val="lowerLetter"/>
      <w:lvlText w:val="%1)"/>
      <w:lvlJc w:val="left"/>
      <w:pPr>
        <w:ind w:left="720" w:hanging="360"/>
      </w:pPr>
    </w:lvl>
    <w:lvl w:ilvl="1" w:tplc="1946E862">
      <w:start w:val="1"/>
      <w:numFmt w:val="lowerLetter"/>
      <w:lvlText w:val="%2."/>
      <w:lvlJc w:val="left"/>
      <w:pPr>
        <w:ind w:left="1440" w:hanging="360"/>
      </w:pPr>
    </w:lvl>
    <w:lvl w:ilvl="2" w:tplc="B680F7C8">
      <w:start w:val="1"/>
      <w:numFmt w:val="lowerRoman"/>
      <w:lvlText w:val="%3."/>
      <w:lvlJc w:val="right"/>
      <w:pPr>
        <w:ind w:left="2160" w:hanging="180"/>
      </w:pPr>
    </w:lvl>
    <w:lvl w:ilvl="3" w:tplc="73C6E6BC">
      <w:start w:val="1"/>
      <w:numFmt w:val="decimal"/>
      <w:lvlText w:val="%4."/>
      <w:lvlJc w:val="left"/>
      <w:pPr>
        <w:ind w:left="2880" w:hanging="360"/>
      </w:pPr>
    </w:lvl>
    <w:lvl w:ilvl="4" w:tplc="36C0EFB4">
      <w:start w:val="1"/>
      <w:numFmt w:val="lowerLetter"/>
      <w:lvlText w:val="%5."/>
      <w:lvlJc w:val="left"/>
      <w:pPr>
        <w:ind w:left="3600" w:hanging="360"/>
      </w:pPr>
    </w:lvl>
    <w:lvl w:ilvl="5" w:tplc="8662EE7A">
      <w:start w:val="1"/>
      <w:numFmt w:val="lowerRoman"/>
      <w:lvlText w:val="%6."/>
      <w:lvlJc w:val="right"/>
      <w:pPr>
        <w:ind w:left="4320" w:hanging="180"/>
      </w:pPr>
    </w:lvl>
    <w:lvl w:ilvl="6" w:tplc="632867A4">
      <w:start w:val="1"/>
      <w:numFmt w:val="decimal"/>
      <w:lvlText w:val="%7."/>
      <w:lvlJc w:val="left"/>
      <w:pPr>
        <w:ind w:left="5040" w:hanging="360"/>
      </w:pPr>
    </w:lvl>
    <w:lvl w:ilvl="7" w:tplc="6514188A">
      <w:start w:val="1"/>
      <w:numFmt w:val="lowerLetter"/>
      <w:lvlText w:val="%8."/>
      <w:lvlJc w:val="left"/>
      <w:pPr>
        <w:ind w:left="5760" w:hanging="360"/>
      </w:pPr>
    </w:lvl>
    <w:lvl w:ilvl="8" w:tplc="EE2CC4C8">
      <w:start w:val="1"/>
      <w:numFmt w:val="lowerRoman"/>
      <w:lvlText w:val="%9."/>
      <w:lvlJc w:val="right"/>
      <w:pPr>
        <w:ind w:left="6480" w:hanging="180"/>
      </w:pPr>
    </w:lvl>
  </w:abstractNum>
  <w:abstractNum w:abstractNumId="139" w15:restartNumberingAfterBreak="0">
    <w:nsid w:val="57077F7C"/>
    <w:multiLevelType w:val="multilevel"/>
    <w:tmpl w:val="0144E080"/>
    <w:lvl w:ilvl="0">
      <w:start w:val="2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0" w15:restartNumberingAfterBreak="0">
    <w:nsid w:val="57B165B7"/>
    <w:multiLevelType w:val="multilevel"/>
    <w:tmpl w:val="C986B428"/>
    <w:lvl w:ilvl="0">
      <w:start w:val="11"/>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1" w15:restartNumberingAfterBreak="0">
    <w:nsid w:val="57C72D66"/>
    <w:multiLevelType w:val="hybridMultilevel"/>
    <w:tmpl w:val="9A5A1F68"/>
    <w:lvl w:ilvl="0" w:tplc="B34C1394">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2" w15:restartNumberingAfterBreak="0">
    <w:nsid w:val="583C025F"/>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3" w15:restartNumberingAfterBreak="0">
    <w:nsid w:val="585C1793"/>
    <w:multiLevelType w:val="hybridMultilevel"/>
    <w:tmpl w:val="1544501A"/>
    <w:lvl w:ilvl="0" w:tplc="FFFFFFFF">
      <w:start w:val="1"/>
      <w:numFmt w:val="lowerLetter"/>
      <w:lvlText w:val="%1."/>
      <w:lvlJc w:val="left"/>
      <w:pPr>
        <w:ind w:left="720" w:hanging="360"/>
      </w:pPr>
      <w:rPr>
        <w:rFonts w:ascii="Times New Roman" w:hAnsi="Times New Roman"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58A150AE"/>
    <w:multiLevelType w:val="hybridMultilevel"/>
    <w:tmpl w:val="8F9028F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5" w15:restartNumberingAfterBreak="0">
    <w:nsid w:val="590154DA"/>
    <w:multiLevelType w:val="hybridMultilevel"/>
    <w:tmpl w:val="0B7A9EE8"/>
    <w:lvl w:ilvl="0" w:tplc="CC4404D6">
      <w:start w:val="1"/>
      <w:numFmt w:val="lowerLetter"/>
      <w:lvlText w:val="%1."/>
      <w:lvlJc w:val="left"/>
      <w:pPr>
        <w:ind w:left="360" w:hanging="360"/>
      </w:pPr>
      <w:rPr>
        <w:rFonts w:asciiTheme="minorHAnsi" w:hAnsiTheme="minorHAnsi" w:cstheme="minorHAnsi" w:hint="default"/>
        <w:b/>
        <w:bCs/>
        <w:sz w:val="22"/>
        <w:szCs w:val="22"/>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6" w15:restartNumberingAfterBreak="0">
    <w:nsid w:val="5A370650"/>
    <w:multiLevelType w:val="hybridMultilevel"/>
    <w:tmpl w:val="FFFFFFFF"/>
    <w:lvl w:ilvl="0" w:tplc="059691F6">
      <w:start w:val="1"/>
      <w:numFmt w:val="bullet"/>
      <w:lvlText w:val="·"/>
      <w:lvlJc w:val="left"/>
      <w:pPr>
        <w:ind w:left="720" w:hanging="360"/>
      </w:pPr>
      <w:rPr>
        <w:rFonts w:ascii="Symbol" w:hAnsi="Symbol" w:hint="default"/>
      </w:rPr>
    </w:lvl>
    <w:lvl w:ilvl="1" w:tplc="1DA25708">
      <w:start w:val="1"/>
      <w:numFmt w:val="bullet"/>
      <w:lvlText w:val="o"/>
      <w:lvlJc w:val="left"/>
      <w:pPr>
        <w:ind w:left="1440" w:hanging="360"/>
      </w:pPr>
      <w:rPr>
        <w:rFonts w:ascii="Courier New" w:hAnsi="Courier New" w:hint="default"/>
      </w:rPr>
    </w:lvl>
    <w:lvl w:ilvl="2" w:tplc="2B1C18D4">
      <w:start w:val="1"/>
      <w:numFmt w:val="bullet"/>
      <w:lvlText w:val=""/>
      <w:lvlJc w:val="left"/>
      <w:pPr>
        <w:ind w:left="2160" w:hanging="360"/>
      </w:pPr>
      <w:rPr>
        <w:rFonts w:ascii="Wingdings" w:hAnsi="Wingdings" w:hint="default"/>
      </w:rPr>
    </w:lvl>
    <w:lvl w:ilvl="3" w:tplc="E2022C66">
      <w:start w:val="1"/>
      <w:numFmt w:val="bullet"/>
      <w:lvlText w:val=""/>
      <w:lvlJc w:val="left"/>
      <w:pPr>
        <w:ind w:left="2880" w:hanging="360"/>
      </w:pPr>
      <w:rPr>
        <w:rFonts w:ascii="Symbol" w:hAnsi="Symbol" w:hint="default"/>
      </w:rPr>
    </w:lvl>
    <w:lvl w:ilvl="4" w:tplc="B1906F7A">
      <w:start w:val="1"/>
      <w:numFmt w:val="bullet"/>
      <w:lvlText w:val="o"/>
      <w:lvlJc w:val="left"/>
      <w:pPr>
        <w:ind w:left="3600" w:hanging="360"/>
      </w:pPr>
      <w:rPr>
        <w:rFonts w:ascii="Courier New" w:hAnsi="Courier New" w:hint="default"/>
      </w:rPr>
    </w:lvl>
    <w:lvl w:ilvl="5" w:tplc="352EAE3E">
      <w:start w:val="1"/>
      <w:numFmt w:val="bullet"/>
      <w:lvlText w:val=""/>
      <w:lvlJc w:val="left"/>
      <w:pPr>
        <w:ind w:left="4320" w:hanging="360"/>
      </w:pPr>
      <w:rPr>
        <w:rFonts w:ascii="Wingdings" w:hAnsi="Wingdings" w:hint="default"/>
      </w:rPr>
    </w:lvl>
    <w:lvl w:ilvl="6" w:tplc="F206606C">
      <w:start w:val="1"/>
      <w:numFmt w:val="bullet"/>
      <w:lvlText w:val=""/>
      <w:lvlJc w:val="left"/>
      <w:pPr>
        <w:ind w:left="5040" w:hanging="360"/>
      </w:pPr>
      <w:rPr>
        <w:rFonts w:ascii="Symbol" w:hAnsi="Symbol" w:hint="default"/>
      </w:rPr>
    </w:lvl>
    <w:lvl w:ilvl="7" w:tplc="85FA5DD6">
      <w:start w:val="1"/>
      <w:numFmt w:val="bullet"/>
      <w:lvlText w:val="o"/>
      <w:lvlJc w:val="left"/>
      <w:pPr>
        <w:ind w:left="5760" w:hanging="360"/>
      </w:pPr>
      <w:rPr>
        <w:rFonts w:ascii="Courier New" w:hAnsi="Courier New" w:hint="default"/>
      </w:rPr>
    </w:lvl>
    <w:lvl w:ilvl="8" w:tplc="62EC6ECE">
      <w:start w:val="1"/>
      <w:numFmt w:val="bullet"/>
      <w:lvlText w:val=""/>
      <w:lvlJc w:val="left"/>
      <w:pPr>
        <w:ind w:left="6480" w:hanging="360"/>
      </w:pPr>
      <w:rPr>
        <w:rFonts w:ascii="Wingdings" w:hAnsi="Wingdings" w:hint="default"/>
      </w:rPr>
    </w:lvl>
  </w:abstractNum>
  <w:abstractNum w:abstractNumId="147" w15:restartNumberingAfterBreak="0">
    <w:nsid w:val="5B261290"/>
    <w:multiLevelType w:val="hybridMultilevel"/>
    <w:tmpl w:val="1C5C5A0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8" w15:restartNumberingAfterBreak="0">
    <w:nsid w:val="5B761811"/>
    <w:multiLevelType w:val="hybridMultilevel"/>
    <w:tmpl w:val="6F4C2486"/>
    <w:lvl w:ilvl="0" w:tplc="6FE87ACC">
      <w:start w:val="1"/>
      <w:numFmt w:val="bullet"/>
      <w:lvlText w:val="Ø"/>
      <w:lvlJc w:val="left"/>
      <w:pPr>
        <w:ind w:left="720" w:hanging="360"/>
      </w:pPr>
      <w:rPr>
        <w:rFonts w:ascii="Wingdings" w:hAnsi="Wingdings" w:hint="default"/>
      </w:rPr>
    </w:lvl>
    <w:lvl w:ilvl="1" w:tplc="76FE6C7A">
      <w:start w:val="1"/>
      <w:numFmt w:val="bullet"/>
      <w:lvlText w:val="o"/>
      <w:lvlJc w:val="left"/>
      <w:pPr>
        <w:ind w:left="1440" w:hanging="360"/>
      </w:pPr>
      <w:rPr>
        <w:rFonts w:ascii="Courier New" w:hAnsi="Courier New" w:hint="default"/>
      </w:rPr>
    </w:lvl>
    <w:lvl w:ilvl="2" w:tplc="F95CDCF2">
      <w:start w:val="1"/>
      <w:numFmt w:val="bullet"/>
      <w:lvlText w:val=""/>
      <w:lvlJc w:val="left"/>
      <w:pPr>
        <w:ind w:left="2160" w:hanging="360"/>
      </w:pPr>
      <w:rPr>
        <w:rFonts w:ascii="Wingdings" w:hAnsi="Wingdings" w:hint="default"/>
      </w:rPr>
    </w:lvl>
    <w:lvl w:ilvl="3" w:tplc="BDE45EF2">
      <w:start w:val="1"/>
      <w:numFmt w:val="bullet"/>
      <w:lvlText w:val=""/>
      <w:lvlJc w:val="left"/>
      <w:pPr>
        <w:ind w:left="2880" w:hanging="360"/>
      </w:pPr>
      <w:rPr>
        <w:rFonts w:ascii="Symbol" w:hAnsi="Symbol" w:hint="default"/>
      </w:rPr>
    </w:lvl>
    <w:lvl w:ilvl="4" w:tplc="D61EEEDE">
      <w:start w:val="1"/>
      <w:numFmt w:val="bullet"/>
      <w:lvlText w:val="o"/>
      <w:lvlJc w:val="left"/>
      <w:pPr>
        <w:ind w:left="3600" w:hanging="360"/>
      </w:pPr>
      <w:rPr>
        <w:rFonts w:ascii="Courier New" w:hAnsi="Courier New" w:hint="default"/>
      </w:rPr>
    </w:lvl>
    <w:lvl w:ilvl="5" w:tplc="5EBE0D5C">
      <w:start w:val="1"/>
      <w:numFmt w:val="bullet"/>
      <w:lvlText w:val=""/>
      <w:lvlJc w:val="left"/>
      <w:pPr>
        <w:ind w:left="4320" w:hanging="360"/>
      </w:pPr>
      <w:rPr>
        <w:rFonts w:ascii="Wingdings" w:hAnsi="Wingdings" w:hint="default"/>
      </w:rPr>
    </w:lvl>
    <w:lvl w:ilvl="6" w:tplc="F6A84772">
      <w:start w:val="1"/>
      <w:numFmt w:val="bullet"/>
      <w:lvlText w:val=""/>
      <w:lvlJc w:val="left"/>
      <w:pPr>
        <w:ind w:left="5040" w:hanging="360"/>
      </w:pPr>
      <w:rPr>
        <w:rFonts w:ascii="Symbol" w:hAnsi="Symbol" w:hint="default"/>
      </w:rPr>
    </w:lvl>
    <w:lvl w:ilvl="7" w:tplc="46827D12">
      <w:start w:val="1"/>
      <w:numFmt w:val="bullet"/>
      <w:lvlText w:val="o"/>
      <w:lvlJc w:val="left"/>
      <w:pPr>
        <w:ind w:left="5760" w:hanging="360"/>
      </w:pPr>
      <w:rPr>
        <w:rFonts w:ascii="Courier New" w:hAnsi="Courier New" w:hint="default"/>
      </w:rPr>
    </w:lvl>
    <w:lvl w:ilvl="8" w:tplc="AED49E56">
      <w:start w:val="1"/>
      <w:numFmt w:val="bullet"/>
      <w:lvlText w:val=""/>
      <w:lvlJc w:val="left"/>
      <w:pPr>
        <w:ind w:left="6480" w:hanging="360"/>
      </w:pPr>
      <w:rPr>
        <w:rFonts w:ascii="Wingdings" w:hAnsi="Wingdings" w:hint="default"/>
      </w:rPr>
    </w:lvl>
  </w:abstractNum>
  <w:abstractNum w:abstractNumId="149" w15:restartNumberingAfterBreak="0">
    <w:nsid w:val="5CE59713"/>
    <w:multiLevelType w:val="hybridMultilevel"/>
    <w:tmpl w:val="FFFFFFFF"/>
    <w:lvl w:ilvl="0" w:tplc="8BB63750">
      <w:start w:val="1"/>
      <w:numFmt w:val="lowerLetter"/>
      <w:lvlText w:val="%1."/>
      <w:lvlJc w:val="left"/>
      <w:pPr>
        <w:ind w:left="720" w:hanging="360"/>
      </w:pPr>
    </w:lvl>
    <w:lvl w:ilvl="1" w:tplc="6760319C">
      <w:start w:val="1"/>
      <w:numFmt w:val="lowerLetter"/>
      <w:lvlText w:val="%2."/>
      <w:lvlJc w:val="left"/>
      <w:pPr>
        <w:ind w:left="1440" w:hanging="360"/>
      </w:pPr>
    </w:lvl>
    <w:lvl w:ilvl="2" w:tplc="A6B61298">
      <w:start w:val="1"/>
      <w:numFmt w:val="lowerRoman"/>
      <w:lvlText w:val="%3."/>
      <w:lvlJc w:val="right"/>
      <w:pPr>
        <w:ind w:left="2160" w:hanging="180"/>
      </w:pPr>
    </w:lvl>
    <w:lvl w:ilvl="3" w:tplc="935A5ABE">
      <w:start w:val="1"/>
      <w:numFmt w:val="decimal"/>
      <w:lvlText w:val="%4."/>
      <w:lvlJc w:val="left"/>
      <w:pPr>
        <w:ind w:left="2880" w:hanging="360"/>
      </w:pPr>
    </w:lvl>
    <w:lvl w:ilvl="4" w:tplc="7D7099CA">
      <w:start w:val="1"/>
      <w:numFmt w:val="lowerLetter"/>
      <w:lvlText w:val="%5."/>
      <w:lvlJc w:val="left"/>
      <w:pPr>
        <w:ind w:left="3600" w:hanging="360"/>
      </w:pPr>
    </w:lvl>
    <w:lvl w:ilvl="5" w:tplc="82186D7A">
      <w:start w:val="1"/>
      <w:numFmt w:val="lowerRoman"/>
      <w:lvlText w:val="%6."/>
      <w:lvlJc w:val="right"/>
      <w:pPr>
        <w:ind w:left="4320" w:hanging="180"/>
      </w:pPr>
    </w:lvl>
    <w:lvl w:ilvl="6" w:tplc="4B2C6178">
      <w:start w:val="1"/>
      <w:numFmt w:val="decimal"/>
      <w:lvlText w:val="%7."/>
      <w:lvlJc w:val="left"/>
      <w:pPr>
        <w:ind w:left="5040" w:hanging="360"/>
      </w:pPr>
    </w:lvl>
    <w:lvl w:ilvl="7" w:tplc="CC684070">
      <w:start w:val="1"/>
      <w:numFmt w:val="lowerLetter"/>
      <w:lvlText w:val="%8."/>
      <w:lvlJc w:val="left"/>
      <w:pPr>
        <w:ind w:left="5760" w:hanging="360"/>
      </w:pPr>
    </w:lvl>
    <w:lvl w:ilvl="8" w:tplc="69823F6C">
      <w:start w:val="1"/>
      <w:numFmt w:val="lowerRoman"/>
      <w:lvlText w:val="%9."/>
      <w:lvlJc w:val="right"/>
      <w:pPr>
        <w:ind w:left="6480" w:hanging="180"/>
      </w:pPr>
    </w:lvl>
  </w:abstractNum>
  <w:abstractNum w:abstractNumId="150" w15:restartNumberingAfterBreak="0">
    <w:nsid w:val="5CF2F78E"/>
    <w:multiLevelType w:val="hybridMultilevel"/>
    <w:tmpl w:val="7862E862"/>
    <w:lvl w:ilvl="0" w:tplc="80E66920">
      <w:start w:val="1"/>
      <w:numFmt w:val="bullet"/>
      <w:lvlText w:val="·"/>
      <w:lvlJc w:val="left"/>
      <w:pPr>
        <w:ind w:left="720" w:hanging="360"/>
      </w:pPr>
      <w:rPr>
        <w:rFonts w:ascii="Symbol" w:hAnsi="Symbol" w:hint="default"/>
      </w:rPr>
    </w:lvl>
    <w:lvl w:ilvl="1" w:tplc="88A6D55E">
      <w:start w:val="1"/>
      <w:numFmt w:val="bullet"/>
      <w:lvlText w:val="o"/>
      <w:lvlJc w:val="left"/>
      <w:pPr>
        <w:ind w:left="1440" w:hanging="360"/>
      </w:pPr>
      <w:rPr>
        <w:rFonts w:ascii="Courier New" w:hAnsi="Courier New" w:hint="default"/>
      </w:rPr>
    </w:lvl>
    <w:lvl w:ilvl="2" w:tplc="2C5051BC">
      <w:start w:val="1"/>
      <w:numFmt w:val="bullet"/>
      <w:lvlText w:val=""/>
      <w:lvlJc w:val="left"/>
      <w:pPr>
        <w:ind w:left="2160" w:hanging="360"/>
      </w:pPr>
      <w:rPr>
        <w:rFonts w:ascii="Wingdings" w:hAnsi="Wingdings" w:hint="default"/>
      </w:rPr>
    </w:lvl>
    <w:lvl w:ilvl="3" w:tplc="FF226544">
      <w:start w:val="1"/>
      <w:numFmt w:val="bullet"/>
      <w:lvlText w:val=""/>
      <w:lvlJc w:val="left"/>
      <w:pPr>
        <w:ind w:left="2880" w:hanging="360"/>
      </w:pPr>
      <w:rPr>
        <w:rFonts w:ascii="Symbol" w:hAnsi="Symbol" w:hint="default"/>
      </w:rPr>
    </w:lvl>
    <w:lvl w:ilvl="4" w:tplc="7B9E02C0">
      <w:start w:val="1"/>
      <w:numFmt w:val="bullet"/>
      <w:lvlText w:val="o"/>
      <w:lvlJc w:val="left"/>
      <w:pPr>
        <w:ind w:left="3600" w:hanging="360"/>
      </w:pPr>
      <w:rPr>
        <w:rFonts w:ascii="Courier New" w:hAnsi="Courier New" w:hint="default"/>
      </w:rPr>
    </w:lvl>
    <w:lvl w:ilvl="5" w:tplc="DDDCC2BE">
      <w:start w:val="1"/>
      <w:numFmt w:val="bullet"/>
      <w:lvlText w:val=""/>
      <w:lvlJc w:val="left"/>
      <w:pPr>
        <w:ind w:left="4320" w:hanging="360"/>
      </w:pPr>
      <w:rPr>
        <w:rFonts w:ascii="Wingdings" w:hAnsi="Wingdings" w:hint="default"/>
      </w:rPr>
    </w:lvl>
    <w:lvl w:ilvl="6" w:tplc="A2E809D6">
      <w:start w:val="1"/>
      <w:numFmt w:val="bullet"/>
      <w:lvlText w:val=""/>
      <w:lvlJc w:val="left"/>
      <w:pPr>
        <w:ind w:left="5040" w:hanging="360"/>
      </w:pPr>
      <w:rPr>
        <w:rFonts w:ascii="Symbol" w:hAnsi="Symbol" w:hint="default"/>
      </w:rPr>
    </w:lvl>
    <w:lvl w:ilvl="7" w:tplc="BA84D8F6">
      <w:start w:val="1"/>
      <w:numFmt w:val="bullet"/>
      <w:lvlText w:val="o"/>
      <w:lvlJc w:val="left"/>
      <w:pPr>
        <w:ind w:left="5760" w:hanging="360"/>
      </w:pPr>
      <w:rPr>
        <w:rFonts w:ascii="Courier New" w:hAnsi="Courier New" w:hint="default"/>
      </w:rPr>
    </w:lvl>
    <w:lvl w:ilvl="8" w:tplc="02B2B51E">
      <w:start w:val="1"/>
      <w:numFmt w:val="bullet"/>
      <w:lvlText w:val=""/>
      <w:lvlJc w:val="left"/>
      <w:pPr>
        <w:ind w:left="6480" w:hanging="360"/>
      </w:pPr>
      <w:rPr>
        <w:rFonts w:ascii="Wingdings" w:hAnsi="Wingdings" w:hint="default"/>
      </w:rPr>
    </w:lvl>
  </w:abstractNum>
  <w:abstractNum w:abstractNumId="151" w15:restartNumberingAfterBreak="0">
    <w:nsid w:val="5D280245"/>
    <w:multiLevelType w:val="hybridMultilevel"/>
    <w:tmpl w:val="E816367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5D427D28"/>
    <w:multiLevelType w:val="hybridMultilevel"/>
    <w:tmpl w:val="C2723062"/>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5D9573E7"/>
    <w:multiLevelType w:val="hybridMultilevel"/>
    <w:tmpl w:val="A938380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15:restartNumberingAfterBreak="0">
    <w:nsid w:val="5E330350"/>
    <w:multiLevelType w:val="hybridMultilevel"/>
    <w:tmpl w:val="B5365E9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5" w15:restartNumberingAfterBreak="0">
    <w:nsid w:val="5E9FCAA4"/>
    <w:multiLevelType w:val="hybridMultilevel"/>
    <w:tmpl w:val="FFFFFFFF"/>
    <w:lvl w:ilvl="0" w:tplc="AC581E20">
      <w:start w:val="1"/>
      <w:numFmt w:val="lowerLetter"/>
      <w:lvlText w:val="%1."/>
      <w:lvlJc w:val="left"/>
      <w:pPr>
        <w:ind w:left="720" w:hanging="360"/>
      </w:pPr>
    </w:lvl>
    <w:lvl w:ilvl="1" w:tplc="F1027D60">
      <w:start w:val="1"/>
      <w:numFmt w:val="lowerLetter"/>
      <w:lvlText w:val="%2."/>
      <w:lvlJc w:val="left"/>
      <w:pPr>
        <w:ind w:left="1440" w:hanging="360"/>
      </w:pPr>
    </w:lvl>
    <w:lvl w:ilvl="2" w:tplc="51D82108">
      <w:start w:val="1"/>
      <w:numFmt w:val="lowerRoman"/>
      <w:lvlText w:val="%3."/>
      <w:lvlJc w:val="right"/>
      <w:pPr>
        <w:ind w:left="2160" w:hanging="180"/>
      </w:pPr>
    </w:lvl>
    <w:lvl w:ilvl="3" w:tplc="B6F08B46">
      <w:start w:val="1"/>
      <w:numFmt w:val="decimal"/>
      <w:lvlText w:val="%4."/>
      <w:lvlJc w:val="left"/>
      <w:pPr>
        <w:ind w:left="2880" w:hanging="360"/>
      </w:pPr>
    </w:lvl>
    <w:lvl w:ilvl="4" w:tplc="992C9EB6">
      <w:start w:val="1"/>
      <w:numFmt w:val="lowerLetter"/>
      <w:lvlText w:val="%5."/>
      <w:lvlJc w:val="left"/>
      <w:pPr>
        <w:ind w:left="3600" w:hanging="360"/>
      </w:pPr>
    </w:lvl>
    <w:lvl w:ilvl="5" w:tplc="13B4560A">
      <w:start w:val="1"/>
      <w:numFmt w:val="lowerRoman"/>
      <w:lvlText w:val="%6."/>
      <w:lvlJc w:val="right"/>
      <w:pPr>
        <w:ind w:left="4320" w:hanging="180"/>
      </w:pPr>
    </w:lvl>
    <w:lvl w:ilvl="6" w:tplc="3ED6F838">
      <w:start w:val="1"/>
      <w:numFmt w:val="decimal"/>
      <w:lvlText w:val="%7."/>
      <w:lvlJc w:val="left"/>
      <w:pPr>
        <w:ind w:left="5040" w:hanging="360"/>
      </w:pPr>
    </w:lvl>
    <w:lvl w:ilvl="7" w:tplc="324CEEE8">
      <w:start w:val="1"/>
      <w:numFmt w:val="lowerLetter"/>
      <w:lvlText w:val="%8."/>
      <w:lvlJc w:val="left"/>
      <w:pPr>
        <w:ind w:left="5760" w:hanging="360"/>
      </w:pPr>
    </w:lvl>
    <w:lvl w:ilvl="8" w:tplc="E1C4B4D0">
      <w:start w:val="1"/>
      <w:numFmt w:val="lowerRoman"/>
      <w:lvlText w:val="%9."/>
      <w:lvlJc w:val="right"/>
      <w:pPr>
        <w:ind w:left="6480" w:hanging="180"/>
      </w:pPr>
    </w:lvl>
  </w:abstractNum>
  <w:abstractNum w:abstractNumId="156" w15:restartNumberingAfterBreak="0">
    <w:nsid w:val="5F092ABD"/>
    <w:multiLevelType w:val="hybridMultilevel"/>
    <w:tmpl w:val="A68A9AB0"/>
    <w:lvl w:ilvl="0" w:tplc="240A000D">
      <w:start w:val="1"/>
      <w:numFmt w:val="bullet"/>
      <w:lvlText w:val=""/>
      <w:lvlJc w:val="left"/>
      <w:pPr>
        <w:ind w:left="644" w:hanging="360"/>
      </w:pPr>
      <w:rPr>
        <w:rFonts w:ascii="Wingdings" w:hAnsi="Wingdings"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157" w15:restartNumberingAfterBreak="0">
    <w:nsid w:val="5FEB1205"/>
    <w:multiLevelType w:val="hybridMultilevel"/>
    <w:tmpl w:val="0A6A00FE"/>
    <w:lvl w:ilvl="0" w:tplc="240A0017">
      <w:start w:val="1"/>
      <w:numFmt w:val="lowerLetter"/>
      <w:lvlText w:val="%1)"/>
      <w:lvlJc w:val="left"/>
      <w:pPr>
        <w:ind w:left="786" w:hanging="360"/>
      </w:p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158" w15:restartNumberingAfterBreak="0">
    <w:nsid w:val="60A024FE"/>
    <w:multiLevelType w:val="hybridMultilevel"/>
    <w:tmpl w:val="1544501A"/>
    <w:lvl w:ilvl="0" w:tplc="FFFFFFFF">
      <w:start w:val="1"/>
      <w:numFmt w:val="lowerLetter"/>
      <w:lvlText w:val="%1."/>
      <w:lvlJc w:val="left"/>
      <w:pPr>
        <w:ind w:left="720" w:hanging="360"/>
      </w:pPr>
      <w:rPr>
        <w:rFonts w:ascii="Times New Roman" w:hAnsi="Times New Roman"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9" w15:restartNumberingAfterBreak="0">
    <w:nsid w:val="611776C3"/>
    <w:multiLevelType w:val="multilevel"/>
    <w:tmpl w:val="E58CF294"/>
    <w:lvl w:ilvl="0">
      <w:start w:val="20"/>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2989" w:hanging="720"/>
      </w:pPr>
      <w:rPr>
        <w:rFonts w:hint="default"/>
        <w:color w:val="1F3864" w:themeColor="accent1" w:themeShade="8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0" w15:restartNumberingAfterBreak="0">
    <w:nsid w:val="61C8F2DD"/>
    <w:multiLevelType w:val="hybridMultilevel"/>
    <w:tmpl w:val="88B63A2C"/>
    <w:lvl w:ilvl="0" w:tplc="337A4596">
      <w:start w:val="1"/>
      <w:numFmt w:val="bullet"/>
      <w:lvlText w:val=""/>
      <w:lvlJc w:val="left"/>
      <w:pPr>
        <w:ind w:left="720" w:hanging="360"/>
      </w:pPr>
      <w:rPr>
        <w:rFonts w:ascii="Symbol" w:hAnsi="Symbol" w:hint="default"/>
      </w:rPr>
    </w:lvl>
    <w:lvl w:ilvl="1" w:tplc="0FE06102">
      <w:start w:val="1"/>
      <w:numFmt w:val="bullet"/>
      <w:lvlText w:val="o"/>
      <w:lvlJc w:val="left"/>
      <w:pPr>
        <w:ind w:left="1440" w:hanging="360"/>
      </w:pPr>
      <w:rPr>
        <w:rFonts w:ascii="&quot;Courier New&quot;" w:hAnsi="&quot;Courier New&quot;" w:hint="default"/>
      </w:rPr>
    </w:lvl>
    <w:lvl w:ilvl="2" w:tplc="17E40A68">
      <w:start w:val="1"/>
      <w:numFmt w:val="bullet"/>
      <w:lvlText w:val=""/>
      <w:lvlJc w:val="left"/>
      <w:pPr>
        <w:ind w:left="2160" w:hanging="360"/>
      </w:pPr>
      <w:rPr>
        <w:rFonts w:ascii="Wingdings" w:hAnsi="Wingdings" w:hint="default"/>
      </w:rPr>
    </w:lvl>
    <w:lvl w:ilvl="3" w:tplc="71F89EE6">
      <w:start w:val="1"/>
      <w:numFmt w:val="bullet"/>
      <w:lvlText w:val=""/>
      <w:lvlJc w:val="left"/>
      <w:pPr>
        <w:ind w:left="2880" w:hanging="360"/>
      </w:pPr>
      <w:rPr>
        <w:rFonts w:ascii="Symbol" w:hAnsi="Symbol" w:hint="default"/>
      </w:rPr>
    </w:lvl>
    <w:lvl w:ilvl="4" w:tplc="6DBA12BE">
      <w:start w:val="1"/>
      <w:numFmt w:val="bullet"/>
      <w:lvlText w:val="o"/>
      <w:lvlJc w:val="left"/>
      <w:pPr>
        <w:ind w:left="3600" w:hanging="360"/>
      </w:pPr>
      <w:rPr>
        <w:rFonts w:ascii="Courier New" w:hAnsi="Courier New" w:hint="default"/>
      </w:rPr>
    </w:lvl>
    <w:lvl w:ilvl="5" w:tplc="5E76446C">
      <w:start w:val="1"/>
      <w:numFmt w:val="bullet"/>
      <w:lvlText w:val=""/>
      <w:lvlJc w:val="left"/>
      <w:pPr>
        <w:ind w:left="4320" w:hanging="360"/>
      </w:pPr>
      <w:rPr>
        <w:rFonts w:ascii="Wingdings" w:hAnsi="Wingdings" w:hint="default"/>
      </w:rPr>
    </w:lvl>
    <w:lvl w:ilvl="6" w:tplc="4C42DC42">
      <w:start w:val="1"/>
      <w:numFmt w:val="bullet"/>
      <w:lvlText w:val=""/>
      <w:lvlJc w:val="left"/>
      <w:pPr>
        <w:ind w:left="5040" w:hanging="360"/>
      </w:pPr>
      <w:rPr>
        <w:rFonts w:ascii="Symbol" w:hAnsi="Symbol" w:hint="default"/>
      </w:rPr>
    </w:lvl>
    <w:lvl w:ilvl="7" w:tplc="6CFC8AB4">
      <w:start w:val="1"/>
      <w:numFmt w:val="bullet"/>
      <w:lvlText w:val="o"/>
      <w:lvlJc w:val="left"/>
      <w:pPr>
        <w:ind w:left="5760" w:hanging="360"/>
      </w:pPr>
      <w:rPr>
        <w:rFonts w:ascii="Courier New" w:hAnsi="Courier New" w:hint="default"/>
      </w:rPr>
    </w:lvl>
    <w:lvl w:ilvl="8" w:tplc="B27829F8">
      <w:start w:val="1"/>
      <w:numFmt w:val="bullet"/>
      <w:lvlText w:val=""/>
      <w:lvlJc w:val="left"/>
      <w:pPr>
        <w:ind w:left="6480" w:hanging="360"/>
      </w:pPr>
      <w:rPr>
        <w:rFonts w:ascii="Wingdings" w:hAnsi="Wingdings" w:hint="default"/>
      </w:rPr>
    </w:lvl>
  </w:abstractNum>
  <w:abstractNum w:abstractNumId="161" w15:restartNumberingAfterBreak="0">
    <w:nsid w:val="628727AF"/>
    <w:multiLevelType w:val="hybridMultilevel"/>
    <w:tmpl w:val="0CE4EC74"/>
    <w:lvl w:ilvl="0" w:tplc="1234AF5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62" w15:restartNumberingAfterBreak="0">
    <w:nsid w:val="6590B5E4"/>
    <w:multiLevelType w:val="hybridMultilevel"/>
    <w:tmpl w:val="DC42524E"/>
    <w:lvl w:ilvl="0" w:tplc="EC644308">
      <w:start w:val="1"/>
      <w:numFmt w:val="bullet"/>
      <w:lvlText w:val="Ø"/>
      <w:lvlJc w:val="left"/>
      <w:pPr>
        <w:ind w:left="720" w:hanging="360"/>
      </w:pPr>
      <w:rPr>
        <w:rFonts w:ascii="Wingdings" w:hAnsi="Wingdings" w:hint="default"/>
      </w:rPr>
    </w:lvl>
    <w:lvl w:ilvl="1" w:tplc="06B6C4A6">
      <w:start w:val="1"/>
      <w:numFmt w:val="bullet"/>
      <w:lvlText w:val="o"/>
      <w:lvlJc w:val="left"/>
      <w:pPr>
        <w:ind w:left="1440" w:hanging="360"/>
      </w:pPr>
      <w:rPr>
        <w:rFonts w:ascii="Courier New" w:hAnsi="Courier New" w:hint="default"/>
      </w:rPr>
    </w:lvl>
    <w:lvl w:ilvl="2" w:tplc="D178777A">
      <w:start w:val="1"/>
      <w:numFmt w:val="bullet"/>
      <w:lvlText w:val=""/>
      <w:lvlJc w:val="left"/>
      <w:pPr>
        <w:ind w:left="2160" w:hanging="360"/>
      </w:pPr>
      <w:rPr>
        <w:rFonts w:ascii="Wingdings" w:hAnsi="Wingdings" w:hint="default"/>
      </w:rPr>
    </w:lvl>
    <w:lvl w:ilvl="3" w:tplc="21A63494">
      <w:start w:val="1"/>
      <w:numFmt w:val="bullet"/>
      <w:lvlText w:val=""/>
      <w:lvlJc w:val="left"/>
      <w:pPr>
        <w:ind w:left="2880" w:hanging="360"/>
      </w:pPr>
      <w:rPr>
        <w:rFonts w:ascii="Symbol" w:hAnsi="Symbol" w:hint="default"/>
      </w:rPr>
    </w:lvl>
    <w:lvl w:ilvl="4" w:tplc="8A148AF0">
      <w:start w:val="1"/>
      <w:numFmt w:val="bullet"/>
      <w:lvlText w:val="o"/>
      <w:lvlJc w:val="left"/>
      <w:pPr>
        <w:ind w:left="3600" w:hanging="360"/>
      </w:pPr>
      <w:rPr>
        <w:rFonts w:ascii="Courier New" w:hAnsi="Courier New" w:hint="default"/>
      </w:rPr>
    </w:lvl>
    <w:lvl w:ilvl="5" w:tplc="93C094EC">
      <w:start w:val="1"/>
      <w:numFmt w:val="bullet"/>
      <w:lvlText w:val=""/>
      <w:lvlJc w:val="left"/>
      <w:pPr>
        <w:ind w:left="4320" w:hanging="360"/>
      </w:pPr>
      <w:rPr>
        <w:rFonts w:ascii="Wingdings" w:hAnsi="Wingdings" w:hint="default"/>
      </w:rPr>
    </w:lvl>
    <w:lvl w:ilvl="6" w:tplc="850E0532">
      <w:start w:val="1"/>
      <w:numFmt w:val="bullet"/>
      <w:lvlText w:val=""/>
      <w:lvlJc w:val="left"/>
      <w:pPr>
        <w:ind w:left="5040" w:hanging="360"/>
      </w:pPr>
      <w:rPr>
        <w:rFonts w:ascii="Symbol" w:hAnsi="Symbol" w:hint="default"/>
      </w:rPr>
    </w:lvl>
    <w:lvl w:ilvl="7" w:tplc="878C659E">
      <w:start w:val="1"/>
      <w:numFmt w:val="bullet"/>
      <w:lvlText w:val="o"/>
      <w:lvlJc w:val="left"/>
      <w:pPr>
        <w:ind w:left="5760" w:hanging="360"/>
      </w:pPr>
      <w:rPr>
        <w:rFonts w:ascii="Courier New" w:hAnsi="Courier New" w:hint="default"/>
      </w:rPr>
    </w:lvl>
    <w:lvl w:ilvl="8" w:tplc="EF68271A">
      <w:start w:val="1"/>
      <w:numFmt w:val="bullet"/>
      <w:lvlText w:val=""/>
      <w:lvlJc w:val="left"/>
      <w:pPr>
        <w:ind w:left="6480" w:hanging="360"/>
      </w:pPr>
      <w:rPr>
        <w:rFonts w:ascii="Wingdings" w:hAnsi="Wingdings" w:hint="default"/>
      </w:rPr>
    </w:lvl>
  </w:abstractNum>
  <w:abstractNum w:abstractNumId="163" w15:restartNumberingAfterBreak="0">
    <w:nsid w:val="65F40D07"/>
    <w:multiLevelType w:val="multilevel"/>
    <w:tmpl w:val="D2C8EBE6"/>
    <w:lvl w:ilvl="0">
      <w:start w:val="14"/>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4" w15:restartNumberingAfterBreak="0">
    <w:nsid w:val="68F6740B"/>
    <w:multiLevelType w:val="hybridMultilevel"/>
    <w:tmpl w:val="2AE84F2E"/>
    <w:lvl w:ilvl="0" w:tplc="9140AD56">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5" w15:restartNumberingAfterBreak="0">
    <w:nsid w:val="6979192D"/>
    <w:multiLevelType w:val="multilevel"/>
    <w:tmpl w:val="0240B0A8"/>
    <w:lvl w:ilvl="0">
      <w:start w:val="2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6" w15:restartNumberingAfterBreak="0">
    <w:nsid w:val="69A417F5"/>
    <w:multiLevelType w:val="hybridMultilevel"/>
    <w:tmpl w:val="FFFFFFFF"/>
    <w:lvl w:ilvl="0" w:tplc="0B94882C">
      <w:start w:val="1"/>
      <w:numFmt w:val="lowerLetter"/>
      <w:lvlText w:val="%1."/>
      <w:lvlJc w:val="left"/>
      <w:pPr>
        <w:ind w:left="720" w:hanging="360"/>
      </w:pPr>
    </w:lvl>
    <w:lvl w:ilvl="1" w:tplc="801E90A8">
      <w:start w:val="1"/>
      <w:numFmt w:val="lowerLetter"/>
      <w:lvlText w:val="%2."/>
      <w:lvlJc w:val="left"/>
      <w:pPr>
        <w:ind w:left="1440" w:hanging="360"/>
      </w:pPr>
    </w:lvl>
    <w:lvl w:ilvl="2" w:tplc="01567E22">
      <w:start w:val="1"/>
      <w:numFmt w:val="lowerRoman"/>
      <w:lvlText w:val="%3."/>
      <w:lvlJc w:val="right"/>
      <w:pPr>
        <w:ind w:left="2160" w:hanging="180"/>
      </w:pPr>
    </w:lvl>
    <w:lvl w:ilvl="3" w:tplc="5F36F636">
      <w:start w:val="1"/>
      <w:numFmt w:val="decimal"/>
      <w:lvlText w:val="%4."/>
      <w:lvlJc w:val="left"/>
      <w:pPr>
        <w:ind w:left="2880" w:hanging="360"/>
      </w:pPr>
    </w:lvl>
    <w:lvl w:ilvl="4" w:tplc="0CC40E52">
      <w:start w:val="1"/>
      <w:numFmt w:val="lowerLetter"/>
      <w:lvlText w:val="%5."/>
      <w:lvlJc w:val="left"/>
      <w:pPr>
        <w:ind w:left="3600" w:hanging="360"/>
      </w:pPr>
    </w:lvl>
    <w:lvl w:ilvl="5" w:tplc="AABED4A0">
      <w:start w:val="1"/>
      <w:numFmt w:val="lowerRoman"/>
      <w:lvlText w:val="%6."/>
      <w:lvlJc w:val="right"/>
      <w:pPr>
        <w:ind w:left="4320" w:hanging="180"/>
      </w:pPr>
    </w:lvl>
    <w:lvl w:ilvl="6" w:tplc="BFB06836">
      <w:start w:val="1"/>
      <w:numFmt w:val="decimal"/>
      <w:lvlText w:val="%7."/>
      <w:lvlJc w:val="left"/>
      <w:pPr>
        <w:ind w:left="5040" w:hanging="360"/>
      </w:pPr>
    </w:lvl>
    <w:lvl w:ilvl="7" w:tplc="75325F96">
      <w:start w:val="1"/>
      <w:numFmt w:val="lowerLetter"/>
      <w:lvlText w:val="%8."/>
      <w:lvlJc w:val="left"/>
      <w:pPr>
        <w:ind w:left="5760" w:hanging="360"/>
      </w:pPr>
    </w:lvl>
    <w:lvl w:ilvl="8" w:tplc="7868B820">
      <w:start w:val="1"/>
      <w:numFmt w:val="lowerRoman"/>
      <w:lvlText w:val="%9."/>
      <w:lvlJc w:val="right"/>
      <w:pPr>
        <w:ind w:left="6480" w:hanging="180"/>
      </w:pPr>
    </w:lvl>
  </w:abstractNum>
  <w:abstractNum w:abstractNumId="167" w15:restartNumberingAfterBreak="0">
    <w:nsid w:val="69AA75F3"/>
    <w:multiLevelType w:val="hybridMultilevel"/>
    <w:tmpl w:val="BB2C130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8" w15:restartNumberingAfterBreak="0">
    <w:nsid w:val="69F17EB7"/>
    <w:multiLevelType w:val="multilevel"/>
    <w:tmpl w:val="5E7290B6"/>
    <w:lvl w:ilvl="0">
      <w:start w:val="2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1572" w:hanging="720"/>
      </w:pPr>
      <w:rPr>
        <w:rFonts w:hint="default"/>
        <w:color w:val="1F3864" w:themeColor="accent1" w:themeShade="8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9" w15:restartNumberingAfterBreak="0">
    <w:nsid w:val="6A488B87"/>
    <w:multiLevelType w:val="hybridMultilevel"/>
    <w:tmpl w:val="FFFFFFFF"/>
    <w:lvl w:ilvl="0" w:tplc="22DCAA46">
      <w:start w:val="1"/>
      <w:numFmt w:val="lowerLetter"/>
      <w:lvlText w:val="%1."/>
      <w:lvlJc w:val="left"/>
      <w:pPr>
        <w:ind w:left="720" w:hanging="360"/>
      </w:pPr>
    </w:lvl>
    <w:lvl w:ilvl="1" w:tplc="B8925FA0">
      <w:start w:val="1"/>
      <w:numFmt w:val="lowerLetter"/>
      <w:lvlText w:val="%2."/>
      <w:lvlJc w:val="left"/>
      <w:pPr>
        <w:ind w:left="1440" w:hanging="360"/>
      </w:pPr>
    </w:lvl>
    <w:lvl w:ilvl="2" w:tplc="DEB0B90C">
      <w:start w:val="1"/>
      <w:numFmt w:val="lowerRoman"/>
      <w:lvlText w:val="%3."/>
      <w:lvlJc w:val="right"/>
      <w:pPr>
        <w:ind w:left="2160" w:hanging="180"/>
      </w:pPr>
    </w:lvl>
    <w:lvl w:ilvl="3" w:tplc="8AFC51FE">
      <w:start w:val="1"/>
      <w:numFmt w:val="decimal"/>
      <w:lvlText w:val="%4."/>
      <w:lvlJc w:val="left"/>
      <w:pPr>
        <w:ind w:left="2880" w:hanging="360"/>
      </w:pPr>
    </w:lvl>
    <w:lvl w:ilvl="4" w:tplc="152463B2">
      <w:start w:val="1"/>
      <w:numFmt w:val="lowerLetter"/>
      <w:lvlText w:val="%5."/>
      <w:lvlJc w:val="left"/>
      <w:pPr>
        <w:ind w:left="3600" w:hanging="360"/>
      </w:pPr>
    </w:lvl>
    <w:lvl w:ilvl="5" w:tplc="1C64A3D6">
      <w:start w:val="1"/>
      <w:numFmt w:val="lowerRoman"/>
      <w:lvlText w:val="%6."/>
      <w:lvlJc w:val="right"/>
      <w:pPr>
        <w:ind w:left="4320" w:hanging="180"/>
      </w:pPr>
    </w:lvl>
    <w:lvl w:ilvl="6" w:tplc="B9685B40">
      <w:start w:val="1"/>
      <w:numFmt w:val="decimal"/>
      <w:lvlText w:val="%7."/>
      <w:lvlJc w:val="left"/>
      <w:pPr>
        <w:ind w:left="5040" w:hanging="360"/>
      </w:pPr>
    </w:lvl>
    <w:lvl w:ilvl="7" w:tplc="3DB4B550">
      <w:start w:val="1"/>
      <w:numFmt w:val="lowerLetter"/>
      <w:lvlText w:val="%8."/>
      <w:lvlJc w:val="left"/>
      <w:pPr>
        <w:ind w:left="5760" w:hanging="360"/>
      </w:pPr>
    </w:lvl>
    <w:lvl w:ilvl="8" w:tplc="5F5824A2">
      <w:start w:val="1"/>
      <w:numFmt w:val="lowerRoman"/>
      <w:lvlText w:val="%9."/>
      <w:lvlJc w:val="right"/>
      <w:pPr>
        <w:ind w:left="6480" w:hanging="180"/>
      </w:pPr>
    </w:lvl>
  </w:abstractNum>
  <w:abstractNum w:abstractNumId="170" w15:restartNumberingAfterBreak="0">
    <w:nsid w:val="6BF2841D"/>
    <w:multiLevelType w:val="hybridMultilevel"/>
    <w:tmpl w:val="13A854A8"/>
    <w:lvl w:ilvl="0" w:tplc="10D40EF2">
      <w:start w:val="1"/>
      <w:numFmt w:val="bullet"/>
      <w:lvlText w:val="ü"/>
      <w:lvlJc w:val="left"/>
      <w:pPr>
        <w:ind w:left="720" w:hanging="360"/>
      </w:pPr>
      <w:rPr>
        <w:rFonts w:ascii="Wingdings" w:hAnsi="Wingdings" w:hint="default"/>
      </w:rPr>
    </w:lvl>
    <w:lvl w:ilvl="1" w:tplc="C5B66866">
      <w:start w:val="1"/>
      <w:numFmt w:val="bullet"/>
      <w:lvlText w:val="o"/>
      <w:lvlJc w:val="left"/>
      <w:pPr>
        <w:ind w:left="1440" w:hanging="360"/>
      </w:pPr>
      <w:rPr>
        <w:rFonts w:ascii="Courier New" w:hAnsi="Courier New" w:hint="default"/>
      </w:rPr>
    </w:lvl>
    <w:lvl w:ilvl="2" w:tplc="84367D04">
      <w:start w:val="1"/>
      <w:numFmt w:val="bullet"/>
      <w:lvlText w:val=""/>
      <w:lvlJc w:val="left"/>
      <w:pPr>
        <w:ind w:left="2160" w:hanging="360"/>
      </w:pPr>
      <w:rPr>
        <w:rFonts w:ascii="Wingdings" w:hAnsi="Wingdings" w:hint="default"/>
      </w:rPr>
    </w:lvl>
    <w:lvl w:ilvl="3" w:tplc="A212271E">
      <w:start w:val="1"/>
      <w:numFmt w:val="bullet"/>
      <w:lvlText w:val=""/>
      <w:lvlJc w:val="left"/>
      <w:pPr>
        <w:ind w:left="2880" w:hanging="360"/>
      </w:pPr>
      <w:rPr>
        <w:rFonts w:ascii="Symbol" w:hAnsi="Symbol" w:hint="default"/>
      </w:rPr>
    </w:lvl>
    <w:lvl w:ilvl="4" w:tplc="0AF2553E">
      <w:start w:val="1"/>
      <w:numFmt w:val="bullet"/>
      <w:lvlText w:val="o"/>
      <w:lvlJc w:val="left"/>
      <w:pPr>
        <w:ind w:left="3600" w:hanging="360"/>
      </w:pPr>
      <w:rPr>
        <w:rFonts w:ascii="Courier New" w:hAnsi="Courier New" w:hint="default"/>
      </w:rPr>
    </w:lvl>
    <w:lvl w:ilvl="5" w:tplc="9D66E652">
      <w:start w:val="1"/>
      <w:numFmt w:val="bullet"/>
      <w:lvlText w:val=""/>
      <w:lvlJc w:val="left"/>
      <w:pPr>
        <w:ind w:left="4320" w:hanging="360"/>
      </w:pPr>
      <w:rPr>
        <w:rFonts w:ascii="Wingdings" w:hAnsi="Wingdings" w:hint="default"/>
      </w:rPr>
    </w:lvl>
    <w:lvl w:ilvl="6" w:tplc="5344EE20">
      <w:start w:val="1"/>
      <w:numFmt w:val="bullet"/>
      <w:lvlText w:val=""/>
      <w:lvlJc w:val="left"/>
      <w:pPr>
        <w:ind w:left="5040" w:hanging="360"/>
      </w:pPr>
      <w:rPr>
        <w:rFonts w:ascii="Symbol" w:hAnsi="Symbol" w:hint="default"/>
      </w:rPr>
    </w:lvl>
    <w:lvl w:ilvl="7" w:tplc="DFE4E820">
      <w:start w:val="1"/>
      <w:numFmt w:val="bullet"/>
      <w:lvlText w:val="o"/>
      <w:lvlJc w:val="left"/>
      <w:pPr>
        <w:ind w:left="5760" w:hanging="360"/>
      </w:pPr>
      <w:rPr>
        <w:rFonts w:ascii="Courier New" w:hAnsi="Courier New" w:hint="default"/>
      </w:rPr>
    </w:lvl>
    <w:lvl w:ilvl="8" w:tplc="D53A8DD8">
      <w:start w:val="1"/>
      <w:numFmt w:val="bullet"/>
      <w:lvlText w:val=""/>
      <w:lvlJc w:val="left"/>
      <w:pPr>
        <w:ind w:left="6480" w:hanging="360"/>
      </w:pPr>
      <w:rPr>
        <w:rFonts w:ascii="Wingdings" w:hAnsi="Wingdings" w:hint="default"/>
      </w:rPr>
    </w:lvl>
  </w:abstractNum>
  <w:abstractNum w:abstractNumId="171" w15:restartNumberingAfterBreak="0">
    <w:nsid w:val="6C2357C7"/>
    <w:multiLevelType w:val="hybridMultilevel"/>
    <w:tmpl w:val="1C5C5A0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2" w15:restartNumberingAfterBreak="0">
    <w:nsid w:val="6C6389BF"/>
    <w:multiLevelType w:val="hybridMultilevel"/>
    <w:tmpl w:val="FFFFFFFF"/>
    <w:lvl w:ilvl="0" w:tplc="FF448E82">
      <w:start w:val="1"/>
      <w:numFmt w:val="lowerLetter"/>
      <w:lvlText w:val="%1."/>
      <w:lvlJc w:val="left"/>
      <w:pPr>
        <w:ind w:left="720" w:hanging="360"/>
      </w:pPr>
    </w:lvl>
    <w:lvl w:ilvl="1" w:tplc="7CB4942C">
      <w:start w:val="1"/>
      <w:numFmt w:val="lowerLetter"/>
      <w:lvlText w:val="%2."/>
      <w:lvlJc w:val="left"/>
      <w:pPr>
        <w:ind w:left="1440" w:hanging="360"/>
      </w:pPr>
    </w:lvl>
    <w:lvl w:ilvl="2" w:tplc="C17C5374">
      <w:start w:val="1"/>
      <w:numFmt w:val="lowerRoman"/>
      <w:lvlText w:val="%3."/>
      <w:lvlJc w:val="right"/>
      <w:pPr>
        <w:ind w:left="2160" w:hanging="180"/>
      </w:pPr>
    </w:lvl>
    <w:lvl w:ilvl="3" w:tplc="D8F81A6E">
      <w:start w:val="1"/>
      <w:numFmt w:val="decimal"/>
      <w:lvlText w:val="%4."/>
      <w:lvlJc w:val="left"/>
      <w:pPr>
        <w:ind w:left="2880" w:hanging="360"/>
      </w:pPr>
    </w:lvl>
    <w:lvl w:ilvl="4" w:tplc="6AA83E48">
      <w:start w:val="1"/>
      <w:numFmt w:val="lowerLetter"/>
      <w:lvlText w:val="%5."/>
      <w:lvlJc w:val="left"/>
      <w:pPr>
        <w:ind w:left="3600" w:hanging="360"/>
      </w:pPr>
    </w:lvl>
    <w:lvl w:ilvl="5" w:tplc="ADAAD702">
      <w:start w:val="1"/>
      <w:numFmt w:val="lowerRoman"/>
      <w:lvlText w:val="%6."/>
      <w:lvlJc w:val="right"/>
      <w:pPr>
        <w:ind w:left="4320" w:hanging="180"/>
      </w:pPr>
    </w:lvl>
    <w:lvl w:ilvl="6" w:tplc="1F0C8E52">
      <w:start w:val="1"/>
      <w:numFmt w:val="decimal"/>
      <w:lvlText w:val="%7."/>
      <w:lvlJc w:val="left"/>
      <w:pPr>
        <w:ind w:left="5040" w:hanging="360"/>
      </w:pPr>
    </w:lvl>
    <w:lvl w:ilvl="7" w:tplc="89D8C2D2">
      <w:start w:val="1"/>
      <w:numFmt w:val="lowerLetter"/>
      <w:lvlText w:val="%8."/>
      <w:lvlJc w:val="left"/>
      <w:pPr>
        <w:ind w:left="5760" w:hanging="360"/>
      </w:pPr>
    </w:lvl>
    <w:lvl w:ilvl="8" w:tplc="A6CA0F56">
      <w:start w:val="1"/>
      <w:numFmt w:val="lowerRoman"/>
      <w:lvlText w:val="%9."/>
      <w:lvlJc w:val="right"/>
      <w:pPr>
        <w:ind w:left="6480" w:hanging="180"/>
      </w:pPr>
    </w:lvl>
  </w:abstractNum>
  <w:abstractNum w:abstractNumId="173" w15:restartNumberingAfterBreak="0">
    <w:nsid w:val="6D3E32D7"/>
    <w:multiLevelType w:val="hybridMultilevel"/>
    <w:tmpl w:val="4C1E90B0"/>
    <w:lvl w:ilvl="0" w:tplc="278A2270">
      <w:start w:val="2"/>
      <w:numFmt w:val="bullet"/>
      <w:lvlText w:val="-"/>
      <w:lvlJc w:val="left"/>
      <w:pPr>
        <w:ind w:left="360" w:hanging="360"/>
      </w:pPr>
      <w:rPr>
        <w:rFonts w:ascii="Calibri" w:eastAsiaTheme="minorHAnsi" w:hAnsi="Calibri" w:cstheme="minorBid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4" w15:restartNumberingAfterBreak="0">
    <w:nsid w:val="6D421FD4"/>
    <w:multiLevelType w:val="hybridMultilevel"/>
    <w:tmpl w:val="FFFFFFFF"/>
    <w:lvl w:ilvl="0" w:tplc="D694942E">
      <w:start w:val="1"/>
      <w:numFmt w:val="lowerLetter"/>
      <w:lvlText w:val="%1."/>
      <w:lvlJc w:val="left"/>
      <w:pPr>
        <w:ind w:left="720" w:hanging="360"/>
      </w:pPr>
    </w:lvl>
    <w:lvl w:ilvl="1" w:tplc="4FC0F686">
      <w:start w:val="1"/>
      <w:numFmt w:val="lowerLetter"/>
      <w:lvlText w:val="%2."/>
      <w:lvlJc w:val="left"/>
      <w:pPr>
        <w:ind w:left="1440" w:hanging="360"/>
      </w:pPr>
    </w:lvl>
    <w:lvl w:ilvl="2" w:tplc="1CCAE878">
      <w:start w:val="1"/>
      <w:numFmt w:val="lowerRoman"/>
      <w:lvlText w:val="%3."/>
      <w:lvlJc w:val="right"/>
      <w:pPr>
        <w:ind w:left="2160" w:hanging="180"/>
      </w:pPr>
    </w:lvl>
    <w:lvl w:ilvl="3" w:tplc="CDD4F202">
      <w:start w:val="1"/>
      <w:numFmt w:val="decimal"/>
      <w:lvlText w:val="%4."/>
      <w:lvlJc w:val="left"/>
      <w:pPr>
        <w:ind w:left="2880" w:hanging="360"/>
      </w:pPr>
    </w:lvl>
    <w:lvl w:ilvl="4" w:tplc="FF864408">
      <w:start w:val="1"/>
      <w:numFmt w:val="lowerLetter"/>
      <w:lvlText w:val="%5."/>
      <w:lvlJc w:val="left"/>
      <w:pPr>
        <w:ind w:left="3600" w:hanging="360"/>
      </w:pPr>
    </w:lvl>
    <w:lvl w:ilvl="5" w:tplc="5928EB30">
      <w:start w:val="1"/>
      <w:numFmt w:val="lowerRoman"/>
      <w:lvlText w:val="%6."/>
      <w:lvlJc w:val="right"/>
      <w:pPr>
        <w:ind w:left="4320" w:hanging="180"/>
      </w:pPr>
    </w:lvl>
    <w:lvl w:ilvl="6" w:tplc="381AA7AE">
      <w:start w:val="1"/>
      <w:numFmt w:val="decimal"/>
      <w:lvlText w:val="%7."/>
      <w:lvlJc w:val="left"/>
      <w:pPr>
        <w:ind w:left="5040" w:hanging="360"/>
      </w:pPr>
    </w:lvl>
    <w:lvl w:ilvl="7" w:tplc="70C6DE74">
      <w:start w:val="1"/>
      <w:numFmt w:val="lowerLetter"/>
      <w:lvlText w:val="%8."/>
      <w:lvlJc w:val="left"/>
      <w:pPr>
        <w:ind w:left="5760" w:hanging="360"/>
      </w:pPr>
    </w:lvl>
    <w:lvl w:ilvl="8" w:tplc="AC802932">
      <w:start w:val="1"/>
      <w:numFmt w:val="lowerRoman"/>
      <w:lvlText w:val="%9."/>
      <w:lvlJc w:val="right"/>
      <w:pPr>
        <w:ind w:left="6480" w:hanging="180"/>
      </w:pPr>
    </w:lvl>
  </w:abstractNum>
  <w:abstractNum w:abstractNumId="175" w15:restartNumberingAfterBreak="0">
    <w:nsid w:val="6D7C0C01"/>
    <w:multiLevelType w:val="hybridMultilevel"/>
    <w:tmpl w:val="511AD6E4"/>
    <w:lvl w:ilvl="0" w:tplc="E9DE7632">
      <w:start w:val="3"/>
      <w:numFmt w:val="bullet"/>
      <w:lvlText w:val="-"/>
      <w:lvlJc w:val="left"/>
      <w:pPr>
        <w:ind w:left="360" w:hanging="360"/>
      </w:pPr>
      <w:rPr>
        <w:rFonts w:ascii="Times New Roman" w:eastAsia="Times New Roman" w:hAnsi="Times New Roman" w:cs="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6" w15:restartNumberingAfterBreak="0">
    <w:nsid w:val="6D9EC9A7"/>
    <w:multiLevelType w:val="hybridMultilevel"/>
    <w:tmpl w:val="3ED4A098"/>
    <w:lvl w:ilvl="0" w:tplc="742C484E">
      <w:start w:val="1"/>
      <w:numFmt w:val="bullet"/>
      <w:lvlText w:val="Ø"/>
      <w:lvlJc w:val="left"/>
      <w:pPr>
        <w:ind w:left="720" w:hanging="360"/>
      </w:pPr>
      <w:rPr>
        <w:rFonts w:ascii="Wingdings" w:hAnsi="Wingdings" w:hint="default"/>
      </w:rPr>
    </w:lvl>
    <w:lvl w:ilvl="1" w:tplc="541E95E6">
      <w:start w:val="1"/>
      <w:numFmt w:val="bullet"/>
      <w:lvlText w:val="o"/>
      <w:lvlJc w:val="left"/>
      <w:pPr>
        <w:ind w:left="1440" w:hanging="360"/>
      </w:pPr>
      <w:rPr>
        <w:rFonts w:ascii="Courier New" w:hAnsi="Courier New" w:hint="default"/>
      </w:rPr>
    </w:lvl>
    <w:lvl w:ilvl="2" w:tplc="2E3ACF3C">
      <w:start w:val="1"/>
      <w:numFmt w:val="bullet"/>
      <w:lvlText w:val=""/>
      <w:lvlJc w:val="left"/>
      <w:pPr>
        <w:ind w:left="2160" w:hanging="360"/>
      </w:pPr>
      <w:rPr>
        <w:rFonts w:ascii="Wingdings" w:hAnsi="Wingdings" w:hint="default"/>
      </w:rPr>
    </w:lvl>
    <w:lvl w:ilvl="3" w:tplc="B4721E04">
      <w:start w:val="1"/>
      <w:numFmt w:val="bullet"/>
      <w:lvlText w:val=""/>
      <w:lvlJc w:val="left"/>
      <w:pPr>
        <w:ind w:left="2880" w:hanging="360"/>
      </w:pPr>
      <w:rPr>
        <w:rFonts w:ascii="Symbol" w:hAnsi="Symbol" w:hint="default"/>
      </w:rPr>
    </w:lvl>
    <w:lvl w:ilvl="4" w:tplc="CA76A052">
      <w:start w:val="1"/>
      <w:numFmt w:val="bullet"/>
      <w:lvlText w:val="o"/>
      <w:lvlJc w:val="left"/>
      <w:pPr>
        <w:ind w:left="3600" w:hanging="360"/>
      </w:pPr>
      <w:rPr>
        <w:rFonts w:ascii="Courier New" w:hAnsi="Courier New" w:hint="default"/>
      </w:rPr>
    </w:lvl>
    <w:lvl w:ilvl="5" w:tplc="E9DE6BB6">
      <w:start w:val="1"/>
      <w:numFmt w:val="bullet"/>
      <w:lvlText w:val=""/>
      <w:lvlJc w:val="left"/>
      <w:pPr>
        <w:ind w:left="4320" w:hanging="360"/>
      </w:pPr>
      <w:rPr>
        <w:rFonts w:ascii="Wingdings" w:hAnsi="Wingdings" w:hint="default"/>
      </w:rPr>
    </w:lvl>
    <w:lvl w:ilvl="6" w:tplc="C13241C6">
      <w:start w:val="1"/>
      <w:numFmt w:val="bullet"/>
      <w:lvlText w:val=""/>
      <w:lvlJc w:val="left"/>
      <w:pPr>
        <w:ind w:left="5040" w:hanging="360"/>
      </w:pPr>
      <w:rPr>
        <w:rFonts w:ascii="Symbol" w:hAnsi="Symbol" w:hint="default"/>
      </w:rPr>
    </w:lvl>
    <w:lvl w:ilvl="7" w:tplc="D866772E">
      <w:start w:val="1"/>
      <w:numFmt w:val="bullet"/>
      <w:lvlText w:val="o"/>
      <w:lvlJc w:val="left"/>
      <w:pPr>
        <w:ind w:left="5760" w:hanging="360"/>
      </w:pPr>
      <w:rPr>
        <w:rFonts w:ascii="Courier New" w:hAnsi="Courier New" w:hint="default"/>
      </w:rPr>
    </w:lvl>
    <w:lvl w:ilvl="8" w:tplc="BB426E60">
      <w:start w:val="1"/>
      <w:numFmt w:val="bullet"/>
      <w:lvlText w:val=""/>
      <w:lvlJc w:val="left"/>
      <w:pPr>
        <w:ind w:left="6480" w:hanging="360"/>
      </w:pPr>
      <w:rPr>
        <w:rFonts w:ascii="Wingdings" w:hAnsi="Wingdings" w:hint="default"/>
      </w:rPr>
    </w:lvl>
  </w:abstractNum>
  <w:abstractNum w:abstractNumId="177" w15:restartNumberingAfterBreak="0">
    <w:nsid w:val="6DB224EC"/>
    <w:multiLevelType w:val="hybridMultilevel"/>
    <w:tmpl w:val="7206AF92"/>
    <w:lvl w:ilvl="0" w:tplc="FFFFFFFF">
      <w:start w:val="1"/>
      <w:numFmt w:val="bullet"/>
      <w:lvlText w:val="-"/>
      <w:lvlJc w:val="left"/>
      <w:pPr>
        <w:ind w:left="1068" w:hanging="360"/>
      </w:pPr>
      <w:rPr>
        <w:rFonts w:ascii="Arial Narrow" w:hAnsi="Arial Narrow" w:hint="default"/>
      </w:rPr>
    </w:lvl>
    <w:lvl w:ilvl="1" w:tplc="240A0003">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78" w15:restartNumberingAfterBreak="0">
    <w:nsid w:val="6E3B9098"/>
    <w:multiLevelType w:val="hybridMultilevel"/>
    <w:tmpl w:val="83944FD2"/>
    <w:lvl w:ilvl="0" w:tplc="7ADCD1DC">
      <w:start w:val="1"/>
      <w:numFmt w:val="bullet"/>
      <w:lvlText w:val="Ø"/>
      <w:lvlJc w:val="left"/>
      <w:pPr>
        <w:ind w:left="720" w:hanging="360"/>
      </w:pPr>
      <w:rPr>
        <w:rFonts w:ascii="Wingdings" w:hAnsi="Wingdings" w:hint="default"/>
      </w:rPr>
    </w:lvl>
    <w:lvl w:ilvl="1" w:tplc="7368E53E">
      <w:start w:val="1"/>
      <w:numFmt w:val="bullet"/>
      <w:lvlText w:val="o"/>
      <w:lvlJc w:val="left"/>
      <w:pPr>
        <w:ind w:left="1440" w:hanging="360"/>
      </w:pPr>
      <w:rPr>
        <w:rFonts w:ascii="Courier New" w:hAnsi="Courier New" w:hint="default"/>
      </w:rPr>
    </w:lvl>
    <w:lvl w:ilvl="2" w:tplc="20DE4DFA">
      <w:start w:val="1"/>
      <w:numFmt w:val="bullet"/>
      <w:lvlText w:val=""/>
      <w:lvlJc w:val="left"/>
      <w:pPr>
        <w:ind w:left="2160" w:hanging="360"/>
      </w:pPr>
      <w:rPr>
        <w:rFonts w:ascii="Wingdings" w:hAnsi="Wingdings" w:hint="default"/>
      </w:rPr>
    </w:lvl>
    <w:lvl w:ilvl="3" w:tplc="D6EA8468">
      <w:start w:val="1"/>
      <w:numFmt w:val="bullet"/>
      <w:lvlText w:val=""/>
      <w:lvlJc w:val="left"/>
      <w:pPr>
        <w:ind w:left="2880" w:hanging="360"/>
      </w:pPr>
      <w:rPr>
        <w:rFonts w:ascii="Symbol" w:hAnsi="Symbol" w:hint="default"/>
      </w:rPr>
    </w:lvl>
    <w:lvl w:ilvl="4" w:tplc="18B07438">
      <w:start w:val="1"/>
      <w:numFmt w:val="bullet"/>
      <w:lvlText w:val="o"/>
      <w:lvlJc w:val="left"/>
      <w:pPr>
        <w:ind w:left="3600" w:hanging="360"/>
      </w:pPr>
      <w:rPr>
        <w:rFonts w:ascii="Courier New" w:hAnsi="Courier New" w:hint="default"/>
      </w:rPr>
    </w:lvl>
    <w:lvl w:ilvl="5" w:tplc="140083A0">
      <w:start w:val="1"/>
      <w:numFmt w:val="bullet"/>
      <w:lvlText w:val=""/>
      <w:lvlJc w:val="left"/>
      <w:pPr>
        <w:ind w:left="4320" w:hanging="360"/>
      </w:pPr>
      <w:rPr>
        <w:rFonts w:ascii="Wingdings" w:hAnsi="Wingdings" w:hint="default"/>
      </w:rPr>
    </w:lvl>
    <w:lvl w:ilvl="6" w:tplc="EF682C78">
      <w:start w:val="1"/>
      <w:numFmt w:val="bullet"/>
      <w:lvlText w:val=""/>
      <w:lvlJc w:val="left"/>
      <w:pPr>
        <w:ind w:left="5040" w:hanging="360"/>
      </w:pPr>
      <w:rPr>
        <w:rFonts w:ascii="Symbol" w:hAnsi="Symbol" w:hint="default"/>
      </w:rPr>
    </w:lvl>
    <w:lvl w:ilvl="7" w:tplc="7180AB16">
      <w:start w:val="1"/>
      <w:numFmt w:val="bullet"/>
      <w:lvlText w:val="o"/>
      <w:lvlJc w:val="left"/>
      <w:pPr>
        <w:ind w:left="5760" w:hanging="360"/>
      </w:pPr>
      <w:rPr>
        <w:rFonts w:ascii="Courier New" w:hAnsi="Courier New" w:hint="default"/>
      </w:rPr>
    </w:lvl>
    <w:lvl w:ilvl="8" w:tplc="0CFA50D6">
      <w:start w:val="1"/>
      <w:numFmt w:val="bullet"/>
      <w:lvlText w:val=""/>
      <w:lvlJc w:val="left"/>
      <w:pPr>
        <w:ind w:left="6480" w:hanging="360"/>
      </w:pPr>
      <w:rPr>
        <w:rFonts w:ascii="Wingdings" w:hAnsi="Wingdings" w:hint="default"/>
      </w:rPr>
    </w:lvl>
  </w:abstractNum>
  <w:abstractNum w:abstractNumId="179" w15:restartNumberingAfterBreak="0">
    <w:nsid w:val="6E89490F"/>
    <w:multiLevelType w:val="multilevel"/>
    <w:tmpl w:val="CD0E1728"/>
    <w:lvl w:ilvl="0">
      <w:start w:val="2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0" w15:restartNumberingAfterBreak="0">
    <w:nsid w:val="6FC11D8B"/>
    <w:multiLevelType w:val="hybridMultilevel"/>
    <w:tmpl w:val="120A73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1" w15:restartNumberingAfterBreak="0">
    <w:nsid w:val="6FD29360"/>
    <w:multiLevelType w:val="hybridMultilevel"/>
    <w:tmpl w:val="099AA7D6"/>
    <w:lvl w:ilvl="0" w:tplc="6EA2DC0C">
      <w:start w:val="1"/>
      <w:numFmt w:val="bullet"/>
      <w:lvlText w:val="Ø"/>
      <w:lvlJc w:val="left"/>
      <w:pPr>
        <w:ind w:left="720" w:hanging="360"/>
      </w:pPr>
      <w:rPr>
        <w:rFonts w:ascii="Wingdings" w:hAnsi="Wingdings" w:hint="default"/>
      </w:rPr>
    </w:lvl>
    <w:lvl w:ilvl="1" w:tplc="431265A6">
      <w:start w:val="1"/>
      <w:numFmt w:val="bullet"/>
      <w:lvlText w:val="o"/>
      <w:lvlJc w:val="left"/>
      <w:pPr>
        <w:ind w:left="1440" w:hanging="360"/>
      </w:pPr>
      <w:rPr>
        <w:rFonts w:ascii="Courier New" w:hAnsi="Courier New" w:hint="default"/>
      </w:rPr>
    </w:lvl>
    <w:lvl w:ilvl="2" w:tplc="25ACBC38">
      <w:start w:val="1"/>
      <w:numFmt w:val="bullet"/>
      <w:lvlText w:val=""/>
      <w:lvlJc w:val="left"/>
      <w:pPr>
        <w:ind w:left="2160" w:hanging="360"/>
      </w:pPr>
      <w:rPr>
        <w:rFonts w:ascii="Wingdings" w:hAnsi="Wingdings" w:hint="default"/>
      </w:rPr>
    </w:lvl>
    <w:lvl w:ilvl="3" w:tplc="3B8E2A78">
      <w:start w:val="1"/>
      <w:numFmt w:val="bullet"/>
      <w:lvlText w:val=""/>
      <w:lvlJc w:val="left"/>
      <w:pPr>
        <w:ind w:left="2880" w:hanging="360"/>
      </w:pPr>
      <w:rPr>
        <w:rFonts w:ascii="Symbol" w:hAnsi="Symbol" w:hint="default"/>
      </w:rPr>
    </w:lvl>
    <w:lvl w:ilvl="4" w:tplc="C87602BA">
      <w:start w:val="1"/>
      <w:numFmt w:val="bullet"/>
      <w:lvlText w:val="o"/>
      <w:lvlJc w:val="left"/>
      <w:pPr>
        <w:ind w:left="3600" w:hanging="360"/>
      </w:pPr>
      <w:rPr>
        <w:rFonts w:ascii="Courier New" w:hAnsi="Courier New" w:hint="default"/>
      </w:rPr>
    </w:lvl>
    <w:lvl w:ilvl="5" w:tplc="F9108450">
      <w:start w:val="1"/>
      <w:numFmt w:val="bullet"/>
      <w:lvlText w:val=""/>
      <w:lvlJc w:val="left"/>
      <w:pPr>
        <w:ind w:left="4320" w:hanging="360"/>
      </w:pPr>
      <w:rPr>
        <w:rFonts w:ascii="Wingdings" w:hAnsi="Wingdings" w:hint="default"/>
      </w:rPr>
    </w:lvl>
    <w:lvl w:ilvl="6" w:tplc="79260DC8">
      <w:start w:val="1"/>
      <w:numFmt w:val="bullet"/>
      <w:lvlText w:val=""/>
      <w:lvlJc w:val="left"/>
      <w:pPr>
        <w:ind w:left="5040" w:hanging="360"/>
      </w:pPr>
      <w:rPr>
        <w:rFonts w:ascii="Symbol" w:hAnsi="Symbol" w:hint="default"/>
      </w:rPr>
    </w:lvl>
    <w:lvl w:ilvl="7" w:tplc="1B0AD206">
      <w:start w:val="1"/>
      <w:numFmt w:val="bullet"/>
      <w:lvlText w:val="o"/>
      <w:lvlJc w:val="left"/>
      <w:pPr>
        <w:ind w:left="5760" w:hanging="360"/>
      </w:pPr>
      <w:rPr>
        <w:rFonts w:ascii="Courier New" w:hAnsi="Courier New" w:hint="default"/>
      </w:rPr>
    </w:lvl>
    <w:lvl w:ilvl="8" w:tplc="AE765B98">
      <w:start w:val="1"/>
      <w:numFmt w:val="bullet"/>
      <w:lvlText w:val=""/>
      <w:lvlJc w:val="left"/>
      <w:pPr>
        <w:ind w:left="6480" w:hanging="360"/>
      </w:pPr>
      <w:rPr>
        <w:rFonts w:ascii="Wingdings" w:hAnsi="Wingdings" w:hint="default"/>
      </w:rPr>
    </w:lvl>
  </w:abstractNum>
  <w:abstractNum w:abstractNumId="182" w15:restartNumberingAfterBreak="0">
    <w:nsid w:val="6FE5691B"/>
    <w:multiLevelType w:val="hybridMultilevel"/>
    <w:tmpl w:val="FFFFFFFF"/>
    <w:lvl w:ilvl="0" w:tplc="A66875DC">
      <w:start w:val="1"/>
      <w:numFmt w:val="lowerLetter"/>
      <w:lvlText w:val="%1."/>
      <w:lvlJc w:val="left"/>
      <w:pPr>
        <w:ind w:left="720" w:hanging="360"/>
      </w:pPr>
    </w:lvl>
    <w:lvl w:ilvl="1" w:tplc="182E012E">
      <w:start w:val="1"/>
      <w:numFmt w:val="lowerLetter"/>
      <w:lvlText w:val="%2."/>
      <w:lvlJc w:val="left"/>
      <w:pPr>
        <w:ind w:left="1440" w:hanging="360"/>
      </w:pPr>
    </w:lvl>
    <w:lvl w:ilvl="2" w:tplc="B502C68C">
      <w:start w:val="1"/>
      <w:numFmt w:val="lowerRoman"/>
      <w:lvlText w:val="%3."/>
      <w:lvlJc w:val="right"/>
      <w:pPr>
        <w:ind w:left="2160" w:hanging="180"/>
      </w:pPr>
    </w:lvl>
    <w:lvl w:ilvl="3" w:tplc="5E52E94A">
      <w:start w:val="1"/>
      <w:numFmt w:val="decimal"/>
      <w:lvlText w:val="%4."/>
      <w:lvlJc w:val="left"/>
      <w:pPr>
        <w:ind w:left="2880" w:hanging="360"/>
      </w:pPr>
    </w:lvl>
    <w:lvl w:ilvl="4" w:tplc="7A207B22">
      <w:start w:val="1"/>
      <w:numFmt w:val="lowerLetter"/>
      <w:lvlText w:val="%5."/>
      <w:lvlJc w:val="left"/>
      <w:pPr>
        <w:ind w:left="3600" w:hanging="360"/>
      </w:pPr>
    </w:lvl>
    <w:lvl w:ilvl="5" w:tplc="3976EDC6">
      <w:start w:val="1"/>
      <w:numFmt w:val="lowerRoman"/>
      <w:lvlText w:val="%6."/>
      <w:lvlJc w:val="right"/>
      <w:pPr>
        <w:ind w:left="4320" w:hanging="180"/>
      </w:pPr>
    </w:lvl>
    <w:lvl w:ilvl="6" w:tplc="7FF0B97C">
      <w:start w:val="1"/>
      <w:numFmt w:val="decimal"/>
      <w:lvlText w:val="%7."/>
      <w:lvlJc w:val="left"/>
      <w:pPr>
        <w:ind w:left="5040" w:hanging="360"/>
      </w:pPr>
    </w:lvl>
    <w:lvl w:ilvl="7" w:tplc="38E4F704">
      <w:start w:val="1"/>
      <w:numFmt w:val="lowerLetter"/>
      <w:lvlText w:val="%8."/>
      <w:lvlJc w:val="left"/>
      <w:pPr>
        <w:ind w:left="5760" w:hanging="360"/>
      </w:pPr>
    </w:lvl>
    <w:lvl w:ilvl="8" w:tplc="1F2AED66">
      <w:start w:val="1"/>
      <w:numFmt w:val="lowerRoman"/>
      <w:lvlText w:val="%9."/>
      <w:lvlJc w:val="right"/>
      <w:pPr>
        <w:ind w:left="6480" w:hanging="180"/>
      </w:pPr>
    </w:lvl>
  </w:abstractNum>
  <w:abstractNum w:abstractNumId="183" w15:restartNumberingAfterBreak="0">
    <w:nsid w:val="73F376C6"/>
    <w:multiLevelType w:val="hybridMultilevel"/>
    <w:tmpl w:val="0CE4EC74"/>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4" w15:restartNumberingAfterBreak="0">
    <w:nsid w:val="74814178"/>
    <w:multiLevelType w:val="hybridMultilevel"/>
    <w:tmpl w:val="1C5C5A0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5" w15:restartNumberingAfterBreak="0">
    <w:nsid w:val="74A5278D"/>
    <w:multiLevelType w:val="hybridMultilevel"/>
    <w:tmpl w:val="E816367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6" w15:restartNumberingAfterBreak="0">
    <w:nsid w:val="757D7E34"/>
    <w:multiLevelType w:val="hybridMultilevel"/>
    <w:tmpl w:val="E816367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7" w15:restartNumberingAfterBreak="0">
    <w:nsid w:val="75883587"/>
    <w:multiLevelType w:val="multilevel"/>
    <w:tmpl w:val="57886BC2"/>
    <w:lvl w:ilvl="0">
      <w:start w:val="3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8" w15:restartNumberingAfterBreak="0">
    <w:nsid w:val="75E6F930"/>
    <w:multiLevelType w:val="hybridMultilevel"/>
    <w:tmpl w:val="FFFFFFFF"/>
    <w:lvl w:ilvl="0" w:tplc="9F9253A6">
      <w:start w:val="1"/>
      <w:numFmt w:val="lowerLetter"/>
      <w:lvlText w:val="%1."/>
      <w:lvlJc w:val="left"/>
      <w:pPr>
        <w:ind w:left="720" w:hanging="360"/>
      </w:pPr>
    </w:lvl>
    <w:lvl w:ilvl="1" w:tplc="5BE2719C">
      <w:start w:val="1"/>
      <w:numFmt w:val="lowerLetter"/>
      <w:lvlText w:val="%2."/>
      <w:lvlJc w:val="left"/>
      <w:pPr>
        <w:ind w:left="1440" w:hanging="360"/>
      </w:pPr>
    </w:lvl>
    <w:lvl w:ilvl="2" w:tplc="E63AD748">
      <w:start w:val="1"/>
      <w:numFmt w:val="lowerRoman"/>
      <w:lvlText w:val="%3."/>
      <w:lvlJc w:val="right"/>
      <w:pPr>
        <w:ind w:left="2160" w:hanging="180"/>
      </w:pPr>
    </w:lvl>
    <w:lvl w:ilvl="3" w:tplc="65421010">
      <w:start w:val="1"/>
      <w:numFmt w:val="decimal"/>
      <w:lvlText w:val="%4."/>
      <w:lvlJc w:val="left"/>
      <w:pPr>
        <w:ind w:left="2880" w:hanging="360"/>
      </w:pPr>
    </w:lvl>
    <w:lvl w:ilvl="4" w:tplc="B3880EC0">
      <w:start w:val="1"/>
      <w:numFmt w:val="lowerLetter"/>
      <w:lvlText w:val="%5."/>
      <w:lvlJc w:val="left"/>
      <w:pPr>
        <w:ind w:left="3600" w:hanging="360"/>
      </w:pPr>
    </w:lvl>
    <w:lvl w:ilvl="5" w:tplc="3944704E">
      <w:start w:val="1"/>
      <w:numFmt w:val="lowerRoman"/>
      <w:lvlText w:val="%6."/>
      <w:lvlJc w:val="right"/>
      <w:pPr>
        <w:ind w:left="4320" w:hanging="180"/>
      </w:pPr>
    </w:lvl>
    <w:lvl w:ilvl="6" w:tplc="B83C57A2">
      <w:start w:val="1"/>
      <w:numFmt w:val="decimal"/>
      <w:lvlText w:val="%7."/>
      <w:lvlJc w:val="left"/>
      <w:pPr>
        <w:ind w:left="5040" w:hanging="360"/>
      </w:pPr>
    </w:lvl>
    <w:lvl w:ilvl="7" w:tplc="34FCFD2E">
      <w:start w:val="1"/>
      <w:numFmt w:val="lowerLetter"/>
      <w:lvlText w:val="%8."/>
      <w:lvlJc w:val="left"/>
      <w:pPr>
        <w:ind w:left="5760" w:hanging="360"/>
      </w:pPr>
    </w:lvl>
    <w:lvl w:ilvl="8" w:tplc="9BB2848A">
      <w:start w:val="1"/>
      <w:numFmt w:val="lowerRoman"/>
      <w:lvlText w:val="%9."/>
      <w:lvlJc w:val="right"/>
      <w:pPr>
        <w:ind w:left="6480" w:hanging="180"/>
      </w:pPr>
    </w:lvl>
  </w:abstractNum>
  <w:abstractNum w:abstractNumId="189" w15:restartNumberingAfterBreak="0">
    <w:nsid w:val="767EC13F"/>
    <w:multiLevelType w:val="hybridMultilevel"/>
    <w:tmpl w:val="FFFFFFFF"/>
    <w:lvl w:ilvl="0" w:tplc="647EAA0A">
      <w:start w:val="1"/>
      <w:numFmt w:val="bullet"/>
      <w:lvlText w:val="ü"/>
      <w:lvlJc w:val="left"/>
      <w:pPr>
        <w:ind w:left="720" w:hanging="360"/>
      </w:pPr>
      <w:rPr>
        <w:rFonts w:ascii="Wingdings" w:hAnsi="Wingdings" w:hint="default"/>
      </w:rPr>
    </w:lvl>
    <w:lvl w:ilvl="1" w:tplc="D084D0DC">
      <w:start w:val="1"/>
      <w:numFmt w:val="bullet"/>
      <w:lvlText w:val="o"/>
      <w:lvlJc w:val="left"/>
      <w:pPr>
        <w:ind w:left="1440" w:hanging="360"/>
      </w:pPr>
      <w:rPr>
        <w:rFonts w:ascii="Courier New" w:hAnsi="Courier New" w:hint="default"/>
      </w:rPr>
    </w:lvl>
    <w:lvl w:ilvl="2" w:tplc="32F42A02">
      <w:start w:val="1"/>
      <w:numFmt w:val="bullet"/>
      <w:lvlText w:val=""/>
      <w:lvlJc w:val="left"/>
      <w:pPr>
        <w:ind w:left="2160" w:hanging="360"/>
      </w:pPr>
      <w:rPr>
        <w:rFonts w:ascii="Wingdings" w:hAnsi="Wingdings" w:hint="default"/>
      </w:rPr>
    </w:lvl>
    <w:lvl w:ilvl="3" w:tplc="FCA60704">
      <w:start w:val="1"/>
      <w:numFmt w:val="bullet"/>
      <w:lvlText w:val=""/>
      <w:lvlJc w:val="left"/>
      <w:pPr>
        <w:ind w:left="2880" w:hanging="360"/>
      </w:pPr>
      <w:rPr>
        <w:rFonts w:ascii="Symbol" w:hAnsi="Symbol" w:hint="default"/>
      </w:rPr>
    </w:lvl>
    <w:lvl w:ilvl="4" w:tplc="6CD0F0DE">
      <w:start w:val="1"/>
      <w:numFmt w:val="bullet"/>
      <w:lvlText w:val="o"/>
      <w:lvlJc w:val="left"/>
      <w:pPr>
        <w:ind w:left="3600" w:hanging="360"/>
      </w:pPr>
      <w:rPr>
        <w:rFonts w:ascii="Courier New" w:hAnsi="Courier New" w:hint="default"/>
      </w:rPr>
    </w:lvl>
    <w:lvl w:ilvl="5" w:tplc="37E83F34">
      <w:start w:val="1"/>
      <w:numFmt w:val="bullet"/>
      <w:lvlText w:val=""/>
      <w:lvlJc w:val="left"/>
      <w:pPr>
        <w:ind w:left="4320" w:hanging="360"/>
      </w:pPr>
      <w:rPr>
        <w:rFonts w:ascii="Wingdings" w:hAnsi="Wingdings" w:hint="default"/>
      </w:rPr>
    </w:lvl>
    <w:lvl w:ilvl="6" w:tplc="3DAEA55E">
      <w:start w:val="1"/>
      <w:numFmt w:val="bullet"/>
      <w:lvlText w:val=""/>
      <w:lvlJc w:val="left"/>
      <w:pPr>
        <w:ind w:left="5040" w:hanging="360"/>
      </w:pPr>
      <w:rPr>
        <w:rFonts w:ascii="Symbol" w:hAnsi="Symbol" w:hint="default"/>
      </w:rPr>
    </w:lvl>
    <w:lvl w:ilvl="7" w:tplc="701EA55E">
      <w:start w:val="1"/>
      <w:numFmt w:val="bullet"/>
      <w:lvlText w:val="o"/>
      <w:lvlJc w:val="left"/>
      <w:pPr>
        <w:ind w:left="5760" w:hanging="360"/>
      </w:pPr>
      <w:rPr>
        <w:rFonts w:ascii="Courier New" w:hAnsi="Courier New" w:hint="default"/>
      </w:rPr>
    </w:lvl>
    <w:lvl w:ilvl="8" w:tplc="B6CADEC6">
      <w:start w:val="1"/>
      <w:numFmt w:val="bullet"/>
      <w:lvlText w:val=""/>
      <w:lvlJc w:val="left"/>
      <w:pPr>
        <w:ind w:left="6480" w:hanging="360"/>
      </w:pPr>
      <w:rPr>
        <w:rFonts w:ascii="Wingdings" w:hAnsi="Wingdings" w:hint="default"/>
      </w:rPr>
    </w:lvl>
  </w:abstractNum>
  <w:abstractNum w:abstractNumId="190" w15:restartNumberingAfterBreak="0">
    <w:nsid w:val="778A4030"/>
    <w:multiLevelType w:val="hybridMultilevel"/>
    <w:tmpl w:val="37E82C0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1" w15:restartNumberingAfterBreak="0">
    <w:nsid w:val="78CE3670"/>
    <w:multiLevelType w:val="hybridMultilevel"/>
    <w:tmpl w:val="FFFFFFFF"/>
    <w:lvl w:ilvl="0" w:tplc="342E42A2">
      <w:start w:val="2"/>
      <w:numFmt w:val="lowerLetter"/>
      <w:lvlText w:val="%1."/>
      <w:lvlJc w:val="left"/>
      <w:pPr>
        <w:ind w:left="720" w:hanging="360"/>
      </w:pPr>
    </w:lvl>
    <w:lvl w:ilvl="1" w:tplc="9A40FEE6">
      <w:start w:val="1"/>
      <w:numFmt w:val="lowerLetter"/>
      <w:lvlText w:val="%2."/>
      <w:lvlJc w:val="left"/>
      <w:pPr>
        <w:ind w:left="1440" w:hanging="360"/>
      </w:pPr>
    </w:lvl>
    <w:lvl w:ilvl="2" w:tplc="7132F47E">
      <w:start w:val="1"/>
      <w:numFmt w:val="lowerRoman"/>
      <w:lvlText w:val="%3."/>
      <w:lvlJc w:val="right"/>
      <w:pPr>
        <w:ind w:left="2160" w:hanging="180"/>
      </w:pPr>
    </w:lvl>
    <w:lvl w:ilvl="3" w:tplc="3DAC7954">
      <w:start w:val="1"/>
      <w:numFmt w:val="decimal"/>
      <w:lvlText w:val="%4."/>
      <w:lvlJc w:val="left"/>
      <w:pPr>
        <w:ind w:left="2880" w:hanging="360"/>
      </w:pPr>
    </w:lvl>
    <w:lvl w:ilvl="4" w:tplc="2E62D31C">
      <w:start w:val="1"/>
      <w:numFmt w:val="lowerLetter"/>
      <w:lvlText w:val="%5."/>
      <w:lvlJc w:val="left"/>
      <w:pPr>
        <w:ind w:left="3600" w:hanging="360"/>
      </w:pPr>
    </w:lvl>
    <w:lvl w:ilvl="5" w:tplc="6A26BB34">
      <w:start w:val="1"/>
      <w:numFmt w:val="lowerRoman"/>
      <w:lvlText w:val="%6."/>
      <w:lvlJc w:val="right"/>
      <w:pPr>
        <w:ind w:left="4320" w:hanging="180"/>
      </w:pPr>
    </w:lvl>
    <w:lvl w:ilvl="6" w:tplc="339E87FA">
      <w:start w:val="1"/>
      <w:numFmt w:val="decimal"/>
      <w:lvlText w:val="%7."/>
      <w:lvlJc w:val="left"/>
      <w:pPr>
        <w:ind w:left="5040" w:hanging="360"/>
      </w:pPr>
    </w:lvl>
    <w:lvl w:ilvl="7" w:tplc="20329476">
      <w:start w:val="1"/>
      <w:numFmt w:val="lowerLetter"/>
      <w:lvlText w:val="%8."/>
      <w:lvlJc w:val="left"/>
      <w:pPr>
        <w:ind w:left="5760" w:hanging="360"/>
      </w:pPr>
    </w:lvl>
    <w:lvl w:ilvl="8" w:tplc="DD744ED6">
      <w:start w:val="1"/>
      <w:numFmt w:val="lowerRoman"/>
      <w:lvlText w:val="%9."/>
      <w:lvlJc w:val="right"/>
      <w:pPr>
        <w:ind w:left="6480" w:hanging="180"/>
      </w:pPr>
    </w:lvl>
  </w:abstractNum>
  <w:abstractNum w:abstractNumId="192" w15:restartNumberingAfterBreak="0">
    <w:nsid w:val="790550E5"/>
    <w:multiLevelType w:val="hybridMultilevel"/>
    <w:tmpl w:val="FFFFFFFF"/>
    <w:lvl w:ilvl="0" w:tplc="C2A264CA">
      <w:start w:val="1"/>
      <w:numFmt w:val="lowerLetter"/>
      <w:lvlText w:val="%1."/>
      <w:lvlJc w:val="left"/>
      <w:pPr>
        <w:ind w:left="720" w:hanging="360"/>
      </w:pPr>
    </w:lvl>
    <w:lvl w:ilvl="1" w:tplc="003EB066">
      <w:start w:val="1"/>
      <w:numFmt w:val="lowerLetter"/>
      <w:lvlText w:val="%2."/>
      <w:lvlJc w:val="left"/>
      <w:pPr>
        <w:ind w:left="1440" w:hanging="360"/>
      </w:pPr>
    </w:lvl>
    <w:lvl w:ilvl="2" w:tplc="EA0085D0">
      <w:start w:val="1"/>
      <w:numFmt w:val="lowerRoman"/>
      <w:lvlText w:val="%3."/>
      <w:lvlJc w:val="right"/>
      <w:pPr>
        <w:ind w:left="2160" w:hanging="180"/>
      </w:pPr>
    </w:lvl>
    <w:lvl w:ilvl="3" w:tplc="08A0449E">
      <w:start w:val="1"/>
      <w:numFmt w:val="decimal"/>
      <w:lvlText w:val="%4."/>
      <w:lvlJc w:val="left"/>
      <w:pPr>
        <w:ind w:left="2880" w:hanging="360"/>
      </w:pPr>
    </w:lvl>
    <w:lvl w:ilvl="4" w:tplc="E34671B6">
      <w:start w:val="1"/>
      <w:numFmt w:val="lowerLetter"/>
      <w:lvlText w:val="%5."/>
      <w:lvlJc w:val="left"/>
      <w:pPr>
        <w:ind w:left="3600" w:hanging="360"/>
      </w:pPr>
    </w:lvl>
    <w:lvl w:ilvl="5" w:tplc="C91E2D9C">
      <w:start w:val="1"/>
      <w:numFmt w:val="lowerRoman"/>
      <w:lvlText w:val="%6."/>
      <w:lvlJc w:val="right"/>
      <w:pPr>
        <w:ind w:left="4320" w:hanging="180"/>
      </w:pPr>
    </w:lvl>
    <w:lvl w:ilvl="6" w:tplc="43E2BD0E">
      <w:start w:val="1"/>
      <w:numFmt w:val="decimal"/>
      <w:lvlText w:val="%7."/>
      <w:lvlJc w:val="left"/>
      <w:pPr>
        <w:ind w:left="5040" w:hanging="360"/>
      </w:pPr>
    </w:lvl>
    <w:lvl w:ilvl="7" w:tplc="67E09040">
      <w:start w:val="1"/>
      <w:numFmt w:val="lowerLetter"/>
      <w:lvlText w:val="%8."/>
      <w:lvlJc w:val="left"/>
      <w:pPr>
        <w:ind w:left="5760" w:hanging="360"/>
      </w:pPr>
    </w:lvl>
    <w:lvl w:ilvl="8" w:tplc="77706702">
      <w:start w:val="1"/>
      <w:numFmt w:val="lowerRoman"/>
      <w:lvlText w:val="%9."/>
      <w:lvlJc w:val="right"/>
      <w:pPr>
        <w:ind w:left="6480" w:hanging="180"/>
      </w:pPr>
    </w:lvl>
  </w:abstractNum>
  <w:abstractNum w:abstractNumId="193" w15:restartNumberingAfterBreak="0">
    <w:nsid w:val="791C03F6"/>
    <w:multiLevelType w:val="hybridMultilevel"/>
    <w:tmpl w:val="9C38A334"/>
    <w:styleLink w:val="EstiloVieta-HTAEsquemanumeradoIzquierda113cmSangraf"/>
    <w:lvl w:ilvl="0" w:tplc="8FE85E70">
      <w:numFmt w:val="bullet"/>
      <w:lvlText w:val="-"/>
      <w:lvlJc w:val="left"/>
      <w:pPr>
        <w:ind w:left="360" w:hanging="360"/>
      </w:pPr>
      <w:rPr>
        <w:rFonts w:ascii="Times New Roman" w:eastAsia="Calibri" w:hAnsi="Times New Roman" w:cs="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4" w15:restartNumberingAfterBreak="0">
    <w:nsid w:val="7966C61E"/>
    <w:multiLevelType w:val="hybridMultilevel"/>
    <w:tmpl w:val="FFFFFFFF"/>
    <w:lvl w:ilvl="0" w:tplc="E5A22CF8">
      <w:start w:val="1"/>
      <w:numFmt w:val="bullet"/>
      <w:lvlText w:val="·"/>
      <w:lvlJc w:val="left"/>
      <w:pPr>
        <w:ind w:left="720" w:hanging="360"/>
      </w:pPr>
      <w:rPr>
        <w:rFonts w:ascii="Symbol" w:hAnsi="Symbol" w:hint="default"/>
      </w:rPr>
    </w:lvl>
    <w:lvl w:ilvl="1" w:tplc="A17EFA50">
      <w:start w:val="1"/>
      <w:numFmt w:val="bullet"/>
      <w:lvlText w:val="o"/>
      <w:lvlJc w:val="left"/>
      <w:pPr>
        <w:ind w:left="1440" w:hanging="360"/>
      </w:pPr>
      <w:rPr>
        <w:rFonts w:ascii="Courier New" w:hAnsi="Courier New" w:hint="default"/>
      </w:rPr>
    </w:lvl>
    <w:lvl w:ilvl="2" w:tplc="8B9A0D5A">
      <w:start w:val="1"/>
      <w:numFmt w:val="bullet"/>
      <w:lvlText w:val=""/>
      <w:lvlJc w:val="left"/>
      <w:pPr>
        <w:ind w:left="2160" w:hanging="360"/>
      </w:pPr>
      <w:rPr>
        <w:rFonts w:ascii="Wingdings" w:hAnsi="Wingdings" w:hint="default"/>
      </w:rPr>
    </w:lvl>
    <w:lvl w:ilvl="3" w:tplc="B0C619B0">
      <w:start w:val="1"/>
      <w:numFmt w:val="bullet"/>
      <w:lvlText w:val=""/>
      <w:lvlJc w:val="left"/>
      <w:pPr>
        <w:ind w:left="2880" w:hanging="360"/>
      </w:pPr>
      <w:rPr>
        <w:rFonts w:ascii="Symbol" w:hAnsi="Symbol" w:hint="default"/>
      </w:rPr>
    </w:lvl>
    <w:lvl w:ilvl="4" w:tplc="FC981EDA">
      <w:start w:val="1"/>
      <w:numFmt w:val="bullet"/>
      <w:lvlText w:val="o"/>
      <w:lvlJc w:val="left"/>
      <w:pPr>
        <w:ind w:left="3600" w:hanging="360"/>
      </w:pPr>
      <w:rPr>
        <w:rFonts w:ascii="Courier New" w:hAnsi="Courier New" w:hint="default"/>
      </w:rPr>
    </w:lvl>
    <w:lvl w:ilvl="5" w:tplc="D7520A4E">
      <w:start w:val="1"/>
      <w:numFmt w:val="bullet"/>
      <w:lvlText w:val=""/>
      <w:lvlJc w:val="left"/>
      <w:pPr>
        <w:ind w:left="4320" w:hanging="360"/>
      </w:pPr>
      <w:rPr>
        <w:rFonts w:ascii="Wingdings" w:hAnsi="Wingdings" w:hint="default"/>
      </w:rPr>
    </w:lvl>
    <w:lvl w:ilvl="6" w:tplc="A2869674">
      <w:start w:val="1"/>
      <w:numFmt w:val="bullet"/>
      <w:lvlText w:val=""/>
      <w:lvlJc w:val="left"/>
      <w:pPr>
        <w:ind w:left="5040" w:hanging="360"/>
      </w:pPr>
      <w:rPr>
        <w:rFonts w:ascii="Symbol" w:hAnsi="Symbol" w:hint="default"/>
      </w:rPr>
    </w:lvl>
    <w:lvl w:ilvl="7" w:tplc="5FAE342E">
      <w:start w:val="1"/>
      <w:numFmt w:val="bullet"/>
      <w:lvlText w:val="o"/>
      <w:lvlJc w:val="left"/>
      <w:pPr>
        <w:ind w:left="5760" w:hanging="360"/>
      </w:pPr>
      <w:rPr>
        <w:rFonts w:ascii="Courier New" w:hAnsi="Courier New" w:hint="default"/>
      </w:rPr>
    </w:lvl>
    <w:lvl w:ilvl="8" w:tplc="323C9562">
      <w:start w:val="1"/>
      <w:numFmt w:val="bullet"/>
      <w:lvlText w:val=""/>
      <w:lvlJc w:val="left"/>
      <w:pPr>
        <w:ind w:left="6480" w:hanging="360"/>
      </w:pPr>
      <w:rPr>
        <w:rFonts w:ascii="Wingdings" w:hAnsi="Wingdings" w:hint="default"/>
      </w:rPr>
    </w:lvl>
  </w:abstractNum>
  <w:abstractNum w:abstractNumId="195" w15:restartNumberingAfterBreak="0">
    <w:nsid w:val="7A9FD6AA"/>
    <w:multiLevelType w:val="hybridMultilevel"/>
    <w:tmpl w:val="FFFFFFFF"/>
    <w:lvl w:ilvl="0" w:tplc="9F389150">
      <w:start w:val="1"/>
      <w:numFmt w:val="lowerLetter"/>
      <w:lvlText w:val="%1."/>
      <w:lvlJc w:val="left"/>
      <w:pPr>
        <w:ind w:left="720" w:hanging="360"/>
      </w:pPr>
    </w:lvl>
    <w:lvl w:ilvl="1" w:tplc="2F401FB4">
      <w:start w:val="1"/>
      <w:numFmt w:val="lowerLetter"/>
      <w:lvlText w:val="%2."/>
      <w:lvlJc w:val="left"/>
      <w:pPr>
        <w:ind w:left="1440" w:hanging="360"/>
      </w:pPr>
    </w:lvl>
    <w:lvl w:ilvl="2" w:tplc="BA609FF2">
      <w:start w:val="1"/>
      <w:numFmt w:val="lowerRoman"/>
      <w:lvlText w:val="%3."/>
      <w:lvlJc w:val="right"/>
      <w:pPr>
        <w:ind w:left="2160" w:hanging="180"/>
      </w:pPr>
    </w:lvl>
    <w:lvl w:ilvl="3" w:tplc="7E1EC1B0">
      <w:start w:val="1"/>
      <w:numFmt w:val="decimal"/>
      <w:lvlText w:val="%4."/>
      <w:lvlJc w:val="left"/>
      <w:pPr>
        <w:ind w:left="2880" w:hanging="360"/>
      </w:pPr>
    </w:lvl>
    <w:lvl w:ilvl="4" w:tplc="F0B03C98">
      <w:start w:val="1"/>
      <w:numFmt w:val="lowerLetter"/>
      <w:lvlText w:val="%5."/>
      <w:lvlJc w:val="left"/>
      <w:pPr>
        <w:ind w:left="3600" w:hanging="360"/>
      </w:pPr>
    </w:lvl>
    <w:lvl w:ilvl="5" w:tplc="E5745928">
      <w:start w:val="1"/>
      <w:numFmt w:val="lowerRoman"/>
      <w:lvlText w:val="%6."/>
      <w:lvlJc w:val="right"/>
      <w:pPr>
        <w:ind w:left="4320" w:hanging="180"/>
      </w:pPr>
    </w:lvl>
    <w:lvl w:ilvl="6" w:tplc="DB6C8164">
      <w:start w:val="1"/>
      <w:numFmt w:val="decimal"/>
      <w:lvlText w:val="%7."/>
      <w:lvlJc w:val="left"/>
      <w:pPr>
        <w:ind w:left="5040" w:hanging="360"/>
      </w:pPr>
    </w:lvl>
    <w:lvl w:ilvl="7" w:tplc="82186D96">
      <w:start w:val="1"/>
      <w:numFmt w:val="lowerLetter"/>
      <w:lvlText w:val="%8."/>
      <w:lvlJc w:val="left"/>
      <w:pPr>
        <w:ind w:left="5760" w:hanging="360"/>
      </w:pPr>
    </w:lvl>
    <w:lvl w:ilvl="8" w:tplc="8F9E11F4">
      <w:start w:val="1"/>
      <w:numFmt w:val="lowerRoman"/>
      <w:lvlText w:val="%9."/>
      <w:lvlJc w:val="right"/>
      <w:pPr>
        <w:ind w:left="6480" w:hanging="180"/>
      </w:pPr>
    </w:lvl>
  </w:abstractNum>
  <w:abstractNum w:abstractNumId="196" w15:restartNumberingAfterBreak="0">
    <w:nsid w:val="7B5F045A"/>
    <w:multiLevelType w:val="hybridMultilevel"/>
    <w:tmpl w:val="F8765024"/>
    <w:lvl w:ilvl="0" w:tplc="C69A756C">
      <w:start w:val="1"/>
      <w:numFmt w:val="bullet"/>
      <w:lvlText w:val="ü"/>
      <w:lvlJc w:val="left"/>
      <w:pPr>
        <w:ind w:left="720" w:hanging="360"/>
      </w:pPr>
      <w:rPr>
        <w:rFonts w:ascii="Wingdings" w:hAnsi="Wingdings" w:hint="default"/>
      </w:rPr>
    </w:lvl>
    <w:lvl w:ilvl="1" w:tplc="455A0B3C">
      <w:start w:val="1"/>
      <w:numFmt w:val="bullet"/>
      <w:lvlText w:val="o"/>
      <w:lvlJc w:val="left"/>
      <w:pPr>
        <w:ind w:left="1440" w:hanging="360"/>
      </w:pPr>
      <w:rPr>
        <w:rFonts w:ascii="Courier New" w:hAnsi="Courier New" w:hint="default"/>
      </w:rPr>
    </w:lvl>
    <w:lvl w:ilvl="2" w:tplc="557AA8F8">
      <w:start w:val="1"/>
      <w:numFmt w:val="bullet"/>
      <w:lvlText w:val=""/>
      <w:lvlJc w:val="left"/>
      <w:pPr>
        <w:ind w:left="2160" w:hanging="360"/>
      </w:pPr>
      <w:rPr>
        <w:rFonts w:ascii="Wingdings" w:hAnsi="Wingdings" w:hint="default"/>
      </w:rPr>
    </w:lvl>
    <w:lvl w:ilvl="3" w:tplc="D7AA1488">
      <w:start w:val="1"/>
      <w:numFmt w:val="bullet"/>
      <w:lvlText w:val=""/>
      <w:lvlJc w:val="left"/>
      <w:pPr>
        <w:ind w:left="2880" w:hanging="360"/>
      </w:pPr>
      <w:rPr>
        <w:rFonts w:ascii="Symbol" w:hAnsi="Symbol" w:hint="default"/>
      </w:rPr>
    </w:lvl>
    <w:lvl w:ilvl="4" w:tplc="24B82642">
      <w:start w:val="1"/>
      <w:numFmt w:val="bullet"/>
      <w:lvlText w:val="o"/>
      <w:lvlJc w:val="left"/>
      <w:pPr>
        <w:ind w:left="3600" w:hanging="360"/>
      </w:pPr>
      <w:rPr>
        <w:rFonts w:ascii="Courier New" w:hAnsi="Courier New" w:hint="default"/>
      </w:rPr>
    </w:lvl>
    <w:lvl w:ilvl="5" w:tplc="1AD48870">
      <w:start w:val="1"/>
      <w:numFmt w:val="bullet"/>
      <w:lvlText w:val=""/>
      <w:lvlJc w:val="left"/>
      <w:pPr>
        <w:ind w:left="4320" w:hanging="360"/>
      </w:pPr>
      <w:rPr>
        <w:rFonts w:ascii="Wingdings" w:hAnsi="Wingdings" w:hint="default"/>
      </w:rPr>
    </w:lvl>
    <w:lvl w:ilvl="6" w:tplc="9B28D0AA">
      <w:start w:val="1"/>
      <w:numFmt w:val="bullet"/>
      <w:lvlText w:val=""/>
      <w:lvlJc w:val="left"/>
      <w:pPr>
        <w:ind w:left="5040" w:hanging="360"/>
      </w:pPr>
      <w:rPr>
        <w:rFonts w:ascii="Symbol" w:hAnsi="Symbol" w:hint="default"/>
      </w:rPr>
    </w:lvl>
    <w:lvl w:ilvl="7" w:tplc="8F22729A">
      <w:start w:val="1"/>
      <w:numFmt w:val="bullet"/>
      <w:lvlText w:val="o"/>
      <w:lvlJc w:val="left"/>
      <w:pPr>
        <w:ind w:left="5760" w:hanging="360"/>
      </w:pPr>
      <w:rPr>
        <w:rFonts w:ascii="Courier New" w:hAnsi="Courier New" w:hint="default"/>
      </w:rPr>
    </w:lvl>
    <w:lvl w:ilvl="8" w:tplc="071C10A4">
      <w:start w:val="1"/>
      <w:numFmt w:val="bullet"/>
      <w:lvlText w:val=""/>
      <w:lvlJc w:val="left"/>
      <w:pPr>
        <w:ind w:left="6480" w:hanging="360"/>
      </w:pPr>
      <w:rPr>
        <w:rFonts w:ascii="Wingdings" w:hAnsi="Wingdings" w:hint="default"/>
      </w:rPr>
    </w:lvl>
  </w:abstractNum>
  <w:abstractNum w:abstractNumId="197" w15:restartNumberingAfterBreak="0">
    <w:nsid w:val="7B80B265"/>
    <w:multiLevelType w:val="hybridMultilevel"/>
    <w:tmpl w:val="FFFFFFFF"/>
    <w:lvl w:ilvl="0" w:tplc="0BAE8E34">
      <w:start w:val="1"/>
      <w:numFmt w:val="lowerLetter"/>
      <w:lvlText w:val="%1."/>
      <w:lvlJc w:val="left"/>
      <w:pPr>
        <w:ind w:left="720" w:hanging="360"/>
      </w:pPr>
    </w:lvl>
    <w:lvl w:ilvl="1" w:tplc="DCA42BF8">
      <w:start w:val="1"/>
      <w:numFmt w:val="lowerLetter"/>
      <w:lvlText w:val="%2."/>
      <w:lvlJc w:val="left"/>
      <w:pPr>
        <w:ind w:left="1440" w:hanging="360"/>
      </w:pPr>
    </w:lvl>
    <w:lvl w:ilvl="2" w:tplc="2B96681A">
      <w:start w:val="1"/>
      <w:numFmt w:val="lowerRoman"/>
      <w:lvlText w:val="%3."/>
      <w:lvlJc w:val="right"/>
      <w:pPr>
        <w:ind w:left="2160" w:hanging="180"/>
      </w:pPr>
    </w:lvl>
    <w:lvl w:ilvl="3" w:tplc="068A38DA">
      <w:start w:val="1"/>
      <w:numFmt w:val="decimal"/>
      <w:lvlText w:val="%4."/>
      <w:lvlJc w:val="left"/>
      <w:pPr>
        <w:ind w:left="2880" w:hanging="360"/>
      </w:pPr>
    </w:lvl>
    <w:lvl w:ilvl="4" w:tplc="4D54E78C">
      <w:start w:val="1"/>
      <w:numFmt w:val="lowerLetter"/>
      <w:lvlText w:val="%5."/>
      <w:lvlJc w:val="left"/>
      <w:pPr>
        <w:ind w:left="3600" w:hanging="360"/>
      </w:pPr>
    </w:lvl>
    <w:lvl w:ilvl="5" w:tplc="8E109584">
      <w:start w:val="1"/>
      <w:numFmt w:val="lowerRoman"/>
      <w:lvlText w:val="%6."/>
      <w:lvlJc w:val="right"/>
      <w:pPr>
        <w:ind w:left="4320" w:hanging="180"/>
      </w:pPr>
    </w:lvl>
    <w:lvl w:ilvl="6" w:tplc="7256D1FA">
      <w:start w:val="1"/>
      <w:numFmt w:val="decimal"/>
      <w:lvlText w:val="%7."/>
      <w:lvlJc w:val="left"/>
      <w:pPr>
        <w:ind w:left="5040" w:hanging="360"/>
      </w:pPr>
    </w:lvl>
    <w:lvl w:ilvl="7" w:tplc="022A7E7C">
      <w:start w:val="1"/>
      <w:numFmt w:val="lowerLetter"/>
      <w:lvlText w:val="%8."/>
      <w:lvlJc w:val="left"/>
      <w:pPr>
        <w:ind w:left="5760" w:hanging="360"/>
      </w:pPr>
    </w:lvl>
    <w:lvl w:ilvl="8" w:tplc="B936F2B4">
      <w:start w:val="1"/>
      <w:numFmt w:val="lowerRoman"/>
      <w:lvlText w:val="%9."/>
      <w:lvlJc w:val="right"/>
      <w:pPr>
        <w:ind w:left="6480" w:hanging="180"/>
      </w:pPr>
    </w:lvl>
  </w:abstractNum>
  <w:abstractNum w:abstractNumId="198" w15:restartNumberingAfterBreak="0">
    <w:nsid w:val="7CF7A1A1"/>
    <w:multiLevelType w:val="hybridMultilevel"/>
    <w:tmpl w:val="F9C0D256"/>
    <w:lvl w:ilvl="0" w:tplc="C80607B2">
      <w:start w:val="1"/>
      <w:numFmt w:val="bullet"/>
      <w:lvlText w:val="Ø"/>
      <w:lvlJc w:val="left"/>
      <w:pPr>
        <w:ind w:left="720" w:hanging="360"/>
      </w:pPr>
      <w:rPr>
        <w:rFonts w:ascii="Wingdings" w:hAnsi="Wingdings" w:hint="default"/>
      </w:rPr>
    </w:lvl>
    <w:lvl w:ilvl="1" w:tplc="7CB2519A">
      <w:start w:val="1"/>
      <w:numFmt w:val="bullet"/>
      <w:lvlText w:val="o"/>
      <w:lvlJc w:val="left"/>
      <w:pPr>
        <w:ind w:left="1440" w:hanging="360"/>
      </w:pPr>
      <w:rPr>
        <w:rFonts w:ascii="Courier New" w:hAnsi="Courier New" w:hint="default"/>
      </w:rPr>
    </w:lvl>
    <w:lvl w:ilvl="2" w:tplc="F188794E">
      <w:start w:val="1"/>
      <w:numFmt w:val="bullet"/>
      <w:lvlText w:val=""/>
      <w:lvlJc w:val="left"/>
      <w:pPr>
        <w:ind w:left="2160" w:hanging="360"/>
      </w:pPr>
      <w:rPr>
        <w:rFonts w:ascii="Wingdings" w:hAnsi="Wingdings" w:hint="default"/>
      </w:rPr>
    </w:lvl>
    <w:lvl w:ilvl="3" w:tplc="472CB4D4">
      <w:start w:val="1"/>
      <w:numFmt w:val="bullet"/>
      <w:lvlText w:val=""/>
      <w:lvlJc w:val="left"/>
      <w:pPr>
        <w:ind w:left="2880" w:hanging="360"/>
      </w:pPr>
      <w:rPr>
        <w:rFonts w:ascii="Symbol" w:hAnsi="Symbol" w:hint="default"/>
      </w:rPr>
    </w:lvl>
    <w:lvl w:ilvl="4" w:tplc="D334240A">
      <w:start w:val="1"/>
      <w:numFmt w:val="bullet"/>
      <w:lvlText w:val="o"/>
      <w:lvlJc w:val="left"/>
      <w:pPr>
        <w:ind w:left="3600" w:hanging="360"/>
      </w:pPr>
      <w:rPr>
        <w:rFonts w:ascii="Courier New" w:hAnsi="Courier New" w:hint="default"/>
      </w:rPr>
    </w:lvl>
    <w:lvl w:ilvl="5" w:tplc="170EEED4">
      <w:start w:val="1"/>
      <w:numFmt w:val="bullet"/>
      <w:lvlText w:val=""/>
      <w:lvlJc w:val="left"/>
      <w:pPr>
        <w:ind w:left="4320" w:hanging="360"/>
      </w:pPr>
      <w:rPr>
        <w:rFonts w:ascii="Wingdings" w:hAnsi="Wingdings" w:hint="default"/>
      </w:rPr>
    </w:lvl>
    <w:lvl w:ilvl="6" w:tplc="DBFAC154">
      <w:start w:val="1"/>
      <w:numFmt w:val="bullet"/>
      <w:lvlText w:val=""/>
      <w:lvlJc w:val="left"/>
      <w:pPr>
        <w:ind w:left="5040" w:hanging="360"/>
      </w:pPr>
      <w:rPr>
        <w:rFonts w:ascii="Symbol" w:hAnsi="Symbol" w:hint="default"/>
      </w:rPr>
    </w:lvl>
    <w:lvl w:ilvl="7" w:tplc="6BE259BE">
      <w:start w:val="1"/>
      <w:numFmt w:val="bullet"/>
      <w:lvlText w:val="o"/>
      <w:lvlJc w:val="left"/>
      <w:pPr>
        <w:ind w:left="5760" w:hanging="360"/>
      </w:pPr>
      <w:rPr>
        <w:rFonts w:ascii="Courier New" w:hAnsi="Courier New" w:hint="default"/>
      </w:rPr>
    </w:lvl>
    <w:lvl w:ilvl="8" w:tplc="68A4BAF6">
      <w:start w:val="1"/>
      <w:numFmt w:val="bullet"/>
      <w:lvlText w:val=""/>
      <w:lvlJc w:val="left"/>
      <w:pPr>
        <w:ind w:left="6480" w:hanging="360"/>
      </w:pPr>
      <w:rPr>
        <w:rFonts w:ascii="Wingdings" w:hAnsi="Wingdings" w:hint="default"/>
      </w:rPr>
    </w:lvl>
  </w:abstractNum>
  <w:abstractNum w:abstractNumId="199" w15:restartNumberingAfterBreak="0">
    <w:nsid w:val="7D2DA8B0"/>
    <w:multiLevelType w:val="hybridMultilevel"/>
    <w:tmpl w:val="FFFFFFFF"/>
    <w:lvl w:ilvl="0" w:tplc="692AE858">
      <w:start w:val="1"/>
      <w:numFmt w:val="lowerLetter"/>
      <w:lvlText w:val="%1."/>
      <w:lvlJc w:val="left"/>
      <w:pPr>
        <w:ind w:left="720" w:hanging="360"/>
      </w:pPr>
    </w:lvl>
    <w:lvl w:ilvl="1" w:tplc="26CCC75A">
      <w:start w:val="1"/>
      <w:numFmt w:val="lowerLetter"/>
      <w:lvlText w:val="%2."/>
      <w:lvlJc w:val="left"/>
      <w:pPr>
        <w:ind w:left="1440" w:hanging="360"/>
      </w:pPr>
    </w:lvl>
    <w:lvl w:ilvl="2" w:tplc="3D44C38C">
      <w:start w:val="1"/>
      <w:numFmt w:val="lowerRoman"/>
      <w:lvlText w:val="%3."/>
      <w:lvlJc w:val="right"/>
      <w:pPr>
        <w:ind w:left="2160" w:hanging="180"/>
      </w:pPr>
    </w:lvl>
    <w:lvl w:ilvl="3" w:tplc="5B6A8516">
      <w:start w:val="1"/>
      <w:numFmt w:val="decimal"/>
      <w:lvlText w:val="%4."/>
      <w:lvlJc w:val="left"/>
      <w:pPr>
        <w:ind w:left="2880" w:hanging="360"/>
      </w:pPr>
    </w:lvl>
    <w:lvl w:ilvl="4" w:tplc="10B40E4C">
      <w:start w:val="1"/>
      <w:numFmt w:val="lowerLetter"/>
      <w:lvlText w:val="%5."/>
      <w:lvlJc w:val="left"/>
      <w:pPr>
        <w:ind w:left="3600" w:hanging="360"/>
      </w:pPr>
    </w:lvl>
    <w:lvl w:ilvl="5" w:tplc="BF7CB426">
      <w:start w:val="1"/>
      <w:numFmt w:val="lowerRoman"/>
      <w:lvlText w:val="%6."/>
      <w:lvlJc w:val="right"/>
      <w:pPr>
        <w:ind w:left="4320" w:hanging="180"/>
      </w:pPr>
    </w:lvl>
    <w:lvl w:ilvl="6" w:tplc="CD76CB6A">
      <w:start w:val="1"/>
      <w:numFmt w:val="decimal"/>
      <w:lvlText w:val="%7."/>
      <w:lvlJc w:val="left"/>
      <w:pPr>
        <w:ind w:left="5040" w:hanging="360"/>
      </w:pPr>
    </w:lvl>
    <w:lvl w:ilvl="7" w:tplc="520057A6">
      <w:start w:val="1"/>
      <w:numFmt w:val="lowerLetter"/>
      <w:lvlText w:val="%8."/>
      <w:lvlJc w:val="left"/>
      <w:pPr>
        <w:ind w:left="5760" w:hanging="360"/>
      </w:pPr>
    </w:lvl>
    <w:lvl w:ilvl="8" w:tplc="DD92DC18">
      <w:start w:val="1"/>
      <w:numFmt w:val="lowerRoman"/>
      <w:lvlText w:val="%9."/>
      <w:lvlJc w:val="right"/>
      <w:pPr>
        <w:ind w:left="6480" w:hanging="180"/>
      </w:pPr>
    </w:lvl>
  </w:abstractNum>
  <w:abstractNum w:abstractNumId="200" w15:restartNumberingAfterBreak="0">
    <w:nsid w:val="7DE207F7"/>
    <w:multiLevelType w:val="hybridMultilevel"/>
    <w:tmpl w:val="AFC0DDD0"/>
    <w:lvl w:ilvl="0" w:tplc="9F6C9138">
      <w:start w:val="1"/>
      <w:numFmt w:val="lowerRoman"/>
      <w:lvlText w:val="%1)"/>
      <w:lvlJc w:val="left"/>
      <w:pPr>
        <w:ind w:left="4406" w:hanging="720"/>
      </w:pPr>
      <w:rPr>
        <w:rFonts w:hint="default"/>
        <w:b/>
      </w:rPr>
    </w:lvl>
    <w:lvl w:ilvl="1" w:tplc="240A0019" w:tentative="1">
      <w:start w:val="1"/>
      <w:numFmt w:val="lowerLetter"/>
      <w:lvlText w:val="%2."/>
      <w:lvlJc w:val="left"/>
      <w:pPr>
        <w:ind w:left="4766" w:hanging="360"/>
      </w:pPr>
    </w:lvl>
    <w:lvl w:ilvl="2" w:tplc="240A001B" w:tentative="1">
      <w:start w:val="1"/>
      <w:numFmt w:val="lowerRoman"/>
      <w:lvlText w:val="%3."/>
      <w:lvlJc w:val="right"/>
      <w:pPr>
        <w:ind w:left="5486" w:hanging="180"/>
      </w:pPr>
    </w:lvl>
    <w:lvl w:ilvl="3" w:tplc="240A000F" w:tentative="1">
      <w:start w:val="1"/>
      <w:numFmt w:val="decimal"/>
      <w:lvlText w:val="%4."/>
      <w:lvlJc w:val="left"/>
      <w:pPr>
        <w:ind w:left="6206" w:hanging="360"/>
      </w:pPr>
    </w:lvl>
    <w:lvl w:ilvl="4" w:tplc="240A0019" w:tentative="1">
      <w:start w:val="1"/>
      <w:numFmt w:val="lowerLetter"/>
      <w:lvlText w:val="%5."/>
      <w:lvlJc w:val="left"/>
      <w:pPr>
        <w:ind w:left="6926" w:hanging="360"/>
      </w:pPr>
    </w:lvl>
    <w:lvl w:ilvl="5" w:tplc="240A001B" w:tentative="1">
      <w:start w:val="1"/>
      <w:numFmt w:val="lowerRoman"/>
      <w:lvlText w:val="%6."/>
      <w:lvlJc w:val="right"/>
      <w:pPr>
        <w:ind w:left="7646" w:hanging="180"/>
      </w:pPr>
    </w:lvl>
    <w:lvl w:ilvl="6" w:tplc="240A000F" w:tentative="1">
      <w:start w:val="1"/>
      <w:numFmt w:val="decimal"/>
      <w:lvlText w:val="%7."/>
      <w:lvlJc w:val="left"/>
      <w:pPr>
        <w:ind w:left="8366" w:hanging="360"/>
      </w:pPr>
    </w:lvl>
    <w:lvl w:ilvl="7" w:tplc="240A0019" w:tentative="1">
      <w:start w:val="1"/>
      <w:numFmt w:val="lowerLetter"/>
      <w:lvlText w:val="%8."/>
      <w:lvlJc w:val="left"/>
      <w:pPr>
        <w:ind w:left="9086" w:hanging="360"/>
      </w:pPr>
    </w:lvl>
    <w:lvl w:ilvl="8" w:tplc="240A001B" w:tentative="1">
      <w:start w:val="1"/>
      <w:numFmt w:val="lowerRoman"/>
      <w:lvlText w:val="%9."/>
      <w:lvlJc w:val="right"/>
      <w:pPr>
        <w:ind w:left="9806" w:hanging="180"/>
      </w:pPr>
    </w:lvl>
  </w:abstractNum>
  <w:abstractNum w:abstractNumId="201" w15:restartNumberingAfterBreak="0">
    <w:nsid w:val="7E26440B"/>
    <w:multiLevelType w:val="hybridMultilevel"/>
    <w:tmpl w:val="0CE4EC74"/>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2" w15:restartNumberingAfterBreak="0">
    <w:nsid w:val="7F426512"/>
    <w:multiLevelType w:val="hybridMultilevel"/>
    <w:tmpl w:val="E61C4DEC"/>
    <w:lvl w:ilvl="0" w:tplc="B34C1394">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797914408">
    <w:abstractNumId w:val="52"/>
  </w:num>
  <w:num w:numId="2" w16cid:durableId="195235991">
    <w:abstractNumId w:val="159"/>
  </w:num>
  <w:num w:numId="3" w16cid:durableId="1039626329">
    <w:abstractNumId w:val="95"/>
  </w:num>
  <w:num w:numId="4" w16cid:durableId="2127239097">
    <w:abstractNumId w:val="11"/>
  </w:num>
  <w:num w:numId="5" w16cid:durableId="1266765789">
    <w:abstractNumId w:val="70"/>
  </w:num>
  <w:num w:numId="6" w16cid:durableId="1727295733">
    <w:abstractNumId w:val="51"/>
  </w:num>
  <w:num w:numId="7" w16cid:durableId="942961691">
    <w:abstractNumId w:val="5"/>
  </w:num>
  <w:num w:numId="8" w16cid:durableId="739056606">
    <w:abstractNumId w:val="101"/>
  </w:num>
  <w:num w:numId="9" w16cid:durableId="1485202399">
    <w:abstractNumId w:val="79"/>
  </w:num>
  <w:num w:numId="10" w16cid:durableId="1383628787">
    <w:abstractNumId w:val="83"/>
  </w:num>
  <w:num w:numId="11" w16cid:durableId="1810245906">
    <w:abstractNumId w:val="55"/>
  </w:num>
  <w:num w:numId="12" w16cid:durableId="1324354114">
    <w:abstractNumId w:val="140"/>
  </w:num>
  <w:num w:numId="13" w16cid:durableId="1197742433">
    <w:abstractNumId w:val="163"/>
  </w:num>
  <w:num w:numId="14" w16cid:durableId="1319119014">
    <w:abstractNumId w:val="139"/>
  </w:num>
  <w:num w:numId="15" w16cid:durableId="989362660">
    <w:abstractNumId w:val="53"/>
  </w:num>
  <w:num w:numId="16" w16cid:durableId="379793474">
    <w:abstractNumId w:val="165"/>
  </w:num>
  <w:num w:numId="17" w16cid:durableId="889414605">
    <w:abstractNumId w:val="102"/>
  </w:num>
  <w:num w:numId="18" w16cid:durableId="751707880">
    <w:abstractNumId w:val="114"/>
  </w:num>
  <w:num w:numId="19" w16cid:durableId="2073889228">
    <w:abstractNumId w:val="168"/>
  </w:num>
  <w:num w:numId="20" w16cid:durableId="1589923602">
    <w:abstractNumId w:val="63"/>
  </w:num>
  <w:num w:numId="21" w16cid:durableId="1329863150">
    <w:abstractNumId w:val="187"/>
  </w:num>
  <w:num w:numId="22" w16cid:durableId="1768577473">
    <w:abstractNumId w:val="133"/>
  </w:num>
  <w:num w:numId="23" w16cid:durableId="2085179632">
    <w:abstractNumId w:val="4"/>
  </w:num>
  <w:num w:numId="24" w16cid:durableId="2106802247">
    <w:abstractNumId w:val="41"/>
  </w:num>
  <w:num w:numId="25" w16cid:durableId="1845706271">
    <w:abstractNumId w:val="180"/>
  </w:num>
  <w:num w:numId="26" w16cid:durableId="2068145487">
    <w:abstractNumId w:val="44"/>
  </w:num>
  <w:num w:numId="27" w16cid:durableId="1848516304">
    <w:abstractNumId w:val="173"/>
  </w:num>
  <w:num w:numId="28" w16cid:durableId="47728224">
    <w:abstractNumId w:val="85"/>
  </w:num>
  <w:num w:numId="29" w16cid:durableId="90467117">
    <w:abstractNumId w:val="32"/>
  </w:num>
  <w:num w:numId="30" w16cid:durableId="652950674">
    <w:abstractNumId w:val="49"/>
  </w:num>
  <w:num w:numId="31" w16cid:durableId="1006790859">
    <w:abstractNumId w:val="103"/>
  </w:num>
  <w:num w:numId="32" w16cid:durableId="1609041963">
    <w:abstractNumId w:val="179"/>
  </w:num>
  <w:num w:numId="33" w16cid:durableId="2052262587">
    <w:abstractNumId w:val="156"/>
  </w:num>
  <w:num w:numId="34" w16cid:durableId="1388185874">
    <w:abstractNumId w:val="62"/>
  </w:num>
  <w:num w:numId="35" w16cid:durableId="128327134">
    <w:abstractNumId w:val="14"/>
  </w:num>
  <w:num w:numId="36" w16cid:durableId="141387239">
    <w:abstractNumId w:val="37"/>
  </w:num>
  <w:num w:numId="37" w16cid:durableId="878860596">
    <w:abstractNumId w:val="136"/>
  </w:num>
  <w:num w:numId="38" w16cid:durableId="100615618">
    <w:abstractNumId w:val="15"/>
  </w:num>
  <w:num w:numId="39" w16cid:durableId="182793484">
    <w:abstractNumId w:val="175"/>
  </w:num>
  <w:num w:numId="40" w16cid:durableId="1590890516">
    <w:abstractNumId w:val="69"/>
  </w:num>
  <w:num w:numId="41" w16cid:durableId="126901926">
    <w:abstractNumId w:val="91"/>
  </w:num>
  <w:num w:numId="42" w16cid:durableId="1713462627">
    <w:abstractNumId w:val="190"/>
  </w:num>
  <w:num w:numId="43" w16cid:durableId="1342004535">
    <w:abstractNumId w:val="105"/>
  </w:num>
  <w:num w:numId="44" w16cid:durableId="1948853865">
    <w:abstractNumId w:val="104"/>
  </w:num>
  <w:num w:numId="45" w16cid:durableId="1584529702">
    <w:abstractNumId w:val="66"/>
  </w:num>
  <w:num w:numId="46" w16cid:durableId="565065530">
    <w:abstractNumId w:val="116"/>
  </w:num>
  <w:num w:numId="47" w16cid:durableId="931623282">
    <w:abstractNumId w:val="86"/>
  </w:num>
  <w:num w:numId="48" w16cid:durableId="982540568">
    <w:abstractNumId w:val="202"/>
  </w:num>
  <w:num w:numId="49" w16cid:durableId="2012177502">
    <w:abstractNumId w:val="58"/>
  </w:num>
  <w:num w:numId="50" w16cid:durableId="982931013">
    <w:abstractNumId w:val="75"/>
  </w:num>
  <w:num w:numId="51" w16cid:durableId="948588955">
    <w:abstractNumId w:val="100"/>
  </w:num>
  <w:num w:numId="52" w16cid:durableId="1999920203">
    <w:abstractNumId w:val="50"/>
  </w:num>
  <w:num w:numId="53" w16cid:durableId="1953315219">
    <w:abstractNumId w:val="141"/>
  </w:num>
  <w:num w:numId="54" w16cid:durableId="179127430">
    <w:abstractNumId w:val="193"/>
  </w:num>
  <w:num w:numId="55" w16cid:durableId="918825540">
    <w:abstractNumId w:val="132"/>
  </w:num>
  <w:num w:numId="56" w16cid:durableId="1209146111">
    <w:abstractNumId w:val="94"/>
  </w:num>
  <w:num w:numId="57" w16cid:durableId="1466310531">
    <w:abstractNumId w:val="124"/>
  </w:num>
  <w:num w:numId="58" w16cid:durableId="417096395">
    <w:abstractNumId w:val="177"/>
  </w:num>
  <w:num w:numId="59" w16cid:durableId="751239373">
    <w:abstractNumId w:val="200"/>
  </w:num>
  <w:num w:numId="60" w16cid:durableId="213662210">
    <w:abstractNumId w:val="118"/>
  </w:num>
  <w:num w:numId="61" w16cid:durableId="2111386921">
    <w:abstractNumId w:val="119"/>
  </w:num>
  <w:num w:numId="62" w16cid:durableId="792943093">
    <w:abstractNumId w:val="97"/>
  </w:num>
  <w:num w:numId="63" w16cid:durableId="1745294662">
    <w:abstractNumId w:val="16"/>
  </w:num>
  <w:num w:numId="64" w16cid:durableId="1343165349">
    <w:abstractNumId w:val="82"/>
  </w:num>
  <w:num w:numId="65" w16cid:durableId="710805788">
    <w:abstractNumId w:val="8"/>
  </w:num>
  <w:num w:numId="66" w16cid:durableId="882401673">
    <w:abstractNumId w:val="117"/>
  </w:num>
  <w:num w:numId="67" w16cid:durableId="1676760397">
    <w:abstractNumId w:val="81"/>
  </w:num>
  <w:num w:numId="68" w16cid:durableId="1570726354">
    <w:abstractNumId w:val="28"/>
  </w:num>
  <w:num w:numId="69" w16cid:durableId="62460449">
    <w:abstractNumId w:val="109"/>
  </w:num>
  <w:num w:numId="70" w16cid:durableId="895971196">
    <w:abstractNumId w:val="152"/>
  </w:num>
  <w:num w:numId="71" w16cid:durableId="1560632982">
    <w:abstractNumId w:val="122"/>
  </w:num>
  <w:num w:numId="72" w16cid:durableId="1688290727">
    <w:abstractNumId w:val="31"/>
  </w:num>
  <w:num w:numId="73" w16cid:durableId="2050564161">
    <w:abstractNumId w:val="7"/>
  </w:num>
  <w:num w:numId="74" w16cid:durableId="214508668">
    <w:abstractNumId w:val="57"/>
  </w:num>
  <w:num w:numId="75" w16cid:durableId="2013413318">
    <w:abstractNumId w:val="157"/>
  </w:num>
  <w:num w:numId="76" w16cid:durableId="526724074">
    <w:abstractNumId w:val="1"/>
  </w:num>
  <w:num w:numId="77" w16cid:durableId="13576073">
    <w:abstractNumId w:val="142"/>
  </w:num>
  <w:num w:numId="78" w16cid:durableId="1362777478">
    <w:abstractNumId w:val="128"/>
  </w:num>
  <w:num w:numId="79" w16cid:durableId="36904129">
    <w:abstractNumId w:val="99"/>
  </w:num>
  <w:num w:numId="80" w16cid:durableId="17856457">
    <w:abstractNumId w:val="138"/>
  </w:num>
  <w:num w:numId="81" w16cid:durableId="1356613147">
    <w:abstractNumId w:val="23"/>
  </w:num>
  <w:num w:numId="82" w16cid:durableId="1321890615">
    <w:abstractNumId w:val="27"/>
  </w:num>
  <w:num w:numId="83" w16cid:durableId="579143655">
    <w:abstractNumId w:val="137"/>
  </w:num>
  <w:num w:numId="84" w16cid:durableId="891817961">
    <w:abstractNumId w:val="112"/>
  </w:num>
  <w:num w:numId="85" w16cid:durableId="644504717">
    <w:abstractNumId w:val="106"/>
  </w:num>
  <w:num w:numId="86" w16cid:durableId="1318723195">
    <w:abstractNumId w:val="188"/>
  </w:num>
  <w:num w:numId="87" w16cid:durableId="1461801984">
    <w:abstractNumId w:val="195"/>
  </w:num>
  <w:num w:numId="88" w16cid:durableId="1701584468">
    <w:abstractNumId w:val="59"/>
  </w:num>
  <w:num w:numId="89" w16cid:durableId="1836802239">
    <w:abstractNumId w:val="24"/>
  </w:num>
  <w:num w:numId="90" w16cid:durableId="1624577009">
    <w:abstractNumId w:val="13"/>
  </w:num>
  <w:num w:numId="91" w16cid:durableId="7608486">
    <w:abstractNumId w:val="191"/>
  </w:num>
  <w:num w:numId="92" w16cid:durableId="1253319959">
    <w:abstractNumId w:val="108"/>
  </w:num>
  <w:num w:numId="93" w16cid:durableId="1296523336">
    <w:abstractNumId w:val="145"/>
  </w:num>
  <w:num w:numId="94" w16cid:durableId="1679844624">
    <w:abstractNumId w:val="167"/>
  </w:num>
  <w:num w:numId="95" w16cid:durableId="944842654">
    <w:abstractNumId w:val="194"/>
  </w:num>
  <w:num w:numId="96" w16cid:durableId="1226644240">
    <w:abstractNumId w:val="54"/>
  </w:num>
  <w:num w:numId="97" w16cid:durableId="934509004">
    <w:abstractNumId w:val="22"/>
  </w:num>
  <w:num w:numId="98" w16cid:durableId="1856381482">
    <w:abstractNumId w:val="45"/>
  </w:num>
  <w:num w:numId="99" w16cid:durableId="582682302">
    <w:abstractNumId w:val="153"/>
  </w:num>
  <w:num w:numId="100" w16cid:durableId="687758799">
    <w:abstractNumId w:val="6"/>
  </w:num>
  <w:num w:numId="101" w16cid:durableId="459032879">
    <w:abstractNumId w:val="71"/>
  </w:num>
  <w:num w:numId="102" w16cid:durableId="1297448603">
    <w:abstractNumId w:val="67"/>
  </w:num>
  <w:num w:numId="103" w16cid:durableId="914707773">
    <w:abstractNumId w:val="29"/>
  </w:num>
  <w:num w:numId="104" w16cid:durableId="591668571">
    <w:abstractNumId w:val="19"/>
  </w:num>
  <w:num w:numId="105" w16cid:durableId="823357840">
    <w:abstractNumId w:val="33"/>
  </w:num>
  <w:num w:numId="106" w16cid:durableId="1421950394">
    <w:abstractNumId w:val="164"/>
  </w:num>
  <w:num w:numId="107" w16cid:durableId="1646470510">
    <w:abstractNumId w:val="127"/>
  </w:num>
  <w:num w:numId="108" w16cid:durableId="1650868502">
    <w:abstractNumId w:val="77"/>
  </w:num>
  <w:num w:numId="109" w16cid:durableId="1162307348">
    <w:abstractNumId w:val="144"/>
  </w:num>
  <w:num w:numId="110" w16cid:durableId="420835797">
    <w:abstractNumId w:val="43"/>
  </w:num>
  <w:num w:numId="111" w16cid:durableId="1842965782">
    <w:abstractNumId w:val="158"/>
  </w:num>
  <w:num w:numId="112" w16cid:durableId="431241004">
    <w:abstractNumId w:val="120"/>
  </w:num>
  <w:num w:numId="113" w16cid:durableId="1381980715">
    <w:abstractNumId w:val="60"/>
  </w:num>
  <w:num w:numId="114" w16cid:durableId="1050954504">
    <w:abstractNumId w:val="56"/>
  </w:num>
  <w:num w:numId="115" w16cid:durableId="1869370324">
    <w:abstractNumId w:val="76"/>
  </w:num>
  <w:num w:numId="116" w16cid:durableId="1457990894">
    <w:abstractNumId w:val="130"/>
  </w:num>
  <w:num w:numId="117" w16cid:durableId="1637250502">
    <w:abstractNumId w:val="80"/>
  </w:num>
  <w:num w:numId="118" w16cid:durableId="495342836">
    <w:abstractNumId w:val="143"/>
  </w:num>
  <w:num w:numId="119" w16cid:durableId="943655362">
    <w:abstractNumId w:val="113"/>
  </w:num>
  <w:num w:numId="120" w16cid:durableId="1894848560">
    <w:abstractNumId w:val="98"/>
  </w:num>
  <w:num w:numId="121" w16cid:durableId="2099642683">
    <w:abstractNumId w:val="186"/>
  </w:num>
  <w:num w:numId="122" w16cid:durableId="2074426656">
    <w:abstractNumId w:val="84"/>
  </w:num>
  <w:num w:numId="123" w16cid:durableId="1166744371">
    <w:abstractNumId w:val="151"/>
  </w:num>
  <w:num w:numId="124" w16cid:durableId="535771442">
    <w:abstractNumId w:val="25"/>
  </w:num>
  <w:num w:numId="125" w16cid:durableId="302732948">
    <w:abstractNumId w:val="185"/>
  </w:num>
  <w:num w:numId="126" w16cid:durableId="379135173">
    <w:abstractNumId w:val="121"/>
  </w:num>
  <w:num w:numId="127" w16cid:durableId="1266114281">
    <w:abstractNumId w:val="20"/>
  </w:num>
  <w:num w:numId="128" w16cid:durableId="287130404">
    <w:abstractNumId w:val="147"/>
  </w:num>
  <w:num w:numId="129" w16cid:durableId="691302983">
    <w:abstractNumId w:val="74"/>
  </w:num>
  <w:num w:numId="130" w16cid:durableId="1164274773">
    <w:abstractNumId w:val="171"/>
  </w:num>
  <w:num w:numId="131" w16cid:durableId="877208738">
    <w:abstractNumId w:val="42"/>
  </w:num>
  <w:num w:numId="132" w16cid:durableId="1490176507">
    <w:abstractNumId w:val="184"/>
  </w:num>
  <w:num w:numId="133" w16cid:durableId="1162966253">
    <w:abstractNumId w:val="161"/>
  </w:num>
  <w:num w:numId="134" w16cid:durableId="1476222814">
    <w:abstractNumId w:val="183"/>
  </w:num>
  <w:num w:numId="135" w16cid:durableId="393163310">
    <w:abstractNumId w:val="90"/>
  </w:num>
  <w:num w:numId="136" w16cid:durableId="1850173237">
    <w:abstractNumId w:val="107"/>
  </w:num>
  <w:num w:numId="137" w16cid:durableId="97875406">
    <w:abstractNumId w:val="93"/>
  </w:num>
  <w:num w:numId="138" w16cid:durableId="369113978">
    <w:abstractNumId w:val="201"/>
  </w:num>
  <w:num w:numId="139" w16cid:durableId="884365342">
    <w:abstractNumId w:val="134"/>
  </w:num>
  <w:num w:numId="140" w16cid:durableId="683672699">
    <w:abstractNumId w:val="30"/>
  </w:num>
  <w:num w:numId="141" w16cid:durableId="1719426444">
    <w:abstractNumId w:val="174"/>
  </w:num>
  <w:num w:numId="142" w16cid:durableId="1530534273">
    <w:abstractNumId w:val="21"/>
  </w:num>
  <w:num w:numId="143" w16cid:durableId="1894658160">
    <w:abstractNumId w:val="115"/>
  </w:num>
  <w:num w:numId="144" w16cid:durableId="105320609">
    <w:abstractNumId w:val="155"/>
  </w:num>
  <w:num w:numId="145" w16cid:durableId="1832912683">
    <w:abstractNumId w:val="192"/>
  </w:num>
  <w:num w:numId="146" w16cid:durableId="1332028672">
    <w:abstractNumId w:val="38"/>
  </w:num>
  <w:num w:numId="147" w16cid:durableId="1777821592">
    <w:abstractNumId w:val="199"/>
  </w:num>
  <w:num w:numId="148" w16cid:durableId="1991128929">
    <w:abstractNumId w:val="87"/>
  </w:num>
  <w:num w:numId="149" w16cid:durableId="1580870157">
    <w:abstractNumId w:val="18"/>
  </w:num>
  <w:num w:numId="150" w16cid:durableId="745079809">
    <w:abstractNumId w:val="149"/>
  </w:num>
  <w:num w:numId="151" w16cid:durableId="2041278842">
    <w:abstractNumId w:val="47"/>
  </w:num>
  <w:num w:numId="152" w16cid:durableId="85999522">
    <w:abstractNumId w:val="182"/>
  </w:num>
  <w:num w:numId="153" w16cid:durableId="1695231165">
    <w:abstractNumId w:val="166"/>
  </w:num>
  <w:num w:numId="154" w16cid:durableId="2010331303">
    <w:abstractNumId w:val="172"/>
  </w:num>
  <w:num w:numId="155" w16cid:durableId="217866157">
    <w:abstractNumId w:val="26"/>
  </w:num>
  <w:num w:numId="156" w16cid:durableId="983580210">
    <w:abstractNumId w:val="197"/>
  </w:num>
  <w:num w:numId="157" w16cid:durableId="875385733">
    <w:abstractNumId w:val="126"/>
  </w:num>
  <w:num w:numId="158" w16cid:durableId="590314275">
    <w:abstractNumId w:val="125"/>
  </w:num>
  <w:num w:numId="159" w16cid:durableId="1040474973">
    <w:abstractNumId w:val="146"/>
  </w:num>
  <w:num w:numId="160" w16cid:durableId="648900206">
    <w:abstractNumId w:val="35"/>
  </w:num>
  <w:num w:numId="161" w16cid:durableId="1375421670">
    <w:abstractNumId w:val="36"/>
  </w:num>
  <w:num w:numId="162" w16cid:durableId="1769426697">
    <w:abstractNumId w:val="65"/>
  </w:num>
  <w:num w:numId="163" w16cid:durableId="1424958605">
    <w:abstractNumId w:val="17"/>
  </w:num>
  <w:num w:numId="164" w16cid:durableId="1132554983">
    <w:abstractNumId w:val="129"/>
  </w:num>
  <w:num w:numId="165" w16cid:durableId="200021183">
    <w:abstractNumId w:val="111"/>
  </w:num>
  <w:num w:numId="166" w16cid:durableId="1948191204">
    <w:abstractNumId w:val="40"/>
  </w:num>
  <w:num w:numId="167" w16cid:durableId="1872767098">
    <w:abstractNumId w:val="169"/>
  </w:num>
  <w:num w:numId="168" w16cid:durableId="227348474">
    <w:abstractNumId w:val="46"/>
  </w:num>
  <w:num w:numId="169" w16cid:durableId="120734145">
    <w:abstractNumId w:val="154"/>
  </w:num>
  <w:num w:numId="170" w16cid:durableId="541476203">
    <w:abstractNumId w:val="131"/>
  </w:num>
  <w:num w:numId="171" w16cid:durableId="539778589">
    <w:abstractNumId w:val="78"/>
  </w:num>
  <w:num w:numId="172" w16cid:durableId="2015766679">
    <w:abstractNumId w:val="135"/>
  </w:num>
  <w:num w:numId="173" w16cid:durableId="1570311502">
    <w:abstractNumId w:val="2"/>
  </w:num>
  <w:num w:numId="174" w16cid:durableId="344022390">
    <w:abstractNumId w:val="3"/>
  </w:num>
  <w:num w:numId="175" w16cid:durableId="712921694">
    <w:abstractNumId w:val="0"/>
  </w:num>
  <w:num w:numId="176" w16cid:durableId="877014313">
    <w:abstractNumId w:val="48"/>
  </w:num>
  <w:num w:numId="177" w16cid:durableId="1354650295">
    <w:abstractNumId w:val="160"/>
  </w:num>
  <w:num w:numId="178" w16cid:durableId="567502024">
    <w:abstractNumId w:val="196"/>
  </w:num>
  <w:num w:numId="179" w16cid:durableId="7486745">
    <w:abstractNumId w:val="170"/>
  </w:num>
  <w:num w:numId="180" w16cid:durableId="1492715931">
    <w:abstractNumId w:val="150"/>
  </w:num>
  <w:num w:numId="181" w16cid:durableId="92408100">
    <w:abstractNumId w:val="10"/>
  </w:num>
  <w:num w:numId="182" w16cid:durableId="408159579">
    <w:abstractNumId w:val="72"/>
  </w:num>
  <w:num w:numId="183" w16cid:durableId="2075926496">
    <w:abstractNumId w:val="34"/>
  </w:num>
  <w:num w:numId="184" w16cid:durableId="1022710066">
    <w:abstractNumId w:val="88"/>
  </w:num>
  <w:num w:numId="185" w16cid:durableId="335425364">
    <w:abstractNumId w:val="39"/>
  </w:num>
  <w:num w:numId="186" w16cid:durableId="538591504">
    <w:abstractNumId w:val="178"/>
  </w:num>
  <w:num w:numId="187" w16cid:durableId="579563165">
    <w:abstractNumId w:val="148"/>
  </w:num>
  <w:num w:numId="188" w16cid:durableId="850024174">
    <w:abstractNumId w:val="162"/>
  </w:num>
  <w:num w:numId="189" w16cid:durableId="407381602">
    <w:abstractNumId w:val="9"/>
  </w:num>
  <w:num w:numId="190" w16cid:durableId="228539648">
    <w:abstractNumId w:val="176"/>
  </w:num>
  <w:num w:numId="191" w16cid:durableId="1551500243">
    <w:abstractNumId w:val="73"/>
  </w:num>
  <w:num w:numId="192" w16cid:durableId="1502505371">
    <w:abstractNumId w:val="110"/>
  </w:num>
  <w:num w:numId="193" w16cid:durableId="2101558167">
    <w:abstractNumId w:val="61"/>
  </w:num>
  <w:num w:numId="194" w16cid:durableId="1828595188">
    <w:abstractNumId w:val="96"/>
  </w:num>
  <w:num w:numId="195" w16cid:durableId="583878685">
    <w:abstractNumId w:val="12"/>
  </w:num>
  <w:num w:numId="196" w16cid:durableId="1383555579">
    <w:abstractNumId w:val="198"/>
  </w:num>
  <w:num w:numId="197" w16cid:durableId="1034312444">
    <w:abstractNumId w:val="181"/>
  </w:num>
  <w:num w:numId="198" w16cid:durableId="1580945561">
    <w:abstractNumId w:val="92"/>
  </w:num>
  <w:num w:numId="199" w16cid:durableId="400059917">
    <w:abstractNumId w:val="64"/>
  </w:num>
  <w:num w:numId="200" w16cid:durableId="1184586879">
    <w:abstractNumId w:val="68"/>
  </w:num>
  <w:num w:numId="201" w16cid:durableId="34430864">
    <w:abstractNumId w:val="189"/>
  </w:num>
  <w:num w:numId="202" w16cid:durableId="1473861880">
    <w:abstractNumId w:val="89"/>
  </w:num>
  <w:num w:numId="203" w16cid:durableId="1449155811">
    <w:abstractNumId w:val="123"/>
  </w:num>
  <w:numIdMacAtCleanup w:val="2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activeWritingStyle w:appName="MSWord" w:lang="es-MX" w:vendorID="64" w:dllVersion="0" w:nlCheck="1" w:checkStyle="0"/>
  <w:activeWritingStyle w:appName="MSWord" w:lang="es-CO"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pt-BR" w:vendorID="64" w:dllVersion="0" w:nlCheck="1" w:checkStyle="0"/>
  <w:activeWritingStyle w:appName="MSWord" w:lang="en-US" w:vendorID="64" w:dllVersion="0" w:nlCheck="1" w:checkStyle="0"/>
  <w:activeWritingStyle w:appName="MSWord" w:lang="fr-FR" w:vendorID="64" w:dllVersion="0" w:nlCheck="1" w:checkStyle="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BF9"/>
    <w:rsid w:val="00000279"/>
    <w:rsid w:val="00000422"/>
    <w:rsid w:val="000004FA"/>
    <w:rsid w:val="000007A8"/>
    <w:rsid w:val="0000095F"/>
    <w:rsid w:val="00000A47"/>
    <w:rsid w:val="00000AE8"/>
    <w:rsid w:val="00000AEA"/>
    <w:rsid w:val="00000F29"/>
    <w:rsid w:val="000010A3"/>
    <w:rsid w:val="000011DA"/>
    <w:rsid w:val="000013BE"/>
    <w:rsid w:val="00001406"/>
    <w:rsid w:val="000014DA"/>
    <w:rsid w:val="000015C5"/>
    <w:rsid w:val="00001628"/>
    <w:rsid w:val="00001957"/>
    <w:rsid w:val="00001B5B"/>
    <w:rsid w:val="00001EB7"/>
    <w:rsid w:val="0000216A"/>
    <w:rsid w:val="00002626"/>
    <w:rsid w:val="00002A8D"/>
    <w:rsid w:val="00002AC2"/>
    <w:rsid w:val="00002B87"/>
    <w:rsid w:val="00003056"/>
    <w:rsid w:val="000031D8"/>
    <w:rsid w:val="000031FF"/>
    <w:rsid w:val="00003B5B"/>
    <w:rsid w:val="000042B8"/>
    <w:rsid w:val="000042D3"/>
    <w:rsid w:val="00004347"/>
    <w:rsid w:val="0000435C"/>
    <w:rsid w:val="000045F2"/>
    <w:rsid w:val="00004941"/>
    <w:rsid w:val="00004D6E"/>
    <w:rsid w:val="00004E71"/>
    <w:rsid w:val="00004EFC"/>
    <w:rsid w:val="00005318"/>
    <w:rsid w:val="000054C6"/>
    <w:rsid w:val="00005687"/>
    <w:rsid w:val="00005874"/>
    <w:rsid w:val="00005893"/>
    <w:rsid w:val="00005B23"/>
    <w:rsid w:val="00005B4F"/>
    <w:rsid w:val="00005B8B"/>
    <w:rsid w:val="00005D94"/>
    <w:rsid w:val="00005DEA"/>
    <w:rsid w:val="00005EEE"/>
    <w:rsid w:val="00005FC5"/>
    <w:rsid w:val="00005FCB"/>
    <w:rsid w:val="00006241"/>
    <w:rsid w:val="00006433"/>
    <w:rsid w:val="0000650A"/>
    <w:rsid w:val="00006745"/>
    <w:rsid w:val="0000678A"/>
    <w:rsid w:val="00006852"/>
    <w:rsid w:val="0000688C"/>
    <w:rsid w:val="00006E67"/>
    <w:rsid w:val="00006F1B"/>
    <w:rsid w:val="00007038"/>
    <w:rsid w:val="0000749B"/>
    <w:rsid w:val="0000799F"/>
    <w:rsid w:val="00007C24"/>
    <w:rsid w:val="0001000A"/>
    <w:rsid w:val="00010B54"/>
    <w:rsid w:val="00010C00"/>
    <w:rsid w:val="00010CC2"/>
    <w:rsid w:val="00010FC0"/>
    <w:rsid w:val="00011320"/>
    <w:rsid w:val="000113D3"/>
    <w:rsid w:val="000115DC"/>
    <w:rsid w:val="00011A1E"/>
    <w:rsid w:val="00011ADC"/>
    <w:rsid w:val="00011CB1"/>
    <w:rsid w:val="00011F6A"/>
    <w:rsid w:val="000120DE"/>
    <w:rsid w:val="00012233"/>
    <w:rsid w:val="00012547"/>
    <w:rsid w:val="00012571"/>
    <w:rsid w:val="00012B64"/>
    <w:rsid w:val="00012C1D"/>
    <w:rsid w:val="00012D35"/>
    <w:rsid w:val="00012E5E"/>
    <w:rsid w:val="0001300F"/>
    <w:rsid w:val="000132AA"/>
    <w:rsid w:val="000132C4"/>
    <w:rsid w:val="000132FB"/>
    <w:rsid w:val="00013616"/>
    <w:rsid w:val="0001365F"/>
    <w:rsid w:val="00013892"/>
    <w:rsid w:val="00013C17"/>
    <w:rsid w:val="00013DE6"/>
    <w:rsid w:val="00013E45"/>
    <w:rsid w:val="0001401A"/>
    <w:rsid w:val="00014084"/>
    <w:rsid w:val="00014793"/>
    <w:rsid w:val="00014B31"/>
    <w:rsid w:val="00014C4E"/>
    <w:rsid w:val="00014CA5"/>
    <w:rsid w:val="000152B6"/>
    <w:rsid w:val="0001533B"/>
    <w:rsid w:val="00015710"/>
    <w:rsid w:val="00015757"/>
    <w:rsid w:val="0001582F"/>
    <w:rsid w:val="0001583C"/>
    <w:rsid w:val="00016172"/>
    <w:rsid w:val="0001629B"/>
    <w:rsid w:val="00016723"/>
    <w:rsid w:val="00016B90"/>
    <w:rsid w:val="00016C48"/>
    <w:rsid w:val="00016CB2"/>
    <w:rsid w:val="00016FB7"/>
    <w:rsid w:val="00017081"/>
    <w:rsid w:val="000170BC"/>
    <w:rsid w:val="00017A6D"/>
    <w:rsid w:val="00017DEE"/>
    <w:rsid w:val="00017ED7"/>
    <w:rsid w:val="000201B1"/>
    <w:rsid w:val="00020476"/>
    <w:rsid w:val="00020526"/>
    <w:rsid w:val="000205D9"/>
    <w:rsid w:val="00020899"/>
    <w:rsid w:val="00020933"/>
    <w:rsid w:val="00020DEA"/>
    <w:rsid w:val="00020F08"/>
    <w:rsid w:val="000211CF"/>
    <w:rsid w:val="0002138C"/>
    <w:rsid w:val="0002149D"/>
    <w:rsid w:val="0002153B"/>
    <w:rsid w:val="00021C97"/>
    <w:rsid w:val="00021FD7"/>
    <w:rsid w:val="00021FEF"/>
    <w:rsid w:val="00022337"/>
    <w:rsid w:val="00022488"/>
    <w:rsid w:val="000227AA"/>
    <w:rsid w:val="00022954"/>
    <w:rsid w:val="00022D8F"/>
    <w:rsid w:val="00022E07"/>
    <w:rsid w:val="00022F2C"/>
    <w:rsid w:val="0002334D"/>
    <w:rsid w:val="000234B1"/>
    <w:rsid w:val="00023673"/>
    <w:rsid w:val="000236CA"/>
    <w:rsid w:val="00023981"/>
    <w:rsid w:val="000239A4"/>
    <w:rsid w:val="00023ED4"/>
    <w:rsid w:val="00023F81"/>
    <w:rsid w:val="000246DC"/>
    <w:rsid w:val="00024BC3"/>
    <w:rsid w:val="00024CE4"/>
    <w:rsid w:val="00024DE7"/>
    <w:rsid w:val="00025081"/>
    <w:rsid w:val="0002538C"/>
    <w:rsid w:val="000253FC"/>
    <w:rsid w:val="0002591C"/>
    <w:rsid w:val="00025A67"/>
    <w:rsid w:val="00025A7C"/>
    <w:rsid w:val="00025AC5"/>
    <w:rsid w:val="00025DCB"/>
    <w:rsid w:val="00025F84"/>
    <w:rsid w:val="00025FDC"/>
    <w:rsid w:val="00025FE6"/>
    <w:rsid w:val="00026013"/>
    <w:rsid w:val="000261E4"/>
    <w:rsid w:val="00026256"/>
    <w:rsid w:val="0002633B"/>
    <w:rsid w:val="00026360"/>
    <w:rsid w:val="00026383"/>
    <w:rsid w:val="00026552"/>
    <w:rsid w:val="000265E9"/>
    <w:rsid w:val="00026672"/>
    <w:rsid w:val="0002668D"/>
    <w:rsid w:val="00026803"/>
    <w:rsid w:val="00026A07"/>
    <w:rsid w:val="00026AB0"/>
    <w:rsid w:val="00026B77"/>
    <w:rsid w:val="00026FB2"/>
    <w:rsid w:val="00027052"/>
    <w:rsid w:val="000273F2"/>
    <w:rsid w:val="000275C4"/>
    <w:rsid w:val="00027701"/>
    <w:rsid w:val="000277BC"/>
    <w:rsid w:val="000277BD"/>
    <w:rsid w:val="0002790C"/>
    <w:rsid w:val="00027B55"/>
    <w:rsid w:val="00027BCB"/>
    <w:rsid w:val="00027F4D"/>
    <w:rsid w:val="00030077"/>
    <w:rsid w:val="000301E7"/>
    <w:rsid w:val="00030332"/>
    <w:rsid w:val="0003040F"/>
    <w:rsid w:val="0003049F"/>
    <w:rsid w:val="000304E6"/>
    <w:rsid w:val="000308A5"/>
    <w:rsid w:val="00030B13"/>
    <w:rsid w:val="00030CD9"/>
    <w:rsid w:val="00030EC4"/>
    <w:rsid w:val="000311EF"/>
    <w:rsid w:val="00031246"/>
    <w:rsid w:val="000313F5"/>
    <w:rsid w:val="000314C2"/>
    <w:rsid w:val="000314CE"/>
    <w:rsid w:val="00031611"/>
    <w:rsid w:val="00031617"/>
    <w:rsid w:val="0003189F"/>
    <w:rsid w:val="00031FE4"/>
    <w:rsid w:val="00032496"/>
    <w:rsid w:val="00032616"/>
    <w:rsid w:val="00032663"/>
    <w:rsid w:val="0003267B"/>
    <w:rsid w:val="00032A54"/>
    <w:rsid w:val="00032AC3"/>
    <w:rsid w:val="00032BE9"/>
    <w:rsid w:val="00032D32"/>
    <w:rsid w:val="00032E03"/>
    <w:rsid w:val="00032E09"/>
    <w:rsid w:val="00032FF5"/>
    <w:rsid w:val="00033166"/>
    <w:rsid w:val="000331DC"/>
    <w:rsid w:val="00033238"/>
    <w:rsid w:val="0003360E"/>
    <w:rsid w:val="00033797"/>
    <w:rsid w:val="00033AE7"/>
    <w:rsid w:val="00033B5B"/>
    <w:rsid w:val="00033CC5"/>
    <w:rsid w:val="00034329"/>
    <w:rsid w:val="0003448D"/>
    <w:rsid w:val="000347C6"/>
    <w:rsid w:val="00034B34"/>
    <w:rsid w:val="00034BE5"/>
    <w:rsid w:val="00034E23"/>
    <w:rsid w:val="00034F49"/>
    <w:rsid w:val="0003590E"/>
    <w:rsid w:val="00035A87"/>
    <w:rsid w:val="00035B8C"/>
    <w:rsid w:val="00035B9D"/>
    <w:rsid w:val="00035C47"/>
    <w:rsid w:val="00036055"/>
    <w:rsid w:val="000361DB"/>
    <w:rsid w:val="000361EC"/>
    <w:rsid w:val="0003625B"/>
    <w:rsid w:val="00036371"/>
    <w:rsid w:val="000363BC"/>
    <w:rsid w:val="00036574"/>
    <w:rsid w:val="00036607"/>
    <w:rsid w:val="000366E4"/>
    <w:rsid w:val="000369AD"/>
    <w:rsid w:val="00036EB7"/>
    <w:rsid w:val="00037023"/>
    <w:rsid w:val="00037300"/>
    <w:rsid w:val="000373B4"/>
    <w:rsid w:val="00037713"/>
    <w:rsid w:val="000379D9"/>
    <w:rsid w:val="00037A09"/>
    <w:rsid w:val="00037C64"/>
    <w:rsid w:val="00037E21"/>
    <w:rsid w:val="00040000"/>
    <w:rsid w:val="0004004C"/>
    <w:rsid w:val="00040407"/>
    <w:rsid w:val="00040734"/>
    <w:rsid w:val="00040A87"/>
    <w:rsid w:val="00040BF2"/>
    <w:rsid w:val="00040C34"/>
    <w:rsid w:val="00040CE8"/>
    <w:rsid w:val="00040D02"/>
    <w:rsid w:val="00040DEA"/>
    <w:rsid w:val="00040F55"/>
    <w:rsid w:val="00040F59"/>
    <w:rsid w:val="00040F5E"/>
    <w:rsid w:val="00040FE5"/>
    <w:rsid w:val="00040FEB"/>
    <w:rsid w:val="00041135"/>
    <w:rsid w:val="000419F7"/>
    <w:rsid w:val="00041E74"/>
    <w:rsid w:val="00041F90"/>
    <w:rsid w:val="00041FD0"/>
    <w:rsid w:val="0004241C"/>
    <w:rsid w:val="000425A7"/>
    <w:rsid w:val="000426D6"/>
    <w:rsid w:val="000426EB"/>
    <w:rsid w:val="00042A6A"/>
    <w:rsid w:val="00042AB4"/>
    <w:rsid w:val="0004302E"/>
    <w:rsid w:val="00043359"/>
    <w:rsid w:val="00043447"/>
    <w:rsid w:val="00043677"/>
    <w:rsid w:val="000438B4"/>
    <w:rsid w:val="00043AA6"/>
    <w:rsid w:val="00043B6F"/>
    <w:rsid w:val="00043E2A"/>
    <w:rsid w:val="00043F24"/>
    <w:rsid w:val="00043F31"/>
    <w:rsid w:val="0004405A"/>
    <w:rsid w:val="000440EB"/>
    <w:rsid w:val="00044401"/>
    <w:rsid w:val="00044980"/>
    <w:rsid w:val="00044A2C"/>
    <w:rsid w:val="00044C3C"/>
    <w:rsid w:val="00045176"/>
    <w:rsid w:val="0004530F"/>
    <w:rsid w:val="0004531A"/>
    <w:rsid w:val="00045378"/>
    <w:rsid w:val="0004538C"/>
    <w:rsid w:val="000455BB"/>
    <w:rsid w:val="00045681"/>
    <w:rsid w:val="000456D8"/>
    <w:rsid w:val="0004571B"/>
    <w:rsid w:val="00045754"/>
    <w:rsid w:val="000459D6"/>
    <w:rsid w:val="00045D67"/>
    <w:rsid w:val="00045D78"/>
    <w:rsid w:val="00045DCE"/>
    <w:rsid w:val="00045FB4"/>
    <w:rsid w:val="000462E7"/>
    <w:rsid w:val="00046496"/>
    <w:rsid w:val="000465C6"/>
    <w:rsid w:val="00046617"/>
    <w:rsid w:val="000467ED"/>
    <w:rsid w:val="00046843"/>
    <w:rsid w:val="000469E6"/>
    <w:rsid w:val="00046B43"/>
    <w:rsid w:val="00046BAD"/>
    <w:rsid w:val="00046BBA"/>
    <w:rsid w:val="00046D92"/>
    <w:rsid w:val="00047126"/>
    <w:rsid w:val="000472F2"/>
    <w:rsid w:val="00047366"/>
    <w:rsid w:val="000477BC"/>
    <w:rsid w:val="00047A7C"/>
    <w:rsid w:val="00047ACE"/>
    <w:rsid w:val="00047C32"/>
    <w:rsid w:val="00047CE5"/>
    <w:rsid w:val="000501FA"/>
    <w:rsid w:val="00050420"/>
    <w:rsid w:val="00050602"/>
    <w:rsid w:val="0005060A"/>
    <w:rsid w:val="00050729"/>
    <w:rsid w:val="00050748"/>
    <w:rsid w:val="0005087D"/>
    <w:rsid w:val="000509CC"/>
    <w:rsid w:val="000509D9"/>
    <w:rsid w:val="000509FD"/>
    <w:rsid w:val="00050E3D"/>
    <w:rsid w:val="00050EA4"/>
    <w:rsid w:val="00050ECE"/>
    <w:rsid w:val="00050F78"/>
    <w:rsid w:val="00051188"/>
    <w:rsid w:val="0005119E"/>
    <w:rsid w:val="00051230"/>
    <w:rsid w:val="0005138C"/>
    <w:rsid w:val="000514B1"/>
    <w:rsid w:val="000514BE"/>
    <w:rsid w:val="00051977"/>
    <w:rsid w:val="00051B39"/>
    <w:rsid w:val="00051B55"/>
    <w:rsid w:val="00051FF0"/>
    <w:rsid w:val="000520CD"/>
    <w:rsid w:val="000521B6"/>
    <w:rsid w:val="000522B2"/>
    <w:rsid w:val="000523A5"/>
    <w:rsid w:val="0005266F"/>
    <w:rsid w:val="000529C2"/>
    <w:rsid w:val="00052A49"/>
    <w:rsid w:val="00052BC5"/>
    <w:rsid w:val="00052F5E"/>
    <w:rsid w:val="0005321E"/>
    <w:rsid w:val="0005347D"/>
    <w:rsid w:val="000534D6"/>
    <w:rsid w:val="0005350C"/>
    <w:rsid w:val="0005355D"/>
    <w:rsid w:val="000536E3"/>
    <w:rsid w:val="00053784"/>
    <w:rsid w:val="000537DF"/>
    <w:rsid w:val="00053D6D"/>
    <w:rsid w:val="00053E1B"/>
    <w:rsid w:val="00053E2D"/>
    <w:rsid w:val="0005408C"/>
    <w:rsid w:val="0005411B"/>
    <w:rsid w:val="0005415E"/>
    <w:rsid w:val="000547FE"/>
    <w:rsid w:val="0005494D"/>
    <w:rsid w:val="00054A1F"/>
    <w:rsid w:val="00054B19"/>
    <w:rsid w:val="00054B35"/>
    <w:rsid w:val="00054F9B"/>
    <w:rsid w:val="000551D7"/>
    <w:rsid w:val="00055420"/>
    <w:rsid w:val="00055D01"/>
    <w:rsid w:val="00055D42"/>
    <w:rsid w:val="00055DE6"/>
    <w:rsid w:val="00055EAB"/>
    <w:rsid w:val="00055F20"/>
    <w:rsid w:val="00056105"/>
    <w:rsid w:val="00056119"/>
    <w:rsid w:val="000562A6"/>
    <w:rsid w:val="0005630E"/>
    <w:rsid w:val="000563E0"/>
    <w:rsid w:val="0005640D"/>
    <w:rsid w:val="0005676D"/>
    <w:rsid w:val="0005679F"/>
    <w:rsid w:val="00056841"/>
    <w:rsid w:val="000568B3"/>
    <w:rsid w:val="000569E7"/>
    <w:rsid w:val="00056E2D"/>
    <w:rsid w:val="00057014"/>
    <w:rsid w:val="0005714B"/>
    <w:rsid w:val="00057235"/>
    <w:rsid w:val="00057455"/>
    <w:rsid w:val="0005748C"/>
    <w:rsid w:val="00057523"/>
    <w:rsid w:val="000575B7"/>
    <w:rsid w:val="000576C0"/>
    <w:rsid w:val="00057926"/>
    <w:rsid w:val="00057960"/>
    <w:rsid w:val="000579EF"/>
    <w:rsid w:val="00057A18"/>
    <w:rsid w:val="000601D3"/>
    <w:rsid w:val="00060521"/>
    <w:rsid w:val="000605C5"/>
    <w:rsid w:val="00060772"/>
    <w:rsid w:val="0006097E"/>
    <w:rsid w:val="00060A00"/>
    <w:rsid w:val="00060DC4"/>
    <w:rsid w:val="00060F17"/>
    <w:rsid w:val="000615C9"/>
    <w:rsid w:val="00061F21"/>
    <w:rsid w:val="00062448"/>
    <w:rsid w:val="000624F9"/>
    <w:rsid w:val="000624FC"/>
    <w:rsid w:val="00062603"/>
    <w:rsid w:val="0006271D"/>
    <w:rsid w:val="00062D48"/>
    <w:rsid w:val="00062F63"/>
    <w:rsid w:val="00063114"/>
    <w:rsid w:val="00063415"/>
    <w:rsid w:val="0006343D"/>
    <w:rsid w:val="00063452"/>
    <w:rsid w:val="0006350E"/>
    <w:rsid w:val="00063588"/>
    <w:rsid w:val="00063717"/>
    <w:rsid w:val="000638ED"/>
    <w:rsid w:val="00063E5A"/>
    <w:rsid w:val="00064081"/>
    <w:rsid w:val="000640AC"/>
    <w:rsid w:val="00064268"/>
    <w:rsid w:val="000645D3"/>
    <w:rsid w:val="000646C9"/>
    <w:rsid w:val="00064715"/>
    <w:rsid w:val="000648BA"/>
    <w:rsid w:val="000649C0"/>
    <w:rsid w:val="00064A04"/>
    <w:rsid w:val="00064EFA"/>
    <w:rsid w:val="00064FB6"/>
    <w:rsid w:val="000650F3"/>
    <w:rsid w:val="00065174"/>
    <w:rsid w:val="00065178"/>
    <w:rsid w:val="0006558B"/>
    <w:rsid w:val="0006566B"/>
    <w:rsid w:val="00065860"/>
    <w:rsid w:val="00065893"/>
    <w:rsid w:val="00065AD0"/>
    <w:rsid w:val="00065CBA"/>
    <w:rsid w:val="0006616A"/>
    <w:rsid w:val="000664F7"/>
    <w:rsid w:val="00066550"/>
    <w:rsid w:val="00066A4C"/>
    <w:rsid w:val="00066A82"/>
    <w:rsid w:val="00066D9B"/>
    <w:rsid w:val="00066FA3"/>
    <w:rsid w:val="000671C9"/>
    <w:rsid w:val="000673C3"/>
    <w:rsid w:val="00067570"/>
    <w:rsid w:val="0006760C"/>
    <w:rsid w:val="000677C8"/>
    <w:rsid w:val="00067B04"/>
    <w:rsid w:val="00070014"/>
    <w:rsid w:val="00070328"/>
    <w:rsid w:val="000706EF"/>
    <w:rsid w:val="0007077A"/>
    <w:rsid w:val="000709E5"/>
    <w:rsid w:val="00070AF5"/>
    <w:rsid w:val="00070B0A"/>
    <w:rsid w:val="00070C05"/>
    <w:rsid w:val="00071271"/>
    <w:rsid w:val="000716DC"/>
    <w:rsid w:val="0007180F"/>
    <w:rsid w:val="00071C45"/>
    <w:rsid w:val="00071DCE"/>
    <w:rsid w:val="00071E06"/>
    <w:rsid w:val="00071F66"/>
    <w:rsid w:val="00071F70"/>
    <w:rsid w:val="00071F76"/>
    <w:rsid w:val="000721F0"/>
    <w:rsid w:val="00072251"/>
    <w:rsid w:val="0007272A"/>
    <w:rsid w:val="00072C8E"/>
    <w:rsid w:val="000732D4"/>
    <w:rsid w:val="00073315"/>
    <w:rsid w:val="00073647"/>
    <w:rsid w:val="00073882"/>
    <w:rsid w:val="00073C6E"/>
    <w:rsid w:val="00073CB8"/>
    <w:rsid w:val="00073E90"/>
    <w:rsid w:val="000740E8"/>
    <w:rsid w:val="00074159"/>
    <w:rsid w:val="00074207"/>
    <w:rsid w:val="0007433F"/>
    <w:rsid w:val="00074743"/>
    <w:rsid w:val="00074797"/>
    <w:rsid w:val="00074880"/>
    <w:rsid w:val="00074D23"/>
    <w:rsid w:val="00075039"/>
    <w:rsid w:val="0007506F"/>
    <w:rsid w:val="00075254"/>
    <w:rsid w:val="0007542A"/>
    <w:rsid w:val="00075E9D"/>
    <w:rsid w:val="00076067"/>
    <w:rsid w:val="00076141"/>
    <w:rsid w:val="00076767"/>
    <w:rsid w:val="00076925"/>
    <w:rsid w:val="00076A83"/>
    <w:rsid w:val="00076ABA"/>
    <w:rsid w:val="00076BE2"/>
    <w:rsid w:val="00076C06"/>
    <w:rsid w:val="00077300"/>
    <w:rsid w:val="000774F7"/>
    <w:rsid w:val="00077602"/>
    <w:rsid w:val="00077862"/>
    <w:rsid w:val="00077986"/>
    <w:rsid w:val="000779DE"/>
    <w:rsid w:val="00077A5B"/>
    <w:rsid w:val="00077B4E"/>
    <w:rsid w:val="00077FB9"/>
    <w:rsid w:val="00077FD9"/>
    <w:rsid w:val="000800C0"/>
    <w:rsid w:val="000802B9"/>
    <w:rsid w:val="00080445"/>
    <w:rsid w:val="00080447"/>
    <w:rsid w:val="000808A6"/>
    <w:rsid w:val="000809BC"/>
    <w:rsid w:val="00080BCC"/>
    <w:rsid w:val="00080F9B"/>
    <w:rsid w:val="000810F7"/>
    <w:rsid w:val="00081BE4"/>
    <w:rsid w:val="00081D9F"/>
    <w:rsid w:val="00081E5B"/>
    <w:rsid w:val="00082439"/>
    <w:rsid w:val="00082950"/>
    <w:rsid w:val="00082A74"/>
    <w:rsid w:val="00082D3C"/>
    <w:rsid w:val="00082DF8"/>
    <w:rsid w:val="00082E5A"/>
    <w:rsid w:val="000830AE"/>
    <w:rsid w:val="000830D7"/>
    <w:rsid w:val="00083117"/>
    <w:rsid w:val="000833DE"/>
    <w:rsid w:val="000833FB"/>
    <w:rsid w:val="00083496"/>
    <w:rsid w:val="000835BB"/>
    <w:rsid w:val="000837CE"/>
    <w:rsid w:val="000838C3"/>
    <w:rsid w:val="00083A7B"/>
    <w:rsid w:val="00083C17"/>
    <w:rsid w:val="00083E48"/>
    <w:rsid w:val="00084021"/>
    <w:rsid w:val="0008421C"/>
    <w:rsid w:val="000845E2"/>
    <w:rsid w:val="000846D0"/>
    <w:rsid w:val="000848B6"/>
    <w:rsid w:val="00084915"/>
    <w:rsid w:val="00084948"/>
    <w:rsid w:val="00084A7F"/>
    <w:rsid w:val="00084CD9"/>
    <w:rsid w:val="00084E11"/>
    <w:rsid w:val="00085075"/>
    <w:rsid w:val="0008534C"/>
    <w:rsid w:val="000855E4"/>
    <w:rsid w:val="00085867"/>
    <w:rsid w:val="00085B3E"/>
    <w:rsid w:val="00085BCE"/>
    <w:rsid w:val="00085C47"/>
    <w:rsid w:val="00085E1A"/>
    <w:rsid w:val="00085E43"/>
    <w:rsid w:val="0008625D"/>
    <w:rsid w:val="0008664C"/>
    <w:rsid w:val="0008666E"/>
    <w:rsid w:val="000866D8"/>
    <w:rsid w:val="0008698C"/>
    <w:rsid w:val="000869A4"/>
    <w:rsid w:val="000869E0"/>
    <w:rsid w:val="00086A1C"/>
    <w:rsid w:val="00086AC5"/>
    <w:rsid w:val="00086C93"/>
    <w:rsid w:val="00086DD9"/>
    <w:rsid w:val="0008714E"/>
    <w:rsid w:val="00087272"/>
    <w:rsid w:val="000872B7"/>
    <w:rsid w:val="0008737C"/>
    <w:rsid w:val="000873F7"/>
    <w:rsid w:val="00087696"/>
    <w:rsid w:val="0008798A"/>
    <w:rsid w:val="00087B34"/>
    <w:rsid w:val="00087D86"/>
    <w:rsid w:val="00087F87"/>
    <w:rsid w:val="00087FCC"/>
    <w:rsid w:val="00090016"/>
    <w:rsid w:val="0009055A"/>
    <w:rsid w:val="00090689"/>
    <w:rsid w:val="0009091C"/>
    <w:rsid w:val="00090A2F"/>
    <w:rsid w:val="00090B35"/>
    <w:rsid w:val="00090BE0"/>
    <w:rsid w:val="00091227"/>
    <w:rsid w:val="00091366"/>
    <w:rsid w:val="0009144C"/>
    <w:rsid w:val="00091940"/>
    <w:rsid w:val="00091949"/>
    <w:rsid w:val="00091A03"/>
    <w:rsid w:val="00091B94"/>
    <w:rsid w:val="00091ECA"/>
    <w:rsid w:val="00091ED8"/>
    <w:rsid w:val="00092474"/>
    <w:rsid w:val="0009248E"/>
    <w:rsid w:val="000929DA"/>
    <w:rsid w:val="00092A44"/>
    <w:rsid w:val="00092AFA"/>
    <w:rsid w:val="00092C5E"/>
    <w:rsid w:val="00092E52"/>
    <w:rsid w:val="000930C9"/>
    <w:rsid w:val="0009340D"/>
    <w:rsid w:val="00093876"/>
    <w:rsid w:val="000939DD"/>
    <w:rsid w:val="00093B57"/>
    <w:rsid w:val="00093CFA"/>
    <w:rsid w:val="00093FD0"/>
    <w:rsid w:val="000946AB"/>
    <w:rsid w:val="000947BB"/>
    <w:rsid w:val="00094B17"/>
    <w:rsid w:val="00094B61"/>
    <w:rsid w:val="00094B72"/>
    <w:rsid w:val="00094B9B"/>
    <w:rsid w:val="00094B9C"/>
    <w:rsid w:val="00094C99"/>
    <w:rsid w:val="00094F0E"/>
    <w:rsid w:val="00094F4A"/>
    <w:rsid w:val="00094F55"/>
    <w:rsid w:val="00094FD8"/>
    <w:rsid w:val="000950FF"/>
    <w:rsid w:val="000951D0"/>
    <w:rsid w:val="0009560B"/>
    <w:rsid w:val="00095664"/>
    <w:rsid w:val="00095DC0"/>
    <w:rsid w:val="00096336"/>
    <w:rsid w:val="0009646A"/>
    <w:rsid w:val="000966D7"/>
    <w:rsid w:val="000968E5"/>
    <w:rsid w:val="0009737F"/>
    <w:rsid w:val="000975C2"/>
    <w:rsid w:val="00097696"/>
    <w:rsid w:val="000978DF"/>
    <w:rsid w:val="00097C05"/>
    <w:rsid w:val="00097C50"/>
    <w:rsid w:val="00097E56"/>
    <w:rsid w:val="00097F03"/>
    <w:rsid w:val="000A024D"/>
    <w:rsid w:val="000A03B9"/>
    <w:rsid w:val="000A042D"/>
    <w:rsid w:val="000A04F5"/>
    <w:rsid w:val="000A0BB9"/>
    <w:rsid w:val="000A0E3B"/>
    <w:rsid w:val="000A0E58"/>
    <w:rsid w:val="000A11CC"/>
    <w:rsid w:val="000A122F"/>
    <w:rsid w:val="000A127E"/>
    <w:rsid w:val="000A1329"/>
    <w:rsid w:val="000A13DE"/>
    <w:rsid w:val="000A1591"/>
    <w:rsid w:val="000A18CE"/>
    <w:rsid w:val="000A1A79"/>
    <w:rsid w:val="000A1E7A"/>
    <w:rsid w:val="000A1EBD"/>
    <w:rsid w:val="000A2207"/>
    <w:rsid w:val="000A24FA"/>
    <w:rsid w:val="000A25C1"/>
    <w:rsid w:val="000A28E4"/>
    <w:rsid w:val="000A2B64"/>
    <w:rsid w:val="000A2B83"/>
    <w:rsid w:val="000A2B99"/>
    <w:rsid w:val="000A3028"/>
    <w:rsid w:val="000A39E0"/>
    <w:rsid w:val="000A3B34"/>
    <w:rsid w:val="000A3C5D"/>
    <w:rsid w:val="000A3E79"/>
    <w:rsid w:val="000A4040"/>
    <w:rsid w:val="000A4286"/>
    <w:rsid w:val="000A42BE"/>
    <w:rsid w:val="000A451F"/>
    <w:rsid w:val="000A45EA"/>
    <w:rsid w:val="000A4685"/>
    <w:rsid w:val="000A46D8"/>
    <w:rsid w:val="000A4715"/>
    <w:rsid w:val="000A47D4"/>
    <w:rsid w:val="000A4D91"/>
    <w:rsid w:val="000A5146"/>
    <w:rsid w:val="000A529C"/>
    <w:rsid w:val="000A53A7"/>
    <w:rsid w:val="000A5591"/>
    <w:rsid w:val="000A562E"/>
    <w:rsid w:val="000A5661"/>
    <w:rsid w:val="000A569F"/>
    <w:rsid w:val="000A59BE"/>
    <w:rsid w:val="000A5D38"/>
    <w:rsid w:val="000A6347"/>
    <w:rsid w:val="000A63DF"/>
    <w:rsid w:val="000A6466"/>
    <w:rsid w:val="000A6558"/>
    <w:rsid w:val="000A6561"/>
    <w:rsid w:val="000A65FE"/>
    <w:rsid w:val="000A660F"/>
    <w:rsid w:val="000A686E"/>
    <w:rsid w:val="000A6A43"/>
    <w:rsid w:val="000A6A72"/>
    <w:rsid w:val="000A6BAD"/>
    <w:rsid w:val="000A6CC3"/>
    <w:rsid w:val="000A6E21"/>
    <w:rsid w:val="000A6F7C"/>
    <w:rsid w:val="000A719E"/>
    <w:rsid w:val="000A71F3"/>
    <w:rsid w:val="000A75FA"/>
    <w:rsid w:val="000A76DA"/>
    <w:rsid w:val="000A77A8"/>
    <w:rsid w:val="000A7938"/>
    <w:rsid w:val="000B0261"/>
    <w:rsid w:val="000B026F"/>
    <w:rsid w:val="000B0315"/>
    <w:rsid w:val="000B03DD"/>
    <w:rsid w:val="000B0540"/>
    <w:rsid w:val="000B0705"/>
    <w:rsid w:val="000B0C51"/>
    <w:rsid w:val="000B0D8E"/>
    <w:rsid w:val="000B0E5E"/>
    <w:rsid w:val="000B0E62"/>
    <w:rsid w:val="000B0F13"/>
    <w:rsid w:val="000B10CA"/>
    <w:rsid w:val="000B128C"/>
    <w:rsid w:val="000B14D8"/>
    <w:rsid w:val="000B1504"/>
    <w:rsid w:val="000B15D3"/>
    <w:rsid w:val="000B1716"/>
    <w:rsid w:val="000B17FF"/>
    <w:rsid w:val="000B1812"/>
    <w:rsid w:val="000B1967"/>
    <w:rsid w:val="000B1A5E"/>
    <w:rsid w:val="000B1C44"/>
    <w:rsid w:val="000B1D81"/>
    <w:rsid w:val="000B1E27"/>
    <w:rsid w:val="000B1E3C"/>
    <w:rsid w:val="000B1E44"/>
    <w:rsid w:val="000B22C5"/>
    <w:rsid w:val="000B2677"/>
    <w:rsid w:val="000B28FE"/>
    <w:rsid w:val="000B2D63"/>
    <w:rsid w:val="000B2FBE"/>
    <w:rsid w:val="000B3384"/>
    <w:rsid w:val="000B37D3"/>
    <w:rsid w:val="000B37FB"/>
    <w:rsid w:val="000B3828"/>
    <w:rsid w:val="000B3E80"/>
    <w:rsid w:val="000B3F61"/>
    <w:rsid w:val="000B43AE"/>
    <w:rsid w:val="000B4477"/>
    <w:rsid w:val="000B49A2"/>
    <w:rsid w:val="000B49F6"/>
    <w:rsid w:val="000B4C67"/>
    <w:rsid w:val="000B4EC7"/>
    <w:rsid w:val="000B4FC5"/>
    <w:rsid w:val="000B50A8"/>
    <w:rsid w:val="000B51F7"/>
    <w:rsid w:val="000B5216"/>
    <w:rsid w:val="000B5444"/>
    <w:rsid w:val="000B565B"/>
    <w:rsid w:val="000B571F"/>
    <w:rsid w:val="000B5785"/>
    <w:rsid w:val="000B57E0"/>
    <w:rsid w:val="000B591B"/>
    <w:rsid w:val="000B6161"/>
    <w:rsid w:val="000B62F7"/>
    <w:rsid w:val="000B691F"/>
    <w:rsid w:val="000B6B19"/>
    <w:rsid w:val="000B71F8"/>
    <w:rsid w:val="000B7443"/>
    <w:rsid w:val="000B756B"/>
    <w:rsid w:val="000B78AF"/>
    <w:rsid w:val="000B7B00"/>
    <w:rsid w:val="000B7F03"/>
    <w:rsid w:val="000C00E8"/>
    <w:rsid w:val="000C0375"/>
    <w:rsid w:val="000C0B07"/>
    <w:rsid w:val="000C0FFC"/>
    <w:rsid w:val="000C1023"/>
    <w:rsid w:val="000C109D"/>
    <w:rsid w:val="000C11AE"/>
    <w:rsid w:val="000C13F6"/>
    <w:rsid w:val="000C1461"/>
    <w:rsid w:val="000C20E0"/>
    <w:rsid w:val="000C214E"/>
    <w:rsid w:val="000C2515"/>
    <w:rsid w:val="000C2714"/>
    <w:rsid w:val="000C27CC"/>
    <w:rsid w:val="000C2B55"/>
    <w:rsid w:val="000C2F48"/>
    <w:rsid w:val="000C321C"/>
    <w:rsid w:val="000C3434"/>
    <w:rsid w:val="000C3684"/>
    <w:rsid w:val="000C3797"/>
    <w:rsid w:val="000C3A96"/>
    <w:rsid w:val="000C41AE"/>
    <w:rsid w:val="000C42DD"/>
    <w:rsid w:val="000C43CC"/>
    <w:rsid w:val="000C43D6"/>
    <w:rsid w:val="000C4463"/>
    <w:rsid w:val="000C447D"/>
    <w:rsid w:val="000C46D2"/>
    <w:rsid w:val="000C4781"/>
    <w:rsid w:val="000C4B7F"/>
    <w:rsid w:val="000C4BCB"/>
    <w:rsid w:val="000C5165"/>
    <w:rsid w:val="000C5647"/>
    <w:rsid w:val="000C56E2"/>
    <w:rsid w:val="000C5864"/>
    <w:rsid w:val="000C5A44"/>
    <w:rsid w:val="000C5ACE"/>
    <w:rsid w:val="000C5E5F"/>
    <w:rsid w:val="000C642D"/>
    <w:rsid w:val="000C6583"/>
    <w:rsid w:val="000C6C3D"/>
    <w:rsid w:val="000C7079"/>
    <w:rsid w:val="000C74F9"/>
    <w:rsid w:val="000C7586"/>
    <w:rsid w:val="000C7681"/>
    <w:rsid w:val="000C772B"/>
    <w:rsid w:val="000C7B89"/>
    <w:rsid w:val="000C7C5A"/>
    <w:rsid w:val="000C7D93"/>
    <w:rsid w:val="000C7EC3"/>
    <w:rsid w:val="000C7F9E"/>
    <w:rsid w:val="000D0233"/>
    <w:rsid w:val="000D0865"/>
    <w:rsid w:val="000D0990"/>
    <w:rsid w:val="000D0B4B"/>
    <w:rsid w:val="000D0C8B"/>
    <w:rsid w:val="000D0FCB"/>
    <w:rsid w:val="000D16BA"/>
    <w:rsid w:val="000D19F0"/>
    <w:rsid w:val="000D1D8B"/>
    <w:rsid w:val="000D1DA7"/>
    <w:rsid w:val="000D1DDA"/>
    <w:rsid w:val="000D1F5F"/>
    <w:rsid w:val="000D2301"/>
    <w:rsid w:val="000D25A7"/>
    <w:rsid w:val="000D26EB"/>
    <w:rsid w:val="000D2884"/>
    <w:rsid w:val="000D29E8"/>
    <w:rsid w:val="000D2C75"/>
    <w:rsid w:val="000D32BF"/>
    <w:rsid w:val="000D3329"/>
    <w:rsid w:val="000D3543"/>
    <w:rsid w:val="000D3909"/>
    <w:rsid w:val="000D3AD2"/>
    <w:rsid w:val="000D3C65"/>
    <w:rsid w:val="000D3E0D"/>
    <w:rsid w:val="000D3E2B"/>
    <w:rsid w:val="000D3E70"/>
    <w:rsid w:val="000D41FB"/>
    <w:rsid w:val="000D450D"/>
    <w:rsid w:val="000D4574"/>
    <w:rsid w:val="000D460E"/>
    <w:rsid w:val="000D474F"/>
    <w:rsid w:val="000D4BFA"/>
    <w:rsid w:val="000D4C62"/>
    <w:rsid w:val="000D4D2E"/>
    <w:rsid w:val="000D4FA1"/>
    <w:rsid w:val="000D52AA"/>
    <w:rsid w:val="000D56E2"/>
    <w:rsid w:val="000D57DC"/>
    <w:rsid w:val="000D5A59"/>
    <w:rsid w:val="000D5DBF"/>
    <w:rsid w:val="000D5DFE"/>
    <w:rsid w:val="000D622D"/>
    <w:rsid w:val="000D64CC"/>
    <w:rsid w:val="000D64D6"/>
    <w:rsid w:val="000D68ED"/>
    <w:rsid w:val="000D6BE5"/>
    <w:rsid w:val="000D6BEA"/>
    <w:rsid w:val="000D6FEB"/>
    <w:rsid w:val="000D7144"/>
    <w:rsid w:val="000D7427"/>
    <w:rsid w:val="000D7477"/>
    <w:rsid w:val="000D7725"/>
    <w:rsid w:val="000D7778"/>
    <w:rsid w:val="000D78E8"/>
    <w:rsid w:val="000D78F6"/>
    <w:rsid w:val="000D7903"/>
    <w:rsid w:val="000D7A74"/>
    <w:rsid w:val="000D7C2C"/>
    <w:rsid w:val="000D7FFC"/>
    <w:rsid w:val="000E02EB"/>
    <w:rsid w:val="000E06B9"/>
    <w:rsid w:val="000E0863"/>
    <w:rsid w:val="000E0C8B"/>
    <w:rsid w:val="000E0FE8"/>
    <w:rsid w:val="000E129F"/>
    <w:rsid w:val="000E1719"/>
    <w:rsid w:val="000E1796"/>
    <w:rsid w:val="000E1A2A"/>
    <w:rsid w:val="000E1A83"/>
    <w:rsid w:val="000E1D91"/>
    <w:rsid w:val="000E2297"/>
    <w:rsid w:val="000E263E"/>
    <w:rsid w:val="000E2A4C"/>
    <w:rsid w:val="000E2B2A"/>
    <w:rsid w:val="000E32F6"/>
    <w:rsid w:val="000E374B"/>
    <w:rsid w:val="000E3B50"/>
    <w:rsid w:val="000E3FB0"/>
    <w:rsid w:val="000E3FE9"/>
    <w:rsid w:val="000E43BB"/>
    <w:rsid w:val="000E4474"/>
    <w:rsid w:val="000E448C"/>
    <w:rsid w:val="000E4919"/>
    <w:rsid w:val="000E4E60"/>
    <w:rsid w:val="000E4F4A"/>
    <w:rsid w:val="000E4F9B"/>
    <w:rsid w:val="000E5111"/>
    <w:rsid w:val="000E5307"/>
    <w:rsid w:val="000E55E2"/>
    <w:rsid w:val="000E5766"/>
    <w:rsid w:val="000E582C"/>
    <w:rsid w:val="000E58E6"/>
    <w:rsid w:val="000E5A62"/>
    <w:rsid w:val="000E5DEC"/>
    <w:rsid w:val="000E5F75"/>
    <w:rsid w:val="000E6217"/>
    <w:rsid w:val="000E6575"/>
    <w:rsid w:val="000E68C8"/>
    <w:rsid w:val="000E6976"/>
    <w:rsid w:val="000E6C94"/>
    <w:rsid w:val="000E6DB1"/>
    <w:rsid w:val="000E7024"/>
    <w:rsid w:val="000E712D"/>
    <w:rsid w:val="000E7205"/>
    <w:rsid w:val="000E7313"/>
    <w:rsid w:val="000E7319"/>
    <w:rsid w:val="000E7410"/>
    <w:rsid w:val="000E7696"/>
    <w:rsid w:val="000E7D56"/>
    <w:rsid w:val="000E7F1F"/>
    <w:rsid w:val="000E7F44"/>
    <w:rsid w:val="000E7FB9"/>
    <w:rsid w:val="000F05CD"/>
    <w:rsid w:val="000F0759"/>
    <w:rsid w:val="000F0A3B"/>
    <w:rsid w:val="000F12FB"/>
    <w:rsid w:val="000F1331"/>
    <w:rsid w:val="000F133F"/>
    <w:rsid w:val="000F1564"/>
    <w:rsid w:val="000F1830"/>
    <w:rsid w:val="000F1BF7"/>
    <w:rsid w:val="000F1D86"/>
    <w:rsid w:val="000F215B"/>
    <w:rsid w:val="000F22D3"/>
    <w:rsid w:val="000F2489"/>
    <w:rsid w:val="000F29E6"/>
    <w:rsid w:val="000F3030"/>
    <w:rsid w:val="000F3691"/>
    <w:rsid w:val="000F388A"/>
    <w:rsid w:val="000F3930"/>
    <w:rsid w:val="000F3968"/>
    <w:rsid w:val="000F3CA8"/>
    <w:rsid w:val="000F3CBD"/>
    <w:rsid w:val="000F439E"/>
    <w:rsid w:val="000F43A0"/>
    <w:rsid w:val="000F445F"/>
    <w:rsid w:val="000F45AC"/>
    <w:rsid w:val="000F4BA5"/>
    <w:rsid w:val="000F4BAC"/>
    <w:rsid w:val="000F4D69"/>
    <w:rsid w:val="000F4EA3"/>
    <w:rsid w:val="000F4FD0"/>
    <w:rsid w:val="000F50C3"/>
    <w:rsid w:val="000F5276"/>
    <w:rsid w:val="000F53EB"/>
    <w:rsid w:val="000F5430"/>
    <w:rsid w:val="000F543E"/>
    <w:rsid w:val="000F5584"/>
    <w:rsid w:val="000F59D0"/>
    <w:rsid w:val="000F5AE6"/>
    <w:rsid w:val="000F60B1"/>
    <w:rsid w:val="000F6650"/>
    <w:rsid w:val="000F6AE5"/>
    <w:rsid w:val="000F70CE"/>
    <w:rsid w:val="000F73BA"/>
    <w:rsid w:val="000F781B"/>
    <w:rsid w:val="000F7B76"/>
    <w:rsid w:val="000F7C63"/>
    <w:rsid w:val="000F7EA7"/>
    <w:rsid w:val="000F7F49"/>
    <w:rsid w:val="001007DE"/>
    <w:rsid w:val="00100EC4"/>
    <w:rsid w:val="00100EDC"/>
    <w:rsid w:val="00101302"/>
    <w:rsid w:val="00101362"/>
    <w:rsid w:val="001013E6"/>
    <w:rsid w:val="00101487"/>
    <w:rsid w:val="0010184A"/>
    <w:rsid w:val="00101AE2"/>
    <w:rsid w:val="00101B51"/>
    <w:rsid w:val="00101D4A"/>
    <w:rsid w:val="0010200E"/>
    <w:rsid w:val="001020E1"/>
    <w:rsid w:val="00102161"/>
    <w:rsid w:val="00102271"/>
    <w:rsid w:val="001024A0"/>
    <w:rsid w:val="001025E8"/>
    <w:rsid w:val="001026A5"/>
    <w:rsid w:val="001027C2"/>
    <w:rsid w:val="00102A35"/>
    <w:rsid w:val="00102D4A"/>
    <w:rsid w:val="00102DAA"/>
    <w:rsid w:val="00102DBD"/>
    <w:rsid w:val="0010340E"/>
    <w:rsid w:val="001034E8"/>
    <w:rsid w:val="001036F0"/>
    <w:rsid w:val="00103809"/>
    <w:rsid w:val="0010385F"/>
    <w:rsid w:val="001038DC"/>
    <w:rsid w:val="00103D09"/>
    <w:rsid w:val="00104197"/>
    <w:rsid w:val="001046B7"/>
    <w:rsid w:val="0010494D"/>
    <w:rsid w:val="00104B19"/>
    <w:rsid w:val="00104C0C"/>
    <w:rsid w:val="00104DFA"/>
    <w:rsid w:val="00105350"/>
    <w:rsid w:val="00105743"/>
    <w:rsid w:val="0010595A"/>
    <w:rsid w:val="00105989"/>
    <w:rsid w:val="0010599B"/>
    <w:rsid w:val="00105A35"/>
    <w:rsid w:val="00105AD2"/>
    <w:rsid w:val="00105B2E"/>
    <w:rsid w:val="00105C15"/>
    <w:rsid w:val="00105C17"/>
    <w:rsid w:val="00105D0E"/>
    <w:rsid w:val="00105D47"/>
    <w:rsid w:val="00105E29"/>
    <w:rsid w:val="00106143"/>
    <w:rsid w:val="001062C2"/>
    <w:rsid w:val="00106768"/>
    <w:rsid w:val="001068F4"/>
    <w:rsid w:val="00106A59"/>
    <w:rsid w:val="00106A7F"/>
    <w:rsid w:val="00106AF4"/>
    <w:rsid w:val="00106B95"/>
    <w:rsid w:val="00106BD7"/>
    <w:rsid w:val="00106C4A"/>
    <w:rsid w:val="00106C59"/>
    <w:rsid w:val="00107015"/>
    <w:rsid w:val="00107458"/>
    <w:rsid w:val="001074A0"/>
    <w:rsid w:val="0010750B"/>
    <w:rsid w:val="001075D2"/>
    <w:rsid w:val="001075E1"/>
    <w:rsid w:val="0010773A"/>
    <w:rsid w:val="001077CB"/>
    <w:rsid w:val="001079BA"/>
    <w:rsid w:val="00107D40"/>
    <w:rsid w:val="00107D46"/>
    <w:rsid w:val="00107E2E"/>
    <w:rsid w:val="00107EEE"/>
    <w:rsid w:val="00107F0A"/>
    <w:rsid w:val="0011020F"/>
    <w:rsid w:val="00110276"/>
    <w:rsid w:val="0011048E"/>
    <w:rsid w:val="0011066B"/>
    <w:rsid w:val="001106E8"/>
    <w:rsid w:val="00111316"/>
    <w:rsid w:val="00111580"/>
    <w:rsid w:val="00111799"/>
    <w:rsid w:val="001117B7"/>
    <w:rsid w:val="00111840"/>
    <w:rsid w:val="00111864"/>
    <w:rsid w:val="0011197F"/>
    <w:rsid w:val="00111AAE"/>
    <w:rsid w:val="00111AF7"/>
    <w:rsid w:val="00111EDF"/>
    <w:rsid w:val="00112041"/>
    <w:rsid w:val="00112097"/>
    <w:rsid w:val="0011279E"/>
    <w:rsid w:val="001127BF"/>
    <w:rsid w:val="0011281F"/>
    <w:rsid w:val="0011291C"/>
    <w:rsid w:val="00112977"/>
    <w:rsid w:val="00112EA1"/>
    <w:rsid w:val="00113339"/>
    <w:rsid w:val="00113651"/>
    <w:rsid w:val="00113681"/>
    <w:rsid w:val="001137BB"/>
    <w:rsid w:val="001137FD"/>
    <w:rsid w:val="00113B53"/>
    <w:rsid w:val="00113C3C"/>
    <w:rsid w:val="00113CE7"/>
    <w:rsid w:val="00113D4F"/>
    <w:rsid w:val="0011413E"/>
    <w:rsid w:val="00114359"/>
    <w:rsid w:val="00114392"/>
    <w:rsid w:val="00114702"/>
    <w:rsid w:val="00114C4A"/>
    <w:rsid w:val="00114F87"/>
    <w:rsid w:val="0011503F"/>
    <w:rsid w:val="0011518A"/>
    <w:rsid w:val="00115211"/>
    <w:rsid w:val="00115445"/>
    <w:rsid w:val="001155F8"/>
    <w:rsid w:val="00115973"/>
    <w:rsid w:val="001159D3"/>
    <w:rsid w:val="001159D8"/>
    <w:rsid w:val="00115C8B"/>
    <w:rsid w:val="00115DA2"/>
    <w:rsid w:val="00115DA9"/>
    <w:rsid w:val="00115E59"/>
    <w:rsid w:val="00115EBF"/>
    <w:rsid w:val="00115F6D"/>
    <w:rsid w:val="00115FAD"/>
    <w:rsid w:val="00116664"/>
    <w:rsid w:val="00116768"/>
    <w:rsid w:val="00116873"/>
    <w:rsid w:val="00116AE3"/>
    <w:rsid w:val="00116B2B"/>
    <w:rsid w:val="001173FD"/>
    <w:rsid w:val="00117521"/>
    <w:rsid w:val="00117650"/>
    <w:rsid w:val="00117915"/>
    <w:rsid w:val="00117A98"/>
    <w:rsid w:val="00117D4B"/>
    <w:rsid w:val="00117E25"/>
    <w:rsid w:val="00120245"/>
    <w:rsid w:val="001205FD"/>
    <w:rsid w:val="001207C2"/>
    <w:rsid w:val="00120B4B"/>
    <w:rsid w:val="00120BBE"/>
    <w:rsid w:val="00120BDF"/>
    <w:rsid w:val="00120D18"/>
    <w:rsid w:val="00120D37"/>
    <w:rsid w:val="00120D3C"/>
    <w:rsid w:val="00120D52"/>
    <w:rsid w:val="00120E27"/>
    <w:rsid w:val="00121A10"/>
    <w:rsid w:val="00121C26"/>
    <w:rsid w:val="00121C60"/>
    <w:rsid w:val="00121E05"/>
    <w:rsid w:val="00122061"/>
    <w:rsid w:val="0012206F"/>
    <w:rsid w:val="001224B4"/>
    <w:rsid w:val="00122A22"/>
    <w:rsid w:val="00122E4B"/>
    <w:rsid w:val="00122E50"/>
    <w:rsid w:val="001231B4"/>
    <w:rsid w:val="00123250"/>
    <w:rsid w:val="00123368"/>
    <w:rsid w:val="0012345C"/>
    <w:rsid w:val="0012348A"/>
    <w:rsid w:val="0012376B"/>
    <w:rsid w:val="001238E9"/>
    <w:rsid w:val="001239B7"/>
    <w:rsid w:val="00123C8E"/>
    <w:rsid w:val="00123CDE"/>
    <w:rsid w:val="00123DE6"/>
    <w:rsid w:val="00124082"/>
    <w:rsid w:val="001240C7"/>
    <w:rsid w:val="0012421C"/>
    <w:rsid w:val="001242F9"/>
    <w:rsid w:val="001243A4"/>
    <w:rsid w:val="001245A9"/>
    <w:rsid w:val="00124786"/>
    <w:rsid w:val="00124830"/>
    <w:rsid w:val="00124A91"/>
    <w:rsid w:val="00124B78"/>
    <w:rsid w:val="00124C05"/>
    <w:rsid w:val="00124DD8"/>
    <w:rsid w:val="00124FDA"/>
    <w:rsid w:val="001251DD"/>
    <w:rsid w:val="001255AE"/>
    <w:rsid w:val="00125629"/>
    <w:rsid w:val="0012578A"/>
    <w:rsid w:val="001259FC"/>
    <w:rsid w:val="00125A60"/>
    <w:rsid w:val="00125B49"/>
    <w:rsid w:val="00125DE5"/>
    <w:rsid w:val="001260C0"/>
    <w:rsid w:val="00126120"/>
    <w:rsid w:val="00126214"/>
    <w:rsid w:val="001269B2"/>
    <w:rsid w:val="00126C87"/>
    <w:rsid w:val="00126CF1"/>
    <w:rsid w:val="001270E7"/>
    <w:rsid w:val="00127444"/>
    <w:rsid w:val="0012750F"/>
    <w:rsid w:val="001275EC"/>
    <w:rsid w:val="00127676"/>
    <w:rsid w:val="001279D6"/>
    <w:rsid w:val="00127A28"/>
    <w:rsid w:val="00127A50"/>
    <w:rsid w:val="00127A6A"/>
    <w:rsid w:val="00127C46"/>
    <w:rsid w:val="00127FD9"/>
    <w:rsid w:val="0013009B"/>
    <w:rsid w:val="00130949"/>
    <w:rsid w:val="00130C67"/>
    <w:rsid w:val="00130E3B"/>
    <w:rsid w:val="00130E69"/>
    <w:rsid w:val="00131017"/>
    <w:rsid w:val="00131179"/>
    <w:rsid w:val="001314DC"/>
    <w:rsid w:val="001317A7"/>
    <w:rsid w:val="00131F88"/>
    <w:rsid w:val="00131FAA"/>
    <w:rsid w:val="001327B6"/>
    <w:rsid w:val="001329EB"/>
    <w:rsid w:val="00132A1B"/>
    <w:rsid w:val="00132DD8"/>
    <w:rsid w:val="001332C3"/>
    <w:rsid w:val="00133762"/>
    <w:rsid w:val="00133812"/>
    <w:rsid w:val="00133852"/>
    <w:rsid w:val="001338D5"/>
    <w:rsid w:val="00133C82"/>
    <w:rsid w:val="00133F1E"/>
    <w:rsid w:val="00133F37"/>
    <w:rsid w:val="001340F7"/>
    <w:rsid w:val="00134186"/>
    <w:rsid w:val="001342C8"/>
    <w:rsid w:val="001343D3"/>
    <w:rsid w:val="001343DD"/>
    <w:rsid w:val="001343E9"/>
    <w:rsid w:val="00134582"/>
    <w:rsid w:val="00134B3C"/>
    <w:rsid w:val="00135068"/>
    <w:rsid w:val="0013515E"/>
    <w:rsid w:val="00135260"/>
    <w:rsid w:val="00135775"/>
    <w:rsid w:val="0013591D"/>
    <w:rsid w:val="00135967"/>
    <w:rsid w:val="0013597F"/>
    <w:rsid w:val="00135AAA"/>
    <w:rsid w:val="00135AE2"/>
    <w:rsid w:val="00135E53"/>
    <w:rsid w:val="00135F66"/>
    <w:rsid w:val="00136092"/>
    <w:rsid w:val="001363BE"/>
    <w:rsid w:val="001363FB"/>
    <w:rsid w:val="00136D3D"/>
    <w:rsid w:val="00136F87"/>
    <w:rsid w:val="00137214"/>
    <w:rsid w:val="00137257"/>
    <w:rsid w:val="00137618"/>
    <w:rsid w:val="0013768D"/>
    <w:rsid w:val="00137B74"/>
    <w:rsid w:val="00137DB5"/>
    <w:rsid w:val="0014005A"/>
    <w:rsid w:val="001401F3"/>
    <w:rsid w:val="00140471"/>
    <w:rsid w:val="00140B33"/>
    <w:rsid w:val="00140F0C"/>
    <w:rsid w:val="0014101C"/>
    <w:rsid w:val="001411DE"/>
    <w:rsid w:val="00141401"/>
    <w:rsid w:val="001414C8"/>
    <w:rsid w:val="00141B34"/>
    <w:rsid w:val="00141D2F"/>
    <w:rsid w:val="00141D83"/>
    <w:rsid w:val="00142370"/>
    <w:rsid w:val="00142469"/>
    <w:rsid w:val="00142520"/>
    <w:rsid w:val="001425BC"/>
    <w:rsid w:val="0014260C"/>
    <w:rsid w:val="001427FB"/>
    <w:rsid w:val="00142821"/>
    <w:rsid w:val="00142F50"/>
    <w:rsid w:val="00143092"/>
    <w:rsid w:val="00143151"/>
    <w:rsid w:val="001433B5"/>
    <w:rsid w:val="001437D0"/>
    <w:rsid w:val="001438E2"/>
    <w:rsid w:val="00143943"/>
    <w:rsid w:val="00143D68"/>
    <w:rsid w:val="00143D9D"/>
    <w:rsid w:val="00143ED8"/>
    <w:rsid w:val="00143F06"/>
    <w:rsid w:val="00143F3C"/>
    <w:rsid w:val="00144271"/>
    <w:rsid w:val="001445FA"/>
    <w:rsid w:val="00144D6C"/>
    <w:rsid w:val="001450D2"/>
    <w:rsid w:val="00145148"/>
    <w:rsid w:val="00145265"/>
    <w:rsid w:val="00145279"/>
    <w:rsid w:val="00145299"/>
    <w:rsid w:val="001452C8"/>
    <w:rsid w:val="001452D0"/>
    <w:rsid w:val="00145358"/>
    <w:rsid w:val="001458E7"/>
    <w:rsid w:val="00145986"/>
    <w:rsid w:val="001459B1"/>
    <w:rsid w:val="00145B5D"/>
    <w:rsid w:val="00145BB7"/>
    <w:rsid w:val="00145BF5"/>
    <w:rsid w:val="00145E4B"/>
    <w:rsid w:val="001460F6"/>
    <w:rsid w:val="00146181"/>
    <w:rsid w:val="00146740"/>
    <w:rsid w:val="001467D8"/>
    <w:rsid w:val="00146AC8"/>
    <w:rsid w:val="00146F9E"/>
    <w:rsid w:val="00146FB4"/>
    <w:rsid w:val="0014700E"/>
    <w:rsid w:val="0014712C"/>
    <w:rsid w:val="0014713B"/>
    <w:rsid w:val="0014743E"/>
    <w:rsid w:val="0014759D"/>
    <w:rsid w:val="00147644"/>
    <w:rsid w:val="0014766D"/>
    <w:rsid w:val="00147826"/>
    <w:rsid w:val="001479A0"/>
    <w:rsid w:val="00147F81"/>
    <w:rsid w:val="00150048"/>
    <w:rsid w:val="00150385"/>
    <w:rsid w:val="001503E9"/>
    <w:rsid w:val="00150489"/>
    <w:rsid w:val="0015099E"/>
    <w:rsid w:val="00150AEC"/>
    <w:rsid w:val="00150B1A"/>
    <w:rsid w:val="00150CA9"/>
    <w:rsid w:val="00150E1E"/>
    <w:rsid w:val="00150E1F"/>
    <w:rsid w:val="00150FEC"/>
    <w:rsid w:val="001510EB"/>
    <w:rsid w:val="001512AF"/>
    <w:rsid w:val="001515C5"/>
    <w:rsid w:val="001515F8"/>
    <w:rsid w:val="00151620"/>
    <w:rsid w:val="001516B3"/>
    <w:rsid w:val="0015178C"/>
    <w:rsid w:val="0015179F"/>
    <w:rsid w:val="00151A68"/>
    <w:rsid w:val="00151B52"/>
    <w:rsid w:val="00151BE0"/>
    <w:rsid w:val="00151D5A"/>
    <w:rsid w:val="00151EE0"/>
    <w:rsid w:val="0015217A"/>
    <w:rsid w:val="00152B04"/>
    <w:rsid w:val="00153056"/>
    <w:rsid w:val="00153077"/>
    <w:rsid w:val="0015390D"/>
    <w:rsid w:val="00153ACC"/>
    <w:rsid w:val="00153BD0"/>
    <w:rsid w:val="00153D8D"/>
    <w:rsid w:val="00153FBA"/>
    <w:rsid w:val="00154039"/>
    <w:rsid w:val="00154045"/>
    <w:rsid w:val="00154488"/>
    <w:rsid w:val="001544F8"/>
    <w:rsid w:val="0015479F"/>
    <w:rsid w:val="0015491C"/>
    <w:rsid w:val="00154A47"/>
    <w:rsid w:val="00154DAB"/>
    <w:rsid w:val="00155086"/>
    <w:rsid w:val="001550B7"/>
    <w:rsid w:val="001557D5"/>
    <w:rsid w:val="00155B0D"/>
    <w:rsid w:val="00155FE2"/>
    <w:rsid w:val="00156074"/>
    <w:rsid w:val="001560CC"/>
    <w:rsid w:val="0015616F"/>
    <w:rsid w:val="001561E6"/>
    <w:rsid w:val="0015626D"/>
    <w:rsid w:val="001562A6"/>
    <w:rsid w:val="0015632C"/>
    <w:rsid w:val="00156410"/>
    <w:rsid w:val="00156970"/>
    <w:rsid w:val="00156B06"/>
    <w:rsid w:val="00156D5E"/>
    <w:rsid w:val="00156DDC"/>
    <w:rsid w:val="00156FCF"/>
    <w:rsid w:val="0015705A"/>
    <w:rsid w:val="001570D4"/>
    <w:rsid w:val="00157347"/>
    <w:rsid w:val="001576D5"/>
    <w:rsid w:val="001577B7"/>
    <w:rsid w:val="00157908"/>
    <w:rsid w:val="00157C56"/>
    <w:rsid w:val="00157DB6"/>
    <w:rsid w:val="00157DC1"/>
    <w:rsid w:val="00157EDC"/>
    <w:rsid w:val="00160195"/>
    <w:rsid w:val="001601F1"/>
    <w:rsid w:val="001603D8"/>
    <w:rsid w:val="0016078E"/>
    <w:rsid w:val="00160DC4"/>
    <w:rsid w:val="00160E6D"/>
    <w:rsid w:val="0016116E"/>
    <w:rsid w:val="001611B2"/>
    <w:rsid w:val="001611C7"/>
    <w:rsid w:val="0016176A"/>
    <w:rsid w:val="0016183A"/>
    <w:rsid w:val="00161FB0"/>
    <w:rsid w:val="001620BA"/>
    <w:rsid w:val="0016217D"/>
    <w:rsid w:val="0016223D"/>
    <w:rsid w:val="0016224B"/>
    <w:rsid w:val="001622E6"/>
    <w:rsid w:val="00162331"/>
    <w:rsid w:val="001626DB"/>
    <w:rsid w:val="001627A1"/>
    <w:rsid w:val="00162BB0"/>
    <w:rsid w:val="00162EFE"/>
    <w:rsid w:val="00163016"/>
    <w:rsid w:val="00163036"/>
    <w:rsid w:val="001630BD"/>
    <w:rsid w:val="00163496"/>
    <w:rsid w:val="00163617"/>
    <w:rsid w:val="00163C78"/>
    <w:rsid w:val="00163F5F"/>
    <w:rsid w:val="00163F6A"/>
    <w:rsid w:val="00163FF3"/>
    <w:rsid w:val="001640C3"/>
    <w:rsid w:val="00164148"/>
    <w:rsid w:val="001642AC"/>
    <w:rsid w:val="0016447D"/>
    <w:rsid w:val="00164773"/>
    <w:rsid w:val="00164BD0"/>
    <w:rsid w:val="00164F55"/>
    <w:rsid w:val="00164FFE"/>
    <w:rsid w:val="001651E0"/>
    <w:rsid w:val="0016529B"/>
    <w:rsid w:val="001653B1"/>
    <w:rsid w:val="00165650"/>
    <w:rsid w:val="00165733"/>
    <w:rsid w:val="00165DCA"/>
    <w:rsid w:val="00166404"/>
    <w:rsid w:val="00166E8B"/>
    <w:rsid w:val="00166F0E"/>
    <w:rsid w:val="001670E7"/>
    <w:rsid w:val="00167224"/>
    <w:rsid w:val="001679ED"/>
    <w:rsid w:val="00167A0C"/>
    <w:rsid w:val="00167A0D"/>
    <w:rsid w:val="00170038"/>
    <w:rsid w:val="001700D6"/>
    <w:rsid w:val="00170645"/>
    <w:rsid w:val="00170B23"/>
    <w:rsid w:val="0017198E"/>
    <w:rsid w:val="00171AF6"/>
    <w:rsid w:val="00171D38"/>
    <w:rsid w:val="00171E85"/>
    <w:rsid w:val="00171FBD"/>
    <w:rsid w:val="00172401"/>
    <w:rsid w:val="00172470"/>
    <w:rsid w:val="001725C7"/>
    <w:rsid w:val="0017293B"/>
    <w:rsid w:val="00172944"/>
    <w:rsid w:val="001729F3"/>
    <w:rsid w:val="00172C66"/>
    <w:rsid w:val="00172CA1"/>
    <w:rsid w:val="00172CD2"/>
    <w:rsid w:val="00172DD1"/>
    <w:rsid w:val="00173135"/>
    <w:rsid w:val="0017347B"/>
    <w:rsid w:val="0017349D"/>
    <w:rsid w:val="00173634"/>
    <w:rsid w:val="00173667"/>
    <w:rsid w:val="0017371A"/>
    <w:rsid w:val="00173876"/>
    <w:rsid w:val="001738F3"/>
    <w:rsid w:val="00173AA0"/>
    <w:rsid w:val="00173D29"/>
    <w:rsid w:val="00174078"/>
    <w:rsid w:val="00174118"/>
    <w:rsid w:val="001741BD"/>
    <w:rsid w:val="00174204"/>
    <w:rsid w:val="0017437C"/>
    <w:rsid w:val="00174463"/>
    <w:rsid w:val="001744FD"/>
    <w:rsid w:val="0017452A"/>
    <w:rsid w:val="00174634"/>
    <w:rsid w:val="00174C92"/>
    <w:rsid w:val="00174CDA"/>
    <w:rsid w:val="00174D48"/>
    <w:rsid w:val="00174EC0"/>
    <w:rsid w:val="00175062"/>
    <w:rsid w:val="001752CA"/>
    <w:rsid w:val="0017533A"/>
    <w:rsid w:val="00175346"/>
    <w:rsid w:val="001755FD"/>
    <w:rsid w:val="00175706"/>
    <w:rsid w:val="001758A8"/>
    <w:rsid w:val="00175ACC"/>
    <w:rsid w:val="00175CEB"/>
    <w:rsid w:val="00175DDE"/>
    <w:rsid w:val="00175F26"/>
    <w:rsid w:val="001761E4"/>
    <w:rsid w:val="001764ED"/>
    <w:rsid w:val="00176A21"/>
    <w:rsid w:val="00176A76"/>
    <w:rsid w:val="00176BE8"/>
    <w:rsid w:val="00176BF4"/>
    <w:rsid w:val="00176C78"/>
    <w:rsid w:val="00176F04"/>
    <w:rsid w:val="00177039"/>
    <w:rsid w:val="00177348"/>
    <w:rsid w:val="001774BF"/>
    <w:rsid w:val="0017787E"/>
    <w:rsid w:val="0017797F"/>
    <w:rsid w:val="00177B56"/>
    <w:rsid w:val="00177C52"/>
    <w:rsid w:val="00177F27"/>
    <w:rsid w:val="00177F5A"/>
    <w:rsid w:val="00177F76"/>
    <w:rsid w:val="00180053"/>
    <w:rsid w:val="0018008A"/>
    <w:rsid w:val="001800C5"/>
    <w:rsid w:val="001801B8"/>
    <w:rsid w:val="001801EB"/>
    <w:rsid w:val="00180436"/>
    <w:rsid w:val="001805C5"/>
    <w:rsid w:val="001806D2"/>
    <w:rsid w:val="00180C35"/>
    <w:rsid w:val="00181184"/>
    <w:rsid w:val="00181405"/>
    <w:rsid w:val="0018165E"/>
    <w:rsid w:val="0018182F"/>
    <w:rsid w:val="001818D3"/>
    <w:rsid w:val="00181E1C"/>
    <w:rsid w:val="00181EFC"/>
    <w:rsid w:val="00181FFF"/>
    <w:rsid w:val="00182242"/>
    <w:rsid w:val="00182343"/>
    <w:rsid w:val="00182431"/>
    <w:rsid w:val="0018245E"/>
    <w:rsid w:val="00182812"/>
    <w:rsid w:val="001828A5"/>
    <w:rsid w:val="0018299E"/>
    <w:rsid w:val="001829B8"/>
    <w:rsid w:val="00182C13"/>
    <w:rsid w:val="00183084"/>
    <w:rsid w:val="00183136"/>
    <w:rsid w:val="001831F2"/>
    <w:rsid w:val="0018385F"/>
    <w:rsid w:val="00183868"/>
    <w:rsid w:val="00183A9C"/>
    <w:rsid w:val="00183ADF"/>
    <w:rsid w:val="00183B1E"/>
    <w:rsid w:val="00184236"/>
    <w:rsid w:val="001846D4"/>
    <w:rsid w:val="001847ED"/>
    <w:rsid w:val="0018482D"/>
    <w:rsid w:val="00184FAC"/>
    <w:rsid w:val="001851CD"/>
    <w:rsid w:val="00185315"/>
    <w:rsid w:val="001853D1"/>
    <w:rsid w:val="0018569B"/>
    <w:rsid w:val="00185A25"/>
    <w:rsid w:val="00185BF3"/>
    <w:rsid w:val="00185E73"/>
    <w:rsid w:val="00185FAB"/>
    <w:rsid w:val="001861AA"/>
    <w:rsid w:val="00186435"/>
    <w:rsid w:val="00186490"/>
    <w:rsid w:val="00186522"/>
    <w:rsid w:val="00186856"/>
    <w:rsid w:val="00186AD2"/>
    <w:rsid w:val="00186AF8"/>
    <w:rsid w:val="00187096"/>
    <w:rsid w:val="001870F8"/>
    <w:rsid w:val="001874EE"/>
    <w:rsid w:val="00187730"/>
    <w:rsid w:val="001879C1"/>
    <w:rsid w:val="00187ADB"/>
    <w:rsid w:val="00187BFE"/>
    <w:rsid w:val="00187C9F"/>
    <w:rsid w:val="00187CD6"/>
    <w:rsid w:val="001904E8"/>
    <w:rsid w:val="0019067F"/>
    <w:rsid w:val="00190B3E"/>
    <w:rsid w:val="00190FDD"/>
    <w:rsid w:val="00191111"/>
    <w:rsid w:val="00191163"/>
    <w:rsid w:val="00191229"/>
    <w:rsid w:val="0019128D"/>
    <w:rsid w:val="00191314"/>
    <w:rsid w:val="001916B8"/>
    <w:rsid w:val="00191952"/>
    <w:rsid w:val="00191995"/>
    <w:rsid w:val="00191A3C"/>
    <w:rsid w:val="00191AB2"/>
    <w:rsid w:val="00191BA5"/>
    <w:rsid w:val="00191BE0"/>
    <w:rsid w:val="00191CC4"/>
    <w:rsid w:val="00191D71"/>
    <w:rsid w:val="00191E2D"/>
    <w:rsid w:val="00192309"/>
    <w:rsid w:val="001924B5"/>
    <w:rsid w:val="0019284A"/>
    <w:rsid w:val="0019291F"/>
    <w:rsid w:val="00192940"/>
    <w:rsid w:val="0019295A"/>
    <w:rsid w:val="00192D1D"/>
    <w:rsid w:val="00193083"/>
    <w:rsid w:val="00193173"/>
    <w:rsid w:val="001933BC"/>
    <w:rsid w:val="001933D6"/>
    <w:rsid w:val="00193509"/>
    <w:rsid w:val="001935A3"/>
    <w:rsid w:val="001936EC"/>
    <w:rsid w:val="0019393E"/>
    <w:rsid w:val="00193CD5"/>
    <w:rsid w:val="00193D6F"/>
    <w:rsid w:val="00193E4A"/>
    <w:rsid w:val="00193E54"/>
    <w:rsid w:val="001940F2"/>
    <w:rsid w:val="00194269"/>
    <w:rsid w:val="0019441F"/>
    <w:rsid w:val="00194480"/>
    <w:rsid w:val="001944BF"/>
    <w:rsid w:val="00194557"/>
    <w:rsid w:val="0019476F"/>
    <w:rsid w:val="00194C64"/>
    <w:rsid w:val="00194E1B"/>
    <w:rsid w:val="00194ED7"/>
    <w:rsid w:val="00194F43"/>
    <w:rsid w:val="00194FEB"/>
    <w:rsid w:val="001952C9"/>
    <w:rsid w:val="00195323"/>
    <w:rsid w:val="00195364"/>
    <w:rsid w:val="00195488"/>
    <w:rsid w:val="001955D5"/>
    <w:rsid w:val="001956BE"/>
    <w:rsid w:val="0019582D"/>
    <w:rsid w:val="001958DA"/>
    <w:rsid w:val="0019599B"/>
    <w:rsid w:val="00195CE2"/>
    <w:rsid w:val="00195CF5"/>
    <w:rsid w:val="0019607C"/>
    <w:rsid w:val="00196452"/>
    <w:rsid w:val="0019645A"/>
    <w:rsid w:val="001967C5"/>
    <w:rsid w:val="001968B5"/>
    <w:rsid w:val="00196992"/>
    <w:rsid w:val="00197030"/>
    <w:rsid w:val="001974E0"/>
    <w:rsid w:val="00197845"/>
    <w:rsid w:val="00197B8D"/>
    <w:rsid w:val="00197DBD"/>
    <w:rsid w:val="00197E88"/>
    <w:rsid w:val="00197F7B"/>
    <w:rsid w:val="001A0045"/>
    <w:rsid w:val="001A0325"/>
    <w:rsid w:val="001A0A5A"/>
    <w:rsid w:val="001A0BC8"/>
    <w:rsid w:val="001A0F2A"/>
    <w:rsid w:val="001A1020"/>
    <w:rsid w:val="001A1682"/>
    <w:rsid w:val="001A1752"/>
    <w:rsid w:val="001A1783"/>
    <w:rsid w:val="001A17CC"/>
    <w:rsid w:val="001A18F6"/>
    <w:rsid w:val="001A1A01"/>
    <w:rsid w:val="001A1D8F"/>
    <w:rsid w:val="001A1E54"/>
    <w:rsid w:val="001A1EE0"/>
    <w:rsid w:val="001A2353"/>
    <w:rsid w:val="001A2604"/>
    <w:rsid w:val="001A266D"/>
    <w:rsid w:val="001A26CA"/>
    <w:rsid w:val="001A2BE3"/>
    <w:rsid w:val="001A2D0E"/>
    <w:rsid w:val="001A2D38"/>
    <w:rsid w:val="001A2E49"/>
    <w:rsid w:val="001A2FA8"/>
    <w:rsid w:val="001A3065"/>
    <w:rsid w:val="001A308D"/>
    <w:rsid w:val="001A3A91"/>
    <w:rsid w:val="001A3D4C"/>
    <w:rsid w:val="001A3EA7"/>
    <w:rsid w:val="001A429D"/>
    <w:rsid w:val="001A42B1"/>
    <w:rsid w:val="001A42CA"/>
    <w:rsid w:val="001A450E"/>
    <w:rsid w:val="001A4647"/>
    <w:rsid w:val="001A466D"/>
    <w:rsid w:val="001A47B3"/>
    <w:rsid w:val="001A4815"/>
    <w:rsid w:val="001A4A0B"/>
    <w:rsid w:val="001A4BE4"/>
    <w:rsid w:val="001A4C8E"/>
    <w:rsid w:val="001A4CDF"/>
    <w:rsid w:val="001A5103"/>
    <w:rsid w:val="001A51D1"/>
    <w:rsid w:val="001A5212"/>
    <w:rsid w:val="001A5289"/>
    <w:rsid w:val="001A52DA"/>
    <w:rsid w:val="001A57BA"/>
    <w:rsid w:val="001A5905"/>
    <w:rsid w:val="001A5A3E"/>
    <w:rsid w:val="001A5BBD"/>
    <w:rsid w:val="001A6140"/>
    <w:rsid w:val="001A633B"/>
    <w:rsid w:val="001A63B9"/>
    <w:rsid w:val="001A6468"/>
    <w:rsid w:val="001A64D6"/>
    <w:rsid w:val="001A64E6"/>
    <w:rsid w:val="001A666A"/>
    <w:rsid w:val="001A6CE8"/>
    <w:rsid w:val="001A6F2F"/>
    <w:rsid w:val="001A7044"/>
    <w:rsid w:val="001A70EE"/>
    <w:rsid w:val="001A75A0"/>
    <w:rsid w:val="001A784D"/>
    <w:rsid w:val="001A7B08"/>
    <w:rsid w:val="001A7C04"/>
    <w:rsid w:val="001A7DD7"/>
    <w:rsid w:val="001A7E6C"/>
    <w:rsid w:val="001B051D"/>
    <w:rsid w:val="001B08E0"/>
    <w:rsid w:val="001B0BD3"/>
    <w:rsid w:val="001B1123"/>
    <w:rsid w:val="001B1311"/>
    <w:rsid w:val="001B1400"/>
    <w:rsid w:val="001B14C8"/>
    <w:rsid w:val="001B17D8"/>
    <w:rsid w:val="001B1818"/>
    <w:rsid w:val="001B197A"/>
    <w:rsid w:val="001B1D28"/>
    <w:rsid w:val="001B1DFE"/>
    <w:rsid w:val="001B1E61"/>
    <w:rsid w:val="001B2003"/>
    <w:rsid w:val="001B204A"/>
    <w:rsid w:val="001B208F"/>
    <w:rsid w:val="001B210A"/>
    <w:rsid w:val="001B23B3"/>
    <w:rsid w:val="001B2464"/>
    <w:rsid w:val="001B2C46"/>
    <w:rsid w:val="001B2E51"/>
    <w:rsid w:val="001B309B"/>
    <w:rsid w:val="001B3743"/>
    <w:rsid w:val="001B3755"/>
    <w:rsid w:val="001B38AF"/>
    <w:rsid w:val="001B398E"/>
    <w:rsid w:val="001B3C43"/>
    <w:rsid w:val="001B3FCB"/>
    <w:rsid w:val="001B41D4"/>
    <w:rsid w:val="001B4481"/>
    <w:rsid w:val="001B4608"/>
    <w:rsid w:val="001B49C0"/>
    <w:rsid w:val="001B4A11"/>
    <w:rsid w:val="001B4B3A"/>
    <w:rsid w:val="001B4C5C"/>
    <w:rsid w:val="001B4C97"/>
    <w:rsid w:val="001B4F7E"/>
    <w:rsid w:val="001B5BE0"/>
    <w:rsid w:val="001B5CFF"/>
    <w:rsid w:val="001B624F"/>
    <w:rsid w:val="001B6352"/>
    <w:rsid w:val="001B640C"/>
    <w:rsid w:val="001B6568"/>
    <w:rsid w:val="001B65E9"/>
    <w:rsid w:val="001B6D1D"/>
    <w:rsid w:val="001B6DC4"/>
    <w:rsid w:val="001B70DF"/>
    <w:rsid w:val="001B7292"/>
    <w:rsid w:val="001B7965"/>
    <w:rsid w:val="001B7A06"/>
    <w:rsid w:val="001B7AC8"/>
    <w:rsid w:val="001B7B86"/>
    <w:rsid w:val="001B7EDD"/>
    <w:rsid w:val="001C030B"/>
    <w:rsid w:val="001C0431"/>
    <w:rsid w:val="001C056C"/>
    <w:rsid w:val="001C06FC"/>
    <w:rsid w:val="001C09E4"/>
    <w:rsid w:val="001C0A05"/>
    <w:rsid w:val="001C0B49"/>
    <w:rsid w:val="001C0E18"/>
    <w:rsid w:val="001C127F"/>
    <w:rsid w:val="001C143D"/>
    <w:rsid w:val="001C15A7"/>
    <w:rsid w:val="001C15CB"/>
    <w:rsid w:val="001C15D5"/>
    <w:rsid w:val="001C17D1"/>
    <w:rsid w:val="001C18C8"/>
    <w:rsid w:val="001C1961"/>
    <w:rsid w:val="001C1986"/>
    <w:rsid w:val="001C1D4F"/>
    <w:rsid w:val="001C1E30"/>
    <w:rsid w:val="001C2114"/>
    <w:rsid w:val="001C253A"/>
    <w:rsid w:val="001C25CE"/>
    <w:rsid w:val="001C289C"/>
    <w:rsid w:val="001C2A41"/>
    <w:rsid w:val="001C2AC4"/>
    <w:rsid w:val="001C2B07"/>
    <w:rsid w:val="001C2D97"/>
    <w:rsid w:val="001C2EE2"/>
    <w:rsid w:val="001C2F56"/>
    <w:rsid w:val="001C3B02"/>
    <w:rsid w:val="001C3B8B"/>
    <w:rsid w:val="001C3BAC"/>
    <w:rsid w:val="001C3C90"/>
    <w:rsid w:val="001C3C9B"/>
    <w:rsid w:val="001C3F40"/>
    <w:rsid w:val="001C4191"/>
    <w:rsid w:val="001C45ED"/>
    <w:rsid w:val="001C4616"/>
    <w:rsid w:val="001C4685"/>
    <w:rsid w:val="001C49F7"/>
    <w:rsid w:val="001C4A66"/>
    <w:rsid w:val="001C4AC2"/>
    <w:rsid w:val="001C4AE0"/>
    <w:rsid w:val="001C4F3E"/>
    <w:rsid w:val="001C4FCF"/>
    <w:rsid w:val="001C5226"/>
    <w:rsid w:val="001C5456"/>
    <w:rsid w:val="001C558A"/>
    <w:rsid w:val="001C5591"/>
    <w:rsid w:val="001C560C"/>
    <w:rsid w:val="001C5918"/>
    <w:rsid w:val="001C5A55"/>
    <w:rsid w:val="001C5CD6"/>
    <w:rsid w:val="001C5EB1"/>
    <w:rsid w:val="001C5F76"/>
    <w:rsid w:val="001C6015"/>
    <w:rsid w:val="001C61FC"/>
    <w:rsid w:val="001C642A"/>
    <w:rsid w:val="001C64BE"/>
    <w:rsid w:val="001C64FB"/>
    <w:rsid w:val="001C667C"/>
    <w:rsid w:val="001C6DD8"/>
    <w:rsid w:val="001C703F"/>
    <w:rsid w:val="001C7310"/>
    <w:rsid w:val="001C745C"/>
    <w:rsid w:val="001C751E"/>
    <w:rsid w:val="001C76C4"/>
    <w:rsid w:val="001C76D7"/>
    <w:rsid w:val="001C797D"/>
    <w:rsid w:val="001C7B26"/>
    <w:rsid w:val="001C7B66"/>
    <w:rsid w:val="001D0112"/>
    <w:rsid w:val="001D0144"/>
    <w:rsid w:val="001D01A7"/>
    <w:rsid w:val="001D027D"/>
    <w:rsid w:val="001D04DA"/>
    <w:rsid w:val="001D08AB"/>
    <w:rsid w:val="001D08AF"/>
    <w:rsid w:val="001D0B67"/>
    <w:rsid w:val="001D105A"/>
    <w:rsid w:val="001D11CD"/>
    <w:rsid w:val="001D120B"/>
    <w:rsid w:val="001D1303"/>
    <w:rsid w:val="001D1381"/>
    <w:rsid w:val="001D14FA"/>
    <w:rsid w:val="001D1502"/>
    <w:rsid w:val="001D1521"/>
    <w:rsid w:val="001D1588"/>
    <w:rsid w:val="001D16E1"/>
    <w:rsid w:val="001D1706"/>
    <w:rsid w:val="001D18C6"/>
    <w:rsid w:val="001D19B2"/>
    <w:rsid w:val="001D1A57"/>
    <w:rsid w:val="001D1CAA"/>
    <w:rsid w:val="001D20DB"/>
    <w:rsid w:val="001D2353"/>
    <w:rsid w:val="001D276C"/>
    <w:rsid w:val="001D27E7"/>
    <w:rsid w:val="001D2861"/>
    <w:rsid w:val="001D29F0"/>
    <w:rsid w:val="001D2F84"/>
    <w:rsid w:val="001D3253"/>
    <w:rsid w:val="001D33CD"/>
    <w:rsid w:val="001D34AB"/>
    <w:rsid w:val="001D37F8"/>
    <w:rsid w:val="001D3830"/>
    <w:rsid w:val="001D3FB6"/>
    <w:rsid w:val="001D41C5"/>
    <w:rsid w:val="001D43BE"/>
    <w:rsid w:val="001D447F"/>
    <w:rsid w:val="001D450F"/>
    <w:rsid w:val="001D46ED"/>
    <w:rsid w:val="001D4929"/>
    <w:rsid w:val="001D4AA4"/>
    <w:rsid w:val="001D4F57"/>
    <w:rsid w:val="001D50B9"/>
    <w:rsid w:val="001D50F6"/>
    <w:rsid w:val="001D5123"/>
    <w:rsid w:val="001D5311"/>
    <w:rsid w:val="001D5D40"/>
    <w:rsid w:val="001D5E0D"/>
    <w:rsid w:val="001D646A"/>
    <w:rsid w:val="001D68F7"/>
    <w:rsid w:val="001D6A04"/>
    <w:rsid w:val="001D6AFF"/>
    <w:rsid w:val="001D6D20"/>
    <w:rsid w:val="001D6D6C"/>
    <w:rsid w:val="001D73B5"/>
    <w:rsid w:val="001D76D3"/>
    <w:rsid w:val="001D7B36"/>
    <w:rsid w:val="001D7D31"/>
    <w:rsid w:val="001D7E2E"/>
    <w:rsid w:val="001E01DA"/>
    <w:rsid w:val="001E0243"/>
    <w:rsid w:val="001E0871"/>
    <w:rsid w:val="001E0898"/>
    <w:rsid w:val="001E0934"/>
    <w:rsid w:val="001E09EC"/>
    <w:rsid w:val="001E0AA8"/>
    <w:rsid w:val="001E0B97"/>
    <w:rsid w:val="001E12C5"/>
    <w:rsid w:val="001E14E2"/>
    <w:rsid w:val="001E178D"/>
    <w:rsid w:val="001E185D"/>
    <w:rsid w:val="001E1996"/>
    <w:rsid w:val="001E1D16"/>
    <w:rsid w:val="001E1EF6"/>
    <w:rsid w:val="001E2257"/>
    <w:rsid w:val="001E23CB"/>
    <w:rsid w:val="001E2413"/>
    <w:rsid w:val="001E2598"/>
    <w:rsid w:val="001E261A"/>
    <w:rsid w:val="001E262D"/>
    <w:rsid w:val="001E289C"/>
    <w:rsid w:val="001E3023"/>
    <w:rsid w:val="001E3210"/>
    <w:rsid w:val="001E3547"/>
    <w:rsid w:val="001E373A"/>
    <w:rsid w:val="001E37B8"/>
    <w:rsid w:val="001E3871"/>
    <w:rsid w:val="001E3D4B"/>
    <w:rsid w:val="001E3EC1"/>
    <w:rsid w:val="001E40CD"/>
    <w:rsid w:val="001E4167"/>
    <w:rsid w:val="001E41E1"/>
    <w:rsid w:val="001E442E"/>
    <w:rsid w:val="001E4591"/>
    <w:rsid w:val="001E474E"/>
    <w:rsid w:val="001E4A1D"/>
    <w:rsid w:val="001E4AB8"/>
    <w:rsid w:val="001E4D19"/>
    <w:rsid w:val="001E4EC8"/>
    <w:rsid w:val="001E4FC9"/>
    <w:rsid w:val="001E51C7"/>
    <w:rsid w:val="001E5641"/>
    <w:rsid w:val="001E5658"/>
    <w:rsid w:val="001E594F"/>
    <w:rsid w:val="001E5B35"/>
    <w:rsid w:val="001E5DA0"/>
    <w:rsid w:val="001E5E03"/>
    <w:rsid w:val="001E5E8D"/>
    <w:rsid w:val="001E6220"/>
    <w:rsid w:val="001E64EA"/>
    <w:rsid w:val="001E655F"/>
    <w:rsid w:val="001E6793"/>
    <w:rsid w:val="001E6C3B"/>
    <w:rsid w:val="001E6C96"/>
    <w:rsid w:val="001E6F39"/>
    <w:rsid w:val="001E6FE0"/>
    <w:rsid w:val="001E7019"/>
    <w:rsid w:val="001E7227"/>
    <w:rsid w:val="001E72D7"/>
    <w:rsid w:val="001E73A2"/>
    <w:rsid w:val="001E74C6"/>
    <w:rsid w:val="001E76D8"/>
    <w:rsid w:val="001E7BEA"/>
    <w:rsid w:val="001E7D6F"/>
    <w:rsid w:val="001E7DBB"/>
    <w:rsid w:val="001E7E26"/>
    <w:rsid w:val="001F0038"/>
    <w:rsid w:val="001F00D4"/>
    <w:rsid w:val="001F03AA"/>
    <w:rsid w:val="001F03E9"/>
    <w:rsid w:val="001F0581"/>
    <w:rsid w:val="001F0C80"/>
    <w:rsid w:val="001F0D2B"/>
    <w:rsid w:val="001F0D65"/>
    <w:rsid w:val="001F0E46"/>
    <w:rsid w:val="001F1228"/>
    <w:rsid w:val="001F12EE"/>
    <w:rsid w:val="001F13B9"/>
    <w:rsid w:val="001F1753"/>
    <w:rsid w:val="001F18CB"/>
    <w:rsid w:val="001F1A08"/>
    <w:rsid w:val="001F1A6B"/>
    <w:rsid w:val="001F1FF9"/>
    <w:rsid w:val="001F2142"/>
    <w:rsid w:val="001F21BA"/>
    <w:rsid w:val="001F2371"/>
    <w:rsid w:val="001F2404"/>
    <w:rsid w:val="001F2487"/>
    <w:rsid w:val="001F2A6E"/>
    <w:rsid w:val="001F2CBE"/>
    <w:rsid w:val="001F2EB3"/>
    <w:rsid w:val="001F30B5"/>
    <w:rsid w:val="001F31D0"/>
    <w:rsid w:val="001F3232"/>
    <w:rsid w:val="001F32AB"/>
    <w:rsid w:val="001F357A"/>
    <w:rsid w:val="001F3717"/>
    <w:rsid w:val="001F37FA"/>
    <w:rsid w:val="001F3906"/>
    <w:rsid w:val="001F3915"/>
    <w:rsid w:val="001F391D"/>
    <w:rsid w:val="001F3A94"/>
    <w:rsid w:val="001F3C83"/>
    <w:rsid w:val="001F3E67"/>
    <w:rsid w:val="001F3F21"/>
    <w:rsid w:val="001F40EA"/>
    <w:rsid w:val="001F4660"/>
    <w:rsid w:val="001F467B"/>
    <w:rsid w:val="001F493A"/>
    <w:rsid w:val="001F4B2F"/>
    <w:rsid w:val="001F4B33"/>
    <w:rsid w:val="001F4D84"/>
    <w:rsid w:val="001F4E69"/>
    <w:rsid w:val="001F4EFB"/>
    <w:rsid w:val="001F512F"/>
    <w:rsid w:val="001F5181"/>
    <w:rsid w:val="001F541A"/>
    <w:rsid w:val="001F57C8"/>
    <w:rsid w:val="001F5965"/>
    <w:rsid w:val="001F654B"/>
    <w:rsid w:val="001F672C"/>
    <w:rsid w:val="001F67B2"/>
    <w:rsid w:val="001F6919"/>
    <w:rsid w:val="001F70B2"/>
    <w:rsid w:val="001F7384"/>
    <w:rsid w:val="001F75BD"/>
    <w:rsid w:val="001F780B"/>
    <w:rsid w:val="001F78EC"/>
    <w:rsid w:val="001F7AF0"/>
    <w:rsid w:val="00200044"/>
    <w:rsid w:val="002001D1"/>
    <w:rsid w:val="00200436"/>
    <w:rsid w:val="0020049F"/>
    <w:rsid w:val="002004DE"/>
    <w:rsid w:val="002004F0"/>
    <w:rsid w:val="00200790"/>
    <w:rsid w:val="00200795"/>
    <w:rsid w:val="0020089F"/>
    <w:rsid w:val="00200AA0"/>
    <w:rsid w:val="00200C77"/>
    <w:rsid w:val="00200EE4"/>
    <w:rsid w:val="00200F40"/>
    <w:rsid w:val="0020109E"/>
    <w:rsid w:val="002011FA"/>
    <w:rsid w:val="002011FB"/>
    <w:rsid w:val="00201295"/>
    <w:rsid w:val="0020139B"/>
    <w:rsid w:val="002016E0"/>
    <w:rsid w:val="00201770"/>
    <w:rsid w:val="002017B0"/>
    <w:rsid w:val="00201B9C"/>
    <w:rsid w:val="00201C1A"/>
    <w:rsid w:val="00201DF1"/>
    <w:rsid w:val="0020208E"/>
    <w:rsid w:val="0020209F"/>
    <w:rsid w:val="00202424"/>
    <w:rsid w:val="00202852"/>
    <w:rsid w:val="002028EF"/>
    <w:rsid w:val="0020297D"/>
    <w:rsid w:val="00202E7A"/>
    <w:rsid w:val="00202ECE"/>
    <w:rsid w:val="002030D5"/>
    <w:rsid w:val="00203460"/>
    <w:rsid w:val="00203759"/>
    <w:rsid w:val="00203B8F"/>
    <w:rsid w:val="00203D17"/>
    <w:rsid w:val="00203D36"/>
    <w:rsid w:val="00203D5B"/>
    <w:rsid w:val="00203F5F"/>
    <w:rsid w:val="0020421E"/>
    <w:rsid w:val="002042F3"/>
    <w:rsid w:val="002044BA"/>
    <w:rsid w:val="002046E3"/>
    <w:rsid w:val="00204934"/>
    <w:rsid w:val="00204AA6"/>
    <w:rsid w:val="00204BF1"/>
    <w:rsid w:val="00204CFA"/>
    <w:rsid w:val="00204E13"/>
    <w:rsid w:val="00204E53"/>
    <w:rsid w:val="00204F2E"/>
    <w:rsid w:val="00205174"/>
    <w:rsid w:val="002051BA"/>
    <w:rsid w:val="002052DB"/>
    <w:rsid w:val="002059F7"/>
    <w:rsid w:val="00205C4B"/>
    <w:rsid w:val="00205C70"/>
    <w:rsid w:val="00205F6C"/>
    <w:rsid w:val="002060BD"/>
    <w:rsid w:val="0020631B"/>
    <w:rsid w:val="00206945"/>
    <w:rsid w:val="00206B30"/>
    <w:rsid w:val="00206C76"/>
    <w:rsid w:val="00206CEF"/>
    <w:rsid w:val="00206E2B"/>
    <w:rsid w:val="0020706E"/>
    <w:rsid w:val="00207263"/>
    <w:rsid w:val="0020730F"/>
    <w:rsid w:val="00207A60"/>
    <w:rsid w:val="00207A6F"/>
    <w:rsid w:val="00210083"/>
    <w:rsid w:val="00210149"/>
    <w:rsid w:val="00210263"/>
    <w:rsid w:val="0021047D"/>
    <w:rsid w:val="002104D4"/>
    <w:rsid w:val="00210675"/>
    <w:rsid w:val="0021095D"/>
    <w:rsid w:val="0021099E"/>
    <w:rsid w:val="00210A6C"/>
    <w:rsid w:val="00210A9F"/>
    <w:rsid w:val="00210C99"/>
    <w:rsid w:val="00210E9D"/>
    <w:rsid w:val="002113B7"/>
    <w:rsid w:val="00211748"/>
    <w:rsid w:val="002119F6"/>
    <w:rsid w:val="00211A74"/>
    <w:rsid w:val="00211B2A"/>
    <w:rsid w:val="00211C19"/>
    <w:rsid w:val="00211CCB"/>
    <w:rsid w:val="00211FED"/>
    <w:rsid w:val="002122D6"/>
    <w:rsid w:val="002122F4"/>
    <w:rsid w:val="0021280A"/>
    <w:rsid w:val="002128D4"/>
    <w:rsid w:val="0021294D"/>
    <w:rsid w:val="00212ACD"/>
    <w:rsid w:val="00212C2B"/>
    <w:rsid w:val="00212C9D"/>
    <w:rsid w:val="00212EC0"/>
    <w:rsid w:val="00212F25"/>
    <w:rsid w:val="00213360"/>
    <w:rsid w:val="00213629"/>
    <w:rsid w:val="00213645"/>
    <w:rsid w:val="0021380A"/>
    <w:rsid w:val="00213939"/>
    <w:rsid w:val="00213B85"/>
    <w:rsid w:val="00213BC8"/>
    <w:rsid w:val="00213D4E"/>
    <w:rsid w:val="0021402D"/>
    <w:rsid w:val="00214378"/>
    <w:rsid w:val="002143B1"/>
    <w:rsid w:val="00214433"/>
    <w:rsid w:val="002144E2"/>
    <w:rsid w:val="002145CD"/>
    <w:rsid w:val="00214C6B"/>
    <w:rsid w:val="00214EF8"/>
    <w:rsid w:val="00214F75"/>
    <w:rsid w:val="00215254"/>
    <w:rsid w:val="002153EA"/>
    <w:rsid w:val="00215703"/>
    <w:rsid w:val="00215877"/>
    <w:rsid w:val="002158FD"/>
    <w:rsid w:val="00215952"/>
    <w:rsid w:val="002159D0"/>
    <w:rsid w:val="00215AAC"/>
    <w:rsid w:val="00215CC6"/>
    <w:rsid w:val="00215D3A"/>
    <w:rsid w:val="00215ED6"/>
    <w:rsid w:val="00215F11"/>
    <w:rsid w:val="0021609A"/>
    <w:rsid w:val="0021612C"/>
    <w:rsid w:val="0021620F"/>
    <w:rsid w:val="002162AB"/>
    <w:rsid w:val="002166B4"/>
    <w:rsid w:val="00216D9D"/>
    <w:rsid w:val="00216EA7"/>
    <w:rsid w:val="00216F3D"/>
    <w:rsid w:val="0021724B"/>
    <w:rsid w:val="0021733D"/>
    <w:rsid w:val="002173DC"/>
    <w:rsid w:val="002175BF"/>
    <w:rsid w:val="00217628"/>
    <w:rsid w:val="0021769F"/>
    <w:rsid w:val="00217D8E"/>
    <w:rsid w:val="00217FFA"/>
    <w:rsid w:val="00220053"/>
    <w:rsid w:val="0022040E"/>
    <w:rsid w:val="0022042A"/>
    <w:rsid w:val="00220594"/>
    <w:rsid w:val="002205FB"/>
    <w:rsid w:val="00220610"/>
    <w:rsid w:val="002206EF"/>
    <w:rsid w:val="002207A1"/>
    <w:rsid w:val="00220B70"/>
    <w:rsid w:val="00220F62"/>
    <w:rsid w:val="00220FC3"/>
    <w:rsid w:val="00220FF9"/>
    <w:rsid w:val="00221001"/>
    <w:rsid w:val="00221023"/>
    <w:rsid w:val="00221403"/>
    <w:rsid w:val="00221552"/>
    <w:rsid w:val="00221563"/>
    <w:rsid w:val="0022183B"/>
    <w:rsid w:val="00221AEE"/>
    <w:rsid w:val="00221B51"/>
    <w:rsid w:val="00221B5F"/>
    <w:rsid w:val="00221D65"/>
    <w:rsid w:val="00221FEB"/>
    <w:rsid w:val="00222072"/>
    <w:rsid w:val="00222203"/>
    <w:rsid w:val="00222220"/>
    <w:rsid w:val="00222472"/>
    <w:rsid w:val="0022269B"/>
    <w:rsid w:val="002227BE"/>
    <w:rsid w:val="00222BB1"/>
    <w:rsid w:val="00222DF6"/>
    <w:rsid w:val="00223471"/>
    <w:rsid w:val="00223570"/>
    <w:rsid w:val="00223695"/>
    <w:rsid w:val="002236C0"/>
    <w:rsid w:val="0022397C"/>
    <w:rsid w:val="00223D53"/>
    <w:rsid w:val="00224237"/>
    <w:rsid w:val="002243B7"/>
    <w:rsid w:val="002244F4"/>
    <w:rsid w:val="002245E2"/>
    <w:rsid w:val="00224860"/>
    <w:rsid w:val="00224887"/>
    <w:rsid w:val="00224C22"/>
    <w:rsid w:val="00224E1C"/>
    <w:rsid w:val="0022524B"/>
    <w:rsid w:val="002255B1"/>
    <w:rsid w:val="00225852"/>
    <w:rsid w:val="00225868"/>
    <w:rsid w:val="0022594A"/>
    <w:rsid w:val="00226159"/>
    <w:rsid w:val="00226161"/>
    <w:rsid w:val="00226286"/>
    <w:rsid w:val="0022632A"/>
    <w:rsid w:val="00226393"/>
    <w:rsid w:val="0022689A"/>
    <w:rsid w:val="002268CB"/>
    <w:rsid w:val="00226A3D"/>
    <w:rsid w:val="00226A70"/>
    <w:rsid w:val="00226BF6"/>
    <w:rsid w:val="00226FDC"/>
    <w:rsid w:val="00227215"/>
    <w:rsid w:val="002273A6"/>
    <w:rsid w:val="00227508"/>
    <w:rsid w:val="0022754E"/>
    <w:rsid w:val="0022763D"/>
    <w:rsid w:val="002277EC"/>
    <w:rsid w:val="00227A74"/>
    <w:rsid w:val="00227E1A"/>
    <w:rsid w:val="00230148"/>
    <w:rsid w:val="002305C2"/>
    <w:rsid w:val="00230617"/>
    <w:rsid w:val="00230627"/>
    <w:rsid w:val="002306D9"/>
    <w:rsid w:val="002306E3"/>
    <w:rsid w:val="00230AE5"/>
    <w:rsid w:val="00230C0A"/>
    <w:rsid w:val="00230CD0"/>
    <w:rsid w:val="00230F3C"/>
    <w:rsid w:val="00230FF6"/>
    <w:rsid w:val="00231AAC"/>
    <w:rsid w:val="00231F3A"/>
    <w:rsid w:val="00232104"/>
    <w:rsid w:val="00232642"/>
    <w:rsid w:val="002327BC"/>
    <w:rsid w:val="002328A0"/>
    <w:rsid w:val="002328E0"/>
    <w:rsid w:val="002329A5"/>
    <w:rsid w:val="00232A52"/>
    <w:rsid w:val="00232AD7"/>
    <w:rsid w:val="00232C19"/>
    <w:rsid w:val="00232C59"/>
    <w:rsid w:val="0023362A"/>
    <w:rsid w:val="002337BD"/>
    <w:rsid w:val="0023384C"/>
    <w:rsid w:val="002338CA"/>
    <w:rsid w:val="002339D4"/>
    <w:rsid w:val="00233D52"/>
    <w:rsid w:val="00233EBD"/>
    <w:rsid w:val="00233FE4"/>
    <w:rsid w:val="00234507"/>
    <w:rsid w:val="002345C9"/>
    <w:rsid w:val="002345D8"/>
    <w:rsid w:val="00234AAD"/>
    <w:rsid w:val="00234D87"/>
    <w:rsid w:val="00234F2E"/>
    <w:rsid w:val="00234FCF"/>
    <w:rsid w:val="00235535"/>
    <w:rsid w:val="00235607"/>
    <w:rsid w:val="0023587E"/>
    <w:rsid w:val="002358EB"/>
    <w:rsid w:val="00235B17"/>
    <w:rsid w:val="00235CBB"/>
    <w:rsid w:val="00235E18"/>
    <w:rsid w:val="00235F2B"/>
    <w:rsid w:val="00236390"/>
    <w:rsid w:val="00236A23"/>
    <w:rsid w:val="00236B66"/>
    <w:rsid w:val="00236C90"/>
    <w:rsid w:val="00236FD3"/>
    <w:rsid w:val="00237536"/>
    <w:rsid w:val="002375AD"/>
    <w:rsid w:val="00237623"/>
    <w:rsid w:val="0023763C"/>
    <w:rsid w:val="00237681"/>
    <w:rsid w:val="00237784"/>
    <w:rsid w:val="00237886"/>
    <w:rsid w:val="0023789F"/>
    <w:rsid w:val="0023797B"/>
    <w:rsid w:val="00237E34"/>
    <w:rsid w:val="00237EE0"/>
    <w:rsid w:val="0024022B"/>
    <w:rsid w:val="00240465"/>
    <w:rsid w:val="002404F6"/>
    <w:rsid w:val="00240ADE"/>
    <w:rsid w:val="00240EDE"/>
    <w:rsid w:val="00240EE8"/>
    <w:rsid w:val="00240FF3"/>
    <w:rsid w:val="00241193"/>
    <w:rsid w:val="002412C5"/>
    <w:rsid w:val="00241357"/>
    <w:rsid w:val="0024154D"/>
    <w:rsid w:val="00241651"/>
    <w:rsid w:val="002417ED"/>
    <w:rsid w:val="00241844"/>
    <w:rsid w:val="00241936"/>
    <w:rsid w:val="00241D1C"/>
    <w:rsid w:val="00241EEE"/>
    <w:rsid w:val="0024218A"/>
    <w:rsid w:val="00242B90"/>
    <w:rsid w:val="00242BAF"/>
    <w:rsid w:val="00242E14"/>
    <w:rsid w:val="00242E5F"/>
    <w:rsid w:val="00243194"/>
    <w:rsid w:val="002433DE"/>
    <w:rsid w:val="0024382D"/>
    <w:rsid w:val="00243901"/>
    <w:rsid w:val="00243B04"/>
    <w:rsid w:val="00243DDC"/>
    <w:rsid w:val="00243E3B"/>
    <w:rsid w:val="002442F1"/>
    <w:rsid w:val="00244321"/>
    <w:rsid w:val="0024455F"/>
    <w:rsid w:val="00244712"/>
    <w:rsid w:val="00244B10"/>
    <w:rsid w:val="00244C4F"/>
    <w:rsid w:val="00245015"/>
    <w:rsid w:val="00245026"/>
    <w:rsid w:val="0024511A"/>
    <w:rsid w:val="002451E5"/>
    <w:rsid w:val="00245255"/>
    <w:rsid w:val="002452D8"/>
    <w:rsid w:val="00245317"/>
    <w:rsid w:val="00245385"/>
    <w:rsid w:val="002453E5"/>
    <w:rsid w:val="002454AB"/>
    <w:rsid w:val="00245818"/>
    <w:rsid w:val="00245931"/>
    <w:rsid w:val="00245B52"/>
    <w:rsid w:val="00245C00"/>
    <w:rsid w:val="00245C1A"/>
    <w:rsid w:val="00245DCD"/>
    <w:rsid w:val="00245E15"/>
    <w:rsid w:val="00246470"/>
    <w:rsid w:val="00246482"/>
    <w:rsid w:val="002464DE"/>
    <w:rsid w:val="00246511"/>
    <w:rsid w:val="002466A6"/>
    <w:rsid w:val="00246973"/>
    <w:rsid w:val="00246C18"/>
    <w:rsid w:val="00246D3D"/>
    <w:rsid w:val="00246E0C"/>
    <w:rsid w:val="002470AC"/>
    <w:rsid w:val="00247133"/>
    <w:rsid w:val="0024713E"/>
    <w:rsid w:val="00247181"/>
    <w:rsid w:val="0024738C"/>
    <w:rsid w:val="00247550"/>
    <w:rsid w:val="00247568"/>
    <w:rsid w:val="0024762D"/>
    <w:rsid w:val="00247763"/>
    <w:rsid w:val="00247B02"/>
    <w:rsid w:val="00247B20"/>
    <w:rsid w:val="00247B5D"/>
    <w:rsid w:val="0025014F"/>
    <w:rsid w:val="00250182"/>
    <w:rsid w:val="00250727"/>
    <w:rsid w:val="0025094E"/>
    <w:rsid w:val="00250A8C"/>
    <w:rsid w:val="00250D57"/>
    <w:rsid w:val="00250D9F"/>
    <w:rsid w:val="00250DA1"/>
    <w:rsid w:val="00250E10"/>
    <w:rsid w:val="00250F0D"/>
    <w:rsid w:val="002511FC"/>
    <w:rsid w:val="00251308"/>
    <w:rsid w:val="002516A2"/>
    <w:rsid w:val="002516A4"/>
    <w:rsid w:val="00251AF6"/>
    <w:rsid w:val="00251CB7"/>
    <w:rsid w:val="00251EF7"/>
    <w:rsid w:val="00251F83"/>
    <w:rsid w:val="002522F5"/>
    <w:rsid w:val="00252D8D"/>
    <w:rsid w:val="00252DDF"/>
    <w:rsid w:val="00252EB6"/>
    <w:rsid w:val="00252EC2"/>
    <w:rsid w:val="00253066"/>
    <w:rsid w:val="00253311"/>
    <w:rsid w:val="002533C7"/>
    <w:rsid w:val="002534F0"/>
    <w:rsid w:val="00253542"/>
    <w:rsid w:val="002536EC"/>
    <w:rsid w:val="002539F3"/>
    <w:rsid w:val="00253CF9"/>
    <w:rsid w:val="00253DC2"/>
    <w:rsid w:val="00253E6B"/>
    <w:rsid w:val="00253F0B"/>
    <w:rsid w:val="002540D1"/>
    <w:rsid w:val="002541C4"/>
    <w:rsid w:val="002543B0"/>
    <w:rsid w:val="00254621"/>
    <w:rsid w:val="00254EBA"/>
    <w:rsid w:val="0025505F"/>
    <w:rsid w:val="002550B1"/>
    <w:rsid w:val="002555CF"/>
    <w:rsid w:val="0025561D"/>
    <w:rsid w:val="00255625"/>
    <w:rsid w:val="0025569A"/>
    <w:rsid w:val="002557FE"/>
    <w:rsid w:val="00255C45"/>
    <w:rsid w:val="00255D80"/>
    <w:rsid w:val="00255DF5"/>
    <w:rsid w:val="00255EE3"/>
    <w:rsid w:val="00255EEF"/>
    <w:rsid w:val="00255FBE"/>
    <w:rsid w:val="00255FDC"/>
    <w:rsid w:val="002560F1"/>
    <w:rsid w:val="00256144"/>
    <w:rsid w:val="002561EB"/>
    <w:rsid w:val="002562C1"/>
    <w:rsid w:val="00256645"/>
    <w:rsid w:val="00256666"/>
    <w:rsid w:val="00256781"/>
    <w:rsid w:val="00256783"/>
    <w:rsid w:val="00256911"/>
    <w:rsid w:val="00256B5B"/>
    <w:rsid w:val="00256BAA"/>
    <w:rsid w:val="00256C77"/>
    <w:rsid w:val="00256FDA"/>
    <w:rsid w:val="00257247"/>
    <w:rsid w:val="00257292"/>
    <w:rsid w:val="002577AC"/>
    <w:rsid w:val="002577E8"/>
    <w:rsid w:val="002578B5"/>
    <w:rsid w:val="00257B17"/>
    <w:rsid w:val="00257CAB"/>
    <w:rsid w:val="00257FBD"/>
    <w:rsid w:val="00257FFE"/>
    <w:rsid w:val="0026011C"/>
    <w:rsid w:val="0026026D"/>
    <w:rsid w:val="0026036B"/>
    <w:rsid w:val="0026088D"/>
    <w:rsid w:val="00260D5B"/>
    <w:rsid w:val="00261157"/>
    <w:rsid w:val="00261259"/>
    <w:rsid w:val="00261271"/>
    <w:rsid w:val="00261277"/>
    <w:rsid w:val="0026136E"/>
    <w:rsid w:val="002616B4"/>
    <w:rsid w:val="0026176E"/>
    <w:rsid w:val="00261A46"/>
    <w:rsid w:val="00261B27"/>
    <w:rsid w:val="00261BDB"/>
    <w:rsid w:val="00261E81"/>
    <w:rsid w:val="00262361"/>
    <w:rsid w:val="0026269A"/>
    <w:rsid w:val="002626BA"/>
    <w:rsid w:val="00262D57"/>
    <w:rsid w:val="00262EFD"/>
    <w:rsid w:val="00263023"/>
    <w:rsid w:val="002633A3"/>
    <w:rsid w:val="00263726"/>
    <w:rsid w:val="002637B6"/>
    <w:rsid w:val="0026391C"/>
    <w:rsid w:val="00263BD5"/>
    <w:rsid w:val="00263DC2"/>
    <w:rsid w:val="00263F18"/>
    <w:rsid w:val="00263FDC"/>
    <w:rsid w:val="002643BD"/>
    <w:rsid w:val="002646B8"/>
    <w:rsid w:val="002646E6"/>
    <w:rsid w:val="00264953"/>
    <w:rsid w:val="00264F8D"/>
    <w:rsid w:val="00264FC7"/>
    <w:rsid w:val="002651A0"/>
    <w:rsid w:val="00265364"/>
    <w:rsid w:val="0026584B"/>
    <w:rsid w:val="00265AF5"/>
    <w:rsid w:val="00265B5F"/>
    <w:rsid w:val="00265BDF"/>
    <w:rsid w:val="00265C3D"/>
    <w:rsid w:val="00266475"/>
    <w:rsid w:val="0026648F"/>
    <w:rsid w:val="00266596"/>
    <w:rsid w:val="00266614"/>
    <w:rsid w:val="0026665C"/>
    <w:rsid w:val="00266EB3"/>
    <w:rsid w:val="00266FAB"/>
    <w:rsid w:val="0026705C"/>
    <w:rsid w:val="0026715A"/>
    <w:rsid w:val="0026722B"/>
    <w:rsid w:val="0026724D"/>
    <w:rsid w:val="002674EF"/>
    <w:rsid w:val="002677BB"/>
    <w:rsid w:val="002679A1"/>
    <w:rsid w:val="00267AB2"/>
    <w:rsid w:val="00267C85"/>
    <w:rsid w:val="00267D4F"/>
    <w:rsid w:val="00267D80"/>
    <w:rsid w:val="00267D92"/>
    <w:rsid w:val="00270180"/>
    <w:rsid w:val="00270D0B"/>
    <w:rsid w:val="00270EB7"/>
    <w:rsid w:val="00270FD9"/>
    <w:rsid w:val="0027135D"/>
    <w:rsid w:val="00271D58"/>
    <w:rsid w:val="00271EBD"/>
    <w:rsid w:val="00271FEC"/>
    <w:rsid w:val="00272060"/>
    <w:rsid w:val="0027206B"/>
    <w:rsid w:val="00272830"/>
    <w:rsid w:val="00272876"/>
    <w:rsid w:val="002729D4"/>
    <w:rsid w:val="00272AD1"/>
    <w:rsid w:val="00272B48"/>
    <w:rsid w:val="00272DF3"/>
    <w:rsid w:val="00272E2F"/>
    <w:rsid w:val="002731CA"/>
    <w:rsid w:val="00273688"/>
    <w:rsid w:val="002739E3"/>
    <w:rsid w:val="00273B02"/>
    <w:rsid w:val="00273B38"/>
    <w:rsid w:val="002740F6"/>
    <w:rsid w:val="002741A1"/>
    <w:rsid w:val="00274429"/>
    <w:rsid w:val="0027488E"/>
    <w:rsid w:val="002749C1"/>
    <w:rsid w:val="00274E71"/>
    <w:rsid w:val="00275384"/>
    <w:rsid w:val="00275398"/>
    <w:rsid w:val="0027543F"/>
    <w:rsid w:val="0027554B"/>
    <w:rsid w:val="0027559A"/>
    <w:rsid w:val="002758D5"/>
    <w:rsid w:val="00275EC3"/>
    <w:rsid w:val="00276055"/>
    <w:rsid w:val="0027622B"/>
    <w:rsid w:val="002767E5"/>
    <w:rsid w:val="00276B10"/>
    <w:rsid w:val="00276BBC"/>
    <w:rsid w:val="00276D2C"/>
    <w:rsid w:val="00276EAF"/>
    <w:rsid w:val="002772A0"/>
    <w:rsid w:val="0027735D"/>
    <w:rsid w:val="00277734"/>
    <w:rsid w:val="002777AD"/>
    <w:rsid w:val="002801A0"/>
    <w:rsid w:val="002801A9"/>
    <w:rsid w:val="00280595"/>
    <w:rsid w:val="00280696"/>
    <w:rsid w:val="002806B9"/>
    <w:rsid w:val="0028077C"/>
    <w:rsid w:val="002808B8"/>
    <w:rsid w:val="00280AA4"/>
    <w:rsid w:val="00280B8C"/>
    <w:rsid w:val="00280BF8"/>
    <w:rsid w:val="00280C85"/>
    <w:rsid w:val="00280D25"/>
    <w:rsid w:val="00281078"/>
    <w:rsid w:val="002811BF"/>
    <w:rsid w:val="002813BF"/>
    <w:rsid w:val="002813E7"/>
    <w:rsid w:val="00281443"/>
    <w:rsid w:val="0028149B"/>
    <w:rsid w:val="00281530"/>
    <w:rsid w:val="002818B2"/>
    <w:rsid w:val="00281AFA"/>
    <w:rsid w:val="00281B1B"/>
    <w:rsid w:val="00281B4B"/>
    <w:rsid w:val="00281C00"/>
    <w:rsid w:val="0028203D"/>
    <w:rsid w:val="0028243C"/>
    <w:rsid w:val="00282620"/>
    <w:rsid w:val="00282632"/>
    <w:rsid w:val="002827D1"/>
    <w:rsid w:val="002828B0"/>
    <w:rsid w:val="00282954"/>
    <w:rsid w:val="00282C3F"/>
    <w:rsid w:val="00282E5C"/>
    <w:rsid w:val="00283090"/>
    <w:rsid w:val="00283183"/>
    <w:rsid w:val="002838C0"/>
    <w:rsid w:val="00283C42"/>
    <w:rsid w:val="00284017"/>
    <w:rsid w:val="00284055"/>
    <w:rsid w:val="002842E2"/>
    <w:rsid w:val="00284476"/>
    <w:rsid w:val="00284919"/>
    <w:rsid w:val="00284B13"/>
    <w:rsid w:val="00284D3E"/>
    <w:rsid w:val="00284E36"/>
    <w:rsid w:val="00284FDC"/>
    <w:rsid w:val="0028508D"/>
    <w:rsid w:val="0028536F"/>
    <w:rsid w:val="0028554C"/>
    <w:rsid w:val="002855D0"/>
    <w:rsid w:val="0028589C"/>
    <w:rsid w:val="002859F9"/>
    <w:rsid w:val="00285A96"/>
    <w:rsid w:val="00285B39"/>
    <w:rsid w:val="00285ED5"/>
    <w:rsid w:val="00286120"/>
    <w:rsid w:val="00286272"/>
    <w:rsid w:val="00286317"/>
    <w:rsid w:val="002864A0"/>
    <w:rsid w:val="00286685"/>
    <w:rsid w:val="00286807"/>
    <w:rsid w:val="00286B5C"/>
    <w:rsid w:val="00286CE5"/>
    <w:rsid w:val="00286F96"/>
    <w:rsid w:val="00287024"/>
    <w:rsid w:val="002870A8"/>
    <w:rsid w:val="00287350"/>
    <w:rsid w:val="002874AC"/>
    <w:rsid w:val="0028772D"/>
    <w:rsid w:val="002877DB"/>
    <w:rsid w:val="002878F3"/>
    <w:rsid w:val="00287990"/>
    <w:rsid w:val="00287992"/>
    <w:rsid w:val="00290051"/>
    <w:rsid w:val="002901E9"/>
    <w:rsid w:val="00290792"/>
    <w:rsid w:val="00290AF9"/>
    <w:rsid w:val="00290D58"/>
    <w:rsid w:val="0029143D"/>
    <w:rsid w:val="00291832"/>
    <w:rsid w:val="00291ABF"/>
    <w:rsid w:val="002921D7"/>
    <w:rsid w:val="0029220A"/>
    <w:rsid w:val="0029258B"/>
    <w:rsid w:val="002926EE"/>
    <w:rsid w:val="0029287A"/>
    <w:rsid w:val="00292BDD"/>
    <w:rsid w:val="00293417"/>
    <w:rsid w:val="00293448"/>
    <w:rsid w:val="00293569"/>
    <w:rsid w:val="00293854"/>
    <w:rsid w:val="00293AC1"/>
    <w:rsid w:val="00293DE7"/>
    <w:rsid w:val="00293EB3"/>
    <w:rsid w:val="0029417E"/>
    <w:rsid w:val="00294275"/>
    <w:rsid w:val="0029460B"/>
    <w:rsid w:val="0029473C"/>
    <w:rsid w:val="002949FE"/>
    <w:rsid w:val="00294CEB"/>
    <w:rsid w:val="00294FB6"/>
    <w:rsid w:val="0029509D"/>
    <w:rsid w:val="002950AF"/>
    <w:rsid w:val="00295204"/>
    <w:rsid w:val="00295435"/>
    <w:rsid w:val="002958C5"/>
    <w:rsid w:val="002959E5"/>
    <w:rsid w:val="00295CA3"/>
    <w:rsid w:val="00295EC8"/>
    <w:rsid w:val="00296109"/>
    <w:rsid w:val="002961BF"/>
    <w:rsid w:val="00296548"/>
    <w:rsid w:val="00296AFE"/>
    <w:rsid w:val="00296B61"/>
    <w:rsid w:val="00296C1F"/>
    <w:rsid w:val="00296C39"/>
    <w:rsid w:val="00296CEC"/>
    <w:rsid w:val="00297385"/>
    <w:rsid w:val="002973FE"/>
    <w:rsid w:val="002976C8"/>
    <w:rsid w:val="00297719"/>
    <w:rsid w:val="00297762"/>
    <w:rsid w:val="002978A3"/>
    <w:rsid w:val="00297FB0"/>
    <w:rsid w:val="00297FE6"/>
    <w:rsid w:val="002A01CF"/>
    <w:rsid w:val="002A0281"/>
    <w:rsid w:val="002A03E5"/>
    <w:rsid w:val="002A06DB"/>
    <w:rsid w:val="002A07EF"/>
    <w:rsid w:val="002A082A"/>
    <w:rsid w:val="002A0884"/>
    <w:rsid w:val="002A092B"/>
    <w:rsid w:val="002A0D7D"/>
    <w:rsid w:val="002A0DD5"/>
    <w:rsid w:val="002A10C4"/>
    <w:rsid w:val="002A119E"/>
    <w:rsid w:val="002A167D"/>
    <w:rsid w:val="002A173A"/>
    <w:rsid w:val="002A1851"/>
    <w:rsid w:val="002A1989"/>
    <w:rsid w:val="002A1A41"/>
    <w:rsid w:val="002A1AAB"/>
    <w:rsid w:val="002A1ADF"/>
    <w:rsid w:val="002A1BD5"/>
    <w:rsid w:val="002A1C84"/>
    <w:rsid w:val="002A1D48"/>
    <w:rsid w:val="002A1DC6"/>
    <w:rsid w:val="002A1FDA"/>
    <w:rsid w:val="002A2423"/>
    <w:rsid w:val="002A252F"/>
    <w:rsid w:val="002A2633"/>
    <w:rsid w:val="002A286D"/>
    <w:rsid w:val="002A2B17"/>
    <w:rsid w:val="002A2C73"/>
    <w:rsid w:val="002A2D1F"/>
    <w:rsid w:val="002A2D75"/>
    <w:rsid w:val="002A2F2C"/>
    <w:rsid w:val="002A3029"/>
    <w:rsid w:val="002A312D"/>
    <w:rsid w:val="002A3381"/>
    <w:rsid w:val="002A39BF"/>
    <w:rsid w:val="002A3AFC"/>
    <w:rsid w:val="002A43F4"/>
    <w:rsid w:val="002A447D"/>
    <w:rsid w:val="002A475E"/>
    <w:rsid w:val="002A491C"/>
    <w:rsid w:val="002A4934"/>
    <w:rsid w:val="002A4C38"/>
    <w:rsid w:val="002A4DF0"/>
    <w:rsid w:val="002A4FA2"/>
    <w:rsid w:val="002A4FA7"/>
    <w:rsid w:val="002A50FE"/>
    <w:rsid w:val="002A5202"/>
    <w:rsid w:val="002A524B"/>
    <w:rsid w:val="002A53E3"/>
    <w:rsid w:val="002A55BB"/>
    <w:rsid w:val="002A5B77"/>
    <w:rsid w:val="002A5B93"/>
    <w:rsid w:val="002A5E12"/>
    <w:rsid w:val="002A5E54"/>
    <w:rsid w:val="002A620A"/>
    <w:rsid w:val="002A62FB"/>
    <w:rsid w:val="002A6309"/>
    <w:rsid w:val="002A6602"/>
    <w:rsid w:val="002A66F2"/>
    <w:rsid w:val="002A673C"/>
    <w:rsid w:val="002A682F"/>
    <w:rsid w:val="002A6A09"/>
    <w:rsid w:val="002A6C5B"/>
    <w:rsid w:val="002A7167"/>
    <w:rsid w:val="002A723F"/>
    <w:rsid w:val="002A74AE"/>
    <w:rsid w:val="002A74F5"/>
    <w:rsid w:val="002A76FE"/>
    <w:rsid w:val="002A7AE1"/>
    <w:rsid w:val="002A7B45"/>
    <w:rsid w:val="002A7BF9"/>
    <w:rsid w:val="002A7EF4"/>
    <w:rsid w:val="002B01A7"/>
    <w:rsid w:val="002B0340"/>
    <w:rsid w:val="002B03CD"/>
    <w:rsid w:val="002B05D5"/>
    <w:rsid w:val="002B05FB"/>
    <w:rsid w:val="002B0C88"/>
    <w:rsid w:val="002B0F09"/>
    <w:rsid w:val="002B14BC"/>
    <w:rsid w:val="002B1A6C"/>
    <w:rsid w:val="002B1A73"/>
    <w:rsid w:val="002B1C39"/>
    <w:rsid w:val="002B2022"/>
    <w:rsid w:val="002B207E"/>
    <w:rsid w:val="002B20DA"/>
    <w:rsid w:val="002B236E"/>
    <w:rsid w:val="002B2385"/>
    <w:rsid w:val="002B2435"/>
    <w:rsid w:val="002B261F"/>
    <w:rsid w:val="002B2BCF"/>
    <w:rsid w:val="002B2E98"/>
    <w:rsid w:val="002B3098"/>
    <w:rsid w:val="002B32B0"/>
    <w:rsid w:val="002B35F6"/>
    <w:rsid w:val="002B368E"/>
    <w:rsid w:val="002B3767"/>
    <w:rsid w:val="002B377A"/>
    <w:rsid w:val="002B3780"/>
    <w:rsid w:val="002B3AF8"/>
    <w:rsid w:val="002B3B4C"/>
    <w:rsid w:val="002B3BDD"/>
    <w:rsid w:val="002B3DE1"/>
    <w:rsid w:val="002B3E05"/>
    <w:rsid w:val="002B40B3"/>
    <w:rsid w:val="002B418A"/>
    <w:rsid w:val="002B43E3"/>
    <w:rsid w:val="002B4606"/>
    <w:rsid w:val="002B469D"/>
    <w:rsid w:val="002B48F8"/>
    <w:rsid w:val="002B4ACD"/>
    <w:rsid w:val="002B4B71"/>
    <w:rsid w:val="002B4D44"/>
    <w:rsid w:val="002B4E8C"/>
    <w:rsid w:val="002B4EEC"/>
    <w:rsid w:val="002B4FB5"/>
    <w:rsid w:val="002B4FFD"/>
    <w:rsid w:val="002B52C4"/>
    <w:rsid w:val="002B564D"/>
    <w:rsid w:val="002B5782"/>
    <w:rsid w:val="002B5EBC"/>
    <w:rsid w:val="002B611B"/>
    <w:rsid w:val="002B61F8"/>
    <w:rsid w:val="002B627D"/>
    <w:rsid w:val="002B62B0"/>
    <w:rsid w:val="002B64D7"/>
    <w:rsid w:val="002B64F2"/>
    <w:rsid w:val="002B65C0"/>
    <w:rsid w:val="002B6CA6"/>
    <w:rsid w:val="002B6ECD"/>
    <w:rsid w:val="002B72A3"/>
    <w:rsid w:val="002B73E9"/>
    <w:rsid w:val="002B74C8"/>
    <w:rsid w:val="002B7675"/>
    <w:rsid w:val="002B7755"/>
    <w:rsid w:val="002B7905"/>
    <w:rsid w:val="002B7AD4"/>
    <w:rsid w:val="002B7C79"/>
    <w:rsid w:val="002B7F3E"/>
    <w:rsid w:val="002C002E"/>
    <w:rsid w:val="002C01BF"/>
    <w:rsid w:val="002C028D"/>
    <w:rsid w:val="002C0732"/>
    <w:rsid w:val="002C07B1"/>
    <w:rsid w:val="002C0A0F"/>
    <w:rsid w:val="002C0A5D"/>
    <w:rsid w:val="002C0E26"/>
    <w:rsid w:val="002C12B6"/>
    <w:rsid w:val="002C13D1"/>
    <w:rsid w:val="002C141C"/>
    <w:rsid w:val="002C1471"/>
    <w:rsid w:val="002C1517"/>
    <w:rsid w:val="002C1C71"/>
    <w:rsid w:val="002C2078"/>
    <w:rsid w:val="002C2234"/>
    <w:rsid w:val="002C23F5"/>
    <w:rsid w:val="002C24CC"/>
    <w:rsid w:val="002C26DA"/>
    <w:rsid w:val="002C2811"/>
    <w:rsid w:val="002C28EE"/>
    <w:rsid w:val="002C29FC"/>
    <w:rsid w:val="002C2C4B"/>
    <w:rsid w:val="002C2EAD"/>
    <w:rsid w:val="002C2EB7"/>
    <w:rsid w:val="002C2FCA"/>
    <w:rsid w:val="002C3554"/>
    <w:rsid w:val="002C36D2"/>
    <w:rsid w:val="002C3C18"/>
    <w:rsid w:val="002C3F5D"/>
    <w:rsid w:val="002C401A"/>
    <w:rsid w:val="002C41FF"/>
    <w:rsid w:val="002C455F"/>
    <w:rsid w:val="002C45FC"/>
    <w:rsid w:val="002C4943"/>
    <w:rsid w:val="002C4D7B"/>
    <w:rsid w:val="002C4DFC"/>
    <w:rsid w:val="002C4FC2"/>
    <w:rsid w:val="002C56F2"/>
    <w:rsid w:val="002C5778"/>
    <w:rsid w:val="002C5A0B"/>
    <w:rsid w:val="002C5B6A"/>
    <w:rsid w:val="002C5C6B"/>
    <w:rsid w:val="002C5DA5"/>
    <w:rsid w:val="002C5F35"/>
    <w:rsid w:val="002C6124"/>
    <w:rsid w:val="002C6165"/>
    <w:rsid w:val="002C6628"/>
    <w:rsid w:val="002C6752"/>
    <w:rsid w:val="002C68F3"/>
    <w:rsid w:val="002C6B85"/>
    <w:rsid w:val="002C6DF6"/>
    <w:rsid w:val="002C6E5B"/>
    <w:rsid w:val="002C6F5E"/>
    <w:rsid w:val="002C70C5"/>
    <w:rsid w:val="002C79F5"/>
    <w:rsid w:val="002D0012"/>
    <w:rsid w:val="002D0158"/>
    <w:rsid w:val="002D0519"/>
    <w:rsid w:val="002D0599"/>
    <w:rsid w:val="002D06B8"/>
    <w:rsid w:val="002D07E9"/>
    <w:rsid w:val="002D09B0"/>
    <w:rsid w:val="002D0ADA"/>
    <w:rsid w:val="002D0B68"/>
    <w:rsid w:val="002D0B8D"/>
    <w:rsid w:val="002D0C18"/>
    <w:rsid w:val="002D0C48"/>
    <w:rsid w:val="002D0D29"/>
    <w:rsid w:val="002D0E38"/>
    <w:rsid w:val="002D13B2"/>
    <w:rsid w:val="002D14A5"/>
    <w:rsid w:val="002D1700"/>
    <w:rsid w:val="002D196C"/>
    <w:rsid w:val="002D19B6"/>
    <w:rsid w:val="002D1B52"/>
    <w:rsid w:val="002D1C52"/>
    <w:rsid w:val="002D1D96"/>
    <w:rsid w:val="002D2007"/>
    <w:rsid w:val="002D23E2"/>
    <w:rsid w:val="002D2433"/>
    <w:rsid w:val="002D2493"/>
    <w:rsid w:val="002D24FE"/>
    <w:rsid w:val="002D253C"/>
    <w:rsid w:val="002D2696"/>
    <w:rsid w:val="002D28C0"/>
    <w:rsid w:val="002D2B36"/>
    <w:rsid w:val="002D2C3C"/>
    <w:rsid w:val="002D2D71"/>
    <w:rsid w:val="002D3002"/>
    <w:rsid w:val="002D3588"/>
    <w:rsid w:val="002D3657"/>
    <w:rsid w:val="002D36C4"/>
    <w:rsid w:val="002D3878"/>
    <w:rsid w:val="002D38C2"/>
    <w:rsid w:val="002D3912"/>
    <w:rsid w:val="002D3963"/>
    <w:rsid w:val="002D3C2A"/>
    <w:rsid w:val="002D3FB6"/>
    <w:rsid w:val="002D41B2"/>
    <w:rsid w:val="002D459C"/>
    <w:rsid w:val="002D476D"/>
    <w:rsid w:val="002D4A74"/>
    <w:rsid w:val="002D4C7C"/>
    <w:rsid w:val="002D4DE5"/>
    <w:rsid w:val="002D535A"/>
    <w:rsid w:val="002D5458"/>
    <w:rsid w:val="002D547A"/>
    <w:rsid w:val="002D5660"/>
    <w:rsid w:val="002D5693"/>
    <w:rsid w:val="002D57AE"/>
    <w:rsid w:val="002D5974"/>
    <w:rsid w:val="002D59A0"/>
    <w:rsid w:val="002D5BFC"/>
    <w:rsid w:val="002D5E33"/>
    <w:rsid w:val="002D6177"/>
    <w:rsid w:val="002D633C"/>
    <w:rsid w:val="002D639D"/>
    <w:rsid w:val="002D6D00"/>
    <w:rsid w:val="002D6E0C"/>
    <w:rsid w:val="002D6FDF"/>
    <w:rsid w:val="002D7434"/>
    <w:rsid w:val="002D751F"/>
    <w:rsid w:val="002E036B"/>
    <w:rsid w:val="002E04FD"/>
    <w:rsid w:val="002E065F"/>
    <w:rsid w:val="002E0744"/>
    <w:rsid w:val="002E09F2"/>
    <w:rsid w:val="002E0A22"/>
    <w:rsid w:val="002E0B8F"/>
    <w:rsid w:val="002E0C1C"/>
    <w:rsid w:val="002E0D65"/>
    <w:rsid w:val="002E0E1B"/>
    <w:rsid w:val="002E0E1D"/>
    <w:rsid w:val="002E1308"/>
    <w:rsid w:val="002E1601"/>
    <w:rsid w:val="002E18CF"/>
    <w:rsid w:val="002E18FA"/>
    <w:rsid w:val="002E1951"/>
    <w:rsid w:val="002E1D1D"/>
    <w:rsid w:val="002E1D83"/>
    <w:rsid w:val="002E22AC"/>
    <w:rsid w:val="002E23AF"/>
    <w:rsid w:val="002E24BD"/>
    <w:rsid w:val="002E2C47"/>
    <w:rsid w:val="002E2E25"/>
    <w:rsid w:val="002E2E62"/>
    <w:rsid w:val="002E3000"/>
    <w:rsid w:val="002E322F"/>
    <w:rsid w:val="002E3333"/>
    <w:rsid w:val="002E3675"/>
    <w:rsid w:val="002E3733"/>
    <w:rsid w:val="002E38AD"/>
    <w:rsid w:val="002E3907"/>
    <w:rsid w:val="002E39EC"/>
    <w:rsid w:val="002E3B80"/>
    <w:rsid w:val="002E3E5E"/>
    <w:rsid w:val="002E3F2E"/>
    <w:rsid w:val="002E4084"/>
    <w:rsid w:val="002E422C"/>
    <w:rsid w:val="002E47F2"/>
    <w:rsid w:val="002E4853"/>
    <w:rsid w:val="002E4AC2"/>
    <w:rsid w:val="002E4B63"/>
    <w:rsid w:val="002E4E18"/>
    <w:rsid w:val="002E50E2"/>
    <w:rsid w:val="002E517A"/>
    <w:rsid w:val="002E528A"/>
    <w:rsid w:val="002E5397"/>
    <w:rsid w:val="002E53DE"/>
    <w:rsid w:val="002E540A"/>
    <w:rsid w:val="002E59FB"/>
    <w:rsid w:val="002E5A81"/>
    <w:rsid w:val="002E62CF"/>
    <w:rsid w:val="002E6791"/>
    <w:rsid w:val="002E6BD4"/>
    <w:rsid w:val="002E6C15"/>
    <w:rsid w:val="002E6F1E"/>
    <w:rsid w:val="002E7118"/>
    <w:rsid w:val="002E74E8"/>
    <w:rsid w:val="002E783C"/>
    <w:rsid w:val="002E7AFF"/>
    <w:rsid w:val="002E7B8D"/>
    <w:rsid w:val="002E7DBF"/>
    <w:rsid w:val="002E7DCD"/>
    <w:rsid w:val="002E7DFF"/>
    <w:rsid w:val="002E7F57"/>
    <w:rsid w:val="002F005E"/>
    <w:rsid w:val="002F0142"/>
    <w:rsid w:val="002F08FA"/>
    <w:rsid w:val="002F09FD"/>
    <w:rsid w:val="002F0DD5"/>
    <w:rsid w:val="002F0E96"/>
    <w:rsid w:val="002F135A"/>
    <w:rsid w:val="002F1381"/>
    <w:rsid w:val="002F159A"/>
    <w:rsid w:val="002F16F2"/>
    <w:rsid w:val="002F1AD6"/>
    <w:rsid w:val="002F1EA3"/>
    <w:rsid w:val="002F21E5"/>
    <w:rsid w:val="002F254E"/>
    <w:rsid w:val="002F257F"/>
    <w:rsid w:val="002F27FE"/>
    <w:rsid w:val="002F2851"/>
    <w:rsid w:val="002F29E6"/>
    <w:rsid w:val="002F2BF5"/>
    <w:rsid w:val="002F2D14"/>
    <w:rsid w:val="002F2F90"/>
    <w:rsid w:val="002F3117"/>
    <w:rsid w:val="002F33A6"/>
    <w:rsid w:val="002F3595"/>
    <w:rsid w:val="002F35DA"/>
    <w:rsid w:val="002F3687"/>
    <w:rsid w:val="002F36D2"/>
    <w:rsid w:val="002F3865"/>
    <w:rsid w:val="002F3D69"/>
    <w:rsid w:val="002F3E32"/>
    <w:rsid w:val="002F428E"/>
    <w:rsid w:val="002F46CB"/>
    <w:rsid w:val="002F470F"/>
    <w:rsid w:val="002F47EC"/>
    <w:rsid w:val="002F4D4F"/>
    <w:rsid w:val="002F4D99"/>
    <w:rsid w:val="002F4E33"/>
    <w:rsid w:val="002F4E6E"/>
    <w:rsid w:val="002F5348"/>
    <w:rsid w:val="002F5423"/>
    <w:rsid w:val="002F54C9"/>
    <w:rsid w:val="002F5503"/>
    <w:rsid w:val="002F5586"/>
    <w:rsid w:val="002F558D"/>
    <w:rsid w:val="002F569D"/>
    <w:rsid w:val="002F5856"/>
    <w:rsid w:val="002F5906"/>
    <w:rsid w:val="002F5C53"/>
    <w:rsid w:val="002F60A0"/>
    <w:rsid w:val="002F642C"/>
    <w:rsid w:val="002F6438"/>
    <w:rsid w:val="002F65C8"/>
    <w:rsid w:val="002F6649"/>
    <w:rsid w:val="002F664F"/>
    <w:rsid w:val="002F6787"/>
    <w:rsid w:val="002F6AC7"/>
    <w:rsid w:val="002F6BAF"/>
    <w:rsid w:val="002F6BF4"/>
    <w:rsid w:val="002F6E18"/>
    <w:rsid w:val="002F7017"/>
    <w:rsid w:val="002F706B"/>
    <w:rsid w:val="002F70A8"/>
    <w:rsid w:val="002F7191"/>
    <w:rsid w:val="002F721E"/>
    <w:rsid w:val="002F732D"/>
    <w:rsid w:val="002F73EF"/>
    <w:rsid w:val="002F7420"/>
    <w:rsid w:val="002F7425"/>
    <w:rsid w:val="002F76D7"/>
    <w:rsid w:val="002F7ACE"/>
    <w:rsid w:val="002F7BF7"/>
    <w:rsid w:val="003000A5"/>
    <w:rsid w:val="00300383"/>
    <w:rsid w:val="003003CD"/>
    <w:rsid w:val="00300444"/>
    <w:rsid w:val="00300C1A"/>
    <w:rsid w:val="00300D24"/>
    <w:rsid w:val="00300E4E"/>
    <w:rsid w:val="00301246"/>
    <w:rsid w:val="00301252"/>
    <w:rsid w:val="003012A5"/>
    <w:rsid w:val="00301342"/>
    <w:rsid w:val="003013FC"/>
    <w:rsid w:val="00301478"/>
    <w:rsid w:val="00301553"/>
    <w:rsid w:val="00301A96"/>
    <w:rsid w:val="00301CA0"/>
    <w:rsid w:val="00301E32"/>
    <w:rsid w:val="00302089"/>
    <w:rsid w:val="00302260"/>
    <w:rsid w:val="00302476"/>
    <w:rsid w:val="003024FF"/>
    <w:rsid w:val="00302517"/>
    <w:rsid w:val="00302B29"/>
    <w:rsid w:val="003030C7"/>
    <w:rsid w:val="0030369D"/>
    <w:rsid w:val="00303716"/>
    <w:rsid w:val="0030375A"/>
    <w:rsid w:val="003037CD"/>
    <w:rsid w:val="00303A3F"/>
    <w:rsid w:val="00303BA9"/>
    <w:rsid w:val="0030401B"/>
    <w:rsid w:val="00304155"/>
    <w:rsid w:val="003043CD"/>
    <w:rsid w:val="00304443"/>
    <w:rsid w:val="00304555"/>
    <w:rsid w:val="0030462F"/>
    <w:rsid w:val="003046CA"/>
    <w:rsid w:val="003049CC"/>
    <w:rsid w:val="00304B2A"/>
    <w:rsid w:val="00304C2A"/>
    <w:rsid w:val="00304D60"/>
    <w:rsid w:val="00304FF6"/>
    <w:rsid w:val="003052F9"/>
    <w:rsid w:val="00305D0A"/>
    <w:rsid w:val="003063E8"/>
    <w:rsid w:val="003069F8"/>
    <w:rsid w:val="00306A4E"/>
    <w:rsid w:val="00306B1D"/>
    <w:rsid w:val="00306F75"/>
    <w:rsid w:val="00306FAE"/>
    <w:rsid w:val="0030715F"/>
    <w:rsid w:val="003073B5"/>
    <w:rsid w:val="003074F3"/>
    <w:rsid w:val="00307765"/>
    <w:rsid w:val="0030796A"/>
    <w:rsid w:val="00307CD7"/>
    <w:rsid w:val="00307E2C"/>
    <w:rsid w:val="00307E42"/>
    <w:rsid w:val="00307FF0"/>
    <w:rsid w:val="0031010F"/>
    <w:rsid w:val="003101C2"/>
    <w:rsid w:val="00310204"/>
    <w:rsid w:val="00310215"/>
    <w:rsid w:val="00310255"/>
    <w:rsid w:val="00310447"/>
    <w:rsid w:val="00310501"/>
    <w:rsid w:val="00310571"/>
    <w:rsid w:val="0031067A"/>
    <w:rsid w:val="0031076B"/>
    <w:rsid w:val="003107CE"/>
    <w:rsid w:val="00310AAB"/>
    <w:rsid w:val="00310D36"/>
    <w:rsid w:val="003113D6"/>
    <w:rsid w:val="00311BC6"/>
    <w:rsid w:val="003127AB"/>
    <w:rsid w:val="003129FF"/>
    <w:rsid w:val="00312A1F"/>
    <w:rsid w:val="00312B2F"/>
    <w:rsid w:val="00312CE0"/>
    <w:rsid w:val="00312D39"/>
    <w:rsid w:val="0031304D"/>
    <w:rsid w:val="003132B2"/>
    <w:rsid w:val="00313626"/>
    <w:rsid w:val="003137D9"/>
    <w:rsid w:val="00313AF8"/>
    <w:rsid w:val="00313E78"/>
    <w:rsid w:val="00313FEE"/>
    <w:rsid w:val="0031448D"/>
    <w:rsid w:val="003145E3"/>
    <w:rsid w:val="00314681"/>
    <w:rsid w:val="00314A02"/>
    <w:rsid w:val="00314F4E"/>
    <w:rsid w:val="00315020"/>
    <w:rsid w:val="0031502C"/>
    <w:rsid w:val="003150AE"/>
    <w:rsid w:val="00315313"/>
    <w:rsid w:val="003155D9"/>
    <w:rsid w:val="00315702"/>
    <w:rsid w:val="00315776"/>
    <w:rsid w:val="00315981"/>
    <w:rsid w:val="00315A98"/>
    <w:rsid w:val="00315F2A"/>
    <w:rsid w:val="00316062"/>
    <w:rsid w:val="00316120"/>
    <w:rsid w:val="00316497"/>
    <w:rsid w:val="00316613"/>
    <w:rsid w:val="00316846"/>
    <w:rsid w:val="00316A90"/>
    <w:rsid w:val="00316F8B"/>
    <w:rsid w:val="00316FF3"/>
    <w:rsid w:val="00317145"/>
    <w:rsid w:val="00317350"/>
    <w:rsid w:val="0031766B"/>
    <w:rsid w:val="003178BB"/>
    <w:rsid w:val="00317A2F"/>
    <w:rsid w:val="00317C27"/>
    <w:rsid w:val="00317CA9"/>
    <w:rsid w:val="003201CE"/>
    <w:rsid w:val="00320492"/>
    <w:rsid w:val="00320510"/>
    <w:rsid w:val="00320697"/>
    <w:rsid w:val="003206F7"/>
    <w:rsid w:val="00320773"/>
    <w:rsid w:val="00320A22"/>
    <w:rsid w:val="00320A4E"/>
    <w:rsid w:val="00320C39"/>
    <w:rsid w:val="00320CDD"/>
    <w:rsid w:val="00320D0F"/>
    <w:rsid w:val="00321012"/>
    <w:rsid w:val="003213C7"/>
    <w:rsid w:val="003215FA"/>
    <w:rsid w:val="00321704"/>
    <w:rsid w:val="00321948"/>
    <w:rsid w:val="00321BAB"/>
    <w:rsid w:val="00321C9E"/>
    <w:rsid w:val="00321E8D"/>
    <w:rsid w:val="00321F92"/>
    <w:rsid w:val="003222DC"/>
    <w:rsid w:val="00322863"/>
    <w:rsid w:val="00322896"/>
    <w:rsid w:val="00322A0A"/>
    <w:rsid w:val="00322A8F"/>
    <w:rsid w:val="00322B02"/>
    <w:rsid w:val="00322BE9"/>
    <w:rsid w:val="00322EC1"/>
    <w:rsid w:val="003233D0"/>
    <w:rsid w:val="00323C5A"/>
    <w:rsid w:val="00324430"/>
    <w:rsid w:val="00324533"/>
    <w:rsid w:val="00324842"/>
    <w:rsid w:val="0032487A"/>
    <w:rsid w:val="00324A07"/>
    <w:rsid w:val="00324ACD"/>
    <w:rsid w:val="00324BEB"/>
    <w:rsid w:val="00324C00"/>
    <w:rsid w:val="00324C8F"/>
    <w:rsid w:val="00324D65"/>
    <w:rsid w:val="00324E8C"/>
    <w:rsid w:val="003251A2"/>
    <w:rsid w:val="003258B5"/>
    <w:rsid w:val="003259A5"/>
    <w:rsid w:val="00325E12"/>
    <w:rsid w:val="00325E6B"/>
    <w:rsid w:val="003261AC"/>
    <w:rsid w:val="003262BC"/>
    <w:rsid w:val="0032668E"/>
    <w:rsid w:val="0032687C"/>
    <w:rsid w:val="00326A88"/>
    <w:rsid w:val="00326C3C"/>
    <w:rsid w:val="00326CFE"/>
    <w:rsid w:val="00326E63"/>
    <w:rsid w:val="00326E84"/>
    <w:rsid w:val="00326F33"/>
    <w:rsid w:val="00326F3B"/>
    <w:rsid w:val="00326FEA"/>
    <w:rsid w:val="0032705D"/>
    <w:rsid w:val="0032714C"/>
    <w:rsid w:val="003276F6"/>
    <w:rsid w:val="003278FE"/>
    <w:rsid w:val="00327BC9"/>
    <w:rsid w:val="00327D1D"/>
    <w:rsid w:val="00327F62"/>
    <w:rsid w:val="0033042F"/>
    <w:rsid w:val="00330486"/>
    <w:rsid w:val="0033081C"/>
    <w:rsid w:val="003308A5"/>
    <w:rsid w:val="00330A60"/>
    <w:rsid w:val="00331060"/>
    <w:rsid w:val="0033121D"/>
    <w:rsid w:val="003312FF"/>
    <w:rsid w:val="00331491"/>
    <w:rsid w:val="00331543"/>
    <w:rsid w:val="003317B6"/>
    <w:rsid w:val="00331B26"/>
    <w:rsid w:val="00331BF7"/>
    <w:rsid w:val="003320E7"/>
    <w:rsid w:val="003322FB"/>
    <w:rsid w:val="0033250B"/>
    <w:rsid w:val="003326B6"/>
    <w:rsid w:val="00332704"/>
    <w:rsid w:val="0033293E"/>
    <w:rsid w:val="0033295D"/>
    <w:rsid w:val="0033309C"/>
    <w:rsid w:val="003330A5"/>
    <w:rsid w:val="00333358"/>
    <w:rsid w:val="003333F7"/>
    <w:rsid w:val="003335A8"/>
    <w:rsid w:val="00333674"/>
    <w:rsid w:val="00333F33"/>
    <w:rsid w:val="00333F62"/>
    <w:rsid w:val="003340E1"/>
    <w:rsid w:val="00334133"/>
    <w:rsid w:val="003342D9"/>
    <w:rsid w:val="00334C39"/>
    <w:rsid w:val="00334C65"/>
    <w:rsid w:val="00334D54"/>
    <w:rsid w:val="00334EF6"/>
    <w:rsid w:val="00334F07"/>
    <w:rsid w:val="003351F8"/>
    <w:rsid w:val="003355DA"/>
    <w:rsid w:val="003357C3"/>
    <w:rsid w:val="00335892"/>
    <w:rsid w:val="00335B7B"/>
    <w:rsid w:val="00335C3C"/>
    <w:rsid w:val="00335DD6"/>
    <w:rsid w:val="003362D0"/>
    <w:rsid w:val="00336467"/>
    <w:rsid w:val="00336554"/>
    <w:rsid w:val="0033694F"/>
    <w:rsid w:val="00336955"/>
    <w:rsid w:val="00336C95"/>
    <w:rsid w:val="00336CCB"/>
    <w:rsid w:val="00336F71"/>
    <w:rsid w:val="0033756B"/>
    <w:rsid w:val="00337987"/>
    <w:rsid w:val="00337B1A"/>
    <w:rsid w:val="00337D64"/>
    <w:rsid w:val="00337F7E"/>
    <w:rsid w:val="00340035"/>
    <w:rsid w:val="00340267"/>
    <w:rsid w:val="00340302"/>
    <w:rsid w:val="0034048B"/>
    <w:rsid w:val="0034066B"/>
    <w:rsid w:val="003406CB"/>
    <w:rsid w:val="00340984"/>
    <w:rsid w:val="00340AA4"/>
    <w:rsid w:val="00340ADC"/>
    <w:rsid w:val="00340BCA"/>
    <w:rsid w:val="00340F0B"/>
    <w:rsid w:val="00340F4F"/>
    <w:rsid w:val="0034118E"/>
    <w:rsid w:val="003411E0"/>
    <w:rsid w:val="00341238"/>
    <w:rsid w:val="0034128A"/>
    <w:rsid w:val="0034139A"/>
    <w:rsid w:val="0034146F"/>
    <w:rsid w:val="00341666"/>
    <w:rsid w:val="0034181F"/>
    <w:rsid w:val="00341F66"/>
    <w:rsid w:val="003420C5"/>
    <w:rsid w:val="0034218B"/>
    <w:rsid w:val="00342C7E"/>
    <w:rsid w:val="0034306A"/>
    <w:rsid w:val="003432AB"/>
    <w:rsid w:val="003434C6"/>
    <w:rsid w:val="0034352E"/>
    <w:rsid w:val="00343631"/>
    <w:rsid w:val="00343719"/>
    <w:rsid w:val="00343BBA"/>
    <w:rsid w:val="00343C68"/>
    <w:rsid w:val="00343D3C"/>
    <w:rsid w:val="00343DF6"/>
    <w:rsid w:val="00343E62"/>
    <w:rsid w:val="003440A0"/>
    <w:rsid w:val="00344519"/>
    <w:rsid w:val="0034458A"/>
    <w:rsid w:val="0034469E"/>
    <w:rsid w:val="00344777"/>
    <w:rsid w:val="0034493A"/>
    <w:rsid w:val="00344AE6"/>
    <w:rsid w:val="00344B62"/>
    <w:rsid w:val="00344EAE"/>
    <w:rsid w:val="00344ECC"/>
    <w:rsid w:val="003452E8"/>
    <w:rsid w:val="003452F0"/>
    <w:rsid w:val="0034556D"/>
    <w:rsid w:val="00345780"/>
    <w:rsid w:val="00345E1D"/>
    <w:rsid w:val="003461CF"/>
    <w:rsid w:val="003466F0"/>
    <w:rsid w:val="003467E6"/>
    <w:rsid w:val="00346C60"/>
    <w:rsid w:val="00346F6E"/>
    <w:rsid w:val="00347056"/>
    <w:rsid w:val="003473AA"/>
    <w:rsid w:val="00347487"/>
    <w:rsid w:val="003474C6"/>
    <w:rsid w:val="003478CA"/>
    <w:rsid w:val="00347BF5"/>
    <w:rsid w:val="00347C0A"/>
    <w:rsid w:val="00350179"/>
    <w:rsid w:val="003502C3"/>
    <w:rsid w:val="003502E2"/>
    <w:rsid w:val="0035055E"/>
    <w:rsid w:val="00350A35"/>
    <w:rsid w:val="00350AC2"/>
    <w:rsid w:val="00350B9A"/>
    <w:rsid w:val="00350EE8"/>
    <w:rsid w:val="0035126F"/>
    <w:rsid w:val="003514B9"/>
    <w:rsid w:val="003514D9"/>
    <w:rsid w:val="003518E4"/>
    <w:rsid w:val="003519A9"/>
    <w:rsid w:val="00351D08"/>
    <w:rsid w:val="0035207E"/>
    <w:rsid w:val="003522CB"/>
    <w:rsid w:val="00352417"/>
    <w:rsid w:val="003527EB"/>
    <w:rsid w:val="00352A0F"/>
    <w:rsid w:val="00352ACB"/>
    <w:rsid w:val="00352B6A"/>
    <w:rsid w:val="00352C7C"/>
    <w:rsid w:val="00352D73"/>
    <w:rsid w:val="00352DDC"/>
    <w:rsid w:val="00352F6C"/>
    <w:rsid w:val="0035358F"/>
    <w:rsid w:val="003536B9"/>
    <w:rsid w:val="00353BDE"/>
    <w:rsid w:val="00353E0E"/>
    <w:rsid w:val="00353ED6"/>
    <w:rsid w:val="00354047"/>
    <w:rsid w:val="0035454A"/>
    <w:rsid w:val="003546AB"/>
    <w:rsid w:val="003546EB"/>
    <w:rsid w:val="00354996"/>
    <w:rsid w:val="003549C9"/>
    <w:rsid w:val="00354A48"/>
    <w:rsid w:val="00354B74"/>
    <w:rsid w:val="00354CE7"/>
    <w:rsid w:val="00354D44"/>
    <w:rsid w:val="00355409"/>
    <w:rsid w:val="00355492"/>
    <w:rsid w:val="00355695"/>
    <w:rsid w:val="00355A65"/>
    <w:rsid w:val="00355A73"/>
    <w:rsid w:val="00355AE8"/>
    <w:rsid w:val="00355CCF"/>
    <w:rsid w:val="00355F68"/>
    <w:rsid w:val="0035605B"/>
    <w:rsid w:val="00356205"/>
    <w:rsid w:val="00356221"/>
    <w:rsid w:val="003563A6"/>
    <w:rsid w:val="003564A5"/>
    <w:rsid w:val="003566C8"/>
    <w:rsid w:val="00356AED"/>
    <w:rsid w:val="00356C06"/>
    <w:rsid w:val="00356CB4"/>
    <w:rsid w:val="0035717A"/>
    <w:rsid w:val="00357246"/>
    <w:rsid w:val="00357323"/>
    <w:rsid w:val="00357A89"/>
    <w:rsid w:val="00357C49"/>
    <w:rsid w:val="00357DBB"/>
    <w:rsid w:val="00357E66"/>
    <w:rsid w:val="003600EF"/>
    <w:rsid w:val="00360758"/>
    <w:rsid w:val="00360C4F"/>
    <w:rsid w:val="00360CD3"/>
    <w:rsid w:val="00361343"/>
    <w:rsid w:val="003613B4"/>
    <w:rsid w:val="0036155C"/>
    <w:rsid w:val="0036166E"/>
    <w:rsid w:val="00361D80"/>
    <w:rsid w:val="00361F89"/>
    <w:rsid w:val="00362220"/>
    <w:rsid w:val="0036230D"/>
    <w:rsid w:val="0036235E"/>
    <w:rsid w:val="003626D5"/>
    <w:rsid w:val="00362885"/>
    <w:rsid w:val="00362991"/>
    <w:rsid w:val="003629DB"/>
    <w:rsid w:val="00362A2F"/>
    <w:rsid w:val="00362A9D"/>
    <w:rsid w:val="00362ACC"/>
    <w:rsid w:val="00362B92"/>
    <w:rsid w:val="00362BD5"/>
    <w:rsid w:val="00362C3E"/>
    <w:rsid w:val="00362C57"/>
    <w:rsid w:val="00362C80"/>
    <w:rsid w:val="00362D48"/>
    <w:rsid w:val="00362E61"/>
    <w:rsid w:val="00363110"/>
    <w:rsid w:val="00363122"/>
    <w:rsid w:val="003633E7"/>
    <w:rsid w:val="003638B3"/>
    <w:rsid w:val="00363990"/>
    <w:rsid w:val="00363C4D"/>
    <w:rsid w:val="00363D68"/>
    <w:rsid w:val="00363EA3"/>
    <w:rsid w:val="00364198"/>
    <w:rsid w:val="003641FD"/>
    <w:rsid w:val="0036427C"/>
    <w:rsid w:val="00364301"/>
    <w:rsid w:val="0036466F"/>
    <w:rsid w:val="003649DA"/>
    <w:rsid w:val="003649FD"/>
    <w:rsid w:val="00364B83"/>
    <w:rsid w:val="00364D98"/>
    <w:rsid w:val="00364F9A"/>
    <w:rsid w:val="00365137"/>
    <w:rsid w:val="003651EC"/>
    <w:rsid w:val="0036537F"/>
    <w:rsid w:val="0036544D"/>
    <w:rsid w:val="00365612"/>
    <w:rsid w:val="0036571D"/>
    <w:rsid w:val="00365752"/>
    <w:rsid w:val="0036585C"/>
    <w:rsid w:val="0036586A"/>
    <w:rsid w:val="003659DC"/>
    <w:rsid w:val="0036636F"/>
    <w:rsid w:val="00366406"/>
    <w:rsid w:val="003666FF"/>
    <w:rsid w:val="00366987"/>
    <w:rsid w:val="00366A5E"/>
    <w:rsid w:val="00366CF6"/>
    <w:rsid w:val="00366F75"/>
    <w:rsid w:val="00366F8A"/>
    <w:rsid w:val="00366FD5"/>
    <w:rsid w:val="00366FF3"/>
    <w:rsid w:val="00367195"/>
    <w:rsid w:val="003671BD"/>
    <w:rsid w:val="00367214"/>
    <w:rsid w:val="003673CE"/>
    <w:rsid w:val="00367494"/>
    <w:rsid w:val="0036771D"/>
    <w:rsid w:val="0036795B"/>
    <w:rsid w:val="00367C7D"/>
    <w:rsid w:val="00367FFC"/>
    <w:rsid w:val="0037016C"/>
    <w:rsid w:val="0037022B"/>
    <w:rsid w:val="00370358"/>
    <w:rsid w:val="0037060D"/>
    <w:rsid w:val="003706D8"/>
    <w:rsid w:val="0037070A"/>
    <w:rsid w:val="00370A94"/>
    <w:rsid w:val="00370BE4"/>
    <w:rsid w:val="00370D0C"/>
    <w:rsid w:val="00371151"/>
    <w:rsid w:val="0037119D"/>
    <w:rsid w:val="00371581"/>
    <w:rsid w:val="003715CE"/>
    <w:rsid w:val="00371977"/>
    <w:rsid w:val="00371CD7"/>
    <w:rsid w:val="00371E31"/>
    <w:rsid w:val="00371EEB"/>
    <w:rsid w:val="00371F8B"/>
    <w:rsid w:val="00372561"/>
    <w:rsid w:val="003728B3"/>
    <w:rsid w:val="003729B2"/>
    <w:rsid w:val="00372CCC"/>
    <w:rsid w:val="00372D3C"/>
    <w:rsid w:val="00372E66"/>
    <w:rsid w:val="00373095"/>
    <w:rsid w:val="003730AB"/>
    <w:rsid w:val="003738B1"/>
    <w:rsid w:val="003738B7"/>
    <w:rsid w:val="00373920"/>
    <w:rsid w:val="00373A98"/>
    <w:rsid w:val="00373BA4"/>
    <w:rsid w:val="00373F2B"/>
    <w:rsid w:val="00373F30"/>
    <w:rsid w:val="00373F90"/>
    <w:rsid w:val="00374315"/>
    <w:rsid w:val="003745CD"/>
    <w:rsid w:val="003746AE"/>
    <w:rsid w:val="0037472D"/>
    <w:rsid w:val="00374A1E"/>
    <w:rsid w:val="00374C98"/>
    <w:rsid w:val="00374E00"/>
    <w:rsid w:val="00374E4E"/>
    <w:rsid w:val="003750D4"/>
    <w:rsid w:val="003758DC"/>
    <w:rsid w:val="003759BF"/>
    <w:rsid w:val="00375E88"/>
    <w:rsid w:val="003762A6"/>
    <w:rsid w:val="00376309"/>
    <w:rsid w:val="003765F8"/>
    <w:rsid w:val="0037671B"/>
    <w:rsid w:val="00376895"/>
    <w:rsid w:val="00376933"/>
    <w:rsid w:val="0037695D"/>
    <w:rsid w:val="00376B9D"/>
    <w:rsid w:val="00376BA9"/>
    <w:rsid w:val="00376BDD"/>
    <w:rsid w:val="00376BF6"/>
    <w:rsid w:val="00376CB5"/>
    <w:rsid w:val="00376E7E"/>
    <w:rsid w:val="00377045"/>
    <w:rsid w:val="00377608"/>
    <w:rsid w:val="003778A5"/>
    <w:rsid w:val="00377952"/>
    <w:rsid w:val="003779AE"/>
    <w:rsid w:val="00377A45"/>
    <w:rsid w:val="00377D3C"/>
    <w:rsid w:val="00377F23"/>
    <w:rsid w:val="00380013"/>
    <w:rsid w:val="00380034"/>
    <w:rsid w:val="0038059F"/>
    <w:rsid w:val="00380749"/>
    <w:rsid w:val="00380C8B"/>
    <w:rsid w:val="00381005"/>
    <w:rsid w:val="00381058"/>
    <w:rsid w:val="00381562"/>
    <w:rsid w:val="0038194C"/>
    <w:rsid w:val="0038195D"/>
    <w:rsid w:val="00381D48"/>
    <w:rsid w:val="003821D2"/>
    <w:rsid w:val="003824E3"/>
    <w:rsid w:val="00382538"/>
    <w:rsid w:val="003825D7"/>
    <w:rsid w:val="00382662"/>
    <w:rsid w:val="0038292B"/>
    <w:rsid w:val="00382943"/>
    <w:rsid w:val="003829F7"/>
    <w:rsid w:val="00382A7A"/>
    <w:rsid w:val="00383058"/>
    <w:rsid w:val="00383240"/>
    <w:rsid w:val="003833C0"/>
    <w:rsid w:val="003833E6"/>
    <w:rsid w:val="0038346B"/>
    <w:rsid w:val="003834AD"/>
    <w:rsid w:val="00383660"/>
    <w:rsid w:val="0038392B"/>
    <w:rsid w:val="00383E0D"/>
    <w:rsid w:val="00383F4E"/>
    <w:rsid w:val="00383FBA"/>
    <w:rsid w:val="003841D5"/>
    <w:rsid w:val="0038445E"/>
    <w:rsid w:val="00384723"/>
    <w:rsid w:val="00384DF2"/>
    <w:rsid w:val="003851CF"/>
    <w:rsid w:val="0038530A"/>
    <w:rsid w:val="0038534E"/>
    <w:rsid w:val="00385838"/>
    <w:rsid w:val="00385999"/>
    <w:rsid w:val="00385C4F"/>
    <w:rsid w:val="00385E53"/>
    <w:rsid w:val="0038685C"/>
    <w:rsid w:val="00386AFB"/>
    <w:rsid w:val="00386C5C"/>
    <w:rsid w:val="00386D97"/>
    <w:rsid w:val="003871B5"/>
    <w:rsid w:val="00387303"/>
    <w:rsid w:val="0038737E"/>
    <w:rsid w:val="0038749B"/>
    <w:rsid w:val="003874CD"/>
    <w:rsid w:val="0038775D"/>
    <w:rsid w:val="00387EB7"/>
    <w:rsid w:val="00390335"/>
    <w:rsid w:val="00390B0A"/>
    <w:rsid w:val="00390B2C"/>
    <w:rsid w:val="00390B63"/>
    <w:rsid w:val="0039106B"/>
    <w:rsid w:val="00391071"/>
    <w:rsid w:val="00391326"/>
    <w:rsid w:val="00391534"/>
    <w:rsid w:val="0039153E"/>
    <w:rsid w:val="003918CE"/>
    <w:rsid w:val="00391A15"/>
    <w:rsid w:val="00391C6B"/>
    <w:rsid w:val="00391D7C"/>
    <w:rsid w:val="00391DC0"/>
    <w:rsid w:val="00392001"/>
    <w:rsid w:val="0039217A"/>
    <w:rsid w:val="003922D7"/>
    <w:rsid w:val="00392565"/>
    <w:rsid w:val="0039280F"/>
    <w:rsid w:val="00392833"/>
    <w:rsid w:val="003928A3"/>
    <w:rsid w:val="0039294C"/>
    <w:rsid w:val="00392A21"/>
    <w:rsid w:val="00392B08"/>
    <w:rsid w:val="00392E07"/>
    <w:rsid w:val="00392FF7"/>
    <w:rsid w:val="0039323F"/>
    <w:rsid w:val="00393273"/>
    <w:rsid w:val="003933A7"/>
    <w:rsid w:val="003935E2"/>
    <w:rsid w:val="003939A2"/>
    <w:rsid w:val="003939EC"/>
    <w:rsid w:val="00393C27"/>
    <w:rsid w:val="00393CAE"/>
    <w:rsid w:val="00393CE4"/>
    <w:rsid w:val="00393D3D"/>
    <w:rsid w:val="00394031"/>
    <w:rsid w:val="00394147"/>
    <w:rsid w:val="00394557"/>
    <w:rsid w:val="003946A2"/>
    <w:rsid w:val="003948F0"/>
    <w:rsid w:val="00394A09"/>
    <w:rsid w:val="00394A29"/>
    <w:rsid w:val="00394AE6"/>
    <w:rsid w:val="00394B88"/>
    <w:rsid w:val="0039513E"/>
    <w:rsid w:val="003953F1"/>
    <w:rsid w:val="00395428"/>
    <w:rsid w:val="003954A7"/>
    <w:rsid w:val="0039558B"/>
    <w:rsid w:val="0039561E"/>
    <w:rsid w:val="00395B3C"/>
    <w:rsid w:val="00395B73"/>
    <w:rsid w:val="00395BB6"/>
    <w:rsid w:val="00395BCB"/>
    <w:rsid w:val="00395E4D"/>
    <w:rsid w:val="00395EEB"/>
    <w:rsid w:val="0039615F"/>
    <w:rsid w:val="00396444"/>
    <w:rsid w:val="0039650A"/>
    <w:rsid w:val="003967F0"/>
    <w:rsid w:val="00396BB5"/>
    <w:rsid w:val="00396C70"/>
    <w:rsid w:val="00396F1B"/>
    <w:rsid w:val="003970CC"/>
    <w:rsid w:val="003972A9"/>
    <w:rsid w:val="00397443"/>
    <w:rsid w:val="00397494"/>
    <w:rsid w:val="003974EF"/>
    <w:rsid w:val="003976A2"/>
    <w:rsid w:val="0039777E"/>
    <w:rsid w:val="003977A5"/>
    <w:rsid w:val="0039790B"/>
    <w:rsid w:val="0039793A"/>
    <w:rsid w:val="00397987"/>
    <w:rsid w:val="00397B95"/>
    <w:rsid w:val="00397BE8"/>
    <w:rsid w:val="00397C27"/>
    <w:rsid w:val="00397C55"/>
    <w:rsid w:val="00397F4D"/>
    <w:rsid w:val="003A030A"/>
    <w:rsid w:val="003A031C"/>
    <w:rsid w:val="003A039B"/>
    <w:rsid w:val="003A03A2"/>
    <w:rsid w:val="003A0533"/>
    <w:rsid w:val="003A054E"/>
    <w:rsid w:val="003A0591"/>
    <w:rsid w:val="003A05DD"/>
    <w:rsid w:val="003A05E4"/>
    <w:rsid w:val="003A087E"/>
    <w:rsid w:val="003A08F5"/>
    <w:rsid w:val="003A0954"/>
    <w:rsid w:val="003A0C27"/>
    <w:rsid w:val="003A0F29"/>
    <w:rsid w:val="003A0F56"/>
    <w:rsid w:val="003A1600"/>
    <w:rsid w:val="003A1624"/>
    <w:rsid w:val="003A186A"/>
    <w:rsid w:val="003A19E4"/>
    <w:rsid w:val="003A1DA6"/>
    <w:rsid w:val="003A1DB1"/>
    <w:rsid w:val="003A2182"/>
    <w:rsid w:val="003A22B1"/>
    <w:rsid w:val="003A2877"/>
    <w:rsid w:val="003A2CB1"/>
    <w:rsid w:val="003A2D87"/>
    <w:rsid w:val="003A2E9E"/>
    <w:rsid w:val="003A2EE6"/>
    <w:rsid w:val="003A2FB3"/>
    <w:rsid w:val="003A3072"/>
    <w:rsid w:val="003A3133"/>
    <w:rsid w:val="003A3238"/>
    <w:rsid w:val="003A3258"/>
    <w:rsid w:val="003A3A09"/>
    <w:rsid w:val="003A3A2E"/>
    <w:rsid w:val="003A3E75"/>
    <w:rsid w:val="003A3E92"/>
    <w:rsid w:val="003A3FE8"/>
    <w:rsid w:val="003A4014"/>
    <w:rsid w:val="003A4193"/>
    <w:rsid w:val="003A41A6"/>
    <w:rsid w:val="003A4A50"/>
    <w:rsid w:val="003A4D8E"/>
    <w:rsid w:val="003A4DA9"/>
    <w:rsid w:val="003A4E77"/>
    <w:rsid w:val="003A5048"/>
    <w:rsid w:val="003A50DB"/>
    <w:rsid w:val="003A50E5"/>
    <w:rsid w:val="003A524B"/>
    <w:rsid w:val="003A52FC"/>
    <w:rsid w:val="003A5301"/>
    <w:rsid w:val="003A5AFD"/>
    <w:rsid w:val="003A5BA3"/>
    <w:rsid w:val="003A5CB0"/>
    <w:rsid w:val="003A607B"/>
    <w:rsid w:val="003A6280"/>
    <w:rsid w:val="003A62F2"/>
    <w:rsid w:val="003A67FB"/>
    <w:rsid w:val="003A6A39"/>
    <w:rsid w:val="003A6ABA"/>
    <w:rsid w:val="003A6DC5"/>
    <w:rsid w:val="003A6E50"/>
    <w:rsid w:val="003A6EA0"/>
    <w:rsid w:val="003A6F48"/>
    <w:rsid w:val="003A7016"/>
    <w:rsid w:val="003A7184"/>
    <w:rsid w:val="003A76B9"/>
    <w:rsid w:val="003A7895"/>
    <w:rsid w:val="003A7A08"/>
    <w:rsid w:val="003B053F"/>
    <w:rsid w:val="003B0543"/>
    <w:rsid w:val="003B0626"/>
    <w:rsid w:val="003B08D2"/>
    <w:rsid w:val="003B1059"/>
    <w:rsid w:val="003B116A"/>
    <w:rsid w:val="003B1373"/>
    <w:rsid w:val="003B1830"/>
    <w:rsid w:val="003B1A44"/>
    <w:rsid w:val="003B1A6B"/>
    <w:rsid w:val="003B1C33"/>
    <w:rsid w:val="003B1E68"/>
    <w:rsid w:val="003B1EDA"/>
    <w:rsid w:val="003B1F79"/>
    <w:rsid w:val="003B2020"/>
    <w:rsid w:val="003B2259"/>
    <w:rsid w:val="003B247E"/>
    <w:rsid w:val="003B2742"/>
    <w:rsid w:val="003B284D"/>
    <w:rsid w:val="003B2BDD"/>
    <w:rsid w:val="003B2E05"/>
    <w:rsid w:val="003B2F03"/>
    <w:rsid w:val="003B3149"/>
    <w:rsid w:val="003B3160"/>
    <w:rsid w:val="003B3643"/>
    <w:rsid w:val="003B36D7"/>
    <w:rsid w:val="003B38DD"/>
    <w:rsid w:val="003B3A17"/>
    <w:rsid w:val="003B3B95"/>
    <w:rsid w:val="003B3BAB"/>
    <w:rsid w:val="003B3CB2"/>
    <w:rsid w:val="003B3E0E"/>
    <w:rsid w:val="003B40EF"/>
    <w:rsid w:val="003B4351"/>
    <w:rsid w:val="003B472B"/>
    <w:rsid w:val="003B488C"/>
    <w:rsid w:val="003B48ED"/>
    <w:rsid w:val="003B4977"/>
    <w:rsid w:val="003B4A34"/>
    <w:rsid w:val="003B4B7D"/>
    <w:rsid w:val="003B4F6D"/>
    <w:rsid w:val="003B5393"/>
    <w:rsid w:val="003B53E5"/>
    <w:rsid w:val="003B55FD"/>
    <w:rsid w:val="003B5716"/>
    <w:rsid w:val="003B57E7"/>
    <w:rsid w:val="003B57F0"/>
    <w:rsid w:val="003B5A52"/>
    <w:rsid w:val="003B5B01"/>
    <w:rsid w:val="003B5B07"/>
    <w:rsid w:val="003B5F28"/>
    <w:rsid w:val="003B5FC6"/>
    <w:rsid w:val="003B629C"/>
    <w:rsid w:val="003B635E"/>
    <w:rsid w:val="003B6641"/>
    <w:rsid w:val="003B6B5F"/>
    <w:rsid w:val="003B6D9E"/>
    <w:rsid w:val="003B6FB9"/>
    <w:rsid w:val="003B733B"/>
    <w:rsid w:val="003B776D"/>
    <w:rsid w:val="003B7838"/>
    <w:rsid w:val="003B7E6A"/>
    <w:rsid w:val="003C0142"/>
    <w:rsid w:val="003C0505"/>
    <w:rsid w:val="003C05E1"/>
    <w:rsid w:val="003C0772"/>
    <w:rsid w:val="003C07C8"/>
    <w:rsid w:val="003C0B1A"/>
    <w:rsid w:val="003C0B4E"/>
    <w:rsid w:val="003C0EFB"/>
    <w:rsid w:val="003C1160"/>
    <w:rsid w:val="003C130A"/>
    <w:rsid w:val="003C15A2"/>
    <w:rsid w:val="003C1B11"/>
    <w:rsid w:val="003C1B4D"/>
    <w:rsid w:val="003C20B8"/>
    <w:rsid w:val="003C217A"/>
    <w:rsid w:val="003C2238"/>
    <w:rsid w:val="003C2651"/>
    <w:rsid w:val="003C281E"/>
    <w:rsid w:val="003C2B77"/>
    <w:rsid w:val="003C2C40"/>
    <w:rsid w:val="003C2C7A"/>
    <w:rsid w:val="003C2D5A"/>
    <w:rsid w:val="003C2EB3"/>
    <w:rsid w:val="003C2F91"/>
    <w:rsid w:val="003C31E2"/>
    <w:rsid w:val="003C32FA"/>
    <w:rsid w:val="003C3545"/>
    <w:rsid w:val="003C397C"/>
    <w:rsid w:val="003C39F2"/>
    <w:rsid w:val="003C3CD6"/>
    <w:rsid w:val="003C3D1E"/>
    <w:rsid w:val="003C3FDD"/>
    <w:rsid w:val="003C3FE2"/>
    <w:rsid w:val="003C400A"/>
    <w:rsid w:val="003C48F0"/>
    <w:rsid w:val="003C496F"/>
    <w:rsid w:val="003C4C2D"/>
    <w:rsid w:val="003C4DCB"/>
    <w:rsid w:val="003C52FD"/>
    <w:rsid w:val="003C5332"/>
    <w:rsid w:val="003C5578"/>
    <w:rsid w:val="003C5755"/>
    <w:rsid w:val="003C5823"/>
    <w:rsid w:val="003C588F"/>
    <w:rsid w:val="003C5972"/>
    <w:rsid w:val="003C5C5F"/>
    <w:rsid w:val="003C6054"/>
    <w:rsid w:val="003C64A7"/>
    <w:rsid w:val="003C6AA8"/>
    <w:rsid w:val="003C6BFA"/>
    <w:rsid w:val="003C6D59"/>
    <w:rsid w:val="003C6D6F"/>
    <w:rsid w:val="003C6E9A"/>
    <w:rsid w:val="003C6FC2"/>
    <w:rsid w:val="003C7145"/>
    <w:rsid w:val="003C771D"/>
    <w:rsid w:val="003C7967"/>
    <w:rsid w:val="003C79D4"/>
    <w:rsid w:val="003C7A3D"/>
    <w:rsid w:val="003C7C53"/>
    <w:rsid w:val="003C7D66"/>
    <w:rsid w:val="003C7DF6"/>
    <w:rsid w:val="003C7F25"/>
    <w:rsid w:val="003D07C1"/>
    <w:rsid w:val="003D0829"/>
    <w:rsid w:val="003D0890"/>
    <w:rsid w:val="003D0BB2"/>
    <w:rsid w:val="003D0C3F"/>
    <w:rsid w:val="003D0DF4"/>
    <w:rsid w:val="003D111B"/>
    <w:rsid w:val="003D12B5"/>
    <w:rsid w:val="003D13B8"/>
    <w:rsid w:val="003D16BA"/>
    <w:rsid w:val="003D17D5"/>
    <w:rsid w:val="003D18DB"/>
    <w:rsid w:val="003D1CE3"/>
    <w:rsid w:val="003D1DDF"/>
    <w:rsid w:val="003D1F14"/>
    <w:rsid w:val="003D22B2"/>
    <w:rsid w:val="003D231E"/>
    <w:rsid w:val="003D26F6"/>
    <w:rsid w:val="003D28A4"/>
    <w:rsid w:val="003D2AFA"/>
    <w:rsid w:val="003D2C1F"/>
    <w:rsid w:val="003D2CDE"/>
    <w:rsid w:val="003D2D48"/>
    <w:rsid w:val="003D2F17"/>
    <w:rsid w:val="003D2F25"/>
    <w:rsid w:val="003D39A5"/>
    <w:rsid w:val="003D3B99"/>
    <w:rsid w:val="003D3BA0"/>
    <w:rsid w:val="003D40B9"/>
    <w:rsid w:val="003D42BC"/>
    <w:rsid w:val="003D430E"/>
    <w:rsid w:val="003D452A"/>
    <w:rsid w:val="003D45AB"/>
    <w:rsid w:val="003D45BF"/>
    <w:rsid w:val="003D4685"/>
    <w:rsid w:val="003D47AF"/>
    <w:rsid w:val="003D48AA"/>
    <w:rsid w:val="003D49C3"/>
    <w:rsid w:val="003D4A8C"/>
    <w:rsid w:val="003D4C81"/>
    <w:rsid w:val="003D543A"/>
    <w:rsid w:val="003D58AB"/>
    <w:rsid w:val="003D5BC0"/>
    <w:rsid w:val="003D5DAA"/>
    <w:rsid w:val="003D6024"/>
    <w:rsid w:val="003D6226"/>
    <w:rsid w:val="003D62C1"/>
    <w:rsid w:val="003D63CD"/>
    <w:rsid w:val="003D64AA"/>
    <w:rsid w:val="003D67DA"/>
    <w:rsid w:val="003D6C1F"/>
    <w:rsid w:val="003D6CA2"/>
    <w:rsid w:val="003D6D91"/>
    <w:rsid w:val="003D6EAA"/>
    <w:rsid w:val="003D6EBB"/>
    <w:rsid w:val="003D71E1"/>
    <w:rsid w:val="003D7257"/>
    <w:rsid w:val="003D726F"/>
    <w:rsid w:val="003D72A8"/>
    <w:rsid w:val="003D75EC"/>
    <w:rsid w:val="003D76F0"/>
    <w:rsid w:val="003D781D"/>
    <w:rsid w:val="003D78E6"/>
    <w:rsid w:val="003D79EA"/>
    <w:rsid w:val="003D7B15"/>
    <w:rsid w:val="003D7B50"/>
    <w:rsid w:val="003E017E"/>
    <w:rsid w:val="003E03F9"/>
    <w:rsid w:val="003E082E"/>
    <w:rsid w:val="003E0CF6"/>
    <w:rsid w:val="003E0DC5"/>
    <w:rsid w:val="003E119C"/>
    <w:rsid w:val="003E1343"/>
    <w:rsid w:val="003E152D"/>
    <w:rsid w:val="003E1823"/>
    <w:rsid w:val="003E19DD"/>
    <w:rsid w:val="003E1FC5"/>
    <w:rsid w:val="003E2020"/>
    <w:rsid w:val="003E22D4"/>
    <w:rsid w:val="003E23DC"/>
    <w:rsid w:val="003E2493"/>
    <w:rsid w:val="003E24AF"/>
    <w:rsid w:val="003E29C6"/>
    <w:rsid w:val="003E2D22"/>
    <w:rsid w:val="003E2D3C"/>
    <w:rsid w:val="003E2DDC"/>
    <w:rsid w:val="003E2E1F"/>
    <w:rsid w:val="003E368B"/>
    <w:rsid w:val="003E3A0A"/>
    <w:rsid w:val="003E3BDB"/>
    <w:rsid w:val="003E3D16"/>
    <w:rsid w:val="003E3E70"/>
    <w:rsid w:val="003E3F57"/>
    <w:rsid w:val="003E3F7F"/>
    <w:rsid w:val="003E40BF"/>
    <w:rsid w:val="003E41D7"/>
    <w:rsid w:val="003E42DB"/>
    <w:rsid w:val="003E48BD"/>
    <w:rsid w:val="003E4935"/>
    <w:rsid w:val="003E49CB"/>
    <w:rsid w:val="003E4B1C"/>
    <w:rsid w:val="003E4CDA"/>
    <w:rsid w:val="003E4D00"/>
    <w:rsid w:val="003E4D81"/>
    <w:rsid w:val="003E4F35"/>
    <w:rsid w:val="003E4F9F"/>
    <w:rsid w:val="003E5020"/>
    <w:rsid w:val="003E539C"/>
    <w:rsid w:val="003E53B0"/>
    <w:rsid w:val="003E54E2"/>
    <w:rsid w:val="003E5603"/>
    <w:rsid w:val="003E5812"/>
    <w:rsid w:val="003E5BAD"/>
    <w:rsid w:val="003E5C22"/>
    <w:rsid w:val="003E5DE0"/>
    <w:rsid w:val="003E5E4D"/>
    <w:rsid w:val="003E5EEB"/>
    <w:rsid w:val="003E637E"/>
    <w:rsid w:val="003E6726"/>
    <w:rsid w:val="003E6B7B"/>
    <w:rsid w:val="003E6C62"/>
    <w:rsid w:val="003E6E3A"/>
    <w:rsid w:val="003E6FE3"/>
    <w:rsid w:val="003E6FF9"/>
    <w:rsid w:val="003E71D1"/>
    <w:rsid w:val="003E7343"/>
    <w:rsid w:val="003E736E"/>
    <w:rsid w:val="003E74B2"/>
    <w:rsid w:val="003E793D"/>
    <w:rsid w:val="003E7AC0"/>
    <w:rsid w:val="003E7AC6"/>
    <w:rsid w:val="003E7B27"/>
    <w:rsid w:val="003E7B56"/>
    <w:rsid w:val="003E7D73"/>
    <w:rsid w:val="003F0674"/>
    <w:rsid w:val="003F069A"/>
    <w:rsid w:val="003F09DA"/>
    <w:rsid w:val="003F0BDD"/>
    <w:rsid w:val="003F0C5A"/>
    <w:rsid w:val="003F0C82"/>
    <w:rsid w:val="003F0E70"/>
    <w:rsid w:val="003F0EEB"/>
    <w:rsid w:val="003F1086"/>
    <w:rsid w:val="003F10BA"/>
    <w:rsid w:val="003F11E4"/>
    <w:rsid w:val="003F1585"/>
    <w:rsid w:val="003F163E"/>
    <w:rsid w:val="003F16E5"/>
    <w:rsid w:val="003F18DF"/>
    <w:rsid w:val="003F1A1F"/>
    <w:rsid w:val="003F1A3F"/>
    <w:rsid w:val="003F1A65"/>
    <w:rsid w:val="003F1AFD"/>
    <w:rsid w:val="003F1B51"/>
    <w:rsid w:val="003F1F36"/>
    <w:rsid w:val="003F1FDF"/>
    <w:rsid w:val="003F20D2"/>
    <w:rsid w:val="003F22BE"/>
    <w:rsid w:val="003F2588"/>
    <w:rsid w:val="003F273E"/>
    <w:rsid w:val="003F2872"/>
    <w:rsid w:val="003F28F9"/>
    <w:rsid w:val="003F2D98"/>
    <w:rsid w:val="003F30A3"/>
    <w:rsid w:val="003F3236"/>
    <w:rsid w:val="003F3550"/>
    <w:rsid w:val="003F35D2"/>
    <w:rsid w:val="003F37B8"/>
    <w:rsid w:val="003F383C"/>
    <w:rsid w:val="003F393E"/>
    <w:rsid w:val="003F3E25"/>
    <w:rsid w:val="003F3E98"/>
    <w:rsid w:val="003F3F34"/>
    <w:rsid w:val="003F406C"/>
    <w:rsid w:val="003F4081"/>
    <w:rsid w:val="003F418A"/>
    <w:rsid w:val="003F45CA"/>
    <w:rsid w:val="003F46BB"/>
    <w:rsid w:val="003F4CA6"/>
    <w:rsid w:val="003F4CB7"/>
    <w:rsid w:val="003F54B1"/>
    <w:rsid w:val="003F5686"/>
    <w:rsid w:val="003F5AB7"/>
    <w:rsid w:val="003F5ACA"/>
    <w:rsid w:val="003F5E9F"/>
    <w:rsid w:val="003F5EAF"/>
    <w:rsid w:val="003F6517"/>
    <w:rsid w:val="003F6A5A"/>
    <w:rsid w:val="003F6AEF"/>
    <w:rsid w:val="003F6D14"/>
    <w:rsid w:val="003F6FD8"/>
    <w:rsid w:val="003F700B"/>
    <w:rsid w:val="003F779A"/>
    <w:rsid w:val="003F78F0"/>
    <w:rsid w:val="003F7976"/>
    <w:rsid w:val="004000B7"/>
    <w:rsid w:val="004001A6"/>
    <w:rsid w:val="00400225"/>
    <w:rsid w:val="0040054D"/>
    <w:rsid w:val="0040089C"/>
    <w:rsid w:val="0040097E"/>
    <w:rsid w:val="00400994"/>
    <w:rsid w:val="00400C13"/>
    <w:rsid w:val="0040104B"/>
    <w:rsid w:val="004011C1"/>
    <w:rsid w:val="004013C5"/>
    <w:rsid w:val="0040162F"/>
    <w:rsid w:val="00401D70"/>
    <w:rsid w:val="00401E99"/>
    <w:rsid w:val="00401F85"/>
    <w:rsid w:val="00402043"/>
    <w:rsid w:val="004021C9"/>
    <w:rsid w:val="004021CB"/>
    <w:rsid w:val="004025B6"/>
    <w:rsid w:val="0040277E"/>
    <w:rsid w:val="0040289C"/>
    <w:rsid w:val="00402AA6"/>
    <w:rsid w:val="004032A3"/>
    <w:rsid w:val="0040411B"/>
    <w:rsid w:val="0040416B"/>
    <w:rsid w:val="004041A4"/>
    <w:rsid w:val="004043B6"/>
    <w:rsid w:val="004043E0"/>
    <w:rsid w:val="00404601"/>
    <w:rsid w:val="0040465D"/>
    <w:rsid w:val="00404F72"/>
    <w:rsid w:val="0040513C"/>
    <w:rsid w:val="00405820"/>
    <w:rsid w:val="004059C8"/>
    <w:rsid w:val="00405A0F"/>
    <w:rsid w:val="00405E37"/>
    <w:rsid w:val="00405F00"/>
    <w:rsid w:val="004063B8"/>
    <w:rsid w:val="00406510"/>
    <w:rsid w:val="004065B5"/>
    <w:rsid w:val="00406639"/>
    <w:rsid w:val="004066DB"/>
    <w:rsid w:val="004068D4"/>
    <w:rsid w:val="0040694B"/>
    <w:rsid w:val="00406A57"/>
    <w:rsid w:val="00406C45"/>
    <w:rsid w:val="00406FB8"/>
    <w:rsid w:val="004071B8"/>
    <w:rsid w:val="00407247"/>
    <w:rsid w:val="00407667"/>
    <w:rsid w:val="00407794"/>
    <w:rsid w:val="00407AFE"/>
    <w:rsid w:val="00407B6E"/>
    <w:rsid w:val="00407DFA"/>
    <w:rsid w:val="00407FDC"/>
    <w:rsid w:val="00407FFB"/>
    <w:rsid w:val="00410000"/>
    <w:rsid w:val="004101C3"/>
    <w:rsid w:val="00410249"/>
    <w:rsid w:val="004102E7"/>
    <w:rsid w:val="0041034F"/>
    <w:rsid w:val="004104B4"/>
    <w:rsid w:val="00410687"/>
    <w:rsid w:val="0041092F"/>
    <w:rsid w:val="00410AC4"/>
    <w:rsid w:val="00410D59"/>
    <w:rsid w:val="00410E7C"/>
    <w:rsid w:val="004110F3"/>
    <w:rsid w:val="004112ED"/>
    <w:rsid w:val="00411470"/>
    <w:rsid w:val="004114A0"/>
    <w:rsid w:val="00411D9A"/>
    <w:rsid w:val="00411F0F"/>
    <w:rsid w:val="00411F2F"/>
    <w:rsid w:val="00411FEF"/>
    <w:rsid w:val="00412061"/>
    <w:rsid w:val="0041207F"/>
    <w:rsid w:val="00412154"/>
    <w:rsid w:val="00412233"/>
    <w:rsid w:val="0041236B"/>
    <w:rsid w:val="004124AA"/>
    <w:rsid w:val="004125FA"/>
    <w:rsid w:val="004128E8"/>
    <w:rsid w:val="00412977"/>
    <w:rsid w:val="00412A4A"/>
    <w:rsid w:val="00412C3B"/>
    <w:rsid w:val="00413089"/>
    <w:rsid w:val="0041316F"/>
    <w:rsid w:val="004132BA"/>
    <w:rsid w:val="004132E4"/>
    <w:rsid w:val="00413712"/>
    <w:rsid w:val="00413A8D"/>
    <w:rsid w:val="00413C48"/>
    <w:rsid w:val="00413CA7"/>
    <w:rsid w:val="00413D9F"/>
    <w:rsid w:val="0041406C"/>
    <w:rsid w:val="004141AE"/>
    <w:rsid w:val="004142C7"/>
    <w:rsid w:val="0041494D"/>
    <w:rsid w:val="00414A96"/>
    <w:rsid w:val="00414E31"/>
    <w:rsid w:val="004151EF"/>
    <w:rsid w:val="004152CF"/>
    <w:rsid w:val="0041540E"/>
    <w:rsid w:val="00415513"/>
    <w:rsid w:val="004159F0"/>
    <w:rsid w:val="00415AB2"/>
    <w:rsid w:val="00415AC4"/>
    <w:rsid w:val="00415AFF"/>
    <w:rsid w:val="00415C42"/>
    <w:rsid w:val="004161F8"/>
    <w:rsid w:val="004165E7"/>
    <w:rsid w:val="0041686D"/>
    <w:rsid w:val="00416AE3"/>
    <w:rsid w:val="00416FEB"/>
    <w:rsid w:val="00417001"/>
    <w:rsid w:val="0041730A"/>
    <w:rsid w:val="004178D2"/>
    <w:rsid w:val="00417996"/>
    <w:rsid w:val="00417BB3"/>
    <w:rsid w:val="00417D5F"/>
    <w:rsid w:val="00420223"/>
    <w:rsid w:val="00420991"/>
    <w:rsid w:val="00420AFB"/>
    <w:rsid w:val="00420DE7"/>
    <w:rsid w:val="004213C9"/>
    <w:rsid w:val="00421643"/>
    <w:rsid w:val="004216BA"/>
    <w:rsid w:val="00421711"/>
    <w:rsid w:val="00421F46"/>
    <w:rsid w:val="004220FA"/>
    <w:rsid w:val="004227B1"/>
    <w:rsid w:val="00422D05"/>
    <w:rsid w:val="00422EF8"/>
    <w:rsid w:val="00422F5D"/>
    <w:rsid w:val="00422F92"/>
    <w:rsid w:val="00422FD3"/>
    <w:rsid w:val="0042314F"/>
    <w:rsid w:val="0042328C"/>
    <w:rsid w:val="00423385"/>
    <w:rsid w:val="004235CA"/>
    <w:rsid w:val="00423A6F"/>
    <w:rsid w:val="00423CC2"/>
    <w:rsid w:val="00423D0F"/>
    <w:rsid w:val="00424072"/>
    <w:rsid w:val="004243A6"/>
    <w:rsid w:val="00424841"/>
    <w:rsid w:val="0042492F"/>
    <w:rsid w:val="004249EF"/>
    <w:rsid w:val="004249F8"/>
    <w:rsid w:val="00424A6C"/>
    <w:rsid w:val="00424DB0"/>
    <w:rsid w:val="00424EA2"/>
    <w:rsid w:val="00424F6E"/>
    <w:rsid w:val="004252D1"/>
    <w:rsid w:val="00425453"/>
    <w:rsid w:val="004254E5"/>
    <w:rsid w:val="004257BF"/>
    <w:rsid w:val="004258E8"/>
    <w:rsid w:val="00425938"/>
    <w:rsid w:val="00425A8E"/>
    <w:rsid w:val="00425C48"/>
    <w:rsid w:val="0042634D"/>
    <w:rsid w:val="0042669D"/>
    <w:rsid w:val="00426CA2"/>
    <w:rsid w:val="00426E9A"/>
    <w:rsid w:val="0042720A"/>
    <w:rsid w:val="00427212"/>
    <w:rsid w:val="004273F9"/>
    <w:rsid w:val="004274DC"/>
    <w:rsid w:val="00427837"/>
    <w:rsid w:val="00427867"/>
    <w:rsid w:val="004278E1"/>
    <w:rsid w:val="00427BC1"/>
    <w:rsid w:val="00427D90"/>
    <w:rsid w:val="00427F9C"/>
    <w:rsid w:val="0043005D"/>
    <w:rsid w:val="004301BF"/>
    <w:rsid w:val="0043046D"/>
    <w:rsid w:val="00430872"/>
    <w:rsid w:val="00430C37"/>
    <w:rsid w:val="00430D80"/>
    <w:rsid w:val="004315E1"/>
    <w:rsid w:val="004319A2"/>
    <w:rsid w:val="00431CFC"/>
    <w:rsid w:val="00431DF8"/>
    <w:rsid w:val="00431DFC"/>
    <w:rsid w:val="00431E5A"/>
    <w:rsid w:val="00431EC7"/>
    <w:rsid w:val="00431EFD"/>
    <w:rsid w:val="0043202D"/>
    <w:rsid w:val="004320CD"/>
    <w:rsid w:val="004322C0"/>
    <w:rsid w:val="004329B6"/>
    <w:rsid w:val="00432D00"/>
    <w:rsid w:val="00432E5F"/>
    <w:rsid w:val="00432F37"/>
    <w:rsid w:val="0043313B"/>
    <w:rsid w:val="004333DC"/>
    <w:rsid w:val="004333F5"/>
    <w:rsid w:val="0043348E"/>
    <w:rsid w:val="00433B39"/>
    <w:rsid w:val="00433BEE"/>
    <w:rsid w:val="00433D00"/>
    <w:rsid w:val="00433E12"/>
    <w:rsid w:val="00433FEA"/>
    <w:rsid w:val="004348A8"/>
    <w:rsid w:val="00434C39"/>
    <w:rsid w:val="00434C4A"/>
    <w:rsid w:val="00434DCD"/>
    <w:rsid w:val="00435181"/>
    <w:rsid w:val="004353C5"/>
    <w:rsid w:val="00435625"/>
    <w:rsid w:val="00435833"/>
    <w:rsid w:val="00435943"/>
    <w:rsid w:val="004359B9"/>
    <w:rsid w:val="00435A03"/>
    <w:rsid w:val="00435B05"/>
    <w:rsid w:val="00435C80"/>
    <w:rsid w:val="00435F77"/>
    <w:rsid w:val="00436502"/>
    <w:rsid w:val="0043677C"/>
    <w:rsid w:val="00436A66"/>
    <w:rsid w:val="00436CB8"/>
    <w:rsid w:val="00436CFA"/>
    <w:rsid w:val="00436D29"/>
    <w:rsid w:val="00436D5E"/>
    <w:rsid w:val="00437363"/>
    <w:rsid w:val="004374F5"/>
    <w:rsid w:val="0043799A"/>
    <w:rsid w:val="00440360"/>
    <w:rsid w:val="004404A9"/>
    <w:rsid w:val="0044088E"/>
    <w:rsid w:val="00440A9A"/>
    <w:rsid w:val="00440E34"/>
    <w:rsid w:val="004411C6"/>
    <w:rsid w:val="004412B3"/>
    <w:rsid w:val="0044161B"/>
    <w:rsid w:val="00441719"/>
    <w:rsid w:val="00441CEB"/>
    <w:rsid w:val="004422C7"/>
    <w:rsid w:val="0044258B"/>
    <w:rsid w:val="00442619"/>
    <w:rsid w:val="00442763"/>
    <w:rsid w:val="004427DB"/>
    <w:rsid w:val="00442917"/>
    <w:rsid w:val="00442B6E"/>
    <w:rsid w:val="00443106"/>
    <w:rsid w:val="0044314E"/>
    <w:rsid w:val="00443156"/>
    <w:rsid w:val="0044327F"/>
    <w:rsid w:val="004433C1"/>
    <w:rsid w:val="0044342A"/>
    <w:rsid w:val="004435D0"/>
    <w:rsid w:val="004436B2"/>
    <w:rsid w:val="004436EE"/>
    <w:rsid w:val="004438DE"/>
    <w:rsid w:val="00443A54"/>
    <w:rsid w:val="00443DE3"/>
    <w:rsid w:val="00444171"/>
    <w:rsid w:val="00444668"/>
    <w:rsid w:val="0044493A"/>
    <w:rsid w:val="00444F80"/>
    <w:rsid w:val="004452BC"/>
    <w:rsid w:val="00445D97"/>
    <w:rsid w:val="004460DF"/>
    <w:rsid w:val="00446245"/>
    <w:rsid w:val="00446530"/>
    <w:rsid w:val="004467F6"/>
    <w:rsid w:val="004469ED"/>
    <w:rsid w:val="00446AFD"/>
    <w:rsid w:val="00446E1B"/>
    <w:rsid w:val="0044723D"/>
    <w:rsid w:val="004475B2"/>
    <w:rsid w:val="004475D3"/>
    <w:rsid w:val="00447741"/>
    <w:rsid w:val="00447BE9"/>
    <w:rsid w:val="00447CAD"/>
    <w:rsid w:val="00447CCD"/>
    <w:rsid w:val="00447DE4"/>
    <w:rsid w:val="004503D5"/>
    <w:rsid w:val="004509F5"/>
    <w:rsid w:val="00450AEB"/>
    <w:rsid w:val="00450B6F"/>
    <w:rsid w:val="00450D53"/>
    <w:rsid w:val="00450DA1"/>
    <w:rsid w:val="00450F37"/>
    <w:rsid w:val="004513E5"/>
    <w:rsid w:val="00451687"/>
    <w:rsid w:val="00451882"/>
    <w:rsid w:val="00451A30"/>
    <w:rsid w:val="00451F3A"/>
    <w:rsid w:val="00451F71"/>
    <w:rsid w:val="00452246"/>
    <w:rsid w:val="004528DE"/>
    <w:rsid w:val="0045299B"/>
    <w:rsid w:val="00452B18"/>
    <w:rsid w:val="00452C0C"/>
    <w:rsid w:val="00452E7F"/>
    <w:rsid w:val="00452F6D"/>
    <w:rsid w:val="0045319B"/>
    <w:rsid w:val="004531EE"/>
    <w:rsid w:val="0045325D"/>
    <w:rsid w:val="004532B2"/>
    <w:rsid w:val="0045352E"/>
    <w:rsid w:val="00453870"/>
    <w:rsid w:val="00453A21"/>
    <w:rsid w:val="00454336"/>
    <w:rsid w:val="00454386"/>
    <w:rsid w:val="00454556"/>
    <w:rsid w:val="0045463B"/>
    <w:rsid w:val="00454718"/>
    <w:rsid w:val="00454A0E"/>
    <w:rsid w:val="00454A4D"/>
    <w:rsid w:val="00454B4E"/>
    <w:rsid w:val="00454CD3"/>
    <w:rsid w:val="00454F5D"/>
    <w:rsid w:val="00455180"/>
    <w:rsid w:val="004556B2"/>
    <w:rsid w:val="00455712"/>
    <w:rsid w:val="004557D2"/>
    <w:rsid w:val="00455DB1"/>
    <w:rsid w:val="00455EBC"/>
    <w:rsid w:val="004560A8"/>
    <w:rsid w:val="004563FE"/>
    <w:rsid w:val="00456651"/>
    <w:rsid w:val="004567C3"/>
    <w:rsid w:val="00456B0E"/>
    <w:rsid w:val="00456DB7"/>
    <w:rsid w:val="0045705D"/>
    <w:rsid w:val="0045729F"/>
    <w:rsid w:val="004572D3"/>
    <w:rsid w:val="00457407"/>
    <w:rsid w:val="00457A31"/>
    <w:rsid w:val="00457E84"/>
    <w:rsid w:val="00460434"/>
    <w:rsid w:val="004604B4"/>
    <w:rsid w:val="00460501"/>
    <w:rsid w:val="004607EF"/>
    <w:rsid w:val="004608A2"/>
    <w:rsid w:val="00460FEA"/>
    <w:rsid w:val="00461507"/>
    <w:rsid w:val="0046155C"/>
    <w:rsid w:val="0046170F"/>
    <w:rsid w:val="004617D7"/>
    <w:rsid w:val="00461B68"/>
    <w:rsid w:val="00461E10"/>
    <w:rsid w:val="00461E96"/>
    <w:rsid w:val="0046206E"/>
    <w:rsid w:val="00462312"/>
    <w:rsid w:val="00462984"/>
    <w:rsid w:val="004629BE"/>
    <w:rsid w:val="00462A80"/>
    <w:rsid w:val="00462A98"/>
    <w:rsid w:val="00462D01"/>
    <w:rsid w:val="00462EE5"/>
    <w:rsid w:val="00463476"/>
    <w:rsid w:val="0046350C"/>
    <w:rsid w:val="004636FC"/>
    <w:rsid w:val="00463A98"/>
    <w:rsid w:val="00464001"/>
    <w:rsid w:val="0046430E"/>
    <w:rsid w:val="00464389"/>
    <w:rsid w:val="00464546"/>
    <w:rsid w:val="0046465F"/>
    <w:rsid w:val="004649B6"/>
    <w:rsid w:val="00464A86"/>
    <w:rsid w:val="00464E0C"/>
    <w:rsid w:val="00464E81"/>
    <w:rsid w:val="00464EC4"/>
    <w:rsid w:val="004650A1"/>
    <w:rsid w:val="0046525E"/>
    <w:rsid w:val="00465282"/>
    <w:rsid w:val="004652F5"/>
    <w:rsid w:val="0046535E"/>
    <w:rsid w:val="004654C5"/>
    <w:rsid w:val="004655DF"/>
    <w:rsid w:val="0046570A"/>
    <w:rsid w:val="004657DE"/>
    <w:rsid w:val="004657F3"/>
    <w:rsid w:val="00465C68"/>
    <w:rsid w:val="00465D00"/>
    <w:rsid w:val="00465D49"/>
    <w:rsid w:val="00465DD0"/>
    <w:rsid w:val="004661D9"/>
    <w:rsid w:val="00466428"/>
    <w:rsid w:val="004664A1"/>
    <w:rsid w:val="00466694"/>
    <w:rsid w:val="00466A64"/>
    <w:rsid w:val="00466AB2"/>
    <w:rsid w:val="00466B00"/>
    <w:rsid w:val="00466B29"/>
    <w:rsid w:val="0046702E"/>
    <w:rsid w:val="00467173"/>
    <w:rsid w:val="004673FB"/>
    <w:rsid w:val="004675A5"/>
    <w:rsid w:val="00467B2B"/>
    <w:rsid w:val="00467B52"/>
    <w:rsid w:val="0047011F"/>
    <w:rsid w:val="00470284"/>
    <w:rsid w:val="004703CD"/>
    <w:rsid w:val="004706A6"/>
    <w:rsid w:val="004706FC"/>
    <w:rsid w:val="004709DD"/>
    <w:rsid w:val="00470E6C"/>
    <w:rsid w:val="00470F79"/>
    <w:rsid w:val="00471061"/>
    <w:rsid w:val="004710E9"/>
    <w:rsid w:val="00471463"/>
    <w:rsid w:val="004714A7"/>
    <w:rsid w:val="00471793"/>
    <w:rsid w:val="0047182E"/>
    <w:rsid w:val="00471A05"/>
    <w:rsid w:val="00472670"/>
    <w:rsid w:val="00472703"/>
    <w:rsid w:val="004729C7"/>
    <w:rsid w:val="00472C62"/>
    <w:rsid w:val="004733DB"/>
    <w:rsid w:val="0047342E"/>
    <w:rsid w:val="00473557"/>
    <w:rsid w:val="004736DB"/>
    <w:rsid w:val="004736EC"/>
    <w:rsid w:val="004738D0"/>
    <w:rsid w:val="00473AC7"/>
    <w:rsid w:val="00473FE1"/>
    <w:rsid w:val="0047422A"/>
    <w:rsid w:val="004743B8"/>
    <w:rsid w:val="0047444B"/>
    <w:rsid w:val="004746A2"/>
    <w:rsid w:val="0047483A"/>
    <w:rsid w:val="00474A29"/>
    <w:rsid w:val="00474C0F"/>
    <w:rsid w:val="00474CE1"/>
    <w:rsid w:val="00474DC6"/>
    <w:rsid w:val="00474E97"/>
    <w:rsid w:val="00474F82"/>
    <w:rsid w:val="004750A2"/>
    <w:rsid w:val="00475AAF"/>
    <w:rsid w:val="00475AE6"/>
    <w:rsid w:val="00475CE1"/>
    <w:rsid w:val="00475DDC"/>
    <w:rsid w:val="00475EC5"/>
    <w:rsid w:val="00476188"/>
    <w:rsid w:val="004761B8"/>
    <w:rsid w:val="0047664C"/>
    <w:rsid w:val="004769ED"/>
    <w:rsid w:val="00476D38"/>
    <w:rsid w:val="00476EAD"/>
    <w:rsid w:val="00477667"/>
    <w:rsid w:val="00477669"/>
    <w:rsid w:val="004778CE"/>
    <w:rsid w:val="00477AEA"/>
    <w:rsid w:val="00477BEE"/>
    <w:rsid w:val="00477C32"/>
    <w:rsid w:val="00477D29"/>
    <w:rsid w:val="0048002A"/>
    <w:rsid w:val="00480061"/>
    <w:rsid w:val="004800C3"/>
    <w:rsid w:val="00480326"/>
    <w:rsid w:val="004803CB"/>
    <w:rsid w:val="00480558"/>
    <w:rsid w:val="00480594"/>
    <w:rsid w:val="0048062C"/>
    <w:rsid w:val="004807D7"/>
    <w:rsid w:val="00480CF5"/>
    <w:rsid w:val="00480D80"/>
    <w:rsid w:val="00480DC9"/>
    <w:rsid w:val="00480F3D"/>
    <w:rsid w:val="00481084"/>
    <w:rsid w:val="0048176D"/>
    <w:rsid w:val="00481D14"/>
    <w:rsid w:val="00481D53"/>
    <w:rsid w:val="00482228"/>
    <w:rsid w:val="00482270"/>
    <w:rsid w:val="0048240D"/>
    <w:rsid w:val="004824B2"/>
    <w:rsid w:val="0048265E"/>
    <w:rsid w:val="00482736"/>
    <w:rsid w:val="00482777"/>
    <w:rsid w:val="004827DB"/>
    <w:rsid w:val="00482985"/>
    <w:rsid w:val="00482CC1"/>
    <w:rsid w:val="00482EE0"/>
    <w:rsid w:val="004833A8"/>
    <w:rsid w:val="00483442"/>
    <w:rsid w:val="00483709"/>
    <w:rsid w:val="00483837"/>
    <w:rsid w:val="00483B9E"/>
    <w:rsid w:val="00483E60"/>
    <w:rsid w:val="00483EA8"/>
    <w:rsid w:val="00483EAA"/>
    <w:rsid w:val="0048401D"/>
    <w:rsid w:val="0048422B"/>
    <w:rsid w:val="004842C7"/>
    <w:rsid w:val="004845C0"/>
    <w:rsid w:val="0048471B"/>
    <w:rsid w:val="00484765"/>
    <w:rsid w:val="00484797"/>
    <w:rsid w:val="00484BD2"/>
    <w:rsid w:val="00484BE3"/>
    <w:rsid w:val="00484DE5"/>
    <w:rsid w:val="00484E94"/>
    <w:rsid w:val="00485000"/>
    <w:rsid w:val="00485086"/>
    <w:rsid w:val="004852BE"/>
    <w:rsid w:val="0048543C"/>
    <w:rsid w:val="00485617"/>
    <w:rsid w:val="004858E5"/>
    <w:rsid w:val="004859E5"/>
    <w:rsid w:val="00485F14"/>
    <w:rsid w:val="00485FBF"/>
    <w:rsid w:val="0048614B"/>
    <w:rsid w:val="00486448"/>
    <w:rsid w:val="00486605"/>
    <w:rsid w:val="00486774"/>
    <w:rsid w:val="00486778"/>
    <w:rsid w:val="00486AC1"/>
    <w:rsid w:val="00486DF3"/>
    <w:rsid w:val="00486F5B"/>
    <w:rsid w:val="00486FE6"/>
    <w:rsid w:val="004872F3"/>
    <w:rsid w:val="00487717"/>
    <w:rsid w:val="004877D7"/>
    <w:rsid w:val="00487854"/>
    <w:rsid w:val="00487AA6"/>
    <w:rsid w:val="00487E82"/>
    <w:rsid w:val="00487FD4"/>
    <w:rsid w:val="004902C2"/>
    <w:rsid w:val="004904C7"/>
    <w:rsid w:val="0049055B"/>
    <w:rsid w:val="004906C0"/>
    <w:rsid w:val="00490764"/>
    <w:rsid w:val="004907E2"/>
    <w:rsid w:val="00490801"/>
    <w:rsid w:val="00490905"/>
    <w:rsid w:val="00490B52"/>
    <w:rsid w:val="00490F63"/>
    <w:rsid w:val="0049116B"/>
    <w:rsid w:val="00491446"/>
    <w:rsid w:val="00491650"/>
    <w:rsid w:val="0049173E"/>
    <w:rsid w:val="004918AA"/>
    <w:rsid w:val="004919FB"/>
    <w:rsid w:val="00491E0A"/>
    <w:rsid w:val="00491E7C"/>
    <w:rsid w:val="00491F05"/>
    <w:rsid w:val="0049207B"/>
    <w:rsid w:val="004921F8"/>
    <w:rsid w:val="00492603"/>
    <w:rsid w:val="0049270C"/>
    <w:rsid w:val="004927E9"/>
    <w:rsid w:val="0049282A"/>
    <w:rsid w:val="00492BC8"/>
    <w:rsid w:val="00492DC3"/>
    <w:rsid w:val="00492EBD"/>
    <w:rsid w:val="004932CE"/>
    <w:rsid w:val="004934E4"/>
    <w:rsid w:val="004934FC"/>
    <w:rsid w:val="004938EE"/>
    <w:rsid w:val="00493903"/>
    <w:rsid w:val="00493BC3"/>
    <w:rsid w:val="00493C63"/>
    <w:rsid w:val="00493C92"/>
    <w:rsid w:val="00493DC7"/>
    <w:rsid w:val="00494129"/>
    <w:rsid w:val="0049417F"/>
    <w:rsid w:val="00494305"/>
    <w:rsid w:val="004943C7"/>
    <w:rsid w:val="004946B6"/>
    <w:rsid w:val="004948F0"/>
    <w:rsid w:val="00494C90"/>
    <w:rsid w:val="00494C97"/>
    <w:rsid w:val="00494F9D"/>
    <w:rsid w:val="00495159"/>
    <w:rsid w:val="004954D4"/>
    <w:rsid w:val="0049597D"/>
    <w:rsid w:val="00495CA7"/>
    <w:rsid w:val="00495CBF"/>
    <w:rsid w:val="00496046"/>
    <w:rsid w:val="0049633C"/>
    <w:rsid w:val="00496427"/>
    <w:rsid w:val="00496462"/>
    <w:rsid w:val="00496800"/>
    <w:rsid w:val="00496862"/>
    <w:rsid w:val="00496907"/>
    <w:rsid w:val="00496B21"/>
    <w:rsid w:val="00496FD8"/>
    <w:rsid w:val="0049748A"/>
    <w:rsid w:val="004976D4"/>
    <w:rsid w:val="0049789F"/>
    <w:rsid w:val="00497A58"/>
    <w:rsid w:val="004A000E"/>
    <w:rsid w:val="004A006C"/>
    <w:rsid w:val="004A02CF"/>
    <w:rsid w:val="004A0440"/>
    <w:rsid w:val="004A053F"/>
    <w:rsid w:val="004A0707"/>
    <w:rsid w:val="004A071D"/>
    <w:rsid w:val="004A07C9"/>
    <w:rsid w:val="004A09CA"/>
    <w:rsid w:val="004A0A5E"/>
    <w:rsid w:val="004A0BAF"/>
    <w:rsid w:val="004A0E67"/>
    <w:rsid w:val="004A0EE2"/>
    <w:rsid w:val="004A0F7E"/>
    <w:rsid w:val="004A1113"/>
    <w:rsid w:val="004A1114"/>
    <w:rsid w:val="004A1130"/>
    <w:rsid w:val="004A118B"/>
    <w:rsid w:val="004A1357"/>
    <w:rsid w:val="004A15D7"/>
    <w:rsid w:val="004A1670"/>
    <w:rsid w:val="004A18DA"/>
    <w:rsid w:val="004A19AB"/>
    <w:rsid w:val="004A1E27"/>
    <w:rsid w:val="004A1E83"/>
    <w:rsid w:val="004A1FBC"/>
    <w:rsid w:val="004A2403"/>
    <w:rsid w:val="004A2648"/>
    <w:rsid w:val="004A265E"/>
    <w:rsid w:val="004A2875"/>
    <w:rsid w:val="004A2AB0"/>
    <w:rsid w:val="004A2B3A"/>
    <w:rsid w:val="004A2C35"/>
    <w:rsid w:val="004A2C75"/>
    <w:rsid w:val="004A2F59"/>
    <w:rsid w:val="004A34A9"/>
    <w:rsid w:val="004A3569"/>
    <w:rsid w:val="004A357E"/>
    <w:rsid w:val="004A3711"/>
    <w:rsid w:val="004A3754"/>
    <w:rsid w:val="004A39CF"/>
    <w:rsid w:val="004A3B2B"/>
    <w:rsid w:val="004A3BD3"/>
    <w:rsid w:val="004A3CAC"/>
    <w:rsid w:val="004A3EC5"/>
    <w:rsid w:val="004A40EB"/>
    <w:rsid w:val="004A40FE"/>
    <w:rsid w:val="004A41C2"/>
    <w:rsid w:val="004A427D"/>
    <w:rsid w:val="004A44CC"/>
    <w:rsid w:val="004A458E"/>
    <w:rsid w:val="004A4798"/>
    <w:rsid w:val="004A492D"/>
    <w:rsid w:val="004A4B3E"/>
    <w:rsid w:val="004A4BBC"/>
    <w:rsid w:val="004A4BC3"/>
    <w:rsid w:val="004A4C9F"/>
    <w:rsid w:val="004A50B5"/>
    <w:rsid w:val="004A50E3"/>
    <w:rsid w:val="004A51F4"/>
    <w:rsid w:val="004A53A4"/>
    <w:rsid w:val="004A5629"/>
    <w:rsid w:val="004A5785"/>
    <w:rsid w:val="004A597B"/>
    <w:rsid w:val="004A5B48"/>
    <w:rsid w:val="004A5CC8"/>
    <w:rsid w:val="004A5E32"/>
    <w:rsid w:val="004A61B1"/>
    <w:rsid w:val="004A6249"/>
    <w:rsid w:val="004A6344"/>
    <w:rsid w:val="004A64BC"/>
    <w:rsid w:val="004A6569"/>
    <w:rsid w:val="004A66EC"/>
    <w:rsid w:val="004A6753"/>
    <w:rsid w:val="004A680F"/>
    <w:rsid w:val="004A6B8F"/>
    <w:rsid w:val="004A71AE"/>
    <w:rsid w:val="004A7333"/>
    <w:rsid w:val="004A7533"/>
    <w:rsid w:val="004A7A06"/>
    <w:rsid w:val="004A7BC1"/>
    <w:rsid w:val="004A7C0A"/>
    <w:rsid w:val="004A7D45"/>
    <w:rsid w:val="004B0063"/>
    <w:rsid w:val="004B00B2"/>
    <w:rsid w:val="004B01E5"/>
    <w:rsid w:val="004B01E9"/>
    <w:rsid w:val="004B024B"/>
    <w:rsid w:val="004B02F1"/>
    <w:rsid w:val="004B02FD"/>
    <w:rsid w:val="004B036A"/>
    <w:rsid w:val="004B03F6"/>
    <w:rsid w:val="004B0651"/>
    <w:rsid w:val="004B06F9"/>
    <w:rsid w:val="004B0919"/>
    <w:rsid w:val="004B0C4E"/>
    <w:rsid w:val="004B0E7F"/>
    <w:rsid w:val="004B0F14"/>
    <w:rsid w:val="004B1152"/>
    <w:rsid w:val="004B1940"/>
    <w:rsid w:val="004B19A0"/>
    <w:rsid w:val="004B1DCB"/>
    <w:rsid w:val="004B1E18"/>
    <w:rsid w:val="004B1E97"/>
    <w:rsid w:val="004B2392"/>
    <w:rsid w:val="004B26C8"/>
    <w:rsid w:val="004B27C3"/>
    <w:rsid w:val="004B2A6A"/>
    <w:rsid w:val="004B2AC7"/>
    <w:rsid w:val="004B2AEF"/>
    <w:rsid w:val="004B2EB4"/>
    <w:rsid w:val="004B30B1"/>
    <w:rsid w:val="004B326E"/>
    <w:rsid w:val="004B3517"/>
    <w:rsid w:val="004B356A"/>
    <w:rsid w:val="004B3DEC"/>
    <w:rsid w:val="004B3EB6"/>
    <w:rsid w:val="004B4319"/>
    <w:rsid w:val="004B43D1"/>
    <w:rsid w:val="004B4602"/>
    <w:rsid w:val="004B482A"/>
    <w:rsid w:val="004B4BFD"/>
    <w:rsid w:val="004B4DCA"/>
    <w:rsid w:val="004B4E8F"/>
    <w:rsid w:val="004B4EEE"/>
    <w:rsid w:val="004B51B8"/>
    <w:rsid w:val="004B5299"/>
    <w:rsid w:val="004B53F2"/>
    <w:rsid w:val="004B54D3"/>
    <w:rsid w:val="004B558B"/>
    <w:rsid w:val="004B5592"/>
    <w:rsid w:val="004B5967"/>
    <w:rsid w:val="004B6870"/>
    <w:rsid w:val="004B6A48"/>
    <w:rsid w:val="004B6B9B"/>
    <w:rsid w:val="004B6C44"/>
    <w:rsid w:val="004B6CDF"/>
    <w:rsid w:val="004B6DF4"/>
    <w:rsid w:val="004B705C"/>
    <w:rsid w:val="004B70A9"/>
    <w:rsid w:val="004B712F"/>
    <w:rsid w:val="004B72C4"/>
    <w:rsid w:val="004B7583"/>
    <w:rsid w:val="004B7605"/>
    <w:rsid w:val="004B7995"/>
    <w:rsid w:val="004B79BD"/>
    <w:rsid w:val="004B7C91"/>
    <w:rsid w:val="004B7E88"/>
    <w:rsid w:val="004B7F76"/>
    <w:rsid w:val="004C038D"/>
    <w:rsid w:val="004C04CA"/>
    <w:rsid w:val="004C06F7"/>
    <w:rsid w:val="004C09B6"/>
    <w:rsid w:val="004C0AF5"/>
    <w:rsid w:val="004C0BDF"/>
    <w:rsid w:val="004C0FE5"/>
    <w:rsid w:val="004C12C0"/>
    <w:rsid w:val="004C1377"/>
    <w:rsid w:val="004C1562"/>
    <w:rsid w:val="004C1912"/>
    <w:rsid w:val="004C1FBB"/>
    <w:rsid w:val="004C20AC"/>
    <w:rsid w:val="004C2226"/>
    <w:rsid w:val="004C26D5"/>
    <w:rsid w:val="004C2772"/>
    <w:rsid w:val="004C2814"/>
    <w:rsid w:val="004C28A9"/>
    <w:rsid w:val="004C2BCC"/>
    <w:rsid w:val="004C2DDA"/>
    <w:rsid w:val="004C2DFD"/>
    <w:rsid w:val="004C32D3"/>
    <w:rsid w:val="004C36BF"/>
    <w:rsid w:val="004C3931"/>
    <w:rsid w:val="004C39D5"/>
    <w:rsid w:val="004C3B00"/>
    <w:rsid w:val="004C3C5B"/>
    <w:rsid w:val="004C3C7E"/>
    <w:rsid w:val="004C3CD7"/>
    <w:rsid w:val="004C3DE0"/>
    <w:rsid w:val="004C4013"/>
    <w:rsid w:val="004C4801"/>
    <w:rsid w:val="004C480C"/>
    <w:rsid w:val="004C48AF"/>
    <w:rsid w:val="004C4B10"/>
    <w:rsid w:val="004C4C96"/>
    <w:rsid w:val="004C4E4A"/>
    <w:rsid w:val="004C5244"/>
    <w:rsid w:val="004C5550"/>
    <w:rsid w:val="004C5618"/>
    <w:rsid w:val="004C571E"/>
    <w:rsid w:val="004C574D"/>
    <w:rsid w:val="004C5970"/>
    <w:rsid w:val="004C5BF6"/>
    <w:rsid w:val="004C5F54"/>
    <w:rsid w:val="004C5FBD"/>
    <w:rsid w:val="004C6554"/>
    <w:rsid w:val="004C675A"/>
    <w:rsid w:val="004C67DA"/>
    <w:rsid w:val="004C6B93"/>
    <w:rsid w:val="004C7091"/>
    <w:rsid w:val="004C7196"/>
    <w:rsid w:val="004C73C9"/>
    <w:rsid w:val="004C7FC9"/>
    <w:rsid w:val="004D02C2"/>
    <w:rsid w:val="004D0386"/>
    <w:rsid w:val="004D06FD"/>
    <w:rsid w:val="004D085C"/>
    <w:rsid w:val="004D09D9"/>
    <w:rsid w:val="004D0B26"/>
    <w:rsid w:val="004D0BB5"/>
    <w:rsid w:val="004D0BBC"/>
    <w:rsid w:val="004D0E64"/>
    <w:rsid w:val="004D0EFE"/>
    <w:rsid w:val="004D11B4"/>
    <w:rsid w:val="004D1240"/>
    <w:rsid w:val="004D1377"/>
    <w:rsid w:val="004D17E8"/>
    <w:rsid w:val="004D1814"/>
    <w:rsid w:val="004D18A4"/>
    <w:rsid w:val="004D1A8E"/>
    <w:rsid w:val="004D1BAD"/>
    <w:rsid w:val="004D1E4F"/>
    <w:rsid w:val="004D1E83"/>
    <w:rsid w:val="004D2485"/>
    <w:rsid w:val="004D2552"/>
    <w:rsid w:val="004D28CA"/>
    <w:rsid w:val="004D293A"/>
    <w:rsid w:val="004D2AAB"/>
    <w:rsid w:val="004D2FEF"/>
    <w:rsid w:val="004D310F"/>
    <w:rsid w:val="004D37C3"/>
    <w:rsid w:val="004D37CD"/>
    <w:rsid w:val="004D38D9"/>
    <w:rsid w:val="004D392A"/>
    <w:rsid w:val="004D39C4"/>
    <w:rsid w:val="004D3AC1"/>
    <w:rsid w:val="004D3D8E"/>
    <w:rsid w:val="004D4134"/>
    <w:rsid w:val="004D451C"/>
    <w:rsid w:val="004D496A"/>
    <w:rsid w:val="004D4BAF"/>
    <w:rsid w:val="004D4C30"/>
    <w:rsid w:val="004D4C6B"/>
    <w:rsid w:val="004D504D"/>
    <w:rsid w:val="004D5054"/>
    <w:rsid w:val="004D55E6"/>
    <w:rsid w:val="004D58B2"/>
    <w:rsid w:val="004D5960"/>
    <w:rsid w:val="004D5C31"/>
    <w:rsid w:val="004D5DB9"/>
    <w:rsid w:val="004D5DD3"/>
    <w:rsid w:val="004D5E36"/>
    <w:rsid w:val="004D5EF6"/>
    <w:rsid w:val="004D603E"/>
    <w:rsid w:val="004D6164"/>
    <w:rsid w:val="004D65B9"/>
    <w:rsid w:val="004D65C0"/>
    <w:rsid w:val="004D668A"/>
    <w:rsid w:val="004D676A"/>
    <w:rsid w:val="004D6B11"/>
    <w:rsid w:val="004D6D28"/>
    <w:rsid w:val="004D6E8A"/>
    <w:rsid w:val="004D6EEC"/>
    <w:rsid w:val="004D6F1B"/>
    <w:rsid w:val="004D6F6D"/>
    <w:rsid w:val="004D7014"/>
    <w:rsid w:val="004D7102"/>
    <w:rsid w:val="004D7148"/>
    <w:rsid w:val="004D71F5"/>
    <w:rsid w:val="004D734E"/>
    <w:rsid w:val="004D7379"/>
    <w:rsid w:val="004D75BB"/>
    <w:rsid w:val="004D7DB1"/>
    <w:rsid w:val="004D7F5C"/>
    <w:rsid w:val="004D7FA2"/>
    <w:rsid w:val="004D7FD4"/>
    <w:rsid w:val="004E0037"/>
    <w:rsid w:val="004E0297"/>
    <w:rsid w:val="004E07B7"/>
    <w:rsid w:val="004E07E5"/>
    <w:rsid w:val="004E0A12"/>
    <w:rsid w:val="004E0C46"/>
    <w:rsid w:val="004E0C75"/>
    <w:rsid w:val="004E0D2C"/>
    <w:rsid w:val="004E0D48"/>
    <w:rsid w:val="004E0E7E"/>
    <w:rsid w:val="004E0F6D"/>
    <w:rsid w:val="004E1151"/>
    <w:rsid w:val="004E134B"/>
    <w:rsid w:val="004E1555"/>
    <w:rsid w:val="004E1616"/>
    <w:rsid w:val="004E170C"/>
    <w:rsid w:val="004E1733"/>
    <w:rsid w:val="004E17F2"/>
    <w:rsid w:val="004E188B"/>
    <w:rsid w:val="004E189C"/>
    <w:rsid w:val="004E19B8"/>
    <w:rsid w:val="004E1A2D"/>
    <w:rsid w:val="004E1AAE"/>
    <w:rsid w:val="004E1B8F"/>
    <w:rsid w:val="004E1E3F"/>
    <w:rsid w:val="004E22F6"/>
    <w:rsid w:val="004E2708"/>
    <w:rsid w:val="004E2936"/>
    <w:rsid w:val="004E2E6C"/>
    <w:rsid w:val="004E328F"/>
    <w:rsid w:val="004E32AF"/>
    <w:rsid w:val="004E393D"/>
    <w:rsid w:val="004E3968"/>
    <w:rsid w:val="004E3AAB"/>
    <w:rsid w:val="004E3B46"/>
    <w:rsid w:val="004E41DD"/>
    <w:rsid w:val="004E4388"/>
    <w:rsid w:val="004E43FA"/>
    <w:rsid w:val="004E44FE"/>
    <w:rsid w:val="004E4586"/>
    <w:rsid w:val="004E4911"/>
    <w:rsid w:val="004E4B64"/>
    <w:rsid w:val="004E4DA0"/>
    <w:rsid w:val="004E4F26"/>
    <w:rsid w:val="004E4FD9"/>
    <w:rsid w:val="004E4FFF"/>
    <w:rsid w:val="004E57F4"/>
    <w:rsid w:val="004E5925"/>
    <w:rsid w:val="004E5AC1"/>
    <w:rsid w:val="004E5EF7"/>
    <w:rsid w:val="004E5FBE"/>
    <w:rsid w:val="004E6101"/>
    <w:rsid w:val="004E62FC"/>
    <w:rsid w:val="004E651F"/>
    <w:rsid w:val="004E653F"/>
    <w:rsid w:val="004E672F"/>
    <w:rsid w:val="004E6A64"/>
    <w:rsid w:val="004E702B"/>
    <w:rsid w:val="004E70B9"/>
    <w:rsid w:val="004E713B"/>
    <w:rsid w:val="004E71F9"/>
    <w:rsid w:val="004E72F4"/>
    <w:rsid w:val="004E7315"/>
    <w:rsid w:val="004E73C9"/>
    <w:rsid w:val="004E74BD"/>
    <w:rsid w:val="004E78BB"/>
    <w:rsid w:val="004E78C5"/>
    <w:rsid w:val="004E79BA"/>
    <w:rsid w:val="004E7A73"/>
    <w:rsid w:val="004E7BF9"/>
    <w:rsid w:val="004E7D1A"/>
    <w:rsid w:val="004E7F1C"/>
    <w:rsid w:val="004F02B8"/>
    <w:rsid w:val="004F06D1"/>
    <w:rsid w:val="004F0B70"/>
    <w:rsid w:val="004F0D37"/>
    <w:rsid w:val="004F0D70"/>
    <w:rsid w:val="004F1280"/>
    <w:rsid w:val="004F1281"/>
    <w:rsid w:val="004F12A8"/>
    <w:rsid w:val="004F141B"/>
    <w:rsid w:val="004F1640"/>
    <w:rsid w:val="004F16EF"/>
    <w:rsid w:val="004F192C"/>
    <w:rsid w:val="004F1939"/>
    <w:rsid w:val="004F1B7F"/>
    <w:rsid w:val="004F1CBF"/>
    <w:rsid w:val="004F2355"/>
    <w:rsid w:val="004F272F"/>
    <w:rsid w:val="004F2746"/>
    <w:rsid w:val="004F2861"/>
    <w:rsid w:val="004F29D3"/>
    <w:rsid w:val="004F2AB1"/>
    <w:rsid w:val="004F2EDB"/>
    <w:rsid w:val="004F3050"/>
    <w:rsid w:val="004F3240"/>
    <w:rsid w:val="004F33FB"/>
    <w:rsid w:val="004F3429"/>
    <w:rsid w:val="004F3474"/>
    <w:rsid w:val="004F38D8"/>
    <w:rsid w:val="004F3A03"/>
    <w:rsid w:val="004F3ACA"/>
    <w:rsid w:val="004F3C76"/>
    <w:rsid w:val="004F3F99"/>
    <w:rsid w:val="004F4043"/>
    <w:rsid w:val="004F4244"/>
    <w:rsid w:val="004F46C2"/>
    <w:rsid w:val="004F493F"/>
    <w:rsid w:val="004F497A"/>
    <w:rsid w:val="004F4F03"/>
    <w:rsid w:val="004F504E"/>
    <w:rsid w:val="004F5094"/>
    <w:rsid w:val="004F51E8"/>
    <w:rsid w:val="004F5437"/>
    <w:rsid w:val="004F57B1"/>
    <w:rsid w:val="004F5852"/>
    <w:rsid w:val="004F5AF9"/>
    <w:rsid w:val="004F5B94"/>
    <w:rsid w:val="004F5B97"/>
    <w:rsid w:val="004F5F26"/>
    <w:rsid w:val="004F65D8"/>
    <w:rsid w:val="004F6739"/>
    <w:rsid w:val="004F6A45"/>
    <w:rsid w:val="004F6A76"/>
    <w:rsid w:val="004F6B8F"/>
    <w:rsid w:val="004F7060"/>
    <w:rsid w:val="004F713E"/>
    <w:rsid w:val="004F7394"/>
    <w:rsid w:val="004F73B1"/>
    <w:rsid w:val="004F7458"/>
    <w:rsid w:val="004F7478"/>
    <w:rsid w:val="004F771A"/>
    <w:rsid w:val="004F7AA8"/>
    <w:rsid w:val="004F7AF1"/>
    <w:rsid w:val="004F7BAC"/>
    <w:rsid w:val="004F7CF7"/>
    <w:rsid w:val="004F7ECB"/>
    <w:rsid w:val="004F7F00"/>
    <w:rsid w:val="0050034B"/>
    <w:rsid w:val="00500772"/>
    <w:rsid w:val="00500BB1"/>
    <w:rsid w:val="00500C63"/>
    <w:rsid w:val="00500C9A"/>
    <w:rsid w:val="00500EC8"/>
    <w:rsid w:val="00500ED6"/>
    <w:rsid w:val="0050105F"/>
    <w:rsid w:val="005010AA"/>
    <w:rsid w:val="005011A0"/>
    <w:rsid w:val="005012BD"/>
    <w:rsid w:val="00501346"/>
    <w:rsid w:val="0050165B"/>
    <w:rsid w:val="00501B49"/>
    <w:rsid w:val="00501D08"/>
    <w:rsid w:val="00501E37"/>
    <w:rsid w:val="005020D8"/>
    <w:rsid w:val="005021CF"/>
    <w:rsid w:val="00502432"/>
    <w:rsid w:val="00502AEC"/>
    <w:rsid w:val="00502BFC"/>
    <w:rsid w:val="00502CD8"/>
    <w:rsid w:val="00502DBD"/>
    <w:rsid w:val="00503137"/>
    <w:rsid w:val="0050366E"/>
    <w:rsid w:val="00503729"/>
    <w:rsid w:val="00503902"/>
    <w:rsid w:val="00503C17"/>
    <w:rsid w:val="00503CDB"/>
    <w:rsid w:val="00503DED"/>
    <w:rsid w:val="00504089"/>
    <w:rsid w:val="00504268"/>
    <w:rsid w:val="00504325"/>
    <w:rsid w:val="0050443C"/>
    <w:rsid w:val="005044FD"/>
    <w:rsid w:val="00504543"/>
    <w:rsid w:val="0050458E"/>
    <w:rsid w:val="00504701"/>
    <w:rsid w:val="00504D6A"/>
    <w:rsid w:val="0050512A"/>
    <w:rsid w:val="0050548E"/>
    <w:rsid w:val="00505A25"/>
    <w:rsid w:val="00505A56"/>
    <w:rsid w:val="00505AA5"/>
    <w:rsid w:val="00505CF8"/>
    <w:rsid w:val="00505DFB"/>
    <w:rsid w:val="0050664C"/>
    <w:rsid w:val="00506654"/>
    <w:rsid w:val="00506957"/>
    <w:rsid w:val="00506A28"/>
    <w:rsid w:val="00506B34"/>
    <w:rsid w:val="00506B68"/>
    <w:rsid w:val="00506BFC"/>
    <w:rsid w:val="00506C9D"/>
    <w:rsid w:val="00506F4D"/>
    <w:rsid w:val="0050713D"/>
    <w:rsid w:val="00507422"/>
    <w:rsid w:val="005074AC"/>
    <w:rsid w:val="0050758A"/>
    <w:rsid w:val="00507AFA"/>
    <w:rsid w:val="00507E79"/>
    <w:rsid w:val="0051012F"/>
    <w:rsid w:val="005107E5"/>
    <w:rsid w:val="00510932"/>
    <w:rsid w:val="00510CE9"/>
    <w:rsid w:val="0051112E"/>
    <w:rsid w:val="0051135D"/>
    <w:rsid w:val="00511489"/>
    <w:rsid w:val="0051150D"/>
    <w:rsid w:val="00511656"/>
    <w:rsid w:val="005117E6"/>
    <w:rsid w:val="0051181E"/>
    <w:rsid w:val="00511F68"/>
    <w:rsid w:val="005121B9"/>
    <w:rsid w:val="00512464"/>
    <w:rsid w:val="00512536"/>
    <w:rsid w:val="00512663"/>
    <w:rsid w:val="005128C3"/>
    <w:rsid w:val="00512ADC"/>
    <w:rsid w:val="00512B28"/>
    <w:rsid w:val="00512F74"/>
    <w:rsid w:val="00513094"/>
    <w:rsid w:val="0051309E"/>
    <w:rsid w:val="00513269"/>
    <w:rsid w:val="005132B9"/>
    <w:rsid w:val="005132FC"/>
    <w:rsid w:val="005139BE"/>
    <w:rsid w:val="00513A61"/>
    <w:rsid w:val="00513AE6"/>
    <w:rsid w:val="00513B24"/>
    <w:rsid w:val="00513BC1"/>
    <w:rsid w:val="00513E5E"/>
    <w:rsid w:val="00513EE1"/>
    <w:rsid w:val="0051408F"/>
    <w:rsid w:val="0051423D"/>
    <w:rsid w:val="0051433A"/>
    <w:rsid w:val="00514416"/>
    <w:rsid w:val="0051454B"/>
    <w:rsid w:val="005145C2"/>
    <w:rsid w:val="0051467A"/>
    <w:rsid w:val="00514A00"/>
    <w:rsid w:val="00514A71"/>
    <w:rsid w:val="00514A80"/>
    <w:rsid w:val="00514BDE"/>
    <w:rsid w:val="00514E61"/>
    <w:rsid w:val="00514FD2"/>
    <w:rsid w:val="0051531B"/>
    <w:rsid w:val="00515368"/>
    <w:rsid w:val="00515777"/>
    <w:rsid w:val="00515792"/>
    <w:rsid w:val="00515861"/>
    <w:rsid w:val="00515A3B"/>
    <w:rsid w:val="00515E7E"/>
    <w:rsid w:val="005169F4"/>
    <w:rsid w:val="00516A5B"/>
    <w:rsid w:val="00516A63"/>
    <w:rsid w:val="00516C1F"/>
    <w:rsid w:val="00516C40"/>
    <w:rsid w:val="005172BE"/>
    <w:rsid w:val="00517355"/>
    <w:rsid w:val="0051757C"/>
    <w:rsid w:val="00517733"/>
    <w:rsid w:val="00517E6A"/>
    <w:rsid w:val="00517F3E"/>
    <w:rsid w:val="00517F96"/>
    <w:rsid w:val="0051C05D"/>
    <w:rsid w:val="00520501"/>
    <w:rsid w:val="00520653"/>
    <w:rsid w:val="005208A6"/>
    <w:rsid w:val="005208B9"/>
    <w:rsid w:val="00520953"/>
    <w:rsid w:val="00520BC6"/>
    <w:rsid w:val="00520C88"/>
    <w:rsid w:val="0052184C"/>
    <w:rsid w:val="00521909"/>
    <w:rsid w:val="005219B9"/>
    <w:rsid w:val="00521CA1"/>
    <w:rsid w:val="00521FE4"/>
    <w:rsid w:val="005220F3"/>
    <w:rsid w:val="005223B5"/>
    <w:rsid w:val="0052246D"/>
    <w:rsid w:val="00522476"/>
    <w:rsid w:val="005226D1"/>
    <w:rsid w:val="005227F4"/>
    <w:rsid w:val="005228F8"/>
    <w:rsid w:val="00522984"/>
    <w:rsid w:val="005229F8"/>
    <w:rsid w:val="00522A91"/>
    <w:rsid w:val="00522B8D"/>
    <w:rsid w:val="00522CEF"/>
    <w:rsid w:val="00522DE6"/>
    <w:rsid w:val="00522E03"/>
    <w:rsid w:val="0052313E"/>
    <w:rsid w:val="0052321F"/>
    <w:rsid w:val="005232F0"/>
    <w:rsid w:val="005238EE"/>
    <w:rsid w:val="005238F8"/>
    <w:rsid w:val="00523AA1"/>
    <w:rsid w:val="00523BC6"/>
    <w:rsid w:val="00523D10"/>
    <w:rsid w:val="00524267"/>
    <w:rsid w:val="005246EB"/>
    <w:rsid w:val="0052475B"/>
    <w:rsid w:val="005247A8"/>
    <w:rsid w:val="005248F8"/>
    <w:rsid w:val="00524908"/>
    <w:rsid w:val="00524A7B"/>
    <w:rsid w:val="00524C4A"/>
    <w:rsid w:val="0052504A"/>
    <w:rsid w:val="005250A4"/>
    <w:rsid w:val="0052513A"/>
    <w:rsid w:val="0052525C"/>
    <w:rsid w:val="00525407"/>
    <w:rsid w:val="005255AB"/>
    <w:rsid w:val="00525AF2"/>
    <w:rsid w:val="00525BA3"/>
    <w:rsid w:val="00525DB5"/>
    <w:rsid w:val="00525E9B"/>
    <w:rsid w:val="00526037"/>
    <w:rsid w:val="0052614F"/>
    <w:rsid w:val="005261F8"/>
    <w:rsid w:val="005263A8"/>
    <w:rsid w:val="0052652D"/>
    <w:rsid w:val="00526607"/>
    <w:rsid w:val="00526625"/>
    <w:rsid w:val="005266C0"/>
    <w:rsid w:val="005267C8"/>
    <w:rsid w:val="00526A7B"/>
    <w:rsid w:val="00526AAD"/>
    <w:rsid w:val="00526D7A"/>
    <w:rsid w:val="00527314"/>
    <w:rsid w:val="00527455"/>
    <w:rsid w:val="00527477"/>
    <w:rsid w:val="005276A4"/>
    <w:rsid w:val="005276D6"/>
    <w:rsid w:val="00527701"/>
    <w:rsid w:val="005278E0"/>
    <w:rsid w:val="0052795E"/>
    <w:rsid w:val="00527AE2"/>
    <w:rsid w:val="00527C2E"/>
    <w:rsid w:val="00527CDA"/>
    <w:rsid w:val="00527DC3"/>
    <w:rsid w:val="00527E3E"/>
    <w:rsid w:val="005301BC"/>
    <w:rsid w:val="005307FC"/>
    <w:rsid w:val="00530FA2"/>
    <w:rsid w:val="005311E1"/>
    <w:rsid w:val="00531250"/>
    <w:rsid w:val="005313E1"/>
    <w:rsid w:val="00531738"/>
    <w:rsid w:val="00531DF4"/>
    <w:rsid w:val="00532381"/>
    <w:rsid w:val="00532457"/>
    <w:rsid w:val="00532501"/>
    <w:rsid w:val="00532621"/>
    <w:rsid w:val="00532779"/>
    <w:rsid w:val="00532867"/>
    <w:rsid w:val="00532C41"/>
    <w:rsid w:val="00532C72"/>
    <w:rsid w:val="00532EA7"/>
    <w:rsid w:val="005330FA"/>
    <w:rsid w:val="005331AE"/>
    <w:rsid w:val="005335B9"/>
    <w:rsid w:val="00533681"/>
    <w:rsid w:val="005336EC"/>
    <w:rsid w:val="00533E94"/>
    <w:rsid w:val="005342F8"/>
    <w:rsid w:val="00534725"/>
    <w:rsid w:val="005347AC"/>
    <w:rsid w:val="00534844"/>
    <w:rsid w:val="0053484E"/>
    <w:rsid w:val="00534C84"/>
    <w:rsid w:val="00534C87"/>
    <w:rsid w:val="00534D0A"/>
    <w:rsid w:val="00534D3D"/>
    <w:rsid w:val="00534D5B"/>
    <w:rsid w:val="00534EE1"/>
    <w:rsid w:val="00535026"/>
    <w:rsid w:val="00535260"/>
    <w:rsid w:val="005353E1"/>
    <w:rsid w:val="00535510"/>
    <w:rsid w:val="005355BF"/>
    <w:rsid w:val="005358AF"/>
    <w:rsid w:val="00535AC2"/>
    <w:rsid w:val="00535C8E"/>
    <w:rsid w:val="00535F1F"/>
    <w:rsid w:val="00535F30"/>
    <w:rsid w:val="0053607A"/>
    <w:rsid w:val="00536141"/>
    <w:rsid w:val="00536163"/>
    <w:rsid w:val="0053672A"/>
    <w:rsid w:val="0053680D"/>
    <w:rsid w:val="005368F8"/>
    <w:rsid w:val="0053690A"/>
    <w:rsid w:val="00536942"/>
    <w:rsid w:val="00536A90"/>
    <w:rsid w:val="00536ACB"/>
    <w:rsid w:val="00536B59"/>
    <w:rsid w:val="0053716A"/>
    <w:rsid w:val="00537644"/>
    <w:rsid w:val="0053781B"/>
    <w:rsid w:val="00537853"/>
    <w:rsid w:val="005379A6"/>
    <w:rsid w:val="0054032D"/>
    <w:rsid w:val="0054034F"/>
    <w:rsid w:val="005404BB"/>
    <w:rsid w:val="005406A9"/>
    <w:rsid w:val="00540B5D"/>
    <w:rsid w:val="00540EB9"/>
    <w:rsid w:val="00541018"/>
    <w:rsid w:val="0054127C"/>
    <w:rsid w:val="00541367"/>
    <w:rsid w:val="005415EC"/>
    <w:rsid w:val="00541867"/>
    <w:rsid w:val="00541884"/>
    <w:rsid w:val="00541A86"/>
    <w:rsid w:val="00541DE4"/>
    <w:rsid w:val="00541E77"/>
    <w:rsid w:val="00541E9C"/>
    <w:rsid w:val="005421EB"/>
    <w:rsid w:val="005421F0"/>
    <w:rsid w:val="005422ED"/>
    <w:rsid w:val="00542312"/>
    <w:rsid w:val="005428A7"/>
    <w:rsid w:val="00542989"/>
    <w:rsid w:val="00542B4C"/>
    <w:rsid w:val="00542E7B"/>
    <w:rsid w:val="0054308F"/>
    <w:rsid w:val="00543139"/>
    <w:rsid w:val="005432DC"/>
    <w:rsid w:val="00543418"/>
    <w:rsid w:val="0054381B"/>
    <w:rsid w:val="0054388B"/>
    <w:rsid w:val="00544525"/>
    <w:rsid w:val="00544571"/>
    <w:rsid w:val="005445D7"/>
    <w:rsid w:val="0054463A"/>
    <w:rsid w:val="00544AD0"/>
    <w:rsid w:val="00544CB7"/>
    <w:rsid w:val="00544EFF"/>
    <w:rsid w:val="0054538B"/>
    <w:rsid w:val="00545559"/>
    <w:rsid w:val="005456A0"/>
    <w:rsid w:val="005456E3"/>
    <w:rsid w:val="005456EA"/>
    <w:rsid w:val="00545705"/>
    <w:rsid w:val="00545B53"/>
    <w:rsid w:val="0054611D"/>
    <w:rsid w:val="00546231"/>
    <w:rsid w:val="005463C1"/>
    <w:rsid w:val="0054647D"/>
    <w:rsid w:val="00546508"/>
    <w:rsid w:val="005465C7"/>
    <w:rsid w:val="00546613"/>
    <w:rsid w:val="0054663E"/>
    <w:rsid w:val="005469C9"/>
    <w:rsid w:val="00546A70"/>
    <w:rsid w:val="00546A8B"/>
    <w:rsid w:val="00546AF0"/>
    <w:rsid w:val="00546CE1"/>
    <w:rsid w:val="00546F1B"/>
    <w:rsid w:val="005476F8"/>
    <w:rsid w:val="00547777"/>
    <w:rsid w:val="00547821"/>
    <w:rsid w:val="0054790D"/>
    <w:rsid w:val="00547988"/>
    <w:rsid w:val="0054799D"/>
    <w:rsid w:val="00550089"/>
    <w:rsid w:val="00550153"/>
    <w:rsid w:val="005501A1"/>
    <w:rsid w:val="00550542"/>
    <w:rsid w:val="005506EC"/>
    <w:rsid w:val="005509EE"/>
    <w:rsid w:val="00550ADB"/>
    <w:rsid w:val="00550DA1"/>
    <w:rsid w:val="00550EF3"/>
    <w:rsid w:val="00550F80"/>
    <w:rsid w:val="005510A6"/>
    <w:rsid w:val="005511FF"/>
    <w:rsid w:val="005512FE"/>
    <w:rsid w:val="00551500"/>
    <w:rsid w:val="005515BB"/>
    <w:rsid w:val="005516AA"/>
    <w:rsid w:val="0055179A"/>
    <w:rsid w:val="00551913"/>
    <w:rsid w:val="0055191C"/>
    <w:rsid w:val="00551A84"/>
    <w:rsid w:val="00552177"/>
    <w:rsid w:val="005526A9"/>
    <w:rsid w:val="0055273A"/>
    <w:rsid w:val="0055281C"/>
    <w:rsid w:val="00552845"/>
    <w:rsid w:val="00552A3F"/>
    <w:rsid w:val="00552FF5"/>
    <w:rsid w:val="00553165"/>
    <w:rsid w:val="005532AE"/>
    <w:rsid w:val="00553392"/>
    <w:rsid w:val="005534E0"/>
    <w:rsid w:val="005536C6"/>
    <w:rsid w:val="00553A82"/>
    <w:rsid w:val="00553B35"/>
    <w:rsid w:val="00553C7B"/>
    <w:rsid w:val="005541A5"/>
    <w:rsid w:val="0055429A"/>
    <w:rsid w:val="00554394"/>
    <w:rsid w:val="00554713"/>
    <w:rsid w:val="005548B3"/>
    <w:rsid w:val="00554ACD"/>
    <w:rsid w:val="00554CE0"/>
    <w:rsid w:val="00554E32"/>
    <w:rsid w:val="00554E71"/>
    <w:rsid w:val="00555065"/>
    <w:rsid w:val="00555751"/>
    <w:rsid w:val="005557B0"/>
    <w:rsid w:val="00555A6B"/>
    <w:rsid w:val="00555AD8"/>
    <w:rsid w:val="00555E44"/>
    <w:rsid w:val="005560AE"/>
    <w:rsid w:val="00556E16"/>
    <w:rsid w:val="00556E84"/>
    <w:rsid w:val="00556F64"/>
    <w:rsid w:val="00556FB1"/>
    <w:rsid w:val="005570C2"/>
    <w:rsid w:val="00557115"/>
    <w:rsid w:val="00557366"/>
    <w:rsid w:val="005575AE"/>
    <w:rsid w:val="0055760C"/>
    <w:rsid w:val="00557672"/>
    <w:rsid w:val="00557AEF"/>
    <w:rsid w:val="00557C64"/>
    <w:rsid w:val="00557D1F"/>
    <w:rsid w:val="00557DF9"/>
    <w:rsid w:val="00557EED"/>
    <w:rsid w:val="005601C5"/>
    <w:rsid w:val="005605C3"/>
    <w:rsid w:val="0056095A"/>
    <w:rsid w:val="0056096A"/>
    <w:rsid w:val="005609E7"/>
    <w:rsid w:val="00560C3F"/>
    <w:rsid w:val="00560CDB"/>
    <w:rsid w:val="00560E55"/>
    <w:rsid w:val="00560FC4"/>
    <w:rsid w:val="00561259"/>
    <w:rsid w:val="00561569"/>
    <w:rsid w:val="005615C8"/>
    <w:rsid w:val="0056166C"/>
    <w:rsid w:val="005618C4"/>
    <w:rsid w:val="00561924"/>
    <w:rsid w:val="00561AD4"/>
    <w:rsid w:val="00561AFB"/>
    <w:rsid w:val="00561B6E"/>
    <w:rsid w:val="00561E69"/>
    <w:rsid w:val="0056214B"/>
    <w:rsid w:val="005621CB"/>
    <w:rsid w:val="005624C3"/>
    <w:rsid w:val="0056250B"/>
    <w:rsid w:val="0056272A"/>
    <w:rsid w:val="005628FB"/>
    <w:rsid w:val="005629C3"/>
    <w:rsid w:val="005629F3"/>
    <w:rsid w:val="00562A72"/>
    <w:rsid w:val="00562AB2"/>
    <w:rsid w:val="00562AC0"/>
    <w:rsid w:val="00562C6A"/>
    <w:rsid w:val="00562F4C"/>
    <w:rsid w:val="00562F64"/>
    <w:rsid w:val="00562F9D"/>
    <w:rsid w:val="005634BA"/>
    <w:rsid w:val="005638D2"/>
    <w:rsid w:val="00563A00"/>
    <w:rsid w:val="00563C1A"/>
    <w:rsid w:val="00563CFA"/>
    <w:rsid w:val="00563DFE"/>
    <w:rsid w:val="00563E5E"/>
    <w:rsid w:val="00564011"/>
    <w:rsid w:val="005640CE"/>
    <w:rsid w:val="00564314"/>
    <w:rsid w:val="00564EF9"/>
    <w:rsid w:val="00565160"/>
    <w:rsid w:val="005651A8"/>
    <w:rsid w:val="0056527B"/>
    <w:rsid w:val="00565367"/>
    <w:rsid w:val="005653DE"/>
    <w:rsid w:val="005655CE"/>
    <w:rsid w:val="005660D8"/>
    <w:rsid w:val="00566415"/>
    <w:rsid w:val="00566426"/>
    <w:rsid w:val="00566499"/>
    <w:rsid w:val="005668C7"/>
    <w:rsid w:val="00566913"/>
    <w:rsid w:val="00566D86"/>
    <w:rsid w:val="0056739E"/>
    <w:rsid w:val="00567522"/>
    <w:rsid w:val="00567598"/>
    <w:rsid w:val="00567964"/>
    <w:rsid w:val="00567A22"/>
    <w:rsid w:val="00567C94"/>
    <w:rsid w:val="00567F8B"/>
    <w:rsid w:val="0057015D"/>
    <w:rsid w:val="00570209"/>
    <w:rsid w:val="00570326"/>
    <w:rsid w:val="005703DE"/>
    <w:rsid w:val="00570619"/>
    <w:rsid w:val="00570DEE"/>
    <w:rsid w:val="00570E05"/>
    <w:rsid w:val="00570F3F"/>
    <w:rsid w:val="005712AE"/>
    <w:rsid w:val="00571307"/>
    <w:rsid w:val="00571745"/>
    <w:rsid w:val="005718DC"/>
    <w:rsid w:val="00571949"/>
    <w:rsid w:val="0057199C"/>
    <w:rsid w:val="00571C22"/>
    <w:rsid w:val="00571CB7"/>
    <w:rsid w:val="00571E7E"/>
    <w:rsid w:val="00572119"/>
    <w:rsid w:val="0057262A"/>
    <w:rsid w:val="00572CDA"/>
    <w:rsid w:val="00572D45"/>
    <w:rsid w:val="00572DA9"/>
    <w:rsid w:val="00572FF3"/>
    <w:rsid w:val="00573234"/>
    <w:rsid w:val="005733A3"/>
    <w:rsid w:val="0057343E"/>
    <w:rsid w:val="005734A7"/>
    <w:rsid w:val="00573803"/>
    <w:rsid w:val="00573B5D"/>
    <w:rsid w:val="00573CB7"/>
    <w:rsid w:val="00573EB3"/>
    <w:rsid w:val="00573F35"/>
    <w:rsid w:val="00574075"/>
    <w:rsid w:val="005740EA"/>
    <w:rsid w:val="005746D2"/>
    <w:rsid w:val="00574BDC"/>
    <w:rsid w:val="00574DD2"/>
    <w:rsid w:val="00574F99"/>
    <w:rsid w:val="005752C9"/>
    <w:rsid w:val="00575772"/>
    <w:rsid w:val="00575777"/>
    <w:rsid w:val="00575849"/>
    <w:rsid w:val="00575B99"/>
    <w:rsid w:val="00575DCD"/>
    <w:rsid w:val="0057606E"/>
    <w:rsid w:val="005760D1"/>
    <w:rsid w:val="00576242"/>
    <w:rsid w:val="005765B6"/>
    <w:rsid w:val="0057673E"/>
    <w:rsid w:val="00576791"/>
    <w:rsid w:val="005767DE"/>
    <w:rsid w:val="00576B6B"/>
    <w:rsid w:val="00576C02"/>
    <w:rsid w:val="00576E16"/>
    <w:rsid w:val="00576E55"/>
    <w:rsid w:val="00576E7B"/>
    <w:rsid w:val="005770F7"/>
    <w:rsid w:val="0057711F"/>
    <w:rsid w:val="0057753B"/>
    <w:rsid w:val="00577586"/>
    <w:rsid w:val="0057759E"/>
    <w:rsid w:val="00577695"/>
    <w:rsid w:val="0057778C"/>
    <w:rsid w:val="005779C7"/>
    <w:rsid w:val="00577B4C"/>
    <w:rsid w:val="00577B59"/>
    <w:rsid w:val="00577B6D"/>
    <w:rsid w:val="00577CD2"/>
    <w:rsid w:val="00577FDD"/>
    <w:rsid w:val="00580083"/>
    <w:rsid w:val="005801E8"/>
    <w:rsid w:val="00580400"/>
    <w:rsid w:val="00580569"/>
    <w:rsid w:val="00580727"/>
    <w:rsid w:val="0058077B"/>
    <w:rsid w:val="005809EA"/>
    <w:rsid w:val="00580BF7"/>
    <w:rsid w:val="00580D45"/>
    <w:rsid w:val="0058118E"/>
    <w:rsid w:val="00581198"/>
    <w:rsid w:val="005811F0"/>
    <w:rsid w:val="00581645"/>
    <w:rsid w:val="00581AB7"/>
    <w:rsid w:val="00581CAC"/>
    <w:rsid w:val="00582068"/>
    <w:rsid w:val="0058237B"/>
    <w:rsid w:val="00582413"/>
    <w:rsid w:val="005826F0"/>
    <w:rsid w:val="0058297D"/>
    <w:rsid w:val="00582EB7"/>
    <w:rsid w:val="0058304A"/>
    <w:rsid w:val="00583255"/>
    <w:rsid w:val="00583322"/>
    <w:rsid w:val="00583461"/>
    <w:rsid w:val="00583897"/>
    <w:rsid w:val="0058390F"/>
    <w:rsid w:val="00583A78"/>
    <w:rsid w:val="00583C7A"/>
    <w:rsid w:val="00583C86"/>
    <w:rsid w:val="00583C89"/>
    <w:rsid w:val="00583F16"/>
    <w:rsid w:val="00583F49"/>
    <w:rsid w:val="00583FE0"/>
    <w:rsid w:val="0058407D"/>
    <w:rsid w:val="00584135"/>
    <w:rsid w:val="005841BB"/>
    <w:rsid w:val="005842C1"/>
    <w:rsid w:val="00584330"/>
    <w:rsid w:val="00584C0F"/>
    <w:rsid w:val="00584C6F"/>
    <w:rsid w:val="00584CA5"/>
    <w:rsid w:val="00584EAD"/>
    <w:rsid w:val="00585295"/>
    <w:rsid w:val="00585515"/>
    <w:rsid w:val="005856C4"/>
    <w:rsid w:val="005857F3"/>
    <w:rsid w:val="00585869"/>
    <w:rsid w:val="00585AAE"/>
    <w:rsid w:val="00585D03"/>
    <w:rsid w:val="0058602D"/>
    <w:rsid w:val="00586108"/>
    <w:rsid w:val="005861EA"/>
    <w:rsid w:val="00586597"/>
    <w:rsid w:val="005866A1"/>
    <w:rsid w:val="00586729"/>
    <w:rsid w:val="00586880"/>
    <w:rsid w:val="00586AB2"/>
    <w:rsid w:val="00586B8F"/>
    <w:rsid w:val="00586CD3"/>
    <w:rsid w:val="00586D22"/>
    <w:rsid w:val="00586E64"/>
    <w:rsid w:val="005872AA"/>
    <w:rsid w:val="005875C6"/>
    <w:rsid w:val="00587A5B"/>
    <w:rsid w:val="00587AC9"/>
    <w:rsid w:val="00587C27"/>
    <w:rsid w:val="0059001B"/>
    <w:rsid w:val="0059003A"/>
    <w:rsid w:val="005900D2"/>
    <w:rsid w:val="00590114"/>
    <w:rsid w:val="00590611"/>
    <w:rsid w:val="00590C37"/>
    <w:rsid w:val="00590CDC"/>
    <w:rsid w:val="00590DEE"/>
    <w:rsid w:val="00590F56"/>
    <w:rsid w:val="005911EF"/>
    <w:rsid w:val="005912F6"/>
    <w:rsid w:val="00591375"/>
    <w:rsid w:val="005914EB"/>
    <w:rsid w:val="0059171C"/>
    <w:rsid w:val="0059176A"/>
    <w:rsid w:val="0059188F"/>
    <w:rsid w:val="005918BD"/>
    <w:rsid w:val="00591AA4"/>
    <w:rsid w:val="00591AD0"/>
    <w:rsid w:val="00591E38"/>
    <w:rsid w:val="005923FA"/>
    <w:rsid w:val="005924DF"/>
    <w:rsid w:val="005925FC"/>
    <w:rsid w:val="0059278C"/>
    <w:rsid w:val="005927E4"/>
    <w:rsid w:val="00592869"/>
    <w:rsid w:val="00592AEC"/>
    <w:rsid w:val="00592DF6"/>
    <w:rsid w:val="00592EFF"/>
    <w:rsid w:val="00593010"/>
    <w:rsid w:val="00593061"/>
    <w:rsid w:val="005930A1"/>
    <w:rsid w:val="005930B8"/>
    <w:rsid w:val="00593105"/>
    <w:rsid w:val="0059314A"/>
    <w:rsid w:val="00593213"/>
    <w:rsid w:val="00593496"/>
    <w:rsid w:val="005937E2"/>
    <w:rsid w:val="0059381E"/>
    <w:rsid w:val="0059391F"/>
    <w:rsid w:val="00593D61"/>
    <w:rsid w:val="00593F06"/>
    <w:rsid w:val="00593FAA"/>
    <w:rsid w:val="0059420F"/>
    <w:rsid w:val="005948F0"/>
    <w:rsid w:val="00594A6C"/>
    <w:rsid w:val="00594D56"/>
    <w:rsid w:val="00594E67"/>
    <w:rsid w:val="00594E9F"/>
    <w:rsid w:val="00594EBE"/>
    <w:rsid w:val="00594EC9"/>
    <w:rsid w:val="00594F13"/>
    <w:rsid w:val="0059524E"/>
    <w:rsid w:val="00595407"/>
    <w:rsid w:val="0059583B"/>
    <w:rsid w:val="0059590D"/>
    <w:rsid w:val="00596086"/>
    <w:rsid w:val="005965D8"/>
    <w:rsid w:val="00596650"/>
    <w:rsid w:val="0059686B"/>
    <w:rsid w:val="00596919"/>
    <w:rsid w:val="00596AC0"/>
    <w:rsid w:val="00596D13"/>
    <w:rsid w:val="00596E2A"/>
    <w:rsid w:val="005972DE"/>
    <w:rsid w:val="0059756D"/>
    <w:rsid w:val="005978AA"/>
    <w:rsid w:val="00597962"/>
    <w:rsid w:val="00597AB4"/>
    <w:rsid w:val="00597ABC"/>
    <w:rsid w:val="00597CD1"/>
    <w:rsid w:val="00597D35"/>
    <w:rsid w:val="00597E0B"/>
    <w:rsid w:val="00597E2D"/>
    <w:rsid w:val="00597FA3"/>
    <w:rsid w:val="0059C49A"/>
    <w:rsid w:val="005A0093"/>
    <w:rsid w:val="005A0531"/>
    <w:rsid w:val="005A0645"/>
    <w:rsid w:val="005A0B82"/>
    <w:rsid w:val="005A0BA2"/>
    <w:rsid w:val="005A0C89"/>
    <w:rsid w:val="005A0CFF"/>
    <w:rsid w:val="005A0D22"/>
    <w:rsid w:val="005A0D55"/>
    <w:rsid w:val="005A1153"/>
    <w:rsid w:val="005A1201"/>
    <w:rsid w:val="005A12DB"/>
    <w:rsid w:val="005A1393"/>
    <w:rsid w:val="005A1419"/>
    <w:rsid w:val="005A142E"/>
    <w:rsid w:val="005A1610"/>
    <w:rsid w:val="005A176B"/>
    <w:rsid w:val="005A1868"/>
    <w:rsid w:val="005A1968"/>
    <w:rsid w:val="005A19DB"/>
    <w:rsid w:val="005A19FA"/>
    <w:rsid w:val="005A1D5F"/>
    <w:rsid w:val="005A1E58"/>
    <w:rsid w:val="005A1F61"/>
    <w:rsid w:val="005A229A"/>
    <w:rsid w:val="005A2336"/>
    <w:rsid w:val="005A2423"/>
    <w:rsid w:val="005A247C"/>
    <w:rsid w:val="005A26A8"/>
    <w:rsid w:val="005A2791"/>
    <w:rsid w:val="005A27BE"/>
    <w:rsid w:val="005A2912"/>
    <w:rsid w:val="005A291D"/>
    <w:rsid w:val="005A2BC2"/>
    <w:rsid w:val="005A2C38"/>
    <w:rsid w:val="005A2C9A"/>
    <w:rsid w:val="005A2D9E"/>
    <w:rsid w:val="005A2DBD"/>
    <w:rsid w:val="005A3015"/>
    <w:rsid w:val="005A30F8"/>
    <w:rsid w:val="005A319A"/>
    <w:rsid w:val="005A33DB"/>
    <w:rsid w:val="005A3510"/>
    <w:rsid w:val="005A3605"/>
    <w:rsid w:val="005A368C"/>
    <w:rsid w:val="005A3806"/>
    <w:rsid w:val="005A3894"/>
    <w:rsid w:val="005A3B26"/>
    <w:rsid w:val="005A4011"/>
    <w:rsid w:val="005A4018"/>
    <w:rsid w:val="005A4191"/>
    <w:rsid w:val="005A4257"/>
    <w:rsid w:val="005A443E"/>
    <w:rsid w:val="005A44E0"/>
    <w:rsid w:val="005A4797"/>
    <w:rsid w:val="005A489D"/>
    <w:rsid w:val="005A492B"/>
    <w:rsid w:val="005A4993"/>
    <w:rsid w:val="005A4A61"/>
    <w:rsid w:val="005A5097"/>
    <w:rsid w:val="005A512A"/>
    <w:rsid w:val="005A53CA"/>
    <w:rsid w:val="005A567E"/>
    <w:rsid w:val="005A5C94"/>
    <w:rsid w:val="005A5E33"/>
    <w:rsid w:val="005A5F8F"/>
    <w:rsid w:val="005A64EF"/>
    <w:rsid w:val="005A6A6B"/>
    <w:rsid w:val="005A6BBA"/>
    <w:rsid w:val="005A6DA2"/>
    <w:rsid w:val="005A6F19"/>
    <w:rsid w:val="005A6F2E"/>
    <w:rsid w:val="005A7060"/>
    <w:rsid w:val="005A71F7"/>
    <w:rsid w:val="005A761F"/>
    <w:rsid w:val="005A777C"/>
    <w:rsid w:val="005A7D54"/>
    <w:rsid w:val="005A7EFD"/>
    <w:rsid w:val="005A7F4F"/>
    <w:rsid w:val="005B014F"/>
    <w:rsid w:val="005B0629"/>
    <w:rsid w:val="005B08B4"/>
    <w:rsid w:val="005B08E9"/>
    <w:rsid w:val="005B0A5A"/>
    <w:rsid w:val="005B0A8B"/>
    <w:rsid w:val="005B0AFD"/>
    <w:rsid w:val="005B1409"/>
    <w:rsid w:val="005B1410"/>
    <w:rsid w:val="005B1D80"/>
    <w:rsid w:val="005B1E08"/>
    <w:rsid w:val="005B1E63"/>
    <w:rsid w:val="005B1E96"/>
    <w:rsid w:val="005B272D"/>
    <w:rsid w:val="005B2834"/>
    <w:rsid w:val="005B2D7C"/>
    <w:rsid w:val="005B2E76"/>
    <w:rsid w:val="005B2E9C"/>
    <w:rsid w:val="005B3161"/>
    <w:rsid w:val="005B35C5"/>
    <w:rsid w:val="005B3943"/>
    <w:rsid w:val="005B3FBE"/>
    <w:rsid w:val="005B408C"/>
    <w:rsid w:val="005B42A1"/>
    <w:rsid w:val="005B44F8"/>
    <w:rsid w:val="005B4562"/>
    <w:rsid w:val="005B48AA"/>
    <w:rsid w:val="005B49A5"/>
    <w:rsid w:val="005B4D9D"/>
    <w:rsid w:val="005B4ED2"/>
    <w:rsid w:val="005B4F39"/>
    <w:rsid w:val="005B4F78"/>
    <w:rsid w:val="005B4FD3"/>
    <w:rsid w:val="005B50F4"/>
    <w:rsid w:val="005B513D"/>
    <w:rsid w:val="005B54AA"/>
    <w:rsid w:val="005B5A99"/>
    <w:rsid w:val="005B61C9"/>
    <w:rsid w:val="005B6258"/>
    <w:rsid w:val="005B62CE"/>
    <w:rsid w:val="005B62F0"/>
    <w:rsid w:val="005B69D7"/>
    <w:rsid w:val="005B6B7F"/>
    <w:rsid w:val="005B6B9F"/>
    <w:rsid w:val="005B6E43"/>
    <w:rsid w:val="005B752D"/>
    <w:rsid w:val="005B75C1"/>
    <w:rsid w:val="005B78EB"/>
    <w:rsid w:val="005B7B61"/>
    <w:rsid w:val="005B7BDD"/>
    <w:rsid w:val="005B7C44"/>
    <w:rsid w:val="005B7D0B"/>
    <w:rsid w:val="005B7DDA"/>
    <w:rsid w:val="005B7F0E"/>
    <w:rsid w:val="005C00C3"/>
    <w:rsid w:val="005C02E8"/>
    <w:rsid w:val="005C030B"/>
    <w:rsid w:val="005C0329"/>
    <w:rsid w:val="005C0616"/>
    <w:rsid w:val="005C06F4"/>
    <w:rsid w:val="005C08C0"/>
    <w:rsid w:val="005C0FA8"/>
    <w:rsid w:val="005C0FB1"/>
    <w:rsid w:val="005C1119"/>
    <w:rsid w:val="005C11AE"/>
    <w:rsid w:val="005C12D0"/>
    <w:rsid w:val="005C13D6"/>
    <w:rsid w:val="005C14F5"/>
    <w:rsid w:val="005C1525"/>
    <w:rsid w:val="005C1785"/>
    <w:rsid w:val="005C17C2"/>
    <w:rsid w:val="005C1888"/>
    <w:rsid w:val="005C1BF1"/>
    <w:rsid w:val="005C1D16"/>
    <w:rsid w:val="005C1DD7"/>
    <w:rsid w:val="005C1FD5"/>
    <w:rsid w:val="005C208B"/>
    <w:rsid w:val="005C2241"/>
    <w:rsid w:val="005C2319"/>
    <w:rsid w:val="005C23E9"/>
    <w:rsid w:val="005C2405"/>
    <w:rsid w:val="005C2ACE"/>
    <w:rsid w:val="005C2BD0"/>
    <w:rsid w:val="005C2D8B"/>
    <w:rsid w:val="005C321A"/>
    <w:rsid w:val="005C32EF"/>
    <w:rsid w:val="005C32FB"/>
    <w:rsid w:val="005C3410"/>
    <w:rsid w:val="005C3497"/>
    <w:rsid w:val="005C36C6"/>
    <w:rsid w:val="005C386D"/>
    <w:rsid w:val="005C3B18"/>
    <w:rsid w:val="005C3CAA"/>
    <w:rsid w:val="005C4540"/>
    <w:rsid w:val="005C472E"/>
    <w:rsid w:val="005C4D05"/>
    <w:rsid w:val="005C4D60"/>
    <w:rsid w:val="005C5174"/>
    <w:rsid w:val="005C51A1"/>
    <w:rsid w:val="005C51F5"/>
    <w:rsid w:val="005C548C"/>
    <w:rsid w:val="005C56A4"/>
    <w:rsid w:val="005C5908"/>
    <w:rsid w:val="005C5A26"/>
    <w:rsid w:val="005C5B8B"/>
    <w:rsid w:val="005C5BD0"/>
    <w:rsid w:val="005C652C"/>
    <w:rsid w:val="005C696E"/>
    <w:rsid w:val="005C6A5B"/>
    <w:rsid w:val="005C6B2C"/>
    <w:rsid w:val="005C6F29"/>
    <w:rsid w:val="005C7153"/>
    <w:rsid w:val="005C71C3"/>
    <w:rsid w:val="005C76CD"/>
    <w:rsid w:val="005C7A3B"/>
    <w:rsid w:val="005C7B59"/>
    <w:rsid w:val="005C7BB4"/>
    <w:rsid w:val="005C7D3E"/>
    <w:rsid w:val="005C7DAD"/>
    <w:rsid w:val="005D000C"/>
    <w:rsid w:val="005D01C9"/>
    <w:rsid w:val="005D0617"/>
    <w:rsid w:val="005D077C"/>
    <w:rsid w:val="005D07F1"/>
    <w:rsid w:val="005D0DBE"/>
    <w:rsid w:val="005D100D"/>
    <w:rsid w:val="005D10A3"/>
    <w:rsid w:val="005D12B4"/>
    <w:rsid w:val="005D152A"/>
    <w:rsid w:val="005D15F4"/>
    <w:rsid w:val="005D1663"/>
    <w:rsid w:val="005D184B"/>
    <w:rsid w:val="005D1AAB"/>
    <w:rsid w:val="005D1BF2"/>
    <w:rsid w:val="005D1DBD"/>
    <w:rsid w:val="005D1ED9"/>
    <w:rsid w:val="005D1FE7"/>
    <w:rsid w:val="005D1FE9"/>
    <w:rsid w:val="005D210F"/>
    <w:rsid w:val="005D22C4"/>
    <w:rsid w:val="005D26C5"/>
    <w:rsid w:val="005D2972"/>
    <w:rsid w:val="005D29EF"/>
    <w:rsid w:val="005D2A65"/>
    <w:rsid w:val="005D2D7C"/>
    <w:rsid w:val="005D2E6E"/>
    <w:rsid w:val="005D2F86"/>
    <w:rsid w:val="005D32AA"/>
    <w:rsid w:val="005D357B"/>
    <w:rsid w:val="005D3A4C"/>
    <w:rsid w:val="005D3C66"/>
    <w:rsid w:val="005D3C9A"/>
    <w:rsid w:val="005D3D62"/>
    <w:rsid w:val="005D3E91"/>
    <w:rsid w:val="005D3F47"/>
    <w:rsid w:val="005D40CE"/>
    <w:rsid w:val="005D4192"/>
    <w:rsid w:val="005D41D5"/>
    <w:rsid w:val="005D4297"/>
    <w:rsid w:val="005D442D"/>
    <w:rsid w:val="005D47A7"/>
    <w:rsid w:val="005D48EB"/>
    <w:rsid w:val="005D4A20"/>
    <w:rsid w:val="005D4A64"/>
    <w:rsid w:val="005D4B2F"/>
    <w:rsid w:val="005D4DE0"/>
    <w:rsid w:val="005D4F37"/>
    <w:rsid w:val="005D4FA7"/>
    <w:rsid w:val="005D4FBF"/>
    <w:rsid w:val="005D53CD"/>
    <w:rsid w:val="005D5810"/>
    <w:rsid w:val="005D5B9B"/>
    <w:rsid w:val="005D5CE9"/>
    <w:rsid w:val="005D5FEB"/>
    <w:rsid w:val="005D60E5"/>
    <w:rsid w:val="005D62BC"/>
    <w:rsid w:val="005D650C"/>
    <w:rsid w:val="005D6562"/>
    <w:rsid w:val="005D67C3"/>
    <w:rsid w:val="005D6892"/>
    <w:rsid w:val="005D6F94"/>
    <w:rsid w:val="005D6F96"/>
    <w:rsid w:val="005D7224"/>
    <w:rsid w:val="005D72D7"/>
    <w:rsid w:val="005D7398"/>
    <w:rsid w:val="005D773B"/>
    <w:rsid w:val="005D786A"/>
    <w:rsid w:val="005D78FF"/>
    <w:rsid w:val="005D7954"/>
    <w:rsid w:val="005D79BF"/>
    <w:rsid w:val="005D79D5"/>
    <w:rsid w:val="005D7A29"/>
    <w:rsid w:val="005D7CB2"/>
    <w:rsid w:val="005D7CE2"/>
    <w:rsid w:val="005E02CF"/>
    <w:rsid w:val="005E03E6"/>
    <w:rsid w:val="005E04EC"/>
    <w:rsid w:val="005E05B6"/>
    <w:rsid w:val="005E0614"/>
    <w:rsid w:val="005E064B"/>
    <w:rsid w:val="005E0B8A"/>
    <w:rsid w:val="005E0F90"/>
    <w:rsid w:val="005E1205"/>
    <w:rsid w:val="005E120B"/>
    <w:rsid w:val="005E126B"/>
    <w:rsid w:val="005E14AF"/>
    <w:rsid w:val="005E1851"/>
    <w:rsid w:val="005E1B19"/>
    <w:rsid w:val="005E1D3D"/>
    <w:rsid w:val="005E1FB8"/>
    <w:rsid w:val="005E20DD"/>
    <w:rsid w:val="005E2367"/>
    <w:rsid w:val="005E241D"/>
    <w:rsid w:val="005E2720"/>
    <w:rsid w:val="005E27AB"/>
    <w:rsid w:val="005E2A9F"/>
    <w:rsid w:val="005E2B63"/>
    <w:rsid w:val="005E2CF0"/>
    <w:rsid w:val="005E2EB0"/>
    <w:rsid w:val="005E300A"/>
    <w:rsid w:val="005E3046"/>
    <w:rsid w:val="005E324D"/>
    <w:rsid w:val="005E3699"/>
    <w:rsid w:val="005E3765"/>
    <w:rsid w:val="005E3A57"/>
    <w:rsid w:val="005E42B3"/>
    <w:rsid w:val="005E446F"/>
    <w:rsid w:val="005E4735"/>
    <w:rsid w:val="005E4964"/>
    <w:rsid w:val="005E4A1A"/>
    <w:rsid w:val="005E4AA2"/>
    <w:rsid w:val="005E4AC4"/>
    <w:rsid w:val="005E4FD3"/>
    <w:rsid w:val="005E51BC"/>
    <w:rsid w:val="005E536E"/>
    <w:rsid w:val="005E5445"/>
    <w:rsid w:val="005E54C4"/>
    <w:rsid w:val="005E575D"/>
    <w:rsid w:val="005E5A0A"/>
    <w:rsid w:val="005E5A3C"/>
    <w:rsid w:val="005E5BF8"/>
    <w:rsid w:val="005E5CA2"/>
    <w:rsid w:val="005E5E6F"/>
    <w:rsid w:val="005E5FF4"/>
    <w:rsid w:val="005E60AC"/>
    <w:rsid w:val="005E6315"/>
    <w:rsid w:val="005E6C3A"/>
    <w:rsid w:val="005E6F81"/>
    <w:rsid w:val="005E7303"/>
    <w:rsid w:val="005E744B"/>
    <w:rsid w:val="005E753C"/>
    <w:rsid w:val="005E7664"/>
    <w:rsid w:val="005E7B07"/>
    <w:rsid w:val="005E7B3D"/>
    <w:rsid w:val="005E7B6B"/>
    <w:rsid w:val="005E7C9D"/>
    <w:rsid w:val="005E7EF3"/>
    <w:rsid w:val="005E7F27"/>
    <w:rsid w:val="005F0333"/>
    <w:rsid w:val="005F049B"/>
    <w:rsid w:val="005F04E2"/>
    <w:rsid w:val="005F0652"/>
    <w:rsid w:val="005F0DFF"/>
    <w:rsid w:val="005F0EAA"/>
    <w:rsid w:val="005F0F0C"/>
    <w:rsid w:val="005F0F59"/>
    <w:rsid w:val="005F11F5"/>
    <w:rsid w:val="005F1251"/>
    <w:rsid w:val="005F1360"/>
    <w:rsid w:val="005F15FE"/>
    <w:rsid w:val="005F1617"/>
    <w:rsid w:val="005F1948"/>
    <w:rsid w:val="005F1A03"/>
    <w:rsid w:val="005F1B0E"/>
    <w:rsid w:val="005F1B94"/>
    <w:rsid w:val="005F2245"/>
    <w:rsid w:val="005F23EB"/>
    <w:rsid w:val="005F256A"/>
    <w:rsid w:val="005F26EE"/>
    <w:rsid w:val="005F2AA2"/>
    <w:rsid w:val="005F2AE2"/>
    <w:rsid w:val="005F2C50"/>
    <w:rsid w:val="005F2FA8"/>
    <w:rsid w:val="005F300F"/>
    <w:rsid w:val="005F30F3"/>
    <w:rsid w:val="005F33E6"/>
    <w:rsid w:val="005F38C5"/>
    <w:rsid w:val="005F3B81"/>
    <w:rsid w:val="005F428C"/>
    <w:rsid w:val="005F44AB"/>
    <w:rsid w:val="005F467A"/>
    <w:rsid w:val="005F485A"/>
    <w:rsid w:val="005F48AC"/>
    <w:rsid w:val="005F48FE"/>
    <w:rsid w:val="005F492B"/>
    <w:rsid w:val="005F4AE8"/>
    <w:rsid w:val="005F4C18"/>
    <w:rsid w:val="005F4D13"/>
    <w:rsid w:val="005F4E9D"/>
    <w:rsid w:val="005F515E"/>
    <w:rsid w:val="005F5191"/>
    <w:rsid w:val="005F51C5"/>
    <w:rsid w:val="005F5A28"/>
    <w:rsid w:val="005F5B4D"/>
    <w:rsid w:val="005F5CD6"/>
    <w:rsid w:val="005F6226"/>
    <w:rsid w:val="005F66F6"/>
    <w:rsid w:val="005F66FD"/>
    <w:rsid w:val="005F678D"/>
    <w:rsid w:val="005F688B"/>
    <w:rsid w:val="005F6D63"/>
    <w:rsid w:val="005F71EB"/>
    <w:rsid w:val="005F74A1"/>
    <w:rsid w:val="005F76D5"/>
    <w:rsid w:val="005F7756"/>
    <w:rsid w:val="005F7A71"/>
    <w:rsid w:val="006000CC"/>
    <w:rsid w:val="006001F7"/>
    <w:rsid w:val="00600203"/>
    <w:rsid w:val="00600336"/>
    <w:rsid w:val="00600A0F"/>
    <w:rsid w:val="00600A32"/>
    <w:rsid w:val="00600B09"/>
    <w:rsid w:val="00600F2A"/>
    <w:rsid w:val="00601497"/>
    <w:rsid w:val="00601538"/>
    <w:rsid w:val="00601786"/>
    <w:rsid w:val="006017BD"/>
    <w:rsid w:val="006017E0"/>
    <w:rsid w:val="00601AC6"/>
    <w:rsid w:val="00601D27"/>
    <w:rsid w:val="00601DD0"/>
    <w:rsid w:val="00602101"/>
    <w:rsid w:val="006025B0"/>
    <w:rsid w:val="00602831"/>
    <w:rsid w:val="006028C3"/>
    <w:rsid w:val="00602910"/>
    <w:rsid w:val="00602C32"/>
    <w:rsid w:val="00602E31"/>
    <w:rsid w:val="00602F19"/>
    <w:rsid w:val="006030A5"/>
    <w:rsid w:val="006030EF"/>
    <w:rsid w:val="006032F1"/>
    <w:rsid w:val="00603379"/>
    <w:rsid w:val="006035D9"/>
    <w:rsid w:val="00603BDB"/>
    <w:rsid w:val="00603F10"/>
    <w:rsid w:val="006040F5"/>
    <w:rsid w:val="00604D33"/>
    <w:rsid w:val="00604E27"/>
    <w:rsid w:val="00604FDE"/>
    <w:rsid w:val="0060516A"/>
    <w:rsid w:val="00605303"/>
    <w:rsid w:val="00605305"/>
    <w:rsid w:val="006053C1"/>
    <w:rsid w:val="00605678"/>
    <w:rsid w:val="0060582F"/>
    <w:rsid w:val="006059F0"/>
    <w:rsid w:val="00605C0A"/>
    <w:rsid w:val="00605CB1"/>
    <w:rsid w:val="00605D23"/>
    <w:rsid w:val="00606243"/>
    <w:rsid w:val="006068AF"/>
    <w:rsid w:val="00606957"/>
    <w:rsid w:val="00606B96"/>
    <w:rsid w:val="00606C83"/>
    <w:rsid w:val="00606E8F"/>
    <w:rsid w:val="00607478"/>
    <w:rsid w:val="0060753D"/>
    <w:rsid w:val="00607DFC"/>
    <w:rsid w:val="00610278"/>
    <w:rsid w:val="0061060A"/>
    <w:rsid w:val="006106C7"/>
    <w:rsid w:val="00610737"/>
    <w:rsid w:val="00610809"/>
    <w:rsid w:val="0061096A"/>
    <w:rsid w:val="00610BA7"/>
    <w:rsid w:val="00610DD6"/>
    <w:rsid w:val="00610ED2"/>
    <w:rsid w:val="00610F39"/>
    <w:rsid w:val="00610F78"/>
    <w:rsid w:val="00610F82"/>
    <w:rsid w:val="00611413"/>
    <w:rsid w:val="006116A0"/>
    <w:rsid w:val="00611884"/>
    <w:rsid w:val="00611AB4"/>
    <w:rsid w:val="00611C37"/>
    <w:rsid w:val="00611D2E"/>
    <w:rsid w:val="0061201E"/>
    <w:rsid w:val="00612029"/>
    <w:rsid w:val="006129B0"/>
    <w:rsid w:val="00612DE0"/>
    <w:rsid w:val="00612DF9"/>
    <w:rsid w:val="00612E0E"/>
    <w:rsid w:val="00613277"/>
    <w:rsid w:val="006134C4"/>
    <w:rsid w:val="00613952"/>
    <w:rsid w:val="00613AC1"/>
    <w:rsid w:val="00613B51"/>
    <w:rsid w:val="00613F70"/>
    <w:rsid w:val="00614397"/>
    <w:rsid w:val="006144C7"/>
    <w:rsid w:val="0061455D"/>
    <w:rsid w:val="006148CA"/>
    <w:rsid w:val="006148D5"/>
    <w:rsid w:val="00614B18"/>
    <w:rsid w:val="00614CD2"/>
    <w:rsid w:val="00614CE3"/>
    <w:rsid w:val="00614E26"/>
    <w:rsid w:val="00614F49"/>
    <w:rsid w:val="006150D7"/>
    <w:rsid w:val="00615145"/>
    <w:rsid w:val="00615BD9"/>
    <w:rsid w:val="00615DFF"/>
    <w:rsid w:val="00615F40"/>
    <w:rsid w:val="006163C7"/>
    <w:rsid w:val="006163FA"/>
    <w:rsid w:val="0061647C"/>
    <w:rsid w:val="0061657C"/>
    <w:rsid w:val="006165FE"/>
    <w:rsid w:val="00616954"/>
    <w:rsid w:val="00616BA5"/>
    <w:rsid w:val="00616ECD"/>
    <w:rsid w:val="00616FAB"/>
    <w:rsid w:val="00617100"/>
    <w:rsid w:val="00617314"/>
    <w:rsid w:val="00617B0D"/>
    <w:rsid w:val="00617C2E"/>
    <w:rsid w:val="00617DB5"/>
    <w:rsid w:val="00617E61"/>
    <w:rsid w:val="00620154"/>
    <w:rsid w:val="00620161"/>
    <w:rsid w:val="00620498"/>
    <w:rsid w:val="006206C9"/>
    <w:rsid w:val="006209C2"/>
    <w:rsid w:val="00620A49"/>
    <w:rsid w:val="00620EA3"/>
    <w:rsid w:val="00621548"/>
    <w:rsid w:val="0062158F"/>
    <w:rsid w:val="00621797"/>
    <w:rsid w:val="0062189C"/>
    <w:rsid w:val="0062194D"/>
    <w:rsid w:val="00621AAA"/>
    <w:rsid w:val="00621BF6"/>
    <w:rsid w:val="00621CD1"/>
    <w:rsid w:val="00621E16"/>
    <w:rsid w:val="006227F8"/>
    <w:rsid w:val="00622995"/>
    <w:rsid w:val="00622A53"/>
    <w:rsid w:val="00622AC7"/>
    <w:rsid w:val="00622BDE"/>
    <w:rsid w:val="00622C38"/>
    <w:rsid w:val="00622CAC"/>
    <w:rsid w:val="0062301B"/>
    <w:rsid w:val="00623177"/>
    <w:rsid w:val="00623347"/>
    <w:rsid w:val="00623374"/>
    <w:rsid w:val="006233B8"/>
    <w:rsid w:val="00623434"/>
    <w:rsid w:val="00623774"/>
    <w:rsid w:val="00623879"/>
    <w:rsid w:val="00623985"/>
    <w:rsid w:val="00623A5A"/>
    <w:rsid w:val="00624094"/>
    <w:rsid w:val="006244B2"/>
    <w:rsid w:val="0062488C"/>
    <w:rsid w:val="00624AE7"/>
    <w:rsid w:val="006250A7"/>
    <w:rsid w:val="006250E2"/>
    <w:rsid w:val="006252DB"/>
    <w:rsid w:val="006252E4"/>
    <w:rsid w:val="00625665"/>
    <w:rsid w:val="00625AF8"/>
    <w:rsid w:val="00625CF7"/>
    <w:rsid w:val="00625FE9"/>
    <w:rsid w:val="006261EC"/>
    <w:rsid w:val="006262DB"/>
    <w:rsid w:val="00626C40"/>
    <w:rsid w:val="00626E4A"/>
    <w:rsid w:val="00626F69"/>
    <w:rsid w:val="00626F8B"/>
    <w:rsid w:val="00627026"/>
    <w:rsid w:val="006272D3"/>
    <w:rsid w:val="006273DC"/>
    <w:rsid w:val="00627593"/>
    <w:rsid w:val="0062784A"/>
    <w:rsid w:val="00627A2E"/>
    <w:rsid w:val="00627B7B"/>
    <w:rsid w:val="00627D97"/>
    <w:rsid w:val="00627E3A"/>
    <w:rsid w:val="006300F2"/>
    <w:rsid w:val="00630104"/>
    <w:rsid w:val="00630A57"/>
    <w:rsid w:val="00630A67"/>
    <w:rsid w:val="00630A92"/>
    <w:rsid w:val="00630E13"/>
    <w:rsid w:val="006311C0"/>
    <w:rsid w:val="006311C9"/>
    <w:rsid w:val="00631208"/>
    <w:rsid w:val="00631360"/>
    <w:rsid w:val="006315B0"/>
    <w:rsid w:val="006315E9"/>
    <w:rsid w:val="006316A6"/>
    <w:rsid w:val="00631D59"/>
    <w:rsid w:val="00631F52"/>
    <w:rsid w:val="00632171"/>
    <w:rsid w:val="006329CC"/>
    <w:rsid w:val="00632AE5"/>
    <w:rsid w:val="00632CE5"/>
    <w:rsid w:val="00632E48"/>
    <w:rsid w:val="0063331E"/>
    <w:rsid w:val="006333E1"/>
    <w:rsid w:val="006334F4"/>
    <w:rsid w:val="00633561"/>
    <w:rsid w:val="00633723"/>
    <w:rsid w:val="00633AFC"/>
    <w:rsid w:val="00633D8E"/>
    <w:rsid w:val="00633DCF"/>
    <w:rsid w:val="00633FF3"/>
    <w:rsid w:val="0063406F"/>
    <w:rsid w:val="006340AF"/>
    <w:rsid w:val="006340C6"/>
    <w:rsid w:val="00634688"/>
    <w:rsid w:val="0063492D"/>
    <w:rsid w:val="00634959"/>
    <w:rsid w:val="00634E4D"/>
    <w:rsid w:val="00634E95"/>
    <w:rsid w:val="0063503F"/>
    <w:rsid w:val="006351B3"/>
    <w:rsid w:val="00635827"/>
    <w:rsid w:val="00635A77"/>
    <w:rsid w:val="00635B17"/>
    <w:rsid w:val="00635C4E"/>
    <w:rsid w:val="00635CAB"/>
    <w:rsid w:val="00635CDC"/>
    <w:rsid w:val="0063612C"/>
    <w:rsid w:val="006361C7"/>
    <w:rsid w:val="0063647E"/>
    <w:rsid w:val="006365DC"/>
    <w:rsid w:val="00636866"/>
    <w:rsid w:val="006368D6"/>
    <w:rsid w:val="00636994"/>
    <w:rsid w:val="00636B8F"/>
    <w:rsid w:val="00636E9A"/>
    <w:rsid w:val="00637043"/>
    <w:rsid w:val="00637533"/>
    <w:rsid w:val="006375B4"/>
    <w:rsid w:val="006375DA"/>
    <w:rsid w:val="006375FC"/>
    <w:rsid w:val="00637827"/>
    <w:rsid w:val="00637AC6"/>
    <w:rsid w:val="00640470"/>
    <w:rsid w:val="00640506"/>
    <w:rsid w:val="00640746"/>
    <w:rsid w:val="00640832"/>
    <w:rsid w:val="0064099B"/>
    <w:rsid w:val="00640A8D"/>
    <w:rsid w:val="00640B1F"/>
    <w:rsid w:val="00640BA5"/>
    <w:rsid w:val="00640BB3"/>
    <w:rsid w:val="00640E14"/>
    <w:rsid w:val="00641698"/>
    <w:rsid w:val="006419DA"/>
    <w:rsid w:val="00641A24"/>
    <w:rsid w:val="00641A37"/>
    <w:rsid w:val="00641B19"/>
    <w:rsid w:val="00641B56"/>
    <w:rsid w:val="00641D66"/>
    <w:rsid w:val="00641EAE"/>
    <w:rsid w:val="006422E5"/>
    <w:rsid w:val="00642332"/>
    <w:rsid w:val="006425FC"/>
    <w:rsid w:val="00642748"/>
    <w:rsid w:val="00642823"/>
    <w:rsid w:val="00642837"/>
    <w:rsid w:val="00642904"/>
    <w:rsid w:val="00642940"/>
    <w:rsid w:val="00642992"/>
    <w:rsid w:val="00642A52"/>
    <w:rsid w:val="00642A5C"/>
    <w:rsid w:val="00642B76"/>
    <w:rsid w:val="00642C4D"/>
    <w:rsid w:val="00642D12"/>
    <w:rsid w:val="00642F4D"/>
    <w:rsid w:val="00643679"/>
    <w:rsid w:val="006436F3"/>
    <w:rsid w:val="0064385A"/>
    <w:rsid w:val="00643B23"/>
    <w:rsid w:val="00643CD4"/>
    <w:rsid w:val="00643D0D"/>
    <w:rsid w:val="00644011"/>
    <w:rsid w:val="006441C3"/>
    <w:rsid w:val="00644512"/>
    <w:rsid w:val="00644545"/>
    <w:rsid w:val="00644627"/>
    <w:rsid w:val="006447E1"/>
    <w:rsid w:val="00644951"/>
    <w:rsid w:val="00644B59"/>
    <w:rsid w:val="00644DEB"/>
    <w:rsid w:val="00644DFA"/>
    <w:rsid w:val="00644E9F"/>
    <w:rsid w:val="00644EDB"/>
    <w:rsid w:val="00645060"/>
    <w:rsid w:val="00645688"/>
    <w:rsid w:val="00645790"/>
    <w:rsid w:val="006457E0"/>
    <w:rsid w:val="006459E9"/>
    <w:rsid w:val="00645A6E"/>
    <w:rsid w:val="00645C5D"/>
    <w:rsid w:val="00646055"/>
    <w:rsid w:val="0064621B"/>
    <w:rsid w:val="006463B4"/>
    <w:rsid w:val="006464C5"/>
    <w:rsid w:val="00646614"/>
    <w:rsid w:val="006469F6"/>
    <w:rsid w:val="00646DF7"/>
    <w:rsid w:val="00646FEB"/>
    <w:rsid w:val="0064716D"/>
    <w:rsid w:val="00647235"/>
    <w:rsid w:val="00647258"/>
    <w:rsid w:val="006472C2"/>
    <w:rsid w:val="00647389"/>
    <w:rsid w:val="00647680"/>
    <w:rsid w:val="006477CF"/>
    <w:rsid w:val="00647888"/>
    <w:rsid w:val="00647A20"/>
    <w:rsid w:val="00647B3B"/>
    <w:rsid w:val="00647B50"/>
    <w:rsid w:val="00647E0F"/>
    <w:rsid w:val="00647EC0"/>
    <w:rsid w:val="006505CE"/>
    <w:rsid w:val="0065071F"/>
    <w:rsid w:val="00650977"/>
    <w:rsid w:val="00650C8E"/>
    <w:rsid w:val="00650CAC"/>
    <w:rsid w:val="00651202"/>
    <w:rsid w:val="0065121B"/>
    <w:rsid w:val="006512DD"/>
    <w:rsid w:val="00651377"/>
    <w:rsid w:val="0065141B"/>
    <w:rsid w:val="00651478"/>
    <w:rsid w:val="0065150B"/>
    <w:rsid w:val="0065157F"/>
    <w:rsid w:val="0065160A"/>
    <w:rsid w:val="0065161C"/>
    <w:rsid w:val="0065165A"/>
    <w:rsid w:val="00651A17"/>
    <w:rsid w:val="00651AE0"/>
    <w:rsid w:val="00651B9A"/>
    <w:rsid w:val="00651C90"/>
    <w:rsid w:val="00651D0F"/>
    <w:rsid w:val="00651DD0"/>
    <w:rsid w:val="006521B6"/>
    <w:rsid w:val="00652265"/>
    <w:rsid w:val="006522AD"/>
    <w:rsid w:val="00652521"/>
    <w:rsid w:val="0065255F"/>
    <w:rsid w:val="0065287D"/>
    <w:rsid w:val="00652A30"/>
    <w:rsid w:val="00652C26"/>
    <w:rsid w:val="00653008"/>
    <w:rsid w:val="0065310D"/>
    <w:rsid w:val="00653228"/>
    <w:rsid w:val="006532AC"/>
    <w:rsid w:val="00653483"/>
    <w:rsid w:val="00653551"/>
    <w:rsid w:val="0065362F"/>
    <w:rsid w:val="0065364E"/>
    <w:rsid w:val="00653D95"/>
    <w:rsid w:val="00653DE9"/>
    <w:rsid w:val="00654174"/>
    <w:rsid w:val="0065448C"/>
    <w:rsid w:val="00654514"/>
    <w:rsid w:val="00654558"/>
    <w:rsid w:val="006545F2"/>
    <w:rsid w:val="00654AF4"/>
    <w:rsid w:val="00654F24"/>
    <w:rsid w:val="00655163"/>
    <w:rsid w:val="006552B5"/>
    <w:rsid w:val="006554C8"/>
    <w:rsid w:val="006554E2"/>
    <w:rsid w:val="006554FD"/>
    <w:rsid w:val="0065562D"/>
    <w:rsid w:val="00655998"/>
    <w:rsid w:val="00655B15"/>
    <w:rsid w:val="00655B76"/>
    <w:rsid w:val="00655D04"/>
    <w:rsid w:val="00655DAE"/>
    <w:rsid w:val="00655F87"/>
    <w:rsid w:val="006560CE"/>
    <w:rsid w:val="0065624B"/>
    <w:rsid w:val="00656266"/>
    <w:rsid w:val="00656758"/>
    <w:rsid w:val="006568AA"/>
    <w:rsid w:val="006568B5"/>
    <w:rsid w:val="00656A67"/>
    <w:rsid w:val="00656C61"/>
    <w:rsid w:val="00656D69"/>
    <w:rsid w:val="006572A6"/>
    <w:rsid w:val="006572A8"/>
    <w:rsid w:val="006572ED"/>
    <w:rsid w:val="00657809"/>
    <w:rsid w:val="0065798D"/>
    <w:rsid w:val="00657E14"/>
    <w:rsid w:val="006600A5"/>
    <w:rsid w:val="00660133"/>
    <w:rsid w:val="006601E7"/>
    <w:rsid w:val="00660702"/>
    <w:rsid w:val="00660949"/>
    <w:rsid w:val="0066096F"/>
    <w:rsid w:val="006609D0"/>
    <w:rsid w:val="00660BF2"/>
    <w:rsid w:val="00660C3A"/>
    <w:rsid w:val="00660D06"/>
    <w:rsid w:val="00660D72"/>
    <w:rsid w:val="00660DA9"/>
    <w:rsid w:val="00660F31"/>
    <w:rsid w:val="00660F5E"/>
    <w:rsid w:val="00660FC4"/>
    <w:rsid w:val="0066129F"/>
    <w:rsid w:val="006618E5"/>
    <w:rsid w:val="0066197A"/>
    <w:rsid w:val="00662001"/>
    <w:rsid w:val="00662091"/>
    <w:rsid w:val="00662558"/>
    <w:rsid w:val="00662858"/>
    <w:rsid w:val="00662AD9"/>
    <w:rsid w:val="00662CD4"/>
    <w:rsid w:val="00662E33"/>
    <w:rsid w:val="00662FC6"/>
    <w:rsid w:val="00662FE2"/>
    <w:rsid w:val="006630EF"/>
    <w:rsid w:val="00663284"/>
    <w:rsid w:val="006633FE"/>
    <w:rsid w:val="0066344C"/>
    <w:rsid w:val="006634FA"/>
    <w:rsid w:val="0066350D"/>
    <w:rsid w:val="00663697"/>
    <w:rsid w:val="006636A3"/>
    <w:rsid w:val="00663832"/>
    <w:rsid w:val="00663888"/>
    <w:rsid w:val="006638B0"/>
    <w:rsid w:val="0066390B"/>
    <w:rsid w:val="00663990"/>
    <w:rsid w:val="00663D19"/>
    <w:rsid w:val="00663ED8"/>
    <w:rsid w:val="00663FE0"/>
    <w:rsid w:val="006641BC"/>
    <w:rsid w:val="006641BE"/>
    <w:rsid w:val="0066475D"/>
    <w:rsid w:val="006649AC"/>
    <w:rsid w:val="00664CBB"/>
    <w:rsid w:val="00665246"/>
    <w:rsid w:val="0066539D"/>
    <w:rsid w:val="0066549F"/>
    <w:rsid w:val="00665BD6"/>
    <w:rsid w:val="00665D61"/>
    <w:rsid w:val="0066600E"/>
    <w:rsid w:val="00666043"/>
    <w:rsid w:val="0066645B"/>
    <w:rsid w:val="006666BE"/>
    <w:rsid w:val="006666C6"/>
    <w:rsid w:val="0066674F"/>
    <w:rsid w:val="00666800"/>
    <w:rsid w:val="00666A39"/>
    <w:rsid w:val="00666CE4"/>
    <w:rsid w:val="00666DAC"/>
    <w:rsid w:val="00666E3C"/>
    <w:rsid w:val="00667012"/>
    <w:rsid w:val="006678A0"/>
    <w:rsid w:val="006678E7"/>
    <w:rsid w:val="00667A5F"/>
    <w:rsid w:val="00667A62"/>
    <w:rsid w:val="00667BA9"/>
    <w:rsid w:val="00667BC9"/>
    <w:rsid w:val="00667C9A"/>
    <w:rsid w:val="00667F41"/>
    <w:rsid w:val="00670116"/>
    <w:rsid w:val="006704D4"/>
    <w:rsid w:val="00670762"/>
    <w:rsid w:val="00671190"/>
    <w:rsid w:val="006713F1"/>
    <w:rsid w:val="006716A0"/>
    <w:rsid w:val="00671A38"/>
    <w:rsid w:val="00671A69"/>
    <w:rsid w:val="00671A76"/>
    <w:rsid w:val="00671A97"/>
    <w:rsid w:val="00671DC5"/>
    <w:rsid w:val="00672228"/>
    <w:rsid w:val="00672399"/>
    <w:rsid w:val="006729B9"/>
    <w:rsid w:val="00672BB0"/>
    <w:rsid w:val="00672C8A"/>
    <w:rsid w:val="00672DD1"/>
    <w:rsid w:val="00672DE2"/>
    <w:rsid w:val="00673119"/>
    <w:rsid w:val="006731F9"/>
    <w:rsid w:val="006732F7"/>
    <w:rsid w:val="00673369"/>
    <w:rsid w:val="006734DF"/>
    <w:rsid w:val="006735E6"/>
    <w:rsid w:val="00673868"/>
    <w:rsid w:val="006738CE"/>
    <w:rsid w:val="00673B1F"/>
    <w:rsid w:val="0067417B"/>
    <w:rsid w:val="00674184"/>
    <w:rsid w:val="006741DB"/>
    <w:rsid w:val="0067438E"/>
    <w:rsid w:val="00674566"/>
    <w:rsid w:val="0067460A"/>
    <w:rsid w:val="006746F8"/>
    <w:rsid w:val="00674734"/>
    <w:rsid w:val="00674891"/>
    <w:rsid w:val="00674CD8"/>
    <w:rsid w:val="00674CE5"/>
    <w:rsid w:val="00674E9E"/>
    <w:rsid w:val="00674FE7"/>
    <w:rsid w:val="00675108"/>
    <w:rsid w:val="0067528A"/>
    <w:rsid w:val="006755A4"/>
    <w:rsid w:val="0067563A"/>
    <w:rsid w:val="0067567B"/>
    <w:rsid w:val="0067572C"/>
    <w:rsid w:val="00675861"/>
    <w:rsid w:val="0067590C"/>
    <w:rsid w:val="00675984"/>
    <w:rsid w:val="00675993"/>
    <w:rsid w:val="00675A4B"/>
    <w:rsid w:val="00675A54"/>
    <w:rsid w:val="00675B15"/>
    <w:rsid w:val="00675B42"/>
    <w:rsid w:val="00676240"/>
    <w:rsid w:val="00676283"/>
    <w:rsid w:val="006763A2"/>
    <w:rsid w:val="006763CB"/>
    <w:rsid w:val="0067649C"/>
    <w:rsid w:val="00676626"/>
    <w:rsid w:val="00676A0E"/>
    <w:rsid w:val="00676B48"/>
    <w:rsid w:val="00676FA6"/>
    <w:rsid w:val="00676FF7"/>
    <w:rsid w:val="00677021"/>
    <w:rsid w:val="006772B7"/>
    <w:rsid w:val="006773A1"/>
    <w:rsid w:val="006773E3"/>
    <w:rsid w:val="006775EE"/>
    <w:rsid w:val="0067772C"/>
    <w:rsid w:val="006777A1"/>
    <w:rsid w:val="006777E1"/>
    <w:rsid w:val="006777E9"/>
    <w:rsid w:val="00677B93"/>
    <w:rsid w:val="00677EA7"/>
    <w:rsid w:val="0068010D"/>
    <w:rsid w:val="006805D0"/>
    <w:rsid w:val="006806CD"/>
    <w:rsid w:val="006808D6"/>
    <w:rsid w:val="00680B24"/>
    <w:rsid w:val="00680CA6"/>
    <w:rsid w:val="00680D75"/>
    <w:rsid w:val="00680ECA"/>
    <w:rsid w:val="00681171"/>
    <w:rsid w:val="00681781"/>
    <w:rsid w:val="006819A3"/>
    <w:rsid w:val="00681BD1"/>
    <w:rsid w:val="00681CA0"/>
    <w:rsid w:val="00681CB7"/>
    <w:rsid w:val="00681E27"/>
    <w:rsid w:val="00681FAD"/>
    <w:rsid w:val="00682385"/>
    <w:rsid w:val="006824CF"/>
    <w:rsid w:val="006825B1"/>
    <w:rsid w:val="00682745"/>
    <w:rsid w:val="00682948"/>
    <w:rsid w:val="00682D97"/>
    <w:rsid w:val="00682FD4"/>
    <w:rsid w:val="00683517"/>
    <w:rsid w:val="00683681"/>
    <w:rsid w:val="00683712"/>
    <w:rsid w:val="00683CB4"/>
    <w:rsid w:val="00683EF1"/>
    <w:rsid w:val="00683FE5"/>
    <w:rsid w:val="006840A2"/>
    <w:rsid w:val="006841EE"/>
    <w:rsid w:val="0068425B"/>
    <w:rsid w:val="0068428B"/>
    <w:rsid w:val="006843C8"/>
    <w:rsid w:val="00684482"/>
    <w:rsid w:val="00684588"/>
    <w:rsid w:val="006848D4"/>
    <w:rsid w:val="006848EE"/>
    <w:rsid w:val="00684AE3"/>
    <w:rsid w:val="00684DF2"/>
    <w:rsid w:val="006851B8"/>
    <w:rsid w:val="0068527C"/>
    <w:rsid w:val="00685660"/>
    <w:rsid w:val="00685A6E"/>
    <w:rsid w:val="00685DBF"/>
    <w:rsid w:val="00685E86"/>
    <w:rsid w:val="00685ECF"/>
    <w:rsid w:val="00685FF3"/>
    <w:rsid w:val="0068604F"/>
    <w:rsid w:val="006860C1"/>
    <w:rsid w:val="00686300"/>
    <w:rsid w:val="006867F4"/>
    <w:rsid w:val="00686A55"/>
    <w:rsid w:val="00686AFA"/>
    <w:rsid w:val="00686C2F"/>
    <w:rsid w:val="0068702A"/>
    <w:rsid w:val="006870F4"/>
    <w:rsid w:val="006872ED"/>
    <w:rsid w:val="00687320"/>
    <w:rsid w:val="00687637"/>
    <w:rsid w:val="006877B6"/>
    <w:rsid w:val="006877C5"/>
    <w:rsid w:val="00690068"/>
    <w:rsid w:val="00690222"/>
    <w:rsid w:val="006902CC"/>
    <w:rsid w:val="00690657"/>
    <w:rsid w:val="00690B6D"/>
    <w:rsid w:val="00690E8D"/>
    <w:rsid w:val="00690FA0"/>
    <w:rsid w:val="00690FD5"/>
    <w:rsid w:val="006911FB"/>
    <w:rsid w:val="00691470"/>
    <w:rsid w:val="0069151B"/>
    <w:rsid w:val="006918A7"/>
    <w:rsid w:val="00691934"/>
    <w:rsid w:val="00691A1A"/>
    <w:rsid w:val="00691A31"/>
    <w:rsid w:val="00691D0C"/>
    <w:rsid w:val="0069207E"/>
    <w:rsid w:val="006922DB"/>
    <w:rsid w:val="0069252B"/>
    <w:rsid w:val="00692647"/>
    <w:rsid w:val="006928E7"/>
    <w:rsid w:val="00692C79"/>
    <w:rsid w:val="00692D0F"/>
    <w:rsid w:val="00692D17"/>
    <w:rsid w:val="00692DDD"/>
    <w:rsid w:val="00692ED8"/>
    <w:rsid w:val="00692FFB"/>
    <w:rsid w:val="00693329"/>
    <w:rsid w:val="0069344B"/>
    <w:rsid w:val="006934DA"/>
    <w:rsid w:val="0069387F"/>
    <w:rsid w:val="00693ADA"/>
    <w:rsid w:val="00693BEF"/>
    <w:rsid w:val="00693E1B"/>
    <w:rsid w:val="006942C3"/>
    <w:rsid w:val="0069431B"/>
    <w:rsid w:val="0069449F"/>
    <w:rsid w:val="00694529"/>
    <w:rsid w:val="0069470F"/>
    <w:rsid w:val="00694A2C"/>
    <w:rsid w:val="00694D47"/>
    <w:rsid w:val="00694D8C"/>
    <w:rsid w:val="00694EB1"/>
    <w:rsid w:val="00694F5E"/>
    <w:rsid w:val="00694F60"/>
    <w:rsid w:val="006950B2"/>
    <w:rsid w:val="0069519A"/>
    <w:rsid w:val="006951F0"/>
    <w:rsid w:val="0069537A"/>
    <w:rsid w:val="006955AC"/>
    <w:rsid w:val="006956A2"/>
    <w:rsid w:val="006956FF"/>
    <w:rsid w:val="00695729"/>
    <w:rsid w:val="006959D6"/>
    <w:rsid w:val="00695CD4"/>
    <w:rsid w:val="00695E27"/>
    <w:rsid w:val="00695EB3"/>
    <w:rsid w:val="00696009"/>
    <w:rsid w:val="00696019"/>
    <w:rsid w:val="00696067"/>
    <w:rsid w:val="00696112"/>
    <w:rsid w:val="00696162"/>
    <w:rsid w:val="006962EE"/>
    <w:rsid w:val="006963D9"/>
    <w:rsid w:val="006963DE"/>
    <w:rsid w:val="00696463"/>
    <w:rsid w:val="0069668B"/>
    <w:rsid w:val="006966A6"/>
    <w:rsid w:val="006966A7"/>
    <w:rsid w:val="00696909"/>
    <w:rsid w:val="00696A06"/>
    <w:rsid w:val="00696A83"/>
    <w:rsid w:val="00696E17"/>
    <w:rsid w:val="00697012"/>
    <w:rsid w:val="006971EE"/>
    <w:rsid w:val="00697322"/>
    <w:rsid w:val="00697351"/>
    <w:rsid w:val="006974A6"/>
    <w:rsid w:val="00697814"/>
    <w:rsid w:val="00697A99"/>
    <w:rsid w:val="00697BBB"/>
    <w:rsid w:val="006A0488"/>
    <w:rsid w:val="006A04A0"/>
    <w:rsid w:val="006A081F"/>
    <w:rsid w:val="006A0850"/>
    <w:rsid w:val="006A0856"/>
    <w:rsid w:val="006A0A7C"/>
    <w:rsid w:val="006A0BC5"/>
    <w:rsid w:val="006A0DF7"/>
    <w:rsid w:val="006A0EB9"/>
    <w:rsid w:val="006A0F94"/>
    <w:rsid w:val="006A11F5"/>
    <w:rsid w:val="006A16DA"/>
    <w:rsid w:val="006A1BDF"/>
    <w:rsid w:val="006A1C53"/>
    <w:rsid w:val="006A1CB6"/>
    <w:rsid w:val="006A1D76"/>
    <w:rsid w:val="006A1D83"/>
    <w:rsid w:val="006A1DDA"/>
    <w:rsid w:val="006A23E8"/>
    <w:rsid w:val="006A25C1"/>
    <w:rsid w:val="006A2A14"/>
    <w:rsid w:val="006A2B01"/>
    <w:rsid w:val="006A2CA4"/>
    <w:rsid w:val="006A2EBF"/>
    <w:rsid w:val="006A307E"/>
    <w:rsid w:val="006A31EA"/>
    <w:rsid w:val="006A324A"/>
    <w:rsid w:val="006A363C"/>
    <w:rsid w:val="006A3B12"/>
    <w:rsid w:val="006A3DEA"/>
    <w:rsid w:val="006A3EF1"/>
    <w:rsid w:val="006A3FB7"/>
    <w:rsid w:val="006A45A8"/>
    <w:rsid w:val="006A46B9"/>
    <w:rsid w:val="006A4BA5"/>
    <w:rsid w:val="006A4BC5"/>
    <w:rsid w:val="006A4BF0"/>
    <w:rsid w:val="006A51B4"/>
    <w:rsid w:val="006A53C4"/>
    <w:rsid w:val="006A53F6"/>
    <w:rsid w:val="006A54D4"/>
    <w:rsid w:val="006A5575"/>
    <w:rsid w:val="006A57CF"/>
    <w:rsid w:val="006A58F2"/>
    <w:rsid w:val="006A5912"/>
    <w:rsid w:val="006A5A6F"/>
    <w:rsid w:val="006A5E73"/>
    <w:rsid w:val="006A654C"/>
    <w:rsid w:val="006A65A0"/>
    <w:rsid w:val="006A68E4"/>
    <w:rsid w:val="006A6A25"/>
    <w:rsid w:val="006A6D74"/>
    <w:rsid w:val="006A7192"/>
    <w:rsid w:val="006A7428"/>
    <w:rsid w:val="006A7449"/>
    <w:rsid w:val="006A74EF"/>
    <w:rsid w:val="006A7B3B"/>
    <w:rsid w:val="006A7C16"/>
    <w:rsid w:val="006A7D9A"/>
    <w:rsid w:val="006A7E54"/>
    <w:rsid w:val="006B0007"/>
    <w:rsid w:val="006B0062"/>
    <w:rsid w:val="006B00AA"/>
    <w:rsid w:val="006B02C9"/>
    <w:rsid w:val="006B0740"/>
    <w:rsid w:val="006B08D9"/>
    <w:rsid w:val="006B094C"/>
    <w:rsid w:val="006B0AC9"/>
    <w:rsid w:val="006B0B60"/>
    <w:rsid w:val="006B0C19"/>
    <w:rsid w:val="006B0D4B"/>
    <w:rsid w:val="006B0E99"/>
    <w:rsid w:val="006B0FE8"/>
    <w:rsid w:val="006B10F9"/>
    <w:rsid w:val="006B1128"/>
    <w:rsid w:val="006B11E3"/>
    <w:rsid w:val="006B149F"/>
    <w:rsid w:val="006B1856"/>
    <w:rsid w:val="006B1A12"/>
    <w:rsid w:val="006B1B24"/>
    <w:rsid w:val="006B1DDC"/>
    <w:rsid w:val="006B1F19"/>
    <w:rsid w:val="006B1F94"/>
    <w:rsid w:val="006B21F8"/>
    <w:rsid w:val="006B23CE"/>
    <w:rsid w:val="006B2B93"/>
    <w:rsid w:val="006B3053"/>
    <w:rsid w:val="006B30FB"/>
    <w:rsid w:val="006B32A7"/>
    <w:rsid w:val="006B37BD"/>
    <w:rsid w:val="006B38A2"/>
    <w:rsid w:val="006B38C8"/>
    <w:rsid w:val="006B3C14"/>
    <w:rsid w:val="006B3EE2"/>
    <w:rsid w:val="006B3F3F"/>
    <w:rsid w:val="006B44F7"/>
    <w:rsid w:val="006B48AA"/>
    <w:rsid w:val="006B49A2"/>
    <w:rsid w:val="006B4CCD"/>
    <w:rsid w:val="006B4CD1"/>
    <w:rsid w:val="006B4E0C"/>
    <w:rsid w:val="006B561F"/>
    <w:rsid w:val="006B56AC"/>
    <w:rsid w:val="006B57CA"/>
    <w:rsid w:val="006B59AC"/>
    <w:rsid w:val="006B5D59"/>
    <w:rsid w:val="006B5E0B"/>
    <w:rsid w:val="006B5F07"/>
    <w:rsid w:val="006B5FAA"/>
    <w:rsid w:val="006B601B"/>
    <w:rsid w:val="006B656A"/>
    <w:rsid w:val="006B6571"/>
    <w:rsid w:val="006B6E5B"/>
    <w:rsid w:val="006B6FF5"/>
    <w:rsid w:val="006B702E"/>
    <w:rsid w:val="006B709D"/>
    <w:rsid w:val="006B7853"/>
    <w:rsid w:val="006B7886"/>
    <w:rsid w:val="006B7C1F"/>
    <w:rsid w:val="006B7FF3"/>
    <w:rsid w:val="006C00C3"/>
    <w:rsid w:val="006C01B1"/>
    <w:rsid w:val="006C0269"/>
    <w:rsid w:val="006C0B1E"/>
    <w:rsid w:val="006C0E81"/>
    <w:rsid w:val="006C1611"/>
    <w:rsid w:val="006C1A05"/>
    <w:rsid w:val="006C1D52"/>
    <w:rsid w:val="006C1D75"/>
    <w:rsid w:val="006C1FBF"/>
    <w:rsid w:val="006C2158"/>
    <w:rsid w:val="006C22CF"/>
    <w:rsid w:val="006C2677"/>
    <w:rsid w:val="006C272A"/>
    <w:rsid w:val="006C2A39"/>
    <w:rsid w:val="006C2C0D"/>
    <w:rsid w:val="006C2C89"/>
    <w:rsid w:val="006C2D8C"/>
    <w:rsid w:val="006C322F"/>
    <w:rsid w:val="006C3244"/>
    <w:rsid w:val="006C3384"/>
    <w:rsid w:val="006C3509"/>
    <w:rsid w:val="006C3526"/>
    <w:rsid w:val="006C36A8"/>
    <w:rsid w:val="006C39CC"/>
    <w:rsid w:val="006C3C20"/>
    <w:rsid w:val="006C3E6F"/>
    <w:rsid w:val="006C40DB"/>
    <w:rsid w:val="006C417B"/>
    <w:rsid w:val="006C423B"/>
    <w:rsid w:val="006C425A"/>
    <w:rsid w:val="006C4286"/>
    <w:rsid w:val="006C42F5"/>
    <w:rsid w:val="006C4306"/>
    <w:rsid w:val="006C4538"/>
    <w:rsid w:val="006C4A1C"/>
    <w:rsid w:val="006C51ED"/>
    <w:rsid w:val="006C541A"/>
    <w:rsid w:val="006C56A8"/>
    <w:rsid w:val="006C5777"/>
    <w:rsid w:val="006C5A63"/>
    <w:rsid w:val="006C5B01"/>
    <w:rsid w:val="006C5B74"/>
    <w:rsid w:val="006C5B83"/>
    <w:rsid w:val="006C5D60"/>
    <w:rsid w:val="006C5DD6"/>
    <w:rsid w:val="006C5F87"/>
    <w:rsid w:val="006C6357"/>
    <w:rsid w:val="006C6496"/>
    <w:rsid w:val="006C64E3"/>
    <w:rsid w:val="006C656C"/>
    <w:rsid w:val="006C66C2"/>
    <w:rsid w:val="006C6B17"/>
    <w:rsid w:val="006C6BE1"/>
    <w:rsid w:val="006C6C60"/>
    <w:rsid w:val="006D0158"/>
    <w:rsid w:val="006D022F"/>
    <w:rsid w:val="006D05C0"/>
    <w:rsid w:val="006D088A"/>
    <w:rsid w:val="006D0A09"/>
    <w:rsid w:val="006D0B14"/>
    <w:rsid w:val="006D0C40"/>
    <w:rsid w:val="006D0E90"/>
    <w:rsid w:val="006D12C8"/>
    <w:rsid w:val="006D1316"/>
    <w:rsid w:val="006D193B"/>
    <w:rsid w:val="006D19E5"/>
    <w:rsid w:val="006D1E7E"/>
    <w:rsid w:val="006D1FBB"/>
    <w:rsid w:val="006D1FF5"/>
    <w:rsid w:val="006D2680"/>
    <w:rsid w:val="006D26E6"/>
    <w:rsid w:val="006D283E"/>
    <w:rsid w:val="006D2A0F"/>
    <w:rsid w:val="006D2B28"/>
    <w:rsid w:val="006D2BD8"/>
    <w:rsid w:val="006D2D1F"/>
    <w:rsid w:val="006D2D20"/>
    <w:rsid w:val="006D2D3D"/>
    <w:rsid w:val="006D2DAB"/>
    <w:rsid w:val="006D2DB1"/>
    <w:rsid w:val="006D2F79"/>
    <w:rsid w:val="006D2F8F"/>
    <w:rsid w:val="006D2FA0"/>
    <w:rsid w:val="006D3022"/>
    <w:rsid w:val="006D3197"/>
    <w:rsid w:val="006D37DC"/>
    <w:rsid w:val="006D3854"/>
    <w:rsid w:val="006D390F"/>
    <w:rsid w:val="006D3FAB"/>
    <w:rsid w:val="006D3FDA"/>
    <w:rsid w:val="006D42DB"/>
    <w:rsid w:val="006D4A93"/>
    <w:rsid w:val="006D4AB9"/>
    <w:rsid w:val="006D4BAD"/>
    <w:rsid w:val="006D4D35"/>
    <w:rsid w:val="006D4D90"/>
    <w:rsid w:val="006D4ED6"/>
    <w:rsid w:val="006D4EE6"/>
    <w:rsid w:val="006D5064"/>
    <w:rsid w:val="006D5165"/>
    <w:rsid w:val="006D53AC"/>
    <w:rsid w:val="006D5472"/>
    <w:rsid w:val="006D566D"/>
    <w:rsid w:val="006D5AB2"/>
    <w:rsid w:val="006D5C76"/>
    <w:rsid w:val="006D5DB5"/>
    <w:rsid w:val="006D5FF7"/>
    <w:rsid w:val="006D62B2"/>
    <w:rsid w:val="006D62CC"/>
    <w:rsid w:val="006D6352"/>
    <w:rsid w:val="006D6444"/>
    <w:rsid w:val="006D66F0"/>
    <w:rsid w:val="006D6826"/>
    <w:rsid w:val="006D6A9E"/>
    <w:rsid w:val="006D6D04"/>
    <w:rsid w:val="006D6E5A"/>
    <w:rsid w:val="006D6F35"/>
    <w:rsid w:val="006D7330"/>
    <w:rsid w:val="006D7BF8"/>
    <w:rsid w:val="006E01DA"/>
    <w:rsid w:val="006E01F0"/>
    <w:rsid w:val="006E01F2"/>
    <w:rsid w:val="006E0213"/>
    <w:rsid w:val="006E04A5"/>
    <w:rsid w:val="006E0704"/>
    <w:rsid w:val="006E0D4E"/>
    <w:rsid w:val="006E0D96"/>
    <w:rsid w:val="006E0FFE"/>
    <w:rsid w:val="006E1020"/>
    <w:rsid w:val="006E11B1"/>
    <w:rsid w:val="006E1299"/>
    <w:rsid w:val="006E12B9"/>
    <w:rsid w:val="006E151E"/>
    <w:rsid w:val="006E18E6"/>
    <w:rsid w:val="006E1C97"/>
    <w:rsid w:val="006E1E93"/>
    <w:rsid w:val="006E1ED5"/>
    <w:rsid w:val="006E21C3"/>
    <w:rsid w:val="006E241B"/>
    <w:rsid w:val="006E2488"/>
    <w:rsid w:val="006E2705"/>
    <w:rsid w:val="006E283A"/>
    <w:rsid w:val="006E2901"/>
    <w:rsid w:val="006E2B94"/>
    <w:rsid w:val="006E2D7D"/>
    <w:rsid w:val="006E2DA9"/>
    <w:rsid w:val="006E2EAC"/>
    <w:rsid w:val="006E30F5"/>
    <w:rsid w:val="006E314A"/>
    <w:rsid w:val="006E31CE"/>
    <w:rsid w:val="006E336A"/>
    <w:rsid w:val="006E379F"/>
    <w:rsid w:val="006E38C8"/>
    <w:rsid w:val="006E3A03"/>
    <w:rsid w:val="006E3BB0"/>
    <w:rsid w:val="006E3D2B"/>
    <w:rsid w:val="006E4428"/>
    <w:rsid w:val="006E4520"/>
    <w:rsid w:val="006E4644"/>
    <w:rsid w:val="006E484F"/>
    <w:rsid w:val="006E48D1"/>
    <w:rsid w:val="006E495E"/>
    <w:rsid w:val="006E4D16"/>
    <w:rsid w:val="006E4DAF"/>
    <w:rsid w:val="006E54E8"/>
    <w:rsid w:val="006E5711"/>
    <w:rsid w:val="006E57A1"/>
    <w:rsid w:val="006E57F9"/>
    <w:rsid w:val="006E5B21"/>
    <w:rsid w:val="006E5BCD"/>
    <w:rsid w:val="006E5FCC"/>
    <w:rsid w:val="006E6173"/>
    <w:rsid w:val="006E62BC"/>
    <w:rsid w:val="006E6490"/>
    <w:rsid w:val="006E6621"/>
    <w:rsid w:val="006E665B"/>
    <w:rsid w:val="006E676F"/>
    <w:rsid w:val="006E688A"/>
    <w:rsid w:val="006E689E"/>
    <w:rsid w:val="006E6ABB"/>
    <w:rsid w:val="006E6CAA"/>
    <w:rsid w:val="006E6E37"/>
    <w:rsid w:val="006E6E86"/>
    <w:rsid w:val="006E741F"/>
    <w:rsid w:val="006E749C"/>
    <w:rsid w:val="006E7519"/>
    <w:rsid w:val="006E7535"/>
    <w:rsid w:val="006E758D"/>
    <w:rsid w:val="006E767A"/>
    <w:rsid w:val="006E7BCA"/>
    <w:rsid w:val="006E7D32"/>
    <w:rsid w:val="006F011C"/>
    <w:rsid w:val="006F0184"/>
    <w:rsid w:val="006F028A"/>
    <w:rsid w:val="006F0365"/>
    <w:rsid w:val="006F03D8"/>
    <w:rsid w:val="006F0603"/>
    <w:rsid w:val="006F0A6C"/>
    <w:rsid w:val="006F1347"/>
    <w:rsid w:val="006F14E5"/>
    <w:rsid w:val="006F15AB"/>
    <w:rsid w:val="006F1650"/>
    <w:rsid w:val="006F1C19"/>
    <w:rsid w:val="006F1D11"/>
    <w:rsid w:val="006F1EBB"/>
    <w:rsid w:val="006F1EE1"/>
    <w:rsid w:val="006F2118"/>
    <w:rsid w:val="006F236F"/>
    <w:rsid w:val="006F2389"/>
    <w:rsid w:val="006F26F7"/>
    <w:rsid w:val="006F276E"/>
    <w:rsid w:val="006F2A36"/>
    <w:rsid w:val="006F2AD2"/>
    <w:rsid w:val="006F2C42"/>
    <w:rsid w:val="006F2CCB"/>
    <w:rsid w:val="006F2CE0"/>
    <w:rsid w:val="006F2F7C"/>
    <w:rsid w:val="006F318D"/>
    <w:rsid w:val="006F3201"/>
    <w:rsid w:val="006F3215"/>
    <w:rsid w:val="006F3263"/>
    <w:rsid w:val="006F3690"/>
    <w:rsid w:val="006F37F0"/>
    <w:rsid w:val="006F40EC"/>
    <w:rsid w:val="006F410F"/>
    <w:rsid w:val="006F4967"/>
    <w:rsid w:val="006F4998"/>
    <w:rsid w:val="006F4AA8"/>
    <w:rsid w:val="006F4B13"/>
    <w:rsid w:val="006F4C98"/>
    <w:rsid w:val="006F4F2F"/>
    <w:rsid w:val="006F4F97"/>
    <w:rsid w:val="006F54C6"/>
    <w:rsid w:val="006F5D86"/>
    <w:rsid w:val="006F5E6B"/>
    <w:rsid w:val="006F5FCA"/>
    <w:rsid w:val="006F5FE7"/>
    <w:rsid w:val="006F60FF"/>
    <w:rsid w:val="006F62B0"/>
    <w:rsid w:val="006F630F"/>
    <w:rsid w:val="006F6354"/>
    <w:rsid w:val="006F653B"/>
    <w:rsid w:val="006F65D8"/>
    <w:rsid w:val="006F6629"/>
    <w:rsid w:val="006F68E4"/>
    <w:rsid w:val="006F72C4"/>
    <w:rsid w:val="006F7411"/>
    <w:rsid w:val="006F74D5"/>
    <w:rsid w:val="006F77BF"/>
    <w:rsid w:val="006F77D7"/>
    <w:rsid w:val="006F7A52"/>
    <w:rsid w:val="006F7C77"/>
    <w:rsid w:val="006F7C89"/>
    <w:rsid w:val="006F7F6A"/>
    <w:rsid w:val="00700450"/>
    <w:rsid w:val="00700791"/>
    <w:rsid w:val="007007D6"/>
    <w:rsid w:val="00700B34"/>
    <w:rsid w:val="00700D34"/>
    <w:rsid w:val="00700D64"/>
    <w:rsid w:val="00700DCA"/>
    <w:rsid w:val="007011D4"/>
    <w:rsid w:val="007012B6"/>
    <w:rsid w:val="00701588"/>
    <w:rsid w:val="00701661"/>
    <w:rsid w:val="00701752"/>
    <w:rsid w:val="00701926"/>
    <w:rsid w:val="00701A89"/>
    <w:rsid w:val="00701AFC"/>
    <w:rsid w:val="00701C2F"/>
    <w:rsid w:val="00701FC7"/>
    <w:rsid w:val="007020F8"/>
    <w:rsid w:val="00702714"/>
    <w:rsid w:val="00702E06"/>
    <w:rsid w:val="00702E9F"/>
    <w:rsid w:val="007030B3"/>
    <w:rsid w:val="007032A8"/>
    <w:rsid w:val="007032DC"/>
    <w:rsid w:val="00703506"/>
    <w:rsid w:val="007035D3"/>
    <w:rsid w:val="007036AA"/>
    <w:rsid w:val="0070383E"/>
    <w:rsid w:val="007039EE"/>
    <w:rsid w:val="00704144"/>
    <w:rsid w:val="00704552"/>
    <w:rsid w:val="00704625"/>
    <w:rsid w:val="00704779"/>
    <w:rsid w:val="007047AD"/>
    <w:rsid w:val="0070495D"/>
    <w:rsid w:val="00704B60"/>
    <w:rsid w:val="00704C88"/>
    <w:rsid w:val="00705298"/>
    <w:rsid w:val="007057B5"/>
    <w:rsid w:val="0070581D"/>
    <w:rsid w:val="007058A0"/>
    <w:rsid w:val="0070596B"/>
    <w:rsid w:val="00705A10"/>
    <w:rsid w:val="00705AE0"/>
    <w:rsid w:val="00706074"/>
    <w:rsid w:val="00706313"/>
    <w:rsid w:val="00706401"/>
    <w:rsid w:val="007064B0"/>
    <w:rsid w:val="0070661C"/>
    <w:rsid w:val="007066CD"/>
    <w:rsid w:val="00706F05"/>
    <w:rsid w:val="00706FD1"/>
    <w:rsid w:val="0070710B"/>
    <w:rsid w:val="007072AD"/>
    <w:rsid w:val="00707422"/>
    <w:rsid w:val="007074ED"/>
    <w:rsid w:val="00707503"/>
    <w:rsid w:val="007075F2"/>
    <w:rsid w:val="0070782A"/>
    <w:rsid w:val="007078D5"/>
    <w:rsid w:val="007078DA"/>
    <w:rsid w:val="00707D18"/>
    <w:rsid w:val="00707DF4"/>
    <w:rsid w:val="00707E5C"/>
    <w:rsid w:val="00707FC5"/>
    <w:rsid w:val="0071005B"/>
    <w:rsid w:val="0071009A"/>
    <w:rsid w:val="007102BC"/>
    <w:rsid w:val="00710451"/>
    <w:rsid w:val="00710727"/>
    <w:rsid w:val="007107BD"/>
    <w:rsid w:val="00710AE6"/>
    <w:rsid w:val="00710D39"/>
    <w:rsid w:val="00710EFD"/>
    <w:rsid w:val="007111DF"/>
    <w:rsid w:val="0071129E"/>
    <w:rsid w:val="007112AE"/>
    <w:rsid w:val="007113DE"/>
    <w:rsid w:val="0071144C"/>
    <w:rsid w:val="00711C8E"/>
    <w:rsid w:val="00711CC1"/>
    <w:rsid w:val="00712139"/>
    <w:rsid w:val="0071219C"/>
    <w:rsid w:val="0071222B"/>
    <w:rsid w:val="00712266"/>
    <w:rsid w:val="0071229A"/>
    <w:rsid w:val="00712326"/>
    <w:rsid w:val="00712396"/>
    <w:rsid w:val="007123A0"/>
    <w:rsid w:val="0071251F"/>
    <w:rsid w:val="007126A5"/>
    <w:rsid w:val="00712BF2"/>
    <w:rsid w:val="00712F62"/>
    <w:rsid w:val="00712FA4"/>
    <w:rsid w:val="007130EB"/>
    <w:rsid w:val="007140CC"/>
    <w:rsid w:val="00714151"/>
    <w:rsid w:val="0071437A"/>
    <w:rsid w:val="007145AF"/>
    <w:rsid w:val="00714600"/>
    <w:rsid w:val="007147C2"/>
    <w:rsid w:val="007149C7"/>
    <w:rsid w:val="00714AEC"/>
    <w:rsid w:val="00714B9B"/>
    <w:rsid w:val="00714EEA"/>
    <w:rsid w:val="00715048"/>
    <w:rsid w:val="00715156"/>
    <w:rsid w:val="0071524E"/>
    <w:rsid w:val="0071535A"/>
    <w:rsid w:val="0071562A"/>
    <w:rsid w:val="00715DAB"/>
    <w:rsid w:val="00716043"/>
    <w:rsid w:val="00716058"/>
    <w:rsid w:val="007160A3"/>
    <w:rsid w:val="0071634E"/>
    <w:rsid w:val="007163E3"/>
    <w:rsid w:val="007165E7"/>
    <w:rsid w:val="007167F3"/>
    <w:rsid w:val="00716A99"/>
    <w:rsid w:val="00716CDD"/>
    <w:rsid w:val="00716E8A"/>
    <w:rsid w:val="00716EC1"/>
    <w:rsid w:val="00717438"/>
    <w:rsid w:val="0071762C"/>
    <w:rsid w:val="00717934"/>
    <w:rsid w:val="00717F45"/>
    <w:rsid w:val="00717F8A"/>
    <w:rsid w:val="0071BDC4"/>
    <w:rsid w:val="007200F6"/>
    <w:rsid w:val="00720285"/>
    <w:rsid w:val="00720433"/>
    <w:rsid w:val="0072073F"/>
    <w:rsid w:val="007208C9"/>
    <w:rsid w:val="00720954"/>
    <w:rsid w:val="00721119"/>
    <w:rsid w:val="0072117C"/>
    <w:rsid w:val="007211FD"/>
    <w:rsid w:val="007213FA"/>
    <w:rsid w:val="0072182C"/>
    <w:rsid w:val="00721948"/>
    <w:rsid w:val="00721A8F"/>
    <w:rsid w:val="00721AF3"/>
    <w:rsid w:val="00721C19"/>
    <w:rsid w:val="00721C82"/>
    <w:rsid w:val="00721EEF"/>
    <w:rsid w:val="00722368"/>
    <w:rsid w:val="00722378"/>
    <w:rsid w:val="00722387"/>
    <w:rsid w:val="007223FE"/>
    <w:rsid w:val="0072249E"/>
    <w:rsid w:val="00722555"/>
    <w:rsid w:val="007226FA"/>
    <w:rsid w:val="00722914"/>
    <w:rsid w:val="00722BD1"/>
    <w:rsid w:val="00722CB2"/>
    <w:rsid w:val="00722E02"/>
    <w:rsid w:val="007231A0"/>
    <w:rsid w:val="007232D3"/>
    <w:rsid w:val="007232E1"/>
    <w:rsid w:val="00723346"/>
    <w:rsid w:val="007233A4"/>
    <w:rsid w:val="007235A6"/>
    <w:rsid w:val="0072366B"/>
    <w:rsid w:val="00723D12"/>
    <w:rsid w:val="00723FD6"/>
    <w:rsid w:val="00724FEE"/>
    <w:rsid w:val="00725140"/>
    <w:rsid w:val="00725355"/>
    <w:rsid w:val="00725364"/>
    <w:rsid w:val="0072549B"/>
    <w:rsid w:val="0072554A"/>
    <w:rsid w:val="0072586D"/>
    <w:rsid w:val="007258D5"/>
    <w:rsid w:val="00725EEA"/>
    <w:rsid w:val="007262C6"/>
    <w:rsid w:val="007265E3"/>
    <w:rsid w:val="00726A60"/>
    <w:rsid w:val="00726C92"/>
    <w:rsid w:val="00726C94"/>
    <w:rsid w:val="00726D85"/>
    <w:rsid w:val="007271E1"/>
    <w:rsid w:val="00727356"/>
    <w:rsid w:val="007273CA"/>
    <w:rsid w:val="007274F3"/>
    <w:rsid w:val="00727565"/>
    <w:rsid w:val="00727681"/>
    <w:rsid w:val="00727986"/>
    <w:rsid w:val="00730054"/>
    <w:rsid w:val="0073051D"/>
    <w:rsid w:val="00730705"/>
    <w:rsid w:val="00730934"/>
    <w:rsid w:val="00730C00"/>
    <w:rsid w:val="00730C7A"/>
    <w:rsid w:val="00731092"/>
    <w:rsid w:val="0073110B"/>
    <w:rsid w:val="00731366"/>
    <w:rsid w:val="00731D4D"/>
    <w:rsid w:val="00731F20"/>
    <w:rsid w:val="00731F9C"/>
    <w:rsid w:val="0073200F"/>
    <w:rsid w:val="007320F7"/>
    <w:rsid w:val="007320FB"/>
    <w:rsid w:val="0073223E"/>
    <w:rsid w:val="00732706"/>
    <w:rsid w:val="00732905"/>
    <w:rsid w:val="00732B69"/>
    <w:rsid w:val="00732C0A"/>
    <w:rsid w:val="00732E07"/>
    <w:rsid w:val="00732E30"/>
    <w:rsid w:val="0073312A"/>
    <w:rsid w:val="0073336D"/>
    <w:rsid w:val="00733814"/>
    <w:rsid w:val="00733DD8"/>
    <w:rsid w:val="00733EC2"/>
    <w:rsid w:val="00733F82"/>
    <w:rsid w:val="007340B4"/>
    <w:rsid w:val="00734263"/>
    <w:rsid w:val="00734414"/>
    <w:rsid w:val="00734AC9"/>
    <w:rsid w:val="00734BBF"/>
    <w:rsid w:val="00734D33"/>
    <w:rsid w:val="00734D74"/>
    <w:rsid w:val="00734EA1"/>
    <w:rsid w:val="007353FF"/>
    <w:rsid w:val="007355EC"/>
    <w:rsid w:val="007355ED"/>
    <w:rsid w:val="0073575E"/>
    <w:rsid w:val="00735B26"/>
    <w:rsid w:val="00735CC5"/>
    <w:rsid w:val="00735DF8"/>
    <w:rsid w:val="00735E03"/>
    <w:rsid w:val="00735E2F"/>
    <w:rsid w:val="0073621B"/>
    <w:rsid w:val="00736359"/>
    <w:rsid w:val="00736555"/>
    <w:rsid w:val="007367A2"/>
    <w:rsid w:val="007367D4"/>
    <w:rsid w:val="00736808"/>
    <w:rsid w:val="007368D9"/>
    <w:rsid w:val="00736AF1"/>
    <w:rsid w:val="0073706E"/>
    <w:rsid w:val="00737111"/>
    <w:rsid w:val="00737129"/>
    <w:rsid w:val="00737144"/>
    <w:rsid w:val="0073735C"/>
    <w:rsid w:val="00737694"/>
    <w:rsid w:val="00737801"/>
    <w:rsid w:val="00737824"/>
    <w:rsid w:val="007378AE"/>
    <w:rsid w:val="00737949"/>
    <w:rsid w:val="00737E75"/>
    <w:rsid w:val="00737ECD"/>
    <w:rsid w:val="00740210"/>
    <w:rsid w:val="00740408"/>
    <w:rsid w:val="00740586"/>
    <w:rsid w:val="00740910"/>
    <w:rsid w:val="00740D5D"/>
    <w:rsid w:val="00740DD8"/>
    <w:rsid w:val="00740DE1"/>
    <w:rsid w:val="00740F56"/>
    <w:rsid w:val="00740F6C"/>
    <w:rsid w:val="00741F2F"/>
    <w:rsid w:val="007421BB"/>
    <w:rsid w:val="007422ED"/>
    <w:rsid w:val="00742A43"/>
    <w:rsid w:val="00742B4A"/>
    <w:rsid w:val="00742C21"/>
    <w:rsid w:val="00742E18"/>
    <w:rsid w:val="00742F2C"/>
    <w:rsid w:val="00743138"/>
    <w:rsid w:val="00743625"/>
    <w:rsid w:val="00743684"/>
    <w:rsid w:val="007436BA"/>
    <w:rsid w:val="00743B02"/>
    <w:rsid w:val="00743C3F"/>
    <w:rsid w:val="00743CE1"/>
    <w:rsid w:val="00743D4C"/>
    <w:rsid w:val="00743E62"/>
    <w:rsid w:val="00743E68"/>
    <w:rsid w:val="00744546"/>
    <w:rsid w:val="0074459F"/>
    <w:rsid w:val="00744797"/>
    <w:rsid w:val="0074492F"/>
    <w:rsid w:val="00744C6D"/>
    <w:rsid w:val="00744F2C"/>
    <w:rsid w:val="00744FC2"/>
    <w:rsid w:val="00745409"/>
    <w:rsid w:val="00745485"/>
    <w:rsid w:val="007454B1"/>
    <w:rsid w:val="007454D8"/>
    <w:rsid w:val="0074597E"/>
    <w:rsid w:val="00745A9D"/>
    <w:rsid w:val="00745C21"/>
    <w:rsid w:val="00745CE0"/>
    <w:rsid w:val="00745EFE"/>
    <w:rsid w:val="00746056"/>
    <w:rsid w:val="007460EF"/>
    <w:rsid w:val="0074624D"/>
    <w:rsid w:val="007467C0"/>
    <w:rsid w:val="007469E7"/>
    <w:rsid w:val="00746BC5"/>
    <w:rsid w:val="00747145"/>
    <w:rsid w:val="0074716E"/>
    <w:rsid w:val="00747184"/>
    <w:rsid w:val="007474E3"/>
    <w:rsid w:val="00747855"/>
    <w:rsid w:val="00750104"/>
    <w:rsid w:val="007505E2"/>
    <w:rsid w:val="0075061B"/>
    <w:rsid w:val="00750CB5"/>
    <w:rsid w:val="00750CC2"/>
    <w:rsid w:val="00750DE6"/>
    <w:rsid w:val="00750EC8"/>
    <w:rsid w:val="00750EE0"/>
    <w:rsid w:val="007510E4"/>
    <w:rsid w:val="00751157"/>
    <w:rsid w:val="007511D1"/>
    <w:rsid w:val="00751231"/>
    <w:rsid w:val="00751495"/>
    <w:rsid w:val="00751A87"/>
    <w:rsid w:val="00751AF3"/>
    <w:rsid w:val="00751B2D"/>
    <w:rsid w:val="00751B85"/>
    <w:rsid w:val="00751C41"/>
    <w:rsid w:val="00751FD8"/>
    <w:rsid w:val="00752343"/>
    <w:rsid w:val="00752AA9"/>
    <w:rsid w:val="00752E02"/>
    <w:rsid w:val="00753142"/>
    <w:rsid w:val="007531BB"/>
    <w:rsid w:val="0075328D"/>
    <w:rsid w:val="00753373"/>
    <w:rsid w:val="0075339F"/>
    <w:rsid w:val="007537C9"/>
    <w:rsid w:val="00753ACC"/>
    <w:rsid w:val="00753B2A"/>
    <w:rsid w:val="007544E4"/>
    <w:rsid w:val="0075462E"/>
    <w:rsid w:val="00754677"/>
    <w:rsid w:val="007547A2"/>
    <w:rsid w:val="00754A58"/>
    <w:rsid w:val="00754C1B"/>
    <w:rsid w:val="00754DA1"/>
    <w:rsid w:val="00754DC5"/>
    <w:rsid w:val="00754F4F"/>
    <w:rsid w:val="00754F93"/>
    <w:rsid w:val="007551B8"/>
    <w:rsid w:val="007552D4"/>
    <w:rsid w:val="007552E0"/>
    <w:rsid w:val="00755374"/>
    <w:rsid w:val="0075543D"/>
    <w:rsid w:val="00755539"/>
    <w:rsid w:val="0075576B"/>
    <w:rsid w:val="007558B4"/>
    <w:rsid w:val="007558C1"/>
    <w:rsid w:val="00755968"/>
    <w:rsid w:val="00755B30"/>
    <w:rsid w:val="00755E3B"/>
    <w:rsid w:val="00755E43"/>
    <w:rsid w:val="00755FB8"/>
    <w:rsid w:val="00756458"/>
    <w:rsid w:val="007566AE"/>
    <w:rsid w:val="007567FE"/>
    <w:rsid w:val="00756948"/>
    <w:rsid w:val="00756AFC"/>
    <w:rsid w:val="00756FD0"/>
    <w:rsid w:val="00757003"/>
    <w:rsid w:val="007576E5"/>
    <w:rsid w:val="00757875"/>
    <w:rsid w:val="007578C5"/>
    <w:rsid w:val="00757A81"/>
    <w:rsid w:val="00757AF7"/>
    <w:rsid w:val="00757F43"/>
    <w:rsid w:val="00757F54"/>
    <w:rsid w:val="00757F75"/>
    <w:rsid w:val="007602F6"/>
    <w:rsid w:val="00760346"/>
    <w:rsid w:val="00760715"/>
    <w:rsid w:val="007609AD"/>
    <w:rsid w:val="00760A75"/>
    <w:rsid w:val="00760C4D"/>
    <w:rsid w:val="00760F07"/>
    <w:rsid w:val="00760FCD"/>
    <w:rsid w:val="00761342"/>
    <w:rsid w:val="00761420"/>
    <w:rsid w:val="0076142A"/>
    <w:rsid w:val="00761516"/>
    <w:rsid w:val="0076156D"/>
    <w:rsid w:val="007617D4"/>
    <w:rsid w:val="00761950"/>
    <w:rsid w:val="00761968"/>
    <w:rsid w:val="00761A13"/>
    <w:rsid w:val="00761B45"/>
    <w:rsid w:val="00761CC4"/>
    <w:rsid w:val="00761D95"/>
    <w:rsid w:val="00762002"/>
    <w:rsid w:val="00762397"/>
    <w:rsid w:val="007626E8"/>
    <w:rsid w:val="00762707"/>
    <w:rsid w:val="007628C7"/>
    <w:rsid w:val="00762968"/>
    <w:rsid w:val="007630F7"/>
    <w:rsid w:val="00763171"/>
    <w:rsid w:val="00763C39"/>
    <w:rsid w:val="00763E2B"/>
    <w:rsid w:val="00763E9F"/>
    <w:rsid w:val="007647E1"/>
    <w:rsid w:val="00764A60"/>
    <w:rsid w:val="00764AD0"/>
    <w:rsid w:val="00764C5D"/>
    <w:rsid w:val="00764D07"/>
    <w:rsid w:val="00764E05"/>
    <w:rsid w:val="00764E3E"/>
    <w:rsid w:val="0076523D"/>
    <w:rsid w:val="00765619"/>
    <w:rsid w:val="0076569A"/>
    <w:rsid w:val="00765CB3"/>
    <w:rsid w:val="00765CF1"/>
    <w:rsid w:val="00765D5D"/>
    <w:rsid w:val="00765EF2"/>
    <w:rsid w:val="00765F63"/>
    <w:rsid w:val="007661DB"/>
    <w:rsid w:val="00766486"/>
    <w:rsid w:val="00766651"/>
    <w:rsid w:val="0076667D"/>
    <w:rsid w:val="00766732"/>
    <w:rsid w:val="00766788"/>
    <w:rsid w:val="00766904"/>
    <w:rsid w:val="00766A1B"/>
    <w:rsid w:val="00766A45"/>
    <w:rsid w:val="00766B68"/>
    <w:rsid w:val="00766BC5"/>
    <w:rsid w:val="00766EE4"/>
    <w:rsid w:val="007672A1"/>
    <w:rsid w:val="007673FD"/>
    <w:rsid w:val="007676A9"/>
    <w:rsid w:val="00767919"/>
    <w:rsid w:val="00767956"/>
    <w:rsid w:val="00767C07"/>
    <w:rsid w:val="00767E48"/>
    <w:rsid w:val="00770017"/>
    <w:rsid w:val="0077014B"/>
    <w:rsid w:val="0077022D"/>
    <w:rsid w:val="007702DB"/>
    <w:rsid w:val="00770393"/>
    <w:rsid w:val="00770B5B"/>
    <w:rsid w:val="00770C84"/>
    <w:rsid w:val="00770E88"/>
    <w:rsid w:val="00771007"/>
    <w:rsid w:val="007716E2"/>
    <w:rsid w:val="00771BCD"/>
    <w:rsid w:val="00771DF3"/>
    <w:rsid w:val="00771EBB"/>
    <w:rsid w:val="00771F0A"/>
    <w:rsid w:val="00771F5C"/>
    <w:rsid w:val="00772234"/>
    <w:rsid w:val="00772251"/>
    <w:rsid w:val="00772BC9"/>
    <w:rsid w:val="00772E70"/>
    <w:rsid w:val="007733D9"/>
    <w:rsid w:val="0077379D"/>
    <w:rsid w:val="007738B2"/>
    <w:rsid w:val="00773930"/>
    <w:rsid w:val="00773BE8"/>
    <w:rsid w:val="00773C6F"/>
    <w:rsid w:val="00773CB5"/>
    <w:rsid w:val="00773D43"/>
    <w:rsid w:val="00774052"/>
    <w:rsid w:val="007743BB"/>
    <w:rsid w:val="007746CE"/>
    <w:rsid w:val="007748C7"/>
    <w:rsid w:val="00774976"/>
    <w:rsid w:val="00774A06"/>
    <w:rsid w:val="00774B89"/>
    <w:rsid w:val="00774BF5"/>
    <w:rsid w:val="00775028"/>
    <w:rsid w:val="0077502F"/>
    <w:rsid w:val="00775058"/>
    <w:rsid w:val="00775121"/>
    <w:rsid w:val="0077589E"/>
    <w:rsid w:val="007758E0"/>
    <w:rsid w:val="00775A11"/>
    <w:rsid w:val="00775C58"/>
    <w:rsid w:val="00775EB2"/>
    <w:rsid w:val="00776292"/>
    <w:rsid w:val="007764D5"/>
    <w:rsid w:val="00776658"/>
    <w:rsid w:val="0077666B"/>
    <w:rsid w:val="0077679B"/>
    <w:rsid w:val="00776C7D"/>
    <w:rsid w:val="00776CA9"/>
    <w:rsid w:val="007773B5"/>
    <w:rsid w:val="00777482"/>
    <w:rsid w:val="007776F4"/>
    <w:rsid w:val="00777862"/>
    <w:rsid w:val="00777AE7"/>
    <w:rsid w:val="00777F11"/>
    <w:rsid w:val="0078023F"/>
    <w:rsid w:val="00780247"/>
    <w:rsid w:val="00780288"/>
    <w:rsid w:val="007803E3"/>
    <w:rsid w:val="00780442"/>
    <w:rsid w:val="0078045E"/>
    <w:rsid w:val="007805DA"/>
    <w:rsid w:val="00780A63"/>
    <w:rsid w:val="00780B3D"/>
    <w:rsid w:val="00780CFD"/>
    <w:rsid w:val="00780D11"/>
    <w:rsid w:val="00780D5F"/>
    <w:rsid w:val="00780EB7"/>
    <w:rsid w:val="007811D0"/>
    <w:rsid w:val="007811F5"/>
    <w:rsid w:val="00781375"/>
    <w:rsid w:val="0078139C"/>
    <w:rsid w:val="00781845"/>
    <w:rsid w:val="00781DBD"/>
    <w:rsid w:val="007822E6"/>
    <w:rsid w:val="00782573"/>
    <w:rsid w:val="0078259D"/>
    <w:rsid w:val="00782B19"/>
    <w:rsid w:val="00782B79"/>
    <w:rsid w:val="00782DA8"/>
    <w:rsid w:val="00782F3D"/>
    <w:rsid w:val="00783018"/>
    <w:rsid w:val="007831FB"/>
    <w:rsid w:val="00783563"/>
    <w:rsid w:val="00783618"/>
    <w:rsid w:val="0078368E"/>
    <w:rsid w:val="0078372C"/>
    <w:rsid w:val="00783A84"/>
    <w:rsid w:val="00783B8D"/>
    <w:rsid w:val="00783CBE"/>
    <w:rsid w:val="0078435D"/>
    <w:rsid w:val="00784533"/>
    <w:rsid w:val="00784D56"/>
    <w:rsid w:val="007850BD"/>
    <w:rsid w:val="007851D0"/>
    <w:rsid w:val="00785334"/>
    <w:rsid w:val="00785405"/>
    <w:rsid w:val="00785526"/>
    <w:rsid w:val="007856BD"/>
    <w:rsid w:val="0078573F"/>
    <w:rsid w:val="00785B67"/>
    <w:rsid w:val="00785CF3"/>
    <w:rsid w:val="00785CF9"/>
    <w:rsid w:val="00785DD9"/>
    <w:rsid w:val="00786410"/>
    <w:rsid w:val="00786517"/>
    <w:rsid w:val="00786666"/>
    <w:rsid w:val="007867E7"/>
    <w:rsid w:val="007869D6"/>
    <w:rsid w:val="00787130"/>
    <w:rsid w:val="00787585"/>
    <w:rsid w:val="00787771"/>
    <w:rsid w:val="007877A5"/>
    <w:rsid w:val="007877C5"/>
    <w:rsid w:val="007878D5"/>
    <w:rsid w:val="007879B9"/>
    <w:rsid w:val="007879BB"/>
    <w:rsid w:val="00787DE9"/>
    <w:rsid w:val="0079013B"/>
    <w:rsid w:val="00790455"/>
    <w:rsid w:val="00790457"/>
    <w:rsid w:val="00790662"/>
    <w:rsid w:val="007907AD"/>
    <w:rsid w:val="007908A3"/>
    <w:rsid w:val="00790AE0"/>
    <w:rsid w:val="0079115E"/>
    <w:rsid w:val="00791235"/>
    <w:rsid w:val="0079192E"/>
    <w:rsid w:val="00791989"/>
    <w:rsid w:val="00791A46"/>
    <w:rsid w:val="00791BA2"/>
    <w:rsid w:val="00791C28"/>
    <w:rsid w:val="00791D10"/>
    <w:rsid w:val="00791E39"/>
    <w:rsid w:val="00792472"/>
    <w:rsid w:val="007925A1"/>
    <w:rsid w:val="007925DE"/>
    <w:rsid w:val="0079270C"/>
    <w:rsid w:val="007929AA"/>
    <w:rsid w:val="007929F8"/>
    <w:rsid w:val="00792C95"/>
    <w:rsid w:val="0079309F"/>
    <w:rsid w:val="0079352D"/>
    <w:rsid w:val="0079363C"/>
    <w:rsid w:val="00793BF5"/>
    <w:rsid w:val="007941DD"/>
    <w:rsid w:val="00794608"/>
    <w:rsid w:val="007948DF"/>
    <w:rsid w:val="00794A3A"/>
    <w:rsid w:val="00794A5C"/>
    <w:rsid w:val="00794EF8"/>
    <w:rsid w:val="00794F58"/>
    <w:rsid w:val="00795550"/>
    <w:rsid w:val="0079575A"/>
    <w:rsid w:val="007959A9"/>
    <w:rsid w:val="00795DC1"/>
    <w:rsid w:val="007964AC"/>
    <w:rsid w:val="00796535"/>
    <w:rsid w:val="00796790"/>
    <w:rsid w:val="00796ADB"/>
    <w:rsid w:val="00796F10"/>
    <w:rsid w:val="00796FAB"/>
    <w:rsid w:val="00796FAF"/>
    <w:rsid w:val="00797028"/>
    <w:rsid w:val="007970F2"/>
    <w:rsid w:val="0079718E"/>
    <w:rsid w:val="0079742F"/>
    <w:rsid w:val="007974C1"/>
    <w:rsid w:val="0079751B"/>
    <w:rsid w:val="007975F8"/>
    <w:rsid w:val="00797659"/>
    <w:rsid w:val="007976CC"/>
    <w:rsid w:val="00797C5A"/>
    <w:rsid w:val="00797F4B"/>
    <w:rsid w:val="007A0186"/>
    <w:rsid w:val="007A035D"/>
    <w:rsid w:val="007A040C"/>
    <w:rsid w:val="007A0495"/>
    <w:rsid w:val="007A070F"/>
    <w:rsid w:val="007A0721"/>
    <w:rsid w:val="007A0A1C"/>
    <w:rsid w:val="007A0DD9"/>
    <w:rsid w:val="007A1013"/>
    <w:rsid w:val="007A136D"/>
    <w:rsid w:val="007A13B0"/>
    <w:rsid w:val="007A1530"/>
    <w:rsid w:val="007A1A4E"/>
    <w:rsid w:val="007A1B7F"/>
    <w:rsid w:val="007A1C17"/>
    <w:rsid w:val="007A1D08"/>
    <w:rsid w:val="007A1F5F"/>
    <w:rsid w:val="007A1F77"/>
    <w:rsid w:val="007A1F7E"/>
    <w:rsid w:val="007A1FFF"/>
    <w:rsid w:val="007A2347"/>
    <w:rsid w:val="007A23CA"/>
    <w:rsid w:val="007A243D"/>
    <w:rsid w:val="007A27B5"/>
    <w:rsid w:val="007A27E3"/>
    <w:rsid w:val="007A2890"/>
    <w:rsid w:val="007A2C18"/>
    <w:rsid w:val="007A2D1B"/>
    <w:rsid w:val="007A2EF0"/>
    <w:rsid w:val="007A2F94"/>
    <w:rsid w:val="007A2FEE"/>
    <w:rsid w:val="007A3020"/>
    <w:rsid w:val="007A31FE"/>
    <w:rsid w:val="007A3772"/>
    <w:rsid w:val="007A3BBF"/>
    <w:rsid w:val="007A3D61"/>
    <w:rsid w:val="007A3D9B"/>
    <w:rsid w:val="007A426D"/>
    <w:rsid w:val="007A434E"/>
    <w:rsid w:val="007A4475"/>
    <w:rsid w:val="007A44CF"/>
    <w:rsid w:val="007A4533"/>
    <w:rsid w:val="007A458E"/>
    <w:rsid w:val="007A4AFE"/>
    <w:rsid w:val="007A4CC8"/>
    <w:rsid w:val="007A4D1F"/>
    <w:rsid w:val="007A4E39"/>
    <w:rsid w:val="007A51C8"/>
    <w:rsid w:val="007A5223"/>
    <w:rsid w:val="007A52F6"/>
    <w:rsid w:val="007A535B"/>
    <w:rsid w:val="007A5927"/>
    <w:rsid w:val="007A5A39"/>
    <w:rsid w:val="007A5A64"/>
    <w:rsid w:val="007A5CA0"/>
    <w:rsid w:val="007A5D2A"/>
    <w:rsid w:val="007A5D86"/>
    <w:rsid w:val="007A5E09"/>
    <w:rsid w:val="007A6046"/>
    <w:rsid w:val="007A62DB"/>
    <w:rsid w:val="007A6698"/>
    <w:rsid w:val="007A66AD"/>
    <w:rsid w:val="007A679E"/>
    <w:rsid w:val="007A6B60"/>
    <w:rsid w:val="007A6C70"/>
    <w:rsid w:val="007A7171"/>
    <w:rsid w:val="007A7265"/>
    <w:rsid w:val="007A7575"/>
    <w:rsid w:val="007A76E3"/>
    <w:rsid w:val="007A76FA"/>
    <w:rsid w:val="007A7704"/>
    <w:rsid w:val="007A7895"/>
    <w:rsid w:val="007B01DF"/>
    <w:rsid w:val="007B0300"/>
    <w:rsid w:val="007B04FA"/>
    <w:rsid w:val="007B052D"/>
    <w:rsid w:val="007B0E76"/>
    <w:rsid w:val="007B1090"/>
    <w:rsid w:val="007B11A7"/>
    <w:rsid w:val="007B121A"/>
    <w:rsid w:val="007B1233"/>
    <w:rsid w:val="007B1251"/>
    <w:rsid w:val="007B169E"/>
    <w:rsid w:val="007B1B0E"/>
    <w:rsid w:val="007B1C08"/>
    <w:rsid w:val="007B1CCB"/>
    <w:rsid w:val="007B22E0"/>
    <w:rsid w:val="007B22EA"/>
    <w:rsid w:val="007B26DD"/>
    <w:rsid w:val="007B2762"/>
    <w:rsid w:val="007B2ADF"/>
    <w:rsid w:val="007B2E58"/>
    <w:rsid w:val="007B301D"/>
    <w:rsid w:val="007B35B7"/>
    <w:rsid w:val="007B3757"/>
    <w:rsid w:val="007B3BF9"/>
    <w:rsid w:val="007B45A3"/>
    <w:rsid w:val="007B47F8"/>
    <w:rsid w:val="007B48D3"/>
    <w:rsid w:val="007B4DDB"/>
    <w:rsid w:val="007B51D4"/>
    <w:rsid w:val="007B51FB"/>
    <w:rsid w:val="007B5635"/>
    <w:rsid w:val="007B56BB"/>
    <w:rsid w:val="007B5921"/>
    <w:rsid w:val="007B5973"/>
    <w:rsid w:val="007B5985"/>
    <w:rsid w:val="007B5A4E"/>
    <w:rsid w:val="007B61E2"/>
    <w:rsid w:val="007B6218"/>
    <w:rsid w:val="007B679D"/>
    <w:rsid w:val="007B68E4"/>
    <w:rsid w:val="007B6977"/>
    <w:rsid w:val="007B6989"/>
    <w:rsid w:val="007B69EF"/>
    <w:rsid w:val="007B6C94"/>
    <w:rsid w:val="007B6CF8"/>
    <w:rsid w:val="007B735E"/>
    <w:rsid w:val="007B7697"/>
    <w:rsid w:val="007B781B"/>
    <w:rsid w:val="007B7E69"/>
    <w:rsid w:val="007B7EB8"/>
    <w:rsid w:val="007C07BB"/>
    <w:rsid w:val="007C09FA"/>
    <w:rsid w:val="007C0B30"/>
    <w:rsid w:val="007C0BF2"/>
    <w:rsid w:val="007C0C07"/>
    <w:rsid w:val="007C0CC2"/>
    <w:rsid w:val="007C103D"/>
    <w:rsid w:val="007C1077"/>
    <w:rsid w:val="007C107A"/>
    <w:rsid w:val="007C1093"/>
    <w:rsid w:val="007C1160"/>
    <w:rsid w:val="007C133E"/>
    <w:rsid w:val="007C149C"/>
    <w:rsid w:val="007C155C"/>
    <w:rsid w:val="007C1890"/>
    <w:rsid w:val="007C198E"/>
    <w:rsid w:val="007C19F1"/>
    <w:rsid w:val="007C1D09"/>
    <w:rsid w:val="007C1D88"/>
    <w:rsid w:val="007C1E6C"/>
    <w:rsid w:val="007C1E74"/>
    <w:rsid w:val="007C1EDA"/>
    <w:rsid w:val="007C23A5"/>
    <w:rsid w:val="007C2434"/>
    <w:rsid w:val="007C2610"/>
    <w:rsid w:val="007C2B4A"/>
    <w:rsid w:val="007C2D40"/>
    <w:rsid w:val="007C2E02"/>
    <w:rsid w:val="007C2FAF"/>
    <w:rsid w:val="007C30F9"/>
    <w:rsid w:val="007C334E"/>
    <w:rsid w:val="007C390E"/>
    <w:rsid w:val="007C3914"/>
    <w:rsid w:val="007C3E22"/>
    <w:rsid w:val="007C3EF8"/>
    <w:rsid w:val="007C3F3B"/>
    <w:rsid w:val="007C4140"/>
    <w:rsid w:val="007C41CD"/>
    <w:rsid w:val="007C4434"/>
    <w:rsid w:val="007C4858"/>
    <w:rsid w:val="007C49A4"/>
    <w:rsid w:val="007C4B31"/>
    <w:rsid w:val="007C4BFB"/>
    <w:rsid w:val="007C4D7B"/>
    <w:rsid w:val="007C4DEE"/>
    <w:rsid w:val="007C51BF"/>
    <w:rsid w:val="007C51D1"/>
    <w:rsid w:val="007C52D7"/>
    <w:rsid w:val="007C54D6"/>
    <w:rsid w:val="007C56EB"/>
    <w:rsid w:val="007C57E6"/>
    <w:rsid w:val="007C5D5B"/>
    <w:rsid w:val="007C5E0A"/>
    <w:rsid w:val="007C5E85"/>
    <w:rsid w:val="007C5F99"/>
    <w:rsid w:val="007C6779"/>
    <w:rsid w:val="007C6973"/>
    <w:rsid w:val="007C6C88"/>
    <w:rsid w:val="007C7313"/>
    <w:rsid w:val="007C73FC"/>
    <w:rsid w:val="007C74A1"/>
    <w:rsid w:val="007C7806"/>
    <w:rsid w:val="007C7EF7"/>
    <w:rsid w:val="007D012B"/>
    <w:rsid w:val="007D0305"/>
    <w:rsid w:val="007D03AE"/>
    <w:rsid w:val="007D060D"/>
    <w:rsid w:val="007D07DE"/>
    <w:rsid w:val="007D09E5"/>
    <w:rsid w:val="007D1085"/>
    <w:rsid w:val="007D12FC"/>
    <w:rsid w:val="007D13BC"/>
    <w:rsid w:val="007D13E1"/>
    <w:rsid w:val="007D1438"/>
    <w:rsid w:val="007D15C4"/>
    <w:rsid w:val="007D1A19"/>
    <w:rsid w:val="007D1BAB"/>
    <w:rsid w:val="007D1C4C"/>
    <w:rsid w:val="007D1CB8"/>
    <w:rsid w:val="007D1D88"/>
    <w:rsid w:val="007D1FBB"/>
    <w:rsid w:val="007D2013"/>
    <w:rsid w:val="007D23C8"/>
    <w:rsid w:val="007D2566"/>
    <w:rsid w:val="007D26CE"/>
    <w:rsid w:val="007D28F0"/>
    <w:rsid w:val="007D293C"/>
    <w:rsid w:val="007D2C0F"/>
    <w:rsid w:val="007D2E6C"/>
    <w:rsid w:val="007D322B"/>
    <w:rsid w:val="007D3394"/>
    <w:rsid w:val="007D349E"/>
    <w:rsid w:val="007D3C32"/>
    <w:rsid w:val="007D3DE0"/>
    <w:rsid w:val="007D40EB"/>
    <w:rsid w:val="007D4482"/>
    <w:rsid w:val="007D45F9"/>
    <w:rsid w:val="007D47A0"/>
    <w:rsid w:val="007D499D"/>
    <w:rsid w:val="007D4AFD"/>
    <w:rsid w:val="007D4C89"/>
    <w:rsid w:val="007D56D6"/>
    <w:rsid w:val="007D573B"/>
    <w:rsid w:val="007D60DD"/>
    <w:rsid w:val="007D63AE"/>
    <w:rsid w:val="007D671D"/>
    <w:rsid w:val="007D6731"/>
    <w:rsid w:val="007D6C4A"/>
    <w:rsid w:val="007D6D15"/>
    <w:rsid w:val="007D6D4B"/>
    <w:rsid w:val="007D6DA7"/>
    <w:rsid w:val="007D6F3E"/>
    <w:rsid w:val="007D72AD"/>
    <w:rsid w:val="007D7466"/>
    <w:rsid w:val="007D74DE"/>
    <w:rsid w:val="007D756C"/>
    <w:rsid w:val="007D77D9"/>
    <w:rsid w:val="007D7896"/>
    <w:rsid w:val="007D7E11"/>
    <w:rsid w:val="007E03C5"/>
    <w:rsid w:val="007E04E9"/>
    <w:rsid w:val="007E0510"/>
    <w:rsid w:val="007E0CEE"/>
    <w:rsid w:val="007E0F32"/>
    <w:rsid w:val="007E0FAA"/>
    <w:rsid w:val="007E1009"/>
    <w:rsid w:val="007E109A"/>
    <w:rsid w:val="007E1401"/>
    <w:rsid w:val="007E1897"/>
    <w:rsid w:val="007E18A7"/>
    <w:rsid w:val="007E2198"/>
    <w:rsid w:val="007E23AF"/>
    <w:rsid w:val="007E24AF"/>
    <w:rsid w:val="007E255E"/>
    <w:rsid w:val="007E28C3"/>
    <w:rsid w:val="007E28D6"/>
    <w:rsid w:val="007E2951"/>
    <w:rsid w:val="007E2A0F"/>
    <w:rsid w:val="007E2A6E"/>
    <w:rsid w:val="007E2C66"/>
    <w:rsid w:val="007E3644"/>
    <w:rsid w:val="007E39BB"/>
    <w:rsid w:val="007E3A3D"/>
    <w:rsid w:val="007E3E1C"/>
    <w:rsid w:val="007E4391"/>
    <w:rsid w:val="007E4925"/>
    <w:rsid w:val="007E4E3A"/>
    <w:rsid w:val="007E4EF6"/>
    <w:rsid w:val="007E51FE"/>
    <w:rsid w:val="007E5233"/>
    <w:rsid w:val="007E52B9"/>
    <w:rsid w:val="007E5374"/>
    <w:rsid w:val="007E57A4"/>
    <w:rsid w:val="007E5959"/>
    <w:rsid w:val="007E5A48"/>
    <w:rsid w:val="007E5AA3"/>
    <w:rsid w:val="007E5AB2"/>
    <w:rsid w:val="007E5CE2"/>
    <w:rsid w:val="007E5E34"/>
    <w:rsid w:val="007E5FB3"/>
    <w:rsid w:val="007E6044"/>
    <w:rsid w:val="007E6139"/>
    <w:rsid w:val="007E6200"/>
    <w:rsid w:val="007E6535"/>
    <w:rsid w:val="007E66D0"/>
    <w:rsid w:val="007E684B"/>
    <w:rsid w:val="007E6938"/>
    <w:rsid w:val="007E6AFF"/>
    <w:rsid w:val="007E6B84"/>
    <w:rsid w:val="007E6CBB"/>
    <w:rsid w:val="007E6E8A"/>
    <w:rsid w:val="007E6EAB"/>
    <w:rsid w:val="007E727C"/>
    <w:rsid w:val="007E78E7"/>
    <w:rsid w:val="007E7E19"/>
    <w:rsid w:val="007E7EB2"/>
    <w:rsid w:val="007E7F24"/>
    <w:rsid w:val="007E7F7B"/>
    <w:rsid w:val="007F054B"/>
    <w:rsid w:val="007F061F"/>
    <w:rsid w:val="007F06F7"/>
    <w:rsid w:val="007F0808"/>
    <w:rsid w:val="007F082A"/>
    <w:rsid w:val="007F0A8D"/>
    <w:rsid w:val="007F0B66"/>
    <w:rsid w:val="007F0B7E"/>
    <w:rsid w:val="007F0BBE"/>
    <w:rsid w:val="007F1125"/>
    <w:rsid w:val="007F1243"/>
    <w:rsid w:val="007F145F"/>
    <w:rsid w:val="007F15BA"/>
    <w:rsid w:val="007F16E3"/>
    <w:rsid w:val="007F1A3B"/>
    <w:rsid w:val="007F23CD"/>
    <w:rsid w:val="007F250B"/>
    <w:rsid w:val="007F2957"/>
    <w:rsid w:val="007F2BBB"/>
    <w:rsid w:val="007F2DA7"/>
    <w:rsid w:val="007F2DB9"/>
    <w:rsid w:val="007F2DFC"/>
    <w:rsid w:val="007F31BC"/>
    <w:rsid w:val="007F31E6"/>
    <w:rsid w:val="007F33CB"/>
    <w:rsid w:val="007F360B"/>
    <w:rsid w:val="007F3BAE"/>
    <w:rsid w:val="007F41DC"/>
    <w:rsid w:val="007F4540"/>
    <w:rsid w:val="007F4896"/>
    <w:rsid w:val="007F4BD5"/>
    <w:rsid w:val="007F4CF2"/>
    <w:rsid w:val="007F51C9"/>
    <w:rsid w:val="007F5216"/>
    <w:rsid w:val="007F529D"/>
    <w:rsid w:val="007F5D10"/>
    <w:rsid w:val="007F5D2F"/>
    <w:rsid w:val="007F5D75"/>
    <w:rsid w:val="007F60D3"/>
    <w:rsid w:val="007F60D7"/>
    <w:rsid w:val="007F6319"/>
    <w:rsid w:val="007F632B"/>
    <w:rsid w:val="007F65CC"/>
    <w:rsid w:val="007F6648"/>
    <w:rsid w:val="007F6649"/>
    <w:rsid w:val="007F6670"/>
    <w:rsid w:val="007F68A1"/>
    <w:rsid w:val="007F68B6"/>
    <w:rsid w:val="007F6B0B"/>
    <w:rsid w:val="007F6E61"/>
    <w:rsid w:val="007F6F27"/>
    <w:rsid w:val="007F7272"/>
    <w:rsid w:val="007F7310"/>
    <w:rsid w:val="007F76EF"/>
    <w:rsid w:val="007F7811"/>
    <w:rsid w:val="007F7AE9"/>
    <w:rsid w:val="007F7CC8"/>
    <w:rsid w:val="007F7DE6"/>
    <w:rsid w:val="007F7DEF"/>
    <w:rsid w:val="007F7E1D"/>
    <w:rsid w:val="007F7F62"/>
    <w:rsid w:val="00800327"/>
    <w:rsid w:val="00800389"/>
    <w:rsid w:val="00800960"/>
    <w:rsid w:val="00800988"/>
    <w:rsid w:val="0080098A"/>
    <w:rsid w:val="008009BC"/>
    <w:rsid w:val="00800D88"/>
    <w:rsid w:val="00800DB1"/>
    <w:rsid w:val="00800EE3"/>
    <w:rsid w:val="008016E7"/>
    <w:rsid w:val="00801810"/>
    <w:rsid w:val="00801828"/>
    <w:rsid w:val="00801860"/>
    <w:rsid w:val="00801CEE"/>
    <w:rsid w:val="00801EB6"/>
    <w:rsid w:val="00801F26"/>
    <w:rsid w:val="00802658"/>
    <w:rsid w:val="008026F9"/>
    <w:rsid w:val="008027B0"/>
    <w:rsid w:val="008028A4"/>
    <w:rsid w:val="0080299F"/>
    <w:rsid w:val="00802F4B"/>
    <w:rsid w:val="00802F70"/>
    <w:rsid w:val="00802F8B"/>
    <w:rsid w:val="0080311C"/>
    <w:rsid w:val="0080327B"/>
    <w:rsid w:val="0080340B"/>
    <w:rsid w:val="008034AF"/>
    <w:rsid w:val="00803627"/>
    <w:rsid w:val="0080375B"/>
    <w:rsid w:val="008037EF"/>
    <w:rsid w:val="00803DDA"/>
    <w:rsid w:val="00804314"/>
    <w:rsid w:val="00804357"/>
    <w:rsid w:val="00804532"/>
    <w:rsid w:val="0080460C"/>
    <w:rsid w:val="00804669"/>
    <w:rsid w:val="0080485B"/>
    <w:rsid w:val="0080486C"/>
    <w:rsid w:val="00804A24"/>
    <w:rsid w:val="00804A29"/>
    <w:rsid w:val="00804BAC"/>
    <w:rsid w:val="00804C0D"/>
    <w:rsid w:val="00804CAA"/>
    <w:rsid w:val="00804D72"/>
    <w:rsid w:val="00804DE6"/>
    <w:rsid w:val="00805126"/>
    <w:rsid w:val="00805223"/>
    <w:rsid w:val="00805350"/>
    <w:rsid w:val="0080535C"/>
    <w:rsid w:val="0080544A"/>
    <w:rsid w:val="0080557D"/>
    <w:rsid w:val="00805ADA"/>
    <w:rsid w:val="00805C63"/>
    <w:rsid w:val="00805CBD"/>
    <w:rsid w:val="00805DA0"/>
    <w:rsid w:val="00805E76"/>
    <w:rsid w:val="00805F41"/>
    <w:rsid w:val="0080601C"/>
    <w:rsid w:val="00806048"/>
    <w:rsid w:val="0080611C"/>
    <w:rsid w:val="00806218"/>
    <w:rsid w:val="00806329"/>
    <w:rsid w:val="0080657A"/>
    <w:rsid w:val="0080665A"/>
    <w:rsid w:val="00806A58"/>
    <w:rsid w:val="00806B5E"/>
    <w:rsid w:val="00806D5C"/>
    <w:rsid w:val="00806E9E"/>
    <w:rsid w:val="00806F45"/>
    <w:rsid w:val="00806FCB"/>
    <w:rsid w:val="00807309"/>
    <w:rsid w:val="00807508"/>
    <w:rsid w:val="00807722"/>
    <w:rsid w:val="008077D5"/>
    <w:rsid w:val="008077FB"/>
    <w:rsid w:val="008079B7"/>
    <w:rsid w:val="00807C53"/>
    <w:rsid w:val="00807E36"/>
    <w:rsid w:val="00810008"/>
    <w:rsid w:val="0081020E"/>
    <w:rsid w:val="0081037A"/>
    <w:rsid w:val="00810571"/>
    <w:rsid w:val="008105A5"/>
    <w:rsid w:val="00810A91"/>
    <w:rsid w:val="00810B30"/>
    <w:rsid w:val="00810F3D"/>
    <w:rsid w:val="008112AB"/>
    <w:rsid w:val="008112FD"/>
    <w:rsid w:val="0081140E"/>
    <w:rsid w:val="00811747"/>
    <w:rsid w:val="00811AFA"/>
    <w:rsid w:val="00811B71"/>
    <w:rsid w:val="00811E5E"/>
    <w:rsid w:val="00811F25"/>
    <w:rsid w:val="00812033"/>
    <w:rsid w:val="00812184"/>
    <w:rsid w:val="008121B7"/>
    <w:rsid w:val="008124D6"/>
    <w:rsid w:val="0081252A"/>
    <w:rsid w:val="00812ABE"/>
    <w:rsid w:val="00812C82"/>
    <w:rsid w:val="008131CD"/>
    <w:rsid w:val="00813250"/>
    <w:rsid w:val="008132DA"/>
    <w:rsid w:val="00813524"/>
    <w:rsid w:val="008136C0"/>
    <w:rsid w:val="008138F6"/>
    <w:rsid w:val="00813C44"/>
    <w:rsid w:val="00813D1E"/>
    <w:rsid w:val="008143FC"/>
    <w:rsid w:val="00814AAE"/>
    <w:rsid w:val="00814B57"/>
    <w:rsid w:val="00814CAB"/>
    <w:rsid w:val="00814E3B"/>
    <w:rsid w:val="00815099"/>
    <w:rsid w:val="008151AD"/>
    <w:rsid w:val="008152C2"/>
    <w:rsid w:val="00815303"/>
    <w:rsid w:val="008153D7"/>
    <w:rsid w:val="008153F1"/>
    <w:rsid w:val="0081565E"/>
    <w:rsid w:val="00815903"/>
    <w:rsid w:val="00815947"/>
    <w:rsid w:val="00815DA1"/>
    <w:rsid w:val="008161E2"/>
    <w:rsid w:val="0081642A"/>
    <w:rsid w:val="0081680F"/>
    <w:rsid w:val="00816E9D"/>
    <w:rsid w:val="00816F19"/>
    <w:rsid w:val="00817075"/>
    <w:rsid w:val="008172ED"/>
    <w:rsid w:val="00817364"/>
    <w:rsid w:val="00817678"/>
    <w:rsid w:val="0081767F"/>
    <w:rsid w:val="008176A0"/>
    <w:rsid w:val="00817702"/>
    <w:rsid w:val="0081789F"/>
    <w:rsid w:val="00817BA7"/>
    <w:rsid w:val="00817BB9"/>
    <w:rsid w:val="00817BCF"/>
    <w:rsid w:val="00817DDA"/>
    <w:rsid w:val="00817DE5"/>
    <w:rsid w:val="00817E02"/>
    <w:rsid w:val="00817E91"/>
    <w:rsid w:val="00817F05"/>
    <w:rsid w:val="00820037"/>
    <w:rsid w:val="008201AE"/>
    <w:rsid w:val="00820239"/>
    <w:rsid w:val="00820494"/>
    <w:rsid w:val="0082050E"/>
    <w:rsid w:val="0082068A"/>
    <w:rsid w:val="008206E9"/>
    <w:rsid w:val="00820999"/>
    <w:rsid w:val="00820BBB"/>
    <w:rsid w:val="00820FDC"/>
    <w:rsid w:val="00820FE1"/>
    <w:rsid w:val="00821335"/>
    <w:rsid w:val="008213AA"/>
    <w:rsid w:val="008215D3"/>
    <w:rsid w:val="0082168A"/>
    <w:rsid w:val="00821801"/>
    <w:rsid w:val="00821907"/>
    <w:rsid w:val="00821A3C"/>
    <w:rsid w:val="00821AB0"/>
    <w:rsid w:val="00821BC0"/>
    <w:rsid w:val="00821BFE"/>
    <w:rsid w:val="00821E0D"/>
    <w:rsid w:val="00822166"/>
    <w:rsid w:val="008222B3"/>
    <w:rsid w:val="008226D0"/>
    <w:rsid w:val="008229BA"/>
    <w:rsid w:val="00822AA6"/>
    <w:rsid w:val="00822B90"/>
    <w:rsid w:val="00822D86"/>
    <w:rsid w:val="00822E2E"/>
    <w:rsid w:val="008231AC"/>
    <w:rsid w:val="00823256"/>
    <w:rsid w:val="00823BAF"/>
    <w:rsid w:val="00823C34"/>
    <w:rsid w:val="00823E82"/>
    <w:rsid w:val="00823F48"/>
    <w:rsid w:val="00823F4F"/>
    <w:rsid w:val="0082412D"/>
    <w:rsid w:val="0082427B"/>
    <w:rsid w:val="008246CD"/>
    <w:rsid w:val="00824787"/>
    <w:rsid w:val="008249E0"/>
    <w:rsid w:val="00824B5A"/>
    <w:rsid w:val="00824BB7"/>
    <w:rsid w:val="00824E19"/>
    <w:rsid w:val="00824E74"/>
    <w:rsid w:val="008253F2"/>
    <w:rsid w:val="0082551F"/>
    <w:rsid w:val="008255D4"/>
    <w:rsid w:val="008258AB"/>
    <w:rsid w:val="008259BD"/>
    <w:rsid w:val="00825A29"/>
    <w:rsid w:val="00825C14"/>
    <w:rsid w:val="00825D47"/>
    <w:rsid w:val="00825FCC"/>
    <w:rsid w:val="00826017"/>
    <w:rsid w:val="008261F8"/>
    <w:rsid w:val="0082632A"/>
    <w:rsid w:val="008265EB"/>
    <w:rsid w:val="008269C8"/>
    <w:rsid w:val="00826A51"/>
    <w:rsid w:val="00826AC5"/>
    <w:rsid w:val="00826BD7"/>
    <w:rsid w:val="008270AB"/>
    <w:rsid w:val="00827291"/>
    <w:rsid w:val="008274F7"/>
    <w:rsid w:val="0082761B"/>
    <w:rsid w:val="00827788"/>
    <w:rsid w:val="00827805"/>
    <w:rsid w:val="008278C5"/>
    <w:rsid w:val="008278F2"/>
    <w:rsid w:val="00827933"/>
    <w:rsid w:val="008310B4"/>
    <w:rsid w:val="008314D1"/>
    <w:rsid w:val="00831BB8"/>
    <w:rsid w:val="008320C4"/>
    <w:rsid w:val="00832443"/>
    <w:rsid w:val="0083273C"/>
    <w:rsid w:val="008328BB"/>
    <w:rsid w:val="00832D2C"/>
    <w:rsid w:val="00832ECC"/>
    <w:rsid w:val="00833B76"/>
    <w:rsid w:val="00833C7B"/>
    <w:rsid w:val="00833D57"/>
    <w:rsid w:val="00833E2D"/>
    <w:rsid w:val="0083411B"/>
    <w:rsid w:val="0083445B"/>
    <w:rsid w:val="00834490"/>
    <w:rsid w:val="008346D5"/>
    <w:rsid w:val="008347A9"/>
    <w:rsid w:val="00834922"/>
    <w:rsid w:val="00834B21"/>
    <w:rsid w:val="00834C1D"/>
    <w:rsid w:val="00834C9F"/>
    <w:rsid w:val="00834F4A"/>
    <w:rsid w:val="00834FAF"/>
    <w:rsid w:val="00834FD9"/>
    <w:rsid w:val="008356DA"/>
    <w:rsid w:val="008357DD"/>
    <w:rsid w:val="0083599D"/>
    <w:rsid w:val="00835B14"/>
    <w:rsid w:val="00835BC9"/>
    <w:rsid w:val="00835C0A"/>
    <w:rsid w:val="0083670F"/>
    <w:rsid w:val="00836BD1"/>
    <w:rsid w:val="00836E3F"/>
    <w:rsid w:val="00836F33"/>
    <w:rsid w:val="008370ED"/>
    <w:rsid w:val="00837191"/>
    <w:rsid w:val="0083720A"/>
    <w:rsid w:val="00837316"/>
    <w:rsid w:val="0083749D"/>
    <w:rsid w:val="008376A3"/>
    <w:rsid w:val="008376E1"/>
    <w:rsid w:val="008378DC"/>
    <w:rsid w:val="00837B75"/>
    <w:rsid w:val="00837CC2"/>
    <w:rsid w:val="008403B7"/>
    <w:rsid w:val="008403DC"/>
    <w:rsid w:val="008404EA"/>
    <w:rsid w:val="008409C9"/>
    <w:rsid w:val="00840F29"/>
    <w:rsid w:val="008411F4"/>
    <w:rsid w:val="00841229"/>
    <w:rsid w:val="00841436"/>
    <w:rsid w:val="00841B7A"/>
    <w:rsid w:val="00841BEE"/>
    <w:rsid w:val="00841FBA"/>
    <w:rsid w:val="008422CC"/>
    <w:rsid w:val="00842353"/>
    <w:rsid w:val="00842456"/>
    <w:rsid w:val="008426C1"/>
    <w:rsid w:val="00842B0F"/>
    <w:rsid w:val="00842B19"/>
    <w:rsid w:val="00842B23"/>
    <w:rsid w:val="00842CB4"/>
    <w:rsid w:val="008431FB"/>
    <w:rsid w:val="008433CE"/>
    <w:rsid w:val="0084350A"/>
    <w:rsid w:val="00843557"/>
    <w:rsid w:val="008435CC"/>
    <w:rsid w:val="008435CF"/>
    <w:rsid w:val="00843711"/>
    <w:rsid w:val="00843735"/>
    <w:rsid w:val="008438A1"/>
    <w:rsid w:val="0084398D"/>
    <w:rsid w:val="00843C66"/>
    <w:rsid w:val="00843D62"/>
    <w:rsid w:val="00843EF3"/>
    <w:rsid w:val="00843F2E"/>
    <w:rsid w:val="00843FD1"/>
    <w:rsid w:val="00844197"/>
    <w:rsid w:val="0084430C"/>
    <w:rsid w:val="00844442"/>
    <w:rsid w:val="00844484"/>
    <w:rsid w:val="00844495"/>
    <w:rsid w:val="008444BC"/>
    <w:rsid w:val="008447C2"/>
    <w:rsid w:val="0084500B"/>
    <w:rsid w:val="00845285"/>
    <w:rsid w:val="00845359"/>
    <w:rsid w:val="0084536C"/>
    <w:rsid w:val="0084556A"/>
    <w:rsid w:val="00845694"/>
    <w:rsid w:val="008456D9"/>
    <w:rsid w:val="00845D22"/>
    <w:rsid w:val="00845EEA"/>
    <w:rsid w:val="008462BD"/>
    <w:rsid w:val="0084661E"/>
    <w:rsid w:val="0084671D"/>
    <w:rsid w:val="00846BBC"/>
    <w:rsid w:val="00846C10"/>
    <w:rsid w:val="008470DF"/>
    <w:rsid w:val="00847223"/>
    <w:rsid w:val="0084751A"/>
    <w:rsid w:val="008475DE"/>
    <w:rsid w:val="008478F5"/>
    <w:rsid w:val="0084795A"/>
    <w:rsid w:val="008479B8"/>
    <w:rsid w:val="00847B87"/>
    <w:rsid w:val="00847C1D"/>
    <w:rsid w:val="00850153"/>
    <w:rsid w:val="00850367"/>
    <w:rsid w:val="008503A3"/>
    <w:rsid w:val="0085064F"/>
    <w:rsid w:val="0085087F"/>
    <w:rsid w:val="00850AAA"/>
    <w:rsid w:val="00850B05"/>
    <w:rsid w:val="00850B5C"/>
    <w:rsid w:val="00850C60"/>
    <w:rsid w:val="00850D26"/>
    <w:rsid w:val="0085120A"/>
    <w:rsid w:val="0085123A"/>
    <w:rsid w:val="0085141A"/>
    <w:rsid w:val="008514C9"/>
    <w:rsid w:val="00851844"/>
    <w:rsid w:val="008519BF"/>
    <w:rsid w:val="00851D36"/>
    <w:rsid w:val="00851F99"/>
    <w:rsid w:val="00852375"/>
    <w:rsid w:val="00852882"/>
    <w:rsid w:val="00852FFA"/>
    <w:rsid w:val="0085330A"/>
    <w:rsid w:val="0085341F"/>
    <w:rsid w:val="00853AA9"/>
    <w:rsid w:val="00853B11"/>
    <w:rsid w:val="00853E60"/>
    <w:rsid w:val="00853F23"/>
    <w:rsid w:val="00853F62"/>
    <w:rsid w:val="0085437B"/>
    <w:rsid w:val="008543EC"/>
    <w:rsid w:val="00854401"/>
    <w:rsid w:val="00854426"/>
    <w:rsid w:val="0085453F"/>
    <w:rsid w:val="00854606"/>
    <w:rsid w:val="008546E7"/>
    <w:rsid w:val="008547E5"/>
    <w:rsid w:val="00854AA6"/>
    <w:rsid w:val="00854B05"/>
    <w:rsid w:val="0085502D"/>
    <w:rsid w:val="008550C8"/>
    <w:rsid w:val="00855279"/>
    <w:rsid w:val="0085542F"/>
    <w:rsid w:val="00855452"/>
    <w:rsid w:val="00855526"/>
    <w:rsid w:val="0085554D"/>
    <w:rsid w:val="00855803"/>
    <w:rsid w:val="00855AD3"/>
    <w:rsid w:val="00855EEC"/>
    <w:rsid w:val="008562CC"/>
    <w:rsid w:val="0085649F"/>
    <w:rsid w:val="008565CD"/>
    <w:rsid w:val="00856654"/>
    <w:rsid w:val="008569B6"/>
    <w:rsid w:val="00856A8A"/>
    <w:rsid w:val="00856B91"/>
    <w:rsid w:val="00856D96"/>
    <w:rsid w:val="008573C8"/>
    <w:rsid w:val="00857576"/>
    <w:rsid w:val="00857833"/>
    <w:rsid w:val="00857AAB"/>
    <w:rsid w:val="00857D6A"/>
    <w:rsid w:val="00857D72"/>
    <w:rsid w:val="00857D81"/>
    <w:rsid w:val="00857DD4"/>
    <w:rsid w:val="00860231"/>
    <w:rsid w:val="0086037D"/>
    <w:rsid w:val="00860448"/>
    <w:rsid w:val="008604D8"/>
    <w:rsid w:val="008609BB"/>
    <w:rsid w:val="00860ADC"/>
    <w:rsid w:val="00860C81"/>
    <w:rsid w:val="0086102E"/>
    <w:rsid w:val="0086148F"/>
    <w:rsid w:val="008614B0"/>
    <w:rsid w:val="0086150A"/>
    <w:rsid w:val="00861649"/>
    <w:rsid w:val="00861A60"/>
    <w:rsid w:val="00861E89"/>
    <w:rsid w:val="00861ED4"/>
    <w:rsid w:val="00862043"/>
    <w:rsid w:val="0086230F"/>
    <w:rsid w:val="008626F2"/>
    <w:rsid w:val="00862709"/>
    <w:rsid w:val="008629E8"/>
    <w:rsid w:val="00862A37"/>
    <w:rsid w:val="00862AB7"/>
    <w:rsid w:val="00863245"/>
    <w:rsid w:val="00864C3D"/>
    <w:rsid w:val="00864C70"/>
    <w:rsid w:val="00864EFD"/>
    <w:rsid w:val="00864F2A"/>
    <w:rsid w:val="008651E0"/>
    <w:rsid w:val="008653DC"/>
    <w:rsid w:val="00865650"/>
    <w:rsid w:val="00865700"/>
    <w:rsid w:val="008659D9"/>
    <w:rsid w:val="00865B81"/>
    <w:rsid w:val="00865BBF"/>
    <w:rsid w:val="0086604F"/>
    <w:rsid w:val="008663D7"/>
    <w:rsid w:val="008664AF"/>
    <w:rsid w:val="0086651A"/>
    <w:rsid w:val="0086659C"/>
    <w:rsid w:val="00866714"/>
    <w:rsid w:val="0086682F"/>
    <w:rsid w:val="00866972"/>
    <w:rsid w:val="00866CD4"/>
    <w:rsid w:val="00866F23"/>
    <w:rsid w:val="00866FB2"/>
    <w:rsid w:val="00867104"/>
    <w:rsid w:val="00867109"/>
    <w:rsid w:val="0086723F"/>
    <w:rsid w:val="0086752B"/>
    <w:rsid w:val="0086773B"/>
    <w:rsid w:val="0086782C"/>
    <w:rsid w:val="008678E9"/>
    <w:rsid w:val="00867A63"/>
    <w:rsid w:val="00867B79"/>
    <w:rsid w:val="00867C78"/>
    <w:rsid w:val="00867C7A"/>
    <w:rsid w:val="00870040"/>
    <w:rsid w:val="0087012B"/>
    <w:rsid w:val="00870178"/>
    <w:rsid w:val="008703EF"/>
    <w:rsid w:val="00870972"/>
    <w:rsid w:val="00870986"/>
    <w:rsid w:val="00870B08"/>
    <w:rsid w:val="00870B37"/>
    <w:rsid w:val="00870BCE"/>
    <w:rsid w:val="00870FA7"/>
    <w:rsid w:val="00871216"/>
    <w:rsid w:val="008713A5"/>
    <w:rsid w:val="008713DC"/>
    <w:rsid w:val="008714F0"/>
    <w:rsid w:val="008715D9"/>
    <w:rsid w:val="008715EE"/>
    <w:rsid w:val="0087172C"/>
    <w:rsid w:val="00871A70"/>
    <w:rsid w:val="00871CD1"/>
    <w:rsid w:val="00871CE4"/>
    <w:rsid w:val="00871CF6"/>
    <w:rsid w:val="00871D7F"/>
    <w:rsid w:val="00871FDC"/>
    <w:rsid w:val="00872019"/>
    <w:rsid w:val="00872256"/>
    <w:rsid w:val="00872309"/>
    <w:rsid w:val="008727A9"/>
    <w:rsid w:val="00872842"/>
    <w:rsid w:val="00872AD8"/>
    <w:rsid w:val="00872BF3"/>
    <w:rsid w:val="00872C22"/>
    <w:rsid w:val="00872DB3"/>
    <w:rsid w:val="008731F4"/>
    <w:rsid w:val="0087333B"/>
    <w:rsid w:val="008733C4"/>
    <w:rsid w:val="008733E8"/>
    <w:rsid w:val="008739BA"/>
    <w:rsid w:val="008739FB"/>
    <w:rsid w:val="00873ACB"/>
    <w:rsid w:val="00873B38"/>
    <w:rsid w:val="00873BEC"/>
    <w:rsid w:val="00873C25"/>
    <w:rsid w:val="00873CC9"/>
    <w:rsid w:val="00873D21"/>
    <w:rsid w:val="00873D70"/>
    <w:rsid w:val="00873E30"/>
    <w:rsid w:val="0087438A"/>
    <w:rsid w:val="00874546"/>
    <w:rsid w:val="0087454D"/>
    <w:rsid w:val="00874710"/>
    <w:rsid w:val="00874752"/>
    <w:rsid w:val="00874866"/>
    <w:rsid w:val="008749EC"/>
    <w:rsid w:val="00874BF3"/>
    <w:rsid w:val="00874ED5"/>
    <w:rsid w:val="0087504E"/>
    <w:rsid w:val="0087517E"/>
    <w:rsid w:val="0087562C"/>
    <w:rsid w:val="008756D5"/>
    <w:rsid w:val="00876054"/>
    <w:rsid w:val="0087632A"/>
    <w:rsid w:val="008765CF"/>
    <w:rsid w:val="00876657"/>
    <w:rsid w:val="0087666B"/>
    <w:rsid w:val="008767A4"/>
    <w:rsid w:val="00876953"/>
    <w:rsid w:val="0087699C"/>
    <w:rsid w:val="00876A74"/>
    <w:rsid w:val="00876B14"/>
    <w:rsid w:val="00876D77"/>
    <w:rsid w:val="00876DB3"/>
    <w:rsid w:val="00876E4B"/>
    <w:rsid w:val="00877159"/>
    <w:rsid w:val="008771FD"/>
    <w:rsid w:val="008772AA"/>
    <w:rsid w:val="00877473"/>
    <w:rsid w:val="0087772A"/>
    <w:rsid w:val="00877942"/>
    <w:rsid w:val="00877995"/>
    <w:rsid w:val="00877C0F"/>
    <w:rsid w:val="00877DE6"/>
    <w:rsid w:val="0088005C"/>
    <w:rsid w:val="008804DC"/>
    <w:rsid w:val="008805CD"/>
    <w:rsid w:val="0088083B"/>
    <w:rsid w:val="00880EA5"/>
    <w:rsid w:val="0088139E"/>
    <w:rsid w:val="00881813"/>
    <w:rsid w:val="00881B80"/>
    <w:rsid w:val="00881C39"/>
    <w:rsid w:val="00881C82"/>
    <w:rsid w:val="00881EA9"/>
    <w:rsid w:val="00881F89"/>
    <w:rsid w:val="00881FC0"/>
    <w:rsid w:val="0088234C"/>
    <w:rsid w:val="008823DC"/>
    <w:rsid w:val="0088242E"/>
    <w:rsid w:val="0088247C"/>
    <w:rsid w:val="008824FC"/>
    <w:rsid w:val="00882514"/>
    <w:rsid w:val="00882522"/>
    <w:rsid w:val="00882A72"/>
    <w:rsid w:val="00882AEF"/>
    <w:rsid w:val="00882B7F"/>
    <w:rsid w:val="00882CFB"/>
    <w:rsid w:val="00882EF2"/>
    <w:rsid w:val="00883204"/>
    <w:rsid w:val="008832B1"/>
    <w:rsid w:val="00883385"/>
    <w:rsid w:val="008833D9"/>
    <w:rsid w:val="00883496"/>
    <w:rsid w:val="00883707"/>
    <w:rsid w:val="00883EBF"/>
    <w:rsid w:val="00883F99"/>
    <w:rsid w:val="00884114"/>
    <w:rsid w:val="0088423C"/>
    <w:rsid w:val="00884334"/>
    <w:rsid w:val="008843D5"/>
    <w:rsid w:val="008848A9"/>
    <w:rsid w:val="00884A5F"/>
    <w:rsid w:val="00884BF8"/>
    <w:rsid w:val="00884C5B"/>
    <w:rsid w:val="00884CAA"/>
    <w:rsid w:val="008851C3"/>
    <w:rsid w:val="008851D3"/>
    <w:rsid w:val="008853A7"/>
    <w:rsid w:val="008855C3"/>
    <w:rsid w:val="00885657"/>
    <w:rsid w:val="00885731"/>
    <w:rsid w:val="00885B13"/>
    <w:rsid w:val="00885B6D"/>
    <w:rsid w:val="00885C1B"/>
    <w:rsid w:val="00885FEF"/>
    <w:rsid w:val="00886093"/>
    <w:rsid w:val="008860DF"/>
    <w:rsid w:val="0088625B"/>
    <w:rsid w:val="008864FE"/>
    <w:rsid w:val="0088669C"/>
    <w:rsid w:val="00886D38"/>
    <w:rsid w:val="00886FD6"/>
    <w:rsid w:val="008870C1"/>
    <w:rsid w:val="0088729B"/>
    <w:rsid w:val="008873E8"/>
    <w:rsid w:val="0088762C"/>
    <w:rsid w:val="0088769E"/>
    <w:rsid w:val="00887857"/>
    <w:rsid w:val="00887A45"/>
    <w:rsid w:val="00887D7A"/>
    <w:rsid w:val="00890097"/>
    <w:rsid w:val="008901CB"/>
    <w:rsid w:val="008901F5"/>
    <w:rsid w:val="008903AB"/>
    <w:rsid w:val="008903E7"/>
    <w:rsid w:val="008904B4"/>
    <w:rsid w:val="0089050E"/>
    <w:rsid w:val="00890517"/>
    <w:rsid w:val="00890AD8"/>
    <w:rsid w:val="00890C6D"/>
    <w:rsid w:val="00890EE7"/>
    <w:rsid w:val="00891044"/>
    <w:rsid w:val="008912A8"/>
    <w:rsid w:val="00891A6C"/>
    <w:rsid w:val="00891AB3"/>
    <w:rsid w:val="00891BDE"/>
    <w:rsid w:val="00891D05"/>
    <w:rsid w:val="00892278"/>
    <w:rsid w:val="0089286B"/>
    <w:rsid w:val="008928B8"/>
    <w:rsid w:val="008928DC"/>
    <w:rsid w:val="00892CA8"/>
    <w:rsid w:val="008930D5"/>
    <w:rsid w:val="008937B3"/>
    <w:rsid w:val="00893A29"/>
    <w:rsid w:val="00893A47"/>
    <w:rsid w:val="00893A72"/>
    <w:rsid w:val="00893D70"/>
    <w:rsid w:val="0089528A"/>
    <w:rsid w:val="00895291"/>
    <w:rsid w:val="008952F3"/>
    <w:rsid w:val="00895333"/>
    <w:rsid w:val="0089558B"/>
    <w:rsid w:val="00895AA0"/>
    <w:rsid w:val="00895AD5"/>
    <w:rsid w:val="00895F49"/>
    <w:rsid w:val="008961B6"/>
    <w:rsid w:val="0089654D"/>
    <w:rsid w:val="0089671C"/>
    <w:rsid w:val="00896778"/>
    <w:rsid w:val="008968EF"/>
    <w:rsid w:val="00896B6A"/>
    <w:rsid w:val="008970E7"/>
    <w:rsid w:val="00897516"/>
    <w:rsid w:val="0089781D"/>
    <w:rsid w:val="00897C85"/>
    <w:rsid w:val="00897E4A"/>
    <w:rsid w:val="00897F91"/>
    <w:rsid w:val="008A0605"/>
    <w:rsid w:val="008A0698"/>
    <w:rsid w:val="008A0841"/>
    <w:rsid w:val="008A0CEF"/>
    <w:rsid w:val="008A0ED8"/>
    <w:rsid w:val="008A0EFF"/>
    <w:rsid w:val="008A1231"/>
    <w:rsid w:val="008A13B2"/>
    <w:rsid w:val="008A154B"/>
    <w:rsid w:val="008A18F0"/>
    <w:rsid w:val="008A19BB"/>
    <w:rsid w:val="008A1BCB"/>
    <w:rsid w:val="008A2121"/>
    <w:rsid w:val="008A2167"/>
    <w:rsid w:val="008A2317"/>
    <w:rsid w:val="008A24B5"/>
    <w:rsid w:val="008A2552"/>
    <w:rsid w:val="008A2853"/>
    <w:rsid w:val="008A2962"/>
    <w:rsid w:val="008A2B14"/>
    <w:rsid w:val="008A2BDE"/>
    <w:rsid w:val="008A2EE5"/>
    <w:rsid w:val="008A30BB"/>
    <w:rsid w:val="008A313D"/>
    <w:rsid w:val="008A317F"/>
    <w:rsid w:val="008A32C9"/>
    <w:rsid w:val="008A3302"/>
    <w:rsid w:val="008A36B1"/>
    <w:rsid w:val="008A37C9"/>
    <w:rsid w:val="008A37CF"/>
    <w:rsid w:val="008A3A7E"/>
    <w:rsid w:val="008A3BF1"/>
    <w:rsid w:val="008A3E6D"/>
    <w:rsid w:val="008A44F8"/>
    <w:rsid w:val="008A49B4"/>
    <w:rsid w:val="008A4AF7"/>
    <w:rsid w:val="008A4EFF"/>
    <w:rsid w:val="008A52E2"/>
    <w:rsid w:val="008A53C8"/>
    <w:rsid w:val="008A5413"/>
    <w:rsid w:val="008A590E"/>
    <w:rsid w:val="008A5BDB"/>
    <w:rsid w:val="008A5C52"/>
    <w:rsid w:val="008A5D04"/>
    <w:rsid w:val="008A6277"/>
    <w:rsid w:val="008A62B2"/>
    <w:rsid w:val="008A659E"/>
    <w:rsid w:val="008A65D8"/>
    <w:rsid w:val="008A6820"/>
    <w:rsid w:val="008A69F0"/>
    <w:rsid w:val="008A6B8E"/>
    <w:rsid w:val="008A6F91"/>
    <w:rsid w:val="008A7431"/>
    <w:rsid w:val="008A7C48"/>
    <w:rsid w:val="008B0004"/>
    <w:rsid w:val="008B0848"/>
    <w:rsid w:val="008B0C57"/>
    <w:rsid w:val="008B0CC7"/>
    <w:rsid w:val="008B0DA6"/>
    <w:rsid w:val="008B0EC1"/>
    <w:rsid w:val="008B0F64"/>
    <w:rsid w:val="008B0FDE"/>
    <w:rsid w:val="008B0FEC"/>
    <w:rsid w:val="008B139E"/>
    <w:rsid w:val="008B14F4"/>
    <w:rsid w:val="008B153D"/>
    <w:rsid w:val="008B1553"/>
    <w:rsid w:val="008B16FB"/>
    <w:rsid w:val="008B1759"/>
    <w:rsid w:val="008B18C6"/>
    <w:rsid w:val="008B1A92"/>
    <w:rsid w:val="008B1CBF"/>
    <w:rsid w:val="008B1CC2"/>
    <w:rsid w:val="008B1E19"/>
    <w:rsid w:val="008B1E6C"/>
    <w:rsid w:val="008B2032"/>
    <w:rsid w:val="008B209E"/>
    <w:rsid w:val="008B2488"/>
    <w:rsid w:val="008B24A2"/>
    <w:rsid w:val="008B2565"/>
    <w:rsid w:val="008B25F8"/>
    <w:rsid w:val="008B29F0"/>
    <w:rsid w:val="008B3247"/>
    <w:rsid w:val="008B3383"/>
    <w:rsid w:val="008B36B3"/>
    <w:rsid w:val="008B3795"/>
    <w:rsid w:val="008B37DE"/>
    <w:rsid w:val="008B3AC1"/>
    <w:rsid w:val="008B3B8B"/>
    <w:rsid w:val="008B3F3E"/>
    <w:rsid w:val="008B403D"/>
    <w:rsid w:val="008B41EB"/>
    <w:rsid w:val="008B437D"/>
    <w:rsid w:val="008B4497"/>
    <w:rsid w:val="008B44C4"/>
    <w:rsid w:val="008B478C"/>
    <w:rsid w:val="008B47BD"/>
    <w:rsid w:val="008B4814"/>
    <w:rsid w:val="008B4B7B"/>
    <w:rsid w:val="008B4C57"/>
    <w:rsid w:val="008B4EE6"/>
    <w:rsid w:val="008B5700"/>
    <w:rsid w:val="008B5750"/>
    <w:rsid w:val="008B5947"/>
    <w:rsid w:val="008B5DE1"/>
    <w:rsid w:val="008B5EF2"/>
    <w:rsid w:val="008B5F29"/>
    <w:rsid w:val="008B6124"/>
    <w:rsid w:val="008B61D6"/>
    <w:rsid w:val="008B62E0"/>
    <w:rsid w:val="008B6519"/>
    <w:rsid w:val="008B6652"/>
    <w:rsid w:val="008B689E"/>
    <w:rsid w:val="008B6ACE"/>
    <w:rsid w:val="008B6D1F"/>
    <w:rsid w:val="008B6E4F"/>
    <w:rsid w:val="008B6EE3"/>
    <w:rsid w:val="008B7327"/>
    <w:rsid w:val="008B73C3"/>
    <w:rsid w:val="008B75D1"/>
    <w:rsid w:val="008B7623"/>
    <w:rsid w:val="008B781F"/>
    <w:rsid w:val="008B79AE"/>
    <w:rsid w:val="008B79E2"/>
    <w:rsid w:val="008B7A5F"/>
    <w:rsid w:val="008B7DF4"/>
    <w:rsid w:val="008B7F7A"/>
    <w:rsid w:val="008C0105"/>
    <w:rsid w:val="008C0106"/>
    <w:rsid w:val="008C017E"/>
    <w:rsid w:val="008C0301"/>
    <w:rsid w:val="008C06E3"/>
    <w:rsid w:val="008C087A"/>
    <w:rsid w:val="008C09BE"/>
    <w:rsid w:val="008C0B2E"/>
    <w:rsid w:val="008C0BDD"/>
    <w:rsid w:val="008C0C9D"/>
    <w:rsid w:val="008C0E8E"/>
    <w:rsid w:val="008C1103"/>
    <w:rsid w:val="008C11A1"/>
    <w:rsid w:val="008C11D7"/>
    <w:rsid w:val="008C12D9"/>
    <w:rsid w:val="008C1764"/>
    <w:rsid w:val="008C1870"/>
    <w:rsid w:val="008C20C1"/>
    <w:rsid w:val="008C20C2"/>
    <w:rsid w:val="008C2316"/>
    <w:rsid w:val="008C254B"/>
    <w:rsid w:val="008C2807"/>
    <w:rsid w:val="008C28AB"/>
    <w:rsid w:val="008C2CCE"/>
    <w:rsid w:val="008C3183"/>
    <w:rsid w:val="008C332A"/>
    <w:rsid w:val="008C37B3"/>
    <w:rsid w:val="008C38FA"/>
    <w:rsid w:val="008C3991"/>
    <w:rsid w:val="008C3BD0"/>
    <w:rsid w:val="008C3BE8"/>
    <w:rsid w:val="008C3DA1"/>
    <w:rsid w:val="008C3F5F"/>
    <w:rsid w:val="008C40B0"/>
    <w:rsid w:val="008C42D2"/>
    <w:rsid w:val="008C44E6"/>
    <w:rsid w:val="008C450F"/>
    <w:rsid w:val="008C46F9"/>
    <w:rsid w:val="008C4B3F"/>
    <w:rsid w:val="008C4C68"/>
    <w:rsid w:val="008C4CDD"/>
    <w:rsid w:val="008C549A"/>
    <w:rsid w:val="008C575D"/>
    <w:rsid w:val="008C5794"/>
    <w:rsid w:val="008C5822"/>
    <w:rsid w:val="008C5828"/>
    <w:rsid w:val="008C58CD"/>
    <w:rsid w:val="008C5977"/>
    <w:rsid w:val="008C5CC3"/>
    <w:rsid w:val="008C5D40"/>
    <w:rsid w:val="008C624A"/>
    <w:rsid w:val="008C6277"/>
    <w:rsid w:val="008C6380"/>
    <w:rsid w:val="008C66F0"/>
    <w:rsid w:val="008C68C2"/>
    <w:rsid w:val="008C6F30"/>
    <w:rsid w:val="008C70A0"/>
    <w:rsid w:val="008C7286"/>
    <w:rsid w:val="008C7347"/>
    <w:rsid w:val="008C7BED"/>
    <w:rsid w:val="008C7CA2"/>
    <w:rsid w:val="008C7F2C"/>
    <w:rsid w:val="008D031A"/>
    <w:rsid w:val="008D0496"/>
    <w:rsid w:val="008D0549"/>
    <w:rsid w:val="008D07A8"/>
    <w:rsid w:val="008D0824"/>
    <w:rsid w:val="008D0A2F"/>
    <w:rsid w:val="008D0B7A"/>
    <w:rsid w:val="008D0D7E"/>
    <w:rsid w:val="008D0F59"/>
    <w:rsid w:val="008D10DA"/>
    <w:rsid w:val="008D15B3"/>
    <w:rsid w:val="008D17CB"/>
    <w:rsid w:val="008D17CE"/>
    <w:rsid w:val="008D18E2"/>
    <w:rsid w:val="008D1F2F"/>
    <w:rsid w:val="008D2112"/>
    <w:rsid w:val="008D21EB"/>
    <w:rsid w:val="008D2646"/>
    <w:rsid w:val="008D27FC"/>
    <w:rsid w:val="008D2D48"/>
    <w:rsid w:val="008D2DBC"/>
    <w:rsid w:val="008D30AC"/>
    <w:rsid w:val="008D3276"/>
    <w:rsid w:val="008D3285"/>
    <w:rsid w:val="008D359C"/>
    <w:rsid w:val="008D362C"/>
    <w:rsid w:val="008D3A35"/>
    <w:rsid w:val="008D3C35"/>
    <w:rsid w:val="008D3CD0"/>
    <w:rsid w:val="008D3FE8"/>
    <w:rsid w:val="008D4190"/>
    <w:rsid w:val="008D49E4"/>
    <w:rsid w:val="008D49E8"/>
    <w:rsid w:val="008D4AFA"/>
    <w:rsid w:val="008D4CC4"/>
    <w:rsid w:val="008D4D5A"/>
    <w:rsid w:val="008D4DB5"/>
    <w:rsid w:val="008D585A"/>
    <w:rsid w:val="008D5DB2"/>
    <w:rsid w:val="008D5DD4"/>
    <w:rsid w:val="008D5E21"/>
    <w:rsid w:val="008D5FA1"/>
    <w:rsid w:val="008D6525"/>
    <w:rsid w:val="008D6658"/>
    <w:rsid w:val="008D6783"/>
    <w:rsid w:val="008D68DF"/>
    <w:rsid w:val="008D6909"/>
    <w:rsid w:val="008D6A5A"/>
    <w:rsid w:val="008D70FE"/>
    <w:rsid w:val="008D714B"/>
    <w:rsid w:val="008D715F"/>
    <w:rsid w:val="008D7204"/>
    <w:rsid w:val="008D74EC"/>
    <w:rsid w:val="008D765C"/>
    <w:rsid w:val="008D7792"/>
    <w:rsid w:val="008D7A3A"/>
    <w:rsid w:val="008D7E20"/>
    <w:rsid w:val="008E0423"/>
    <w:rsid w:val="008E049B"/>
    <w:rsid w:val="008E055F"/>
    <w:rsid w:val="008E062E"/>
    <w:rsid w:val="008E0D7C"/>
    <w:rsid w:val="008E0F54"/>
    <w:rsid w:val="008E1009"/>
    <w:rsid w:val="008E10BD"/>
    <w:rsid w:val="008E10FD"/>
    <w:rsid w:val="008E13BF"/>
    <w:rsid w:val="008E17B9"/>
    <w:rsid w:val="008E17EC"/>
    <w:rsid w:val="008E189A"/>
    <w:rsid w:val="008E192B"/>
    <w:rsid w:val="008E1CB8"/>
    <w:rsid w:val="008E212D"/>
    <w:rsid w:val="008E21B0"/>
    <w:rsid w:val="008E225B"/>
    <w:rsid w:val="008E2894"/>
    <w:rsid w:val="008E28AC"/>
    <w:rsid w:val="008E2BB6"/>
    <w:rsid w:val="008E2D6B"/>
    <w:rsid w:val="008E2DEF"/>
    <w:rsid w:val="008E31E5"/>
    <w:rsid w:val="008E37F0"/>
    <w:rsid w:val="008E3A4F"/>
    <w:rsid w:val="008E3B48"/>
    <w:rsid w:val="008E3B8A"/>
    <w:rsid w:val="008E3C90"/>
    <w:rsid w:val="008E3D31"/>
    <w:rsid w:val="008E3DA1"/>
    <w:rsid w:val="008E3F89"/>
    <w:rsid w:val="008E4083"/>
    <w:rsid w:val="008E4563"/>
    <w:rsid w:val="008E4601"/>
    <w:rsid w:val="008E4A14"/>
    <w:rsid w:val="008E4A70"/>
    <w:rsid w:val="008E4C33"/>
    <w:rsid w:val="008E5122"/>
    <w:rsid w:val="008E5182"/>
    <w:rsid w:val="008E51AB"/>
    <w:rsid w:val="008E57C3"/>
    <w:rsid w:val="008E59B3"/>
    <w:rsid w:val="008E59E9"/>
    <w:rsid w:val="008E5BB7"/>
    <w:rsid w:val="008E5CD4"/>
    <w:rsid w:val="008E5EFD"/>
    <w:rsid w:val="008E5F4E"/>
    <w:rsid w:val="008E625B"/>
    <w:rsid w:val="008E67E2"/>
    <w:rsid w:val="008E693E"/>
    <w:rsid w:val="008E6A95"/>
    <w:rsid w:val="008E6F2D"/>
    <w:rsid w:val="008E6FB3"/>
    <w:rsid w:val="008E7042"/>
    <w:rsid w:val="008E736C"/>
    <w:rsid w:val="008E73ED"/>
    <w:rsid w:val="008E7564"/>
    <w:rsid w:val="008E7998"/>
    <w:rsid w:val="008E7BFD"/>
    <w:rsid w:val="008E7C86"/>
    <w:rsid w:val="008F00C8"/>
    <w:rsid w:val="008F0389"/>
    <w:rsid w:val="008F07B3"/>
    <w:rsid w:val="008F0819"/>
    <w:rsid w:val="008F0AAE"/>
    <w:rsid w:val="008F0BB4"/>
    <w:rsid w:val="008F145E"/>
    <w:rsid w:val="008F1462"/>
    <w:rsid w:val="008F1648"/>
    <w:rsid w:val="008F1765"/>
    <w:rsid w:val="008F196D"/>
    <w:rsid w:val="008F1FA3"/>
    <w:rsid w:val="008F2015"/>
    <w:rsid w:val="008F2246"/>
    <w:rsid w:val="008F25E9"/>
    <w:rsid w:val="008F27E1"/>
    <w:rsid w:val="008F28C2"/>
    <w:rsid w:val="008F2DDA"/>
    <w:rsid w:val="008F2E58"/>
    <w:rsid w:val="008F2F7B"/>
    <w:rsid w:val="008F300B"/>
    <w:rsid w:val="008F3069"/>
    <w:rsid w:val="008F30EE"/>
    <w:rsid w:val="008F3173"/>
    <w:rsid w:val="008F32B4"/>
    <w:rsid w:val="008F332C"/>
    <w:rsid w:val="008F34A3"/>
    <w:rsid w:val="008F38AD"/>
    <w:rsid w:val="008F3C16"/>
    <w:rsid w:val="008F3FE3"/>
    <w:rsid w:val="008F4596"/>
    <w:rsid w:val="008F4822"/>
    <w:rsid w:val="008F4845"/>
    <w:rsid w:val="008F4F2F"/>
    <w:rsid w:val="008F5124"/>
    <w:rsid w:val="008F52DA"/>
    <w:rsid w:val="008F543E"/>
    <w:rsid w:val="008F5616"/>
    <w:rsid w:val="008F5CE1"/>
    <w:rsid w:val="008F5D59"/>
    <w:rsid w:val="008F5D85"/>
    <w:rsid w:val="008F5F92"/>
    <w:rsid w:val="008F61D5"/>
    <w:rsid w:val="008F6C02"/>
    <w:rsid w:val="008F75BA"/>
    <w:rsid w:val="008F7738"/>
    <w:rsid w:val="008F77F5"/>
    <w:rsid w:val="008F7955"/>
    <w:rsid w:val="008F79F8"/>
    <w:rsid w:val="008F7C8F"/>
    <w:rsid w:val="008F7D48"/>
    <w:rsid w:val="009000B1"/>
    <w:rsid w:val="0090061F"/>
    <w:rsid w:val="00900709"/>
    <w:rsid w:val="0090074D"/>
    <w:rsid w:val="009009BC"/>
    <w:rsid w:val="00900C69"/>
    <w:rsid w:val="00900E66"/>
    <w:rsid w:val="00900F70"/>
    <w:rsid w:val="0090103D"/>
    <w:rsid w:val="00901078"/>
    <w:rsid w:val="00901126"/>
    <w:rsid w:val="00901221"/>
    <w:rsid w:val="0090124E"/>
    <w:rsid w:val="0090142E"/>
    <w:rsid w:val="00901649"/>
    <w:rsid w:val="00901B1D"/>
    <w:rsid w:val="00901B97"/>
    <w:rsid w:val="00901DA9"/>
    <w:rsid w:val="00901F07"/>
    <w:rsid w:val="009025FE"/>
    <w:rsid w:val="00902806"/>
    <w:rsid w:val="0090288A"/>
    <w:rsid w:val="00902B27"/>
    <w:rsid w:val="00902EEC"/>
    <w:rsid w:val="0090309E"/>
    <w:rsid w:val="0090316B"/>
    <w:rsid w:val="00903186"/>
    <w:rsid w:val="009033C2"/>
    <w:rsid w:val="009034A5"/>
    <w:rsid w:val="00903799"/>
    <w:rsid w:val="009038DC"/>
    <w:rsid w:val="00903937"/>
    <w:rsid w:val="009039B6"/>
    <w:rsid w:val="00903B04"/>
    <w:rsid w:val="00903C02"/>
    <w:rsid w:val="00903CD1"/>
    <w:rsid w:val="00903D14"/>
    <w:rsid w:val="00903D7B"/>
    <w:rsid w:val="00903DC7"/>
    <w:rsid w:val="00903FDB"/>
    <w:rsid w:val="00904029"/>
    <w:rsid w:val="0090420C"/>
    <w:rsid w:val="00904382"/>
    <w:rsid w:val="009044C7"/>
    <w:rsid w:val="0090461A"/>
    <w:rsid w:val="00904709"/>
    <w:rsid w:val="009048BC"/>
    <w:rsid w:val="009048DB"/>
    <w:rsid w:val="00904920"/>
    <w:rsid w:val="009049BF"/>
    <w:rsid w:val="00904FB7"/>
    <w:rsid w:val="00905399"/>
    <w:rsid w:val="00905484"/>
    <w:rsid w:val="009054E3"/>
    <w:rsid w:val="00905738"/>
    <w:rsid w:val="00905B31"/>
    <w:rsid w:val="00905C8C"/>
    <w:rsid w:val="00906109"/>
    <w:rsid w:val="009061B7"/>
    <w:rsid w:val="009061BD"/>
    <w:rsid w:val="009063A0"/>
    <w:rsid w:val="009063CE"/>
    <w:rsid w:val="009063D9"/>
    <w:rsid w:val="00906927"/>
    <w:rsid w:val="00906CC1"/>
    <w:rsid w:val="00906F54"/>
    <w:rsid w:val="00906F7F"/>
    <w:rsid w:val="00907089"/>
    <w:rsid w:val="0090715B"/>
    <w:rsid w:val="0090743E"/>
    <w:rsid w:val="009075D2"/>
    <w:rsid w:val="00907601"/>
    <w:rsid w:val="00907625"/>
    <w:rsid w:val="0090778E"/>
    <w:rsid w:val="009077BB"/>
    <w:rsid w:val="009079B5"/>
    <w:rsid w:val="00907B69"/>
    <w:rsid w:val="00910122"/>
    <w:rsid w:val="0091016B"/>
    <w:rsid w:val="009106A9"/>
    <w:rsid w:val="0091085F"/>
    <w:rsid w:val="0091096A"/>
    <w:rsid w:val="00910A40"/>
    <w:rsid w:val="00910A84"/>
    <w:rsid w:val="00910AC2"/>
    <w:rsid w:val="00910B00"/>
    <w:rsid w:val="00910D94"/>
    <w:rsid w:val="00910E96"/>
    <w:rsid w:val="00910EC0"/>
    <w:rsid w:val="00911200"/>
    <w:rsid w:val="0091178C"/>
    <w:rsid w:val="009117F7"/>
    <w:rsid w:val="009118FC"/>
    <w:rsid w:val="0091196D"/>
    <w:rsid w:val="00911CC2"/>
    <w:rsid w:val="00911CC8"/>
    <w:rsid w:val="00911EE5"/>
    <w:rsid w:val="00911FE7"/>
    <w:rsid w:val="00912070"/>
    <w:rsid w:val="00912248"/>
    <w:rsid w:val="00912289"/>
    <w:rsid w:val="0091233A"/>
    <w:rsid w:val="00912468"/>
    <w:rsid w:val="009124FE"/>
    <w:rsid w:val="00912CE6"/>
    <w:rsid w:val="00912CE7"/>
    <w:rsid w:val="00912E3F"/>
    <w:rsid w:val="00913068"/>
    <w:rsid w:val="00913121"/>
    <w:rsid w:val="009134C1"/>
    <w:rsid w:val="00913715"/>
    <w:rsid w:val="009138CB"/>
    <w:rsid w:val="00913902"/>
    <w:rsid w:val="00913A5D"/>
    <w:rsid w:val="00913B72"/>
    <w:rsid w:val="00913C61"/>
    <w:rsid w:val="00913DB2"/>
    <w:rsid w:val="00913E83"/>
    <w:rsid w:val="00913FDF"/>
    <w:rsid w:val="0091428B"/>
    <w:rsid w:val="009142CD"/>
    <w:rsid w:val="009144ED"/>
    <w:rsid w:val="009147F1"/>
    <w:rsid w:val="00914A3C"/>
    <w:rsid w:val="00914C7F"/>
    <w:rsid w:val="00914E4A"/>
    <w:rsid w:val="00914F9D"/>
    <w:rsid w:val="0091501B"/>
    <w:rsid w:val="009150E3"/>
    <w:rsid w:val="00915224"/>
    <w:rsid w:val="00915AAD"/>
    <w:rsid w:val="00915BEB"/>
    <w:rsid w:val="00915C57"/>
    <w:rsid w:val="009164F6"/>
    <w:rsid w:val="00916577"/>
    <w:rsid w:val="00916599"/>
    <w:rsid w:val="00916683"/>
    <w:rsid w:val="00916765"/>
    <w:rsid w:val="00916BDD"/>
    <w:rsid w:val="00916DE1"/>
    <w:rsid w:val="00916F11"/>
    <w:rsid w:val="009172DA"/>
    <w:rsid w:val="00917756"/>
    <w:rsid w:val="009177DB"/>
    <w:rsid w:val="00917982"/>
    <w:rsid w:val="00917AC6"/>
    <w:rsid w:val="00917D76"/>
    <w:rsid w:val="00917DBE"/>
    <w:rsid w:val="00920154"/>
    <w:rsid w:val="0092015E"/>
    <w:rsid w:val="009203F9"/>
    <w:rsid w:val="00920726"/>
    <w:rsid w:val="00920A4C"/>
    <w:rsid w:val="00920BB9"/>
    <w:rsid w:val="00920BE4"/>
    <w:rsid w:val="00920C78"/>
    <w:rsid w:val="00921134"/>
    <w:rsid w:val="00921434"/>
    <w:rsid w:val="009214CC"/>
    <w:rsid w:val="00921AA4"/>
    <w:rsid w:val="00921DD6"/>
    <w:rsid w:val="00921E23"/>
    <w:rsid w:val="0092222A"/>
    <w:rsid w:val="00922525"/>
    <w:rsid w:val="0092253F"/>
    <w:rsid w:val="009226C9"/>
    <w:rsid w:val="00922805"/>
    <w:rsid w:val="00922DF2"/>
    <w:rsid w:val="00923134"/>
    <w:rsid w:val="00923336"/>
    <w:rsid w:val="009233C8"/>
    <w:rsid w:val="009235F7"/>
    <w:rsid w:val="00923731"/>
    <w:rsid w:val="009237FD"/>
    <w:rsid w:val="00923DDE"/>
    <w:rsid w:val="0092400D"/>
    <w:rsid w:val="00924234"/>
    <w:rsid w:val="00924237"/>
    <w:rsid w:val="00924300"/>
    <w:rsid w:val="00924474"/>
    <w:rsid w:val="0092478C"/>
    <w:rsid w:val="009251EC"/>
    <w:rsid w:val="00925498"/>
    <w:rsid w:val="00925526"/>
    <w:rsid w:val="00925ABE"/>
    <w:rsid w:val="00925C24"/>
    <w:rsid w:val="00925D63"/>
    <w:rsid w:val="0092607E"/>
    <w:rsid w:val="009261FF"/>
    <w:rsid w:val="00926BBC"/>
    <w:rsid w:val="0092707F"/>
    <w:rsid w:val="0092708F"/>
    <w:rsid w:val="00927383"/>
    <w:rsid w:val="0092751D"/>
    <w:rsid w:val="00927559"/>
    <w:rsid w:val="0092798E"/>
    <w:rsid w:val="00927CFC"/>
    <w:rsid w:val="00927E75"/>
    <w:rsid w:val="00927FEA"/>
    <w:rsid w:val="009300C8"/>
    <w:rsid w:val="0093026E"/>
    <w:rsid w:val="00930400"/>
    <w:rsid w:val="009308A1"/>
    <w:rsid w:val="009308AB"/>
    <w:rsid w:val="00931489"/>
    <w:rsid w:val="0093178A"/>
    <w:rsid w:val="00931A48"/>
    <w:rsid w:val="00931B4C"/>
    <w:rsid w:val="00931B5D"/>
    <w:rsid w:val="00931CA1"/>
    <w:rsid w:val="00931D22"/>
    <w:rsid w:val="00931DCE"/>
    <w:rsid w:val="00931E0B"/>
    <w:rsid w:val="00931E37"/>
    <w:rsid w:val="00931EE9"/>
    <w:rsid w:val="00931EEF"/>
    <w:rsid w:val="00931F34"/>
    <w:rsid w:val="00931FD9"/>
    <w:rsid w:val="00932132"/>
    <w:rsid w:val="00932309"/>
    <w:rsid w:val="00932652"/>
    <w:rsid w:val="009328BB"/>
    <w:rsid w:val="009328E0"/>
    <w:rsid w:val="00932AEA"/>
    <w:rsid w:val="00932BC3"/>
    <w:rsid w:val="00932EA6"/>
    <w:rsid w:val="009330F5"/>
    <w:rsid w:val="0093318B"/>
    <w:rsid w:val="00933403"/>
    <w:rsid w:val="009337DC"/>
    <w:rsid w:val="00934023"/>
    <w:rsid w:val="00934083"/>
    <w:rsid w:val="009344F7"/>
    <w:rsid w:val="0093452E"/>
    <w:rsid w:val="00934556"/>
    <w:rsid w:val="0093473F"/>
    <w:rsid w:val="0093487A"/>
    <w:rsid w:val="00934CC6"/>
    <w:rsid w:val="00934F92"/>
    <w:rsid w:val="00934FA1"/>
    <w:rsid w:val="00934FB1"/>
    <w:rsid w:val="0093522F"/>
    <w:rsid w:val="0093526B"/>
    <w:rsid w:val="0093535F"/>
    <w:rsid w:val="00935A2F"/>
    <w:rsid w:val="00936381"/>
    <w:rsid w:val="00936460"/>
    <w:rsid w:val="00936729"/>
    <w:rsid w:val="00936826"/>
    <w:rsid w:val="0093698E"/>
    <w:rsid w:val="009369C2"/>
    <w:rsid w:val="00936B87"/>
    <w:rsid w:val="00936DF5"/>
    <w:rsid w:val="00936DFA"/>
    <w:rsid w:val="00936E72"/>
    <w:rsid w:val="00937163"/>
    <w:rsid w:val="00937227"/>
    <w:rsid w:val="00937785"/>
    <w:rsid w:val="009377FF"/>
    <w:rsid w:val="00937856"/>
    <w:rsid w:val="00937942"/>
    <w:rsid w:val="00937A52"/>
    <w:rsid w:val="00937A7A"/>
    <w:rsid w:val="00937D31"/>
    <w:rsid w:val="00937DD2"/>
    <w:rsid w:val="00937E0E"/>
    <w:rsid w:val="00940347"/>
    <w:rsid w:val="009403B3"/>
    <w:rsid w:val="009403C9"/>
    <w:rsid w:val="009406D4"/>
    <w:rsid w:val="0094076E"/>
    <w:rsid w:val="00940805"/>
    <w:rsid w:val="00940A98"/>
    <w:rsid w:val="00940AFD"/>
    <w:rsid w:val="00940B17"/>
    <w:rsid w:val="00940BF7"/>
    <w:rsid w:val="00940D06"/>
    <w:rsid w:val="0094101A"/>
    <w:rsid w:val="00941043"/>
    <w:rsid w:val="00941131"/>
    <w:rsid w:val="00941266"/>
    <w:rsid w:val="009414F0"/>
    <w:rsid w:val="0094165C"/>
    <w:rsid w:val="00941723"/>
    <w:rsid w:val="0094191E"/>
    <w:rsid w:val="009419A0"/>
    <w:rsid w:val="00941DE9"/>
    <w:rsid w:val="00941EFA"/>
    <w:rsid w:val="00941F26"/>
    <w:rsid w:val="00941F89"/>
    <w:rsid w:val="009421C4"/>
    <w:rsid w:val="0094233B"/>
    <w:rsid w:val="00942435"/>
    <w:rsid w:val="009424BD"/>
    <w:rsid w:val="00942587"/>
    <w:rsid w:val="00942909"/>
    <w:rsid w:val="00942B56"/>
    <w:rsid w:val="00942CC8"/>
    <w:rsid w:val="00942E35"/>
    <w:rsid w:val="00943228"/>
    <w:rsid w:val="009432CB"/>
    <w:rsid w:val="0094376A"/>
    <w:rsid w:val="009437AC"/>
    <w:rsid w:val="009437B2"/>
    <w:rsid w:val="00943E13"/>
    <w:rsid w:val="00943FF5"/>
    <w:rsid w:val="00944A4E"/>
    <w:rsid w:val="00944D97"/>
    <w:rsid w:val="00944E37"/>
    <w:rsid w:val="00945067"/>
    <w:rsid w:val="00945212"/>
    <w:rsid w:val="00945389"/>
    <w:rsid w:val="00945406"/>
    <w:rsid w:val="00945540"/>
    <w:rsid w:val="00945661"/>
    <w:rsid w:val="00945711"/>
    <w:rsid w:val="009457A4"/>
    <w:rsid w:val="00945BB4"/>
    <w:rsid w:val="00945D48"/>
    <w:rsid w:val="00945E98"/>
    <w:rsid w:val="009461C4"/>
    <w:rsid w:val="0094621E"/>
    <w:rsid w:val="00946478"/>
    <w:rsid w:val="009464A9"/>
    <w:rsid w:val="009465D4"/>
    <w:rsid w:val="009469F8"/>
    <w:rsid w:val="00946A86"/>
    <w:rsid w:val="00946AD6"/>
    <w:rsid w:val="0094700D"/>
    <w:rsid w:val="00947489"/>
    <w:rsid w:val="009474AE"/>
    <w:rsid w:val="0094788A"/>
    <w:rsid w:val="0094795D"/>
    <w:rsid w:val="009501B3"/>
    <w:rsid w:val="00950473"/>
    <w:rsid w:val="009506F9"/>
    <w:rsid w:val="00950839"/>
    <w:rsid w:val="00950BC4"/>
    <w:rsid w:val="00950C97"/>
    <w:rsid w:val="00950D65"/>
    <w:rsid w:val="00950FB0"/>
    <w:rsid w:val="009511FB"/>
    <w:rsid w:val="009514C8"/>
    <w:rsid w:val="0095154B"/>
    <w:rsid w:val="00951617"/>
    <w:rsid w:val="00951A1F"/>
    <w:rsid w:val="00951C84"/>
    <w:rsid w:val="00951FE3"/>
    <w:rsid w:val="00952135"/>
    <w:rsid w:val="00952300"/>
    <w:rsid w:val="009523EA"/>
    <w:rsid w:val="009524F2"/>
    <w:rsid w:val="0095279D"/>
    <w:rsid w:val="0095293B"/>
    <w:rsid w:val="00952C33"/>
    <w:rsid w:val="00952E0C"/>
    <w:rsid w:val="0095356C"/>
    <w:rsid w:val="009537F4"/>
    <w:rsid w:val="00953B69"/>
    <w:rsid w:val="00953DA7"/>
    <w:rsid w:val="00953E12"/>
    <w:rsid w:val="0095406C"/>
    <w:rsid w:val="00954262"/>
    <w:rsid w:val="00954272"/>
    <w:rsid w:val="00954725"/>
    <w:rsid w:val="00954CF2"/>
    <w:rsid w:val="00954F11"/>
    <w:rsid w:val="00954FA0"/>
    <w:rsid w:val="0095557C"/>
    <w:rsid w:val="00955664"/>
    <w:rsid w:val="0095568A"/>
    <w:rsid w:val="00955698"/>
    <w:rsid w:val="00955A20"/>
    <w:rsid w:val="00955B28"/>
    <w:rsid w:val="00955B47"/>
    <w:rsid w:val="00955DD4"/>
    <w:rsid w:val="00955FB3"/>
    <w:rsid w:val="009561C8"/>
    <w:rsid w:val="00956223"/>
    <w:rsid w:val="00956311"/>
    <w:rsid w:val="009563C7"/>
    <w:rsid w:val="009565AC"/>
    <w:rsid w:val="00956652"/>
    <w:rsid w:val="00956809"/>
    <w:rsid w:val="00956AA9"/>
    <w:rsid w:val="00956D99"/>
    <w:rsid w:val="00956E6C"/>
    <w:rsid w:val="00956F96"/>
    <w:rsid w:val="0095703C"/>
    <w:rsid w:val="009571B1"/>
    <w:rsid w:val="009574A5"/>
    <w:rsid w:val="009576B7"/>
    <w:rsid w:val="009576FB"/>
    <w:rsid w:val="00957CFE"/>
    <w:rsid w:val="00957D69"/>
    <w:rsid w:val="00957ECE"/>
    <w:rsid w:val="00957F3B"/>
    <w:rsid w:val="00957F43"/>
    <w:rsid w:val="00957FDF"/>
    <w:rsid w:val="00960147"/>
    <w:rsid w:val="0096017F"/>
    <w:rsid w:val="009601EA"/>
    <w:rsid w:val="0096066D"/>
    <w:rsid w:val="0096085A"/>
    <w:rsid w:val="00960865"/>
    <w:rsid w:val="00960BBB"/>
    <w:rsid w:val="00960DAF"/>
    <w:rsid w:val="00960F4F"/>
    <w:rsid w:val="009610BB"/>
    <w:rsid w:val="009610D6"/>
    <w:rsid w:val="009611A0"/>
    <w:rsid w:val="009613B9"/>
    <w:rsid w:val="00961835"/>
    <w:rsid w:val="009618FC"/>
    <w:rsid w:val="00961F2A"/>
    <w:rsid w:val="00962218"/>
    <w:rsid w:val="0096241D"/>
    <w:rsid w:val="00962443"/>
    <w:rsid w:val="009627B5"/>
    <w:rsid w:val="00962C6B"/>
    <w:rsid w:val="00962CE5"/>
    <w:rsid w:val="00963000"/>
    <w:rsid w:val="0096329C"/>
    <w:rsid w:val="009634F4"/>
    <w:rsid w:val="00963A91"/>
    <w:rsid w:val="00963BC1"/>
    <w:rsid w:val="00963C0E"/>
    <w:rsid w:val="00963DB8"/>
    <w:rsid w:val="00963E09"/>
    <w:rsid w:val="00964177"/>
    <w:rsid w:val="0096418A"/>
    <w:rsid w:val="0096426C"/>
    <w:rsid w:val="009643DF"/>
    <w:rsid w:val="0096482F"/>
    <w:rsid w:val="009648FC"/>
    <w:rsid w:val="009648FD"/>
    <w:rsid w:val="00964947"/>
    <w:rsid w:val="00964B2F"/>
    <w:rsid w:val="00964B54"/>
    <w:rsid w:val="00964B62"/>
    <w:rsid w:val="00964ED5"/>
    <w:rsid w:val="00964F4B"/>
    <w:rsid w:val="00965066"/>
    <w:rsid w:val="00965589"/>
    <w:rsid w:val="009657B8"/>
    <w:rsid w:val="009657BA"/>
    <w:rsid w:val="009657FC"/>
    <w:rsid w:val="00965912"/>
    <w:rsid w:val="00965C96"/>
    <w:rsid w:val="00965DA7"/>
    <w:rsid w:val="00965DDE"/>
    <w:rsid w:val="00965E85"/>
    <w:rsid w:val="00965F5E"/>
    <w:rsid w:val="009664C7"/>
    <w:rsid w:val="0096687D"/>
    <w:rsid w:val="009668EF"/>
    <w:rsid w:val="0096697C"/>
    <w:rsid w:val="00966B5E"/>
    <w:rsid w:val="009670F2"/>
    <w:rsid w:val="009672EB"/>
    <w:rsid w:val="00967335"/>
    <w:rsid w:val="009673B7"/>
    <w:rsid w:val="0096740E"/>
    <w:rsid w:val="0096797C"/>
    <w:rsid w:val="00967A69"/>
    <w:rsid w:val="00967BFA"/>
    <w:rsid w:val="0097012D"/>
    <w:rsid w:val="00970301"/>
    <w:rsid w:val="0097052A"/>
    <w:rsid w:val="0097087E"/>
    <w:rsid w:val="00970A6B"/>
    <w:rsid w:val="00970AD9"/>
    <w:rsid w:val="00970B86"/>
    <w:rsid w:val="00970B90"/>
    <w:rsid w:val="00970C7A"/>
    <w:rsid w:val="00970EE0"/>
    <w:rsid w:val="00970FD0"/>
    <w:rsid w:val="00971014"/>
    <w:rsid w:val="00971351"/>
    <w:rsid w:val="009713ED"/>
    <w:rsid w:val="0097152D"/>
    <w:rsid w:val="00971B3B"/>
    <w:rsid w:val="00971C76"/>
    <w:rsid w:val="00971C8D"/>
    <w:rsid w:val="00971D1D"/>
    <w:rsid w:val="009722BF"/>
    <w:rsid w:val="00972470"/>
    <w:rsid w:val="009725C5"/>
    <w:rsid w:val="009726A0"/>
    <w:rsid w:val="009726C7"/>
    <w:rsid w:val="00972B34"/>
    <w:rsid w:val="00972BAE"/>
    <w:rsid w:val="00972D3C"/>
    <w:rsid w:val="00972E95"/>
    <w:rsid w:val="00972EF1"/>
    <w:rsid w:val="0097317A"/>
    <w:rsid w:val="009737B7"/>
    <w:rsid w:val="00973866"/>
    <w:rsid w:val="0097395A"/>
    <w:rsid w:val="00973CAA"/>
    <w:rsid w:val="00973CBC"/>
    <w:rsid w:val="00973EBC"/>
    <w:rsid w:val="00973F76"/>
    <w:rsid w:val="00974028"/>
    <w:rsid w:val="00974046"/>
    <w:rsid w:val="00974056"/>
    <w:rsid w:val="00974496"/>
    <w:rsid w:val="00974780"/>
    <w:rsid w:val="009747E5"/>
    <w:rsid w:val="00974AED"/>
    <w:rsid w:val="0097500B"/>
    <w:rsid w:val="00975078"/>
    <w:rsid w:val="0097510A"/>
    <w:rsid w:val="00975651"/>
    <w:rsid w:val="009759FC"/>
    <w:rsid w:val="00975A11"/>
    <w:rsid w:val="00975C8B"/>
    <w:rsid w:val="00976546"/>
    <w:rsid w:val="00976650"/>
    <w:rsid w:val="009766BE"/>
    <w:rsid w:val="00976772"/>
    <w:rsid w:val="0097687C"/>
    <w:rsid w:val="00976A7B"/>
    <w:rsid w:val="00976C50"/>
    <w:rsid w:val="00976C9F"/>
    <w:rsid w:val="00977285"/>
    <w:rsid w:val="0097756D"/>
    <w:rsid w:val="00977628"/>
    <w:rsid w:val="00977C62"/>
    <w:rsid w:val="00977E7E"/>
    <w:rsid w:val="00980149"/>
    <w:rsid w:val="009802C0"/>
    <w:rsid w:val="00980742"/>
    <w:rsid w:val="00980871"/>
    <w:rsid w:val="00980925"/>
    <w:rsid w:val="00980B38"/>
    <w:rsid w:val="00980CED"/>
    <w:rsid w:val="00980D24"/>
    <w:rsid w:val="00980D95"/>
    <w:rsid w:val="00980F5A"/>
    <w:rsid w:val="00981466"/>
    <w:rsid w:val="0098151C"/>
    <w:rsid w:val="009815A6"/>
    <w:rsid w:val="00981692"/>
    <w:rsid w:val="00981BB9"/>
    <w:rsid w:val="00981CB1"/>
    <w:rsid w:val="0098209C"/>
    <w:rsid w:val="009821CC"/>
    <w:rsid w:val="009821D8"/>
    <w:rsid w:val="009821DD"/>
    <w:rsid w:val="009826E2"/>
    <w:rsid w:val="00982B86"/>
    <w:rsid w:val="00982E22"/>
    <w:rsid w:val="00982F14"/>
    <w:rsid w:val="00982F41"/>
    <w:rsid w:val="0098316D"/>
    <w:rsid w:val="0098318C"/>
    <w:rsid w:val="009831B0"/>
    <w:rsid w:val="009832CF"/>
    <w:rsid w:val="0098337A"/>
    <w:rsid w:val="00983872"/>
    <w:rsid w:val="00983A00"/>
    <w:rsid w:val="00983AAF"/>
    <w:rsid w:val="00983B44"/>
    <w:rsid w:val="00983DE6"/>
    <w:rsid w:val="00983E40"/>
    <w:rsid w:val="00984093"/>
    <w:rsid w:val="009840A3"/>
    <w:rsid w:val="009841C5"/>
    <w:rsid w:val="009841FB"/>
    <w:rsid w:val="00984273"/>
    <w:rsid w:val="00984893"/>
    <w:rsid w:val="0098490E"/>
    <w:rsid w:val="00984B96"/>
    <w:rsid w:val="00984BEF"/>
    <w:rsid w:val="00984C15"/>
    <w:rsid w:val="00984C5A"/>
    <w:rsid w:val="00984D07"/>
    <w:rsid w:val="00984EF3"/>
    <w:rsid w:val="00985015"/>
    <w:rsid w:val="00985193"/>
    <w:rsid w:val="009853BE"/>
    <w:rsid w:val="0098543A"/>
    <w:rsid w:val="009854C1"/>
    <w:rsid w:val="0098560B"/>
    <w:rsid w:val="00985675"/>
    <w:rsid w:val="0098574B"/>
    <w:rsid w:val="009857FC"/>
    <w:rsid w:val="009858D0"/>
    <w:rsid w:val="00985E66"/>
    <w:rsid w:val="00986019"/>
    <w:rsid w:val="009861BC"/>
    <w:rsid w:val="00986210"/>
    <w:rsid w:val="00986607"/>
    <w:rsid w:val="009867EB"/>
    <w:rsid w:val="00986D40"/>
    <w:rsid w:val="00986DF2"/>
    <w:rsid w:val="0098711F"/>
    <w:rsid w:val="00987142"/>
    <w:rsid w:val="00987246"/>
    <w:rsid w:val="0098727C"/>
    <w:rsid w:val="00987349"/>
    <w:rsid w:val="009877E4"/>
    <w:rsid w:val="00987833"/>
    <w:rsid w:val="009878A0"/>
    <w:rsid w:val="00987AE2"/>
    <w:rsid w:val="00987C8A"/>
    <w:rsid w:val="00987E62"/>
    <w:rsid w:val="0099023C"/>
    <w:rsid w:val="0099055A"/>
    <w:rsid w:val="009907D5"/>
    <w:rsid w:val="009907D6"/>
    <w:rsid w:val="00990CFC"/>
    <w:rsid w:val="00990D52"/>
    <w:rsid w:val="00990FD2"/>
    <w:rsid w:val="0099169F"/>
    <w:rsid w:val="009916E2"/>
    <w:rsid w:val="0099196C"/>
    <w:rsid w:val="00991B6E"/>
    <w:rsid w:val="00991BB9"/>
    <w:rsid w:val="00991C2F"/>
    <w:rsid w:val="00991CA6"/>
    <w:rsid w:val="00991D37"/>
    <w:rsid w:val="00991E00"/>
    <w:rsid w:val="00991E30"/>
    <w:rsid w:val="00991EF6"/>
    <w:rsid w:val="00992881"/>
    <w:rsid w:val="00992959"/>
    <w:rsid w:val="00992A52"/>
    <w:rsid w:val="00992B24"/>
    <w:rsid w:val="00992D20"/>
    <w:rsid w:val="00992F2E"/>
    <w:rsid w:val="00993207"/>
    <w:rsid w:val="009934F3"/>
    <w:rsid w:val="0099354C"/>
    <w:rsid w:val="009937D3"/>
    <w:rsid w:val="0099380A"/>
    <w:rsid w:val="009939DE"/>
    <w:rsid w:val="00993B88"/>
    <w:rsid w:val="00993E9F"/>
    <w:rsid w:val="0099430D"/>
    <w:rsid w:val="009944C4"/>
    <w:rsid w:val="009944FB"/>
    <w:rsid w:val="00994595"/>
    <w:rsid w:val="00994616"/>
    <w:rsid w:val="00994B93"/>
    <w:rsid w:val="00994BB8"/>
    <w:rsid w:val="009950CC"/>
    <w:rsid w:val="00995168"/>
    <w:rsid w:val="00995491"/>
    <w:rsid w:val="0099558C"/>
    <w:rsid w:val="00995671"/>
    <w:rsid w:val="00996491"/>
    <w:rsid w:val="00996727"/>
    <w:rsid w:val="009969BD"/>
    <w:rsid w:val="00996A02"/>
    <w:rsid w:val="00996D71"/>
    <w:rsid w:val="00996F07"/>
    <w:rsid w:val="009971FB"/>
    <w:rsid w:val="0099732C"/>
    <w:rsid w:val="00997766"/>
    <w:rsid w:val="00997B4C"/>
    <w:rsid w:val="00997B68"/>
    <w:rsid w:val="00997B8D"/>
    <w:rsid w:val="00997DB6"/>
    <w:rsid w:val="00997EE9"/>
    <w:rsid w:val="00997F91"/>
    <w:rsid w:val="009A0031"/>
    <w:rsid w:val="009A055B"/>
    <w:rsid w:val="009A06EF"/>
    <w:rsid w:val="009A0938"/>
    <w:rsid w:val="009A0C27"/>
    <w:rsid w:val="009A0C78"/>
    <w:rsid w:val="009A0CB1"/>
    <w:rsid w:val="009A0EBC"/>
    <w:rsid w:val="009A16A7"/>
    <w:rsid w:val="009A1B20"/>
    <w:rsid w:val="009A1BD9"/>
    <w:rsid w:val="009A1EC8"/>
    <w:rsid w:val="009A2004"/>
    <w:rsid w:val="009A222C"/>
    <w:rsid w:val="009A22D6"/>
    <w:rsid w:val="009A2315"/>
    <w:rsid w:val="009A26A9"/>
    <w:rsid w:val="009A26B6"/>
    <w:rsid w:val="009A2860"/>
    <w:rsid w:val="009A2A5F"/>
    <w:rsid w:val="009A2D51"/>
    <w:rsid w:val="009A2ECF"/>
    <w:rsid w:val="009A3034"/>
    <w:rsid w:val="009A3048"/>
    <w:rsid w:val="009A37AC"/>
    <w:rsid w:val="009A38E6"/>
    <w:rsid w:val="009A39D2"/>
    <w:rsid w:val="009A3AF5"/>
    <w:rsid w:val="009A3BE9"/>
    <w:rsid w:val="009A3F51"/>
    <w:rsid w:val="009A3FC8"/>
    <w:rsid w:val="009A3FE4"/>
    <w:rsid w:val="009A40E1"/>
    <w:rsid w:val="009A42C3"/>
    <w:rsid w:val="009A4337"/>
    <w:rsid w:val="009A4484"/>
    <w:rsid w:val="009A448B"/>
    <w:rsid w:val="009A4558"/>
    <w:rsid w:val="009A4668"/>
    <w:rsid w:val="009A468E"/>
    <w:rsid w:val="009A46BB"/>
    <w:rsid w:val="009A4A95"/>
    <w:rsid w:val="009A4AEE"/>
    <w:rsid w:val="009A4B86"/>
    <w:rsid w:val="009A4DA8"/>
    <w:rsid w:val="009A5090"/>
    <w:rsid w:val="009A5142"/>
    <w:rsid w:val="009A51BA"/>
    <w:rsid w:val="009A5250"/>
    <w:rsid w:val="009A54A3"/>
    <w:rsid w:val="009A54F7"/>
    <w:rsid w:val="009A5579"/>
    <w:rsid w:val="009A5A84"/>
    <w:rsid w:val="009A5B0E"/>
    <w:rsid w:val="009A5B88"/>
    <w:rsid w:val="009A5BBB"/>
    <w:rsid w:val="009A6158"/>
    <w:rsid w:val="009A62C1"/>
    <w:rsid w:val="009A6534"/>
    <w:rsid w:val="009A6DAC"/>
    <w:rsid w:val="009A7096"/>
    <w:rsid w:val="009A7173"/>
    <w:rsid w:val="009A72B7"/>
    <w:rsid w:val="009A73B3"/>
    <w:rsid w:val="009A73EC"/>
    <w:rsid w:val="009A7447"/>
    <w:rsid w:val="009A7C12"/>
    <w:rsid w:val="009A7DE6"/>
    <w:rsid w:val="009B0091"/>
    <w:rsid w:val="009B02E9"/>
    <w:rsid w:val="009B043D"/>
    <w:rsid w:val="009B05E7"/>
    <w:rsid w:val="009B0A5C"/>
    <w:rsid w:val="009B0B22"/>
    <w:rsid w:val="009B0C24"/>
    <w:rsid w:val="009B0ED6"/>
    <w:rsid w:val="009B1118"/>
    <w:rsid w:val="009B1141"/>
    <w:rsid w:val="009B16C7"/>
    <w:rsid w:val="009B1739"/>
    <w:rsid w:val="009B17D9"/>
    <w:rsid w:val="009B2098"/>
    <w:rsid w:val="009B23D5"/>
    <w:rsid w:val="009B254E"/>
    <w:rsid w:val="009B259B"/>
    <w:rsid w:val="009B25C8"/>
    <w:rsid w:val="009B2719"/>
    <w:rsid w:val="009B2802"/>
    <w:rsid w:val="009B2CE3"/>
    <w:rsid w:val="009B2D58"/>
    <w:rsid w:val="009B33F4"/>
    <w:rsid w:val="009B344C"/>
    <w:rsid w:val="009B37CE"/>
    <w:rsid w:val="009B3827"/>
    <w:rsid w:val="009B3A3F"/>
    <w:rsid w:val="009B3A71"/>
    <w:rsid w:val="009B3CFA"/>
    <w:rsid w:val="009B3DDB"/>
    <w:rsid w:val="009B3DEE"/>
    <w:rsid w:val="009B3F21"/>
    <w:rsid w:val="009B3F88"/>
    <w:rsid w:val="009B409A"/>
    <w:rsid w:val="009B40B9"/>
    <w:rsid w:val="009B41C3"/>
    <w:rsid w:val="009B4326"/>
    <w:rsid w:val="009B4388"/>
    <w:rsid w:val="009B45DF"/>
    <w:rsid w:val="009B46E3"/>
    <w:rsid w:val="009B487F"/>
    <w:rsid w:val="009B4BC9"/>
    <w:rsid w:val="009B4BF6"/>
    <w:rsid w:val="009B4C4D"/>
    <w:rsid w:val="009B4CF6"/>
    <w:rsid w:val="009B4EC9"/>
    <w:rsid w:val="009B5010"/>
    <w:rsid w:val="009B5015"/>
    <w:rsid w:val="009B5312"/>
    <w:rsid w:val="009B54EF"/>
    <w:rsid w:val="009B5648"/>
    <w:rsid w:val="009B568A"/>
    <w:rsid w:val="009B57BF"/>
    <w:rsid w:val="009B5866"/>
    <w:rsid w:val="009B5901"/>
    <w:rsid w:val="009B59A9"/>
    <w:rsid w:val="009B59C2"/>
    <w:rsid w:val="009B59C8"/>
    <w:rsid w:val="009B59F4"/>
    <w:rsid w:val="009B5B47"/>
    <w:rsid w:val="009B5C2F"/>
    <w:rsid w:val="009B5D6A"/>
    <w:rsid w:val="009B5DA4"/>
    <w:rsid w:val="009B5F4E"/>
    <w:rsid w:val="009B6398"/>
    <w:rsid w:val="009B6A47"/>
    <w:rsid w:val="009B6B6F"/>
    <w:rsid w:val="009B6B8B"/>
    <w:rsid w:val="009B6D1E"/>
    <w:rsid w:val="009B6FC4"/>
    <w:rsid w:val="009B6FF0"/>
    <w:rsid w:val="009B72DC"/>
    <w:rsid w:val="009B7352"/>
    <w:rsid w:val="009B77DE"/>
    <w:rsid w:val="009B797E"/>
    <w:rsid w:val="009B79D1"/>
    <w:rsid w:val="009B7CB5"/>
    <w:rsid w:val="009B7E20"/>
    <w:rsid w:val="009B7E9D"/>
    <w:rsid w:val="009C0190"/>
    <w:rsid w:val="009C01DD"/>
    <w:rsid w:val="009C0461"/>
    <w:rsid w:val="009C0ABA"/>
    <w:rsid w:val="009C0DDB"/>
    <w:rsid w:val="009C1118"/>
    <w:rsid w:val="009C1153"/>
    <w:rsid w:val="009C117D"/>
    <w:rsid w:val="009C1263"/>
    <w:rsid w:val="009C17C5"/>
    <w:rsid w:val="009C1899"/>
    <w:rsid w:val="009C1D1E"/>
    <w:rsid w:val="009C1E17"/>
    <w:rsid w:val="009C1E51"/>
    <w:rsid w:val="009C2491"/>
    <w:rsid w:val="009C2734"/>
    <w:rsid w:val="009C290A"/>
    <w:rsid w:val="009C2C79"/>
    <w:rsid w:val="009C2D50"/>
    <w:rsid w:val="009C34E4"/>
    <w:rsid w:val="009C3C2E"/>
    <w:rsid w:val="009C4277"/>
    <w:rsid w:val="009C43CB"/>
    <w:rsid w:val="009C44D6"/>
    <w:rsid w:val="009C4576"/>
    <w:rsid w:val="009C46E8"/>
    <w:rsid w:val="009C472B"/>
    <w:rsid w:val="009C472D"/>
    <w:rsid w:val="009C488A"/>
    <w:rsid w:val="009C496C"/>
    <w:rsid w:val="009C4DFB"/>
    <w:rsid w:val="009C50F6"/>
    <w:rsid w:val="009C5BAE"/>
    <w:rsid w:val="009C5E35"/>
    <w:rsid w:val="009C5EDD"/>
    <w:rsid w:val="009C614C"/>
    <w:rsid w:val="009C684D"/>
    <w:rsid w:val="009C69DE"/>
    <w:rsid w:val="009C6A14"/>
    <w:rsid w:val="009C6A17"/>
    <w:rsid w:val="009C6EEC"/>
    <w:rsid w:val="009C72D5"/>
    <w:rsid w:val="009C7518"/>
    <w:rsid w:val="009C76E0"/>
    <w:rsid w:val="009C7BD9"/>
    <w:rsid w:val="009C7C84"/>
    <w:rsid w:val="009D0078"/>
    <w:rsid w:val="009D0398"/>
    <w:rsid w:val="009D03EE"/>
    <w:rsid w:val="009D08B1"/>
    <w:rsid w:val="009D0950"/>
    <w:rsid w:val="009D09B9"/>
    <w:rsid w:val="009D12C1"/>
    <w:rsid w:val="009D1346"/>
    <w:rsid w:val="009D13C9"/>
    <w:rsid w:val="009D13CA"/>
    <w:rsid w:val="009D18AB"/>
    <w:rsid w:val="009D18BE"/>
    <w:rsid w:val="009D18F1"/>
    <w:rsid w:val="009D1C0E"/>
    <w:rsid w:val="009D1D4E"/>
    <w:rsid w:val="009D1DD9"/>
    <w:rsid w:val="009D1DF9"/>
    <w:rsid w:val="009D1DFE"/>
    <w:rsid w:val="009D1EAD"/>
    <w:rsid w:val="009D1F0F"/>
    <w:rsid w:val="009D210F"/>
    <w:rsid w:val="009D2144"/>
    <w:rsid w:val="009D21EF"/>
    <w:rsid w:val="009D2208"/>
    <w:rsid w:val="009D2346"/>
    <w:rsid w:val="009D2392"/>
    <w:rsid w:val="009D2467"/>
    <w:rsid w:val="009D25E1"/>
    <w:rsid w:val="009D2664"/>
    <w:rsid w:val="009D2865"/>
    <w:rsid w:val="009D28C4"/>
    <w:rsid w:val="009D296F"/>
    <w:rsid w:val="009D2D20"/>
    <w:rsid w:val="009D2DC3"/>
    <w:rsid w:val="009D2FE8"/>
    <w:rsid w:val="009D3031"/>
    <w:rsid w:val="009D3135"/>
    <w:rsid w:val="009D333A"/>
    <w:rsid w:val="009D3489"/>
    <w:rsid w:val="009D374E"/>
    <w:rsid w:val="009D3757"/>
    <w:rsid w:val="009D39A5"/>
    <w:rsid w:val="009D3A1D"/>
    <w:rsid w:val="009D3C63"/>
    <w:rsid w:val="009D3CC5"/>
    <w:rsid w:val="009D3D38"/>
    <w:rsid w:val="009D3DC3"/>
    <w:rsid w:val="009D40EB"/>
    <w:rsid w:val="009D418E"/>
    <w:rsid w:val="009D43DF"/>
    <w:rsid w:val="009D4532"/>
    <w:rsid w:val="009D459C"/>
    <w:rsid w:val="009D47D5"/>
    <w:rsid w:val="009D4800"/>
    <w:rsid w:val="009D48E4"/>
    <w:rsid w:val="009D49AC"/>
    <w:rsid w:val="009D4CA3"/>
    <w:rsid w:val="009D4CC3"/>
    <w:rsid w:val="009D50EE"/>
    <w:rsid w:val="009D565E"/>
    <w:rsid w:val="009D58B1"/>
    <w:rsid w:val="009D591E"/>
    <w:rsid w:val="009D5B32"/>
    <w:rsid w:val="009D5B8E"/>
    <w:rsid w:val="009D5D74"/>
    <w:rsid w:val="009D60BB"/>
    <w:rsid w:val="009D6174"/>
    <w:rsid w:val="009D6298"/>
    <w:rsid w:val="009D666E"/>
    <w:rsid w:val="009D66A3"/>
    <w:rsid w:val="009D691E"/>
    <w:rsid w:val="009D6E08"/>
    <w:rsid w:val="009D6FCF"/>
    <w:rsid w:val="009D77E4"/>
    <w:rsid w:val="009D78DF"/>
    <w:rsid w:val="009D7949"/>
    <w:rsid w:val="009D7E9C"/>
    <w:rsid w:val="009E0152"/>
    <w:rsid w:val="009E03D7"/>
    <w:rsid w:val="009E0690"/>
    <w:rsid w:val="009E06C1"/>
    <w:rsid w:val="009E07DB"/>
    <w:rsid w:val="009E080C"/>
    <w:rsid w:val="009E08C3"/>
    <w:rsid w:val="009E0AB4"/>
    <w:rsid w:val="009E0AF5"/>
    <w:rsid w:val="009E0B2A"/>
    <w:rsid w:val="009E0F8A"/>
    <w:rsid w:val="009E10AC"/>
    <w:rsid w:val="009E10B0"/>
    <w:rsid w:val="009E1227"/>
    <w:rsid w:val="009E1625"/>
    <w:rsid w:val="009E1A99"/>
    <w:rsid w:val="009E1CEB"/>
    <w:rsid w:val="009E1EBE"/>
    <w:rsid w:val="009E257A"/>
    <w:rsid w:val="009E27A6"/>
    <w:rsid w:val="009E2824"/>
    <w:rsid w:val="009E2915"/>
    <w:rsid w:val="009E29E8"/>
    <w:rsid w:val="009E2B4D"/>
    <w:rsid w:val="009E2CC3"/>
    <w:rsid w:val="009E2DE7"/>
    <w:rsid w:val="009E2DF4"/>
    <w:rsid w:val="009E32F8"/>
    <w:rsid w:val="009E33D9"/>
    <w:rsid w:val="009E33F8"/>
    <w:rsid w:val="009E34E2"/>
    <w:rsid w:val="009E3816"/>
    <w:rsid w:val="009E38C9"/>
    <w:rsid w:val="009E3955"/>
    <w:rsid w:val="009E3C3A"/>
    <w:rsid w:val="009E3E9B"/>
    <w:rsid w:val="009E3FC1"/>
    <w:rsid w:val="009E4227"/>
    <w:rsid w:val="009E45A1"/>
    <w:rsid w:val="009E46C7"/>
    <w:rsid w:val="009E4A27"/>
    <w:rsid w:val="009E4B84"/>
    <w:rsid w:val="009E4C95"/>
    <w:rsid w:val="009E4F6F"/>
    <w:rsid w:val="009E55BB"/>
    <w:rsid w:val="009E562B"/>
    <w:rsid w:val="009E57FC"/>
    <w:rsid w:val="009E5800"/>
    <w:rsid w:val="009E5823"/>
    <w:rsid w:val="009E5D32"/>
    <w:rsid w:val="009E5D98"/>
    <w:rsid w:val="009E5E3D"/>
    <w:rsid w:val="009E6063"/>
    <w:rsid w:val="009E6444"/>
    <w:rsid w:val="009E680F"/>
    <w:rsid w:val="009E695D"/>
    <w:rsid w:val="009E6AA3"/>
    <w:rsid w:val="009E6B9F"/>
    <w:rsid w:val="009E7441"/>
    <w:rsid w:val="009E7694"/>
    <w:rsid w:val="009E77C2"/>
    <w:rsid w:val="009E7CEF"/>
    <w:rsid w:val="009E7DCC"/>
    <w:rsid w:val="009E7E02"/>
    <w:rsid w:val="009F014E"/>
    <w:rsid w:val="009F01C2"/>
    <w:rsid w:val="009F01F5"/>
    <w:rsid w:val="009F0493"/>
    <w:rsid w:val="009F109D"/>
    <w:rsid w:val="009F1363"/>
    <w:rsid w:val="009F145A"/>
    <w:rsid w:val="009F1677"/>
    <w:rsid w:val="009F17B8"/>
    <w:rsid w:val="009F18C5"/>
    <w:rsid w:val="009F1A31"/>
    <w:rsid w:val="009F1ABB"/>
    <w:rsid w:val="009F1BB9"/>
    <w:rsid w:val="009F1EA0"/>
    <w:rsid w:val="009F20B3"/>
    <w:rsid w:val="009F270E"/>
    <w:rsid w:val="009F2919"/>
    <w:rsid w:val="009F2A17"/>
    <w:rsid w:val="009F2E60"/>
    <w:rsid w:val="009F2E7D"/>
    <w:rsid w:val="009F2E8A"/>
    <w:rsid w:val="009F2F57"/>
    <w:rsid w:val="009F3577"/>
    <w:rsid w:val="009F35ED"/>
    <w:rsid w:val="009F36FA"/>
    <w:rsid w:val="009F3810"/>
    <w:rsid w:val="009F3850"/>
    <w:rsid w:val="009F39F1"/>
    <w:rsid w:val="009F3ADA"/>
    <w:rsid w:val="009F3E94"/>
    <w:rsid w:val="009F406C"/>
    <w:rsid w:val="009F40C4"/>
    <w:rsid w:val="009F41E7"/>
    <w:rsid w:val="009F43DD"/>
    <w:rsid w:val="009F44F9"/>
    <w:rsid w:val="009F48E0"/>
    <w:rsid w:val="009F4AE3"/>
    <w:rsid w:val="009F4BAC"/>
    <w:rsid w:val="009F4D70"/>
    <w:rsid w:val="009F4E07"/>
    <w:rsid w:val="009F5305"/>
    <w:rsid w:val="009F5390"/>
    <w:rsid w:val="009F554F"/>
    <w:rsid w:val="009F56AF"/>
    <w:rsid w:val="009F5709"/>
    <w:rsid w:val="009F5836"/>
    <w:rsid w:val="009F5B69"/>
    <w:rsid w:val="009F5BB2"/>
    <w:rsid w:val="009F5D00"/>
    <w:rsid w:val="009F5F3D"/>
    <w:rsid w:val="009F60BB"/>
    <w:rsid w:val="009F6254"/>
    <w:rsid w:val="009F6290"/>
    <w:rsid w:val="009F642F"/>
    <w:rsid w:val="009F682F"/>
    <w:rsid w:val="009F694B"/>
    <w:rsid w:val="009F6C44"/>
    <w:rsid w:val="009F6C64"/>
    <w:rsid w:val="009F6EE3"/>
    <w:rsid w:val="009F73EB"/>
    <w:rsid w:val="009F7705"/>
    <w:rsid w:val="009F7881"/>
    <w:rsid w:val="009F7A4C"/>
    <w:rsid w:val="009F7AD3"/>
    <w:rsid w:val="009F7C71"/>
    <w:rsid w:val="009F7F94"/>
    <w:rsid w:val="009F7FF1"/>
    <w:rsid w:val="00A00038"/>
    <w:rsid w:val="00A000CF"/>
    <w:rsid w:val="00A001B6"/>
    <w:rsid w:val="00A00271"/>
    <w:rsid w:val="00A002B9"/>
    <w:rsid w:val="00A0036C"/>
    <w:rsid w:val="00A003AB"/>
    <w:rsid w:val="00A0048E"/>
    <w:rsid w:val="00A00763"/>
    <w:rsid w:val="00A008A2"/>
    <w:rsid w:val="00A00D75"/>
    <w:rsid w:val="00A00E13"/>
    <w:rsid w:val="00A00FE4"/>
    <w:rsid w:val="00A00FF8"/>
    <w:rsid w:val="00A013C0"/>
    <w:rsid w:val="00A015BF"/>
    <w:rsid w:val="00A01665"/>
    <w:rsid w:val="00A01693"/>
    <w:rsid w:val="00A016A2"/>
    <w:rsid w:val="00A0172C"/>
    <w:rsid w:val="00A017DF"/>
    <w:rsid w:val="00A01949"/>
    <w:rsid w:val="00A01C18"/>
    <w:rsid w:val="00A01C8D"/>
    <w:rsid w:val="00A020E7"/>
    <w:rsid w:val="00A02D0E"/>
    <w:rsid w:val="00A02DB9"/>
    <w:rsid w:val="00A030BE"/>
    <w:rsid w:val="00A0320A"/>
    <w:rsid w:val="00A03223"/>
    <w:rsid w:val="00A03271"/>
    <w:rsid w:val="00A032D4"/>
    <w:rsid w:val="00A03362"/>
    <w:rsid w:val="00A035AA"/>
    <w:rsid w:val="00A037BA"/>
    <w:rsid w:val="00A03878"/>
    <w:rsid w:val="00A03891"/>
    <w:rsid w:val="00A03AB6"/>
    <w:rsid w:val="00A03CCE"/>
    <w:rsid w:val="00A04134"/>
    <w:rsid w:val="00A041FF"/>
    <w:rsid w:val="00A04268"/>
    <w:rsid w:val="00A0433A"/>
    <w:rsid w:val="00A043B3"/>
    <w:rsid w:val="00A04429"/>
    <w:rsid w:val="00A04736"/>
    <w:rsid w:val="00A0478B"/>
    <w:rsid w:val="00A048AA"/>
    <w:rsid w:val="00A049EC"/>
    <w:rsid w:val="00A049F2"/>
    <w:rsid w:val="00A04C20"/>
    <w:rsid w:val="00A04F7D"/>
    <w:rsid w:val="00A05989"/>
    <w:rsid w:val="00A05A40"/>
    <w:rsid w:val="00A05AF6"/>
    <w:rsid w:val="00A05D0E"/>
    <w:rsid w:val="00A05FF3"/>
    <w:rsid w:val="00A060C8"/>
    <w:rsid w:val="00A060F1"/>
    <w:rsid w:val="00A06344"/>
    <w:rsid w:val="00A0636E"/>
    <w:rsid w:val="00A066BB"/>
    <w:rsid w:val="00A066EA"/>
    <w:rsid w:val="00A06746"/>
    <w:rsid w:val="00A0693A"/>
    <w:rsid w:val="00A06A2E"/>
    <w:rsid w:val="00A06A39"/>
    <w:rsid w:val="00A06D6C"/>
    <w:rsid w:val="00A06D94"/>
    <w:rsid w:val="00A0714A"/>
    <w:rsid w:val="00A073EB"/>
    <w:rsid w:val="00A07479"/>
    <w:rsid w:val="00A07975"/>
    <w:rsid w:val="00A07D11"/>
    <w:rsid w:val="00A10031"/>
    <w:rsid w:val="00A102D8"/>
    <w:rsid w:val="00A10366"/>
    <w:rsid w:val="00A1049C"/>
    <w:rsid w:val="00A105B9"/>
    <w:rsid w:val="00A10796"/>
    <w:rsid w:val="00A10D4A"/>
    <w:rsid w:val="00A10DBC"/>
    <w:rsid w:val="00A10E39"/>
    <w:rsid w:val="00A10E9E"/>
    <w:rsid w:val="00A10EEE"/>
    <w:rsid w:val="00A11286"/>
    <w:rsid w:val="00A1191A"/>
    <w:rsid w:val="00A119FA"/>
    <w:rsid w:val="00A11AB9"/>
    <w:rsid w:val="00A11B4F"/>
    <w:rsid w:val="00A11D1B"/>
    <w:rsid w:val="00A11F5F"/>
    <w:rsid w:val="00A12298"/>
    <w:rsid w:val="00A122F3"/>
    <w:rsid w:val="00A123C8"/>
    <w:rsid w:val="00A124CB"/>
    <w:rsid w:val="00A12568"/>
    <w:rsid w:val="00A128A7"/>
    <w:rsid w:val="00A12CCD"/>
    <w:rsid w:val="00A12D34"/>
    <w:rsid w:val="00A12DA8"/>
    <w:rsid w:val="00A13032"/>
    <w:rsid w:val="00A13291"/>
    <w:rsid w:val="00A132C6"/>
    <w:rsid w:val="00A1352A"/>
    <w:rsid w:val="00A135E6"/>
    <w:rsid w:val="00A1363C"/>
    <w:rsid w:val="00A136AB"/>
    <w:rsid w:val="00A1388D"/>
    <w:rsid w:val="00A141F3"/>
    <w:rsid w:val="00A142B5"/>
    <w:rsid w:val="00A148C8"/>
    <w:rsid w:val="00A14AAB"/>
    <w:rsid w:val="00A15046"/>
    <w:rsid w:val="00A152EA"/>
    <w:rsid w:val="00A15653"/>
    <w:rsid w:val="00A1566A"/>
    <w:rsid w:val="00A158CA"/>
    <w:rsid w:val="00A15999"/>
    <w:rsid w:val="00A159BA"/>
    <w:rsid w:val="00A159BD"/>
    <w:rsid w:val="00A159CA"/>
    <w:rsid w:val="00A16179"/>
    <w:rsid w:val="00A1617D"/>
    <w:rsid w:val="00A16311"/>
    <w:rsid w:val="00A163D9"/>
    <w:rsid w:val="00A164C4"/>
    <w:rsid w:val="00A16565"/>
    <w:rsid w:val="00A16643"/>
    <w:rsid w:val="00A1667C"/>
    <w:rsid w:val="00A16859"/>
    <w:rsid w:val="00A16AE2"/>
    <w:rsid w:val="00A16DDB"/>
    <w:rsid w:val="00A17660"/>
    <w:rsid w:val="00A179BA"/>
    <w:rsid w:val="00A200CC"/>
    <w:rsid w:val="00A203F0"/>
    <w:rsid w:val="00A20673"/>
    <w:rsid w:val="00A20826"/>
    <w:rsid w:val="00A20A05"/>
    <w:rsid w:val="00A20AB8"/>
    <w:rsid w:val="00A20B38"/>
    <w:rsid w:val="00A20D2C"/>
    <w:rsid w:val="00A21226"/>
    <w:rsid w:val="00A21463"/>
    <w:rsid w:val="00A215F4"/>
    <w:rsid w:val="00A21744"/>
    <w:rsid w:val="00A2183A"/>
    <w:rsid w:val="00A218AB"/>
    <w:rsid w:val="00A218B1"/>
    <w:rsid w:val="00A2191A"/>
    <w:rsid w:val="00A2198D"/>
    <w:rsid w:val="00A21A72"/>
    <w:rsid w:val="00A21ACB"/>
    <w:rsid w:val="00A21DE1"/>
    <w:rsid w:val="00A221BB"/>
    <w:rsid w:val="00A223BA"/>
    <w:rsid w:val="00A2255C"/>
    <w:rsid w:val="00A22644"/>
    <w:rsid w:val="00A22AA0"/>
    <w:rsid w:val="00A22F45"/>
    <w:rsid w:val="00A23183"/>
    <w:rsid w:val="00A231CD"/>
    <w:rsid w:val="00A23308"/>
    <w:rsid w:val="00A23711"/>
    <w:rsid w:val="00A2377F"/>
    <w:rsid w:val="00A2382F"/>
    <w:rsid w:val="00A23AFF"/>
    <w:rsid w:val="00A23BE7"/>
    <w:rsid w:val="00A23DFD"/>
    <w:rsid w:val="00A23E15"/>
    <w:rsid w:val="00A23E30"/>
    <w:rsid w:val="00A23E92"/>
    <w:rsid w:val="00A2400F"/>
    <w:rsid w:val="00A245A8"/>
    <w:rsid w:val="00A24623"/>
    <w:rsid w:val="00A2470A"/>
    <w:rsid w:val="00A24761"/>
    <w:rsid w:val="00A24C99"/>
    <w:rsid w:val="00A24E4A"/>
    <w:rsid w:val="00A24ECC"/>
    <w:rsid w:val="00A251D9"/>
    <w:rsid w:val="00A253B5"/>
    <w:rsid w:val="00A253BE"/>
    <w:rsid w:val="00A25632"/>
    <w:rsid w:val="00A25667"/>
    <w:rsid w:val="00A259D9"/>
    <w:rsid w:val="00A25A06"/>
    <w:rsid w:val="00A25DE8"/>
    <w:rsid w:val="00A25E5B"/>
    <w:rsid w:val="00A25F5B"/>
    <w:rsid w:val="00A25F9E"/>
    <w:rsid w:val="00A2606F"/>
    <w:rsid w:val="00A26556"/>
    <w:rsid w:val="00A26569"/>
    <w:rsid w:val="00A265B6"/>
    <w:rsid w:val="00A269F8"/>
    <w:rsid w:val="00A26A28"/>
    <w:rsid w:val="00A26AFD"/>
    <w:rsid w:val="00A26C05"/>
    <w:rsid w:val="00A27069"/>
    <w:rsid w:val="00A27312"/>
    <w:rsid w:val="00A273BF"/>
    <w:rsid w:val="00A27485"/>
    <w:rsid w:val="00A27862"/>
    <w:rsid w:val="00A27B8D"/>
    <w:rsid w:val="00A27BDA"/>
    <w:rsid w:val="00A27C4D"/>
    <w:rsid w:val="00A27D3F"/>
    <w:rsid w:val="00A3013B"/>
    <w:rsid w:val="00A30303"/>
    <w:rsid w:val="00A30729"/>
    <w:rsid w:val="00A307D2"/>
    <w:rsid w:val="00A308EF"/>
    <w:rsid w:val="00A30AFA"/>
    <w:rsid w:val="00A30CEB"/>
    <w:rsid w:val="00A30DF4"/>
    <w:rsid w:val="00A30EF8"/>
    <w:rsid w:val="00A3106C"/>
    <w:rsid w:val="00A31170"/>
    <w:rsid w:val="00A311C3"/>
    <w:rsid w:val="00A3123A"/>
    <w:rsid w:val="00A3173E"/>
    <w:rsid w:val="00A317E1"/>
    <w:rsid w:val="00A31AD6"/>
    <w:rsid w:val="00A31DAF"/>
    <w:rsid w:val="00A31FE5"/>
    <w:rsid w:val="00A32326"/>
    <w:rsid w:val="00A3233C"/>
    <w:rsid w:val="00A32347"/>
    <w:rsid w:val="00A323DA"/>
    <w:rsid w:val="00A3249E"/>
    <w:rsid w:val="00A3279C"/>
    <w:rsid w:val="00A32B72"/>
    <w:rsid w:val="00A32BB4"/>
    <w:rsid w:val="00A32C5A"/>
    <w:rsid w:val="00A32F02"/>
    <w:rsid w:val="00A32F36"/>
    <w:rsid w:val="00A32FBC"/>
    <w:rsid w:val="00A33090"/>
    <w:rsid w:val="00A3317F"/>
    <w:rsid w:val="00A335B7"/>
    <w:rsid w:val="00A33807"/>
    <w:rsid w:val="00A33E69"/>
    <w:rsid w:val="00A340CB"/>
    <w:rsid w:val="00A3421A"/>
    <w:rsid w:val="00A3494D"/>
    <w:rsid w:val="00A35312"/>
    <w:rsid w:val="00A35449"/>
    <w:rsid w:val="00A354E6"/>
    <w:rsid w:val="00A3551B"/>
    <w:rsid w:val="00A35601"/>
    <w:rsid w:val="00A35672"/>
    <w:rsid w:val="00A35865"/>
    <w:rsid w:val="00A35A79"/>
    <w:rsid w:val="00A35BEF"/>
    <w:rsid w:val="00A35DD7"/>
    <w:rsid w:val="00A36533"/>
    <w:rsid w:val="00A36609"/>
    <w:rsid w:val="00A3660A"/>
    <w:rsid w:val="00A3686B"/>
    <w:rsid w:val="00A36959"/>
    <w:rsid w:val="00A36BD8"/>
    <w:rsid w:val="00A36F37"/>
    <w:rsid w:val="00A3710E"/>
    <w:rsid w:val="00A37591"/>
    <w:rsid w:val="00A379BA"/>
    <w:rsid w:val="00A37B8A"/>
    <w:rsid w:val="00A37C27"/>
    <w:rsid w:val="00A400D3"/>
    <w:rsid w:val="00A402F7"/>
    <w:rsid w:val="00A4057A"/>
    <w:rsid w:val="00A40789"/>
    <w:rsid w:val="00A40DC4"/>
    <w:rsid w:val="00A41005"/>
    <w:rsid w:val="00A41554"/>
    <w:rsid w:val="00A4194E"/>
    <w:rsid w:val="00A419D0"/>
    <w:rsid w:val="00A41C54"/>
    <w:rsid w:val="00A4228C"/>
    <w:rsid w:val="00A422A3"/>
    <w:rsid w:val="00A422DA"/>
    <w:rsid w:val="00A423D8"/>
    <w:rsid w:val="00A42825"/>
    <w:rsid w:val="00A42932"/>
    <w:rsid w:val="00A42947"/>
    <w:rsid w:val="00A42C1E"/>
    <w:rsid w:val="00A42E4E"/>
    <w:rsid w:val="00A43307"/>
    <w:rsid w:val="00A436FA"/>
    <w:rsid w:val="00A43815"/>
    <w:rsid w:val="00A43D40"/>
    <w:rsid w:val="00A43DF9"/>
    <w:rsid w:val="00A4424E"/>
    <w:rsid w:val="00A4428B"/>
    <w:rsid w:val="00A444EC"/>
    <w:rsid w:val="00A445F3"/>
    <w:rsid w:val="00A44735"/>
    <w:rsid w:val="00A448D5"/>
    <w:rsid w:val="00A4493A"/>
    <w:rsid w:val="00A44A3D"/>
    <w:rsid w:val="00A44B7A"/>
    <w:rsid w:val="00A44DA5"/>
    <w:rsid w:val="00A44F82"/>
    <w:rsid w:val="00A450B4"/>
    <w:rsid w:val="00A45277"/>
    <w:rsid w:val="00A452D8"/>
    <w:rsid w:val="00A452FF"/>
    <w:rsid w:val="00A4544D"/>
    <w:rsid w:val="00A4556E"/>
    <w:rsid w:val="00A4563E"/>
    <w:rsid w:val="00A45C16"/>
    <w:rsid w:val="00A466F0"/>
    <w:rsid w:val="00A467B6"/>
    <w:rsid w:val="00A467BA"/>
    <w:rsid w:val="00A469B0"/>
    <w:rsid w:val="00A46C23"/>
    <w:rsid w:val="00A46D6D"/>
    <w:rsid w:val="00A47066"/>
    <w:rsid w:val="00A470AF"/>
    <w:rsid w:val="00A476D4"/>
    <w:rsid w:val="00A478CF"/>
    <w:rsid w:val="00A47C54"/>
    <w:rsid w:val="00A47E55"/>
    <w:rsid w:val="00A47EF1"/>
    <w:rsid w:val="00A47FC0"/>
    <w:rsid w:val="00A5015E"/>
    <w:rsid w:val="00A50195"/>
    <w:rsid w:val="00A501AB"/>
    <w:rsid w:val="00A501C1"/>
    <w:rsid w:val="00A5084D"/>
    <w:rsid w:val="00A509D1"/>
    <w:rsid w:val="00A50EB0"/>
    <w:rsid w:val="00A50F0D"/>
    <w:rsid w:val="00A513BF"/>
    <w:rsid w:val="00A5172D"/>
    <w:rsid w:val="00A518A0"/>
    <w:rsid w:val="00A51CE1"/>
    <w:rsid w:val="00A51E61"/>
    <w:rsid w:val="00A520FA"/>
    <w:rsid w:val="00A5247E"/>
    <w:rsid w:val="00A524BD"/>
    <w:rsid w:val="00A52639"/>
    <w:rsid w:val="00A5286E"/>
    <w:rsid w:val="00A52908"/>
    <w:rsid w:val="00A529AD"/>
    <w:rsid w:val="00A52C1D"/>
    <w:rsid w:val="00A52E55"/>
    <w:rsid w:val="00A52E57"/>
    <w:rsid w:val="00A52EB2"/>
    <w:rsid w:val="00A534C7"/>
    <w:rsid w:val="00A534E4"/>
    <w:rsid w:val="00A53803"/>
    <w:rsid w:val="00A53A2C"/>
    <w:rsid w:val="00A542AC"/>
    <w:rsid w:val="00A543C1"/>
    <w:rsid w:val="00A54496"/>
    <w:rsid w:val="00A545F8"/>
    <w:rsid w:val="00A546E8"/>
    <w:rsid w:val="00A54730"/>
    <w:rsid w:val="00A549F4"/>
    <w:rsid w:val="00A54B23"/>
    <w:rsid w:val="00A54D53"/>
    <w:rsid w:val="00A54EE3"/>
    <w:rsid w:val="00A550A0"/>
    <w:rsid w:val="00A550FD"/>
    <w:rsid w:val="00A554C3"/>
    <w:rsid w:val="00A557FF"/>
    <w:rsid w:val="00A55913"/>
    <w:rsid w:val="00A5594E"/>
    <w:rsid w:val="00A55BF6"/>
    <w:rsid w:val="00A55CE0"/>
    <w:rsid w:val="00A55D2A"/>
    <w:rsid w:val="00A55E44"/>
    <w:rsid w:val="00A55EEF"/>
    <w:rsid w:val="00A56004"/>
    <w:rsid w:val="00A5617C"/>
    <w:rsid w:val="00A5639E"/>
    <w:rsid w:val="00A5684C"/>
    <w:rsid w:val="00A56871"/>
    <w:rsid w:val="00A56BDB"/>
    <w:rsid w:val="00A56C91"/>
    <w:rsid w:val="00A56CEA"/>
    <w:rsid w:val="00A56D3F"/>
    <w:rsid w:val="00A57040"/>
    <w:rsid w:val="00A57050"/>
    <w:rsid w:val="00A575F7"/>
    <w:rsid w:val="00A5762E"/>
    <w:rsid w:val="00A57859"/>
    <w:rsid w:val="00A57AB0"/>
    <w:rsid w:val="00A57BEF"/>
    <w:rsid w:val="00A57D36"/>
    <w:rsid w:val="00A57D64"/>
    <w:rsid w:val="00A57D65"/>
    <w:rsid w:val="00A57F17"/>
    <w:rsid w:val="00A57F44"/>
    <w:rsid w:val="00A6028E"/>
    <w:rsid w:val="00A602BB"/>
    <w:rsid w:val="00A60371"/>
    <w:rsid w:val="00A60479"/>
    <w:rsid w:val="00A60737"/>
    <w:rsid w:val="00A607E8"/>
    <w:rsid w:val="00A608DF"/>
    <w:rsid w:val="00A608EF"/>
    <w:rsid w:val="00A60AF0"/>
    <w:rsid w:val="00A60B82"/>
    <w:rsid w:val="00A60B8E"/>
    <w:rsid w:val="00A60DA3"/>
    <w:rsid w:val="00A61120"/>
    <w:rsid w:val="00A6113D"/>
    <w:rsid w:val="00A612D2"/>
    <w:rsid w:val="00A61660"/>
    <w:rsid w:val="00A61825"/>
    <w:rsid w:val="00A6188C"/>
    <w:rsid w:val="00A6195C"/>
    <w:rsid w:val="00A61BDD"/>
    <w:rsid w:val="00A61D74"/>
    <w:rsid w:val="00A61D9C"/>
    <w:rsid w:val="00A62203"/>
    <w:rsid w:val="00A62322"/>
    <w:rsid w:val="00A63050"/>
    <w:rsid w:val="00A633E3"/>
    <w:rsid w:val="00A635F0"/>
    <w:rsid w:val="00A63612"/>
    <w:rsid w:val="00A638B2"/>
    <w:rsid w:val="00A63B1A"/>
    <w:rsid w:val="00A63BEA"/>
    <w:rsid w:val="00A63E7F"/>
    <w:rsid w:val="00A63F55"/>
    <w:rsid w:val="00A64371"/>
    <w:rsid w:val="00A64392"/>
    <w:rsid w:val="00A64639"/>
    <w:rsid w:val="00A64866"/>
    <w:rsid w:val="00A649B3"/>
    <w:rsid w:val="00A64D1F"/>
    <w:rsid w:val="00A64D91"/>
    <w:rsid w:val="00A64E8A"/>
    <w:rsid w:val="00A65147"/>
    <w:rsid w:val="00A65558"/>
    <w:rsid w:val="00A6579C"/>
    <w:rsid w:val="00A6581A"/>
    <w:rsid w:val="00A65865"/>
    <w:rsid w:val="00A6597E"/>
    <w:rsid w:val="00A65E89"/>
    <w:rsid w:val="00A66007"/>
    <w:rsid w:val="00A660EE"/>
    <w:rsid w:val="00A661B9"/>
    <w:rsid w:val="00A66494"/>
    <w:rsid w:val="00A664C7"/>
    <w:rsid w:val="00A66805"/>
    <w:rsid w:val="00A66916"/>
    <w:rsid w:val="00A66949"/>
    <w:rsid w:val="00A66DAE"/>
    <w:rsid w:val="00A66E47"/>
    <w:rsid w:val="00A66E91"/>
    <w:rsid w:val="00A67093"/>
    <w:rsid w:val="00A67109"/>
    <w:rsid w:val="00A67215"/>
    <w:rsid w:val="00A672AF"/>
    <w:rsid w:val="00A67337"/>
    <w:rsid w:val="00A676DE"/>
    <w:rsid w:val="00A677E2"/>
    <w:rsid w:val="00A67AC0"/>
    <w:rsid w:val="00A67EFB"/>
    <w:rsid w:val="00A70552"/>
    <w:rsid w:val="00A70722"/>
    <w:rsid w:val="00A7091A"/>
    <w:rsid w:val="00A70A4F"/>
    <w:rsid w:val="00A70B19"/>
    <w:rsid w:val="00A70B4C"/>
    <w:rsid w:val="00A70CC8"/>
    <w:rsid w:val="00A70D37"/>
    <w:rsid w:val="00A70DE1"/>
    <w:rsid w:val="00A71105"/>
    <w:rsid w:val="00A7136B"/>
    <w:rsid w:val="00A71664"/>
    <w:rsid w:val="00A719F2"/>
    <w:rsid w:val="00A71E8A"/>
    <w:rsid w:val="00A71FFF"/>
    <w:rsid w:val="00A72081"/>
    <w:rsid w:val="00A72344"/>
    <w:rsid w:val="00A72395"/>
    <w:rsid w:val="00A7247B"/>
    <w:rsid w:val="00A728DE"/>
    <w:rsid w:val="00A7290B"/>
    <w:rsid w:val="00A72967"/>
    <w:rsid w:val="00A7297B"/>
    <w:rsid w:val="00A72BB9"/>
    <w:rsid w:val="00A72DB5"/>
    <w:rsid w:val="00A7316B"/>
    <w:rsid w:val="00A73266"/>
    <w:rsid w:val="00A73409"/>
    <w:rsid w:val="00A7368C"/>
    <w:rsid w:val="00A737BB"/>
    <w:rsid w:val="00A73952"/>
    <w:rsid w:val="00A739CA"/>
    <w:rsid w:val="00A73C46"/>
    <w:rsid w:val="00A73E91"/>
    <w:rsid w:val="00A73EA7"/>
    <w:rsid w:val="00A74799"/>
    <w:rsid w:val="00A749A6"/>
    <w:rsid w:val="00A74E3B"/>
    <w:rsid w:val="00A74E3E"/>
    <w:rsid w:val="00A75163"/>
    <w:rsid w:val="00A751A8"/>
    <w:rsid w:val="00A751E5"/>
    <w:rsid w:val="00A75244"/>
    <w:rsid w:val="00A75340"/>
    <w:rsid w:val="00A75541"/>
    <w:rsid w:val="00A75661"/>
    <w:rsid w:val="00A75714"/>
    <w:rsid w:val="00A75AF1"/>
    <w:rsid w:val="00A75E3F"/>
    <w:rsid w:val="00A75EB6"/>
    <w:rsid w:val="00A75EC1"/>
    <w:rsid w:val="00A76001"/>
    <w:rsid w:val="00A760D3"/>
    <w:rsid w:val="00A768AE"/>
    <w:rsid w:val="00A7692D"/>
    <w:rsid w:val="00A76A34"/>
    <w:rsid w:val="00A76C9E"/>
    <w:rsid w:val="00A771B2"/>
    <w:rsid w:val="00A77463"/>
    <w:rsid w:val="00A77572"/>
    <w:rsid w:val="00A77782"/>
    <w:rsid w:val="00A77895"/>
    <w:rsid w:val="00A77F34"/>
    <w:rsid w:val="00A80356"/>
    <w:rsid w:val="00A8037D"/>
    <w:rsid w:val="00A8038E"/>
    <w:rsid w:val="00A80493"/>
    <w:rsid w:val="00A80515"/>
    <w:rsid w:val="00A80583"/>
    <w:rsid w:val="00A80702"/>
    <w:rsid w:val="00A809E6"/>
    <w:rsid w:val="00A80A50"/>
    <w:rsid w:val="00A80B4F"/>
    <w:rsid w:val="00A80B9C"/>
    <w:rsid w:val="00A80DFE"/>
    <w:rsid w:val="00A8115A"/>
    <w:rsid w:val="00A816EC"/>
    <w:rsid w:val="00A81780"/>
    <w:rsid w:val="00A817AC"/>
    <w:rsid w:val="00A8188B"/>
    <w:rsid w:val="00A81BA3"/>
    <w:rsid w:val="00A821D9"/>
    <w:rsid w:val="00A82407"/>
    <w:rsid w:val="00A82418"/>
    <w:rsid w:val="00A82535"/>
    <w:rsid w:val="00A82689"/>
    <w:rsid w:val="00A826B4"/>
    <w:rsid w:val="00A827AE"/>
    <w:rsid w:val="00A8287A"/>
    <w:rsid w:val="00A82BA6"/>
    <w:rsid w:val="00A82C20"/>
    <w:rsid w:val="00A82C96"/>
    <w:rsid w:val="00A83322"/>
    <w:rsid w:val="00A83822"/>
    <w:rsid w:val="00A838BC"/>
    <w:rsid w:val="00A83923"/>
    <w:rsid w:val="00A83AF3"/>
    <w:rsid w:val="00A83DD4"/>
    <w:rsid w:val="00A84140"/>
    <w:rsid w:val="00A845EC"/>
    <w:rsid w:val="00A84A7C"/>
    <w:rsid w:val="00A84ACE"/>
    <w:rsid w:val="00A84FB7"/>
    <w:rsid w:val="00A85206"/>
    <w:rsid w:val="00A8564F"/>
    <w:rsid w:val="00A85743"/>
    <w:rsid w:val="00A85831"/>
    <w:rsid w:val="00A858B4"/>
    <w:rsid w:val="00A85A0A"/>
    <w:rsid w:val="00A8611B"/>
    <w:rsid w:val="00A86275"/>
    <w:rsid w:val="00A862ED"/>
    <w:rsid w:val="00A86681"/>
    <w:rsid w:val="00A867A0"/>
    <w:rsid w:val="00A868D7"/>
    <w:rsid w:val="00A8694B"/>
    <w:rsid w:val="00A86979"/>
    <w:rsid w:val="00A86BC3"/>
    <w:rsid w:val="00A86E4B"/>
    <w:rsid w:val="00A86FFB"/>
    <w:rsid w:val="00A87089"/>
    <w:rsid w:val="00A8729D"/>
    <w:rsid w:val="00A872F6"/>
    <w:rsid w:val="00A8755C"/>
    <w:rsid w:val="00A875E8"/>
    <w:rsid w:val="00A87858"/>
    <w:rsid w:val="00A8795F"/>
    <w:rsid w:val="00A879FD"/>
    <w:rsid w:val="00A87CD2"/>
    <w:rsid w:val="00A87D0A"/>
    <w:rsid w:val="00A90023"/>
    <w:rsid w:val="00A9004E"/>
    <w:rsid w:val="00A90534"/>
    <w:rsid w:val="00A9064D"/>
    <w:rsid w:val="00A906C1"/>
    <w:rsid w:val="00A9070F"/>
    <w:rsid w:val="00A907E6"/>
    <w:rsid w:val="00A90839"/>
    <w:rsid w:val="00A908A8"/>
    <w:rsid w:val="00A90E92"/>
    <w:rsid w:val="00A91071"/>
    <w:rsid w:val="00A91074"/>
    <w:rsid w:val="00A911A0"/>
    <w:rsid w:val="00A91616"/>
    <w:rsid w:val="00A9184D"/>
    <w:rsid w:val="00A91951"/>
    <w:rsid w:val="00A91C89"/>
    <w:rsid w:val="00A91D6B"/>
    <w:rsid w:val="00A91F26"/>
    <w:rsid w:val="00A926D0"/>
    <w:rsid w:val="00A929EA"/>
    <w:rsid w:val="00A92A06"/>
    <w:rsid w:val="00A92E85"/>
    <w:rsid w:val="00A92EC2"/>
    <w:rsid w:val="00A930D3"/>
    <w:rsid w:val="00A9316B"/>
    <w:rsid w:val="00A93806"/>
    <w:rsid w:val="00A93887"/>
    <w:rsid w:val="00A93A47"/>
    <w:rsid w:val="00A93A8B"/>
    <w:rsid w:val="00A93C6D"/>
    <w:rsid w:val="00A93CC2"/>
    <w:rsid w:val="00A93D4D"/>
    <w:rsid w:val="00A93E08"/>
    <w:rsid w:val="00A93E97"/>
    <w:rsid w:val="00A93F4A"/>
    <w:rsid w:val="00A94415"/>
    <w:rsid w:val="00A94518"/>
    <w:rsid w:val="00A94A9D"/>
    <w:rsid w:val="00A94B51"/>
    <w:rsid w:val="00A94C33"/>
    <w:rsid w:val="00A94C9B"/>
    <w:rsid w:val="00A95338"/>
    <w:rsid w:val="00A9536D"/>
    <w:rsid w:val="00A95454"/>
    <w:rsid w:val="00A955EE"/>
    <w:rsid w:val="00A95638"/>
    <w:rsid w:val="00A958E4"/>
    <w:rsid w:val="00A95938"/>
    <w:rsid w:val="00A95C1A"/>
    <w:rsid w:val="00A95CDB"/>
    <w:rsid w:val="00A95EF0"/>
    <w:rsid w:val="00A95EF5"/>
    <w:rsid w:val="00A96085"/>
    <w:rsid w:val="00A960F2"/>
    <w:rsid w:val="00A96F66"/>
    <w:rsid w:val="00A973F2"/>
    <w:rsid w:val="00A975FE"/>
    <w:rsid w:val="00A9771D"/>
    <w:rsid w:val="00A97874"/>
    <w:rsid w:val="00A97B50"/>
    <w:rsid w:val="00AA02E7"/>
    <w:rsid w:val="00AA0399"/>
    <w:rsid w:val="00AA0474"/>
    <w:rsid w:val="00AA065C"/>
    <w:rsid w:val="00AA06C7"/>
    <w:rsid w:val="00AA0AC0"/>
    <w:rsid w:val="00AA0B5A"/>
    <w:rsid w:val="00AA0BFC"/>
    <w:rsid w:val="00AA0C50"/>
    <w:rsid w:val="00AA0E6F"/>
    <w:rsid w:val="00AA13CF"/>
    <w:rsid w:val="00AA1497"/>
    <w:rsid w:val="00AA1A96"/>
    <w:rsid w:val="00AA1AE2"/>
    <w:rsid w:val="00AA1D5B"/>
    <w:rsid w:val="00AA2026"/>
    <w:rsid w:val="00AA2060"/>
    <w:rsid w:val="00AA2270"/>
    <w:rsid w:val="00AA260B"/>
    <w:rsid w:val="00AA2677"/>
    <w:rsid w:val="00AA2679"/>
    <w:rsid w:val="00AA271A"/>
    <w:rsid w:val="00AA27CC"/>
    <w:rsid w:val="00AA29DE"/>
    <w:rsid w:val="00AA2A8B"/>
    <w:rsid w:val="00AA2EF6"/>
    <w:rsid w:val="00AA3023"/>
    <w:rsid w:val="00AA305C"/>
    <w:rsid w:val="00AA319B"/>
    <w:rsid w:val="00AA39A5"/>
    <w:rsid w:val="00AA39E6"/>
    <w:rsid w:val="00AA3C49"/>
    <w:rsid w:val="00AA400B"/>
    <w:rsid w:val="00AA4365"/>
    <w:rsid w:val="00AA4705"/>
    <w:rsid w:val="00AA498E"/>
    <w:rsid w:val="00AA4AA8"/>
    <w:rsid w:val="00AA4E5A"/>
    <w:rsid w:val="00AA518A"/>
    <w:rsid w:val="00AA538C"/>
    <w:rsid w:val="00AA5458"/>
    <w:rsid w:val="00AA54A5"/>
    <w:rsid w:val="00AA5691"/>
    <w:rsid w:val="00AA56B8"/>
    <w:rsid w:val="00AA59F0"/>
    <w:rsid w:val="00AA5E04"/>
    <w:rsid w:val="00AA666B"/>
    <w:rsid w:val="00AA6A59"/>
    <w:rsid w:val="00AA6D10"/>
    <w:rsid w:val="00AA6E10"/>
    <w:rsid w:val="00AA72CA"/>
    <w:rsid w:val="00AA7321"/>
    <w:rsid w:val="00AA7477"/>
    <w:rsid w:val="00AA74EC"/>
    <w:rsid w:val="00AA7758"/>
    <w:rsid w:val="00AA783A"/>
    <w:rsid w:val="00AA7875"/>
    <w:rsid w:val="00AA7880"/>
    <w:rsid w:val="00AA78C2"/>
    <w:rsid w:val="00AA79AE"/>
    <w:rsid w:val="00AA7F16"/>
    <w:rsid w:val="00AB0069"/>
    <w:rsid w:val="00AB01CB"/>
    <w:rsid w:val="00AB022D"/>
    <w:rsid w:val="00AB029B"/>
    <w:rsid w:val="00AB0354"/>
    <w:rsid w:val="00AB0405"/>
    <w:rsid w:val="00AB0640"/>
    <w:rsid w:val="00AB07F2"/>
    <w:rsid w:val="00AB082C"/>
    <w:rsid w:val="00AB08BE"/>
    <w:rsid w:val="00AB09AD"/>
    <w:rsid w:val="00AB09F7"/>
    <w:rsid w:val="00AB0A5F"/>
    <w:rsid w:val="00AB0A8A"/>
    <w:rsid w:val="00AB0BC4"/>
    <w:rsid w:val="00AB0BDA"/>
    <w:rsid w:val="00AB0D28"/>
    <w:rsid w:val="00AB0DAE"/>
    <w:rsid w:val="00AB0FB6"/>
    <w:rsid w:val="00AB1077"/>
    <w:rsid w:val="00AB127C"/>
    <w:rsid w:val="00AB1316"/>
    <w:rsid w:val="00AB1517"/>
    <w:rsid w:val="00AB15C5"/>
    <w:rsid w:val="00AB23C5"/>
    <w:rsid w:val="00AB24B4"/>
    <w:rsid w:val="00AB275B"/>
    <w:rsid w:val="00AB2819"/>
    <w:rsid w:val="00AB2859"/>
    <w:rsid w:val="00AB29AE"/>
    <w:rsid w:val="00AB2FD5"/>
    <w:rsid w:val="00AB3011"/>
    <w:rsid w:val="00AB358B"/>
    <w:rsid w:val="00AB35BF"/>
    <w:rsid w:val="00AB364C"/>
    <w:rsid w:val="00AB3A14"/>
    <w:rsid w:val="00AB3A6F"/>
    <w:rsid w:val="00AB3A99"/>
    <w:rsid w:val="00AB3C0C"/>
    <w:rsid w:val="00AB3E0D"/>
    <w:rsid w:val="00AB40FD"/>
    <w:rsid w:val="00AB43E3"/>
    <w:rsid w:val="00AB46E6"/>
    <w:rsid w:val="00AB4789"/>
    <w:rsid w:val="00AB4BCC"/>
    <w:rsid w:val="00AB4BD2"/>
    <w:rsid w:val="00AB4EFA"/>
    <w:rsid w:val="00AB4F20"/>
    <w:rsid w:val="00AB5287"/>
    <w:rsid w:val="00AB5527"/>
    <w:rsid w:val="00AB5B21"/>
    <w:rsid w:val="00AB5C9A"/>
    <w:rsid w:val="00AB5CB7"/>
    <w:rsid w:val="00AB5F75"/>
    <w:rsid w:val="00AB5FC7"/>
    <w:rsid w:val="00AB61C4"/>
    <w:rsid w:val="00AB668B"/>
    <w:rsid w:val="00AB67B0"/>
    <w:rsid w:val="00AB6851"/>
    <w:rsid w:val="00AB6AE0"/>
    <w:rsid w:val="00AB6E58"/>
    <w:rsid w:val="00AB7065"/>
    <w:rsid w:val="00AB71EE"/>
    <w:rsid w:val="00AB7293"/>
    <w:rsid w:val="00AB7346"/>
    <w:rsid w:val="00AB73F3"/>
    <w:rsid w:val="00AB7609"/>
    <w:rsid w:val="00AB76B4"/>
    <w:rsid w:val="00AB778F"/>
    <w:rsid w:val="00AB7802"/>
    <w:rsid w:val="00AB79F1"/>
    <w:rsid w:val="00AB7ADC"/>
    <w:rsid w:val="00AB7AFB"/>
    <w:rsid w:val="00AB7E61"/>
    <w:rsid w:val="00AB7E95"/>
    <w:rsid w:val="00AB7FEB"/>
    <w:rsid w:val="00AC0016"/>
    <w:rsid w:val="00AC00EC"/>
    <w:rsid w:val="00AC081B"/>
    <w:rsid w:val="00AC0B28"/>
    <w:rsid w:val="00AC0D3A"/>
    <w:rsid w:val="00AC10B1"/>
    <w:rsid w:val="00AC11BB"/>
    <w:rsid w:val="00AC11BD"/>
    <w:rsid w:val="00AC1427"/>
    <w:rsid w:val="00AC147F"/>
    <w:rsid w:val="00AC15D7"/>
    <w:rsid w:val="00AC1666"/>
    <w:rsid w:val="00AC1682"/>
    <w:rsid w:val="00AC17FD"/>
    <w:rsid w:val="00AC1938"/>
    <w:rsid w:val="00AC1A91"/>
    <w:rsid w:val="00AC1B47"/>
    <w:rsid w:val="00AC1B98"/>
    <w:rsid w:val="00AC1DAE"/>
    <w:rsid w:val="00AC1DE3"/>
    <w:rsid w:val="00AC1EA3"/>
    <w:rsid w:val="00AC1F2C"/>
    <w:rsid w:val="00AC2346"/>
    <w:rsid w:val="00AC241F"/>
    <w:rsid w:val="00AC24D9"/>
    <w:rsid w:val="00AC28A5"/>
    <w:rsid w:val="00AC2D95"/>
    <w:rsid w:val="00AC2DA3"/>
    <w:rsid w:val="00AC2DB3"/>
    <w:rsid w:val="00AC3150"/>
    <w:rsid w:val="00AC361F"/>
    <w:rsid w:val="00AC3C42"/>
    <w:rsid w:val="00AC432B"/>
    <w:rsid w:val="00AC4814"/>
    <w:rsid w:val="00AC4D3F"/>
    <w:rsid w:val="00AC4D9D"/>
    <w:rsid w:val="00AC4F97"/>
    <w:rsid w:val="00AC5434"/>
    <w:rsid w:val="00AC5A71"/>
    <w:rsid w:val="00AC5DC1"/>
    <w:rsid w:val="00AC5F8A"/>
    <w:rsid w:val="00AC605A"/>
    <w:rsid w:val="00AC635E"/>
    <w:rsid w:val="00AC659F"/>
    <w:rsid w:val="00AC65AB"/>
    <w:rsid w:val="00AC69C8"/>
    <w:rsid w:val="00AC6D30"/>
    <w:rsid w:val="00AC6EAE"/>
    <w:rsid w:val="00AC6F7E"/>
    <w:rsid w:val="00AC7011"/>
    <w:rsid w:val="00AC751E"/>
    <w:rsid w:val="00AC784E"/>
    <w:rsid w:val="00AC7B46"/>
    <w:rsid w:val="00AC7E07"/>
    <w:rsid w:val="00AD000E"/>
    <w:rsid w:val="00AD004F"/>
    <w:rsid w:val="00AD0060"/>
    <w:rsid w:val="00AD0270"/>
    <w:rsid w:val="00AD04B9"/>
    <w:rsid w:val="00AD0705"/>
    <w:rsid w:val="00AD077E"/>
    <w:rsid w:val="00AD0811"/>
    <w:rsid w:val="00AD08C8"/>
    <w:rsid w:val="00AD094E"/>
    <w:rsid w:val="00AD0A0E"/>
    <w:rsid w:val="00AD0A16"/>
    <w:rsid w:val="00AD0FC7"/>
    <w:rsid w:val="00AD1012"/>
    <w:rsid w:val="00AD10B3"/>
    <w:rsid w:val="00AD10BD"/>
    <w:rsid w:val="00AD114B"/>
    <w:rsid w:val="00AD123F"/>
    <w:rsid w:val="00AD131A"/>
    <w:rsid w:val="00AD1337"/>
    <w:rsid w:val="00AD164C"/>
    <w:rsid w:val="00AD169A"/>
    <w:rsid w:val="00AD1971"/>
    <w:rsid w:val="00AD1A54"/>
    <w:rsid w:val="00AD1CD4"/>
    <w:rsid w:val="00AD1EB6"/>
    <w:rsid w:val="00AD1EEE"/>
    <w:rsid w:val="00AD2026"/>
    <w:rsid w:val="00AD2066"/>
    <w:rsid w:val="00AD2421"/>
    <w:rsid w:val="00AD24B3"/>
    <w:rsid w:val="00AD251C"/>
    <w:rsid w:val="00AD2BB3"/>
    <w:rsid w:val="00AD2E9E"/>
    <w:rsid w:val="00AD2EB3"/>
    <w:rsid w:val="00AD30E1"/>
    <w:rsid w:val="00AD356E"/>
    <w:rsid w:val="00AD389E"/>
    <w:rsid w:val="00AD3D39"/>
    <w:rsid w:val="00AD4666"/>
    <w:rsid w:val="00AD4750"/>
    <w:rsid w:val="00AD496E"/>
    <w:rsid w:val="00AD49E3"/>
    <w:rsid w:val="00AD4CB6"/>
    <w:rsid w:val="00AD5385"/>
    <w:rsid w:val="00AD5480"/>
    <w:rsid w:val="00AD5A00"/>
    <w:rsid w:val="00AD5B3D"/>
    <w:rsid w:val="00AD5B83"/>
    <w:rsid w:val="00AD5B84"/>
    <w:rsid w:val="00AD6042"/>
    <w:rsid w:val="00AD60A5"/>
    <w:rsid w:val="00AD6236"/>
    <w:rsid w:val="00AD6411"/>
    <w:rsid w:val="00AD651A"/>
    <w:rsid w:val="00AD6666"/>
    <w:rsid w:val="00AD679A"/>
    <w:rsid w:val="00AD68D6"/>
    <w:rsid w:val="00AD69B6"/>
    <w:rsid w:val="00AD6F78"/>
    <w:rsid w:val="00AD71A6"/>
    <w:rsid w:val="00AD71F3"/>
    <w:rsid w:val="00AD723B"/>
    <w:rsid w:val="00AD73FE"/>
    <w:rsid w:val="00AD75CF"/>
    <w:rsid w:val="00AD75F7"/>
    <w:rsid w:val="00AD794A"/>
    <w:rsid w:val="00AD7FD8"/>
    <w:rsid w:val="00AE028B"/>
    <w:rsid w:val="00AE03C9"/>
    <w:rsid w:val="00AE03E4"/>
    <w:rsid w:val="00AE0428"/>
    <w:rsid w:val="00AE0597"/>
    <w:rsid w:val="00AE05B8"/>
    <w:rsid w:val="00AE05F9"/>
    <w:rsid w:val="00AE0688"/>
    <w:rsid w:val="00AE06A4"/>
    <w:rsid w:val="00AE099F"/>
    <w:rsid w:val="00AE0A2C"/>
    <w:rsid w:val="00AE0A6B"/>
    <w:rsid w:val="00AE0E5B"/>
    <w:rsid w:val="00AE0F53"/>
    <w:rsid w:val="00AE1062"/>
    <w:rsid w:val="00AE1428"/>
    <w:rsid w:val="00AE142F"/>
    <w:rsid w:val="00AE1607"/>
    <w:rsid w:val="00AE1636"/>
    <w:rsid w:val="00AE18BD"/>
    <w:rsid w:val="00AE1A05"/>
    <w:rsid w:val="00AE1B5C"/>
    <w:rsid w:val="00AE1C7E"/>
    <w:rsid w:val="00AE1EA7"/>
    <w:rsid w:val="00AE210F"/>
    <w:rsid w:val="00AE2233"/>
    <w:rsid w:val="00AE27C0"/>
    <w:rsid w:val="00AE3023"/>
    <w:rsid w:val="00AE3094"/>
    <w:rsid w:val="00AE345E"/>
    <w:rsid w:val="00AE36EA"/>
    <w:rsid w:val="00AE374F"/>
    <w:rsid w:val="00AE3AE3"/>
    <w:rsid w:val="00AE3B39"/>
    <w:rsid w:val="00AE3B77"/>
    <w:rsid w:val="00AE3BB9"/>
    <w:rsid w:val="00AE3D4E"/>
    <w:rsid w:val="00AE3E69"/>
    <w:rsid w:val="00AE4115"/>
    <w:rsid w:val="00AE433A"/>
    <w:rsid w:val="00AE4351"/>
    <w:rsid w:val="00AE47B5"/>
    <w:rsid w:val="00AE47BA"/>
    <w:rsid w:val="00AE48F7"/>
    <w:rsid w:val="00AE4AA9"/>
    <w:rsid w:val="00AE4B2B"/>
    <w:rsid w:val="00AE4B79"/>
    <w:rsid w:val="00AE4BD2"/>
    <w:rsid w:val="00AE50C2"/>
    <w:rsid w:val="00AE563C"/>
    <w:rsid w:val="00AE5763"/>
    <w:rsid w:val="00AE5E69"/>
    <w:rsid w:val="00AE5EBC"/>
    <w:rsid w:val="00AE5F4B"/>
    <w:rsid w:val="00AE6444"/>
    <w:rsid w:val="00AE660E"/>
    <w:rsid w:val="00AE69C0"/>
    <w:rsid w:val="00AE6AE3"/>
    <w:rsid w:val="00AE6B92"/>
    <w:rsid w:val="00AE6BA9"/>
    <w:rsid w:val="00AE6E66"/>
    <w:rsid w:val="00AE6EB2"/>
    <w:rsid w:val="00AE6F48"/>
    <w:rsid w:val="00AE700F"/>
    <w:rsid w:val="00AE7230"/>
    <w:rsid w:val="00AE74BC"/>
    <w:rsid w:val="00AE74D2"/>
    <w:rsid w:val="00AE754C"/>
    <w:rsid w:val="00AE78FE"/>
    <w:rsid w:val="00AE7971"/>
    <w:rsid w:val="00AF00BC"/>
    <w:rsid w:val="00AF0123"/>
    <w:rsid w:val="00AF0452"/>
    <w:rsid w:val="00AF07F4"/>
    <w:rsid w:val="00AF0948"/>
    <w:rsid w:val="00AF0B76"/>
    <w:rsid w:val="00AF0D3C"/>
    <w:rsid w:val="00AF0DBD"/>
    <w:rsid w:val="00AF0E98"/>
    <w:rsid w:val="00AF0E9A"/>
    <w:rsid w:val="00AF10A1"/>
    <w:rsid w:val="00AF125C"/>
    <w:rsid w:val="00AF1411"/>
    <w:rsid w:val="00AF1414"/>
    <w:rsid w:val="00AF14EE"/>
    <w:rsid w:val="00AF1667"/>
    <w:rsid w:val="00AF1861"/>
    <w:rsid w:val="00AF187E"/>
    <w:rsid w:val="00AF190E"/>
    <w:rsid w:val="00AF1AFF"/>
    <w:rsid w:val="00AF1C52"/>
    <w:rsid w:val="00AF1D47"/>
    <w:rsid w:val="00AF1ED4"/>
    <w:rsid w:val="00AF1F6C"/>
    <w:rsid w:val="00AF208E"/>
    <w:rsid w:val="00AF2106"/>
    <w:rsid w:val="00AF21A9"/>
    <w:rsid w:val="00AF2283"/>
    <w:rsid w:val="00AF22CF"/>
    <w:rsid w:val="00AF2465"/>
    <w:rsid w:val="00AF2506"/>
    <w:rsid w:val="00AF2895"/>
    <w:rsid w:val="00AF28C8"/>
    <w:rsid w:val="00AF2990"/>
    <w:rsid w:val="00AF2BFE"/>
    <w:rsid w:val="00AF2C9D"/>
    <w:rsid w:val="00AF2CC0"/>
    <w:rsid w:val="00AF2CC5"/>
    <w:rsid w:val="00AF2F9C"/>
    <w:rsid w:val="00AF2FC6"/>
    <w:rsid w:val="00AF313E"/>
    <w:rsid w:val="00AF31AD"/>
    <w:rsid w:val="00AF3458"/>
    <w:rsid w:val="00AF353E"/>
    <w:rsid w:val="00AF3574"/>
    <w:rsid w:val="00AF36EE"/>
    <w:rsid w:val="00AF3A25"/>
    <w:rsid w:val="00AF3AF4"/>
    <w:rsid w:val="00AF3CAA"/>
    <w:rsid w:val="00AF40B9"/>
    <w:rsid w:val="00AF42AB"/>
    <w:rsid w:val="00AF43E2"/>
    <w:rsid w:val="00AF43E9"/>
    <w:rsid w:val="00AF449E"/>
    <w:rsid w:val="00AF4A4C"/>
    <w:rsid w:val="00AF4EC8"/>
    <w:rsid w:val="00AF4F44"/>
    <w:rsid w:val="00AF5206"/>
    <w:rsid w:val="00AF5581"/>
    <w:rsid w:val="00AF56D7"/>
    <w:rsid w:val="00AF59A2"/>
    <w:rsid w:val="00AF5ACC"/>
    <w:rsid w:val="00AF5C45"/>
    <w:rsid w:val="00AF5C64"/>
    <w:rsid w:val="00AF5CC9"/>
    <w:rsid w:val="00AF5E90"/>
    <w:rsid w:val="00AF60EA"/>
    <w:rsid w:val="00AF61C2"/>
    <w:rsid w:val="00AF63A8"/>
    <w:rsid w:val="00AF6546"/>
    <w:rsid w:val="00AF65CE"/>
    <w:rsid w:val="00AF66B5"/>
    <w:rsid w:val="00AF674C"/>
    <w:rsid w:val="00AF67C1"/>
    <w:rsid w:val="00AF684B"/>
    <w:rsid w:val="00AF6991"/>
    <w:rsid w:val="00AF6E5D"/>
    <w:rsid w:val="00AF6FD3"/>
    <w:rsid w:val="00AF7022"/>
    <w:rsid w:val="00AF7235"/>
    <w:rsid w:val="00AF78CB"/>
    <w:rsid w:val="00AF79D2"/>
    <w:rsid w:val="00AF7A86"/>
    <w:rsid w:val="00AF7C48"/>
    <w:rsid w:val="00AF7D9C"/>
    <w:rsid w:val="00AF7FC5"/>
    <w:rsid w:val="00B00287"/>
    <w:rsid w:val="00B002DD"/>
    <w:rsid w:val="00B003D3"/>
    <w:rsid w:val="00B0044E"/>
    <w:rsid w:val="00B00623"/>
    <w:rsid w:val="00B006AC"/>
    <w:rsid w:val="00B0091D"/>
    <w:rsid w:val="00B00A1A"/>
    <w:rsid w:val="00B00D28"/>
    <w:rsid w:val="00B00EEB"/>
    <w:rsid w:val="00B00F09"/>
    <w:rsid w:val="00B010EC"/>
    <w:rsid w:val="00B019CC"/>
    <w:rsid w:val="00B01C49"/>
    <w:rsid w:val="00B01C98"/>
    <w:rsid w:val="00B01D3A"/>
    <w:rsid w:val="00B01ED2"/>
    <w:rsid w:val="00B02060"/>
    <w:rsid w:val="00B02510"/>
    <w:rsid w:val="00B02576"/>
    <w:rsid w:val="00B02867"/>
    <w:rsid w:val="00B0291A"/>
    <w:rsid w:val="00B029EF"/>
    <w:rsid w:val="00B02B42"/>
    <w:rsid w:val="00B02DE9"/>
    <w:rsid w:val="00B030D9"/>
    <w:rsid w:val="00B03C85"/>
    <w:rsid w:val="00B03EAB"/>
    <w:rsid w:val="00B04288"/>
    <w:rsid w:val="00B042EF"/>
    <w:rsid w:val="00B0440B"/>
    <w:rsid w:val="00B04502"/>
    <w:rsid w:val="00B04552"/>
    <w:rsid w:val="00B04591"/>
    <w:rsid w:val="00B04677"/>
    <w:rsid w:val="00B04818"/>
    <w:rsid w:val="00B048E5"/>
    <w:rsid w:val="00B04931"/>
    <w:rsid w:val="00B04982"/>
    <w:rsid w:val="00B04A75"/>
    <w:rsid w:val="00B04AA4"/>
    <w:rsid w:val="00B04B35"/>
    <w:rsid w:val="00B04D7C"/>
    <w:rsid w:val="00B04D96"/>
    <w:rsid w:val="00B05039"/>
    <w:rsid w:val="00B05203"/>
    <w:rsid w:val="00B056B7"/>
    <w:rsid w:val="00B056E8"/>
    <w:rsid w:val="00B05B9E"/>
    <w:rsid w:val="00B05D93"/>
    <w:rsid w:val="00B05E18"/>
    <w:rsid w:val="00B05F53"/>
    <w:rsid w:val="00B05FCE"/>
    <w:rsid w:val="00B05FED"/>
    <w:rsid w:val="00B0600C"/>
    <w:rsid w:val="00B0616F"/>
    <w:rsid w:val="00B06263"/>
    <w:rsid w:val="00B0640E"/>
    <w:rsid w:val="00B06429"/>
    <w:rsid w:val="00B065BC"/>
    <w:rsid w:val="00B065C5"/>
    <w:rsid w:val="00B06655"/>
    <w:rsid w:val="00B06670"/>
    <w:rsid w:val="00B067EF"/>
    <w:rsid w:val="00B06882"/>
    <w:rsid w:val="00B068FA"/>
    <w:rsid w:val="00B06952"/>
    <w:rsid w:val="00B06CC7"/>
    <w:rsid w:val="00B06F4D"/>
    <w:rsid w:val="00B0709B"/>
    <w:rsid w:val="00B072C7"/>
    <w:rsid w:val="00B07387"/>
    <w:rsid w:val="00B07478"/>
    <w:rsid w:val="00B0758B"/>
    <w:rsid w:val="00B076CF"/>
    <w:rsid w:val="00B07709"/>
    <w:rsid w:val="00B077B3"/>
    <w:rsid w:val="00B07A7E"/>
    <w:rsid w:val="00B07BA0"/>
    <w:rsid w:val="00B102AA"/>
    <w:rsid w:val="00B102F0"/>
    <w:rsid w:val="00B10356"/>
    <w:rsid w:val="00B1051A"/>
    <w:rsid w:val="00B10817"/>
    <w:rsid w:val="00B1098A"/>
    <w:rsid w:val="00B10C04"/>
    <w:rsid w:val="00B10DA9"/>
    <w:rsid w:val="00B11048"/>
    <w:rsid w:val="00B11188"/>
    <w:rsid w:val="00B1124A"/>
    <w:rsid w:val="00B11496"/>
    <w:rsid w:val="00B11627"/>
    <w:rsid w:val="00B119B8"/>
    <w:rsid w:val="00B119C5"/>
    <w:rsid w:val="00B11A88"/>
    <w:rsid w:val="00B11CBC"/>
    <w:rsid w:val="00B123C9"/>
    <w:rsid w:val="00B124D7"/>
    <w:rsid w:val="00B1260C"/>
    <w:rsid w:val="00B126F2"/>
    <w:rsid w:val="00B12775"/>
    <w:rsid w:val="00B12838"/>
    <w:rsid w:val="00B12B01"/>
    <w:rsid w:val="00B12C4E"/>
    <w:rsid w:val="00B12CAC"/>
    <w:rsid w:val="00B12D32"/>
    <w:rsid w:val="00B13016"/>
    <w:rsid w:val="00B1302F"/>
    <w:rsid w:val="00B13048"/>
    <w:rsid w:val="00B1342B"/>
    <w:rsid w:val="00B13453"/>
    <w:rsid w:val="00B1380F"/>
    <w:rsid w:val="00B13940"/>
    <w:rsid w:val="00B139E9"/>
    <w:rsid w:val="00B13BF2"/>
    <w:rsid w:val="00B13C8A"/>
    <w:rsid w:val="00B13F12"/>
    <w:rsid w:val="00B142F4"/>
    <w:rsid w:val="00B14567"/>
    <w:rsid w:val="00B146B1"/>
    <w:rsid w:val="00B146C5"/>
    <w:rsid w:val="00B14AD4"/>
    <w:rsid w:val="00B14BC2"/>
    <w:rsid w:val="00B14D07"/>
    <w:rsid w:val="00B14DF5"/>
    <w:rsid w:val="00B14F2E"/>
    <w:rsid w:val="00B14FFE"/>
    <w:rsid w:val="00B1500D"/>
    <w:rsid w:val="00B1510E"/>
    <w:rsid w:val="00B15423"/>
    <w:rsid w:val="00B154D6"/>
    <w:rsid w:val="00B15676"/>
    <w:rsid w:val="00B158AE"/>
    <w:rsid w:val="00B15AC9"/>
    <w:rsid w:val="00B15B85"/>
    <w:rsid w:val="00B15C46"/>
    <w:rsid w:val="00B16389"/>
    <w:rsid w:val="00B1640F"/>
    <w:rsid w:val="00B1664B"/>
    <w:rsid w:val="00B1674F"/>
    <w:rsid w:val="00B16814"/>
    <w:rsid w:val="00B169BC"/>
    <w:rsid w:val="00B16B54"/>
    <w:rsid w:val="00B16C06"/>
    <w:rsid w:val="00B16F35"/>
    <w:rsid w:val="00B17053"/>
    <w:rsid w:val="00B171C4"/>
    <w:rsid w:val="00B17368"/>
    <w:rsid w:val="00B17A6F"/>
    <w:rsid w:val="00B17C30"/>
    <w:rsid w:val="00B17C40"/>
    <w:rsid w:val="00B17EEB"/>
    <w:rsid w:val="00B201A2"/>
    <w:rsid w:val="00B202E2"/>
    <w:rsid w:val="00B202F7"/>
    <w:rsid w:val="00B203FA"/>
    <w:rsid w:val="00B2042E"/>
    <w:rsid w:val="00B20531"/>
    <w:rsid w:val="00B2069A"/>
    <w:rsid w:val="00B209F9"/>
    <w:rsid w:val="00B20A28"/>
    <w:rsid w:val="00B211DF"/>
    <w:rsid w:val="00B2124B"/>
    <w:rsid w:val="00B21272"/>
    <w:rsid w:val="00B218C7"/>
    <w:rsid w:val="00B21998"/>
    <w:rsid w:val="00B22200"/>
    <w:rsid w:val="00B224CA"/>
    <w:rsid w:val="00B225FC"/>
    <w:rsid w:val="00B22A57"/>
    <w:rsid w:val="00B22F71"/>
    <w:rsid w:val="00B22FC1"/>
    <w:rsid w:val="00B23140"/>
    <w:rsid w:val="00B23166"/>
    <w:rsid w:val="00B232EF"/>
    <w:rsid w:val="00B23486"/>
    <w:rsid w:val="00B234CE"/>
    <w:rsid w:val="00B23582"/>
    <w:rsid w:val="00B235BF"/>
    <w:rsid w:val="00B23A1E"/>
    <w:rsid w:val="00B23B46"/>
    <w:rsid w:val="00B23D1F"/>
    <w:rsid w:val="00B2427C"/>
    <w:rsid w:val="00B243AB"/>
    <w:rsid w:val="00B24480"/>
    <w:rsid w:val="00B2448A"/>
    <w:rsid w:val="00B24642"/>
    <w:rsid w:val="00B247F0"/>
    <w:rsid w:val="00B247FB"/>
    <w:rsid w:val="00B24894"/>
    <w:rsid w:val="00B24F49"/>
    <w:rsid w:val="00B2501B"/>
    <w:rsid w:val="00B2513C"/>
    <w:rsid w:val="00B25158"/>
    <w:rsid w:val="00B25722"/>
    <w:rsid w:val="00B2580F"/>
    <w:rsid w:val="00B258C5"/>
    <w:rsid w:val="00B258EB"/>
    <w:rsid w:val="00B25B8C"/>
    <w:rsid w:val="00B25C69"/>
    <w:rsid w:val="00B25D2C"/>
    <w:rsid w:val="00B25E37"/>
    <w:rsid w:val="00B25F17"/>
    <w:rsid w:val="00B2604A"/>
    <w:rsid w:val="00B26177"/>
    <w:rsid w:val="00B262C6"/>
    <w:rsid w:val="00B2656B"/>
    <w:rsid w:val="00B26668"/>
    <w:rsid w:val="00B268E5"/>
    <w:rsid w:val="00B26D96"/>
    <w:rsid w:val="00B26F0A"/>
    <w:rsid w:val="00B2721F"/>
    <w:rsid w:val="00B27248"/>
    <w:rsid w:val="00B27304"/>
    <w:rsid w:val="00B27B23"/>
    <w:rsid w:val="00B27D66"/>
    <w:rsid w:val="00B27D79"/>
    <w:rsid w:val="00B27F25"/>
    <w:rsid w:val="00B30035"/>
    <w:rsid w:val="00B3012D"/>
    <w:rsid w:val="00B301EC"/>
    <w:rsid w:val="00B305B5"/>
    <w:rsid w:val="00B30A7A"/>
    <w:rsid w:val="00B30A8C"/>
    <w:rsid w:val="00B30B5B"/>
    <w:rsid w:val="00B30C1F"/>
    <w:rsid w:val="00B30CD8"/>
    <w:rsid w:val="00B30E57"/>
    <w:rsid w:val="00B30E61"/>
    <w:rsid w:val="00B310DB"/>
    <w:rsid w:val="00B311B4"/>
    <w:rsid w:val="00B31421"/>
    <w:rsid w:val="00B31AFB"/>
    <w:rsid w:val="00B31BD6"/>
    <w:rsid w:val="00B31E4B"/>
    <w:rsid w:val="00B31E99"/>
    <w:rsid w:val="00B31EB3"/>
    <w:rsid w:val="00B32388"/>
    <w:rsid w:val="00B323B5"/>
    <w:rsid w:val="00B32508"/>
    <w:rsid w:val="00B3269C"/>
    <w:rsid w:val="00B32AD4"/>
    <w:rsid w:val="00B32C88"/>
    <w:rsid w:val="00B32E11"/>
    <w:rsid w:val="00B33584"/>
    <w:rsid w:val="00B3374E"/>
    <w:rsid w:val="00B33A63"/>
    <w:rsid w:val="00B33B8A"/>
    <w:rsid w:val="00B33CD2"/>
    <w:rsid w:val="00B33EE2"/>
    <w:rsid w:val="00B33F0B"/>
    <w:rsid w:val="00B3429B"/>
    <w:rsid w:val="00B3437B"/>
    <w:rsid w:val="00B344F9"/>
    <w:rsid w:val="00B345CE"/>
    <w:rsid w:val="00B345D0"/>
    <w:rsid w:val="00B34701"/>
    <w:rsid w:val="00B348B6"/>
    <w:rsid w:val="00B34A15"/>
    <w:rsid w:val="00B34B3A"/>
    <w:rsid w:val="00B34F03"/>
    <w:rsid w:val="00B353E3"/>
    <w:rsid w:val="00B35699"/>
    <w:rsid w:val="00B35D63"/>
    <w:rsid w:val="00B35EDB"/>
    <w:rsid w:val="00B35F97"/>
    <w:rsid w:val="00B362FA"/>
    <w:rsid w:val="00B36342"/>
    <w:rsid w:val="00B36514"/>
    <w:rsid w:val="00B3663E"/>
    <w:rsid w:val="00B366F8"/>
    <w:rsid w:val="00B36ABA"/>
    <w:rsid w:val="00B36ADA"/>
    <w:rsid w:val="00B36DAA"/>
    <w:rsid w:val="00B3706C"/>
    <w:rsid w:val="00B3738E"/>
    <w:rsid w:val="00B373A9"/>
    <w:rsid w:val="00B37451"/>
    <w:rsid w:val="00B37454"/>
    <w:rsid w:val="00B376BA"/>
    <w:rsid w:val="00B376DF"/>
    <w:rsid w:val="00B377C5"/>
    <w:rsid w:val="00B377FB"/>
    <w:rsid w:val="00B3791F"/>
    <w:rsid w:val="00B37E91"/>
    <w:rsid w:val="00B40274"/>
    <w:rsid w:val="00B40908"/>
    <w:rsid w:val="00B409A9"/>
    <w:rsid w:val="00B40ABB"/>
    <w:rsid w:val="00B40B10"/>
    <w:rsid w:val="00B40EFE"/>
    <w:rsid w:val="00B4113C"/>
    <w:rsid w:val="00B4123F"/>
    <w:rsid w:val="00B4130E"/>
    <w:rsid w:val="00B4148A"/>
    <w:rsid w:val="00B414FC"/>
    <w:rsid w:val="00B41637"/>
    <w:rsid w:val="00B417EF"/>
    <w:rsid w:val="00B41AEF"/>
    <w:rsid w:val="00B41CEF"/>
    <w:rsid w:val="00B41DEF"/>
    <w:rsid w:val="00B423D0"/>
    <w:rsid w:val="00B42467"/>
    <w:rsid w:val="00B425CF"/>
    <w:rsid w:val="00B426A2"/>
    <w:rsid w:val="00B42A64"/>
    <w:rsid w:val="00B42DA2"/>
    <w:rsid w:val="00B42EC3"/>
    <w:rsid w:val="00B433DD"/>
    <w:rsid w:val="00B4349D"/>
    <w:rsid w:val="00B4363F"/>
    <w:rsid w:val="00B4388F"/>
    <w:rsid w:val="00B43929"/>
    <w:rsid w:val="00B4394F"/>
    <w:rsid w:val="00B4399C"/>
    <w:rsid w:val="00B43B87"/>
    <w:rsid w:val="00B43E74"/>
    <w:rsid w:val="00B43F48"/>
    <w:rsid w:val="00B441B0"/>
    <w:rsid w:val="00B4426B"/>
    <w:rsid w:val="00B4471F"/>
    <w:rsid w:val="00B44EE3"/>
    <w:rsid w:val="00B44F26"/>
    <w:rsid w:val="00B45096"/>
    <w:rsid w:val="00B452F2"/>
    <w:rsid w:val="00B454B8"/>
    <w:rsid w:val="00B45AA4"/>
    <w:rsid w:val="00B45AF4"/>
    <w:rsid w:val="00B45B3D"/>
    <w:rsid w:val="00B46054"/>
    <w:rsid w:val="00B46437"/>
    <w:rsid w:val="00B468FF"/>
    <w:rsid w:val="00B46925"/>
    <w:rsid w:val="00B46A05"/>
    <w:rsid w:val="00B46B9B"/>
    <w:rsid w:val="00B46F0B"/>
    <w:rsid w:val="00B47117"/>
    <w:rsid w:val="00B4712F"/>
    <w:rsid w:val="00B472E7"/>
    <w:rsid w:val="00B47435"/>
    <w:rsid w:val="00B476B5"/>
    <w:rsid w:val="00B478E9"/>
    <w:rsid w:val="00B479C8"/>
    <w:rsid w:val="00B47AA8"/>
    <w:rsid w:val="00B47B28"/>
    <w:rsid w:val="00B47E42"/>
    <w:rsid w:val="00B50039"/>
    <w:rsid w:val="00B50099"/>
    <w:rsid w:val="00B500D4"/>
    <w:rsid w:val="00B503BC"/>
    <w:rsid w:val="00B50400"/>
    <w:rsid w:val="00B504A3"/>
    <w:rsid w:val="00B505C6"/>
    <w:rsid w:val="00B507D3"/>
    <w:rsid w:val="00B509CA"/>
    <w:rsid w:val="00B50A23"/>
    <w:rsid w:val="00B50DC0"/>
    <w:rsid w:val="00B510DD"/>
    <w:rsid w:val="00B5119B"/>
    <w:rsid w:val="00B512DF"/>
    <w:rsid w:val="00B5152A"/>
    <w:rsid w:val="00B5163F"/>
    <w:rsid w:val="00B51883"/>
    <w:rsid w:val="00B518C1"/>
    <w:rsid w:val="00B51932"/>
    <w:rsid w:val="00B51A07"/>
    <w:rsid w:val="00B51D90"/>
    <w:rsid w:val="00B51D9F"/>
    <w:rsid w:val="00B51F73"/>
    <w:rsid w:val="00B52174"/>
    <w:rsid w:val="00B52B5C"/>
    <w:rsid w:val="00B5325C"/>
    <w:rsid w:val="00B53881"/>
    <w:rsid w:val="00B53C1C"/>
    <w:rsid w:val="00B54565"/>
    <w:rsid w:val="00B54761"/>
    <w:rsid w:val="00B549F8"/>
    <w:rsid w:val="00B54C73"/>
    <w:rsid w:val="00B552AD"/>
    <w:rsid w:val="00B5539D"/>
    <w:rsid w:val="00B5570C"/>
    <w:rsid w:val="00B5571A"/>
    <w:rsid w:val="00B55A84"/>
    <w:rsid w:val="00B55C23"/>
    <w:rsid w:val="00B55DAE"/>
    <w:rsid w:val="00B55DE4"/>
    <w:rsid w:val="00B55E74"/>
    <w:rsid w:val="00B55F40"/>
    <w:rsid w:val="00B55F8B"/>
    <w:rsid w:val="00B55FD1"/>
    <w:rsid w:val="00B562C3"/>
    <w:rsid w:val="00B564DC"/>
    <w:rsid w:val="00B56513"/>
    <w:rsid w:val="00B56661"/>
    <w:rsid w:val="00B567E0"/>
    <w:rsid w:val="00B56886"/>
    <w:rsid w:val="00B56917"/>
    <w:rsid w:val="00B56A9A"/>
    <w:rsid w:val="00B56C21"/>
    <w:rsid w:val="00B56C68"/>
    <w:rsid w:val="00B56DC4"/>
    <w:rsid w:val="00B56DD3"/>
    <w:rsid w:val="00B570B4"/>
    <w:rsid w:val="00B5767F"/>
    <w:rsid w:val="00B578B3"/>
    <w:rsid w:val="00B579F1"/>
    <w:rsid w:val="00B57C05"/>
    <w:rsid w:val="00B57D6E"/>
    <w:rsid w:val="00B57E39"/>
    <w:rsid w:val="00B57EAB"/>
    <w:rsid w:val="00B600BD"/>
    <w:rsid w:val="00B603F3"/>
    <w:rsid w:val="00B6108C"/>
    <w:rsid w:val="00B61105"/>
    <w:rsid w:val="00B611C6"/>
    <w:rsid w:val="00B61218"/>
    <w:rsid w:val="00B612B7"/>
    <w:rsid w:val="00B6158C"/>
    <w:rsid w:val="00B6173B"/>
    <w:rsid w:val="00B617F7"/>
    <w:rsid w:val="00B6199E"/>
    <w:rsid w:val="00B61A0D"/>
    <w:rsid w:val="00B61B0B"/>
    <w:rsid w:val="00B61C0B"/>
    <w:rsid w:val="00B61CE4"/>
    <w:rsid w:val="00B61D49"/>
    <w:rsid w:val="00B61EEB"/>
    <w:rsid w:val="00B61FC6"/>
    <w:rsid w:val="00B623FB"/>
    <w:rsid w:val="00B62506"/>
    <w:rsid w:val="00B62562"/>
    <w:rsid w:val="00B62742"/>
    <w:rsid w:val="00B62DA1"/>
    <w:rsid w:val="00B62DFB"/>
    <w:rsid w:val="00B62FEB"/>
    <w:rsid w:val="00B63500"/>
    <w:rsid w:val="00B638D2"/>
    <w:rsid w:val="00B63987"/>
    <w:rsid w:val="00B63A6A"/>
    <w:rsid w:val="00B63D7D"/>
    <w:rsid w:val="00B64210"/>
    <w:rsid w:val="00B643A8"/>
    <w:rsid w:val="00B646A0"/>
    <w:rsid w:val="00B646E9"/>
    <w:rsid w:val="00B64732"/>
    <w:rsid w:val="00B647AB"/>
    <w:rsid w:val="00B6488A"/>
    <w:rsid w:val="00B64B70"/>
    <w:rsid w:val="00B64D99"/>
    <w:rsid w:val="00B652D4"/>
    <w:rsid w:val="00B655B0"/>
    <w:rsid w:val="00B65630"/>
    <w:rsid w:val="00B65828"/>
    <w:rsid w:val="00B6598F"/>
    <w:rsid w:val="00B65A9B"/>
    <w:rsid w:val="00B65CCB"/>
    <w:rsid w:val="00B65CDA"/>
    <w:rsid w:val="00B65FA9"/>
    <w:rsid w:val="00B66203"/>
    <w:rsid w:val="00B663E2"/>
    <w:rsid w:val="00B66425"/>
    <w:rsid w:val="00B669FA"/>
    <w:rsid w:val="00B66C39"/>
    <w:rsid w:val="00B66CD9"/>
    <w:rsid w:val="00B66CFF"/>
    <w:rsid w:val="00B66F48"/>
    <w:rsid w:val="00B66FD4"/>
    <w:rsid w:val="00B6726B"/>
    <w:rsid w:val="00B67559"/>
    <w:rsid w:val="00B67574"/>
    <w:rsid w:val="00B676E4"/>
    <w:rsid w:val="00B67A07"/>
    <w:rsid w:val="00B67C0C"/>
    <w:rsid w:val="00B67C3E"/>
    <w:rsid w:val="00B67C9B"/>
    <w:rsid w:val="00B67DF7"/>
    <w:rsid w:val="00B67F56"/>
    <w:rsid w:val="00B700C8"/>
    <w:rsid w:val="00B7025D"/>
    <w:rsid w:val="00B7060E"/>
    <w:rsid w:val="00B7078F"/>
    <w:rsid w:val="00B70AC9"/>
    <w:rsid w:val="00B70C3F"/>
    <w:rsid w:val="00B70CD7"/>
    <w:rsid w:val="00B71022"/>
    <w:rsid w:val="00B7138A"/>
    <w:rsid w:val="00B71484"/>
    <w:rsid w:val="00B7159A"/>
    <w:rsid w:val="00B71B6B"/>
    <w:rsid w:val="00B71D51"/>
    <w:rsid w:val="00B724DF"/>
    <w:rsid w:val="00B72936"/>
    <w:rsid w:val="00B72E43"/>
    <w:rsid w:val="00B72E69"/>
    <w:rsid w:val="00B72ED6"/>
    <w:rsid w:val="00B72F22"/>
    <w:rsid w:val="00B73736"/>
    <w:rsid w:val="00B737AD"/>
    <w:rsid w:val="00B73882"/>
    <w:rsid w:val="00B738E8"/>
    <w:rsid w:val="00B73AE4"/>
    <w:rsid w:val="00B73AFA"/>
    <w:rsid w:val="00B74497"/>
    <w:rsid w:val="00B74550"/>
    <w:rsid w:val="00B74659"/>
    <w:rsid w:val="00B7467E"/>
    <w:rsid w:val="00B746D9"/>
    <w:rsid w:val="00B74801"/>
    <w:rsid w:val="00B74864"/>
    <w:rsid w:val="00B74AA4"/>
    <w:rsid w:val="00B74DFB"/>
    <w:rsid w:val="00B74F1A"/>
    <w:rsid w:val="00B7592D"/>
    <w:rsid w:val="00B75D6F"/>
    <w:rsid w:val="00B75E85"/>
    <w:rsid w:val="00B75EDB"/>
    <w:rsid w:val="00B75F8F"/>
    <w:rsid w:val="00B761D6"/>
    <w:rsid w:val="00B766CE"/>
    <w:rsid w:val="00B76CD1"/>
    <w:rsid w:val="00B77088"/>
    <w:rsid w:val="00B7711F"/>
    <w:rsid w:val="00B774A4"/>
    <w:rsid w:val="00B778AC"/>
    <w:rsid w:val="00B77D5F"/>
    <w:rsid w:val="00B77F41"/>
    <w:rsid w:val="00B77F61"/>
    <w:rsid w:val="00B80289"/>
    <w:rsid w:val="00B802D1"/>
    <w:rsid w:val="00B802FE"/>
    <w:rsid w:val="00B80542"/>
    <w:rsid w:val="00B806F8"/>
    <w:rsid w:val="00B80721"/>
    <w:rsid w:val="00B8096C"/>
    <w:rsid w:val="00B80BF8"/>
    <w:rsid w:val="00B80E99"/>
    <w:rsid w:val="00B8108F"/>
    <w:rsid w:val="00B810C9"/>
    <w:rsid w:val="00B81258"/>
    <w:rsid w:val="00B8128C"/>
    <w:rsid w:val="00B812A2"/>
    <w:rsid w:val="00B812C7"/>
    <w:rsid w:val="00B8183A"/>
    <w:rsid w:val="00B8186C"/>
    <w:rsid w:val="00B81C50"/>
    <w:rsid w:val="00B81E73"/>
    <w:rsid w:val="00B81E86"/>
    <w:rsid w:val="00B81F05"/>
    <w:rsid w:val="00B82000"/>
    <w:rsid w:val="00B820D5"/>
    <w:rsid w:val="00B82276"/>
    <w:rsid w:val="00B82334"/>
    <w:rsid w:val="00B82606"/>
    <w:rsid w:val="00B826BB"/>
    <w:rsid w:val="00B826DD"/>
    <w:rsid w:val="00B82700"/>
    <w:rsid w:val="00B82BED"/>
    <w:rsid w:val="00B83019"/>
    <w:rsid w:val="00B83243"/>
    <w:rsid w:val="00B834D9"/>
    <w:rsid w:val="00B836DC"/>
    <w:rsid w:val="00B83B0E"/>
    <w:rsid w:val="00B83B34"/>
    <w:rsid w:val="00B83E63"/>
    <w:rsid w:val="00B83F81"/>
    <w:rsid w:val="00B8402F"/>
    <w:rsid w:val="00B84555"/>
    <w:rsid w:val="00B84AA0"/>
    <w:rsid w:val="00B84CB7"/>
    <w:rsid w:val="00B84D7B"/>
    <w:rsid w:val="00B84DCE"/>
    <w:rsid w:val="00B84E82"/>
    <w:rsid w:val="00B85024"/>
    <w:rsid w:val="00B85079"/>
    <w:rsid w:val="00B8535C"/>
    <w:rsid w:val="00B857EF"/>
    <w:rsid w:val="00B85942"/>
    <w:rsid w:val="00B85C74"/>
    <w:rsid w:val="00B85CA8"/>
    <w:rsid w:val="00B861EC"/>
    <w:rsid w:val="00B86213"/>
    <w:rsid w:val="00B863FA"/>
    <w:rsid w:val="00B86C0D"/>
    <w:rsid w:val="00B86C86"/>
    <w:rsid w:val="00B875CB"/>
    <w:rsid w:val="00B8764B"/>
    <w:rsid w:val="00B87664"/>
    <w:rsid w:val="00B87967"/>
    <w:rsid w:val="00B87AA3"/>
    <w:rsid w:val="00B87BB1"/>
    <w:rsid w:val="00B87C48"/>
    <w:rsid w:val="00B87E64"/>
    <w:rsid w:val="00B87F8F"/>
    <w:rsid w:val="00B90134"/>
    <w:rsid w:val="00B9025C"/>
    <w:rsid w:val="00B90414"/>
    <w:rsid w:val="00B90553"/>
    <w:rsid w:val="00B905CE"/>
    <w:rsid w:val="00B90635"/>
    <w:rsid w:val="00B90894"/>
    <w:rsid w:val="00B908F6"/>
    <w:rsid w:val="00B90924"/>
    <w:rsid w:val="00B90C61"/>
    <w:rsid w:val="00B90D2B"/>
    <w:rsid w:val="00B90D93"/>
    <w:rsid w:val="00B91013"/>
    <w:rsid w:val="00B910B9"/>
    <w:rsid w:val="00B913A2"/>
    <w:rsid w:val="00B91851"/>
    <w:rsid w:val="00B91A3A"/>
    <w:rsid w:val="00B91E36"/>
    <w:rsid w:val="00B91EC0"/>
    <w:rsid w:val="00B920E5"/>
    <w:rsid w:val="00B9233D"/>
    <w:rsid w:val="00B9297A"/>
    <w:rsid w:val="00B92AB1"/>
    <w:rsid w:val="00B93550"/>
    <w:rsid w:val="00B935C1"/>
    <w:rsid w:val="00B9386F"/>
    <w:rsid w:val="00B93909"/>
    <w:rsid w:val="00B93979"/>
    <w:rsid w:val="00B93A3A"/>
    <w:rsid w:val="00B93C26"/>
    <w:rsid w:val="00B93C97"/>
    <w:rsid w:val="00B93E8D"/>
    <w:rsid w:val="00B93FF6"/>
    <w:rsid w:val="00B940CB"/>
    <w:rsid w:val="00B9430A"/>
    <w:rsid w:val="00B94731"/>
    <w:rsid w:val="00B94815"/>
    <w:rsid w:val="00B9481E"/>
    <w:rsid w:val="00B9483C"/>
    <w:rsid w:val="00B94892"/>
    <w:rsid w:val="00B94BCF"/>
    <w:rsid w:val="00B94E80"/>
    <w:rsid w:val="00B94FF9"/>
    <w:rsid w:val="00B951B9"/>
    <w:rsid w:val="00B9521F"/>
    <w:rsid w:val="00B953F6"/>
    <w:rsid w:val="00B958B8"/>
    <w:rsid w:val="00B959C0"/>
    <w:rsid w:val="00B95A6E"/>
    <w:rsid w:val="00B95CD5"/>
    <w:rsid w:val="00B95E01"/>
    <w:rsid w:val="00B96243"/>
    <w:rsid w:val="00B9626A"/>
    <w:rsid w:val="00B9633B"/>
    <w:rsid w:val="00B965FD"/>
    <w:rsid w:val="00B96824"/>
    <w:rsid w:val="00B97313"/>
    <w:rsid w:val="00B97A8F"/>
    <w:rsid w:val="00BA02CE"/>
    <w:rsid w:val="00BA0350"/>
    <w:rsid w:val="00BA0447"/>
    <w:rsid w:val="00BA048F"/>
    <w:rsid w:val="00BA05A9"/>
    <w:rsid w:val="00BA0CFC"/>
    <w:rsid w:val="00BA0D58"/>
    <w:rsid w:val="00BA0DBE"/>
    <w:rsid w:val="00BA132E"/>
    <w:rsid w:val="00BA179E"/>
    <w:rsid w:val="00BA1A82"/>
    <w:rsid w:val="00BA1E47"/>
    <w:rsid w:val="00BA21DB"/>
    <w:rsid w:val="00BA2CBA"/>
    <w:rsid w:val="00BA2DB7"/>
    <w:rsid w:val="00BA3172"/>
    <w:rsid w:val="00BA36BE"/>
    <w:rsid w:val="00BA36FF"/>
    <w:rsid w:val="00BA37F1"/>
    <w:rsid w:val="00BA3A8A"/>
    <w:rsid w:val="00BA4011"/>
    <w:rsid w:val="00BA40EA"/>
    <w:rsid w:val="00BA446C"/>
    <w:rsid w:val="00BA4536"/>
    <w:rsid w:val="00BA4558"/>
    <w:rsid w:val="00BA45A9"/>
    <w:rsid w:val="00BA4613"/>
    <w:rsid w:val="00BA4882"/>
    <w:rsid w:val="00BA4AA2"/>
    <w:rsid w:val="00BA4C60"/>
    <w:rsid w:val="00BA4DB7"/>
    <w:rsid w:val="00BA4F41"/>
    <w:rsid w:val="00BA508B"/>
    <w:rsid w:val="00BA52D3"/>
    <w:rsid w:val="00BA5BDA"/>
    <w:rsid w:val="00BA6225"/>
    <w:rsid w:val="00BA6515"/>
    <w:rsid w:val="00BA657C"/>
    <w:rsid w:val="00BA6933"/>
    <w:rsid w:val="00BA6969"/>
    <w:rsid w:val="00BA696E"/>
    <w:rsid w:val="00BA6A77"/>
    <w:rsid w:val="00BA6D03"/>
    <w:rsid w:val="00BA6EC3"/>
    <w:rsid w:val="00BA6FC0"/>
    <w:rsid w:val="00BA75DD"/>
    <w:rsid w:val="00BA7856"/>
    <w:rsid w:val="00BA7998"/>
    <w:rsid w:val="00BA7ADD"/>
    <w:rsid w:val="00BA7BA0"/>
    <w:rsid w:val="00BA7C3F"/>
    <w:rsid w:val="00BA7CF3"/>
    <w:rsid w:val="00BB00E7"/>
    <w:rsid w:val="00BB0149"/>
    <w:rsid w:val="00BB018E"/>
    <w:rsid w:val="00BB0549"/>
    <w:rsid w:val="00BB07C2"/>
    <w:rsid w:val="00BB0A23"/>
    <w:rsid w:val="00BB0DB5"/>
    <w:rsid w:val="00BB1017"/>
    <w:rsid w:val="00BB10B1"/>
    <w:rsid w:val="00BB10B3"/>
    <w:rsid w:val="00BB142D"/>
    <w:rsid w:val="00BB1579"/>
    <w:rsid w:val="00BB1A8B"/>
    <w:rsid w:val="00BB1AC4"/>
    <w:rsid w:val="00BB1FCB"/>
    <w:rsid w:val="00BB2138"/>
    <w:rsid w:val="00BB241A"/>
    <w:rsid w:val="00BB242A"/>
    <w:rsid w:val="00BB2580"/>
    <w:rsid w:val="00BB2609"/>
    <w:rsid w:val="00BB2757"/>
    <w:rsid w:val="00BB2B14"/>
    <w:rsid w:val="00BB2C47"/>
    <w:rsid w:val="00BB2F8E"/>
    <w:rsid w:val="00BB3064"/>
    <w:rsid w:val="00BB31AE"/>
    <w:rsid w:val="00BB31F5"/>
    <w:rsid w:val="00BB32F3"/>
    <w:rsid w:val="00BB36A4"/>
    <w:rsid w:val="00BB385A"/>
    <w:rsid w:val="00BB38BB"/>
    <w:rsid w:val="00BB3BD4"/>
    <w:rsid w:val="00BB3C5C"/>
    <w:rsid w:val="00BB3DDB"/>
    <w:rsid w:val="00BB430B"/>
    <w:rsid w:val="00BB447D"/>
    <w:rsid w:val="00BB4BFB"/>
    <w:rsid w:val="00BB50A2"/>
    <w:rsid w:val="00BB529E"/>
    <w:rsid w:val="00BB54E2"/>
    <w:rsid w:val="00BB56C4"/>
    <w:rsid w:val="00BB56EB"/>
    <w:rsid w:val="00BB572F"/>
    <w:rsid w:val="00BB58C0"/>
    <w:rsid w:val="00BB5924"/>
    <w:rsid w:val="00BB5A5D"/>
    <w:rsid w:val="00BB5BED"/>
    <w:rsid w:val="00BB6198"/>
    <w:rsid w:val="00BB6273"/>
    <w:rsid w:val="00BB64AD"/>
    <w:rsid w:val="00BB652D"/>
    <w:rsid w:val="00BB6598"/>
    <w:rsid w:val="00BB6625"/>
    <w:rsid w:val="00BB667D"/>
    <w:rsid w:val="00BB67C6"/>
    <w:rsid w:val="00BB6B6E"/>
    <w:rsid w:val="00BB6F8A"/>
    <w:rsid w:val="00BB71C3"/>
    <w:rsid w:val="00BB71E5"/>
    <w:rsid w:val="00BB7217"/>
    <w:rsid w:val="00BB799C"/>
    <w:rsid w:val="00BB7AD8"/>
    <w:rsid w:val="00BB7BD6"/>
    <w:rsid w:val="00BB7D6B"/>
    <w:rsid w:val="00BB7DA0"/>
    <w:rsid w:val="00BB7E0A"/>
    <w:rsid w:val="00BB7F17"/>
    <w:rsid w:val="00BB7F77"/>
    <w:rsid w:val="00BC0088"/>
    <w:rsid w:val="00BC02B1"/>
    <w:rsid w:val="00BC0303"/>
    <w:rsid w:val="00BC03C4"/>
    <w:rsid w:val="00BC04A0"/>
    <w:rsid w:val="00BC063A"/>
    <w:rsid w:val="00BC066F"/>
    <w:rsid w:val="00BC0842"/>
    <w:rsid w:val="00BC08DF"/>
    <w:rsid w:val="00BC0B43"/>
    <w:rsid w:val="00BC0FD6"/>
    <w:rsid w:val="00BC1003"/>
    <w:rsid w:val="00BC1072"/>
    <w:rsid w:val="00BC112E"/>
    <w:rsid w:val="00BC11E8"/>
    <w:rsid w:val="00BC120E"/>
    <w:rsid w:val="00BC12AE"/>
    <w:rsid w:val="00BC1593"/>
    <w:rsid w:val="00BC1CE6"/>
    <w:rsid w:val="00BC1DB4"/>
    <w:rsid w:val="00BC1DDC"/>
    <w:rsid w:val="00BC1DF0"/>
    <w:rsid w:val="00BC1E73"/>
    <w:rsid w:val="00BC1FEA"/>
    <w:rsid w:val="00BC2161"/>
    <w:rsid w:val="00BC241E"/>
    <w:rsid w:val="00BC2636"/>
    <w:rsid w:val="00BC2665"/>
    <w:rsid w:val="00BC27EF"/>
    <w:rsid w:val="00BC2815"/>
    <w:rsid w:val="00BC2964"/>
    <w:rsid w:val="00BC29BC"/>
    <w:rsid w:val="00BC2B6B"/>
    <w:rsid w:val="00BC2CD4"/>
    <w:rsid w:val="00BC2F2C"/>
    <w:rsid w:val="00BC2F4E"/>
    <w:rsid w:val="00BC2FF9"/>
    <w:rsid w:val="00BC310E"/>
    <w:rsid w:val="00BC33BD"/>
    <w:rsid w:val="00BC3656"/>
    <w:rsid w:val="00BC36E8"/>
    <w:rsid w:val="00BC3832"/>
    <w:rsid w:val="00BC3B1D"/>
    <w:rsid w:val="00BC3C03"/>
    <w:rsid w:val="00BC3E2F"/>
    <w:rsid w:val="00BC3F08"/>
    <w:rsid w:val="00BC3FF6"/>
    <w:rsid w:val="00BC4004"/>
    <w:rsid w:val="00BC4439"/>
    <w:rsid w:val="00BC44FB"/>
    <w:rsid w:val="00BC48A8"/>
    <w:rsid w:val="00BC4A49"/>
    <w:rsid w:val="00BC4B85"/>
    <w:rsid w:val="00BC4B86"/>
    <w:rsid w:val="00BC4C61"/>
    <w:rsid w:val="00BC4D3B"/>
    <w:rsid w:val="00BC4EB3"/>
    <w:rsid w:val="00BC4F77"/>
    <w:rsid w:val="00BC517B"/>
    <w:rsid w:val="00BC51FA"/>
    <w:rsid w:val="00BC585A"/>
    <w:rsid w:val="00BC594A"/>
    <w:rsid w:val="00BC602D"/>
    <w:rsid w:val="00BC62F7"/>
    <w:rsid w:val="00BC63A6"/>
    <w:rsid w:val="00BC6461"/>
    <w:rsid w:val="00BC65B2"/>
    <w:rsid w:val="00BC6DCA"/>
    <w:rsid w:val="00BC6F1B"/>
    <w:rsid w:val="00BC7093"/>
    <w:rsid w:val="00BC72BC"/>
    <w:rsid w:val="00BC73DC"/>
    <w:rsid w:val="00BC746E"/>
    <w:rsid w:val="00BC75CF"/>
    <w:rsid w:val="00BC780C"/>
    <w:rsid w:val="00BC7A45"/>
    <w:rsid w:val="00BC7B1B"/>
    <w:rsid w:val="00BC7BA3"/>
    <w:rsid w:val="00BC7EC5"/>
    <w:rsid w:val="00BD02FD"/>
    <w:rsid w:val="00BD032D"/>
    <w:rsid w:val="00BD04D0"/>
    <w:rsid w:val="00BD0768"/>
    <w:rsid w:val="00BD0C2E"/>
    <w:rsid w:val="00BD0D27"/>
    <w:rsid w:val="00BD0E7B"/>
    <w:rsid w:val="00BD0F9E"/>
    <w:rsid w:val="00BD12FF"/>
    <w:rsid w:val="00BD1329"/>
    <w:rsid w:val="00BD137E"/>
    <w:rsid w:val="00BD13DC"/>
    <w:rsid w:val="00BD143F"/>
    <w:rsid w:val="00BD1448"/>
    <w:rsid w:val="00BD15C8"/>
    <w:rsid w:val="00BD162F"/>
    <w:rsid w:val="00BD1747"/>
    <w:rsid w:val="00BD2207"/>
    <w:rsid w:val="00BD2515"/>
    <w:rsid w:val="00BD29BF"/>
    <w:rsid w:val="00BD2C57"/>
    <w:rsid w:val="00BD399C"/>
    <w:rsid w:val="00BD3E1C"/>
    <w:rsid w:val="00BD3FE5"/>
    <w:rsid w:val="00BD414F"/>
    <w:rsid w:val="00BD4385"/>
    <w:rsid w:val="00BD4DA0"/>
    <w:rsid w:val="00BD4F7E"/>
    <w:rsid w:val="00BD5103"/>
    <w:rsid w:val="00BD564F"/>
    <w:rsid w:val="00BD5ACE"/>
    <w:rsid w:val="00BD5ADD"/>
    <w:rsid w:val="00BD5AEC"/>
    <w:rsid w:val="00BD5B8B"/>
    <w:rsid w:val="00BD5BAE"/>
    <w:rsid w:val="00BD5EC7"/>
    <w:rsid w:val="00BD620D"/>
    <w:rsid w:val="00BD6885"/>
    <w:rsid w:val="00BD68BA"/>
    <w:rsid w:val="00BD69EE"/>
    <w:rsid w:val="00BD6B50"/>
    <w:rsid w:val="00BD6BCF"/>
    <w:rsid w:val="00BD6C42"/>
    <w:rsid w:val="00BD6D98"/>
    <w:rsid w:val="00BD7195"/>
    <w:rsid w:val="00BD725D"/>
    <w:rsid w:val="00BD73AC"/>
    <w:rsid w:val="00BD7414"/>
    <w:rsid w:val="00BD754F"/>
    <w:rsid w:val="00BD760C"/>
    <w:rsid w:val="00BD76A4"/>
    <w:rsid w:val="00BD76FC"/>
    <w:rsid w:val="00BD7706"/>
    <w:rsid w:val="00BD7878"/>
    <w:rsid w:val="00BD79EB"/>
    <w:rsid w:val="00BD7A0C"/>
    <w:rsid w:val="00BD7AFD"/>
    <w:rsid w:val="00BD7E6A"/>
    <w:rsid w:val="00BE019C"/>
    <w:rsid w:val="00BE0518"/>
    <w:rsid w:val="00BE05DA"/>
    <w:rsid w:val="00BE0781"/>
    <w:rsid w:val="00BE07A6"/>
    <w:rsid w:val="00BE07D1"/>
    <w:rsid w:val="00BE07E2"/>
    <w:rsid w:val="00BE08B0"/>
    <w:rsid w:val="00BE10A0"/>
    <w:rsid w:val="00BE1574"/>
    <w:rsid w:val="00BE199D"/>
    <w:rsid w:val="00BE19D6"/>
    <w:rsid w:val="00BE19DB"/>
    <w:rsid w:val="00BE1A0B"/>
    <w:rsid w:val="00BE1AE6"/>
    <w:rsid w:val="00BE1C2C"/>
    <w:rsid w:val="00BE1E29"/>
    <w:rsid w:val="00BE2276"/>
    <w:rsid w:val="00BE22CC"/>
    <w:rsid w:val="00BE264E"/>
    <w:rsid w:val="00BE2698"/>
    <w:rsid w:val="00BE2783"/>
    <w:rsid w:val="00BE2788"/>
    <w:rsid w:val="00BE2A15"/>
    <w:rsid w:val="00BE2D0E"/>
    <w:rsid w:val="00BE3008"/>
    <w:rsid w:val="00BE3020"/>
    <w:rsid w:val="00BE327A"/>
    <w:rsid w:val="00BE327B"/>
    <w:rsid w:val="00BE33D4"/>
    <w:rsid w:val="00BE3691"/>
    <w:rsid w:val="00BE381A"/>
    <w:rsid w:val="00BE3B9C"/>
    <w:rsid w:val="00BE3EE3"/>
    <w:rsid w:val="00BE43A6"/>
    <w:rsid w:val="00BE43ED"/>
    <w:rsid w:val="00BE4431"/>
    <w:rsid w:val="00BE4627"/>
    <w:rsid w:val="00BE498E"/>
    <w:rsid w:val="00BE49AA"/>
    <w:rsid w:val="00BE4C14"/>
    <w:rsid w:val="00BE4DF9"/>
    <w:rsid w:val="00BE4EE6"/>
    <w:rsid w:val="00BE4F29"/>
    <w:rsid w:val="00BE5089"/>
    <w:rsid w:val="00BE528D"/>
    <w:rsid w:val="00BE569A"/>
    <w:rsid w:val="00BE572B"/>
    <w:rsid w:val="00BE593A"/>
    <w:rsid w:val="00BE59C0"/>
    <w:rsid w:val="00BE5C75"/>
    <w:rsid w:val="00BE5D55"/>
    <w:rsid w:val="00BE5E20"/>
    <w:rsid w:val="00BE5FEE"/>
    <w:rsid w:val="00BE6158"/>
    <w:rsid w:val="00BE626F"/>
    <w:rsid w:val="00BE6824"/>
    <w:rsid w:val="00BE6879"/>
    <w:rsid w:val="00BE68A3"/>
    <w:rsid w:val="00BE6997"/>
    <w:rsid w:val="00BE6C0E"/>
    <w:rsid w:val="00BE6E24"/>
    <w:rsid w:val="00BE7300"/>
    <w:rsid w:val="00BE73A5"/>
    <w:rsid w:val="00BE76E8"/>
    <w:rsid w:val="00BE78A5"/>
    <w:rsid w:val="00BE7B1A"/>
    <w:rsid w:val="00BE7B47"/>
    <w:rsid w:val="00BE7C25"/>
    <w:rsid w:val="00BE7D9D"/>
    <w:rsid w:val="00BE7FA1"/>
    <w:rsid w:val="00BF017B"/>
    <w:rsid w:val="00BF019B"/>
    <w:rsid w:val="00BF07B8"/>
    <w:rsid w:val="00BF08CB"/>
    <w:rsid w:val="00BF09AA"/>
    <w:rsid w:val="00BF0CC0"/>
    <w:rsid w:val="00BF0F15"/>
    <w:rsid w:val="00BF0F6E"/>
    <w:rsid w:val="00BF1004"/>
    <w:rsid w:val="00BF11FB"/>
    <w:rsid w:val="00BF137F"/>
    <w:rsid w:val="00BF1536"/>
    <w:rsid w:val="00BF1571"/>
    <w:rsid w:val="00BF18CA"/>
    <w:rsid w:val="00BF18FA"/>
    <w:rsid w:val="00BF20FA"/>
    <w:rsid w:val="00BF21AC"/>
    <w:rsid w:val="00BF2BBC"/>
    <w:rsid w:val="00BF302B"/>
    <w:rsid w:val="00BF3424"/>
    <w:rsid w:val="00BF3484"/>
    <w:rsid w:val="00BF37E4"/>
    <w:rsid w:val="00BF3CF3"/>
    <w:rsid w:val="00BF3F5C"/>
    <w:rsid w:val="00BF4536"/>
    <w:rsid w:val="00BF4537"/>
    <w:rsid w:val="00BF46A3"/>
    <w:rsid w:val="00BF482C"/>
    <w:rsid w:val="00BF4FF2"/>
    <w:rsid w:val="00BF4FFC"/>
    <w:rsid w:val="00BF56CD"/>
    <w:rsid w:val="00BF58B6"/>
    <w:rsid w:val="00BF590D"/>
    <w:rsid w:val="00BF5D30"/>
    <w:rsid w:val="00BF5E92"/>
    <w:rsid w:val="00BF5F87"/>
    <w:rsid w:val="00BF6635"/>
    <w:rsid w:val="00BF66D1"/>
    <w:rsid w:val="00BF6CAF"/>
    <w:rsid w:val="00BF7482"/>
    <w:rsid w:val="00BF75F0"/>
    <w:rsid w:val="00BF7737"/>
    <w:rsid w:val="00BF7845"/>
    <w:rsid w:val="00BF7EB3"/>
    <w:rsid w:val="00C0007C"/>
    <w:rsid w:val="00C00158"/>
    <w:rsid w:val="00C001CF"/>
    <w:rsid w:val="00C00240"/>
    <w:rsid w:val="00C003FD"/>
    <w:rsid w:val="00C005AD"/>
    <w:rsid w:val="00C00802"/>
    <w:rsid w:val="00C0092F"/>
    <w:rsid w:val="00C00B28"/>
    <w:rsid w:val="00C00BB6"/>
    <w:rsid w:val="00C00C5A"/>
    <w:rsid w:val="00C00D18"/>
    <w:rsid w:val="00C00DCC"/>
    <w:rsid w:val="00C012FE"/>
    <w:rsid w:val="00C0171B"/>
    <w:rsid w:val="00C01796"/>
    <w:rsid w:val="00C01A75"/>
    <w:rsid w:val="00C01BC3"/>
    <w:rsid w:val="00C01DB2"/>
    <w:rsid w:val="00C022B8"/>
    <w:rsid w:val="00C023CE"/>
    <w:rsid w:val="00C02436"/>
    <w:rsid w:val="00C024F9"/>
    <w:rsid w:val="00C0265D"/>
    <w:rsid w:val="00C02AF8"/>
    <w:rsid w:val="00C02BE2"/>
    <w:rsid w:val="00C02C8D"/>
    <w:rsid w:val="00C02DFA"/>
    <w:rsid w:val="00C03509"/>
    <w:rsid w:val="00C03C12"/>
    <w:rsid w:val="00C03D66"/>
    <w:rsid w:val="00C03D68"/>
    <w:rsid w:val="00C03E49"/>
    <w:rsid w:val="00C0402B"/>
    <w:rsid w:val="00C04172"/>
    <w:rsid w:val="00C0420E"/>
    <w:rsid w:val="00C04390"/>
    <w:rsid w:val="00C045FE"/>
    <w:rsid w:val="00C048A6"/>
    <w:rsid w:val="00C04AF4"/>
    <w:rsid w:val="00C05038"/>
    <w:rsid w:val="00C050D9"/>
    <w:rsid w:val="00C05318"/>
    <w:rsid w:val="00C055C8"/>
    <w:rsid w:val="00C05713"/>
    <w:rsid w:val="00C0579A"/>
    <w:rsid w:val="00C0584E"/>
    <w:rsid w:val="00C0606E"/>
    <w:rsid w:val="00C061FB"/>
    <w:rsid w:val="00C066B8"/>
    <w:rsid w:val="00C06829"/>
    <w:rsid w:val="00C069CB"/>
    <w:rsid w:val="00C069CC"/>
    <w:rsid w:val="00C06A13"/>
    <w:rsid w:val="00C06C3E"/>
    <w:rsid w:val="00C06C51"/>
    <w:rsid w:val="00C070AE"/>
    <w:rsid w:val="00C07179"/>
    <w:rsid w:val="00C07560"/>
    <w:rsid w:val="00C075C2"/>
    <w:rsid w:val="00C07746"/>
    <w:rsid w:val="00C07816"/>
    <w:rsid w:val="00C07A33"/>
    <w:rsid w:val="00C07AE1"/>
    <w:rsid w:val="00C07D05"/>
    <w:rsid w:val="00C07D20"/>
    <w:rsid w:val="00C07E3F"/>
    <w:rsid w:val="00C101C2"/>
    <w:rsid w:val="00C10340"/>
    <w:rsid w:val="00C1078C"/>
    <w:rsid w:val="00C10A05"/>
    <w:rsid w:val="00C10BD1"/>
    <w:rsid w:val="00C10BFC"/>
    <w:rsid w:val="00C10C7F"/>
    <w:rsid w:val="00C10D22"/>
    <w:rsid w:val="00C114D4"/>
    <w:rsid w:val="00C11609"/>
    <w:rsid w:val="00C11760"/>
    <w:rsid w:val="00C119E5"/>
    <w:rsid w:val="00C11C16"/>
    <w:rsid w:val="00C11CF3"/>
    <w:rsid w:val="00C11D0E"/>
    <w:rsid w:val="00C122B0"/>
    <w:rsid w:val="00C122CE"/>
    <w:rsid w:val="00C1261C"/>
    <w:rsid w:val="00C12845"/>
    <w:rsid w:val="00C129E0"/>
    <w:rsid w:val="00C12B96"/>
    <w:rsid w:val="00C12E70"/>
    <w:rsid w:val="00C12FCA"/>
    <w:rsid w:val="00C135CF"/>
    <w:rsid w:val="00C1363D"/>
    <w:rsid w:val="00C137CD"/>
    <w:rsid w:val="00C13D54"/>
    <w:rsid w:val="00C13DBA"/>
    <w:rsid w:val="00C14871"/>
    <w:rsid w:val="00C14BD8"/>
    <w:rsid w:val="00C14D33"/>
    <w:rsid w:val="00C14E19"/>
    <w:rsid w:val="00C1524B"/>
    <w:rsid w:val="00C153D1"/>
    <w:rsid w:val="00C156BD"/>
    <w:rsid w:val="00C1577B"/>
    <w:rsid w:val="00C15887"/>
    <w:rsid w:val="00C15BBC"/>
    <w:rsid w:val="00C15BC0"/>
    <w:rsid w:val="00C15F40"/>
    <w:rsid w:val="00C16118"/>
    <w:rsid w:val="00C16733"/>
    <w:rsid w:val="00C167BD"/>
    <w:rsid w:val="00C16804"/>
    <w:rsid w:val="00C1680A"/>
    <w:rsid w:val="00C16AEC"/>
    <w:rsid w:val="00C16B3F"/>
    <w:rsid w:val="00C16C8A"/>
    <w:rsid w:val="00C16D10"/>
    <w:rsid w:val="00C173A7"/>
    <w:rsid w:val="00C17755"/>
    <w:rsid w:val="00C1794A"/>
    <w:rsid w:val="00C17955"/>
    <w:rsid w:val="00C17C5B"/>
    <w:rsid w:val="00C17CC3"/>
    <w:rsid w:val="00C17D7A"/>
    <w:rsid w:val="00C17F3F"/>
    <w:rsid w:val="00C17FF1"/>
    <w:rsid w:val="00C200AC"/>
    <w:rsid w:val="00C201BC"/>
    <w:rsid w:val="00C20608"/>
    <w:rsid w:val="00C206FF"/>
    <w:rsid w:val="00C20820"/>
    <w:rsid w:val="00C209C7"/>
    <w:rsid w:val="00C209D9"/>
    <w:rsid w:val="00C20AF2"/>
    <w:rsid w:val="00C20D70"/>
    <w:rsid w:val="00C20FBB"/>
    <w:rsid w:val="00C21385"/>
    <w:rsid w:val="00C214C6"/>
    <w:rsid w:val="00C2154B"/>
    <w:rsid w:val="00C21F31"/>
    <w:rsid w:val="00C21F4B"/>
    <w:rsid w:val="00C22193"/>
    <w:rsid w:val="00C221A0"/>
    <w:rsid w:val="00C22394"/>
    <w:rsid w:val="00C224B7"/>
    <w:rsid w:val="00C225E2"/>
    <w:rsid w:val="00C22665"/>
    <w:rsid w:val="00C22834"/>
    <w:rsid w:val="00C228B2"/>
    <w:rsid w:val="00C22A20"/>
    <w:rsid w:val="00C22B86"/>
    <w:rsid w:val="00C22E43"/>
    <w:rsid w:val="00C2300A"/>
    <w:rsid w:val="00C234BF"/>
    <w:rsid w:val="00C23561"/>
    <w:rsid w:val="00C235F9"/>
    <w:rsid w:val="00C2366A"/>
    <w:rsid w:val="00C236C0"/>
    <w:rsid w:val="00C23996"/>
    <w:rsid w:val="00C23EA0"/>
    <w:rsid w:val="00C240A8"/>
    <w:rsid w:val="00C241E6"/>
    <w:rsid w:val="00C245B8"/>
    <w:rsid w:val="00C24B34"/>
    <w:rsid w:val="00C24C3A"/>
    <w:rsid w:val="00C24C9A"/>
    <w:rsid w:val="00C24DF5"/>
    <w:rsid w:val="00C24EB4"/>
    <w:rsid w:val="00C24F5D"/>
    <w:rsid w:val="00C2507A"/>
    <w:rsid w:val="00C25117"/>
    <w:rsid w:val="00C251BA"/>
    <w:rsid w:val="00C2552C"/>
    <w:rsid w:val="00C2563E"/>
    <w:rsid w:val="00C25B29"/>
    <w:rsid w:val="00C25B63"/>
    <w:rsid w:val="00C25D62"/>
    <w:rsid w:val="00C25EE4"/>
    <w:rsid w:val="00C25F9A"/>
    <w:rsid w:val="00C260A1"/>
    <w:rsid w:val="00C261FF"/>
    <w:rsid w:val="00C263DD"/>
    <w:rsid w:val="00C26469"/>
    <w:rsid w:val="00C26638"/>
    <w:rsid w:val="00C268D5"/>
    <w:rsid w:val="00C26979"/>
    <w:rsid w:val="00C26A0C"/>
    <w:rsid w:val="00C26A25"/>
    <w:rsid w:val="00C26DE8"/>
    <w:rsid w:val="00C26DF2"/>
    <w:rsid w:val="00C26E7D"/>
    <w:rsid w:val="00C2710A"/>
    <w:rsid w:val="00C277AF"/>
    <w:rsid w:val="00C27945"/>
    <w:rsid w:val="00C27AF0"/>
    <w:rsid w:val="00C27C18"/>
    <w:rsid w:val="00C27D63"/>
    <w:rsid w:val="00C300FE"/>
    <w:rsid w:val="00C3020B"/>
    <w:rsid w:val="00C304A7"/>
    <w:rsid w:val="00C304A8"/>
    <w:rsid w:val="00C30504"/>
    <w:rsid w:val="00C30CA5"/>
    <w:rsid w:val="00C30DA4"/>
    <w:rsid w:val="00C30F58"/>
    <w:rsid w:val="00C31205"/>
    <w:rsid w:val="00C31396"/>
    <w:rsid w:val="00C317FD"/>
    <w:rsid w:val="00C31AAE"/>
    <w:rsid w:val="00C31BCC"/>
    <w:rsid w:val="00C31ED5"/>
    <w:rsid w:val="00C323A7"/>
    <w:rsid w:val="00C32586"/>
    <w:rsid w:val="00C32801"/>
    <w:rsid w:val="00C329DF"/>
    <w:rsid w:val="00C32AD6"/>
    <w:rsid w:val="00C32DB0"/>
    <w:rsid w:val="00C32E7F"/>
    <w:rsid w:val="00C32ED3"/>
    <w:rsid w:val="00C33093"/>
    <w:rsid w:val="00C33098"/>
    <w:rsid w:val="00C3309B"/>
    <w:rsid w:val="00C3311D"/>
    <w:rsid w:val="00C333C5"/>
    <w:rsid w:val="00C333E2"/>
    <w:rsid w:val="00C33615"/>
    <w:rsid w:val="00C338AD"/>
    <w:rsid w:val="00C33A84"/>
    <w:rsid w:val="00C33C62"/>
    <w:rsid w:val="00C33CE0"/>
    <w:rsid w:val="00C33CFC"/>
    <w:rsid w:val="00C33D94"/>
    <w:rsid w:val="00C34022"/>
    <w:rsid w:val="00C3425E"/>
    <w:rsid w:val="00C3428B"/>
    <w:rsid w:val="00C34465"/>
    <w:rsid w:val="00C3451D"/>
    <w:rsid w:val="00C347E8"/>
    <w:rsid w:val="00C348C7"/>
    <w:rsid w:val="00C34C4E"/>
    <w:rsid w:val="00C34D8C"/>
    <w:rsid w:val="00C34DA4"/>
    <w:rsid w:val="00C34E42"/>
    <w:rsid w:val="00C34F76"/>
    <w:rsid w:val="00C352D8"/>
    <w:rsid w:val="00C352DC"/>
    <w:rsid w:val="00C35317"/>
    <w:rsid w:val="00C35322"/>
    <w:rsid w:val="00C35F05"/>
    <w:rsid w:val="00C35FAF"/>
    <w:rsid w:val="00C35FB0"/>
    <w:rsid w:val="00C36188"/>
    <w:rsid w:val="00C361AC"/>
    <w:rsid w:val="00C361D8"/>
    <w:rsid w:val="00C3625C"/>
    <w:rsid w:val="00C362FC"/>
    <w:rsid w:val="00C363E0"/>
    <w:rsid w:val="00C36854"/>
    <w:rsid w:val="00C36863"/>
    <w:rsid w:val="00C368A7"/>
    <w:rsid w:val="00C368BA"/>
    <w:rsid w:val="00C369E6"/>
    <w:rsid w:val="00C36A74"/>
    <w:rsid w:val="00C36E69"/>
    <w:rsid w:val="00C3710F"/>
    <w:rsid w:val="00C372E6"/>
    <w:rsid w:val="00C374BB"/>
    <w:rsid w:val="00C37573"/>
    <w:rsid w:val="00C3757C"/>
    <w:rsid w:val="00C376C9"/>
    <w:rsid w:val="00C37700"/>
    <w:rsid w:val="00C37757"/>
    <w:rsid w:val="00C379CC"/>
    <w:rsid w:val="00C37BB3"/>
    <w:rsid w:val="00C37FD2"/>
    <w:rsid w:val="00C402AF"/>
    <w:rsid w:val="00C40699"/>
    <w:rsid w:val="00C407E8"/>
    <w:rsid w:val="00C412E8"/>
    <w:rsid w:val="00C41B39"/>
    <w:rsid w:val="00C41C81"/>
    <w:rsid w:val="00C41DF8"/>
    <w:rsid w:val="00C41ECF"/>
    <w:rsid w:val="00C420A6"/>
    <w:rsid w:val="00C4238F"/>
    <w:rsid w:val="00C425DE"/>
    <w:rsid w:val="00C429A2"/>
    <w:rsid w:val="00C429B9"/>
    <w:rsid w:val="00C42A09"/>
    <w:rsid w:val="00C42B32"/>
    <w:rsid w:val="00C42C84"/>
    <w:rsid w:val="00C42CB5"/>
    <w:rsid w:val="00C42CFF"/>
    <w:rsid w:val="00C430AC"/>
    <w:rsid w:val="00C43264"/>
    <w:rsid w:val="00C43529"/>
    <w:rsid w:val="00C439C0"/>
    <w:rsid w:val="00C439D3"/>
    <w:rsid w:val="00C43A44"/>
    <w:rsid w:val="00C43C42"/>
    <w:rsid w:val="00C43D35"/>
    <w:rsid w:val="00C442EA"/>
    <w:rsid w:val="00C445E8"/>
    <w:rsid w:val="00C447D3"/>
    <w:rsid w:val="00C449F7"/>
    <w:rsid w:val="00C44A40"/>
    <w:rsid w:val="00C44B17"/>
    <w:rsid w:val="00C44E23"/>
    <w:rsid w:val="00C44FA8"/>
    <w:rsid w:val="00C45121"/>
    <w:rsid w:val="00C4515F"/>
    <w:rsid w:val="00C458A8"/>
    <w:rsid w:val="00C45958"/>
    <w:rsid w:val="00C459A8"/>
    <w:rsid w:val="00C45BF0"/>
    <w:rsid w:val="00C45EC4"/>
    <w:rsid w:val="00C4601B"/>
    <w:rsid w:val="00C46173"/>
    <w:rsid w:val="00C46309"/>
    <w:rsid w:val="00C46459"/>
    <w:rsid w:val="00C46618"/>
    <w:rsid w:val="00C4671F"/>
    <w:rsid w:val="00C46A9E"/>
    <w:rsid w:val="00C46ACC"/>
    <w:rsid w:val="00C46D38"/>
    <w:rsid w:val="00C46EE1"/>
    <w:rsid w:val="00C46FC5"/>
    <w:rsid w:val="00C4715E"/>
    <w:rsid w:val="00C473D0"/>
    <w:rsid w:val="00C473FD"/>
    <w:rsid w:val="00C47811"/>
    <w:rsid w:val="00C478B0"/>
    <w:rsid w:val="00C47B03"/>
    <w:rsid w:val="00C47B1D"/>
    <w:rsid w:val="00C47C13"/>
    <w:rsid w:val="00C50333"/>
    <w:rsid w:val="00C5065B"/>
    <w:rsid w:val="00C50901"/>
    <w:rsid w:val="00C50914"/>
    <w:rsid w:val="00C509F4"/>
    <w:rsid w:val="00C50AD6"/>
    <w:rsid w:val="00C50B1A"/>
    <w:rsid w:val="00C50C6A"/>
    <w:rsid w:val="00C50CE5"/>
    <w:rsid w:val="00C50D2A"/>
    <w:rsid w:val="00C510F4"/>
    <w:rsid w:val="00C51189"/>
    <w:rsid w:val="00C51493"/>
    <w:rsid w:val="00C51B45"/>
    <w:rsid w:val="00C51B6A"/>
    <w:rsid w:val="00C51CCD"/>
    <w:rsid w:val="00C51EA4"/>
    <w:rsid w:val="00C5209D"/>
    <w:rsid w:val="00C5287A"/>
    <w:rsid w:val="00C528D6"/>
    <w:rsid w:val="00C528F0"/>
    <w:rsid w:val="00C52922"/>
    <w:rsid w:val="00C52B78"/>
    <w:rsid w:val="00C53085"/>
    <w:rsid w:val="00C5310C"/>
    <w:rsid w:val="00C5358D"/>
    <w:rsid w:val="00C5392C"/>
    <w:rsid w:val="00C53C8E"/>
    <w:rsid w:val="00C53D21"/>
    <w:rsid w:val="00C53E48"/>
    <w:rsid w:val="00C53E78"/>
    <w:rsid w:val="00C54263"/>
    <w:rsid w:val="00C543A6"/>
    <w:rsid w:val="00C54448"/>
    <w:rsid w:val="00C546BD"/>
    <w:rsid w:val="00C5470C"/>
    <w:rsid w:val="00C5476F"/>
    <w:rsid w:val="00C54969"/>
    <w:rsid w:val="00C54AF9"/>
    <w:rsid w:val="00C54DBC"/>
    <w:rsid w:val="00C54EE6"/>
    <w:rsid w:val="00C54FC5"/>
    <w:rsid w:val="00C551B3"/>
    <w:rsid w:val="00C55242"/>
    <w:rsid w:val="00C55586"/>
    <w:rsid w:val="00C55694"/>
    <w:rsid w:val="00C55B04"/>
    <w:rsid w:val="00C55CAD"/>
    <w:rsid w:val="00C55D0C"/>
    <w:rsid w:val="00C55DB7"/>
    <w:rsid w:val="00C55DE4"/>
    <w:rsid w:val="00C55E35"/>
    <w:rsid w:val="00C560C3"/>
    <w:rsid w:val="00C560E6"/>
    <w:rsid w:val="00C5622E"/>
    <w:rsid w:val="00C5651B"/>
    <w:rsid w:val="00C56630"/>
    <w:rsid w:val="00C567F4"/>
    <w:rsid w:val="00C56DDC"/>
    <w:rsid w:val="00C57257"/>
    <w:rsid w:val="00C57440"/>
    <w:rsid w:val="00C575D2"/>
    <w:rsid w:val="00C57603"/>
    <w:rsid w:val="00C57611"/>
    <w:rsid w:val="00C576B7"/>
    <w:rsid w:val="00C57822"/>
    <w:rsid w:val="00C57B1A"/>
    <w:rsid w:val="00C57D15"/>
    <w:rsid w:val="00C57D25"/>
    <w:rsid w:val="00C57EBB"/>
    <w:rsid w:val="00C5F651"/>
    <w:rsid w:val="00C60121"/>
    <w:rsid w:val="00C6058F"/>
    <w:rsid w:val="00C606FC"/>
    <w:rsid w:val="00C60921"/>
    <w:rsid w:val="00C60E88"/>
    <w:rsid w:val="00C61584"/>
    <w:rsid w:val="00C61586"/>
    <w:rsid w:val="00C616EF"/>
    <w:rsid w:val="00C61E82"/>
    <w:rsid w:val="00C62371"/>
    <w:rsid w:val="00C623DF"/>
    <w:rsid w:val="00C62504"/>
    <w:rsid w:val="00C625CE"/>
    <w:rsid w:val="00C6270F"/>
    <w:rsid w:val="00C62CCA"/>
    <w:rsid w:val="00C62D64"/>
    <w:rsid w:val="00C63154"/>
    <w:rsid w:val="00C632D9"/>
    <w:rsid w:val="00C63335"/>
    <w:rsid w:val="00C6345B"/>
    <w:rsid w:val="00C6370F"/>
    <w:rsid w:val="00C637D5"/>
    <w:rsid w:val="00C638D7"/>
    <w:rsid w:val="00C63A26"/>
    <w:rsid w:val="00C63D75"/>
    <w:rsid w:val="00C645A5"/>
    <w:rsid w:val="00C645A6"/>
    <w:rsid w:val="00C64BB8"/>
    <w:rsid w:val="00C64FA3"/>
    <w:rsid w:val="00C65239"/>
    <w:rsid w:val="00C6561E"/>
    <w:rsid w:val="00C6571D"/>
    <w:rsid w:val="00C6577C"/>
    <w:rsid w:val="00C65923"/>
    <w:rsid w:val="00C65958"/>
    <w:rsid w:val="00C6596F"/>
    <w:rsid w:val="00C65978"/>
    <w:rsid w:val="00C65A22"/>
    <w:rsid w:val="00C65A69"/>
    <w:rsid w:val="00C65C6A"/>
    <w:rsid w:val="00C662BD"/>
    <w:rsid w:val="00C66587"/>
    <w:rsid w:val="00C6663D"/>
    <w:rsid w:val="00C66748"/>
    <w:rsid w:val="00C667A8"/>
    <w:rsid w:val="00C667B6"/>
    <w:rsid w:val="00C669BB"/>
    <w:rsid w:val="00C66AA8"/>
    <w:rsid w:val="00C66B85"/>
    <w:rsid w:val="00C66C56"/>
    <w:rsid w:val="00C66D4D"/>
    <w:rsid w:val="00C66D98"/>
    <w:rsid w:val="00C66EFA"/>
    <w:rsid w:val="00C674C9"/>
    <w:rsid w:val="00C674E1"/>
    <w:rsid w:val="00C6771E"/>
    <w:rsid w:val="00C6795E"/>
    <w:rsid w:val="00C679CA"/>
    <w:rsid w:val="00C67B47"/>
    <w:rsid w:val="00C67C12"/>
    <w:rsid w:val="00C67E74"/>
    <w:rsid w:val="00C67FA6"/>
    <w:rsid w:val="00C70070"/>
    <w:rsid w:val="00C7007C"/>
    <w:rsid w:val="00C70125"/>
    <w:rsid w:val="00C70A80"/>
    <w:rsid w:val="00C70ED2"/>
    <w:rsid w:val="00C70F22"/>
    <w:rsid w:val="00C71129"/>
    <w:rsid w:val="00C7112B"/>
    <w:rsid w:val="00C71194"/>
    <w:rsid w:val="00C71229"/>
    <w:rsid w:val="00C71448"/>
    <w:rsid w:val="00C71527"/>
    <w:rsid w:val="00C71729"/>
    <w:rsid w:val="00C71887"/>
    <w:rsid w:val="00C71CDF"/>
    <w:rsid w:val="00C71D26"/>
    <w:rsid w:val="00C71E1F"/>
    <w:rsid w:val="00C71E83"/>
    <w:rsid w:val="00C71EAA"/>
    <w:rsid w:val="00C72630"/>
    <w:rsid w:val="00C726E2"/>
    <w:rsid w:val="00C728ED"/>
    <w:rsid w:val="00C729A2"/>
    <w:rsid w:val="00C72A98"/>
    <w:rsid w:val="00C72BE5"/>
    <w:rsid w:val="00C72DC1"/>
    <w:rsid w:val="00C72FAD"/>
    <w:rsid w:val="00C72FD7"/>
    <w:rsid w:val="00C73144"/>
    <w:rsid w:val="00C732D7"/>
    <w:rsid w:val="00C734C8"/>
    <w:rsid w:val="00C7365E"/>
    <w:rsid w:val="00C736D7"/>
    <w:rsid w:val="00C7384B"/>
    <w:rsid w:val="00C7389A"/>
    <w:rsid w:val="00C73AE3"/>
    <w:rsid w:val="00C73C2A"/>
    <w:rsid w:val="00C73D66"/>
    <w:rsid w:val="00C73DBE"/>
    <w:rsid w:val="00C73DDE"/>
    <w:rsid w:val="00C73DED"/>
    <w:rsid w:val="00C74278"/>
    <w:rsid w:val="00C7433C"/>
    <w:rsid w:val="00C7476A"/>
    <w:rsid w:val="00C7483A"/>
    <w:rsid w:val="00C750BD"/>
    <w:rsid w:val="00C75116"/>
    <w:rsid w:val="00C753A4"/>
    <w:rsid w:val="00C755F3"/>
    <w:rsid w:val="00C7585D"/>
    <w:rsid w:val="00C75A8F"/>
    <w:rsid w:val="00C75E61"/>
    <w:rsid w:val="00C762AE"/>
    <w:rsid w:val="00C764A2"/>
    <w:rsid w:val="00C769A3"/>
    <w:rsid w:val="00C76A25"/>
    <w:rsid w:val="00C76A6F"/>
    <w:rsid w:val="00C76B05"/>
    <w:rsid w:val="00C76CF5"/>
    <w:rsid w:val="00C77178"/>
    <w:rsid w:val="00C7727D"/>
    <w:rsid w:val="00C77361"/>
    <w:rsid w:val="00C778CA"/>
    <w:rsid w:val="00C77CEC"/>
    <w:rsid w:val="00C80045"/>
    <w:rsid w:val="00C80048"/>
    <w:rsid w:val="00C800F9"/>
    <w:rsid w:val="00C80189"/>
    <w:rsid w:val="00C802C7"/>
    <w:rsid w:val="00C80361"/>
    <w:rsid w:val="00C803E3"/>
    <w:rsid w:val="00C807D0"/>
    <w:rsid w:val="00C80A5B"/>
    <w:rsid w:val="00C8186C"/>
    <w:rsid w:val="00C818D4"/>
    <w:rsid w:val="00C81B66"/>
    <w:rsid w:val="00C81BF8"/>
    <w:rsid w:val="00C81CD7"/>
    <w:rsid w:val="00C82058"/>
    <w:rsid w:val="00C8207D"/>
    <w:rsid w:val="00C82269"/>
    <w:rsid w:val="00C82427"/>
    <w:rsid w:val="00C82505"/>
    <w:rsid w:val="00C82537"/>
    <w:rsid w:val="00C82611"/>
    <w:rsid w:val="00C827DE"/>
    <w:rsid w:val="00C82C31"/>
    <w:rsid w:val="00C82EB8"/>
    <w:rsid w:val="00C83056"/>
    <w:rsid w:val="00C830A4"/>
    <w:rsid w:val="00C83156"/>
    <w:rsid w:val="00C839D5"/>
    <w:rsid w:val="00C83A38"/>
    <w:rsid w:val="00C83A49"/>
    <w:rsid w:val="00C83C58"/>
    <w:rsid w:val="00C83E94"/>
    <w:rsid w:val="00C83F26"/>
    <w:rsid w:val="00C840EA"/>
    <w:rsid w:val="00C843B5"/>
    <w:rsid w:val="00C844CD"/>
    <w:rsid w:val="00C845DF"/>
    <w:rsid w:val="00C846C6"/>
    <w:rsid w:val="00C847B3"/>
    <w:rsid w:val="00C8493F"/>
    <w:rsid w:val="00C84B34"/>
    <w:rsid w:val="00C84F08"/>
    <w:rsid w:val="00C84F46"/>
    <w:rsid w:val="00C84F9E"/>
    <w:rsid w:val="00C851CE"/>
    <w:rsid w:val="00C85290"/>
    <w:rsid w:val="00C853FE"/>
    <w:rsid w:val="00C85534"/>
    <w:rsid w:val="00C85562"/>
    <w:rsid w:val="00C85967"/>
    <w:rsid w:val="00C85CF0"/>
    <w:rsid w:val="00C8621A"/>
    <w:rsid w:val="00C862B5"/>
    <w:rsid w:val="00C8685E"/>
    <w:rsid w:val="00C86985"/>
    <w:rsid w:val="00C86C78"/>
    <w:rsid w:val="00C86FF7"/>
    <w:rsid w:val="00C87268"/>
    <w:rsid w:val="00C876D1"/>
    <w:rsid w:val="00C87713"/>
    <w:rsid w:val="00C87768"/>
    <w:rsid w:val="00C87894"/>
    <w:rsid w:val="00C87B99"/>
    <w:rsid w:val="00C87BFA"/>
    <w:rsid w:val="00C87CC3"/>
    <w:rsid w:val="00C87D73"/>
    <w:rsid w:val="00C87DC4"/>
    <w:rsid w:val="00C87E4A"/>
    <w:rsid w:val="00C90139"/>
    <w:rsid w:val="00C90189"/>
    <w:rsid w:val="00C90256"/>
    <w:rsid w:val="00C90375"/>
    <w:rsid w:val="00C90498"/>
    <w:rsid w:val="00C90646"/>
    <w:rsid w:val="00C90821"/>
    <w:rsid w:val="00C908E7"/>
    <w:rsid w:val="00C90A37"/>
    <w:rsid w:val="00C90C1E"/>
    <w:rsid w:val="00C90C34"/>
    <w:rsid w:val="00C90D36"/>
    <w:rsid w:val="00C90E9F"/>
    <w:rsid w:val="00C90EAA"/>
    <w:rsid w:val="00C9110C"/>
    <w:rsid w:val="00C9125A"/>
    <w:rsid w:val="00C91307"/>
    <w:rsid w:val="00C9190F"/>
    <w:rsid w:val="00C9191B"/>
    <w:rsid w:val="00C91970"/>
    <w:rsid w:val="00C91D21"/>
    <w:rsid w:val="00C91F92"/>
    <w:rsid w:val="00C91FED"/>
    <w:rsid w:val="00C92221"/>
    <w:rsid w:val="00C9240C"/>
    <w:rsid w:val="00C92921"/>
    <w:rsid w:val="00C929AF"/>
    <w:rsid w:val="00C92AC2"/>
    <w:rsid w:val="00C92AEA"/>
    <w:rsid w:val="00C92B32"/>
    <w:rsid w:val="00C92C3B"/>
    <w:rsid w:val="00C92EAF"/>
    <w:rsid w:val="00C92FB1"/>
    <w:rsid w:val="00C93018"/>
    <w:rsid w:val="00C931EC"/>
    <w:rsid w:val="00C933C9"/>
    <w:rsid w:val="00C93482"/>
    <w:rsid w:val="00C9355D"/>
    <w:rsid w:val="00C938B0"/>
    <w:rsid w:val="00C93C7F"/>
    <w:rsid w:val="00C93CF5"/>
    <w:rsid w:val="00C93DDE"/>
    <w:rsid w:val="00C93DE0"/>
    <w:rsid w:val="00C93EF3"/>
    <w:rsid w:val="00C93FE3"/>
    <w:rsid w:val="00C942B1"/>
    <w:rsid w:val="00C94604"/>
    <w:rsid w:val="00C9462C"/>
    <w:rsid w:val="00C94B7A"/>
    <w:rsid w:val="00C94EE0"/>
    <w:rsid w:val="00C95280"/>
    <w:rsid w:val="00C95292"/>
    <w:rsid w:val="00C952F1"/>
    <w:rsid w:val="00C95598"/>
    <w:rsid w:val="00C955FB"/>
    <w:rsid w:val="00C95610"/>
    <w:rsid w:val="00C9575D"/>
    <w:rsid w:val="00C958FE"/>
    <w:rsid w:val="00C9593B"/>
    <w:rsid w:val="00C95A7D"/>
    <w:rsid w:val="00C95B24"/>
    <w:rsid w:val="00C95C0E"/>
    <w:rsid w:val="00C95C58"/>
    <w:rsid w:val="00C95D3A"/>
    <w:rsid w:val="00C96157"/>
    <w:rsid w:val="00C9660A"/>
    <w:rsid w:val="00C966BD"/>
    <w:rsid w:val="00C96954"/>
    <w:rsid w:val="00C96C12"/>
    <w:rsid w:val="00C96F50"/>
    <w:rsid w:val="00C96FCC"/>
    <w:rsid w:val="00C972EA"/>
    <w:rsid w:val="00C9751A"/>
    <w:rsid w:val="00C975B8"/>
    <w:rsid w:val="00C97999"/>
    <w:rsid w:val="00C97EBB"/>
    <w:rsid w:val="00CA0012"/>
    <w:rsid w:val="00CA0057"/>
    <w:rsid w:val="00CA01A5"/>
    <w:rsid w:val="00CA01B9"/>
    <w:rsid w:val="00CA026F"/>
    <w:rsid w:val="00CA031B"/>
    <w:rsid w:val="00CA032E"/>
    <w:rsid w:val="00CA0454"/>
    <w:rsid w:val="00CA04F5"/>
    <w:rsid w:val="00CA0525"/>
    <w:rsid w:val="00CA05FB"/>
    <w:rsid w:val="00CA06D2"/>
    <w:rsid w:val="00CA07FC"/>
    <w:rsid w:val="00CA0896"/>
    <w:rsid w:val="00CA08FC"/>
    <w:rsid w:val="00CA0A4A"/>
    <w:rsid w:val="00CA0B78"/>
    <w:rsid w:val="00CA1251"/>
    <w:rsid w:val="00CA148B"/>
    <w:rsid w:val="00CA1525"/>
    <w:rsid w:val="00CA15C0"/>
    <w:rsid w:val="00CA17E7"/>
    <w:rsid w:val="00CA1A0D"/>
    <w:rsid w:val="00CA1BCC"/>
    <w:rsid w:val="00CA1E88"/>
    <w:rsid w:val="00CA216A"/>
    <w:rsid w:val="00CA225E"/>
    <w:rsid w:val="00CA2464"/>
    <w:rsid w:val="00CA24B6"/>
    <w:rsid w:val="00CA2AA0"/>
    <w:rsid w:val="00CA2B74"/>
    <w:rsid w:val="00CA2C35"/>
    <w:rsid w:val="00CA2EEF"/>
    <w:rsid w:val="00CA2FE0"/>
    <w:rsid w:val="00CA2FF3"/>
    <w:rsid w:val="00CA3011"/>
    <w:rsid w:val="00CA3397"/>
    <w:rsid w:val="00CA3B10"/>
    <w:rsid w:val="00CA3B1D"/>
    <w:rsid w:val="00CA43C5"/>
    <w:rsid w:val="00CA43D9"/>
    <w:rsid w:val="00CA4409"/>
    <w:rsid w:val="00CA45F7"/>
    <w:rsid w:val="00CA48C0"/>
    <w:rsid w:val="00CA4AC1"/>
    <w:rsid w:val="00CA4B4A"/>
    <w:rsid w:val="00CA4C09"/>
    <w:rsid w:val="00CA5003"/>
    <w:rsid w:val="00CA516C"/>
    <w:rsid w:val="00CA52B2"/>
    <w:rsid w:val="00CA5574"/>
    <w:rsid w:val="00CA55A7"/>
    <w:rsid w:val="00CA5997"/>
    <w:rsid w:val="00CA5D1B"/>
    <w:rsid w:val="00CA5DDF"/>
    <w:rsid w:val="00CA5ECE"/>
    <w:rsid w:val="00CA6115"/>
    <w:rsid w:val="00CA6345"/>
    <w:rsid w:val="00CA684E"/>
    <w:rsid w:val="00CA6856"/>
    <w:rsid w:val="00CA6A42"/>
    <w:rsid w:val="00CA6AAD"/>
    <w:rsid w:val="00CA6B94"/>
    <w:rsid w:val="00CA6DC2"/>
    <w:rsid w:val="00CA6E9E"/>
    <w:rsid w:val="00CA719B"/>
    <w:rsid w:val="00CA71E5"/>
    <w:rsid w:val="00CA728C"/>
    <w:rsid w:val="00CA72C9"/>
    <w:rsid w:val="00CA744F"/>
    <w:rsid w:val="00CA75D1"/>
    <w:rsid w:val="00CA7600"/>
    <w:rsid w:val="00CA7770"/>
    <w:rsid w:val="00CA7D22"/>
    <w:rsid w:val="00CB0013"/>
    <w:rsid w:val="00CB01BD"/>
    <w:rsid w:val="00CB0596"/>
    <w:rsid w:val="00CB065A"/>
    <w:rsid w:val="00CB0966"/>
    <w:rsid w:val="00CB0AF1"/>
    <w:rsid w:val="00CB0BA6"/>
    <w:rsid w:val="00CB0DCA"/>
    <w:rsid w:val="00CB13BC"/>
    <w:rsid w:val="00CB1405"/>
    <w:rsid w:val="00CB1480"/>
    <w:rsid w:val="00CB16A9"/>
    <w:rsid w:val="00CB16CD"/>
    <w:rsid w:val="00CB179A"/>
    <w:rsid w:val="00CB1A9C"/>
    <w:rsid w:val="00CB1B76"/>
    <w:rsid w:val="00CB1C23"/>
    <w:rsid w:val="00CB1FF1"/>
    <w:rsid w:val="00CB2277"/>
    <w:rsid w:val="00CB22C6"/>
    <w:rsid w:val="00CB26FC"/>
    <w:rsid w:val="00CB274A"/>
    <w:rsid w:val="00CB27A1"/>
    <w:rsid w:val="00CB2A4F"/>
    <w:rsid w:val="00CB2B52"/>
    <w:rsid w:val="00CB2B7D"/>
    <w:rsid w:val="00CB2D0D"/>
    <w:rsid w:val="00CB2EF3"/>
    <w:rsid w:val="00CB33BE"/>
    <w:rsid w:val="00CB33E9"/>
    <w:rsid w:val="00CB3475"/>
    <w:rsid w:val="00CB35D5"/>
    <w:rsid w:val="00CB38EE"/>
    <w:rsid w:val="00CB3938"/>
    <w:rsid w:val="00CB39A4"/>
    <w:rsid w:val="00CB3AF2"/>
    <w:rsid w:val="00CB3B3E"/>
    <w:rsid w:val="00CB3C1C"/>
    <w:rsid w:val="00CB40B8"/>
    <w:rsid w:val="00CB42A4"/>
    <w:rsid w:val="00CB42C8"/>
    <w:rsid w:val="00CB430B"/>
    <w:rsid w:val="00CB465D"/>
    <w:rsid w:val="00CB4B0A"/>
    <w:rsid w:val="00CB4B77"/>
    <w:rsid w:val="00CB4D95"/>
    <w:rsid w:val="00CB5006"/>
    <w:rsid w:val="00CB501A"/>
    <w:rsid w:val="00CB503A"/>
    <w:rsid w:val="00CB50D1"/>
    <w:rsid w:val="00CB522A"/>
    <w:rsid w:val="00CB5307"/>
    <w:rsid w:val="00CB540A"/>
    <w:rsid w:val="00CB5421"/>
    <w:rsid w:val="00CB576B"/>
    <w:rsid w:val="00CB5954"/>
    <w:rsid w:val="00CB5A62"/>
    <w:rsid w:val="00CB5D6D"/>
    <w:rsid w:val="00CB607D"/>
    <w:rsid w:val="00CB6471"/>
    <w:rsid w:val="00CB6866"/>
    <w:rsid w:val="00CB6A52"/>
    <w:rsid w:val="00CB6E31"/>
    <w:rsid w:val="00CB70DE"/>
    <w:rsid w:val="00CB776E"/>
    <w:rsid w:val="00CB7834"/>
    <w:rsid w:val="00CB795A"/>
    <w:rsid w:val="00CB7C04"/>
    <w:rsid w:val="00CB7EF5"/>
    <w:rsid w:val="00CB7F76"/>
    <w:rsid w:val="00CC0101"/>
    <w:rsid w:val="00CC01A9"/>
    <w:rsid w:val="00CC04A8"/>
    <w:rsid w:val="00CC0538"/>
    <w:rsid w:val="00CC0715"/>
    <w:rsid w:val="00CC0965"/>
    <w:rsid w:val="00CC0A4C"/>
    <w:rsid w:val="00CC0A75"/>
    <w:rsid w:val="00CC0B33"/>
    <w:rsid w:val="00CC0B93"/>
    <w:rsid w:val="00CC0E07"/>
    <w:rsid w:val="00CC1435"/>
    <w:rsid w:val="00CC1501"/>
    <w:rsid w:val="00CC16DF"/>
    <w:rsid w:val="00CC1849"/>
    <w:rsid w:val="00CC1BE7"/>
    <w:rsid w:val="00CC1C72"/>
    <w:rsid w:val="00CC1D58"/>
    <w:rsid w:val="00CC1F7F"/>
    <w:rsid w:val="00CC1FA6"/>
    <w:rsid w:val="00CC2078"/>
    <w:rsid w:val="00CC2081"/>
    <w:rsid w:val="00CC2201"/>
    <w:rsid w:val="00CC225F"/>
    <w:rsid w:val="00CC273B"/>
    <w:rsid w:val="00CC27E5"/>
    <w:rsid w:val="00CC2872"/>
    <w:rsid w:val="00CC2CA1"/>
    <w:rsid w:val="00CC2CB2"/>
    <w:rsid w:val="00CC2F4B"/>
    <w:rsid w:val="00CC31C4"/>
    <w:rsid w:val="00CC31C9"/>
    <w:rsid w:val="00CC3301"/>
    <w:rsid w:val="00CC3672"/>
    <w:rsid w:val="00CC3983"/>
    <w:rsid w:val="00CC39B6"/>
    <w:rsid w:val="00CC3A2D"/>
    <w:rsid w:val="00CC3C61"/>
    <w:rsid w:val="00CC3C82"/>
    <w:rsid w:val="00CC3E16"/>
    <w:rsid w:val="00CC4109"/>
    <w:rsid w:val="00CC463A"/>
    <w:rsid w:val="00CC4733"/>
    <w:rsid w:val="00CC4737"/>
    <w:rsid w:val="00CC47A3"/>
    <w:rsid w:val="00CC4AA1"/>
    <w:rsid w:val="00CC4E52"/>
    <w:rsid w:val="00CC54F4"/>
    <w:rsid w:val="00CC5549"/>
    <w:rsid w:val="00CC5750"/>
    <w:rsid w:val="00CC5763"/>
    <w:rsid w:val="00CC5963"/>
    <w:rsid w:val="00CC5E68"/>
    <w:rsid w:val="00CC5FD6"/>
    <w:rsid w:val="00CC5FF7"/>
    <w:rsid w:val="00CC6056"/>
    <w:rsid w:val="00CC6432"/>
    <w:rsid w:val="00CC6592"/>
    <w:rsid w:val="00CC6712"/>
    <w:rsid w:val="00CC67F4"/>
    <w:rsid w:val="00CC6830"/>
    <w:rsid w:val="00CC6834"/>
    <w:rsid w:val="00CC6E5A"/>
    <w:rsid w:val="00CC6E7D"/>
    <w:rsid w:val="00CC7002"/>
    <w:rsid w:val="00CC720D"/>
    <w:rsid w:val="00CC7245"/>
    <w:rsid w:val="00CC7341"/>
    <w:rsid w:val="00CC74CC"/>
    <w:rsid w:val="00CC7648"/>
    <w:rsid w:val="00CC7A68"/>
    <w:rsid w:val="00CC7A91"/>
    <w:rsid w:val="00CC7AFD"/>
    <w:rsid w:val="00CC7D7A"/>
    <w:rsid w:val="00CC7DA1"/>
    <w:rsid w:val="00CD0021"/>
    <w:rsid w:val="00CD00AF"/>
    <w:rsid w:val="00CD00C0"/>
    <w:rsid w:val="00CD00D6"/>
    <w:rsid w:val="00CD05A9"/>
    <w:rsid w:val="00CD08A8"/>
    <w:rsid w:val="00CD0DCE"/>
    <w:rsid w:val="00CD0F9C"/>
    <w:rsid w:val="00CD1168"/>
    <w:rsid w:val="00CD162D"/>
    <w:rsid w:val="00CD1899"/>
    <w:rsid w:val="00CD1C54"/>
    <w:rsid w:val="00CD1D34"/>
    <w:rsid w:val="00CD2003"/>
    <w:rsid w:val="00CD2036"/>
    <w:rsid w:val="00CD2039"/>
    <w:rsid w:val="00CD217F"/>
    <w:rsid w:val="00CD2195"/>
    <w:rsid w:val="00CD223B"/>
    <w:rsid w:val="00CD248B"/>
    <w:rsid w:val="00CD27CC"/>
    <w:rsid w:val="00CD28B4"/>
    <w:rsid w:val="00CD290D"/>
    <w:rsid w:val="00CD2D80"/>
    <w:rsid w:val="00CD2FA4"/>
    <w:rsid w:val="00CD3304"/>
    <w:rsid w:val="00CD370C"/>
    <w:rsid w:val="00CD38F1"/>
    <w:rsid w:val="00CD3962"/>
    <w:rsid w:val="00CD39D7"/>
    <w:rsid w:val="00CD3A39"/>
    <w:rsid w:val="00CD3BC7"/>
    <w:rsid w:val="00CD3CE5"/>
    <w:rsid w:val="00CD3EA5"/>
    <w:rsid w:val="00CD4048"/>
    <w:rsid w:val="00CD42F1"/>
    <w:rsid w:val="00CD4508"/>
    <w:rsid w:val="00CD45F3"/>
    <w:rsid w:val="00CD469B"/>
    <w:rsid w:val="00CD469C"/>
    <w:rsid w:val="00CD4FCE"/>
    <w:rsid w:val="00CD54C9"/>
    <w:rsid w:val="00CD55BD"/>
    <w:rsid w:val="00CD565C"/>
    <w:rsid w:val="00CD5678"/>
    <w:rsid w:val="00CD5C34"/>
    <w:rsid w:val="00CD5DB4"/>
    <w:rsid w:val="00CD5FE0"/>
    <w:rsid w:val="00CD6038"/>
    <w:rsid w:val="00CD620C"/>
    <w:rsid w:val="00CD6218"/>
    <w:rsid w:val="00CD63D3"/>
    <w:rsid w:val="00CD64ED"/>
    <w:rsid w:val="00CD667D"/>
    <w:rsid w:val="00CD68C1"/>
    <w:rsid w:val="00CD6B97"/>
    <w:rsid w:val="00CD6DA5"/>
    <w:rsid w:val="00CD6FA5"/>
    <w:rsid w:val="00CD6FAA"/>
    <w:rsid w:val="00CD6FD1"/>
    <w:rsid w:val="00CD711D"/>
    <w:rsid w:val="00CD7142"/>
    <w:rsid w:val="00CD729F"/>
    <w:rsid w:val="00CD74AE"/>
    <w:rsid w:val="00CD76EF"/>
    <w:rsid w:val="00CD7776"/>
    <w:rsid w:val="00CD7777"/>
    <w:rsid w:val="00CD7893"/>
    <w:rsid w:val="00CD7A17"/>
    <w:rsid w:val="00CD7FBF"/>
    <w:rsid w:val="00CE0186"/>
    <w:rsid w:val="00CE01EB"/>
    <w:rsid w:val="00CE02C4"/>
    <w:rsid w:val="00CE0FA8"/>
    <w:rsid w:val="00CE12B9"/>
    <w:rsid w:val="00CE1485"/>
    <w:rsid w:val="00CE163A"/>
    <w:rsid w:val="00CE1785"/>
    <w:rsid w:val="00CE1A68"/>
    <w:rsid w:val="00CE1BEB"/>
    <w:rsid w:val="00CE222F"/>
    <w:rsid w:val="00CE2599"/>
    <w:rsid w:val="00CE28DC"/>
    <w:rsid w:val="00CE2A55"/>
    <w:rsid w:val="00CE2B53"/>
    <w:rsid w:val="00CE2B84"/>
    <w:rsid w:val="00CE2C10"/>
    <w:rsid w:val="00CE2CC9"/>
    <w:rsid w:val="00CE2CEF"/>
    <w:rsid w:val="00CE3028"/>
    <w:rsid w:val="00CE3165"/>
    <w:rsid w:val="00CE33A7"/>
    <w:rsid w:val="00CE3653"/>
    <w:rsid w:val="00CE38DD"/>
    <w:rsid w:val="00CE3BF8"/>
    <w:rsid w:val="00CE3D73"/>
    <w:rsid w:val="00CE3D76"/>
    <w:rsid w:val="00CE3DC6"/>
    <w:rsid w:val="00CE42C4"/>
    <w:rsid w:val="00CE455D"/>
    <w:rsid w:val="00CE4715"/>
    <w:rsid w:val="00CE4A0F"/>
    <w:rsid w:val="00CE4C1C"/>
    <w:rsid w:val="00CE504B"/>
    <w:rsid w:val="00CE548E"/>
    <w:rsid w:val="00CE550F"/>
    <w:rsid w:val="00CE5E3D"/>
    <w:rsid w:val="00CE5F61"/>
    <w:rsid w:val="00CE5F87"/>
    <w:rsid w:val="00CE6032"/>
    <w:rsid w:val="00CE6142"/>
    <w:rsid w:val="00CE6252"/>
    <w:rsid w:val="00CE653D"/>
    <w:rsid w:val="00CE656A"/>
    <w:rsid w:val="00CE658D"/>
    <w:rsid w:val="00CE665F"/>
    <w:rsid w:val="00CE6883"/>
    <w:rsid w:val="00CE6937"/>
    <w:rsid w:val="00CE6C63"/>
    <w:rsid w:val="00CE7093"/>
    <w:rsid w:val="00CE72C7"/>
    <w:rsid w:val="00CE750E"/>
    <w:rsid w:val="00CE783A"/>
    <w:rsid w:val="00CE7ABD"/>
    <w:rsid w:val="00CE7AF9"/>
    <w:rsid w:val="00CE7D76"/>
    <w:rsid w:val="00CF02E3"/>
    <w:rsid w:val="00CF0466"/>
    <w:rsid w:val="00CF09C2"/>
    <w:rsid w:val="00CF0A18"/>
    <w:rsid w:val="00CF0A2F"/>
    <w:rsid w:val="00CF111C"/>
    <w:rsid w:val="00CF112C"/>
    <w:rsid w:val="00CF1356"/>
    <w:rsid w:val="00CF1497"/>
    <w:rsid w:val="00CF17C4"/>
    <w:rsid w:val="00CF1D20"/>
    <w:rsid w:val="00CF1EE9"/>
    <w:rsid w:val="00CF1FC4"/>
    <w:rsid w:val="00CF20DA"/>
    <w:rsid w:val="00CF20ED"/>
    <w:rsid w:val="00CF2224"/>
    <w:rsid w:val="00CF256E"/>
    <w:rsid w:val="00CF2689"/>
    <w:rsid w:val="00CF2868"/>
    <w:rsid w:val="00CF28D7"/>
    <w:rsid w:val="00CF292C"/>
    <w:rsid w:val="00CF2A24"/>
    <w:rsid w:val="00CF2A7A"/>
    <w:rsid w:val="00CF2AB0"/>
    <w:rsid w:val="00CF2C18"/>
    <w:rsid w:val="00CF2CF4"/>
    <w:rsid w:val="00CF2D8C"/>
    <w:rsid w:val="00CF2F7E"/>
    <w:rsid w:val="00CF315C"/>
    <w:rsid w:val="00CF3259"/>
    <w:rsid w:val="00CF32CA"/>
    <w:rsid w:val="00CF3495"/>
    <w:rsid w:val="00CF3642"/>
    <w:rsid w:val="00CF3B8A"/>
    <w:rsid w:val="00CF3D5F"/>
    <w:rsid w:val="00CF4080"/>
    <w:rsid w:val="00CF4133"/>
    <w:rsid w:val="00CF48DF"/>
    <w:rsid w:val="00CF4D3E"/>
    <w:rsid w:val="00CF4FBE"/>
    <w:rsid w:val="00CF5182"/>
    <w:rsid w:val="00CF522D"/>
    <w:rsid w:val="00CF524A"/>
    <w:rsid w:val="00CF527E"/>
    <w:rsid w:val="00CF531C"/>
    <w:rsid w:val="00CF5320"/>
    <w:rsid w:val="00CF5403"/>
    <w:rsid w:val="00CF555A"/>
    <w:rsid w:val="00CF5653"/>
    <w:rsid w:val="00CF5699"/>
    <w:rsid w:val="00CF56EF"/>
    <w:rsid w:val="00CF58D3"/>
    <w:rsid w:val="00CF5BF3"/>
    <w:rsid w:val="00CF5C08"/>
    <w:rsid w:val="00CF5DE6"/>
    <w:rsid w:val="00CF5E34"/>
    <w:rsid w:val="00CF5FB5"/>
    <w:rsid w:val="00CF5FCB"/>
    <w:rsid w:val="00CF5FE2"/>
    <w:rsid w:val="00CF67F3"/>
    <w:rsid w:val="00CF68AF"/>
    <w:rsid w:val="00CF6E63"/>
    <w:rsid w:val="00CF700A"/>
    <w:rsid w:val="00CF7AEB"/>
    <w:rsid w:val="00CF7D81"/>
    <w:rsid w:val="00CF7DE7"/>
    <w:rsid w:val="00CF7F2F"/>
    <w:rsid w:val="00D001EC"/>
    <w:rsid w:val="00D00511"/>
    <w:rsid w:val="00D00767"/>
    <w:rsid w:val="00D0079E"/>
    <w:rsid w:val="00D008E1"/>
    <w:rsid w:val="00D009A6"/>
    <w:rsid w:val="00D00A16"/>
    <w:rsid w:val="00D00A8E"/>
    <w:rsid w:val="00D00BE8"/>
    <w:rsid w:val="00D00C6B"/>
    <w:rsid w:val="00D00FAB"/>
    <w:rsid w:val="00D0148A"/>
    <w:rsid w:val="00D014EC"/>
    <w:rsid w:val="00D01529"/>
    <w:rsid w:val="00D01893"/>
    <w:rsid w:val="00D01D34"/>
    <w:rsid w:val="00D02178"/>
    <w:rsid w:val="00D0221D"/>
    <w:rsid w:val="00D02289"/>
    <w:rsid w:val="00D027FD"/>
    <w:rsid w:val="00D02AA9"/>
    <w:rsid w:val="00D02B98"/>
    <w:rsid w:val="00D02D59"/>
    <w:rsid w:val="00D02E49"/>
    <w:rsid w:val="00D02F13"/>
    <w:rsid w:val="00D034F8"/>
    <w:rsid w:val="00D03734"/>
    <w:rsid w:val="00D039D9"/>
    <w:rsid w:val="00D03AC5"/>
    <w:rsid w:val="00D03B7B"/>
    <w:rsid w:val="00D03D5C"/>
    <w:rsid w:val="00D04054"/>
    <w:rsid w:val="00D040CF"/>
    <w:rsid w:val="00D04363"/>
    <w:rsid w:val="00D04636"/>
    <w:rsid w:val="00D046E3"/>
    <w:rsid w:val="00D04751"/>
    <w:rsid w:val="00D04986"/>
    <w:rsid w:val="00D04BBB"/>
    <w:rsid w:val="00D04C01"/>
    <w:rsid w:val="00D04DF7"/>
    <w:rsid w:val="00D04DFD"/>
    <w:rsid w:val="00D04F90"/>
    <w:rsid w:val="00D05036"/>
    <w:rsid w:val="00D05296"/>
    <w:rsid w:val="00D05662"/>
    <w:rsid w:val="00D05900"/>
    <w:rsid w:val="00D05933"/>
    <w:rsid w:val="00D05959"/>
    <w:rsid w:val="00D0598B"/>
    <w:rsid w:val="00D059DF"/>
    <w:rsid w:val="00D05D17"/>
    <w:rsid w:val="00D05EF4"/>
    <w:rsid w:val="00D068DF"/>
    <w:rsid w:val="00D06AF0"/>
    <w:rsid w:val="00D06B82"/>
    <w:rsid w:val="00D06FB3"/>
    <w:rsid w:val="00D07039"/>
    <w:rsid w:val="00D07317"/>
    <w:rsid w:val="00D07500"/>
    <w:rsid w:val="00D0751E"/>
    <w:rsid w:val="00D07670"/>
    <w:rsid w:val="00D07957"/>
    <w:rsid w:val="00D07961"/>
    <w:rsid w:val="00D07986"/>
    <w:rsid w:val="00D07AAE"/>
    <w:rsid w:val="00D07B93"/>
    <w:rsid w:val="00D07C10"/>
    <w:rsid w:val="00D100B3"/>
    <w:rsid w:val="00D10540"/>
    <w:rsid w:val="00D10AC6"/>
    <w:rsid w:val="00D10ADE"/>
    <w:rsid w:val="00D10BC1"/>
    <w:rsid w:val="00D10FEE"/>
    <w:rsid w:val="00D111FA"/>
    <w:rsid w:val="00D1153D"/>
    <w:rsid w:val="00D116AA"/>
    <w:rsid w:val="00D11782"/>
    <w:rsid w:val="00D118EB"/>
    <w:rsid w:val="00D1190F"/>
    <w:rsid w:val="00D11B61"/>
    <w:rsid w:val="00D11E50"/>
    <w:rsid w:val="00D11E89"/>
    <w:rsid w:val="00D11EF7"/>
    <w:rsid w:val="00D123E2"/>
    <w:rsid w:val="00D125B4"/>
    <w:rsid w:val="00D12C70"/>
    <w:rsid w:val="00D12C91"/>
    <w:rsid w:val="00D12E96"/>
    <w:rsid w:val="00D1329F"/>
    <w:rsid w:val="00D13507"/>
    <w:rsid w:val="00D13731"/>
    <w:rsid w:val="00D13813"/>
    <w:rsid w:val="00D13893"/>
    <w:rsid w:val="00D13914"/>
    <w:rsid w:val="00D13AE7"/>
    <w:rsid w:val="00D13B3D"/>
    <w:rsid w:val="00D13DAD"/>
    <w:rsid w:val="00D13EC7"/>
    <w:rsid w:val="00D14312"/>
    <w:rsid w:val="00D14560"/>
    <w:rsid w:val="00D1467D"/>
    <w:rsid w:val="00D147B6"/>
    <w:rsid w:val="00D14944"/>
    <w:rsid w:val="00D14B82"/>
    <w:rsid w:val="00D14B8E"/>
    <w:rsid w:val="00D14BBE"/>
    <w:rsid w:val="00D14EEF"/>
    <w:rsid w:val="00D150B3"/>
    <w:rsid w:val="00D15170"/>
    <w:rsid w:val="00D1524B"/>
    <w:rsid w:val="00D15334"/>
    <w:rsid w:val="00D154CB"/>
    <w:rsid w:val="00D156C1"/>
    <w:rsid w:val="00D1580C"/>
    <w:rsid w:val="00D15A37"/>
    <w:rsid w:val="00D15AE8"/>
    <w:rsid w:val="00D15B70"/>
    <w:rsid w:val="00D15EB1"/>
    <w:rsid w:val="00D15FF7"/>
    <w:rsid w:val="00D1631B"/>
    <w:rsid w:val="00D1644C"/>
    <w:rsid w:val="00D16554"/>
    <w:rsid w:val="00D16912"/>
    <w:rsid w:val="00D16A93"/>
    <w:rsid w:val="00D16AE2"/>
    <w:rsid w:val="00D16DD7"/>
    <w:rsid w:val="00D16EEC"/>
    <w:rsid w:val="00D16F76"/>
    <w:rsid w:val="00D17076"/>
    <w:rsid w:val="00D17338"/>
    <w:rsid w:val="00D176FD"/>
    <w:rsid w:val="00D177CB"/>
    <w:rsid w:val="00D177F0"/>
    <w:rsid w:val="00D178AC"/>
    <w:rsid w:val="00D17911"/>
    <w:rsid w:val="00D179AF"/>
    <w:rsid w:val="00D17AB9"/>
    <w:rsid w:val="00D17BF9"/>
    <w:rsid w:val="00D20113"/>
    <w:rsid w:val="00D20197"/>
    <w:rsid w:val="00D201F1"/>
    <w:rsid w:val="00D2021D"/>
    <w:rsid w:val="00D2035C"/>
    <w:rsid w:val="00D20923"/>
    <w:rsid w:val="00D20944"/>
    <w:rsid w:val="00D209E4"/>
    <w:rsid w:val="00D20AAF"/>
    <w:rsid w:val="00D20C6B"/>
    <w:rsid w:val="00D21591"/>
    <w:rsid w:val="00D21616"/>
    <w:rsid w:val="00D21863"/>
    <w:rsid w:val="00D21896"/>
    <w:rsid w:val="00D21A61"/>
    <w:rsid w:val="00D21C39"/>
    <w:rsid w:val="00D21D6D"/>
    <w:rsid w:val="00D21E0B"/>
    <w:rsid w:val="00D21EE5"/>
    <w:rsid w:val="00D2297F"/>
    <w:rsid w:val="00D22A6D"/>
    <w:rsid w:val="00D22DF6"/>
    <w:rsid w:val="00D23470"/>
    <w:rsid w:val="00D234A8"/>
    <w:rsid w:val="00D23955"/>
    <w:rsid w:val="00D23D04"/>
    <w:rsid w:val="00D23E9B"/>
    <w:rsid w:val="00D23F4B"/>
    <w:rsid w:val="00D24016"/>
    <w:rsid w:val="00D24507"/>
    <w:rsid w:val="00D248E1"/>
    <w:rsid w:val="00D24B31"/>
    <w:rsid w:val="00D24DC8"/>
    <w:rsid w:val="00D24E9D"/>
    <w:rsid w:val="00D24EBA"/>
    <w:rsid w:val="00D24F69"/>
    <w:rsid w:val="00D24F8F"/>
    <w:rsid w:val="00D25036"/>
    <w:rsid w:val="00D25487"/>
    <w:rsid w:val="00D254B3"/>
    <w:rsid w:val="00D258FF"/>
    <w:rsid w:val="00D25A4A"/>
    <w:rsid w:val="00D25C0E"/>
    <w:rsid w:val="00D25D45"/>
    <w:rsid w:val="00D25F16"/>
    <w:rsid w:val="00D25FE2"/>
    <w:rsid w:val="00D261B1"/>
    <w:rsid w:val="00D26256"/>
    <w:rsid w:val="00D264F6"/>
    <w:rsid w:val="00D2663D"/>
    <w:rsid w:val="00D26CEB"/>
    <w:rsid w:val="00D26EE2"/>
    <w:rsid w:val="00D26FA8"/>
    <w:rsid w:val="00D27166"/>
    <w:rsid w:val="00D27336"/>
    <w:rsid w:val="00D27613"/>
    <w:rsid w:val="00D276E2"/>
    <w:rsid w:val="00D278DF"/>
    <w:rsid w:val="00D27940"/>
    <w:rsid w:val="00D279D2"/>
    <w:rsid w:val="00D27A64"/>
    <w:rsid w:val="00D27AAE"/>
    <w:rsid w:val="00D27C50"/>
    <w:rsid w:val="00D30061"/>
    <w:rsid w:val="00D302BC"/>
    <w:rsid w:val="00D30365"/>
    <w:rsid w:val="00D30571"/>
    <w:rsid w:val="00D3086C"/>
    <w:rsid w:val="00D309EF"/>
    <w:rsid w:val="00D30AC4"/>
    <w:rsid w:val="00D30BE2"/>
    <w:rsid w:val="00D30C02"/>
    <w:rsid w:val="00D30F85"/>
    <w:rsid w:val="00D31111"/>
    <w:rsid w:val="00D31139"/>
    <w:rsid w:val="00D3125D"/>
    <w:rsid w:val="00D313DD"/>
    <w:rsid w:val="00D3153F"/>
    <w:rsid w:val="00D317D0"/>
    <w:rsid w:val="00D318A1"/>
    <w:rsid w:val="00D31E04"/>
    <w:rsid w:val="00D3231E"/>
    <w:rsid w:val="00D3248F"/>
    <w:rsid w:val="00D32495"/>
    <w:rsid w:val="00D324BC"/>
    <w:rsid w:val="00D3287B"/>
    <w:rsid w:val="00D32DF7"/>
    <w:rsid w:val="00D331D3"/>
    <w:rsid w:val="00D3323B"/>
    <w:rsid w:val="00D332B6"/>
    <w:rsid w:val="00D33503"/>
    <w:rsid w:val="00D33572"/>
    <w:rsid w:val="00D33B7C"/>
    <w:rsid w:val="00D33E91"/>
    <w:rsid w:val="00D34190"/>
    <w:rsid w:val="00D3445E"/>
    <w:rsid w:val="00D34592"/>
    <w:rsid w:val="00D346E0"/>
    <w:rsid w:val="00D34A11"/>
    <w:rsid w:val="00D34C71"/>
    <w:rsid w:val="00D34D27"/>
    <w:rsid w:val="00D34D81"/>
    <w:rsid w:val="00D353FD"/>
    <w:rsid w:val="00D35447"/>
    <w:rsid w:val="00D355CA"/>
    <w:rsid w:val="00D358D8"/>
    <w:rsid w:val="00D35A5F"/>
    <w:rsid w:val="00D35B49"/>
    <w:rsid w:val="00D35B7A"/>
    <w:rsid w:val="00D360CB"/>
    <w:rsid w:val="00D362DB"/>
    <w:rsid w:val="00D36616"/>
    <w:rsid w:val="00D36997"/>
    <w:rsid w:val="00D36A63"/>
    <w:rsid w:val="00D36F84"/>
    <w:rsid w:val="00D372AE"/>
    <w:rsid w:val="00D3778D"/>
    <w:rsid w:val="00D37F2C"/>
    <w:rsid w:val="00D400CC"/>
    <w:rsid w:val="00D4031F"/>
    <w:rsid w:val="00D4036C"/>
    <w:rsid w:val="00D407F0"/>
    <w:rsid w:val="00D409BB"/>
    <w:rsid w:val="00D409EA"/>
    <w:rsid w:val="00D40B3A"/>
    <w:rsid w:val="00D40BB7"/>
    <w:rsid w:val="00D40D7D"/>
    <w:rsid w:val="00D40EA8"/>
    <w:rsid w:val="00D40F28"/>
    <w:rsid w:val="00D4106D"/>
    <w:rsid w:val="00D411A0"/>
    <w:rsid w:val="00D411F7"/>
    <w:rsid w:val="00D41476"/>
    <w:rsid w:val="00D4149C"/>
    <w:rsid w:val="00D41637"/>
    <w:rsid w:val="00D41B86"/>
    <w:rsid w:val="00D427B9"/>
    <w:rsid w:val="00D4289E"/>
    <w:rsid w:val="00D42B39"/>
    <w:rsid w:val="00D42C42"/>
    <w:rsid w:val="00D42CAA"/>
    <w:rsid w:val="00D42FF2"/>
    <w:rsid w:val="00D42FF7"/>
    <w:rsid w:val="00D430E5"/>
    <w:rsid w:val="00D437D1"/>
    <w:rsid w:val="00D439D3"/>
    <w:rsid w:val="00D43A63"/>
    <w:rsid w:val="00D43AB3"/>
    <w:rsid w:val="00D43ADB"/>
    <w:rsid w:val="00D43B2D"/>
    <w:rsid w:val="00D43D9C"/>
    <w:rsid w:val="00D43E45"/>
    <w:rsid w:val="00D43F5B"/>
    <w:rsid w:val="00D440A6"/>
    <w:rsid w:val="00D440B2"/>
    <w:rsid w:val="00D44197"/>
    <w:rsid w:val="00D44241"/>
    <w:rsid w:val="00D44642"/>
    <w:rsid w:val="00D44A51"/>
    <w:rsid w:val="00D44B90"/>
    <w:rsid w:val="00D44CEF"/>
    <w:rsid w:val="00D44D9F"/>
    <w:rsid w:val="00D45168"/>
    <w:rsid w:val="00D453AC"/>
    <w:rsid w:val="00D4570D"/>
    <w:rsid w:val="00D45A02"/>
    <w:rsid w:val="00D45A8A"/>
    <w:rsid w:val="00D45E89"/>
    <w:rsid w:val="00D46195"/>
    <w:rsid w:val="00D46251"/>
    <w:rsid w:val="00D46608"/>
    <w:rsid w:val="00D4667E"/>
    <w:rsid w:val="00D4676C"/>
    <w:rsid w:val="00D467AB"/>
    <w:rsid w:val="00D46A96"/>
    <w:rsid w:val="00D46ABF"/>
    <w:rsid w:val="00D46B1C"/>
    <w:rsid w:val="00D46B96"/>
    <w:rsid w:val="00D46D25"/>
    <w:rsid w:val="00D46FCF"/>
    <w:rsid w:val="00D46FFC"/>
    <w:rsid w:val="00D47042"/>
    <w:rsid w:val="00D4720E"/>
    <w:rsid w:val="00D47213"/>
    <w:rsid w:val="00D47525"/>
    <w:rsid w:val="00D47779"/>
    <w:rsid w:val="00D478AC"/>
    <w:rsid w:val="00D47998"/>
    <w:rsid w:val="00D47CA1"/>
    <w:rsid w:val="00D47DE1"/>
    <w:rsid w:val="00D47E24"/>
    <w:rsid w:val="00D500EB"/>
    <w:rsid w:val="00D50414"/>
    <w:rsid w:val="00D50620"/>
    <w:rsid w:val="00D50670"/>
    <w:rsid w:val="00D5082F"/>
    <w:rsid w:val="00D50937"/>
    <w:rsid w:val="00D50973"/>
    <w:rsid w:val="00D50A42"/>
    <w:rsid w:val="00D51035"/>
    <w:rsid w:val="00D51348"/>
    <w:rsid w:val="00D513E2"/>
    <w:rsid w:val="00D5141B"/>
    <w:rsid w:val="00D515AF"/>
    <w:rsid w:val="00D515FC"/>
    <w:rsid w:val="00D5160F"/>
    <w:rsid w:val="00D51754"/>
    <w:rsid w:val="00D5184F"/>
    <w:rsid w:val="00D5189A"/>
    <w:rsid w:val="00D51A75"/>
    <w:rsid w:val="00D51EEA"/>
    <w:rsid w:val="00D51F04"/>
    <w:rsid w:val="00D52038"/>
    <w:rsid w:val="00D522EB"/>
    <w:rsid w:val="00D52513"/>
    <w:rsid w:val="00D525E1"/>
    <w:rsid w:val="00D527AD"/>
    <w:rsid w:val="00D52ADB"/>
    <w:rsid w:val="00D52ADE"/>
    <w:rsid w:val="00D52CB6"/>
    <w:rsid w:val="00D52EB6"/>
    <w:rsid w:val="00D5338B"/>
    <w:rsid w:val="00D5354A"/>
    <w:rsid w:val="00D53575"/>
    <w:rsid w:val="00D535D3"/>
    <w:rsid w:val="00D538C7"/>
    <w:rsid w:val="00D538D7"/>
    <w:rsid w:val="00D53934"/>
    <w:rsid w:val="00D53BA2"/>
    <w:rsid w:val="00D53D13"/>
    <w:rsid w:val="00D53EF0"/>
    <w:rsid w:val="00D5417F"/>
    <w:rsid w:val="00D54240"/>
    <w:rsid w:val="00D542C7"/>
    <w:rsid w:val="00D546CF"/>
    <w:rsid w:val="00D54901"/>
    <w:rsid w:val="00D549B0"/>
    <w:rsid w:val="00D54C81"/>
    <w:rsid w:val="00D54F99"/>
    <w:rsid w:val="00D55137"/>
    <w:rsid w:val="00D551AE"/>
    <w:rsid w:val="00D55345"/>
    <w:rsid w:val="00D554A1"/>
    <w:rsid w:val="00D55555"/>
    <w:rsid w:val="00D55668"/>
    <w:rsid w:val="00D55724"/>
    <w:rsid w:val="00D55786"/>
    <w:rsid w:val="00D558E9"/>
    <w:rsid w:val="00D5593A"/>
    <w:rsid w:val="00D55C08"/>
    <w:rsid w:val="00D55C30"/>
    <w:rsid w:val="00D55D3C"/>
    <w:rsid w:val="00D560AF"/>
    <w:rsid w:val="00D562A6"/>
    <w:rsid w:val="00D56364"/>
    <w:rsid w:val="00D56869"/>
    <w:rsid w:val="00D56972"/>
    <w:rsid w:val="00D56A82"/>
    <w:rsid w:val="00D56B86"/>
    <w:rsid w:val="00D56BE5"/>
    <w:rsid w:val="00D56CC8"/>
    <w:rsid w:val="00D56DBE"/>
    <w:rsid w:val="00D56EBD"/>
    <w:rsid w:val="00D56F74"/>
    <w:rsid w:val="00D571F0"/>
    <w:rsid w:val="00D571F5"/>
    <w:rsid w:val="00D57555"/>
    <w:rsid w:val="00D57779"/>
    <w:rsid w:val="00D57829"/>
    <w:rsid w:val="00D57897"/>
    <w:rsid w:val="00D57ABF"/>
    <w:rsid w:val="00D60134"/>
    <w:rsid w:val="00D602D0"/>
    <w:rsid w:val="00D60386"/>
    <w:rsid w:val="00D6082B"/>
    <w:rsid w:val="00D60ADC"/>
    <w:rsid w:val="00D60D79"/>
    <w:rsid w:val="00D60FB6"/>
    <w:rsid w:val="00D61166"/>
    <w:rsid w:val="00D6121D"/>
    <w:rsid w:val="00D61575"/>
    <w:rsid w:val="00D615AF"/>
    <w:rsid w:val="00D621A5"/>
    <w:rsid w:val="00D624A6"/>
    <w:rsid w:val="00D625D0"/>
    <w:rsid w:val="00D627D9"/>
    <w:rsid w:val="00D62880"/>
    <w:rsid w:val="00D6292C"/>
    <w:rsid w:val="00D62AAD"/>
    <w:rsid w:val="00D62C56"/>
    <w:rsid w:val="00D62CCE"/>
    <w:rsid w:val="00D630E5"/>
    <w:rsid w:val="00D630EC"/>
    <w:rsid w:val="00D63343"/>
    <w:rsid w:val="00D63822"/>
    <w:rsid w:val="00D63ABA"/>
    <w:rsid w:val="00D63C06"/>
    <w:rsid w:val="00D63C77"/>
    <w:rsid w:val="00D63F3A"/>
    <w:rsid w:val="00D6400B"/>
    <w:rsid w:val="00D647C5"/>
    <w:rsid w:val="00D64B89"/>
    <w:rsid w:val="00D64DFA"/>
    <w:rsid w:val="00D65117"/>
    <w:rsid w:val="00D65210"/>
    <w:rsid w:val="00D6542A"/>
    <w:rsid w:val="00D65470"/>
    <w:rsid w:val="00D65557"/>
    <w:rsid w:val="00D65990"/>
    <w:rsid w:val="00D659A7"/>
    <w:rsid w:val="00D663F4"/>
    <w:rsid w:val="00D66405"/>
    <w:rsid w:val="00D6679C"/>
    <w:rsid w:val="00D667E8"/>
    <w:rsid w:val="00D66B21"/>
    <w:rsid w:val="00D66C93"/>
    <w:rsid w:val="00D672D4"/>
    <w:rsid w:val="00D67511"/>
    <w:rsid w:val="00D67524"/>
    <w:rsid w:val="00D675FC"/>
    <w:rsid w:val="00D67820"/>
    <w:rsid w:val="00D6797C"/>
    <w:rsid w:val="00D67A74"/>
    <w:rsid w:val="00D67BFE"/>
    <w:rsid w:val="00D67E55"/>
    <w:rsid w:val="00D67EE0"/>
    <w:rsid w:val="00D67F6B"/>
    <w:rsid w:val="00D70244"/>
    <w:rsid w:val="00D70737"/>
    <w:rsid w:val="00D70758"/>
    <w:rsid w:val="00D70872"/>
    <w:rsid w:val="00D70A73"/>
    <w:rsid w:val="00D70F7C"/>
    <w:rsid w:val="00D70FFD"/>
    <w:rsid w:val="00D71033"/>
    <w:rsid w:val="00D71159"/>
    <w:rsid w:val="00D71404"/>
    <w:rsid w:val="00D7142E"/>
    <w:rsid w:val="00D716FD"/>
    <w:rsid w:val="00D71813"/>
    <w:rsid w:val="00D71AEE"/>
    <w:rsid w:val="00D71BD7"/>
    <w:rsid w:val="00D7249A"/>
    <w:rsid w:val="00D7283A"/>
    <w:rsid w:val="00D72969"/>
    <w:rsid w:val="00D72E13"/>
    <w:rsid w:val="00D7303E"/>
    <w:rsid w:val="00D734AA"/>
    <w:rsid w:val="00D7390A"/>
    <w:rsid w:val="00D73A62"/>
    <w:rsid w:val="00D73E26"/>
    <w:rsid w:val="00D73EFA"/>
    <w:rsid w:val="00D74208"/>
    <w:rsid w:val="00D74653"/>
    <w:rsid w:val="00D74905"/>
    <w:rsid w:val="00D7491F"/>
    <w:rsid w:val="00D74ABC"/>
    <w:rsid w:val="00D74BC9"/>
    <w:rsid w:val="00D74D88"/>
    <w:rsid w:val="00D74E0F"/>
    <w:rsid w:val="00D753B1"/>
    <w:rsid w:val="00D75455"/>
    <w:rsid w:val="00D75D65"/>
    <w:rsid w:val="00D75DC6"/>
    <w:rsid w:val="00D75E50"/>
    <w:rsid w:val="00D75FBB"/>
    <w:rsid w:val="00D762A6"/>
    <w:rsid w:val="00D7637C"/>
    <w:rsid w:val="00D76404"/>
    <w:rsid w:val="00D76B80"/>
    <w:rsid w:val="00D76CCF"/>
    <w:rsid w:val="00D76D7B"/>
    <w:rsid w:val="00D76E9B"/>
    <w:rsid w:val="00D7702D"/>
    <w:rsid w:val="00D77097"/>
    <w:rsid w:val="00D770EE"/>
    <w:rsid w:val="00D772C4"/>
    <w:rsid w:val="00D772C9"/>
    <w:rsid w:val="00D77548"/>
    <w:rsid w:val="00D777C7"/>
    <w:rsid w:val="00D77D81"/>
    <w:rsid w:val="00D77E98"/>
    <w:rsid w:val="00D77F10"/>
    <w:rsid w:val="00D800E2"/>
    <w:rsid w:val="00D8018D"/>
    <w:rsid w:val="00D801FB"/>
    <w:rsid w:val="00D80213"/>
    <w:rsid w:val="00D80615"/>
    <w:rsid w:val="00D809FC"/>
    <w:rsid w:val="00D80FB6"/>
    <w:rsid w:val="00D810E3"/>
    <w:rsid w:val="00D81107"/>
    <w:rsid w:val="00D81274"/>
    <w:rsid w:val="00D812A6"/>
    <w:rsid w:val="00D81737"/>
    <w:rsid w:val="00D8173D"/>
    <w:rsid w:val="00D817B9"/>
    <w:rsid w:val="00D8200B"/>
    <w:rsid w:val="00D82338"/>
    <w:rsid w:val="00D8282B"/>
    <w:rsid w:val="00D82A0B"/>
    <w:rsid w:val="00D82A1A"/>
    <w:rsid w:val="00D82BE7"/>
    <w:rsid w:val="00D82D64"/>
    <w:rsid w:val="00D82EFA"/>
    <w:rsid w:val="00D8343C"/>
    <w:rsid w:val="00D83496"/>
    <w:rsid w:val="00D837C9"/>
    <w:rsid w:val="00D8389D"/>
    <w:rsid w:val="00D83BB3"/>
    <w:rsid w:val="00D83C05"/>
    <w:rsid w:val="00D83F77"/>
    <w:rsid w:val="00D842D1"/>
    <w:rsid w:val="00D848C0"/>
    <w:rsid w:val="00D84C69"/>
    <w:rsid w:val="00D84D75"/>
    <w:rsid w:val="00D84F07"/>
    <w:rsid w:val="00D853CA"/>
    <w:rsid w:val="00D85421"/>
    <w:rsid w:val="00D85475"/>
    <w:rsid w:val="00D858DE"/>
    <w:rsid w:val="00D85963"/>
    <w:rsid w:val="00D85984"/>
    <w:rsid w:val="00D85C03"/>
    <w:rsid w:val="00D85CAC"/>
    <w:rsid w:val="00D85DF5"/>
    <w:rsid w:val="00D85E94"/>
    <w:rsid w:val="00D85FB1"/>
    <w:rsid w:val="00D85FE3"/>
    <w:rsid w:val="00D86313"/>
    <w:rsid w:val="00D8642C"/>
    <w:rsid w:val="00D865BD"/>
    <w:rsid w:val="00D86A99"/>
    <w:rsid w:val="00D86B03"/>
    <w:rsid w:val="00D86D02"/>
    <w:rsid w:val="00D8726E"/>
    <w:rsid w:val="00D87275"/>
    <w:rsid w:val="00D876A5"/>
    <w:rsid w:val="00D87AC1"/>
    <w:rsid w:val="00D87EAE"/>
    <w:rsid w:val="00D90713"/>
    <w:rsid w:val="00D90921"/>
    <w:rsid w:val="00D90A20"/>
    <w:rsid w:val="00D90A57"/>
    <w:rsid w:val="00D90C5A"/>
    <w:rsid w:val="00D910AE"/>
    <w:rsid w:val="00D9144B"/>
    <w:rsid w:val="00D9145A"/>
    <w:rsid w:val="00D91A23"/>
    <w:rsid w:val="00D91BD8"/>
    <w:rsid w:val="00D91D86"/>
    <w:rsid w:val="00D91ECB"/>
    <w:rsid w:val="00D91FC9"/>
    <w:rsid w:val="00D920A8"/>
    <w:rsid w:val="00D92233"/>
    <w:rsid w:val="00D92625"/>
    <w:rsid w:val="00D92794"/>
    <w:rsid w:val="00D92AE9"/>
    <w:rsid w:val="00D92BEB"/>
    <w:rsid w:val="00D92C6A"/>
    <w:rsid w:val="00D92D29"/>
    <w:rsid w:val="00D92E6D"/>
    <w:rsid w:val="00D92EBE"/>
    <w:rsid w:val="00D938E5"/>
    <w:rsid w:val="00D93AC9"/>
    <w:rsid w:val="00D93AD6"/>
    <w:rsid w:val="00D94267"/>
    <w:rsid w:val="00D94737"/>
    <w:rsid w:val="00D947AE"/>
    <w:rsid w:val="00D949FE"/>
    <w:rsid w:val="00D94DDB"/>
    <w:rsid w:val="00D94FC9"/>
    <w:rsid w:val="00D95375"/>
    <w:rsid w:val="00D953A1"/>
    <w:rsid w:val="00D95483"/>
    <w:rsid w:val="00D95597"/>
    <w:rsid w:val="00D95727"/>
    <w:rsid w:val="00D95EAD"/>
    <w:rsid w:val="00D95F0F"/>
    <w:rsid w:val="00D96203"/>
    <w:rsid w:val="00D9650C"/>
    <w:rsid w:val="00D96676"/>
    <w:rsid w:val="00D9677A"/>
    <w:rsid w:val="00D96904"/>
    <w:rsid w:val="00D96B67"/>
    <w:rsid w:val="00D96DAF"/>
    <w:rsid w:val="00D97433"/>
    <w:rsid w:val="00D974EE"/>
    <w:rsid w:val="00D9760B"/>
    <w:rsid w:val="00D97825"/>
    <w:rsid w:val="00D979EA"/>
    <w:rsid w:val="00D97BCB"/>
    <w:rsid w:val="00DA01EE"/>
    <w:rsid w:val="00DA0427"/>
    <w:rsid w:val="00DA06D0"/>
    <w:rsid w:val="00DA099A"/>
    <w:rsid w:val="00DA0A97"/>
    <w:rsid w:val="00DA0C33"/>
    <w:rsid w:val="00DA12E4"/>
    <w:rsid w:val="00DA180E"/>
    <w:rsid w:val="00DA1915"/>
    <w:rsid w:val="00DA1937"/>
    <w:rsid w:val="00DA19C1"/>
    <w:rsid w:val="00DA1C23"/>
    <w:rsid w:val="00DA1D7E"/>
    <w:rsid w:val="00DA1DB6"/>
    <w:rsid w:val="00DA1E0E"/>
    <w:rsid w:val="00DA1F95"/>
    <w:rsid w:val="00DA1FB6"/>
    <w:rsid w:val="00DA23A9"/>
    <w:rsid w:val="00DA2C2E"/>
    <w:rsid w:val="00DA2D5B"/>
    <w:rsid w:val="00DA325E"/>
    <w:rsid w:val="00DA35B1"/>
    <w:rsid w:val="00DA37BF"/>
    <w:rsid w:val="00DA390B"/>
    <w:rsid w:val="00DA3975"/>
    <w:rsid w:val="00DA3A31"/>
    <w:rsid w:val="00DA3A72"/>
    <w:rsid w:val="00DA3EF2"/>
    <w:rsid w:val="00DA3F08"/>
    <w:rsid w:val="00DA42DC"/>
    <w:rsid w:val="00DA4345"/>
    <w:rsid w:val="00DA4763"/>
    <w:rsid w:val="00DA4AC4"/>
    <w:rsid w:val="00DA4B1F"/>
    <w:rsid w:val="00DA4C45"/>
    <w:rsid w:val="00DA4F1C"/>
    <w:rsid w:val="00DA529D"/>
    <w:rsid w:val="00DA52D4"/>
    <w:rsid w:val="00DA56D1"/>
    <w:rsid w:val="00DA5955"/>
    <w:rsid w:val="00DA5990"/>
    <w:rsid w:val="00DA5C21"/>
    <w:rsid w:val="00DA5E2F"/>
    <w:rsid w:val="00DA612B"/>
    <w:rsid w:val="00DA6646"/>
    <w:rsid w:val="00DA686C"/>
    <w:rsid w:val="00DA6E02"/>
    <w:rsid w:val="00DA6FEC"/>
    <w:rsid w:val="00DA7112"/>
    <w:rsid w:val="00DA7189"/>
    <w:rsid w:val="00DA734E"/>
    <w:rsid w:val="00DA7542"/>
    <w:rsid w:val="00DA7566"/>
    <w:rsid w:val="00DA7824"/>
    <w:rsid w:val="00DA7883"/>
    <w:rsid w:val="00DA789D"/>
    <w:rsid w:val="00DA7A87"/>
    <w:rsid w:val="00DA7B2D"/>
    <w:rsid w:val="00DA7ECE"/>
    <w:rsid w:val="00DB0081"/>
    <w:rsid w:val="00DB021C"/>
    <w:rsid w:val="00DB027B"/>
    <w:rsid w:val="00DB0435"/>
    <w:rsid w:val="00DB0608"/>
    <w:rsid w:val="00DB06B9"/>
    <w:rsid w:val="00DB071F"/>
    <w:rsid w:val="00DB07BE"/>
    <w:rsid w:val="00DB0971"/>
    <w:rsid w:val="00DB09BD"/>
    <w:rsid w:val="00DB0B44"/>
    <w:rsid w:val="00DB0BE5"/>
    <w:rsid w:val="00DB10F2"/>
    <w:rsid w:val="00DB1153"/>
    <w:rsid w:val="00DB11EC"/>
    <w:rsid w:val="00DB14DD"/>
    <w:rsid w:val="00DB15BD"/>
    <w:rsid w:val="00DB15CA"/>
    <w:rsid w:val="00DB1625"/>
    <w:rsid w:val="00DB183F"/>
    <w:rsid w:val="00DB1B0A"/>
    <w:rsid w:val="00DB2119"/>
    <w:rsid w:val="00DB229B"/>
    <w:rsid w:val="00DB2301"/>
    <w:rsid w:val="00DB2614"/>
    <w:rsid w:val="00DB27C8"/>
    <w:rsid w:val="00DB2982"/>
    <w:rsid w:val="00DB2D08"/>
    <w:rsid w:val="00DB2F62"/>
    <w:rsid w:val="00DB326F"/>
    <w:rsid w:val="00DB34D2"/>
    <w:rsid w:val="00DB38D1"/>
    <w:rsid w:val="00DB39A7"/>
    <w:rsid w:val="00DB39F2"/>
    <w:rsid w:val="00DB3D10"/>
    <w:rsid w:val="00DB3E5C"/>
    <w:rsid w:val="00DB409C"/>
    <w:rsid w:val="00DB425C"/>
    <w:rsid w:val="00DB43FA"/>
    <w:rsid w:val="00DB456A"/>
    <w:rsid w:val="00DB458E"/>
    <w:rsid w:val="00DB45BD"/>
    <w:rsid w:val="00DB4840"/>
    <w:rsid w:val="00DB4ABB"/>
    <w:rsid w:val="00DB4B50"/>
    <w:rsid w:val="00DB4B6A"/>
    <w:rsid w:val="00DB506E"/>
    <w:rsid w:val="00DB524F"/>
    <w:rsid w:val="00DB55DC"/>
    <w:rsid w:val="00DB5A90"/>
    <w:rsid w:val="00DB5F72"/>
    <w:rsid w:val="00DB63B2"/>
    <w:rsid w:val="00DB66B1"/>
    <w:rsid w:val="00DB67BB"/>
    <w:rsid w:val="00DB683E"/>
    <w:rsid w:val="00DB6B4D"/>
    <w:rsid w:val="00DB6B81"/>
    <w:rsid w:val="00DB6CBC"/>
    <w:rsid w:val="00DB7080"/>
    <w:rsid w:val="00DB708D"/>
    <w:rsid w:val="00DB745A"/>
    <w:rsid w:val="00DB759C"/>
    <w:rsid w:val="00DB7697"/>
    <w:rsid w:val="00DB7792"/>
    <w:rsid w:val="00DB7AB6"/>
    <w:rsid w:val="00DB7B28"/>
    <w:rsid w:val="00DB7DA0"/>
    <w:rsid w:val="00DC0516"/>
    <w:rsid w:val="00DC054E"/>
    <w:rsid w:val="00DC05AD"/>
    <w:rsid w:val="00DC085C"/>
    <w:rsid w:val="00DC0AAC"/>
    <w:rsid w:val="00DC0EB3"/>
    <w:rsid w:val="00DC105C"/>
    <w:rsid w:val="00DC15C3"/>
    <w:rsid w:val="00DC1AC9"/>
    <w:rsid w:val="00DC1CFD"/>
    <w:rsid w:val="00DC1D18"/>
    <w:rsid w:val="00DC1E7A"/>
    <w:rsid w:val="00DC2698"/>
    <w:rsid w:val="00DC293E"/>
    <w:rsid w:val="00DC324A"/>
    <w:rsid w:val="00DC330E"/>
    <w:rsid w:val="00DC35F3"/>
    <w:rsid w:val="00DC3885"/>
    <w:rsid w:val="00DC39B1"/>
    <w:rsid w:val="00DC3A58"/>
    <w:rsid w:val="00DC3B0B"/>
    <w:rsid w:val="00DC4186"/>
    <w:rsid w:val="00DC4318"/>
    <w:rsid w:val="00DC439B"/>
    <w:rsid w:val="00DC4F94"/>
    <w:rsid w:val="00DC51FB"/>
    <w:rsid w:val="00DC52E2"/>
    <w:rsid w:val="00DC5338"/>
    <w:rsid w:val="00DC57AB"/>
    <w:rsid w:val="00DC57B4"/>
    <w:rsid w:val="00DC584B"/>
    <w:rsid w:val="00DC592D"/>
    <w:rsid w:val="00DC5DAD"/>
    <w:rsid w:val="00DC5E29"/>
    <w:rsid w:val="00DC5E79"/>
    <w:rsid w:val="00DC6095"/>
    <w:rsid w:val="00DC6351"/>
    <w:rsid w:val="00DC68B8"/>
    <w:rsid w:val="00DC6C81"/>
    <w:rsid w:val="00DC6F87"/>
    <w:rsid w:val="00DC7277"/>
    <w:rsid w:val="00DC72D8"/>
    <w:rsid w:val="00DC73D4"/>
    <w:rsid w:val="00DC7414"/>
    <w:rsid w:val="00DC745D"/>
    <w:rsid w:val="00DC78E7"/>
    <w:rsid w:val="00DC7DE9"/>
    <w:rsid w:val="00DC7E8B"/>
    <w:rsid w:val="00DC7F83"/>
    <w:rsid w:val="00DD024F"/>
    <w:rsid w:val="00DD028C"/>
    <w:rsid w:val="00DD0867"/>
    <w:rsid w:val="00DD0A1B"/>
    <w:rsid w:val="00DD114E"/>
    <w:rsid w:val="00DD12BD"/>
    <w:rsid w:val="00DD1882"/>
    <w:rsid w:val="00DD200D"/>
    <w:rsid w:val="00DD2165"/>
    <w:rsid w:val="00DD2249"/>
    <w:rsid w:val="00DD2277"/>
    <w:rsid w:val="00DD2401"/>
    <w:rsid w:val="00DD2441"/>
    <w:rsid w:val="00DD26B0"/>
    <w:rsid w:val="00DD2DF3"/>
    <w:rsid w:val="00DD2E44"/>
    <w:rsid w:val="00DD322E"/>
    <w:rsid w:val="00DD3426"/>
    <w:rsid w:val="00DD39FE"/>
    <w:rsid w:val="00DD3B79"/>
    <w:rsid w:val="00DD3BFC"/>
    <w:rsid w:val="00DD3D3B"/>
    <w:rsid w:val="00DD42E1"/>
    <w:rsid w:val="00DD450B"/>
    <w:rsid w:val="00DD4512"/>
    <w:rsid w:val="00DD49D1"/>
    <w:rsid w:val="00DD4B72"/>
    <w:rsid w:val="00DD4C8E"/>
    <w:rsid w:val="00DD530C"/>
    <w:rsid w:val="00DD548A"/>
    <w:rsid w:val="00DD55EF"/>
    <w:rsid w:val="00DD5650"/>
    <w:rsid w:val="00DD577A"/>
    <w:rsid w:val="00DD58BA"/>
    <w:rsid w:val="00DD6035"/>
    <w:rsid w:val="00DD62A4"/>
    <w:rsid w:val="00DD62E9"/>
    <w:rsid w:val="00DD65B4"/>
    <w:rsid w:val="00DD6837"/>
    <w:rsid w:val="00DD68B3"/>
    <w:rsid w:val="00DD690C"/>
    <w:rsid w:val="00DD6995"/>
    <w:rsid w:val="00DD6B03"/>
    <w:rsid w:val="00DD6F9D"/>
    <w:rsid w:val="00DD70E0"/>
    <w:rsid w:val="00DD7475"/>
    <w:rsid w:val="00DD7617"/>
    <w:rsid w:val="00DD77A5"/>
    <w:rsid w:val="00DD7E1C"/>
    <w:rsid w:val="00DD7E35"/>
    <w:rsid w:val="00DE0481"/>
    <w:rsid w:val="00DE04F8"/>
    <w:rsid w:val="00DE0A54"/>
    <w:rsid w:val="00DE0BB2"/>
    <w:rsid w:val="00DE0F65"/>
    <w:rsid w:val="00DE1478"/>
    <w:rsid w:val="00DE154E"/>
    <w:rsid w:val="00DE15E0"/>
    <w:rsid w:val="00DE1C6E"/>
    <w:rsid w:val="00DE1CD3"/>
    <w:rsid w:val="00DE1DF9"/>
    <w:rsid w:val="00DE1E02"/>
    <w:rsid w:val="00DE1E31"/>
    <w:rsid w:val="00DE2174"/>
    <w:rsid w:val="00DE22FD"/>
    <w:rsid w:val="00DE25F5"/>
    <w:rsid w:val="00DE2652"/>
    <w:rsid w:val="00DE26A7"/>
    <w:rsid w:val="00DE29B5"/>
    <w:rsid w:val="00DE2BF9"/>
    <w:rsid w:val="00DE2FC1"/>
    <w:rsid w:val="00DE3100"/>
    <w:rsid w:val="00DE349F"/>
    <w:rsid w:val="00DE3C67"/>
    <w:rsid w:val="00DE3DFC"/>
    <w:rsid w:val="00DE3F66"/>
    <w:rsid w:val="00DE3FE4"/>
    <w:rsid w:val="00DE422E"/>
    <w:rsid w:val="00DE4828"/>
    <w:rsid w:val="00DE4924"/>
    <w:rsid w:val="00DE4984"/>
    <w:rsid w:val="00DE4F5B"/>
    <w:rsid w:val="00DE516B"/>
    <w:rsid w:val="00DE51F1"/>
    <w:rsid w:val="00DE531B"/>
    <w:rsid w:val="00DE540F"/>
    <w:rsid w:val="00DE549F"/>
    <w:rsid w:val="00DE54F2"/>
    <w:rsid w:val="00DE5856"/>
    <w:rsid w:val="00DE59BF"/>
    <w:rsid w:val="00DE5ABB"/>
    <w:rsid w:val="00DE5BA9"/>
    <w:rsid w:val="00DE5D29"/>
    <w:rsid w:val="00DE5EA9"/>
    <w:rsid w:val="00DE5F6A"/>
    <w:rsid w:val="00DE6118"/>
    <w:rsid w:val="00DE6479"/>
    <w:rsid w:val="00DE64A4"/>
    <w:rsid w:val="00DE66B2"/>
    <w:rsid w:val="00DE6B0A"/>
    <w:rsid w:val="00DE6FD5"/>
    <w:rsid w:val="00DE7100"/>
    <w:rsid w:val="00DE743C"/>
    <w:rsid w:val="00DE77A3"/>
    <w:rsid w:val="00DE7A37"/>
    <w:rsid w:val="00DE7A47"/>
    <w:rsid w:val="00DE7A48"/>
    <w:rsid w:val="00DE7B19"/>
    <w:rsid w:val="00DE7CC4"/>
    <w:rsid w:val="00DE7E1D"/>
    <w:rsid w:val="00DE7E53"/>
    <w:rsid w:val="00DE7F51"/>
    <w:rsid w:val="00DF0110"/>
    <w:rsid w:val="00DF0368"/>
    <w:rsid w:val="00DF0379"/>
    <w:rsid w:val="00DF0387"/>
    <w:rsid w:val="00DF03B6"/>
    <w:rsid w:val="00DF0797"/>
    <w:rsid w:val="00DF0A4D"/>
    <w:rsid w:val="00DF0B11"/>
    <w:rsid w:val="00DF0BD7"/>
    <w:rsid w:val="00DF0F5A"/>
    <w:rsid w:val="00DF10A8"/>
    <w:rsid w:val="00DF1101"/>
    <w:rsid w:val="00DF1103"/>
    <w:rsid w:val="00DF11BB"/>
    <w:rsid w:val="00DF123F"/>
    <w:rsid w:val="00DF134F"/>
    <w:rsid w:val="00DF145E"/>
    <w:rsid w:val="00DF1474"/>
    <w:rsid w:val="00DF15ED"/>
    <w:rsid w:val="00DF16EA"/>
    <w:rsid w:val="00DF1809"/>
    <w:rsid w:val="00DF1A91"/>
    <w:rsid w:val="00DF1B37"/>
    <w:rsid w:val="00DF1DBA"/>
    <w:rsid w:val="00DF1E85"/>
    <w:rsid w:val="00DF1EF2"/>
    <w:rsid w:val="00DF2280"/>
    <w:rsid w:val="00DF2329"/>
    <w:rsid w:val="00DF28CE"/>
    <w:rsid w:val="00DF2A54"/>
    <w:rsid w:val="00DF2A56"/>
    <w:rsid w:val="00DF32F7"/>
    <w:rsid w:val="00DF33A7"/>
    <w:rsid w:val="00DF35E1"/>
    <w:rsid w:val="00DF36CA"/>
    <w:rsid w:val="00DF3BBE"/>
    <w:rsid w:val="00DF412A"/>
    <w:rsid w:val="00DF4283"/>
    <w:rsid w:val="00DF431C"/>
    <w:rsid w:val="00DF48FC"/>
    <w:rsid w:val="00DF493C"/>
    <w:rsid w:val="00DF496A"/>
    <w:rsid w:val="00DF4A1C"/>
    <w:rsid w:val="00DF4DFF"/>
    <w:rsid w:val="00DF4E13"/>
    <w:rsid w:val="00DF4E72"/>
    <w:rsid w:val="00DF504A"/>
    <w:rsid w:val="00DF52B4"/>
    <w:rsid w:val="00DF54F6"/>
    <w:rsid w:val="00DF555A"/>
    <w:rsid w:val="00DF5678"/>
    <w:rsid w:val="00DF5857"/>
    <w:rsid w:val="00DF586E"/>
    <w:rsid w:val="00DF5A0D"/>
    <w:rsid w:val="00DF5E61"/>
    <w:rsid w:val="00DF5F13"/>
    <w:rsid w:val="00DF6097"/>
    <w:rsid w:val="00DF62B4"/>
    <w:rsid w:val="00DF65D3"/>
    <w:rsid w:val="00DF6734"/>
    <w:rsid w:val="00DF68A7"/>
    <w:rsid w:val="00DF6A25"/>
    <w:rsid w:val="00DF6B79"/>
    <w:rsid w:val="00DF6BB1"/>
    <w:rsid w:val="00DF6C4E"/>
    <w:rsid w:val="00DF6EDF"/>
    <w:rsid w:val="00DF70AB"/>
    <w:rsid w:val="00DF716A"/>
    <w:rsid w:val="00DF7191"/>
    <w:rsid w:val="00DF72B6"/>
    <w:rsid w:val="00DF74F7"/>
    <w:rsid w:val="00DF7898"/>
    <w:rsid w:val="00DF7D80"/>
    <w:rsid w:val="00DF7E39"/>
    <w:rsid w:val="00E0053D"/>
    <w:rsid w:val="00E0069D"/>
    <w:rsid w:val="00E007FC"/>
    <w:rsid w:val="00E0095C"/>
    <w:rsid w:val="00E00A6D"/>
    <w:rsid w:val="00E00CED"/>
    <w:rsid w:val="00E00D57"/>
    <w:rsid w:val="00E00E9B"/>
    <w:rsid w:val="00E00EE0"/>
    <w:rsid w:val="00E00F37"/>
    <w:rsid w:val="00E00F9E"/>
    <w:rsid w:val="00E01093"/>
    <w:rsid w:val="00E01660"/>
    <w:rsid w:val="00E01848"/>
    <w:rsid w:val="00E01BE7"/>
    <w:rsid w:val="00E01CFF"/>
    <w:rsid w:val="00E0214B"/>
    <w:rsid w:val="00E0285E"/>
    <w:rsid w:val="00E0289C"/>
    <w:rsid w:val="00E02AAC"/>
    <w:rsid w:val="00E02C9E"/>
    <w:rsid w:val="00E02D8E"/>
    <w:rsid w:val="00E02F29"/>
    <w:rsid w:val="00E03363"/>
    <w:rsid w:val="00E037C5"/>
    <w:rsid w:val="00E03A85"/>
    <w:rsid w:val="00E03C12"/>
    <w:rsid w:val="00E03CE9"/>
    <w:rsid w:val="00E041EF"/>
    <w:rsid w:val="00E04298"/>
    <w:rsid w:val="00E0434A"/>
    <w:rsid w:val="00E04683"/>
    <w:rsid w:val="00E046F5"/>
    <w:rsid w:val="00E049BF"/>
    <w:rsid w:val="00E04A16"/>
    <w:rsid w:val="00E04D3F"/>
    <w:rsid w:val="00E0505F"/>
    <w:rsid w:val="00E05282"/>
    <w:rsid w:val="00E0536A"/>
    <w:rsid w:val="00E05755"/>
    <w:rsid w:val="00E058A1"/>
    <w:rsid w:val="00E05A07"/>
    <w:rsid w:val="00E05C28"/>
    <w:rsid w:val="00E06073"/>
    <w:rsid w:val="00E0623C"/>
    <w:rsid w:val="00E06570"/>
    <w:rsid w:val="00E06612"/>
    <w:rsid w:val="00E067B1"/>
    <w:rsid w:val="00E06B3A"/>
    <w:rsid w:val="00E06DF6"/>
    <w:rsid w:val="00E06E1C"/>
    <w:rsid w:val="00E06E1F"/>
    <w:rsid w:val="00E06EAF"/>
    <w:rsid w:val="00E06ED7"/>
    <w:rsid w:val="00E0704C"/>
    <w:rsid w:val="00E071CE"/>
    <w:rsid w:val="00E0751D"/>
    <w:rsid w:val="00E07560"/>
    <w:rsid w:val="00E075D8"/>
    <w:rsid w:val="00E0773B"/>
    <w:rsid w:val="00E079AD"/>
    <w:rsid w:val="00E079F4"/>
    <w:rsid w:val="00E07BD5"/>
    <w:rsid w:val="00E07E31"/>
    <w:rsid w:val="00E07E90"/>
    <w:rsid w:val="00E07F66"/>
    <w:rsid w:val="00E10019"/>
    <w:rsid w:val="00E10268"/>
    <w:rsid w:val="00E102E7"/>
    <w:rsid w:val="00E1046E"/>
    <w:rsid w:val="00E10757"/>
    <w:rsid w:val="00E10B9C"/>
    <w:rsid w:val="00E10EA6"/>
    <w:rsid w:val="00E1112C"/>
    <w:rsid w:val="00E11369"/>
    <w:rsid w:val="00E11513"/>
    <w:rsid w:val="00E11728"/>
    <w:rsid w:val="00E1175D"/>
    <w:rsid w:val="00E117CF"/>
    <w:rsid w:val="00E117D2"/>
    <w:rsid w:val="00E11B98"/>
    <w:rsid w:val="00E11C5B"/>
    <w:rsid w:val="00E11E74"/>
    <w:rsid w:val="00E11E8F"/>
    <w:rsid w:val="00E11EAA"/>
    <w:rsid w:val="00E12073"/>
    <w:rsid w:val="00E12AA4"/>
    <w:rsid w:val="00E12C4E"/>
    <w:rsid w:val="00E12C9E"/>
    <w:rsid w:val="00E12D17"/>
    <w:rsid w:val="00E12F87"/>
    <w:rsid w:val="00E1309F"/>
    <w:rsid w:val="00E13292"/>
    <w:rsid w:val="00E132EC"/>
    <w:rsid w:val="00E1330B"/>
    <w:rsid w:val="00E133EE"/>
    <w:rsid w:val="00E1389B"/>
    <w:rsid w:val="00E1396C"/>
    <w:rsid w:val="00E13BEA"/>
    <w:rsid w:val="00E13DBD"/>
    <w:rsid w:val="00E13EBE"/>
    <w:rsid w:val="00E140B1"/>
    <w:rsid w:val="00E141AD"/>
    <w:rsid w:val="00E14212"/>
    <w:rsid w:val="00E1433D"/>
    <w:rsid w:val="00E1449E"/>
    <w:rsid w:val="00E14A92"/>
    <w:rsid w:val="00E14B56"/>
    <w:rsid w:val="00E14C62"/>
    <w:rsid w:val="00E14CC1"/>
    <w:rsid w:val="00E14E02"/>
    <w:rsid w:val="00E14F56"/>
    <w:rsid w:val="00E15002"/>
    <w:rsid w:val="00E150EA"/>
    <w:rsid w:val="00E151B0"/>
    <w:rsid w:val="00E1527E"/>
    <w:rsid w:val="00E1536C"/>
    <w:rsid w:val="00E15401"/>
    <w:rsid w:val="00E155FD"/>
    <w:rsid w:val="00E1574A"/>
    <w:rsid w:val="00E1599C"/>
    <w:rsid w:val="00E15CA9"/>
    <w:rsid w:val="00E15D38"/>
    <w:rsid w:val="00E15DFA"/>
    <w:rsid w:val="00E160AA"/>
    <w:rsid w:val="00E167DB"/>
    <w:rsid w:val="00E16B12"/>
    <w:rsid w:val="00E16E1C"/>
    <w:rsid w:val="00E16E42"/>
    <w:rsid w:val="00E17237"/>
    <w:rsid w:val="00E1734B"/>
    <w:rsid w:val="00E17384"/>
    <w:rsid w:val="00E175A9"/>
    <w:rsid w:val="00E17639"/>
    <w:rsid w:val="00E17875"/>
    <w:rsid w:val="00E17904"/>
    <w:rsid w:val="00E17DD1"/>
    <w:rsid w:val="00E17F43"/>
    <w:rsid w:val="00E200E5"/>
    <w:rsid w:val="00E20181"/>
    <w:rsid w:val="00E2020E"/>
    <w:rsid w:val="00E207A0"/>
    <w:rsid w:val="00E207A8"/>
    <w:rsid w:val="00E207B9"/>
    <w:rsid w:val="00E207C2"/>
    <w:rsid w:val="00E2087F"/>
    <w:rsid w:val="00E20B2C"/>
    <w:rsid w:val="00E20FB0"/>
    <w:rsid w:val="00E2106F"/>
    <w:rsid w:val="00E21C83"/>
    <w:rsid w:val="00E21D3C"/>
    <w:rsid w:val="00E22190"/>
    <w:rsid w:val="00E222BC"/>
    <w:rsid w:val="00E222F7"/>
    <w:rsid w:val="00E224AF"/>
    <w:rsid w:val="00E22760"/>
    <w:rsid w:val="00E22777"/>
    <w:rsid w:val="00E22E1A"/>
    <w:rsid w:val="00E2305E"/>
    <w:rsid w:val="00E2320F"/>
    <w:rsid w:val="00E23722"/>
    <w:rsid w:val="00E23731"/>
    <w:rsid w:val="00E2373F"/>
    <w:rsid w:val="00E23779"/>
    <w:rsid w:val="00E237E7"/>
    <w:rsid w:val="00E23B06"/>
    <w:rsid w:val="00E23CD4"/>
    <w:rsid w:val="00E23D71"/>
    <w:rsid w:val="00E23E5B"/>
    <w:rsid w:val="00E24088"/>
    <w:rsid w:val="00E24096"/>
    <w:rsid w:val="00E240F1"/>
    <w:rsid w:val="00E2413F"/>
    <w:rsid w:val="00E242A6"/>
    <w:rsid w:val="00E244F6"/>
    <w:rsid w:val="00E24615"/>
    <w:rsid w:val="00E24787"/>
    <w:rsid w:val="00E247EF"/>
    <w:rsid w:val="00E24A6F"/>
    <w:rsid w:val="00E24AB5"/>
    <w:rsid w:val="00E24B0A"/>
    <w:rsid w:val="00E24C94"/>
    <w:rsid w:val="00E25137"/>
    <w:rsid w:val="00E25444"/>
    <w:rsid w:val="00E2570D"/>
    <w:rsid w:val="00E2583A"/>
    <w:rsid w:val="00E25AAE"/>
    <w:rsid w:val="00E25D03"/>
    <w:rsid w:val="00E25F9D"/>
    <w:rsid w:val="00E26232"/>
    <w:rsid w:val="00E266C7"/>
    <w:rsid w:val="00E268E7"/>
    <w:rsid w:val="00E269AB"/>
    <w:rsid w:val="00E269D5"/>
    <w:rsid w:val="00E26D60"/>
    <w:rsid w:val="00E26D86"/>
    <w:rsid w:val="00E26DBE"/>
    <w:rsid w:val="00E27028"/>
    <w:rsid w:val="00E27178"/>
    <w:rsid w:val="00E271C8"/>
    <w:rsid w:val="00E27251"/>
    <w:rsid w:val="00E272CF"/>
    <w:rsid w:val="00E2758D"/>
    <w:rsid w:val="00E2764A"/>
    <w:rsid w:val="00E2771A"/>
    <w:rsid w:val="00E2789D"/>
    <w:rsid w:val="00E27954"/>
    <w:rsid w:val="00E27ACE"/>
    <w:rsid w:val="00E27BBC"/>
    <w:rsid w:val="00E27D55"/>
    <w:rsid w:val="00E27E9F"/>
    <w:rsid w:val="00E27EF0"/>
    <w:rsid w:val="00E27F5A"/>
    <w:rsid w:val="00E3013D"/>
    <w:rsid w:val="00E3022E"/>
    <w:rsid w:val="00E302AB"/>
    <w:rsid w:val="00E3031E"/>
    <w:rsid w:val="00E30861"/>
    <w:rsid w:val="00E309A4"/>
    <w:rsid w:val="00E30A24"/>
    <w:rsid w:val="00E30AE6"/>
    <w:rsid w:val="00E30BAB"/>
    <w:rsid w:val="00E30D37"/>
    <w:rsid w:val="00E30E52"/>
    <w:rsid w:val="00E30FB3"/>
    <w:rsid w:val="00E31358"/>
    <w:rsid w:val="00E3137C"/>
    <w:rsid w:val="00E314E3"/>
    <w:rsid w:val="00E314EE"/>
    <w:rsid w:val="00E3165A"/>
    <w:rsid w:val="00E31BBD"/>
    <w:rsid w:val="00E32547"/>
    <w:rsid w:val="00E32868"/>
    <w:rsid w:val="00E32E6E"/>
    <w:rsid w:val="00E32EC6"/>
    <w:rsid w:val="00E32F0F"/>
    <w:rsid w:val="00E33004"/>
    <w:rsid w:val="00E3309A"/>
    <w:rsid w:val="00E331EC"/>
    <w:rsid w:val="00E3359D"/>
    <w:rsid w:val="00E335B5"/>
    <w:rsid w:val="00E33651"/>
    <w:rsid w:val="00E33704"/>
    <w:rsid w:val="00E337FF"/>
    <w:rsid w:val="00E3392A"/>
    <w:rsid w:val="00E33DA6"/>
    <w:rsid w:val="00E33DD6"/>
    <w:rsid w:val="00E341C5"/>
    <w:rsid w:val="00E3426B"/>
    <w:rsid w:val="00E342DB"/>
    <w:rsid w:val="00E34389"/>
    <w:rsid w:val="00E343F2"/>
    <w:rsid w:val="00E34604"/>
    <w:rsid w:val="00E3470D"/>
    <w:rsid w:val="00E34836"/>
    <w:rsid w:val="00E34B8E"/>
    <w:rsid w:val="00E34CA6"/>
    <w:rsid w:val="00E34CB3"/>
    <w:rsid w:val="00E34DF4"/>
    <w:rsid w:val="00E350F2"/>
    <w:rsid w:val="00E351B1"/>
    <w:rsid w:val="00E35298"/>
    <w:rsid w:val="00E35506"/>
    <w:rsid w:val="00E3550D"/>
    <w:rsid w:val="00E357CB"/>
    <w:rsid w:val="00E35C8D"/>
    <w:rsid w:val="00E35C91"/>
    <w:rsid w:val="00E35D3F"/>
    <w:rsid w:val="00E35D8F"/>
    <w:rsid w:val="00E35EE9"/>
    <w:rsid w:val="00E361EA"/>
    <w:rsid w:val="00E36317"/>
    <w:rsid w:val="00E3635C"/>
    <w:rsid w:val="00E3636A"/>
    <w:rsid w:val="00E363A0"/>
    <w:rsid w:val="00E363B4"/>
    <w:rsid w:val="00E36A44"/>
    <w:rsid w:val="00E36B14"/>
    <w:rsid w:val="00E36F2C"/>
    <w:rsid w:val="00E37486"/>
    <w:rsid w:val="00E3785E"/>
    <w:rsid w:val="00E37909"/>
    <w:rsid w:val="00E37985"/>
    <w:rsid w:val="00E37A67"/>
    <w:rsid w:val="00E37B79"/>
    <w:rsid w:val="00E37DBD"/>
    <w:rsid w:val="00E40364"/>
    <w:rsid w:val="00E404CC"/>
    <w:rsid w:val="00E40572"/>
    <w:rsid w:val="00E40733"/>
    <w:rsid w:val="00E407A6"/>
    <w:rsid w:val="00E40900"/>
    <w:rsid w:val="00E40B7A"/>
    <w:rsid w:val="00E40CED"/>
    <w:rsid w:val="00E40F16"/>
    <w:rsid w:val="00E412AF"/>
    <w:rsid w:val="00E41349"/>
    <w:rsid w:val="00E41771"/>
    <w:rsid w:val="00E417BC"/>
    <w:rsid w:val="00E418A1"/>
    <w:rsid w:val="00E419AA"/>
    <w:rsid w:val="00E41DCF"/>
    <w:rsid w:val="00E4214F"/>
    <w:rsid w:val="00E42249"/>
    <w:rsid w:val="00E423A0"/>
    <w:rsid w:val="00E4268C"/>
    <w:rsid w:val="00E42736"/>
    <w:rsid w:val="00E42877"/>
    <w:rsid w:val="00E428FF"/>
    <w:rsid w:val="00E42952"/>
    <w:rsid w:val="00E4298A"/>
    <w:rsid w:val="00E429C1"/>
    <w:rsid w:val="00E42E28"/>
    <w:rsid w:val="00E42E9F"/>
    <w:rsid w:val="00E43131"/>
    <w:rsid w:val="00E43399"/>
    <w:rsid w:val="00E434CE"/>
    <w:rsid w:val="00E4365E"/>
    <w:rsid w:val="00E43A06"/>
    <w:rsid w:val="00E43A1D"/>
    <w:rsid w:val="00E43FEA"/>
    <w:rsid w:val="00E44054"/>
    <w:rsid w:val="00E442EB"/>
    <w:rsid w:val="00E44337"/>
    <w:rsid w:val="00E44383"/>
    <w:rsid w:val="00E44590"/>
    <w:rsid w:val="00E44899"/>
    <w:rsid w:val="00E449F8"/>
    <w:rsid w:val="00E449F9"/>
    <w:rsid w:val="00E44A48"/>
    <w:rsid w:val="00E44B92"/>
    <w:rsid w:val="00E44E88"/>
    <w:rsid w:val="00E44EEC"/>
    <w:rsid w:val="00E44F94"/>
    <w:rsid w:val="00E44FF2"/>
    <w:rsid w:val="00E4525F"/>
    <w:rsid w:val="00E4530F"/>
    <w:rsid w:val="00E45409"/>
    <w:rsid w:val="00E455E3"/>
    <w:rsid w:val="00E4574A"/>
    <w:rsid w:val="00E457E0"/>
    <w:rsid w:val="00E45AED"/>
    <w:rsid w:val="00E45CEB"/>
    <w:rsid w:val="00E45D2A"/>
    <w:rsid w:val="00E461F8"/>
    <w:rsid w:val="00E46551"/>
    <w:rsid w:val="00E46569"/>
    <w:rsid w:val="00E4662B"/>
    <w:rsid w:val="00E46950"/>
    <w:rsid w:val="00E46B52"/>
    <w:rsid w:val="00E46EDF"/>
    <w:rsid w:val="00E47027"/>
    <w:rsid w:val="00E473CC"/>
    <w:rsid w:val="00E47503"/>
    <w:rsid w:val="00E476D6"/>
    <w:rsid w:val="00E476DA"/>
    <w:rsid w:val="00E47755"/>
    <w:rsid w:val="00E47ADE"/>
    <w:rsid w:val="00E47BD3"/>
    <w:rsid w:val="00E50418"/>
    <w:rsid w:val="00E504D5"/>
    <w:rsid w:val="00E50764"/>
    <w:rsid w:val="00E50774"/>
    <w:rsid w:val="00E50B05"/>
    <w:rsid w:val="00E50C70"/>
    <w:rsid w:val="00E50C86"/>
    <w:rsid w:val="00E5103B"/>
    <w:rsid w:val="00E517B8"/>
    <w:rsid w:val="00E51932"/>
    <w:rsid w:val="00E51B14"/>
    <w:rsid w:val="00E51D9F"/>
    <w:rsid w:val="00E51E80"/>
    <w:rsid w:val="00E51F15"/>
    <w:rsid w:val="00E51F4C"/>
    <w:rsid w:val="00E52120"/>
    <w:rsid w:val="00E522FC"/>
    <w:rsid w:val="00E5277A"/>
    <w:rsid w:val="00E527FC"/>
    <w:rsid w:val="00E52802"/>
    <w:rsid w:val="00E52950"/>
    <w:rsid w:val="00E52A66"/>
    <w:rsid w:val="00E52BC2"/>
    <w:rsid w:val="00E52C05"/>
    <w:rsid w:val="00E52D7F"/>
    <w:rsid w:val="00E531F3"/>
    <w:rsid w:val="00E53327"/>
    <w:rsid w:val="00E533ED"/>
    <w:rsid w:val="00E5393A"/>
    <w:rsid w:val="00E539E1"/>
    <w:rsid w:val="00E53C94"/>
    <w:rsid w:val="00E540E1"/>
    <w:rsid w:val="00E5410C"/>
    <w:rsid w:val="00E54198"/>
    <w:rsid w:val="00E543E7"/>
    <w:rsid w:val="00E5470C"/>
    <w:rsid w:val="00E54949"/>
    <w:rsid w:val="00E549ED"/>
    <w:rsid w:val="00E54AA6"/>
    <w:rsid w:val="00E54F76"/>
    <w:rsid w:val="00E5524F"/>
    <w:rsid w:val="00E55383"/>
    <w:rsid w:val="00E555CF"/>
    <w:rsid w:val="00E55618"/>
    <w:rsid w:val="00E55A48"/>
    <w:rsid w:val="00E55BF5"/>
    <w:rsid w:val="00E55C5F"/>
    <w:rsid w:val="00E55EE2"/>
    <w:rsid w:val="00E563F0"/>
    <w:rsid w:val="00E565B9"/>
    <w:rsid w:val="00E56602"/>
    <w:rsid w:val="00E566ED"/>
    <w:rsid w:val="00E56C9A"/>
    <w:rsid w:val="00E56E34"/>
    <w:rsid w:val="00E57210"/>
    <w:rsid w:val="00E57498"/>
    <w:rsid w:val="00E57512"/>
    <w:rsid w:val="00E57995"/>
    <w:rsid w:val="00E57A30"/>
    <w:rsid w:val="00E57F76"/>
    <w:rsid w:val="00E60014"/>
    <w:rsid w:val="00E6003F"/>
    <w:rsid w:val="00E601C7"/>
    <w:rsid w:val="00E6071C"/>
    <w:rsid w:val="00E60B47"/>
    <w:rsid w:val="00E60BAB"/>
    <w:rsid w:val="00E60C5A"/>
    <w:rsid w:val="00E60DB2"/>
    <w:rsid w:val="00E60DDD"/>
    <w:rsid w:val="00E60ED6"/>
    <w:rsid w:val="00E60F53"/>
    <w:rsid w:val="00E6132B"/>
    <w:rsid w:val="00E61459"/>
    <w:rsid w:val="00E61497"/>
    <w:rsid w:val="00E614F4"/>
    <w:rsid w:val="00E616BA"/>
    <w:rsid w:val="00E6171E"/>
    <w:rsid w:val="00E6199D"/>
    <w:rsid w:val="00E619AF"/>
    <w:rsid w:val="00E61B34"/>
    <w:rsid w:val="00E61CE7"/>
    <w:rsid w:val="00E61F54"/>
    <w:rsid w:val="00E621F1"/>
    <w:rsid w:val="00E62239"/>
    <w:rsid w:val="00E6242A"/>
    <w:rsid w:val="00E6286A"/>
    <w:rsid w:val="00E62AA4"/>
    <w:rsid w:val="00E62C46"/>
    <w:rsid w:val="00E62E00"/>
    <w:rsid w:val="00E635F0"/>
    <w:rsid w:val="00E63741"/>
    <w:rsid w:val="00E63849"/>
    <w:rsid w:val="00E63A2B"/>
    <w:rsid w:val="00E63B7F"/>
    <w:rsid w:val="00E641B9"/>
    <w:rsid w:val="00E64510"/>
    <w:rsid w:val="00E64624"/>
    <w:rsid w:val="00E646C1"/>
    <w:rsid w:val="00E648F7"/>
    <w:rsid w:val="00E6500C"/>
    <w:rsid w:val="00E65382"/>
    <w:rsid w:val="00E6538E"/>
    <w:rsid w:val="00E6544D"/>
    <w:rsid w:val="00E656B2"/>
    <w:rsid w:val="00E65836"/>
    <w:rsid w:val="00E658BB"/>
    <w:rsid w:val="00E65AA7"/>
    <w:rsid w:val="00E65BFA"/>
    <w:rsid w:val="00E65C96"/>
    <w:rsid w:val="00E65FAA"/>
    <w:rsid w:val="00E6607C"/>
    <w:rsid w:val="00E6608A"/>
    <w:rsid w:val="00E66249"/>
    <w:rsid w:val="00E66306"/>
    <w:rsid w:val="00E66350"/>
    <w:rsid w:val="00E66D78"/>
    <w:rsid w:val="00E66DE3"/>
    <w:rsid w:val="00E66F66"/>
    <w:rsid w:val="00E67049"/>
    <w:rsid w:val="00E6716A"/>
    <w:rsid w:val="00E671B5"/>
    <w:rsid w:val="00E671C4"/>
    <w:rsid w:val="00E67262"/>
    <w:rsid w:val="00E6735F"/>
    <w:rsid w:val="00E67445"/>
    <w:rsid w:val="00E70982"/>
    <w:rsid w:val="00E70A72"/>
    <w:rsid w:val="00E70E95"/>
    <w:rsid w:val="00E71161"/>
    <w:rsid w:val="00E7125D"/>
    <w:rsid w:val="00E712EB"/>
    <w:rsid w:val="00E7139B"/>
    <w:rsid w:val="00E713EA"/>
    <w:rsid w:val="00E71830"/>
    <w:rsid w:val="00E720FE"/>
    <w:rsid w:val="00E72118"/>
    <w:rsid w:val="00E72360"/>
    <w:rsid w:val="00E728F0"/>
    <w:rsid w:val="00E72A91"/>
    <w:rsid w:val="00E72C5A"/>
    <w:rsid w:val="00E72C7B"/>
    <w:rsid w:val="00E7306F"/>
    <w:rsid w:val="00E7308B"/>
    <w:rsid w:val="00E735B1"/>
    <w:rsid w:val="00E738BD"/>
    <w:rsid w:val="00E73904"/>
    <w:rsid w:val="00E7399D"/>
    <w:rsid w:val="00E73A87"/>
    <w:rsid w:val="00E73F28"/>
    <w:rsid w:val="00E74025"/>
    <w:rsid w:val="00E74944"/>
    <w:rsid w:val="00E749C0"/>
    <w:rsid w:val="00E74A6B"/>
    <w:rsid w:val="00E74B00"/>
    <w:rsid w:val="00E74C36"/>
    <w:rsid w:val="00E74EA8"/>
    <w:rsid w:val="00E74EDB"/>
    <w:rsid w:val="00E74FC9"/>
    <w:rsid w:val="00E7512E"/>
    <w:rsid w:val="00E75393"/>
    <w:rsid w:val="00E754AC"/>
    <w:rsid w:val="00E756EA"/>
    <w:rsid w:val="00E757E0"/>
    <w:rsid w:val="00E7585F"/>
    <w:rsid w:val="00E75985"/>
    <w:rsid w:val="00E75B23"/>
    <w:rsid w:val="00E75D33"/>
    <w:rsid w:val="00E76011"/>
    <w:rsid w:val="00E76058"/>
    <w:rsid w:val="00E764E9"/>
    <w:rsid w:val="00E76705"/>
    <w:rsid w:val="00E76735"/>
    <w:rsid w:val="00E767F2"/>
    <w:rsid w:val="00E76876"/>
    <w:rsid w:val="00E768F6"/>
    <w:rsid w:val="00E76B48"/>
    <w:rsid w:val="00E76B6E"/>
    <w:rsid w:val="00E76EB5"/>
    <w:rsid w:val="00E76EE3"/>
    <w:rsid w:val="00E77543"/>
    <w:rsid w:val="00E77740"/>
    <w:rsid w:val="00E77817"/>
    <w:rsid w:val="00E7788F"/>
    <w:rsid w:val="00E778A6"/>
    <w:rsid w:val="00E778F6"/>
    <w:rsid w:val="00E77B3F"/>
    <w:rsid w:val="00E77F4D"/>
    <w:rsid w:val="00E804C3"/>
    <w:rsid w:val="00E80531"/>
    <w:rsid w:val="00E80570"/>
    <w:rsid w:val="00E8061C"/>
    <w:rsid w:val="00E809BD"/>
    <w:rsid w:val="00E809FB"/>
    <w:rsid w:val="00E80BFA"/>
    <w:rsid w:val="00E80C06"/>
    <w:rsid w:val="00E8107F"/>
    <w:rsid w:val="00E81675"/>
    <w:rsid w:val="00E81ADB"/>
    <w:rsid w:val="00E81AF2"/>
    <w:rsid w:val="00E81C86"/>
    <w:rsid w:val="00E81D64"/>
    <w:rsid w:val="00E81F6C"/>
    <w:rsid w:val="00E8203F"/>
    <w:rsid w:val="00E821E3"/>
    <w:rsid w:val="00E82501"/>
    <w:rsid w:val="00E8253B"/>
    <w:rsid w:val="00E8265B"/>
    <w:rsid w:val="00E82AF3"/>
    <w:rsid w:val="00E82AF7"/>
    <w:rsid w:val="00E82C86"/>
    <w:rsid w:val="00E82D6C"/>
    <w:rsid w:val="00E83089"/>
    <w:rsid w:val="00E8310C"/>
    <w:rsid w:val="00E831F4"/>
    <w:rsid w:val="00E8344E"/>
    <w:rsid w:val="00E8354F"/>
    <w:rsid w:val="00E837EF"/>
    <w:rsid w:val="00E83899"/>
    <w:rsid w:val="00E838A4"/>
    <w:rsid w:val="00E83A7E"/>
    <w:rsid w:val="00E83AF7"/>
    <w:rsid w:val="00E83B55"/>
    <w:rsid w:val="00E83E0C"/>
    <w:rsid w:val="00E84099"/>
    <w:rsid w:val="00E840EF"/>
    <w:rsid w:val="00E8410C"/>
    <w:rsid w:val="00E8435C"/>
    <w:rsid w:val="00E84762"/>
    <w:rsid w:val="00E84B53"/>
    <w:rsid w:val="00E84BCE"/>
    <w:rsid w:val="00E84BE1"/>
    <w:rsid w:val="00E84C31"/>
    <w:rsid w:val="00E84EE8"/>
    <w:rsid w:val="00E85084"/>
    <w:rsid w:val="00E85162"/>
    <w:rsid w:val="00E851D7"/>
    <w:rsid w:val="00E8528A"/>
    <w:rsid w:val="00E8531A"/>
    <w:rsid w:val="00E85725"/>
    <w:rsid w:val="00E85945"/>
    <w:rsid w:val="00E85EBD"/>
    <w:rsid w:val="00E85FA8"/>
    <w:rsid w:val="00E85FCC"/>
    <w:rsid w:val="00E86067"/>
    <w:rsid w:val="00E8681A"/>
    <w:rsid w:val="00E87007"/>
    <w:rsid w:val="00E870E4"/>
    <w:rsid w:val="00E8760F"/>
    <w:rsid w:val="00E876BB"/>
    <w:rsid w:val="00E87B3A"/>
    <w:rsid w:val="00E87C6C"/>
    <w:rsid w:val="00E87EF3"/>
    <w:rsid w:val="00E87FFE"/>
    <w:rsid w:val="00E900A5"/>
    <w:rsid w:val="00E903C2"/>
    <w:rsid w:val="00E90691"/>
    <w:rsid w:val="00E90863"/>
    <w:rsid w:val="00E90A06"/>
    <w:rsid w:val="00E90B9F"/>
    <w:rsid w:val="00E90BBB"/>
    <w:rsid w:val="00E90E6D"/>
    <w:rsid w:val="00E91154"/>
    <w:rsid w:val="00E9126B"/>
    <w:rsid w:val="00E9138E"/>
    <w:rsid w:val="00E916CB"/>
    <w:rsid w:val="00E918CC"/>
    <w:rsid w:val="00E918FB"/>
    <w:rsid w:val="00E919D2"/>
    <w:rsid w:val="00E919F8"/>
    <w:rsid w:val="00E91A86"/>
    <w:rsid w:val="00E92078"/>
    <w:rsid w:val="00E922B8"/>
    <w:rsid w:val="00E9263E"/>
    <w:rsid w:val="00E92798"/>
    <w:rsid w:val="00E92799"/>
    <w:rsid w:val="00E92C5E"/>
    <w:rsid w:val="00E930E2"/>
    <w:rsid w:val="00E93133"/>
    <w:rsid w:val="00E936A4"/>
    <w:rsid w:val="00E93720"/>
    <w:rsid w:val="00E93733"/>
    <w:rsid w:val="00E937AC"/>
    <w:rsid w:val="00E93852"/>
    <w:rsid w:val="00E93A10"/>
    <w:rsid w:val="00E93A23"/>
    <w:rsid w:val="00E93A24"/>
    <w:rsid w:val="00E93B61"/>
    <w:rsid w:val="00E93BAC"/>
    <w:rsid w:val="00E93CE7"/>
    <w:rsid w:val="00E93DCA"/>
    <w:rsid w:val="00E93E3F"/>
    <w:rsid w:val="00E94123"/>
    <w:rsid w:val="00E942C5"/>
    <w:rsid w:val="00E94302"/>
    <w:rsid w:val="00E94359"/>
    <w:rsid w:val="00E945EB"/>
    <w:rsid w:val="00E94761"/>
    <w:rsid w:val="00E94A48"/>
    <w:rsid w:val="00E94ABD"/>
    <w:rsid w:val="00E94E53"/>
    <w:rsid w:val="00E94EA5"/>
    <w:rsid w:val="00E9502D"/>
    <w:rsid w:val="00E95038"/>
    <w:rsid w:val="00E9550F"/>
    <w:rsid w:val="00E956D4"/>
    <w:rsid w:val="00E958AA"/>
    <w:rsid w:val="00E95CD2"/>
    <w:rsid w:val="00E95D3D"/>
    <w:rsid w:val="00E9608A"/>
    <w:rsid w:val="00E96241"/>
    <w:rsid w:val="00E96334"/>
    <w:rsid w:val="00E964D0"/>
    <w:rsid w:val="00E96B9C"/>
    <w:rsid w:val="00E96CB7"/>
    <w:rsid w:val="00E975BD"/>
    <w:rsid w:val="00E9765E"/>
    <w:rsid w:val="00E97799"/>
    <w:rsid w:val="00E97809"/>
    <w:rsid w:val="00E979DB"/>
    <w:rsid w:val="00E97C64"/>
    <w:rsid w:val="00E97DC0"/>
    <w:rsid w:val="00E97F07"/>
    <w:rsid w:val="00EA0545"/>
    <w:rsid w:val="00EA082B"/>
    <w:rsid w:val="00EA087F"/>
    <w:rsid w:val="00EA0D42"/>
    <w:rsid w:val="00EA0D74"/>
    <w:rsid w:val="00EA1292"/>
    <w:rsid w:val="00EA1492"/>
    <w:rsid w:val="00EA1637"/>
    <w:rsid w:val="00EA1903"/>
    <w:rsid w:val="00EA1B4B"/>
    <w:rsid w:val="00EA1D00"/>
    <w:rsid w:val="00EA1F56"/>
    <w:rsid w:val="00EA2233"/>
    <w:rsid w:val="00EA22F4"/>
    <w:rsid w:val="00EA2384"/>
    <w:rsid w:val="00EA23E5"/>
    <w:rsid w:val="00EA2596"/>
    <w:rsid w:val="00EA26AE"/>
    <w:rsid w:val="00EA3068"/>
    <w:rsid w:val="00EA33AA"/>
    <w:rsid w:val="00EA36DC"/>
    <w:rsid w:val="00EA3CC4"/>
    <w:rsid w:val="00EA455F"/>
    <w:rsid w:val="00EA4580"/>
    <w:rsid w:val="00EA4687"/>
    <w:rsid w:val="00EA4715"/>
    <w:rsid w:val="00EA4842"/>
    <w:rsid w:val="00EA48AE"/>
    <w:rsid w:val="00EA4D41"/>
    <w:rsid w:val="00EA4D99"/>
    <w:rsid w:val="00EA5034"/>
    <w:rsid w:val="00EA5121"/>
    <w:rsid w:val="00EA5256"/>
    <w:rsid w:val="00EA529E"/>
    <w:rsid w:val="00EA545D"/>
    <w:rsid w:val="00EA5581"/>
    <w:rsid w:val="00EA55EB"/>
    <w:rsid w:val="00EA562B"/>
    <w:rsid w:val="00EA5941"/>
    <w:rsid w:val="00EA5984"/>
    <w:rsid w:val="00EA5B8A"/>
    <w:rsid w:val="00EA603B"/>
    <w:rsid w:val="00EA608D"/>
    <w:rsid w:val="00EA60F9"/>
    <w:rsid w:val="00EA6181"/>
    <w:rsid w:val="00EA61B3"/>
    <w:rsid w:val="00EA6825"/>
    <w:rsid w:val="00EA68ED"/>
    <w:rsid w:val="00EA6904"/>
    <w:rsid w:val="00EA69B4"/>
    <w:rsid w:val="00EA6F0E"/>
    <w:rsid w:val="00EA6FFA"/>
    <w:rsid w:val="00EA712F"/>
    <w:rsid w:val="00EA78D8"/>
    <w:rsid w:val="00EA78EF"/>
    <w:rsid w:val="00EA7943"/>
    <w:rsid w:val="00EA7B0A"/>
    <w:rsid w:val="00EA7B79"/>
    <w:rsid w:val="00EA7BAE"/>
    <w:rsid w:val="00EA7E0A"/>
    <w:rsid w:val="00EA7F85"/>
    <w:rsid w:val="00EB0007"/>
    <w:rsid w:val="00EB0347"/>
    <w:rsid w:val="00EB05C0"/>
    <w:rsid w:val="00EB0741"/>
    <w:rsid w:val="00EB084D"/>
    <w:rsid w:val="00EB084F"/>
    <w:rsid w:val="00EB0A12"/>
    <w:rsid w:val="00EB0ACA"/>
    <w:rsid w:val="00EB0C50"/>
    <w:rsid w:val="00EB0F53"/>
    <w:rsid w:val="00EB0FD8"/>
    <w:rsid w:val="00EB108D"/>
    <w:rsid w:val="00EB13F3"/>
    <w:rsid w:val="00EB1471"/>
    <w:rsid w:val="00EB18E1"/>
    <w:rsid w:val="00EB19D1"/>
    <w:rsid w:val="00EB1B22"/>
    <w:rsid w:val="00EB1FC4"/>
    <w:rsid w:val="00EB218C"/>
    <w:rsid w:val="00EB21BF"/>
    <w:rsid w:val="00EB22E3"/>
    <w:rsid w:val="00EB235A"/>
    <w:rsid w:val="00EB240A"/>
    <w:rsid w:val="00EB26C5"/>
    <w:rsid w:val="00EB2858"/>
    <w:rsid w:val="00EB2A51"/>
    <w:rsid w:val="00EB2B17"/>
    <w:rsid w:val="00EB2FF5"/>
    <w:rsid w:val="00EB32F2"/>
    <w:rsid w:val="00EB3347"/>
    <w:rsid w:val="00EB356C"/>
    <w:rsid w:val="00EB35F8"/>
    <w:rsid w:val="00EB3CAA"/>
    <w:rsid w:val="00EB3D5C"/>
    <w:rsid w:val="00EB3E42"/>
    <w:rsid w:val="00EB4355"/>
    <w:rsid w:val="00EB453F"/>
    <w:rsid w:val="00EB45CA"/>
    <w:rsid w:val="00EB4647"/>
    <w:rsid w:val="00EB475D"/>
    <w:rsid w:val="00EB49DE"/>
    <w:rsid w:val="00EB4A35"/>
    <w:rsid w:val="00EB4A7B"/>
    <w:rsid w:val="00EB4B0D"/>
    <w:rsid w:val="00EB5034"/>
    <w:rsid w:val="00EB5730"/>
    <w:rsid w:val="00EB575C"/>
    <w:rsid w:val="00EB5864"/>
    <w:rsid w:val="00EB58A1"/>
    <w:rsid w:val="00EB5911"/>
    <w:rsid w:val="00EB593A"/>
    <w:rsid w:val="00EB5994"/>
    <w:rsid w:val="00EB5C72"/>
    <w:rsid w:val="00EB5EC9"/>
    <w:rsid w:val="00EB605B"/>
    <w:rsid w:val="00EB61C7"/>
    <w:rsid w:val="00EB62E8"/>
    <w:rsid w:val="00EB63AB"/>
    <w:rsid w:val="00EB6A44"/>
    <w:rsid w:val="00EB6BB4"/>
    <w:rsid w:val="00EB6F77"/>
    <w:rsid w:val="00EB7345"/>
    <w:rsid w:val="00EB742C"/>
    <w:rsid w:val="00EB785C"/>
    <w:rsid w:val="00EB78BD"/>
    <w:rsid w:val="00EB7A56"/>
    <w:rsid w:val="00EB7FF0"/>
    <w:rsid w:val="00EC0459"/>
    <w:rsid w:val="00EC0897"/>
    <w:rsid w:val="00EC08CB"/>
    <w:rsid w:val="00EC0F70"/>
    <w:rsid w:val="00EC10A8"/>
    <w:rsid w:val="00EC10CA"/>
    <w:rsid w:val="00EC15B3"/>
    <w:rsid w:val="00EC1600"/>
    <w:rsid w:val="00EC17B9"/>
    <w:rsid w:val="00EC1970"/>
    <w:rsid w:val="00EC1BC5"/>
    <w:rsid w:val="00EC206E"/>
    <w:rsid w:val="00EC2077"/>
    <w:rsid w:val="00EC2780"/>
    <w:rsid w:val="00EC299A"/>
    <w:rsid w:val="00EC29B8"/>
    <w:rsid w:val="00EC2A78"/>
    <w:rsid w:val="00EC2BB0"/>
    <w:rsid w:val="00EC3740"/>
    <w:rsid w:val="00EC3AD8"/>
    <w:rsid w:val="00EC3BCF"/>
    <w:rsid w:val="00EC3C53"/>
    <w:rsid w:val="00EC3F76"/>
    <w:rsid w:val="00EC4063"/>
    <w:rsid w:val="00EC4281"/>
    <w:rsid w:val="00EC4489"/>
    <w:rsid w:val="00EC46EE"/>
    <w:rsid w:val="00EC486D"/>
    <w:rsid w:val="00EC4A6C"/>
    <w:rsid w:val="00EC4B27"/>
    <w:rsid w:val="00EC4B6E"/>
    <w:rsid w:val="00EC4BEF"/>
    <w:rsid w:val="00EC4C4A"/>
    <w:rsid w:val="00EC523B"/>
    <w:rsid w:val="00EC5332"/>
    <w:rsid w:val="00EC53BE"/>
    <w:rsid w:val="00EC5444"/>
    <w:rsid w:val="00EC5504"/>
    <w:rsid w:val="00EC554C"/>
    <w:rsid w:val="00EC5690"/>
    <w:rsid w:val="00EC5925"/>
    <w:rsid w:val="00EC5ABE"/>
    <w:rsid w:val="00EC5CD7"/>
    <w:rsid w:val="00EC5F6A"/>
    <w:rsid w:val="00EC65F0"/>
    <w:rsid w:val="00EC66E5"/>
    <w:rsid w:val="00EC6729"/>
    <w:rsid w:val="00EC67B3"/>
    <w:rsid w:val="00EC67E0"/>
    <w:rsid w:val="00EC6BE4"/>
    <w:rsid w:val="00EC6E36"/>
    <w:rsid w:val="00EC705F"/>
    <w:rsid w:val="00EC7185"/>
    <w:rsid w:val="00EC71F2"/>
    <w:rsid w:val="00EC7698"/>
    <w:rsid w:val="00EC7717"/>
    <w:rsid w:val="00EC7B6E"/>
    <w:rsid w:val="00EC7BBC"/>
    <w:rsid w:val="00EC7CB7"/>
    <w:rsid w:val="00EC7D2F"/>
    <w:rsid w:val="00EC7E2E"/>
    <w:rsid w:val="00EC7FEB"/>
    <w:rsid w:val="00ED042C"/>
    <w:rsid w:val="00ED0A77"/>
    <w:rsid w:val="00ED0B5F"/>
    <w:rsid w:val="00ED0DA6"/>
    <w:rsid w:val="00ED0F0F"/>
    <w:rsid w:val="00ED1396"/>
    <w:rsid w:val="00ED149B"/>
    <w:rsid w:val="00ED1871"/>
    <w:rsid w:val="00ED1C17"/>
    <w:rsid w:val="00ED233B"/>
    <w:rsid w:val="00ED2494"/>
    <w:rsid w:val="00ED2826"/>
    <w:rsid w:val="00ED2A81"/>
    <w:rsid w:val="00ED2AB3"/>
    <w:rsid w:val="00ED30FF"/>
    <w:rsid w:val="00ED3310"/>
    <w:rsid w:val="00ED3368"/>
    <w:rsid w:val="00ED3391"/>
    <w:rsid w:val="00ED361D"/>
    <w:rsid w:val="00ED3A11"/>
    <w:rsid w:val="00ED3A86"/>
    <w:rsid w:val="00ED3C8E"/>
    <w:rsid w:val="00ED3CDA"/>
    <w:rsid w:val="00ED3DBE"/>
    <w:rsid w:val="00ED3FF9"/>
    <w:rsid w:val="00ED4117"/>
    <w:rsid w:val="00ED43F1"/>
    <w:rsid w:val="00ED44A4"/>
    <w:rsid w:val="00ED451F"/>
    <w:rsid w:val="00ED45C3"/>
    <w:rsid w:val="00ED46A4"/>
    <w:rsid w:val="00ED46B1"/>
    <w:rsid w:val="00ED4A33"/>
    <w:rsid w:val="00ED4C4B"/>
    <w:rsid w:val="00ED4CC5"/>
    <w:rsid w:val="00ED4E16"/>
    <w:rsid w:val="00ED4E7B"/>
    <w:rsid w:val="00ED5046"/>
    <w:rsid w:val="00ED515D"/>
    <w:rsid w:val="00ED5267"/>
    <w:rsid w:val="00ED56F0"/>
    <w:rsid w:val="00ED57D8"/>
    <w:rsid w:val="00ED5C3E"/>
    <w:rsid w:val="00ED5D71"/>
    <w:rsid w:val="00ED5DEB"/>
    <w:rsid w:val="00ED5E65"/>
    <w:rsid w:val="00ED5E98"/>
    <w:rsid w:val="00ED6200"/>
    <w:rsid w:val="00ED622B"/>
    <w:rsid w:val="00ED67D0"/>
    <w:rsid w:val="00ED6AE2"/>
    <w:rsid w:val="00ED6B26"/>
    <w:rsid w:val="00ED6B93"/>
    <w:rsid w:val="00ED6C27"/>
    <w:rsid w:val="00ED6C79"/>
    <w:rsid w:val="00ED6E71"/>
    <w:rsid w:val="00ED7103"/>
    <w:rsid w:val="00ED71DE"/>
    <w:rsid w:val="00ED72E4"/>
    <w:rsid w:val="00ED72E6"/>
    <w:rsid w:val="00ED74C6"/>
    <w:rsid w:val="00ED7864"/>
    <w:rsid w:val="00ED7937"/>
    <w:rsid w:val="00ED7B87"/>
    <w:rsid w:val="00ED7F1A"/>
    <w:rsid w:val="00EE0178"/>
    <w:rsid w:val="00EE045A"/>
    <w:rsid w:val="00EE0729"/>
    <w:rsid w:val="00EE07E0"/>
    <w:rsid w:val="00EE08D5"/>
    <w:rsid w:val="00EE0BCA"/>
    <w:rsid w:val="00EE0C41"/>
    <w:rsid w:val="00EE0C78"/>
    <w:rsid w:val="00EE0C89"/>
    <w:rsid w:val="00EE0D5E"/>
    <w:rsid w:val="00EE0F6F"/>
    <w:rsid w:val="00EE1314"/>
    <w:rsid w:val="00EE1402"/>
    <w:rsid w:val="00EE15E8"/>
    <w:rsid w:val="00EE17AB"/>
    <w:rsid w:val="00EE191D"/>
    <w:rsid w:val="00EE1DC6"/>
    <w:rsid w:val="00EE223A"/>
    <w:rsid w:val="00EE24FC"/>
    <w:rsid w:val="00EE26E4"/>
    <w:rsid w:val="00EE287D"/>
    <w:rsid w:val="00EE2AD9"/>
    <w:rsid w:val="00EE2B88"/>
    <w:rsid w:val="00EE2BFD"/>
    <w:rsid w:val="00EE2CF8"/>
    <w:rsid w:val="00EE2D1A"/>
    <w:rsid w:val="00EE3180"/>
    <w:rsid w:val="00EE353E"/>
    <w:rsid w:val="00EE35EA"/>
    <w:rsid w:val="00EE3632"/>
    <w:rsid w:val="00EE384D"/>
    <w:rsid w:val="00EE399E"/>
    <w:rsid w:val="00EE3FBB"/>
    <w:rsid w:val="00EE4110"/>
    <w:rsid w:val="00EE41B9"/>
    <w:rsid w:val="00EE465D"/>
    <w:rsid w:val="00EE4CF4"/>
    <w:rsid w:val="00EE4EFB"/>
    <w:rsid w:val="00EE4FCD"/>
    <w:rsid w:val="00EE5144"/>
    <w:rsid w:val="00EE58EC"/>
    <w:rsid w:val="00EE6089"/>
    <w:rsid w:val="00EE616A"/>
    <w:rsid w:val="00EE6703"/>
    <w:rsid w:val="00EE69E5"/>
    <w:rsid w:val="00EE6A44"/>
    <w:rsid w:val="00EE6E07"/>
    <w:rsid w:val="00EE6E50"/>
    <w:rsid w:val="00EE7294"/>
    <w:rsid w:val="00EE7B77"/>
    <w:rsid w:val="00EE7DEB"/>
    <w:rsid w:val="00EF00B3"/>
    <w:rsid w:val="00EF0262"/>
    <w:rsid w:val="00EF050E"/>
    <w:rsid w:val="00EF0556"/>
    <w:rsid w:val="00EF0942"/>
    <w:rsid w:val="00EF0AD3"/>
    <w:rsid w:val="00EF0CE5"/>
    <w:rsid w:val="00EF1576"/>
    <w:rsid w:val="00EF15E7"/>
    <w:rsid w:val="00EF1652"/>
    <w:rsid w:val="00EF177A"/>
    <w:rsid w:val="00EF1AB5"/>
    <w:rsid w:val="00EF1B9F"/>
    <w:rsid w:val="00EF1C65"/>
    <w:rsid w:val="00EF1C7F"/>
    <w:rsid w:val="00EF1EBF"/>
    <w:rsid w:val="00EF20C1"/>
    <w:rsid w:val="00EF20CC"/>
    <w:rsid w:val="00EF21A0"/>
    <w:rsid w:val="00EF21D3"/>
    <w:rsid w:val="00EF2452"/>
    <w:rsid w:val="00EF24CE"/>
    <w:rsid w:val="00EF253E"/>
    <w:rsid w:val="00EF2A7D"/>
    <w:rsid w:val="00EF2E18"/>
    <w:rsid w:val="00EF311A"/>
    <w:rsid w:val="00EF326B"/>
    <w:rsid w:val="00EF3587"/>
    <w:rsid w:val="00EF3621"/>
    <w:rsid w:val="00EF377E"/>
    <w:rsid w:val="00EF3EF9"/>
    <w:rsid w:val="00EF43CF"/>
    <w:rsid w:val="00EF448C"/>
    <w:rsid w:val="00EF457E"/>
    <w:rsid w:val="00EF463B"/>
    <w:rsid w:val="00EF470B"/>
    <w:rsid w:val="00EF4990"/>
    <w:rsid w:val="00EF4C55"/>
    <w:rsid w:val="00EF4C99"/>
    <w:rsid w:val="00EF4CDC"/>
    <w:rsid w:val="00EF4E60"/>
    <w:rsid w:val="00EF4FEF"/>
    <w:rsid w:val="00EF5345"/>
    <w:rsid w:val="00EF553C"/>
    <w:rsid w:val="00EF562C"/>
    <w:rsid w:val="00EF5A1B"/>
    <w:rsid w:val="00EF5A82"/>
    <w:rsid w:val="00EF5CF1"/>
    <w:rsid w:val="00EF600C"/>
    <w:rsid w:val="00EF62C9"/>
    <w:rsid w:val="00EF647E"/>
    <w:rsid w:val="00EF66D4"/>
    <w:rsid w:val="00EF68DB"/>
    <w:rsid w:val="00EF6972"/>
    <w:rsid w:val="00EF6B70"/>
    <w:rsid w:val="00EF6C9B"/>
    <w:rsid w:val="00EF6D14"/>
    <w:rsid w:val="00EF6D60"/>
    <w:rsid w:val="00EF6E05"/>
    <w:rsid w:val="00EF70DE"/>
    <w:rsid w:val="00EF7162"/>
    <w:rsid w:val="00EF732E"/>
    <w:rsid w:val="00EF7905"/>
    <w:rsid w:val="00EF79D6"/>
    <w:rsid w:val="00EF7B6D"/>
    <w:rsid w:val="00EF7C5B"/>
    <w:rsid w:val="00EF7D07"/>
    <w:rsid w:val="00EF7D7B"/>
    <w:rsid w:val="00EF7F65"/>
    <w:rsid w:val="00F0010D"/>
    <w:rsid w:val="00F00235"/>
    <w:rsid w:val="00F003A3"/>
    <w:rsid w:val="00F00B95"/>
    <w:rsid w:val="00F00BD8"/>
    <w:rsid w:val="00F00D39"/>
    <w:rsid w:val="00F00E6A"/>
    <w:rsid w:val="00F00EC2"/>
    <w:rsid w:val="00F00F70"/>
    <w:rsid w:val="00F00FB9"/>
    <w:rsid w:val="00F00FDA"/>
    <w:rsid w:val="00F01094"/>
    <w:rsid w:val="00F0178F"/>
    <w:rsid w:val="00F019C3"/>
    <w:rsid w:val="00F01ABD"/>
    <w:rsid w:val="00F01B33"/>
    <w:rsid w:val="00F01E1D"/>
    <w:rsid w:val="00F020C4"/>
    <w:rsid w:val="00F026E0"/>
    <w:rsid w:val="00F0276E"/>
    <w:rsid w:val="00F02A3F"/>
    <w:rsid w:val="00F02A6E"/>
    <w:rsid w:val="00F03017"/>
    <w:rsid w:val="00F0315C"/>
    <w:rsid w:val="00F0321A"/>
    <w:rsid w:val="00F032DD"/>
    <w:rsid w:val="00F0341C"/>
    <w:rsid w:val="00F03459"/>
    <w:rsid w:val="00F03486"/>
    <w:rsid w:val="00F03AE3"/>
    <w:rsid w:val="00F03C48"/>
    <w:rsid w:val="00F03EBF"/>
    <w:rsid w:val="00F03FB7"/>
    <w:rsid w:val="00F04010"/>
    <w:rsid w:val="00F04106"/>
    <w:rsid w:val="00F04254"/>
    <w:rsid w:val="00F04265"/>
    <w:rsid w:val="00F04310"/>
    <w:rsid w:val="00F045E0"/>
    <w:rsid w:val="00F046F9"/>
    <w:rsid w:val="00F0498C"/>
    <w:rsid w:val="00F04D17"/>
    <w:rsid w:val="00F04E1C"/>
    <w:rsid w:val="00F04E3A"/>
    <w:rsid w:val="00F051A6"/>
    <w:rsid w:val="00F05268"/>
    <w:rsid w:val="00F057A3"/>
    <w:rsid w:val="00F05B0B"/>
    <w:rsid w:val="00F05BFC"/>
    <w:rsid w:val="00F05C4B"/>
    <w:rsid w:val="00F05D9F"/>
    <w:rsid w:val="00F05E14"/>
    <w:rsid w:val="00F05E18"/>
    <w:rsid w:val="00F0662B"/>
    <w:rsid w:val="00F068EA"/>
    <w:rsid w:val="00F06E12"/>
    <w:rsid w:val="00F06E90"/>
    <w:rsid w:val="00F073F9"/>
    <w:rsid w:val="00F073FA"/>
    <w:rsid w:val="00F07501"/>
    <w:rsid w:val="00F07D17"/>
    <w:rsid w:val="00F07D36"/>
    <w:rsid w:val="00F07D63"/>
    <w:rsid w:val="00F1015C"/>
    <w:rsid w:val="00F105BE"/>
    <w:rsid w:val="00F108B9"/>
    <w:rsid w:val="00F10A42"/>
    <w:rsid w:val="00F10AEF"/>
    <w:rsid w:val="00F10DAE"/>
    <w:rsid w:val="00F11047"/>
    <w:rsid w:val="00F11263"/>
    <w:rsid w:val="00F11291"/>
    <w:rsid w:val="00F114BD"/>
    <w:rsid w:val="00F1154B"/>
    <w:rsid w:val="00F11589"/>
    <w:rsid w:val="00F11715"/>
    <w:rsid w:val="00F1172F"/>
    <w:rsid w:val="00F11765"/>
    <w:rsid w:val="00F11933"/>
    <w:rsid w:val="00F1198A"/>
    <w:rsid w:val="00F11AC4"/>
    <w:rsid w:val="00F11AF0"/>
    <w:rsid w:val="00F11B80"/>
    <w:rsid w:val="00F11BF4"/>
    <w:rsid w:val="00F11D61"/>
    <w:rsid w:val="00F11D84"/>
    <w:rsid w:val="00F11D99"/>
    <w:rsid w:val="00F11DC2"/>
    <w:rsid w:val="00F11E89"/>
    <w:rsid w:val="00F11F6B"/>
    <w:rsid w:val="00F124D0"/>
    <w:rsid w:val="00F1259D"/>
    <w:rsid w:val="00F125B1"/>
    <w:rsid w:val="00F125DF"/>
    <w:rsid w:val="00F12A1C"/>
    <w:rsid w:val="00F12A61"/>
    <w:rsid w:val="00F12BE2"/>
    <w:rsid w:val="00F12C8B"/>
    <w:rsid w:val="00F13187"/>
    <w:rsid w:val="00F13541"/>
    <w:rsid w:val="00F135BB"/>
    <w:rsid w:val="00F135C7"/>
    <w:rsid w:val="00F1369B"/>
    <w:rsid w:val="00F13747"/>
    <w:rsid w:val="00F13999"/>
    <w:rsid w:val="00F13AEA"/>
    <w:rsid w:val="00F13E08"/>
    <w:rsid w:val="00F13E35"/>
    <w:rsid w:val="00F13EC0"/>
    <w:rsid w:val="00F1407E"/>
    <w:rsid w:val="00F14168"/>
    <w:rsid w:val="00F141AF"/>
    <w:rsid w:val="00F142F8"/>
    <w:rsid w:val="00F14821"/>
    <w:rsid w:val="00F14C20"/>
    <w:rsid w:val="00F14F84"/>
    <w:rsid w:val="00F150E0"/>
    <w:rsid w:val="00F15258"/>
    <w:rsid w:val="00F1529F"/>
    <w:rsid w:val="00F1538A"/>
    <w:rsid w:val="00F15473"/>
    <w:rsid w:val="00F15A03"/>
    <w:rsid w:val="00F15DC4"/>
    <w:rsid w:val="00F1631C"/>
    <w:rsid w:val="00F16491"/>
    <w:rsid w:val="00F169AB"/>
    <w:rsid w:val="00F16A5D"/>
    <w:rsid w:val="00F16DBF"/>
    <w:rsid w:val="00F16E41"/>
    <w:rsid w:val="00F17336"/>
    <w:rsid w:val="00F1746C"/>
    <w:rsid w:val="00F174BD"/>
    <w:rsid w:val="00F176DF"/>
    <w:rsid w:val="00F17A82"/>
    <w:rsid w:val="00F17C4F"/>
    <w:rsid w:val="00F20045"/>
    <w:rsid w:val="00F2017E"/>
    <w:rsid w:val="00F2029C"/>
    <w:rsid w:val="00F2039F"/>
    <w:rsid w:val="00F205FB"/>
    <w:rsid w:val="00F206AD"/>
    <w:rsid w:val="00F20746"/>
    <w:rsid w:val="00F207C6"/>
    <w:rsid w:val="00F209D6"/>
    <w:rsid w:val="00F20C0F"/>
    <w:rsid w:val="00F20E50"/>
    <w:rsid w:val="00F20EE8"/>
    <w:rsid w:val="00F20FB7"/>
    <w:rsid w:val="00F21137"/>
    <w:rsid w:val="00F21496"/>
    <w:rsid w:val="00F214D2"/>
    <w:rsid w:val="00F216E9"/>
    <w:rsid w:val="00F2182B"/>
    <w:rsid w:val="00F21BF8"/>
    <w:rsid w:val="00F22073"/>
    <w:rsid w:val="00F2265F"/>
    <w:rsid w:val="00F228B4"/>
    <w:rsid w:val="00F22A87"/>
    <w:rsid w:val="00F22C9A"/>
    <w:rsid w:val="00F22DFC"/>
    <w:rsid w:val="00F230B9"/>
    <w:rsid w:val="00F2322F"/>
    <w:rsid w:val="00F23A68"/>
    <w:rsid w:val="00F23B52"/>
    <w:rsid w:val="00F23B96"/>
    <w:rsid w:val="00F23B9E"/>
    <w:rsid w:val="00F23C50"/>
    <w:rsid w:val="00F23D7A"/>
    <w:rsid w:val="00F23F82"/>
    <w:rsid w:val="00F24401"/>
    <w:rsid w:val="00F24409"/>
    <w:rsid w:val="00F24479"/>
    <w:rsid w:val="00F2456A"/>
    <w:rsid w:val="00F246B8"/>
    <w:rsid w:val="00F246DF"/>
    <w:rsid w:val="00F2487B"/>
    <w:rsid w:val="00F24905"/>
    <w:rsid w:val="00F249E8"/>
    <w:rsid w:val="00F249EC"/>
    <w:rsid w:val="00F24D6F"/>
    <w:rsid w:val="00F25021"/>
    <w:rsid w:val="00F25131"/>
    <w:rsid w:val="00F2570F"/>
    <w:rsid w:val="00F2599D"/>
    <w:rsid w:val="00F25CBA"/>
    <w:rsid w:val="00F260AD"/>
    <w:rsid w:val="00F26518"/>
    <w:rsid w:val="00F2658B"/>
    <w:rsid w:val="00F266A4"/>
    <w:rsid w:val="00F2692D"/>
    <w:rsid w:val="00F26A2D"/>
    <w:rsid w:val="00F26A9C"/>
    <w:rsid w:val="00F26B9A"/>
    <w:rsid w:val="00F26B9C"/>
    <w:rsid w:val="00F26C34"/>
    <w:rsid w:val="00F2712C"/>
    <w:rsid w:val="00F27161"/>
    <w:rsid w:val="00F2720E"/>
    <w:rsid w:val="00F272B6"/>
    <w:rsid w:val="00F27AB5"/>
    <w:rsid w:val="00F27ED0"/>
    <w:rsid w:val="00F303DB"/>
    <w:rsid w:val="00F3056A"/>
    <w:rsid w:val="00F30B0E"/>
    <w:rsid w:val="00F30B4A"/>
    <w:rsid w:val="00F30DB2"/>
    <w:rsid w:val="00F311EB"/>
    <w:rsid w:val="00F316BA"/>
    <w:rsid w:val="00F319BE"/>
    <w:rsid w:val="00F31A06"/>
    <w:rsid w:val="00F31A81"/>
    <w:rsid w:val="00F31B43"/>
    <w:rsid w:val="00F31B7C"/>
    <w:rsid w:val="00F31C3C"/>
    <w:rsid w:val="00F31D27"/>
    <w:rsid w:val="00F31D89"/>
    <w:rsid w:val="00F31FF9"/>
    <w:rsid w:val="00F324E3"/>
    <w:rsid w:val="00F3263D"/>
    <w:rsid w:val="00F32919"/>
    <w:rsid w:val="00F32A62"/>
    <w:rsid w:val="00F32C2A"/>
    <w:rsid w:val="00F32CD5"/>
    <w:rsid w:val="00F33333"/>
    <w:rsid w:val="00F33550"/>
    <w:rsid w:val="00F3366F"/>
    <w:rsid w:val="00F33A94"/>
    <w:rsid w:val="00F33E71"/>
    <w:rsid w:val="00F33EC0"/>
    <w:rsid w:val="00F342A9"/>
    <w:rsid w:val="00F34422"/>
    <w:rsid w:val="00F3453B"/>
    <w:rsid w:val="00F345FF"/>
    <w:rsid w:val="00F346F2"/>
    <w:rsid w:val="00F3475F"/>
    <w:rsid w:val="00F347AD"/>
    <w:rsid w:val="00F34C09"/>
    <w:rsid w:val="00F34D9E"/>
    <w:rsid w:val="00F34F3F"/>
    <w:rsid w:val="00F35A1A"/>
    <w:rsid w:val="00F35C9F"/>
    <w:rsid w:val="00F35D22"/>
    <w:rsid w:val="00F35E4F"/>
    <w:rsid w:val="00F364CF"/>
    <w:rsid w:val="00F369D0"/>
    <w:rsid w:val="00F36B9E"/>
    <w:rsid w:val="00F372AB"/>
    <w:rsid w:val="00F372B0"/>
    <w:rsid w:val="00F375C1"/>
    <w:rsid w:val="00F37C2A"/>
    <w:rsid w:val="00F37F49"/>
    <w:rsid w:val="00F40185"/>
    <w:rsid w:val="00F401B1"/>
    <w:rsid w:val="00F4023E"/>
    <w:rsid w:val="00F40667"/>
    <w:rsid w:val="00F4090F"/>
    <w:rsid w:val="00F40A1C"/>
    <w:rsid w:val="00F40A72"/>
    <w:rsid w:val="00F40AA9"/>
    <w:rsid w:val="00F40BB9"/>
    <w:rsid w:val="00F40F02"/>
    <w:rsid w:val="00F415CE"/>
    <w:rsid w:val="00F418FB"/>
    <w:rsid w:val="00F41908"/>
    <w:rsid w:val="00F419D5"/>
    <w:rsid w:val="00F41A92"/>
    <w:rsid w:val="00F41BB5"/>
    <w:rsid w:val="00F424B2"/>
    <w:rsid w:val="00F424CF"/>
    <w:rsid w:val="00F42534"/>
    <w:rsid w:val="00F42579"/>
    <w:rsid w:val="00F425E5"/>
    <w:rsid w:val="00F428F1"/>
    <w:rsid w:val="00F42B16"/>
    <w:rsid w:val="00F42DB3"/>
    <w:rsid w:val="00F42E72"/>
    <w:rsid w:val="00F4317C"/>
    <w:rsid w:val="00F43B66"/>
    <w:rsid w:val="00F44116"/>
    <w:rsid w:val="00F441F7"/>
    <w:rsid w:val="00F4431A"/>
    <w:rsid w:val="00F4472C"/>
    <w:rsid w:val="00F449C4"/>
    <w:rsid w:val="00F44C3E"/>
    <w:rsid w:val="00F44D27"/>
    <w:rsid w:val="00F44F2A"/>
    <w:rsid w:val="00F45149"/>
    <w:rsid w:val="00F4528A"/>
    <w:rsid w:val="00F45336"/>
    <w:rsid w:val="00F45378"/>
    <w:rsid w:val="00F454A8"/>
    <w:rsid w:val="00F45631"/>
    <w:rsid w:val="00F45706"/>
    <w:rsid w:val="00F45809"/>
    <w:rsid w:val="00F458A4"/>
    <w:rsid w:val="00F45A07"/>
    <w:rsid w:val="00F45B0C"/>
    <w:rsid w:val="00F45EBB"/>
    <w:rsid w:val="00F45F41"/>
    <w:rsid w:val="00F46159"/>
    <w:rsid w:val="00F46218"/>
    <w:rsid w:val="00F4645F"/>
    <w:rsid w:val="00F464B8"/>
    <w:rsid w:val="00F464D9"/>
    <w:rsid w:val="00F465E3"/>
    <w:rsid w:val="00F467C3"/>
    <w:rsid w:val="00F467DB"/>
    <w:rsid w:val="00F46845"/>
    <w:rsid w:val="00F46C71"/>
    <w:rsid w:val="00F46D4F"/>
    <w:rsid w:val="00F46DF2"/>
    <w:rsid w:val="00F46E85"/>
    <w:rsid w:val="00F46EBD"/>
    <w:rsid w:val="00F47654"/>
    <w:rsid w:val="00F478E3"/>
    <w:rsid w:val="00F47913"/>
    <w:rsid w:val="00F47CCE"/>
    <w:rsid w:val="00F47DF3"/>
    <w:rsid w:val="00F501E9"/>
    <w:rsid w:val="00F50251"/>
    <w:rsid w:val="00F5028A"/>
    <w:rsid w:val="00F50348"/>
    <w:rsid w:val="00F504DE"/>
    <w:rsid w:val="00F50A4E"/>
    <w:rsid w:val="00F50B0E"/>
    <w:rsid w:val="00F50C14"/>
    <w:rsid w:val="00F50C53"/>
    <w:rsid w:val="00F50F6B"/>
    <w:rsid w:val="00F50FD9"/>
    <w:rsid w:val="00F514A1"/>
    <w:rsid w:val="00F517BF"/>
    <w:rsid w:val="00F518BE"/>
    <w:rsid w:val="00F51C00"/>
    <w:rsid w:val="00F51F35"/>
    <w:rsid w:val="00F51F36"/>
    <w:rsid w:val="00F52179"/>
    <w:rsid w:val="00F5218D"/>
    <w:rsid w:val="00F522F2"/>
    <w:rsid w:val="00F5259D"/>
    <w:rsid w:val="00F52951"/>
    <w:rsid w:val="00F529F2"/>
    <w:rsid w:val="00F52CBD"/>
    <w:rsid w:val="00F52EB8"/>
    <w:rsid w:val="00F53007"/>
    <w:rsid w:val="00F53084"/>
    <w:rsid w:val="00F5342F"/>
    <w:rsid w:val="00F534AF"/>
    <w:rsid w:val="00F5358B"/>
    <w:rsid w:val="00F536DC"/>
    <w:rsid w:val="00F53741"/>
    <w:rsid w:val="00F53C70"/>
    <w:rsid w:val="00F53E03"/>
    <w:rsid w:val="00F542F5"/>
    <w:rsid w:val="00F543D8"/>
    <w:rsid w:val="00F54474"/>
    <w:rsid w:val="00F544CB"/>
    <w:rsid w:val="00F5455E"/>
    <w:rsid w:val="00F54B70"/>
    <w:rsid w:val="00F54CFE"/>
    <w:rsid w:val="00F54DFA"/>
    <w:rsid w:val="00F54E1B"/>
    <w:rsid w:val="00F54E85"/>
    <w:rsid w:val="00F54EC8"/>
    <w:rsid w:val="00F55079"/>
    <w:rsid w:val="00F550FB"/>
    <w:rsid w:val="00F5527E"/>
    <w:rsid w:val="00F55347"/>
    <w:rsid w:val="00F553DB"/>
    <w:rsid w:val="00F55480"/>
    <w:rsid w:val="00F55678"/>
    <w:rsid w:val="00F556A9"/>
    <w:rsid w:val="00F5573D"/>
    <w:rsid w:val="00F55928"/>
    <w:rsid w:val="00F55A99"/>
    <w:rsid w:val="00F55CA7"/>
    <w:rsid w:val="00F5624B"/>
    <w:rsid w:val="00F5653B"/>
    <w:rsid w:val="00F56A8C"/>
    <w:rsid w:val="00F57129"/>
    <w:rsid w:val="00F57335"/>
    <w:rsid w:val="00F576E9"/>
    <w:rsid w:val="00F57C7A"/>
    <w:rsid w:val="00F57CA8"/>
    <w:rsid w:val="00F57E55"/>
    <w:rsid w:val="00F603A4"/>
    <w:rsid w:val="00F6076D"/>
    <w:rsid w:val="00F60785"/>
    <w:rsid w:val="00F607F4"/>
    <w:rsid w:val="00F60A55"/>
    <w:rsid w:val="00F60C89"/>
    <w:rsid w:val="00F60CB6"/>
    <w:rsid w:val="00F60DAD"/>
    <w:rsid w:val="00F61BB1"/>
    <w:rsid w:val="00F61C4C"/>
    <w:rsid w:val="00F61EEF"/>
    <w:rsid w:val="00F62073"/>
    <w:rsid w:val="00F62185"/>
    <w:rsid w:val="00F621EA"/>
    <w:rsid w:val="00F6226F"/>
    <w:rsid w:val="00F62505"/>
    <w:rsid w:val="00F628D9"/>
    <w:rsid w:val="00F62F30"/>
    <w:rsid w:val="00F63019"/>
    <w:rsid w:val="00F634BA"/>
    <w:rsid w:val="00F634BE"/>
    <w:rsid w:val="00F6370C"/>
    <w:rsid w:val="00F638D4"/>
    <w:rsid w:val="00F63A63"/>
    <w:rsid w:val="00F63F45"/>
    <w:rsid w:val="00F63F9D"/>
    <w:rsid w:val="00F64388"/>
    <w:rsid w:val="00F64647"/>
    <w:rsid w:val="00F647D7"/>
    <w:rsid w:val="00F64C5B"/>
    <w:rsid w:val="00F64F16"/>
    <w:rsid w:val="00F6506D"/>
    <w:rsid w:val="00F650EA"/>
    <w:rsid w:val="00F653A2"/>
    <w:rsid w:val="00F653D4"/>
    <w:rsid w:val="00F653EA"/>
    <w:rsid w:val="00F6578B"/>
    <w:rsid w:val="00F65869"/>
    <w:rsid w:val="00F65CCD"/>
    <w:rsid w:val="00F65E77"/>
    <w:rsid w:val="00F65EA3"/>
    <w:rsid w:val="00F65EB9"/>
    <w:rsid w:val="00F65F73"/>
    <w:rsid w:val="00F66130"/>
    <w:rsid w:val="00F661EB"/>
    <w:rsid w:val="00F66283"/>
    <w:rsid w:val="00F66B4C"/>
    <w:rsid w:val="00F66B98"/>
    <w:rsid w:val="00F6710A"/>
    <w:rsid w:val="00F67133"/>
    <w:rsid w:val="00F6738B"/>
    <w:rsid w:val="00F67504"/>
    <w:rsid w:val="00F6757B"/>
    <w:rsid w:val="00F6764E"/>
    <w:rsid w:val="00F67A60"/>
    <w:rsid w:val="00F67AE2"/>
    <w:rsid w:val="00F67CF0"/>
    <w:rsid w:val="00F67DE5"/>
    <w:rsid w:val="00F67F0E"/>
    <w:rsid w:val="00F70063"/>
    <w:rsid w:val="00F70158"/>
    <w:rsid w:val="00F701C9"/>
    <w:rsid w:val="00F7065B"/>
    <w:rsid w:val="00F70794"/>
    <w:rsid w:val="00F70CF5"/>
    <w:rsid w:val="00F70CFA"/>
    <w:rsid w:val="00F70D8D"/>
    <w:rsid w:val="00F70FF5"/>
    <w:rsid w:val="00F711AF"/>
    <w:rsid w:val="00F717BA"/>
    <w:rsid w:val="00F71897"/>
    <w:rsid w:val="00F7194C"/>
    <w:rsid w:val="00F71A45"/>
    <w:rsid w:val="00F72014"/>
    <w:rsid w:val="00F72440"/>
    <w:rsid w:val="00F725FC"/>
    <w:rsid w:val="00F72606"/>
    <w:rsid w:val="00F7277B"/>
    <w:rsid w:val="00F72B1B"/>
    <w:rsid w:val="00F72B26"/>
    <w:rsid w:val="00F72D35"/>
    <w:rsid w:val="00F72FEF"/>
    <w:rsid w:val="00F731B8"/>
    <w:rsid w:val="00F73269"/>
    <w:rsid w:val="00F733C6"/>
    <w:rsid w:val="00F73435"/>
    <w:rsid w:val="00F736D5"/>
    <w:rsid w:val="00F73771"/>
    <w:rsid w:val="00F73D04"/>
    <w:rsid w:val="00F73E08"/>
    <w:rsid w:val="00F73F92"/>
    <w:rsid w:val="00F7419D"/>
    <w:rsid w:val="00F743AF"/>
    <w:rsid w:val="00F74803"/>
    <w:rsid w:val="00F74C8D"/>
    <w:rsid w:val="00F74CB1"/>
    <w:rsid w:val="00F74F96"/>
    <w:rsid w:val="00F752BC"/>
    <w:rsid w:val="00F75551"/>
    <w:rsid w:val="00F756AE"/>
    <w:rsid w:val="00F759B3"/>
    <w:rsid w:val="00F75A8A"/>
    <w:rsid w:val="00F75AA3"/>
    <w:rsid w:val="00F75AF5"/>
    <w:rsid w:val="00F75B40"/>
    <w:rsid w:val="00F75BFE"/>
    <w:rsid w:val="00F75C77"/>
    <w:rsid w:val="00F75D27"/>
    <w:rsid w:val="00F760F9"/>
    <w:rsid w:val="00F76494"/>
    <w:rsid w:val="00F767D0"/>
    <w:rsid w:val="00F774A6"/>
    <w:rsid w:val="00F774BA"/>
    <w:rsid w:val="00F77667"/>
    <w:rsid w:val="00F7767D"/>
    <w:rsid w:val="00F776B0"/>
    <w:rsid w:val="00F7798A"/>
    <w:rsid w:val="00F779F6"/>
    <w:rsid w:val="00F77BE0"/>
    <w:rsid w:val="00F77CF1"/>
    <w:rsid w:val="00F77DD1"/>
    <w:rsid w:val="00F77DF5"/>
    <w:rsid w:val="00F77E54"/>
    <w:rsid w:val="00F8034C"/>
    <w:rsid w:val="00F806CC"/>
    <w:rsid w:val="00F80858"/>
    <w:rsid w:val="00F80C3F"/>
    <w:rsid w:val="00F80CC1"/>
    <w:rsid w:val="00F80D5C"/>
    <w:rsid w:val="00F811BE"/>
    <w:rsid w:val="00F812C6"/>
    <w:rsid w:val="00F8165B"/>
    <w:rsid w:val="00F81693"/>
    <w:rsid w:val="00F8174D"/>
    <w:rsid w:val="00F81954"/>
    <w:rsid w:val="00F81B2E"/>
    <w:rsid w:val="00F81F37"/>
    <w:rsid w:val="00F81F4C"/>
    <w:rsid w:val="00F820B4"/>
    <w:rsid w:val="00F822B3"/>
    <w:rsid w:val="00F82448"/>
    <w:rsid w:val="00F82613"/>
    <w:rsid w:val="00F8297C"/>
    <w:rsid w:val="00F829E7"/>
    <w:rsid w:val="00F82B17"/>
    <w:rsid w:val="00F82B7F"/>
    <w:rsid w:val="00F82DF4"/>
    <w:rsid w:val="00F82EF8"/>
    <w:rsid w:val="00F8312B"/>
    <w:rsid w:val="00F832E8"/>
    <w:rsid w:val="00F83328"/>
    <w:rsid w:val="00F8343D"/>
    <w:rsid w:val="00F834F4"/>
    <w:rsid w:val="00F83537"/>
    <w:rsid w:val="00F835D5"/>
    <w:rsid w:val="00F836AB"/>
    <w:rsid w:val="00F83AC2"/>
    <w:rsid w:val="00F842A8"/>
    <w:rsid w:val="00F844AE"/>
    <w:rsid w:val="00F845C8"/>
    <w:rsid w:val="00F84759"/>
    <w:rsid w:val="00F8484F"/>
    <w:rsid w:val="00F84A27"/>
    <w:rsid w:val="00F84D97"/>
    <w:rsid w:val="00F84F10"/>
    <w:rsid w:val="00F8522A"/>
    <w:rsid w:val="00F855BA"/>
    <w:rsid w:val="00F85687"/>
    <w:rsid w:val="00F85AF4"/>
    <w:rsid w:val="00F85AF6"/>
    <w:rsid w:val="00F85EC8"/>
    <w:rsid w:val="00F85EF9"/>
    <w:rsid w:val="00F866C4"/>
    <w:rsid w:val="00F867D8"/>
    <w:rsid w:val="00F86830"/>
    <w:rsid w:val="00F8689D"/>
    <w:rsid w:val="00F86F0A"/>
    <w:rsid w:val="00F86F28"/>
    <w:rsid w:val="00F86F8F"/>
    <w:rsid w:val="00F874B0"/>
    <w:rsid w:val="00F8758C"/>
    <w:rsid w:val="00F87B04"/>
    <w:rsid w:val="00F87E33"/>
    <w:rsid w:val="00F902B4"/>
    <w:rsid w:val="00F90376"/>
    <w:rsid w:val="00F903FD"/>
    <w:rsid w:val="00F90649"/>
    <w:rsid w:val="00F90745"/>
    <w:rsid w:val="00F908FB"/>
    <w:rsid w:val="00F909F7"/>
    <w:rsid w:val="00F90C70"/>
    <w:rsid w:val="00F9127D"/>
    <w:rsid w:val="00F915E2"/>
    <w:rsid w:val="00F91625"/>
    <w:rsid w:val="00F91747"/>
    <w:rsid w:val="00F91D09"/>
    <w:rsid w:val="00F921C2"/>
    <w:rsid w:val="00F92302"/>
    <w:rsid w:val="00F92379"/>
    <w:rsid w:val="00F92609"/>
    <w:rsid w:val="00F926CD"/>
    <w:rsid w:val="00F92761"/>
    <w:rsid w:val="00F92A9C"/>
    <w:rsid w:val="00F92AF8"/>
    <w:rsid w:val="00F92DB3"/>
    <w:rsid w:val="00F92F9D"/>
    <w:rsid w:val="00F93255"/>
    <w:rsid w:val="00F933DC"/>
    <w:rsid w:val="00F9355A"/>
    <w:rsid w:val="00F93677"/>
    <w:rsid w:val="00F9369B"/>
    <w:rsid w:val="00F93724"/>
    <w:rsid w:val="00F93A28"/>
    <w:rsid w:val="00F93D94"/>
    <w:rsid w:val="00F93F02"/>
    <w:rsid w:val="00F93FD9"/>
    <w:rsid w:val="00F94123"/>
    <w:rsid w:val="00F94514"/>
    <w:rsid w:val="00F946E6"/>
    <w:rsid w:val="00F94DFB"/>
    <w:rsid w:val="00F95102"/>
    <w:rsid w:val="00F955D6"/>
    <w:rsid w:val="00F9562F"/>
    <w:rsid w:val="00F9568D"/>
    <w:rsid w:val="00F95711"/>
    <w:rsid w:val="00F957D4"/>
    <w:rsid w:val="00F95F57"/>
    <w:rsid w:val="00F96134"/>
    <w:rsid w:val="00F965FF"/>
    <w:rsid w:val="00F968CB"/>
    <w:rsid w:val="00F96B14"/>
    <w:rsid w:val="00F96B5F"/>
    <w:rsid w:val="00F96CB4"/>
    <w:rsid w:val="00F96F30"/>
    <w:rsid w:val="00F9712E"/>
    <w:rsid w:val="00F97225"/>
    <w:rsid w:val="00F972F1"/>
    <w:rsid w:val="00F974C6"/>
    <w:rsid w:val="00F974EB"/>
    <w:rsid w:val="00F97501"/>
    <w:rsid w:val="00F975D1"/>
    <w:rsid w:val="00F97664"/>
    <w:rsid w:val="00F979BB"/>
    <w:rsid w:val="00F97A20"/>
    <w:rsid w:val="00F97B0B"/>
    <w:rsid w:val="00F97DAD"/>
    <w:rsid w:val="00F97E10"/>
    <w:rsid w:val="00F97FD8"/>
    <w:rsid w:val="00FA0235"/>
    <w:rsid w:val="00FA0259"/>
    <w:rsid w:val="00FA05CE"/>
    <w:rsid w:val="00FA06A5"/>
    <w:rsid w:val="00FA06CC"/>
    <w:rsid w:val="00FA070F"/>
    <w:rsid w:val="00FA0751"/>
    <w:rsid w:val="00FA0A00"/>
    <w:rsid w:val="00FA0A83"/>
    <w:rsid w:val="00FA0CF8"/>
    <w:rsid w:val="00FA0EA0"/>
    <w:rsid w:val="00FA0EB5"/>
    <w:rsid w:val="00FA1028"/>
    <w:rsid w:val="00FA1094"/>
    <w:rsid w:val="00FA10BA"/>
    <w:rsid w:val="00FA10C5"/>
    <w:rsid w:val="00FA10FD"/>
    <w:rsid w:val="00FA1530"/>
    <w:rsid w:val="00FA1557"/>
    <w:rsid w:val="00FA17B8"/>
    <w:rsid w:val="00FA188F"/>
    <w:rsid w:val="00FA18AA"/>
    <w:rsid w:val="00FA19E2"/>
    <w:rsid w:val="00FA1D9D"/>
    <w:rsid w:val="00FA230D"/>
    <w:rsid w:val="00FA236F"/>
    <w:rsid w:val="00FA30A6"/>
    <w:rsid w:val="00FA3254"/>
    <w:rsid w:val="00FA3477"/>
    <w:rsid w:val="00FA3496"/>
    <w:rsid w:val="00FA37D2"/>
    <w:rsid w:val="00FA3A0D"/>
    <w:rsid w:val="00FA401C"/>
    <w:rsid w:val="00FA40BB"/>
    <w:rsid w:val="00FA44BA"/>
    <w:rsid w:val="00FA4794"/>
    <w:rsid w:val="00FA47C4"/>
    <w:rsid w:val="00FA4A5C"/>
    <w:rsid w:val="00FA4B25"/>
    <w:rsid w:val="00FA4BD5"/>
    <w:rsid w:val="00FA4C33"/>
    <w:rsid w:val="00FA4FD1"/>
    <w:rsid w:val="00FA5366"/>
    <w:rsid w:val="00FA54C6"/>
    <w:rsid w:val="00FA54CF"/>
    <w:rsid w:val="00FA54DA"/>
    <w:rsid w:val="00FA54DD"/>
    <w:rsid w:val="00FA5538"/>
    <w:rsid w:val="00FA5BAD"/>
    <w:rsid w:val="00FA5EE8"/>
    <w:rsid w:val="00FA6003"/>
    <w:rsid w:val="00FA6385"/>
    <w:rsid w:val="00FA65B1"/>
    <w:rsid w:val="00FA65CE"/>
    <w:rsid w:val="00FA67A0"/>
    <w:rsid w:val="00FA689C"/>
    <w:rsid w:val="00FA6A0A"/>
    <w:rsid w:val="00FA7369"/>
    <w:rsid w:val="00FA77C8"/>
    <w:rsid w:val="00FA79A7"/>
    <w:rsid w:val="00FA79AA"/>
    <w:rsid w:val="00FA7D67"/>
    <w:rsid w:val="00FA7D9B"/>
    <w:rsid w:val="00FA7FE5"/>
    <w:rsid w:val="00FB0174"/>
    <w:rsid w:val="00FB018B"/>
    <w:rsid w:val="00FB03C0"/>
    <w:rsid w:val="00FB0874"/>
    <w:rsid w:val="00FB0878"/>
    <w:rsid w:val="00FB0B07"/>
    <w:rsid w:val="00FB0BFC"/>
    <w:rsid w:val="00FB0D04"/>
    <w:rsid w:val="00FB0D1F"/>
    <w:rsid w:val="00FB0F78"/>
    <w:rsid w:val="00FB0FA4"/>
    <w:rsid w:val="00FB11EB"/>
    <w:rsid w:val="00FB18A1"/>
    <w:rsid w:val="00FB1D75"/>
    <w:rsid w:val="00FB1E0A"/>
    <w:rsid w:val="00FB21F5"/>
    <w:rsid w:val="00FB2326"/>
    <w:rsid w:val="00FB2462"/>
    <w:rsid w:val="00FB24CA"/>
    <w:rsid w:val="00FB2956"/>
    <w:rsid w:val="00FB2A21"/>
    <w:rsid w:val="00FB2B76"/>
    <w:rsid w:val="00FB2CC2"/>
    <w:rsid w:val="00FB2FE9"/>
    <w:rsid w:val="00FB33C7"/>
    <w:rsid w:val="00FB34B4"/>
    <w:rsid w:val="00FB350E"/>
    <w:rsid w:val="00FB3DFC"/>
    <w:rsid w:val="00FB3E1F"/>
    <w:rsid w:val="00FB3E38"/>
    <w:rsid w:val="00FB3EAB"/>
    <w:rsid w:val="00FB40D8"/>
    <w:rsid w:val="00FB4140"/>
    <w:rsid w:val="00FB4560"/>
    <w:rsid w:val="00FB48EA"/>
    <w:rsid w:val="00FB4910"/>
    <w:rsid w:val="00FB4948"/>
    <w:rsid w:val="00FB499F"/>
    <w:rsid w:val="00FB4BF2"/>
    <w:rsid w:val="00FB4FAA"/>
    <w:rsid w:val="00FB4FF5"/>
    <w:rsid w:val="00FB4FF7"/>
    <w:rsid w:val="00FB501A"/>
    <w:rsid w:val="00FB510E"/>
    <w:rsid w:val="00FB5160"/>
    <w:rsid w:val="00FB52FB"/>
    <w:rsid w:val="00FB55AA"/>
    <w:rsid w:val="00FB576E"/>
    <w:rsid w:val="00FB58CE"/>
    <w:rsid w:val="00FB5982"/>
    <w:rsid w:val="00FB5D7D"/>
    <w:rsid w:val="00FB60E8"/>
    <w:rsid w:val="00FB6122"/>
    <w:rsid w:val="00FB61F4"/>
    <w:rsid w:val="00FB6235"/>
    <w:rsid w:val="00FB6600"/>
    <w:rsid w:val="00FB69AF"/>
    <w:rsid w:val="00FB6A24"/>
    <w:rsid w:val="00FB6BF4"/>
    <w:rsid w:val="00FB6CDD"/>
    <w:rsid w:val="00FB7469"/>
    <w:rsid w:val="00FB75D5"/>
    <w:rsid w:val="00FB77E1"/>
    <w:rsid w:val="00FB7813"/>
    <w:rsid w:val="00FB7A40"/>
    <w:rsid w:val="00FB7B40"/>
    <w:rsid w:val="00FC0019"/>
    <w:rsid w:val="00FC03EC"/>
    <w:rsid w:val="00FC0552"/>
    <w:rsid w:val="00FC0689"/>
    <w:rsid w:val="00FC0867"/>
    <w:rsid w:val="00FC09ED"/>
    <w:rsid w:val="00FC0D5C"/>
    <w:rsid w:val="00FC0DDF"/>
    <w:rsid w:val="00FC0F62"/>
    <w:rsid w:val="00FC1087"/>
    <w:rsid w:val="00FC10AB"/>
    <w:rsid w:val="00FC11A6"/>
    <w:rsid w:val="00FC1296"/>
    <w:rsid w:val="00FC1339"/>
    <w:rsid w:val="00FC17A6"/>
    <w:rsid w:val="00FC17FC"/>
    <w:rsid w:val="00FC18EA"/>
    <w:rsid w:val="00FC196E"/>
    <w:rsid w:val="00FC1DD7"/>
    <w:rsid w:val="00FC1E8F"/>
    <w:rsid w:val="00FC218F"/>
    <w:rsid w:val="00FC23E2"/>
    <w:rsid w:val="00FC2444"/>
    <w:rsid w:val="00FC246B"/>
    <w:rsid w:val="00FC247D"/>
    <w:rsid w:val="00FC2584"/>
    <w:rsid w:val="00FC291D"/>
    <w:rsid w:val="00FC292C"/>
    <w:rsid w:val="00FC2E15"/>
    <w:rsid w:val="00FC311F"/>
    <w:rsid w:val="00FC32CB"/>
    <w:rsid w:val="00FC34C7"/>
    <w:rsid w:val="00FC35DD"/>
    <w:rsid w:val="00FC36E7"/>
    <w:rsid w:val="00FC37DB"/>
    <w:rsid w:val="00FC392F"/>
    <w:rsid w:val="00FC3BCC"/>
    <w:rsid w:val="00FC3D4B"/>
    <w:rsid w:val="00FC437C"/>
    <w:rsid w:val="00FC443E"/>
    <w:rsid w:val="00FC44A8"/>
    <w:rsid w:val="00FC4885"/>
    <w:rsid w:val="00FC48C2"/>
    <w:rsid w:val="00FC4AD5"/>
    <w:rsid w:val="00FC4BFD"/>
    <w:rsid w:val="00FC4C1D"/>
    <w:rsid w:val="00FC56A3"/>
    <w:rsid w:val="00FC56AC"/>
    <w:rsid w:val="00FC579A"/>
    <w:rsid w:val="00FC57FC"/>
    <w:rsid w:val="00FC5959"/>
    <w:rsid w:val="00FC5BE0"/>
    <w:rsid w:val="00FC5FBD"/>
    <w:rsid w:val="00FC604A"/>
    <w:rsid w:val="00FC6144"/>
    <w:rsid w:val="00FC61AA"/>
    <w:rsid w:val="00FC61BB"/>
    <w:rsid w:val="00FC6221"/>
    <w:rsid w:val="00FC622D"/>
    <w:rsid w:val="00FC64B3"/>
    <w:rsid w:val="00FC6710"/>
    <w:rsid w:val="00FC68D0"/>
    <w:rsid w:val="00FC6958"/>
    <w:rsid w:val="00FC6A05"/>
    <w:rsid w:val="00FC6D30"/>
    <w:rsid w:val="00FC6E57"/>
    <w:rsid w:val="00FC7093"/>
    <w:rsid w:val="00FC71C4"/>
    <w:rsid w:val="00FC76D7"/>
    <w:rsid w:val="00FC7777"/>
    <w:rsid w:val="00FC785C"/>
    <w:rsid w:val="00FC7963"/>
    <w:rsid w:val="00FC79BB"/>
    <w:rsid w:val="00FC7AC8"/>
    <w:rsid w:val="00FC7C22"/>
    <w:rsid w:val="00FD0398"/>
    <w:rsid w:val="00FD0460"/>
    <w:rsid w:val="00FD05D0"/>
    <w:rsid w:val="00FD08BB"/>
    <w:rsid w:val="00FD08F0"/>
    <w:rsid w:val="00FD0991"/>
    <w:rsid w:val="00FD0B19"/>
    <w:rsid w:val="00FD0B64"/>
    <w:rsid w:val="00FD0C00"/>
    <w:rsid w:val="00FD0D99"/>
    <w:rsid w:val="00FD0ED5"/>
    <w:rsid w:val="00FD0EE2"/>
    <w:rsid w:val="00FD0F7A"/>
    <w:rsid w:val="00FD1050"/>
    <w:rsid w:val="00FD10B0"/>
    <w:rsid w:val="00FD1189"/>
    <w:rsid w:val="00FD138F"/>
    <w:rsid w:val="00FD146D"/>
    <w:rsid w:val="00FD16E5"/>
    <w:rsid w:val="00FD17AB"/>
    <w:rsid w:val="00FD1912"/>
    <w:rsid w:val="00FD1BA7"/>
    <w:rsid w:val="00FD1E2C"/>
    <w:rsid w:val="00FD1EBF"/>
    <w:rsid w:val="00FD1ECE"/>
    <w:rsid w:val="00FD1FD6"/>
    <w:rsid w:val="00FD218A"/>
    <w:rsid w:val="00FD21D0"/>
    <w:rsid w:val="00FD21E8"/>
    <w:rsid w:val="00FD249F"/>
    <w:rsid w:val="00FD26CE"/>
    <w:rsid w:val="00FD291F"/>
    <w:rsid w:val="00FD2B5B"/>
    <w:rsid w:val="00FD2CB8"/>
    <w:rsid w:val="00FD2F26"/>
    <w:rsid w:val="00FD3058"/>
    <w:rsid w:val="00FD32D2"/>
    <w:rsid w:val="00FD37BF"/>
    <w:rsid w:val="00FD3A65"/>
    <w:rsid w:val="00FD40D4"/>
    <w:rsid w:val="00FD426A"/>
    <w:rsid w:val="00FD44A4"/>
    <w:rsid w:val="00FD4964"/>
    <w:rsid w:val="00FD4DAB"/>
    <w:rsid w:val="00FD4EE4"/>
    <w:rsid w:val="00FD5206"/>
    <w:rsid w:val="00FD52DC"/>
    <w:rsid w:val="00FD5350"/>
    <w:rsid w:val="00FD54D1"/>
    <w:rsid w:val="00FD5560"/>
    <w:rsid w:val="00FD570D"/>
    <w:rsid w:val="00FD5716"/>
    <w:rsid w:val="00FD57A1"/>
    <w:rsid w:val="00FD57A3"/>
    <w:rsid w:val="00FD5848"/>
    <w:rsid w:val="00FD58AE"/>
    <w:rsid w:val="00FD5997"/>
    <w:rsid w:val="00FD5EEB"/>
    <w:rsid w:val="00FD5FF1"/>
    <w:rsid w:val="00FD6253"/>
    <w:rsid w:val="00FD627E"/>
    <w:rsid w:val="00FD65DE"/>
    <w:rsid w:val="00FD664A"/>
    <w:rsid w:val="00FD664E"/>
    <w:rsid w:val="00FD66A4"/>
    <w:rsid w:val="00FD66E2"/>
    <w:rsid w:val="00FD6799"/>
    <w:rsid w:val="00FD6A9B"/>
    <w:rsid w:val="00FD6B22"/>
    <w:rsid w:val="00FD6B79"/>
    <w:rsid w:val="00FD6BCE"/>
    <w:rsid w:val="00FD6CB9"/>
    <w:rsid w:val="00FD70BE"/>
    <w:rsid w:val="00FD70C6"/>
    <w:rsid w:val="00FD70D8"/>
    <w:rsid w:val="00FD73AC"/>
    <w:rsid w:val="00FD7607"/>
    <w:rsid w:val="00FD76E6"/>
    <w:rsid w:val="00FD76ED"/>
    <w:rsid w:val="00FD76F6"/>
    <w:rsid w:val="00FD7717"/>
    <w:rsid w:val="00FD778D"/>
    <w:rsid w:val="00FD7928"/>
    <w:rsid w:val="00FD7A56"/>
    <w:rsid w:val="00FD7B57"/>
    <w:rsid w:val="00FD7BCC"/>
    <w:rsid w:val="00FD7BD3"/>
    <w:rsid w:val="00FD7DDD"/>
    <w:rsid w:val="00FD7F07"/>
    <w:rsid w:val="00FE0326"/>
    <w:rsid w:val="00FE09B1"/>
    <w:rsid w:val="00FE0A48"/>
    <w:rsid w:val="00FE0AD5"/>
    <w:rsid w:val="00FE0B5B"/>
    <w:rsid w:val="00FE0E36"/>
    <w:rsid w:val="00FE0F9C"/>
    <w:rsid w:val="00FE130B"/>
    <w:rsid w:val="00FE1453"/>
    <w:rsid w:val="00FE1473"/>
    <w:rsid w:val="00FE16D0"/>
    <w:rsid w:val="00FE1873"/>
    <w:rsid w:val="00FE18D1"/>
    <w:rsid w:val="00FE1A67"/>
    <w:rsid w:val="00FE1B10"/>
    <w:rsid w:val="00FE1BD2"/>
    <w:rsid w:val="00FE1D0A"/>
    <w:rsid w:val="00FE1D59"/>
    <w:rsid w:val="00FE1F6E"/>
    <w:rsid w:val="00FE2098"/>
    <w:rsid w:val="00FE24DB"/>
    <w:rsid w:val="00FE33CC"/>
    <w:rsid w:val="00FE36CF"/>
    <w:rsid w:val="00FE38F1"/>
    <w:rsid w:val="00FE3985"/>
    <w:rsid w:val="00FE3CE6"/>
    <w:rsid w:val="00FE3D1E"/>
    <w:rsid w:val="00FE3D26"/>
    <w:rsid w:val="00FE3FF7"/>
    <w:rsid w:val="00FE400D"/>
    <w:rsid w:val="00FE436B"/>
    <w:rsid w:val="00FE44EC"/>
    <w:rsid w:val="00FE4768"/>
    <w:rsid w:val="00FE48B7"/>
    <w:rsid w:val="00FE4CE1"/>
    <w:rsid w:val="00FE4D21"/>
    <w:rsid w:val="00FE5598"/>
    <w:rsid w:val="00FE58BF"/>
    <w:rsid w:val="00FE5A44"/>
    <w:rsid w:val="00FE5A4E"/>
    <w:rsid w:val="00FE5AA7"/>
    <w:rsid w:val="00FE5CE3"/>
    <w:rsid w:val="00FE667E"/>
    <w:rsid w:val="00FE66D1"/>
    <w:rsid w:val="00FE6741"/>
    <w:rsid w:val="00FE6A3E"/>
    <w:rsid w:val="00FE6A87"/>
    <w:rsid w:val="00FE6C9D"/>
    <w:rsid w:val="00FE6FFF"/>
    <w:rsid w:val="00FE72B5"/>
    <w:rsid w:val="00FE732C"/>
    <w:rsid w:val="00FE7810"/>
    <w:rsid w:val="00FE78A3"/>
    <w:rsid w:val="00FE7BDF"/>
    <w:rsid w:val="00FE7DB6"/>
    <w:rsid w:val="00FF0271"/>
    <w:rsid w:val="00FF0773"/>
    <w:rsid w:val="00FF07A1"/>
    <w:rsid w:val="00FF1198"/>
    <w:rsid w:val="00FF1311"/>
    <w:rsid w:val="00FF14AC"/>
    <w:rsid w:val="00FF14DC"/>
    <w:rsid w:val="00FF16EC"/>
    <w:rsid w:val="00FF178E"/>
    <w:rsid w:val="00FF179B"/>
    <w:rsid w:val="00FF189B"/>
    <w:rsid w:val="00FF1AC4"/>
    <w:rsid w:val="00FF1AE3"/>
    <w:rsid w:val="00FF1AE5"/>
    <w:rsid w:val="00FF1C0D"/>
    <w:rsid w:val="00FF1FD5"/>
    <w:rsid w:val="00FF226B"/>
    <w:rsid w:val="00FF252A"/>
    <w:rsid w:val="00FF2728"/>
    <w:rsid w:val="00FF2796"/>
    <w:rsid w:val="00FF2A3D"/>
    <w:rsid w:val="00FF2BBB"/>
    <w:rsid w:val="00FF2E4A"/>
    <w:rsid w:val="00FF317E"/>
    <w:rsid w:val="00FF330C"/>
    <w:rsid w:val="00FF33DE"/>
    <w:rsid w:val="00FF39C6"/>
    <w:rsid w:val="00FF39D2"/>
    <w:rsid w:val="00FF3A2E"/>
    <w:rsid w:val="00FF3A6E"/>
    <w:rsid w:val="00FF3BD0"/>
    <w:rsid w:val="00FF4067"/>
    <w:rsid w:val="00FF40AE"/>
    <w:rsid w:val="00FF40B9"/>
    <w:rsid w:val="00FF42D2"/>
    <w:rsid w:val="00FF4301"/>
    <w:rsid w:val="00FF43BF"/>
    <w:rsid w:val="00FF44FB"/>
    <w:rsid w:val="00FF46D0"/>
    <w:rsid w:val="00FF4700"/>
    <w:rsid w:val="00FF4812"/>
    <w:rsid w:val="00FF48DC"/>
    <w:rsid w:val="00FF48F4"/>
    <w:rsid w:val="00FF4A7D"/>
    <w:rsid w:val="00FF4B72"/>
    <w:rsid w:val="00FF4F00"/>
    <w:rsid w:val="00FF4F52"/>
    <w:rsid w:val="00FF5598"/>
    <w:rsid w:val="00FF56CE"/>
    <w:rsid w:val="00FF5860"/>
    <w:rsid w:val="00FF5950"/>
    <w:rsid w:val="00FF5980"/>
    <w:rsid w:val="00FF5C6A"/>
    <w:rsid w:val="00FF5EB2"/>
    <w:rsid w:val="00FF601F"/>
    <w:rsid w:val="00FF62DC"/>
    <w:rsid w:val="00FF653C"/>
    <w:rsid w:val="00FF6554"/>
    <w:rsid w:val="00FF6560"/>
    <w:rsid w:val="00FF6775"/>
    <w:rsid w:val="00FF6A13"/>
    <w:rsid w:val="00FF6FDC"/>
    <w:rsid w:val="00FF7386"/>
    <w:rsid w:val="00FF7747"/>
    <w:rsid w:val="00FF7767"/>
    <w:rsid w:val="00FF7914"/>
    <w:rsid w:val="00FF7D02"/>
    <w:rsid w:val="00FF7D6F"/>
    <w:rsid w:val="00FF7EE0"/>
    <w:rsid w:val="011BEE15"/>
    <w:rsid w:val="0132C4DB"/>
    <w:rsid w:val="0148F3C3"/>
    <w:rsid w:val="0158204A"/>
    <w:rsid w:val="01B9EC58"/>
    <w:rsid w:val="01C9A8FA"/>
    <w:rsid w:val="01C9F8AD"/>
    <w:rsid w:val="01F1E73E"/>
    <w:rsid w:val="02007142"/>
    <w:rsid w:val="020EBBCF"/>
    <w:rsid w:val="0256F842"/>
    <w:rsid w:val="02666FAE"/>
    <w:rsid w:val="029CA64A"/>
    <w:rsid w:val="02A8DA3B"/>
    <w:rsid w:val="02BD1CFC"/>
    <w:rsid w:val="02E3AD61"/>
    <w:rsid w:val="02F9384B"/>
    <w:rsid w:val="03045D68"/>
    <w:rsid w:val="03077F1D"/>
    <w:rsid w:val="03144049"/>
    <w:rsid w:val="032152E4"/>
    <w:rsid w:val="0323A0EB"/>
    <w:rsid w:val="0335EA82"/>
    <w:rsid w:val="03363ED3"/>
    <w:rsid w:val="03691833"/>
    <w:rsid w:val="039107A0"/>
    <w:rsid w:val="03C1B107"/>
    <w:rsid w:val="03CD6150"/>
    <w:rsid w:val="03F528B5"/>
    <w:rsid w:val="03F53B64"/>
    <w:rsid w:val="040ACB86"/>
    <w:rsid w:val="04305764"/>
    <w:rsid w:val="0453B0C5"/>
    <w:rsid w:val="04554AA7"/>
    <w:rsid w:val="04667FD2"/>
    <w:rsid w:val="049EA141"/>
    <w:rsid w:val="04BA7AEE"/>
    <w:rsid w:val="04C9A790"/>
    <w:rsid w:val="04F3D8A9"/>
    <w:rsid w:val="0505623F"/>
    <w:rsid w:val="051907EC"/>
    <w:rsid w:val="051EBD6D"/>
    <w:rsid w:val="055CCFEB"/>
    <w:rsid w:val="057ABDA5"/>
    <w:rsid w:val="05A44226"/>
    <w:rsid w:val="05BFB976"/>
    <w:rsid w:val="05EB5891"/>
    <w:rsid w:val="0602B0E7"/>
    <w:rsid w:val="0610E510"/>
    <w:rsid w:val="06275C3C"/>
    <w:rsid w:val="06556077"/>
    <w:rsid w:val="065AAFB7"/>
    <w:rsid w:val="065D9D72"/>
    <w:rsid w:val="067A4BA5"/>
    <w:rsid w:val="06ACCA2D"/>
    <w:rsid w:val="06B6BC7E"/>
    <w:rsid w:val="06DB0C5E"/>
    <w:rsid w:val="07169130"/>
    <w:rsid w:val="07243D6E"/>
    <w:rsid w:val="07289A67"/>
    <w:rsid w:val="073567A8"/>
    <w:rsid w:val="07853238"/>
    <w:rsid w:val="07B34136"/>
    <w:rsid w:val="07B4BE1C"/>
    <w:rsid w:val="07D1D8A2"/>
    <w:rsid w:val="07E2FD34"/>
    <w:rsid w:val="07E3C35F"/>
    <w:rsid w:val="07FC130B"/>
    <w:rsid w:val="081522D2"/>
    <w:rsid w:val="0827D76B"/>
    <w:rsid w:val="08307498"/>
    <w:rsid w:val="084D78A7"/>
    <w:rsid w:val="0859E346"/>
    <w:rsid w:val="0876967D"/>
    <w:rsid w:val="08DBE2E8"/>
    <w:rsid w:val="08FD3CAD"/>
    <w:rsid w:val="09327631"/>
    <w:rsid w:val="095DFE23"/>
    <w:rsid w:val="096BBB31"/>
    <w:rsid w:val="09A44DFC"/>
    <w:rsid w:val="09A629CF"/>
    <w:rsid w:val="09B4280D"/>
    <w:rsid w:val="09B9CBEA"/>
    <w:rsid w:val="09CDC2C3"/>
    <w:rsid w:val="09F367D5"/>
    <w:rsid w:val="09F7A0C0"/>
    <w:rsid w:val="0A03DB04"/>
    <w:rsid w:val="0A202DB1"/>
    <w:rsid w:val="0A24A8B1"/>
    <w:rsid w:val="0A40076B"/>
    <w:rsid w:val="0A536388"/>
    <w:rsid w:val="0A88D8EE"/>
    <w:rsid w:val="0AB6C7F7"/>
    <w:rsid w:val="0AE024DA"/>
    <w:rsid w:val="0B42E4BE"/>
    <w:rsid w:val="0B6388B6"/>
    <w:rsid w:val="0B78EF06"/>
    <w:rsid w:val="0B7F48A6"/>
    <w:rsid w:val="0B8DA8FF"/>
    <w:rsid w:val="0BBCB705"/>
    <w:rsid w:val="0BDA1421"/>
    <w:rsid w:val="0BF39A4B"/>
    <w:rsid w:val="0C200AED"/>
    <w:rsid w:val="0C24BE81"/>
    <w:rsid w:val="0C3E34CB"/>
    <w:rsid w:val="0C688680"/>
    <w:rsid w:val="0C69C0BE"/>
    <w:rsid w:val="0C89700E"/>
    <w:rsid w:val="0C913584"/>
    <w:rsid w:val="0C9E9C59"/>
    <w:rsid w:val="0CA90340"/>
    <w:rsid w:val="0CCC141E"/>
    <w:rsid w:val="0CE13A3D"/>
    <w:rsid w:val="0CF72F23"/>
    <w:rsid w:val="0CFC9DED"/>
    <w:rsid w:val="0D29D3A1"/>
    <w:rsid w:val="0D2B0897"/>
    <w:rsid w:val="0D4CA498"/>
    <w:rsid w:val="0D5A1D89"/>
    <w:rsid w:val="0D9C95E8"/>
    <w:rsid w:val="0DD746EF"/>
    <w:rsid w:val="0DE30490"/>
    <w:rsid w:val="0DEF0B81"/>
    <w:rsid w:val="0E0F20DE"/>
    <w:rsid w:val="0E33F062"/>
    <w:rsid w:val="0E420AC9"/>
    <w:rsid w:val="0E441624"/>
    <w:rsid w:val="0E4E29E4"/>
    <w:rsid w:val="0E715F6D"/>
    <w:rsid w:val="0EAED656"/>
    <w:rsid w:val="0ED2342C"/>
    <w:rsid w:val="0ED52F0B"/>
    <w:rsid w:val="0F02783C"/>
    <w:rsid w:val="0F1F3730"/>
    <w:rsid w:val="0F2405C2"/>
    <w:rsid w:val="0F3B0CF2"/>
    <w:rsid w:val="0F406265"/>
    <w:rsid w:val="0F42A11F"/>
    <w:rsid w:val="0F44AFB3"/>
    <w:rsid w:val="0F636D4E"/>
    <w:rsid w:val="0F814497"/>
    <w:rsid w:val="0F8ADBE2"/>
    <w:rsid w:val="0FA4F92B"/>
    <w:rsid w:val="0FB002EE"/>
    <w:rsid w:val="0FDE5533"/>
    <w:rsid w:val="0FFBD7FE"/>
    <w:rsid w:val="100F4034"/>
    <w:rsid w:val="1017AB26"/>
    <w:rsid w:val="10434F46"/>
    <w:rsid w:val="10457A34"/>
    <w:rsid w:val="104DC108"/>
    <w:rsid w:val="105231A1"/>
    <w:rsid w:val="10914457"/>
    <w:rsid w:val="10ADE311"/>
    <w:rsid w:val="10B67D58"/>
    <w:rsid w:val="10D44305"/>
    <w:rsid w:val="11044667"/>
    <w:rsid w:val="110A594A"/>
    <w:rsid w:val="110D482A"/>
    <w:rsid w:val="111A47DC"/>
    <w:rsid w:val="118B9F75"/>
    <w:rsid w:val="11B9132A"/>
    <w:rsid w:val="11D66258"/>
    <w:rsid w:val="11FCA23F"/>
    <w:rsid w:val="123CC704"/>
    <w:rsid w:val="1257C019"/>
    <w:rsid w:val="12C688C3"/>
    <w:rsid w:val="12FAC737"/>
    <w:rsid w:val="12FFE99A"/>
    <w:rsid w:val="13006F68"/>
    <w:rsid w:val="132FC763"/>
    <w:rsid w:val="135F1A9C"/>
    <w:rsid w:val="136F76AD"/>
    <w:rsid w:val="1372EE39"/>
    <w:rsid w:val="137C16CD"/>
    <w:rsid w:val="13CE63D9"/>
    <w:rsid w:val="13DC6975"/>
    <w:rsid w:val="13E2D0D2"/>
    <w:rsid w:val="13E583D3"/>
    <w:rsid w:val="13FCB80F"/>
    <w:rsid w:val="1416A809"/>
    <w:rsid w:val="1448CAA3"/>
    <w:rsid w:val="144F8FD6"/>
    <w:rsid w:val="14547123"/>
    <w:rsid w:val="14625D8E"/>
    <w:rsid w:val="14787A6B"/>
    <w:rsid w:val="149C3FC9"/>
    <w:rsid w:val="150C633A"/>
    <w:rsid w:val="15229F05"/>
    <w:rsid w:val="1530E990"/>
    <w:rsid w:val="154D868B"/>
    <w:rsid w:val="15578A34"/>
    <w:rsid w:val="1561507E"/>
    <w:rsid w:val="157E7F48"/>
    <w:rsid w:val="15B66B56"/>
    <w:rsid w:val="15BB90FA"/>
    <w:rsid w:val="15E93BE6"/>
    <w:rsid w:val="160C4FAF"/>
    <w:rsid w:val="161F56F9"/>
    <w:rsid w:val="16659024"/>
    <w:rsid w:val="166730A2"/>
    <w:rsid w:val="16713B28"/>
    <w:rsid w:val="1676A090"/>
    <w:rsid w:val="168CA477"/>
    <w:rsid w:val="169F8FCE"/>
    <w:rsid w:val="17182E99"/>
    <w:rsid w:val="171E86D3"/>
    <w:rsid w:val="171E96AC"/>
    <w:rsid w:val="172F17A7"/>
    <w:rsid w:val="172F9CAD"/>
    <w:rsid w:val="175573AF"/>
    <w:rsid w:val="1762B328"/>
    <w:rsid w:val="1791D45C"/>
    <w:rsid w:val="1799FE50"/>
    <w:rsid w:val="17A6B614"/>
    <w:rsid w:val="17CEA21B"/>
    <w:rsid w:val="17DF4825"/>
    <w:rsid w:val="17F57244"/>
    <w:rsid w:val="185271B7"/>
    <w:rsid w:val="185320C9"/>
    <w:rsid w:val="1897BB2E"/>
    <w:rsid w:val="18984755"/>
    <w:rsid w:val="18A6512D"/>
    <w:rsid w:val="18B5338F"/>
    <w:rsid w:val="18BAD2EC"/>
    <w:rsid w:val="18BE7E1F"/>
    <w:rsid w:val="18C0DA53"/>
    <w:rsid w:val="1906856B"/>
    <w:rsid w:val="192C62B6"/>
    <w:rsid w:val="192F0A99"/>
    <w:rsid w:val="19396FA8"/>
    <w:rsid w:val="193B6588"/>
    <w:rsid w:val="1951F6B9"/>
    <w:rsid w:val="19A2511B"/>
    <w:rsid w:val="19A3EF7C"/>
    <w:rsid w:val="19F75B8E"/>
    <w:rsid w:val="1A0423B8"/>
    <w:rsid w:val="1A3D7169"/>
    <w:rsid w:val="1A4549DB"/>
    <w:rsid w:val="1A46D34A"/>
    <w:rsid w:val="1A502458"/>
    <w:rsid w:val="1A67FDCF"/>
    <w:rsid w:val="1A7ADF63"/>
    <w:rsid w:val="1A920078"/>
    <w:rsid w:val="1AEB0444"/>
    <w:rsid w:val="1AEDECE4"/>
    <w:rsid w:val="1AFDD2E9"/>
    <w:rsid w:val="1B052AE9"/>
    <w:rsid w:val="1B5F0BBC"/>
    <w:rsid w:val="1B665300"/>
    <w:rsid w:val="1B7090DE"/>
    <w:rsid w:val="1B836105"/>
    <w:rsid w:val="1BA7BCFC"/>
    <w:rsid w:val="1BA7C216"/>
    <w:rsid w:val="1BAF3A4E"/>
    <w:rsid w:val="1BC41566"/>
    <w:rsid w:val="1BC6F5CC"/>
    <w:rsid w:val="1BD71885"/>
    <w:rsid w:val="1C0A511D"/>
    <w:rsid w:val="1C0C6ED1"/>
    <w:rsid w:val="1C10EE48"/>
    <w:rsid w:val="1C19F153"/>
    <w:rsid w:val="1C36F33D"/>
    <w:rsid w:val="1C3BA104"/>
    <w:rsid w:val="1C480DDD"/>
    <w:rsid w:val="1C746A9E"/>
    <w:rsid w:val="1C7FEF95"/>
    <w:rsid w:val="1C8C282C"/>
    <w:rsid w:val="1CD3AD20"/>
    <w:rsid w:val="1CDDE5B2"/>
    <w:rsid w:val="1CF9813D"/>
    <w:rsid w:val="1CFD65C5"/>
    <w:rsid w:val="1D070F5F"/>
    <w:rsid w:val="1D36A4D0"/>
    <w:rsid w:val="1D5387D0"/>
    <w:rsid w:val="1D7294AB"/>
    <w:rsid w:val="1D89A8AA"/>
    <w:rsid w:val="1D913967"/>
    <w:rsid w:val="1D92EAAD"/>
    <w:rsid w:val="1D9F5F37"/>
    <w:rsid w:val="1DADED99"/>
    <w:rsid w:val="1DB2CC5C"/>
    <w:rsid w:val="1DFBBAB6"/>
    <w:rsid w:val="1E1BE39D"/>
    <w:rsid w:val="1E2DECDA"/>
    <w:rsid w:val="1E8B5147"/>
    <w:rsid w:val="1E91D67B"/>
    <w:rsid w:val="1EA38091"/>
    <w:rsid w:val="1EAC40DD"/>
    <w:rsid w:val="1EAE7615"/>
    <w:rsid w:val="1ECA1C46"/>
    <w:rsid w:val="1ECA759F"/>
    <w:rsid w:val="1ED5EE65"/>
    <w:rsid w:val="1F2CD499"/>
    <w:rsid w:val="1F5095F6"/>
    <w:rsid w:val="1F5244BE"/>
    <w:rsid w:val="1F921885"/>
    <w:rsid w:val="2006CF7D"/>
    <w:rsid w:val="200758BE"/>
    <w:rsid w:val="2042BD10"/>
    <w:rsid w:val="206065DA"/>
    <w:rsid w:val="206F0405"/>
    <w:rsid w:val="20C372CA"/>
    <w:rsid w:val="20DE562C"/>
    <w:rsid w:val="21472136"/>
    <w:rsid w:val="2153845F"/>
    <w:rsid w:val="219677B8"/>
    <w:rsid w:val="21C67856"/>
    <w:rsid w:val="21D33432"/>
    <w:rsid w:val="22039E43"/>
    <w:rsid w:val="2229F74E"/>
    <w:rsid w:val="225565D6"/>
    <w:rsid w:val="22634F2A"/>
    <w:rsid w:val="226B1B92"/>
    <w:rsid w:val="226D1CD5"/>
    <w:rsid w:val="2299C50A"/>
    <w:rsid w:val="22BEA58E"/>
    <w:rsid w:val="22C595FA"/>
    <w:rsid w:val="22FC7E65"/>
    <w:rsid w:val="22FF434E"/>
    <w:rsid w:val="230672A4"/>
    <w:rsid w:val="23508383"/>
    <w:rsid w:val="2367857F"/>
    <w:rsid w:val="236A7B1A"/>
    <w:rsid w:val="236F7305"/>
    <w:rsid w:val="239B7805"/>
    <w:rsid w:val="23BF9A53"/>
    <w:rsid w:val="23C2877F"/>
    <w:rsid w:val="23C46B43"/>
    <w:rsid w:val="23DA811C"/>
    <w:rsid w:val="23DB3603"/>
    <w:rsid w:val="23DDF9AA"/>
    <w:rsid w:val="242EE0BA"/>
    <w:rsid w:val="24475D22"/>
    <w:rsid w:val="2471A5ED"/>
    <w:rsid w:val="247D37D4"/>
    <w:rsid w:val="247DEA76"/>
    <w:rsid w:val="2489640F"/>
    <w:rsid w:val="248BC544"/>
    <w:rsid w:val="249C725E"/>
    <w:rsid w:val="249EF8AE"/>
    <w:rsid w:val="24A868CF"/>
    <w:rsid w:val="24D48767"/>
    <w:rsid w:val="250B91E2"/>
    <w:rsid w:val="25136305"/>
    <w:rsid w:val="25201E8F"/>
    <w:rsid w:val="255F0CF7"/>
    <w:rsid w:val="25A0C875"/>
    <w:rsid w:val="25A0EDA1"/>
    <w:rsid w:val="25B15896"/>
    <w:rsid w:val="25F22885"/>
    <w:rsid w:val="2637AE6C"/>
    <w:rsid w:val="2690832E"/>
    <w:rsid w:val="269A1A24"/>
    <w:rsid w:val="269E51A3"/>
    <w:rsid w:val="26A538F0"/>
    <w:rsid w:val="26A78C1C"/>
    <w:rsid w:val="26B66042"/>
    <w:rsid w:val="26C2D292"/>
    <w:rsid w:val="26CFEA49"/>
    <w:rsid w:val="26D31430"/>
    <w:rsid w:val="26D58784"/>
    <w:rsid w:val="2704CB32"/>
    <w:rsid w:val="2728921C"/>
    <w:rsid w:val="274D28F7"/>
    <w:rsid w:val="274E3D43"/>
    <w:rsid w:val="279558DF"/>
    <w:rsid w:val="27A9768B"/>
    <w:rsid w:val="27AAA57B"/>
    <w:rsid w:val="27AEF7E6"/>
    <w:rsid w:val="27C08813"/>
    <w:rsid w:val="284F8117"/>
    <w:rsid w:val="2859CFDD"/>
    <w:rsid w:val="2867C10B"/>
    <w:rsid w:val="28743264"/>
    <w:rsid w:val="28B64BB0"/>
    <w:rsid w:val="28B72CAC"/>
    <w:rsid w:val="28D92CC0"/>
    <w:rsid w:val="28DBF2DD"/>
    <w:rsid w:val="28E115B4"/>
    <w:rsid w:val="28E1683F"/>
    <w:rsid w:val="28EA9425"/>
    <w:rsid w:val="28F60ABF"/>
    <w:rsid w:val="2901A5E8"/>
    <w:rsid w:val="2903C64E"/>
    <w:rsid w:val="2904E9F5"/>
    <w:rsid w:val="2908CDCC"/>
    <w:rsid w:val="2910C4B4"/>
    <w:rsid w:val="29268F2C"/>
    <w:rsid w:val="2930B0E5"/>
    <w:rsid w:val="2935CAC4"/>
    <w:rsid w:val="298E9614"/>
    <w:rsid w:val="29962B39"/>
    <w:rsid w:val="29A3405D"/>
    <w:rsid w:val="29E77542"/>
    <w:rsid w:val="29F00F6D"/>
    <w:rsid w:val="29FA6526"/>
    <w:rsid w:val="2A018446"/>
    <w:rsid w:val="2A043439"/>
    <w:rsid w:val="2A374C66"/>
    <w:rsid w:val="2A4218C7"/>
    <w:rsid w:val="2A51034C"/>
    <w:rsid w:val="2A5EB36E"/>
    <w:rsid w:val="2A8CD4A6"/>
    <w:rsid w:val="2AA52A7E"/>
    <w:rsid w:val="2AAEDD76"/>
    <w:rsid w:val="2AB899E2"/>
    <w:rsid w:val="2ABECAF8"/>
    <w:rsid w:val="2AC4D83F"/>
    <w:rsid w:val="2AD4738F"/>
    <w:rsid w:val="2B31EBFB"/>
    <w:rsid w:val="2B353BB5"/>
    <w:rsid w:val="2B6D76A2"/>
    <w:rsid w:val="2B6F08E4"/>
    <w:rsid w:val="2B77AE96"/>
    <w:rsid w:val="2BA10B21"/>
    <w:rsid w:val="2BEEC52D"/>
    <w:rsid w:val="2C296D90"/>
    <w:rsid w:val="2C3B5B72"/>
    <w:rsid w:val="2C57CFF9"/>
    <w:rsid w:val="2C665A57"/>
    <w:rsid w:val="2C92833B"/>
    <w:rsid w:val="2CB6CC04"/>
    <w:rsid w:val="2CC54D89"/>
    <w:rsid w:val="2CCB543F"/>
    <w:rsid w:val="2CEF1892"/>
    <w:rsid w:val="2D0A4E5A"/>
    <w:rsid w:val="2D325640"/>
    <w:rsid w:val="2D44C908"/>
    <w:rsid w:val="2D73ABB0"/>
    <w:rsid w:val="2DB8CAD9"/>
    <w:rsid w:val="2DD34803"/>
    <w:rsid w:val="2DF2A1B0"/>
    <w:rsid w:val="2DF357D3"/>
    <w:rsid w:val="2DFA31FF"/>
    <w:rsid w:val="2E775B65"/>
    <w:rsid w:val="2E7DA3F8"/>
    <w:rsid w:val="2EA90834"/>
    <w:rsid w:val="2EB78DF1"/>
    <w:rsid w:val="2EBECF5A"/>
    <w:rsid w:val="2EF9F668"/>
    <w:rsid w:val="2F124001"/>
    <w:rsid w:val="2FB1BD91"/>
    <w:rsid w:val="2FC3FD97"/>
    <w:rsid w:val="2FCCAD50"/>
    <w:rsid w:val="2FF4F888"/>
    <w:rsid w:val="3014499B"/>
    <w:rsid w:val="30559DCA"/>
    <w:rsid w:val="305EAA98"/>
    <w:rsid w:val="3070C5CA"/>
    <w:rsid w:val="30A10A87"/>
    <w:rsid w:val="3126DB67"/>
    <w:rsid w:val="3191EAE6"/>
    <w:rsid w:val="31970A52"/>
    <w:rsid w:val="31AA913E"/>
    <w:rsid w:val="31D0A4A5"/>
    <w:rsid w:val="31F21A41"/>
    <w:rsid w:val="32104CA5"/>
    <w:rsid w:val="322ADADF"/>
    <w:rsid w:val="323C667C"/>
    <w:rsid w:val="324DFFD5"/>
    <w:rsid w:val="3288DFE2"/>
    <w:rsid w:val="328C819F"/>
    <w:rsid w:val="329003F4"/>
    <w:rsid w:val="32D9AC64"/>
    <w:rsid w:val="32F675B8"/>
    <w:rsid w:val="32F779C0"/>
    <w:rsid w:val="33270F29"/>
    <w:rsid w:val="337AED7A"/>
    <w:rsid w:val="3394E34A"/>
    <w:rsid w:val="33AC1D06"/>
    <w:rsid w:val="33B62C26"/>
    <w:rsid w:val="340F83D6"/>
    <w:rsid w:val="3410C8CD"/>
    <w:rsid w:val="34829ED9"/>
    <w:rsid w:val="348EC2C1"/>
    <w:rsid w:val="34906C5C"/>
    <w:rsid w:val="3497C96F"/>
    <w:rsid w:val="34A9E501"/>
    <w:rsid w:val="34B35C60"/>
    <w:rsid w:val="34BDE37D"/>
    <w:rsid w:val="34D7128A"/>
    <w:rsid w:val="34D8699A"/>
    <w:rsid w:val="3504B927"/>
    <w:rsid w:val="3517DA5C"/>
    <w:rsid w:val="351C4DEE"/>
    <w:rsid w:val="351C9640"/>
    <w:rsid w:val="3538F2C1"/>
    <w:rsid w:val="354C32E0"/>
    <w:rsid w:val="35658981"/>
    <w:rsid w:val="356CA7A9"/>
    <w:rsid w:val="357E1B60"/>
    <w:rsid w:val="35A70BB6"/>
    <w:rsid w:val="35AD46D1"/>
    <w:rsid w:val="35BB831D"/>
    <w:rsid w:val="35C102FD"/>
    <w:rsid w:val="35C26E07"/>
    <w:rsid w:val="35E63D7A"/>
    <w:rsid w:val="35EDEE60"/>
    <w:rsid w:val="35F8052D"/>
    <w:rsid w:val="366A9E1A"/>
    <w:rsid w:val="367C97A7"/>
    <w:rsid w:val="3694753D"/>
    <w:rsid w:val="36A08AF2"/>
    <w:rsid w:val="36ACCFED"/>
    <w:rsid w:val="36BB9748"/>
    <w:rsid w:val="3720BD61"/>
    <w:rsid w:val="3746DFDA"/>
    <w:rsid w:val="3788CA6A"/>
    <w:rsid w:val="381090A3"/>
    <w:rsid w:val="3825DA1D"/>
    <w:rsid w:val="38281846"/>
    <w:rsid w:val="38309264"/>
    <w:rsid w:val="3832590F"/>
    <w:rsid w:val="3833730C"/>
    <w:rsid w:val="387BD7AF"/>
    <w:rsid w:val="387F91E3"/>
    <w:rsid w:val="3883A794"/>
    <w:rsid w:val="38A33473"/>
    <w:rsid w:val="392357CD"/>
    <w:rsid w:val="393FA097"/>
    <w:rsid w:val="394AE5E3"/>
    <w:rsid w:val="396F7269"/>
    <w:rsid w:val="39B7A235"/>
    <w:rsid w:val="39C40882"/>
    <w:rsid w:val="39D97B8F"/>
    <w:rsid w:val="3A6F3E03"/>
    <w:rsid w:val="3A885B01"/>
    <w:rsid w:val="3A889FD3"/>
    <w:rsid w:val="3A89D013"/>
    <w:rsid w:val="3AAB5D0B"/>
    <w:rsid w:val="3AB78B8A"/>
    <w:rsid w:val="3AC18003"/>
    <w:rsid w:val="3AD04E88"/>
    <w:rsid w:val="3AD7B018"/>
    <w:rsid w:val="3AF2C665"/>
    <w:rsid w:val="3AFFDD67"/>
    <w:rsid w:val="3B18E633"/>
    <w:rsid w:val="3B5D63BB"/>
    <w:rsid w:val="3B68DEAF"/>
    <w:rsid w:val="3B758819"/>
    <w:rsid w:val="3BA6F85F"/>
    <w:rsid w:val="3BBB4856"/>
    <w:rsid w:val="3BBD9FFE"/>
    <w:rsid w:val="3BD67389"/>
    <w:rsid w:val="3BE79126"/>
    <w:rsid w:val="3BF3E6C7"/>
    <w:rsid w:val="3BF8B340"/>
    <w:rsid w:val="3C0E5D19"/>
    <w:rsid w:val="3C252C0A"/>
    <w:rsid w:val="3C27B82E"/>
    <w:rsid w:val="3C459043"/>
    <w:rsid w:val="3C4E275E"/>
    <w:rsid w:val="3C64F13B"/>
    <w:rsid w:val="3C722B7C"/>
    <w:rsid w:val="3C72CFEF"/>
    <w:rsid w:val="3C918D13"/>
    <w:rsid w:val="3CC40724"/>
    <w:rsid w:val="3CE1B775"/>
    <w:rsid w:val="3CF15B8B"/>
    <w:rsid w:val="3D2777B2"/>
    <w:rsid w:val="3D64D19E"/>
    <w:rsid w:val="3D67CAFB"/>
    <w:rsid w:val="3D6ED719"/>
    <w:rsid w:val="3D704114"/>
    <w:rsid w:val="3D7E016C"/>
    <w:rsid w:val="3D89EEB2"/>
    <w:rsid w:val="3DA46A90"/>
    <w:rsid w:val="3DCF90B3"/>
    <w:rsid w:val="3DE878EF"/>
    <w:rsid w:val="3DF56060"/>
    <w:rsid w:val="3E0F0C36"/>
    <w:rsid w:val="3E166026"/>
    <w:rsid w:val="3E22C289"/>
    <w:rsid w:val="3E57BA0A"/>
    <w:rsid w:val="3E9595FF"/>
    <w:rsid w:val="3EC12E19"/>
    <w:rsid w:val="3EC1E47F"/>
    <w:rsid w:val="3ED750B7"/>
    <w:rsid w:val="3EE77A9A"/>
    <w:rsid w:val="3EE807B8"/>
    <w:rsid w:val="3F2068E2"/>
    <w:rsid w:val="3F431E57"/>
    <w:rsid w:val="3F4528E4"/>
    <w:rsid w:val="3F53C375"/>
    <w:rsid w:val="3F5FB8D6"/>
    <w:rsid w:val="3F615C4C"/>
    <w:rsid w:val="3F81996A"/>
    <w:rsid w:val="3F8F56BE"/>
    <w:rsid w:val="3FC4412E"/>
    <w:rsid w:val="3FC7545B"/>
    <w:rsid w:val="3FC8603E"/>
    <w:rsid w:val="3FD1A5B3"/>
    <w:rsid w:val="3FD82DA2"/>
    <w:rsid w:val="404F2A3F"/>
    <w:rsid w:val="404F4A39"/>
    <w:rsid w:val="4051395B"/>
    <w:rsid w:val="405F9055"/>
    <w:rsid w:val="40C14E81"/>
    <w:rsid w:val="40CBE1EB"/>
    <w:rsid w:val="40CE680D"/>
    <w:rsid w:val="40E742E8"/>
    <w:rsid w:val="40EF4822"/>
    <w:rsid w:val="412D5CA4"/>
    <w:rsid w:val="4142C4F6"/>
    <w:rsid w:val="415018E0"/>
    <w:rsid w:val="41595954"/>
    <w:rsid w:val="418EE653"/>
    <w:rsid w:val="41B6D039"/>
    <w:rsid w:val="4203F14C"/>
    <w:rsid w:val="4209A9B7"/>
    <w:rsid w:val="42169E8A"/>
    <w:rsid w:val="4227A088"/>
    <w:rsid w:val="424E1866"/>
    <w:rsid w:val="42736E0F"/>
    <w:rsid w:val="42876F9E"/>
    <w:rsid w:val="428D84AE"/>
    <w:rsid w:val="429317D9"/>
    <w:rsid w:val="42964C95"/>
    <w:rsid w:val="429BA96A"/>
    <w:rsid w:val="42A48D5E"/>
    <w:rsid w:val="42A6391E"/>
    <w:rsid w:val="42B41A15"/>
    <w:rsid w:val="42B4927A"/>
    <w:rsid w:val="42CC917D"/>
    <w:rsid w:val="42E96717"/>
    <w:rsid w:val="42F7BDB4"/>
    <w:rsid w:val="4395D374"/>
    <w:rsid w:val="439E8F98"/>
    <w:rsid w:val="43D8DA2D"/>
    <w:rsid w:val="43E98F9A"/>
    <w:rsid w:val="441C3132"/>
    <w:rsid w:val="441CAD85"/>
    <w:rsid w:val="443D9670"/>
    <w:rsid w:val="444D6A36"/>
    <w:rsid w:val="4456D1B3"/>
    <w:rsid w:val="446F2E22"/>
    <w:rsid w:val="44723BC4"/>
    <w:rsid w:val="44AC7A46"/>
    <w:rsid w:val="44CFE257"/>
    <w:rsid w:val="4522F266"/>
    <w:rsid w:val="452BBB03"/>
    <w:rsid w:val="454CD65A"/>
    <w:rsid w:val="4583A6CC"/>
    <w:rsid w:val="458482E2"/>
    <w:rsid w:val="45A1D5E2"/>
    <w:rsid w:val="45A1F4A2"/>
    <w:rsid w:val="45ADD5CE"/>
    <w:rsid w:val="45CD7F98"/>
    <w:rsid w:val="45DBE3D4"/>
    <w:rsid w:val="45DC0BE0"/>
    <w:rsid w:val="45EE75CB"/>
    <w:rsid w:val="46051E24"/>
    <w:rsid w:val="4619451A"/>
    <w:rsid w:val="4622D3FC"/>
    <w:rsid w:val="46267CFD"/>
    <w:rsid w:val="46316F69"/>
    <w:rsid w:val="464961FD"/>
    <w:rsid w:val="464F0294"/>
    <w:rsid w:val="4651068D"/>
    <w:rsid w:val="46779A32"/>
    <w:rsid w:val="46A13ABA"/>
    <w:rsid w:val="46D3FA8E"/>
    <w:rsid w:val="46F53273"/>
    <w:rsid w:val="4708B82A"/>
    <w:rsid w:val="470BF2FB"/>
    <w:rsid w:val="470C6778"/>
    <w:rsid w:val="471D39D7"/>
    <w:rsid w:val="47348C42"/>
    <w:rsid w:val="47460136"/>
    <w:rsid w:val="4796D823"/>
    <w:rsid w:val="47A9DC86"/>
    <w:rsid w:val="47B32689"/>
    <w:rsid w:val="47BD426C"/>
    <w:rsid w:val="47DC00BE"/>
    <w:rsid w:val="47DFD949"/>
    <w:rsid w:val="47FEDF5C"/>
    <w:rsid w:val="480EE7F5"/>
    <w:rsid w:val="481828F6"/>
    <w:rsid w:val="483677B9"/>
    <w:rsid w:val="4839F8A4"/>
    <w:rsid w:val="48BF50AA"/>
    <w:rsid w:val="48D46D87"/>
    <w:rsid w:val="48D71576"/>
    <w:rsid w:val="492C848A"/>
    <w:rsid w:val="494DD6DB"/>
    <w:rsid w:val="4986859A"/>
    <w:rsid w:val="49CE144F"/>
    <w:rsid w:val="4A14CA75"/>
    <w:rsid w:val="4A25B759"/>
    <w:rsid w:val="4A34FC0D"/>
    <w:rsid w:val="4A4C173A"/>
    <w:rsid w:val="4A7439FD"/>
    <w:rsid w:val="4AA6BB4F"/>
    <w:rsid w:val="4ABD2125"/>
    <w:rsid w:val="4ABFC1CA"/>
    <w:rsid w:val="4AC02579"/>
    <w:rsid w:val="4AC854EB"/>
    <w:rsid w:val="4AF75E9F"/>
    <w:rsid w:val="4AFEB5DB"/>
    <w:rsid w:val="4B196D68"/>
    <w:rsid w:val="4B1C4BD7"/>
    <w:rsid w:val="4B1D1C76"/>
    <w:rsid w:val="4B2314C0"/>
    <w:rsid w:val="4B295EB2"/>
    <w:rsid w:val="4B63AF37"/>
    <w:rsid w:val="4B64A1FB"/>
    <w:rsid w:val="4B75ADDF"/>
    <w:rsid w:val="4B7B34CD"/>
    <w:rsid w:val="4BCA715F"/>
    <w:rsid w:val="4BF77C48"/>
    <w:rsid w:val="4BFF4868"/>
    <w:rsid w:val="4C078685"/>
    <w:rsid w:val="4C1A888D"/>
    <w:rsid w:val="4C26645E"/>
    <w:rsid w:val="4C2B2A81"/>
    <w:rsid w:val="4C8BF507"/>
    <w:rsid w:val="4CBF6621"/>
    <w:rsid w:val="4CF681D9"/>
    <w:rsid w:val="4D357291"/>
    <w:rsid w:val="4D4E74CF"/>
    <w:rsid w:val="4D56EEE7"/>
    <w:rsid w:val="4D6373B5"/>
    <w:rsid w:val="4D7049A2"/>
    <w:rsid w:val="4D705B75"/>
    <w:rsid w:val="4D7651C4"/>
    <w:rsid w:val="4D990A60"/>
    <w:rsid w:val="4DB104C3"/>
    <w:rsid w:val="4DCA2245"/>
    <w:rsid w:val="4DDB8C17"/>
    <w:rsid w:val="4E2857C8"/>
    <w:rsid w:val="4E2C83F0"/>
    <w:rsid w:val="4E756B14"/>
    <w:rsid w:val="4E79EEC8"/>
    <w:rsid w:val="4E86AEC8"/>
    <w:rsid w:val="4E972BBD"/>
    <w:rsid w:val="4EA5F5B0"/>
    <w:rsid w:val="4EAD433C"/>
    <w:rsid w:val="4F0BC72F"/>
    <w:rsid w:val="4F23DF01"/>
    <w:rsid w:val="4F44947C"/>
    <w:rsid w:val="4F6A3D64"/>
    <w:rsid w:val="4F8A64AF"/>
    <w:rsid w:val="50027A20"/>
    <w:rsid w:val="500D0653"/>
    <w:rsid w:val="5011C92C"/>
    <w:rsid w:val="501E4C05"/>
    <w:rsid w:val="5032DE7D"/>
    <w:rsid w:val="506AE27E"/>
    <w:rsid w:val="50762436"/>
    <w:rsid w:val="50A539B0"/>
    <w:rsid w:val="50A5419A"/>
    <w:rsid w:val="50D34698"/>
    <w:rsid w:val="50DDF550"/>
    <w:rsid w:val="51265B98"/>
    <w:rsid w:val="5132E634"/>
    <w:rsid w:val="51A6A3D9"/>
    <w:rsid w:val="51A7CD5E"/>
    <w:rsid w:val="51A7ECB1"/>
    <w:rsid w:val="51BB9C49"/>
    <w:rsid w:val="51BF0C6D"/>
    <w:rsid w:val="51D8AB77"/>
    <w:rsid w:val="51E1C50A"/>
    <w:rsid w:val="51F814B5"/>
    <w:rsid w:val="52023A40"/>
    <w:rsid w:val="520B79C3"/>
    <w:rsid w:val="522F1399"/>
    <w:rsid w:val="523EBF48"/>
    <w:rsid w:val="52750651"/>
    <w:rsid w:val="52814C83"/>
    <w:rsid w:val="52CA197F"/>
    <w:rsid w:val="52E8B07A"/>
    <w:rsid w:val="52F0A898"/>
    <w:rsid w:val="533DC343"/>
    <w:rsid w:val="533DD00F"/>
    <w:rsid w:val="537325F6"/>
    <w:rsid w:val="53994544"/>
    <w:rsid w:val="53DA8FA9"/>
    <w:rsid w:val="54A05F58"/>
    <w:rsid w:val="54BFEDD1"/>
    <w:rsid w:val="54D48A05"/>
    <w:rsid w:val="54FEA07E"/>
    <w:rsid w:val="55299B54"/>
    <w:rsid w:val="55309FAC"/>
    <w:rsid w:val="55365378"/>
    <w:rsid w:val="554031DB"/>
    <w:rsid w:val="55823EC2"/>
    <w:rsid w:val="5583DDEC"/>
    <w:rsid w:val="558F35C0"/>
    <w:rsid w:val="55A18817"/>
    <w:rsid w:val="55A2578B"/>
    <w:rsid w:val="55A3E571"/>
    <w:rsid w:val="55B715EB"/>
    <w:rsid w:val="55E64C67"/>
    <w:rsid w:val="55EC0EC0"/>
    <w:rsid w:val="55F61641"/>
    <w:rsid w:val="561F2AC0"/>
    <w:rsid w:val="562E6743"/>
    <w:rsid w:val="56771E02"/>
    <w:rsid w:val="56999BFE"/>
    <w:rsid w:val="569A8516"/>
    <w:rsid w:val="56C9A25F"/>
    <w:rsid w:val="56D0E606"/>
    <w:rsid w:val="571FAE4D"/>
    <w:rsid w:val="57429284"/>
    <w:rsid w:val="57B980D4"/>
    <w:rsid w:val="57C322BD"/>
    <w:rsid w:val="57C88483"/>
    <w:rsid w:val="57CB9707"/>
    <w:rsid w:val="57F054D4"/>
    <w:rsid w:val="57FF425D"/>
    <w:rsid w:val="580CEC7A"/>
    <w:rsid w:val="585077A3"/>
    <w:rsid w:val="58569E78"/>
    <w:rsid w:val="5873AE3F"/>
    <w:rsid w:val="58918A03"/>
    <w:rsid w:val="58A94D19"/>
    <w:rsid w:val="58ABD5BD"/>
    <w:rsid w:val="58B7DCAE"/>
    <w:rsid w:val="58B9DF84"/>
    <w:rsid w:val="58BF163E"/>
    <w:rsid w:val="58D01416"/>
    <w:rsid w:val="5926BB1D"/>
    <w:rsid w:val="5975357C"/>
    <w:rsid w:val="597A55E6"/>
    <w:rsid w:val="59833EBD"/>
    <w:rsid w:val="59953F29"/>
    <w:rsid w:val="59B8C10D"/>
    <w:rsid w:val="59EF3512"/>
    <w:rsid w:val="59F7CC76"/>
    <w:rsid w:val="5A4F93A4"/>
    <w:rsid w:val="5A57BD98"/>
    <w:rsid w:val="5A5E4ED0"/>
    <w:rsid w:val="5A9D0AE6"/>
    <w:rsid w:val="5AA43B44"/>
    <w:rsid w:val="5AAF7860"/>
    <w:rsid w:val="5AB872E9"/>
    <w:rsid w:val="5B0337C9"/>
    <w:rsid w:val="5B224CFD"/>
    <w:rsid w:val="5B34A72D"/>
    <w:rsid w:val="5B439305"/>
    <w:rsid w:val="5B4D7C7F"/>
    <w:rsid w:val="5B6D5EC4"/>
    <w:rsid w:val="5B6F2106"/>
    <w:rsid w:val="5B871D9E"/>
    <w:rsid w:val="5B966C7D"/>
    <w:rsid w:val="5BA8FCFC"/>
    <w:rsid w:val="5BCF7144"/>
    <w:rsid w:val="5BE87AF6"/>
    <w:rsid w:val="5C0AACA1"/>
    <w:rsid w:val="5C109072"/>
    <w:rsid w:val="5C1A577C"/>
    <w:rsid w:val="5C1D5590"/>
    <w:rsid w:val="5C31859B"/>
    <w:rsid w:val="5C5CD080"/>
    <w:rsid w:val="5C6733A0"/>
    <w:rsid w:val="5C87288D"/>
    <w:rsid w:val="5C9B1038"/>
    <w:rsid w:val="5CC19570"/>
    <w:rsid w:val="5CF0A9DE"/>
    <w:rsid w:val="5CF88BC3"/>
    <w:rsid w:val="5D2756DE"/>
    <w:rsid w:val="5D4034A8"/>
    <w:rsid w:val="5D70EB4E"/>
    <w:rsid w:val="5D8FC4CD"/>
    <w:rsid w:val="5DA1E57D"/>
    <w:rsid w:val="5DBDAF08"/>
    <w:rsid w:val="5DCA60A4"/>
    <w:rsid w:val="5DDB5E8C"/>
    <w:rsid w:val="5DE86C79"/>
    <w:rsid w:val="5DFC66E6"/>
    <w:rsid w:val="5E19F96C"/>
    <w:rsid w:val="5E2A61A2"/>
    <w:rsid w:val="5E30FD27"/>
    <w:rsid w:val="5E37E376"/>
    <w:rsid w:val="5E509425"/>
    <w:rsid w:val="5E72E88E"/>
    <w:rsid w:val="5E85F59D"/>
    <w:rsid w:val="5EAF0B85"/>
    <w:rsid w:val="5EDC21CB"/>
    <w:rsid w:val="5EDD0629"/>
    <w:rsid w:val="5EE718CB"/>
    <w:rsid w:val="5EF06B49"/>
    <w:rsid w:val="5F0705AC"/>
    <w:rsid w:val="5F075FBB"/>
    <w:rsid w:val="5F08532E"/>
    <w:rsid w:val="5F0DF5D5"/>
    <w:rsid w:val="5F0F838C"/>
    <w:rsid w:val="5F2304C7"/>
    <w:rsid w:val="5F2741A4"/>
    <w:rsid w:val="5F544D7C"/>
    <w:rsid w:val="5F5591EF"/>
    <w:rsid w:val="5F66CCC6"/>
    <w:rsid w:val="5F6B1D59"/>
    <w:rsid w:val="5F6B72FB"/>
    <w:rsid w:val="5F8D7CA2"/>
    <w:rsid w:val="5FC9EED8"/>
    <w:rsid w:val="5FEBD164"/>
    <w:rsid w:val="60247136"/>
    <w:rsid w:val="603AE71B"/>
    <w:rsid w:val="607F0948"/>
    <w:rsid w:val="60C886DC"/>
    <w:rsid w:val="60DEAC00"/>
    <w:rsid w:val="60E282D0"/>
    <w:rsid w:val="61275A82"/>
    <w:rsid w:val="612D5F80"/>
    <w:rsid w:val="613ADE3C"/>
    <w:rsid w:val="6151F562"/>
    <w:rsid w:val="61568CB0"/>
    <w:rsid w:val="61588BFB"/>
    <w:rsid w:val="61598E34"/>
    <w:rsid w:val="6161EC86"/>
    <w:rsid w:val="616F1550"/>
    <w:rsid w:val="619BE782"/>
    <w:rsid w:val="61A4C4E1"/>
    <w:rsid w:val="61E25FF1"/>
    <w:rsid w:val="61ED3D15"/>
    <w:rsid w:val="6232B45C"/>
    <w:rsid w:val="6251D106"/>
    <w:rsid w:val="6259EE04"/>
    <w:rsid w:val="6271CC7B"/>
    <w:rsid w:val="62826E6D"/>
    <w:rsid w:val="6284ADB6"/>
    <w:rsid w:val="62A3AA6E"/>
    <w:rsid w:val="62E740BC"/>
    <w:rsid w:val="632358C1"/>
    <w:rsid w:val="6392FB2E"/>
    <w:rsid w:val="63B74B46"/>
    <w:rsid w:val="63C758A7"/>
    <w:rsid w:val="63CA25C6"/>
    <w:rsid w:val="63FA7D47"/>
    <w:rsid w:val="64205F45"/>
    <w:rsid w:val="64325063"/>
    <w:rsid w:val="646587C7"/>
    <w:rsid w:val="648E840B"/>
    <w:rsid w:val="64BF9870"/>
    <w:rsid w:val="64C58135"/>
    <w:rsid w:val="64D7DA64"/>
    <w:rsid w:val="64EC4EBA"/>
    <w:rsid w:val="64F1E7CE"/>
    <w:rsid w:val="651DA475"/>
    <w:rsid w:val="6532FA5B"/>
    <w:rsid w:val="6562F233"/>
    <w:rsid w:val="658792F0"/>
    <w:rsid w:val="65CCFD67"/>
    <w:rsid w:val="65CD9595"/>
    <w:rsid w:val="65CEB83F"/>
    <w:rsid w:val="65CEC621"/>
    <w:rsid w:val="65EB8C28"/>
    <w:rsid w:val="66188CD5"/>
    <w:rsid w:val="664265F4"/>
    <w:rsid w:val="6647F2F4"/>
    <w:rsid w:val="66A7D45D"/>
    <w:rsid w:val="66BE9EDA"/>
    <w:rsid w:val="66ECF79F"/>
    <w:rsid w:val="66F804DA"/>
    <w:rsid w:val="670BDD6C"/>
    <w:rsid w:val="671907BA"/>
    <w:rsid w:val="67364D9E"/>
    <w:rsid w:val="674A0347"/>
    <w:rsid w:val="675044D7"/>
    <w:rsid w:val="67541C24"/>
    <w:rsid w:val="67BCFBBD"/>
    <w:rsid w:val="67C337FD"/>
    <w:rsid w:val="67CC592A"/>
    <w:rsid w:val="67E27987"/>
    <w:rsid w:val="67E42DE1"/>
    <w:rsid w:val="6816ED54"/>
    <w:rsid w:val="6817954A"/>
    <w:rsid w:val="683A5011"/>
    <w:rsid w:val="684CFDE5"/>
    <w:rsid w:val="6863E5CE"/>
    <w:rsid w:val="68E61AA8"/>
    <w:rsid w:val="68E71285"/>
    <w:rsid w:val="695B3F20"/>
    <w:rsid w:val="6960B9A4"/>
    <w:rsid w:val="696255D0"/>
    <w:rsid w:val="699B70C0"/>
    <w:rsid w:val="69A00B46"/>
    <w:rsid w:val="69A36B87"/>
    <w:rsid w:val="69A89076"/>
    <w:rsid w:val="69AD79DF"/>
    <w:rsid w:val="69C30980"/>
    <w:rsid w:val="69DD20B7"/>
    <w:rsid w:val="69EE32CB"/>
    <w:rsid w:val="69F08E3A"/>
    <w:rsid w:val="69F3905C"/>
    <w:rsid w:val="6A0940DB"/>
    <w:rsid w:val="6A2094ED"/>
    <w:rsid w:val="6A4BA0DD"/>
    <w:rsid w:val="6A547C97"/>
    <w:rsid w:val="6A740D7F"/>
    <w:rsid w:val="6AA1D83D"/>
    <w:rsid w:val="6AB1A961"/>
    <w:rsid w:val="6ABAD7E3"/>
    <w:rsid w:val="6AC52F44"/>
    <w:rsid w:val="6AC69A89"/>
    <w:rsid w:val="6ACE52C1"/>
    <w:rsid w:val="6ACFB3C4"/>
    <w:rsid w:val="6ADE8CC0"/>
    <w:rsid w:val="6AFDEED6"/>
    <w:rsid w:val="6B01C6CD"/>
    <w:rsid w:val="6B0FA225"/>
    <w:rsid w:val="6B309942"/>
    <w:rsid w:val="6B9D7933"/>
    <w:rsid w:val="6BA2F149"/>
    <w:rsid w:val="6BDF4E8F"/>
    <w:rsid w:val="6BECA840"/>
    <w:rsid w:val="6BF46663"/>
    <w:rsid w:val="6BF876EC"/>
    <w:rsid w:val="6C203587"/>
    <w:rsid w:val="6C454FCE"/>
    <w:rsid w:val="6C5B460F"/>
    <w:rsid w:val="6C6B8425"/>
    <w:rsid w:val="6C8EE2C4"/>
    <w:rsid w:val="6D034868"/>
    <w:rsid w:val="6D10C627"/>
    <w:rsid w:val="6D151038"/>
    <w:rsid w:val="6D46DE6E"/>
    <w:rsid w:val="6D7B5277"/>
    <w:rsid w:val="6D83F0F4"/>
    <w:rsid w:val="6D900912"/>
    <w:rsid w:val="6DE94A23"/>
    <w:rsid w:val="6DF12C46"/>
    <w:rsid w:val="6E007AB5"/>
    <w:rsid w:val="6E0EB3CF"/>
    <w:rsid w:val="6E3FFE26"/>
    <w:rsid w:val="6E5B13EF"/>
    <w:rsid w:val="6E6FCAF2"/>
    <w:rsid w:val="6EA10E17"/>
    <w:rsid w:val="6EC97610"/>
    <w:rsid w:val="6EDECBB2"/>
    <w:rsid w:val="6F08DD59"/>
    <w:rsid w:val="6F0F178A"/>
    <w:rsid w:val="6F1EDCD7"/>
    <w:rsid w:val="6F473258"/>
    <w:rsid w:val="6F57E277"/>
    <w:rsid w:val="6F9F2528"/>
    <w:rsid w:val="6FCA8921"/>
    <w:rsid w:val="6FF603F5"/>
    <w:rsid w:val="70131FA7"/>
    <w:rsid w:val="701547A9"/>
    <w:rsid w:val="701B40F8"/>
    <w:rsid w:val="70B8E369"/>
    <w:rsid w:val="70C19F51"/>
    <w:rsid w:val="70E54E8B"/>
    <w:rsid w:val="70EA1C5B"/>
    <w:rsid w:val="70F04839"/>
    <w:rsid w:val="70FA111A"/>
    <w:rsid w:val="711851B3"/>
    <w:rsid w:val="7126FED1"/>
    <w:rsid w:val="712ADC4D"/>
    <w:rsid w:val="712AE712"/>
    <w:rsid w:val="716DECB6"/>
    <w:rsid w:val="718C85E9"/>
    <w:rsid w:val="71964C5C"/>
    <w:rsid w:val="7198E049"/>
    <w:rsid w:val="71A83D7D"/>
    <w:rsid w:val="71B5203D"/>
    <w:rsid w:val="71BF03A2"/>
    <w:rsid w:val="71C350F0"/>
    <w:rsid w:val="71D01BEF"/>
    <w:rsid w:val="71D8AAFE"/>
    <w:rsid w:val="71F62B05"/>
    <w:rsid w:val="720284E8"/>
    <w:rsid w:val="720ACA95"/>
    <w:rsid w:val="72434FE0"/>
    <w:rsid w:val="7261CD10"/>
    <w:rsid w:val="7279EB23"/>
    <w:rsid w:val="72B566E9"/>
    <w:rsid w:val="72C1C638"/>
    <w:rsid w:val="72DD228E"/>
    <w:rsid w:val="72F4B10A"/>
    <w:rsid w:val="73279704"/>
    <w:rsid w:val="7339F6F7"/>
    <w:rsid w:val="73673B66"/>
    <w:rsid w:val="73C6E6DE"/>
    <w:rsid w:val="73CD7FB2"/>
    <w:rsid w:val="73DC0E8A"/>
    <w:rsid w:val="73F4CFAE"/>
    <w:rsid w:val="74230091"/>
    <w:rsid w:val="742FB809"/>
    <w:rsid w:val="74430321"/>
    <w:rsid w:val="744549B1"/>
    <w:rsid w:val="747156D1"/>
    <w:rsid w:val="748F33A2"/>
    <w:rsid w:val="7498A382"/>
    <w:rsid w:val="749DA9D4"/>
    <w:rsid w:val="74B64DC0"/>
    <w:rsid w:val="74D09BA6"/>
    <w:rsid w:val="74D5F973"/>
    <w:rsid w:val="74DFDE3F"/>
    <w:rsid w:val="74E64379"/>
    <w:rsid w:val="75035045"/>
    <w:rsid w:val="7540173F"/>
    <w:rsid w:val="7555230D"/>
    <w:rsid w:val="75680C69"/>
    <w:rsid w:val="756CCC0A"/>
    <w:rsid w:val="756FD714"/>
    <w:rsid w:val="758D0BF6"/>
    <w:rsid w:val="75BDD8AD"/>
    <w:rsid w:val="75C95C22"/>
    <w:rsid w:val="75E01A71"/>
    <w:rsid w:val="75E3F6C8"/>
    <w:rsid w:val="7623A31F"/>
    <w:rsid w:val="762BCC5E"/>
    <w:rsid w:val="762D46B4"/>
    <w:rsid w:val="76415DD9"/>
    <w:rsid w:val="764167EB"/>
    <w:rsid w:val="765B148D"/>
    <w:rsid w:val="766918DD"/>
    <w:rsid w:val="76A0A4E3"/>
    <w:rsid w:val="76A74DAE"/>
    <w:rsid w:val="76AE4576"/>
    <w:rsid w:val="76B575D4"/>
    <w:rsid w:val="76B7DCDF"/>
    <w:rsid w:val="76BE6A55"/>
    <w:rsid w:val="76CAE318"/>
    <w:rsid w:val="76DC1654"/>
    <w:rsid w:val="771814F0"/>
    <w:rsid w:val="771C15D6"/>
    <w:rsid w:val="7754B1C8"/>
    <w:rsid w:val="77704530"/>
    <w:rsid w:val="77CFD947"/>
    <w:rsid w:val="77DA7A1F"/>
    <w:rsid w:val="77E8B7B9"/>
    <w:rsid w:val="780D681A"/>
    <w:rsid w:val="780D9A35"/>
    <w:rsid w:val="7840275D"/>
    <w:rsid w:val="786418C8"/>
    <w:rsid w:val="789AAE91"/>
    <w:rsid w:val="78C647B4"/>
    <w:rsid w:val="78DAFEA0"/>
    <w:rsid w:val="7931DC9D"/>
    <w:rsid w:val="7957625A"/>
    <w:rsid w:val="79694BA1"/>
    <w:rsid w:val="796A2E92"/>
    <w:rsid w:val="796BAB71"/>
    <w:rsid w:val="796DCC8B"/>
    <w:rsid w:val="79880AB0"/>
    <w:rsid w:val="7993D593"/>
    <w:rsid w:val="79A5967B"/>
    <w:rsid w:val="79BAA56D"/>
    <w:rsid w:val="79D7B238"/>
    <w:rsid w:val="79E15145"/>
    <w:rsid w:val="7A0E10FA"/>
    <w:rsid w:val="7A1D23A3"/>
    <w:rsid w:val="7A314162"/>
    <w:rsid w:val="7A360EE9"/>
    <w:rsid w:val="7A39B899"/>
    <w:rsid w:val="7A618777"/>
    <w:rsid w:val="7A671573"/>
    <w:rsid w:val="7A84052C"/>
    <w:rsid w:val="7A91C0EE"/>
    <w:rsid w:val="7AFBA69F"/>
    <w:rsid w:val="7B101F8E"/>
    <w:rsid w:val="7B453AF7"/>
    <w:rsid w:val="7B4D64EB"/>
    <w:rsid w:val="7B51C8AB"/>
    <w:rsid w:val="7B542352"/>
    <w:rsid w:val="7B5675CE"/>
    <w:rsid w:val="7B6FDA99"/>
    <w:rsid w:val="7B940356"/>
    <w:rsid w:val="7B979068"/>
    <w:rsid w:val="7BACF87D"/>
    <w:rsid w:val="7BFE833C"/>
    <w:rsid w:val="7C01DF59"/>
    <w:rsid w:val="7C27FF81"/>
    <w:rsid w:val="7C44764A"/>
    <w:rsid w:val="7C50662E"/>
    <w:rsid w:val="7C6F74DD"/>
    <w:rsid w:val="7C752056"/>
    <w:rsid w:val="7C958EE3"/>
    <w:rsid w:val="7CB4DD0A"/>
    <w:rsid w:val="7CCFD081"/>
    <w:rsid w:val="7D0F6737"/>
    <w:rsid w:val="7D3EF6DB"/>
    <w:rsid w:val="7D52FCCC"/>
    <w:rsid w:val="7D6585DC"/>
    <w:rsid w:val="7D7BA79A"/>
    <w:rsid w:val="7D993040"/>
    <w:rsid w:val="7DA5B108"/>
    <w:rsid w:val="7DBB9B86"/>
    <w:rsid w:val="7DBBBCCC"/>
    <w:rsid w:val="7DEA228D"/>
    <w:rsid w:val="7DF1948A"/>
    <w:rsid w:val="7E37599B"/>
    <w:rsid w:val="7E6F8C32"/>
    <w:rsid w:val="7E88955C"/>
    <w:rsid w:val="7EAD345D"/>
    <w:rsid w:val="7EBEF272"/>
    <w:rsid w:val="7EC345BA"/>
    <w:rsid w:val="7ED54746"/>
    <w:rsid w:val="7EDB5EB1"/>
    <w:rsid w:val="7EDCC0A2"/>
    <w:rsid w:val="7F39C69C"/>
    <w:rsid w:val="7F463B78"/>
    <w:rsid w:val="7F49EB26"/>
    <w:rsid w:val="7F5D883B"/>
    <w:rsid w:val="7F63C005"/>
    <w:rsid w:val="7F8A0377"/>
    <w:rsid w:val="7F8DAD3F"/>
    <w:rsid w:val="7FF82EAA"/>
    <w:rsid w:val="7FFBCD43"/>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F1BB9A"/>
  <w15:chartTrackingRefBased/>
  <w15:docId w15:val="{447CD8B4-8191-438C-A48B-9F3B6236C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E03"/>
    <w:pPr>
      <w:spacing w:after="160" w:line="256" w:lineRule="auto"/>
    </w:pPr>
    <w:rPr>
      <w:sz w:val="22"/>
      <w:szCs w:val="22"/>
      <w:lang w:eastAsia="en-US"/>
    </w:rPr>
  </w:style>
  <w:style w:type="paragraph" w:styleId="Ttulo1">
    <w:name w:val="heading 1"/>
    <w:aliases w:val="INFITULUA-T2,BONUS-T1,MT1,título 1,Título 1_HTA"/>
    <w:basedOn w:val="Normal"/>
    <w:next w:val="Normal"/>
    <w:link w:val="Ttulo1Car"/>
    <w:uiPriority w:val="9"/>
    <w:qFormat/>
    <w:rsid w:val="00073315"/>
    <w:pPr>
      <w:keepNext/>
      <w:keepLines/>
      <w:spacing w:after="0" w:line="240" w:lineRule="auto"/>
      <w:jc w:val="both"/>
      <w:outlineLvl w:val="0"/>
    </w:pPr>
    <w:rPr>
      <w:rFonts w:ascii="Times New Roman" w:eastAsiaTheme="majorEastAsia" w:hAnsi="Times New Roman" w:cstheme="majorBidi"/>
      <w:b/>
      <w:color w:val="1F3864" w:themeColor="accent1" w:themeShade="80"/>
      <w:spacing w:val="-2"/>
      <w:sz w:val="26"/>
      <w:szCs w:val="32"/>
    </w:rPr>
  </w:style>
  <w:style w:type="paragraph" w:styleId="Ttulo2">
    <w:name w:val="heading 2"/>
    <w:aliases w:val="BONUS-T2,Edgar 2,Título 2 -BCN"/>
    <w:basedOn w:val="Normal"/>
    <w:next w:val="Normal"/>
    <w:link w:val="Ttulo2Car"/>
    <w:uiPriority w:val="9"/>
    <w:unhideWhenUsed/>
    <w:qFormat/>
    <w:rsid w:val="00CA0525"/>
    <w:pPr>
      <w:keepNext/>
      <w:keepLines/>
      <w:numPr>
        <w:numId w:val="5"/>
      </w:numPr>
      <w:spacing w:after="0"/>
      <w:jc w:val="both"/>
      <w:outlineLvl w:val="1"/>
    </w:pPr>
    <w:rPr>
      <w:rFonts w:ascii="Times New Roman" w:eastAsiaTheme="majorEastAsia" w:hAnsi="Times New Roman" w:cstheme="majorBidi"/>
      <w:b/>
      <w:color w:val="1F3864" w:themeColor="accent1" w:themeShade="80"/>
      <w:sz w:val="24"/>
      <w:szCs w:val="26"/>
    </w:rPr>
  </w:style>
  <w:style w:type="paragraph" w:styleId="Ttulo3">
    <w:name w:val="heading 3"/>
    <w:aliases w:val="BONUS-T3 Final,Edgar 3,1.1.1Título 3,Título 3-BCN,3 bullet,H3,1Título 3"/>
    <w:basedOn w:val="Normal"/>
    <w:next w:val="Normal"/>
    <w:link w:val="Ttulo3Car"/>
    <w:uiPriority w:val="9"/>
    <w:unhideWhenUsed/>
    <w:qFormat/>
    <w:rsid w:val="006C2A39"/>
    <w:pPr>
      <w:keepNext/>
      <w:keepLines/>
      <w:spacing w:after="0"/>
      <w:jc w:val="both"/>
      <w:outlineLvl w:val="2"/>
    </w:pPr>
    <w:rPr>
      <w:rFonts w:ascii="Times New Roman" w:eastAsiaTheme="majorEastAsia" w:hAnsi="Times New Roman" w:cstheme="majorBidi"/>
      <w:b/>
      <w:sz w:val="24"/>
      <w:szCs w:val="24"/>
    </w:rPr>
  </w:style>
  <w:style w:type="paragraph" w:styleId="Ttulo4">
    <w:name w:val="heading 4"/>
    <w:basedOn w:val="Normal"/>
    <w:next w:val="Normal"/>
    <w:link w:val="Ttulo4Car"/>
    <w:uiPriority w:val="9"/>
    <w:qFormat/>
    <w:rsid w:val="00F23D7A"/>
    <w:pPr>
      <w:keepNext/>
      <w:spacing w:before="240" w:after="0" w:line="240" w:lineRule="auto"/>
      <w:jc w:val="both"/>
      <w:outlineLvl w:val="3"/>
    </w:pPr>
    <w:rPr>
      <w:rFonts w:ascii="Arial Negrita" w:eastAsia="Times New Roman" w:hAnsi="Arial Negrita"/>
      <w:b/>
      <w:lang w:val="es-ES_tradnl"/>
    </w:rPr>
  </w:style>
  <w:style w:type="paragraph" w:styleId="Ttulo5">
    <w:name w:val="heading 5"/>
    <w:aliases w:val="Titulo de Quinto Nivel,Título 5 - PDE"/>
    <w:basedOn w:val="Normal"/>
    <w:next w:val="Normal"/>
    <w:link w:val="Ttulo5Car"/>
    <w:uiPriority w:val="9"/>
    <w:qFormat/>
    <w:rsid w:val="00F23D7A"/>
    <w:pPr>
      <w:keepNext/>
      <w:tabs>
        <w:tab w:val="left" w:pos="2127"/>
        <w:tab w:val="left" w:pos="5670"/>
        <w:tab w:val="right" w:pos="7939"/>
      </w:tabs>
      <w:spacing w:before="120" w:after="0" w:line="240" w:lineRule="atLeast"/>
      <w:jc w:val="center"/>
      <w:outlineLvl w:val="4"/>
    </w:pPr>
    <w:rPr>
      <w:rFonts w:ascii="Arial" w:eastAsia="Times New Roman" w:hAnsi="Arial"/>
      <w:b/>
      <w:i/>
      <w:sz w:val="28"/>
      <w:lang w:val="es-ES_tradnl"/>
    </w:rPr>
  </w:style>
  <w:style w:type="paragraph" w:styleId="Ttulo6">
    <w:name w:val="heading 6"/>
    <w:basedOn w:val="Normal"/>
    <w:next w:val="Normal"/>
    <w:link w:val="Ttulo6Car"/>
    <w:qFormat/>
    <w:rsid w:val="00F23D7A"/>
    <w:pPr>
      <w:keepNext/>
      <w:spacing w:before="480" w:after="0" w:line="240" w:lineRule="auto"/>
      <w:jc w:val="center"/>
      <w:outlineLvl w:val="5"/>
    </w:pPr>
    <w:rPr>
      <w:rFonts w:ascii="Arial Negrita" w:eastAsia="Times New Roman" w:hAnsi="Arial Negrita"/>
      <w:b/>
      <w:i/>
      <w:caps/>
      <w:color w:val="0000FF"/>
      <w:sz w:val="28"/>
      <w:lang w:val="es-ES_tradnl"/>
    </w:rPr>
  </w:style>
  <w:style w:type="paragraph" w:styleId="Ttulo7">
    <w:name w:val="heading 7"/>
    <w:basedOn w:val="Normal"/>
    <w:next w:val="Normal"/>
    <w:link w:val="Ttulo7Car"/>
    <w:uiPriority w:val="9"/>
    <w:unhideWhenUsed/>
    <w:qFormat/>
    <w:rsid w:val="00F23D7A"/>
    <w:pPr>
      <w:keepNext/>
      <w:keepLines/>
      <w:spacing w:before="200" w:after="0" w:line="240" w:lineRule="auto"/>
      <w:ind w:left="1296" w:hanging="1296"/>
      <w:jc w:val="both"/>
      <w:outlineLvl w:val="6"/>
    </w:pPr>
    <w:rPr>
      <w:rFonts w:asciiTheme="majorHAnsi" w:eastAsiaTheme="majorEastAsia" w:hAnsiTheme="majorHAnsi" w:cstheme="majorBidi"/>
      <w:i/>
      <w:iCs/>
      <w:color w:val="404040" w:themeColor="text1" w:themeTint="BF"/>
      <w:sz w:val="24"/>
      <w:szCs w:val="24"/>
      <w:lang w:val="es-ES_tradnl" w:eastAsia="es-ES"/>
    </w:rPr>
  </w:style>
  <w:style w:type="paragraph" w:styleId="Ttulo8">
    <w:name w:val="heading 8"/>
    <w:basedOn w:val="Normal"/>
    <w:next w:val="Normal"/>
    <w:link w:val="Ttulo8Car"/>
    <w:uiPriority w:val="9"/>
    <w:unhideWhenUsed/>
    <w:qFormat/>
    <w:rsid w:val="00F23D7A"/>
    <w:pPr>
      <w:keepNext/>
      <w:keepLines/>
      <w:spacing w:before="200" w:after="0" w:line="240" w:lineRule="auto"/>
      <w:ind w:left="1440" w:hanging="1440"/>
      <w:jc w:val="both"/>
      <w:outlineLvl w:val="7"/>
    </w:pPr>
    <w:rPr>
      <w:rFonts w:asciiTheme="majorHAnsi" w:eastAsiaTheme="majorEastAsia" w:hAnsiTheme="majorHAnsi" w:cstheme="majorBidi"/>
      <w:color w:val="404040" w:themeColor="text1" w:themeTint="BF"/>
      <w:sz w:val="20"/>
      <w:szCs w:val="20"/>
      <w:lang w:val="es-ES_tradnl" w:eastAsia="es-ES"/>
    </w:rPr>
  </w:style>
  <w:style w:type="paragraph" w:styleId="Ttulo9">
    <w:name w:val="heading 9"/>
    <w:basedOn w:val="Normal"/>
    <w:next w:val="Normal"/>
    <w:link w:val="Ttulo9Car"/>
    <w:uiPriority w:val="9"/>
    <w:unhideWhenUsed/>
    <w:qFormat/>
    <w:rsid w:val="00F23D7A"/>
    <w:pPr>
      <w:keepNext/>
      <w:keepLines/>
      <w:spacing w:before="200" w:after="0" w:line="240" w:lineRule="auto"/>
      <w:ind w:left="1584" w:hanging="1584"/>
      <w:jc w:val="both"/>
      <w:outlineLvl w:val="8"/>
    </w:pPr>
    <w:rPr>
      <w:rFonts w:asciiTheme="majorHAnsi" w:eastAsiaTheme="majorEastAsia" w:hAnsiTheme="majorHAnsi" w:cstheme="majorBidi"/>
      <w:i/>
      <w:iCs/>
      <w:color w:val="404040" w:themeColor="text1" w:themeTint="BF"/>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Subtítulo Subcontenido numerado,Lista 123,LISTA,Bolita,Guión,Viñeta 2,Párrafo de lista3,BOLA,Párrafo de lista21,Titulo 8,Párrafo de lista2,HOJA,Párrafo de lista31,BOLADEF,Párrafo de lista5,Colorful List - Accent 11,TITULO"/>
    <w:basedOn w:val="Normal"/>
    <w:link w:val="PrrafodelistaCar"/>
    <w:uiPriority w:val="34"/>
    <w:qFormat/>
    <w:rsid w:val="002A7BF9"/>
    <w:pPr>
      <w:ind w:left="720"/>
      <w:contextualSpacing/>
    </w:pPr>
  </w:style>
  <w:style w:type="character" w:styleId="Hipervnculo">
    <w:name w:val="Hyperlink"/>
    <w:uiPriority w:val="99"/>
    <w:unhideWhenUsed/>
    <w:rsid w:val="00236A23"/>
    <w:rPr>
      <w:color w:val="0000FF"/>
      <w:u w:val="single"/>
    </w:rPr>
  </w:style>
  <w:style w:type="paragraph" w:styleId="Textodeglobo">
    <w:name w:val="Balloon Text"/>
    <w:basedOn w:val="Normal"/>
    <w:link w:val="TextodegloboCar"/>
    <w:uiPriority w:val="99"/>
    <w:semiHidden/>
    <w:unhideWhenUsed/>
    <w:rsid w:val="00AD094E"/>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AD094E"/>
    <w:rPr>
      <w:rFonts w:ascii="Segoe UI" w:hAnsi="Segoe UI" w:cs="Segoe UI"/>
      <w:sz w:val="18"/>
      <w:szCs w:val="18"/>
    </w:rPr>
  </w:style>
  <w:style w:type="paragraph" w:styleId="Encabezado">
    <w:name w:val="header"/>
    <w:aliases w:val="Encabezado1,encabezado,Encabezado Car Car,Haut de page,h,h8,h9,h10,h18"/>
    <w:basedOn w:val="Normal"/>
    <w:link w:val="EncabezadoCar"/>
    <w:uiPriority w:val="99"/>
    <w:unhideWhenUsed/>
    <w:qFormat/>
    <w:rsid w:val="008F1462"/>
    <w:pPr>
      <w:tabs>
        <w:tab w:val="center" w:pos="4419"/>
        <w:tab w:val="right" w:pos="8838"/>
      </w:tabs>
      <w:spacing w:after="0" w:line="240" w:lineRule="auto"/>
    </w:pPr>
  </w:style>
  <w:style w:type="character" w:customStyle="1" w:styleId="EncabezadoCar">
    <w:name w:val="Encabezado Car"/>
    <w:aliases w:val="Encabezado1 Car,encabezado Car,Encabezado Car Car Car,Haut de page Car,h Car,h8 Car,h9 Car,h10 Car,h18 Car"/>
    <w:basedOn w:val="Fuentedeprrafopredeter"/>
    <w:link w:val="Encabezado"/>
    <w:uiPriority w:val="99"/>
    <w:rsid w:val="008F1462"/>
  </w:style>
  <w:style w:type="paragraph" w:styleId="Piedepgina">
    <w:name w:val="footer"/>
    <w:basedOn w:val="Normal"/>
    <w:link w:val="PiedepginaCar"/>
    <w:uiPriority w:val="99"/>
    <w:unhideWhenUsed/>
    <w:rsid w:val="008F146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F1462"/>
  </w:style>
  <w:style w:type="character" w:styleId="Refdecomentario">
    <w:name w:val="annotation reference"/>
    <w:uiPriority w:val="99"/>
    <w:unhideWhenUsed/>
    <w:rsid w:val="006716A0"/>
    <w:rPr>
      <w:sz w:val="16"/>
      <w:szCs w:val="16"/>
    </w:rPr>
  </w:style>
  <w:style w:type="paragraph" w:styleId="Textocomentario">
    <w:name w:val="annotation text"/>
    <w:basedOn w:val="Normal"/>
    <w:link w:val="TextocomentarioCar"/>
    <w:uiPriority w:val="99"/>
    <w:unhideWhenUsed/>
    <w:rsid w:val="006716A0"/>
    <w:pPr>
      <w:spacing w:line="240" w:lineRule="auto"/>
    </w:pPr>
    <w:rPr>
      <w:sz w:val="20"/>
      <w:szCs w:val="20"/>
    </w:rPr>
  </w:style>
  <w:style w:type="character" w:customStyle="1" w:styleId="TextocomentarioCar">
    <w:name w:val="Texto comentario Car"/>
    <w:link w:val="Textocomentario"/>
    <w:uiPriority w:val="99"/>
    <w:rsid w:val="006716A0"/>
    <w:rPr>
      <w:sz w:val="20"/>
      <w:szCs w:val="20"/>
    </w:rPr>
  </w:style>
  <w:style w:type="paragraph" w:styleId="Asuntodelcomentario">
    <w:name w:val="annotation subject"/>
    <w:basedOn w:val="Textocomentario"/>
    <w:next w:val="Textocomentario"/>
    <w:link w:val="AsuntodelcomentarioCar"/>
    <w:uiPriority w:val="99"/>
    <w:unhideWhenUsed/>
    <w:rsid w:val="006716A0"/>
    <w:rPr>
      <w:b/>
      <w:bCs/>
    </w:rPr>
  </w:style>
  <w:style w:type="character" w:customStyle="1" w:styleId="AsuntodelcomentarioCar">
    <w:name w:val="Asunto del comentario Car"/>
    <w:link w:val="Asuntodelcomentario"/>
    <w:uiPriority w:val="99"/>
    <w:rsid w:val="006716A0"/>
    <w:rPr>
      <w:b/>
      <w:bCs/>
      <w:sz w:val="20"/>
      <w:szCs w:val="20"/>
    </w:rPr>
  </w:style>
  <w:style w:type="table" w:styleId="Tablaconcuadrcula">
    <w:name w:val="Table Grid"/>
    <w:aliases w:val="sin cuadricula,SGI,Tabla GEOCOL,Petrominerales,petro,Tabla sin cuadrícula,Tabla con cuadrícula-1,Capítulo 2 EIA - Fotografía,Tabla Yago,Tabla P_1222,Capítulo 4 EIA - Fotografía,ASI,con,cuadrícula,sin,cuadricula,GEOCOL,cuadrícula-1"/>
    <w:basedOn w:val="Tablanormal"/>
    <w:uiPriority w:val="39"/>
    <w:qFormat/>
    <w:rsid w:val="00166F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166F0E"/>
    <w:rPr>
      <w:sz w:val="22"/>
      <w:szCs w:val="22"/>
      <w:lang w:eastAsia="en-US"/>
    </w:rPr>
  </w:style>
  <w:style w:type="character" w:customStyle="1" w:styleId="Ttulo1Car">
    <w:name w:val="Título 1 Car"/>
    <w:aliases w:val="INFITULUA-T2 Car,BONUS-T1 Car,MT1 Car,título 1 Car,Título 1_HTA Car"/>
    <w:basedOn w:val="Fuentedeprrafopredeter"/>
    <w:link w:val="Ttulo1"/>
    <w:uiPriority w:val="9"/>
    <w:rsid w:val="00073315"/>
    <w:rPr>
      <w:rFonts w:ascii="Times New Roman" w:eastAsiaTheme="majorEastAsia" w:hAnsi="Times New Roman" w:cstheme="majorBidi"/>
      <w:b/>
      <w:color w:val="1F3864" w:themeColor="accent1" w:themeShade="80"/>
      <w:spacing w:val="-2"/>
      <w:sz w:val="26"/>
      <w:szCs w:val="32"/>
      <w:lang w:eastAsia="en-US"/>
    </w:rPr>
  </w:style>
  <w:style w:type="paragraph" w:styleId="Subttulo">
    <w:name w:val="Subtitle"/>
    <w:basedOn w:val="Normal"/>
    <w:next w:val="Normal"/>
    <w:link w:val="SubttuloCar"/>
    <w:uiPriority w:val="11"/>
    <w:qFormat/>
    <w:rsid w:val="00DB2119"/>
    <w:pPr>
      <w:numPr>
        <w:numId w:val="4"/>
      </w:numPr>
      <w:spacing w:after="0"/>
    </w:pPr>
    <w:rPr>
      <w:rFonts w:ascii="Times New Roman" w:eastAsiaTheme="minorEastAsia" w:hAnsi="Times New Roman" w:cstheme="minorBidi"/>
      <w:b/>
      <w:color w:val="1F3864" w:themeColor="accent1" w:themeShade="80"/>
      <w:spacing w:val="15"/>
      <w:sz w:val="24"/>
    </w:rPr>
  </w:style>
  <w:style w:type="character" w:customStyle="1" w:styleId="SubttuloCar">
    <w:name w:val="Subtítulo Car"/>
    <w:basedOn w:val="Fuentedeprrafopredeter"/>
    <w:link w:val="Subttulo"/>
    <w:uiPriority w:val="11"/>
    <w:rsid w:val="00DB2119"/>
    <w:rPr>
      <w:rFonts w:ascii="Times New Roman" w:eastAsiaTheme="minorEastAsia" w:hAnsi="Times New Roman" w:cstheme="minorBidi"/>
      <w:b/>
      <w:color w:val="1F3864" w:themeColor="accent1" w:themeShade="80"/>
      <w:spacing w:val="15"/>
      <w:sz w:val="24"/>
      <w:szCs w:val="22"/>
      <w:lang w:eastAsia="en-US"/>
    </w:rPr>
  </w:style>
  <w:style w:type="paragraph" w:styleId="TtuloTDC">
    <w:name w:val="TOC Heading"/>
    <w:basedOn w:val="Ttulo1"/>
    <w:next w:val="Normal"/>
    <w:uiPriority w:val="39"/>
    <w:unhideWhenUsed/>
    <w:qFormat/>
    <w:rsid w:val="00DB2119"/>
    <w:pPr>
      <w:spacing w:before="240"/>
      <w:jc w:val="left"/>
      <w:outlineLvl w:val="9"/>
    </w:pPr>
    <w:rPr>
      <w:rFonts w:asciiTheme="majorHAnsi" w:hAnsiTheme="majorHAnsi"/>
      <w:b w:val="0"/>
      <w:color w:val="2F5496" w:themeColor="accent1" w:themeShade="BF"/>
      <w:sz w:val="32"/>
      <w:lang w:eastAsia="es-CO"/>
    </w:rPr>
  </w:style>
  <w:style w:type="paragraph" w:styleId="TDC1">
    <w:name w:val="toc 1"/>
    <w:basedOn w:val="Normal"/>
    <w:next w:val="Normal"/>
    <w:autoRedefine/>
    <w:uiPriority w:val="39"/>
    <w:unhideWhenUsed/>
    <w:rsid w:val="00DB2119"/>
    <w:pPr>
      <w:spacing w:after="100"/>
    </w:pPr>
  </w:style>
  <w:style w:type="paragraph" w:styleId="TDC2">
    <w:name w:val="toc 2"/>
    <w:basedOn w:val="Normal"/>
    <w:next w:val="Normal"/>
    <w:autoRedefine/>
    <w:uiPriority w:val="39"/>
    <w:unhideWhenUsed/>
    <w:rsid w:val="00DB2119"/>
    <w:pPr>
      <w:spacing w:after="100"/>
      <w:ind w:left="220"/>
    </w:pPr>
    <w:rPr>
      <w:rFonts w:asciiTheme="minorHAnsi" w:eastAsiaTheme="minorEastAsia" w:hAnsiTheme="minorHAnsi"/>
      <w:lang w:eastAsia="es-CO"/>
    </w:rPr>
  </w:style>
  <w:style w:type="paragraph" w:styleId="TDC3">
    <w:name w:val="toc 3"/>
    <w:basedOn w:val="Normal"/>
    <w:next w:val="Normal"/>
    <w:autoRedefine/>
    <w:uiPriority w:val="39"/>
    <w:unhideWhenUsed/>
    <w:rsid w:val="00DB2119"/>
    <w:pPr>
      <w:spacing w:after="100"/>
      <w:ind w:left="440"/>
    </w:pPr>
    <w:rPr>
      <w:rFonts w:asciiTheme="minorHAnsi" w:eastAsiaTheme="minorEastAsia" w:hAnsiTheme="minorHAnsi"/>
      <w:lang w:eastAsia="es-CO"/>
    </w:rPr>
  </w:style>
  <w:style w:type="paragraph" w:styleId="Ttulo">
    <w:name w:val="Title"/>
    <w:basedOn w:val="Normal"/>
    <w:next w:val="Normal"/>
    <w:link w:val="TtuloCar"/>
    <w:uiPriority w:val="10"/>
    <w:qFormat/>
    <w:rsid w:val="00DB2119"/>
    <w:pPr>
      <w:spacing w:after="0" w:line="240" w:lineRule="auto"/>
      <w:contextualSpacing/>
      <w:jc w:val="both"/>
    </w:pPr>
    <w:rPr>
      <w:rFonts w:ascii="Times New Roman" w:eastAsiaTheme="majorEastAsia" w:hAnsi="Times New Roman" w:cstheme="majorBidi"/>
      <w:b/>
      <w:color w:val="1F3864" w:themeColor="accent1" w:themeShade="80"/>
      <w:spacing w:val="-10"/>
      <w:kern w:val="28"/>
      <w:sz w:val="26"/>
      <w:szCs w:val="56"/>
    </w:rPr>
  </w:style>
  <w:style w:type="character" w:customStyle="1" w:styleId="TtuloCar">
    <w:name w:val="Título Car"/>
    <w:basedOn w:val="Fuentedeprrafopredeter"/>
    <w:link w:val="Ttulo"/>
    <w:uiPriority w:val="10"/>
    <w:rsid w:val="00DB2119"/>
    <w:rPr>
      <w:rFonts w:ascii="Times New Roman" w:eastAsiaTheme="majorEastAsia" w:hAnsi="Times New Roman" w:cstheme="majorBidi"/>
      <w:b/>
      <w:color w:val="1F3864" w:themeColor="accent1" w:themeShade="80"/>
      <w:spacing w:val="-10"/>
      <w:kern w:val="28"/>
      <w:sz w:val="26"/>
      <w:szCs w:val="56"/>
      <w:lang w:eastAsia="en-US"/>
    </w:rPr>
  </w:style>
  <w:style w:type="character" w:customStyle="1" w:styleId="Ttulo2Car">
    <w:name w:val="Título 2 Car"/>
    <w:aliases w:val="BONUS-T2 Car,Edgar 2 Car,Título 2 -BCN Car"/>
    <w:basedOn w:val="Fuentedeprrafopredeter"/>
    <w:link w:val="Ttulo2"/>
    <w:uiPriority w:val="9"/>
    <w:rsid w:val="00CA0525"/>
    <w:rPr>
      <w:rFonts w:ascii="Times New Roman" w:eastAsiaTheme="majorEastAsia" w:hAnsi="Times New Roman" w:cstheme="majorBidi"/>
      <w:b/>
      <w:color w:val="1F3864" w:themeColor="accent1" w:themeShade="80"/>
      <w:sz w:val="24"/>
      <w:szCs w:val="26"/>
      <w:lang w:eastAsia="en-US"/>
    </w:rPr>
  </w:style>
  <w:style w:type="character" w:customStyle="1" w:styleId="Ttulo3Car">
    <w:name w:val="Título 3 Car"/>
    <w:aliases w:val="BONUS-T3 Final Car,Edgar 3 Car,1.1.1Título 3 Car,Título 3-BCN Car,3 bullet Car,H3 Car,1Título 3 Car"/>
    <w:basedOn w:val="Fuentedeprrafopredeter"/>
    <w:link w:val="Ttulo3"/>
    <w:uiPriority w:val="9"/>
    <w:rsid w:val="006C2A39"/>
    <w:rPr>
      <w:rFonts w:ascii="Times New Roman" w:eastAsiaTheme="majorEastAsia" w:hAnsi="Times New Roman" w:cstheme="majorBidi"/>
      <w:b/>
      <w:sz w:val="24"/>
      <w:szCs w:val="24"/>
      <w:lang w:eastAsia="en-US"/>
    </w:rPr>
  </w:style>
  <w:style w:type="paragraph" w:styleId="TDC4">
    <w:name w:val="toc 4"/>
    <w:basedOn w:val="Normal"/>
    <w:next w:val="Normal"/>
    <w:autoRedefine/>
    <w:uiPriority w:val="39"/>
    <w:unhideWhenUsed/>
    <w:rsid w:val="009A7096"/>
    <w:pPr>
      <w:spacing w:after="100"/>
      <w:ind w:left="660"/>
    </w:pPr>
    <w:rPr>
      <w:rFonts w:asciiTheme="minorHAnsi" w:eastAsiaTheme="minorEastAsia" w:hAnsiTheme="minorHAnsi" w:cstheme="minorBidi"/>
      <w:lang w:eastAsia="es-CO"/>
    </w:rPr>
  </w:style>
  <w:style w:type="paragraph" w:styleId="TDC5">
    <w:name w:val="toc 5"/>
    <w:basedOn w:val="Normal"/>
    <w:next w:val="Normal"/>
    <w:autoRedefine/>
    <w:uiPriority w:val="39"/>
    <w:unhideWhenUsed/>
    <w:rsid w:val="009A7096"/>
    <w:pPr>
      <w:spacing w:after="100"/>
      <w:ind w:left="880"/>
    </w:pPr>
    <w:rPr>
      <w:rFonts w:asciiTheme="minorHAnsi" w:eastAsiaTheme="minorEastAsia" w:hAnsiTheme="minorHAnsi" w:cstheme="minorBidi"/>
      <w:lang w:eastAsia="es-CO"/>
    </w:rPr>
  </w:style>
  <w:style w:type="paragraph" w:styleId="TDC6">
    <w:name w:val="toc 6"/>
    <w:basedOn w:val="Normal"/>
    <w:next w:val="Normal"/>
    <w:autoRedefine/>
    <w:uiPriority w:val="39"/>
    <w:unhideWhenUsed/>
    <w:rsid w:val="009A7096"/>
    <w:pPr>
      <w:spacing w:after="100"/>
      <w:ind w:left="1100"/>
    </w:pPr>
    <w:rPr>
      <w:rFonts w:asciiTheme="minorHAnsi" w:eastAsiaTheme="minorEastAsia" w:hAnsiTheme="minorHAnsi" w:cstheme="minorBidi"/>
      <w:lang w:eastAsia="es-CO"/>
    </w:rPr>
  </w:style>
  <w:style w:type="paragraph" w:styleId="TDC7">
    <w:name w:val="toc 7"/>
    <w:basedOn w:val="Normal"/>
    <w:next w:val="Normal"/>
    <w:autoRedefine/>
    <w:uiPriority w:val="39"/>
    <w:unhideWhenUsed/>
    <w:rsid w:val="009A7096"/>
    <w:pPr>
      <w:spacing w:after="100"/>
      <w:ind w:left="1320"/>
    </w:pPr>
    <w:rPr>
      <w:rFonts w:asciiTheme="minorHAnsi" w:eastAsiaTheme="minorEastAsia" w:hAnsiTheme="minorHAnsi" w:cstheme="minorBidi"/>
      <w:lang w:eastAsia="es-CO"/>
    </w:rPr>
  </w:style>
  <w:style w:type="paragraph" w:styleId="TDC8">
    <w:name w:val="toc 8"/>
    <w:basedOn w:val="Normal"/>
    <w:next w:val="Normal"/>
    <w:autoRedefine/>
    <w:uiPriority w:val="39"/>
    <w:unhideWhenUsed/>
    <w:rsid w:val="009A7096"/>
    <w:pPr>
      <w:spacing w:after="100"/>
      <w:ind w:left="1540"/>
    </w:pPr>
    <w:rPr>
      <w:rFonts w:asciiTheme="minorHAnsi" w:eastAsiaTheme="minorEastAsia" w:hAnsiTheme="minorHAnsi" w:cstheme="minorBidi"/>
      <w:lang w:eastAsia="es-CO"/>
    </w:rPr>
  </w:style>
  <w:style w:type="paragraph" w:styleId="TDC9">
    <w:name w:val="toc 9"/>
    <w:basedOn w:val="Normal"/>
    <w:next w:val="Normal"/>
    <w:autoRedefine/>
    <w:uiPriority w:val="39"/>
    <w:unhideWhenUsed/>
    <w:rsid w:val="009A7096"/>
    <w:pPr>
      <w:spacing w:after="100"/>
      <w:ind w:left="1760"/>
    </w:pPr>
    <w:rPr>
      <w:rFonts w:asciiTheme="minorHAnsi" w:eastAsiaTheme="minorEastAsia" w:hAnsiTheme="minorHAnsi" w:cstheme="minorBidi"/>
      <w:lang w:eastAsia="es-CO"/>
    </w:rPr>
  </w:style>
  <w:style w:type="character" w:styleId="Mencinsinresolver">
    <w:name w:val="Unresolved Mention"/>
    <w:basedOn w:val="Fuentedeprrafopredeter"/>
    <w:uiPriority w:val="99"/>
    <w:semiHidden/>
    <w:unhideWhenUsed/>
    <w:rsid w:val="009A7096"/>
    <w:rPr>
      <w:color w:val="605E5C"/>
      <w:shd w:val="clear" w:color="auto" w:fill="E1DFDD"/>
    </w:rPr>
  </w:style>
  <w:style w:type="paragraph" w:styleId="Saludo">
    <w:name w:val="Salutation"/>
    <w:basedOn w:val="Normal"/>
    <w:next w:val="Normal"/>
    <w:link w:val="SaludoCar"/>
    <w:uiPriority w:val="99"/>
    <w:unhideWhenUsed/>
    <w:rsid w:val="00454718"/>
    <w:pPr>
      <w:spacing w:after="0" w:line="240" w:lineRule="auto"/>
    </w:pPr>
    <w:rPr>
      <w:rFonts w:asciiTheme="minorHAnsi" w:eastAsiaTheme="minorEastAsia" w:hAnsiTheme="minorHAnsi" w:cstheme="minorBidi"/>
      <w:sz w:val="24"/>
      <w:szCs w:val="24"/>
      <w:lang w:val="es-ES_tradnl"/>
    </w:rPr>
  </w:style>
  <w:style w:type="character" w:customStyle="1" w:styleId="SaludoCar">
    <w:name w:val="Saludo Car"/>
    <w:basedOn w:val="Fuentedeprrafopredeter"/>
    <w:link w:val="Saludo"/>
    <w:uiPriority w:val="99"/>
    <w:rsid w:val="00454718"/>
    <w:rPr>
      <w:rFonts w:asciiTheme="minorHAnsi" w:eastAsiaTheme="minorEastAsia" w:hAnsiTheme="minorHAnsi" w:cstheme="minorBidi"/>
      <w:sz w:val="24"/>
      <w:szCs w:val="24"/>
      <w:lang w:val="es-ES_tradnl" w:eastAsia="en-US"/>
    </w:rPr>
  </w:style>
  <w:style w:type="character" w:customStyle="1" w:styleId="PrrafodelistaCar">
    <w:name w:val="Párrafo de lista Car"/>
    <w:aliases w:val="Subtítulo Subcontenido numerado Car,Lista 123 Car,LISTA Car,Bolita Car,Guión Car,Viñeta 2 Car,Párrafo de lista3 Car,BOLA Car,Párrafo de lista21 Car,Titulo 8 Car,Párrafo de lista2 Car,HOJA Car,Párrafo de lista31 Car,BOLADEF Car"/>
    <w:link w:val="Prrafodelista"/>
    <w:uiPriority w:val="34"/>
    <w:qFormat/>
    <w:rsid w:val="00454718"/>
    <w:rPr>
      <w:sz w:val="22"/>
      <w:szCs w:val="22"/>
      <w:lang w:eastAsia="en-U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
    <w:basedOn w:val="Normal"/>
    <w:link w:val="TextonotapieCar"/>
    <w:uiPriority w:val="99"/>
    <w:unhideWhenUsed/>
    <w:rsid w:val="00454718"/>
    <w:pPr>
      <w:spacing w:after="0" w:line="240" w:lineRule="auto"/>
    </w:pPr>
    <w:rPr>
      <w:rFonts w:asciiTheme="minorHAnsi" w:eastAsiaTheme="minorHAnsi" w:hAnsiTheme="minorHAnsi" w:cstheme="minorBidi"/>
      <w:sz w:val="20"/>
      <w:szCs w:val="20"/>
      <w:lang w:val="es-ES"/>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rsid w:val="00454718"/>
    <w:rPr>
      <w:rFonts w:asciiTheme="minorHAnsi" w:eastAsiaTheme="minorHAnsi" w:hAnsiTheme="minorHAnsi" w:cstheme="minorBidi"/>
      <w:lang w:val="es-ES" w:eastAsia="en-US"/>
    </w:rPr>
  </w:style>
  <w:style w:type="character" w:styleId="Refdenotaalpie">
    <w:name w:val="footnote reference"/>
    <w:aliases w:val="Ref. de nota al pie 2,Pie de Página,FC,Texto de nota al pie,Texto de nota al pi,Appel note de bas de page,Footnotes refss,Footnote number,referencia nota al pie,BVI fnr,f,4_G,16 Point,Superscript 6 Point,Texto nota al pie,Footnote"/>
    <w:basedOn w:val="Fuentedeprrafopredeter"/>
    <w:link w:val="4GChar"/>
    <w:uiPriority w:val="99"/>
    <w:unhideWhenUsed/>
    <w:qFormat/>
    <w:rsid w:val="00454718"/>
    <w:rPr>
      <w:vertAlign w:val="superscript"/>
    </w:rPr>
  </w:style>
  <w:style w:type="paragraph" w:styleId="Textoindependiente">
    <w:name w:val="Body Text"/>
    <w:aliases w:val="bt,body text,t,text,BODY TEXT,EDStext,sp,bodytext,bullet title,txt1,T1,Title 1,Text,sbs,block text,1,bt4,body text4,bt5,body text5,bt1,body text1,Teh2xt,Block text,tx,Resume Text,RFP Text,BT,heading_txt,bodytxy2,Justified,pp,P"/>
    <w:basedOn w:val="Normal"/>
    <w:link w:val="TextoindependienteCar"/>
    <w:uiPriority w:val="1"/>
    <w:qFormat/>
    <w:rsid w:val="00042A6A"/>
    <w:pPr>
      <w:widowControl w:val="0"/>
      <w:autoSpaceDE w:val="0"/>
      <w:autoSpaceDN w:val="0"/>
      <w:spacing w:after="0" w:line="240" w:lineRule="auto"/>
    </w:pPr>
    <w:rPr>
      <w:rFonts w:ascii="Times New Roman" w:eastAsia="Times New Roman" w:hAnsi="Times New Roman"/>
      <w:sz w:val="24"/>
      <w:szCs w:val="24"/>
      <w:lang w:val="es-ES" w:eastAsia="es-ES" w:bidi="es-ES"/>
    </w:rPr>
  </w:style>
  <w:style w:type="character" w:customStyle="1" w:styleId="TextoindependienteCar">
    <w:name w:val="Texto independiente Car"/>
    <w:aliases w:val="bt Car,body text Car,t Car,text Car,BODY TEXT Car,EDStext Car,sp Car,bodytext Car,bullet title Car,txt1 Car,T1 Car,Title 1 Car,Text Car,sbs Car,block text Car,1 Car,bt4 Car,body text4 Car,bt5 Car,body text5 Car,bt1 Car,Teh2xt Car"/>
    <w:basedOn w:val="Fuentedeprrafopredeter"/>
    <w:link w:val="Textoindependiente"/>
    <w:uiPriority w:val="1"/>
    <w:rsid w:val="00042A6A"/>
    <w:rPr>
      <w:rFonts w:ascii="Times New Roman" w:eastAsia="Times New Roman" w:hAnsi="Times New Roman"/>
      <w:sz w:val="24"/>
      <w:szCs w:val="24"/>
      <w:lang w:val="es-ES" w:eastAsia="es-ES" w:bidi="es-ES"/>
    </w:rPr>
  </w:style>
  <w:style w:type="paragraph" w:customStyle="1" w:styleId="TableParagraph">
    <w:name w:val="Table Paragraph"/>
    <w:basedOn w:val="Normal"/>
    <w:uiPriority w:val="1"/>
    <w:qFormat/>
    <w:rsid w:val="00042A6A"/>
    <w:pPr>
      <w:widowControl w:val="0"/>
      <w:autoSpaceDE w:val="0"/>
      <w:autoSpaceDN w:val="0"/>
      <w:spacing w:after="0" w:line="240" w:lineRule="auto"/>
      <w:ind w:left="107"/>
    </w:pPr>
    <w:rPr>
      <w:rFonts w:ascii="Times New Roman" w:eastAsia="Times New Roman" w:hAnsi="Times New Roman"/>
      <w:lang w:val="es-ES" w:eastAsia="es-ES" w:bidi="es-ES"/>
    </w:rPr>
  </w:style>
  <w:style w:type="paragraph" w:customStyle="1" w:styleId="Default">
    <w:name w:val="Default"/>
    <w:link w:val="DefaultCar"/>
    <w:qFormat/>
    <w:rsid w:val="00B27248"/>
    <w:pPr>
      <w:autoSpaceDE w:val="0"/>
      <w:autoSpaceDN w:val="0"/>
      <w:adjustRightInd w:val="0"/>
    </w:pPr>
    <w:rPr>
      <w:rFonts w:ascii="Verdana" w:hAnsi="Verdana" w:cs="Verdana"/>
      <w:color w:val="000000"/>
      <w:sz w:val="24"/>
      <w:szCs w:val="24"/>
    </w:rPr>
  </w:style>
  <w:style w:type="paragraph" w:styleId="Sinespaciado">
    <w:name w:val="No Spacing"/>
    <w:aliases w:val="Subtitulo,VT2,AEROCIVIL CITA"/>
    <w:link w:val="SinespaciadoCar"/>
    <w:uiPriority w:val="1"/>
    <w:qFormat/>
    <w:rsid w:val="00B27248"/>
    <w:pPr>
      <w:jc w:val="both"/>
    </w:pPr>
    <w:rPr>
      <w:rFonts w:ascii="Verdana" w:hAnsi="Verdana"/>
      <w:sz w:val="19"/>
      <w:szCs w:val="22"/>
      <w:lang w:eastAsia="en-US"/>
    </w:rPr>
  </w:style>
  <w:style w:type="character" w:customStyle="1" w:styleId="SinespaciadoCar">
    <w:name w:val="Sin espaciado Car"/>
    <w:aliases w:val="Subtitulo Car,VT2 Car,AEROCIVIL CITA Car"/>
    <w:link w:val="Sinespaciado"/>
    <w:uiPriority w:val="1"/>
    <w:rsid w:val="00B27248"/>
    <w:rPr>
      <w:rFonts w:ascii="Verdana" w:hAnsi="Verdana"/>
      <w:sz w:val="19"/>
      <w:szCs w:val="22"/>
      <w:lang w:eastAsia="en-US"/>
    </w:rPr>
  </w:style>
  <w:style w:type="paragraph" w:styleId="Textoindependiente2">
    <w:name w:val="Body Text 2"/>
    <w:basedOn w:val="Normal"/>
    <w:link w:val="Textoindependiente2Car"/>
    <w:unhideWhenUsed/>
    <w:rsid w:val="003E6726"/>
    <w:pPr>
      <w:spacing w:after="120" w:line="480" w:lineRule="auto"/>
    </w:pPr>
  </w:style>
  <w:style w:type="character" w:customStyle="1" w:styleId="Textoindependiente2Car">
    <w:name w:val="Texto independiente 2 Car"/>
    <w:basedOn w:val="Fuentedeprrafopredeter"/>
    <w:link w:val="Textoindependiente2"/>
    <w:rsid w:val="003E6726"/>
    <w:rPr>
      <w:sz w:val="22"/>
      <w:szCs w:val="22"/>
      <w:lang w:eastAsia="en-US"/>
    </w:rPr>
  </w:style>
  <w:style w:type="character" w:customStyle="1" w:styleId="normaltextrun">
    <w:name w:val="normaltextrun"/>
    <w:basedOn w:val="Fuentedeprrafopredeter"/>
    <w:rsid w:val="00E5470C"/>
  </w:style>
  <w:style w:type="character" w:customStyle="1" w:styleId="eop">
    <w:name w:val="eop"/>
    <w:basedOn w:val="Fuentedeprrafopredeter"/>
    <w:rsid w:val="00E5470C"/>
  </w:style>
  <w:style w:type="character" w:customStyle="1" w:styleId="Mencinsinresolver1">
    <w:name w:val="Mención sin resolver1"/>
    <w:basedOn w:val="Fuentedeprrafopredeter"/>
    <w:uiPriority w:val="99"/>
    <w:semiHidden/>
    <w:unhideWhenUsed/>
    <w:rsid w:val="00E5470C"/>
    <w:rPr>
      <w:color w:val="605E5C"/>
      <w:shd w:val="clear" w:color="auto" w:fill="E1DFDD"/>
    </w:rPr>
  </w:style>
  <w:style w:type="character" w:customStyle="1" w:styleId="normaltextrun1">
    <w:name w:val="normaltextrun1"/>
    <w:basedOn w:val="Fuentedeprrafopredeter"/>
    <w:rsid w:val="00E5470C"/>
  </w:style>
  <w:style w:type="paragraph" w:customStyle="1" w:styleId="paragraph">
    <w:name w:val="paragraph"/>
    <w:basedOn w:val="Normal"/>
    <w:rsid w:val="00E5470C"/>
    <w:pP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xmsoheader">
    <w:name w:val="x_msoheader"/>
    <w:basedOn w:val="Normal"/>
    <w:rsid w:val="00E5470C"/>
    <w:pPr>
      <w:spacing w:after="0" w:line="240" w:lineRule="auto"/>
    </w:pPr>
    <w:rPr>
      <w:rFonts w:eastAsiaTheme="minorHAnsi" w:cs="Calibri"/>
      <w:lang w:val="es-ES" w:eastAsia="es-ES"/>
    </w:rPr>
  </w:style>
  <w:style w:type="table" w:customStyle="1" w:styleId="Tablaconcuadrcula1">
    <w:name w:val="Tabla con cuadrícula1"/>
    <w:basedOn w:val="Tablanormal"/>
    <w:next w:val="Tablaconcuadrcula"/>
    <w:uiPriority w:val="59"/>
    <w:rsid w:val="00E547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E547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E547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E547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5A5E33"/>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fontstyle01">
    <w:name w:val="fontstyle01"/>
    <w:basedOn w:val="Fuentedeprrafopredeter"/>
    <w:rsid w:val="00D07AAE"/>
    <w:rPr>
      <w:rFonts w:ascii="ArialNarrow-Bold" w:hAnsi="ArialNarrow-Bold" w:hint="default"/>
      <w:b/>
      <w:bCs/>
      <w:i w:val="0"/>
      <w:iCs w:val="0"/>
      <w:color w:val="000000"/>
      <w:sz w:val="20"/>
      <w:szCs w:val="20"/>
    </w:rPr>
  </w:style>
  <w:style w:type="character" w:styleId="Textoennegrita">
    <w:name w:val="Strong"/>
    <w:basedOn w:val="Fuentedeprrafopredeter"/>
    <w:uiPriority w:val="22"/>
    <w:qFormat/>
    <w:rsid w:val="00D07AAE"/>
    <w:rPr>
      <w:b/>
      <w:bCs/>
    </w:rPr>
  </w:style>
  <w:style w:type="paragraph" w:styleId="Sangra3detindependiente">
    <w:name w:val="Body Text Indent 3"/>
    <w:basedOn w:val="Normal"/>
    <w:link w:val="Sangra3detindependienteCar"/>
    <w:rsid w:val="00D07AAE"/>
    <w:pPr>
      <w:spacing w:after="0" w:line="240" w:lineRule="auto"/>
    </w:pPr>
    <w:rPr>
      <w:rFonts w:ascii="Arial" w:eastAsia="Times New Roman" w:hAnsi="Arial" w:cs="Arial"/>
      <w:sz w:val="24"/>
      <w:szCs w:val="24"/>
      <w:lang w:val="es-ES"/>
    </w:rPr>
  </w:style>
  <w:style w:type="character" w:customStyle="1" w:styleId="Sangra3detindependienteCar">
    <w:name w:val="Sangría 3 de t. independiente Car"/>
    <w:basedOn w:val="Fuentedeprrafopredeter"/>
    <w:link w:val="Sangra3detindependiente"/>
    <w:rsid w:val="00D07AAE"/>
    <w:rPr>
      <w:rFonts w:ascii="Arial" w:eastAsia="Times New Roman" w:hAnsi="Arial" w:cs="Arial"/>
      <w:sz w:val="24"/>
      <w:szCs w:val="24"/>
      <w:lang w:val="es-ES" w:eastAsia="en-US"/>
    </w:rPr>
  </w:style>
  <w:style w:type="paragraph" w:customStyle="1" w:styleId="Diana2">
    <w:name w:val="Diana 2"/>
    <w:basedOn w:val="Normal"/>
    <w:link w:val="Diana2Car"/>
    <w:rsid w:val="00D07AAE"/>
    <w:pPr>
      <w:spacing w:after="0" w:line="240" w:lineRule="auto"/>
      <w:jc w:val="both"/>
    </w:pPr>
    <w:rPr>
      <w:rFonts w:ascii="Arial" w:eastAsia="Times New Roman" w:hAnsi="Arial" w:cs="Arial"/>
      <w:b/>
      <w:smallCaps/>
      <w:sz w:val="24"/>
      <w:szCs w:val="24"/>
      <w:u w:val="single"/>
      <w:lang w:val="es-ES"/>
    </w:rPr>
  </w:style>
  <w:style w:type="character" w:customStyle="1" w:styleId="Diana2Car">
    <w:name w:val="Diana 2 Car"/>
    <w:link w:val="Diana2"/>
    <w:rsid w:val="00D07AAE"/>
    <w:rPr>
      <w:rFonts w:ascii="Arial" w:eastAsia="Times New Roman" w:hAnsi="Arial" w:cs="Arial"/>
      <w:b/>
      <w:smallCaps/>
      <w:sz w:val="24"/>
      <w:szCs w:val="24"/>
      <w:u w:val="single"/>
      <w:lang w:val="es-ES" w:eastAsia="en-US"/>
    </w:rPr>
  </w:style>
  <w:style w:type="paragraph" w:styleId="NormalWeb">
    <w:name w:val="Normal (Web)"/>
    <w:basedOn w:val="Normal"/>
    <w:uiPriority w:val="99"/>
    <w:unhideWhenUsed/>
    <w:rsid w:val="00183084"/>
    <w:pP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Normal1">
    <w:name w:val="Normal 1"/>
    <w:basedOn w:val="Sangranormal"/>
    <w:uiPriority w:val="99"/>
    <w:qFormat/>
    <w:rsid w:val="009E3816"/>
    <w:pPr>
      <w:spacing w:after="0" w:line="240" w:lineRule="auto"/>
      <w:ind w:hanging="720"/>
      <w:jc w:val="both"/>
    </w:pPr>
    <w:rPr>
      <w:rFonts w:ascii="Times New Roman" w:eastAsia="MS Mincho" w:hAnsi="Times New Roman"/>
      <w:sz w:val="24"/>
      <w:szCs w:val="24"/>
      <w:lang w:val="es-ES_tradnl" w:eastAsia="es-ES"/>
    </w:rPr>
  </w:style>
  <w:style w:type="paragraph" w:styleId="Sangranormal">
    <w:name w:val="Normal Indent"/>
    <w:basedOn w:val="Normal"/>
    <w:uiPriority w:val="99"/>
    <w:unhideWhenUsed/>
    <w:rsid w:val="009E3816"/>
    <w:pPr>
      <w:ind w:left="720"/>
    </w:pPr>
  </w:style>
  <w:style w:type="paragraph" w:styleId="Descripcin">
    <w:name w:val="caption"/>
    <w:aliases w:val="Epígrafe1,Titulo Tabla,FIGURA Car,Epígrafe11,A,Epígrafe Car Car,Figs y tabs,Tablas,Tablas Car,Indice de figura,Car Car Car Car Car,Car, Car Car Car Car Car,Epígrafe Car1,Epígrafe Car2,Epígrafe Car3,Epígrafe Car4,Epígrafe Car5,Cuadro No,D"/>
    <w:basedOn w:val="Normal"/>
    <w:next w:val="Normal"/>
    <w:link w:val="DescripcinCar"/>
    <w:qFormat/>
    <w:rsid w:val="009E3816"/>
    <w:pPr>
      <w:spacing w:before="120" w:after="120" w:line="240" w:lineRule="auto"/>
      <w:jc w:val="center"/>
    </w:pPr>
    <w:rPr>
      <w:rFonts w:ascii="Arial" w:eastAsia="Times New Roman" w:hAnsi="Arial"/>
      <w:b/>
      <w:bCs/>
      <w:sz w:val="20"/>
      <w:szCs w:val="20"/>
      <w:lang w:val="x-none" w:eastAsia="es-CO"/>
    </w:rPr>
  </w:style>
  <w:style w:type="character" w:customStyle="1" w:styleId="DescripcinCar">
    <w:name w:val="Descripción Car"/>
    <w:aliases w:val="Epígrafe1 Car,Titulo Tabla Car,FIGURA Car Car,Epígrafe11 Car,A Car,Epígrafe Car Car Car,Figs y tabs Car,Tablas Car1,Tablas Car Car,Indice de figura Car,Car Car Car Car Car Car,Car Car, Car Car Car Car Car Car,Epígrafe Car1 Car,D Car"/>
    <w:link w:val="Descripcin"/>
    <w:qFormat/>
    <w:locked/>
    <w:rsid w:val="009E3816"/>
    <w:rPr>
      <w:rFonts w:ascii="Arial" w:eastAsia="Times New Roman" w:hAnsi="Arial"/>
      <w:b/>
      <w:bCs/>
      <w:lang w:val="x-none"/>
    </w:rPr>
  </w:style>
  <w:style w:type="character" w:customStyle="1" w:styleId="Cuerpodeltexto">
    <w:name w:val="Cuerpo del texto_"/>
    <w:basedOn w:val="Fuentedeprrafopredeter"/>
    <w:link w:val="Cuerpodeltexto0"/>
    <w:rsid w:val="009E3816"/>
    <w:rPr>
      <w:rFonts w:ascii="Times New Roman" w:eastAsia="Times New Roman" w:hAnsi="Times New Roman"/>
      <w:b/>
      <w:bCs/>
      <w:sz w:val="21"/>
      <w:szCs w:val="21"/>
      <w:shd w:val="clear" w:color="auto" w:fill="FFFFFF"/>
    </w:rPr>
  </w:style>
  <w:style w:type="paragraph" w:customStyle="1" w:styleId="Cuerpodeltexto0">
    <w:name w:val="Cuerpo del texto"/>
    <w:basedOn w:val="Normal"/>
    <w:link w:val="Cuerpodeltexto"/>
    <w:rsid w:val="009E3816"/>
    <w:pPr>
      <w:widowControl w:val="0"/>
      <w:shd w:val="clear" w:color="auto" w:fill="FFFFFF"/>
      <w:spacing w:after="0" w:line="0" w:lineRule="atLeast"/>
      <w:ind w:hanging="880"/>
      <w:jc w:val="center"/>
    </w:pPr>
    <w:rPr>
      <w:rFonts w:ascii="Times New Roman" w:eastAsia="Times New Roman" w:hAnsi="Times New Roman"/>
      <w:b/>
      <w:bCs/>
      <w:sz w:val="21"/>
      <w:szCs w:val="21"/>
      <w:lang w:eastAsia="es-CO"/>
    </w:rPr>
  </w:style>
  <w:style w:type="character" w:customStyle="1" w:styleId="Cuerpodeltexto8">
    <w:name w:val="Cuerpo del texto + 8"/>
    <w:aliases w:val="5 pto,Sin negrita"/>
    <w:basedOn w:val="Cuerpodeltexto"/>
    <w:rsid w:val="009E3816"/>
    <w:rPr>
      <w:rFonts w:ascii="Times New Roman" w:eastAsia="Times New Roman" w:hAnsi="Times New Roman"/>
      <w:b/>
      <w:bCs/>
      <w:color w:val="000000"/>
      <w:spacing w:val="0"/>
      <w:w w:val="100"/>
      <w:position w:val="0"/>
      <w:sz w:val="17"/>
      <w:szCs w:val="17"/>
      <w:shd w:val="clear" w:color="auto" w:fill="FFFFFF"/>
      <w:lang w:val="es-ES" w:eastAsia="es-ES" w:bidi="es-ES"/>
    </w:rPr>
  </w:style>
  <w:style w:type="paragraph" w:customStyle="1" w:styleId="name">
    <w:name w:val="name"/>
    <w:basedOn w:val="Normal"/>
    <w:rsid w:val="009E3816"/>
    <w:pPr>
      <w:spacing w:after="0" w:line="220" w:lineRule="exact"/>
    </w:pPr>
    <w:rPr>
      <w:rFonts w:ascii="Brooklynesque-Bold" w:eastAsia="Times" w:hAnsi="Brooklynesque-Bold"/>
      <w:sz w:val="19"/>
      <w:szCs w:val="20"/>
      <w:lang w:val="en-US"/>
    </w:rPr>
  </w:style>
  <w:style w:type="table" w:customStyle="1" w:styleId="Tabladecuadrcula4-nfasis18">
    <w:name w:val="Tabla de cuadrícula 4 - Énfasis 18"/>
    <w:basedOn w:val="Tablanormal"/>
    <w:uiPriority w:val="49"/>
    <w:rsid w:val="009E3816"/>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5">
    <w:name w:val="Grid Table 4 Accent 5"/>
    <w:basedOn w:val="Tablanormal"/>
    <w:uiPriority w:val="49"/>
    <w:rsid w:val="009E3816"/>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Ttulo4Car">
    <w:name w:val="Título 4 Car"/>
    <w:basedOn w:val="Fuentedeprrafopredeter"/>
    <w:link w:val="Ttulo4"/>
    <w:uiPriority w:val="9"/>
    <w:rsid w:val="00F23D7A"/>
    <w:rPr>
      <w:rFonts w:ascii="Arial Negrita" w:eastAsia="Times New Roman" w:hAnsi="Arial Negrita"/>
      <w:b/>
      <w:sz w:val="22"/>
      <w:szCs w:val="22"/>
      <w:lang w:val="es-ES_tradnl" w:eastAsia="en-US"/>
    </w:rPr>
  </w:style>
  <w:style w:type="character" w:customStyle="1" w:styleId="Ttulo5Car">
    <w:name w:val="Título 5 Car"/>
    <w:aliases w:val="Titulo de Quinto Nivel Car,Título 5 - PDE Car"/>
    <w:basedOn w:val="Fuentedeprrafopredeter"/>
    <w:link w:val="Ttulo5"/>
    <w:uiPriority w:val="9"/>
    <w:rsid w:val="00F23D7A"/>
    <w:rPr>
      <w:rFonts w:ascii="Arial" w:eastAsia="Times New Roman" w:hAnsi="Arial"/>
      <w:b/>
      <w:i/>
      <w:sz w:val="28"/>
      <w:szCs w:val="22"/>
      <w:lang w:val="es-ES_tradnl" w:eastAsia="en-US"/>
    </w:rPr>
  </w:style>
  <w:style w:type="character" w:customStyle="1" w:styleId="Ttulo6Car">
    <w:name w:val="Título 6 Car"/>
    <w:basedOn w:val="Fuentedeprrafopredeter"/>
    <w:link w:val="Ttulo6"/>
    <w:rsid w:val="00F23D7A"/>
    <w:rPr>
      <w:rFonts w:ascii="Arial Negrita" w:eastAsia="Times New Roman" w:hAnsi="Arial Negrita"/>
      <w:b/>
      <w:i/>
      <w:caps/>
      <w:color w:val="0000FF"/>
      <w:sz w:val="28"/>
      <w:szCs w:val="22"/>
      <w:lang w:val="es-ES_tradnl" w:eastAsia="en-US"/>
    </w:rPr>
  </w:style>
  <w:style w:type="character" w:customStyle="1" w:styleId="Ttulo7Car">
    <w:name w:val="Título 7 Car"/>
    <w:basedOn w:val="Fuentedeprrafopredeter"/>
    <w:link w:val="Ttulo7"/>
    <w:uiPriority w:val="9"/>
    <w:rsid w:val="00F23D7A"/>
    <w:rPr>
      <w:rFonts w:asciiTheme="majorHAnsi" w:eastAsiaTheme="majorEastAsia" w:hAnsiTheme="majorHAnsi" w:cstheme="majorBidi"/>
      <w:i/>
      <w:iCs/>
      <w:color w:val="404040" w:themeColor="text1" w:themeTint="BF"/>
      <w:sz w:val="24"/>
      <w:szCs w:val="24"/>
      <w:lang w:val="es-ES_tradnl" w:eastAsia="es-ES"/>
    </w:rPr>
  </w:style>
  <w:style w:type="character" w:customStyle="1" w:styleId="Ttulo8Car">
    <w:name w:val="Título 8 Car"/>
    <w:basedOn w:val="Fuentedeprrafopredeter"/>
    <w:link w:val="Ttulo8"/>
    <w:uiPriority w:val="9"/>
    <w:rsid w:val="00F23D7A"/>
    <w:rPr>
      <w:rFonts w:asciiTheme="majorHAnsi" w:eastAsiaTheme="majorEastAsia" w:hAnsiTheme="majorHAnsi" w:cstheme="majorBidi"/>
      <w:color w:val="404040" w:themeColor="text1" w:themeTint="BF"/>
      <w:lang w:val="es-ES_tradnl" w:eastAsia="es-ES"/>
    </w:rPr>
  </w:style>
  <w:style w:type="character" w:customStyle="1" w:styleId="Ttulo9Car">
    <w:name w:val="Título 9 Car"/>
    <w:basedOn w:val="Fuentedeprrafopredeter"/>
    <w:link w:val="Ttulo9"/>
    <w:uiPriority w:val="9"/>
    <w:rsid w:val="00F23D7A"/>
    <w:rPr>
      <w:rFonts w:asciiTheme="majorHAnsi" w:eastAsiaTheme="majorEastAsia" w:hAnsiTheme="majorHAnsi" w:cstheme="majorBidi"/>
      <w:i/>
      <w:iCs/>
      <w:color w:val="404040" w:themeColor="text1" w:themeTint="BF"/>
      <w:lang w:val="es-ES_tradnl" w:eastAsia="es-ES"/>
    </w:rPr>
  </w:style>
  <w:style w:type="paragraph" w:customStyle="1" w:styleId="VIETAS">
    <w:name w:val="VIÑETAS"/>
    <w:basedOn w:val="Normal"/>
    <w:qFormat/>
    <w:rsid w:val="00F23D7A"/>
    <w:pPr>
      <w:tabs>
        <w:tab w:val="num" w:pos="360"/>
      </w:tabs>
      <w:spacing w:after="0" w:line="240" w:lineRule="auto"/>
      <w:ind w:left="360" w:hanging="360"/>
    </w:pPr>
    <w:rPr>
      <w:rFonts w:ascii="Times New Roman" w:eastAsia="Times New Roman" w:hAnsi="Times New Roman"/>
      <w:sz w:val="20"/>
      <w:szCs w:val="20"/>
      <w:lang w:val="es-ES" w:eastAsia="es-ES"/>
    </w:rPr>
  </w:style>
  <w:style w:type="character" w:styleId="Nmerodepgina">
    <w:name w:val="page number"/>
    <w:basedOn w:val="Fuentedeprrafopredeter"/>
    <w:rsid w:val="00F23D7A"/>
  </w:style>
  <w:style w:type="character" w:customStyle="1" w:styleId="Revisin1">
    <w:name w:val="Revisión1"/>
    <w:rsid w:val="00F23D7A"/>
    <w:rPr>
      <w:color w:val="FF0000"/>
    </w:rPr>
  </w:style>
  <w:style w:type="paragraph" w:customStyle="1" w:styleId="StyleTOC3Left0cm">
    <w:name w:val="Style TOC 3 + Left:  0 cm"/>
    <w:basedOn w:val="TDC3"/>
    <w:rsid w:val="00F23D7A"/>
    <w:pPr>
      <w:tabs>
        <w:tab w:val="left" w:pos="709"/>
        <w:tab w:val="right" w:leader="dot" w:pos="9112"/>
      </w:tabs>
      <w:spacing w:before="40" w:after="0" w:line="240" w:lineRule="auto"/>
      <w:ind w:left="0"/>
    </w:pPr>
    <w:rPr>
      <w:rFonts w:ascii="Arial" w:eastAsia="Times New Roman" w:hAnsi="Arial"/>
      <w:noProof/>
      <w:lang w:val="es-ES_tradnl" w:eastAsia="en-US"/>
    </w:rPr>
  </w:style>
  <w:style w:type="paragraph" w:styleId="Lista">
    <w:name w:val="List"/>
    <w:basedOn w:val="Normal"/>
    <w:rsid w:val="00F23D7A"/>
    <w:pPr>
      <w:numPr>
        <w:numId w:val="29"/>
      </w:numPr>
      <w:spacing w:before="120" w:after="0" w:line="240" w:lineRule="auto"/>
      <w:ind w:left="714"/>
      <w:jc w:val="both"/>
    </w:pPr>
    <w:rPr>
      <w:rFonts w:ascii="Arial" w:eastAsia="Times New Roman" w:hAnsi="Arial"/>
      <w:lang w:val="es-ES_tradnl"/>
    </w:rPr>
  </w:style>
  <w:style w:type="paragraph" w:customStyle="1" w:styleId="StyleTOC2Left0cm">
    <w:name w:val="Style TOC 2 + Left:  0 cm"/>
    <w:basedOn w:val="TDC2"/>
    <w:rsid w:val="00F23D7A"/>
    <w:pPr>
      <w:tabs>
        <w:tab w:val="left" w:pos="709"/>
        <w:tab w:val="right" w:leader="dot" w:pos="9112"/>
      </w:tabs>
      <w:spacing w:before="40" w:after="0" w:line="240" w:lineRule="auto"/>
      <w:ind w:left="0"/>
    </w:pPr>
    <w:rPr>
      <w:rFonts w:ascii="Arial" w:eastAsia="Times New Roman" w:hAnsi="Arial"/>
      <w:caps/>
      <w:noProof/>
      <w:lang w:val="es-ES_tradnl" w:eastAsia="en-US"/>
    </w:rPr>
  </w:style>
  <w:style w:type="paragraph" w:customStyle="1" w:styleId="ecuacin">
    <w:name w:val="ecuación"/>
    <w:basedOn w:val="Normal"/>
    <w:next w:val="Normal"/>
    <w:rsid w:val="00F23D7A"/>
    <w:pPr>
      <w:tabs>
        <w:tab w:val="center" w:pos="4536"/>
        <w:tab w:val="right" w:pos="9072"/>
      </w:tabs>
      <w:spacing w:before="120" w:after="120" w:line="240" w:lineRule="auto"/>
      <w:jc w:val="both"/>
    </w:pPr>
    <w:rPr>
      <w:rFonts w:ascii="Arial" w:eastAsia="Times New Roman" w:hAnsi="Arial"/>
      <w:snapToGrid w:val="0"/>
      <w:lang w:val="es-ES" w:eastAsia="es-ES"/>
    </w:rPr>
  </w:style>
  <w:style w:type="paragraph" w:customStyle="1" w:styleId="titulodefigura">
    <w:name w:val="titulo de figura"/>
    <w:basedOn w:val="Encabezado"/>
    <w:next w:val="Normal"/>
    <w:semiHidden/>
    <w:rsid w:val="00F23D7A"/>
    <w:pPr>
      <w:tabs>
        <w:tab w:val="clear" w:pos="4419"/>
        <w:tab w:val="clear" w:pos="8838"/>
      </w:tabs>
      <w:spacing w:before="120" w:after="120"/>
      <w:jc w:val="center"/>
    </w:pPr>
    <w:rPr>
      <w:rFonts w:ascii="Arial" w:eastAsia="Times New Roman" w:hAnsi="Arial"/>
      <w:b/>
      <w:i/>
      <w:snapToGrid w:val="0"/>
      <w:sz w:val="18"/>
      <w:lang w:val="es-ES" w:eastAsia="es-ES"/>
    </w:rPr>
  </w:style>
  <w:style w:type="paragraph" w:customStyle="1" w:styleId="textotabla">
    <w:name w:val="texto tabla"/>
    <w:basedOn w:val="titulodefigura"/>
    <w:semiHidden/>
    <w:rsid w:val="00F23D7A"/>
    <w:pPr>
      <w:spacing w:before="40" w:after="40"/>
    </w:pPr>
    <w:rPr>
      <w:b w:val="0"/>
      <w:i w:val="0"/>
      <w:sz w:val="16"/>
    </w:rPr>
  </w:style>
  <w:style w:type="paragraph" w:customStyle="1" w:styleId="titulodetabla">
    <w:name w:val="titulo de tabla"/>
    <w:basedOn w:val="titulodefigura"/>
    <w:next w:val="Normal"/>
    <w:semiHidden/>
    <w:rsid w:val="00F23D7A"/>
  </w:style>
  <w:style w:type="paragraph" w:styleId="Listaconvietas">
    <w:name w:val="List Bullet"/>
    <w:basedOn w:val="Normal"/>
    <w:autoRedefine/>
    <w:rsid w:val="00F23D7A"/>
    <w:pPr>
      <w:spacing w:after="240" w:line="240" w:lineRule="auto"/>
      <w:ind w:left="567" w:hanging="567"/>
      <w:jc w:val="both"/>
    </w:pPr>
    <w:rPr>
      <w:rFonts w:ascii="Arial" w:eastAsia="Times New Roman" w:hAnsi="Arial"/>
      <w:lang w:val="es-ES_tradnl"/>
    </w:rPr>
  </w:style>
  <w:style w:type="paragraph" w:styleId="ndice1">
    <w:name w:val="index 1"/>
    <w:basedOn w:val="Normal"/>
    <w:next w:val="Normal"/>
    <w:autoRedefine/>
    <w:semiHidden/>
    <w:rsid w:val="00F23D7A"/>
    <w:pPr>
      <w:tabs>
        <w:tab w:val="right" w:leader="dot" w:pos="8222"/>
      </w:tabs>
      <w:spacing w:after="240" w:line="240" w:lineRule="auto"/>
      <w:ind w:left="240" w:hanging="240"/>
      <w:jc w:val="both"/>
    </w:pPr>
    <w:rPr>
      <w:rFonts w:ascii="Arial" w:eastAsia="Times New Roman" w:hAnsi="Arial"/>
      <w:lang w:val="es-ES_tradnl"/>
    </w:rPr>
  </w:style>
  <w:style w:type="paragraph" w:styleId="Tabladeilustraciones">
    <w:name w:val="table of figures"/>
    <w:basedOn w:val="Normal"/>
    <w:next w:val="Normal"/>
    <w:autoRedefine/>
    <w:uiPriority w:val="99"/>
    <w:rsid w:val="00F23D7A"/>
    <w:pPr>
      <w:tabs>
        <w:tab w:val="left" w:pos="1276"/>
        <w:tab w:val="right" w:leader="dot" w:pos="9072"/>
      </w:tabs>
      <w:spacing w:after="0" w:line="240" w:lineRule="auto"/>
      <w:ind w:left="1276" w:right="851" w:hanging="1276"/>
      <w:jc w:val="both"/>
    </w:pPr>
    <w:rPr>
      <w:rFonts w:ascii="Arial" w:eastAsia="Times New Roman" w:hAnsi="Arial"/>
      <w:iCs/>
      <w:noProof/>
      <w:lang w:val="es-ES_tradnl"/>
    </w:rPr>
  </w:style>
  <w:style w:type="paragraph" w:customStyle="1" w:styleId="TextoIndependiente0">
    <w:name w:val="Texto Independiente"/>
    <w:basedOn w:val="Normal"/>
    <w:semiHidden/>
    <w:rsid w:val="00F23D7A"/>
    <w:pPr>
      <w:spacing w:before="20" w:after="20" w:line="240" w:lineRule="auto"/>
      <w:jc w:val="both"/>
    </w:pPr>
    <w:rPr>
      <w:rFonts w:ascii="Arial" w:eastAsia="Times New Roman" w:hAnsi="Arial"/>
      <w:lang w:val="es-ES_tradnl"/>
    </w:rPr>
  </w:style>
  <w:style w:type="paragraph" w:styleId="Sangradetextonormal">
    <w:name w:val="Body Text Indent"/>
    <w:basedOn w:val="Normal"/>
    <w:link w:val="SangradetextonormalCar"/>
    <w:uiPriority w:val="99"/>
    <w:semiHidden/>
    <w:rsid w:val="00F23D7A"/>
    <w:pPr>
      <w:tabs>
        <w:tab w:val="left" w:pos="4678"/>
        <w:tab w:val="left" w:pos="7655"/>
      </w:tabs>
      <w:spacing w:after="0" w:line="240" w:lineRule="auto"/>
      <w:ind w:left="1418"/>
    </w:pPr>
    <w:rPr>
      <w:rFonts w:ascii="Futura Light" w:eastAsia="Times New Roman" w:hAnsi="Futura Light"/>
      <w:sz w:val="24"/>
      <w:lang w:val="en-GB"/>
    </w:rPr>
  </w:style>
  <w:style w:type="character" w:customStyle="1" w:styleId="SangradetextonormalCar">
    <w:name w:val="Sangría de texto normal Car"/>
    <w:basedOn w:val="Fuentedeprrafopredeter"/>
    <w:link w:val="Sangradetextonormal"/>
    <w:uiPriority w:val="99"/>
    <w:semiHidden/>
    <w:rsid w:val="00F23D7A"/>
    <w:rPr>
      <w:rFonts w:ascii="Futura Light" w:eastAsia="Times New Roman" w:hAnsi="Futura Light"/>
      <w:sz w:val="24"/>
      <w:szCs w:val="22"/>
      <w:lang w:val="en-GB" w:eastAsia="en-US"/>
    </w:rPr>
  </w:style>
  <w:style w:type="paragraph" w:customStyle="1" w:styleId="Absatz3">
    <w:name w:val="Absatz3"/>
    <w:basedOn w:val="Normal"/>
    <w:rsid w:val="00F23D7A"/>
    <w:pPr>
      <w:spacing w:after="0" w:line="300" w:lineRule="atLeast"/>
      <w:ind w:left="170"/>
    </w:pPr>
    <w:rPr>
      <w:rFonts w:ascii="Arial" w:eastAsia="Times New Roman" w:hAnsi="Arial"/>
      <w:sz w:val="24"/>
      <w:lang w:val="en-GB"/>
    </w:rPr>
  </w:style>
  <w:style w:type="paragraph" w:styleId="Listaconvietas2">
    <w:name w:val="List Bullet 2"/>
    <w:basedOn w:val="Normal"/>
    <w:autoRedefine/>
    <w:rsid w:val="00F23D7A"/>
    <w:pPr>
      <w:spacing w:before="120" w:after="0" w:line="240" w:lineRule="auto"/>
      <w:jc w:val="both"/>
    </w:pPr>
    <w:rPr>
      <w:rFonts w:ascii="Arial" w:eastAsia="Arial Unicode MS" w:hAnsi="Arial"/>
      <w:lang w:val="es-ES"/>
    </w:rPr>
  </w:style>
  <w:style w:type="paragraph" w:customStyle="1" w:styleId="Estilo1">
    <w:name w:val="Estilo1"/>
    <w:basedOn w:val="Listaconvietas4"/>
    <w:semiHidden/>
    <w:rsid w:val="00F23D7A"/>
    <w:rPr>
      <w:rFonts w:eastAsia="MS Mincho"/>
      <w:lang w:val="en-GB"/>
    </w:rPr>
  </w:style>
  <w:style w:type="paragraph" w:styleId="Listaconvietas4">
    <w:name w:val="List Bullet 4"/>
    <w:basedOn w:val="Normal"/>
    <w:autoRedefine/>
    <w:semiHidden/>
    <w:rsid w:val="00F23D7A"/>
    <w:pPr>
      <w:spacing w:before="120" w:after="0" w:line="240" w:lineRule="auto"/>
      <w:jc w:val="both"/>
    </w:pPr>
    <w:rPr>
      <w:rFonts w:ascii="Arial" w:eastAsia="Times New Roman" w:hAnsi="Arial"/>
      <w:lang w:val="es-ES"/>
    </w:rPr>
  </w:style>
  <w:style w:type="paragraph" w:customStyle="1" w:styleId="Listaconvieta4">
    <w:name w:val="Lista con viñeta 4"/>
    <w:basedOn w:val="Listaconvietas3"/>
    <w:semiHidden/>
    <w:rsid w:val="00F23D7A"/>
    <w:rPr>
      <w:rFonts w:eastAsia="MS Mincho"/>
      <w:lang w:val="en-GB"/>
    </w:rPr>
  </w:style>
  <w:style w:type="paragraph" w:styleId="Listaconvietas3">
    <w:name w:val="List Bullet 3"/>
    <w:basedOn w:val="Normal"/>
    <w:autoRedefine/>
    <w:semiHidden/>
    <w:rsid w:val="00F23D7A"/>
    <w:pPr>
      <w:spacing w:before="120" w:after="0" w:line="240" w:lineRule="auto"/>
      <w:jc w:val="both"/>
    </w:pPr>
    <w:rPr>
      <w:rFonts w:ascii="Arial" w:eastAsia="Times New Roman" w:hAnsi="Arial"/>
      <w:lang w:val="es-ES"/>
    </w:rPr>
  </w:style>
  <w:style w:type="paragraph" w:styleId="Sangra2detindependiente">
    <w:name w:val="Body Text Indent 2"/>
    <w:basedOn w:val="Normal"/>
    <w:link w:val="Sangra2detindependienteCar"/>
    <w:semiHidden/>
    <w:rsid w:val="00F23D7A"/>
    <w:pPr>
      <w:tabs>
        <w:tab w:val="left" w:pos="5103"/>
      </w:tabs>
      <w:spacing w:before="240" w:after="0" w:line="240" w:lineRule="auto"/>
      <w:ind w:left="2552" w:hanging="2552"/>
      <w:jc w:val="both"/>
    </w:pPr>
    <w:rPr>
      <w:rFonts w:ascii="Arial" w:eastAsia="Times New Roman" w:hAnsi="Arial"/>
      <w:lang w:val="es-ES_tradnl"/>
    </w:rPr>
  </w:style>
  <w:style w:type="character" w:customStyle="1" w:styleId="Sangra2detindependienteCar">
    <w:name w:val="Sangría 2 de t. independiente Car"/>
    <w:basedOn w:val="Fuentedeprrafopredeter"/>
    <w:link w:val="Sangra2detindependiente"/>
    <w:semiHidden/>
    <w:rsid w:val="00F23D7A"/>
    <w:rPr>
      <w:rFonts w:ascii="Arial" w:eastAsia="Times New Roman" w:hAnsi="Arial"/>
      <w:sz w:val="22"/>
      <w:szCs w:val="22"/>
      <w:lang w:val="es-ES_tradnl" w:eastAsia="en-US"/>
    </w:rPr>
  </w:style>
  <w:style w:type="paragraph" w:customStyle="1" w:styleId="Numeral">
    <w:name w:val="Numeral"/>
    <w:basedOn w:val="Normal"/>
    <w:semiHidden/>
    <w:rsid w:val="00F23D7A"/>
    <w:pPr>
      <w:tabs>
        <w:tab w:val="num" w:pos="1080"/>
      </w:tabs>
      <w:spacing w:before="240" w:after="0" w:line="240" w:lineRule="auto"/>
      <w:ind w:left="1080" w:hanging="360"/>
      <w:jc w:val="both"/>
    </w:pPr>
    <w:rPr>
      <w:rFonts w:ascii="Arial" w:eastAsia="Times New Roman" w:hAnsi="Arial"/>
      <w:lang w:val="es-ES_tradnl"/>
    </w:rPr>
  </w:style>
  <w:style w:type="paragraph" w:customStyle="1" w:styleId="StyleTOC3ArialNegritaNotItalicLeft15cmBefore2">
    <w:name w:val="Style TOC 3 + Arial Negrita Not Italic Left:  15 cm Before:  2 ..."/>
    <w:basedOn w:val="TDC3"/>
    <w:autoRedefine/>
    <w:semiHidden/>
    <w:rsid w:val="00F23D7A"/>
    <w:pPr>
      <w:tabs>
        <w:tab w:val="left" w:pos="851"/>
        <w:tab w:val="right" w:leader="dot" w:pos="9072"/>
      </w:tabs>
      <w:spacing w:before="40" w:after="0" w:line="240" w:lineRule="auto"/>
      <w:ind w:left="851" w:right="851" w:hanging="851"/>
      <w:jc w:val="both"/>
    </w:pPr>
    <w:rPr>
      <w:rFonts w:ascii="Arial Negrita" w:eastAsia="Times New Roman" w:hAnsi="Arial Negrita"/>
      <w:i/>
      <w:iCs/>
      <w:noProof/>
      <w:lang w:val="es-ES_tradnl" w:eastAsia="en-US"/>
    </w:rPr>
  </w:style>
  <w:style w:type="paragraph" w:customStyle="1" w:styleId="StyleArial11ptJustified">
    <w:name w:val="Style Arial 11 pt Justified"/>
    <w:basedOn w:val="Normal"/>
    <w:autoRedefine/>
    <w:rsid w:val="00F23D7A"/>
    <w:pPr>
      <w:overflowPunct w:val="0"/>
      <w:autoSpaceDE w:val="0"/>
      <w:autoSpaceDN w:val="0"/>
      <w:adjustRightInd w:val="0"/>
      <w:spacing w:before="120" w:after="0" w:line="240" w:lineRule="auto"/>
      <w:jc w:val="both"/>
      <w:textAlignment w:val="baseline"/>
    </w:pPr>
    <w:rPr>
      <w:rFonts w:ascii="Arial" w:eastAsia="Times New Roman" w:hAnsi="Arial"/>
      <w:sz w:val="20"/>
      <w:szCs w:val="20"/>
      <w:lang w:val="es-ES"/>
    </w:rPr>
  </w:style>
  <w:style w:type="character" w:customStyle="1" w:styleId="CharChar9">
    <w:name w:val="Char Char9"/>
    <w:rsid w:val="00F23D7A"/>
    <w:rPr>
      <w:rFonts w:ascii="Arial" w:hAnsi="Arial" w:cs="Arial"/>
      <w:b/>
      <w:bCs/>
      <w:sz w:val="26"/>
      <w:szCs w:val="26"/>
      <w:lang w:val="de-DE" w:eastAsia="de-DE" w:bidi="ar-SA"/>
    </w:rPr>
  </w:style>
  <w:style w:type="paragraph" w:customStyle="1" w:styleId="Inhalt">
    <w:name w:val="Inhalt"/>
    <w:basedOn w:val="Normal"/>
    <w:rsid w:val="00F23D7A"/>
    <w:pPr>
      <w:overflowPunct w:val="0"/>
      <w:autoSpaceDE w:val="0"/>
      <w:autoSpaceDN w:val="0"/>
      <w:adjustRightInd w:val="0"/>
      <w:spacing w:after="0" w:line="288" w:lineRule="exact"/>
      <w:jc w:val="both"/>
      <w:textAlignment w:val="baseline"/>
    </w:pPr>
    <w:rPr>
      <w:rFonts w:ascii="Arial" w:eastAsia="Times New Roman" w:hAnsi="Arial"/>
      <w:b/>
      <w:sz w:val="24"/>
      <w:szCs w:val="20"/>
      <w:lang w:eastAsia="de-DE"/>
    </w:rPr>
  </w:style>
  <w:style w:type="paragraph" w:customStyle="1" w:styleId="Anschrift">
    <w:name w:val="Anschrift"/>
    <w:basedOn w:val="Normal"/>
    <w:rsid w:val="00F23D7A"/>
    <w:pPr>
      <w:tabs>
        <w:tab w:val="left" w:pos="6550"/>
      </w:tabs>
      <w:overflowPunct w:val="0"/>
      <w:autoSpaceDE w:val="0"/>
      <w:autoSpaceDN w:val="0"/>
      <w:adjustRightInd w:val="0"/>
      <w:spacing w:after="0" w:line="240" w:lineRule="auto"/>
      <w:jc w:val="both"/>
      <w:textAlignment w:val="baseline"/>
    </w:pPr>
    <w:rPr>
      <w:rFonts w:ascii="Arial" w:eastAsia="Times New Roman" w:hAnsi="Arial"/>
      <w:szCs w:val="20"/>
      <w:lang w:eastAsia="de-DE"/>
    </w:rPr>
  </w:style>
  <w:style w:type="paragraph" w:customStyle="1" w:styleId="EstiloNegrita">
    <w:name w:val="Estilo Negrita"/>
    <w:basedOn w:val="Normal"/>
    <w:autoRedefine/>
    <w:semiHidden/>
    <w:rsid w:val="00F23D7A"/>
    <w:pPr>
      <w:spacing w:before="120" w:after="0" w:line="240" w:lineRule="auto"/>
      <w:jc w:val="center"/>
    </w:pPr>
    <w:rPr>
      <w:rFonts w:ascii="Arial" w:eastAsia="Times New Roman" w:hAnsi="Arial"/>
      <w:b/>
      <w:bCs/>
      <w:szCs w:val="20"/>
      <w:lang w:val="es-ES_tradnl"/>
    </w:rPr>
  </w:style>
  <w:style w:type="character" w:customStyle="1" w:styleId="EstiloNegrita1">
    <w:name w:val="Estilo Negrita1"/>
    <w:rsid w:val="00F23D7A"/>
    <w:rPr>
      <w:rFonts w:ascii="Arial" w:hAnsi="Arial"/>
      <w:b/>
      <w:bCs/>
      <w:sz w:val="22"/>
    </w:rPr>
  </w:style>
  <w:style w:type="numbering" w:customStyle="1" w:styleId="EstiloVieta-HTAEsquemanumeradoIzquierda113cmSangraf">
    <w:name w:val="Estilo Viñeta-HTA + Esquema numerado Izquierda:  1.13 cm Sangría f..."/>
    <w:basedOn w:val="Sinlista"/>
    <w:rsid w:val="00F23D7A"/>
    <w:pPr>
      <w:numPr>
        <w:numId w:val="54"/>
      </w:numPr>
    </w:pPr>
  </w:style>
  <w:style w:type="numbering" w:customStyle="1" w:styleId="EstiloNegrita2">
    <w:name w:val="Estilo Negrita2"/>
    <w:basedOn w:val="EstiloVieta-HTAEsquemanumeradoIzquierda113cmSangraf"/>
    <w:rsid w:val="00F23D7A"/>
    <w:pPr>
      <w:numPr>
        <w:numId w:val="60"/>
      </w:numPr>
    </w:pPr>
  </w:style>
  <w:style w:type="paragraph" w:customStyle="1" w:styleId="EstiloTabladeilustracionesDerecha1cm">
    <w:name w:val="Estilo Tabla de ilustraciones + Derecha:  1 cm"/>
    <w:basedOn w:val="Tabladeilustraciones"/>
    <w:autoRedefine/>
    <w:semiHidden/>
    <w:rsid w:val="00F23D7A"/>
    <w:pPr>
      <w:ind w:left="1134" w:right="1701"/>
    </w:pPr>
    <w:rPr>
      <w:szCs w:val="20"/>
    </w:rPr>
  </w:style>
  <w:style w:type="paragraph" w:customStyle="1" w:styleId="EstiloTabladeilustracionesIzquierda0cmSangrafrancesa">
    <w:name w:val="Estilo Tabla de ilustraciones + Izquierda:  0 cm Sangría francesa: ..."/>
    <w:basedOn w:val="Tabladeilustraciones"/>
    <w:autoRedefine/>
    <w:semiHidden/>
    <w:rsid w:val="00F23D7A"/>
    <w:pPr>
      <w:ind w:right="1134"/>
    </w:pPr>
    <w:rPr>
      <w:szCs w:val="20"/>
    </w:rPr>
  </w:style>
  <w:style w:type="paragraph" w:customStyle="1" w:styleId="EstiloTabladeilustracionesIzquierda0cmSangrafrancesa1">
    <w:name w:val="Estilo Tabla de ilustraciones + Izquierda:  0 cm Sangría francesa: ...1"/>
    <w:basedOn w:val="Tabladeilustraciones"/>
    <w:autoRedefine/>
    <w:semiHidden/>
    <w:rsid w:val="00F23D7A"/>
    <w:rPr>
      <w:iCs w:val="0"/>
      <w:caps/>
    </w:rPr>
  </w:style>
  <w:style w:type="paragraph" w:customStyle="1" w:styleId="EstiloTabladeilustracionesIzquierda0cmSangrafrancesa2">
    <w:name w:val="Estilo Tabla de ilustraciones + Izquierda:  0 cm Sangría francesa: ...2"/>
    <w:basedOn w:val="Tabladeilustraciones"/>
    <w:autoRedefine/>
    <w:rsid w:val="00F23D7A"/>
    <w:rPr>
      <w:iCs w:val="0"/>
      <w:szCs w:val="20"/>
    </w:rPr>
  </w:style>
  <w:style w:type="paragraph" w:customStyle="1" w:styleId="EstiloTDC2">
    <w:name w:val="Estilo TDC 2 +"/>
    <w:basedOn w:val="TDC2"/>
    <w:rsid w:val="00F23D7A"/>
    <w:pPr>
      <w:tabs>
        <w:tab w:val="left" w:pos="851"/>
        <w:tab w:val="right" w:leader="dot" w:pos="9072"/>
      </w:tabs>
      <w:spacing w:before="120" w:after="0" w:line="240" w:lineRule="auto"/>
      <w:ind w:left="851" w:right="1134" w:hanging="851"/>
      <w:contextualSpacing/>
      <w:jc w:val="both"/>
    </w:pPr>
    <w:rPr>
      <w:rFonts w:ascii="Arial" w:eastAsia="Times New Roman" w:hAnsi="Arial"/>
      <w:i/>
      <w:iCs/>
      <w:noProof/>
      <w:szCs w:val="20"/>
      <w:lang w:val="es-ES_tradnl" w:eastAsia="en-US"/>
    </w:rPr>
  </w:style>
  <w:style w:type="paragraph" w:customStyle="1" w:styleId="EstiloTDC3">
    <w:name w:val="Estilo TDC 3"/>
    <w:basedOn w:val="TDC3"/>
    <w:autoRedefine/>
    <w:semiHidden/>
    <w:rsid w:val="00F23D7A"/>
    <w:pPr>
      <w:tabs>
        <w:tab w:val="left" w:pos="851"/>
        <w:tab w:val="right" w:leader="dot" w:pos="9072"/>
      </w:tabs>
      <w:spacing w:after="0" w:line="240" w:lineRule="auto"/>
      <w:ind w:left="851" w:right="851" w:hanging="851"/>
      <w:jc w:val="both"/>
    </w:pPr>
    <w:rPr>
      <w:rFonts w:ascii="Arial" w:eastAsia="Times New Roman" w:hAnsi="Arial"/>
      <w:i/>
      <w:iCs/>
      <w:caps/>
      <w:noProof/>
      <w:lang w:val="es-ES_tradnl" w:eastAsia="en-US"/>
    </w:rPr>
  </w:style>
  <w:style w:type="paragraph" w:customStyle="1" w:styleId="StyleTableofFiguresLeft0Hanging081Right052">
    <w:name w:val="Style Table of Figures + Left:  0&quot; Hanging:  0.81&quot; Right:  0.52&quot;"/>
    <w:basedOn w:val="Tabladeilustraciones"/>
    <w:semiHidden/>
    <w:rsid w:val="00F23D7A"/>
    <w:pPr>
      <w:spacing w:after="120"/>
      <w:ind w:left="1166" w:right="749" w:hanging="1166"/>
    </w:pPr>
    <w:rPr>
      <w:szCs w:val="20"/>
    </w:rPr>
  </w:style>
  <w:style w:type="table" w:styleId="Tablaelegante">
    <w:name w:val="Table Elegant"/>
    <w:basedOn w:val="Tablanormal"/>
    <w:semiHidden/>
    <w:rsid w:val="00F23D7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AINDICE">
    <w:name w:val="TABLA INDICE"/>
    <w:basedOn w:val="Normal"/>
    <w:next w:val="Normal"/>
    <w:autoRedefine/>
    <w:rsid w:val="00F23D7A"/>
    <w:pPr>
      <w:spacing w:before="120" w:after="0" w:line="240" w:lineRule="auto"/>
      <w:jc w:val="both"/>
    </w:pPr>
    <w:rPr>
      <w:rFonts w:ascii="Arial" w:eastAsia="Times New Roman" w:hAnsi="Arial"/>
      <w:lang w:val="es-ES_tradnl"/>
    </w:rPr>
  </w:style>
  <w:style w:type="paragraph" w:styleId="Textoindependiente3">
    <w:name w:val="Body Text 3"/>
    <w:basedOn w:val="Normal"/>
    <w:link w:val="Textoindependiente3Car"/>
    <w:semiHidden/>
    <w:rsid w:val="00F23D7A"/>
    <w:pPr>
      <w:spacing w:before="120" w:after="120" w:line="240" w:lineRule="auto"/>
      <w:jc w:val="both"/>
    </w:pPr>
    <w:rPr>
      <w:rFonts w:ascii="Arial" w:eastAsia="Times New Roman" w:hAnsi="Arial"/>
      <w:sz w:val="16"/>
      <w:szCs w:val="16"/>
      <w:lang w:val="es-ES_tradnl"/>
    </w:rPr>
  </w:style>
  <w:style w:type="character" w:customStyle="1" w:styleId="Textoindependiente3Car">
    <w:name w:val="Texto independiente 3 Car"/>
    <w:basedOn w:val="Fuentedeprrafopredeter"/>
    <w:link w:val="Textoindependiente3"/>
    <w:semiHidden/>
    <w:rsid w:val="00F23D7A"/>
    <w:rPr>
      <w:rFonts w:ascii="Arial" w:eastAsia="Times New Roman" w:hAnsi="Arial"/>
      <w:sz w:val="16"/>
      <w:szCs w:val="16"/>
      <w:lang w:val="es-ES_tradnl" w:eastAsia="en-US"/>
    </w:rPr>
  </w:style>
  <w:style w:type="table" w:customStyle="1" w:styleId="TablaHTA">
    <w:name w:val="Tabla HTA"/>
    <w:basedOn w:val="Tablanormal"/>
    <w:rsid w:val="00F23D7A"/>
    <w:pPr>
      <w:spacing w:before="120"/>
      <w:jc w:val="both"/>
    </w:pPr>
    <w:rPr>
      <w:rFonts w:ascii="Arial" w:eastAsia="Times New Roman" w:hAnsi="Arial"/>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pPr>
        <w:jc w:val="center"/>
      </w:pPr>
      <w:rPr>
        <w:rFonts w:ascii="Arial" w:hAnsi="Arial"/>
        <w:b/>
        <w:sz w:val="20"/>
      </w:rPr>
      <w:tblPr/>
      <w:tcPr>
        <w:tcBorders>
          <w:top w:val="single" w:sz="12" w:space="0" w:color="auto"/>
          <w:left w:val="single" w:sz="12" w:space="0" w:color="auto"/>
          <w:bottom w:val="single" w:sz="12" w:space="0" w:color="auto"/>
          <w:right w:val="single" w:sz="12" w:space="0" w:color="auto"/>
        </w:tcBorders>
        <w:shd w:val="clear" w:color="auto" w:fill="D9D9D9"/>
      </w:tcPr>
    </w:tblStylePr>
  </w:style>
  <w:style w:type="paragraph" w:customStyle="1" w:styleId="TABLA">
    <w:name w:val="TABLA"/>
    <w:basedOn w:val="Normal"/>
    <w:link w:val="TABLACar"/>
    <w:qFormat/>
    <w:rsid w:val="00F23D7A"/>
    <w:pPr>
      <w:autoSpaceDE w:val="0"/>
      <w:autoSpaceDN w:val="0"/>
      <w:adjustRightInd w:val="0"/>
      <w:spacing w:after="0" w:line="240" w:lineRule="auto"/>
      <w:jc w:val="center"/>
    </w:pPr>
    <w:rPr>
      <w:rFonts w:ascii="Arial" w:eastAsiaTheme="minorHAnsi" w:hAnsi="Arial" w:cs="Arial"/>
      <w:b/>
      <w:lang w:val="es-MX"/>
    </w:rPr>
  </w:style>
  <w:style w:type="character" w:customStyle="1" w:styleId="TABLACar">
    <w:name w:val="TABLA Car"/>
    <w:basedOn w:val="Fuentedeprrafopredeter"/>
    <w:link w:val="TABLA"/>
    <w:rsid w:val="00F23D7A"/>
    <w:rPr>
      <w:rFonts w:ascii="Arial" w:eastAsiaTheme="minorHAnsi" w:hAnsi="Arial" w:cs="Arial"/>
      <w:b/>
      <w:sz w:val="22"/>
      <w:szCs w:val="22"/>
      <w:lang w:val="es-MX" w:eastAsia="en-US"/>
    </w:rPr>
  </w:style>
  <w:style w:type="paragraph" w:customStyle="1" w:styleId="FIGURA">
    <w:name w:val="FIGURA"/>
    <w:basedOn w:val="Normal"/>
    <w:qFormat/>
    <w:rsid w:val="00F23D7A"/>
    <w:pPr>
      <w:autoSpaceDE w:val="0"/>
      <w:autoSpaceDN w:val="0"/>
      <w:adjustRightInd w:val="0"/>
      <w:spacing w:after="0" w:line="360" w:lineRule="auto"/>
      <w:jc w:val="center"/>
    </w:pPr>
    <w:rPr>
      <w:rFonts w:ascii="Verdana" w:eastAsiaTheme="minorHAnsi" w:hAnsi="Verdana" w:cs="Calibri"/>
      <w:b/>
      <w:sz w:val="20"/>
      <w:szCs w:val="20"/>
      <w:lang w:val="es-MX"/>
    </w:rPr>
  </w:style>
  <w:style w:type="paragraph" w:customStyle="1" w:styleId="NormTablaIAI">
    <w:name w:val="NormTablaIAI"/>
    <w:basedOn w:val="Normal"/>
    <w:link w:val="NormTablaIAICar"/>
    <w:qFormat/>
    <w:rsid w:val="00F23D7A"/>
    <w:pPr>
      <w:spacing w:before="60" w:after="60" w:line="240" w:lineRule="auto"/>
      <w:ind w:left="73"/>
      <w:jc w:val="both"/>
    </w:pPr>
    <w:rPr>
      <w:rFonts w:ascii="Arial" w:eastAsia="Times New Roman" w:hAnsi="Arial"/>
      <w:snapToGrid w:val="0"/>
      <w:sz w:val="20"/>
      <w:lang w:eastAsia="es-ES"/>
    </w:rPr>
  </w:style>
  <w:style w:type="character" w:customStyle="1" w:styleId="NormTablaIAICar">
    <w:name w:val="NormTablaIAI Car"/>
    <w:link w:val="NormTablaIAI"/>
    <w:rsid w:val="00F23D7A"/>
    <w:rPr>
      <w:rFonts w:ascii="Arial" w:eastAsia="Times New Roman" w:hAnsi="Arial"/>
      <w:snapToGrid w:val="0"/>
      <w:szCs w:val="22"/>
      <w:lang w:eastAsia="es-ES"/>
    </w:rPr>
  </w:style>
  <w:style w:type="paragraph" w:customStyle="1" w:styleId="FiguraIAI">
    <w:name w:val="FiguraIAI"/>
    <w:basedOn w:val="Normal"/>
    <w:link w:val="FiguraIAICar"/>
    <w:qFormat/>
    <w:rsid w:val="00F23D7A"/>
    <w:pPr>
      <w:spacing w:before="60" w:after="0" w:line="240" w:lineRule="auto"/>
      <w:ind w:hanging="14"/>
      <w:jc w:val="center"/>
    </w:pPr>
    <w:rPr>
      <w:rFonts w:ascii="Arial" w:hAnsi="Arial"/>
      <w:b/>
      <w:sz w:val="20"/>
    </w:rPr>
  </w:style>
  <w:style w:type="character" w:customStyle="1" w:styleId="FiguraIAICar">
    <w:name w:val="FiguraIAI Car"/>
    <w:link w:val="FiguraIAI"/>
    <w:rsid w:val="00F23D7A"/>
    <w:rPr>
      <w:rFonts w:ascii="Arial" w:hAnsi="Arial"/>
      <w:b/>
      <w:szCs w:val="22"/>
      <w:lang w:eastAsia="en-US"/>
    </w:rPr>
  </w:style>
  <w:style w:type="paragraph" w:customStyle="1" w:styleId="TextoDocumento">
    <w:name w:val="Texto Documento"/>
    <w:basedOn w:val="Normal"/>
    <w:rsid w:val="00F23D7A"/>
    <w:pPr>
      <w:spacing w:after="0" w:line="360" w:lineRule="auto"/>
      <w:jc w:val="both"/>
    </w:pPr>
    <w:rPr>
      <w:rFonts w:ascii="Arial" w:eastAsia="Times New Roman" w:hAnsi="Arial"/>
      <w:snapToGrid w:val="0"/>
      <w:szCs w:val="20"/>
      <w:lang w:eastAsia="es-ES"/>
    </w:rPr>
  </w:style>
  <w:style w:type="paragraph" w:customStyle="1" w:styleId="DefaultText">
    <w:name w:val="Default Text"/>
    <w:basedOn w:val="Normal"/>
    <w:rsid w:val="00F23D7A"/>
    <w:pPr>
      <w:autoSpaceDE w:val="0"/>
      <w:autoSpaceDN w:val="0"/>
      <w:adjustRightInd w:val="0"/>
      <w:spacing w:after="0" w:line="240" w:lineRule="auto"/>
    </w:pPr>
    <w:rPr>
      <w:rFonts w:ascii="Times New Roman" w:eastAsia="Times New Roman" w:hAnsi="Times New Roman"/>
      <w:noProof/>
      <w:sz w:val="24"/>
      <w:szCs w:val="24"/>
      <w:lang w:val="es-ES" w:eastAsia="es-ES"/>
    </w:rPr>
  </w:style>
  <w:style w:type="paragraph" w:customStyle="1" w:styleId="Titulo4">
    <w:name w:val="Titulo 4"/>
    <w:basedOn w:val="Normal"/>
    <w:rsid w:val="00F23D7A"/>
    <w:pPr>
      <w:numPr>
        <w:numId w:val="30"/>
      </w:numPr>
      <w:spacing w:after="0" w:line="240" w:lineRule="auto"/>
      <w:jc w:val="both"/>
    </w:pPr>
    <w:rPr>
      <w:rFonts w:ascii="Arial" w:eastAsia="Times New Roman" w:hAnsi="Arial" w:cs="Arial"/>
      <w:b/>
      <w:i/>
      <w:noProof/>
      <w:sz w:val="24"/>
      <w:szCs w:val="24"/>
      <w:lang w:eastAsia="es-ES"/>
    </w:rPr>
  </w:style>
  <w:style w:type="character" w:customStyle="1" w:styleId="apple-converted-space">
    <w:name w:val="apple-converted-space"/>
    <w:basedOn w:val="Fuentedeprrafopredeter"/>
    <w:rsid w:val="00F23D7A"/>
  </w:style>
  <w:style w:type="character" w:styleId="nfasis">
    <w:name w:val="Emphasis"/>
    <w:basedOn w:val="Fuentedeprrafopredeter"/>
    <w:qFormat/>
    <w:rsid w:val="00F23D7A"/>
    <w:rPr>
      <w:i/>
      <w:iCs/>
    </w:rPr>
  </w:style>
  <w:style w:type="paragraph" w:customStyle="1" w:styleId="Foto">
    <w:name w:val="Foto"/>
    <w:basedOn w:val="Prrafodelista"/>
    <w:link w:val="FotoCar"/>
    <w:qFormat/>
    <w:rsid w:val="00F23D7A"/>
    <w:pPr>
      <w:spacing w:after="200" w:line="276" w:lineRule="auto"/>
      <w:jc w:val="center"/>
    </w:pPr>
    <w:rPr>
      <w:rFonts w:ascii="Arial" w:hAnsi="Arial" w:cs="Arial"/>
      <w:lang w:val="es-MX"/>
    </w:rPr>
  </w:style>
  <w:style w:type="character" w:customStyle="1" w:styleId="FotoCar">
    <w:name w:val="Foto Car"/>
    <w:basedOn w:val="Fuentedeprrafopredeter"/>
    <w:link w:val="Foto"/>
    <w:rsid w:val="00F23D7A"/>
    <w:rPr>
      <w:rFonts w:ascii="Arial" w:hAnsi="Arial" w:cs="Arial"/>
      <w:sz w:val="22"/>
      <w:szCs w:val="22"/>
      <w:lang w:val="es-MX" w:eastAsia="en-US"/>
    </w:rPr>
  </w:style>
  <w:style w:type="paragraph" w:customStyle="1" w:styleId="NoSpacing2">
    <w:name w:val="No Spacing2"/>
    <w:rsid w:val="00F23D7A"/>
    <w:rPr>
      <w:rFonts w:eastAsia="Times New Roman"/>
      <w:sz w:val="22"/>
      <w:szCs w:val="22"/>
      <w:lang w:val="es-ES" w:eastAsia="en-US"/>
    </w:rPr>
  </w:style>
  <w:style w:type="paragraph" w:customStyle="1" w:styleId="Notas">
    <w:name w:val="Notas"/>
    <w:basedOn w:val="Normal"/>
    <w:next w:val="Normal"/>
    <w:link w:val="NotasCar"/>
    <w:qFormat/>
    <w:rsid w:val="00F23D7A"/>
    <w:pPr>
      <w:tabs>
        <w:tab w:val="center" w:pos="4419"/>
        <w:tab w:val="right" w:pos="8838"/>
      </w:tabs>
      <w:spacing w:after="0" w:line="276" w:lineRule="auto"/>
      <w:contextualSpacing/>
      <w:jc w:val="center"/>
    </w:pPr>
    <w:rPr>
      <w:rFonts w:ascii="Times New Roman" w:hAnsi="Times New Roman"/>
      <w:sz w:val="16"/>
      <w:szCs w:val="16"/>
    </w:rPr>
  </w:style>
  <w:style w:type="character" w:customStyle="1" w:styleId="NotasCar">
    <w:name w:val="Notas Car"/>
    <w:link w:val="Notas"/>
    <w:rsid w:val="00F23D7A"/>
    <w:rPr>
      <w:rFonts w:ascii="Times New Roman" w:hAnsi="Times New Roman"/>
      <w:sz w:val="16"/>
      <w:szCs w:val="16"/>
      <w:lang w:eastAsia="en-US"/>
    </w:rPr>
  </w:style>
  <w:style w:type="table" w:customStyle="1" w:styleId="Gminis">
    <w:name w:val="Géminis"/>
    <w:basedOn w:val="Tablanormal"/>
    <w:rsid w:val="00F23D7A"/>
    <w:pPr>
      <w:jc w:val="center"/>
    </w:pPr>
    <w:rPr>
      <w:rFonts w:asciiTheme="majorHAnsi" w:hAnsiTheme="majorHAnsi"/>
      <w:sz w:val="22"/>
    </w:rPr>
    <w:tblPr>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0" w:type="dxa"/>
      <w:jc w:val="center"/>
    </w:trPr>
    <w:tcPr>
      <w:shd w:val="clear" w:color="auto" w:fill="auto"/>
      <w:tcMar>
        <w:top w:w="0" w:type="dxa"/>
        <w:left w:w="108" w:type="dxa"/>
        <w:bottom w:w="0" w:type="dxa"/>
        <w:right w:w="108" w:type="dxa"/>
      </w:tcMar>
    </w:tcPr>
    <w:tblStylePr w:type="firstRow">
      <w:rPr>
        <w:b/>
      </w:rPr>
      <w:tblPr/>
      <w:tcPr>
        <w:tcBorders>
          <w:bottom w:val="nil"/>
          <w:right w:val="nil"/>
          <w:insideH w:val="nil"/>
        </w:tcBorders>
        <w:shd w:val="clear" w:color="auto" w:fill="A6A6A6" w:themeFill="background1" w:themeFillShade="A6"/>
      </w:tcPr>
    </w:tblStylePr>
    <w:tblStylePr w:type="lastRow">
      <w:tblPr/>
      <w:tcPr>
        <w:tcBorders>
          <w:bottom w:val="nil"/>
          <w:right w:val="nil"/>
          <w:insideH w:val="nil"/>
        </w:tcBorders>
      </w:tcPr>
    </w:tblStylePr>
    <w:tblStylePr w:type="firstCol">
      <w:tblPr/>
      <w:tcPr>
        <w:tcBorders>
          <w:top w:val="nil"/>
          <w:left w:val="nil"/>
        </w:tcBorders>
      </w:tcPr>
    </w:tblStylePr>
    <w:tblStylePr w:type="lastCol">
      <w:tblPr/>
      <w:tcPr>
        <w:tcBorders>
          <w:top w:val="nil"/>
          <w:left w:val="nil"/>
        </w:tcBorders>
      </w:tcPr>
    </w:tblStylePr>
    <w:tblStylePr w:type="band1Vert">
      <w:tblPr/>
      <w:tcPr>
        <w:tcBorders>
          <w:top w:val="nil"/>
          <w:left w:val="nil"/>
        </w:tcBorders>
      </w:tcPr>
    </w:tblStylePr>
    <w:tblStylePr w:type="band2Vert">
      <w:tblPr/>
      <w:tcPr>
        <w:tcBorders>
          <w:top w:val="nil"/>
          <w:left w:val="nil"/>
        </w:tcBorders>
      </w:tcPr>
    </w:tblStylePr>
    <w:tblStylePr w:type="band1Horz">
      <w:tblPr/>
      <w:tcPr>
        <w:tcBorders>
          <w:bottom w:val="nil"/>
          <w:right w:val="nil"/>
          <w:insideH w:val="nil"/>
        </w:tcBorders>
      </w:tcPr>
    </w:tblStylePr>
    <w:tblStylePr w:type="band2Horz">
      <w:tblPr/>
      <w:tcPr>
        <w:tcBorders>
          <w:bottom w:val="nil"/>
          <w:right w:val="nil"/>
          <w:insideH w:val="nil"/>
        </w:tcBorders>
      </w:tcPr>
    </w:tblStylePr>
    <w:tblStylePr w:type="neCell">
      <w:tblPr/>
      <w:tcPr>
        <w:tcBorders>
          <w:top w:val="nil"/>
          <w:left w:val="nil"/>
        </w:tcBorders>
      </w:tcPr>
    </w:tblStylePr>
    <w:tblStylePr w:type="nwCell">
      <w:tblPr/>
      <w:tcPr>
        <w:tcBorders>
          <w:top w:val="nil"/>
          <w:left w:val="nil"/>
        </w:tcBorders>
      </w:tcPr>
    </w:tblStylePr>
    <w:tblStylePr w:type="seCell">
      <w:tblPr/>
      <w:tcPr>
        <w:tcBorders>
          <w:top w:val="nil"/>
          <w:left w:val="nil"/>
        </w:tcBorders>
      </w:tcPr>
    </w:tblStylePr>
    <w:tblStylePr w:type="swCell">
      <w:tblPr/>
      <w:tcPr>
        <w:tcBorders>
          <w:top w:val="nil"/>
          <w:left w:val="nil"/>
        </w:tcBorders>
      </w:tcPr>
    </w:tblStylePr>
  </w:style>
  <w:style w:type="character" w:customStyle="1" w:styleId="ecxapple-converted-space">
    <w:name w:val="ecxapple-converted-space"/>
    <w:basedOn w:val="Fuentedeprrafopredeter"/>
    <w:rsid w:val="00F23D7A"/>
  </w:style>
  <w:style w:type="paragraph" w:customStyle="1" w:styleId="tablavieta">
    <w:name w:val="tabla viñeta"/>
    <w:basedOn w:val="Normal"/>
    <w:uiPriority w:val="99"/>
    <w:qFormat/>
    <w:rsid w:val="00F23D7A"/>
    <w:pPr>
      <w:numPr>
        <w:numId w:val="31"/>
      </w:numPr>
      <w:spacing w:after="0" w:line="276" w:lineRule="auto"/>
      <w:contextualSpacing/>
      <w:jc w:val="both"/>
    </w:pPr>
    <w:rPr>
      <w:rFonts w:ascii="Cambria" w:hAnsi="Cambria"/>
      <w:sz w:val="20"/>
    </w:rPr>
  </w:style>
  <w:style w:type="paragraph" w:customStyle="1" w:styleId="Estilotabla">
    <w:name w:val="Estilo tabla"/>
    <w:basedOn w:val="Normal"/>
    <w:next w:val="Normal"/>
    <w:qFormat/>
    <w:rsid w:val="00F23D7A"/>
    <w:pPr>
      <w:spacing w:after="0" w:line="276" w:lineRule="auto"/>
      <w:contextualSpacing/>
      <w:jc w:val="both"/>
    </w:pPr>
    <w:rPr>
      <w:rFonts w:ascii="Cambria" w:hAnsi="Cambria"/>
      <w:sz w:val="20"/>
    </w:rPr>
  </w:style>
  <w:style w:type="paragraph" w:styleId="Textonotaalfinal">
    <w:name w:val="endnote text"/>
    <w:basedOn w:val="Normal"/>
    <w:link w:val="TextonotaalfinalCar"/>
    <w:rsid w:val="00F23D7A"/>
    <w:pPr>
      <w:spacing w:after="0" w:line="240" w:lineRule="auto"/>
      <w:jc w:val="both"/>
    </w:pPr>
    <w:rPr>
      <w:rFonts w:ascii="Arial" w:eastAsia="Times New Roman" w:hAnsi="Arial"/>
      <w:sz w:val="20"/>
      <w:szCs w:val="20"/>
      <w:lang w:val="es-ES_tradnl"/>
    </w:rPr>
  </w:style>
  <w:style w:type="character" w:customStyle="1" w:styleId="TextonotaalfinalCar">
    <w:name w:val="Texto nota al final Car"/>
    <w:basedOn w:val="Fuentedeprrafopredeter"/>
    <w:link w:val="Textonotaalfinal"/>
    <w:rsid w:val="00F23D7A"/>
    <w:rPr>
      <w:rFonts w:ascii="Arial" w:eastAsia="Times New Roman" w:hAnsi="Arial"/>
      <w:lang w:val="es-ES_tradnl" w:eastAsia="en-US"/>
    </w:rPr>
  </w:style>
  <w:style w:type="character" w:styleId="Refdenotaalfinal">
    <w:name w:val="endnote reference"/>
    <w:basedOn w:val="Fuentedeprrafopredeter"/>
    <w:rsid w:val="00F23D7A"/>
    <w:rPr>
      <w:vertAlign w:val="superscript"/>
    </w:rPr>
  </w:style>
  <w:style w:type="table" w:customStyle="1" w:styleId="Tablaconcuadrcula11">
    <w:name w:val="Tabla con cuadrícula11"/>
    <w:basedOn w:val="Tablanormal"/>
    <w:next w:val="Tablaconcuadrcula"/>
    <w:uiPriority w:val="59"/>
    <w:rsid w:val="00F23D7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F23D7A"/>
    <w:rPr>
      <w:color w:val="605E5C"/>
      <w:shd w:val="clear" w:color="auto" w:fill="E1DFDD"/>
    </w:rPr>
  </w:style>
  <w:style w:type="table" w:styleId="Cuadrculavistosa">
    <w:name w:val="Colorful Grid"/>
    <w:basedOn w:val="Tablanormal"/>
    <w:uiPriority w:val="73"/>
    <w:rsid w:val="00F23D7A"/>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TextonotapieCar1">
    <w:name w:val="Texto nota pie Car1"/>
    <w:basedOn w:val="Fuentedeprrafopredeter"/>
    <w:uiPriority w:val="99"/>
    <w:semiHidden/>
    <w:rsid w:val="00F23D7A"/>
    <w:rPr>
      <w:sz w:val="20"/>
      <w:szCs w:val="20"/>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rsid w:val="00F23D7A"/>
    <w:pPr>
      <w:spacing w:after="0" w:line="240" w:lineRule="auto"/>
      <w:jc w:val="both"/>
    </w:pPr>
    <w:rPr>
      <w:sz w:val="20"/>
      <w:szCs w:val="20"/>
      <w:vertAlign w:val="superscript"/>
      <w:lang w:eastAsia="es-CO"/>
    </w:rPr>
  </w:style>
  <w:style w:type="character" w:customStyle="1" w:styleId="fontstyle21">
    <w:name w:val="fontstyle21"/>
    <w:basedOn w:val="Fuentedeprrafopredeter"/>
    <w:rsid w:val="00F23D7A"/>
    <w:rPr>
      <w:rFonts w:ascii="Arial-ItalicMT" w:hAnsi="Arial-ItalicMT" w:hint="default"/>
      <w:b w:val="0"/>
      <w:bCs w:val="0"/>
      <w:i/>
      <w:iCs/>
      <w:color w:val="2D2D2D"/>
      <w:sz w:val="14"/>
      <w:szCs w:val="14"/>
    </w:rPr>
  </w:style>
  <w:style w:type="table" w:customStyle="1" w:styleId="TableNormal1">
    <w:name w:val="Table Normal1"/>
    <w:uiPriority w:val="2"/>
    <w:semiHidden/>
    <w:unhideWhenUsed/>
    <w:qFormat/>
    <w:rsid w:val="00F23D7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23D7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F23D7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F23D7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F23D7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F23D7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F23D7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F23D7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982F41"/>
    <w:rPr>
      <w:color w:val="954F72"/>
      <w:u w:val="single"/>
    </w:rPr>
  </w:style>
  <w:style w:type="paragraph" w:customStyle="1" w:styleId="msonormal0">
    <w:name w:val="msonormal"/>
    <w:basedOn w:val="Normal"/>
    <w:rsid w:val="00982F41"/>
    <w:pP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xl64">
    <w:name w:val="xl64"/>
    <w:basedOn w:val="Normal"/>
    <w:rsid w:val="00982F41"/>
    <w:pPr>
      <w:shd w:val="clear" w:color="000000" w:fill="FFFFFF"/>
      <w:spacing w:before="100" w:beforeAutospacing="1" w:after="100" w:afterAutospacing="1" w:line="240" w:lineRule="auto"/>
      <w:jc w:val="center"/>
    </w:pPr>
    <w:rPr>
      <w:rFonts w:ascii="Times New Roman" w:eastAsia="Times New Roman" w:hAnsi="Times New Roman"/>
      <w:sz w:val="18"/>
      <w:szCs w:val="18"/>
      <w:lang w:eastAsia="es-CO"/>
    </w:rPr>
  </w:style>
  <w:style w:type="paragraph" w:customStyle="1" w:styleId="xl65">
    <w:name w:val="xl65"/>
    <w:basedOn w:val="Normal"/>
    <w:rsid w:val="00982F41"/>
    <w:pPr>
      <w:shd w:val="clear" w:color="000000" w:fill="FFFFFF"/>
      <w:spacing w:before="100" w:beforeAutospacing="1" w:after="100" w:afterAutospacing="1" w:line="240" w:lineRule="auto"/>
    </w:pPr>
    <w:rPr>
      <w:rFonts w:ascii="Times New Roman" w:eastAsia="Times New Roman" w:hAnsi="Times New Roman"/>
      <w:sz w:val="18"/>
      <w:szCs w:val="18"/>
      <w:lang w:eastAsia="es-CO"/>
    </w:rPr>
  </w:style>
  <w:style w:type="paragraph" w:customStyle="1" w:styleId="xl66">
    <w:name w:val="xl66"/>
    <w:basedOn w:val="Normal"/>
    <w:rsid w:val="00982F41"/>
    <w:pPr>
      <w:shd w:val="clear" w:color="000000" w:fill="FFFFFF"/>
      <w:spacing w:before="100" w:beforeAutospacing="1" w:after="100" w:afterAutospacing="1" w:line="240" w:lineRule="auto"/>
    </w:pPr>
    <w:rPr>
      <w:rFonts w:ascii="Times New Roman" w:eastAsia="Times New Roman" w:hAnsi="Times New Roman"/>
      <w:sz w:val="18"/>
      <w:szCs w:val="18"/>
      <w:lang w:eastAsia="es-CO"/>
    </w:rPr>
  </w:style>
  <w:style w:type="paragraph" w:customStyle="1" w:styleId="xl67">
    <w:name w:val="xl67"/>
    <w:basedOn w:val="Normal"/>
    <w:rsid w:val="00982F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18"/>
      <w:szCs w:val="18"/>
      <w:lang w:eastAsia="es-CO"/>
    </w:rPr>
  </w:style>
  <w:style w:type="paragraph" w:customStyle="1" w:styleId="xl68">
    <w:name w:val="xl68"/>
    <w:basedOn w:val="Normal"/>
    <w:rsid w:val="00982F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18"/>
      <w:szCs w:val="18"/>
      <w:lang w:eastAsia="es-CO"/>
    </w:rPr>
  </w:style>
  <w:style w:type="paragraph" w:customStyle="1" w:styleId="xl69">
    <w:name w:val="xl69"/>
    <w:basedOn w:val="Normal"/>
    <w:rsid w:val="00982F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8"/>
      <w:szCs w:val="18"/>
      <w:lang w:eastAsia="es-CO"/>
    </w:rPr>
  </w:style>
  <w:style w:type="paragraph" w:customStyle="1" w:styleId="xl70">
    <w:name w:val="xl70"/>
    <w:basedOn w:val="Normal"/>
    <w:rsid w:val="00982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8"/>
      <w:szCs w:val="18"/>
      <w:lang w:eastAsia="es-CO"/>
    </w:rPr>
  </w:style>
  <w:style w:type="paragraph" w:customStyle="1" w:styleId="xl71">
    <w:name w:val="xl71"/>
    <w:basedOn w:val="Normal"/>
    <w:rsid w:val="00982F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18"/>
      <w:szCs w:val="18"/>
      <w:lang w:eastAsia="es-CO"/>
    </w:rPr>
  </w:style>
  <w:style w:type="paragraph" w:customStyle="1" w:styleId="xl72">
    <w:name w:val="xl72"/>
    <w:basedOn w:val="Normal"/>
    <w:rsid w:val="00982F4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18"/>
      <w:szCs w:val="18"/>
      <w:lang w:eastAsia="es-CO"/>
    </w:rPr>
  </w:style>
  <w:style w:type="paragraph" w:customStyle="1" w:styleId="xl73">
    <w:name w:val="xl73"/>
    <w:basedOn w:val="Normal"/>
    <w:rsid w:val="00982F41"/>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18"/>
      <w:szCs w:val="18"/>
      <w:lang w:eastAsia="es-CO"/>
    </w:rPr>
  </w:style>
  <w:style w:type="paragraph" w:customStyle="1" w:styleId="xl74">
    <w:name w:val="xl74"/>
    <w:basedOn w:val="Normal"/>
    <w:rsid w:val="00982F4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18"/>
      <w:szCs w:val="18"/>
      <w:lang w:eastAsia="es-CO"/>
    </w:rPr>
  </w:style>
  <w:style w:type="paragraph" w:customStyle="1" w:styleId="xl75">
    <w:name w:val="xl75"/>
    <w:basedOn w:val="Normal"/>
    <w:rsid w:val="00982F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18"/>
      <w:szCs w:val="18"/>
      <w:lang w:eastAsia="es-CO"/>
    </w:rPr>
  </w:style>
  <w:style w:type="paragraph" w:customStyle="1" w:styleId="xl76">
    <w:name w:val="xl76"/>
    <w:basedOn w:val="Normal"/>
    <w:rsid w:val="00982F41"/>
    <w:pPr>
      <w:shd w:val="clear" w:color="000000" w:fill="FFFFFF"/>
      <w:spacing w:before="100" w:beforeAutospacing="1" w:after="100" w:afterAutospacing="1" w:line="240" w:lineRule="auto"/>
    </w:pPr>
    <w:rPr>
      <w:rFonts w:ascii="Times New Roman" w:eastAsia="Times New Roman" w:hAnsi="Times New Roman"/>
      <w:sz w:val="18"/>
      <w:szCs w:val="18"/>
      <w:lang w:eastAsia="es-CO"/>
    </w:rPr>
  </w:style>
  <w:style w:type="paragraph" w:customStyle="1" w:styleId="xl77">
    <w:name w:val="xl77"/>
    <w:basedOn w:val="Normal"/>
    <w:rsid w:val="00982F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18"/>
      <w:szCs w:val="18"/>
      <w:lang w:eastAsia="es-CO"/>
    </w:rPr>
  </w:style>
  <w:style w:type="paragraph" w:customStyle="1" w:styleId="xl78">
    <w:name w:val="xl78"/>
    <w:basedOn w:val="Normal"/>
    <w:rsid w:val="00982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8"/>
      <w:szCs w:val="18"/>
      <w:lang w:eastAsia="es-CO"/>
    </w:rPr>
  </w:style>
  <w:style w:type="paragraph" w:customStyle="1" w:styleId="xl79">
    <w:name w:val="xl79"/>
    <w:basedOn w:val="Normal"/>
    <w:rsid w:val="00982F41"/>
    <w:pPr>
      <w:shd w:val="clear" w:color="000000" w:fill="FFFFFF"/>
      <w:spacing w:before="100" w:beforeAutospacing="1" w:after="100" w:afterAutospacing="1" w:line="240" w:lineRule="auto"/>
    </w:pPr>
    <w:rPr>
      <w:rFonts w:ascii="Times New Roman" w:eastAsia="Times New Roman" w:hAnsi="Times New Roman"/>
      <w:sz w:val="18"/>
      <w:szCs w:val="18"/>
      <w:lang w:eastAsia="es-CO"/>
    </w:rPr>
  </w:style>
  <w:style w:type="paragraph" w:customStyle="1" w:styleId="xl80">
    <w:name w:val="xl80"/>
    <w:basedOn w:val="Normal"/>
    <w:rsid w:val="00982F41"/>
    <w:pPr>
      <w:shd w:val="clear" w:color="000000" w:fill="FFFFFF"/>
      <w:spacing w:before="100" w:beforeAutospacing="1" w:after="100" w:afterAutospacing="1" w:line="240" w:lineRule="auto"/>
      <w:jc w:val="center"/>
    </w:pPr>
    <w:rPr>
      <w:rFonts w:ascii="Times New Roman" w:eastAsia="Times New Roman" w:hAnsi="Times New Roman"/>
      <w:sz w:val="18"/>
      <w:szCs w:val="18"/>
      <w:lang w:eastAsia="es-CO"/>
    </w:rPr>
  </w:style>
  <w:style w:type="paragraph" w:customStyle="1" w:styleId="xl81">
    <w:name w:val="xl81"/>
    <w:basedOn w:val="Normal"/>
    <w:rsid w:val="00982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18"/>
      <w:szCs w:val="18"/>
      <w:lang w:eastAsia="es-CO"/>
    </w:rPr>
  </w:style>
  <w:style w:type="character" w:customStyle="1" w:styleId="ms-button-flexcontainer">
    <w:name w:val="ms-button-flexcontainer"/>
    <w:basedOn w:val="Fuentedeprrafopredeter"/>
    <w:rsid w:val="00BF137F"/>
  </w:style>
  <w:style w:type="numbering" w:customStyle="1" w:styleId="Sinlista1">
    <w:name w:val="Sin lista1"/>
    <w:next w:val="Sinlista"/>
    <w:uiPriority w:val="99"/>
    <w:semiHidden/>
    <w:unhideWhenUsed/>
    <w:rsid w:val="00EB4A7B"/>
  </w:style>
  <w:style w:type="table" w:customStyle="1" w:styleId="nfasisTabladecuadrcula4-17">
    <w:name w:val="Énfasis Tabla de cuadrícula 4 - 17"/>
    <w:basedOn w:val="Tablanormal"/>
    <w:uiPriority w:val="49"/>
    <w:rsid w:val="00516A5B"/>
    <w:rPr>
      <w:lang w:eastAsia="en-US"/>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1">
    <w:name w:val="Grid Table 4 Accent 1"/>
    <w:basedOn w:val="Tablanormal"/>
    <w:uiPriority w:val="49"/>
    <w:rsid w:val="00516A5B"/>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Textodelmarcadordeposicin">
    <w:name w:val="Placeholder Text"/>
    <w:basedOn w:val="Fuentedeprrafopredeter"/>
    <w:uiPriority w:val="99"/>
    <w:semiHidden/>
    <w:rsid w:val="00516A5B"/>
    <w:rPr>
      <w:color w:val="808080"/>
    </w:rPr>
  </w:style>
  <w:style w:type="paragraph" w:customStyle="1" w:styleId="2">
    <w:name w:val="2"/>
    <w:basedOn w:val="Normal"/>
    <w:next w:val="Normal"/>
    <w:qFormat/>
    <w:rsid w:val="00516A5B"/>
    <w:pPr>
      <w:spacing w:after="0" w:line="240" w:lineRule="auto"/>
      <w:jc w:val="both"/>
    </w:pPr>
    <w:rPr>
      <w:rFonts w:ascii="Arial" w:eastAsia="Times New Roman" w:hAnsi="Arial"/>
      <w:bCs/>
      <w:szCs w:val="20"/>
    </w:rPr>
  </w:style>
  <w:style w:type="table" w:customStyle="1" w:styleId="cuadrcula-11">
    <w:name w:val="cuadrícula-11"/>
    <w:basedOn w:val="Tablanormal"/>
    <w:next w:val="Tablaconcuadrcula"/>
    <w:uiPriority w:val="59"/>
    <w:qFormat/>
    <w:rsid w:val="00516A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rsid w:val="002E2E25"/>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default0">
    <w:name w:val="default"/>
    <w:basedOn w:val="Normal"/>
    <w:rsid w:val="00CB3B3E"/>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82">
    <w:name w:val="xl82"/>
    <w:basedOn w:val="Normal"/>
    <w:rsid w:val="00D672D4"/>
    <w:pPr>
      <w:pBdr>
        <w:top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b/>
      <w:bCs/>
      <w:sz w:val="24"/>
      <w:szCs w:val="24"/>
      <w:lang w:val="es-ES" w:eastAsia="es-ES"/>
    </w:rPr>
  </w:style>
  <w:style w:type="paragraph" w:customStyle="1" w:styleId="xl83">
    <w:name w:val="xl83"/>
    <w:basedOn w:val="Normal"/>
    <w:rsid w:val="00D672D4"/>
    <w:pPr>
      <w:pBdr>
        <w:top w:val="single" w:sz="4" w:space="0" w:color="A6A6A6"/>
        <w:left w:val="single" w:sz="4" w:space="0" w:color="A6A6A6"/>
        <w:bottom w:val="single" w:sz="4" w:space="0" w:color="A6A6A6"/>
        <w:right w:val="single" w:sz="4" w:space="0" w:color="A6A6A6"/>
      </w:pBdr>
      <w:shd w:val="clear" w:color="000000" w:fill="3366CC"/>
      <w:spacing w:before="100" w:beforeAutospacing="1" w:after="100" w:afterAutospacing="1" w:line="240" w:lineRule="auto"/>
      <w:jc w:val="center"/>
      <w:textAlignment w:val="center"/>
    </w:pPr>
    <w:rPr>
      <w:rFonts w:ascii="Times New Roman" w:eastAsia="Times New Roman" w:hAnsi="Times New Roman"/>
      <w:b/>
      <w:bCs/>
      <w:color w:val="FFFFFF"/>
      <w:sz w:val="18"/>
      <w:szCs w:val="18"/>
      <w:lang w:val="es-ES" w:eastAsia="es-ES"/>
    </w:rPr>
  </w:style>
  <w:style w:type="paragraph" w:customStyle="1" w:styleId="xl84">
    <w:name w:val="xl84"/>
    <w:basedOn w:val="Normal"/>
    <w:rsid w:val="00D672D4"/>
    <w:pPr>
      <w:pBdr>
        <w:top w:val="single" w:sz="4" w:space="0" w:color="A6A6A6"/>
        <w:left w:val="single" w:sz="4" w:space="0" w:color="A6A6A6"/>
        <w:bottom w:val="single" w:sz="4" w:space="0" w:color="A6A6A6"/>
        <w:right w:val="single" w:sz="4" w:space="0" w:color="A6A6A6"/>
      </w:pBdr>
      <w:shd w:val="clear" w:color="000000" w:fill="FFF2CC"/>
      <w:spacing w:before="100" w:beforeAutospacing="1" w:after="100" w:afterAutospacing="1" w:line="240" w:lineRule="auto"/>
      <w:textAlignment w:val="center"/>
    </w:pPr>
    <w:rPr>
      <w:rFonts w:ascii="Times New Roman" w:eastAsia="Times New Roman" w:hAnsi="Times New Roman"/>
      <w:b/>
      <w:bCs/>
      <w:sz w:val="24"/>
      <w:szCs w:val="24"/>
      <w:lang w:val="es-ES" w:eastAsia="es-ES"/>
    </w:rPr>
  </w:style>
  <w:style w:type="paragraph" w:customStyle="1" w:styleId="xl85">
    <w:name w:val="xl85"/>
    <w:basedOn w:val="Normal"/>
    <w:rsid w:val="00D672D4"/>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b/>
      <w:bCs/>
      <w:sz w:val="24"/>
      <w:szCs w:val="24"/>
      <w:lang w:val="es-ES" w:eastAsia="es-ES"/>
    </w:rPr>
  </w:style>
  <w:style w:type="paragraph" w:customStyle="1" w:styleId="xl86">
    <w:name w:val="xl86"/>
    <w:basedOn w:val="Normal"/>
    <w:rsid w:val="00D672D4"/>
    <w:pPr>
      <w:pBdr>
        <w:top w:val="single" w:sz="4" w:space="0" w:color="A6A6A6"/>
        <w:left w:val="single" w:sz="4" w:space="0" w:color="A6A6A6"/>
        <w:bottom w:val="single" w:sz="4" w:space="0" w:color="A6A6A6"/>
        <w:right w:val="single" w:sz="4" w:space="0" w:color="A6A6A6"/>
      </w:pBdr>
      <w:shd w:val="clear" w:color="000000" w:fill="FFF2CC"/>
      <w:spacing w:before="100" w:beforeAutospacing="1" w:after="100" w:afterAutospacing="1" w:line="240" w:lineRule="auto"/>
      <w:textAlignment w:val="center"/>
    </w:pPr>
    <w:rPr>
      <w:rFonts w:ascii="Times New Roman" w:eastAsia="Times New Roman" w:hAnsi="Times New Roman"/>
      <w:sz w:val="24"/>
      <w:szCs w:val="24"/>
      <w:lang w:val="es-ES" w:eastAsia="es-ES"/>
    </w:rPr>
  </w:style>
  <w:style w:type="paragraph" w:customStyle="1" w:styleId="xl87">
    <w:name w:val="xl87"/>
    <w:basedOn w:val="Normal"/>
    <w:rsid w:val="00D672D4"/>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sz w:val="24"/>
      <w:szCs w:val="24"/>
      <w:lang w:val="es-ES" w:eastAsia="es-ES"/>
    </w:rPr>
  </w:style>
  <w:style w:type="paragraph" w:customStyle="1" w:styleId="xl88">
    <w:name w:val="xl88"/>
    <w:basedOn w:val="Normal"/>
    <w:rsid w:val="00D672D4"/>
    <w:pPr>
      <w:pBdr>
        <w:top w:val="single" w:sz="4" w:space="0" w:color="A6A6A6"/>
        <w:left w:val="single" w:sz="4" w:space="0" w:color="A6A6A6"/>
        <w:bottom w:val="single" w:sz="4" w:space="0" w:color="A6A6A6"/>
      </w:pBdr>
      <w:shd w:val="clear" w:color="000000" w:fill="000000"/>
      <w:spacing w:before="100" w:beforeAutospacing="1" w:after="100" w:afterAutospacing="1" w:line="240" w:lineRule="auto"/>
      <w:jc w:val="center"/>
      <w:textAlignment w:val="center"/>
    </w:pPr>
    <w:rPr>
      <w:rFonts w:ascii="Times New Roman" w:eastAsia="Times New Roman" w:hAnsi="Times New Roman"/>
      <w:b/>
      <w:bCs/>
      <w:sz w:val="24"/>
      <w:szCs w:val="24"/>
      <w:lang w:val="es-ES" w:eastAsia="es-ES"/>
    </w:rPr>
  </w:style>
  <w:style w:type="paragraph" w:customStyle="1" w:styleId="xl89">
    <w:name w:val="xl89"/>
    <w:basedOn w:val="Normal"/>
    <w:rsid w:val="00D672D4"/>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b/>
      <w:bCs/>
      <w:sz w:val="24"/>
      <w:szCs w:val="24"/>
      <w:lang w:val="es-ES" w:eastAsia="es-ES"/>
    </w:rPr>
  </w:style>
  <w:style w:type="paragraph" w:customStyle="1" w:styleId="xl90">
    <w:name w:val="xl90"/>
    <w:basedOn w:val="Normal"/>
    <w:rsid w:val="00D672D4"/>
    <w:pPr>
      <w:pBdr>
        <w:top w:val="single" w:sz="4" w:space="0" w:color="A6A6A6"/>
        <w:left w:val="single" w:sz="4" w:space="0" w:color="A6A6A6"/>
        <w:bottom w:val="single" w:sz="4" w:space="0" w:color="A6A6A6"/>
        <w:right w:val="single" w:sz="4" w:space="0" w:color="A6A6A6"/>
      </w:pBdr>
      <w:shd w:val="clear" w:color="000000" w:fill="D0CECE"/>
      <w:spacing w:before="100" w:beforeAutospacing="1" w:after="100" w:afterAutospacing="1" w:line="240" w:lineRule="auto"/>
      <w:textAlignment w:val="center"/>
    </w:pPr>
    <w:rPr>
      <w:rFonts w:ascii="Times New Roman" w:eastAsia="Times New Roman" w:hAnsi="Times New Roman"/>
      <w:b/>
      <w:bCs/>
      <w:sz w:val="24"/>
      <w:szCs w:val="24"/>
      <w:lang w:val="es-ES" w:eastAsia="es-ES"/>
    </w:rPr>
  </w:style>
  <w:style w:type="paragraph" w:customStyle="1" w:styleId="xl91">
    <w:name w:val="xl91"/>
    <w:basedOn w:val="Normal"/>
    <w:rsid w:val="00D672D4"/>
    <w:pPr>
      <w:pBdr>
        <w:top w:val="single" w:sz="4" w:space="0" w:color="A6A6A6"/>
        <w:left w:val="single" w:sz="4" w:space="0" w:color="A6A6A6"/>
        <w:bottom w:val="single" w:sz="4" w:space="0" w:color="A6A6A6"/>
        <w:right w:val="single" w:sz="4" w:space="0" w:color="A6A6A6"/>
      </w:pBdr>
      <w:shd w:val="clear" w:color="000000" w:fill="3366CC"/>
      <w:spacing w:before="100" w:beforeAutospacing="1" w:after="100" w:afterAutospacing="1" w:line="240" w:lineRule="auto"/>
      <w:jc w:val="center"/>
      <w:textAlignment w:val="center"/>
    </w:pPr>
    <w:rPr>
      <w:rFonts w:ascii="Times New Roman" w:eastAsia="Times New Roman" w:hAnsi="Times New Roman"/>
      <w:b/>
      <w:bCs/>
      <w:color w:val="FFFFFF"/>
      <w:sz w:val="24"/>
      <w:szCs w:val="24"/>
      <w:lang w:val="es-ES" w:eastAsia="es-ES"/>
    </w:rPr>
  </w:style>
  <w:style w:type="paragraph" w:customStyle="1" w:styleId="xl92">
    <w:name w:val="xl92"/>
    <w:basedOn w:val="Normal"/>
    <w:rsid w:val="00D672D4"/>
    <w:pPr>
      <w:pBdr>
        <w:top w:val="single" w:sz="4" w:space="0" w:color="A6A6A6"/>
        <w:bottom w:val="single" w:sz="4" w:space="0" w:color="A6A6A6"/>
      </w:pBdr>
      <w:spacing w:before="100" w:beforeAutospacing="1" w:after="100" w:afterAutospacing="1" w:line="240" w:lineRule="auto"/>
      <w:textAlignment w:val="center"/>
    </w:pPr>
    <w:rPr>
      <w:rFonts w:ascii="Times New Roman" w:eastAsia="Times New Roman" w:hAnsi="Times New Roman"/>
      <w:sz w:val="24"/>
      <w:szCs w:val="24"/>
      <w:lang w:val="es-ES" w:eastAsia="es-ES"/>
    </w:rPr>
  </w:style>
  <w:style w:type="paragraph" w:customStyle="1" w:styleId="xl93">
    <w:name w:val="xl93"/>
    <w:basedOn w:val="Normal"/>
    <w:rsid w:val="00D672D4"/>
    <w:pPr>
      <w:pBdr>
        <w:top w:val="single" w:sz="4" w:space="0" w:color="A6A6A6"/>
        <w:left w:val="single" w:sz="4" w:space="0" w:color="A6A6A6"/>
        <w:bottom w:val="single" w:sz="4" w:space="0" w:color="A6A6A6"/>
      </w:pBdr>
      <w:spacing w:before="100" w:beforeAutospacing="1" w:after="100" w:afterAutospacing="1" w:line="240" w:lineRule="auto"/>
      <w:textAlignment w:val="center"/>
    </w:pPr>
    <w:rPr>
      <w:rFonts w:ascii="Times New Roman" w:eastAsia="Times New Roman" w:hAnsi="Times New Roman"/>
      <w:b/>
      <w:bCs/>
      <w:sz w:val="24"/>
      <w:szCs w:val="24"/>
      <w:lang w:val="es-ES" w:eastAsia="es-ES"/>
    </w:rPr>
  </w:style>
  <w:style w:type="paragraph" w:customStyle="1" w:styleId="xl94">
    <w:name w:val="xl94"/>
    <w:basedOn w:val="Normal"/>
    <w:rsid w:val="00D672D4"/>
    <w:pPr>
      <w:pBdr>
        <w:top w:val="single" w:sz="4" w:space="0" w:color="A6A6A6"/>
        <w:bottom w:val="single" w:sz="4" w:space="0" w:color="A6A6A6"/>
      </w:pBdr>
      <w:spacing w:before="100" w:beforeAutospacing="1" w:after="100" w:afterAutospacing="1" w:line="240" w:lineRule="auto"/>
      <w:textAlignment w:val="center"/>
    </w:pPr>
    <w:rPr>
      <w:rFonts w:ascii="Times New Roman" w:eastAsia="Times New Roman" w:hAnsi="Times New Roman"/>
      <w:sz w:val="24"/>
      <w:szCs w:val="24"/>
      <w:lang w:val="es-ES" w:eastAsia="es-ES"/>
    </w:rPr>
  </w:style>
  <w:style w:type="paragraph" w:customStyle="1" w:styleId="xl95">
    <w:name w:val="xl95"/>
    <w:basedOn w:val="Normal"/>
    <w:rsid w:val="00D672D4"/>
    <w:pPr>
      <w:pBdr>
        <w:top w:val="single" w:sz="4" w:space="0" w:color="A6A6A6"/>
        <w:left w:val="single" w:sz="4" w:space="0" w:color="A6A6A6"/>
        <w:bottom w:val="single" w:sz="4" w:space="0" w:color="A6A6A6"/>
      </w:pBdr>
      <w:spacing w:before="100" w:beforeAutospacing="1" w:after="100" w:afterAutospacing="1" w:line="240" w:lineRule="auto"/>
      <w:textAlignment w:val="center"/>
    </w:pPr>
    <w:rPr>
      <w:rFonts w:ascii="Times New Roman" w:eastAsia="Times New Roman" w:hAnsi="Times New Roman"/>
      <w:b/>
      <w:bCs/>
      <w:sz w:val="24"/>
      <w:szCs w:val="24"/>
      <w:lang w:val="es-ES" w:eastAsia="es-ES"/>
    </w:rPr>
  </w:style>
  <w:style w:type="character" w:customStyle="1" w:styleId="DefaultCar">
    <w:name w:val="Default Car"/>
    <w:link w:val="Default"/>
    <w:locked/>
    <w:rsid w:val="00F82EF8"/>
    <w:rPr>
      <w:rFonts w:ascii="Verdana" w:hAnsi="Verdana" w:cs="Verdana"/>
      <w:color w:val="000000"/>
      <w:sz w:val="24"/>
      <w:szCs w:val="24"/>
    </w:rPr>
  </w:style>
  <w:style w:type="character" w:customStyle="1" w:styleId="ui-provider">
    <w:name w:val="ui-provider"/>
    <w:basedOn w:val="Fuentedeprrafopredeter"/>
    <w:rsid w:val="00DD4C8E"/>
  </w:style>
  <w:style w:type="paragraph" w:styleId="Textoindependienteprimerasangra2">
    <w:name w:val="Body Text First Indent 2"/>
    <w:basedOn w:val="Sangradetextonormal"/>
    <w:link w:val="Textoindependienteprimerasangra2Car"/>
    <w:uiPriority w:val="99"/>
    <w:unhideWhenUsed/>
    <w:rsid w:val="00167224"/>
    <w:pPr>
      <w:tabs>
        <w:tab w:val="clear" w:pos="4678"/>
        <w:tab w:val="clear" w:pos="7655"/>
      </w:tabs>
      <w:spacing w:after="160" w:line="259" w:lineRule="auto"/>
      <w:ind w:left="360" w:firstLine="360"/>
    </w:pPr>
    <w:rPr>
      <w:rFonts w:ascii="Calibri" w:eastAsia="Calibri" w:hAnsi="Calibri"/>
      <w:sz w:val="22"/>
      <w:lang w:val="es-CO"/>
    </w:rPr>
  </w:style>
  <w:style w:type="character" w:customStyle="1" w:styleId="Textoindependienteprimerasangra2Car">
    <w:name w:val="Texto independiente primera sangría 2 Car"/>
    <w:basedOn w:val="SangradetextonormalCar"/>
    <w:link w:val="Textoindependienteprimerasangra2"/>
    <w:uiPriority w:val="99"/>
    <w:rsid w:val="00167224"/>
    <w:rPr>
      <w:rFonts w:ascii="Futura Light" w:eastAsia="Times New Roman" w:hAnsi="Futura Light"/>
      <w:sz w:val="22"/>
      <w:szCs w:val="22"/>
      <w:lang w:val="en-GB" w:eastAsia="en-US"/>
    </w:rPr>
  </w:style>
  <w:style w:type="character" w:customStyle="1" w:styleId="fui-primitive">
    <w:name w:val="fui-primitive"/>
    <w:basedOn w:val="Fuentedeprrafopredeter"/>
    <w:rsid w:val="00FC57FC"/>
  </w:style>
  <w:style w:type="table" w:customStyle="1" w:styleId="TableNormal9">
    <w:name w:val="Table Normal9"/>
    <w:uiPriority w:val="2"/>
    <w:semiHidden/>
    <w:unhideWhenUsed/>
    <w:qFormat/>
    <w:rsid w:val="002338C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Estilo3">
    <w:name w:val="Estilo3"/>
    <w:basedOn w:val="Fuentedeprrafopredeter"/>
    <w:uiPriority w:val="1"/>
    <w:rsid w:val="00451687"/>
    <w:rPr>
      <w:rFonts w:ascii="Times New Roman" w:hAnsi="Times New Roman"/>
      <w:sz w:val="24"/>
    </w:rPr>
  </w:style>
  <w:style w:type="character" w:customStyle="1" w:styleId="contentcontrolboundarysink">
    <w:name w:val="contentcontrolboundarysink"/>
    <w:basedOn w:val="Fuentedeprrafopredeter"/>
    <w:rsid w:val="00451687"/>
  </w:style>
  <w:style w:type="paragraph" w:customStyle="1" w:styleId="xl63">
    <w:name w:val="xl63"/>
    <w:basedOn w:val="Normal"/>
    <w:rsid w:val="005248F8"/>
    <w:pPr>
      <w:spacing w:before="100" w:beforeAutospacing="1" w:after="100" w:afterAutospacing="1" w:line="240" w:lineRule="auto"/>
    </w:pPr>
    <w:rPr>
      <w:rFonts w:ascii="Times New Roman" w:eastAsia="Times New Roman" w:hAnsi="Times New Roman"/>
      <w:b/>
      <w:bCs/>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0765">
      <w:bodyDiv w:val="1"/>
      <w:marLeft w:val="0"/>
      <w:marRight w:val="0"/>
      <w:marTop w:val="0"/>
      <w:marBottom w:val="0"/>
      <w:divBdr>
        <w:top w:val="none" w:sz="0" w:space="0" w:color="auto"/>
        <w:left w:val="none" w:sz="0" w:space="0" w:color="auto"/>
        <w:bottom w:val="none" w:sz="0" w:space="0" w:color="auto"/>
        <w:right w:val="none" w:sz="0" w:space="0" w:color="auto"/>
      </w:divBdr>
    </w:div>
    <w:div w:id="7100786">
      <w:bodyDiv w:val="1"/>
      <w:marLeft w:val="0"/>
      <w:marRight w:val="0"/>
      <w:marTop w:val="0"/>
      <w:marBottom w:val="0"/>
      <w:divBdr>
        <w:top w:val="none" w:sz="0" w:space="0" w:color="auto"/>
        <w:left w:val="none" w:sz="0" w:space="0" w:color="auto"/>
        <w:bottom w:val="none" w:sz="0" w:space="0" w:color="auto"/>
        <w:right w:val="none" w:sz="0" w:space="0" w:color="auto"/>
      </w:divBdr>
    </w:div>
    <w:div w:id="7950984">
      <w:bodyDiv w:val="1"/>
      <w:marLeft w:val="0"/>
      <w:marRight w:val="0"/>
      <w:marTop w:val="0"/>
      <w:marBottom w:val="0"/>
      <w:divBdr>
        <w:top w:val="none" w:sz="0" w:space="0" w:color="auto"/>
        <w:left w:val="none" w:sz="0" w:space="0" w:color="auto"/>
        <w:bottom w:val="none" w:sz="0" w:space="0" w:color="auto"/>
        <w:right w:val="none" w:sz="0" w:space="0" w:color="auto"/>
      </w:divBdr>
    </w:div>
    <w:div w:id="10188546">
      <w:bodyDiv w:val="1"/>
      <w:marLeft w:val="0"/>
      <w:marRight w:val="0"/>
      <w:marTop w:val="0"/>
      <w:marBottom w:val="0"/>
      <w:divBdr>
        <w:top w:val="none" w:sz="0" w:space="0" w:color="auto"/>
        <w:left w:val="none" w:sz="0" w:space="0" w:color="auto"/>
        <w:bottom w:val="none" w:sz="0" w:space="0" w:color="auto"/>
        <w:right w:val="none" w:sz="0" w:space="0" w:color="auto"/>
      </w:divBdr>
    </w:div>
    <w:div w:id="14693449">
      <w:bodyDiv w:val="1"/>
      <w:marLeft w:val="0"/>
      <w:marRight w:val="0"/>
      <w:marTop w:val="0"/>
      <w:marBottom w:val="0"/>
      <w:divBdr>
        <w:top w:val="none" w:sz="0" w:space="0" w:color="auto"/>
        <w:left w:val="none" w:sz="0" w:space="0" w:color="auto"/>
        <w:bottom w:val="none" w:sz="0" w:space="0" w:color="auto"/>
        <w:right w:val="none" w:sz="0" w:space="0" w:color="auto"/>
      </w:divBdr>
    </w:div>
    <w:div w:id="18746135">
      <w:bodyDiv w:val="1"/>
      <w:marLeft w:val="0"/>
      <w:marRight w:val="0"/>
      <w:marTop w:val="0"/>
      <w:marBottom w:val="0"/>
      <w:divBdr>
        <w:top w:val="none" w:sz="0" w:space="0" w:color="auto"/>
        <w:left w:val="none" w:sz="0" w:space="0" w:color="auto"/>
        <w:bottom w:val="none" w:sz="0" w:space="0" w:color="auto"/>
        <w:right w:val="none" w:sz="0" w:space="0" w:color="auto"/>
      </w:divBdr>
    </w:div>
    <w:div w:id="22288897">
      <w:bodyDiv w:val="1"/>
      <w:marLeft w:val="0"/>
      <w:marRight w:val="0"/>
      <w:marTop w:val="0"/>
      <w:marBottom w:val="0"/>
      <w:divBdr>
        <w:top w:val="none" w:sz="0" w:space="0" w:color="auto"/>
        <w:left w:val="none" w:sz="0" w:space="0" w:color="auto"/>
        <w:bottom w:val="none" w:sz="0" w:space="0" w:color="auto"/>
        <w:right w:val="none" w:sz="0" w:space="0" w:color="auto"/>
      </w:divBdr>
    </w:div>
    <w:div w:id="27419647">
      <w:bodyDiv w:val="1"/>
      <w:marLeft w:val="0"/>
      <w:marRight w:val="0"/>
      <w:marTop w:val="0"/>
      <w:marBottom w:val="0"/>
      <w:divBdr>
        <w:top w:val="none" w:sz="0" w:space="0" w:color="auto"/>
        <w:left w:val="none" w:sz="0" w:space="0" w:color="auto"/>
        <w:bottom w:val="none" w:sz="0" w:space="0" w:color="auto"/>
        <w:right w:val="none" w:sz="0" w:space="0" w:color="auto"/>
      </w:divBdr>
    </w:div>
    <w:div w:id="27924366">
      <w:bodyDiv w:val="1"/>
      <w:marLeft w:val="0"/>
      <w:marRight w:val="0"/>
      <w:marTop w:val="0"/>
      <w:marBottom w:val="0"/>
      <w:divBdr>
        <w:top w:val="none" w:sz="0" w:space="0" w:color="auto"/>
        <w:left w:val="none" w:sz="0" w:space="0" w:color="auto"/>
        <w:bottom w:val="none" w:sz="0" w:space="0" w:color="auto"/>
        <w:right w:val="none" w:sz="0" w:space="0" w:color="auto"/>
      </w:divBdr>
    </w:div>
    <w:div w:id="34278957">
      <w:bodyDiv w:val="1"/>
      <w:marLeft w:val="0"/>
      <w:marRight w:val="0"/>
      <w:marTop w:val="0"/>
      <w:marBottom w:val="0"/>
      <w:divBdr>
        <w:top w:val="none" w:sz="0" w:space="0" w:color="auto"/>
        <w:left w:val="none" w:sz="0" w:space="0" w:color="auto"/>
        <w:bottom w:val="none" w:sz="0" w:space="0" w:color="auto"/>
        <w:right w:val="none" w:sz="0" w:space="0" w:color="auto"/>
      </w:divBdr>
    </w:div>
    <w:div w:id="38936654">
      <w:bodyDiv w:val="1"/>
      <w:marLeft w:val="0"/>
      <w:marRight w:val="0"/>
      <w:marTop w:val="0"/>
      <w:marBottom w:val="0"/>
      <w:divBdr>
        <w:top w:val="none" w:sz="0" w:space="0" w:color="auto"/>
        <w:left w:val="none" w:sz="0" w:space="0" w:color="auto"/>
        <w:bottom w:val="none" w:sz="0" w:space="0" w:color="auto"/>
        <w:right w:val="none" w:sz="0" w:space="0" w:color="auto"/>
      </w:divBdr>
    </w:div>
    <w:div w:id="41634409">
      <w:bodyDiv w:val="1"/>
      <w:marLeft w:val="0"/>
      <w:marRight w:val="0"/>
      <w:marTop w:val="0"/>
      <w:marBottom w:val="0"/>
      <w:divBdr>
        <w:top w:val="none" w:sz="0" w:space="0" w:color="auto"/>
        <w:left w:val="none" w:sz="0" w:space="0" w:color="auto"/>
        <w:bottom w:val="none" w:sz="0" w:space="0" w:color="auto"/>
        <w:right w:val="none" w:sz="0" w:space="0" w:color="auto"/>
      </w:divBdr>
    </w:div>
    <w:div w:id="43021844">
      <w:bodyDiv w:val="1"/>
      <w:marLeft w:val="0"/>
      <w:marRight w:val="0"/>
      <w:marTop w:val="0"/>
      <w:marBottom w:val="0"/>
      <w:divBdr>
        <w:top w:val="none" w:sz="0" w:space="0" w:color="auto"/>
        <w:left w:val="none" w:sz="0" w:space="0" w:color="auto"/>
        <w:bottom w:val="none" w:sz="0" w:space="0" w:color="auto"/>
        <w:right w:val="none" w:sz="0" w:space="0" w:color="auto"/>
      </w:divBdr>
    </w:div>
    <w:div w:id="43523660">
      <w:bodyDiv w:val="1"/>
      <w:marLeft w:val="0"/>
      <w:marRight w:val="0"/>
      <w:marTop w:val="0"/>
      <w:marBottom w:val="0"/>
      <w:divBdr>
        <w:top w:val="none" w:sz="0" w:space="0" w:color="auto"/>
        <w:left w:val="none" w:sz="0" w:space="0" w:color="auto"/>
        <w:bottom w:val="none" w:sz="0" w:space="0" w:color="auto"/>
        <w:right w:val="none" w:sz="0" w:space="0" w:color="auto"/>
      </w:divBdr>
    </w:div>
    <w:div w:id="44574659">
      <w:bodyDiv w:val="1"/>
      <w:marLeft w:val="0"/>
      <w:marRight w:val="0"/>
      <w:marTop w:val="0"/>
      <w:marBottom w:val="0"/>
      <w:divBdr>
        <w:top w:val="none" w:sz="0" w:space="0" w:color="auto"/>
        <w:left w:val="none" w:sz="0" w:space="0" w:color="auto"/>
        <w:bottom w:val="none" w:sz="0" w:space="0" w:color="auto"/>
        <w:right w:val="none" w:sz="0" w:space="0" w:color="auto"/>
      </w:divBdr>
    </w:div>
    <w:div w:id="51923994">
      <w:bodyDiv w:val="1"/>
      <w:marLeft w:val="0"/>
      <w:marRight w:val="0"/>
      <w:marTop w:val="0"/>
      <w:marBottom w:val="0"/>
      <w:divBdr>
        <w:top w:val="none" w:sz="0" w:space="0" w:color="auto"/>
        <w:left w:val="none" w:sz="0" w:space="0" w:color="auto"/>
        <w:bottom w:val="none" w:sz="0" w:space="0" w:color="auto"/>
        <w:right w:val="none" w:sz="0" w:space="0" w:color="auto"/>
      </w:divBdr>
    </w:div>
    <w:div w:id="53310646">
      <w:bodyDiv w:val="1"/>
      <w:marLeft w:val="0"/>
      <w:marRight w:val="0"/>
      <w:marTop w:val="0"/>
      <w:marBottom w:val="0"/>
      <w:divBdr>
        <w:top w:val="none" w:sz="0" w:space="0" w:color="auto"/>
        <w:left w:val="none" w:sz="0" w:space="0" w:color="auto"/>
        <w:bottom w:val="none" w:sz="0" w:space="0" w:color="auto"/>
        <w:right w:val="none" w:sz="0" w:space="0" w:color="auto"/>
      </w:divBdr>
    </w:div>
    <w:div w:id="59984304">
      <w:bodyDiv w:val="1"/>
      <w:marLeft w:val="0"/>
      <w:marRight w:val="0"/>
      <w:marTop w:val="0"/>
      <w:marBottom w:val="0"/>
      <w:divBdr>
        <w:top w:val="none" w:sz="0" w:space="0" w:color="auto"/>
        <w:left w:val="none" w:sz="0" w:space="0" w:color="auto"/>
        <w:bottom w:val="none" w:sz="0" w:space="0" w:color="auto"/>
        <w:right w:val="none" w:sz="0" w:space="0" w:color="auto"/>
      </w:divBdr>
    </w:div>
    <w:div w:id="61756874">
      <w:bodyDiv w:val="1"/>
      <w:marLeft w:val="0"/>
      <w:marRight w:val="0"/>
      <w:marTop w:val="0"/>
      <w:marBottom w:val="0"/>
      <w:divBdr>
        <w:top w:val="none" w:sz="0" w:space="0" w:color="auto"/>
        <w:left w:val="none" w:sz="0" w:space="0" w:color="auto"/>
        <w:bottom w:val="none" w:sz="0" w:space="0" w:color="auto"/>
        <w:right w:val="none" w:sz="0" w:space="0" w:color="auto"/>
      </w:divBdr>
    </w:div>
    <w:div w:id="69037374">
      <w:bodyDiv w:val="1"/>
      <w:marLeft w:val="0"/>
      <w:marRight w:val="0"/>
      <w:marTop w:val="0"/>
      <w:marBottom w:val="0"/>
      <w:divBdr>
        <w:top w:val="none" w:sz="0" w:space="0" w:color="auto"/>
        <w:left w:val="none" w:sz="0" w:space="0" w:color="auto"/>
        <w:bottom w:val="none" w:sz="0" w:space="0" w:color="auto"/>
        <w:right w:val="none" w:sz="0" w:space="0" w:color="auto"/>
      </w:divBdr>
    </w:div>
    <w:div w:id="73861687">
      <w:bodyDiv w:val="1"/>
      <w:marLeft w:val="0"/>
      <w:marRight w:val="0"/>
      <w:marTop w:val="0"/>
      <w:marBottom w:val="0"/>
      <w:divBdr>
        <w:top w:val="none" w:sz="0" w:space="0" w:color="auto"/>
        <w:left w:val="none" w:sz="0" w:space="0" w:color="auto"/>
        <w:bottom w:val="none" w:sz="0" w:space="0" w:color="auto"/>
        <w:right w:val="none" w:sz="0" w:space="0" w:color="auto"/>
      </w:divBdr>
    </w:div>
    <w:div w:id="76445769">
      <w:bodyDiv w:val="1"/>
      <w:marLeft w:val="0"/>
      <w:marRight w:val="0"/>
      <w:marTop w:val="0"/>
      <w:marBottom w:val="0"/>
      <w:divBdr>
        <w:top w:val="none" w:sz="0" w:space="0" w:color="auto"/>
        <w:left w:val="none" w:sz="0" w:space="0" w:color="auto"/>
        <w:bottom w:val="none" w:sz="0" w:space="0" w:color="auto"/>
        <w:right w:val="none" w:sz="0" w:space="0" w:color="auto"/>
      </w:divBdr>
    </w:div>
    <w:div w:id="78606065">
      <w:bodyDiv w:val="1"/>
      <w:marLeft w:val="0"/>
      <w:marRight w:val="0"/>
      <w:marTop w:val="0"/>
      <w:marBottom w:val="0"/>
      <w:divBdr>
        <w:top w:val="none" w:sz="0" w:space="0" w:color="auto"/>
        <w:left w:val="none" w:sz="0" w:space="0" w:color="auto"/>
        <w:bottom w:val="none" w:sz="0" w:space="0" w:color="auto"/>
        <w:right w:val="none" w:sz="0" w:space="0" w:color="auto"/>
      </w:divBdr>
    </w:div>
    <w:div w:id="80107620">
      <w:bodyDiv w:val="1"/>
      <w:marLeft w:val="0"/>
      <w:marRight w:val="0"/>
      <w:marTop w:val="0"/>
      <w:marBottom w:val="0"/>
      <w:divBdr>
        <w:top w:val="none" w:sz="0" w:space="0" w:color="auto"/>
        <w:left w:val="none" w:sz="0" w:space="0" w:color="auto"/>
        <w:bottom w:val="none" w:sz="0" w:space="0" w:color="auto"/>
        <w:right w:val="none" w:sz="0" w:space="0" w:color="auto"/>
      </w:divBdr>
    </w:div>
    <w:div w:id="88427613">
      <w:bodyDiv w:val="1"/>
      <w:marLeft w:val="0"/>
      <w:marRight w:val="0"/>
      <w:marTop w:val="0"/>
      <w:marBottom w:val="0"/>
      <w:divBdr>
        <w:top w:val="none" w:sz="0" w:space="0" w:color="auto"/>
        <w:left w:val="none" w:sz="0" w:space="0" w:color="auto"/>
        <w:bottom w:val="none" w:sz="0" w:space="0" w:color="auto"/>
        <w:right w:val="none" w:sz="0" w:space="0" w:color="auto"/>
      </w:divBdr>
    </w:div>
    <w:div w:id="89549263">
      <w:bodyDiv w:val="1"/>
      <w:marLeft w:val="0"/>
      <w:marRight w:val="0"/>
      <w:marTop w:val="0"/>
      <w:marBottom w:val="0"/>
      <w:divBdr>
        <w:top w:val="none" w:sz="0" w:space="0" w:color="auto"/>
        <w:left w:val="none" w:sz="0" w:space="0" w:color="auto"/>
        <w:bottom w:val="none" w:sz="0" w:space="0" w:color="auto"/>
        <w:right w:val="none" w:sz="0" w:space="0" w:color="auto"/>
      </w:divBdr>
    </w:div>
    <w:div w:id="91171960">
      <w:bodyDiv w:val="1"/>
      <w:marLeft w:val="0"/>
      <w:marRight w:val="0"/>
      <w:marTop w:val="0"/>
      <w:marBottom w:val="0"/>
      <w:divBdr>
        <w:top w:val="none" w:sz="0" w:space="0" w:color="auto"/>
        <w:left w:val="none" w:sz="0" w:space="0" w:color="auto"/>
        <w:bottom w:val="none" w:sz="0" w:space="0" w:color="auto"/>
        <w:right w:val="none" w:sz="0" w:space="0" w:color="auto"/>
      </w:divBdr>
    </w:div>
    <w:div w:id="92477510">
      <w:bodyDiv w:val="1"/>
      <w:marLeft w:val="0"/>
      <w:marRight w:val="0"/>
      <w:marTop w:val="0"/>
      <w:marBottom w:val="0"/>
      <w:divBdr>
        <w:top w:val="none" w:sz="0" w:space="0" w:color="auto"/>
        <w:left w:val="none" w:sz="0" w:space="0" w:color="auto"/>
        <w:bottom w:val="none" w:sz="0" w:space="0" w:color="auto"/>
        <w:right w:val="none" w:sz="0" w:space="0" w:color="auto"/>
      </w:divBdr>
    </w:div>
    <w:div w:id="102917438">
      <w:bodyDiv w:val="1"/>
      <w:marLeft w:val="0"/>
      <w:marRight w:val="0"/>
      <w:marTop w:val="0"/>
      <w:marBottom w:val="0"/>
      <w:divBdr>
        <w:top w:val="none" w:sz="0" w:space="0" w:color="auto"/>
        <w:left w:val="none" w:sz="0" w:space="0" w:color="auto"/>
        <w:bottom w:val="none" w:sz="0" w:space="0" w:color="auto"/>
        <w:right w:val="none" w:sz="0" w:space="0" w:color="auto"/>
      </w:divBdr>
    </w:div>
    <w:div w:id="106313857">
      <w:bodyDiv w:val="1"/>
      <w:marLeft w:val="0"/>
      <w:marRight w:val="0"/>
      <w:marTop w:val="0"/>
      <w:marBottom w:val="0"/>
      <w:divBdr>
        <w:top w:val="none" w:sz="0" w:space="0" w:color="auto"/>
        <w:left w:val="none" w:sz="0" w:space="0" w:color="auto"/>
        <w:bottom w:val="none" w:sz="0" w:space="0" w:color="auto"/>
        <w:right w:val="none" w:sz="0" w:space="0" w:color="auto"/>
      </w:divBdr>
    </w:div>
    <w:div w:id="118652178">
      <w:bodyDiv w:val="1"/>
      <w:marLeft w:val="0"/>
      <w:marRight w:val="0"/>
      <w:marTop w:val="0"/>
      <w:marBottom w:val="0"/>
      <w:divBdr>
        <w:top w:val="none" w:sz="0" w:space="0" w:color="auto"/>
        <w:left w:val="none" w:sz="0" w:space="0" w:color="auto"/>
        <w:bottom w:val="none" w:sz="0" w:space="0" w:color="auto"/>
        <w:right w:val="none" w:sz="0" w:space="0" w:color="auto"/>
      </w:divBdr>
    </w:div>
    <w:div w:id="128012440">
      <w:bodyDiv w:val="1"/>
      <w:marLeft w:val="0"/>
      <w:marRight w:val="0"/>
      <w:marTop w:val="0"/>
      <w:marBottom w:val="0"/>
      <w:divBdr>
        <w:top w:val="none" w:sz="0" w:space="0" w:color="auto"/>
        <w:left w:val="none" w:sz="0" w:space="0" w:color="auto"/>
        <w:bottom w:val="none" w:sz="0" w:space="0" w:color="auto"/>
        <w:right w:val="none" w:sz="0" w:space="0" w:color="auto"/>
      </w:divBdr>
    </w:div>
    <w:div w:id="132137248">
      <w:bodyDiv w:val="1"/>
      <w:marLeft w:val="0"/>
      <w:marRight w:val="0"/>
      <w:marTop w:val="0"/>
      <w:marBottom w:val="0"/>
      <w:divBdr>
        <w:top w:val="none" w:sz="0" w:space="0" w:color="auto"/>
        <w:left w:val="none" w:sz="0" w:space="0" w:color="auto"/>
        <w:bottom w:val="none" w:sz="0" w:space="0" w:color="auto"/>
        <w:right w:val="none" w:sz="0" w:space="0" w:color="auto"/>
      </w:divBdr>
    </w:div>
    <w:div w:id="132842677">
      <w:bodyDiv w:val="1"/>
      <w:marLeft w:val="0"/>
      <w:marRight w:val="0"/>
      <w:marTop w:val="0"/>
      <w:marBottom w:val="0"/>
      <w:divBdr>
        <w:top w:val="none" w:sz="0" w:space="0" w:color="auto"/>
        <w:left w:val="none" w:sz="0" w:space="0" w:color="auto"/>
        <w:bottom w:val="none" w:sz="0" w:space="0" w:color="auto"/>
        <w:right w:val="none" w:sz="0" w:space="0" w:color="auto"/>
      </w:divBdr>
    </w:div>
    <w:div w:id="145053831">
      <w:bodyDiv w:val="1"/>
      <w:marLeft w:val="0"/>
      <w:marRight w:val="0"/>
      <w:marTop w:val="0"/>
      <w:marBottom w:val="0"/>
      <w:divBdr>
        <w:top w:val="none" w:sz="0" w:space="0" w:color="auto"/>
        <w:left w:val="none" w:sz="0" w:space="0" w:color="auto"/>
        <w:bottom w:val="none" w:sz="0" w:space="0" w:color="auto"/>
        <w:right w:val="none" w:sz="0" w:space="0" w:color="auto"/>
      </w:divBdr>
    </w:div>
    <w:div w:id="146019528">
      <w:bodyDiv w:val="1"/>
      <w:marLeft w:val="0"/>
      <w:marRight w:val="0"/>
      <w:marTop w:val="0"/>
      <w:marBottom w:val="0"/>
      <w:divBdr>
        <w:top w:val="none" w:sz="0" w:space="0" w:color="auto"/>
        <w:left w:val="none" w:sz="0" w:space="0" w:color="auto"/>
        <w:bottom w:val="none" w:sz="0" w:space="0" w:color="auto"/>
        <w:right w:val="none" w:sz="0" w:space="0" w:color="auto"/>
      </w:divBdr>
    </w:div>
    <w:div w:id="158886692">
      <w:bodyDiv w:val="1"/>
      <w:marLeft w:val="0"/>
      <w:marRight w:val="0"/>
      <w:marTop w:val="0"/>
      <w:marBottom w:val="0"/>
      <w:divBdr>
        <w:top w:val="none" w:sz="0" w:space="0" w:color="auto"/>
        <w:left w:val="none" w:sz="0" w:space="0" w:color="auto"/>
        <w:bottom w:val="none" w:sz="0" w:space="0" w:color="auto"/>
        <w:right w:val="none" w:sz="0" w:space="0" w:color="auto"/>
      </w:divBdr>
    </w:div>
    <w:div w:id="161239033">
      <w:bodyDiv w:val="1"/>
      <w:marLeft w:val="0"/>
      <w:marRight w:val="0"/>
      <w:marTop w:val="0"/>
      <w:marBottom w:val="0"/>
      <w:divBdr>
        <w:top w:val="none" w:sz="0" w:space="0" w:color="auto"/>
        <w:left w:val="none" w:sz="0" w:space="0" w:color="auto"/>
        <w:bottom w:val="none" w:sz="0" w:space="0" w:color="auto"/>
        <w:right w:val="none" w:sz="0" w:space="0" w:color="auto"/>
      </w:divBdr>
    </w:div>
    <w:div w:id="161480751">
      <w:bodyDiv w:val="1"/>
      <w:marLeft w:val="0"/>
      <w:marRight w:val="0"/>
      <w:marTop w:val="0"/>
      <w:marBottom w:val="0"/>
      <w:divBdr>
        <w:top w:val="none" w:sz="0" w:space="0" w:color="auto"/>
        <w:left w:val="none" w:sz="0" w:space="0" w:color="auto"/>
        <w:bottom w:val="none" w:sz="0" w:space="0" w:color="auto"/>
        <w:right w:val="none" w:sz="0" w:space="0" w:color="auto"/>
      </w:divBdr>
    </w:div>
    <w:div w:id="163013344">
      <w:bodyDiv w:val="1"/>
      <w:marLeft w:val="0"/>
      <w:marRight w:val="0"/>
      <w:marTop w:val="0"/>
      <w:marBottom w:val="0"/>
      <w:divBdr>
        <w:top w:val="none" w:sz="0" w:space="0" w:color="auto"/>
        <w:left w:val="none" w:sz="0" w:space="0" w:color="auto"/>
        <w:bottom w:val="none" w:sz="0" w:space="0" w:color="auto"/>
        <w:right w:val="none" w:sz="0" w:space="0" w:color="auto"/>
      </w:divBdr>
    </w:div>
    <w:div w:id="163325414">
      <w:bodyDiv w:val="1"/>
      <w:marLeft w:val="0"/>
      <w:marRight w:val="0"/>
      <w:marTop w:val="0"/>
      <w:marBottom w:val="0"/>
      <w:divBdr>
        <w:top w:val="none" w:sz="0" w:space="0" w:color="auto"/>
        <w:left w:val="none" w:sz="0" w:space="0" w:color="auto"/>
        <w:bottom w:val="none" w:sz="0" w:space="0" w:color="auto"/>
        <w:right w:val="none" w:sz="0" w:space="0" w:color="auto"/>
      </w:divBdr>
    </w:div>
    <w:div w:id="164252792">
      <w:bodyDiv w:val="1"/>
      <w:marLeft w:val="0"/>
      <w:marRight w:val="0"/>
      <w:marTop w:val="0"/>
      <w:marBottom w:val="0"/>
      <w:divBdr>
        <w:top w:val="none" w:sz="0" w:space="0" w:color="auto"/>
        <w:left w:val="none" w:sz="0" w:space="0" w:color="auto"/>
        <w:bottom w:val="none" w:sz="0" w:space="0" w:color="auto"/>
        <w:right w:val="none" w:sz="0" w:space="0" w:color="auto"/>
      </w:divBdr>
    </w:div>
    <w:div w:id="168448579">
      <w:bodyDiv w:val="1"/>
      <w:marLeft w:val="0"/>
      <w:marRight w:val="0"/>
      <w:marTop w:val="0"/>
      <w:marBottom w:val="0"/>
      <w:divBdr>
        <w:top w:val="none" w:sz="0" w:space="0" w:color="auto"/>
        <w:left w:val="none" w:sz="0" w:space="0" w:color="auto"/>
        <w:bottom w:val="none" w:sz="0" w:space="0" w:color="auto"/>
        <w:right w:val="none" w:sz="0" w:space="0" w:color="auto"/>
      </w:divBdr>
    </w:div>
    <w:div w:id="171996108">
      <w:bodyDiv w:val="1"/>
      <w:marLeft w:val="0"/>
      <w:marRight w:val="0"/>
      <w:marTop w:val="0"/>
      <w:marBottom w:val="0"/>
      <w:divBdr>
        <w:top w:val="none" w:sz="0" w:space="0" w:color="auto"/>
        <w:left w:val="none" w:sz="0" w:space="0" w:color="auto"/>
        <w:bottom w:val="none" w:sz="0" w:space="0" w:color="auto"/>
        <w:right w:val="none" w:sz="0" w:space="0" w:color="auto"/>
      </w:divBdr>
    </w:div>
    <w:div w:id="173500001">
      <w:bodyDiv w:val="1"/>
      <w:marLeft w:val="0"/>
      <w:marRight w:val="0"/>
      <w:marTop w:val="0"/>
      <w:marBottom w:val="0"/>
      <w:divBdr>
        <w:top w:val="none" w:sz="0" w:space="0" w:color="auto"/>
        <w:left w:val="none" w:sz="0" w:space="0" w:color="auto"/>
        <w:bottom w:val="none" w:sz="0" w:space="0" w:color="auto"/>
        <w:right w:val="none" w:sz="0" w:space="0" w:color="auto"/>
      </w:divBdr>
    </w:div>
    <w:div w:id="175661490">
      <w:bodyDiv w:val="1"/>
      <w:marLeft w:val="0"/>
      <w:marRight w:val="0"/>
      <w:marTop w:val="0"/>
      <w:marBottom w:val="0"/>
      <w:divBdr>
        <w:top w:val="none" w:sz="0" w:space="0" w:color="auto"/>
        <w:left w:val="none" w:sz="0" w:space="0" w:color="auto"/>
        <w:bottom w:val="none" w:sz="0" w:space="0" w:color="auto"/>
        <w:right w:val="none" w:sz="0" w:space="0" w:color="auto"/>
      </w:divBdr>
    </w:div>
    <w:div w:id="180048992">
      <w:bodyDiv w:val="1"/>
      <w:marLeft w:val="0"/>
      <w:marRight w:val="0"/>
      <w:marTop w:val="0"/>
      <w:marBottom w:val="0"/>
      <w:divBdr>
        <w:top w:val="none" w:sz="0" w:space="0" w:color="auto"/>
        <w:left w:val="none" w:sz="0" w:space="0" w:color="auto"/>
        <w:bottom w:val="none" w:sz="0" w:space="0" w:color="auto"/>
        <w:right w:val="none" w:sz="0" w:space="0" w:color="auto"/>
      </w:divBdr>
    </w:div>
    <w:div w:id="181600846">
      <w:bodyDiv w:val="1"/>
      <w:marLeft w:val="0"/>
      <w:marRight w:val="0"/>
      <w:marTop w:val="0"/>
      <w:marBottom w:val="0"/>
      <w:divBdr>
        <w:top w:val="none" w:sz="0" w:space="0" w:color="auto"/>
        <w:left w:val="none" w:sz="0" w:space="0" w:color="auto"/>
        <w:bottom w:val="none" w:sz="0" w:space="0" w:color="auto"/>
        <w:right w:val="none" w:sz="0" w:space="0" w:color="auto"/>
      </w:divBdr>
    </w:div>
    <w:div w:id="181822990">
      <w:bodyDiv w:val="1"/>
      <w:marLeft w:val="0"/>
      <w:marRight w:val="0"/>
      <w:marTop w:val="0"/>
      <w:marBottom w:val="0"/>
      <w:divBdr>
        <w:top w:val="none" w:sz="0" w:space="0" w:color="auto"/>
        <w:left w:val="none" w:sz="0" w:space="0" w:color="auto"/>
        <w:bottom w:val="none" w:sz="0" w:space="0" w:color="auto"/>
        <w:right w:val="none" w:sz="0" w:space="0" w:color="auto"/>
      </w:divBdr>
    </w:div>
    <w:div w:id="191456481">
      <w:bodyDiv w:val="1"/>
      <w:marLeft w:val="0"/>
      <w:marRight w:val="0"/>
      <w:marTop w:val="0"/>
      <w:marBottom w:val="0"/>
      <w:divBdr>
        <w:top w:val="none" w:sz="0" w:space="0" w:color="auto"/>
        <w:left w:val="none" w:sz="0" w:space="0" w:color="auto"/>
        <w:bottom w:val="none" w:sz="0" w:space="0" w:color="auto"/>
        <w:right w:val="none" w:sz="0" w:space="0" w:color="auto"/>
      </w:divBdr>
    </w:div>
    <w:div w:id="209655284">
      <w:bodyDiv w:val="1"/>
      <w:marLeft w:val="0"/>
      <w:marRight w:val="0"/>
      <w:marTop w:val="0"/>
      <w:marBottom w:val="0"/>
      <w:divBdr>
        <w:top w:val="none" w:sz="0" w:space="0" w:color="auto"/>
        <w:left w:val="none" w:sz="0" w:space="0" w:color="auto"/>
        <w:bottom w:val="none" w:sz="0" w:space="0" w:color="auto"/>
        <w:right w:val="none" w:sz="0" w:space="0" w:color="auto"/>
      </w:divBdr>
    </w:div>
    <w:div w:id="224462268">
      <w:bodyDiv w:val="1"/>
      <w:marLeft w:val="0"/>
      <w:marRight w:val="0"/>
      <w:marTop w:val="0"/>
      <w:marBottom w:val="0"/>
      <w:divBdr>
        <w:top w:val="none" w:sz="0" w:space="0" w:color="auto"/>
        <w:left w:val="none" w:sz="0" w:space="0" w:color="auto"/>
        <w:bottom w:val="none" w:sz="0" w:space="0" w:color="auto"/>
        <w:right w:val="none" w:sz="0" w:space="0" w:color="auto"/>
      </w:divBdr>
    </w:div>
    <w:div w:id="225654397">
      <w:bodyDiv w:val="1"/>
      <w:marLeft w:val="0"/>
      <w:marRight w:val="0"/>
      <w:marTop w:val="0"/>
      <w:marBottom w:val="0"/>
      <w:divBdr>
        <w:top w:val="none" w:sz="0" w:space="0" w:color="auto"/>
        <w:left w:val="none" w:sz="0" w:space="0" w:color="auto"/>
        <w:bottom w:val="none" w:sz="0" w:space="0" w:color="auto"/>
        <w:right w:val="none" w:sz="0" w:space="0" w:color="auto"/>
      </w:divBdr>
    </w:div>
    <w:div w:id="235559434">
      <w:bodyDiv w:val="1"/>
      <w:marLeft w:val="0"/>
      <w:marRight w:val="0"/>
      <w:marTop w:val="0"/>
      <w:marBottom w:val="0"/>
      <w:divBdr>
        <w:top w:val="none" w:sz="0" w:space="0" w:color="auto"/>
        <w:left w:val="none" w:sz="0" w:space="0" w:color="auto"/>
        <w:bottom w:val="none" w:sz="0" w:space="0" w:color="auto"/>
        <w:right w:val="none" w:sz="0" w:space="0" w:color="auto"/>
      </w:divBdr>
    </w:div>
    <w:div w:id="235821091">
      <w:bodyDiv w:val="1"/>
      <w:marLeft w:val="0"/>
      <w:marRight w:val="0"/>
      <w:marTop w:val="0"/>
      <w:marBottom w:val="0"/>
      <w:divBdr>
        <w:top w:val="none" w:sz="0" w:space="0" w:color="auto"/>
        <w:left w:val="none" w:sz="0" w:space="0" w:color="auto"/>
        <w:bottom w:val="none" w:sz="0" w:space="0" w:color="auto"/>
        <w:right w:val="none" w:sz="0" w:space="0" w:color="auto"/>
      </w:divBdr>
    </w:div>
    <w:div w:id="249823942">
      <w:bodyDiv w:val="1"/>
      <w:marLeft w:val="0"/>
      <w:marRight w:val="0"/>
      <w:marTop w:val="0"/>
      <w:marBottom w:val="0"/>
      <w:divBdr>
        <w:top w:val="none" w:sz="0" w:space="0" w:color="auto"/>
        <w:left w:val="none" w:sz="0" w:space="0" w:color="auto"/>
        <w:bottom w:val="none" w:sz="0" w:space="0" w:color="auto"/>
        <w:right w:val="none" w:sz="0" w:space="0" w:color="auto"/>
      </w:divBdr>
    </w:div>
    <w:div w:id="250700556">
      <w:bodyDiv w:val="1"/>
      <w:marLeft w:val="0"/>
      <w:marRight w:val="0"/>
      <w:marTop w:val="0"/>
      <w:marBottom w:val="0"/>
      <w:divBdr>
        <w:top w:val="none" w:sz="0" w:space="0" w:color="auto"/>
        <w:left w:val="none" w:sz="0" w:space="0" w:color="auto"/>
        <w:bottom w:val="none" w:sz="0" w:space="0" w:color="auto"/>
        <w:right w:val="none" w:sz="0" w:space="0" w:color="auto"/>
      </w:divBdr>
    </w:div>
    <w:div w:id="255789266">
      <w:bodyDiv w:val="1"/>
      <w:marLeft w:val="0"/>
      <w:marRight w:val="0"/>
      <w:marTop w:val="0"/>
      <w:marBottom w:val="0"/>
      <w:divBdr>
        <w:top w:val="none" w:sz="0" w:space="0" w:color="auto"/>
        <w:left w:val="none" w:sz="0" w:space="0" w:color="auto"/>
        <w:bottom w:val="none" w:sz="0" w:space="0" w:color="auto"/>
        <w:right w:val="none" w:sz="0" w:space="0" w:color="auto"/>
      </w:divBdr>
    </w:div>
    <w:div w:id="261376342">
      <w:bodyDiv w:val="1"/>
      <w:marLeft w:val="0"/>
      <w:marRight w:val="0"/>
      <w:marTop w:val="0"/>
      <w:marBottom w:val="0"/>
      <w:divBdr>
        <w:top w:val="none" w:sz="0" w:space="0" w:color="auto"/>
        <w:left w:val="none" w:sz="0" w:space="0" w:color="auto"/>
        <w:bottom w:val="none" w:sz="0" w:space="0" w:color="auto"/>
        <w:right w:val="none" w:sz="0" w:space="0" w:color="auto"/>
      </w:divBdr>
    </w:div>
    <w:div w:id="272129734">
      <w:bodyDiv w:val="1"/>
      <w:marLeft w:val="0"/>
      <w:marRight w:val="0"/>
      <w:marTop w:val="0"/>
      <w:marBottom w:val="0"/>
      <w:divBdr>
        <w:top w:val="none" w:sz="0" w:space="0" w:color="auto"/>
        <w:left w:val="none" w:sz="0" w:space="0" w:color="auto"/>
        <w:bottom w:val="none" w:sz="0" w:space="0" w:color="auto"/>
        <w:right w:val="none" w:sz="0" w:space="0" w:color="auto"/>
      </w:divBdr>
    </w:div>
    <w:div w:id="276566225">
      <w:bodyDiv w:val="1"/>
      <w:marLeft w:val="0"/>
      <w:marRight w:val="0"/>
      <w:marTop w:val="0"/>
      <w:marBottom w:val="0"/>
      <w:divBdr>
        <w:top w:val="none" w:sz="0" w:space="0" w:color="auto"/>
        <w:left w:val="none" w:sz="0" w:space="0" w:color="auto"/>
        <w:bottom w:val="none" w:sz="0" w:space="0" w:color="auto"/>
        <w:right w:val="none" w:sz="0" w:space="0" w:color="auto"/>
      </w:divBdr>
    </w:div>
    <w:div w:id="278487993">
      <w:bodyDiv w:val="1"/>
      <w:marLeft w:val="0"/>
      <w:marRight w:val="0"/>
      <w:marTop w:val="0"/>
      <w:marBottom w:val="0"/>
      <w:divBdr>
        <w:top w:val="none" w:sz="0" w:space="0" w:color="auto"/>
        <w:left w:val="none" w:sz="0" w:space="0" w:color="auto"/>
        <w:bottom w:val="none" w:sz="0" w:space="0" w:color="auto"/>
        <w:right w:val="none" w:sz="0" w:space="0" w:color="auto"/>
      </w:divBdr>
    </w:div>
    <w:div w:id="291714787">
      <w:bodyDiv w:val="1"/>
      <w:marLeft w:val="0"/>
      <w:marRight w:val="0"/>
      <w:marTop w:val="0"/>
      <w:marBottom w:val="0"/>
      <w:divBdr>
        <w:top w:val="none" w:sz="0" w:space="0" w:color="auto"/>
        <w:left w:val="none" w:sz="0" w:space="0" w:color="auto"/>
        <w:bottom w:val="none" w:sz="0" w:space="0" w:color="auto"/>
        <w:right w:val="none" w:sz="0" w:space="0" w:color="auto"/>
      </w:divBdr>
    </w:div>
    <w:div w:id="294797085">
      <w:bodyDiv w:val="1"/>
      <w:marLeft w:val="0"/>
      <w:marRight w:val="0"/>
      <w:marTop w:val="0"/>
      <w:marBottom w:val="0"/>
      <w:divBdr>
        <w:top w:val="none" w:sz="0" w:space="0" w:color="auto"/>
        <w:left w:val="none" w:sz="0" w:space="0" w:color="auto"/>
        <w:bottom w:val="none" w:sz="0" w:space="0" w:color="auto"/>
        <w:right w:val="none" w:sz="0" w:space="0" w:color="auto"/>
      </w:divBdr>
    </w:div>
    <w:div w:id="296034995">
      <w:bodyDiv w:val="1"/>
      <w:marLeft w:val="0"/>
      <w:marRight w:val="0"/>
      <w:marTop w:val="0"/>
      <w:marBottom w:val="0"/>
      <w:divBdr>
        <w:top w:val="none" w:sz="0" w:space="0" w:color="auto"/>
        <w:left w:val="none" w:sz="0" w:space="0" w:color="auto"/>
        <w:bottom w:val="none" w:sz="0" w:space="0" w:color="auto"/>
        <w:right w:val="none" w:sz="0" w:space="0" w:color="auto"/>
      </w:divBdr>
    </w:div>
    <w:div w:id="296421981">
      <w:bodyDiv w:val="1"/>
      <w:marLeft w:val="0"/>
      <w:marRight w:val="0"/>
      <w:marTop w:val="0"/>
      <w:marBottom w:val="0"/>
      <w:divBdr>
        <w:top w:val="none" w:sz="0" w:space="0" w:color="auto"/>
        <w:left w:val="none" w:sz="0" w:space="0" w:color="auto"/>
        <w:bottom w:val="none" w:sz="0" w:space="0" w:color="auto"/>
        <w:right w:val="none" w:sz="0" w:space="0" w:color="auto"/>
      </w:divBdr>
    </w:div>
    <w:div w:id="322322986">
      <w:bodyDiv w:val="1"/>
      <w:marLeft w:val="0"/>
      <w:marRight w:val="0"/>
      <w:marTop w:val="0"/>
      <w:marBottom w:val="0"/>
      <w:divBdr>
        <w:top w:val="none" w:sz="0" w:space="0" w:color="auto"/>
        <w:left w:val="none" w:sz="0" w:space="0" w:color="auto"/>
        <w:bottom w:val="none" w:sz="0" w:space="0" w:color="auto"/>
        <w:right w:val="none" w:sz="0" w:space="0" w:color="auto"/>
      </w:divBdr>
    </w:div>
    <w:div w:id="322396943">
      <w:bodyDiv w:val="1"/>
      <w:marLeft w:val="0"/>
      <w:marRight w:val="0"/>
      <w:marTop w:val="0"/>
      <w:marBottom w:val="0"/>
      <w:divBdr>
        <w:top w:val="none" w:sz="0" w:space="0" w:color="auto"/>
        <w:left w:val="none" w:sz="0" w:space="0" w:color="auto"/>
        <w:bottom w:val="none" w:sz="0" w:space="0" w:color="auto"/>
        <w:right w:val="none" w:sz="0" w:space="0" w:color="auto"/>
      </w:divBdr>
    </w:div>
    <w:div w:id="326792801">
      <w:bodyDiv w:val="1"/>
      <w:marLeft w:val="0"/>
      <w:marRight w:val="0"/>
      <w:marTop w:val="0"/>
      <w:marBottom w:val="0"/>
      <w:divBdr>
        <w:top w:val="none" w:sz="0" w:space="0" w:color="auto"/>
        <w:left w:val="none" w:sz="0" w:space="0" w:color="auto"/>
        <w:bottom w:val="none" w:sz="0" w:space="0" w:color="auto"/>
        <w:right w:val="none" w:sz="0" w:space="0" w:color="auto"/>
      </w:divBdr>
    </w:div>
    <w:div w:id="345980627">
      <w:bodyDiv w:val="1"/>
      <w:marLeft w:val="0"/>
      <w:marRight w:val="0"/>
      <w:marTop w:val="0"/>
      <w:marBottom w:val="0"/>
      <w:divBdr>
        <w:top w:val="none" w:sz="0" w:space="0" w:color="auto"/>
        <w:left w:val="none" w:sz="0" w:space="0" w:color="auto"/>
        <w:bottom w:val="none" w:sz="0" w:space="0" w:color="auto"/>
        <w:right w:val="none" w:sz="0" w:space="0" w:color="auto"/>
      </w:divBdr>
    </w:div>
    <w:div w:id="353119969">
      <w:bodyDiv w:val="1"/>
      <w:marLeft w:val="0"/>
      <w:marRight w:val="0"/>
      <w:marTop w:val="0"/>
      <w:marBottom w:val="0"/>
      <w:divBdr>
        <w:top w:val="none" w:sz="0" w:space="0" w:color="auto"/>
        <w:left w:val="none" w:sz="0" w:space="0" w:color="auto"/>
        <w:bottom w:val="none" w:sz="0" w:space="0" w:color="auto"/>
        <w:right w:val="none" w:sz="0" w:space="0" w:color="auto"/>
      </w:divBdr>
    </w:div>
    <w:div w:id="368267971">
      <w:bodyDiv w:val="1"/>
      <w:marLeft w:val="0"/>
      <w:marRight w:val="0"/>
      <w:marTop w:val="0"/>
      <w:marBottom w:val="0"/>
      <w:divBdr>
        <w:top w:val="none" w:sz="0" w:space="0" w:color="auto"/>
        <w:left w:val="none" w:sz="0" w:space="0" w:color="auto"/>
        <w:bottom w:val="none" w:sz="0" w:space="0" w:color="auto"/>
        <w:right w:val="none" w:sz="0" w:space="0" w:color="auto"/>
      </w:divBdr>
    </w:div>
    <w:div w:id="369427774">
      <w:bodyDiv w:val="1"/>
      <w:marLeft w:val="0"/>
      <w:marRight w:val="0"/>
      <w:marTop w:val="0"/>
      <w:marBottom w:val="0"/>
      <w:divBdr>
        <w:top w:val="none" w:sz="0" w:space="0" w:color="auto"/>
        <w:left w:val="none" w:sz="0" w:space="0" w:color="auto"/>
        <w:bottom w:val="none" w:sz="0" w:space="0" w:color="auto"/>
        <w:right w:val="none" w:sz="0" w:space="0" w:color="auto"/>
      </w:divBdr>
    </w:div>
    <w:div w:id="371005425">
      <w:bodyDiv w:val="1"/>
      <w:marLeft w:val="0"/>
      <w:marRight w:val="0"/>
      <w:marTop w:val="0"/>
      <w:marBottom w:val="0"/>
      <w:divBdr>
        <w:top w:val="none" w:sz="0" w:space="0" w:color="auto"/>
        <w:left w:val="none" w:sz="0" w:space="0" w:color="auto"/>
        <w:bottom w:val="none" w:sz="0" w:space="0" w:color="auto"/>
        <w:right w:val="none" w:sz="0" w:space="0" w:color="auto"/>
      </w:divBdr>
    </w:div>
    <w:div w:id="372273353">
      <w:bodyDiv w:val="1"/>
      <w:marLeft w:val="0"/>
      <w:marRight w:val="0"/>
      <w:marTop w:val="0"/>
      <w:marBottom w:val="0"/>
      <w:divBdr>
        <w:top w:val="none" w:sz="0" w:space="0" w:color="auto"/>
        <w:left w:val="none" w:sz="0" w:space="0" w:color="auto"/>
        <w:bottom w:val="none" w:sz="0" w:space="0" w:color="auto"/>
        <w:right w:val="none" w:sz="0" w:space="0" w:color="auto"/>
      </w:divBdr>
    </w:div>
    <w:div w:id="376780954">
      <w:bodyDiv w:val="1"/>
      <w:marLeft w:val="0"/>
      <w:marRight w:val="0"/>
      <w:marTop w:val="0"/>
      <w:marBottom w:val="0"/>
      <w:divBdr>
        <w:top w:val="none" w:sz="0" w:space="0" w:color="auto"/>
        <w:left w:val="none" w:sz="0" w:space="0" w:color="auto"/>
        <w:bottom w:val="none" w:sz="0" w:space="0" w:color="auto"/>
        <w:right w:val="none" w:sz="0" w:space="0" w:color="auto"/>
      </w:divBdr>
    </w:div>
    <w:div w:id="377978246">
      <w:bodyDiv w:val="1"/>
      <w:marLeft w:val="0"/>
      <w:marRight w:val="0"/>
      <w:marTop w:val="0"/>
      <w:marBottom w:val="0"/>
      <w:divBdr>
        <w:top w:val="none" w:sz="0" w:space="0" w:color="auto"/>
        <w:left w:val="none" w:sz="0" w:space="0" w:color="auto"/>
        <w:bottom w:val="none" w:sz="0" w:space="0" w:color="auto"/>
        <w:right w:val="none" w:sz="0" w:space="0" w:color="auto"/>
      </w:divBdr>
    </w:div>
    <w:div w:id="379981090">
      <w:bodyDiv w:val="1"/>
      <w:marLeft w:val="0"/>
      <w:marRight w:val="0"/>
      <w:marTop w:val="0"/>
      <w:marBottom w:val="0"/>
      <w:divBdr>
        <w:top w:val="none" w:sz="0" w:space="0" w:color="auto"/>
        <w:left w:val="none" w:sz="0" w:space="0" w:color="auto"/>
        <w:bottom w:val="none" w:sz="0" w:space="0" w:color="auto"/>
        <w:right w:val="none" w:sz="0" w:space="0" w:color="auto"/>
      </w:divBdr>
    </w:div>
    <w:div w:id="380517452">
      <w:bodyDiv w:val="1"/>
      <w:marLeft w:val="0"/>
      <w:marRight w:val="0"/>
      <w:marTop w:val="0"/>
      <w:marBottom w:val="0"/>
      <w:divBdr>
        <w:top w:val="none" w:sz="0" w:space="0" w:color="auto"/>
        <w:left w:val="none" w:sz="0" w:space="0" w:color="auto"/>
        <w:bottom w:val="none" w:sz="0" w:space="0" w:color="auto"/>
        <w:right w:val="none" w:sz="0" w:space="0" w:color="auto"/>
      </w:divBdr>
    </w:div>
    <w:div w:id="386344588">
      <w:bodyDiv w:val="1"/>
      <w:marLeft w:val="0"/>
      <w:marRight w:val="0"/>
      <w:marTop w:val="0"/>
      <w:marBottom w:val="0"/>
      <w:divBdr>
        <w:top w:val="none" w:sz="0" w:space="0" w:color="auto"/>
        <w:left w:val="none" w:sz="0" w:space="0" w:color="auto"/>
        <w:bottom w:val="none" w:sz="0" w:space="0" w:color="auto"/>
        <w:right w:val="none" w:sz="0" w:space="0" w:color="auto"/>
      </w:divBdr>
    </w:div>
    <w:div w:id="387537077">
      <w:bodyDiv w:val="1"/>
      <w:marLeft w:val="0"/>
      <w:marRight w:val="0"/>
      <w:marTop w:val="0"/>
      <w:marBottom w:val="0"/>
      <w:divBdr>
        <w:top w:val="none" w:sz="0" w:space="0" w:color="auto"/>
        <w:left w:val="none" w:sz="0" w:space="0" w:color="auto"/>
        <w:bottom w:val="none" w:sz="0" w:space="0" w:color="auto"/>
        <w:right w:val="none" w:sz="0" w:space="0" w:color="auto"/>
      </w:divBdr>
    </w:div>
    <w:div w:id="410394005">
      <w:bodyDiv w:val="1"/>
      <w:marLeft w:val="0"/>
      <w:marRight w:val="0"/>
      <w:marTop w:val="0"/>
      <w:marBottom w:val="0"/>
      <w:divBdr>
        <w:top w:val="none" w:sz="0" w:space="0" w:color="auto"/>
        <w:left w:val="none" w:sz="0" w:space="0" w:color="auto"/>
        <w:bottom w:val="none" w:sz="0" w:space="0" w:color="auto"/>
        <w:right w:val="none" w:sz="0" w:space="0" w:color="auto"/>
      </w:divBdr>
    </w:div>
    <w:div w:id="414671197">
      <w:bodyDiv w:val="1"/>
      <w:marLeft w:val="0"/>
      <w:marRight w:val="0"/>
      <w:marTop w:val="0"/>
      <w:marBottom w:val="0"/>
      <w:divBdr>
        <w:top w:val="none" w:sz="0" w:space="0" w:color="auto"/>
        <w:left w:val="none" w:sz="0" w:space="0" w:color="auto"/>
        <w:bottom w:val="none" w:sz="0" w:space="0" w:color="auto"/>
        <w:right w:val="none" w:sz="0" w:space="0" w:color="auto"/>
      </w:divBdr>
    </w:div>
    <w:div w:id="417824639">
      <w:bodyDiv w:val="1"/>
      <w:marLeft w:val="0"/>
      <w:marRight w:val="0"/>
      <w:marTop w:val="0"/>
      <w:marBottom w:val="0"/>
      <w:divBdr>
        <w:top w:val="none" w:sz="0" w:space="0" w:color="auto"/>
        <w:left w:val="none" w:sz="0" w:space="0" w:color="auto"/>
        <w:bottom w:val="none" w:sz="0" w:space="0" w:color="auto"/>
        <w:right w:val="none" w:sz="0" w:space="0" w:color="auto"/>
      </w:divBdr>
    </w:div>
    <w:div w:id="425687133">
      <w:bodyDiv w:val="1"/>
      <w:marLeft w:val="0"/>
      <w:marRight w:val="0"/>
      <w:marTop w:val="0"/>
      <w:marBottom w:val="0"/>
      <w:divBdr>
        <w:top w:val="none" w:sz="0" w:space="0" w:color="auto"/>
        <w:left w:val="none" w:sz="0" w:space="0" w:color="auto"/>
        <w:bottom w:val="none" w:sz="0" w:space="0" w:color="auto"/>
        <w:right w:val="none" w:sz="0" w:space="0" w:color="auto"/>
      </w:divBdr>
    </w:div>
    <w:div w:id="442187079">
      <w:bodyDiv w:val="1"/>
      <w:marLeft w:val="0"/>
      <w:marRight w:val="0"/>
      <w:marTop w:val="0"/>
      <w:marBottom w:val="0"/>
      <w:divBdr>
        <w:top w:val="none" w:sz="0" w:space="0" w:color="auto"/>
        <w:left w:val="none" w:sz="0" w:space="0" w:color="auto"/>
        <w:bottom w:val="none" w:sz="0" w:space="0" w:color="auto"/>
        <w:right w:val="none" w:sz="0" w:space="0" w:color="auto"/>
      </w:divBdr>
    </w:div>
    <w:div w:id="444740181">
      <w:bodyDiv w:val="1"/>
      <w:marLeft w:val="0"/>
      <w:marRight w:val="0"/>
      <w:marTop w:val="0"/>
      <w:marBottom w:val="0"/>
      <w:divBdr>
        <w:top w:val="none" w:sz="0" w:space="0" w:color="auto"/>
        <w:left w:val="none" w:sz="0" w:space="0" w:color="auto"/>
        <w:bottom w:val="none" w:sz="0" w:space="0" w:color="auto"/>
        <w:right w:val="none" w:sz="0" w:space="0" w:color="auto"/>
      </w:divBdr>
    </w:div>
    <w:div w:id="445737905">
      <w:bodyDiv w:val="1"/>
      <w:marLeft w:val="0"/>
      <w:marRight w:val="0"/>
      <w:marTop w:val="0"/>
      <w:marBottom w:val="0"/>
      <w:divBdr>
        <w:top w:val="none" w:sz="0" w:space="0" w:color="auto"/>
        <w:left w:val="none" w:sz="0" w:space="0" w:color="auto"/>
        <w:bottom w:val="none" w:sz="0" w:space="0" w:color="auto"/>
        <w:right w:val="none" w:sz="0" w:space="0" w:color="auto"/>
      </w:divBdr>
    </w:div>
    <w:div w:id="447161005">
      <w:bodyDiv w:val="1"/>
      <w:marLeft w:val="0"/>
      <w:marRight w:val="0"/>
      <w:marTop w:val="0"/>
      <w:marBottom w:val="0"/>
      <w:divBdr>
        <w:top w:val="none" w:sz="0" w:space="0" w:color="auto"/>
        <w:left w:val="none" w:sz="0" w:space="0" w:color="auto"/>
        <w:bottom w:val="none" w:sz="0" w:space="0" w:color="auto"/>
        <w:right w:val="none" w:sz="0" w:space="0" w:color="auto"/>
      </w:divBdr>
    </w:div>
    <w:div w:id="448202213">
      <w:bodyDiv w:val="1"/>
      <w:marLeft w:val="0"/>
      <w:marRight w:val="0"/>
      <w:marTop w:val="0"/>
      <w:marBottom w:val="0"/>
      <w:divBdr>
        <w:top w:val="none" w:sz="0" w:space="0" w:color="auto"/>
        <w:left w:val="none" w:sz="0" w:space="0" w:color="auto"/>
        <w:bottom w:val="none" w:sz="0" w:space="0" w:color="auto"/>
        <w:right w:val="none" w:sz="0" w:space="0" w:color="auto"/>
      </w:divBdr>
    </w:div>
    <w:div w:id="452329596">
      <w:bodyDiv w:val="1"/>
      <w:marLeft w:val="0"/>
      <w:marRight w:val="0"/>
      <w:marTop w:val="0"/>
      <w:marBottom w:val="0"/>
      <w:divBdr>
        <w:top w:val="none" w:sz="0" w:space="0" w:color="auto"/>
        <w:left w:val="none" w:sz="0" w:space="0" w:color="auto"/>
        <w:bottom w:val="none" w:sz="0" w:space="0" w:color="auto"/>
        <w:right w:val="none" w:sz="0" w:space="0" w:color="auto"/>
      </w:divBdr>
    </w:div>
    <w:div w:id="454954764">
      <w:bodyDiv w:val="1"/>
      <w:marLeft w:val="0"/>
      <w:marRight w:val="0"/>
      <w:marTop w:val="0"/>
      <w:marBottom w:val="0"/>
      <w:divBdr>
        <w:top w:val="none" w:sz="0" w:space="0" w:color="auto"/>
        <w:left w:val="none" w:sz="0" w:space="0" w:color="auto"/>
        <w:bottom w:val="none" w:sz="0" w:space="0" w:color="auto"/>
        <w:right w:val="none" w:sz="0" w:space="0" w:color="auto"/>
      </w:divBdr>
    </w:div>
    <w:div w:id="456722269">
      <w:bodyDiv w:val="1"/>
      <w:marLeft w:val="0"/>
      <w:marRight w:val="0"/>
      <w:marTop w:val="0"/>
      <w:marBottom w:val="0"/>
      <w:divBdr>
        <w:top w:val="none" w:sz="0" w:space="0" w:color="auto"/>
        <w:left w:val="none" w:sz="0" w:space="0" w:color="auto"/>
        <w:bottom w:val="none" w:sz="0" w:space="0" w:color="auto"/>
        <w:right w:val="none" w:sz="0" w:space="0" w:color="auto"/>
      </w:divBdr>
    </w:div>
    <w:div w:id="457381896">
      <w:bodyDiv w:val="1"/>
      <w:marLeft w:val="0"/>
      <w:marRight w:val="0"/>
      <w:marTop w:val="0"/>
      <w:marBottom w:val="0"/>
      <w:divBdr>
        <w:top w:val="none" w:sz="0" w:space="0" w:color="auto"/>
        <w:left w:val="none" w:sz="0" w:space="0" w:color="auto"/>
        <w:bottom w:val="none" w:sz="0" w:space="0" w:color="auto"/>
        <w:right w:val="none" w:sz="0" w:space="0" w:color="auto"/>
      </w:divBdr>
    </w:div>
    <w:div w:id="458836274">
      <w:bodyDiv w:val="1"/>
      <w:marLeft w:val="0"/>
      <w:marRight w:val="0"/>
      <w:marTop w:val="0"/>
      <w:marBottom w:val="0"/>
      <w:divBdr>
        <w:top w:val="none" w:sz="0" w:space="0" w:color="auto"/>
        <w:left w:val="none" w:sz="0" w:space="0" w:color="auto"/>
        <w:bottom w:val="none" w:sz="0" w:space="0" w:color="auto"/>
        <w:right w:val="none" w:sz="0" w:space="0" w:color="auto"/>
      </w:divBdr>
    </w:div>
    <w:div w:id="466171786">
      <w:bodyDiv w:val="1"/>
      <w:marLeft w:val="0"/>
      <w:marRight w:val="0"/>
      <w:marTop w:val="0"/>
      <w:marBottom w:val="0"/>
      <w:divBdr>
        <w:top w:val="none" w:sz="0" w:space="0" w:color="auto"/>
        <w:left w:val="none" w:sz="0" w:space="0" w:color="auto"/>
        <w:bottom w:val="none" w:sz="0" w:space="0" w:color="auto"/>
        <w:right w:val="none" w:sz="0" w:space="0" w:color="auto"/>
      </w:divBdr>
    </w:div>
    <w:div w:id="468131293">
      <w:bodyDiv w:val="1"/>
      <w:marLeft w:val="0"/>
      <w:marRight w:val="0"/>
      <w:marTop w:val="0"/>
      <w:marBottom w:val="0"/>
      <w:divBdr>
        <w:top w:val="none" w:sz="0" w:space="0" w:color="auto"/>
        <w:left w:val="none" w:sz="0" w:space="0" w:color="auto"/>
        <w:bottom w:val="none" w:sz="0" w:space="0" w:color="auto"/>
        <w:right w:val="none" w:sz="0" w:space="0" w:color="auto"/>
      </w:divBdr>
    </w:div>
    <w:div w:id="470173495">
      <w:bodyDiv w:val="1"/>
      <w:marLeft w:val="0"/>
      <w:marRight w:val="0"/>
      <w:marTop w:val="0"/>
      <w:marBottom w:val="0"/>
      <w:divBdr>
        <w:top w:val="none" w:sz="0" w:space="0" w:color="auto"/>
        <w:left w:val="none" w:sz="0" w:space="0" w:color="auto"/>
        <w:bottom w:val="none" w:sz="0" w:space="0" w:color="auto"/>
        <w:right w:val="none" w:sz="0" w:space="0" w:color="auto"/>
      </w:divBdr>
    </w:div>
    <w:div w:id="479883129">
      <w:bodyDiv w:val="1"/>
      <w:marLeft w:val="0"/>
      <w:marRight w:val="0"/>
      <w:marTop w:val="0"/>
      <w:marBottom w:val="0"/>
      <w:divBdr>
        <w:top w:val="none" w:sz="0" w:space="0" w:color="auto"/>
        <w:left w:val="none" w:sz="0" w:space="0" w:color="auto"/>
        <w:bottom w:val="none" w:sz="0" w:space="0" w:color="auto"/>
        <w:right w:val="none" w:sz="0" w:space="0" w:color="auto"/>
      </w:divBdr>
    </w:div>
    <w:div w:id="484711197">
      <w:bodyDiv w:val="1"/>
      <w:marLeft w:val="0"/>
      <w:marRight w:val="0"/>
      <w:marTop w:val="0"/>
      <w:marBottom w:val="0"/>
      <w:divBdr>
        <w:top w:val="none" w:sz="0" w:space="0" w:color="auto"/>
        <w:left w:val="none" w:sz="0" w:space="0" w:color="auto"/>
        <w:bottom w:val="none" w:sz="0" w:space="0" w:color="auto"/>
        <w:right w:val="none" w:sz="0" w:space="0" w:color="auto"/>
      </w:divBdr>
    </w:div>
    <w:div w:id="485439835">
      <w:bodyDiv w:val="1"/>
      <w:marLeft w:val="0"/>
      <w:marRight w:val="0"/>
      <w:marTop w:val="0"/>
      <w:marBottom w:val="0"/>
      <w:divBdr>
        <w:top w:val="none" w:sz="0" w:space="0" w:color="auto"/>
        <w:left w:val="none" w:sz="0" w:space="0" w:color="auto"/>
        <w:bottom w:val="none" w:sz="0" w:space="0" w:color="auto"/>
        <w:right w:val="none" w:sz="0" w:space="0" w:color="auto"/>
      </w:divBdr>
    </w:div>
    <w:div w:id="486093870">
      <w:bodyDiv w:val="1"/>
      <w:marLeft w:val="0"/>
      <w:marRight w:val="0"/>
      <w:marTop w:val="0"/>
      <w:marBottom w:val="0"/>
      <w:divBdr>
        <w:top w:val="none" w:sz="0" w:space="0" w:color="auto"/>
        <w:left w:val="none" w:sz="0" w:space="0" w:color="auto"/>
        <w:bottom w:val="none" w:sz="0" w:space="0" w:color="auto"/>
        <w:right w:val="none" w:sz="0" w:space="0" w:color="auto"/>
      </w:divBdr>
    </w:div>
    <w:div w:id="487944102">
      <w:bodyDiv w:val="1"/>
      <w:marLeft w:val="0"/>
      <w:marRight w:val="0"/>
      <w:marTop w:val="0"/>
      <w:marBottom w:val="0"/>
      <w:divBdr>
        <w:top w:val="none" w:sz="0" w:space="0" w:color="auto"/>
        <w:left w:val="none" w:sz="0" w:space="0" w:color="auto"/>
        <w:bottom w:val="none" w:sz="0" w:space="0" w:color="auto"/>
        <w:right w:val="none" w:sz="0" w:space="0" w:color="auto"/>
      </w:divBdr>
    </w:div>
    <w:div w:id="488790833">
      <w:bodyDiv w:val="1"/>
      <w:marLeft w:val="0"/>
      <w:marRight w:val="0"/>
      <w:marTop w:val="0"/>
      <w:marBottom w:val="0"/>
      <w:divBdr>
        <w:top w:val="none" w:sz="0" w:space="0" w:color="auto"/>
        <w:left w:val="none" w:sz="0" w:space="0" w:color="auto"/>
        <w:bottom w:val="none" w:sz="0" w:space="0" w:color="auto"/>
        <w:right w:val="none" w:sz="0" w:space="0" w:color="auto"/>
      </w:divBdr>
    </w:div>
    <w:div w:id="502664148">
      <w:bodyDiv w:val="1"/>
      <w:marLeft w:val="0"/>
      <w:marRight w:val="0"/>
      <w:marTop w:val="0"/>
      <w:marBottom w:val="0"/>
      <w:divBdr>
        <w:top w:val="none" w:sz="0" w:space="0" w:color="auto"/>
        <w:left w:val="none" w:sz="0" w:space="0" w:color="auto"/>
        <w:bottom w:val="none" w:sz="0" w:space="0" w:color="auto"/>
        <w:right w:val="none" w:sz="0" w:space="0" w:color="auto"/>
      </w:divBdr>
    </w:div>
    <w:div w:id="526216077">
      <w:bodyDiv w:val="1"/>
      <w:marLeft w:val="0"/>
      <w:marRight w:val="0"/>
      <w:marTop w:val="0"/>
      <w:marBottom w:val="0"/>
      <w:divBdr>
        <w:top w:val="none" w:sz="0" w:space="0" w:color="auto"/>
        <w:left w:val="none" w:sz="0" w:space="0" w:color="auto"/>
        <w:bottom w:val="none" w:sz="0" w:space="0" w:color="auto"/>
        <w:right w:val="none" w:sz="0" w:space="0" w:color="auto"/>
      </w:divBdr>
    </w:div>
    <w:div w:id="526795228">
      <w:bodyDiv w:val="1"/>
      <w:marLeft w:val="0"/>
      <w:marRight w:val="0"/>
      <w:marTop w:val="0"/>
      <w:marBottom w:val="0"/>
      <w:divBdr>
        <w:top w:val="none" w:sz="0" w:space="0" w:color="auto"/>
        <w:left w:val="none" w:sz="0" w:space="0" w:color="auto"/>
        <w:bottom w:val="none" w:sz="0" w:space="0" w:color="auto"/>
        <w:right w:val="none" w:sz="0" w:space="0" w:color="auto"/>
      </w:divBdr>
    </w:div>
    <w:div w:id="527060344">
      <w:bodyDiv w:val="1"/>
      <w:marLeft w:val="0"/>
      <w:marRight w:val="0"/>
      <w:marTop w:val="0"/>
      <w:marBottom w:val="0"/>
      <w:divBdr>
        <w:top w:val="none" w:sz="0" w:space="0" w:color="auto"/>
        <w:left w:val="none" w:sz="0" w:space="0" w:color="auto"/>
        <w:bottom w:val="none" w:sz="0" w:space="0" w:color="auto"/>
        <w:right w:val="none" w:sz="0" w:space="0" w:color="auto"/>
      </w:divBdr>
    </w:div>
    <w:div w:id="530461596">
      <w:bodyDiv w:val="1"/>
      <w:marLeft w:val="0"/>
      <w:marRight w:val="0"/>
      <w:marTop w:val="0"/>
      <w:marBottom w:val="0"/>
      <w:divBdr>
        <w:top w:val="none" w:sz="0" w:space="0" w:color="auto"/>
        <w:left w:val="none" w:sz="0" w:space="0" w:color="auto"/>
        <w:bottom w:val="none" w:sz="0" w:space="0" w:color="auto"/>
        <w:right w:val="none" w:sz="0" w:space="0" w:color="auto"/>
      </w:divBdr>
    </w:div>
    <w:div w:id="533495383">
      <w:bodyDiv w:val="1"/>
      <w:marLeft w:val="0"/>
      <w:marRight w:val="0"/>
      <w:marTop w:val="0"/>
      <w:marBottom w:val="0"/>
      <w:divBdr>
        <w:top w:val="none" w:sz="0" w:space="0" w:color="auto"/>
        <w:left w:val="none" w:sz="0" w:space="0" w:color="auto"/>
        <w:bottom w:val="none" w:sz="0" w:space="0" w:color="auto"/>
        <w:right w:val="none" w:sz="0" w:space="0" w:color="auto"/>
      </w:divBdr>
    </w:div>
    <w:div w:id="545414323">
      <w:bodyDiv w:val="1"/>
      <w:marLeft w:val="0"/>
      <w:marRight w:val="0"/>
      <w:marTop w:val="0"/>
      <w:marBottom w:val="0"/>
      <w:divBdr>
        <w:top w:val="none" w:sz="0" w:space="0" w:color="auto"/>
        <w:left w:val="none" w:sz="0" w:space="0" w:color="auto"/>
        <w:bottom w:val="none" w:sz="0" w:space="0" w:color="auto"/>
        <w:right w:val="none" w:sz="0" w:space="0" w:color="auto"/>
      </w:divBdr>
    </w:div>
    <w:div w:id="552733430">
      <w:bodyDiv w:val="1"/>
      <w:marLeft w:val="0"/>
      <w:marRight w:val="0"/>
      <w:marTop w:val="0"/>
      <w:marBottom w:val="0"/>
      <w:divBdr>
        <w:top w:val="none" w:sz="0" w:space="0" w:color="auto"/>
        <w:left w:val="none" w:sz="0" w:space="0" w:color="auto"/>
        <w:bottom w:val="none" w:sz="0" w:space="0" w:color="auto"/>
        <w:right w:val="none" w:sz="0" w:space="0" w:color="auto"/>
      </w:divBdr>
    </w:div>
    <w:div w:id="554583206">
      <w:bodyDiv w:val="1"/>
      <w:marLeft w:val="0"/>
      <w:marRight w:val="0"/>
      <w:marTop w:val="0"/>
      <w:marBottom w:val="0"/>
      <w:divBdr>
        <w:top w:val="none" w:sz="0" w:space="0" w:color="auto"/>
        <w:left w:val="none" w:sz="0" w:space="0" w:color="auto"/>
        <w:bottom w:val="none" w:sz="0" w:space="0" w:color="auto"/>
        <w:right w:val="none" w:sz="0" w:space="0" w:color="auto"/>
      </w:divBdr>
    </w:div>
    <w:div w:id="562569865">
      <w:bodyDiv w:val="1"/>
      <w:marLeft w:val="0"/>
      <w:marRight w:val="0"/>
      <w:marTop w:val="0"/>
      <w:marBottom w:val="0"/>
      <w:divBdr>
        <w:top w:val="none" w:sz="0" w:space="0" w:color="auto"/>
        <w:left w:val="none" w:sz="0" w:space="0" w:color="auto"/>
        <w:bottom w:val="none" w:sz="0" w:space="0" w:color="auto"/>
        <w:right w:val="none" w:sz="0" w:space="0" w:color="auto"/>
      </w:divBdr>
    </w:div>
    <w:div w:id="567886545">
      <w:bodyDiv w:val="1"/>
      <w:marLeft w:val="0"/>
      <w:marRight w:val="0"/>
      <w:marTop w:val="0"/>
      <w:marBottom w:val="0"/>
      <w:divBdr>
        <w:top w:val="none" w:sz="0" w:space="0" w:color="auto"/>
        <w:left w:val="none" w:sz="0" w:space="0" w:color="auto"/>
        <w:bottom w:val="none" w:sz="0" w:space="0" w:color="auto"/>
        <w:right w:val="none" w:sz="0" w:space="0" w:color="auto"/>
      </w:divBdr>
    </w:div>
    <w:div w:id="571352039">
      <w:bodyDiv w:val="1"/>
      <w:marLeft w:val="0"/>
      <w:marRight w:val="0"/>
      <w:marTop w:val="0"/>
      <w:marBottom w:val="0"/>
      <w:divBdr>
        <w:top w:val="none" w:sz="0" w:space="0" w:color="auto"/>
        <w:left w:val="none" w:sz="0" w:space="0" w:color="auto"/>
        <w:bottom w:val="none" w:sz="0" w:space="0" w:color="auto"/>
        <w:right w:val="none" w:sz="0" w:space="0" w:color="auto"/>
      </w:divBdr>
    </w:div>
    <w:div w:id="580530428">
      <w:bodyDiv w:val="1"/>
      <w:marLeft w:val="0"/>
      <w:marRight w:val="0"/>
      <w:marTop w:val="0"/>
      <w:marBottom w:val="0"/>
      <w:divBdr>
        <w:top w:val="none" w:sz="0" w:space="0" w:color="auto"/>
        <w:left w:val="none" w:sz="0" w:space="0" w:color="auto"/>
        <w:bottom w:val="none" w:sz="0" w:space="0" w:color="auto"/>
        <w:right w:val="none" w:sz="0" w:space="0" w:color="auto"/>
      </w:divBdr>
    </w:div>
    <w:div w:id="589705805">
      <w:bodyDiv w:val="1"/>
      <w:marLeft w:val="0"/>
      <w:marRight w:val="0"/>
      <w:marTop w:val="0"/>
      <w:marBottom w:val="0"/>
      <w:divBdr>
        <w:top w:val="none" w:sz="0" w:space="0" w:color="auto"/>
        <w:left w:val="none" w:sz="0" w:space="0" w:color="auto"/>
        <w:bottom w:val="none" w:sz="0" w:space="0" w:color="auto"/>
        <w:right w:val="none" w:sz="0" w:space="0" w:color="auto"/>
      </w:divBdr>
    </w:div>
    <w:div w:id="591008334">
      <w:bodyDiv w:val="1"/>
      <w:marLeft w:val="0"/>
      <w:marRight w:val="0"/>
      <w:marTop w:val="0"/>
      <w:marBottom w:val="0"/>
      <w:divBdr>
        <w:top w:val="none" w:sz="0" w:space="0" w:color="auto"/>
        <w:left w:val="none" w:sz="0" w:space="0" w:color="auto"/>
        <w:bottom w:val="none" w:sz="0" w:space="0" w:color="auto"/>
        <w:right w:val="none" w:sz="0" w:space="0" w:color="auto"/>
      </w:divBdr>
    </w:div>
    <w:div w:id="592009255">
      <w:bodyDiv w:val="1"/>
      <w:marLeft w:val="0"/>
      <w:marRight w:val="0"/>
      <w:marTop w:val="0"/>
      <w:marBottom w:val="0"/>
      <w:divBdr>
        <w:top w:val="none" w:sz="0" w:space="0" w:color="auto"/>
        <w:left w:val="none" w:sz="0" w:space="0" w:color="auto"/>
        <w:bottom w:val="none" w:sz="0" w:space="0" w:color="auto"/>
        <w:right w:val="none" w:sz="0" w:space="0" w:color="auto"/>
      </w:divBdr>
    </w:div>
    <w:div w:id="592517083">
      <w:bodyDiv w:val="1"/>
      <w:marLeft w:val="0"/>
      <w:marRight w:val="0"/>
      <w:marTop w:val="0"/>
      <w:marBottom w:val="0"/>
      <w:divBdr>
        <w:top w:val="none" w:sz="0" w:space="0" w:color="auto"/>
        <w:left w:val="none" w:sz="0" w:space="0" w:color="auto"/>
        <w:bottom w:val="none" w:sz="0" w:space="0" w:color="auto"/>
        <w:right w:val="none" w:sz="0" w:space="0" w:color="auto"/>
      </w:divBdr>
    </w:div>
    <w:div w:id="593055428">
      <w:bodyDiv w:val="1"/>
      <w:marLeft w:val="0"/>
      <w:marRight w:val="0"/>
      <w:marTop w:val="0"/>
      <w:marBottom w:val="0"/>
      <w:divBdr>
        <w:top w:val="none" w:sz="0" w:space="0" w:color="auto"/>
        <w:left w:val="none" w:sz="0" w:space="0" w:color="auto"/>
        <w:bottom w:val="none" w:sz="0" w:space="0" w:color="auto"/>
        <w:right w:val="none" w:sz="0" w:space="0" w:color="auto"/>
      </w:divBdr>
    </w:div>
    <w:div w:id="596181093">
      <w:bodyDiv w:val="1"/>
      <w:marLeft w:val="0"/>
      <w:marRight w:val="0"/>
      <w:marTop w:val="0"/>
      <w:marBottom w:val="0"/>
      <w:divBdr>
        <w:top w:val="none" w:sz="0" w:space="0" w:color="auto"/>
        <w:left w:val="none" w:sz="0" w:space="0" w:color="auto"/>
        <w:bottom w:val="none" w:sz="0" w:space="0" w:color="auto"/>
        <w:right w:val="none" w:sz="0" w:space="0" w:color="auto"/>
      </w:divBdr>
    </w:div>
    <w:div w:id="600838121">
      <w:bodyDiv w:val="1"/>
      <w:marLeft w:val="0"/>
      <w:marRight w:val="0"/>
      <w:marTop w:val="0"/>
      <w:marBottom w:val="0"/>
      <w:divBdr>
        <w:top w:val="none" w:sz="0" w:space="0" w:color="auto"/>
        <w:left w:val="none" w:sz="0" w:space="0" w:color="auto"/>
        <w:bottom w:val="none" w:sz="0" w:space="0" w:color="auto"/>
        <w:right w:val="none" w:sz="0" w:space="0" w:color="auto"/>
      </w:divBdr>
    </w:div>
    <w:div w:id="600842299">
      <w:bodyDiv w:val="1"/>
      <w:marLeft w:val="0"/>
      <w:marRight w:val="0"/>
      <w:marTop w:val="0"/>
      <w:marBottom w:val="0"/>
      <w:divBdr>
        <w:top w:val="none" w:sz="0" w:space="0" w:color="auto"/>
        <w:left w:val="none" w:sz="0" w:space="0" w:color="auto"/>
        <w:bottom w:val="none" w:sz="0" w:space="0" w:color="auto"/>
        <w:right w:val="none" w:sz="0" w:space="0" w:color="auto"/>
      </w:divBdr>
    </w:div>
    <w:div w:id="601303506">
      <w:bodyDiv w:val="1"/>
      <w:marLeft w:val="0"/>
      <w:marRight w:val="0"/>
      <w:marTop w:val="0"/>
      <w:marBottom w:val="0"/>
      <w:divBdr>
        <w:top w:val="none" w:sz="0" w:space="0" w:color="auto"/>
        <w:left w:val="none" w:sz="0" w:space="0" w:color="auto"/>
        <w:bottom w:val="none" w:sz="0" w:space="0" w:color="auto"/>
        <w:right w:val="none" w:sz="0" w:space="0" w:color="auto"/>
      </w:divBdr>
    </w:div>
    <w:div w:id="601962319">
      <w:bodyDiv w:val="1"/>
      <w:marLeft w:val="0"/>
      <w:marRight w:val="0"/>
      <w:marTop w:val="0"/>
      <w:marBottom w:val="0"/>
      <w:divBdr>
        <w:top w:val="none" w:sz="0" w:space="0" w:color="auto"/>
        <w:left w:val="none" w:sz="0" w:space="0" w:color="auto"/>
        <w:bottom w:val="none" w:sz="0" w:space="0" w:color="auto"/>
        <w:right w:val="none" w:sz="0" w:space="0" w:color="auto"/>
      </w:divBdr>
    </w:div>
    <w:div w:id="607348868">
      <w:bodyDiv w:val="1"/>
      <w:marLeft w:val="0"/>
      <w:marRight w:val="0"/>
      <w:marTop w:val="0"/>
      <w:marBottom w:val="0"/>
      <w:divBdr>
        <w:top w:val="none" w:sz="0" w:space="0" w:color="auto"/>
        <w:left w:val="none" w:sz="0" w:space="0" w:color="auto"/>
        <w:bottom w:val="none" w:sz="0" w:space="0" w:color="auto"/>
        <w:right w:val="none" w:sz="0" w:space="0" w:color="auto"/>
      </w:divBdr>
    </w:div>
    <w:div w:id="610816398">
      <w:bodyDiv w:val="1"/>
      <w:marLeft w:val="0"/>
      <w:marRight w:val="0"/>
      <w:marTop w:val="0"/>
      <w:marBottom w:val="0"/>
      <w:divBdr>
        <w:top w:val="none" w:sz="0" w:space="0" w:color="auto"/>
        <w:left w:val="none" w:sz="0" w:space="0" w:color="auto"/>
        <w:bottom w:val="none" w:sz="0" w:space="0" w:color="auto"/>
        <w:right w:val="none" w:sz="0" w:space="0" w:color="auto"/>
      </w:divBdr>
    </w:div>
    <w:div w:id="621036755">
      <w:bodyDiv w:val="1"/>
      <w:marLeft w:val="0"/>
      <w:marRight w:val="0"/>
      <w:marTop w:val="0"/>
      <w:marBottom w:val="0"/>
      <w:divBdr>
        <w:top w:val="none" w:sz="0" w:space="0" w:color="auto"/>
        <w:left w:val="none" w:sz="0" w:space="0" w:color="auto"/>
        <w:bottom w:val="none" w:sz="0" w:space="0" w:color="auto"/>
        <w:right w:val="none" w:sz="0" w:space="0" w:color="auto"/>
      </w:divBdr>
    </w:div>
    <w:div w:id="631208534">
      <w:bodyDiv w:val="1"/>
      <w:marLeft w:val="0"/>
      <w:marRight w:val="0"/>
      <w:marTop w:val="0"/>
      <w:marBottom w:val="0"/>
      <w:divBdr>
        <w:top w:val="none" w:sz="0" w:space="0" w:color="auto"/>
        <w:left w:val="none" w:sz="0" w:space="0" w:color="auto"/>
        <w:bottom w:val="none" w:sz="0" w:space="0" w:color="auto"/>
        <w:right w:val="none" w:sz="0" w:space="0" w:color="auto"/>
      </w:divBdr>
    </w:div>
    <w:div w:id="631517463">
      <w:bodyDiv w:val="1"/>
      <w:marLeft w:val="0"/>
      <w:marRight w:val="0"/>
      <w:marTop w:val="0"/>
      <w:marBottom w:val="0"/>
      <w:divBdr>
        <w:top w:val="none" w:sz="0" w:space="0" w:color="auto"/>
        <w:left w:val="none" w:sz="0" w:space="0" w:color="auto"/>
        <w:bottom w:val="none" w:sz="0" w:space="0" w:color="auto"/>
        <w:right w:val="none" w:sz="0" w:space="0" w:color="auto"/>
      </w:divBdr>
    </w:div>
    <w:div w:id="637222888">
      <w:bodyDiv w:val="1"/>
      <w:marLeft w:val="0"/>
      <w:marRight w:val="0"/>
      <w:marTop w:val="0"/>
      <w:marBottom w:val="0"/>
      <w:divBdr>
        <w:top w:val="none" w:sz="0" w:space="0" w:color="auto"/>
        <w:left w:val="none" w:sz="0" w:space="0" w:color="auto"/>
        <w:bottom w:val="none" w:sz="0" w:space="0" w:color="auto"/>
        <w:right w:val="none" w:sz="0" w:space="0" w:color="auto"/>
      </w:divBdr>
    </w:div>
    <w:div w:id="640228454">
      <w:bodyDiv w:val="1"/>
      <w:marLeft w:val="0"/>
      <w:marRight w:val="0"/>
      <w:marTop w:val="0"/>
      <w:marBottom w:val="0"/>
      <w:divBdr>
        <w:top w:val="none" w:sz="0" w:space="0" w:color="auto"/>
        <w:left w:val="none" w:sz="0" w:space="0" w:color="auto"/>
        <w:bottom w:val="none" w:sz="0" w:space="0" w:color="auto"/>
        <w:right w:val="none" w:sz="0" w:space="0" w:color="auto"/>
      </w:divBdr>
    </w:div>
    <w:div w:id="647714108">
      <w:bodyDiv w:val="1"/>
      <w:marLeft w:val="0"/>
      <w:marRight w:val="0"/>
      <w:marTop w:val="0"/>
      <w:marBottom w:val="0"/>
      <w:divBdr>
        <w:top w:val="none" w:sz="0" w:space="0" w:color="auto"/>
        <w:left w:val="none" w:sz="0" w:space="0" w:color="auto"/>
        <w:bottom w:val="none" w:sz="0" w:space="0" w:color="auto"/>
        <w:right w:val="none" w:sz="0" w:space="0" w:color="auto"/>
      </w:divBdr>
    </w:div>
    <w:div w:id="670986290">
      <w:bodyDiv w:val="1"/>
      <w:marLeft w:val="0"/>
      <w:marRight w:val="0"/>
      <w:marTop w:val="0"/>
      <w:marBottom w:val="0"/>
      <w:divBdr>
        <w:top w:val="none" w:sz="0" w:space="0" w:color="auto"/>
        <w:left w:val="none" w:sz="0" w:space="0" w:color="auto"/>
        <w:bottom w:val="none" w:sz="0" w:space="0" w:color="auto"/>
        <w:right w:val="none" w:sz="0" w:space="0" w:color="auto"/>
      </w:divBdr>
    </w:div>
    <w:div w:id="676083544">
      <w:bodyDiv w:val="1"/>
      <w:marLeft w:val="0"/>
      <w:marRight w:val="0"/>
      <w:marTop w:val="0"/>
      <w:marBottom w:val="0"/>
      <w:divBdr>
        <w:top w:val="none" w:sz="0" w:space="0" w:color="auto"/>
        <w:left w:val="none" w:sz="0" w:space="0" w:color="auto"/>
        <w:bottom w:val="none" w:sz="0" w:space="0" w:color="auto"/>
        <w:right w:val="none" w:sz="0" w:space="0" w:color="auto"/>
      </w:divBdr>
    </w:div>
    <w:div w:id="682393474">
      <w:bodyDiv w:val="1"/>
      <w:marLeft w:val="0"/>
      <w:marRight w:val="0"/>
      <w:marTop w:val="0"/>
      <w:marBottom w:val="0"/>
      <w:divBdr>
        <w:top w:val="none" w:sz="0" w:space="0" w:color="auto"/>
        <w:left w:val="none" w:sz="0" w:space="0" w:color="auto"/>
        <w:bottom w:val="none" w:sz="0" w:space="0" w:color="auto"/>
        <w:right w:val="none" w:sz="0" w:space="0" w:color="auto"/>
      </w:divBdr>
    </w:div>
    <w:div w:id="687873452">
      <w:bodyDiv w:val="1"/>
      <w:marLeft w:val="0"/>
      <w:marRight w:val="0"/>
      <w:marTop w:val="0"/>
      <w:marBottom w:val="0"/>
      <w:divBdr>
        <w:top w:val="none" w:sz="0" w:space="0" w:color="auto"/>
        <w:left w:val="none" w:sz="0" w:space="0" w:color="auto"/>
        <w:bottom w:val="none" w:sz="0" w:space="0" w:color="auto"/>
        <w:right w:val="none" w:sz="0" w:space="0" w:color="auto"/>
      </w:divBdr>
    </w:div>
    <w:div w:id="690952865">
      <w:bodyDiv w:val="1"/>
      <w:marLeft w:val="0"/>
      <w:marRight w:val="0"/>
      <w:marTop w:val="0"/>
      <w:marBottom w:val="0"/>
      <w:divBdr>
        <w:top w:val="none" w:sz="0" w:space="0" w:color="auto"/>
        <w:left w:val="none" w:sz="0" w:space="0" w:color="auto"/>
        <w:bottom w:val="none" w:sz="0" w:space="0" w:color="auto"/>
        <w:right w:val="none" w:sz="0" w:space="0" w:color="auto"/>
      </w:divBdr>
    </w:div>
    <w:div w:id="695547581">
      <w:bodyDiv w:val="1"/>
      <w:marLeft w:val="0"/>
      <w:marRight w:val="0"/>
      <w:marTop w:val="0"/>
      <w:marBottom w:val="0"/>
      <w:divBdr>
        <w:top w:val="none" w:sz="0" w:space="0" w:color="auto"/>
        <w:left w:val="none" w:sz="0" w:space="0" w:color="auto"/>
        <w:bottom w:val="none" w:sz="0" w:space="0" w:color="auto"/>
        <w:right w:val="none" w:sz="0" w:space="0" w:color="auto"/>
      </w:divBdr>
    </w:div>
    <w:div w:id="696779293">
      <w:bodyDiv w:val="1"/>
      <w:marLeft w:val="0"/>
      <w:marRight w:val="0"/>
      <w:marTop w:val="0"/>
      <w:marBottom w:val="0"/>
      <w:divBdr>
        <w:top w:val="none" w:sz="0" w:space="0" w:color="auto"/>
        <w:left w:val="none" w:sz="0" w:space="0" w:color="auto"/>
        <w:bottom w:val="none" w:sz="0" w:space="0" w:color="auto"/>
        <w:right w:val="none" w:sz="0" w:space="0" w:color="auto"/>
      </w:divBdr>
    </w:div>
    <w:div w:id="698697697">
      <w:bodyDiv w:val="1"/>
      <w:marLeft w:val="0"/>
      <w:marRight w:val="0"/>
      <w:marTop w:val="0"/>
      <w:marBottom w:val="0"/>
      <w:divBdr>
        <w:top w:val="none" w:sz="0" w:space="0" w:color="auto"/>
        <w:left w:val="none" w:sz="0" w:space="0" w:color="auto"/>
        <w:bottom w:val="none" w:sz="0" w:space="0" w:color="auto"/>
        <w:right w:val="none" w:sz="0" w:space="0" w:color="auto"/>
      </w:divBdr>
    </w:div>
    <w:div w:id="700252396">
      <w:bodyDiv w:val="1"/>
      <w:marLeft w:val="0"/>
      <w:marRight w:val="0"/>
      <w:marTop w:val="0"/>
      <w:marBottom w:val="0"/>
      <w:divBdr>
        <w:top w:val="none" w:sz="0" w:space="0" w:color="auto"/>
        <w:left w:val="none" w:sz="0" w:space="0" w:color="auto"/>
        <w:bottom w:val="none" w:sz="0" w:space="0" w:color="auto"/>
        <w:right w:val="none" w:sz="0" w:space="0" w:color="auto"/>
      </w:divBdr>
    </w:div>
    <w:div w:id="718475623">
      <w:bodyDiv w:val="1"/>
      <w:marLeft w:val="0"/>
      <w:marRight w:val="0"/>
      <w:marTop w:val="0"/>
      <w:marBottom w:val="0"/>
      <w:divBdr>
        <w:top w:val="none" w:sz="0" w:space="0" w:color="auto"/>
        <w:left w:val="none" w:sz="0" w:space="0" w:color="auto"/>
        <w:bottom w:val="none" w:sz="0" w:space="0" w:color="auto"/>
        <w:right w:val="none" w:sz="0" w:space="0" w:color="auto"/>
      </w:divBdr>
    </w:div>
    <w:div w:id="725495102">
      <w:bodyDiv w:val="1"/>
      <w:marLeft w:val="0"/>
      <w:marRight w:val="0"/>
      <w:marTop w:val="0"/>
      <w:marBottom w:val="0"/>
      <w:divBdr>
        <w:top w:val="none" w:sz="0" w:space="0" w:color="auto"/>
        <w:left w:val="none" w:sz="0" w:space="0" w:color="auto"/>
        <w:bottom w:val="none" w:sz="0" w:space="0" w:color="auto"/>
        <w:right w:val="none" w:sz="0" w:space="0" w:color="auto"/>
      </w:divBdr>
    </w:div>
    <w:div w:id="739517411">
      <w:bodyDiv w:val="1"/>
      <w:marLeft w:val="0"/>
      <w:marRight w:val="0"/>
      <w:marTop w:val="0"/>
      <w:marBottom w:val="0"/>
      <w:divBdr>
        <w:top w:val="none" w:sz="0" w:space="0" w:color="auto"/>
        <w:left w:val="none" w:sz="0" w:space="0" w:color="auto"/>
        <w:bottom w:val="none" w:sz="0" w:space="0" w:color="auto"/>
        <w:right w:val="none" w:sz="0" w:space="0" w:color="auto"/>
      </w:divBdr>
    </w:div>
    <w:div w:id="739714158">
      <w:bodyDiv w:val="1"/>
      <w:marLeft w:val="0"/>
      <w:marRight w:val="0"/>
      <w:marTop w:val="0"/>
      <w:marBottom w:val="0"/>
      <w:divBdr>
        <w:top w:val="none" w:sz="0" w:space="0" w:color="auto"/>
        <w:left w:val="none" w:sz="0" w:space="0" w:color="auto"/>
        <w:bottom w:val="none" w:sz="0" w:space="0" w:color="auto"/>
        <w:right w:val="none" w:sz="0" w:space="0" w:color="auto"/>
      </w:divBdr>
    </w:div>
    <w:div w:id="746684375">
      <w:bodyDiv w:val="1"/>
      <w:marLeft w:val="0"/>
      <w:marRight w:val="0"/>
      <w:marTop w:val="0"/>
      <w:marBottom w:val="0"/>
      <w:divBdr>
        <w:top w:val="none" w:sz="0" w:space="0" w:color="auto"/>
        <w:left w:val="none" w:sz="0" w:space="0" w:color="auto"/>
        <w:bottom w:val="none" w:sz="0" w:space="0" w:color="auto"/>
        <w:right w:val="none" w:sz="0" w:space="0" w:color="auto"/>
      </w:divBdr>
    </w:div>
    <w:div w:id="748159742">
      <w:bodyDiv w:val="1"/>
      <w:marLeft w:val="0"/>
      <w:marRight w:val="0"/>
      <w:marTop w:val="0"/>
      <w:marBottom w:val="0"/>
      <w:divBdr>
        <w:top w:val="none" w:sz="0" w:space="0" w:color="auto"/>
        <w:left w:val="none" w:sz="0" w:space="0" w:color="auto"/>
        <w:bottom w:val="none" w:sz="0" w:space="0" w:color="auto"/>
        <w:right w:val="none" w:sz="0" w:space="0" w:color="auto"/>
      </w:divBdr>
    </w:div>
    <w:div w:id="755711740">
      <w:bodyDiv w:val="1"/>
      <w:marLeft w:val="0"/>
      <w:marRight w:val="0"/>
      <w:marTop w:val="0"/>
      <w:marBottom w:val="0"/>
      <w:divBdr>
        <w:top w:val="none" w:sz="0" w:space="0" w:color="auto"/>
        <w:left w:val="none" w:sz="0" w:space="0" w:color="auto"/>
        <w:bottom w:val="none" w:sz="0" w:space="0" w:color="auto"/>
        <w:right w:val="none" w:sz="0" w:space="0" w:color="auto"/>
      </w:divBdr>
    </w:div>
    <w:div w:id="758674182">
      <w:bodyDiv w:val="1"/>
      <w:marLeft w:val="0"/>
      <w:marRight w:val="0"/>
      <w:marTop w:val="0"/>
      <w:marBottom w:val="0"/>
      <w:divBdr>
        <w:top w:val="none" w:sz="0" w:space="0" w:color="auto"/>
        <w:left w:val="none" w:sz="0" w:space="0" w:color="auto"/>
        <w:bottom w:val="none" w:sz="0" w:space="0" w:color="auto"/>
        <w:right w:val="none" w:sz="0" w:space="0" w:color="auto"/>
      </w:divBdr>
    </w:div>
    <w:div w:id="758789134">
      <w:bodyDiv w:val="1"/>
      <w:marLeft w:val="0"/>
      <w:marRight w:val="0"/>
      <w:marTop w:val="0"/>
      <w:marBottom w:val="0"/>
      <w:divBdr>
        <w:top w:val="none" w:sz="0" w:space="0" w:color="auto"/>
        <w:left w:val="none" w:sz="0" w:space="0" w:color="auto"/>
        <w:bottom w:val="none" w:sz="0" w:space="0" w:color="auto"/>
        <w:right w:val="none" w:sz="0" w:space="0" w:color="auto"/>
      </w:divBdr>
    </w:div>
    <w:div w:id="769352465">
      <w:bodyDiv w:val="1"/>
      <w:marLeft w:val="0"/>
      <w:marRight w:val="0"/>
      <w:marTop w:val="0"/>
      <w:marBottom w:val="0"/>
      <w:divBdr>
        <w:top w:val="none" w:sz="0" w:space="0" w:color="auto"/>
        <w:left w:val="none" w:sz="0" w:space="0" w:color="auto"/>
        <w:bottom w:val="none" w:sz="0" w:space="0" w:color="auto"/>
        <w:right w:val="none" w:sz="0" w:space="0" w:color="auto"/>
      </w:divBdr>
    </w:div>
    <w:div w:id="782654817">
      <w:bodyDiv w:val="1"/>
      <w:marLeft w:val="0"/>
      <w:marRight w:val="0"/>
      <w:marTop w:val="0"/>
      <w:marBottom w:val="0"/>
      <w:divBdr>
        <w:top w:val="none" w:sz="0" w:space="0" w:color="auto"/>
        <w:left w:val="none" w:sz="0" w:space="0" w:color="auto"/>
        <w:bottom w:val="none" w:sz="0" w:space="0" w:color="auto"/>
        <w:right w:val="none" w:sz="0" w:space="0" w:color="auto"/>
      </w:divBdr>
    </w:div>
    <w:div w:id="786124850">
      <w:bodyDiv w:val="1"/>
      <w:marLeft w:val="0"/>
      <w:marRight w:val="0"/>
      <w:marTop w:val="0"/>
      <w:marBottom w:val="0"/>
      <w:divBdr>
        <w:top w:val="none" w:sz="0" w:space="0" w:color="auto"/>
        <w:left w:val="none" w:sz="0" w:space="0" w:color="auto"/>
        <w:bottom w:val="none" w:sz="0" w:space="0" w:color="auto"/>
        <w:right w:val="none" w:sz="0" w:space="0" w:color="auto"/>
      </w:divBdr>
    </w:div>
    <w:div w:id="789276751">
      <w:bodyDiv w:val="1"/>
      <w:marLeft w:val="0"/>
      <w:marRight w:val="0"/>
      <w:marTop w:val="0"/>
      <w:marBottom w:val="0"/>
      <w:divBdr>
        <w:top w:val="none" w:sz="0" w:space="0" w:color="auto"/>
        <w:left w:val="none" w:sz="0" w:space="0" w:color="auto"/>
        <w:bottom w:val="none" w:sz="0" w:space="0" w:color="auto"/>
        <w:right w:val="none" w:sz="0" w:space="0" w:color="auto"/>
      </w:divBdr>
    </w:div>
    <w:div w:id="799765973">
      <w:bodyDiv w:val="1"/>
      <w:marLeft w:val="0"/>
      <w:marRight w:val="0"/>
      <w:marTop w:val="0"/>
      <w:marBottom w:val="0"/>
      <w:divBdr>
        <w:top w:val="none" w:sz="0" w:space="0" w:color="auto"/>
        <w:left w:val="none" w:sz="0" w:space="0" w:color="auto"/>
        <w:bottom w:val="none" w:sz="0" w:space="0" w:color="auto"/>
        <w:right w:val="none" w:sz="0" w:space="0" w:color="auto"/>
      </w:divBdr>
    </w:div>
    <w:div w:id="800072179">
      <w:bodyDiv w:val="1"/>
      <w:marLeft w:val="0"/>
      <w:marRight w:val="0"/>
      <w:marTop w:val="0"/>
      <w:marBottom w:val="0"/>
      <w:divBdr>
        <w:top w:val="none" w:sz="0" w:space="0" w:color="auto"/>
        <w:left w:val="none" w:sz="0" w:space="0" w:color="auto"/>
        <w:bottom w:val="none" w:sz="0" w:space="0" w:color="auto"/>
        <w:right w:val="none" w:sz="0" w:space="0" w:color="auto"/>
      </w:divBdr>
    </w:div>
    <w:div w:id="802164118">
      <w:bodyDiv w:val="1"/>
      <w:marLeft w:val="0"/>
      <w:marRight w:val="0"/>
      <w:marTop w:val="0"/>
      <w:marBottom w:val="0"/>
      <w:divBdr>
        <w:top w:val="none" w:sz="0" w:space="0" w:color="auto"/>
        <w:left w:val="none" w:sz="0" w:space="0" w:color="auto"/>
        <w:bottom w:val="none" w:sz="0" w:space="0" w:color="auto"/>
        <w:right w:val="none" w:sz="0" w:space="0" w:color="auto"/>
      </w:divBdr>
    </w:div>
    <w:div w:id="805925835">
      <w:bodyDiv w:val="1"/>
      <w:marLeft w:val="0"/>
      <w:marRight w:val="0"/>
      <w:marTop w:val="0"/>
      <w:marBottom w:val="0"/>
      <w:divBdr>
        <w:top w:val="none" w:sz="0" w:space="0" w:color="auto"/>
        <w:left w:val="none" w:sz="0" w:space="0" w:color="auto"/>
        <w:bottom w:val="none" w:sz="0" w:space="0" w:color="auto"/>
        <w:right w:val="none" w:sz="0" w:space="0" w:color="auto"/>
      </w:divBdr>
    </w:div>
    <w:div w:id="811019686">
      <w:bodyDiv w:val="1"/>
      <w:marLeft w:val="0"/>
      <w:marRight w:val="0"/>
      <w:marTop w:val="0"/>
      <w:marBottom w:val="0"/>
      <w:divBdr>
        <w:top w:val="none" w:sz="0" w:space="0" w:color="auto"/>
        <w:left w:val="none" w:sz="0" w:space="0" w:color="auto"/>
        <w:bottom w:val="none" w:sz="0" w:space="0" w:color="auto"/>
        <w:right w:val="none" w:sz="0" w:space="0" w:color="auto"/>
      </w:divBdr>
    </w:div>
    <w:div w:id="813907623">
      <w:bodyDiv w:val="1"/>
      <w:marLeft w:val="0"/>
      <w:marRight w:val="0"/>
      <w:marTop w:val="0"/>
      <w:marBottom w:val="0"/>
      <w:divBdr>
        <w:top w:val="none" w:sz="0" w:space="0" w:color="auto"/>
        <w:left w:val="none" w:sz="0" w:space="0" w:color="auto"/>
        <w:bottom w:val="none" w:sz="0" w:space="0" w:color="auto"/>
        <w:right w:val="none" w:sz="0" w:space="0" w:color="auto"/>
      </w:divBdr>
    </w:div>
    <w:div w:id="827478405">
      <w:bodyDiv w:val="1"/>
      <w:marLeft w:val="0"/>
      <w:marRight w:val="0"/>
      <w:marTop w:val="0"/>
      <w:marBottom w:val="0"/>
      <w:divBdr>
        <w:top w:val="none" w:sz="0" w:space="0" w:color="auto"/>
        <w:left w:val="none" w:sz="0" w:space="0" w:color="auto"/>
        <w:bottom w:val="none" w:sz="0" w:space="0" w:color="auto"/>
        <w:right w:val="none" w:sz="0" w:space="0" w:color="auto"/>
      </w:divBdr>
    </w:div>
    <w:div w:id="836383095">
      <w:bodyDiv w:val="1"/>
      <w:marLeft w:val="0"/>
      <w:marRight w:val="0"/>
      <w:marTop w:val="0"/>
      <w:marBottom w:val="0"/>
      <w:divBdr>
        <w:top w:val="none" w:sz="0" w:space="0" w:color="auto"/>
        <w:left w:val="none" w:sz="0" w:space="0" w:color="auto"/>
        <w:bottom w:val="none" w:sz="0" w:space="0" w:color="auto"/>
        <w:right w:val="none" w:sz="0" w:space="0" w:color="auto"/>
      </w:divBdr>
    </w:div>
    <w:div w:id="844130619">
      <w:bodyDiv w:val="1"/>
      <w:marLeft w:val="0"/>
      <w:marRight w:val="0"/>
      <w:marTop w:val="0"/>
      <w:marBottom w:val="0"/>
      <w:divBdr>
        <w:top w:val="none" w:sz="0" w:space="0" w:color="auto"/>
        <w:left w:val="none" w:sz="0" w:space="0" w:color="auto"/>
        <w:bottom w:val="none" w:sz="0" w:space="0" w:color="auto"/>
        <w:right w:val="none" w:sz="0" w:space="0" w:color="auto"/>
      </w:divBdr>
    </w:div>
    <w:div w:id="850290646">
      <w:bodyDiv w:val="1"/>
      <w:marLeft w:val="0"/>
      <w:marRight w:val="0"/>
      <w:marTop w:val="0"/>
      <w:marBottom w:val="0"/>
      <w:divBdr>
        <w:top w:val="none" w:sz="0" w:space="0" w:color="auto"/>
        <w:left w:val="none" w:sz="0" w:space="0" w:color="auto"/>
        <w:bottom w:val="none" w:sz="0" w:space="0" w:color="auto"/>
        <w:right w:val="none" w:sz="0" w:space="0" w:color="auto"/>
      </w:divBdr>
    </w:div>
    <w:div w:id="865868347">
      <w:bodyDiv w:val="1"/>
      <w:marLeft w:val="0"/>
      <w:marRight w:val="0"/>
      <w:marTop w:val="0"/>
      <w:marBottom w:val="0"/>
      <w:divBdr>
        <w:top w:val="none" w:sz="0" w:space="0" w:color="auto"/>
        <w:left w:val="none" w:sz="0" w:space="0" w:color="auto"/>
        <w:bottom w:val="none" w:sz="0" w:space="0" w:color="auto"/>
        <w:right w:val="none" w:sz="0" w:space="0" w:color="auto"/>
      </w:divBdr>
    </w:div>
    <w:div w:id="866793117">
      <w:bodyDiv w:val="1"/>
      <w:marLeft w:val="0"/>
      <w:marRight w:val="0"/>
      <w:marTop w:val="0"/>
      <w:marBottom w:val="0"/>
      <w:divBdr>
        <w:top w:val="none" w:sz="0" w:space="0" w:color="auto"/>
        <w:left w:val="none" w:sz="0" w:space="0" w:color="auto"/>
        <w:bottom w:val="none" w:sz="0" w:space="0" w:color="auto"/>
        <w:right w:val="none" w:sz="0" w:space="0" w:color="auto"/>
      </w:divBdr>
    </w:div>
    <w:div w:id="867453277">
      <w:bodyDiv w:val="1"/>
      <w:marLeft w:val="0"/>
      <w:marRight w:val="0"/>
      <w:marTop w:val="0"/>
      <w:marBottom w:val="0"/>
      <w:divBdr>
        <w:top w:val="none" w:sz="0" w:space="0" w:color="auto"/>
        <w:left w:val="none" w:sz="0" w:space="0" w:color="auto"/>
        <w:bottom w:val="none" w:sz="0" w:space="0" w:color="auto"/>
        <w:right w:val="none" w:sz="0" w:space="0" w:color="auto"/>
      </w:divBdr>
    </w:div>
    <w:div w:id="873151117">
      <w:bodyDiv w:val="1"/>
      <w:marLeft w:val="0"/>
      <w:marRight w:val="0"/>
      <w:marTop w:val="0"/>
      <w:marBottom w:val="0"/>
      <w:divBdr>
        <w:top w:val="none" w:sz="0" w:space="0" w:color="auto"/>
        <w:left w:val="none" w:sz="0" w:space="0" w:color="auto"/>
        <w:bottom w:val="none" w:sz="0" w:space="0" w:color="auto"/>
        <w:right w:val="none" w:sz="0" w:space="0" w:color="auto"/>
      </w:divBdr>
    </w:div>
    <w:div w:id="877399081">
      <w:bodyDiv w:val="1"/>
      <w:marLeft w:val="0"/>
      <w:marRight w:val="0"/>
      <w:marTop w:val="0"/>
      <w:marBottom w:val="0"/>
      <w:divBdr>
        <w:top w:val="none" w:sz="0" w:space="0" w:color="auto"/>
        <w:left w:val="none" w:sz="0" w:space="0" w:color="auto"/>
        <w:bottom w:val="none" w:sz="0" w:space="0" w:color="auto"/>
        <w:right w:val="none" w:sz="0" w:space="0" w:color="auto"/>
      </w:divBdr>
    </w:div>
    <w:div w:id="882138148">
      <w:bodyDiv w:val="1"/>
      <w:marLeft w:val="0"/>
      <w:marRight w:val="0"/>
      <w:marTop w:val="0"/>
      <w:marBottom w:val="0"/>
      <w:divBdr>
        <w:top w:val="none" w:sz="0" w:space="0" w:color="auto"/>
        <w:left w:val="none" w:sz="0" w:space="0" w:color="auto"/>
        <w:bottom w:val="none" w:sz="0" w:space="0" w:color="auto"/>
        <w:right w:val="none" w:sz="0" w:space="0" w:color="auto"/>
      </w:divBdr>
    </w:div>
    <w:div w:id="883298445">
      <w:bodyDiv w:val="1"/>
      <w:marLeft w:val="0"/>
      <w:marRight w:val="0"/>
      <w:marTop w:val="0"/>
      <w:marBottom w:val="0"/>
      <w:divBdr>
        <w:top w:val="none" w:sz="0" w:space="0" w:color="auto"/>
        <w:left w:val="none" w:sz="0" w:space="0" w:color="auto"/>
        <w:bottom w:val="none" w:sz="0" w:space="0" w:color="auto"/>
        <w:right w:val="none" w:sz="0" w:space="0" w:color="auto"/>
      </w:divBdr>
    </w:div>
    <w:div w:id="897712674">
      <w:bodyDiv w:val="1"/>
      <w:marLeft w:val="0"/>
      <w:marRight w:val="0"/>
      <w:marTop w:val="0"/>
      <w:marBottom w:val="0"/>
      <w:divBdr>
        <w:top w:val="none" w:sz="0" w:space="0" w:color="auto"/>
        <w:left w:val="none" w:sz="0" w:space="0" w:color="auto"/>
        <w:bottom w:val="none" w:sz="0" w:space="0" w:color="auto"/>
        <w:right w:val="none" w:sz="0" w:space="0" w:color="auto"/>
      </w:divBdr>
    </w:div>
    <w:div w:id="905142342">
      <w:bodyDiv w:val="1"/>
      <w:marLeft w:val="0"/>
      <w:marRight w:val="0"/>
      <w:marTop w:val="0"/>
      <w:marBottom w:val="0"/>
      <w:divBdr>
        <w:top w:val="none" w:sz="0" w:space="0" w:color="auto"/>
        <w:left w:val="none" w:sz="0" w:space="0" w:color="auto"/>
        <w:bottom w:val="none" w:sz="0" w:space="0" w:color="auto"/>
        <w:right w:val="none" w:sz="0" w:space="0" w:color="auto"/>
      </w:divBdr>
    </w:div>
    <w:div w:id="915363474">
      <w:bodyDiv w:val="1"/>
      <w:marLeft w:val="0"/>
      <w:marRight w:val="0"/>
      <w:marTop w:val="0"/>
      <w:marBottom w:val="0"/>
      <w:divBdr>
        <w:top w:val="none" w:sz="0" w:space="0" w:color="auto"/>
        <w:left w:val="none" w:sz="0" w:space="0" w:color="auto"/>
        <w:bottom w:val="none" w:sz="0" w:space="0" w:color="auto"/>
        <w:right w:val="none" w:sz="0" w:space="0" w:color="auto"/>
      </w:divBdr>
    </w:div>
    <w:div w:id="921060095">
      <w:bodyDiv w:val="1"/>
      <w:marLeft w:val="0"/>
      <w:marRight w:val="0"/>
      <w:marTop w:val="0"/>
      <w:marBottom w:val="0"/>
      <w:divBdr>
        <w:top w:val="none" w:sz="0" w:space="0" w:color="auto"/>
        <w:left w:val="none" w:sz="0" w:space="0" w:color="auto"/>
        <w:bottom w:val="none" w:sz="0" w:space="0" w:color="auto"/>
        <w:right w:val="none" w:sz="0" w:space="0" w:color="auto"/>
      </w:divBdr>
    </w:div>
    <w:div w:id="925381699">
      <w:bodyDiv w:val="1"/>
      <w:marLeft w:val="0"/>
      <w:marRight w:val="0"/>
      <w:marTop w:val="0"/>
      <w:marBottom w:val="0"/>
      <w:divBdr>
        <w:top w:val="none" w:sz="0" w:space="0" w:color="auto"/>
        <w:left w:val="none" w:sz="0" w:space="0" w:color="auto"/>
        <w:bottom w:val="none" w:sz="0" w:space="0" w:color="auto"/>
        <w:right w:val="none" w:sz="0" w:space="0" w:color="auto"/>
      </w:divBdr>
    </w:div>
    <w:div w:id="929512349">
      <w:bodyDiv w:val="1"/>
      <w:marLeft w:val="0"/>
      <w:marRight w:val="0"/>
      <w:marTop w:val="0"/>
      <w:marBottom w:val="0"/>
      <w:divBdr>
        <w:top w:val="none" w:sz="0" w:space="0" w:color="auto"/>
        <w:left w:val="none" w:sz="0" w:space="0" w:color="auto"/>
        <w:bottom w:val="none" w:sz="0" w:space="0" w:color="auto"/>
        <w:right w:val="none" w:sz="0" w:space="0" w:color="auto"/>
      </w:divBdr>
    </w:div>
    <w:div w:id="930313631">
      <w:bodyDiv w:val="1"/>
      <w:marLeft w:val="0"/>
      <w:marRight w:val="0"/>
      <w:marTop w:val="0"/>
      <w:marBottom w:val="0"/>
      <w:divBdr>
        <w:top w:val="none" w:sz="0" w:space="0" w:color="auto"/>
        <w:left w:val="none" w:sz="0" w:space="0" w:color="auto"/>
        <w:bottom w:val="none" w:sz="0" w:space="0" w:color="auto"/>
        <w:right w:val="none" w:sz="0" w:space="0" w:color="auto"/>
      </w:divBdr>
    </w:div>
    <w:div w:id="937175231">
      <w:bodyDiv w:val="1"/>
      <w:marLeft w:val="0"/>
      <w:marRight w:val="0"/>
      <w:marTop w:val="0"/>
      <w:marBottom w:val="0"/>
      <w:divBdr>
        <w:top w:val="none" w:sz="0" w:space="0" w:color="auto"/>
        <w:left w:val="none" w:sz="0" w:space="0" w:color="auto"/>
        <w:bottom w:val="none" w:sz="0" w:space="0" w:color="auto"/>
        <w:right w:val="none" w:sz="0" w:space="0" w:color="auto"/>
      </w:divBdr>
    </w:div>
    <w:div w:id="945651087">
      <w:bodyDiv w:val="1"/>
      <w:marLeft w:val="0"/>
      <w:marRight w:val="0"/>
      <w:marTop w:val="0"/>
      <w:marBottom w:val="0"/>
      <w:divBdr>
        <w:top w:val="none" w:sz="0" w:space="0" w:color="auto"/>
        <w:left w:val="none" w:sz="0" w:space="0" w:color="auto"/>
        <w:bottom w:val="none" w:sz="0" w:space="0" w:color="auto"/>
        <w:right w:val="none" w:sz="0" w:space="0" w:color="auto"/>
      </w:divBdr>
    </w:div>
    <w:div w:id="946698323">
      <w:bodyDiv w:val="1"/>
      <w:marLeft w:val="0"/>
      <w:marRight w:val="0"/>
      <w:marTop w:val="0"/>
      <w:marBottom w:val="0"/>
      <w:divBdr>
        <w:top w:val="none" w:sz="0" w:space="0" w:color="auto"/>
        <w:left w:val="none" w:sz="0" w:space="0" w:color="auto"/>
        <w:bottom w:val="none" w:sz="0" w:space="0" w:color="auto"/>
        <w:right w:val="none" w:sz="0" w:space="0" w:color="auto"/>
      </w:divBdr>
    </w:div>
    <w:div w:id="948708434">
      <w:bodyDiv w:val="1"/>
      <w:marLeft w:val="0"/>
      <w:marRight w:val="0"/>
      <w:marTop w:val="0"/>
      <w:marBottom w:val="0"/>
      <w:divBdr>
        <w:top w:val="none" w:sz="0" w:space="0" w:color="auto"/>
        <w:left w:val="none" w:sz="0" w:space="0" w:color="auto"/>
        <w:bottom w:val="none" w:sz="0" w:space="0" w:color="auto"/>
        <w:right w:val="none" w:sz="0" w:space="0" w:color="auto"/>
      </w:divBdr>
    </w:div>
    <w:div w:id="949627656">
      <w:bodyDiv w:val="1"/>
      <w:marLeft w:val="0"/>
      <w:marRight w:val="0"/>
      <w:marTop w:val="0"/>
      <w:marBottom w:val="0"/>
      <w:divBdr>
        <w:top w:val="none" w:sz="0" w:space="0" w:color="auto"/>
        <w:left w:val="none" w:sz="0" w:space="0" w:color="auto"/>
        <w:bottom w:val="none" w:sz="0" w:space="0" w:color="auto"/>
        <w:right w:val="none" w:sz="0" w:space="0" w:color="auto"/>
      </w:divBdr>
    </w:div>
    <w:div w:id="949778505">
      <w:bodyDiv w:val="1"/>
      <w:marLeft w:val="0"/>
      <w:marRight w:val="0"/>
      <w:marTop w:val="0"/>
      <w:marBottom w:val="0"/>
      <w:divBdr>
        <w:top w:val="none" w:sz="0" w:space="0" w:color="auto"/>
        <w:left w:val="none" w:sz="0" w:space="0" w:color="auto"/>
        <w:bottom w:val="none" w:sz="0" w:space="0" w:color="auto"/>
        <w:right w:val="none" w:sz="0" w:space="0" w:color="auto"/>
      </w:divBdr>
    </w:div>
    <w:div w:id="951283854">
      <w:bodyDiv w:val="1"/>
      <w:marLeft w:val="0"/>
      <w:marRight w:val="0"/>
      <w:marTop w:val="0"/>
      <w:marBottom w:val="0"/>
      <w:divBdr>
        <w:top w:val="none" w:sz="0" w:space="0" w:color="auto"/>
        <w:left w:val="none" w:sz="0" w:space="0" w:color="auto"/>
        <w:bottom w:val="none" w:sz="0" w:space="0" w:color="auto"/>
        <w:right w:val="none" w:sz="0" w:space="0" w:color="auto"/>
      </w:divBdr>
    </w:div>
    <w:div w:id="959075008">
      <w:bodyDiv w:val="1"/>
      <w:marLeft w:val="0"/>
      <w:marRight w:val="0"/>
      <w:marTop w:val="0"/>
      <w:marBottom w:val="0"/>
      <w:divBdr>
        <w:top w:val="none" w:sz="0" w:space="0" w:color="auto"/>
        <w:left w:val="none" w:sz="0" w:space="0" w:color="auto"/>
        <w:bottom w:val="none" w:sz="0" w:space="0" w:color="auto"/>
        <w:right w:val="none" w:sz="0" w:space="0" w:color="auto"/>
      </w:divBdr>
    </w:div>
    <w:div w:id="961227017">
      <w:bodyDiv w:val="1"/>
      <w:marLeft w:val="0"/>
      <w:marRight w:val="0"/>
      <w:marTop w:val="0"/>
      <w:marBottom w:val="0"/>
      <w:divBdr>
        <w:top w:val="none" w:sz="0" w:space="0" w:color="auto"/>
        <w:left w:val="none" w:sz="0" w:space="0" w:color="auto"/>
        <w:bottom w:val="none" w:sz="0" w:space="0" w:color="auto"/>
        <w:right w:val="none" w:sz="0" w:space="0" w:color="auto"/>
      </w:divBdr>
    </w:div>
    <w:div w:id="970675495">
      <w:bodyDiv w:val="1"/>
      <w:marLeft w:val="0"/>
      <w:marRight w:val="0"/>
      <w:marTop w:val="0"/>
      <w:marBottom w:val="0"/>
      <w:divBdr>
        <w:top w:val="none" w:sz="0" w:space="0" w:color="auto"/>
        <w:left w:val="none" w:sz="0" w:space="0" w:color="auto"/>
        <w:bottom w:val="none" w:sz="0" w:space="0" w:color="auto"/>
        <w:right w:val="none" w:sz="0" w:space="0" w:color="auto"/>
      </w:divBdr>
    </w:div>
    <w:div w:id="972445378">
      <w:bodyDiv w:val="1"/>
      <w:marLeft w:val="0"/>
      <w:marRight w:val="0"/>
      <w:marTop w:val="0"/>
      <w:marBottom w:val="0"/>
      <w:divBdr>
        <w:top w:val="none" w:sz="0" w:space="0" w:color="auto"/>
        <w:left w:val="none" w:sz="0" w:space="0" w:color="auto"/>
        <w:bottom w:val="none" w:sz="0" w:space="0" w:color="auto"/>
        <w:right w:val="none" w:sz="0" w:space="0" w:color="auto"/>
      </w:divBdr>
    </w:div>
    <w:div w:id="977610610">
      <w:bodyDiv w:val="1"/>
      <w:marLeft w:val="0"/>
      <w:marRight w:val="0"/>
      <w:marTop w:val="0"/>
      <w:marBottom w:val="0"/>
      <w:divBdr>
        <w:top w:val="none" w:sz="0" w:space="0" w:color="auto"/>
        <w:left w:val="none" w:sz="0" w:space="0" w:color="auto"/>
        <w:bottom w:val="none" w:sz="0" w:space="0" w:color="auto"/>
        <w:right w:val="none" w:sz="0" w:space="0" w:color="auto"/>
      </w:divBdr>
    </w:div>
    <w:div w:id="984234922">
      <w:bodyDiv w:val="1"/>
      <w:marLeft w:val="0"/>
      <w:marRight w:val="0"/>
      <w:marTop w:val="0"/>
      <w:marBottom w:val="0"/>
      <w:divBdr>
        <w:top w:val="none" w:sz="0" w:space="0" w:color="auto"/>
        <w:left w:val="none" w:sz="0" w:space="0" w:color="auto"/>
        <w:bottom w:val="none" w:sz="0" w:space="0" w:color="auto"/>
        <w:right w:val="none" w:sz="0" w:space="0" w:color="auto"/>
      </w:divBdr>
    </w:div>
    <w:div w:id="986976676">
      <w:bodyDiv w:val="1"/>
      <w:marLeft w:val="0"/>
      <w:marRight w:val="0"/>
      <w:marTop w:val="0"/>
      <w:marBottom w:val="0"/>
      <w:divBdr>
        <w:top w:val="none" w:sz="0" w:space="0" w:color="auto"/>
        <w:left w:val="none" w:sz="0" w:space="0" w:color="auto"/>
        <w:bottom w:val="none" w:sz="0" w:space="0" w:color="auto"/>
        <w:right w:val="none" w:sz="0" w:space="0" w:color="auto"/>
      </w:divBdr>
    </w:div>
    <w:div w:id="998002147">
      <w:bodyDiv w:val="1"/>
      <w:marLeft w:val="0"/>
      <w:marRight w:val="0"/>
      <w:marTop w:val="0"/>
      <w:marBottom w:val="0"/>
      <w:divBdr>
        <w:top w:val="none" w:sz="0" w:space="0" w:color="auto"/>
        <w:left w:val="none" w:sz="0" w:space="0" w:color="auto"/>
        <w:bottom w:val="none" w:sz="0" w:space="0" w:color="auto"/>
        <w:right w:val="none" w:sz="0" w:space="0" w:color="auto"/>
      </w:divBdr>
    </w:div>
    <w:div w:id="1007904148">
      <w:bodyDiv w:val="1"/>
      <w:marLeft w:val="0"/>
      <w:marRight w:val="0"/>
      <w:marTop w:val="0"/>
      <w:marBottom w:val="0"/>
      <w:divBdr>
        <w:top w:val="none" w:sz="0" w:space="0" w:color="auto"/>
        <w:left w:val="none" w:sz="0" w:space="0" w:color="auto"/>
        <w:bottom w:val="none" w:sz="0" w:space="0" w:color="auto"/>
        <w:right w:val="none" w:sz="0" w:space="0" w:color="auto"/>
      </w:divBdr>
    </w:div>
    <w:div w:id="1013993936">
      <w:bodyDiv w:val="1"/>
      <w:marLeft w:val="0"/>
      <w:marRight w:val="0"/>
      <w:marTop w:val="0"/>
      <w:marBottom w:val="0"/>
      <w:divBdr>
        <w:top w:val="none" w:sz="0" w:space="0" w:color="auto"/>
        <w:left w:val="none" w:sz="0" w:space="0" w:color="auto"/>
        <w:bottom w:val="none" w:sz="0" w:space="0" w:color="auto"/>
        <w:right w:val="none" w:sz="0" w:space="0" w:color="auto"/>
      </w:divBdr>
    </w:div>
    <w:div w:id="1022820405">
      <w:bodyDiv w:val="1"/>
      <w:marLeft w:val="0"/>
      <w:marRight w:val="0"/>
      <w:marTop w:val="0"/>
      <w:marBottom w:val="0"/>
      <w:divBdr>
        <w:top w:val="none" w:sz="0" w:space="0" w:color="auto"/>
        <w:left w:val="none" w:sz="0" w:space="0" w:color="auto"/>
        <w:bottom w:val="none" w:sz="0" w:space="0" w:color="auto"/>
        <w:right w:val="none" w:sz="0" w:space="0" w:color="auto"/>
      </w:divBdr>
    </w:div>
    <w:div w:id="1030688584">
      <w:bodyDiv w:val="1"/>
      <w:marLeft w:val="0"/>
      <w:marRight w:val="0"/>
      <w:marTop w:val="0"/>
      <w:marBottom w:val="0"/>
      <w:divBdr>
        <w:top w:val="none" w:sz="0" w:space="0" w:color="auto"/>
        <w:left w:val="none" w:sz="0" w:space="0" w:color="auto"/>
        <w:bottom w:val="none" w:sz="0" w:space="0" w:color="auto"/>
        <w:right w:val="none" w:sz="0" w:space="0" w:color="auto"/>
      </w:divBdr>
    </w:div>
    <w:div w:id="1031496736">
      <w:bodyDiv w:val="1"/>
      <w:marLeft w:val="0"/>
      <w:marRight w:val="0"/>
      <w:marTop w:val="0"/>
      <w:marBottom w:val="0"/>
      <w:divBdr>
        <w:top w:val="none" w:sz="0" w:space="0" w:color="auto"/>
        <w:left w:val="none" w:sz="0" w:space="0" w:color="auto"/>
        <w:bottom w:val="none" w:sz="0" w:space="0" w:color="auto"/>
        <w:right w:val="none" w:sz="0" w:space="0" w:color="auto"/>
      </w:divBdr>
    </w:div>
    <w:div w:id="1038772599">
      <w:bodyDiv w:val="1"/>
      <w:marLeft w:val="0"/>
      <w:marRight w:val="0"/>
      <w:marTop w:val="0"/>
      <w:marBottom w:val="0"/>
      <w:divBdr>
        <w:top w:val="none" w:sz="0" w:space="0" w:color="auto"/>
        <w:left w:val="none" w:sz="0" w:space="0" w:color="auto"/>
        <w:bottom w:val="none" w:sz="0" w:space="0" w:color="auto"/>
        <w:right w:val="none" w:sz="0" w:space="0" w:color="auto"/>
      </w:divBdr>
    </w:div>
    <w:div w:id="1039277006">
      <w:bodyDiv w:val="1"/>
      <w:marLeft w:val="0"/>
      <w:marRight w:val="0"/>
      <w:marTop w:val="0"/>
      <w:marBottom w:val="0"/>
      <w:divBdr>
        <w:top w:val="none" w:sz="0" w:space="0" w:color="auto"/>
        <w:left w:val="none" w:sz="0" w:space="0" w:color="auto"/>
        <w:bottom w:val="none" w:sz="0" w:space="0" w:color="auto"/>
        <w:right w:val="none" w:sz="0" w:space="0" w:color="auto"/>
      </w:divBdr>
    </w:div>
    <w:div w:id="1039822859">
      <w:bodyDiv w:val="1"/>
      <w:marLeft w:val="0"/>
      <w:marRight w:val="0"/>
      <w:marTop w:val="0"/>
      <w:marBottom w:val="0"/>
      <w:divBdr>
        <w:top w:val="none" w:sz="0" w:space="0" w:color="auto"/>
        <w:left w:val="none" w:sz="0" w:space="0" w:color="auto"/>
        <w:bottom w:val="none" w:sz="0" w:space="0" w:color="auto"/>
        <w:right w:val="none" w:sz="0" w:space="0" w:color="auto"/>
      </w:divBdr>
    </w:div>
    <w:div w:id="1042557738">
      <w:bodyDiv w:val="1"/>
      <w:marLeft w:val="0"/>
      <w:marRight w:val="0"/>
      <w:marTop w:val="0"/>
      <w:marBottom w:val="0"/>
      <w:divBdr>
        <w:top w:val="none" w:sz="0" w:space="0" w:color="auto"/>
        <w:left w:val="none" w:sz="0" w:space="0" w:color="auto"/>
        <w:bottom w:val="none" w:sz="0" w:space="0" w:color="auto"/>
        <w:right w:val="none" w:sz="0" w:space="0" w:color="auto"/>
      </w:divBdr>
    </w:div>
    <w:div w:id="1045518667">
      <w:bodyDiv w:val="1"/>
      <w:marLeft w:val="0"/>
      <w:marRight w:val="0"/>
      <w:marTop w:val="0"/>
      <w:marBottom w:val="0"/>
      <w:divBdr>
        <w:top w:val="none" w:sz="0" w:space="0" w:color="auto"/>
        <w:left w:val="none" w:sz="0" w:space="0" w:color="auto"/>
        <w:bottom w:val="none" w:sz="0" w:space="0" w:color="auto"/>
        <w:right w:val="none" w:sz="0" w:space="0" w:color="auto"/>
      </w:divBdr>
    </w:div>
    <w:div w:id="1045717357">
      <w:bodyDiv w:val="1"/>
      <w:marLeft w:val="0"/>
      <w:marRight w:val="0"/>
      <w:marTop w:val="0"/>
      <w:marBottom w:val="0"/>
      <w:divBdr>
        <w:top w:val="none" w:sz="0" w:space="0" w:color="auto"/>
        <w:left w:val="none" w:sz="0" w:space="0" w:color="auto"/>
        <w:bottom w:val="none" w:sz="0" w:space="0" w:color="auto"/>
        <w:right w:val="none" w:sz="0" w:space="0" w:color="auto"/>
      </w:divBdr>
    </w:div>
    <w:div w:id="1055155010">
      <w:bodyDiv w:val="1"/>
      <w:marLeft w:val="0"/>
      <w:marRight w:val="0"/>
      <w:marTop w:val="0"/>
      <w:marBottom w:val="0"/>
      <w:divBdr>
        <w:top w:val="none" w:sz="0" w:space="0" w:color="auto"/>
        <w:left w:val="none" w:sz="0" w:space="0" w:color="auto"/>
        <w:bottom w:val="none" w:sz="0" w:space="0" w:color="auto"/>
        <w:right w:val="none" w:sz="0" w:space="0" w:color="auto"/>
      </w:divBdr>
    </w:div>
    <w:div w:id="1061253245">
      <w:bodyDiv w:val="1"/>
      <w:marLeft w:val="0"/>
      <w:marRight w:val="0"/>
      <w:marTop w:val="0"/>
      <w:marBottom w:val="0"/>
      <w:divBdr>
        <w:top w:val="none" w:sz="0" w:space="0" w:color="auto"/>
        <w:left w:val="none" w:sz="0" w:space="0" w:color="auto"/>
        <w:bottom w:val="none" w:sz="0" w:space="0" w:color="auto"/>
        <w:right w:val="none" w:sz="0" w:space="0" w:color="auto"/>
      </w:divBdr>
    </w:div>
    <w:div w:id="1063522219">
      <w:bodyDiv w:val="1"/>
      <w:marLeft w:val="0"/>
      <w:marRight w:val="0"/>
      <w:marTop w:val="0"/>
      <w:marBottom w:val="0"/>
      <w:divBdr>
        <w:top w:val="none" w:sz="0" w:space="0" w:color="auto"/>
        <w:left w:val="none" w:sz="0" w:space="0" w:color="auto"/>
        <w:bottom w:val="none" w:sz="0" w:space="0" w:color="auto"/>
        <w:right w:val="none" w:sz="0" w:space="0" w:color="auto"/>
      </w:divBdr>
    </w:div>
    <w:div w:id="1064377069">
      <w:bodyDiv w:val="1"/>
      <w:marLeft w:val="0"/>
      <w:marRight w:val="0"/>
      <w:marTop w:val="0"/>
      <w:marBottom w:val="0"/>
      <w:divBdr>
        <w:top w:val="none" w:sz="0" w:space="0" w:color="auto"/>
        <w:left w:val="none" w:sz="0" w:space="0" w:color="auto"/>
        <w:bottom w:val="none" w:sz="0" w:space="0" w:color="auto"/>
        <w:right w:val="none" w:sz="0" w:space="0" w:color="auto"/>
      </w:divBdr>
    </w:div>
    <w:div w:id="1067650127">
      <w:bodyDiv w:val="1"/>
      <w:marLeft w:val="0"/>
      <w:marRight w:val="0"/>
      <w:marTop w:val="0"/>
      <w:marBottom w:val="0"/>
      <w:divBdr>
        <w:top w:val="none" w:sz="0" w:space="0" w:color="auto"/>
        <w:left w:val="none" w:sz="0" w:space="0" w:color="auto"/>
        <w:bottom w:val="none" w:sz="0" w:space="0" w:color="auto"/>
        <w:right w:val="none" w:sz="0" w:space="0" w:color="auto"/>
      </w:divBdr>
    </w:div>
    <w:div w:id="1072504581">
      <w:bodyDiv w:val="1"/>
      <w:marLeft w:val="0"/>
      <w:marRight w:val="0"/>
      <w:marTop w:val="0"/>
      <w:marBottom w:val="0"/>
      <w:divBdr>
        <w:top w:val="none" w:sz="0" w:space="0" w:color="auto"/>
        <w:left w:val="none" w:sz="0" w:space="0" w:color="auto"/>
        <w:bottom w:val="none" w:sz="0" w:space="0" w:color="auto"/>
        <w:right w:val="none" w:sz="0" w:space="0" w:color="auto"/>
      </w:divBdr>
    </w:div>
    <w:div w:id="1076442469">
      <w:bodyDiv w:val="1"/>
      <w:marLeft w:val="0"/>
      <w:marRight w:val="0"/>
      <w:marTop w:val="0"/>
      <w:marBottom w:val="0"/>
      <w:divBdr>
        <w:top w:val="none" w:sz="0" w:space="0" w:color="auto"/>
        <w:left w:val="none" w:sz="0" w:space="0" w:color="auto"/>
        <w:bottom w:val="none" w:sz="0" w:space="0" w:color="auto"/>
        <w:right w:val="none" w:sz="0" w:space="0" w:color="auto"/>
      </w:divBdr>
    </w:div>
    <w:div w:id="1084301865">
      <w:bodyDiv w:val="1"/>
      <w:marLeft w:val="0"/>
      <w:marRight w:val="0"/>
      <w:marTop w:val="0"/>
      <w:marBottom w:val="0"/>
      <w:divBdr>
        <w:top w:val="none" w:sz="0" w:space="0" w:color="auto"/>
        <w:left w:val="none" w:sz="0" w:space="0" w:color="auto"/>
        <w:bottom w:val="none" w:sz="0" w:space="0" w:color="auto"/>
        <w:right w:val="none" w:sz="0" w:space="0" w:color="auto"/>
      </w:divBdr>
    </w:div>
    <w:div w:id="1088577947">
      <w:bodyDiv w:val="1"/>
      <w:marLeft w:val="0"/>
      <w:marRight w:val="0"/>
      <w:marTop w:val="0"/>
      <w:marBottom w:val="0"/>
      <w:divBdr>
        <w:top w:val="none" w:sz="0" w:space="0" w:color="auto"/>
        <w:left w:val="none" w:sz="0" w:space="0" w:color="auto"/>
        <w:bottom w:val="none" w:sz="0" w:space="0" w:color="auto"/>
        <w:right w:val="none" w:sz="0" w:space="0" w:color="auto"/>
      </w:divBdr>
    </w:div>
    <w:div w:id="1088578839">
      <w:bodyDiv w:val="1"/>
      <w:marLeft w:val="0"/>
      <w:marRight w:val="0"/>
      <w:marTop w:val="0"/>
      <w:marBottom w:val="0"/>
      <w:divBdr>
        <w:top w:val="none" w:sz="0" w:space="0" w:color="auto"/>
        <w:left w:val="none" w:sz="0" w:space="0" w:color="auto"/>
        <w:bottom w:val="none" w:sz="0" w:space="0" w:color="auto"/>
        <w:right w:val="none" w:sz="0" w:space="0" w:color="auto"/>
      </w:divBdr>
    </w:div>
    <w:div w:id="1091118360">
      <w:bodyDiv w:val="1"/>
      <w:marLeft w:val="0"/>
      <w:marRight w:val="0"/>
      <w:marTop w:val="0"/>
      <w:marBottom w:val="0"/>
      <w:divBdr>
        <w:top w:val="none" w:sz="0" w:space="0" w:color="auto"/>
        <w:left w:val="none" w:sz="0" w:space="0" w:color="auto"/>
        <w:bottom w:val="none" w:sz="0" w:space="0" w:color="auto"/>
        <w:right w:val="none" w:sz="0" w:space="0" w:color="auto"/>
      </w:divBdr>
    </w:div>
    <w:div w:id="1092117839">
      <w:bodyDiv w:val="1"/>
      <w:marLeft w:val="0"/>
      <w:marRight w:val="0"/>
      <w:marTop w:val="0"/>
      <w:marBottom w:val="0"/>
      <w:divBdr>
        <w:top w:val="none" w:sz="0" w:space="0" w:color="auto"/>
        <w:left w:val="none" w:sz="0" w:space="0" w:color="auto"/>
        <w:bottom w:val="none" w:sz="0" w:space="0" w:color="auto"/>
        <w:right w:val="none" w:sz="0" w:space="0" w:color="auto"/>
      </w:divBdr>
    </w:div>
    <w:div w:id="1097753645">
      <w:bodyDiv w:val="1"/>
      <w:marLeft w:val="0"/>
      <w:marRight w:val="0"/>
      <w:marTop w:val="0"/>
      <w:marBottom w:val="0"/>
      <w:divBdr>
        <w:top w:val="none" w:sz="0" w:space="0" w:color="auto"/>
        <w:left w:val="none" w:sz="0" w:space="0" w:color="auto"/>
        <w:bottom w:val="none" w:sz="0" w:space="0" w:color="auto"/>
        <w:right w:val="none" w:sz="0" w:space="0" w:color="auto"/>
      </w:divBdr>
    </w:div>
    <w:div w:id="1103498265">
      <w:bodyDiv w:val="1"/>
      <w:marLeft w:val="0"/>
      <w:marRight w:val="0"/>
      <w:marTop w:val="0"/>
      <w:marBottom w:val="0"/>
      <w:divBdr>
        <w:top w:val="none" w:sz="0" w:space="0" w:color="auto"/>
        <w:left w:val="none" w:sz="0" w:space="0" w:color="auto"/>
        <w:bottom w:val="none" w:sz="0" w:space="0" w:color="auto"/>
        <w:right w:val="none" w:sz="0" w:space="0" w:color="auto"/>
      </w:divBdr>
    </w:div>
    <w:div w:id="1108112842">
      <w:bodyDiv w:val="1"/>
      <w:marLeft w:val="0"/>
      <w:marRight w:val="0"/>
      <w:marTop w:val="0"/>
      <w:marBottom w:val="0"/>
      <w:divBdr>
        <w:top w:val="none" w:sz="0" w:space="0" w:color="auto"/>
        <w:left w:val="none" w:sz="0" w:space="0" w:color="auto"/>
        <w:bottom w:val="none" w:sz="0" w:space="0" w:color="auto"/>
        <w:right w:val="none" w:sz="0" w:space="0" w:color="auto"/>
      </w:divBdr>
    </w:div>
    <w:div w:id="1108233990">
      <w:bodyDiv w:val="1"/>
      <w:marLeft w:val="0"/>
      <w:marRight w:val="0"/>
      <w:marTop w:val="0"/>
      <w:marBottom w:val="0"/>
      <w:divBdr>
        <w:top w:val="none" w:sz="0" w:space="0" w:color="auto"/>
        <w:left w:val="none" w:sz="0" w:space="0" w:color="auto"/>
        <w:bottom w:val="none" w:sz="0" w:space="0" w:color="auto"/>
        <w:right w:val="none" w:sz="0" w:space="0" w:color="auto"/>
      </w:divBdr>
    </w:div>
    <w:div w:id="1108476200">
      <w:bodyDiv w:val="1"/>
      <w:marLeft w:val="0"/>
      <w:marRight w:val="0"/>
      <w:marTop w:val="0"/>
      <w:marBottom w:val="0"/>
      <w:divBdr>
        <w:top w:val="none" w:sz="0" w:space="0" w:color="auto"/>
        <w:left w:val="none" w:sz="0" w:space="0" w:color="auto"/>
        <w:bottom w:val="none" w:sz="0" w:space="0" w:color="auto"/>
        <w:right w:val="none" w:sz="0" w:space="0" w:color="auto"/>
      </w:divBdr>
    </w:div>
    <w:div w:id="1109397323">
      <w:bodyDiv w:val="1"/>
      <w:marLeft w:val="0"/>
      <w:marRight w:val="0"/>
      <w:marTop w:val="0"/>
      <w:marBottom w:val="0"/>
      <w:divBdr>
        <w:top w:val="none" w:sz="0" w:space="0" w:color="auto"/>
        <w:left w:val="none" w:sz="0" w:space="0" w:color="auto"/>
        <w:bottom w:val="none" w:sz="0" w:space="0" w:color="auto"/>
        <w:right w:val="none" w:sz="0" w:space="0" w:color="auto"/>
      </w:divBdr>
    </w:div>
    <w:div w:id="1109398426">
      <w:bodyDiv w:val="1"/>
      <w:marLeft w:val="0"/>
      <w:marRight w:val="0"/>
      <w:marTop w:val="0"/>
      <w:marBottom w:val="0"/>
      <w:divBdr>
        <w:top w:val="none" w:sz="0" w:space="0" w:color="auto"/>
        <w:left w:val="none" w:sz="0" w:space="0" w:color="auto"/>
        <w:bottom w:val="none" w:sz="0" w:space="0" w:color="auto"/>
        <w:right w:val="none" w:sz="0" w:space="0" w:color="auto"/>
      </w:divBdr>
    </w:div>
    <w:div w:id="1115711509">
      <w:bodyDiv w:val="1"/>
      <w:marLeft w:val="0"/>
      <w:marRight w:val="0"/>
      <w:marTop w:val="0"/>
      <w:marBottom w:val="0"/>
      <w:divBdr>
        <w:top w:val="none" w:sz="0" w:space="0" w:color="auto"/>
        <w:left w:val="none" w:sz="0" w:space="0" w:color="auto"/>
        <w:bottom w:val="none" w:sz="0" w:space="0" w:color="auto"/>
        <w:right w:val="none" w:sz="0" w:space="0" w:color="auto"/>
      </w:divBdr>
    </w:div>
    <w:div w:id="1117259695">
      <w:bodyDiv w:val="1"/>
      <w:marLeft w:val="0"/>
      <w:marRight w:val="0"/>
      <w:marTop w:val="0"/>
      <w:marBottom w:val="0"/>
      <w:divBdr>
        <w:top w:val="none" w:sz="0" w:space="0" w:color="auto"/>
        <w:left w:val="none" w:sz="0" w:space="0" w:color="auto"/>
        <w:bottom w:val="none" w:sz="0" w:space="0" w:color="auto"/>
        <w:right w:val="none" w:sz="0" w:space="0" w:color="auto"/>
      </w:divBdr>
    </w:div>
    <w:div w:id="1132598719">
      <w:bodyDiv w:val="1"/>
      <w:marLeft w:val="0"/>
      <w:marRight w:val="0"/>
      <w:marTop w:val="0"/>
      <w:marBottom w:val="0"/>
      <w:divBdr>
        <w:top w:val="none" w:sz="0" w:space="0" w:color="auto"/>
        <w:left w:val="none" w:sz="0" w:space="0" w:color="auto"/>
        <w:bottom w:val="none" w:sz="0" w:space="0" w:color="auto"/>
        <w:right w:val="none" w:sz="0" w:space="0" w:color="auto"/>
      </w:divBdr>
    </w:div>
    <w:div w:id="1134713449">
      <w:bodyDiv w:val="1"/>
      <w:marLeft w:val="0"/>
      <w:marRight w:val="0"/>
      <w:marTop w:val="0"/>
      <w:marBottom w:val="0"/>
      <w:divBdr>
        <w:top w:val="none" w:sz="0" w:space="0" w:color="auto"/>
        <w:left w:val="none" w:sz="0" w:space="0" w:color="auto"/>
        <w:bottom w:val="none" w:sz="0" w:space="0" w:color="auto"/>
        <w:right w:val="none" w:sz="0" w:space="0" w:color="auto"/>
      </w:divBdr>
    </w:div>
    <w:div w:id="1135678608">
      <w:bodyDiv w:val="1"/>
      <w:marLeft w:val="0"/>
      <w:marRight w:val="0"/>
      <w:marTop w:val="0"/>
      <w:marBottom w:val="0"/>
      <w:divBdr>
        <w:top w:val="none" w:sz="0" w:space="0" w:color="auto"/>
        <w:left w:val="none" w:sz="0" w:space="0" w:color="auto"/>
        <w:bottom w:val="none" w:sz="0" w:space="0" w:color="auto"/>
        <w:right w:val="none" w:sz="0" w:space="0" w:color="auto"/>
      </w:divBdr>
    </w:div>
    <w:div w:id="1136147118">
      <w:bodyDiv w:val="1"/>
      <w:marLeft w:val="0"/>
      <w:marRight w:val="0"/>
      <w:marTop w:val="0"/>
      <w:marBottom w:val="0"/>
      <w:divBdr>
        <w:top w:val="none" w:sz="0" w:space="0" w:color="auto"/>
        <w:left w:val="none" w:sz="0" w:space="0" w:color="auto"/>
        <w:bottom w:val="none" w:sz="0" w:space="0" w:color="auto"/>
        <w:right w:val="none" w:sz="0" w:space="0" w:color="auto"/>
      </w:divBdr>
    </w:div>
    <w:div w:id="1160803690">
      <w:bodyDiv w:val="1"/>
      <w:marLeft w:val="0"/>
      <w:marRight w:val="0"/>
      <w:marTop w:val="0"/>
      <w:marBottom w:val="0"/>
      <w:divBdr>
        <w:top w:val="none" w:sz="0" w:space="0" w:color="auto"/>
        <w:left w:val="none" w:sz="0" w:space="0" w:color="auto"/>
        <w:bottom w:val="none" w:sz="0" w:space="0" w:color="auto"/>
        <w:right w:val="none" w:sz="0" w:space="0" w:color="auto"/>
      </w:divBdr>
    </w:div>
    <w:div w:id="1167746806">
      <w:bodyDiv w:val="1"/>
      <w:marLeft w:val="0"/>
      <w:marRight w:val="0"/>
      <w:marTop w:val="0"/>
      <w:marBottom w:val="0"/>
      <w:divBdr>
        <w:top w:val="none" w:sz="0" w:space="0" w:color="auto"/>
        <w:left w:val="none" w:sz="0" w:space="0" w:color="auto"/>
        <w:bottom w:val="none" w:sz="0" w:space="0" w:color="auto"/>
        <w:right w:val="none" w:sz="0" w:space="0" w:color="auto"/>
      </w:divBdr>
    </w:div>
    <w:div w:id="1168206571">
      <w:bodyDiv w:val="1"/>
      <w:marLeft w:val="0"/>
      <w:marRight w:val="0"/>
      <w:marTop w:val="0"/>
      <w:marBottom w:val="0"/>
      <w:divBdr>
        <w:top w:val="none" w:sz="0" w:space="0" w:color="auto"/>
        <w:left w:val="none" w:sz="0" w:space="0" w:color="auto"/>
        <w:bottom w:val="none" w:sz="0" w:space="0" w:color="auto"/>
        <w:right w:val="none" w:sz="0" w:space="0" w:color="auto"/>
      </w:divBdr>
    </w:div>
    <w:div w:id="1171408287">
      <w:bodyDiv w:val="1"/>
      <w:marLeft w:val="0"/>
      <w:marRight w:val="0"/>
      <w:marTop w:val="0"/>
      <w:marBottom w:val="0"/>
      <w:divBdr>
        <w:top w:val="none" w:sz="0" w:space="0" w:color="auto"/>
        <w:left w:val="none" w:sz="0" w:space="0" w:color="auto"/>
        <w:bottom w:val="none" w:sz="0" w:space="0" w:color="auto"/>
        <w:right w:val="none" w:sz="0" w:space="0" w:color="auto"/>
      </w:divBdr>
    </w:div>
    <w:div w:id="1176843240">
      <w:bodyDiv w:val="1"/>
      <w:marLeft w:val="0"/>
      <w:marRight w:val="0"/>
      <w:marTop w:val="0"/>
      <w:marBottom w:val="0"/>
      <w:divBdr>
        <w:top w:val="none" w:sz="0" w:space="0" w:color="auto"/>
        <w:left w:val="none" w:sz="0" w:space="0" w:color="auto"/>
        <w:bottom w:val="none" w:sz="0" w:space="0" w:color="auto"/>
        <w:right w:val="none" w:sz="0" w:space="0" w:color="auto"/>
      </w:divBdr>
    </w:div>
    <w:div w:id="1183594775">
      <w:bodyDiv w:val="1"/>
      <w:marLeft w:val="0"/>
      <w:marRight w:val="0"/>
      <w:marTop w:val="0"/>
      <w:marBottom w:val="0"/>
      <w:divBdr>
        <w:top w:val="none" w:sz="0" w:space="0" w:color="auto"/>
        <w:left w:val="none" w:sz="0" w:space="0" w:color="auto"/>
        <w:bottom w:val="none" w:sz="0" w:space="0" w:color="auto"/>
        <w:right w:val="none" w:sz="0" w:space="0" w:color="auto"/>
      </w:divBdr>
    </w:div>
    <w:div w:id="1183977247">
      <w:bodyDiv w:val="1"/>
      <w:marLeft w:val="0"/>
      <w:marRight w:val="0"/>
      <w:marTop w:val="0"/>
      <w:marBottom w:val="0"/>
      <w:divBdr>
        <w:top w:val="none" w:sz="0" w:space="0" w:color="auto"/>
        <w:left w:val="none" w:sz="0" w:space="0" w:color="auto"/>
        <w:bottom w:val="none" w:sz="0" w:space="0" w:color="auto"/>
        <w:right w:val="none" w:sz="0" w:space="0" w:color="auto"/>
      </w:divBdr>
    </w:div>
    <w:div w:id="1185823469">
      <w:bodyDiv w:val="1"/>
      <w:marLeft w:val="0"/>
      <w:marRight w:val="0"/>
      <w:marTop w:val="0"/>
      <w:marBottom w:val="0"/>
      <w:divBdr>
        <w:top w:val="none" w:sz="0" w:space="0" w:color="auto"/>
        <w:left w:val="none" w:sz="0" w:space="0" w:color="auto"/>
        <w:bottom w:val="none" w:sz="0" w:space="0" w:color="auto"/>
        <w:right w:val="none" w:sz="0" w:space="0" w:color="auto"/>
      </w:divBdr>
    </w:div>
    <w:div w:id="1191146784">
      <w:bodyDiv w:val="1"/>
      <w:marLeft w:val="0"/>
      <w:marRight w:val="0"/>
      <w:marTop w:val="0"/>
      <w:marBottom w:val="0"/>
      <w:divBdr>
        <w:top w:val="none" w:sz="0" w:space="0" w:color="auto"/>
        <w:left w:val="none" w:sz="0" w:space="0" w:color="auto"/>
        <w:bottom w:val="none" w:sz="0" w:space="0" w:color="auto"/>
        <w:right w:val="none" w:sz="0" w:space="0" w:color="auto"/>
      </w:divBdr>
    </w:div>
    <w:div w:id="1197231580">
      <w:bodyDiv w:val="1"/>
      <w:marLeft w:val="0"/>
      <w:marRight w:val="0"/>
      <w:marTop w:val="0"/>
      <w:marBottom w:val="0"/>
      <w:divBdr>
        <w:top w:val="none" w:sz="0" w:space="0" w:color="auto"/>
        <w:left w:val="none" w:sz="0" w:space="0" w:color="auto"/>
        <w:bottom w:val="none" w:sz="0" w:space="0" w:color="auto"/>
        <w:right w:val="none" w:sz="0" w:space="0" w:color="auto"/>
      </w:divBdr>
    </w:div>
    <w:div w:id="1197279784">
      <w:bodyDiv w:val="1"/>
      <w:marLeft w:val="0"/>
      <w:marRight w:val="0"/>
      <w:marTop w:val="0"/>
      <w:marBottom w:val="0"/>
      <w:divBdr>
        <w:top w:val="none" w:sz="0" w:space="0" w:color="auto"/>
        <w:left w:val="none" w:sz="0" w:space="0" w:color="auto"/>
        <w:bottom w:val="none" w:sz="0" w:space="0" w:color="auto"/>
        <w:right w:val="none" w:sz="0" w:space="0" w:color="auto"/>
      </w:divBdr>
    </w:div>
    <w:div w:id="1198619835">
      <w:bodyDiv w:val="1"/>
      <w:marLeft w:val="0"/>
      <w:marRight w:val="0"/>
      <w:marTop w:val="0"/>
      <w:marBottom w:val="0"/>
      <w:divBdr>
        <w:top w:val="none" w:sz="0" w:space="0" w:color="auto"/>
        <w:left w:val="none" w:sz="0" w:space="0" w:color="auto"/>
        <w:bottom w:val="none" w:sz="0" w:space="0" w:color="auto"/>
        <w:right w:val="none" w:sz="0" w:space="0" w:color="auto"/>
      </w:divBdr>
    </w:div>
    <w:div w:id="1203900840">
      <w:bodyDiv w:val="1"/>
      <w:marLeft w:val="0"/>
      <w:marRight w:val="0"/>
      <w:marTop w:val="0"/>
      <w:marBottom w:val="0"/>
      <w:divBdr>
        <w:top w:val="none" w:sz="0" w:space="0" w:color="auto"/>
        <w:left w:val="none" w:sz="0" w:space="0" w:color="auto"/>
        <w:bottom w:val="none" w:sz="0" w:space="0" w:color="auto"/>
        <w:right w:val="none" w:sz="0" w:space="0" w:color="auto"/>
      </w:divBdr>
    </w:div>
    <w:div w:id="1204173708">
      <w:bodyDiv w:val="1"/>
      <w:marLeft w:val="0"/>
      <w:marRight w:val="0"/>
      <w:marTop w:val="0"/>
      <w:marBottom w:val="0"/>
      <w:divBdr>
        <w:top w:val="none" w:sz="0" w:space="0" w:color="auto"/>
        <w:left w:val="none" w:sz="0" w:space="0" w:color="auto"/>
        <w:bottom w:val="none" w:sz="0" w:space="0" w:color="auto"/>
        <w:right w:val="none" w:sz="0" w:space="0" w:color="auto"/>
      </w:divBdr>
    </w:div>
    <w:div w:id="1206797901">
      <w:bodyDiv w:val="1"/>
      <w:marLeft w:val="0"/>
      <w:marRight w:val="0"/>
      <w:marTop w:val="0"/>
      <w:marBottom w:val="0"/>
      <w:divBdr>
        <w:top w:val="none" w:sz="0" w:space="0" w:color="auto"/>
        <w:left w:val="none" w:sz="0" w:space="0" w:color="auto"/>
        <w:bottom w:val="none" w:sz="0" w:space="0" w:color="auto"/>
        <w:right w:val="none" w:sz="0" w:space="0" w:color="auto"/>
      </w:divBdr>
    </w:div>
    <w:div w:id="1211647447">
      <w:bodyDiv w:val="1"/>
      <w:marLeft w:val="0"/>
      <w:marRight w:val="0"/>
      <w:marTop w:val="0"/>
      <w:marBottom w:val="0"/>
      <w:divBdr>
        <w:top w:val="none" w:sz="0" w:space="0" w:color="auto"/>
        <w:left w:val="none" w:sz="0" w:space="0" w:color="auto"/>
        <w:bottom w:val="none" w:sz="0" w:space="0" w:color="auto"/>
        <w:right w:val="none" w:sz="0" w:space="0" w:color="auto"/>
      </w:divBdr>
    </w:div>
    <w:div w:id="1221014284">
      <w:bodyDiv w:val="1"/>
      <w:marLeft w:val="0"/>
      <w:marRight w:val="0"/>
      <w:marTop w:val="0"/>
      <w:marBottom w:val="0"/>
      <w:divBdr>
        <w:top w:val="none" w:sz="0" w:space="0" w:color="auto"/>
        <w:left w:val="none" w:sz="0" w:space="0" w:color="auto"/>
        <w:bottom w:val="none" w:sz="0" w:space="0" w:color="auto"/>
        <w:right w:val="none" w:sz="0" w:space="0" w:color="auto"/>
      </w:divBdr>
    </w:div>
    <w:div w:id="1225139680">
      <w:bodyDiv w:val="1"/>
      <w:marLeft w:val="0"/>
      <w:marRight w:val="0"/>
      <w:marTop w:val="0"/>
      <w:marBottom w:val="0"/>
      <w:divBdr>
        <w:top w:val="none" w:sz="0" w:space="0" w:color="auto"/>
        <w:left w:val="none" w:sz="0" w:space="0" w:color="auto"/>
        <w:bottom w:val="none" w:sz="0" w:space="0" w:color="auto"/>
        <w:right w:val="none" w:sz="0" w:space="0" w:color="auto"/>
      </w:divBdr>
    </w:div>
    <w:div w:id="1246569168">
      <w:bodyDiv w:val="1"/>
      <w:marLeft w:val="0"/>
      <w:marRight w:val="0"/>
      <w:marTop w:val="0"/>
      <w:marBottom w:val="0"/>
      <w:divBdr>
        <w:top w:val="none" w:sz="0" w:space="0" w:color="auto"/>
        <w:left w:val="none" w:sz="0" w:space="0" w:color="auto"/>
        <w:bottom w:val="none" w:sz="0" w:space="0" w:color="auto"/>
        <w:right w:val="none" w:sz="0" w:space="0" w:color="auto"/>
      </w:divBdr>
    </w:div>
    <w:div w:id="1247036999">
      <w:bodyDiv w:val="1"/>
      <w:marLeft w:val="0"/>
      <w:marRight w:val="0"/>
      <w:marTop w:val="0"/>
      <w:marBottom w:val="0"/>
      <w:divBdr>
        <w:top w:val="none" w:sz="0" w:space="0" w:color="auto"/>
        <w:left w:val="none" w:sz="0" w:space="0" w:color="auto"/>
        <w:bottom w:val="none" w:sz="0" w:space="0" w:color="auto"/>
        <w:right w:val="none" w:sz="0" w:space="0" w:color="auto"/>
      </w:divBdr>
    </w:div>
    <w:div w:id="1249540111">
      <w:bodyDiv w:val="1"/>
      <w:marLeft w:val="0"/>
      <w:marRight w:val="0"/>
      <w:marTop w:val="0"/>
      <w:marBottom w:val="0"/>
      <w:divBdr>
        <w:top w:val="none" w:sz="0" w:space="0" w:color="auto"/>
        <w:left w:val="none" w:sz="0" w:space="0" w:color="auto"/>
        <w:bottom w:val="none" w:sz="0" w:space="0" w:color="auto"/>
        <w:right w:val="none" w:sz="0" w:space="0" w:color="auto"/>
      </w:divBdr>
    </w:div>
    <w:div w:id="1250575994">
      <w:bodyDiv w:val="1"/>
      <w:marLeft w:val="0"/>
      <w:marRight w:val="0"/>
      <w:marTop w:val="0"/>
      <w:marBottom w:val="0"/>
      <w:divBdr>
        <w:top w:val="none" w:sz="0" w:space="0" w:color="auto"/>
        <w:left w:val="none" w:sz="0" w:space="0" w:color="auto"/>
        <w:bottom w:val="none" w:sz="0" w:space="0" w:color="auto"/>
        <w:right w:val="none" w:sz="0" w:space="0" w:color="auto"/>
      </w:divBdr>
    </w:div>
    <w:div w:id="1272863167">
      <w:bodyDiv w:val="1"/>
      <w:marLeft w:val="0"/>
      <w:marRight w:val="0"/>
      <w:marTop w:val="0"/>
      <w:marBottom w:val="0"/>
      <w:divBdr>
        <w:top w:val="none" w:sz="0" w:space="0" w:color="auto"/>
        <w:left w:val="none" w:sz="0" w:space="0" w:color="auto"/>
        <w:bottom w:val="none" w:sz="0" w:space="0" w:color="auto"/>
        <w:right w:val="none" w:sz="0" w:space="0" w:color="auto"/>
      </w:divBdr>
    </w:div>
    <w:div w:id="1275599596">
      <w:bodyDiv w:val="1"/>
      <w:marLeft w:val="0"/>
      <w:marRight w:val="0"/>
      <w:marTop w:val="0"/>
      <w:marBottom w:val="0"/>
      <w:divBdr>
        <w:top w:val="none" w:sz="0" w:space="0" w:color="auto"/>
        <w:left w:val="none" w:sz="0" w:space="0" w:color="auto"/>
        <w:bottom w:val="none" w:sz="0" w:space="0" w:color="auto"/>
        <w:right w:val="none" w:sz="0" w:space="0" w:color="auto"/>
      </w:divBdr>
    </w:div>
    <w:div w:id="1276328452">
      <w:bodyDiv w:val="1"/>
      <w:marLeft w:val="0"/>
      <w:marRight w:val="0"/>
      <w:marTop w:val="0"/>
      <w:marBottom w:val="0"/>
      <w:divBdr>
        <w:top w:val="none" w:sz="0" w:space="0" w:color="auto"/>
        <w:left w:val="none" w:sz="0" w:space="0" w:color="auto"/>
        <w:bottom w:val="none" w:sz="0" w:space="0" w:color="auto"/>
        <w:right w:val="none" w:sz="0" w:space="0" w:color="auto"/>
      </w:divBdr>
    </w:div>
    <w:div w:id="1279683241">
      <w:bodyDiv w:val="1"/>
      <w:marLeft w:val="0"/>
      <w:marRight w:val="0"/>
      <w:marTop w:val="0"/>
      <w:marBottom w:val="0"/>
      <w:divBdr>
        <w:top w:val="none" w:sz="0" w:space="0" w:color="auto"/>
        <w:left w:val="none" w:sz="0" w:space="0" w:color="auto"/>
        <w:bottom w:val="none" w:sz="0" w:space="0" w:color="auto"/>
        <w:right w:val="none" w:sz="0" w:space="0" w:color="auto"/>
      </w:divBdr>
    </w:div>
    <w:div w:id="1281185446">
      <w:bodyDiv w:val="1"/>
      <w:marLeft w:val="0"/>
      <w:marRight w:val="0"/>
      <w:marTop w:val="0"/>
      <w:marBottom w:val="0"/>
      <w:divBdr>
        <w:top w:val="none" w:sz="0" w:space="0" w:color="auto"/>
        <w:left w:val="none" w:sz="0" w:space="0" w:color="auto"/>
        <w:bottom w:val="none" w:sz="0" w:space="0" w:color="auto"/>
        <w:right w:val="none" w:sz="0" w:space="0" w:color="auto"/>
      </w:divBdr>
    </w:div>
    <w:div w:id="1284532353">
      <w:bodyDiv w:val="1"/>
      <w:marLeft w:val="0"/>
      <w:marRight w:val="0"/>
      <w:marTop w:val="0"/>
      <w:marBottom w:val="0"/>
      <w:divBdr>
        <w:top w:val="none" w:sz="0" w:space="0" w:color="auto"/>
        <w:left w:val="none" w:sz="0" w:space="0" w:color="auto"/>
        <w:bottom w:val="none" w:sz="0" w:space="0" w:color="auto"/>
        <w:right w:val="none" w:sz="0" w:space="0" w:color="auto"/>
      </w:divBdr>
    </w:div>
    <w:div w:id="1288731521">
      <w:bodyDiv w:val="1"/>
      <w:marLeft w:val="0"/>
      <w:marRight w:val="0"/>
      <w:marTop w:val="0"/>
      <w:marBottom w:val="0"/>
      <w:divBdr>
        <w:top w:val="none" w:sz="0" w:space="0" w:color="auto"/>
        <w:left w:val="none" w:sz="0" w:space="0" w:color="auto"/>
        <w:bottom w:val="none" w:sz="0" w:space="0" w:color="auto"/>
        <w:right w:val="none" w:sz="0" w:space="0" w:color="auto"/>
      </w:divBdr>
    </w:div>
    <w:div w:id="1288731944">
      <w:bodyDiv w:val="1"/>
      <w:marLeft w:val="0"/>
      <w:marRight w:val="0"/>
      <w:marTop w:val="0"/>
      <w:marBottom w:val="0"/>
      <w:divBdr>
        <w:top w:val="none" w:sz="0" w:space="0" w:color="auto"/>
        <w:left w:val="none" w:sz="0" w:space="0" w:color="auto"/>
        <w:bottom w:val="none" w:sz="0" w:space="0" w:color="auto"/>
        <w:right w:val="none" w:sz="0" w:space="0" w:color="auto"/>
      </w:divBdr>
    </w:div>
    <w:div w:id="1289899744">
      <w:bodyDiv w:val="1"/>
      <w:marLeft w:val="0"/>
      <w:marRight w:val="0"/>
      <w:marTop w:val="0"/>
      <w:marBottom w:val="0"/>
      <w:divBdr>
        <w:top w:val="none" w:sz="0" w:space="0" w:color="auto"/>
        <w:left w:val="none" w:sz="0" w:space="0" w:color="auto"/>
        <w:bottom w:val="none" w:sz="0" w:space="0" w:color="auto"/>
        <w:right w:val="none" w:sz="0" w:space="0" w:color="auto"/>
      </w:divBdr>
    </w:div>
    <w:div w:id="1290357443">
      <w:bodyDiv w:val="1"/>
      <w:marLeft w:val="0"/>
      <w:marRight w:val="0"/>
      <w:marTop w:val="0"/>
      <w:marBottom w:val="0"/>
      <w:divBdr>
        <w:top w:val="none" w:sz="0" w:space="0" w:color="auto"/>
        <w:left w:val="none" w:sz="0" w:space="0" w:color="auto"/>
        <w:bottom w:val="none" w:sz="0" w:space="0" w:color="auto"/>
        <w:right w:val="none" w:sz="0" w:space="0" w:color="auto"/>
      </w:divBdr>
    </w:div>
    <w:div w:id="1291596031">
      <w:bodyDiv w:val="1"/>
      <w:marLeft w:val="0"/>
      <w:marRight w:val="0"/>
      <w:marTop w:val="0"/>
      <w:marBottom w:val="0"/>
      <w:divBdr>
        <w:top w:val="none" w:sz="0" w:space="0" w:color="auto"/>
        <w:left w:val="none" w:sz="0" w:space="0" w:color="auto"/>
        <w:bottom w:val="none" w:sz="0" w:space="0" w:color="auto"/>
        <w:right w:val="none" w:sz="0" w:space="0" w:color="auto"/>
      </w:divBdr>
    </w:div>
    <w:div w:id="1303268605">
      <w:bodyDiv w:val="1"/>
      <w:marLeft w:val="0"/>
      <w:marRight w:val="0"/>
      <w:marTop w:val="0"/>
      <w:marBottom w:val="0"/>
      <w:divBdr>
        <w:top w:val="none" w:sz="0" w:space="0" w:color="auto"/>
        <w:left w:val="none" w:sz="0" w:space="0" w:color="auto"/>
        <w:bottom w:val="none" w:sz="0" w:space="0" w:color="auto"/>
        <w:right w:val="none" w:sz="0" w:space="0" w:color="auto"/>
      </w:divBdr>
    </w:div>
    <w:div w:id="1337729938">
      <w:bodyDiv w:val="1"/>
      <w:marLeft w:val="0"/>
      <w:marRight w:val="0"/>
      <w:marTop w:val="0"/>
      <w:marBottom w:val="0"/>
      <w:divBdr>
        <w:top w:val="none" w:sz="0" w:space="0" w:color="auto"/>
        <w:left w:val="none" w:sz="0" w:space="0" w:color="auto"/>
        <w:bottom w:val="none" w:sz="0" w:space="0" w:color="auto"/>
        <w:right w:val="none" w:sz="0" w:space="0" w:color="auto"/>
      </w:divBdr>
    </w:div>
    <w:div w:id="1337877354">
      <w:bodyDiv w:val="1"/>
      <w:marLeft w:val="0"/>
      <w:marRight w:val="0"/>
      <w:marTop w:val="0"/>
      <w:marBottom w:val="0"/>
      <w:divBdr>
        <w:top w:val="none" w:sz="0" w:space="0" w:color="auto"/>
        <w:left w:val="none" w:sz="0" w:space="0" w:color="auto"/>
        <w:bottom w:val="none" w:sz="0" w:space="0" w:color="auto"/>
        <w:right w:val="none" w:sz="0" w:space="0" w:color="auto"/>
      </w:divBdr>
    </w:div>
    <w:div w:id="1340352316">
      <w:bodyDiv w:val="1"/>
      <w:marLeft w:val="0"/>
      <w:marRight w:val="0"/>
      <w:marTop w:val="0"/>
      <w:marBottom w:val="0"/>
      <w:divBdr>
        <w:top w:val="none" w:sz="0" w:space="0" w:color="auto"/>
        <w:left w:val="none" w:sz="0" w:space="0" w:color="auto"/>
        <w:bottom w:val="none" w:sz="0" w:space="0" w:color="auto"/>
        <w:right w:val="none" w:sz="0" w:space="0" w:color="auto"/>
      </w:divBdr>
    </w:div>
    <w:div w:id="1358235240">
      <w:bodyDiv w:val="1"/>
      <w:marLeft w:val="0"/>
      <w:marRight w:val="0"/>
      <w:marTop w:val="0"/>
      <w:marBottom w:val="0"/>
      <w:divBdr>
        <w:top w:val="none" w:sz="0" w:space="0" w:color="auto"/>
        <w:left w:val="none" w:sz="0" w:space="0" w:color="auto"/>
        <w:bottom w:val="none" w:sz="0" w:space="0" w:color="auto"/>
        <w:right w:val="none" w:sz="0" w:space="0" w:color="auto"/>
      </w:divBdr>
    </w:div>
    <w:div w:id="1361518074">
      <w:bodyDiv w:val="1"/>
      <w:marLeft w:val="0"/>
      <w:marRight w:val="0"/>
      <w:marTop w:val="0"/>
      <w:marBottom w:val="0"/>
      <w:divBdr>
        <w:top w:val="none" w:sz="0" w:space="0" w:color="auto"/>
        <w:left w:val="none" w:sz="0" w:space="0" w:color="auto"/>
        <w:bottom w:val="none" w:sz="0" w:space="0" w:color="auto"/>
        <w:right w:val="none" w:sz="0" w:space="0" w:color="auto"/>
      </w:divBdr>
    </w:div>
    <w:div w:id="1362783013">
      <w:bodyDiv w:val="1"/>
      <w:marLeft w:val="0"/>
      <w:marRight w:val="0"/>
      <w:marTop w:val="0"/>
      <w:marBottom w:val="0"/>
      <w:divBdr>
        <w:top w:val="none" w:sz="0" w:space="0" w:color="auto"/>
        <w:left w:val="none" w:sz="0" w:space="0" w:color="auto"/>
        <w:bottom w:val="none" w:sz="0" w:space="0" w:color="auto"/>
        <w:right w:val="none" w:sz="0" w:space="0" w:color="auto"/>
      </w:divBdr>
    </w:div>
    <w:div w:id="1379167586">
      <w:bodyDiv w:val="1"/>
      <w:marLeft w:val="0"/>
      <w:marRight w:val="0"/>
      <w:marTop w:val="0"/>
      <w:marBottom w:val="0"/>
      <w:divBdr>
        <w:top w:val="none" w:sz="0" w:space="0" w:color="auto"/>
        <w:left w:val="none" w:sz="0" w:space="0" w:color="auto"/>
        <w:bottom w:val="none" w:sz="0" w:space="0" w:color="auto"/>
        <w:right w:val="none" w:sz="0" w:space="0" w:color="auto"/>
      </w:divBdr>
    </w:div>
    <w:div w:id="1384059239">
      <w:bodyDiv w:val="1"/>
      <w:marLeft w:val="0"/>
      <w:marRight w:val="0"/>
      <w:marTop w:val="0"/>
      <w:marBottom w:val="0"/>
      <w:divBdr>
        <w:top w:val="none" w:sz="0" w:space="0" w:color="auto"/>
        <w:left w:val="none" w:sz="0" w:space="0" w:color="auto"/>
        <w:bottom w:val="none" w:sz="0" w:space="0" w:color="auto"/>
        <w:right w:val="none" w:sz="0" w:space="0" w:color="auto"/>
      </w:divBdr>
    </w:div>
    <w:div w:id="1384210363">
      <w:bodyDiv w:val="1"/>
      <w:marLeft w:val="0"/>
      <w:marRight w:val="0"/>
      <w:marTop w:val="0"/>
      <w:marBottom w:val="0"/>
      <w:divBdr>
        <w:top w:val="none" w:sz="0" w:space="0" w:color="auto"/>
        <w:left w:val="none" w:sz="0" w:space="0" w:color="auto"/>
        <w:bottom w:val="none" w:sz="0" w:space="0" w:color="auto"/>
        <w:right w:val="none" w:sz="0" w:space="0" w:color="auto"/>
      </w:divBdr>
    </w:div>
    <w:div w:id="1389763844">
      <w:bodyDiv w:val="1"/>
      <w:marLeft w:val="0"/>
      <w:marRight w:val="0"/>
      <w:marTop w:val="0"/>
      <w:marBottom w:val="0"/>
      <w:divBdr>
        <w:top w:val="none" w:sz="0" w:space="0" w:color="auto"/>
        <w:left w:val="none" w:sz="0" w:space="0" w:color="auto"/>
        <w:bottom w:val="none" w:sz="0" w:space="0" w:color="auto"/>
        <w:right w:val="none" w:sz="0" w:space="0" w:color="auto"/>
      </w:divBdr>
    </w:div>
    <w:div w:id="1399404685">
      <w:bodyDiv w:val="1"/>
      <w:marLeft w:val="0"/>
      <w:marRight w:val="0"/>
      <w:marTop w:val="0"/>
      <w:marBottom w:val="0"/>
      <w:divBdr>
        <w:top w:val="none" w:sz="0" w:space="0" w:color="auto"/>
        <w:left w:val="none" w:sz="0" w:space="0" w:color="auto"/>
        <w:bottom w:val="none" w:sz="0" w:space="0" w:color="auto"/>
        <w:right w:val="none" w:sz="0" w:space="0" w:color="auto"/>
      </w:divBdr>
    </w:div>
    <w:div w:id="1402218314">
      <w:bodyDiv w:val="1"/>
      <w:marLeft w:val="0"/>
      <w:marRight w:val="0"/>
      <w:marTop w:val="0"/>
      <w:marBottom w:val="0"/>
      <w:divBdr>
        <w:top w:val="none" w:sz="0" w:space="0" w:color="auto"/>
        <w:left w:val="none" w:sz="0" w:space="0" w:color="auto"/>
        <w:bottom w:val="none" w:sz="0" w:space="0" w:color="auto"/>
        <w:right w:val="none" w:sz="0" w:space="0" w:color="auto"/>
      </w:divBdr>
    </w:div>
    <w:div w:id="1403747754">
      <w:bodyDiv w:val="1"/>
      <w:marLeft w:val="0"/>
      <w:marRight w:val="0"/>
      <w:marTop w:val="0"/>
      <w:marBottom w:val="0"/>
      <w:divBdr>
        <w:top w:val="none" w:sz="0" w:space="0" w:color="auto"/>
        <w:left w:val="none" w:sz="0" w:space="0" w:color="auto"/>
        <w:bottom w:val="none" w:sz="0" w:space="0" w:color="auto"/>
        <w:right w:val="none" w:sz="0" w:space="0" w:color="auto"/>
      </w:divBdr>
    </w:div>
    <w:div w:id="1412431969">
      <w:bodyDiv w:val="1"/>
      <w:marLeft w:val="0"/>
      <w:marRight w:val="0"/>
      <w:marTop w:val="0"/>
      <w:marBottom w:val="0"/>
      <w:divBdr>
        <w:top w:val="none" w:sz="0" w:space="0" w:color="auto"/>
        <w:left w:val="none" w:sz="0" w:space="0" w:color="auto"/>
        <w:bottom w:val="none" w:sz="0" w:space="0" w:color="auto"/>
        <w:right w:val="none" w:sz="0" w:space="0" w:color="auto"/>
      </w:divBdr>
    </w:div>
    <w:div w:id="1421948320">
      <w:bodyDiv w:val="1"/>
      <w:marLeft w:val="0"/>
      <w:marRight w:val="0"/>
      <w:marTop w:val="0"/>
      <w:marBottom w:val="0"/>
      <w:divBdr>
        <w:top w:val="none" w:sz="0" w:space="0" w:color="auto"/>
        <w:left w:val="none" w:sz="0" w:space="0" w:color="auto"/>
        <w:bottom w:val="none" w:sz="0" w:space="0" w:color="auto"/>
        <w:right w:val="none" w:sz="0" w:space="0" w:color="auto"/>
      </w:divBdr>
    </w:div>
    <w:div w:id="1440219457">
      <w:bodyDiv w:val="1"/>
      <w:marLeft w:val="0"/>
      <w:marRight w:val="0"/>
      <w:marTop w:val="0"/>
      <w:marBottom w:val="0"/>
      <w:divBdr>
        <w:top w:val="none" w:sz="0" w:space="0" w:color="auto"/>
        <w:left w:val="none" w:sz="0" w:space="0" w:color="auto"/>
        <w:bottom w:val="none" w:sz="0" w:space="0" w:color="auto"/>
        <w:right w:val="none" w:sz="0" w:space="0" w:color="auto"/>
      </w:divBdr>
    </w:div>
    <w:div w:id="1445345766">
      <w:bodyDiv w:val="1"/>
      <w:marLeft w:val="0"/>
      <w:marRight w:val="0"/>
      <w:marTop w:val="0"/>
      <w:marBottom w:val="0"/>
      <w:divBdr>
        <w:top w:val="none" w:sz="0" w:space="0" w:color="auto"/>
        <w:left w:val="none" w:sz="0" w:space="0" w:color="auto"/>
        <w:bottom w:val="none" w:sz="0" w:space="0" w:color="auto"/>
        <w:right w:val="none" w:sz="0" w:space="0" w:color="auto"/>
      </w:divBdr>
    </w:div>
    <w:div w:id="1448770823">
      <w:bodyDiv w:val="1"/>
      <w:marLeft w:val="0"/>
      <w:marRight w:val="0"/>
      <w:marTop w:val="0"/>
      <w:marBottom w:val="0"/>
      <w:divBdr>
        <w:top w:val="none" w:sz="0" w:space="0" w:color="auto"/>
        <w:left w:val="none" w:sz="0" w:space="0" w:color="auto"/>
        <w:bottom w:val="none" w:sz="0" w:space="0" w:color="auto"/>
        <w:right w:val="none" w:sz="0" w:space="0" w:color="auto"/>
      </w:divBdr>
    </w:div>
    <w:div w:id="1455097191">
      <w:bodyDiv w:val="1"/>
      <w:marLeft w:val="0"/>
      <w:marRight w:val="0"/>
      <w:marTop w:val="0"/>
      <w:marBottom w:val="0"/>
      <w:divBdr>
        <w:top w:val="none" w:sz="0" w:space="0" w:color="auto"/>
        <w:left w:val="none" w:sz="0" w:space="0" w:color="auto"/>
        <w:bottom w:val="none" w:sz="0" w:space="0" w:color="auto"/>
        <w:right w:val="none" w:sz="0" w:space="0" w:color="auto"/>
      </w:divBdr>
    </w:div>
    <w:div w:id="1458792336">
      <w:bodyDiv w:val="1"/>
      <w:marLeft w:val="0"/>
      <w:marRight w:val="0"/>
      <w:marTop w:val="0"/>
      <w:marBottom w:val="0"/>
      <w:divBdr>
        <w:top w:val="none" w:sz="0" w:space="0" w:color="auto"/>
        <w:left w:val="none" w:sz="0" w:space="0" w:color="auto"/>
        <w:bottom w:val="none" w:sz="0" w:space="0" w:color="auto"/>
        <w:right w:val="none" w:sz="0" w:space="0" w:color="auto"/>
      </w:divBdr>
    </w:div>
    <w:div w:id="1459564060">
      <w:bodyDiv w:val="1"/>
      <w:marLeft w:val="0"/>
      <w:marRight w:val="0"/>
      <w:marTop w:val="0"/>
      <w:marBottom w:val="0"/>
      <w:divBdr>
        <w:top w:val="none" w:sz="0" w:space="0" w:color="auto"/>
        <w:left w:val="none" w:sz="0" w:space="0" w:color="auto"/>
        <w:bottom w:val="none" w:sz="0" w:space="0" w:color="auto"/>
        <w:right w:val="none" w:sz="0" w:space="0" w:color="auto"/>
      </w:divBdr>
    </w:div>
    <w:div w:id="1460536846">
      <w:bodyDiv w:val="1"/>
      <w:marLeft w:val="0"/>
      <w:marRight w:val="0"/>
      <w:marTop w:val="0"/>
      <w:marBottom w:val="0"/>
      <w:divBdr>
        <w:top w:val="none" w:sz="0" w:space="0" w:color="auto"/>
        <w:left w:val="none" w:sz="0" w:space="0" w:color="auto"/>
        <w:bottom w:val="none" w:sz="0" w:space="0" w:color="auto"/>
        <w:right w:val="none" w:sz="0" w:space="0" w:color="auto"/>
      </w:divBdr>
    </w:div>
    <w:div w:id="1474368763">
      <w:bodyDiv w:val="1"/>
      <w:marLeft w:val="0"/>
      <w:marRight w:val="0"/>
      <w:marTop w:val="0"/>
      <w:marBottom w:val="0"/>
      <w:divBdr>
        <w:top w:val="none" w:sz="0" w:space="0" w:color="auto"/>
        <w:left w:val="none" w:sz="0" w:space="0" w:color="auto"/>
        <w:bottom w:val="none" w:sz="0" w:space="0" w:color="auto"/>
        <w:right w:val="none" w:sz="0" w:space="0" w:color="auto"/>
      </w:divBdr>
    </w:div>
    <w:div w:id="1476797736">
      <w:bodyDiv w:val="1"/>
      <w:marLeft w:val="0"/>
      <w:marRight w:val="0"/>
      <w:marTop w:val="0"/>
      <w:marBottom w:val="0"/>
      <w:divBdr>
        <w:top w:val="none" w:sz="0" w:space="0" w:color="auto"/>
        <w:left w:val="none" w:sz="0" w:space="0" w:color="auto"/>
        <w:bottom w:val="none" w:sz="0" w:space="0" w:color="auto"/>
        <w:right w:val="none" w:sz="0" w:space="0" w:color="auto"/>
      </w:divBdr>
    </w:div>
    <w:div w:id="1476944292">
      <w:bodyDiv w:val="1"/>
      <w:marLeft w:val="0"/>
      <w:marRight w:val="0"/>
      <w:marTop w:val="0"/>
      <w:marBottom w:val="0"/>
      <w:divBdr>
        <w:top w:val="none" w:sz="0" w:space="0" w:color="auto"/>
        <w:left w:val="none" w:sz="0" w:space="0" w:color="auto"/>
        <w:bottom w:val="none" w:sz="0" w:space="0" w:color="auto"/>
        <w:right w:val="none" w:sz="0" w:space="0" w:color="auto"/>
      </w:divBdr>
    </w:div>
    <w:div w:id="1481774209">
      <w:bodyDiv w:val="1"/>
      <w:marLeft w:val="0"/>
      <w:marRight w:val="0"/>
      <w:marTop w:val="0"/>
      <w:marBottom w:val="0"/>
      <w:divBdr>
        <w:top w:val="none" w:sz="0" w:space="0" w:color="auto"/>
        <w:left w:val="none" w:sz="0" w:space="0" w:color="auto"/>
        <w:bottom w:val="none" w:sz="0" w:space="0" w:color="auto"/>
        <w:right w:val="none" w:sz="0" w:space="0" w:color="auto"/>
      </w:divBdr>
    </w:div>
    <w:div w:id="1486243471">
      <w:bodyDiv w:val="1"/>
      <w:marLeft w:val="0"/>
      <w:marRight w:val="0"/>
      <w:marTop w:val="0"/>
      <w:marBottom w:val="0"/>
      <w:divBdr>
        <w:top w:val="none" w:sz="0" w:space="0" w:color="auto"/>
        <w:left w:val="none" w:sz="0" w:space="0" w:color="auto"/>
        <w:bottom w:val="none" w:sz="0" w:space="0" w:color="auto"/>
        <w:right w:val="none" w:sz="0" w:space="0" w:color="auto"/>
      </w:divBdr>
    </w:div>
    <w:div w:id="1487088107">
      <w:bodyDiv w:val="1"/>
      <w:marLeft w:val="0"/>
      <w:marRight w:val="0"/>
      <w:marTop w:val="0"/>
      <w:marBottom w:val="0"/>
      <w:divBdr>
        <w:top w:val="none" w:sz="0" w:space="0" w:color="auto"/>
        <w:left w:val="none" w:sz="0" w:space="0" w:color="auto"/>
        <w:bottom w:val="none" w:sz="0" w:space="0" w:color="auto"/>
        <w:right w:val="none" w:sz="0" w:space="0" w:color="auto"/>
      </w:divBdr>
    </w:div>
    <w:div w:id="1488548813">
      <w:bodyDiv w:val="1"/>
      <w:marLeft w:val="0"/>
      <w:marRight w:val="0"/>
      <w:marTop w:val="0"/>
      <w:marBottom w:val="0"/>
      <w:divBdr>
        <w:top w:val="none" w:sz="0" w:space="0" w:color="auto"/>
        <w:left w:val="none" w:sz="0" w:space="0" w:color="auto"/>
        <w:bottom w:val="none" w:sz="0" w:space="0" w:color="auto"/>
        <w:right w:val="none" w:sz="0" w:space="0" w:color="auto"/>
      </w:divBdr>
    </w:div>
    <w:div w:id="1491170231">
      <w:bodyDiv w:val="1"/>
      <w:marLeft w:val="0"/>
      <w:marRight w:val="0"/>
      <w:marTop w:val="0"/>
      <w:marBottom w:val="0"/>
      <w:divBdr>
        <w:top w:val="none" w:sz="0" w:space="0" w:color="auto"/>
        <w:left w:val="none" w:sz="0" w:space="0" w:color="auto"/>
        <w:bottom w:val="none" w:sz="0" w:space="0" w:color="auto"/>
        <w:right w:val="none" w:sz="0" w:space="0" w:color="auto"/>
      </w:divBdr>
    </w:div>
    <w:div w:id="1496259867">
      <w:bodyDiv w:val="1"/>
      <w:marLeft w:val="0"/>
      <w:marRight w:val="0"/>
      <w:marTop w:val="0"/>
      <w:marBottom w:val="0"/>
      <w:divBdr>
        <w:top w:val="none" w:sz="0" w:space="0" w:color="auto"/>
        <w:left w:val="none" w:sz="0" w:space="0" w:color="auto"/>
        <w:bottom w:val="none" w:sz="0" w:space="0" w:color="auto"/>
        <w:right w:val="none" w:sz="0" w:space="0" w:color="auto"/>
      </w:divBdr>
    </w:div>
    <w:div w:id="1499731611">
      <w:bodyDiv w:val="1"/>
      <w:marLeft w:val="0"/>
      <w:marRight w:val="0"/>
      <w:marTop w:val="0"/>
      <w:marBottom w:val="0"/>
      <w:divBdr>
        <w:top w:val="none" w:sz="0" w:space="0" w:color="auto"/>
        <w:left w:val="none" w:sz="0" w:space="0" w:color="auto"/>
        <w:bottom w:val="none" w:sz="0" w:space="0" w:color="auto"/>
        <w:right w:val="none" w:sz="0" w:space="0" w:color="auto"/>
      </w:divBdr>
    </w:div>
    <w:div w:id="1506093127">
      <w:bodyDiv w:val="1"/>
      <w:marLeft w:val="0"/>
      <w:marRight w:val="0"/>
      <w:marTop w:val="0"/>
      <w:marBottom w:val="0"/>
      <w:divBdr>
        <w:top w:val="none" w:sz="0" w:space="0" w:color="auto"/>
        <w:left w:val="none" w:sz="0" w:space="0" w:color="auto"/>
        <w:bottom w:val="none" w:sz="0" w:space="0" w:color="auto"/>
        <w:right w:val="none" w:sz="0" w:space="0" w:color="auto"/>
      </w:divBdr>
    </w:div>
    <w:div w:id="1507550692">
      <w:bodyDiv w:val="1"/>
      <w:marLeft w:val="0"/>
      <w:marRight w:val="0"/>
      <w:marTop w:val="0"/>
      <w:marBottom w:val="0"/>
      <w:divBdr>
        <w:top w:val="none" w:sz="0" w:space="0" w:color="auto"/>
        <w:left w:val="none" w:sz="0" w:space="0" w:color="auto"/>
        <w:bottom w:val="none" w:sz="0" w:space="0" w:color="auto"/>
        <w:right w:val="none" w:sz="0" w:space="0" w:color="auto"/>
      </w:divBdr>
    </w:div>
    <w:div w:id="1519348312">
      <w:bodyDiv w:val="1"/>
      <w:marLeft w:val="0"/>
      <w:marRight w:val="0"/>
      <w:marTop w:val="0"/>
      <w:marBottom w:val="0"/>
      <w:divBdr>
        <w:top w:val="none" w:sz="0" w:space="0" w:color="auto"/>
        <w:left w:val="none" w:sz="0" w:space="0" w:color="auto"/>
        <w:bottom w:val="none" w:sz="0" w:space="0" w:color="auto"/>
        <w:right w:val="none" w:sz="0" w:space="0" w:color="auto"/>
      </w:divBdr>
    </w:div>
    <w:div w:id="1532958888">
      <w:bodyDiv w:val="1"/>
      <w:marLeft w:val="0"/>
      <w:marRight w:val="0"/>
      <w:marTop w:val="0"/>
      <w:marBottom w:val="0"/>
      <w:divBdr>
        <w:top w:val="none" w:sz="0" w:space="0" w:color="auto"/>
        <w:left w:val="none" w:sz="0" w:space="0" w:color="auto"/>
        <w:bottom w:val="none" w:sz="0" w:space="0" w:color="auto"/>
        <w:right w:val="none" w:sz="0" w:space="0" w:color="auto"/>
      </w:divBdr>
    </w:div>
    <w:div w:id="1536187532">
      <w:bodyDiv w:val="1"/>
      <w:marLeft w:val="0"/>
      <w:marRight w:val="0"/>
      <w:marTop w:val="0"/>
      <w:marBottom w:val="0"/>
      <w:divBdr>
        <w:top w:val="none" w:sz="0" w:space="0" w:color="auto"/>
        <w:left w:val="none" w:sz="0" w:space="0" w:color="auto"/>
        <w:bottom w:val="none" w:sz="0" w:space="0" w:color="auto"/>
        <w:right w:val="none" w:sz="0" w:space="0" w:color="auto"/>
      </w:divBdr>
    </w:div>
    <w:div w:id="1542207115">
      <w:bodyDiv w:val="1"/>
      <w:marLeft w:val="0"/>
      <w:marRight w:val="0"/>
      <w:marTop w:val="0"/>
      <w:marBottom w:val="0"/>
      <w:divBdr>
        <w:top w:val="none" w:sz="0" w:space="0" w:color="auto"/>
        <w:left w:val="none" w:sz="0" w:space="0" w:color="auto"/>
        <w:bottom w:val="none" w:sz="0" w:space="0" w:color="auto"/>
        <w:right w:val="none" w:sz="0" w:space="0" w:color="auto"/>
      </w:divBdr>
    </w:div>
    <w:div w:id="1543592183">
      <w:bodyDiv w:val="1"/>
      <w:marLeft w:val="0"/>
      <w:marRight w:val="0"/>
      <w:marTop w:val="0"/>
      <w:marBottom w:val="0"/>
      <w:divBdr>
        <w:top w:val="none" w:sz="0" w:space="0" w:color="auto"/>
        <w:left w:val="none" w:sz="0" w:space="0" w:color="auto"/>
        <w:bottom w:val="none" w:sz="0" w:space="0" w:color="auto"/>
        <w:right w:val="none" w:sz="0" w:space="0" w:color="auto"/>
      </w:divBdr>
    </w:div>
    <w:div w:id="1547184616">
      <w:bodyDiv w:val="1"/>
      <w:marLeft w:val="0"/>
      <w:marRight w:val="0"/>
      <w:marTop w:val="0"/>
      <w:marBottom w:val="0"/>
      <w:divBdr>
        <w:top w:val="none" w:sz="0" w:space="0" w:color="auto"/>
        <w:left w:val="none" w:sz="0" w:space="0" w:color="auto"/>
        <w:bottom w:val="none" w:sz="0" w:space="0" w:color="auto"/>
        <w:right w:val="none" w:sz="0" w:space="0" w:color="auto"/>
      </w:divBdr>
    </w:div>
    <w:div w:id="1550724341">
      <w:bodyDiv w:val="1"/>
      <w:marLeft w:val="0"/>
      <w:marRight w:val="0"/>
      <w:marTop w:val="0"/>
      <w:marBottom w:val="0"/>
      <w:divBdr>
        <w:top w:val="none" w:sz="0" w:space="0" w:color="auto"/>
        <w:left w:val="none" w:sz="0" w:space="0" w:color="auto"/>
        <w:bottom w:val="none" w:sz="0" w:space="0" w:color="auto"/>
        <w:right w:val="none" w:sz="0" w:space="0" w:color="auto"/>
      </w:divBdr>
    </w:div>
    <w:div w:id="1551913523">
      <w:bodyDiv w:val="1"/>
      <w:marLeft w:val="0"/>
      <w:marRight w:val="0"/>
      <w:marTop w:val="0"/>
      <w:marBottom w:val="0"/>
      <w:divBdr>
        <w:top w:val="none" w:sz="0" w:space="0" w:color="auto"/>
        <w:left w:val="none" w:sz="0" w:space="0" w:color="auto"/>
        <w:bottom w:val="none" w:sz="0" w:space="0" w:color="auto"/>
        <w:right w:val="none" w:sz="0" w:space="0" w:color="auto"/>
      </w:divBdr>
    </w:div>
    <w:div w:id="1561865093">
      <w:bodyDiv w:val="1"/>
      <w:marLeft w:val="0"/>
      <w:marRight w:val="0"/>
      <w:marTop w:val="0"/>
      <w:marBottom w:val="0"/>
      <w:divBdr>
        <w:top w:val="none" w:sz="0" w:space="0" w:color="auto"/>
        <w:left w:val="none" w:sz="0" w:space="0" w:color="auto"/>
        <w:bottom w:val="none" w:sz="0" w:space="0" w:color="auto"/>
        <w:right w:val="none" w:sz="0" w:space="0" w:color="auto"/>
      </w:divBdr>
    </w:div>
    <w:div w:id="1565527203">
      <w:bodyDiv w:val="1"/>
      <w:marLeft w:val="0"/>
      <w:marRight w:val="0"/>
      <w:marTop w:val="0"/>
      <w:marBottom w:val="0"/>
      <w:divBdr>
        <w:top w:val="none" w:sz="0" w:space="0" w:color="auto"/>
        <w:left w:val="none" w:sz="0" w:space="0" w:color="auto"/>
        <w:bottom w:val="none" w:sz="0" w:space="0" w:color="auto"/>
        <w:right w:val="none" w:sz="0" w:space="0" w:color="auto"/>
      </w:divBdr>
    </w:div>
    <w:div w:id="1569414416">
      <w:bodyDiv w:val="1"/>
      <w:marLeft w:val="0"/>
      <w:marRight w:val="0"/>
      <w:marTop w:val="0"/>
      <w:marBottom w:val="0"/>
      <w:divBdr>
        <w:top w:val="none" w:sz="0" w:space="0" w:color="auto"/>
        <w:left w:val="none" w:sz="0" w:space="0" w:color="auto"/>
        <w:bottom w:val="none" w:sz="0" w:space="0" w:color="auto"/>
        <w:right w:val="none" w:sz="0" w:space="0" w:color="auto"/>
      </w:divBdr>
    </w:div>
    <w:div w:id="1574388145">
      <w:bodyDiv w:val="1"/>
      <w:marLeft w:val="0"/>
      <w:marRight w:val="0"/>
      <w:marTop w:val="0"/>
      <w:marBottom w:val="0"/>
      <w:divBdr>
        <w:top w:val="none" w:sz="0" w:space="0" w:color="auto"/>
        <w:left w:val="none" w:sz="0" w:space="0" w:color="auto"/>
        <w:bottom w:val="none" w:sz="0" w:space="0" w:color="auto"/>
        <w:right w:val="none" w:sz="0" w:space="0" w:color="auto"/>
      </w:divBdr>
    </w:div>
    <w:div w:id="1576236046">
      <w:bodyDiv w:val="1"/>
      <w:marLeft w:val="0"/>
      <w:marRight w:val="0"/>
      <w:marTop w:val="0"/>
      <w:marBottom w:val="0"/>
      <w:divBdr>
        <w:top w:val="none" w:sz="0" w:space="0" w:color="auto"/>
        <w:left w:val="none" w:sz="0" w:space="0" w:color="auto"/>
        <w:bottom w:val="none" w:sz="0" w:space="0" w:color="auto"/>
        <w:right w:val="none" w:sz="0" w:space="0" w:color="auto"/>
      </w:divBdr>
    </w:div>
    <w:div w:id="1576940984">
      <w:bodyDiv w:val="1"/>
      <w:marLeft w:val="0"/>
      <w:marRight w:val="0"/>
      <w:marTop w:val="0"/>
      <w:marBottom w:val="0"/>
      <w:divBdr>
        <w:top w:val="none" w:sz="0" w:space="0" w:color="auto"/>
        <w:left w:val="none" w:sz="0" w:space="0" w:color="auto"/>
        <w:bottom w:val="none" w:sz="0" w:space="0" w:color="auto"/>
        <w:right w:val="none" w:sz="0" w:space="0" w:color="auto"/>
      </w:divBdr>
    </w:div>
    <w:div w:id="1590457105">
      <w:bodyDiv w:val="1"/>
      <w:marLeft w:val="0"/>
      <w:marRight w:val="0"/>
      <w:marTop w:val="0"/>
      <w:marBottom w:val="0"/>
      <w:divBdr>
        <w:top w:val="none" w:sz="0" w:space="0" w:color="auto"/>
        <w:left w:val="none" w:sz="0" w:space="0" w:color="auto"/>
        <w:bottom w:val="none" w:sz="0" w:space="0" w:color="auto"/>
        <w:right w:val="none" w:sz="0" w:space="0" w:color="auto"/>
      </w:divBdr>
    </w:div>
    <w:div w:id="1599799604">
      <w:bodyDiv w:val="1"/>
      <w:marLeft w:val="0"/>
      <w:marRight w:val="0"/>
      <w:marTop w:val="0"/>
      <w:marBottom w:val="0"/>
      <w:divBdr>
        <w:top w:val="none" w:sz="0" w:space="0" w:color="auto"/>
        <w:left w:val="none" w:sz="0" w:space="0" w:color="auto"/>
        <w:bottom w:val="none" w:sz="0" w:space="0" w:color="auto"/>
        <w:right w:val="none" w:sz="0" w:space="0" w:color="auto"/>
      </w:divBdr>
    </w:div>
    <w:div w:id="1601142575">
      <w:bodyDiv w:val="1"/>
      <w:marLeft w:val="0"/>
      <w:marRight w:val="0"/>
      <w:marTop w:val="0"/>
      <w:marBottom w:val="0"/>
      <w:divBdr>
        <w:top w:val="none" w:sz="0" w:space="0" w:color="auto"/>
        <w:left w:val="none" w:sz="0" w:space="0" w:color="auto"/>
        <w:bottom w:val="none" w:sz="0" w:space="0" w:color="auto"/>
        <w:right w:val="none" w:sz="0" w:space="0" w:color="auto"/>
      </w:divBdr>
    </w:div>
    <w:div w:id="1606841327">
      <w:bodyDiv w:val="1"/>
      <w:marLeft w:val="0"/>
      <w:marRight w:val="0"/>
      <w:marTop w:val="0"/>
      <w:marBottom w:val="0"/>
      <w:divBdr>
        <w:top w:val="none" w:sz="0" w:space="0" w:color="auto"/>
        <w:left w:val="none" w:sz="0" w:space="0" w:color="auto"/>
        <w:bottom w:val="none" w:sz="0" w:space="0" w:color="auto"/>
        <w:right w:val="none" w:sz="0" w:space="0" w:color="auto"/>
      </w:divBdr>
    </w:div>
    <w:div w:id="1607038015">
      <w:bodyDiv w:val="1"/>
      <w:marLeft w:val="0"/>
      <w:marRight w:val="0"/>
      <w:marTop w:val="0"/>
      <w:marBottom w:val="0"/>
      <w:divBdr>
        <w:top w:val="none" w:sz="0" w:space="0" w:color="auto"/>
        <w:left w:val="none" w:sz="0" w:space="0" w:color="auto"/>
        <w:bottom w:val="none" w:sz="0" w:space="0" w:color="auto"/>
        <w:right w:val="none" w:sz="0" w:space="0" w:color="auto"/>
      </w:divBdr>
    </w:div>
    <w:div w:id="1612778310">
      <w:bodyDiv w:val="1"/>
      <w:marLeft w:val="0"/>
      <w:marRight w:val="0"/>
      <w:marTop w:val="0"/>
      <w:marBottom w:val="0"/>
      <w:divBdr>
        <w:top w:val="none" w:sz="0" w:space="0" w:color="auto"/>
        <w:left w:val="none" w:sz="0" w:space="0" w:color="auto"/>
        <w:bottom w:val="none" w:sz="0" w:space="0" w:color="auto"/>
        <w:right w:val="none" w:sz="0" w:space="0" w:color="auto"/>
      </w:divBdr>
    </w:div>
    <w:div w:id="1613509337">
      <w:bodyDiv w:val="1"/>
      <w:marLeft w:val="0"/>
      <w:marRight w:val="0"/>
      <w:marTop w:val="0"/>
      <w:marBottom w:val="0"/>
      <w:divBdr>
        <w:top w:val="none" w:sz="0" w:space="0" w:color="auto"/>
        <w:left w:val="none" w:sz="0" w:space="0" w:color="auto"/>
        <w:bottom w:val="none" w:sz="0" w:space="0" w:color="auto"/>
        <w:right w:val="none" w:sz="0" w:space="0" w:color="auto"/>
      </w:divBdr>
    </w:div>
    <w:div w:id="1621108587">
      <w:bodyDiv w:val="1"/>
      <w:marLeft w:val="0"/>
      <w:marRight w:val="0"/>
      <w:marTop w:val="0"/>
      <w:marBottom w:val="0"/>
      <w:divBdr>
        <w:top w:val="none" w:sz="0" w:space="0" w:color="auto"/>
        <w:left w:val="none" w:sz="0" w:space="0" w:color="auto"/>
        <w:bottom w:val="none" w:sz="0" w:space="0" w:color="auto"/>
        <w:right w:val="none" w:sz="0" w:space="0" w:color="auto"/>
      </w:divBdr>
    </w:div>
    <w:div w:id="1621958212">
      <w:bodyDiv w:val="1"/>
      <w:marLeft w:val="0"/>
      <w:marRight w:val="0"/>
      <w:marTop w:val="0"/>
      <w:marBottom w:val="0"/>
      <w:divBdr>
        <w:top w:val="none" w:sz="0" w:space="0" w:color="auto"/>
        <w:left w:val="none" w:sz="0" w:space="0" w:color="auto"/>
        <w:bottom w:val="none" w:sz="0" w:space="0" w:color="auto"/>
        <w:right w:val="none" w:sz="0" w:space="0" w:color="auto"/>
      </w:divBdr>
    </w:div>
    <w:div w:id="1636250466">
      <w:bodyDiv w:val="1"/>
      <w:marLeft w:val="0"/>
      <w:marRight w:val="0"/>
      <w:marTop w:val="0"/>
      <w:marBottom w:val="0"/>
      <w:divBdr>
        <w:top w:val="none" w:sz="0" w:space="0" w:color="auto"/>
        <w:left w:val="none" w:sz="0" w:space="0" w:color="auto"/>
        <w:bottom w:val="none" w:sz="0" w:space="0" w:color="auto"/>
        <w:right w:val="none" w:sz="0" w:space="0" w:color="auto"/>
      </w:divBdr>
    </w:div>
    <w:div w:id="1636524927">
      <w:bodyDiv w:val="1"/>
      <w:marLeft w:val="0"/>
      <w:marRight w:val="0"/>
      <w:marTop w:val="0"/>
      <w:marBottom w:val="0"/>
      <w:divBdr>
        <w:top w:val="none" w:sz="0" w:space="0" w:color="auto"/>
        <w:left w:val="none" w:sz="0" w:space="0" w:color="auto"/>
        <w:bottom w:val="none" w:sz="0" w:space="0" w:color="auto"/>
        <w:right w:val="none" w:sz="0" w:space="0" w:color="auto"/>
      </w:divBdr>
    </w:div>
    <w:div w:id="1637838549">
      <w:bodyDiv w:val="1"/>
      <w:marLeft w:val="0"/>
      <w:marRight w:val="0"/>
      <w:marTop w:val="0"/>
      <w:marBottom w:val="0"/>
      <w:divBdr>
        <w:top w:val="none" w:sz="0" w:space="0" w:color="auto"/>
        <w:left w:val="none" w:sz="0" w:space="0" w:color="auto"/>
        <w:bottom w:val="none" w:sz="0" w:space="0" w:color="auto"/>
        <w:right w:val="none" w:sz="0" w:space="0" w:color="auto"/>
      </w:divBdr>
    </w:div>
    <w:div w:id="1650549016">
      <w:bodyDiv w:val="1"/>
      <w:marLeft w:val="0"/>
      <w:marRight w:val="0"/>
      <w:marTop w:val="0"/>
      <w:marBottom w:val="0"/>
      <w:divBdr>
        <w:top w:val="none" w:sz="0" w:space="0" w:color="auto"/>
        <w:left w:val="none" w:sz="0" w:space="0" w:color="auto"/>
        <w:bottom w:val="none" w:sz="0" w:space="0" w:color="auto"/>
        <w:right w:val="none" w:sz="0" w:space="0" w:color="auto"/>
      </w:divBdr>
    </w:div>
    <w:div w:id="1653217606">
      <w:bodyDiv w:val="1"/>
      <w:marLeft w:val="0"/>
      <w:marRight w:val="0"/>
      <w:marTop w:val="0"/>
      <w:marBottom w:val="0"/>
      <w:divBdr>
        <w:top w:val="none" w:sz="0" w:space="0" w:color="auto"/>
        <w:left w:val="none" w:sz="0" w:space="0" w:color="auto"/>
        <w:bottom w:val="none" w:sz="0" w:space="0" w:color="auto"/>
        <w:right w:val="none" w:sz="0" w:space="0" w:color="auto"/>
      </w:divBdr>
    </w:div>
    <w:div w:id="1656257901">
      <w:bodyDiv w:val="1"/>
      <w:marLeft w:val="0"/>
      <w:marRight w:val="0"/>
      <w:marTop w:val="0"/>
      <w:marBottom w:val="0"/>
      <w:divBdr>
        <w:top w:val="none" w:sz="0" w:space="0" w:color="auto"/>
        <w:left w:val="none" w:sz="0" w:space="0" w:color="auto"/>
        <w:bottom w:val="none" w:sz="0" w:space="0" w:color="auto"/>
        <w:right w:val="none" w:sz="0" w:space="0" w:color="auto"/>
      </w:divBdr>
    </w:div>
    <w:div w:id="1664776578">
      <w:bodyDiv w:val="1"/>
      <w:marLeft w:val="0"/>
      <w:marRight w:val="0"/>
      <w:marTop w:val="0"/>
      <w:marBottom w:val="0"/>
      <w:divBdr>
        <w:top w:val="none" w:sz="0" w:space="0" w:color="auto"/>
        <w:left w:val="none" w:sz="0" w:space="0" w:color="auto"/>
        <w:bottom w:val="none" w:sz="0" w:space="0" w:color="auto"/>
        <w:right w:val="none" w:sz="0" w:space="0" w:color="auto"/>
      </w:divBdr>
    </w:div>
    <w:div w:id="1666282422">
      <w:bodyDiv w:val="1"/>
      <w:marLeft w:val="0"/>
      <w:marRight w:val="0"/>
      <w:marTop w:val="0"/>
      <w:marBottom w:val="0"/>
      <w:divBdr>
        <w:top w:val="none" w:sz="0" w:space="0" w:color="auto"/>
        <w:left w:val="none" w:sz="0" w:space="0" w:color="auto"/>
        <w:bottom w:val="none" w:sz="0" w:space="0" w:color="auto"/>
        <w:right w:val="none" w:sz="0" w:space="0" w:color="auto"/>
      </w:divBdr>
    </w:div>
    <w:div w:id="1668483163">
      <w:bodyDiv w:val="1"/>
      <w:marLeft w:val="0"/>
      <w:marRight w:val="0"/>
      <w:marTop w:val="0"/>
      <w:marBottom w:val="0"/>
      <w:divBdr>
        <w:top w:val="none" w:sz="0" w:space="0" w:color="auto"/>
        <w:left w:val="none" w:sz="0" w:space="0" w:color="auto"/>
        <w:bottom w:val="none" w:sz="0" w:space="0" w:color="auto"/>
        <w:right w:val="none" w:sz="0" w:space="0" w:color="auto"/>
      </w:divBdr>
    </w:div>
    <w:div w:id="1680502892">
      <w:bodyDiv w:val="1"/>
      <w:marLeft w:val="0"/>
      <w:marRight w:val="0"/>
      <w:marTop w:val="0"/>
      <w:marBottom w:val="0"/>
      <w:divBdr>
        <w:top w:val="none" w:sz="0" w:space="0" w:color="auto"/>
        <w:left w:val="none" w:sz="0" w:space="0" w:color="auto"/>
        <w:bottom w:val="none" w:sz="0" w:space="0" w:color="auto"/>
        <w:right w:val="none" w:sz="0" w:space="0" w:color="auto"/>
      </w:divBdr>
    </w:div>
    <w:div w:id="1680883476">
      <w:bodyDiv w:val="1"/>
      <w:marLeft w:val="0"/>
      <w:marRight w:val="0"/>
      <w:marTop w:val="0"/>
      <w:marBottom w:val="0"/>
      <w:divBdr>
        <w:top w:val="none" w:sz="0" w:space="0" w:color="auto"/>
        <w:left w:val="none" w:sz="0" w:space="0" w:color="auto"/>
        <w:bottom w:val="none" w:sz="0" w:space="0" w:color="auto"/>
        <w:right w:val="none" w:sz="0" w:space="0" w:color="auto"/>
      </w:divBdr>
    </w:div>
    <w:div w:id="1682851010">
      <w:bodyDiv w:val="1"/>
      <w:marLeft w:val="0"/>
      <w:marRight w:val="0"/>
      <w:marTop w:val="0"/>
      <w:marBottom w:val="0"/>
      <w:divBdr>
        <w:top w:val="none" w:sz="0" w:space="0" w:color="auto"/>
        <w:left w:val="none" w:sz="0" w:space="0" w:color="auto"/>
        <w:bottom w:val="none" w:sz="0" w:space="0" w:color="auto"/>
        <w:right w:val="none" w:sz="0" w:space="0" w:color="auto"/>
      </w:divBdr>
    </w:div>
    <w:div w:id="1704592824">
      <w:bodyDiv w:val="1"/>
      <w:marLeft w:val="0"/>
      <w:marRight w:val="0"/>
      <w:marTop w:val="0"/>
      <w:marBottom w:val="0"/>
      <w:divBdr>
        <w:top w:val="none" w:sz="0" w:space="0" w:color="auto"/>
        <w:left w:val="none" w:sz="0" w:space="0" w:color="auto"/>
        <w:bottom w:val="none" w:sz="0" w:space="0" w:color="auto"/>
        <w:right w:val="none" w:sz="0" w:space="0" w:color="auto"/>
      </w:divBdr>
    </w:div>
    <w:div w:id="1705249983">
      <w:bodyDiv w:val="1"/>
      <w:marLeft w:val="0"/>
      <w:marRight w:val="0"/>
      <w:marTop w:val="0"/>
      <w:marBottom w:val="0"/>
      <w:divBdr>
        <w:top w:val="none" w:sz="0" w:space="0" w:color="auto"/>
        <w:left w:val="none" w:sz="0" w:space="0" w:color="auto"/>
        <w:bottom w:val="none" w:sz="0" w:space="0" w:color="auto"/>
        <w:right w:val="none" w:sz="0" w:space="0" w:color="auto"/>
      </w:divBdr>
    </w:div>
    <w:div w:id="1712919232">
      <w:bodyDiv w:val="1"/>
      <w:marLeft w:val="0"/>
      <w:marRight w:val="0"/>
      <w:marTop w:val="0"/>
      <w:marBottom w:val="0"/>
      <w:divBdr>
        <w:top w:val="none" w:sz="0" w:space="0" w:color="auto"/>
        <w:left w:val="none" w:sz="0" w:space="0" w:color="auto"/>
        <w:bottom w:val="none" w:sz="0" w:space="0" w:color="auto"/>
        <w:right w:val="none" w:sz="0" w:space="0" w:color="auto"/>
      </w:divBdr>
    </w:div>
    <w:div w:id="1713069350">
      <w:bodyDiv w:val="1"/>
      <w:marLeft w:val="0"/>
      <w:marRight w:val="0"/>
      <w:marTop w:val="0"/>
      <w:marBottom w:val="0"/>
      <w:divBdr>
        <w:top w:val="none" w:sz="0" w:space="0" w:color="auto"/>
        <w:left w:val="none" w:sz="0" w:space="0" w:color="auto"/>
        <w:bottom w:val="none" w:sz="0" w:space="0" w:color="auto"/>
        <w:right w:val="none" w:sz="0" w:space="0" w:color="auto"/>
      </w:divBdr>
    </w:div>
    <w:div w:id="1717505969">
      <w:bodyDiv w:val="1"/>
      <w:marLeft w:val="0"/>
      <w:marRight w:val="0"/>
      <w:marTop w:val="0"/>
      <w:marBottom w:val="0"/>
      <w:divBdr>
        <w:top w:val="none" w:sz="0" w:space="0" w:color="auto"/>
        <w:left w:val="none" w:sz="0" w:space="0" w:color="auto"/>
        <w:bottom w:val="none" w:sz="0" w:space="0" w:color="auto"/>
        <w:right w:val="none" w:sz="0" w:space="0" w:color="auto"/>
      </w:divBdr>
    </w:div>
    <w:div w:id="1725907510">
      <w:bodyDiv w:val="1"/>
      <w:marLeft w:val="0"/>
      <w:marRight w:val="0"/>
      <w:marTop w:val="0"/>
      <w:marBottom w:val="0"/>
      <w:divBdr>
        <w:top w:val="none" w:sz="0" w:space="0" w:color="auto"/>
        <w:left w:val="none" w:sz="0" w:space="0" w:color="auto"/>
        <w:bottom w:val="none" w:sz="0" w:space="0" w:color="auto"/>
        <w:right w:val="none" w:sz="0" w:space="0" w:color="auto"/>
      </w:divBdr>
    </w:div>
    <w:div w:id="1728607398">
      <w:bodyDiv w:val="1"/>
      <w:marLeft w:val="0"/>
      <w:marRight w:val="0"/>
      <w:marTop w:val="0"/>
      <w:marBottom w:val="0"/>
      <w:divBdr>
        <w:top w:val="none" w:sz="0" w:space="0" w:color="auto"/>
        <w:left w:val="none" w:sz="0" w:space="0" w:color="auto"/>
        <w:bottom w:val="none" w:sz="0" w:space="0" w:color="auto"/>
        <w:right w:val="none" w:sz="0" w:space="0" w:color="auto"/>
      </w:divBdr>
    </w:div>
    <w:div w:id="1735547402">
      <w:bodyDiv w:val="1"/>
      <w:marLeft w:val="0"/>
      <w:marRight w:val="0"/>
      <w:marTop w:val="0"/>
      <w:marBottom w:val="0"/>
      <w:divBdr>
        <w:top w:val="none" w:sz="0" w:space="0" w:color="auto"/>
        <w:left w:val="none" w:sz="0" w:space="0" w:color="auto"/>
        <w:bottom w:val="none" w:sz="0" w:space="0" w:color="auto"/>
        <w:right w:val="none" w:sz="0" w:space="0" w:color="auto"/>
      </w:divBdr>
    </w:div>
    <w:div w:id="1741557609">
      <w:bodyDiv w:val="1"/>
      <w:marLeft w:val="0"/>
      <w:marRight w:val="0"/>
      <w:marTop w:val="0"/>
      <w:marBottom w:val="0"/>
      <w:divBdr>
        <w:top w:val="none" w:sz="0" w:space="0" w:color="auto"/>
        <w:left w:val="none" w:sz="0" w:space="0" w:color="auto"/>
        <w:bottom w:val="none" w:sz="0" w:space="0" w:color="auto"/>
        <w:right w:val="none" w:sz="0" w:space="0" w:color="auto"/>
      </w:divBdr>
    </w:div>
    <w:div w:id="1742213791">
      <w:bodyDiv w:val="1"/>
      <w:marLeft w:val="0"/>
      <w:marRight w:val="0"/>
      <w:marTop w:val="0"/>
      <w:marBottom w:val="0"/>
      <w:divBdr>
        <w:top w:val="none" w:sz="0" w:space="0" w:color="auto"/>
        <w:left w:val="none" w:sz="0" w:space="0" w:color="auto"/>
        <w:bottom w:val="none" w:sz="0" w:space="0" w:color="auto"/>
        <w:right w:val="none" w:sz="0" w:space="0" w:color="auto"/>
      </w:divBdr>
    </w:div>
    <w:div w:id="1748843620">
      <w:bodyDiv w:val="1"/>
      <w:marLeft w:val="0"/>
      <w:marRight w:val="0"/>
      <w:marTop w:val="0"/>
      <w:marBottom w:val="0"/>
      <w:divBdr>
        <w:top w:val="none" w:sz="0" w:space="0" w:color="auto"/>
        <w:left w:val="none" w:sz="0" w:space="0" w:color="auto"/>
        <w:bottom w:val="none" w:sz="0" w:space="0" w:color="auto"/>
        <w:right w:val="none" w:sz="0" w:space="0" w:color="auto"/>
      </w:divBdr>
    </w:div>
    <w:div w:id="1749037109">
      <w:bodyDiv w:val="1"/>
      <w:marLeft w:val="0"/>
      <w:marRight w:val="0"/>
      <w:marTop w:val="0"/>
      <w:marBottom w:val="0"/>
      <w:divBdr>
        <w:top w:val="none" w:sz="0" w:space="0" w:color="auto"/>
        <w:left w:val="none" w:sz="0" w:space="0" w:color="auto"/>
        <w:bottom w:val="none" w:sz="0" w:space="0" w:color="auto"/>
        <w:right w:val="none" w:sz="0" w:space="0" w:color="auto"/>
      </w:divBdr>
    </w:div>
    <w:div w:id="1750033359">
      <w:bodyDiv w:val="1"/>
      <w:marLeft w:val="0"/>
      <w:marRight w:val="0"/>
      <w:marTop w:val="0"/>
      <w:marBottom w:val="0"/>
      <w:divBdr>
        <w:top w:val="none" w:sz="0" w:space="0" w:color="auto"/>
        <w:left w:val="none" w:sz="0" w:space="0" w:color="auto"/>
        <w:bottom w:val="none" w:sz="0" w:space="0" w:color="auto"/>
        <w:right w:val="none" w:sz="0" w:space="0" w:color="auto"/>
      </w:divBdr>
    </w:div>
    <w:div w:id="1755122058">
      <w:bodyDiv w:val="1"/>
      <w:marLeft w:val="0"/>
      <w:marRight w:val="0"/>
      <w:marTop w:val="0"/>
      <w:marBottom w:val="0"/>
      <w:divBdr>
        <w:top w:val="none" w:sz="0" w:space="0" w:color="auto"/>
        <w:left w:val="none" w:sz="0" w:space="0" w:color="auto"/>
        <w:bottom w:val="none" w:sz="0" w:space="0" w:color="auto"/>
        <w:right w:val="none" w:sz="0" w:space="0" w:color="auto"/>
      </w:divBdr>
    </w:div>
    <w:div w:id="1755587748">
      <w:bodyDiv w:val="1"/>
      <w:marLeft w:val="0"/>
      <w:marRight w:val="0"/>
      <w:marTop w:val="0"/>
      <w:marBottom w:val="0"/>
      <w:divBdr>
        <w:top w:val="none" w:sz="0" w:space="0" w:color="auto"/>
        <w:left w:val="none" w:sz="0" w:space="0" w:color="auto"/>
        <w:bottom w:val="none" w:sz="0" w:space="0" w:color="auto"/>
        <w:right w:val="none" w:sz="0" w:space="0" w:color="auto"/>
      </w:divBdr>
    </w:div>
    <w:div w:id="1767192764">
      <w:bodyDiv w:val="1"/>
      <w:marLeft w:val="0"/>
      <w:marRight w:val="0"/>
      <w:marTop w:val="0"/>
      <w:marBottom w:val="0"/>
      <w:divBdr>
        <w:top w:val="none" w:sz="0" w:space="0" w:color="auto"/>
        <w:left w:val="none" w:sz="0" w:space="0" w:color="auto"/>
        <w:bottom w:val="none" w:sz="0" w:space="0" w:color="auto"/>
        <w:right w:val="none" w:sz="0" w:space="0" w:color="auto"/>
      </w:divBdr>
    </w:div>
    <w:div w:id="1771198557">
      <w:bodyDiv w:val="1"/>
      <w:marLeft w:val="0"/>
      <w:marRight w:val="0"/>
      <w:marTop w:val="0"/>
      <w:marBottom w:val="0"/>
      <w:divBdr>
        <w:top w:val="none" w:sz="0" w:space="0" w:color="auto"/>
        <w:left w:val="none" w:sz="0" w:space="0" w:color="auto"/>
        <w:bottom w:val="none" w:sz="0" w:space="0" w:color="auto"/>
        <w:right w:val="none" w:sz="0" w:space="0" w:color="auto"/>
      </w:divBdr>
    </w:div>
    <w:div w:id="1774783024">
      <w:bodyDiv w:val="1"/>
      <w:marLeft w:val="0"/>
      <w:marRight w:val="0"/>
      <w:marTop w:val="0"/>
      <w:marBottom w:val="0"/>
      <w:divBdr>
        <w:top w:val="none" w:sz="0" w:space="0" w:color="auto"/>
        <w:left w:val="none" w:sz="0" w:space="0" w:color="auto"/>
        <w:bottom w:val="none" w:sz="0" w:space="0" w:color="auto"/>
        <w:right w:val="none" w:sz="0" w:space="0" w:color="auto"/>
      </w:divBdr>
    </w:div>
    <w:div w:id="1780105662">
      <w:bodyDiv w:val="1"/>
      <w:marLeft w:val="0"/>
      <w:marRight w:val="0"/>
      <w:marTop w:val="0"/>
      <w:marBottom w:val="0"/>
      <w:divBdr>
        <w:top w:val="none" w:sz="0" w:space="0" w:color="auto"/>
        <w:left w:val="none" w:sz="0" w:space="0" w:color="auto"/>
        <w:bottom w:val="none" w:sz="0" w:space="0" w:color="auto"/>
        <w:right w:val="none" w:sz="0" w:space="0" w:color="auto"/>
      </w:divBdr>
    </w:div>
    <w:div w:id="1783375342">
      <w:bodyDiv w:val="1"/>
      <w:marLeft w:val="0"/>
      <w:marRight w:val="0"/>
      <w:marTop w:val="0"/>
      <w:marBottom w:val="0"/>
      <w:divBdr>
        <w:top w:val="none" w:sz="0" w:space="0" w:color="auto"/>
        <w:left w:val="none" w:sz="0" w:space="0" w:color="auto"/>
        <w:bottom w:val="none" w:sz="0" w:space="0" w:color="auto"/>
        <w:right w:val="none" w:sz="0" w:space="0" w:color="auto"/>
      </w:divBdr>
    </w:div>
    <w:div w:id="1783645240">
      <w:bodyDiv w:val="1"/>
      <w:marLeft w:val="0"/>
      <w:marRight w:val="0"/>
      <w:marTop w:val="0"/>
      <w:marBottom w:val="0"/>
      <w:divBdr>
        <w:top w:val="none" w:sz="0" w:space="0" w:color="auto"/>
        <w:left w:val="none" w:sz="0" w:space="0" w:color="auto"/>
        <w:bottom w:val="none" w:sz="0" w:space="0" w:color="auto"/>
        <w:right w:val="none" w:sz="0" w:space="0" w:color="auto"/>
      </w:divBdr>
    </w:div>
    <w:div w:id="1790853274">
      <w:bodyDiv w:val="1"/>
      <w:marLeft w:val="0"/>
      <w:marRight w:val="0"/>
      <w:marTop w:val="0"/>
      <w:marBottom w:val="0"/>
      <w:divBdr>
        <w:top w:val="none" w:sz="0" w:space="0" w:color="auto"/>
        <w:left w:val="none" w:sz="0" w:space="0" w:color="auto"/>
        <w:bottom w:val="none" w:sz="0" w:space="0" w:color="auto"/>
        <w:right w:val="none" w:sz="0" w:space="0" w:color="auto"/>
      </w:divBdr>
    </w:div>
    <w:div w:id="1793330672">
      <w:bodyDiv w:val="1"/>
      <w:marLeft w:val="0"/>
      <w:marRight w:val="0"/>
      <w:marTop w:val="0"/>
      <w:marBottom w:val="0"/>
      <w:divBdr>
        <w:top w:val="none" w:sz="0" w:space="0" w:color="auto"/>
        <w:left w:val="none" w:sz="0" w:space="0" w:color="auto"/>
        <w:bottom w:val="none" w:sz="0" w:space="0" w:color="auto"/>
        <w:right w:val="none" w:sz="0" w:space="0" w:color="auto"/>
      </w:divBdr>
    </w:div>
    <w:div w:id="1798059658">
      <w:bodyDiv w:val="1"/>
      <w:marLeft w:val="0"/>
      <w:marRight w:val="0"/>
      <w:marTop w:val="0"/>
      <w:marBottom w:val="0"/>
      <w:divBdr>
        <w:top w:val="none" w:sz="0" w:space="0" w:color="auto"/>
        <w:left w:val="none" w:sz="0" w:space="0" w:color="auto"/>
        <w:bottom w:val="none" w:sz="0" w:space="0" w:color="auto"/>
        <w:right w:val="none" w:sz="0" w:space="0" w:color="auto"/>
      </w:divBdr>
    </w:div>
    <w:div w:id="1808694574">
      <w:bodyDiv w:val="1"/>
      <w:marLeft w:val="0"/>
      <w:marRight w:val="0"/>
      <w:marTop w:val="0"/>
      <w:marBottom w:val="0"/>
      <w:divBdr>
        <w:top w:val="none" w:sz="0" w:space="0" w:color="auto"/>
        <w:left w:val="none" w:sz="0" w:space="0" w:color="auto"/>
        <w:bottom w:val="none" w:sz="0" w:space="0" w:color="auto"/>
        <w:right w:val="none" w:sz="0" w:space="0" w:color="auto"/>
      </w:divBdr>
    </w:div>
    <w:div w:id="1810782551">
      <w:bodyDiv w:val="1"/>
      <w:marLeft w:val="0"/>
      <w:marRight w:val="0"/>
      <w:marTop w:val="0"/>
      <w:marBottom w:val="0"/>
      <w:divBdr>
        <w:top w:val="none" w:sz="0" w:space="0" w:color="auto"/>
        <w:left w:val="none" w:sz="0" w:space="0" w:color="auto"/>
        <w:bottom w:val="none" w:sz="0" w:space="0" w:color="auto"/>
        <w:right w:val="none" w:sz="0" w:space="0" w:color="auto"/>
      </w:divBdr>
    </w:div>
    <w:div w:id="1816600440">
      <w:bodyDiv w:val="1"/>
      <w:marLeft w:val="0"/>
      <w:marRight w:val="0"/>
      <w:marTop w:val="0"/>
      <w:marBottom w:val="0"/>
      <w:divBdr>
        <w:top w:val="none" w:sz="0" w:space="0" w:color="auto"/>
        <w:left w:val="none" w:sz="0" w:space="0" w:color="auto"/>
        <w:bottom w:val="none" w:sz="0" w:space="0" w:color="auto"/>
        <w:right w:val="none" w:sz="0" w:space="0" w:color="auto"/>
      </w:divBdr>
    </w:div>
    <w:div w:id="1823618524">
      <w:bodyDiv w:val="1"/>
      <w:marLeft w:val="0"/>
      <w:marRight w:val="0"/>
      <w:marTop w:val="0"/>
      <w:marBottom w:val="0"/>
      <w:divBdr>
        <w:top w:val="none" w:sz="0" w:space="0" w:color="auto"/>
        <w:left w:val="none" w:sz="0" w:space="0" w:color="auto"/>
        <w:bottom w:val="none" w:sz="0" w:space="0" w:color="auto"/>
        <w:right w:val="none" w:sz="0" w:space="0" w:color="auto"/>
      </w:divBdr>
    </w:div>
    <w:div w:id="1839341121">
      <w:bodyDiv w:val="1"/>
      <w:marLeft w:val="0"/>
      <w:marRight w:val="0"/>
      <w:marTop w:val="0"/>
      <w:marBottom w:val="0"/>
      <w:divBdr>
        <w:top w:val="none" w:sz="0" w:space="0" w:color="auto"/>
        <w:left w:val="none" w:sz="0" w:space="0" w:color="auto"/>
        <w:bottom w:val="none" w:sz="0" w:space="0" w:color="auto"/>
        <w:right w:val="none" w:sz="0" w:space="0" w:color="auto"/>
      </w:divBdr>
    </w:div>
    <w:div w:id="1843230380">
      <w:bodyDiv w:val="1"/>
      <w:marLeft w:val="0"/>
      <w:marRight w:val="0"/>
      <w:marTop w:val="0"/>
      <w:marBottom w:val="0"/>
      <w:divBdr>
        <w:top w:val="none" w:sz="0" w:space="0" w:color="auto"/>
        <w:left w:val="none" w:sz="0" w:space="0" w:color="auto"/>
        <w:bottom w:val="none" w:sz="0" w:space="0" w:color="auto"/>
        <w:right w:val="none" w:sz="0" w:space="0" w:color="auto"/>
      </w:divBdr>
    </w:div>
    <w:div w:id="1844858812">
      <w:bodyDiv w:val="1"/>
      <w:marLeft w:val="0"/>
      <w:marRight w:val="0"/>
      <w:marTop w:val="0"/>
      <w:marBottom w:val="0"/>
      <w:divBdr>
        <w:top w:val="none" w:sz="0" w:space="0" w:color="auto"/>
        <w:left w:val="none" w:sz="0" w:space="0" w:color="auto"/>
        <w:bottom w:val="none" w:sz="0" w:space="0" w:color="auto"/>
        <w:right w:val="none" w:sz="0" w:space="0" w:color="auto"/>
      </w:divBdr>
    </w:div>
    <w:div w:id="1845046946">
      <w:bodyDiv w:val="1"/>
      <w:marLeft w:val="0"/>
      <w:marRight w:val="0"/>
      <w:marTop w:val="0"/>
      <w:marBottom w:val="0"/>
      <w:divBdr>
        <w:top w:val="none" w:sz="0" w:space="0" w:color="auto"/>
        <w:left w:val="none" w:sz="0" w:space="0" w:color="auto"/>
        <w:bottom w:val="none" w:sz="0" w:space="0" w:color="auto"/>
        <w:right w:val="none" w:sz="0" w:space="0" w:color="auto"/>
      </w:divBdr>
    </w:div>
    <w:div w:id="1857231674">
      <w:bodyDiv w:val="1"/>
      <w:marLeft w:val="0"/>
      <w:marRight w:val="0"/>
      <w:marTop w:val="0"/>
      <w:marBottom w:val="0"/>
      <w:divBdr>
        <w:top w:val="none" w:sz="0" w:space="0" w:color="auto"/>
        <w:left w:val="none" w:sz="0" w:space="0" w:color="auto"/>
        <w:bottom w:val="none" w:sz="0" w:space="0" w:color="auto"/>
        <w:right w:val="none" w:sz="0" w:space="0" w:color="auto"/>
      </w:divBdr>
    </w:div>
    <w:div w:id="1862820753">
      <w:bodyDiv w:val="1"/>
      <w:marLeft w:val="0"/>
      <w:marRight w:val="0"/>
      <w:marTop w:val="0"/>
      <w:marBottom w:val="0"/>
      <w:divBdr>
        <w:top w:val="none" w:sz="0" w:space="0" w:color="auto"/>
        <w:left w:val="none" w:sz="0" w:space="0" w:color="auto"/>
        <w:bottom w:val="none" w:sz="0" w:space="0" w:color="auto"/>
        <w:right w:val="none" w:sz="0" w:space="0" w:color="auto"/>
      </w:divBdr>
    </w:div>
    <w:div w:id="1878619689">
      <w:bodyDiv w:val="1"/>
      <w:marLeft w:val="0"/>
      <w:marRight w:val="0"/>
      <w:marTop w:val="0"/>
      <w:marBottom w:val="0"/>
      <w:divBdr>
        <w:top w:val="none" w:sz="0" w:space="0" w:color="auto"/>
        <w:left w:val="none" w:sz="0" w:space="0" w:color="auto"/>
        <w:bottom w:val="none" w:sz="0" w:space="0" w:color="auto"/>
        <w:right w:val="none" w:sz="0" w:space="0" w:color="auto"/>
      </w:divBdr>
    </w:div>
    <w:div w:id="1882786121">
      <w:bodyDiv w:val="1"/>
      <w:marLeft w:val="0"/>
      <w:marRight w:val="0"/>
      <w:marTop w:val="0"/>
      <w:marBottom w:val="0"/>
      <w:divBdr>
        <w:top w:val="none" w:sz="0" w:space="0" w:color="auto"/>
        <w:left w:val="none" w:sz="0" w:space="0" w:color="auto"/>
        <w:bottom w:val="none" w:sz="0" w:space="0" w:color="auto"/>
        <w:right w:val="none" w:sz="0" w:space="0" w:color="auto"/>
      </w:divBdr>
    </w:div>
    <w:div w:id="1885094529">
      <w:bodyDiv w:val="1"/>
      <w:marLeft w:val="0"/>
      <w:marRight w:val="0"/>
      <w:marTop w:val="0"/>
      <w:marBottom w:val="0"/>
      <w:divBdr>
        <w:top w:val="none" w:sz="0" w:space="0" w:color="auto"/>
        <w:left w:val="none" w:sz="0" w:space="0" w:color="auto"/>
        <w:bottom w:val="none" w:sz="0" w:space="0" w:color="auto"/>
        <w:right w:val="none" w:sz="0" w:space="0" w:color="auto"/>
      </w:divBdr>
    </w:div>
    <w:div w:id="1888565685">
      <w:bodyDiv w:val="1"/>
      <w:marLeft w:val="0"/>
      <w:marRight w:val="0"/>
      <w:marTop w:val="0"/>
      <w:marBottom w:val="0"/>
      <w:divBdr>
        <w:top w:val="none" w:sz="0" w:space="0" w:color="auto"/>
        <w:left w:val="none" w:sz="0" w:space="0" w:color="auto"/>
        <w:bottom w:val="none" w:sz="0" w:space="0" w:color="auto"/>
        <w:right w:val="none" w:sz="0" w:space="0" w:color="auto"/>
      </w:divBdr>
    </w:div>
    <w:div w:id="1894073196">
      <w:bodyDiv w:val="1"/>
      <w:marLeft w:val="0"/>
      <w:marRight w:val="0"/>
      <w:marTop w:val="0"/>
      <w:marBottom w:val="0"/>
      <w:divBdr>
        <w:top w:val="none" w:sz="0" w:space="0" w:color="auto"/>
        <w:left w:val="none" w:sz="0" w:space="0" w:color="auto"/>
        <w:bottom w:val="none" w:sz="0" w:space="0" w:color="auto"/>
        <w:right w:val="none" w:sz="0" w:space="0" w:color="auto"/>
      </w:divBdr>
    </w:div>
    <w:div w:id="1896239278">
      <w:bodyDiv w:val="1"/>
      <w:marLeft w:val="0"/>
      <w:marRight w:val="0"/>
      <w:marTop w:val="0"/>
      <w:marBottom w:val="0"/>
      <w:divBdr>
        <w:top w:val="none" w:sz="0" w:space="0" w:color="auto"/>
        <w:left w:val="none" w:sz="0" w:space="0" w:color="auto"/>
        <w:bottom w:val="none" w:sz="0" w:space="0" w:color="auto"/>
        <w:right w:val="none" w:sz="0" w:space="0" w:color="auto"/>
      </w:divBdr>
    </w:div>
    <w:div w:id="1896817868">
      <w:bodyDiv w:val="1"/>
      <w:marLeft w:val="0"/>
      <w:marRight w:val="0"/>
      <w:marTop w:val="0"/>
      <w:marBottom w:val="0"/>
      <w:divBdr>
        <w:top w:val="none" w:sz="0" w:space="0" w:color="auto"/>
        <w:left w:val="none" w:sz="0" w:space="0" w:color="auto"/>
        <w:bottom w:val="none" w:sz="0" w:space="0" w:color="auto"/>
        <w:right w:val="none" w:sz="0" w:space="0" w:color="auto"/>
      </w:divBdr>
    </w:div>
    <w:div w:id="1898323547">
      <w:bodyDiv w:val="1"/>
      <w:marLeft w:val="0"/>
      <w:marRight w:val="0"/>
      <w:marTop w:val="0"/>
      <w:marBottom w:val="0"/>
      <w:divBdr>
        <w:top w:val="none" w:sz="0" w:space="0" w:color="auto"/>
        <w:left w:val="none" w:sz="0" w:space="0" w:color="auto"/>
        <w:bottom w:val="none" w:sz="0" w:space="0" w:color="auto"/>
        <w:right w:val="none" w:sz="0" w:space="0" w:color="auto"/>
      </w:divBdr>
    </w:div>
    <w:div w:id="1899247726">
      <w:bodyDiv w:val="1"/>
      <w:marLeft w:val="0"/>
      <w:marRight w:val="0"/>
      <w:marTop w:val="0"/>
      <w:marBottom w:val="0"/>
      <w:divBdr>
        <w:top w:val="none" w:sz="0" w:space="0" w:color="auto"/>
        <w:left w:val="none" w:sz="0" w:space="0" w:color="auto"/>
        <w:bottom w:val="none" w:sz="0" w:space="0" w:color="auto"/>
        <w:right w:val="none" w:sz="0" w:space="0" w:color="auto"/>
      </w:divBdr>
    </w:div>
    <w:div w:id="1906645163">
      <w:bodyDiv w:val="1"/>
      <w:marLeft w:val="0"/>
      <w:marRight w:val="0"/>
      <w:marTop w:val="0"/>
      <w:marBottom w:val="0"/>
      <w:divBdr>
        <w:top w:val="none" w:sz="0" w:space="0" w:color="auto"/>
        <w:left w:val="none" w:sz="0" w:space="0" w:color="auto"/>
        <w:bottom w:val="none" w:sz="0" w:space="0" w:color="auto"/>
        <w:right w:val="none" w:sz="0" w:space="0" w:color="auto"/>
      </w:divBdr>
    </w:div>
    <w:div w:id="1911647567">
      <w:bodyDiv w:val="1"/>
      <w:marLeft w:val="0"/>
      <w:marRight w:val="0"/>
      <w:marTop w:val="0"/>
      <w:marBottom w:val="0"/>
      <w:divBdr>
        <w:top w:val="none" w:sz="0" w:space="0" w:color="auto"/>
        <w:left w:val="none" w:sz="0" w:space="0" w:color="auto"/>
        <w:bottom w:val="none" w:sz="0" w:space="0" w:color="auto"/>
        <w:right w:val="none" w:sz="0" w:space="0" w:color="auto"/>
      </w:divBdr>
    </w:div>
    <w:div w:id="1914971043">
      <w:bodyDiv w:val="1"/>
      <w:marLeft w:val="0"/>
      <w:marRight w:val="0"/>
      <w:marTop w:val="0"/>
      <w:marBottom w:val="0"/>
      <w:divBdr>
        <w:top w:val="none" w:sz="0" w:space="0" w:color="auto"/>
        <w:left w:val="none" w:sz="0" w:space="0" w:color="auto"/>
        <w:bottom w:val="none" w:sz="0" w:space="0" w:color="auto"/>
        <w:right w:val="none" w:sz="0" w:space="0" w:color="auto"/>
      </w:divBdr>
    </w:div>
    <w:div w:id="1921792990">
      <w:bodyDiv w:val="1"/>
      <w:marLeft w:val="0"/>
      <w:marRight w:val="0"/>
      <w:marTop w:val="0"/>
      <w:marBottom w:val="0"/>
      <w:divBdr>
        <w:top w:val="none" w:sz="0" w:space="0" w:color="auto"/>
        <w:left w:val="none" w:sz="0" w:space="0" w:color="auto"/>
        <w:bottom w:val="none" w:sz="0" w:space="0" w:color="auto"/>
        <w:right w:val="none" w:sz="0" w:space="0" w:color="auto"/>
      </w:divBdr>
    </w:div>
    <w:div w:id="1938248762">
      <w:bodyDiv w:val="1"/>
      <w:marLeft w:val="0"/>
      <w:marRight w:val="0"/>
      <w:marTop w:val="0"/>
      <w:marBottom w:val="0"/>
      <w:divBdr>
        <w:top w:val="none" w:sz="0" w:space="0" w:color="auto"/>
        <w:left w:val="none" w:sz="0" w:space="0" w:color="auto"/>
        <w:bottom w:val="none" w:sz="0" w:space="0" w:color="auto"/>
        <w:right w:val="none" w:sz="0" w:space="0" w:color="auto"/>
      </w:divBdr>
    </w:div>
    <w:div w:id="1938561135">
      <w:bodyDiv w:val="1"/>
      <w:marLeft w:val="0"/>
      <w:marRight w:val="0"/>
      <w:marTop w:val="0"/>
      <w:marBottom w:val="0"/>
      <w:divBdr>
        <w:top w:val="none" w:sz="0" w:space="0" w:color="auto"/>
        <w:left w:val="none" w:sz="0" w:space="0" w:color="auto"/>
        <w:bottom w:val="none" w:sz="0" w:space="0" w:color="auto"/>
        <w:right w:val="none" w:sz="0" w:space="0" w:color="auto"/>
      </w:divBdr>
    </w:div>
    <w:div w:id="1939676351">
      <w:bodyDiv w:val="1"/>
      <w:marLeft w:val="0"/>
      <w:marRight w:val="0"/>
      <w:marTop w:val="0"/>
      <w:marBottom w:val="0"/>
      <w:divBdr>
        <w:top w:val="none" w:sz="0" w:space="0" w:color="auto"/>
        <w:left w:val="none" w:sz="0" w:space="0" w:color="auto"/>
        <w:bottom w:val="none" w:sz="0" w:space="0" w:color="auto"/>
        <w:right w:val="none" w:sz="0" w:space="0" w:color="auto"/>
      </w:divBdr>
    </w:div>
    <w:div w:id="1942058965">
      <w:bodyDiv w:val="1"/>
      <w:marLeft w:val="0"/>
      <w:marRight w:val="0"/>
      <w:marTop w:val="0"/>
      <w:marBottom w:val="0"/>
      <w:divBdr>
        <w:top w:val="none" w:sz="0" w:space="0" w:color="auto"/>
        <w:left w:val="none" w:sz="0" w:space="0" w:color="auto"/>
        <w:bottom w:val="none" w:sz="0" w:space="0" w:color="auto"/>
        <w:right w:val="none" w:sz="0" w:space="0" w:color="auto"/>
      </w:divBdr>
    </w:div>
    <w:div w:id="1952662994">
      <w:bodyDiv w:val="1"/>
      <w:marLeft w:val="0"/>
      <w:marRight w:val="0"/>
      <w:marTop w:val="0"/>
      <w:marBottom w:val="0"/>
      <w:divBdr>
        <w:top w:val="none" w:sz="0" w:space="0" w:color="auto"/>
        <w:left w:val="none" w:sz="0" w:space="0" w:color="auto"/>
        <w:bottom w:val="none" w:sz="0" w:space="0" w:color="auto"/>
        <w:right w:val="none" w:sz="0" w:space="0" w:color="auto"/>
      </w:divBdr>
    </w:div>
    <w:div w:id="1956055531">
      <w:bodyDiv w:val="1"/>
      <w:marLeft w:val="0"/>
      <w:marRight w:val="0"/>
      <w:marTop w:val="0"/>
      <w:marBottom w:val="0"/>
      <w:divBdr>
        <w:top w:val="none" w:sz="0" w:space="0" w:color="auto"/>
        <w:left w:val="none" w:sz="0" w:space="0" w:color="auto"/>
        <w:bottom w:val="none" w:sz="0" w:space="0" w:color="auto"/>
        <w:right w:val="none" w:sz="0" w:space="0" w:color="auto"/>
      </w:divBdr>
    </w:div>
    <w:div w:id="1968588588">
      <w:bodyDiv w:val="1"/>
      <w:marLeft w:val="0"/>
      <w:marRight w:val="0"/>
      <w:marTop w:val="0"/>
      <w:marBottom w:val="0"/>
      <w:divBdr>
        <w:top w:val="none" w:sz="0" w:space="0" w:color="auto"/>
        <w:left w:val="none" w:sz="0" w:space="0" w:color="auto"/>
        <w:bottom w:val="none" w:sz="0" w:space="0" w:color="auto"/>
        <w:right w:val="none" w:sz="0" w:space="0" w:color="auto"/>
      </w:divBdr>
    </w:div>
    <w:div w:id="1971863572">
      <w:bodyDiv w:val="1"/>
      <w:marLeft w:val="0"/>
      <w:marRight w:val="0"/>
      <w:marTop w:val="0"/>
      <w:marBottom w:val="0"/>
      <w:divBdr>
        <w:top w:val="none" w:sz="0" w:space="0" w:color="auto"/>
        <w:left w:val="none" w:sz="0" w:space="0" w:color="auto"/>
        <w:bottom w:val="none" w:sz="0" w:space="0" w:color="auto"/>
        <w:right w:val="none" w:sz="0" w:space="0" w:color="auto"/>
      </w:divBdr>
    </w:div>
    <w:div w:id="1980568342">
      <w:bodyDiv w:val="1"/>
      <w:marLeft w:val="0"/>
      <w:marRight w:val="0"/>
      <w:marTop w:val="0"/>
      <w:marBottom w:val="0"/>
      <w:divBdr>
        <w:top w:val="none" w:sz="0" w:space="0" w:color="auto"/>
        <w:left w:val="none" w:sz="0" w:space="0" w:color="auto"/>
        <w:bottom w:val="none" w:sz="0" w:space="0" w:color="auto"/>
        <w:right w:val="none" w:sz="0" w:space="0" w:color="auto"/>
      </w:divBdr>
    </w:div>
    <w:div w:id="1982616866">
      <w:bodyDiv w:val="1"/>
      <w:marLeft w:val="0"/>
      <w:marRight w:val="0"/>
      <w:marTop w:val="0"/>
      <w:marBottom w:val="0"/>
      <w:divBdr>
        <w:top w:val="none" w:sz="0" w:space="0" w:color="auto"/>
        <w:left w:val="none" w:sz="0" w:space="0" w:color="auto"/>
        <w:bottom w:val="none" w:sz="0" w:space="0" w:color="auto"/>
        <w:right w:val="none" w:sz="0" w:space="0" w:color="auto"/>
      </w:divBdr>
    </w:div>
    <w:div w:id="1985230512">
      <w:bodyDiv w:val="1"/>
      <w:marLeft w:val="0"/>
      <w:marRight w:val="0"/>
      <w:marTop w:val="0"/>
      <w:marBottom w:val="0"/>
      <w:divBdr>
        <w:top w:val="none" w:sz="0" w:space="0" w:color="auto"/>
        <w:left w:val="none" w:sz="0" w:space="0" w:color="auto"/>
        <w:bottom w:val="none" w:sz="0" w:space="0" w:color="auto"/>
        <w:right w:val="none" w:sz="0" w:space="0" w:color="auto"/>
      </w:divBdr>
    </w:div>
    <w:div w:id="1991790880">
      <w:bodyDiv w:val="1"/>
      <w:marLeft w:val="0"/>
      <w:marRight w:val="0"/>
      <w:marTop w:val="0"/>
      <w:marBottom w:val="0"/>
      <w:divBdr>
        <w:top w:val="none" w:sz="0" w:space="0" w:color="auto"/>
        <w:left w:val="none" w:sz="0" w:space="0" w:color="auto"/>
        <w:bottom w:val="none" w:sz="0" w:space="0" w:color="auto"/>
        <w:right w:val="none" w:sz="0" w:space="0" w:color="auto"/>
      </w:divBdr>
    </w:div>
    <w:div w:id="2001618141">
      <w:bodyDiv w:val="1"/>
      <w:marLeft w:val="0"/>
      <w:marRight w:val="0"/>
      <w:marTop w:val="0"/>
      <w:marBottom w:val="0"/>
      <w:divBdr>
        <w:top w:val="none" w:sz="0" w:space="0" w:color="auto"/>
        <w:left w:val="none" w:sz="0" w:space="0" w:color="auto"/>
        <w:bottom w:val="none" w:sz="0" w:space="0" w:color="auto"/>
        <w:right w:val="none" w:sz="0" w:space="0" w:color="auto"/>
      </w:divBdr>
    </w:div>
    <w:div w:id="2005620599">
      <w:bodyDiv w:val="1"/>
      <w:marLeft w:val="0"/>
      <w:marRight w:val="0"/>
      <w:marTop w:val="0"/>
      <w:marBottom w:val="0"/>
      <w:divBdr>
        <w:top w:val="none" w:sz="0" w:space="0" w:color="auto"/>
        <w:left w:val="none" w:sz="0" w:space="0" w:color="auto"/>
        <w:bottom w:val="none" w:sz="0" w:space="0" w:color="auto"/>
        <w:right w:val="none" w:sz="0" w:space="0" w:color="auto"/>
      </w:divBdr>
    </w:div>
    <w:div w:id="2010711496">
      <w:bodyDiv w:val="1"/>
      <w:marLeft w:val="0"/>
      <w:marRight w:val="0"/>
      <w:marTop w:val="0"/>
      <w:marBottom w:val="0"/>
      <w:divBdr>
        <w:top w:val="none" w:sz="0" w:space="0" w:color="auto"/>
        <w:left w:val="none" w:sz="0" w:space="0" w:color="auto"/>
        <w:bottom w:val="none" w:sz="0" w:space="0" w:color="auto"/>
        <w:right w:val="none" w:sz="0" w:space="0" w:color="auto"/>
      </w:divBdr>
    </w:div>
    <w:div w:id="2011328811">
      <w:bodyDiv w:val="1"/>
      <w:marLeft w:val="0"/>
      <w:marRight w:val="0"/>
      <w:marTop w:val="0"/>
      <w:marBottom w:val="0"/>
      <w:divBdr>
        <w:top w:val="none" w:sz="0" w:space="0" w:color="auto"/>
        <w:left w:val="none" w:sz="0" w:space="0" w:color="auto"/>
        <w:bottom w:val="none" w:sz="0" w:space="0" w:color="auto"/>
        <w:right w:val="none" w:sz="0" w:space="0" w:color="auto"/>
      </w:divBdr>
    </w:div>
    <w:div w:id="2012635924">
      <w:bodyDiv w:val="1"/>
      <w:marLeft w:val="0"/>
      <w:marRight w:val="0"/>
      <w:marTop w:val="0"/>
      <w:marBottom w:val="0"/>
      <w:divBdr>
        <w:top w:val="none" w:sz="0" w:space="0" w:color="auto"/>
        <w:left w:val="none" w:sz="0" w:space="0" w:color="auto"/>
        <w:bottom w:val="none" w:sz="0" w:space="0" w:color="auto"/>
        <w:right w:val="none" w:sz="0" w:space="0" w:color="auto"/>
      </w:divBdr>
    </w:div>
    <w:div w:id="2017074139">
      <w:bodyDiv w:val="1"/>
      <w:marLeft w:val="0"/>
      <w:marRight w:val="0"/>
      <w:marTop w:val="0"/>
      <w:marBottom w:val="0"/>
      <w:divBdr>
        <w:top w:val="none" w:sz="0" w:space="0" w:color="auto"/>
        <w:left w:val="none" w:sz="0" w:space="0" w:color="auto"/>
        <w:bottom w:val="none" w:sz="0" w:space="0" w:color="auto"/>
        <w:right w:val="none" w:sz="0" w:space="0" w:color="auto"/>
      </w:divBdr>
    </w:div>
    <w:div w:id="2027905736">
      <w:bodyDiv w:val="1"/>
      <w:marLeft w:val="0"/>
      <w:marRight w:val="0"/>
      <w:marTop w:val="0"/>
      <w:marBottom w:val="0"/>
      <w:divBdr>
        <w:top w:val="none" w:sz="0" w:space="0" w:color="auto"/>
        <w:left w:val="none" w:sz="0" w:space="0" w:color="auto"/>
        <w:bottom w:val="none" w:sz="0" w:space="0" w:color="auto"/>
        <w:right w:val="none" w:sz="0" w:space="0" w:color="auto"/>
      </w:divBdr>
    </w:div>
    <w:div w:id="2031485364">
      <w:bodyDiv w:val="1"/>
      <w:marLeft w:val="0"/>
      <w:marRight w:val="0"/>
      <w:marTop w:val="0"/>
      <w:marBottom w:val="0"/>
      <w:divBdr>
        <w:top w:val="none" w:sz="0" w:space="0" w:color="auto"/>
        <w:left w:val="none" w:sz="0" w:space="0" w:color="auto"/>
        <w:bottom w:val="none" w:sz="0" w:space="0" w:color="auto"/>
        <w:right w:val="none" w:sz="0" w:space="0" w:color="auto"/>
      </w:divBdr>
    </w:div>
    <w:div w:id="2035183828">
      <w:bodyDiv w:val="1"/>
      <w:marLeft w:val="0"/>
      <w:marRight w:val="0"/>
      <w:marTop w:val="0"/>
      <w:marBottom w:val="0"/>
      <w:divBdr>
        <w:top w:val="none" w:sz="0" w:space="0" w:color="auto"/>
        <w:left w:val="none" w:sz="0" w:space="0" w:color="auto"/>
        <w:bottom w:val="none" w:sz="0" w:space="0" w:color="auto"/>
        <w:right w:val="none" w:sz="0" w:space="0" w:color="auto"/>
      </w:divBdr>
    </w:div>
    <w:div w:id="2041200056">
      <w:bodyDiv w:val="1"/>
      <w:marLeft w:val="0"/>
      <w:marRight w:val="0"/>
      <w:marTop w:val="0"/>
      <w:marBottom w:val="0"/>
      <w:divBdr>
        <w:top w:val="none" w:sz="0" w:space="0" w:color="auto"/>
        <w:left w:val="none" w:sz="0" w:space="0" w:color="auto"/>
        <w:bottom w:val="none" w:sz="0" w:space="0" w:color="auto"/>
        <w:right w:val="none" w:sz="0" w:space="0" w:color="auto"/>
      </w:divBdr>
    </w:div>
    <w:div w:id="2049451583">
      <w:bodyDiv w:val="1"/>
      <w:marLeft w:val="0"/>
      <w:marRight w:val="0"/>
      <w:marTop w:val="0"/>
      <w:marBottom w:val="0"/>
      <w:divBdr>
        <w:top w:val="none" w:sz="0" w:space="0" w:color="auto"/>
        <w:left w:val="none" w:sz="0" w:space="0" w:color="auto"/>
        <w:bottom w:val="none" w:sz="0" w:space="0" w:color="auto"/>
        <w:right w:val="none" w:sz="0" w:space="0" w:color="auto"/>
      </w:divBdr>
    </w:div>
    <w:div w:id="2050446176">
      <w:bodyDiv w:val="1"/>
      <w:marLeft w:val="0"/>
      <w:marRight w:val="0"/>
      <w:marTop w:val="0"/>
      <w:marBottom w:val="0"/>
      <w:divBdr>
        <w:top w:val="none" w:sz="0" w:space="0" w:color="auto"/>
        <w:left w:val="none" w:sz="0" w:space="0" w:color="auto"/>
        <w:bottom w:val="none" w:sz="0" w:space="0" w:color="auto"/>
        <w:right w:val="none" w:sz="0" w:space="0" w:color="auto"/>
      </w:divBdr>
    </w:div>
    <w:div w:id="2054842385">
      <w:bodyDiv w:val="1"/>
      <w:marLeft w:val="0"/>
      <w:marRight w:val="0"/>
      <w:marTop w:val="0"/>
      <w:marBottom w:val="0"/>
      <w:divBdr>
        <w:top w:val="none" w:sz="0" w:space="0" w:color="auto"/>
        <w:left w:val="none" w:sz="0" w:space="0" w:color="auto"/>
        <w:bottom w:val="none" w:sz="0" w:space="0" w:color="auto"/>
        <w:right w:val="none" w:sz="0" w:space="0" w:color="auto"/>
      </w:divBdr>
    </w:div>
    <w:div w:id="2056927499">
      <w:bodyDiv w:val="1"/>
      <w:marLeft w:val="0"/>
      <w:marRight w:val="0"/>
      <w:marTop w:val="0"/>
      <w:marBottom w:val="0"/>
      <w:divBdr>
        <w:top w:val="none" w:sz="0" w:space="0" w:color="auto"/>
        <w:left w:val="none" w:sz="0" w:space="0" w:color="auto"/>
        <w:bottom w:val="none" w:sz="0" w:space="0" w:color="auto"/>
        <w:right w:val="none" w:sz="0" w:space="0" w:color="auto"/>
      </w:divBdr>
    </w:div>
    <w:div w:id="2057852267">
      <w:bodyDiv w:val="1"/>
      <w:marLeft w:val="0"/>
      <w:marRight w:val="0"/>
      <w:marTop w:val="0"/>
      <w:marBottom w:val="0"/>
      <w:divBdr>
        <w:top w:val="none" w:sz="0" w:space="0" w:color="auto"/>
        <w:left w:val="none" w:sz="0" w:space="0" w:color="auto"/>
        <w:bottom w:val="none" w:sz="0" w:space="0" w:color="auto"/>
        <w:right w:val="none" w:sz="0" w:space="0" w:color="auto"/>
      </w:divBdr>
    </w:div>
    <w:div w:id="2058892473">
      <w:bodyDiv w:val="1"/>
      <w:marLeft w:val="0"/>
      <w:marRight w:val="0"/>
      <w:marTop w:val="0"/>
      <w:marBottom w:val="0"/>
      <w:divBdr>
        <w:top w:val="none" w:sz="0" w:space="0" w:color="auto"/>
        <w:left w:val="none" w:sz="0" w:space="0" w:color="auto"/>
        <w:bottom w:val="none" w:sz="0" w:space="0" w:color="auto"/>
        <w:right w:val="none" w:sz="0" w:space="0" w:color="auto"/>
      </w:divBdr>
    </w:div>
    <w:div w:id="2061509474">
      <w:bodyDiv w:val="1"/>
      <w:marLeft w:val="0"/>
      <w:marRight w:val="0"/>
      <w:marTop w:val="0"/>
      <w:marBottom w:val="0"/>
      <w:divBdr>
        <w:top w:val="none" w:sz="0" w:space="0" w:color="auto"/>
        <w:left w:val="none" w:sz="0" w:space="0" w:color="auto"/>
        <w:bottom w:val="none" w:sz="0" w:space="0" w:color="auto"/>
        <w:right w:val="none" w:sz="0" w:space="0" w:color="auto"/>
      </w:divBdr>
    </w:div>
    <w:div w:id="2072581079">
      <w:bodyDiv w:val="1"/>
      <w:marLeft w:val="0"/>
      <w:marRight w:val="0"/>
      <w:marTop w:val="0"/>
      <w:marBottom w:val="0"/>
      <w:divBdr>
        <w:top w:val="none" w:sz="0" w:space="0" w:color="auto"/>
        <w:left w:val="none" w:sz="0" w:space="0" w:color="auto"/>
        <w:bottom w:val="none" w:sz="0" w:space="0" w:color="auto"/>
        <w:right w:val="none" w:sz="0" w:space="0" w:color="auto"/>
      </w:divBdr>
    </w:div>
    <w:div w:id="2080127621">
      <w:bodyDiv w:val="1"/>
      <w:marLeft w:val="0"/>
      <w:marRight w:val="0"/>
      <w:marTop w:val="0"/>
      <w:marBottom w:val="0"/>
      <w:divBdr>
        <w:top w:val="none" w:sz="0" w:space="0" w:color="auto"/>
        <w:left w:val="none" w:sz="0" w:space="0" w:color="auto"/>
        <w:bottom w:val="none" w:sz="0" w:space="0" w:color="auto"/>
        <w:right w:val="none" w:sz="0" w:space="0" w:color="auto"/>
      </w:divBdr>
    </w:div>
    <w:div w:id="2091392463">
      <w:bodyDiv w:val="1"/>
      <w:marLeft w:val="0"/>
      <w:marRight w:val="0"/>
      <w:marTop w:val="0"/>
      <w:marBottom w:val="0"/>
      <w:divBdr>
        <w:top w:val="none" w:sz="0" w:space="0" w:color="auto"/>
        <w:left w:val="none" w:sz="0" w:space="0" w:color="auto"/>
        <w:bottom w:val="none" w:sz="0" w:space="0" w:color="auto"/>
        <w:right w:val="none" w:sz="0" w:space="0" w:color="auto"/>
      </w:divBdr>
    </w:div>
    <w:div w:id="2092923414">
      <w:bodyDiv w:val="1"/>
      <w:marLeft w:val="0"/>
      <w:marRight w:val="0"/>
      <w:marTop w:val="0"/>
      <w:marBottom w:val="0"/>
      <w:divBdr>
        <w:top w:val="none" w:sz="0" w:space="0" w:color="auto"/>
        <w:left w:val="none" w:sz="0" w:space="0" w:color="auto"/>
        <w:bottom w:val="none" w:sz="0" w:space="0" w:color="auto"/>
        <w:right w:val="none" w:sz="0" w:space="0" w:color="auto"/>
      </w:divBdr>
    </w:div>
    <w:div w:id="2093426081">
      <w:bodyDiv w:val="1"/>
      <w:marLeft w:val="0"/>
      <w:marRight w:val="0"/>
      <w:marTop w:val="0"/>
      <w:marBottom w:val="0"/>
      <w:divBdr>
        <w:top w:val="none" w:sz="0" w:space="0" w:color="auto"/>
        <w:left w:val="none" w:sz="0" w:space="0" w:color="auto"/>
        <w:bottom w:val="none" w:sz="0" w:space="0" w:color="auto"/>
        <w:right w:val="none" w:sz="0" w:space="0" w:color="auto"/>
      </w:divBdr>
    </w:div>
    <w:div w:id="2093625755">
      <w:bodyDiv w:val="1"/>
      <w:marLeft w:val="0"/>
      <w:marRight w:val="0"/>
      <w:marTop w:val="0"/>
      <w:marBottom w:val="0"/>
      <w:divBdr>
        <w:top w:val="none" w:sz="0" w:space="0" w:color="auto"/>
        <w:left w:val="none" w:sz="0" w:space="0" w:color="auto"/>
        <w:bottom w:val="none" w:sz="0" w:space="0" w:color="auto"/>
        <w:right w:val="none" w:sz="0" w:space="0" w:color="auto"/>
      </w:divBdr>
    </w:div>
    <w:div w:id="2094886153">
      <w:bodyDiv w:val="1"/>
      <w:marLeft w:val="0"/>
      <w:marRight w:val="0"/>
      <w:marTop w:val="0"/>
      <w:marBottom w:val="0"/>
      <w:divBdr>
        <w:top w:val="none" w:sz="0" w:space="0" w:color="auto"/>
        <w:left w:val="none" w:sz="0" w:space="0" w:color="auto"/>
        <w:bottom w:val="none" w:sz="0" w:space="0" w:color="auto"/>
        <w:right w:val="none" w:sz="0" w:space="0" w:color="auto"/>
      </w:divBdr>
    </w:div>
    <w:div w:id="2098212704">
      <w:bodyDiv w:val="1"/>
      <w:marLeft w:val="0"/>
      <w:marRight w:val="0"/>
      <w:marTop w:val="0"/>
      <w:marBottom w:val="0"/>
      <w:divBdr>
        <w:top w:val="none" w:sz="0" w:space="0" w:color="auto"/>
        <w:left w:val="none" w:sz="0" w:space="0" w:color="auto"/>
        <w:bottom w:val="none" w:sz="0" w:space="0" w:color="auto"/>
        <w:right w:val="none" w:sz="0" w:space="0" w:color="auto"/>
      </w:divBdr>
    </w:div>
    <w:div w:id="2107727924">
      <w:bodyDiv w:val="1"/>
      <w:marLeft w:val="0"/>
      <w:marRight w:val="0"/>
      <w:marTop w:val="0"/>
      <w:marBottom w:val="0"/>
      <w:divBdr>
        <w:top w:val="none" w:sz="0" w:space="0" w:color="auto"/>
        <w:left w:val="none" w:sz="0" w:space="0" w:color="auto"/>
        <w:bottom w:val="none" w:sz="0" w:space="0" w:color="auto"/>
        <w:right w:val="none" w:sz="0" w:space="0" w:color="auto"/>
      </w:divBdr>
    </w:div>
    <w:div w:id="2113745492">
      <w:bodyDiv w:val="1"/>
      <w:marLeft w:val="0"/>
      <w:marRight w:val="0"/>
      <w:marTop w:val="0"/>
      <w:marBottom w:val="0"/>
      <w:divBdr>
        <w:top w:val="none" w:sz="0" w:space="0" w:color="auto"/>
        <w:left w:val="none" w:sz="0" w:space="0" w:color="auto"/>
        <w:bottom w:val="none" w:sz="0" w:space="0" w:color="auto"/>
        <w:right w:val="none" w:sz="0" w:space="0" w:color="auto"/>
      </w:divBdr>
    </w:div>
    <w:div w:id="2119911217">
      <w:bodyDiv w:val="1"/>
      <w:marLeft w:val="0"/>
      <w:marRight w:val="0"/>
      <w:marTop w:val="0"/>
      <w:marBottom w:val="0"/>
      <w:divBdr>
        <w:top w:val="none" w:sz="0" w:space="0" w:color="auto"/>
        <w:left w:val="none" w:sz="0" w:space="0" w:color="auto"/>
        <w:bottom w:val="none" w:sz="0" w:space="0" w:color="auto"/>
        <w:right w:val="none" w:sz="0" w:space="0" w:color="auto"/>
      </w:divBdr>
    </w:div>
    <w:div w:id="2128350910">
      <w:bodyDiv w:val="1"/>
      <w:marLeft w:val="0"/>
      <w:marRight w:val="0"/>
      <w:marTop w:val="0"/>
      <w:marBottom w:val="0"/>
      <w:divBdr>
        <w:top w:val="none" w:sz="0" w:space="0" w:color="auto"/>
        <w:left w:val="none" w:sz="0" w:space="0" w:color="auto"/>
        <w:bottom w:val="none" w:sz="0" w:space="0" w:color="auto"/>
        <w:right w:val="none" w:sz="0" w:space="0" w:color="auto"/>
      </w:divBdr>
    </w:div>
    <w:div w:id="2130707401">
      <w:bodyDiv w:val="1"/>
      <w:marLeft w:val="0"/>
      <w:marRight w:val="0"/>
      <w:marTop w:val="0"/>
      <w:marBottom w:val="0"/>
      <w:divBdr>
        <w:top w:val="none" w:sz="0" w:space="0" w:color="auto"/>
        <w:left w:val="none" w:sz="0" w:space="0" w:color="auto"/>
        <w:bottom w:val="none" w:sz="0" w:space="0" w:color="auto"/>
        <w:right w:val="none" w:sz="0" w:space="0" w:color="auto"/>
      </w:divBdr>
    </w:div>
    <w:div w:id="2132505332">
      <w:bodyDiv w:val="1"/>
      <w:marLeft w:val="0"/>
      <w:marRight w:val="0"/>
      <w:marTop w:val="0"/>
      <w:marBottom w:val="0"/>
      <w:divBdr>
        <w:top w:val="none" w:sz="0" w:space="0" w:color="auto"/>
        <w:left w:val="none" w:sz="0" w:space="0" w:color="auto"/>
        <w:bottom w:val="none" w:sz="0" w:space="0" w:color="auto"/>
        <w:right w:val="none" w:sz="0" w:space="0" w:color="auto"/>
      </w:divBdr>
    </w:div>
    <w:div w:id="2134667549">
      <w:bodyDiv w:val="1"/>
      <w:marLeft w:val="0"/>
      <w:marRight w:val="0"/>
      <w:marTop w:val="0"/>
      <w:marBottom w:val="0"/>
      <w:divBdr>
        <w:top w:val="none" w:sz="0" w:space="0" w:color="auto"/>
        <w:left w:val="none" w:sz="0" w:space="0" w:color="auto"/>
        <w:bottom w:val="none" w:sz="0" w:space="0" w:color="auto"/>
        <w:right w:val="none" w:sz="0" w:space="0" w:color="auto"/>
      </w:divBdr>
    </w:div>
    <w:div w:id="2141681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s://usc-word-edit.officeapps.live.com/we/wordeditorframe.aspx?ui=es%2DES&amp;rs=es%2DES&amp;wopisrc=https%3A%2F%2Fanionline-my.sharepoint.com%2Fpersonal%2Fmmartin_ani_gov_co%2F_vti_bin%2Fwopi.ashx%2Ffiles%2F66ea9c3e1cc345898a4dcaba851bc5a1&amp;wdenableroaming=1&amp;mscc=1&amp;wdodb=1&amp;hid=A29F4C96-8BA1-4CC0-9486-4C950B004E66&amp;wdorigin=Sharing.ServerTransfer&amp;jsapi=1&amp;jsapiver=v1&amp;newsession=1&amp;corrid=fdb1c545-37d1-45c5-874c-e2602c3f43f7&amp;usid=fdb1c545-37d1-45c5-874c-e2602c3f43f7&amp;sftc=1&amp;cac=1&amp;mtf=1&amp;sfp=1&amp;instantedit=1&amp;wopicomplete=1&amp;wdredirectionreason=Unified_SingleFlush&amp;rct=Normal&amp;ctp=LeastProtected"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emf"/><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37DFAD754C34935AF510951B5034621"/>
        <w:category>
          <w:name w:val="General"/>
          <w:gallery w:val="placeholder"/>
        </w:category>
        <w:types>
          <w:type w:val="bbPlcHdr"/>
        </w:types>
        <w:behaviors>
          <w:behavior w:val="content"/>
        </w:behaviors>
        <w:guid w:val="{724B7AA5-08BA-4CFD-BCD3-49BA5FF4E112}"/>
      </w:docPartPr>
      <w:docPartBody>
        <w:p w:rsidR="002F4B78" w:rsidRDefault="006E401E">
          <w:pPr>
            <w:pStyle w:val="037DFAD754C34935AF510951B5034621"/>
          </w:pPr>
          <w:r w:rsidRPr="00BD5D2F">
            <w:rPr>
              <w:rStyle w:val="Textodelmarcadordeposicin"/>
            </w:rPr>
            <w:t>Haga clic aquí o pulse para escribir una fecha.</w:t>
          </w:r>
        </w:p>
      </w:docPartBody>
    </w:docPart>
    <w:docPart>
      <w:docPartPr>
        <w:name w:val="5416EA45E3DA48E49171817C29FB7D20"/>
        <w:category>
          <w:name w:val="General"/>
          <w:gallery w:val="placeholder"/>
        </w:category>
        <w:types>
          <w:type w:val="bbPlcHdr"/>
        </w:types>
        <w:behaviors>
          <w:behavior w:val="content"/>
        </w:behaviors>
        <w:guid w:val="{70E7B5C6-337F-4880-A2D0-CDE026318A3E}"/>
      </w:docPartPr>
      <w:docPartBody>
        <w:p w:rsidR="002F4B78" w:rsidRDefault="006E401E">
          <w:pPr>
            <w:pStyle w:val="5416EA45E3DA48E49171817C29FB7D20"/>
          </w:pPr>
          <w:r w:rsidRPr="00BD5D2F">
            <w:rPr>
              <w:rStyle w:val="Textodelmarcadordeposicin"/>
            </w:rPr>
            <w:t>Haga clic aquí o pulse para escribir una fecha.</w:t>
          </w:r>
        </w:p>
      </w:docPartBody>
    </w:docPart>
    <w:docPart>
      <w:docPartPr>
        <w:name w:val="11A6797B82AA466D9C544DD0C4235549"/>
        <w:category>
          <w:name w:val="General"/>
          <w:gallery w:val="placeholder"/>
        </w:category>
        <w:types>
          <w:type w:val="bbPlcHdr"/>
        </w:types>
        <w:behaviors>
          <w:behavior w:val="content"/>
        </w:behaviors>
        <w:guid w:val="{521ED9A9-E240-4C3F-92A0-B772A99DA7A8}"/>
      </w:docPartPr>
      <w:docPartBody>
        <w:p w:rsidR="006E401E" w:rsidRDefault="006E401E">
          <w:pPr>
            <w:jc w:val="center"/>
            <w:rPr>
              <w:rStyle w:val="Textodelmarcadordeposicin"/>
            </w:rPr>
          </w:pPr>
          <w:r w:rsidRPr="00BB05C7">
            <w:rPr>
              <w:rStyle w:val="Textodelmarcadordeposicin"/>
            </w:rPr>
            <w:t>Haga clic o pulse aquí para escribir texto</w:t>
          </w:r>
          <w:r>
            <w:rPr>
              <w:rStyle w:val="Textodelmarcadordeposicin"/>
            </w:rPr>
            <w:t xml:space="preserve"> (Solo Texto)</w:t>
          </w:r>
        </w:p>
        <w:p w:rsidR="006E401E" w:rsidRDefault="006E401E">
          <w:pPr>
            <w:jc w:val="center"/>
            <w:rPr>
              <w:rStyle w:val="Textodelmarcadordeposicin"/>
            </w:rPr>
          </w:pPr>
        </w:p>
        <w:p w:rsidR="006E401E" w:rsidRDefault="006E401E">
          <w:pPr>
            <w:jc w:val="center"/>
          </w:pPr>
        </w:p>
        <w:p w:rsidR="002F4B78" w:rsidRDefault="002F4B78"/>
      </w:docPartBody>
    </w:docPart>
    <w:docPart>
      <w:docPartPr>
        <w:name w:val="0162E2BC282C4C1AAC5FA3D4209AB034"/>
        <w:category>
          <w:name w:val="General"/>
          <w:gallery w:val="placeholder"/>
        </w:category>
        <w:types>
          <w:type w:val="bbPlcHdr"/>
        </w:types>
        <w:behaviors>
          <w:behavior w:val="content"/>
        </w:behaviors>
        <w:guid w:val="{5009386B-65AA-40C4-A877-0937BF36CF2C}"/>
      </w:docPartPr>
      <w:docPartBody>
        <w:p w:rsidR="002F4B78" w:rsidRDefault="006E401E">
          <w:pPr>
            <w:pStyle w:val="0162E2BC282C4C1AAC5FA3D4209AB034"/>
          </w:pPr>
          <w:r w:rsidRPr="00BB05C7">
            <w:rPr>
              <w:rStyle w:val="Textodelmarcadordeposicin"/>
            </w:rPr>
            <w:t>Haga clic o pulse aquí para escribir texto.</w:t>
          </w:r>
        </w:p>
      </w:docPartBody>
    </w:docPart>
    <w:docPart>
      <w:docPartPr>
        <w:name w:val="4E7E3E2975844FAE958EDC83FC34E61B"/>
        <w:category>
          <w:name w:val="General"/>
          <w:gallery w:val="placeholder"/>
        </w:category>
        <w:types>
          <w:type w:val="bbPlcHdr"/>
        </w:types>
        <w:behaviors>
          <w:behavior w:val="content"/>
        </w:behaviors>
        <w:guid w:val="{023513B9-1DFC-433B-86AF-4B608E797ABC}"/>
      </w:docPartPr>
      <w:docPartBody>
        <w:p w:rsidR="002F4B78" w:rsidRDefault="006E401E">
          <w:pPr>
            <w:pStyle w:val="4E7E3E2975844FAE958EDC83FC34E61B"/>
          </w:pPr>
          <w:r w:rsidRPr="00BB05C7">
            <w:rPr>
              <w:rStyle w:val="Textodelmarcadordeposicin"/>
            </w:rPr>
            <w:t>Haga clic o pulse aquí para escribir texto.</w:t>
          </w:r>
        </w:p>
      </w:docPartBody>
    </w:docPart>
    <w:docPart>
      <w:docPartPr>
        <w:name w:val="C391075E27384E24A0160BC24608B4D7"/>
        <w:category>
          <w:name w:val="General"/>
          <w:gallery w:val="placeholder"/>
        </w:category>
        <w:types>
          <w:type w:val="bbPlcHdr"/>
        </w:types>
        <w:behaviors>
          <w:behavior w:val="content"/>
        </w:behaviors>
        <w:guid w:val="{1A1BD271-232E-4459-AC5C-AA3F897E57AF}"/>
      </w:docPartPr>
      <w:docPartBody>
        <w:p w:rsidR="002F4B78" w:rsidRDefault="006E401E">
          <w:pPr>
            <w:pStyle w:val="C391075E27384E24A0160BC24608B4D7"/>
          </w:pPr>
          <w:r w:rsidRPr="00BB05C7">
            <w:rPr>
              <w:rStyle w:val="Textodelmarcadordeposicin"/>
            </w:rPr>
            <w:t>Haga clic o pulse aquí para escribir texto.</w:t>
          </w:r>
        </w:p>
      </w:docPartBody>
    </w:docPart>
    <w:docPart>
      <w:docPartPr>
        <w:name w:val="6545D890C56E4FB2922A90DCE4F43B03"/>
        <w:category>
          <w:name w:val="General"/>
          <w:gallery w:val="placeholder"/>
        </w:category>
        <w:types>
          <w:type w:val="bbPlcHdr"/>
        </w:types>
        <w:behaviors>
          <w:behavior w:val="content"/>
        </w:behaviors>
        <w:guid w:val="{7D42DC1A-EA76-466F-8815-45023E1D31A4}"/>
      </w:docPartPr>
      <w:docPartBody>
        <w:p w:rsidR="002F4B78" w:rsidRDefault="006E401E">
          <w:pPr>
            <w:pStyle w:val="6545D890C56E4FB2922A90DCE4F43B03"/>
          </w:pPr>
          <w:r w:rsidRPr="00BB05C7">
            <w:rPr>
              <w:rStyle w:val="Textodelmarcadordeposicin"/>
            </w:rPr>
            <w:t>Haga clic o pulse aquí para escribir texto.</w:t>
          </w:r>
        </w:p>
      </w:docPartBody>
    </w:docPart>
    <w:docPart>
      <w:docPartPr>
        <w:name w:val="3C4600CF5FBB49488167785549B27927"/>
        <w:category>
          <w:name w:val="General"/>
          <w:gallery w:val="placeholder"/>
        </w:category>
        <w:types>
          <w:type w:val="bbPlcHdr"/>
        </w:types>
        <w:behaviors>
          <w:behavior w:val="content"/>
        </w:behaviors>
        <w:guid w:val="{BCD6DA59-E7DB-407B-905A-29D027C18B6C}"/>
      </w:docPartPr>
      <w:docPartBody>
        <w:p w:rsidR="002F4B78" w:rsidRDefault="006E401E">
          <w:pPr>
            <w:pStyle w:val="3C4600CF5FBB49488167785549B27927"/>
          </w:pPr>
          <w:r w:rsidRPr="00BB05C7">
            <w:rPr>
              <w:rStyle w:val="Textodelmarcadordeposicin"/>
            </w:rPr>
            <w:t>Haga clic o pulse aquí para escribir texto.</w:t>
          </w:r>
        </w:p>
      </w:docPartBody>
    </w:docPart>
    <w:docPart>
      <w:docPartPr>
        <w:name w:val="FE3BFCD09E2544AF94501EF587C472AC"/>
        <w:category>
          <w:name w:val="General"/>
          <w:gallery w:val="placeholder"/>
        </w:category>
        <w:types>
          <w:type w:val="bbPlcHdr"/>
        </w:types>
        <w:behaviors>
          <w:behavior w:val="content"/>
        </w:behaviors>
        <w:guid w:val="{AF585324-E1BB-4E73-92B9-D060F1D60E5D}"/>
      </w:docPartPr>
      <w:docPartBody>
        <w:p w:rsidR="002F4B78" w:rsidRDefault="006E401E">
          <w:pPr>
            <w:pStyle w:val="FE3BFCD09E2544AF94501EF587C472AC"/>
          </w:pPr>
          <w:r w:rsidRPr="00BB05C7">
            <w:rPr>
              <w:rStyle w:val="Textodelmarcadordeposicin"/>
            </w:rPr>
            <w:t>Haga clic o pulse aquí para escribir texto.</w:t>
          </w:r>
        </w:p>
      </w:docPartBody>
    </w:docPart>
    <w:docPart>
      <w:docPartPr>
        <w:name w:val="E02BDE646334433CB28F1B8B38479DC9"/>
        <w:category>
          <w:name w:val="General"/>
          <w:gallery w:val="placeholder"/>
        </w:category>
        <w:types>
          <w:type w:val="bbPlcHdr"/>
        </w:types>
        <w:behaviors>
          <w:behavior w:val="content"/>
        </w:behaviors>
        <w:guid w:val="{F470DFA7-9C9B-4243-B870-F0342A52CC2C}"/>
      </w:docPartPr>
      <w:docPartBody>
        <w:p w:rsidR="006E401E" w:rsidRDefault="006E401E">
          <w:pPr>
            <w:jc w:val="center"/>
            <w:rPr>
              <w:rStyle w:val="Textodelmarcadordeposicin"/>
            </w:rPr>
          </w:pPr>
          <w:r w:rsidRPr="00BB05C7">
            <w:rPr>
              <w:rStyle w:val="Textodelmarcadordeposicin"/>
            </w:rPr>
            <w:t>Haga clic o pulse aquí para escribir texto</w:t>
          </w:r>
          <w:r>
            <w:rPr>
              <w:rStyle w:val="Textodelmarcadordeposicin"/>
            </w:rPr>
            <w:t xml:space="preserve"> (Solo Texto)</w:t>
          </w:r>
        </w:p>
        <w:p w:rsidR="006E401E" w:rsidRDefault="006E401E">
          <w:pPr>
            <w:jc w:val="center"/>
            <w:rPr>
              <w:rStyle w:val="Textodelmarcadordeposicin"/>
            </w:rPr>
          </w:pPr>
        </w:p>
        <w:p w:rsidR="006E401E" w:rsidRDefault="006E401E">
          <w:pPr>
            <w:jc w:val="center"/>
          </w:pPr>
        </w:p>
        <w:p w:rsidR="002F4B78" w:rsidRDefault="002F4B78"/>
      </w:docPartBody>
    </w:docPart>
    <w:docPart>
      <w:docPartPr>
        <w:name w:val="5A939AAA443845AAB027CB95E6F33D2C"/>
        <w:category>
          <w:name w:val="General"/>
          <w:gallery w:val="placeholder"/>
        </w:category>
        <w:types>
          <w:type w:val="bbPlcHdr"/>
        </w:types>
        <w:behaviors>
          <w:behavior w:val="content"/>
        </w:behaviors>
        <w:guid w:val="{1C49D123-B4A4-4C51-81D7-E5C1FF390DF1}"/>
      </w:docPartPr>
      <w:docPartBody>
        <w:p w:rsidR="002F4B78" w:rsidRDefault="006E401E">
          <w:pPr>
            <w:pStyle w:val="5A939AAA443845AAB027CB95E6F33D2C"/>
          </w:pPr>
          <w:r w:rsidRPr="00BD5D2F">
            <w:rPr>
              <w:rStyle w:val="Textodelmarcadordeposicin"/>
            </w:rPr>
            <w:t>Haga clic aquí o pulse para escribir una fecha.</w:t>
          </w:r>
        </w:p>
      </w:docPartBody>
    </w:docPart>
    <w:docPart>
      <w:docPartPr>
        <w:name w:val="41D9146832E74E52B6E7C7D24439CE3F"/>
        <w:category>
          <w:name w:val="General"/>
          <w:gallery w:val="placeholder"/>
        </w:category>
        <w:types>
          <w:type w:val="bbPlcHdr"/>
        </w:types>
        <w:behaviors>
          <w:behavior w:val="content"/>
        </w:behaviors>
        <w:guid w:val="{491CDC98-7F36-4E21-A5EF-FBED52904196}"/>
      </w:docPartPr>
      <w:docPartBody>
        <w:p w:rsidR="002F4B78" w:rsidRDefault="006E401E">
          <w:pPr>
            <w:pStyle w:val="41D9146832E74E52B6E7C7D24439CE3F"/>
          </w:pPr>
          <w:r w:rsidRPr="00BD5D2F">
            <w:rPr>
              <w:rStyle w:val="Textodelmarcadordeposicin"/>
            </w:rPr>
            <w:t>Haga clic aquí o pulse para escribir una fecha.</w:t>
          </w:r>
        </w:p>
      </w:docPartBody>
    </w:docPart>
    <w:docPart>
      <w:docPartPr>
        <w:name w:val="F0D12AC057DC4961A8C781316C1989FD"/>
        <w:category>
          <w:name w:val="General"/>
          <w:gallery w:val="placeholder"/>
        </w:category>
        <w:types>
          <w:type w:val="bbPlcHdr"/>
        </w:types>
        <w:behaviors>
          <w:behavior w:val="content"/>
        </w:behaviors>
        <w:guid w:val="{E99E09D5-F42D-4E86-A9D9-BAA2306AD5EE}"/>
      </w:docPartPr>
      <w:docPartBody>
        <w:p w:rsidR="002F4B78" w:rsidRDefault="006E401E">
          <w:pPr>
            <w:pStyle w:val="F0D12AC057DC4961A8C781316C1989FD"/>
          </w:pPr>
          <w:r w:rsidRPr="00BD5D2F">
            <w:rPr>
              <w:rStyle w:val="Textodelmarcadordeposicin"/>
            </w:rPr>
            <w:t>Haga clic aquí o pulse para escribir una fecha.</w:t>
          </w:r>
        </w:p>
      </w:docPartBody>
    </w:docPart>
    <w:docPart>
      <w:docPartPr>
        <w:name w:val="E212A00636924AFB82E675E5A852AAFF"/>
        <w:category>
          <w:name w:val="General"/>
          <w:gallery w:val="placeholder"/>
        </w:category>
        <w:types>
          <w:type w:val="bbPlcHdr"/>
        </w:types>
        <w:behaviors>
          <w:behavior w:val="content"/>
        </w:behaviors>
        <w:guid w:val="{30635DD8-4185-4556-9642-484E5E10BF73}"/>
      </w:docPartPr>
      <w:docPartBody>
        <w:p w:rsidR="006E401E" w:rsidRDefault="006E401E">
          <w:pPr>
            <w:jc w:val="center"/>
            <w:rPr>
              <w:rStyle w:val="Textodelmarcadordeposicin"/>
            </w:rPr>
          </w:pPr>
          <w:r w:rsidRPr="00BB05C7">
            <w:rPr>
              <w:rStyle w:val="Textodelmarcadordeposicin"/>
            </w:rPr>
            <w:t>Haga clic o pulse aquí para escribir texto</w:t>
          </w:r>
          <w:r>
            <w:rPr>
              <w:rStyle w:val="Textodelmarcadordeposicin"/>
            </w:rPr>
            <w:t xml:space="preserve"> (Solo Texto)</w:t>
          </w:r>
        </w:p>
        <w:p w:rsidR="006E401E" w:rsidRDefault="006E401E">
          <w:pPr>
            <w:jc w:val="center"/>
            <w:rPr>
              <w:rStyle w:val="Textodelmarcadordeposicin"/>
            </w:rPr>
          </w:pPr>
        </w:p>
        <w:p w:rsidR="006E401E" w:rsidRDefault="006E401E">
          <w:pPr>
            <w:jc w:val="center"/>
          </w:pPr>
        </w:p>
        <w:p w:rsidR="002F4B78" w:rsidRDefault="002F4B78"/>
      </w:docPartBody>
    </w:docPart>
    <w:docPart>
      <w:docPartPr>
        <w:name w:val="7ACD61E2C4904DC19657F2CBA1E30990"/>
        <w:category>
          <w:name w:val="General"/>
          <w:gallery w:val="placeholder"/>
        </w:category>
        <w:types>
          <w:type w:val="bbPlcHdr"/>
        </w:types>
        <w:behaviors>
          <w:behavior w:val="content"/>
        </w:behaviors>
        <w:guid w:val="{898A9F8D-FB50-4965-A305-14FBC03AEA34}"/>
      </w:docPartPr>
      <w:docPartBody>
        <w:p w:rsidR="002F4B78" w:rsidRDefault="006E401E">
          <w:pPr>
            <w:pStyle w:val="7ACD61E2C4904DC19657F2CBA1E30990"/>
          </w:pPr>
          <w:r w:rsidRPr="00BB05C7">
            <w:rPr>
              <w:rStyle w:val="Textodelmarcadordeposicin"/>
            </w:rPr>
            <w:t>Haga clic o pulse aquí para escribir texto</w:t>
          </w:r>
          <w:r>
            <w:rPr>
              <w:rStyle w:val="Textodelmarcadordeposicin"/>
            </w:rPr>
            <w:t xml:space="preserve"> </w:t>
          </w:r>
        </w:p>
      </w:docPartBody>
    </w:docPart>
    <w:docPart>
      <w:docPartPr>
        <w:name w:val="718D7E2B90C54C58BF14AA80C8A70D48"/>
        <w:category>
          <w:name w:val="General"/>
          <w:gallery w:val="placeholder"/>
        </w:category>
        <w:types>
          <w:type w:val="bbPlcHdr"/>
        </w:types>
        <w:behaviors>
          <w:behavior w:val="content"/>
        </w:behaviors>
        <w:guid w:val="{EDDA574C-29EB-4202-BCA9-55A1214A6BAC}"/>
      </w:docPartPr>
      <w:docPartBody>
        <w:p w:rsidR="006E401E" w:rsidRDefault="006E401E">
          <w:pPr>
            <w:rPr>
              <w:rStyle w:val="Textodelmarcadordeposicin"/>
            </w:rPr>
          </w:pPr>
          <w:r w:rsidRPr="00BB05C7">
            <w:rPr>
              <w:rStyle w:val="Textodelmarcadordeposicin"/>
            </w:rPr>
            <w:t>Haga clic o pulse aquí para escribir texto.</w:t>
          </w:r>
        </w:p>
        <w:p w:rsidR="006E401E" w:rsidRDefault="006E401E">
          <w:pPr>
            <w:rPr>
              <w:rStyle w:val="Textodelmarcadordeposicin"/>
            </w:rPr>
          </w:pPr>
        </w:p>
        <w:p w:rsidR="002F4B78" w:rsidRDefault="002F4B78"/>
      </w:docPartBody>
    </w:docPart>
    <w:docPart>
      <w:docPartPr>
        <w:name w:val="8F2522D52B4E4CB3B7AC84CD9DA953DF"/>
        <w:category>
          <w:name w:val="General"/>
          <w:gallery w:val="placeholder"/>
        </w:category>
        <w:types>
          <w:type w:val="bbPlcHdr"/>
        </w:types>
        <w:behaviors>
          <w:behavior w:val="content"/>
        </w:behaviors>
        <w:guid w:val="{48F057E8-AE9C-4B28-B985-796DB5E2EE5B}"/>
      </w:docPartPr>
      <w:docPartBody>
        <w:p w:rsidR="002F4B78" w:rsidRDefault="006E401E">
          <w:pPr>
            <w:pStyle w:val="8F2522D52B4E4CB3B7AC84CD9DA953DF"/>
          </w:pPr>
          <w:r w:rsidRPr="00BB05C7">
            <w:rPr>
              <w:rStyle w:val="Textodelmarcadordeposicin"/>
            </w:rPr>
            <w:t>Haga clic o pulse aquí para escribir texto.</w:t>
          </w:r>
          <w:r>
            <w:rPr>
              <w:rStyle w:val="Textodelmarcadordeposicin"/>
            </w:rPr>
            <w:t xml:space="preserve"> </w:t>
          </w:r>
          <w:r w:rsidRPr="00A73F3D">
            <w:rPr>
              <w:rStyle w:val="Textodelmarcadordeposicin"/>
              <w:b/>
              <w:bCs/>
            </w:rPr>
            <w:t>(Solo Texto)</w:t>
          </w:r>
        </w:p>
      </w:docPartBody>
    </w:docPart>
    <w:docPart>
      <w:docPartPr>
        <w:name w:val="46F1FFDCF05D4F2B83B08209DF25E2AA"/>
        <w:category>
          <w:name w:val="General"/>
          <w:gallery w:val="placeholder"/>
        </w:category>
        <w:types>
          <w:type w:val="bbPlcHdr"/>
        </w:types>
        <w:behaviors>
          <w:behavior w:val="content"/>
        </w:behaviors>
        <w:guid w:val="{8BF6B292-EEF3-4C81-82AB-1A6E59D8D961}"/>
      </w:docPartPr>
      <w:docPartBody>
        <w:p w:rsidR="002F4B78" w:rsidRDefault="006E401E">
          <w:pPr>
            <w:pStyle w:val="46F1FFDCF05D4F2B83B08209DF25E2AA"/>
          </w:pPr>
          <w:r w:rsidRPr="00BB05C7">
            <w:rPr>
              <w:rStyle w:val="Textodelmarcadordeposicin"/>
            </w:rPr>
            <w:t>Haga clic o pulse aquí para escribir texto.</w:t>
          </w:r>
        </w:p>
      </w:docPartBody>
    </w:docPart>
    <w:docPart>
      <w:docPartPr>
        <w:name w:val="43C458772F2540F3AB70C1C7842E1F00"/>
        <w:category>
          <w:name w:val="General"/>
          <w:gallery w:val="placeholder"/>
        </w:category>
        <w:types>
          <w:type w:val="bbPlcHdr"/>
        </w:types>
        <w:behaviors>
          <w:behavior w:val="content"/>
        </w:behaviors>
        <w:guid w:val="{616F38BD-A06E-46AA-B784-5C230BAE83DE}"/>
      </w:docPartPr>
      <w:docPartBody>
        <w:p w:rsidR="002F4B78" w:rsidRDefault="006E401E">
          <w:pPr>
            <w:pStyle w:val="43C458772F2540F3AB70C1C7842E1F00"/>
          </w:pPr>
          <w:r w:rsidRPr="00BB05C7">
            <w:rPr>
              <w:rStyle w:val="Textodelmarcadordeposicin"/>
            </w:rPr>
            <w:t>Haga clic o pulse aquí para escribir texto.</w:t>
          </w:r>
          <w:r>
            <w:rPr>
              <w:rStyle w:val="Textodelmarcadordeposicin"/>
            </w:rPr>
            <w:t xml:space="preserve"> </w:t>
          </w:r>
          <w:r w:rsidRPr="00A73F3D">
            <w:rPr>
              <w:rStyle w:val="Textodelmarcadordeposicin"/>
              <w:b/>
              <w:bCs/>
            </w:rPr>
            <w:t>(Solo Texto)</w:t>
          </w:r>
        </w:p>
      </w:docPartBody>
    </w:docPart>
    <w:docPart>
      <w:docPartPr>
        <w:name w:val="D46AF89169F84D8790DCF63B03AE5FF6"/>
        <w:category>
          <w:name w:val="General"/>
          <w:gallery w:val="placeholder"/>
        </w:category>
        <w:types>
          <w:type w:val="bbPlcHdr"/>
        </w:types>
        <w:behaviors>
          <w:behavior w:val="content"/>
        </w:behaviors>
        <w:guid w:val="{AAFD346A-52FE-4F79-BC4C-9DC1107CE09C}"/>
      </w:docPartPr>
      <w:docPartBody>
        <w:p w:rsidR="002F4B78" w:rsidRDefault="006E401E">
          <w:pPr>
            <w:pStyle w:val="D46AF89169F84D8790DCF63B03AE5FF6"/>
          </w:pPr>
          <w:r w:rsidRPr="00BB05C7">
            <w:rPr>
              <w:rStyle w:val="Textodelmarcadordeposicin"/>
            </w:rPr>
            <w:t>Haga clic o pulse aquí para escribir texto.</w:t>
          </w:r>
          <w:r>
            <w:rPr>
              <w:rStyle w:val="Textodelmarcadordeposicin"/>
            </w:rPr>
            <w:t xml:space="preserve"> </w:t>
          </w:r>
          <w:r w:rsidRPr="00A73F3D">
            <w:rPr>
              <w:rStyle w:val="Textodelmarcadordeposicin"/>
              <w:b/>
              <w:bCs/>
            </w:rPr>
            <w:t>(Solo Texto)</w:t>
          </w:r>
        </w:p>
      </w:docPartBody>
    </w:docPart>
    <w:docPart>
      <w:docPartPr>
        <w:name w:val="9100A5F334E24BACAD679D3BD031F7E5"/>
        <w:category>
          <w:name w:val="General"/>
          <w:gallery w:val="placeholder"/>
        </w:category>
        <w:types>
          <w:type w:val="bbPlcHdr"/>
        </w:types>
        <w:behaviors>
          <w:behavior w:val="content"/>
        </w:behaviors>
        <w:guid w:val="{59AC9A59-17F7-4145-BD36-825D0797BDC4}"/>
      </w:docPartPr>
      <w:docPartBody>
        <w:p w:rsidR="002F4B78" w:rsidRDefault="006E401E">
          <w:pPr>
            <w:pStyle w:val="9100A5F334E24BACAD679D3BD031F7E5"/>
          </w:pPr>
          <w:r w:rsidRPr="00BB05C7">
            <w:rPr>
              <w:rStyle w:val="Textodelmarcadordeposicin"/>
            </w:rPr>
            <w:t>Haga clic o pulse aquí para escribir texto.</w:t>
          </w:r>
          <w:r>
            <w:rPr>
              <w:rStyle w:val="Textodelmarcadordeposicin"/>
            </w:rPr>
            <w:t xml:space="preserve"> </w:t>
          </w:r>
          <w:r w:rsidRPr="00A73F3D">
            <w:rPr>
              <w:rStyle w:val="Textodelmarcadordeposicin"/>
              <w:b/>
              <w:bCs/>
            </w:rPr>
            <w:t>(Solo Texto)</w:t>
          </w:r>
        </w:p>
      </w:docPartBody>
    </w:docPart>
    <w:docPart>
      <w:docPartPr>
        <w:name w:val="E409DBDE6FD7403BB04AE0F6E1127D47"/>
        <w:category>
          <w:name w:val="General"/>
          <w:gallery w:val="placeholder"/>
        </w:category>
        <w:types>
          <w:type w:val="bbPlcHdr"/>
        </w:types>
        <w:behaviors>
          <w:behavior w:val="content"/>
        </w:behaviors>
        <w:guid w:val="{A2C34143-FF55-410A-8D90-BEA3F74AB6E8}"/>
      </w:docPartPr>
      <w:docPartBody>
        <w:p w:rsidR="002F4B78" w:rsidRDefault="006E401E">
          <w:pPr>
            <w:pStyle w:val="E409DBDE6FD7403BB04AE0F6E1127D47"/>
          </w:pPr>
          <w:r w:rsidRPr="00BB05C7">
            <w:rPr>
              <w:rStyle w:val="Textodelmarcadordeposicin"/>
            </w:rPr>
            <w:t>Haga clic o pulse aquí para escribir texto.</w:t>
          </w:r>
          <w:r>
            <w:rPr>
              <w:rStyle w:val="Textodelmarcadordeposicin"/>
            </w:rPr>
            <w:t xml:space="preserve"> </w:t>
          </w:r>
          <w:r w:rsidRPr="00A73F3D">
            <w:rPr>
              <w:rStyle w:val="Textodelmarcadordeposicin"/>
              <w:b/>
              <w:bCs/>
            </w:rPr>
            <w:t>(Solo Texto)</w:t>
          </w:r>
        </w:p>
      </w:docPartBody>
    </w:docPart>
    <w:docPart>
      <w:docPartPr>
        <w:name w:val="7F930EA1A4F84D1B88EC8B9E71828B21"/>
        <w:category>
          <w:name w:val="General"/>
          <w:gallery w:val="placeholder"/>
        </w:category>
        <w:types>
          <w:type w:val="bbPlcHdr"/>
        </w:types>
        <w:behaviors>
          <w:behavior w:val="content"/>
        </w:behaviors>
        <w:guid w:val="{E6275985-695E-406F-9043-EA34D3303CCF}"/>
      </w:docPartPr>
      <w:docPartBody>
        <w:p w:rsidR="002F4B78" w:rsidRDefault="006E401E">
          <w:pPr>
            <w:pStyle w:val="7F930EA1A4F84D1B88EC8B9E71828B21"/>
          </w:pPr>
          <w:r w:rsidRPr="00BB05C7">
            <w:rPr>
              <w:rStyle w:val="Textodelmarcadordeposicin"/>
            </w:rPr>
            <w:t>Haga clic o pulse aquí para escribir texto.</w:t>
          </w:r>
        </w:p>
      </w:docPartBody>
    </w:docPart>
    <w:docPart>
      <w:docPartPr>
        <w:name w:val="F6E3A63943D54C4B9EBC63B5710796BF"/>
        <w:category>
          <w:name w:val="General"/>
          <w:gallery w:val="placeholder"/>
        </w:category>
        <w:types>
          <w:type w:val="bbPlcHdr"/>
        </w:types>
        <w:behaviors>
          <w:behavior w:val="content"/>
        </w:behaviors>
        <w:guid w:val="{E313A7B9-A0B7-4D21-936F-EEEBE69EE305}"/>
      </w:docPartPr>
      <w:docPartBody>
        <w:p w:rsidR="002F4B78" w:rsidRDefault="006E401E">
          <w:pPr>
            <w:pStyle w:val="F6E3A63943D54C4B9EBC63B5710796BF"/>
          </w:pPr>
          <w:r w:rsidRPr="00BB05C7">
            <w:rPr>
              <w:rStyle w:val="Textodelmarcadordeposicin"/>
            </w:rPr>
            <w:t>Haga clic o pulse aquí para escribir texto.</w:t>
          </w:r>
        </w:p>
      </w:docPartBody>
    </w:docPart>
    <w:docPart>
      <w:docPartPr>
        <w:name w:val="E063727FD5904B7B98CDCE30C7209EE7"/>
        <w:category>
          <w:name w:val="General"/>
          <w:gallery w:val="placeholder"/>
        </w:category>
        <w:types>
          <w:type w:val="bbPlcHdr"/>
        </w:types>
        <w:behaviors>
          <w:behavior w:val="content"/>
        </w:behaviors>
        <w:guid w:val="{54190E14-69A9-49CB-A5FE-017A44C0436E}"/>
      </w:docPartPr>
      <w:docPartBody>
        <w:p w:rsidR="002F4B78" w:rsidRDefault="006E401E">
          <w:pPr>
            <w:pStyle w:val="E063727FD5904B7B98CDCE30C7209EE7"/>
          </w:pPr>
          <w:r w:rsidRPr="00BB05C7">
            <w:rPr>
              <w:rStyle w:val="Textodelmarcadordeposicin"/>
            </w:rPr>
            <w:t>Haga clic o pulse aquí para escribir texto.</w:t>
          </w:r>
          <w:r>
            <w:rPr>
              <w:rStyle w:val="Textodelmarcadordeposicin"/>
            </w:rPr>
            <w:t xml:space="preserve"> </w:t>
          </w:r>
          <w:r w:rsidRPr="00A73F3D">
            <w:rPr>
              <w:rStyle w:val="Textodelmarcadordeposicin"/>
              <w:b/>
              <w:bCs/>
            </w:rPr>
            <w:t>(Solo Texto)</w:t>
          </w:r>
        </w:p>
      </w:docPartBody>
    </w:docPart>
    <w:docPart>
      <w:docPartPr>
        <w:name w:val="23F25BC43117444386C43B66DC8167A6"/>
        <w:category>
          <w:name w:val="General"/>
          <w:gallery w:val="placeholder"/>
        </w:category>
        <w:types>
          <w:type w:val="bbPlcHdr"/>
        </w:types>
        <w:behaviors>
          <w:behavior w:val="content"/>
        </w:behaviors>
        <w:guid w:val="{6D194FED-EB06-4170-9EA9-EE14E67D1287}"/>
      </w:docPartPr>
      <w:docPartBody>
        <w:p w:rsidR="006E401E" w:rsidRDefault="006E401E">
          <w:pPr>
            <w:rPr>
              <w:rStyle w:val="Textodelmarcadordeposicin"/>
            </w:rPr>
          </w:pPr>
          <w:r w:rsidRPr="00BB05C7">
            <w:rPr>
              <w:rStyle w:val="Textodelmarcadordeposicin"/>
            </w:rPr>
            <w:t>Haga clic o pulse aquí para escribir texto.</w:t>
          </w:r>
        </w:p>
        <w:p w:rsidR="002F4B78" w:rsidRDefault="002F4B78"/>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quot;Arial Narrow&quot;,sans-serif">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Negrit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ArialNarrow-Bold">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Brooklynesque-Bold">
    <w:altName w:val="Courier New"/>
    <w:charset w:val="00"/>
    <w:family w:val="auto"/>
    <w:pitch w:val="variable"/>
  </w:font>
  <w:font w:name="Times">
    <w:panose1 w:val="02020603050405020304"/>
    <w:charset w:val="00"/>
    <w:family w:val="auto"/>
    <w:pitch w:val="variable"/>
    <w:sig w:usb0="E00002FF" w:usb1="5000205A" w:usb2="00000000" w:usb3="00000000" w:csb0="0000019F" w:csb1="00000000"/>
  </w:font>
  <w:font w:name="Futura Light">
    <w:altName w:val="Times New Roman"/>
    <w:charset w:val="00"/>
    <w:family w:val="auto"/>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OpenSymbol">
    <w:altName w:val="Microsoft JhengHei"/>
    <w:panose1 w:val="00000000000000000000"/>
    <w:charset w:val="88"/>
    <w:family w:val="auto"/>
    <w:notTrueType/>
    <w:pitch w:val="default"/>
    <w:sig w:usb0="00000003" w:usb1="08080000" w:usb2="00000010" w:usb3="00000000" w:csb0="00100001"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B78"/>
    <w:rsid w:val="00013482"/>
    <w:rsid w:val="0008668D"/>
    <w:rsid w:val="001D0C27"/>
    <w:rsid w:val="002139F8"/>
    <w:rsid w:val="002363D6"/>
    <w:rsid w:val="002F4B78"/>
    <w:rsid w:val="003C275D"/>
    <w:rsid w:val="006E401E"/>
    <w:rsid w:val="0072236E"/>
    <w:rsid w:val="00A64FC6"/>
    <w:rsid w:val="00A702A4"/>
    <w:rsid w:val="00D13AD2"/>
    <w:rsid w:val="00EB4578"/>
    <w:rsid w:val="00F93A4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CO" w:eastAsia="es-C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Pr>
      <w:color w:val="808080"/>
    </w:rPr>
  </w:style>
  <w:style w:type="paragraph" w:customStyle="1" w:styleId="037DFAD754C34935AF510951B5034621">
    <w:name w:val="037DFAD754C34935AF510951B5034621"/>
  </w:style>
  <w:style w:type="paragraph" w:customStyle="1" w:styleId="5416EA45E3DA48E49171817C29FB7D20">
    <w:name w:val="5416EA45E3DA48E49171817C29FB7D20"/>
  </w:style>
  <w:style w:type="paragraph" w:customStyle="1" w:styleId="0162E2BC282C4C1AAC5FA3D4209AB034">
    <w:name w:val="0162E2BC282C4C1AAC5FA3D4209AB034"/>
  </w:style>
  <w:style w:type="paragraph" w:customStyle="1" w:styleId="4E7E3E2975844FAE958EDC83FC34E61B">
    <w:name w:val="4E7E3E2975844FAE958EDC83FC34E61B"/>
  </w:style>
  <w:style w:type="paragraph" w:customStyle="1" w:styleId="C391075E27384E24A0160BC24608B4D7">
    <w:name w:val="C391075E27384E24A0160BC24608B4D7"/>
  </w:style>
  <w:style w:type="paragraph" w:customStyle="1" w:styleId="6545D890C56E4FB2922A90DCE4F43B03">
    <w:name w:val="6545D890C56E4FB2922A90DCE4F43B03"/>
  </w:style>
  <w:style w:type="paragraph" w:customStyle="1" w:styleId="3C4600CF5FBB49488167785549B27927">
    <w:name w:val="3C4600CF5FBB49488167785549B27927"/>
  </w:style>
  <w:style w:type="paragraph" w:customStyle="1" w:styleId="FE3BFCD09E2544AF94501EF587C472AC">
    <w:name w:val="FE3BFCD09E2544AF94501EF587C472AC"/>
  </w:style>
  <w:style w:type="paragraph" w:customStyle="1" w:styleId="5A939AAA443845AAB027CB95E6F33D2C">
    <w:name w:val="5A939AAA443845AAB027CB95E6F33D2C"/>
  </w:style>
  <w:style w:type="paragraph" w:customStyle="1" w:styleId="41D9146832E74E52B6E7C7D24439CE3F">
    <w:name w:val="41D9146832E74E52B6E7C7D24439CE3F"/>
  </w:style>
  <w:style w:type="paragraph" w:customStyle="1" w:styleId="F0D12AC057DC4961A8C781316C1989FD">
    <w:name w:val="F0D12AC057DC4961A8C781316C1989FD"/>
  </w:style>
  <w:style w:type="paragraph" w:customStyle="1" w:styleId="7ACD61E2C4904DC19657F2CBA1E30990">
    <w:name w:val="7ACD61E2C4904DC19657F2CBA1E30990"/>
  </w:style>
  <w:style w:type="paragraph" w:customStyle="1" w:styleId="8F2522D52B4E4CB3B7AC84CD9DA953DF">
    <w:name w:val="8F2522D52B4E4CB3B7AC84CD9DA953DF"/>
  </w:style>
  <w:style w:type="paragraph" w:customStyle="1" w:styleId="46F1FFDCF05D4F2B83B08209DF25E2AA">
    <w:name w:val="46F1FFDCF05D4F2B83B08209DF25E2AA"/>
  </w:style>
  <w:style w:type="paragraph" w:customStyle="1" w:styleId="43C458772F2540F3AB70C1C7842E1F00">
    <w:name w:val="43C458772F2540F3AB70C1C7842E1F00"/>
  </w:style>
  <w:style w:type="paragraph" w:customStyle="1" w:styleId="D46AF89169F84D8790DCF63B03AE5FF6">
    <w:name w:val="D46AF89169F84D8790DCF63B03AE5FF6"/>
  </w:style>
  <w:style w:type="paragraph" w:customStyle="1" w:styleId="9100A5F334E24BACAD679D3BD031F7E5">
    <w:name w:val="9100A5F334E24BACAD679D3BD031F7E5"/>
  </w:style>
  <w:style w:type="paragraph" w:customStyle="1" w:styleId="E409DBDE6FD7403BB04AE0F6E1127D47">
    <w:name w:val="E409DBDE6FD7403BB04AE0F6E1127D47"/>
  </w:style>
  <w:style w:type="paragraph" w:customStyle="1" w:styleId="7F930EA1A4F84D1B88EC8B9E71828B21">
    <w:name w:val="7F930EA1A4F84D1B88EC8B9E71828B21"/>
  </w:style>
  <w:style w:type="paragraph" w:customStyle="1" w:styleId="F6E3A63943D54C4B9EBC63B5710796BF">
    <w:name w:val="F6E3A63943D54C4B9EBC63B5710796BF"/>
  </w:style>
  <w:style w:type="paragraph" w:customStyle="1" w:styleId="E063727FD5904B7B98CDCE30C7209EE7">
    <w:name w:val="E063727FD5904B7B98CDCE30C7209EE7"/>
  </w:style>
  <w:style w:type="paragraph" w:customStyle="1" w:styleId="4E3DA24563584A2293513C782FCE33E7">
    <w:name w:val="4E3DA24563584A2293513C782FCE33E7"/>
    <w:rsid w:val="002363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79BB05-7284-4A5A-A6C6-D7F38D784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202964</Words>
  <Characters>1116304</Characters>
  <Application>Microsoft Office Word</Application>
  <DocSecurity>0</DocSecurity>
  <Lines>9302</Lines>
  <Paragraphs>2633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1316635</CharactersWithSpaces>
  <SharedDoc>false</SharedDoc>
  <HLinks>
    <vt:vector size="690" baseType="variant">
      <vt:variant>
        <vt:i4>3801120</vt:i4>
      </vt:variant>
      <vt:variant>
        <vt:i4>687</vt:i4>
      </vt:variant>
      <vt:variant>
        <vt:i4>0</vt:i4>
      </vt:variant>
      <vt:variant>
        <vt:i4>5</vt:i4>
      </vt:variant>
      <vt:variant>
        <vt:lpwstr>https://usc-word-edit.officeapps.live.com/we/wordeditorframe.aspx?ui=es%2DES&amp;rs=es%2DES&amp;wopisrc=https%3A%2F%2Fanionline-my.sharepoint.com%2Fpersonal%2Fmmartin_ani_gov_co%2F_vti_bin%2Fwopi.ashx%2Ffiles%2F66ea9c3e1cc345898a4dcaba851bc5a1&amp;wdenableroaming=1&amp;mscc=1&amp;wdodb=1&amp;hid=A29F4C96-8BA1-4CC0-9486-4C950B004E66&amp;wdorigin=Sharing.ServerTransfer&amp;jsapi=1&amp;jsapiver=v1&amp;newsession=1&amp;corrid=fdb1c545-37d1-45c5-874c-e2602c3f43f7&amp;usid=fdb1c545-37d1-45c5-874c-e2602c3f43f7&amp;sftc=1&amp;cac=1&amp;mtf=1&amp;sfp=1&amp;instantedit=1&amp;wopicomplete=1&amp;wdredirectionreason=Unified_SingleFlush&amp;rct=Normal&amp;ctp=LeastProtected</vt:lpwstr>
      </vt:variant>
      <vt:variant>
        <vt:lpwstr>_ftn1</vt:lpwstr>
      </vt:variant>
      <vt:variant>
        <vt:i4>1900603</vt:i4>
      </vt:variant>
      <vt:variant>
        <vt:i4>680</vt:i4>
      </vt:variant>
      <vt:variant>
        <vt:i4>0</vt:i4>
      </vt:variant>
      <vt:variant>
        <vt:i4>5</vt:i4>
      </vt:variant>
      <vt:variant>
        <vt:lpwstr/>
      </vt:variant>
      <vt:variant>
        <vt:lpwstr>_Toc159846717</vt:lpwstr>
      </vt:variant>
      <vt:variant>
        <vt:i4>1900603</vt:i4>
      </vt:variant>
      <vt:variant>
        <vt:i4>674</vt:i4>
      </vt:variant>
      <vt:variant>
        <vt:i4>0</vt:i4>
      </vt:variant>
      <vt:variant>
        <vt:i4>5</vt:i4>
      </vt:variant>
      <vt:variant>
        <vt:lpwstr/>
      </vt:variant>
      <vt:variant>
        <vt:lpwstr>_Toc159846716</vt:lpwstr>
      </vt:variant>
      <vt:variant>
        <vt:i4>1900603</vt:i4>
      </vt:variant>
      <vt:variant>
        <vt:i4>668</vt:i4>
      </vt:variant>
      <vt:variant>
        <vt:i4>0</vt:i4>
      </vt:variant>
      <vt:variant>
        <vt:i4>5</vt:i4>
      </vt:variant>
      <vt:variant>
        <vt:lpwstr/>
      </vt:variant>
      <vt:variant>
        <vt:lpwstr>_Toc159846715</vt:lpwstr>
      </vt:variant>
      <vt:variant>
        <vt:i4>1900603</vt:i4>
      </vt:variant>
      <vt:variant>
        <vt:i4>662</vt:i4>
      </vt:variant>
      <vt:variant>
        <vt:i4>0</vt:i4>
      </vt:variant>
      <vt:variant>
        <vt:i4>5</vt:i4>
      </vt:variant>
      <vt:variant>
        <vt:lpwstr/>
      </vt:variant>
      <vt:variant>
        <vt:lpwstr>_Toc159846714</vt:lpwstr>
      </vt:variant>
      <vt:variant>
        <vt:i4>1900603</vt:i4>
      </vt:variant>
      <vt:variant>
        <vt:i4>656</vt:i4>
      </vt:variant>
      <vt:variant>
        <vt:i4>0</vt:i4>
      </vt:variant>
      <vt:variant>
        <vt:i4>5</vt:i4>
      </vt:variant>
      <vt:variant>
        <vt:lpwstr/>
      </vt:variant>
      <vt:variant>
        <vt:lpwstr>_Toc159846713</vt:lpwstr>
      </vt:variant>
      <vt:variant>
        <vt:i4>1900603</vt:i4>
      </vt:variant>
      <vt:variant>
        <vt:i4>650</vt:i4>
      </vt:variant>
      <vt:variant>
        <vt:i4>0</vt:i4>
      </vt:variant>
      <vt:variant>
        <vt:i4>5</vt:i4>
      </vt:variant>
      <vt:variant>
        <vt:lpwstr/>
      </vt:variant>
      <vt:variant>
        <vt:lpwstr>_Toc159846712</vt:lpwstr>
      </vt:variant>
      <vt:variant>
        <vt:i4>1900603</vt:i4>
      </vt:variant>
      <vt:variant>
        <vt:i4>644</vt:i4>
      </vt:variant>
      <vt:variant>
        <vt:i4>0</vt:i4>
      </vt:variant>
      <vt:variant>
        <vt:i4>5</vt:i4>
      </vt:variant>
      <vt:variant>
        <vt:lpwstr/>
      </vt:variant>
      <vt:variant>
        <vt:lpwstr>_Toc159846711</vt:lpwstr>
      </vt:variant>
      <vt:variant>
        <vt:i4>1900603</vt:i4>
      </vt:variant>
      <vt:variant>
        <vt:i4>638</vt:i4>
      </vt:variant>
      <vt:variant>
        <vt:i4>0</vt:i4>
      </vt:variant>
      <vt:variant>
        <vt:i4>5</vt:i4>
      </vt:variant>
      <vt:variant>
        <vt:lpwstr/>
      </vt:variant>
      <vt:variant>
        <vt:lpwstr>_Toc159846710</vt:lpwstr>
      </vt:variant>
      <vt:variant>
        <vt:i4>1835067</vt:i4>
      </vt:variant>
      <vt:variant>
        <vt:i4>632</vt:i4>
      </vt:variant>
      <vt:variant>
        <vt:i4>0</vt:i4>
      </vt:variant>
      <vt:variant>
        <vt:i4>5</vt:i4>
      </vt:variant>
      <vt:variant>
        <vt:lpwstr/>
      </vt:variant>
      <vt:variant>
        <vt:lpwstr>_Toc159846709</vt:lpwstr>
      </vt:variant>
      <vt:variant>
        <vt:i4>1835067</vt:i4>
      </vt:variant>
      <vt:variant>
        <vt:i4>626</vt:i4>
      </vt:variant>
      <vt:variant>
        <vt:i4>0</vt:i4>
      </vt:variant>
      <vt:variant>
        <vt:i4>5</vt:i4>
      </vt:variant>
      <vt:variant>
        <vt:lpwstr/>
      </vt:variant>
      <vt:variant>
        <vt:lpwstr>_Toc159846708</vt:lpwstr>
      </vt:variant>
      <vt:variant>
        <vt:i4>1835067</vt:i4>
      </vt:variant>
      <vt:variant>
        <vt:i4>620</vt:i4>
      </vt:variant>
      <vt:variant>
        <vt:i4>0</vt:i4>
      </vt:variant>
      <vt:variant>
        <vt:i4>5</vt:i4>
      </vt:variant>
      <vt:variant>
        <vt:lpwstr/>
      </vt:variant>
      <vt:variant>
        <vt:lpwstr>_Toc159846707</vt:lpwstr>
      </vt:variant>
      <vt:variant>
        <vt:i4>1835067</vt:i4>
      </vt:variant>
      <vt:variant>
        <vt:i4>614</vt:i4>
      </vt:variant>
      <vt:variant>
        <vt:i4>0</vt:i4>
      </vt:variant>
      <vt:variant>
        <vt:i4>5</vt:i4>
      </vt:variant>
      <vt:variant>
        <vt:lpwstr/>
      </vt:variant>
      <vt:variant>
        <vt:lpwstr>_Toc159846706</vt:lpwstr>
      </vt:variant>
      <vt:variant>
        <vt:i4>1835067</vt:i4>
      </vt:variant>
      <vt:variant>
        <vt:i4>608</vt:i4>
      </vt:variant>
      <vt:variant>
        <vt:i4>0</vt:i4>
      </vt:variant>
      <vt:variant>
        <vt:i4>5</vt:i4>
      </vt:variant>
      <vt:variant>
        <vt:lpwstr/>
      </vt:variant>
      <vt:variant>
        <vt:lpwstr>_Toc159846705</vt:lpwstr>
      </vt:variant>
      <vt:variant>
        <vt:i4>1835067</vt:i4>
      </vt:variant>
      <vt:variant>
        <vt:i4>602</vt:i4>
      </vt:variant>
      <vt:variant>
        <vt:i4>0</vt:i4>
      </vt:variant>
      <vt:variant>
        <vt:i4>5</vt:i4>
      </vt:variant>
      <vt:variant>
        <vt:lpwstr/>
      </vt:variant>
      <vt:variant>
        <vt:lpwstr>_Toc159846704</vt:lpwstr>
      </vt:variant>
      <vt:variant>
        <vt:i4>1835067</vt:i4>
      </vt:variant>
      <vt:variant>
        <vt:i4>596</vt:i4>
      </vt:variant>
      <vt:variant>
        <vt:i4>0</vt:i4>
      </vt:variant>
      <vt:variant>
        <vt:i4>5</vt:i4>
      </vt:variant>
      <vt:variant>
        <vt:lpwstr/>
      </vt:variant>
      <vt:variant>
        <vt:lpwstr>_Toc159846703</vt:lpwstr>
      </vt:variant>
      <vt:variant>
        <vt:i4>1835067</vt:i4>
      </vt:variant>
      <vt:variant>
        <vt:i4>590</vt:i4>
      </vt:variant>
      <vt:variant>
        <vt:i4>0</vt:i4>
      </vt:variant>
      <vt:variant>
        <vt:i4>5</vt:i4>
      </vt:variant>
      <vt:variant>
        <vt:lpwstr/>
      </vt:variant>
      <vt:variant>
        <vt:lpwstr>_Toc159846702</vt:lpwstr>
      </vt:variant>
      <vt:variant>
        <vt:i4>1835067</vt:i4>
      </vt:variant>
      <vt:variant>
        <vt:i4>584</vt:i4>
      </vt:variant>
      <vt:variant>
        <vt:i4>0</vt:i4>
      </vt:variant>
      <vt:variant>
        <vt:i4>5</vt:i4>
      </vt:variant>
      <vt:variant>
        <vt:lpwstr/>
      </vt:variant>
      <vt:variant>
        <vt:lpwstr>_Toc159846701</vt:lpwstr>
      </vt:variant>
      <vt:variant>
        <vt:i4>1835067</vt:i4>
      </vt:variant>
      <vt:variant>
        <vt:i4>578</vt:i4>
      </vt:variant>
      <vt:variant>
        <vt:i4>0</vt:i4>
      </vt:variant>
      <vt:variant>
        <vt:i4>5</vt:i4>
      </vt:variant>
      <vt:variant>
        <vt:lpwstr/>
      </vt:variant>
      <vt:variant>
        <vt:lpwstr>_Toc159846700</vt:lpwstr>
      </vt:variant>
      <vt:variant>
        <vt:i4>1376314</vt:i4>
      </vt:variant>
      <vt:variant>
        <vt:i4>572</vt:i4>
      </vt:variant>
      <vt:variant>
        <vt:i4>0</vt:i4>
      </vt:variant>
      <vt:variant>
        <vt:i4>5</vt:i4>
      </vt:variant>
      <vt:variant>
        <vt:lpwstr/>
      </vt:variant>
      <vt:variant>
        <vt:lpwstr>_Toc159846699</vt:lpwstr>
      </vt:variant>
      <vt:variant>
        <vt:i4>1376314</vt:i4>
      </vt:variant>
      <vt:variant>
        <vt:i4>566</vt:i4>
      </vt:variant>
      <vt:variant>
        <vt:i4>0</vt:i4>
      </vt:variant>
      <vt:variant>
        <vt:i4>5</vt:i4>
      </vt:variant>
      <vt:variant>
        <vt:lpwstr/>
      </vt:variant>
      <vt:variant>
        <vt:lpwstr>_Toc159846698</vt:lpwstr>
      </vt:variant>
      <vt:variant>
        <vt:i4>1376314</vt:i4>
      </vt:variant>
      <vt:variant>
        <vt:i4>560</vt:i4>
      </vt:variant>
      <vt:variant>
        <vt:i4>0</vt:i4>
      </vt:variant>
      <vt:variant>
        <vt:i4>5</vt:i4>
      </vt:variant>
      <vt:variant>
        <vt:lpwstr/>
      </vt:variant>
      <vt:variant>
        <vt:lpwstr>_Toc159846697</vt:lpwstr>
      </vt:variant>
      <vt:variant>
        <vt:i4>1376314</vt:i4>
      </vt:variant>
      <vt:variant>
        <vt:i4>554</vt:i4>
      </vt:variant>
      <vt:variant>
        <vt:i4>0</vt:i4>
      </vt:variant>
      <vt:variant>
        <vt:i4>5</vt:i4>
      </vt:variant>
      <vt:variant>
        <vt:lpwstr/>
      </vt:variant>
      <vt:variant>
        <vt:lpwstr>_Toc159846696</vt:lpwstr>
      </vt:variant>
      <vt:variant>
        <vt:i4>1376314</vt:i4>
      </vt:variant>
      <vt:variant>
        <vt:i4>548</vt:i4>
      </vt:variant>
      <vt:variant>
        <vt:i4>0</vt:i4>
      </vt:variant>
      <vt:variant>
        <vt:i4>5</vt:i4>
      </vt:variant>
      <vt:variant>
        <vt:lpwstr/>
      </vt:variant>
      <vt:variant>
        <vt:lpwstr>_Toc159846695</vt:lpwstr>
      </vt:variant>
      <vt:variant>
        <vt:i4>1376314</vt:i4>
      </vt:variant>
      <vt:variant>
        <vt:i4>542</vt:i4>
      </vt:variant>
      <vt:variant>
        <vt:i4>0</vt:i4>
      </vt:variant>
      <vt:variant>
        <vt:i4>5</vt:i4>
      </vt:variant>
      <vt:variant>
        <vt:lpwstr/>
      </vt:variant>
      <vt:variant>
        <vt:lpwstr>_Toc159846694</vt:lpwstr>
      </vt:variant>
      <vt:variant>
        <vt:i4>1376314</vt:i4>
      </vt:variant>
      <vt:variant>
        <vt:i4>536</vt:i4>
      </vt:variant>
      <vt:variant>
        <vt:i4>0</vt:i4>
      </vt:variant>
      <vt:variant>
        <vt:i4>5</vt:i4>
      </vt:variant>
      <vt:variant>
        <vt:lpwstr/>
      </vt:variant>
      <vt:variant>
        <vt:lpwstr>_Toc159846693</vt:lpwstr>
      </vt:variant>
      <vt:variant>
        <vt:i4>1376314</vt:i4>
      </vt:variant>
      <vt:variant>
        <vt:i4>530</vt:i4>
      </vt:variant>
      <vt:variant>
        <vt:i4>0</vt:i4>
      </vt:variant>
      <vt:variant>
        <vt:i4>5</vt:i4>
      </vt:variant>
      <vt:variant>
        <vt:lpwstr/>
      </vt:variant>
      <vt:variant>
        <vt:lpwstr>_Toc159846692</vt:lpwstr>
      </vt:variant>
      <vt:variant>
        <vt:i4>1376314</vt:i4>
      </vt:variant>
      <vt:variant>
        <vt:i4>524</vt:i4>
      </vt:variant>
      <vt:variant>
        <vt:i4>0</vt:i4>
      </vt:variant>
      <vt:variant>
        <vt:i4>5</vt:i4>
      </vt:variant>
      <vt:variant>
        <vt:lpwstr/>
      </vt:variant>
      <vt:variant>
        <vt:lpwstr>_Toc159846691</vt:lpwstr>
      </vt:variant>
      <vt:variant>
        <vt:i4>1376314</vt:i4>
      </vt:variant>
      <vt:variant>
        <vt:i4>518</vt:i4>
      </vt:variant>
      <vt:variant>
        <vt:i4>0</vt:i4>
      </vt:variant>
      <vt:variant>
        <vt:i4>5</vt:i4>
      </vt:variant>
      <vt:variant>
        <vt:lpwstr/>
      </vt:variant>
      <vt:variant>
        <vt:lpwstr>_Toc159846690</vt:lpwstr>
      </vt:variant>
      <vt:variant>
        <vt:i4>1310778</vt:i4>
      </vt:variant>
      <vt:variant>
        <vt:i4>512</vt:i4>
      </vt:variant>
      <vt:variant>
        <vt:i4>0</vt:i4>
      </vt:variant>
      <vt:variant>
        <vt:i4>5</vt:i4>
      </vt:variant>
      <vt:variant>
        <vt:lpwstr/>
      </vt:variant>
      <vt:variant>
        <vt:lpwstr>_Toc159846689</vt:lpwstr>
      </vt:variant>
      <vt:variant>
        <vt:i4>1310778</vt:i4>
      </vt:variant>
      <vt:variant>
        <vt:i4>506</vt:i4>
      </vt:variant>
      <vt:variant>
        <vt:i4>0</vt:i4>
      </vt:variant>
      <vt:variant>
        <vt:i4>5</vt:i4>
      </vt:variant>
      <vt:variant>
        <vt:lpwstr/>
      </vt:variant>
      <vt:variant>
        <vt:lpwstr>_Toc159846688</vt:lpwstr>
      </vt:variant>
      <vt:variant>
        <vt:i4>1310778</vt:i4>
      </vt:variant>
      <vt:variant>
        <vt:i4>500</vt:i4>
      </vt:variant>
      <vt:variant>
        <vt:i4>0</vt:i4>
      </vt:variant>
      <vt:variant>
        <vt:i4>5</vt:i4>
      </vt:variant>
      <vt:variant>
        <vt:lpwstr/>
      </vt:variant>
      <vt:variant>
        <vt:lpwstr>_Toc159846687</vt:lpwstr>
      </vt:variant>
      <vt:variant>
        <vt:i4>1310778</vt:i4>
      </vt:variant>
      <vt:variant>
        <vt:i4>494</vt:i4>
      </vt:variant>
      <vt:variant>
        <vt:i4>0</vt:i4>
      </vt:variant>
      <vt:variant>
        <vt:i4>5</vt:i4>
      </vt:variant>
      <vt:variant>
        <vt:lpwstr/>
      </vt:variant>
      <vt:variant>
        <vt:lpwstr>_Toc159846686</vt:lpwstr>
      </vt:variant>
      <vt:variant>
        <vt:i4>1310778</vt:i4>
      </vt:variant>
      <vt:variant>
        <vt:i4>488</vt:i4>
      </vt:variant>
      <vt:variant>
        <vt:i4>0</vt:i4>
      </vt:variant>
      <vt:variant>
        <vt:i4>5</vt:i4>
      </vt:variant>
      <vt:variant>
        <vt:lpwstr/>
      </vt:variant>
      <vt:variant>
        <vt:lpwstr>_Toc159846685</vt:lpwstr>
      </vt:variant>
      <vt:variant>
        <vt:i4>1310778</vt:i4>
      </vt:variant>
      <vt:variant>
        <vt:i4>482</vt:i4>
      </vt:variant>
      <vt:variant>
        <vt:i4>0</vt:i4>
      </vt:variant>
      <vt:variant>
        <vt:i4>5</vt:i4>
      </vt:variant>
      <vt:variant>
        <vt:lpwstr/>
      </vt:variant>
      <vt:variant>
        <vt:lpwstr>_Toc159846684</vt:lpwstr>
      </vt:variant>
      <vt:variant>
        <vt:i4>1310778</vt:i4>
      </vt:variant>
      <vt:variant>
        <vt:i4>476</vt:i4>
      </vt:variant>
      <vt:variant>
        <vt:i4>0</vt:i4>
      </vt:variant>
      <vt:variant>
        <vt:i4>5</vt:i4>
      </vt:variant>
      <vt:variant>
        <vt:lpwstr/>
      </vt:variant>
      <vt:variant>
        <vt:lpwstr>_Toc159846683</vt:lpwstr>
      </vt:variant>
      <vt:variant>
        <vt:i4>1310778</vt:i4>
      </vt:variant>
      <vt:variant>
        <vt:i4>470</vt:i4>
      </vt:variant>
      <vt:variant>
        <vt:i4>0</vt:i4>
      </vt:variant>
      <vt:variant>
        <vt:i4>5</vt:i4>
      </vt:variant>
      <vt:variant>
        <vt:lpwstr/>
      </vt:variant>
      <vt:variant>
        <vt:lpwstr>_Toc159846682</vt:lpwstr>
      </vt:variant>
      <vt:variant>
        <vt:i4>1310778</vt:i4>
      </vt:variant>
      <vt:variant>
        <vt:i4>464</vt:i4>
      </vt:variant>
      <vt:variant>
        <vt:i4>0</vt:i4>
      </vt:variant>
      <vt:variant>
        <vt:i4>5</vt:i4>
      </vt:variant>
      <vt:variant>
        <vt:lpwstr/>
      </vt:variant>
      <vt:variant>
        <vt:lpwstr>_Toc159846681</vt:lpwstr>
      </vt:variant>
      <vt:variant>
        <vt:i4>1310778</vt:i4>
      </vt:variant>
      <vt:variant>
        <vt:i4>458</vt:i4>
      </vt:variant>
      <vt:variant>
        <vt:i4>0</vt:i4>
      </vt:variant>
      <vt:variant>
        <vt:i4>5</vt:i4>
      </vt:variant>
      <vt:variant>
        <vt:lpwstr/>
      </vt:variant>
      <vt:variant>
        <vt:lpwstr>_Toc159846680</vt:lpwstr>
      </vt:variant>
      <vt:variant>
        <vt:i4>1769530</vt:i4>
      </vt:variant>
      <vt:variant>
        <vt:i4>452</vt:i4>
      </vt:variant>
      <vt:variant>
        <vt:i4>0</vt:i4>
      </vt:variant>
      <vt:variant>
        <vt:i4>5</vt:i4>
      </vt:variant>
      <vt:variant>
        <vt:lpwstr/>
      </vt:variant>
      <vt:variant>
        <vt:lpwstr>_Toc159846679</vt:lpwstr>
      </vt:variant>
      <vt:variant>
        <vt:i4>1769530</vt:i4>
      </vt:variant>
      <vt:variant>
        <vt:i4>446</vt:i4>
      </vt:variant>
      <vt:variant>
        <vt:i4>0</vt:i4>
      </vt:variant>
      <vt:variant>
        <vt:i4>5</vt:i4>
      </vt:variant>
      <vt:variant>
        <vt:lpwstr/>
      </vt:variant>
      <vt:variant>
        <vt:lpwstr>_Toc159846678</vt:lpwstr>
      </vt:variant>
      <vt:variant>
        <vt:i4>1769530</vt:i4>
      </vt:variant>
      <vt:variant>
        <vt:i4>440</vt:i4>
      </vt:variant>
      <vt:variant>
        <vt:i4>0</vt:i4>
      </vt:variant>
      <vt:variant>
        <vt:i4>5</vt:i4>
      </vt:variant>
      <vt:variant>
        <vt:lpwstr/>
      </vt:variant>
      <vt:variant>
        <vt:lpwstr>_Toc159846677</vt:lpwstr>
      </vt:variant>
      <vt:variant>
        <vt:i4>1769530</vt:i4>
      </vt:variant>
      <vt:variant>
        <vt:i4>434</vt:i4>
      </vt:variant>
      <vt:variant>
        <vt:i4>0</vt:i4>
      </vt:variant>
      <vt:variant>
        <vt:i4>5</vt:i4>
      </vt:variant>
      <vt:variant>
        <vt:lpwstr/>
      </vt:variant>
      <vt:variant>
        <vt:lpwstr>_Toc159846676</vt:lpwstr>
      </vt:variant>
      <vt:variant>
        <vt:i4>1769530</vt:i4>
      </vt:variant>
      <vt:variant>
        <vt:i4>428</vt:i4>
      </vt:variant>
      <vt:variant>
        <vt:i4>0</vt:i4>
      </vt:variant>
      <vt:variant>
        <vt:i4>5</vt:i4>
      </vt:variant>
      <vt:variant>
        <vt:lpwstr/>
      </vt:variant>
      <vt:variant>
        <vt:lpwstr>_Toc159846675</vt:lpwstr>
      </vt:variant>
      <vt:variant>
        <vt:i4>1769530</vt:i4>
      </vt:variant>
      <vt:variant>
        <vt:i4>422</vt:i4>
      </vt:variant>
      <vt:variant>
        <vt:i4>0</vt:i4>
      </vt:variant>
      <vt:variant>
        <vt:i4>5</vt:i4>
      </vt:variant>
      <vt:variant>
        <vt:lpwstr/>
      </vt:variant>
      <vt:variant>
        <vt:lpwstr>_Toc159846674</vt:lpwstr>
      </vt:variant>
      <vt:variant>
        <vt:i4>1769530</vt:i4>
      </vt:variant>
      <vt:variant>
        <vt:i4>416</vt:i4>
      </vt:variant>
      <vt:variant>
        <vt:i4>0</vt:i4>
      </vt:variant>
      <vt:variant>
        <vt:i4>5</vt:i4>
      </vt:variant>
      <vt:variant>
        <vt:lpwstr/>
      </vt:variant>
      <vt:variant>
        <vt:lpwstr>_Toc159846673</vt:lpwstr>
      </vt:variant>
      <vt:variant>
        <vt:i4>1769530</vt:i4>
      </vt:variant>
      <vt:variant>
        <vt:i4>410</vt:i4>
      </vt:variant>
      <vt:variant>
        <vt:i4>0</vt:i4>
      </vt:variant>
      <vt:variant>
        <vt:i4>5</vt:i4>
      </vt:variant>
      <vt:variant>
        <vt:lpwstr/>
      </vt:variant>
      <vt:variant>
        <vt:lpwstr>_Toc159846672</vt:lpwstr>
      </vt:variant>
      <vt:variant>
        <vt:i4>1769530</vt:i4>
      </vt:variant>
      <vt:variant>
        <vt:i4>404</vt:i4>
      </vt:variant>
      <vt:variant>
        <vt:i4>0</vt:i4>
      </vt:variant>
      <vt:variant>
        <vt:i4>5</vt:i4>
      </vt:variant>
      <vt:variant>
        <vt:lpwstr/>
      </vt:variant>
      <vt:variant>
        <vt:lpwstr>_Toc159846671</vt:lpwstr>
      </vt:variant>
      <vt:variant>
        <vt:i4>1769530</vt:i4>
      </vt:variant>
      <vt:variant>
        <vt:i4>398</vt:i4>
      </vt:variant>
      <vt:variant>
        <vt:i4>0</vt:i4>
      </vt:variant>
      <vt:variant>
        <vt:i4>5</vt:i4>
      </vt:variant>
      <vt:variant>
        <vt:lpwstr/>
      </vt:variant>
      <vt:variant>
        <vt:lpwstr>_Toc159846670</vt:lpwstr>
      </vt:variant>
      <vt:variant>
        <vt:i4>1703994</vt:i4>
      </vt:variant>
      <vt:variant>
        <vt:i4>392</vt:i4>
      </vt:variant>
      <vt:variant>
        <vt:i4>0</vt:i4>
      </vt:variant>
      <vt:variant>
        <vt:i4>5</vt:i4>
      </vt:variant>
      <vt:variant>
        <vt:lpwstr/>
      </vt:variant>
      <vt:variant>
        <vt:lpwstr>_Toc159846669</vt:lpwstr>
      </vt:variant>
      <vt:variant>
        <vt:i4>1703994</vt:i4>
      </vt:variant>
      <vt:variant>
        <vt:i4>386</vt:i4>
      </vt:variant>
      <vt:variant>
        <vt:i4>0</vt:i4>
      </vt:variant>
      <vt:variant>
        <vt:i4>5</vt:i4>
      </vt:variant>
      <vt:variant>
        <vt:lpwstr/>
      </vt:variant>
      <vt:variant>
        <vt:lpwstr>_Toc159846668</vt:lpwstr>
      </vt:variant>
      <vt:variant>
        <vt:i4>1703994</vt:i4>
      </vt:variant>
      <vt:variant>
        <vt:i4>380</vt:i4>
      </vt:variant>
      <vt:variant>
        <vt:i4>0</vt:i4>
      </vt:variant>
      <vt:variant>
        <vt:i4>5</vt:i4>
      </vt:variant>
      <vt:variant>
        <vt:lpwstr/>
      </vt:variant>
      <vt:variant>
        <vt:lpwstr>_Toc159846667</vt:lpwstr>
      </vt:variant>
      <vt:variant>
        <vt:i4>1703994</vt:i4>
      </vt:variant>
      <vt:variant>
        <vt:i4>374</vt:i4>
      </vt:variant>
      <vt:variant>
        <vt:i4>0</vt:i4>
      </vt:variant>
      <vt:variant>
        <vt:i4>5</vt:i4>
      </vt:variant>
      <vt:variant>
        <vt:lpwstr/>
      </vt:variant>
      <vt:variant>
        <vt:lpwstr>_Toc159846666</vt:lpwstr>
      </vt:variant>
      <vt:variant>
        <vt:i4>1703994</vt:i4>
      </vt:variant>
      <vt:variant>
        <vt:i4>368</vt:i4>
      </vt:variant>
      <vt:variant>
        <vt:i4>0</vt:i4>
      </vt:variant>
      <vt:variant>
        <vt:i4>5</vt:i4>
      </vt:variant>
      <vt:variant>
        <vt:lpwstr/>
      </vt:variant>
      <vt:variant>
        <vt:lpwstr>_Toc159846665</vt:lpwstr>
      </vt:variant>
      <vt:variant>
        <vt:i4>1703994</vt:i4>
      </vt:variant>
      <vt:variant>
        <vt:i4>362</vt:i4>
      </vt:variant>
      <vt:variant>
        <vt:i4>0</vt:i4>
      </vt:variant>
      <vt:variant>
        <vt:i4>5</vt:i4>
      </vt:variant>
      <vt:variant>
        <vt:lpwstr/>
      </vt:variant>
      <vt:variant>
        <vt:lpwstr>_Toc159846664</vt:lpwstr>
      </vt:variant>
      <vt:variant>
        <vt:i4>1703994</vt:i4>
      </vt:variant>
      <vt:variant>
        <vt:i4>356</vt:i4>
      </vt:variant>
      <vt:variant>
        <vt:i4>0</vt:i4>
      </vt:variant>
      <vt:variant>
        <vt:i4>5</vt:i4>
      </vt:variant>
      <vt:variant>
        <vt:lpwstr/>
      </vt:variant>
      <vt:variant>
        <vt:lpwstr>_Toc159846663</vt:lpwstr>
      </vt:variant>
      <vt:variant>
        <vt:i4>1703994</vt:i4>
      </vt:variant>
      <vt:variant>
        <vt:i4>350</vt:i4>
      </vt:variant>
      <vt:variant>
        <vt:i4>0</vt:i4>
      </vt:variant>
      <vt:variant>
        <vt:i4>5</vt:i4>
      </vt:variant>
      <vt:variant>
        <vt:lpwstr/>
      </vt:variant>
      <vt:variant>
        <vt:lpwstr>_Toc159846662</vt:lpwstr>
      </vt:variant>
      <vt:variant>
        <vt:i4>1703994</vt:i4>
      </vt:variant>
      <vt:variant>
        <vt:i4>344</vt:i4>
      </vt:variant>
      <vt:variant>
        <vt:i4>0</vt:i4>
      </vt:variant>
      <vt:variant>
        <vt:i4>5</vt:i4>
      </vt:variant>
      <vt:variant>
        <vt:lpwstr/>
      </vt:variant>
      <vt:variant>
        <vt:lpwstr>_Toc159846661</vt:lpwstr>
      </vt:variant>
      <vt:variant>
        <vt:i4>1703994</vt:i4>
      </vt:variant>
      <vt:variant>
        <vt:i4>338</vt:i4>
      </vt:variant>
      <vt:variant>
        <vt:i4>0</vt:i4>
      </vt:variant>
      <vt:variant>
        <vt:i4>5</vt:i4>
      </vt:variant>
      <vt:variant>
        <vt:lpwstr/>
      </vt:variant>
      <vt:variant>
        <vt:lpwstr>_Toc159846660</vt:lpwstr>
      </vt:variant>
      <vt:variant>
        <vt:i4>1638458</vt:i4>
      </vt:variant>
      <vt:variant>
        <vt:i4>332</vt:i4>
      </vt:variant>
      <vt:variant>
        <vt:i4>0</vt:i4>
      </vt:variant>
      <vt:variant>
        <vt:i4>5</vt:i4>
      </vt:variant>
      <vt:variant>
        <vt:lpwstr/>
      </vt:variant>
      <vt:variant>
        <vt:lpwstr>_Toc159846659</vt:lpwstr>
      </vt:variant>
      <vt:variant>
        <vt:i4>1638458</vt:i4>
      </vt:variant>
      <vt:variant>
        <vt:i4>326</vt:i4>
      </vt:variant>
      <vt:variant>
        <vt:i4>0</vt:i4>
      </vt:variant>
      <vt:variant>
        <vt:i4>5</vt:i4>
      </vt:variant>
      <vt:variant>
        <vt:lpwstr/>
      </vt:variant>
      <vt:variant>
        <vt:lpwstr>_Toc159846658</vt:lpwstr>
      </vt:variant>
      <vt:variant>
        <vt:i4>1638458</vt:i4>
      </vt:variant>
      <vt:variant>
        <vt:i4>320</vt:i4>
      </vt:variant>
      <vt:variant>
        <vt:i4>0</vt:i4>
      </vt:variant>
      <vt:variant>
        <vt:i4>5</vt:i4>
      </vt:variant>
      <vt:variant>
        <vt:lpwstr/>
      </vt:variant>
      <vt:variant>
        <vt:lpwstr>_Toc159846657</vt:lpwstr>
      </vt:variant>
      <vt:variant>
        <vt:i4>1638458</vt:i4>
      </vt:variant>
      <vt:variant>
        <vt:i4>314</vt:i4>
      </vt:variant>
      <vt:variant>
        <vt:i4>0</vt:i4>
      </vt:variant>
      <vt:variant>
        <vt:i4>5</vt:i4>
      </vt:variant>
      <vt:variant>
        <vt:lpwstr/>
      </vt:variant>
      <vt:variant>
        <vt:lpwstr>_Toc159846656</vt:lpwstr>
      </vt:variant>
      <vt:variant>
        <vt:i4>1638458</vt:i4>
      </vt:variant>
      <vt:variant>
        <vt:i4>308</vt:i4>
      </vt:variant>
      <vt:variant>
        <vt:i4>0</vt:i4>
      </vt:variant>
      <vt:variant>
        <vt:i4>5</vt:i4>
      </vt:variant>
      <vt:variant>
        <vt:lpwstr/>
      </vt:variant>
      <vt:variant>
        <vt:lpwstr>_Toc159846655</vt:lpwstr>
      </vt:variant>
      <vt:variant>
        <vt:i4>1638458</vt:i4>
      </vt:variant>
      <vt:variant>
        <vt:i4>302</vt:i4>
      </vt:variant>
      <vt:variant>
        <vt:i4>0</vt:i4>
      </vt:variant>
      <vt:variant>
        <vt:i4>5</vt:i4>
      </vt:variant>
      <vt:variant>
        <vt:lpwstr/>
      </vt:variant>
      <vt:variant>
        <vt:lpwstr>_Toc159846654</vt:lpwstr>
      </vt:variant>
      <vt:variant>
        <vt:i4>1638458</vt:i4>
      </vt:variant>
      <vt:variant>
        <vt:i4>296</vt:i4>
      </vt:variant>
      <vt:variant>
        <vt:i4>0</vt:i4>
      </vt:variant>
      <vt:variant>
        <vt:i4>5</vt:i4>
      </vt:variant>
      <vt:variant>
        <vt:lpwstr/>
      </vt:variant>
      <vt:variant>
        <vt:lpwstr>_Toc159846653</vt:lpwstr>
      </vt:variant>
      <vt:variant>
        <vt:i4>1638458</vt:i4>
      </vt:variant>
      <vt:variant>
        <vt:i4>290</vt:i4>
      </vt:variant>
      <vt:variant>
        <vt:i4>0</vt:i4>
      </vt:variant>
      <vt:variant>
        <vt:i4>5</vt:i4>
      </vt:variant>
      <vt:variant>
        <vt:lpwstr/>
      </vt:variant>
      <vt:variant>
        <vt:lpwstr>_Toc159846652</vt:lpwstr>
      </vt:variant>
      <vt:variant>
        <vt:i4>1638458</vt:i4>
      </vt:variant>
      <vt:variant>
        <vt:i4>284</vt:i4>
      </vt:variant>
      <vt:variant>
        <vt:i4>0</vt:i4>
      </vt:variant>
      <vt:variant>
        <vt:i4>5</vt:i4>
      </vt:variant>
      <vt:variant>
        <vt:lpwstr/>
      </vt:variant>
      <vt:variant>
        <vt:lpwstr>_Toc159846651</vt:lpwstr>
      </vt:variant>
      <vt:variant>
        <vt:i4>1638458</vt:i4>
      </vt:variant>
      <vt:variant>
        <vt:i4>278</vt:i4>
      </vt:variant>
      <vt:variant>
        <vt:i4>0</vt:i4>
      </vt:variant>
      <vt:variant>
        <vt:i4>5</vt:i4>
      </vt:variant>
      <vt:variant>
        <vt:lpwstr/>
      </vt:variant>
      <vt:variant>
        <vt:lpwstr>_Toc159846650</vt:lpwstr>
      </vt:variant>
      <vt:variant>
        <vt:i4>1572922</vt:i4>
      </vt:variant>
      <vt:variant>
        <vt:i4>272</vt:i4>
      </vt:variant>
      <vt:variant>
        <vt:i4>0</vt:i4>
      </vt:variant>
      <vt:variant>
        <vt:i4>5</vt:i4>
      </vt:variant>
      <vt:variant>
        <vt:lpwstr/>
      </vt:variant>
      <vt:variant>
        <vt:lpwstr>_Toc159846649</vt:lpwstr>
      </vt:variant>
      <vt:variant>
        <vt:i4>1572922</vt:i4>
      </vt:variant>
      <vt:variant>
        <vt:i4>266</vt:i4>
      </vt:variant>
      <vt:variant>
        <vt:i4>0</vt:i4>
      </vt:variant>
      <vt:variant>
        <vt:i4>5</vt:i4>
      </vt:variant>
      <vt:variant>
        <vt:lpwstr/>
      </vt:variant>
      <vt:variant>
        <vt:lpwstr>_Toc159846648</vt:lpwstr>
      </vt:variant>
      <vt:variant>
        <vt:i4>1572922</vt:i4>
      </vt:variant>
      <vt:variant>
        <vt:i4>260</vt:i4>
      </vt:variant>
      <vt:variant>
        <vt:i4>0</vt:i4>
      </vt:variant>
      <vt:variant>
        <vt:i4>5</vt:i4>
      </vt:variant>
      <vt:variant>
        <vt:lpwstr/>
      </vt:variant>
      <vt:variant>
        <vt:lpwstr>_Toc159846647</vt:lpwstr>
      </vt:variant>
      <vt:variant>
        <vt:i4>1572922</vt:i4>
      </vt:variant>
      <vt:variant>
        <vt:i4>254</vt:i4>
      </vt:variant>
      <vt:variant>
        <vt:i4>0</vt:i4>
      </vt:variant>
      <vt:variant>
        <vt:i4>5</vt:i4>
      </vt:variant>
      <vt:variant>
        <vt:lpwstr/>
      </vt:variant>
      <vt:variant>
        <vt:lpwstr>_Toc159846646</vt:lpwstr>
      </vt:variant>
      <vt:variant>
        <vt:i4>1572922</vt:i4>
      </vt:variant>
      <vt:variant>
        <vt:i4>248</vt:i4>
      </vt:variant>
      <vt:variant>
        <vt:i4>0</vt:i4>
      </vt:variant>
      <vt:variant>
        <vt:i4>5</vt:i4>
      </vt:variant>
      <vt:variant>
        <vt:lpwstr/>
      </vt:variant>
      <vt:variant>
        <vt:lpwstr>_Toc159846645</vt:lpwstr>
      </vt:variant>
      <vt:variant>
        <vt:i4>1572922</vt:i4>
      </vt:variant>
      <vt:variant>
        <vt:i4>242</vt:i4>
      </vt:variant>
      <vt:variant>
        <vt:i4>0</vt:i4>
      </vt:variant>
      <vt:variant>
        <vt:i4>5</vt:i4>
      </vt:variant>
      <vt:variant>
        <vt:lpwstr/>
      </vt:variant>
      <vt:variant>
        <vt:lpwstr>_Toc159846644</vt:lpwstr>
      </vt:variant>
      <vt:variant>
        <vt:i4>1572922</vt:i4>
      </vt:variant>
      <vt:variant>
        <vt:i4>236</vt:i4>
      </vt:variant>
      <vt:variant>
        <vt:i4>0</vt:i4>
      </vt:variant>
      <vt:variant>
        <vt:i4>5</vt:i4>
      </vt:variant>
      <vt:variant>
        <vt:lpwstr/>
      </vt:variant>
      <vt:variant>
        <vt:lpwstr>_Toc159846643</vt:lpwstr>
      </vt:variant>
      <vt:variant>
        <vt:i4>1572922</vt:i4>
      </vt:variant>
      <vt:variant>
        <vt:i4>230</vt:i4>
      </vt:variant>
      <vt:variant>
        <vt:i4>0</vt:i4>
      </vt:variant>
      <vt:variant>
        <vt:i4>5</vt:i4>
      </vt:variant>
      <vt:variant>
        <vt:lpwstr/>
      </vt:variant>
      <vt:variant>
        <vt:lpwstr>_Toc159846642</vt:lpwstr>
      </vt:variant>
      <vt:variant>
        <vt:i4>1572922</vt:i4>
      </vt:variant>
      <vt:variant>
        <vt:i4>224</vt:i4>
      </vt:variant>
      <vt:variant>
        <vt:i4>0</vt:i4>
      </vt:variant>
      <vt:variant>
        <vt:i4>5</vt:i4>
      </vt:variant>
      <vt:variant>
        <vt:lpwstr/>
      </vt:variant>
      <vt:variant>
        <vt:lpwstr>_Toc159846641</vt:lpwstr>
      </vt:variant>
      <vt:variant>
        <vt:i4>1572922</vt:i4>
      </vt:variant>
      <vt:variant>
        <vt:i4>218</vt:i4>
      </vt:variant>
      <vt:variant>
        <vt:i4>0</vt:i4>
      </vt:variant>
      <vt:variant>
        <vt:i4>5</vt:i4>
      </vt:variant>
      <vt:variant>
        <vt:lpwstr/>
      </vt:variant>
      <vt:variant>
        <vt:lpwstr>_Toc159846640</vt:lpwstr>
      </vt:variant>
      <vt:variant>
        <vt:i4>2031674</vt:i4>
      </vt:variant>
      <vt:variant>
        <vt:i4>212</vt:i4>
      </vt:variant>
      <vt:variant>
        <vt:i4>0</vt:i4>
      </vt:variant>
      <vt:variant>
        <vt:i4>5</vt:i4>
      </vt:variant>
      <vt:variant>
        <vt:lpwstr/>
      </vt:variant>
      <vt:variant>
        <vt:lpwstr>_Toc159846639</vt:lpwstr>
      </vt:variant>
      <vt:variant>
        <vt:i4>2031674</vt:i4>
      </vt:variant>
      <vt:variant>
        <vt:i4>206</vt:i4>
      </vt:variant>
      <vt:variant>
        <vt:i4>0</vt:i4>
      </vt:variant>
      <vt:variant>
        <vt:i4>5</vt:i4>
      </vt:variant>
      <vt:variant>
        <vt:lpwstr/>
      </vt:variant>
      <vt:variant>
        <vt:lpwstr>_Toc159846638</vt:lpwstr>
      </vt:variant>
      <vt:variant>
        <vt:i4>2031674</vt:i4>
      </vt:variant>
      <vt:variant>
        <vt:i4>200</vt:i4>
      </vt:variant>
      <vt:variant>
        <vt:i4>0</vt:i4>
      </vt:variant>
      <vt:variant>
        <vt:i4>5</vt:i4>
      </vt:variant>
      <vt:variant>
        <vt:lpwstr/>
      </vt:variant>
      <vt:variant>
        <vt:lpwstr>_Toc159846637</vt:lpwstr>
      </vt:variant>
      <vt:variant>
        <vt:i4>2031674</vt:i4>
      </vt:variant>
      <vt:variant>
        <vt:i4>194</vt:i4>
      </vt:variant>
      <vt:variant>
        <vt:i4>0</vt:i4>
      </vt:variant>
      <vt:variant>
        <vt:i4>5</vt:i4>
      </vt:variant>
      <vt:variant>
        <vt:lpwstr/>
      </vt:variant>
      <vt:variant>
        <vt:lpwstr>_Toc159846636</vt:lpwstr>
      </vt:variant>
      <vt:variant>
        <vt:i4>2031674</vt:i4>
      </vt:variant>
      <vt:variant>
        <vt:i4>188</vt:i4>
      </vt:variant>
      <vt:variant>
        <vt:i4>0</vt:i4>
      </vt:variant>
      <vt:variant>
        <vt:i4>5</vt:i4>
      </vt:variant>
      <vt:variant>
        <vt:lpwstr/>
      </vt:variant>
      <vt:variant>
        <vt:lpwstr>_Toc159846635</vt:lpwstr>
      </vt:variant>
      <vt:variant>
        <vt:i4>2031674</vt:i4>
      </vt:variant>
      <vt:variant>
        <vt:i4>182</vt:i4>
      </vt:variant>
      <vt:variant>
        <vt:i4>0</vt:i4>
      </vt:variant>
      <vt:variant>
        <vt:i4>5</vt:i4>
      </vt:variant>
      <vt:variant>
        <vt:lpwstr/>
      </vt:variant>
      <vt:variant>
        <vt:lpwstr>_Toc159846634</vt:lpwstr>
      </vt:variant>
      <vt:variant>
        <vt:i4>2031674</vt:i4>
      </vt:variant>
      <vt:variant>
        <vt:i4>176</vt:i4>
      </vt:variant>
      <vt:variant>
        <vt:i4>0</vt:i4>
      </vt:variant>
      <vt:variant>
        <vt:i4>5</vt:i4>
      </vt:variant>
      <vt:variant>
        <vt:lpwstr/>
      </vt:variant>
      <vt:variant>
        <vt:lpwstr>_Toc159846633</vt:lpwstr>
      </vt:variant>
      <vt:variant>
        <vt:i4>2031674</vt:i4>
      </vt:variant>
      <vt:variant>
        <vt:i4>170</vt:i4>
      </vt:variant>
      <vt:variant>
        <vt:i4>0</vt:i4>
      </vt:variant>
      <vt:variant>
        <vt:i4>5</vt:i4>
      </vt:variant>
      <vt:variant>
        <vt:lpwstr/>
      </vt:variant>
      <vt:variant>
        <vt:lpwstr>_Toc159846632</vt:lpwstr>
      </vt:variant>
      <vt:variant>
        <vt:i4>2031674</vt:i4>
      </vt:variant>
      <vt:variant>
        <vt:i4>164</vt:i4>
      </vt:variant>
      <vt:variant>
        <vt:i4>0</vt:i4>
      </vt:variant>
      <vt:variant>
        <vt:i4>5</vt:i4>
      </vt:variant>
      <vt:variant>
        <vt:lpwstr/>
      </vt:variant>
      <vt:variant>
        <vt:lpwstr>_Toc159846631</vt:lpwstr>
      </vt:variant>
      <vt:variant>
        <vt:i4>2031674</vt:i4>
      </vt:variant>
      <vt:variant>
        <vt:i4>158</vt:i4>
      </vt:variant>
      <vt:variant>
        <vt:i4>0</vt:i4>
      </vt:variant>
      <vt:variant>
        <vt:i4>5</vt:i4>
      </vt:variant>
      <vt:variant>
        <vt:lpwstr/>
      </vt:variant>
      <vt:variant>
        <vt:lpwstr>_Toc159846630</vt:lpwstr>
      </vt:variant>
      <vt:variant>
        <vt:i4>1966138</vt:i4>
      </vt:variant>
      <vt:variant>
        <vt:i4>152</vt:i4>
      </vt:variant>
      <vt:variant>
        <vt:i4>0</vt:i4>
      </vt:variant>
      <vt:variant>
        <vt:i4>5</vt:i4>
      </vt:variant>
      <vt:variant>
        <vt:lpwstr/>
      </vt:variant>
      <vt:variant>
        <vt:lpwstr>_Toc159846629</vt:lpwstr>
      </vt:variant>
      <vt:variant>
        <vt:i4>1966138</vt:i4>
      </vt:variant>
      <vt:variant>
        <vt:i4>146</vt:i4>
      </vt:variant>
      <vt:variant>
        <vt:i4>0</vt:i4>
      </vt:variant>
      <vt:variant>
        <vt:i4>5</vt:i4>
      </vt:variant>
      <vt:variant>
        <vt:lpwstr/>
      </vt:variant>
      <vt:variant>
        <vt:lpwstr>_Toc159846628</vt:lpwstr>
      </vt:variant>
      <vt:variant>
        <vt:i4>1966138</vt:i4>
      </vt:variant>
      <vt:variant>
        <vt:i4>140</vt:i4>
      </vt:variant>
      <vt:variant>
        <vt:i4>0</vt:i4>
      </vt:variant>
      <vt:variant>
        <vt:i4>5</vt:i4>
      </vt:variant>
      <vt:variant>
        <vt:lpwstr/>
      </vt:variant>
      <vt:variant>
        <vt:lpwstr>_Toc159846627</vt:lpwstr>
      </vt:variant>
      <vt:variant>
        <vt:i4>1966138</vt:i4>
      </vt:variant>
      <vt:variant>
        <vt:i4>134</vt:i4>
      </vt:variant>
      <vt:variant>
        <vt:i4>0</vt:i4>
      </vt:variant>
      <vt:variant>
        <vt:i4>5</vt:i4>
      </vt:variant>
      <vt:variant>
        <vt:lpwstr/>
      </vt:variant>
      <vt:variant>
        <vt:lpwstr>_Toc159846626</vt:lpwstr>
      </vt:variant>
      <vt:variant>
        <vt:i4>1966138</vt:i4>
      </vt:variant>
      <vt:variant>
        <vt:i4>128</vt:i4>
      </vt:variant>
      <vt:variant>
        <vt:i4>0</vt:i4>
      </vt:variant>
      <vt:variant>
        <vt:i4>5</vt:i4>
      </vt:variant>
      <vt:variant>
        <vt:lpwstr/>
      </vt:variant>
      <vt:variant>
        <vt:lpwstr>_Toc159846625</vt:lpwstr>
      </vt:variant>
      <vt:variant>
        <vt:i4>1966138</vt:i4>
      </vt:variant>
      <vt:variant>
        <vt:i4>122</vt:i4>
      </vt:variant>
      <vt:variant>
        <vt:i4>0</vt:i4>
      </vt:variant>
      <vt:variant>
        <vt:i4>5</vt:i4>
      </vt:variant>
      <vt:variant>
        <vt:lpwstr/>
      </vt:variant>
      <vt:variant>
        <vt:lpwstr>_Toc159846624</vt:lpwstr>
      </vt:variant>
      <vt:variant>
        <vt:i4>1966138</vt:i4>
      </vt:variant>
      <vt:variant>
        <vt:i4>116</vt:i4>
      </vt:variant>
      <vt:variant>
        <vt:i4>0</vt:i4>
      </vt:variant>
      <vt:variant>
        <vt:i4>5</vt:i4>
      </vt:variant>
      <vt:variant>
        <vt:lpwstr/>
      </vt:variant>
      <vt:variant>
        <vt:lpwstr>_Toc159846623</vt:lpwstr>
      </vt:variant>
      <vt:variant>
        <vt:i4>1966138</vt:i4>
      </vt:variant>
      <vt:variant>
        <vt:i4>110</vt:i4>
      </vt:variant>
      <vt:variant>
        <vt:i4>0</vt:i4>
      </vt:variant>
      <vt:variant>
        <vt:i4>5</vt:i4>
      </vt:variant>
      <vt:variant>
        <vt:lpwstr/>
      </vt:variant>
      <vt:variant>
        <vt:lpwstr>_Toc159846622</vt:lpwstr>
      </vt:variant>
      <vt:variant>
        <vt:i4>1966138</vt:i4>
      </vt:variant>
      <vt:variant>
        <vt:i4>104</vt:i4>
      </vt:variant>
      <vt:variant>
        <vt:i4>0</vt:i4>
      </vt:variant>
      <vt:variant>
        <vt:i4>5</vt:i4>
      </vt:variant>
      <vt:variant>
        <vt:lpwstr/>
      </vt:variant>
      <vt:variant>
        <vt:lpwstr>_Toc159846621</vt:lpwstr>
      </vt:variant>
      <vt:variant>
        <vt:i4>1966138</vt:i4>
      </vt:variant>
      <vt:variant>
        <vt:i4>98</vt:i4>
      </vt:variant>
      <vt:variant>
        <vt:i4>0</vt:i4>
      </vt:variant>
      <vt:variant>
        <vt:i4>5</vt:i4>
      </vt:variant>
      <vt:variant>
        <vt:lpwstr/>
      </vt:variant>
      <vt:variant>
        <vt:lpwstr>_Toc159846620</vt:lpwstr>
      </vt:variant>
      <vt:variant>
        <vt:i4>1900602</vt:i4>
      </vt:variant>
      <vt:variant>
        <vt:i4>92</vt:i4>
      </vt:variant>
      <vt:variant>
        <vt:i4>0</vt:i4>
      </vt:variant>
      <vt:variant>
        <vt:i4>5</vt:i4>
      </vt:variant>
      <vt:variant>
        <vt:lpwstr/>
      </vt:variant>
      <vt:variant>
        <vt:lpwstr>_Toc159846619</vt:lpwstr>
      </vt:variant>
      <vt:variant>
        <vt:i4>1900602</vt:i4>
      </vt:variant>
      <vt:variant>
        <vt:i4>86</vt:i4>
      </vt:variant>
      <vt:variant>
        <vt:i4>0</vt:i4>
      </vt:variant>
      <vt:variant>
        <vt:i4>5</vt:i4>
      </vt:variant>
      <vt:variant>
        <vt:lpwstr/>
      </vt:variant>
      <vt:variant>
        <vt:lpwstr>_Toc159846618</vt:lpwstr>
      </vt:variant>
      <vt:variant>
        <vt:i4>1900602</vt:i4>
      </vt:variant>
      <vt:variant>
        <vt:i4>80</vt:i4>
      </vt:variant>
      <vt:variant>
        <vt:i4>0</vt:i4>
      </vt:variant>
      <vt:variant>
        <vt:i4>5</vt:i4>
      </vt:variant>
      <vt:variant>
        <vt:lpwstr/>
      </vt:variant>
      <vt:variant>
        <vt:lpwstr>_Toc159846617</vt:lpwstr>
      </vt:variant>
      <vt:variant>
        <vt:i4>1900602</vt:i4>
      </vt:variant>
      <vt:variant>
        <vt:i4>74</vt:i4>
      </vt:variant>
      <vt:variant>
        <vt:i4>0</vt:i4>
      </vt:variant>
      <vt:variant>
        <vt:i4>5</vt:i4>
      </vt:variant>
      <vt:variant>
        <vt:lpwstr/>
      </vt:variant>
      <vt:variant>
        <vt:lpwstr>_Toc159846616</vt:lpwstr>
      </vt:variant>
      <vt:variant>
        <vt:i4>1900602</vt:i4>
      </vt:variant>
      <vt:variant>
        <vt:i4>68</vt:i4>
      </vt:variant>
      <vt:variant>
        <vt:i4>0</vt:i4>
      </vt:variant>
      <vt:variant>
        <vt:i4>5</vt:i4>
      </vt:variant>
      <vt:variant>
        <vt:lpwstr/>
      </vt:variant>
      <vt:variant>
        <vt:lpwstr>_Toc159846615</vt:lpwstr>
      </vt:variant>
      <vt:variant>
        <vt:i4>1900602</vt:i4>
      </vt:variant>
      <vt:variant>
        <vt:i4>62</vt:i4>
      </vt:variant>
      <vt:variant>
        <vt:i4>0</vt:i4>
      </vt:variant>
      <vt:variant>
        <vt:i4>5</vt:i4>
      </vt:variant>
      <vt:variant>
        <vt:lpwstr/>
      </vt:variant>
      <vt:variant>
        <vt:lpwstr>_Toc159846614</vt:lpwstr>
      </vt:variant>
      <vt:variant>
        <vt:i4>1900602</vt:i4>
      </vt:variant>
      <vt:variant>
        <vt:i4>56</vt:i4>
      </vt:variant>
      <vt:variant>
        <vt:i4>0</vt:i4>
      </vt:variant>
      <vt:variant>
        <vt:i4>5</vt:i4>
      </vt:variant>
      <vt:variant>
        <vt:lpwstr/>
      </vt:variant>
      <vt:variant>
        <vt:lpwstr>_Toc159846613</vt:lpwstr>
      </vt:variant>
      <vt:variant>
        <vt:i4>1900602</vt:i4>
      </vt:variant>
      <vt:variant>
        <vt:i4>50</vt:i4>
      </vt:variant>
      <vt:variant>
        <vt:i4>0</vt:i4>
      </vt:variant>
      <vt:variant>
        <vt:i4>5</vt:i4>
      </vt:variant>
      <vt:variant>
        <vt:lpwstr/>
      </vt:variant>
      <vt:variant>
        <vt:lpwstr>_Toc159846612</vt:lpwstr>
      </vt:variant>
      <vt:variant>
        <vt:i4>1900602</vt:i4>
      </vt:variant>
      <vt:variant>
        <vt:i4>44</vt:i4>
      </vt:variant>
      <vt:variant>
        <vt:i4>0</vt:i4>
      </vt:variant>
      <vt:variant>
        <vt:i4>5</vt:i4>
      </vt:variant>
      <vt:variant>
        <vt:lpwstr/>
      </vt:variant>
      <vt:variant>
        <vt:lpwstr>_Toc159846611</vt:lpwstr>
      </vt:variant>
      <vt:variant>
        <vt:i4>1900602</vt:i4>
      </vt:variant>
      <vt:variant>
        <vt:i4>38</vt:i4>
      </vt:variant>
      <vt:variant>
        <vt:i4>0</vt:i4>
      </vt:variant>
      <vt:variant>
        <vt:i4>5</vt:i4>
      </vt:variant>
      <vt:variant>
        <vt:lpwstr/>
      </vt:variant>
      <vt:variant>
        <vt:lpwstr>_Toc159846610</vt:lpwstr>
      </vt:variant>
      <vt:variant>
        <vt:i4>1835066</vt:i4>
      </vt:variant>
      <vt:variant>
        <vt:i4>32</vt:i4>
      </vt:variant>
      <vt:variant>
        <vt:i4>0</vt:i4>
      </vt:variant>
      <vt:variant>
        <vt:i4>5</vt:i4>
      </vt:variant>
      <vt:variant>
        <vt:lpwstr/>
      </vt:variant>
      <vt:variant>
        <vt:lpwstr>_Toc159846609</vt:lpwstr>
      </vt:variant>
      <vt:variant>
        <vt:i4>1835066</vt:i4>
      </vt:variant>
      <vt:variant>
        <vt:i4>26</vt:i4>
      </vt:variant>
      <vt:variant>
        <vt:i4>0</vt:i4>
      </vt:variant>
      <vt:variant>
        <vt:i4>5</vt:i4>
      </vt:variant>
      <vt:variant>
        <vt:lpwstr/>
      </vt:variant>
      <vt:variant>
        <vt:lpwstr>_Toc159846608</vt:lpwstr>
      </vt:variant>
      <vt:variant>
        <vt:i4>1835066</vt:i4>
      </vt:variant>
      <vt:variant>
        <vt:i4>20</vt:i4>
      </vt:variant>
      <vt:variant>
        <vt:i4>0</vt:i4>
      </vt:variant>
      <vt:variant>
        <vt:i4>5</vt:i4>
      </vt:variant>
      <vt:variant>
        <vt:lpwstr/>
      </vt:variant>
      <vt:variant>
        <vt:lpwstr>_Toc159846607</vt:lpwstr>
      </vt:variant>
      <vt:variant>
        <vt:i4>1835066</vt:i4>
      </vt:variant>
      <vt:variant>
        <vt:i4>14</vt:i4>
      </vt:variant>
      <vt:variant>
        <vt:i4>0</vt:i4>
      </vt:variant>
      <vt:variant>
        <vt:i4>5</vt:i4>
      </vt:variant>
      <vt:variant>
        <vt:lpwstr/>
      </vt:variant>
      <vt:variant>
        <vt:lpwstr>_Toc159846606</vt:lpwstr>
      </vt:variant>
      <vt:variant>
        <vt:i4>1835066</vt:i4>
      </vt:variant>
      <vt:variant>
        <vt:i4>8</vt:i4>
      </vt:variant>
      <vt:variant>
        <vt:i4>0</vt:i4>
      </vt:variant>
      <vt:variant>
        <vt:i4>5</vt:i4>
      </vt:variant>
      <vt:variant>
        <vt:lpwstr/>
      </vt:variant>
      <vt:variant>
        <vt:lpwstr>_Toc159846605</vt:lpwstr>
      </vt:variant>
      <vt:variant>
        <vt:i4>1835066</vt:i4>
      </vt:variant>
      <vt:variant>
        <vt:i4>2</vt:i4>
      </vt:variant>
      <vt:variant>
        <vt:i4>0</vt:i4>
      </vt:variant>
      <vt:variant>
        <vt:i4>5</vt:i4>
      </vt:variant>
      <vt:variant>
        <vt:lpwstr/>
      </vt:variant>
      <vt:variant>
        <vt:lpwstr>_Toc159846604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Jesús Castillo Caicedo;Jackson Stewar Ackine Leguizamo</dc:creator>
  <cp:keywords/>
  <dc:description/>
  <cp:lastModifiedBy>NATALIA CASTAÑO ZULUAGA</cp:lastModifiedBy>
  <cp:revision>3</cp:revision>
  <cp:lastPrinted>2024-02-28T00:10:00Z</cp:lastPrinted>
  <dcterms:created xsi:type="dcterms:W3CDTF">2024-02-28T00:19:00Z</dcterms:created>
  <dcterms:modified xsi:type="dcterms:W3CDTF">2024-02-28T00:19:00Z</dcterms:modified>
</cp:coreProperties>
</file>